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32B0480" w14:textId="77777777" w:rsidR="002234E2" w:rsidRPr="00E16672" w:rsidRDefault="005C0E0F" w:rsidP="00CF4BB0">
      <w:pPr>
        <w:pageBreakBefore/>
        <w:tabs>
          <w:tab w:val="left" w:pos="975"/>
          <w:tab w:val="right" w:pos="9899"/>
        </w:tabs>
        <w:jc w:val="center"/>
        <w:rPr>
          <w:rFonts w:ascii="Times New Roman" w:hAnsi="Times New Roman"/>
          <w:i/>
          <w:color w:val="000000"/>
          <w:sz w:val="22"/>
          <w:szCs w:val="22"/>
          <w:lang w:val="uk-UA"/>
        </w:rPr>
      </w:pPr>
      <w:proofErr w:type="spellStart"/>
      <w:r w:rsidRPr="00E16672">
        <w:rPr>
          <w:rFonts w:ascii="Times New Roman" w:hAnsi="Times New Roman"/>
          <w:b/>
          <w:bCs/>
          <w:color w:val="000000"/>
          <w:sz w:val="22"/>
          <w:szCs w:val="22"/>
        </w:rPr>
        <w:t>П</w:t>
      </w:r>
      <w:r w:rsidR="002234E2" w:rsidRPr="00E16672">
        <w:rPr>
          <w:rFonts w:ascii="Times New Roman" w:hAnsi="Times New Roman"/>
          <w:b/>
          <w:bCs/>
          <w:color w:val="000000"/>
          <w:sz w:val="22"/>
          <w:szCs w:val="22"/>
        </w:rPr>
        <w:t>ерелік</w:t>
      </w:r>
      <w:proofErr w:type="spellEnd"/>
      <w:r w:rsidR="002234E2" w:rsidRPr="00E16672">
        <w:rPr>
          <w:rFonts w:ascii="Times New Roman" w:hAnsi="Times New Roman"/>
          <w:b/>
          <w:bCs/>
          <w:color w:val="000000"/>
          <w:sz w:val="22"/>
          <w:szCs w:val="22"/>
        </w:rPr>
        <w:t xml:space="preserve"> </w:t>
      </w:r>
      <w:proofErr w:type="spellStart"/>
      <w:r w:rsidR="002234E2" w:rsidRPr="00E16672">
        <w:rPr>
          <w:rFonts w:ascii="Times New Roman" w:hAnsi="Times New Roman"/>
          <w:b/>
          <w:bCs/>
          <w:color w:val="000000"/>
          <w:sz w:val="22"/>
          <w:szCs w:val="22"/>
        </w:rPr>
        <w:t>вихідних</w:t>
      </w:r>
      <w:proofErr w:type="spellEnd"/>
      <w:r w:rsidR="002234E2" w:rsidRPr="00E16672">
        <w:rPr>
          <w:rFonts w:ascii="Times New Roman" w:hAnsi="Times New Roman"/>
          <w:b/>
          <w:bCs/>
          <w:color w:val="000000"/>
          <w:sz w:val="22"/>
          <w:szCs w:val="22"/>
        </w:rPr>
        <w:t xml:space="preserve"> </w:t>
      </w:r>
      <w:proofErr w:type="spellStart"/>
      <w:r w:rsidR="002234E2" w:rsidRPr="00E16672">
        <w:rPr>
          <w:rFonts w:ascii="Times New Roman" w:hAnsi="Times New Roman"/>
          <w:b/>
          <w:bCs/>
          <w:color w:val="000000"/>
          <w:sz w:val="22"/>
          <w:szCs w:val="22"/>
        </w:rPr>
        <w:t>документів</w:t>
      </w:r>
      <w:proofErr w:type="spellEnd"/>
      <w:r w:rsidR="00CF4BB0">
        <w:rPr>
          <w:rFonts w:ascii="Times New Roman" w:hAnsi="Times New Roman"/>
          <w:b/>
          <w:bCs/>
          <w:color w:val="000000"/>
          <w:sz w:val="22"/>
          <w:szCs w:val="22"/>
          <w:lang w:val="uk-UA"/>
        </w:rPr>
        <w:t xml:space="preserve"> </w:t>
      </w:r>
    </w:p>
    <w:p w14:paraId="545892BE" w14:textId="77777777" w:rsidR="00CF4BB0" w:rsidRDefault="00594331">
      <w:pPr>
        <w:tabs>
          <w:tab w:val="left" w:pos="975"/>
          <w:tab w:val="right" w:pos="9899"/>
        </w:tabs>
        <w:jc w:val="center"/>
        <w:rPr>
          <w:rFonts w:ascii="Times New Roman" w:hAnsi="Times New Roman"/>
          <w:b/>
          <w:color w:val="000000"/>
          <w:szCs w:val="20"/>
          <w:lang w:val="uk-UA"/>
        </w:rPr>
      </w:pPr>
      <w:r>
        <w:rPr>
          <w:rFonts w:ascii="Times New Roman" w:hAnsi="Times New Roman"/>
          <w:b/>
          <w:bCs/>
          <w:color w:val="000000"/>
          <w:sz w:val="22"/>
          <w:szCs w:val="22"/>
          <w:lang w:val="uk-UA"/>
        </w:rPr>
        <w:t>(д</w:t>
      </w:r>
      <w:r>
        <w:rPr>
          <w:rFonts w:ascii="Times New Roman" w:hAnsi="Times New Roman"/>
          <w:i/>
          <w:color w:val="000000"/>
          <w:sz w:val="22"/>
          <w:szCs w:val="22"/>
          <w:lang w:val="uk-UA"/>
        </w:rPr>
        <w:t>одаток до внутрішнього положення депозитарної установи ТОВ "КОМЕКС ЦІННІ ПАПЕРИ")</w:t>
      </w:r>
    </w:p>
    <w:p w14:paraId="650260C2" w14:textId="77777777" w:rsidR="00594331" w:rsidRDefault="00594331">
      <w:pPr>
        <w:tabs>
          <w:tab w:val="left" w:pos="975"/>
          <w:tab w:val="right" w:pos="9899"/>
        </w:tabs>
        <w:jc w:val="center"/>
        <w:rPr>
          <w:rFonts w:ascii="Times New Roman" w:hAnsi="Times New Roman"/>
          <w:b/>
          <w:color w:val="000000"/>
          <w:szCs w:val="20"/>
          <w:lang w:val="uk-UA"/>
        </w:rPr>
      </w:pPr>
    </w:p>
    <w:p w14:paraId="2746D53C" w14:textId="77777777" w:rsidR="00502AEC" w:rsidRPr="00E16672" w:rsidRDefault="00502AEC">
      <w:pPr>
        <w:tabs>
          <w:tab w:val="left" w:pos="975"/>
          <w:tab w:val="right" w:pos="9899"/>
        </w:tabs>
        <w:jc w:val="center"/>
        <w:rPr>
          <w:rFonts w:ascii="Times New Roman" w:hAnsi="Times New Roman"/>
          <w:b/>
          <w:color w:val="000000"/>
          <w:szCs w:val="20"/>
          <w:lang w:val="uk-UA"/>
        </w:rPr>
      </w:pPr>
      <w:r w:rsidRPr="00E16672">
        <w:rPr>
          <w:rFonts w:ascii="Times New Roman" w:hAnsi="Times New Roman"/>
          <w:b/>
          <w:color w:val="000000"/>
          <w:szCs w:val="20"/>
          <w:lang w:val="uk-UA"/>
        </w:rPr>
        <w:t>Договір</w:t>
      </w:r>
    </w:p>
    <w:p w14:paraId="636F21B5" w14:textId="77777777" w:rsidR="00502AEC" w:rsidRPr="00E16672" w:rsidRDefault="00502AEC">
      <w:pPr>
        <w:jc w:val="center"/>
        <w:rPr>
          <w:rFonts w:ascii="Times New Roman" w:hAnsi="Times New Roman"/>
          <w:b/>
          <w:szCs w:val="20"/>
          <w:lang w:val="uk-UA"/>
        </w:rPr>
      </w:pPr>
      <w:r w:rsidRPr="00E16672">
        <w:rPr>
          <w:rFonts w:ascii="Times New Roman" w:hAnsi="Times New Roman"/>
          <w:b/>
          <w:szCs w:val="20"/>
          <w:lang w:val="uk-UA"/>
        </w:rPr>
        <w:t xml:space="preserve">про обслуговування </w:t>
      </w:r>
      <w:r w:rsidR="0057288A" w:rsidRPr="00E16672">
        <w:rPr>
          <w:rFonts w:ascii="Times New Roman" w:hAnsi="Times New Roman"/>
          <w:b/>
          <w:szCs w:val="20"/>
          <w:lang w:val="uk-UA"/>
        </w:rPr>
        <w:t xml:space="preserve">рахунку </w:t>
      </w:r>
      <w:r w:rsidRPr="00E16672">
        <w:rPr>
          <w:rFonts w:ascii="Times New Roman" w:hAnsi="Times New Roman"/>
          <w:b/>
          <w:szCs w:val="20"/>
          <w:lang w:val="uk-UA"/>
        </w:rPr>
        <w:t xml:space="preserve">в цінних паперах </w:t>
      </w:r>
    </w:p>
    <w:p w14:paraId="396CFE76" w14:textId="77777777" w:rsidR="00CF4BB0" w:rsidRDefault="00502AEC" w:rsidP="00CF4BB0">
      <w:pPr>
        <w:jc w:val="center"/>
        <w:rPr>
          <w:rFonts w:ascii="Times New Roman" w:hAnsi="Times New Roman"/>
          <w:b/>
          <w:bCs/>
          <w:szCs w:val="20"/>
          <w:lang w:val="uk-UA"/>
        </w:rPr>
      </w:pPr>
      <w:r w:rsidRPr="00E16672">
        <w:rPr>
          <w:rFonts w:ascii="Times New Roman" w:hAnsi="Times New Roman"/>
          <w:b/>
          <w:bCs/>
          <w:szCs w:val="20"/>
          <w:lang w:val="uk-UA"/>
        </w:rPr>
        <w:t>№  ____/___</w:t>
      </w:r>
      <w:r w:rsidR="00457728">
        <w:rPr>
          <w:rFonts w:ascii="Times New Roman" w:hAnsi="Times New Roman"/>
          <w:b/>
          <w:bCs/>
          <w:szCs w:val="20"/>
          <w:lang w:val="uk-UA"/>
        </w:rPr>
        <w:t>/ДУ</w:t>
      </w:r>
    </w:p>
    <w:p w14:paraId="256AC950" w14:textId="77777777" w:rsidR="001A3E32" w:rsidRDefault="001A3E32" w:rsidP="00CF4BB0">
      <w:pPr>
        <w:jc w:val="center"/>
        <w:rPr>
          <w:rFonts w:ascii="Times New Roman" w:hAnsi="Times New Roman"/>
          <w:b/>
          <w:bCs/>
          <w:szCs w:val="20"/>
          <w:lang w:val="uk-UA"/>
        </w:rPr>
      </w:pPr>
    </w:p>
    <w:p w14:paraId="0CB9D0BE" w14:textId="77777777" w:rsidR="00502AEC" w:rsidRDefault="001A3E32" w:rsidP="001A3E32">
      <w:pPr>
        <w:jc w:val="center"/>
        <w:rPr>
          <w:rFonts w:ascii="Times New Roman" w:hAnsi="Times New Roman"/>
          <w:szCs w:val="20"/>
          <w:lang w:val="uk-UA"/>
        </w:rPr>
      </w:pPr>
      <w:r w:rsidRPr="00E16672">
        <w:rPr>
          <w:rFonts w:ascii="Times New Roman" w:hAnsi="Times New Roman"/>
          <w:szCs w:val="20"/>
          <w:lang w:val="uk-UA"/>
        </w:rPr>
        <w:t>м. Київ</w:t>
      </w:r>
      <w:r>
        <w:rPr>
          <w:rFonts w:ascii="Times New Roman" w:hAnsi="Times New Roman"/>
          <w:szCs w:val="20"/>
          <w:lang w:val="uk-UA"/>
        </w:rPr>
        <w:t xml:space="preserve"> </w:t>
      </w:r>
      <w:r>
        <w:rPr>
          <w:rFonts w:ascii="Times New Roman" w:hAnsi="Times New Roman"/>
          <w:szCs w:val="20"/>
          <w:lang w:val="uk-UA"/>
        </w:rPr>
        <w:tab/>
      </w:r>
      <w:r>
        <w:rPr>
          <w:rFonts w:ascii="Times New Roman" w:hAnsi="Times New Roman"/>
          <w:szCs w:val="20"/>
          <w:lang w:val="uk-UA"/>
        </w:rPr>
        <w:tab/>
      </w:r>
      <w:r>
        <w:rPr>
          <w:rFonts w:ascii="Times New Roman" w:hAnsi="Times New Roman"/>
          <w:szCs w:val="20"/>
          <w:lang w:val="uk-UA"/>
        </w:rPr>
        <w:tab/>
      </w:r>
      <w:r>
        <w:rPr>
          <w:rFonts w:ascii="Times New Roman" w:hAnsi="Times New Roman"/>
          <w:szCs w:val="20"/>
          <w:lang w:val="uk-UA"/>
        </w:rPr>
        <w:tab/>
      </w:r>
      <w:r>
        <w:rPr>
          <w:rFonts w:ascii="Times New Roman" w:hAnsi="Times New Roman"/>
          <w:szCs w:val="20"/>
          <w:lang w:val="uk-UA"/>
        </w:rPr>
        <w:tab/>
      </w:r>
      <w:r>
        <w:rPr>
          <w:rFonts w:ascii="Times New Roman" w:hAnsi="Times New Roman"/>
          <w:szCs w:val="20"/>
          <w:lang w:val="uk-UA"/>
        </w:rPr>
        <w:tab/>
      </w:r>
      <w:r>
        <w:rPr>
          <w:rFonts w:ascii="Times New Roman" w:hAnsi="Times New Roman"/>
          <w:szCs w:val="20"/>
          <w:lang w:val="uk-UA"/>
        </w:rPr>
        <w:tab/>
      </w:r>
      <w:r>
        <w:rPr>
          <w:rFonts w:ascii="Times New Roman" w:hAnsi="Times New Roman"/>
          <w:szCs w:val="20"/>
          <w:lang w:val="uk-UA"/>
        </w:rPr>
        <w:tab/>
      </w:r>
      <w:r>
        <w:rPr>
          <w:rFonts w:ascii="Times New Roman" w:hAnsi="Times New Roman"/>
          <w:szCs w:val="20"/>
          <w:lang w:val="uk-UA"/>
        </w:rPr>
        <w:tab/>
      </w:r>
      <w:r>
        <w:rPr>
          <w:rFonts w:ascii="Times New Roman" w:hAnsi="Times New Roman"/>
          <w:szCs w:val="20"/>
          <w:lang w:val="uk-UA"/>
        </w:rPr>
        <w:tab/>
      </w:r>
      <w:r w:rsidR="00502AEC" w:rsidRPr="00E16672">
        <w:rPr>
          <w:rFonts w:ascii="Times New Roman" w:hAnsi="Times New Roman"/>
          <w:szCs w:val="20"/>
          <w:lang w:val="uk-UA"/>
        </w:rPr>
        <w:t>"</w:t>
      </w:r>
      <w:r w:rsidR="00CF4BB0">
        <w:rPr>
          <w:rFonts w:ascii="Times New Roman" w:hAnsi="Times New Roman"/>
          <w:szCs w:val="20"/>
          <w:lang w:val="uk-UA"/>
        </w:rPr>
        <w:t xml:space="preserve">      </w:t>
      </w:r>
      <w:r w:rsidR="00502AEC" w:rsidRPr="00E16672">
        <w:rPr>
          <w:rFonts w:ascii="Times New Roman" w:hAnsi="Times New Roman"/>
          <w:szCs w:val="20"/>
          <w:lang w:val="uk-UA"/>
        </w:rPr>
        <w:t>" ____________ 20_</w:t>
      </w:r>
      <w:r w:rsidR="00CF4BB0">
        <w:rPr>
          <w:rFonts w:ascii="Times New Roman" w:hAnsi="Times New Roman"/>
          <w:szCs w:val="20"/>
          <w:lang w:val="uk-UA"/>
        </w:rPr>
        <w:t>__</w:t>
      </w:r>
      <w:r w:rsidR="00502AEC" w:rsidRPr="00E16672">
        <w:rPr>
          <w:rFonts w:ascii="Times New Roman" w:hAnsi="Times New Roman"/>
          <w:szCs w:val="20"/>
          <w:lang w:val="uk-UA"/>
        </w:rPr>
        <w:t>_р.</w:t>
      </w:r>
    </w:p>
    <w:p w14:paraId="4F89B1DC" w14:textId="77777777" w:rsidR="001A3E32" w:rsidRPr="00E16672" w:rsidRDefault="001A3E32" w:rsidP="001A3E32">
      <w:pPr>
        <w:jc w:val="center"/>
        <w:rPr>
          <w:rFonts w:ascii="Times New Roman" w:hAnsi="Times New Roman"/>
          <w:szCs w:val="20"/>
          <w:lang w:val="uk-UA"/>
        </w:rPr>
      </w:pPr>
    </w:p>
    <w:p w14:paraId="70791E89" w14:textId="77777777" w:rsidR="004D320D" w:rsidRDefault="00FB4ABD" w:rsidP="006517E7">
      <w:pPr>
        <w:pStyle w:val="ab"/>
        <w:ind w:firstLine="0"/>
        <w:jc w:val="left"/>
        <w:rPr>
          <w:rFonts w:ascii="Times New Roman" w:hAnsi="Times New Roman"/>
          <w:b w:val="0"/>
        </w:rPr>
      </w:pPr>
      <w:r w:rsidRPr="00E16672">
        <w:rPr>
          <w:rFonts w:ascii="Times New Roman" w:hAnsi="Times New Roman"/>
          <w:b w:val="0"/>
        </w:rPr>
        <w:t xml:space="preserve">ТОВАРИСТВО З ОБМЕЖЕНОЮ ВІДПОВІДАЛЬНІСТЮ </w:t>
      </w:r>
      <w:r w:rsidR="00022F5F">
        <w:rPr>
          <w:rFonts w:ascii="Times New Roman" w:hAnsi="Times New Roman"/>
          <w:b w:val="0"/>
        </w:rPr>
        <w:t>"</w:t>
      </w:r>
      <w:r w:rsidR="00E16672" w:rsidRPr="00E16672">
        <w:rPr>
          <w:rFonts w:ascii="Times New Roman" w:hAnsi="Times New Roman"/>
          <w:b w:val="0"/>
        </w:rPr>
        <w:t>КОМЕКС ЦІННІ ПАПЕРИ</w:t>
      </w:r>
      <w:r w:rsidR="00022F5F">
        <w:rPr>
          <w:rFonts w:ascii="Times New Roman" w:hAnsi="Times New Roman"/>
          <w:b w:val="0"/>
        </w:rPr>
        <w:t>"</w:t>
      </w:r>
      <w:r w:rsidR="00502AEC" w:rsidRPr="00E16672">
        <w:rPr>
          <w:rFonts w:ascii="Times New Roman" w:hAnsi="Times New Roman"/>
          <w:b w:val="0"/>
        </w:rPr>
        <w:t xml:space="preserve">, код за ЄДРПОУ </w:t>
      </w:r>
      <w:r w:rsidR="00E16672" w:rsidRPr="00E16672">
        <w:rPr>
          <w:rFonts w:ascii="Times New Roman" w:hAnsi="Times New Roman"/>
          <w:b w:val="0"/>
        </w:rPr>
        <w:t>33153077</w:t>
      </w:r>
      <w:r w:rsidRPr="00E16672">
        <w:rPr>
          <w:rFonts w:ascii="Times New Roman" w:hAnsi="Times New Roman"/>
          <w:b w:val="0"/>
        </w:rPr>
        <w:t xml:space="preserve"> </w:t>
      </w:r>
      <w:r w:rsidR="00502AEC" w:rsidRPr="00E16672">
        <w:rPr>
          <w:rFonts w:ascii="Times New Roman" w:hAnsi="Times New Roman"/>
          <w:b w:val="0"/>
        </w:rPr>
        <w:t xml:space="preserve">(надалі – Депозитарна установа), що здійснює депозитарну діяльність депозитарної установи на підставі ліцензії серія </w:t>
      </w:r>
      <w:r w:rsidRPr="00E16672">
        <w:rPr>
          <w:rFonts w:ascii="Times New Roman" w:hAnsi="Times New Roman"/>
          <w:b w:val="0"/>
        </w:rPr>
        <w:t>АЕ №</w:t>
      </w:r>
      <w:r w:rsidR="00E16672" w:rsidRPr="00E16672">
        <w:rPr>
          <w:rFonts w:ascii="Times New Roman" w:hAnsi="Times New Roman"/>
          <w:b w:val="0"/>
        </w:rPr>
        <w:t>263429</w:t>
      </w:r>
      <w:r w:rsidR="00502AEC" w:rsidRPr="00E16672">
        <w:rPr>
          <w:rFonts w:ascii="Times New Roman" w:hAnsi="Times New Roman"/>
          <w:b w:val="0"/>
        </w:rPr>
        <w:t xml:space="preserve">, виданої </w:t>
      </w:r>
      <w:r w:rsidR="00E16672" w:rsidRPr="00E16672">
        <w:rPr>
          <w:rFonts w:ascii="Times New Roman" w:hAnsi="Times New Roman"/>
          <w:b w:val="0"/>
        </w:rPr>
        <w:t>01.10.2013</w:t>
      </w:r>
      <w:r w:rsidRPr="00E16672">
        <w:rPr>
          <w:rFonts w:ascii="Times New Roman" w:hAnsi="Times New Roman"/>
          <w:b w:val="0"/>
        </w:rPr>
        <w:t xml:space="preserve"> р.</w:t>
      </w:r>
      <w:r w:rsidR="00502AEC" w:rsidRPr="00E16672">
        <w:rPr>
          <w:rFonts w:ascii="Times New Roman" w:hAnsi="Times New Roman"/>
          <w:b w:val="0"/>
        </w:rPr>
        <w:t xml:space="preserve"> Національною комісією з цінних паперів та фондового ринку (надалі – НКЦПФР), в особі </w:t>
      </w:r>
      <w:r w:rsidRPr="00E16672">
        <w:rPr>
          <w:rFonts w:ascii="Times New Roman" w:hAnsi="Times New Roman"/>
          <w:b w:val="0"/>
        </w:rPr>
        <w:t xml:space="preserve">директора </w:t>
      </w:r>
      <w:r w:rsidR="006517E7">
        <w:rPr>
          <w:rFonts w:ascii="Times New Roman" w:hAnsi="Times New Roman"/>
          <w:b w:val="0"/>
        </w:rPr>
        <w:t>Король Оксани Іванівни</w:t>
      </w:r>
      <w:r w:rsidRPr="00E16672">
        <w:rPr>
          <w:rFonts w:ascii="Times New Roman" w:hAnsi="Times New Roman"/>
        </w:rPr>
        <w:t xml:space="preserve">, </w:t>
      </w:r>
      <w:r w:rsidR="00502AEC" w:rsidRPr="00E16672">
        <w:rPr>
          <w:rFonts w:ascii="Times New Roman" w:hAnsi="Times New Roman"/>
          <w:b w:val="0"/>
        </w:rPr>
        <w:t xml:space="preserve">що діє на підставі </w:t>
      </w:r>
      <w:r w:rsidRPr="00E16672">
        <w:rPr>
          <w:rFonts w:ascii="Times New Roman" w:hAnsi="Times New Roman"/>
          <w:b w:val="0"/>
        </w:rPr>
        <w:t>Статуту</w:t>
      </w:r>
      <w:r w:rsidRPr="00E16672">
        <w:rPr>
          <w:rFonts w:ascii="Times New Roman" w:hAnsi="Times New Roman"/>
        </w:rPr>
        <w:t xml:space="preserve">, </w:t>
      </w:r>
      <w:r w:rsidR="004D320D">
        <w:rPr>
          <w:rFonts w:ascii="Times New Roman" w:hAnsi="Times New Roman"/>
          <w:b w:val="0"/>
        </w:rPr>
        <w:t>з однієї сторони,</w:t>
      </w:r>
    </w:p>
    <w:p w14:paraId="719550E6" w14:textId="77777777" w:rsidR="00127427" w:rsidRPr="00E16672" w:rsidRDefault="000F23F9" w:rsidP="006517E7">
      <w:pPr>
        <w:pStyle w:val="ab"/>
        <w:ind w:firstLine="0"/>
        <w:jc w:val="left"/>
        <w:rPr>
          <w:rFonts w:ascii="Times New Roman" w:hAnsi="Times New Roman"/>
          <w:i/>
          <w:sz w:val="16"/>
        </w:rPr>
      </w:pPr>
      <w:r w:rsidRPr="00E16672">
        <w:rPr>
          <w:rFonts w:ascii="Times New Roman" w:hAnsi="Times New Roman"/>
          <w:b w:val="0"/>
        </w:rPr>
        <w:t xml:space="preserve">та  </w:t>
      </w:r>
      <w:r w:rsidR="00FB4ABD" w:rsidRPr="00E16672">
        <w:rPr>
          <w:rFonts w:ascii="Times New Roman" w:hAnsi="Times New Roman"/>
          <w:i/>
          <w:sz w:val="16"/>
        </w:rPr>
        <w:t xml:space="preserve">                                                             </w:t>
      </w:r>
    </w:p>
    <w:p w14:paraId="084D6D63" w14:textId="77777777" w:rsidR="00A42A6F" w:rsidRPr="00E16672" w:rsidRDefault="00502AEC" w:rsidP="003A05A3">
      <w:pPr>
        <w:pStyle w:val="ab"/>
        <w:ind w:firstLine="0"/>
        <w:jc w:val="both"/>
        <w:rPr>
          <w:rFonts w:ascii="Times New Roman" w:hAnsi="Times New Roman"/>
          <w:sz w:val="18"/>
          <w:szCs w:val="18"/>
        </w:rPr>
      </w:pPr>
      <w:r w:rsidRPr="00E16672">
        <w:rPr>
          <w:rFonts w:ascii="Times New Roman" w:hAnsi="Times New Roman"/>
          <w:sz w:val="18"/>
          <w:szCs w:val="18"/>
        </w:rPr>
        <w:t>__________________________________________________________</w:t>
      </w:r>
      <w:r w:rsidR="00165AC9" w:rsidRPr="00E16672">
        <w:rPr>
          <w:rFonts w:ascii="Times New Roman" w:hAnsi="Times New Roman"/>
          <w:sz w:val="18"/>
          <w:szCs w:val="18"/>
        </w:rPr>
        <w:t>________________</w:t>
      </w:r>
      <w:r w:rsidR="004D320D">
        <w:rPr>
          <w:rFonts w:ascii="Times New Roman" w:hAnsi="Times New Roman"/>
          <w:sz w:val="18"/>
          <w:szCs w:val="18"/>
        </w:rPr>
        <w:t>______________________</w:t>
      </w:r>
      <w:r w:rsidR="00165AC9" w:rsidRPr="00E16672">
        <w:rPr>
          <w:rFonts w:ascii="Times New Roman" w:hAnsi="Times New Roman"/>
          <w:sz w:val="18"/>
          <w:szCs w:val="18"/>
        </w:rPr>
        <w:t>__</w:t>
      </w:r>
      <w:r w:rsidRPr="00E16672">
        <w:rPr>
          <w:rFonts w:ascii="Times New Roman" w:hAnsi="Times New Roman"/>
          <w:sz w:val="18"/>
          <w:szCs w:val="18"/>
        </w:rPr>
        <w:t>_________</w:t>
      </w:r>
      <w:r w:rsidR="00A42A6F" w:rsidRPr="00E16672">
        <w:rPr>
          <w:rFonts w:ascii="Times New Roman" w:hAnsi="Times New Roman"/>
          <w:sz w:val="18"/>
          <w:szCs w:val="18"/>
        </w:rPr>
        <w:t>_</w:t>
      </w:r>
      <w:r w:rsidRPr="00E16672">
        <w:rPr>
          <w:rFonts w:ascii="Times New Roman" w:hAnsi="Times New Roman"/>
          <w:sz w:val="18"/>
          <w:szCs w:val="18"/>
        </w:rPr>
        <w:t>____________</w:t>
      </w:r>
    </w:p>
    <w:p w14:paraId="1D6A1CC0" w14:textId="77777777" w:rsidR="00502AEC" w:rsidRPr="004D320D" w:rsidRDefault="00502AEC" w:rsidP="003A05A3">
      <w:pPr>
        <w:pStyle w:val="ab"/>
        <w:ind w:firstLine="0"/>
        <w:rPr>
          <w:rFonts w:ascii="Times New Roman" w:hAnsi="Times New Roman"/>
          <w:b w:val="0"/>
          <w:i/>
          <w:iCs/>
          <w:sz w:val="14"/>
          <w:szCs w:val="14"/>
        </w:rPr>
      </w:pPr>
      <w:r w:rsidRPr="004D320D">
        <w:rPr>
          <w:rFonts w:ascii="Times New Roman" w:hAnsi="Times New Roman"/>
          <w:b w:val="0"/>
          <w:i/>
          <w:sz w:val="14"/>
          <w:szCs w:val="14"/>
        </w:rPr>
        <w:t>(</w:t>
      </w:r>
      <w:r w:rsidR="002A4361" w:rsidRPr="004D320D">
        <w:rPr>
          <w:rFonts w:ascii="Times New Roman" w:hAnsi="Times New Roman"/>
          <w:b w:val="0"/>
          <w:i/>
          <w:sz w:val="14"/>
          <w:szCs w:val="14"/>
          <w:lang w:eastAsia="uk-UA"/>
        </w:rPr>
        <w:t>прізвище, ім’я, по батькові (за наявності), дані документа, що підтверджує особу: вид, серія (за наявності), номер, термін (строк) дії (за наявності), орган видачі та дата видачі</w:t>
      </w:r>
      <w:r w:rsidRPr="004D320D">
        <w:rPr>
          <w:rFonts w:ascii="Times New Roman" w:hAnsi="Times New Roman"/>
          <w:b w:val="0"/>
          <w:i/>
          <w:iCs/>
          <w:sz w:val="14"/>
          <w:szCs w:val="14"/>
        </w:rPr>
        <w:t>)</w:t>
      </w:r>
    </w:p>
    <w:p w14:paraId="0ADDA48E" w14:textId="77777777" w:rsidR="00315F38" w:rsidRPr="00E16672" w:rsidRDefault="00315F38" w:rsidP="003A05A3">
      <w:pPr>
        <w:pStyle w:val="ab"/>
        <w:ind w:firstLine="0"/>
        <w:jc w:val="both"/>
        <w:rPr>
          <w:rFonts w:ascii="Times New Roman" w:hAnsi="Times New Roman"/>
          <w:b w:val="0"/>
        </w:rPr>
      </w:pPr>
      <w:r w:rsidRPr="00E16672">
        <w:rPr>
          <w:rFonts w:ascii="Times New Roman" w:hAnsi="Times New Roman"/>
          <w:b w:val="0"/>
        </w:rPr>
        <w:t>______________________________________________________</w:t>
      </w:r>
      <w:r w:rsidR="00843027" w:rsidRPr="00E16672">
        <w:rPr>
          <w:rFonts w:ascii="Times New Roman" w:hAnsi="Times New Roman"/>
          <w:b w:val="0"/>
        </w:rPr>
        <w:t>____________</w:t>
      </w:r>
      <w:r w:rsidR="004D320D">
        <w:rPr>
          <w:rFonts w:ascii="Times New Roman" w:hAnsi="Times New Roman"/>
          <w:b w:val="0"/>
        </w:rPr>
        <w:t>______</w:t>
      </w:r>
      <w:r w:rsidR="00843027" w:rsidRPr="00E16672">
        <w:rPr>
          <w:rFonts w:ascii="Times New Roman" w:hAnsi="Times New Roman"/>
          <w:b w:val="0"/>
        </w:rPr>
        <w:t>_______________</w:t>
      </w:r>
      <w:r w:rsidRPr="00E16672">
        <w:rPr>
          <w:rFonts w:ascii="Times New Roman" w:hAnsi="Times New Roman"/>
          <w:b w:val="0"/>
        </w:rPr>
        <w:t>_</w:t>
      </w:r>
      <w:r w:rsidR="00843027" w:rsidRPr="00E16672">
        <w:rPr>
          <w:rFonts w:ascii="Times New Roman" w:hAnsi="Times New Roman"/>
          <w:b w:val="0"/>
        </w:rPr>
        <w:t xml:space="preserve"> (надалі Депонент)</w:t>
      </w:r>
      <w:r w:rsidRPr="00E16672">
        <w:rPr>
          <w:rFonts w:ascii="Times New Roman" w:hAnsi="Times New Roman"/>
          <w:b w:val="0"/>
        </w:rPr>
        <w:t>,</w:t>
      </w:r>
    </w:p>
    <w:p w14:paraId="73FE94E7" w14:textId="77777777" w:rsidR="00315F38" w:rsidRPr="00E16672" w:rsidRDefault="00315F38" w:rsidP="003A05A3">
      <w:pPr>
        <w:suppressAutoHyphens w:val="0"/>
        <w:autoSpaceDE w:val="0"/>
        <w:autoSpaceDN w:val="0"/>
        <w:adjustRightInd w:val="0"/>
        <w:ind w:firstLine="0"/>
        <w:jc w:val="center"/>
        <w:rPr>
          <w:rFonts w:ascii="Times New Roman" w:hAnsi="Times New Roman"/>
          <w:i/>
          <w:iCs/>
          <w:sz w:val="16"/>
          <w:szCs w:val="20"/>
          <w:lang w:val="uk-UA"/>
        </w:rPr>
      </w:pPr>
    </w:p>
    <w:p w14:paraId="08A36067" w14:textId="77777777" w:rsidR="00273E4F" w:rsidRPr="00E16672" w:rsidRDefault="00502AEC" w:rsidP="003A05A3">
      <w:pPr>
        <w:pStyle w:val="ab"/>
        <w:ind w:firstLine="0"/>
        <w:jc w:val="both"/>
        <w:rPr>
          <w:rFonts w:ascii="Times New Roman" w:hAnsi="Times New Roman"/>
          <w:b w:val="0"/>
        </w:rPr>
      </w:pPr>
      <w:r w:rsidRPr="00E16672">
        <w:rPr>
          <w:rFonts w:ascii="Times New Roman" w:hAnsi="Times New Roman"/>
          <w:b w:val="0"/>
        </w:rPr>
        <w:t>в особі ________________________________________</w:t>
      </w:r>
      <w:r w:rsidR="00273E4F" w:rsidRPr="00E16672">
        <w:rPr>
          <w:rFonts w:ascii="Times New Roman" w:hAnsi="Times New Roman"/>
          <w:b w:val="0"/>
        </w:rPr>
        <w:t>______________________________________</w:t>
      </w:r>
      <w:r w:rsidRPr="00E16672">
        <w:rPr>
          <w:rFonts w:ascii="Times New Roman" w:hAnsi="Times New Roman"/>
          <w:b w:val="0"/>
        </w:rPr>
        <w:t xml:space="preserve">_____________, </w:t>
      </w:r>
    </w:p>
    <w:p w14:paraId="7EB5F3E8" w14:textId="77777777" w:rsidR="00165AC9" w:rsidRPr="00E16672" w:rsidRDefault="00165AC9" w:rsidP="003A05A3">
      <w:pPr>
        <w:suppressAutoHyphens w:val="0"/>
        <w:autoSpaceDE w:val="0"/>
        <w:autoSpaceDN w:val="0"/>
        <w:adjustRightInd w:val="0"/>
        <w:ind w:firstLine="0"/>
        <w:jc w:val="center"/>
        <w:rPr>
          <w:rFonts w:ascii="Times New Roman" w:hAnsi="Times New Roman"/>
          <w:i/>
          <w:iCs/>
          <w:sz w:val="16"/>
          <w:szCs w:val="20"/>
          <w:lang w:val="uk-UA"/>
        </w:rPr>
      </w:pPr>
      <w:r w:rsidRPr="00E16672">
        <w:rPr>
          <w:rFonts w:ascii="Times New Roman" w:hAnsi="Times New Roman"/>
          <w:i/>
          <w:sz w:val="16"/>
          <w:szCs w:val="20"/>
          <w:lang w:val="uk-UA"/>
        </w:rPr>
        <w:t>(</w:t>
      </w:r>
      <w:r w:rsidR="00A42A6F" w:rsidRPr="00E16672">
        <w:rPr>
          <w:rFonts w:ascii="Times New Roman" w:hAnsi="Times New Roman"/>
          <w:i/>
          <w:sz w:val="16"/>
          <w:szCs w:val="20"/>
          <w:lang w:val="uk-UA"/>
        </w:rPr>
        <w:t xml:space="preserve">у разі підписання Договору уповноваженою особою зазначаються  </w:t>
      </w:r>
      <w:r w:rsidRPr="00E16672">
        <w:rPr>
          <w:rFonts w:ascii="Times New Roman" w:hAnsi="Times New Roman"/>
          <w:i/>
          <w:sz w:val="16"/>
          <w:szCs w:val="20"/>
          <w:lang w:val="uk-UA" w:eastAsia="uk-UA"/>
        </w:rPr>
        <w:t>прізвище, ім’я, по батькові (за наявності), дані документа, що підтверджує особу: вид, серія (за наявності), номер, термін (строк) дії (за наявності), орган видачі та дата видачі</w:t>
      </w:r>
      <w:r w:rsidRPr="00E16672">
        <w:rPr>
          <w:rFonts w:ascii="Times New Roman" w:hAnsi="Times New Roman"/>
          <w:i/>
          <w:iCs/>
          <w:sz w:val="16"/>
          <w:szCs w:val="20"/>
          <w:lang w:val="uk-UA"/>
        </w:rPr>
        <w:t>)</w:t>
      </w:r>
    </w:p>
    <w:p w14:paraId="255AF6BB" w14:textId="77777777" w:rsidR="00502AEC" w:rsidRPr="00E16672" w:rsidRDefault="00502AEC" w:rsidP="003A05A3">
      <w:pPr>
        <w:pStyle w:val="ab"/>
        <w:ind w:firstLine="0"/>
        <w:jc w:val="both"/>
        <w:rPr>
          <w:rFonts w:ascii="Times New Roman" w:hAnsi="Times New Roman"/>
          <w:b w:val="0"/>
        </w:rPr>
      </w:pPr>
      <w:r w:rsidRPr="00E16672">
        <w:rPr>
          <w:rFonts w:ascii="Times New Roman" w:hAnsi="Times New Roman"/>
          <w:b w:val="0"/>
        </w:rPr>
        <w:t>що діє на підставі (власного волевиявлення, довіреності №____ від__________</w:t>
      </w:r>
      <w:r w:rsidR="00A42A6F" w:rsidRPr="00E16672">
        <w:rPr>
          <w:rFonts w:ascii="Times New Roman" w:hAnsi="Times New Roman"/>
          <w:b w:val="0"/>
        </w:rPr>
        <w:t>, інше: ________________________</w:t>
      </w:r>
      <w:r w:rsidRPr="00E16672">
        <w:rPr>
          <w:rFonts w:ascii="Times New Roman" w:hAnsi="Times New Roman"/>
          <w:b w:val="0"/>
        </w:rPr>
        <w:t xml:space="preserve"> ) з другої сторони, а разом</w:t>
      </w:r>
      <w:r w:rsidRPr="00E16672">
        <w:rPr>
          <w:rFonts w:ascii="Times New Roman" w:hAnsi="Times New Roman"/>
          <w:b w:val="0"/>
          <w:vertAlign w:val="subscript"/>
        </w:rPr>
        <w:t xml:space="preserve"> </w:t>
      </w:r>
      <w:r w:rsidRPr="00E16672">
        <w:rPr>
          <w:rFonts w:ascii="Times New Roman" w:hAnsi="Times New Roman"/>
          <w:b w:val="0"/>
        </w:rPr>
        <w:t xml:space="preserve">надалі іменовані Сторони, уклали цей Договір про обслуговування </w:t>
      </w:r>
      <w:r w:rsidR="005C08DC" w:rsidRPr="00E16672">
        <w:rPr>
          <w:rFonts w:ascii="Times New Roman" w:hAnsi="Times New Roman"/>
          <w:b w:val="0"/>
        </w:rPr>
        <w:t xml:space="preserve">рахунку </w:t>
      </w:r>
      <w:r w:rsidRPr="00E16672">
        <w:rPr>
          <w:rFonts w:ascii="Times New Roman" w:hAnsi="Times New Roman"/>
          <w:b w:val="0"/>
        </w:rPr>
        <w:t>в цінних паперах (надалі – Договір) про наступне:</w:t>
      </w:r>
    </w:p>
    <w:p w14:paraId="2DB829B1" w14:textId="77777777" w:rsidR="00502AEC" w:rsidRPr="00E16672" w:rsidRDefault="00502AEC" w:rsidP="00CF3C01">
      <w:pPr>
        <w:pStyle w:val="2"/>
        <w:rPr>
          <w:rFonts w:ascii="Times New Roman" w:hAnsi="Times New Roman" w:cs="Times New Roman"/>
          <w:lang w:val="uk-UA"/>
        </w:rPr>
      </w:pPr>
      <w:r w:rsidRPr="00E16672">
        <w:rPr>
          <w:rFonts w:ascii="Times New Roman" w:hAnsi="Times New Roman" w:cs="Times New Roman"/>
          <w:lang w:val="uk-UA"/>
        </w:rPr>
        <w:tab/>
        <w:t>1. Предмет Договору</w:t>
      </w:r>
    </w:p>
    <w:p w14:paraId="0D244944" w14:textId="77777777" w:rsidR="00502AEC" w:rsidRPr="00E16672" w:rsidRDefault="00502AEC" w:rsidP="00022F5F">
      <w:pPr>
        <w:pStyle w:val="ab"/>
        <w:ind w:firstLine="538"/>
        <w:jc w:val="left"/>
        <w:rPr>
          <w:rFonts w:ascii="Times New Roman" w:hAnsi="Times New Roman"/>
          <w:b w:val="0"/>
        </w:rPr>
      </w:pPr>
      <w:r w:rsidRPr="00E16672">
        <w:rPr>
          <w:rFonts w:ascii="Times New Roman" w:hAnsi="Times New Roman"/>
          <w:b w:val="0"/>
        </w:rPr>
        <w:t xml:space="preserve">1.1. </w:t>
      </w:r>
      <w:r w:rsidRPr="00E16672">
        <w:rPr>
          <w:rFonts w:ascii="Times New Roman" w:hAnsi="Times New Roman"/>
          <w:b w:val="0"/>
          <w:color w:val="000000"/>
        </w:rPr>
        <w:t>Депо</w:t>
      </w:r>
      <w:proofErr w:type="spellStart"/>
      <w:r w:rsidR="00146211" w:rsidRPr="00E16672">
        <w:rPr>
          <w:rFonts w:ascii="Times New Roman" w:hAnsi="Times New Roman"/>
          <w:b w:val="0"/>
          <w:color w:val="000000"/>
          <w:lang w:val="ru-RU"/>
        </w:rPr>
        <w:t>нент</w:t>
      </w:r>
      <w:proofErr w:type="spellEnd"/>
      <w:r w:rsidR="00146211" w:rsidRPr="00E16672">
        <w:rPr>
          <w:rFonts w:ascii="Times New Roman" w:hAnsi="Times New Roman"/>
          <w:b w:val="0"/>
          <w:color w:val="000000"/>
          <w:lang w:val="ru-RU"/>
        </w:rPr>
        <w:t xml:space="preserve"> </w:t>
      </w:r>
      <w:proofErr w:type="spellStart"/>
      <w:r w:rsidR="00146211" w:rsidRPr="00E16672">
        <w:rPr>
          <w:rFonts w:ascii="Times New Roman" w:hAnsi="Times New Roman"/>
          <w:b w:val="0"/>
          <w:color w:val="000000"/>
          <w:lang w:val="ru-RU"/>
        </w:rPr>
        <w:t>доручає</w:t>
      </w:r>
      <w:proofErr w:type="spellEnd"/>
      <w:r w:rsidR="00146211" w:rsidRPr="00E16672">
        <w:rPr>
          <w:rFonts w:ascii="Times New Roman" w:hAnsi="Times New Roman"/>
          <w:b w:val="0"/>
          <w:color w:val="000000"/>
          <w:lang w:val="ru-RU"/>
        </w:rPr>
        <w:t>, а Депо</w:t>
      </w:r>
      <w:proofErr w:type="spellStart"/>
      <w:r w:rsidRPr="00E16672">
        <w:rPr>
          <w:rFonts w:ascii="Times New Roman" w:hAnsi="Times New Roman"/>
          <w:b w:val="0"/>
          <w:color w:val="000000"/>
        </w:rPr>
        <w:t>зитарна</w:t>
      </w:r>
      <w:proofErr w:type="spellEnd"/>
      <w:r w:rsidRPr="00E16672">
        <w:rPr>
          <w:rFonts w:ascii="Times New Roman" w:hAnsi="Times New Roman"/>
          <w:b w:val="0"/>
          <w:color w:val="000000"/>
        </w:rPr>
        <w:t xml:space="preserve"> установа зобов’язується у порядку, передбаченому законодавством, внутрішніми документами Депозитарної установи та цим Договором, надавати послуги щодо відкриття та обслуговування рахунку </w:t>
      </w:r>
      <w:r w:rsidR="00C22309" w:rsidRPr="00E16672">
        <w:rPr>
          <w:rFonts w:ascii="Times New Roman" w:hAnsi="Times New Roman"/>
          <w:b w:val="0"/>
          <w:color w:val="000000"/>
        </w:rPr>
        <w:t>в цін</w:t>
      </w:r>
      <w:r w:rsidRPr="00E16672">
        <w:rPr>
          <w:rFonts w:ascii="Times New Roman" w:hAnsi="Times New Roman"/>
          <w:b w:val="0"/>
          <w:color w:val="000000"/>
        </w:rPr>
        <w:t xml:space="preserve">них паперах </w:t>
      </w:r>
      <w:r w:rsidRPr="00E16672">
        <w:rPr>
          <w:rFonts w:ascii="Times New Roman" w:hAnsi="Times New Roman"/>
          <w:b w:val="0"/>
        </w:rPr>
        <w:t>Депонента, та вести</w:t>
      </w:r>
      <w:r w:rsidR="001B15DF" w:rsidRPr="00E16672">
        <w:rPr>
          <w:rFonts w:ascii="Times New Roman" w:hAnsi="Times New Roman"/>
          <w:b w:val="0"/>
        </w:rPr>
        <w:t xml:space="preserve"> </w:t>
      </w:r>
      <w:r w:rsidRPr="00E16672">
        <w:rPr>
          <w:rFonts w:ascii="Times New Roman" w:hAnsi="Times New Roman"/>
          <w:b w:val="0"/>
        </w:rPr>
        <w:t xml:space="preserve">на ньому облік цінних паперів, що належать Депоненту, а також облік прав Депонента на цінні папери, що обліковуються на  рахунку </w:t>
      </w:r>
      <w:r w:rsidR="00C22309" w:rsidRPr="00E16672">
        <w:rPr>
          <w:rFonts w:ascii="Times New Roman" w:hAnsi="Times New Roman"/>
          <w:b w:val="0"/>
        </w:rPr>
        <w:t>в цін</w:t>
      </w:r>
      <w:r w:rsidRPr="00E16672">
        <w:rPr>
          <w:rFonts w:ascii="Times New Roman" w:hAnsi="Times New Roman"/>
          <w:b w:val="0"/>
        </w:rPr>
        <w:t xml:space="preserve">них паперах, та обмеження таких прав,  проводити депозитарні операції за рахунком </w:t>
      </w:r>
      <w:r w:rsidR="00C22309" w:rsidRPr="00E16672">
        <w:rPr>
          <w:rFonts w:ascii="Times New Roman" w:hAnsi="Times New Roman"/>
          <w:b w:val="0"/>
        </w:rPr>
        <w:t>в цін</w:t>
      </w:r>
      <w:r w:rsidRPr="00E16672">
        <w:rPr>
          <w:rFonts w:ascii="Times New Roman" w:hAnsi="Times New Roman"/>
          <w:b w:val="0"/>
        </w:rPr>
        <w:t>них паперах Депонента на підставі розпоряджень</w:t>
      </w:r>
      <w:r w:rsidRPr="00E16672">
        <w:rPr>
          <w:rFonts w:ascii="Times New Roman" w:hAnsi="Times New Roman"/>
          <w:b w:val="0"/>
          <w:color w:val="000000"/>
        </w:rPr>
        <w:t xml:space="preserve"> Депонента </w:t>
      </w:r>
      <w:r w:rsidR="00A534D0" w:rsidRPr="00E16672">
        <w:rPr>
          <w:rStyle w:val="rvts0"/>
          <w:rFonts w:ascii="Times New Roman" w:hAnsi="Times New Roman"/>
          <w:b w:val="0"/>
        </w:rPr>
        <w:t>(суб'єкта управління)</w:t>
      </w:r>
      <w:r w:rsidR="00A534D0" w:rsidRPr="00E16672">
        <w:rPr>
          <w:rStyle w:val="rvts0"/>
          <w:rFonts w:ascii="Times New Roman" w:hAnsi="Times New Roman"/>
        </w:rPr>
        <w:t xml:space="preserve"> </w:t>
      </w:r>
      <w:r w:rsidRPr="00E16672">
        <w:rPr>
          <w:rFonts w:ascii="Times New Roman" w:hAnsi="Times New Roman"/>
          <w:b w:val="0"/>
          <w:color w:val="000000"/>
        </w:rPr>
        <w:t>та в інший спосіб, передбачений законодавством, а також надавати інші послуги у процесі провадження депозитарної діяльності відповідно до Положення про провадження депозитарної діяльності, затвердженого рішенням Національної комісії з цінних паперів та фондового ринку від 23.04.2013 року № 735, зареєстрованого в Міністерстві юстиції України 27.06.2013 року №  1084/23616 (далі – Положення про провадження депозитарної діяльності), а Депонент зобов’язується оплатити послуги Депозитарної установи.</w:t>
      </w:r>
      <w:r w:rsidRPr="00E16672">
        <w:rPr>
          <w:rFonts w:ascii="Times New Roman" w:hAnsi="Times New Roman"/>
          <w:b w:val="0"/>
        </w:rPr>
        <w:t xml:space="preserve">1.2. Цінні папери (фінансовий актив) Депонента, права на які обліковуються Депозитарною установою відповідно до умов цього Договору, зберігаються Центральним депозитарієм цінних паперів відповідно до Закону України </w:t>
      </w:r>
      <w:r w:rsidR="00022F5F">
        <w:rPr>
          <w:rFonts w:ascii="Times New Roman" w:hAnsi="Times New Roman"/>
          <w:b w:val="0"/>
        </w:rPr>
        <w:t>"</w:t>
      </w:r>
      <w:r w:rsidRPr="00E16672">
        <w:rPr>
          <w:rFonts w:ascii="Times New Roman" w:hAnsi="Times New Roman"/>
          <w:b w:val="0"/>
        </w:rPr>
        <w:t>Про депозитарну систему України</w:t>
      </w:r>
      <w:r w:rsidR="00022F5F">
        <w:rPr>
          <w:rFonts w:ascii="Times New Roman" w:hAnsi="Times New Roman"/>
          <w:b w:val="0"/>
        </w:rPr>
        <w:t>"</w:t>
      </w:r>
      <w:r w:rsidRPr="00E16672">
        <w:rPr>
          <w:rFonts w:ascii="Times New Roman" w:hAnsi="Times New Roman"/>
          <w:b w:val="0"/>
        </w:rPr>
        <w:t>.</w:t>
      </w:r>
    </w:p>
    <w:p w14:paraId="441B60A3" w14:textId="77777777" w:rsidR="00502AEC" w:rsidRPr="00E16672" w:rsidRDefault="00502AEC">
      <w:pPr>
        <w:pStyle w:val="22"/>
        <w:ind w:firstLine="567"/>
        <w:rPr>
          <w:rFonts w:ascii="Times New Roman" w:hAnsi="Times New Roman"/>
          <w:lang w:val="ru-RU"/>
        </w:rPr>
      </w:pPr>
      <w:r w:rsidRPr="00E16672">
        <w:rPr>
          <w:rFonts w:ascii="Times New Roman" w:hAnsi="Times New Roman"/>
          <w:lang w:val="ru-RU"/>
        </w:rPr>
        <w:t xml:space="preserve">1.3. </w:t>
      </w:r>
      <w:proofErr w:type="spellStart"/>
      <w:r w:rsidRPr="00E16672">
        <w:rPr>
          <w:rFonts w:ascii="Times New Roman" w:hAnsi="Times New Roman"/>
          <w:lang w:val="ru-RU"/>
        </w:rPr>
        <w:t>Виконання</w:t>
      </w:r>
      <w:proofErr w:type="spellEnd"/>
      <w:r w:rsidRPr="00E16672">
        <w:rPr>
          <w:rFonts w:ascii="Times New Roman" w:hAnsi="Times New Roman"/>
          <w:lang w:val="ru-RU"/>
        </w:rPr>
        <w:t xml:space="preserve"> Депозитарною </w:t>
      </w:r>
      <w:proofErr w:type="spellStart"/>
      <w:r w:rsidRPr="00E16672">
        <w:rPr>
          <w:rFonts w:ascii="Times New Roman" w:hAnsi="Times New Roman"/>
          <w:lang w:val="ru-RU"/>
        </w:rPr>
        <w:t>установою</w:t>
      </w:r>
      <w:proofErr w:type="spellEnd"/>
      <w:r w:rsidRPr="00E16672">
        <w:rPr>
          <w:rFonts w:ascii="Times New Roman" w:hAnsi="Times New Roman"/>
          <w:lang w:val="ru-RU"/>
        </w:rPr>
        <w:t xml:space="preserve"> </w:t>
      </w:r>
      <w:proofErr w:type="spellStart"/>
      <w:r w:rsidRPr="00E16672">
        <w:rPr>
          <w:rFonts w:ascii="Times New Roman" w:hAnsi="Times New Roman"/>
          <w:lang w:val="ru-RU"/>
        </w:rPr>
        <w:t>додаткових</w:t>
      </w:r>
      <w:proofErr w:type="spellEnd"/>
      <w:r w:rsidRPr="00E16672">
        <w:rPr>
          <w:rFonts w:ascii="Times New Roman" w:hAnsi="Times New Roman"/>
          <w:lang w:val="ru-RU"/>
        </w:rPr>
        <w:t xml:space="preserve"> </w:t>
      </w:r>
      <w:proofErr w:type="spellStart"/>
      <w:r w:rsidRPr="00E16672">
        <w:rPr>
          <w:rFonts w:ascii="Times New Roman" w:hAnsi="Times New Roman"/>
          <w:lang w:val="ru-RU"/>
        </w:rPr>
        <w:t>послуг</w:t>
      </w:r>
      <w:proofErr w:type="spellEnd"/>
      <w:r w:rsidRPr="00E16672">
        <w:rPr>
          <w:rFonts w:ascii="Times New Roman" w:hAnsi="Times New Roman"/>
          <w:lang w:val="ru-RU"/>
        </w:rPr>
        <w:t xml:space="preserve"> та </w:t>
      </w:r>
      <w:proofErr w:type="spellStart"/>
      <w:r w:rsidRPr="00E16672">
        <w:rPr>
          <w:rFonts w:ascii="Times New Roman" w:hAnsi="Times New Roman"/>
          <w:lang w:val="ru-RU"/>
        </w:rPr>
        <w:t>операцій</w:t>
      </w:r>
      <w:proofErr w:type="spellEnd"/>
      <w:r w:rsidRPr="00E16672">
        <w:rPr>
          <w:rFonts w:ascii="Times New Roman" w:hAnsi="Times New Roman"/>
          <w:lang w:val="ru-RU"/>
        </w:rPr>
        <w:t xml:space="preserve">, </w:t>
      </w:r>
      <w:proofErr w:type="spellStart"/>
      <w:r w:rsidRPr="00E16672">
        <w:rPr>
          <w:rFonts w:ascii="Times New Roman" w:hAnsi="Times New Roman"/>
          <w:lang w:val="ru-RU"/>
        </w:rPr>
        <w:t>що</w:t>
      </w:r>
      <w:proofErr w:type="spellEnd"/>
      <w:r w:rsidRPr="00E16672">
        <w:rPr>
          <w:rFonts w:ascii="Times New Roman" w:hAnsi="Times New Roman"/>
          <w:lang w:val="ru-RU"/>
        </w:rPr>
        <w:t xml:space="preserve"> не </w:t>
      </w:r>
      <w:proofErr w:type="spellStart"/>
      <w:r w:rsidR="00D50D27" w:rsidRPr="00E16672">
        <w:rPr>
          <w:rFonts w:ascii="Times New Roman" w:hAnsi="Times New Roman"/>
          <w:lang w:val="ru-RU"/>
        </w:rPr>
        <w:t>суперечать</w:t>
      </w:r>
      <w:proofErr w:type="spellEnd"/>
      <w:r w:rsidR="00D50D27" w:rsidRPr="00E16672">
        <w:rPr>
          <w:rFonts w:ascii="Times New Roman" w:hAnsi="Times New Roman"/>
          <w:lang w:val="ru-RU"/>
        </w:rPr>
        <w:t xml:space="preserve"> </w:t>
      </w:r>
      <w:r w:rsidRPr="00E16672">
        <w:rPr>
          <w:rFonts w:ascii="Times New Roman" w:hAnsi="Times New Roman"/>
          <w:lang w:val="ru-RU"/>
        </w:rPr>
        <w:t xml:space="preserve">чинному </w:t>
      </w:r>
      <w:proofErr w:type="spellStart"/>
      <w:r w:rsidRPr="00E16672">
        <w:rPr>
          <w:rFonts w:ascii="Times New Roman" w:hAnsi="Times New Roman"/>
          <w:lang w:val="ru-RU"/>
        </w:rPr>
        <w:t>законодавству</w:t>
      </w:r>
      <w:proofErr w:type="spellEnd"/>
      <w:r w:rsidRPr="00E16672">
        <w:rPr>
          <w:rFonts w:ascii="Times New Roman" w:hAnsi="Times New Roman"/>
          <w:lang w:val="ru-RU"/>
        </w:rPr>
        <w:t xml:space="preserve"> </w:t>
      </w:r>
      <w:proofErr w:type="spellStart"/>
      <w:r w:rsidRPr="00E16672">
        <w:rPr>
          <w:rFonts w:ascii="Times New Roman" w:hAnsi="Times New Roman"/>
          <w:lang w:val="ru-RU"/>
        </w:rPr>
        <w:t>України</w:t>
      </w:r>
      <w:proofErr w:type="spellEnd"/>
      <w:r w:rsidRPr="00E16672">
        <w:rPr>
          <w:rFonts w:ascii="Times New Roman" w:hAnsi="Times New Roman"/>
          <w:lang w:val="ru-RU"/>
        </w:rPr>
        <w:t xml:space="preserve">, </w:t>
      </w:r>
      <w:proofErr w:type="spellStart"/>
      <w:r w:rsidRPr="00E16672">
        <w:rPr>
          <w:rFonts w:ascii="Times New Roman" w:hAnsi="Times New Roman"/>
          <w:lang w:val="ru-RU"/>
        </w:rPr>
        <w:t>оформлюється</w:t>
      </w:r>
      <w:proofErr w:type="spellEnd"/>
      <w:r w:rsidRPr="00E16672">
        <w:rPr>
          <w:rFonts w:ascii="Times New Roman" w:hAnsi="Times New Roman"/>
          <w:lang w:val="ru-RU"/>
        </w:rPr>
        <w:t xml:space="preserve"> </w:t>
      </w:r>
      <w:proofErr w:type="spellStart"/>
      <w:r w:rsidRPr="00E16672">
        <w:rPr>
          <w:rFonts w:ascii="Times New Roman" w:hAnsi="Times New Roman"/>
          <w:lang w:val="ru-RU"/>
        </w:rPr>
        <w:t>додатковими</w:t>
      </w:r>
      <w:proofErr w:type="spellEnd"/>
      <w:r w:rsidRPr="00E16672">
        <w:rPr>
          <w:rFonts w:ascii="Times New Roman" w:hAnsi="Times New Roman"/>
          <w:lang w:val="ru-RU"/>
        </w:rPr>
        <w:t xml:space="preserve"> </w:t>
      </w:r>
      <w:proofErr w:type="spellStart"/>
      <w:r w:rsidRPr="00E16672">
        <w:rPr>
          <w:rFonts w:ascii="Times New Roman" w:hAnsi="Times New Roman"/>
          <w:lang w:val="ru-RU"/>
        </w:rPr>
        <w:t>угодами</w:t>
      </w:r>
      <w:proofErr w:type="spellEnd"/>
      <w:r w:rsidRPr="00E16672">
        <w:rPr>
          <w:rFonts w:ascii="Times New Roman" w:hAnsi="Times New Roman"/>
          <w:lang w:val="ru-RU"/>
        </w:rPr>
        <w:t xml:space="preserve">, </w:t>
      </w:r>
      <w:proofErr w:type="spellStart"/>
      <w:r w:rsidRPr="00E16672">
        <w:rPr>
          <w:rFonts w:ascii="Times New Roman" w:hAnsi="Times New Roman"/>
          <w:lang w:val="ru-RU"/>
        </w:rPr>
        <w:t>які</w:t>
      </w:r>
      <w:proofErr w:type="spellEnd"/>
      <w:r w:rsidRPr="00E16672">
        <w:rPr>
          <w:rFonts w:ascii="Times New Roman" w:hAnsi="Times New Roman"/>
          <w:lang w:val="ru-RU"/>
        </w:rPr>
        <w:t xml:space="preserve"> з моменту </w:t>
      </w:r>
      <w:proofErr w:type="spellStart"/>
      <w:r w:rsidRPr="00E16672">
        <w:rPr>
          <w:rFonts w:ascii="Times New Roman" w:hAnsi="Times New Roman"/>
          <w:lang w:val="ru-RU"/>
        </w:rPr>
        <w:t>їх</w:t>
      </w:r>
      <w:proofErr w:type="spellEnd"/>
      <w:r w:rsidRPr="00E16672">
        <w:rPr>
          <w:rFonts w:ascii="Times New Roman" w:hAnsi="Times New Roman"/>
          <w:lang w:val="ru-RU"/>
        </w:rPr>
        <w:t xml:space="preserve"> </w:t>
      </w:r>
      <w:proofErr w:type="spellStart"/>
      <w:r w:rsidRPr="00E16672">
        <w:rPr>
          <w:rFonts w:ascii="Times New Roman" w:hAnsi="Times New Roman"/>
          <w:lang w:val="ru-RU"/>
        </w:rPr>
        <w:t>підписання</w:t>
      </w:r>
      <w:proofErr w:type="spellEnd"/>
      <w:r w:rsidRPr="00E16672">
        <w:rPr>
          <w:rFonts w:ascii="Times New Roman" w:hAnsi="Times New Roman"/>
          <w:lang w:val="ru-RU"/>
        </w:rPr>
        <w:t xml:space="preserve"> </w:t>
      </w:r>
      <w:proofErr w:type="spellStart"/>
      <w:r w:rsidRPr="00E16672">
        <w:rPr>
          <w:rFonts w:ascii="Times New Roman" w:hAnsi="Times New Roman"/>
          <w:lang w:val="ru-RU"/>
        </w:rPr>
        <w:t>стають</w:t>
      </w:r>
      <w:proofErr w:type="spellEnd"/>
      <w:r w:rsidRPr="00E16672">
        <w:rPr>
          <w:rFonts w:ascii="Times New Roman" w:hAnsi="Times New Roman"/>
          <w:lang w:val="ru-RU"/>
        </w:rPr>
        <w:t xml:space="preserve"> </w:t>
      </w:r>
      <w:proofErr w:type="spellStart"/>
      <w:r w:rsidRPr="00E16672">
        <w:rPr>
          <w:rFonts w:ascii="Times New Roman" w:hAnsi="Times New Roman"/>
          <w:lang w:val="ru-RU"/>
        </w:rPr>
        <w:t>невід’ємною</w:t>
      </w:r>
      <w:proofErr w:type="spellEnd"/>
      <w:r w:rsidRPr="00E16672">
        <w:rPr>
          <w:rFonts w:ascii="Times New Roman" w:hAnsi="Times New Roman"/>
          <w:lang w:val="ru-RU"/>
        </w:rPr>
        <w:t xml:space="preserve"> </w:t>
      </w:r>
      <w:proofErr w:type="spellStart"/>
      <w:r w:rsidRPr="00E16672">
        <w:rPr>
          <w:rFonts w:ascii="Times New Roman" w:hAnsi="Times New Roman"/>
          <w:lang w:val="ru-RU"/>
        </w:rPr>
        <w:t>частиною</w:t>
      </w:r>
      <w:proofErr w:type="spellEnd"/>
      <w:r w:rsidRPr="00E16672">
        <w:rPr>
          <w:rFonts w:ascii="Times New Roman" w:hAnsi="Times New Roman"/>
          <w:lang w:val="ru-RU"/>
        </w:rPr>
        <w:t xml:space="preserve"> </w:t>
      </w:r>
      <w:proofErr w:type="spellStart"/>
      <w:r w:rsidRPr="00E16672">
        <w:rPr>
          <w:rFonts w:ascii="Times New Roman" w:hAnsi="Times New Roman"/>
          <w:lang w:val="ru-RU"/>
        </w:rPr>
        <w:t>цього</w:t>
      </w:r>
      <w:proofErr w:type="spellEnd"/>
      <w:r w:rsidRPr="00E16672">
        <w:rPr>
          <w:rFonts w:ascii="Times New Roman" w:hAnsi="Times New Roman"/>
          <w:lang w:val="ru-RU"/>
        </w:rPr>
        <w:t xml:space="preserve"> Договору. </w:t>
      </w:r>
    </w:p>
    <w:p w14:paraId="69572A20" w14:textId="77777777" w:rsidR="00502AEC" w:rsidRPr="00E16672" w:rsidRDefault="00502AEC" w:rsidP="00CF3C01">
      <w:pPr>
        <w:pStyle w:val="2"/>
        <w:rPr>
          <w:rFonts w:ascii="Times New Roman" w:hAnsi="Times New Roman" w:cs="Times New Roman"/>
          <w:lang w:val="uk-UA"/>
        </w:rPr>
      </w:pPr>
      <w:r w:rsidRPr="00E16672">
        <w:rPr>
          <w:rFonts w:ascii="Times New Roman" w:hAnsi="Times New Roman" w:cs="Times New Roman"/>
          <w:lang w:val="uk-UA"/>
        </w:rPr>
        <w:t xml:space="preserve">2. Права та обов’язки сторін </w:t>
      </w:r>
    </w:p>
    <w:p w14:paraId="4FF7F074" w14:textId="77777777" w:rsidR="00502AEC" w:rsidRPr="00E16672" w:rsidRDefault="00502AEC">
      <w:pPr>
        <w:tabs>
          <w:tab w:val="left" w:pos="450"/>
        </w:tabs>
        <w:rPr>
          <w:rFonts w:ascii="Times New Roman" w:hAnsi="Times New Roman"/>
          <w:b/>
          <w:szCs w:val="20"/>
          <w:lang w:val="uk-UA"/>
        </w:rPr>
      </w:pPr>
      <w:r w:rsidRPr="00E16672">
        <w:rPr>
          <w:rFonts w:ascii="Times New Roman" w:hAnsi="Times New Roman"/>
          <w:szCs w:val="20"/>
          <w:lang w:val="uk-UA"/>
        </w:rPr>
        <w:tab/>
      </w:r>
      <w:r w:rsidRPr="00E16672">
        <w:rPr>
          <w:rFonts w:ascii="Times New Roman" w:hAnsi="Times New Roman"/>
          <w:b/>
          <w:szCs w:val="20"/>
          <w:lang w:val="uk-UA"/>
        </w:rPr>
        <w:t>2.1. Депозитарна установа зобов’язана:</w:t>
      </w:r>
    </w:p>
    <w:p w14:paraId="75D08261" w14:textId="77777777" w:rsidR="00502AEC" w:rsidRPr="00E16672" w:rsidRDefault="00502AEC" w:rsidP="0095652E">
      <w:pPr>
        <w:tabs>
          <w:tab w:val="left" w:pos="851"/>
        </w:tabs>
        <w:rPr>
          <w:rFonts w:ascii="Times New Roman" w:hAnsi="Times New Roman"/>
          <w:szCs w:val="20"/>
          <w:lang w:val="uk-UA"/>
        </w:rPr>
      </w:pPr>
      <w:r w:rsidRPr="00E16672">
        <w:rPr>
          <w:rFonts w:ascii="Times New Roman" w:hAnsi="Times New Roman"/>
          <w:szCs w:val="20"/>
          <w:lang w:val="uk-UA"/>
        </w:rPr>
        <w:t xml:space="preserve">2.1.1 Відкрити Депоненту рахунок </w:t>
      </w:r>
      <w:r w:rsidR="00C22309" w:rsidRPr="00E16672">
        <w:rPr>
          <w:rFonts w:ascii="Times New Roman" w:hAnsi="Times New Roman"/>
          <w:szCs w:val="20"/>
          <w:lang w:val="uk-UA"/>
        </w:rPr>
        <w:t>в цін</w:t>
      </w:r>
      <w:r w:rsidRPr="00E16672">
        <w:rPr>
          <w:rFonts w:ascii="Times New Roman" w:hAnsi="Times New Roman"/>
          <w:szCs w:val="20"/>
          <w:lang w:val="uk-UA"/>
        </w:rPr>
        <w:t xml:space="preserve">них паперах протягом </w:t>
      </w:r>
      <w:r w:rsidRPr="00E16672">
        <w:rPr>
          <w:rFonts w:ascii="Times New Roman" w:hAnsi="Times New Roman"/>
          <w:i/>
          <w:szCs w:val="20"/>
          <w:lang w:val="uk-UA"/>
        </w:rPr>
        <w:t xml:space="preserve">п'яти </w:t>
      </w:r>
      <w:r w:rsidRPr="00E16672">
        <w:rPr>
          <w:rFonts w:ascii="Times New Roman" w:hAnsi="Times New Roman"/>
          <w:szCs w:val="20"/>
          <w:lang w:val="uk-UA"/>
        </w:rPr>
        <w:t xml:space="preserve">робочих днів після подання Депонентом визначених законодавством документів для відкриття рахунку в цінних паперах. Якщо Депонент є платником податків, видаткові операції на рахунку </w:t>
      </w:r>
      <w:r w:rsidR="00C22309" w:rsidRPr="00E16672">
        <w:rPr>
          <w:rFonts w:ascii="Times New Roman" w:hAnsi="Times New Roman"/>
          <w:szCs w:val="20"/>
          <w:lang w:val="uk-UA"/>
        </w:rPr>
        <w:t>в цін</w:t>
      </w:r>
      <w:r w:rsidRPr="00E16672">
        <w:rPr>
          <w:rFonts w:ascii="Times New Roman" w:hAnsi="Times New Roman"/>
          <w:szCs w:val="20"/>
          <w:lang w:val="uk-UA"/>
        </w:rPr>
        <w:t>них паперах здійснюються після узяття рахунку на облік в органах державної податкової служби.</w:t>
      </w:r>
    </w:p>
    <w:p w14:paraId="5B26C730" w14:textId="77777777" w:rsidR="00E10AE9" w:rsidRPr="007B5095" w:rsidRDefault="00502AEC" w:rsidP="00E10AE9">
      <w:pPr>
        <w:tabs>
          <w:tab w:val="left" w:pos="851"/>
        </w:tabs>
        <w:ind w:firstLine="539"/>
        <w:rPr>
          <w:rFonts w:ascii="Times New Roman" w:hAnsi="Times New Roman"/>
          <w:szCs w:val="20"/>
          <w:lang w:val="uk-UA"/>
        </w:rPr>
      </w:pPr>
      <w:r w:rsidRPr="00E16672">
        <w:rPr>
          <w:rFonts w:ascii="Times New Roman" w:hAnsi="Times New Roman"/>
          <w:szCs w:val="20"/>
          <w:lang w:val="uk-UA"/>
        </w:rPr>
        <w:t xml:space="preserve">2.1.2. </w:t>
      </w:r>
      <w:r w:rsidR="00E10AE9" w:rsidRPr="00E16672">
        <w:rPr>
          <w:rFonts w:ascii="Times New Roman" w:hAnsi="Times New Roman"/>
          <w:szCs w:val="20"/>
          <w:lang w:val="uk-UA"/>
        </w:rPr>
        <w:t>Ознайомити Депонента з внутрішніми документами (витягами з внутрішніх документів, діючими тарифами</w:t>
      </w:r>
      <w:r w:rsidR="008A70C6" w:rsidRPr="00E16672">
        <w:rPr>
          <w:rFonts w:ascii="Times New Roman" w:hAnsi="Times New Roman"/>
          <w:bCs/>
          <w:szCs w:val="16"/>
          <w:lang w:val="uk-UA"/>
        </w:rPr>
        <w:t xml:space="preserve"> на депозитарні операції з цінними паперами Депозитарної установи (далі – тарифи Депозитарної установи)</w:t>
      </w:r>
      <w:r w:rsidR="00E10AE9" w:rsidRPr="00E16672">
        <w:rPr>
          <w:rFonts w:ascii="Times New Roman" w:hAnsi="Times New Roman"/>
          <w:szCs w:val="20"/>
          <w:lang w:val="uk-UA"/>
        </w:rPr>
        <w:t xml:space="preserve">, що є чинними на час підписання цього Договору) Депозитарної установи, які регламентують відносини Депонента та Депозитарної установи стосовно порядку виконання розпоряджень Депонента, отримання виписок про стан рахунку </w:t>
      </w:r>
      <w:r w:rsidR="00C22309" w:rsidRPr="00E16672">
        <w:rPr>
          <w:rFonts w:ascii="Times New Roman" w:hAnsi="Times New Roman"/>
          <w:szCs w:val="20"/>
          <w:lang w:val="uk-UA"/>
        </w:rPr>
        <w:t>в цін</w:t>
      </w:r>
      <w:r w:rsidR="00E10AE9" w:rsidRPr="00E16672">
        <w:rPr>
          <w:rFonts w:ascii="Times New Roman" w:hAnsi="Times New Roman"/>
          <w:szCs w:val="20"/>
          <w:lang w:val="uk-UA"/>
        </w:rPr>
        <w:t xml:space="preserve">них </w:t>
      </w:r>
      <w:r w:rsidR="00E10AE9" w:rsidRPr="00E16672">
        <w:rPr>
          <w:rFonts w:ascii="Times New Roman" w:hAnsi="Times New Roman"/>
          <w:color w:val="000000"/>
          <w:szCs w:val="20"/>
          <w:lang w:val="uk-UA"/>
        </w:rPr>
        <w:t xml:space="preserve">паперах Депонента та про операції з цінними паперами, інформаційних довідок про незавершені операції з цінними паперами </w:t>
      </w:r>
      <w:r w:rsidR="00733E89" w:rsidRPr="00E16672">
        <w:rPr>
          <w:rFonts w:ascii="Times New Roman" w:hAnsi="Times New Roman"/>
          <w:color w:val="000000"/>
          <w:szCs w:val="20"/>
          <w:lang w:val="uk-UA"/>
        </w:rPr>
        <w:t>за</w:t>
      </w:r>
      <w:r w:rsidR="00E10AE9" w:rsidRPr="00E16672">
        <w:rPr>
          <w:rFonts w:ascii="Times New Roman" w:hAnsi="Times New Roman"/>
          <w:color w:val="000000"/>
          <w:szCs w:val="20"/>
          <w:lang w:val="uk-UA"/>
        </w:rPr>
        <w:t xml:space="preserve"> </w:t>
      </w:r>
      <w:r w:rsidR="00733E89" w:rsidRPr="00E16672">
        <w:rPr>
          <w:rFonts w:ascii="Times New Roman" w:hAnsi="Times New Roman"/>
          <w:color w:val="000000"/>
          <w:szCs w:val="20"/>
          <w:lang w:val="uk-UA"/>
        </w:rPr>
        <w:t>рахунк</w:t>
      </w:r>
      <w:r w:rsidR="00757B80" w:rsidRPr="00E16672">
        <w:rPr>
          <w:rFonts w:ascii="Times New Roman" w:hAnsi="Times New Roman"/>
          <w:color w:val="000000"/>
          <w:szCs w:val="20"/>
          <w:lang w:val="uk-UA"/>
        </w:rPr>
        <w:t>ом</w:t>
      </w:r>
      <w:r w:rsidR="00733E89" w:rsidRPr="00E16672">
        <w:rPr>
          <w:rFonts w:ascii="Times New Roman" w:hAnsi="Times New Roman"/>
          <w:color w:val="000000"/>
          <w:szCs w:val="20"/>
          <w:lang w:val="uk-UA"/>
        </w:rPr>
        <w:t xml:space="preserve"> </w:t>
      </w:r>
      <w:r w:rsidR="00E10AE9" w:rsidRPr="00E16672">
        <w:rPr>
          <w:rFonts w:ascii="Times New Roman" w:hAnsi="Times New Roman"/>
          <w:color w:val="000000"/>
          <w:szCs w:val="20"/>
          <w:lang w:val="uk-UA"/>
        </w:rPr>
        <w:t xml:space="preserve">в цінних паперах Депонента та інших інформаційних довідок, шляхом оприлюднення на </w:t>
      </w:r>
      <w:r w:rsidR="00E10AE9" w:rsidRPr="00E16672">
        <w:rPr>
          <w:rFonts w:ascii="Times New Roman" w:hAnsi="Times New Roman"/>
          <w:bCs/>
          <w:color w:val="000000"/>
          <w:szCs w:val="20"/>
          <w:lang w:val="uk-UA"/>
        </w:rPr>
        <w:t xml:space="preserve">веб-сторінці </w:t>
      </w:r>
      <w:r w:rsidR="00E10AE9" w:rsidRPr="00E16672">
        <w:rPr>
          <w:rFonts w:ascii="Times New Roman" w:hAnsi="Times New Roman"/>
          <w:color w:val="000000"/>
          <w:szCs w:val="20"/>
          <w:lang w:val="uk-UA"/>
        </w:rPr>
        <w:t xml:space="preserve">Депозитарної установи </w:t>
      </w:r>
      <w:r w:rsidR="00E16672">
        <w:rPr>
          <w:rFonts w:ascii="Times New Roman" w:hAnsi="Times New Roman"/>
          <w:color w:val="000000"/>
          <w:szCs w:val="20"/>
          <w:lang w:val="uk-UA"/>
        </w:rPr>
        <w:t>http://comex.uafin.net</w:t>
      </w:r>
      <w:r w:rsidR="00E10AE9" w:rsidRPr="00E16672">
        <w:rPr>
          <w:rFonts w:ascii="Times New Roman" w:hAnsi="Times New Roman"/>
          <w:color w:val="000000"/>
          <w:szCs w:val="20"/>
          <w:lang w:val="uk-UA"/>
        </w:rPr>
        <w:t>, та в подальшому ознайомлювати Депонента зі змінами та доповненнями до цих документів (витягів з внутрішніх документів, діючих тарифів</w:t>
      </w:r>
      <w:r w:rsidR="008A70C6" w:rsidRPr="00E16672">
        <w:rPr>
          <w:rFonts w:ascii="Times New Roman" w:hAnsi="Times New Roman"/>
          <w:color w:val="000000"/>
          <w:szCs w:val="20"/>
          <w:lang w:val="uk-UA"/>
        </w:rPr>
        <w:t xml:space="preserve"> Депозитарної установи</w:t>
      </w:r>
      <w:r w:rsidR="00E10AE9" w:rsidRPr="00E16672">
        <w:rPr>
          <w:rFonts w:ascii="Times New Roman" w:hAnsi="Times New Roman"/>
          <w:color w:val="000000"/>
          <w:szCs w:val="20"/>
          <w:lang w:val="uk-UA"/>
        </w:rPr>
        <w:t xml:space="preserve">) шляхом розміщення протягом </w:t>
      </w:r>
      <w:r w:rsidR="00E10AE9" w:rsidRPr="00E16672">
        <w:rPr>
          <w:rFonts w:ascii="Times New Roman" w:hAnsi="Times New Roman"/>
          <w:i/>
          <w:color w:val="000000"/>
          <w:szCs w:val="20"/>
          <w:lang w:val="uk-UA"/>
        </w:rPr>
        <w:t>п'яти</w:t>
      </w:r>
      <w:r w:rsidR="00E10AE9" w:rsidRPr="00E16672">
        <w:rPr>
          <w:rFonts w:ascii="Times New Roman" w:hAnsi="Times New Roman"/>
          <w:color w:val="000000"/>
          <w:szCs w:val="20"/>
          <w:lang w:val="uk-UA"/>
        </w:rPr>
        <w:t xml:space="preserve"> робочих днів після затвердження </w:t>
      </w:r>
      <w:r w:rsidR="00E10AE9" w:rsidRPr="007B5095">
        <w:rPr>
          <w:rFonts w:ascii="Times New Roman" w:hAnsi="Times New Roman"/>
          <w:szCs w:val="20"/>
          <w:lang w:val="uk-UA"/>
        </w:rPr>
        <w:t xml:space="preserve">змін відповідної інформації та тексту внутрішніх документів (витягів з внутрішніх документів) на </w:t>
      </w:r>
      <w:r w:rsidR="00E10AE9" w:rsidRPr="007B5095">
        <w:rPr>
          <w:rFonts w:ascii="Times New Roman" w:hAnsi="Times New Roman"/>
          <w:bCs/>
          <w:szCs w:val="20"/>
          <w:lang w:val="uk-UA"/>
        </w:rPr>
        <w:t xml:space="preserve">веб-сторінці </w:t>
      </w:r>
      <w:r w:rsidR="00E10AE9" w:rsidRPr="007B5095">
        <w:rPr>
          <w:rFonts w:ascii="Times New Roman" w:hAnsi="Times New Roman"/>
          <w:szCs w:val="20"/>
          <w:lang w:val="uk-UA"/>
        </w:rPr>
        <w:t xml:space="preserve">Депозитарної установи </w:t>
      </w:r>
      <w:r w:rsidR="00E16672" w:rsidRPr="007B5095">
        <w:rPr>
          <w:rFonts w:ascii="Times New Roman" w:hAnsi="Times New Roman"/>
          <w:szCs w:val="20"/>
          <w:lang w:val="uk-UA"/>
        </w:rPr>
        <w:t>http://comex.uafin.net</w:t>
      </w:r>
      <w:r w:rsidR="00E10AE9" w:rsidRPr="007B5095">
        <w:rPr>
          <w:rFonts w:ascii="Times New Roman" w:hAnsi="Times New Roman"/>
          <w:szCs w:val="20"/>
          <w:lang w:val="uk-UA"/>
        </w:rPr>
        <w:t>.</w:t>
      </w:r>
    </w:p>
    <w:p w14:paraId="79B45154" w14:textId="77777777" w:rsidR="00E10AE9" w:rsidRPr="007B5095" w:rsidRDefault="00E10AE9" w:rsidP="00E10AE9">
      <w:pPr>
        <w:tabs>
          <w:tab w:val="left" w:pos="851"/>
        </w:tabs>
        <w:ind w:firstLine="539"/>
        <w:rPr>
          <w:rFonts w:ascii="Times New Roman" w:hAnsi="Times New Roman"/>
          <w:szCs w:val="20"/>
          <w:lang w:val="uk-UA"/>
        </w:rPr>
      </w:pPr>
      <w:r w:rsidRPr="007B5095">
        <w:rPr>
          <w:rFonts w:ascii="Times New Roman" w:hAnsi="Times New Roman"/>
          <w:szCs w:val="20"/>
          <w:lang w:val="uk-UA"/>
        </w:rPr>
        <w:t xml:space="preserve">2.1.3. Здійснювати облік цінних паперів, що належать Депоненту, на рахунку </w:t>
      </w:r>
      <w:r w:rsidR="00C22309" w:rsidRPr="007B5095">
        <w:rPr>
          <w:rFonts w:ascii="Times New Roman" w:hAnsi="Times New Roman"/>
          <w:szCs w:val="20"/>
          <w:lang w:val="uk-UA"/>
        </w:rPr>
        <w:t>в цін</w:t>
      </w:r>
      <w:r w:rsidRPr="007B5095">
        <w:rPr>
          <w:rFonts w:ascii="Times New Roman" w:hAnsi="Times New Roman"/>
          <w:szCs w:val="20"/>
          <w:lang w:val="uk-UA"/>
        </w:rPr>
        <w:t>них паперах.</w:t>
      </w:r>
    </w:p>
    <w:p w14:paraId="15A0FC01" w14:textId="77777777" w:rsidR="00E10AE9" w:rsidRPr="007B5095" w:rsidRDefault="00E10AE9" w:rsidP="00022F5F">
      <w:pPr>
        <w:tabs>
          <w:tab w:val="left" w:pos="851"/>
        </w:tabs>
        <w:ind w:firstLine="539"/>
        <w:jc w:val="left"/>
        <w:rPr>
          <w:rFonts w:ascii="Times New Roman" w:hAnsi="Times New Roman"/>
          <w:bCs/>
          <w:szCs w:val="20"/>
          <w:lang w:val="uk-UA"/>
        </w:rPr>
      </w:pPr>
      <w:r w:rsidRPr="007B5095">
        <w:rPr>
          <w:rFonts w:ascii="Times New Roman" w:hAnsi="Times New Roman"/>
          <w:szCs w:val="20"/>
          <w:lang w:val="uk-UA"/>
        </w:rPr>
        <w:t xml:space="preserve">2.1.4. Здійснювати облік прав Депонента на цінні папери, що обліковуються на </w:t>
      </w:r>
      <w:r w:rsidR="009C7784" w:rsidRPr="007B5095">
        <w:rPr>
          <w:rFonts w:ascii="Times New Roman" w:hAnsi="Times New Roman"/>
          <w:szCs w:val="20"/>
          <w:lang w:val="uk-UA"/>
        </w:rPr>
        <w:t xml:space="preserve">його </w:t>
      </w:r>
      <w:r w:rsidRPr="007B5095">
        <w:rPr>
          <w:rFonts w:ascii="Times New Roman" w:hAnsi="Times New Roman"/>
          <w:szCs w:val="20"/>
          <w:lang w:val="uk-UA"/>
        </w:rPr>
        <w:t xml:space="preserve">рахунку </w:t>
      </w:r>
      <w:r w:rsidR="00C22309" w:rsidRPr="007B5095">
        <w:rPr>
          <w:rFonts w:ascii="Times New Roman" w:hAnsi="Times New Roman"/>
          <w:szCs w:val="20"/>
          <w:lang w:val="uk-UA"/>
        </w:rPr>
        <w:t>в цін</w:t>
      </w:r>
      <w:r w:rsidRPr="007B5095">
        <w:rPr>
          <w:rFonts w:ascii="Times New Roman" w:hAnsi="Times New Roman"/>
          <w:szCs w:val="20"/>
          <w:lang w:val="uk-UA"/>
        </w:rPr>
        <w:t xml:space="preserve">них паперах, та обмеження таких прав, у тому числі відокремлений </w:t>
      </w:r>
      <w:r w:rsidRPr="007B5095">
        <w:rPr>
          <w:rFonts w:ascii="Times New Roman" w:hAnsi="Times New Roman"/>
          <w:bCs/>
          <w:szCs w:val="20"/>
          <w:lang w:val="uk-UA"/>
        </w:rPr>
        <w:t xml:space="preserve">облік прав на цінні папери, які зарезервовані для здійснення розрахунків за правочинами щодо цінних паперів з дотриманням принципу </w:t>
      </w:r>
      <w:r w:rsidR="00022F5F" w:rsidRPr="007B5095">
        <w:rPr>
          <w:rFonts w:ascii="Times New Roman" w:hAnsi="Times New Roman"/>
          <w:bCs/>
          <w:szCs w:val="20"/>
          <w:lang w:val="uk-UA"/>
        </w:rPr>
        <w:t>"</w:t>
      </w:r>
      <w:r w:rsidRPr="007B5095">
        <w:rPr>
          <w:rFonts w:ascii="Times New Roman" w:hAnsi="Times New Roman"/>
          <w:bCs/>
          <w:szCs w:val="20"/>
          <w:lang w:val="uk-UA"/>
        </w:rPr>
        <w:t>поставка цінних паперів проти оплати</w:t>
      </w:r>
      <w:r w:rsidR="00022F5F" w:rsidRPr="007B5095">
        <w:rPr>
          <w:rFonts w:ascii="Times New Roman" w:hAnsi="Times New Roman"/>
          <w:bCs/>
          <w:szCs w:val="20"/>
          <w:lang w:val="uk-UA"/>
        </w:rPr>
        <w:t>"</w:t>
      </w:r>
      <w:r w:rsidRPr="007B5095">
        <w:rPr>
          <w:rFonts w:ascii="Times New Roman" w:hAnsi="Times New Roman"/>
          <w:bCs/>
          <w:szCs w:val="20"/>
          <w:lang w:val="uk-UA"/>
        </w:rPr>
        <w:t>.</w:t>
      </w:r>
    </w:p>
    <w:p w14:paraId="5BF068D6" w14:textId="77777777" w:rsidR="00E10AE9" w:rsidRPr="007B5095" w:rsidRDefault="00E10AE9" w:rsidP="00E10AE9">
      <w:pPr>
        <w:tabs>
          <w:tab w:val="left" w:pos="851"/>
        </w:tabs>
        <w:ind w:firstLine="539"/>
        <w:rPr>
          <w:rFonts w:ascii="Times New Roman" w:hAnsi="Times New Roman"/>
          <w:szCs w:val="20"/>
          <w:lang w:val="uk-UA"/>
        </w:rPr>
      </w:pPr>
      <w:r w:rsidRPr="007B5095">
        <w:rPr>
          <w:rFonts w:ascii="Times New Roman" w:hAnsi="Times New Roman"/>
          <w:szCs w:val="20"/>
          <w:lang w:val="uk-UA"/>
        </w:rPr>
        <w:t xml:space="preserve">2.1.5. Здійснювати обслуговування </w:t>
      </w:r>
      <w:proofErr w:type="spellStart"/>
      <w:r w:rsidRPr="007B5095">
        <w:rPr>
          <w:rFonts w:ascii="Times New Roman" w:hAnsi="Times New Roman"/>
          <w:szCs w:val="20"/>
          <w:lang w:val="uk-UA"/>
        </w:rPr>
        <w:t>обіг</w:t>
      </w:r>
      <w:r w:rsidR="00C22309" w:rsidRPr="007B5095">
        <w:rPr>
          <w:rFonts w:ascii="Times New Roman" w:hAnsi="Times New Roman"/>
          <w:szCs w:val="20"/>
          <w:lang w:val="uk-UA"/>
        </w:rPr>
        <w:t>в</w:t>
      </w:r>
      <w:proofErr w:type="spellEnd"/>
      <w:r w:rsidR="00C22309" w:rsidRPr="007B5095">
        <w:rPr>
          <w:rFonts w:ascii="Times New Roman" w:hAnsi="Times New Roman"/>
          <w:szCs w:val="20"/>
          <w:lang w:val="uk-UA"/>
        </w:rPr>
        <w:t xml:space="preserve"> цін</w:t>
      </w:r>
      <w:r w:rsidRPr="007B5095">
        <w:rPr>
          <w:rFonts w:ascii="Times New Roman" w:hAnsi="Times New Roman"/>
          <w:szCs w:val="20"/>
          <w:lang w:val="uk-UA"/>
        </w:rPr>
        <w:t xml:space="preserve">них паперів на рахунку </w:t>
      </w:r>
      <w:r w:rsidR="00C22309" w:rsidRPr="007B5095">
        <w:rPr>
          <w:rFonts w:ascii="Times New Roman" w:hAnsi="Times New Roman"/>
          <w:szCs w:val="20"/>
          <w:lang w:val="uk-UA"/>
        </w:rPr>
        <w:t>в цін</w:t>
      </w:r>
      <w:r w:rsidRPr="007B5095">
        <w:rPr>
          <w:rFonts w:ascii="Times New Roman" w:hAnsi="Times New Roman"/>
          <w:szCs w:val="20"/>
          <w:lang w:val="uk-UA"/>
        </w:rPr>
        <w:t xml:space="preserve">них паперах Депонента шляхом проведення депозитарних операцій за рахунком </w:t>
      </w:r>
      <w:r w:rsidR="00C22309" w:rsidRPr="007B5095">
        <w:rPr>
          <w:rFonts w:ascii="Times New Roman" w:hAnsi="Times New Roman"/>
          <w:szCs w:val="20"/>
          <w:lang w:val="uk-UA"/>
        </w:rPr>
        <w:t>в цін</w:t>
      </w:r>
      <w:r w:rsidRPr="007B5095">
        <w:rPr>
          <w:rFonts w:ascii="Times New Roman" w:hAnsi="Times New Roman"/>
          <w:szCs w:val="20"/>
          <w:lang w:val="uk-UA"/>
        </w:rPr>
        <w:t>них паперах у порядку та строки, визначені законодавством та/або внутрішніми документами Депозитарної установи.</w:t>
      </w:r>
    </w:p>
    <w:p w14:paraId="30F2B59B" w14:textId="77777777" w:rsidR="00E10AE9" w:rsidRPr="007B5095" w:rsidRDefault="00502AEC" w:rsidP="00E10AE9">
      <w:pPr>
        <w:tabs>
          <w:tab w:val="left" w:pos="851"/>
        </w:tabs>
        <w:ind w:firstLine="539"/>
        <w:rPr>
          <w:rFonts w:ascii="Times New Roman" w:eastAsia="Arial" w:hAnsi="Times New Roman"/>
          <w:strike/>
          <w:szCs w:val="20"/>
          <w:lang w:val="uk-UA"/>
        </w:rPr>
      </w:pPr>
      <w:r w:rsidRPr="007B5095">
        <w:rPr>
          <w:rFonts w:ascii="Times New Roman" w:hAnsi="Times New Roman"/>
          <w:szCs w:val="20"/>
          <w:lang w:val="uk-UA"/>
        </w:rPr>
        <w:t xml:space="preserve">2.1.6. </w:t>
      </w:r>
      <w:r w:rsidR="00E10AE9" w:rsidRPr="007B5095">
        <w:rPr>
          <w:rFonts w:ascii="Times New Roman" w:eastAsia="Arial" w:hAnsi="Times New Roman"/>
          <w:szCs w:val="20"/>
          <w:lang w:val="uk-UA"/>
        </w:rPr>
        <w:t xml:space="preserve">Складати та видавати виписку з </w:t>
      </w:r>
      <w:r w:rsidR="007420B5" w:rsidRPr="007B5095">
        <w:rPr>
          <w:rFonts w:ascii="Times New Roman" w:eastAsia="Arial" w:hAnsi="Times New Roman"/>
          <w:szCs w:val="20"/>
          <w:lang w:val="uk-UA"/>
        </w:rPr>
        <w:t xml:space="preserve">рахунку </w:t>
      </w:r>
      <w:r w:rsidR="00E10AE9" w:rsidRPr="007B5095">
        <w:rPr>
          <w:rFonts w:ascii="Times New Roman" w:eastAsia="Arial" w:hAnsi="Times New Roman"/>
          <w:szCs w:val="20"/>
          <w:lang w:val="uk-UA"/>
        </w:rPr>
        <w:t xml:space="preserve">в цінних паперах Депонента та виписку про операції з цінними паперами </w:t>
      </w:r>
      <w:r w:rsidR="003E4A1E" w:rsidRPr="007B5095">
        <w:rPr>
          <w:rFonts w:ascii="Times New Roman" w:eastAsia="Arial" w:hAnsi="Times New Roman"/>
          <w:szCs w:val="20"/>
        </w:rPr>
        <w:t xml:space="preserve">на </w:t>
      </w:r>
      <w:proofErr w:type="spellStart"/>
      <w:r w:rsidR="003E4A1E" w:rsidRPr="007B5095">
        <w:rPr>
          <w:rFonts w:ascii="Times New Roman" w:eastAsia="Arial" w:hAnsi="Times New Roman"/>
          <w:szCs w:val="20"/>
        </w:rPr>
        <w:t>вимогу</w:t>
      </w:r>
      <w:proofErr w:type="spellEnd"/>
      <w:r w:rsidR="003E4A1E" w:rsidRPr="007B5095">
        <w:rPr>
          <w:rFonts w:ascii="Times New Roman" w:eastAsia="Arial" w:hAnsi="Times New Roman"/>
          <w:szCs w:val="20"/>
        </w:rPr>
        <w:t xml:space="preserve"> Депонента</w:t>
      </w:r>
      <w:r w:rsidR="00617681" w:rsidRPr="007B5095">
        <w:rPr>
          <w:rFonts w:ascii="Times New Roman" w:eastAsia="Arial" w:hAnsi="Times New Roman"/>
          <w:szCs w:val="20"/>
        </w:rPr>
        <w:t xml:space="preserve"> </w:t>
      </w:r>
      <w:r w:rsidR="00617681" w:rsidRPr="007B5095">
        <w:rPr>
          <w:rFonts w:ascii="Times New Roman" w:eastAsia="Arial" w:hAnsi="Times New Roman"/>
          <w:szCs w:val="20"/>
          <w:lang w:val="uk-UA"/>
        </w:rPr>
        <w:t xml:space="preserve">періодично - один раз на рік за відповідним розпорядженням Депонента </w:t>
      </w:r>
      <w:proofErr w:type="spellStart"/>
      <w:r w:rsidR="00617681" w:rsidRPr="007B5095">
        <w:rPr>
          <w:rFonts w:ascii="Times New Roman" w:eastAsia="Arial" w:hAnsi="Times New Roman"/>
          <w:szCs w:val="20"/>
          <w:lang w:val="uk-UA"/>
        </w:rPr>
        <w:t>Депонента</w:t>
      </w:r>
      <w:proofErr w:type="spellEnd"/>
      <w:r w:rsidR="00617681" w:rsidRPr="007B5095">
        <w:rPr>
          <w:rFonts w:ascii="Times New Roman" w:eastAsia="Arial" w:hAnsi="Times New Roman"/>
          <w:szCs w:val="20"/>
          <w:lang w:val="uk-UA"/>
        </w:rPr>
        <w:t xml:space="preserve"> </w:t>
      </w:r>
      <w:r w:rsidR="003E4A1E" w:rsidRPr="007B5095">
        <w:rPr>
          <w:rFonts w:ascii="Times New Roman" w:hAnsi="Times New Roman"/>
          <w:szCs w:val="20"/>
        </w:rPr>
        <w:t xml:space="preserve">не </w:t>
      </w:r>
      <w:proofErr w:type="spellStart"/>
      <w:r w:rsidR="003E4A1E" w:rsidRPr="007B5095">
        <w:rPr>
          <w:rFonts w:ascii="Times New Roman" w:hAnsi="Times New Roman"/>
          <w:szCs w:val="20"/>
        </w:rPr>
        <w:t>пізніше</w:t>
      </w:r>
      <w:proofErr w:type="spellEnd"/>
      <w:r w:rsidR="003E4A1E" w:rsidRPr="007B5095">
        <w:rPr>
          <w:rFonts w:ascii="Times New Roman" w:hAnsi="Times New Roman"/>
          <w:szCs w:val="20"/>
        </w:rPr>
        <w:t xml:space="preserve"> </w:t>
      </w:r>
      <w:proofErr w:type="spellStart"/>
      <w:r w:rsidR="003E4A1E" w:rsidRPr="007B5095">
        <w:rPr>
          <w:rFonts w:ascii="Times New Roman" w:hAnsi="Times New Roman"/>
          <w:szCs w:val="20"/>
        </w:rPr>
        <w:t>наступного</w:t>
      </w:r>
      <w:proofErr w:type="spellEnd"/>
      <w:r w:rsidR="003E4A1E" w:rsidRPr="007B5095">
        <w:rPr>
          <w:rFonts w:ascii="Times New Roman" w:hAnsi="Times New Roman"/>
          <w:szCs w:val="20"/>
        </w:rPr>
        <w:t xml:space="preserve"> </w:t>
      </w:r>
      <w:proofErr w:type="spellStart"/>
      <w:r w:rsidR="003E4A1E" w:rsidRPr="007B5095">
        <w:rPr>
          <w:rFonts w:ascii="Times New Roman" w:hAnsi="Times New Roman"/>
          <w:szCs w:val="20"/>
        </w:rPr>
        <w:t>робочого</w:t>
      </w:r>
      <w:proofErr w:type="spellEnd"/>
      <w:r w:rsidR="003E4A1E" w:rsidRPr="007B5095">
        <w:rPr>
          <w:rFonts w:ascii="Times New Roman" w:hAnsi="Times New Roman"/>
          <w:szCs w:val="20"/>
        </w:rPr>
        <w:t xml:space="preserve"> дня з </w:t>
      </w:r>
      <w:proofErr w:type="spellStart"/>
      <w:r w:rsidR="003E4A1E" w:rsidRPr="007B5095">
        <w:rPr>
          <w:rFonts w:ascii="Times New Roman" w:hAnsi="Times New Roman"/>
          <w:szCs w:val="20"/>
        </w:rPr>
        <w:t>дати</w:t>
      </w:r>
      <w:proofErr w:type="spellEnd"/>
      <w:r w:rsidR="003E4A1E" w:rsidRPr="007B5095">
        <w:rPr>
          <w:rFonts w:ascii="Times New Roman" w:hAnsi="Times New Roman"/>
          <w:szCs w:val="20"/>
        </w:rPr>
        <w:t xml:space="preserve"> </w:t>
      </w:r>
      <w:proofErr w:type="spellStart"/>
      <w:r w:rsidR="003E4A1E" w:rsidRPr="007B5095">
        <w:rPr>
          <w:rFonts w:ascii="Times New Roman" w:hAnsi="Times New Roman"/>
          <w:szCs w:val="20"/>
        </w:rPr>
        <w:t>отримання</w:t>
      </w:r>
      <w:proofErr w:type="spellEnd"/>
      <w:r w:rsidR="003E4A1E" w:rsidRPr="007B5095">
        <w:rPr>
          <w:rFonts w:ascii="Times New Roman" w:hAnsi="Times New Roman"/>
          <w:szCs w:val="20"/>
        </w:rPr>
        <w:t xml:space="preserve"> </w:t>
      </w:r>
      <w:proofErr w:type="spellStart"/>
      <w:r w:rsidR="003E4A1E" w:rsidRPr="007B5095">
        <w:rPr>
          <w:rFonts w:ascii="Times New Roman" w:hAnsi="Times New Roman"/>
          <w:szCs w:val="20"/>
        </w:rPr>
        <w:t>відповідного</w:t>
      </w:r>
      <w:proofErr w:type="spellEnd"/>
      <w:r w:rsidR="003E4A1E" w:rsidRPr="007B5095">
        <w:rPr>
          <w:rFonts w:ascii="Times New Roman" w:hAnsi="Times New Roman"/>
          <w:szCs w:val="20"/>
        </w:rPr>
        <w:t xml:space="preserve"> </w:t>
      </w:r>
      <w:proofErr w:type="spellStart"/>
      <w:r w:rsidR="003E4A1E" w:rsidRPr="007B5095">
        <w:rPr>
          <w:rFonts w:ascii="Times New Roman" w:hAnsi="Times New Roman"/>
          <w:szCs w:val="20"/>
        </w:rPr>
        <w:t>розпорядження</w:t>
      </w:r>
      <w:proofErr w:type="spellEnd"/>
      <w:r w:rsidR="003E4A1E" w:rsidRPr="007B5095">
        <w:rPr>
          <w:rFonts w:ascii="Times New Roman" w:hAnsi="Times New Roman"/>
          <w:szCs w:val="20"/>
        </w:rPr>
        <w:t xml:space="preserve"> у </w:t>
      </w:r>
      <w:proofErr w:type="spellStart"/>
      <w:r w:rsidR="003E4A1E" w:rsidRPr="007B5095">
        <w:rPr>
          <w:rFonts w:ascii="Times New Roman" w:hAnsi="Times New Roman"/>
          <w:szCs w:val="20"/>
        </w:rPr>
        <w:t>спосіб</w:t>
      </w:r>
      <w:proofErr w:type="spellEnd"/>
      <w:r w:rsidR="003E4A1E" w:rsidRPr="007B5095">
        <w:rPr>
          <w:rFonts w:ascii="Times New Roman" w:hAnsi="Times New Roman"/>
          <w:szCs w:val="20"/>
        </w:rPr>
        <w:t xml:space="preserve">, </w:t>
      </w:r>
      <w:proofErr w:type="spellStart"/>
      <w:r w:rsidR="003E4A1E" w:rsidRPr="007B5095">
        <w:rPr>
          <w:rFonts w:ascii="Times New Roman" w:hAnsi="Times New Roman"/>
          <w:szCs w:val="20"/>
        </w:rPr>
        <w:t>визначений</w:t>
      </w:r>
      <w:proofErr w:type="spellEnd"/>
      <w:r w:rsidR="003E4A1E" w:rsidRPr="007B5095">
        <w:rPr>
          <w:rFonts w:ascii="Times New Roman" w:hAnsi="Times New Roman"/>
          <w:szCs w:val="20"/>
        </w:rPr>
        <w:t xml:space="preserve"> у </w:t>
      </w:r>
      <w:proofErr w:type="spellStart"/>
      <w:r w:rsidR="003E4A1E" w:rsidRPr="007B5095">
        <w:rPr>
          <w:rFonts w:ascii="Times New Roman" w:hAnsi="Times New Roman"/>
          <w:szCs w:val="20"/>
        </w:rPr>
        <w:t>розпорядженні</w:t>
      </w:r>
      <w:proofErr w:type="spellEnd"/>
      <w:r w:rsidR="003E4A1E" w:rsidRPr="007B5095">
        <w:rPr>
          <w:rFonts w:ascii="Times New Roman" w:hAnsi="Times New Roman"/>
          <w:szCs w:val="20"/>
        </w:rPr>
        <w:t>.</w:t>
      </w:r>
    </w:p>
    <w:p w14:paraId="6A2DC94F" w14:textId="77777777" w:rsidR="00E00EC0" w:rsidRPr="007B5095" w:rsidRDefault="00E10AE9" w:rsidP="00E00EC0">
      <w:pPr>
        <w:pStyle w:val="23"/>
        <w:ind w:firstLine="539"/>
        <w:rPr>
          <w:rFonts w:ascii="Times New Roman" w:hAnsi="Times New Roman"/>
          <w:spacing w:val="-9"/>
        </w:rPr>
      </w:pPr>
      <w:r w:rsidRPr="007B5095">
        <w:rPr>
          <w:rFonts w:ascii="Times New Roman" w:hAnsi="Times New Roman"/>
        </w:rPr>
        <w:lastRenderedPageBreak/>
        <w:t xml:space="preserve">Виписка з рахунку </w:t>
      </w:r>
      <w:r w:rsidR="00C22309" w:rsidRPr="007B5095">
        <w:rPr>
          <w:rFonts w:ascii="Times New Roman" w:hAnsi="Times New Roman"/>
          <w:spacing w:val="-9"/>
          <w:shd w:val="clear" w:color="auto" w:fill="FFFFFF"/>
        </w:rPr>
        <w:t>в цін</w:t>
      </w:r>
      <w:r w:rsidRPr="007B5095">
        <w:rPr>
          <w:rFonts w:ascii="Times New Roman" w:hAnsi="Times New Roman"/>
          <w:spacing w:val="-9"/>
          <w:shd w:val="clear" w:color="auto" w:fill="FFFFFF"/>
        </w:rPr>
        <w:t xml:space="preserve">них паперах може надаватися </w:t>
      </w:r>
      <w:r w:rsidRPr="007B5095">
        <w:rPr>
          <w:rFonts w:ascii="Times New Roman" w:hAnsi="Times New Roman"/>
        </w:rPr>
        <w:t xml:space="preserve">Депоненту у вигляді </w:t>
      </w:r>
      <w:r w:rsidRPr="007B5095">
        <w:rPr>
          <w:rFonts w:ascii="Times New Roman" w:hAnsi="Times New Roman"/>
          <w:spacing w:val="-9"/>
        </w:rPr>
        <w:t xml:space="preserve">електронного документу з використанням </w:t>
      </w:r>
      <w:proofErr w:type="spellStart"/>
      <w:r w:rsidR="00AE01A8" w:rsidRPr="007B5095">
        <w:rPr>
          <w:rFonts w:ascii="Times New Roman" w:hAnsi="Times New Roman"/>
          <w:spacing w:val="-9"/>
          <w:lang w:val="ru-RU"/>
        </w:rPr>
        <w:t>кваліф</w:t>
      </w:r>
      <w:proofErr w:type="spellEnd"/>
      <w:r w:rsidR="00AE01A8" w:rsidRPr="007B5095">
        <w:rPr>
          <w:rFonts w:ascii="Times New Roman" w:hAnsi="Times New Roman"/>
          <w:spacing w:val="-9"/>
        </w:rPr>
        <w:t>і</w:t>
      </w:r>
      <w:r w:rsidR="00AE01A8" w:rsidRPr="007B5095">
        <w:rPr>
          <w:rFonts w:ascii="Times New Roman" w:hAnsi="Times New Roman"/>
          <w:spacing w:val="-9"/>
          <w:lang w:val="ru-RU"/>
        </w:rPr>
        <w:t xml:space="preserve">кованого </w:t>
      </w:r>
      <w:r w:rsidRPr="007B5095">
        <w:rPr>
          <w:rFonts w:ascii="Times New Roman" w:hAnsi="Times New Roman"/>
          <w:spacing w:val="-9"/>
        </w:rPr>
        <w:t>електронного підпису</w:t>
      </w:r>
      <w:r w:rsidR="00E00EC0" w:rsidRPr="007B5095">
        <w:rPr>
          <w:rFonts w:ascii="Times New Roman" w:hAnsi="Times New Roman"/>
          <w:spacing w:val="-9"/>
        </w:rPr>
        <w:t xml:space="preserve"> та </w:t>
      </w:r>
      <w:proofErr w:type="spellStart"/>
      <w:r w:rsidR="007420B5" w:rsidRPr="007B5095">
        <w:rPr>
          <w:rFonts w:ascii="Times New Roman" w:hAnsi="Times New Roman"/>
          <w:spacing w:val="-9"/>
          <w:lang w:val="ru-RU"/>
        </w:rPr>
        <w:t>кваліф</w:t>
      </w:r>
      <w:proofErr w:type="spellEnd"/>
      <w:r w:rsidR="007420B5" w:rsidRPr="007B5095">
        <w:rPr>
          <w:rFonts w:ascii="Times New Roman" w:hAnsi="Times New Roman"/>
          <w:spacing w:val="-9"/>
        </w:rPr>
        <w:t>і</w:t>
      </w:r>
      <w:r w:rsidR="007420B5" w:rsidRPr="007B5095">
        <w:rPr>
          <w:rFonts w:ascii="Times New Roman" w:hAnsi="Times New Roman"/>
          <w:spacing w:val="-9"/>
          <w:lang w:val="ru-RU"/>
        </w:rPr>
        <w:t>кованого</w:t>
      </w:r>
      <w:r w:rsidR="007420B5" w:rsidRPr="007B5095">
        <w:rPr>
          <w:rFonts w:ascii="Times New Roman" w:hAnsi="Times New Roman"/>
          <w:spacing w:val="-9"/>
        </w:rPr>
        <w:t xml:space="preserve"> </w:t>
      </w:r>
      <w:proofErr w:type="spellStart"/>
      <w:r w:rsidR="00234C6E" w:rsidRPr="007B5095">
        <w:rPr>
          <w:rFonts w:ascii="Times New Roman" w:hAnsi="Times New Roman"/>
          <w:spacing w:val="-9"/>
        </w:rPr>
        <w:t>електронн</w:t>
      </w:r>
      <w:proofErr w:type="spellEnd"/>
      <w:r w:rsidR="00234C6E" w:rsidRPr="007B5095">
        <w:rPr>
          <w:rFonts w:ascii="Times New Roman" w:hAnsi="Times New Roman"/>
          <w:spacing w:val="-9"/>
          <w:lang w:val="ru-RU"/>
        </w:rPr>
        <w:t>ого</w:t>
      </w:r>
      <w:r w:rsidR="00234C6E" w:rsidRPr="007B5095">
        <w:rPr>
          <w:rFonts w:ascii="Times New Roman" w:hAnsi="Times New Roman"/>
          <w:spacing w:val="-9"/>
        </w:rPr>
        <w:t xml:space="preserve"> </w:t>
      </w:r>
      <w:r w:rsidR="00E00EC0" w:rsidRPr="007B5095">
        <w:rPr>
          <w:rFonts w:ascii="Times New Roman" w:hAnsi="Times New Roman"/>
          <w:spacing w:val="-9"/>
        </w:rPr>
        <w:t>підпис</w:t>
      </w:r>
      <w:r w:rsidR="007420B5" w:rsidRPr="007B5095">
        <w:rPr>
          <w:rFonts w:ascii="Times New Roman" w:hAnsi="Times New Roman"/>
          <w:spacing w:val="-9"/>
        </w:rPr>
        <w:t>у</w:t>
      </w:r>
      <w:r w:rsidR="00E00EC0" w:rsidRPr="007B5095">
        <w:rPr>
          <w:rFonts w:ascii="Times New Roman" w:hAnsi="Times New Roman"/>
          <w:spacing w:val="-9"/>
        </w:rPr>
        <w:t>, що за правовим статусом прирівнюється до печатки юридичної особи</w:t>
      </w:r>
      <w:r w:rsidR="007420B5" w:rsidRPr="007B5095">
        <w:rPr>
          <w:rFonts w:ascii="Times New Roman" w:hAnsi="Times New Roman"/>
          <w:spacing w:val="-9"/>
        </w:rPr>
        <w:t xml:space="preserve"> (у разі використання)</w:t>
      </w:r>
      <w:r w:rsidR="00E00EC0" w:rsidRPr="007B5095">
        <w:rPr>
          <w:rFonts w:ascii="Times New Roman" w:hAnsi="Times New Roman"/>
          <w:spacing w:val="-9"/>
        </w:rPr>
        <w:t>.</w:t>
      </w:r>
    </w:p>
    <w:p w14:paraId="7990B8E8" w14:textId="77777777" w:rsidR="00E10AE9" w:rsidRPr="007B5095" w:rsidRDefault="00E10AE9" w:rsidP="00E10AE9">
      <w:pPr>
        <w:tabs>
          <w:tab w:val="left" w:pos="867"/>
        </w:tabs>
        <w:snapToGrid w:val="0"/>
        <w:ind w:left="16" w:firstLine="543"/>
        <w:rPr>
          <w:rFonts w:ascii="Times New Roman" w:eastAsia="Arial" w:hAnsi="Times New Roman"/>
          <w:spacing w:val="-9"/>
          <w:szCs w:val="20"/>
          <w:lang w:val="uk-UA"/>
        </w:rPr>
      </w:pPr>
      <w:r w:rsidRPr="007B5095">
        <w:rPr>
          <w:rFonts w:ascii="Times New Roman" w:eastAsia="Arial" w:hAnsi="Times New Roman"/>
          <w:spacing w:val="-9"/>
          <w:szCs w:val="20"/>
          <w:lang w:val="uk-UA"/>
        </w:rPr>
        <w:t xml:space="preserve">У якості звіту надавати Депоненту виписку з </w:t>
      </w:r>
      <w:r w:rsidR="007420B5" w:rsidRPr="007B5095">
        <w:rPr>
          <w:rFonts w:ascii="Times New Roman" w:eastAsia="Arial" w:hAnsi="Times New Roman"/>
          <w:spacing w:val="-9"/>
          <w:szCs w:val="20"/>
          <w:lang w:val="uk-UA"/>
        </w:rPr>
        <w:t xml:space="preserve">рахунку </w:t>
      </w:r>
      <w:r w:rsidRPr="007B5095">
        <w:rPr>
          <w:rFonts w:ascii="Times New Roman" w:eastAsia="Arial" w:hAnsi="Times New Roman"/>
          <w:spacing w:val="-9"/>
          <w:szCs w:val="20"/>
          <w:lang w:val="uk-UA"/>
        </w:rPr>
        <w:t xml:space="preserve">в цінних паперах або виписку про операції з цінними паперами після здійснення хоча б однієї облікової операції </w:t>
      </w:r>
      <w:r w:rsidRPr="007B5095">
        <w:rPr>
          <w:rFonts w:ascii="Times New Roman" w:eastAsia="Arial" w:hAnsi="Times New Roman"/>
          <w:i/>
          <w:iCs/>
          <w:spacing w:val="-9"/>
          <w:szCs w:val="20"/>
          <w:lang w:val="uk-UA"/>
        </w:rPr>
        <w:t>не пізніше трьох</w:t>
      </w:r>
      <w:r w:rsidRPr="007B5095">
        <w:rPr>
          <w:rFonts w:ascii="Times New Roman" w:eastAsia="Arial" w:hAnsi="Times New Roman"/>
          <w:spacing w:val="-9"/>
          <w:szCs w:val="20"/>
          <w:lang w:val="uk-UA"/>
        </w:rPr>
        <w:t xml:space="preserve"> </w:t>
      </w:r>
      <w:r w:rsidRPr="007B5095">
        <w:rPr>
          <w:rFonts w:ascii="Times New Roman" w:eastAsia="Arial" w:hAnsi="Times New Roman"/>
          <w:i/>
          <w:spacing w:val="-9"/>
          <w:szCs w:val="20"/>
          <w:lang w:val="uk-UA"/>
        </w:rPr>
        <w:t>робочих</w:t>
      </w:r>
      <w:r w:rsidRPr="007B5095">
        <w:rPr>
          <w:rFonts w:ascii="Times New Roman" w:eastAsia="Arial" w:hAnsi="Times New Roman"/>
          <w:spacing w:val="-9"/>
          <w:szCs w:val="20"/>
          <w:lang w:val="uk-UA"/>
        </w:rPr>
        <w:t xml:space="preserve"> днів з дня здійснення такої операції.</w:t>
      </w:r>
    </w:p>
    <w:p w14:paraId="40129AFC" w14:textId="77777777" w:rsidR="00E10AE9" w:rsidRPr="007B5095" w:rsidRDefault="00502AEC" w:rsidP="00E10AE9">
      <w:pPr>
        <w:tabs>
          <w:tab w:val="left" w:pos="851"/>
        </w:tabs>
        <w:ind w:firstLine="539"/>
        <w:rPr>
          <w:rFonts w:ascii="Times New Roman" w:hAnsi="Times New Roman"/>
          <w:szCs w:val="20"/>
          <w:lang w:val="uk-UA"/>
        </w:rPr>
      </w:pPr>
      <w:r w:rsidRPr="007B5095">
        <w:rPr>
          <w:rFonts w:ascii="Times New Roman" w:hAnsi="Times New Roman"/>
          <w:szCs w:val="20"/>
          <w:lang w:val="uk-UA"/>
        </w:rPr>
        <w:t xml:space="preserve">2.1.7. </w:t>
      </w:r>
      <w:r w:rsidR="00E10AE9" w:rsidRPr="007B5095">
        <w:rPr>
          <w:rFonts w:ascii="Times New Roman" w:hAnsi="Times New Roman"/>
          <w:szCs w:val="20"/>
          <w:lang w:val="uk-UA"/>
        </w:rPr>
        <w:t>Надавати Депоненту інформаційні довідки про незавершені операції з цінними паперами за рахунком в цінних паперах Депонента</w:t>
      </w:r>
      <w:r w:rsidR="00D07974" w:rsidRPr="007B5095">
        <w:rPr>
          <w:rFonts w:ascii="Times New Roman" w:hAnsi="Times New Roman"/>
          <w:szCs w:val="20"/>
          <w:lang w:val="uk-UA"/>
        </w:rPr>
        <w:t>, інші інформаційні довідки згідно вимог законод</w:t>
      </w:r>
      <w:r w:rsidR="00DD70C9" w:rsidRPr="007B5095">
        <w:rPr>
          <w:rFonts w:ascii="Times New Roman" w:hAnsi="Times New Roman"/>
          <w:szCs w:val="20"/>
          <w:lang w:val="uk-UA"/>
        </w:rPr>
        <w:t>авства та внутрішніх до</w:t>
      </w:r>
      <w:r w:rsidR="00D07974" w:rsidRPr="007B5095">
        <w:rPr>
          <w:rFonts w:ascii="Times New Roman" w:hAnsi="Times New Roman"/>
          <w:szCs w:val="20"/>
          <w:lang w:val="uk-UA"/>
        </w:rPr>
        <w:t>к</w:t>
      </w:r>
      <w:r w:rsidR="00DD70C9" w:rsidRPr="007B5095">
        <w:rPr>
          <w:rFonts w:ascii="Times New Roman" w:hAnsi="Times New Roman"/>
          <w:szCs w:val="20"/>
          <w:lang w:val="uk-UA"/>
        </w:rPr>
        <w:t>у</w:t>
      </w:r>
      <w:r w:rsidR="00D07974" w:rsidRPr="007B5095">
        <w:rPr>
          <w:rFonts w:ascii="Times New Roman" w:hAnsi="Times New Roman"/>
          <w:szCs w:val="20"/>
          <w:lang w:val="uk-UA"/>
        </w:rPr>
        <w:t>ментів Депозитарної установи,</w:t>
      </w:r>
      <w:r w:rsidR="00E10AE9" w:rsidRPr="007B5095">
        <w:rPr>
          <w:rFonts w:ascii="Times New Roman" w:hAnsi="Times New Roman"/>
          <w:szCs w:val="20"/>
          <w:lang w:val="uk-UA"/>
        </w:rPr>
        <w:t xml:space="preserve"> на запит Депонента не пізніше </w:t>
      </w:r>
      <w:r w:rsidR="00E10AE9" w:rsidRPr="007B5095">
        <w:rPr>
          <w:rFonts w:ascii="Times New Roman" w:hAnsi="Times New Roman"/>
          <w:i/>
          <w:szCs w:val="20"/>
          <w:lang w:val="uk-UA"/>
        </w:rPr>
        <w:t xml:space="preserve">трьох </w:t>
      </w:r>
      <w:r w:rsidR="00E10AE9" w:rsidRPr="007B5095">
        <w:rPr>
          <w:rFonts w:ascii="Times New Roman" w:hAnsi="Times New Roman"/>
          <w:szCs w:val="20"/>
          <w:lang w:val="uk-UA"/>
        </w:rPr>
        <w:t xml:space="preserve">робочих днів з дня отримання </w:t>
      </w:r>
      <w:r w:rsidR="00D07974" w:rsidRPr="007B5095">
        <w:rPr>
          <w:rFonts w:ascii="Times New Roman" w:hAnsi="Times New Roman"/>
          <w:szCs w:val="20"/>
          <w:lang w:val="uk-UA"/>
        </w:rPr>
        <w:t xml:space="preserve">відповідного </w:t>
      </w:r>
      <w:r w:rsidR="00E10AE9" w:rsidRPr="007B5095">
        <w:rPr>
          <w:rFonts w:ascii="Times New Roman" w:hAnsi="Times New Roman"/>
          <w:szCs w:val="20"/>
          <w:lang w:val="uk-UA"/>
        </w:rPr>
        <w:t>запиту</w:t>
      </w:r>
      <w:r w:rsidR="00D07974" w:rsidRPr="007B5095">
        <w:rPr>
          <w:rFonts w:ascii="Times New Roman" w:hAnsi="Times New Roman"/>
          <w:szCs w:val="20"/>
          <w:lang w:val="uk-UA"/>
        </w:rPr>
        <w:t xml:space="preserve"> (розпорядження)</w:t>
      </w:r>
      <w:r w:rsidR="00E10AE9" w:rsidRPr="007B5095">
        <w:rPr>
          <w:rFonts w:ascii="Times New Roman" w:hAnsi="Times New Roman"/>
          <w:szCs w:val="20"/>
          <w:lang w:val="uk-UA"/>
        </w:rPr>
        <w:t xml:space="preserve">. </w:t>
      </w:r>
      <w:r w:rsidR="00E10AE9" w:rsidRPr="007B5095">
        <w:rPr>
          <w:rFonts w:ascii="Times New Roman" w:hAnsi="Times New Roman"/>
          <w:spacing w:val="-9"/>
          <w:szCs w:val="20"/>
          <w:lang w:val="uk-UA"/>
        </w:rPr>
        <w:t>Інформаційна довідка надається Депоненту у спосіб</w:t>
      </w:r>
      <w:r w:rsidR="00E10AE9" w:rsidRPr="007B5095">
        <w:rPr>
          <w:rFonts w:ascii="Times New Roman" w:hAnsi="Times New Roman"/>
          <w:szCs w:val="20"/>
          <w:lang w:val="uk-UA"/>
        </w:rPr>
        <w:t xml:space="preserve">, визначений у запиті </w:t>
      </w:r>
      <w:r w:rsidR="00D07974" w:rsidRPr="007B5095">
        <w:rPr>
          <w:rFonts w:ascii="Times New Roman" w:hAnsi="Times New Roman"/>
          <w:szCs w:val="20"/>
          <w:lang w:val="uk-UA"/>
        </w:rPr>
        <w:t xml:space="preserve">(розпорядженні) </w:t>
      </w:r>
      <w:r w:rsidR="00E10AE9" w:rsidRPr="007B5095">
        <w:rPr>
          <w:rFonts w:ascii="Times New Roman" w:hAnsi="Times New Roman"/>
          <w:szCs w:val="20"/>
          <w:lang w:val="uk-UA"/>
        </w:rPr>
        <w:t xml:space="preserve">про надання відповідної інформаційної довідки. </w:t>
      </w:r>
    </w:p>
    <w:p w14:paraId="24D09562" w14:textId="77777777" w:rsidR="00E10AE9" w:rsidRPr="007B5095" w:rsidRDefault="00E10AE9" w:rsidP="00E10AE9">
      <w:pPr>
        <w:tabs>
          <w:tab w:val="left" w:pos="540"/>
          <w:tab w:val="left" w:pos="851"/>
        </w:tabs>
        <w:ind w:firstLine="539"/>
        <w:rPr>
          <w:rFonts w:ascii="Times New Roman" w:hAnsi="Times New Roman"/>
          <w:szCs w:val="20"/>
          <w:lang w:val="uk-UA"/>
        </w:rPr>
      </w:pPr>
      <w:r w:rsidRPr="007B5095">
        <w:rPr>
          <w:rFonts w:ascii="Times New Roman" w:hAnsi="Times New Roman"/>
          <w:szCs w:val="20"/>
          <w:lang w:val="uk-UA"/>
        </w:rPr>
        <w:t xml:space="preserve">2.1.8. Повідомляти Депонента про проведення коригувальної операції у разі виявлення технічної помилки, допущеної при виконанні депозитарної операції, протягом </w:t>
      </w:r>
      <w:r w:rsidRPr="007B5095">
        <w:rPr>
          <w:rFonts w:ascii="Times New Roman" w:hAnsi="Times New Roman"/>
          <w:i/>
          <w:iCs/>
          <w:szCs w:val="20"/>
          <w:lang w:val="uk-UA"/>
        </w:rPr>
        <w:t xml:space="preserve">трьох </w:t>
      </w:r>
      <w:r w:rsidRPr="007B5095">
        <w:rPr>
          <w:rFonts w:ascii="Times New Roman" w:hAnsi="Times New Roman"/>
          <w:szCs w:val="20"/>
          <w:lang w:val="uk-UA"/>
        </w:rPr>
        <w:t>робочих днів з дня проведення коригувальної операції шляхом направлення листа із відповідним повідомленням в адресу Депонента, визначену в анкеті рахунку в цінних паперах Депонента.</w:t>
      </w:r>
    </w:p>
    <w:p w14:paraId="70FF904A" w14:textId="77777777" w:rsidR="00E10AE9" w:rsidRPr="007B5095" w:rsidRDefault="00E10AE9" w:rsidP="00E10AE9">
      <w:pPr>
        <w:tabs>
          <w:tab w:val="left" w:pos="851"/>
        </w:tabs>
        <w:ind w:firstLine="539"/>
        <w:rPr>
          <w:rFonts w:ascii="Times New Roman" w:hAnsi="Times New Roman"/>
          <w:szCs w:val="20"/>
          <w:lang w:val="uk-UA"/>
        </w:rPr>
      </w:pPr>
      <w:r w:rsidRPr="007B5095">
        <w:rPr>
          <w:rFonts w:ascii="Times New Roman" w:hAnsi="Times New Roman"/>
          <w:szCs w:val="20"/>
          <w:lang w:val="uk-UA"/>
        </w:rPr>
        <w:t xml:space="preserve">2.1.9. Не виконувати дії та не надавати інформацію щодо цінних паперів, що належать Депоненту, або інформацію щодо Депонента без відповідних розпоряджень Депонента або керуючого рахунком </w:t>
      </w:r>
      <w:r w:rsidR="00C22309" w:rsidRPr="007B5095">
        <w:rPr>
          <w:rFonts w:ascii="Times New Roman" w:hAnsi="Times New Roman"/>
          <w:szCs w:val="20"/>
          <w:lang w:val="uk-UA"/>
        </w:rPr>
        <w:t>в цін</w:t>
      </w:r>
      <w:r w:rsidRPr="007B5095">
        <w:rPr>
          <w:rFonts w:ascii="Times New Roman" w:hAnsi="Times New Roman"/>
          <w:szCs w:val="20"/>
          <w:lang w:val="uk-UA"/>
        </w:rPr>
        <w:t>них паперах Депонента, крім випадків, передбачених законодавством та Договором.</w:t>
      </w:r>
    </w:p>
    <w:p w14:paraId="174F4FDC" w14:textId="77777777" w:rsidR="00E10AE9" w:rsidRPr="007B5095" w:rsidRDefault="00E10AE9" w:rsidP="00022F5F">
      <w:pPr>
        <w:tabs>
          <w:tab w:val="left" w:pos="851"/>
        </w:tabs>
        <w:ind w:firstLine="539"/>
        <w:jc w:val="left"/>
        <w:rPr>
          <w:rFonts w:ascii="Times New Roman" w:hAnsi="Times New Roman"/>
          <w:bCs/>
          <w:szCs w:val="20"/>
          <w:lang w:val="uk-UA"/>
        </w:rPr>
      </w:pPr>
      <w:r w:rsidRPr="007B5095">
        <w:rPr>
          <w:rFonts w:ascii="Times New Roman" w:hAnsi="Times New Roman"/>
          <w:bCs/>
          <w:szCs w:val="20"/>
          <w:lang w:val="uk-UA"/>
        </w:rPr>
        <w:t>2.1.10. Надавати Центральному депозитарію</w:t>
      </w:r>
      <w:r w:rsidR="00D746E1" w:rsidRPr="007B5095">
        <w:rPr>
          <w:rFonts w:ascii="Times New Roman" w:hAnsi="Times New Roman"/>
          <w:bCs/>
          <w:szCs w:val="20"/>
          <w:lang w:val="uk-UA"/>
        </w:rPr>
        <w:t xml:space="preserve"> цінних паперів (далі – Центральний депозитарій)</w:t>
      </w:r>
      <w:r w:rsidRPr="007B5095">
        <w:rPr>
          <w:rFonts w:ascii="Times New Roman" w:hAnsi="Times New Roman"/>
          <w:bCs/>
          <w:szCs w:val="20"/>
          <w:lang w:val="uk-UA"/>
        </w:rPr>
        <w:t xml:space="preserve"> інформацію щодо Депонента, торговця цінними паперами, якому Депонентом надані повноваження на вчинення правочинів щодо цінних паперів в інтересах Депонента та цінних паперів, що належать Депоненту, яка необхідна для здійснення розрахунків за правочинами щодо цінних паперів з дотриманням принципу </w:t>
      </w:r>
      <w:r w:rsidR="00022F5F" w:rsidRPr="007B5095">
        <w:rPr>
          <w:rFonts w:ascii="Times New Roman" w:hAnsi="Times New Roman"/>
          <w:bCs/>
          <w:szCs w:val="20"/>
          <w:lang w:val="uk-UA"/>
        </w:rPr>
        <w:t>"</w:t>
      </w:r>
      <w:r w:rsidRPr="007B5095">
        <w:rPr>
          <w:rFonts w:ascii="Times New Roman" w:hAnsi="Times New Roman"/>
          <w:bCs/>
          <w:szCs w:val="20"/>
          <w:lang w:val="uk-UA"/>
        </w:rPr>
        <w:t>поставка цінних паперів проти оплати</w:t>
      </w:r>
      <w:r w:rsidR="00022F5F" w:rsidRPr="007B5095">
        <w:rPr>
          <w:rFonts w:ascii="Times New Roman" w:hAnsi="Times New Roman"/>
          <w:bCs/>
          <w:szCs w:val="20"/>
          <w:lang w:val="uk-UA"/>
        </w:rPr>
        <w:t>"</w:t>
      </w:r>
      <w:r w:rsidRPr="007B5095">
        <w:rPr>
          <w:rFonts w:ascii="Times New Roman" w:hAnsi="Times New Roman"/>
          <w:bCs/>
          <w:szCs w:val="20"/>
          <w:lang w:val="uk-UA"/>
        </w:rPr>
        <w:t>, з метою подальшого надання такої інформації Розрахунковому центру з обслуговування договорів на фінансових ринках (далі – Розрахунковий центр) чи кліринговій установі для її відображення у внутрішній системі обліку такої особи.</w:t>
      </w:r>
    </w:p>
    <w:p w14:paraId="58B770D4" w14:textId="77777777" w:rsidR="00E10AE9" w:rsidRPr="007B5095" w:rsidRDefault="00E10AE9" w:rsidP="00E10AE9">
      <w:pPr>
        <w:tabs>
          <w:tab w:val="left" w:pos="851"/>
        </w:tabs>
        <w:ind w:firstLine="539"/>
        <w:rPr>
          <w:rFonts w:ascii="Times New Roman" w:hAnsi="Times New Roman"/>
          <w:strike/>
          <w:szCs w:val="20"/>
          <w:lang w:val="uk-UA"/>
        </w:rPr>
      </w:pPr>
      <w:r w:rsidRPr="007B5095">
        <w:rPr>
          <w:rFonts w:ascii="Times New Roman" w:hAnsi="Times New Roman"/>
          <w:szCs w:val="20"/>
          <w:lang w:val="uk-UA"/>
        </w:rPr>
        <w:t>2.1.</w:t>
      </w:r>
      <w:r w:rsidR="00C8346D" w:rsidRPr="007B5095">
        <w:rPr>
          <w:rFonts w:ascii="Times New Roman" w:hAnsi="Times New Roman"/>
          <w:szCs w:val="20"/>
          <w:lang w:val="uk-UA"/>
        </w:rPr>
        <w:t>11</w:t>
      </w:r>
      <w:r w:rsidRPr="007B5095">
        <w:rPr>
          <w:rFonts w:ascii="Times New Roman" w:hAnsi="Times New Roman"/>
          <w:szCs w:val="20"/>
          <w:lang w:val="uk-UA"/>
        </w:rPr>
        <w:t xml:space="preserve">. Виконувати за рахунком </w:t>
      </w:r>
      <w:r w:rsidR="00C22309" w:rsidRPr="007B5095">
        <w:rPr>
          <w:rFonts w:ascii="Times New Roman" w:hAnsi="Times New Roman"/>
          <w:szCs w:val="20"/>
          <w:lang w:val="uk-UA"/>
        </w:rPr>
        <w:t>в цін</w:t>
      </w:r>
      <w:r w:rsidRPr="007B5095">
        <w:rPr>
          <w:rFonts w:ascii="Times New Roman" w:hAnsi="Times New Roman"/>
          <w:szCs w:val="20"/>
          <w:lang w:val="uk-UA"/>
        </w:rPr>
        <w:t xml:space="preserve">них паперах Депонента, що був узятий на облік Розрахунковим центром чи кліринговою установою, адміністративні операції, </w:t>
      </w:r>
      <w:proofErr w:type="spellStart"/>
      <w:r w:rsidRPr="007B5095">
        <w:rPr>
          <w:rFonts w:ascii="Times New Roman" w:hAnsi="Times New Roman"/>
          <w:szCs w:val="20"/>
        </w:rPr>
        <w:t>які</w:t>
      </w:r>
      <w:proofErr w:type="spellEnd"/>
      <w:r w:rsidRPr="007B5095">
        <w:rPr>
          <w:rFonts w:ascii="Times New Roman" w:hAnsi="Times New Roman"/>
          <w:szCs w:val="20"/>
        </w:rPr>
        <w:t xml:space="preserve"> </w:t>
      </w:r>
      <w:proofErr w:type="spellStart"/>
      <w:r w:rsidRPr="007B5095">
        <w:rPr>
          <w:rFonts w:ascii="Times New Roman" w:hAnsi="Times New Roman"/>
          <w:szCs w:val="20"/>
        </w:rPr>
        <w:t>визначені</w:t>
      </w:r>
      <w:proofErr w:type="spellEnd"/>
      <w:r w:rsidRPr="007B5095">
        <w:rPr>
          <w:rFonts w:ascii="Times New Roman" w:hAnsi="Times New Roman"/>
          <w:szCs w:val="20"/>
        </w:rPr>
        <w:t xml:space="preserve"> Регламентом Центрального </w:t>
      </w:r>
      <w:proofErr w:type="spellStart"/>
      <w:r w:rsidRPr="007B5095">
        <w:rPr>
          <w:rFonts w:ascii="Times New Roman" w:hAnsi="Times New Roman"/>
          <w:szCs w:val="20"/>
        </w:rPr>
        <w:t>депозитарію</w:t>
      </w:r>
      <w:proofErr w:type="spellEnd"/>
      <w:r w:rsidRPr="007B5095">
        <w:rPr>
          <w:rFonts w:ascii="Times New Roman" w:hAnsi="Times New Roman"/>
          <w:szCs w:val="20"/>
        </w:rPr>
        <w:t xml:space="preserve"> як </w:t>
      </w:r>
      <w:proofErr w:type="spellStart"/>
      <w:r w:rsidRPr="007B5095">
        <w:rPr>
          <w:rFonts w:ascii="Times New Roman" w:hAnsi="Times New Roman"/>
          <w:szCs w:val="20"/>
        </w:rPr>
        <w:t>такі</w:t>
      </w:r>
      <w:proofErr w:type="spellEnd"/>
      <w:r w:rsidRPr="007B5095">
        <w:rPr>
          <w:rFonts w:ascii="Times New Roman" w:hAnsi="Times New Roman"/>
          <w:szCs w:val="20"/>
        </w:rPr>
        <w:t xml:space="preserve">, </w:t>
      </w:r>
      <w:proofErr w:type="spellStart"/>
      <w:r w:rsidRPr="007B5095">
        <w:rPr>
          <w:rFonts w:ascii="Times New Roman" w:hAnsi="Times New Roman"/>
          <w:szCs w:val="20"/>
        </w:rPr>
        <w:t>що</w:t>
      </w:r>
      <w:proofErr w:type="spellEnd"/>
      <w:r w:rsidRPr="007B5095">
        <w:rPr>
          <w:rFonts w:ascii="Times New Roman" w:hAnsi="Times New Roman"/>
          <w:szCs w:val="20"/>
        </w:rPr>
        <w:t xml:space="preserve"> </w:t>
      </w:r>
      <w:proofErr w:type="spellStart"/>
      <w:r w:rsidRPr="007B5095">
        <w:rPr>
          <w:rFonts w:ascii="Times New Roman" w:hAnsi="Times New Roman"/>
          <w:szCs w:val="20"/>
        </w:rPr>
        <w:t>можуть</w:t>
      </w:r>
      <w:proofErr w:type="spellEnd"/>
      <w:r w:rsidRPr="007B5095">
        <w:rPr>
          <w:rFonts w:ascii="Times New Roman" w:hAnsi="Times New Roman"/>
          <w:szCs w:val="20"/>
        </w:rPr>
        <w:t xml:space="preserve"> </w:t>
      </w:r>
      <w:proofErr w:type="spellStart"/>
      <w:r w:rsidRPr="007B5095">
        <w:rPr>
          <w:rFonts w:ascii="Times New Roman" w:hAnsi="Times New Roman"/>
          <w:szCs w:val="20"/>
        </w:rPr>
        <w:t>призвести</w:t>
      </w:r>
      <w:proofErr w:type="spellEnd"/>
      <w:r w:rsidRPr="007B5095">
        <w:rPr>
          <w:rFonts w:ascii="Times New Roman" w:hAnsi="Times New Roman"/>
          <w:szCs w:val="20"/>
        </w:rPr>
        <w:t xml:space="preserve"> до </w:t>
      </w:r>
      <w:proofErr w:type="spellStart"/>
      <w:r w:rsidRPr="007B5095">
        <w:rPr>
          <w:rFonts w:ascii="Times New Roman" w:hAnsi="Times New Roman"/>
          <w:szCs w:val="20"/>
        </w:rPr>
        <w:t>неможливості</w:t>
      </w:r>
      <w:proofErr w:type="spellEnd"/>
      <w:r w:rsidRPr="007B5095">
        <w:rPr>
          <w:rFonts w:ascii="Times New Roman" w:hAnsi="Times New Roman"/>
          <w:szCs w:val="20"/>
        </w:rPr>
        <w:t xml:space="preserve"> </w:t>
      </w:r>
      <w:proofErr w:type="spellStart"/>
      <w:r w:rsidRPr="007B5095">
        <w:rPr>
          <w:rFonts w:ascii="Times New Roman" w:hAnsi="Times New Roman"/>
          <w:szCs w:val="20"/>
        </w:rPr>
        <w:t>здійснення</w:t>
      </w:r>
      <w:proofErr w:type="spellEnd"/>
      <w:r w:rsidRPr="007B5095">
        <w:rPr>
          <w:rFonts w:ascii="Times New Roman" w:hAnsi="Times New Roman"/>
          <w:szCs w:val="20"/>
        </w:rPr>
        <w:t xml:space="preserve"> </w:t>
      </w:r>
      <w:proofErr w:type="spellStart"/>
      <w:r w:rsidRPr="007B5095">
        <w:rPr>
          <w:rFonts w:ascii="Times New Roman" w:hAnsi="Times New Roman"/>
          <w:szCs w:val="20"/>
        </w:rPr>
        <w:t>розрахунків</w:t>
      </w:r>
      <w:proofErr w:type="spellEnd"/>
      <w:r w:rsidRPr="007B5095">
        <w:rPr>
          <w:rFonts w:ascii="Times New Roman" w:hAnsi="Times New Roman"/>
          <w:szCs w:val="20"/>
        </w:rPr>
        <w:t xml:space="preserve"> </w:t>
      </w:r>
      <w:r w:rsidR="00C22309" w:rsidRPr="007B5095">
        <w:rPr>
          <w:rFonts w:ascii="Times New Roman" w:hAnsi="Times New Roman"/>
          <w:szCs w:val="20"/>
        </w:rPr>
        <w:t xml:space="preserve">в </w:t>
      </w:r>
      <w:proofErr w:type="spellStart"/>
      <w:r w:rsidR="00C22309" w:rsidRPr="007B5095">
        <w:rPr>
          <w:rFonts w:ascii="Times New Roman" w:hAnsi="Times New Roman"/>
          <w:szCs w:val="20"/>
        </w:rPr>
        <w:t>цін</w:t>
      </w:r>
      <w:r w:rsidRPr="007B5095">
        <w:rPr>
          <w:rFonts w:ascii="Times New Roman" w:hAnsi="Times New Roman"/>
          <w:szCs w:val="20"/>
        </w:rPr>
        <w:t>них</w:t>
      </w:r>
      <w:proofErr w:type="spellEnd"/>
      <w:r w:rsidRPr="007B5095">
        <w:rPr>
          <w:rFonts w:ascii="Times New Roman" w:hAnsi="Times New Roman"/>
          <w:szCs w:val="20"/>
        </w:rPr>
        <w:t xml:space="preserve"> </w:t>
      </w:r>
      <w:proofErr w:type="spellStart"/>
      <w:r w:rsidRPr="007B5095">
        <w:rPr>
          <w:rFonts w:ascii="Times New Roman" w:hAnsi="Times New Roman"/>
          <w:szCs w:val="20"/>
        </w:rPr>
        <w:t>паперах</w:t>
      </w:r>
      <w:proofErr w:type="spellEnd"/>
      <w:r w:rsidRPr="007B5095">
        <w:rPr>
          <w:rFonts w:ascii="Times New Roman" w:hAnsi="Times New Roman"/>
          <w:szCs w:val="20"/>
        </w:rPr>
        <w:t xml:space="preserve"> за результатами </w:t>
      </w:r>
      <w:proofErr w:type="spellStart"/>
      <w:r w:rsidRPr="007B5095">
        <w:rPr>
          <w:rFonts w:ascii="Times New Roman" w:hAnsi="Times New Roman"/>
          <w:szCs w:val="20"/>
        </w:rPr>
        <w:t>правочинів</w:t>
      </w:r>
      <w:proofErr w:type="spellEnd"/>
      <w:r w:rsidRPr="007B5095">
        <w:rPr>
          <w:rFonts w:ascii="Times New Roman" w:hAnsi="Times New Roman"/>
          <w:szCs w:val="20"/>
        </w:rPr>
        <w:t xml:space="preserve">, </w:t>
      </w:r>
      <w:proofErr w:type="spellStart"/>
      <w:r w:rsidRPr="007B5095">
        <w:rPr>
          <w:rFonts w:ascii="Times New Roman" w:hAnsi="Times New Roman"/>
          <w:szCs w:val="20"/>
        </w:rPr>
        <w:t>тільки</w:t>
      </w:r>
      <w:proofErr w:type="spellEnd"/>
      <w:r w:rsidRPr="007B5095">
        <w:rPr>
          <w:rFonts w:ascii="Times New Roman" w:hAnsi="Times New Roman"/>
          <w:szCs w:val="20"/>
        </w:rPr>
        <w:t xml:space="preserve"> </w:t>
      </w:r>
      <w:proofErr w:type="spellStart"/>
      <w:r w:rsidRPr="007B5095">
        <w:rPr>
          <w:rFonts w:ascii="Times New Roman" w:hAnsi="Times New Roman"/>
          <w:szCs w:val="20"/>
        </w:rPr>
        <w:t>після</w:t>
      </w:r>
      <w:proofErr w:type="spellEnd"/>
      <w:r w:rsidRPr="007B5095">
        <w:rPr>
          <w:rFonts w:ascii="Times New Roman" w:hAnsi="Times New Roman"/>
          <w:szCs w:val="20"/>
        </w:rPr>
        <w:t xml:space="preserve"> </w:t>
      </w:r>
      <w:proofErr w:type="spellStart"/>
      <w:r w:rsidRPr="007B5095">
        <w:rPr>
          <w:rFonts w:ascii="Times New Roman" w:hAnsi="Times New Roman"/>
          <w:szCs w:val="20"/>
        </w:rPr>
        <w:t>отримання</w:t>
      </w:r>
      <w:proofErr w:type="spellEnd"/>
      <w:r w:rsidRPr="007B5095">
        <w:rPr>
          <w:rFonts w:ascii="Times New Roman" w:hAnsi="Times New Roman"/>
          <w:szCs w:val="20"/>
        </w:rPr>
        <w:t xml:space="preserve"> </w:t>
      </w:r>
      <w:proofErr w:type="spellStart"/>
      <w:r w:rsidRPr="007B5095">
        <w:rPr>
          <w:rFonts w:ascii="Times New Roman" w:hAnsi="Times New Roman"/>
          <w:szCs w:val="20"/>
        </w:rPr>
        <w:t>від</w:t>
      </w:r>
      <w:proofErr w:type="spellEnd"/>
      <w:r w:rsidRPr="007B5095">
        <w:rPr>
          <w:rFonts w:ascii="Times New Roman" w:hAnsi="Times New Roman"/>
          <w:szCs w:val="20"/>
        </w:rPr>
        <w:t xml:space="preserve"> Центрального </w:t>
      </w:r>
      <w:proofErr w:type="spellStart"/>
      <w:r w:rsidRPr="007B5095">
        <w:rPr>
          <w:rFonts w:ascii="Times New Roman" w:hAnsi="Times New Roman"/>
          <w:szCs w:val="20"/>
        </w:rPr>
        <w:t>депозитарію</w:t>
      </w:r>
      <w:proofErr w:type="spellEnd"/>
      <w:r w:rsidRPr="007B5095">
        <w:rPr>
          <w:rFonts w:ascii="Times New Roman" w:hAnsi="Times New Roman"/>
          <w:szCs w:val="20"/>
        </w:rPr>
        <w:t xml:space="preserve"> </w:t>
      </w:r>
      <w:proofErr w:type="spellStart"/>
      <w:r w:rsidRPr="007B5095">
        <w:rPr>
          <w:rFonts w:ascii="Times New Roman" w:hAnsi="Times New Roman"/>
          <w:szCs w:val="20"/>
        </w:rPr>
        <w:t>інформації</w:t>
      </w:r>
      <w:proofErr w:type="spellEnd"/>
      <w:r w:rsidRPr="007B5095">
        <w:rPr>
          <w:rFonts w:ascii="Times New Roman" w:hAnsi="Times New Roman"/>
          <w:szCs w:val="20"/>
        </w:rPr>
        <w:t xml:space="preserve"> про </w:t>
      </w:r>
      <w:proofErr w:type="spellStart"/>
      <w:r w:rsidRPr="007B5095">
        <w:rPr>
          <w:rFonts w:ascii="Times New Roman" w:hAnsi="Times New Roman"/>
          <w:szCs w:val="20"/>
        </w:rPr>
        <w:t>внесення</w:t>
      </w:r>
      <w:proofErr w:type="spellEnd"/>
      <w:r w:rsidRPr="007B5095">
        <w:rPr>
          <w:rFonts w:ascii="Times New Roman" w:hAnsi="Times New Roman"/>
          <w:szCs w:val="20"/>
        </w:rPr>
        <w:t xml:space="preserve"> до </w:t>
      </w:r>
      <w:proofErr w:type="spellStart"/>
      <w:r w:rsidRPr="007B5095">
        <w:rPr>
          <w:rFonts w:ascii="Times New Roman" w:hAnsi="Times New Roman"/>
          <w:szCs w:val="20"/>
        </w:rPr>
        <w:t>внутрішньої</w:t>
      </w:r>
      <w:proofErr w:type="spellEnd"/>
      <w:r w:rsidRPr="007B5095">
        <w:rPr>
          <w:rFonts w:ascii="Times New Roman" w:hAnsi="Times New Roman"/>
          <w:szCs w:val="20"/>
        </w:rPr>
        <w:t xml:space="preserve"> </w:t>
      </w:r>
      <w:proofErr w:type="spellStart"/>
      <w:r w:rsidRPr="007B5095">
        <w:rPr>
          <w:rFonts w:ascii="Times New Roman" w:hAnsi="Times New Roman"/>
          <w:szCs w:val="20"/>
        </w:rPr>
        <w:t>системи</w:t>
      </w:r>
      <w:proofErr w:type="spellEnd"/>
      <w:r w:rsidRPr="007B5095">
        <w:rPr>
          <w:rFonts w:ascii="Times New Roman" w:hAnsi="Times New Roman"/>
          <w:szCs w:val="20"/>
        </w:rPr>
        <w:t xml:space="preserve"> </w:t>
      </w:r>
      <w:proofErr w:type="spellStart"/>
      <w:r w:rsidRPr="007B5095">
        <w:rPr>
          <w:rFonts w:ascii="Times New Roman" w:hAnsi="Times New Roman"/>
          <w:szCs w:val="20"/>
        </w:rPr>
        <w:t>обліку</w:t>
      </w:r>
      <w:proofErr w:type="spellEnd"/>
      <w:r w:rsidRPr="007B5095">
        <w:rPr>
          <w:rFonts w:ascii="Times New Roman" w:hAnsi="Times New Roman"/>
          <w:szCs w:val="20"/>
        </w:rPr>
        <w:t xml:space="preserve"> </w:t>
      </w:r>
      <w:proofErr w:type="spellStart"/>
      <w:r w:rsidRPr="007B5095">
        <w:rPr>
          <w:rFonts w:ascii="Times New Roman" w:hAnsi="Times New Roman"/>
          <w:szCs w:val="20"/>
        </w:rPr>
        <w:t>Розрахункового</w:t>
      </w:r>
      <w:proofErr w:type="spellEnd"/>
      <w:r w:rsidRPr="007B5095">
        <w:rPr>
          <w:rFonts w:ascii="Times New Roman" w:hAnsi="Times New Roman"/>
          <w:szCs w:val="20"/>
        </w:rPr>
        <w:t xml:space="preserve"> центру </w:t>
      </w:r>
      <w:proofErr w:type="spellStart"/>
      <w:r w:rsidRPr="007B5095">
        <w:rPr>
          <w:rFonts w:ascii="Times New Roman" w:hAnsi="Times New Roman"/>
          <w:szCs w:val="20"/>
        </w:rPr>
        <w:t>чи</w:t>
      </w:r>
      <w:proofErr w:type="spellEnd"/>
      <w:r w:rsidRPr="007B5095">
        <w:rPr>
          <w:rFonts w:ascii="Times New Roman" w:hAnsi="Times New Roman"/>
          <w:szCs w:val="20"/>
        </w:rPr>
        <w:t xml:space="preserve"> </w:t>
      </w:r>
      <w:proofErr w:type="spellStart"/>
      <w:r w:rsidRPr="007B5095">
        <w:rPr>
          <w:rFonts w:ascii="Times New Roman" w:hAnsi="Times New Roman"/>
          <w:szCs w:val="20"/>
        </w:rPr>
        <w:t>клірингової</w:t>
      </w:r>
      <w:proofErr w:type="spellEnd"/>
      <w:r w:rsidRPr="007B5095">
        <w:rPr>
          <w:rFonts w:ascii="Times New Roman" w:hAnsi="Times New Roman"/>
          <w:szCs w:val="20"/>
        </w:rPr>
        <w:t xml:space="preserve"> установи </w:t>
      </w:r>
      <w:proofErr w:type="spellStart"/>
      <w:r w:rsidRPr="007B5095">
        <w:rPr>
          <w:rFonts w:ascii="Times New Roman" w:hAnsi="Times New Roman"/>
          <w:szCs w:val="20"/>
        </w:rPr>
        <w:t>відповідних</w:t>
      </w:r>
      <w:proofErr w:type="spellEnd"/>
      <w:r w:rsidRPr="007B5095">
        <w:rPr>
          <w:rFonts w:ascii="Times New Roman" w:hAnsi="Times New Roman"/>
          <w:szCs w:val="20"/>
        </w:rPr>
        <w:t xml:space="preserve"> </w:t>
      </w:r>
      <w:proofErr w:type="spellStart"/>
      <w:r w:rsidRPr="007B5095">
        <w:rPr>
          <w:rFonts w:ascii="Times New Roman" w:hAnsi="Times New Roman"/>
          <w:szCs w:val="20"/>
        </w:rPr>
        <w:t>змін</w:t>
      </w:r>
      <w:proofErr w:type="spellEnd"/>
      <w:r w:rsidRPr="007B5095">
        <w:rPr>
          <w:rFonts w:ascii="Times New Roman" w:hAnsi="Times New Roman"/>
          <w:szCs w:val="20"/>
        </w:rPr>
        <w:t xml:space="preserve"> </w:t>
      </w:r>
      <w:proofErr w:type="spellStart"/>
      <w:r w:rsidRPr="007B5095">
        <w:rPr>
          <w:rFonts w:ascii="Times New Roman" w:hAnsi="Times New Roman"/>
          <w:szCs w:val="20"/>
        </w:rPr>
        <w:t>щодо</w:t>
      </w:r>
      <w:proofErr w:type="spellEnd"/>
      <w:r w:rsidRPr="007B5095">
        <w:rPr>
          <w:rFonts w:ascii="Times New Roman" w:hAnsi="Times New Roman"/>
          <w:szCs w:val="20"/>
        </w:rPr>
        <w:t xml:space="preserve"> такого Депонента.</w:t>
      </w:r>
    </w:p>
    <w:p w14:paraId="107060EA" w14:textId="77777777" w:rsidR="00E10AE9" w:rsidRPr="007B5095" w:rsidRDefault="00E10AE9" w:rsidP="00E10AE9">
      <w:pPr>
        <w:tabs>
          <w:tab w:val="left" w:pos="851"/>
        </w:tabs>
        <w:ind w:firstLine="539"/>
        <w:rPr>
          <w:rFonts w:ascii="Times New Roman" w:hAnsi="Times New Roman"/>
          <w:szCs w:val="20"/>
          <w:lang w:val="uk-UA"/>
        </w:rPr>
      </w:pPr>
      <w:r w:rsidRPr="007B5095">
        <w:rPr>
          <w:rFonts w:ascii="Times New Roman" w:hAnsi="Times New Roman"/>
          <w:szCs w:val="20"/>
          <w:lang w:val="uk-UA"/>
        </w:rPr>
        <w:t>2.1.</w:t>
      </w:r>
      <w:r w:rsidR="00C8346D" w:rsidRPr="007B5095">
        <w:rPr>
          <w:rFonts w:ascii="Times New Roman" w:hAnsi="Times New Roman"/>
          <w:szCs w:val="20"/>
          <w:lang w:val="uk-UA"/>
        </w:rPr>
        <w:t>12</w:t>
      </w:r>
      <w:r w:rsidRPr="007B5095">
        <w:rPr>
          <w:rFonts w:ascii="Times New Roman" w:hAnsi="Times New Roman"/>
          <w:szCs w:val="20"/>
          <w:lang w:val="uk-UA"/>
        </w:rPr>
        <w:t xml:space="preserve">. Не здійснювати депозитарних операцій за рахунком </w:t>
      </w:r>
      <w:r w:rsidR="00C22309" w:rsidRPr="007B5095">
        <w:rPr>
          <w:rFonts w:ascii="Times New Roman" w:hAnsi="Times New Roman"/>
          <w:szCs w:val="20"/>
          <w:lang w:val="uk-UA"/>
        </w:rPr>
        <w:t>в цін</w:t>
      </w:r>
      <w:r w:rsidRPr="007B5095">
        <w:rPr>
          <w:rFonts w:ascii="Times New Roman" w:hAnsi="Times New Roman"/>
          <w:szCs w:val="20"/>
          <w:lang w:val="uk-UA"/>
        </w:rPr>
        <w:t>них паперах у випадку виявлення порушень вимог подання, заповнення розпорядження та захисту інформації, яка потрібна для здійснення цих операцій Депозитарною установою, або якщо виконання цього розпорядження буде суперечити законодавству України, або законодавству країн, в яких укладені угоди, на підставі яких здійснюється розпорядження.</w:t>
      </w:r>
    </w:p>
    <w:p w14:paraId="4242BA10" w14:textId="77777777" w:rsidR="00E10AE9" w:rsidRPr="007B5095" w:rsidRDefault="00E10AE9" w:rsidP="00E10AE9">
      <w:pPr>
        <w:pStyle w:val="western"/>
        <w:spacing w:before="0" w:after="0"/>
        <w:jc w:val="both"/>
        <w:rPr>
          <w:rFonts w:ascii="Times New Roman" w:hAnsi="Times New Roman"/>
          <w:b w:val="0"/>
          <w:bCs w:val="0"/>
          <w:szCs w:val="20"/>
          <w:lang w:val="uk-UA"/>
        </w:rPr>
      </w:pPr>
      <w:r w:rsidRPr="007B5095">
        <w:rPr>
          <w:rFonts w:ascii="Times New Roman" w:hAnsi="Times New Roman"/>
          <w:b w:val="0"/>
          <w:bCs w:val="0"/>
          <w:szCs w:val="20"/>
          <w:lang w:val="uk-UA"/>
        </w:rPr>
        <w:t>2.1.</w:t>
      </w:r>
      <w:r w:rsidR="009651CD" w:rsidRPr="007B5095">
        <w:rPr>
          <w:rFonts w:ascii="Times New Roman" w:hAnsi="Times New Roman"/>
          <w:b w:val="0"/>
          <w:bCs w:val="0"/>
          <w:szCs w:val="20"/>
          <w:lang w:val="uk-UA"/>
        </w:rPr>
        <w:t>13</w:t>
      </w:r>
      <w:r w:rsidRPr="007B5095">
        <w:rPr>
          <w:rFonts w:ascii="Times New Roman" w:hAnsi="Times New Roman"/>
          <w:b w:val="0"/>
          <w:bCs w:val="0"/>
          <w:szCs w:val="20"/>
          <w:lang w:val="uk-UA"/>
        </w:rPr>
        <w:t xml:space="preserve">. </w:t>
      </w:r>
      <w:r w:rsidRPr="007B5095">
        <w:rPr>
          <w:rFonts w:ascii="Times New Roman" w:hAnsi="Times New Roman"/>
          <w:b w:val="0"/>
          <w:szCs w:val="20"/>
          <w:lang w:val="uk-UA"/>
        </w:rPr>
        <w:t xml:space="preserve">Забезпечувати збереження та конфіденційність інформації, що міститься у системі депозитарного обліку, стосовно цінних паперів на рахунку </w:t>
      </w:r>
      <w:r w:rsidR="00C22309" w:rsidRPr="007B5095">
        <w:rPr>
          <w:rFonts w:ascii="Times New Roman" w:hAnsi="Times New Roman"/>
          <w:b w:val="0"/>
          <w:szCs w:val="20"/>
          <w:lang w:val="uk-UA"/>
        </w:rPr>
        <w:t>в цін</w:t>
      </w:r>
      <w:r w:rsidRPr="007B5095">
        <w:rPr>
          <w:rFonts w:ascii="Times New Roman" w:hAnsi="Times New Roman"/>
          <w:b w:val="0"/>
          <w:szCs w:val="20"/>
          <w:lang w:val="uk-UA"/>
        </w:rPr>
        <w:t>них паперах Депонента, а також будь-якої іншої інформації, що може завдати шкоду Депоненту. Обов’язки щодо зберігання конфіденційності інформації не виникають у випадках, якщо розголошування подібної інформації мало місце внаслідок дій судових або інших уповноважених чинним законодавством органів або в інших випадках відповідно до вимог чинного законодавства</w:t>
      </w:r>
      <w:r w:rsidRPr="007B5095">
        <w:rPr>
          <w:rFonts w:ascii="Times New Roman" w:hAnsi="Times New Roman"/>
          <w:b w:val="0"/>
          <w:bCs w:val="0"/>
          <w:szCs w:val="20"/>
          <w:lang w:val="uk-UA"/>
        </w:rPr>
        <w:t>.</w:t>
      </w:r>
    </w:p>
    <w:p w14:paraId="14E8D57A" w14:textId="77777777" w:rsidR="00E10AE9" w:rsidRPr="007B5095" w:rsidRDefault="00E10AE9" w:rsidP="00E10AE9">
      <w:pPr>
        <w:pStyle w:val="western"/>
        <w:spacing w:before="0" w:after="0"/>
        <w:jc w:val="both"/>
        <w:rPr>
          <w:rFonts w:ascii="Times New Roman" w:hAnsi="Times New Roman"/>
          <w:b w:val="0"/>
          <w:bCs w:val="0"/>
          <w:szCs w:val="20"/>
        </w:rPr>
      </w:pPr>
      <w:r w:rsidRPr="007B5095">
        <w:rPr>
          <w:rFonts w:ascii="Times New Roman" w:hAnsi="Times New Roman"/>
          <w:b w:val="0"/>
          <w:bCs w:val="0"/>
          <w:szCs w:val="20"/>
        </w:rPr>
        <w:t>2.1.</w:t>
      </w:r>
      <w:r w:rsidR="009651CD" w:rsidRPr="007B5095">
        <w:rPr>
          <w:rFonts w:ascii="Times New Roman" w:hAnsi="Times New Roman"/>
          <w:b w:val="0"/>
          <w:bCs w:val="0"/>
          <w:szCs w:val="20"/>
        </w:rPr>
        <w:t>1</w:t>
      </w:r>
      <w:r w:rsidR="009651CD" w:rsidRPr="007B5095">
        <w:rPr>
          <w:rFonts w:ascii="Times New Roman" w:hAnsi="Times New Roman"/>
          <w:b w:val="0"/>
          <w:bCs w:val="0"/>
          <w:szCs w:val="20"/>
          <w:lang w:val="uk-UA"/>
        </w:rPr>
        <w:t>4</w:t>
      </w:r>
      <w:r w:rsidRPr="007B5095">
        <w:rPr>
          <w:rFonts w:ascii="Times New Roman" w:hAnsi="Times New Roman"/>
          <w:b w:val="0"/>
          <w:bCs w:val="0"/>
          <w:szCs w:val="20"/>
        </w:rPr>
        <w:t xml:space="preserve">. </w:t>
      </w:r>
      <w:proofErr w:type="spellStart"/>
      <w:r w:rsidRPr="007B5095">
        <w:rPr>
          <w:rFonts w:ascii="Times New Roman" w:hAnsi="Times New Roman"/>
          <w:b w:val="0"/>
          <w:bCs w:val="0"/>
          <w:szCs w:val="20"/>
        </w:rPr>
        <w:t>Дотримуватися</w:t>
      </w:r>
      <w:proofErr w:type="spellEnd"/>
      <w:r w:rsidRPr="007B5095">
        <w:rPr>
          <w:rFonts w:ascii="Times New Roman" w:hAnsi="Times New Roman"/>
          <w:b w:val="0"/>
          <w:bCs w:val="0"/>
          <w:szCs w:val="20"/>
        </w:rPr>
        <w:t xml:space="preserve"> </w:t>
      </w:r>
      <w:proofErr w:type="spellStart"/>
      <w:r w:rsidRPr="007B5095">
        <w:rPr>
          <w:rFonts w:ascii="Times New Roman" w:hAnsi="Times New Roman"/>
          <w:b w:val="0"/>
          <w:bCs w:val="0"/>
          <w:szCs w:val="20"/>
        </w:rPr>
        <w:t>встановлених</w:t>
      </w:r>
      <w:proofErr w:type="spellEnd"/>
      <w:r w:rsidRPr="007B5095">
        <w:rPr>
          <w:rFonts w:ascii="Times New Roman" w:hAnsi="Times New Roman"/>
          <w:b w:val="0"/>
          <w:bCs w:val="0"/>
          <w:szCs w:val="20"/>
        </w:rPr>
        <w:t xml:space="preserve"> </w:t>
      </w:r>
      <w:proofErr w:type="spellStart"/>
      <w:r w:rsidRPr="007B5095">
        <w:rPr>
          <w:rFonts w:ascii="Times New Roman" w:hAnsi="Times New Roman"/>
          <w:b w:val="0"/>
          <w:bCs w:val="0"/>
          <w:szCs w:val="20"/>
        </w:rPr>
        <w:t>вимог</w:t>
      </w:r>
      <w:proofErr w:type="spellEnd"/>
      <w:r w:rsidRPr="007B5095">
        <w:rPr>
          <w:rFonts w:ascii="Times New Roman" w:hAnsi="Times New Roman"/>
          <w:b w:val="0"/>
          <w:bCs w:val="0"/>
          <w:szCs w:val="20"/>
        </w:rPr>
        <w:t xml:space="preserve"> </w:t>
      </w:r>
      <w:proofErr w:type="spellStart"/>
      <w:r w:rsidRPr="007B5095">
        <w:rPr>
          <w:rFonts w:ascii="Times New Roman" w:hAnsi="Times New Roman"/>
          <w:b w:val="0"/>
          <w:bCs w:val="0"/>
          <w:szCs w:val="20"/>
        </w:rPr>
        <w:t>захисту</w:t>
      </w:r>
      <w:proofErr w:type="spellEnd"/>
      <w:r w:rsidRPr="007B5095">
        <w:rPr>
          <w:rFonts w:ascii="Times New Roman" w:hAnsi="Times New Roman"/>
          <w:b w:val="0"/>
          <w:bCs w:val="0"/>
          <w:szCs w:val="20"/>
        </w:rPr>
        <w:t xml:space="preserve"> </w:t>
      </w:r>
      <w:proofErr w:type="spellStart"/>
      <w:r w:rsidRPr="007B5095">
        <w:rPr>
          <w:rFonts w:ascii="Times New Roman" w:hAnsi="Times New Roman"/>
          <w:b w:val="0"/>
          <w:bCs w:val="0"/>
          <w:szCs w:val="20"/>
        </w:rPr>
        <w:t>інформації</w:t>
      </w:r>
      <w:proofErr w:type="spellEnd"/>
      <w:r w:rsidRPr="007B5095">
        <w:rPr>
          <w:rFonts w:ascii="Times New Roman" w:hAnsi="Times New Roman"/>
          <w:b w:val="0"/>
          <w:bCs w:val="0"/>
          <w:szCs w:val="20"/>
        </w:rPr>
        <w:t xml:space="preserve"> </w:t>
      </w:r>
      <w:proofErr w:type="spellStart"/>
      <w:r w:rsidRPr="007B5095">
        <w:rPr>
          <w:rFonts w:ascii="Times New Roman" w:hAnsi="Times New Roman"/>
          <w:b w:val="0"/>
          <w:bCs w:val="0"/>
          <w:szCs w:val="20"/>
        </w:rPr>
        <w:t>від</w:t>
      </w:r>
      <w:proofErr w:type="spellEnd"/>
      <w:r w:rsidRPr="007B5095">
        <w:rPr>
          <w:rFonts w:ascii="Times New Roman" w:hAnsi="Times New Roman"/>
          <w:b w:val="0"/>
          <w:bCs w:val="0"/>
          <w:szCs w:val="20"/>
        </w:rPr>
        <w:t xml:space="preserve"> </w:t>
      </w:r>
      <w:proofErr w:type="spellStart"/>
      <w:r w:rsidRPr="007B5095">
        <w:rPr>
          <w:rFonts w:ascii="Times New Roman" w:hAnsi="Times New Roman"/>
          <w:b w:val="0"/>
          <w:bCs w:val="0"/>
          <w:szCs w:val="20"/>
        </w:rPr>
        <w:t>несанкціонованого</w:t>
      </w:r>
      <w:proofErr w:type="spellEnd"/>
      <w:r w:rsidRPr="007B5095">
        <w:rPr>
          <w:rFonts w:ascii="Times New Roman" w:hAnsi="Times New Roman"/>
          <w:b w:val="0"/>
          <w:bCs w:val="0"/>
          <w:szCs w:val="20"/>
        </w:rPr>
        <w:t xml:space="preserve"> доступу в </w:t>
      </w:r>
      <w:proofErr w:type="spellStart"/>
      <w:r w:rsidRPr="007B5095">
        <w:rPr>
          <w:rFonts w:ascii="Times New Roman" w:hAnsi="Times New Roman"/>
          <w:b w:val="0"/>
          <w:bCs w:val="0"/>
          <w:szCs w:val="20"/>
        </w:rPr>
        <w:t>електронних</w:t>
      </w:r>
      <w:proofErr w:type="spellEnd"/>
      <w:r w:rsidRPr="007B5095">
        <w:rPr>
          <w:rFonts w:ascii="Times New Roman" w:hAnsi="Times New Roman"/>
          <w:b w:val="0"/>
          <w:bCs w:val="0"/>
          <w:szCs w:val="20"/>
        </w:rPr>
        <w:t xml:space="preserve"> системах </w:t>
      </w:r>
      <w:proofErr w:type="spellStart"/>
      <w:r w:rsidRPr="007B5095">
        <w:rPr>
          <w:rFonts w:ascii="Times New Roman" w:hAnsi="Times New Roman"/>
          <w:b w:val="0"/>
          <w:bCs w:val="0"/>
          <w:szCs w:val="20"/>
        </w:rPr>
        <w:t>обміну</w:t>
      </w:r>
      <w:proofErr w:type="spellEnd"/>
      <w:r w:rsidRPr="007B5095">
        <w:rPr>
          <w:rFonts w:ascii="Times New Roman" w:hAnsi="Times New Roman"/>
          <w:b w:val="0"/>
          <w:bCs w:val="0"/>
          <w:szCs w:val="20"/>
        </w:rPr>
        <w:t xml:space="preserve"> </w:t>
      </w:r>
      <w:proofErr w:type="spellStart"/>
      <w:r w:rsidRPr="007B5095">
        <w:rPr>
          <w:rFonts w:ascii="Times New Roman" w:hAnsi="Times New Roman"/>
          <w:b w:val="0"/>
          <w:bCs w:val="0"/>
          <w:szCs w:val="20"/>
        </w:rPr>
        <w:t>даними</w:t>
      </w:r>
      <w:proofErr w:type="spellEnd"/>
      <w:r w:rsidRPr="007B5095">
        <w:rPr>
          <w:rFonts w:ascii="Times New Roman" w:hAnsi="Times New Roman"/>
          <w:b w:val="0"/>
          <w:bCs w:val="0"/>
          <w:szCs w:val="20"/>
        </w:rPr>
        <w:t>.</w:t>
      </w:r>
    </w:p>
    <w:p w14:paraId="43525EBF" w14:textId="77777777" w:rsidR="00E10AE9" w:rsidRPr="007B5095" w:rsidRDefault="00E10AE9" w:rsidP="00E10AE9">
      <w:pPr>
        <w:pStyle w:val="western"/>
        <w:spacing w:before="0" w:after="0"/>
        <w:ind w:firstLine="539"/>
        <w:jc w:val="both"/>
        <w:rPr>
          <w:rFonts w:ascii="Times New Roman" w:hAnsi="Times New Roman"/>
          <w:b w:val="0"/>
          <w:bCs w:val="0"/>
          <w:szCs w:val="20"/>
        </w:rPr>
      </w:pPr>
      <w:r w:rsidRPr="007B5095">
        <w:rPr>
          <w:rFonts w:ascii="Times New Roman" w:hAnsi="Times New Roman"/>
          <w:b w:val="0"/>
          <w:bCs w:val="0"/>
          <w:szCs w:val="20"/>
        </w:rPr>
        <w:t>2.1.</w:t>
      </w:r>
      <w:r w:rsidR="009651CD" w:rsidRPr="007B5095">
        <w:rPr>
          <w:rFonts w:ascii="Times New Roman" w:hAnsi="Times New Roman"/>
          <w:b w:val="0"/>
          <w:bCs w:val="0"/>
          <w:szCs w:val="20"/>
        </w:rPr>
        <w:t>1</w:t>
      </w:r>
      <w:r w:rsidR="009651CD" w:rsidRPr="007B5095">
        <w:rPr>
          <w:rFonts w:ascii="Times New Roman" w:hAnsi="Times New Roman"/>
          <w:b w:val="0"/>
          <w:bCs w:val="0"/>
          <w:szCs w:val="20"/>
          <w:lang w:val="uk-UA"/>
        </w:rPr>
        <w:t>5</w:t>
      </w:r>
      <w:r w:rsidRPr="007B5095">
        <w:rPr>
          <w:rFonts w:ascii="Times New Roman" w:hAnsi="Times New Roman"/>
          <w:b w:val="0"/>
          <w:bCs w:val="0"/>
          <w:szCs w:val="20"/>
        </w:rPr>
        <w:t xml:space="preserve">. </w:t>
      </w:r>
      <w:proofErr w:type="spellStart"/>
      <w:r w:rsidRPr="007B5095">
        <w:rPr>
          <w:rFonts w:ascii="Times New Roman" w:hAnsi="Times New Roman"/>
          <w:b w:val="0"/>
          <w:bCs w:val="0"/>
          <w:szCs w:val="20"/>
        </w:rPr>
        <w:t>Протягом</w:t>
      </w:r>
      <w:proofErr w:type="spellEnd"/>
      <w:r w:rsidRPr="007B5095">
        <w:rPr>
          <w:rFonts w:ascii="Times New Roman" w:hAnsi="Times New Roman"/>
          <w:b w:val="0"/>
          <w:bCs w:val="0"/>
          <w:szCs w:val="20"/>
        </w:rPr>
        <w:t xml:space="preserve"> </w:t>
      </w:r>
      <w:proofErr w:type="spellStart"/>
      <w:r w:rsidR="00C8346D" w:rsidRPr="007B5095">
        <w:rPr>
          <w:rFonts w:ascii="Times New Roman" w:hAnsi="Times New Roman"/>
          <w:b w:val="0"/>
          <w:bCs w:val="0"/>
          <w:i/>
          <w:szCs w:val="20"/>
        </w:rPr>
        <w:t>п`яти</w:t>
      </w:r>
      <w:proofErr w:type="spellEnd"/>
      <w:r w:rsidR="00C8346D" w:rsidRPr="007B5095">
        <w:rPr>
          <w:rFonts w:ascii="Times New Roman" w:hAnsi="Times New Roman"/>
          <w:b w:val="0"/>
          <w:bCs w:val="0"/>
          <w:szCs w:val="20"/>
        </w:rPr>
        <w:t xml:space="preserve"> </w:t>
      </w:r>
      <w:proofErr w:type="spellStart"/>
      <w:r w:rsidRPr="007B5095">
        <w:rPr>
          <w:rFonts w:ascii="Times New Roman" w:hAnsi="Times New Roman"/>
          <w:b w:val="0"/>
          <w:bCs w:val="0"/>
          <w:szCs w:val="20"/>
        </w:rPr>
        <w:t>робочих</w:t>
      </w:r>
      <w:proofErr w:type="spellEnd"/>
      <w:r w:rsidRPr="007B5095">
        <w:rPr>
          <w:rFonts w:ascii="Times New Roman" w:hAnsi="Times New Roman"/>
          <w:b w:val="0"/>
          <w:bCs w:val="0"/>
          <w:szCs w:val="20"/>
        </w:rPr>
        <w:t xml:space="preserve"> </w:t>
      </w:r>
      <w:proofErr w:type="spellStart"/>
      <w:r w:rsidRPr="007B5095">
        <w:rPr>
          <w:rFonts w:ascii="Times New Roman" w:hAnsi="Times New Roman"/>
          <w:b w:val="0"/>
          <w:bCs w:val="0"/>
          <w:szCs w:val="20"/>
        </w:rPr>
        <w:t>днів</w:t>
      </w:r>
      <w:proofErr w:type="spellEnd"/>
      <w:r w:rsidRPr="007B5095">
        <w:rPr>
          <w:rFonts w:ascii="Times New Roman" w:hAnsi="Times New Roman"/>
          <w:b w:val="0"/>
          <w:bCs w:val="0"/>
          <w:szCs w:val="20"/>
        </w:rPr>
        <w:t xml:space="preserve"> з </w:t>
      </w:r>
      <w:proofErr w:type="spellStart"/>
      <w:r w:rsidRPr="007B5095">
        <w:rPr>
          <w:rFonts w:ascii="Times New Roman" w:hAnsi="Times New Roman"/>
          <w:b w:val="0"/>
          <w:bCs w:val="0"/>
          <w:szCs w:val="20"/>
        </w:rPr>
        <w:t>дати</w:t>
      </w:r>
      <w:proofErr w:type="spellEnd"/>
      <w:r w:rsidRPr="007B5095">
        <w:rPr>
          <w:rFonts w:ascii="Times New Roman" w:hAnsi="Times New Roman"/>
          <w:b w:val="0"/>
          <w:bCs w:val="0"/>
          <w:szCs w:val="20"/>
        </w:rPr>
        <w:t xml:space="preserve"> початку Депозитарною </w:t>
      </w:r>
      <w:proofErr w:type="spellStart"/>
      <w:r w:rsidRPr="007B5095">
        <w:rPr>
          <w:rFonts w:ascii="Times New Roman" w:hAnsi="Times New Roman"/>
          <w:b w:val="0"/>
          <w:bCs w:val="0"/>
          <w:szCs w:val="20"/>
        </w:rPr>
        <w:t>установою</w:t>
      </w:r>
      <w:proofErr w:type="spellEnd"/>
      <w:r w:rsidRPr="007B5095">
        <w:rPr>
          <w:rFonts w:ascii="Times New Roman" w:hAnsi="Times New Roman"/>
          <w:b w:val="0"/>
          <w:bCs w:val="0"/>
          <w:szCs w:val="20"/>
        </w:rPr>
        <w:t xml:space="preserve"> </w:t>
      </w:r>
      <w:proofErr w:type="spellStart"/>
      <w:r w:rsidRPr="007B5095">
        <w:rPr>
          <w:rFonts w:ascii="Times New Roman" w:hAnsi="Times New Roman"/>
          <w:b w:val="0"/>
          <w:bCs w:val="0"/>
          <w:szCs w:val="20"/>
        </w:rPr>
        <w:t>процедури</w:t>
      </w:r>
      <w:proofErr w:type="spellEnd"/>
      <w:r w:rsidRPr="007B5095">
        <w:rPr>
          <w:rFonts w:ascii="Times New Roman" w:hAnsi="Times New Roman"/>
          <w:b w:val="0"/>
          <w:bCs w:val="0"/>
          <w:szCs w:val="20"/>
        </w:rPr>
        <w:t xml:space="preserve"> </w:t>
      </w:r>
      <w:proofErr w:type="spellStart"/>
      <w:r w:rsidRPr="007B5095">
        <w:rPr>
          <w:rFonts w:ascii="Times New Roman" w:hAnsi="Times New Roman"/>
          <w:b w:val="0"/>
          <w:bCs w:val="0"/>
          <w:szCs w:val="20"/>
        </w:rPr>
        <w:t>припинення</w:t>
      </w:r>
      <w:proofErr w:type="spellEnd"/>
      <w:r w:rsidRPr="007B5095">
        <w:rPr>
          <w:rFonts w:ascii="Times New Roman" w:hAnsi="Times New Roman"/>
          <w:b w:val="0"/>
          <w:bCs w:val="0"/>
          <w:szCs w:val="20"/>
        </w:rPr>
        <w:t xml:space="preserve"> нею </w:t>
      </w:r>
      <w:proofErr w:type="spellStart"/>
      <w:r w:rsidRPr="007B5095">
        <w:rPr>
          <w:rFonts w:ascii="Times New Roman" w:hAnsi="Times New Roman"/>
          <w:b w:val="0"/>
          <w:bCs w:val="0"/>
          <w:szCs w:val="20"/>
        </w:rPr>
        <w:t>провадження</w:t>
      </w:r>
      <w:proofErr w:type="spellEnd"/>
      <w:r w:rsidRPr="007B5095">
        <w:rPr>
          <w:rFonts w:ascii="Times New Roman" w:hAnsi="Times New Roman"/>
          <w:b w:val="0"/>
          <w:bCs w:val="0"/>
          <w:szCs w:val="20"/>
        </w:rPr>
        <w:t xml:space="preserve"> </w:t>
      </w:r>
      <w:proofErr w:type="spellStart"/>
      <w:r w:rsidRPr="007B5095">
        <w:rPr>
          <w:rFonts w:ascii="Times New Roman" w:hAnsi="Times New Roman"/>
          <w:b w:val="0"/>
          <w:bCs w:val="0"/>
          <w:szCs w:val="20"/>
        </w:rPr>
        <w:t>професійної</w:t>
      </w:r>
      <w:proofErr w:type="spellEnd"/>
      <w:r w:rsidRPr="007B5095">
        <w:rPr>
          <w:rFonts w:ascii="Times New Roman" w:hAnsi="Times New Roman"/>
          <w:b w:val="0"/>
          <w:bCs w:val="0"/>
          <w:szCs w:val="20"/>
        </w:rPr>
        <w:t xml:space="preserve"> </w:t>
      </w:r>
      <w:proofErr w:type="spellStart"/>
      <w:r w:rsidRPr="007B5095">
        <w:rPr>
          <w:rFonts w:ascii="Times New Roman" w:hAnsi="Times New Roman"/>
          <w:b w:val="0"/>
          <w:bCs w:val="0"/>
          <w:szCs w:val="20"/>
        </w:rPr>
        <w:t>діяльності</w:t>
      </w:r>
      <w:proofErr w:type="spellEnd"/>
      <w:r w:rsidRPr="007B5095">
        <w:rPr>
          <w:rFonts w:ascii="Times New Roman" w:hAnsi="Times New Roman"/>
          <w:b w:val="0"/>
          <w:bCs w:val="0"/>
          <w:szCs w:val="20"/>
        </w:rPr>
        <w:t xml:space="preserve"> </w:t>
      </w:r>
      <w:proofErr w:type="gramStart"/>
      <w:r w:rsidRPr="007B5095">
        <w:rPr>
          <w:rFonts w:ascii="Times New Roman" w:hAnsi="Times New Roman"/>
          <w:b w:val="0"/>
          <w:bCs w:val="0"/>
          <w:szCs w:val="20"/>
        </w:rPr>
        <w:t>на фондовому ринку</w:t>
      </w:r>
      <w:proofErr w:type="gramEnd"/>
      <w:r w:rsidRPr="007B5095">
        <w:rPr>
          <w:rFonts w:ascii="Times New Roman" w:hAnsi="Times New Roman"/>
          <w:b w:val="0"/>
          <w:bCs w:val="0"/>
          <w:szCs w:val="20"/>
        </w:rPr>
        <w:t xml:space="preserve"> - </w:t>
      </w:r>
      <w:proofErr w:type="spellStart"/>
      <w:r w:rsidRPr="007B5095">
        <w:rPr>
          <w:rFonts w:ascii="Times New Roman" w:hAnsi="Times New Roman"/>
          <w:b w:val="0"/>
          <w:bCs w:val="0"/>
          <w:szCs w:val="20"/>
        </w:rPr>
        <w:t>депозитарної</w:t>
      </w:r>
      <w:proofErr w:type="spellEnd"/>
      <w:r w:rsidRPr="007B5095">
        <w:rPr>
          <w:rFonts w:ascii="Times New Roman" w:hAnsi="Times New Roman"/>
          <w:b w:val="0"/>
          <w:bCs w:val="0"/>
          <w:szCs w:val="20"/>
        </w:rPr>
        <w:t xml:space="preserve"> </w:t>
      </w:r>
      <w:proofErr w:type="spellStart"/>
      <w:r w:rsidRPr="007B5095">
        <w:rPr>
          <w:rFonts w:ascii="Times New Roman" w:hAnsi="Times New Roman"/>
          <w:b w:val="0"/>
          <w:bCs w:val="0"/>
          <w:szCs w:val="20"/>
        </w:rPr>
        <w:t>діяльності</w:t>
      </w:r>
      <w:proofErr w:type="spellEnd"/>
      <w:r w:rsidRPr="007B5095">
        <w:rPr>
          <w:rFonts w:ascii="Times New Roman" w:hAnsi="Times New Roman"/>
          <w:b w:val="0"/>
          <w:bCs w:val="0"/>
          <w:szCs w:val="20"/>
        </w:rPr>
        <w:t xml:space="preserve"> </w:t>
      </w:r>
      <w:proofErr w:type="spellStart"/>
      <w:r w:rsidRPr="007B5095">
        <w:rPr>
          <w:rFonts w:ascii="Times New Roman" w:hAnsi="Times New Roman"/>
          <w:b w:val="0"/>
          <w:bCs w:val="0"/>
          <w:szCs w:val="20"/>
        </w:rPr>
        <w:t>депозитарної</w:t>
      </w:r>
      <w:proofErr w:type="spellEnd"/>
      <w:r w:rsidRPr="007B5095">
        <w:rPr>
          <w:rFonts w:ascii="Times New Roman" w:hAnsi="Times New Roman"/>
          <w:b w:val="0"/>
          <w:bCs w:val="0"/>
          <w:szCs w:val="20"/>
        </w:rPr>
        <w:t xml:space="preserve"> установи </w:t>
      </w:r>
      <w:proofErr w:type="spellStart"/>
      <w:r w:rsidRPr="007B5095">
        <w:rPr>
          <w:rFonts w:ascii="Times New Roman" w:hAnsi="Times New Roman"/>
          <w:b w:val="0"/>
          <w:bCs w:val="0"/>
          <w:szCs w:val="20"/>
        </w:rPr>
        <w:t>відповідно</w:t>
      </w:r>
      <w:proofErr w:type="spellEnd"/>
      <w:r w:rsidRPr="007B5095">
        <w:rPr>
          <w:rFonts w:ascii="Times New Roman" w:hAnsi="Times New Roman"/>
          <w:b w:val="0"/>
          <w:bCs w:val="0"/>
          <w:szCs w:val="20"/>
        </w:rPr>
        <w:t xml:space="preserve"> до </w:t>
      </w:r>
      <w:proofErr w:type="spellStart"/>
      <w:r w:rsidRPr="007B5095">
        <w:rPr>
          <w:rFonts w:ascii="Times New Roman" w:hAnsi="Times New Roman"/>
          <w:b w:val="0"/>
          <w:bCs w:val="0"/>
          <w:szCs w:val="20"/>
        </w:rPr>
        <w:t>вимог</w:t>
      </w:r>
      <w:proofErr w:type="spellEnd"/>
      <w:r w:rsidRPr="007B5095">
        <w:rPr>
          <w:rFonts w:ascii="Times New Roman" w:hAnsi="Times New Roman"/>
          <w:b w:val="0"/>
          <w:bCs w:val="0"/>
          <w:szCs w:val="20"/>
        </w:rPr>
        <w:t xml:space="preserve"> нормативно-правового акта </w:t>
      </w:r>
      <w:proofErr w:type="spellStart"/>
      <w:r w:rsidRPr="007B5095">
        <w:rPr>
          <w:rFonts w:ascii="Times New Roman" w:hAnsi="Times New Roman"/>
          <w:b w:val="0"/>
          <w:bCs w:val="0"/>
          <w:szCs w:val="20"/>
        </w:rPr>
        <w:t>щодо</w:t>
      </w:r>
      <w:proofErr w:type="spellEnd"/>
      <w:r w:rsidRPr="007B5095">
        <w:rPr>
          <w:rFonts w:ascii="Times New Roman" w:hAnsi="Times New Roman"/>
          <w:b w:val="0"/>
          <w:bCs w:val="0"/>
          <w:szCs w:val="20"/>
        </w:rPr>
        <w:t xml:space="preserve"> </w:t>
      </w:r>
      <w:proofErr w:type="spellStart"/>
      <w:r w:rsidRPr="007B5095">
        <w:rPr>
          <w:rFonts w:ascii="Times New Roman" w:hAnsi="Times New Roman"/>
          <w:b w:val="0"/>
          <w:bCs w:val="0"/>
          <w:szCs w:val="20"/>
        </w:rPr>
        <w:t>припинення</w:t>
      </w:r>
      <w:proofErr w:type="spellEnd"/>
      <w:r w:rsidRPr="007B5095">
        <w:rPr>
          <w:rFonts w:ascii="Times New Roman" w:hAnsi="Times New Roman"/>
          <w:b w:val="0"/>
          <w:bCs w:val="0"/>
          <w:szCs w:val="20"/>
        </w:rPr>
        <w:t xml:space="preserve"> </w:t>
      </w:r>
      <w:proofErr w:type="spellStart"/>
      <w:r w:rsidRPr="007B5095">
        <w:rPr>
          <w:rFonts w:ascii="Times New Roman" w:hAnsi="Times New Roman"/>
          <w:b w:val="0"/>
          <w:bCs w:val="0"/>
          <w:szCs w:val="20"/>
        </w:rPr>
        <w:t>депозитарної</w:t>
      </w:r>
      <w:proofErr w:type="spellEnd"/>
      <w:r w:rsidRPr="007B5095">
        <w:rPr>
          <w:rFonts w:ascii="Times New Roman" w:hAnsi="Times New Roman"/>
          <w:b w:val="0"/>
          <w:bCs w:val="0"/>
          <w:szCs w:val="20"/>
        </w:rPr>
        <w:t xml:space="preserve"> </w:t>
      </w:r>
      <w:proofErr w:type="spellStart"/>
      <w:r w:rsidRPr="007B5095">
        <w:rPr>
          <w:rFonts w:ascii="Times New Roman" w:hAnsi="Times New Roman"/>
          <w:b w:val="0"/>
          <w:bCs w:val="0"/>
          <w:szCs w:val="20"/>
        </w:rPr>
        <w:t>діяльності</w:t>
      </w:r>
      <w:proofErr w:type="spellEnd"/>
      <w:r w:rsidRPr="007B5095">
        <w:rPr>
          <w:rFonts w:ascii="Times New Roman" w:hAnsi="Times New Roman"/>
          <w:b w:val="0"/>
          <w:bCs w:val="0"/>
          <w:szCs w:val="20"/>
        </w:rPr>
        <w:t xml:space="preserve"> </w:t>
      </w:r>
      <w:proofErr w:type="spellStart"/>
      <w:r w:rsidRPr="007B5095">
        <w:rPr>
          <w:rFonts w:ascii="Times New Roman" w:hAnsi="Times New Roman"/>
          <w:b w:val="0"/>
          <w:bCs w:val="0"/>
          <w:szCs w:val="20"/>
        </w:rPr>
        <w:t>депозитарної</w:t>
      </w:r>
      <w:proofErr w:type="spellEnd"/>
      <w:r w:rsidRPr="007B5095">
        <w:rPr>
          <w:rFonts w:ascii="Times New Roman" w:hAnsi="Times New Roman"/>
          <w:b w:val="0"/>
          <w:bCs w:val="0"/>
          <w:szCs w:val="20"/>
        </w:rPr>
        <w:t xml:space="preserve"> установи, </w:t>
      </w:r>
      <w:proofErr w:type="spellStart"/>
      <w:r w:rsidRPr="007B5095">
        <w:rPr>
          <w:rFonts w:ascii="Times New Roman" w:hAnsi="Times New Roman"/>
          <w:b w:val="0"/>
          <w:bCs w:val="0"/>
          <w:szCs w:val="20"/>
        </w:rPr>
        <w:t>повідомити</w:t>
      </w:r>
      <w:proofErr w:type="spellEnd"/>
      <w:r w:rsidRPr="007B5095">
        <w:rPr>
          <w:rFonts w:ascii="Times New Roman" w:hAnsi="Times New Roman"/>
          <w:b w:val="0"/>
          <w:bCs w:val="0"/>
          <w:szCs w:val="20"/>
        </w:rPr>
        <w:t xml:space="preserve"> Депонента </w:t>
      </w:r>
      <w:proofErr w:type="spellStart"/>
      <w:r w:rsidRPr="007B5095">
        <w:rPr>
          <w:rFonts w:ascii="Times New Roman" w:hAnsi="Times New Roman"/>
          <w:b w:val="0"/>
          <w:bCs w:val="0"/>
          <w:szCs w:val="20"/>
        </w:rPr>
        <w:t>щодо</w:t>
      </w:r>
      <w:proofErr w:type="spellEnd"/>
      <w:r w:rsidRPr="007B5095">
        <w:rPr>
          <w:rFonts w:ascii="Times New Roman" w:hAnsi="Times New Roman"/>
          <w:b w:val="0"/>
          <w:bCs w:val="0"/>
          <w:szCs w:val="20"/>
        </w:rPr>
        <w:t xml:space="preserve"> </w:t>
      </w:r>
      <w:proofErr w:type="spellStart"/>
      <w:r w:rsidRPr="007B5095">
        <w:rPr>
          <w:rFonts w:ascii="Times New Roman" w:hAnsi="Times New Roman"/>
          <w:b w:val="0"/>
          <w:bCs w:val="0"/>
          <w:szCs w:val="20"/>
        </w:rPr>
        <w:t>необхідності</w:t>
      </w:r>
      <w:proofErr w:type="spellEnd"/>
      <w:r w:rsidRPr="007B5095">
        <w:rPr>
          <w:rFonts w:ascii="Times New Roman" w:hAnsi="Times New Roman"/>
          <w:b w:val="0"/>
          <w:bCs w:val="0"/>
          <w:szCs w:val="20"/>
        </w:rPr>
        <w:t xml:space="preserve"> </w:t>
      </w:r>
      <w:proofErr w:type="spellStart"/>
      <w:r w:rsidRPr="007B5095">
        <w:rPr>
          <w:rFonts w:ascii="Times New Roman" w:hAnsi="Times New Roman"/>
          <w:b w:val="0"/>
          <w:bCs w:val="0"/>
          <w:szCs w:val="20"/>
        </w:rPr>
        <w:t>закриття</w:t>
      </w:r>
      <w:proofErr w:type="spellEnd"/>
      <w:r w:rsidRPr="007B5095">
        <w:rPr>
          <w:rFonts w:ascii="Times New Roman" w:hAnsi="Times New Roman"/>
          <w:b w:val="0"/>
          <w:bCs w:val="0"/>
          <w:szCs w:val="20"/>
        </w:rPr>
        <w:t xml:space="preserve"> </w:t>
      </w:r>
      <w:proofErr w:type="spellStart"/>
      <w:r w:rsidR="00C8346D" w:rsidRPr="007B5095">
        <w:rPr>
          <w:rFonts w:ascii="Times New Roman" w:hAnsi="Times New Roman"/>
          <w:b w:val="0"/>
          <w:bCs w:val="0"/>
          <w:szCs w:val="20"/>
        </w:rPr>
        <w:t>рахунку</w:t>
      </w:r>
      <w:proofErr w:type="spellEnd"/>
      <w:r w:rsidR="00C8346D" w:rsidRPr="007B5095">
        <w:rPr>
          <w:rFonts w:ascii="Times New Roman" w:hAnsi="Times New Roman"/>
          <w:b w:val="0"/>
          <w:bCs w:val="0"/>
          <w:szCs w:val="20"/>
        </w:rPr>
        <w:t xml:space="preserve"> </w:t>
      </w:r>
      <w:r w:rsidRPr="007B5095">
        <w:rPr>
          <w:rFonts w:ascii="Times New Roman" w:hAnsi="Times New Roman"/>
          <w:b w:val="0"/>
          <w:bCs w:val="0"/>
          <w:szCs w:val="20"/>
        </w:rPr>
        <w:t xml:space="preserve">в </w:t>
      </w:r>
      <w:proofErr w:type="spellStart"/>
      <w:r w:rsidRPr="007B5095">
        <w:rPr>
          <w:rFonts w:ascii="Times New Roman" w:hAnsi="Times New Roman"/>
          <w:b w:val="0"/>
          <w:bCs w:val="0"/>
          <w:szCs w:val="20"/>
        </w:rPr>
        <w:t>цінних</w:t>
      </w:r>
      <w:proofErr w:type="spellEnd"/>
      <w:r w:rsidRPr="007B5095">
        <w:rPr>
          <w:rFonts w:ascii="Times New Roman" w:hAnsi="Times New Roman"/>
          <w:b w:val="0"/>
          <w:bCs w:val="0"/>
          <w:szCs w:val="20"/>
        </w:rPr>
        <w:t xml:space="preserve"> </w:t>
      </w:r>
      <w:proofErr w:type="spellStart"/>
      <w:r w:rsidRPr="007B5095">
        <w:rPr>
          <w:rFonts w:ascii="Times New Roman" w:hAnsi="Times New Roman"/>
          <w:b w:val="0"/>
          <w:bCs w:val="0"/>
          <w:szCs w:val="20"/>
        </w:rPr>
        <w:t>паперах</w:t>
      </w:r>
      <w:proofErr w:type="spellEnd"/>
      <w:r w:rsidRPr="007B5095">
        <w:rPr>
          <w:rFonts w:ascii="Times New Roman" w:hAnsi="Times New Roman"/>
          <w:b w:val="0"/>
          <w:bCs w:val="0"/>
          <w:szCs w:val="20"/>
        </w:rPr>
        <w:t xml:space="preserve"> </w:t>
      </w:r>
      <w:proofErr w:type="spellStart"/>
      <w:r w:rsidRPr="007B5095">
        <w:rPr>
          <w:rFonts w:ascii="Times New Roman" w:hAnsi="Times New Roman"/>
          <w:b w:val="0"/>
          <w:bCs w:val="0"/>
          <w:szCs w:val="20"/>
        </w:rPr>
        <w:t>протягом</w:t>
      </w:r>
      <w:proofErr w:type="spellEnd"/>
      <w:r w:rsidRPr="007B5095">
        <w:rPr>
          <w:rFonts w:ascii="Times New Roman" w:hAnsi="Times New Roman"/>
          <w:b w:val="0"/>
          <w:bCs w:val="0"/>
          <w:szCs w:val="20"/>
        </w:rPr>
        <w:t xml:space="preserve"> </w:t>
      </w:r>
      <w:proofErr w:type="spellStart"/>
      <w:r w:rsidR="003D69AC" w:rsidRPr="007B5095">
        <w:rPr>
          <w:rFonts w:ascii="Times New Roman" w:hAnsi="Times New Roman"/>
          <w:b w:val="0"/>
          <w:bCs w:val="0"/>
          <w:i/>
          <w:iCs/>
          <w:szCs w:val="20"/>
        </w:rPr>
        <w:t>шістдесяти</w:t>
      </w:r>
      <w:proofErr w:type="spellEnd"/>
      <w:r w:rsidRPr="007B5095">
        <w:rPr>
          <w:rFonts w:ascii="Times New Roman" w:hAnsi="Times New Roman"/>
          <w:b w:val="0"/>
          <w:bCs w:val="0"/>
          <w:szCs w:val="20"/>
        </w:rPr>
        <w:t xml:space="preserve"> </w:t>
      </w:r>
      <w:proofErr w:type="spellStart"/>
      <w:r w:rsidRPr="007B5095">
        <w:rPr>
          <w:rFonts w:ascii="Times New Roman" w:hAnsi="Times New Roman"/>
          <w:b w:val="0"/>
          <w:bCs w:val="0"/>
          <w:szCs w:val="20"/>
        </w:rPr>
        <w:t>календарних</w:t>
      </w:r>
      <w:proofErr w:type="spellEnd"/>
      <w:r w:rsidRPr="007B5095">
        <w:rPr>
          <w:rFonts w:ascii="Times New Roman" w:hAnsi="Times New Roman"/>
          <w:b w:val="0"/>
          <w:bCs w:val="0"/>
          <w:szCs w:val="20"/>
        </w:rPr>
        <w:t xml:space="preserve"> </w:t>
      </w:r>
      <w:proofErr w:type="spellStart"/>
      <w:r w:rsidRPr="007B5095">
        <w:rPr>
          <w:rFonts w:ascii="Times New Roman" w:hAnsi="Times New Roman"/>
          <w:b w:val="0"/>
          <w:bCs w:val="0"/>
          <w:szCs w:val="20"/>
        </w:rPr>
        <w:t>днів</w:t>
      </w:r>
      <w:proofErr w:type="spellEnd"/>
      <w:r w:rsidRPr="007B5095">
        <w:rPr>
          <w:rFonts w:ascii="Times New Roman" w:hAnsi="Times New Roman"/>
          <w:b w:val="0"/>
          <w:bCs w:val="0"/>
          <w:szCs w:val="20"/>
        </w:rPr>
        <w:t xml:space="preserve"> з </w:t>
      </w:r>
      <w:proofErr w:type="spellStart"/>
      <w:r w:rsidRPr="007B5095">
        <w:rPr>
          <w:rFonts w:ascii="Times New Roman" w:hAnsi="Times New Roman"/>
          <w:b w:val="0"/>
          <w:bCs w:val="0"/>
          <w:szCs w:val="20"/>
        </w:rPr>
        <w:t>дати</w:t>
      </w:r>
      <w:proofErr w:type="spellEnd"/>
      <w:r w:rsidRPr="007B5095">
        <w:rPr>
          <w:rFonts w:ascii="Times New Roman" w:hAnsi="Times New Roman"/>
          <w:b w:val="0"/>
          <w:bCs w:val="0"/>
          <w:szCs w:val="20"/>
        </w:rPr>
        <w:t xml:space="preserve"> початку </w:t>
      </w:r>
      <w:proofErr w:type="spellStart"/>
      <w:r w:rsidRPr="007B5095">
        <w:rPr>
          <w:rFonts w:ascii="Times New Roman" w:hAnsi="Times New Roman"/>
          <w:b w:val="0"/>
          <w:bCs w:val="0"/>
          <w:szCs w:val="20"/>
        </w:rPr>
        <w:t>цієї</w:t>
      </w:r>
      <w:proofErr w:type="spellEnd"/>
      <w:r w:rsidRPr="007B5095">
        <w:rPr>
          <w:rFonts w:ascii="Times New Roman" w:hAnsi="Times New Roman"/>
          <w:b w:val="0"/>
          <w:bCs w:val="0"/>
          <w:szCs w:val="20"/>
        </w:rPr>
        <w:t xml:space="preserve"> </w:t>
      </w:r>
      <w:proofErr w:type="spellStart"/>
      <w:r w:rsidRPr="007B5095">
        <w:rPr>
          <w:rFonts w:ascii="Times New Roman" w:hAnsi="Times New Roman"/>
          <w:b w:val="0"/>
          <w:bCs w:val="0"/>
          <w:szCs w:val="20"/>
        </w:rPr>
        <w:t>процедури</w:t>
      </w:r>
      <w:proofErr w:type="spellEnd"/>
      <w:r w:rsidRPr="007B5095">
        <w:rPr>
          <w:rFonts w:ascii="Times New Roman" w:hAnsi="Times New Roman"/>
          <w:b w:val="0"/>
          <w:bCs w:val="0"/>
          <w:szCs w:val="20"/>
        </w:rPr>
        <w:t>.</w:t>
      </w:r>
      <w:r w:rsidR="00C8346D" w:rsidRPr="007B5095">
        <w:rPr>
          <w:rFonts w:ascii="Times New Roman" w:hAnsi="Times New Roman"/>
          <w:b w:val="0"/>
          <w:bCs w:val="0"/>
          <w:szCs w:val="20"/>
        </w:rPr>
        <w:t xml:space="preserve"> </w:t>
      </w:r>
      <w:r w:rsidR="00C8346D" w:rsidRPr="007B5095">
        <w:rPr>
          <w:rFonts w:ascii="Times New Roman" w:hAnsi="Times New Roman"/>
          <w:b w:val="0"/>
          <w:bCs w:val="0"/>
          <w:szCs w:val="20"/>
          <w:lang w:val="uk-UA"/>
        </w:rPr>
        <w:t>Повідомлення надається шляхом розміщення на офіційному веб-сайті Депозитарної ус</w:t>
      </w:r>
      <w:r w:rsidR="00D42A9E" w:rsidRPr="007B5095">
        <w:rPr>
          <w:rFonts w:ascii="Times New Roman" w:hAnsi="Times New Roman"/>
          <w:b w:val="0"/>
          <w:bCs w:val="0"/>
          <w:szCs w:val="20"/>
          <w:lang w:val="uk-UA"/>
        </w:rPr>
        <w:t>т</w:t>
      </w:r>
      <w:r w:rsidR="00C8346D" w:rsidRPr="007B5095">
        <w:rPr>
          <w:rFonts w:ascii="Times New Roman" w:hAnsi="Times New Roman"/>
          <w:b w:val="0"/>
          <w:bCs w:val="0"/>
          <w:szCs w:val="20"/>
          <w:lang w:val="uk-UA"/>
        </w:rPr>
        <w:t xml:space="preserve">анови </w:t>
      </w:r>
      <w:r w:rsidR="00E16672" w:rsidRPr="007B5095">
        <w:rPr>
          <w:rFonts w:ascii="Times New Roman" w:hAnsi="Times New Roman"/>
          <w:b w:val="0"/>
          <w:szCs w:val="20"/>
          <w:lang w:val="uk-UA"/>
        </w:rPr>
        <w:t>http://comex.uafin.net</w:t>
      </w:r>
      <w:r w:rsidR="007D741B" w:rsidRPr="007B5095">
        <w:rPr>
          <w:rFonts w:ascii="Times New Roman" w:hAnsi="Times New Roman"/>
          <w:b w:val="0"/>
          <w:bCs w:val="0"/>
          <w:szCs w:val="20"/>
          <w:lang w:val="uk-UA"/>
        </w:rPr>
        <w:t>.</w:t>
      </w:r>
    </w:p>
    <w:p w14:paraId="4A098C6B" w14:textId="77777777" w:rsidR="00E10AE9" w:rsidRPr="007B5095" w:rsidRDefault="00E10AE9" w:rsidP="00E10AE9">
      <w:pPr>
        <w:pStyle w:val="western"/>
        <w:spacing w:before="0" w:after="0"/>
        <w:ind w:firstLine="539"/>
        <w:jc w:val="both"/>
        <w:rPr>
          <w:rFonts w:ascii="Times New Roman" w:hAnsi="Times New Roman"/>
          <w:b w:val="0"/>
          <w:bCs w:val="0"/>
          <w:szCs w:val="20"/>
          <w:lang w:val="uk-UA"/>
        </w:rPr>
      </w:pPr>
      <w:r w:rsidRPr="007B5095">
        <w:rPr>
          <w:rFonts w:ascii="Times New Roman" w:hAnsi="Times New Roman"/>
          <w:b w:val="0"/>
          <w:bCs w:val="0"/>
          <w:szCs w:val="20"/>
        </w:rPr>
        <w:t>2.1.</w:t>
      </w:r>
      <w:r w:rsidR="009651CD" w:rsidRPr="007B5095">
        <w:rPr>
          <w:rFonts w:ascii="Times New Roman" w:hAnsi="Times New Roman"/>
          <w:b w:val="0"/>
          <w:bCs w:val="0"/>
          <w:szCs w:val="20"/>
        </w:rPr>
        <w:t>1</w:t>
      </w:r>
      <w:r w:rsidR="009651CD" w:rsidRPr="007B5095">
        <w:rPr>
          <w:rFonts w:ascii="Times New Roman" w:hAnsi="Times New Roman"/>
          <w:b w:val="0"/>
          <w:bCs w:val="0"/>
          <w:szCs w:val="20"/>
          <w:lang w:val="uk-UA"/>
        </w:rPr>
        <w:t>6</w:t>
      </w:r>
      <w:r w:rsidRPr="007B5095">
        <w:rPr>
          <w:rFonts w:ascii="Times New Roman" w:hAnsi="Times New Roman"/>
          <w:b w:val="0"/>
          <w:bCs w:val="0"/>
          <w:szCs w:val="20"/>
        </w:rPr>
        <w:t xml:space="preserve">. </w:t>
      </w:r>
      <w:proofErr w:type="spellStart"/>
      <w:r w:rsidRPr="007B5095">
        <w:rPr>
          <w:rFonts w:ascii="Times New Roman" w:hAnsi="Times New Roman"/>
          <w:b w:val="0"/>
          <w:bCs w:val="0"/>
          <w:szCs w:val="20"/>
        </w:rPr>
        <w:t>Закрити</w:t>
      </w:r>
      <w:proofErr w:type="spellEnd"/>
      <w:r w:rsidRPr="007B5095">
        <w:rPr>
          <w:rFonts w:ascii="Times New Roman" w:hAnsi="Times New Roman"/>
          <w:b w:val="0"/>
          <w:bCs w:val="0"/>
          <w:szCs w:val="20"/>
        </w:rPr>
        <w:t xml:space="preserve"> </w:t>
      </w:r>
      <w:proofErr w:type="spellStart"/>
      <w:r w:rsidRPr="007B5095">
        <w:rPr>
          <w:rFonts w:ascii="Times New Roman" w:hAnsi="Times New Roman"/>
          <w:b w:val="0"/>
          <w:bCs w:val="0"/>
          <w:szCs w:val="20"/>
        </w:rPr>
        <w:t>рахунок</w:t>
      </w:r>
      <w:proofErr w:type="spellEnd"/>
      <w:r w:rsidRPr="007B5095">
        <w:rPr>
          <w:rFonts w:ascii="Times New Roman" w:hAnsi="Times New Roman"/>
          <w:b w:val="0"/>
          <w:bCs w:val="0"/>
          <w:szCs w:val="20"/>
        </w:rPr>
        <w:t xml:space="preserve"> </w:t>
      </w:r>
      <w:r w:rsidR="00C22309" w:rsidRPr="007B5095">
        <w:rPr>
          <w:rFonts w:ascii="Times New Roman" w:hAnsi="Times New Roman"/>
          <w:b w:val="0"/>
          <w:bCs w:val="0"/>
          <w:szCs w:val="20"/>
        </w:rPr>
        <w:t xml:space="preserve">в </w:t>
      </w:r>
      <w:proofErr w:type="spellStart"/>
      <w:r w:rsidR="00C22309" w:rsidRPr="007B5095">
        <w:rPr>
          <w:rFonts w:ascii="Times New Roman" w:hAnsi="Times New Roman"/>
          <w:b w:val="0"/>
          <w:bCs w:val="0"/>
          <w:szCs w:val="20"/>
        </w:rPr>
        <w:t>цін</w:t>
      </w:r>
      <w:r w:rsidRPr="007B5095">
        <w:rPr>
          <w:rFonts w:ascii="Times New Roman" w:hAnsi="Times New Roman"/>
          <w:b w:val="0"/>
          <w:bCs w:val="0"/>
          <w:szCs w:val="20"/>
        </w:rPr>
        <w:t>них</w:t>
      </w:r>
      <w:proofErr w:type="spellEnd"/>
      <w:r w:rsidRPr="007B5095">
        <w:rPr>
          <w:rFonts w:ascii="Times New Roman" w:hAnsi="Times New Roman"/>
          <w:b w:val="0"/>
          <w:bCs w:val="0"/>
          <w:szCs w:val="20"/>
        </w:rPr>
        <w:t xml:space="preserve"> </w:t>
      </w:r>
      <w:proofErr w:type="spellStart"/>
      <w:r w:rsidRPr="007B5095">
        <w:rPr>
          <w:rFonts w:ascii="Times New Roman" w:hAnsi="Times New Roman"/>
          <w:b w:val="0"/>
          <w:bCs w:val="0"/>
          <w:szCs w:val="20"/>
        </w:rPr>
        <w:t>паперах</w:t>
      </w:r>
      <w:proofErr w:type="spellEnd"/>
      <w:r w:rsidRPr="007B5095">
        <w:rPr>
          <w:rFonts w:ascii="Times New Roman" w:hAnsi="Times New Roman"/>
          <w:b w:val="0"/>
          <w:bCs w:val="0"/>
          <w:szCs w:val="20"/>
        </w:rPr>
        <w:t xml:space="preserve"> Депонента </w:t>
      </w:r>
      <w:proofErr w:type="gramStart"/>
      <w:r w:rsidRPr="007B5095">
        <w:rPr>
          <w:rFonts w:ascii="Times New Roman" w:hAnsi="Times New Roman"/>
          <w:b w:val="0"/>
          <w:bCs w:val="0"/>
          <w:szCs w:val="20"/>
        </w:rPr>
        <w:t>у порядку</w:t>
      </w:r>
      <w:proofErr w:type="gramEnd"/>
      <w:r w:rsidRPr="007B5095">
        <w:rPr>
          <w:rFonts w:ascii="Times New Roman" w:hAnsi="Times New Roman"/>
          <w:b w:val="0"/>
          <w:bCs w:val="0"/>
          <w:szCs w:val="20"/>
        </w:rPr>
        <w:t xml:space="preserve">, </w:t>
      </w:r>
      <w:proofErr w:type="spellStart"/>
      <w:r w:rsidRPr="007B5095">
        <w:rPr>
          <w:rFonts w:ascii="Times New Roman" w:hAnsi="Times New Roman"/>
          <w:b w:val="0"/>
          <w:bCs w:val="0"/>
          <w:szCs w:val="20"/>
        </w:rPr>
        <w:t>передбаченому</w:t>
      </w:r>
      <w:proofErr w:type="spellEnd"/>
      <w:r w:rsidRPr="007B5095">
        <w:rPr>
          <w:rFonts w:ascii="Times New Roman" w:hAnsi="Times New Roman"/>
          <w:b w:val="0"/>
          <w:bCs w:val="0"/>
          <w:szCs w:val="20"/>
        </w:rPr>
        <w:t xml:space="preserve"> </w:t>
      </w:r>
      <w:proofErr w:type="spellStart"/>
      <w:r w:rsidRPr="007B5095">
        <w:rPr>
          <w:rFonts w:ascii="Times New Roman" w:hAnsi="Times New Roman"/>
          <w:b w:val="0"/>
          <w:bCs w:val="0"/>
          <w:szCs w:val="20"/>
        </w:rPr>
        <w:t>цим</w:t>
      </w:r>
      <w:proofErr w:type="spellEnd"/>
      <w:r w:rsidRPr="007B5095">
        <w:rPr>
          <w:rFonts w:ascii="Times New Roman" w:hAnsi="Times New Roman"/>
          <w:b w:val="0"/>
          <w:bCs w:val="0"/>
          <w:szCs w:val="20"/>
        </w:rPr>
        <w:t xml:space="preserve"> Договором</w:t>
      </w:r>
      <w:r w:rsidR="009651CD" w:rsidRPr="007B5095">
        <w:rPr>
          <w:rFonts w:ascii="Times New Roman" w:hAnsi="Times New Roman"/>
          <w:b w:val="0"/>
          <w:bCs w:val="0"/>
          <w:szCs w:val="20"/>
          <w:lang w:val="uk-UA"/>
        </w:rPr>
        <w:t>,</w:t>
      </w:r>
      <w:r w:rsidRPr="007B5095">
        <w:rPr>
          <w:rFonts w:ascii="Times New Roman" w:hAnsi="Times New Roman"/>
          <w:b w:val="0"/>
          <w:bCs w:val="0"/>
          <w:szCs w:val="20"/>
        </w:rPr>
        <w:t xml:space="preserve"> </w:t>
      </w:r>
      <w:proofErr w:type="spellStart"/>
      <w:r w:rsidRPr="007B5095">
        <w:rPr>
          <w:rFonts w:ascii="Times New Roman" w:hAnsi="Times New Roman"/>
          <w:b w:val="0"/>
          <w:bCs w:val="0"/>
          <w:szCs w:val="20"/>
        </w:rPr>
        <w:t>законодавством</w:t>
      </w:r>
      <w:proofErr w:type="spellEnd"/>
      <w:r w:rsidRPr="007B5095">
        <w:rPr>
          <w:rFonts w:ascii="Times New Roman" w:hAnsi="Times New Roman"/>
          <w:b w:val="0"/>
          <w:bCs w:val="0"/>
          <w:szCs w:val="20"/>
        </w:rPr>
        <w:t xml:space="preserve">, </w:t>
      </w:r>
      <w:proofErr w:type="spellStart"/>
      <w:r w:rsidRPr="007B5095">
        <w:rPr>
          <w:rFonts w:ascii="Times New Roman" w:hAnsi="Times New Roman"/>
          <w:b w:val="0"/>
          <w:bCs w:val="0"/>
          <w:szCs w:val="20"/>
        </w:rPr>
        <w:t>внутрішніми</w:t>
      </w:r>
      <w:proofErr w:type="spellEnd"/>
      <w:r w:rsidRPr="007B5095">
        <w:rPr>
          <w:rFonts w:ascii="Times New Roman" w:hAnsi="Times New Roman"/>
          <w:b w:val="0"/>
          <w:bCs w:val="0"/>
          <w:szCs w:val="20"/>
        </w:rPr>
        <w:t xml:space="preserve"> документами </w:t>
      </w:r>
      <w:proofErr w:type="spellStart"/>
      <w:r w:rsidRPr="007B5095">
        <w:rPr>
          <w:rFonts w:ascii="Times New Roman" w:hAnsi="Times New Roman"/>
          <w:b w:val="0"/>
          <w:bCs w:val="0"/>
          <w:szCs w:val="20"/>
        </w:rPr>
        <w:t>Депозитарної</w:t>
      </w:r>
      <w:proofErr w:type="spellEnd"/>
      <w:r w:rsidRPr="007B5095">
        <w:rPr>
          <w:rFonts w:ascii="Times New Roman" w:hAnsi="Times New Roman"/>
          <w:b w:val="0"/>
          <w:bCs w:val="0"/>
          <w:szCs w:val="20"/>
        </w:rPr>
        <w:t xml:space="preserve"> установи.</w:t>
      </w:r>
    </w:p>
    <w:p w14:paraId="6B5CC633" w14:textId="77777777" w:rsidR="00EB3362" w:rsidRPr="007B5095" w:rsidRDefault="00AF7B3B" w:rsidP="00022F5F">
      <w:pPr>
        <w:pStyle w:val="western"/>
        <w:spacing w:before="0" w:after="0"/>
        <w:ind w:firstLine="539"/>
        <w:jc w:val="left"/>
        <w:rPr>
          <w:rFonts w:ascii="Times New Roman" w:hAnsi="Times New Roman"/>
          <w:b w:val="0"/>
          <w:bCs w:val="0"/>
          <w:szCs w:val="20"/>
        </w:rPr>
      </w:pPr>
      <w:r w:rsidRPr="007B5095">
        <w:rPr>
          <w:rFonts w:ascii="Times New Roman" w:hAnsi="Times New Roman"/>
          <w:b w:val="0"/>
          <w:bCs w:val="0"/>
          <w:szCs w:val="20"/>
        </w:rPr>
        <w:t>2.1.</w:t>
      </w:r>
      <w:r w:rsidR="009651CD" w:rsidRPr="007B5095">
        <w:rPr>
          <w:rFonts w:ascii="Times New Roman" w:hAnsi="Times New Roman"/>
          <w:b w:val="0"/>
          <w:bCs w:val="0"/>
          <w:szCs w:val="20"/>
        </w:rPr>
        <w:t>1</w:t>
      </w:r>
      <w:r w:rsidR="009651CD" w:rsidRPr="007B5095">
        <w:rPr>
          <w:rFonts w:ascii="Times New Roman" w:hAnsi="Times New Roman"/>
          <w:b w:val="0"/>
          <w:bCs w:val="0"/>
          <w:szCs w:val="20"/>
          <w:lang w:val="uk-UA"/>
        </w:rPr>
        <w:t>7</w:t>
      </w:r>
      <w:r w:rsidRPr="007B5095">
        <w:rPr>
          <w:rFonts w:ascii="Times New Roman" w:hAnsi="Times New Roman"/>
          <w:b w:val="0"/>
          <w:bCs w:val="0"/>
          <w:szCs w:val="20"/>
        </w:rPr>
        <w:t xml:space="preserve">. </w:t>
      </w:r>
      <w:proofErr w:type="spellStart"/>
      <w:r w:rsidRPr="007B5095">
        <w:rPr>
          <w:rFonts w:ascii="Times New Roman" w:hAnsi="Times New Roman"/>
          <w:b w:val="0"/>
          <w:bCs w:val="0"/>
          <w:szCs w:val="20"/>
        </w:rPr>
        <w:t>Направляти</w:t>
      </w:r>
      <w:proofErr w:type="spellEnd"/>
      <w:r w:rsidRPr="007B5095">
        <w:rPr>
          <w:rFonts w:ascii="Times New Roman" w:hAnsi="Times New Roman"/>
          <w:b w:val="0"/>
          <w:bCs w:val="0"/>
          <w:szCs w:val="20"/>
        </w:rPr>
        <w:t xml:space="preserve"> у </w:t>
      </w:r>
      <w:proofErr w:type="spellStart"/>
      <w:r w:rsidRPr="007B5095">
        <w:rPr>
          <w:rFonts w:ascii="Times New Roman" w:hAnsi="Times New Roman"/>
          <w:b w:val="0"/>
          <w:bCs w:val="0"/>
          <w:szCs w:val="20"/>
        </w:rPr>
        <w:t>встановленому</w:t>
      </w:r>
      <w:proofErr w:type="spellEnd"/>
      <w:r w:rsidRPr="007B5095">
        <w:rPr>
          <w:rFonts w:ascii="Times New Roman" w:hAnsi="Times New Roman"/>
          <w:b w:val="0"/>
          <w:bCs w:val="0"/>
          <w:szCs w:val="20"/>
        </w:rPr>
        <w:t xml:space="preserve"> </w:t>
      </w:r>
      <w:proofErr w:type="spellStart"/>
      <w:r w:rsidRPr="007B5095">
        <w:rPr>
          <w:rFonts w:ascii="Times New Roman" w:hAnsi="Times New Roman"/>
          <w:b w:val="0"/>
          <w:bCs w:val="0"/>
          <w:szCs w:val="20"/>
        </w:rPr>
        <w:t>законодавством</w:t>
      </w:r>
      <w:proofErr w:type="spellEnd"/>
      <w:r w:rsidRPr="007B5095">
        <w:rPr>
          <w:rFonts w:ascii="Times New Roman" w:hAnsi="Times New Roman"/>
          <w:b w:val="0"/>
          <w:bCs w:val="0"/>
          <w:szCs w:val="20"/>
        </w:rPr>
        <w:t xml:space="preserve"> порядку депоненту, </w:t>
      </w:r>
      <w:proofErr w:type="spellStart"/>
      <w:r w:rsidRPr="007B5095">
        <w:rPr>
          <w:rFonts w:ascii="Times New Roman" w:hAnsi="Times New Roman"/>
          <w:b w:val="0"/>
          <w:bCs w:val="0"/>
          <w:szCs w:val="20"/>
        </w:rPr>
        <w:t>який</w:t>
      </w:r>
      <w:proofErr w:type="spellEnd"/>
      <w:r w:rsidRPr="007B5095">
        <w:rPr>
          <w:rFonts w:ascii="Times New Roman" w:hAnsi="Times New Roman"/>
          <w:b w:val="0"/>
          <w:bCs w:val="0"/>
          <w:szCs w:val="20"/>
        </w:rPr>
        <w:t xml:space="preserve"> є </w:t>
      </w:r>
      <w:proofErr w:type="spellStart"/>
      <w:r w:rsidRPr="007B5095">
        <w:rPr>
          <w:rFonts w:ascii="Times New Roman" w:hAnsi="Times New Roman"/>
          <w:b w:val="0"/>
          <w:bCs w:val="0"/>
          <w:szCs w:val="20"/>
        </w:rPr>
        <w:t>власником</w:t>
      </w:r>
      <w:proofErr w:type="spellEnd"/>
      <w:r w:rsidRPr="007B5095">
        <w:rPr>
          <w:rFonts w:ascii="Times New Roman" w:hAnsi="Times New Roman"/>
          <w:b w:val="0"/>
          <w:bCs w:val="0"/>
          <w:szCs w:val="20"/>
        </w:rPr>
        <w:t xml:space="preserve"> </w:t>
      </w:r>
      <w:proofErr w:type="spellStart"/>
      <w:r w:rsidRPr="007B5095">
        <w:rPr>
          <w:rFonts w:ascii="Times New Roman" w:hAnsi="Times New Roman"/>
          <w:b w:val="0"/>
          <w:bCs w:val="0"/>
          <w:szCs w:val="20"/>
        </w:rPr>
        <w:t>акцій</w:t>
      </w:r>
      <w:proofErr w:type="spellEnd"/>
      <w:r w:rsidRPr="007B5095">
        <w:rPr>
          <w:rFonts w:ascii="Times New Roman" w:hAnsi="Times New Roman"/>
          <w:b w:val="0"/>
          <w:bCs w:val="0"/>
          <w:szCs w:val="20"/>
        </w:rPr>
        <w:t xml:space="preserve"> </w:t>
      </w:r>
      <w:proofErr w:type="spellStart"/>
      <w:r w:rsidRPr="007B5095">
        <w:rPr>
          <w:rFonts w:ascii="Times New Roman" w:hAnsi="Times New Roman"/>
          <w:b w:val="0"/>
          <w:bCs w:val="0"/>
          <w:szCs w:val="20"/>
        </w:rPr>
        <w:t>акціонерного</w:t>
      </w:r>
      <w:proofErr w:type="spellEnd"/>
      <w:r w:rsidRPr="007B5095">
        <w:rPr>
          <w:rFonts w:ascii="Times New Roman" w:hAnsi="Times New Roman"/>
          <w:b w:val="0"/>
          <w:bCs w:val="0"/>
          <w:szCs w:val="20"/>
        </w:rPr>
        <w:t xml:space="preserve"> </w:t>
      </w:r>
      <w:proofErr w:type="spellStart"/>
      <w:r w:rsidRPr="007B5095">
        <w:rPr>
          <w:rFonts w:ascii="Times New Roman" w:hAnsi="Times New Roman"/>
          <w:b w:val="0"/>
          <w:bCs w:val="0"/>
          <w:szCs w:val="20"/>
        </w:rPr>
        <w:t>товариства</w:t>
      </w:r>
      <w:proofErr w:type="spellEnd"/>
      <w:r w:rsidRPr="007B5095">
        <w:rPr>
          <w:rFonts w:ascii="Times New Roman" w:hAnsi="Times New Roman"/>
          <w:b w:val="0"/>
          <w:bCs w:val="0"/>
          <w:szCs w:val="20"/>
        </w:rPr>
        <w:t xml:space="preserve"> на </w:t>
      </w:r>
      <w:proofErr w:type="spellStart"/>
      <w:r w:rsidRPr="007B5095">
        <w:rPr>
          <w:rFonts w:ascii="Times New Roman" w:hAnsi="Times New Roman"/>
          <w:b w:val="0"/>
          <w:bCs w:val="0"/>
          <w:szCs w:val="20"/>
        </w:rPr>
        <w:t>визначену</w:t>
      </w:r>
      <w:proofErr w:type="spellEnd"/>
      <w:r w:rsidRPr="007B5095">
        <w:rPr>
          <w:rFonts w:ascii="Times New Roman" w:hAnsi="Times New Roman"/>
          <w:b w:val="0"/>
          <w:bCs w:val="0"/>
          <w:szCs w:val="20"/>
        </w:rPr>
        <w:t xml:space="preserve"> </w:t>
      </w:r>
      <w:proofErr w:type="spellStart"/>
      <w:r w:rsidRPr="007B5095">
        <w:rPr>
          <w:rFonts w:ascii="Times New Roman" w:hAnsi="Times New Roman"/>
          <w:b w:val="0"/>
          <w:bCs w:val="0"/>
          <w:szCs w:val="20"/>
        </w:rPr>
        <w:t>відповідно</w:t>
      </w:r>
      <w:proofErr w:type="spellEnd"/>
      <w:r w:rsidRPr="007B5095">
        <w:rPr>
          <w:rFonts w:ascii="Times New Roman" w:hAnsi="Times New Roman"/>
          <w:b w:val="0"/>
          <w:bCs w:val="0"/>
          <w:szCs w:val="20"/>
        </w:rPr>
        <w:t xml:space="preserve"> до закону дату, </w:t>
      </w:r>
      <w:proofErr w:type="spellStart"/>
      <w:r w:rsidRPr="007B5095">
        <w:rPr>
          <w:rFonts w:ascii="Times New Roman" w:hAnsi="Times New Roman"/>
          <w:b w:val="0"/>
          <w:bCs w:val="0"/>
          <w:szCs w:val="20"/>
        </w:rPr>
        <w:t>повідомлення</w:t>
      </w:r>
      <w:proofErr w:type="spellEnd"/>
      <w:r w:rsidRPr="007B5095">
        <w:rPr>
          <w:rFonts w:ascii="Times New Roman" w:hAnsi="Times New Roman"/>
          <w:b w:val="0"/>
          <w:bCs w:val="0"/>
          <w:szCs w:val="20"/>
        </w:rPr>
        <w:t xml:space="preserve"> у </w:t>
      </w:r>
      <w:proofErr w:type="spellStart"/>
      <w:r w:rsidRPr="007B5095">
        <w:rPr>
          <w:rFonts w:ascii="Times New Roman" w:hAnsi="Times New Roman"/>
          <w:b w:val="0"/>
          <w:bCs w:val="0"/>
          <w:szCs w:val="20"/>
        </w:rPr>
        <w:t>разі</w:t>
      </w:r>
      <w:proofErr w:type="spellEnd"/>
      <w:r w:rsidRPr="007B5095">
        <w:rPr>
          <w:rFonts w:ascii="Times New Roman" w:hAnsi="Times New Roman"/>
          <w:b w:val="0"/>
          <w:bCs w:val="0"/>
          <w:szCs w:val="20"/>
        </w:rPr>
        <w:t xml:space="preserve"> </w:t>
      </w:r>
      <w:proofErr w:type="spellStart"/>
      <w:r w:rsidRPr="007B5095">
        <w:rPr>
          <w:rFonts w:ascii="Times New Roman" w:hAnsi="Times New Roman"/>
          <w:b w:val="0"/>
          <w:bCs w:val="0"/>
          <w:szCs w:val="20"/>
        </w:rPr>
        <w:t>направлення</w:t>
      </w:r>
      <w:proofErr w:type="spellEnd"/>
      <w:r w:rsidRPr="007B5095">
        <w:rPr>
          <w:rFonts w:ascii="Times New Roman" w:hAnsi="Times New Roman"/>
          <w:b w:val="0"/>
          <w:bCs w:val="0"/>
          <w:szCs w:val="20"/>
        </w:rPr>
        <w:t xml:space="preserve"> </w:t>
      </w:r>
      <w:proofErr w:type="spellStart"/>
      <w:r w:rsidR="00EB3362" w:rsidRPr="007B5095">
        <w:rPr>
          <w:rFonts w:ascii="Times New Roman" w:hAnsi="Times New Roman"/>
          <w:b w:val="0"/>
          <w:szCs w:val="22"/>
          <w:shd w:val="clear" w:color="auto" w:fill="FFFFFF"/>
        </w:rPr>
        <w:t>відповідно</w:t>
      </w:r>
      <w:proofErr w:type="spellEnd"/>
      <w:r w:rsidR="00EB3362" w:rsidRPr="007B5095">
        <w:rPr>
          <w:rFonts w:ascii="Times New Roman" w:hAnsi="Times New Roman"/>
          <w:b w:val="0"/>
          <w:szCs w:val="22"/>
          <w:shd w:val="clear" w:color="auto" w:fill="FFFFFF"/>
        </w:rPr>
        <w:t xml:space="preserve"> до Порядку </w:t>
      </w:r>
      <w:proofErr w:type="spellStart"/>
      <w:r w:rsidR="00EB3362" w:rsidRPr="007B5095">
        <w:rPr>
          <w:rFonts w:ascii="Times New Roman" w:hAnsi="Times New Roman"/>
          <w:b w:val="0"/>
          <w:szCs w:val="22"/>
          <w:shd w:val="clear" w:color="auto" w:fill="FFFFFF"/>
        </w:rPr>
        <w:t>направлення</w:t>
      </w:r>
      <w:proofErr w:type="spellEnd"/>
      <w:r w:rsidR="00EB3362" w:rsidRPr="007B5095">
        <w:rPr>
          <w:rFonts w:ascii="Times New Roman" w:hAnsi="Times New Roman"/>
          <w:b w:val="0"/>
          <w:szCs w:val="22"/>
          <w:shd w:val="clear" w:color="auto" w:fill="FFFFFF"/>
        </w:rPr>
        <w:t xml:space="preserve"> </w:t>
      </w:r>
      <w:proofErr w:type="spellStart"/>
      <w:r w:rsidR="00EB3362" w:rsidRPr="007B5095">
        <w:rPr>
          <w:rFonts w:ascii="Times New Roman" w:hAnsi="Times New Roman"/>
          <w:b w:val="0"/>
          <w:szCs w:val="22"/>
          <w:shd w:val="clear" w:color="auto" w:fill="FFFFFF"/>
        </w:rPr>
        <w:t>повідомлень</w:t>
      </w:r>
      <w:proofErr w:type="spellEnd"/>
      <w:r w:rsidR="00EB3362" w:rsidRPr="007B5095">
        <w:rPr>
          <w:rFonts w:ascii="Times New Roman" w:hAnsi="Times New Roman"/>
          <w:b w:val="0"/>
          <w:szCs w:val="22"/>
          <w:shd w:val="clear" w:color="auto" w:fill="FFFFFF"/>
        </w:rPr>
        <w:t xml:space="preserve"> </w:t>
      </w:r>
      <w:proofErr w:type="spellStart"/>
      <w:r w:rsidR="00EB3362" w:rsidRPr="007B5095">
        <w:rPr>
          <w:rFonts w:ascii="Times New Roman" w:hAnsi="Times New Roman"/>
          <w:b w:val="0"/>
          <w:szCs w:val="22"/>
          <w:shd w:val="clear" w:color="auto" w:fill="FFFFFF"/>
        </w:rPr>
        <w:t>акціонерам</w:t>
      </w:r>
      <w:proofErr w:type="spellEnd"/>
      <w:r w:rsidR="00EB3362" w:rsidRPr="007B5095">
        <w:rPr>
          <w:rFonts w:ascii="Times New Roman" w:hAnsi="Times New Roman"/>
          <w:b w:val="0"/>
          <w:szCs w:val="22"/>
          <w:shd w:val="clear" w:color="auto" w:fill="FFFFFF"/>
        </w:rPr>
        <w:t xml:space="preserve"> через </w:t>
      </w:r>
      <w:proofErr w:type="spellStart"/>
      <w:r w:rsidR="00EB3362" w:rsidRPr="007B5095">
        <w:rPr>
          <w:rFonts w:ascii="Times New Roman" w:hAnsi="Times New Roman"/>
          <w:b w:val="0"/>
          <w:szCs w:val="22"/>
          <w:shd w:val="clear" w:color="auto" w:fill="FFFFFF"/>
        </w:rPr>
        <w:t>депозитарну</w:t>
      </w:r>
      <w:proofErr w:type="spellEnd"/>
      <w:r w:rsidR="00EB3362" w:rsidRPr="007B5095">
        <w:rPr>
          <w:rFonts w:ascii="Times New Roman" w:hAnsi="Times New Roman"/>
          <w:b w:val="0"/>
          <w:szCs w:val="22"/>
          <w:shd w:val="clear" w:color="auto" w:fill="FFFFFF"/>
        </w:rPr>
        <w:t xml:space="preserve"> систему </w:t>
      </w:r>
      <w:proofErr w:type="spellStart"/>
      <w:r w:rsidR="00EB3362" w:rsidRPr="007B5095">
        <w:rPr>
          <w:rFonts w:ascii="Times New Roman" w:hAnsi="Times New Roman"/>
          <w:b w:val="0"/>
          <w:szCs w:val="22"/>
          <w:shd w:val="clear" w:color="auto" w:fill="FFFFFF"/>
        </w:rPr>
        <w:t>України</w:t>
      </w:r>
      <w:proofErr w:type="spellEnd"/>
      <w:r w:rsidR="00EB3362" w:rsidRPr="007B5095">
        <w:rPr>
          <w:rFonts w:ascii="Times New Roman" w:hAnsi="Times New Roman"/>
          <w:b w:val="0"/>
          <w:szCs w:val="22"/>
          <w:shd w:val="clear" w:color="auto" w:fill="FFFFFF"/>
        </w:rPr>
        <w:t xml:space="preserve">, </w:t>
      </w:r>
      <w:proofErr w:type="spellStart"/>
      <w:r w:rsidR="00EB3362" w:rsidRPr="007B5095">
        <w:rPr>
          <w:rFonts w:ascii="Times New Roman" w:hAnsi="Times New Roman"/>
          <w:b w:val="0"/>
          <w:szCs w:val="22"/>
          <w:shd w:val="clear" w:color="auto" w:fill="FFFFFF"/>
        </w:rPr>
        <w:t>затвердженого</w:t>
      </w:r>
      <w:proofErr w:type="spellEnd"/>
      <w:r w:rsidR="004957AE" w:rsidRPr="007B5095">
        <w:rPr>
          <w:rFonts w:ascii="Times New Roman" w:hAnsi="Times New Roman"/>
          <w:b w:val="0"/>
          <w:szCs w:val="22"/>
          <w:shd w:val="clear" w:color="auto" w:fill="FFFFFF"/>
          <w:lang w:val="uk-UA"/>
        </w:rPr>
        <w:t xml:space="preserve"> </w:t>
      </w:r>
      <w:proofErr w:type="spellStart"/>
      <w:r w:rsidR="00EB3362" w:rsidRPr="007B5095">
        <w:rPr>
          <w:rFonts w:ascii="Times New Roman" w:hAnsi="Times New Roman"/>
          <w:b w:val="0"/>
          <w:szCs w:val="22"/>
          <w:shd w:val="clear" w:color="auto" w:fill="FFFFFF"/>
        </w:rPr>
        <w:t>рішенням</w:t>
      </w:r>
      <w:proofErr w:type="spellEnd"/>
      <w:r w:rsidR="00EB3362" w:rsidRPr="007B5095">
        <w:rPr>
          <w:rFonts w:ascii="Times New Roman" w:hAnsi="Times New Roman"/>
          <w:b w:val="0"/>
          <w:szCs w:val="22"/>
          <w:shd w:val="clear" w:color="auto" w:fill="FFFFFF"/>
        </w:rPr>
        <w:t xml:space="preserve"> </w:t>
      </w:r>
      <w:proofErr w:type="spellStart"/>
      <w:r w:rsidR="00EB3362" w:rsidRPr="007B5095">
        <w:rPr>
          <w:rFonts w:ascii="Times New Roman" w:hAnsi="Times New Roman"/>
          <w:b w:val="0"/>
          <w:szCs w:val="22"/>
          <w:shd w:val="clear" w:color="auto" w:fill="FFFFFF"/>
        </w:rPr>
        <w:t>Національної</w:t>
      </w:r>
      <w:proofErr w:type="spellEnd"/>
      <w:r w:rsidR="00EB3362" w:rsidRPr="007B5095">
        <w:rPr>
          <w:rFonts w:ascii="Times New Roman" w:hAnsi="Times New Roman"/>
          <w:b w:val="0"/>
          <w:szCs w:val="22"/>
          <w:shd w:val="clear" w:color="auto" w:fill="FFFFFF"/>
        </w:rPr>
        <w:t xml:space="preserve"> </w:t>
      </w:r>
      <w:proofErr w:type="spellStart"/>
      <w:r w:rsidR="00EB3362" w:rsidRPr="007B5095">
        <w:rPr>
          <w:rFonts w:ascii="Times New Roman" w:hAnsi="Times New Roman"/>
          <w:b w:val="0"/>
          <w:szCs w:val="22"/>
          <w:shd w:val="clear" w:color="auto" w:fill="FFFFFF"/>
        </w:rPr>
        <w:t>комісії</w:t>
      </w:r>
      <w:proofErr w:type="spellEnd"/>
      <w:r w:rsidR="00EB3362" w:rsidRPr="007B5095">
        <w:rPr>
          <w:rFonts w:ascii="Times New Roman" w:hAnsi="Times New Roman"/>
          <w:b w:val="0"/>
          <w:szCs w:val="22"/>
          <w:shd w:val="clear" w:color="auto" w:fill="FFFFFF"/>
        </w:rPr>
        <w:t xml:space="preserve"> з </w:t>
      </w:r>
      <w:proofErr w:type="spellStart"/>
      <w:r w:rsidR="00EB3362" w:rsidRPr="007B5095">
        <w:rPr>
          <w:rFonts w:ascii="Times New Roman" w:hAnsi="Times New Roman"/>
          <w:b w:val="0"/>
          <w:szCs w:val="22"/>
          <w:shd w:val="clear" w:color="auto" w:fill="FFFFFF"/>
        </w:rPr>
        <w:t>цінних</w:t>
      </w:r>
      <w:proofErr w:type="spellEnd"/>
      <w:r w:rsidR="00EB3362" w:rsidRPr="007B5095">
        <w:rPr>
          <w:rFonts w:ascii="Times New Roman" w:hAnsi="Times New Roman"/>
          <w:b w:val="0"/>
          <w:szCs w:val="22"/>
          <w:shd w:val="clear" w:color="auto" w:fill="FFFFFF"/>
        </w:rPr>
        <w:t xml:space="preserve"> </w:t>
      </w:r>
      <w:proofErr w:type="spellStart"/>
      <w:r w:rsidR="00EB3362" w:rsidRPr="007B5095">
        <w:rPr>
          <w:rFonts w:ascii="Times New Roman" w:hAnsi="Times New Roman"/>
          <w:b w:val="0"/>
          <w:szCs w:val="22"/>
          <w:shd w:val="clear" w:color="auto" w:fill="FFFFFF"/>
        </w:rPr>
        <w:t>паперів</w:t>
      </w:r>
      <w:proofErr w:type="spellEnd"/>
      <w:r w:rsidR="00EB3362" w:rsidRPr="007B5095">
        <w:rPr>
          <w:rFonts w:ascii="Times New Roman" w:hAnsi="Times New Roman"/>
          <w:b w:val="0"/>
          <w:szCs w:val="22"/>
          <w:shd w:val="clear" w:color="auto" w:fill="FFFFFF"/>
        </w:rPr>
        <w:t xml:space="preserve"> та фондового ринку </w:t>
      </w:r>
      <w:proofErr w:type="spellStart"/>
      <w:r w:rsidR="00EB3362" w:rsidRPr="007B5095">
        <w:rPr>
          <w:rFonts w:ascii="Times New Roman" w:hAnsi="Times New Roman"/>
          <w:b w:val="0"/>
          <w:szCs w:val="22"/>
          <w:shd w:val="clear" w:color="auto" w:fill="FFFFFF"/>
        </w:rPr>
        <w:t>від</w:t>
      </w:r>
      <w:proofErr w:type="spellEnd"/>
      <w:r w:rsidR="00EB3362" w:rsidRPr="007B5095">
        <w:rPr>
          <w:rFonts w:ascii="Times New Roman" w:hAnsi="Times New Roman"/>
          <w:b w:val="0"/>
          <w:szCs w:val="22"/>
          <w:shd w:val="clear" w:color="auto" w:fill="FFFFFF"/>
        </w:rPr>
        <w:t xml:space="preserve"> 07 </w:t>
      </w:r>
      <w:proofErr w:type="spellStart"/>
      <w:r w:rsidR="00EB3362" w:rsidRPr="007B5095">
        <w:rPr>
          <w:rFonts w:ascii="Times New Roman" w:hAnsi="Times New Roman"/>
          <w:b w:val="0"/>
          <w:szCs w:val="22"/>
          <w:shd w:val="clear" w:color="auto" w:fill="FFFFFF"/>
        </w:rPr>
        <w:t>березня</w:t>
      </w:r>
      <w:proofErr w:type="spellEnd"/>
      <w:r w:rsidR="00EB3362" w:rsidRPr="007B5095">
        <w:rPr>
          <w:rFonts w:ascii="Times New Roman" w:hAnsi="Times New Roman"/>
          <w:b w:val="0"/>
          <w:szCs w:val="22"/>
          <w:shd w:val="clear" w:color="auto" w:fill="FFFFFF"/>
        </w:rPr>
        <w:t xml:space="preserve"> 2017 року N 148, </w:t>
      </w:r>
      <w:proofErr w:type="spellStart"/>
      <w:r w:rsidR="00EB3362" w:rsidRPr="007B5095">
        <w:rPr>
          <w:rFonts w:ascii="Times New Roman" w:hAnsi="Times New Roman"/>
          <w:b w:val="0"/>
          <w:szCs w:val="22"/>
          <w:shd w:val="clear" w:color="auto" w:fill="FFFFFF"/>
        </w:rPr>
        <w:t>зареєстрованого</w:t>
      </w:r>
      <w:proofErr w:type="spellEnd"/>
      <w:r w:rsidR="00EB3362" w:rsidRPr="007B5095">
        <w:rPr>
          <w:rFonts w:ascii="Times New Roman" w:hAnsi="Times New Roman"/>
          <w:b w:val="0"/>
          <w:szCs w:val="22"/>
          <w:shd w:val="clear" w:color="auto" w:fill="FFFFFF"/>
        </w:rPr>
        <w:t xml:space="preserve"> в </w:t>
      </w:r>
      <w:proofErr w:type="spellStart"/>
      <w:r w:rsidR="00EB3362" w:rsidRPr="007B5095">
        <w:rPr>
          <w:rFonts w:ascii="Times New Roman" w:hAnsi="Times New Roman"/>
          <w:b w:val="0"/>
          <w:szCs w:val="22"/>
          <w:shd w:val="clear" w:color="auto" w:fill="FFFFFF"/>
        </w:rPr>
        <w:t>Міністерстві</w:t>
      </w:r>
      <w:proofErr w:type="spellEnd"/>
      <w:r w:rsidR="00EB3362" w:rsidRPr="007B5095">
        <w:rPr>
          <w:rFonts w:ascii="Times New Roman" w:hAnsi="Times New Roman"/>
          <w:b w:val="0"/>
          <w:szCs w:val="22"/>
          <w:shd w:val="clear" w:color="auto" w:fill="FFFFFF"/>
        </w:rPr>
        <w:t xml:space="preserve"> </w:t>
      </w:r>
      <w:proofErr w:type="spellStart"/>
      <w:r w:rsidR="00EB3362" w:rsidRPr="007B5095">
        <w:rPr>
          <w:rFonts w:ascii="Times New Roman" w:hAnsi="Times New Roman"/>
          <w:b w:val="0"/>
          <w:szCs w:val="22"/>
          <w:shd w:val="clear" w:color="auto" w:fill="FFFFFF"/>
        </w:rPr>
        <w:t>юстиції</w:t>
      </w:r>
      <w:proofErr w:type="spellEnd"/>
      <w:r w:rsidR="00EB3362" w:rsidRPr="007B5095">
        <w:rPr>
          <w:rFonts w:ascii="Times New Roman" w:hAnsi="Times New Roman"/>
          <w:b w:val="0"/>
          <w:szCs w:val="22"/>
          <w:shd w:val="clear" w:color="auto" w:fill="FFFFFF"/>
        </w:rPr>
        <w:t xml:space="preserve"> </w:t>
      </w:r>
      <w:proofErr w:type="spellStart"/>
      <w:r w:rsidR="00EB3362" w:rsidRPr="007B5095">
        <w:rPr>
          <w:rFonts w:ascii="Times New Roman" w:hAnsi="Times New Roman"/>
          <w:b w:val="0"/>
          <w:szCs w:val="22"/>
          <w:shd w:val="clear" w:color="auto" w:fill="FFFFFF"/>
        </w:rPr>
        <w:t>України</w:t>
      </w:r>
      <w:proofErr w:type="spellEnd"/>
      <w:r w:rsidR="00EB3362" w:rsidRPr="007B5095">
        <w:rPr>
          <w:rFonts w:ascii="Times New Roman" w:hAnsi="Times New Roman"/>
          <w:b w:val="0"/>
          <w:szCs w:val="22"/>
          <w:shd w:val="clear" w:color="auto" w:fill="FFFFFF"/>
        </w:rPr>
        <w:t xml:space="preserve"> 28 </w:t>
      </w:r>
      <w:proofErr w:type="spellStart"/>
      <w:r w:rsidR="00EB3362" w:rsidRPr="007B5095">
        <w:rPr>
          <w:rFonts w:ascii="Times New Roman" w:hAnsi="Times New Roman"/>
          <w:b w:val="0"/>
          <w:szCs w:val="22"/>
          <w:shd w:val="clear" w:color="auto" w:fill="FFFFFF"/>
        </w:rPr>
        <w:t>березня</w:t>
      </w:r>
      <w:proofErr w:type="spellEnd"/>
      <w:r w:rsidR="00EB3362" w:rsidRPr="007B5095">
        <w:rPr>
          <w:rFonts w:ascii="Times New Roman" w:hAnsi="Times New Roman"/>
          <w:b w:val="0"/>
          <w:szCs w:val="22"/>
          <w:shd w:val="clear" w:color="auto" w:fill="FFFFFF"/>
        </w:rPr>
        <w:t xml:space="preserve"> 2017 року за N 408/30276 (</w:t>
      </w:r>
      <w:proofErr w:type="spellStart"/>
      <w:r w:rsidR="00EB3362" w:rsidRPr="007B5095">
        <w:rPr>
          <w:rFonts w:ascii="Times New Roman" w:hAnsi="Times New Roman"/>
          <w:b w:val="0"/>
          <w:szCs w:val="22"/>
          <w:shd w:val="clear" w:color="auto" w:fill="FFFFFF"/>
        </w:rPr>
        <w:t>із</w:t>
      </w:r>
      <w:proofErr w:type="spellEnd"/>
      <w:r w:rsidR="00EB3362" w:rsidRPr="007B5095">
        <w:rPr>
          <w:rFonts w:ascii="Times New Roman" w:hAnsi="Times New Roman"/>
          <w:b w:val="0"/>
          <w:szCs w:val="22"/>
          <w:shd w:val="clear" w:color="auto" w:fill="FFFFFF"/>
        </w:rPr>
        <w:t xml:space="preserve"> </w:t>
      </w:r>
      <w:proofErr w:type="spellStart"/>
      <w:r w:rsidR="00EB3362" w:rsidRPr="007B5095">
        <w:rPr>
          <w:rFonts w:ascii="Times New Roman" w:hAnsi="Times New Roman"/>
          <w:b w:val="0"/>
          <w:szCs w:val="22"/>
          <w:shd w:val="clear" w:color="auto" w:fill="FFFFFF"/>
        </w:rPr>
        <w:t>змінами</w:t>
      </w:r>
      <w:proofErr w:type="spellEnd"/>
      <w:r w:rsidR="00EB3362" w:rsidRPr="007B5095">
        <w:rPr>
          <w:rFonts w:ascii="Times New Roman" w:hAnsi="Times New Roman"/>
          <w:b w:val="0"/>
          <w:szCs w:val="22"/>
          <w:shd w:val="clear" w:color="auto" w:fill="FFFFFF"/>
        </w:rPr>
        <w:t>), </w:t>
      </w:r>
      <w:r w:rsidRPr="007B5095">
        <w:rPr>
          <w:rFonts w:ascii="Times New Roman" w:hAnsi="Times New Roman"/>
          <w:b w:val="0"/>
          <w:bCs w:val="0"/>
          <w:szCs w:val="20"/>
        </w:rPr>
        <w:t xml:space="preserve"> </w:t>
      </w:r>
      <w:proofErr w:type="spellStart"/>
      <w:r w:rsidRPr="007B5095">
        <w:rPr>
          <w:rFonts w:ascii="Times New Roman" w:hAnsi="Times New Roman"/>
          <w:b w:val="0"/>
          <w:bCs w:val="0"/>
          <w:szCs w:val="20"/>
        </w:rPr>
        <w:t>повідомлення</w:t>
      </w:r>
      <w:proofErr w:type="spellEnd"/>
      <w:r w:rsidRPr="007B5095">
        <w:rPr>
          <w:rFonts w:ascii="Times New Roman" w:hAnsi="Times New Roman"/>
          <w:b w:val="0"/>
          <w:bCs w:val="0"/>
          <w:szCs w:val="20"/>
        </w:rPr>
        <w:t xml:space="preserve"> </w:t>
      </w:r>
      <w:proofErr w:type="spellStart"/>
      <w:r w:rsidRPr="007B5095">
        <w:rPr>
          <w:rFonts w:ascii="Times New Roman" w:hAnsi="Times New Roman"/>
          <w:b w:val="0"/>
          <w:bCs w:val="0"/>
          <w:szCs w:val="20"/>
        </w:rPr>
        <w:t>акціонерам</w:t>
      </w:r>
      <w:proofErr w:type="spellEnd"/>
      <w:r w:rsidRPr="007B5095">
        <w:rPr>
          <w:rFonts w:ascii="Times New Roman" w:hAnsi="Times New Roman"/>
          <w:b w:val="0"/>
          <w:bCs w:val="0"/>
          <w:szCs w:val="20"/>
        </w:rPr>
        <w:t xml:space="preserve"> через </w:t>
      </w:r>
      <w:proofErr w:type="spellStart"/>
      <w:r w:rsidRPr="007B5095">
        <w:rPr>
          <w:rFonts w:ascii="Times New Roman" w:hAnsi="Times New Roman"/>
          <w:b w:val="0"/>
          <w:bCs w:val="0"/>
          <w:szCs w:val="20"/>
        </w:rPr>
        <w:t>депозитарну</w:t>
      </w:r>
      <w:proofErr w:type="spellEnd"/>
      <w:r w:rsidRPr="007B5095">
        <w:rPr>
          <w:rFonts w:ascii="Times New Roman" w:hAnsi="Times New Roman"/>
          <w:b w:val="0"/>
          <w:bCs w:val="0"/>
          <w:szCs w:val="20"/>
        </w:rPr>
        <w:t xml:space="preserve"> систему </w:t>
      </w:r>
      <w:proofErr w:type="spellStart"/>
      <w:r w:rsidRPr="007B5095">
        <w:rPr>
          <w:rFonts w:ascii="Times New Roman" w:hAnsi="Times New Roman"/>
          <w:b w:val="0"/>
          <w:bCs w:val="0"/>
          <w:szCs w:val="20"/>
        </w:rPr>
        <w:t>України</w:t>
      </w:r>
      <w:proofErr w:type="spellEnd"/>
      <w:r w:rsidRPr="007B5095">
        <w:rPr>
          <w:rFonts w:ascii="Times New Roman" w:hAnsi="Times New Roman"/>
          <w:b w:val="0"/>
          <w:bCs w:val="0"/>
          <w:szCs w:val="20"/>
        </w:rPr>
        <w:t xml:space="preserve"> </w:t>
      </w:r>
      <w:proofErr w:type="spellStart"/>
      <w:r w:rsidRPr="007B5095">
        <w:rPr>
          <w:rFonts w:ascii="Times New Roman" w:hAnsi="Times New Roman"/>
          <w:b w:val="0"/>
          <w:bCs w:val="0"/>
          <w:szCs w:val="20"/>
        </w:rPr>
        <w:t>відповідно</w:t>
      </w:r>
      <w:proofErr w:type="spellEnd"/>
      <w:r w:rsidRPr="007B5095">
        <w:rPr>
          <w:rFonts w:ascii="Times New Roman" w:hAnsi="Times New Roman"/>
          <w:b w:val="0"/>
          <w:bCs w:val="0"/>
          <w:szCs w:val="20"/>
        </w:rPr>
        <w:t xml:space="preserve"> до </w:t>
      </w:r>
      <w:hyperlink r:id="rId8" w:anchor="n3" w:tgtFrame="_blank" w:history="1">
        <w:r w:rsidRPr="007B5095">
          <w:rPr>
            <w:rFonts w:ascii="Times New Roman" w:hAnsi="Times New Roman"/>
            <w:b w:val="0"/>
            <w:bCs w:val="0"/>
            <w:szCs w:val="20"/>
          </w:rPr>
          <w:t xml:space="preserve">Закону </w:t>
        </w:r>
        <w:proofErr w:type="spellStart"/>
        <w:r w:rsidRPr="007B5095">
          <w:rPr>
            <w:rFonts w:ascii="Times New Roman" w:hAnsi="Times New Roman"/>
            <w:b w:val="0"/>
            <w:bCs w:val="0"/>
            <w:szCs w:val="20"/>
          </w:rPr>
          <w:t>України</w:t>
        </w:r>
        <w:proofErr w:type="spellEnd"/>
      </w:hyperlink>
      <w:r w:rsidRPr="007B5095">
        <w:rPr>
          <w:rFonts w:ascii="Times New Roman" w:hAnsi="Times New Roman"/>
          <w:b w:val="0"/>
          <w:bCs w:val="0"/>
          <w:szCs w:val="20"/>
        </w:rPr>
        <w:t> </w:t>
      </w:r>
      <w:r w:rsidR="00022F5F" w:rsidRPr="007B5095">
        <w:rPr>
          <w:rFonts w:ascii="Times New Roman" w:hAnsi="Times New Roman"/>
          <w:b w:val="0"/>
          <w:bCs w:val="0"/>
          <w:szCs w:val="20"/>
        </w:rPr>
        <w:t>"</w:t>
      </w:r>
      <w:r w:rsidRPr="007B5095">
        <w:rPr>
          <w:rFonts w:ascii="Times New Roman" w:hAnsi="Times New Roman"/>
          <w:b w:val="0"/>
          <w:bCs w:val="0"/>
          <w:szCs w:val="20"/>
        </w:rPr>
        <w:t xml:space="preserve">Про </w:t>
      </w:r>
      <w:proofErr w:type="spellStart"/>
      <w:r w:rsidRPr="007B5095">
        <w:rPr>
          <w:rFonts w:ascii="Times New Roman" w:hAnsi="Times New Roman"/>
          <w:b w:val="0"/>
          <w:bCs w:val="0"/>
          <w:szCs w:val="20"/>
        </w:rPr>
        <w:t>акціонерні</w:t>
      </w:r>
      <w:proofErr w:type="spellEnd"/>
      <w:r w:rsidRPr="007B5095">
        <w:rPr>
          <w:rFonts w:ascii="Times New Roman" w:hAnsi="Times New Roman"/>
          <w:b w:val="0"/>
          <w:bCs w:val="0"/>
          <w:szCs w:val="20"/>
        </w:rPr>
        <w:t xml:space="preserve"> </w:t>
      </w:r>
      <w:proofErr w:type="spellStart"/>
      <w:r w:rsidRPr="007B5095">
        <w:rPr>
          <w:rFonts w:ascii="Times New Roman" w:hAnsi="Times New Roman"/>
          <w:b w:val="0"/>
          <w:bCs w:val="0"/>
          <w:szCs w:val="20"/>
        </w:rPr>
        <w:t>товариства</w:t>
      </w:r>
      <w:proofErr w:type="spellEnd"/>
      <w:r w:rsidR="00022F5F" w:rsidRPr="007B5095">
        <w:rPr>
          <w:rFonts w:ascii="Times New Roman" w:hAnsi="Times New Roman"/>
          <w:b w:val="0"/>
          <w:bCs w:val="0"/>
          <w:szCs w:val="20"/>
        </w:rPr>
        <w:t>"</w:t>
      </w:r>
      <w:r w:rsidRPr="007B5095">
        <w:rPr>
          <w:rFonts w:ascii="Times New Roman" w:hAnsi="Times New Roman"/>
          <w:b w:val="0"/>
          <w:bCs w:val="0"/>
          <w:szCs w:val="20"/>
        </w:rPr>
        <w:t>.</w:t>
      </w:r>
    </w:p>
    <w:p w14:paraId="612C90DB" w14:textId="77777777" w:rsidR="00E10AE9" w:rsidRPr="007B5095" w:rsidRDefault="00E10AE9" w:rsidP="00E10AE9">
      <w:pPr>
        <w:tabs>
          <w:tab w:val="left" w:pos="851"/>
          <w:tab w:val="left" w:pos="7200"/>
        </w:tabs>
        <w:ind w:firstLine="539"/>
        <w:rPr>
          <w:rFonts w:ascii="Times New Roman" w:hAnsi="Times New Roman"/>
          <w:szCs w:val="20"/>
        </w:rPr>
      </w:pPr>
      <w:r w:rsidRPr="007B5095">
        <w:rPr>
          <w:rFonts w:ascii="Times New Roman" w:hAnsi="Times New Roman"/>
          <w:bCs/>
          <w:szCs w:val="20"/>
        </w:rPr>
        <w:t>2.1.</w:t>
      </w:r>
      <w:r w:rsidR="00F333F6" w:rsidRPr="007B5095">
        <w:rPr>
          <w:rFonts w:ascii="Times New Roman" w:hAnsi="Times New Roman"/>
          <w:bCs/>
          <w:szCs w:val="20"/>
        </w:rPr>
        <w:t>1</w:t>
      </w:r>
      <w:r w:rsidR="00F333F6" w:rsidRPr="007B5095">
        <w:rPr>
          <w:rFonts w:ascii="Times New Roman" w:hAnsi="Times New Roman"/>
          <w:bCs/>
          <w:szCs w:val="20"/>
          <w:lang w:val="uk-UA"/>
        </w:rPr>
        <w:t>8</w:t>
      </w:r>
      <w:r w:rsidRPr="007B5095">
        <w:rPr>
          <w:rFonts w:ascii="Times New Roman" w:hAnsi="Times New Roman"/>
          <w:bCs/>
          <w:szCs w:val="20"/>
        </w:rPr>
        <w:t>.</w:t>
      </w:r>
      <w:r w:rsidRPr="007B5095">
        <w:rPr>
          <w:rFonts w:ascii="Times New Roman" w:hAnsi="Times New Roman"/>
          <w:b/>
          <w:bCs/>
          <w:szCs w:val="20"/>
        </w:rPr>
        <w:t xml:space="preserve"> </w:t>
      </w:r>
      <w:r w:rsidRPr="007B5095">
        <w:rPr>
          <w:rFonts w:ascii="Times New Roman" w:hAnsi="Times New Roman"/>
          <w:szCs w:val="20"/>
          <w:lang w:val="uk-UA"/>
        </w:rPr>
        <w:t>І</w:t>
      </w:r>
      <w:proofErr w:type="spellStart"/>
      <w:r w:rsidRPr="007B5095">
        <w:rPr>
          <w:rFonts w:ascii="Times New Roman" w:hAnsi="Times New Roman"/>
          <w:szCs w:val="20"/>
        </w:rPr>
        <w:t>дентифікувати</w:t>
      </w:r>
      <w:proofErr w:type="spellEnd"/>
      <w:r w:rsidRPr="007B5095">
        <w:rPr>
          <w:rFonts w:ascii="Times New Roman" w:hAnsi="Times New Roman"/>
          <w:szCs w:val="20"/>
        </w:rPr>
        <w:t xml:space="preserve"> та </w:t>
      </w:r>
      <w:proofErr w:type="spellStart"/>
      <w:r w:rsidRPr="007B5095">
        <w:rPr>
          <w:rFonts w:ascii="Times New Roman" w:hAnsi="Times New Roman"/>
          <w:szCs w:val="20"/>
        </w:rPr>
        <w:t>верифікувати</w:t>
      </w:r>
      <w:proofErr w:type="spellEnd"/>
      <w:r w:rsidRPr="007B5095">
        <w:rPr>
          <w:rFonts w:ascii="Times New Roman" w:hAnsi="Times New Roman"/>
          <w:szCs w:val="20"/>
        </w:rPr>
        <w:t xml:space="preserve"> </w:t>
      </w:r>
      <w:proofErr w:type="spellStart"/>
      <w:r w:rsidRPr="007B5095">
        <w:rPr>
          <w:rFonts w:ascii="Times New Roman" w:hAnsi="Times New Roman"/>
          <w:szCs w:val="20"/>
        </w:rPr>
        <w:t>осіб</w:t>
      </w:r>
      <w:proofErr w:type="spellEnd"/>
      <w:r w:rsidRPr="007B5095">
        <w:rPr>
          <w:rFonts w:ascii="Times New Roman" w:hAnsi="Times New Roman"/>
          <w:szCs w:val="20"/>
        </w:rPr>
        <w:t xml:space="preserve">, </w:t>
      </w:r>
      <w:proofErr w:type="spellStart"/>
      <w:r w:rsidRPr="007B5095">
        <w:rPr>
          <w:rFonts w:ascii="Times New Roman" w:hAnsi="Times New Roman"/>
          <w:szCs w:val="20"/>
        </w:rPr>
        <w:t>яким</w:t>
      </w:r>
      <w:proofErr w:type="spellEnd"/>
      <w:r w:rsidRPr="007B5095">
        <w:rPr>
          <w:rFonts w:ascii="Times New Roman" w:hAnsi="Times New Roman"/>
          <w:szCs w:val="20"/>
        </w:rPr>
        <w:t xml:space="preserve"> на </w:t>
      </w:r>
      <w:proofErr w:type="spellStart"/>
      <w:r w:rsidRPr="007B5095">
        <w:rPr>
          <w:rFonts w:ascii="Times New Roman" w:hAnsi="Times New Roman"/>
          <w:szCs w:val="20"/>
        </w:rPr>
        <w:t>підставі</w:t>
      </w:r>
      <w:proofErr w:type="spellEnd"/>
      <w:r w:rsidRPr="007B5095">
        <w:rPr>
          <w:rFonts w:ascii="Times New Roman" w:hAnsi="Times New Roman"/>
          <w:szCs w:val="20"/>
        </w:rPr>
        <w:t xml:space="preserve"> </w:t>
      </w:r>
      <w:r w:rsidRPr="007B5095">
        <w:rPr>
          <w:rFonts w:ascii="Times New Roman" w:hAnsi="Times New Roman"/>
          <w:szCs w:val="20"/>
          <w:lang w:val="uk-UA"/>
        </w:rPr>
        <w:t>Д</w:t>
      </w:r>
      <w:r w:rsidRPr="007B5095">
        <w:rPr>
          <w:rFonts w:ascii="Times New Roman" w:hAnsi="Times New Roman"/>
          <w:szCs w:val="20"/>
        </w:rPr>
        <w:t xml:space="preserve">оговору </w:t>
      </w:r>
      <w:r w:rsidRPr="007B5095">
        <w:rPr>
          <w:rFonts w:ascii="Times New Roman" w:hAnsi="Times New Roman"/>
          <w:szCs w:val="20"/>
          <w:lang w:val="uk-UA"/>
        </w:rPr>
        <w:t>відкривається</w:t>
      </w:r>
      <w:r w:rsidRPr="007B5095">
        <w:rPr>
          <w:rFonts w:ascii="Times New Roman" w:hAnsi="Times New Roman"/>
          <w:szCs w:val="20"/>
        </w:rPr>
        <w:t xml:space="preserve"> </w:t>
      </w:r>
      <w:proofErr w:type="spellStart"/>
      <w:r w:rsidRPr="007B5095">
        <w:rPr>
          <w:rFonts w:ascii="Times New Roman" w:hAnsi="Times New Roman"/>
          <w:szCs w:val="20"/>
        </w:rPr>
        <w:t>рахун</w:t>
      </w:r>
      <w:r w:rsidRPr="007B5095">
        <w:rPr>
          <w:rFonts w:ascii="Times New Roman" w:hAnsi="Times New Roman"/>
          <w:szCs w:val="20"/>
          <w:lang w:val="uk-UA"/>
        </w:rPr>
        <w:t>ок</w:t>
      </w:r>
      <w:proofErr w:type="spellEnd"/>
      <w:r w:rsidRPr="007B5095">
        <w:rPr>
          <w:rFonts w:ascii="Times New Roman" w:hAnsi="Times New Roman"/>
          <w:szCs w:val="20"/>
          <w:lang w:val="uk-UA"/>
        </w:rPr>
        <w:t xml:space="preserve"> </w:t>
      </w:r>
      <w:r w:rsidRPr="007B5095">
        <w:rPr>
          <w:rFonts w:ascii="Times New Roman" w:hAnsi="Times New Roman"/>
          <w:szCs w:val="20"/>
        </w:rPr>
        <w:t xml:space="preserve">в </w:t>
      </w:r>
      <w:proofErr w:type="spellStart"/>
      <w:r w:rsidRPr="007B5095">
        <w:rPr>
          <w:rFonts w:ascii="Times New Roman" w:hAnsi="Times New Roman"/>
          <w:szCs w:val="20"/>
        </w:rPr>
        <w:t>цінних</w:t>
      </w:r>
      <w:proofErr w:type="spellEnd"/>
      <w:r w:rsidRPr="007B5095">
        <w:rPr>
          <w:rFonts w:ascii="Times New Roman" w:hAnsi="Times New Roman"/>
          <w:szCs w:val="20"/>
        </w:rPr>
        <w:t xml:space="preserve"> </w:t>
      </w:r>
      <w:proofErr w:type="spellStart"/>
      <w:r w:rsidRPr="007B5095">
        <w:rPr>
          <w:rFonts w:ascii="Times New Roman" w:hAnsi="Times New Roman"/>
          <w:szCs w:val="20"/>
        </w:rPr>
        <w:t>паперах</w:t>
      </w:r>
      <w:proofErr w:type="spellEnd"/>
      <w:r w:rsidRPr="007B5095">
        <w:rPr>
          <w:rFonts w:ascii="Times New Roman" w:hAnsi="Times New Roman"/>
          <w:szCs w:val="20"/>
        </w:rPr>
        <w:t xml:space="preserve">, а </w:t>
      </w:r>
      <w:proofErr w:type="spellStart"/>
      <w:r w:rsidRPr="007B5095">
        <w:rPr>
          <w:rFonts w:ascii="Times New Roman" w:hAnsi="Times New Roman"/>
          <w:szCs w:val="20"/>
        </w:rPr>
        <w:t>також</w:t>
      </w:r>
      <w:proofErr w:type="spellEnd"/>
      <w:r w:rsidRPr="007B5095">
        <w:rPr>
          <w:rFonts w:ascii="Times New Roman" w:hAnsi="Times New Roman"/>
          <w:szCs w:val="20"/>
        </w:rPr>
        <w:t xml:space="preserve"> </w:t>
      </w:r>
      <w:proofErr w:type="spellStart"/>
      <w:r w:rsidRPr="007B5095">
        <w:rPr>
          <w:rFonts w:ascii="Times New Roman" w:hAnsi="Times New Roman"/>
          <w:szCs w:val="20"/>
        </w:rPr>
        <w:t>осіб</w:t>
      </w:r>
      <w:proofErr w:type="spellEnd"/>
      <w:r w:rsidRPr="007B5095">
        <w:rPr>
          <w:rFonts w:ascii="Times New Roman" w:hAnsi="Times New Roman"/>
          <w:szCs w:val="20"/>
        </w:rPr>
        <w:t xml:space="preserve">, </w:t>
      </w:r>
      <w:proofErr w:type="spellStart"/>
      <w:r w:rsidRPr="007B5095">
        <w:rPr>
          <w:rFonts w:ascii="Times New Roman" w:hAnsi="Times New Roman"/>
          <w:szCs w:val="20"/>
        </w:rPr>
        <w:t>що</w:t>
      </w:r>
      <w:proofErr w:type="spellEnd"/>
      <w:r w:rsidRPr="007B5095">
        <w:rPr>
          <w:rFonts w:ascii="Times New Roman" w:hAnsi="Times New Roman"/>
          <w:szCs w:val="20"/>
        </w:rPr>
        <w:t xml:space="preserve"> </w:t>
      </w:r>
      <w:proofErr w:type="spellStart"/>
      <w:r w:rsidRPr="007B5095">
        <w:rPr>
          <w:rFonts w:ascii="Times New Roman" w:hAnsi="Times New Roman"/>
          <w:szCs w:val="20"/>
        </w:rPr>
        <w:t>мають</w:t>
      </w:r>
      <w:proofErr w:type="spellEnd"/>
      <w:r w:rsidRPr="007B5095">
        <w:rPr>
          <w:rFonts w:ascii="Times New Roman" w:hAnsi="Times New Roman"/>
          <w:szCs w:val="20"/>
        </w:rPr>
        <w:t xml:space="preserve"> </w:t>
      </w:r>
      <w:proofErr w:type="spellStart"/>
      <w:r w:rsidRPr="007B5095">
        <w:rPr>
          <w:rFonts w:ascii="Times New Roman" w:hAnsi="Times New Roman"/>
          <w:szCs w:val="20"/>
        </w:rPr>
        <w:t>повноваження</w:t>
      </w:r>
      <w:proofErr w:type="spellEnd"/>
      <w:r w:rsidRPr="007B5095">
        <w:rPr>
          <w:rFonts w:ascii="Times New Roman" w:hAnsi="Times New Roman"/>
          <w:szCs w:val="20"/>
        </w:rPr>
        <w:t xml:space="preserve"> </w:t>
      </w:r>
      <w:proofErr w:type="spellStart"/>
      <w:r w:rsidRPr="007B5095">
        <w:rPr>
          <w:rFonts w:ascii="Times New Roman" w:hAnsi="Times New Roman"/>
          <w:szCs w:val="20"/>
        </w:rPr>
        <w:t>діяти</w:t>
      </w:r>
      <w:proofErr w:type="spellEnd"/>
      <w:r w:rsidRPr="007B5095">
        <w:rPr>
          <w:rFonts w:ascii="Times New Roman" w:hAnsi="Times New Roman"/>
          <w:szCs w:val="20"/>
        </w:rPr>
        <w:t xml:space="preserve"> </w:t>
      </w:r>
      <w:proofErr w:type="spellStart"/>
      <w:r w:rsidRPr="007B5095">
        <w:rPr>
          <w:rFonts w:ascii="Times New Roman" w:hAnsi="Times New Roman"/>
          <w:szCs w:val="20"/>
        </w:rPr>
        <w:t>від</w:t>
      </w:r>
      <w:proofErr w:type="spellEnd"/>
      <w:r w:rsidRPr="007B5095">
        <w:rPr>
          <w:rFonts w:ascii="Times New Roman" w:hAnsi="Times New Roman"/>
          <w:szCs w:val="20"/>
        </w:rPr>
        <w:t xml:space="preserve"> </w:t>
      </w:r>
      <w:proofErr w:type="spellStart"/>
      <w:r w:rsidRPr="007B5095">
        <w:rPr>
          <w:rFonts w:ascii="Times New Roman" w:hAnsi="Times New Roman"/>
          <w:szCs w:val="20"/>
        </w:rPr>
        <w:t>їх</w:t>
      </w:r>
      <w:proofErr w:type="spellEnd"/>
      <w:r w:rsidRPr="007B5095">
        <w:rPr>
          <w:rFonts w:ascii="Times New Roman" w:hAnsi="Times New Roman"/>
          <w:szCs w:val="20"/>
        </w:rPr>
        <w:t xml:space="preserve"> </w:t>
      </w:r>
      <w:proofErr w:type="spellStart"/>
      <w:r w:rsidRPr="007B5095">
        <w:rPr>
          <w:rFonts w:ascii="Times New Roman" w:hAnsi="Times New Roman"/>
          <w:szCs w:val="20"/>
        </w:rPr>
        <w:t>імені</w:t>
      </w:r>
      <w:proofErr w:type="spellEnd"/>
      <w:r w:rsidRPr="007B5095">
        <w:rPr>
          <w:rFonts w:ascii="Times New Roman" w:hAnsi="Times New Roman"/>
          <w:szCs w:val="20"/>
        </w:rPr>
        <w:t xml:space="preserve">, </w:t>
      </w:r>
      <w:proofErr w:type="gramStart"/>
      <w:r w:rsidRPr="007B5095">
        <w:rPr>
          <w:rFonts w:ascii="Times New Roman" w:hAnsi="Times New Roman"/>
          <w:szCs w:val="20"/>
        </w:rPr>
        <w:t>у порядку</w:t>
      </w:r>
      <w:proofErr w:type="gramEnd"/>
      <w:r w:rsidRPr="007B5095">
        <w:rPr>
          <w:rFonts w:ascii="Times New Roman" w:hAnsi="Times New Roman"/>
          <w:szCs w:val="20"/>
        </w:rPr>
        <w:t xml:space="preserve">, </w:t>
      </w:r>
      <w:proofErr w:type="spellStart"/>
      <w:r w:rsidRPr="007B5095">
        <w:rPr>
          <w:rFonts w:ascii="Times New Roman" w:hAnsi="Times New Roman"/>
          <w:szCs w:val="20"/>
        </w:rPr>
        <w:t>установленому</w:t>
      </w:r>
      <w:proofErr w:type="spellEnd"/>
      <w:r w:rsidRPr="007B5095">
        <w:rPr>
          <w:rFonts w:ascii="Times New Roman" w:hAnsi="Times New Roman"/>
          <w:szCs w:val="20"/>
        </w:rPr>
        <w:t xml:space="preserve"> </w:t>
      </w:r>
      <w:proofErr w:type="spellStart"/>
      <w:r w:rsidRPr="007B5095">
        <w:rPr>
          <w:rFonts w:ascii="Times New Roman" w:hAnsi="Times New Roman"/>
          <w:szCs w:val="20"/>
        </w:rPr>
        <w:t>законодавством</w:t>
      </w:r>
      <w:proofErr w:type="spellEnd"/>
      <w:r w:rsidRPr="007B5095">
        <w:rPr>
          <w:rFonts w:ascii="Times New Roman" w:hAnsi="Times New Roman"/>
          <w:szCs w:val="20"/>
        </w:rPr>
        <w:t xml:space="preserve"> </w:t>
      </w:r>
      <w:proofErr w:type="spellStart"/>
      <w:r w:rsidRPr="007B5095">
        <w:rPr>
          <w:rFonts w:ascii="Times New Roman" w:hAnsi="Times New Roman"/>
          <w:szCs w:val="20"/>
        </w:rPr>
        <w:t>України</w:t>
      </w:r>
      <w:proofErr w:type="spellEnd"/>
      <w:r w:rsidRPr="007B5095">
        <w:rPr>
          <w:rFonts w:ascii="Times New Roman" w:hAnsi="Times New Roman"/>
          <w:szCs w:val="20"/>
        </w:rPr>
        <w:t>.</w:t>
      </w:r>
    </w:p>
    <w:p w14:paraId="05BE04FE" w14:textId="77777777" w:rsidR="00E10AE9" w:rsidRPr="007B5095" w:rsidRDefault="00E10AE9" w:rsidP="00E10AE9">
      <w:pPr>
        <w:tabs>
          <w:tab w:val="left" w:pos="360"/>
        </w:tabs>
        <w:ind w:left="-14" w:firstLine="581"/>
        <w:rPr>
          <w:rStyle w:val="rvts0"/>
          <w:rFonts w:ascii="Times New Roman" w:hAnsi="Times New Roman"/>
          <w:szCs w:val="20"/>
          <w:lang w:val="uk-UA"/>
        </w:rPr>
      </w:pPr>
      <w:r w:rsidRPr="007B5095">
        <w:rPr>
          <w:rStyle w:val="rvts0"/>
          <w:rFonts w:ascii="Times New Roman" w:hAnsi="Times New Roman"/>
          <w:szCs w:val="20"/>
          <w:lang w:val="uk-UA"/>
        </w:rPr>
        <w:t xml:space="preserve">Ідентифікація клієнта не є обов’язковою у разі проведення фінансової операції (відкриття рахунку) особами, які раніше були ідентифіковані або </w:t>
      </w:r>
      <w:proofErr w:type="spellStart"/>
      <w:r w:rsidRPr="007B5095">
        <w:rPr>
          <w:rStyle w:val="rvts0"/>
          <w:rFonts w:ascii="Times New Roman" w:hAnsi="Times New Roman"/>
          <w:szCs w:val="20"/>
          <w:lang w:val="uk-UA"/>
        </w:rPr>
        <w:t>верифіковані</w:t>
      </w:r>
      <w:proofErr w:type="spellEnd"/>
      <w:r w:rsidRPr="007B5095">
        <w:rPr>
          <w:rStyle w:val="rvts0"/>
          <w:rFonts w:ascii="Times New Roman" w:hAnsi="Times New Roman"/>
          <w:szCs w:val="20"/>
          <w:lang w:val="uk-UA"/>
        </w:rPr>
        <w:t xml:space="preserve"> Депозитарною установою згідно з вимогами закону.</w:t>
      </w:r>
    </w:p>
    <w:p w14:paraId="65D2392C" w14:textId="77777777" w:rsidR="00E10AE9" w:rsidRPr="007B5095" w:rsidRDefault="00AF7B3B" w:rsidP="00E10AE9">
      <w:pPr>
        <w:pStyle w:val="western"/>
        <w:spacing w:before="0" w:after="0"/>
        <w:ind w:firstLine="561"/>
        <w:jc w:val="both"/>
        <w:rPr>
          <w:rFonts w:ascii="Times New Roman" w:hAnsi="Times New Roman"/>
          <w:b w:val="0"/>
          <w:bCs w:val="0"/>
          <w:szCs w:val="20"/>
        </w:rPr>
      </w:pPr>
      <w:r w:rsidRPr="007B5095">
        <w:rPr>
          <w:rFonts w:ascii="Times New Roman" w:hAnsi="Times New Roman"/>
          <w:b w:val="0"/>
          <w:bCs w:val="0"/>
          <w:szCs w:val="20"/>
        </w:rPr>
        <w:t>2.1.</w:t>
      </w:r>
      <w:r w:rsidR="00F333F6" w:rsidRPr="007B5095">
        <w:rPr>
          <w:rFonts w:ascii="Times New Roman" w:hAnsi="Times New Roman"/>
          <w:b w:val="0"/>
          <w:bCs w:val="0"/>
          <w:szCs w:val="20"/>
          <w:lang w:val="uk-UA"/>
        </w:rPr>
        <w:t>19</w:t>
      </w:r>
      <w:r w:rsidR="00E10AE9" w:rsidRPr="007B5095">
        <w:rPr>
          <w:rFonts w:ascii="Times New Roman" w:hAnsi="Times New Roman"/>
          <w:b w:val="0"/>
          <w:bCs w:val="0"/>
          <w:szCs w:val="20"/>
        </w:rPr>
        <w:t xml:space="preserve">. </w:t>
      </w:r>
      <w:proofErr w:type="spellStart"/>
      <w:r w:rsidR="00E10AE9" w:rsidRPr="007B5095">
        <w:rPr>
          <w:rFonts w:ascii="Times New Roman" w:hAnsi="Times New Roman"/>
          <w:b w:val="0"/>
          <w:bCs w:val="0"/>
          <w:szCs w:val="20"/>
        </w:rPr>
        <w:t>Складати</w:t>
      </w:r>
      <w:proofErr w:type="spellEnd"/>
      <w:r w:rsidR="00E10AE9" w:rsidRPr="007B5095">
        <w:rPr>
          <w:rFonts w:ascii="Times New Roman" w:hAnsi="Times New Roman"/>
          <w:b w:val="0"/>
          <w:bCs w:val="0"/>
          <w:szCs w:val="20"/>
        </w:rPr>
        <w:t xml:space="preserve"> акт </w:t>
      </w:r>
      <w:proofErr w:type="spellStart"/>
      <w:r w:rsidR="00E10AE9" w:rsidRPr="007B5095">
        <w:rPr>
          <w:rFonts w:ascii="Times New Roman" w:hAnsi="Times New Roman"/>
          <w:b w:val="0"/>
          <w:bCs w:val="0"/>
          <w:szCs w:val="20"/>
        </w:rPr>
        <w:t>приймання-передавання</w:t>
      </w:r>
      <w:proofErr w:type="spellEnd"/>
      <w:r w:rsidR="00E10AE9" w:rsidRPr="007B5095">
        <w:rPr>
          <w:rFonts w:ascii="Times New Roman" w:hAnsi="Times New Roman"/>
          <w:b w:val="0"/>
          <w:bCs w:val="0"/>
          <w:szCs w:val="20"/>
        </w:rPr>
        <w:t xml:space="preserve"> </w:t>
      </w:r>
      <w:proofErr w:type="spellStart"/>
      <w:r w:rsidR="00E10AE9" w:rsidRPr="007B5095">
        <w:rPr>
          <w:rFonts w:ascii="Times New Roman" w:hAnsi="Times New Roman"/>
          <w:b w:val="0"/>
          <w:bCs w:val="0"/>
          <w:szCs w:val="20"/>
        </w:rPr>
        <w:t>документів</w:t>
      </w:r>
      <w:proofErr w:type="spellEnd"/>
      <w:r w:rsidR="00E10AE9" w:rsidRPr="007B5095">
        <w:rPr>
          <w:rFonts w:ascii="Times New Roman" w:hAnsi="Times New Roman"/>
          <w:b w:val="0"/>
          <w:bCs w:val="0"/>
          <w:szCs w:val="20"/>
        </w:rPr>
        <w:t xml:space="preserve">, </w:t>
      </w:r>
      <w:proofErr w:type="spellStart"/>
      <w:r w:rsidR="00E10AE9" w:rsidRPr="007B5095">
        <w:rPr>
          <w:rFonts w:ascii="Times New Roman" w:hAnsi="Times New Roman"/>
          <w:b w:val="0"/>
          <w:bCs w:val="0"/>
          <w:szCs w:val="20"/>
        </w:rPr>
        <w:t>що</w:t>
      </w:r>
      <w:proofErr w:type="spellEnd"/>
      <w:r w:rsidR="00E10AE9" w:rsidRPr="007B5095">
        <w:rPr>
          <w:rFonts w:ascii="Times New Roman" w:hAnsi="Times New Roman"/>
          <w:b w:val="0"/>
          <w:bCs w:val="0"/>
          <w:szCs w:val="20"/>
        </w:rPr>
        <w:t xml:space="preserve"> </w:t>
      </w:r>
      <w:proofErr w:type="spellStart"/>
      <w:r w:rsidR="00E10AE9" w:rsidRPr="007B5095">
        <w:rPr>
          <w:rFonts w:ascii="Times New Roman" w:hAnsi="Times New Roman"/>
          <w:b w:val="0"/>
          <w:bCs w:val="0"/>
          <w:szCs w:val="20"/>
        </w:rPr>
        <w:t>були</w:t>
      </w:r>
      <w:proofErr w:type="spellEnd"/>
      <w:r w:rsidR="00E10AE9" w:rsidRPr="007B5095">
        <w:rPr>
          <w:rFonts w:ascii="Times New Roman" w:hAnsi="Times New Roman"/>
          <w:b w:val="0"/>
          <w:bCs w:val="0"/>
          <w:szCs w:val="20"/>
        </w:rPr>
        <w:t xml:space="preserve"> </w:t>
      </w:r>
      <w:proofErr w:type="spellStart"/>
      <w:r w:rsidR="00E10AE9" w:rsidRPr="007B5095">
        <w:rPr>
          <w:rFonts w:ascii="Times New Roman" w:hAnsi="Times New Roman"/>
          <w:b w:val="0"/>
          <w:bCs w:val="0"/>
          <w:szCs w:val="20"/>
        </w:rPr>
        <w:t>підставою</w:t>
      </w:r>
      <w:proofErr w:type="spellEnd"/>
      <w:r w:rsidR="00E10AE9" w:rsidRPr="007B5095">
        <w:rPr>
          <w:rFonts w:ascii="Times New Roman" w:hAnsi="Times New Roman"/>
          <w:b w:val="0"/>
          <w:bCs w:val="0"/>
          <w:szCs w:val="20"/>
        </w:rPr>
        <w:t xml:space="preserve"> для </w:t>
      </w:r>
      <w:proofErr w:type="spellStart"/>
      <w:r w:rsidR="00E10AE9" w:rsidRPr="007B5095">
        <w:rPr>
          <w:rFonts w:ascii="Times New Roman" w:hAnsi="Times New Roman"/>
          <w:b w:val="0"/>
          <w:bCs w:val="0"/>
          <w:szCs w:val="20"/>
        </w:rPr>
        <w:t>встановлення</w:t>
      </w:r>
      <w:proofErr w:type="spellEnd"/>
      <w:r w:rsidR="00E10AE9" w:rsidRPr="007B5095">
        <w:rPr>
          <w:rFonts w:ascii="Times New Roman" w:hAnsi="Times New Roman"/>
          <w:b w:val="0"/>
          <w:bCs w:val="0"/>
          <w:szCs w:val="20"/>
        </w:rPr>
        <w:t xml:space="preserve"> </w:t>
      </w:r>
      <w:proofErr w:type="spellStart"/>
      <w:r w:rsidR="00E10AE9" w:rsidRPr="007B5095">
        <w:rPr>
          <w:rFonts w:ascii="Times New Roman" w:hAnsi="Times New Roman"/>
          <w:b w:val="0"/>
          <w:bCs w:val="0"/>
          <w:szCs w:val="20"/>
        </w:rPr>
        <w:t>обмежень</w:t>
      </w:r>
      <w:proofErr w:type="spellEnd"/>
      <w:r w:rsidR="00E10AE9" w:rsidRPr="007B5095">
        <w:rPr>
          <w:rFonts w:ascii="Times New Roman" w:hAnsi="Times New Roman"/>
          <w:b w:val="0"/>
          <w:bCs w:val="0"/>
          <w:szCs w:val="20"/>
        </w:rPr>
        <w:t xml:space="preserve"> </w:t>
      </w:r>
      <w:proofErr w:type="spellStart"/>
      <w:r w:rsidR="00E10AE9" w:rsidRPr="007B5095">
        <w:rPr>
          <w:rFonts w:ascii="Times New Roman" w:hAnsi="Times New Roman"/>
          <w:b w:val="0"/>
          <w:bCs w:val="0"/>
          <w:szCs w:val="20"/>
        </w:rPr>
        <w:t>цінних</w:t>
      </w:r>
      <w:proofErr w:type="spellEnd"/>
      <w:r w:rsidR="00E10AE9" w:rsidRPr="007B5095">
        <w:rPr>
          <w:rFonts w:ascii="Times New Roman" w:hAnsi="Times New Roman"/>
          <w:b w:val="0"/>
          <w:bCs w:val="0"/>
          <w:szCs w:val="20"/>
        </w:rPr>
        <w:t xml:space="preserve"> </w:t>
      </w:r>
      <w:proofErr w:type="spellStart"/>
      <w:r w:rsidR="00E10AE9" w:rsidRPr="007B5095">
        <w:rPr>
          <w:rFonts w:ascii="Times New Roman" w:hAnsi="Times New Roman"/>
          <w:b w:val="0"/>
          <w:bCs w:val="0"/>
          <w:szCs w:val="20"/>
        </w:rPr>
        <w:t>паперів</w:t>
      </w:r>
      <w:proofErr w:type="spellEnd"/>
      <w:r w:rsidR="00E10AE9" w:rsidRPr="007B5095">
        <w:rPr>
          <w:rFonts w:ascii="Times New Roman" w:hAnsi="Times New Roman"/>
          <w:b w:val="0"/>
          <w:bCs w:val="0"/>
          <w:szCs w:val="20"/>
        </w:rPr>
        <w:t xml:space="preserve"> в </w:t>
      </w:r>
      <w:proofErr w:type="spellStart"/>
      <w:r w:rsidR="00E10AE9" w:rsidRPr="007B5095">
        <w:rPr>
          <w:rFonts w:ascii="Times New Roman" w:hAnsi="Times New Roman"/>
          <w:b w:val="0"/>
          <w:bCs w:val="0"/>
          <w:szCs w:val="20"/>
        </w:rPr>
        <w:t>обігу</w:t>
      </w:r>
      <w:proofErr w:type="spellEnd"/>
      <w:r w:rsidR="00E10AE9" w:rsidRPr="007B5095">
        <w:rPr>
          <w:rFonts w:ascii="Times New Roman" w:hAnsi="Times New Roman"/>
          <w:b w:val="0"/>
          <w:bCs w:val="0"/>
          <w:szCs w:val="20"/>
        </w:rPr>
        <w:t xml:space="preserve"> по </w:t>
      </w:r>
      <w:proofErr w:type="spellStart"/>
      <w:r w:rsidR="00E10AE9" w:rsidRPr="007B5095">
        <w:rPr>
          <w:rFonts w:ascii="Times New Roman" w:hAnsi="Times New Roman"/>
          <w:b w:val="0"/>
          <w:bCs w:val="0"/>
          <w:szCs w:val="20"/>
        </w:rPr>
        <w:t>рахунку</w:t>
      </w:r>
      <w:proofErr w:type="spellEnd"/>
      <w:r w:rsidR="00E10AE9" w:rsidRPr="007B5095">
        <w:rPr>
          <w:rFonts w:ascii="Times New Roman" w:hAnsi="Times New Roman"/>
          <w:b w:val="0"/>
          <w:bCs w:val="0"/>
          <w:szCs w:val="20"/>
        </w:rPr>
        <w:t xml:space="preserve"> </w:t>
      </w:r>
      <w:r w:rsidR="00C22309" w:rsidRPr="007B5095">
        <w:rPr>
          <w:rFonts w:ascii="Times New Roman" w:hAnsi="Times New Roman"/>
          <w:b w:val="0"/>
          <w:bCs w:val="0"/>
          <w:szCs w:val="20"/>
        </w:rPr>
        <w:t xml:space="preserve">в </w:t>
      </w:r>
      <w:proofErr w:type="spellStart"/>
      <w:r w:rsidR="00C22309" w:rsidRPr="007B5095">
        <w:rPr>
          <w:rFonts w:ascii="Times New Roman" w:hAnsi="Times New Roman"/>
          <w:b w:val="0"/>
          <w:bCs w:val="0"/>
          <w:szCs w:val="20"/>
        </w:rPr>
        <w:t>цін</w:t>
      </w:r>
      <w:r w:rsidR="00E10AE9" w:rsidRPr="007B5095">
        <w:rPr>
          <w:rFonts w:ascii="Times New Roman" w:hAnsi="Times New Roman"/>
          <w:b w:val="0"/>
          <w:bCs w:val="0"/>
          <w:szCs w:val="20"/>
        </w:rPr>
        <w:t>них</w:t>
      </w:r>
      <w:proofErr w:type="spellEnd"/>
      <w:r w:rsidR="00E10AE9" w:rsidRPr="007B5095">
        <w:rPr>
          <w:rFonts w:ascii="Times New Roman" w:hAnsi="Times New Roman"/>
          <w:b w:val="0"/>
          <w:bCs w:val="0"/>
          <w:szCs w:val="20"/>
        </w:rPr>
        <w:t xml:space="preserve"> </w:t>
      </w:r>
      <w:proofErr w:type="spellStart"/>
      <w:r w:rsidR="00E10AE9" w:rsidRPr="007B5095">
        <w:rPr>
          <w:rFonts w:ascii="Times New Roman" w:hAnsi="Times New Roman"/>
          <w:b w:val="0"/>
          <w:bCs w:val="0"/>
          <w:szCs w:val="20"/>
        </w:rPr>
        <w:t>паперах</w:t>
      </w:r>
      <w:proofErr w:type="spellEnd"/>
      <w:r w:rsidR="00E10AE9" w:rsidRPr="007B5095">
        <w:rPr>
          <w:rFonts w:ascii="Times New Roman" w:hAnsi="Times New Roman"/>
          <w:b w:val="0"/>
          <w:bCs w:val="0"/>
          <w:szCs w:val="20"/>
        </w:rPr>
        <w:t xml:space="preserve"> Депонента, з </w:t>
      </w:r>
      <w:proofErr w:type="spellStart"/>
      <w:r w:rsidR="00E10AE9" w:rsidRPr="007B5095">
        <w:rPr>
          <w:rFonts w:ascii="Times New Roman" w:hAnsi="Times New Roman"/>
          <w:b w:val="0"/>
          <w:bCs w:val="0"/>
          <w:szCs w:val="20"/>
        </w:rPr>
        <w:t>якого</w:t>
      </w:r>
      <w:proofErr w:type="spellEnd"/>
      <w:r w:rsidR="00E10AE9" w:rsidRPr="007B5095">
        <w:rPr>
          <w:rFonts w:ascii="Times New Roman" w:hAnsi="Times New Roman"/>
          <w:b w:val="0"/>
          <w:bCs w:val="0"/>
          <w:szCs w:val="20"/>
        </w:rPr>
        <w:t xml:space="preserve"> </w:t>
      </w:r>
      <w:proofErr w:type="spellStart"/>
      <w:r w:rsidR="00E10AE9" w:rsidRPr="007B5095">
        <w:rPr>
          <w:rFonts w:ascii="Times New Roman" w:hAnsi="Times New Roman"/>
          <w:b w:val="0"/>
          <w:bCs w:val="0"/>
          <w:szCs w:val="20"/>
        </w:rPr>
        <w:t>підлягають</w:t>
      </w:r>
      <w:proofErr w:type="spellEnd"/>
      <w:r w:rsidR="00E10AE9" w:rsidRPr="007B5095">
        <w:rPr>
          <w:rFonts w:ascii="Times New Roman" w:hAnsi="Times New Roman"/>
          <w:b w:val="0"/>
          <w:bCs w:val="0"/>
          <w:szCs w:val="20"/>
        </w:rPr>
        <w:t xml:space="preserve"> </w:t>
      </w:r>
      <w:proofErr w:type="spellStart"/>
      <w:r w:rsidR="00E10AE9" w:rsidRPr="007B5095">
        <w:rPr>
          <w:rFonts w:ascii="Times New Roman" w:hAnsi="Times New Roman"/>
          <w:b w:val="0"/>
          <w:bCs w:val="0"/>
          <w:szCs w:val="20"/>
        </w:rPr>
        <w:t>списанню</w:t>
      </w:r>
      <w:proofErr w:type="spellEnd"/>
      <w:r w:rsidR="00E10AE9" w:rsidRPr="007B5095">
        <w:rPr>
          <w:rFonts w:ascii="Times New Roman" w:hAnsi="Times New Roman"/>
          <w:b w:val="0"/>
          <w:bCs w:val="0"/>
          <w:szCs w:val="20"/>
        </w:rPr>
        <w:t xml:space="preserve"> права на </w:t>
      </w:r>
      <w:proofErr w:type="spellStart"/>
      <w:r w:rsidR="00E10AE9" w:rsidRPr="007B5095">
        <w:rPr>
          <w:rFonts w:ascii="Times New Roman" w:hAnsi="Times New Roman"/>
          <w:b w:val="0"/>
          <w:bCs w:val="0"/>
          <w:szCs w:val="20"/>
        </w:rPr>
        <w:t>цінні</w:t>
      </w:r>
      <w:proofErr w:type="spellEnd"/>
      <w:r w:rsidR="00E10AE9" w:rsidRPr="007B5095">
        <w:rPr>
          <w:rFonts w:ascii="Times New Roman" w:hAnsi="Times New Roman"/>
          <w:b w:val="0"/>
          <w:bCs w:val="0"/>
          <w:szCs w:val="20"/>
        </w:rPr>
        <w:t xml:space="preserve"> </w:t>
      </w:r>
      <w:proofErr w:type="spellStart"/>
      <w:r w:rsidR="00E10AE9" w:rsidRPr="007B5095">
        <w:rPr>
          <w:rFonts w:ascii="Times New Roman" w:hAnsi="Times New Roman"/>
          <w:b w:val="0"/>
          <w:bCs w:val="0"/>
          <w:szCs w:val="20"/>
        </w:rPr>
        <w:t>папери</w:t>
      </w:r>
      <w:proofErr w:type="spellEnd"/>
      <w:r w:rsidR="00E10AE9" w:rsidRPr="007B5095">
        <w:rPr>
          <w:rFonts w:ascii="Times New Roman" w:hAnsi="Times New Roman"/>
          <w:b w:val="0"/>
          <w:bCs w:val="0"/>
          <w:szCs w:val="20"/>
        </w:rPr>
        <w:t xml:space="preserve">, </w:t>
      </w:r>
      <w:proofErr w:type="spellStart"/>
      <w:r w:rsidR="00E10AE9" w:rsidRPr="007B5095">
        <w:rPr>
          <w:rFonts w:ascii="Times New Roman" w:hAnsi="Times New Roman"/>
          <w:b w:val="0"/>
          <w:bCs w:val="0"/>
          <w:szCs w:val="20"/>
        </w:rPr>
        <w:t>що</w:t>
      </w:r>
      <w:proofErr w:type="spellEnd"/>
      <w:r w:rsidR="00E10AE9" w:rsidRPr="007B5095">
        <w:rPr>
          <w:rFonts w:ascii="Times New Roman" w:hAnsi="Times New Roman"/>
          <w:b w:val="0"/>
          <w:bCs w:val="0"/>
          <w:szCs w:val="20"/>
        </w:rPr>
        <w:t xml:space="preserve"> </w:t>
      </w:r>
      <w:proofErr w:type="spellStart"/>
      <w:r w:rsidR="00E10AE9" w:rsidRPr="007B5095">
        <w:rPr>
          <w:rFonts w:ascii="Times New Roman" w:hAnsi="Times New Roman"/>
          <w:b w:val="0"/>
          <w:bCs w:val="0"/>
          <w:szCs w:val="20"/>
        </w:rPr>
        <w:t>обмежені</w:t>
      </w:r>
      <w:proofErr w:type="spellEnd"/>
      <w:r w:rsidR="00E10AE9" w:rsidRPr="007B5095">
        <w:rPr>
          <w:rFonts w:ascii="Times New Roman" w:hAnsi="Times New Roman"/>
          <w:b w:val="0"/>
          <w:bCs w:val="0"/>
          <w:szCs w:val="20"/>
        </w:rPr>
        <w:t xml:space="preserve"> в </w:t>
      </w:r>
      <w:proofErr w:type="spellStart"/>
      <w:r w:rsidR="00E10AE9" w:rsidRPr="007B5095">
        <w:rPr>
          <w:rFonts w:ascii="Times New Roman" w:hAnsi="Times New Roman"/>
          <w:b w:val="0"/>
          <w:bCs w:val="0"/>
          <w:szCs w:val="20"/>
        </w:rPr>
        <w:t>обігу</w:t>
      </w:r>
      <w:proofErr w:type="spellEnd"/>
      <w:r w:rsidR="00E10AE9" w:rsidRPr="007B5095">
        <w:rPr>
          <w:rFonts w:ascii="Times New Roman" w:hAnsi="Times New Roman"/>
          <w:b w:val="0"/>
          <w:bCs w:val="0"/>
          <w:szCs w:val="20"/>
        </w:rPr>
        <w:t>.</w:t>
      </w:r>
    </w:p>
    <w:p w14:paraId="4CE82FF7" w14:textId="77777777" w:rsidR="00E10AE9" w:rsidRPr="007B5095" w:rsidRDefault="00E10AE9" w:rsidP="00022F5F">
      <w:pPr>
        <w:pStyle w:val="western"/>
        <w:spacing w:before="0" w:after="0"/>
        <w:ind w:firstLine="539"/>
        <w:jc w:val="left"/>
        <w:rPr>
          <w:rFonts w:ascii="Times New Roman" w:hAnsi="Times New Roman"/>
          <w:b w:val="0"/>
          <w:bCs w:val="0"/>
          <w:szCs w:val="20"/>
        </w:rPr>
      </w:pPr>
      <w:r w:rsidRPr="007B5095">
        <w:rPr>
          <w:rFonts w:ascii="Times New Roman" w:hAnsi="Times New Roman"/>
          <w:b w:val="0"/>
          <w:bCs w:val="0"/>
          <w:szCs w:val="20"/>
        </w:rPr>
        <w:t>2.1.</w:t>
      </w:r>
      <w:r w:rsidR="00F333F6" w:rsidRPr="007B5095">
        <w:rPr>
          <w:rFonts w:ascii="Times New Roman" w:hAnsi="Times New Roman"/>
          <w:b w:val="0"/>
          <w:bCs w:val="0"/>
          <w:szCs w:val="20"/>
        </w:rPr>
        <w:t>2</w:t>
      </w:r>
      <w:r w:rsidR="00F333F6" w:rsidRPr="007B5095">
        <w:rPr>
          <w:rFonts w:ascii="Times New Roman" w:hAnsi="Times New Roman"/>
          <w:b w:val="0"/>
          <w:bCs w:val="0"/>
          <w:szCs w:val="20"/>
          <w:lang w:val="uk-UA"/>
        </w:rPr>
        <w:t>0</w:t>
      </w:r>
      <w:r w:rsidRPr="007B5095">
        <w:rPr>
          <w:rFonts w:ascii="Times New Roman" w:hAnsi="Times New Roman"/>
          <w:b w:val="0"/>
          <w:bCs w:val="0"/>
          <w:szCs w:val="20"/>
        </w:rPr>
        <w:t xml:space="preserve">. </w:t>
      </w:r>
      <w:proofErr w:type="spellStart"/>
      <w:r w:rsidR="005E6046" w:rsidRPr="007B5095">
        <w:rPr>
          <w:rFonts w:ascii="Times New Roman" w:hAnsi="Times New Roman"/>
          <w:b w:val="0"/>
          <w:bCs w:val="0"/>
          <w:szCs w:val="20"/>
        </w:rPr>
        <w:t>Розкривати</w:t>
      </w:r>
      <w:proofErr w:type="spellEnd"/>
      <w:r w:rsidR="005E6046" w:rsidRPr="007B5095">
        <w:rPr>
          <w:rFonts w:ascii="Times New Roman" w:hAnsi="Times New Roman"/>
          <w:b w:val="0"/>
          <w:bCs w:val="0"/>
          <w:szCs w:val="20"/>
        </w:rPr>
        <w:t xml:space="preserve"> депоненту </w:t>
      </w:r>
      <w:proofErr w:type="spellStart"/>
      <w:r w:rsidR="005E6046" w:rsidRPr="007B5095">
        <w:rPr>
          <w:rFonts w:ascii="Times New Roman" w:hAnsi="Times New Roman"/>
          <w:b w:val="0"/>
          <w:bCs w:val="0"/>
          <w:szCs w:val="20"/>
        </w:rPr>
        <w:t>інформацію</w:t>
      </w:r>
      <w:proofErr w:type="spellEnd"/>
      <w:r w:rsidR="005E6046" w:rsidRPr="007B5095">
        <w:rPr>
          <w:rFonts w:ascii="Times New Roman" w:hAnsi="Times New Roman"/>
          <w:b w:val="0"/>
          <w:bCs w:val="0"/>
          <w:szCs w:val="20"/>
        </w:rPr>
        <w:t xml:space="preserve"> про </w:t>
      </w:r>
      <w:proofErr w:type="spellStart"/>
      <w:r w:rsidR="005E6046" w:rsidRPr="007B5095">
        <w:rPr>
          <w:rFonts w:ascii="Times New Roman" w:hAnsi="Times New Roman"/>
          <w:b w:val="0"/>
          <w:bCs w:val="0"/>
          <w:szCs w:val="20"/>
        </w:rPr>
        <w:t>умови</w:t>
      </w:r>
      <w:proofErr w:type="spellEnd"/>
      <w:r w:rsidR="005E6046" w:rsidRPr="007B5095">
        <w:rPr>
          <w:rFonts w:ascii="Times New Roman" w:hAnsi="Times New Roman"/>
          <w:b w:val="0"/>
          <w:bCs w:val="0"/>
          <w:szCs w:val="20"/>
        </w:rPr>
        <w:t xml:space="preserve"> та порядок </w:t>
      </w:r>
      <w:proofErr w:type="spellStart"/>
      <w:r w:rsidR="005E6046" w:rsidRPr="007B5095">
        <w:rPr>
          <w:rFonts w:ascii="Times New Roman" w:hAnsi="Times New Roman"/>
          <w:b w:val="0"/>
          <w:bCs w:val="0"/>
          <w:szCs w:val="20"/>
        </w:rPr>
        <w:t>діяльності</w:t>
      </w:r>
      <w:proofErr w:type="spellEnd"/>
      <w:r w:rsidR="005E6046" w:rsidRPr="007B5095">
        <w:rPr>
          <w:rFonts w:ascii="Times New Roman" w:hAnsi="Times New Roman"/>
          <w:b w:val="0"/>
          <w:bCs w:val="0"/>
          <w:szCs w:val="20"/>
        </w:rPr>
        <w:t xml:space="preserve"> </w:t>
      </w:r>
      <w:proofErr w:type="spellStart"/>
      <w:r w:rsidR="005E6046" w:rsidRPr="007B5095">
        <w:rPr>
          <w:rFonts w:ascii="Times New Roman" w:hAnsi="Times New Roman"/>
          <w:b w:val="0"/>
          <w:bCs w:val="0"/>
          <w:szCs w:val="20"/>
        </w:rPr>
        <w:t>депозитарної</w:t>
      </w:r>
      <w:proofErr w:type="spellEnd"/>
      <w:r w:rsidR="005E6046" w:rsidRPr="007B5095">
        <w:rPr>
          <w:rFonts w:ascii="Times New Roman" w:hAnsi="Times New Roman"/>
          <w:b w:val="0"/>
          <w:bCs w:val="0"/>
          <w:szCs w:val="20"/>
        </w:rPr>
        <w:t xml:space="preserve"> установи з </w:t>
      </w:r>
      <w:proofErr w:type="spellStart"/>
      <w:r w:rsidR="005E6046" w:rsidRPr="007B5095">
        <w:rPr>
          <w:rFonts w:ascii="Times New Roman" w:hAnsi="Times New Roman"/>
          <w:b w:val="0"/>
          <w:bCs w:val="0"/>
          <w:szCs w:val="20"/>
        </w:rPr>
        <w:t>урахуванням</w:t>
      </w:r>
      <w:proofErr w:type="spellEnd"/>
      <w:r w:rsidR="005E6046" w:rsidRPr="007B5095">
        <w:rPr>
          <w:rFonts w:ascii="Times New Roman" w:hAnsi="Times New Roman"/>
          <w:b w:val="0"/>
          <w:bCs w:val="0"/>
          <w:szCs w:val="20"/>
        </w:rPr>
        <w:t xml:space="preserve"> </w:t>
      </w:r>
      <w:proofErr w:type="spellStart"/>
      <w:r w:rsidR="005E6046" w:rsidRPr="007B5095">
        <w:rPr>
          <w:rFonts w:ascii="Times New Roman" w:hAnsi="Times New Roman"/>
          <w:b w:val="0"/>
          <w:bCs w:val="0"/>
          <w:szCs w:val="20"/>
        </w:rPr>
        <w:t>вимог</w:t>
      </w:r>
      <w:proofErr w:type="spellEnd"/>
      <w:r w:rsidR="005E6046" w:rsidRPr="007B5095">
        <w:rPr>
          <w:rFonts w:ascii="Times New Roman" w:hAnsi="Times New Roman"/>
          <w:b w:val="0"/>
          <w:bCs w:val="0"/>
          <w:szCs w:val="20"/>
        </w:rPr>
        <w:t xml:space="preserve">, </w:t>
      </w:r>
      <w:proofErr w:type="spellStart"/>
      <w:r w:rsidR="005E6046" w:rsidRPr="007B5095">
        <w:rPr>
          <w:rFonts w:ascii="Times New Roman" w:hAnsi="Times New Roman"/>
          <w:b w:val="0"/>
          <w:bCs w:val="0"/>
          <w:szCs w:val="20"/>
        </w:rPr>
        <w:t>встановлених</w:t>
      </w:r>
      <w:proofErr w:type="spellEnd"/>
      <w:r w:rsidR="005E6046" w:rsidRPr="007B5095">
        <w:rPr>
          <w:rFonts w:ascii="Times New Roman" w:hAnsi="Times New Roman"/>
          <w:b w:val="0"/>
          <w:bCs w:val="0"/>
          <w:szCs w:val="20"/>
        </w:rPr>
        <w:t> </w:t>
      </w:r>
      <w:proofErr w:type="spellStart"/>
      <w:r w:rsidR="005E6046" w:rsidRPr="007B5095">
        <w:rPr>
          <w:rFonts w:ascii="Times New Roman" w:hAnsi="Times New Roman"/>
          <w:b w:val="0"/>
          <w:bCs w:val="0"/>
          <w:szCs w:val="20"/>
        </w:rPr>
        <w:t>частиною</w:t>
      </w:r>
      <w:proofErr w:type="spellEnd"/>
      <w:r w:rsidR="005E6046" w:rsidRPr="007B5095">
        <w:rPr>
          <w:rFonts w:ascii="Times New Roman" w:hAnsi="Times New Roman"/>
          <w:b w:val="0"/>
          <w:bCs w:val="0"/>
          <w:szCs w:val="20"/>
        </w:rPr>
        <w:t xml:space="preserve"> </w:t>
      </w:r>
      <w:proofErr w:type="spellStart"/>
      <w:r w:rsidR="005E6046" w:rsidRPr="007B5095">
        <w:rPr>
          <w:rFonts w:ascii="Times New Roman" w:hAnsi="Times New Roman"/>
          <w:b w:val="0"/>
          <w:bCs w:val="0"/>
          <w:szCs w:val="20"/>
        </w:rPr>
        <w:t>першою</w:t>
      </w:r>
      <w:proofErr w:type="spellEnd"/>
      <w:r w:rsidR="005E6046" w:rsidRPr="007B5095">
        <w:rPr>
          <w:rFonts w:ascii="Times New Roman" w:hAnsi="Times New Roman"/>
          <w:b w:val="0"/>
          <w:bCs w:val="0"/>
          <w:szCs w:val="20"/>
        </w:rPr>
        <w:t xml:space="preserve"> </w:t>
      </w:r>
      <w:proofErr w:type="spellStart"/>
      <w:r w:rsidR="005E6046" w:rsidRPr="007B5095">
        <w:rPr>
          <w:rFonts w:ascii="Times New Roman" w:hAnsi="Times New Roman"/>
          <w:b w:val="0"/>
          <w:bCs w:val="0"/>
          <w:szCs w:val="20"/>
        </w:rPr>
        <w:t>статті</w:t>
      </w:r>
      <w:proofErr w:type="spellEnd"/>
      <w:r w:rsidR="005E6046" w:rsidRPr="007B5095">
        <w:rPr>
          <w:rFonts w:ascii="Times New Roman" w:hAnsi="Times New Roman"/>
          <w:b w:val="0"/>
          <w:bCs w:val="0"/>
          <w:szCs w:val="20"/>
        </w:rPr>
        <w:t xml:space="preserve"> 12 Закону </w:t>
      </w:r>
      <w:proofErr w:type="spellStart"/>
      <w:r w:rsidR="005E6046" w:rsidRPr="007B5095">
        <w:rPr>
          <w:rFonts w:ascii="Times New Roman" w:hAnsi="Times New Roman"/>
          <w:b w:val="0"/>
          <w:bCs w:val="0"/>
          <w:szCs w:val="20"/>
        </w:rPr>
        <w:t>України</w:t>
      </w:r>
      <w:proofErr w:type="spellEnd"/>
      <w:r w:rsidR="005E6046" w:rsidRPr="007B5095">
        <w:rPr>
          <w:rFonts w:ascii="Times New Roman" w:hAnsi="Times New Roman"/>
          <w:b w:val="0"/>
          <w:bCs w:val="0"/>
          <w:szCs w:val="20"/>
        </w:rPr>
        <w:t xml:space="preserve"> </w:t>
      </w:r>
      <w:r w:rsidR="00022F5F" w:rsidRPr="007B5095">
        <w:rPr>
          <w:rFonts w:ascii="Times New Roman" w:hAnsi="Times New Roman"/>
          <w:b w:val="0"/>
          <w:bCs w:val="0"/>
          <w:szCs w:val="20"/>
        </w:rPr>
        <w:t>"</w:t>
      </w:r>
      <w:r w:rsidR="005E6046" w:rsidRPr="007B5095">
        <w:rPr>
          <w:rFonts w:ascii="Times New Roman" w:hAnsi="Times New Roman"/>
          <w:b w:val="0"/>
          <w:bCs w:val="0"/>
          <w:szCs w:val="20"/>
        </w:rPr>
        <w:t xml:space="preserve">Про </w:t>
      </w:r>
      <w:proofErr w:type="spellStart"/>
      <w:r w:rsidR="005E6046" w:rsidRPr="007B5095">
        <w:rPr>
          <w:rFonts w:ascii="Times New Roman" w:hAnsi="Times New Roman"/>
          <w:b w:val="0"/>
          <w:bCs w:val="0"/>
          <w:szCs w:val="20"/>
        </w:rPr>
        <w:t>фінансові</w:t>
      </w:r>
      <w:proofErr w:type="spellEnd"/>
      <w:r w:rsidR="005E6046" w:rsidRPr="007B5095">
        <w:rPr>
          <w:rFonts w:ascii="Times New Roman" w:hAnsi="Times New Roman"/>
          <w:b w:val="0"/>
          <w:bCs w:val="0"/>
          <w:szCs w:val="20"/>
        </w:rPr>
        <w:t xml:space="preserve"> </w:t>
      </w:r>
      <w:proofErr w:type="spellStart"/>
      <w:r w:rsidR="005E6046" w:rsidRPr="007B5095">
        <w:rPr>
          <w:rFonts w:ascii="Times New Roman" w:hAnsi="Times New Roman"/>
          <w:b w:val="0"/>
          <w:bCs w:val="0"/>
          <w:szCs w:val="20"/>
        </w:rPr>
        <w:t>послуги</w:t>
      </w:r>
      <w:proofErr w:type="spellEnd"/>
      <w:r w:rsidR="005E6046" w:rsidRPr="007B5095">
        <w:rPr>
          <w:rFonts w:ascii="Times New Roman" w:hAnsi="Times New Roman"/>
          <w:b w:val="0"/>
          <w:bCs w:val="0"/>
          <w:szCs w:val="20"/>
        </w:rPr>
        <w:t xml:space="preserve"> та </w:t>
      </w:r>
      <w:proofErr w:type="spellStart"/>
      <w:r w:rsidR="005E6046" w:rsidRPr="007B5095">
        <w:rPr>
          <w:rFonts w:ascii="Times New Roman" w:hAnsi="Times New Roman"/>
          <w:b w:val="0"/>
          <w:bCs w:val="0"/>
          <w:szCs w:val="20"/>
        </w:rPr>
        <w:t>державне</w:t>
      </w:r>
      <w:proofErr w:type="spellEnd"/>
      <w:r w:rsidR="005E6046" w:rsidRPr="007B5095">
        <w:rPr>
          <w:rFonts w:ascii="Times New Roman" w:hAnsi="Times New Roman"/>
          <w:b w:val="0"/>
          <w:bCs w:val="0"/>
          <w:szCs w:val="20"/>
        </w:rPr>
        <w:t xml:space="preserve"> </w:t>
      </w:r>
      <w:proofErr w:type="spellStart"/>
      <w:r w:rsidR="005E6046" w:rsidRPr="007B5095">
        <w:rPr>
          <w:rFonts w:ascii="Times New Roman" w:hAnsi="Times New Roman"/>
          <w:b w:val="0"/>
          <w:bCs w:val="0"/>
          <w:szCs w:val="20"/>
        </w:rPr>
        <w:t>регулювання</w:t>
      </w:r>
      <w:proofErr w:type="spellEnd"/>
      <w:r w:rsidR="005E6046" w:rsidRPr="007B5095">
        <w:rPr>
          <w:rFonts w:ascii="Times New Roman" w:hAnsi="Times New Roman"/>
          <w:b w:val="0"/>
          <w:bCs w:val="0"/>
          <w:szCs w:val="20"/>
        </w:rPr>
        <w:t xml:space="preserve"> </w:t>
      </w:r>
      <w:proofErr w:type="spellStart"/>
      <w:r w:rsidR="005E6046" w:rsidRPr="007B5095">
        <w:rPr>
          <w:rFonts w:ascii="Times New Roman" w:hAnsi="Times New Roman"/>
          <w:b w:val="0"/>
          <w:bCs w:val="0"/>
          <w:szCs w:val="20"/>
        </w:rPr>
        <w:t>ринків</w:t>
      </w:r>
      <w:proofErr w:type="spellEnd"/>
      <w:r w:rsidR="005E6046" w:rsidRPr="007B5095">
        <w:rPr>
          <w:rFonts w:ascii="Times New Roman" w:hAnsi="Times New Roman"/>
          <w:b w:val="0"/>
          <w:bCs w:val="0"/>
          <w:szCs w:val="20"/>
        </w:rPr>
        <w:t xml:space="preserve"> </w:t>
      </w:r>
      <w:proofErr w:type="spellStart"/>
      <w:r w:rsidR="005E6046" w:rsidRPr="007B5095">
        <w:rPr>
          <w:rFonts w:ascii="Times New Roman" w:hAnsi="Times New Roman"/>
          <w:b w:val="0"/>
          <w:bCs w:val="0"/>
          <w:szCs w:val="20"/>
        </w:rPr>
        <w:t>фінансових</w:t>
      </w:r>
      <w:proofErr w:type="spellEnd"/>
      <w:r w:rsidR="005E6046" w:rsidRPr="007B5095">
        <w:rPr>
          <w:rFonts w:ascii="Times New Roman" w:hAnsi="Times New Roman"/>
          <w:b w:val="0"/>
          <w:bCs w:val="0"/>
          <w:szCs w:val="20"/>
        </w:rPr>
        <w:t xml:space="preserve"> </w:t>
      </w:r>
      <w:proofErr w:type="spellStart"/>
      <w:r w:rsidR="005E6046" w:rsidRPr="007B5095">
        <w:rPr>
          <w:rFonts w:ascii="Times New Roman" w:hAnsi="Times New Roman"/>
          <w:b w:val="0"/>
          <w:bCs w:val="0"/>
          <w:szCs w:val="20"/>
        </w:rPr>
        <w:t>послуг</w:t>
      </w:r>
      <w:proofErr w:type="spellEnd"/>
      <w:r w:rsidR="00022F5F" w:rsidRPr="007B5095">
        <w:rPr>
          <w:rFonts w:ascii="Times New Roman" w:hAnsi="Times New Roman"/>
          <w:b w:val="0"/>
          <w:bCs w:val="0"/>
          <w:szCs w:val="20"/>
        </w:rPr>
        <w:t>"</w:t>
      </w:r>
      <w:r w:rsidRPr="007B5095">
        <w:rPr>
          <w:rFonts w:ascii="Times New Roman" w:hAnsi="Times New Roman"/>
          <w:b w:val="0"/>
          <w:bCs w:val="0"/>
          <w:szCs w:val="20"/>
        </w:rPr>
        <w:t>.</w:t>
      </w:r>
    </w:p>
    <w:p w14:paraId="0284EE8D" w14:textId="150A372C" w:rsidR="00E10AE9" w:rsidRPr="007B5095" w:rsidRDefault="00AF7B3B" w:rsidP="00E10AE9">
      <w:pPr>
        <w:tabs>
          <w:tab w:val="left" w:pos="851"/>
          <w:tab w:val="left" w:pos="7200"/>
        </w:tabs>
        <w:ind w:firstLine="539"/>
        <w:rPr>
          <w:rFonts w:ascii="Times New Roman" w:hAnsi="Times New Roman"/>
          <w:szCs w:val="20"/>
        </w:rPr>
      </w:pPr>
      <w:r w:rsidRPr="007B5095">
        <w:rPr>
          <w:rFonts w:ascii="Times New Roman" w:hAnsi="Times New Roman"/>
          <w:szCs w:val="20"/>
        </w:rPr>
        <w:t>2.1.</w:t>
      </w:r>
      <w:r w:rsidR="00F333F6" w:rsidRPr="007B5095">
        <w:rPr>
          <w:rFonts w:ascii="Times New Roman" w:hAnsi="Times New Roman"/>
          <w:szCs w:val="20"/>
        </w:rPr>
        <w:t>2</w:t>
      </w:r>
      <w:r w:rsidR="00F333F6" w:rsidRPr="007B5095">
        <w:rPr>
          <w:rFonts w:ascii="Times New Roman" w:hAnsi="Times New Roman"/>
          <w:szCs w:val="20"/>
          <w:lang w:val="uk-UA"/>
        </w:rPr>
        <w:t>1</w:t>
      </w:r>
      <w:r w:rsidR="00E10AE9" w:rsidRPr="007B5095">
        <w:rPr>
          <w:rFonts w:ascii="Times New Roman" w:hAnsi="Times New Roman"/>
          <w:szCs w:val="20"/>
        </w:rPr>
        <w:t xml:space="preserve">. </w:t>
      </w:r>
      <w:proofErr w:type="spellStart"/>
      <w:r w:rsidR="00E10AE9" w:rsidRPr="007B5095">
        <w:rPr>
          <w:rFonts w:ascii="Times New Roman" w:hAnsi="Times New Roman"/>
          <w:szCs w:val="20"/>
        </w:rPr>
        <w:t>Отримавши</w:t>
      </w:r>
      <w:proofErr w:type="spellEnd"/>
      <w:r w:rsidR="00E10AE9" w:rsidRPr="007B5095">
        <w:rPr>
          <w:rFonts w:ascii="Times New Roman" w:hAnsi="Times New Roman"/>
          <w:szCs w:val="20"/>
        </w:rPr>
        <w:t xml:space="preserve"> </w:t>
      </w:r>
      <w:proofErr w:type="spellStart"/>
      <w:r w:rsidR="00E10AE9" w:rsidRPr="007B5095">
        <w:rPr>
          <w:rFonts w:ascii="Times New Roman" w:hAnsi="Times New Roman"/>
          <w:szCs w:val="20"/>
        </w:rPr>
        <w:t>від</w:t>
      </w:r>
      <w:proofErr w:type="spellEnd"/>
      <w:r w:rsidR="00E10AE9" w:rsidRPr="007B5095">
        <w:rPr>
          <w:rFonts w:ascii="Times New Roman" w:hAnsi="Times New Roman"/>
          <w:szCs w:val="20"/>
        </w:rPr>
        <w:t xml:space="preserve"> Центрального </w:t>
      </w:r>
      <w:proofErr w:type="spellStart"/>
      <w:r w:rsidR="00E10AE9" w:rsidRPr="007B5095">
        <w:rPr>
          <w:rFonts w:ascii="Times New Roman" w:hAnsi="Times New Roman"/>
          <w:szCs w:val="20"/>
        </w:rPr>
        <w:t>депозитарію</w:t>
      </w:r>
      <w:proofErr w:type="spellEnd"/>
      <w:r w:rsidR="00E10AE9" w:rsidRPr="007B5095">
        <w:rPr>
          <w:rFonts w:ascii="Times New Roman" w:hAnsi="Times New Roman"/>
          <w:szCs w:val="20"/>
        </w:rPr>
        <w:t xml:space="preserve"> </w:t>
      </w:r>
      <w:proofErr w:type="spellStart"/>
      <w:r w:rsidR="00E10AE9" w:rsidRPr="007B5095">
        <w:rPr>
          <w:rFonts w:ascii="Times New Roman" w:hAnsi="Times New Roman"/>
          <w:szCs w:val="20"/>
        </w:rPr>
        <w:t>повідомлення</w:t>
      </w:r>
      <w:proofErr w:type="spellEnd"/>
      <w:r w:rsidR="00E10AE9" w:rsidRPr="007B5095">
        <w:rPr>
          <w:rFonts w:ascii="Times New Roman" w:hAnsi="Times New Roman"/>
          <w:szCs w:val="20"/>
        </w:rPr>
        <w:t xml:space="preserve"> про </w:t>
      </w:r>
      <w:proofErr w:type="spellStart"/>
      <w:r w:rsidR="00E10AE9" w:rsidRPr="007B5095">
        <w:rPr>
          <w:rFonts w:ascii="Times New Roman" w:hAnsi="Times New Roman"/>
          <w:szCs w:val="20"/>
        </w:rPr>
        <w:t>завершення</w:t>
      </w:r>
      <w:proofErr w:type="spellEnd"/>
      <w:r w:rsidR="00E10AE9" w:rsidRPr="007B5095">
        <w:rPr>
          <w:rFonts w:ascii="Times New Roman" w:hAnsi="Times New Roman"/>
          <w:szCs w:val="20"/>
        </w:rPr>
        <w:t xml:space="preserve"> </w:t>
      </w:r>
      <w:proofErr w:type="spellStart"/>
      <w:r w:rsidR="00E10AE9" w:rsidRPr="007B5095">
        <w:rPr>
          <w:rFonts w:ascii="Times New Roman" w:hAnsi="Times New Roman"/>
          <w:szCs w:val="20"/>
        </w:rPr>
        <w:t>процедури</w:t>
      </w:r>
      <w:proofErr w:type="spellEnd"/>
      <w:r w:rsidR="00E10AE9" w:rsidRPr="007B5095">
        <w:rPr>
          <w:rFonts w:ascii="Times New Roman" w:hAnsi="Times New Roman"/>
          <w:szCs w:val="20"/>
        </w:rPr>
        <w:t xml:space="preserve"> </w:t>
      </w:r>
      <w:proofErr w:type="spellStart"/>
      <w:r w:rsidR="00E10AE9" w:rsidRPr="007B5095">
        <w:rPr>
          <w:rFonts w:ascii="Times New Roman" w:hAnsi="Times New Roman"/>
          <w:szCs w:val="20"/>
        </w:rPr>
        <w:t>переведення</w:t>
      </w:r>
      <w:proofErr w:type="spellEnd"/>
      <w:r w:rsidR="00E10AE9" w:rsidRPr="007B5095">
        <w:rPr>
          <w:rFonts w:ascii="Times New Roman" w:hAnsi="Times New Roman"/>
          <w:szCs w:val="20"/>
        </w:rPr>
        <w:t xml:space="preserve"> </w:t>
      </w:r>
      <w:proofErr w:type="spellStart"/>
      <w:r w:rsidR="00E10AE9" w:rsidRPr="007B5095">
        <w:rPr>
          <w:rFonts w:ascii="Times New Roman" w:hAnsi="Times New Roman"/>
          <w:szCs w:val="20"/>
        </w:rPr>
        <w:t>іменних</w:t>
      </w:r>
      <w:proofErr w:type="spellEnd"/>
      <w:r w:rsidR="00E10AE9" w:rsidRPr="007B5095">
        <w:rPr>
          <w:rFonts w:ascii="Times New Roman" w:hAnsi="Times New Roman"/>
          <w:szCs w:val="20"/>
        </w:rPr>
        <w:t xml:space="preserve"> </w:t>
      </w:r>
      <w:proofErr w:type="spellStart"/>
      <w:r w:rsidR="00E10AE9" w:rsidRPr="007B5095">
        <w:rPr>
          <w:rFonts w:ascii="Times New Roman" w:hAnsi="Times New Roman"/>
          <w:szCs w:val="20"/>
        </w:rPr>
        <w:t>цінних</w:t>
      </w:r>
      <w:proofErr w:type="spellEnd"/>
      <w:r w:rsidR="00E10AE9" w:rsidRPr="007B5095">
        <w:rPr>
          <w:rFonts w:ascii="Times New Roman" w:hAnsi="Times New Roman"/>
          <w:szCs w:val="20"/>
        </w:rPr>
        <w:t xml:space="preserve"> </w:t>
      </w:r>
      <w:proofErr w:type="spellStart"/>
      <w:r w:rsidR="00E10AE9" w:rsidRPr="007B5095">
        <w:rPr>
          <w:rFonts w:ascii="Times New Roman" w:hAnsi="Times New Roman"/>
          <w:szCs w:val="20"/>
        </w:rPr>
        <w:t>паперів</w:t>
      </w:r>
      <w:proofErr w:type="spellEnd"/>
      <w:r w:rsidR="00E10AE9" w:rsidRPr="007B5095">
        <w:rPr>
          <w:rFonts w:ascii="Times New Roman" w:hAnsi="Times New Roman"/>
          <w:szCs w:val="20"/>
        </w:rPr>
        <w:t xml:space="preserve"> </w:t>
      </w:r>
      <w:proofErr w:type="spellStart"/>
      <w:r w:rsidR="00E10AE9" w:rsidRPr="007B5095">
        <w:rPr>
          <w:rFonts w:ascii="Times New Roman" w:hAnsi="Times New Roman"/>
          <w:szCs w:val="20"/>
        </w:rPr>
        <w:t>певного</w:t>
      </w:r>
      <w:proofErr w:type="spellEnd"/>
      <w:r w:rsidR="00E10AE9" w:rsidRPr="007B5095">
        <w:rPr>
          <w:rFonts w:ascii="Times New Roman" w:hAnsi="Times New Roman"/>
          <w:szCs w:val="20"/>
        </w:rPr>
        <w:t xml:space="preserve"> </w:t>
      </w:r>
      <w:proofErr w:type="spellStart"/>
      <w:r w:rsidR="00E10AE9" w:rsidRPr="007B5095">
        <w:rPr>
          <w:rFonts w:ascii="Times New Roman" w:hAnsi="Times New Roman"/>
          <w:szCs w:val="20"/>
        </w:rPr>
        <w:t>випуску</w:t>
      </w:r>
      <w:proofErr w:type="spellEnd"/>
      <w:r w:rsidR="00E10AE9" w:rsidRPr="007B5095">
        <w:rPr>
          <w:rFonts w:ascii="Times New Roman" w:hAnsi="Times New Roman"/>
          <w:szCs w:val="20"/>
        </w:rPr>
        <w:t xml:space="preserve"> у </w:t>
      </w:r>
      <w:proofErr w:type="spellStart"/>
      <w:r w:rsidR="00E10AE9" w:rsidRPr="007B5095">
        <w:rPr>
          <w:rFonts w:ascii="Times New Roman" w:hAnsi="Times New Roman"/>
          <w:szCs w:val="20"/>
        </w:rPr>
        <w:t>бездокументарну</w:t>
      </w:r>
      <w:proofErr w:type="spellEnd"/>
      <w:r w:rsidR="00E10AE9" w:rsidRPr="007B5095">
        <w:rPr>
          <w:rFonts w:ascii="Times New Roman" w:hAnsi="Times New Roman"/>
          <w:szCs w:val="20"/>
        </w:rPr>
        <w:t xml:space="preserve"> форму </w:t>
      </w:r>
      <w:proofErr w:type="spellStart"/>
      <w:r w:rsidR="00E10AE9" w:rsidRPr="007B5095">
        <w:rPr>
          <w:rFonts w:ascii="Times New Roman" w:hAnsi="Times New Roman"/>
          <w:szCs w:val="20"/>
        </w:rPr>
        <w:t>існування</w:t>
      </w:r>
      <w:proofErr w:type="spellEnd"/>
      <w:r w:rsidR="00E10AE9" w:rsidRPr="007B5095">
        <w:rPr>
          <w:rFonts w:ascii="Times New Roman" w:hAnsi="Times New Roman"/>
          <w:szCs w:val="20"/>
        </w:rPr>
        <w:t xml:space="preserve">, </w:t>
      </w:r>
      <w:proofErr w:type="spellStart"/>
      <w:r w:rsidR="00E10AE9" w:rsidRPr="007B5095">
        <w:rPr>
          <w:rFonts w:ascii="Times New Roman" w:hAnsi="Times New Roman"/>
          <w:szCs w:val="20"/>
        </w:rPr>
        <w:t>протягом</w:t>
      </w:r>
      <w:proofErr w:type="spellEnd"/>
      <w:r w:rsidR="00E10AE9" w:rsidRPr="007B5095">
        <w:rPr>
          <w:rFonts w:ascii="Times New Roman" w:hAnsi="Times New Roman"/>
          <w:szCs w:val="20"/>
        </w:rPr>
        <w:t xml:space="preserve"> 3 (</w:t>
      </w:r>
      <w:proofErr w:type="spellStart"/>
      <w:r w:rsidR="00E10AE9" w:rsidRPr="007B5095">
        <w:rPr>
          <w:rFonts w:ascii="Times New Roman" w:hAnsi="Times New Roman"/>
          <w:szCs w:val="20"/>
        </w:rPr>
        <w:t>трьох</w:t>
      </w:r>
      <w:proofErr w:type="spellEnd"/>
      <w:r w:rsidR="00E10AE9" w:rsidRPr="007B5095">
        <w:rPr>
          <w:rFonts w:ascii="Times New Roman" w:hAnsi="Times New Roman"/>
          <w:szCs w:val="20"/>
        </w:rPr>
        <w:t xml:space="preserve">) </w:t>
      </w:r>
      <w:proofErr w:type="spellStart"/>
      <w:r w:rsidR="00E10AE9" w:rsidRPr="007B5095">
        <w:rPr>
          <w:rFonts w:ascii="Times New Roman" w:hAnsi="Times New Roman"/>
          <w:szCs w:val="20"/>
        </w:rPr>
        <w:t>днів</w:t>
      </w:r>
      <w:proofErr w:type="spellEnd"/>
      <w:r w:rsidR="00E10AE9" w:rsidRPr="007B5095">
        <w:rPr>
          <w:rFonts w:ascii="Times New Roman" w:hAnsi="Times New Roman"/>
          <w:szCs w:val="20"/>
        </w:rPr>
        <w:t xml:space="preserve"> </w:t>
      </w:r>
      <w:proofErr w:type="spellStart"/>
      <w:r w:rsidR="00E10AE9" w:rsidRPr="007B5095">
        <w:rPr>
          <w:rFonts w:ascii="Times New Roman" w:hAnsi="Times New Roman"/>
          <w:szCs w:val="20"/>
        </w:rPr>
        <w:t>повідомити</w:t>
      </w:r>
      <w:proofErr w:type="spellEnd"/>
      <w:r w:rsidR="00E10AE9" w:rsidRPr="007B5095">
        <w:rPr>
          <w:rFonts w:ascii="Times New Roman" w:hAnsi="Times New Roman"/>
          <w:szCs w:val="20"/>
        </w:rPr>
        <w:t xml:space="preserve"> про </w:t>
      </w:r>
      <w:proofErr w:type="spellStart"/>
      <w:r w:rsidR="00E10AE9" w:rsidRPr="007B5095">
        <w:rPr>
          <w:rFonts w:ascii="Times New Roman" w:hAnsi="Times New Roman"/>
          <w:szCs w:val="20"/>
        </w:rPr>
        <w:t>її</w:t>
      </w:r>
      <w:proofErr w:type="spellEnd"/>
      <w:r w:rsidR="00E10AE9" w:rsidRPr="007B5095">
        <w:rPr>
          <w:rFonts w:ascii="Times New Roman" w:hAnsi="Times New Roman"/>
          <w:szCs w:val="20"/>
        </w:rPr>
        <w:t xml:space="preserve"> </w:t>
      </w:r>
      <w:proofErr w:type="spellStart"/>
      <w:r w:rsidR="00E10AE9" w:rsidRPr="007B5095">
        <w:rPr>
          <w:rFonts w:ascii="Times New Roman" w:hAnsi="Times New Roman"/>
          <w:szCs w:val="20"/>
        </w:rPr>
        <w:t>завершення</w:t>
      </w:r>
      <w:proofErr w:type="spellEnd"/>
      <w:r w:rsidR="00E10AE9" w:rsidRPr="007B5095">
        <w:rPr>
          <w:rFonts w:ascii="Times New Roman" w:hAnsi="Times New Roman"/>
          <w:szCs w:val="20"/>
        </w:rPr>
        <w:t xml:space="preserve"> Депонента, </w:t>
      </w:r>
      <w:proofErr w:type="spellStart"/>
      <w:r w:rsidR="00E10AE9" w:rsidRPr="007B5095">
        <w:rPr>
          <w:rFonts w:ascii="Times New Roman" w:hAnsi="Times New Roman"/>
          <w:szCs w:val="20"/>
        </w:rPr>
        <w:t>якщо</w:t>
      </w:r>
      <w:proofErr w:type="spellEnd"/>
      <w:r w:rsidR="00E10AE9" w:rsidRPr="007B5095">
        <w:rPr>
          <w:rFonts w:ascii="Times New Roman" w:hAnsi="Times New Roman"/>
          <w:szCs w:val="20"/>
        </w:rPr>
        <w:t xml:space="preserve"> на </w:t>
      </w:r>
      <w:proofErr w:type="spellStart"/>
      <w:r w:rsidR="00E10AE9" w:rsidRPr="007B5095">
        <w:rPr>
          <w:rFonts w:ascii="Times New Roman" w:hAnsi="Times New Roman"/>
          <w:szCs w:val="20"/>
        </w:rPr>
        <w:t>його</w:t>
      </w:r>
      <w:proofErr w:type="spellEnd"/>
      <w:r w:rsidR="00E10AE9" w:rsidRPr="007B5095">
        <w:rPr>
          <w:rFonts w:ascii="Times New Roman" w:hAnsi="Times New Roman"/>
          <w:szCs w:val="20"/>
        </w:rPr>
        <w:t xml:space="preserve"> </w:t>
      </w:r>
      <w:proofErr w:type="spellStart"/>
      <w:r w:rsidR="00E10AE9" w:rsidRPr="007B5095">
        <w:rPr>
          <w:rFonts w:ascii="Times New Roman" w:hAnsi="Times New Roman"/>
          <w:szCs w:val="20"/>
        </w:rPr>
        <w:t>рахунку</w:t>
      </w:r>
      <w:proofErr w:type="spellEnd"/>
      <w:r w:rsidR="00E10AE9" w:rsidRPr="007B5095">
        <w:rPr>
          <w:rFonts w:ascii="Times New Roman" w:hAnsi="Times New Roman"/>
          <w:szCs w:val="20"/>
        </w:rPr>
        <w:t xml:space="preserve"> </w:t>
      </w:r>
      <w:proofErr w:type="spellStart"/>
      <w:r w:rsidR="00E10AE9" w:rsidRPr="007B5095">
        <w:rPr>
          <w:rFonts w:ascii="Times New Roman" w:hAnsi="Times New Roman"/>
          <w:szCs w:val="20"/>
        </w:rPr>
        <w:t>обліковуються</w:t>
      </w:r>
      <w:proofErr w:type="spellEnd"/>
      <w:r w:rsidR="00E10AE9" w:rsidRPr="007B5095">
        <w:rPr>
          <w:rFonts w:ascii="Times New Roman" w:hAnsi="Times New Roman"/>
          <w:szCs w:val="20"/>
        </w:rPr>
        <w:t xml:space="preserve"> права на </w:t>
      </w:r>
      <w:proofErr w:type="spellStart"/>
      <w:r w:rsidR="00E10AE9" w:rsidRPr="007B5095">
        <w:rPr>
          <w:rFonts w:ascii="Times New Roman" w:hAnsi="Times New Roman"/>
          <w:szCs w:val="20"/>
        </w:rPr>
        <w:t>цінні</w:t>
      </w:r>
      <w:proofErr w:type="spellEnd"/>
      <w:r w:rsidR="00E10AE9" w:rsidRPr="007B5095">
        <w:rPr>
          <w:rFonts w:ascii="Times New Roman" w:hAnsi="Times New Roman"/>
          <w:szCs w:val="20"/>
        </w:rPr>
        <w:t xml:space="preserve"> </w:t>
      </w:r>
      <w:proofErr w:type="spellStart"/>
      <w:r w:rsidR="00E10AE9" w:rsidRPr="007B5095">
        <w:rPr>
          <w:rFonts w:ascii="Times New Roman" w:hAnsi="Times New Roman"/>
          <w:szCs w:val="20"/>
        </w:rPr>
        <w:t>папери</w:t>
      </w:r>
      <w:proofErr w:type="spellEnd"/>
      <w:r w:rsidR="00E10AE9" w:rsidRPr="007B5095">
        <w:rPr>
          <w:rFonts w:ascii="Times New Roman" w:hAnsi="Times New Roman"/>
          <w:szCs w:val="20"/>
        </w:rPr>
        <w:t xml:space="preserve"> </w:t>
      </w:r>
      <w:proofErr w:type="spellStart"/>
      <w:r w:rsidR="00E10AE9" w:rsidRPr="007B5095">
        <w:rPr>
          <w:rFonts w:ascii="Times New Roman" w:hAnsi="Times New Roman"/>
          <w:szCs w:val="20"/>
        </w:rPr>
        <w:t>цього</w:t>
      </w:r>
      <w:proofErr w:type="spellEnd"/>
      <w:r w:rsidR="00E10AE9" w:rsidRPr="007B5095">
        <w:rPr>
          <w:rFonts w:ascii="Times New Roman" w:hAnsi="Times New Roman"/>
          <w:szCs w:val="20"/>
        </w:rPr>
        <w:t xml:space="preserve"> </w:t>
      </w:r>
      <w:proofErr w:type="spellStart"/>
      <w:r w:rsidR="00E10AE9" w:rsidRPr="007B5095">
        <w:rPr>
          <w:rFonts w:ascii="Times New Roman" w:hAnsi="Times New Roman"/>
          <w:szCs w:val="20"/>
        </w:rPr>
        <w:t>випуску</w:t>
      </w:r>
      <w:proofErr w:type="spellEnd"/>
      <w:r w:rsidR="00E10AE9" w:rsidRPr="007B5095">
        <w:rPr>
          <w:rFonts w:ascii="Times New Roman" w:hAnsi="Times New Roman"/>
          <w:szCs w:val="20"/>
        </w:rPr>
        <w:t xml:space="preserve">, шляхом </w:t>
      </w:r>
      <w:proofErr w:type="spellStart"/>
      <w:r w:rsidR="00E10AE9" w:rsidRPr="007B5095">
        <w:rPr>
          <w:rFonts w:ascii="Times New Roman" w:hAnsi="Times New Roman"/>
          <w:szCs w:val="20"/>
        </w:rPr>
        <w:t>направлення</w:t>
      </w:r>
      <w:proofErr w:type="spellEnd"/>
      <w:r w:rsidR="00E10AE9" w:rsidRPr="007B5095">
        <w:rPr>
          <w:rFonts w:ascii="Times New Roman" w:hAnsi="Times New Roman"/>
          <w:szCs w:val="20"/>
        </w:rPr>
        <w:t xml:space="preserve"> на </w:t>
      </w:r>
      <w:proofErr w:type="spellStart"/>
      <w:proofErr w:type="gramStart"/>
      <w:r w:rsidR="00E10AE9" w:rsidRPr="007B5095">
        <w:rPr>
          <w:rFonts w:ascii="Times New Roman" w:hAnsi="Times New Roman"/>
          <w:szCs w:val="20"/>
        </w:rPr>
        <w:t>електронну</w:t>
      </w:r>
      <w:proofErr w:type="spellEnd"/>
      <w:r w:rsidR="00E10AE9" w:rsidRPr="007B5095">
        <w:rPr>
          <w:rFonts w:ascii="Times New Roman" w:hAnsi="Times New Roman"/>
          <w:szCs w:val="20"/>
        </w:rPr>
        <w:t xml:space="preserve">  адресу</w:t>
      </w:r>
      <w:proofErr w:type="gramEnd"/>
      <w:r w:rsidR="00E10AE9" w:rsidRPr="007B5095">
        <w:rPr>
          <w:rFonts w:ascii="Times New Roman" w:hAnsi="Times New Roman"/>
          <w:szCs w:val="20"/>
        </w:rPr>
        <w:t xml:space="preserve"> Депонента </w:t>
      </w:r>
      <w:proofErr w:type="spellStart"/>
      <w:r w:rsidR="00E10AE9" w:rsidRPr="007B5095">
        <w:rPr>
          <w:rFonts w:ascii="Times New Roman" w:hAnsi="Times New Roman"/>
          <w:szCs w:val="20"/>
        </w:rPr>
        <w:t>відповідного</w:t>
      </w:r>
      <w:proofErr w:type="spellEnd"/>
      <w:r w:rsidR="00E10AE9" w:rsidRPr="007B5095">
        <w:rPr>
          <w:rFonts w:ascii="Times New Roman" w:hAnsi="Times New Roman"/>
          <w:szCs w:val="20"/>
        </w:rPr>
        <w:t xml:space="preserve"> </w:t>
      </w:r>
      <w:proofErr w:type="spellStart"/>
      <w:r w:rsidR="00E10AE9" w:rsidRPr="007B5095">
        <w:rPr>
          <w:rFonts w:ascii="Times New Roman" w:hAnsi="Times New Roman"/>
          <w:szCs w:val="20"/>
        </w:rPr>
        <w:t>повідомлення</w:t>
      </w:r>
      <w:proofErr w:type="spellEnd"/>
      <w:r w:rsidR="00E10AE9" w:rsidRPr="007B5095">
        <w:rPr>
          <w:rFonts w:ascii="Times New Roman" w:hAnsi="Times New Roman"/>
          <w:szCs w:val="20"/>
        </w:rPr>
        <w:t>.</w:t>
      </w:r>
    </w:p>
    <w:p w14:paraId="43F35FC9" w14:textId="4C8EB2A8" w:rsidR="00F23413" w:rsidRPr="007B5095" w:rsidRDefault="00F23413" w:rsidP="00E10AE9">
      <w:pPr>
        <w:tabs>
          <w:tab w:val="left" w:pos="851"/>
          <w:tab w:val="left" w:pos="7200"/>
        </w:tabs>
        <w:ind w:firstLine="539"/>
        <w:rPr>
          <w:rFonts w:ascii="Times New Roman" w:hAnsi="Times New Roman"/>
          <w:szCs w:val="20"/>
          <w:lang w:val="uk-UA"/>
        </w:rPr>
      </w:pPr>
      <w:r w:rsidRPr="007B5095">
        <w:rPr>
          <w:rFonts w:ascii="Times New Roman" w:hAnsi="Times New Roman"/>
          <w:szCs w:val="20"/>
        </w:rPr>
        <w:t xml:space="preserve">2.1.22. </w:t>
      </w:r>
      <w:r w:rsidRPr="007B5095">
        <w:rPr>
          <w:rFonts w:ascii="Times New Roman" w:hAnsi="Times New Roman"/>
          <w:szCs w:val="20"/>
        </w:rPr>
        <w:t xml:space="preserve">За </w:t>
      </w:r>
      <w:proofErr w:type="spellStart"/>
      <w:r w:rsidRPr="007B5095">
        <w:rPr>
          <w:rFonts w:ascii="Times New Roman" w:hAnsi="Times New Roman"/>
          <w:szCs w:val="20"/>
        </w:rPr>
        <w:t>наявності</w:t>
      </w:r>
      <w:proofErr w:type="spellEnd"/>
      <w:r w:rsidRPr="007B5095">
        <w:rPr>
          <w:rFonts w:ascii="Times New Roman" w:hAnsi="Times New Roman"/>
          <w:szCs w:val="20"/>
        </w:rPr>
        <w:t xml:space="preserve"> у </w:t>
      </w:r>
      <w:proofErr w:type="spellStart"/>
      <w:r w:rsidRPr="007B5095">
        <w:rPr>
          <w:rFonts w:ascii="Times New Roman" w:hAnsi="Times New Roman"/>
          <w:szCs w:val="20"/>
        </w:rPr>
        <w:t>Депозитарної</w:t>
      </w:r>
      <w:proofErr w:type="spellEnd"/>
      <w:r w:rsidRPr="007B5095">
        <w:rPr>
          <w:rFonts w:ascii="Times New Roman" w:hAnsi="Times New Roman"/>
          <w:szCs w:val="20"/>
        </w:rPr>
        <w:t xml:space="preserve"> установи </w:t>
      </w:r>
      <w:proofErr w:type="spellStart"/>
      <w:r w:rsidRPr="007B5095">
        <w:rPr>
          <w:rFonts w:ascii="Times New Roman" w:hAnsi="Times New Roman"/>
          <w:szCs w:val="20"/>
        </w:rPr>
        <w:t>обґрунтованої</w:t>
      </w:r>
      <w:proofErr w:type="spellEnd"/>
      <w:r w:rsidRPr="007B5095">
        <w:rPr>
          <w:rFonts w:ascii="Times New Roman" w:hAnsi="Times New Roman"/>
          <w:szCs w:val="20"/>
        </w:rPr>
        <w:t xml:space="preserve">, документально </w:t>
      </w:r>
      <w:proofErr w:type="spellStart"/>
      <w:r w:rsidRPr="007B5095">
        <w:rPr>
          <w:rFonts w:ascii="Times New Roman" w:hAnsi="Times New Roman"/>
          <w:szCs w:val="20"/>
        </w:rPr>
        <w:t>підтвердженої</w:t>
      </w:r>
      <w:proofErr w:type="spellEnd"/>
      <w:r w:rsidRPr="007B5095">
        <w:rPr>
          <w:rFonts w:ascii="Times New Roman" w:hAnsi="Times New Roman"/>
          <w:szCs w:val="20"/>
        </w:rPr>
        <w:t xml:space="preserve"> </w:t>
      </w:r>
      <w:proofErr w:type="spellStart"/>
      <w:r w:rsidRPr="007B5095">
        <w:rPr>
          <w:rFonts w:ascii="Times New Roman" w:hAnsi="Times New Roman"/>
          <w:szCs w:val="20"/>
        </w:rPr>
        <w:t>підозри</w:t>
      </w:r>
      <w:proofErr w:type="spellEnd"/>
      <w:r w:rsidRPr="007B5095">
        <w:rPr>
          <w:rFonts w:ascii="Times New Roman" w:hAnsi="Times New Roman"/>
          <w:szCs w:val="20"/>
        </w:rPr>
        <w:t xml:space="preserve">, </w:t>
      </w:r>
      <w:proofErr w:type="spellStart"/>
      <w:r w:rsidRPr="007B5095">
        <w:rPr>
          <w:rFonts w:ascii="Times New Roman" w:hAnsi="Times New Roman"/>
          <w:szCs w:val="20"/>
        </w:rPr>
        <w:t>що</w:t>
      </w:r>
      <w:proofErr w:type="spellEnd"/>
      <w:r w:rsidRPr="007B5095">
        <w:rPr>
          <w:rFonts w:ascii="Times New Roman" w:hAnsi="Times New Roman"/>
          <w:szCs w:val="20"/>
        </w:rPr>
        <w:t xml:space="preserve"> </w:t>
      </w:r>
      <w:proofErr w:type="spellStart"/>
      <w:r w:rsidRPr="007B5095">
        <w:rPr>
          <w:rFonts w:ascii="Times New Roman" w:hAnsi="Times New Roman"/>
          <w:szCs w:val="20"/>
        </w:rPr>
        <w:t>рахунок</w:t>
      </w:r>
      <w:proofErr w:type="spellEnd"/>
      <w:r w:rsidRPr="007B5095">
        <w:rPr>
          <w:rFonts w:ascii="Times New Roman" w:hAnsi="Times New Roman"/>
          <w:szCs w:val="20"/>
        </w:rPr>
        <w:t xml:space="preserve"> у </w:t>
      </w:r>
      <w:proofErr w:type="spellStart"/>
      <w:r w:rsidRPr="007B5095">
        <w:rPr>
          <w:rFonts w:ascii="Times New Roman" w:hAnsi="Times New Roman"/>
          <w:szCs w:val="20"/>
        </w:rPr>
        <w:t>цінних</w:t>
      </w:r>
      <w:proofErr w:type="spellEnd"/>
      <w:r w:rsidRPr="007B5095">
        <w:rPr>
          <w:rFonts w:ascii="Times New Roman" w:hAnsi="Times New Roman"/>
          <w:szCs w:val="20"/>
        </w:rPr>
        <w:t xml:space="preserve"> </w:t>
      </w:r>
      <w:proofErr w:type="spellStart"/>
      <w:r w:rsidRPr="007B5095">
        <w:rPr>
          <w:rFonts w:ascii="Times New Roman" w:hAnsi="Times New Roman"/>
          <w:szCs w:val="20"/>
        </w:rPr>
        <w:t>паперах</w:t>
      </w:r>
      <w:proofErr w:type="spellEnd"/>
      <w:r w:rsidRPr="007B5095">
        <w:rPr>
          <w:rFonts w:ascii="Times New Roman" w:hAnsi="Times New Roman"/>
          <w:szCs w:val="20"/>
        </w:rPr>
        <w:t xml:space="preserve"> Депонента </w:t>
      </w:r>
      <w:proofErr w:type="spellStart"/>
      <w:r w:rsidRPr="007B5095">
        <w:rPr>
          <w:rFonts w:ascii="Times New Roman" w:hAnsi="Times New Roman"/>
          <w:szCs w:val="20"/>
        </w:rPr>
        <w:t>належить</w:t>
      </w:r>
      <w:proofErr w:type="spellEnd"/>
      <w:r w:rsidRPr="007B5095">
        <w:rPr>
          <w:rFonts w:ascii="Times New Roman" w:hAnsi="Times New Roman"/>
          <w:szCs w:val="20"/>
        </w:rPr>
        <w:t xml:space="preserve"> до </w:t>
      </w:r>
      <w:proofErr w:type="spellStart"/>
      <w:r w:rsidRPr="007B5095">
        <w:rPr>
          <w:rFonts w:ascii="Times New Roman" w:hAnsi="Times New Roman"/>
          <w:szCs w:val="20"/>
        </w:rPr>
        <w:t>підзвітних</w:t>
      </w:r>
      <w:proofErr w:type="spellEnd"/>
      <w:r w:rsidRPr="007B5095">
        <w:rPr>
          <w:rFonts w:ascii="Times New Roman" w:hAnsi="Times New Roman"/>
          <w:szCs w:val="20"/>
        </w:rPr>
        <w:t xml:space="preserve">, </w:t>
      </w:r>
      <w:proofErr w:type="spellStart"/>
      <w:r w:rsidRPr="007B5095">
        <w:rPr>
          <w:rFonts w:ascii="Times New Roman" w:hAnsi="Times New Roman"/>
          <w:szCs w:val="20"/>
        </w:rPr>
        <w:t>Депозитарна</w:t>
      </w:r>
      <w:proofErr w:type="spellEnd"/>
      <w:r w:rsidRPr="007B5095">
        <w:rPr>
          <w:rFonts w:ascii="Times New Roman" w:hAnsi="Times New Roman"/>
          <w:szCs w:val="20"/>
        </w:rPr>
        <w:t xml:space="preserve"> </w:t>
      </w:r>
      <w:proofErr w:type="spellStart"/>
      <w:r w:rsidRPr="007B5095">
        <w:rPr>
          <w:rFonts w:ascii="Times New Roman" w:hAnsi="Times New Roman"/>
          <w:szCs w:val="20"/>
        </w:rPr>
        <w:t>установа</w:t>
      </w:r>
      <w:proofErr w:type="spellEnd"/>
      <w:r w:rsidRPr="007B5095">
        <w:rPr>
          <w:rFonts w:ascii="Times New Roman" w:hAnsi="Times New Roman"/>
          <w:szCs w:val="20"/>
        </w:rPr>
        <w:t xml:space="preserve"> </w:t>
      </w:r>
      <w:proofErr w:type="gramStart"/>
      <w:r w:rsidRPr="007B5095">
        <w:rPr>
          <w:rFonts w:ascii="Times New Roman" w:hAnsi="Times New Roman"/>
          <w:szCs w:val="20"/>
        </w:rPr>
        <w:t>в порядку</w:t>
      </w:r>
      <w:proofErr w:type="gramEnd"/>
      <w:r w:rsidRPr="007B5095">
        <w:rPr>
          <w:rFonts w:ascii="Times New Roman" w:hAnsi="Times New Roman"/>
          <w:szCs w:val="20"/>
        </w:rPr>
        <w:t xml:space="preserve">, </w:t>
      </w:r>
      <w:proofErr w:type="spellStart"/>
      <w:r w:rsidRPr="007B5095">
        <w:rPr>
          <w:rFonts w:ascii="Times New Roman" w:hAnsi="Times New Roman"/>
          <w:szCs w:val="20"/>
        </w:rPr>
        <w:t>встановленому</w:t>
      </w:r>
      <w:proofErr w:type="spellEnd"/>
      <w:r w:rsidRPr="007B5095">
        <w:rPr>
          <w:rFonts w:ascii="Times New Roman" w:hAnsi="Times New Roman"/>
          <w:szCs w:val="20"/>
        </w:rPr>
        <w:t xml:space="preserve"> </w:t>
      </w:r>
      <w:proofErr w:type="spellStart"/>
      <w:r w:rsidRPr="007B5095">
        <w:rPr>
          <w:rFonts w:ascii="Times New Roman" w:hAnsi="Times New Roman"/>
          <w:szCs w:val="20"/>
        </w:rPr>
        <w:t>її</w:t>
      </w:r>
      <w:proofErr w:type="spellEnd"/>
      <w:r w:rsidRPr="007B5095">
        <w:rPr>
          <w:rFonts w:ascii="Times New Roman" w:hAnsi="Times New Roman"/>
          <w:szCs w:val="20"/>
        </w:rPr>
        <w:t xml:space="preserve"> </w:t>
      </w:r>
      <w:proofErr w:type="spellStart"/>
      <w:r w:rsidRPr="007B5095">
        <w:rPr>
          <w:rFonts w:ascii="Times New Roman" w:hAnsi="Times New Roman"/>
          <w:szCs w:val="20"/>
        </w:rPr>
        <w:t>внутрішніми</w:t>
      </w:r>
      <w:proofErr w:type="spellEnd"/>
      <w:r w:rsidRPr="007B5095">
        <w:rPr>
          <w:rFonts w:ascii="Times New Roman" w:hAnsi="Times New Roman"/>
          <w:szCs w:val="20"/>
        </w:rPr>
        <w:t xml:space="preserve"> документами, та </w:t>
      </w:r>
      <w:proofErr w:type="spellStart"/>
      <w:r w:rsidRPr="007B5095">
        <w:rPr>
          <w:rFonts w:ascii="Times New Roman" w:hAnsi="Times New Roman"/>
          <w:szCs w:val="20"/>
        </w:rPr>
        <w:lastRenderedPageBreak/>
        <w:t>відповідно</w:t>
      </w:r>
      <w:proofErr w:type="spellEnd"/>
      <w:r w:rsidRPr="007B5095">
        <w:rPr>
          <w:rFonts w:ascii="Times New Roman" w:hAnsi="Times New Roman"/>
          <w:szCs w:val="20"/>
        </w:rPr>
        <w:t xml:space="preserve"> до </w:t>
      </w:r>
      <w:proofErr w:type="spellStart"/>
      <w:r w:rsidRPr="007B5095">
        <w:rPr>
          <w:rFonts w:ascii="Times New Roman" w:hAnsi="Times New Roman"/>
          <w:szCs w:val="20"/>
        </w:rPr>
        <w:t>цього</w:t>
      </w:r>
      <w:proofErr w:type="spellEnd"/>
      <w:r w:rsidRPr="007B5095">
        <w:rPr>
          <w:rFonts w:ascii="Times New Roman" w:hAnsi="Times New Roman"/>
          <w:szCs w:val="20"/>
        </w:rPr>
        <w:t xml:space="preserve"> Договору </w:t>
      </w:r>
      <w:proofErr w:type="spellStart"/>
      <w:r w:rsidRPr="007B5095">
        <w:rPr>
          <w:rFonts w:ascii="Times New Roman" w:hAnsi="Times New Roman"/>
          <w:szCs w:val="20"/>
        </w:rPr>
        <w:t>надсилає</w:t>
      </w:r>
      <w:proofErr w:type="spellEnd"/>
      <w:r w:rsidRPr="007B5095">
        <w:rPr>
          <w:rFonts w:ascii="Times New Roman" w:hAnsi="Times New Roman"/>
          <w:szCs w:val="20"/>
        </w:rPr>
        <w:t xml:space="preserve"> на адресу </w:t>
      </w:r>
      <w:proofErr w:type="spellStart"/>
      <w:r w:rsidRPr="007B5095">
        <w:rPr>
          <w:rFonts w:ascii="Times New Roman" w:hAnsi="Times New Roman"/>
          <w:szCs w:val="20"/>
        </w:rPr>
        <w:t>відповідного</w:t>
      </w:r>
      <w:proofErr w:type="spellEnd"/>
      <w:r w:rsidRPr="007B5095">
        <w:rPr>
          <w:rFonts w:ascii="Times New Roman" w:hAnsi="Times New Roman"/>
          <w:szCs w:val="20"/>
        </w:rPr>
        <w:t xml:space="preserve"> Депонента запит з </w:t>
      </w:r>
      <w:proofErr w:type="spellStart"/>
      <w:r w:rsidRPr="007B5095">
        <w:rPr>
          <w:rFonts w:ascii="Times New Roman" w:hAnsi="Times New Roman"/>
          <w:szCs w:val="20"/>
        </w:rPr>
        <w:t>вимогою</w:t>
      </w:r>
      <w:proofErr w:type="spellEnd"/>
      <w:r w:rsidRPr="007B5095">
        <w:rPr>
          <w:rFonts w:ascii="Times New Roman" w:hAnsi="Times New Roman"/>
          <w:szCs w:val="20"/>
        </w:rPr>
        <w:t xml:space="preserve"> про </w:t>
      </w:r>
      <w:proofErr w:type="spellStart"/>
      <w:r w:rsidRPr="007B5095">
        <w:rPr>
          <w:rFonts w:ascii="Times New Roman" w:hAnsi="Times New Roman"/>
          <w:szCs w:val="20"/>
        </w:rPr>
        <w:t>надання</w:t>
      </w:r>
      <w:proofErr w:type="spellEnd"/>
      <w:r w:rsidRPr="007B5095">
        <w:rPr>
          <w:rFonts w:ascii="Times New Roman" w:hAnsi="Times New Roman"/>
          <w:szCs w:val="20"/>
        </w:rPr>
        <w:t xml:space="preserve"> </w:t>
      </w:r>
      <w:proofErr w:type="spellStart"/>
      <w:r w:rsidRPr="007B5095">
        <w:rPr>
          <w:rFonts w:ascii="Times New Roman" w:hAnsi="Times New Roman"/>
          <w:szCs w:val="20"/>
        </w:rPr>
        <w:t>пояснень</w:t>
      </w:r>
      <w:proofErr w:type="spellEnd"/>
      <w:r w:rsidRPr="007B5095">
        <w:rPr>
          <w:rFonts w:ascii="Times New Roman" w:hAnsi="Times New Roman"/>
          <w:szCs w:val="20"/>
        </w:rPr>
        <w:t xml:space="preserve"> та </w:t>
      </w:r>
      <w:proofErr w:type="spellStart"/>
      <w:r w:rsidRPr="007B5095">
        <w:rPr>
          <w:rFonts w:ascii="Times New Roman" w:hAnsi="Times New Roman"/>
          <w:szCs w:val="20"/>
        </w:rPr>
        <w:t>інформації</w:t>
      </w:r>
      <w:proofErr w:type="spellEnd"/>
      <w:r w:rsidRPr="007B5095">
        <w:rPr>
          <w:rFonts w:ascii="Times New Roman" w:hAnsi="Times New Roman"/>
          <w:szCs w:val="20"/>
        </w:rPr>
        <w:t xml:space="preserve">, </w:t>
      </w:r>
      <w:proofErr w:type="spellStart"/>
      <w:r w:rsidRPr="007B5095">
        <w:rPr>
          <w:rFonts w:ascii="Times New Roman" w:hAnsi="Times New Roman"/>
          <w:szCs w:val="20"/>
        </w:rPr>
        <w:t>що</w:t>
      </w:r>
      <w:proofErr w:type="spellEnd"/>
      <w:r w:rsidRPr="007B5095">
        <w:rPr>
          <w:rFonts w:ascii="Times New Roman" w:hAnsi="Times New Roman"/>
          <w:szCs w:val="20"/>
        </w:rPr>
        <w:t xml:space="preserve"> </w:t>
      </w:r>
      <w:proofErr w:type="spellStart"/>
      <w:r w:rsidRPr="007B5095">
        <w:rPr>
          <w:rFonts w:ascii="Times New Roman" w:hAnsi="Times New Roman"/>
          <w:szCs w:val="20"/>
        </w:rPr>
        <w:t>стосуються</w:t>
      </w:r>
      <w:proofErr w:type="spellEnd"/>
      <w:r w:rsidRPr="007B5095">
        <w:rPr>
          <w:rFonts w:ascii="Times New Roman" w:hAnsi="Times New Roman"/>
          <w:szCs w:val="20"/>
        </w:rPr>
        <w:t xml:space="preserve"> </w:t>
      </w:r>
      <w:proofErr w:type="spellStart"/>
      <w:r w:rsidRPr="007B5095">
        <w:rPr>
          <w:rFonts w:ascii="Times New Roman" w:hAnsi="Times New Roman"/>
          <w:szCs w:val="20"/>
        </w:rPr>
        <w:t>підозри</w:t>
      </w:r>
      <w:proofErr w:type="spellEnd"/>
      <w:r w:rsidRPr="007B5095">
        <w:rPr>
          <w:rFonts w:ascii="Times New Roman" w:hAnsi="Times New Roman"/>
          <w:szCs w:val="20"/>
        </w:rPr>
        <w:t>.</w:t>
      </w:r>
    </w:p>
    <w:p w14:paraId="40C04634" w14:textId="77777777" w:rsidR="00B7121E" w:rsidRPr="007B5095" w:rsidRDefault="00B7121E">
      <w:pPr>
        <w:tabs>
          <w:tab w:val="left" w:pos="709"/>
        </w:tabs>
        <w:rPr>
          <w:rFonts w:ascii="Times New Roman" w:hAnsi="Times New Roman"/>
          <w:b/>
          <w:szCs w:val="20"/>
          <w:lang w:val="uk-UA"/>
        </w:rPr>
      </w:pPr>
    </w:p>
    <w:p w14:paraId="2B520E76" w14:textId="77777777" w:rsidR="00502AEC" w:rsidRPr="007B5095" w:rsidRDefault="00502AEC">
      <w:pPr>
        <w:tabs>
          <w:tab w:val="left" w:pos="709"/>
        </w:tabs>
        <w:rPr>
          <w:rFonts w:ascii="Times New Roman" w:hAnsi="Times New Roman"/>
          <w:b/>
          <w:szCs w:val="20"/>
          <w:lang w:val="uk-UA"/>
        </w:rPr>
      </w:pPr>
      <w:r w:rsidRPr="007B5095">
        <w:rPr>
          <w:rFonts w:ascii="Times New Roman" w:hAnsi="Times New Roman"/>
          <w:b/>
          <w:szCs w:val="20"/>
          <w:lang w:val="uk-UA"/>
        </w:rPr>
        <w:t>2.2. Депозитарна установа має право:</w:t>
      </w:r>
    </w:p>
    <w:p w14:paraId="06019FFC" w14:textId="77777777" w:rsidR="00E10AE9" w:rsidRPr="007B5095" w:rsidRDefault="00502AEC" w:rsidP="00E10AE9">
      <w:pPr>
        <w:tabs>
          <w:tab w:val="left" w:pos="709"/>
        </w:tabs>
        <w:rPr>
          <w:rFonts w:ascii="Times New Roman" w:hAnsi="Times New Roman"/>
          <w:szCs w:val="20"/>
          <w:lang w:val="uk-UA"/>
        </w:rPr>
      </w:pPr>
      <w:r w:rsidRPr="007B5095">
        <w:rPr>
          <w:rFonts w:ascii="Times New Roman" w:hAnsi="Times New Roman"/>
          <w:szCs w:val="20"/>
          <w:lang w:val="uk-UA"/>
        </w:rPr>
        <w:t xml:space="preserve">2.2.1. </w:t>
      </w:r>
      <w:r w:rsidR="00595FD4" w:rsidRPr="007B5095">
        <w:rPr>
          <w:rFonts w:ascii="Times New Roman" w:hAnsi="Times New Roman"/>
          <w:szCs w:val="20"/>
          <w:lang w:val="uk-UA"/>
        </w:rPr>
        <w:t>Надавати письмову відмову у видачі виписки з рахунку в цінних паперах у разі невідповідності оформленого запиту вимогам законодавства та внутрішніх документів Депозитарної установи.</w:t>
      </w:r>
      <w:r w:rsidR="00E10AE9" w:rsidRPr="007B5095">
        <w:rPr>
          <w:rFonts w:ascii="Times New Roman" w:hAnsi="Times New Roman"/>
          <w:szCs w:val="20"/>
          <w:lang w:val="uk-UA"/>
        </w:rPr>
        <w:t>2.2.2. Вимагати від Депонента, керуючого рахунком</w:t>
      </w:r>
      <w:r w:rsidR="00B6625B" w:rsidRPr="007B5095">
        <w:rPr>
          <w:rFonts w:ascii="Times New Roman" w:hAnsi="Times New Roman"/>
          <w:szCs w:val="20"/>
          <w:lang w:val="uk-UA"/>
        </w:rPr>
        <w:t>, розпорядника рахунку</w:t>
      </w:r>
      <w:r w:rsidR="00E10AE9" w:rsidRPr="007B5095">
        <w:rPr>
          <w:rFonts w:ascii="Times New Roman" w:hAnsi="Times New Roman"/>
          <w:szCs w:val="20"/>
          <w:lang w:val="uk-UA"/>
        </w:rPr>
        <w:t xml:space="preserve"> </w:t>
      </w:r>
      <w:r w:rsidR="00C22309" w:rsidRPr="007B5095">
        <w:rPr>
          <w:rFonts w:ascii="Times New Roman" w:hAnsi="Times New Roman"/>
          <w:szCs w:val="20"/>
          <w:lang w:val="uk-UA"/>
        </w:rPr>
        <w:t>в цін</w:t>
      </w:r>
      <w:r w:rsidR="00E10AE9" w:rsidRPr="007B5095">
        <w:rPr>
          <w:rFonts w:ascii="Times New Roman" w:hAnsi="Times New Roman"/>
          <w:szCs w:val="20"/>
          <w:lang w:val="uk-UA"/>
        </w:rPr>
        <w:t xml:space="preserve">них паперах Депонента </w:t>
      </w:r>
      <w:r w:rsidR="0016725A" w:rsidRPr="007B5095">
        <w:rPr>
          <w:rFonts w:ascii="Times New Roman" w:hAnsi="Times New Roman"/>
          <w:szCs w:val="20"/>
          <w:lang w:val="uk-UA"/>
        </w:rPr>
        <w:t xml:space="preserve">надання </w:t>
      </w:r>
      <w:r w:rsidR="00AF090F" w:rsidRPr="007B5095">
        <w:rPr>
          <w:rFonts w:ascii="Times New Roman" w:hAnsi="Times New Roman"/>
          <w:szCs w:val="20"/>
          <w:lang w:val="uk-UA"/>
        </w:rPr>
        <w:t>на виконання вимог законодавства та/або внутрішніх документів Депозитарної установи належним чином засвідчен</w:t>
      </w:r>
      <w:r w:rsidR="00812C5B" w:rsidRPr="007B5095">
        <w:rPr>
          <w:rFonts w:ascii="Times New Roman" w:hAnsi="Times New Roman"/>
          <w:szCs w:val="20"/>
          <w:lang w:val="uk-UA"/>
        </w:rPr>
        <w:t>их</w:t>
      </w:r>
      <w:r w:rsidR="00AF090F" w:rsidRPr="007B5095">
        <w:rPr>
          <w:rFonts w:ascii="Times New Roman" w:hAnsi="Times New Roman"/>
          <w:szCs w:val="20"/>
          <w:lang w:val="uk-UA"/>
        </w:rPr>
        <w:t xml:space="preserve"> </w:t>
      </w:r>
      <w:r w:rsidR="00812C5B" w:rsidRPr="007B5095">
        <w:rPr>
          <w:rFonts w:ascii="Times New Roman" w:hAnsi="Times New Roman"/>
          <w:szCs w:val="20"/>
          <w:lang w:val="uk-UA"/>
        </w:rPr>
        <w:t xml:space="preserve">документів </w:t>
      </w:r>
      <w:r w:rsidR="00AF090F" w:rsidRPr="007B5095">
        <w:rPr>
          <w:rFonts w:ascii="Times New Roman" w:hAnsi="Times New Roman"/>
          <w:szCs w:val="20"/>
          <w:lang w:val="uk-UA"/>
        </w:rPr>
        <w:t>та інформаці</w:t>
      </w:r>
      <w:r w:rsidR="00812C5B" w:rsidRPr="007B5095">
        <w:rPr>
          <w:rFonts w:ascii="Times New Roman" w:hAnsi="Times New Roman"/>
          <w:szCs w:val="20"/>
          <w:lang w:val="uk-UA"/>
        </w:rPr>
        <w:t>ї</w:t>
      </w:r>
      <w:r w:rsidR="00E10AE9" w:rsidRPr="007B5095">
        <w:rPr>
          <w:rFonts w:ascii="Times New Roman" w:hAnsi="Times New Roman"/>
          <w:szCs w:val="20"/>
          <w:lang w:val="uk-UA"/>
        </w:rPr>
        <w:t xml:space="preserve">, </w:t>
      </w:r>
      <w:r w:rsidR="00812C5B" w:rsidRPr="007B5095">
        <w:rPr>
          <w:rFonts w:ascii="Times New Roman" w:hAnsi="Times New Roman"/>
          <w:szCs w:val="20"/>
          <w:lang w:val="uk-UA"/>
        </w:rPr>
        <w:t xml:space="preserve">необхідних </w:t>
      </w:r>
      <w:r w:rsidR="00E10AE9" w:rsidRPr="007B5095">
        <w:rPr>
          <w:rFonts w:ascii="Times New Roman" w:hAnsi="Times New Roman"/>
          <w:szCs w:val="20"/>
          <w:lang w:val="uk-UA"/>
        </w:rPr>
        <w:t>для виконання своїх обов’язків згідно умов Договору та законодавства.</w:t>
      </w:r>
    </w:p>
    <w:p w14:paraId="0763353B" w14:textId="77777777" w:rsidR="00E10AE9" w:rsidRPr="007B5095" w:rsidRDefault="00E10AE9" w:rsidP="00E10AE9">
      <w:pPr>
        <w:tabs>
          <w:tab w:val="left" w:pos="709"/>
        </w:tabs>
        <w:rPr>
          <w:rFonts w:ascii="Times New Roman" w:hAnsi="Times New Roman"/>
          <w:szCs w:val="20"/>
          <w:lang w:val="uk-UA"/>
        </w:rPr>
      </w:pPr>
      <w:r w:rsidRPr="007B5095">
        <w:rPr>
          <w:rFonts w:ascii="Times New Roman" w:hAnsi="Times New Roman"/>
          <w:szCs w:val="20"/>
          <w:lang w:val="uk-UA"/>
        </w:rPr>
        <w:t>2.2.3. Згідно з чинним законодавством України, у випадку необхідності, вимагати від Депонента надання додаткових документів, відомостей та інформаці</w:t>
      </w:r>
      <w:r w:rsidR="00754BA9" w:rsidRPr="007B5095">
        <w:rPr>
          <w:rFonts w:ascii="Times New Roman" w:hAnsi="Times New Roman"/>
          <w:szCs w:val="20"/>
          <w:lang w:val="uk-UA"/>
        </w:rPr>
        <w:t xml:space="preserve">ї, </w:t>
      </w:r>
      <w:proofErr w:type="spellStart"/>
      <w:r w:rsidRPr="007B5095">
        <w:rPr>
          <w:rFonts w:ascii="Times New Roman" w:hAnsi="Times New Roman"/>
          <w:szCs w:val="20"/>
        </w:rPr>
        <w:t>засвідчених</w:t>
      </w:r>
      <w:proofErr w:type="spellEnd"/>
      <w:r w:rsidRPr="007B5095">
        <w:rPr>
          <w:rFonts w:ascii="Times New Roman" w:hAnsi="Times New Roman"/>
          <w:szCs w:val="20"/>
          <w:lang w:val="uk-UA"/>
        </w:rPr>
        <w:t xml:space="preserve"> та погоджених належним чином.</w:t>
      </w:r>
    </w:p>
    <w:p w14:paraId="03FDD222" w14:textId="77777777" w:rsidR="00502AEC" w:rsidRPr="007B5095" w:rsidRDefault="00502AEC">
      <w:pPr>
        <w:tabs>
          <w:tab w:val="left" w:pos="709"/>
        </w:tabs>
        <w:rPr>
          <w:rFonts w:ascii="Times New Roman" w:hAnsi="Times New Roman"/>
          <w:szCs w:val="20"/>
          <w:lang w:val="uk-UA"/>
        </w:rPr>
      </w:pPr>
      <w:r w:rsidRPr="007B5095">
        <w:rPr>
          <w:rFonts w:ascii="Times New Roman" w:hAnsi="Times New Roman"/>
          <w:szCs w:val="20"/>
          <w:lang w:val="uk-UA"/>
        </w:rPr>
        <w:t>2.2.4. Надавати Депоненту додаткові (інформаційні та консультаційні) послуги, іншу інформацію, яка необхідна Депоненту для реалізації прав за цінними паперами.</w:t>
      </w:r>
      <w:r w:rsidR="00B7121E" w:rsidRPr="007B5095">
        <w:rPr>
          <w:rFonts w:ascii="Times New Roman" w:hAnsi="Times New Roman"/>
          <w:szCs w:val="20"/>
          <w:lang w:val="uk-UA"/>
        </w:rPr>
        <w:t xml:space="preserve"> </w:t>
      </w:r>
      <w:proofErr w:type="spellStart"/>
      <w:r w:rsidR="00B7121E" w:rsidRPr="007B5095">
        <w:rPr>
          <w:rFonts w:ascii="Times New Roman" w:hAnsi="Times New Roman"/>
          <w:szCs w:val="20"/>
        </w:rPr>
        <w:t>Надавати</w:t>
      </w:r>
      <w:proofErr w:type="spellEnd"/>
      <w:r w:rsidR="00B7121E" w:rsidRPr="007B5095">
        <w:rPr>
          <w:rFonts w:ascii="Times New Roman" w:hAnsi="Times New Roman"/>
          <w:szCs w:val="20"/>
        </w:rPr>
        <w:t xml:space="preserve"> Депоненту </w:t>
      </w:r>
      <w:proofErr w:type="spellStart"/>
      <w:r w:rsidR="00B7121E" w:rsidRPr="007B5095">
        <w:rPr>
          <w:rFonts w:ascii="Times New Roman" w:hAnsi="Times New Roman"/>
          <w:szCs w:val="20"/>
        </w:rPr>
        <w:t>виписки</w:t>
      </w:r>
      <w:proofErr w:type="spellEnd"/>
      <w:r w:rsidR="00B7121E" w:rsidRPr="007B5095">
        <w:rPr>
          <w:rFonts w:ascii="Times New Roman" w:hAnsi="Times New Roman"/>
          <w:szCs w:val="20"/>
        </w:rPr>
        <w:t xml:space="preserve"> з </w:t>
      </w:r>
      <w:proofErr w:type="spellStart"/>
      <w:r w:rsidR="00B7121E" w:rsidRPr="007B5095">
        <w:rPr>
          <w:rFonts w:ascii="Times New Roman" w:hAnsi="Times New Roman"/>
          <w:szCs w:val="20"/>
        </w:rPr>
        <w:t>рахунку</w:t>
      </w:r>
      <w:proofErr w:type="spellEnd"/>
      <w:r w:rsidR="00B7121E" w:rsidRPr="007B5095">
        <w:rPr>
          <w:rFonts w:ascii="Times New Roman" w:hAnsi="Times New Roman"/>
          <w:szCs w:val="20"/>
        </w:rPr>
        <w:t xml:space="preserve"> </w:t>
      </w:r>
      <w:r w:rsidR="00C22309" w:rsidRPr="007B5095">
        <w:rPr>
          <w:rFonts w:ascii="Times New Roman" w:hAnsi="Times New Roman"/>
          <w:szCs w:val="20"/>
        </w:rPr>
        <w:t xml:space="preserve">в </w:t>
      </w:r>
      <w:proofErr w:type="spellStart"/>
      <w:r w:rsidR="00C22309" w:rsidRPr="007B5095">
        <w:rPr>
          <w:rFonts w:ascii="Times New Roman" w:hAnsi="Times New Roman"/>
          <w:szCs w:val="20"/>
        </w:rPr>
        <w:t>цін</w:t>
      </w:r>
      <w:r w:rsidR="00B7121E" w:rsidRPr="007B5095">
        <w:rPr>
          <w:rFonts w:ascii="Times New Roman" w:hAnsi="Times New Roman"/>
          <w:szCs w:val="20"/>
        </w:rPr>
        <w:t>них</w:t>
      </w:r>
      <w:proofErr w:type="spellEnd"/>
      <w:r w:rsidR="00B7121E" w:rsidRPr="007B5095">
        <w:rPr>
          <w:rFonts w:ascii="Times New Roman" w:hAnsi="Times New Roman"/>
          <w:szCs w:val="20"/>
        </w:rPr>
        <w:t xml:space="preserve"> </w:t>
      </w:r>
      <w:proofErr w:type="spellStart"/>
      <w:r w:rsidR="00B7121E" w:rsidRPr="007B5095">
        <w:rPr>
          <w:rFonts w:ascii="Times New Roman" w:hAnsi="Times New Roman"/>
          <w:szCs w:val="20"/>
        </w:rPr>
        <w:t>паперах</w:t>
      </w:r>
      <w:proofErr w:type="spellEnd"/>
      <w:r w:rsidR="00B7121E" w:rsidRPr="007B5095">
        <w:rPr>
          <w:rFonts w:ascii="Times New Roman" w:hAnsi="Times New Roman"/>
          <w:szCs w:val="20"/>
        </w:rPr>
        <w:t xml:space="preserve"> Депонента, </w:t>
      </w:r>
      <w:proofErr w:type="spellStart"/>
      <w:r w:rsidR="00B7121E" w:rsidRPr="007B5095">
        <w:rPr>
          <w:rFonts w:ascii="Times New Roman" w:hAnsi="Times New Roman"/>
          <w:szCs w:val="20"/>
        </w:rPr>
        <w:t>довідки</w:t>
      </w:r>
      <w:proofErr w:type="spellEnd"/>
      <w:r w:rsidR="00B7121E" w:rsidRPr="007B5095">
        <w:rPr>
          <w:rFonts w:ascii="Times New Roman" w:hAnsi="Times New Roman"/>
          <w:szCs w:val="20"/>
        </w:rPr>
        <w:t xml:space="preserve"> </w:t>
      </w:r>
      <w:proofErr w:type="spellStart"/>
      <w:r w:rsidR="00B7121E" w:rsidRPr="007B5095">
        <w:rPr>
          <w:rFonts w:ascii="Times New Roman" w:hAnsi="Times New Roman"/>
          <w:szCs w:val="20"/>
        </w:rPr>
        <w:t>або</w:t>
      </w:r>
      <w:proofErr w:type="spellEnd"/>
      <w:r w:rsidR="00B7121E" w:rsidRPr="007B5095">
        <w:rPr>
          <w:rFonts w:ascii="Times New Roman" w:hAnsi="Times New Roman"/>
          <w:szCs w:val="20"/>
        </w:rPr>
        <w:t xml:space="preserve"> </w:t>
      </w:r>
      <w:proofErr w:type="spellStart"/>
      <w:r w:rsidR="00B7121E" w:rsidRPr="007B5095">
        <w:rPr>
          <w:rFonts w:ascii="Times New Roman" w:hAnsi="Times New Roman"/>
          <w:szCs w:val="20"/>
        </w:rPr>
        <w:t>інші</w:t>
      </w:r>
      <w:proofErr w:type="spellEnd"/>
      <w:r w:rsidR="00B7121E" w:rsidRPr="007B5095">
        <w:rPr>
          <w:rFonts w:ascii="Times New Roman" w:hAnsi="Times New Roman"/>
          <w:szCs w:val="20"/>
        </w:rPr>
        <w:t xml:space="preserve"> </w:t>
      </w:r>
      <w:proofErr w:type="spellStart"/>
      <w:r w:rsidR="00B7121E" w:rsidRPr="007B5095">
        <w:rPr>
          <w:rFonts w:ascii="Times New Roman" w:hAnsi="Times New Roman"/>
          <w:szCs w:val="20"/>
        </w:rPr>
        <w:t>звіти</w:t>
      </w:r>
      <w:proofErr w:type="spellEnd"/>
      <w:r w:rsidR="00B7121E" w:rsidRPr="007B5095">
        <w:rPr>
          <w:rFonts w:ascii="Times New Roman" w:hAnsi="Times New Roman"/>
          <w:szCs w:val="20"/>
        </w:rPr>
        <w:t xml:space="preserve"> про </w:t>
      </w:r>
      <w:proofErr w:type="spellStart"/>
      <w:r w:rsidR="00B7121E" w:rsidRPr="007B5095">
        <w:rPr>
          <w:rFonts w:ascii="Times New Roman" w:hAnsi="Times New Roman"/>
          <w:szCs w:val="20"/>
        </w:rPr>
        <w:t>виконання</w:t>
      </w:r>
      <w:proofErr w:type="spellEnd"/>
      <w:r w:rsidR="00B7121E" w:rsidRPr="007B5095">
        <w:rPr>
          <w:rFonts w:ascii="Times New Roman" w:hAnsi="Times New Roman"/>
          <w:szCs w:val="20"/>
        </w:rPr>
        <w:t xml:space="preserve"> </w:t>
      </w:r>
      <w:proofErr w:type="spellStart"/>
      <w:r w:rsidR="00B7121E" w:rsidRPr="007B5095">
        <w:rPr>
          <w:rFonts w:ascii="Times New Roman" w:hAnsi="Times New Roman"/>
          <w:szCs w:val="20"/>
        </w:rPr>
        <w:t>операцій</w:t>
      </w:r>
      <w:proofErr w:type="spellEnd"/>
      <w:r w:rsidR="00B7121E" w:rsidRPr="007B5095">
        <w:rPr>
          <w:rFonts w:ascii="Times New Roman" w:hAnsi="Times New Roman"/>
          <w:szCs w:val="20"/>
        </w:rPr>
        <w:t xml:space="preserve">, </w:t>
      </w:r>
      <w:proofErr w:type="spellStart"/>
      <w:r w:rsidR="00B7121E" w:rsidRPr="007B5095">
        <w:rPr>
          <w:rFonts w:ascii="Times New Roman" w:hAnsi="Times New Roman"/>
          <w:szCs w:val="20"/>
        </w:rPr>
        <w:t>які</w:t>
      </w:r>
      <w:proofErr w:type="spellEnd"/>
      <w:r w:rsidR="00B7121E" w:rsidRPr="007B5095">
        <w:rPr>
          <w:rFonts w:ascii="Times New Roman" w:hAnsi="Times New Roman"/>
          <w:szCs w:val="20"/>
        </w:rPr>
        <w:t xml:space="preserve"> </w:t>
      </w:r>
      <w:proofErr w:type="spellStart"/>
      <w:r w:rsidR="00B7121E" w:rsidRPr="007B5095">
        <w:rPr>
          <w:rFonts w:ascii="Times New Roman" w:hAnsi="Times New Roman"/>
          <w:szCs w:val="20"/>
        </w:rPr>
        <w:t>формуються</w:t>
      </w:r>
      <w:proofErr w:type="spellEnd"/>
      <w:r w:rsidR="00B7121E" w:rsidRPr="007B5095">
        <w:rPr>
          <w:rFonts w:ascii="Times New Roman" w:hAnsi="Times New Roman"/>
          <w:szCs w:val="20"/>
        </w:rPr>
        <w:t xml:space="preserve"> </w:t>
      </w:r>
      <w:proofErr w:type="spellStart"/>
      <w:r w:rsidR="00B7121E" w:rsidRPr="007B5095">
        <w:rPr>
          <w:rFonts w:ascii="Times New Roman" w:hAnsi="Times New Roman"/>
          <w:szCs w:val="20"/>
        </w:rPr>
        <w:t>програмним</w:t>
      </w:r>
      <w:proofErr w:type="spellEnd"/>
      <w:r w:rsidR="00B7121E" w:rsidRPr="007B5095">
        <w:rPr>
          <w:rFonts w:ascii="Times New Roman" w:hAnsi="Times New Roman"/>
          <w:szCs w:val="20"/>
        </w:rPr>
        <w:t xml:space="preserve"> комплексом Центрального </w:t>
      </w:r>
      <w:proofErr w:type="spellStart"/>
      <w:r w:rsidR="00B7121E" w:rsidRPr="007B5095">
        <w:rPr>
          <w:rFonts w:ascii="Times New Roman" w:hAnsi="Times New Roman"/>
          <w:szCs w:val="20"/>
        </w:rPr>
        <w:t>Депозитарію</w:t>
      </w:r>
      <w:proofErr w:type="spellEnd"/>
      <w:r w:rsidR="00B7121E" w:rsidRPr="007B5095">
        <w:rPr>
          <w:rFonts w:ascii="Times New Roman" w:hAnsi="Times New Roman"/>
          <w:szCs w:val="20"/>
        </w:rPr>
        <w:t>.</w:t>
      </w:r>
    </w:p>
    <w:p w14:paraId="3B731095" w14:textId="77777777" w:rsidR="00502AEC" w:rsidRPr="007B5095" w:rsidRDefault="00502AEC">
      <w:pPr>
        <w:tabs>
          <w:tab w:val="left" w:pos="709"/>
        </w:tabs>
        <w:rPr>
          <w:rFonts w:ascii="Times New Roman" w:hAnsi="Times New Roman"/>
          <w:szCs w:val="20"/>
          <w:lang w:val="uk-UA"/>
        </w:rPr>
      </w:pPr>
      <w:r w:rsidRPr="007B5095">
        <w:rPr>
          <w:rFonts w:ascii="Times New Roman" w:hAnsi="Times New Roman"/>
          <w:szCs w:val="20"/>
          <w:lang w:val="uk-UA"/>
        </w:rPr>
        <w:t xml:space="preserve">2.2.5. У випадку початку Депозитарною установою процедури припинення нею провадження професійної діяльності на фондовому ринку - депозитарної діяльності депозитарної установи відповідно до вимог нормативно-правового </w:t>
      </w:r>
      <w:proofErr w:type="spellStart"/>
      <w:r w:rsidRPr="007B5095">
        <w:rPr>
          <w:rFonts w:ascii="Times New Roman" w:hAnsi="Times New Roman"/>
          <w:szCs w:val="20"/>
          <w:lang w:val="uk-UA"/>
        </w:rPr>
        <w:t>акта</w:t>
      </w:r>
      <w:proofErr w:type="spellEnd"/>
      <w:r w:rsidRPr="007B5095">
        <w:rPr>
          <w:rFonts w:ascii="Times New Roman" w:hAnsi="Times New Roman"/>
          <w:szCs w:val="20"/>
          <w:lang w:val="uk-UA"/>
        </w:rPr>
        <w:t xml:space="preserve"> щодо припинення депозитарної діяльності депозитарної установи виконувати тільки ті розпорядження Депонента, керуючого рахунком в цінних паперах Депонента, виконання яких не заборонено цим нормативно-правовим актом. </w:t>
      </w:r>
    </w:p>
    <w:p w14:paraId="485000BD" w14:textId="77777777" w:rsidR="00502AEC" w:rsidRPr="007B5095" w:rsidRDefault="00502AEC" w:rsidP="0081747A">
      <w:pPr>
        <w:tabs>
          <w:tab w:val="left" w:pos="709"/>
        </w:tabs>
        <w:rPr>
          <w:rFonts w:ascii="Times New Roman" w:hAnsi="Times New Roman"/>
          <w:szCs w:val="20"/>
          <w:lang w:val="uk-UA"/>
        </w:rPr>
      </w:pPr>
      <w:r w:rsidRPr="007B5095">
        <w:rPr>
          <w:rFonts w:ascii="Times New Roman" w:hAnsi="Times New Roman"/>
          <w:szCs w:val="20"/>
          <w:lang w:val="uk-UA"/>
        </w:rPr>
        <w:t>2.2.6. Вносити зміни до внутрішніх документів Депозитарної установи та тарифів Депозитарної установи</w:t>
      </w:r>
      <w:r w:rsidR="00496FA1" w:rsidRPr="007B5095">
        <w:rPr>
          <w:rFonts w:ascii="Times New Roman" w:hAnsi="Times New Roman"/>
          <w:szCs w:val="20"/>
        </w:rPr>
        <w:t>)</w:t>
      </w:r>
      <w:r w:rsidRPr="007B5095">
        <w:rPr>
          <w:rFonts w:ascii="Times New Roman" w:hAnsi="Times New Roman"/>
          <w:szCs w:val="20"/>
          <w:lang w:val="uk-UA"/>
        </w:rPr>
        <w:t>.</w:t>
      </w:r>
    </w:p>
    <w:p w14:paraId="40393FFB" w14:textId="77777777" w:rsidR="00600899" w:rsidRPr="007B5095" w:rsidRDefault="00502AEC" w:rsidP="00600899">
      <w:pPr>
        <w:suppressAutoHyphens w:val="0"/>
        <w:autoSpaceDE w:val="0"/>
        <w:autoSpaceDN w:val="0"/>
        <w:adjustRightInd w:val="0"/>
        <w:rPr>
          <w:rFonts w:ascii="Times New Roman" w:hAnsi="Times New Roman"/>
          <w:szCs w:val="20"/>
          <w:lang w:val="uk-UA"/>
        </w:rPr>
      </w:pPr>
      <w:r w:rsidRPr="007B5095">
        <w:rPr>
          <w:rFonts w:ascii="Times New Roman" w:hAnsi="Times New Roman"/>
          <w:szCs w:val="20"/>
          <w:lang w:val="uk-UA"/>
        </w:rPr>
        <w:t xml:space="preserve">2.2.7. Закрити рахунок </w:t>
      </w:r>
      <w:r w:rsidR="00C22309" w:rsidRPr="007B5095">
        <w:rPr>
          <w:rFonts w:ascii="Times New Roman" w:hAnsi="Times New Roman"/>
          <w:szCs w:val="20"/>
          <w:lang w:val="uk-UA"/>
        </w:rPr>
        <w:t>в цін</w:t>
      </w:r>
      <w:r w:rsidRPr="007B5095">
        <w:rPr>
          <w:rFonts w:ascii="Times New Roman" w:hAnsi="Times New Roman"/>
          <w:szCs w:val="20"/>
          <w:lang w:val="uk-UA"/>
        </w:rPr>
        <w:t xml:space="preserve">них паперах Депонента, на якому </w:t>
      </w:r>
      <w:r w:rsidR="005D4D73" w:rsidRPr="007B5095">
        <w:rPr>
          <w:rFonts w:ascii="Times New Roman" w:hAnsi="Times New Roman"/>
          <w:szCs w:val="20"/>
          <w:lang w:val="uk-UA"/>
        </w:rPr>
        <w:t xml:space="preserve">відсутні </w:t>
      </w:r>
      <w:r w:rsidRPr="007B5095">
        <w:rPr>
          <w:rFonts w:ascii="Times New Roman" w:hAnsi="Times New Roman"/>
          <w:szCs w:val="20"/>
          <w:lang w:val="uk-UA"/>
        </w:rPr>
        <w:t xml:space="preserve">права на цінні папери, без розпорядження Депонента про закриття рахунку в цінних паперах </w:t>
      </w:r>
      <w:r w:rsidR="005D4D73" w:rsidRPr="007B5095">
        <w:rPr>
          <w:rFonts w:ascii="Times New Roman" w:hAnsi="Times New Roman"/>
          <w:szCs w:val="20"/>
          <w:lang w:val="uk-UA"/>
        </w:rPr>
        <w:t xml:space="preserve">та розірвати Договір в односторонньому порядку </w:t>
      </w:r>
      <w:r w:rsidRPr="007B5095">
        <w:rPr>
          <w:rFonts w:ascii="Times New Roman" w:hAnsi="Times New Roman"/>
          <w:szCs w:val="20"/>
          <w:lang w:val="uk-UA"/>
        </w:rPr>
        <w:t>у разі припинення здійснення Депозитарною установою</w:t>
      </w:r>
      <w:r w:rsidR="005D4D73" w:rsidRPr="007B5095">
        <w:rPr>
          <w:rFonts w:ascii="Times New Roman" w:hAnsi="Times New Roman"/>
          <w:szCs w:val="20"/>
          <w:lang w:val="uk-UA"/>
        </w:rPr>
        <w:t xml:space="preserve"> </w:t>
      </w:r>
      <w:r w:rsidR="0081747A" w:rsidRPr="007B5095">
        <w:rPr>
          <w:rFonts w:ascii="Times New Roman" w:hAnsi="Times New Roman"/>
          <w:szCs w:val="20"/>
          <w:lang w:val="uk-UA" w:eastAsia="uk-UA"/>
        </w:rPr>
        <w:t xml:space="preserve">діяльності депозитарної установи відповідно до вимог нормативно-правового </w:t>
      </w:r>
      <w:proofErr w:type="spellStart"/>
      <w:r w:rsidR="0081747A" w:rsidRPr="007B5095">
        <w:rPr>
          <w:rFonts w:ascii="Times New Roman" w:hAnsi="Times New Roman"/>
          <w:szCs w:val="20"/>
          <w:lang w:val="uk-UA" w:eastAsia="uk-UA"/>
        </w:rPr>
        <w:t>акта</w:t>
      </w:r>
      <w:proofErr w:type="spellEnd"/>
      <w:r w:rsidR="0081747A" w:rsidRPr="007B5095">
        <w:rPr>
          <w:rFonts w:ascii="Times New Roman" w:hAnsi="Times New Roman"/>
          <w:szCs w:val="20"/>
          <w:lang w:val="uk-UA" w:eastAsia="uk-UA"/>
        </w:rPr>
        <w:t xml:space="preserve"> щодо припинення депозитарної діяльності депозитарної установи, у разі виконання безумовної операції списання цінних паперів у порядку спадкування (в тому числі на підставі рішення суду або документів виконавчого провадження), ліквідації юридичної особи, що підтверджується відомостями Єдиного державного реєстру юридичних осіб, фізичних осіб-підприємців та громадських формувань.</w:t>
      </w:r>
      <w:r w:rsidRPr="007B5095">
        <w:rPr>
          <w:rFonts w:ascii="Times New Roman" w:hAnsi="Times New Roman"/>
          <w:szCs w:val="20"/>
          <w:lang w:val="uk-UA"/>
        </w:rPr>
        <w:t>, а також у разі розірвання цього Договору.</w:t>
      </w:r>
    </w:p>
    <w:p w14:paraId="6F585A8B" w14:textId="77777777" w:rsidR="00502AEC" w:rsidRPr="007B5095" w:rsidRDefault="00502AEC" w:rsidP="00022F5F">
      <w:pPr>
        <w:suppressAutoHyphens w:val="0"/>
        <w:autoSpaceDE w:val="0"/>
        <w:autoSpaceDN w:val="0"/>
        <w:adjustRightInd w:val="0"/>
        <w:jc w:val="left"/>
        <w:rPr>
          <w:rFonts w:ascii="Times New Roman" w:hAnsi="Times New Roman"/>
          <w:bCs/>
          <w:szCs w:val="20"/>
          <w:lang w:val="uk-UA"/>
        </w:rPr>
      </w:pPr>
      <w:r w:rsidRPr="007B5095">
        <w:rPr>
          <w:rFonts w:ascii="Times New Roman" w:hAnsi="Times New Roman"/>
          <w:szCs w:val="20"/>
          <w:lang w:val="uk-UA"/>
        </w:rPr>
        <w:t xml:space="preserve">2.2.8. </w:t>
      </w:r>
      <w:r w:rsidRPr="007B5095">
        <w:rPr>
          <w:rFonts w:ascii="Times New Roman" w:hAnsi="Times New Roman"/>
          <w:bCs/>
          <w:szCs w:val="20"/>
          <w:lang w:val="uk-UA"/>
        </w:rPr>
        <w:t xml:space="preserve">При здійсненні розрахунків за правочинами щодо цінних паперів з дотриманням принципу </w:t>
      </w:r>
      <w:r w:rsidR="00022F5F" w:rsidRPr="007B5095">
        <w:rPr>
          <w:rFonts w:ascii="Times New Roman" w:hAnsi="Times New Roman"/>
          <w:bCs/>
          <w:szCs w:val="20"/>
          <w:lang w:val="uk-UA"/>
        </w:rPr>
        <w:t>"</w:t>
      </w:r>
      <w:r w:rsidRPr="007B5095">
        <w:rPr>
          <w:rFonts w:ascii="Times New Roman" w:hAnsi="Times New Roman"/>
          <w:bCs/>
          <w:szCs w:val="20"/>
          <w:lang w:val="uk-UA"/>
        </w:rPr>
        <w:t>поставка цінних паперів проти оплати</w:t>
      </w:r>
      <w:r w:rsidR="00022F5F" w:rsidRPr="007B5095">
        <w:rPr>
          <w:rFonts w:ascii="Times New Roman" w:hAnsi="Times New Roman"/>
          <w:bCs/>
          <w:szCs w:val="20"/>
          <w:lang w:val="uk-UA"/>
        </w:rPr>
        <w:t>"</w:t>
      </w:r>
      <w:r w:rsidRPr="007B5095">
        <w:rPr>
          <w:rFonts w:ascii="Times New Roman" w:hAnsi="Times New Roman"/>
          <w:bCs/>
          <w:szCs w:val="20"/>
          <w:lang w:val="uk-UA"/>
        </w:rPr>
        <w:t xml:space="preserve"> виконувати на рахунку в цінних паперах Депонента депозитарні операції щодо цінних паперів без розпорядження депонента виключно на підставі розпоряджень та інформації Центрального депозитарію, наданих Депозитарній установі згідно з інформацією, отриманою Центральним депозитарієм від Розрахункового центру чи клірингової установи.</w:t>
      </w:r>
    </w:p>
    <w:p w14:paraId="2B9688F3" w14:textId="77777777" w:rsidR="00502AEC" w:rsidRPr="007B5095" w:rsidRDefault="00502AEC">
      <w:pPr>
        <w:rPr>
          <w:rFonts w:ascii="Times New Roman" w:hAnsi="Times New Roman"/>
          <w:szCs w:val="20"/>
          <w:lang w:val="uk-UA"/>
        </w:rPr>
      </w:pPr>
      <w:r w:rsidRPr="007B5095">
        <w:rPr>
          <w:rFonts w:ascii="Times New Roman" w:hAnsi="Times New Roman"/>
          <w:szCs w:val="20"/>
          <w:lang w:val="uk-UA"/>
        </w:rPr>
        <w:t xml:space="preserve">2.2.9. Відмінити облікові операції, які були ініційовані Депозитарною установою у Центральному депозитарії, але не були завершені протягом </w:t>
      </w:r>
      <w:r w:rsidRPr="007B5095">
        <w:rPr>
          <w:rFonts w:ascii="Times New Roman" w:hAnsi="Times New Roman"/>
          <w:i/>
          <w:iCs/>
          <w:szCs w:val="20"/>
          <w:lang w:val="uk-UA"/>
        </w:rPr>
        <w:t>трьох</w:t>
      </w:r>
      <w:r w:rsidRPr="007B5095">
        <w:rPr>
          <w:rFonts w:ascii="Times New Roman" w:hAnsi="Times New Roman"/>
          <w:szCs w:val="20"/>
          <w:lang w:val="uk-UA"/>
        </w:rPr>
        <w:t xml:space="preserve"> робочих днів за підстав, які не залежать від Депозитарної установи, у випадку отримання від Депонента відповідного розпорядження відміни (анулювання) його попереднього розпорядження згідно з внутрішніми документами депозитарної установи відповідно до Правил та інших внутрішніх документів Центрального депозитарію.</w:t>
      </w:r>
    </w:p>
    <w:p w14:paraId="49108EE5" w14:textId="77777777" w:rsidR="00E10AE9" w:rsidRPr="007B5095" w:rsidRDefault="00502AEC" w:rsidP="00E10AE9">
      <w:pPr>
        <w:rPr>
          <w:rFonts w:ascii="Times New Roman" w:hAnsi="Times New Roman"/>
          <w:szCs w:val="20"/>
          <w:lang w:val="uk-UA"/>
        </w:rPr>
      </w:pPr>
      <w:r w:rsidRPr="007B5095">
        <w:rPr>
          <w:rFonts w:ascii="Times New Roman" w:hAnsi="Times New Roman"/>
          <w:szCs w:val="20"/>
          <w:lang w:val="uk-UA"/>
        </w:rPr>
        <w:t>2.2.</w:t>
      </w:r>
      <w:r w:rsidR="00EB3362" w:rsidRPr="007B5095">
        <w:rPr>
          <w:rFonts w:ascii="Times New Roman" w:hAnsi="Times New Roman"/>
          <w:szCs w:val="20"/>
          <w:lang w:val="uk-UA"/>
        </w:rPr>
        <w:t>10</w:t>
      </w:r>
      <w:r w:rsidR="00E10AE9" w:rsidRPr="007B5095">
        <w:rPr>
          <w:rFonts w:ascii="Times New Roman" w:hAnsi="Times New Roman"/>
          <w:szCs w:val="20"/>
          <w:lang w:val="uk-UA"/>
        </w:rPr>
        <w:t xml:space="preserve">. Надавати письмову відмову у видачі виписки з </w:t>
      </w:r>
      <w:r w:rsidR="00293396" w:rsidRPr="007B5095">
        <w:rPr>
          <w:rFonts w:ascii="Times New Roman" w:hAnsi="Times New Roman"/>
          <w:szCs w:val="20"/>
          <w:lang w:val="uk-UA"/>
        </w:rPr>
        <w:t xml:space="preserve">рахунку </w:t>
      </w:r>
      <w:r w:rsidR="00E10AE9" w:rsidRPr="007B5095">
        <w:rPr>
          <w:rFonts w:ascii="Times New Roman" w:hAnsi="Times New Roman"/>
          <w:szCs w:val="20"/>
          <w:lang w:val="uk-UA"/>
        </w:rPr>
        <w:t xml:space="preserve">в цінних паперах у разі невідповідності оформлення </w:t>
      </w:r>
      <w:r w:rsidR="003E4A1E" w:rsidRPr="007B5095">
        <w:rPr>
          <w:rFonts w:ascii="Times New Roman" w:hAnsi="Times New Roman"/>
          <w:szCs w:val="20"/>
          <w:lang w:val="uk-UA"/>
        </w:rPr>
        <w:t xml:space="preserve">розпорядження </w:t>
      </w:r>
      <w:r w:rsidR="00E10AE9" w:rsidRPr="007B5095">
        <w:rPr>
          <w:rFonts w:ascii="Times New Roman" w:hAnsi="Times New Roman"/>
          <w:szCs w:val="20"/>
          <w:lang w:val="uk-UA"/>
        </w:rPr>
        <w:t xml:space="preserve">вимогам </w:t>
      </w:r>
      <w:r w:rsidR="00E10AE9" w:rsidRPr="007B5095">
        <w:rPr>
          <w:rFonts w:ascii="Times New Roman" w:hAnsi="Times New Roman"/>
          <w:bCs/>
          <w:szCs w:val="20"/>
          <w:lang w:val="uk-UA"/>
        </w:rPr>
        <w:t>Положення про провадження депозитарної діяльності та/або внутрішніх документів Депозитарної установи</w:t>
      </w:r>
      <w:r w:rsidR="00E10AE9" w:rsidRPr="007B5095">
        <w:rPr>
          <w:rFonts w:ascii="Times New Roman" w:hAnsi="Times New Roman"/>
          <w:szCs w:val="20"/>
          <w:lang w:val="uk-UA"/>
        </w:rPr>
        <w:t xml:space="preserve">. </w:t>
      </w:r>
      <w:r w:rsidR="00293396" w:rsidRPr="007B5095">
        <w:rPr>
          <w:rFonts w:ascii="Times New Roman" w:hAnsi="Times New Roman"/>
          <w:szCs w:val="20"/>
          <w:lang w:val="uk-UA"/>
        </w:rPr>
        <w:t>Відмовити Депоненту (розпоряднику рахунку, керуючому рахунком) у взятті до виконання розпорядження (запиту) у випадках, визначених законодавством та внутрішніми документами Депозитарної установи</w:t>
      </w:r>
      <w:r w:rsidR="00315F72" w:rsidRPr="007B5095">
        <w:rPr>
          <w:rFonts w:ascii="Times New Roman" w:hAnsi="Times New Roman"/>
          <w:szCs w:val="20"/>
          <w:lang w:val="uk-UA"/>
        </w:rPr>
        <w:t>, в тому числ</w:t>
      </w:r>
      <w:r w:rsidR="00EB3362" w:rsidRPr="007B5095">
        <w:rPr>
          <w:rFonts w:ascii="Times New Roman" w:hAnsi="Times New Roman"/>
          <w:szCs w:val="20"/>
          <w:lang w:val="uk-UA"/>
        </w:rPr>
        <w:t>і</w:t>
      </w:r>
      <w:r w:rsidR="00315F72" w:rsidRPr="007B5095">
        <w:rPr>
          <w:rFonts w:ascii="Times New Roman" w:hAnsi="Times New Roman"/>
          <w:szCs w:val="20"/>
          <w:lang w:val="uk-UA"/>
        </w:rPr>
        <w:t xml:space="preserve"> у разі відмови депонента у </w:t>
      </w:r>
      <w:r w:rsidR="00746CBA" w:rsidRPr="007B5095">
        <w:rPr>
          <w:rFonts w:ascii="Times New Roman" w:hAnsi="Times New Roman"/>
          <w:szCs w:val="20"/>
          <w:lang w:val="uk-UA"/>
        </w:rPr>
        <w:t>приведенні</w:t>
      </w:r>
      <w:r w:rsidR="00315F72" w:rsidRPr="007B5095">
        <w:rPr>
          <w:rFonts w:ascii="Times New Roman" w:hAnsi="Times New Roman"/>
          <w:szCs w:val="20"/>
          <w:lang w:val="uk-UA"/>
        </w:rPr>
        <w:t xml:space="preserve"> Договору у відповідність до вимог законодавства</w:t>
      </w:r>
      <w:r w:rsidR="00293396" w:rsidRPr="007B5095">
        <w:rPr>
          <w:rFonts w:ascii="Times New Roman" w:hAnsi="Times New Roman"/>
          <w:szCs w:val="20"/>
          <w:lang w:val="uk-UA"/>
        </w:rPr>
        <w:t>.</w:t>
      </w:r>
    </w:p>
    <w:p w14:paraId="1B46BF03" w14:textId="404FEFB2" w:rsidR="00812C5B" w:rsidRPr="007B5095" w:rsidRDefault="00502AEC" w:rsidP="000F77AC">
      <w:pPr>
        <w:tabs>
          <w:tab w:val="left" w:pos="709"/>
        </w:tabs>
        <w:rPr>
          <w:rFonts w:ascii="Times New Roman" w:hAnsi="Times New Roman"/>
          <w:szCs w:val="20"/>
          <w:lang w:val="uk-UA"/>
        </w:rPr>
      </w:pPr>
      <w:r w:rsidRPr="007B5095">
        <w:rPr>
          <w:rFonts w:ascii="Times New Roman" w:hAnsi="Times New Roman"/>
          <w:szCs w:val="20"/>
          <w:lang w:val="uk-UA"/>
        </w:rPr>
        <w:t>2.2.</w:t>
      </w:r>
      <w:r w:rsidR="00EB3362" w:rsidRPr="007B5095">
        <w:rPr>
          <w:rFonts w:ascii="Times New Roman" w:hAnsi="Times New Roman"/>
          <w:szCs w:val="20"/>
          <w:lang w:val="uk-UA"/>
        </w:rPr>
        <w:t>1</w:t>
      </w:r>
      <w:r w:rsidR="00EB3362" w:rsidRPr="007B5095">
        <w:rPr>
          <w:rFonts w:ascii="Times New Roman" w:hAnsi="Times New Roman"/>
          <w:szCs w:val="20"/>
        </w:rPr>
        <w:t>1</w:t>
      </w:r>
      <w:r w:rsidRPr="007B5095">
        <w:rPr>
          <w:rFonts w:ascii="Times New Roman" w:hAnsi="Times New Roman"/>
          <w:szCs w:val="20"/>
          <w:lang w:val="uk-UA"/>
        </w:rPr>
        <w:t xml:space="preserve">. </w:t>
      </w:r>
      <w:r w:rsidR="00812C5B" w:rsidRPr="007B5095">
        <w:rPr>
          <w:rFonts w:ascii="Times New Roman" w:hAnsi="Times New Roman"/>
          <w:szCs w:val="20"/>
          <w:lang w:val="uk-UA"/>
        </w:rPr>
        <w:t>Вимагати від Депонента повної та своєчасної оплати своїх послуг згідно умов цього Договору та тарифів Депозитарної установи</w:t>
      </w:r>
      <w:r w:rsidR="006638D1" w:rsidRPr="007B5095">
        <w:rPr>
          <w:rFonts w:ascii="Times New Roman" w:hAnsi="Times New Roman"/>
          <w:szCs w:val="20"/>
          <w:lang w:val="uk-UA"/>
        </w:rPr>
        <w:t xml:space="preserve">. </w:t>
      </w:r>
      <w:r w:rsidRPr="007B5095">
        <w:rPr>
          <w:rFonts w:ascii="Times New Roman" w:hAnsi="Times New Roman"/>
          <w:szCs w:val="20"/>
          <w:lang w:val="uk-UA"/>
        </w:rPr>
        <w:t>Відмовити</w:t>
      </w:r>
      <w:r w:rsidRPr="007B5095">
        <w:rPr>
          <w:rFonts w:ascii="Times New Roman" w:hAnsi="Times New Roman"/>
          <w:szCs w:val="20"/>
        </w:rPr>
        <w:t xml:space="preserve"> в </w:t>
      </w:r>
      <w:proofErr w:type="spellStart"/>
      <w:r w:rsidRPr="007B5095">
        <w:rPr>
          <w:rFonts w:ascii="Times New Roman" w:hAnsi="Times New Roman"/>
          <w:szCs w:val="20"/>
        </w:rPr>
        <w:t>узятті</w:t>
      </w:r>
      <w:proofErr w:type="spellEnd"/>
      <w:r w:rsidRPr="007B5095">
        <w:rPr>
          <w:rFonts w:ascii="Times New Roman" w:hAnsi="Times New Roman"/>
          <w:szCs w:val="20"/>
        </w:rPr>
        <w:t xml:space="preserve"> до </w:t>
      </w:r>
      <w:proofErr w:type="spellStart"/>
      <w:r w:rsidRPr="007B5095">
        <w:rPr>
          <w:rFonts w:ascii="Times New Roman" w:hAnsi="Times New Roman"/>
          <w:szCs w:val="20"/>
        </w:rPr>
        <w:t>виконання</w:t>
      </w:r>
      <w:proofErr w:type="spellEnd"/>
      <w:r w:rsidRPr="007B5095">
        <w:rPr>
          <w:rFonts w:ascii="Times New Roman" w:hAnsi="Times New Roman"/>
          <w:szCs w:val="20"/>
        </w:rPr>
        <w:t xml:space="preserve"> </w:t>
      </w:r>
      <w:proofErr w:type="spellStart"/>
      <w:r w:rsidRPr="007B5095">
        <w:rPr>
          <w:rFonts w:ascii="Times New Roman" w:hAnsi="Times New Roman"/>
          <w:szCs w:val="20"/>
        </w:rPr>
        <w:t>розпорядження</w:t>
      </w:r>
      <w:proofErr w:type="spellEnd"/>
      <w:r w:rsidRPr="007B5095">
        <w:rPr>
          <w:rFonts w:ascii="Times New Roman" w:hAnsi="Times New Roman"/>
          <w:szCs w:val="20"/>
        </w:rPr>
        <w:t xml:space="preserve"> </w:t>
      </w:r>
      <w:r w:rsidRPr="007B5095">
        <w:rPr>
          <w:rFonts w:ascii="Times New Roman" w:hAnsi="Times New Roman"/>
          <w:szCs w:val="20"/>
          <w:lang w:val="uk-UA"/>
        </w:rPr>
        <w:t>у разі несплати Депонентом депозитарних послуг.</w:t>
      </w:r>
      <w:r w:rsidR="006638D1" w:rsidRPr="007B5095">
        <w:rPr>
          <w:rFonts w:ascii="Times New Roman" w:hAnsi="Times New Roman"/>
          <w:szCs w:val="20"/>
          <w:lang w:val="uk-UA"/>
        </w:rPr>
        <w:t xml:space="preserve"> Призупинити обслуговування рахунку </w:t>
      </w:r>
      <w:r w:rsidR="00C22309" w:rsidRPr="007B5095">
        <w:rPr>
          <w:rFonts w:ascii="Times New Roman" w:hAnsi="Times New Roman"/>
          <w:szCs w:val="20"/>
          <w:lang w:val="uk-UA"/>
        </w:rPr>
        <w:t>в цін</w:t>
      </w:r>
      <w:r w:rsidR="006638D1" w:rsidRPr="007B5095">
        <w:rPr>
          <w:rFonts w:ascii="Times New Roman" w:hAnsi="Times New Roman"/>
          <w:szCs w:val="20"/>
          <w:lang w:val="uk-UA"/>
        </w:rPr>
        <w:t>них паперах Депонента у разі порушення Депонентом цього Договору щодо оплати послуг Депозитарної установи.</w:t>
      </w:r>
    </w:p>
    <w:p w14:paraId="6EE2C84B" w14:textId="77777777" w:rsidR="00A26EFC" w:rsidRPr="007B5095" w:rsidRDefault="00A26EFC" w:rsidP="00A26EFC">
      <w:pPr>
        <w:tabs>
          <w:tab w:val="left" w:pos="709"/>
        </w:tabs>
        <w:rPr>
          <w:rFonts w:ascii="Times New Roman" w:hAnsi="Times New Roman"/>
          <w:szCs w:val="20"/>
          <w:lang w:val="uk-UA"/>
        </w:rPr>
      </w:pPr>
      <w:r w:rsidRPr="007B5095">
        <w:rPr>
          <w:rFonts w:ascii="Times New Roman" w:hAnsi="Times New Roman"/>
          <w:szCs w:val="20"/>
          <w:lang w:val="uk-UA"/>
        </w:rPr>
        <w:t xml:space="preserve">2.2.12. Вимагати від Депонента надання документів та іншої </w:t>
      </w:r>
      <w:proofErr w:type="spellStart"/>
      <w:r w:rsidRPr="007B5095">
        <w:rPr>
          <w:rFonts w:ascii="Times New Roman" w:hAnsi="Times New Roman"/>
          <w:szCs w:val="20"/>
          <w:lang w:val="uk-UA"/>
        </w:rPr>
        <w:t>інформаціі</w:t>
      </w:r>
      <w:proofErr w:type="spellEnd"/>
      <w:r w:rsidRPr="007B5095">
        <w:rPr>
          <w:rFonts w:ascii="Times New Roman" w:hAnsi="Times New Roman"/>
          <w:szCs w:val="20"/>
          <w:lang w:val="uk-UA"/>
        </w:rPr>
        <w:t xml:space="preserve">, необхідної для перевірки Депозитарною установою відповідно до вимог Податкового кодексу України статусу податкового </w:t>
      </w:r>
      <w:proofErr w:type="spellStart"/>
      <w:r w:rsidRPr="007B5095">
        <w:rPr>
          <w:rFonts w:ascii="Times New Roman" w:hAnsi="Times New Roman"/>
          <w:szCs w:val="20"/>
          <w:lang w:val="uk-UA"/>
        </w:rPr>
        <w:t>резидентства</w:t>
      </w:r>
      <w:proofErr w:type="spellEnd"/>
      <w:r w:rsidRPr="007B5095">
        <w:rPr>
          <w:rFonts w:ascii="Times New Roman" w:hAnsi="Times New Roman"/>
          <w:szCs w:val="20"/>
          <w:lang w:val="uk-UA"/>
        </w:rPr>
        <w:t xml:space="preserve"> Депонента.</w:t>
      </w:r>
    </w:p>
    <w:p w14:paraId="55AB54DB" w14:textId="0D2AD052" w:rsidR="00A26EFC" w:rsidRPr="007B5095" w:rsidRDefault="00A26EFC" w:rsidP="00A26EFC">
      <w:pPr>
        <w:tabs>
          <w:tab w:val="left" w:pos="709"/>
        </w:tabs>
        <w:rPr>
          <w:rFonts w:ascii="Times New Roman" w:hAnsi="Times New Roman"/>
          <w:szCs w:val="20"/>
          <w:lang w:val="uk-UA"/>
        </w:rPr>
      </w:pPr>
      <w:r w:rsidRPr="007B5095">
        <w:rPr>
          <w:rFonts w:ascii="Times New Roman" w:hAnsi="Times New Roman"/>
          <w:szCs w:val="20"/>
          <w:lang w:val="uk-UA"/>
        </w:rPr>
        <w:t>2.2.13. Ненадання Депонентом протягом п’ятнадцяти календарних днів з дня отримання запиту Депозитарної установи запитуваної інформації та/або документів або надання інформації та/або документів, що не спростовують обґрунтованої підозри Депозитарної установи, або надання Депонентом недостовірної інформації для встановлення підзвітності його є підставою для відмови такому Депоненту у виконанні розпоряджень щодо проведення операцій за його рахунком у цінних паперах відповідно до законодавства та внутрішніх документів Депозитарної установи.</w:t>
      </w:r>
    </w:p>
    <w:p w14:paraId="041A8513" w14:textId="77777777" w:rsidR="00A42A6F" w:rsidRPr="007B5095" w:rsidRDefault="00A42A6F">
      <w:pPr>
        <w:tabs>
          <w:tab w:val="left" w:pos="709"/>
        </w:tabs>
        <w:rPr>
          <w:rFonts w:ascii="Times New Roman" w:hAnsi="Times New Roman"/>
          <w:szCs w:val="20"/>
          <w:lang w:val="uk-UA"/>
        </w:rPr>
      </w:pPr>
    </w:p>
    <w:p w14:paraId="086FD91C" w14:textId="77777777" w:rsidR="00502AEC" w:rsidRPr="007B5095" w:rsidRDefault="00502AEC">
      <w:pPr>
        <w:tabs>
          <w:tab w:val="left" w:pos="709"/>
        </w:tabs>
        <w:rPr>
          <w:rFonts w:ascii="Times New Roman" w:hAnsi="Times New Roman"/>
          <w:b/>
          <w:szCs w:val="20"/>
          <w:lang w:val="uk-UA"/>
        </w:rPr>
      </w:pPr>
      <w:r w:rsidRPr="007B5095">
        <w:rPr>
          <w:rFonts w:ascii="Times New Roman" w:hAnsi="Times New Roman"/>
          <w:b/>
          <w:szCs w:val="20"/>
          <w:lang w:val="uk-UA"/>
        </w:rPr>
        <w:t>2.3. Депонент зобов’язаний:</w:t>
      </w:r>
    </w:p>
    <w:p w14:paraId="45E8CB48" w14:textId="10DE2667" w:rsidR="00502AEC" w:rsidRPr="007B5095" w:rsidRDefault="00502AEC">
      <w:pPr>
        <w:tabs>
          <w:tab w:val="left" w:pos="709"/>
        </w:tabs>
        <w:rPr>
          <w:rFonts w:ascii="Times New Roman" w:hAnsi="Times New Roman"/>
          <w:szCs w:val="20"/>
          <w:lang w:val="uk-UA"/>
        </w:rPr>
      </w:pPr>
      <w:r w:rsidRPr="007B5095">
        <w:rPr>
          <w:rFonts w:ascii="Times New Roman" w:hAnsi="Times New Roman"/>
          <w:szCs w:val="20"/>
          <w:lang w:val="uk-UA"/>
        </w:rPr>
        <w:t>2.3.1. Надати Депозитарній установі належним чином оформлені документи</w:t>
      </w:r>
      <w:r w:rsidR="00A26EFC" w:rsidRPr="007B5095">
        <w:rPr>
          <w:rFonts w:ascii="Times New Roman" w:hAnsi="Times New Roman"/>
          <w:szCs w:val="20"/>
          <w:lang w:val="uk-UA"/>
        </w:rPr>
        <w:t xml:space="preserve"> </w:t>
      </w:r>
      <w:r w:rsidR="00A26EFC" w:rsidRPr="007B5095">
        <w:rPr>
          <w:rFonts w:ascii="Times New Roman" w:hAnsi="Times New Roman"/>
          <w:szCs w:val="20"/>
          <w:lang w:val="uk-UA"/>
        </w:rPr>
        <w:t>та інформацію</w:t>
      </w:r>
      <w:r w:rsidRPr="007B5095">
        <w:rPr>
          <w:rFonts w:ascii="Times New Roman" w:hAnsi="Times New Roman"/>
          <w:szCs w:val="20"/>
          <w:lang w:val="uk-UA"/>
        </w:rPr>
        <w:t xml:space="preserve">, визначені законодавством та внутрішніми документами Депозитарної установи, необхідні для відкриття рахунку в цінних паперах протягом </w:t>
      </w:r>
      <w:r w:rsidRPr="007B5095">
        <w:rPr>
          <w:rFonts w:ascii="Times New Roman" w:hAnsi="Times New Roman"/>
          <w:i/>
          <w:iCs/>
          <w:szCs w:val="20"/>
          <w:lang w:val="uk-UA"/>
        </w:rPr>
        <w:t>п</w:t>
      </w:r>
      <w:r w:rsidRPr="007B5095">
        <w:rPr>
          <w:rFonts w:ascii="Times New Roman" w:hAnsi="Times New Roman"/>
          <w:i/>
          <w:iCs/>
          <w:szCs w:val="20"/>
        </w:rPr>
        <w:t>'</w:t>
      </w:r>
      <w:proofErr w:type="spellStart"/>
      <w:r w:rsidRPr="007B5095">
        <w:rPr>
          <w:rFonts w:ascii="Times New Roman" w:hAnsi="Times New Roman"/>
          <w:i/>
          <w:iCs/>
          <w:szCs w:val="20"/>
          <w:lang w:val="uk-UA"/>
        </w:rPr>
        <w:t>яти</w:t>
      </w:r>
      <w:proofErr w:type="spellEnd"/>
      <w:r w:rsidRPr="007B5095">
        <w:rPr>
          <w:rFonts w:ascii="Times New Roman" w:hAnsi="Times New Roman"/>
          <w:szCs w:val="20"/>
          <w:lang w:val="uk-UA"/>
        </w:rPr>
        <w:t xml:space="preserve"> робочих днів після укладення цього Договору.</w:t>
      </w:r>
      <w:r w:rsidR="00BD33BE" w:rsidRPr="007B5095">
        <w:rPr>
          <w:rFonts w:ascii="Times New Roman" w:hAnsi="Times New Roman"/>
          <w:szCs w:val="20"/>
          <w:lang w:val="uk-UA"/>
        </w:rPr>
        <w:t xml:space="preserve"> Надавати повні та достовірні відомості, документи, передбачені законодавством як обов’язкові для надання, або згідно внутрішніх документів Депозитарної установи необхідні для виконання Депозитарною установою вимог цього Договору, в тому числі щодо ідентифікації особи.</w:t>
      </w:r>
    </w:p>
    <w:p w14:paraId="0ECB6745" w14:textId="77777777" w:rsidR="00502AEC" w:rsidRPr="007B5095" w:rsidRDefault="00502AEC">
      <w:pPr>
        <w:tabs>
          <w:tab w:val="left" w:pos="709"/>
        </w:tabs>
        <w:rPr>
          <w:rFonts w:ascii="Times New Roman" w:hAnsi="Times New Roman"/>
          <w:szCs w:val="20"/>
          <w:lang w:val="uk-UA"/>
        </w:rPr>
      </w:pPr>
      <w:r w:rsidRPr="007B5095">
        <w:rPr>
          <w:rFonts w:ascii="Times New Roman" w:hAnsi="Times New Roman"/>
          <w:szCs w:val="20"/>
          <w:lang w:val="uk-UA"/>
        </w:rPr>
        <w:t xml:space="preserve">2.3.2. Призначити розпорядника рахунку </w:t>
      </w:r>
      <w:r w:rsidR="00C22309" w:rsidRPr="007B5095">
        <w:rPr>
          <w:rFonts w:ascii="Times New Roman" w:hAnsi="Times New Roman"/>
          <w:szCs w:val="20"/>
          <w:lang w:val="uk-UA"/>
        </w:rPr>
        <w:t>в цін</w:t>
      </w:r>
      <w:r w:rsidRPr="007B5095">
        <w:rPr>
          <w:rFonts w:ascii="Times New Roman" w:hAnsi="Times New Roman"/>
          <w:szCs w:val="20"/>
          <w:lang w:val="uk-UA"/>
        </w:rPr>
        <w:t>них паперах.</w:t>
      </w:r>
    </w:p>
    <w:p w14:paraId="2C457AF0" w14:textId="77777777" w:rsidR="00502AEC" w:rsidRPr="00E16672" w:rsidRDefault="00502AEC">
      <w:pPr>
        <w:tabs>
          <w:tab w:val="left" w:pos="709"/>
        </w:tabs>
        <w:rPr>
          <w:rFonts w:ascii="Times New Roman" w:hAnsi="Times New Roman"/>
          <w:color w:val="000000"/>
          <w:szCs w:val="20"/>
          <w:lang w:val="uk-UA"/>
        </w:rPr>
      </w:pPr>
      <w:r w:rsidRPr="00E16672">
        <w:rPr>
          <w:rFonts w:ascii="Times New Roman" w:hAnsi="Times New Roman"/>
          <w:szCs w:val="20"/>
          <w:lang w:val="uk-UA"/>
        </w:rPr>
        <w:t xml:space="preserve">2.3.3.Дотримуватись вимог внутрішніх документів Депозитарної установи, які регламентують відносини </w:t>
      </w:r>
      <w:r w:rsidRPr="00E16672">
        <w:rPr>
          <w:rFonts w:ascii="Times New Roman" w:hAnsi="Times New Roman"/>
          <w:color w:val="000000"/>
          <w:szCs w:val="20"/>
          <w:lang w:val="uk-UA"/>
        </w:rPr>
        <w:t>Депонента та Депозитарної установи.</w:t>
      </w:r>
    </w:p>
    <w:p w14:paraId="008A1DDC" w14:textId="77777777" w:rsidR="00502AEC" w:rsidRPr="00E16672" w:rsidRDefault="00502AEC">
      <w:pPr>
        <w:tabs>
          <w:tab w:val="left" w:pos="709"/>
        </w:tabs>
        <w:rPr>
          <w:rFonts w:ascii="Times New Roman" w:hAnsi="Times New Roman"/>
          <w:color w:val="000000"/>
          <w:szCs w:val="20"/>
          <w:lang w:val="uk-UA"/>
        </w:rPr>
      </w:pPr>
      <w:r w:rsidRPr="00E16672">
        <w:rPr>
          <w:rFonts w:ascii="Times New Roman" w:hAnsi="Times New Roman"/>
          <w:color w:val="000000"/>
          <w:szCs w:val="20"/>
        </w:rPr>
        <w:t xml:space="preserve">2.3.4. </w:t>
      </w:r>
      <w:proofErr w:type="spellStart"/>
      <w:r w:rsidRPr="00E16672">
        <w:rPr>
          <w:rFonts w:ascii="Times New Roman" w:hAnsi="Times New Roman"/>
          <w:color w:val="000000"/>
          <w:szCs w:val="20"/>
        </w:rPr>
        <w:t>Своєчасно</w:t>
      </w:r>
      <w:proofErr w:type="spellEnd"/>
      <w:r w:rsidRPr="00E16672">
        <w:rPr>
          <w:rFonts w:ascii="Times New Roman" w:hAnsi="Times New Roman"/>
          <w:color w:val="000000"/>
          <w:szCs w:val="20"/>
        </w:rPr>
        <w:t xml:space="preserve"> та в </w:t>
      </w:r>
      <w:proofErr w:type="spellStart"/>
      <w:r w:rsidRPr="00E16672">
        <w:rPr>
          <w:rFonts w:ascii="Times New Roman" w:hAnsi="Times New Roman"/>
          <w:color w:val="000000"/>
          <w:szCs w:val="20"/>
        </w:rPr>
        <w:t>повному</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обсязі</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сплачувати</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послуги</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Депозитарної</w:t>
      </w:r>
      <w:proofErr w:type="spellEnd"/>
      <w:r w:rsidRPr="00E16672">
        <w:rPr>
          <w:rFonts w:ascii="Times New Roman" w:hAnsi="Times New Roman"/>
          <w:color w:val="000000"/>
          <w:szCs w:val="20"/>
        </w:rPr>
        <w:t xml:space="preserve"> установи </w:t>
      </w:r>
      <w:proofErr w:type="spellStart"/>
      <w:r w:rsidRPr="00E16672">
        <w:rPr>
          <w:rFonts w:ascii="Times New Roman" w:hAnsi="Times New Roman"/>
          <w:color w:val="000000"/>
          <w:szCs w:val="20"/>
        </w:rPr>
        <w:t>згідно</w:t>
      </w:r>
      <w:proofErr w:type="spellEnd"/>
      <w:r w:rsidRPr="00E16672">
        <w:rPr>
          <w:rFonts w:ascii="Times New Roman" w:hAnsi="Times New Roman"/>
          <w:color w:val="000000"/>
          <w:szCs w:val="20"/>
        </w:rPr>
        <w:t xml:space="preserve"> з </w:t>
      </w:r>
      <w:proofErr w:type="spellStart"/>
      <w:r w:rsidRPr="00E16672">
        <w:rPr>
          <w:rFonts w:ascii="Times New Roman" w:hAnsi="Times New Roman"/>
          <w:color w:val="000000"/>
          <w:szCs w:val="20"/>
        </w:rPr>
        <w:t>умовами</w:t>
      </w:r>
      <w:proofErr w:type="spellEnd"/>
      <w:r w:rsidRPr="00E16672">
        <w:rPr>
          <w:rFonts w:ascii="Times New Roman" w:hAnsi="Times New Roman"/>
          <w:color w:val="000000"/>
          <w:szCs w:val="20"/>
        </w:rPr>
        <w:t xml:space="preserve"> та строками, </w:t>
      </w:r>
      <w:proofErr w:type="spellStart"/>
      <w:r w:rsidRPr="00E16672">
        <w:rPr>
          <w:rFonts w:ascii="Times New Roman" w:hAnsi="Times New Roman"/>
          <w:color w:val="000000"/>
          <w:szCs w:val="20"/>
        </w:rPr>
        <w:t>передбаченими</w:t>
      </w:r>
      <w:proofErr w:type="spellEnd"/>
      <w:r w:rsidRPr="00E16672">
        <w:rPr>
          <w:rFonts w:ascii="Times New Roman" w:hAnsi="Times New Roman"/>
          <w:color w:val="000000"/>
          <w:szCs w:val="20"/>
        </w:rPr>
        <w:t xml:space="preserve"> Договором, та тарифами, </w:t>
      </w:r>
      <w:proofErr w:type="spellStart"/>
      <w:r w:rsidRPr="00E16672">
        <w:rPr>
          <w:rFonts w:ascii="Times New Roman" w:hAnsi="Times New Roman"/>
          <w:color w:val="000000"/>
          <w:szCs w:val="20"/>
        </w:rPr>
        <w:t>встановленими</w:t>
      </w:r>
      <w:proofErr w:type="spellEnd"/>
      <w:r w:rsidRPr="00E16672">
        <w:rPr>
          <w:rFonts w:ascii="Times New Roman" w:hAnsi="Times New Roman"/>
          <w:color w:val="000000"/>
          <w:szCs w:val="20"/>
        </w:rPr>
        <w:t xml:space="preserve"> Депозитарною </w:t>
      </w:r>
      <w:proofErr w:type="spellStart"/>
      <w:r w:rsidRPr="00E16672">
        <w:rPr>
          <w:rFonts w:ascii="Times New Roman" w:hAnsi="Times New Roman"/>
          <w:color w:val="000000"/>
          <w:szCs w:val="20"/>
        </w:rPr>
        <w:t>установою</w:t>
      </w:r>
      <w:proofErr w:type="spellEnd"/>
      <w:r w:rsidRPr="00E16672">
        <w:rPr>
          <w:rFonts w:ascii="Times New Roman" w:hAnsi="Times New Roman"/>
          <w:color w:val="000000"/>
          <w:szCs w:val="20"/>
        </w:rPr>
        <w:t xml:space="preserve"> </w:t>
      </w:r>
      <w:r w:rsidRPr="00E16672">
        <w:rPr>
          <w:rFonts w:ascii="Times New Roman" w:hAnsi="Times New Roman"/>
          <w:color w:val="000000"/>
          <w:szCs w:val="20"/>
          <w:lang w:val="uk-UA"/>
        </w:rPr>
        <w:t xml:space="preserve">на дату надання послуг (у тому числі послуги з надання інформації про корпоративні операції емітентів, </w:t>
      </w:r>
      <w:proofErr w:type="spellStart"/>
      <w:r w:rsidR="00A63224" w:rsidRPr="00E16672">
        <w:rPr>
          <w:rFonts w:ascii="Times New Roman" w:hAnsi="Times New Roman"/>
          <w:color w:val="000000"/>
          <w:szCs w:val="20"/>
        </w:rPr>
        <w:t>іншої</w:t>
      </w:r>
      <w:proofErr w:type="spellEnd"/>
      <w:r w:rsidR="00A63224" w:rsidRPr="00E16672">
        <w:rPr>
          <w:rFonts w:ascii="Times New Roman" w:hAnsi="Times New Roman"/>
          <w:color w:val="000000"/>
          <w:szCs w:val="20"/>
        </w:rPr>
        <w:t xml:space="preserve"> </w:t>
      </w:r>
      <w:proofErr w:type="spellStart"/>
      <w:r w:rsidR="00A63224" w:rsidRPr="00E16672">
        <w:rPr>
          <w:rFonts w:ascii="Times New Roman" w:hAnsi="Times New Roman"/>
          <w:color w:val="000000"/>
          <w:szCs w:val="20"/>
        </w:rPr>
        <w:t>інформації</w:t>
      </w:r>
      <w:proofErr w:type="spellEnd"/>
      <w:r w:rsidR="00A63224" w:rsidRPr="00E16672">
        <w:rPr>
          <w:rFonts w:ascii="Times New Roman" w:hAnsi="Times New Roman"/>
          <w:color w:val="000000"/>
          <w:szCs w:val="20"/>
        </w:rPr>
        <w:t xml:space="preserve">, </w:t>
      </w:r>
      <w:proofErr w:type="spellStart"/>
      <w:r w:rsidR="00A63224" w:rsidRPr="00E16672">
        <w:rPr>
          <w:rFonts w:ascii="Times New Roman" w:hAnsi="Times New Roman"/>
          <w:color w:val="000000"/>
          <w:szCs w:val="20"/>
        </w:rPr>
        <w:t>отриманої</w:t>
      </w:r>
      <w:proofErr w:type="spellEnd"/>
      <w:r w:rsidR="00A63224" w:rsidRPr="00E16672">
        <w:rPr>
          <w:rFonts w:ascii="Times New Roman" w:hAnsi="Times New Roman"/>
          <w:color w:val="000000"/>
          <w:szCs w:val="20"/>
        </w:rPr>
        <w:t xml:space="preserve"> </w:t>
      </w:r>
      <w:r w:rsidRPr="00E16672">
        <w:rPr>
          <w:rFonts w:ascii="Times New Roman" w:hAnsi="Times New Roman"/>
          <w:color w:val="000000"/>
          <w:szCs w:val="20"/>
          <w:lang w:val="uk-UA"/>
        </w:rPr>
        <w:t>від Центрального депозитарію згідно вимог чинного законодавства).</w:t>
      </w:r>
    </w:p>
    <w:p w14:paraId="4DA83E23" w14:textId="77777777" w:rsidR="00502AEC" w:rsidRPr="00E16672" w:rsidRDefault="00502AEC">
      <w:pPr>
        <w:tabs>
          <w:tab w:val="left" w:pos="709"/>
        </w:tabs>
        <w:rPr>
          <w:rFonts w:ascii="Times New Roman" w:hAnsi="Times New Roman"/>
          <w:color w:val="000000"/>
          <w:szCs w:val="20"/>
        </w:rPr>
      </w:pPr>
      <w:r w:rsidRPr="00E16672">
        <w:rPr>
          <w:rFonts w:ascii="Times New Roman" w:hAnsi="Times New Roman"/>
          <w:color w:val="000000"/>
          <w:szCs w:val="20"/>
        </w:rPr>
        <w:lastRenderedPageBreak/>
        <w:t xml:space="preserve">2.3.5. </w:t>
      </w:r>
      <w:proofErr w:type="spellStart"/>
      <w:r w:rsidRPr="00E16672">
        <w:rPr>
          <w:rFonts w:ascii="Times New Roman" w:hAnsi="Times New Roman"/>
          <w:color w:val="000000"/>
          <w:szCs w:val="20"/>
        </w:rPr>
        <w:t>Сплатити</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Депозитарній</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установі</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повну</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вартість</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отриманих</w:t>
      </w:r>
      <w:proofErr w:type="spellEnd"/>
      <w:r w:rsidRPr="00E16672">
        <w:rPr>
          <w:rFonts w:ascii="Times New Roman" w:hAnsi="Times New Roman"/>
          <w:color w:val="000000"/>
          <w:szCs w:val="20"/>
        </w:rPr>
        <w:t xml:space="preserve">, але не </w:t>
      </w:r>
      <w:proofErr w:type="spellStart"/>
      <w:r w:rsidRPr="00E16672">
        <w:rPr>
          <w:rFonts w:ascii="Times New Roman" w:hAnsi="Times New Roman"/>
          <w:color w:val="000000"/>
          <w:szCs w:val="20"/>
        </w:rPr>
        <w:t>сплачених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послуг</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протягом</w:t>
      </w:r>
      <w:proofErr w:type="spellEnd"/>
      <w:r w:rsidRPr="00E16672">
        <w:rPr>
          <w:rFonts w:ascii="Times New Roman" w:hAnsi="Times New Roman"/>
          <w:color w:val="000000"/>
          <w:szCs w:val="20"/>
        </w:rPr>
        <w:t xml:space="preserve"> </w:t>
      </w:r>
      <w:r w:rsidRPr="00E16672">
        <w:rPr>
          <w:rFonts w:ascii="Times New Roman" w:hAnsi="Times New Roman"/>
          <w:i/>
          <w:iCs/>
          <w:color w:val="000000"/>
          <w:szCs w:val="20"/>
        </w:rPr>
        <w:t>десяти</w:t>
      </w:r>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банківських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днів</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після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отримання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письмового</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повідомлення</w:t>
      </w:r>
      <w:proofErr w:type="spellEnd"/>
      <w:r w:rsidRPr="00E16672">
        <w:rPr>
          <w:rFonts w:ascii="Times New Roman" w:hAnsi="Times New Roman"/>
          <w:color w:val="000000"/>
          <w:szCs w:val="20"/>
        </w:rPr>
        <w:t xml:space="preserve"> про </w:t>
      </w:r>
      <w:proofErr w:type="spellStart"/>
      <w:r w:rsidRPr="00E16672">
        <w:rPr>
          <w:rFonts w:ascii="Times New Roman" w:hAnsi="Times New Roman"/>
          <w:color w:val="000000"/>
          <w:szCs w:val="20"/>
        </w:rPr>
        <w:t>розірвання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цього</w:t>
      </w:r>
      <w:proofErr w:type="spellEnd"/>
      <w:r w:rsidRPr="00E16672">
        <w:rPr>
          <w:rFonts w:ascii="Times New Roman" w:hAnsi="Times New Roman"/>
          <w:color w:val="000000"/>
          <w:szCs w:val="20"/>
        </w:rPr>
        <w:t xml:space="preserve"> Договору.</w:t>
      </w:r>
    </w:p>
    <w:p w14:paraId="4A64ADEA" w14:textId="77777777" w:rsidR="00502AEC" w:rsidRPr="00E16672" w:rsidRDefault="00502AEC">
      <w:pPr>
        <w:tabs>
          <w:tab w:val="left" w:pos="709"/>
        </w:tabs>
        <w:rPr>
          <w:rFonts w:ascii="Times New Roman" w:hAnsi="Times New Roman"/>
          <w:color w:val="000000"/>
          <w:szCs w:val="20"/>
          <w:lang w:val="uk-UA"/>
        </w:rPr>
      </w:pPr>
      <w:r w:rsidRPr="00E16672">
        <w:rPr>
          <w:rFonts w:ascii="Times New Roman" w:hAnsi="Times New Roman"/>
          <w:color w:val="000000"/>
          <w:szCs w:val="20"/>
          <w:lang w:val="uk-UA"/>
        </w:rPr>
        <w:t xml:space="preserve">2.3.6. Надавати Депозитарній установі документи, які передбачені законодавством </w:t>
      </w:r>
      <w:r w:rsidR="00A63224" w:rsidRPr="00E16672">
        <w:rPr>
          <w:rFonts w:ascii="Times New Roman" w:hAnsi="Times New Roman"/>
          <w:color w:val="000000"/>
          <w:szCs w:val="20"/>
          <w:lang w:val="uk-UA"/>
        </w:rPr>
        <w:t xml:space="preserve">України </w:t>
      </w:r>
      <w:r w:rsidRPr="00E16672">
        <w:rPr>
          <w:rFonts w:ascii="Times New Roman" w:hAnsi="Times New Roman"/>
          <w:color w:val="000000"/>
          <w:szCs w:val="20"/>
          <w:lang w:val="uk-UA"/>
        </w:rPr>
        <w:t xml:space="preserve">та внутрішніми документами Депозитарної установи як обов'язкові для подання або необхідні їй для виконання дій згідно з вимогами законодавства </w:t>
      </w:r>
      <w:r w:rsidR="00A63224" w:rsidRPr="00E16672">
        <w:rPr>
          <w:rFonts w:ascii="Times New Roman" w:hAnsi="Times New Roman"/>
          <w:color w:val="000000"/>
          <w:szCs w:val="20"/>
          <w:lang w:val="uk-UA"/>
        </w:rPr>
        <w:t xml:space="preserve">України </w:t>
      </w:r>
      <w:r w:rsidRPr="00E16672">
        <w:rPr>
          <w:rFonts w:ascii="Times New Roman" w:hAnsi="Times New Roman"/>
          <w:color w:val="000000"/>
          <w:szCs w:val="20"/>
          <w:lang w:val="uk-UA"/>
        </w:rPr>
        <w:t>та умовами Договору.</w:t>
      </w:r>
    </w:p>
    <w:p w14:paraId="1370D037" w14:textId="77777777" w:rsidR="00502AEC" w:rsidRPr="00E16672" w:rsidRDefault="00502AEC">
      <w:pPr>
        <w:tabs>
          <w:tab w:val="left" w:pos="709"/>
        </w:tabs>
        <w:rPr>
          <w:rFonts w:ascii="Times New Roman" w:hAnsi="Times New Roman"/>
          <w:szCs w:val="20"/>
          <w:lang w:val="uk-UA"/>
        </w:rPr>
      </w:pPr>
      <w:r w:rsidRPr="00E16672">
        <w:rPr>
          <w:rFonts w:ascii="Times New Roman" w:hAnsi="Times New Roman"/>
          <w:color w:val="000000"/>
          <w:szCs w:val="20"/>
          <w:lang w:val="uk-UA"/>
        </w:rPr>
        <w:t xml:space="preserve">2.3.7. Протягом </w:t>
      </w:r>
      <w:r w:rsidR="00AC48FE" w:rsidRPr="00E16672">
        <w:rPr>
          <w:rFonts w:ascii="Times New Roman" w:hAnsi="Times New Roman"/>
          <w:i/>
          <w:iCs/>
          <w:color w:val="000000"/>
          <w:szCs w:val="20"/>
          <w:lang w:val="uk-UA"/>
        </w:rPr>
        <w:t xml:space="preserve">десяти </w:t>
      </w:r>
      <w:r w:rsidRPr="00E16672">
        <w:rPr>
          <w:rFonts w:ascii="Times New Roman" w:hAnsi="Times New Roman"/>
          <w:iCs/>
          <w:color w:val="000000"/>
          <w:szCs w:val="20"/>
          <w:lang w:val="uk-UA"/>
        </w:rPr>
        <w:t>робочих днів</w:t>
      </w:r>
      <w:r w:rsidRPr="00E16672">
        <w:rPr>
          <w:rFonts w:ascii="Times New Roman" w:hAnsi="Times New Roman"/>
          <w:i/>
          <w:iCs/>
          <w:color w:val="000000"/>
          <w:szCs w:val="20"/>
          <w:lang w:val="uk-UA"/>
        </w:rPr>
        <w:t xml:space="preserve"> </w:t>
      </w:r>
      <w:r w:rsidRPr="00E16672">
        <w:rPr>
          <w:rFonts w:ascii="Times New Roman" w:hAnsi="Times New Roman"/>
          <w:color w:val="000000"/>
          <w:szCs w:val="20"/>
          <w:lang w:val="uk-UA"/>
        </w:rPr>
        <w:t>з дати внесення відповідних змін до своїх реквізитів</w:t>
      </w:r>
      <w:r w:rsidR="00AC48FE" w:rsidRPr="00E16672">
        <w:rPr>
          <w:rFonts w:ascii="Times New Roman" w:hAnsi="Times New Roman"/>
          <w:color w:val="000000"/>
          <w:szCs w:val="20"/>
          <w:lang w:val="uk-UA"/>
        </w:rPr>
        <w:t xml:space="preserve"> (</w:t>
      </w:r>
      <w:r w:rsidR="00AC48FE" w:rsidRPr="00E16672">
        <w:rPr>
          <w:rFonts w:ascii="Times New Roman" w:hAnsi="Times New Roman"/>
          <w:szCs w:val="20"/>
          <w:lang w:val="uk-UA"/>
        </w:rPr>
        <w:t>в тому числі адреси електронної пошти</w:t>
      </w:r>
      <w:r w:rsidRPr="00E16672">
        <w:rPr>
          <w:rFonts w:ascii="Times New Roman" w:hAnsi="Times New Roman"/>
          <w:color w:val="000000"/>
          <w:szCs w:val="20"/>
          <w:lang w:val="uk-UA"/>
        </w:rPr>
        <w:t xml:space="preserve"> </w:t>
      </w:r>
      <w:r w:rsidR="00AC48FE" w:rsidRPr="00E16672">
        <w:rPr>
          <w:rFonts w:ascii="Times New Roman" w:hAnsi="Times New Roman"/>
          <w:color w:val="000000"/>
          <w:szCs w:val="20"/>
          <w:lang w:val="uk-UA"/>
        </w:rPr>
        <w:t xml:space="preserve">та номера телефону для направлення текстових повідомлень) </w:t>
      </w:r>
      <w:r w:rsidRPr="00E16672">
        <w:rPr>
          <w:rFonts w:ascii="Times New Roman" w:hAnsi="Times New Roman"/>
          <w:color w:val="000000"/>
          <w:szCs w:val="20"/>
          <w:lang w:val="uk-UA"/>
        </w:rPr>
        <w:t xml:space="preserve">або документів, що надавалися для відкриття </w:t>
      </w:r>
      <w:r w:rsidR="00AC48FE" w:rsidRPr="00E16672">
        <w:rPr>
          <w:rFonts w:ascii="Times New Roman" w:hAnsi="Times New Roman"/>
          <w:color w:val="000000"/>
          <w:szCs w:val="20"/>
          <w:lang w:val="uk-UA"/>
        </w:rPr>
        <w:t xml:space="preserve">рахунку </w:t>
      </w:r>
      <w:r w:rsidRPr="00E16672">
        <w:rPr>
          <w:rFonts w:ascii="Times New Roman" w:hAnsi="Times New Roman"/>
          <w:color w:val="000000"/>
          <w:szCs w:val="20"/>
          <w:lang w:val="uk-UA"/>
        </w:rPr>
        <w:t xml:space="preserve">в цінних паперах, </w:t>
      </w:r>
      <w:r w:rsidR="00AB7EC5" w:rsidRPr="00E16672">
        <w:rPr>
          <w:rFonts w:ascii="Times New Roman" w:hAnsi="Times New Roman"/>
          <w:color w:val="000000"/>
          <w:szCs w:val="20"/>
          <w:lang w:val="uk-UA"/>
        </w:rPr>
        <w:t xml:space="preserve">крім визначених п. 2.3.10 цього Договору, </w:t>
      </w:r>
      <w:r w:rsidRPr="00E16672">
        <w:rPr>
          <w:rFonts w:ascii="Times New Roman" w:hAnsi="Times New Roman"/>
          <w:color w:val="000000"/>
          <w:szCs w:val="20"/>
          <w:lang w:val="uk-UA"/>
        </w:rPr>
        <w:t>надавати  інформацію про ці зміни Депозитарній установі у порядку, встановленому законодавством</w:t>
      </w:r>
      <w:r w:rsidRPr="00E16672">
        <w:rPr>
          <w:rFonts w:ascii="Times New Roman" w:hAnsi="Times New Roman"/>
          <w:szCs w:val="20"/>
          <w:lang w:val="uk-UA"/>
        </w:rPr>
        <w:t xml:space="preserve"> та внутрішніми документами Депозитарної установи.</w:t>
      </w:r>
    </w:p>
    <w:p w14:paraId="69F0782A" w14:textId="77777777" w:rsidR="00502AEC" w:rsidRPr="00E16672" w:rsidRDefault="00502AEC">
      <w:pPr>
        <w:tabs>
          <w:tab w:val="left" w:pos="709"/>
        </w:tabs>
        <w:rPr>
          <w:rFonts w:ascii="Times New Roman" w:hAnsi="Times New Roman"/>
          <w:szCs w:val="20"/>
          <w:lang w:val="uk-UA"/>
        </w:rPr>
      </w:pPr>
      <w:r w:rsidRPr="00E16672">
        <w:rPr>
          <w:rFonts w:ascii="Times New Roman" w:hAnsi="Times New Roman"/>
          <w:szCs w:val="20"/>
          <w:lang w:val="uk-UA"/>
        </w:rPr>
        <w:t xml:space="preserve">2.3.8. Протягом </w:t>
      </w:r>
      <w:r w:rsidR="00746CBA" w:rsidRPr="00E16672">
        <w:rPr>
          <w:rFonts w:ascii="Times New Roman" w:hAnsi="Times New Roman"/>
          <w:i/>
          <w:iCs/>
          <w:szCs w:val="20"/>
          <w:lang w:val="uk-UA"/>
        </w:rPr>
        <w:t>шістдесяти</w:t>
      </w:r>
      <w:r w:rsidRPr="00E16672">
        <w:rPr>
          <w:rFonts w:ascii="Times New Roman" w:hAnsi="Times New Roman"/>
          <w:szCs w:val="20"/>
          <w:lang w:val="uk-UA"/>
        </w:rPr>
        <w:t xml:space="preserve"> календарних днів з дати початку Депозитарною установою процедури припинення нею провадження професійної діяльності на фондовому ринку - депозитарної діяльності депозитарної установи відповідно до вимог нормативно-правового </w:t>
      </w:r>
      <w:proofErr w:type="spellStart"/>
      <w:r w:rsidRPr="00E16672">
        <w:rPr>
          <w:rFonts w:ascii="Times New Roman" w:hAnsi="Times New Roman"/>
          <w:szCs w:val="20"/>
          <w:lang w:val="uk-UA"/>
        </w:rPr>
        <w:t>акта</w:t>
      </w:r>
      <w:proofErr w:type="spellEnd"/>
      <w:r w:rsidRPr="00E16672">
        <w:rPr>
          <w:rFonts w:ascii="Times New Roman" w:hAnsi="Times New Roman"/>
          <w:szCs w:val="20"/>
          <w:lang w:val="uk-UA"/>
        </w:rPr>
        <w:t xml:space="preserve"> щодо припинення депозитарної діяльності депозитарної установи здійснити всі необхідні дії щодо закриття </w:t>
      </w:r>
      <w:r w:rsidR="00AC48FE" w:rsidRPr="00E16672">
        <w:rPr>
          <w:rFonts w:ascii="Times New Roman" w:hAnsi="Times New Roman"/>
          <w:szCs w:val="20"/>
          <w:lang w:val="uk-UA"/>
        </w:rPr>
        <w:t xml:space="preserve">рахунку </w:t>
      </w:r>
      <w:r w:rsidRPr="00E16672">
        <w:rPr>
          <w:rFonts w:ascii="Times New Roman" w:hAnsi="Times New Roman"/>
          <w:szCs w:val="20"/>
          <w:lang w:val="uk-UA"/>
        </w:rPr>
        <w:t>в цінних паперах.</w:t>
      </w:r>
    </w:p>
    <w:p w14:paraId="493EC736" w14:textId="77777777" w:rsidR="00E37DD2" w:rsidRPr="00E16672" w:rsidRDefault="00E37DD2" w:rsidP="00022F5F">
      <w:pPr>
        <w:jc w:val="left"/>
        <w:rPr>
          <w:rFonts w:ascii="Times New Roman" w:hAnsi="Times New Roman"/>
          <w:color w:val="000000"/>
          <w:szCs w:val="20"/>
          <w:lang w:val="uk-UA"/>
        </w:rPr>
      </w:pPr>
      <w:r w:rsidRPr="00E16672">
        <w:rPr>
          <w:rFonts w:ascii="Times New Roman" w:hAnsi="Times New Roman"/>
          <w:color w:val="000000"/>
          <w:szCs w:val="20"/>
          <w:lang w:val="uk-UA"/>
        </w:rPr>
        <w:t xml:space="preserve">2.3.9. Надавати Депозитарній установі для здійснення розрахунків за правочинами щодо цінних паперів з дотриманням принципу </w:t>
      </w:r>
      <w:r w:rsidR="00022F5F">
        <w:rPr>
          <w:rFonts w:ascii="Times New Roman" w:hAnsi="Times New Roman"/>
          <w:color w:val="000000"/>
          <w:szCs w:val="20"/>
          <w:lang w:val="uk-UA"/>
        </w:rPr>
        <w:t>"</w:t>
      </w:r>
      <w:r w:rsidRPr="00E16672">
        <w:rPr>
          <w:rFonts w:ascii="Times New Roman" w:hAnsi="Times New Roman"/>
          <w:color w:val="000000"/>
          <w:szCs w:val="20"/>
          <w:lang w:val="uk-UA"/>
        </w:rPr>
        <w:t>поставка цінних паперів проти оплати</w:t>
      </w:r>
      <w:r w:rsidR="00022F5F">
        <w:rPr>
          <w:rFonts w:ascii="Times New Roman" w:hAnsi="Times New Roman"/>
          <w:color w:val="000000"/>
          <w:szCs w:val="20"/>
          <w:lang w:val="uk-UA"/>
        </w:rPr>
        <w:t>"</w:t>
      </w:r>
      <w:r w:rsidRPr="00E16672">
        <w:rPr>
          <w:rFonts w:ascii="Times New Roman" w:hAnsi="Times New Roman"/>
          <w:color w:val="000000"/>
          <w:szCs w:val="20"/>
          <w:lang w:val="uk-UA"/>
        </w:rPr>
        <w:t xml:space="preserve"> інформацію про торговця цінними паперами, якому Депонентом надані повноваження на вчинення правочинів щодо цінних паперів в інтересах Депонента, з метою подальшого надання такої інформації Центральному депозитарію та Розрахунковому центру чи кліринговій установі для її відображення у внутрішній системі обліку такої особи.</w:t>
      </w:r>
    </w:p>
    <w:p w14:paraId="2D2D8BBF" w14:textId="77777777" w:rsidR="007B5095" w:rsidRPr="007B5095" w:rsidRDefault="007B5095" w:rsidP="007B5095">
      <w:pPr>
        <w:suppressAutoHyphens w:val="0"/>
        <w:rPr>
          <w:rFonts w:ascii="Times New Roman" w:hAnsi="Times New Roman"/>
          <w:iCs/>
          <w:szCs w:val="20"/>
          <w:lang w:val="uk-UA" w:eastAsia="ru-RU"/>
        </w:rPr>
      </w:pPr>
      <w:r w:rsidRPr="007B5095">
        <w:rPr>
          <w:rFonts w:ascii="Times New Roman" w:hAnsi="Times New Roman"/>
          <w:iCs/>
          <w:szCs w:val="20"/>
          <w:lang w:val="uk-UA" w:eastAsia="ru-RU"/>
        </w:rPr>
        <w:t xml:space="preserve">2.3.10. Протягом трьох робочих днів з дня настання відповідної події письмово повідомити Депозитарну установу про зміни в інформації, що надавалася Депозитарній установі для здійснення ідентифікації (верифікації), у тому числі щодо кінцевих </w:t>
      </w:r>
      <w:proofErr w:type="spellStart"/>
      <w:r w:rsidRPr="007B5095">
        <w:rPr>
          <w:rFonts w:ascii="Times New Roman" w:hAnsi="Times New Roman"/>
          <w:iCs/>
          <w:szCs w:val="20"/>
          <w:lang w:val="uk-UA" w:eastAsia="ru-RU"/>
        </w:rPr>
        <w:t>бенефіціарних</w:t>
      </w:r>
      <w:proofErr w:type="spellEnd"/>
      <w:r w:rsidRPr="007B5095">
        <w:rPr>
          <w:rFonts w:ascii="Times New Roman" w:hAnsi="Times New Roman"/>
          <w:iCs/>
          <w:szCs w:val="20"/>
          <w:lang w:val="uk-UA" w:eastAsia="ru-RU"/>
        </w:rPr>
        <w:t xml:space="preserve"> власників (контролерів), та надати засвідчені належним чином копії підтверджуючих документів. Надавати інформацію про зміни відповідного власного статусу податкового </w:t>
      </w:r>
      <w:proofErr w:type="spellStart"/>
      <w:r w:rsidRPr="007B5095">
        <w:rPr>
          <w:rFonts w:ascii="Times New Roman" w:hAnsi="Times New Roman"/>
          <w:iCs/>
          <w:szCs w:val="20"/>
          <w:lang w:val="uk-UA" w:eastAsia="ru-RU"/>
        </w:rPr>
        <w:t>резидентства</w:t>
      </w:r>
      <w:proofErr w:type="spellEnd"/>
      <w:r w:rsidRPr="007B5095">
        <w:rPr>
          <w:rFonts w:ascii="Times New Roman" w:hAnsi="Times New Roman"/>
          <w:iCs/>
          <w:szCs w:val="20"/>
          <w:lang w:val="uk-UA" w:eastAsia="ru-RU"/>
        </w:rPr>
        <w:t xml:space="preserve"> протягом десяти робочих днів з дня настання відповідної зміни, у порядку, встановленому законодавством та внутрішніми документами Депозитарної установи.</w:t>
      </w:r>
    </w:p>
    <w:p w14:paraId="4756DA8E" w14:textId="77777777" w:rsidR="007B5095" w:rsidRPr="007B5095" w:rsidRDefault="007B5095" w:rsidP="007B5095">
      <w:pPr>
        <w:suppressAutoHyphens w:val="0"/>
        <w:rPr>
          <w:rFonts w:ascii="Times New Roman" w:hAnsi="Times New Roman"/>
          <w:iCs/>
          <w:szCs w:val="20"/>
          <w:lang w:val="uk-UA" w:eastAsia="ru-RU"/>
        </w:rPr>
      </w:pPr>
      <w:r w:rsidRPr="007B5095">
        <w:rPr>
          <w:rFonts w:ascii="Times New Roman" w:hAnsi="Times New Roman"/>
          <w:iCs/>
          <w:szCs w:val="20"/>
          <w:lang w:val="uk-UA" w:eastAsia="ru-RU"/>
        </w:rPr>
        <w:t>Повідомлення та документи можуть надаватися особисто, поштою, кур’єром.</w:t>
      </w:r>
    </w:p>
    <w:p w14:paraId="086D484C" w14:textId="6A0B4DF4" w:rsidR="00E10AE9" w:rsidRPr="007B5095" w:rsidRDefault="007B5095" w:rsidP="007B5095">
      <w:pPr>
        <w:suppressAutoHyphens w:val="0"/>
        <w:rPr>
          <w:rFonts w:ascii="Times New Roman" w:hAnsi="Times New Roman"/>
          <w:iCs/>
          <w:szCs w:val="20"/>
          <w:lang w:eastAsia="ru-RU"/>
        </w:rPr>
      </w:pPr>
      <w:r w:rsidRPr="007B5095">
        <w:rPr>
          <w:rFonts w:ascii="Times New Roman" w:hAnsi="Times New Roman"/>
          <w:iCs/>
          <w:szCs w:val="20"/>
          <w:lang w:val="uk-UA" w:eastAsia="ru-RU"/>
        </w:rPr>
        <w:t xml:space="preserve">2.3.11. Надавати на запит Депозитарної установи інформацію та документи про власний статус податкового </w:t>
      </w:r>
      <w:proofErr w:type="spellStart"/>
      <w:r w:rsidRPr="007B5095">
        <w:rPr>
          <w:rFonts w:ascii="Times New Roman" w:hAnsi="Times New Roman"/>
          <w:iCs/>
          <w:szCs w:val="20"/>
          <w:lang w:val="uk-UA" w:eastAsia="ru-RU"/>
        </w:rPr>
        <w:t>резидентства</w:t>
      </w:r>
      <w:proofErr w:type="spellEnd"/>
      <w:r w:rsidRPr="007B5095">
        <w:rPr>
          <w:rFonts w:ascii="Times New Roman" w:hAnsi="Times New Roman"/>
          <w:iCs/>
          <w:szCs w:val="20"/>
          <w:lang w:val="uk-UA" w:eastAsia="ru-RU"/>
        </w:rPr>
        <w:t>, а також іншу інформацію і документи, необхідні для звітності за підзвітними рахунками, у тому числі пояснення та інформацію, що стосуються наявної у Депозитарної установи обґрунтованої, документально підтвердженої підозри, що рахунок у цінних паперах належить до підзвітних.</w:t>
      </w:r>
    </w:p>
    <w:p w14:paraId="637B51BE" w14:textId="77777777" w:rsidR="00F46D8C" w:rsidRPr="00E16672" w:rsidRDefault="00F46D8C">
      <w:pPr>
        <w:tabs>
          <w:tab w:val="left" w:pos="709"/>
        </w:tabs>
        <w:rPr>
          <w:rFonts w:ascii="Times New Roman" w:hAnsi="Times New Roman"/>
          <w:szCs w:val="20"/>
          <w:lang w:val="uk-UA"/>
        </w:rPr>
      </w:pPr>
    </w:p>
    <w:p w14:paraId="0CFBC077" w14:textId="77777777" w:rsidR="00502AEC" w:rsidRPr="00E16672" w:rsidRDefault="00502AEC">
      <w:pPr>
        <w:tabs>
          <w:tab w:val="left" w:pos="709"/>
        </w:tabs>
        <w:rPr>
          <w:rFonts w:ascii="Times New Roman" w:hAnsi="Times New Roman"/>
          <w:b/>
          <w:szCs w:val="20"/>
          <w:lang w:val="uk-UA"/>
        </w:rPr>
      </w:pPr>
      <w:r w:rsidRPr="00E16672">
        <w:rPr>
          <w:rFonts w:ascii="Times New Roman" w:hAnsi="Times New Roman"/>
          <w:b/>
          <w:szCs w:val="20"/>
          <w:lang w:val="uk-UA"/>
        </w:rPr>
        <w:t>2.4. Депонент має право:</w:t>
      </w:r>
    </w:p>
    <w:p w14:paraId="311351EC" w14:textId="77777777" w:rsidR="00502AEC" w:rsidRPr="00E16672" w:rsidRDefault="00502AEC">
      <w:pPr>
        <w:tabs>
          <w:tab w:val="left" w:pos="709"/>
        </w:tabs>
        <w:rPr>
          <w:rFonts w:ascii="Times New Roman" w:hAnsi="Times New Roman"/>
          <w:szCs w:val="20"/>
          <w:lang w:val="uk-UA"/>
        </w:rPr>
      </w:pPr>
      <w:r w:rsidRPr="00E16672">
        <w:rPr>
          <w:rFonts w:ascii="Times New Roman" w:hAnsi="Times New Roman"/>
          <w:szCs w:val="20"/>
          <w:lang w:val="uk-UA"/>
        </w:rPr>
        <w:t>2.4.1. Передати власні повноваження щодо відкриття рахунку в цінних паперах іншій особі, уповноваженій діяти від його імені на підставі визначеного законодавством правочину.</w:t>
      </w:r>
    </w:p>
    <w:p w14:paraId="4D3AA985" w14:textId="77777777" w:rsidR="00502AEC" w:rsidRPr="00E16672" w:rsidRDefault="00502AEC">
      <w:pPr>
        <w:pStyle w:val="ab"/>
        <w:tabs>
          <w:tab w:val="left" w:pos="709"/>
        </w:tabs>
        <w:jc w:val="both"/>
        <w:rPr>
          <w:rFonts w:ascii="Times New Roman" w:hAnsi="Times New Roman"/>
          <w:b w:val="0"/>
        </w:rPr>
      </w:pPr>
      <w:r w:rsidRPr="00E16672">
        <w:rPr>
          <w:rFonts w:ascii="Times New Roman" w:hAnsi="Times New Roman"/>
          <w:b w:val="0"/>
        </w:rPr>
        <w:t>2.4.2. Передати власні повноваження з розпорядження цінними паперами, що обліковуються на його рахунку в цінних паперах, повноваження щодо здійснення прав, що випливають з цінних паперів, керуючому рахунком.</w:t>
      </w:r>
    </w:p>
    <w:p w14:paraId="5E86248A" w14:textId="77777777" w:rsidR="00502AEC" w:rsidRPr="00E16672" w:rsidRDefault="00502AEC">
      <w:pPr>
        <w:pStyle w:val="ab"/>
        <w:jc w:val="both"/>
        <w:rPr>
          <w:rFonts w:ascii="Times New Roman" w:hAnsi="Times New Roman"/>
          <w:b w:val="0"/>
        </w:rPr>
      </w:pPr>
      <w:r w:rsidRPr="00E16672">
        <w:rPr>
          <w:rFonts w:ascii="Times New Roman" w:hAnsi="Times New Roman"/>
          <w:b w:val="0"/>
        </w:rPr>
        <w:t>2.4.3.</w:t>
      </w:r>
      <w:r w:rsidRPr="00E16672">
        <w:rPr>
          <w:rFonts w:ascii="Times New Roman" w:hAnsi="Times New Roman"/>
          <w:b w:val="0"/>
          <w:bCs/>
        </w:rPr>
        <w:t xml:space="preserve"> </w:t>
      </w:r>
      <w:r w:rsidR="00EA0BC2" w:rsidRPr="00E16672">
        <w:rPr>
          <w:rFonts w:ascii="Times New Roman" w:hAnsi="Times New Roman"/>
          <w:b w:val="0"/>
          <w:bCs/>
        </w:rPr>
        <w:t xml:space="preserve">Призначити керуючого (керуючих) рахунком </w:t>
      </w:r>
      <w:r w:rsidR="00C22309" w:rsidRPr="00E16672">
        <w:rPr>
          <w:rFonts w:ascii="Times New Roman" w:hAnsi="Times New Roman"/>
          <w:b w:val="0"/>
          <w:bCs/>
        </w:rPr>
        <w:t>в цін</w:t>
      </w:r>
      <w:r w:rsidR="00EA0BC2" w:rsidRPr="00E16672">
        <w:rPr>
          <w:rFonts w:ascii="Times New Roman" w:hAnsi="Times New Roman"/>
          <w:b w:val="0"/>
          <w:bCs/>
        </w:rPr>
        <w:t xml:space="preserve">них паперах. </w:t>
      </w:r>
      <w:r w:rsidRPr="00E16672">
        <w:rPr>
          <w:rFonts w:ascii="Times New Roman" w:hAnsi="Times New Roman"/>
          <w:b w:val="0"/>
        </w:rPr>
        <w:t xml:space="preserve">Власник має право розділити повноваження з управління рахунком </w:t>
      </w:r>
      <w:r w:rsidR="00C22309" w:rsidRPr="00E16672">
        <w:rPr>
          <w:rFonts w:ascii="Times New Roman" w:hAnsi="Times New Roman"/>
          <w:b w:val="0"/>
        </w:rPr>
        <w:t>в цін</w:t>
      </w:r>
      <w:r w:rsidRPr="00E16672">
        <w:rPr>
          <w:rFonts w:ascii="Times New Roman" w:hAnsi="Times New Roman"/>
          <w:b w:val="0"/>
        </w:rPr>
        <w:t>них паперах серед декількох керуючих рахунком. Різним керуючим рахунком - професійним учасникам фондового ринку не можуть делегуватися однакові повноваження. За певним випуском цінних паперів може бути визначений тільки один керуючий рахунком.</w:t>
      </w:r>
    </w:p>
    <w:p w14:paraId="5B349813" w14:textId="77777777" w:rsidR="00502AEC" w:rsidRPr="00E16672" w:rsidRDefault="00502AEC">
      <w:pPr>
        <w:tabs>
          <w:tab w:val="left" w:pos="709"/>
        </w:tabs>
        <w:rPr>
          <w:rFonts w:ascii="Times New Roman" w:hAnsi="Times New Roman"/>
          <w:color w:val="000000"/>
          <w:szCs w:val="20"/>
          <w:lang w:val="uk-UA"/>
        </w:rPr>
      </w:pPr>
      <w:r w:rsidRPr="00E16672">
        <w:rPr>
          <w:rFonts w:ascii="Times New Roman" w:hAnsi="Times New Roman"/>
          <w:szCs w:val="20"/>
          <w:lang w:val="uk-UA"/>
        </w:rPr>
        <w:t xml:space="preserve">2.4.4. Вимагати від Депозитарної установи своєчасного виконання своїх розпоряджень на рахунку </w:t>
      </w:r>
      <w:r w:rsidR="00C22309" w:rsidRPr="00E16672">
        <w:rPr>
          <w:rFonts w:ascii="Times New Roman" w:hAnsi="Times New Roman"/>
          <w:szCs w:val="20"/>
          <w:lang w:val="uk-UA"/>
        </w:rPr>
        <w:t>в цін</w:t>
      </w:r>
      <w:r w:rsidRPr="00E16672">
        <w:rPr>
          <w:rFonts w:ascii="Times New Roman" w:hAnsi="Times New Roman"/>
          <w:szCs w:val="20"/>
          <w:lang w:val="uk-UA"/>
        </w:rPr>
        <w:t xml:space="preserve">них паперах та отримувати відповідно до умов Договору повну інформацію щодо цінних паперів, прав на цінні папери, які обліковуються на рахунку </w:t>
      </w:r>
      <w:r w:rsidR="00C22309" w:rsidRPr="00E16672">
        <w:rPr>
          <w:rFonts w:ascii="Times New Roman" w:hAnsi="Times New Roman"/>
          <w:szCs w:val="20"/>
          <w:lang w:val="uk-UA"/>
        </w:rPr>
        <w:t>в цін</w:t>
      </w:r>
      <w:r w:rsidRPr="00E16672">
        <w:rPr>
          <w:rFonts w:ascii="Times New Roman" w:hAnsi="Times New Roman"/>
          <w:szCs w:val="20"/>
          <w:lang w:val="uk-UA"/>
        </w:rPr>
        <w:t>них паперах</w:t>
      </w:r>
      <w:r w:rsidR="000716F1" w:rsidRPr="00E16672">
        <w:rPr>
          <w:rFonts w:ascii="Times New Roman" w:hAnsi="Times New Roman"/>
          <w:szCs w:val="20"/>
          <w:lang w:val="uk-UA"/>
        </w:rPr>
        <w:t xml:space="preserve"> Депонента</w:t>
      </w:r>
      <w:r w:rsidRPr="00E16672">
        <w:rPr>
          <w:rFonts w:ascii="Times New Roman" w:hAnsi="Times New Roman"/>
          <w:szCs w:val="20"/>
          <w:lang w:val="uk-UA"/>
        </w:rPr>
        <w:t>.</w:t>
      </w:r>
    </w:p>
    <w:p w14:paraId="0BBAF7DB" w14:textId="77777777" w:rsidR="00502AEC" w:rsidRPr="00E16672" w:rsidRDefault="00502AEC">
      <w:pPr>
        <w:pStyle w:val="ab"/>
        <w:tabs>
          <w:tab w:val="left" w:pos="709"/>
        </w:tabs>
        <w:jc w:val="both"/>
        <w:rPr>
          <w:rFonts w:ascii="Times New Roman" w:hAnsi="Times New Roman"/>
          <w:b w:val="0"/>
        </w:rPr>
      </w:pPr>
      <w:r w:rsidRPr="00E16672">
        <w:rPr>
          <w:rFonts w:ascii="Times New Roman" w:hAnsi="Times New Roman"/>
          <w:b w:val="0"/>
        </w:rPr>
        <w:t xml:space="preserve">2.4.5. Вимагати від Депозитарної установи виконання умов обслуговування </w:t>
      </w:r>
      <w:proofErr w:type="spellStart"/>
      <w:r w:rsidRPr="00E16672">
        <w:rPr>
          <w:rFonts w:ascii="Times New Roman" w:hAnsi="Times New Roman"/>
          <w:b w:val="0"/>
        </w:rPr>
        <w:t>обіг</w:t>
      </w:r>
      <w:r w:rsidR="00C22309" w:rsidRPr="00E16672">
        <w:rPr>
          <w:rFonts w:ascii="Times New Roman" w:hAnsi="Times New Roman"/>
          <w:b w:val="0"/>
        </w:rPr>
        <w:t>в</w:t>
      </w:r>
      <w:proofErr w:type="spellEnd"/>
      <w:r w:rsidR="00C22309" w:rsidRPr="00E16672">
        <w:rPr>
          <w:rFonts w:ascii="Times New Roman" w:hAnsi="Times New Roman"/>
          <w:b w:val="0"/>
        </w:rPr>
        <w:t xml:space="preserve"> цін</w:t>
      </w:r>
      <w:r w:rsidRPr="00E16672">
        <w:rPr>
          <w:rFonts w:ascii="Times New Roman" w:hAnsi="Times New Roman"/>
          <w:b w:val="0"/>
        </w:rPr>
        <w:t xml:space="preserve">них паперів на рахунку </w:t>
      </w:r>
      <w:r w:rsidR="00C22309" w:rsidRPr="00E16672">
        <w:rPr>
          <w:rFonts w:ascii="Times New Roman" w:hAnsi="Times New Roman"/>
          <w:b w:val="0"/>
        </w:rPr>
        <w:t>в цін</w:t>
      </w:r>
      <w:r w:rsidRPr="00E16672">
        <w:rPr>
          <w:rFonts w:ascii="Times New Roman" w:hAnsi="Times New Roman"/>
          <w:b w:val="0"/>
        </w:rPr>
        <w:t xml:space="preserve">них паперах Депонента, обліку прав на цінні папери та їх обмежень на рахунках </w:t>
      </w:r>
      <w:r w:rsidR="00C22309" w:rsidRPr="00E16672">
        <w:rPr>
          <w:rFonts w:ascii="Times New Roman" w:hAnsi="Times New Roman"/>
          <w:b w:val="0"/>
        </w:rPr>
        <w:t>в цін</w:t>
      </w:r>
      <w:r w:rsidRPr="00E16672">
        <w:rPr>
          <w:rFonts w:ascii="Times New Roman" w:hAnsi="Times New Roman"/>
          <w:b w:val="0"/>
        </w:rPr>
        <w:t>них паперах Депонент</w:t>
      </w:r>
      <w:r w:rsidR="00A63224" w:rsidRPr="00E16672">
        <w:rPr>
          <w:rFonts w:ascii="Times New Roman" w:hAnsi="Times New Roman"/>
          <w:b w:val="0"/>
        </w:rPr>
        <w:t>а</w:t>
      </w:r>
      <w:r w:rsidRPr="00E16672">
        <w:rPr>
          <w:rFonts w:ascii="Times New Roman" w:hAnsi="Times New Roman"/>
          <w:b w:val="0"/>
        </w:rPr>
        <w:t>.</w:t>
      </w:r>
    </w:p>
    <w:p w14:paraId="1EC35611" w14:textId="77777777" w:rsidR="00502AEC" w:rsidRPr="00E16672" w:rsidRDefault="00502AEC" w:rsidP="00D051CC">
      <w:pPr>
        <w:pStyle w:val="ab"/>
        <w:tabs>
          <w:tab w:val="left" w:pos="709"/>
        </w:tabs>
        <w:jc w:val="both"/>
        <w:rPr>
          <w:rFonts w:ascii="Times New Roman" w:hAnsi="Times New Roman"/>
          <w:b w:val="0"/>
        </w:rPr>
      </w:pPr>
      <w:r w:rsidRPr="00E16672">
        <w:rPr>
          <w:rFonts w:ascii="Times New Roman" w:hAnsi="Times New Roman"/>
          <w:b w:val="0"/>
        </w:rPr>
        <w:t xml:space="preserve">2.4.6. У випадку початку Депозитарною установою процедури припинення ним провадження професійної діяльності на фондовому ринку - депозитарної діяльності, а саме депозитарної діяльності депозитарної установи відповідно до вимог відповідно до вимог нормативно-правового </w:t>
      </w:r>
      <w:proofErr w:type="spellStart"/>
      <w:r w:rsidRPr="00E16672">
        <w:rPr>
          <w:rFonts w:ascii="Times New Roman" w:hAnsi="Times New Roman"/>
          <w:b w:val="0"/>
        </w:rPr>
        <w:t>акта</w:t>
      </w:r>
      <w:proofErr w:type="spellEnd"/>
      <w:r w:rsidRPr="00E16672">
        <w:rPr>
          <w:rFonts w:ascii="Times New Roman" w:hAnsi="Times New Roman"/>
          <w:b w:val="0"/>
        </w:rPr>
        <w:t xml:space="preserve"> щодо припинення депозитарної діяльності депозитарної установи, надавати тільки ті розпорядження щодо  цінних паперів, що належать йому, виконання яких не заборонено законодавством.</w:t>
      </w:r>
    </w:p>
    <w:p w14:paraId="46C984EB" w14:textId="77777777" w:rsidR="0059336E" w:rsidRPr="00E16672" w:rsidRDefault="0059336E" w:rsidP="00022F5F">
      <w:pPr>
        <w:jc w:val="left"/>
        <w:rPr>
          <w:rFonts w:ascii="Times New Roman" w:hAnsi="Times New Roman"/>
          <w:color w:val="000000"/>
          <w:szCs w:val="20"/>
          <w:lang w:val="uk-UA"/>
        </w:rPr>
      </w:pPr>
      <w:r w:rsidRPr="00E16672">
        <w:rPr>
          <w:rFonts w:ascii="Times New Roman" w:hAnsi="Times New Roman"/>
          <w:color w:val="000000"/>
          <w:szCs w:val="20"/>
          <w:lang w:val="uk-UA"/>
        </w:rPr>
        <w:t xml:space="preserve">2.4.7. </w:t>
      </w:r>
      <w:r w:rsidRPr="00E16672">
        <w:rPr>
          <w:rFonts w:ascii="Times New Roman" w:hAnsi="Times New Roman"/>
          <w:bCs/>
          <w:color w:val="000000"/>
          <w:szCs w:val="20"/>
          <w:lang w:val="uk-UA"/>
        </w:rPr>
        <w:t>Н</w:t>
      </w:r>
      <w:r w:rsidRPr="00E16672">
        <w:rPr>
          <w:rFonts w:ascii="Times New Roman" w:hAnsi="Times New Roman"/>
          <w:color w:val="000000"/>
          <w:szCs w:val="20"/>
          <w:lang w:val="uk-UA"/>
        </w:rPr>
        <w:t xml:space="preserve">адавати Депозитарній установі інформацію лише щодо одного торговця цінними паперами, якому Депонентом надані повноваження на вчинення правочинів щодо цінних паперів в інтересах Депонента, які виконуються із забезпеченням здійснення розрахунків за правочинами щодо цінних паперів з дотриманням принципу </w:t>
      </w:r>
      <w:r w:rsidR="00022F5F">
        <w:rPr>
          <w:rFonts w:ascii="Times New Roman" w:hAnsi="Times New Roman"/>
          <w:color w:val="000000"/>
          <w:szCs w:val="20"/>
          <w:lang w:val="uk-UA"/>
        </w:rPr>
        <w:t>"</w:t>
      </w:r>
      <w:r w:rsidRPr="00E16672">
        <w:rPr>
          <w:rFonts w:ascii="Times New Roman" w:hAnsi="Times New Roman"/>
          <w:color w:val="000000"/>
          <w:szCs w:val="20"/>
          <w:lang w:val="uk-UA"/>
        </w:rPr>
        <w:t>поставка цінних паперів проти оплати</w:t>
      </w:r>
      <w:r w:rsidR="00022F5F">
        <w:rPr>
          <w:rFonts w:ascii="Times New Roman" w:hAnsi="Times New Roman"/>
          <w:color w:val="000000"/>
          <w:szCs w:val="20"/>
          <w:lang w:val="uk-UA"/>
        </w:rPr>
        <w:t>"</w:t>
      </w:r>
      <w:r w:rsidRPr="00E16672">
        <w:rPr>
          <w:rFonts w:ascii="Times New Roman" w:hAnsi="Times New Roman"/>
          <w:color w:val="000000"/>
          <w:szCs w:val="20"/>
          <w:lang w:val="uk-UA"/>
        </w:rPr>
        <w:t>.</w:t>
      </w:r>
    </w:p>
    <w:p w14:paraId="3BFD14CC" w14:textId="77777777" w:rsidR="00D960B4" w:rsidRPr="00E16672" w:rsidRDefault="00D960B4" w:rsidP="00022F5F">
      <w:pPr>
        <w:tabs>
          <w:tab w:val="left" w:pos="709"/>
        </w:tabs>
        <w:jc w:val="left"/>
        <w:rPr>
          <w:rFonts w:ascii="Times New Roman" w:hAnsi="Times New Roman"/>
          <w:color w:val="000000"/>
          <w:szCs w:val="20"/>
          <w:lang w:val="uk-UA"/>
        </w:rPr>
      </w:pPr>
      <w:bookmarkStart w:id="0" w:name="_Hlk47971335"/>
      <w:r w:rsidRPr="00E16672">
        <w:rPr>
          <w:rFonts w:ascii="Times New Roman" w:hAnsi="Times New Roman"/>
          <w:szCs w:val="20"/>
          <w:lang w:val="uk-UA"/>
        </w:rPr>
        <w:t>2.4.8. Отримувати інформацію про умови та порядок діяльності депозитарної установи з урахуванням вимог, встановлених</w:t>
      </w:r>
      <w:r w:rsidRPr="00E16672">
        <w:rPr>
          <w:rFonts w:ascii="Times New Roman" w:hAnsi="Times New Roman"/>
          <w:szCs w:val="20"/>
        </w:rPr>
        <w:t> </w:t>
      </w:r>
      <w:r w:rsidRPr="00E16672">
        <w:rPr>
          <w:rFonts w:ascii="Times New Roman" w:hAnsi="Times New Roman"/>
          <w:szCs w:val="20"/>
          <w:lang w:val="uk-UA"/>
        </w:rPr>
        <w:t xml:space="preserve">частиною першою статті 12 Закону України </w:t>
      </w:r>
      <w:r w:rsidR="00022F5F">
        <w:rPr>
          <w:rFonts w:ascii="Times New Roman" w:hAnsi="Times New Roman"/>
          <w:szCs w:val="20"/>
          <w:lang w:val="uk-UA"/>
        </w:rPr>
        <w:t>"</w:t>
      </w:r>
      <w:r w:rsidRPr="00E16672">
        <w:rPr>
          <w:rFonts w:ascii="Times New Roman" w:hAnsi="Times New Roman"/>
          <w:szCs w:val="20"/>
          <w:lang w:val="uk-UA"/>
        </w:rPr>
        <w:t>Про фінансові послуги та державне регулювання ринків фінансових послуг</w:t>
      </w:r>
      <w:r w:rsidR="00022F5F">
        <w:rPr>
          <w:rFonts w:ascii="Times New Roman" w:hAnsi="Times New Roman"/>
          <w:szCs w:val="20"/>
          <w:lang w:val="uk-UA"/>
        </w:rPr>
        <w:t>"</w:t>
      </w:r>
      <w:r w:rsidRPr="00E16672">
        <w:rPr>
          <w:rFonts w:ascii="Times New Roman" w:hAnsi="Times New Roman"/>
          <w:szCs w:val="20"/>
          <w:lang w:val="uk-UA"/>
        </w:rPr>
        <w:t>.</w:t>
      </w:r>
    </w:p>
    <w:bookmarkEnd w:id="0"/>
    <w:p w14:paraId="77139F63" w14:textId="77777777" w:rsidR="00D960B4" w:rsidRPr="00E16672" w:rsidRDefault="00D960B4" w:rsidP="00961530">
      <w:pPr>
        <w:rPr>
          <w:rFonts w:ascii="Times New Roman" w:hAnsi="Times New Roman"/>
          <w:color w:val="000000"/>
          <w:szCs w:val="20"/>
          <w:lang w:val="uk-UA"/>
        </w:rPr>
      </w:pPr>
    </w:p>
    <w:p w14:paraId="46D68B88" w14:textId="77777777" w:rsidR="00502AEC" w:rsidRPr="00E16672" w:rsidRDefault="00502AEC" w:rsidP="00961530">
      <w:pPr>
        <w:pStyle w:val="2"/>
        <w:rPr>
          <w:rFonts w:ascii="Times New Roman" w:hAnsi="Times New Roman" w:cs="Times New Roman"/>
          <w:lang w:val="uk-UA"/>
        </w:rPr>
      </w:pPr>
      <w:r w:rsidRPr="00E16672">
        <w:rPr>
          <w:rFonts w:ascii="Times New Roman" w:hAnsi="Times New Roman" w:cs="Times New Roman"/>
          <w:lang w:val="uk-UA"/>
        </w:rPr>
        <w:t xml:space="preserve">3. Порядок отримання розпоряджень </w:t>
      </w:r>
    </w:p>
    <w:p w14:paraId="2FB3AFE8" w14:textId="77777777" w:rsidR="00502AEC" w:rsidRPr="00E16672" w:rsidRDefault="00502AEC">
      <w:pPr>
        <w:rPr>
          <w:rFonts w:ascii="Times New Roman" w:hAnsi="Times New Roman"/>
          <w:color w:val="000000"/>
          <w:szCs w:val="20"/>
          <w:lang w:val="uk-UA"/>
        </w:rPr>
      </w:pPr>
      <w:r w:rsidRPr="00E16672">
        <w:rPr>
          <w:rFonts w:ascii="Times New Roman" w:hAnsi="Times New Roman"/>
          <w:color w:val="000000"/>
          <w:szCs w:val="20"/>
          <w:lang w:val="uk-UA"/>
        </w:rPr>
        <w:t>3.1. Обслуговування операцій з цінними паперами здійснюються Депозитарною установою за розпорядженням  Депонента, керуючого або розпорядника його рахунком (уповноваженого представника).</w:t>
      </w:r>
    </w:p>
    <w:p w14:paraId="1B702668" w14:textId="77777777" w:rsidR="00E10AE9" w:rsidRPr="00E16672" w:rsidRDefault="00502AEC" w:rsidP="00E10AE9">
      <w:pPr>
        <w:rPr>
          <w:rFonts w:ascii="Times New Roman" w:hAnsi="Times New Roman"/>
          <w:color w:val="000000"/>
          <w:szCs w:val="20"/>
          <w:lang w:val="uk-UA"/>
        </w:rPr>
      </w:pPr>
      <w:r w:rsidRPr="00E16672">
        <w:rPr>
          <w:rFonts w:ascii="Times New Roman" w:hAnsi="Times New Roman"/>
          <w:color w:val="000000"/>
          <w:szCs w:val="20"/>
          <w:lang w:val="uk-UA"/>
        </w:rPr>
        <w:t xml:space="preserve">3.2. </w:t>
      </w:r>
      <w:r w:rsidR="00E10AE9" w:rsidRPr="00E16672">
        <w:rPr>
          <w:rFonts w:ascii="Times New Roman" w:hAnsi="Times New Roman"/>
          <w:color w:val="000000"/>
          <w:szCs w:val="20"/>
          <w:lang w:val="uk-UA"/>
        </w:rPr>
        <w:t>Особливості складання розпоряджень Депонентів встановлені</w:t>
      </w:r>
      <w:r w:rsidR="002E75AD" w:rsidRPr="00E16672">
        <w:rPr>
          <w:rFonts w:ascii="Times New Roman" w:hAnsi="Times New Roman"/>
          <w:color w:val="000000"/>
          <w:szCs w:val="20"/>
          <w:lang w:val="uk-UA"/>
        </w:rPr>
        <w:t xml:space="preserve"> законодавством та</w:t>
      </w:r>
      <w:r w:rsidR="00E10AE9" w:rsidRPr="00E16672">
        <w:rPr>
          <w:rFonts w:ascii="Times New Roman" w:hAnsi="Times New Roman"/>
          <w:color w:val="000000"/>
          <w:szCs w:val="20"/>
        </w:rPr>
        <w:t xml:space="preserve"> </w:t>
      </w:r>
      <w:proofErr w:type="spellStart"/>
      <w:r w:rsidR="00E10AE9" w:rsidRPr="00E16672">
        <w:rPr>
          <w:rFonts w:ascii="Times New Roman" w:hAnsi="Times New Roman"/>
          <w:color w:val="000000"/>
          <w:szCs w:val="20"/>
        </w:rPr>
        <w:t>внутрішніми</w:t>
      </w:r>
      <w:proofErr w:type="spellEnd"/>
      <w:r w:rsidR="00E10AE9" w:rsidRPr="00E16672">
        <w:rPr>
          <w:rFonts w:ascii="Times New Roman" w:hAnsi="Times New Roman"/>
          <w:color w:val="000000"/>
          <w:szCs w:val="20"/>
        </w:rPr>
        <w:t xml:space="preserve"> документами </w:t>
      </w:r>
      <w:proofErr w:type="spellStart"/>
      <w:r w:rsidR="00E10AE9" w:rsidRPr="00E16672">
        <w:rPr>
          <w:rFonts w:ascii="Times New Roman" w:hAnsi="Times New Roman"/>
          <w:color w:val="000000"/>
          <w:szCs w:val="20"/>
        </w:rPr>
        <w:t>Депозитарної</w:t>
      </w:r>
      <w:proofErr w:type="spellEnd"/>
      <w:r w:rsidR="00E10AE9" w:rsidRPr="00E16672">
        <w:rPr>
          <w:rFonts w:ascii="Times New Roman" w:hAnsi="Times New Roman"/>
          <w:color w:val="000000"/>
          <w:szCs w:val="20"/>
        </w:rPr>
        <w:t xml:space="preserve"> установи</w:t>
      </w:r>
      <w:r w:rsidR="00E10AE9" w:rsidRPr="00E16672">
        <w:rPr>
          <w:rFonts w:ascii="Times New Roman" w:hAnsi="Times New Roman"/>
          <w:color w:val="000000"/>
          <w:szCs w:val="20"/>
          <w:lang w:val="uk-UA"/>
        </w:rPr>
        <w:t xml:space="preserve">. Розпорядження можуть </w:t>
      </w:r>
      <w:r w:rsidR="00746CBA" w:rsidRPr="00E16672">
        <w:rPr>
          <w:rFonts w:ascii="Times New Roman" w:hAnsi="Times New Roman"/>
          <w:color w:val="000000"/>
          <w:szCs w:val="20"/>
          <w:lang w:val="uk-UA"/>
        </w:rPr>
        <w:t>надаватися</w:t>
      </w:r>
      <w:r w:rsidR="00E10AE9" w:rsidRPr="00E16672">
        <w:rPr>
          <w:rFonts w:ascii="Times New Roman" w:hAnsi="Times New Roman"/>
          <w:color w:val="000000"/>
          <w:szCs w:val="20"/>
          <w:lang w:val="uk-UA"/>
        </w:rPr>
        <w:t xml:space="preserve"> Депозитарній установі у формі: паперового документу, електронного документу, електронного документу у формі S.W.I.F.T.-повідомлення. </w:t>
      </w:r>
    </w:p>
    <w:p w14:paraId="387E366E" w14:textId="77777777" w:rsidR="00F36C56" w:rsidRPr="00E16672" w:rsidRDefault="00F36C56" w:rsidP="00F36C56">
      <w:pPr>
        <w:rPr>
          <w:rFonts w:ascii="Times New Roman" w:hAnsi="Times New Roman"/>
          <w:color w:val="000000"/>
          <w:szCs w:val="20"/>
          <w:lang w:val="uk-UA"/>
        </w:rPr>
      </w:pPr>
      <w:r w:rsidRPr="00E16672">
        <w:rPr>
          <w:rFonts w:ascii="Times New Roman" w:hAnsi="Times New Roman"/>
          <w:color w:val="000000"/>
          <w:szCs w:val="20"/>
          <w:lang w:val="uk-UA"/>
        </w:rPr>
        <w:t>Спосіб підписання розпорядження визначається згідно зі способом підтвердження справжності підпису, що використовується при обміні інформацією між Депонентом та Депозитарною установою, і може бути таким:</w:t>
      </w:r>
    </w:p>
    <w:p w14:paraId="5CFADAD9" w14:textId="77777777" w:rsidR="00F36C56" w:rsidRPr="00E16672" w:rsidRDefault="00F36C56" w:rsidP="00F36C56">
      <w:pPr>
        <w:rPr>
          <w:rFonts w:ascii="Times New Roman" w:hAnsi="Times New Roman"/>
          <w:color w:val="000000"/>
          <w:szCs w:val="20"/>
          <w:lang w:val="uk-UA"/>
        </w:rPr>
      </w:pPr>
      <w:r w:rsidRPr="00E16672">
        <w:rPr>
          <w:rFonts w:ascii="Times New Roman" w:hAnsi="Times New Roman"/>
          <w:color w:val="000000"/>
          <w:szCs w:val="20"/>
          <w:lang w:val="uk-UA"/>
        </w:rPr>
        <w:lastRenderedPageBreak/>
        <w:t xml:space="preserve">- підпис розпорядника рахунку або керуючого рахунком юридичної особи, печатка керуючого рахунком - юридичної особи (у разі її </w:t>
      </w:r>
      <w:r w:rsidR="008C4813" w:rsidRPr="00E16672">
        <w:rPr>
          <w:rFonts w:ascii="Times New Roman" w:hAnsi="Times New Roman"/>
          <w:color w:val="000000"/>
          <w:szCs w:val="20"/>
          <w:lang w:val="uk-UA"/>
        </w:rPr>
        <w:t xml:space="preserve">використання </w:t>
      </w:r>
      <w:r w:rsidRPr="00E16672">
        <w:rPr>
          <w:rFonts w:ascii="Times New Roman" w:hAnsi="Times New Roman"/>
          <w:color w:val="000000"/>
          <w:szCs w:val="20"/>
          <w:lang w:val="uk-UA"/>
        </w:rPr>
        <w:t>та у відповідності до повноважень, які передбачають посвідчення підпису печаткою) - у разі надання розпорядження у вигляді паперового документа;</w:t>
      </w:r>
    </w:p>
    <w:p w14:paraId="1EAA9C36" w14:textId="77777777" w:rsidR="00F36C56" w:rsidRPr="00E16672" w:rsidRDefault="00F36C56" w:rsidP="00F36C56">
      <w:pPr>
        <w:rPr>
          <w:rFonts w:ascii="Times New Roman" w:hAnsi="Times New Roman"/>
          <w:color w:val="000000"/>
          <w:szCs w:val="20"/>
          <w:lang w:val="uk-UA"/>
        </w:rPr>
      </w:pPr>
      <w:r w:rsidRPr="00E16672">
        <w:rPr>
          <w:rFonts w:ascii="Times New Roman" w:hAnsi="Times New Roman"/>
          <w:color w:val="000000"/>
          <w:szCs w:val="20"/>
          <w:lang w:val="uk-UA"/>
        </w:rPr>
        <w:t xml:space="preserve"> - </w:t>
      </w:r>
      <w:r w:rsidR="008C4813" w:rsidRPr="00E16672">
        <w:rPr>
          <w:rFonts w:ascii="Times New Roman" w:hAnsi="Times New Roman"/>
          <w:color w:val="000000"/>
          <w:szCs w:val="20"/>
          <w:lang w:val="uk-UA"/>
        </w:rPr>
        <w:t>кваліфікований</w:t>
      </w:r>
      <w:r w:rsidR="008C4813" w:rsidRPr="00E16672" w:rsidDel="008C4813">
        <w:rPr>
          <w:rFonts w:ascii="Times New Roman" w:hAnsi="Times New Roman"/>
          <w:color w:val="000000"/>
          <w:szCs w:val="20"/>
          <w:lang w:val="uk-UA"/>
        </w:rPr>
        <w:t xml:space="preserve"> </w:t>
      </w:r>
      <w:r w:rsidRPr="00E16672">
        <w:rPr>
          <w:rFonts w:ascii="Times New Roman" w:hAnsi="Times New Roman"/>
          <w:color w:val="000000"/>
          <w:szCs w:val="20"/>
          <w:lang w:val="uk-UA"/>
        </w:rPr>
        <w:t xml:space="preserve">електронний підпис, що накладається за допомогою особистого ключа </w:t>
      </w:r>
      <w:r w:rsidR="002E75AD" w:rsidRPr="00E16672">
        <w:rPr>
          <w:rFonts w:ascii="Times New Roman" w:hAnsi="Times New Roman"/>
          <w:color w:val="000000"/>
          <w:szCs w:val="20"/>
          <w:lang w:val="uk-UA"/>
        </w:rPr>
        <w:t xml:space="preserve">кваліфікованого </w:t>
      </w:r>
      <w:r w:rsidRPr="00E16672">
        <w:rPr>
          <w:rFonts w:ascii="Times New Roman" w:hAnsi="Times New Roman"/>
          <w:color w:val="000000"/>
          <w:szCs w:val="20"/>
          <w:lang w:val="uk-UA"/>
        </w:rPr>
        <w:t xml:space="preserve">електронного підпису розпорядника рахунку або керуючого рахунком юридичної особи, </w:t>
      </w:r>
      <w:r w:rsidR="002E75AD" w:rsidRPr="00E16672">
        <w:rPr>
          <w:rFonts w:ascii="Times New Roman" w:hAnsi="Times New Roman"/>
          <w:color w:val="000000"/>
          <w:szCs w:val="20"/>
          <w:lang w:val="uk-UA"/>
        </w:rPr>
        <w:t xml:space="preserve">кваліфікований </w:t>
      </w:r>
      <w:r w:rsidRPr="00E16672">
        <w:rPr>
          <w:rFonts w:ascii="Times New Roman" w:hAnsi="Times New Roman"/>
          <w:color w:val="000000"/>
          <w:szCs w:val="20"/>
          <w:lang w:val="uk-UA"/>
        </w:rPr>
        <w:t>електронний підпис, що за правовим статусом прирівнюється до печатки юридичної особи (</w:t>
      </w:r>
      <w:r w:rsidR="002E75AD" w:rsidRPr="00E16672">
        <w:rPr>
          <w:rFonts w:ascii="Times New Roman" w:hAnsi="Times New Roman"/>
          <w:color w:val="000000"/>
          <w:szCs w:val="20"/>
          <w:lang w:val="uk-UA"/>
        </w:rPr>
        <w:t xml:space="preserve">у разі її використання, </w:t>
      </w:r>
      <w:r w:rsidRPr="00E16672">
        <w:rPr>
          <w:rFonts w:ascii="Times New Roman" w:hAnsi="Times New Roman"/>
          <w:color w:val="000000"/>
          <w:szCs w:val="20"/>
          <w:lang w:val="uk-UA"/>
        </w:rPr>
        <w:t xml:space="preserve">крім керуючих рахунком та у відповідності до повноважень, які передбачають посвідчення підпису печаткою) – у разі надання розпорядження у вигляді електронного документа. Цілісність наданого розпорядження, а також ідентифікація </w:t>
      </w:r>
      <w:proofErr w:type="spellStart"/>
      <w:r w:rsidRPr="00E16672">
        <w:rPr>
          <w:rFonts w:ascii="Times New Roman" w:hAnsi="Times New Roman"/>
          <w:color w:val="000000"/>
          <w:szCs w:val="20"/>
          <w:lang w:val="uk-UA"/>
        </w:rPr>
        <w:t>підписувача</w:t>
      </w:r>
      <w:proofErr w:type="spellEnd"/>
      <w:r w:rsidRPr="00E16672">
        <w:rPr>
          <w:rFonts w:ascii="Times New Roman" w:hAnsi="Times New Roman"/>
          <w:color w:val="000000"/>
          <w:szCs w:val="20"/>
          <w:lang w:val="uk-UA"/>
        </w:rPr>
        <w:t xml:space="preserve"> здійснюються шляхом перевірки </w:t>
      </w:r>
      <w:r w:rsidR="002E75AD" w:rsidRPr="00E16672">
        <w:rPr>
          <w:rFonts w:ascii="Times New Roman" w:hAnsi="Times New Roman"/>
          <w:color w:val="000000"/>
          <w:szCs w:val="20"/>
          <w:lang w:val="uk-UA"/>
        </w:rPr>
        <w:t xml:space="preserve">кваліфікованого </w:t>
      </w:r>
      <w:r w:rsidRPr="00E16672">
        <w:rPr>
          <w:rFonts w:ascii="Times New Roman" w:hAnsi="Times New Roman"/>
          <w:color w:val="000000"/>
          <w:szCs w:val="20"/>
          <w:lang w:val="uk-UA"/>
        </w:rPr>
        <w:t>електронного підпису за допомогою відкритого ключа;</w:t>
      </w:r>
    </w:p>
    <w:p w14:paraId="1237943E" w14:textId="77777777" w:rsidR="00502AEC" w:rsidRPr="00E16672" w:rsidRDefault="00502AEC" w:rsidP="00F36C56">
      <w:pPr>
        <w:rPr>
          <w:rFonts w:ascii="Times New Roman" w:hAnsi="Times New Roman"/>
          <w:color w:val="000000"/>
          <w:szCs w:val="20"/>
          <w:lang w:val="uk-UA"/>
        </w:rPr>
      </w:pPr>
      <w:r w:rsidRPr="00E16672">
        <w:rPr>
          <w:rFonts w:ascii="Times New Roman" w:hAnsi="Times New Roman"/>
          <w:color w:val="000000"/>
          <w:szCs w:val="20"/>
          <w:lang w:val="uk-UA"/>
        </w:rPr>
        <w:t>- електронне підтвердження (авторизація) підписання розпорядження ініціатором депозитарної операції (користувачем системи S.W.I.F.T.) - у разі надання розпорядження у  вигляді електронного документа у формі S.W.I.F.T. - повідомлення.</w:t>
      </w:r>
    </w:p>
    <w:p w14:paraId="793ED314" w14:textId="77777777" w:rsidR="000F154F" w:rsidRPr="00E16672" w:rsidRDefault="00502AEC" w:rsidP="000F154F">
      <w:pPr>
        <w:ind w:firstLine="480"/>
        <w:rPr>
          <w:rFonts w:ascii="Times New Roman" w:hAnsi="Times New Roman"/>
          <w:color w:val="000000"/>
          <w:szCs w:val="20"/>
          <w:lang w:val="uk-UA"/>
        </w:rPr>
      </w:pPr>
      <w:r w:rsidRPr="00E16672">
        <w:rPr>
          <w:rFonts w:ascii="Times New Roman" w:hAnsi="Times New Roman"/>
          <w:color w:val="000000"/>
          <w:szCs w:val="20"/>
          <w:lang w:val="uk-UA"/>
        </w:rPr>
        <w:t xml:space="preserve">3.3. </w:t>
      </w:r>
      <w:r w:rsidR="000F154F" w:rsidRPr="00E16672">
        <w:rPr>
          <w:rFonts w:ascii="Times New Roman" w:hAnsi="Times New Roman"/>
          <w:color w:val="000000"/>
          <w:szCs w:val="20"/>
          <w:lang w:val="uk-UA"/>
        </w:rPr>
        <w:t>Розпорядження у паперовому вигляді</w:t>
      </w:r>
      <w:r w:rsidR="00A63224" w:rsidRPr="00E16672">
        <w:rPr>
          <w:rFonts w:ascii="Times New Roman" w:hAnsi="Times New Roman"/>
          <w:color w:val="000000"/>
          <w:szCs w:val="20"/>
          <w:lang w:val="uk-UA"/>
        </w:rPr>
        <w:t>,</w:t>
      </w:r>
      <w:r w:rsidR="00A63224" w:rsidRPr="00E16672">
        <w:rPr>
          <w:rFonts w:ascii="Times New Roman" w:hAnsi="Times New Roman"/>
          <w:color w:val="000000"/>
          <w:szCs w:val="20"/>
        </w:rPr>
        <w:t xml:space="preserve"> а </w:t>
      </w:r>
      <w:proofErr w:type="spellStart"/>
      <w:r w:rsidR="00A63224" w:rsidRPr="00E16672">
        <w:rPr>
          <w:rFonts w:ascii="Times New Roman" w:hAnsi="Times New Roman"/>
          <w:color w:val="000000"/>
          <w:szCs w:val="20"/>
        </w:rPr>
        <w:t>також</w:t>
      </w:r>
      <w:proofErr w:type="spellEnd"/>
      <w:r w:rsidR="00A63224" w:rsidRPr="00E16672">
        <w:rPr>
          <w:rFonts w:ascii="Times New Roman" w:hAnsi="Times New Roman"/>
          <w:color w:val="000000"/>
          <w:szCs w:val="20"/>
        </w:rPr>
        <w:t xml:space="preserve"> </w:t>
      </w:r>
      <w:proofErr w:type="spellStart"/>
      <w:r w:rsidR="00A63224" w:rsidRPr="00E16672">
        <w:rPr>
          <w:rFonts w:ascii="Times New Roman" w:hAnsi="Times New Roman"/>
          <w:color w:val="000000"/>
          <w:szCs w:val="20"/>
        </w:rPr>
        <w:t>повідомлення</w:t>
      </w:r>
      <w:proofErr w:type="spellEnd"/>
      <w:r w:rsidR="00A63224" w:rsidRPr="00E16672">
        <w:rPr>
          <w:rFonts w:ascii="Times New Roman" w:hAnsi="Times New Roman"/>
          <w:color w:val="000000"/>
          <w:szCs w:val="20"/>
        </w:rPr>
        <w:t xml:space="preserve"> та </w:t>
      </w:r>
      <w:proofErr w:type="spellStart"/>
      <w:r w:rsidR="00A63224" w:rsidRPr="00E16672">
        <w:rPr>
          <w:rFonts w:ascii="Times New Roman" w:hAnsi="Times New Roman"/>
          <w:color w:val="000000"/>
          <w:szCs w:val="20"/>
        </w:rPr>
        <w:t>інформація</w:t>
      </w:r>
      <w:proofErr w:type="spellEnd"/>
      <w:r w:rsidR="00A63224" w:rsidRPr="00E16672">
        <w:rPr>
          <w:rFonts w:ascii="Times New Roman" w:hAnsi="Times New Roman"/>
          <w:color w:val="000000"/>
          <w:szCs w:val="20"/>
        </w:rPr>
        <w:t xml:space="preserve">, </w:t>
      </w:r>
      <w:proofErr w:type="spellStart"/>
      <w:r w:rsidR="00A63224" w:rsidRPr="00E16672">
        <w:rPr>
          <w:rFonts w:ascii="Times New Roman" w:hAnsi="Times New Roman"/>
          <w:color w:val="000000"/>
          <w:szCs w:val="20"/>
        </w:rPr>
        <w:t>що</w:t>
      </w:r>
      <w:proofErr w:type="spellEnd"/>
      <w:r w:rsidR="00A63224" w:rsidRPr="00E16672">
        <w:rPr>
          <w:rFonts w:ascii="Times New Roman" w:hAnsi="Times New Roman"/>
          <w:color w:val="000000"/>
          <w:szCs w:val="20"/>
        </w:rPr>
        <w:t xml:space="preserve"> </w:t>
      </w:r>
      <w:proofErr w:type="spellStart"/>
      <w:r w:rsidR="00A63224" w:rsidRPr="00E16672">
        <w:rPr>
          <w:rFonts w:ascii="Times New Roman" w:hAnsi="Times New Roman"/>
          <w:color w:val="000000"/>
          <w:szCs w:val="20"/>
        </w:rPr>
        <w:t>надаються</w:t>
      </w:r>
      <w:proofErr w:type="spellEnd"/>
      <w:r w:rsidR="00A63224" w:rsidRPr="00E16672">
        <w:rPr>
          <w:rFonts w:ascii="Times New Roman" w:hAnsi="Times New Roman"/>
          <w:color w:val="000000"/>
          <w:szCs w:val="20"/>
        </w:rPr>
        <w:t xml:space="preserve"> у </w:t>
      </w:r>
      <w:proofErr w:type="spellStart"/>
      <w:r w:rsidR="00A63224" w:rsidRPr="00E16672">
        <w:rPr>
          <w:rFonts w:ascii="Times New Roman" w:hAnsi="Times New Roman"/>
          <w:color w:val="000000"/>
          <w:szCs w:val="20"/>
        </w:rPr>
        <w:t>зв’язку</w:t>
      </w:r>
      <w:proofErr w:type="spellEnd"/>
      <w:r w:rsidR="00A63224" w:rsidRPr="00E16672">
        <w:rPr>
          <w:rFonts w:ascii="Times New Roman" w:hAnsi="Times New Roman"/>
          <w:color w:val="000000"/>
          <w:szCs w:val="20"/>
        </w:rPr>
        <w:t xml:space="preserve"> з </w:t>
      </w:r>
      <w:proofErr w:type="spellStart"/>
      <w:r w:rsidR="00A63224" w:rsidRPr="00E16672">
        <w:rPr>
          <w:rFonts w:ascii="Times New Roman" w:hAnsi="Times New Roman"/>
          <w:color w:val="000000"/>
          <w:szCs w:val="20"/>
        </w:rPr>
        <w:t>виконанням</w:t>
      </w:r>
      <w:proofErr w:type="spellEnd"/>
      <w:r w:rsidR="00A63224" w:rsidRPr="00E16672">
        <w:rPr>
          <w:rFonts w:ascii="Times New Roman" w:hAnsi="Times New Roman"/>
          <w:color w:val="000000"/>
          <w:szCs w:val="20"/>
        </w:rPr>
        <w:t xml:space="preserve"> Сторонами Договору, </w:t>
      </w:r>
      <w:r w:rsidR="000F154F" w:rsidRPr="00E16672">
        <w:rPr>
          <w:rFonts w:ascii="Times New Roman" w:hAnsi="Times New Roman"/>
          <w:color w:val="000000"/>
          <w:szCs w:val="20"/>
          <w:lang w:val="uk-UA"/>
        </w:rPr>
        <w:t>можуть отримуватися Депозитарною установою</w:t>
      </w:r>
      <w:r w:rsidR="00A63224" w:rsidRPr="00E16672">
        <w:rPr>
          <w:rFonts w:ascii="Times New Roman" w:hAnsi="Times New Roman"/>
          <w:color w:val="000000"/>
          <w:szCs w:val="20"/>
        </w:rPr>
        <w:t xml:space="preserve"> та Депонентом</w:t>
      </w:r>
      <w:r w:rsidR="000F154F" w:rsidRPr="00E16672">
        <w:rPr>
          <w:rFonts w:ascii="Times New Roman" w:hAnsi="Times New Roman"/>
          <w:color w:val="000000"/>
          <w:szCs w:val="20"/>
          <w:lang w:val="uk-UA"/>
        </w:rPr>
        <w:t>:</w:t>
      </w:r>
    </w:p>
    <w:p w14:paraId="7A34AE2F" w14:textId="77777777" w:rsidR="000F154F" w:rsidRPr="00E16672" w:rsidRDefault="000F154F" w:rsidP="000F154F">
      <w:pPr>
        <w:numPr>
          <w:ilvl w:val="0"/>
          <w:numId w:val="2"/>
        </w:numPr>
        <w:ind w:left="0" w:firstLine="540"/>
        <w:rPr>
          <w:rFonts w:ascii="Times New Roman" w:hAnsi="Times New Roman"/>
          <w:color w:val="000000"/>
          <w:spacing w:val="-8"/>
          <w:szCs w:val="20"/>
          <w:lang w:val="uk-UA"/>
        </w:rPr>
      </w:pPr>
      <w:r w:rsidRPr="00E16672">
        <w:rPr>
          <w:rFonts w:ascii="Times New Roman" w:hAnsi="Times New Roman"/>
          <w:color w:val="000000"/>
          <w:szCs w:val="20"/>
          <w:lang w:val="uk-UA"/>
        </w:rPr>
        <w:t xml:space="preserve">- особисто при </w:t>
      </w:r>
      <w:r w:rsidRPr="00E16672">
        <w:rPr>
          <w:rFonts w:ascii="Times New Roman" w:hAnsi="Times New Roman"/>
          <w:color w:val="000000"/>
          <w:spacing w:val="-8"/>
          <w:szCs w:val="20"/>
          <w:lang w:val="uk-UA"/>
        </w:rPr>
        <w:t>зверненні Депонента,</w:t>
      </w:r>
      <w:r w:rsidRPr="00E16672">
        <w:rPr>
          <w:rFonts w:ascii="Times New Roman" w:hAnsi="Times New Roman"/>
          <w:color w:val="000000"/>
          <w:szCs w:val="20"/>
          <w:lang w:val="uk-UA"/>
        </w:rPr>
        <w:t xml:space="preserve"> керуючого або розпорядника його рахунком (уповноваженого представника)</w:t>
      </w:r>
      <w:r w:rsidRPr="00E16672">
        <w:rPr>
          <w:rFonts w:ascii="Times New Roman" w:hAnsi="Times New Roman"/>
          <w:color w:val="000000"/>
          <w:spacing w:val="-8"/>
          <w:szCs w:val="20"/>
          <w:lang w:val="uk-UA"/>
        </w:rPr>
        <w:t>;</w:t>
      </w:r>
    </w:p>
    <w:p w14:paraId="520B2E18" w14:textId="77777777" w:rsidR="000F154F" w:rsidRPr="00E16672" w:rsidRDefault="000F154F" w:rsidP="000F154F">
      <w:pPr>
        <w:numPr>
          <w:ilvl w:val="0"/>
          <w:numId w:val="2"/>
        </w:numPr>
        <w:ind w:left="0" w:firstLine="540"/>
        <w:rPr>
          <w:rFonts w:ascii="Times New Roman" w:hAnsi="Times New Roman"/>
          <w:color w:val="000000"/>
          <w:szCs w:val="20"/>
          <w:lang w:val="uk-UA"/>
        </w:rPr>
      </w:pPr>
      <w:r w:rsidRPr="00E16672">
        <w:rPr>
          <w:rFonts w:ascii="Times New Roman" w:hAnsi="Times New Roman"/>
          <w:color w:val="000000"/>
          <w:spacing w:val="-8"/>
          <w:szCs w:val="20"/>
          <w:lang w:val="uk-UA"/>
        </w:rPr>
        <w:t xml:space="preserve">- </w:t>
      </w:r>
      <w:proofErr w:type="spellStart"/>
      <w:r w:rsidRPr="00E16672">
        <w:rPr>
          <w:rFonts w:ascii="Times New Roman" w:hAnsi="Times New Roman"/>
          <w:color w:val="000000"/>
          <w:spacing w:val="-8"/>
          <w:szCs w:val="20"/>
        </w:rPr>
        <w:t>засобами</w:t>
      </w:r>
      <w:proofErr w:type="spellEnd"/>
      <w:r w:rsidRPr="00E16672">
        <w:rPr>
          <w:rFonts w:ascii="Times New Roman" w:hAnsi="Times New Roman"/>
          <w:color w:val="000000"/>
          <w:spacing w:val="-8"/>
          <w:szCs w:val="20"/>
        </w:rPr>
        <w:t xml:space="preserve"> </w:t>
      </w:r>
      <w:proofErr w:type="spellStart"/>
      <w:r w:rsidRPr="00E16672">
        <w:rPr>
          <w:rFonts w:ascii="Times New Roman" w:hAnsi="Times New Roman"/>
          <w:color w:val="000000"/>
          <w:spacing w:val="-8"/>
          <w:szCs w:val="20"/>
        </w:rPr>
        <w:t>поштового</w:t>
      </w:r>
      <w:proofErr w:type="spellEnd"/>
      <w:r w:rsidRPr="00E16672">
        <w:rPr>
          <w:rFonts w:ascii="Times New Roman" w:hAnsi="Times New Roman"/>
          <w:color w:val="000000"/>
          <w:spacing w:val="-8"/>
          <w:szCs w:val="20"/>
        </w:rPr>
        <w:t xml:space="preserve"> </w:t>
      </w:r>
      <w:proofErr w:type="spellStart"/>
      <w:r w:rsidRPr="00E16672">
        <w:rPr>
          <w:rFonts w:ascii="Times New Roman" w:hAnsi="Times New Roman"/>
          <w:color w:val="000000"/>
          <w:spacing w:val="-8"/>
          <w:szCs w:val="20"/>
        </w:rPr>
        <w:t>зв’язку</w:t>
      </w:r>
      <w:proofErr w:type="spellEnd"/>
      <w:r w:rsidRPr="00E16672">
        <w:rPr>
          <w:rFonts w:ascii="Times New Roman" w:hAnsi="Times New Roman"/>
          <w:color w:val="000000"/>
          <w:spacing w:val="-8"/>
          <w:szCs w:val="20"/>
        </w:rPr>
        <w:t xml:space="preserve"> </w:t>
      </w:r>
      <w:proofErr w:type="spellStart"/>
      <w:r w:rsidRPr="00E16672">
        <w:rPr>
          <w:rFonts w:ascii="Times New Roman" w:hAnsi="Times New Roman"/>
          <w:color w:val="000000"/>
          <w:spacing w:val="-8"/>
          <w:szCs w:val="20"/>
        </w:rPr>
        <w:t>або</w:t>
      </w:r>
      <w:proofErr w:type="spellEnd"/>
      <w:r w:rsidRPr="00E16672">
        <w:rPr>
          <w:rFonts w:ascii="Times New Roman" w:hAnsi="Times New Roman"/>
          <w:color w:val="000000"/>
          <w:spacing w:val="-8"/>
          <w:szCs w:val="20"/>
        </w:rPr>
        <w:t xml:space="preserve"> </w:t>
      </w:r>
      <w:proofErr w:type="spellStart"/>
      <w:r w:rsidRPr="00E16672">
        <w:rPr>
          <w:rFonts w:ascii="Times New Roman" w:hAnsi="Times New Roman"/>
          <w:color w:val="000000"/>
          <w:spacing w:val="-8"/>
          <w:szCs w:val="20"/>
        </w:rPr>
        <w:t>кур’єром</w:t>
      </w:r>
      <w:proofErr w:type="spellEnd"/>
    </w:p>
    <w:p w14:paraId="11F433A6" w14:textId="77777777" w:rsidR="00946876" w:rsidRPr="00E16672" w:rsidRDefault="0027781A" w:rsidP="0027781A">
      <w:pPr>
        <w:ind w:firstLine="0"/>
        <w:rPr>
          <w:rFonts w:ascii="Times New Roman" w:hAnsi="Times New Roman"/>
          <w:color w:val="000000"/>
          <w:szCs w:val="20"/>
          <w:lang w:val="uk-UA"/>
        </w:rPr>
      </w:pPr>
      <w:r w:rsidRPr="00E16672">
        <w:rPr>
          <w:rFonts w:ascii="Times New Roman" w:hAnsi="Times New Roman"/>
          <w:color w:val="000000"/>
          <w:szCs w:val="20"/>
          <w:lang w:val="uk-UA"/>
        </w:rPr>
        <w:t xml:space="preserve">         </w:t>
      </w:r>
      <w:r w:rsidR="000F154F" w:rsidRPr="00E16672">
        <w:rPr>
          <w:rFonts w:ascii="Times New Roman" w:hAnsi="Times New Roman"/>
          <w:color w:val="000000"/>
          <w:szCs w:val="20"/>
          <w:lang w:val="uk-UA"/>
        </w:rPr>
        <w:t>3.4.</w:t>
      </w:r>
      <w:r w:rsidR="000F154F" w:rsidRPr="00E16672">
        <w:rPr>
          <w:rFonts w:ascii="Times New Roman" w:hAnsi="Times New Roman"/>
          <w:b/>
          <w:bCs/>
          <w:color w:val="000000"/>
          <w:szCs w:val="20"/>
          <w:lang w:val="uk-UA"/>
        </w:rPr>
        <w:t xml:space="preserve"> </w:t>
      </w:r>
      <w:r w:rsidR="000F154F" w:rsidRPr="00E16672">
        <w:rPr>
          <w:rFonts w:ascii="Times New Roman" w:hAnsi="Times New Roman"/>
          <w:color w:val="000000"/>
          <w:szCs w:val="20"/>
          <w:lang w:val="uk-UA"/>
        </w:rPr>
        <w:t xml:space="preserve">Розпорядження має бути підписане </w:t>
      </w:r>
      <w:r w:rsidR="00BB1945" w:rsidRPr="00E16672">
        <w:rPr>
          <w:rFonts w:ascii="Times New Roman" w:hAnsi="Times New Roman"/>
          <w:color w:val="000000"/>
          <w:szCs w:val="20"/>
          <w:lang w:val="uk-UA"/>
        </w:rPr>
        <w:t xml:space="preserve">Депонентом, </w:t>
      </w:r>
      <w:r w:rsidR="000F154F" w:rsidRPr="00E16672">
        <w:rPr>
          <w:rFonts w:ascii="Times New Roman" w:hAnsi="Times New Roman"/>
          <w:color w:val="000000"/>
          <w:szCs w:val="20"/>
          <w:lang w:val="uk-UA"/>
        </w:rPr>
        <w:t xml:space="preserve">розпорядником рахунку </w:t>
      </w:r>
      <w:r w:rsidR="00C22309" w:rsidRPr="00E16672">
        <w:rPr>
          <w:rFonts w:ascii="Times New Roman" w:hAnsi="Times New Roman"/>
          <w:color w:val="000000"/>
          <w:szCs w:val="20"/>
          <w:lang w:val="uk-UA"/>
        </w:rPr>
        <w:t>в цін</w:t>
      </w:r>
      <w:r w:rsidR="000F154F" w:rsidRPr="00E16672">
        <w:rPr>
          <w:rFonts w:ascii="Times New Roman" w:hAnsi="Times New Roman"/>
          <w:color w:val="000000"/>
          <w:szCs w:val="20"/>
          <w:lang w:val="uk-UA"/>
        </w:rPr>
        <w:t>них паперах</w:t>
      </w:r>
      <w:r w:rsidR="00BB1945" w:rsidRPr="00E16672">
        <w:rPr>
          <w:rFonts w:ascii="Times New Roman" w:hAnsi="Times New Roman"/>
          <w:color w:val="000000"/>
          <w:szCs w:val="20"/>
          <w:lang w:val="uk-UA"/>
        </w:rPr>
        <w:t xml:space="preserve"> або керуючим рахунком </w:t>
      </w:r>
      <w:r w:rsidR="00C22309" w:rsidRPr="00E16672">
        <w:rPr>
          <w:rFonts w:ascii="Times New Roman" w:hAnsi="Times New Roman"/>
          <w:color w:val="000000"/>
          <w:szCs w:val="20"/>
          <w:lang w:val="uk-UA"/>
        </w:rPr>
        <w:t>в цін</w:t>
      </w:r>
      <w:r w:rsidR="00BB1945" w:rsidRPr="00E16672">
        <w:rPr>
          <w:rFonts w:ascii="Times New Roman" w:hAnsi="Times New Roman"/>
          <w:color w:val="000000"/>
          <w:szCs w:val="20"/>
          <w:lang w:val="uk-UA"/>
        </w:rPr>
        <w:t>них паперах</w:t>
      </w:r>
      <w:r w:rsidR="000F154F" w:rsidRPr="00E16672">
        <w:rPr>
          <w:rFonts w:ascii="Times New Roman" w:hAnsi="Times New Roman"/>
          <w:color w:val="000000"/>
          <w:szCs w:val="20"/>
          <w:lang w:val="uk-UA"/>
        </w:rPr>
        <w:t xml:space="preserve">. Підпис розпорядника рахунку </w:t>
      </w:r>
      <w:r w:rsidR="00C22309" w:rsidRPr="00E16672">
        <w:rPr>
          <w:rFonts w:ascii="Times New Roman" w:hAnsi="Times New Roman"/>
          <w:color w:val="000000"/>
          <w:szCs w:val="20"/>
          <w:lang w:val="uk-UA"/>
        </w:rPr>
        <w:t>в цін</w:t>
      </w:r>
      <w:r w:rsidR="000F154F" w:rsidRPr="00E16672">
        <w:rPr>
          <w:rFonts w:ascii="Times New Roman" w:hAnsi="Times New Roman"/>
          <w:color w:val="000000"/>
          <w:szCs w:val="20"/>
          <w:lang w:val="uk-UA"/>
        </w:rPr>
        <w:t xml:space="preserve">них паперах, якщо керуючим рахунком є юридична особа, засвідчується печаткою відповідної юридичною особи (у разі </w:t>
      </w:r>
      <w:r w:rsidR="00BB1945" w:rsidRPr="00E16672">
        <w:rPr>
          <w:rFonts w:ascii="Times New Roman" w:hAnsi="Times New Roman"/>
          <w:color w:val="000000"/>
          <w:szCs w:val="20"/>
          <w:lang w:val="uk-UA"/>
        </w:rPr>
        <w:t>використання</w:t>
      </w:r>
      <w:r w:rsidR="000F154F" w:rsidRPr="00E16672">
        <w:rPr>
          <w:rFonts w:ascii="Times New Roman" w:hAnsi="Times New Roman"/>
          <w:color w:val="000000"/>
          <w:szCs w:val="20"/>
          <w:lang w:val="uk-UA"/>
        </w:rPr>
        <w:t>).</w:t>
      </w:r>
      <w:r w:rsidR="00946876" w:rsidRPr="00E16672">
        <w:rPr>
          <w:rFonts w:ascii="Times New Roman" w:hAnsi="Times New Roman"/>
          <w:color w:val="000000"/>
          <w:szCs w:val="20"/>
          <w:lang w:val="uk-UA"/>
        </w:rPr>
        <w:t xml:space="preserve"> </w:t>
      </w:r>
    </w:p>
    <w:p w14:paraId="606E347B" w14:textId="77777777" w:rsidR="000F154F" w:rsidRPr="00E16672" w:rsidRDefault="000F154F" w:rsidP="000F154F">
      <w:pPr>
        <w:rPr>
          <w:rFonts w:ascii="Times New Roman" w:hAnsi="Times New Roman"/>
          <w:szCs w:val="20"/>
        </w:rPr>
      </w:pPr>
      <w:r w:rsidRPr="00E16672">
        <w:rPr>
          <w:rFonts w:ascii="Times New Roman" w:hAnsi="Times New Roman"/>
          <w:color w:val="000000"/>
          <w:szCs w:val="20"/>
          <w:lang w:val="uk-UA"/>
        </w:rPr>
        <w:t>3.5. Депозитарна установа приймає до виконання тільки ті розпорядження Депонента, які підтверджені підписом керуючого або розпорядника його</w:t>
      </w:r>
      <w:r w:rsidRPr="00E16672">
        <w:rPr>
          <w:rFonts w:ascii="Times New Roman" w:hAnsi="Times New Roman"/>
          <w:szCs w:val="20"/>
          <w:lang w:val="uk-UA"/>
        </w:rPr>
        <w:t xml:space="preserve"> рахунком (уповноваженого представника). Д</w:t>
      </w:r>
      <w:proofErr w:type="spellStart"/>
      <w:r w:rsidRPr="00E16672">
        <w:rPr>
          <w:rFonts w:ascii="Times New Roman" w:hAnsi="Times New Roman"/>
          <w:szCs w:val="20"/>
        </w:rPr>
        <w:t>епозитарна</w:t>
      </w:r>
      <w:proofErr w:type="spellEnd"/>
      <w:r w:rsidRPr="00E16672">
        <w:rPr>
          <w:rFonts w:ascii="Times New Roman" w:hAnsi="Times New Roman"/>
          <w:szCs w:val="20"/>
        </w:rPr>
        <w:t xml:space="preserve"> </w:t>
      </w:r>
      <w:proofErr w:type="spellStart"/>
      <w:r w:rsidRPr="00E16672">
        <w:rPr>
          <w:rFonts w:ascii="Times New Roman" w:hAnsi="Times New Roman"/>
          <w:szCs w:val="20"/>
        </w:rPr>
        <w:t>установа</w:t>
      </w:r>
      <w:proofErr w:type="spellEnd"/>
      <w:r w:rsidRPr="00E16672">
        <w:rPr>
          <w:rFonts w:ascii="Times New Roman" w:hAnsi="Times New Roman"/>
          <w:szCs w:val="20"/>
        </w:rPr>
        <w:t xml:space="preserve"> </w:t>
      </w:r>
      <w:proofErr w:type="spellStart"/>
      <w:r w:rsidRPr="00E16672">
        <w:rPr>
          <w:rFonts w:ascii="Times New Roman" w:hAnsi="Times New Roman"/>
          <w:szCs w:val="20"/>
        </w:rPr>
        <w:t>перевіряє</w:t>
      </w:r>
      <w:proofErr w:type="spellEnd"/>
      <w:r w:rsidRPr="00E16672">
        <w:rPr>
          <w:rFonts w:ascii="Times New Roman" w:hAnsi="Times New Roman"/>
          <w:szCs w:val="20"/>
        </w:rPr>
        <w:t xml:space="preserve"> </w:t>
      </w:r>
      <w:proofErr w:type="spellStart"/>
      <w:r w:rsidRPr="00E16672">
        <w:rPr>
          <w:rFonts w:ascii="Times New Roman" w:hAnsi="Times New Roman"/>
          <w:szCs w:val="20"/>
        </w:rPr>
        <w:t>їх</w:t>
      </w:r>
      <w:proofErr w:type="spellEnd"/>
      <w:r w:rsidRPr="00E16672">
        <w:rPr>
          <w:rFonts w:ascii="Times New Roman" w:hAnsi="Times New Roman"/>
          <w:szCs w:val="20"/>
        </w:rPr>
        <w:t xml:space="preserve"> на </w:t>
      </w:r>
      <w:proofErr w:type="spellStart"/>
      <w:r w:rsidRPr="00E16672">
        <w:rPr>
          <w:rFonts w:ascii="Times New Roman" w:hAnsi="Times New Roman"/>
          <w:szCs w:val="20"/>
        </w:rPr>
        <w:t>достовірність</w:t>
      </w:r>
      <w:proofErr w:type="spellEnd"/>
      <w:r w:rsidRPr="00E16672">
        <w:rPr>
          <w:rFonts w:ascii="Times New Roman" w:hAnsi="Times New Roman"/>
          <w:szCs w:val="20"/>
        </w:rPr>
        <w:t xml:space="preserve">. </w:t>
      </w:r>
    </w:p>
    <w:p w14:paraId="7EE02FF7" w14:textId="77777777" w:rsidR="000F154F" w:rsidRPr="00E16672" w:rsidRDefault="000F154F" w:rsidP="000F154F">
      <w:pPr>
        <w:rPr>
          <w:rFonts w:ascii="Times New Roman" w:hAnsi="Times New Roman"/>
          <w:szCs w:val="20"/>
          <w:lang w:val="uk-UA"/>
        </w:rPr>
      </w:pPr>
      <w:r w:rsidRPr="00E16672">
        <w:rPr>
          <w:rFonts w:ascii="Times New Roman" w:hAnsi="Times New Roman"/>
          <w:szCs w:val="20"/>
          <w:lang w:val="uk-UA"/>
        </w:rPr>
        <w:t xml:space="preserve">Спосіб підтвердження справжності підпису, що використовується при обміні інформацією між депонентом та Депозитарною установою, може бути таким: </w:t>
      </w:r>
    </w:p>
    <w:p w14:paraId="799D1C66" w14:textId="77777777" w:rsidR="000F154F" w:rsidRPr="00E16672" w:rsidRDefault="000F154F" w:rsidP="000F154F">
      <w:pPr>
        <w:rPr>
          <w:rFonts w:ascii="Times New Roman" w:hAnsi="Times New Roman"/>
          <w:szCs w:val="20"/>
          <w:lang w:val="uk-UA"/>
        </w:rPr>
      </w:pPr>
      <w:r w:rsidRPr="00E16672">
        <w:rPr>
          <w:rFonts w:ascii="Times New Roman" w:hAnsi="Times New Roman"/>
          <w:szCs w:val="20"/>
          <w:lang w:val="uk-UA"/>
        </w:rPr>
        <w:t xml:space="preserve">- достовірність підпису підтверджується шляхом зіставлення підписів у розпорядженні із зразками підписів у </w:t>
      </w:r>
      <w:r w:rsidR="00E23F78" w:rsidRPr="00E16672">
        <w:rPr>
          <w:rFonts w:ascii="Times New Roman" w:hAnsi="Times New Roman"/>
          <w:szCs w:val="20"/>
          <w:lang w:val="uk-UA"/>
        </w:rPr>
        <w:t xml:space="preserve">відповідній </w:t>
      </w:r>
      <w:r w:rsidRPr="00E16672">
        <w:rPr>
          <w:rFonts w:ascii="Times New Roman" w:hAnsi="Times New Roman"/>
          <w:szCs w:val="20"/>
          <w:lang w:val="uk-UA"/>
        </w:rPr>
        <w:t>картці із зразками підписів та відбитком печатки</w:t>
      </w:r>
      <w:r w:rsidR="00BB1945" w:rsidRPr="00E16672">
        <w:rPr>
          <w:rFonts w:ascii="Times New Roman" w:hAnsi="Times New Roman"/>
          <w:szCs w:val="20"/>
          <w:lang w:val="uk-UA"/>
        </w:rPr>
        <w:t xml:space="preserve"> (у разі її використання)</w:t>
      </w:r>
      <w:r w:rsidR="00E23F78" w:rsidRPr="00E16672">
        <w:rPr>
          <w:rFonts w:ascii="Times New Roman" w:hAnsi="Times New Roman"/>
          <w:szCs w:val="20"/>
          <w:lang w:val="uk-UA"/>
        </w:rPr>
        <w:t>, оформленій та засвідченій відповідно до вимог законодавства і внутрішніх документів Депозитарної установи</w:t>
      </w:r>
      <w:r w:rsidRPr="00E16672">
        <w:rPr>
          <w:rFonts w:ascii="Times New Roman" w:hAnsi="Times New Roman"/>
          <w:szCs w:val="20"/>
          <w:lang w:val="uk-UA"/>
        </w:rPr>
        <w:t>;</w:t>
      </w:r>
    </w:p>
    <w:p w14:paraId="1B57770F" w14:textId="77777777" w:rsidR="000F154F" w:rsidRPr="00E16672" w:rsidRDefault="000F154F" w:rsidP="000F154F">
      <w:pPr>
        <w:rPr>
          <w:rFonts w:ascii="Times New Roman" w:hAnsi="Times New Roman"/>
          <w:szCs w:val="20"/>
          <w:lang w:val="uk-UA"/>
        </w:rPr>
      </w:pPr>
      <w:r w:rsidRPr="00E16672">
        <w:rPr>
          <w:rFonts w:ascii="Times New Roman" w:hAnsi="Times New Roman"/>
          <w:szCs w:val="20"/>
          <w:lang w:val="uk-UA"/>
        </w:rPr>
        <w:t xml:space="preserve">- </w:t>
      </w:r>
      <w:r w:rsidR="00BB1945" w:rsidRPr="00E16672">
        <w:rPr>
          <w:rFonts w:ascii="Times New Roman" w:hAnsi="Times New Roman"/>
          <w:szCs w:val="20"/>
          <w:lang w:val="uk-UA"/>
        </w:rPr>
        <w:t xml:space="preserve">кваліфікований </w:t>
      </w:r>
      <w:r w:rsidRPr="00E16672">
        <w:rPr>
          <w:rFonts w:ascii="Times New Roman" w:hAnsi="Times New Roman"/>
          <w:szCs w:val="20"/>
          <w:lang w:val="uk-UA"/>
        </w:rPr>
        <w:t xml:space="preserve">електронний підпис вважається таким, що відповідає сертифікату відкритого ключа, якщо особистий ключ </w:t>
      </w:r>
      <w:proofErr w:type="spellStart"/>
      <w:r w:rsidRPr="00E16672">
        <w:rPr>
          <w:rFonts w:ascii="Times New Roman" w:hAnsi="Times New Roman"/>
          <w:szCs w:val="20"/>
          <w:lang w:val="uk-UA"/>
        </w:rPr>
        <w:t>підписувача</w:t>
      </w:r>
      <w:proofErr w:type="spellEnd"/>
      <w:r w:rsidRPr="00E16672">
        <w:rPr>
          <w:rFonts w:ascii="Times New Roman" w:hAnsi="Times New Roman"/>
          <w:szCs w:val="20"/>
          <w:lang w:val="uk-UA"/>
        </w:rPr>
        <w:t xml:space="preserve"> (розпорядника рахунку), використаний при формуванні </w:t>
      </w:r>
      <w:r w:rsidR="00E816D4" w:rsidRPr="00E16672">
        <w:rPr>
          <w:rFonts w:ascii="Times New Roman" w:hAnsi="Times New Roman"/>
          <w:szCs w:val="20"/>
          <w:lang w:val="uk-UA"/>
        </w:rPr>
        <w:t xml:space="preserve">кваліфікованого </w:t>
      </w:r>
      <w:r w:rsidRPr="00E16672">
        <w:rPr>
          <w:rFonts w:ascii="Times New Roman" w:hAnsi="Times New Roman"/>
          <w:szCs w:val="20"/>
          <w:lang w:val="uk-UA"/>
        </w:rPr>
        <w:t>електронного підпису, відповідає відкритому ключу, зазначеному у сертифікаті.</w:t>
      </w:r>
    </w:p>
    <w:p w14:paraId="057F33A0" w14:textId="77777777" w:rsidR="000F154F" w:rsidRPr="00E16672" w:rsidRDefault="000F154F" w:rsidP="000F154F">
      <w:pPr>
        <w:rPr>
          <w:rFonts w:ascii="Times New Roman" w:hAnsi="Times New Roman"/>
          <w:szCs w:val="20"/>
          <w:lang w:val="uk-UA"/>
        </w:rPr>
      </w:pPr>
      <w:r w:rsidRPr="00E16672">
        <w:rPr>
          <w:rFonts w:ascii="Times New Roman" w:hAnsi="Times New Roman"/>
          <w:szCs w:val="20"/>
        </w:rPr>
        <w:t xml:space="preserve">3.6. </w:t>
      </w:r>
      <w:r w:rsidRPr="00E16672">
        <w:rPr>
          <w:rFonts w:ascii="Times New Roman" w:hAnsi="Times New Roman"/>
          <w:szCs w:val="20"/>
          <w:lang w:val="uk-UA"/>
        </w:rPr>
        <w:t xml:space="preserve">Розпорядження </w:t>
      </w:r>
      <w:r w:rsidRPr="00E16672">
        <w:rPr>
          <w:rFonts w:ascii="Times New Roman" w:hAnsi="Times New Roman"/>
          <w:szCs w:val="20"/>
        </w:rPr>
        <w:t xml:space="preserve">у </w:t>
      </w:r>
      <w:r w:rsidRPr="00E16672">
        <w:rPr>
          <w:rFonts w:ascii="Times New Roman" w:hAnsi="Times New Roman"/>
          <w:szCs w:val="20"/>
          <w:lang w:val="uk-UA"/>
        </w:rPr>
        <w:t xml:space="preserve">вигляді </w:t>
      </w:r>
      <w:proofErr w:type="spellStart"/>
      <w:r w:rsidRPr="00E16672">
        <w:rPr>
          <w:rFonts w:ascii="Times New Roman" w:hAnsi="Times New Roman"/>
          <w:szCs w:val="20"/>
        </w:rPr>
        <w:t>паперового</w:t>
      </w:r>
      <w:proofErr w:type="spellEnd"/>
      <w:r w:rsidRPr="00E16672">
        <w:rPr>
          <w:rFonts w:ascii="Times New Roman" w:hAnsi="Times New Roman"/>
          <w:szCs w:val="20"/>
        </w:rPr>
        <w:t xml:space="preserve"> документа </w:t>
      </w:r>
      <w:r w:rsidRPr="00E16672">
        <w:rPr>
          <w:rFonts w:ascii="Times New Roman" w:hAnsi="Times New Roman"/>
          <w:szCs w:val="20"/>
          <w:lang w:val="uk-UA"/>
        </w:rPr>
        <w:t xml:space="preserve">повинні бути надані Депозитарній установі без перекручування та виправлення тексту, з чітким відбитком печатки (у разі </w:t>
      </w:r>
      <w:r w:rsidR="00BB1945" w:rsidRPr="00E16672">
        <w:rPr>
          <w:rFonts w:ascii="Times New Roman" w:hAnsi="Times New Roman"/>
          <w:szCs w:val="20"/>
          <w:lang w:val="uk-UA"/>
        </w:rPr>
        <w:t>використання</w:t>
      </w:r>
      <w:r w:rsidRPr="00E16672">
        <w:rPr>
          <w:rFonts w:ascii="Times New Roman" w:hAnsi="Times New Roman"/>
          <w:szCs w:val="20"/>
          <w:lang w:val="uk-UA"/>
        </w:rPr>
        <w:t xml:space="preserve">) за підписом Депонента, або керуючого чи розпорядника його </w:t>
      </w:r>
      <w:r w:rsidR="00BB1945" w:rsidRPr="00E16672">
        <w:rPr>
          <w:rFonts w:ascii="Times New Roman" w:hAnsi="Times New Roman"/>
          <w:szCs w:val="20"/>
          <w:lang w:val="uk-UA"/>
        </w:rPr>
        <w:t xml:space="preserve">рахунку </w:t>
      </w:r>
      <w:r w:rsidRPr="00E16672">
        <w:rPr>
          <w:rFonts w:ascii="Times New Roman" w:hAnsi="Times New Roman"/>
          <w:szCs w:val="20"/>
          <w:lang w:val="uk-UA"/>
        </w:rPr>
        <w:t>(уповноваженого представника).</w:t>
      </w:r>
    </w:p>
    <w:p w14:paraId="7BEC24F0" w14:textId="77777777" w:rsidR="000F154F" w:rsidRPr="00E16672" w:rsidRDefault="000F154F" w:rsidP="000F154F">
      <w:pPr>
        <w:ind w:left="-12" w:firstLine="564"/>
        <w:rPr>
          <w:rFonts w:ascii="Times New Roman" w:hAnsi="Times New Roman"/>
          <w:color w:val="000000"/>
          <w:szCs w:val="20"/>
          <w:lang w:val="uk-UA"/>
        </w:rPr>
      </w:pPr>
      <w:r w:rsidRPr="00E16672">
        <w:rPr>
          <w:rFonts w:ascii="Times New Roman" w:hAnsi="Times New Roman"/>
          <w:szCs w:val="20"/>
          <w:lang w:val="uk-UA"/>
        </w:rPr>
        <w:t xml:space="preserve">3.7. Розпорядження Депонентів повинні повністю розкривати зміст виконання операцій з рахунками в цінних паперах та відповідати чинному </w:t>
      </w:r>
      <w:r w:rsidRPr="00E16672">
        <w:rPr>
          <w:rFonts w:ascii="Times New Roman" w:hAnsi="Times New Roman"/>
          <w:color w:val="000000"/>
          <w:szCs w:val="20"/>
          <w:lang w:val="uk-UA"/>
        </w:rPr>
        <w:t>законодавству України.</w:t>
      </w:r>
    </w:p>
    <w:p w14:paraId="2D5204A6" w14:textId="77777777" w:rsidR="000F154F" w:rsidRPr="00E16672" w:rsidRDefault="000F154F" w:rsidP="000F154F">
      <w:pPr>
        <w:ind w:left="-12" w:firstLine="564"/>
        <w:rPr>
          <w:rFonts w:ascii="Times New Roman" w:hAnsi="Times New Roman"/>
          <w:color w:val="000000"/>
          <w:szCs w:val="20"/>
          <w:lang w:val="uk-UA"/>
        </w:rPr>
      </w:pPr>
      <w:r w:rsidRPr="00E16672">
        <w:rPr>
          <w:rFonts w:ascii="Times New Roman" w:hAnsi="Times New Roman"/>
          <w:color w:val="000000"/>
          <w:szCs w:val="20"/>
          <w:lang w:val="uk-UA"/>
        </w:rPr>
        <w:t xml:space="preserve">3.8. Розпорядження виконується Депозитарною установою у порядку, передбаченому </w:t>
      </w:r>
      <w:r w:rsidR="00E23F78" w:rsidRPr="00E16672">
        <w:rPr>
          <w:rFonts w:ascii="Times New Roman" w:hAnsi="Times New Roman"/>
          <w:color w:val="000000"/>
          <w:szCs w:val="20"/>
          <w:lang w:val="uk-UA"/>
        </w:rPr>
        <w:t xml:space="preserve">законодавством та </w:t>
      </w:r>
      <w:r w:rsidRPr="00E16672">
        <w:rPr>
          <w:rFonts w:ascii="Times New Roman" w:hAnsi="Times New Roman"/>
          <w:color w:val="000000"/>
          <w:szCs w:val="20"/>
          <w:lang w:val="uk-UA"/>
        </w:rPr>
        <w:t xml:space="preserve">внутрішніми документами Депозитарної установи. </w:t>
      </w:r>
    </w:p>
    <w:p w14:paraId="3E8918B7" w14:textId="77777777" w:rsidR="00502AEC" w:rsidRPr="00E16672" w:rsidRDefault="00502AEC" w:rsidP="00B7169F">
      <w:pPr>
        <w:pStyle w:val="ab"/>
        <w:ind w:left="-12" w:firstLine="564"/>
        <w:jc w:val="both"/>
        <w:rPr>
          <w:rFonts w:ascii="Times New Roman" w:hAnsi="Times New Roman"/>
          <w:b w:val="0"/>
        </w:rPr>
      </w:pPr>
      <w:r w:rsidRPr="00E16672">
        <w:rPr>
          <w:rFonts w:ascii="Times New Roman" w:hAnsi="Times New Roman"/>
          <w:b w:val="0"/>
          <w:color w:val="000000"/>
        </w:rPr>
        <w:t xml:space="preserve">3.9. </w:t>
      </w:r>
      <w:r w:rsidR="00E816D4" w:rsidRPr="00E16672">
        <w:rPr>
          <w:rFonts w:ascii="Times New Roman" w:hAnsi="Times New Roman"/>
          <w:b w:val="0"/>
          <w:color w:val="000000"/>
        </w:rPr>
        <w:t>Депонент бере на себе відповідальність за достовірність інформації, яка міститься в документах, які надаються Депонентом, розпорядником рахунку, керуючим рахунком  Депозитарній установі, у тому числі таких, за якими Депозитарній установі доручається проведення депозитарних операцій на рахунку Депонента.</w:t>
      </w:r>
    </w:p>
    <w:p w14:paraId="2C85F81A" w14:textId="77777777" w:rsidR="00A42A6F" w:rsidRPr="00E16672" w:rsidRDefault="00502AEC" w:rsidP="003A05A3">
      <w:pPr>
        <w:ind w:left="-12" w:firstLine="564"/>
        <w:rPr>
          <w:rFonts w:ascii="Times New Roman" w:hAnsi="Times New Roman"/>
          <w:szCs w:val="20"/>
          <w:lang w:val="uk-UA"/>
        </w:rPr>
      </w:pPr>
      <w:r w:rsidRPr="00E16672">
        <w:rPr>
          <w:rFonts w:ascii="Times New Roman" w:hAnsi="Times New Roman"/>
          <w:szCs w:val="20"/>
          <w:lang w:val="uk-UA"/>
        </w:rPr>
        <w:t xml:space="preserve">3.10. Облікові операції, які були ініційовані Депозитарною установою у депозитарії, але не були завершені </w:t>
      </w:r>
      <w:r w:rsidRPr="00E16672">
        <w:rPr>
          <w:rFonts w:ascii="Times New Roman" w:hAnsi="Times New Roman"/>
          <w:szCs w:val="20"/>
          <w:u w:val="single"/>
          <w:lang w:val="uk-UA"/>
        </w:rPr>
        <w:t xml:space="preserve">протягом </w:t>
      </w:r>
      <w:r w:rsidRPr="00E16672">
        <w:rPr>
          <w:rFonts w:ascii="Times New Roman" w:hAnsi="Times New Roman"/>
          <w:i/>
          <w:iCs/>
          <w:szCs w:val="20"/>
          <w:u w:val="single"/>
          <w:lang w:val="uk-UA"/>
        </w:rPr>
        <w:t>трьох</w:t>
      </w:r>
      <w:r w:rsidRPr="00E16672">
        <w:rPr>
          <w:rFonts w:ascii="Times New Roman" w:hAnsi="Times New Roman"/>
          <w:szCs w:val="20"/>
          <w:u w:val="single"/>
          <w:lang w:val="uk-UA"/>
        </w:rPr>
        <w:t xml:space="preserve"> робочих днів</w:t>
      </w:r>
      <w:r w:rsidRPr="00E16672">
        <w:rPr>
          <w:rFonts w:ascii="Times New Roman" w:hAnsi="Times New Roman"/>
          <w:szCs w:val="20"/>
          <w:lang w:val="uk-UA"/>
        </w:rPr>
        <w:t xml:space="preserve"> за підстав, які не залежать від Депозитарної установи (розпорядження Депозитарної установи не було відповідно до внутрішніх документів Центрального депозитарію занесене Центральним депозитарієм до відомості </w:t>
      </w:r>
      <w:proofErr w:type="spellStart"/>
      <w:r w:rsidRPr="00E16672">
        <w:rPr>
          <w:rFonts w:ascii="Times New Roman" w:hAnsi="Times New Roman"/>
          <w:szCs w:val="20"/>
          <w:lang w:val="uk-UA"/>
        </w:rPr>
        <w:t>сквитованих</w:t>
      </w:r>
      <w:proofErr w:type="spellEnd"/>
      <w:r w:rsidRPr="00E16672">
        <w:rPr>
          <w:rFonts w:ascii="Times New Roman" w:hAnsi="Times New Roman"/>
          <w:szCs w:val="20"/>
          <w:lang w:val="uk-UA"/>
        </w:rPr>
        <w:t xml:space="preserve"> розпоряджень на поставку/одержання цінних паперів), можуть бути відмінені ним у випадку отримання від Депонента відповідного розпорядження відміни (анулювання) його попереднього розпорядження.</w:t>
      </w:r>
      <w:r w:rsidR="00E816D4" w:rsidRPr="00E16672" w:rsidDel="00E816D4">
        <w:rPr>
          <w:rFonts w:ascii="Times New Roman" w:hAnsi="Times New Roman"/>
          <w:szCs w:val="20"/>
          <w:lang w:val="uk-UA"/>
        </w:rPr>
        <w:t xml:space="preserve"> </w:t>
      </w:r>
    </w:p>
    <w:p w14:paraId="2A8BCC32" w14:textId="77777777" w:rsidR="00502AEC" w:rsidRPr="00E16672" w:rsidRDefault="00502AEC" w:rsidP="00E816D4">
      <w:pPr>
        <w:pStyle w:val="2"/>
        <w:rPr>
          <w:rFonts w:ascii="Times New Roman" w:hAnsi="Times New Roman" w:cs="Times New Roman"/>
        </w:rPr>
      </w:pPr>
      <w:r w:rsidRPr="00E16672">
        <w:rPr>
          <w:rFonts w:ascii="Times New Roman" w:hAnsi="Times New Roman" w:cs="Times New Roman"/>
        </w:rPr>
        <w:t xml:space="preserve">4. </w:t>
      </w:r>
      <w:proofErr w:type="spellStart"/>
      <w:r w:rsidRPr="00E16672">
        <w:rPr>
          <w:rFonts w:ascii="Times New Roman" w:hAnsi="Times New Roman" w:cs="Times New Roman"/>
        </w:rPr>
        <w:t>Тарифи</w:t>
      </w:r>
      <w:proofErr w:type="spellEnd"/>
      <w:r w:rsidRPr="00E16672">
        <w:rPr>
          <w:rFonts w:ascii="Times New Roman" w:hAnsi="Times New Roman" w:cs="Times New Roman"/>
        </w:rPr>
        <w:t xml:space="preserve"> на </w:t>
      </w:r>
      <w:proofErr w:type="spellStart"/>
      <w:r w:rsidRPr="00E16672">
        <w:rPr>
          <w:rFonts w:ascii="Times New Roman" w:hAnsi="Times New Roman" w:cs="Times New Roman"/>
        </w:rPr>
        <w:t>послуги</w:t>
      </w:r>
      <w:proofErr w:type="spellEnd"/>
      <w:r w:rsidRPr="00E16672">
        <w:rPr>
          <w:rFonts w:ascii="Times New Roman" w:hAnsi="Times New Roman" w:cs="Times New Roman"/>
        </w:rPr>
        <w:t xml:space="preserve"> та порядок </w:t>
      </w:r>
      <w:proofErr w:type="spellStart"/>
      <w:r w:rsidRPr="00E16672">
        <w:rPr>
          <w:rFonts w:ascii="Times New Roman" w:hAnsi="Times New Roman" w:cs="Times New Roman"/>
        </w:rPr>
        <w:t>розрахунків</w:t>
      </w:r>
      <w:proofErr w:type="spellEnd"/>
      <w:r w:rsidRPr="00E16672">
        <w:rPr>
          <w:rFonts w:ascii="Times New Roman" w:hAnsi="Times New Roman" w:cs="Times New Roman"/>
        </w:rPr>
        <w:t xml:space="preserve"> за </w:t>
      </w:r>
      <w:proofErr w:type="spellStart"/>
      <w:r w:rsidRPr="00E16672">
        <w:rPr>
          <w:rFonts w:ascii="Times New Roman" w:hAnsi="Times New Roman" w:cs="Times New Roman"/>
        </w:rPr>
        <w:t>надані</w:t>
      </w:r>
      <w:proofErr w:type="spellEnd"/>
      <w:r w:rsidRPr="00E16672">
        <w:rPr>
          <w:rFonts w:ascii="Times New Roman" w:hAnsi="Times New Roman" w:cs="Times New Roman"/>
        </w:rPr>
        <w:t xml:space="preserve"> </w:t>
      </w:r>
      <w:proofErr w:type="spellStart"/>
      <w:r w:rsidRPr="00E16672">
        <w:rPr>
          <w:rFonts w:ascii="Times New Roman" w:hAnsi="Times New Roman" w:cs="Times New Roman"/>
        </w:rPr>
        <w:t>послуги</w:t>
      </w:r>
      <w:proofErr w:type="spellEnd"/>
    </w:p>
    <w:p w14:paraId="50257055" w14:textId="77777777" w:rsidR="000F154F" w:rsidRPr="00E16672" w:rsidRDefault="00502AEC" w:rsidP="000F154F">
      <w:pPr>
        <w:ind w:firstLine="532"/>
        <w:rPr>
          <w:rFonts w:ascii="Times New Roman" w:hAnsi="Times New Roman"/>
          <w:color w:val="000000"/>
          <w:szCs w:val="20"/>
          <w:lang w:val="uk-UA"/>
        </w:rPr>
      </w:pPr>
      <w:r w:rsidRPr="00E16672">
        <w:rPr>
          <w:rFonts w:ascii="Times New Roman" w:hAnsi="Times New Roman"/>
          <w:szCs w:val="20"/>
          <w:lang w:val="uk-UA"/>
        </w:rPr>
        <w:t xml:space="preserve">4.1. </w:t>
      </w:r>
      <w:r w:rsidR="000F154F" w:rsidRPr="00E16672">
        <w:rPr>
          <w:rFonts w:ascii="Times New Roman" w:hAnsi="Times New Roman"/>
          <w:szCs w:val="20"/>
          <w:lang w:val="uk-UA"/>
        </w:rPr>
        <w:t xml:space="preserve">Тарифи </w:t>
      </w:r>
      <w:r w:rsidR="000F154F" w:rsidRPr="00E16672">
        <w:rPr>
          <w:rFonts w:ascii="Times New Roman" w:hAnsi="Times New Roman"/>
          <w:color w:val="000000"/>
          <w:szCs w:val="20"/>
          <w:lang w:val="uk-UA"/>
        </w:rPr>
        <w:t xml:space="preserve">на </w:t>
      </w:r>
      <w:proofErr w:type="spellStart"/>
      <w:r w:rsidR="008A70C6" w:rsidRPr="00E16672">
        <w:rPr>
          <w:rFonts w:ascii="Times New Roman" w:hAnsi="Times New Roman"/>
          <w:bCs/>
          <w:szCs w:val="20"/>
        </w:rPr>
        <w:t>операції</w:t>
      </w:r>
      <w:proofErr w:type="spellEnd"/>
      <w:r w:rsidR="008A70C6" w:rsidRPr="00E16672">
        <w:rPr>
          <w:rFonts w:ascii="Times New Roman" w:hAnsi="Times New Roman"/>
          <w:bCs/>
          <w:szCs w:val="20"/>
        </w:rPr>
        <w:t xml:space="preserve"> з </w:t>
      </w:r>
      <w:proofErr w:type="spellStart"/>
      <w:r w:rsidR="008A70C6" w:rsidRPr="00E16672">
        <w:rPr>
          <w:rFonts w:ascii="Times New Roman" w:hAnsi="Times New Roman"/>
          <w:bCs/>
          <w:szCs w:val="20"/>
        </w:rPr>
        <w:t>цінними</w:t>
      </w:r>
      <w:proofErr w:type="spellEnd"/>
      <w:r w:rsidR="008A70C6" w:rsidRPr="00E16672">
        <w:rPr>
          <w:rFonts w:ascii="Times New Roman" w:hAnsi="Times New Roman"/>
          <w:bCs/>
          <w:szCs w:val="20"/>
        </w:rPr>
        <w:t xml:space="preserve"> </w:t>
      </w:r>
      <w:proofErr w:type="spellStart"/>
      <w:r w:rsidR="008A70C6" w:rsidRPr="00E16672">
        <w:rPr>
          <w:rFonts w:ascii="Times New Roman" w:hAnsi="Times New Roman"/>
          <w:bCs/>
          <w:szCs w:val="20"/>
        </w:rPr>
        <w:t>паперами</w:t>
      </w:r>
      <w:proofErr w:type="spellEnd"/>
      <w:r w:rsidR="000F154F" w:rsidRPr="00E16672">
        <w:rPr>
          <w:rFonts w:ascii="Times New Roman" w:hAnsi="Times New Roman"/>
          <w:color w:val="000000"/>
          <w:szCs w:val="20"/>
          <w:lang w:val="uk-UA"/>
        </w:rPr>
        <w:t xml:space="preserve"> Депозитарної установи встановлюються Депозитарною установою самостійно. Підписавши цей Договір, </w:t>
      </w:r>
      <w:r w:rsidR="00A63224" w:rsidRPr="00E16672">
        <w:rPr>
          <w:rFonts w:ascii="Times New Roman" w:hAnsi="Times New Roman"/>
          <w:color w:val="000000"/>
          <w:szCs w:val="20"/>
          <w:lang w:val="uk-UA"/>
        </w:rPr>
        <w:t>Д</w:t>
      </w:r>
      <w:r w:rsidR="000F154F" w:rsidRPr="00E16672">
        <w:rPr>
          <w:rFonts w:ascii="Times New Roman" w:hAnsi="Times New Roman"/>
          <w:color w:val="000000"/>
          <w:szCs w:val="20"/>
          <w:lang w:val="uk-UA"/>
        </w:rPr>
        <w:t>епонент погоджується з тарифами</w:t>
      </w:r>
      <w:r w:rsidR="00084CAE" w:rsidRPr="00E16672">
        <w:rPr>
          <w:rFonts w:ascii="Times New Roman" w:hAnsi="Times New Roman"/>
          <w:color w:val="000000"/>
          <w:szCs w:val="20"/>
        </w:rPr>
        <w:t xml:space="preserve"> </w:t>
      </w:r>
      <w:r w:rsidR="00084CAE" w:rsidRPr="00E16672">
        <w:rPr>
          <w:rFonts w:ascii="Times New Roman" w:hAnsi="Times New Roman"/>
          <w:szCs w:val="20"/>
          <w:lang w:val="uk-UA"/>
        </w:rPr>
        <w:t>Депозитарної установи</w:t>
      </w:r>
      <w:r w:rsidR="000F154F" w:rsidRPr="00E16672">
        <w:rPr>
          <w:rFonts w:ascii="Times New Roman" w:hAnsi="Times New Roman"/>
          <w:color w:val="000000"/>
          <w:szCs w:val="20"/>
          <w:lang w:val="uk-UA"/>
        </w:rPr>
        <w:t xml:space="preserve">, встановленими Депозитарною установою на дату укладення Договору, які оприлюднені на </w:t>
      </w:r>
      <w:r w:rsidR="000F154F" w:rsidRPr="00E16672">
        <w:rPr>
          <w:rFonts w:ascii="Times New Roman" w:hAnsi="Times New Roman"/>
          <w:bCs/>
          <w:color w:val="000000"/>
          <w:szCs w:val="20"/>
          <w:lang w:val="uk-UA"/>
        </w:rPr>
        <w:t xml:space="preserve">веб-сторінці Депозитарної установи </w:t>
      </w:r>
      <w:r w:rsidR="00E16672">
        <w:rPr>
          <w:rFonts w:ascii="Times New Roman" w:hAnsi="Times New Roman"/>
          <w:color w:val="000000"/>
          <w:szCs w:val="20"/>
          <w:lang w:val="uk-UA"/>
        </w:rPr>
        <w:t>http://comex.uafin.net</w:t>
      </w:r>
      <w:r w:rsidR="00FB4ABD" w:rsidRPr="00E16672">
        <w:rPr>
          <w:rFonts w:ascii="Times New Roman" w:hAnsi="Times New Roman"/>
          <w:color w:val="000000"/>
          <w:szCs w:val="20"/>
        </w:rPr>
        <w:t>.</w:t>
      </w:r>
    </w:p>
    <w:p w14:paraId="4753425F" w14:textId="77777777" w:rsidR="000F154F" w:rsidRPr="00E16672" w:rsidRDefault="000F154F" w:rsidP="000F154F">
      <w:pPr>
        <w:ind w:firstLine="532"/>
        <w:rPr>
          <w:rFonts w:ascii="Times New Roman" w:hAnsi="Times New Roman"/>
          <w:szCs w:val="20"/>
          <w:lang w:val="uk-UA"/>
        </w:rPr>
      </w:pPr>
      <w:r w:rsidRPr="00E16672">
        <w:rPr>
          <w:rFonts w:ascii="Times New Roman" w:hAnsi="Times New Roman"/>
          <w:szCs w:val="20"/>
          <w:lang w:val="uk-UA"/>
        </w:rPr>
        <w:t>Депозитарна установа  повідомляє про зміни до тарифів на послуги  шляхом розміщення змінених тарифів</w:t>
      </w:r>
      <w:r w:rsidR="008A70C6" w:rsidRPr="00E16672">
        <w:rPr>
          <w:rFonts w:ascii="Times New Roman" w:hAnsi="Times New Roman"/>
          <w:szCs w:val="20"/>
          <w:lang w:val="uk-UA"/>
        </w:rPr>
        <w:t xml:space="preserve"> Депозитарної установи</w:t>
      </w:r>
      <w:r w:rsidRPr="00E16672">
        <w:rPr>
          <w:rFonts w:ascii="Times New Roman" w:hAnsi="Times New Roman"/>
          <w:szCs w:val="20"/>
          <w:lang w:val="uk-UA"/>
        </w:rPr>
        <w:t xml:space="preserve"> на </w:t>
      </w:r>
      <w:r w:rsidRPr="00E16672">
        <w:rPr>
          <w:rFonts w:ascii="Times New Roman" w:hAnsi="Times New Roman"/>
          <w:bCs/>
          <w:szCs w:val="20"/>
          <w:lang w:val="uk-UA"/>
        </w:rPr>
        <w:t xml:space="preserve">веб-сторінці Депозитарної установи </w:t>
      </w:r>
      <w:r w:rsidR="00E16672">
        <w:rPr>
          <w:rFonts w:ascii="Times New Roman" w:hAnsi="Times New Roman"/>
          <w:color w:val="000000"/>
          <w:szCs w:val="20"/>
          <w:lang w:val="uk-UA"/>
        </w:rPr>
        <w:t>http://comex.uafin.net</w:t>
      </w:r>
      <w:r w:rsidR="00FB4ABD" w:rsidRPr="00E16672" w:rsidDel="00FB4ABD">
        <w:rPr>
          <w:rFonts w:ascii="Times New Roman" w:hAnsi="Times New Roman"/>
          <w:lang w:val="uk-UA"/>
        </w:rPr>
        <w:t xml:space="preserve"> </w:t>
      </w:r>
      <w:r w:rsidRPr="00E16672">
        <w:rPr>
          <w:rFonts w:ascii="Times New Roman" w:hAnsi="Times New Roman"/>
          <w:bCs/>
          <w:szCs w:val="20"/>
          <w:lang w:val="uk-UA"/>
        </w:rPr>
        <w:t xml:space="preserve"> </w:t>
      </w:r>
      <w:r w:rsidRPr="00E16672">
        <w:rPr>
          <w:rFonts w:ascii="Times New Roman" w:hAnsi="Times New Roman"/>
          <w:szCs w:val="20"/>
          <w:lang w:val="uk-UA"/>
        </w:rPr>
        <w:t xml:space="preserve">протягом </w:t>
      </w:r>
      <w:r w:rsidRPr="00E16672">
        <w:rPr>
          <w:rFonts w:ascii="Times New Roman" w:hAnsi="Times New Roman"/>
          <w:i/>
          <w:szCs w:val="20"/>
          <w:lang w:val="uk-UA"/>
        </w:rPr>
        <w:t>п'яти</w:t>
      </w:r>
      <w:r w:rsidRPr="00E16672">
        <w:rPr>
          <w:rFonts w:ascii="Times New Roman" w:hAnsi="Times New Roman"/>
          <w:szCs w:val="20"/>
          <w:lang w:val="uk-UA"/>
        </w:rPr>
        <w:t xml:space="preserve"> робочих днів після затвердження відповідних змін. Змінені тарифи </w:t>
      </w:r>
      <w:r w:rsidR="008A70C6" w:rsidRPr="00E16672">
        <w:rPr>
          <w:rFonts w:ascii="Times New Roman" w:hAnsi="Times New Roman"/>
          <w:szCs w:val="20"/>
          <w:lang w:val="uk-UA"/>
        </w:rPr>
        <w:t xml:space="preserve">Депозитарної установи </w:t>
      </w:r>
      <w:r w:rsidRPr="00E16672">
        <w:rPr>
          <w:rFonts w:ascii="Times New Roman" w:hAnsi="Times New Roman"/>
          <w:szCs w:val="20"/>
          <w:lang w:val="uk-UA"/>
        </w:rPr>
        <w:t>використовуються Сторонами для визначення вартості операцій на дату надання послуг.</w:t>
      </w:r>
    </w:p>
    <w:p w14:paraId="60261A04" w14:textId="77777777" w:rsidR="00746CBA" w:rsidRPr="00E16672" w:rsidRDefault="00746CBA" w:rsidP="000F154F">
      <w:pPr>
        <w:ind w:firstLine="532"/>
        <w:rPr>
          <w:rFonts w:ascii="Times New Roman" w:hAnsi="Times New Roman"/>
          <w:szCs w:val="20"/>
          <w:lang w:val="uk-UA"/>
        </w:rPr>
      </w:pPr>
    </w:p>
    <w:p w14:paraId="30C0EDAF" w14:textId="77777777" w:rsidR="00746CBA" w:rsidRPr="00E16672" w:rsidRDefault="00746CBA" w:rsidP="00746CBA">
      <w:pPr>
        <w:ind w:firstLine="532"/>
        <w:rPr>
          <w:rFonts w:ascii="Times New Roman" w:hAnsi="Times New Roman"/>
          <w:szCs w:val="20"/>
          <w:lang w:val="uk-UA"/>
        </w:rPr>
      </w:pPr>
      <w:r w:rsidRPr="00E16672">
        <w:rPr>
          <w:rFonts w:ascii="Times New Roman" w:hAnsi="Times New Roman"/>
          <w:szCs w:val="20"/>
          <w:lang w:val="uk-UA"/>
        </w:rPr>
        <w:t xml:space="preserve">Депозитарна установа  повідомляє про зміни до тарифів на послуги  шляхом розміщення змінених тарифів Депозитарної установи на </w:t>
      </w:r>
      <w:r w:rsidRPr="00E16672">
        <w:rPr>
          <w:rFonts w:ascii="Times New Roman" w:hAnsi="Times New Roman"/>
          <w:bCs/>
          <w:szCs w:val="20"/>
          <w:lang w:val="uk-UA"/>
        </w:rPr>
        <w:t xml:space="preserve">веб-сторінці Депозитарної установи </w:t>
      </w:r>
      <w:r w:rsidR="00E16672">
        <w:rPr>
          <w:rFonts w:ascii="Times New Roman" w:hAnsi="Times New Roman"/>
          <w:bCs/>
          <w:szCs w:val="20"/>
          <w:lang w:val="uk-UA"/>
        </w:rPr>
        <w:t>http://comex.uafin.net</w:t>
      </w:r>
      <w:r w:rsidR="009C08E3" w:rsidRPr="00E16672">
        <w:rPr>
          <w:rFonts w:ascii="Times New Roman" w:hAnsi="Times New Roman"/>
          <w:bCs/>
          <w:szCs w:val="20"/>
          <w:lang w:val="uk-UA"/>
        </w:rPr>
        <w:t xml:space="preserve"> </w:t>
      </w:r>
      <w:proofErr w:type="spellStart"/>
      <w:r w:rsidRPr="00E16672">
        <w:rPr>
          <w:rFonts w:ascii="Times New Roman" w:hAnsi="Times New Roman"/>
          <w:bCs/>
          <w:szCs w:val="20"/>
          <w:lang w:val="uk-UA"/>
        </w:rPr>
        <w:t>ротягом</w:t>
      </w:r>
      <w:proofErr w:type="spellEnd"/>
      <w:r w:rsidRPr="00E16672">
        <w:rPr>
          <w:rFonts w:ascii="Times New Roman" w:hAnsi="Times New Roman"/>
          <w:bCs/>
          <w:szCs w:val="20"/>
          <w:lang w:val="uk-UA"/>
        </w:rPr>
        <w:t xml:space="preserve"> п'яти робочих днів після затвердження відповідних змін. Змінені тарифи Депозитарної установи використовуються</w:t>
      </w:r>
      <w:r w:rsidRPr="00E16672">
        <w:rPr>
          <w:rFonts w:ascii="Times New Roman" w:hAnsi="Times New Roman"/>
          <w:szCs w:val="20"/>
          <w:lang w:val="uk-UA"/>
        </w:rPr>
        <w:t xml:space="preserve"> Сторонами для визначення вартості операцій на дату надання послуг.</w:t>
      </w:r>
    </w:p>
    <w:p w14:paraId="746B316E" w14:textId="77777777" w:rsidR="00746CBA" w:rsidRPr="00E16672" w:rsidRDefault="00746CBA" w:rsidP="000F154F">
      <w:pPr>
        <w:ind w:firstLine="532"/>
        <w:rPr>
          <w:rFonts w:ascii="Times New Roman" w:hAnsi="Times New Roman"/>
          <w:szCs w:val="20"/>
          <w:lang w:val="uk-UA"/>
        </w:rPr>
      </w:pPr>
    </w:p>
    <w:p w14:paraId="4F544784" w14:textId="77777777" w:rsidR="000F154F" w:rsidRPr="00E16672" w:rsidRDefault="000F154F" w:rsidP="000F154F">
      <w:pPr>
        <w:ind w:firstLine="532"/>
        <w:rPr>
          <w:rFonts w:ascii="Times New Roman" w:hAnsi="Times New Roman"/>
          <w:szCs w:val="20"/>
          <w:lang w:val="uk-UA"/>
        </w:rPr>
      </w:pPr>
      <w:r w:rsidRPr="00E16672">
        <w:rPr>
          <w:rFonts w:ascii="Times New Roman" w:hAnsi="Times New Roman"/>
          <w:szCs w:val="20"/>
          <w:lang w:val="uk-UA"/>
        </w:rPr>
        <w:t>Депонент оплачує послуги Депозитарної установи відповідно до цього Договору та затверджених тарифів Депозитарної установи, що є чинними на дату надання послуг.</w:t>
      </w:r>
    </w:p>
    <w:p w14:paraId="6F4864D9" w14:textId="77777777" w:rsidR="00502AEC" w:rsidRPr="00E16672" w:rsidRDefault="00502AEC">
      <w:pPr>
        <w:ind w:firstLine="559"/>
        <w:rPr>
          <w:rFonts w:ascii="Times New Roman" w:hAnsi="Times New Roman"/>
          <w:color w:val="000000"/>
          <w:szCs w:val="20"/>
        </w:rPr>
      </w:pPr>
      <w:r w:rsidRPr="00E16672">
        <w:rPr>
          <w:rFonts w:ascii="Times New Roman" w:hAnsi="Times New Roman"/>
          <w:szCs w:val="20"/>
        </w:rPr>
        <w:t>4.</w:t>
      </w:r>
      <w:r w:rsidRPr="00E16672">
        <w:rPr>
          <w:rFonts w:ascii="Times New Roman" w:hAnsi="Times New Roman"/>
          <w:color w:val="000000"/>
          <w:szCs w:val="20"/>
        </w:rPr>
        <w:t xml:space="preserve">2. Депонент </w:t>
      </w:r>
      <w:proofErr w:type="spellStart"/>
      <w:r w:rsidRPr="00E16672">
        <w:rPr>
          <w:rFonts w:ascii="Times New Roman" w:hAnsi="Times New Roman"/>
          <w:color w:val="000000"/>
          <w:szCs w:val="20"/>
        </w:rPr>
        <w:t>здійснює</w:t>
      </w:r>
      <w:proofErr w:type="spellEnd"/>
      <w:r w:rsidRPr="00E16672">
        <w:rPr>
          <w:rFonts w:ascii="Times New Roman" w:hAnsi="Times New Roman"/>
          <w:color w:val="000000"/>
          <w:szCs w:val="20"/>
        </w:rPr>
        <w:t xml:space="preserve"> оплату </w:t>
      </w:r>
      <w:proofErr w:type="spellStart"/>
      <w:r w:rsidRPr="00E16672">
        <w:rPr>
          <w:rFonts w:ascii="Times New Roman" w:hAnsi="Times New Roman"/>
          <w:color w:val="000000"/>
          <w:szCs w:val="20"/>
        </w:rPr>
        <w:t>Депозитарний</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установі</w:t>
      </w:r>
      <w:proofErr w:type="spellEnd"/>
      <w:r w:rsidRPr="00E16672">
        <w:rPr>
          <w:rFonts w:ascii="Times New Roman" w:hAnsi="Times New Roman"/>
          <w:color w:val="000000"/>
          <w:szCs w:val="20"/>
        </w:rPr>
        <w:t xml:space="preserve"> на </w:t>
      </w:r>
      <w:proofErr w:type="spellStart"/>
      <w:r w:rsidRPr="00E16672">
        <w:rPr>
          <w:rFonts w:ascii="Times New Roman" w:hAnsi="Times New Roman"/>
          <w:color w:val="000000"/>
          <w:szCs w:val="20"/>
        </w:rPr>
        <w:t>підставі</w:t>
      </w:r>
      <w:proofErr w:type="spellEnd"/>
      <w:r w:rsidRPr="00E16672">
        <w:rPr>
          <w:rFonts w:ascii="Times New Roman" w:hAnsi="Times New Roman"/>
          <w:color w:val="000000"/>
          <w:szCs w:val="20"/>
        </w:rPr>
        <w:t>:</w:t>
      </w:r>
    </w:p>
    <w:p w14:paraId="4751C720" w14:textId="77777777" w:rsidR="00A63224" w:rsidRPr="00E16672" w:rsidRDefault="000F154F" w:rsidP="0027781A">
      <w:pPr>
        <w:rPr>
          <w:rFonts w:ascii="Times New Roman" w:hAnsi="Times New Roman"/>
          <w:color w:val="000000"/>
          <w:szCs w:val="20"/>
          <w:lang w:val="uk-UA"/>
        </w:rPr>
      </w:pPr>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актів</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виконаних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операцій</w:t>
      </w:r>
      <w:proofErr w:type="spellEnd"/>
      <w:r w:rsidRPr="00E16672">
        <w:rPr>
          <w:rFonts w:ascii="Times New Roman" w:hAnsi="Times New Roman"/>
          <w:color w:val="000000"/>
          <w:szCs w:val="20"/>
        </w:rPr>
        <w:t xml:space="preserve"> за </w:t>
      </w:r>
      <w:proofErr w:type="spellStart"/>
      <w:r w:rsidRPr="00E16672">
        <w:rPr>
          <w:rFonts w:ascii="Times New Roman" w:hAnsi="Times New Roman"/>
          <w:color w:val="000000"/>
          <w:szCs w:val="20"/>
        </w:rPr>
        <w:t>операції</w:t>
      </w:r>
      <w:proofErr w:type="spellEnd"/>
      <w:r w:rsidRPr="00E16672">
        <w:rPr>
          <w:rFonts w:ascii="Times New Roman" w:hAnsi="Times New Roman"/>
          <w:color w:val="000000"/>
          <w:szCs w:val="20"/>
        </w:rPr>
        <w:t xml:space="preserve"> не </w:t>
      </w:r>
      <w:proofErr w:type="spellStart"/>
      <w:r w:rsidRPr="00E16672">
        <w:rPr>
          <w:rFonts w:ascii="Times New Roman" w:hAnsi="Times New Roman"/>
          <w:color w:val="000000"/>
          <w:szCs w:val="20"/>
        </w:rPr>
        <w:t>пізніше</w:t>
      </w:r>
      <w:proofErr w:type="spellEnd"/>
      <w:r w:rsidRPr="00E16672">
        <w:rPr>
          <w:rFonts w:ascii="Times New Roman" w:hAnsi="Times New Roman"/>
          <w:color w:val="000000"/>
          <w:szCs w:val="20"/>
        </w:rPr>
        <w:t xml:space="preserve"> </w:t>
      </w:r>
      <w:r w:rsidRPr="00E16672">
        <w:rPr>
          <w:rFonts w:ascii="Times New Roman" w:hAnsi="Times New Roman"/>
          <w:i/>
          <w:color w:val="000000"/>
          <w:szCs w:val="20"/>
        </w:rPr>
        <w:t>одного</w:t>
      </w:r>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робочого</w:t>
      </w:r>
      <w:proofErr w:type="spellEnd"/>
      <w:r w:rsidRPr="00E16672">
        <w:rPr>
          <w:rFonts w:ascii="Times New Roman" w:hAnsi="Times New Roman"/>
          <w:color w:val="000000"/>
          <w:szCs w:val="20"/>
        </w:rPr>
        <w:t xml:space="preserve"> дня з </w:t>
      </w:r>
      <w:proofErr w:type="spellStart"/>
      <w:r w:rsidRPr="00E16672">
        <w:rPr>
          <w:rFonts w:ascii="Times New Roman" w:hAnsi="Times New Roman"/>
          <w:color w:val="000000"/>
          <w:szCs w:val="20"/>
        </w:rPr>
        <w:t>дати</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lang w:val="uk-UA"/>
        </w:rPr>
        <w:t>підписа</w:t>
      </w:r>
      <w:r w:rsidRPr="00E16672">
        <w:rPr>
          <w:rFonts w:ascii="Times New Roman" w:hAnsi="Times New Roman"/>
          <w:color w:val="000000"/>
          <w:szCs w:val="20"/>
        </w:rPr>
        <w:t>ння</w:t>
      </w:r>
      <w:proofErr w:type="spellEnd"/>
      <w:r w:rsidRPr="00E16672">
        <w:rPr>
          <w:rFonts w:ascii="Times New Roman" w:hAnsi="Times New Roman"/>
          <w:color w:val="000000"/>
          <w:szCs w:val="20"/>
        </w:rPr>
        <w:t xml:space="preserve"> акту </w:t>
      </w:r>
      <w:r w:rsidR="00A63224" w:rsidRPr="00E16672">
        <w:rPr>
          <w:rFonts w:ascii="Times New Roman" w:hAnsi="Times New Roman"/>
          <w:color w:val="000000"/>
          <w:szCs w:val="20"/>
        </w:rPr>
        <w:t xml:space="preserve">Депозитарною </w:t>
      </w:r>
      <w:proofErr w:type="spellStart"/>
      <w:r w:rsidR="00A63224" w:rsidRPr="00E16672">
        <w:rPr>
          <w:rFonts w:ascii="Times New Roman" w:hAnsi="Times New Roman"/>
          <w:color w:val="000000"/>
          <w:szCs w:val="20"/>
        </w:rPr>
        <w:t>установою</w:t>
      </w:r>
      <w:proofErr w:type="spellEnd"/>
      <w:r w:rsidR="00EF70DB" w:rsidRPr="00E16672">
        <w:rPr>
          <w:rFonts w:ascii="Times New Roman" w:hAnsi="Times New Roman"/>
          <w:color w:val="000000"/>
          <w:szCs w:val="20"/>
          <w:lang w:val="uk-UA"/>
        </w:rPr>
        <w:t xml:space="preserve"> </w:t>
      </w:r>
      <w:r w:rsidR="00A63224" w:rsidRPr="00E16672">
        <w:rPr>
          <w:rFonts w:ascii="Times New Roman" w:hAnsi="Times New Roman"/>
          <w:color w:val="000000"/>
          <w:szCs w:val="20"/>
        </w:rPr>
        <w:t>(</w:t>
      </w:r>
      <w:proofErr w:type="spellStart"/>
      <w:r w:rsidR="00A63224" w:rsidRPr="00E16672">
        <w:rPr>
          <w:rFonts w:ascii="Times New Roman" w:hAnsi="Times New Roman"/>
          <w:color w:val="000000"/>
          <w:szCs w:val="20"/>
        </w:rPr>
        <w:t>якщо</w:t>
      </w:r>
      <w:proofErr w:type="spellEnd"/>
      <w:r w:rsidR="00A63224" w:rsidRPr="00E16672">
        <w:rPr>
          <w:rFonts w:ascii="Times New Roman" w:hAnsi="Times New Roman"/>
          <w:color w:val="000000"/>
          <w:szCs w:val="20"/>
        </w:rPr>
        <w:t xml:space="preserve"> </w:t>
      </w:r>
      <w:proofErr w:type="spellStart"/>
      <w:r w:rsidR="00A63224" w:rsidRPr="00E16672">
        <w:rPr>
          <w:rFonts w:ascii="Times New Roman" w:hAnsi="Times New Roman"/>
          <w:color w:val="000000"/>
          <w:szCs w:val="20"/>
        </w:rPr>
        <w:t>інше</w:t>
      </w:r>
      <w:proofErr w:type="spellEnd"/>
      <w:r w:rsidR="00A63224" w:rsidRPr="00E16672">
        <w:rPr>
          <w:rFonts w:ascii="Times New Roman" w:hAnsi="Times New Roman"/>
          <w:color w:val="000000"/>
          <w:szCs w:val="20"/>
        </w:rPr>
        <w:t xml:space="preserve"> не </w:t>
      </w:r>
      <w:proofErr w:type="spellStart"/>
      <w:r w:rsidR="00A63224" w:rsidRPr="00E16672">
        <w:rPr>
          <w:rFonts w:ascii="Times New Roman" w:hAnsi="Times New Roman"/>
          <w:color w:val="000000"/>
          <w:szCs w:val="20"/>
        </w:rPr>
        <w:t>передбачено</w:t>
      </w:r>
      <w:proofErr w:type="spellEnd"/>
      <w:r w:rsidR="00A63224" w:rsidRPr="00E16672">
        <w:rPr>
          <w:rFonts w:ascii="Times New Roman" w:hAnsi="Times New Roman"/>
          <w:color w:val="000000"/>
          <w:szCs w:val="20"/>
        </w:rPr>
        <w:t xml:space="preserve"> </w:t>
      </w:r>
      <w:proofErr w:type="spellStart"/>
      <w:r w:rsidR="00A63224" w:rsidRPr="00E16672">
        <w:rPr>
          <w:rFonts w:ascii="Times New Roman" w:hAnsi="Times New Roman"/>
          <w:color w:val="000000"/>
          <w:szCs w:val="20"/>
        </w:rPr>
        <w:t>додатковою</w:t>
      </w:r>
      <w:proofErr w:type="spellEnd"/>
      <w:r w:rsidR="00A63224" w:rsidRPr="00E16672">
        <w:rPr>
          <w:rFonts w:ascii="Times New Roman" w:hAnsi="Times New Roman"/>
          <w:color w:val="000000"/>
          <w:szCs w:val="20"/>
        </w:rPr>
        <w:t xml:space="preserve"> </w:t>
      </w:r>
      <w:proofErr w:type="spellStart"/>
      <w:r w:rsidR="00A63224" w:rsidRPr="00E16672">
        <w:rPr>
          <w:rFonts w:ascii="Times New Roman" w:hAnsi="Times New Roman"/>
          <w:color w:val="000000"/>
          <w:szCs w:val="20"/>
        </w:rPr>
        <w:t>угодою</w:t>
      </w:r>
      <w:proofErr w:type="spellEnd"/>
      <w:r w:rsidR="00A63224" w:rsidRPr="00E16672">
        <w:rPr>
          <w:rFonts w:ascii="Times New Roman" w:hAnsi="Times New Roman"/>
          <w:color w:val="000000"/>
          <w:szCs w:val="20"/>
        </w:rPr>
        <w:t xml:space="preserve"> до </w:t>
      </w:r>
      <w:proofErr w:type="spellStart"/>
      <w:r w:rsidR="00A63224" w:rsidRPr="00E16672">
        <w:rPr>
          <w:rFonts w:ascii="Times New Roman" w:hAnsi="Times New Roman"/>
          <w:color w:val="000000"/>
          <w:szCs w:val="20"/>
        </w:rPr>
        <w:t>цього</w:t>
      </w:r>
      <w:proofErr w:type="spellEnd"/>
      <w:r w:rsidR="00A63224" w:rsidRPr="00E16672">
        <w:rPr>
          <w:rFonts w:ascii="Times New Roman" w:hAnsi="Times New Roman"/>
          <w:color w:val="000000"/>
          <w:szCs w:val="20"/>
        </w:rPr>
        <w:t xml:space="preserve"> Договору)</w:t>
      </w:r>
    </w:p>
    <w:p w14:paraId="2750FEDA" w14:textId="77777777" w:rsidR="000F154F" w:rsidRPr="00E16672" w:rsidRDefault="000F154F" w:rsidP="00E07EC8">
      <w:pPr>
        <w:ind w:left="709"/>
        <w:rPr>
          <w:rFonts w:ascii="Times New Roman" w:hAnsi="Times New Roman"/>
          <w:color w:val="000000"/>
          <w:szCs w:val="20"/>
        </w:rPr>
      </w:pPr>
      <w:proofErr w:type="spellStart"/>
      <w:r w:rsidRPr="00E16672">
        <w:rPr>
          <w:rFonts w:ascii="Times New Roman" w:hAnsi="Times New Roman"/>
          <w:color w:val="000000"/>
          <w:szCs w:val="20"/>
        </w:rPr>
        <w:t>або</w:t>
      </w:r>
      <w:proofErr w:type="spellEnd"/>
    </w:p>
    <w:p w14:paraId="694DBE12" w14:textId="77777777" w:rsidR="0027781A" w:rsidRPr="00E16672" w:rsidRDefault="000F154F" w:rsidP="0027781A">
      <w:pPr>
        <w:ind w:left="709" w:hanging="142"/>
        <w:rPr>
          <w:rFonts w:ascii="Times New Roman" w:hAnsi="Times New Roman"/>
          <w:color w:val="000000"/>
          <w:szCs w:val="20"/>
        </w:rPr>
      </w:pPr>
      <w:r w:rsidRPr="00E16672">
        <w:rPr>
          <w:rFonts w:ascii="Times New Roman" w:hAnsi="Times New Roman"/>
          <w:color w:val="000000"/>
          <w:szCs w:val="20"/>
        </w:rPr>
        <w:lastRenderedPageBreak/>
        <w:t xml:space="preserve">- </w:t>
      </w:r>
      <w:proofErr w:type="spellStart"/>
      <w:r w:rsidRPr="00E16672">
        <w:rPr>
          <w:rFonts w:ascii="Times New Roman" w:hAnsi="Times New Roman"/>
          <w:color w:val="000000"/>
          <w:szCs w:val="20"/>
        </w:rPr>
        <w:t>рахунків</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виставлених</w:t>
      </w:r>
      <w:proofErr w:type="spellEnd"/>
      <w:r w:rsidRPr="00E16672">
        <w:rPr>
          <w:rFonts w:ascii="Times New Roman" w:hAnsi="Times New Roman"/>
          <w:color w:val="000000"/>
          <w:szCs w:val="20"/>
        </w:rPr>
        <w:t xml:space="preserve"> Депозитарною </w:t>
      </w:r>
      <w:proofErr w:type="spellStart"/>
      <w:r w:rsidRPr="00E16672">
        <w:rPr>
          <w:rFonts w:ascii="Times New Roman" w:hAnsi="Times New Roman"/>
          <w:color w:val="000000"/>
          <w:szCs w:val="20"/>
        </w:rPr>
        <w:t>установою</w:t>
      </w:r>
      <w:proofErr w:type="spellEnd"/>
      <w:r w:rsidRPr="00E16672">
        <w:rPr>
          <w:rFonts w:ascii="Times New Roman" w:hAnsi="Times New Roman"/>
          <w:color w:val="000000"/>
          <w:szCs w:val="20"/>
        </w:rPr>
        <w:t xml:space="preserve"> Депоненту для </w:t>
      </w:r>
      <w:proofErr w:type="spellStart"/>
      <w:r w:rsidRPr="00E16672">
        <w:rPr>
          <w:rFonts w:ascii="Times New Roman" w:hAnsi="Times New Roman"/>
          <w:color w:val="000000"/>
          <w:szCs w:val="20"/>
        </w:rPr>
        <w:t>попередньої</w:t>
      </w:r>
      <w:proofErr w:type="spellEnd"/>
      <w:r w:rsidRPr="00E16672">
        <w:rPr>
          <w:rFonts w:ascii="Times New Roman" w:hAnsi="Times New Roman"/>
          <w:color w:val="000000"/>
          <w:szCs w:val="20"/>
        </w:rPr>
        <w:t xml:space="preserve"> оплати за </w:t>
      </w:r>
      <w:proofErr w:type="spellStart"/>
      <w:proofErr w:type="gramStart"/>
      <w:r w:rsidRPr="00E16672">
        <w:rPr>
          <w:rFonts w:ascii="Times New Roman" w:hAnsi="Times New Roman"/>
          <w:color w:val="000000"/>
          <w:szCs w:val="20"/>
        </w:rPr>
        <w:t>операції</w:t>
      </w:r>
      <w:proofErr w:type="spellEnd"/>
      <w:r w:rsidRPr="00E16672">
        <w:rPr>
          <w:rFonts w:ascii="Times New Roman" w:hAnsi="Times New Roman"/>
          <w:color w:val="000000"/>
          <w:szCs w:val="20"/>
        </w:rPr>
        <w:t xml:space="preserve">  у</w:t>
      </w:r>
      <w:proofErr w:type="gramEnd"/>
      <w:r w:rsidRPr="00E16672">
        <w:rPr>
          <w:rFonts w:ascii="Times New Roman" w:hAnsi="Times New Roman"/>
          <w:color w:val="000000"/>
          <w:szCs w:val="20"/>
        </w:rPr>
        <w:t xml:space="preserve"> строки,</w:t>
      </w:r>
    </w:p>
    <w:p w14:paraId="6681A050" w14:textId="77777777" w:rsidR="000F154F" w:rsidRPr="00E16672" w:rsidRDefault="000F154F" w:rsidP="0027781A">
      <w:pPr>
        <w:ind w:left="142" w:hanging="142"/>
        <w:rPr>
          <w:rFonts w:ascii="Times New Roman" w:hAnsi="Times New Roman"/>
          <w:color w:val="000000"/>
          <w:szCs w:val="20"/>
          <w:lang w:val="uk-UA"/>
        </w:rPr>
      </w:pPr>
      <w:proofErr w:type="spellStart"/>
      <w:r w:rsidRPr="00E16672">
        <w:rPr>
          <w:rFonts w:ascii="Times New Roman" w:hAnsi="Times New Roman"/>
          <w:color w:val="000000"/>
          <w:szCs w:val="20"/>
        </w:rPr>
        <w:t>вказані</w:t>
      </w:r>
      <w:proofErr w:type="spellEnd"/>
      <w:r w:rsidRPr="00E16672">
        <w:rPr>
          <w:rFonts w:ascii="Times New Roman" w:hAnsi="Times New Roman"/>
          <w:color w:val="000000"/>
          <w:szCs w:val="20"/>
        </w:rPr>
        <w:t xml:space="preserve"> в </w:t>
      </w:r>
      <w:proofErr w:type="spellStart"/>
      <w:r w:rsidRPr="00E16672">
        <w:rPr>
          <w:rFonts w:ascii="Times New Roman" w:hAnsi="Times New Roman"/>
          <w:color w:val="000000"/>
          <w:szCs w:val="20"/>
        </w:rPr>
        <w:t>цих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рахунках</w:t>
      </w:r>
      <w:proofErr w:type="spellEnd"/>
      <w:r w:rsidRPr="00E16672">
        <w:rPr>
          <w:rFonts w:ascii="Times New Roman" w:hAnsi="Times New Roman"/>
          <w:color w:val="000000"/>
          <w:szCs w:val="20"/>
          <w:lang w:val="uk-UA"/>
        </w:rPr>
        <w:t>.</w:t>
      </w:r>
    </w:p>
    <w:p w14:paraId="15F00CDC" w14:textId="77777777" w:rsidR="00E41BF2" w:rsidRPr="00E16672" w:rsidRDefault="000F154F" w:rsidP="00E41BF2">
      <w:pPr>
        <w:pStyle w:val="310"/>
        <w:ind w:left="-15" w:firstLine="559"/>
        <w:rPr>
          <w:rFonts w:ascii="Times New Roman" w:hAnsi="Times New Roman"/>
          <w:color w:val="000000"/>
          <w:sz w:val="20"/>
          <w:szCs w:val="20"/>
        </w:rPr>
      </w:pPr>
      <w:r w:rsidRPr="00E16672">
        <w:rPr>
          <w:rFonts w:ascii="Times New Roman" w:hAnsi="Times New Roman"/>
          <w:color w:val="000000"/>
          <w:sz w:val="20"/>
          <w:szCs w:val="20"/>
        </w:rPr>
        <w:t xml:space="preserve">4.3. </w:t>
      </w:r>
      <w:r w:rsidR="00E41BF2" w:rsidRPr="00E16672">
        <w:rPr>
          <w:rFonts w:ascii="Times New Roman" w:hAnsi="Times New Roman"/>
          <w:color w:val="000000"/>
          <w:sz w:val="20"/>
          <w:szCs w:val="20"/>
        </w:rPr>
        <w:t>Підтвердженням виконання послуг Депозитарної установи є акт виконаних Депозитарною установою операцій, який складається:</w:t>
      </w:r>
    </w:p>
    <w:p w14:paraId="352A07B3" w14:textId="77777777" w:rsidR="0027781A" w:rsidRPr="00E16672" w:rsidRDefault="00E41BF2" w:rsidP="0027781A">
      <w:pPr>
        <w:pStyle w:val="310"/>
        <w:ind w:left="567" w:firstLine="0"/>
        <w:rPr>
          <w:rFonts w:ascii="Times New Roman" w:hAnsi="Times New Roman"/>
          <w:color w:val="000000"/>
          <w:sz w:val="20"/>
          <w:szCs w:val="20"/>
        </w:rPr>
      </w:pPr>
      <w:r w:rsidRPr="00E16672">
        <w:rPr>
          <w:rFonts w:ascii="Times New Roman" w:hAnsi="Times New Roman"/>
          <w:color w:val="000000"/>
          <w:sz w:val="20"/>
          <w:szCs w:val="20"/>
        </w:rPr>
        <w:t>- по виконаним Депозитарною установою адміністративним, обліковим, інформаційним та іншим операціям по</w:t>
      </w:r>
    </w:p>
    <w:p w14:paraId="28762536" w14:textId="77777777" w:rsidR="0027781A" w:rsidRPr="00E16672" w:rsidRDefault="00E41BF2" w:rsidP="0027781A">
      <w:pPr>
        <w:pStyle w:val="310"/>
        <w:ind w:left="567" w:hanging="567"/>
        <w:rPr>
          <w:rFonts w:ascii="Times New Roman" w:hAnsi="Times New Roman"/>
          <w:color w:val="000000"/>
          <w:sz w:val="20"/>
          <w:szCs w:val="20"/>
        </w:rPr>
      </w:pPr>
      <w:r w:rsidRPr="00E16672">
        <w:rPr>
          <w:rFonts w:ascii="Times New Roman" w:hAnsi="Times New Roman"/>
          <w:color w:val="000000"/>
          <w:sz w:val="20"/>
          <w:szCs w:val="20"/>
        </w:rPr>
        <w:t xml:space="preserve"> рахунку </w:t>
      </w:r>
      <w:r w:rsidR="00C22309" w:rsidRPr="00E16672">
        <w:rPr>
          <w:rFonts w:ascii="Times New Roman" w:hAnsi="Times New Roman"/>
          <w:color w:val="000000"/>
          <w:sz w:val="20"/>
          <w:szCs w:val="20"/>
        </w:rPr>
        <w:t>в цін</w:t>
      </w:r>
      <w:r w:rsidRPr="00E16672">
        <w:rPr>
          <w:rFonts w:ascii="Times New Roman" w:hAnsi="Times New Roman"/>
          <w:color w:val="000000"/>
          <w:sz w:val="20"/>
          <w:szCs w:val="20"/>
        </w:rPr>
        <w:t xml:space="preserve">них паперах - у день проведення операцій або на останній день місяця (та/або кварталу), в якому їх </w:t>
      </w:r>
    </w:p>
    <w:p w14:paraId="577E5185" w14:textId="77777777" w:rsidR="00D27231" w:rsidRPr="00E16672" w:rsidRDefault="0027781A" w:rsidP="0027781A">
      <w:pPr>
        <w:pStyle w:val="310"/>
        <w:ind w:left="567" w:hanging="567"/>
        <w:rPr>
          <w:rFonts w:ascii="Times New Roman" w:hAnsi="Times New Roman"/>
          <w:color w:val="000000"/>
          <w:sz w:val="20"/>
          <w:szCs w:val="20"/>
        </w:rPr>
      </w:pPr>
      <w:r w:rsidRPr="00E16672">
        <w:rPr>
          <w:rFonts w:ascii="Times New Roman" w:hAnsi="Times New Roman"/>
          <w:color w:val="000000"/>
          <w:sz w:val="20"/>
          <w:szCs w:val="20"/>
        </w:rPr>
        <w:t xml:space="preserve"> </w:t>
      </w:r>
      <w:r w:rsidR="00E41BF2" w:rsidRPr="00E16672">
        <w:rPr>
          <w:rFonts w:ascii="Times New Roman" w:hAnsi="Times New Roman"/>
          <w:color w:val="000000"/>
          <w:sz w:val="20"/>
          <w:szCs w:val="20"/>
        </w:rPr>
        <w:t>виконано</w:t>
      </w:r>
      <w:r w:rsidR="00E41BF2" w:rsidRPr="00E16672">
        <w:rPr>
          <w:rFonts w:ascii="Times New Roman" w:hAnsi="Times New Roman"/>
          <w:color w:val="000000"/>
          <w:sz w:val="20"/>
          <w:szCs w:val="20"/>
          <w:lang w:val="ru-RU"/>
        </w:rPr>
        <w:t>,</w:t>
      </w:r>
      <w:r w:rsidR="00E41BF2" w:rsidRPr="00E16672">
        <w:rPr>
          <w:rFonts w:ascii="Times New Roman" w:hAnsi="Times New Roman"/>
          <w:color w:val="000000"/>
          <w:sz w:val="20"/>
          <w:szCs w:val="20"/>
        </w:rPr>
        <w:t xml:space="preserve"> підписується Депозитарною установою у двох оригіналах та подається Депоненту для підписання особисто</w:t>
      </w:r>
    </w:p>
    <w:p w14:paraId="240A5168" w14:textId="77777777" w:rsidR="00D27231" w:rsidRPr="00E16672" w:rsidRDefault="00E41BF2" w:rsidP="0027781A">
      <w:pPr>
        <w:pStyle w:val="310"/>
        <w:ind w:left="567" w:hanging="567"/>
        <w:rPr>
          <w:rFonts w:ascii="Times New Roman" w:hAnsi="Times New Roman"/>
          <w:color w:val="000000"/>
          <w:sz w:val="20"/>
          <w:szCs w:val="20"/>
        </w:rPr>
      </w:pPr>
      <w:r w:rsidRPr="00E16672">
        <w:rPr>
          <w:rFonts w:ascii="Times New Roman" w:hAnsi="Times New Roman"/>
          <w:color w:val="000000"/>
          <w:sz w:val="20"/>
          <w:szCs w:val="20"/>
        </w:rPr>
        <w:t>або направляється поштою в адресу Депонента (або іншим способом за домовленістю з Депонентом) протягом не</w:t>
      </w:r>
    </w:p>
    <w:p w14:paraId="3AE1C073" w14:textId="77777777" w:rsidR="00E41BF2" w:rsidRPr="00E16672" w:rsidRDefault="00E41BF2" w:rsidP="0027781A">
      <w:pPr>
        <w:pStyle w:val="310"/>
        <w:ind w:left="567" w:hanging="567"/>
        <w:rPr>
          <w:rFonts w:ascii="Times New Roman" w:hAnsi="Times New Roman"/>
          <w:color w:val="000000"/>
          <w:sz w:val="20"/>
          <w:szCs w:val="20"/>
          <w:lang w:val="ru-RU"/>
        </w:rPr>
      </w:pPr>
      <w:r w:rsidRPr="00E16672">
        <w:rPr>
          <w:rFonts w:ascii="Times New Roman" w:hAnsi="Times New Roman"/>
          <w:color w:val="000000"/>
          <w:sz w:val="20"/>
          <w:szCs w:val="20"/>
        </w:rPr>
        <w:t xml:space="preserve"> більш як </w:t>
      </w:r>
      <w:r w:rsidRPr="00E16672">
        <w:rPr>
          <w:rFonts w:ascii="Times New Roman" w:hAnsi="Times New Roman"/>
          <w:i/>
          <w:color w:val="000000"/>
          <w:sz w:val="20"/>
          <w:szCs w:val="20"/>
          <w:lang w:val="ru-RU"/>
        </w:rPr>
        <w:t>п’</w:t>
      </w:r>
      <w:r w:rsidRPr="00E16672">
        <w:rPr>
          <w:rFonts w:ascii="Times New Roman" w:hAnsi="Times New Roman"/>
          <w:i/>
          <w:color w:val="000000"/>
          <w:sz w:val="20"/>
          <w:szCs w:val="20"/>
        </w:rPr>
        <w:t>ять</w:t>
      </w:r>
      <w:r w:rsidRPr="00E16672">
        <w:rPr>
          <w:rFonts w:ascii="Times New Roman" w:hAnsi="Times New Roman"/>
          <w:color w:val="000000"/>
          <w:sz w:val="20"/>
          <w:szCs w:val="20"/>
        </w:rPr>
        <w:t xml:space="preserve"> робочих днів з моменту підписання</w:t>
      </w:r>
      <w:r w:rsidRPr="00E16672">
        <w:rPr>
          <w:rFonts w:ascii="Times New Roman" w:hAnsi="Times New Roman"/>
          <w:color w:val="000000"/>
          <w:sz w:val="20"/>
          <w:szCs w:val="20"/>
          <w:lang w:val="ru-RU"/>
        </w:rPr>
        <w:t>;</w:t>
      </w:r>
    </w:p>
    <w:p w14:paraId="01A0C210" w14:textId="77777777" w:rsidR="00E41BF2" w:rsidRPr="00E16672" w:rsidRDefault="00E41BF2" w:rsidP="005F3632">
      <w:pPr>
        <w:pStyle w:val="310"/>
        <w:ind w:firstLine="425"/>
        <w:rPr>
          <w:rFonts w:ascii="Times New Roman" w:hAnsi="Times New Roman"/>
          <w:color w:val="000000"/>
          <w:sz w:val="20"/>
          <w:szCs w:val="20"/>
        </w:rPr>
      </w:pPr>
      <w:r w:rsidRPr="00E16672">
        <w:rPr>
          <w:rFonts w:ascii="Times New Roman" w:hAnsi="Times New Roman"/>
          <w:color w:val="000000"/>
          <w:sz w:val="20"/>
          <w:szCs w:val="20"/>
        </w:rPr>
        <w:t>-</w:t>
      </w:r>
      <w:r w:rsidR="00D27231" w:rsidRPr="00E16672">
        <w:rPr>
          <w:rFonts w:ascii="Times New Roman" w:hAnsi="Times New Roman"/>
          <w:color w:val="000000"/>
          <w:sz w:val="20"/>
          <w:szCs w:val="20"/>
        </w:rPr>
        <w:t xml:space="preserve"> </w:t>
      </w:r>
      <w:r w:rsidRPr="00E16672">
        <w:rPr>
          <w:rFonts w:ascii="Times New Roman" w:hAnsi="Times New Roman"/>
          <w:color w:val="000000"/>
          <w:sz w:val="20"/>
          <w:szCs w:val="20"/>
        </w:rPr>
        <w:t xml:space="preserve">за облік цінних паперів на </w:t>
      </w:r>
      <w:proofErr w:type="spellStart"/>
      <w:r w:rsidRPr="00E16672">
        <w:rPr>
          <w:rFonts w:ascii="Times New Roman" w:hAnsi="Times New Roman"/>
          <w:color w:val="000000"/>
          <w:sz w:val="20"/>
          <w:szCs w:val="20"/>
        </w:rPr>
        <w:t>рахунк</w:t>
      </w:r>
      <w:r w:rsidR="00C22309" w:rsidRPr="00E16672">
        <w:rPr>
          <w:rFonts w:ascii="Times New Roman" w:hAnsi="Times New Roman"/>
          <w:color w:val="000000"/>
          <w:sz w:val="20"/>
          <w:szCs w:val="20"/>
        </w:rPr>
        <w:t>в</w:t>
      </w:r>
      <w:proofErr w:type="spellEnd"/>
      <w:r w:rsidR="00C22309" w:rsidRPr="00E16672">
        <w:rPr>
          <w:rFonts w:ascii="Times New Roman" w:hAnsi="Times New Roman"/>
          <w:color w:val="000000"/>
          <w:sz w:val="20"/>
          <w:szCs w:val="20"/>
        </w:rPr>
        <w:t xml:space="preserve"> цін</w:t>
      </w:r>
      <w:r w:rsidRPr="00E16672">
        <w:rPr>
          <w:rFonts w:ascii="Times New Roman" w:hAnsi="Times New Roman"/>
          <w:color w:val="000000"/>
          <w:sz w:val="20"/>
          <w:szCs w:val="20"/>
        </w:rPr>
        <w:t xml:space="preserve">них паперах - на останній день кварталу, в якому їх виконано, підписується Депозитарною установою у двох оригіналах та подається Депоненту для підписання особисто або направляється поштою в адресу Депонента (або іншим способом за домовленістю з Депонентом) протягом не більше </w:t>
      </w:r>
      <w:r w:rsidRPr="00E16672">
        <w:rPr>
          <w:rFonts w:ascii="Times New Roman" w:hAnsi="Times New Roman"/>
          <w:i/>
          <w:color w:val="000000"/>
          <w:sz w:val="20"/>
          <w:szCs w:val="20"/>
        </w:rPr>
        <w:t>двадцяти</w:t>
      </w:r>
      <w:r w:rsidRPr="00E16672">
        <w:rPr>
          <w:rFonts w:ascii="Times New Roman" w:hAnsi="Times New Roman"/>
          <w:color w:val="000000"/>
          <w:sz w:val="20"/>
          <w:szCs w:val="20"/>
        </w:rPr>
        <w:t xml:space="preserve"> робочих днів з моменту підписання. </w:t>
      </w:r>
    </w:p>
    <w:p w14:paraId="0F41A1D4" w14:textId="77777777" w:rsidR="00E41BF2" w:rsidRPr="00E16672" w:rsidRDefault="00E41BF2" w:rsidP="005F3632">
      <w:pPr>
        <w:pStyle w:val="310"/>
        <w:ind w:firstLine="567"/>
        <w:rPr>
          <w:rFonts w:ascii="Times New Roman" w:hAnsi="Times New Roman"/>
          <w:color w:val="000000"/>
          <w:sz w:val="20"/>
          <w:szCs w:val="20"/>
        </w:rPr>
      </w:pPr>
      <w:r w:rsidRPr="00E16672">
        <w:rPr>
          <w:rFonts w:ascii="Times New Roman" w:hAnsi="Times New Roman"/>
          <w:color w:val="000000"/>
          <w:sz w:val="20"/>
          <w:szCs w:val="20"/>
        </w:rPr>
        <w:t xml:space="preserve">Депонент має підписати та повернути Депозитарній установі один оригінал </w:t>
      </w:r>
      <w:r w:rsidR="00D16151" w:rsidRPr="00E16672">
        <w:rPr>
          <w:rFonts w:ascii="Times New Roman" w:hAnsi="Times New Roman"/>
          <w:color w:val="000000"/>
          <w:sz w:val="20"/>
          <w:szCs w:val="20"/>
        </w:rPr>
        <w:t xml:space="preserve"> протягом </w:t>
      </w:r>
      <w:r w:rsidRPr="00E16672">
        <w:rPr>
          <w:rFonts w:ascii="Times New Roman" w:hAnsi="Times New Roman"/>
          <w:i/>
          <w:iCs/>
          <w:color w:val="000000"/>
          <w:sz w:val="20"/>
          <w:szCs w:val="20"/>
          <w:lang w:val="ru-RU"/>
        </w:rPr>
        <w:t>десяти</w:t>
      </w:r>
      <w:r w:rsidRPr="00E16672">
        <w:rPr>
          <w:rFonts w:ascii="Times New Roman" w:hAnsi="Times New Roman"/>
          <w:color w:val="000000"/>
          <w:sz w:val="20"/>
          <w:szCs w:val="20"/>
          <w:lang w:val="ru-RU"/>
        </w:rPr>
        <w:t xml:space="preserve"> </w:t>
      </w:r>
      <w:proofErr w:type="spellStart"/>
      <w:r w:rsidRPr="00E16672">
        <w:rPr>
          <w:rFonts w:ascii="Times New Roman" w:hAnsi="Times New Roman"/>
          <w:color w:val="000000"/>
          <w:sz w:val="20"/>
          <w:szCs w:val="20"/>
          <w:lang w:val="ru-RU"/>
        </w:rPr>
        <w:t>календарних</w:t>
      </w:r>
      <w:proofErr w:type="spellEnd"/>
      <w:r w:rsidRPr="00E16672">
        <w:rPr>
          <w:rFonts w:ascii="Times New Roman" w:hAnsi="Times New Roman"/>
          <w:color w:val="000000"/>
          <w:sz w:val="20"/>
          <w:szCs w:val="20"/>
        </w:rPr>
        <w:t xml:space="preserve"> днів </w:t>
      </w:r>
      <w:r w:rsidR="005F3632" w:rsidRPr="00E16672">
        <w:rPr>
          <w:rFonts w:ascii="Times New Roman" w:hAnsi="Times New Roman"/>
          <w:color w:val="000000"/>
          <w:sz w:val="20"/>
          <w:szCs w:val="20"/>
        </w:rPr>
        <w:t xml:space="preserve"> </w:t>
      </w:r>
      <w:r w:rsidRPr="00E16672">
        <w:rPr>
          <w:rFonts w:ascii="Times New Roman" w:hAnsi="Times New Roman"/>
          <w:color w:val="000000"/>
          <w:sz w:val="20"/>
          <w:szCs w:val="20"/>
        </w:rPr>
        <w:t>з моменту отримання. У разі неповернення акту послуги вважаються наданими без заперечень.</w:t>
      </w:r>
    </w:p>
    <w:p w14:paraId="63E9F677" w14:textId="77777777" w:rsidR="0096643F" w:rsidRPr="00E16672" w:rsidRDefault="0096643F" w:rsidP="00781EF9">
      <w:pPr>
        <w:pStyle w:val="western"/>
        <w:spacing w:before="0" w:after="0"/>
        <w:ind w:firstLine="538"/>
        <w:jc w:val="both"/>
        <w:rPr>
          <w:rFonts w:ascii="Times New Roman" w:hAnsi="Times New Roman"/>
          <w:b w:val="0"/>
          <w:bCs w:val="0"/>
          <w:color w:val="000000"/>
          <w:szCs w:val="20"/>
          <w:lang w:val="uk-UA"/>
        </w:rPr>
      </w:pPr>
      <w:r w:rsidRPr="00E16672">
        <w:rPr>
          <w:rFonts w:ascii="Times New Roman" w:hAnsi="Times New Roman"/>
          <w:b w:val="0"/>
          <w:bCs w:val="0"/>
          <w:color w:val="000000"/>
          <w:szCs w:val="20"/>
        </w:rPr>
        <w:t xml:space="preserve">Акт </w:t>
      </w:r>
      <w:proofErr w:type="spellStart"/>
      <w:r w:rsidRPr="00E16672">
        <w:rPr>
          <w:rFonts w:ascii="Times New Roman" w:hAnsi="Times New Roman"/>
          <w:b w:val="0"/>
          <w:bCs w:val="0"/>
          <w:color w:val="000000"/>
          <w:szCs w:val="20"/>
        </w:rPr>
        <w:t>виконаних</w:t>
      </w:r>
      <w:proofErr w:type="spellEnd"/>
      <w:r w:rsidRPr="00E16672">
        <w:rPr>
          <w:rFonts w:ascii="Times New Roman" w:hAnsi="Times New Roman"/>
          <w:b w:val="0"/>
          <w:bCs w:val="0"/>
          <w:color w:val="000000"/>
          <w:szCs w:val="20"/>
        </w:rPr>
        <w:t xml:space="preserve"> </w:t>
      </w:r>
      <w:proofErr w:type="spellStart"/>
      <w:r w:rsidRPr="00E16672">
        <w:rPr>
          <w:rFonts w:ascii="Times New Roman" w:hAnsi="Times New Roman"/>
          <w:b w:val="0"/>
          <w:bCs w:val="0"/>
          <w:color w:val="000000"/>
          <w:szCs w:val="20"/>
        </w:rPr>
        <w:t>операцій</w:t>
      </w:r>
      <w:proofErr w:type="spellEnd"/>
      <w:r w:rsidRPr="00E16672">
        <w:rPr>
          <w:rFonts w:ascii="Times New Roman" w:hAnsi="Times New Roman"/>
          <w:b w:val="0"/>
          <w:bCs w:val="0"/>
          <w:color w:val="000000"/>
          <w:szCs w:val="20"/>
        </w:rPr>
        <w:t xml:space="preserve"> </w:t>
      </w:r>
      <w:proofErr w:type="spellStart"/>
      <w:r w:rsidRPr="00E16672">
        <w:rPr>
          <w:rFonts w:ascii="Times New Roman" w:hAnsi="Times New Roman"/>
          <w:b w:val="0"/>
          <w:bCs w:val="0"/>
          <w:color w:val="000000"/>
          <w:szCs w:val="20"/>
        </w:rPr>
        <w:t>може</w:t>
      </w:r>
      <w:proofErr w:type="spellEnd"/>
      <w:r w:rsidRPr="00E16672">
        <w:rPr>
          <w:rFonts w:ascii="Times New Roman" w:hAnsi="Times New Roman"/>
          <w:b w:val="0"/>
          <w:bCs w:val="0"/>
          <w:color w:val="000000"/>
          <w:szCs w:val="20"/>
        </w:rPr>
        <w:t xml:space="preserve"> бути </w:t>
      </w:r>
      <w:proofErr w:type="spellStart"/>
      <w:r w:rsidRPr="00E16672">
        <w:rPr>
          <w:rFonts w:ascii="Times New Roman" w:hAnsi="Times New Roman"/>
          <w:b w:val="0"/>
          <w:bCs w:val="0"/>
          <w:color w:val="000000"/>
          <w:szCs w:val="20"/>
        </w:rPr>
        <w:t>підписаний</w:t>
      </w:r>
      <w:proofErr w:type="spellEnd"/>
      <w:r w:rsidRPr="00E16672">
        <w:rPr>
          <w:rFonts w:ascii="Times New Roman" w:hAnsi="Times New Roman"/>
          <w:b w:val="0"/>
          <w:bCs w:val="0"/>
          <w:color w:val="000000"/>
          <w:szCs w:val="20"/>
        </w:rPr>
        <w:t xml:space="preserve"> Депозитарною </w:t>
      </w:r>
      <w:proofErr w:type="spellStart"/>
      <w:r w:rsidRPr="00E16672">
        <w:rPr>
          <w:rFonts w:ascii="Times New Roman" w:hAnsi="Times New Roman"/>
          <w:b w:val="0"/>
          <w:bCs w:val="0"/>
          <w:color w:val="000000"/>
          <w:szCs w:val="20"/>
        </w:rPr>
        <w:t>установою</w:t>
      </w:r>
      <w:proofErr w:type="spellEnd"/>
      <w:r w:rsidRPr="00E16672">
        <w:rPr>
          <w:rFonts w:ascii="Times New Roman" w:hAnsi="Times New Roman"/>
          <w:b w:val="0"/>
          <w:bCs w:val="0"/>
          <w:color w:val="000000"/>
          <w:szCs w:val="20"/>
        </w:rPr>
        <w:t xml:space="preserve"> та Депонентом за </w:t>
      </w:r>
      <w:proofErr w:type="spellStart"/>
      <w:r w:rsidRPr="00E16672">
        <w:rPr>
          <w:rFonts w:ascii="Times New Roman" w:hAnsi="Times New Roman"/>
          <w:b w:val="0"/>
          <w:bCs w:val="0"/>
          <w:color w:val="000000"/>
          <w:szCs w:val="20"/>
        </w:rPr>
        <w:t>допомогою</w:t>
      </w:r>
      <w:proofErr w:type="spellEnd"/>
      <w:r w:rsidRPr="00E16672">
        <w:rPr>
          <w:rFonts w:ascii="Times New Roman" w:hAnsi="Times New Roman"/>
          <w:b w:val="0"/>
          <w:bCs w:val="0"/>
          <w:color w:val="000000"/>
          <w:szCs w:val="20"/>
        </w:rPr>
        <w:t xml:space="preserve"> </w:t>
      </w:r>
      <w:proofErr w:type="spellStart"/>
      <w:r w:rsidR="00AE695D" w:rsidRPr="00E16672">
        <w:rPr>
          <w:rFonts w:ascii="Times New Roman" w:hAnsi="Times New Roman"/>
          <w:b w:val="0"/>
          <w:bCs w:val="0"/>
          <w:color w:val="000000"/>
          <w:szCs w:val="20"/>
        </w:rPr>
        <w:t>кваліфікованого</w:t>
      </w:r>
      <w:proofErr w:type="spellEnd"/>
      <w:r w:rsidR="00AE695D" w:rsidRPr="00E16672">
        <w:rPr>
          <w:rFonts w:ascii="Times New Roman" w:hAnsi="Times New Roman"/>
          <w:b w:val="0"/>
          <w:bCs w:val="0"/>
          <w:color w:val="000000"/>
          <w:szCs w:val="20"/>
        </w:rPr>
        <w:t xml:space="preserve"> </w:t>
      </w:r>
      <w:proofErr w:type="spellStart"/>
      <w:r w:rsidR="00AE695D" w:rsidRPr="00E16672">
        <w:rPr>
          <w:rFonts w:ascii="Times New Roman" w:hAnsi="Times New Roman"/>
          <w:b w:val="0"/>
          <w:bCs w:val="0"/>
          <w:color w:val="000000"/>
          <w:szCs w:val="20"/>
        </w:rPr>
        <w:t>електронного</w:t>
      </w:r>
      <w:proofErr w:type="spellEnd"/>
      <w:r w:rsidR="00AE695D" w:rsidRPr="00E16672">
        <w:rPr>
          <w:rFonts w:ascii="Times New Roman" w:hAnsi="Times New Roman"/>
          <w:b w:val="0"/>
          <w:bCs w:val="0"/>
          <w:color w:val="000000"/>
          <w:szCs w:val="20"/>
        </w:rPr>
        <w:t xml:space="preserve"> </w:t>
      </w:r>
      <w:proofErr w:type="spellStart"/>
      <w:r w:rsidR="00AE695D" w:rsidRPr="00E16672">
        <w:rPr>
          <w:rFonts w:ascii="Times New Roman" w:hAnsi="Times New Roman"/>
          <w:b w:val="0"/>
          <w:bCs w:val="0"/>
          <w:color w:val="000000"/>
          <w:szCs w:val="20"/>
        </w:rPr>
        <w:t>підпису</w:t>
      </w:r>
      <w:proofErr w:type="spellEnd"/>
      <w:r w:rsidRPr="00E16672">
        <w:rPr>
          <w:rFonts w:ascii="Times New Roman" w:hAnsi="Times New Roman"/>
          <w:b w:val="0"/>
          <w:bCs w:val="0"/>
          <w:color w:val="000000"/>
          <w:szCs w:val="20"/>
        </w:rPr>
        <w:t xml:space="preserve">. </w:t>
      </w:r>
      <w:r w:rsidRPr="00E16672">
        <w:rPr>
          <w:rFonts w:ascii="Times New Roman" w:hAnsi="Times New Roman"/>
          <w:b w:val="0"/>
          <w:bCs w:val="0"/>
          <w:color w:val="000000"/>
          <w:szCs w:val="20"/>
          <w:lang w:val="uk-UA"/>
        </w:rPr>
        <w:t xml:space="preserve">Рахунок також може бути підписаний за допомогою </w:t>
      </w:r>
      <w:r w:rsidR="00AE695D" w:rsidRPr="00E16672">
        <w:rPr>
          <w:rFonts w:ascii="Times New Roman" w:hAnsi="Times New Roman"/>
          <w:b w:val="0"/>
          <w:bCs w:val="0"/>
          <w:color w:val="000000"/>
          <w:szCs w:val="20"/>
          <w:lang w:val="uk-UA"/>
        </w:rPr>
        <w:t>кваліфікованого електронного підпису</w:t>
      </w:r>
      <w:r w:rsidRPr="00E16672">
        <w:rPr>
          <w:rFonts w:ascii="Times New Roman" w:hAnsi="Times New Roman"/>
          <w:b w:val="0"/>
          <w:bCs w:val="0"/>
          <w:color w:val="000000"/>
          <w:szCs w:val="20"/>
          <w:lang w:val="uk-UA"/>
        </w:rPr>
        <w:t>.</w:t>
      </w:r>
    </w:p>
    <w:p w14:paraId="21A11E45" w14:textId="77777777" w:rsidR="000F154F" w:rsidRPr="00E16672" w:rsidRDefault="000F154F" w:rsidP="00781EF9">
      <w:pPr>
        <w:pStyle w:val="western"/>
        <w:spacing w:before="0" w:after="0"/>
        <w:jc w:val="both"/>
        <w:rPr>
          <w:rFonts w:ascii="Times New Roman" w:hAnsi="Times New Roman"/>
          <w:b w:val="0"/>
          <w:bCs w:val="0"/>
          <w:szCs w:val="20"/>
        </w:rPr>
      </w:pPr>
      <w:r w:rsidRPr="00E16672">
        <w:rPr>
          <w:rFonts w:ascii="Times New Roman" w:hAnsi="Times New Roman"/>
          <w:b w:val="0"/>
          <w:bCs w:val="0"/>
          <w:color w:val="000000"/>
          <w:szCs w:val="20"/>
          <w:lang w:val="uk-UA"/>
        </w:rPr>
        <w:t xml:space="preserve">4.4. </w:t>
      </w:r>
      <w:r w:rsidRPr="00E16672">
        <w:rPr>
          <w:rFonts w:ascii="Times New Roman" w:hAnsi="Times New Roman"/>
          <w:b w:val="0"/>
          <w:bCs w:val="0"/>
          <w:color w:val="000000"/>
          <w:szCs w:val="20"/>
        </w:rPr>
        <w:t xml:space="preserve">Плата вноситься Депонентом у </w:t>
      </w:r>
      <w:proofErr w:type="spellStart"/>
      <w:r w:rsidRPr="00E16672">
        <w:rPr>
          <w:rFonts w:ascii="Times New Roman" w:hAnsi="Times New Roman"/>
          <w:b w:val="0"/>
          <w:bCs w:val="0"/>
          <w:color w:val="000000"/>
          <w:szCs w:val="20"/>
        </w:rPr>
        <w:t>безготівковій</w:t>
      </w:r>
      <w:proofErr w:type="spellEnd"/>
      <w:r w:rsidRPr="00E16672">
        <w:rPr>
          <w:rFonts w:ascii="Times New Roman" w:hAnsi="Times New Roman"/>
          <w:b w:val="0"/>
          <w:bCs w:val="0"/>
          <w:color w:val="000000"/>
          <w:szCs w:val="20"/>
        </w:rPr>
        <w:t xml:space="preserve"> </w:t>
      </w:r>
      <w:proofErr w:type="spellStart"/>
      <w:r w:rsidRPr="00E16672">
        <w:rPr>
          <w:rFonts w:ascii="Times New Roman" w:hAnsi="Times New Roman"/>
          <w:b w:val="0"/>
          <w:bCs w:val="0"/>
          <w:color w:val="000000"/>
          <w:szCs w:val="20"/>
        </w:rPr>
        <w:t>формі</w:t>
      </w:r>
      <w:proofErr w:type="spellEnd"/>
      <w:r w:rsidRPr="00E16672">
        <w:rPr>
          <w:rFonts w:ascii="Times New Roman" w:hAnsi="Times New Roman"/>
          <w:b w:val="0"/>
          <w:bCs w:val="0"/>
          <w:color w:val="000000"/>
          <w:szCs w:val="20"/>
        </w:rPr>
        <w:t xml:space="preserve"> шляхом </w:t>
      </w:r>
      <w:proofErr w:type="spellStart"/>
      <w:r w:rsidRPr="00E16672">
        <w:rPr>
          <w:rFonts w:ascii="Times New Roman" w:hAnsi="Times New Roman"/>
          <w:b w:val="0"/>
          <w:bCs w:val="0"/>
          <w:color w:val="000000"/>
          <w:szCs w:val="20"/>
        </w:rPr>
        <w:t>перерахування</w:t>
      </w:r>
      <w:proofErr w:type="spellEnd"/>
      <w:r w:rsidRPr="00E16672">
        <w:rPr>
          <w:rFonts w:ascii="Times New Roman" w:hAnsi="Times New Roman"/>
          <w:b w:val="0"/>
          <w:bCs w:val="0"/>
          <w:color w:val="000000"/>
          <w:szCs w:val="20"/>
        </w:rPr>
        <w:t xml:space="preserve"> </w:t>
      </w:r>
      <w:proofErr w:type="spellStart"/>
      <w:r w:rsidRPr="00E16672">
        <w:rPr>
          <w:rFonts w:ascii="Times New Roman" w:hAnsi="Times New Roman"/>
          <w:b w:val="0"/>
          <w:bCs w:val="0"/>
          <w:color w:val="000000"/>
          <w:szCs w:val="20"/>
        </w:rPr>
        <w:t>грошових</w:t>
      </w:r>
      <w:proofErr w:type="spellEnd"/>
      <w:r w:rsidRPr="00E16672">
        <w:rPr>
          <w:rFonts w:ascii="Times New Roman" w:hAnsi="Times New Roman"/>
          <w:b w:val="0"/>
          <w:bCs w:val="0"/>
          <w:color w:val="000000"/>
          <w:szCs w:val="20"/>
        </w:rPr>
        <w:t xml:space="preserve"> </w:t>
      </w:r>
      <w:proofErr w:type="spellStart"/>
      <w:r w:rsidRPr="00E16672">
        <w:rPr>
          <w:rFonts w:ascii="Times New Roman" w:hAnsi="Times New Roman"/>
          <w:b w:val="0"/>
          <w:bCs w:val="0"/>
          <w:color w:val="000000"/>
          <w:szCs w:val="20"/>
        </w:rPr>
        <w:t>коштів</w:t>
      </w:r>
      <w:proofErr w:type="spellEnd"/>
      <w:r w:rsidRPr="00E16672">
        <w:rPr>
          <w:rFonts w:ascii="Times New Roman" w:hAnsi="Times New Roman"/>
          <w:b w:val="0"/>
          <w:bCs w:val="0"/>
          <w:color w:val="000000"/>
          <w:szCs w:val="20"/>
        </w:rPr>
        <w:t xml:space="preserve"> на </w:t>
      </w:r>
      <w:proofErr w:type="spellStart"/>
      <w:r w:rsidRPr="00E16672">
        <w:rPr>
          <w:rFonts w:ascii="Times New Roman" w:hAnsi="Times New Roman"/>
          <w:b w:val="0"/>
          <w:bCs w:val="0"/>
          <w:color w:val="000000"/>
          <w:szCs w:val="20"/>
        </w:rPr>
        <w:t>рахунок</w:t>
      </w:r>
      <w:proofErr w:type="spellEnd"/>
      <w:r w:rsidRPr="00E16672">
        <w:rPr>
          <w:rFonts w:ascii="Times New Roman" w:hAnsi="Times New Roman"/>
          <w:b w:val="0"/>
          <w:bCs w:val="0"/>
          <w:color w:val="000000"/>
          <w:szCs w:val="20"/>
        </w:rPr>
        <w:t xml:space="preserve"> </w:t>
      </w:r>
      <w:proofErr w:type="spellStart"/>
      <w:r w:rsidRPr="00E16672">
        <w:rPr>
          <w:rFonts w:ascii="Times New Roman" w:hAnsi="Times New Roman"/>
          <w:b w:val="0"/>
          <w:bCs w:val="0"/>
          <w:color w:val="000000"/>
          <w:szCs w:val="20"/>
        </w:rPr>
        <w:t>Депозитарної</w:t>
      </w:r>
      <w:proofErr w:type="spellEnd"/>
      <w:r w:rsidRPr="00E16672">
        <w:rPr>
          <w:rFonts w:ascii="Times New Roman" w:hAnsi="Times New Roman"/>
          <w:b w:val="0"/>
          <w:bCs w:val="0"/>
          <w:color w:val="000000"/>
          <w:szCs w:val="20"/>
        </w:rPr>
        <w:t xml:space="preserve"> установи за </w:t>
      </w:r>
      <w:proofErr w:type="spellStart"/>
      <w:r w:rsidRPr="00E16672">
        <w:rPr>
          <w:rFonts w:ascii="Times New Roman" w:hAnsi="Times New Roman"/>
          <w:b w:val="0"/>
          <w:bCs w:val="0"/>
          <w:color w:val="000000"/>
          <w:szCs w:val="20"/>
        </w:rPr>
        <w:t>реквізитами</w:t>
      </w:r>
      <w:proofErr w:type="spellEnd"/>
      <w:r w:rsidRPr="00E16672">
        <w:rPr>
          <w:rFonts w:ascii="Times New Roman" w:hAnsi="Times New Roman"/>
          <w:b w:val="0"/>
          <w:bCs w:val="0"/>
          <w:color w:val="000000"/>
          <w:szCs w:val="20"/>
        </w:rPr>
        <w:t>,</w:t>
      </w:r>
      <w:r w:rsidRPr="00E16672">
        <w:rPr>
          <w:rFonts w:ascii="Times New Roman" w:hAnsi="Times New Roman"/>
          <w:b w:val="0"/>
          <w:bCs w:val="0"/>
          <w:szCs w:val="20"/>
        </w:rPr>
        <w:t xml:space="preserve"> </w:t>
      </w:r>
      <w:proofErr w:type="spellStart"/>
      <w:r w:rsidRPr="00E16672">
        <w:rPr>
          <w:rFonts w:ascii="Times New Roman" w:hAnsi="Times New Roman"/>
          <w:b w:val="0"/>
          <w:bCs w:val="0"/>
          <w:szCs w:val="20"/>
        </w:rPr>
        <w:t>вказаними</w:t>
      </w:r>
      <w:proofErr w:type="spellEnd"/>
      <w:r w:rsidRPr="00E16672">
        <w:rPr>
          <w:rFonts w:ascii="Times New Roman" w:hAnsi="Times New Roman"/>
          <w:b w:val="0"/>
          <w:bCs w:val="0"/>
          <w:szCs w:val="20"/>
        </w:rPr>
        <w:t xml:space="preserve"> Депозитарною </w:t>
      </w:r>
      <w:proofErr w:type="spellStart"/>
      <w:r w:rsidRPr="00E16672">
        <w:rPr>
          <w:rFonts w:ascii="Times New Roman" w:hAnsi="Times New Roman"/>
          <w:b w:val="0"/>
          <w:bCs w:val="0"/>
          <w:szCs w:val="20"/>
        </w:rPr>
        <w:t>установою</w:t>
      </w:r>
      <w:proofErr w:type="spellEnd"/>
      <w:r w:rsidRPr="00E16672">
        <w:rPr>
          <w:rFonts w:ascii="Times New Roman" w:hAnsi="Times New Roman"/>
          <w:b w:val="0"/>
          <w:bCs w:val="0"/>
          <w:szCs w:val="20"/>
        </w:rPr>
        <w:t xml:space="preserve">. </w:t>
      </w:r>
      <w:proofErr w:type="spellStart"/>
      <w:r w:rsidRPr="00E16672">
        <w:rPr>
          <w:rFonts w:ascii="Times New Roman" w:hAnsi="Times New Roman"/>
          <w:b w:val="0"/>
          <w:bCs w:val="0"/>
          <w:szCs w:val="20"/>
        </w:rPr>
        <w:t>Операція</w:t>
      </w:r>
      <w:proofErr w:type="spellEnd"/>
      <w:r w:rsidRPr="00E16672">
        <w:rPr>
          <w:rFonts w:ascii="Times New Roman" w:hAnsi="Times New Roman"/>
          <w:b w:val="0"/>
          <w:bCs w:val="0"/>
          <w:szCs w:val="20"/>
        </w:rPr>
        <w:t xml:space="preserve"> </w:t>
      </w:r>
      <w:proofErr w:type="spellStart"/>
      <w:r w:rsidRPr="00E16672">
        <w:rPr>
          <w:rFonts w:ascii="Times New Roman" w:hAnsi="Times New Roman"/>
          <w:b w:val="0"/>
          <w:bCs w:val="0"/>
          <w:szCs w:val="20"/>
        </w:rPr>
        <w:t>закриття</w:t>
      </w:r>
      <w:proofErr w:type="spellEnd"/>
      <w:r w:rsidRPr="00E16672">
        <w:rPr>
          <w:rFonts w:ascii="Times New Roman" w:hAnsi="Times New Roman"/>
          <w:b w:val="0"/>
          <w:bCs w:val="0"/>
          <w:szCs w:val="20"/>
        </w:rPr>
        <w:t xml:space="preserve"> </w:t>
      </w:r>
      <w:proofErr w:type="spellStart"/>
      <w:r w:rsidRPr="00E16672">
        <w:rPr>
          <w:rFonts w:ascii="Times New Roman" w:hAnsi="Times New Roman"/>
          <w:b w:val="0"/>
          <w:bCs w:val="0"/>
          <w:szCs w:val="20"/>
        </w:rPr>
        <w:t>рахунку</w:t>
      </w:r>
      <w:proofErr w:type="spellEnd"/>
      <w:r w:rsidRPr="00E16672">
        <w:rPr>
          <w:rFonts w:ascii="Times New Roman" w:hAnsi="Times New Roman"/>
          <w:b w:val="0"/>
          <w:bCs w:val="0"/>
          <w:szCs w:val="20"/>
        </w:rPr>
        <w:t xml:space="preserve"> </w:t>
      </w:r>
      <w:r w:rsidR="00C22309" w:rsidRPr="00E16672">
        <w:rPr>
          <w:rFonts w:ascii="Times New Roman" w:hAnsi="Times New Roman"/>
          <w:b w:val="0"/>
          <w:bCs w:val="0"/>
          <w:szCs w:val="20"/>
        </w:rPr>
        <w:t xml:space="preserve">в </w:t>
      </w:r>
      <w:proofErr w:type="spellStart"/>
      <w:r w:rsidR="00C22309" w:rsidRPr="00E16672">
        <w:rPr>
          <w:rFonts w:ascii="Times New Roman" w:hAnsi="Times New Roman"/>
          <w:b w:val="0"/>
          <w:bCs w:val="0"/>
          <w:szCs w:val="20"/>
        </w:rPr>
        <w:t>цін</w:t>
      </w:r>
      <w:r w:rsidRPr="00E16672">
        <w:rPr>
          <w:rFonts w:ascii="Times New Roman" w:hAnsi="Times New Roman"/>
          <w:b w:val="0"/>
          <w:bCs w:val="0"/>
          <w:szCs w:val="20"/>
        </w:rPr>
        <w:t>них</w:t>
      </w:r>
      <w:proofErr w:type="spellEnd"/>
      <w:r w:rsidRPr="00E16672">
        <w:rPr>
          <w:rFonts w:ascii="Times New Roman" w:hAnsi="Times New Roman"/>
          <w:b w:val="0"/>
          <w:bCs w:val="0"/>
          <w:szCs w:val="20"/>
        </w:rPr>
        <w:t xml:space="preserve"> </w:t>
      </w:r>
      <w:proofErr w:type="spellStart"/>
      <w:r w:rsidRPr="00E16672">
        <w:rPr>
          <w:rFonts w:ascii="Times New Roman" w:hAnsi="Times New Roman"/>
          <w:b w:val="0"/>
          <w:bCs w:val="0"/>
          <w:szCs w:val="20"/>
        </w:rPr>
        <w:t>паперах</w:t>
      </w:r>
      <w:proofErr w:type="spellEnd"/>
      <w:r w:rsidRPr="00E16672">
        <w:rPr>
          <w:rFonts w:ascii="Times New Roman" w:hAnsi="Times New Roman"/>
          <w:b w:val="0"/>
          <w:bCs w:val="0"/>
          <w:szCs w:val="20"/>
        </w:rPr>
        <w:t xml:space="preserve"> повинна бути оплачена до </w:t>
      </w:r>
      <w:proofErr w:type="spellStart"/>
      <w:r w:rsidRPr="00E16672">
        <w:rPr>
          <w:rFonts w:ascii="Times New Roman" w:hAnsi="Times New Roman"/>
          <w:b w:val="0"/>
          <w:bCs w:val="0"/>
          <w:szCs w:val="20"/>
        </w:rPr>
        <w:t>виконання</w:t>
      </w:r>
      <w:proofErr w:type="spellEnd"/>
      <w:r w:rsidRPr="00E16672">
        <w:rPr>
          <w:rFonts w:ascii="Times New Roman" w:hAnsi="Times New Roman"/>
          <w:b w:val="0"/>
          <w:bCs w:val="0"/>
          <w:szCs w:val="20"/>
        </w:rPr>
        <w:t xml:space="preserve"> </w:t>
      </w:r>
      <w:proofErr w:type="spellStart"/>
      <w:r w:rsidRPr="00E16672">
        <w:rPr>
          <w:rFonts w:ascii="Times New Roman" w:hAnsi="Times New Roman"/>
          <w:b w:val="0"/>
          <w:bCs w:val="0"/>
          <w:szCs w:val="20"/>
        </w:rPr>
        <w:t>цієї</w:t>
      </w:r>
      <w:proofErr w:type="spellEnd"/>
      <w:r w:rsidRPr="00E16672">
        <w:rPr>
          <w:rFonts w:ascii="Times New Roman" w:hAnsi="Times New Roman"/>
          <w:b w:val="0"/>
          <w:bCs w:val="0"/>
          <w:szCs w:val="20"/>
        </w:rPr>
        <w:t xml:space="preserve"> </w:t>
      </w:r>
      <w:proofErr w:type="spellStart"/>
      <w:r w:rsidRPr="00E16672">
        <w:rPr>
          <w:rFonts w:ascii="Times New Roman" w:hAnsi="Times New Roman"/>
          <w:b w:val="0"/>
          <w:bCs w:val="0"/>
          <w:szCs w:val="20"/>
        </w:rPr>
        <w:t>послуги</w:t>
      </w:r>
      <w:proofErr w:type="spellEnd"/>
      <w:r w:rsidRPr="00E16672">
        <w:rPr>
          <w:rFonts w:ascii="Times New Roman" w:hAnsi="Times New Roman"/>
          <w:b w:val="0"/>
          <w:bCs w:val="0"/>
          <w:szCs w:val="20"/>
        </w:rPr>
        <w:t xml:space="preserve">. </w:t>
      </w:r>
    </w:p>
    <w:p w14:paraId="3D12EF92" w14:textId="77777777" w:rsidR="000F154F" w:rsidRPr="00E16672" w:rsidRDefault="000F154F" w:rsidP="00781EF9">
      <w:pPr>
        <w:pStyle w:val="western"/>
        <w:spacing w:before="0" w:after="0"/>
        <w:jc w:val="both"/>
        <w:rPr>
          <w:rFonts w:ascii="Times New Roman" w:hAnsi="Times New Roman"/>
          <w:b w:val="0"/>
          <w:bCs w:val="0"/>
          <w:color w:val="000000"/>
          <w:szCs w:val="20"/>
        </w:rPr>
      </w:pPr>
      <w:r w:rsidRPr="00E16672">
        <w:rPr>
          <w:rFonts w:ascii="Times New Roman" w:hAnsi="Times New Roman"/>
          <w:b w:val="0"/>
          <w:bCs w:val="0"/>
          <w:color w:val="000000"/>
          <w:szCs w:val="20"/>
        </w:rPr>
        <w:t xml:space="preserve">4.5. У </w:t>
      </w:r>
      <w:proofErr w:type="spellStart"/>
      <w:r w:rsidRPr="00E16672">
        <w:rPr>
          <w:rFonts w:ascii="Times New Roman" w:hAnsi="Times New Roman"/>
          <w:b w:val="0"/>
          <w:bCs w:val="0"/>
          <w:color w:val="000000"/>
          <w:szCs w:val="20"/>
        </w:rPr>
        <w:t>разі</w:t>
      </w:r>
      <w:proofErr w:type="spellEnd"/>
      <w:r w:rsidRPr="00E16672">
        <w:rPr>
          <w:rFonts w:ascii="Times New Roman" w:hAnsi="Times New Roman"/>
          <w:b w:val="0"/>
          <w:bCs w:val="0"/>
          <w:color w:val="000000"/>
          <w:szCs w:val="20"/>
        </w:rPr>
        <w:t xml:space="preserve"> </w:t>
      </w:r>
      <w:proofErr w:type="spellStart"/>
      <w:r w:rsidRPr="00E16672">
        <w:rPr>
          <w:rFonts w:ascii="Times New Roman" w:hAnsi="Times New Roman"/>
          <w:b w:val="0"/>
          <w:bCs w:val="0"/>
          <w:color w:val="000000"/>
          <w:szCs w:val="20"/>
        </w:rPr>
        <w:t>припинення</w:t>
      </w:r>
      <w:proofErr w:type="spellEnd"/>
      <w:r w:rsidRPr="00E16672">
        <w:rPr>
          <w:rFonts w:ascii="Times New Roman" w:hAnsi="Times New Roman"/>
          <w:b w:val="0"/>
          <w:bCs w:val="0"/>
          <w:color w:val="000000"/>
          <w:szCs w:val="20"/>
        </w:rPr>
        <w:t xml:space="preserve"> </w:t>
      </w:r>
      <w:proofErr w:type="spellStart"/>
      <w:r w:rsidRPr="00E16672">
        <w:rPr>
          <w:rFonts w:ascii="Times New Roman" w:hAnsi="Times New Roman"/>
          <w:b w:val="0"/>
          <w:bCs w:val="0"/>
          <w:color w:val="000000"/>
          <w:szCs w:val="20"/>
        </w:rPr>
        <w:t>дії</w:t>
      </w:r>
      <w:proofErr w:type="spellEnd"/>
      <w:r w:rsidRPr="00E16672">
        <w:rPr>
          <w:rFonts w:ascii="Times New Roman" w:hAnsi="Times New Roman"/>
          <w:b w:val="0"/>
          <w:bCs w:val="0"/>
          <w:color w:val="000000"/>
          <w:szCs w:val="20"/>
        </w:rPr>
        <w:t xml:space="preserve"> Договору Депонент </w:t>
      </w:r>
      <w:proofErr w:type="spellStart"/>
      <w:r w:rsidRPr="00E16672">
        <w:rPr>
          <w:rFonts w:ascii="Times New Roman" w:hAnsi="Times New Roman"/>
          <w:b w:val="0"/>
          <w:bCs w:val="0"/>
          <w:color w:val="000000"/>
          <w:szCs w:val="20"/>
        </w:rPr>
        <w:t>зобов’язаний</w:t>
      </w:r>
      <w:proofErr w:type="spellEnd"/>
      <w:r w:rsidRPr="00E16672">
        <w:rPr>
          <w:rFonts w:ascii="Times New Roman" w:hAnsi="Times New Roman"/>
          <w:b w:val="0"/>
          <w:bCs w:val="0"/>
          <w:color w:val="000000"/>
          <w:szCs w:val="20"/>
        </w:rPr>
        <w:t xml:space="preserve"> </w:t>
      </w:r>
      <w:proofErr w:type="spellStart"/>
      <w:r w:rsidRPr="00E16672">
        <w:rPr>
          <w:rFonts w:ascii="Times New Roman" w:hAnsi="Times New Roman"/>
          <w:b w:val="0"/>
          <w:bCs w:val="0"/>
          <w:color w:val="000000"/>
          <w:szCs w:val="20"/>
        </w:rPr>
        <w:t>сплатити</w:t>
      </w:r>
      <w:proofErr w:type="spellEnd"/>
      <w:r w:rsidRPr="00E16672">
        <w:rPr>
          <w:rFonts w:ascii="Times New Roman" w:hAnsi="Times New Roman"/>
          <w:b w:val="0"/>
          <w:bCs w:val="0"/>
          <w:color w:val="000000"/>
          <w:szCs w:val="20"/>
        </w:rPr>
        <w:t xml:space="preserve"> </w:t>
      </w:r>
      <w:proofErr w:type="spellStart"/>
      <w:r w:rsidRPr="00E16672">
        <w:rPr>
          <w:rFonts w:ascii="Times New Roman" w:hAnsi="Times New Roman"/>
          <w:b w:val="0"/>
          <w:bCs w:val="0"/>
          <w:color w:val="000000"/>
          <w:szCs w:val="20"/>
        </w:rPr>
        <w:t>фактично</w:t>
      </w:r>
      <w:proofErr w:type="spellEnd"/>
      <w:r w:rsidRPr="00E16672">
        <w:rPr>
          <w:rFonts w:ascii="Times New Roman" w:hAnsi="Times New Roman"/>
          <w:b w:val="0"/>
          <w:bCs w:val="0"/>
          <w:color w:val="000000"/>
          <w:szCs w:val="20"/>
        </w:rPr>
        <w:t xml:space="preserve"> </w:t>
      </w:r>
      <w:proofErr w:type="spellStart"/>
      <w:r w:rsidRPr="00E16672">
        <w:rPr>
          <w:rFonts w:ascii="Times New Roman" w:hAnsi="Times New Roman"/>
          <w:b w:val="0"/>
          <w:bCs w:val="0"/>
          <w:color w:val="000000"/>
          <w:szCs w:val="20"/>
        </w:rPr>
        <w:t>надані</w:t>
      </w:r>
      <w:proofErr w:type="spellEnd"/>
      <w:r w:rsidRPr="00E16672">
        <w:rPr>
          <w:rFonts w:ascii="Times New Roman" w:hAnsi="Times New Roman"/>
          <w:b w:val="0"/>
          <w:bCs w:val="0"/>
          <w:color w:val="000000"/>
          <w:szCs w:val="20"/>
        </w:rPr>
        <w:t xml:space="preserve"> Депозитарною </w:t>
      </w:r>
      <w:proofErr w:type="spellStart"/>
      <w:r w:rsidRPr="00E16672">
        <w:rPr>
          <w:rFonts w:ascii="Times New Roman" w:hAnsi="Times New Roman"/>
          <w:b w:val="0"/>
          <w:bCs w:val="0"/>
          <w:color w:val="000000"/>
          <w:szCs w:val="20"/>
        </w:rPr>
        <w:t>установою</w:t>
      </w:r>
      <w:proofErr w:type="spellEnd"/>
      <w:r w:rsidRPr="00E16672">
        <w:rPr>
          <w:rFonts w:ascii="Times New Roman" w:hAnsi="Times New Roman"/>
          <w:b w:val="0"/>
          <w:bCs w:val="0"/>
          <w:color w:val="000000"/>
          <w:szCs w:val="20"/>
        </w:rPr>
        <w:t xml:space="preserve"> </w:t>
      </w:r>
      <w:proofErr w:type="spellStart"/>
      <w:r w:rsidRPr="00E16672">
        <w:rPr>
          <w:rFonts w:ascii="Times New Roman" w:hAnsi="Times New Roman"/>
          <w:b w:val="0"/>
          <w:bCs w:val="0"/>
          <w:color w:val="000000"/>
          <w:szCs w:val="20"/>
        </w:rPr>
        <w:t>послуги</w:t>
      </w:r>
      <w:proofErr w:type="spellEnd"/>
      <w:r w:rsidRPr="00E16672">
        <w:rPr>
          <w:rFonts w:ascii="Times New Roman" w:hAnsi="Times New Roman"/>
          <w:b w:val="0"/>
          <w:bCs w:val="0"/>
          <w:color w:val="000000"/>
          <w:szCs w:val="20"/>
        </w:rPr>
        <w:t xml:space="preserve"> </w:t>
      </w:r>
      <w:proofErr w:type="gramStart"/>
      <w:r w:rsidRPr="00E16672">
        <w:rPr>
          <w:rFonts w:ascii="Times New Roman" w:hAnsi="Times New Roman"/>
          <w:b w:val="0"/>
          <w:bCs w:val="0"/>
          <w:color w:val="000000"/>
          <w:szCs w:val="20"/>
        </w:rPr>
        <w:t>до моменту</w:t>
      </w:r>
      <w:proofErr w:type="gramEnd"/>
      <w:r w:rsidRPr="00E16672">
        <w:rPr>
          <w:rFonts w:ascii="Times New Roman" w:hAnsi="Times New Roman"/>
          <w:b w:val="0"/>
          <w:bCs w:val="0"/>
          <w:color w:val="000000"/>
          <w:szCs w:val="20"/>
        </w:rPr>
        <w:t xml:space="preserve"> </w:t>
      </w:r>
      <w:proofErr w:type="spellStart"/>
      <w:r w:rsidRPr="00E16672">
        <w:rPr>
          <w:rFonts w:ascii="Times New Roman" w:hAnsi="Times New Roman"/>
          <w:b w:val="0"/>
          <w:bCs w:val="0"/>
          <w:color w:val="000000"/>
          <w:szCs w:val="20"/>
        </w:rPr>
        <w:t>припинення</w:t>
      </w:r>
      <w:proofErr w:type="spellEnd"/>
      <w:r w:rsidRPr="00E16672">
        <w:rPr>
          <w:rFonts w:ascii="Times New Roman" w:hAnsi="Times New Roman"/>
          <w:b w:val="0"/>
          <w:bCs w:val="0"/>
          <w:color w:val="000000"/>
          <w:szCs w:val="20"/>
        </w:rPr>
        <w:t xml:space="preserve"> </w:t>
      </w:r>
      <w:proofErr w:type="spellStart"/>
      <w:r w:rsidRPr="00E16672">
        <w:rPr>
          <w:rFonts w:ascii="Times New Roman" w:hAnsi="Times New Roman"/>
          <w:b w:val="0"/>
          <w:bCs w:val="0"/>
          <w:color w:val="000000"/>
          <w:szCs w:val="20"/>
        </w:rPr>
        <w:t>дії</w:t>
      </w:r>
      <w:proofErr w:type="spellEnd"/>
      <w:r w:rsidRPr="00E16672">
        <w:rPr>
          <w:rFonts w:ascii="Times New Roman" w:hAnsi="Times New Roman"/>
          <w:b w:val="0"/>
          <w:bCs w:val="0"/>
          <w:color w:val="000000"/>
          <w:szCs w:val="20"/>
        </w:rPr>
        <w:t xml:space="preserve"> Договору.</w:t>
      </w:r>
    </w:p>
    <w:p w14:paraId="1A7D77DA" w14:textId="77777777" w:rsidR="000F154F" w:rsidRPr="00E16672" w:rsidRDefault="000F154F" w:rsidP="00781EF9">
      <w:pPr>
        <w:rPr>
          <w:rFonts w:ascii="Times New Roman" w:hAnsi="Times New Roman"/>
          <w:color w:val="000000"/>
          <w:szCs w:val="20"/>
        </w:rPr>
      </w:pPr>
      <w:r w:rsidRPr="00E16672">
        <w:rPr>
          <w:rFonts w:ascii="Times New Roman" w:hAnsi="Times New Roman"/>
          <w:color w:val="000000"/>
          <w:szCs w:val="20"/>
        </w:rPr>
        <w:t xml:space="preserve">4.6. Оплата за </w:t>
      </w:r>
      <w:proofErr w:type="spellStart"/>
      <w:r w:rsidRPr="00E16672">
        <w:rPr>
          <w:rFonts w:ascii="Times New Roman" w:hAnsi="Times New Roman"/>
          <w:color w:val="000000"/>
          <w:szCs w:val="20"/>
        </w:rPr>
        <w:t>послуги</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надані</w:t>
      </w:r>
      <w:proofErr w:type="spellEnd"/>
      <w:r w:rsidRPr="00E16672">
        <w:rPr>
          <w:rFonts w:ascii="Times New Roman" w:hAnsi="Times New Roman"/>
          <w:color w:val="000000"/>
          <w:szCs w:val="20"/>
        </w:rPr>
        <w:t xml:space="preserve"> </w:t>
      </w:r>
      <w:r w:rsidR="004254B5" w:rsidRPr="00E16672">
        <w:rPr>
          <w:rFonts w:ascii="Times New Roman" w:hAnsi="Times New Roman"/>
          <w:color w:val="000000"/>
          <w:szCs w:val="20"/>
          <w:lang w:val="uk-UA"/>
        </w:rPr>
        <w:t>Депоненту</w:t>
      </w:r>
      <w:r w:rsidRPr="00E16672">
        <w:rPr>
          <w:rFonts w:ascii="Times New Roman" w:hAnsi="Times New Roman"/>
          <w:color w:val="000000"/>
          <w:szCs w:val="20"/>
        </w:rPr>
        <w:t xml:space="preserve"> Депозитарною </w:t>
      </w:r>
      <w:proofErr w:type="spellStart"/>
      <w:r w:rsidRPr="00E16672">
        <w:rPr>
          <w:rFonts w:ascii="Times New Roman" w:hAnsi="Times New Roman"/>
          <w:color w:val="000000"/>
          <w:szCs w:val="20"/>
        </w:rPr>
        <w:t>установою</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може</w:t>
      </w:r>
      <w:proofErr w:type="spellEnd"/>
      <w:r w:rsidRPr="00E16672">
        <w:rPr>
          <w:rFonts w:ascii="Times New Roman" w:hAnsi="Times New Roman"/>
          <w:color w:val="000000"/>
          <w:szCs w:val="20"/>
        </w:rPr>
        <w:t xml:space="preserve"> бути </w:t>
      </w:r>
      <w:proofErr w:type="spellStart"/>
      <w:r w:rsidRPr="00E16672">
        <w:rPr>
          <w:rFonts w:ascii="Times New Roman" w:hAnsi="Times New Roman"/>
          <w:color w:val="000000"/>
          <w:szCs w:val="20"/>
        </w:rPr>
        <w:t>здійснена</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третіми</w:t>
      </w:r>
      <w:proofErr w:type="spellEnd"/>
      <w:r w:rsidRPr="00E16672">
        <w:rPr>
          <w:rFonts w:ascii="Times New Roman" w:hAnsi="Times New Roman"/>
          <w:color w:val="000000"/>
          <w:szCs w:val="20"/>
        </w:rPr>
        <w:t xml:space="preserve"> особами. Оплата </w:t>
      </w:r>
      <w:proofErr w:type="spellStart"/>
      <w:r w:rsidRPr="00E16672">
        <w:rPr>
          <w:rFonts w:ascii="Times New Roman" w:hAnsi="Times New Roman"/>
          <w:color w:val="000000"/>
          <w:szCs w:val="20"/>
        </w:rPr>
        <w:t>здійснюється</w:t>
      </w:r>
      <w:proofErr w:type="spellEnd"/>
      <w:r w:rsidRPr="00E16672">
        <w:rPr>
          <w:rFonts w:ascii="Times New Roman" w:hAnsi="Times New Roman"/>
          <w:color w:val="000000"/>
          <w:szCs w:val="20"/>
        </w:rPr>
        <w:t xml:space="preserve"> на </w:t>
      </w:r>
      <w:proofErr w:type="spellStart"/>
      <w:r w:rsidRPr="00E16672">
        <w:rPr>
          <w:rFonts w:ascii="Times New Roman" w:hAnsi="Times New Roman"/>
          <w:color w:val="000000"/>
          <w:szCs w:val="20"/>
        </w:rPr>
        <w:t>підставі</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рахунків</w:t>
      </w:r>
      <w:proofErr w:type="spellEnd"/>
      <w:r w:rsidRPr="00E16672">
        <w:rPr>
          <w:rFonts w:ascii="Times New Roman" w:hAnsi="Times New Roman"/>
          <w:color w:val="000000"/>
          <w:szCs w:val="20"/>
        </w:rPr>
        <w:t>/</w:t>
      </w:r>
      <w:proofErr w:type="spellStart"/>
      <w:r w:rsidRPr="00E16672">
        <w:rPr>
          <w:rFonts w:ascii="Times New Roman" w:hAnsi="Times New Roman"/>
          <w:color w:val="000000"/>
          <w:szCs w:val="20"/>
        </w:rPr>
        <w:t>актів</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виконаних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робіт</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виставлених</w:t>
      </w:r>
      <w:proofErr w:type="spellEnd"/>
      <w:r w:rsidRPr="00E16672">
        <w:rPr>
          <w:rFonts w:ascii="Times New Roman" w:hAnsi="Times New Roman"/>
          <w:color w:val="000000"/>
          <w:szCs w:val="20"/>
        </w:rPr>
        <w:t xml:space="preserve"> </w:t>
      </w:r>
      <w:r w:rsidRPr="00E16672">
        <w:rPr>
          <w:rFonts w:ascii="Times New Roman" w:hAnsi="Times New Roman"/>
          <w:color w:val="000000"/>
          <w:szCs w:val="20"/>
          <w:lang w:val="uk-UA"/>
        </w:rPr>
        <w:t>Д</w:t>
      </w:r>
      <w:proofErr w:type="spellStart"/>
      <w:r w:rsidRPr="00E16672">
        <w:rPr>
          <w:rFonts w:ascii="Times New Roman" w:hAnsi="Times New Roman"/>
          <w:color w:val="000000"/>
          <w:szCs w:val="20"/>
        </w:rPr>
        <w:t>епоненту</w:t>
      </w:r>
      <w:proofErr w:type="spellEnd"/>
      <w:r w:rsidRPr="00E16672">
        <w:rPr>
          <w:rFonts w:ascii="Times New Roman" w:hAnsi="Times New Roman"/>
          <w:color w:val="000000"/>
          <w:szCs w:val="20"/>
        </w:rPr>
        <w:t xml:space="preserve"> Депозитарною </w:t>
      </w:r>
      <w:proofErr w:type="spellStart"/>
      <w:r w:rsidRPr="00E16672">
        <w:rPr>
          <w:rFonts w:ascii="Times New Roman" w:hAnsi="Times New Roman"/>
          <w:color w:val="000000"/>
          <w:szCs w:val="20"/>
        </w:rPr>
        <w:t>установою</w:t>
      </w:r>
      <w:proofErr w:type="spellEnd"/>
      <w:r w:rsidRPr="00E16672">
        <w:rPr>
          <w:rFonts w:ascii="Times New Roman" w:hAnsi="Times New Roman"/>
          <w:color w:val="000000"/>
          <w:szCs w:val="20"/>
        </w:rPr>
        <w:t xml:space="preserve">. У </w:t>
      </w:r>
      <w:proofErr w:type="spellStart"/>
      <w:r w:rsidRPr="00E16672">
        <w:rPr>
          <w:rFonts w:ascii="Times New Roman" w:hAnsi="Times New Roman"/>
          <w:color w:val="000000"/>
          <w:szCs w:val="20"/>
        </w:rPr>
        <w:t>платіжному</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дорученні</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третьої</w:t>
      </w:r>
      <w:proofErr w:type="spellEnd"/>
      <w:r w:rsidRPr="00E16672">
        <w:rPr>
          <w:rFonts w:ascii="Times New Roman" w:hAnsi="Times New Roman"/>
          <w:color w:val="000000"/>
          <w:szCs w:val="20"/>
        </w:rPr>
        <w:t xml:space="preserve"> особи, яка </w:t>
      </w:r>
      <w:proofErr w:type="spellStart"/>
      <w:r w:rsidRPr="00E16672">
        <w:rPr>
          <w:rFonts w:ascii="Times New Roman" w:hAnsi="Times New Roman"/>
          <w:color w:val="000000"/>
          <w:szCs w:val="20"/>
        </w:rPr>
        <w:t>здійснює</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платіж</w:t>
      </w:r>
      <w:proofErr w:type="spellEnd"/>
      <w:r w:rsidRPr="00E16672">
        <w:rPr>
          <w:rFonts w:ascii="Times New Roman" w:hAnsi="Times New Roman"/>
          <w:color w:val="000000"/>
          <w:szCs w:val="20"/>
        </w:rPr>
        <w:t xml:space="preserve"> на </w:t>
      </w:r>
      <w:proofErr w:type="spellStart"/>
      <w:r w:rsidRPr="00E16672">
        <w:rPr>
          <w:rFonts w:ascii="Times New Roman" w:hAnsi="Times New Roman"/>
          <w:color w:val="000000"/>
          <w:szCs w:val="20"/>
        </w:rPr>
        <w:t>користь</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Депозитарної</w:t>
      </w:r>
      <w:proofErr w:type="spellEnd"/>
      <w:r w:rsidRPr="00E16672">
        <w:rPr>
          <w:rFonts w:ascii="Times New Roman" w:hAnsi="Times New Roman"/>
          <w:color w:val="000000"/>
          <w:szCs w:val="20"/>
        </w:rPr>
        <w:t xml:space="preserve"> установи, </w:t>
      </w:r>
      <w:proofErr w:type="spellStart"/>
      <w:r w:rsidRPr="00E16672">
        <w:rPr>
          <w:rFonts w:ascii="Times New Roman" w:hAnsi="Times New Roman"/>
          <w:color w:val="000000"/>
          <w:szCs w:val="20"/>
        </w:rPr>
        <w:t>має</w:t>
      </w:r>
      <w:proofErr w:type="spellEnd"/>
      <w:r w:rsidRPr="00E16672">
        <w:rPr>
          <w:rFonts w:ascii="Times New Roman" w:hAnsi="Times New Roman"/>
          <w:color w:val="000000"/>
          <w:szCs w:val="20"/>
        </w:rPr>
        <w:t xml:space="preserve"> бути </w:t>
      </w:r>
      <w:proofErr w:type="spellStart"/>
      <w:r w:rsidRPr="00E16672">
        <w:rPr>
          <w:rFonts w:ascii="Times New Roman" w:hAnsi="Times New Roman"/>
          <w:color w:val="000000"/>
          <w:szCs w:val="20"/>
        </w:rPr>
        <w:t>зазначено</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що</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призначенням</w:t>
      </w:r>
      <w:proofErr w:type="spellEnd"/>
      <w:r w:rsidRPr="00E16672">
        <w:rPr>
          <w:rFonts w:ascii="Times New Roman" w:hAnsi="Times New Roman"/>
          <w:color w:val="000000"/>
          <w:szCs w:val="20"/>
        </w:rPr>
        <w:t xml:space="preserve"> платежу є </w:t>
      </w:r>
      <w:proofErr w:type="spellStart"/>
      <w:r w:rsidRPr="00E16672">
        <w:rPr>
          <w:rFonts w:ascii="Times New Roman" w:hAnsi="Times New Roman"/>
          <w:color w:val="000000"/>
          <w:szCs w:val="20"/>
        </w:rPr>
        <w:t>сплата</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коштів</w:t>
      </w:r>
      <w:proofErr w:type="spellEnd"/>
      <w:r w:rsidRPr="00E16672">
        <w:rPr>
          <w:rFonts w:ascii="Times New Roman" w:hAnsi="Times New Roman"/>
          <w:color w:val="000000"/>
          <w:szCs w:val="20"/>
        </w:rPr>
        <w:t xml:space="preserve"> за </w:t>
      </w:r>
      <w:proofErr w:type="spellStart"/>
      <w:r w:rsidR="00EF70DB" w:rsidRPr="00E16672">
        <w:rPr>
          <w:rFonts w:ascii="Times New Roman" w:hAnsi="Times New Roman"/>
          <w:color w:val="000000"/>
          <w:szCs w:val="20"/>
        </w:rPr>
        <w:t>послуги</w:t>
      </w:r>
      <w:proofErr w:type="spellEnd"/>
      <w:r w:rsidR="00EF70DB" w:rsidRPr="00E16672">
        <w:rPr>
          <w:rFonts w:ascii="Times New Roman" w:hAnsi="Times New Roman"/>
          <w:color w:val="000000"/>
          <w:szCs w:val="20"/>
        </w:rPr>
        <w:t xml:space="preserve">, </w:t>
      </w:r>
      <w:proofErr w:type="spellStart"/>
      <w:r w:rsidR="00EF70DB" w:rsidRPr="00E16672">
        <w:rPr>
          <w:rFonts w:ascii="Times New Roman" w:hAnsi="Times New Roman"/>
          <w:color w:val="000000"/>
          <w:szCs w:val="20"/>
        </w:rPr>
        <w:t>отримані</w:t>
      </w:r>
      <w:proofErr w:type="spellEnd"/>
      <w:r w:rsidR="00EF70DB" w:rsidRPr="00E16672">
        <w:rPr>
          <w:rFonts w:ascii="Times New Roman" w:hAnsi="Times New Roman"/>
          <w:color w:val="000000"/>
          <w:szCs w:val="20"/>
        </w:rPr>
        <w:t xml:space="preserve"> </w:t>
      </w:r>
      <w:r w:rsidR="004254B5" w:rsidRPr="00E16672">
        <w:rPr>
          <w:rFonts w:ascii="Times New Roman" w:hAnsi="Times New Roman"/>
          <w:color w:val="000000"/>
          <w:szCs w:val="20"/>
          <w:lang w:val="uk-UA"/>
        </w:rPr>
        <w:t>Д</w:t>
      </w:r>
      <w:proofErr w:type="spellStart"/>
      <w:r w:rsidRPr="00E16672">
        <w:rPr>
          <w:rFonts w:ascii="Times New Roman" w:hAnsi="Times New Roman"/>
          <w:color w:val="000000"/>
          <w:szCs w:val="20"/>
        </w:rPr>
        <w:t>епонент</w:t>
      </w:r>
      <w:r w:rsidR="00EF70DB" w:rsidRPr="00E16672">
        <w:rPr>
          <w:rFonts w:ascii="Times New Roman" w:hAnsi="Times New Roman"/>
          <w:color w:val="000000"/>
          <w:szCs w:val="20"/>
          <w:lang w:val="uk-UA"/>
        </w:rPr>
        <w:t>ом</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Депозитарної</w:t>
      </w:r>
      <w:proofErr w:type="spellEnd"/>
      <w:r w:rsidRPr="00E16672">
        <w:rPr>
          <w:rFonts w:ascii="Times New Roman" w:hAnsi="Times New Roman"/>
          <w:color w:val="000000"/>
          <w:szCs w:val="20"/>
        </w:rPr>
        <w:t xml:space="preserve"> установи, а </w:t>
      </w:r>
      <w:proofErr w:type="spellStart"/>
      <w:r w:rsidRPr="00E16672">
        <w:rPr>
          <w:rFonts w:ascii="Times New Roman" w:hAnsi="Times New Roman"/>
          <w:color w:val="000000"/>
          <w:szCs w:val="20"/>
        </w:rPr>
        <w:t>також</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реквізити</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відповідних</w:t>
      </w:r>
      <w:proofErr w:type="spellEnd"/>
      <w:r w:rsidRPr="00E16672">
        <w:rPr>
          <w:rFonts w:ascii="Times New Roman" w:hAnsi="Times New Roman"/>
          <w:color w:val="000000"/>
          <w:szCs w:val="20"/>
        </w:rPr>
        <w:t xml:space="preserve"> договору з </w:t>
      </w:r>
      <w:r w:rsidR="004254B5" w:rsidRPr="00E16672">
        <w:rPr>
          <w:rFonts w:ascii="Times New Roman" w:hAnsi="Times New Roman"/>
          <w:color w:val="000000"/>
          <w:szCs w:val="20"/>
          <w:lang w:val="uk-UA"/>
        </w:rPr>
        <w:t>Д</w:t>
      </w:r>
      <w:proofErr w:type="spellStart"/>
      <w:r w:rsidRPr="00E16672">
        <w:rPr>
          <w:rFonts w:ascii="Times New Roman" w:hAnsi="Times New Roman"/>
          <w:color w:val="000000"/>
          <w:szCs w:val="20"/>
        </w:rPr>
        <w:t>епонентом</w:t>
      </w:r>
      <w:proofErr w:type="spellEnd"/>
      <w:r w:rsidRPr="00E16672">
        <w:rPr>
          <w:rFonts w:ascii="Times New Roman" w:hAnsi="Times New Roman"/>
          <w:color w:val="000000"/>
          <w:szCs w:val="20"/>
        </w:rPr>
        <w:t xml:space="preserve"> та </w:t>
      </w:r>
      <w:proofErr w:type="spellStart"/>
      <w:r w:rsidRPr="00E16672">
        <w:rPr>
          <w:rFonts w:ascii="Times New Roman" w:hAnsi="Times New Roman"/>
          <w:color w:val="000000"/>
          <w:szCs w:val="20"/>
        </w:rPr>
        <w:t>рахунку</w:t>
      </w:r>
      <w:proofErr w:type="spellEnd"/>
      <w:r w:rsidRPr="00E16672">
        <w:rPr>
          <w:rFonts w:ascii="Times New Roman" w:hAnsi="Times New Roman"/>
          <w:color w:val="000000"/>
          <w:szCs w:val="20"/>
        </w:rPr>
        <w:t xml:space="preserve">/акту </w:t>
      </w:r>
      <w:proofErr w:type="spellStart"/>
      <w:r w:rsidRPr="00E16672">
        <w:rPr>
          <w:rFonts w:ascii="Times New Roman" w:hAnsi="Times New Roman"/>
          <w:color w:val="000000"/>
          <w:szCs w:val="20"/>
        </w:rPr>
        <w:t>виконаних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робіт</w:t>
      </w:r>
      <w:proofErr w:type="spellEnd"/>
      <w:r w:rsidRPr="00E16672">
        <w:rPr>
          <w:rFonts w:ascii="Times New Roman" w:hAnsi="Times New Roman"/>
          <w:color w:val="000000"/>
          <w:szCs w:val="20"/>
        </w:rPr>
        <w:t>.</w:t>
      </w:r>
    </w:p>
    <w:p w14:paraId="5A6BA86E" w14:textId="77777777" w:rsidR="0027781A" w:rsidRPr="00E16672" w:rsidRDefault="000F154F" w:rsidP="0027781A">
      <w:pPr>
        <w:pStyle w:val="2"/>
        <w:spacing w:before="0" w:after="0"/>
        <w:jc w:val="left"/>
        <w:rPr>
          <w:rFonts w:ascii="Times New Roman" w:hAnsi="Times New Roman" w:cs="Times New Roman"/>
          <w:b w:val="0"/>
          <w:lang w:val="uk-UA"/>
        </w:rPr>
      </w:pPr>
      <w:r w:rsidRPr="00E16672">
        <w:rPr>
          <w:rFonts w:ascii="Times New Roman" w:hAnsi="Times New Roman" w:cs="Times New Roman"/>
          <w:b w:val="0"/>
          <w:lang w:val="uk-UA"/>
        </w:rPr>
        <w:t>4.7. Надання депозитарних послуг Депоненту може бути призупинено Депозитарною установою у разі відсутності належної оплати послуг Депозитарної установи з боку Депонента до повного погашення заборгованості.</w:t>
      </w:r>
    </w:p>
    <w:p w14:paraId="6F2973AD" w14:textId="77777777" w:rsidR="0027781A" w:rsidRPr="00E16672" w:rsidRDefault="0027781A" w:rsidP="0027781A">
      <w:pPr>
        <w:pStyle w:val="2"/>
        <w:spacing w:before="0" w:after="0"/>
        <w:rPr>
          <w:rFonts w:ascii="Times New Roman" w:hAnsi="Times New Roman" w:cs="Times New Roman"/>
          <w:b w:val="0"/>
          <w:lang w:val="uk-UA"/>
        </w:rPr>
      </w:pPr>
    </w:p>
    <w:p w14:paraId="2447AD62" w14:textId="77777777" w:rsidR="00502AEC" w:rsidRPr="00E16672" w:rsidRDefault="00502AEC" w:rsidP="0027781A">
      <w:pPr>
        <w:pStyle w:val="2"/>
        <w:spacing w:before="0" w:after="0"/>
        <w:rPr>
          <w:rFonts w:ascii="Times New Roman" w:hAnsi="Times New Roman" w:cs="Times New Roman"/>
          <w:lang w:val="uk-UA"/>
        </w:rPr>
      </w:pPr>
      <w:r w:rsidRPr="00E16672">
        <w:rPr>
          <w:rFonts w:ascii="Times New Roman" w:hAnsi="Times New Roman" w:cs="Times New Roman"/>
          <w:lang w:val="uk-UA"/>
        </w:rPr>
        <w:t xml:space="preserve">5. Відповідальність </w:t>
      </w:r>
      <w:proofErr w:type="spellStart"/>
      <w:r w:rsidRPr="00E16672">
        <w:rPr>
          <w:rFonts w:ascii="Times New Roman" w:hAnsi="Times New Roman" w:cs="Times New Roman"/>
          <w:lang w:val="uk-UA"/>
        </w:rPr>
        <w:t>торін</w:t>
      </w:r>
      <w:proofErr w:type="spellEnd"/>
      <w:r w:rsidRPr="00E16672">
        <w:rPr>
          <w:rFonts w:ascii="Times New Roman" w:hAnsi="Times New Roman" w:cs="Times New Roman"/>
          <w:lang w:val="uk-UA"/>
        </w:rPr>
        <w:t>.</w:t>
      </w:r>
    </w:p>
    <w:p w14:paraId="6CD3540D" w14:textId="77777777" w:rsidR="00502AEC" w:rsidRPr="00E16672" w:rsidRDefault="00502AEC" w:rsidP="0027781A">
      <w:pPr>
        <w:pStyle w:val="2"/>
        <w:spacing w:before="0" w:after="0"/>
        <w:rPr>
          <w:rFonts w:ascii="Times New Roman" w:hAnsi="Times New Roman" w:cs="Times New Roman"/>
          <w:lang w:val="uk-UA"/>
        </w:rPr>
      </w:pPr>
      <w:r w:rsidRPr="00E16672">
        <w:rPr>
          <w:rFonts w:ascii="Times New Roman" w:hAnsi="Times New Roman" w:cs="Times New Roman"/>
          <w:lang w:val="uk-UA"/>
        </w:rPr>
        <w:t xml:space="preserve">Порядок розгляду спорів, що можуть виникнути між </w:t>
      </w:r>
      <w:r w:rsidR="00102BAB" w:rsidRPr="00E16672">
        <w:rPr>
          <w:rFonts w:ascii="Times New Roman" w:hAnsi="Times New Roman" w:cs="Times New Roman"/>
          <w:lang w:val="uk-UA"/>
        </w:rPr>
        <w:t xml:space="preserve">Сторонами </w:t>
      </w:r>
      <w:r w:rsidRPr="00E16672">
        <w:rPr>
          <w:rFonts w:ascii="Times New Roman" w:hAnsi="Times New Roman" w:cs="Times New Roman"/>
          <w:lang w:val="uk-UA"/>
        </w:rPr>
        <w:t>в процесі виконання, зміни чи розірвання Договору.</w:t>
      </w:r>
    </w:p>
    <w:p w14:paraId="024C738F" w14:textId="77777777" w:rsidR="00502AEC" w:rsidRPr="00E16672" w:rsidRDefault="00502AEC">
      <w:pPr>
        <w:ind w:firstLine="570"/>
        <w:rPr>
          <w:rFonts w:ascii="Times New Roman" w:hAnsi="Times New Roman"/>
          <w:szCs w:val="20"/>
          <w:lang w:val="uk-UA"/>
        </w:rPr>
      </w:pPr>
      <w:r w:rsidRPr="00E16672">
        <w:rPr>
          <w:rFonts w:ascii="Times New Roman" w:hAnsi="Times New Roman"/>
          <w:szCs w:val="20"/>
          <w:lang w:val="uk-UA"/>
        </w:rPr>
        <w:t>5.1. Кожна сторона зобов’язується виконувати свої обов’язки належним чином та сприяти іншій стороні у виконанні.</w:t>
      </w:r>
    </w:p>
    <w:p w14:paraId="49F9D9BD" w14:textId="77777777" w:rsidR="00502AEC" w:rsidRPr="00E16672" w:rsidRDefault="00502AEC">
      <w:pPr>
        <w:ind w:firstLine="570"/>
        <w:rPr>
          <w:rFonts w:ascii="Times New Roman" w:hAnsi="Times New Roman"/>
          <w:szCs w:val="20"/>
          <w:lang w:val="uk-UA"/>
        </w:rPr>
      </w:pPr>
      <w:r w:rsidRPr="00E16672">
        <w:rPr>
          <w:rFonts w:ascii="Times New Roman" w:hAnsi="Times New Roman"/>
          <w:szCs w:val="20"/>
          <w:lang w:val="uk-UA"/>
        </w:rPr>
        <w:t>5.2. Обмін розпорядженнями, повідомленнями, інформацією, що надається у зв’язку з виконанням Сторонами Договору</w:t>
      </w:r>
      <w:r w:rsidR="00E07EC8" w:rsidRPr="00E16672">
        <w:rPr>
          <w:rFonts w:ascii="Times New Roman" w:hAnsi="Times New Roman"/>
          <w:szCs w:val="20"/>
          <w:lang w:val="uk-UA"/>
        </w:rPr>
        <w:t>, здійснюється в порядку, визначеному Договором, внутрішніми документами Депозитарної установи та законодавством.</w:t>
      </w:r>
    </w:p>
    <w:p w14:paraId="1123089F" w14:textId="77777777" w:rsidR="00502AEC" w:rsidRPr="00E16672" w:rsidRDefault="00502AEC">
      <w:pPr>
        <w:ind w:firstLine="570"/>
        <w:rPr>
          <w:rFonts w:ascii="Times New Roman" w:hAnsi="Times New Roman"/>
          <w:szCs w:val="20"/>
          <w:lang w:val="uk-UA"/>
        </w:rPr>
      </w:pPr>
      <w:r w:rsidRPr="00E16672">
        <w:rPr>
          <w:rFonts w:ascii="Times New Roman" w:hAnsi="Times New Roman"/>
          <w:szCs w:val="20"/>
          <w:lang w:val="uk-UA"/>
        </w:rPr>
        <w:t xml:space="preserve">5.3. Сторони </w:t>
      </w:r>
      <w:r w:rsidR="00A016E8" w:rsidRPr="00E16672">
        <w:rPr>
          <w:rFonts w:ascii="Times New Roman" w:hAnsi="Times New Roman"/>
          <w:szCs w:val="20"/>
          <w:lang w:val="uk-UA"/>
        </w:rPr>
        <w:t>підтверджують</w:t>
      </w:r>
      <w:r w:rsidRPr="00E16672">
        <w:rPr>
          <w:rFonts w:ascii="Times New Roman" w:hAnsi="Times New Roman"/>
          <w:szCs w:val="20"/>
          <w:lang w:val="uk-UA"/>
        </w:rPr>
        <w:t xml:space="preserve"> достовірність підписів на розпорядженнях Депонента способом, визначеним у розділі 3 цього Договору.</w:t>
      </w:r>
    </w:p>
    <w:p w14:paraId="080E87E5" w14:textId="77777777" w:rsidR="00502AEC" w:rsidRPr="00E16672" w:rsidRDefault="00502AEC" w:rsidP="00B7169F">
      <w:pPr>
        <w:ind w:firstLine="570"/>
        <w:rPr>
          <w:rFonts w:ascii="Times New Roman" w:hAnsi="Times New Roman"/>
          <w:szCs w:val="20"/>
          <w:lang w:val="uk-UA"/>
        </w:rPr>
      </w:pPr>
      <w:r w:rsidRPr="00E16672">
        <w:rPr>
          <w:rFonts w:ascii="Times New Roman" w:hAnsi="Times New Roman"/>
          <w:szCs w:val="20"/>
          <w:lang w:val="uk-UA"/>
        </w:rPr>
        <w:t xml:space="preserve">5.4. Сторони несуть  відповідальність за невиконання або неналежне виконання своїх зобов’язань за цим Договором відповідно до законодавства, у тому числі нормативно-правових актів </w:t>
      </w:r>
      <w:r w:rsidRPr="00E16672">
        <w:rPr>
          <w:rFonts w:ascii="Times New Roman" w:hAnsi="Times New Roman"/>
          <w:szCs w:val="20"/>
        </w:rPr>
        <w:t>НКЦПФР</w:t>
      </w:r>
      <w:r w:rsidRPr="00E16672">
        <w:rPr>
          <w:rFonts w:ascii="Times New Roman" w:hAnsi="Times New Roman"/>
          <w:szCs w:val="20"/>
          <w:lang w:val="uk-UA"/>
        </w:rPr>
        <w:t>.</w:t>
      </w:r>
    </w:p>
    <w:p w14:paraId="307FFE49" w14:textId="77777777" w:rsidR="00502AEC" w:rsidRPr="00E16672" w:rsidRDefault="00502AEC" w:rsidP="00B7169F">
      <w:pPr>
        <w:ind w:firstLine="570"/>
        <w:rPr>
          <w:rFonts w:ascii="Times New Roman" w:hAnsi="Times New Roman"/>
          <w:szCs w:val="20"/>
          <w:lang w:val="uk-UA"/>
        </w:rPr>
      </w:pPr>
      <w:r w:rsidRPr="00E16672">
        <w:rPr>
          <w:rFonts w:ascii="Times New Roman" w:hAnsi="Times New Roman"/>
          <w:szCs w:val="20"/>
          <w:lang w:val="uk-UA"/>
        </w:rPr>
        <w:t>5.5. Сторона, яка порушила зобов’язання відповідно до цього Договору, повинна усунути ці порушення в найкоротший строк.</w:t>
      </w:r>
    </w:p>
    <w:p w14:paraId="394B02CC" w14:textId="77777777" w:rsidR="007749D1" w:rsidRPr="00E16672" w:rsidRDefault="00502AEC" w:rsidP="00B7169F">
      <w:pPr>
        <w:ind w:firstLine="570"/>
        <w:rPr>
          <w:rFonts w:ascii="Times New Roman" w:hAnsi="Times New Roman"/>
          <w:color w:val="000000"/>
          <w:szCs w:val="20"/>
          <w:lang w:val="uk-UA"/>
        </w:rPr>
      </w:pPr>
      <w:r w:rsidRPr="00E16672">
        <w:rPr>
          <w:rFonts w:ascii="Times New Roman" w:hAnsi="Times New Roman"/>
          <w:szCs w:val="20"/>
          <w:lang w:val="uk-UA"/>
        </w:rPr>
        <w:t>5.</w:t>
      </w:r>
      <w:r w:rsidR="000F154F" w:rsidRPr="00E16672">
        <w:rPr>
          <w:rFonts w:ascii="Times New Roman" w:hAnsi="Times New Roman"/>
          <w:szCs w:val="20"/>
          <w:lang w:val="uk-UA"/>
        </w:rPr>
        <w:t xml:space="preserve">6. </w:t>
      </w:r>
      <w:r w:rsidR="000F154F" w:rsidRPr="00E16672">
        <w:rPr>
          <w:rFonts w:ascii="Times New Roman" w:hAnsi="Times New Roman"/>
          <w:color w:val="000000"/>
          <w:szCs w:val="20"/>
          <w:lang w:val="uk-UA"/>
        </w:rPr>
        <w:t xml:space="preserve">Депозитарна установа несе </w:t>
      </w:r>
      <w:proofErr w:type="spellStart"/>
      <w:r w:rsidR="000F154F" w:rsidRPr="00E16672">
        <w:rPr>
          <w:rFonts w:ascii="Times New Roman" w:hAnsi="Times New Roman"/>
          <w:color w:val="000000"/>
          <w:szCs w:val="20"/>
          <w:lang w:val="uk-UA"/>
        </w:rPr>
        <w:t>вiдповiдальнiсть</w:t>
      </w:r>
      <w:proofErr w:type="spellEnd"/>
      <w:r w:rsidR="003F7CC8" w:rsidRPr="00E16672">
        <w:rPr>
          <w:rFonts w:ascii="Times New Roman" w:hAnsi="Times New Roman"/>
          <w:color w:val="000000"/>
          <w:szCs w:val="20"/>
          <w:lang w:val="uk-UA"/>
        </w:rPr>
        <w:t xml:space="preserve"> за</w:t>
      </w:r>
      <w:r w:rsidR="000F154F" w:rsidRPr="00E16672">
        <w:rPr>
          <w:rFonts w:ascii="Times New Roman" w:hAnsi="Times New Roman"/>
          <w:color w:val="000000"/>
          <w:szCs w:val="20"/>
          <w:lang w:val="uk-UA"/>
        </w:rPr>
        <w:t>:</w:t>
      </w:r>
    </w:p>
    <w:p w14:paraId="0DB72281" w14:textId="77777777" w:rsidR="000F154F" w:rsidRPr="00E16672" w:rsidRDefault="000F154F" w:rsidP="000D0438">
      <w:pPr>
        <w:numPr>
          <w:ilvl w:val="0"/>
          <w:numId w:val="12"/>
        </w:numPr>
        <w:ind w:left="567" w:firstLine="0"/>
        <w:rPr>
          <w:rFonts w:ascii="Times New Roman" w:hAnsi="Times New Roman"/>
          <w:color w:val="000000"/>
          <w:szCs w:val="20"/>
          <w:lang w:val="uk-UA"/>
        </w:rPr>
      </w:pPr>
      <w:r w:rsidRPr="00E16672">
        <w:rPr>
          <w:rFonts w:ascii="Times New Roman" w:hAnsi="Times New Roman"/>
          <w:color w:val="000000"/>
          <w:szCs w:val="20"/>
          <w:lang w:val="uk-UA"/>
        </w:rPr>
        <w:t xml:space="preserve">забезпечення режиму конфіденційності щодо Депонента та належних </w:t>
      </w:r>
      <w:proofErr w:type="spellStart"/>
      <w:r w:rsidRPr="00E16672">
        <w:rPr>
          <w:rFonts w:ascii="Times New Roman" w:hAnsi="Times New Roman"/>
          <w:color w:val="000000"/>
          <w:szCs w:val="20"/>
          <w:lang w:val="uk-UA"/>
        </w:rPr>
        <w:t>йом</w:t>
      </w:r>
      <w:r w:rsidR="00C22309" w:rsidRPr="00E16672">
        <w:rPr>
          <w:rFonts w:ascii="Times New Roman" w:hAnsi="Times New Roman"/>
          <w:color w:val="000000"/>
          <w:szCs w:val="20"/>
          <w:lang w:val="uk-UA"/>
        </w:rPr>
        <w:t>в</w:t>
      </w:r>
      <w:proofErr w:type="spellEnd"/>
      <w:r w:rsidR="00C22309" w:rsidRPr="00E16672">
        <w:rPr>
          <w:rFonts w:ascii="Times New Roman" w:hAnsi="Times New Roman"/>
          <w:color w:val="000000"/>
          <w:szCs w:val="20"/>
          <w:lang w:val="uk-UA"/>
        </w:rPr>
        <w:t xml:space="preserve"> цін</w:t>
      </w:r>
      <w:r w:rsidRPr="00E16672">
        <w:rPr>
          <w:rFonts w:ascii="Times New Roman" w:hAnsi="Times New Roman"/>
          <w:color w:val="000000"/>
          <w:szCs w:val="20"/>
          <w:lang w:val="uk-UA"/>
        </w:rPr>
        <w:t>них паперів;</w:t>
      </w:r>
    </w:p>
    <w:p w14:paraId="45B372E6" w14:textId="77777777" w:rsidR="000F154F" w:rsidRPr="00E16672" w:rsidRDefault="000F154F" w:rsidP="000D0438">
      <w:pPr>
        <w:numPr>
          <w:ilvl w:val="0"/>
          <w:numId w:val="12"/>
        </w:numPr>
        <w:ind w:left="567" w:firstLine="0"/>
        <w:rPr>
          <w:rFonts w:ascii="Times New Roman" w:hAnsi="Times New Roman"/>
          <w:color w:val="000000"/>
          <w:szCs w:val="20"/>
          <w:lang w:val="uk-UA"/>
        </w:rPr>
      </w:pPr>
      <w:r w:rsidRPr="00E16672">
        <w:rPr>
          <w:rFonts w:ascii="Times New Roman" w:hAnsi="Times New Roman"/>
          <w:color w:val="000000"/>
          <w:szCs w:val="20"/>
          <w:lang w:val="uk-UA"/>
        </w:rPr>
        <w:t>підтвердження достовірності підписів Депонента</w:t>
      </w:r>
      <w:r w:rsidR="003F7CC8" w:rsidRPr="00E16672">
        <w:rPr>
          <w:rFonts w:ascii="Times New Roman" w:hAnsi="Times New Roman"/>
          <w:color w:val="000000"/>
          <w:szCs w:val="20"/>
          <w:lang w:val="uk-UA"/>
        </w:rPr>
        <w:t>, розпорядника/керуючого рахунком</w:t>
      </w:r>
      <w:r w:rsidRPr="00E16672">
        <w:rPr>
          <w:rFonts w:ascii="Times New Roman" w:hAnsi="Times New Roman"/>
          <w:color w:val="000000"/>
          <w:szCs w:val="20"/>
          <w:lang w:val="uk-UA"/>
        </w:rPr>
        <w:t xml:space="preserve"> на розпорядженнях;</w:t>
      </w:r>
    </w:p>
    <w:p w14:paraId="104BB8B3" w14:textId="77777777" w:rsidR="005F3632" w:rsidRPr="00E16672" w:rsidRDefault="000F154F" w:rsidP="000D0438">
      <w:pPr>
        <w:numPr>
          <w:ilvl w:val="0"/>
          <w:numId w:val="12"/>
        </w:numPr>
        <w:ind w:left="567" w:firstLine="0"/>
        <w:rPr>
          <w:rFonts w:ascii="Times New Roman" w:hAnsi="Times New Roman"/>
          <w:color w:val="000000"/>
          <w:szCs w:val="20"/>
          <w:lang w:val="uk-UA"/>
        </w:rPr>
      </w:pPr>
      <w:r w:rsidRPr="00E16672">
        <w:rPr>
          <w:rFonts w:ascii="Times New Roman" w:hAnsi="Times New Roman"/>
          <w:color w:val="000000"/>
          <w:szCs w:val="20"/>
          <w:lang w:val="uk-UA"/>
        </w:rPr>
        <w:t xml:space="preserve">перевірку </w:t>
      </w:r>
      <w:r w:rsidR="000A5175" w:rsidRPr="00E16672">
        <w:rPr>
          <w:rFonts w:ascii="Times New Roman" w:hAnsi="Times New Roman"/>
          <w:color w:val="000000"/>
          <w:szCs w:val="20"/>
          <w:lang w:val="uk-UA"/>
        </w:rPr>
        <w:t xml:space="preserve">розпоряджень </w:t>
      </w:r>
      <w:r w:rsidRPr="00E16672">
        <w:rPr>
          <w:rFonts w:ascii="Times New Roman" w:hAnsi="Times New Roman"/>
          <w:color w:val="000000"/>
          <w:szCs w:val="20"/>
          <w:lang w:val="uk-UA"/>
        </w:rPr>
        <w:t>на правильність складання та інші перевірки, передбачені чинним законодавством</w:t>
      </w:r>
    </w:p>
    <w:p w14:paraId="43F96805" w14:textId="77777777" w:rsidR="000F154F" w:rsidRPr="00E16672" w:rsidRDefault="000F154F" w:rsidP="002F1DB5">
      <w:pPr>
        <w:ind w:left="567" w:hanging="567"/>
        <w:rPr>
          <w:rFonts w:ascii="Times New Roman" w:hAnsi="Times New Roman"/>
          <w:color w:val="000000"/>
          <w:szCs w:val="20"/>
          <w:lang w:val="uk-UA"/>
        </w:rPr>
      </w:pPr>
      <w:r w:rsidRPr="00E16672">
        <w:rPr>
          <w:rFonts w:ascii="Times New Roman" w:hAnsi="Times New Roman"/>
          <w:color w:val="000000"/>
          <w:szCs w:val="20"/>
          <w:lang w:val="uk-UA"/>
        </w:rPr>
        <w:t xml:space="preserve"> України та внутрішніми документами Депозитарної установи;</w:t>
      </w:r>
    </w:p>
    <w:p w14:paraId="52185C1C" w14:textId="77777777" w:rsidR="000F154F" w:rsidRPr="00E16672" w:rsidRDefault="000F154F" w:rsidP="000D0438">
      <w:pPr>
        <w:numPr>
          <w:ilvl w:val="0"/>
          <w:numId w:val="12"/>
        </w:numPr>
        <w:ind w:left="567" w:firstLine="0"/>
        <w:rPr>
          <w:rFonts w:ascii="Times New Roman" w:hAnsi="Times New Roman"/>
          <w:color w:val="000000"/>
          <w:szCs w:val="20"/>
          <w:lang w:val="uk-UA"/>
        </w:rPr>
      </w:pPr>
      <w:r w:rsidRPr="00E16672">
        <w:rPr>
          <w:rFonts w:ascii="Times New Roman" w:hAnsi="Times New Roman"/>
          <w:color w:val="000000"/>
          <w:szCs w:val="20"/>
          <w:lang w:val="uk-UA"/>
        </w:rPr>
        <w:t>виконання розпоряджень Депонента</w:t>
      </w:r>
      <w:r w:rsidR="00482B3D" w:rsidRPr="00E16672">
        <w:rPr>
          <w:rFonts w:ascii="Times New Roman" w:hAnsi="Times New Roman"/>
          <w:color w:val="000000"/>
          <w:szCs w:val="20"/>
          <w:lang w:val="uk-UA"/>
        </w:rPr>
        <w:t xml:space="preserve"> відповідно до</w:t>
      </w:r>
      <w:r w:rsidRPr="00E16672">
        <w:rPr>
          <w:rFonts w:ascii="Times New Roman" w:hAnsi="Times New Roman"/>
          <w:color w:val="000000"/>
          <w:szCs w:val="20"/>
          <w:lang w:val="uk-UA"/>
        </w:rPr>
        <w:t xml:space="preserve"> вимог чинного законодавства України;</w:t>
      </w:r>
    </w:p>
    <w:p w14:paraId="0B928547" w14:textId="77777777" w:rsidR="005F3632" w:rsidRPr="00E16672" w:rsidRDefault="000F154F" w:rsidP="000D0438">
      <w:pPr>
        <w:numPr>
          <w:ilvl w:val="0"/>
          <w:numId w:val="12"/>
        </w:numPr>
        <w:ind w:left="567" w:firstLine="0"/>
        <w:rPr>
          <w:rFonts w:ascii="Times New Roman" w:hAnsi="Times New Roman"/>
          <w:color w:val="000000"/>
          <w:szCs w:val="20"/>
          <w:lang w:val="uk-UA"/>
        </w:rPr>
      </w:pPr>
      <w:r w:rsidRPr="00E16672">
        <w:rPr>
          <w:rFonts w:ascii="Times New Roman" w:hAnsi="Times New Roman"/>
          <w:color w:val="000000"/>
          <w:szCs w:val="20"/>
          <w:lang w:val="uk-UA"/>
        </w:rPr>
        <w:t>дотримання правил обліку при виконанні своїх обов’язків</w:t>
      </w:r>
      <w:r w:rsidR="00482B3D" w:rsidRPr="00E16672">
        <w:rPr>
          <w:rFonts w:ascii="Times New Roman" w:hAnsi="Times New Roman"/>
          <w:color w:val="000000"/>
          <w:szCs w:val="20"/>
          <w:lang w:val="uk-UA"/>
        </w:rPr>
        <w:t xml:space="preserve"> та</w:t>
      </w:r>
      <w:r w:rsidRPr="00E16672">
        <w:rPr>
          <w:rFonts w:ascii="Times New Roman" w:hAnsi="Times New Roman"/>
          <w:color w:val="000000"/>
          <w:szCs w:val="20"/>
          <w:lang w:val="uk-UA"/>
        </w:rPr>
        <w:t xml:space="preserve"> за </w:t>
      </w:r>
      <w:proofErr w:type="spellStart"/>
      <w:r w:rsidRPr="00E16672">
        <w:rPr>
          <w:rFonts w:ascii="Times New Roman" w:hAnsi="Times New Roman"/>
          <w:color w:val="000000"/>
          <w:szCs w:val="20"/>
        </w:rPr>
        <w:t>правильність</w:t>
      </w:r>
      <w:proofErr w:type="spellEnd"/>
      <w:r w:rsidRPr="00E16672">
        <w:rPr>
          <w:rFonts w:ascii="Times New Roman" w:hAnsi="Times New Roman"/>
          <w:color w:val="000000"/>
          <w:szCs w:val="20"/>
          <w:lang w:val="uk-UA"/>
        </w:rPr>
        <w:t xml:space="preserve"> ведення записів по рахунку у</w:t>
      </w:r>
    </w:p>
    <w:p w14:paraId="0F0FA5E0" w14:textId="77777777" w:rsidR="000F154F" w:rsidRPr="00E16672" w:rsidRDefault="000F154F" w:rsidP="002F1DB5">
      <w:pPr>
        <w:ind w:left="567" w:hanging="567"/>
        <w:rPr>
          <w:rFonts w:ascii="Times New Roman" w:hAnsi="Times New Roman"/>
          <w:color w:val="000000"/>
          <w:szCs w:val="20"/>
          <w:lang w:val="uk-UA"/>
        </w:rPr>
      </w:pPr>
      <w:r w:rsidRPr="00E16672">
        <w:rPr>
          <w:rFonts w:ascii="Times New Roman" w:hAnsi="Times New Roman"/>
          <w:color w:val="000000"/>
          <w:szCs w:val="20"/>
          <w:lang w:val="uk-UA"/>
        </w:rPr>
        <w:t xml:space="preserve"> цінних паперах;</w:t>
      </w:r>
    </w:p>
    <w:p w14:paraId="665B34E0" w14:textId="77777777" w:rsidR="005F3632" w:rsidRPr="00E16672" w:rsidRDefault="00482B3D" w:rsidP="000D0438">
      <w:pPr>
        <w:numPr>
          <w:ilvl w:val="0"/>
          <w:numId w:val="12"/>
        </w:numPr>
        <w:ind w:left="567" w:firstLine="0"/>
        <w:rPr>
          <w:rFonts w:ascii="Times New Roman" w:hAnsi="Times New Roman"/>
          <w:color w:val="000000"/>
          <w:szCs w:val="20"/>
          <w:lang w:val="uk-UA"/>
        </w:rPr>
      </w:pPr>
      <w:r w:rsidRPr="00E16672">
        <w:rPr>
          <w:rFonts w:ascii="Times New Roman" w:hAnsi="Times New Roman"/>
          <w:color w:val="000000"/>
          <w:szCs w:val="20"/>
          <w:lang w:val="uk-UA"/>
        </w:rPr>
        <w:t xml:space="preserve">облік </w:t>
      </w:r>
      <w:r w:rsidR="000F154F" w:rsidRPr="00E16672">
        <w:rPr>
          <w:rFonts w:ascii="Times New Roman" w:hAnsi="Times New Roman"/>
          <w:color w:val="000000"/>
          <w:szCs w:val="20"/>
          <w:lang w:val="uk-UA"/>
        </w:rPr>
        <w:t xml:space="preserve">цінних паперів </w:t>
      </w:r>
      <w:r w:rsidRPr="00E16672">
        <w:rPr>
          <w:rFonts w:ascii="Times New Roman" w:hAnsi="Times New Roman"/>
          <w:color w:val="000000"/>
          <w:szCs w:val="20"/>
          <w:lang w:val="uk-UA"/>
        </w:rPr>
        <w:t xml:space="preserve">та прав за цінними паперами </w:t>
      </w:r>
      <w:r w:rsidR="000F154F" w:rsidRPr="00E16672">
        <w:rPr>
          <w:rFonts w:ascii="Times New Roman" w:hAnsi="Times New Roman"/>
          <w:color w:val="000000"/>
          <w:szCs w:val="20"/>
          <w:lang w:val="uk-UA"/>
        </w:rPr>
        <w:t>Депонента</w:t>
      </w:r>
      <w:r w:rsidR="004850CC" w:rsidRPr="00E16672">
        <w:rPr>
          <w:rFonts w:ascii="Times New Roman" w:hAnsi="Times New Roman"/>
          <w:color w:val="000000"/>
          <w:szCs w:val="20"/>
          <w:lang w:val="uk-UA"/>
        </w:rPr>
        <w:t xml:space="preserve"> </w:t>
      </w:r>
      <w:r w:rsidR="000F154F" w:rsidRPr="00E16672">
        <w:rPr>
          <w:rFonts w:ascii="Times New Roman" w:hAnsi="Times New Roman"/>
          <w:color w:val="000000"/>
          <w:szCs w:val="20"/>
          <w:lang w:val="uk-UA"/>
        </w:rPr>
        <w:t xml:space="preserve">у Депозитарній установі на рахунку </w:t>
      </w:r>
      <w:r w:rsidR="00C22309" w:rsidRPr="00E16672">
        <w:rPr>
          <w:rFonts w:ascii="Times New Roman" w:hAnsi="Times New Roman"/>
          <w:color w:val="000000"/>
          <w:szCs w:val="20"/>
          <w:lang w:val="uk-UA"/>
        </w:rPr>
        <w:t>в цін</w:t>
      </w:r>
      <w:r w:rsidR="000F154F" w:rsidRPr="00E16672">
        <w:rPr>
          <w:rFonts w:ascii="Times New Roman" w:hAnsi="Times New Roman"/>
          <w:color w:val="000000"/>
          <w:szCs w:val="20"/>
          <w:lang w:val="uk-UA"/>
        </w:rPr>
        <w:t>них</w:t>
      </w:r>
    </w:p>
    <w:p w14:paraId="54085F8C" w14:textId="77777777" w:rsidR="000F154F" w:rsidRPr="00E16672" w:rsidRDefault="000F154F" w:rsidP="002F1DB5">
      <w:pPr>
        <w:ind w:left="567" w:hanging="425"/>
        <w:rPr>
          <w:rFonts w:ascii="Times New Roman" w:hAnsi="Times New Roman"/>
          <w:color w:val="000000"/>
          <w:szCs w:val="20"/>
          <w:lang w:val="uk-UA"/>
        </w:rPr>
      </w:pPr>
      <w:r w:rsidRPr="00E16672">
        <w:rPr>
          <w:rFonts w:ascii="Times New Roman" w:hAnsi="Times New Roman"/>
          <w:color w:val="000000"/>
          <w:szCs w:val="20"/>
          <w:lang w:val="uk-UA"/>
        </w:rPr>
        <w:t>паперах Депонента.</w:t>
      </w:r>
    </w:p>
    <w:p w14:paraId="60466675" w14:textId="77777777" w:rsidR="00482B3D" w:rsidRPr="00E16672" w:rsidRDefault="000F154F" w:rsidP="000F154F">
      <w:pPr>
        <w:ind w:firstLine="570"/>
        <w:rPr>
          <w:rFonts w:ascii="Times New Roman" w:hAnsi="Times New Roman"/>
          <w:color w:val="000000"/>
          <w:szCs w:val="20"/>
          <w:lang w:val="uk-UA"/>
        </w:rPr>
      </w:pPr>
      <w:r w:rsidRPr="00E16672">
        <w:rPr>
          <w:rFonts w:ascii="Times New Roman" w:hAnsi="Times New Roman"/>
          <w:color w:val="000000"/>
          <w:szCs w:val="20"/>
          <w:lang w:val="uk-UA"/>
        </w:rPr>
        <w:t>5.7. Депозитарна установа не несе відповідальності перед Депонентом за</w:t>
      </w:r>
      <w:r w:rsidR="00482B3D" w:rsidRPr="00E16672">
        <w:rPr>
          <w:rFonts w:ascii="Times New Roman" w:hAnsi="Times New Roman"/>
          <w:color w:val="000000"/>
          <w:szCs w:val="20"/>
          <w:lang w:val="uk-UA"/>
        </w:rPr>
        <w:t>:</w:t>
      </w:r>
      <w:r w:rsidRPr="00E16672">
        <w:rPr>
          <w:rFonts w:ascii="Times New Roman" w:hAnsi="Times New Roman"/>
          <w:color w:val="000000"/>
          <w:szCs w:val="20"/>
          <w:lang w:val="uk-UA"/>
        </w:rPr>
        <w:t xml:space="preserve"> </w:t>
      </w:r>
    </w:p>
    <w:p w14:paraId="07D5863A" w14:textId="77777777" w:rsidR="005F3632" w:rsidRPr="00E16672" w:rsidRDefault="000F154F" w:rsidP="000D0438">
      <w:pPr>
        <w:numPr>
          <w:ilvl w:val="0"/>
          <w:numId w:val="11"/>
        </w:numPr>
        <w:ind w:left="567" w:firstLine="0"/>
        <w:rPr>
          <w:rFonts w:ascii="Times New Roman" w:hAnsi="Times New Roman"/>
          <w:color w:val="000000"/>
          <w:szCs w:val="20"/>
          <w:lang w:val="uk-UA"/>
        </w:rPr>
      </w:pPr>
      <w:r w:rsidRPr="00E16672">
        <w:rPr>
          <w:rFonts w:ascii="Times New Roman" w:hAnsi="Times New Roman"/>
          <w:color w:val="000000"/>
          <w:szCs w:val="20"/>
          <w:lang w:val="uk-UA"/>
        </w:rPr>
        <w:t>шкоду, заподіяну діями або бездіяльністю Депозитарної установи, якщо ці дії (бездіяльність) здійснювались</w:t>
      </w:r>
    </w:p>
    <w:p w14:paraId="258B0BE1" w14:textId="77777777" w:rsidR="005F3632" w:rsidRPr="00E16672" w:rsidRDefault="000F154F" w:rsidP="002F1DB5">
      <w:pPr>
        <w:ind w:left="567" w:hanging="425"/>
        <w:rPr>
          <w:rFonts w:ascii="Times New Roman" w:hAnsi="Times New Roman"/>
          <w:color w:val="000000"/>
          <w:szCs w:val="20"/>
          <w:lang w:val="uk-UA"/>
        </w:rPr>
      </w:pPr>
      <w:r w:rsidRPr="00E16672">
        <w:rPr>
          <w:rFonts w:ascii="Times New Roman" w:hAnsi="Times New Roman"/>
          <w:color w:val="000000"/>
          <w:szCs w:val="20"/>
          <w:lang w:val="uk-UA"/>
        </w:rPr>
        <w:t xml:space="preserve"> Депозитарною установою за письмовими розпорядженнями Депонента, виникли внаслідок дій (бездіяльності) інших</w:t>
      </w:r>
    </w:p>
    <w:p w14:paraId="6253820A" w14:textId="77777777" w:rsidR="00181E4C" w:rsidRPr="00E16672" w:rsidRDefault="000F154F" w:rsidP="002F1DB5">
      <w:pPr>
        <w:ind w:left="567" w:hanging="425"/>
        <w:rPr>
          <w:rFonts w:ascii="Times New Roman" w:hAnsi="Times New Roman"/>
          <w:color w:val="000000"/>
          <w:szCs w:val="20"/>
          <w:lang w:val="uk-UA"/>
        </w:rPr>
      </w:pPr>
      <w:r w:rsidRPr="00E16672">
        <w:rPr>
          <w:rFonts w:ascii="Times New Roman" w:hAnsi="Times New Roman"/>
          <w:color w:val="000000"/>
          <w:szCs w:val="20"/>
          <w:lang w:val="uk-UA"/>
        </w:rPr>
        <w:t>учасників депозитарної системи</w:t>
      </w:r>
      <w:r w:rsidR="00181E4C" w:rsidRPr="00E16672">
        <w:rPr>
          <w:rFonts w:ascii="Times New Roman" w:hAnsi="Times New Roman"/>
          <w:color w:val="000000"/>
          <w:szCs w:val="20"/>
          <w:lang w:val="uk-UA"/>
        </w:rPr>
        <w:t>;</w:t>
      </w:r>
    </w:p>
    <w:p w14:paraId="38B0A887" w14:textId="77777777" w:rsidR="005F3632" w:rsidRPr="00E16672" w:rsidRDefault="00181E4C" w:rsidP="000D0438">
      <w:pPr>
        <w:numPr>
          <w:ilvl w:val="0"/>
          <w:numId w:val="11"/>
        </w:numPr>
        <w:ind w:left="709" w:hanging="142"/>
        <w:rPr>
          <w:rStyle w:val="rvts0"/>
          <w:rFonts w:ascii="Times New Roman" w:hAnsi="Times New Roman"/>
          <w:color w:val="000000"/>
          <w:sz w:val="16"/>
          <w:szCs w:val="20"/>
          <w:lang w:val="uk-UA"/>
        </w:rPr>
      </w:pPr>
      <w:r w:rsidRPr="00E16672">
        <w:rPr>
          <w:rFonts w:ascii="Times New Roman" w:hAnsi="Times New Roman"/>
          <w:color w:val="000000"/>
          <w:szCs w:val="20"/>
          <w:lang w:val="uk-UA"/>
        </w:rPr>
        <w:t xml:space="preserve">суми та порядок нарахування емітентом </w:t>
      </w:r>
      <w:r w:rsidRPr="00E16672">
        <w:rPr>
          <w:rStyle w:val="rvts0"/>
          <w:rFonts w:ascii="Times New Roman" w:hAnsi="Times New Roman"/>
          <w:lang w:val="uk-UA"/>
        </w:rPr>
        <w:t>виплат доходу та інших виплат, що здійснюються (здійснювалися)</w:t>
      </w:r>
    </w:p>
    <w:p w14:paraId="6C3E1649" w14:textId="77777777" w:rsidR="005F3632" w:rsidRPr="00E16672" w:rsidRDefault="00181E4C" w:rsidP="002F1DB5">
      <w:pPr>
        <w:ind w:left="567" w:hanging="425"/>
        <w:rPr>
          <w:rStyle w:val="rvts0"/>
          <w:rFonts w:ascii="Times New Roman" w:hAnsi="Times New Roman"/>
          <w:lang w:val="uk-UA"/>
        </w:rPr>
      </w:pPr>
      <w:r w:rsidRPr="00E16672">
        <w:rPr>
          <w:rStyle w:val="rvts0"/>
          <w:rFonts w:ascii="Times New Roman" w:hAnsi="Times New Roman"/>
          <w:lang w:val="uk-UA"/>
        </w:rPr>
        <w:t xml:space="preserve">відповідно до закону, за цінними паперами, права на які обліковуються на рахунку в цінних паперах </w:t>
      </w:r>
      <w:r w:rsidR="00CB2955" w:rsidRPr="00E16672">
        <w:rPr>
          <w:rStyle w:val="rvts0"/>
          <w:rFonts w:ascii="Times New Roman" w:hAnsi="Times New Roman"/>
          <w:lang w:val="uk-UA"/>
        </w:rPr>
        <w:t>Д</w:t>
      </w:r>
      <w:r w:rsidRPr="00E16672">
        <w:rPr>
          <w:rStyle w:val="rvts0"/>
          <w:rFonts w:ascii="Times New Roman" w:hAnsi="Times New Roman"/>
          <w:lang w:val="uk-UA"/>
        </w:rPr>
        <w:t>епонента,</w:t>
      </w:r>
      <w:r w:rsidR="00CB2955" w:rsidRPr="00E16672">
        <w:rPr>
          <w:rStyle w:val="rvts0"/>
          <w:rFonts w:ascii="Times New Roman" w:hAnsi="Times New Roman"/>
          <w:lang w:val="uk-UA"/>
        </w:rPr>
        <w:t xml:space="preserve"> що</w:t>
      </w:r>
    </w:p>
    <w:p w14:paraId="24E9E728" w14:textId="77777777" w:rsidR="00181E4C" w:rsidRPr="00E16672" w:rsidRDefault="00CB2955" w:rsidP="002F1DB5">
      <w:pPr>
        <w:ind w:left="567" w:hanging="425"/>
        <w:rPr>
          <w:rStyle w:val="rvts0"/>
          <w:rFonts w:ascii="Times New Roman" w:hAnsi="Times New Roman"/>
          <w:color w:val="000000"/>
          <w:sz w:val="16"/>
          <w:szCs w:val="20"/>
          <w:lang w:val="uk-UA"/>
        </w:rPr>
      </w:pPr>
      <w:r w:rsidRPr="00E16672">
        <w:rPr>
          <w:rStyle w:val="rvts0"/>
          <w:rFonts w:ascii="Times New Roman" w:hAnsi="Times New Roman"/>
          <w:lang w:val="uk-UA"/>
        </w:rPr>
        <w:t>надаються Депозитарній установі для виплат Депоненту;</w:t>
      </w:r>
    </w:p>
    <w:p w14:paraId="3C55AE17" w14:textId="77777777" w:rsidR="005F3632" w:rsidRPr="00E16672" w:rsidRDefault="00CB2955" w:rsidP="000D0438">
      <w:pPr>
        <w:numPr>
          <w:ilvl w:val="0"/>
          <w:numId w:val="11"/>
        </w:numPr>
        <w:ind w:left="709" w:hanging="142"/>
        <w:rPr>
          <w:rStyle w:val="rvts0"/>
          <w:rFonts w:ascii="Times New Roman" w:hAnsi="Times New Roman"/>
          <w:color w:val="000000"/>
          <w:sz w:val="16"/>
          <w:szCs w:val="20"/>
          <w:lang w:val="uk-UA"/>
        </w:rPr>
      </w:pPr>
      <w:r w:rsidRPr="00E16672">
        <w:rPr>
          <w:rFonts w:ascii="Times New Roman" w:hAnsi="Times New Roman"/>
          <w:color w:val="000000"/>
          <w:szCs w:val="20"/>
          <w:lang w:val="uk-UA"/>
        </w:rPr>
        <w:t>неможливість перерахувати, не перерахування</w:t>
      </w:r>
      <w:r w:rsidR="000A5175" w:rsidRPr="00E16672">
        <w:rPr>
          <w:rFonts w:ascii="Times New Roman" w:hAnsi="Times New Roman"/>
          <w:color w:val="000000"/>
          <w:szCs w:val="20"/>
          <w:lang w:val="uk-UA"/>
        </w:rPr>
        <w:t>,</w:t>
      </w:r>
      <w:r w:rsidRPr="00E16672">
        <w:rPr>
          <w:rFonts w:ascii="Times New Roman" w:hAnsi="Times New Roman"/>
          <w:color w:val="000000"/>
          <w:szCs w:val="20"/>
          <w:lang w:val="uk-UA"/>
        </w:rPr>
        <w:t xml:space="preserve"> несвоєчасне перерахування </w:t>
      </w:r>
      <w:r w:rsidRPr="00E16672">
        <w:rPr>
          <w:rStyle w:val="rvts0"/>
          <w:rFonts w:ascii="Times New Roman" w:hAnsi="Times New Roman"/>
          <w:lang w:val="uk-UA"/>
        </w:rPr>
        <w:t>виплат доходу та інших виплат,</w:t>
      </w:r>
    </w:p>
    <w:p w14:paraId="3E0489EA" w14:textId="77777777" w:rsidR="002F1DB5" w:rsidRPr="00E16672" w:rsidRDefault="00CB2955" w:rsidP="002F1DB5">
      <w:pPr>
        <w:ind w:left="567" w:hanging="425"/>
        <w:rPr>
          <w:rStyle w:val="rvts0"/>
          <w:rFonts w:ascii="Times New Roman" w:hAnsi="Times New Roman"/>
          <w:lang w:val="uk-UA"/>
        </w:rPr>
      </w:pPr>
      <w:r w:rsidRPr="00E16672">
        <w:rPr>
          <w:rStyle w:val="rvts0"/>
          <w:rFonts w:ascii="Times New Roman" w:hAnsi="Times New Roman"/>
          <w:lang w:val="uk-UA"/>
        </w:rPr>
        <w:t>що здійснюються (здійснювалися) відповідно до закону, за цінними паперами, права на які обліковуються на рахунку</w:t>
      </w:r>
    </w:p>
    <w:p w14:paraId="4F2B9C84" w14:textId="77777777" w:rsidR="002F1DB5" w:rsidRPr="00E16672" w:rsidRDefault="00CB2955" w:rsidP="002F1DB5">
      <w:pPr>
        <w:ind w:left="567" w:hanging="425"/>
        <w:rPr>
          <w:rStyle w:val="rvts0"/>
          <w:rFonts w:ascii="Times New Roman" w:hAnsi="Times New Roman"/>
          <w:lang w:val="uk-UA"/>
        </w:rPr>
      </w:pPr>
      <w:r w:rsidRPr="00E16672">
        <w:rPr>
          <w:rStyle w:val="rvts0"/>
          <w:rFonts w:ascii="Times New Roman" w:hAnsi="Times New Roman"/>
          <w:lang w:val="uk-UA"/>
        </w:rPr>
        <w:t>в цінних паперах Депонента,</w:t>
      </w:r>
      <w:r w:rsidR="005C080C" w:rsidRPr="00E16672">
        <w:rPr>
          <w:rStyle w:val="rvts0"/>
          <w:rFonts w:ascii="Times New Roman" w:hAnsi="Times New Roman"/>
          <w:lang w:val="uk-UA"/>
        </w:rPr>
        <w:t xml:space="preserve"> на банківський рахунок Депонента</w:t>
      </w:r>
      <w:r w:rsidR="000A5175" w:rsidRPr="00E16672">
        <w:rPr>
          <w:rStyle w:val="rvts0"/>
          <w:rFonts w:ascii="Times New Roman" w:hAnsi="Times New Roman"/>
          <w:lang w:val="uk-UA"/>
        </w:rPr>
        <w:t xml:space="preserve"> або</w:t>
      </w:r>
      <w:r w:rsidR="00DE1107" w:rsidRPr="00E16672">
        <w:rPr>
          <w:rStyle w:val="rvts0"/>
          <w:rFonts w:ascii="Times New Roman" w:hAnsi="Times New Roman"/>
          <w:lang w:val="uk-UA"/>
        </w:rPr>
        <w:t xml:space="preserve"> поштовим переказом на поштову адресу</w:t>
      </w:r>
    </w:p>
    <w:p w14:paraId="57204ADE" w14:textId="77777777" w:rsidR="002F1DB5" w:rsidRPr="00E16672" w:rsidRDefault="00DE1107" w:rsidP="002F1DB5">
      <w:pPr>
        <w:ind w:left="567" w:hanging="425"/>
        <w:rPr>
          <w:rStyle w:val="rvts0"/>
          <w:rFonts w:ascii="Times New Roman" w:hAnsi="Times New Roman"/>
          <w:lang w:val="uk-UA"/>
        </w:rPr>
      </w:pPr>
      <w:r w:rsidRPr="00E16672">
        <w:rPr>
          <w:rStyle w:val="rvts0"/>
          <w:rFonts w:ascii="Times New Roman" w:hAnsi="Times New Roman"/>
          <w:lang w:val="uk-UA"/>
        </w:rPr>
        <w:t xml:space="preserve">Депонента – у разі відсутності на рахунку в цінних паперах </w:t>
      </w:r>
      <w:r w:rsidR="000A5175" w:rsidRPr="00E16672">
        <w:rPr>
          <w:rStyle w:val="rvts0"/>
          <w:rFonts w:ascii="Times New Roman" w:hAnsi="Times New Roman"/>
          <w:lang w:val="uk-UA"/>
        </w:rPr>
        <w:t>інформації, необхідної для здійснення перерахування</w:t>
      </w:r>
    </w:p>
    <w:p w14:paraId="0CE51B77" w14:textId="77777777" w:rsidR="00CB2955" w:rsidRPr="00E16672" w:rsidRDefault="000A5175" w:rsidP="002F1DB5">
      <w:pPr>
        <w:ind w:left="567" w:hanging="425"/>
        <w:rPr>
          <w:rFonts w:ascii="Times New Roman" w:hAnsi="Times New Roman"/>
          <w:color w:val="000000"/>
          <w:sz w:val="16"/>
          <w:szCs w:val="20"/>
          <w:lang w:val="uk-UA"/>
        </w:rPr>
      </w:pPr>
      <w:r w:rsidRPr="00E16672">
        <w:rPr>
          <w:rStyle w:val="rvts0"/>
          <w:rFonts w:ascii="Times New Roman" w:hAnsi="Times New Roman"/>
          <w:lang w:val="uk-UA"/>
        </w:rPr>
        <w:t>зазначених коштів, або недостовірності такої інформації.</w:t>
      </w:r>
    </w:p>
    <w:p w14:paraId="4C5B5E86" w14:textId="77777777" w:rsidR="001B4E41" w:rsidRPr="00E16672" w:rsidRDefault="000F154F" w:rsidP="000F154F">
      <w:pPr>
        <w:ind w:firstLine="555"/>
        <w:rPr>
          <w:rFonts w:ascii="Times New Roman" w:hAnsi="Times New Roman"/>
          <w:color w:val="000000"/>
          <w:szCs w:val="20"/>
          <w:lang w:val="uk-UA"/>
        </w:rPr>
      </w:pPr>
      <w:r w:rsidRPr="00E16672">
        <w:rPr>
          <w:rFonts w:ascii="Times New Roman" w:hAnsi="Times New Roman"/>
          <w:color w:val="000000"/>
          <w:szCs w:val="20"/>
          <w:lang w:val="uk-UA"/>
        </w:rPr>
        <w:t xml:space="preserve">5.8. Депонент несе </w:t>
      </w:r>
      <w:proofErr w:type="spellStart"/>
      <w:r w:rsidRPr="00E16672">
        <w:rPr>
          <w:rFonts w:ascii="Times New Roman" w:hAnsi="Times New Roman"/>
          <w:color w:val="000000"/>
          <w:szCs w:val="20"/>
          <w:lang w:val="uk-UA"/>
        </w:rPr>
        <w:t>вiдповiдальнiсть</w:t>
      </w:r>
      <w:proofErr w:type="spellEnd"/>
      <w:r w:rsidRPr="00E16672">
        <w:rPr>
          <w:rFonts w:ascii="Times New Roman" w:hAnsi="Times New Roman"/>
          <w:color w:val="000000"/>
          <w:szCs w:val="20"/>
          <w:lang w:val="uk-UA"/>
        </w:rPr>
        <w:t xml:space="preserve"> за</w:t>
      </w:r>
      <w:r w:rsidR="001B4E41" w:rsidRPr="00E16672">
        <w:rPr>
          <w:rFonts w:ascii="Times New Roman" w:hAnsi="Times New Roman"/>
          <w:color w:val="000000"/>
          <w:szCs w:val="20"/>
          <w:lang w:val="uk-UA"/>
        </w:rPr>
        <w:t>:</w:t>
      </w:r>
    </w:p>
    <w:p w14:paraId="684620A8" w14:textId="77777777" w:rsidR="002F1DB5" w:rsidRPr="00E16672" w:rsidRDefault="000F154F" w:rsidP="000D0438">
      <w:pPr>
        <w:numPr>
          <w:ilvl w:val="0"/>
          <w:numId w:val="13"/>
        </w:numPr>
        <w:ind w:left="709" w:hanging="142"/>
        <w:rPr>
          <w:rFonts w:ascii="Times New Roman" w:hAnsi="Times New Roman"/>
          <w:color w:val="000000"/>
          <w:szCs w:val="20"/>
          <w:lang w:val="uk-UA"/>
        </w:rPr>
      </w:pPr>
      <w:r w:rsidRPr="00E16672">
        <w:rPr>
          <w:rFonts w:ascii="Times New Roman" w:hAnsi="Times New Roman"/>
          <w:color w:val="000000"/>
          <w:szCs w:val="20"/>
          <w:lang w:val="uk-UA"/>
        </w:rPr>
        <w:lastRenderedPageBreak/>
        <w:t>власні дії, за всі дії його уповноважених осіб та розпорядників рахунків, а також за наслідки виданих ним</w:t>
      </w:r>
    </w:p>
    <w:p w14:paraId="655FAF09" w14:textId="77777777" w:rsidR="001B4E41" w:rsidRPr="00E16672" w:rsidRDefault="000F154F" w:rsidP="002F1DB5">
      <w:pPr>
        <w:ind w:left="709" w:hanging="567"/>
        <w:rPr>
          <w:rFonts w:ascii="Times New Roman" w:hAnsi="Times New Roman"/>
          <w:color w:val="000000"/>
          <w:szCs w:val="20"/>
          <w:lang w:val="uk-UA"/>
        </w:rPr>
      </w:pPr>
      <w:r w:rsidRPr="00E16672">
        <w:rPr>
          <w:rFonts w:ascii="Times New Roman" w:hAnsi="Times New Roman"/>
          <w:color w:val="000000"/>
          <w:szCs w:val="20"/>
          <w:lang w:val="uk-UA"/>
        </w:rPr>
        <w:t>розпоряджень</w:t>
      </w:r>
      <w:r w:rsidR="001B4E41" w:rsidRPr="00E16672">
        <w:rPr>
          <w:rFonts w:ascii="Times New Roman" w:hAnsi="Times New Roman"/>
          <w:color w:val="000000"/>
          <w:szCs w:val="20"/>
          <w:lang w:val="uk-UA"/>
        </w:rPr>
        <w:t>;</w:t>
      </w:r>
    </w:p>
    <w:p w14:paraId="22CADC97" w14:textId="77777777" w:rsidR="002F1DB5" w:rsidRPr="00E16672" w:rsidRDefault="00303A6A" w:rsidP="000D0438">
      <w:pPr>
        <w:numPr>
          <w:ilvl w:val="0"/>
          <w:numId w:val="13"/>
        </w:numPr>
        <w:ind w:left="709" w:hanging="142"/>
        <w:rPr>
          <w:rFonts w:ascii="Times New Roman" w:hAnsi="Times New Roman"/>
          <w:color w:val="000000"/>
          <w:szCs w:val="20"/>
          <w:lang w:val="uk-UA"/>
        </w:rPr>
      </w:pPr>
      <w:r w:rsidRPr="00E16672">
        <w:rPr>
          <w:rFonts w:ascii="Times New Roman" w:hAnsi="Times New Roman"/>
          <w:color w:val="000000"/>
          <w:szCs w:val="20"/>
          <w:lang w:val="uk-UA"/>
        </w:rPr>
        <w:t>п</w:t>
      </w:r>
      <w:r w:rsidR="001B4E41" w:rsidRPr="00E16672">
        <w:rPr>
          <w:rFonts w:ascii="Times New Roman" w:hAnsi="Times New Roman"/>
          <w:color w:val="000000"/>
          <w:szCs w:val="20"/>
          <w:lang w:val="uk-UA"/>
        </w:rPr>
        <w:t>овноту та достовірність інформації, що надається Депозитарній установі на виконання цього</w:t>
      </w:r>
    </w:p>
    <w:p w14:paraId="5B7D4B0B" w14:textId="77777777" w:rsidR="000F154F" w:rsidRPr="00E16672" w:rsidRDefault="001B4E41" w:rsidP="002F1DB5">
      <w:pPr>
        <w:ind w:left="975" w:hanging="833"/>
        <w:rPr>
          <w:rFonts w:ascii="Times New Roman" w:hAnsi="Times New Roman"/>
          <w:color w:val="000000"/>
          <w:szCs w:val="20"/>
          <w:lang w:val="uk-UA"/>
        </w:rPr>
      </w:pPr>
      <w:r w:rsidRPr="00E16672">
        <w:rPr>
          <w:rFonts w:ascii="Times New Roman" w:hAnsi="Times New Roman"/>
          <w:color w:val="000000"/>
          <w:szCs w:val="20"/>
          <w:lang w:val="uk-UA"/>
        </w:rPr>
        <w:t>Договору</w:t>
      </w:r>
      <w:r w:rsidR="00303A6A" w:rsidRPr="00E16672">
        <w:rPr>
          <w:rFonts w:ascii="Times New Roman" w:hAnsi="Times New Roman"/>
          <w:color w:val="000000"/>
          <w:szCs w:val="20"/>
          <w:lang w:val="uk-UA"/>
        </w:rPr>
        <w:t>, в тому числі її своєчасну актуалізацію.</w:t>
      </w:r>
    </w:p>
    <w:p w14:paraId="70B4DC0E" w14:textId="77777777" w:rsidR="000F154F" w:rsidRPr="00E16672" w:rsidRDefault="000F154F" w:rsidP="000F154F">
      <w:pPr>
        <w:ind w:firstLine="555"/>
        <w:rPr>
          <w:rFonts w:ascii="Times New Roman" w:hAnsi="Times New Roman"/>
          <w:szCs w:val="20"/>
          <w:lang w:val="uk-UA"/>
        </w:rPr>
      </w:pPr>
      <w:r w:rsidRPr="00E16672">
        <w:rPr>
          <w:rFonts w:ascii="Times New Roman" w:hAnsi="Times New Roman"/>
          <w:color w:val="000000"/>
          <w:szCs w:val="20"/>
          <w:lang w:val="uk-UA"/>
        </w:rPr>
        <w:t xml:space="preserve">5.9. Депозитарна установа має право за порушення термінів </w:t>
      </w:r>
      <w:r w:rsidR="00303A6A" w:rsidRPr="00E16672">
        <w:rPr>
          <w:rFonts w:ascii="Times New Roman" w:hAnsi="Times New Roman"/>
          <w:color w:val="000000"/>
          <w:szCs w:val="20"/>
          <w:lang w:val="uk-UA"/>
        </w:rPr>
        <w:t xml:space="preserve">оплати </w:t>
      </w:r>
      <w:r w:rsidRPr="00E16672">
        <w:rPr>
          <w:rFonts w:ascii="Times New Roman" w:hAnsi="Times New Roman"/>
          <w:color w:val="000000"/>
          <w:szCs w:val="20"/>
          <w:lang w:val="uk-UA"/>
        </w:rPr>
        <w:t>нарахувати та стягнути з іншої Сторони</w:t>
      </w:r>
      <w:r w:rsidRPr="00E16672">
        <w:rPr>
          <w:rFonts w:ascii="Times New Roman" w:hAnsi="Times New Roman"/>
          <w:szCs w:val="20"/>
          <w:lang w:val="uk-UA"/>
        </w:rPr>
        <w:t xml:space="preserve"> пеню у розмірі </w:t>
      </w:r>
      <w:r w:rsidRPr="00E16672">
        <w:rPr>
          <w:rFonts w:ascii="Times New Roman" w:hAnsi="Times New Roman"/>
          <w:i/>
          <w:iCs/>
          <w:szCs w:val="20"/>
          <w:lang w:val="uk-UA"/>
        </w:rPr>
        <w:t>подвійної облікової ставки</w:t>
      </w:r>
      <w:r w:rsidRPr="00E16672">
        <w:rPr>
          <w:rFonts w:ascii="Times New Roman" w:hAnsi="Times New Roman"/>
          <w:szCs w:val="20"/>
          <w:lang w:val="uk-UA"/>
        </w:rPr>
        <w:t xml:space="preserve"> Національного банку України, що діяла у період</w:t>
      </w:r>
      <w:r w:rsidR="00695254" w:rsidRPr="00E16672">
        <w:rPr>
          <w:rFonts w:ascii="Times New Roman" w:hAnsi="Times New Roman"/>
          <w:szCs w:val="20"/>
          <w:lang w:val="uk-UA"/>
        </w:rPr>
        <w:t xml:space="preserve"> прострочення,</w:t>
      </w:r>
      <w:r w:rsidRPr="00E16672">
        <w:rPr>
          <w:rFonts w:ascii="Times New Roman" w:hAnsi="Times New Roman"/>
          <w:szCs w:val="20"/>
          <w:lang w:val="uk-UA"/>
        </w:rPr>
        <w:t xml:space="preserve"> </w:t>
      </w:r>
      <w:proofErr w:type="spellStart"/>
      <w:r w:rsidRPr="00E16672">
        <w:rPr>
          <w:rFonts w:ascii="Times New Roman" w:hAnsi="Times New Roman"/>
          <w:color w:val="000000"/>
          <w:szCs w:val="20"/>
          <w:lang w:eastAsia="hi-IN" w:bidi="hi-IN"/>
        </w:rPr>
        <w:t>від</w:t>
      </w:r>
      <w:proofErr w:type="spellEnd"/>
      <w:r w:rsidRPr="00E16672">
        <w:rPr>
          <w:rFonts w:ascii="Times New Roman" w:hAnsi="Times New Roman"/>
          <w:color w:val="000000"/>
          <w:szCs w:val="20"/>
          <w:lang w:eastAsia="hi-IN" w:bidi="hi-IN"/>
        </w:rPr>
        <w:t xml:space="preserve"> </w:t>
      </w:r>
      <w:proofErr w:type="spellStart"/>
      <w:r w:rsidRPr="00E16672">
        <w:rPr>
          <w:rFonts w:ascii="Times New Roman" w:hAnsi="Times New Roman"/>
          <w:color w:val="000000"/>
          <w:szCs w:val="20"/>
          <w:lang w:eastAsia="hi-IN" w:bidi="hi-IN"/>
        </w:rPr>
        <w:t>суми</w:t>
      </w:r>
      <w:proofErr w:type="spellEnd"/>
      <w:r w:rsidRPr="00E16672">
        <w:rPr>
          <w:rFonts w:ascii="Times New Roman" w:hAnsi="Times New Roman"/>
          <w:color w:val="000000"/>
          <w:szCs w:val="20"/>
          <w:lang w:eastAsia="hi-IN" w:bidi="hi-IN"/>
        </w:rPr>
        <w:t xml:space="preserve"> </w:t>
      </w:r>
      <w:proofErr w:type="spellStart"/>
      <w:r w:rsidRPr="00E16672">
        <w:rPr>
          <w:rFonts w:ascii="Times New Roman" w:hAnsi="Times New Roman"/>
          <w:color w:val="000000"/>
          <w:szCs w:val="20"/>
          <w:lang w:eastAsia="hi-IN" w:bidi="hi-IN"/>
        </w:rPr>
        <w:t>простроченого</w:t>
      </w:r>
      <w:proofErr w:type="spellEnd"/>
      <w:r w:rsidRPr="00E16672">
        <w:rPr>
          <w:rFonts w:ascii="Times New Roman" w:hAnsi="Times New Roman"/>
          <w:color w:val="000000"/>
          <w:szCs w:val="20"/>
          <w:lang w:eastAsia="hi-IN" w:bidi="hi-IN"/>
        </w:rPr>
        <w:t xml:space="preserve"> платежу за </w:t>
      </w:r>
      <w:proofErr w:type="spellStart"/>
      <w:r w:rsidRPr="00E16672">
        <w:rPr>
          <w:rFonts w:ascii="Times New Roman" w:hAnsi="Times New Roman"/>
          <w:color w:val="000000"/>
          <w:szCs w:val="20"/>
          <w:lang w:eastAsia="hi-IN" w:bidi="hi-IN"/>
        </w:rPr>
        <w:t>кожен</w:t>
      </w:r>
      <w:proofErr w:type="spellEnd"/>
      <w:r w:rsidRPr="00E16672">
        <w:rPr>
          <w:rFonts w:ascii="Times New Roman" w:hAnsi="Times New Roman"/>
          <w:color w:val="000000"/>
          <w:szCs w:val="20"/>
          <w:lang w:eastAsia="hi-IN" w:bidi="hi-IN"/>
        </w:rPr>
        <w:t xml:space="preserve"> день </w:t>
      </w:r>
      <w:proofErr w:type="spellStart"/>
      <w:r w:rsidRPr="00E16672">
        <w:rPr>
          <w:rFonts w:ascii="Times New Roman" w:hAnsi="Times New Roman"/>
          <w:color w:val="000000"/>
          <w:szCs w:val="20"/>
          <w:lang w:eastAsia="hi-IN" w:bidi="hi-IN"/>
        </w:rPr>
        <w:t>прострочення</w:t>
      </w:r>
      <w:proofErr w:type="spellEnd"/>
      <w:r w:rsidRPr="00E16672">
        <w:rPr>
          <w:rFonts w:ascii="Times New Roman" w:hAnsi="Times New Roman"/>
          <w:color w:val="000000"/>
          <w:szCs w:val="20"/>
          <w:lang w:val="uk-UA"/>
        </w:rPr>
        <w:t>. Формула</w:t>
      </w:r>
      <w:r w:rsidRPr="00E16672">
        <w:rPr>
          <w:rFonts w:ascii="Times New Roman" w:hAnsi="Times New Roman"/>
          <w:szCs w:val="20"/>
          <w:lang w:val="uk-UA"/>
        </w:rPr>
        <w:t xml:space="preserve">, за якою розраховується пеня: </w:t>
      </w:r>
    </w:p>
    <w:p w14:paraId="656AF6FA" w14:textId="77777777" w:rsidR="002F1DB5" w:rsidRPr="00E16672" w:rsidRDefault="002F1DB5" w:rsidP="000F154F">
      <w:pPr>
        <w:ind w:firstLine="555"/>
        <w:rPr>
          <w:rFonts w:ascii="Times New Roman" w:hAnsi="Times New Roman"/>
          <w:szCs w:val="20"/>
          <w:lang w:val="uk-UA"/>
        </w:rPr>
      </w:pPr>
    </w:p>
    <w:p w14:paraId="5391B241" w14:textId="77777777" w:rsidR="00502AEC" w:rsidRPr="00E16672" w:rsidRDefault="00502AEC" w:rsidP="003A05A3">
      <w:pPr>
        <w:ind w:left="567"/>
        <w:rPr>
          <w:rFonts w:ascii="Times New Roman" w:hAnsi="Times New Roman"/>
          <w:szCs w:val="20"/>
          <w:lang w:val="uk-UA"/>
        </w:rPr>
      </w:pPr>
      <w:r w:rsidRPr="00E16672">
        <w:rPr>
          <w:rFonts w:ascii="Times New Roman" w:hAnsi="Times New Roman"/>
          <w:szCs w:val="20"/>
          <w:lang w:val="uk-UA"/>
        </w:rPr>
        <w:t>5.9.1. П=</w:t>
      </w:r>
      <w:proofErr w:type="spellStart"/>
      <w:r w:rsidRPr="00E16672">
        <w:rPr>
          <w:rFonts w:ascii="Times New Roman" w:hAnsi="Times New Roman"/>
          <w:szCs w:val="20"/>
          <w:lang w:val="uk-UA"/>
        </w:rPr>
        <w:t>Т</w:t>
      </w:r>
      <w:r w:rsidRPr="00E16672">
        <w:rPr>
          <w:rFonts w:ascii="Times New Roman" w:hAnsi="Times New Roman"/>
          <w:szCs w:val="20"/>
          <w:vertAlign w:val="subscript"/>
          <w:lang w:val="uk-UA"/>
        </w:rPr>
        <w:t>неоплачений</w:t>
      </w:r>
      <w:proofErr w:type="spellEnd"/>
      <w:r w:rsidRPr="00E16672">
        <w:rPr>
          <w:rFonts w:ascii="Times New Roman" w:hAnsi="Times New Roman"/>
          <w:szCs w:val="20"/>
          <w:lang w:val="uk-UA"/>
        </w:rPr>
        <w:t>*2НБУ/</w:t>
      </w:r>
      <w:proofErr w:type="spellStart"/>
      <w:r w:rsidRPr="00E16672">
        <w:rPr>
          <w:rFonts w:ascii="Times New Roman" w:hAnsi="Times New Roman"/>
          <w:szCs w:val="20"/>
          <w:lang w:val="uk-UA"/>
        </w:rPr>
        <w:t>Д</w:t>
      </w:r>
      <w:r w:rsidRPr="00E16672">
        <w:rPr>
          <w:rFonts w:ascii="Times New Roman" w:hAnsi="Times New Roman"/>
          <w:szCs w:val="20"/>
          <w:vertAlign w:val="subscript"/>
          <w:lang w:val="uk-UA"/>
        </w:rPr>
        <w:t>рік</w:t>
      </w:r>
      <w:proofErr w:type="spellEnd"/>
      <w:r w:rsidRPr="00E16672">
        <w:rPr>
          <w:rFonts w:ascii="Times New Roman" w:hAnsi="Times New Roman"/>
          <w:szCs w:val="20"/>
          <w:lang w:val="uk-UA"/>
        </w:rPr>
        <w:t>*</w:t>
      </w:r>
      <w:proofErr w:type="spellStart"/>
      <w:r w:rsidRPr="00E16672">
        <w:rPr>
          <w:rFonts w:ascii="Times New Roman" w:hAnsi="Times New Roman"/>
          <w:szCs w:val="20"/>
          <w:lang w:val="uk-UA"/>
        </w:rPr>
        <w:t>Д</w:t>
      </w:r>
      <w:r w:rsidRPr="00E16672">
        <w:rPr>
          <w:rFonts w:ascii="Times New Roman" w:hAnsi="Times New Roman"/>
          <w:szCs w:val="20"/>
          <w:vertAlign w:val="subscript"/>
          <w:lang w:val="uk-UA"/>
        </w:rPr>
        <w:t>нарахування</w:t>
      </w:r>
      <w:proofErr w:type="spellEnd"/>
      <w:r w:rsidRPr="00E16672">
        <w:rPr>
          <w:rFonts w:ascii="Times New Roman" w:hAnsi="Times New Roman"/>
          <w:szCs w:val="20"/>
          <w:lang w:val="uk-UA"/>
        </w:rPr>
        <w:t>, де:</w:t>
      </w:r>
    </w:p>
    <w:p w14:paraId="177054DD" w14:textId="77777777" w:rsidR="007B7EDC" w:rsidRPr="00E16672" w:rsidRDefault="00502AEC" w:rsidP="00D277CA">
      <w:pPr>
        <w:ind w:left="567"/>
        <w:rPr>
          <w:rFonts w:ascii="Times New Roman" w:hAnsi="Times New Roman"/>
          <w:szCs w:val="20"/>
          <w:lang w:val="uk-UA"/>
        </w:rPr>
      </w:pPr>
      <w:r w:rsidRPr="00E16672">
        <w:rPr>
          <w:rFonts w:ascii="Times New Roman" w:hAnsi="Times New Roman"/>
          <w:szCs w:val="20"/>
          <w:lang w:val="uk-UA"/>
        </w:rPr>
        <w:t>П – пеня;</w:t>
      </w:r>
    </w:p>
    <w:p w14:paraId="4B744F51" w14:textId="77777777" w:rsidR="00502AEC" w:rsidRPr="00E16672" w:rsidRDefault="00502AEC" w:rsidP="00D277CA">
      <w:pPr>
        <w:ind w:left="567"/>
        <w:rPr>
          <w:rFonts w:ascii="Times New Roman" w:hAnsi="Times New Roman"/>
          <w:szCs w:val="20"/>
          <w:lang w:val="uk-UA"/>
        </w:rPr>
      </w:pPr>
      <w:proofErr w:type="spellStart"/>
      <w:r w:rsidRPr="00E16672">
        <w:rPr>
          <w:rFonts w:ascii="Times New Roman" w:hAnsi="Times New Roman"/>
          <w:szCs w:val="20"/>
          <w:lang w:val="uk-UA"/>
        </w:rPr>
        <w:t>Т</w:t>
      </w:r>
      <w:r w:rsidRPr="00E16672">
        <w:rPr>
          <w:rFonts w:ascii="Times New Roman" w:hAnsi="Times New Roman"/>
          <w:szCs w:val="20"/>
          <w:vertAlign w:val="subscript"/>
          <w:lang w:val="uk-UA"/>
        </w:rPr>
        <w:t>неоплачений</w:t>
      </w:r>
      <w:proofErr w:type="spellEnd"/>
      <w:r w:rsidRPr="00E16672">
        <w:rPr>
          <w:rFonts w:ascii="Times New Roman" w:hAnsi="Times New Roman"/>
          <w:szCs w:val="20"/>
          <w:lang w:val="uk-UA"/>
        </w:rPr>
        <w:t xml:space="preserve"> – вартість неоплаченої послуги</w:t>
      </w:r>
      <w:r w:rsidR="00695254" w:rsidRPr="00E16672">
        <w:rPr>
          <w:rFonts w:ascii="Times New Roman" w:hAnsi="Times New Roman"/>
          <w:szCs w:val="20"/>
          <w:lang w:val="uk-UA"/>
        </w:rPr>
        <w:t xml:space="preserve"> (неоплачених послуг)</w:t>
      </w:r>
      <w:r w:rsidRPr="00E16672">
        <w:rPr>
          <w:rFonts w:ascii="Times New Roman" w:hAnsi="Times New Roman"/>
          <w:szCs w:val="20"/>
          <w:lang w:val="uk-UA"/>
        </w:rPr>
        <w:t>;</w:t>
      </w:r>
    </w:p>
    <w:p w14:paraId="4813B6A2" w14:textId="77777777" w:rsidR="00502AEC" w:rsidRPr="00E16672" w:rsidRDefault="00502AEC" w:rsidP="00D277CA">
      <w:pPr>
        <w:ind w:left="567"/>
        <w:rPr>
          <w:rFonts w:ascii="Times New Roman" w:hAnsi="Times New Roman"/>
          <w:szCs w:val="20"/>
          <w:lang w:val="uk-UA"/>
        </w:rPr>
      </w:pPr>
      <w:r w:rsidRPr="00E16672">
        <w:rPr>
          <w:rFonts w:ascii="Times New Roman" w:hAnsi="Times New Roman"/>
          <w:szCs w:val="20"/>
          <w:lang w:val="uk-UA"/>
        </w:rPr>
        <w:t>2НБУ – подвійна облікова ставка Національного Банку України;</w:t>
      </w:r>
    </w:p>
    <w:p w14:paraId="37524762" w14:textId="77777777" w:rsidR="00502AEC" w:rsidRPr="00E16672" w:rsidRDefault="00502AEC" w:rsidP="00D277CA">
      <w:pPr>
        <w:ind w:left="567"/>
        <w:rPr>
          <w:rFonts w:ascii="Times New Roman" w:hAnsi="Times New Roman"/>
          <w:szCs w:val="20"/>
          <w:lang w:val="uk-UA"/>
        </w:rPr>
      </w:pPr>
      <w:proofErr w:type="spellStart"/>
      <w:r w:rsidRPr="00E16672">
        <w:rPr>
          <w:rFonts w:ascii="Times New Roman" w:hAnsi="Times New Roman"/>
          <w:szCs w:val="20"/>
          <w:lang w:val="uk-UA"/>
        </w:rPr>
        <w:t>Д</w:t>
      </w:r>
      <w:r w:rsidRPr="00E16672">
        <w:rPr>
          <w:rFonts w:ascii="Times New Roman" w:hAnsi="Times New Roman"/>
          <w:szCs w:val="20"/>
          <w:vertAlign w:val="subscript"/>
          <w:lang w:val="uk-UA"/>
        </w:rPr>
        <w:t>рік</w:t>
      </w:r>
      <w:proofErr w:type="spellEnd"/>
      <w:r w:rsidRPr="00E16672">
        <w:rPr>
          <w:rFonts w:ascii="Times New Roman" w:hAnsi="Times New Roman"/>
          <w:szCs w:val="20"/>
          <w:lang w:val="uk-UA"/>
        </w:rPr>
        <w:t xml:space="preserve"> – кількість днів у році;</w:t>
      </w:r>
    </w:p>
    <w:p w14:paraId="6A894EF8" w14:textId="77777777" w:rsidR="00502AEC" w:rsidRPr="00E16672" w:rsidRDefault="00502AEC" w:rsidP="00D277CA">
      <w:pPr>
        <w:ind w:left="567"/>
        <w:rPr>
          <w:rFonts w:ascii="Times New Roman" w:hAnsi="Times New Roman"/>
          <w:szCs w:val="20"/>
          <w:lang w:val="uk-UA"/>
        </w:rPr>
      </w:pPr>
      <w:proofErr w:type="spellStart"/>
      <w:r w:rsidRPr="00E16672">
        <w:rPr>
          <w:rFonts w:ascii="Times New Roman" w:hAnsi="Times New Roman"/>
          <w:szCs w:val="20"/>
          <w:lang w:val="uk-UA"/>
        </w:rPr>
        <w:t>Д</w:t>
      </w:r>
      <w:r w:rsidRPr="00E16672">
        <w:rPr>
          <w:rFonts w:ascii="Times New Roman" w:hAnsi="Times New Roman"/>
          <w:szCs w:val="20"/>
          <w:vertAlign w:val="subscript"/>
          <w:lang w:val="uk-UA"/>
        </w:rPr>
        <w:t>нарахування</w:t>
      </w:r>
      <w:proofErr w:type="spellEnd"/>
      <w:r w:rsidRPr="00E16672">
        <w:rPr>
          <w:rFonts w:ascii="Times New Roman" w:hAnsi="Times New Roman"/>
          <w:szCs w:val="20"/>
          <w:lang w:val="uk-UA"/>
        </w:rPr>
        <w:t xml:space="preserve"> – кількість днів нарахування пені.</w:t>
      </w:r>
    </w:p>
    <w:p w14:paraId="30A76E2A" w14:textId="77777777" w:rsidR="00781EF9" w:rsidRPr="00E16672" w:rsidRDefault="00781EF9" w:rsidP="00D277CA">
      <w:pPr>
        <w:ind w:left="567"/>
        <w:rPr>
          <w:rFonts w:ascii="Times New Roman" w:hAnsi="Times New Roman"/>
          <w:szCs w:val="20"/>
          <w:lang w:val="uk-UA"/>
        </w:rPr>
      </w:pPr>
    </w:p>
    <w:p w14:paraId="223A1495" w14:textId="77777777" w:rsidR="00781EF9" w:rsidRPr="00E16672" w:rsidRDefault="00695254" w:rsidP="00781EF9">
      <w:pPr>
        <w:ind w:left="709" w:firstLine="0"/>
        <w:rPr>
          <w:rFonts w:ascii="Times New Roman" w:hAnsi="Times New Roman"/>
          <w:szCs w:val="20"/>
          <w:lang w:val="uk-UA"/>
        </w:rPr>
      </w:pPr>
      <w:r w:rsidRPr="00E16672">
        <w:rPr>
          <w:rFonts w:ascii="Times New Roman" w:hAnsi="Times New Roman"/>
          <w:szCs w:val="20"/>
          <w:lang w:val="uk-UA"/>
        </w:rPr>
        <w:t>Якщо протягом періоду прострочення розмір облікової ставки  Національного Банку України змінювався, пеня</w:t>
      </w:r>
    </w:p>
    <w:p w14:paraId="29344B02" w14:textId="77777777" w:rsidR="00695254" w:rsidRPr="00E16672" w:rsidRDefault="00695254" w:rsidP="00781EF9">
      <w:pPr>
        <w:ind w:firstLine="0"/>
        <w:rPr>
          <w:rFonts w:ascii="Times New Roman" w:hAnsi="Times New Roman"/>
          <w:szCs w:val="20"/>
          <w:lang w:val="uk-UA"/>
        </w:rPr>
      </w:pPr>
      <w:r w:rsidRPr="00E16672">
        <w:rPr>
          <w:rFonts w:ascii="Times New Roman" w:hAnsi="Times New Roman"/>
          <w:szCs w:val="20"/>
          <w:lang w:val="uk-UA"/>
        </w:rPr>
        <w:t xml:space="preserve">розраховується окремо для кожного періоду з відповідним значенням 2НБУ, після чого значення </w:t>
      </w:r>
      <w:proofErr w:type="spellStart"/>
      <w:r w:rsidRPr="00E16672">
        <w:rPr>
          <w:rFonts w:ascii="Times New Roman" w:hAnsi="Times New Roman"/>
          <w:szCs w:val="20"/>
          <w:lang w:val="uk-UA"/>
        </w:rPr>
        <w:t>сумуються</w:t>
      </w:r>
      <w:proofErr w:type="spellEnd"/>
      <w:r w:rsidRPr="00E16672">
        <w:rPr>
          <w:rFonts w:ascii="Times New Roman" w:hAnsi="Times New Roman"/>
          <w:szCs w:val="20"/>
          <w:lang w:val="uk-UA"/>
        </w:rPr>
        <w:t xml:space="preserve">. </w:t>
      </w:r>
    </w:p>
    <w:p w14:paraId="562E4C04" w14:textId="77777777" w:rsidR="00781EF9" w:rsidRPr="00E16672" w:rsidRDefault="00502AEC" w:rsidP="00781EF9">
      <w:pPr>
        <w:ind w:left="709" w:firstLine="0"/>
        <w:rPr>
          <w:rFonts w:ascii="Times New Roman" w:hAnsi="Times New Roman"/>
          <w:szCs w:val="20"/>
          <w:lang w:val="uk-UA"/>
        </w:rPr>
      </w:pPr>
      <w:r w:rsidRPr="00E16672">
        <w:rPr>
          <w:rFonts w:ascii="Times New Roman" w:hAnsi="Times New Roman"/>
          <w:szCs w:val="20"/>
          <w:lang w:val="uk-UA"/>
        </w:rPr>
        <w:t>5.9.2. Депозитарна установа може пред'являти Депоненту вимоги стосовно сплати пені, як шляхом надіслання</w:t>
      </w:r>
    </w:p>
    <w:p w14:paraId="49270973" w14:textId="77777777" w:rsidR="00502AEC" w:rsidRPr="00E16672" w:rsidRDefault="0020144D" w:rsidP="00781EF9">
      <w:pPr>
        <w:ind w:firstLine="0"/>
        <w:rPr>
          <w:rFonts w:ascii="Times New Roman" w:hAnsi="Times New Roman"/>
          <w:szCs w:val="20"/>
          <w:lang w:val="uk-UA"/>
        </w:rPr>
      </w:pPr>
      <w:r w:rsidRPr="00E16672">
        <w:rPr>
          <w:rFonts w:ascii="Times New Roman" w:hAnsi="Times New Roman"/>
          <w:szCs w:val="20"/>
          <w:lang w:val="uk-UA"/>
        </w:rPr>
        <w:t>рахунку</w:t>
      </w:r>
      <w:r w:rsidR="00502AEC" w:rsidRPr="00E16672">
        <w:rPr>
          <w:rFonts w:ascii="Times New Roman" w:hAnsi="Times New Roman"/>
          <w:szCs w:val="20"/>
          <w:lang w:val="uk-UA"/>
        </w:rPr>
        <w:t>, так і шляхом звернення до Депонента з листом, телеграмою тощо.</w:t>
      </w:r>
    </w:p>
    <w:p w14:paraId="79A24C01" w14:textId="77777777" w:rsidR="00781EF9" w:rsidRPr="00E16672" w:rsidRDefault="00502AEC" w:rsidP="00781EF9">
      <w:pPr>
        <w:ind w:left="709" w:firstLine="0"/>
        <w:rPr>
          <w:rFonts w:ascii="Times New Roman" w:hAnsi="Times New Roman"/>
          <w:szCs w:val="20"/>
          <w:lang w:val="uk-UA"/>
        </w:rPr>
      </w:pPr>
      <w:r w:rsidRPr="00E16672">
        <w:rPr>
          <w:rFonts w:ascii="Times New Roman" w:hAnsi="Times New Roman"/>
          <w:szCs w:val="20"/>
          <w:lang w:val="uk-UA"/>
        </w:rPr>
        <w:t xml:space="preserve">5.9.3. Депонент повинен виконати зобов'язання, визначене п.5.9, у </w:t>
      </w:r>
      <w:r w:rsidRPr="00E16672">
        <w:rPr>
          <w:rFonts w:ascii="Times New Roman" w:hAnsi="Times New Roman"/>
          <w:i/>
          <w:szCs w:val="20"/>
          <w:lang w:val="uk-UA"/>
        </w:rPr>
        <w:t>п’ятиденний</w:t>
      </w:r>
      <w:r w:rsidRPr="00E16672">
        <w:rPr>
          <w:rFonts w:ascii="Times New Roman" w:hAnsi="Times New Roman"/>
          <w:szCs w:val="20"/>
          <w:lang w:val="uk-UA"/>
        </w:rPr>
        <w:t xml:space="preserve"> строк з дня пред'явлення</w:t>
      </w:r>
    </w:p>
    <w:p w14:paraId="624AAA49" w14:textId="77777777" w:rsidR="00502AEC" w:rsidRPr="00E16672" w:rsidRDefault="00502AEC" w:rsidP="00781EF9">
      <w:pPr>
        <w:ind w:firstLine="0"/>
        <w:rPr>
          <w:rFonts w:ascii="Times New Roman" w:hAnsi="Times New Roman"/>
          <w:szCs w:val="20"/>
          <w:lang w:val="uk-UA"/>
        </w:rPr>
      </w:pPr>
      <w:r w:rsidRPr="00E16672">
        <w:rPr>
          <w:rFonts w:ascii="Times New Roman" w:hAnsi="Times New Roman"/>
          <w:szCs w:val="20"/>
          <w:lang w:val="uk-UA"/>
        </w:rPr>
        <w:t>вимоги Депозитарної установи згідно з пп.5.9.1. Таким днем слід вважати дату одержання вимоги Депонентом.</w:t>
      </w:r>
    </w:p>
    <w:p w14:paraId="6573B052" w14:textId="77777777" w:rsidR="00781EF9" w:rsidRPr="00E16672" w:rsidRDefault="00502AEC" w:rsidP="00781EF9">
      <w:pPr>
        <w:ind w:left="709" w:firstLine="0"/>
        <w:rPr>
          <w:rFonts w:ascii="Times New Roman" w:hAnsi="Times New Roman"/>
          <w:szCs w:val="20"/>
          <w:lang w:val="uk-UA"/>
        </w:rPr>
      </w:pPr>
      <w:r w:rsidRPr="00E16672">
        <w:rPr>
          <w:rFonts w:ascii="Times New Roman" w:hAnsi="Times New Roman"/>
          <w:szCs w:val="20"/>
          <w:lang w:val="uk-UA"/>
        </w:rPr>
        <w:t>5.9.4. При цьому визнання Депонентом претензії Депозитарної установи про оплату послуг без перерахування</w:t>
      </w:r>
    </w:p>
    <w:p w14:paraId="22403905" w14:textId="77777777" w:rsidR="00502AEC" w:rsidRPr="00E16672" w:rsidRDefault="00502AEC" w:rsidP="00781EF9">
      <w:pPr>
        <w:ind w:firstLine="0"/>
        <w:rPr>
          <w:rFonts w:ascii="Times New Roman" w:hAnsi="Times New Roman"/>
          <w:color w:val="000000"/>
          <w:szCs w:val="20"/>
          <w:lang w:val="uk-UA"/>
        </w:rPr>
      </w:pPr>
      <w:r w:rsidRPr="00E16672">
        <w:rPr>
          <w:rFonts w:ascii="Times New Roman" w:hAnsi="Times New Roman"/>
          <w:szCs w:val="20"/>
          <w:lang w:val="uk-UA"/>
        </w:rPr>
        <w:t xml:space="preserve">заборгованості не може бути підставою для припинення </w:t>
      </w:r>
      <w:r w:rsidRPr="00E16672">
        <w:rPr>
          <w:rFonts w:ascii="Times New Roman" w:hAnsi="Times New Roman"/>
          <w:color w:val="000000"/>
          <w:szCs w:val="20"/>
          <w:lang w:val="uk-UA"/>
        </w:rPr>
        <w:t>нарахування пені за прос</w:t>
      </w:r>
      <w:r w:rsidR="00EF70DB" w:rsidRPr="00E16672">
        <w:rPr>
          <w:rFonts w:ascii="Times New Roman" w:hAnsi="Times New Roman"/>
          <w:color w:val="000000"/>
          <w:szCs w:val="20"/>
          <w:lang w:val="uk-UA"/>
        </w:rPr>
        <w:t>трочення</w:t>
      </w:r>
      <w:r w:rsidRPr="00E16672">
        <w:rPr>
          <w:rFonts w:ascii="Times New Roman" w:hAnsi="Times New Roman"/>
          <w:color w:val="000000"/>
          <w:szCs w:val="20"/>
          <w:lang w:val="uk-UA"/>
        </w:rPr>
        <w:t xml:space="preserve"> платежу.</w:t>
      </w:r>
    </w:p>
    <w:p w14:paraId="14D838A1" w14:textId="77777777" w:rsidR="00781EF9" w:rsidRPr="00E16672" w:rsidRDefault="00502AEC" w:rsidP="00A016E8">
      <w:pPr>
        <w:ind w:left="709" w:hanging="142"/>
        <w:rPr>
          <w:rFonts w:ascii="Times New Roman" w:hAnsi="Times New Roman"/>
          <w:color w:val="000000"/>
          <w:szCs w:val="20"/>
          <w:lang w:val="uk-UA"/>
        </w:rPr>
      </w:pPr>
      <w:r w:rsidRPr="00E16672">
        <w:rPr>
          <w:rFonts w:ascii="Times New Roman" w:hAnsi="Times New Roman"/>
          <w:color w:val="000000"/>
          <w:szCs w:val="20"/>
          <w:lang w:val="uk-UA"/>
        </w:rPr>
        <w:t xml:space="preserve">5.10. Прострочення платежу більш як на </w:t>
      </w:r>
      <w:r w:rsidR="00004B6A" w:rsidRPr="00E16672">
        <w:rPr>
          <w:rFonts w:ascii="Times New Roman" w:hAnsi="Times New Roman"/>
          <w:i/>
          <w:color w:val="000000"/>
          <w:szCs w:val="20"/>
          <w:lang w:val="uk-UA"/>
        </w:rPr>
        <w:t>сто вісімдесят</w:t>
      </w:r>
      <w:r w:rsidRPr="00E16672">
        <w:rPr>
          <w:rFonts w:ascii="Times New Roman" w:hAnsi="Times New Roman"/>
          <w:color w:val="000000"/>
          <w:szCs w:val="20"/>
          <w:lang w:val="uk-UA"/>
        </w:rPr>
        <w:t xml:space="preserve"> днів вважається відмовою від виконання умов</w:t>
      </w:r>
    </w:p>
    <w:p w14:paraId="46013ABA" w14:textId="77777777" w:rsidR="00502AEC" w:rsidRPr="00E16672" w:rsidRDefault="00502AEC" w:rsidP="00781EF9">
      <w:pPr>
        <w:ind w:firstLine="0"/>
        <w:rPr>
          <w:rFonts w:ascii="Times New Roman" w:hAnsi="Times New Roman"/>
          <w:color w:val="000000"/>
          <w:szCs w:val="20"/>
          <w:lang w:val="uk-UA"/>
        </w:rPr>
      </w:pPr>
      <w:r w:rsidRPr="00E16672">
        <w:rPr>
          <w:rFonts w:ascii="Times New Roman" w:hAnsi="Times New Roman"/>
          <w:color w:val="000000"/>
          <w:szCs w:val="20"/>
          <w:lang w:val="uk-UA"/>
        </w:rPr>
        <w:t>Договору, у зв'язку з чим, Депозитарна установа має право нарахувати та стягнути з іншої Сторони, крім пені,</w:t>
      </w:r>
      <w:r w:rsidR="00781EF9" w:rsidRPr="00E16672">
        <w:rPr>
          <w:rFonts w:ascii="Times New Roman" w:hAnsi="Times New Roman"/>
          <w:color w:val="000000"/>
          <w:szCs w:val="20"/>
          <w:lang w:val="uk-UA"/>
        </w:rPr>
        <w:t xml:space="preserve"> </w:t>
      </w:r>
      <w:r w:rsidRPr="00E16672">
        <w:rPr>
          <w:rFonts w:ascii="Times New Roman" w:hAnsi="Times New Roman"/>
          <w:color w:val="000000"/>
          <w:szCs w:val="20"/>
          <w:lang w:val="uk-UA"/>
        </w:rPr>
        <w:t>штраф у розмірі 20% від суми невиконаного зобов'язання.</w:t>
      </w:r>
    </w:p>
    <w:p w14:paraId="3836BAED" w14:textId="77777777" w:rsidR="00781EF9" w:rsidRPr="00E16672" w:rsidRDefault="00502AEC" w:rsidP="00781EF9">
      <w:pPr>
        <w:ind w:left="709" w:firstLine="0"/>
        <w:rPr>
          <w:rFonts w:ascii="Times New Roman" w:hAnsi="Times New Roman"/>
          <w:szCs w:val="20"/>
          <w:lang w:val="uk-UA"/>
        </w:rPr>
      </w:pPr>
      <w:r w:rsidRPr="00E16672">
        <w:rPr>
          <w:rFonts w:ascii="Times New Roman" w:hAnsi="Times New Roman"/>
          <w:szCs w:val="20"/>
          <w:lang w:val="uk-UA"/>
        </w:rPr>
        <w:t>5.10.1. Депозитарна установа може пред'являти Депоненту вимоги стосовно сплати штрафу, як шляхом</w:t>
      </w:r>
    </w:p>
    <w:p w14:paraId="26ADE945" w14:textId="77777777" w:rsidR="00502AEC" w:rsidRPr="00E16672" w:rsidRDefault="00502AEC" w:rsidP="00781EF9">
      <w:pPr>
        <w:ind w:firstLine="0"/>
        <w:rPr>
          <w:rFonts w:ascii="Times New Roman" w:hAnsi="Times New Roman"/>
          <w:szCs w:val="20"/>
          <w:lang w:val="uk-UA"/>
        </w:rPr>
      </w:pPr>
      <w:r w:rsidRPr="00E16672">
        <w:rPr>
          <w:rFonts w:ascii="Times New Roman" w:hAnsi="Times New Roman"/>
          <w:szCs w:val="20"/>
          <w:lang w:val="uk-UA"/>
        </w:rPr>
        <w:t>надіслання рахунка, так і шляхом звернення до Депонента з листом, телеграмою тощо.</w:t>
      </w:r>
    </w:p>
    <w:p w14:paraId="78DAC75E" w14:textId="77777777" w:rsidR="00781EF9" w:rsidRPr="00E16672" w:rsidRDefault="00502AEC" w:rsidP="00781EF9">
      <w:pPr>
        <w:ind w:left="709" w:firstLine="0"/>
        <w:rPr>
          <w:rFonts w:ascii="Times New Roman" w:hAnsi="Times New Roman"/>
          <w:szCs w:val="20"/>
          <w:lang w:val="uk-UA"/>
        </w:rPr>
      </w:pPr>
      <w:r w:rsidRPr="00E16672">
        <w:rPr>
          <w:rFonts w:ascii="Times New Roman" w:hAnsi="Times New Roman"/>
          <w:szCs w:val="20"/>
          <w:lang w:val="uk-UA"/>
        </w:rPr>
        <w:t xml:space="preserve">5.10.2. Депонент повинен виконати зобов'язання, визначене п.5.10., у </w:t>
      </w:r>
      <w:r w:rsidRPr="00E16672">
        <w:rPr>
          <w:rFonts w:ascii="Times New Roman" w:hAnsi="Times New Roman"/>
          <w:i/>
          <w:szCs w:val="20"/>
          <w:lang w:val="uk-UA"/>
        </w:rPr>
        <w:t>п’ятиденний</w:t>
      </w:r>
      <w:r w:rsidRPr="00E16672">
        <w:rPr>
          <w:rFonts w:ascii="Times New Roman" w:hAnsi="Times New Roman"/>
          <w:szCs w:val="20"/>
          <w:lang w:val="uk-UA"/>
        </w:rPr>
        <w:t xml:space="preserve"> строк з дня пред'явлення</w:t>
      </w:r>
    </w:p>
    <w:p w14:paraId="7C1F500A" w14:textId="77777777" w:rsidR="00502AEC" w:rsidRPr="00E16672" w:rsidRDefault="00502AEC" w:rsidP="00781EF9">
      <w:pPr>
        <w:ind w:firstLine="0"/>
        <w:rPr>
          <w:rFonts w:ascii="Times New Roman" w:hAnsi="Times New Roman"/>
          <w:szCs w:val="20"/>
          <w:lang w:val="uk-UA"/>
        </w:rPr>
      </w:pPr>
      <w:r w:rsidRPr="00E16672">
        <w:rPr>
          <w:rFonts w:ascii="Times New Roman" w:hAnsi="Times New Roman"/>
          <w:szCs w:val="20"/>
          <w:lang w:val="uk-UA"/>
        </w:rPr>
        <w:t>вимоги Депозитарної установи згідно з пп.5.10.1. Таким днем слід вважати дату одержання вимоги Депонентом.</w:t>
      </w:r>
    </w:p>
    <w:p w14:paraId="584E893E" w14:textId="77777777" w:rsidR="00781EF9" w:rsidRPr="00E16672" w:rsidRDefault="00502AEC" w:rsidP="00781EF9">
      <w:pPr>
        <w:ind w:left="709" w:firstLine="0"/>
        <w:rPr>
          <w:rFonts w:ascii="Times New Roman" w:hAnsi="Times New Roman"/>
          <w:szCs w:val="20"/>
          <w:lang w:val="uk-UA"/>
        </w:rPr>
      </w:pPr>
      <w:r w:rsidRPr="00E16672">
        <w:rPr>
          <w:rFonts w:ascii="Times New Roman" w:hAnsi="Times New Roman"/>
          <w:szCs w:val="20"/>
          <w:lang w:val="uk-UA"/>
        </w:rPr>
        <w:t>5.10.3. Виплата пені або штрафу не звільняє Сторони від виконання обов’язків згідно з умовами цього</w:t>
      </w:r>
    </w:p>
    <w:p w14:paraId="57F3E1DE" w14:textId="77777777" w:rsidR="00502AEC" w:rsidRPr="00E16672" w:rsidRDefault="00502AEC" w:rsidP="00781EF9">
      <w:pPr>
        <w:ind w:firstLine="0"/>
        <w:rPr>
          <w:rFonts w:ascii="Times New Roman" w:hAnsi="Times New Roman"/>
          <w:szCs w:val="20"/>
          <w:lang w:val="uk-UA"/>
        </w:rPr>
      </w:pPr>
      <w:r w:rsidRPr="00E16672">
        <w:rPr>
          <w:rFonts w:ascii="Times New Roman" w:hAnsi="Times New Roman"/>
          <w:szCs w:val="20"/>
          <w:lang w:val="uk-UA"/>
        </w:rPr>
        <w:t>Договору.</w:t>
      </w:r>
    </w:p>
    <w:p w14:paraId="422CF364" w14:textId="77777777" w:rsidR="00502AEC" w:rsidRPr="00E16672" w:rsidRDefault="00502AEC">
      <w:pPr>
        <w:pStyle w:val="23"/>
        <w:ind w:firstLine="555"/>
        <w:rPr>
          <w:rFonts w:ascii="Times New Roman" w:hAnsi="Times New Roman"/>
        </w:rPr>
      </w:pPr>
      <w:r w:rsidRPr="00E16672">
        <w:rPr>
          <w:rFonts w:ascii="Times New Roman" w:hAnsi="Times New Roman"/>
        </w:rPr>
        <w:t>5.11. Сторона, яка порушила Договір, несе відповідальність, якщо не доведе, що належне виконання зобов'язання унеможлив</w:t>
      </w:r>
      <w:r w:rsidR="0041169D" w:rsidRPr="00E16672">
        <w:rPr>
          <w:rFonts w:ascii="Times New Roman" w:hAnsi="Times New Roman"/>
        </w:rPr>
        <w:t>лено</w:t>
      </w:r>
      <w:r w:rsidRPr="00E16672">
        <w:rPr>
          <w:rFonts w:ascii="Times New Roman" w:hAnsi="Times New Roman"/>
        </w:rPr>
        <w:t xml:space="preserve"> вплив</w:t>
      </w:r>
      <w:r w:rsidR="0041169D" w:rsidRPr="00E16672">
        <w:rPr>
          <w:rFonts w:ascii="Times New Roman" w:hAnsi="Times New Roman"/>
        </w:rPr>
        <w:t>ом</w:t>
      </w:r>
      <w:r w:rsidRPr="00E16672">
        <w:rPr>
          <w:rFonts w:ascii="Times New Roman" w:hAnsi="Times New Roman"/>
        </w:rPr>
        <w:t xml:space="preserve"> обставин непереборної сили, тобто надзвичайних і невідворотних за даних умов подій: стихійного лиха, аварії, пожежі, масових порушень правопорядку, страйків, військових дій, протиправних дій третіх осіб (крім дій працівників Сторони) чи інших обставин, що виникли після підписання Договору та не залежать від волевиявлення Сторін. Не є непереборною силою недодержання своїх обов'язків іншими контрагентами однієї зі Сторін чи відсутність у Сторони достатніх коштів.</w:t>
      </w:r>
    </w:p>
    <w:p w14:paraId="518212D4" w14:textId="77777777" w:rsidR="00502AEC" w:rsidRPr="00E16672" w:rsidRDefault="00502AEC" w:rsidP="002B421A">
      <w:pPr>
        <w:pStyle w:val="23"/>
        <w:tabs>
          <w:tab w:val="left" w:pos="1080"/>
        </w:tabs>
        <w:ind w:firstLine="555"/>
        <w:rPr>
          <w:rFonts w:ascii="Times New Roman" w:hAnsi="Times New Roman"/>
        </w:rPr>
      </w:pPr>
      <w:r w:rsidRPr="00E16672">
        <w:rPr>
          <w:rFonts w:ascii="Times New Roman" w:hAnsi="Times New Roman"/>
        </w:rPr>
        <w:t xml:space="preserve">5.12. Жодна із Сторін не несе відповідальності за невиконання або неналежне виконання своїх </w:t>
      </w:r>
      <w:r w:rsidR="00A016E8" w:rsidRPr="00E16672">
        <w:rPr>
          <w:rFonts w:ascii="Times New Roman" w:hAnsi="Times New Roman"/>
        </w:rPr>
        <w:t>зобов’язань</w:t>
      </w:r>
      <w:r w:rsidRPr="00E16672">
        <w:rPr>
          <w:rFonts w:ascii="Times New Roman" w:hAnsi="Times New Roman"/>
        </w:rPr>
        <w:t xml:space="preserve"> за цим Договором, якщо це невиконання або неналежне виконання зумовлено дією обставин непереборної сили (форс-мажорних обставин)</w:t>
      </w:r>
      <w:r w:rsidR="00A53572" w:rsidRPr="00E16672">
        <w:rPr>
          <w:rFonts w:ascii="Times New Roman" w:hAnsi="Times New Roman"/>
        </w:rPr>
        <w:t xml:space="preserve"> відповідно до розділу 9 цього Договору</w:t>
      </w:r>
      <w:r w:rsidRPr="00E16672">
        <w:rPr>
          <w:rFonts w:ascii="Times New Roman" w:hAnsi="Times New Roman"/>
        </w:rPr>
        <w:t xml:space="preserve">. </w:t>
      </w:r>
    </w:p>
    <w:p w14:paraId="06191E25" w14:textId="77777777" w:rsidR="00502AEC" w:rsidRPr="00E16672" w:rsidRDefault="00502AEC">
      <w:pPr>
        <w:pStyle w:val="23"/>
        <w:tabs>
          <w:tab w:val="left" w:pos="1080"/>
        </w:tabs>
        <w:ind w:firstLine="555"/>
        <w:rPr>
          <w:rFonts w:ascii="Times New Roman" w:hAnsi="Times New Roman"/>
        </w:rPr>
      </w:pPr>
      <w:r w:rsidRPr="00E16672">
        <w:rPr>
          <w:rFonts w:ascii="Times New Roman" w:hAnsi="Times New Roman"/>
        </w:rPr>
        <w:t xml:space="preserve">5.13. Усі спори, що виникають з цього Договору або пов'язані із ним, вирішуються шляхом переговорів або у порядку, встановленому чинним законодавством України,  шляхом вирішення у судовому порядку. </w:t>
      </w:r>
    </w:p>
    <w:p w14:paraId="0CA61DBA" w14:textId="77777777" w:rsidR="003634F0" w:rsidRPr="00E16672" w:rsidRDefault="00502AEC" w:rsidP="003634F0">
      <w:pPr>
        <w:pStyle w:val="23"/>
        <w:tabs>
          <w:tab w:val="left" w:pos="1080"/>
        </w:tabs>
        <w:ind w:firstLine="555"/>
        <w:rPr>
          <w:rFonts w:ascii="Times New Roman" w:hAnsi="Times New Roman"/>
        </w:rPr>
      </w:pPr>
      <w:r w:rsidRPr="00E16672">
        <w:rPr>
          <w:rFonts w:ascii="Times New Roman" w:hAnsi="Times New Roman"/>
        </w:rPr>
        <w:t xml:space="preserve">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законодавства України або у постійно діючому Третейському суді </w:t>
      </w:r>
      <w:proofErr w:type="spellStart"/>
      <w:r w:rsidRPr="00E16672">
        <w:rPr>
          <w:rFonts w:ascii="Times New Roman" w:hAnsi="Times New Roman"/>
        </w:rPr>
        <w:t>саморегулівної</w:t>
      </w:r>
      <w:proofErr w:type="spellEnd"/>
      <w:r w:rsidRPr="00E16672">
        <w:rPr>
          <w:rFonts w:ascii="Times New Roman" w:hAnsi="Times New Roman"/>
        </w:rPr>
        <w:t xml:space="preserve"> організації Професійна асоціація реєстраторів і депозитаріїв.</w:t>
      </w:r>
      <w:r w:rsidR="003634F0" w:rsidRPr="00E16672">
        <w:rPr>
          <w:rFonts w:ascii="Times New Roman" w:hAnsi="Times New Roman"/>
        </w:rPr>
        <w:t xml:space="preserve"> </w:t>
      </w:r>
    </w:p>
    <w:p w14:paraId="5BCF2975" w14:textId="77777777" w:rsidR="003634F0" w:rsidRPr="00E16672" w:rsidRDefault="003634F0" w:rsidP="00754BA9">
      <w:pPr>
        <w:pStyle w:val="23"/>
        <w:tabs>
          <w:tab w:val="left" w:pos="1080"/>
        </w:tabs>
        <w:ind w:firstLine="555"/>
        <w:rPr>
          <w:rFonts w:ascii="Times New Roman" w:hAnsi="Times New Roman"/>
        </w:rPr>
      </w:pPr>
      <w:r w:rsidRPr="00E16672">
        <w:rPr>
          <w:rFonts w:ascii="Times New Roman" w:hAnsi="Times New Roman"/>
        </w:rPr>
        <w:t>5.</w:t>
      </w:r>
      <w:r w:rsidRPr="00E16672">
        <w:rPr>
          <w:rFonts w:ascii="Times New Roman" w:hAnsi="Times New Roman"/>
          <w:color w:val="000000"/>
        </w:rPr>
        <w:t>14.</w:t>
      </w:r>
      <w:r w:rsidR="00754BA9" w:rsidRPr="00E16672">
        <w:rPr>
          <w:rFonts w:ascii="Times New Roman" w:hAnsi="Times New Roman"/>
          <w:color w:val="000000"/>
          <w:sz w:val="16"/>
          <w:lang w:val="ru-RU"/>
        </w:rPr>
        <w:t xml:space="preserve"> </w:t>
      </w:r>
      <w:r w:rsidR="00754BA9" w:rsidRPr="00E16672">
        <w:rPr>
          <w:rFonts w:ascii="Times New Roman" w:hAnsi="Times New Roman"/>
          <w:color w:val="000000"/>
          <w:lang w:val="ru-RU"/>
        </w:rPr>
        <w:t xml:space="preserve">Строк </w:t>
      </w:r>
      <w:proofErr w:type="spellStart"/>
      <w:r w:rsidR="00754BA9" w:rsidRPr="00E16672">
        <w:rPr>
          <w:rFonts w:ascii="Times New Roman" w:hAnsi="Times New Roman"/>
          <w:color w:val="000000"/>
          <w:lang w:val="ru-RU"/>
        </w:rPr>
        <w:t>позовної</w:t>
      </w:r>
      <w:proofErr w:type="spellEnd"/>
      <w:r w:rsidR="00754BA9" w:rsidRPr="00E16672">
        <w:rPr>
          <w:rFonts w:ascii="Times New Roman" w:hAnsi="Times New Roman"/>
          <w:color w:val="000000"/>
          <w:lang w:val="ru-RU"/>
        </w:rPr>
        <w:t xml:space="preserve"> </w:t>
      </w:r>
      <w:proofErr w:type="spellStart"/>
      <w:r w:rsidR="00754BA9" w:rsidRPr="00E16672">
        <w:rPr>
          <w:rFonts w:ascii="Times New Roman" w:hAnsi="Times New Roman"/>
          <w:color w:val="000000"/>
          <w:lang w:val="ru-RU"/>
        </w:rPr>
        <w:t>давності</w:t>
      </w:r>
      <w:proofErr w:type="spellEnd"/>
      <w:r w:rsidR="00754BA9" w:rsidRPr="00E16672">
        <w:rPr>
          <w:rFonts w:ascii="Times New Roman" w:hAnsi="Times New Roman"/>
          <w:color w:val="000000"/>
          <w:lang w:val="ru-RU"/>
        </w:rPr>
        <w:t xml:space="preserve">, </w:t>
      </w:r>
      <w:proofErr w:type="gramStart"/>
      <w:r w:rsidR="00754BA9" w:rsidRPr="00E16672">
        <w:rPr>
          <w:rFonts w:ascii="Times New Roman" w:hAnsi="Times New Roman"/>
          <w:color w:val="000000"/>
          <w:lang w:val="ru-RU"/>
        </w:rPr>
        <w:t>у межах</w:t>
      </w:r>
      <w:proofErr w:type="gramEnd"/>
      <w:r w:rsidR="00754BA9" w:rsidRPr="00E16672">
        <w:rPr>
          <w:rFonts w:ascii="Times New Roman" w:hAnsi="Times New Roman"/>
          <w:color w:val="000000"/>
          <w:lang w:val="ru-RU"/>
        </w:rPr>
        <w:t xml:space="preserve"> </w:t>
      </w:r>
      <w:proofErr w:type="spellStart"/>
      <w:r w:rsidR="00754BA9" w:rsidRPr="00E16672">
        <w:rPr>
          <w:rFonts w:ascii="Times New Roman" w:hAnsi="Times New Roman"/>
          <w:color w:val="000000"/>
          <w:lang w:val="ru-RU"/>
        </w:rPr>
        <w:t>якого</w:t>
      </w:r>
      <w:proofErr w:type="spellEnd"/>
      <w:r w:rsidR="00754BA9" w:rsidRPr="00E16672">
        <w:rPr>
          <w:rFonts w:ascii="Times New Roman" w:hAnsi="Times New Roman"/>
          <w:color w:val="000000"/>
          <w:lang w:val="ru-RU"/>
        </w:rPr>
        <w:t xml:space="preserve"> одна </w:t>
      </w:r>
      <w:proofErr w:type="spellStart"/>
      <w:r w:rsidR="00754BA9" w:rsidRPr="00E16672">
        <w:rPr>
          <w:rFonts w:ascii="Times New Roman" w:hAnsi="Times New Roman"/>
          <w:color w:val="000000"/>
          <w:lang w:val="ru-RU"/>
        </w:rPr>
        <w:t>із</w:t>
      </w:r>
      <w:proofErr w:type="spellEnd"/>
      <w:r w:rsidR="00754BA9" w:rsidRPr="00E16672">
        <w:rPr>
          <w:rFonts w:ascii="Times New Roman" w:hAnsi="Times New Roman"/>
          <w:color w:val="000000"/>
          <w:lang w:val="ru-RU"/>
        </w:rPr>
        <w:t xml:space="preserve"> </w:t>
      </w:r>
      <w:proofErr w:type="spellStart"/>
      <w:r w:rsidR="00754BA9" w:rsidRPr="00E16672">
        <w:rPr>
          <w:rFonts w:ascii="Times New Roman" w:hAnsi="Times New Roman"/>
          <w:color w:val="000000"/>
          <w:lang w:val="ru-RU"/>
        </w:rPr>
        <w:t>Сторін</w:t>
      </w:r>
      <w:proofErr w:type="spellEnd"/>
      <w:r w:rsidR="00754BA9" w:rsidRPr="00E16672">
        <w:rPr>
          <w:rFonts w:ascii="Times New Roman" w:hAnsi="Times New Roman"/>
          <w:color w:val="000000"/>
          <w:lang w:val="ru-RU"/>
        </w:rPr>
        <w:t xml:space="preserve"> </w:t>
      </w:r>
      <w:proofErr w:type="spellStart"/>
      <w:r w:rsidR="00754BA9" w:rsidRPr="00E16672">
        <w:rPr>
          <w:rFonts w:ascii="Times New Roman" w:hAnsi="Times New Roman"/>
          <w:color w:val="000000"/>
          <w:lang w:val="ru-RU"/>
        </w:rPr>
        <w:t>може</w:t>
      </w:r>
      <w:proofErr w:type="spellEnd"/>
      <w:r w:rsidR="00754BA9" w:rsidRPr="00E16672">
        <w:rPr>
          <w:rFonts w:ascii="Times New Roman" w:hAnsi="Times New Roman"/>
          <w:color w:val="000000"/>
          <w:lang w:val="ru-RU"/>
        </w:rPr>
        <w:t xml:space="preserve"> </w:t>
      </w:r>
      <w:proofErr w:type="spellStart"/>
      <w:r w:rsidR="00754BA9" w:rsidRPr="00E16672">
        <w:rPr>
          <w:rFonts w:ascii="Times New Roman" w:hAnsi="Times New Roman"/>
          <w:color w:val="000000"/>
          <w:lang w:val="ru-RU"/>
        </w:rPr>
        <w:t>звернутися</w:t>
      </w:r>
      <w:proofErr w:type="spellEnd"/>
      <w:r w:rsidR="00754BA9" w:rsidRPr="00E16672">
        <w:rPr>
          <w:rFonts w:ascii="Times New Roman" w:hAnsi="Times New Roman"/>
          <w:color w:val="000000"/>
          <w:lang w:val="ru-RU"/>
        </w:rPr>
        <w:t xml:space="preserve"> до суду з </w:t>
      </w:r>
      <w:proofErr w:type="spellStart"/>
      <w:r w:rsidR="00754BA9" w:rsidRPr="00E16672">
        <w:rPr>
          <w:rFonts w:ascii="Times New Roman" w:hAnsi="Times New Roman"/>
          <w:color w:val="000000"/>
          <w:lang w:val="ru-RU"/>
        </w:rPr>
        <w:t>вимогою</w:t>
      </w:r>
      <w:proofErr w:type="spellEnd"/>
      <w:r w:rsidR="00754BA9" w:rsidRPr="00E16672">
        <w:rPr>
          <w:rFonts w:ascii="Times New Roman" w:hAnsi="Times New Roman"/>
          <w:color w:val="000000"/>
          <w:lang w:val="ru-RU"/>
        </w:rPr>
        <w:t xml:space="preserve"> про </w:t>
      </w:r>
      <w:proofErr w:type="spellStart"/>
      <w:r w:rsidR="00754BA9" w:rsidRPr="00E16672">
        <w:rPr>
          <w:rFonts w:ascii="Times New Roman" w:hAnsi="Times New Roman"/>
          <w:color w:val="000000"/>
          <w:lang w:val="ru-RU"/>
        </w:rPr>
        <w:t>захист</w:t>
      </w:r>
      <w:proofErr w:type="spellEnd"/>
      <w:r w:rsidR="00754BA9" w:rsidRPr="00E16672">
        <w:rPr>
          <w:rFonts w:ascii="Times New Roman" w:hAnsi="Times New Roman"/>
          <w:color w:val="000000"/>
          <w:lang w:val="ru-RU"/>
        </w:rPr>
        <w:t xml:space="preserve"> </w:t>
      </w:r>
      <w:proofErr w:type="spellStart"/>
      <w:r w:rsidR="00754BA9" w:rsidRPr="00E16672">
        <w:rPr>
          <w:rFonts w:ascii="Times New Roman" w:hAnsi="Times New Roman"/>
          <w:i/>
          <w:iCs/>
          <w:color w:val="000000"/>
          <w:lang w:val="ru-RU"/>
        </w:rPr>
        <w:t>основних</w:t>
      </w:r>
      <w:proofErr w:type="spellEnd"/>
      <w:r w:rsidR="00754BA9" w:rsidRPr="00E16672">
        <w:rPr>
          <w:rFonts w:ascii="Times New Roman" w:hAnsi="Times New Roman"/>
          <w:i/>
          <w:iCs/>
          <w:color w:val="000000"/>
          <w:lang w:val="ru-RU"/>
        </w:rPr>
        <w:t xml:space="preserve"> </w:t>
      </w:r>
      <w:r w:rsidR="00754BA9" w:rsidRPr="00E16672">
        <w:rPr>
          <w:rFonts w:ascii="Times New Roman" w:hAnsi="Times New Roman"/>
          <w:color w:val="000000"/>
          <w:lang w:val="ru-RU"/>
        </w:rPr>
        <w:t xml:space="preserve">прав та </w:t>
      </w:r>
      <w:proofErr w:type="spellStart"/>
      <w:r w:rsidR="00754BA9" w:rsidRPr="00E16672">
        <w:rPr>
          <w:rFonts w:ascii="Times New Roman" w:hAnsi="Times New Roman"/>
          <w:color w:val="000000"/>
          <w:lang w:val="ru-RU"/>
        </w:rPr>
        <w:t>інтересів</w:t>
      </w:r>
      <w:proofErr w:type="spellEnd"/>
      <w:r w:rsidR="00754BA9" w:rsidRPr="00E16672">
        <w:rPr>
          <w:rFonts w:ascii="Times New Roman" w:hAnsi="Times New Roman"/>
          <w:color w:val="000000"/>
          <w:lang w:val="ru-RU"/>
        </w:rPr>
        <w:t xml:space="preserve"> </w:t>
      </w:r>
      <w:proofErr w:type="spellStart"/>
      <w:r w:rsidR="00754BA9" w:rsidRPr="00E16672">
        <w:rPr>
          <w:rFonts w:ascii="Times New Roman" w:hAnsi="Times New Roman"/>
          <w:color w:val="000000"/>
          <w:lang w:val="ru-RU"/>
        </w:rPr>
        <w:t>встановлюється</w:t>
      </w:r>
      <w:proofErr w:type="spellEnd"/>
      <w:r w:rsidR="00754BA9" w:rsidRPr="00E16672">
        <w:rPr>
          <w:rFonts w:ascii="Times New Roman" w:hAnsi="Times New Roman"/>
          <w:color w:val="000000"/>
          <w:lang w:val="ru-RU"/>
        </w:rPr>
        <w:t xml:space="preserve"> </w:t>
      </w:r>
      <w:proofErr w:type="spellStart"/>
      <w:r w:rsidR="00754BA9" w:rsidRPr="00E16672">
        <w:rPr>
          <w:rFonts w:ascii="Times New Roman" w:hAnsi="Times New Roman"/>
          <w:color w:val="000000"/>
          <w:lang w:val="ru-RU"/>
        </w:rPr>
        <w:t>тривалістю</w:t>
      </w:r>
      <w:proofErr w:type="spellEnd"/>
      <w:r w:rsidR="00754BA9" w:rsidRPr="00E16672">
        <w:rPr>
          <w:rFonts w:ascii="Times New Roman" w:hAnsi="Times New Roman"/>
          <w:color w:val="000000"/>
          <w:lang w:val="ru-RU"/>
        </w:rPr>
        <w:t xml:space="preserve"> у </w:t>
      </w:r>
      <w:proofErr w:type="spellStart"/>
      <w:r w:rsidR="00754BA9" w:rsidRPr="00E16672">
        <w:rPr>
          <w:rFonts w:ascii="Times New Roman" w:hAnsi="Times New Roman"/>
          <w:i/>
          <w:iCs/>
          <w:color w:val="000000"/>
          <w:lang w:val="ru-RU"/>
        </w:rPr>
        <w:t>п’ятдесят</w:t>
      </w:r>
      <w:proofErr w:type="spellEnd"/>
      <w:r w:rsidR="00754BA9" w:rsidRPr="00E16672">
        <w:rPr>
          <w:rFonts w:ascii="Times New Roman" w:hAnsi="Times New Roman"/>
          <w:color w:val="000000"/>
          <w:lang w:val="ru-RU"/>
        </w:rPr>
        <w:t xml:space="preserve"> </w:t>
      </w:r>
      <w:proofErr w:type="spellStart"/>
      <w:r w:rsidR="00754BA9" w:rsidRPr="00E16672">
        <w:rPr>
          <w:rFonts w:ascii="Times New Roman" w:hAnsi="Times New Roman"/>
          <w:color w:val="000000"/>
          <w:lang w:val="ru-RU"/>
        </w:rPr>
        <w:t>років</w:t>
      </w:r>
      <w:proofErr w:type="spellEnd"/>
      <w:r w:rsidR="00754BA9" w:rsidRPr="00E16672">
        <w:rPr>
          <w:rFonts w:ascii="Times New Roman" w:hAnsi="Times New Roman"/>
          <w:color w:val="000000"/>
          <w:lang w:val="ru-RU"/>
        </w:rPr>
        <w:t xml:space="preserve">. </w:t>
      </w:r>
      <w:proofErr w:type="spellStart"/>
      <w:r w:rsidR="00754BA9" w:rsidRPr="00E16672">
        <w:rPr>
          <w:rFonts w:ascii="Times New Roman" w:hAnsi="Times New Roman"/>
          <w:color w:val="000000"/>
          <w:lang w:val="ru-RU"/>
        </w:rPr>
        <w:t>Позовна</w:t>
      </w:r>
      <w:proofErr w:type="spellEnd"/>
      <w:r w:rsidR="00754BA9" w:rsidRPr="00E16672">
        <w:rPr>
          <w:rFonts w:ascii="Times New Roman" w:hAnsi="Times New Roman"/>
          <w:color w:val="000000"/>
          <w:lang w:val="ru-RU"/>
        </w:rPr>
        <w:t xml:space="preserve"> </w:t>
      </w:r>
      <w:proofErr w:type="spellStart"/>
      <w:r w:rsidR="00754BA9" w:rsidRPr="00E16672">
        <w:rPr>
          <w:rFonts w:ascii="Times New Roman" w:hAnsi="Times New Roman"/>
          <w:color w:val="000000"/>
          <w:lang w:val="ru-RU"/>
        </w:rPr>
        <w:t>давність</w:t>
      </w:r>
      <w:proofErr w:type="spellEnd"/>
      <w:r w:rsidR="00754BA9" w:rsidRPr="00E16672">
        <w:rPr>
          <w:rFonts w:ascii="Times New Roman" w:hAnsi="Times New Roman"/>
          <w:color w:val="000000"/>
          <w:lang w:val="ru-RU"/>
        </w:rPr>
        <w:t xml:space="preserve"> в </w:t>
      </w:r>
      <w:proofErr w:type="spellStart"/>
      <w:r w:rsidR="00754BA9" w:rsidRPr="00E16672">
        <w:rPr>
          <w:rFonts w:ascii="Times New Roman" w:hAnsi="Times New Roman"/>
          <w:i/>
          <w:iCs/>
          <w:color w:val="000000"/>
          <w:lang w:val="ru-RU"/>
        </w:rPr>
        <w:t>п'ятдесят</w:t>
      </w:r>
      <w:proofErr w:type="spellEnd"/>
      <w:r w:rsidR="00754BA9" w:rsidRPr="00E16672">
        <w:rPr>
          <w:rFonts w:ascii="Times New Roman" w:hAnsi="Times New Roman"/>
          <w:color w:val="000000"/>
          <w:lang w:val="ru-RU"/>
        </w:rPr>
        <w:t xml:space="preserve"> </w:t>
      </w:r>
      <w:proofErr w:type="spellStart"/>
      <w:r w:rsidR="00754BA9" w:rsidRPr="00E16672">
        <w:rPr>
          <w:rFonts w:ascii="Times New Roman" w:hAnsi="Times New Roman"/>
          <w:color w:val="000000"/>
          <w:lang w:val="ru-RU"/>
        </w:rPr>
        <w:t>років</w:t>
      </w:r>
      <w:proofErr w:type="spellEnd"/>
      <w:r w:rsidR="00754BA9" w:rsidRPr="00E16672">
        <w:rPr>
          <w:rFonts w:ascii="Times New Roman" w:hAnsi="Times New Roman"/>
          <w:color w:val="000000"/>
          <w:lang w:val="ru-RU"/>
        </w:rPr>
        <w:t xml:space="preserve"> </w:t>
      </w:r>
      <w:proofErr w:type="spellStart"/>
      <w:r w:rsidR="00754BA9" w:rsidRPr="00E16672">
        <w:rPr>
          <w:rFonts w:ascii="Times New Roman" w:hAnsi="Times New Roman"/>
          <w:color w:val="000000"/>
          <w:lang w:val="ru-RU"/>
        </w:rPr>
        <w:t>застосовується</w:t>
      </w:r>
      <w:proofErr w:type="spellEnd"/>
      <w:r w:rsidR="00754BA9" w:rsidRPr="00E16672">
        <w:rPr>
          <w:rFonts w:ascii="Times New Roman" w:hAnsi="Times New Roman"/>
          <w:color w:val="000000"/>
          <w:lang w:val="ru-RU"/>
        </w:rPr>
        <w:t xml:space="preserve"> </w:t>
      </w:r>
      <w:proofErr w:type="spellStart"/>
      <w:r w:rsidR="00754BA9" w:rsidRPr="00E16672">
        <w:rPr>
          <w:rFonts w:ascii="Times New Roman" w:hAnsi="Times New Roman"/>
          <w:color w:val="000000"/>
          <w:lang w:val="ru-RU"/>
        </w:rPr>
        <w:t>також</w:t>
      </w:r>
      <w:proofErr w:type="spellEnd"/>
      <w:r w:rsidR="00754BA9" w:rsidRPr="00E16672">
        <w:rPr>
          <w:rFonts w:ascii="Times New Roman" w:hAnsi="Times New Roman"/>
          <w:color w:val="000000"/>
          <w:lang w:val="ru-RU"/>
        </w:rPr>
        <w:t xml:space="preserve"> до </w:t>
      </w:r>
      <w:proofErr w:type="spellStart"/>
      <w:r w:rsidR="00754BA9" w:rsidRPr="00E16672">
        <w:rPr>
          <w:rFonts w:ascii="Times New Roman" w:hAnsi="Times New Roman"/>
          <w:color w:val="000000"/>
          <w:lang w:val="ru-RU"/>
        </w:rPr>
        <w:t>вимог</w:t>
      </w:r>
      <w:proofErr w:type="spellEnd"/>
      <w:r w:rsidR="00754BA9" w:rsidRPr="00E16672">
        <w:rPr>
          <w:rFonts w:ascii="Times New Roman" w:hAnsi="Times New Roman"/>
          <w:lang w:val="ru-RU"/>
        </w:rPr>
        <w:t xml:space="preserve"> про </w:t>
      </w:r>
      <w:proofErr w:type="spellStart"/>
      <w:r w:rsidR="00754BA9" w:rsidRPr="00E16672">
        <w:rPr>
          <w:rFonts w:ascii="Times New Roman" w:hAnsi="Times New Roman"/>
          <w:lang w:val="ru-RU"/>
        </w:rPr>
        <w:t>стягнення</w:t>
      </w:r>
      <w:proofErr w:type="spellEnd"/>
      <w:r w:rsidR="00754BA9" w:rsidRPr="00E16672">
        <w:rPr>
          <w:rFonts w:ascii="Times New Roman" w:hAnsi="Times New Roman"/>
          <w:lang w:val="ru-RU"/>
        </w:rPr>
        <w:t xml:space="preserve"> </w:t>
      </w:r>
      <w:r w:rsidR="00754BA9" w:rsidRPr="00E16672">
        <w:rPr>
          <w:rFonts w:ascii="Times New Roman" w:hAnsi="Times New Roman"/>
          <w:i/>
          <w:iCs/>
          <w:lang w:val="ru-RU"/>
        </w:rPr>
        <w:t>неустойки</w:t>
      </w:r>
      <w:r w:rsidR="00754BA9" w:rsidRPr="00E16672">
        <w:rPr>
          <w:rFonts w:ascii="Times New Roman" w:hAnsi="Times New Roman"/>
          <w:lang w:val="ru-RU"/>
        </w:rPr>
        <w:t xml:space="preserve"> (</w:t>
      </w:r>
      <w:proofErr w:type="spellStart"/>
      <w:r w:rsidR="00754BA9" w:rsidRPr="00E16672">
        <w:rPr>
          <w:rFonts w:ascii="Times New Roman" w:hAnsi="Times New Roman"/>
          <w:lang w:val="ru-RU"/>
        </w:rPr>
        <w:t>пені</w:t>
      </w:r>
      <w:proofErr w:type="spellEnd"/>
      <w:r w:rsidR="00754BA9" w:rsidRPr="00E16672">
        <w:rPr>
          <w:rFonts w:ascii="Times New Roman" w:hAnsi="Times New Roman"/>
          <w:lang w:val="ru-RU"/>
        </w:rPr>
        <w:t>).</w:t>
      </w:r>
    </w:p>
    <w:p w14:paraId="357652E2" w14:textId="77777777" w:rsidR="00754BA9" w:rsidRPr="00E16672" w:rsidRDefault="00754BA9">
      <w:pPr>
        <w:jc w:val="center"/>
        <w:rPr>
          <w:rFonts w:ascii="Times New Roman" w:hAnsi="Times New Roman"/>
          <w:b/>
          <w:szCs w:val="20"/>
          <w:lang w:val="uk-UA"/>
        </w:rPr>
      </w:pPr>
    </w:p>
    <w:p w14:paraId="175678BA" w14:textId="77777777" w:rsidR="00502AEC" w:rsidRPr="00E16672" w:rsidRDefault="00502AEC">
      <w:pPr>
        <w:jc w:val="center"/>
        <w:rPr>
          <w:rFonts w:ascii="Times New Roman" w:hAnsi="Times New Roman"/>
          <w:b/>
          <w:szCs w:val="20"/>
          <w:lang w:val="uk-UA"/>
        </w:rPr>
      </w:pPr>
      <w:r w:rsidRPr="00E16672">
        <w:rPr>
          <w:rFonts w:ascii="Times New Roman" w:hAnsi="Times New Roman"/>
          <w:b/>
          <w:szCs w:val="20"/>
          <w:lang w:val="uk-UA"/>
        </w:rPr>
        <w:t xml:space="preserve">6. Строк дії Договору, порядок внесення змін до нього, умови розірвання Договору </w:t>
      </w:r>
    </w:p>
    <w:p w14:paraId="6B623C21" w14:textId="77777777" w:rsidR="00502AEC" w:rsidRPr="00E16672" w:rsidRDefault="00502AEC">
      <w:pPr>
        <w:jc w:val="center"/>
        <w:rPr>
          <w:rFonts w:ascii="Times New Roman" w:hAnsi="Times New Roman"/>
          <w:b/>
          <w:szCs w:val="20"/>
          <w:lang w:val="uk-UA"/>
        </w:rPr>
      </w:pPr>
      <w:r w:rsidRPr="00E16672">
        <w:rPr>
          <w:rFonts w:ascii="Times New Roman" w:hAnsi="Times New Roman"/>
          <w:b/>
          <w:szCs w:val="20"/>
          <w:lang w:val="uk-UA"/>
        </w:rPr>
        <w:t xml:space="preserve"> та припинення його дії</w:t>
      </w:r>
    </w:p>
    <w:p w14:paraId="32A99F8C" w14:textId="77777777" w:rsidR="00502AEC" w:rsidRPr="00E16672" w:rsidRDefault="00502AEC">
      <w:pPr>
        <w:rPr>
          <w:rFonts w:ascii="Times New Roman" w:hAnsi="Times New Roman"/>
          <w:szCs w:val="20"/>
          <w:lang w:val="uk-UA"/>
        </w:rPr>
      </w:pPr>
      <w:r w:rsidRPr="00E16672">
        <w:rPr>
          <w:rFonts w:ascii="Times New Roman" w:hAnsi="Times New Roman"/>
          <w:szCs w:val="20"/>
          <w:lang w:val="uk-UA"/>
        </w:rPr>
        <w:t xml:space="preserve">6.1.Цей Договір набирає чинності з моменту його підписання Сторонами і скріплення печатками та діє до повного виконання Договору. </w:t>
      </w:r>
    </w:p>
    <w:p w14:paraId="305A8485" w14:textId="77777777" w:rsidR="00502AEC" w:rsidRPr="00E16672" w:rsidRDefault="00502AEC">
      <w:pPr>
        <w:rPr>
          <w:rFonts w:ascii="Times New Roman" w:hAnsi="Times New Roman"/>
          <w:szCs w:val="20"/>
          <w:lang w:val="uk-UA"/>
        </w:rPr>
      </w:pPr>
      <w:r w:rsidRPr="00E16672">
        <w:rPr>
          <w:rFonts w:ascii="Times New Roman" w:hAnsi="Times New Roman"/>
          <w:szCs w:val="20"/>
          <w:lang w:val="uk-UA"/>
        </w:rPr>
        <w:t>6.2. Зміни до умов цього Договору вносяться за взаємною згодою Сторін, оформленою  в письмовій формі.</w:t>
      </w:r>
    </w:p>
    <w:p w14:paraId="1B9AA0CF" w14:textId="77777777" w:rsidR="00502AEC" w:rsidRPr="00E16672" w:rsidRDefault="00502AEC">
      <w:pPr>
        <w:rPr>
          <w:rFonts w:ascii="Times New Roman" w:hAnsi="Times New Roman"/>
          <w:szCs w:val="20"/>
          <w:lang w:val="uk-UA"/>
        </w:rPr>
      </w:pPr>
      <w:r w:rsidRPr="00E16672">
        <w:rPr>
          <w:rFonts w:ascii="Times New Roman" w:hAnsi="Times New Roman"/>
          <w:szCs w:val="20"/>
          <w:lang w:val="uk-UA"/>
        </w:rPr>
        <w:t>6.3. Цей Договір може бути достроково розірваний:</w:t>
      </w:r>
    </w:p>
    <w:p w14:paraId="1617EB69" w14:textId="77777777" w:rsidR="00502AEC" w:rsidRPr="00E16672" w:rsidRDefault="00502AEC">
      <w:pPr>
        <w:rPr>
          <w:rFonts w:ascii="Times New Roman" w:hAnsi="Times New Roman"/>
          <w:szCs w:val="20"/>
          <w:lang w:val="uk-UA"/>
        </w:rPr>
      </w:pPr>
      <w:r w:rsidRPr="00E16672">
        <w:rPr>
          <w:rFonts w:ascii="Times New Roman" w:hAnsi="Times New Roman"/>
          <w:szCs w:val="20"/>
          <w:lang w:val="uk-UA"/>
        </w:rPr>
        <w:t xml:space="preserve">6.3.1. Кожною із Сторін в односторонньому порядку. Про дострокове розірвання цього Договору в односторонньому порядку Сторона, яка прийняла таке рішення, повинна повідомити надіславши відповідне письмове повідомлення іншій Стороні за її місцезнаходженням менше ніж за </w:t>
      </w:r>
      <w:r w:rsidRPr="00E16672">
        <w:rPr>
          <w:rFonts w:ascii="Times New Roman" w:hAnsi="Times New Roman"/>
          <w:i/>
          <w:iCs/>
          <w:szCs w:val="20"/>
          <w:lang w:val="uk-UA"/>
        </w:rPr>
        <w:t>тридцять</w:t>
      </w:r>
      <w:r w:rsidRPr="00E16672">
        <w:rPr>
          <w:rFonts w:ascii="Times New Roman" w:hAnsi="Times New Roman"/>
          <w:szCs w:val="20"/>
          <w:lang w:val="uk-UA"/>
        </w:rPr>
        <w:t xml:space="preserve"> календарних днів до дати припинення дії Договору внаслідок розірвання. </w:t>
      </w:r>
    </w:p>
    <w:p w14:paraId="2EAED630" w14:textId="77777777" w:rsidR="00502AEC" w:rsidRPr="00E16672" w:rsidRDefault="00502AEC">
      <w:pPr>
        <w:rPr>
          <w:rFonts w:ascii="Times New Roman" w:hAnsi="Times New Roman"/>
          <w:szCs w:val="20"/>
          <w:lang w:val="uk-UA"/>
        </w:rPr>
      </w:pPr>
      <w:r w:rsidRPr="00E16672">
        <w:rPr>
          <w:rFonts w:ascii="Times New Roman" w:hAnsi="Times New Roman"/>
          <w:szCs w:val="20"/>
          <w:lang w:val="uk-UA"/>
        </w:rPr>
        <w:t>Депозитарна установа надсилає вказане письмове повідомлення про розірвання договору в односторонньому порядку за місцем проживання Депонента, що зазначене в анкеті рахунку в цінних паперах.</w:t>
      </w:r>
    </w:p>
    <w:p w14:paraId="045BCE60" w14:textId="77777777" w:rsidR="00502AEC" w:rsidRPr="00E16672" w:rsidRDefault="00502AEC">
      <w:pPr>
        <w:rPr>
          <w:rFonts w:ascii="Times New Roman" w:hAnsi="Times New Roman"/>
          <w:szCs w:val="20"/>
          <w:lang w:val="uk-UA"/>
        </w:rPr>
      </w:pPr>
      <w:r w:rsidRPr="00E16672">
        <w:rPr>
          <w:rFonts w:ascii="Times New Roman" w:hAnsi="Times New Roman"/>
          <w:szCs w:val="20"/>
          <w:lang w:val="uk-UA"/>
        </w:rPr>
        <w:t>6.3.2. За згодою Сторін.</w:t>
      </w:r>
    </w:p>
    <w:p w14:paraId="5108F1AC" w14:textId="77777777" w:rsidR="00502AEC" w:rsidRPr="00E16672" w:rsidRDefault="00502AEC">
      <w:pPr>
        <w:rPr>
          <w:rFonts w:ascii="Times New Roman" w:hAnsi="Times New Roman"/>
          <w:szCs w:val="20"/>
          <w:lang w:val="uk-UA"/>
        </w:rPr>
      </w:pPr>
      <w:r w:rsidRPr="00E16672">
        <w:rPr>
          <w:rFonts w:ascii="Times New Roman" w:hAnsi="Times New Roman"/>
          <w:szCs w:val="20"/>
          <w:lang w:val="uk-UA"/>
        </w:rPr>
        <w:t>6.3.3. За відповідним рішенням суду.</w:t>
      </w:r>
    </w:p>
    <w:p w14:paraId="5F2C212F" w14:textId="77777777" w:rsidR="00502AEC" w:rsidRPr="00E16672" w:rsidRDefault="00502AEC">
      <w:pPr>
        <w:rPr>
          <w:rFonts w:ascii="Times New Roman" w:hAnsi="Times New Roman"/>
          <w:szCs w:val="20"/>
          <w:lang w:val="uk-UA"/>
        </w:rPr>
      </w:pPr>
      <w:r w:rsidRPr="00E16672">
        <w:rPr>
          <w:rFonts w:ascii="Times New Roman" w:hAnsi="Times New Roman"/>
          <w:szCs w:val="20"/>
          <w:lang w:val="uk-UA"/>
        </w:rPr>
        <w:t xml:space="preserve">6.4. Договір може бути розірваний за умови відсутності цінних паперів, прав на цінні папери на рахунку </w:t>
      </w:r>
      <w:r w:rsidR="00C22309" w:rsidRPr="00E16672">
        <w:rPr>
          <w:rFonts w:ascii="Times New Roman" w:hAnsi="Times New Roman"/>
          <w:szCs w:val="20"/>
          <w:lang w:val="uk-UA"/>
        </w:rPr>
        <w:t>в цін</w:t>
      </w:r>
      <w:r w:rsidRPr="00E16672">
        <w:rPr>
          <w:rFonts w:ascii="Times New Roman" w:hAnsi="Times New Roman"/>
          <w:szCs w:val="20"/>
          <w:lang w:val="uk-UA"/>
        </w:rPr>
        <w:t>них паперах Депонента.</w:t>
      </w:r>
    </w:p>
    <w:p w14:paraId="3B01EFC7" w14:textId="77777777" w:rsidR="00502AEC" w:rsidRPr="00E16672" w:rsidRDefault="00502AEC">
      <w:pPr>
        <w:rPr>
          <w:rFonts w:ascii="Times New Roman" w:hAnsi="Times New Roman"/>
          <w:color w:val="000000"/>
          <w:szCs w:val="20"/>
          <w:lang w:val="uk-UA"/>
        </w:rPr>
      </w:pPr>
      <w:r w:rsidRPr="00E16672">
        <w:rPr>
          <w:rFonts w:ascii="Times New Roman" w:hAnsi="Times New Roman"/>
          <w:szCs w:val="20"/>
          <w:lang w:val="uk-UA"/>
        </w:rPr>
        <w:lastRenderedPageBreak/>
        <w:t xml:space="preserve">6.5. Депозитарна установа та Депонент зобов’язані у разі розірвання цього Договору (у тому числі у зв’язку з припиненням Депозитарною установою провадження професійної діяльності на фондовому ринку – депозитарної </w:t>
      </w:r>
      <w:r w:rsidRPr="00E16672">
        <w:rPr>
          <w:rFonts w:ascii="Times New Roman" w:hAnsi="Times New Roman"/>
          <w:color w:val="000000"/>
          <w:szCs w:val="20"/>
          <w:lang w:val="uk-UA"/>
        </w:rPr>
        <w:t>діяльності) діяти відповідно до вимог законодавства та цього Договору.</w:t>
      </w:r>
    </w:p>
    <w:p w14:paraId="545867C1" w14:textId="77777777" w:rsidR="000F154F" w:rsidRPr="00E16672" w:rsidRDefault="000F154F" w:rsidP="000F154F">
      <w:pPr>
        <w:rPr>
          <w:rFonts w:ascii="Times New Roman" w:hAnsi="Times New Roman"/>
          <w:color w:val="000000"/>
          <w:szCs w:val="20"/>
        </w:rPr>
      </w:pPr>
      <w:r w:rsidRPr="00E16672">
        <w:rPr>
          <w:rFonts w:ascii="Times New Roman" w:hAnsi="Times New Roman"/>
          <w:color w:val="000000"/>
          <w:szCs w:val="20"/>
        </w:rPr>
        <w:t xml:space="preserve">6.6. </w:t>
      </w:r>
      <w:proofErr w:type="spellStart"/>
      <w:r w:rsidRPr="00E16672">
        <w:rPr>
          <w:rFonts w:ascii="Times New Roman" w:hAnsi="Times New Roman"/>
          <w:color w:val="000000"/>
          <w:szCs w:val="20"/>
        </w:rPr>
        <w:t>Цей</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Договір</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припиняється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зокрема</w:t>
      </w:r>
      <w:proofErr w:type="spellEnd"/>
      <w:r w:rsidRPr="00E16672">
        <w:rPr>
          <w:rFonts w:ascii="Times New Roman" w:hAnsi="Times New Roman"/>
          <w:color w:val="000000"/>
          <w:szCs w:val="20"/>
        </w:rPr>
        <w:t xml:space="preserve">, у </w:t>
      </w:r>
      <w:proofErr w:type="spellStart"/>
      <w:r w:rsidRPr="00E16672">
        <w:rPr>
          <w:rFonts w:ascii="Times New Roman" w:hAnsi="Times New Roman"/>
          <w:color w:val="000000"/>
          <w:szCs w:val="20"/>
        </w:rPr>
        <w:t>разі</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закриття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рахунку</w:t>
      </w:r>
      <w:proofErr w:type="spellEnd"/>
      <w:r w:rsidRPr="00E16672">
        <w:rPr>
          <w:rFonts w:ascii="Times New Roman" w:hAnsi="Times New Roman"/>
          <w:color w:val="000000"/>
          <w:szCs w:val="20"/>
        </w:rPr>
        <w:t xml:space="preserve"> </w:t>
      </w:r>
      <w:r w:rsidR="00C22309" w:rsidRPr="00E16672">
        <w:rPr>
          <w:rFonts w:ascii="Times New Roman" w:hAnsi="Times New Roman"/>
          <w:color w:val="000000"/>
          <w:szCs w:val="20"/>
        </w:rPr>
        <w:t xml:space="preserve">в </w:t>
      </w:r>
      <w:proofErr w:type="spellStart"/>
      <w:r w:rsidR="00C22309" w:rsidRPr="00E16672">
        <w:rPr>
          <w:rFonts w:ascii="Times New Roman" w:hAnsi="Times New Roman"/>
          <w:color w:val="000000"/>
          <w:szCs w:val="20"/>
        </w:rPr>
        <w:t>цін</w:t>
      </w:r>
      <w:r w:rsidRPr="00E16672">
        <w:rPr>
          <w:rFonts w:ascii="Times New Roman" w:hAnsi="Times New Roman"/>
          <w:color w:val="000000"/>
          <w:szCs w:val="20"/>
        </w:rPr>
        <w:t>них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паперах</w:t>
      </w:r>
      <w:proofErr w:type="spellEnd"/>
      <w:r w:rsidRPr="00E16672">
        <w:rPr>
          <w:rFonts w:ascii="Times New Roman" w:hAnsi="Times New Roman"/>
          <w:color w:val="000000"/>
          <w:szCs w:val="20"/>
        </w:rPr>
        <w:t xml:space="preserve"> за </w:t>
      </w:r>
      <w:proofErr w:type="spellStart"/>
      <w:r w:rsidRPr="00E16672">
        <w:rPr>
          <w:rFonts w:ascii="Times New Roman" w:hAnsi="Times New Roman"/>
          <w:color w:val="000000"/>
          <w:szCs w:val="20"/>
        </w:rPr>
        <w:t>розпорядженням</w:t>
      </w:r>
      <w:proofErr w:type="spellEnd"/>
      <w:r w:rsidRPr="00E16672">
        <w:rPr>
          <w:rFonts w:ascii="Times New Roman" w:hAnsi="Times New Roman"/>
          <w:color w:val="000000"/>
          <w:szCs w:val="20"/>
        </w:rPr>
        <w:t xml:space="preserve"> </w:t>
      </w:r>
      <w:r w:rsidRPr="00E16672">
        <w:rPr>
          <w:rFonts w:ascii="Times New Roman" w:hAnsi="Times New Roman"/>
          <w:color w:val="000000"/>
          <w:szCs w:val="20"/>
          <w:lang w:val="uk-UA"/>
        </w:rPr>
        <w:t>Д</w:t>
      </w:r>
      <w:proofErr w:type="spellStart"/>
      <w:r w:rsidRPr="00E16672">
        <w:rPr>
          <w:rFonts w:ascii="Times New Roman" w:hAnsi="Times New Roman"/>
          <w:color w:val="000000"/>
          <w:szCs w:val="20"/>
        </w:rPr>
        <w:t>епонента</w:t>
      </w:r>
      <w:proofErr w:type="spellEnd"/>
      <w:r w:rsidRPr="00E16672">
        <w:rPr>
          <w:rFonts w:ascii="Times New Roman" w:hAnsi="Times New Roman"/>
          <w:color w:val="000000"/>
          <w:szCs w:val="20"/>
        </w:rPr>
        <w:t xml:space="preserve">. У </w:t>
      </w:r>
      <w:proofErr w:type="spellStart"/>
      <w:r w:rsidRPr="00E16672">
        <w:rPr>
          <w:rFonts w:ascii="Times New Roman" w:hAnsi="Times New Roman"/>
          <w:color w:val="000000"/>
          <w:szCs w:val="20"/>
        </w:rPr>
        <w:t>цьому</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випадку</w:t>
      </w:r>
      <w:proofErr w:type="spellEnd"/>
      <w:r w:rsidRPr="00E16672">
        <w:rPr>
          <w:rFonts w:ascii="Times New Roman" w:hAnsi="Times New Roman"/>
          <w:color w:val="000000"/>
          <w:szCs w:val="20"/>
        </w:rPr>
        <w:t xml:space="preserve"> дата </w:t>
      </w:r>
      <w:proofErr w:type="spellStart"/>
      <w:r w:rsidRPr="00E16672">
        <w:rPr>
          <w:rFonts w:ascii="Times New Roman" w:hAnsi="Times New Roman"/>
          <w:color w:val="000000"/>
          <w:szCs w:val="20"/>
        </w:rPr>
        <w:t>закриття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рахунку</w:t>
      </w:r>
      <w:proofErr w:type="spellEnd"/>
      <w:r w:rsidRPr="00E16672">
        <w:rPr>
          <w:rFonts w:ascii="Times New Roman" w:hAnsi="Times New Roman"/>
          <w:color w:val="000000"/>
          <w:szCs w:val="20"/>
        </w:rPr>
        <w:t xml:space="preserve"> </w:t>
      </w:r>
      <w:r w:rsidR="00C22309" w:rsidRPr="00E16672">
        <w:rPr>
          <w:rFonts w:ascii="Times New Roman" w:hAnsi="Times New Roman"/>
          <w:color w:val="000000"/>
          <w:szCs w:val="20"/>
        </w:rPr>
        <w:t xml:space="preserve">в </w:t>
      </w:r>
      <w:proofErr w:type="spellStart"/>
      <w:r w:rsidR="00C22309" w:rsidRPr="00E16672">
        <w:rPr>
          <w:rFonts w:ascii="Times New Roman" w:hAnsi="Times New Roman"/>
          <w:color w:val="000000"/>
          <w:szCs w:val="20"/>
        </w:rPr>
        <w:t>цін</w:t>
      </w:r>
      <w:r w:rsidRPr="00E16672">
        <w:rPr>
          <w:rFonts w:ascii="Times New Roman" w:hAnsi="Times New Roman"/>
          <w:color w:val="000000"/>
          <w:szCs w:val="20"/>
        </w:rPr>
        <w:t>них</w:t>
      </w:r>
      <w:proofErr w:type="spellEnd"/>
      <w:r w:rsidRPr="00E16672">
        <w:rPr>
          <w:rFonts w:ascii="Times New Roman" w:hAnsi="Times New Roman"/>
          <w:color w:val="000000"/>
          <w:szCs w:val="20"/>
        </w:rPr>
        <w:t xml:space="preserve"> </w:t>
      </w:r>
      <w:proofErr w:type="spellStart"/>
      <w:proofErr w:type="gramStart"/>
      <w:r w:rsidRPr="00E16672">
        <w:rPr>
          <w:rFonts w:ascii="Times New Roman" w:hAnsi="Times New Roman"/>
          <w:color w:val="000000"/>
          <w:szCs w:val="20"/>
        </w:rPr>
        <w:t>паперах</w:t>
      </w:r>
      <w:proofErr w:type="spellEnd"/>
      <w:r w:rsidRPr="00E16672">
        <w:rPr>
          <w:rFonts w:ascii="Times New Roman" w:hAnsi="Times New Roman"/>
          <w:color w:val="000000"/>
          <w:szCs w:val="20"/>
        </w:rPr>
        <w:t xml:space="preserve">  є</w:t>
      </w:r>
      <w:proofErr w:type="gram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останньою</w:t>
      </w:r>
      <w:proofErr w:type="spellEnd"/>
      <w:r w:rsidRPr="00E16672">
        <w:rPr>
          <w:rFonts w:ascii="Times New Roman" w:hAnsi="Times New Roman"/>
          <w:color w:val="000000"/>
          <w:szCs w:val="20"/>
        </w:rPr>
        <w:t xml:space="preserve"> датою </w:t>
      </w:r>
      <w:proofErr w:type="spellStart"/>
      <w:r w:rsidRPr="00E16672">
        <w:rPr>
          <w:rFonts w:ascii="Times New Roman" w:hAnsi="Times New Roman"/>
          <w:color w:val="000000"/>
          <w:szCs w:val="20"/>
        </w:rPr>
        <w:t>чинності</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дії</w:t>
      </w:r>
      <w:proofErr w:type="spellEnd"/>
      <w:r w:rsidRPr="00E16672">
        <w:rPr>
          <w:rFonts w:ascii="Times New Roman" w:hAnsi="Times New Roman"/>
          <w:color w:val="000000"/>
          <w:szCs w:val="20"/>
        </w:rPr>
        <w:t>) Договору.</w:t>
      </w:r>
    </w:p>
    <w:p w14:paraId="5E91355F" w14:textId="77777777" w:rsidR="000F154F" w:rsidRPr="00E16672" w:rsidRDefault="000F154F" w:rsidP="00022F5F">
      <w:pPr>
        <w:jc w:val="left"/>
        <w:rPr>
          <w:rFonts w:ascii="Times New Roman" w:hAnsi="Times New Roman"/>
          <w:szCs w:val="20"/>
        </w:rPr>
      </w:pPr>
      <w:r w:rsidRPr="00E16672">
        <w:rPr>
          <w:rFonts w:ascii="Times New Roman" w:hAnsi="Times New Roman"/>
          <w:color w:val="000000"/>
          <w:szCs w:val="20"/>
          <w:lang w:val="uk-UA"/>
        </w:rPr>
        <w:t xml:space="preserve">6.7. Питання, що виникають під час укладення, виконання, зміни, розірвання Договору і не врегульовані ним, регулюються Цивільним кодексом України, Господарським кодексом України, Законом України </w:t>
      </w:r>
      <w:r w:rsidR="00022F5F">
        <w:rPr>
          <w:rFonts w:ascii="Times New Roman" w:hAnsi="Times New Roman"/>
          <w:color w:val="000000"/>
          <w:szCs w:val="20"/>
          <w:lang w:val="uk-UA"/>
        </w:rPr>
        <w:t>"</w:t>
      </w:r>
      <w:r w:rsidRPr="00E16672">
        <w:rPr>
          <w:rFonts w:ascii="Times New Roman" w:hAnsi="Times New Roman"/>
          <w:color w:val="000000"/>
          <w:szCs w:val="20"/>
          <w:lang w:val="uk-UA"/>
        </w:rPr>
        <w:t>Про депозитарну</w:t>
      </w:r>
      <w:r w:rsidRPr="00E16672">
        <w:rPr>
          <w:rFonts w:ascii="Times New Roman" w:hAnsi="Times New Roman"/>
          <w:szCs w:val="20"/>
          <w:lang w:val="uk-UA"/>
        </w:rPr>
        <w:t xml:space="preserve"> систему України</w:t>
      </w:r>
      <w:r w:rsidR="00022F5F">
        <w:rPr>
          <w:rFonts w:ascii="Times New Roman" w:hAnsi="Times New Roman"/>
          <w:szCs w:val="20"/>
          <w:lang w:val="uk-UA"/>
        </w:rPr>
        <w:t>"</w:t>
      </w:r>
      <w:r w:rsidRPr="00E16672">
        <w:rPr>
          <w:rFonts w:ascii="Times New Roman" w:hAnsi="Times New Roman"/>
          <w:szCs w:val="20"/>
          <w:lang w:val="uk-UA"/>
        </w:rPr>
        <w:t>, нормативно-правовими актами НКЦПФР.</w:t>
      </w:r>
    </w:p>
    <w:p w14:paraId="03B96AB0" w14:textId="77777777" w:rsidR="00502AEC" w:rsidRPr="00E16672" w:rsidRDefault="00502AEC" w:rsidP="002634C8">
      <w:pPr>
        <w:pStyle w:val="2"/>
        <w:rPr>
          <w:rFonts w:ascii="Times New Roman" w:hAnsi="Times New Roman" w:cs="Times New Roman"/>
        </w:rPr>
      </w:pPr>
      <w:r w:rsidRPr="00E16672">
        <w:rPr>
          <w:rFonts w:ascii="Times New Roman" w:hAnsi="Times New Roman" w:cs="Times New Roman"/>
          <w:lang w:val="uk-UA"/>
        </w:rPr>
        <w:t>7. Порядок розкриття інформації, що належить</w:t>
      </w:r>
      <w:r w:rsidR="00AF0EB7" w:rsidRPr="00E16672">
        <w:rPr>
          <w:rFonts w:ascii="Times New Roman" w:hAnsi="Times New Roman" w:cs="Times New Roman"/>
        </w:rPr>
        <w:t xml:space="preserve"> </w:t>
      </w:r>
      <w:r w:rsidR="00AF0EB7" w:rsidRPr="00E16672">
        <w:rPr>
          <w:rFonts w:ascii="Times New Roman" w:hAnsi="Times New Roman" w:cs="Times New Roman"/>
          <w:lang w:val="uk-UA"/>
        </w:rPr>
        <w:t>до інформації з обмеженим доступом</w:t>
      </w:r>
    </w:p>
    <w:p w14:paraId="7B3E87FF" w14:textId="77777777" w:rsidR="00502AEC" w:rsidRPr="00E16672" w:rsidRDefault="00502AEC" w:rsidP="00022F5F">
      <w:pPr>
        <w:jc w:val="left"/>
        <w:rPr>
          <w:rFonts w:ascii="Times New Roman" w:hAnsi="Times New Roman"/>
          <w:szCs w:val="20"/>
          <w:lang w:val="uk-UA"/>
        </w:rPr>
      </w:pPr>
      <w:r w:rsidRPr="00E16672">
        <w:rPr>
          <w:rFonts w:ascii="Times New Roman" w:hAnsi="Times New Roman"/>
          <w:szCs w:val="20"/>
          <w:lang w:val="uk-UA"/>
        </w:rPr>
        <w:t xml:space="preserve">7.1. Інформація, що міститься у системі депозитарного обліку, є інформацією з обмеженим доступом, охороняється законом та не підлягає розголошенню Депозитарною установою, крім випадків, передбачених статтею 25 Закону України </w:t>
      </w:r>
      <w:r w:rsidR="00022F5F">
        <w:rPr>
          <w:rFonts w:ascii="Times New Roman" w:hAnsi="Times New Roman"/>
          <w:szCs w:val="20"/>
          <w:lang w:val="uk-UA"/>
        </w:rPr>
        <w:t>"</w:t>
      </w:r>
      <w:r w:rsidRPr="00E16672">
        <w:rPr>
          <w:rFonts w:ascii="Times New Roman" w:hAnsi="Times New Roman"/>
          <w:szCs w:val="20"/>
          <w:lang w:val="uk-UA"/>
        </w:rPr>
        <w:t>Про депозитарну систему України</w:t>
      </w:r>
      <w:r w:rsidR="00022F5F">
        <w:rPr>
          <w:rFonts w:ascii="Times New Roman" w:hAnsi="Times New Roman"/>
          <w:szCs w:val="20"/>
          <w:lang w:val="uk-UA"/>
        </w:rPr>
        <w:t>"</w:t>
      </w:r>
      <w:r w:rsidRPr="00E16672">
        <w:rPr>
          <w:rFonts w:ascii="Times New Roman" w:hAnsi="Times New Roman"/>
          <w:szCs w:val="20"/>
          <w:lang w:val="uk-UA"/>
        </w:rPr>
        <w:t>.</w:t>
      </w:r>
    </w:p>
    <w:p w14:paraId="28F44C55" w14:textId="77777777" w:rsidR="00502AEC" w:rsidRPr="00E16672" w:rsidRDefault="00502AEC">
      <w:pPr>
        <w:rPr>
          <w:rFonts w:ascii="Times New Roman" w:hAnsi="Times New Roman"/>
          <w:szCs w:val="20"/>
          <w:lang w:val="uk-UA"/>
        </w:rPr>
      </w:pPr>
      <w:r w:rsidRPr="00E16672">
        <w:rPr>
          <w:rFonts w:ascii="Times New Roman" w:hAnsi="Times New Roman"/>
          <w:szCs w:val="20"/>
          <w:lang w:val="uk-UA"/>
        </w:rPr>
        <w:t>7.2. Інформація, що міститься у системі депозитарного обліку, надається власнику інформації або його представникові відповідно до умов Договору, або іншим особам у передбачених законом випадках.</w:t>
      </w:r>
    </w:p>
    <w:p w14:paraId="3F2114BF" w14:textId="77777777" w:rsidR="00502AEC" w:rsidRPr="00E16672" w:rsidRDefault="00502AEC">
      <w:pPr>
        <w:rPr>
          <w:rFonts w:ascii="Times New Roman" w:hAnsi="Times New Roman"/>
          <w:szCs w:val="20"/>
          <w:lang w:val="uk-UA"/>
        </w:rPr>
      </w:pPr>
      <w:r w:rsidRPr="00E16672">
        <w:rPr>
          <w:rFonts w:ascii="Times New Roman" w:hAnsi="Times New Roman"/>
          <w:szCs w:val="20"/>
          <w:lang w:val="uk-UA"/>
        </w:rPr>
        <w:t>7.3. Депозитарна установа забезпечує нерозголошення інформації, що міститься у системі депозитарного обліку, шляхом:</w:t>
      </w:r>
    </w:p>
    <w:p w14:paraId="7325C23E" w14:textId="77777777" w:rsidR="00502AEC" w:rsidRPr="00E16672" w:rsidRDefault="00502AEC">
      <w:pPr>
        <w:rPr>
          <w:rFonts w:ascii="Times New Roman" w:hAnsi="Times New Roman"/>
          <w:szCs w:val="20"/>
          <w:lang w:val="uk-UA"/>
        </w:rPr>
      </w:pPr>
      <w:r w:rsidRPr="00E16672">
        <w:rPr>
          <w:rFonts w:ascii="Times New Roman" w:hAnsi="Times New Roman"/>
          <w:szCs w:val="20"/>
          <w:lang w:val="uk-UA"/>
        </w:rPr>
        <w:t>1) обмеження кола осіб, які мають доступ до зазначеної інформації;</w:t>
      </w:r>
    </w:p>
    <w:p w14:paraId="0A99C315" w14:textId="77777777" w:rsidR="00502AEC" w:rsidRPr="00E16672" w:rsidRDefault="00502AEC">
      <w:pPr>
        <w:rPr>
          <w:rFonts w:ascii="Times New Roman" w:hAnsi="Times New Roman"/>
          <w:szCs w:val="20"/>
          <w:lang w:val="uk-UA"/>
        </w:rPr>
      </w:pPr>
      <w:r w:rsidRPr="00E16672">
        <w:rPr>
          <w:rFonts w:ascii="Times New Roman" w:hAnsi="Times New Roman"/>
          <w:szCs w:val="20"/>
          <w:lang w:val="uk-UA"/>
        </w:rPr>
        <w:t>2) організації спеціального діловодства у системі депозитарного обліку;</w:t>
      </w:r>
    </w:p>
    <w:p w14:paraId="47DDA829" w14:textId="77777777" w:rsidR="00502AEC" w:rsidRPr="00E16672" w:rsidRDefault="00502AEC">
      <w:pPr>
        <w:rPr>
          <w:rFonts w:ascii="Times New Roman" w:hAnsi="Times New Roman"/>
          <w:szCs w:val="20"/>
          <w:lang w:val="uk-UA"/>
        </w:rPr>
      </w:pPr>
      <w:r w:rsidRPr="00E16672">
        <w:rPr>
          <w:rFonts w:ascii="Times New Roman" w:hAnsi="Times New Roman"/>
          <w:szCs w:val="20"/>
          <w:lang w:val="uk-UA"/>
        </w:rPr>
        <w:t>3) застосування технічних та програмних засобів для запобігання несанкціонованому доступу до носіїв такої інформації.</w:t>
      </w:r>
    </w:p>
    <w:p w14:paraId="1D891B31" w14:textId="77777777" w:rsidR="00502AEC" w:rsidRPr="00E16672" w:rsidRDefault="00502AEC" w:rsidP="00022F5F">
      <w:pPr>
        <w:jc w:val="left"/>
        <w:rPr>
          <w:rFonts w:ascii="Times New Roman" w:hAnsi="Times New Roman"/>
          <w:bCs/>
          <w:szCs w:val="20"/>
          <w:lang w:val="uk-UA"/>
        </w:rPr>
      </w:pPr>
      <w:r w:rsidRPr="00E16672">
        <w:rPr>
          <w:rFonts w:ascii="Times New Roman" w:hAnsi="Times New Roman"/>
          <w:bCs/>
          <w:szCs w:val="20"/>
          <w:lang w:val="uk-UA"/>
        </w:rPr>
        <w:t xml:space="preserve">7.4. </w:t>
      </w:r>
      <w:r w:rsidRPr="00E16672">
        <w:rPr>
          <w:rFonts w:ascii="Times New Roman" w:hAnsi="Times New Roman"/>
          <w:color w:val="000000"/>
          <w:szCs w:val="20"/>
          <w:lang w:val="uk-UA"/>
        </w:rPr>
        <w:t xml:space="preserve">Депозитарна установа надає </w:t>
      </w:r>
      <w:r w:rsidRPr="00E16672">
        <w:rPr>
          <w:rFonts w:ascii="Times New Roman" w:hAnsi="Times New Roman"/>
          <w:bCs/>
          <w:szCs w:val="20"/>
          <w:lang w:val="uk-UA"/>
        </w:rPr>
        <w:t xml:space="preserve">Центральному депозитарію, іншім учасникам депозитарної системи відповідно до вимог чинного </w:t>
      </w:r>
      <w:r w:rsidR="00A016E8" w:rsidRPr="00E16672">
        <w:rPr>
          <w:rFonts w:ascii="Times New Roman" w:hAnsi="Times New Roman"/>
          <w:bCs/>
          <w:szCs w:val="20"/>
          <w:lang w:val="uk-UA"/>
        </w:rPr>
        <w:t>законодавства</w:t>
      </w:r>
      <w:r w:rsidRPr="00E16672">
        <w:rPr>
          <w:rFonts w:ascii="Times New Roman" w:hAnsi="Times New Roman"/>
          <w:bCs/>
          <w:szCs w:val="20"/>
          <w:lang w:val="uk-UA"/>
        </w:rPr>
        <w:t xml:space="preserve">,  цінних паперів інформацію щодо Депонента, керуючого рахунком </w:t>
      </w:r>
      <w:r w:rsidR="00C22309" w:rsidRPr="00E16672">
        <w:rPr>
          <w:rFonts w:ascii="Times New Roman" w:hAnsi="Times New Roman"/>
          <w:bCs/>
          <w:szCs w:val="20"/>
          <w:lang w:val="uk-UA"/>
        </w:rPr>
        <w:t>в цін</w:t>
      </w:r>
      <w:r w:rsidRPr="00E16672">
        <w:rPr>
          <w:rFonts w:ascii="Times New Roman" w:hAnsi="Times New Roman"/>
          <w:bCs/>
          <w:szCs w:val="20"/>
          <w:lang w:val="uk-UA"/>
        </w:rPr>
        <w:t xml:space="preserve">них паперах Депонента та цінних паперів, що належать Депоненту, яка необхідна для здійснення розрахунків за правочинами щодо цінних паперів з дотриманням принципу </w:t>
      </w:r>
      <w:r w:rsidR="00022F5F">
        <w:rPr>
          <w:rFonts w:ascii="Times New Roman" w:hAnsi="Times New Roman"/>
          <w:bCs/>
          <w:szCs w:val="20"/>
          <w:lang w:val="uk-UA"/>
        </w:rPr>
        <w:t>"</w:t>
      </w:r>
      <w:r w:rsidRPr="00E16672">
        <w:rPr>
          <w:rFonts w:ascii="Times New Roman" w:hAnsi="Times New Roman"/>
          <w:bCs/>
          <w:szCs w:val="20"/>
          <w:lang w:val="uk-UA"/>
        </w:rPr>
        <w:t>поставка цінних паперів проти оплати</w:t>
      </w:r>
      <w:r w:rsidR="00022F5F">
        <w:rPr>
          <w:rFonts w:ascii="Times New Roman" w:hAnsi="Times New Roman"/>
          <w:bCs/>
          <w:szCs w:val="20"/>
          <w:lang w:val="uk-UA"/>
        </w:rPr>
        <w:t>"</w:t>
      </w:r>
      <w:r w:rsidRPr="00E16672">
        <w:rPr>
          <w:rFonts w:ascii="Times New Roman" w:hAnsi="Times New Roman"/>
          <w:bCs/>
          <w:szCs w:val="20"/>
          <w:lang w:val="uk-UA"/>
        </w:rPr>
        <w:t>, з метою подальшого надання такої інформації Розрахунковому центру чи кліринговій установі для її відображення у внутрішній системі обліку такої особи, про що Депонент надає згоду підписавши цей Договір.</w:t>
      </w:r>
    </w:p>
    <w:p w14:paraId="2FE4E8AA" w14:textId="77777777" w:rsidR="00502AEC" w:rsidRPr="00E16672" w:rsidRDefault="00502AEC" w:rsidP="003D30FE">
      <w:pPr>
        <w:rPr>
          <w:rFonts w:ascii="Times New Roman" w:hAnsi="Times New Roman"/>
          <w:b/>
          <w:bCs/>
          <w:szCs w:val="20"/>
          <w:lang w:val="uk-UA"/>
        </w:rPr>
      </w:pPr>
    </w:p>
    <w:p w14:paraId="7BBE8EA2" w14:textId="77777777" w:rsidR="00502AEC" w:rsidRPr="00E16672" w:rsidRDefault="00502AEC">
      <w:pPr>
        <w:jc w:val="center"/>
        <w:rPr>
          <w:rFonts w:ascii="Times New Roman" w:hAnsi="Times New Roman"/>
          <w:b/>
          <w:bCs/>
          <w:szCs w:val="20"/>
          <w:lang w:val="uk-UA"/>
        </w:rPr>
      </w:pPr>
      <w:r w:rsidRPr="00E16672">
        <w:rPr>
          <w:rFonts w:ascii="Times New Roman" w:hAnsi="Times New Roman"/>
          <w:b/>
          <w:bCs/>
          <w:szCs w:val="20"/>
          <w:lang w:val="uk-UA"/>
        </w:rPr>
        <w:t xml:space="preserve">8. Виконання умов договору. Порядок закриття рахунку </w:t>
      </w:r>
      <w:r w:rsidR="00C22309" w:rsidRPr="00E16672">
        <w:rPr>
          <w:rFonts w:ascii="Times New Roman" w:hAnsi="Times New Roman"/>
          <w:b/>
          <w:bCs/>
          <w:szCs w:val="20"/>
          <w:lang w:val="uk-UA"/>
        </w:rPr>
        <w:t>в цін</w:t>
      </w:r>
      <w:r w:rsidRPr="00E16672">
        <w:rPr>
          <w:rFonts w:ascii="Times New Roman" w:hAnsi="Times New Roman"/>
          <w:b/>
          <w:bCs/>
          <w:szCs w:val="20"/>
          <w:lang w:val="uk-UA"/>
        </w:rPr>
        <w:t>них паперах. Особливі умови.</w:t>
      </w:r>
    </w:p>
    <w:p w14:paraId="5872C4A0" w14:textId="77777777" w:rsidR="00502AEC" w:rsidRPr="00E16672" w:rsidRDefault="00502AEC" w:rsidP="00A245E8">
      <w:pPr>
        <w:pStyle w:val="23"/>
        <w:ind w:firstLine="540"/>
        <w:rPr>
          <w:rFonts w:ascii="Times New Roman" w:hAnsi="Times New Roman"/>
          <w:lang w:val="ru-RU"/>
        </w:rPr>
      </w:pPr>
      <w:r w:rsidRPr="00E16672">
        <w:rPr>
          <w:rFonts w:ascii="Times New Roman" w:hAnsi="Times New Roman"/>
        </w:rPr>
        <w:t xml:space="preserve">8.1. Депозитарна установа має статус платника податку на прибуток підприємства на загальних </w:t>
      </w:r>
      <w:r w:rsidRPr="00E16672">
        <w:rPr>
          <w:rFonts w:ascii="Times New Roman" w:hAnsi="Times New Roman"/>
          <w:color w:val="000000"/>
        </w:rPr>
        <w:t>умовах</w:t>
      </w:r>
      <w:r w:rsidR="0023031A" w:rsidRPr="00E16672">
        <w:rPr>
          <w:rFonts w:ascii="Times New Roman" w:hAnsi="Times New Roman"/>
          <w:color w:val="000000"/>
          <w:lang w:val="ru-RU"/>
        </w:rPr>
        <w:t>.</w:t>
      </w:r>
    </w:p>
    <w:p w14:paraId="45EE1DFE" w14:textId="77777777" w:rsidR="0023031A" w:rsidRPr="00E16672" w:rsidRDefault="0023031A" w:rsidP="00A245E8">
      <w:pPr>
        <w:ind w:firstLine="540"/>
        <w:rPr>
          <w:rFonts w:ascii="Times New Roman" w:hAnsi="Times New Roman"/>
          <w:color w:val="000000"/>
          <w:szCs w:val="20"/>
          <w:lang w:val="uk-UA"/>
        </w:rPr>
      </w:pPr>
      <w:r w:rsidRPr="00E16672">
        <w:rPr>
          <w:rFonts w:ascii="Times New Roman" w:hAnsi="Times New Roman"/>
          <w:color w:val="000000"/>
          <w:szCs w:val="20"/>
          <w:lang w:val="uk-UA"/>
        </w:rPr>
        <w:t>8.2. Підписанням цього Договору Депонент підтверджує, що ознайомлений із внутрішніми документами Депозитарної установи, тарифами Депозитарної установи.</w:t>
      </w:r>
    </w:p>
    <w:p w14:paraId="5B017A61" w14:textId="77777777" w:rsidR="0023031A" w:rsidRPr="00E16672" w:rsidRDefault="0023031A" w:rsidP="00022F5F">
      <w:pPr>
        <w:tabs>
          <w:tab w:val="left" w:pos="1080"/>
          <w:tab w:val="left" w:pos="1134"/>
        </w:tabs>
        <w:ind w:firstLine="540"/>
        <w:jc w:val="left"/>
        <w:rPr>
          <w:rFonts w:ascii="Times New Roman" w:hAnsi="Times New Roman"/>
          <w:i/>
          <w:color w:val="000000"/>
          <w:szCs w:val="20"/>
          <w:lang w:val="uk-UA"/>
        </w:rPr>
      </w:pPr>
      <w:r w:rsidRPr="00E16672">
        <w:rPr>
          <w:rFonts w:ascii="Times New Roman" w:hAnsi="Times New Roman"/>
          <w:color w:val="000000"/>
          <w:szCs w:val="20"/>
          <w:lang w:val="uk-UA"/>
        </w:rPr>
        <w:t xml:space="preserve">Депонент підтверджує, що Депозитарною установою </w:t>
      </w:r>
      <w:r w:rsidR="00D50D27" w:rsidRPr="00E16672">
        <w:rPr>
          <w:rFonts w:ascii="Times New Roman" w:hAnsi="Times New Roman"/>
          <w:color w:val="000000"/>
          <w:szCs w:val="20"/>
          <w:lang w:val="uk-UA"/>
        </w:rPr>
        <w:t xml:space="preserve">йому </w:t>
      </w:r>
      <w:r w:rsidRPr="00E16672">
        <w:rPr>
          <w:rFonts w:ascii="Times New Roman" w:hAnsi="Times New Roman"/>
          <w:color w:val="000000"/>
          <w:szCs w:val="20"/>
          <w:lang w:val="uk-UA"/>
        </w:rPr>
        <w:t xml:space="preserve">надана інформація, зазначена в частині другій статті 12 Закону України </w:t>
      </w:r>
      <w:r w:rsidR="00022F5F">
        <w:rPr>
          <w:rFonts w:ascii="Times New Roman" w:hAnsi="Times New Roman"/>
          <w:color w:val="000000"/>
          <w:szCs w:val="20"/>
          <w:lang w:val="uk-UA"/>
        </w:rPr>
        <w:t>"</w:t>
      </w:r>
      <w:r w:rsidRPr="00E16672">
        <w:rPr>
          <w:rFonts w:ascii="Times New Roman" w:hAnsi="Times New Roman"/>
          <w:color w:val="000000"/>
          <w:szCs w:val="20"/>
          <w:lang w:val="uk-UA"/>
        </w:rPr>
        <w:t>Про фінансові послуги та державне регулювання ринків фінансових послуг</w:t>
      </w:r>
      <w:r w:rsidR="00022F5F">
        <w:rPr>
          <w:rFonts w:ascii="Times New Roman" w:hAnsi="Times New Roman"/>
          <w:color w:val="000000"/>
          <w:szCs w:val="20"/>
          <w:lang w:val="uk-UA"/>
        </w:rPr>
        <w:t>"</w:t>
      </w:r>
      <w:r w:rsidRPr="00E16672">
        <w:rPr>
          <w:rFonts w:ascii="Times New Roman" w:hAnsi="Times New Roman"/>
          <w:color w:val="000000"/>
          <w:szCs w:val="20"/>
          <w:lang w:val="uk-UA"/>
        </w:rPr>
        <w:t>.</w:t>
      </w:r>
      <w:r w:rsidRPr="00E16672">
        <w:rPr>
          <w:rFonts w:ascii="Times New Roman" w:hAnsi="Times New Roman"/>
          <w:i/>
          <w:color w:val="000000"/>
          <w:szCs w:val="20"/>
          <w:lang w:val="uk-UA"/>
        </w:rPr>
        <w:t xml:space="preserve"> </w:t>
      </w:r>
    </w:p>
    <w:p w14:paraId="62C0C4A9" w14:textId="77777777" w:rsidR="00502AEC" w:rsidRPr="00E16672" w:rsidRDefault="00502AEC" w:rsidP="00A245E8">
      <w:pPr>
        <w:pStyle w:val="ae"/>
        <w:tabs>
          <w:tab w:val="left" w:pos="1080"/>
          <w:tab w:val="left" w:pos="1134"/>
        </w:tabs>
        <w:ind w:firstLine="540"/>
        <w:rPr>
          <w:rFonts w:ascii="Times New Roman" w:hAnsi="Times New Roman"/>
          <w:color w:val="000000"/>
          <w:szCs w:val="20"/>
        </w:rPr>
      </w:pPr>
      <w:r w:rsidRPr="00E16672">
        <w:rPr>
          <w:rFonts w:ascii="Times New Roman" w:hAnsi="Times New Roman"/>
          <w:color w:val="000000"/>
          <w:szCs w:val="20"/>
        </w:rPr>
        <w:t>Інформація, що була надана Депоненту, забезпечила правильне розуміння Депонентом  суті фінансової послуги, що має надаватись, без нав'язування її придбання.</w:t>
      </w:r>
    </w:p>
    <w:p w14:paraId="1845770A" w14:textId="77777777" w:rsidR="00502AEC" w:rsidRPr="00E16672" w:rsidRDefault="00502AEC" w:rsidP="00022F5F">
      <w:pPr>
        <w:pStyle w:val="ae"/>
        <w:tabs>
          <w:tab w:val="left" w:pos="426"/>
        </w:tabs>
        <w:ind w:firstLine="540"/>
        <w:jc w:val="left"/>
        <w:rPr>
          <w:rFonts w:ascii="Times New Roman" w:hAnsi="Times New Roman"/>
          <w:color w:val="000000"/>
          <w:szCs w:val="20"/>
        </w:rPr>
      </w:pPr>
      <w:r w:rsidRPr="00E16672">
        <w:rPr>
          <w:rFonts w:ascii="Times New Roman" w:hAnsi="Times New Roman"/>
          <w:color w:val="000000"/>
          <w:szCs w:val="20"/>
        </w:rPr>
        <w:t xml:space="preserve">8.3. На виконання вимог Закону України </w:t>
      </w:r>
      <w:r w:rsidR="00022F5F">
        <w:rPr>
          <w:rFonts w:ascii="Times New Roman" w:hAnsi="Times New Roman"/>
          <w:color w:val="000000"/>
          <w:szCs w:val="20"/>
        </w:rPr>
        <w:t>"</w:t>
      </w:r>
      <w:r w:rsidRPr="00E16672">
        <w:rPr>
          <w:rFonts w:ascii="Times New Roman" w:hAnsi="Times New Roman"/>
          <w:color w:val="000000"/>
          <w:szCs w:val="20"/>
        </w:rPr>
        <w:t>Про захист персональних даних</w:t>
      </w:r>
      <w:r w:rsidR="00022F5F">
        <w:rPr>
          <w:rFonts w:ascii="Times New Roman" w:hAnsi="Times New Roman"/>
          <w:color w:val="000000"/>
          <w:szCs w:val="20"/>
        </w:rPr>
        <w:t>"</w:t>
      </w:r>
      <w:r w:rsidRPr="00E16672">
        <w:rPr>
          <w:rFonts w:ascii="Times New Roman" w:hAnsi="Times New Roman"/>
          <w:color w:val="000000"/>
          <w:szCs w:val="20"/>
        </w:rPr>
        <w:t xml:space="preserve"> у разі отримання Депозитарною установою інформації, яка стосується персональних даних фізичних осіб, Сторона, що надала такі дані підписанням цього Договору підтверджує легітимність їх отримання, та право на передання Депозитарній установі таких даних для використання (обробки) Депозитарною установою у випадках, передбачених законодавством, а також – передання Депозитарною установою таких даних третім особам у випадках</w:t>
      </w:r>
      <w:r w:rsidR="00D50D27" w:rsidRPr="00E16672">
        <w:rPr>
          <w:rFonts w:ascii="Times New Roman" w:hAnsi="Times New Roman"/>
          <w:color w:val="000000"/>
          <w:szCs w:val="20"/>
        </w:rPr>
        <w:t>,</w:t>
      </w:r>
      <w:r w:rsidRPr="00E16672">
        <w:rPr>
          <w:rFonts w:ascii="Times New Roman" w:hAnsi="Times New Roman"/>
          <w:color w:val="000000"/>
          <w:szCs w:val="20"/>
        </w:rPr>
        <w:t xml:space="preserve"> встановлених чинним законодавством України. </w:t>
      </w:r>
    </w:p>
    <w:p w14:paraId="3BF486D6" w14:textId="77777777" w:rsidR="00FC0CC7" w:rsidRPr="00E16672" w:rsidRDefault="00FC0CC7" w:rsidP="001456E9">
      <w:pPr>
        <w:tabs>
          <w:tab w:val="left" w:pos="1080"/>
          <w:tab w:val="left" w:pos="1134"/>
        </w:tabs>
        <w:ind w:firstLine="540"/>
        <w:rPr>
          <w:rFonts w:ascii="Times New Roman" w:hAnsi="Times New Roman"/>
          <w:color w:val="000000"/>
          <w:szCs w:val="20"/>
          <w:lang w:val="uk-UA"/>
        </w:rPr>
      </w:pPr>
      <w:r w:rsidRPr="00E16672">
        <w:rPr>
          <w:rFonts w:ascii="Times New Roman" w:hAnsi="Times New Roman"/>
          <w:color w:val="000000"/>
          <w:szCs w:val="20"/>
          <w:lang w:val="uk-UA"/>
        </w:rPr>
        <w:t>8.</w:t>
      </w:r>
      <w:r w:rsidR="002634C8" w:rsidRPr="00E16672">
        <w:rPr>
          <w:rFonts w:ascii="Times New Roman" w:hAnsi="Times New Roman"/>
          <w:color w:val="000000"/>
          <w:szCs w:val="20"/>
          <w:lang w:val="uk-UA"/>
        </w:rPr>
        <w:t>4</w:t>
      </w:r>
      <w:r w:rsidRPr="00E16672">
        <w:rPr>
          <w:rFonts w:ascii="Times New Roman" w:hAnsi="Times New Roman"/>
          <w:color w:val="000000"/>
          <w:szCs w:val="20"/>
          <w:lang w:val="uk-UA"/>
        </w:rPr>
        <w:t>. Додаткові угоди набирають чинності з моменту їх підписання та є невід’ємною частиною Договору.</w:t>
      </w:r>
    </w:p>
    <w:p w14:paraId="2EE58F2B" w14:textId="77777777" w:rsidR="00FC0CC7" w:rsidRPr="00E16672" w:rsidRDefault="00FC0CC7" w:rsidP="00FC0CC7">
      <w:pPr>
        <w:ind w:firstLine="540"/>
        <w:rPr>
          <w:rFonts w:ascii="Times New Roman" w:hAnsi="Times New Roman"/>
          <w:color w:val="000000"/>
          <w:szCs w:val="20"/>
          <w:lang w:val="uk-UA"/>
        </w:rPr>
      </w:pPr>
      <w:r w:rsidRPr="00E16672">
        <w:rPr>
          <w:rFonts w:ascii="Times New Roman" w:hAnsi="Times New Roman"/>
          <w:color w:val="000000"/>
          <w:szCs w:val="20"/>
          <w:lang w:val="uk-UA"/>
        </w:rPr>
        <w:t>8.</w:t>
      </w:r>
      <w:r w:rsidR="002634C8" w:rsidRPr="00E16672">
        <w:rPr>
          <w:rFonts w:ascii="Times New Roman" w:hAnsi="Times New Roman"/>
          <w:color w:val="000000"/>
          <w:szCs w:val="20"/>
          <w:lang w:val="uk-UA"/>
        </w:rPr>
        <w:t>5</w:t>
      </w:r>
      <w:r w:rsidRPr="00E16672">
        <w:rPr>
          <w:rFonts w:ascii="Times New Roman" w:hAnsi="Times New Roman"/>
          <w:color w:val="000000"/>
          <w:szCs w:val="20"/>
          <w:lang w:val="uk-UA"/>
        </w:rPr>
        <w:t>. При виконанні даного Договору Сторони керуються умовами Договору</w:t>
      </w:r>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внутрішніх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документів</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Депозитарної</w:t>
      </w:r>
      <w:proofErr w:type="spellEnd"/>
      <w:r w:rsidRPr="00E16672">
        <w:rPr>
          <w:rFonts w:ascii="Times New Roman" w:hAnsi="Times New Roman"/>
          <w:color w:val="000000"/>
          <w:szCs w:val="20"/>
        </w:rPr>
        <w:t xml:space="preserve"> установи </w:t>
      </w:r>
      <w:r w:rsidRPr="00E16672">
        <w:rPr>
          <w:rFonts w:ascii="Times New Roman" w:hAnsi="Times New Roman"/>
          <w:color w:val="000000"/>
          <w:szCs w:val="20"/>
          <w:lang w:val="uk-UA"/>
        </w:rPr>
        <w:t>та законодавством України.</w:t>
      </w:r>
    </w:p>
    <w:p w14:paraId="37B22CC7" w14:textId="77777777" w:rsidR="00FC0CC7" w:rsidRPr="00E16672" w:rsidRDefault="00FC0CC7" w:rsidP="00FC0CC7">
      <w:pPr>
        <w:ind w:firstLine="540"/>
        <w:rPr>
          <w:rFonts w:ascii="Times New Roman" w:hAnsi="Times New Roman"/>
          <w:color w:val="000000"/>
          <w:szCs w:val="20"/>
          <w:lang w:val="uk-UA"/>
        </w:rPr>
      </w:pPr>
      <w:r w:rsidRPr="00E16672">
        <w:rPr>
          <w:rFonts w:ascii="Times New Roman" w:hAnsi="Times New Roman"/>
          <w:color w:val="000000"/>
          <w:szCs w:val="20"/>
          <w:lang w:val="uk-UA"/>
        </w:rPr>
        <w:t>8</w:t>
      </w:r>
      <w:r w:rsidR="0005147A" w:rsidRPr="00E16672">
        <w:rPr>
          <w:rFonts w:ascii="Times New Roman" w:hAnsi="Times New Roman"/>
          <w:color w:val="000000"/>
          <w:szCs w:val="20"/>
          <w:lang w:val="uk-UA"/>
        </w:rPr>
        <w:t>.</w:t>
      </w:r>
      <w:r w:rsidR="002634C8" w:rsidRPr="00E16672">
        <w:rPr>
          <w:rFonts w:ascii="Times New Roman" w:hAnsi="Times New Roman"/>
          <w:color w:val="000000"/>
          <w:szCs w:val="20"/>
          <w:lang w:val="uk-UA"/>
        </w:rPr>
        <w:t>6</w:t>
      </w:r>
      <w:r w:rsidRPr="00E16672">
        <w:rPr>
          <w:rFonts w:ascii="Times New Roman" w:hAnsi="Times New Roman"/>
          <w:color w:val="000000"/>
          <w:szCs w:val="20"/>
          <w:lang w:val="uk-UA"/>
        </w:rPr>
        <w:t>. Депонент бере на себе відповідальність за достовірність інформації, що міститься в документах, які подаються Депонентом Депозитарній установі, у тому числі документах, за якими Депозитарній установі Депонентом доручається проведення депозитарних операцій на рахунку Депонента.</w:t>
      </w:r>
    </w:p>
    <w:p w14:paraId="496CA50F" w14:textId="77777777" w:rsidR="00FC0CC7" w:rsidRPr="00E16672" w:rsidRDefault="00FC0CC7" w:rsidP="00FC0CC7">
      <w:pPr>
        <w:ind w:firstLine="540"/>
        <w:rPr>
          <w:rFonts w:ascii="Times New Roman" w:hAnsi="Times New Roman"/>
          <w:color w:val="000000"/>
          <w:szCs w:val="20"/>
          <w:lang w:val="uk-UA"/>
        </w:rPr>
      </w:pPr>
      <w:r w:rsidRPr="00E16672">
        <w:rPr>
          <w:rFonts w:ascii="Times New Roman" w:hAnsi="Times New Roman"/>
          <w:color w:val="000000"/>
          <w:szCs w:val="20"/>
          <w:lang w:val="uk-UA"/>
        </w:rPr>
        <w:t>8.</w:t>
      </w:r>
      <w:r w:rsidR="002634C8" w:rsidRPr="00E16672">
        <w:rPr>
          <w:rFonts w:ascii="Times New Roman" w:hAnsi="Times New Roman"/>
          <w:color w:val="000000"/>
          <w:szCs w:val="20"/>
          <w:lang w:val="uk-UA"/>
        </w:rPr>
        <w:t>7</w:t>
      </w:r>
      <w:r w:rsidRPr="00E16672">
        <w:rPr>
          <w:rFonts w:ascii="Times New Roman" w:hAnsi="Times New Roman"/>
          <w:color w:val="000000"/>
          <w:szCs w:val="20"/>
          <w:lang w:val="uk-UA"/>
        </w:rPr>
        <w:t>. Укладення цього Договору не тягне за собою переходу прав на цінні папери та прав за цінними паперами Депонента до Депозитарної установи.</w:t>
      </w:r>
    </w:p>
    <w:p w14:paraId="68051753" w14:textId="77777777" w:rsidR="00FC0CC7" w:rsidRPr="00E16672" w:rsidRDefault="00FC0CC7" w:rsidP="00FC0CC7">
      <w:pPr>
        <w:ind w:firstLine="540"/>
        <w:rPr>
          <w:rFonts w:ascii="Times New Roman" w:hAnsi="Times New Roman"/>
          <w:color w:val="000000"/>
          <w:szCs w:val="20"/>
        </w:rPr>
      </w:pPr>
      <w:r w:rsidRPr="00E16672">
        <w:rPr>
          <w:rFonts w:ascii="Times New Roman" w:hAnsi="Times New Roman"/>
          <w:color w:val="000000"/>
          <w:szCs w:val="20"/>
          <w:lang w:val="uk-UA"/>
        </w:rPr>
        <w:t>8.</w:t>
      </w:r>
      <w:r w:rsidR="002634C8" w:rsidRPr="00E16672">
        <w:rPr>
          <w:rFonts w:ascii="Times New Roman" w:hAnsi="Times New Roman"/>
          <w:color w:val="000000"/>
          <w:szCs w:val="20"/>
          <w:lang w:val="uk-UA"/>
        </w:rPr>
        <w:t>8</w:t>
      </w:r>
      <w:r w:rsidRPr="00E16672">
        <w:rPr>
          <w:rFonts w:ascii="Times New Roman" w:hAnsi="Times New Roman"/>
          <w:color w:val="000000"/>
          <w:szCs w:val="20"/>
          <w:lang w:val="uk-UA"/>
        </w:rPr>
        <w:t>. Закриття</w:t>
      </w:r>
      <w:r w:rsidRPr="00E16672">
        <w:rPr>
          <w:rFonts w:ascii="Times New Roman" w:hAnsi="Times New Roman"/>
          <w:szCs w:val="20"/>
          <w:lang w:val="uk-UA"/>
        </w:rPr>
        <w:t xml:space="preserve"> рахунків </w:t>
      </w:r>
      <w:r w:rsidR="00C22309" w:rsidRPr="00E16672">
        <w:rPr>
          <w:rFonts w:ascii="Times New Roman" w:hAnsi="Times New Roman"/>
          <w:szCs w:val="20"/>
          <w:lang w:val="uk-UA"/>
        </w:rPr>
        <w:t>в цін</w:t>
      </w:r>
      <w:r w:rsidRPr="00E16672">
        <w:rPr>
          <w:rFonts w:ascii="Times New Roman" w:hAnsi="Times New Roman"/>
          <w:szCs w:val="20"/>
          <w:lang w:val="uk-UA"/>
        </w:rPr>
        <w:t>них паперах відбувається за розпорядженням ініціатора депозитарної операції</w:t>
      </w:r>
      <w:r w:rsidR="002634C8" w:rsidRPr="00E16672">
        <w:rPr>
          <w:rFonts w:ascii="Times New Roman" w:hAnsi="Times New Roman"/>
          <w:szCs w:val="20"/>
          <w:lang w:val="uk-UA"/>
        </w:rPr>
        <w:t xml:space="preserve"> крім випадків, встановлених цим Договором та законом</w:t>
      </w:r>
      <w:r w:rsidR="00C807E4" w:rsidRPr="00E16672">
        <w:rPr>
          <w:rFonts w:ascii="Times New Roman" w:hAnsi="Times New Roman"/>
          <w:szCs w:val="20"/>
          <w:lang w:val="uk-UA"/>
        </w:rPr>
        <w:t>.</w:t>
      </w:r>
      <w:r w:rsidRPr="00E16672">
        <w:rPr>
          <w:rFonts w:ascii="Times New Roman" w:hAnsi="Times New Roman"/>
          <w:szCs w:val="20"/>
          <w:lang w:val="uk-UA"/>
        </w:rPr>
        <w:t xml:space="preserve"> </w:t>
      </w:r>
      <w:r w:rsidR="00754BA9" w:rsidRPr="00E16672">
        <w:rPr>
          <w:rFonts w:ascii="Times New Roman" w:hAnsi="Times New Roman"/>
          <w:color w:val="000000"/>
          <w:szCs w:val="20"/>
          <w:lang w:val="uk-UA"/>
        </w:rPr>
        <w:t>О</w:t>
      </w:r>
      <w:proofErr w:type="spellStart"/>
      <w:r w:rsidRPr="00E16672">
        <w:rPr>
          <w:rFonts w:ascii="Times New Roman" w:hAnsi="Times New Roman"/>
          <w:color w:val="000000"/>
          <w:szCs w:val="20"/>
        </w:rPr>
        <w:t>бов’язковою</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умовою</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закриття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рахунку</w:t>
      </w:r>
      <w:proofErr w:type="spellEnd"/>
      <w:r w:rsidRPr="00E16672">
        <w:rPr>
          <w:rFonts w:ascii="Times New Roman" w:hAnsi="Times New Roman"/>
          <w:color w:val="000000"/>
          <w:szCs w:val="20"/>
        </w:rPr>
        <w:t xml:space="preserve"> в </w:t>
      </w:r>
      <w:proofErr w:type="spellStart"/>
      <w:r w:rsidRPr="00E16672">
        <w:rPr>
          <w:rFonts w:ascii="Times New Roman" w:hAnsi="Times New Roman"/>
          <w:color w:val="000000"/>
          <w:szCs w:val="20"/>
        </w:rPr>
        <w:t>цінних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паперах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має</w:t>
      </w:r>
      <w:proofErr w:type="spellEnd"/>
      <w:r w:rsidRPr="00E16672">
        <w:rPr>
          <w:rFonts w:ascii="Times New Roman" w:hAnsi="Times New Roman"/>
          <w:color w:val="000000"/>
          <w:szCs w:val="20"/>
        </w:rPr>
        <w:t xml:space="preserve"> бути </w:t>
      </w:r>
      <w:proofErr w:type="spellStart"/>
      <w:r w:rsidRPr="00E16672">
        <w:rPr>
          <w:rFonts w:ascii="Times New Roman" w:hAnsi="Times New Roman"/>
          <w:color w:val="000000"/>
          <w:szCs w:val="20"/>
        </w:rPr>
        <w:t>відсутність</w:t>
      </w:r>
      <w:proofErr w:type="spellEnd"/>
      <w:r w:rsidRPr="00E16672">
        <w:rPr>
          <w:rFonts w:ascii="Times New Roman" w:hAnsi="Times New Roman"/>
          <w:color w:val="000000"/>
          <w:szCs w:val="20"/>
        </w:rPr>
        <w:t xml:space="preserve"> в </w:t>
      </w:r>
      <w:proofErr w:type="spellStart"/>
      <w:r w:rsidRPr="00E16672">
        <w:rPr>
          <w:rFonts w:ascii="Times New Roman" w:hAnsi="Times New Roman"/>
          <w:color w:val="000000"/>
          <w:szCs w:val="20"/>
        </w:rPr>
        <w:t>облік</w:t>
      </w:r>
      <w:r w:rsidR="00C22309" w:rsidRPr="00E16672">
        <w:rPr>
          <w:rFonts w:ascii="Times New Roman" w:hAnsi="Times New Roman"/>
          <w:color w:val="000000"/>
          <w:szCs w:val="20"/>
        </w:rPr>
        <w:t>в</w:t>
      </w:r>
      <w:proofErr w:type="spellEnd"/>
      <w:r w:rsidR="00C22309" w:rsidRPr="00E16672">
        <w:rPr>
          <w:rFonts w:ascii="Times New Roman" w:hAnsi="Times New Roman"/>
          <w:color w:val="000000"/>
          <w:szCs w:val="20"/>
        </w:rPr>
        <w:t xml:space="preserve"> </w:t>
      </w:r>
      <w:proofErr w:type="spellStart"/>
      <w:r w:rsidR="00C22309" w:rsidRPr="00E16672">
        <w:rPr>
          <w:rFonts w:ascii="Times New Roman" w:hAnsi="Times New Roman"/>
          <w:color w:val="000000"/>
          <w:szCs w:val="20"/>
        </w:rPr>
        <w:t>цін</w:t>
      </w:r>
      <w:r w:rsidRPr="00E16672">
        <w:rPr>
          <w:rFonts w:ascii="Times New Roman" w:hAnsi="Times New Roman"/>
          <w:color w:val="000000"/>
          <w:szCs w:val="20"/>
        </w:rPr>
        <w:t>них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паперів</w:t>
      </w:r>
      <w:proofErr w:type="spellEnd"/>
      <w:r w:rsidRPr="00E16672">
        <w:rPr>
          <w:rFonts w:ascii="Times New Roman" w:hAnsi="Times New Roman"/>
          <w:color w:val="000000"/>
          <w:szCs w:val="20"/>
        </w:rPr>
        <w:t xml:space="preserve">, прав на </w:t>
      </w:r>
      <w:proofErr w:type="spellStart"/>
      <w:r w:rsidRPr="00E16672">
        <w:rPr>
          <w:rFonts w:ascii="Times New Roman" w:hAnsi="Times New Roman"/>
          <w:color w:val="000000"/>
          <w:szCs w:val="20"/>
        </w:rPr>
        <w:t>цінні</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папери</w:t>
      </w:r>
      <w:proofErr w:type="spellEnd"/>
      <w:r w:rsidRPr="00E16672">
        <w:rPr>
          <w:rFonts w:ascii="Times New Roman" w:hAnsi="Times New Roman"/>
          <w:color w:val="000000"/>
          <w:szCs w:val="20"/>
        </w:rPr>
        <w:t>.</w:t>
      </w:r>
    </w:p>
    <w:p w14:paraId="265CB40E" w14:textId="77777777" w:rsidR="00FC0CC7" w:rsidRPr="00E16672" w:rsidRDefault="00FC0CC7" w:rsidP="00FC0CC7">
      <w:pPr>
        <w:pStyle w:val="32"/>
        <w:ind w:firstLine="540"/>
        <w:rPr>
          <w:rFonts w:ascii="Times New Roman" w:hAnsi="Times New Roman"/>
          <w:sz w:val="20"/>
          <w:lang w:val="uk-UA"/>
        </w:rPr>
      </w:pPr>
      <w:r w:rsidRPr="00E16672">
        <w:rPr>
          <w:rFonts w:ascii="Times New Roman" w:hAnsi="Times New Roman"/>
          <w:sz w:val="20"/>
          <w:lang w:val="uk-UA"/>
        </w:rPr>
        <w:t>8.</w:t>
      </w:r>
      <w:r w:rsidR="0005147A" w:rsidRPr="00E16672">
        <w:rPr>
          <w:rFonts w:ascii="Times New Roman" w:hAnsi="Times New Roman"/>
          <w:sz w:val="20"/>
          <w:lang w:val="uk-UA"/>
        </w:rPr>
        <w:t>9</w:t>
      </w:r>
      <w:r w:rsidRPr="00E16672">
        <w:rPr>
          <w:rFonts w:ascii="Times New Roman" w:hAnsi="Times New Roman"/>
          <w:sz w:val="20"/>
          <w:lang w:val="uk-UA"/>
        </w:rPr>
        <w:t>. Інші питання, які не регулюються положеннями цього Договору, регулюються чинним законодавством України</w:t>
      </w:r>
      <w:r w:rsidR="005A5F11" w:rsidRPr="00E16672">
        <w:rPr>
          <w:rFonts w:ascii="Times New Roman" w:hAnsi="Times New Roman"/>
          <w:sz w:val="20"/>
          <w:lang w:val="uk-UA"/>
        </w:rPr>
        <w:t xml:space="preserve"> та внутрішніми документами Депозитарної установи</w:t>
      </w:r>
      <w:r w:rsidRPr="00E16672">
        <w:rPr>
          <w:rFonts w:ascii="Times New Roman" w:hAnsi="Times New Roman"/>
          <w:sz w:val="20"/>
          <w:lang w:val="uk-UA"/>
        </w:rPr>
        <w:t>.</w:t>
      </w:r>
    </w:p>
    <w:p w14:paraId="4D743BF3" w14:textId="77777777" w:rsidR="004251EE" w:rsidRPr="00E16672" w:rsidRDefault="004251EE" w:rsidP="00A245E8">
      <w:pPr>
        <w:pStyle w:val="32"/>
        <w:ind w:firstLine="540"/>
        <w:rPr>
          <w:rFonts w:ascii="Times New Roman" w:hAnsi="Times New Roman"/>
          <w:sz w:val="20"/>
          <w:lang w:val="uk-UA"/>
        </w:rPr>
      </w:pPr>
    </w:p>
    <w:p w14:paraId="7F2CC253" w14:textId="77777777" w:rsidR="00502AEC" w:rsidRPr="00E16672" w:rsidRDefault="00502AEC">
      <w:pPr>
        <w:jc w:val="center"/>
        <w:rPr>
          <w:rFonts w:ascii="Times New Roman" w:hAnsi="Times New Roman"/>
          <w:b/>
          <w:bCs/>
          <w:szCs w:val="20"/>
          <w:lang w:val="uk-UA"/>
        </w:rPr>
      </w:pPr>
      <w:r w:rsidRPr="00E16672">
        <w:rPr>
          <w:rFonts w:ascii="Times New Roman" w:hAnsi="Times New Roman"/>
          <w:b/>
          <w:bCs/>
          <w:szCs w:val="20"/>
          <w:lang w:val="uk-UA"/>
        </w:rPr>
        <w:t>9. Форс-мажор</w:t>
      </w:r>
    </w:p>
    <w:p w14:paraId="7327DD50" w14:textId="77777777" w:rsidR="00502AEC" w:rsidRPr="00E16672" w:rsidRDefault="00502AEC">
      <w:pPr>
        <w:rPr>
          <w:rFonts w:ascii="Times New Roman" w:hAnsi="Times New Roman"/>
          <w:szCs w:val="20"/>
          <w:lang w:val="uk-UA"/>
        </w:rPr>
      </w:pPr>
      <w:r w:rsidRPr="00E16672">
        <w:rPr>
          <w:rFonts w:ascii="Times New Roman" w:hAnsi="Times New Roman"/>
          <w:szCs w:val="20"/>
          <w:lang w:val="uk-UA"/>
        </w:rPr>
        <w:t>9.1. Сторони звільняються від відповідальності за часткове або повне невиконання зобов’язань по цьому Договору, якщо це виконання унеможливив вплив обставин непереборної сили, тобто надзвичайних і невідворотних за даних умов подій: стихійного лиха, аварії, пожежі, вихід із ладу мереж зв’язку та системи електропостачання, масових порушень правопорядку, страйків, військових дій, протиправних дій третіх осіб (крім дій працівників Сторони) чи інших обставин, що виникли після підписання Договору та не залежать від волевиявлення Сторін. Не є непереборною силою недодержання своїх обов’язків іншими контрагентами однієї зі Сторін чи відсутність у Сторони достатніх коштів.</w:t>
      </w:r>
    </w:p>
    <w:p w14:paraId="5B624D4F" w14:textId="77777777" w:rsidR="00502AEC" w:rsidRPr="00E16672" w:rsidRDefault="00502AEC">
      <w:pPr>
        <w:rPr>
          <w:rFonts w:ascii="Times New Roman" w:hAnsi="Times New Roman"/>
          <w:color w:val="000000"/>
          <w:szCs w:val="20"/>
          <w:lang w:val="uk-UA"/>
        </w:rPr>
      </w:pPr>
      <w:r w:rsidRPr="00E16672">
        <w:rPr>
          <w:rFonts w:ascii="Times New Roman" w:hAnsi="Times New Roman"/>
          <w:szCs w:val="20"/>
        </w:rPr>
        <w:t>9</w:t>
      </w:r>
      <w:r w:rsidRPr="00E16672">
        <w:rPr>
          <w:rFonts w:ascii="Times New Roman" w:hAnsi="Times New Roman"/>
          <w:szCs w:val="20"/>
          <w:lang w:val="uk-UA"/>
        </w:rPr>
        <w:t xml:space="preserve">.2. У випадку виникнення обставин непереборної сили термін виконання Сторонами обов`язків по цьому Договору </w:t>
      </w:r>
      <w:r w:rsidRPr="00E16672">
        <w:rPr>
          <w:rFonts w:ascii="Times New Roman" w:hAnsi="Times New Roman"/>
          <w:color w:val="000000"/>
          <w:szCs w:val="20"/>
          <w:lang w:val="uk-UA"/>
        </w:rPr>
        <w:t>відкладається на термін, протягом якого діють такі обставини та їх наслідки.</w:t>
      </w:r>
    </w:p>
    <w:p w14:paraId="653CA44B" w14:textId="77777777" w:rsidR="00502AEC" w:rsidRPr="00E16672" w:rsidRDefault="00502AEC">
      <w:pPr>
        <w:rPr>
          <w:rFonts w:ascii="Times New Roman" w:hAnsi="Times New Roman"/>
          <w:color w:val="000000"/>
          <w:szCs w:val="20"/>
          <w:lang w:val="uk-UA"/>
        </w:rPr>
      </w:pPr>
      <w:r w:rsidRPr="00E16672">
        <w:rPr>
          <w:rFonts w:ascii="Times New Roman" w:hAnsi="Times New Roman"/>
          <w:color w:val="000000"/>
          <w:szCs w:val="20"/>
        </w:rPr>
        <w:t>9</w:t>
      </w:r>
      <w:r w:rsidRPr="00E16672">
        <w:rPr>
          <w:rFonts w:ascii="Times New Roman" w:hAnsi="Times New Roman"/>
          <w:color w:val="000000"/>
          <w:szCs w:val="20"/>
          <w:lang w:val="uk-UA"/>
        </w:rPr>
        <w:t xml:space="preserve">.3. Сторони зобов`язуються після настання форс-мажорних обставин вжити всі заходи для ліквідації наслідків та виконання умов Договору. </w:t>
      </w:r>
    </w:p>
    <w:p w14:paraId="6277ADDB" w14:textId="77777777" w:rsidR="00AA5DAE" w:rsidRPr="00E16672" w:rsidRDefault="00AA5DAE" w:rsidP="00525BCC">
      <w:pPr>
        <w:pStyle w:val="210"/>
        <w:snapToGrid w:val="0"/>
        <w:ind w:firstLine="540"/>
        <w:rPr>
          <w:rFonts w:ascii="Times New Roman" w:hAnsi="Times New Roman"/>
          <w:color w:val="000000"/>
          <w:sz w:val="20"/>
          <w:szCs w:val="20"/>
        </w:rPr>
      </w:pPr>
      <w:r w:rsidRPr="00E16672">
        <w:rPr>
          <w:rFonts w:ascii="Times New Roman" w:hAnsi="Times New Roman"/>
          <w:color w:val="000000"/>
          <w:sz w:val="20"/>
          <w:szCs w:val="20"/>
        </w:rPr>
        <w:lastRenderedPageBreak/>
        <w:t xml:space="preserve">9.4. </w:t>
      </w:r>
      <w:r w:rsidR="00525BCC" w:rsidRPr="00E16672">
        <w:rPr>
          <w:rFonts w:ascii="Times New Roman" w:hAnsi="Times New Roman"/>
          <w:color w:val="000000"/>
          <w:sz w:val="20"/>
          <w:szCs w:val="20"/>
        </w:rPr>
        <w:t xml:space="preserve">Кожна Сторона зобов’язана письмово підтвердити факт виникнення Форс-мажорних обставин іншій </w:t>
      </w:r>
      <w:r w:rsidR="00591068" w:rsidRPr="00E16672">
        <w:rPr>
          <w:rFonts w:ascii="Times New Roman" w:hAnsi="Times New Roman"/>
          <w:color w:val="000000"/>
          <w:sz w:val="20"/>
          <w:szCs w:val="20"/>
        </w:rPr>
        <w:t>С</w:t>
      </w:r>
      <w:r w:rsidR="00525BCC" w:rsidRPr="00E16672">
        <w:rPr>
          <w:rFonts w:ascii="Times New Roman" w:hAnsi="Times New Roman"/>
          <w:color w:val="000000"/>
          <w:sz w:val="20"/>
          <w:szCs w:val="20"/>
        </w:rPr>
        <w:t xml:space="preserve">тороні протягом </w:t>
      </w:r>
      <w:r w:rsidR="00525BCC" w:rsidRPr="00E16672">
        <w:rPr>
          <w:rFonts w:ascii="Times New Roman" w:hAnsi="Times New Roman"/>
          <w:i/>
          <w:iCs/>
          <w:color w:val="000000"/>
          <w:sz w:val="20"/>
          <w:szCs w:val="20"/>
          <w:lang w:val="ru-RU"/>
        </w:rPr>
        <w:t>десяти</w:t>
      </w:r>
      <w:r w:rsidR="00525BCC" w:rsidRPr="00E16672">
        <w:rPr>
          <w:rFonts w:ascii="Times New Roman" w:hAnsi="Times New Roman"/>
          <w:color w:val="000000"/>
          <w:sz w:val="20"/>
          <w:szCs w:val="20"/>
        </w:rPr>
        <w:t xml:space="preserve"> днів після їх виникнення.</w:t>
      </w:r>
    </w:p>
    <w:p w14:paraId="245597E2" w14:textId="77777777" w:rsidR="00AA5DAE" w:rsidRPr="00E16672" w:rsidRDefault="00AA5DAE" w:rsidP="00AA5DAE">
      <w:pPr>
        <w:rPr>
          <w:rFonts w:ascii="Times New Roman" w:hAnsi="Times New Roman"/>
          <w:color w:val="000000"/>
          <w:szCs w:val="20"/>
          <w:lang w:val="uk-UA"/>
        </w:rPr>
      </w:pPr>
      <w:r w:rsidRPr="00E16672">
        <w:rPr>
          <w:rFonts w:ascii="Times New Roman" w:hAnsi="Times New Roman"/>
          <w:color w:val="000000"/>
          <w:szCs w:val="20"/>
          <w:lang w:val="uk-UA"/>
        </w:rPr>
        <w:t xml:space="preserve">9.5. Форс-мажорна ситуація між Сторонами розглядається тільки за умови сповіщення протилежної сторони в письмовій формі із зазначенням обставин, що виникли.   </w:t>
      </w:r>
    </w:p>
    <w:p w14:paraId="02B06D1B" w14:textId="77777777" w:rsidR="00502AEC" w:rsidRPr="00E16672" w:rsidRDefault="00502AEC">
      <w:pPr>
        <w:pStyle w:val="32"/>
        <w:ind w:firstLine="0"/>
        <w:rPr>
          <w:rFonts w:ascii="Times New Roman" w:hAnsi="Times New Roman"/>
          <w:color w:val="000000"/>
          <w:sz w:val="20"/>
          <w:lang w:val="uk-UA"/>
        </w:rPr>
      </w:pPr>
    </w:p>
    <w:p w14:paraId="45565A88" w14:textId="77777777" w:rsidR="00AC4F94" w:rsidRPr="00E16672" w:rsidRDefault="00AC4F94" w:rsidP="00AC4F94">
      <w:pPr>
        <w:pStyle w:val="33"/>
        <w:tabs>
          <w:tab w:val="left" w:pos="851"/>
        </w:tabs>
        <w:ind w:firstLine="540"/>
        <w:jc w:val="center"/>
        <w:rPr>
          <w:rFonts w:ascii="Times New Roman" w:hAnsi="Times New Roman" w:cs="Times New Roman"/>
          <w:b/>
          <w:bCs/>
          <w:color w:val="000000"/>
          <w:lang w:val="uk-UA"/>
        </w:rPr>
      </w:pPr>
      <w:r w:rsidRPr="00E16672">
        <w:rPr>
          <w:rFonts w:ascii="Times New Roman" w:hAnsi="Times New Roman" w:cs="Times New Roman"/>
          <w:b/>
          <w:bCs/>
          <w:color w:val="000000"/>
          <w:lang w:val="uk-UA"/>
        </w:rPr>
        <w:t xml:space="preserve">10. Згода-повідомлення </w:t>
      </w:r>
    </w:p>
    <w:p w14:paraId="1CDBF651" w14:textId="77777777" w:rsidR="00AC4F94" w:rsidRPr="00E16672" w:rsidRDefault="00AC4F94" w:rsidP="00022F5F">
      <w:pPr>
        <w:ind w:firstLine="540"/>
        <w:jc w:val="left"/>
        <w:rPr>
          <w:rFonts w:ascii="Times New Roman" w:hAnsi="Times New Roman"/>
          <w:color w:val="000000"/>
          <w:szCs w:val="20"/>
          <w:lang w:val="uk-UA"/>
        </w:rPr>
      </w:pPr>
      <w:r w:rsidRPr="00E16672">
        <w:rPr>
          <w:rFonts w:ascii="Times New Roman" w:hAnsi="Times New Roman"/>
          <w:color w:val="000000"/>
          <w:szCs w:val="20"/>
        </w:rPr>
        <w:t>10</w:t>
      </w:r>
      <w:r w:rsidRPr="00E16672">
        <w:rPr>
          <w:rFonts w:ascii="Times New Roman" w:hAnsi="Times New Roman"/>
          <w:color w:val="000000"/>
          <w:szCs w:val="20"/>
          <w:lang w:val="uk-UA"/>
        </w:rPr>
        <w:t xml:space="preserve">.1. Даним договором Депонент, як суб’єкт персональних даних, на виконання вимог частини 2 статті 12 Закону України </w:t>
      </w:r>
      <w:r w:rsidR="00022F5F">
        <w:rPr>
          <w:rFonts w:ascii="Times New Roman" w:hAnsi="Times New Roman"/>
          <w:color w:val="000000"/>
          <w:szCs w:val="20"/>
          <w:lang w:val="uk-UA"/>
        </w:rPr>
        <w:t>"</w:t>
      </w:r>
      <w:r w:rsidRPr="00E16672">
        <w:rPr>
          <w:rFonts w:ascii="Times New Roman" w:hAnsi="Times New Roman"/>
          <w:color w:val="000000"/>
          <w:szCs w:val="20"/>
          <w:lang w:val="uk-UA"/>
        </w:rPr>
        <w:t>Про захист персональних даних</w:t>
      </w:r>
      <w:r w:rsidR="00022F5F">
        <w:rPr>
          <w:rFonts w:ascii="Times New Roman" w:hAnsi="Times New Roman"/>
          <w:color w:val="000000"/>
          <w:szCs w:val="20"/>
          <w:lang w:val="uk-UA"/>
        </w:rPr>
        <w:t>"</w:t>
      </w:r>
      <w:r w:rsidRPr="00E16672">
        <w:rPr>
          <w:rFonts w:ascii="Times New Roman" w:hAnsi="Times New Roman"/>
          <w:color w:val="000000"/>
          <w:szCs w:val="20"/>
          <w:lang w:val="uk-UA"/>
        </w:rPr>
        <w:t xml:space="preserve"> повідомляється про включення добровільно наданих ним Депозитарній установі власних персональних даних до бази персональних даних “Система депозитарного обліку Депозитарної установи ТОВ </w:t>
      </w:r>
      <w:r w:rsidR="00022F5F">
        <w:rPr>
          <w:rFonts w:ascii="Times New Roman" w:hAnsi="Times New Roman"/>
          <w:color w:val="000000"/>
          <w:szCs w:val="20"/>
          <w:lang w:val="uk-UA"/>
        </w:rPr>
        <w:t>"</w:t>
      </w:r>
      <w:r w:rsidR="00E16672" w:rsidRPr="00E16672">
        <w:rPr>
          <w:rFonts w:ascii="Times New Roman" w:hAnsi="Times New Roman"/>
          <w:color w:val="000000"/>
          <w:szCs w:val="20"/>
          <w:lang w:val="uk-UA"/>
        </w:rPr>
        <w:t>КОМЕКС ЦІННІ ПАПЕРИ</w:t>
      </w:r>
      <w:r w:rsidR="00022F5F">
        <w:rPr>
          <w:rFonts w:ascii="Times New Roman" w:hAnsi="Times New Roman"/>
          <w:color w:val="000000"/>
          <w:szCs w:val="20"/>
          <w:lang w:val="uk-UA"/>
        </w:rPr>
        <w:t>"</w:t>
      </w:r>
      <w:r w:rsidRPr="00E16672">
        <w:rPr>
          <w:rFonts w:ascii="Times New Roman" w:hAnsi="Times New Roman"/>
          <w:color w:val="000000"/>
          <w:szCs w:val="20"/>
          <w:lang w:val="uk-UA"/>
        </w:rPr>
        <w:t>, яка розташована за місцезнаходженням Депозитарної установи.</w:t>
      </w:r>
    </w:p>
    <w:p w14:paraId="3D8542EA" w14:textId="77777777" w:rsidR="00AC4F94" w:rsidRPr="00E16672" w:rsidRDefault="00AC4F94" w:rsidP="00022F5F">
      <w:pPr>
        <w:ind w:firstLine="540"/>
        <w:jc w:val="left"/>
        <w:rPr>
          <w:rFonts w:ascii="Times New Roman" w:hAnsi="Times New Roman"/>
          <w:color w:val="000000"/>
          <w:szCs w:val="20"/>
          <w:lang w:val="uk-UA"/>
        </w:rPr>
      </w:pPr>
      <w:r w:rsidRPr="00E16672">
        <w:rPr>
          <w:rFonts w:ascii="Times New Roman" w:hAnsi="Times New Roman"/>
          <w:color w:val="000000"/>
          <w:szCs w:val="20"/>
          <w:lang w:val="uk-UA"/>
        </w:rPr>
        <w:t xml:space="preserve">Підписуючи даний договір Депонент, як суб’єкт персональних даних, дає свій добровільний та однозначний дозвіл на  вчинення Депозитарною установою Депозитарною установою, як володільцем персональних даних всіх дій, які, відповідно до Закону України </w:t>
      </w:r>
      <w:r w:rsidR="00022F5F">
        <w:rPr>
          <w:rFonts w:ascii="Times New Roman" w:hAnsi="Times New Roman"/>
          <w:color w:val="000000"/>
          <w:szCs w:val="20"/>
          <w:lang w:val="uk-UA"/>
        </w:rPr>
        <w:t>"</w:t>
      </w:r>
      <w:r w:rsidRPr="00E16672">
        <w:rPr>
          <w:rFonts w:ascii="Times New Roman" w:hAnsi="Times New Roman"/>
          <w:color w:val="000000"/>
          <w:szCs w:val="20"/>
          <w:lang w:val="uk-UA"/>
        </w:rPr>
        <w:t>Про захист персональних даних</w:t>
      </w:r>
      <w:r w:rsidR="00022F5F">
        <w:rPr>
          <w:rFonts w:ascii="Times New Roman" w:hAnsi="Times New Roman"/>
          <w:color w:val="000000"/>
          <w:szCs w:val="20"/>
          <w:lang w:val="uk-UA"/>
        </w:rPr>
        <w:t>"</w:t>
      </w:r>
      <w:r w:rsidRPr="00E16672">
        <w:rPr>
          <w:rFonts w:ascii="Times New Roman" w:hAnsi="Times New Roman"/>
          <w:color w:val="000000"/>
          <w:szCs w:val="20"/>
          <w:lang w:val="uk-UA"/>
        </w:rPr>
        <w:t>, є обробкою його персональних даних у відповідності до сформульованої мети їх обробки.</w:t>
      </w:r>
    </w:p>
    <w:p w14:paraId="3C64DB68" w14:textId="77777777" w:rsidR="00AC4F94" w:rsidRPr="00E16672" w:rsidRDefault="00AC4F94" w:rsidP="00022F5F">
      <w:pPr>
        <w:ind w:firstLine="540"/>
        <w:jc w:val="left"/>
        <w:rPr>
          <w:rFonts w:ascii="Times New Roman" w:hAnsi="Times New Roman"/>
          <w:color w:val="000000"/>
          <w:szCs w:val="20"/>
          <w:lang w:val="uk-UA"/>
        </w:rPr>
      </w:pPr>
      <w:r w:rsidRPr="00E16672">
        <w:rPr>
          <w:rFonts w:ascii="Times New Roman" w:hAnsi="Times New Roman"/>
          <w:color w:val="000000"/>
          <w:szCs w:val="20"/>
          <w:lang w:val="uk-UA"/>
        </w:rPr>
        <w:t xml:space="preserve">10.2. Метою обробки добровільно наданих Депонентом персональних даних є, відповідно до ч. 1 ст. 5 та ч. 1 ст. 18 Закону України </w:t>
      </w:r>
      <w:r w:rsidR="00022F5F">
        <w:rPr>
          <w:rFonts w:ascii="Times New Roman" w:hAnsi="Times New Roman"/>
          <w:color w:val="000000"/>
          <w:szCs w:val="20"/>
          <w:lang w:val="uk-UA"/>
        </w:rPr>
        <w:t>"</w:t>
      </w:r>
      <w:r w:rsidRPr="00E16672">
        <w:rPr>
          <w:rFonts w:ascii="Times New Roman" w:hAnsi="Times New Roman"/>
          <w:color w:val="000000"/>
          <w:szCs w:val="20"/>
          <w:lang w:val="uk-UA"/>
        </w:rPr>
        <w:t>Про депозитарну систему України</w:t>
      </w:r>
      <w:r w:rsidR="00022F5F">
        <w:rPr>
          <w:rFonts w:ascii="Times New Roman" w:hAnsi="Times New Roman"/>
          <w:color w:val="000000"/>
          <w:szCs w:val="20"/>
          <w:lang w:val="uk-UA"/>
        </w:rPr>
        <w:t>"</w:t>
      </w:r>
      <w:r w:rsidRPr="00E16672">
        <w:rPr>
          <w:rFonts w:ascii="Times New Roman" w:hAnsi="Times New Roman"/>
          <w:color w:val="000000"/>
          <w:szCs w:val="20"/>
          <w:lang w:val="uk-UA"/>
        </w:rPr>
        <w:t xml:space="preserve"> є відкриття рахунку </w:t>
      </w:r>
      <w:r w:rsidR="00C22309" w:rsidRPr="00E16672">
        <w:rPr>
          <w:rFonts w:ascii="Times New Roman" w:hAnsi="Times New Roman"/>
          <w:color w:val="000000"/>
          <w:szCs w:val="20"/>
          <w:lang w:val="uk-UA"/>
        </w:rPr>
        <w:t>в цін</w:t>
      </w:r>
      <w:r w:rsidRPr="00E16672">
        <w:rPr>
          <w:rFonts w:ascii="Times New Roman" w:hAnsi="Times New Roman"/>
          <w:color w:val="000000"/>
          <w:szCs w:val="20"/>
          <w:lang w:val="uk-UA"/>
        </w:rPr>
        <w:t xml:space="preserve">них паперах та здійснення депозитарного обліку та обслуговування </w:t>
      </w:r>
      <w:proofErr w:type="spellStart"/>
      <w:r w:rsidRPr="00E16672">
        <w:rPr>
          <w:rFonts w:ascii="Times New Roman" w:hAnsi="Times New Roman"/>
          <w:color w:val="000000"/>
          <w:szCs w:val="20"/>
          <w:lang w:val="uk-UA"/>
        </w:rPr>
        <w:t>обіг</w:t>
      </w:r>
      <w:r w:rsidR="00C22309" w:rsidRPr="00E16672">
        <w:rPr>
          <w:rFonts w:ascii="Times New Roman" w:hAnsi="Times New Roman"/>
          <w:color w:val="000000"/>
          <w:szCs w:val="20"/>
          <w:lang w:val="uk-UA"/>
        </w:rPr>
        <w:t>в</w:t>
      </w:r>
      <w:proofErr w:type="spellEnd"/>
      <w:r w:rsidR="00C22309" w:rsidRPr="00E16672">
        <w:rPr>
          <w:rFonts w:ascii="Times New Roman" w:hAnsi="Times New Roman"/>
          <w:color w:val="000000"/>
          <w:szCs w:val="20"/>
          <w:lang w:val="uk-UA"/>
        </w:rPr>
        <w:t xml:space="preserve"> цін</w:t>
      </w:r>
      <w:r w:rsidRPr="00E16672">
        <w:rPr>
          <w:rFonts w:ascii="Times New Roman" w:hAnsi="Times New Roman"/>
          <w:color w:val="000000"/>
          <w:szCs w:val="20"/>
          <w:lang w:val="uk-UA"/>
        </w:rPr>
        <w:t xml:space="preserve">них паперів і корпоративних операцій емітента на рахунках </w:t>
      </w:r>
      <w:r w:rsidR="00C22309" w:rsidRPr="00E16672">
        <w:rPr>
          <w:rFonts w:ascii="Times New Roman" w:hAnsi="Times New Roman"/>
          <w:color w:val="000000"/>
          <w:szCs w:val="20"/>
          <w:lang w:val="uk-UA"/>
        </w:rPr>
        <w:t>в цін</w:t>
      </w:r>
      <w:r w:rsidRPr="00E16672">
        <w:rPr>
          <w:rFonts w:ascii="Times New Roman" w:hAnsi="Times New Roman"/>
          <w:color w:val="000000"/>
          <w:szCs w:val="20"/>
          <w:lang w:val="uk-UA"/>
        </w:rPr>
        <w:t>них паперах депонентів, а також на власному рахунку в цінних паперах, на якому обліковуються цінні папери, права на цінні папери та обмеження прав на цінні папери, що належать депозитарній установі.</w:t>
      </w:r>
    </w:p>
    <w:p w14:paraId="0441FACE" w14:textId="77777777" w:rsidR="00AC4F94" w:rsidRPr="00E16672" w:rsidRDefault="00AC4F94" w:rsidP="00AC4F94">
      <w:pPr>
        <w:ind w:firstLine="540"/>
        <w:rPr>
          <w:rFonts w:ascii="Times New Roman" w:hAnsi="Times New Roman"/>
          <w:color w:val="000000"/>
          <w:szCs w:val="20"/>
          <w:lang w:val="uk-UA"/>
        </w:rPr>
      </w:pPr>
      <w:r w:rsidRPr="00E16672">
        <w:rPr>
          <w:rFonts w:ascii="Times New Roman" w:hAnsi="Times New Roman"/>
          <w:color w:val="000000"/>
          <w:szCs w:val="20"/>
          <w:lang w:val="uk-UA"/>
        </w:rPr>
        <w:t>10.3. Для досягнення мети обробки до системи депозитарного обліку Депозитарної установи можуть бути включені наступні персональні дані:</w:t>
      </w:r>
    </w:p>
    <w:p w14:paraId="723F5207" w14:textId="77777777" w:rsidR="00AC4F94" w:rsidRPr="00E16672" w:rsidRDefault="00AC4F94" w:rsidP="00AC4F94">
      <w:pPr>
        <w:ind w:firstLine="540"/>
        <w:rPr>
          <w:rFonts w:ascii="Times New Roman" w:hAnsi="Times New Roman"/>
          <w:color w:val="000000"/>
          <w:szCs w:val="20"/>
          <w:lang w:val="uk-UA"/>
        </w:rPr>
      </w:pPr>
      <w:r w:rsidRPr="00E16672">
        <w:rPr>
          <w:rFonts w:ascii="Times New Roman" w:hAnsi="Times New Roman"/>
          <w:color w:val="000000"/>
          <w:szCs w:val="20"/>
          <w:lang w:val="uk-UA"/>
        </w:rPr>
        <w:t xml:space="preserve">- прізвище, ім’я, по батькові (за наявності); </w:t>
      </w:r>
    </w:p>
    <w:p w14:paraId="023AC24B" w14:textId="77777777" w:rsidR="00AC4F94" w:rsidRPr="00E16672" w:rsidRDefault="00AC4F94" w:rsidP="00AC4F94">
      <w:pPr>
        <w:ind w:firstLine="540"/>
        <w:rPr>
          <w:rFonts w:ascii="Times New Roman" w:hAnsi="Times New Roman"/>
          <w:color w:val="000000"/>
          <w:szCs w:val="20"/>
          <w:lang w:val="uk-UA"/>
        </w:rPr>
      </w:pPr>
      <w:r w:rsidRPr="00E16672">
        <w:rPr>
          <w:rFonts w:ascii="Times New Roman" w:hAnsi="Times New Roman"/>
          <w:color w:val="000000"/>
          <w:szCs w:val="20"/>
          <w:lang w:val="uk-UA"/>
        </w:rPr>
        <w:t>- дата народження;</w:t>
      </w:r>
    </w:p>
    <w:p w14:paraId="233C7284" w14:textId="77777777" w:rsidR="00AC4F94" w:rsidRPr="00E16672" w:rsidRDefault="00AC4F94" w:rsidP="00AC4F94">
      <w:pPr>
        <w:ind w:firstLine="540"/>
        <w:rPr>
          <w:rFonts w:ascii="Times New Roman" w:hAnsi="Times New Roman"/>
          <w:color w:val="000000"/>
          <w:szCs w:val="20"/>
          <w:lang w:val="uk-UA"/>
        </w:rPr>
      </w:pPr>
      <w:r w:rsidRPr="00E16672">
        <w:rPr>
          <w:rFonts w:ascii="Times New Roman" w:hAnsi="Times New Roman"/>
          <w:color w:val="000000"/>
          <w:szCs w:val="20"/>
          <w:lang w:val="uk-UA"/>
        </w:rPr>
        <w:t>- місце народження;</w:t>
      </w:r>
    </w:p>
    <w:p w14:paraId="6101FF6E" w14:textId="77777777" w:rsidR="00AC4F94" w:rsidRPr="00E16672" w:rsidRDefault="00AC4F94" w:rsidP="00AC4F94">
      <w:pPr>
        <w:ind w:firstLine="540"/>
        <w:rPr>
          <w:rFonts w:ascii="Times New Roman" w:hAnsi="Times New Roman"/>
          <w:color w:val="000000"/>
          <w:szCs w:val="20"/>
          <w:lang w:val="uk-UA"/>
        </w:rPr>
      </w:pPr>
      <w:r w:rsidRPr="00E16672">
        <w:rPr>
          <w:rFonts w:ascii="Times New Roman" w:hAnsi="Times New Roman"/>
          <w:color w:val="000000"/>
          <w:szCs w:val="20"/>
          <w:lang w:val="uk-UA"/>
        </w:rPr>
        <w:t>- місце проживання (перебування);</w:t>
      </w:r>
    </w:p>
    <w:p w14:paraId="24B108C3" w14:textId="24D487C1" w:rsidR="00AC4F94" w:rsidRPr="00E16672" w:rsidRDefault="00AC4F94" w:rsidP="00AC4F94">
      <w:pPr>
        <w:ind w:firstLine="540"/>
        <w:rPr>
          <w:rFonts w:ascii="Times New Roman" w:hAnsi="Times New Roman"/>
          <w:color w:val="000000"/>
          <w:szCs w:val="20"/>
          <w:lang w:val="uk-UA"/>
        </w:rPr>
      </w:pPr>
      <w:r w:rsidRPr="00E16672">
        <w:rPr>
          <w:rFonts w:ascii="Times New Roman" w:hAnsi="Times New Roman"/>
          <w:color w:val="000000"/>
          <w:szCs w:val="20"/>
          <w:lang w:val="uk-UA"/>
        </w:rPr>
        <w:t xml:space="preserve">- </w:t>
      </w:r>
      <w:r w:rsidR="007B5095" w:rsidRPr="007B5095">
        <w:rPr>
          <w:rFonts w:ascii="Times New Roman" w:hAnsi="Times New Roman"/>
          <w:color w:val="000000"/>
          <w:szCs w:val="20"/>
          <w:lang w:val="uk-UA"/>
        </w:rPr>
        <w:t xml:space="preserve">статус податкового </w:t>
      </w:r>
      <w:proofErr w:type="spellStart"/>
      <w:r w:rsidR="007B5095" w:rsidRPr="007B5095">
        <w:rPr>
          <w:rFonts w:ascii="Times New Roman" w:hAnsi="Times New Roman"/>
          <w:color w:val="000000"/>
          <w:szCs w:val="20"/>
          <w:lang w:val="uk-UA"/>
        </w:rPr>
        <w:t>резидентства</w:t>
      </w:r>
      <w:proofErr w:type="spellEnd"/>
      <w:r w:rsidRPr="00E16672">
        <w:rPr>
          <w:rFonts w:ascii="Times New Roman" w:hAnsi="Times New Roman"/>
          <w:color w:val="000000"/>
          <w:szCs w:val="20"/>
          <w:lang w:val="uk-UA"/>
        </w:rPr>
        <w:t>;</w:t>
      </w:r>
    </w:p>
    <w:p w14:paraId="36A9E699" w14:textId="77777777" w:rsidR="00AC4F94" w:rsidRPr="00E16672" w:rsidRDefault="00AC4F94" w:rsidP="00AC4F94">
      <w:pPr>
        <w:ind w:firstLine="540"/>
        <w:rPr>
          <w:rFonts w:ascii="Times New Roman" w:hAnsi="Times New Roman"/>
          <w:color w:val="000000"/>
          <w:szCs w:val="20"/>
          <w:lang w:val="uk-UA"/>
        </w:rPr>
      </w:pPr>
      <w:r w:rsidRPr="00E16672">
        <w:rPr>
          <w:rFonts w:ascii="Times New Roman" w:hAnsi="Times New Roman"/>
          <w:color w:val="000000"/>
          <w:szCs w:val="20"/>
          <w:lang w:val="uk-UA"/>
        </w:rPr>
        <w:t xml:space="preserve">- </w:t>
      </w:r>
      <w:r w:rsidR="00CD06D2" w:rsidRPr="00E16672">
        <w:rPr>
          <w:rFonts w:ascii="Times New Roman" w:hAnsi="Times New Roman"/>
          <w:color w:val="000000"/>
          <w:szCs w:val="20"/>
          <w:lang w:val="uk-UA"/>
        </w:rPr>
        <w:t>реєстраційний номер облікової картки платника податків, номер (та за наявності - серія) паспорта громадянина України, в якому проставлено відмітку про відмову від прийняття реєстраційного номера облікової картки платника податків, чи номер паспорта із записом про відмову від прийняття реєстраційного номера облікової картки платника податків в електронному безконтактному носії, унікальний номер запису в Єдиному державному демографічному реєстрі (за наявності)</w:t>
      </w:r>
      <w:r w:rsidRPr="00E16672">
        <w:rPr>
          <w:rFonts w:ascii="Times New Roman" w:hAnsi="Times New Roman"/>
          <w:color w:val="000000"/>
          <w:szCs w:val="20"/>
          <w:lang w:val="uk-UA"/>
        </w:rPr>
        <w:t>;</w:t>
      </w:r>
    </w:p>
    <w:p w14:paraId="2F00598B" w14:textId="77777777" w:rsidR="00AC4F94" w:rsidRPr="00E16672" w:rsidRDefault="00AC4F94" w:rsidP="00AC4F94">
      <w:pPr>
        <w:ind w:firstLine="540"/>
        <w:rPr>
          <w:rFonts w:ascii="Times New Roman" w:hAnsi="Times New Roman"/>
          <w:color w:val="000000"/>
          <w:szCs w:val="20"/>
          <w:lang w:val="uk-UA"/>
        </w:rPr>
      </w:pPr>
      <w:r w:rsidRPr="00E16672">
        <w:rPr>
          <w:rFonts w:ascii="Times New Roman" w:hAnsi="Times New Roman"/>
          <w:color w:val="000000"/>
          <w:szCs w:val="20"/>
          <w:lang w:val="uk-UA"/>
        </w:rPr>
        <w:t>- серія і номер паспорта (або іншого документа, що посвідчує особу), строк (термін) дії (</w:t>
      </w:r>
      <w:r w:rsidR="003352AE" w:rsidRPr="00E16672">
        <w:rPr>
          <w:rFonts w:ascii="Times New Roman" w:hAnsi="Times New Roman"/>
          <w:color w:val="000000"/>
          <w:szCs w:val="20"/>
          <w:lang w:val="uk-UA"/>
        </w:rPr>
        <w:t>у разі використання</w:t>
      </w:r>
      <w:r w:rsidRPr="00E16672">
        <w:rPr>
          <w:rFonts w:ascii="Times New Roman" w:hAnsi="Times New Roman"/>
          <w:color w:val="000000"/>
          <w:szCs w:val="20"/>
          <w:lang w:val="uk-UA"/>
        </w:rPr>
        <w:t>), дату видачі та орган, що його видав;</w:t>
      </w:r>
    </w:p>
    <w:p w14:paraId="3B77FACB" w14:textId="77777777" w:rsidR="00AC4F94" w:rsidRPr="00E16672" w:rsidRDefault="00AC4F94" w:rsidP="00AC4F94">
      <w:pPr>
        <w:ind w:firstLine="540"/>
        <w:rPr>
          <w:rFonts w:ascii="Times New Roman" w:hAnsi="Times New Roman"/>
          <w:color w:val="000000"/>
          <w:szCs w:val="20"/>
          <w:lang w:val="uk-UA"/>
        </w:rPr>
      </w:pPr>
      <w:r w:rsidRPr="00E16672">
        <w:rPr>
          <w:rFonts w:ascii="Times New Roman" w:hAnsi="Times New Roman"/>
          <w:color w:val="000000"/>
          <w:szCs w:val="20"/>
          <w:lang w:val="uk-UA"/>
        </w:rPr>
        <w:t>- реквізити банку, в якому відкрито рахунок, і номер банківського рахунку (за наявності);</w:t>
      </w:r>
    </w:p>
    <w:p w14:paraId="04DD1AA9" w14:textId="3582E0A4" w:rsidR="00AC4F94" w:rsidRPr="00E16672" w:rsidRDefault="00AC4F94" w:rsidP="00AC4F94">
      <w:pPr>
        <w:ind w:firstLine="540"/>
        <w:rPr>
          <w:rFonts w:ascii="Times New Roman" w:hAnsi="Times New Roman"/>
          <w:color w:val="000000"/>
          <w:szCs w:val="20"/>
          <w:lang w:val="uk-UA"/>
        </w:rPr>
      </w:pPr>
      <w:r w:rsidRPr="00E16672">
        <w:rPr>
          <w:rFonts w:ascii="Times New Roman" w:hAnsi="Times New Roman"/>
          <w:color w:val="000000"/>
          <w:szCs w:val="20"/>
          <w:lang w:val="uk-UA"/>
        </w:rPr>
        <w:t>- контактн</w:t>
      </w:r>
      <w:r w:rsidR="007B5095">
        <w:rPr>
          <w:rFonts w:ascii="Times New Roman" w:hAnsi="Times New Roman"/>
          <w:color w:val="000000"/>
          <w:szCs w:val="20"/>
          <w:lang w:val="uk-UA"/>
        </w:rPr>
        <w:t>и</w:t>
      </w:r>
      <w:r w:rsidRPr="00E16672">
        <w:rPr>
          <w:rFonts w:ascii="Times New Roman" w:hAnsi="Times New Roman"/>
          <w:color w:val="000000"/>
          <w:szCs w:val="20"/>
          <w:lang w:val="uk-UA"/>
        </w:rPr>
        <w:t>й телефон;</w:t>
      </w:r>
    </w:p>
    <w:p w14:paraId="315481DD" w14:textId="77777777" w:rsidR="00AC4F94" w:rsidRPr="00E16672" w:rsidRDefault="00AC4F94" w:rsidP="00AC4F94">
      <w:pPr>
        <w:ind w:firstLine="540"/>
        <w:rPr>
          <w:rFonts w:ascii="Times New Roman" w:hAnsi="Times New Roman"/>
          <w:color w:val="000000"/>
          <w:szCs w:val="20"/>
          <w:lang w:val="uk-UA"/>
        </w:rPr>
      </w:pPr>
      <w:r w:rsidRPr="00E16672">
        <w:rPr>
          <w:rFonts w:ascii="Times New Roman" w:hAnsi="Times New Roman"/>
          <w:color w:val="000000"/>
          <w:szCs w:val="20"/>
          <w:lang w:val="uk-UA"/>
        </w:rPr>
        <w:t>- інші персональні дані Депонента, якими володіє Депозитарна установа.</w:t>
      </w:r>
    </w:p>
    <w:p w14:paraId="1206C52B" w14:textId="77777777" w:rsidR="00AC4F94" w:rsidRPr="00E16672" w:rsidRDefault="00AC4F94" w:rsidP="00022F5F">
      <w:pPr>
        <w:ind w:firstLine="540"/>
        <w:jc w:val="left"/>
        <w:rPr>
          <w:rFonts w:ascii="Times New Roman" w:hAnsi="Times New Roman"/>
          <w:color w:val="000000"/>
          <w:szCs w:val="20"/>
          <w:lang w:val="uk-UA"/>
        </w:rPr>
      </w:pPr>
      <w:r w:rsidRPr="00E16672">
        <w:rPr>
          <w:rFonts w:ascii="Times New Roman" w:hAnsi="Times New Roman"/>
          <w:color w:val="000000"/>
          <w:szCs w:val="20"/>
          <w:lang w:val="uk-UA"/>
        </w:rPr>
        <w:t xml:space="preserve">10.4. У зв’язку з внесенням до системи депозитарного обліку персональних даних, відповідно до статті 8 Закону України </w:t>
      </w:r>
      <w:r w:rsidR="00022F5F">
        <w:rPr>
          <w:rFonts w:ascii="Times New Roman" w:hAnsi="Times New Roman"/>
          <w:color w:val="000000"/>
          <w:szCs w:val="20"/>
          <w:lang w:val="uk-UA"/>
        </w:rPr>
        <w:t>"</w:t>
      </w:r>
      <w:r w:rsidRPr="00E16672">
        <w:rPr>
          <w:rFonts w:ascii="Times New Roman" w:hAnsi="Times New Roman"/>
          <w:color w:val="000000"/>
          <w:szCs w:val="20"/>
          <w:lang w:val="uk-UA"/>
        </w:rPr>
        <w:t>Про захист персональних даних</w:t>
      </w:r>
      <w:r w:rsidR="00022F5F">
        <w:rPr>
          <w:rFonts w:ascii="Times New Roman" w:hAnsi="Times New Roman"/>
          <w:color w:val="000000"/>
          <w:szCs w:val="20"/>
          <w:lang w:val="uk-UA"/>
        </w:rPr>
        <w:t>"</w:t>
      </w:r>
      <w:r w:rsidRPr="00E16672">
        <w:rPr>
          <w:rFonts w:ascii="Times New Roman" w:hAnsi="Times New Roman"/>
          <w:color w:val="000000"/>
          <w:szCs w:val="20"/>
          <w:lang w:val="uk-UA"/>
        </w:rPr>
        <w:t xml:space="preserve"> Депонент має право: </w:t>
      </w:r>
    </w:p>
    <w:p w14:paraId="28C6B9D8" w14:textId="77777777" w:rsidR="00AC4F94" w:rsidRPr="00E16672" w:rsidRDefault="00AC4F94" w:rsidP="00AC4F94">
      <w:pPr>
        <w:ind w:firstLine="540"/>
        <w:rPr>
          <w:rFonts w:ascii="Times New Roman" w:hAnsi="Times New Roman"/>
          <w:color w:val="000000"/>
          <w:szCs w:val="20"/>
          <w:lang w:val="uk-UA"/>
        </w:rPr>
      </w:pPr>
      <w:r w:rsidRPr="00E16672">
        <w:rPr>
          <w:rFonts w:ascii="Times New Roman" w:hAnsi="Times New Roman"/>
          <w:color w:val="000000"/>
          <w:szCs w:val="20"/>
          <w:lang w:val="uk-UA"/>
        </w:rPr>
        <w:t xml:space="preserve">1) знати про </w:t>
      </w:r>
      <w:proofErr w:type="spellStart"/>
      <w:r w:rsidRPr="00E16672">
        <w:rPr>
          <w:rFonts w:ascii="Times New Roman" w:hAnsi="Times New Roman"/>
          <w:color w:val="000000"/>
          <w:szCs w:val="20"/>
          <w:lang w:val="uk-UA"/>
        </w:rPr>
        <w:t>про</w:t>
      </w:r>
      <w:proofErr w:type="spellEnd"/>
      <w:r w:rsidRPr="00E16672">
        <w:rPr>
          <w:rFonts w:ascii="Times New Roman" w:hAnsi="Times New Roman"/>
          <w:color w:val="000000"/>
          <w:szCs w:val="20"/>
          <w:lang w:val="uk-UA"/>
        </w:rPr>
        <w:t xml:space="preserve"> джерела збирання, місцезнаходження своїх персональних даних, мету їх обробки, місцезнаходження та/або місце проживання (перебування) володільця чи розпорядника персональних даних або дати відповідне доручення щодо отримання цієї інформації уповноваженим ним особам, крім випадків, встановлених законом; </w:t>
      </w:r>
    </w:p>
    <w:p w14:paraId="6AD46849" w14:textId="77777777" w:rsidR="00AC4F94" w:rsidRPr="00E16672" w:rsidRDefault="00AC4F94" w:rsidP="00AC4F94">
      <w:pPr>
        <w:ind w:firstLine="540"/>
        <w:rPr>
          <w:rFonts w:ascii="Times New Roman" w:hAnsi="Times New Roman"/>
          <w:color w:val="000000"/>
          <w:szCs w:val="20"/>
          <w:lang w:val="uk-UA"/>
        </w:rPr>
      </w:pPr>
      <w:r w:rsidRPr="00E16672">
        <w:rPr>
          <w:rFonts w:ascii="Times New Roman" w:hAnsi="Times New Roman"/>
          <w:color w:val="000000"/>
          <w:szCs w:val="20"/>
          <w:lang w:val="uk-UA"/>
        </w:rPr>
        <w:t xml:space="preserve">2) отримувати інформацію про умови надання доступу до персональних даних, зокрема інформацію про третіх осіб, яким передаються його персональні дані; </w:t>
      </w:r>
    </w:p>
    <w:p w14:paraId="71B1AA08" w14:textId="77777777" w:rsidR="00AC4F94" w:rsidRPr="00E16672" w:rsidRDefault="00AC4F94" w:rsidP="00AC4F94">
      <w:pPr>
        <w:ind w:firstLine="540"/>
        <w:rPr>
          <w:rFonts w:ascii="Times New Roman" w:hAnsi="Times New Roman"/>
          <w:color w:val="000000"/>
          <w:szCs w:val="20"/>
          <w:lang w:val="uk-UA"/>
        </w:rPr>
      </w:pPr>
      <w:r w:rsidRPr="00E16672">
        <w:rPr>
          <w:rFonts w:ascii="Times New Roman" w:hAnsi="Times New Roman"/>
          <w:color w:val="000000"/>
          <w:szCs w:val="20"/>
          <w:lang w:val="uk-UA"/>
        </w:rPr>
        <w:t xml:space="preserve">3) на доступ до своїх персональних даних; </w:t>
      </w:r>
    </w:p>
    <w:p w14:paraId="47D4FC4D" w14:textId="77777777" w:rsidR="00AC4F94" w:rsidRPr="00E16672" w:rsidRDefault="00AC4F94" w:rsidP="00AC4F94">
      <w:pPr>
        <w:ind w:firstLine="540"/>
        <w:rPr>
          <w:rFonts w:ascii="Times New Roman" w:hAnsi="Times New Roman"/>
          <w:color w:val="000000"/>
          <w:szCs w:val="20"/>
          <w:lang w:val="uk-UA"/>
        </w:rPr>
      </w:pPr>
      <w:r w:rsidRPr="00E16672">
        <w:rPr>
          <w:rFonts w:ascii="Times New Roman" w:hAnsi="Times New Roman"/>
          <w:color w:val="000000"/>
          <w:szCs w:val="20"/>
          <w:lang w:val="uk-UA"/>
        </w:rPr>
        <w:t xml:space="preserve">4) отримувати не пізніш як за тридцять календарних днів з дня надходження запиту, крім випадків, передбачених законом, відповідь про те, чи обробляються його персональні дані, а також отримувати зміст персональних даних; </w:t>
      </w:r>
    </w:p>
    <w:p w14:paraId="50DFF881" w14:textId="77777777" w:rsidR="00AC4F94" w:rsidRPr="00E16672" w:rsidRDefault="00AC4F94" w:rsidP="00AC4F94">
      <w:pPr>
        <w:ind w:firstLine="540"/>
        <w:rPr>
          <w:rFonts w:ascii="Times New Roman" w:hAnsi="Times New Roman"/>
          <w:color w:val="000000"/>
          <w:szCs w:val="20"/>
          <w:lang w:val="uk-UA"/>
        </w:rPr>
      </w:pPr>
      <w:r w:rsidRPr="00E16672">
        <w:rPr>
          <w:rFonts w:ascii="Times New Roman" w:hAnsi="Times New Roman"/>
          <w:color w:val="000000"/>
          <w:szCs w:val="20"/>
          <w:lang w:val="uk-UA"/>
        </w:rPr>
        <w:t>5) пред'являти вмотивовану вимогу володільцю персональних даних</w:t>
      </w:r>
      <w:r w:rsidRPr="00E16672">
        <w:rPr>
          <w:rFonts w:ascii="Times New Roman" w:hAnsi="Times New Roman"/>
          <w:color w:val="000000"/>
          <w:szCs w:val="20"/>
        </w:rPr>
        <w:t xml:space="preserve"> </w:t>
      </w:r>
      <w:r w:rsidRPr="00E16672">
        <w:rPr>
          <w:rFonts w:ascii="Times New Roman" w:hAnsi="Times New Roman"/>
          <w:color w:val="000000"/>
          <w:szCs w:val="20"/>
          <w:lang w:val="uk-UA"/>
        </w:rPr>
        <w:t xml:space="preserve">із запереченням проти обробки своїх персональних даних; </w:t>
      </w:r>
    </w:p>
    <w:p w14:paraId="3B4D413C" w14:textId="77777777" w:rsidR="00AC4F94" w:rsidRPr="00E16672" w:rsidRDefault="00AC4F94" w:rsidP="00AC4F94">
      <w:pPr>
        <w:ind w:firstLine="540"/>
        <w:rPr>
          <w:rFonts w:ascii="Times New Roman" w:hAnsi="Times New Roman"/>
          <w:color w:val="000000"/>
          <w:szCs w:val="20"/>
          <w:lang w:val="uk-UA"/>
        </w:rPr>
      </w:pPr>
      <w:r w:rsidRPr="00E16672">
        <w:rPr>
          <w:rFonts w:ascii="Times New Roman" w:hAnsi="Times New Roman"/>
          <w:color w:val="000000"/>
          <w:szCs w:val="20"/>
          <w:lang w:val="uk-UA"/>
        </w:rPr>
        <w:t xml:space="preserve">6) пред'являти вмотивовану вимогу щодо зміни або знищення своїх персональних даних будь-яким володільцем та розпорядником персональних даних, якщо ці дані обробляються незаконно чи є недостовірними; </w:t>
      </w:r>
    </w:p>
    <w:p w14:paraId="1DCC6281" w14:textId="77777777" w:rsidR="00AC4F94" w:rsidRPr="00E16672" w:rsidRDefault="00AC4F94" w:rsidP="00AC4F94">
      <w:pPr>
        <w:ind w:firstLine="540"/>
        <w:rPr>
          <w:rFonts w:ascii="Times New Roman" w:hAnsi="Times New Roman"/>
          <w:color w:val="000000"/>
          <w:szCs w:val="20"/>
          <w:lang w:val="uk-UA"/>
        </w:rPr>
      </w:pPr>
      <w:r w:rsidRPr="00E16672">
        <w:rPr>
          <w:rFonts w:ascii="Times New Roman" w:hAnsi="Times New Roman"/>
          <w:color w:val="000000"/>
          <w:szCs w:val="20"/>
          <w:lang w:val="uk-UA"/>
        </w:rPr>
        <w:t xml:space="preserve">7) на захист своїх персональних даних від незаконної обробки та випадкової втрати, знищення, пошкодження у зв'язку з умисним приховуванням, ненаданням чи несвоєчасним їх наданням, а також на захист від надання відомостей, що є недостовірними чи ганьблять честь, гідність та ділову репутацію фізичної особи; </w:t>
      </w:r>
    </w:p>
    <w:p w14:paraId="44EBC22F" w14:textId="77777777" w:rsidR="00AC4F94" w:rsidRPr="00E16672" w:rsidRDefault="00AC4F94" w:rsidP="00AC4F94">
      <w:pPr>
        <w:ind w:firstLine="540"/>
        <w:rPr>
          <w:rFonts w:ascii="Times New Roman" w:hAnsi="Times New Roman"/>
          <w:color w:val="000000"/>
          <w:szCs w:val="20"/>
          <w:lang w:val="uk-UA"/>
        </w:rPr>
      </w:pPr>
      <w:r w:rsidRPr="00E16672">
        <w:rPr>
          <w:rFonts w:ascii="Times New Roman" w:hAnsi="Times New Roman"/>
          <w:color w:val="000000"/>
          <w:szCs w:val="20"/>
          <w:lang w:val="uk-UA"/>
        </w:rPr>
        <w:t xml:space="preserve">8) </w:t>
      </w:r>
      <w:proofErr w:type="spellStart"/>
      <w:r w:rsidRPr="00E16672">
        <w:rPr>
          <w:rFonts w:ascii="Times New Roman" w:hAnsi="Times New Roman"/>
          <w:color w:val="000000"/>
          <w:szCs w:val="20"/>
        </w:rPr>
        <w:t>звертатися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із</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скаргами</w:t>
      </w:r>
      <w:proofErr w:type="spellEnd"/>
      <w:r w:rsidRPr="00E16672">
        <w:rPr>
          <w:rFonts w:ascii="Times New Roman" w:hAnsi="Times New Roman"/>
          <w:color w:val="000000"/>
          <w:szCs w:val="20"/>
        </w:rPr>
        <w:t xml:space="preserve"> на </w:t>
      </w:r>
      <w:proofErr w:type="spellStart"/>
      <w:r w:rsidRPr="00E16672">
        <w:rPr>
          <w:rFonts w:ascii="Times New Roman" w:hAnsi="Times New Roman"/>
          <w:color w:val="000000"/>
          <w:szCs w:val="20"/>
        </w:rPr>
        <w:t>обробку</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своїх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персональних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даних</w:t>
      </w:r>
      <w:proofErr w:type="spellEnd"/>
      <w:r w:rsidRPr="00E16672">
        <w:rPr>
          <w:rFonts w:ascii="Times New Roman" w:hAnsi="Times New Roman"/>
          <w:color w:val="000000"/>
          <w:szCs w:val="20"/>
        </w:rPr>
        <w:t xml:space="preserve"> до </w:t>
      </w:r>
      <w:r w:rsidRPr="00E16672">
        <w:rPr>
          <w:rFonts w:ascii="Times New Roman" w:hAnsi="Times New Roman"/>
          <w:color w:val="000000"/>
          <w:szCs w:val="20"/>
          <w:lang w:val="uk-UA"/>
        </w:rPr>
        <w:t>Уповноваженого Верховної Ради України з прав людини</w:t>
      </w:r>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або</w:t>
      </w:r>
      <w:proofErr w:type="spellEnd"/>
      <w:r w:rsidRPr="00E16672">
        <w:rPr>
          <w:rFonts w:ascii="Times New Roman" w:hAnsi="Times New Roman"/>
          <w:color w:val="000000"/>
          <w:szCs w:val="20"/>
        </w:rPr>
        <w:t xml:space="preserve"> до суду</w:t>
      </w:r>
      <w:r w:rsidRPr="00E16672">
        <w:rPr>
          <w:rFonts w:ascii="Times New Roman" w:hAnsi="Times New Roman"/>
          <w:color w:val="000000"/>
          <w:szCs w:val="20"/>
          <w:lang w:val="uk-UA"/>
        </w:rPr>
        <w:t xml:space="preserve">; </w:t>
      </w:r>
    </w:p>
    <w:p w14:paraId="23855E51" w14:textId="77777777" w:rsidR="00AC4F94" w:rsidRPr="00E16672" w:rsidRDefault="00AC4F94" w:rsidP="00AC4F94">
      <w:pPr>
        <w:ind w:firstLine="540"/>
        <w:rPr>
          <w:rFonts w:ascii="Times New Roman" w:hAnsi="Times New Roman"/>
          <w:color w:val="000000"/>
          <w:szCs w:val="20"/>
          <w:lang w:val="uk-UA"/>
        </w:rPr>
      </w:pPr>
      <w:r w:rsidRPr="00E16672">
        <w:rPr>
          <w:rFonts w:ascii="Times New Roman" w:hAnsi="Times New Roman"/>
          <w:color w:val="000000"/>
          <w:szCs w:val="20"/>
          <w:lang w:val="uk-UA"/>
        </w:rPr>
        <w:t>9) застосовувати засоби правового захисту в разі порушення законодавства про захист персональних даних.</w:t>
      </w:r>
    </w:p>
    <w:p w14:paraId="4E8009B7" w14:textId="77777777" w:rsidR="00AC4F94" w:rsidRPr="00E16672" w:rsidRDefault="00AC4F94" w:rsidP="00AC4F94">
      <w:pPr>
        <w:ind w:firstLine="540"/>
        <w:rPr>
          <w:rFonts w:ascii="Times New Roman" w:hAnsi="Times New Roman"/>
          <w:color w:val="000000"/>
          <w:szCs w:val="20"/>
          <w:lang w:val="uk-UA"/>
        </w:rPr>
      </w:pPr>
      <w:r w:rsidRPr="00E16672">
        <w:rPr>
          <w:rFonts w:ascii="Times New Roman" w:hAnsi="Times New Roman"/>
          <w:color w:val="000000"/>
          <w:szCs w:val="20"/>
          <w:lang w:val="uk-UA"/>
        </w:rPr>
        <w:t>10) вносити застереження стосовно обмеження права на обробку своїх персональних даних під час надання згоди;</w:t>
      </w:r>
    </w:p>
    <w:p w14:paraId="2101857A" w14:textId="77777777" w:rsidR="00AC4F94" w:rsidRPr="00E16672" w:rsidRDefault="00AC4F94" w:rsidP="00AC4F94">
      <w:pPr>
        <w:ind w:firstLine="540"/>
        <w:rPr>
          <w:rFonts w:ascii="Times New Roman" w:hAnsi="Times New Roman"/>
          <w:color w:val="000000"/>
          <w:szCs w:val="20"/>
          <w:lang w:val="uk-UA"/>
        </w:rPr>
      </w:pPr>
      <w:r w:rsidRPr="00E16672">
        <w:rPr>
          <w:rFonts w:ascii="Times New Roman" w:hAnsi="Times New Roman"/>
          <w:color w:val="000000"/>
          <w:szCs w:val="20"/>
          <w:lang w:val="uk-UA"/>
        </w:rPr>
        <w:t>11) відкликати згоду на обробку персональних даних;</w:t>
      </w:r>
    </w:p>
    <w:p w14:paraId="526A648C" w14:textId="77777777" w:rsidR="00AC4F94" w:rsidRPr="00E16672" w:rsidRDefault="00AC4F94" w:rsidP="00AC4F94">
      <w:pPr>
        <w:ind w:firstLine="540"/>
        <w:rPr>
          <w:rFonts w:ascii="Times New Roman" w:hAnsi="Times New Roman"/>
          <w:color w:val="000000"/>
          <w:szCs w:val="20"/>
          <w:lang w:val="uk-UA"/>
        </w:rPr>
      </w:pPr>
      <w:r w:rsidRPr="00E16672">
        <w:rPr>
          <w:rFonts w:ascii="Times New Roman" w:hAnsi="Times New Roman"/>
          <w:color w:val="000000"/>
          <w:szCs w:val="20"/>
          <w:lang w:val="uk-UA"/>
        </w:rPr>
        <w:t>12) знати механізм автоматичної обробки персональних даних;</w:t>
      </w:r>
    </w:p>
    <w:p w14:paraId="56A036C9" w14:textId="77777777" w:rsidR="00AC4F94" w:rsidRPr="00E16672" w:rsidRDefault="00AC4F94" w:rsidP="00AC4F94">
      <w:pPr>
        <w:ind w:firstLine="540"/>
        <w:rPr>
          <w:rFonts w:ascii="Times New Roman" w:hAnsi="Times New Roman"/>
          <w:color w:val="000000"/>
          <w:szCs w:val="20"/>
          <w:lang w:val="uk-UA"/>
        </w:rPr>
      </w:pPr>
      <w:r w:rsidRPr="00E16672">
        <w:rPr>
          <w:rFonts w:ascii="Times New Roman" w:hAnsi="Times New Roman"/>
          <w:color w:val="000000"/>
          <w:szCs w:val="20"/>
          <w:lang w:val="uk-UA"/>
        </w:rPr>
        <w:t>13) на захист від автоматизованого рішення, яке має для нього правові наслідки.</w:t>
      </w:r>
    </w:p>
    <w:p w14:paraId="5B629462" w14:textId="77777777" w:rsidR="00AC4F94" w:rsidRPr="00E16672" w:rsidRDefault="00AC4F94" w:rsidP="00022F5F">
      <w:pPr>
        <w:ind w:firstLine="540"/>
        <w:jc w:val="left"/>
        <w:rPr>
          <w:rFonts w:ascii="Times New Roman" w:hAnsi="Times New Roman"/>
          <w:color w:val="000000"/>
          <w:szCs w:val="20"/>
          <w:lang w:val="uk-UA"/>
        </w:rPr>
      </w:pPr>
      <w:r w:rsidRPr="00E16672">
        <w:rPr>
          <w:rFonts w:ascii="Times New Roman" w:hAnsi="Times New Roman"/>
          <w:color w:val="000000"/>
          <w:szCs w:val="20"/>
          <w:lang w:val="uk-UA"/>
        </w:rPr>
        <w:t xml:space="preserve">10.5. Депонент дає згоду на передачу (поширення) своїх персональних даних, що включені до системи депозитарного обліку, виключно з метою зберігання та обслуговування </w:t>
      </w:r>
      <w:proofErr w:type="spellStart"/>
      <w:r w:rsidRPr="00E16672">
        <w:rPr>
          <w:rFonts w:ascii="Times New Roman" w:hAnsi="Times New Roman"/>
          <w:color w:val="000000"/>
          <w:szCs w:val="20"/>
          <w:lang w:val="uk-UA"/>
        </w:rPr>
        <w:t>обіг</w:t>
      </w:r>
      <w:r w:rsidR="00C22309" w:rsidRPr="00E16672">
        <w:rPr>
          <w:rFonts w:ascii="Times New Roman" w:hAnsi="Times New Roman"/>
          <w:color w:val="000000"/>
          <w:szCs w:val="20"/>
          <w:lang w:val="uk-UA"/>
        </w:rPr>
        <w:t>в</w:t>
      </w:r>
      <w:proofErr w:type="spellEnd"/>
      <w:r w:rsidR="00C22309" w:rsidRPr="00E16672">
        <w:rPr>
          <w:rFonts w:ascii="Times New Roman" w:hAnsi="Times New Roman"/>
          <w:color w:val="000000"/>
          <w:szCs w:val="20"/>
          <w:lang w:val="uk-UA"/>
        </w:rPr>
        <w:t xml:space="preserve"> цін</w:t>
      </w:r>
      <w:r w:rsidRPr="00E16672">
        <w:rPr>
          <w:rFonts w:ascii="Times New Roman" w:hAnsi="Times New Roman"/>
          <w:color w:val="000000"/>
          <w:szCs w:val="20"/>
          <w:lang w:val="uk-UA"/>
        </w:rPr>
        <w:t xml:space="preserve">них паперів і операцій емітента з цінними паперами на рахунку </w:t>
      </w:r>
      <w:r w:rsidR="00C22309" w:rsidRPr="00E16672">
        <w:rPr>
          <w:rFonts w:ascii="Times New Roman" w:hAnsi="Times New Roman"/>
          <w:color w:val="000000"/>
          <w:szCs w:val="20"/>
          <w:lang w:val="uk-UA"/>
        </w:rPr>
        <w:t>в цін</w:t>
      </w:r>
      <w:r w:rsidRPr="00E16672">
        <w:rPr>
          <w:rFonts w:ascii="Times New Roman" w:hAnsi="Times New Roman"/>
          <w:color w:val="000000"/>
          <w:szCs w:val="20"/>
          <w:lang w:val="uk-UA"/>
        </w:rPr>
        <w:t xml:space="preserve">них паперах, який належить Депоненту, складання облікового реєстру власників цінних паперів у порядку і випадках, визначених </w:t>
      </w:r>
      <w:r w:rsidR="00022F5F">
        <w:rPr>
          <w:rFonts w:ascii="Times New Roman" w:hAnsi="Times New Roman"/>
          <w:color w:val="000000"/>
          <w:szCs w:val="20"/>
          <w:lang w:val="uk-UA"/>
        </w:rPr>
        <w:t>"</w:t>
      </w:r>
      <w:r w:rsidR="00CD06D2" w:rsidRPr="00E16672">
        <w:rPr>
          <w:rFonts w:ascii="Times New Roman" w:hAnsi="Times New Roman"/>
          <w:color w:val="000000"/>
          <w:szCs w:val="20"/>
          <w:lang w:val="uk-UA"/>
        </w:rPr>
        <w:t>Положенням про провадження депозитарної діяльності</w:t>
      </w:r>
      <w:r w:rsidR="00022F5F">
        <w:rPr>
          <w:rFonts w:ascii="Times New Roman" w:hAnsi="Times New Roman"/>
          <w:color w:val="000000"/>
          <w:szCs w:val="20"/>
          <w:lang w:val="uk-UA"/>
        </w:rPr>
        <w:t>"</w:t>
      </w:r>
      <w:r w:rsidR="00CD06D2" w:rsidRPr="00E16672">
        <w:rPr>
          <w:rFonts w:ascii="Times New Roman" w:hAnsi="Times New Roman"/>
          <w:color w:val="000000"/>
          <w:szCs w:val="20"/>
          <w:lang w:val="uk-UA"/>
        </w:rPr>
        <w:t xml:space="preserve">, затвердженим рішенням НКЦПФР від 23.04.2013 року № 735 </w:t>
      </w:r>
      <w:r w:rsidRPr="00E16672">
        <w:rPr>
          <w:rFonts w:ascii="Times New Roman" w:hAnsi="Times New Roman"/>
          <w:color w:val="000000"/>
          <w:szCs w:val="20"/>
          <w:lang w:val="uk-UA"/>
        </w:rPr>
        <w:t>та у інших випадках,</w:t>
      </w:r>
      <w:r w:rsidRPr="00E16672">
        <w:rPr>
          <w:rFonts w:ascii="Times New Roman" w:hAnsi="Times New Roman"/>
          <w:iCs/>
          <w:color w:val="000000"/>
          <w:szCs w:val="20"/>
          <w:lang w:val="uk-UA"/>
        </w:rPr>
        <w:t xml:space="preserve"> передбачених нормативно-правовими актами НКЦПФР та</w:t>
      </w:r>
      <w:r w:rsidRPr="00E16672">
        <w:rPr>
          <w:rFonts w:ascii="Times New Roman" w:hAnsi="Times New Roman"/>
          <w:color w:val="000000"/>
          <w:szCs w:val="20"/>
          <w:lang w:val="uk-UA"/>
        </w:rPr>
        <w:t xml:space="preserve"> законами України.</w:t>
      </w:r>
      <w:r w:rsidRPr="00E16672">
        <w:rPr>
          <w:rFonts w:ascii="Times New Roman" w:hAnsi="Times New Roman"/>
          <w:iCs/>
          <w:color w:val="000000"/>
          <w:szCs w:val="20"/>
          <w:lang w:val="uk-UA"/>
        </w:rPr>
        <w:t xml:space="preserve"> </w:t>
      </w:r>
    </w:p>
    <w:p w14:paraId="6FE36BDC" w14:textId="77777777" w:rsidR="00AC4F94" w:rsidRPr="00E16672" w:rsidRDefault="00AC4F94" w:rsidP="00AC4F94">
      <w:pPr>
        <w:ind w:firstLine="540"/>
        <w:rPr>
          <w:rFonts w:ascii="Times New Roman" w:hAnsi="Times New Roman"/>
          <w:color w:val="000000"/>
          <w:szCs w:val="20"/>
          <w:lang w:val="uk-UA"/>
        </w:rPr>
      </w:pPr>
      <w:r w:rsidRPr="00E16672">
        <w:rPr>
          <w:rFonts w:ascii="Times New Roman" w:hAnsi="Times New Roman"/>
          <w:color w:val="000000"/>
          <w:szCs w:val="20"/>
          <w:lang w:val="uk-UA"/>
        </w:rPr>
        <w:t>10.6. Депонент дає згоду на зберігання своїх персональних даних протягом строку, визначеного Положенням про провадження депозитарної діяльності.</w:t>
      </w:r>
    </w:p>
    <w:p w14:paraId="02ADC538" w14:textId="77777777" w:rsidR="00AC4F94" w:rsidRPr="00E16672" w:rsidRDefault="00AC4F94" w:rsidP="00AC4F94">
      <w:pPr>
        <w:ind w:firstLine="540"/>
        <w:rPr>
          <w:rFonts w:ascii="Times New Roman" w:hAnsi="Times New Roman"/>
          <w:color w:val="000000"/>
          <w:szCs w:val="20"/>
          <w:lang w:val="uk-UA"/>
        </w:rPr>
      </w:pPr>
      <w:r w:rsidRPr="00E16672">
        <w:rPr>
          <w:rFonts w:ascii="Times New Roman" w:hAnsi="Times New Roman"/>
          <w:color w:val="000000"/>
          <w:szCs w:val="20"/>
          <w:lang w:val="uk-UA"/>
        </w:rPr>
        <w:lastRenderedPageBreak/>
        <w:t>10.7. Доступ до персональних даних Депонента, що включені до системи депозитарного обліку Депозитарної установи третіх осіб, дозволяється у випадках та порядку, передбаченому законодавством України.</w:t>
      </w:r>
    </w:p>
    <w:p w14:paraId="5F73B734" w14:textId="77777777" w:rsidR="00AC4F94" w:rsidRPr="00E16672" w:rsidRDefault="00AC4F94" w:rsidP="00AC4F94">
      <w:pPr>
        <w:tabs>
          <w:tab w:val="left" w:pos="851"/>
        </w:tabs>
        <w:ind w:firstLine="540"/>
        <w:rPr>
          <w:rFonts w:ascii="Times New Roman" w:hAnsi="Times New Roman"/>
          <w:color w:val="000000"/>
          <w:szCs w:val="20"/>
          <w:lang w:val="uk-UA"/>
        </w:rPr>
      </w:pPr>
      <w:r w:rsidRPr="00E16672">
        <w:rPr>
          <w:rFonts w:ascii="Times New Roman" w:hAnsi="Times New Roman"/>
          <w:color w:val="000000"/>
          <w:szCs w:val="20"/>
          <w:lang w:val="uk-UA"/>
        </w:rPr>
        <w:t>10.8</w:t>
      </w:r>
      <w:r w:rsidR="0005147A" w:rsidRPr="00E16672">
        <w:rPr>
          <w:rFonts w:ascii="Times New Roman" w:hAnsi="Times New Roman"/>
          <w:color w:val="000000"/>
          <w:szCs w:val="20"/>
          <w:lang w:val="uk-UA"/>
        </w:rPr>
        <w:t>.</w:t>
      </w:r>
      <w:r w:rsidRPr="00E16672">
        <w:rPr>
          <w:rFonts w:ascii="Times New Roman" w:hAnsi="Times New Roman"/>
          <w:color w:val="000000"/>
          <w:szCs w:val="20"/>
          <w:lang w:val="uk-UA"/>
        </w:rPr>
        <w:t xml:space="preserve"> Депонент не вимагає здійснення повідомлення про передачу (поширення) своїх персональних даних, що включені до системи депозитарного обліку, якщо така передача (поширення) відбувається виключно з метою, визначеною у відповідному пункті цієї Згоди-повідомлення.</w:t>
      </w:r>
    </w:p>
    <w:p w14:paraId="75483921" w14:textId="77777777" w:rsidR="00AC4F94" w:rsidRPr="00E16672" w:rsidRDefault="00AC4F94">
      <w:pPr>
        <w:pStyle w:val="33"/>
        <w:tabs>
          <w:tab w:val="left" w:pos="851"/>
        </w:tabs>
        <w:ind w:firstLine="540"/>
        <w:jc w:val="center"/>
        <w:rPr>
          <w:rFonts w:ascii="Times New Roman" w:hAnsi="Times New Roman" w:cs="Times New Roman"/>
          <w:b/>
          <w:bCs/>
          <w:lang w:val="uk-UA"/>
        </w:rPr>
      </w:pPr>
    </w:p>
    <w:p w14:paraId="6EC4A5C4" w14:textId="77777777" w:rsidR="00502AEC" w:rsidRPr="00E16672" w:rsidRDefault="00502AEC">
      <w:pPr>
        <w:pStyle w:val="33"/>
        <w:tabs>
          <w:tab w:val="left" w:pos="851"/>
        </w:tabs>
        <w:ind w:firstLine="540"/>
        <w:jc w:val="center"/>
        <w:rPr>
          <w:rFonts w:ascii="Times New Roman" w:hAnsi="Times New Roman" w:cs="Times New Roman"/>
          <w:b/>
          <w:bCs/>
          <w:lang w:val="uk-UA"/>
        </w:rPr>
      </w:pPr>
      <w:r w:rsidRPr="00E16672">
        <w:rPr>
          <w:rFonts w:ascii="Times New Roman" w:hAnsi="Times New Roman" w:cs="Times New Roman"/>
          <w:b/>
          <w:bCs/>
          <w:lang w:val="uk-UA"/>
        </w:rPr>
        <w:t>1</w:t>
      </w:r>
      <w:r w:rsidR="00AC4F94" w:rsidRPr="00E16672">
        <w:rPr>
          <w:rFonts w:ascii="Times New Roman" w:hAnsi="Times New Roman" w:cs="Times New Roman"/>
          <w:b/>
          <w:bCs/>
          <w:lang w:val="uk-UA"/>
        </w:rPr>
        <w:t>1</w:t>
      </w:r>
      <w:r w:rsidRPr="00E16672">
        <w:rPr>
          <w:rFonts w:ascii="Times New Roman" w:hAnsi="Times New Roman" w:cs="Times New Roman"/>
          <w:b/>
          <w:bCs/>
          <w:lang w:val="uk-UA"/>
        </w:rPr>
        <w:t xml:space="preserve">. Про визнання </w:t>
      </w:r>
      <w:r w:rsidR="008C4813" w:rsidRPr="00E16672">
        <w:rPr>
          <w:rFonts w:ascii="Times New Roman" w:hAnsi="Times New Roman" w:cs="Times New Roman"/>
          <w:b/>
          <w:bCs/>
          <w:lang w:val="uk-UA"/>
        </w:rPr>
        <w:t xml:space="preserve">кваліфікованого </w:t>
      </w:r>
      <w:r w:rsidRPr="00E16672">
        <w:rPr>
          <w:rFonts w:ascii="Times New Roman" w:hAnsi="Times New Roman" w:cs="Times New Roman"/>
          <w:b/>
          <w:bCs/>
          <w:lang w:val="uk-UA"/>
        </w:rPr>
        <w:t>електронного підпису</w:t>
      </w:r>
    </w:p>
    <w:p w14:paraId="091836EF" w14:textId="77777777" w:rsidR="00C83635" w:rsidRPr="00E16672" w:rsidRDefault="00502AEC" w:rsidP="00C83635">
      <w:pPr>
        <w:pStyle w:val="33"/>
        <w:tabs>
          <w:tab w:val="left" w:pos="851"/>
        </w:tabs>
        <w:ind w:firstLine="540"/>
        <w:rPr>
          <w:rFonts w:ascii="Times New Roman" w:hAnsi="Times New Roman" w:cs="Times New Roman"/>
          <w:strike/>
          <w:color w:val="000000"/>
          <w:kern w:val="20"/>
          <w:lang w:val="uk-UA"/>
        </w:rPr>
      </w:pPr>
      <w:r w:rsidRPr="00E16672">
        <w:rPr>
          <w:rFonts w:ascii="Times New Roman" w:hAnsi="Times New Roman" w:cs="Times New Roman"/>
          <w:color w:val="000000"/>
          <w:lang w:val="uk-UA"/>
        </w:rPr>
        <w:t>1</w:t>
      </w:r>
      <w:r w:rsidR="00AC4F94" w:rsidRPr="00E16672">
        <w:rPr>
          <w:rFonts w:ascii="Times New Roman" w:hAnsi="Times New Roman" w:cs="Times New Roman"/>
          <w:color w:val="000000"/>
          <w:lang w:val="uk-UA"/>
        </w:rPr>
        <w:t>1</w:t>
      </w:r>
      <w:r w:rsidRPr="00E16672">
        <w:rPr>
          <w:rFonts w:ascii="Times New Roman" w:hAnsi="Times New Roman" w:cs="Times New Roman"/>
          <w:color w:val="000000"/>
          <w:lang w:val="uk-UA"/>
        </w:rPr>
        <w:t>.1</w:t>
      </w:r>
      <w:r w:rsidR="00765BC4" w:rsidRPr="00E16672">
        <w:rPr>
          <w:rFonts w:ascii="Times New Roman" w:hAnsi="Times New Roman" w:cs="Times New Roman"/>
          <w:color w:val="000000"/>
          <w:lang w:val="uk-UA"/>
        </w:rPr>
        <w:t>.</w:t>
      </w:r>
      <w:r w:rsidRPr="00E16672">
        <w:rPr>
          <w:rFonts w:ascii="Times New Roman" w:hAnsi="Times New Roman" w:cs="Times New Roman"/>
          <w:color w:val="000000"/>
          <w:lang w:val="uk-UA"/>
        </w:rPr>
        <w:t xml:space="preserve"> </w:t>
      </w:r>
      <w:r w:rsidR="00E12006" w:rsidRPr="00E16672">
        <w:rPr>
          <w:rFonts w:ascii="Times New Roman" w:hAnsi="Times New Roman" w:cs="Times New Roman"/>
          <w:lang w:val="uk-UA"/>
        </w:rPr>
        <w:t xml:space="preserve">В ході виконання договору Сторони можуть обмінюватися електронними документами, які засвідчуються за допомогою </w:t>
      </w:r>
      <w:r w:rsidR="008C4813" w:rsidRPr="00E16672">
        <w:rPr>
          <w:rFonts w:ascii="Times New Roman" w:hAnsi="Times New Roman" w:cs="Times New Roman"/>
          <w:lang w:val="uk-UA"/>
        </w:rPr>
        <w:t xml:space="preserve">кваліфікованого </w:t>
      </w:r>
      <w:r w:rsidR="00E12006" w:rsidRPr="00E16672">
        <w:rPr>
          <w:rFonts w:ascii="Times New Roman" w:hAnsi="Times New Roman" w:cs="Times New Roman"/>
          <w:lang w:val="uk-UA"/>
        </w:rPr>
        <w:t>електронного підпису</w:t>
      </w:r>
      <w:r w:rsidR="008C4813" w:rsidRPr="00E16672">
        <w:rPr>
          <w:rFonts w:ascii="Times New Roman" w:hAnsi="Times New Roman" w:cs="Times New Roman"/>
          <w:lang w:val="uk-UA"/>
        </w:rPr>
        <w:t xml:space="preserve"> </w:t>
      </w:r>
      <w:proofErr w:type="spellStart"/>
      <w:r w:rsidR="008C4813" w:rsidRPr="00E16672">
        <w:rPr>
          <w:rFonts w:ascii="Times New Roman" w:hAnsi="Times New Roman" w:cs="Times New Roman"/>
          <w:lang w:eastAsia="ru-RU"/>
        </w:rPr>
        <w:t>відповідно</w:t>
      </w:r>
      <w:proofErr w:type="spellEnd"/>
      <w:r w:rsidR="008C4813" w:rsidRPr="00E16672">
        <w:rPr>
          <w:rFonts w:ascii="Times New Roman" w:hAnsi="Times New Roman" w:cs="Times New Roman"/>
          <w:lang w:eastAsia="ru-RU"/>
        </w:rPr>
        <w:t xml:space="preserve"> до </w:t>
      </w:r>
      <w:proofErr w:type="spellStart"/>
      <w:r w:rsidR="008C4813" w:rsidRPr="00E16672">
        <w:rPr>
          <w:rFonts w:ascii="Times New Roman" w:hAnsi="Times New Roman" w:cs="Times New Roman"/>
          <w:lang w:eastAsia="ru-RU"/>
        </w:rPr>
        <w:t>вимог</w:t>
      </w:r>
      <w:proofErr w:type="spellEnd"/>
      <w:r w:rsidR="008C4813" w:rsidRPr="00E16672">
        <w:rPr>
          <w:rFonts w:ascii="Times New Roman" w:hAnsi="Times New Roman" w:cs="Times New Roman"/>
          <w:lang w:eastAsia="ru-RU"/>
        </w:rPr>
        <w:t xml:space="preserve"> </w:t>
      </w:r>
      <w:proofErr w:type="spellStart"/>
      <w:r w:rsidR="008C4813" w:rsidRPr="00E16672">
        <w:rPr>
          <w:rFonts w:ascii="Times New Roman" w:hAnsi="Times New Roman" w:cs="Times New Roman"/>
          <w:lang w:eastAsia="ru-RU"/>
        </w:rPr>
        <w:t>законодавства</w:t>
      </w:r>
      <w:proofErr w:type="spellEnd"/>
      <w:r w:rsidR="008C4813" w:rsidRPr="00E16672">
        <w:rPr>
          <w:rFonts w:ascii="Times New Roman" w:hAnsi="Times New Roman" w:cs="Times New Roman"/>
          <w:lang w:eastAsia="ru-RU"/>
        </w:rPr>
        <w:t xml:space="preserve"> у </w:t>
      </w:r>
      <w:proofErr w:type="spellStart"/>
      <w:r w:rsidR="008C4813" w:rsidRPr="00E16672">
        <w:rPr>
          <w:rFonts w:ascii="Times New Roman" w:hAnsi="Times New Roman" w:cs="Times New Roman"/>
          <w:lang w:eastAsia="ru-RU"/>
        </w:rPr>
        <w:t>сфері</w:t>
      </w:r>
      <w:proofErr w:type="spellEnd"/>
      <w:r w:rsidR="008C4813" w:rsidRPr="00E16672">
        <w:rPr>
          <w:rFonts w:ascii="Times New Roman" w:hAnsi="Times New Roman" w:cs="Times New Roman"/>
          <w:lang w:eastAsia="ru-RU"/>
        </w:rPr>
        <w:t xml:space="preserve"> </w:t>
      </w:r>
      <w:proofErr w:type="spellStart"/>
      <w:r w:rsidR="008C4813" w:rsidRPr="00E16672">
        <w:rPr>
          <w:rFonts w:ascii="Times New Roman" w:hAnsi="Times New Roman" w:cs="Times New Roman"/>
          <w:lang w:eastAsia="ru-RU"/>
        </w:rPr>
        <w:t>електронного</w:t>
      </w:r>
      <w:proofErr w:type="spellEnd"/>
      <w:r w:rsidR="008C4813" w:rsidRPr="00E16672">
        <w:rPr>
          <w:rFonts w:ascii="Times New Roman" w:hAnsi="Times New Roman" w:cs="Times New Roman"/>
          <w:lang w:eastAsia="ru-RU"/>
        </w:rPr>
        <w:t xml:space="preserve"> </w:t>
      </w:r>
      <w:proofErr w:type="spellStart"/>
      <w:r w:rsidR="008C4813" w:rsidRPr="00E16672">
        <w:rPr>
          <w:rFonts w:ascii="Times New Roman" w:hAnsi="Times New Roman" w:cs="Times New Roman"/>
          <w:lang w:eastAsia="ru-RU"/>
        </w:rPr>
        <w:t>документообігу</w:t>
      </w:r>
      <w:proofErr w:type="spellEnd"/>
      <w:r w:rsidR="008C4813" w:rsidRPr="00E16672">
        <w:rPr>
          <w:rFonts w:ascii="Times New Roman" w:hAnsi="Times New Roman" w:cs="Times New Roman"/>
          <w:lang w:eastAsia="ru-RU"/>
        </w:rPr>
        <w:t xml:space="preserve"> та </w:t>
      </w:r>
      <w:proofErr w:type="spellStart"/>
      <w:r w:rsidR="008C4813" w:rsidRPr="00E16672">
        <w:rPr>
          <w:rFonts w:ascii="Times New Roman" w:hAnsi="Times New Roman" w:cs="Times New Roman"/>
          <w:lang w:eastAsia="ru-RU"/>
        </w:rPr>
        <w:t>електронних</w:t>
      </w:r>
      <w:proofErr w:type="spellEnd"/>
      <w:r w:rsidR="008C4813" w:rsidRPr="00E16672">
        <w:rPr>
          <w:rFonts w:ascii="Times New Roman" w:hAnsi="Times New Roman" w:cs="Times New Roman"/>
          <w:lang w:eastAsia="ru-RU"/>
        </w:rPr>
        <w:t xml:space="preserve"> </w:t>
      </w:r>
      <w:proofErr w:type="spellStart"/>
      <w:r w:rsidR="008C4813" w:rsidRPr="00E16672">
        <w:rPr>
          <w:rFonts w:ascii="Times New Roman" w:hAnsi="Times New Roman" w:cs="Times New Roman"/>
          <w:lang w:eastAsia="ru-RU"/>
        </w:rPr>
        <w:t>довірчих</w:t>
      </w:r>
      <w:proofErr w:type="spellEnd"/>
      <w:r w:rsidR="008C4813" w:rsidRPr="00E16672">
        <w:rPr>
          <w:rFonts w:ascii="Times New Roman" w:hAnsi="Times New Roman" w:cs="Times New Roman"/>
          <w:lang w:eastAsia="ru-RU"/>
        </w:rPr>
        <w:t xml:space="preserve"> </w:t>
      </w:r>
      <w:proofErr w:type="spellStart"/>
      <w:r w:rsidR="008C4813" w:rsidRPr="00E16672">
        <w:rPr>
          <w:rFonts w:ascii="Times New Roman" w:hAnsi="Times New Roman" w:cs="Times New Roman"/>
          <w:lang w:eastAsia="ru-RU"/>
        </w:rPr>
        <w:t>послуг</w:t>
      </w:r>
      <w:proofErr w:type="spellEnd"/>
      <w:r w:rsidR="00E12006" w:rsidRPr="00E16672">
        <w:rPr>
          <w:rFonts w:ascii="Times New Roman" w:hAnsi="Times New Roman" w:cs="Times New Roman"/>
          <w:lang w:val="uk-UA"/>
        </w:rPr>
        <w:t>.</w:t>
      </w:r>
    </w:p>
    <w:p w14:paraId="01002381" w14:textId="77777777" w:rsidR="00502AEC" w:rsidRPr="00E16672" w:rsidRDefault="00502AEC">
      <w:pPr>
        <w:pStyle w:val="33"/>
        <w:tabs>
          <w:tab w:val="left" w:pos="851"/>
        </w:tabs>
        <w:ind w:firstLine="540"/>
        <w:rPr>
          <w:rFonts w:ascii="Times New Roman" w:hAnsi="Times New Roman" w:cs="Times New Roman"/>
          <w:lang w:val="uk-UA"/>
        </w:rPr>
      </w:pPr>
      <w:r w:rsidRPr="00E16672">
        <w:rPr>
          <w:rFonts w:ascii="Times New Roman" w:hAnsi="Times New Roman" w:cs="Times New Roman"/>
          <w:color w:val="000000"/>
          <w:lang w:val="uk-UA"/>
        </w:rPr>
        <w:t>1</w:t>
      </w:r>
      <w:r w:rsidR="00AC4F94" w:rsidRPr="00E16672">
        <w:rPr>
          <w:rFonts w:ascii="Times New Roman" w:hAnsi="Times New Roman" w:cs="Times New Roman"/>
          <w:color w:val="000000"/>
          <w:lang w:val="uk-UA"/>
        </w:rPr>
        <w:t>1</w:t>
      </w:r>
      <w:r w:rsidRPr="00E16672">
        <w:rPr>
          <w:rFonts w:ascii="Times New Roman" w:hAnsi="Times New Roman" w:cs="Times New Roman"/>
          <w:color w:val="000000"/>
          <w:lang w:val="uk-UA"/>
        </w:rPr>
        <w:t>.2</w:t>
      </w:r>
      <w:r w:rsidR="0005147A" w:rsidRPr="00E16672">
        <w:rPr>
          <w:rFonts w:ascii="Times New Roman" w:hAnsi="Times New Roman" w:cs="Times New Roman"/>
          <w:color w:val="000000"/>
          <w:lang w:val="uk-UA"/>
        </w:rPr>
        <w:t>.</w:t>
      </w:r>
      <w:r w:rsidRPr="00E16672">
        <w:rPr>
          <w:rFonts w:ascii="Times New Roman" w:hAnsi="Times New Roman" w:cs="Times New Roman"/>
          <w:color w:val="000000"/>
          <w:lang w:val="uk-UA"/>
        </w:rPr>
        <w:t xml:space="preserve"> При виконанні ц</w:t>
      </w:r>
      <w:r w:rsidRPr="00E16672">
        <w:rPr>
          <w:rFonts w:ascii="Times New Roman" w:hAnsi="Times New Roman" w:cs="Times New Roman"/>
          <w:lang w:val="uk-UA"/>
        </w:rPr>
        <w:t xml:space="preserve">ього Договору кожна Сторона може виступати як </w:t>
      </w:r>
      <w:proofErr w:type="spellStart"/>
      <w:r w:rsidRPr="00E16672">
        <w:rPr>
          <w:rFonts w:ascii="Times New Roman" w:hAnsi="Times New Roman" w:cs="Times New Roman"/>
          <w:lang w:val="uk-UA"/>
        </w:rPr>
        <w:t>підписувачем</w:t>
      </w:r>
      <w:proofErr w:type="spellEnd"/>
      <w:r w:rsidRPr="00E16672">
        <w:rPr>
          <w:rFonts w:ascii="Times New Roman" w:hAnsi="Times New Roman" w:cs="Times New Roman"/>
          <w:lang w:val="uk-UA"/>
        </w:rPr>
        <w:t xml:space="preserve">, так і </w:t>
      </w:r>
      <w:r w:rsidR="00EE51D3" w:rsidRPr="00E16672">
        <w:rPr>
          <w:rFonts w:ascii="Times New Roman" w:hAnsi="Times New Roman" w:cs="Times New Roman"/>
          <w:lang w:val="uk-UA"/>
        </w:rPr>
        <w:t xml:space="preserve">адресатом </w:t>
      </w:r>
      <w:r w:rsidRPr="00E16672">
        <w:rPr>
          <w:rFonts w:ascii="Times New Roman" w:hAnsi="Times New Roman" w:cs="Times New Roman"/>
          <w:lang w:val="uk-UA"/>
        </w:rPr>
        <w:t>електронних документів.</w:t>
      </w:r>
    </w:p>
    <w:p w14:paraId="7D5EB392" w14:textId="77777777" w:rsidR="00502AEC" w:rsidRPr="00E16672" w:rsidRDefault="00502AEC">
      <w:pPr>
        <w:pStyle w:val="33"/>
        <w:tabs>
          <w:tab w:val="left" w:pos="851"/>
        </w:tabs>
        <w:ind w:firstLine="540"/>
        <w:rPr>
          <w:rFonts w:ascii="Times New Roman" w:hAnsi="Times New Roman" w:cs="Times New Roman"/>
          <w:lang w:val="uk-UA"/>
        </w:rPr>
      </w:pPr>
      <w:r w:rsidRPr="00E16672">
        <w:rPr>
          <w:rFonts w:ascii="Times New Roman" w:hAnsi="Times New Roman" w:cs="Times New Roman"/>
          <w:lang w:val="uk-UA"/>
        </w:rPr>
        <w:t>1</w:t>
      </w:r>
      <w:r w:rsidR="00AC4F94" w:rsidRPr="00E16672">
        <w:rPr>
          <w:rFonts w:ascii="Times New Roman" w:hAnsi="Times New Roman" w:cs="Times New Roman"/>
          <w:lang w:val="uk-UA"/>
        </w:rPr>
        <w:t>1</w:t>
      </w:r>
      <w:r w:rsidRPr="00E16672">
        <w:rPr>
          <w:rFonts w:ascii="Times New Roman" w:hAnsi="Times New Roman" w:cs="Times New Roman"/>
          <w:lang w:val="uk-UA"/>
        </w:rPr>
        <w:t>.3</w:t>
      </w:r>
      <w:r w:rsidR="0005147A" w:rsidRPr="00E16672">
        <w:rPr>
          <w:rFonts w:ascii="Times New Roman" w:hAnsi="Times New Roman" w:cs="Times New Roman"/>
          <w:lang w:val="uk-UA"/>
        </w:rPr>
        <w:t>.</w:t>
      </w:r>
      <w:r w:rsidRPr="00E16672">
        <w:rPr>
          <w:rFonts w:ascii="Times New Roman" w:hAnsi="Times New Roman" w:cs="Times New Roman"/>
          <w:lang w:val="uk-UA"/>
        </w:rPr>
        <w:t xml:space="preserve"> Електронний документ - документ, інформація в якому зафіксована у вигляді електронних даних, включаючи обов'язкові реквізити документа, в тому числі </w:t>
      </w:r>
      <w:r w:rsidR="00742962" w:rsidRPr="00E16672">
        <w:rPr>
          <w:rFonts w:ascii="Times New Roman" w:hAnsi="Times New Roman" w:cs="Times New Roman"/>
          <w:lang w:val="uk-UA"/>
        </w:rPr>
        <w:t>кваліфікований</w:t>
      </w:r>
      <w:r w:rsidR="00742962" w:rsidRPr="00E16672" w:rsidDel="00047AE1">
        <w:rPr>
          <w:rFonts w:ascii="Times New Roman" w:hAnsi="Times New Roman" w:cs="Times New Roman"/>
          <w:lang w:val="uk-UA"/>
        </w:rPr>
        <w:t xml:space="preserve"> </w:t>
      </w:r>
      <w:r w:rsidRPr="00E16672">
        <w:rPr>
          <w:rFonts w:ascii="Times New Roman" w:hAnsi="Times New Roman" w:cs="Times New Roman"/>
          <w:lang w:val="uk-UA"/>
        </w:rPr>
        <w:t>електронний підпис.</w:t>
      </w:r>
    </w:p>
    <w:p w14:paraId="351BF295" w14:textId="77777777" w:rsidR="00502AEC" w:rsidRPr="00E16672" w:rsidRDefault="00502AEC">
      <w:pPr>
        <w:pStyle w:val="33"/>
        <w:tabs>
          <w:tab w:val="left" w:pos="851"/>
        </w:tabs>
        <w:ind w:firstLine="540"/>
        <w:rPr>
          <w:rFonts w:ascii="Times New Roman" w:hAnsi="Times New Roman" w:cs="Times New Roman"/>
          <w:lang w:val="uk-UA"/>
        </w:rPr>
      </w:pPr>
      <w:r w:rsidRPr="00E16672">
        <w:rPr>
          <w:rFonts w:ascii="Times New Roman" w:hAnsi="Times New Roman" w:cs="Times New Roman"/>
          <w:lang w:val="uk-UA"/>
        </w:rPr>
        <w:t>1</w:t>
      </w:r>
      <w:r w:rsidR="00AC4F94" w:rsidRPr="00E16672">
        <w:rPr>
          <w:rFonts w:ascii="Times New Roman" w:hAnsi="Times New Roman" w:cs="Times New Roman"/>
          <w:lang w:val="uk-UA"/>
        </w:rPr>
        <w:t>1</w:t>
      </w:r>
      <w:r w:rsidRPr="00E16672">
        <w:rPr>
          <w:rFonts w:ascii="Times New Roman" w:hAnsi="Times New Roman" w:cs="Times New Roman"/>
          <w:lang w:val="uk-UA"/>
        </w:rPr>
        <w:t>.4</w:t>
      </w:r>
      <w:r w:rsidR="0005147A" w:rsidRPr="00E16672">
        <w:rPr>
          <w:rFonts w:ascii="Times New Roman" w:hAnsi="Times New Roman" w:cs="Times New Roman"/>
          <w:lang w:val="uk-UA"/>
        </w:rPr>
        <w:t>.</w:t>
      </w:r>
      <w:r w:rsidRPr="00E16672">
        <w:rPr>
          <w:rFonts w:ascii="Times New Roman" w:hAnsi="Times New Roman" w:cs="Times New Roman"/>
          <w:lang w:val="uk-UA"/>
        </w:rPr>
        <w:t xml:space="preserve"> </w:t>
      </w:r>
      <w:r w:rsidR="00047AE1" w:rsidRPr="00E16672">
        <w:rPr>
          <w:rFonts w:ascii="Times New Roman" w:hAnsi="Times New Roman" w:cs="Times New Roman"/>
          <w:lang w:val="uk-UA"/>
        </w:rPr>
        <w:t>Кваліфіковани</w:t>
      </w:r>
      <w:r w:rsidR="00236E02" w:rsidRPr="00E16672">
        <w:rPr>
          <w:rFonts w:ascii="Times New Roman" w:hAnsi="Times New Roman" w:cs="Times New Roman"/>
          <w:lang w:val="uk-UA"/>
        </w:rPr>
        <w:t>й</w:t>
      </w:r>
      <w:r w:rsidR="00047AE1" w:rsidRPr="00E16672" w:rsidDel="00047AE1">
        <w:rPr>
          <w:rFonts w:ascii="Times New Roman" w:hAnsi="Times New Roman" w:cs="Times New Roman"/>
          <w:lang w:val="uk-UA"/>
        </w:rPr>
        <w:t xml:space="preserve"> </w:t>
      </w:r>
      <w:r w:rsidR="00A41015" w:rsidRPr="00E16672">
        <w:rPr>
          <w:rFonts w:ascii="Times New Roman" w:hAnsi="Times New Roman" w:cs="Times New Roman"/>
          <w:lang w:val="uk-UA"/>
        </w:rPr>
        <w:t xml:space="preserve">електронний </w:t>
      </w:r>
      <w:r w:rsidRPr="00E16672">
        <w:rPr>
          <w:rFonts w:ascii="Times New Roman" w:hAnsi="Times New Roman" w:cs="Times New Roman"/>
          <w:lang w:val="uk-UA"/>
        </w:rPr>
        <w:t xml:space="preserve">підпис -  </w:t>
      </w:r>
      <w:r w:rsidR="00EE51D3" w:rsidRPr="00E16672">
        <w:rPr>
          <w:rStyle w:val="rvts0"/>
          <w:rFonts w:ascii="Times New Roman" w:hAnsi="Times New Roman" w:cs="Times New Roman"/>
          <w:lang w:val="uk-UA"/>
        </w:rPr>
        <w:t>удосконалений електронний підпис, який створюється з використанням засобу кваліфікованого електронного підпису</w:t>
      </w:r>
      <w:r w:rsidR="00AB21E0" w:rsidRPr="00E16672">
        <w:rPr>
          <w:rStyle w:val="rvts0"/>
          <w:rFonts w:ascii="Times New Roman" w:hAnsi="Times New Roman" w:cs="Times New Roman"/>
          <w:lang w:val="uk-UA"/>
        </w:rPr>
        <w:t xml:space="preserve">, а саме </w:t>
      </w:r>
      <w:r w:rsidR="002E75AD" w:rsidRPr="00E16672">
        <w:rPr>
          <w:rFonts w:ascii="Times New Roman" w:hAnsi="Times New Roman" w:cs="Times New Roman"/>
          <w:lang w:val="uk-UA"/>
        </w:rPr>
        <w:t>за допомогою системи криптографічного захисту інформації Акредитованого Центру Сертифікації ключів,</w:t>
      </w:r>
      <w:r w:rsidR="00EE51D3" w:rsidRPr="00E16672">
        <w:rPr>
          <w:rStyle w:val="rvts0"/>
          <w:rFonts w:ascii="Times New Roman" w:hAnsi="Times New Roman" w:cs="Times New Roman"/>
          <w:lang w:val="uk-UA"/>
        </w:rPr>
        <w:t xml:space="preserve"> і базується на кваліфікованому сертифікаті відкритого ключа</w:t>
      </w:r>
      <w:r w:rsidR="00EE51D3" w:rsidRPr="00E16672">
        <w:rPr>
          <w:rFonts w:ascii="Times New Roman" w:hAnsi="Times New Roman" w:cs="Times New Roman"/>
          <w:lang w:val="uk-UA"/>
        </w:rPr>
        <w:t>. Кваліфікований</w:t>
      </w:r>
      <w:r w:rsidR="00EE51D3" w:rsidRPr="00E16672" w:rsidDel="00047AE1">
        <w:rPr>
          <w:rFonts w:ascii="Times New Roman" w:hAnsi="Times New Roman" w:cs="Times New Roman"/>
          <w:lang w:val="uk-UA"/>
        </w:rPr>
        <w:t xml:space="preserve"> </w:t>
      </w:r>
      <w:r w:rsidR="00EE51D3" w:rsidRPr="00E16672">
        <w:rPr>
          <w:rFonts w:ascii="Times New Roman" w:hAnsi="Times New Roman" w:cs="Times New Roman"/>
          <w:lang w:val="uk-UA"/>
        </w:rPr>
        <w:t xml:space="preserve">електронний підпис є обов'язковим </w:t>
      </w:r>
      <w:r w:rsidRPr="00E16672">
        <w:rPr>
          <w:rFonts w:ascii="Times New Roman" w:hAnsi="Times New Roman" w:cs="Times New Roman"/>
          <w:lang w:val="uk-UA"/>
        </w:rPr>
        <w:t>реквізит</w:t>
      </w:r>
      <w:r w:rsidR="00EE51D3" w:rsidRPr="00E16672">
        <w:rPr>
          <w:rFonts w:ascii="Times New Roman" w:hAnsi="Times New Roman" w:cs="Times New Roman"/>
          <w:lang w:val="uk-UA"/>
        </w:rPr>
        <w:t>ом</w:t>
      </w:r>
      <w:r w:rsidRPr="00E16672">
        <w:rPr>
          <w:rFonts w:ascii="Times New Roman" w:hAnsi="Times New Roman" w:cs="Times New Roman"/>
          <w:lang w:val="uk-UA"/>
        </w:rPr>
        <w:t xml:space="preserve"> електронного документа </w:t>
      </w:r>
      <w:r w:rsidR="00EE51D3" w:rsidRPr="00E16672">
        <w:rPr>
          <w:rFonts w:ascii="Times New Roman" w:hAnsi="Times New Roman" w:cs="Times New Roman"/>
          <w:lang w:val="uk-UA"/>
        </w:rPr>
        <w:t xml:space="preserve">та </w:t>
      </w:r>
      <w:r w:rsidRPr="00E16672">
        <w:rPr>
          <w:rFonts w:ascii="Times New Roman" w:hAnsi="Times New Roman" w:cs="Times New Roman"/>
          <w:lang w:val="uk-UA"/>
        </w:rPr>
        <w:t xml:space="preserve">використовується для ідентифікації </w:t>
      </w:r>
      <w:r w:rsidR="006F5763" w:rsidRPr="00E16672">
        <w:rPr>
          <w:rFonts w:ascii="Times New Roman" w:hAnsi="Times New Roman" w:cs="Times New Roman"/>
          <w:lang w:val="uk-UA"/>
        </w:rPr>
        <w:t xml:space="preserve">адресатом </w:t>
      </w:r>
      <w:proofErr w:type="spellStart"/>
      <w:r w:rsidRPr="00E16672">
        <w:rPr>
          <w:rFonts w:ascii="Times New Roman" w:hAnsi="Times New Roman" w:cs="Times New Roman"/>
          <w:lang w:val="uk-UA"/>
        </w:rPr>
        <w:t>підписувача</w:t>
      </w:r>
      <w:proofErr w:type="spellEnd"/>
      <w:r w:rsidRPr="00E16672">
        <w:rPr>
          <w:rFonts w:ascii="Times New Roman" w:hAnsi="Times New Roman" w:cs="Times New Roman"/>
          <w:lang w:val="uk-UA"/>
        </w:rPr>
        <w:t xml:space="preserve"> електронного документа.</w:t>
      </w:r>
    </w:p>
    <w:p w14:paraId="0C361DF7" w14:textId="77777777" w:rsidR="00502AEC" w:rsidRPr="00E16672" w:rsidRDefault="00502AEC" w:rsidP="00CD4C86">
      <w:pPr>
        <w:pStyle w:val="33"/>
        <w:tabs>
          <w:tab w:val="left" w:pos="851"/>
        </w:tabs>
        <w:ind w:firstLine="540"/>
        <w:rPr>
          <w:rFonts w:ascii="Times New Roman" w:hAnsi="Times New Roman" w:cs="Times New Roman"/>
          <w:lang w:val="uk-UA"/>
        </w:rPr>
      </w:pPr>
      <w:r w:rsidRPr="00E16672">
        <w:rPr>
          <w:rFonts w:ascii="Times New Roman" w:hAnsi="Times New Roman" w:cs="Times New Roman"/>
          <w:lang w:val="uk-UA"/>
        </w:rPr>
        <w:t>1</w:t>
      </w:r>
      <w:r w:rsidR="00AC4F94" w:rsidRPr="00E16672">
        <w:rPr>
          <w:rFonts w:ascii="Times New Roman" w:hAnsi="Times New Roman" w:cs="Times New Roman"/>
          <w:lang w:val="uk-UA"/>
        </w:rPr>
        <w:t>1</w:t>
      </w:r>
      <w:r w:rsidRPr="00E16672">
        <w:rPr>
          <w:rFonts w:ascii="Times New Roman" w:hAnsi="Times New Roman" w:cs="Times New Roman"/>
          <w:lang w:val="uk-UA"/>
        </w:rPr>
        <w:t>.5</w:t>
      </w:r>
      <w:r w:rsidR="0005147A" w:rsidRPr="00E16672">
        <w:rPr>
          <w:rFonts w:ascii="Times New Roman" w:hAnsi="Times New Roman" w:cs="Times New Roman"/>
          <w:lang w:val="uk-UA"/>
        </w:rPr>
        <w:t>.</w:t>
      </w:r>
      <w:r w:rsidRPr="00E16672">
        <w:rPr>
          <w:rFonts w:ascii="Times New Roman" w:hAnsi="Times New Roman" w:cs="Times New Roman"/>
          <w:lang w:val="uk-UA"/>
        </w:rPr>
        <w:t xml:space="preserve"> </w:t>
      </w:r>
      <w:r w:rsidR="00236E02" w:rsidRPr="00E16672">
        <w:rPr>
          <w:rFonts w:ascii="Times New Roman" w:hAnsi="Times New Roman" w:cs="Times New Roman"/>
          <w:lang w:val="uk-UA"/>
        </w:rPr>
        <w:t>Кваліфікований</w:t>
      </w:r>
      <w:r w:rsidR="00236E02" w:rsidRPr="00E16672" w:rsidDel="00047AE1">
        <w:rPr>
          <w:rFonts w:ascii="Times New Roman" w:hAnsi="Times New Roman" w:cs="Times New Roman"/>
          <w:lang w:val="uk-UA"/>
        </w:rPr>
        <w:t xml:space="preserve"> </w:t>
      </w:r>
      <w:r w:rsidR="00A41015" w:rsidRPr="00E16672">
        <w:rPr>
          <w:rFonts w:ascii="Times New Roman" w:hAnsi="Times New Roman" w:cs="Times New Roman"/>
          <w:lang w:val="uk-UA"/>
        </w:rPr>
        <w:t xml:space="preserve">електронний </w:t>
      </w:r>
      <w:r w:rsidRPr="00E16672">
        <w:rPr>
          <w:rFonts w:ascii="Times New Roman" w:hAnsi="Times New Roman" w:cs="Times New Roman"/>
          <w:lang w:val="uk-UA"/>
        </w:rPr>
        <w:t>підпис за правовим статусом прирівнюється до власноручного підпису (печатки) особи, яка його вчинила</w:t>
      </w:r>
      <w:r w:rsidR="002E75AD" w:rsidRPr="00E16672">
        <w:rPr>
          <w:rFonts w:ascii="Times New Roman" w:hAnsi="Times New Roman" w:cs="Times New Roman"/>
          <w:lang w:val="uk-UA"/>
        </w:rPr>
        <w:t>, згідно</w:t>
      </w:r>
      <w:r w:rsidR="00AB21E0" w:rsidRPr="00E16672">
        <w:rPr>
          <w:rFonts w:ascii="Times New Roman" w:hAnsi="Times New Roman" w:cs="Times New Roman"/>
          <w:lang w:val="uk-UA"/>
        </w:rPr>
        <w:t xml:space="preserve"> законодавств</w:t>
      </w:r>
      <w:r w:rsidR="002E75AD" w:rsidRPr="00E16672">
        <w:rPr>
          <w:rFonts w:ascii="Times New Roman" w:hAnsi="Times New Roman" w:cs="Times New Roman"/>
          <w:lang w:val="uk-UA"/>
        </w:rPr>
        <w:t>а</w:t>
      </w:r>
      <w:r w:rsidR="004A6EA3" w:rsidRPr="00E16672">
        <w:rPr>
          <w:rFonts w:ascii="Times New Roman" w:hAnsi="Times New Roman" w:cs="Times New Roman"/>
          <w:lang w:val="uk-UA"/>
        </w:rPr>
        <w:t xml:space="preserve"> та цього Договору</w:t>
      </w:r>
      <w:r w:rsidRPr="00E16672">
        <w:rPr>
          <w:rFonts w:ascii="Times New Roman" w:hAnsi="Times New Roman" w:cs="Times New Roman"/>
          <w:lang w:val="uk-UA"/>
        </w:rPr>
        <w:t>. Юридична сила електронного документа не може бути заперечена виключно через те, що він має електронну форму.</w:t>
      </w:r>
    </w:p>
    <w:p w14:paraId="13284C6C" w14:textId="77777777" w:rsidR="00502AEC" w:rsidRPr="00E16672" w:rsidRDefault="00502AEC" w:rsidP="00CD4C86">
      <w:pPr>
        <w:pStyle w:val="33"/>
        <w:tabs>
          <w:tab w:val="left" w:pos="851"/>
        </w:tabs>
        <w:ind w:firstLine="540"/>
        <w:rPr>
          <w:rFonts w:ascii="Times New Roman" w:hAnsi="Times New Roman" w:cs="Times New Roman"/>
          <w:lang w:val="uk-UA"/>
        </w:rPr>
      </w:pPr>
      <w:r w:rsidRPr="00E16672">
        <w:rPr>
          <w:rFonts w:ascii="Times New Roman" w:hAnsi="Times New Roman" w:cs="Times New Roman"/>
          <w:lang w:val="uk-UA"/>
        </w:rPr>
        <w:t>1</w:t>
      </w:r>
      <w:r w:rsidR="00AC4F94" w:rsidRPr="00E16672">
        <w:rPr>
          <w:rFonts w:ascii="Times New Roman" w:hAnsi="Times New Roman" w:cs="Times New Roman"/>
          <w:lang w:val="uk-UA"/>
        </w:rPr>
        <w:t>1</w:t>
      </w:r>
      <w:r w:rsidRPr="00E16672">
        <w:rPr>
          <w:rFonts w:ascii="Times New Roman" w:hAnsi="Times New Roman" w:cs="Times New Roman"/>
          <w:lang w:val="uk-UA"/>
        </w:rPr>
        <w:t>.6</w:t>
      </w:r>
      <w:r w:rsidR="0005147A" w:rsidRPr="00E16672">
        <w:rPr>
          <w:rFonts w:ascii="Times New Roman" w:hAnsi="Times New Roman" w:cs="Times New Roman"/>
          <w:lang w:val="uk-UA"/>
        </w:rPr>
        <w:t>.</w:t>
      </w:r>
      <w:r w:rsidRPr="00E16672">
        <w:rPr>
          <w:rFonts w:ascii="Times New Roman" w:hAnsi="Times New Roman" w:cs="Times New Roman"/>
          <w:lang w:val="uk-UA"/>
        </w:rPr>
        <w:t xml:space="preserve"> </w:t>
      </w:r>
      <w:proofErr w:type="spellStart"/>
      <w:r w:rsidRPr="00E16672">
        <w:rPr>
          <w:rFonts w:ascii="Times New Roman" w:hAnsi="Times New Roman" w:cs="Times New Roman"/>
          <w:lang w:val="uk-UA"/>
        </w:rPr>
        <w:t>Підписувач</w:t>
      </w:r>
      <w:proofErr w:type="spellEnd"/>
      <w:r w:rsidRPr="00E16672">
        <w:rPr>
          <w:rFonts w:ascii="Times New Roman" w:hAnsi="Times New Roman" w:cs="Times New Roman"/>
          <w:lang w:val="uk-UA"/>
        </w:rPr>
        <w:t xml:space="preserve"> - </w:t>
      </w:r>
      <w:proofErr w:type="spellStart"/>
      <w:r w:rsidR="00EE51D3" w:rsidRPr="00E16672">
        <w:rPr>
          <w:rStyle w:val="rvts0"/>
          <w:rFonts w:ascii="Times New Roman" w:hAnsi="Times New Roman" w:cs="Times New Roman"/>
        </w:rPr>
        <w:t>фізична</w:t>
      </w:r>
      <w:proofErr w:type="spellEnd"/>
      <w:r w:rsidR="00EE51D3" w:rsidRPr="00E16672">
        <w:rPr>
          <w:rStyle w:val="rvts0"/>
          <w:rFonts w:ascii="Times New Roman" w:hAnsi="Times New Roman" w:cs="Times New Roman"/>
        </w:rPr>
        <w:t xml:space="preserve"> особа, яка </w:t>
      </w:r>
      <w:proofErr w:type="spellStart"/>
      <w:r w:rsidR="00EE51D3" w:rsidRPr="00E16672">
        <w:rPr>
          <w:rStyle w:val="rvts0"/>
          <w:rFonts w:ascii="Times New Roman" w:hAnsi="Times New Roman" w:cs="Times New Roman"/>
        </w:rPr>
        <w:t>створює</w:t>
      </w:r>
      <w:proofErr w:type="spellEnd"/>
      <w:r w:rsidR="00EE51D3" w:rsidRPr="00E16672">
        <w:rPr>
          <w:rStyle w:val="rvts0"/>
          <w:rFonts w:ascii="Times New Roman" w:hAnsi="Times New Roman" w:cs="Times New Roman"/>
        </w:rPr>
        <w:t xml:space="preserve"> </w:t>
      </w:r>
      <w:proofErr w:type="spellStart"/>
      <w:r w:rsidR="00EE51D3" w:rsidRPr="00E16672">
        <w:rPr>
          <w:rStyle w:val="rvts0"/>
          <w:rFonts w:ascii="Times New Roman" w:hAnsi="Times New Roman" w:cs="Times New Roman"/>
        </w:rPr>
        <w:t>електронний</w:t>
      </w:r>
      <w:proofErr w:type="spellEnd"/>
      <w:r w:rsidR="00EE51D3" w:rsidRPr="00E16672">
        <w:rPr>
          <w:rStyle w:val="rvts0"/>
          <w:rFonts w:ascii="Times New Roman" w:hAnsi="Times New Roman" w:cs="Times New Roman"/>
        </w:rPr>
        <w:t xml:space="preserve"> </w:t>
      </w:r>
      <w:proofErr w:type="spellStart"/>
      <w:r w:rsidR="00EE51D3" w:rsidRPr="00E16672">
        <w:rPr>
          <w:rStyle w:val="rvts0"/>
          <w:rFonts w:ascii="Times New Roman" w:hAnsi="Times New Roman" w:cs="Times New Roman"/>
        </w:rPr>
        <w:t>підпис</w:t>
      </w:r>
      <w:proofErr w:type="spellEnd"/>
      <w:r w:rsidRPr="00E16672">
        <w:rPr>
          <w:rFonts w:ascii="Times New Roman" w:hAnsi="Times New Roman" w:cs="Times New Roman"/>
          <w:lang w:val="uk-UA"/>
        </w:rPr>
        <w:t>.</w:t>
      </w:r>
    </w:p>
    <w:p w14:paraId="0C088DD9" w14:textId="77777777" w:rsidR="00502AEC" w:rsidRPr="00E16672" w:rsidRDefault="00502AEC" w:rsidP="00D277CA">
      <w:pPr>
        <w:pStyle w:val="HTML"/>
        <w:ind w:firstLine="540"/>
        <w:rPr>
          <w:rFonts w:ascii="Times New Roman" w:hAnsi="Times New Roman" w:cs="Times New Roman"/>
          <w:lang w:val="uk-UA"/>
        </w:rPr>
      </w:pPr>
      <w:r w:rsidRPr="00E16672">
        <w:rPr>
          <w:rFonts w:ascii="Times New Roman" w:hAnsi="Times New Roman" w:cs="Times New Roman"/>
          <w:lang w:val="uk-UA"/>
        </w:rPr>
        <w:t>1</w:t>
      </w:r>
      <w:r w:rsidR="00AC4F94" w:rsidRPr="00E16672">
        <w:rPr>
          <w:rFonts w:ascii="Times New Roman" w:hAnsi="Times New Roman" w:cs="Times New Roman"/>
          <w:lang w:val="uk-UA"/>
        </w:rPr>
        <w:t>1</w:t>
      </w:r>
      <w:r w:rsidRPr="00E16672">
        <w:rPr>
          <w:rFonts w:ascii="Times New Roman" w:hAnsi="Times New Roman" w:cs="Times New Roman"/>
          <w:lang w:val="uk-UA"/>
        </w:rPr>
        <w:t>.7</w:t>
      </w:r>
      <w:r w:rsidR="0005147A" w:rsidRPr="00E16672">
        <w:rPr>
          <w:rFonts w:ascii="Times New Roman" w:hAnsi="Times New Roman" w:cs="Times New Roman"/>
          <w:lang w:val="uk-UA"/>
        </w:rPr>
        <w:t>.</w:t>
      </w:r>
      <w:r w:rsidRPr="00E16672">
        <w:rPr>
          <w:rFonts w:ascii="Times New Roman" w:hAnsi="Times New Roman" w:cs="Times New Roman"/>
          <w:lang w:val="uk-UA"/>
        </w:rPr>
        <w:t xml:space="preserve"> </w:t>
      </w:r>
      <w:r w:rsidR="00AB21E0" w:rsidRPr="00E16672">
        <w:rPr>
          <w:rFonts w:ascii="Times New Roman" w:hAnsi="Times New Roman" w:cs="Times New Roman"/>
          <w:lang w:val="uk-UA"/>
        </w:rPr>
        <w:t xml:space="preserve">Адресат </w:t>
      </w:r>
      <w:r w:rsidRPr="00E16672">
        <w:rPr>
          <w:rFonts w:ascii="Times New Roman" w:hAnsi="Times New Roman" w:cs="Times New Roman"/>
          <w:lang w:val="uk-UA"/>
        </w:rPr>
        <w:t xml:space="preserve">- </w:t>
      </w:r>
      <w:r w:rsidR="00AB21E0" w:rsidRPr="00E16672">
        <w:rPr>
          <w:rFonts w:ascii="Times New Roman" w:hAnsi="Times New Roman" w:cs="Times New Roman"/>
          <w:lang w:val="uk-UA"/>
        </w:rPr>
        <w:t>фізична  або  юридична  особа,  якій  адресується електронний документ</w:t>
      </w:r>
      <w:r w:rsidRPr="00E16672">
        <w:rPr>
          <w:rFonts w:ascii="Times New Roman" w:hAnsi="Times New Roman" w:cs="Times New Roman"/>
          <w:lang w:val="uk-UA"/>
        </w:rPr>
        <w:t>.</w:t>
      </w:r>
    </w:p>
    <w:p w14:paraId="3F3683AA" w14:textId="77777777" w:rsidR="00502AEC" w:rsidRPr="00E16672" w:rsidRDefault="00502AEC" w:rsidP="00CD4C86">
      <w:pPr>
        <w:pStyle w:val="33"/>
        <w:tabs>
          <w:tab w:val="left" w:pos="851"/>
        </w:tabs>
        <w:ind w:firstLine="540"/>
        <w:rPr>
          <w:rFonts w:ascii="Times New Roman" w:hAnsi="Times New Roman" w:cs="Times New Roman"/>
          <w:lang w:val="uk-UA"/>
        </w:rPr>
      </w:pPr>
      <w:r w:rsidRPr="00E16672">
        <w:rPr>
          <w:rFonts w:ascii="Times New Roman" w:hAnsi="Times New Roman" w:cs="Times New Roman"/>
          <w:lang w:val="uk-UA"/>
        </w:rPr>
        <w:t>1</w:t>
      </w:r>
      <w:r w:rsidR="00AC4F94" w:rsidRPr="00E16672">
        <w:rPr>
          <w:rFonts w:ascii="Times New Roman" w:hAnsi="Times New Roman" w:cs="Times New Roman"/>
          <w:lang w:val="uk-UA"/>
        </w:rPr>
        <w:t>1</w:t>
      </w:r>
      <w:r w:rsidRPr="00E16672">
        <w:rPr>
          <w:rFonts w:ascii="Times New Roman" w:hAnsi="Times New Roman" w:cs="Times New Roman"/>
          <w:lang w:val="uk-UA"/>
        </w:rPr>
        <w:t>.8</w:t>
      </w:r>
      <w:r w:rsidR="0005147A" w:rsidRPr="00E16672">
        <w:rPr>
          <w:rFonts w:ascii="Times New Roman" w:hAnsi="Times New Roman" w:cs="Times New Roman"/>
          <w:lang w:val="uk-UA"/>
        </w:rPr>
        <w:t>.</w:t>
      </w:r>
      <w:r w:rsidRPr="00E16672">
        <w:rPr>
          <w:rFonts w:ascii="Times New Roman" w:hAnsi="Times New Roman" w:cs="Times New Roman"/>
          <w:lang w:val="uk-UA"/>
        </w:rPr>
        <w:t xml:space="preserve"> </w:t>
      </w:r>
      <w:r w:rsidR="00236E02" w:rsidRPr="00E16672">
        <w:rPr>
          <w:rFonts w:ascii="Times New Roman" w:hAnsi="Times New Roman" w:cs="Times New Roman"/>
          <w:lang w:val="uk-UA"/>
        </w:rPr>
        <w:t>Кваліфікований</w:t>
      </w:r>
      <w:r w:rsidR="00236E02" w:rsidRPr="00E16672" w:rsidDel="00047AE1">
        <w:rPr>
          <w:rFonts w:ascii="Times New Roman" w:hAnsi="Times New Roman" w:cs="Times New Roman"/>
          <w:lang w:val="uk-UA"/>
        </w:rPr>
        <w:t xml:space="preserve"> </w:t>
      </w:r>
      <w:r w:rsidR="00A41015" w:rsidRPr="00E16672">
        <w:rPr>
          <w:rFonts w:ascii="Times New Roman" w:hAnsi="Times New Roman" w:cs="Times New Roman"/>
          <w:lang w:val="uk-UA"/>
        </w:rPr>
        <w:t xml:space="preserve">електронний </w:t>
      </w:r>
      <w:r w:rsidRPr="00E16672">
        <w:rPr>
          <w:rFonts w:ascii="Times New Roman" w:hAnsi="Times New Roman" w:cs="Times New Roman"/>
          <w:lang w:val="uk-UA"/>
        </w:rPr>
        <w:t xml:space="preserve">підпис вважається таким, що відповідає сертифікату відкритого ключа, якщо особистий ключ </w:t>
      </w:r>
      <w:proofErr w:type="spellStart"/>
      <w:r w:rsidRPr="00E16672">
        <w:rPr>
          <w:rFonts w:ascii="Times New Roman" w:hAnsi="Times New Roman" w:cs="Times New Roman"/>
          <w:lang w:val="uk-UA"/>
        </w:rPr>
        <w:t>підписувача</w:t>
      </w:r>
      <w:proofErr w:type="spellEnd"/>
      <w:r w:rsidRPr="00E16672">
        <w:rPr>
          <w:rFonts w:ascii="Times New Roman" w:hAnsi="Times New Roman" w:cs="Times New Roman"/>
          <w:lang w:val="uk-UA"/>
        </w:rPr>
        <w:t xml:space="preserve">, використаний при формуванні </w:t>
      </w:r>
      <w:r w:rsidR="00742962" w:rsidRPr="00E16672">
        <w:rPr>
          <w:rFonts w:ascii="Times New Roman" w:hAnsi="Times New Roman" w:cs="Times New Roman"/>
          <w:lang w:val="uk-UA"/>
        </w:rPr>
        <w:t>кваліфікованого</w:t>
      </w:r>
      <w:r w:rsidR="00742962" w:rsidRPr="00E16672" w:rsidDel="00047AE1">
        <w:rPr>
          <w:rFonts w:ascii="Times New Roman" w:hAnsi="Times New Roman" w:cs="Times New Roman"/>
          <w:lang w:val="uk-UA"/>
        </w:rPr>
        <w:t xml:space="preserve"> </w:t>
      </w:r>
      <w:r w:rsidRPr="00E16672">
        <w:rPr>
          <w:rFonts w:ascii="Times New Roman" w:hAnsi="Times New Roman" w:cs="Times New Roman"/>
          <w:lang w:val="uk-UA"/>
        </w:rPr>
        <w:t>електронного підпису, відповідає відкритому ключу, зазначеному у сертифікаті.</w:t>
      </w:r>
    </w:p>
    <w:p w14:paraId="2965F5B0" w14:textId="77777777" w:rsidR="00502AEC" w:rsidRPr="00E16672" w:rsidRDefault="00502AEC">
      <w:pPr>
        <w:pStyle w:val="33"/>
        <w:tabs>
          <w:tab w:val="left" w:pos="851"/>
        </w:tabs>
        <w:ind w:firstLine="540"/>
        <w:rPr>
          <w:rFonts w:ascii="Times New Roman" w:hAnsi="Times New Roman" w:cs="Times New Roman"/>
          <w:lang w:val="uk-UA"/>
        </w:rPr>
      </w:pPr>
      <w:r w:rsidRPr="00E16672">
        <w:rPr>
          <w:rFonts w:ascii="Times New Roman" w:hAnsi="Times New Roman" w:cs="Times New Roman"/>
          <w:lang w:val="uk-UA"/>
        </w:rPr>
        <w:t>1</w:t>
      </w:r>
      <w:r w:rsidR="00AC4F94" w:rsidRPr="00E16672">
        <w:rPr>
          <w:rFonts w:ascii="Times New Roman" w:hAnsi="Times New Roman" w:cs="Times New Roman"/>
          <w:lang w:val="uk-UA"/>
        </w:rPr>
        <w:t>1</w:t>
      </w:r>
      <w:r w:rsidRPr="00E16672">
        <w:rPr>
          <w:rFonts w:ascii="Times New Roman" w:hAnsi="Times New Roman" w:cs="Times New Roman"/>
          <w:lang w:val="uk-UA"/>
        </w:rPr>
        <w:t>.9</w:t>
      </w:r>
      <w:r w:rsidR="0005147A" w:rsidRPr="00E16672">
        <w:rPr>
          <w:rFonts w:ascii="Times New Roman" w:hAnsi="Times New Roman" w:cs="Times New Roman"/>
          <w:lang w:val="uk-UA"/>
        </w:rPr>
        <w:t>.</w:t>
      </w:r>
      <w:r w:rsidRPr="00E16672">
        <w:rPr>
          <w:rFonts w:ascii="Times New Roman" w:hAnsi="Times New Roman" w:cs="Times New Roman"/>
          <w:lang w:val="uk-UA"/>
        </w:rPr>
        <w:t xml:space="preserve"> Відповідно до цього Договору Сторони зобов'язуються визнавати </w:t>
      </w:r>
      <w:r w:rsidR="00236E02" w:rsidRPr="00E16672">
        <w:rPr>
          <w:rFonts w:ascii="Times New Roman" w:hAnsi="Times New Roman" w:cs="Times New Roman"/>
          <w:lang w:val="uk-UA"/>
        </w:rPr>
        <w:t>кваліфікований</w:t>
      </w:r>
      <w:r w:rsidR="00236E02" w:rsidRPr="00E16672" w:rsidDel="00047AE1">
        <w:rPr>
          <w:rFonts w:ascii="Times New Roman" w:hAnsi="Times New Roman" w:cs="Times New Roman"/>
          <w:lang w:val="uk-UA"/>
        </w:rPr>
        <w:t xml:space="preserve"> </w:t>
      </w:r>
      <w:r w:rsidRPr="00E16672">
        <w:rPr>
          <w:rFonts w:ascii="Times New Roman" w:hAnsi="Times New Roman" w:cs="Times New Roman"/>
          <w:lang w:val="uk-UA"/>
        </w:rPr>
        <w:t>електронний підпис як такий, що надає юридичної сили електронним документам, сформованим з його використанням.</w:t>
      </w:r>
    </w:p>
    <w:p w14:paraId="478F2E1D" w14:textId="77777777" w:rsidR="00502AEC" w:rsidRPr="00E16672" w:rsidRDefault="00502AEC">
      <w:pPr>
        <w:pStyle w:val="33"/>
        <w:tabs>
          <w:tab w:val="left" w:pos="851"/>
        </w:tabs>
        <w:ind w:firstLine="540"/>
        <w:rPr>
          <w:rFonts w:ascii="Times New Roman" w:hAnsi="Times New Roman" w:cs="Times New Roman"/>
          <w:lang w:val="uk-UA"/>
        </w:rPr>
      </w:pPr>
      <w:r w:rsidRPr="00E16672">
        <w:rPr>
          <w:rFonts w:ascii="Times New Roman" w:hAnsi="Times New Roman" w:cs="Times New Roman"/>
          <w:lang w:val="uk-UA"/>
        </w:rPr>
        <w:t>1</w:t>
      </w:r>
      <w:r w:rsidR="00AC4F94" w:rsidRPr="00E16672">
        <w:rPr>
          <w:rFonts w:ascii="Times New Roman" w:hAnsi="Times New Roman" w:cs="Times New Roman"/>
          <w:lang w:val="uk-UA"/>
        </w:rPr>
        <w:t>1</w:t>
      </w:r>
      <w:r w:rsidRPr="00E16672">
        <w:rPr>
          <w:rFonts w:ascii="Times New Roman" w:hAnsi="Times New Roman" w:cs="Times New Roman"/>
          <w:lang w:val="uk-UA"/>
        </w:rPr>
        <w:t>.10</w:t>
      </w:r>
      <w:r w:rsidR="0005147A" w:rsidRPr="00E16672">
        <w:rPr>
          <w:rFonts w:ascii="Times New Roman" w:hAnsi="Times New Roman" w:cs="Times New Roman"/>
          <w:lang w:val="uk-UA"/>
        </w:rPr>
        <w:t>.</w:t>
      </w:r>
      <w:r w:rsidRPr="00E16672">
        <w:rPr>
          <w:rFonts w:ascii="Times New Roman" w:hAnsi="Times New Roman" w:cs="Times New Roman"/>
          <w:lang w:val="uk-UA"/>
        </w:rPr>
        <w:t xml:space="preserve"> Визнання здійснюється </w:t>
      </w:r>
      <w:r w:rsidR="006F5763" w:rsidRPr="00E16672">
        <w:rPr>
          <w:rFonts w:ascii="Times New Roman" w:hAnsi="Times New Roman" w:cs="Times New Roman"/>
          <w:lang w:val="uk-UA"/>
        </w:rPr>
        <w:t xml:space="preserve">адресатом </w:t>
      </w:r>
      <w:r w:rsidRPr="00E16672">
        <w:rPr>
          <w:rFonts w:ascii="Times New Roman" w:hAnsi="Times New Roman" w:cs="Times New Roman"/>
          <w:lang w:val="uk-UA"/>
        </w:rPr>
        <w:t xml:space="preserve">щодо кожного окремого електронного документа, наданого </w:t>
      </w:r>
      <w:proofErr w:type="spellStart"/>
      <w:r w:rsidRPr="00E16672">
        <w:rPr>
          <w:rFonts w:ascii="Times New Roman" w:hAnsi="Times New Roman" w:cs="Times New Roman"/>
          <w:lang w:val="uk-UA"/>
        </w:rPr>
        <w:t>підписувачем</w:t>
      </w:r>
      <w:proofErr w:type="spellEnd"/>
      <w:r w:rsidRPr="00E16672">
        <w:rPr>
          <w:rFonts w:ascii="Times New Roman" w:hAnsi="Times New Roman" w:cs="Times New Roman"/>
          <w:lang w:val="uk-UA"/>
        </w:rPr>
        <w:t>.</w:t>
      </w:r>
    </w:p>
    <w:p w14:paraId="5AE8EBD2" w14:textId="77777777" w:rsidR="00502AEC" w:rsidRPr="00E16672" w:rsidRDefault="00502AEC">
      <w:pPr>
        <w:pStyle w:val="33"/>
        <w:tabs>
          <w:tab w:val="left" w:pos="851"/>
        </w:tabs>
        <w:ind w:firstLine="540"/>
        <w:rPr>
          <w:rFonts w:ascii="Times New Roman" w:hAnsi="Times New Roman" w:cs="Times New Roman"/>
          <w:lang w:val="uk-UA"/>
        </w:rPr>
      </w:pPr>
      <w:r w:rsidRPr="00E16672">
        <w:rPr>
          <w:rFonts w:ascii="Times New Roman" w:hAnsi="Times New Roman" w:cs="Times New Roman"/>
          <w:lang w:val="uk-UA"/>
        </w:rPr>
        <w:t>1</w:t>
      </w:r>
      <w:r w:rsidR="00AC4F94" w:rsidRPr="00E16672">
        <w:rPr>
          <w:rFonts w:ascii="Times New Roman" w:hAnsi="Times New Roman" w:cs="Times New Roman"/>
          <w:lang w:val="uk-UA"/>
        </w:rPr>
        <w:t>1</w:t>
      </w:r>
      <w:r w:rsidRPr="00E16672">
        <w:rPr>
          <w:rFonts w:ascii="Times New Roman" w:hAnsi="Times New Roman" w:cs="Times New Roman"/>
          <w:lang w:val="uk-UA"/>
        </w:rPr>
        <w:t>.11</w:t>
      </w:r>
      <w:r w:rsidR="0005147A" w:rsidRPr="00E16672">
        <w:rPr>
          <w:rFonts w:ascii="Times New Roman" w:hAnsi="Times New Roman" w:cs="Times New Roman"/>
          <w:lang w:val="uk-UA"/>
        </w:rPr>
        <w:t>.</w:t>
      </w:r>
      <w:r w:rsidRPr="00E16672">
        <w:rPr>
          <w:rFonts w:ascii="Times New Roman" w:hAnsi="Times New Roman" w:cs="Times New Roman"/>
          <w:lang w:val="uk-UA"/>
        </w:rPr>
        <w:t xml:space="preserve"> Визнання </w:t>
      </w:r>
      <w:r w:rsidR="00236E02" w:rsidRPr="00E16672">
        <w:rPr>
          <w:rFonts w:ascii="Times New Roman" w:hAnsi="Times New Roman" w:cs="Times New Roman"/>
          <w:lang w:val="uk-UA"/>
        </w:rPr>
        <w:t>кваліфікованого</w:t>
      </w:r>
      <w:r w:rsidR="00236E02" w:rsidRPr="00E16672" w:rsidDel="00047AE1">
        <w:rPr>
          <w:rFonts w:ascii="Times New Roman" w:hAnsi="Times New Roman" w:cs="Times New Roman"/>
          <w:lang w:val="uk-UA"/>
        </w:rPr>
        <w:t xml:space="preserve"> </w:t>
      </w:r>
      <w:r w:rsidRPr="00E16672">
        <w:rPr>
          <w:rFonts w:ascii="Times New Roman" w:hAnsi="Times New Roman" w:cs="Times New Roman"/>
          <w:lang w:val="uk-UA"/>
        </w:rPr>
        <w:t xml:space="preserve">електронного підпису - визначення відповідності </w:t>
      </w:r>
      <w:r w:rsidR="00A75C35" w:rsidRPr="00E16672">
        <w:rPr>
          <w:rFonts w:ascii="Times New Roman" w:hAnsi="Times New Roman" w:cs="Times New Roman"/>
          <w:szCs w:val="16"/>
          <w:lang w:val="uk-UA"/>
        </w:rPr>
        <w:t>кваліфікованого</w:t>
      </w:r>
      <w:r w:rsidR="00A75C35" w:rsidRPr="00E16672" w:rsidDel="00047AE1">
        <w:rPr>
          <w:rFonts w:ascii="Times New Roman" w:hAnsi="Times New Roman" w:cs="Times New Roman"/>
          <w:sz w:val="24"/>
          <w:lang w:val="uk-UA"/>
        </w:rPr>
        <w:t xml:space="preserve"> </w:t>
      </w:r>
      <w:r w:rsidRPr="00E16672">
        <w:rPr>
          <w:rFonts w:ascii="Times New Roman" w:hAnsi="Times New Roman" w:cs="Times New Roman"/>
          <w:lang w:val="uk-UA"/>
        </w:rPr>
        <w:t xml:space="preserve">електронного підпису сертифікату відкритого ключа </w:t>
      </w:r>
      <w:proofErr w:type="spellStart"/>
      <w:r w:rsidRPr="00E16672">
        <w:rPr>
          <w:rFonts w:ascii="Times New Roman" w:hAnsi="Times New Roman" w:cs="Times New Roman"/>
          <w:lang w:val="uk-UA"/>
        </w:rPr>
        <w:t>підписувача</w:t>
      </w:r>
      <w:proofErr w:type="spellEnd"/>
      <w:r w:rsidRPr="00E16672">
        <w:rPr>
          <w:rFonts w:ascii="Times New Roman" w:hAnsi="Times New Roman" w:cs="Times New Roman"/>
          <w:lang w:val="uk-UA"/>
        </w:rPr>
        <w:t>, який є чинним, та визнання підпису таким, що надає юридичної сили отриманим стороною електронним документам, сформованим з його використанням.</w:t>
      </w:r>
    </w:p>
    <w:p w14:paraId="34ABB699" w14:textId="77777777" w:rsidR="00CA224D" w:rsidRPr="00E16672" w:rsidRDefault="00CA224D" w:rsidP="00CA224D">
      <w:pPr>
        <w:pStyle w:val="33"/>
        <w:tabs>
          <w:tab w:val="left" w:pos="851"/>
        </w:tabs>
        <w:ind w:firstLine="540"/>
        <w:rPr>
          <w:rFonts w:ascii="Times New Roman" w:hAnsi="Times New Roman" w:cs="Times New Roman"/>
          <w:lang w:val="uk-UA"/>
        </w:rPr>
      </w:pPr>
    </w:p>
    <w:p w14:paraId="3A88E738" w14:textId="77777777" w:rsidR="00CA224D" w:rsidRPr="00E16672" w:rsidRDefault="00CA224D" w:rsidP="00CA224D">
      <w:pPr>
        <w:jc w:val="center"/>
        <w:rPr>
          <w:rFonts w:ascii="Times New Roman" w:hAnsi="Times New Roman"/>
          <w:b/>
          <w:color w:val="000000"/>
          <w:szCs w:val="20"/>
        </w:rPr>
      </w:pPr>
      <w:r w:rsidRPr="00E16672">
        <w:rPr>
          <w:rFonts w:ascii="Times New Roman" w:hAnsi="Times New Roman"/>
          <w:b/>
          <w:color w:val="000000"/>
          <w:szCs w:val="20"/>
        </w:rPr>
        <w:t>1</w:t>
      </w:r>
      <w:r w:rsidR="00AC4F94" w:rsidRPr="00E16672">
        <w:rPr>
          <w:rFonts w:ascii="Times New Roman" w:hAnsi="Times New Roman"/>
          <w:b/>
          <w:color w:val="000000"/>
          <w:szCs w:val="20"/>
          <w:lang w:val="uk-UA"/>
        </w:rPr>
        <w:t>2</w:t>
      </w:r>
      <w:r w:rsidRPr="00E16672">
        <w:rPr>
          <w:rFonts w:ascii="Times New Roman" w:hAnsi="Times New Roman"/>
          <w:b/>
          <w:color w:val="000000"/>
          <w:szCs w:val="20"/>
        </w:rPr>
        <w:t xml:space="preserve">. </w:t>
      </w:r>
      <w:proofErr w:type="spellStart"/>
      <w:r w:rsidRPr="00E16672">
        <w:rPr>
          <w:rFonts w:ascii="Times New Roman" w:hAnsi="Times New Roman"/>
          <w:b/>
          <w:color w:val="000000"/>
          <w:szCs w:val="20"/>
        </w:rPr>
        <w:t>Умови</w:t>
      </w:r>
      <w:proofErr w:type="spellEnd"/>
      <w:r w:rsidRPr="00E16672">
        <w:rPr>
          <w:rFonts w:ascii="Times New Roman" w:hAnsi="Times New Roman"/>
          <w:b/>
          <w:color w:val="000000"/>
          <w:szCs w:val="20"/>
        </w:rPr>
        <w:t xml:space="preserve"> </w:t>
      </w:r>
      <w:proofErr w:type="spellStart"/>
      <w:r w:rsidR="000716F1" w:rsidRPr="00E16672">
        <w:rPr>
          <w:rFonts w:ascii="Times New Roman" w:hAnsi="Times New Roman"/>
          <w:b/>
          <w:color w:val="000000"/>
          <w:szCs w:val="20"/>
        </w:rPr>
        <w:t>щодо</w:t>
      </w:r>
      <w:proofErr w:type="spellEnd"/>
      <w:r w:rsidR="000716F1" w:rsidRPr="00E16672">
        <w:rPr>
          <w:rFonts w:ascii="Times New Roman" w:hAnsi="Times New Roman"/>
          <w:b/>
          <w:color w:val="000000"/>
          <w:szCs w:val="20"/>
        </w:rPr>
        <w:t xml:space="preserve"> </w:t>
      </w:r>
      <w:r w:rsidRPr="00E16672">
        <w:rPr>
          <w:rFonts w:ascii="Times New Roman" w:hAnsi="Times New Roman"/>
          <w:b/>
          <w:color w:val="000000"/>
          <w:szCs w:val="20"/>
        </w:rPr>
        <w:t xml:space="preserve">порядку </w:t>
      </w:r>
      <w:proofErr w:type="spellStart"/>
      <w:r w:rsidRPr="00E16672">
        <w:rPr>
          <w:rFonts w:ascii="Times New Roman" w:hAnsi="Times New Roman"/>
          <w:b/>
          <w:color w:val="000000"/>
          <w:szCs w:val="20"/>
        </w:rPr>
        <w:t>виплати</w:t>
      </w:r>
      <w:proofErr w:type="spellEnd"/>
      <w:r w:rsidRPr="00E16672">
        <w:rPr>
          <w:rFonts w:ascii="Times New Roman" w:hAnsi="Times New Roman"/>
          <w:b/>
          <w:color w:val="000000"/>
          <w:szCs w:val="20"/>
        </w:rPr>
        <w:t xml:space="preserve"> </w:t>
      </w:r>
      <w:r w:rsidR="000716F1" w:rsidRPr="00E16672">
        <w:rPr>
          <w:rFonts w:ascii="Times New Roman" w:hAnsi="Times New Roman"/>
          <w:b/>
          <w:color w:val="000000"/>
          <w:szCs w:val="20"/>
        </w:rPr>
        <w:t>доход</w:t>
      </w:r>
      <w:r w:rsidR="000716F1" w:rsidRPr="00E16672">
        <w:rPr>
          <w:rFonts w:ascii="Times New Roman" w:hAnsi="Times New Roman"/>
          <w:b/>
          <w:color w:val="000000"/>
          <w:szCs w:val="20"/>
          <w:lang w:val="uk-UA"/>
        </w:rPr>
        <w:t>і</w:t>
      </w:r>
      <w:r w:rsidR="000716F1" w:rsidRPr="00E16672">
        <w:rPr>
          <w:rFonts w:ascii="Times New Roman" w:hAnsi="Times New Roman"/>
          <w:b/>
          <w:color w:val="000000"/>
          <w:szCs w:val="20"/>
        </w:rPr>
        <w:t>в</w:t>
      </w:r>
      <w:r w:rsidRPr="00E16672">
        <w:rPr>
          <w:rFonts w:ascii="Times New Roman" w:hAnsi="Times New Roman"/>
          <w:b/>
          <w:color w:val="000000"/>
          <w:szCs w:val="20"/>
        </w:rPr>
        <w:t xml:space="preserve">, </w:t>
      </w:r>
      <w:proofErr w:type="spellStart"/>
      <w:r w:rsidRPr="00E16672">
        <w:rPr>
          <w:rFonts w:ascii="Times New Roman" w:hAnsi="Times New Roman"/>
          <w:b/>
          <w:color w:val="000000"/>
          <w:szCs w:val="20"/>
        </w:rPr>
        <w:t>отриманих</w:t>
      </w:r>
      <w:proofErr w:type="spellEnd"/>
      <w:r w:rsidRPr="00E16672">
        <w:rPr>
          <w:rFonts w:ascii="Times New Roman" w:hAnsi="Times New Roman"/>
          <w:b/>
          <w:color w:val="000000"/>
          <w:szCs w:val="20"/>
        </w:rPr>
        <w:t xml:space="preserve"> </w:t>
      </w:r>
      <w:r w:rsidR="00591068" w:rsidRPr="00E16672">
        <w:rPr>
          <w:rFonts w:ascii="Times New Roman" w:hAnsi="Times New Roman"/>
          <w:b/>
          <w:color w:val="000000"/>
          <w:szCs w:val="20"/>
          <w:lang w:val="uk-UA"/>
        </w:rPr>
        <w:t>Д</w:t>
      </w:r>
      <w:proofErr w:type="spellStart"/>
      <w:r w:rsidRPr="00E16672">
        <w:rPr>
          <w:rFonts w:ascii="Times New Roman" w:hAnsi="Times New Roman"/>
          <w:b/>
          <w:color w:val="000000"/>
          <w:szCs w:val="20"/>
        </w:rPr>
        <w:t>епонентом</w:t>
      </w:r>
      <w:proofErr w:type="spellEnd"/>
      <w:r w:rsidRPr="00E16672">
        <w:rPr>
          <w:rFonts w:ascii="Times New Roman" w:hAnsi="Times New Roman"/>
          <w:b/>
          <w:color w:val="000000"/>
          <w:szCs w:val="20"/>
        </w:rPr>
        <w:t xml:space="preserve"> за результатами </w:t>
      </w:r>
      <w:proofErr w:type="spellStart"/>
      <w:r w:rsidRPr="00E16672">
        <w:rPr>
          <w:rFonts w:ascii="Times New Roman" w:hAnsi="Times New Roman"/>
          <w:b/>
          <w:color w:val="000000"/>
          <w:szCs w:val="20"/>
        </w:rPr>
        <w:t>проведених</w:t>
      </w:r>
      <w:proofErr w:type="spellEnd"/>
      <w:r w:rsidRPr="00E16672">
        <w:rPr>
          <w:rFonts w:ascii="Times New Roman" w:hAnsi="Times New Roman"/>
          <w:b/>
          <w:color w:val="000000"/>
          <w:szCs w:val="20"/>
        </w:rPr>
        <w:t xml:space="preserve"> </w:t>
      </w:r>
      <w:proofErr w:type="spellStart"/>
      <w:r w:rsidRPr="00E16672">
        <w:rPr>
          <w:rFonts w:ascii="Times New Roman" w:hAnsi="Times New Roman"/>
          <w:b/>
          <w:color w:val="000000"/>
          <w:szCs w:val="20"/>
        </w:rPr>
        <w:t>корпоративних</w:t>
      </w:r>
      <w:proofErr w:type="spellEnd"/>
      <w:r w:rsidRPr="00E16672">
        <w:rPr>
          <w:rFonts w:ascii="Times New Roman" w:hAnsi="Times New Roman"/>
          <w:b/>
          <w:color w:val="000000"/>
          <w:szCs w:val="20"/>
        </w:rPr>
        <w:t xml:space="preserve"> </w:t>
      </w:r>
      <w:proofErr w:type="spellStart"/>
      <w:r w:rsidRPr="00E16672">
        <w:rPr>
          <w:rFonts w:ascii="Times New Roman" w:hAnsi="Times New Roman"/>
          <w:b/>
          <w:color w:val="000000"/>
          <w:szCs w:val="20"/>
        </w:rPr>
        <w:t>операцій</w:t>
      </w:r>
      <w:proofErr w:type="spellEnd"/>
      <w:r w:rsidRPr="00E16672">
        <w:rPr>
          <w:rFonts w:ascii="Times New Roman" w:hAnsi="Times New Roman"/>
          <w:b/>
          <w:color w:val="000000"/>
          <w:szCs w:val="20"/>
        </w:rPr>
        <w:t xml:space="preserve"> </w:t>
      </w:r>
      <w:proofErr w:type="spellStart"/>
      <w:r w:rsidRPr="00E16672">
        <w:rPr>
          <w:rFonts w:ascii="Times New Roman" w:hAnsi="Times New Roman"/>
          <w:b/>
          <w:color w:val="000000"/>
          <w:szCs w:val="20"/>
        </w:rPr>
        <w:t>емітента</w:t>
      </w:r>
      <w:proofErr w:type="spellEnd"/>
    </w:p>
    <w:p w14:paraId="311B2ECE" w14:textId="77777777" w:rsidR="00CA224D" w:rsidRPr="00E16672" w:rsidRDefault="00CA224D" w:rsidP="00CA224D">
      <w:pPr>
        <w:rPr>
          <w:rFonts w:ascii="Times New Roman" w:hAnsi="Times New Roman"/>
          <w:color w:val="000000"/>
          <w:szCs w:val="20"/>
        </w:rPr>
      </w:pPr>
      <w:r w:rsidRPr="00E16672">
        <w:rPr>
          <w:rFonts w:ascii="Times New Roman" w:hAnsi="Times New Roman"/>
          <w:color w:val="000000"/>
          <w:szCs w:val="20"/>
        </w:rPr>
        <w:t>1</w:t>
      </w:r>
      <w:r w:rsidR="00AC4F94" w:rsidRPr="00E16672">
        <w:rPr>
          <w:rFonts w:ascii="Times New Roman" w:hAnsi="Times New Roman"/>
          <w:color w:val="000000"/>
          <w:szCs w:val="20"/>
          <w:lang w:val="uk-UA"/>
        </w:rPr>
        <w:t>2</w:t>
      </w:r>
      <w:r w:rsidRPr="00E16672">
        <w:rPr>
          <w:rFonts w:ascii="Times New Roman" w:hAnsi="Times New Roman"/>
          <w:color w:val="000000"/>
          <w:szCs w:val="20"/>
        </w:rPr>
        <w:t xml:space="preserve">.1. </w:t>
      </w:r>
      <w:proofErr w:type="spellStart"/>
      <w:r w:rsidRPr="00E16672">
        <w:rPr>
          <w:rFonts w:ascii="Times New Roman" w:hAnsi="Times New Roman"/>
          <w:color w:val="000000"/>
          <w:szCs w:val="20"/>
        </w:rPr>
        <w:t>Щодо</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цінних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паперів</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облік</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яких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здійснює</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Центральний</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депозитарій</w:t>
      </w:r>
      <w:proofErr w:type="spellEnd"/>
      <w:r w:rsidRPr="00E16672">
        <w:rPr>
          <w:rFonts w:ascii="Times New Roman" w:hAnsi="Times New Roman"/>
          <w:color w:val="000000"/>
          <w:szCs w:val="20"/>
        </w:rPr>
        <w:t>:</w:t>
      </w:r>
    </w:p>
    <w:p w14:paraId="7ADF580B" w14:textId="77777777" w:rsidR="00CA224D" w:rsidRPr="00E16672" w:rsidRDefault="00CA224D" w:rsidP="00CA224D">
      <w:pPr>
        <w:rPr>
          <w:rFonts w:ascii="Times New Roman" w:hAnsi="Times New Roman"/>
          <w:color w:val="000000"/>
          <w:szCs w:val="20"/>
        </w:rPr>
      </w:pPr>
      <w:r w:rsidRPr="00E16672">
        <w:rPr>
          <w:rFonts w:ascii="Times New Roman" w:hAnsi="Times New Roman"/>
          <w:color w:val="000000"/>
          <w:szCs w:val="20"/>
        </w:rPr>
        <w:t>1</w:t>
      </w:r>
      <w:r w:rsidR="00AC4F94" w:rsidRPr="00E16672">
        <w:rPr>
          <w:rFonts w:ascii="Times New Roman" w:hAnsi="Times New Roman"/>
          <w:color w:val="000000"/>
          <w:szCs w:val="20"/>
          <w:lang w:val="uk-UA"/>
        </w:rPr>
        <w:t>2</w:t>
      </w:r>
      <w:r w:rsidRPr="00E16672">
        <w:rPr>
          <w:rFonts w:ascii="Times New Roman" w:hAnsi="Times New Roman"/>
          <w:color w:val="000000"/>
          <w:szCs w:val="20"/>
        </w:rPr>
        <w:t xml:space="preserve">.1.1. У </w:t>
      </w:r>
      <w:proofErr w:type="spellStart"/>
      <w:r w:rsidRPr="00E16672">
        <w:rPr>
          <w:rFonts w:ascii="Times New Roman" w:hAnsi="Times New Roman"/>
          <w:color w:val="000000"/>
          <w:szCs w:val="20"/>
        </w:rPr>
        <w:t>термін</w:t>
      </w:r>
      <w:proofErr w:type="spellEnd"/>
      <w:r w:rsidRPr="00E16672">
        <w:rPr>
          <w:rFonts w:ascii="Times New Roman" w:hAnsi="Times New Roman"/>
          <w:color w:val="000000"/>
          <w:szCs w:val="20"/>
        </w:rPr>
        <w:t xml:space="preserve"> не </w:t>
      </w:r>
      <w:proofErr w:type="spellStart"/>
      <w:r w:rsidRPr="00E16672">
        <w:rPr>
          <w:rFonts w:ascii="Times New Roman" w:hAnsi="Times New Roman"/>
          <w:color w:val="000000"/>
          <w:szCs w:val="20"/>
        </w:rPr>
        <w:t>пізніше</w:t>
      </w:r>
      <w:proofErr w:type="spellEnd"/>
      <w:r w:rsidRPr="00E16672">
        <w:rPr>
          <w:rFonts w:ascii="Times New Roman" w:hAnsi="Times New Roman"/>
          <w:color w:val="000000"/>
          <w:szCs w:val="20"/>
        </w:rPr>
        <w:t xml:space="preserve"> десяти </w:t>
      </w:r>
      <w:proofErr w:type="spellStart"/>
      <w:r w:rsidRPr="00E16672">
        <w:rPr>
          <w:rFonts w:ascii="Times New Roman" w:hAnsi="Times New Roman"/>
          <w:color w:val="000000"/>
          <w:szCs w:val="20"/>
        </w:rPr>
        <w:t>робочих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днів</w:t>
      </w:r>
      <w:proofErr w:type="spellEnd"/>
      <w:r w:rsidRPr="00E16672">
        <w:rPr>
          <w:rFonts w:ascii="Times New Roman" w:hAnsi="Times New Roman"/>
          <w:color w:val="000000"/>
          <w:szCs w:val="20"/>
        </w:rPr>
        <w:t xml:space="preserve">  з моменту </w:t>
      </w:r>
      <w:proofErr w:type="spellStart"/>
      <w:r w:rsidRPr="00E16672">
        <w:rPr>
          <w:rFonts w:ascii="Times New Roman" w:hAnsi="Times New Roman"/>
          <w:color w:val="000000"/>
          <w:szCs w:val="20"/>
        </w:rPr>
        <w:t>надходження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відповідних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коштів</w:t>
      </w:r>
      <w:proofErr w:type="spellEnd"/>
      <w:r w:rsidRPr="00E16672">
        <w:rPr>
          <w:rFonts w:ascii="Times New Roman" w:hAnsi="Times New Roman"/>
          <w:color w:val="000000"/>
          <w:szCs w:val="20"/>
        </w:rPr>
        <w:t xml:space="preserve"> на </w:t>
      </w:r>
      <w:proofErr w:type="spellStart"/>
      <w:r w:rsidRPr="00E16672">
        <w:rPr>
          <w:rFonts w:ascii="Times New Roman" w:hAnsi="Times New Roman"/>
          <w:color w:val="000000"/>
          <w:szCs w:val="20"/>
        </w:rPr>
        <w:t>грошовий</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рахунок</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Депозитарної</w:t>
      </w:r>
      <w:proofErr w:type="spellEnd"/>
      <w:r w:rsidRPr="00E16672">
        <w:rPr>
          <w:rFonts w:ascii="Times New Roman" w:hAnsi="Times New Roman"/>
          <w:color w:val="000000"/>
          <w:szCs w:val="20"/>
        </w:rPr>
        <w:t xml:space="preserve"> установи, </w:t>
      </w:r>
      <w:proofErr w:type="spellStart"/>
      <w:r w:rsidRPr="00E16672">
        <w:rPr>
          <w:rFonts w:ascii="Times New Roman" w:hAnsi="Times New Roman"/>
          <w:color w:val="000000"/>
          <w:szCs w:val="20"/>
        </w:rPr>
        <w:t>отримання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розпорядження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від</w:t>
      </w:r>
      <w:proofErr w:type="spellEnd"/>
      <w:r w:rsidRPr="00E16672">
        <w:rPr>
          <w:rFonts w:ascii="Times New Roman" w:hAnsi="Times New Roman"/>
          <w:color w:val="000000"/>
          <w:szCs w:val="20"/>
        </w:rPr>
        <w:t xml:space="preserve"> Центрального </w:t>
      </w:r>
      <w:proofErr w:type="spellStart"/>
      <w:r w:rsidRPr="00E16672">
        <w:rPr>
          <w:rFonts w:ascii="Times New Roman" w:hAnsi="Times New Roman"/>
          <w:color w:val="000000"/>
          <w:szCs w:val="20"/>
        </w:rPr>
        <w:t>депозитарію</w:t>
      </w:r>
      <w:proofErr w:type="spellEnd"/>
      <w:r w:rsidRPr="00E16672">
        <w:rPr>
          <w:rFonts w:ascii="Times New Roman" w:hAnsi="Times New Roman"/>
          <w:color w:val="000000"/>
          <w:szCs w:val="20"/>
        </w:rPr>
        <w:t xml:space="preserve"> та </w:t>
      </w:r>
      <w:proofErr w:type="spellStart"/>
      <w:r w:rsidRPr="00E16672">
        <w:rPr>
          <w:rFonts w:ascii="Times New Roman" w:hAnsi="Times New Roman"/>
          <w:color w:val="000000"/>
          <w:szCs w:val="20"/>
        </w:rPr>
        <w:t>інших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документів</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згідно</w:t>
      </w:r>
      <w:proofErr w:type="spellEnd"/>
      <w:r w:rsidRPr="00E16672">
        <w:rPr>
          <w:rFonts w:ascii="Times New Roman" w:hAnsi="Times New Roman"/>
          <w:color w:val="000000"/>
          <w:szCs w:val="20"/>
        </w:rPr>
        <w:t xml:space="preserve"> чинного </w:t>
      </w:r>
      <w:proofErr w:type="spellStart"/>
      <w:r w:rsidRPr="00E16672">
        <w:rPr>
          <w:rFonts w:ascii="Times New Roman" w:hAnsi="Times New Roman"/>
          <w:color w:val="000000"/>
          <w:szCs w:val="20"/>
        </w:rPr>
        <w:t>законодавства</w:t>
      </w:r>
      <w:proofErr w:type="spellEnd"/>
      <w:r w:rsidRPr="00E16672">
        <w:rPr>
          <w:rFonts w:ascii="Times New Roman" w:hAnsi="Times New Roman"/>
          <w:color w:val="000000"/>
          <w:szCs w:val="20"/>
        </w:rPr>
        <w:t xml:space="preserve"> та регламенту Центрального </w:t>
      </w:r>
      <w:proofErr w:type="spellStart"/>
      <w:r w:rsidRPr="00E16672">
        <w:rPr>
          <w:rFonts w:ascii="Times New Roman" w:hAnsi="Times New Roman"/>
          <w:color w:val="000000"/>
          <w:szCs w:val="20"/>
        </w:rPr>
        <w:t>депозитарію</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Депозитарна</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установа</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здійснює</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виплату</w:t>
      </w:r>
      <w:proofErr w:type="spellEnd"/>
      <w:r w:rsidRPr="00E16672">
        <w:rPr>
          <w:rFonts w:ascii="Times New Roman" w:hAnsi="Times New Roman"/>
          <w:color w:val="000000"/>
          <w:szCs w:val="20"/>
        </w:rPr>
        <w:t xml:space="preserve"> доходу за </w:t>
      </w:r>
      <w:proofErr w:type="spellStart"/>
      <w:r w:rsidRPr="00E16672">
        <w:rPr>
          <w:rFonts w:ascii="Times New Roman" w:hAnsi="Times New Roman"/>
          <w:color w:val="000000"/>
          <w:szCs w:val="20"/>
        </w:rPr>
        <w:t>цінними</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паперами</w:t>
      </w:r>
      <w:proofErr w:type="spellEnd"/>
      <w:r w:rsidRPr="00E16672">
        <w:rPr>
          <w:rFonts w:ascii="Times New Roman" w:hAnsi="Times New Roman"/>
          <w:color w:val="000000"/>
          <w:szCs w:val="20"/>
        </w:rPr>
        <w:t xml:space="preserve"> – </w:t>
      </w:r>
      <w:proofErr w:type="spellStart"/>
      <w:r w:rsidRPr="00E16672">
        <w:rPr>
          <w:rFonts w:ascii="Times New Roman" w:hAnsi="Times New Roman"/>
          <w:color w:val="000000"/>
          <w:szCs w:val="20"/>
        </w:rPr>
        <w:t>грошових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коштів</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отриманих</w:t>
      </w:r>
      <w:proofErr w:type="spellEnd"/>
      <w:r w:rsidRPr="00E16672">
        <w:rPr>
          <w:rFonts w:ascii="Times New Roman" w:hAnsi="Times New Roman"/>
          <w:color w:val="000000"/>
          <w:szCs w:val="20"/>
        </w:rPr>
        <w:t xml:space="preserve"> Депонентом за результатами </w:t>
      </w:r>
      <w:proofErr w:type="spellStart"/>
      <w:r w:rsidRPr="00E16672">
        <w:rPr>
          <w:rFonts w:ascii="Times New Roman" w:hAnsi="Times New Roman"/>
          <w:color w:val="000000"/>
          <w:szCs w:val="20"/>
        </w:rPr>
        <w:t>проведення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корпоративних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операцій</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емітента</w:t>
      </w:r>
      <w:proofErr w:type="spellEnd"/>
      <w:r w:rsidRPr="00E16672">
        <w:rPr>
          <w:rFonts w:ascii="Times New Roman" w:hAnsi="Times New Roman"/>
          <w:color w:val="000000"/>
          <w:szCs w:val="20"/>
        </w:rPr>
        <w:t xml:space="preserve">, шляхом </w:t>
      </w:r>
      <w:proofErr w:type="spellStart"/>
      <w:r w:rsidRPr="00E16672">
        <w:rPr>
          <w:rFonts w:ascii="Times New Roman" w:hAnsi="Times New Roman"/>
          <w:color w:val="000000"/>
          <w:szCs w:val="20"/>
        </w:rPr>
        <w:t>перерахування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грошових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коштів</w:t>
      </w:r>
      <w:proofErr w:type="spellEnd"/>
      <w:r w:rsidRPr="00E16672">
        <w:rPr>
          <w:rFonts w:ascii="Times New Roman" w:hAnsi="Times New Roman"/>
          <w:color w:val="000000"/>
          <w:szCs w:val="20"/>
        </w:rPr>
        <w:t xml:space="preserve"> на </w:t>
      </w:r>
      <w:proofErr w:type="spellStart"/>
      <w:r w:rsidRPr="00E16672">
        <w:rPr>
          <w:rFonts w:ascii="Times New Roman" w:hAnsi="Times New Roman"/>
          <w:color w:val="000000"/>
          <w:szCs w:val="20"/>
        </w:rPr>
        <w:t>грошовий</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банківський</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рахунок</w:t>
      </w:r>
      <w:proofErr w:type="spellEnd"/>
      <w:r w:rsidRPr="00E16672">
        <w:rPr>
          <w:rFonts w:ascii="Times New Roman" w:hAnsi="Times New Roman"/>
          <w:color w:val="000000"/>
          <w:szCs w:val="20"/>
        </w:rPr>
        <w:t xml:space="preserve"> Депонента, </w:t>
      </w:r>
      <w:proofErr w:type="spellStart"/>
      <w:r w:rsidRPr="00E16672">
        <w:rPr>
          <w:rFonts w:ascii="Times New Roman" w:hAnsi="Times New Roman"/>
          <w:color w:val="000000"/>
          <w:szCs w:val="20"/>
        </w:rPr>
        <w:t>реквізити</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якого</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зазначені</w:t>
      </w:r>
      <w:proofErr w:type="spellEnd"/>
      <w:r w:rsidRPr="00E16672">
        <w:rPr>
          <w:rFonts w:ascii="Times New Roman" w:hAnsi="Times New Roman"/>
          <w:color w:val="000000"/>
          <w:szCs w:val="20"/>
        </w:rPr>
        <w:t xml:space="preserve">  в </w:t>
      </w:r>
      <w:proofErr w:type="spellStart"/>
      <w:r w:rsidRPr="00E16672">
        <w:rPr>
          <w:rFonts w:ascii="Times New Roman" w:hAnsi="Times New Roman"/>
          <w:color w:val="000000"/>
          <w:szCs w:val="20"/>
        </w:rPr>
        <w:t>анкеті</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рахунк</w:t>
      </w:r>
      <w:proofErr w:type="spellEnd"/>
      <w:r w:rsidR="005C08DC" w:rsidRPr="00E16672">
        <w:rPr>
          <w:rFonts w:ascii="Times New Roman" w:hAnsi="Times New Roman"/>
          <w:color w:val="000000"/>
          <w:szCs w:val="20"/>
          <w:lang w:val="uk-UA"/>
        </w:rPr>
        <w:t>у</w:t>
      </w:r>
      <w:r w:rsidRPr="00E16672">
        <w:rPr>
          <w:rFonts w:ascii="Times New Roman" w:hAnsi="Times New Roman"/>
          <w:color w:val="000000"/>
          <w:szCs w:val="20"/>
        </w:rPr>
        <w:t xml:space="preserve"> </w:t>
      </w:r>
      <w:r w:rsidR="00C22309" w:rsidRPr="00E16672">
        <w:rPr>
          <w:rFonts w:ascii="Times New Roman" w:hAnsi="Times New Roman"/>
          <w:color w:val="000000"/>
          <w:szCs w:val="20"/>
        </w:rPr>
        <w:t xml:space="preserve">в </w:t>
      </w:r>
      <w:proofErr w:type="spellStart"/>
      <w:r w:rsidR="00C22309" w:rsidRPr="00E16672">
        <w:rPr>
          <w:rFonts w:ascii="Times New Roman" w:hAnsi="Times New Roman"/>
          <w:color w:val="000000"/>
          <w:szCs w:val="20"/>
        </w:rPr>
        <w:t>цін</w:t>
      </w:r>
      <w:r w:rsidRPr="00E16672">
        <w:rPr>
          <w:rFonts w:ascii="Times New Roman" w:hAnsi="Times New Roman"/>
          <w:color w:val="000000"/>
          <w:szCs w:val="20"/>
        </w:rPr>
        <w:t>них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паперах</w:t>
      </w:r>
      <w:proofErr w:type="spellEnd"/>
      <w:r w:rsidRPr="00E16672">
        <w:rPr>
          <w:rFonts w:ascii="Times New Roman" w:hAnsi="Times New Roman"/>
          <w:color w:val="000000"/>
          <w:szCs w:val="20"/>
        </w:rPr>
        <w:t xml:space="preserve"> Депонента.</w:t>
      </w:r>
    </w:p>
    <w:p w14:paraId="65419B93" w14:textId="77777777" w:rsidR="00CA224D" w:rsidRPr="00E16672" w:rsidRDefault="00CA224D" w:rsidP="00CA224D">
      <w:pPr>
        <w:rPr>
          <w:rFonts w:ascii="Times New Roman" w:hAnsi="Times New Roman"/>
          <w:color w:val="000000"/>
          <w:szCs w:val="20"/>
        </w:rPr>
      </w:pPr>
      <w:proofErr w:type="spellStart"/>
      <w:r w:rsidRPr="00E16672">
        <w:rPr>
          <w:rFonts w:ascii="Times New Roman" w:hAnsi="Times New Roman"/>
          <w:color w:val="000000"/>
          <w:szCs w:val="20"/>
        </w:rPr>
        <w:t>Якщо</w:t>
      </w:r>
      <w:proofErr w:type="spellEnd"/>
      <w:r w:rsidRPr="00E16672">
        <w:rPr>
          <w:rFonts w:ascii="Times New Roman" w:hAnsi="Times New Roman"/>
          <w:color w:val="000000"/>
          <w:szCs w:val="20"/>
        </w:rPr>
        <w:t xml:space="preserve"> в </w:t>
      </w:r>
      <w:proofErr w:type="spellStart"/>
      <w:r w:rsidRPr="00E16672">
        <w:rPr>
          <w:rFonts w:ascii="Times New Roman" w:hAnsi="Times New Roman"/>
          <w:color w:val="000000"/>
          <w:szCs w:val="20"/>
        </w:rPr>
        <w:t>анкеті</w:t>
      </w:r>
      <w:proofErr w:type="spellEnd"/>
      <w:r w:rsidRPr="00E16672">
        <w:rPr>
          <w:rFonts w:ascii="Times New Roman" w:hAnsi="Times New Roman"/>
          <w:color w:val="000000"/>
          <w:szCs w:val="20"/>
        </w:rPr>
        <w:t xml:space="preserve"> Депонента </w:t>
      </w:r>
      <w:proofErr w:type="spellStart"/>
      <w:r w:rsidRPr="00E16672">
        <w:rPr>
          <w:rFonts w:ascii="Times New Roman" w:hAnsi="Times New Roman"/>
          <w:color w:val="000000"/>
          <w:szCs w:val="20"/>
        </w:rPr>
        <w:t>відсутні</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реквізити</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діючого</w:t>
      </w:r>
      <w:proofErr w:type="spellEnd"/>
      <w:r w:rsidRPr="00E16672">
        <w:rPr>
          <w:rFonts w:ascii="Times New Roman" w:hAnsi="Times New Roman"/>
          <w:color w:val="000000"/>
          <w:szCs w:val="20"/>
        </w:rPr>
        <w:t xml:space="preserve"> грошового </w:t>
      </w:r>
      <w:proofErr w:type="spellStart"/>
      <w:r w:rsidRPr="00E16672">
        <w:rPr>
          <w:rFonts w:ascii="Times New Roman" w:hAnsi="Times New Roman"/>
          <w:color w:val="000000"/>
          <w:szCs w:val="20"/>
        </w:rPr>
        <w:t>банківського</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рахунку</w:t>
      </w:r>
      <w:proofErr w:type="spellEnd"/>
      <w:r w:rsidRPr="00E16672">
        <w:rPr>
          <w:rFonts w:ascii="Times New Roman" w:hAnsi="Times New Roman"/>
          <w:color w:val="000000"/>
          <w:szCs w:val="20"/>
        </w:rPr>
        <w:t xml:space="preserve"> на дату </w:t>
      </w:r>
      <w:proofErr w:type="spellStart"/>
      <w:r w:rsidRPr="00E16672">
        <w:rPr>
          <w:rFonts w:ascii="Times New Roman" w:hAnsi="Times New Roman"/>
          <w:color w:val="000000"/>
          <w:szCs w:val="20"/>
        </w:rPr>
        <w:t>надходження</w:t>
      </w:r>
      <w:proofErr w:type="spellEnd"/>
      <w:r w:rsidRPr="00E16672">
        <w:rPr>
          <w:rFonts w:ascii="Times New Roman" w:hAnsi="Times New Roman"/>
          <w:color w:val="000000"/>
          <w:szCs w:val="20"/>
        </w:rPr>
        <w:t xml:space="preserve"> до </w:t>
      </w:r>
      <w:proofErr w:type="spellStart"/>
      <w:r w:rsidRPr="00E16672">
        <w:rPr>
          <w:rFonts w:ascii="Times New Roman" w:hAnsi="Times New Roman"/>
          <w:color w:val="000000"/>
          <w:szCs w:val="20"/>
        </w:rPr>
        <w:t>Депозитарної</w:t>
      </w:r>
      <w:proofErr w:type="spellEnd"/>
      <w:r w:rsidRPr="00E16672">
        <w:rPr>
          <w:rFonts w:ascii="Times New Roman" w:hAnsi="Times New Roman"/>
          <w:color w:val="000000"/>
          <w:szCs w:val="20"/>
        </w:rPr>
        <w:t xml:space="preserve"> установи </w:t>
      </w:r>
      <w:proofErr w:type="spellStart"/>
      <w:r w:rsidRPr="00E16672">
        <w:rPr>
          <w:rFonts w:ascii="Times New Roman" w:hAnsi="Times New Roman"/>
          <w:color w:val="000000"/>
          <w:szCs w:val="20"/>
        </w:rPr>
        <w:t>відповідних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коштів</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виплата</w:t>
      </w:r>
      <w:proofErr w:type="spellEnd"/>
      <w:r w:rsidRPr="00E16672">
        <w:rPr>
          <w:rFonts w:ascii="Times New Roman" w:hAnsi="Times New Roman"/>
          <w:color w:val="000000"/>
          <w:szCs w:val="20"/>
        </w:rPr>
        <w:t xml:space="preserve"> доходу за </w:t>
      </w:r>
      <w:proofErr w:type="spellStart"/>
      <w:r w:rsidRPr="00E16672">
        <w:rPr>
          <w:rFonts w:ascii="Times New Roman" w:hAnsi="Times New Roman"/>
          <w:color w:val="000000"/>
          <w:szCs w:val="20"/>
        </w:rPr>
        <w:t>цінними</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паперами</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здійснюється</w:t>
      </w:r>
      <w:proofErr w:type="spellEnd"/>
      <w:r w:rsidRPr="00E16672">
        <w:rPr>
          <w:rFonts w:ascii="Times New Roman" w:hAnsi="Times New Roman"/>
          <w:color w:val="000000"/>
          <w:szCs w:val="20"/>
        </w:rPr>
        <w:t xml:space="preserve"> не </w:t>
      </w:r>
      <w:proofErr w:type="spellStart"/>
      <w:r w:rsidRPr="00E16672">
        <w:rPr>
          <w:rFonts w:ascii="Times New Roman" w:hAnsi="Times New Roman"/>
          <w:color w:val="000000"/>
          <w:szCs w:val="20"/>
        </w:rPr>
        <w:t>пізніше</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ніж</w:t>
      </w:r>
      <w:proofErr w:type="spellEnd"/>
      <w:r w:rsidRPr="00E16672">
        <w:rPr>
          <w:rFonts w:ascii="Times New Roman" w:hAnsi="Times New Roman"/>
          <w:color w:val="000000"/>
          <w:szCs w:val="20"/>
        </w:rPr>
        <w:t xml:space="preserve"> за десять </w:t>
      </w:r>
      <w:proofErr w:type="spellStart"/>
      <w:r w:rsidRPr="00E16672">
        <w:rPr>
          <w:rFonts w:ascii="Times New Roman" w:hAnsi="Times New Roman"/>
          <w:color w:val="000000"/>
          <w:szCs w:val="20"/>
        </w:rPr>
        <w:t>робочих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днів</w:t>
      </w:r>
      <w:proofErr w:type="spellEnd"/>
      <w:r w:rsidRPr="00E16672">
        <w:rPr>
          <w:rFonts w:ascii="Times New Roman" w:hAnsi="Times New Roman"/>
          <w:color w:val="000000"/>
          <w:szCs w:val="20"/>
        </w:rPr>
        <w:t xml:space="preserve"> до </w:t>
      </w:r>
      <w:proofErr w:type="spellStart"/>
      <w:r w:rsidRPr="00E16672">
        <w:rPr>
          <w:rFonts w:ascii="Times New Roman" w:hAnsi="Times New Roman"/>
          <w:color w:val="000000"/>
          <w:szCs w:val="20"/>
        </w:rPr>
        <w:t>закінчення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шестимісячного</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терміну</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знаходження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коштів</w:t>
      </w:r>
      <w:proofErr w:type="spellEnd"/>
      <w:r w:rsidRPr="00E16672">
        <w:rPr>
          <w:rFonts w:ascii="Times New Roman" w:hAnsi="Times New Roman"/>
          <w:color w:val="000000"/>
          <w:szCs w:val="20"/>
        </w:rPr>
        <w:t xml:space="preserve"> у </w:t>
      </w:r>
      <w:proofErr w:type="spellStart"/>
      <w:r w:rsidRPr="00E16672">
        <w:rPr>
          <w:rFonts w:ascii="Times New Roman" w:hAnsi="Times New Roman"/>
          <w:color w:val="000000"/>
          <w:szCs w:val="20"/>
        </w:rPr>
        <w:t>Депозитарній</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установі</w:t>
      </w:r>
      <w:proofErr w:type="spellEnd"/>
      <w:r w:rsidRPr="00E16672">
        <w:rPr>
          <w:rFonts w:ascii="Times New Roman" w:hAnsi="Times New Roman"/>
          <w:color w:val="000000"/>
          <w:szCs w:val="20"/>
        </w:rPr>
        <w:t xml:space="preserve"> у </w:t>
      </w:r>
      <w:proofErr w:type="spellStart"/>
      <w:r w:rsidRPr="00E16672">
        <w:rPr>
          <w:rFonts w:ascii="Times New Roman" w:hAnsi="Times New Roman"/>
          <w:color w:val="000000"/>
          <w:szCs w:val="20"/>
        </w:rPr>
        <w:t>разі</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внесення</w:t>
      </w:r>
      <w:proofErr w:type="spellEnd"/>
      <w:r w:rsidRPr="00E16672">
        <w:rPr>
          <w:rFonts w:ascii="Times New Roman" w:hAnsi="Times New Roman"/>
          <w:color w:val="000000"/>
          <w:szCs w:val="20"/>
        </w:rPr>
        <w:t xml:space="preserve"> Депонентом до </w:t>
      </w:r>
      <w:proofErr w:type="spellStart"/>
      <w:r w:rsidRPr="00E16672">
        <w:rPr>
          <w:rFonts w:ascii="Times New Roman" w:hAnsi="Times New Roman"/>
          <w:color w:val="000000"/>
          <w:szCs w:val="20"/>
        </w:rPr>
        <w:t>анкети</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рахунку</w:t>
      </w:r>
      <w:proofErr w:type="spellEnd"/>
      <w:r w:rsidRPr="00E16672">
        <w:rPr>
          <w:rFonts w:ascii="Times New Roman" w:hAnsi="Times New Roman"/>
          <w:color w:val="000000"/>
          <w:szCs w:val="20"/>
        </w:rPr>
        <w:t xml:space="preserve"> </w:t>
      </w:r>
      <w:r w:rsidR="00C22309" w:rsidRPr="00E16672">
        <w:rPr>
          <w:rFonts w:ascii="Times New Roman" w:hAnsi="Times New Roman"/>
          <w:color w:val="000000"/>
          <w:szCs w:val="20"/>
        </w:rPr>
        <w:t xml:space="preserve">в </w:t>
      </w:r>
      <w:proofErr w:type="spellStart"/>
      <w:r w:rsidR="00C22309" w:rsidRPr="00E16672">
        <w:rPr>
          <w:rFonts w:ascii="Times New Roman" w:hAnsi="Times New Roman"/>
          <w:color w:val="000000"/>
          <w:szCs w:val="20"/>
        </w:rPr>
        <w:t>цін</w:t>
      </w:r>
      <w:r w:rsidRPr="00E16672">
        <w:rPr>
          <w:rFonts w:ascii="Times New Roman" w:hAnsi="Times New Roman"/>
          <w:color w:val="000000"/>
          <w:szCs w:val="20"/>
        </w:rPr>
        <w:t>них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паперах</w:t>
      </w:r>
      <w:proofErr w:type="spellEnd"/>
      <w:r w:rsidRPr="00E16672">
        <w:rPr>
          <w:rFonts w:ascii="Times New Roman" w:hAnsi="Times New Roman"/>
          <w:color w:val="000000"/>
          <w:szCs w:val="20"/>
        </w:rPr>
        <w:t xml:space="preserve"> не </w:t>
      </w:r>
      <w:proofErr w:type="spellStart"/>
      <w:r w:rsidRPr="00E16672">
        <w:rPr>
          <w:rFonts w:ascii="Times New Roman" w:hAnsi="Times New Roman"/>
          <w:color w:val="000000"/>
          <w:szCs w:val="20"/>
        </w:rPr>
        <w:t>пізніше</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ніж</w:t>
      </w:r>
      <w:proofErr w:type="spellEnd"/>
      <w:r w:rsidRPr="00E16672">
        <w:rPr>
          <w:rFonts w:ascii="Times New Roman" w:hAnsi="Times New Roman"/>
          <w:color w:val="000000"/>
          <w:szCs w:val="20"/>
        </w:rPr>
        <w:t xml:space="preserve"> за </w:t>
      </w:r>
      <w:proofErr w:type="spellStart"/>
      <w:r w:rsidRPr="00E16672">
        <w:rPr>
          <w:rFonts w:ascii="Times New Roman" w:hAnsi="Times New Roman"/>
          <w:color w:val="000000"/>
          <w:szCs w:val="20"/>
        </w:rPr>
        <w:t>п'ятнадцять</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робочих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днів</w:t>
      </w:r>
      <w:proofErr w:type="spellEnd"/>
      <w:r w:rsidRPr="00E16672">
        <w:rPr>
          <w:rFonts w:ascii="Times New Roman" w:hAnsi="Times New Roman"/>
          <w:color w:val="000000"/>
          <w:szCs w:val="20"/>
        </w:rPr>
        <w:t xml:space="preserve"> до </w:t>
      </w:r>
      <w:proofErr w:type="spellStart"/>
      <w:r w:rsidRPr="00E16672">
        <w:rPr>
          <w:rFonts w:ascii="Times New Roman" w:hAnsi="Times New Roman"/>
          <w:color w:val="000000"/>
          <w:szCs w:val="20"/>
        </w:rPr>
        <w:t>закінчення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зазначеного</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терміну</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інформації</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щодо</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діючого</w:t>
      </w:r>
      <w:proofErr w:type="spellEnd"/>
      <w:r w:rsidRPr="00E16672">
        <w:rPr>
          <w:rFonts w:ascii="Times New Roman" w:hAnsi="Times New Roman"/>
          <w:color w:val="000000"/>
          <w:szCs w:val="20"/>
        </w:rPr>
        <w:t xml:space="preserve"> грошового </w:t>
      </w:r>
      <w:proofErr w:type="spellStart"/>
      <w:r w:rsidRPr="00E16672">
        <w:rPr>
          <w:rFonts w:ascii="Times New Roman" w:hAnsi="Times New Roman"/>
          <w:color w:val="000000"/>
          <w:szCs w:val="20"/>
        </w:rPr>
        <w:t>банківського</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рахунку</w:t>
      </w:r>
      <w:proofErr w:type="spellEnd"/>
      <w:r w:rsidRPr="00E16672">
        <w:rPr>
          <w:rFonts w:ascii="Times New Roman" w:hAnsi="Times New Roman"/>
          <w:color w:val="000000"/>
          <w:szCs w:val="20"/>
        </w:rPr>
        <w:t xml:space="preserve">. </w:t>
      </w:r>
    </w:p>
    <w:p w14:paraId="20FA40BA" w14:textId="77777777" w:rsidR="00CA224D" w:rsidRPr="00E16672" w:rsidRDefault="00CA224D" w:rsidP="00CA224D">
      <w:pPr>
        <w:rPr>
          <w:rFonts w:ascii="Times New Roman" w:hAnsi="Times New Roman"/>
          <w:color w:val="000000"/>
          <w:szCs w:val="20"/>
        </w:rPr>
      </w:pPr>
      <w:proofErr w:type="spellStart"/>
      <w:r w:rsidRPr="00E16672">
        <w:rPr>
          <w:rFonts w:ascii="Times New Roman" w:hAnsi="Times New Roman"/>
          <w:color w:val="000000"/>
          <w:szCs w:val="20"/>
        </w:rPr>
        <w:t>Щодо</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коштів</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які</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надійшли</w:t>
      </w:r>
      <w:proofErr w:type="spellEnd"/>
      <w:r w:rsidRPr="00E16672">
        <w:rPr>
          <w:rFonts w:ascii="Times New Roman" w:hAnsi="Times New Roman"/>
          <w:color w:val="000000"/>
          <w:szCs w:val="20"/>
        </w:rPr>
        <w:t xml:space="preserve"> на </w:t>
      </w:r>
      <w:proofErr w:type="spellStart"/>
      <w:r w:rsidRPr="00E16672">
        <w:rPr>
          <w:rFonts w:ascii="Times New Roman" w:hAnsi="Times New Roman"/>
          <w:color w:val="000000"/>
          <w:szCs w:val="20"/>
        </w:rPr>
        <w:t>грошовий</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рахунок</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Депозитарної</w:t>
      </w:r>
      <w:proofErr w:type="spellEnd"/>
      <w:r w:rsidRPr="00E16672">
        <w:rPr>
          <w:rFonts w:ascii="Times New Roman" w:hAnsi="Times New Roman"/>
          <w:color w:val="000000"/>
          <w:szCs w:val="20"/>
        </w:rPr>
        <w:t xml:space="preserve"> установи з метою </w:t>
      </w:r>
      <w:proofErr w:type="spellStart"/>
      <w:r w:rsidRPr="00E16672">
        <w:rPr>
          <w:rFonts w:ascii="Times New Roman" w:hAnsi="Times New Roman"/>
          <w:color w:val="000000"/>
          <w:szCs w:val="20"/>
        </w:rPr>
        <w:t>їх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подальшого</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переказу</w:t>
      </w:r>
      <w:proofErr w:type="spellEnd"/>
      <w:r w:rsidRPr="00E16672">
        <w:rPr>
          <w:rFonts w:ascii="Times New Roman" w:hAnsi="Times New Roman"/>
          <w:color w:val="000000"/>
          <w:szCs w:val="20"/>
        </w:rPr>
        <w:t xml:space="preserve"> та не </w:t>
      </w:r>
      <w:proofErr w:type="spellStart"/>
      <w:r w:rsidRPr="00E16672">
        <w:rPr>
          <w:rFonts w:ascii="Times New Roman" w:hAnsi="Times New Roman"/>
          <w:color w:val="000000"/>
          <w:szCs w:val="20"/>
        </w:rPr>
        <w:t>були</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виплачені</w:t>
      </w:r>
      <w:proofErr w:type="spellEnd"/>
      <w:r w:rsidRPr="00E16672">
        <w:rPr>
          <w:rFonts w:ascii="Times New Roman" w:hAnsi="Times New Roman"/>
          <w:color w:val="000000"/>
          <w:szCs w:val="20"/>
        </w:rPr>
        <w:t xml:space="preserve"> Депоненту через </w:t>
      </w:r>
      <w:proofErr w:type="spellStart"/>
      <w:r w:rsidRPr="00E16672">
        <w:rPr>
          <w:rFonts w:ascii="Times New Roman" w:hAnsi="Times New Roman"/>
          <w:color w:val="000000"/>
          <w:szCs w:val="20"/>
        </w:rPr>
        <w:t>незалежні</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від</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Депозитарної</w:t>
      </w:r>
      <w:proofErr w:type="spellEnd"/>
      <w:r w:rsidRPr="00E16672">
        <w:rPr>
          <w:rFonts w:ascii="Times New Roman" w:hAnsi="Times New Roman"/>
          <w:color w:val="000000"/>
          <w:szCs w:val="20"/>
        </w:rPr>
        <w:t xml:space="preserve"> установи </w:t>
      </w:r>
      <w:proofErr w:type="spellStart"/>
      <w:r w:rsidRPr="00E16672">
        <w:rPr>
          <w:rFonts w:ascii="Times New Roman" w:hAnsi="Times New Roman"/>
          <w:color w:val="000000"/>
          <w:szCs w:val="20"/>
        </w:rPr>
        <w:t>обставини</w:t>
      </w:r>
      <w:proofErr w:type="spellEnd"/>
      <w:r w:rsidRPr="00E16672">
        <w:rPr>
          <w:rFonts w:ascii="Times New Roman" w:hAnsi="Times New Roman"/>
          <w:color w:val="000000"/>
          <w:szCs w:val="20"/>
        </w:rPr>
        <w:t xml:space="preserve"> у </w:t>
      </w:r>
      <w:proofErr w:type="spellStart"/>
      <w:r w:rsidRPr="00E16672">
        <w:rPr>
          <w:rFonts w:ascii="Times New Roman" w:hAnsi="Times New Roman"/>
          <w:color w:val="000000"/>
          <w:szCs w:val="20"/>
        </w:rPr>
        <w:t>разі</w:t>
      </w:r>
      <w:proofErr w:type="spellEnd"/>
      <w:r w:rsidRPr="00E16672">
        <w:rPr>
          <w:rFonts w:ascii="Times New Roman" w:hAnsi="Times New Roman"/>
          <w:color w:val="000000"/>
          <w:szCs w:val="20"/>
        </w:rPr>
        <w:t xml:space="preserve"> не </w:t>
      </w:r>
      <w:proofErr w:type="spellStart"/>
      <w:r w:rsidRPr="00E16672">
        <w:rPr>
          <w:rFonts w:ascii="Times New Roman" w:hAnsi="Times New Roman"/>
          <w:color w:val="000000"/>
          <w:szCs w:val="20"/>
        </w:rPr>
        <w:t>вчинення</w:t>
      </w:r>
      <w:proofErr w:type="spellEnd"/>
      <w:r w:rsidRPr="00E16672">
        <w:rPr>
          <w:rFonts w:ascii="Times New Roman" w:hAnsi="Times New Roman"/>
          <w:color w:val="000000"/>
          <w:szCs w:val="20"/>
        </w:rPr>
        <w:t xml:space="preserve"> Депонентом </w:t>
      </w:r>
      <w:proofErr w:type="spellStart"/>
      <w:r w:rsidRPr="00E16672">
        <w:rPr>
          <w:rFonts w:ascii="Times New Roman" w:hAnsi="Times New Roman"/>
          <w:color w:val="000000"/>
          <w:szCs w:val="20"/>
        </w:rPr>
        <w:t>необхідних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дій</w:t>
      </w:r>
      <w:proofErr w:type="spellEnd"/>
      <w:r w:rsidRPr="00E16672">
        <w:rPr>
          <w:rFonts w:ascii="Times New Roman" w:hAnsi="Times New Roman"/>
          <w:color w:val="000000"/>
          <w:szCs w:val="20"/>
        </w:rPr>
        <w:t xml:space="preserve"> для </w:t>
      </w:r>
      <w:proofErr w:type="spellStart"/>
      <w:r w:rsidRPr="00E16672">
        <w:rPr>
          <w:rFonts w:ascii="Times New Roman" w:hAnsi="Times New Roman"/>
          <w:color w:val="000000"/>
          <w:szCs w:val="20"/>
        </w:rPr>
        <w:t>їх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отримання</w:t>
      </w:r>
      <w:proofErr w:type="spellEnd"/>
      <w:r w:rsidRPr="00E16672">
        <w:rPr>
          <w:rFonts w:ascii="Times New Roman" w:hAnsi="Times New Roman"/>
          <w:color w:val="000000"/>
          <w:szCs w:val="20"/>
        </w:rPr>
        <w:t xml:space="preserve">, Депозитарною </w:t>
      </w:r>
      <w:proofErr w:type="spellStart"/>
      <w:r w:rsidRPr="00E16672">
        <w:rPr>
          <w:rFonts w:ascii="Times New Roman" w:hAnsi="Times New Roman"/>
          <w:color w:val="000000"/>
          <w:szCs w:val="20"/>
        </w:rPr>
        <w:t>установою</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вчиняються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дії</w:t>
      </w:r>
      <w:proofErr w:type="spellEnd"/>
      <w:r w:rsidRPr="00E16672">
        <w:rPr>
          <w:rFonts w:ascii="Times New Roman" w:hAnsi="Times New Roman"/>
          <w:color w:val="000000"/>
          <w:szCs w:val="20"/>
        </w:rPr>
        <w:t xml:space="preserve"> </w:t>
      </w:r>
      <w:proofErr w:type="gramStart"/>
      <w:r w:rsidRPr="00E16672">
        <w:rPr>
          <w:rFonts w:ascii="Times New Roman" w:hAnsi="Times New Roman"/>
          <w:color w:val="000000"/>
          <w:szCs w:val="20"/>
        </w:rPr>
        <w:t>у порядку</w:t>
      </w:r>
      <w:proofErr w:type="gram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передбаченому</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законодавством</w:t>
      </w:r>
      <w:proofErr w:type="spellEnd"/>
      <w:r w:rsidRPr="00E16672">
        <w:rPr>
          <w:rFonts w:ascii="Times New Roman" w:hAnsi="Times New Roman"/>
          <w:color w:val="000000"/>
          <w:szCs w:val="20"/>
        </w:rPr>
        <w:t xml:space="preserve"> та/</w:t>
      </w:r>
      <w:proofErr w:type="spellStart"/>
      <w:r w:rsidRPr="00E16672">
        <w:rPr>
          <w:rFonts w:ascii="Times New Roman" w:hAnsi="Times New Roman"/>
          <w:color w:val="000000"/>
          <w:szCs w:val="20"/>
        </w:rPr>
        <w:t>або</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внутрішніми</w:t>
      </w:r>
      <w:proofErr w:type="spellEnd"/>
      <w:r w:rsidRPr="00E16672">
        <w:rPr>
          <w:rFonts w:ascii="Times New Roman" w:hAnsi="Times New Roman"/>
          <w:color w:val="000000"/>
          <w:szCs w:val="20"/>
        </w:rPr>
        <w:t xml:space="preserve"> документами </w:t>
      </w:r>
      <w:proofErr w:type="spellStart"/>
      <w:r w:rsidRPr="00E16672">
        <w:rPr>
          <w:rFonts w:ascii="Times New Roman" w:hAnsi="Times New Roman"/>
          <w:color w:val="000000"/>
          <w:szCs w:val="20"/>
        </w:rPr>
        <w:t>Депозитарної</w:t>
      </w:r>
      <w:proofErr w:type="spellEnd"/>
      <w:r w:rsidRPr="00E16672">
        <w:rPr>
          <w:rFonts w:ascii="Times New Roman" w:hAnsi="Times New Roman"/>
          <w:color w:val="000000"/>
          <w:szCs w:val="20"/>
        </w:rPr>
        <w:t xml:space="preserve"> установи.</w:t>
      </w:r>
    </w:p>
    <w:p w14:paraId="3B91EFBF" w14:textId="77777777" w:rsidR="00CA224D" w:rsidRPr="00E16672" w:rsidRDefault="00CA224D" w:rsidP="00CA224D">
      <w:pPr>
        <w:rPr>
          <w:rFonts w:ascii="Times New Roman" w:hAnsi="Times New Roman"/>
          <w:color w:val="000000"/>
          <w:szCs w:val="20"/>
        </w:rPr>
      </w:pPr>
      <w:r w:rsidRPr="00E16672">
        <w:rPr>
          <w:rFonts w:ascii="Times New Roman" w:hAnsi="Times New Roman"/>
          <w:color w:val="000000"/>
          <w:szCs w:val="20"/>
        </w:rPr>
        <w:t>1</w:t>
      </w:r>
      <w:r w:rsidR="00AC4F94" w:rsidRPr="00E16672">
        <w:rPr>
          <w:rFonts w:ascii="Times New Roman" w:hAnsi="Times New Roman"/>
          <w:color w:val="000000"/>
          <w:szCs w:val="20"/>
          <w:lang w:val="uk-UA"/>
        </w:rPr>
        <w:t>2</w:t>
      </w:r>
      <w:r w:rsidRPr="00E16672">
        <w:rPr>
          <w:rFonts w:ascii="Times New Roman" w:hAnsi="Times New Roman"/>
          <w:color w:val="000000"/>
          <w:szCs w:val="20"/>
        </w:rPr>
        <w:t xml:space="preserve">.1.2. У </w:t>
      </w:r>
      <w:proofErr w:type="spellStart"/>
      <w:r w:rsidRPr="00E16672">
        <w:rPr>
          <w:rFonts w:ascii="Times New Roman" w:hAnsi="Times New Roman"/>
          <w:color w:val="000000"/>
          <w:szCs w:val="20"/>
        </w:rPr>
        <w:t>термін</w:t>
      </w:r>
      <w:proofErr w:type="spellEnd"/>
      <w:r w:rsidRPr="00E16672">
        <w:rPr>
          <w:rFonts w:ascii="Times New Roman" w:hAnsi="Times New Roman"/>
          <w:color w:val="000000"/>
          <w:szCs w:val="20"/>
        </w:rPr>
        <w:t xml:space="preserve"> не </w:t>
      </w:r>
      <w:proofErr w:type="spellStart"/>
      <w:r w:rsidRPr="00E16672">
        <w:rPr>
          <w:rFonts w:ascii="Times New Roman" w:hAnsi="Times New Roman"/>
          <w:color w:val="000000"/>
          <w:szCs w:val="20"/>
        </w:rPr>
        <w:t>пізніше</w:t>
      </w:r>
      <w:proofErr w:type="spellEnd"/>
      <w:r w:rsidRPr="00E16672">
        <w:rPr>
          <w:rFonts w:ascii="Times New Roman" w:hAnsi="Times New Roman"/>
          <w:color w:val="000000"/>
          <w:szCs w:val="20"/>
        </w:rPr>
        <w:t xml:space="preserve"> десяти </w:t>
      </w:r>
      <w:proofErr w:type="spellStart"/>
      <w:r w:rsidRPr="00E16672">
        <w:rPr>
          <w:rFonts w:ascii="Times New Roman" w:hAnsi="Times New Roman"/>
          <w:color w:val="000000"/>
          <w:szCs w:val="20"/>
        </w:rPr>
        <w:t>робочих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днів</w:t>
      </w:r>
      <w:proofErr w:type="spellEnd"/>
      <w:r w:rsidRPr="00E16672">
        <w:rPr>
          <w:rFonts w:ascii="Times New Roman" w:hAnsi="Times New Roman"/>
          <w:color w:val="000000"/>
          <w:szCs w:val="20"/>
        </w:rPr>
        <w:t xml:space="preserve"> з моменту </w:t>
      </w:r>
      <w:proofErr w:type="spellStart"/>
      <w:r w:rsidRPr="00E16672">
        <w:rPr>
          <w:rFonts w:ascii="Times New Roman" w:hAnsi="Times New Roman"/>
          <w:color w:val="000000"/>
          <w:szCs w:val="20"/>
        </w:rPr>
        <w:t>надходження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відповідних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коштів</w:t>
      </w:r>
      <w:proofErr w:type="spellEnd"/>
      <w:r w:rsidRPr="00E16672">
        <w:rPr>
          <w:rFonts w:ascii="Times New Roman" w:hAnsi="Times New Roman"/>
          <w:color w:val="000000"/>
          <w:szCs w:val="20"/>
        </w:rPr>
        <w:t xml:space="preserve"> на </w:t>
      </w:r>
      <w:proofErr w:type="spellStart"/>
      <w:r w:rsidRPr="00E16672">
        <w:rPr>
          <w:rFonts w:ascii="Times New Roman" w:hAnsi="Times New Roman"/>
          <w:color w:val="000000"/>
          <w:szCs w:val="20"/>
        </w:rPr>
        <w:t>грошовий</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рахунок</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Депозитарної</w:t>
      </w:r>
      <w:proofErr w:type="spellEnd"/>
      <w:r w:rsidRPr="00E16672">
        <w:rPr>
          <w:rFonts w:ascii="Times New Roman" w:hAnsi="Times New Roman"/>
          <w:color w:val="000000"/>
          <w:szCs w:val="20"/>
        </w:rPr>
        <w:t xml:space="preserve"> установи </w:t>
      </w:r>
      <w:proofErr w:type="spellStart"/>
      <w:r w:rsidRPr="00E16672">
        <w:rPr>
          <w:rFonts w:ascii="Times New Roman" w:hAnsi="Times New Roman"/>
          <w:color w:val="000000"/>
          <w:szCs w:val="20"/>
        </w:rPr>
        <w:t>Депозитарна</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установа</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здійснює</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виплату</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грошових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коштів</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отриманих</w:t>
      </w:r>
      <w:proofErr w:type="spellEnd"/>
      <w:r w:rsidRPr="00E16672">
        <w:rPr>
          <w:rFonts w:ascii="Times New Roman" w:hAnsi="Times New Roman"/>
          <w:color w:val="000000"/>
          <w:szCs w:val="20"/>
        </w:rPr>
        <w:t xml:space="preserve"> Депонентом за результатами </w:t>
      </w:r>
      <w:proofErr w:type="spellStart"/>
      <w:r w:rsidRPr="00E16672">
        <w:rPr>
          <w:rFonts w:ascii="Times New Roman" w:hAnsi="Times New Roman"/>
          <w:color w:val="000000"/>
          <w:szCs w:val="20"/>
        </w:rPr>
        <w:t>погашення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цінних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паперів</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емітента</w:t>
      </w:r>
      <w:proofErr w:type="spellEnd"/>
      <w:r w:rsidRPr="00E16672">
        <w:rPr>
          <w:rFonts w:ascii="Times New Roman" w:hAnsi="Times New Roman"/>
          <w:color w:val="000000"/>
          <w:szCs w:val="20"/>
        </w:rPr>
        <w:t xml:space="preserve">, шляхом </w:t>
      </w:r>
      <w:proofErr w:type="spellStart"/>
      <w:r w:rsidRPr="00E16672">
        <w:rPr>
          <w:rFonts w:ascii="Times New Roman" w:hAnsi="Times New Roman"/>
          <w:color w:val="000000"/>
          <w:szCs w:val="20"/>
        </w:rPr>
        <w:t>перерахування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грошових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коштів</w:t>
      </w:r>
      <w:proofErr w:type="spellEnd"/>
      <w:r w:rsidRPr="00E16672">
        <w:rPr>
          <w:rFonts w:ascii="Times New Roman" w:hAnsi="Times New Roman"/>
          <w:color w:val="000000"/>
          <w:szCs w:val="20"/>
        </w:rPr>
        <w:t xml:space="preserve"> на </w:t>
      </w:r>
      <w:proofErr w:type="spellStart"/>
      <w:r w:rsidRPr="00E16672">
        <w:rPr>
          <w:rFonts w:ascii="Times New Roman" w:hAnsi="Times New Roman"/>
          <w:color w:val="000000"/>
          <w:szCs w:val="20"/>
        </w:rPr>
        <w:t>грошовий</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банківський</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рахунок</w:t>
      </w:r>
      <w:proofErr w:type="spellEnd"/>
      <w:r w:rsidRPr="00E16672">
        <w:rPr>
          <w:rFonts w:ascii="Times New Roman" w:hAnsi="Times New Roman"/>
          <w:color w:val="000000"/>
          <w:szCs w:val="20"/>
        </w:rPr>
        <w:t xml:space="preserve"> Депонента, </w:t>
      </w:r>
      <w:proofErr w:type="spellStart"/>
      <w:r w:rsidRPr="00E16672">
        <w:rPr>
          <w:rFonts w:ascii="Times New Roman" w:hAnsi="Times New Roman"/>
          <w:color w:val="000000"/>
          <w:szCs w:val="20"/>
        </w:rPr>
        <w:t>зазначений</w:t>
      </w:r>
      <w:proofErr w:type="spellEnd"/>
      <w:r w:rsidRPr="00E16672">
        <w:rPr>
          <w:rFonts w:ascii="Times New Roman" w:hAnsi="Times New Roman"/>
          <w:color w:val="000000"/>
          <w:szCs w:val="20"/>
        </w:rPr>
        <w:t xml:space="preserve"> в </w:t>
      </w:r>
      <w:proofErr w:type="spellStart"/>
      <w:r w:rsidRPr="00E16672">
        <w:rPr>
          <w:rFonts w:ascii="Times New Roman" w:hAnsi="Times New Roman"/>
          <w:color w:val="000000"/>
          <w:szCs w:val="20"/>
        </w:rPr>
        <w:t>анкеті</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рахунку</w:t>
      </w:r>
      <w:proofErr w:type="spellEnd"/>
      <w:r w:rsidRPr="00E16672">
        <w:rPr>
          <w:rFonts w:ascii="Times New Roman" w:hAnsi="Times New Roman"/>
          <w:color w:val="000000"/>
          <w:szCs w:val="20"/>
        </w:rPr>
        <w:t xml:space="preserve"> в </w:t>
      </w:r>
      <w:proofErr w:type="spellStart"/>
      <w:r w:rsidRPr="00E16672">
        <w:rPr>
          <w:rFonts w:ascii="Times New Roman" w:hAnsi="Times New Roman"/>
          <w:color w:val="000000"/>
          <w:szCs w:val="20"/>
        </w:rPr>
        <w:t>цінних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паперах</w:t>
      </w:r>
      <w:proofErr w:type="spellEnd"/>
      <w:r w:rsidRPr="00E16672">
        <w:rPr>
          <w:rFonts w:ascii="Times New Roman" w:hAnsi="Times New Roman"/>
          <w:color w:val="000000"/>
          <w:szCs w:val="20"/>
        </w:rPr>
        <w:t xml:space="preserve"> Депонента. </w:t>
      </w:r>
      <w:proofErr w:type="spellStart"/>
      <w:r w:rsidRPr="00E16672">
        <w:rPr>
          <w:rFonts w:ascii="Times New Roman" w:hAnsi="Times New Roman"/>
          <w:color w:val="000000"/>
          <w:szCs w:val="20"/>
        </w:rPr>
        <w:t>Вищезазначені</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дії</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виконуються</w:t>
      </w:r>
      <w:proofErr w:type="spellEnd"/>
      <w:r w:rsidRPr="00E16672">
        <w:rPr>
          <w:rFonts w:ascii="Times New Roman" w:hAnsi="Times New Roman"/>
          <w:color w:val="000000"/>
          <w:szCs w:val="20"/>
        </w:rPr>
        <w:t xml:space="preserve"> Депозитарною </w:t>
      </w:r>
      <w:proofErr w:type="spellStart"/>
      <w:r w:rsidRPr="00E16672">
        <w:rPr>
          <w:rFonts w:ascii="Times New Roman" w:hAnsi="Times New Roman"/>
          <w:color w:val="000000"/>
          <w:szCs w:val="20"/>
        </w:rPr>
        <w:t>установою</w:t>
      </w:r>
      <w:proofErr w:type="spellEnd"/>
      <w:r w:rsidRPr="00E16672">
        <w:rPr>
          <w:rFonts w:ascii="Times New Roman" w:hAnsi="Times New Roman"/>
          <w:color w:val="000000"/>
          <w:szCs w:val="20"/>
        </w:rPr>
        <w:t xml:space="preserve"> у </w:t>
      </w:r>
      <w:proofErr w:type="spellStart"/>
      <w:r w:rsidRPr="00E16672">
        <w:rPr>
          <w:rFonts w:ascii="Times New Roman" w:hAnsi="Times New Roman"/>
          <w:color w:val="000000"/>
          <w:szCs w:val="20"/>
        </w:rPr>
        <w:t>разі</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наявності</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реквізитів</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діючого</w:t>
      </w:r>
      <w:proofErr w:type="spellEnd"/>
      <w:r w:rsidRPr="00E16672">
        <w:rPr>
          <w:rFonts w:ascii="Times New Roman" w:hAnsi="Times New Roman"/>
          <w:color w:val="000000"/>
          <w:szCs w:val="20"/>
        </w:rPr>
        <w:t xml:space="preserve"> грошового </w:t>
      </w:r>
      <w:proofErr w:type="spellStart"/>
      <w:r w:rsidRPr="00E16672">
        <w:rPr>
          <w:rFonts w:ascii="Times New Roman" w:hAnsi="Times New Roman"/>
          <w:color w:val="000000"/>
          <w:szCs w:val="20"/>
        </w:rPr>
        <w:t>банківського</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рахунку</w:t>
      </w:r>
      <w:proofErr w:type="spellEnd"/>
      <w:r w:rsidRPr="00E16672">
        <w:rPr>
          <w:rFonts w:ascii="Times New Roman" w:hAnsi="Times New Roman"/>
          <w:color w:val="000000"/>
          <w:szCs w:val="20"/>
        </w:rPr>
        <w:t xml:space="preserve"> в </w:t>
      </w:r>
      <w:proofErr w:type="spellStart"/>
      <w:r w:rsidRPr="00E16672">
        <w:rPr>
          <w:rFonts w:ascii="Times New Roman" w:hAnsi="Times New Roman"/>
          <w:color w:val="000000"/>
          <w:szCs w:val="20"/>
        </w:rPr>
        <w:t>анкеті</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рахунку</w:t>
      </w:r>
      <w:proofErr w:type="spellEnd"/>
      <w:r w:rsidRPr="00E16672">
        <w:rPr>
          <w:rFonts w:ascii="Times New Roman" w:hAnsi="Times New Roman"/>
          <w:color w:val="000000"/>
          <w:szCs w:val="20"/>
        </w:rPr>
        <w:t xml:space="preserve"> </w:t>
      </w:r>
      <w:r w:rsidR="00C22309" w:rsidRPr="00E16672">
        <w:rPr>
          <w:rFonts w:ascii="Times New Roman" w:hAnsi="Times New Roman"/>
          <w:color w:val="000000"/>
          <w:szCs w:val="20"/>
        </w:rPr>
        <w:t xml:space="preserve">в </w:t>
      </w:r>
      <w:proofErr w:type="spellStart"/>
      <w:r w:rsidR="00C22309" w:rsidRPr="00E16672">
        <w:rPr>
          <w:rFonts w:ascii="Times New Roman" w:hAnsi="Times New Roman"/>
          <w:color w:val="000000"/>
          <w:szCs w:val="20"/>
        </w:rPr>
        <w:t>цін</w:t>
      </w:r>
      <w:r w:rsidRPr="00E16672">
        <w:rPr>
          <w:rFonts w:ascii="Times New Roman" w:hAnsi="Times New Roman"/>
          <w:color w:val="000000"/>
          <w:szCs w:val="20"/>
        </w:rPr>
        <w:t>них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паперах</w:t>
      </w:r>
      <w:proofErr w:type="spellEnd"/>
      <w:r w:rsidRPr="00E16672">
        <w:rPr>
          <w:rFonts w:ascii="Times New Roman" w:hAnsi="Times New Roman"/>
          <w:color w:val="000000"/>
          <w:szCs w:val="20"/>
        </w:rPr>
        <w:t xml:space="preserve"> Депонента на момент </w:t>
      </w:r>
      <w:proofErr w:type="spellStart"/>
      <w:r w:rsidRPr="00E16672">
        <w:rPr>
          <w:rFonts w:ascii="Times New Roman" w:hAnsi="Times New Roman"/>
          <w:color w:val="000000"/>
          <w:szCs w:val="20"/>
        </w:rPr>
        <w:t>надходження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відповідних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коштів</w:t>
      </w:r>
      <w:proofErr w:type="spellEnd"/>
      <w:r w:rsidRPr="00E16672">
        <w:rPr>
          <w:rFonts w:ascii="Times New Roman" w:hAnsi="Times New Roman"/>
          <w:color w:val="000000"/>
          <w:szCs w:val="20"/>
        </w:rPr>
        <w:t xml:space="preserve"> на </w:t>
      </w:r>
      <w:proofErr w:type="spellStart"/>
      <w:r w:rsidRPr="00E16672">
        <w:rPr>
          <w:rFonts w:ascii="Times New Roman" w:hAnsi="Times New Roman"/>
          <w:color w:val="000000"/>
          <w:szCs w:val="20"/>
        </w:rPr>
        <w:t>грошовий</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рахунок</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Депозитарної</w:t>
      </w:r>
      <w:proofErr w:type="spellEnd"/>
      <w:r w:rsidRPr="00E16672">
        <w:rPr>
          <w:rFonts w:ascii="Times New Roman" w:hAnsi="Times New Roman"/>
          <w:color w:val="000000"/>
          <w:szCs w:val="20"/>
        </w:rPr>
        <w:t xml:space="preserve"> установи.</w:t>
      </w:r>
    </w:p>
    <w:p w14:paraId="68A7337F" w14:textId="77777777" w:rsidR="00CA224D" w:rsidRPr="00E16672" w:rsidRDefault="00CA224D" w:rsidP="00CA224D">
      <w:pPr>
        <w:rPr>
          <w:rFonts w:ascii="Times New Roman" w:hAnsi="Times New Roman"/>
          <w:color w:val="000000"/>
          <w:szCs w:val="20"/>
        </w:rPr>
      </w:pPr>
      <w:r w:rsidRPr="00E16672">
        <w:rPr>
          <w:rFonts w:ascii="Times New Roman" w:hAnsi="Times New Roman"/>
          <w:color w:val="000000"/>
          <w:szCs w:val="20"/>
        </w:rPr>
        <w:t>1</w:t>
      </w:r>
      <w:r w:rsidR="00AC4F94" w:rsidRPr="00E16672">
        <w:rPr>
          <w:rFonts w:ascii="Times New Roman" w:hAnsi="Times New Roman"/>
          <w:color w:val="000000"/>
          <w:szCs w:val="20"/>
          <w:lang w:val="uk-UA"/>
        </w:rPr>
        <w:t>2</w:t>
      </w:r>
      <w:r w:rsidRPr="00E16672">
        <w:rPr>
          <w:rFonts w:ascii="Times New Roman" w:hAnsi="Times New Roman"/>
          <w:color w:val="000000"/>
          <w:szCs w:val="20"/>
        </w:rPr>
        <w:t xml:space="preserve">.1.3. </w:t>
      </w:r>
      <w:proofErr w:type="spellStart"/>
      <w:r w:rsidRPr="00E16672">
        <w:rPr>
          <w:rFonts w:ascii="Times New Roman" w:hAnsi="Times New Roman"/>
          <w:color w:val="000000"/>
          <w:szCs w:val="20"/>
        </w:rPr>
        <w:t>Якщо</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виплата</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доходів</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здійснюється</w:t>
      </w:r>
      <w:proofErr w:type="spellEnd"/>
      <w:r w:rsidRPr="00E16672">
        <w:rPr>
          <w:rFonts w:ascii="Times New Roman" w:hAnsi="Times New Roman"/>
          <w:color w:val="000000"/>
          <w:szCs w:val="20"/>
        </w:rPr>
        <w:t xml:space="preserve"> </w:t>
      </w:r>
      <w:r w:rsidR="00C22309" w:rsidRPr="00E16672">
        <w:rPr>
          <w:rFonts w:ascii="Times New Roman" w:hAnsi="Times New Roman"/>
          <w:color w:val="000000"/>
          <w:szCs w:val="20"/>
        </w:rPr>
        <w:t xml:space="preserve">в </w:t>
      </w:r>
      <w:proofErr w:type="spellStart"/>
      <w:r w:rsidR="00C22309" w:rsidRPr="00E16672">
        <w:rPr>
          <w:rFonts w:ascii="Times New Roman" w:hAnsi="Times New Roman"/>
          <w:color w:val="000000"/>
          <w:szCs w:val="20"/>
        </w:rPr>
        <w:t>цін</w:t>
      </w:r>
      <w:r w:rsidRPr="00E16672">
        <w:rPr>
          <w:rFonts w:ascii="Times New Roman" w:hAnsi="Times New Roman"/>
          <w:color w:val="000000"/>
          <w:szCs w:val="20"/>
        </w:rPr>
        <w:t>них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паперах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після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надходження</w:t>
      </w:r>
      <w:proofErr w:type="spellEnd"/>
      <w:r w:rsidRPr="00E16672">
        <w:rPr>
          <w:rFonts w:ascii="Times New Roman" w:hAnsi="Times New Roman"/>
          <w:color w:val="000000"/>
          <w:szCs w:val="20"/>
        </w:rPr>
        <w:t xml:space="preserve"> до Центрального </w:t>
      </w:r>
      <w:proofErr w:type="spellStart"/>
      <w:r w:rsidRPr="00E16672">
        <w:rPr>
          <w:rFonts w:ascii="Times New Roman" w:hAnsi="Times New Roman"/>
          <w:color w:val="000000"/>
          <w:szCs w:val="20"/>
        </w:rPr>
        <w:t>депозитарію</w:t>
      </w:r>
      <w:proofErr w:type="spellEnd"/>
      <w:r w:rsidRPr="00E16672">
        <w:rPr>
          <w:rFonts w:ascii="Times New Roman" w:hAnsi="Times New Roman"/>
          <w:color w:val="000000"/>
          <w:szCs w:val="20"/>
        </w:rPr>
        <w:t xml:space="preserve"> таких </w:t>
      </w:r>
      <w:proofErr w:type="spellStart"/>
      <w:r w:rsidRPr="00E16672">
        <w:rPr>
          <w:rFonts w:ascii="Times New Roman" w:hAnsi="Times New Roman"/>
          <w:color w:val="000000"/>
          <w:szCs w:val="20"/>
        </w:rPr>
        <w:t>доходів</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цінних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паперів</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Центральний</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депозитарій</w:t>
      </w:r>
      <w:proofErr w:type="spellEnd"/>
      <w:r w:rsidRPr="00E16672">
        <w:rPr>
          <w:rFonts w:ascii="Times New Roman" w:hAnsi="Times New Roman"/>
          <w:color w:val="000000"/>
          <w:szCs w:val="20"/>
        </w:rPr>
        <w:t xml:space="preserve"> проводить </w:t>
      </w:r>
      <w:proofErr w:type="spellStart"/>
      <w:r w:rsidRPr="00E16672">
        <w:rPr>
          <w:rFonts w:ascii="Times New Roman" w:hAnsi="Times New Roman"/>
          <w:color w:val="000000"/>
          <w:szCs w:val="20"/>
        </w:rPr>
        <w:t>операції</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щодо</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переказу</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цих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цінних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паперів</w:t>
      </w:r>
      <w:proofErr w:type="spellEnd"/>
      <w:r w:rsidRPr="00E16672">
        <w:rPr>
          <w:rFonts w:ascii="Times New Roman" w:hAnsi="Times New Roman"/>
          <w:color w:val="000000"/>
          <w:szCs w:val="20"/>
        </w:rPr>
        <w:t xml:space="preserve"> з </w:t>
      </w:r>
      <w:proofErr w:type="spellStart"/>
      <w:r w:rsidRPr="00E16672">
        <w:rPr>
          <w:rFonts w:ascii="Times New Roman" w:hAnsi="Times New Roman"/>
          <w:color w:val="000000"/>
          <w:szCs w:val="20"/>
        </w:rPr>
        <w:t>рахунку</w:t>
      </w:r>
      <w:proofErr w:type="spellEnd"/>
      <w:r w:rsidRPr="00E16672">
        <w:rPr>
          <w:rFonts w:ascii="Times New Roman" w:hAnsi="Times New Roman"/>
          <w:color w:val="000000"/>
          <w:szCs w:val="20"/>
        </w:rPr>
        <w:t xml:space="preserve"> в </w:t>
      </w:r>
      <w:proofErr w:type="spellStart"/>
      <w:r w:rsidRPr="00E16672">
        <w:rPr>
          <w:rFonts w:ascii="Times New Roman" w:hAnsi="Times New Roman"/>
          <w:color w:val="000000"/>
          <w:szCs w:val="20"/>
        </w:rPr>
        <w:t>цінних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паперах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емітента</w:t>
      </w:r>
      <w:proofErr w:type="spellEnd"/>
      <w:r w:rsidRPr="00E16672">
        <w:rPr>
          <w:rFonts w:ascii="Times New Roman" w:hAnsi="Times New Roman"/>
          <w:color w:val="000000"/>
          <w:szCs w:val="20"/>
        </w:rPr>
        <w:t xml:space="preserve"> на </w:t>
      </w:r>
      <w:proofErr w:type="spellStart"/>
      <w:r w:rsidRPr="00E16672">
        <w:rPr>
          <w:rFonts w:ascii="Times New Roman" w:hAnsi="Times New Roman"/>
          <w:color w:val="000000"/>
          <w:szCs w:val="20"/>
        </w:rPr>
        <w:t>рахунки</w:t>
      </w:r>
      <w:proofErr w:type="spellEnd"/>
      <w:r w:rsidRPr="00E16672">
        <w:rPr>
          <w:rFonts w:ascii="Times New Roman" w:hAnsi="Times New Roman"/>
          <w:color w:val="000000"/>
          <w:szCs w:val="20"/>
        </w:rPr>
        <w:t xml:space="preserve"> </w:t>
      </w:r>
      <w:r w:rsidR="00C22309" w:rsidRPr="00E16672">
        <w:rPr>
          <w:rFonts w:ascii="Times New Roman" w:hAnsi="Times New Roman"/>
          <w:color w:val="000000"/>
          <w:szCs w:val="20"/>
        </w:rPr>
        <w:t xml:space="preserve">в </w:t>
      </w:r>
      <w:proofErr w:type="spellStart"/>
      <w:r w:rsidR="00C22309" w:rsidRPr="00E16672">
        <w:rPr>
          <w:rFonts w:ascii="Times New Roman" w:hAnsi="Times New Roman"/>
          <w:color w:val="000000"/>
          <w:szCs w:val="20"/>
        </w:rPr>
        <w:t>цін</w:t>
      </w:r>
      <w:r w:rsidRPr="00E16672">
        <w:rPr>
          <w:rFonts w:ascii="Times New Roman" w:hAnsi="Times New Roman"/>
          <w:color w:val="000000"/>
          <w:szCs w:val="20"/>
        </w:rPr>
        <w:t>них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паперах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депозитарних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установ</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які</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обслуговують</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власників</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цінних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паперів</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які</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мають</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отримати</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цей</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дохід</w:t>
      </w:r>
      <w:proofErr w:type="spellEnd"/>
      <w:r w:rsidRPr="00E16672">
        <w:rPr>
          <w:rFonts w:ascii="Times New Roman" w:hAnsi="Times New Roman"/>
          <w:color w:val="000000"/>
          <w:szCs w:val="20"/>
        </w:rPr>
        <w:t xml:space="preserve"> </w:t>
      </w:r>
      <w:r w:rsidR="00C22309" w:rsidRPr="00E16672">
        <w:rPr>
          <w:rFonts w:ascii="Times New Roman" w:hAnsi="Times New Roman"/>
          <w:color w:val="000000"/>
          <w:szCs w:val="20"/>
        </w:rPr>
        <w:t xml:space="preserve">в </w:t>
      </w:r>
      <w:proofErr w:type="spellStart"/>
      <w:r w:rsidR="00C22309" w:rsidRPr="00E16672">
        <w:rPr>
          <w:rFonts w:ascii="Times New Roman" w:hAnsi="Times New Roman"/>
          <w:color w:val="000000"/>
          <w:szCs w:val="20"/>
        </w:rPr>
        <w:t>цін</w:t>
      </w:r>
      <w:r w:rsidRPr="00E16672">
        <w:rPr>
          <w:rFonts w:ascii="Times New Roman" w:hAnsi="Times New Roman"/>
          <w:color w:val="000000"/>
          <w:szCs w:val="20"/>
        </w:rPr>
        <w:t>них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паперах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Депозитарна</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установа</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зобов'язана</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протягом</w:t>
      </w:r>
      <w:proofErr w:type="spellEnd"/>
      <w:r w:rsidRPr="00E16672">
        <w:rPr>
          <w:rFonts w:ascii="Times New Roman" w:hAnsi="Times New Roman"/>
          <w:color w:val="000000"/>
          <w:szCs w:val="20"/>
        </w:rPr>
        <w:t xml:space="preserve"> десяти </w:t>
      </w:r>
      <w:proofErr w:type="spellStart"/>
      <w:r w:rsidRPr="00E16672">
        <w:rPr>
          <w:rFonts w:ascii="Times New Roman" w:hAnsi="Times New Roman"/>
          <w:color w:val="000000"/>
          <w:szCs w:val="20"/>
        </w:rPr>
        <w:t>робочих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днів</w:t>
      </w:r>
      <w:proofErr w:type="spellEnd"/>
      <w:r w:rsidRPr="00E16672">
        <w:rPr>
          <w:rFonts w:ascii="Times New Roman" w:hAnsi="Times New Roman"/>
          <w:color w:val="000000"/>
          <w:szCs w:val="20"/>
        </w:rPr>
        <w:t xml:space="preserve"> з моменту </w:t>
      </w:r>
      <w:proofErr w:type="spellStart"/>
      <w:r w:rsidRPr="00E16672">
        <w:rPr>
          <w:rFonts w:ascii="Times New Roman" w:hAnsi="Times New Roman"/>
          <w:color w:val="000000"/>
          <w:szCs w:val="20"/>
        </w:rPr>
        <w:t>надходження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зарахувати</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зазначені</w:t>
      </w:r>
      <w:proofErr w:type="spellEnd"/>
      <w:r w:rsidRPr="00E16672">
        <w:rPr>
          <w:rFonts w:ascii="Times New Roman" w:hAnsi="Times New Roman"/>
          <w:color w:val="000000"/>
          <w:szCs w:val="20"/>
        </w:rPr>
        <w:t xml:space="preserve"> доходи (права на </w:t>
      </w:r>
      <w:proofErr w:type="spellStart"/>
      <w:r w:rsidRPr="00E16672">
        <w:rPr>
          <w:rFonts w:ascii="Times New Roman" w:hAnsi="Times New Roman"/>
          <w:color w:val="000000"/>
          <w:szCs w:val="20"/>
        </w:rPr>
        <w:t>цінні</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папери</w:t>
      </w:r>
      <w:proofErr w:type="spellEnd"/>
      <w:r w:rsidRPr="00E16672">
        <w:rPr>
          <w:rFonts w:ascii="Times New Roman" w:hAnsi="Times New Roman"/>
          <w:color w:val="000000"/>
          <w:szCs w:val="20"/>
        </w:rPr>
        <w:t xml:space="preserve">) на </w:t>
      </w:r>
      <w:proofErr w:type="spellStart"/>
      <w:r w:rsidRPr="00E16672">
        <w:rPr>
          <w:rFonts w:ascii="Times New Roman" w:hAnsi="Times New Roman"/>
          <w:color w:val="000000"/>
          <w:szCs w:val="20"/>
        </w:rPr>
        <w:t>рахунок</w:t>
      </w:r>
      <w:proofErr w:type="spellEnd"/>
      <w:r w:rsidRPr="00E16672">
        <w:rPr>
          <w:rFonts w:ascii="Times New Roman" w:hAnsi="Times New Roman"/>
          <w:color w:val="000000"/>
          <w:szCs w:val="20"/>
        </w:rPr>
        <w:t xml:space="preserve"> в </w:t>
      </w:r>
      <w:proofErr w:type="spellStart"/>
      <w:r w:rsidRPr="00E16672">
        <w:rPr>
          <w:rFonts w:ascii="Times New Roman" w:hAnsi="Times New Roman"/>
          <w:color w:val="000000"/>
          <w:szCs w:val="20"/>
        </w:rPr>
        <w:t>цінних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паперах</w:t>
      </w:r>
      <w:proofErr w:type="spellEnd"/>
      <w:r w:rsidRPr="00E16672">
        <w:rPr>
          <w:rFonts w:ascii="Times New Roman" w:hAnsi="Times New Roman"/>
          <w:color w:val="000000"/>
          <w:szCs w:val="20"/>
        </w:rPr>
        <w:t xml:space="preserve"> депонента.</w:t>
      </w:r>
    </w:p>
    <w:p w14:paraId="716F896B" w14:textId="77777777" w:rsidR="00CA224D" w:rsidRPr="00E16672" w:rsidRDefault="00CA224D" w:rsidP="00CA224D">
      <w:pPr>
        <w:rPr>
          <w:rFonts w:ascii="Times New Roman" w:hAnsi="Times New Roman"/>
          <w:color w:val="000000"/>
          <w:szCs w:val="20"/>
        </w:rPr>
      </w:pPr>
      <w:r w:rsidRPr="00E16672">
        <w:rPr>
          <w:rFonts w:ascii="Times New Roman" w:hAnsi="Times New Roman"/>
          <w:color w:val="000000"/>
          <w:szCs w:val="20"/>
        </w:rPr>
        <w:t>1</w:t>
      </w:r>
      <w:r w:rsidR="00AC4F94" w:rsidRPr="00E16672">
        <w:rPr>
          <w:rFonts w:ascii="Times New Roman" w:hAnsi="Times New Roman"/>
          <w:color w:val="000000"/>
          <w:szCs w:val="20"/>
          <w:lang w:val="uk-UA"/>
        </w:rPr>
        <w:t>2</w:t>
      </w:r>
      <w:r w:rsidRPr="00E16672">
        <w:rPr>
          <w:rFonts w:ascii="Times New Roman" w:hAnsi="Times New Roman"/>
          <w:color w:val="000000"/>
          <w:szCs w:val="20"/>
        </w:rPr>
        <w:t xml:space="preserve">.2. </w:t>
      </w:r>
      <w:proofErr w:type="spellStart"/>
      <w:r w:rsidRPr="00E16672">
        <w:rPr>
          <w:rFonts w:ascii="Times New Roman" w:hAnsi="Times New Roman"/>
          <w:color w:val="000000"/>
          <w:szCs w:val="20"/>
        </w:rPr>
        <w:t>Щодо</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цінних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паперів</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облік</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яких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здійснює</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Національний</w:t>
      </w:r>
      <w:proofErr w:type="spellEnd"/>
      <w:r w:rsidRPr="00E16672">
        <w:rPr>
          <w:rFonts w:ascii="Times New Roman" w:hAnsi="Times New Roman"/>
          <w:color w:val="000000"/>
          <w:szCs w:val="20"/>
        </w:rPr>
        <w:t xml:space="preserve"> Банк </w:t>
      </w:r>
      <w:proofErr w:type="spellStart"/>
      <w:r w:rsidRPr="00E16672">
        <w:rPr>
          <w:rFonts w:ascii="Times New Roman" w:hAnsi="Times New Roman"/>
          <w:color w:val="000000"/>
          <w:szCs w:val="20"/>
        </w:rPr>
        <w:t>України</w:t>
      </w:r>
      <w:proofErr w:type="spellEnd"/>
      <w:r w:rsidRPr="00E16672">
        <w:rPr>
          <w:rFonts w:ascii="Times New Roman" w:hAnsi="Times New Roman"/>
          <w:color w:val="000000"/>
          <w:szCs w:val="20"/>
        </w:rPr>
        <w:t>:</w:t>
      </w:r>
    </w:p>
    <w:p w14:paraId="5EF7B87E" w14:textId="77777777" w:rsidR="00CA224D" w:rsidRPr="00E16672" w:rsidRDefault="00CA224D" w:rsidP="00CA224D">
      <w:pPr>
        <w:rPr>
          <w:rFonts w:ascii="Times New Roman" w:hAnsi="Times New Roman"/>
          <w:color w:val="000000"/>
          <w:szCs w:val="20"/>
        </w:rPr>
      </w:pPr>
      <w:r w:rsidRPr="00E16672">
        <w:rPr>
          <w:rFonts w:ascii="Times New Roman" w:hAnsi="Times New Roman"/>
          <w:color w:val="000000"/>
          <w:szCs w:val="20"/>
        </w:rPr>
        <w:t xml:space="preserve">У </w:t>
      </w:r>
      <w:proofErr w:type="spellStart"/>
      <w:r w:rsidRPr="00E16672">
        <w:rPr>
          <w:rFonts w:ascii="Times New Roman" w:hAnsi="Times New Roman"/>
          <w:color w:val="000000"/>
          <w:szCs w:val="20"/>
        </w:rPr>
        <w:t>термін</w:t>
      </w:r>
      <w:proofErr w:type="spellEnd"/>
      <w:r w:rsidRPr="00E16672">
        <w:rPr>
          <w:rFonts w:ascii="Times New Roman" w:hAnsi="Times New Roman"/>
          <w:color w:val="000000"/>
          <w:szCs w:val="20"/>
        </w:rPr>
        <w:t xml:space="preserve"> не </w:t>
      </w:r>
      <w:proofErr w:type="spellStart"/>
      <w:r w:rsidRPr="00E16672">
        <w:rPr>
          <w:rFonts w:ascii="Times New Roman" w:hAnsi="Times New Roman"/>
          <w:color w:val="000000"/>
          <w:szCs w:val="20"/>
        </w:rPr>
        <w:t>пізніше</w:t>
      </w:r>
      <w:proofErr w:type="spellEnd"/>
      <w:r w:rsidRPr="00E16672">
        <w:rPr>
          <w:rFonts w:ascii="Times New Roman" w:hAnsi="Times New Roman"/>
          <w:color w:val="000000"/>
          <w:szCs w:val="20"/>
        </w:rPr>
        <w:t xml:space="preserve"> десяти </w:t>
      </w:r>
      <w:proofErr w:type="spellStart"/>
      <w:r w:rsidRPr="00E16672">
        <w:rPr>
          <w:rFonts w:ascii="Times New Roman" w:hAnsi="Times New Roman"/>
          <w:color w:val="000000"/>
          <w:szCs w:val="20"/>
        </w:rPr>
        <w:t>робочих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днів</w:t>
      </w:r>
      <w:proofErr w:type="spellEnd"/>
      <w:r w:rsidRPr="00E16672">
        <w:rPr>
          <w:rFonts w:ascii="Times New Roman" w:hAnsi="Times New Roman"/>
          <w:color w:val="000000"/>
          <w:szCs w:val="20"/>
        </w:rPr>
        <w:t xml:space="preserve"> з моменту </w:t>
      </w:r>
      <w:proofErr w:type="spellStart"/>
      <w:r w:rsidRPr="00E16672">
        <w:rPr>
          <w:rFonts w:ascii="Times New Roman" w:hAnsi="Times New Roman"/>
          <w:color w:val="000000"/>
          <w:szCs w:val="20"/>
        </w:rPr>
        <w:t>надходження</w:t>
      </w:r>
      <w:proofErr w:type="spellEnd"/>
      <w:r w:rsidRPr="00E16672">
        <w:rPr>
          <w:rFonts w:ascii="Times New Roman" w:hAnsi="Times New Roman"/>
          <w:color w:val="000000"/>
          <w:szCs w:val="20"/>
        </w:rPr>
        <w:t xml:space="preserve"> доходу за </w:t>
      </w:r>
      <w:proofErr w:type="spellStart"/>
      <w:r w:rsidRPr="00E16672">
        <w:rPr>
          <w:rFonts w:ascii="Times New Roman" w:hAnsi="Times New Roman"/>
          <w:color w:val="000000"/>
          <w:szCs w:val="20"/>
        </w:rPr>
        <w:t>цінними</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паперами</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грошових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коштів</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отриманих</w:t>
      </w:r>
      <w:proofErr w:type="spellEnd"/>
      <w:r w:rsidRPr="00E16672">
        <w:rPr>
          <w:rFonts w:ascii="Times New Roman" w:hAnsi="Times New Roman"/>
          <w:color w:val="000000"/>
          <w:szCs w:val="20"/>
        </w:rPr>
        <w:t xml:space="preserve"> за результатами </w:t>
      </w:r>
      <w:proofErr w:type="spellStart"/>
      <w:r w:rsidRPr="00E16672">
        <w:rPr>
          <w:rFonts w:ascii="Times New Roman" w:hAnsi="Times New Roman"/>
          <w:color w:val="000000"/>
          <w:szCs w:val="20"/>
        </w:rPr>
        <w:t>погашення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цінних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паперів</w:t>
      </w:r>
      <w:proofErr w:type="spellEnd"/>
      <w:r w:rsidRPr="00E16672">
        <w:rPr>
          <w:rFonts w:ascii="Times New Roman" w:hAnsi="Times New Roman"/>
          <w:color w:val="000000"/>
          <w:szCs w:val="20"/>
        </w:rPr>
        <w:t xml:space="preserve"> на </w:t>
      </w:r>
      <w:proofErr w:type="spellStart"/>
      <w:r w:rsidRPr="00E16672">
        <w:rPr>
          <w:rFonts w:ascii="Times New Roman" w:hAnsi="Times New Roman"/>
          <w:color w:val="000000"/>
          <w:szCs w:val="20"/>
        </w:rPr>
        <w:t>грошовий</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рахунок</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Депозитарної</w:t>
      </w:r>
      <w:proofErr w:type="spellEnd"/>
      <w:r w:rsidRPr="00E16672">
        <w:rPr>
          <w:rFonts w:ascii="Times New Roman" w:hAnsi="Times New Roman"/>
          <w:color w:val="000000"/>
          <w:szCs w:val="20"/>
        </w:rPr>
        <w:t xml:space="preserve"> установи </w:t>
      </w:r>
      <w:proofErr w:type="spellStart"/>
      <w:r w:rsidRPr="00E16672">
        <w:rPr>
          <w:rFonts w:ascii="Times New Roman" w:hAnsi="Times New Roman"/>
          <w:color w:val="000000"/>
          <w:szCs w:val="20"/>
        </w:rPr>
        <w:t>Депозитарна</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установа</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lastRenderedPageBreak/>
        <w:t>здійснює</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виплату</w:t>
      </w:r>
      <w:proofErr w:type="spellEnd"/>
      <w:r w:rsidRPr="00E16672">
        <w:rPr>
          <w:rFonts w:ascii="Times New Roman" w:hAnsi="Times New Roman"/>
          <w:color w:val="000000"/>
          <w:szCs w:val="20"/>
        </w:rPr>
        <w:t xml:space="preserve"> доходу за </w:t>
      </w:r>
      <w:proofErr w:type="spellStart"/>
      <w:r w:rsidRPr="00E16672">
        <w:rPr>
          <w:rFonts w:ascii="Times New Roman" w:hAnsi="Times New Roman"/>
          <w:color w:val="000000"/>
          <w:szCs w:val="20"/>
        </w:rPr>
        <w:t>цінними</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паперами</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грошових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коштів</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отриманих</w:t>
      </w:r>
      <w:proofErr w:type="spellEnd"/>
      <w:r w:rsidRPr="00E16672">
        <w:rPr>
          <w:rFonts w:ascii="Times New Roman" w:hAnsi="Times New Roman"/>
          <w:color w:val="000000"/>
          <w:szCs w:val="20"/>
        </w:rPr>
        <w:t xml:space="preserve"> Депонентом за результатами </w:t>
      </w:r>
      <w:proofErr w:type="spellStart"/>
      <w:r w:rsidRPr="00E16672">
        <w:rPr>
          <w:rFonts w:ascii="Times New Roman" w:hAnsi="Times New Roman"/>
          <w:color w:val="000000"/>
          <w:szCs w:val="20"/>
        </w:rPr>
        <w:t>погашення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цінних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паперів</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емітента</w:t>
      </w:r>
      <w:proofErr w:type="spellEnd"/>
      <w:r w:rsidRPr="00E16672">
        <w:rPr>
          <w:rFonts w:ascii="Times New Roman" w:hAnsi="Times New Roman"/>
          <w:color w:val="000000"/>
          <w:szCs w:val="20"/>
        </w:rPr>
        <w:t xml:space="preserve">, шляхом </w:t>
      </w:r>
      <w:proofErr w:type="spellStart"/>
      <w:r w:rsidRPr="00E16672">
        <w:rPr>
          <w:rFonts w:ascii="Times New Roman" w:hAnsi="Times New Roman"/>
          <w:color w:val="000000"/>
          <w:szCs w:val="20"/>
        </w:rPr>
        <w:t>перерахування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грошових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коштів</w:t>
      </w:r>
      <w:proofErr w:type="spellEnd"/>
      <w:r w:rsidRPr="00E16672">
        <w:rPr>
          <w:rFonts w:ascii="Times New Roman" w:hAnsi="Times New Roman"/>
          <w:color w:val="000000"/>
          <w:szCs w:val="20"/>
        </w:rPr>
        <w:t xml:space="preserve"> на </w:t>
      </w:r>
      <w:proofErr w:type="spellStart"/>
      <w:r w:rsidRPr="00E16672">
        <w:rPr>
          <w:rFonts w:ascii="Times New Roman" w:hAnsi="Times New Roman"/>
          <w:color w:val="000000"/>
          <w:szCs w:val="20"/>
        </w:rPr>
        <w:t>грошовий</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банківський</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рахунок</w:t>
      </w:r>
      <w:proofErr w:type="spellEnd"/>
      <w:r w:rsidRPr="00E16672">
        <w:rPr>
          <w:rFonts w:ascii="Times New Roman" w:hAnsi="Times New Roman"/>
          <w:color w:val="000000"/>
          <w:szCs w:val="20"/>
        </w:rPr>
        <w:t xml:space="preserve"> Депонента, </w:t>
      </w:r>
      <w:proofErr w:type="spellStart"/>
      <w:r w:rsidRPr="00E16672">
        <w:rPr>
          <w:rFonts w:ascii="Times New Roman" w:hAnsi="Times New Roman"/>
          <w:color w:val="000000"/>
          <w:szCs w:val="20"/>
        </w:rPr>
        <w:t>зазначений</w:t>
      </w:r>
      <w:proofErr w:type="spellEnd"/>
      <w:r w:rsidRPr="00E16672">
        <w:rPr>
          <w:rFonts w:ascii="Times New Roman" w:hAnsi="Times New Roman"/>
          <w:color w:val="000000"/>
          <w:szCs w:val="20"/>
        </w:rPr>
        <w:t xml:space="preserve"> в </w:t>
      </w:r>
      <w:proofErr w:type="spellStart"/>
      <w:r w:rsidRPr="00E16672">
        <w:rPr>
          <w:rFonts w:ascii="Times New Roman" w:hAnsi="Times New Roman"/>
          <w:color w:val="000000"/>
          <w:szCs w:val="20"/>
        </w:rPr>
        <w:t>анкеті</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рахунку</w:t>
      </w:r>
      <w:proofErr w:type="spellEnd"/>
      <w:r w:rsidRPr="00E16672">
        <w:rPr>
          <w:rFonts w:ascii="Times New Roman" w:hAnsi="Times New Roman"/>
          <w:color w:val="000000"/>
          <w:szCs w:val="20"/>
        </w:rPr>
        <w:t xml:space="preserve"> в </w:t>
      </w:r>
      <w:proofErr w:type="spellStart"/>
      <w:r w:rsidRPr="00E16672">
        <w:rPr>
          <w:rFonts w:ascii="Times New Roman" w:hAnsi="Times New Roman"/>
          <w:color w:val="000000"/>
          <w:szCs w:val="20"/>
        </w:rPr>
        <w:t>цінних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паперах</w:t>
      </w:r>
      <w:proofErr w:type="spellEnd"/>
      <w:r w:rsidRPr="00E16672">
        <w:rPr>
          <w:rFonts w:ascii="Times New Roman" w:hAnsi="Times New Roman"/>
          <w:color w:val="000000"/>
          <w:szCs w:val="20"/>
        </w:rPr>
        <w:t xml:space="preserve"> Депонента. </w:t>
      </w:r>
      <w:proofErr w:type="spellStart"/>
      <w:r w:rsidRPr="00E16672">
        <w:rPr>
          <w:rFonts w:ascii="Times New Roman" w:hAnsi="Times New Roman"/>
          <w:color w:val="000000"/>
          <w:szCs w:val="20"/>
        </w:rPr>
        <w:t>Вищезазначені</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дії</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виконуються</w:t>
      </w:r>
      <w:proofErr w:type="spellEnd"/>
      <w:r w:rsidRPr="00E16672">
        <w:rPr>
          <w:rFonts w:ascii="Times New Roman" w:hAnsi="Times New Roman"/>
          <w:color w:val="000000"/>
          <w:szCs w:val="20"/>
        </w:rPr>
        <w:t xml:space="preserve"> Депозитарною </w:t>
      </w:r>
      <w:proofErr w:type="spellStart"/>
      <w:r w:rsidRPr="00E16672">
        <w:rPr>
          <w:rFonts w:ascii="Times New Roman" w:hAnsi="Times New Roman"/>
          <w:color w:val="000000"/>
          <w:szCs w:val="20"/>
        </w:rPr>
        <w:t>установою</w:t>
      </w:r>
      <w:proofErr w:type="spellEnd"/>
      <w:r w:rsidRPr="00E16672">
        <w:rPr>
          <w:rFonts w:ascii="Times New Roman" w:hAnsi="Times New Roman"/>
          <w:color w:val="000000"/>
          <w:szCs w:val="20"/>
        </w:rPr>
        <w:t xml:space="preserve"> у </w:t>
      </w:r>
      <w:proofErr w:type="spellStart"/>
      <w:r w:rsidRPr="00E16672">
        <w:rPr>
          <w:rFonts w:ascii="Times New Roman" w:hAnsi="Times New Roman"/>
          <w:color w:val="000000"/>
          <w:szCs w:val="20"/>
        </w:rPr>
        <w:t>разі</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наявності</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реквізитів</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діючого</w:t>
      </w:r>
      <w:proofErr w:type="spellEnd"/>
      <w:r w:rsidRPr="00E16672">
        <w:rPr>
          <w:rFonts w:ascii="Times New Roman" w:hAnsi="Times New Roman"/>
          <w:color w:val="000000"/>
          <w:szCs w:val="20"/>
        </w:rPr>
        <w:t xml:space="preserve"> грошового </w:t>
      </w:r>
      <w:proofErr w:type="spellStart"/>
      <w:r w:rsidRPr="00E16672">
        <w:rPr>
          <w:rFonts w:ascii="Times New Roman" w:hAnsi="Times New Roman"/>
          <w:color w:val="000000"/>
          <w:szCs w:val="20"/>
        </w:rPr>
        <w:t>банківського</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рахунку</w:t>
      </w:r>
      <w:proofErr w:type="spellEnd"/>
      <w:r w:rsidRPr="00E16672">
        <w:rPr>
          <w:rFonts w:ascii="Times New Roman" w:hAnsi="Times New Roman"/>
          <w:color w:val="000000"/>
          <w:szCs w:val="20"/>
        </w:rPr>
        <w:t xml:space="preserve"> в </w:t>
      </w:r>
      <w:proofErr w:type="spellStart"/>
      <w:r w:rsidRPr="00E16672">
        <w:rPr>
          <w:rFonts w:ascii="Times New Roman" w:hAnsi="Times New Roman"/>
          <w:color w:val="000000"/>
          <w:szCs w:val="20"/>
        </w:rPr>
        <w:t>анкеті</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рахунку</w:t>
      </w:r>
      <w:proofErr w:type="spellEnd"/>
      <w:r w:rsidRPr="00E16672">
        <w:rPr>
          <w:rFonts w:ascii="Times New Roman" w:hAnsi="Times New Roman"/>
          <w:color w:val="000000"/>
          <w:szCs w:val="20"/>
        </w:rPr>
        <w:t xml:space="preserve"> </w:t>
      </w:r>
      <w:r w:rsidR="00C22309" w:rsidRPr="00E16672">
        <w:rPr>
          <w:rFonts w:ascii="Times New Roman" w:hAnsi="Times New Roman"/>
          <w:color w:val="000000"/>
          <w:szCs w:val="20"/>
        </w:rPr>
        <w:t xml:space="preserve">в </w:t>
      </w:r>
      <w:proofErr w:type="spellStart"/>
      <w:r w:rsidR="00C22309" w:rsidRPr="00E16672">
        <w:rPr>
          <w:rFonts w:ascii="Times New Roman" w:hAnsi="Times New Roman"/>
          <w:color w:val="000000"/>
          <w:szCs w:val="20"/>
        </w:rPr>
        <w:t>цін</w:t>
      </w:r>
      <w:r w:rsidRPr="00E16672">
        <w:rPr>
          <w:rFonts w:ascii="Times New Roman" w:hAnsi="Times New Roman"/>
          <w:color w:val="000000"/>
          <w:szCs w:val="20"/>
        </w:rPr>
        <w:t>них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паперах</w:t>
      </w:r>
      <w:proofErr w:type="spellEnd"/>
      <w:r w:rsidRPr="00E16672">
        <w:rPr>
          <w:rFonts w:ascii="Times New Roman" w:hAnsi="Times New Roman"/>
          <w:color w:val="000000"/>
          <w:szCs w:val="20"/>
        </w:rPr>
        <w:t xml:space="preserve"> Депонента на момент </w:t>
      </w:r>
      <w:proofErr w:type="spellStart"/>
      <w:r w:rsidRPr="00E16672">
        <w:rPr>
          <w:rFonts w:ascii="Times New Roman" w:hAnsi="Times New Roman"/>
          <w:color w:val="000000"/>
          <w:szCs w:val="20"/>
        </w:rPr>
        <w:t>надходження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відповідних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коштів</w:t>
      </w:r>
      <w:proofErr w:type="spellEnd"/>
      <w:r w:rsidRPr="00E16672">
        <w:rPr>
          <w:rFonts w:ascii="Times New Roman" w:hAnsi="Times New Roman"/>
          <w:color w:val="000000"/>
          <w:szCs w:val="20"/>
        </w:rPr>
        <w:t xml:space="preserve"> на </w:t>
      </w:r>
      <w:proofErr w:type="spellStart"/>
      <w:r w:rsidRPr="00E16672">
        <w:rPr>
          <w:rFonts w:ascii="Times New Roman" w:hAnsi="Times New Roman"/>
          <w:color w:val="000000"/>
          <w:szCs w:val="20"/>
        </w:rPr>
        <w:t>грошовий</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рахунок</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Депозитарної</w:t>
      </w:r>
      <w:proofErr w:type="spellEnd"/>
      <w:r w:rsidRPr="00E16672">
        <w:rPr>
          <w:rFonts w:ascii="Times New Roman" w:hAnsi="Times New Roman"/>
          <w:color w:val="000000"/>
          <w:szCs w:val="20"/>
        </w:rPr>
        <w:t xml:space="preserve"> установи.</w:t>
      </w:r>
    </w:p>
    <w:p w14:paraId="0AB25CB2" w14:textId="77777777" w:rsidR="00257F26" w:rsidRDefault="00CA224D" w:rsidP="00CA224D">
      <w:pPr>
        <w:rPr>
          <w:rFonts w:ascii="Times New Roman" w:hAnsi="Times New Roman"/>
          <w:color w:val="000000"/>
          <w:szCs w:val="20"/>
        </w:rPr>
      </w:pPr>
      <w:r w:rsidRPr="00E16672">
        <w:rPr>
          <w:rFonts w:ascii="Times New Roman" w:hAnsi="Times New Roman"/>
          <w:color w:val="000000"/>
          <w:szCs w:val="20"/>
        </w:rPr>
        <w:t>1</w:t>
      </w:r>
      <w:r w:rsidR="00AC4F94" w:rsidRPr="00E16672">
        <w:rPr>
          <w:rFonts w:ascii="Times New Roman" w:hAnsi="Times New Roman"/>
          <w:color w:val="000000"/>
          <w:szCs w:val="20"/>
          <w:lang w:val="uk-UA"/>
        </w:rPr>
        <w:t>2</w:t>
      </w:r>
      <w:r w:rsidRPr="00E16672">
        <w:rPr>
          <w:rFonts w:ascii="Times New Roman" w:hAnsi="Times New Roman"/>
          <w:color w:val="000000"/>
          <w:szCs w:val="20"/>
        </w:rPr>
        <w:t xml:space="preserve">.3. </w:t>
      </w:r>
      <w:proofErr w:type="spellStart"/>
      <w:r w:rsidRPr="00E16672">
        <w:rPr>
          <w:rFonts w:ascii="Times New Roman" w:hAnsi="Times New Roman"/>
          <w:color w:val="000000"/>
          <w:szCs w:val="20"/>
        </w:rPr>
        <w:t>Грошові</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кошти</w:t>
      </w:r>
      <w:proofErr w:type="spellEnd"/>
      <w:r w:rsidRPr="00E16672">
        <w:rPr>
          <w:rFonts w:ascii="Times New Roman" w:hAnsi="Times New Roman"/>
          <w:color w:val="000000"/>
          <w:szCs w:val="20"/>
        </w:rPr>
        <w:t xml:space="preserve">, </w:t>
      </w:r>
      <w:proofErr w:type="spellStart"/>
      <w:r w:rsidRPr="00E16672">
        <w:rPr>
          <w:rStyle w:val="rvts0"/>
          <w:rFonts w:ascii="Times New Roman" w:hAnsi="Times New Roman"/>
          <w:color w:val="000000"/>
          <w:szCs w:val="20"/>
        </w:rPr>
        <w:t>які</w:t>
      </w:r>
      <w:proofErr w:type="spellEnd"/>
      <w:r w:rsidRPr="00E16672">
        <w:rPr>
          <w:rStyle w:val="rvts0"/>
          <w:rFonts w:ascii="Times New Roman" w:hAnsi="Times New Roman"/>
          <w:color w:val="000000"/>
          <w:szCs w:val="20"/>
        </w:rPr>
        <w:t xml:space="preserve"> </w:t>
      </w:r>
      <w:proofErr w:type="spellStart"/>
      <w:r w:rsidRPr="00E16672">
        <w:rPr>
          <w:rStyle w:val="rvts0"/>
          <w:rFonts w:ascii="Times New Roman" w:hAnsi="Times New Roman"/>
          <w:color w:val="000000"/>
          <w:szCs w:val="20"/>
        </w:rPr>
        <w:t>відповідно</w:t>
      </w:r>
      <w:proofErr w:type="spellEnd"/>
      <w:r w:rsidRPr="00E16672">
        <w:rPr>
          <w:rStyle w:val="rvts0"/>
          <w:rFonts w:ascii="Times New Roman" w:hAnsi="Times New Roman"/>
          <w:color w:val="000000"/>
          <w:szCs w:val="20"/>
        </w:rPr>
        <w:t xml:space="preserve"> до </w:t>
      </w:r>
      <w:proofErr w:type="spellStart"/>
      <w:r w:rsidRPr="00E16672">
        <w:rPr>
          <w:rStyle w:val="rvts0"/>
          <w:rFonts w:ascii="Times New Roman" w:hAnsi="Times New Roman"/>
          <w:color w:val="000000"/>
          <w:szCs w:val="20"/>
        </w:rPr>
        <w:t>законодавства</w:t>
      </w:r>
      <w:proofErr w:type="spellEnd"/>
      <w:r w:rsidRPr="00E16672">
        <w:rPr>
          <w:rStyle w:val="rvts0"/>
          <w:rFonts w:ascii="Times New Roman" w:hAnsi="Times New Roman"/>
          <w:color w:val="000000"/>
          <w:szCs w:val="20"/>
        </w:rPr>
        <w:t xml:space="preserve"> </w:t>
      </w:r>
      <w:proofErr w:type="spellStart"/>
      <w:r w:rsidRPr="00E16672">
        <w:rPr>
          <w:rStyle w:val="rvts0"/>
          <w:rFonts w:ascii="Times New Roman" w:hAnsi="Times New Roman"/>
          <w:color w:val="000000"/>
          <w:szCs w:val="20"/>
        </w:rPr>
        <w:t>надходять</w:t>
      </w:r>
      <w:proofErr w:type="spellEnd"/>
      <w:r w:rsidRPr="00E16672">
        <w:rPr>
          <w:rStyle w:val="rvts0"/>
          <w:rFonts w:ascii="Times New Roman" w:hAnsi="Times New Roman"/>
          <w:color w:val="000000"/>
          <w:szCs w:val="20"/>
        </w:rPr>
        <w:t xml:space="preserve"> на </w:t>
      </w:r>
      <w:proofErr w:type="spellStart"/>
      <w:r w:rsidRPr="00E16672">
        <w:rPr>
          <w:rStyle w:val="rvts0"/>
          <w:rFonts w:ascii="Times New Roman" w:hAnsi="Times New Roman"/>
          <w:color w:val="000000"/>
          <w:szCs w:val="20"/>
        </w:rPr>
        <w:t>поточний</w:t>
      </w:r>
      <w:proofErr w:type="spellEnd"/>
      <w:r w:rsidRPr="00E16672">
        <w:rPr>
          <w:rStyle w:val="rvts0"/>
          <w:rFonts w:ascii="Times New Roman" w:hAnsi="Times New Roman"/>
          <w:color w:val="000000"/>
          <w:szCs w:val="20"/>
        </w:rPr>
        <w:t xml:space="preserve"> </w:t>
      </w:r>
      <w:proofErr w:type="spellStart"/>
      <w:r w:rsidRPr="00E16672">
        <w:rPr>
          <w:rStyle w:val="rvts0"/>
          <w:rFonts w:ascii="Times New Roman" w:hAnsi="Times New Roman"/>
          <w:color w:val="000000"/>
          <w:szCs w:val="20"/>
        </w:rPr>
        <w:t>рахунок</w:t>
      </w:r>
      <w:proofErr w:type="spellEnd"/>
      <w:r w:rsidRPr="00E16672">
        <w:rPr>
          <w:rStyle w:val="rvts0"/>
          <w:rFonts w:ascii="Times New Roman" w:hAnsi="Times New Roman"/>
          <w:color w:val="000000"/>
          <w:szCs w:val="20"/>
        </w:rPr>
        <w:t xml:space="preserve"> </w:t>
      </w:r>
      <w:proofErr w:type="spellStart"/>
      <w:r w:rsidRPr="00E16672">
        <w:rPr>
          <w:rStyle w:val="rvts0"/>
          <w:rFonts w:ascii="Times New Roman" w:hAnsi="Times New Roman"/>
          <w:color w:val="000000"/>
          <w:szCs w:val="20"/>
        </w:rPr>
        <w:t>Депозитарної</w:t>
      </w:r>
      <w:proofErr w:type="spellEnd"/>
      <w:r w:rsidRPr="00E16672">
        <w:rPr>
          <w:rStyle w:val="rvts0"/>
          <w:rFonts w:ascii="Times New Roman" w:hAnsi="Times New Roman"/>
          <w:color w:val="000000"/>
          <w:szCs w:val="20"/>
        </w:rPr>
        <w:t xml:space="preserve"> установи з метою </w:t>
      </w:r>
      <w:proofErr w:type="spellStart"/>
      <w:r w:rsidRPr="00E16672">
        <w:rPr>
          <w:rStyle w:val="rvts0"/>
          <w:rFonts w:ascii="Times New Roman" w:hAnsi="Times New Roman"/>
          <w:color w:val="000000"/>
          <w:szCs w:val="20"/>
        </w:rPr>
        <w:t>їх</w:t>
      </w:r>
      <w:proofErr w:type="spellEnd"/>
      <w:r w:rsidRPr="00E16672">
        <w:rPr>
          <w:rStyle w:val="rvts0"/>
          <w:rFonts w:ascii="Times New Roman" w:hAnsi="Times New Roman"/>
          <w:color w:val="000000"/>
          <w:szCs w:val="20"/>
        </w:rPr>
        <w:t xml:space="preserve"> </w:t>
      </w:r>
      <w:proofErr w:type="spellStart"/>
      <w:r w:rsidRPr="00E16672">
        <w:rPr>
          <w:rStyle w:val="rvts0"/>
          <w:rFonts w:ascii="Times New Roman" w:hAnsi="Times New Roman"/>
          <w:color w:val="000000"/>
          <w:szCs w:val="20"/>
        </w:rPr>
        <w:t>подальшого</w:t>
      </w:r>
      <w:proofErr w:type="spellEnd"/>
      <w:r w:rsidRPr="00E16672">
        <w:rPr>
          <w:rStyle w:val="rvts0"/>
          <w:rFonts w:ascii="Times New Roman" w:hAnsi="Times New Roman"/>
          <w:color w:val="000000"/>
          <w:szCs w:val="20"/>
        </w:rPr>
        <w:t xml:space="preserve"> </w:t>
      </w:r>
      <w:proofErr w:type="spellStart"/>
      <w:r w:rsidRPr="00E16672">
        <w:rPr>
          <w:rStyle w:val="rvts0"/>
          <w:rFonts w:ascii="Times New Roman" w:hAnsi="Times New Roman"/>
          <w:color w:val="000000"/>
          <w:szCs w:val="20"/>
        </w:rPr>
        <w:t>переказу</w:t>
      </w:r>
      <w:proofErr w:type="spellEnd"/>
      <w:r w:rsidRPr="00E16672">
        <w:rPr>
          <w:rStyle w:val="rvts0"/>
          <w:rFonts w:ascii="Times New Roman" w:hAnsi="Times New Roman"/>
          <w:color w:val="000000"/>
          <w:szCs w:val="20"/>
        </w:rPr>
        <w:t xml:space="preserve"> Депоненту,</w:t>
      </w:r>
      <w:r w:rsidRPr="00E16672">
        <w:rPr>
          <w:rFonts w:ascii="Times New Roman" w:hAnsi="Times New Roman"/>
          <w:color w:val="000000"/>
          <w:szCs w:val="20"/>
        </w:rPr>
        <w:t xml:space="preserve"> не є </w:t>
      </w:r>
      <w:proofErr w:type="spellStart"/>
      <w:r w:rsidRPr="00E16672">
        <w:rPr>
          <w:rFonts w:ascii="Times New Roman" w:hAnsi="Times New Roman"/>
          <w:color w:val="000000"/>
          <w:szCs w:val="20"/>
        </w:rPr>
        <w:t>власністю</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Депозитарної</w:t>
      </w:r>
      <w:proofErr w:type="spellEnd"/>
      <w:r w:rsidRPr="00E16672">
        <w:rPr>
          <w:rFonts w:ascii="Times New Roman" w:hAnsi="Times New Roman"/>
          <w:color w:val="000000"/>
          <w:szCs w:val="20"/>
        </w:rPr>
        <w:t xml:space="preserve"> установи.</w:t>
      </w:r>
    </w:p>
    <w:p w14:paraId="606DA5E5" w14:textId="2A35A2BD" w:rsidR="00CA224D" w:rsidRPr="00E16672" w:rsidRDefault="00257F26" w:rsidP="00CA224D">
      <w:pPr>
        <w:rPr>
          <w:rFonts w:ascii="Times New Roman" w:hAnsi="Times New Roman"/>
          <w:color w:val="000000"/>
          <w:szCs w:val="20"/>
        </w:rPr>
      </w:pPr>
      <w:proofErr w:type="spellStart"/>
      <w:r w:rsidRPr="00257F26">
        <w:rPr>
          <w:rFonts w:ascii="Times New Roman" w:hAnsi="Times New Roman"/>
          <w:color w:val="000000"/>
          <w:szCs w:val="20"/>
        </w:rPr>
        <w:t>Депозитарна</w:t>
      </w:r>
      <w:proofErr w:type="spellEnd"/>
      <w:r w:rsidRPr="00257F26">
        <w:rPr>
          <w:rFonts w:ascii="Times New Roman" w:hAnsi="Times New Roman"/>
          <w:color w:val="000000"/>
          <w:szCs w:val="20"/>
        </w:rPr>
        <w:t xml:space="preserve"> </w:t>
      </w:r>
      <w:proofErr w:type="spellStart"/>
      <w:r w:rsidRPr="00257F26">
        <w:rPr>
          <w:rFonts w:ascii="Times New Roman" w:hAnsi="Times New Roman"/>
          <w:color w:val="000000"/>
          <w:szCs w:val="20"/>
        </w:rPr>
        <w:t>установа</w:t>
      </w:r>
      <w:proofErr w:type="spellEnd"/>
      <w:r w:rsidRPr="00257F26">
        <w:rPr>
          <w:rFonts w:ascii="Times New Roman" w:hAnsi="Times New Roman"/>
          <w:color w:val="000000"/>
          <w:szCs w:val="20"/>
        </w:rPr>
        <w:t xml:space="preserve"> повинна </w:t>
      </w:r>
      <w:proofErr w:type="spellStart"/>
      <w:r w:rsidRPr="00257F26">
        <w:rPr>
          <w:rFonts w:ascii="Times New Roman" w:hAnsi="Times New Roman"/>
          <w:color w:val="000000"/>
          <w:szCs w:val="20"/>
        </w:rPr>
        <w:t>переказати</w:t>
      </w:r>
      <w:proofErr w:type="spellEnd"/>
      <w:r w:rsidRPr="00257F26">
        <w:rPr>
          <w:rFonts w:ascii="Times New Roman" w:hAnsi="Times New Roman"/>
          <w:color w:val="000000"/>
          <w:szCs w:val="20"/>
        </w:rPr>
        <w:t xml:space="preserve"> </w:t>
      </w:r>
      <w:proofErr w:type="spellStart"/>
      <w:r w:rsidRPr="00257F26">
        <w:rPr>
          <w:rFonts w:ascii="Times New Roman" w:hAnsi="Times New Roman"/>
          <w:color w:val="000000"/>
          <w:szCs w:val="20"/>
        </w:rPr>
        <w:t>кошти</w:t>
      </w:r>
      <w:proofErr w:type="spellEnd"/>
      <w:r w:rsidRPr="00257F26">
        <w:rPr>
          <w:rFonts w:ascii="Times New Roman" w:hAnsi="Times New Roman"/>
          <w:color w:val="000000"/>
          <w:szCs w:val="20"/>
        </w:rPr>
        <w:t xml:space="preserve">, </w:t>
      </w:r>
      <w:proofErr w:type="spellStart"/>
      <w:r w:rsidRPr="00257F26">
        <w:rPr>
          <w:rFonts w:ascii="Times New Roman" w:hAnsi="Times New Roman"/>
          <w:color w:val="000000"/>
          <w:szCs w:val="20"/>
        </w:rPr>
        <w:t>що</w:t>
      </w:r>
      <w:proofErr w:type="spellEnd"/>
      <w:r w:rsidRPr="00257F26">
        <w:rPr>
          <w:rFonts w:ascii="Times New Roman" w:hAnsi="Times New Roman"/>
          <w:color w:val="000000"/>
          <w:szCs w:val="20"/>
        </w:rPr>
        <w:t xml:space="preserve"> </w:t>
      </w:r>
      <w:proofErr w:type="spellStart"/>
      <w:r w:rsidRPr="00257F26">
        <w:rPr>
          <w:rFonts w:ascii="Times New Roman" w:hAnsi="Times New Roman"/>
          <w:color w:val="000000"/>
          <w:szCs w:val="20"/>
        </w:rPr>
        <w:t>призначені</w:t>
      </w:r>
      <w:proofErr w:type="spellEnd"/>
      <w:r w:rsidRPr="00257F26">
        <w:rPr>
          <w:rFonts w:ascii="Times New Roman" w:hAnsi="Times New Roman"/>
          <w:color w:val="000000"/>
          <w:szCs w:val="20"/>
        </w:rPr>
        <w:t xml:space="preserve"> для </w:t>
      </w:r>
      <w:proofErr w:type="spellStart"/>
      <w:r w:rsidRPr="00257F26">
        <w:rPr>
          <w:rFonts w:ascii="Times New Roman" w:hAnsi="Times New Roman"/>
          <w:color w:val="000000"/>
          <w:szCs w:val="20"/>
        </w:rPr>
        <w:t>виплати</w:t>
      </w:r>
      <w:proofErr w:type="spellEnd"/>
      <w:r w:rsidRPr="00257F26">
        <w:rPr>
          <w:rFonts w:ascii="Times New Roman" w:hAnsi="Times New Roman"/>
          <w:color w:val="000000"/>
          <w:szCs w:val="20"/>
        </w:rPr>
        <w:t xml:space="preserve"> за </w:t>
      </w:r>
      <w:proofErr w:type="spellStart"/>
      <w:r w:rsidRPr="00257F26">
        <w:rPr>
          <w:rFonts w:ascii="Times New Roman" w:hAnsi="Times New Roman"/>
          <w:color w:val="000000"/>
          <w:szCs w:val="20"/>
        </w:rPr>
        <w:t>цінними</w:t>
      </w:r>
      <w:proofErr w:type="spellEnd"/>
      <w:r w:rsidRPr="00257F26">
        <w:rPr>
          <w:rFonts w:ascii="Times New Roman" w:hAnsi="Times New Roman"/>
          <w:color w:val="000000"/>
          <w:szCs w:val="20"/>
        </w:rPr>
        <w:t xml:space="preserve"> </w:t>
      </w:r>
      <w:proofErr w:type="spellStart"/>
      <w:r w:rsidRPr="00257F26">
        <w:rPr>
          <w:rFonts w:ascii="Times New Roman" w:hAnsi="Times New Roman"/>
          <w:color w:val="000000"/>
          <w:szCs w:val="20"/>
        </w:rPr>
        <w:t>паперами</w:t>
      </w:r>
      <w:proofErr w:type="spellEnd"/>
      <w:r w:rsidRPr="00257F26">
        <w:rPr>
          <w:rFonts w:ascii="Times New Roman" w:hAnsi="Times New Roman"/>
          <w:color w:val="000000"/>
          <w:szCs w:val="20"/>
        </w:rPr>
        <w:t xml:space="preserve">, права на </w:t>
      </w:r>
      <w:proofErr w:type="spellStart"/>
      <w:r w:rsidRPr="00257F26">
        <w:rPr>
          <w:rFonts w:ascii="Times New Roman" w:hAnsi="Times New Roman"/>
          <w:color w:val="000000"/>
          <w:szCs w:val="20"/>
        </w:rPr>
        <w:t>які</w:t>
      </w:r>
      <w:proofErr w:type="spellEnd"/>
      <w:r w:rsidRPr="00257F26">
        <w:rPr>
          <w:rFonts w:ascii="Times New Roman" w:hAnsi="Times New Roman"/>
          <w:color w:val="000000"/>
          <w:szCs w:val="20"/>
        </w:rPr>
        <w:t xml:space="preserve"> </w:t>
      </w:r>
      <w:proofErr w:type="spellStart"/>
      <w:r w:rsidRPr="00257F26">
        <w:rPr>
          <w:rFonts w:ascii="Times New Roman" w:hAnsi="Times New Roman"/>
          <w:color w:val="000000"/>
          <w:szCs w:val="20"/>
        </w:rPr>
        <w:t>обліковувались</w:t>
      </w:r>
      <w:proofErr w:type="spellEnd"/>
      <w:r w:rsidRPr="00257F26">
        <w:rPr>
          <w:rFonts w:ascii="Times New Roman" w:hAnsi="Times New Roman"/>
          <w:color w:val="000000"/>
          <w:szCs w:val="20"/>
        </w:rPr>
        <w:t xml:space="preserve"> у </w:t>
      </w:r>
      <w:proofErr w:type="spellStart"/>
      <w:r w:rsidRPr="00257F26">
        <w:rPr>
          <w:rFonts w:ascii="Times New Roman" w:hAnsi="Times New Roman"/>
          <w:color w:val="000000"/>
          <w:szCs w:val="20"/>
        </w:rPr>
        <w:t>неї</w:t>
      </w:r>
      <w:proofErr w:type="spellEnd"/>
      <w:r w:rsidRPr="00257F26">
        <w:rPr>
          <w:rFonts w:ascii="Times New Roman" w:hAnsi="Times New Roman"/>
          <w:color w:val="000000"/>
          <w:szCs w:val="20"/>
        </w:rPr>
        <w:t xml:space="preserve">, та не </w:t>
      </w:r>
      <w:proofErr w:type="spellStart"/>
      <w:r w:rsidRPr="00257F26">
        <w:rPr>
          <w:rFonts w:ascii="Times New Roman" w:hAnsi="Times New Roman"/>
          <w:color w:val="000000"/>
          <w:szCs w:val="20"/>
        </w:rPr>
        <w:t>були</w:t>
      </w:r>
      <w:proofErr w:type="spellEnd"/>
      <w:r w:rsidRPr="00257F26">
        <w:rPr>
          <w:rFonts w:ascii="Times New Roman" w:hAnsi="Times New Roman"/>
          <w:color w:val="000000"/>
          <w:szCs w:val="20"/>
        </w:rPr>
        <w:t xml:space="preserve"> нею </w:t>
      </w:r>
      <w:proofErr w:type="spellStart"/>
      <w:r w:rsidRPr="00257F26">
        <w:rPr>
          <w:rFonts w:ascii="Times New Roman" w:hAnsi="Times New Roman"/>
          <w:color w:val="000000"/>
          <w:szCs w:val="20"/>
        </w:rPr>
        <w:t>виплачені</w:t>
      </w:r>
      <w:proofErr w:type="spellEnd"/>
      <w:r w:rsidRPr="00257F26">
        <w:rPr>
          <w:rFonts w:ascii="Times New Roman" w:hAnsi="Times New Roman"/>
          <w:color w:val="000000"/>
          <w:szCs w:val="20"/>
        </w:rPr>
        <w:t xml:space="preserve"> особам, </w:t>
      </w:r>
      <w:proofErr w:type="spellStart"/>
      <w:r w:rsidRPr="00257F26">
        <w:rPr>
          <w:rFonts w:ascii="Times New Roman" w:hAnsi="Times New Roman"/>
          <w:color w:val="000000"/>
          <w:szCs w:val="20"/>
        </w:rPr>
        <w:t>які</w:t>
      </w:r>
      <w:proofErr w:type="spellEnd"/>
      <w:r w:rsidRPr="00257F26">
        <w:rPr>
          <w:rFonts w:ascii="Times New Roman" w:hAnsi="Times New Roman"/>
          <w:color w:val="000000"/>
          <w:szCs w:val="20"/>
        </w:rPr>
        <w:t xml:space="preserve"> </w:t>
      </w:r>
      <w:proofErr w:type="spellStart"/>
      <w:r w:rsidRPr="00257F26">
        <w:rPr>
          <w:rFonts w:ascii="Times New Roman" w:hAnsi="Times New Roman"/>
          <w:color w:val="000000"/>
          <w:szCs w:val="20"/>
        </w:rPr>
        <w:t>мають</w:t>
      </w:r>
      <w:proofErr w:type="spellEnd"/>
      <w:r w:rsidRPr="00257F26">
        <w:rPr>
          <w:rFonts w:ascii="Times New Roman" w:hAnsi="Times New Roman"/>
          <w:color w:val="000000"/>
          <w:szCs w:val="20"/>
        </w:rPr>
        <w:t xml:space="preserve"> право на </w:t>
      </w:r>
      <w:proofErr w:type="spellStart"/>
      <w:r w:rsidRPr="00257F26">
        <w:rPr>
          <w:rFonts w:ascii="Times New Roman" w:hAnsi="Times New Roman"/>
          <w:color w:val="000000"/>
          <w:szCs w:val="20"/>
        </w:rPr>
        <w:t>їх</w:t>
      </w:r>
      <w:proofErr w:type="spellEnd"/>
      <w:r w:rsidRPr="00257F26">
        <w:rPr>
          <w:rFonts w:ascii="Times New Roman" w:hAnsi="Times New Roman"/>
          <w:color w:val="000000"/>
          <w:szCs w:val="20"/>
        </w:rPr>
        <w:t xml:space="preserve"> </w:t>
      </w:r>
      <w:proofErr w:type="spellStart"/>
      <w:r w:rsidRPr="00257F26">
        <w:rPr>
          <w:rFonts w:ascii="Times New Roman" w:hAnsi="Times New Roman"/>
          <w:color w:val="000000"/>
          <w:szCs w:val="20"/>
        </w:rPr>
        <w:t>отримання</w:t>
      </w:r>
      <w:proofErr w:type="spellEnd"/>
      <w:r w:rsidRPr="00257F26">
        <w:rPr>
          <w:rFonts w:ascii="Times New Roman" w:hAnsi="Times New Roman"/>
          <w:color w:val="000000"/>
          <w:szCs w:val="20"/>
        </w:rPr>
        <w:t xml:space="preserve">, у </w:t>
      </w:r>
      <w:proofErr w:type="spellStart"/>
      <w:r w:rsidRPr="00257F26">
        <w:rPr>
          <w:rFonts w:ascii="Times New Roman" w:hAnsi="Times New Roman"/>
          <w:color w:val="000000"/>
          <w:szCs w:val="20"/>
        </w:rPr>
        <w:t>встановленому</w:t>
      </w:r>
      <w:proofErr w:type="spellEnd"/>
      <w:r w:rsidRPr="00257F26">
        <w:rPr>
          <w:rFonts w:ascii="Times New Roman" w:hAnsi="Times New Roman"/>
          <w:color w:val="000000"/>
          <w:szCs w:val="20"/>
        </w:rPr>
        <w:t xml:space="preserve"> </w:t>
      </w:r>
      <w:proofErr w:type="spellStart"/>
      <w:r w:rsidRPr="00257F26">
        <w:rPr>
          <w:rFonts w:ascii="Times New Roman" w:hAnsi="Times New Roman"/>
          <w:color w:val="000000"/>
          <w:szCs w:val="20"/>
        </w:rPr>
        <w:t>законодавством</w:t>
      </w:r>
      <w:proofErr w:type="spellEnd"/>
      <w:r w:rsidRPr="00257F26">
        <w:rPr>
          <w:rFonts w:ascii="Times New Roman" w:hAnsi="Times New Roman"/>
          <w:color w:val="000000"/>
          <w:szCs w:val="20"/>
        </w:rPr>
        <w:t xml:space="preserve"> порядку на </w:t>
      </w:r>
      <w:proofErr w:type="spellStart"/>
      <w:r w:rsidRPr="00257F26">
        <w:rPr>
          <w:rFonts w:ascii="Times New Roman" w:hAnsi="Times New Roman"/>
          <w:color w:val="000000"/>
          <w:szCs w:val="20"/>
        </w:rPr>
        <w:t>грошовий</w:t>
      </w:r>
      <w:proofErr w:type="spellEnd"/>
      <w:r w:rsidRPr="00257F26">
        <w:rPr>
          <w:rFonts w:ascii="Times New Roman" w:hAnsi="Times New Roman"/>
          <w:color w:val="000000"/>
          <w:szCs w:val="20"/>
        </w:rPr>
        <w:t xml:space="preserve"> </w:t>
      </w:r>
      <w:proofErr w:type="spellStart"/>
      <w:r w:rsidRPr="00257F26">
        <w:rPr>
          <w:rFonts w:ascii="Times New Roman" w:hAnsi="Times New Roman"/>
          <w:color w:val="000000"/>
          <w:szCs w:val="20"/>
        </w:rPr>
        <w:t>рахунок</w:t>
      </w:r>
      <w:proofErr w:type="spellEnd"/>
      <w:r w:rsidRPr="00257F26">
        <w:rPr>
          <w:rFonts w:ascii="Times New Roman" w:hAnsi="Times New Roman"/>
          <w:color w:val="000000"/>
          <w:szCs w:val="20"/>
        </w:rPr>
        <w:t xml:space="preserve"> Центрального </w:t>
      </w:r>
      <w:proofErr w:type="spellStart"/>
      <w:r w:rsidRPr="00257F26">
        <w:rPr>
          <w:rFonts w:ascii="Times New Roman" w:hAnsi="Times New Roman"/>
          <w:color w:val="000000"/>
          <w:szCs w:val="20"/>
        </w:rPr>
        <w:t>депозитарію</w:t>
      </w:r>
      <w:proofErr w:type="spellEnd"/>
      <w:r w:rsidRPr="00257F26">
        <w:rPr>
          <w:rFonts w:ascii="Times New Roman" w:hAnsi="Times New Roman"/>
          <w:color w:val="000000"/>
          <w:szCs w:val="20"/>
        </w:rPr>
        <w:t xml:space="preserve"> у </w:t>
      </w:r>
      <w:proofErr w:type="spellStart"/>
      <w:r w:rsidRPr="00257F26">
        <w:rPr>
          <w:rFonts w:ascii="Times New Roman" w:hAnsi="Times New Roman"/>
          <w:color w:val="000000"/>
          <w:szCs w:val="20"/>
        </w:rPr>
        <w:t>Розрахунковому</w:t>
      </w:r>
      <w:proofErr w:type="spellEnd"/>
      <w:r w:rsidRPr="00257F26">
        <w:rPr>
          <w:rFonts w:ascii="Times New Roman" w:hAnsi="Times New Roman"/>
          <w:color w:val="000000"/>
          <w:szCs w:val="20"/>
        </w:rPr>
        <w:t xml:space="preserve"> </w:t>
      </w:r>
      <w:proofErr w:type="spellStart"/>
      <w:r w:rsidRPr="00257F26">
        <w:rPr>
          <w:rFonts w:ascii="Times New Roman" w:hAnsi="Times New Roman"/>
          <w:color w:val="000000"/>
          <w:szCs w:val="20"/>
        </w:rPr>
        <w:t>центрі</w:t>
      </w:r>
      <w:proofErr w:type="spellEnd"/>
      <w:r w:rsidRPr="00257F26">
        <w:rPr>
          <w:rFonts w:ascii="Times New Roman" w:hAnsi="Times New Roman"/>
          <w:color w:val="000000"/>
          <w:szCs w:val="20"/>
        </w:rPr>
        <w:t xml:space="preserve"> з </w:t>
      </w:r>
      <w:proofErr w:type="spellStart"/>
      <w:r w:rsidRPr="00257F26">
        <w:rPr>
          <w:rFonts w:ascii="Times New Roman" w:hAnsi="Times New Roman"/>
          <w:color w:val="000000"/>
          <w:szCs w:val="20"/>
        </w:rPr>
        <w:t>одночасним</w:t>
      </w:r>
      <w:proofErr w:type="spellEnd"/>
      <w:r w:rsidRPr="00257F26">
        <w:rPr>
          <w:rFonts w:ascii="Times New Roman" w:hAnsi="Times New Roman"/>
          <w:color w:val="000000"/>
          <w:szCs w:val="20"/>
        </w:rPr>
        <w:t xml:space="preserve"> </w:t>
      </w:r>
      <w:proofErr w:type="spellStart"/>
      <w:r w:rsidRPr="00257F26">
        <w:rPr>
          <w:rFonts w:ascii="Times New Roman" w:hAnsi="Times New Roman"/>
          <w:color w:val="000000"/>
          <w:szCs w:val="20"/>
        </w:rPr>
        <w:t>поданням</w:t>
      </w:r>
      <w:proofErr w:type="spellEnd"/>
      <w:r w:rsidRPr="00257F26">
        <w:rPr>
          <w:rFonts w:ascii="Times New Roman" w:hAnsi="Times New Roman"/>
          <w:color w:val="000000"/>
          <w:szCs w:val="20"/>
        </w:rPr>
        <w:t xml:space="preserve"> Центральному </w:t>
      </w:r>
      <w:proofErr w:type="spellStart"/>
      <w:r w:rsidRPr="00257F26">
        <w:rPr>
          <w:rFonts w:ascii="Times New Roman" w:hAnsi="Times New Roman"/>
          <w:color w:val="000000"/>
          <w:szCs w:val="20"/>
        </w:rPr>
        <w:t>депозитарію</w:t>
      </w:r>
      <w:proofErr w:type="spellEnd"/>
      <w:r w:rsidRPr="00257F26">
        <w:rPr>
          <w:rFonts w:ascii="Times New Roman" w:hAnsi="Times New Roman"/>
          <w:color w:val="000000"/>
          <w:szCs w:val="20"/>
        </w:rPr>
        <w:t xml:space="preserve"> </w:t>
      </w:r>
      <w:proofErr w:type="spellStart"/>
      <w:r w:rsidRPr="00257F26">
        <w:rPr>
          <w:rFonts w:ascii="Times New Roman" w:hAnsi="Times New Roman"/>
          <w:color w:val="000000"/>
          <w:szCs w:val="20"/>
        </w:rPr>
        <w:t>відповідного</w:t>
      </w:r>
      <w:proofErr w:type="spellEnd"/>
      <w:r w:rsidRPr="00257F26">
        <w:rPr>
          <w:rFonts w:ascii="Times New Roman" w:hAnsi="Times New Roman"/>
          <w:color w:val="000000"/>
          <w:szCs w:val="20"/>
        </w:rPr>
        <w:t xml:space="preserve"> </w:t>
      </w:r>
      <w:proofErr w:type="spellStart"/>
      <w:r w:rsidRPr="00257F26">
        <w:rPr>
          <w:rFonts w:ascii="Times New Roman" w:hAnsi="Times New Roman"/>
          <w:color w:val="000000"/>
          <w:szCs w:val="20"/>
        </w:rPr>
        <w:t>повідомлення</w:t>
      </w:r>
      <w:proofErr w:type="spellEnd"/>
      <w:r w:rsidRPr="00257F26">
        <w:rPr>
          <w:rFonts w:ascii="Times New Roman" w:hAnsi="Times New Roman"/>
          <w:color w:val="000000"/>
          <w:szCs w:val="20"/>
        </w:rPr>
        <w:t xml:space="preserve"> </w:t>
      </w:r>
      <w:proofErr w:type="spellStart"/>
      <w:r w:rsidRPr="00257F26">
        <w:rPr>
          <w:rFonts w:ascii="Times New Roman" w:hAnsi="Times New Roman"/>
          <w:color w:val="000000"/>
          <w:szCs w:val="20"/>
        </w:rPr>
        <w:t>щодо</w:t>
      </w:r>
      <w:proofErr w:type="spellEnd"/>
      <w:r w:rsidRPr="00257F26">
        <w:rPr>
          <w:rFonts w:ascii="Times New Roman" w:hAnsi="Times New Roman"/>
          <w:color w:val="000000"/>
          <w:szCs w:val="20"/>
        </w:rPr>
        <w:t xml:space="preserve"> </w:t>
      </w:r>
      <w:proofErr w:type="spellStart"/>
      <w:r w:rsidRPr="00257F26">
        <w:rPr>
          <w:rFonts w:ascii="Times New Roman" w:hAnsi="Times New Roman"/>
          <w:color w:val="000000"/>
          <w:szCs w:val="20"/>
        </w:rPr>
        <w:t>загальної</w:t>
      </w:r>
      <w:proofErr w:type="spellEnd"/>
      <w:r w:rsidRPr="00257F26">
        <w:rPr>
          <w:rFonts w:ascii="Times New Roman" w:hAnsi="Times New Roman"/>
          <w:color w:val="000000"/>
          <w:szCs w:val="20"/>
        </w:rPr>
        <w:t xml:space="preserve"> </w:t>
      </w:r>
      <w:proofErr w:type="spellStart"/>
      <w:r w:rsidRPr="00257F26">
        <w:rPr>
          <w:rFonts w:ascii="Times New Roman" w:hAnsi="Times New Roman"/>
          <w:color w:val="000000"/>
          <w:szCs w:val="20"/>
        </w:rPr>
        <w:t>суми</w:t>
      </w:r>
      <w:proofErr w:type="spellEnd"/>
      <w:r w:rsidRPr="00257F26">
        <w:rPr>
          <w:rFonts w:ascii="Times New Roman" w:hAnsi="Times New Roman"/>
          <w:color w:val="000000"/>
          <w:szCs w:val="20"/>
        </w:rPr>
        <w:t xml:space="preserve"> </w:t>
      </w:r>
      <w:proofErr w:type="spellStart"/>
      <w:r w:rsidRPr="00257F26">
        <w:rPr>
          <w:rFonts w:ascii="Times New Roman" w:hAnsi="Times New Roman"/>
          <w:color w:val="000000"/>
          <w:szCs w:val="20"/>
        </w:rPr>
        <w:t>коштів</w:t>
      </w:r>
      <w:proofErr w:type="spellEnd"/>
      <w:r w:rsidRPr="00257F26">
        <w:rPr>
          <w:rFonts w:ascii="Times New Roman" w:hAnsi="Times New Roman"/>
          <w:color w:val="000000"/>
          <w:szCs w:val="20"/>
        </w:rPr>
        <w:t xml:space="preserve"> </w:t>
      </w:r>
      <w:proofErr w:type="spellStart"/>
      <w:r w:rsidRPr="00257F26">
        <w:rPr>
          <w:rFonts w:ascii="Times New Roman" w:hAnsi="Times New Roman"/>
          <w:color w:val="000000"/>
          <w:szCs w:val="20"/>
        </w:rPr>
        <w:t>окремо</w:t>
      </w:r>
      <w:proofErr w:type="spellEnd"/>
      <w:r w:rsidRPr="00257F26">
        <w:rPr>
          <w:rFonts w:ascii="Times New Roman" w:hAnsi="Times New Roman"/>
          <w:color w:val="000000"/>
          <w:szCs w:val="20"/>
        </w:rPr>
        <w:t xml:space="preserve"> за </w:t>
      </w:r>
      <w:proofErr w:type="spellStart"/>
      <w:r w:rsidRPr="00257F26">
        <w:rPr>
          <w:rFonts w:ascii="Times New Roman" w:hAnsi="Times New Roman"/>
          <w:color w:val="000000"/>
          <w:szCs w:val="20"/>
        </w:rPr>
        <w:t>відповідним</w:t>
      </w:r>
      <w:proofErr w:type="spellEnd"/>
      <w:r w:rsidRPr="00257F26">
        <w:rPr>
          <w:rFonts w:ascii="Times New Roman" w:hAnsi="Times New Roman"/>
          <w:color w:val="000000"/>
          <w:szCs w:val="20"/>
        </w:rPr>
        <w:t xml:space="preserve"> </w:t>
      </w:r>
      <w:proofErr w:type="spellStart"/>
      <w:r w:rsidRPr="00257F26">
        <w:rPr>
          <w:rFonts w:ascii="Times New Roman" w:hAnsi="Times New Roman"/>
          <w:color w:val="000000"/>
          <w:szCs w:val="20"/>
        </w:rPr>
        <w:t>випуском</w:t>
      </w:r>
      <w:proofErr w:type="spellEnd"/>
      <w:r w:rsidRPr="00257F26">
        <w:rPr>
          <w:rFonts w:ascii="Times New Roman" w:hAnsi="Times New Roman"/>
          <w:color w:val="000000"/>
          <w:szCs w:val="20"/>
        </w:rPr>
        <w:t xml:space="preserve"> </w:t>
      </w:r>
      <w:proofErr w:type="spellStart"/>
      <w:r w:rsidRPr="00257F26">
        <w:rPr>
          <w:rFonts w:ascii="Times New Roman" w:hAnsi="Times New Roman"/>
          <w:color w:val="000000"/>
          <w:szCs w:val="20"/>
        </w:rPr>
        <w:t>цінних</w:t>
      </w:r>
      <w:proofErr w:type="spellEnd"/>
      <w:r w:rsidRPr="00257F26">
        <w:rPr>
          <w:rFonts w:ascii="Times New Roman" w:hAnsi="Times New Roman"/>
          <w:color w:val="000000"/>
          <w:szCs w:val="20"/>
        </w:rPr>
        <w:t xml:space="preserve"> </w:t>
      </w:r>
      <w:proofErr w:type="spellStart"/>
      <w:r w:rsidRPr="00257F26">
        <w:rPr>
          <w:rFonts w:ascii="Times New Roman" w:hAnsi="Times New Roman"/>
          <w:color w:val="000000"/>
          <w:szCs w:val="20"/>
        </w:rPr>
        <w:t>паперів</w:t>
      </w:r>
      <w:proofErr w:type="spellEnd"/>
      <w:r w:rsidRPr="00257F26">
        <w:rPr>
          <w:rFonts w:ascii="Times New Roman" w:hAnsi="Times New Roman"/>
          <w:color w:val="000000"/>
          <w:szCs w:val="20"/>
        </w:rPr>
        <w:t xml:space="preserve"> та </w:t>
      </w:r>
      <w:proofErr w:type="spellStart"/>
      <w:r w:rsidRPr="00257F26">
        <w:rPr>
          <w:rFonts w:ascii="Times New Roman" w:hAnsi="Times New Roman"/>
          <w:color w:val="000000"/>
          <w:szCs w:val="20"/>
        </w:rPr>
        <w:t>відповідного</w:t>
      </w:r>
      <w:proofErr w:type="spellEnd"/>
      <w:r w:rsidRPr="00257F26">
        <w:rPr>
          <w:rFonts w:ascii="Times New Roman" w:hAnsi="Times New Roman"/>
          <w:color w:val="000000"/>
          <w:szCs w:val="20"/>
        </w:rPr>
        <w:t xml:space="preserve"> </w:t>
      </w:r>
      <w:proofErr w:type="spellStart"/>
      <w:r w:rsidRPr="00257F26">
        <w:rPr>
          <w:rFonts w:ascii="Times New Roman" w:hAnsi="Times New Roman"/>
          <w:color w:val="000000"/>
          <w:szCs w:val="20"/>
        </w:rPr>
        <w:t>розпорядження</w:t>
      </w:r>
      <w:proofErr w:type="spellEnd"/>
      <w:r w:rsidRPr="00257F26">
        <w:rPr>
          <w:rFonts w:ascii="Times New Roman" w:hAnsi="Times New Roman"/>
          <w:color w:val="000000"/>
          <w:szCs w:val="20"/>
        </w:rPr>
        <w:t xml:space="preserve"> у порядку, </w:t>
      </w:r>
      <w:proofErr w:type="spellStart"/>
      <w:r w:rsidRPr="00257F26">
        <w:rPr>
          <w:rFonts w:ascii="Times New Roman" w:hAnsi="Times New Roman"/>
          <w:color w:val="000000"/>
          <w:szCs w:val="20"/>
        </w:rPr>
        <w:t>визначеному</w:t>
      </w:r>
      <w:proofErr w:type="spellEnd"/>
      <w:r w:rsidRPr="00257F26">
        <w:rPr>
          <w:rFonts w:ascii="Times New Roman" w:hAnsi="Times New Roman"/>
          <w:color w:val="000000"/>
          <w:szCs w:val="20"/>
        </w:rPr>
        <w:t xml:space="preserve"> </w:t>
      </w:r>
      <w:proofErr w:type="spellStart"/>
      <w:r w:rsidRPr="00257F26">
        <w:rPr>
          <w:rFonts w:ascii="Times New Roman" w:hAnsi="Times New Roman"/>
          <w:color w:val="000000"/>
          <w:szCs w:val="20"/>
        </w:rPr>
        <w:t>внутрішніми</w:t>
      </w:r>
      <w:proofErr w:type="spellEnd"/>
      <w:r w:rsidRPr="00257F26">
        <w:rPr>
          <w:rFonts w:ascii="Times New Roman" w:hAnsi="Times New Roman"/>
          <w:color w:val="000000"/>
          <w:szCs w:val="20"/>
        </w:rPr>
        <w:t xml:space="preserve"> документами Центрального </w:t>
      </w:r>
      <w:proofErr w:type="spellStart"/>
      <w:r w:rsidRPr="00257F26">
        <w:rPr>
          <w:rFonts w:ascii="Times New Roman" w:hAnsi="Times New Roman"/>
          <w:color w:val="000000"/>
          <w:szCs w:val="20"/>
        </w:rPr>
        <w:t>депозитарію</w:t>
      </w:r>
      <w:proofErr w:type="spellEnd"/>
      <w:r w:rsidRPr="00257F26">
        <w:rPr>
          <w:rFonts w:ascii="Times New Roman" w:hAnsi="Times New Roman"/>
          <w:color w:val="000000"/>
          <w:szCs w:val="20"/>
        </w:rPr>
        <w:t>.</w:t>
      </w:r>
      <w:r w:rsidR="00CA224D" w:rsidRPr="00E16672">
        <w:rPr>
          <w:rFonts w:ascii="Times New Roman" w:hAnsi="Times New Roman"/>
          <w:color w:val="000000"/>
          <w:szCs w:val="20"/>
        </w:rPr>
        <w:t xml:space="preserve"> </w:t>
      </w:r>
    </w:p>
    <w:p w14:paraId="69822026" w14:textId="77777777" w:rsidR="00CA224D" w:rsidRPr="00E16672" w:rsidRDefault="00CA224D" w:rsidP="00591068">
      <w:pPr>
        <w:rPr>
          <w:rFonts w:ascii="Times New Roman" w:hAnsi="Times New Roman"/>
          <w:color w:val="000000"/>
          <w:szCs w:val="20"/>
          <w:lang w:val="uk-UA"/>
        </w:rPr>
      </w:pPr>
      <w:r w:rsidRPr="00E16672">
        <w:rPr>
          <w:rFonts w:ascii="Times New Roman" w:hAnsi="Times New Roman"/>
          <w:color w:val="000000"/>
          <w:szCs w:val="20"/>
        </w:rPr>
        <w:t>1</w:t>
      </w:r>
      <w:r w:rsidR="00AC4F94" w:rsidRPr="00E16672">
        <w:rPr>
          <w:rFonts w:ascii="Times New Roman" w:hAnsi="Times New Roman"/>
          <w:color w:val="000000"/>
          <w:szCs w:val="20"/>
          <w:lang w:val="uk-UA"/>
        </w:rPr>
        <w:t>2</w:t>
      </w:r>
      <w:r w:rsidRPr="00E16672">
        <w:rPr>
          <w:rFonts w:ascii="Times New Roman" w:hAnsi="Times New Roman"/>
          <w:color w:val="000000"/>
          <w:szCs w:val="20"/>
        </w:rPr>
        <w:t xml:space="preserve">.4. У </w:t>
      </w:r>
      <w:proofErr w:type="spellStart"/>
      <w:r w:rsidRPr="00E16672">
        <w:rPr>
          <w:rFonts w:ascii="Times New Roman" w:hAnsi="Times New Roman"/>
          <w:color w:val="000000"/>
          <w:szCs w:val="20"/>
        </w:rPr>
        <w:t>разі</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наявності</w:t>
      </w:r>
      <w:proofErr w:type="spellEnd"/>
      <w:r w:rsidR="003352AE" w:rsidRPr="00E16672">
        <w:rPr>
          <w:rFonts w:ascii="Times New Roman" w:hAnsi="Times New Roman"/>
          <w:color w:val="000000"/>
          <w:szCs w:val="20"/>
        </w:rPr>
        <w:t xml:space="preserve"> </w:t>
      </w:r>
      <w:proofErr w:type="spellStart"/>
      <w:r w:rsidRPr="00E16672">
        <w:rPr>
          <w:rFonts w:ascii="Times New Roman" w:hAnsi="Times New Roman"/>
          <w:color w:val="000000"/>
          <w:szCs w:val="20"/>
        </w:rPr>
        <w:t>заборгованості</w:t>
      </w:r>
      <w:proofErr w:type="spellEnd"/>
      <w:r w:rsidRPr="00E16672">
        <w:rPr>
          <w:rFonts w:ascii="Times New Roman" w:hAnsi="Times New Roman"/>
          <w:color w:val="000000"/>
          <w:szCs w:val="20"/>
        </w:rPr>
        <w:t xml:space="preserve"> з боку Депонента за </w:t>
      </w:r>
      <w:proofErr w:type="spellStart"/>
      <w:r w:rsidRPr="00E16672">
        <w:rPr>
          <w:rFonts w:ascii="Times New Roman" w:hAnsi="Times New Roman"/>
          <w:color w:val="000000"/>
          <w:szCs w:val="20"/>
        </w:rPr>
        <w:t>послуги</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Депозитарної</w:t>
      </w:r>
      <w:proofErr w:type="spellEnd"/>
      <w:r w:rsidRPr="00E16672">
        <w:rPr>
          <w:rFonts w:ascii="Times New Roman" w:hAnsi="Times New Roman"/>
          <w:color w:val="000000"/>
          <w:szCs w:val="20"/>
        </w:rPr>
        <w:t xml:space="preserve"> установи </w:t>
      </w:r>
      <w:proofErr w:type="spellStart"/>
      <w:r w:rsidRPr="00E16672">
        <w:rPr>
          <w:rFonts w:ascii="Times New Roman" w:hAnsi="Times New Roman"/>
          <w:color w:val="000000"/>
          <w:szCs w:val="20"/>
        </w:rPr>
        <w:t>термін</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здійснення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виплати</w:t>
      </w:r>
      <w:proofErr w:type="spellEnd"/>
      <w:r w:rsidRPr="00E16672">
        <w:rPr>
          <w:rFonts w:ascii="Times New Roman" w:hAnsi="Times New Roman"/>
          <w:color w:val="000000"/>
          <w:szCs w:val="20"/>
        </w:rPr>
        <w:t xml:space="preserve"> доходу за </w:t>
      </w:r>
      <w:proofErr w:type="spellStart"/>
      <w:r w:rsidRPr="00E16672">
        <w:rPr>
          <w:rFonts w:ascii="Times New Roman" w:hAnsi="Times New Roman"/>
          <w:color w:val="000000"/>
          <w:szCs w:val="20"/>
        </w:rPr>
        <w:t>цінними</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паперами</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грошових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коштів</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отриманих</w:t>
      </w:r>
      <w:proofErr w:type="spellEnd"/>
      <w:r w:rsidRPr="00E16672">
        <w:rPr>
          <w:rFonts w:ascii="Times New Roman" w:hAnsi="Times New Roman"/>
          <w:color w:val="000000"/>
          <w:szCs w:val="20"/>
        </w:rPr>
        <w:t xml:space="preserve"> за результатами </w:t>
      </w:r>
      <w:proofErr w:type="spellStart"/>
      <w:r w:rsidRPr="00E16672">
        <w:rPr>
          <w:rFonts w:ascii="Times New Roman" w:hAnsi="Times New Roman"/>
          <w:color w:val="000000"/>
          <w:szCs w:val="20"/>
        </w:rPr>
        <w:t>погашення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цінних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паперів</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емітента</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отриманих</w:t>
      </w:r>
      <w:proofErr w:type="spellEnd"/>
      <w:r w:rsidRPr="00E16672">
        <w:rPr>
          <w:rFonts w:ascii="Times New Roman" w:hAnsi="Times New Roman"/>
          <w:color w:val="000000"/>
          <w:szCs w:val="20"/>
        </w:rPr>
        <w:t xml:space="preserve"> Депонентом за результатами </w:t>
      </w:r>
      <w:proofErr w:type="spellStart"/>
      <w:r w:rsidRPr="00E16672">
        <w:rPr>
          <w:rFonts w:ascii="Times New Roman" w:hAnsi="Times New Roman"/>
          <w:color w:val="000000"/>
          <w:szCs w:val="20"/>
        </w:rPr>
        <w:t>проведення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корпоративних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операцій</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емітента</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може</w:t>
      </w:r>
      <w:proofErr w:type="spellEnd"/>
      <w:r w:rsidRPr="00E16672">
        <w:rPr>
          <w:rFonts w:ascii="Times New Roman" w:hAnsi="Times New Roman"/>
          <w:color w:val="000000"/>
          <w:szCs w:val="20"/>
        </w:rPr>
        <w:t xml:space="preserve"> бути </w:t>
      </w:r>
      <w:proofErr w:type="spellStart"/>
      <w:r w:rsidRPr="00E16672">
        <w:rPr>
          <w:rFonts w:ascii="Times New Roman" w:hAnsi="Times New Roman"/>
          <w:color w:val="000000"/>
          <w:szCs w:val="20"/>
        </w:rPr>
        <w:t>збільшений</w:t>
      </w:r>
      <w:proofErr w:type="spellEnd"/>
      <w:r w:rsidRPr="00E16672">
        <w:rPr>
          <w:rFonts w:ascii="Times New Roman" w:hAnsi="Times New Roman"/>
          <w:color w:val="000000"/>
          <w:szCs w:val="20"/>
        </w:rPr>
        <w:t xml:space="preserve"> </w:t>
      </w:r>
      <w:proofErr w:type="gramStart"/>
      <w:r w:rsidRPr="00E16672">
        <w:rPr>
          <w:rFonts w:ascii="Times New Roman" w:hAnsi="Times New Roman"/>
          <w:color w:val="000000"/>
          <w:szCs w:val="20"/>
        </w:rPr>
        <w:t>до моменту</w:t>
      </w:r>
      <w:proofErr w:type="gram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сплати</w:t>
      </w:r>
      <w:proofErr w:type="spellEnd"/>
      <w:r w:rsidRPr="00E16672">
        <w:rPr>
          <w:rFonts w:ascii="Times New Roman" w:hAnsi="Times New Roman"/>
          <w:color w:val="000000"/>
          <w:szCs w:val="20"/>
        </w:rPr>
        <w:t xml:space="preserve"> Депонентом </w:t>
      </w:r>
      <w:proofErr w:type="spellStart"/>
      <w:r w:rsidRPr="00E16672">
        <w:rPr>
          <w:rFonts w:ascii="Times New Roman" w:hAnsi="Times New Roman"/>
          <w:color w:val="000000"/>
          <w:szCs w:val="20"/>
        </w:rPr>
        <w:t>заборгованості</w:t>
      </w:r>
      <w:proofErr w:type="spellEnd"/>
      <w:r w:rsidRPr="00E16672">
        <w:rPr>
          <w:rFonts w:ascii="Times New Roman" w:hAnsi="Times New Roman"/>
          <w:color w:val="000000"/>
          <w:szCs w:val="20"/>
        </w:rPr>
        <w:t>.</w:t>
      </w:r>
    </w:p>
    <w:p w14:paraId="40184977" w14:textId="77777777" w:rsidR="00591068" w:rsidRPr="00E16672" w:rsidRDefault="00591068" w:rsidP="00591068">
      <w:pPr>
        <w:suppressAutoHyphens w:val="0"/>
        <w:rPr>
          <w:rFonts w:ascii="Times New Roman" w:hAnsi="Times New Roman"/>
          <w:color w:val="000000"/>
          <w:szCs w:val="20"/>
          <w:lang w:val="uk-UA"/>
        </w:rPr>
      </w:pPr>
      <w:r w:rsidRPr="00E16672">
        <w:rPr>
          <w:rFonts w:ascii="Times New Roman" w:hAnsi="Times New Roman"/>
          <w:color w:val="000000"/>
          <w:szCs w:val="20"/>
          <w:lang w:val="uk-UA"/>
        </w:rPr>
        <w:t>1</w:t>
      </w:r>
      <w:r w:rsidR="00AC4F94" w:rsidRPr="00E16672">
        <w:rPr>
          <w:rFonts w:ascii="Times New Roman" w:hAnsi="Times New Roman"/>
          <w:color w:val="000000"/>
          <w:szCs w:val="20"/>
          <w:lang w:val="uk-UA"/>
        </w:rPr>
        <w:t>2</w:t>
      </w:r>
      <w:r w:rsidRPr="00E16672">
        <w:rPr>
          <w:rFonts w:ascii="Times New Roman" w:hAnsi="Times New Roman"/>
          <w:color w:val="000000"/>
          <w:szCs w:val="20"/>
          <w:lang w:val="uk-UA"/>
        </w:rPr>
        <w:t xml:space="preserve">.5. Виплата дивідендів (доходів) </w:t>
      </w:r>
      <w:r w:rsidR="00D051CC" w:rsidRPr="00E16672">
        <w:rPr>
          <w:rFonts w:ascii="Times New Roman" w:hAnsi="Times New Roman"/>
          <w:szCs w:val="20"/>
          <w:lang w:val="uk-UA" w:eastAsia="ru-RU"/>
        </w:rPr>
        <w:t>та інших виплат, що здійснюються (здійснювалися) відповідно до закону,</w:t>
      </w:r>
      <w:r w:rsidR="00D051CC" w:rsidRPr="00E16672">
        <w:rPr>
          <w:rFonts w:ascii="Times New Roman" w:hAnsi="Times New Roman"/>
          <w:lang w:val="uk-UA" w:eastAsia="ru-RU"/>
        </w:rPr>
        <w:t xml:space="preserve"> </w:t>
      </w:r>
      <w:r w:rsidRPr="00E16672">
        <w:rPr>
          <w:rFonts w:ascii="Times New Roman" w:hAnsi="Times New Roman"/>
          <w:color w:val="000000"/>
          <w:szCs w:val="20"/>
          <w:lang w:val="uk-UA"/>
        </w:rPr>
        <w:t>за цінними паперами, які розміщені за межами України, здійснюється в порядку, встановленому Положенням про провадження депозитарної діяльності та внутрішніми документами Депозитарної установи.</w:t>
      </w:r>
    </w:p>
    <w:p w14:paraId="7EC73723" w14:textId="77777777" w:rsidR="00CA224D" w:rsidRPr="00E16672" w:rsidRDefault="00CA224D" w:rsidP="00D051CC">
      <w:pPr>
        <w:pStyle w:val="2"/>
        <w:rPr>
          <w:rFonts w:ascii="Times New Roman" w:hAnsi="Times New Roman" w:cs="Times New Roman"/>
          <w:lang w:val="uk-UA"/>
        </w:rPr>
      </w:pPr>
      <w:r w:rsidRPr="00E16672">
        <w:rPr>
          <w:rFonts w:ascii="Times New Roman" w:hAnsi="Times New Roman" w:cs="Times New Roman"/>
          <w:lang w:val="uk-UA"/>
        </w:rPr>
        <w:t>1</w:t>
      </w:r>
      <w:r w:rsidR="00AC4F94" w:rsidRPr="00E16672">
        <w:rPr>
          <w:rFonts w:ascii="Times New Roman" w:hAnsi="Times New Roman" w:cs="Times New Roman"/>
          <w:lang w:val="uk-UA"/>
        </w:rPr>
        <w:t>3</w:t>
      </w:r>
      <w:r w:rsidRPr="00E16672">
        <w:rPr>
          <w:rFonts w:ascii="Times New Roman" w:hAnsi="Times New Roman" w:cs="Times New Roman"/>
          <w:lang w:val="uk-UA"/>
        </w:rPr>
        <w:t>. Заключні положення</w:t>
      </w:r>
    </w:p>
    <w:p w14:paraId="3B9B42E9" w14:textId="77777777" w:rsidR="00CA224D" w:rsidRPr="00E16672" w:rsidRDefault="006742E6" w:rsidP="00CA224D">
      <w:pPr>
        <w:tabs>
          <w:tab w:val="left" w:pos="5954"/>
        </w:tabs>
        <w:rPr>
          <w:rFonts w:ascii="Times New Roman" w:hAnsi="Times New Roman"/>
          <w:color w:val="000000"/>
          <w:szCs w:val="20"/>
          <w:lang w:val="uk-UA"/>
        </w:rPr>
      </w:pPr>
      <w:r w:rsidRPr="00E16672">
        <w:rPr>
          <w:rFonts w:ascii="Times New Roman" w:hAnsi="Times New Roman"/>
          <w:color w:val="000000"/>
          <w:szCs w:val="20"/>
          <w:lang w:val="uk-UA"/>
        </w:rPr>
        <w:t>1</w:t>
      </w:r>
      <w:r w:rsidR="00AC4F94" w:rsidRPr="00E16672">
        <w:rPr>
          <w:rFonts w:ascii="Times New Roman" w:hAnsi="Times New Roman"/>
          <w:color w:val="000000"/>
          <w:szCs w:val="20"/>
          <w:lang w:val="uk-UA"/>
        </w:rPr>
        <w:t>3</w:t>
      </w:r>
      <w:r w:rsidRPr="00E16672">
        <w:rPr>
          <w:rFonts w:ascii="Times New Roman" w:hAnsi="Times New Roman"/>
          <w:color w:val="000000"/>
          <w:szCs w:val="20"/>
          <w:lang w:val="uk-UA"/>
        </w:rPr>
        <w:t xml:space="preserve">.1. </w:t>
      </w:r>
      <w:r w:rsidR="00CA224D" w:rsidRPr="00E16672">
        <w:rPr>
          <w:rFonts w:ascii="Times New Roman" w:hAnsi="Times New Roman"/>
          <w:color w:val="000000"/>
          <w:szCs w:val="20"/>
          <w:lang w:val="uk-UA"/>
        </w:rPr>
        <w:t xml:space="preserve">Цей Договір було складено у двох примірниках, </w:t>
      </w:r>
      <w:proofErr w:type="spellStart"/>
      <w:r w:rsidR="00CA224D" w:rsidRPr="00E16672">
        <w:rPr>
          <w:rFonts w:ascii="Times New Roman" w:hAnsi="Times New Roman"/>
          <w:color w:val="000000"/>
          <w:szCs w:val="20"/>
          <w:lang w:val="uk-UA"/>
        </w:rPr>
        <w:t>якi</w:t>
      </w:r>
      <w:proofErr w:type="spellEnd"/>
      <w:r w:rsidR="00CA224D" w:rsidRPr="00E16672">
        <w:rPr>
          <w:rFonts w:ascii="Times New Roman" w:hAnsi="Times New Roman"/>
          <w:color w:val="000000"/>
          <w:szCs w:val="20"/>
          <w:lang w:val="uk-UA"/>
        </w:rPr>
        <w:t xml:space="preserve"> мають однакову юридичну силу, по одному - Депонентові та Депозитарній установі. </w:t>
      </w:r>
    </w:p>
    <w:p w14:paraId="4E62AE99" w14:textId="77777777" w:rsidR="006742E6" w:rsidRPr="00E16672" w:rsidRDefault="006742E6" w:rsidP="00CA224D">
      <w:pPr>
        <w:tabs>
          <w:tab w:val="left" w:pos="5954"/>
        </w:tabs>
        <w:rPr>
          <w:rFonts w:ascii="Times New Roman" w:hAnsi="Times New Roman"/>
          <w:color w:val="000000"/>
          <w:szCs w:val="20"/>
          <w:lang w:val="uk-UA"/>
        </w:rPr>
      </w:pPr>
      <w:r w:rsidRPr="00E16672">
        <w:rPr>
          <w:rFonts w:ascii="Times New Roman" w:hAnsi="Times New Roman"/>
          <w:color w:val="000000"/>
          <w:szCs w:val="20"/>
          <w:lang w:val="uk-UA"/>
        </w:rPr>
        <w:t>1</w:t>
      </w:r>
      <w:r w:rsidR="00AC4F94" w:rsidRPr="00E16672">
        <w:rPr>
          <w:rFonts w:ascii="Times New Roman" w:hAnsi="Times New Roman"/>
          <w:color w:val="000000"/>
          <w:szCs w:val="20"/>
          <w:lang w:val="uk-UA"/>
        </w:rPr>
        <w:t>3</w:t>
      </w:r>
      <w:r w:rsidRPr="00E16672">
        <w:rPr>
          <w:rFonts w:ascii="Times New Roman" w:hAnsi="Times New Roman"/>
          <w:color w:val="000000"/>
          <w:szCs w:val="20"/>
          <w:lang w:val="uk-UA"/>
        </w:rPr>
        <w:t xml:space="preserve">.2. Підписуючи </w:t>
      </w:r>
      <w:r w:rsidR="008F34DB" w:rsidRPr="00E16672">
        <w:rPr>
          <w:rFonts w:ascii="Times New Roman" w:hAnsi="Times New Roman"/>
          <w:color w:val="000000"/>
          <w:szCs w:val="20"/>
          <w:lang w:val="uk-UA"/>
        </w:rPr>
        <w:t>ц</w:t>
      </w:r>
      <w:r w:rsidRPr="00E16672">
        <w:rPr>
          <w:rFonts w:ascii="Times New Roman" w:hAnsi="Times New Roman"/>
          <w:color w:val="000000"/>
          <w:szCs w:val="20"/>
          <w:lang w:val="uk-UA"/>
        </w:rPr>
        <w:t xml:space="preserve">ей Договір, Депонент засвідчує, що він ознайомлений з внутрішніми документами Депозитарної установи, </w:t>
      </w:r>
      <w:r w:rsidR="00D45F60" w:rsidRPr="00E16672">
        <w:rPr>
          <w:rFonts w:ascii="Times New Roman" w:hAnsi="Times New Roman"/>
          <w:color w:val="000000"/>
          <w:szCs w:val="20"/>
          <w:lang w:val="uk-UA"/>
        </w:rPr>
        <w:t>що регламентують провадження депозитарної діяльності,</w:t>
      </w:r>
      <w:r w:rsidR="008F34DB" w:rsidRPr="00E16672">
        <w:rPr>
          <w:rFonts w:ascii="Times New Roman" w:hAnsi="Times New Roman"/>
          <w:color w:val="000000"/>
          <w:szCs w:val="20"/>
          <w:lang w:val="uk-UA"/>
        </w:rPr>
        <w:t xml:space="preserve"> та </w:t>
      </w:r>
      <w:r w:rsidRPr="00E16672">
        <w:rPr>
          <w:rFonts w:ascii="Times New Roman" w:hAnsi="Times New Roman"/>
          <w:color w:val="000000"/>
          <w:szCs w:val="20"/>
          <w:lang w:val="uk-UA"/>
        </w:rPr>
        <w:t>тарифами Депозитарної установи.</w:t>
      </w:r>
    </w:p>
    <w:p w14:paraId="3AD10823" w14:textId="77777777" w:rsidR="00C77AC9" w:rsidRPr="00E16672" w:rsidRDefault="00CA224D" w:rsidP="00A016E8">
      <w:pPr>
        <w:pStyle w:val="2"/>
        <w:rPr>
          <w:rFonts w:ascii="Times New Roman" w:hAnsi="Times New Roman" w:cs="Times New Roman"/>
          <w:lang w:val="uk-UA"/>
        </w:rPr>
      </w:pPr>
      <w:r w:rsidRPr="00E16672">
        <w:rPr>
          <w:rFonts w:ascii="Times New Roman" w:hAnsi="Times New Roman" w:cs="Times New Roman"/>
          <w:lang w:val="uk-UA"/>
        </w:rPr>
        <w:t>1</w:t>
      </w:r>
      <w:r w:rsidR="00AC4F94" w:rsidRPr="00E16672">
        <w:rPr>
          <w:rFonts w:ascii="Times New Roman" w:hAnsi="Times New Roman" w:cs="Times New Roman"/>
          <w:lang w:val="uk-UA"/>
        </w:rPr>
        <w:t>4</w:t>
      </w:r>
      <w:r w:rsidRPr="00E16672">
        <w:rPr>
          <w:rFonts w:ascii="Times New Roman" w:hAnsi="Times New Roman" w:cs="Times New Roman"/>
          <w:lang w:val="uk-UA"/>
        </w:rPr>
        <w:t>. Реквізити Сторін</w:t>
      </w:r>
    </w:p>
    <w:tbl>
      <w:tblPr>
        <w:tblW w:w="10948" w:type="dxa"/>
        <w:tblInd w:w="158" w:type="dxa"/>
        <w:tblLayout w:type="fixed"/>
        <w:tblLook w:val="0000" w:firstRow="0" w:lastRow="0" w:firstColumn="0" w:lastColumn="0" w:noHBand="0" w:noVBand="0"/>
      </w:tblPr>
      <w:tblGrid>
        <w:gridCol w:w="25"/>
        <w:gridCol w:w="2600"/>
        <w:gridCol w:w="52"/>
        <w:gridCol w:w="2573"/>
        <w:gridCol w:w="236"/>
        <w:gridCol w:w="26"/>
        <w:gridCol w:w="2977"/>
        <w:gridCol w:w="2410"/>
        <w:gridCol w:w="49"/>
      </w:tblGrid>
      <w:tr w:rsidR="00C77AC9" w:rsidRPr="00E16672" w14:paraId="72420400" w14:textId="77777777" w:rsidTr="00A016E8">
        <w:trPr>
          <w:trHeight w:val="295"/>
        </w:trPr>
        <w:tc>
          <w:tcPr>
            <w:tcW w:w="5250" w:type="dxa"/>
            <w:gridSpan w:val="4"/>
            <w:shd w:val="clear" w:color="auto" w:fill="auto"/>
          </w:tcPr>
          <w:p w14:paraId="0031F76B" w14:textId="4B7B06C6" w:rsidR="00C77AC9" w:rsidRPr="00E16672" w:rsidRDefault="006742E6" w:rsidP="005C08DC">
            <w:pPr>
              <w:pStyle w:val="4"/>
              <w:keepNext w:val="0"/>
              <w:numPr>
                <w:ilvl w:val="0"/>
                <w:numId w:val="0"/>
              </w:numPr>
              <w:snapToGrid w:val="0"/>
              <w:ind w:left="-12" w:right="105" w:hanging="25"/>
              <w:rPr>
                <w:rFonts w:ascii="Times New Roman" w:hAnsi="Times New Roman"/>
                <w:iCs/>
                <w:color w:val="000000"/>
                <w:sz w:val="18"/>
                <w:szCs w:val="18"/>
              </w:rPr>
            </w:pPr>
            <w:r w:rsidRPr="00E16672">
              <w:rPr>
                <w:rFonts w:ascii="Times New Roman" w:hAnsi="Times New Roman"/>
                <w:iCs/>
                <w:color w:val="000000"/>
                <w:sz w:val="18"/>
                <w:szCs w:val="18"/>
              </w:rPr>
              <w:t>Депонент</w:t>
            </w:r>
            <w:r w:rsidR="00C77AC9" w:rsidRPr="00E16672">
              <w:rPr>
                <w:rFonts w:ascii="Times New Roman" w:hAnsi="Times New Roman"/>
                <w:iCs/>
                <w:color w:val="000000"/>
                <w:sz w:val="18"/>
                <w:szCs w:val="18"/>
              </w:rPr>
              <w:t>:</w:t>
            </w:r>
          </w:p>
        </w:tc>
        <w:tc>
          <w:tcPr>
            <w:tcW w:w="236" w:type="dxa"/>
            <w:shd w:val="clear" w:color="auto" w:fill="auto"/>
          </w:tcPr>
          <w:p w14:paraId="17ED690A" w14:textId="77777777" w:rsidR="00C77AC9" w:rsidRPr="00E16672" w:rsidRDefault="00C77AC9" w:rsidP="00E542E4">
            <w:pPr>
              <w:snapToGrid w:val="0"/>
              <w:rPr>
                <w:rFonts w:ascii="Times New Roman" w:hAnsi="Times New Roman"/>
                <w:b/>
                <w:bCs/>
                <w:color w:val="000000"/>
                <w:sz w:val="18"/>
                <w:szCs w:val="18"/>
              </w:rPr>
            </w:pPr>
          </w:p>
        </w:tc>
        <w:tc>
          <w:tcPr>
            <w:tcW w:w="5462" w:type="dxa"/>
            <w:gridSpan w:val="4"/>
            <w:shd w:val="clear" w:color="auto" w:fill="auto"/>
          </w:tcPr>
          <w:p w14:paraId="09E35BB6" w14:textId="77777777" w:rsidR="00C77AC9" w:rsidRPr="00E16672" w:rsidRDefault="00C77AC9" w:rsidP="00E542E4">
            <w:pPr>
              <w:snapToGrid w:val="0"/>
              <w:jc w:val="center"/>
              <w:rPr>
                <w:rFonts w:ascii="Times New Roman" w:hAnsi="Times New Roman"/>
                <w:b/>
                <w:bCs/>
                <w:color w:val="000000"/>
                <w:sz w:val="18"/>
                <w:szCs w:val="18"/>
              </w:rPr>
            </w:pPr>
            <w:proofErr w:type="spellStart"/>
            <w:r w:rsidRPr="00E16672">
              <w:rPr>
                <w:rFonts w:ascii="Times New Roman" w:hAnsi="Times New Roman"/>
                <w:b/>
                <w:bCs/>
                <w:color w:val="000000"/>
                <w:sz w:val="18"/>
                <w:szCs w:val="18"/>
              </w:rPr>
              <w:t>Депозитарна</w:t>
            </w:r>
            <w:proofErr w:type="spellEnd"/>
            <w:r w:rsidRPr="00E16672">
              <w:rPr>
                <w:rFonts w:ascii="Times New Roman" w:hAnsi="Times New Roman"/>
                <w:b/>
                <w:bCs/>
                <w:color w:val="000000"/>
                <w:sz w:val="18"/>
                <w:szCs w:val="18"/>
              </w:rPr>
              <w:t xml:space="preserve"> </w:t>
            </w:r>
            <w:proofErr w:type="spellStart"/>
            <w:r w:rsidRPr="00E16672">
              <w:rPr>
                <w:rFonts w:ascii="Times New Roman" w:hAnsi="Times New Roman"/>
                <w:b/>
                <w:bCs/>
                <w:color w:val="000000"/>
                <w:sz w:val="18"/>
                <w:szCs w:val="18"/>
              </w:rPr>
              <w:t>установа</w:t>
            </w:r>
            <w:proofErr w:type="spellEnd"/>
            <w:r w:rsidRPr="00E16672">
              <w:rPr>
                <w:rFonts w:ascii="Times New Roman" w:hAnsi="Times New Roman"/>
                <w:b/>
                <w:bCs/>
                <w:color w:val="000000"/>
                <w:sz w:val="18"/>
                <w:szCs w:val="18"/>
              </w:rPr>
              <w:t>:</w:t>
            </w:r>
          </w:p>
        </w:tc>
      </w:tr>
      <w:tr w:rsidR="00C77AC9" w:rsidRPr="00E16672" w14:paraId="4C8EF7CE" w14:textId="77777777" w:rsidTr="00A016E8">
        <w:trPr>
          <w:trHeight w:val="182"/>
        </w:trPr>
        <w:tc>
          <w:tcPr>
            <w:tcW w:w="5250" w:type="dxa"/>
            <w:gridSpan w:val="4"/>
            <w:shd w:val="clear" w:color="auto" w:fill="auto"/>
          </w:tcPr>
          <w:p w14:paraId="69A070CF" w14:textId="49BFC29B" w:rsidR="00C77AC9" w:rsidRPr="00E16672" w:rsidRDefault="00C77AC9" w:rsidP="00E542E4">
            <w:pPr>
              <w:snapToGrid w:val="0"/>
              <w:ind w:firstLine="6"/>
              <w:rPr>
                <w:rFonts w:ascii="Times New Roman" w:hAnsi="Times New Roman"/>
                <w:b/>
                <w:i/>
                <w:color w:val="000000"/>
                <w:sz w:val="18"/>
                <w:szCs w:val="18"/>
              </w:rPr>
            </w:pPr>
            <w:r w:rsidRPr="00E16672">
              <w:rPr>
                <w:rFonts w:ascii="Times New Roman" w:hAnsi="Times New Roman"/>
                <w:b/>
                <w:i/>
                <w:color w:val="000000"/>
                <w:sz w:val="18"/>
                <w:szCs w:val="18"/>
                <w:lang w:val="uk-UA"/>
              </w:rPr>
              <w:t>Прізвище, ім’я, по батькові (за наявності)</w:t>
            </w:r>
            <w:r w:rsidRPr="00E16672">
              <w:rPr>
                <w:rFonts w:ascii="Times New Roman" w:hAnsi="Times New Roman"/>
                <w:b/>
                <w:i/>
                <w:color w:val="000000"/>
                <w:sz w:val="18"/>
                <w:szCs w:val="18"/>
              </w:rPr>
              <w:t xml:space="preserve"> </w:t>
            </w:r>
          </w:p>
        </w:tc>
        <w:tc>
          <w:tcPr>
            <w:tcW w:w="236" w:type="dxa"/>
            <w:shd w:val="clear" w:color="auto" w:fill="auto"/>
          </w:tcPr>
          <w:p w14:paraId="4B14AE82" w14:textId="77777777" w:rsidR="00C77AC9" w:rsidRPr="00E16672" w:rsidRDefault="00C77AC9" w:rsidP="00E542E4">
            <w:pPr>
              <w:snapToGrid w:val="0"/>
              <w:rPr>
                <w:rFonts w:ascii="Times New Roman" w:hAnsi="Times New Roman"/>
                <w:b/>
                <w:bCs/>
                <w:color w:val="000000"/>
                <w:sz w:val="18"/>
                <w:szCs w:val="18"/>
              </w:rPr>
            </w:pPr>
          </w:p>
        </w:tc>
        <w:tc>
          <w:tcPr>
            <w:tcW w:w="5462" w:type="dxa"/>
            <w:gridSpan w:val="4"/>
            <w:shd w:val="clear" w:color="auto" w:fill="auto"/>
          </w:tcPr>
          <w:p w14:paraId="73778DFC" w14:textId="77777777" w:rsidR="00C77AC9" w:rsidRPr="00E16672" w:rsidRDefault="00C77AC9" w:rsidP="00E542E4">
            <w:pPr>
              <w:pStyle w:val="4"/>
              <w:numPr>
                <w:ilvl w:val="0"/>
                <w:numId w:val="0"/>
              </w:numPr>
              <w:snapToGrid w:val="0"/>
              <w:ind w:left="1" w:right="424"/>
              <w:jc w:val="both"/>
              <w:rPr>
                <w:rFonts w:ascii="Times New Roman" w:hAnsi="Times New Roman"/>
                <w:i/>
                <w:color w:val="000000"/>
                <w:sz w:val="18"/>
                <w:szCs w:val="18"/>
              </w:rPr>
            </w:pPr>
            <w:r w:rsidRPr="00E16672">
              <w:rPr>
                <w:rFonts w:ascii="Times New Roman" w:hAnsi="Times New Roman"/>
                <w:i/>
                <w:color w:val="000000"/>
                <w:sz w:val="18"/>
                <w:szCs w:val="18"/>
              </w:rPr>
              <w:t>Повне найменування</w:t>
            </w:r>
          </w:p>
        </w:tc>
      </w:tr>
      <w:tr w:rsidR="00C77AC9" w:rsidRPr="00E16672" w14:paraId="261C8A73" w14:textId="77777777" w:rsidTr="00A016E8">
        <w:trPr>
          <w:trHeight w:val="353"/>
        </w:trPr>
        <w:tc>
          <w:tcPr>
            <w:tcW w:w="5250" w:type="dxa"/>
            <w:gridSpan w:val="4"/>
            <w:shd w:val="clear" w:color="auto" w:fill="auto"/>
          </w:tcPr>
          <w:p w14:paraId="23C56C09" w14:textId="77777777" w:rsidR="00C77AC9" w:rsidRPr="00E16672" w:rsidRDefault="00C77AC9" w:rsidP="00E542E4">
            <w:pPr>
              <w:pStyle w:val="4"/>
              <w:keepNext w:val="0"/>
              <w:numPr>
                <w:ilvl w:val="0"/>
                <w:numId w:val="0"/>
              </w:numPr>
              <w:snapToGrid w:val="0"/>
              <w:ind w:left="1440"/>
              <w:rPr>
                <w:rFonts w:ascii="Times New Roman" w:hAnsi="Times New Roman"/>
                <w:b w:val="0"/>
                <w:bCs/>
                <w:color w:val="000000"/>
                <w:sz w:val="18"/>
                <w:szCs w:val="18"/>
              </w:rPr>
            </w:pPr>
          </w:p>
        </w:tc>
        <w:tc>
          <w:tcPr>
            <w:tcW w:w="236" w:type="dxa"/>
            <w:shd w:val="clear" w:color="auto" w:fill="auto"/>
          </w:tcPr>
          <w:p w14:paraId="67CE52B5" w14:textId="77777777" w:rsidR="00C77AC9" w:rsidRPr="00E16672" w:rsidRDefault="00C77AC9" w:rsidP="00E542E4">
            <w:pPr>
              <w:snapToGrid w:val="0"/>
              <w:rPr>
                <w:rFonts w:ascii="Times New Roman" w:hAnsi="Times New Roman"/>
                <w:b/>
                <w:bCs/>
                <w:color w:val="000000"/>
                <w:sz w:val="18"/>
                <w:szCs w:val="18"/>
              </w:rPr>
            </w:pPr>
          </w:p>
        </w:tc>
        <w:tc>
          <w:tcPr>
            <w:tcW w:w="5462" w:type="dxa"/>
            <w:gridSpan w:val="4"/>
            <w:shd w:val="clear" w:color="auto" w:fill="auto"/>
          </w:tcPr>
          <w:p w14:paraId="7147E7DB" w14:textId="77777777" w:rsidR="0035533D" w:rsidRPr="00E16672" w:rsidRDefault="0035533D" w:rsidP="0035533D">
            <w:pPr>
              <w:pStyle w:val="4"/>
              <w:snapToGrid w:val="0"/>
              <w:ind w:left="57" w:right="57" w:firstLine="0"/>
              <w:jc w:val="left"/>
              <w:rPr>
                <w:rFonts w:ascii="Times New Roman" w:hAnsi="Times New Roman"/>
                <w:b w:val="0"/>
                <w:bCs/>
                <w:sz w:val="18"/>
                <w:szCs w:val="18"/>
              </w:rPr>
            </w:pPr>
            <w:r w:rsidRPr="00E16672">
              <w:rPr>
                <w:rFonts w:ascii="Times New Roman" w:hAnsi="Times New Roman"/>
                <w:b w:val="0"/>
                <w:bCs/>
                <w:sz w:val="18"/>
                <w:szCs w:val="18"/>
              </w:rPr>
              <w:t>ТОВАРИСТВО З ОБМЕЖЕНОЮ ВІДПОВІДАЛЬНІСТЮ</w:t>
            </w:r>
          </w:p>
          <w:p w14:paraId="6E96B14B" w14:textId="77777777" w:rsidR="00C77AC9" w:rsidRPr="00E16672" w:rsidRDefault="00022F5F" w:rsidP="00022F5F">
            <w:pPr>
              <w:pStyle w:val="3"/>
              <w:numPr>
                <w:ilvl w:val="0"/>
                <w:numId w:val="0"/>
              </w:numPr>
              <w:snapToGrid w:val="0"/>
              <w:spacing w:before="0" w:after="0"/>
              <w:ind w:left="15" w:right="219"/>
              <w:jc w:val="left"/>
              <w:rPr>
                <w:rFonts w:ascii="Times New Roman" w:hAnsi="Times New Roman" w:cs="Times New Roman"/>
                <w:b w:val="0"/>
                <w:color w:val="000000"/>
                <w:sz w:val="18"/>
                <w:szCs w:val="18"/>
              </w:rPr>
            </w:pPr>
            <w:r>
              <w:rPr>
                <w:rFonts w:ascii="Times New Roman" w:hAnsi="Times New Roman" w:cs="Times New Roman"/>
                <w:b w:val="0"/>
                <w:bCs w:val="0"/>
                <w:sz w:val="18"/>
                <w:szCs w:val="18"/>
              </w:rPr>
              <w:t>"</w:t>
            </w:r>
            <w:r w:rsidR="00E16672" w:rsidRPr="00E16672">
              <w:rPr>
                <w:rFonts w:ascii="Times New Roman" w:hAnsi="Times New Roman" w:cs="Times New Roman"/>
                <w:b w:val="0"/>
                <w:bCs w:val="0"/>
                <w:sz w:val="18"/>
                <w:szCs w:val="18"/>
              </w:rPr>
              <w:t>КОМЕКС ЦІННІ ПАПЕРИ</w:t>
            </w:r>
            <w:r>
              <w:rPr>
                <w:rFonts w:ascii="Times New Roman" w:hAnsi="Times New Roman" w:cs="Times New Roman"/>
                <w:b w:val="0"/>
                <w:bCs w:val="0"/>
                <w:sz w:val="18"/>
                <w:szCs w:val="18"/>
              </w:rPr>
              <w:t>"</w:t>
            </w:r>
          </w:p>
        </w:tc>
      </w:tr>
      <w:tr w:rsidR="00C77AC9" w:rsidRPr="00E16672" w14:paraId="54DF4B7D" w14:textId="77777777" w:rsidTr="00A016E8">
        <w:tc>
          <w:tcPr>
            <w:tcW w:w="5250" w:type="dxa"/>
            <w:gridSpan w:val="4"/>
            <w:shd w:val="clear" w:color="auto" w:fill="auto"/>
          </w:tcPr>
          <w:p w14:paraId="2FF82F87" w14:textId="77777777" w:rsidR="00CF4BB0" w:rsidRDefault="00CF4BB0" w:rsidP="00CF4BB0">
            <w:pPr>
              <w:pStyle w:val="3"/>
              <w:numPr>
                <w:ilvl w:val="0"/>
                <w:numId w:val="0"/>
              </w:numPr>
              <w:snapToGrid w:val="0"/>
              <w:spacing w:before="0" w:after="0"/>
              <w:ind w:right="115"/>
              <w:rPr>
                <w:rFonts w:ascii="Times New Roman" w:hAnsi="Times New Roman" w:cs="Times New Roman"/>
                <w:i/>
                <w:color w:val="000000"/>
                <w:sz w:val="18"/>
                <w:szCs w:val="18"/>
              </w:rPr>
            </w:pPr>
          </w:p>
          <w:p w14:paraId="56BD4FDC" w14:textId="77777777" w:rsidR="00C16AB0" w:rsidRPr="00C16AB0" w:rsidRDefault="00C16AB0" w:rsidP="00C16AB0">
            <w:pPr>
              <w:pStyle w:val="3"/>
              <w:numPr>
                <w:ilvl w:val="0"/>
                <w:numId w:val="0"/>
              </w:numPr>
              <w:snapToGrid w:val="0"/>
              <w:ind w:left="219" w:right="115" w:hanging="219"/>
              <w:rPr>
                <w:rFonts w:ascii="Times New Roman" w:hAnsi="Times New Roman" w:cs="Times New Roman"/>
                <w:i/>
                <w:color w:val="000000"/>
                <w:sz w:val="18"/>
                <w:szCs w:val="18"/>
              </w:rPr>
            </w:pPr>
            <w:r w:rsidRPr="00C16AB0">
              <w:rPr>
                <w:rFonts w:ascii="Times New Roman" w:hAnsi="Times New Roman" w:cs="Times New Roman"/>
                <w:i/>
                <w:color w:val="000000"/>
                <w:sz w:val="18"/>
                <w:szCs w:val="18"/>
              </w:rPr>
              <w:t>Паспорт</w:t>
            </w:r>
          </w:p>
          <w:p w14:paraId="5F440809" w14:textId="37AD83DD" w:rsidR="00C77AC9" w:rsidRPr="00E16672" w:rsidRDefault="00C16AB0" w:rsidP="00C16AB0">
            <w:pPr>
              <w:pStyle w:val="3"/>
              <w:numPr>
                <w:ilvl w:val="0"/>
                <w:numId w:val="0"/>
              </w:numPr>
              <w:snapToGrid w:val="0"/>
              <w:spacing w:before="0" w:after="0"/>
              <w:ind w:right="115"/>
              <w:rPr>
                <w:rFonts w:ascii="Times New Roman" w:hAnsi="Times New Roman" w:cs="Times New Roman"/>
                <w:i/>
              </w:rPr>
            </w:pPr>
            <w:r w:rsidRPr="00C16AB0">
              <w:rPr>
                <w:rFonts w:ascii="Times New Roman" w:hAnsi="Times New Roman" w:cs="Times New Roman"/>
                <w:i/>
                <w:color w:val="000000"/>
                <w:sz w:val="18"/>
                <w:szCs w:val="18"/>
              </w:rPr>
              <w:t>(серія (за наявності), номер, дата видачі, ким виданий)</w:t>
            </w:r>
            <w:r w:rsidR="00C77AC9" w:rsidRPr="00E16672">
              <w:rPr>
                <w:rFonts w:ascii="Times New Roman" w:hAnsi="Times New Roman" w:cs="Times New Roman"/>
                <w:i/>
                <w:sz w:val="18"/>
              </w:rPr>
              <w:t xml:space="preserve"> </w:t>
            </w:r>
          </w:p>
        </w:tc>
        <w:tc>
          <w:tcPr>
            <w:tcW w:w="236" w:type="dxa"/>
            <w:shd w:val="clear" w:color="auto" w:fill="auto"/>
          </w:tcPr>
          <w:p w14:paraId="4FF531BC" w14:textId="77777777" w:rsidR="00C77AC9" w:rsidRPr="00E16672" w:rsidRDefault="00C77AC9" w:rsidP="00E542E4">
            <w:pPr>
              <w:snapToGrid w:val="0"/>
              <w:rPr>
                <w:rFonts w:ascii="Times New Roman" w:hAnsi="Times New Roman"/>
                <w:b/>
                <w:bCs/>
                <w:color w:val="000000"/>
                <w:sz w:val="18"/>
                <w:szCs w:val="18"/>
                <w:lang w:val="uk-UA"/>
              </w:rPr>
            </w:pPr>
          </w:p>
        </w:tc>
        <w:tc>
          <w:tcPr>
            <w:tcW w:w="5462" w:type="dxa"/>
            <w:gridSpan w:val="4"/>
            <w:shd w:val="clear" w:color="auto" w:fill="auto"/>
          </w:tcPr>
          <w:p w14:paraId="0C81EBCA" w14:textId="77777777" w:rsidR="00306B0B" w:rsidRPr="00E16672" w:rsidRDefault="00306B0B" w:rsidP="00E542E4">
            <w:pPr>
              <w:pStyle w:val="3"/>
              <w:numPr>
                <w:ilvl w:val="0"/>
                <w:numId w:val="0"/>
              </w:numPr>
              <w:snapToGrid w:val="0"/>
              <w:spacing w:before="0" w:after="0"/>
              <w:ind w:left="15" w:right="219"/>
              <w:rPr>
                <w:rFonts w:ascii="Times New Roman" w:hAnsi="Times New Roman" w:cs="Times New Roman"/>
                <w:i/>
                <w:color w:val="000000"/>
                <w:sz w:val="18"/>
                <w:szCs w:val="18"/>
              </w:rPr>
            </w:pPr>
          </w:p>
          <w:p w14:paraId="6F3F6CD6" w14:textId="77777777" w:rsidR="00306B0B" w:rsidRPr="00E16672" w:rsidRDefault="00C77AC9" w:rsidP="00E542E4">
            <w:pPr>
              <w:pStyle w:val="3"/>
              <w:numPr>
                <w:ilvl w:val="0"/>
                <w:numId w:val="0"/>
              </w:numPr>
              <w:snapToGrid w:val="0"/>
              <w:spacing w:before="0" w:after="0"/>
              <w:ind w:left="15" w:right="219"/>
              <w:rPr>
                <w:rFonts w:ascii="Times New Roman" w:hAnsi="Times New Roman" w:cs="Times New Roman"/>
                <w:i/>
                <w:color w:val="000000"/>
                <w:sz w:val="18"/>
                <w:szCs w:val="18"/>
              </w:rPr>
            </w:pPr>
            <w:r w:rsidRPr="00E16672">
              <w:rPr>
                <w:rFonts w:ascii="Times New Roman" w:hAnsi="Times New Roman" w:cs="Times New Roman"/>
                <w:i/>
                <w:color w:val="000000"/>
                <w:sz w:val="18"/>
                <w:szCs w:val="18"/>
              </w:rPr>
              <w:t>Ідентифікаційний код юридичної особи</w:t>
            </w:r>
          </w:p>
          <w:p w14:paraId="6F3F4061" w14:textId="77777777" w:rsidR="00C77AC9" w:rsidRPr="00E16672" w:rsidRDefault="00C77AC9" w:rsidP="00E542E4">
            <w:pPr>
              <w:pStyle w:val="3"/>
              <w:numPr>
                <w:ilvl w:val="0"/>
                <w:numId w:val="0"/>
              </w:numPr>
              <w:snapToGrid w:val="0"/>
              <w:spacing w:before="0" w:after="0"/>
              <w:ind w:left="15" w:right="219"/>
              <w:rPr>
                <w:rFonts w:ascii="Times New Roman" w:hAnsi="Times New Roman" w:cs="Times New Roman"/>
                <w:b w:val="0"/>
                <w:i/>
                <w:color w:val="000000"/>
                <w:sz w:val="18"/>
                <w:szCs w:val="18"/>
              </w:rPr>
            </w:pPr>
            <w:r w:rsidRPr="00E16672">
              <w:rPr>
                <w:rFonts w:ascii="Times New Roman" w:hAnsi="Times New Roman" w:cs="Times New Roman"/>
                <w:b w:val="0"/>
                <w:i/>
                <w:color w:val="000000"/>
                <w:sz w:val="18"/>
                <w:szCs w:val="18"/>
              </w:rPr>
              <w:t>(код за ЄДРПОУ)</w:t>
            </w:r>
          </w:p>
          <w:p w14:paraId="6895C624" w14:textId="77777777" w:rsidR="00306B0B" w:rsidRPr="00E16672" w:rsidRDefault="00E16672" w:rsidP="00306B0B">
            <w:pPr>
              <w:ind w:firstLine="0"/>
              <w:jc w:val="left"/>
              <w:rPr>
                <w:rFonts w:ascii="Times New Roman" w:hAnsi="Times New Roman"/>
                <w:lang w:val="uk-UA"/>
              </w:rPr>
            </w:pPr>
            <w:r w:rsidRPr="00E16672">
              <w:rPr>
                <w:rFonts w:ascii="Times New Roman" w:hAnsi="Times New Roman"/>
                <w:bCs/>
                <w:color w:val="000000"/>
                <w:sz w:val="18"/>
                <w:szCs w:val="18"/>
                <w:lang w:val="en-US"/>
              </w:rPr>
              <w:t>33153077</w:t>
            </w:r>
          </w:p>
        </w:tc>
      </w:tr>
      <w:tr w:rsidR="00C77AC9" w:rsidRPr="00E16672" w14:paraId="60D1C61A" w14:textId="77777777" w:rsidTr="00A016E8">
        <w:tc>
          <w:tcPr>
            <w:tcW w:w="5250" w:type="dxa"/>
            <w:gridSpan w:val="4"/>
            <w:shd w:val="clear" w:color="auto" w:fill="auto"/>
          </w:tcPr>
          <w:p w14:paraId="155FD048" w14:textId="77777777" w:rsidR="00C77AC9" w:rsidRPr="00E16672" w:rsidRDefault="00C77AC9" w:rsidP="00E542E4">
            <w:pPr>
              <w:snapToGrid w:val="0"/>
              <w:ind w:firstLine="6"/>
              <w:rPr>
                <w:rFonts w:ascii="Times New Roman" w:hAnsi="Times New Roman"/>
                <w:color w:val="000000"/>
                <w:sz w:val="18"/>
                <w:szCs w:val="18"/>
              </w:rPr>
            </w:pPr>
          </w:p>
        </w:tc>
        <w:tc>
          <w:tcPr>
            <w:tcW w:w="236" w:type="dxa"/>
            <w:shd w:val="clear" w:color="auto" w:fill="auto"/>
          </w:tcPr>
          <w:p w14:paraId="17C613C7" w14:textId="77777777" w:rsidR="00C77AC9" w:rsidRPr="00E16672" w:rsidRDefault="00C77AC9" w:rsidP="00E542E4">
            <w:pPr>
              <w:snapToGrid w:val="0"/>
              <w:rPr>
                <w:rFonts w:ascii="Times New Roman" w:hAnsi="Times New Roman"/>
                <w:b/>
                <w:bCs/>
                <w:color w:val="000000"/>
                <w:sz w:val="18"/>
                <w:szCs w:val="18"/>
              </w:rPr>
            </w:pPr>
          </w:p>
        </w:tc>
        <w:tc>
          <w:tcPr>
            <w:tcW w:w="5462" w:type="dxa"/>
            <w:gridSpan w:val="4"/>
            <w:shd w:val="clear" w:color="auto" w:fill="auto"/>
            <w:vAlign w:val="center"/>
          </w:tcPr>
          <w:p w14:paraId="24F186EC" w14:textId="77777777" w:rsidR="00C77AC9" w:rsidRPr="00E16672" w:rsidRDefault="00C77AC9" w:rsidP="00E542E4">
            <w:pPr>
              <w:pStyle w:val="3"/>
              <w:numPr>
                <w:ilvl w:val="0"/>
                <w:numId w:val="0"/>
              </w:numPr>
              <w:snapToGrid w:val="0"/>
              <w:spacing w:before="0" w:after="0"/>
              <w:ind w:left="28" w:right="110"/>
              <w:rPr>
                <w:rFonts w:ascii="Times New Roman" w:hAnsi="Times New Roman" w:cs="Times New Roman"/>
                <w:b w:val="0"/>
                <w:bCs w:val="0"/>
                <w:color w:val="000000"/>
                <w:sz w:val="18"/>
                <w:szCs w:val="18"/>
                <w:lang w:val="en-US"/>
              </w:rPr>
            </w:pPr>
          </w:p>
        </w:tc>
      </w:tr>
      <w:tr w:rsidR="00C77AC9" w:rsidRPr="00E16672" w14:paraId="262DA2BC" w14:textId="77777777" w:rsidTr="00A016E8">
        <w:trPr>
          <w:trHeight w:val="299"/>
        </w:trPr>
        <w:tc>
          <w:tcPr>
            <w:tcW w:w="5250" w:type="dxa"/>
            <w:gridSpan w:val="4"/>
            <w:shd w:val="clear" w:color="auto" w:fill="auto"/>
          </w:tcPr>
          <w:p w14:paraId="6AA9C064" w14:textId="0CE36065" w:rsidR="00C77AC9" w:rsidRPr="00E16672" w:rsidRDefault="00C77AC9" w:rsidP="00E542E4">
            <w:pPr>
              <w:pStyle w:val="4"/>
              <w:keepNext w:val="0"/>
              <w:numPr>
                <w:ilvl w:val="0"/>
                <w:numId w:val="0"/>
              </w:numPr>
              <w:snapToGrid w:val="0"/>
              <w:ind w:left="5" w:right="-8" w:hanging="13"/>
              <w:jc w:val="left"/>
              <w:rPr>
                <w:rFonts w:ascii="Times New Roman" w:hAnsi="Times New Roman"/>
                <w:i/>
                <w:iCs/>
                <w:color w:val="000000"/>
                <w:sz w:val="18"/>
                <w:szCs w:val="18"/>
              </w:rPr>
            </w:pPr>
            <w:r w:rsidRPr="00E16672">
              <w:rPr>
                <w:rFonts w:ascii="Times New Roman" w:hAnsi="Times New Roman"/>
                <w:i/>
                <w:iCs/>
                <w:color w:val="000000"/>
                <w:sz w:val="18"/>
                <w:szCs w:val="18"/>
              </w:rPr>
              <w:t>Місце проживання</w:t>
            </w:r>
          </w:p>
          <w:p w14:paraId="0D469A37" w14:textId="77777777" w:rsidR="00C77AC9" w:rsidRPr="00E16672" w:rsidRDefault="00C77AC9" w:rsidP="00E542E4">
            <w:pPr>
              <w:rPr>
                <w:rFonts w:ascii="Times New Roman" w:hAnsi="Times New Roman"/>
                <w:lang w:val="uk-UA"/>
              </w:rPr>
            </w:pPr>
          </w:p>
        </w:tc>
        <w:tc>
          <w:tcPr>
            <w:tcW w:w="236" w:type="dxa"/>
            <w:shd w:val="clear" w:color="auto" w:fill="auto"/>
          </w:tcPr>
          <w:p w14:paraId="6896FA4F" w14:textId="77777777" w:rsidR="00C77AC9" w:rsidRPr="00E16672" w:rsidRDefault="00C77AC9" w:rsidP="00E542E4">
            <w:pPr>
              <w:snapToGrid w:val="0"/>
              <w:rPr>
                <w:rFonts w:ascii="Times New Roman" w:hAnsi="Times New Roman"/>
                <w:b/>
                <w:bCs/>
                <w:color w:val="000000"/>
                <w:sz w:val="18"/>
                <w:szCs w:val="18"/>
              </w:rPr>
            </w:pPr>
          </w:p>
        </w:tc>
        <w:tc>
          <w:tcPr>
            <w:tcW w:w="5462" w:type="dxa"/>
            <w:gridSpan w:val="4"/>
            <w:shd w:val="clear" w:color="auto" w:fill="auto"/>
          </w:tcPr>
          <w:p w14:paraId="030D89BC" w14:textId="77777777" w:rsidR="00C77AC9" w:rsidRPr="00E16672" w:rsidRDefault="00C77AC9" w:rsidP="00E542E4">
            <w:pPr>
              <w:pStyle w:val="4"/>
              <w:keepNext w:val="0"/>
              <w:numPr>
                <w:ilvl w:val="0"/>
                <w:numId w:val="0"/>
              </w:numPr>
              <w:tabs>
                <w:tab w:val="left" w:pos="5640"/>
              </w:tabs>
              <w:snapToGrid w:val="0"/>
              <w:ind w:right="105"/>
              <w:jc w:val="left"/>
              <w:rPr>
                <w:rFonts w:ascii="Times New Roman" w:hAnsi="Times New Roman"/>
                <w:i/>
                <w:iCs/>
                <w:color w:val="000000"/>
                <w:sz w:val="18"/>
                <w:szCs w:val="18"/>
              </w:rPr>
            </w:pPr>
            <w:r w:rsidRPr="00E16672">
              <w:rPr>
                <w:rFonts w:ascii="Times New Roman" w:hAnsi="Times New Roman"/>
                <w:i/>
                <w:iCs/>
                <w:color w:val="000000"/>
                <w:sz w:val="18"/>
                <w:szCs w:val="18"/>
              </w:rPr>
              <w:t>Місцезнаходження</w:t>
            </w:r>
          </w:p>
          <w:p w14:paraId="3969AD64" w14:textId="77777777" w:rsidR="009E7046" w:rsidRPr="00E16672" w:rsidRDefault="00622BEB" w:rsidP="009E7046">
            <w:pPr>
              <w:pStyle w:val="4"/>
              <w:snapToGrid w:val="0"/>
              <w:ind w:left="57" w:right="57" w:firstLine="0"/>
              <w:jc w:val="left"/>
              <w:rPr>
                <w:rFonts w:ascii="Times New Roman" w:hAnsi="Times New Roman"/>
              </w:rPr>
            </w:pPr>
            <w:r>
              <w:rPr>
                <w:rFonts w:ascii="Times New Roman" w:hAnsi="Times New Roman"/>
                <w:b w:val="0"/>
                <w:bCs/>
                <w:sz w:val="18"/>
                <w:szCs w:val="18"/>
              </w:rPr>
              <w:t xml:space="preserve">Україна, </w:t>
            </w:r>
            <w:proofErr w:type="spellStart"/>
            <w:r>
              <w:rPr>
                <w:rFonts w:ascii="Times New Roman" w:hAnsi="Times New Roman"/>
                <w:b w:val="0"/>
                <w:bCs/>
                <w:sz w:val="18"/>
                <w:szCs w:val="18"/>
              </w:rPr>
              <w:t>м.Київ</w:t>
            </w:r>
            <w:proofErr w:type="spellEnd"/>
            <w:r>
              <w:rPr>
                <w:rFonts w:ascii="Times New Roman" w:hAnsi="Times New Roman"/>
                <w:b w:val="0"/>
                <w:bCs/>
                <w:sz w:val="18"/>
                <w:szCs w:val="18"/>
              </w:rPr>
              <w:t>, Велика Васильківська (колишня Червоноармійська) вул., буд. 65</w:t>
            </w:r>
          </w:p>
        </w:tc>
      </w:tr>
      <w:tr w:rsidR="00C77AC9" w:rsidRPr="00E16672" w14:paraId="4D20B615" w14:textId="77777777" w:rsidTr="00A016E8">
        <w:trPr>
          <w:trHeight w:val="166"/>
        </w:trPr>
        <w:tc>
          <w:tcPr>
            <w:tcW w:w="5250" w:type="dxa"/>
            <w:gridSpan w:val="4"/>
            <w:shd w:val="clear" w:color="auto" w:fill="auto"/>
          </w:tcPr>
          <w:p w14:paraId="3FC8C2C4" w14:textId="77777777" w:rsidR="009E7046" w:rsidRPr="00E16672" w:rsidRDefault="009E7046" w:rsidP="00E542E4">
            <w:pPr>
              <w:pStyle w:val="4"/>
              <w:keepNext w:val="0"/>
              <w:numPr>
                <w:ilvl w:val="0"/>
                <w:numId w:val="0"/>
              </w:numPr>
              <w:snapToGrid w:val="0"/>
              <w:ind w:left="42" w:right="110"/>
              <w:jc w:val="left"/>
              <w:rPr>
                <w:rFonts w:ascii="Times New Roman" w:hAnsi="Times New Roman"/>
                <w:i/>
                <w:iCs/>
                <w:color w:val="000000"/>
                <w:sz w:val="18"/>
                <w:szCs w:val="18"/>
              </w:rPr>
            </w:pPr>
          </w:p>
          <w:p w14:paraId="13E4A316" w14:textId="77777777" w:rsidR="00C77AC9" w:rsidRPr="00E16672" w:rsidRDefault="00C77AC9" w:rsidP="00E542E4">
            <w:pPr>
              <w:pStyle w:val="4"/>
              <w:keepNext w:val="0"/>
              <w:numPr>
                <w:ilvl w:val="0"/>
                <w:numId w:val="0"/>
              </w:numPr>
              <w:snapToGrid w:val="0"/>
              <w:ind w:left="42" w:right="110"/>
              <w:jc w:val="left"/>
              <w:rPr>
                <w:rFonts w:ascii="Times New Roman" w:hAnsi="Times New Roman"/>
                <w:i/>
                <w:iCs/>
                <w:color w:val="000000"/>
                <w:sz w:val="18"/>
                <w:szCs w:val="18"/>
              </w:rPr>
            </w:pPr>
            <w:r w:rsidRPr="00E16672">
              <w:rPr>
                <w:rFonts w:ascii="Times New Roman" w:hAnsi="Times New Roman"/>
                <w:i/>
                <w:iCs/>
                <w:color w:val="000000"/>
                <w:sz w:val="18"/>
                <w:szCs w:val="18"/>
              </w:rPr>
              <w:t>Адреса для листування</w:t>
            </w:r>
          </w:p>
        </w:tc>
        <w:tc>
          <w:tcPr>
            <w:tcW w:w="236" w:type="dxa"/>
            <w:shd w:val="clear" w:color="auto" w:fill="auto"/>
          </w:tcPr>
          <w:p w14:paraId="45513A37" w14:textId="77777777" w:rsidR="00C77AC9" w:rsidRPr="00E16672" w:rsidRDefault="00C77AC9" w:rsidP="00E542E4">
            <w:pPr>
              <w:snapToGrid w:val="0"/>
              <w:rPr>
                <w:rFonts w:ascii="Times New Roman" w:hAnsi="Times New Roman"/>
                <w:b/>
                <w:color w:val="000000"/>
                <w:sz w:val="18"/>
                <w:szCs w:val="18"/>
              </w:rPr>
            </w:pPr>
          </w:p>
        </w:tc>
        <w:tc>
          <w:tcPr>
            <w:tcW w:w="5462" w:type="dxa"/>
            <w:gridSpan w:val="4"/>
            <w:shd w:val="clear" w:color="auto" w:fill="auto"/>
          </w:tcPr>
          <w:p w14:paraId="583324CC" w14:textId="77777777" w:rsidR="009E7046" w:rsidRPr="00E16672" w:rsidRDefault="009E7046" w:rsidP="00E542E4">
            <w:pPr>
              <w:pStyle w:val="4"/>
              <w:keepNext w:val="0"/>
              <w:numPr>
                <w:ilvl w:val="0"/>
                <w:numId w:val="0"/>
              </w:numPr>
              <w:snapToGrid w:val="0"/>
              <w:ind w:left="-8" w:right="105" w:hanging="13"/>
              <w:jc w:val="left"/>
              <w:rPr>
                <w:rFonts w:ascii="Times New Roman" w:hAnsi="Times New Roman"/>
                <w:i/>
                <w:iCs/>
                <w:color w:val="000000"/>
                <w:sz w:val="18"/>
                <w:szCs w:val="18"/>
              </w:rPr>
            </w:pPr>
          </w:p>
          <w:p w14:paraId="3D1797A0" w14:textId="77777777" w:rsidR="00C77AC9" w:rsidRPr="00E16672" w:rsidRDefault="00C77AC9" w:rsidP="00E542E4">
            <w:pPr>
              <w:pStyle w:val="4"/>
              <w:keepNext w:val="0"/>
              <w:numPr>
                <w:ilvl w:val="0"/>
                <w:numId w:val="0"/>
              </w:numPr>
              <w:snapToGrid w:val="0"/>
              <w:ind w:left="-8" w:right="105" w:hanging="13"/>
              <w:jc w:val="left"/>
              <w:rPr>
                <w:rFonts w:ascii="Times New Roman" w:hAnsi="Times New Roman"/>
                <w:i/>
                <w:iCs/>
                <w:color w:val="000000"/>
                <w:sz w:val="18"/>
                <w:szCs w:val="18"/>
              </w:rPr>
            </w:pPr>
            <w:r w:rsidRPr="00E16672">
              <w:rPr>
                <w:rFonts w:ascii="Times New Roman" w:hAnsi="Times New Roman"/>
                <w:i/>
                <w:iCs/>
                <w:color w:val="000000"/>
                <w:sz w:val="18"/>
                <w:szCs w:val="18"/>
              </w:rPr>
              <w:t>Адреса для листування</w:t>
            </w:r>
          </w:p>
        </w:tc>
      </w:tr>
      <w:tr w:rsidR="00C77AC9" w:rsidRPr="00E16672" w14:paraId="36787368" w14:textId="77777777" w:rsidTr="00A016E8">
        <w:tc>
          <w:tcPr>
            <w:tcW w:w="5250" w:type="dxa"/>
            <w:gridSpan w:val="4"/>
            <w:shd w:val="clear" w:color="auto" w:fill="auto"/>
          </w:tcPr>
          <w:p w14:paraId="7AF61F1D" w14:textId="77777777" w:rsidR="00C77AC9" w:rsidRPr="00E16672" w:rsidRDefault="00C77AC9" w:rsidP="00E542E4">
            <w:pPr>
              <w:pStyle w:val="4"/>
              <w:keepNext w:val="0"/>
              <w:numPr>
                <w:ilvl w:val="0"/>
                <w:numId w:val="0"/>
              </w:numPr>
              <w:snapToGrid w:val="0"/>
              <w:ind w:left="105" w:right="105"/>
              <w:jc w:val="left"/>
              <w:rPr>
                <w:rFonts w:ascii="Times New Roman" w:hAnsi="Times New Roman"/>
                <w:b w:val="0"/>
                <w:color w:val="000000"/>
                <w:sz w:val="18"/>
                <w:szCs w:val="18"/>
              </w:rPr>
            </w:pPr>
          </w:p>
        </w:tc>
        <w:tc>
          <w:tcPr>
            <w:tcW w:w="236" w:type="dxa"/>
            <w:shd w:val="clear" w:color="auto" w:fill="auto"/>
          </w:tcPr>
          <w:p w14:paraId="4F14936B" w14:textId="77777777" w:rsidR="00C77AC9" w:rsidRPr="00E16672" w:rsidRDefault="00C77AC9" w:rsidP="00E542E4">
            <w:pPr>
              <w:snapToGrid w:val="0"/>
              <w:rPr>
                <w:rFonts w:ascii="Times New Roman" w:hAnsi="Times New Roman"/>
                <w:color w:val="000000"/>
                <w:sz w:val="18"/>
                <w:szCs w:val="18"/>
              </w:rPr>
            </w:pPr>
          </w:p>
        </w:tc>
        <w:tc>
          <w:tcPr>
            <w:tcW w:w="5462" w:type="dxa"/>
            <w:gridSpan w:val="4"/>
            <w:shd w:val="clear" w:color="auto" w:fill="auto"/>
          </w:tcPr>
          <w:p w14:paraId="636861AF" w14:textId="77777777" w:rsidR="00C77AC9" w:rsidRPr="00E16672" w:rsidRDefault="00622BEB" w:rsidP="00622BEB">
            <w:pPr>
              <w:pStyle w:val="4"/>
              <w:numPr>
                <w:ilvl w:val="0"/>
                <w:numId w:val="0"/>
              </w:numPr>
              <w:snapToGrid w:val="0"/>
              <w:ind w:right="57"/>
              <w:jc w:val="left"/>
              <w:rPr>
                <w:rFonts w:ascii="Times New Roman" w:hAnsi="Times New Roman"/>
                <w:bCs/>
              </w:rPr>
            </w:pPr>
            <w:r>
              <w:rPr>
                <w:rFonts w:ascii="Times New Roman" w:hAnsi="Times New Roman"/>
                <w:b w:val="0"/>
                <w:bCs/>
                <w:sz w:val="18"/>
                <w:szCs w:val="18"/>
              </w:rPr>
              <w:t xml:space="preserve">Україна, </w:t>
            </w:r>
            <w:proofErr w:type="spellStart"/>
            <w:r>
              <w:rPr>
                <w:rFonts w:ascii="Times New Roman" w:hAnsi="Times New Roman"/>
                <w:b w:val="0"/>
                <w:bCs/>
                <w:sz w:val="18"/>
                <w:szCs w:val="18"/>
              </w:rPr>
              <w:t>м.Київ</w:t>
            </w:r>
            <w:proofErr w:type="spellEnd"/>
            <w:r>
              <w:rPr>
                <w:rFonts w:ascii="Times New Roman" w:hAnsi="Times New Roman"/>
                <w:b w:val="0"/>
                <w:bCs/>
                <w:sz w:val="18"/>
                <w:szCs w:val="18"/>
              </w:rPr>
              <w:t>, Велика Васильківська (колишня Червоноармійська) вул., буд. 65,оф.409</w:t>
            </w:r>
          </w:p>
        </w:tc>
      </w:tr>
      <w:tr w:rsidR="00C77AC9" w:rsidRPr="00E16672" w14:paraId="04D58ABC" w14:textId="77777777" w:rsidTr="00A016E8">
        <w:tc>
          <w:tcPr>
            <w:tcW w:w="5250" w:type="dxa"/>
            <w:gridSpan w:val="4"/>
            <w:shd w:val="clear" w:color="auto" w:fill="auto"/>
          </w:tcPr>
          <w:p w14:paraId="45F027C9" w14:textId="77777777" w:rsidR="009E7046" w:rsidRPr="00E16672" w:rsidRDefault="009E7046" w:rsidP="00E542E4">
            <w:pPr>
              <w:pStyle w:val="4"/>
              <w:keepNext w:val="0"/>
              <w:numPr>
                <w:ilvl w:val="0"/>
                <w:numId w:val="0"/>
              </w:numPr>
              <w:snapToGrid w:val="0"/>
              <w:ind w:left="-20" w:right="105" w:hanging="25"/>
              <w:jc w:val="left"/>
              <w:rPr>
                <w:rFonts w:ascii="Times New Roman" w:hAnsi="Times New Roman"/>
                <w:i/>
                <w:iCs/>
                <w:color w:val="000000"/>
                <w:sz w:val="18"/>
                <w:szCs w:val="18"/>
              </w:rPr>
            </w:pPr>
          </w:p>
          <w:p w14:paraId="29331D0B" w14:textId="77777777" w:rsidR="00C77AC9" w:rsidRPr="00E16672" w:rsidRDefault="00C77AC9" w:rsidP="00E542E4">
            <w:pPr>
              <w:pStyle w:val="4"/>
              <w:keepNext w:val="0"/>
              <w:numPr>
                <w:ilvl w:val="0"/>
                <w:numId w:val="0"/>
              </w:numPr>
              <w:snapToGrid w:val="0"/>
              <w:ind w:left="-20" w:right="105" w:hanging="25"/>
              <w:jc w:val="left"/>
              <w:rPr>
                <w:rFonts w:ascii="Times New Roman" w:hAnsi="Times New Roman"/>
                <w:i/>
                <w:iCs/>
                <w:color w:val="000000"/>
                <w:sz w:val="18"/>
                <w:szCs w:val="18"/>
              </w:rPr>
            </w:pPr>
            <w:r w:rsidRPr="00E16672">
              <w:rPr>
                <w:rFonts w:ascii="Times New Roman" w:hAnsi="Times New Roman"/>
                <w:i/>
                <w:iCs/>
                <w:color w:val="000000"/>
                <w:sz w:val="18"/>
                <w:szCs w:val="18"/>
              </w:rPr>
              <w:t>Банківські реквізити</w:t>
            </w:r>
          </w:p>
        </w:tc>
        <w:tc>
          <w:tcPr>
            <w:tcW w:w="236" w:type="dxa"/>
            <w:shd w:val="clear" w:color="auto" w:fill="auto"/>
          </w:tcPr>
          <w:p w14:paraId="28EDEC5D" w14:textId="77777777" w:rsidR="00C77AC9" w:rsidRPr="00E16672" w:rsidRDefault="00C77AC9" w:rsidP="00E542E4">
            <w:pPr>
              <w:snapToGrid w:val="0"/>
              <w:rPr>
                <w:rFonts w:ascii="Times New Roman" w:hAnsi="Times New Roman"/>
                <w:color w:val="000000"/>
                <w:sz w:val="18"/>
                <w:szCs w:val="18"/>
              </w:rPr>
            </w:pPr>
          </w:p>
        </w:tc>
        <w:tc>
          <w:tcPr>
            <w:tcW w:w="5462" w:type="dxa"/>
            <w:gridSpan w:val="4"/>
            <w:shd w:val="clear" w:color="auto" w:fill="auto"/>
          </w:tcPr>
          <w:p w14:paraId="4A917C8F" w14:textId="77777777" w:rsidR="009E7046" w:rsidRPr="00E16672" w:rsidRDefault="009E7046" w:rsidP="00E542E4">
            <w:pPr>
              <w:pStyle w:val="6"/>
              <w:numPr>
                <w:ilvl w:val="0"/>
                <w:numId w:val="0"/>
              </w:numPr>
              <w:snapToGrid w:val="0"/>
              <w:ind w:left="15" w:right="1"/>
              <w:jc w:val="left"/>
              <w:rPr>
                <w:rFonts w:ascii="Times New Roman" w:hAnsi="Times New Roman"/>
                <w:b/>
                <w:i/>
                <w:color w:val="000000"/>
                <w:sz w:val="18"/>
                <w:szCs w:val="18"/>
                <w:lang w:val="uk-UA"/>
              </w:rPr>
            </w:pPr>
          </w:p>
          <w:p w14:paraId="4A644C72" w14:textId="77777777" w:rsidR="00C77AC9" w:rsidRPr="00E16672" w:rsidRDefault="00C77AC9" w:rsidP="00E542E4">
            <w:pPr>
              <w:pStyle w:val="6"/>
              <w:numPr>
                <w:ilvl w:val="0"/>
                <w:numId w:val="0"/>
              </w:numPr>
              <w:snapToGrid w:val="0"/>
              <w:ind w:left="15" w:right="1"/>
              <w:jc w:val="left"/>
              <w:rPr>
                <w:rFonts w:ascii="Times New Roman" w:hAnsi="Times New Roman"/>
                <w:b/>
                <w:i/>
                <w:color w:val="000000"/>
                <w:sz w:val="18"/>
                <w:szCs w:val="18"/>
                <w:lang w:val="uk-UA"/>
              </w:rPr>
            </w:pPr>
            <w:r w:rsidRPr="00E16672">
              <w:rPr>
                <w:rFonts w:ascii="Times New Roman" w:hAnsi="Times New Roman"/>
                <w:b/>
                <w:i/>
                <w:color w:val="000000"/>
                <w:sz w:val="18"/>
                <w:szCs w:val="18"/>
                <w:lang w:val="uk-UA"/>
              </w:rPr>
              <w:t>Банківські реквізити</w:t>
            </w:r>
          </w:p>
        </w:tc>
      </w:tr>
      <w:tr w:rsidR="007D13ED" w:rsidRPr="00E16672" w14:paraId="1315883E" w14:textId="77777777" w:rsidTr="00A016E8">
        <w:tc>
          <w:tcPr>
            <w:tcW w:w="5250" w:type="dxa"/>
            <w:gridSpan w:val="4"/>
            <w:shd w:val="clear" w:color="auto" w:fill="auto"/>
          </w:tcPr>
          <w:p w14:paraId="0F37EF32" w14:textId="77777777" w:rsidR="007D13ED" w:rsidRPr="00E16672" w:rsidRDefault="007D13ED" w:rsidP="007D13ED">
            <w:pPr>
              <w:snapToGrid w:val="0"/>
              <w:ind w:firstLine="6"/>
              <w:rPr>
                <w:rFonts w:ascii="Times New Roman" w:hAnsi="Times New Roman"/>
                <w:color w:val="000000"/>
                <w:sz w:val="18"/>
                <w:szCs w:val="18"/>
              </w:rPr>
            </w:pPr>
          </w:p>
        </w:tc>
        <w:tc>
          <w:tcPr>
            <w:tcW w:w="236" w:type="dxa"/>
            <w:shd w:val="clear" w:color="auto" w:fill="auto"/>
          </w:tcPr>
          <w:p w14:paraId="6FDFFAAC" w14:textId="77777777" w:rsidR="007D13ED" w:rsidRPr="00E16672" w:rsidRDefault="007D13ED" w:rsidP="007D13ED">
            <w:pPr>
              <w:snapToGrid w:val="0"/>
              <w:rPr>
                <w:rFonts w:ascii="Times New Roman" w:hAnsi="Times New Roman"/>
                <w:color w:val="000000"/>
                <w:sz w:val="18"/>
                <w:szCs w:val="18"/>
              </w:rPr>
            </w:pPr>
          </w:p>
        </w:tc>
        <w:tc>
          <w:tcPr>
            <w:tcW w:w="5462" w:type="dxa"/>
            <w:gridSpan w:val="4"/>
            <w:shd w:val="clear" w:color="auto" w:fill="auto"/>
          </w:tcPr>
          <w:p w14:paraId="7EA08A72" w14:textId="77777777" w:rsidR="006D1A32" w:rsidRPr="00622BEB" w:rsidRDefault="00622BEB" w:rsidP="006D1A32">
            <w:pPr>
              <w:pStyle w:val="af7"/>
              <w:snapToGrid w:val="0"/>
              <w:ind w:right="57" w:firstLine="0"/>
              <w:rPr>
                <w:rFonts w:ascii="Times New Roman" w:hAnsi="Times New Roman"/>
                <w:sz w:val="18"/>
                <w:szCs w:val="18"/>
              </w:rPr>
            </w:pPr>
            <w:r w:rsidRPr="00622BEB">
              <w:rPr>
                <w:rFonts w:ascii="Times New Roman" w:hAnsi="Times New Roman"/>
                <w:sz w:val="18"/>
                <w:szCs w:val="18"/>
              </w:rPr>
              <w:t>UA743281680000000026503815351</w:t>
            </w:r>
            <w:r w:rsidR="006D1A32" w:rsidRPr="00622BEB">
              <w:rPr>
                <w:rFonts w:ascii="Times New Roman" w:hAnsi="Times New Roman"/>
                <w:sz w:val="18"/>
                <w:szCs w:val="18"/>
              </w:rPr>
              <w:t xml:space="preserve"> </w:t>
            </w:r>
          </w:p>
          <w:p w14:paraId="6FEC4241" w14:textId="77777777" w:rsidR="006D1A32" w:rsidRPr="00E16672" w:rsidRDefault="00622BEB" w:rsidP="00022F5F">
            <w:pPr>
              <w:pStyle w:val="3"/>
              <w:numPr>
                <w:ilvl w:val="0"/>
                <w:numId w:val="0"/>
              </w:numPr>
              <w:snapToGrid w:val="0"/>
              <w:spacing w:before="0" w:after="0"/>
              <w:ind w:left="15" w:right="219"/>
              <w:jc w:val="left"/>
              <w:rPr>
                <w:rFonts w:ascii="Times New Roman" w:hAnsi="Times New Roman" w:cs="Times New Roman"/>
                <w:b w:val="0"/>
                <w:color w:val="FF0000"/>
                <w:sz w:val="18"/>
                <w:szCs w:val="18"/>
                <w:lang w:val="ru-RU"/>
              </w:rPr>
            </w:pPr>
            <w:r>
              <w:rPr>
                <w:rFonts w:ascii="Times New Roman" w:hAnsi="Times New Roman" w:cs="Times New Roman"/>
                <w:b w:val="0"/>
                <w:sz w:val="18"/>
                <w:szCs w:val="18"/>
              </w:rPr>
              <w:t xml:space="preserve">ПАТ </w:t>
            </w:r>
            <w:r w:rsidR="00022F5F">
              <w:rPr>
                <w:rFonts w:ascii="Times New Roman" w:hAnsi="Times New Roman" w:cs="Times New Roman"/>
                <w:b w:val="0"/>
                <w:sz w:val="18"/>
                <w:szCs w:val="18"/>
              </w:rPr>
              <w:t>"</w:t>
            </w:r>
            <w:r>
              <w:rPr>
                <w:rFonts w:ascii="Times New Roman" w:hAnsi="Times New Roman" w:cs="Times New Roman"/>
                <w:b w:val="0"/>
                <w:sz w:val="18"/>
                <w:szCs w:val="18"/>
              </w:rPr>
              <w:t>МТБ Банк</w:t>
            </w:r>
            <w:r w:rsidR="00022F5F">
              <w:rPr>
                <w:rFonts w:ascii="Times New Roman" w:hAnsi="Times New Roman" w:cs="Times New Roman"/>
                <w:b w:val="0"/>
                <w:sz w:val="18"/>
                <w:szCs w:val="18"/>
              </w:rPr>
              <w:t>"</w:t>
            </w:r>
            <w:r>
              <w:rPr>
                <w:rFonts w:ascii="Times New Roman" w:hAnsi="Times New Roman" w:cs="Times New Roman"/>
                <w:b w:val="0"/>
                <w:sz w:val="18"/>
                <w:szCs w:val="18"/>
              </w:rPr>
              <w:t>, МФО 328168</w:t>
            </w:r>
            <w:r w:rsidR="006D1A32" w:rsidRPr="00E16672">
              <w:rPr>
                <w:rFonts w:ascii="Times New Roman" w:hAnsi="Times New Roman" w:cs="Times New Roman"/>
                <w:b w:val="0"/>
                <w:sz w:val="18"/>
                <w:szCs w:val="18"/>
              </w:rPr>
              <w:t xml:space="preserve"> </w:t>
            </w:r>
            <w:r w:rsidR="006D1A32" w:rsidRPr="00E16672">
              <w:rPr>
                <w:rFonts w:ascii="Times New Roman" w:hAnsi="Times New Roman" w:cs="Times New Roman"/>
                <w:b w:val="0"/>
                <w:color w:val="000000" w:themeColor="text1"/>
                <w:sz w:val="18"/>
                <w:szCs w:val="18"/>
              </w:rPr>
              <w:t xml:space="preserve">ЄДРПОУ </w:t>
            </w:r>
            <w:r>
              <w:rPr>
                <w:rFonts w:ascii="Times New Roman" w:hAnsi="Times New Roman" w:cs="Times New Roman"/>
                <w:b w:val="0"/>
                <w:color w:val="000000" w:themeColor="text1"/>
                <w:sz w:val="18"/>
                <w:szCs w:val="18"/>
                <w:lang w:val="ru-RU"/>
              </w:rPr>
              <w:t>21650966</w:t>
            </w:r>
          </w:p>
          <w:p w14:paraId="55B6A7C8" w14:textId="77777777" w:rsidR="00622BEB" w:rsidRPr="00B82BC3" w:rsidRDefault="00622BEB" w:rsidP="00622BEB">
            <w:pPr>
              <w:ind w:firstLine="0"/>
              <w:rPr>
                <w:rFonts w:ascii="Times New Roman" w:hAnsi="Times New Roman"/>
                <w:i/>
                <w:sz w:val="18"/>
                <w:szCs w:val="18"/>
                <w:lang w:val="uk-UA"/>
              </w:rPr>
            </w:pPr>
            <w:r w:rsidRPr="00B82BC3">
              <w:rPr>
                <w:rFonts w:ascii="Times New Roman" w:hAnsi="Times New Roman"/>
                <w:i/>
                <w:sz w:val="18"/>
                <w:szCs w:val="18"/>
                <w:lang w:val="uk-UA"/>
              </w:rPr>
              <w:t xml:space="preserve">68003, </w:t>
            </w:r>
            <w:proofErr w:type="spellStart"/>
            <w:r w:rsidRPr="00B82BC3">
              <w:rPr>
                <w:rFonts w:ascii="Times New Roman" w:hAnsi="Times New Roman"/>
                <w:i/>
                <w:sz w:val="18"/>
                <w:szCs w:val="18"/>
                <w:lang w:val="uk-UA"/>
              </w:rPr>
              <w:t>м.Чорноморськ</w:t>
            </w:r>
            <w:proofErr w:type="spellEnd"/>
            <w:r w:rsidRPr="00B82BC3">
              <w:rPr>
                <w:rFonts w:ascii="Times New Roman" w:hAnsi="Times New Roman"/>
                <w:i/>
                <w:sz w:val="18"/>
                <w:szCs w:val="18"/>
                <w:lang w:val="uk-UA"/>
              </w:rPr>
              <w:t xml:space="preserve">, Миру </w:t>
            </w:r>
            <w:proofErr w:type="spellStart"/>
            <w:r w:rsidRPr="00B82BC3">
              <w:rPr>
                <w:rFonts w:ascii="Times New Roman" w:hAnsi="Times New Roman"/>
                <w:i/>
                <w:sz w:val="18"/>
                <w:szCs w:val="18"/>
                <w:lang w:val="uk-UA"/>
              </w:rPr>
              <w:t>просп</w:t>
            </w:r>
            <w:proofErr w:type="spellEnd"/>
            <w:r w:rsidRPr="00B82BC3">
              <w:rPr>
                <w:rFonts w:ascii="Times New Roman" w:hAnsi="Times New Roman"/>
                <w:i/>
                <w:sz w:val="18"/>
                <w:szCs w:val="18"/>
                <w:lang w:val="uk-UA"/>
              </w:rPr>
              <w:t>., буд. 28.</w:t>
            </w:r>
          </w:p>
          <w:p w14:paraId="5B4F7A59" w14:textId="77777777" w:rsidR="007D13ED" w:rsidRPr="00E16672" w:rsidRDefault="007D13ED" w:rsidP="00622BEB">
            <w:pPr>
              <w:pStyle w:val="6"/>
              <w:widowControl w:val="0"/>
              <w:snapToGrid w:val="0"/>
              <w:ind w:left="0" w:firstLine="0"/>
              <w:jc w:val="left"/>
              <w:rPr>
                <w:rFonts w:ascii="Times New Roman" w:hAnsi="Times New Roman"/>
              </w:rPr>
            </w:pPr>
          </w:p>
        </w:tc>
      </w:tr>
      <w:tr w:rsidR="007D13ED" w:rsidRPr="00E16672" w14:paraId="6FD805A8" w14:textId="77777777" w:rsidTr="00A016E8">
        <w:tc>
          <w:tcPr>
            <w:tcW w:w="2625" w:type="dxa"/>
            <w:gridSpan w:val="2"/>
            <w:shd w:val="clear" w:color="auto" w:fill="auto"/>
          </w:tcPr>
          <w:p w14:paraId="3C18792E" w14:textId="77777777" w:rsidR="007D13ED" w:rsidRPr="00E16672" w:rsidRDefault="007D13ED" w:rsidP="007D13ED">
            <w:pPr>
              <w:snapToGrid w:val="0"/>
              <w:ind w:firstLine="6"/>
              <w:rPr>
                <w:rFonts w:ascii="Times New Roman" w:hAnsi="Times New Roman"/>
                <w:b/>
                <w:color w:val="000000"/>
                <w:sz w:val="18"/>
                <w:szCs w:val="18"/>
                <w:lang w:val="uk-UA"/>
              </w:rPr>
            </w:pPr>
            <w:r w:rsidRPr="00E16672">
              <w:rPr>
                <w:rFonts w:ascii="Times New Roman" w:hAnsi="Times New Roman"/>
                <w:b/>
                <w:color w:val="000000"/>
                <w:sz w:val="18"/>
                <w:szCs w:val="18"/>
                <w:lang w:val="uk-UA"/>
              </w:rPr>
              <w:t>Документ, що підтверджує повноваження особи, яка підписує договір</w:t>
            </w:r>
          </w:p>
        </w:tc>
        <w:tc>
          <w:tcPr>
            <w:tcW w:w="2625" w:type="dxa"/>
            <w:gridSpan w:val="2"/>
            <w:shd w:val="clear" w:color="auto" w:fill="auto"/>
          </w:tcPr>
          <w:p w14:paraId="11EDBE91" w14:textId="77777777" w:rsidR="007D13ED" w:rsidRPr="00E16672" w:rsidRDefault="007D13ED" w:rsidP="007D13ED">
            <w:pPr>
              <w:snapToGrid w:val="0"/>
              <w:ind w:firstLine="6"/>
              <w:rPr>
                <w:rFonts w:ascii="Times New Roman" w:hAnsi="Times New Roman"/>
                <w:b/>
                <w:color w:val="000000"/>
                <w:sz w:val="18"/>
                <w:szCs w:val="18"/>
                <w:lang w:val="uk-UA"/>
              </w:rPr>
            </w:pPr>
          </w:p>
        </w:tc>
        <w:tc>
          <w:tcPr>
            <w:tcW w:w="236" w:type="dxa"/>
            <w:shd w:val="clear" w:color="auto" w:fill="auto"/>
          </w:tcPr>
          <w:p w14:paraId="68B486E2" w14:textId="77777777" w:rsidR="007D13ED" w:rsidRPr="00E16672" w:rsidRDefault="007D13ED" w:rsidP="007D13ED">
            <w:pPr>
              <w:snapToGrid w:val="0"/>
              <w:rPr>
                <w:rFonts w:ascii="Times New Roman" w:hAnsi="Times New Roman"/>
                <w:color w:val="000000"/>
                <w:sz w:val="18"/>
                <w:szCs w:val="18"/>
              </w:rPr>
            </w:pPr>
          </w:p>
        </w:tc>
        <w:tc>
          <w:tcPr>
            <w:tcW w:w="3003" w:type="dxa"/>
            <w:gridSpan w:val="2"/>
            <w:shd w:val="clear" w:color="auto" w:fill="auto"/>
          </w:tcPr>
          <w:p w14:paraId="70A76D81" w14:textId="77777777" w:rsidR="007D13ED" w:rsidRPr="00E16672" w:rsidDel="00D16973" w:rsidRDefault="007D13ED" w:rsidP="007D13ED">
            <w:pPr>
              <w:pStyle w:val="6"/>
              <w:widowControl w:val="0"/>
              <w:snapToGrid w:val="0"/>
              <w:ind w:left="0" w:firstLine="0"/>
              <w:jc w:val="left"/>
              <w:rPr>
                <w:rFonts w:ascii="Times New Roman" w:hAnsi="Times New Roman"/>
                <w:b/>
                <w:bCs/>
                <w:color w:val="0000FF"/>
                <w:sz w:val="20"/>
              </w:rPr>
            </w:pPr>
            <w:r w:rsidRPr="00E16672">
              <w:rPr>
                <w:rFonts w:ascii="Times New Roman" w:hAnsi="Times New Roman"/>
                <w:b/>
                <w:color w:val="000000"/>
                <w:sz w:val="18"/>
                <w:szCs w:val="18"/>
                <w:lang w:val="uk-UA"/>
              </w:rPr>
              <w:t xml:space="preserve">Документ, що підтверджує повноваження особи, яка підписує договір </w:t>
            </w:r>
          </w:p>
        </w:tc>
        <w:tc>
          <w:tcPr>
            <w:tcW w:w="2459" w:type="dxa"/>
            <w:gridSpan w:val="2"/>
            <w:shd w:val="clear" w:color="auto" w:fill="auto"/>
          </w:tcPr>
          <w:p w14:paraId="6220F329" w14:textId="77777777" w:rsidR="009E7046" w:rsidRPr="00E16672" w:rsidRDefault="009E7046" w:rsidP="001456E9">
            <w:pPr>
              <w:pStyle w:val="4"/>
              <w:snapToGrid w:val="0"/>
              <w:ind w:left="57" w:right="57" w:firstLine="0"/>
              <w:jc w:val="left"/>
              <w:rPr>
                <w:rFonts w:ascii="Times New Roman" w:hAnsi="Times New Roman"/>
                <w:b w:val="0"/>
                <w:bCs/>
                <w:color w:val="0000FF"/>
                <w:sz w:val="18"/>
                <w:szCs w:val="18"/>
              </w:rPr>
            </w:pPr>
          </w:p>
          <w:p w14:paraId="251D4B21" w14:textId="77777777" w:rsidR="007D13ED" w:rsidRPr="00E16672" w:rsidDel="00D16973" w:rsidRDefault="007D13ED" w:rsidP="001456E9">
            <w:pPr>
              <w:pStyle w:val="4"/>
              <w:snapToGrid w:val="0"/>
              <w:ind w:left="57" w:right="57" w:firstLine="0"/>
              <w:jc w:val="left"/>
              <w:rPr>
                <w:rFonts w:ascii="Times New Roman" w:hAnsi="Times New Roman"/>
                <w:b w:val="0"/>
                <w:bCs/>
                <w:color w:val="0000FF"/>
                <w:sz w:val="18"/>
                <w:szCs w:val="18"/>
              </w:rPr>
            </w:pPr>
            <w:r w:rsidRPr="00E16672">
              <w:rPr>
                <w:rFonts w:ascii="Times New Roman" w:hAnsi="Times New Roman"/>
                <w:b w:val="0"/>
                <w:bCs/>
                <w:sz w:val="18"/>
                <w:szCs w:val="18"/>
              </w:rPr>
              <w:t>Статут</w:t>
            </w:r>
          </w:p>
        </w:tc>
      </w:tr>
      <w:tr w:rsidR="007D13ED" w:rsidRPr="00E16672" w14:paraId="257CCF35" w14:textId="77777777" w:rsidTr="00A016E8">
        <w:tc>
          <w:tcPr>
            <w:tcW w:w="5250" w:type="dxa"/>
            <w:gridSpan w:val="4"/>
            <w:shd w:val="clear" w:color="auto" w:fill="auto"/>
          </w:tcPr>
          <w:p w14:paraId="4D5DE19C" w14:textId="77777777" w:rsidR="007D13ED" w:rsidRPr="00E16672" w:rsidRDefault="007D13ED" w:rsidP="007D13ED">
            <w:pPr>
              <w:snapToGrid w:val="0"/>
              <w:ind w:firstLine="6"/>
              <w:rPr>
                <w:rFonts w:ascii="Times New Roman" w:hAnsi="Times New Roman"/>
                <w:b/>
                <w:bCs/>
                <w:i/>
                <w:iCs/>
                <w:color w:val="000000"/>
                <w:sz w:val="18"/>
                <w:szCs w:val="18"/>
              </w:rPr>
            </w:pPr>
          </w:p>
        </w:tc>
        <w:tc>
          <w:tcPr>
            <w:tcW w:w="236" w:type="dxa"/>
            <w:shd w:val="clear" w:color="auto" w:fill="auto"/>
          </w:tcPr>
          <w:p w14:paraId="25A506F3" w14:textId="77777777" w:rsidR="007D13ED" w:rsidRPr="00E16672" w:rsidRDefault="007D13ED" w:rsidP="007D13ED">
            <w:pPr>
              <w:snapToGrid w:val="0"/>
              <w:rPr>
                <w:rFonts w:ascii="Times New Roman" w:hAnsi="Times New Roman"/>
                <w:color w:val="000000"/>
                <w:sz w:val="18"/>
                <w:szCs w:val="18"/>
              </w:rPr>
            </w:pPr>
          </w:p>
        </w:tc>
        <w:tc>
          <w:tcPr>
            <w:tcW w:w="5462" w:type="dxa"/>
            <w:gridSpan w:val="4"/>
            <w:shd w:val="clear" w:color="auto" w:fill="auto"/>
          </w:tcPr>
          <w:p w14:paraId="4708539F" w14:textId="77777777" w:rsidR="007D13ED" w:rsidRPr="00E16672" w:rsidRDefault="007D13ED" w:rsidP="007D13ED">
            <w:pPr>
              <w:snapToGrid w:val="0"/>
              <w:rPr>
                <w:rFonts w:ascii="Times New Roman" w:hAnsi="Times New Roman"/>
                <w:color w:val="000000"/>
                <w:sz w:val="18"/>
                <w:szCs w:val="18"/>
              </w:rPr>
            </w:pPr>
          </w:p>
        </w:tc>
      </w:tr>
      <w:tr w:rsidR="007D13ED" w:rsidRPr="00E16672" w14:paraId="4FECE02A" w14:textId="77777777" w:rsidTr="00A016E8">
        <w:tc>
          <w:tcPr>
            <w:tcW w:w="2677" w:type="dxa"/>
            <w:gridSpan w:val="3"/>
            <w:shd w:val="clear" w:color="auto" w:fill="auto"/>
          </w:tcPr>
          <w:p w14:paraId="4025F2EE" w14:textId="77777777" w:rsidR="007D13ED" w:rsidRPr="00E16672" w:rsidRDefault="007D13ED" w:rsidP="007D13ED">
            <w:pPr>
              <w:snapToGrid w:val="0"/>
              <w:ind w:firstLine="6"/>
              <w:rPr>
                <w:rFonts w:ascii="Times New Roman" w:hAnsi="Times New Roman"/>
                <w:b/>
                <w:bCs/>
                <w:i/>
                <w:iCs/>
                <w:color w:val="000000"/>
                <w:sz w:val="18"/>
                <w:szCs w:val="18"/>
                <w:lang w:val="en-US"/>
              </w:rPr>
            </w:pPr>
            <w:r w:rsidRPr="00E16672">
              <w:rPr>
                <w:rFonts w:ascii="Times New Roman" w:hAnsi="Times New Roman"/>
                <w:b/>
                <w:bCs/>
                <w:i/>
                <w:iCs/>
                <w:color w:val="000000"/>
                <w:sz w:val="18"/>
                <w:szCs w:val="18"/>
                <w:lang w:val="en-US"/>
              </w:rPr>
              <w:t>E-mail</w:t>
            </w:r>
          </w:p>
        </w:tc>
        <w:tc>
          <w:tcPr>
            <w:tcW w:w="2573" w:type="dxa"/>
            <w:shd w:val="clear" w:color="auto" w:fill="auto"/>
          </w:tcPr>
          <w:p w14:paraId="0AE563AA" w14:textId="77777777" w:rsidR="007D13ED" w:rsidRPr="00E16672" w:rsidRDefault="007D13ED" w:rsidP="007D13ED">
            <w:pPr>
              <w:snapToGrid w:val="0"/>
              <w:ind w:firstLine="6"/>
              <w:rPr>
                <w:rFonts w:ascii="Times New Roman" w:hAnsi="Times New Roman"/>
                <w:color w:val="000000"/>
                <w:sz w:val="18"/>
                <w:szCs w:val="18"/>
                <w:lang w:val="en-US"/>
              </w:rPr>
            </w:pPr>
          </w:p>
        </w:tc>
        <w:tc>
          <w:tcPr>
            <w:tcW w:w="236" w:type="dxa"/>
            <w:shd w:val="clear" w:color="auto" w:fill="auto"/>
          </w:tcPr>
          <w:p w14:paraId="1D2D2403" w14:textId="77777777" w:rsidR="007D13ED" w:rsidRPr="00E16672" w:rsidRDefault="007D13ED" w:rsidP="007D13ED">
            <w:pPr>
              <w:snapToGrid w:val="0"/>
              <w:rPr>
                <w:rFonts w:ascii="Times New Roman" w:hAnsi="Times New Roman"/>
                <w:color w:val="000000"/>
                <w:sz w:val="18"/>
                <w:szCs w:val="18"/>
              </w:rPr>
            </w:pPr>
          </w:p>
        </w:tc>
        <w:tc>
          <w:tcPr>
            <w:tcW w:w="3003" w:type="dxa"/>
            <w:gridSpan w:val="2"/>
            <w:shd w:val="clear" w:color="auto" w:fill="auto"/>
          </w:tcPr>
          <w:p w14:paraId="67CB43DB" w14:textId="77777777" w:rsidR="007D13ED" w:rsidRPr="00E16672" w:rsidRDefault="007D13ED" w:rsidP="007D13ED">
            <w:pPr>
              <w:snapToGrid w:val="0"/>
              <w:ind w:firstLine="6"/>
              <w:rPr>
                <w:rFonts w:ascii="Times New Roman" w:hAnsi="Times New Roman"/>
                <w:b/>
                <w:bCs/>
                <w:i/>
                <w:iCs/>
                <w:color w:val="000000"/>
                <w:sz w:val="18"/>
                <w:szCs w:val="18"/>
                <w:lang w:val="en-US"/>
              </w:rPr>
            </w:pPr>
            <w:r w:rsidRPr="00E16672">
              <w:rPr>
                <w:rFonts w:ascii="Times New Roman" w:hAnsi="Times New Roman"/>
                <w:b/>
                <w:bCs/>
                <w:i/>
                <w:iCs/>
                <w:color w:val="000000"/>
                <w:sz w:val="18"/>
                <w:szCs w:val="18"/>
                <w:lang w:val="en-US"/>
              </w:rPr>
              <w:t>E-mail</w:t>
            </w:r>
          </w:p>
        </w:tc>
        <w:tc>
          <w:tcPr>
            <w:tcW w:w="2459" w:type="dxa"/>
            <w:gridSpan w:val="2"/>
            <w:shd w:val="clear" w:color="auto" w:fill="auto"/>
          </w:tcPr>
          <w:p w14:paraId="7BF70E4F" w14:textId="77777777" w:rsidR="007D13ED" w:rsidRPr="00E16672" w:rsidRDefault="00622BEB" w:rsidP="007D13ED">
            <w:pPr>
              <w:snapToGrid w:val="0"/>
              <w:ind w:firstLine="6"/>
              <w:rPr>
                <w:rFonts w:ascii="Times New Roman" w:hAnsi="Times New Roman"/>
                <w:color w:val="000000"/>
                <w:sz w:val="18"/>
                <w:szCs w:val="18"/>
                <w:lang w:val="en-US"/>
              </w:rPr>
            </w:pPr>
            <w:r>
              <w:rPr>
                <w:rFonts w:ascii="Times New Roman" w:hAnsi="Times New Roman"/>
                <w:bCs/>
                <w:sz w:val="18"/>
                <w:szCs w:val="18"/>
                <w:lang w:val="en-US"/>
              </w:rPr>
              <w:t>custody@comex.com.ua</w:t>
            </w:r>
          </w:p>
        </w:tc>
      </w:tr>
      <w:tr w:rsidR="007D13ED" w:rsidRPr="00E16672" w14:paraId="2F138374" w14:textId="77777777" w:rsidTr="00A016E8">
        <w:tc>
          <w:tcPr>
            <w:tcW w:w="2677" w:type="dxa"/>
            <w:gridSpan w:val="3"/>
            <w:shd w:val="clear" w:color="auto" w:fill="auto"/>
          </w:tcPr>
          <w:p w14:paraId="4D6081A6" w14:textId="77777777" w:rsidR="007D13ED" w:rsidRPr="00E16672" w:rsidRDefault="007D13ED" w:rsidP="007D13ED">
            <w:pPr>
              <w:pStyle w:val="6"/>
              <w:numPr>
                <w:ilvl w:val="0"/>
                <w:numId w:val="0"/>
              </w:numPr>
              <w:snapToGrid w:val="0"/>
              <w:ind w:right="4"/>
              <w:jc w:val="left"/>
              <w:rPr>
                <w:rFonts w:ascii="Times New Roman" w:hAnsi="Times New Roman"/>
                <w:b/>
                <w:i/>
                <w:color w:val="000000"/>
                <w:sz w:val="18"/>
                <w:szCs w:val="18"/>
                <w:lang w:val="uk-UA"/>
              </w:rPr>
            </w:pPr>
            <w:r w:rsidRPr="00E16672">
              <w:rPr>
                <w:rFonts w:ascii="Times New Roman" w:hAnsi="Times New Roman"/>
                <w:b/>
                <w:i/>
                <w:color w:val="000000"/>
                <w:sz w:val="18"/>
                <w:szCs w:val="18"/>
                <w:lang w:val="uk-UA"/>
              </w:rPr>
              <w:t xml:space="preserve">Телефон </w:t>
            </w:r>
          </w:p>
        </w:tc>
        <w:tc>
          <w:tcPr>
            <w:tcW w:w="2573" w:type="dxa"/>
            <w:shd w:val="clear" w:color="auto" w:fill="auto"/>
          </w:tcPr>
          <w:p w14:paraId="0A5AA7B5" w14:textId="77777777" w:rsidR="007D13ED" w:rsidRPr="00E16672" w:rsidRDefault="007D13ED" w:rsidP="007D13ED">
            <w:pPr>
              <w:pStyle w:val="6"/>
              <w:numPr>
                <w:ilvl w:val="0"/>
                <w:numId w:val="0"/>
              </w:numPr>
              <w:snapToGrid w:val="0"/>
              <w:ind w:right="4"/>
              <w:jc w:val="left"/>
              <w:rPr>
                <w:rFonts w:ascii="Times New Roman" w:hAnsi="Times New Roman"/>
                <w:color w:val="000000"/>
                <w:sz w:val="18"/>
                <w:szCs w:val="18"/>
                <w:lang w:val="uk-UA"/>
              </w:rPr>
            </w:pPr>
          </w:p>
        </w:tc>
        <w:tc>
          <w:tcPr>
            <w:tcW w:w="236" w:type="dxa"/>
            <w:shd w:val="clear" w:color="auto" w:fill="auto"/>
          </w:tcPr>
          <w:p w14:paraId="52E07B88" w14:textId="77777777" w:rsidR="007D13ED" w:rsidRPr="00E16672" w:rsidRDefault="007D13ED" w:rsidP="007D13ED">
            <w:pPr>
              <w:snapToGrid w:val="0"/>
              <w:rPr>
                <w:rFonts w:ascii="Times New Roman" w:hAnsi="Times New Roman"/>
                <w:color w:val="000000"/>
                <w:sz w:val="18"/>
                <w:szCs w:val="18"/>
              </w:rPr>
            </w:pPr>
          </w:p>
        </w:tc>
        <w:tc>
          <w:tcPr>
            <w:tcW w:w="3003" w:type="dxa"/>
            <w:gridSpan w:val="2"/>
            <w:shd w:val="clear" w:color="auto" w:fill="auto"/>
          </w:tcPr>
          <w:p w14:paraId="08EFF3C4" w14:textId="77777777" w:rsidR="007D13ED" w:rsidRPr="00E16672" w:rsidRDefault="007D13ED" w:rsidP="007D13ED">
            <w:pPr>
              <w:snapToGrid w:val="0"/>
              <w:ind w:firstLine="0"/>
              <w:rPr>
                <w:rFonts w:ascii="Times New Roman" w:hAnsi="Times New Roman"/>
                <w:b/>
                <w:i/>
                <w:color w:val="000000"/>
                <w:sz w:val="18"/>
                <w:szCs w:val="18"/>
              </w:rPr>
            </w:pPr>
            <w:r w:rsidRPr="00E16672">
              <w:rPr>
                <w:rFonts w:ascii="Times New Roman" w:hAnsi="Times New Roman"/>
                <w:b/>
                <w:i/>
                <w:color w:val="000000"/>
                <w:sz w:val="18"/>
                <w:szCs w:val="18"/>
              </w:rPr>
              <w:t>Телефон</w:t>
            </w:r>
          </w:p>
        </w:tc>
        <w:tc>
          <w:tcPr>
            <w:tcW w:w="2459" w:type="dxa"/>
            <w:gridSpan w:val="2"/>
            <w:shd w:val="clear" w:color="auto" w:fill="auto"/>
          </w:tcPr>
          <w:p w14:paraId="78675422" w14:textId="77777777" w:rsidR="007D13ED" w:rsidRPr="00E16672" w:rsidRDefault="00622BEB" w:rsidP="009E7046">
            <w:pPr>
              <w:pStyle w:val="4"/>
              <w:numPr>
                <w:ilvl w:val="0"/>
                <w:numId w:val="0"/>
              </w:numPr>
              <w:snapToGrid w:val="0"/>
              <w:ind w:left="363" w:right="57" w:hanging="363"/>
              <w:jc w:val="left"/>
              <w:rPr>
                <w:rFonts w:ascii="Times New Roman" w:hAnsi="Times New Roman"/>
                <w:bCs/>
                <w:color w:val="000000"/>
                <w:sz w:val="18"/>
                <w:szCs w:val="18"/>
                <w:lang w:val="en-US"/>
              </w:rPr>
            </w:pPr>
            <w:r>
              <w:rPr>
                <w:rFonts w:ascii="Times New Roman" w:hAnsi="Times New Roman"/>
                <w:b w:val="0"/>
                <w:bCs/>
                <w:sz w:val="18"/>
                <w:szCs w:val="18"/>
              </w:rPr>
              <w:t>044 502 65 73</w:t>
            </w:r>
          </w:p>
        </w:tc>
      </w:tr>
      <w:tr w:rsidR="007D13ED" w:rsidRPr="00E16672" w14:paraId="218F3E72" w14:textId="77777777" w:rsidTr="00A016E8">
        <w:trPr>
          <w:trHeight w:val="179"/>
        </w:trPr>
        <w:tc>
          <w:tcPr>
            <w:tcW w:w="2677" w:type="dxa"/>
            <w:gridSpan w:val="3"/>
            <w:shd w:val="clear" w:color="auto" w:fill="auto"/>
          </w:tcPr>
          <w:p w14:paraId="1AA6D096" w14:textId="77777777" w:rsidR="007D13ED" w:rsidRPr="00E16672" w:rsidRDefault="007D13ED" w:rsidP="007D13ED">
            <w:pPr>
              <w:snapToGrid w:val="0"/>
              <w:ind w:firstLine="6"/>
              <w:rPr>
                <w:rFonts w:ascii="Times New Roman" w:hAnsi="Times New Roman"/>
                <w:b/>
                <w:bCs/>
                <w:i/>
                <w:iCs/>
                <w:color w:val="000000"/>
                <w:sz w:val="18"/>
                <w:szCs w:val="18"/>
                <w:lang w:val="uk-UA"/>
              </w:rPr>
            </w:pPr>
            <w:r w:rsidRPr="00E16672">
              <w:rPr>
                <w:rFonts w:ascii="Times New Roman" w:hAnsi="Times New Roman"/>
                <w:b/>
                <w:bCs/>
                <w:i/>
                <w:iCs/>
                <w:color w:val="000000"/>
                <w:sz w:val="18"/>
                <w:szCs w:val="18"/>
              </w:rPr>
              <w:t>Факс</w:t>
            </w:r>
            <w:r w:rsidRPr="00E16672">
              <w:rPr>
                <w:rFonts w:ascii="Times New Roman" w:hAnsi="Times New Roman"/>
                <w:b/>
                <w:bCs/>
                <w:i/>
                <w:iCs/>
                <w:color w:val="000000"/>
                <w:sz w:val="18"/>
                <w:szCs w:val="18"/>
                <w:lang w:val="uk-UA"/>
              </w:rPr>
              <w:t xml:space="preserve"> </w:t>
            </w:r>
            <w:r w:rsidRPr="00E16672">
              <w:rPr>
                <w:rFonts w:ascii="Times New Roman" w:hAnsi="Times New Roman"/>
                <w:bCs/>
                <w:i/>
                <w:iCs/>
                <w:color w:val="000000"/>
                <w:sz w:val="18"/>
                <w:szCs w:val="18"/>
                <w:lang w:val="uk-UA"/>
              </w:rPr>
              <w:t>(за наявності)</w:t>
            </w:r>
          </w:p>
        </w:tc>
        <w:tc>
          <w:tcPr>
            <w:tcW w:w="2573" w:type="dxa"/>
            <w:shd w:val="clear" w:color="auto" w:fill="auto"/>
          </w:tcPr>
          <w:p w14:paraId="0C9CBCFF" w14:textId="77777777" w:rsidR="007D13ED" w:rsidRPr="00E16672" w:rsidRDefault="007D13ED" w:rsidP="007D13ED">
            <w:pPr>
              <w:snapToGrid w:val="0"/>
              <w:ind w:firstLine="6"/>
              <w:rPr>
                <w:rFonts w:ascii="Times New Roman" w:hAnsi="Times New Roman"/>
                <w:color w:val="000000"/>
                <w:sz w:val="18"/>
                <w:szCs w:val="18"/>
              </w:rPr>
            </w:pPr>
          </w:p>
        </w:tc>
        <w:tc>
          <w:tcPr>
            <w:tcW w:w="236" w:type="dxa"/>
            <w:shd w:val="clear" w:color="auto" w:fill="auto"/>
          </w:tcPr>
          <w:p w14:paraId="740B4672" w14:textId="77777777" w:rsidR="007D13ED" w:rsidRPr="00E16672" w:rsidRDefault="007D13ED" w:rsidP="007D13ED">
            <w:pPr>
              <w:snapToGrid w:val="0"/>
              <w:rPr>
                <w:rFonts w:ascii="Times New Roman" w:hAnsi="Times New Roman"/>
                <w:color w:val="000000"/>
                <w:sz w:val="18"/>
                <w:szCs w:val="18"/>
              </w:rPr>
            </w:pPr>
          </w:p>
        </w:tc>
        <w:tc>
          <w:tcPr>
            <w:tcW w:w="3003" w:type="dxa"/>
            <w:gridSpan w:val="2"/>
            <w:shd w:val="clear" w:color="auto" w:fill="auto"/>
          </w:tcPr>
          <w:p w14:paraId="6F9A6C03" w14:textId="77777777" w:rsidR="007D13ED" w:rsidRPr="00E16672" w:rsidRDefault="007D13ED" w:rsidP="009E7046">
            <w:pPr>
              <w:snapToGrid w:val="0"/>
              <w:ind w:firstLine="0"/>
              <w:rPr>
                <w:rFonts w:ascii="Times New Roman" w:hAnsi="Times New Roman"/>
                <w:color w:val="000000"/>
                <w:sz w:val="18"/>
                <w:szCs w:val="18"/>
              </w:rPr>
            </w:pPr>
            <w:r w:rsidRPr="00E16672">
              <w:rPr>
                <w:rFonts w:ascii="Times New Roman" w:hAnsi="Times New Roman"/>
                <w:b/>
                <w:i/>
                <w:color w:val="000000"/>
                <w:sz w:val="18"/>
                <w:szCs w:val="18"/>
              </w:rPr>
              <w:t>Факс</w:t>
            </w:r>
            <w:r w:rsidRPr="00E16672">
              <w:rPr>
                <w:rFonts w:ascii="Times New Roman" w:hAnsi="Times New Roman"/>
                <w:i/>
                <w:color w:val="000000"/>
                <w:sz w:val="18"/>
                <w:szCs w:val="18"/>
              </w:rPr>
              <w:t xml:space="preserve"> </w:t>
            </w:r>
            <w:r w:rsidRPr="00E16672">
              <w:rPr>
                <w:rFonts w:ascii="Times New Roman" w:hAnsi="Times New Roman"/>
                <w:bCs/>
                <w:i/>
                <w:iCs/>
                <w:color w:val="000000"/>
                <w:sz w:val="18"/>
                <w:szCs w:val="18"/>
                <w:lang w:val="uk-UA"/>
              </w:rPr>
              <w:t xml:space="preserve">(за </w:t>
            </w:r>
            <w:proofErr w:type="gramStart"/>
            <w:r w:rsidRPr="00E16672">
              <w:rPr>
                <w:rFonts w:ascii="Times New Roman" w:hAnsi="Times New Roman"/>
                <w:bCs/>
                <w:i/>
                <w:iCs/>
                <w:color w:val="000000"/>
                <w:sz w:val="18"/>
                <w:szCs w:val="18"/>
                <w:lang w:val="uk-UA"/>
              </w:rPr>
              <w:t>наявності)</w:t>
            </w:r>
            <w:r w:rsidRPr="00E16672">
              <w:rPr>
                <w:rFonts w:ascii="Times New Roman" w:hAnsi="Times New Roman"/>
                <w:color w:val="000000"/>
                <w:sz w:val="18"/>
                <w:szCs w:val="18"/>
              </w:rPr>
              <w:t xml:space="preserve">   </w:t>
            </w:r>
            <w:proofErr w:type="gramEnd"/>
          </w:p>
        </w:tc>
        <w:tc>
          <w:tcPr>
            <w:tcW w:w="2459" w:type="dxa"/>
            <w:gridSpan w:val="2"/>
            <w:shd w:val="clear" w:color="auto" w:fill="auto"/>
          </w:tcPr>
          <w:p w14:paraId="122E9ED0" w14:textId="77777777" w:rsidR="007D13ED" w:rsidRPr="00E16672" w:rsidRDefault="007D13ED" w:rsidP="007D13ED">
            <w:pPr>
              <w:snapToGrid w:val="0"/>
              <w:rPr>
                <w:rFonts w:ascii="Times New Roman" w:hAnsi="Times New Roman"/>
                <w:bCs/>
                <w:color w:val="000000"/>
                <w:sz w:val="18"/>
                <w:szCs w:val="18"/>
                <w:lang w:val="en-US"/>
              </w:rPr>
            </w:pPr>
          </w:p>
        </w:tc>
      </w:tr>
      <w:tr w:rsidR="007D13ED" w:rsidRPr="00E16672" w14:paraId="1E7D754A" w14:textId="77777777" w:rsidTr="00A016E8">
        <w:tc>
          <w:tcPr>
            <w:tcW w:w="2677" w:type="dxa"/>
            <w:gridSpan w:val="3"/>
            <w:shd w:val="clear" w:color="auto" w:fill="auto"/>
          </w:tcPr>
          <w:p w14:paraId="0F5B6DB0" w14:textId="77777777" w:rsidR="007D13ED" w:rsidRPr="00E16672" w:rsidRDefault="007D13ED" w:rsidP="007D13ED">
            <w:pPr>
              <w:snapToGrid w:val="0"/>
              <w:ind w:firstLine="6"/>
              <w:rPr>
                <w:rFonts w:ascii="Times New Roman" w:hAnsi="Times New Roman"/>
                <w:b/>
                <w:bCs/>
                <w:i/>
                <w:iCs/>
                <w:color w:val="000000"/>
                <w:sz w:val="18"/>
                <w:szCs w:val="18"/>
              </w:rPr>
            </w:pPr>
          </w:p>
        </w:tc>
        <w:tc>
          <w:tcPr>
            <w:tcW w:w="2573" w:type="dxa"/>
            <w:shd w:val="clear" w:color="auto" w:fill="auto"/>
          </w:tcPr>
          <w:p w14:paraId="418BBD59" w14:textId="77777777" w:rsidR="007D13ED" w:rsidRPr="00E16672" w:rsidRDefault="007D13ED" w:rsidP="007D13ED">
            <w:pPr>
              <w:snapToGrid w:val="0"/>
              <w:ind w:firstLine="6"/>
              <w:rPr>
                <w:rFonts w:ascii="Times New Roman" w:hAnsi="Times New Roman"/>
                <w:color w:val="000000"/>
                <w:sz w:val="18"/>
                <w:szCs w:val="18"/>
              </w:rPr>
            </w:pPr>
          </w:p>
        </w:tc>
        <w:tc>
          <w:tcPr>
            <w:tcW w:w="236" w:type="dxa"/>
            <w:shd w:val="clear" w:color="auto" w:fill="auto"/>
          </w:tcPr>
          <w:p w14:paraId="28EBD2F4" w14:textId="77777777" w:rsidR="007D13ED" w:rsidRPr="00E16672" w:rsidRDefault="007D13ED" w:rsidP="007D13ED">
            <w:pPr>
              <w:snapToGrid w:val="0"/>
              <w:rPr>
                <w:rFonts w:ascii="Times New Roman" w:hAnsi="Times New Roman"/>
                <w:color w:val="000000"/>
                <w:sz w:val="18"/>
                <w:szCs w:val="18"/>
              </w:rPr>
            </w:pPr>
          </w:p>
        </w:tc>
        <w:tc>
          <w:tcPr>
            <w:tcW w:w="3003" w:type="dxa"/>
            <w:gridSpan w:val="2"/>
            <w:shd w:val="clear" w:color="auto" w:fill="auto"/>
          </w:tcPr>
          <w:p w14:paraId="7A08A963" w14:textId="77777777" w:rsidR="001D4B15" w:rsidRPr="00E16672" w:rsidRDefault="001D4B15" w:rsidP="009E7046">
            <w:pPr>
              <w:snapToGrid w:val="0"/>
              <w:ind w:firstLine="0"/>
              <w:jc w:val="left"/>
              <w:rPr>
                <w:rFonts w:ascii="Times New Roman" w:hAnsi="Times New Roman"/>
                <w:b/>
                <w:i/>
                <w:color w:val="000000"/>
                <w:sz w:val="18"/>
                <w:szCs w:val="18"/>
                <w:lang w:val="uk-UA"/>
              </w:rPr>
            </w:pPr>
          </w:p>
          <w:p w14:paraId="3957377F" w14:textId="77777777" w:rsidR="007D13ED" w:rsidRPr="00E16672" w:rsidRDefault="007D13ED" w:rsidP="009E7046">
            <w:pPr>
              <w:snapToGrid w:val="0"/>
              <w:ind w:firstLine="0"/>
              <w:jc w:val="left"/>
              <w:rPr>
                <w:rFonts w:ascii="Times New Roman" w:hAnsi="Times New Roman"/>
                <w:b/>
                <w:i/>
                <w:color w:val="000000"/>
                <w:sz w:val="18"/>
                <w:szCs w:val="18"/>
              </w:rPr>
            </w:pPr>
            <w:r w:rsidRPr="00E16672">
              <w:rPr>
                <w:rFonts w:ascii="Times New Roman" w:hAnsi="Times New Roman"/>
                <w:b/>
                <w:i/>
                <w:color w:val="000000"/>
                <w:sz w:val="18"/>
                <w:szCs w:val="18"/>
                <w:lang w:val="uk-UA"/>
              </w:rPr>
              <w:t xml:space="preserve">Ліцензія депозитарної установи </w:t>
            </w:r>
            <w:r w:rsidRPr="00E16672">
              <w:rPr>
                <w:rFonts w:ascii="Times New Roman" w:hAnsi="Times New Roman"/>
                <w:i/>
                <w:color w:val="000000"/>
                <w:sz w:val="18"/>
                <w:szCs w:val="18"/>
                <w:lang w:val="uk-UA"/>
              </w:rPr>
              <w:t>(серія, номер, дата видачі)</w:t>
            </w:r>
          </w:p>
        </w:tc>
        <w:tc>
          <w:tcPr>
            <w:tcW w:w="2459" w:type="dxa"/>
            <w:gridSpan w:val="2"/>
            <w:shd w:val="clear" w:color="auto" w:fill="auto"/>
          </w:tcPr>
          <w:p w14:paraId="61F8D8C7" w14:textId="77777777" w:rsidR="001D4B15" w:rsidRPr="00E16672" w:rsidRDefault="007D13ED" w:rsidP="001456E9">
            <w:pPr>
              <w:pStyle w:val="4"/>
              <w:tabs>
                <w:tab w:val="num" w:pos="57"/>
              </w:tabs>
              <w:snapToGrid w:val="0"/>
              <w:ind w:left="57" w:right="57" w:hanging="171"/>
              <w:jc w:val="left"/>
              <w:rPr>
                <w:rFonts w:ascii="Times New Roman" w:hAnsi="Times New Roman"/>
                <w:bCs/>
                <w:sz w:val="18"/>
                <w:szCs w:val="18"/>
              </w:rPr>
            </w:pPr>
            <w:r w:rsidRPr="00E16672">
              <w:rPr>
                <w:rFonts w:ascii="Times New Roman" w:hAnsi="Times New Roman"/>
                <w:b w:val="0"/>
                <w:bCs/>
                <w:sz w:val="18"/>
                <w:szCs w:val="18"/>
              </w:rPr>
              <w:t xml:space="preserve"> </w:t>
            </w:r>
          </w:p>
          <w:p w14:paraId="22A13BBD" w14:textId="77777777" w:rsidR="007D13ED" w:rsidRPr="00E16672" w:rsidDel="00D16973" w:rsidRDefault="007D13ED" w:rsidP="001456E9">
            <w:pPr>
              <w:pStyle w:val="4"/>
              <w:tabs>
                <w:tab w:val="num" w:pos="57"/>
              </w:tabs>
              <w:snapToGrid w:val="0"/>
              <w:ind w:left="57" w:right="57" w:hanging="171"/>
              <w:jc w:val="left"/>
              <w:rPr>
                <w:rFonts w:ascii="Times New Roman" w:hAnsi="Times New Roman"/>
                <w:bCs/>
                <w:sz w:val="18"/>
                <w:szCs w:val="18"/>
              </w:rPr>
            </w:pPr>
            <w:r w:rsidRPr="00E16672">
              <w:rPr>
                <w:rFonts w:ascii="Times New Roman" w:hAnsi="Times New Roman"/>
                <w:b w:val="0"/>
                <w:bCs/>
                <w:sz w:val="18"/>
                <w:szCs w:val="18"/>
              </w:rPr>
              <w:t>АЕ №</w:t>
            </w:r>
            <w:r w:rsidR="00E16672" w:rsidRPr="00E16672">
              <w:rPr>
                <w:rFonts w:ascii="Times New Roman" w:hAnsi="Times New Roman"/>
                <w:b w:val="0"/>
                <w:bCs/>
                <w:sz w:val="18"/>
                <w:szCs w:val="18"/>
              </w:rPr>
              <w:t>263429</w:t>
            </w:r>
            <w:r w:rsidRPr="00E16672">
              <w:rPr>
                <w:rFonts w:ascii="Times New Roman" w:hAnsi="Times New Roman"/>
                <w:b w:val="0"/>
                <w:bCs/>
                <w:sz w:val="18"/>
                <w:szCs w:val="18"/>
              </w:rPr>
              <w:t xml:space="preserve">, </w:t>
            </w:r>
            <w:r w:rsidR="00E16672" w:rsidRPr="00E16672">
              <w:rPr>
                <w:rFonts w:ascii="Times New Roman" w:hAnsi="Times New Roman"/>
                <w:b w:val="0"/>
                <w:bCs/>
                <w:sz w:val="18"/>
                <w:szCs w:val="18"/>
              </w:rPr>
              <w:t>01.10.2013</w:t>
            </w:r>
            <w:r w:rsidRPr="00E16672">
              <w:rPr>
                <w:rFonts w:ascii="Times New Roman" w:hAnsi="Times New Roman"/>
                <w:b w:val="0"/>
                <w:bCs/>
                <w:sz w:val="18"/>
                <w:szCs w:val="18"/>
              </w:rPr>
              <w:t>р.</w:t>
            </w:r>
          </w:p>
        </w:tc>
      </w:tr>
      <w:tr w:rsidR="00C77AC9" w:rsidRPr="00E16672" w14:paraId="54D1AD43" w14:textId="77777777" w:rsidTr="009C27AC">
        <w:trPr>
          <w:gridBefore w:val="1"/>
          <w:gridAfter w:val="1"/>
          <w:wBefore w:w="25" w:type="dxa"/>
          <w:wAfter w:w="49" w:type="dxa"/>
        </w:trPr>
        <w:tc>
          <w:tcPr>
            <w:tcW w:w="5487" w:type="dxa"/>
            <w:gridSpan w:val="5"/>
            <w:shd w:val="clear" w:color="auto" w:fill="auto"/>
          </w:tcPr>
          <w:p w14:paraId="4E095121" w14:textId="77777777" w:rsidR="009E7046" w:rsidRPr="00E16672" w:rsidRDefault="009E7046" w:rsidP="005C08DC">
            <w:pPr>
              <w:tabs>
                <w:tab w:val="left" w:pos="1560"/>
              </w:tabs>
              <w:snapToGrid w:val="0"/>
              <w:ind w:hanging="40"/>
              <w:rPr>
                <w:rFonts w:ascii="Times New Roman" w:hAnsi="Times New Roman"/>
                <w:b/>
                <w:bCs/>
                <w:color w:val="000000"/>
                <w:sz w:val="18"/>
                <w:szCs w:val="18"/>
                <w:lang w:val="uk-UA"/>
              </w:rPr>
            </w:pPr>
          </w:p>
          <w:p w14:paraId="28957DB1" w14:textId="0CB9A8EA" w:rsidR="00C77AC9" w:rsidRPr="00E16672" w:rsidRDefault="006742E6" w:rsidP="005C08DC">
            <w:pPr>
              <w:tabs>
                <w:tab w:val="left" w:pos="1560"/>
              </w:tabs>
              <w:snapToGrid w:val="0"/>
              <w:ind w:hanging="40"/>
              <w:rPr>
                <w:rFonts w:ascii="Times New Roman" w:hAnsi="Times New Roman"/>
                <w:b/>
                <w:bCs/>
                <w:color w:val="000000"/>
                <w:sz w:val="18"/>
                <w:szCs w:val="18"/>
              </w:rPr>
            </w:pPr>
            <w:r w:rsidRPr="00E16672">
              <w:rPr>
                <w:rFonts w:ascii="Times New Roman" w:hAnsi="Times New Roman"/>
                <w:b/>
                <w:bCs/>
                <w:color w:val="000000"/>
                <w:sz w:val="18"/>
                <w:szCs w:val="18"/>
                <w:lang w:val="uk-UA"/>
              </w:rPr>
              <w:t>ДЕПОНЕНТ</w:t>
            </w:r>
            <w:r w:rsidR="00C77AC9" w:rsidRPr="00E16672">
              <w:rPr>
                <w:rFonts w:ascii="Times New Roman" w:hAnsi="Times New Roman"/>
                <w:b/>
                <w:bCs/>
                <w:color w:val="000000"/>
                <w:sz w:val="18"/>
                <w:szCs w:val="18"/>
              </w:rPr>
              <w:t>:</w:t>
            </w:r>
            <w:r w:rsidR="00C77AC9" w:rsidRPr="00E16672">
              <w:rPr>
                <w:rFonts w:ascii="Times New Roman" w:hAnsi="Times New Roman"/>
                <w:b/>
                <w:bCs/>
                <w:color w:val="000000"/>
                <w:sz w:val="18"/>
                <w:szCs w:val="18"/>
              </w:rPr>
              <w:tab/>
            </w:r>
          </w:p>
          <w:p w14:paraId="0A03B403" w14:textId="77777777" w:rsidR="00C77AC9" w:rsidRPr="00E16672" w:rsidRDefault="00C77AC9" w:rsidP="005C08DC">
            <w:pPr>
              <w:tabs>
                <w:tab w:val="left" w:pos="1560"/>
              </w:tabs>
              <w:ind w:firstLine="102"/>
              <w:rPr>
                <w:rFonts w:ascii="Times New Roman" w:hAnsi="Times New Roman"/>
                <w:color w:val="000000"/>
                <w:sz w:val="18"/>
                <w:szCs w:val="18"/>
              </w:rPr>
            </w:pPr>
            <w:r w:rsidRPr="00E16672">
              <w:rPr>
                <w:rFonts w:ascii="Times New Roman" w:hAnsi="Times New Roman"/>
                <w:color w:val="000000"/>
                <w:sz w:val="18"/>
                <w:szCs w:val="18"/>
              </w:rPr>
              <w:t>_</w:t>
            </w:r>
            <w:r w:rsidRPr="00E16672">
              <w:rPr>
                <w:rFonts w:ascii="Times New Roman" w:hAnsi="Times New Roman"/>
                <w:color w:val="000000"/>
                <w:sz w:val="18"/>
                <w:szCs w:val="18"/>
                <w:lang w:val="uk-UA"/>
              </w:rPr>
              <w:t>__</w:t>
            </w:r>
            <w:r w:rsidRPr="00E16672">
              <w:rPr>
                <w:rFonts w:ascii="Times New Roman" w:hAnsi="Times New Roman"/>
                <w:color w:val="000000"/>
                <w:sz w:val="18"/>
                <w:szCs w:val="18"/>
              </w:rPr>
              <w:t>_________________</w:t>
            </w:r>
            <w:r w:rsidR="009E7046" w:rsidRPr="00E16672">
              <w:rPr>
                <w:rFonts w:ascii="Times New Roman" w:hAnsi="Times New Roman"/>
                <w:color w:val="000000"/>
                <w:sz w:val="18"/>
                <w:szCs w:val="18"/>
                <w:lang w:val="uk-UA"/>
              </w:rPr>
              <w:t xml:space="preserve">     </w:t>
            </w:r>
            <w:r w:rsidR="009E7046" w:rsidRPr="00E16672">
              <w:rPr>
                <w:rFonts w:ascii="Times New Roman" w:hAnsi="Times New Roman"/>
                <w:color w:val="000000"/>
                <w:sz w:val="18"/>
                <w:szCs w:val="18"/>
              </w:rPr>
              <w:t xml:space="preserve"> </w:t>
            </w:r>
            <w:r w:rsidRPr="00E16672">
              <w:rPr>
                <w:rFonts w:ascii="Times New Roman" w:hAnsi="Times New Roman"/>
                <w:color w:val="000000"/>
                <w:sz w:val="18"/>
                <w:szCs w:val="18"/>
              </w:rPr>
              <w:t xml:space="preserve">(__________________________)   </w:t>
            </w:r>
          </w:p>
          <w:p w14:paraId="4B1DA038" w14:textId="05506881" w:rsidR="00C77AC9" w:rsidRPr="00E16672" w:rsidRDefault="00C77AC9" w:rsidP="00C16AB0">
            <w:pPr>
              <w:tabs>
                <w:tab w:val="left" w:pos="1560"/>
              </w:tabs>
              <w:ind w:firstLine="0"/>
              <w:rPr>
                <w:rFonts w:ascii="Times New Roman" w:hAnsi="Times New Roman"/>
                <w:color w:val="000000"/>
                <w:sz w:val="14"/>
                <w:szCs w:val="14"/>
                <w:lang w:val="uk-UA"/>
              </w:rPr>
            </w:pPr>
            <w:r w:rsidRPr="00E16672">
              <w:rPr>
                <w:rFonts w:ascii="Times New Roman" w:hAnsi="Times New Roman"/>
                <w:color w:val="000000"/>
                <w:sz w:val="14"/>
                <w:szCs w:val="14"/>
                <w:lang w:val="uk-UA"/>
              </w:rPr>
              <w:t>Прізвище, ім’я, по батькові</w:t>
            </w:r>
            <w:r w:rsidR="009E7046" w:rsidRPr="00E16672">
              <w:rPr>
                <w:rFonts w:ascii="Times New Roman" w:hAnsi="Times New Roman"/>
                <w:color w:val="000000"/>
                <w:sz w:val="14"/>
                <w:szCs w:val="14"/>
                <w:lang w:val="uk-UA"/>
              </w:rPr>
              <w:t xml:space="preserve"> </w:t>
            </w:r>
            <w:r w:rsidR="009E7046" w:rsidRPr="00E16672">
              <w:rPr>
                <w:rFonts w:ascii="Times New Roman" w:hAnsi="Times New Roman"/>
                <w:i/>
                <w:color w:val="000000"/>
                <w:sz w:val="14"/>
                <w:szCs w:val="14"/>
                <w:lang w:val="uk-UA"/>
              </w:rPr>
              <w:t>(за наявності)</w:t>
            </w:r>
          </w:p>
          <w:p w14:paraId="4A9868F9" w14:textId="77777777" w:rsidR="00C77AC9" w:rsidRPr="00E16672" w:rsidRDefault="006742E6" w:rsidP="009E7046">
            <w:pPr>
              <w:tabs>
                <w:tab w:val="left" w:pos="1560"/>
              </w:tabs>
              <w:ind w:firstLine="244"/>
              <w:rPr>
                <w:rFonts w:ascii="Times New Roman" w:hAnsi="Times New Roman"/>
                <w:b/>
                <w:bCs/>
                <w:color w:val="000000"/>
                <w:sz w:val="18"/>
                <w:szCs w:val="18"/>
              </w:rPr>
            </w:pPr>
            <w:proofErr w:type="spellStart"/>
            <w:r w:rsidRPr="00E16672">
              <w:rPr>
                <w:rFonts w:ascii="Times New Roman" w:hAnsi="Times New Roman"/>
                <w:color w:val="000000"/>
                <w:sz w:val="14"/>
                <w:szCs w:val="14"/>
              </w:rPr>
              <w:t>підпис</w:t>
            </w:r>
            <w:proofErr w:type="spellEnd"/>
            <w:r w:rsidR="00C77AC9" w:rsidRPr="00E16672">
              <w:rPr>
                <w:rFonts w:ascii="Times New Roman" w:hAnsi="Times New Roman"/>
                <w:color w:val="000000"/>
                <w:sz w:val="14"/>
                <w:szCs w:val="14"/>
                <w:lang w:val="uk-UA"/>
              </w:rPr>
              <w:t xml:space="preserve">                                              </w:t>
            </w:r>
            <w:r w:rsidR="009E7046" w:rsidRPr="00E16672">
              <w:rPr>
                <w:rFonts w:ascii="Times New Roman" w:hAnsi="Times New Roman"/>
                <w:color w:val="000000"/>
                <w:sz w:val="14"/>
                <w:szCs w:val="14"/>
                <w:lang w:val="uk-UA"/>
              </w:rPr>
              <w:t xml:space="preserve">         </w:t>
            </w:r>
          </w:p>
        </w:tc>
        <w:tc>
          <w:tcPr>
            <w:tcW w:w="5387" w:type="dxa"/>
            <w:gridSpan w:val="2"/>
            <w:shd w:val="clear" w:color="auto" w:fill="auto"/>
          </w:tcPr>
          <w:p w14:paraId="53FFF01F" w14:textId="77777777" w:rsidR="00C77AC9" w:rsidRPr="00E16672" w:rsidRDefault="00C77AC9" w:rsidP="00E542E4">
            <w:pPr>
              <w:tabs>
                <w:tab w:val="left" w:pos="1560"/>
              </w:tabs>
              <w:snapToGrid w:val="0"/>
              <w:rPr>
                <w:rFonts w:ascii="Times New Roman" w:hAnsi="Times New Roman"/>
                <w:b/>
                <w:bCs/>
                <w:color w:val="000000"/>
                <w:sz w:val="18"/>
                <w:szCs w:val="18"/>
                <w:lang w:val="uk-UA"/>
              </w:rPr>
            </w:pPr>
          </w:p>
          <w:p w14:paraId="1CABC309" w14:textId="77777777" w:rsidR="00C77AC9" w:rsidRPr="00E16672" w:rsidRDefault="00C77AC9" w:rsidP="009C27AC">
            <w:pPr>
              <w:tabs>
                <w:tab w:val="left" w:pos="1560"/>
              </w:tabs>
              <w:snapToGrid w:val="0"/>
              <w:ind w:firstLine="0"/>
              <w:rPr>
                <w:rFonts w:ascii="Times New Roman" w:hAnsi="Times New Roman"/>
                <w:b/>
                <w:bCs/>
                <w:color w:val="000000"/>
                <w:sz w:val="18"/>
                <w:szCs w:val="18"/>
              </w:rPr>
            </w:pPr>
            <w:r w:rsidRPr="00E16672">
              <w:rPr>
                <w:rFonts w:ascii="Times New Roman" w:hAnsi="Times New Roman"/>
                <w:b/>
                <w:bCs/>
                <w:color w:val="000000"/>
                <w:sz w:val="18"/>
                <w:szCs w:val="18"/>
              </w:rPr>
              <w:t xml:space="preserve">ДЕПОЗИТАРНА УСТАНОВА:   </w:t>
            </w:r>
          </w:p>
          <w:p w14:paraId="0465E7B8" w14:textId="77777777" w:rsidR="00DE2E39" w:rsidRPr="00E16672" w:rsidRDefault="00DE2E39" w:rsidP="001456E9">
            <w:pPr>
              <w:tabs>
                <w:tab w:val="left" w:pos="1560"/>
              </w:tabs>
              <w:snapToGrid w:val="0"/>
              <w:ind w:firstLine="0"/>
              <w:rPr>
                <w:rFonts w:ascii="Times New Roman" w:hAnsi="Times New Roman"/>
                <w:color w:val="000000"/>
                <w:sz w:val="18"/>
                <w:szCs w:val="18"/>
              </w:rPr>
            </w:pPr>
          </w:p>
          <w:p w14:paraId="54774134" w14:textId="77777777" w:rsidR="00C77AC9" w:rsidRPr="00E16672" w:rsidRDefault="00C77AC9" w:rsidP="00F82710">
            <w:pPr>
              <w:tabs>
                <w:tab w:val="left" w:pos="1560"/>
              </w:tabs>
              <w:snapToGrid w:val="0"/>
              <w:ind w:firstLine="0"/>
              <w:jc w:val="left"/>
              <w:rPr>
                <w:rFonts w:ascii="Times New Roman" w:hAnsi="Times New Roman"/>
                <w:color w:val="000000"/>
                <w:sz w:val="18"/>
                <w:szCs w:val="18"/>
                <w:u w:val="single"/>
              </w:rPr>
            </w:pPr>
            <w:r w:rsidRPr="00E16672">
              <w:rPr>
                <w:rFonts w:ascii="Times New Roman" w:hAnsi="Times New Roman"/>
                <w:b/>
                <w:bCs/>
                <w:color w:val="000000"/>
                <w:sz w:val="18"/>
                <w:szCs w:val="18"/>
              </w:rPr>
              <w:t xml:space="preserve">  </w:t>
            </w:r>
            <w:r w:rsidRPr="00E16672">
              <w:rPr>
                <w:rFonts w:ascii="Times New Roman" w:hAnsi="Times New Roman"/>
                <w:color w:val="000000"/>
                <w:sz w:val="18"/>
                <w:szCs w:val="18"/>
              </w:rPr>
              <w:t>_________________</w:t>
            </w:r>
            <w:proofErr w:type="gramStart"/>
            <w:r w:rsidR="00891582" w:rsidRPr="00E16672">
              <w:rPr>
                <w:rFonts w:ascii="Times New Roman" w:hAnsi="Times New Roman"/>
                <w:color w:val="000000"/>
                <w:sz w:val="18"/>
                <w:szCs w:val="18"/>
              </w:rPr>
              <w:t xml:space="preserve"> </w:t>
            </w:r>
            <w:r w:rsidR="00891582" w:rsidRPr="00E16672">
              <w:rPr>
                <w:rFonts w:ascii="Times New Roman" w:hAnsi="Times New Roman"/>
                <w:color w:val="000000"/>
                <w:sz w:val="18"/>
                <w:szCs w:val="18"/>
                <w:lang w:val="uk-UA"/>
              </w:rPr>
              <w:t xml:space="preserve">  </w:t>
            </w:r>
            <w:r w:rsidRPr="00E16672">
              <w:rPr>
                <w:rFonts w:ascii="Times New Roman" w:hAnsi="Times New Roman"/>
                <w:color w:val="000000"/>
                <w:sz w:val="18"/>
                <w:szCs w:val="18"/>
                <w:u w:val="single"/>
                <w:lang w:val="uk-UA"/>
              </w:rPr>
              <w:t>(</w:t>
            </w:r>
            <w:proofErr w:type="gramEnd"/>
            <w:r w:rsidR="00F82710">
              <w:rPr>
                <w:rFonts w:ascii="Times New Roman" w:hAnsi="Times New Roman"/>
                <w:color w:val="000000"/>
                <w:sz w:val="16"/>
                <w:szCs w:val="16"/>
                <w:u w:val="single"/>
                <w:lang w:val="uk-UA"/>
              </w:rPr>
              <w:t>Король</w:t>
            </w:r>
            <w:r w:rsidR="00E16672" w:rsidRPr="00E16672">
              <w:rPr>
                <w:rFonts w:ascii="Times New Roman" w:hAnsi="Times New Roman"/>
                <w:color w:val="000000"/>
                <w:sz w:val="16"/>
                <w:szCs w:val="16"/>
                <w:u w:val="single"/>
                <w:lang w:val="uk-UA"/>
              </w:rPr>
              <w:t xml:space="preserve"> Оксана Іванівна</w:t>
            </w:r>
            <w:r w:rsidR="0035533D" w:rsidRPr="00E16672">
              <w:rPr>
                <w:rFonts w:ascii="Times New Roman" w:hAnsi="Times New Roman"/>
                <w:color w:val="000000"/>
                <w:sz w:val="18"/>
                <w:szCs w:val="18"/>
                <w:u w:val="single"/>
                <w:lang w:val="uk-UA"/>
              </w:rPr>
              <w:t xml:space="preserve">) </w:t>
            </w:r>
            <w:r w:rsidRPr="00E16672">
              <w:rPr>
                <w:rFonts w:ascii="Times New Roman" w:hAnsi="Times New Roman"/>
                <w:color w:val="000000"/>
                <w:sz w:val="18"/>
                <w:szCs w:val="18"/>
                <w:u w:val="single"/>
              </w:rPr>
              <w:t xml:space="preserve">  </w:t>
            </w:r>
          </w:p>
          <w:p w14:paraId="7E0D4D0A" w14:textId="77777777" w:rsidR="00C77AC9" w:rsidRPr="00E16672" w:rsidRDefault="00901A02" w:rsidP="00E542E4">
            <w:pPr>
              <w:tabs>
                <w:tab w:val="left" w:pos="1560"/>
              </w:tabs>
              <w:ind w:left="1843" w:hanging="1395"/>
              <w:rPr>
                <w:rFonts w:ascii="Times New Roman" w:hAnsi="Times New Roman"/>
                <w:color w:val="000000"/>
                <w:sz w:val="14"/>
                <w:szCs w:val="14"/>
                <w:lang w:val="uk-UA"/>
              </w:rPr>
            </w:pPr>
            <w:r w:rsidRPr="00E16672">
              <w:rPr>
                <w:rFonts w:ascii="Times New Roman" w:hAnsi="Times New Roman"/>
                <w:color w:val="000000"/>
                <w:sz w:val="14"/>
                <w:szCs w:val="14"/>
              </w:rPr>
              <w:t>В</w:t>
            </w:r>
            <w:r w:rsidR="00C77AC9" w:rsidRPr="00E16672">
              <w:rPr>
                <w:rFonts w:ascii="Times New Roman" w:hAnsi="Times New Roman"/>
                <w:color w:val="000000"/>
                <w:sz w:val="14"/>
                <w:szCs w:val="14"/>
              </w:rPr>
              <w:t xml:space="preserve">.П., </w:t>
            </w:r>
            <w:proofErr w:type="spellStart"/>
            <w:r w:rsidR="00C77AC9" w:rsidRPr="00E16672">
              <w:rPr>
                <w:rFonts w:ascii="Times New Roman" w:hAnsi="Times New Roman"/>
                <w:color w:val="000000"/>
                <w:sz w:val="14"/>
                <w:szCs w:val="14"/>
              </w:rPr>
              <w:t>під</w:t>
            </w:r>
            <w:r w:rsidR="006742E6" w:rsidRPr="00E16672">
              <w:rPr>
                <w:rFonts w:ascii="Times New Roman" w:hAnsi="Times New Roman"/>
                <w:color w:val="000000"/>
                <w:sz w:val="14"/>
                <w:szCs w:val="14"/>
              </w:rPr>
              <w:t>пис</w:t>
            </w:r>
            <w:proofErr w:type="spellEnd"/>
            <w:r w:rsidR="006742E6" w:rsidRPr="00E16672">
              <w:rPr>
                <w:rFonts w:ascii="Times New Roman" w:hAnsi="Times New Roman"/>
                <w:color w:val="000000"/>
                <w:sz w:val="14"/>
                <w:szCs w:val="14"/>
              </w:rPr>
              <w:t xml:space="preserve">     </w:t>
            </w:r>
            <w:r w:rsidR="00C77AC9" w:rsidRPr="00E16672">
              <w:rPr>
                <w:rFonts w:ascii="Times New Roman" w:hAnsi="Times New Roman"/>
                <w:color w:val="000000"/>
                <w:sz w:val="14"/>
                <w:szCs w:val="14"/>
                <w:lang w:val="uk-UA"/>
              </w:rPr>
              <w:t xml:space="preserve">               Прізвище, ім’я, по батькові</w:t>
            </w:r>
            <w:r w:rsidR="009E7046" w:rsidRPr="00E16672">
              <w:rPr>
                <w:rFonts w:ascii="Times New Roman" w:hAnsi="Times New Roman"/>
                <w:color w:val="000000"/>
                <w:sz w:val="14"/>
                <w:szCs w:val="14"/>
                <w:lang w:val="uk-UA"/>
              </w:rPr>
              <w:t xml:space="preserve"> </w:t>
            </w:r>
            <w:r w:rsidR="009E7046" w:rsidRPr="00E16672">
              <w:rPr>
                <w:rFonts w:ascii="Times New Roman" w:hAnsi="Times New Roman"/>
                <w:i/>
                <w:color w:val="000000"/>
                <w:sz w:val="14"/>
                <w:szCs w:val="14"/>
                <w:lang w:val="uk-UA"/>
              </w:rPr>
              <w:t>(за наявності)</w:t>
            </w:r>
          </w:p>
          <w:p w14:paraId="5F518113" w14:textId="77777777" w:rsidR="00C77AC9" w:rsidRPr="00E16672" w:rsidRDefault="00C77AC9" w:rsidP="009E7046">
            <w:pPr>
              <w:tabs>
                <w:tab w:val="left" w:pos="1560"/>
              </w:tabs>
              <w:rPr>
                <w:rFonts w:ascii="Times New Roman" w:hAnsi="Times New Roman"/>
                <w:b/>
                <w:bCs/>
                <w:color w:val="000000"/>
                <w:sz w:val="18"/>
                <w:szCs w:val="18"/>
                <w:lang w:val="uk-UA"/>
              </w:rPr>
            </w:pPr>
            <w:r w:rsidRPr="00E16672">
              <w:rPr>
                <w:rFonts w:ascii="Times New Roman" w:hAnsi="Times New Roman"/>
                <w:b/>
                <w:bCs/>
                <w:color w:val="000000"/>
                <w:sz w:val="14"/>
                <w:szCs w:val="14"/>
                <w:lang w:val="uk-UA"/>
              </w:rPr>
              <w:t xml:space="preserve">                                     </w:t>
            </w:r>
            <w:r w:rsidR="006742E6" w:rsidRPr="00E16672">
              <w:rPr>
                <w:rFonts w:ascii="Times New Roman" w:hAnsi="Times New Roman"/>
                <w:b/>
                <w:bCs/>
                <w:color w:val="000000"/>
                <w:sz w:val="14"/>
                <w:szCs w:val="14"/>
                <w:lang w:val="uk-UA"/>
              </w:rPr>
              <w:t xml:space="preserve">  </w:t>
            </w:r>
            <w:r w:rsidRPr="00E16672">
              <w:rPr>
                <w:rFonts w:ascii="Times New Roman" w:hAnsi="Times New Roman"/>
                <w:b/>
                <w:bCs/>
                <w:color w:val="000000"/>
                <w:sz w:val="14"/>
                <w:szCs w:val="14"/>
                <w:lang w:val="uk-UA"/>
              </w:rPr>
              <w:t xml:space="preserve">              </w:t>
            </w:r>
          </w:p>
        </w:tc>
      </w:tr>
    </w:tbl>
    <w:p w14:paraId="0AF0CABF" w14:textId="77777777" w:rsidR="00765E37" w:rsidRPr="00E16672" w:rsidRDefault="00765E37" w:rsidP="0007317D">
      <w:pPr>
        <w:pStyle w:val="western"/>
        <w:spacing w:before="0" w:after="0"/>
        <w:ind w:hanging="1395"/>
        <w:jc w:val="both"/>
        <w:rPr>
          <w:rFonts w:ascii="Times New Roman" w:hAnsi="Times New Roman"/>
          <w:b w:val="0"/>
          <w:bCs w:val="0"/>
          <w:color w:val="0000FF"/>
          <w:sz w:val="16"/>
          <w:szCs w:val="16"/>
          <w:lang w:val="uk-UA"/>
        </w:rPr>
        <w:sectPr w:rsidR="00765E37" w:rsidRPr="00E16672">
          <w:pgSz w:w="11906" w:h="16838"/>
          <w:pgMar w:top="719" w:right="431" w:bottom="719" w:left="550" w:header="708" w:footer="708" w:gutter="0"/>
          <w:cols w:space="720"/>
          <w:docGrid w:linePitch="360"/>
        </w:sectPr>
      </w:pPr>
      <w:bookmarkStart w:id="1" w:name="48521"/>
      <w:bookmarkStart w:id="2" w:name="o22811"/>
      <w:bookmarkEnd w:id="1"/>
      <w:bookmarkEnd w:id="2"/>
    </w:p>
    <w:p w14:paraId="529EA7F9" w14:textId="77777777" w:rsidR="00765E37" w:rsidRPr="00E16672" w:rsidRDefault="00765E37" w:rsidP="00765E37">
      <w:pPr>
        <w:tabs>
          <w:tab w:val="left" w:pos="975"/>
          <w:tab w:val="right" w:pos="9899"/>
        </w:tabs>
        <w:jc w:val="center"/>
        <w:rPr>
          <w:rFonts w:ascii="Times New Roman" w:hAnsi="Times New Roman"/>
          <w:b/>
          <w:color w:val="000000"/>
          <w:szCs w:val="20"/>
          <w:lang w:val="uk-UA"/>
        </w:rPr>
      </w:pPr>
      <w:r w:rsidRPr="00E16672">
        <w:rPr>
          <w:rFonts w:ascii="Times New Roman" w:hAnsi="Times New Roman"/>
          <w:b/>
          <w:color w:val="000000"/>
          <w:szCs w:val="20"/>
          <w:lang w:val="uk-UA"/>
        </w:rPr>
        <w:lastRenderedPageBreak/>
        <w:t>Договір</w:t>
      </w:r>
    </w:p>
    <w:p w14:paraId="2B9EEA34" w14:textId="77777777" w:rsidR="00765E37" w:rsidRPr="00E16672" w:rsidRDefault="00765E37" w:rsidP="00765E37">
      <w:pPr>
        <w:jc w:val="center"/>
        <w:rPr>
          <w:rFonts w:ascii="Times New Roman" w:hAnsi="Times New Roman"/>
          <w:b/>
          <w:szCs w:val="20"/>
          <w:lang w:val="uk-UA"/>
        </w:rPr>
      </w:pPr>
      <w:r w:rsidRPr="00E16672">
        <w:rPr>
          <w:rFonts w:ascii="Times New Roman" w:hAnsi="Times New Roman"/>
          <w:b/>
          <w:szCs w:val="20"/>
          <w:lang w:val="uk-UA"/>
        </w:rPr>
        <w:t xml:space="preserve">про обслуговування рахунку в цінних паперах </w:t>
      </w:r>
    </w:p>
    <w:p w14:paraId="0A8B9234" w14:textId="77777777" w:rsidR="00765E37" w:rsidRPr="00E16672" w:rsidRDefault="00765E37" w:rsidP="00765E37">
      <w:pPr>
        <w:jc w:val="center"/>
        <w:rPr>
          <w:rFonts w:ascii="Times New Roman" w:hAnsi="Times New Roman"/>
          <w:b/>
          <w:bCs/>
          <w:szCs w:val="20"/>
          <w:lang w:val="uk-UA"/>
        </w:rPr>
      </w:pPr>
      <w:r w:rsidRPr="00E16672">
        <w:rPr>
          <w:rFonts w:ascii="Times New Roman" w:hAnsi="Times New Roman"/>
          <w:b/>
          <w:bCs/>
          <w:szCs w:val="20"/>
          <w:lang w:val="uk-UA"/>
        </w:rPr>
        <w:t>№ _____/____</w:t>
      </w:r>
      <w:r w:rsidR="00457728">
        <w:rPr>
          <w:rFonts w:ascii="Times New Roman" w:hAnsi="Times New Roman"/>
          <w:b/>
          <w:bCs/>
          <w:szCs w:val="20"/>
          <w:lang w:val="uk-UA"/>
        </w:rPr>
        <w:t>/ДУ</w:t>
      </w:r>
    </w:p>
    <w:p w14:paraId="2774890B" w14:textId="77777777" w:rsidR="00765E37" w:rsidRPr="00E16672" w:rsidRDefault="00765E37" w:rsidP="00765E37">
      <w:pPr>
        <w:rPr>
          <w:rFonts w:ascii="Times New Roman" w:hAnsi="Times New Roman"/>
          <w:szCs w:val="20"/>
          <w:lang w:val="uk-UA"/>
        </w:rPr>
      </w:pPr>
    </w:p>
    <w:p w14:paraId="3CBA2EA8" w14:textId="77777777" w:rsidR="00186785" w:rsidRDefault="00186785" w:rsidP="00186785">
      <w:pPr>
        <w:jc w:val="center"/>
        <w:rPr>
          <w:rFonts w:ascii="Times New Roman" w:hAnsi="Times New Roman"/>
          <w:szCs w:val="20"/>
          <w:lang w:val="uk-UA"/>
        </w:rPr>
      </w:pPr>
      <w:r w:rsidRPr="00E16672">
        <w:rPr>
          <w:rFonts w:ascii="Times New Roman" w:hAnsi="Times New Roman"/>
          <w:szCs w:val="20"/>
          <w:lang w:val="uk-UA"/>
        </w:rPr>
        <w:t>м. Київ</w:t>
      </w:r>
      <w:r>
        <w:rPr>
          <w:rFonts w:ascii="Times New Roman" w:hAnsi="Times New Roman"/>
          <w:szCs w:val="20"/>
          <w:lang w:val="uk-UA"/>
        </w:rPr>
        <w:t xml:space="preserve"> </w:t>
      </w:r>
      <w:r>
        <w:rPr>
          <w:rFonts w:ascii="Times New Roman" w:hAnsi="Times New Roman"/>
          <w:szCs w:val="20"/>
          <w:lang w:val="uk-UA"/>
        </w:rPr>
        <w:tab/>
      </w:r>
      <w:r>
        <w:rPr>
          <w:rFonts w:ascii="Times New Roman" w:hAnsi="Times New Roman"/>
          <w:szCs w:val="20"/>
          <w:lang w:val="uk-UA"/>
        </w:rPr>
        <w:tab/>
      </w:r>
      <w:r>
        <w:rPr>
          <w:rFonts w:ascii="Times New Roman" w:hAnsi="Times New Roman"/>
          <w:szCs w:val="20"/>
          <w:lang w:val="uk-UA"/>
        </w:rPr>
        <w:tab/>
      </w:r>
      <w:r>
        <w:rPr>
          <w:rFonts w:ascii="Times New Roman" w:hAnsi="Times New Roman"/>
          <w:szCs w:val="20"/>
          <w:lang w:val="uk-UA"/>
        </w:rPr>
        <w:tab/>
      </w:r>
      <w:r>
        <w:rPr>
          <w:rFonts w:ascii="Times New Roman" w:hAnsi="Times New Roman"/>
          <w:szCs w:val="20"/>
          <w:lang w:val="uk-UA"/>
        </w:rPr>
        <w:tab/>
      </w:r>
      <w:r>
        <w:rPr>
          <w:rFonts w:ascii="Times New Roman" w:hAnsi="Times New Roman"/>
          <w:szCs w:val="20"/>
          <w:lang w:val="uk-UA"/>
        </w:rPr>
        <w:tab/>
      </w:r>
      <w:r>
        <w:rPr>
          <w:rFonts w:ascii="Times New Roman" w:hAnsi="Times New Roman"/>
          <w:szCs w:val="20"/>
          <w:lang w:val="uk-UA"/>
        </w:rPr>
        <w:tab/>
      </w:r>
      <w:r>
        <w:rPr>
          <w:rFonts w:ascii="Times New Roman" w:hAnsi="Times New Roman"/>
          <w:szCs w:val="20"/>
          <w:lang w:val="uk-UA"/>
        </w:rPr>
        <w:tab/>
      </w:r>
      <w:r>
        <w:rPr>
          <w:rFonts w:ascii="Times New Roman" w:hAnsi="Times New Roman"/>
          <w:szCs w:val="20"/>
          <w:lang w:val="uk-UA"/>
        </w:rPr>
        <w:tab/>
      </w:r>
      <w:r>
        <w:rPr>
          <w:rFonts w:ascii="Times New Roman" w:hAnsi="Times New Roman"/>
          <w:szCs w:val="20"/>
          <w:lang w:val="uk-UA"/>
        </w:rPr>
        <w:tab/>
      </w:r>
      <w:r w:rsidRPr="00E16672">
        <w:rPr>
          <w:rFonts w:ascii="Times New Roman" w:hAnsi="Times New Roman"/>
          <w:szCs w:val="20"/>
          <w:lang w:val="uk-UA"/>
        </w:rPr>
        <w:t>"</w:t>
      </w:r>
      <w:r>
        <w:rPr>
          <w:rFonts w:ascii="Times New Roman" w:hAnsi="Times New Roman"/>
          <w:szCs w:val="20"/>
          <w:lang w:val="uk-UA"/>
        </w:rPr>
        <w:t xml:space="preserve">       </w:t>
      </w:r>
      <w:r w:rsidRPr="00E16672">
        <w:rPr>
          <w:rFonts w:ascii="Times New Roman" w:hAnsi="Times New Roman"/>
          <w:szCs w:val="20"/>
          <w:lang w:val="uk-UA"/>
        </w:rPr>
        <w:t>" ____________ 20_</w:t>
      </w:r>
      <w:r>
        <w:rPr>
          <w:rFonts w:ascii="Times New Roman" w:hAnsi="Times New Roman"/>
          <w:szCs w:val="20"/>
          <w:lang w:val="uk-UA"/>
        </w:rPr>
        <w:t>__</w:t>
      </w:r>
      <w:r w:rsidRPr="00E16672">
        <w:rPr>
          <w:rFonts w:ascii="Times New Roman" w:hAnsi="Times New Roman"/>
          <w:szCs w:val="20"/>
          <w:lang w:val="uk-UA"/>
        </w:rPr>
        <w:t>_р.</w:t>
      </w:r>
    </w:p>
    <w:p w14:paraId="4D9CBDB2" w14:textId="77777777" w:rsidR="00DE2E39" w:rsidRPr="00E16672" w:rsidRDefault="00DE2E39" w:rsidP="001456E9">
      <w:pPr>
        <w:tabs>
          <w:tab w:val="left" w:pos="3510"/>
        </w:tabs>
        <w:ind w:firstLine="0"/>
        <w:rPr>
          <w:rFonts w:ascii="Times New Roman" w:hAnsi="Times New Roman"/>
          <w:lang w:val="uk-UA"/>
        </w:rPr>
      </w:pPr>
    </w:p>
    <w:p w14:paraId="11262744" w14:textId="77777777" w:rsidR="00765E37" w:rsidRPr="00E16672" w:rsidRDefault="001D4B15" w:rsidP="006517E7">
      <w:pPr>
        <w:tabs>
          <w:tab w:val="left" w:pos="3510"/>
        </w:tabs>
        <w:ind w:firstLine="0"/>
        <w:jc w:val="left"/>
        <w:rPr>
          <w:rFonts w:ascii="Times New Roman" w:hAnsi="Times New Roman"/>
          <w:i/>
          <w:sz w:val="16"/>
          <w:szCs w:val="20"/>
          <w:lang w:val="uk-UA"/>
        </w:rPr>
      </w:pPr>
      <w:r w:rsidRPr="00E16672">
        <w:rPr>
          <w:rFonts w:ascii="Times New Roman" w:hAnsi="Times New Roman"/>
          <w:color w:val="000000" w:themeColor="text1"/>
          <w:lang w:val="uk-UA"/>
        </w:rPr>
        <w:t xml:space="preserve">        </w:t>
      </w:r>
      <w:r w:rsidR="00DE2E39" w:rsidRPr="00E16672">
        <w:rPr>
          <w:rFonts w:ascii="Times New Roman" w:hAnsi="Times New Roman"/>
          <w:color w:val="000000" w:themeColor="text1"/>
          <w:lang w:val="uk-UA"/>
        </w:rPr>
        <w:t xml:space="preserve">ТОВАРИСТВО З ОБМЕЖЕНОЮ ВІДПОВІДАЛЬНІСТЮ </w:t>
      </w:r>
      <w:r w:rsidR="00022F5F">
        <w:rPr>
          <w:rFonts w:ascii="Times New Roman" w:hAnsi="Times New Roman"/>
          <w:color w:val="000000" w:themeColor="text1"/>
          <w:lang w:val="uk-UA"/>
        </w:rPr>
        <w:t>"</w:t>
      </w:r>
      <w:r w:rsidR="00E16672" w:rsidRPr="00E16672">
        <w:rPr>
          <w:rFonts w:ascii="Times New Roman" w:hAnsi="Times New Roman"/>
          <w:color w:val="000000" w:themeColor="text1"/>
          <w:lang w:val="uk-UA"/>
        </w:rPr>
        <w:t>КОМЕКС ЦІННІ ПАПЕРИ</w:t>
      </w:r>
      <w:r w:rsidR="00022F5F">
        <w:rPr>
          <w:rFonts w:ascii="Times New Roman" w:hAnsi="Times New Roman"/>
          <w:color w:val="000000" w:themeColor="text1"/>
          <w:lang w:val="uk-UA"/>
        </w:rPr>
        <w:t>"</w:t>
      </w:r>
      <w:r w:rsidR="00DE2E39" w:rsidRPr="00E16672">
        <w:rPr>
          <w:rFonts w:ascii="Times New Roman" w:hAnsi="Times New Roman"/>
          <w:color w:val="000000" w:themeColor="text1"/>
          <w:lang w:val="uk-UA"/>
        </w:rPr>
        <w:t xml:space="preserve">, код за ЄДРПОУ </w:t>
      </w:r>
      <w:r w:rsidR="00E16672" w:rsidRPr="00E16672">
        <w:rPr>
          <w:rFonts w:ascii="Times New Roman" w:hAnsi="Times New Roman"/>
          <w:color w:val="000000" w:themeColor="text1"/>
          <w:lang w:val="uk-UA"/>
        </w:rPr>
        <w:t>33153077</w:t>
      </w:r>
      <w:r w:rsidR="00DE2E39" w:rsidRPr="00E16672">
        <w:rPr>
          <w:rFonts w:ascii="Times New Roman" w:hAnsi="Times New Roman"/>
          <w:color w:val="000000" w:themeColor="text1"/>
          <w:lang w:val="uk-UA"/>
        </w:rPr>
        <w:t xml:space="preserve"> (надалі – Депозитарна установа), що здійснює депозитарну діяльність депозитарної установи на підставі ліцензії серія АЕ №</w:t>
      </w:r>
      <w:r w:rsidR="00E16672" w:rsidRPr="00E16672">
        <w:rPr>
          <w:rFonts w:ascii="Times New Roman" w:hAnsi="Times New Roman"/>
          <w:color w:val="000000" w:themeColor="text1"/>
          <w:lang w:val="uk-UA"/>
        </w:rPr>
        <w:t>263429</w:t>
      </w:r>
      <w:r w:rsidR="00DE2E39" w:rsidRPr="00E16672">
        <w:rPr>
          <w:rFonts w:ascii="Times New Roman" w:hAnsi="Times New Roman"/>
          <w:color w:val="000000" w:themeColor="text1"/>
          <w:lang w:val="uk-UA"/>
        </w:rPr>
        <w:t xml:space="preserve">, виданої </w:t>
      </w:r>
      <w:r w:rsidR="00E16672" w:rsidRPr="00E16672">
        <w:rPr>
          <w:rFonts w:ascii="Times New Roman" w:hAnsi="Times New Roman"/>
          <w:color w:val="000000" w:themeColor="text1"/>
          <w:lang w:val="uk-UA"/>
        </w:rPr>
        <w:t>01.10.2013</w:t>
      </w:r>
      <w:r w:rsidR="00DE2E39" w:rsidRPr="00E16672">
        <w:rPr>
          <w:rFonts w:ascii="Times New Roman" w:hAnsi="Times New Roman"/>
          <w:color w:val="000000" w:themeColor="text1"/>
          <w:lang w:val="uk-UA"/>
        </w:rPr>
        <w:t xml:space="preserve"> р.</w:t>
      </w:r>
      <w:r w:rsidR="00DE2E39" w:rsidRPr="00E16672">
        <w:rPr>
          <w:rFonts w:ascii="Times New Roman" w:hAnsi="Times New Roman"/>
          <w:color w:val="000000" w:themeColor="text1"/>
          <w:szCs w:val="20"/>
          <w:lang w:val="uk-UA"/>
        </w:rPr>
        <w:t xml:space="preserve"> Н</w:t>
      </w:r>
      <w:r w:rsidR="00765E37" w:rsidRPr="00E16672">
        <w:rPr>
          <w:rFonts w:ascii="Times New Roman" w:hAnsi="Times New Roman"/>
          <w:color w:val="000000" w:themeColor="text1"/>
          <w:lang w:val="uk-UA"/>
        </w:rPr>
        <w:t xml:space="preserve">аціональною комісією з цінних паперів та фондового ринку (надалі – НКЦПФР), в особі </w:t>
      </w:r>
      <w:r w:rsidR="00DE2E39" w:rsidRPr="00E16672">
        <w:rPr>
          <w:rFonts w:ascii="Times New Roman" w:hAnsi="Times New Roman"/>
          <w:lang w:val="uk-UA"/>
        </w:rPr>
        <w:t xml:space="preserve">директора </w:t>
      </w:r>
      <w:r w:rsidR="006517E7">
        <w:rPr>
          <w:rFonts w:ascii="Times New Roman" w:hAnsi="Times New Roman"/>
          <w:lang w:val="uk-UA"/>
        </w:rPr>
        <w:t>Король Оксани Іванівни</w:t>
      </w:r>
      <w:r w:rsidR="00DE2E39" w:rsidRPr="00E16672">
        <w:rPr>
          <w:rFonts w:ascii="Times New Roman" w:hAnsi="Times New Roman"/>
          <w:lang w:val="uk-UA"/>
        </w:rPr>
        <w:t>, що діє на підставі Статуту</w:t>
      </w:r>
      <w:r w:rsidR="00765E37" w:rsidRPr="00E16672">
        <w:rPr>
          <w:rFonts w:ascii="Times New Roman" w:hAnsi="Times New Roman"/>
          <w:lang w:val="uk-UA"/>
        </w:rPr>
        <w:t xml:space="preserve">,  </w:t>
      </w:r>
      <w:r w:rsidR="00765E37" w:rsidRPr="00E16672">
        <w:rPr>
          <w:rFonts w:ascii="Times New Roman" w:hAnsi="Times New Roman"/>
          <w:i/>
          <w:sz w:val="16"/>
          <w:szCs w:val="20"/>
          <w:lang w:val="uk-UA"/>
        </w:rPr>
        <w:t xml:space="preserve">                                                                      </w:t>
      </w:r>
    </w:p>
    <w:p w14:paraId="7FBD07C2" w14:textId="77777777" w:rsidR="00765E37" w:rsidRPr="00E16672" w:rsidRDefault="00765E37" w:rsidP="005C08DC">
      <w:pPr>
        <w:ind w:firstLine="0"/>
        <w:rPr>
          <w:rFonts w:ascii="Times New Roman" w:hAnsi="Times New Roman"/>
          <w:i/>
          <w:iCs/>
          <w:sz w:val="16"/>
          <w:szCs w:val="20"/>
          <w:lang w:val="uk-UA"/>
        </w:rPr>
      </w:pPr>
    </w:p>
    <w:p w14:paraId="11DF9630" w14:textId="77777777" w:rsidR="00765E37" w:rsidRPr="00E16672" w:rsidRDefault="00765E37" w:rsidP="005C08DC">
      <w:pPr>
        <w:pStyle w:val="ab"/>
        <w:ind w:firstLine="0"/>
        <w:jc w:val="both"/>
        <w:rPr>
          <w:rFonts w:ascii="Times New Roman" w:hAnsi="Times New Roman"/>
          <w:b w:val="0"/>
        </w:rPr>
      </w:pPr>
      <w:r w:rsidRPr="00E16672">
        <w:rPr>
          <w:rFonts w:ascii="Times New Roman" w:hAnsi="Times New Roman"/>
          <w:b w:val="0"/>
        </w:rPr>
        <w:t xml:space="preserve">з однієї сторони, та  </w:t>
      </w:r>
    </w:p>
    <w:p w14:paraId="49917AE4" w14:textId="77777777" w:rsidR="00765E37" w:rsidRPr="00E16672" w:rsidRDefault="00765E37" w:rsidP="005C08DC">
      <w:pPr>
        <w:pStyle w:val="ab"/>
        <w:ind w:firstLine="0"/>
        <w:jc w:val="both"/>
        <w:rPr>
          <w:rFonts w:ascii="Times New Roman" w:hAnsi="Times New Roman"/>
          <w:b w:val="0"/>
        </w:rPr>
      </w:pPr>
      <w:r w:rsidRPr="00E16672">
        <w:rPr>
          <w:rFonts w:ascii="Times New Roman" w:hAnsi="Times New Roman"/>
          <w:b w:val="0"/>
        </w:rPr>
        <w:t>__________________________________________________________________________________________________</w:t>
      </w:r>
    </w:p>
    <w:p w14:paraId="6D24534B" w14:textId="77777777" w:rsidR="00765E37" w:rsidRPr="00E16672" w:rsidRDefault="00765E37" w:rsidP="005C08DC">
      <w:pPr>
        <w:suppressAutoHyphens w:val="0"/>
        <w:autoSpaceDE w:val="0"/>
        <w:autoSpaceDN w:val="0"/>
        <w:adjustRightInd w:val="0"/>
        <w:ind w:firstLine="0"/>
        <w:rPr>
          <w:rFonts w:ascii="Times New Roman" w:hAnsi="Times New Roman"/>
          <w:i/>
          <w:iCs/>
          <w:sz w:val="16"/>
          <w:szCs w:val="20"/>
          <w:lang w:val="uk-UA"/>
        </w:rPr>
      </w:pPr>
      <w:r w:rsidRPr="00E16672">
        <w:rPr>
          <w:rFonts w:ascii="Times New Roman" w:hAnsi="Times New Roman"/>
          <w:i/>
          <w:sz w:val="16"/>
          <w:szCs w:val="20"/>
          <w:lang w:val="uk-UA"/>
        </w:rPr>
        <w:t>(</w:t>
      </w:r>
      <w:r w:rsidRPr="00E16672">
        <w:rPr>
          <w:rFonts w:ascii="Times New Roman" w:hAnsi="Times New Roman"/>
          <w:i/>
          <w:sz w:val="16"/>
          <w:szCs w:val="20"/>
          <w:lang w:val="uk-UA" w:eastAsia="uk-UA"/>
        </w:rPr>
        <w:t xml:space="preserve">повне </w:t>
      </w:r>
      <w:proofErr w:type="spellStart"/>
      <w:r w:rsidRPr="00E16672">
        <w:rPr>
          <w:rFonts w:ascii="Times New Roman" w:hAnsi="Times New Roman"/>
          <w:i/>
          <w:sz w:val="16"/>
          <w:szCs w:val="20"/>
          <w:lang w:val="uk-UA" w:eastAsia="uk-UA"/>
        </w:rPr>
        <w:t>найменування,ідентифікаційний</w:t>
      </w:r>
      <w:proofErr w:type="spellEnd"/>
      <w:r w:rsidRPr="00E16672">
        <w:rPr>
          <w:rFonts w:ascii="Times New Roman" w:hAnsi="Times New Roman"/>
          <w:i/>
          <w:sz w:val="16"/>
          <w:szCs w:val="20"/>
          <w:lang w:val="uk-UA" w:eastAsia="uk-UA"/>
        </w:rPr>
        <w:t xml:space="preserve"> код за ЄДРПОУ </w:t>
      </w:r>
    </w:p>
    <w:p w14:paraId="259C559D" w14:textId="77777777" w:rsidR="00765E37" w:rsidRPr="00E16672" w:rsidRDefault="00765E37" w:rsidP="005C08DC">
      <w:pPr>
        <w:pStyle w:val="ab"/>
        <w:ind w:firstLine="0"/>
        <w:jc w:val="both"/>
        <w:rPr>
          <w:rFonts w:ascii="Times New Roman" w:hAnsi="Times New Roman"/>
          <w:b w:val="0"/>
        </w:rPr>
      </w:pPr>
      <w:r w:rsidRPr="00E16672">
        <w:rPr>
          <w:rFonts w:ascii="Times New Roman" w:hAnsi="Times New Roman"/>
          <w:b w:val="0"/>
        </w:rPr>
        <w:t>_________________________________________________________________________________________________,</w:t>
      </w:r>
    </w:p>
    <w:p w14:paraId="798D3B21" w14:textId="77777777" w:rsidR="00765E37" w:rsidRPr="00E16672" w:rsidRDefault="00765E37" w:rsidP="005C08DC">
      <w:pPr>
        <w:suppressAutoHyphens w:val="0"/>
        <w:autoSpaceDE w:val="0"/>
        <w:autoSpaceDN w:val="0"/>
        <w:adjustRightInd w:val="0"/>
        <w:ind w:firstLine="0"/>
        <w:jc w:val="center"/>
        <w:rPr>
          <w:rFonts w:ascii="Times New Roman" w:hAnsi="Times New Roman"/>
          <w:i/>
          <w:iCs/>
          <w:sz w:val="16"/>
          <w:szCs w:val="20"/>
          <w:lang w:val="uk-UA"/>
        </w:rPr>
      </w:pPr>
    </w:p>
    <w:p w14:paraId="3A224BB0" w14:textId="77777777" w:rsidR="00765E37" w:rsidRPr="00E16672" w:rsidRDefault="00316F36" w:rsidP="005C08DC">
      <w:pPr>
        <w:pStyle w:val="ab"/>
        <w:ind w:firstLine="0"/>
        <w:jc w:val="both"/>
        <w:rPr>
          <w:rFonts w:ascii="Times New Roman" w:hAnsi="Times New Roman"/>
          <w:b w:val="0"/>
        </w:rPr>
      </w:pPr>
      <w:r w:rsidRPr="00E16672">
        <w:rPr>
          <w:rFonts w:ascii="Times New Roman" w:hAnsi="Times New Roman"/>
          <w:b w:val="0"/>
        </w:rPr>
        <w:t xml:space="preserve">(надалі - Депонент), </w:t>
      </w:r>
      <w:r w:rsidR="00765E37" w:rsidRPr="00E16672">
        <w:rPr>
          <w:rFonts w:ascii="Times New Roman" w:hAnsi="Times New Roman"/>
          <w:b w:val="0"/>
        </w:rPr>
        <w:t xml:space="preserve">в особі _________________________________________________________________________, </w:t>
      </w:r>
    </w:p>
    <w:p w14:paraId="50BE6B97" w14:textId="29731CEC" w:rsidR="00765E37" w:rsidRPr="00E16672" w:rsidRDefault="00765E37" w:rsidP="005C08DC">
      <w:pPr>
        <w:suppressAutoHyphens w:val="0"/>
        <w:autoSpaceDE w:val="0"/>
        <w:autoSpaceDN w:val="0"/>
        <w:adjustRightInd w:val="0"/>
        <w:ind w:firstLine="0"/>
        <w:jc w:val="center"/>
        <w:rPr>
          <w:rFonts w:ascii="Times New Roman" w:hAnsi="Times New Roman"/>
          <w:i/>
          <w:iCs/>
          <w:sz w:val="16"/>
          <w:szCs w:val="20"/>
          <w:lang w:val="uk-UA"/>
        </w:rPr>
      </w:pPr>
      <w:r w:rsidRPr="00E16672">
        <w:rPr>
          <w:rFonts w:ascii="Times New Roman" w:hAnsi="Times New Roman"/>
          <w:i/>
          <w:sz w:val="16"/>
          <w:szCs w:val="20"/>
          <w:lang w:val="uk-UA"/>
        </w:rPr>
        <w:t>(</w:t>
      </w:r>
      <w:r w:rsidR="0031584D" w:rsidRPr="0031584D">
        <w:rPr>
          <w:rFonts w:ascii="Times New Roman" w:hAnsi="Times New Roman"/>
          <w:i/>
          <w:sz w:val="16"/>
          <w:szCs w:val="20"/>
          <w:lang w:val="uk-UA" w:eastAsia="uk-UA"/>
        </w:rPr>
        <w:t>посада</w:t>
      </w:r>
      <w:r w:rsidR="0031584D">
        <w:rPr>
          <w:rFonts w:ascii="Times New Roman" w:hAnsi="Times New Roman"/>
          <w:i/>
          <w:sz w:val="16"/>
          <w:szCs w:val="20"/>
          <w:lang w:val="uk-UA" w:eastAsia="uk-UA"/>
        </w:rPr>
        <w:t xml:space="preserve">, </w:t>
      </w:r>
      <w:r w:rsidRPr="00E16672">
        <w:rPr>
          <w:rFonts w:ascii="Times New Roman" w:hAnsi="Times New Roman"/>
          <w:i/>
          <w:sz w:val="16"/>
          <w:szCs w:val="20"/>
          <w:lang w:val="uk-UA" w:eastAsia="uk-UA"/>
        </w:rPr>
        <w:t>прізвище, ім’я, по батькові (за наявності)</w:t>
      </w:r>
    </w:p>
    <w:p w14:paraId="343252BA" w14:textId="77777777" w:rsidR="00765E37" w:rsidRPr="00E16672" w:rsidRDefault="00765E37" w:rsidP="005C08DC">
      <w:pPr>
        <w:pStyle w:val="ab"/>
        <w:ind w:firstLine="0"/>
        <w:jc w:val="both"/>
        <w:rPr>
          <w:rFonts w:ascii="Times New Roman" w:hAnsi="Times New Roman"/>
          <w:b w:val="0"/>
        </w:rPr>
      </w:pPr>
      <w:r w:rsidRPr="00E16672">
        <w:rPr>
          <w:rFonts w:ascii="Times New Roman" w:hAnsi="Times New Roman"/>
          <w:b w:val="0"/>
        </w:rPr>
        <w:t>що діє на підставі (довіреності №____ від__________</w:t>
      </w:r>
      <w:r w:rsidR="001165D8" w:rsidRPr="00E16672">
        <w:rPr>
          <w:rFonts w:ascii="Times New Roman" w:hAnsi="Times New Roman"/>
          <w:b w:val="0"/>
        </w:rPr>
        <w:t>, інше: _____________________________</w:t>
      </w:r>
      <w:r w:rsidR="00FC1DBE" w:rsidRPr="00E16672">
        <w:rPr>
          <w:rFonts w:ascii="Times New Roman" w:hAnsi="Times New Roman"/>
          <w:b w:val="0"/>
          <w:lang w:val="ru-RU"/>
        </w:rPr>
        <w:t>__</w:t>
      </w:r>
      <w:r w:rsidR="001165D8" w:rsidRPr="00E16672">
        <w:rPr>
          <w:rFonts w:ascii="Times New Roman" w:hAnsi="Times New Roman"/>
          <w:b w:val="0"/>
        </w:rPr>
        <w:t>_______________</w:t>
      </w:r>
      <w:r w:rsidRPr="00E16672">
        <w:rPr>
          <w:rFonts w:ascii="Times New Roman" w:hAnsi="Times New Roman"/>
          <w:b w:val="0"/>
        </w:rPr>
        <w:t xml:space="preserve"> ) з другої сторони, а разом</w:t>
      </w:r>
      <w:r w:rsidRPr="00E16672">
        <w:rPr>
          <w:rFonts w:ascii="Times New Roman" w:hAnsi="Times New Roman"/>
          <w:b w:val="0"/>
          <w:vertAlign w:val="subscript"/>
        </w:rPr>
        <w:t xml:space="preserve"> </w:t>
      </w:r>
      <w:r w:rsidRPr="00E16672">
        <w:rPr>
          <w:rFonts w:ascii="Times New Roman" w:hAnsi="Times New Roman"/>
          <w:b w:val="0"/>
        </w:rPr>
        <w:t xml:space="preserve">надалі іменовані Сторони, уклали цей Договір про обслуговування </w:t>
      </w:r>
      <w:r w:rsidR="00DE6450" w:rsidRPr="00E16672">
        <w:rPr>
          <w:rFonts w:ascii="Times New Roman" w:hAnsi="Times New Roman"/>
          <w:b w:val="0"/>
        </w:rPr>
        <w:t xml:space="preserve">рахунку </w:t>
      </w:r>
      <w:r w:rsidRPr="00E16672">
        <w:rPr>
          <w:rFonts w:ascii="Times New Roman" w:hAnsi="Times New Roman"/>
          <w:b w:val="0"/>
        </w:rPr>
        <w:t>в цінних паперах (надалі – Договір) про наступне:</w:t>
      </w:r>
    </w:p>
    <w:p w14:paraId="099C7F5E" w14:textId="77777777" w:rsidR="00765E37" w:rsidRPr="00E16672" w:rsidRDefault="00765E37" w:rsidP="00765E37">
      <w:pPr>
        <w:pStyle w:val="2"/>
        <w:rPr>
          <w:rFonts w:ascii="Times New Roman" w:hAnsi="Times New Roman" w:cs="Times New Roman"/>
          <w:lang w:val="uk-UA"/>
        </w:rPr>
      </w:pPr>
      <w:r w:rsidRPr="00E16672">
        <w:rPr>
          <w:rFonts w:ascii="Times New Roman" w:hAnsi="Times New Roman" w:cs="Times New Roman"/>
          <w:lang w:val="uk-UA"/>
        </w:rPr>
        <w:tab/>
        <w:t>1. Предмет Договору</w:t>
      </w:r>
    </w:p>
    <w:p w14:paraId="53CEEBCD" w14:textId="77777777" w:rsidR="00765E37" w:rsidRPr="00E16672" w:rsidRDefault="00765E37" w:rsidP="00022F5F">
      <w:pPr>
        <w:pStyle w:val="ab"/>
        <w:ind w:firstLine="538"/>
        <w:jc w:val="left"/>
        <w:rPr>
          <w:rFonts w:ascii="Times New Roman" w:hAnsi="Times New Roman"/>
          <w:b w:val="0"/>
        </w:rPr>
      </w:pPr>
      <w:r w:rsidRPr="00E16672">
        <w:rPr>
          <w:rFonts w:ascii="Times New Roman" w:hAnsi="Times New Roman"/>
          <w:b w:val="0"/>
        </w:rPr>
        <w:t xml:space="preserve">1.1. </w:t>
      </w:r>
      <w:r w:rsidRPr="00E16672">
        <w:rPr>
          <w:rFonts w:ascii="Times New Roman" w:hAnsi="Times New Roman"/>
          <w:b w:val="0"/>
          <w:color w:val="000000"/>
        </w:rPr>
        <w:t>Депо</w:t>
      </w:r>
      <w:proofErr w:type="spellStart"/>
      <w:r w:rsidRPr="00E16672">
        <w:rPr>
          <w:rFonts w:ascii="Times New Roman" w:hAnsi="Times New Roman"/>
          <w:b w:val="0"/>
          <w:color w:val="000000"/>
          <w:lang w:val="ru-RU"/>
        </w:rPr>
        <w:t>нент</w:t>
      </w:r>
      <w:proofErr w:type="spellEnd"/>
      <w:r w:rsidRPr="00E16672">
        <w:rPr>
          <w:rFonts w:ascii="Times New Roman" w:hAnsi="Times New Roman"/>
          <w:b w:val="0"/>
          <w:color w:val="000000"/>
          <w:lang w:val="ru-RU"/>
        </w:rPr>
        <w:t xml:space="preserve"> </w:t>
      </w:r>
      <w:proofErr w:type="spellStart"/>
      <w:r w:rsidRPr="00E16672">
        <w:rPr>
          <w:rFonts w:ascii="Times New Roman" w:hAnsi="Times New Roman"/>
          <w:b w:val="0"/>
          <w:color w:val="000000"/>
          <w:lang w:val="ru-RU"/>
        </w:rPr>
        <w:t>доручає</w:t>
      </w:r>
      <w:proofErr w:type="spellEnd"/>
      <w:r w:rsidRPr="00E16672">
        <w:rPr>
          <w:rFonts w:ascii="Times New Roman" w:hAnsi="Times New Roman"/>
          <w:b w:val="0"/>
          <w:color w:val="000000"/>
          <w:lang w:val="ru-RU"/>
        </w:rPr>
        <w:t>, а Депо</w:t>
      </w:r>
      <w:proofErr w:type="spellStart"/>
      <w:r w:rsidRPr="00E16672">
        <w:rPr>
          <w:rFonts w:ascii="Times New Roman" w:hAnsi="Times New Roman"/>
          <w:b w:val="0"/>
          <w:color w:val="000000"/>
        </w:rPr>
        <w:t>зитарна</w:t>
      </w:r>
      <w:proofErr w:type="spellEnd"/>
      <w:r w:rsidRPr="00E16672">
        <w:rPr>
          <w:rFonts w:ascii="Times New Roman" w:hAnsi="Times New Roman"/>
          <w:b w:val="0"/>
          <w:color w:val="000000"/>
        </w:rPr>
        <w:t xml:space="preserve"> установа зобов’язується у порядку, передбаченому законодавством, внутрішніми документами Депозитарної установи та цим Договором, надавати послуги щодо відкриття та обслуговування рахунку </w:t>
      </w:r>
      <w:r w:rsidR="00C22309" w:rsidRPr="00E16672">
        <w:rPr>
          <w:rFonts w:ascii="Times New Roman" w:hAnsi="Times New Roman"/>
          <w:b w:val="0"/>
          <w:color w:val="000000"/>
        </w:rPr>
        <w:t>в цін</w:t>
      </w:r>
      <w:r w:rsidRPr="00E16672">
        <w:rPr>
          <w:rFonts w:ascii="Times New Roman" w:hAnsi="Times New Roman"/>
          <w:b w:val="0"/>
          <w:color w:val="000000"/>
        </w:rPr>
        <w:t xml:space="preserve">них паперах </w:t>
      </w:r>
      <w:r w:rsidRPr="00E16672">
        <w:rPr>
          <w:rFonts w:ascii="Times New Roman" w:hAnsi="Times New Roman"/>
          <w:b w:val="0"/>
        </w:rPr>
        <w:t xml:space="preserve">Депонента, та вести на ньому облік цінних паперів, що належать Депоненту, а також облік прав Депонента на цінні папери, що обліковуються на  рахунку </w:t>
      </w:r>
      <w:r w:rsidR="00C22309" w:rsidRPr="00E16672">
        <w:rPr>
          <w:rFonts w:ascii="Times New Roman" w:hAnsi="Times New Roman"/>
          <w:b w:val="0"/>
        </w:rPr>
        <w:t>в цін</w:t>
      </w:r>
      <w:r w:rsidRPr="00E16672">
        <w:rPr>
          <w:rFonts w:ascii="Times New Roman" w:hAnsi="Times New Roman"/>
          <w:b w:val="0"/>
        </w:rPr>
        <w:t xml:space="preserve">них паперах, та обмеження таких прав,  проводити депозитарні операції за рахунком </w:t>
      </w:r>
      <w:r w:rsidR="00C22309" w:rsidRPr="00E16672">
        <w:rPr>
          <w:rFonts w:ascii="Times New Roman" w:hAnsi="Times New Roman"/>
          <w:b w:val="0"/>
        </w:rPr>
        <w:t>в цін</w:t>
      </w:r>
      <w:r w:rsidRPr="00E16672">
        <w:rPr>
          <w:rFonts w:ascii="Times New Roman" w:hAnsi="Times New Roman"/>
          <w:b w:val="0"/>
        </w:rPr>
        <w:t>них паперах Депонента на підставі розпоряджень</w:t>
      </w:r>
      <w:r w:rsidRPr="00E16672">
        <w:rPr>
          <w:rFonts w:ascii="Times New Roman" w:hAnsi="Times New Roman"/>
          <w:b w:val="0"/>
          <w:color w:val="000000"/>
        </w:rPr>
        <w:t xml:space="preserve"> Депонента </w:t>
      </w:r>
      <w:r w:rsidRPr="00E16672">
        <w:rPr>
          <w:rStyle w:val="rvts0"/>
          <w:rFonts w:ascii="Times New Roman" w:hAnsi="Times New Roman"/>
          <w:b w:val="0"/>
        </w:rPr>
        <w:t>(суб'єкта управління)</w:t>
      </w:r>
      <w:r w:rsidRPr="00E16672">
        <w:rPr>
          <w:rStyle w:val="rvts0"/>
          <w:rFonts w:ascii="Times New Roman" w:hAnsi="Times New Roman"/>
        </w:rPr>
        <w:t xml:space="preserve"> </w:t>
      </w:r>
      <w:r w:rsidRPr="00E16672">
        <w:rPr>
          <w:rFonts w:ascii="Times New Roman" w:hAnsi="Times New Roman"/>
          <w:b w:val="0"/>
          <w:color w:val="000000"/>
        </w:rPr>
        <w:t>та в інший спосіб, передбачений законодавством, а також надавати інші послуги у процесі провадження депозитарної діяльності відповідно до Положення про провадження депозитарної діяльності, затвердженого рішенням Національної комісії з цінних паперів та фондового ринку від 23.04.2013 року № 735, зареєстрованого в Міністерстві юстиції України 27.06.2013 року №  1084/23616 (далі – Положення про провадження депозитарної діяльності), а Депонент зобов’язується оплатити послуги Депозитарної установи.</w:t>
      </w:r>
      <w:r w:rsidRPr="00E16672">
        <w:rPr>
          <w:rFonts w:ascii="Times New Roman" w:hAnsi="Times New Roman"/>
          <w:b w:val="0"/>
        </w:rPr>
        <w:t xml:space="preserve">1.2. Цінні папери (фінансовий актив) Депонента, права на які обліковуються Депозитарною установою відповідно до умов цього Договору, зберігаються Центральним депозитарієм цінних паперів відповідно до Закону України </w:t>
      </w:r>
      <w:r w:rsidR="00022F5F">
        <w:rPr>
          <w:rFonts w:ascii="Times New Roman" w:hAnsi="Times New Roman"/>
          <w:b w:val="0"/>
        </w:rPr>
        <w:t>"</w:t>
      </w:r>
      <w:r w:rsidRPr="00E16672">
        <w:rPr>
          <w:rFonts w:ascii="Times New Roman" w:hAnsi="Times New Roman"/>
          <w:b w:val="0"/>
        </w:rPr>
        <w:t>Про депозитарну систему України</w:t>
      </w:r>
      <w:r w:rsidR="00022F5F">
        <w:rPr>
          <w:rFonts w:ascii="Times New Roman" w:hAnsi="Times New Roman"/>
          <w:b w:val="0"/>
        </w:rPr>
        <w:t>"</w:t>
      </w:r>
      <w:r w:rsidRPr="00E16672">
        <w:rPr>
          <w:rFonts w:ascii="Times New Roman" w:hAnsi="Times New Roman"/>
          <w:b w:val="0"/>
        </w:rPr>
        <w:t>.</w:t>
      </w:r>
    </w:p>
    <w:p w14:paraId="4438E938" w14:textId="77777777" w:rsidR="00765E37" w:rsidRPr="00E16672" w:rsidRDefault="00765E37" w:rsidP="00765E37">
      <w:pPr>
        <w:pStyle w:val="22"/>
        <w:ind w:firstLine="567"/>
        <w:rPr>
          <w:rFonts w:ascii="Times New Roman" w:hAnsi="Times New Roman"/>
          <w:lang w:val="ru-RU"/>
        </w:rPr>
      </w:pPr>
      <w:r w:rsidRPr="00E16672">
        <w:rPr>
          <w:rFonts w:ascii="Times New Roman" w:hAnsi="Times New Roman"/>
          <w:lang w:val="ru-RU"/>
        </w:rPr>
        <w:t xml:space="preserve">1.3. </w:t>
      </w:r>
      <w:proofErr w:type="spellStart"/>
      <w:r w:rsidRPr="00E16672">
        <w:rPr>
          <w:rFonts w:ascii="Times New Roman" w:hAnsi="Times New Roman"/>
          <w:lang w:val="ru-RU"/>
        </w:rPr>
        <w:t>Виконання</w:t>
      </w:r>
      <w:proofErr w:type="spellEnd"/>
      <w:r w:rsidRPr="00E16672">
        <w:rPr>
          <w:rFonts w:ascii="Times New Roman" w:hAnsi="Times New Roman"/>
          <w:lang w:val="ru-RU"/>
        </w:rPr>
        <w:t xml:space="preserve"> Депозитарною </w:t>
      </w:r>
      <w:proofErr w:type="spellStart"/>
      <w:r w:rsidRPr="00E16672">
        <w:rPr>
          <w:rFonts w:ascii="Times New Roman" w:hAnsi="Times New Roman"/>
          <w:lang w:val="ru-RU"/>
        </w:rPr>
        <w:t>установою</w:t>
      </w:r>
      <w:proofErr w:type="spellEnd"/>
      <w:r w:rsidRPr="00E16672">
        <w:rPr>
          <w:rFonts w:ascii="Times New Roman" w:hAnsi="Times New Roman"/>
          <w:lang w:val="ru-RU"/>
        </w:rPr>
        <w:t xml:space="preserve"> </w:t>
      </w:r>
      <w:proofErr w:type="spellStart"/>
      <w:r w:rsidRPr="00E16672">
        <w:rPr>
          <w:rFonts w:ascii="Times New Roman" w:hAnsi="Times New Roman"/>
          <w:lang w:val="ru-RU"/>
        </w:rPr>
        <w:t>додаткових</w:t>
      </w:r>
      <w:proofErr w:type="spellEnd"/>
      <w:r w:rsidRPr="00E16672">
        <w:rPr>
          <w:rFonts w:ascii="Times New Roman" w:hAnsi="Times New Roman"/>
          <w:lang w:val="ru-RU"/>
        </w:rPr>
        <w:t xml:space="preserve"> </w:t>
      </w:r>
      <w:proofErr w:type="spellStart"/>
      <w:r w:rsidRPr="00E16672">
        <w:rPr>
          <w:rFonts w:ascii="Times New Roman" w:hAnsi="Times New Roman"/>
          <w:lang w:val="ru-RU"/>
        </w:rPr>
        <w:t>послуг</w:t>
      </w:r>
      <w:proofErr w:type="spellEnd"/>
      <w:r w:rsidRPr="00E16672">
        <w:rPr>
          <w:rFonts w:ascii="Times New Roman" w:hAnsi="Times New Roman"/>
          <w:lang w:val="ru-RU"/>
        </w:rPr>
        <w:t xml:space="preserve"> та </w:t>
      </w:r>
      <w:proofErr w:type="spellStart"/>
      <w:r w:rsidRPr="00E16672">
        <w:rPr>
          <w:rFonts w:ascii="Times New Roman" w:hAnsi="Times New Roman"/>
          <w:lang w:val="ru-RU"/>
        </w:rPr>
        <w:t>операцій</w:t>
      </w:r>
      <w:proofErr w:type="spellEnd"/>
      <w:r w:rsidRPr="00E16672">
        <w:rPr>
          <w:rFonts w:ascii="Times New Roman" w:hAnsi="Times New Roman"/>
          <w:lang w:val="ru-RU"/>
        </w:rPr>
        <w:t xml:space="preserve">, </w:t>
      </w:r>
      <w:proofErr w:type="spellStart"/>
      <w:r w:rsidRPr="00E16672">
        <w:rPr>
          <w:rFonts w:ascii="Times New Roman" w:hAnsi="Times New Roman"/>
          <w:lang w:val="ru-RU"/>
        </w:rPr>
        <w:t>що</w:t>
      </w:r>
      <w:proofErr w:type="spellEnd"/>
      <w:r w:rsidRPr="00E16672">
        <w:rPr>
          <w:rFonts w:ascii="Times New Roman" w:hAnsi="Times New Roman"/>
          <w:lang w:val="ru-RU"/>
        </w:rPr>
        <w:t xml:space="preserve"> не </w:t>
      </w:r>
      <w:proofErr w:type="spellStart"/>
      <w:r w:rsidRPr="00E16672">
        <w:rPr>
          <w:rFonts w:ascii="Times New Roman" w:hAnsi="Times New Roman"/>
          <w:lang w:val="ru-RU"/>
        </w:rPr>
        <w:t>суперечать</w:t>
      </w:r>
      <w:proofErr w:type="spellEnd"/>
      <w:r w:rsidRPr="00E16672">
        <w:rPr>
          <w:rFonts w:ascii="Times New Roman" w:hAnsi="Times New Roman"/>
          <w:lang w:val="ru-RU"/>
        </w:rPr>
        <w:t xml:space="preserve"> чинному </w:t>
      </w:r>
      <w:proofErr w:type="spellStart"/>
      <w:r w:rsidRPr="00E16672">
        <w:rPr>
          <w:rFonts w:ascii="Times New Roman" w:hAnsi="Times New Roman"/>
          <w:lang w:val="ru-RU"/>
        </w:rPr>
        <w:t>законодавству</w:t>
      </w:r>
      <w:proofErr w:type="spellEnd"/>
      <w:r w:rsidRPr="00E16672">
        <w:rPr>
          <w:rFonts w:ascii="Times New Roman" w:hAnsi="Times New Roman"/>
          <w:lang w:val="ru-RU"/>
        </w:rPr>
        <w:t xml:space="preserve"> </w:t>
      </w:r>
      <w:proofErr w:type="spellStart"/>
      <w:r w:rsidRPr="00E16672">
        <w:rPr>
          <w:rFonts w:ascii="Times New Roman" w:hAnsi="Times New Roman"/>
          <w:lang w:val="ru-RU"/>
        </w:rPr>
        <w:t>України</w:t>
      </w:r>
      <w:proofErr w:type="spellEnd"/>
      <w:r w:rsidRPr="00E16672">
        <w:rPr>
          <w:rFonts w:ascii="Times New Roman" w:hAnsi="Times New Roman"/>
          <w:lang w:val="ru-RU"/>
        </w:rPr>
        <w:t xml:space="preserve">, </w:t>
      </w:r>
      <w:proofErr w:type="spellStart"/>
      <w:r w:rsidRPr="00E16672">
        <w:rPr>
          <w:rFonts w:ascii="Times New Roman" w:hAnsi="Times New Roman"/>
          <w:lang w:val="ru-RU"/>
        </w:rPr>
        <w:t>оформлюється</w:t>
      </w:r>
      <w:proofErr w:type="spellEnd"/>
      <w:r w:rsidRPr="00E16672">
        <w:rPr>
          <w:rFonts w:ascii="Times New Roman" w:hAnsi="Times New Roman"/>
          <w:lang w:val="ru-RU"/>
        </w:rPr>
        <w:t xml:space="preserve"> </w:t>
      </w:r>
      <w:proofErr w:type="spellStart"/>
      <w:r w:rsidRPr="00E16672">
        <w:rPr>
          <w:rFonts w:ascii="Times New Roman" w:hAnsi="Times New Roman"/>
          <w:lang w:val="ru-RU"/>
        </w:rPr>
        <w:t>додатковими</w:t>
      </w:r>
      <w:proofErr w:type="spellEnd"/>
      <w:r w:rsidRPr="00E16672">
        <w:rPr>
          <w:rFonts w:ascii="Times New Roman" w:hAnsi="Times New Roman"/>
          <w:lang w:val="ru-RU"/>
        </w:rPr>
        <w:t xml:space="preserve"> </w:t>
      </w:r>
      <w:proofErr w:type="spellStart"/>
      <w:r w:rsidRPr="00E16672">
        <w:rPr>
          <w:rFonts w:ascii="Times New Roman" w:hAnsi="Times New Roman"/>
          <w:lang w:val="ru-RU"/>
        </w:rPr>
        <w:t>угодами</w:t>
      </w:r>
      <w:proofErr w:type="spellEnd"/>
      <w:r w:rsidRPr="00E16672">
        <w:rPr>
          <w:rFonts w:ascii="Times New Roman" w:hAnsi="Times New Roman"/>
          <w:lang w:val="ru-RU"/>
        </w:rPr>
        <w:t xml:space="preserve">, </w:t>
      </w:r>
      <w:proofErr w:type="spellStart"/>
      <w:r w:rsidRPr="00E16672">
        <w:rPr>
          <w:rFonts w:ascii="Times New Roman" w:hAnsi="Times New Roman"/>
          <w:lang w:val="ru-RU"/>
        </w:rPr>
        <w:t>які</w:t>
      </w:r>
      <w:proofErr w:type="spellEnd"/>
      <w:r w:rsidRPr="00E16672">
        <w:rPr>
          <w:rFonts w:ascii="Times New Roman" w:hAnsi="Times New Roman"/>
          <w:lang w:val="ru-RU"/>
        </w:rPr>
        <w:t xml:space="preserve"> з моменту </w:t>
      </w:r>
      <w:proofErr w:type="spellStart"/>
      <w:r w:rsidRPr="00E16672">
        <w:rPr>
          <w:rFonts w:ascii="Times New Roman" w:hAnsi="Times New Roman"/>
          <w:lang w:val="ru-RU"/>
        </w:rPr>
        <w:t>їх</w:t>
      </w:r>
      <w:proofErr w:type="spellEnd"/>
      <w:r w:rsidRPr="00E16672">
        <w:rPr>
          <w:rFonts w:ascii="Times New Roman" w:hAnsi="Times New Roman"/>
          <w:lang w:val="ru-RU"/>
        </w:rPr>
        <w:t xml:space="preserve"> </w:t>
      </w:r>
      <w:proofErr w:type="spellStart"/>
      <w:r w:rsidRPr="00E16672">
        <w:rPr>
          <w:rFonts w:ascii="Times New Roman" w:hAnsi="Times New Roman"/>
          <w:lang w:val="ru-RU"/>
        </w:rPr>
        <w:t>підписання</w:t>
      </w:r>
      <w:proofErr w:type="spellEnd"/>
      <w:r w:rsidRPr="00E16672">
        <w:rPr>
          <w:rFonts w:ascii="Times New Roman" w:hAnsi="Times New Roman"/>
          <w:lang w:val="ru-RU"/>
        </w:rPr>
        <w:t xml:space="preserve"> </w:t>
      </w:r>
      <w:proofErr w:type="spellStart"/>
      <w:r w:rsidRPr="00E16672">
        <w:rPr>
          <w:rFonts w:ascii="Times New Roman" w:hAnsi="Times New Roman"/>
          <w:lang w:val="ru-RU"/>
        </w:rPr>
        <w:t>стають</w:t>
      </w:r>
      <w:proofErr w:type="spellEnd"/>
      <w:r w:rsidRPr="00E16672">
        <w:rPr>
          <w:rFonts w:ascii="Times New Roman" w:hAnsi="Times New Roman"/>
          <w:lang w:val="ru-RU"/>
        </w:rPr>
        <w:t xml:space="preserve"> </w:t>
      </w:r>
      <w:proofErr w:type="spellStart"/>
      <w:r w:rsidRPr="00E16672">
        <w:rPr>
          <w:rFonts w:ascii="Times New Roman" w:hAnsi="Times New Roman"/>
          <w:lang w:val="ru-RU"/>
        </w:rPr>
        <w:t>невід’ємною</w:t>
      </w:r>
      <w:proofErr w:type="spellEnd"/>
      <w:r w:rsidRPr="00E16672">
        <w:rPr>
          <w:rFonts w:ascii="Times New Roman" w:hAnsi="Times New Roman"/>
          <w:lang w:val="ru-RU"/>
        </w:rPr>
        <w:t xml:space="preserve"> </w:t>
      </w:r>
      <w:proofErr w:type="spellStart"/>
      <w:r w:rsidRPr="00E16672">
        <w:rPr>
          <w:rFonts w:ascii="Times New Roman" w:hAnsi="Times New Roman"/>
          <w:lang w:val="ru-RU"/>
        </w:rPr>
        <w:t>частиною</w:t>
      </w:r>
      <w:proofErr w:type="spellEnd"/>
      <w:r w:rsidRPr="00E16672">
        <w:rPr>
          <w:rFonts w:ascii="Times New Roman" w:hAnsi="Times New Roman"/>
          <w:lang w:val="ru-RU"/>
        </w:rPr>
        <w:t xml:space="preserve"> </w:t>
      </w:r>
      <w:proofErr w:type="spellStart"/>
      <w:r w:rsidRPr="00E16672">
        <w:rPr>
          <w:rFonts w:ascii="Times New Roman" w:hAnsi="Times New Roman"/>
          <w:lang w:val="ru-RU"/>
        </w:rPr>
        <w:t>цього</w:t>
      </w:r>
      <w:proofErr w:type="spellEnd"/>
      <w:r w:rsidRPr="00E16672">
        <w:rPr>
          <w:rFonts w:ascii="Times New Roman" w:hAnsi="Times New Roman"/>
          <w:lang w:val="ru-RU"/>
        </w:rPr>
        <w:t xml:space="preserve"> Договору. </w:t>
      </w:r>
    </w:p>
    <w:p w14:paraId="5657E9B3" w14:textId="77777777" w:rsidR="00765E37" w:rsidRPr="00E16672" w:rsidRDefault="00765E37" w:rsidP="00765E37">
      <w:pPr>
        <w:pStyle w:val="2"/>
        <w:rPr>
          <w:rFonts w:ascii="Times New Roman" w:hAnsi="Times New Roman" w:cs="Times New Roman"/>
          <w:lang w:val="uk-UA"/>
        </w:rPr>
      </w:pPr>
      <w:r w:rsidRPr="00E16672">
        <w:rPr>
          <w:rFonts w:ascii="Times New Roman" w:hAnsi="Times New Roman" w:cs="Times New Roman"/>
          <w:lang w:val="uk-UA"/>
        </w:rPr>
        <w:t xml:space="preserve">2. Права та обов’язки сторін </w:t>
      </w:r>
    </w:p>
    <w:p w14:paraId="05AD6880" w14:textId="77777777" w:rsidR="00765E37" w:rsidRPr="00E16672" w:rsidRDefault="00765E37" w:rsidP="00765E37">
      <w:pPr>
        <w:tabs>
          <w:tab w:val="left" w:pos="450"/>
        </w:tabs>
        <w:rPr>
          <w:rFonts w:ascii="Times New Roman" w:hAnsi="Times New Roman"/>
          <w:b/>
          <w:szCs w:val="20"/>
          <w:lang w:val="uk-UA"/>
        </w:rPr>
      </w:pPr>
      <w:r w:rsidRPr="00E16672">
        <w:rPr>
          <w:rFonts w:ascii="Times New Roman" w:hAnsi="Times New Roman"/>
          <w:szCs w:val="20"/>
          <w:lang w:val="uk-UA"/>
        </w:rPr>
        <w:tab/>
      </w:r>
      <w:r w:rsidRPr="00E16672">
        <w:rPr>
          <w:rFonts w:ascii="Times New Roman" w:hAnsi="Times New Roman"/>
          <w:b/>
          <w:szCs w:val="20"/>
          <w:lang w:val="uk-UA"/>
        </w:rPr>
        <w:t>2.1. Депозитарна установа зобов’язана:</w:t>
      </w:r>
    </w:p>
    <w:p w14:paraId="688E9C43" w14:textId="77777777" w:rsidR="00765E37" w:rsidRPr="00E16672" w:rsidRDefault="00765E37" w:rsidP="00765E37">
      <w:pPr>
        <w:tabs>
          <w:tab w:val="left" w:pos="851"/>
        </w:tabs>
        <w:rPr>
          <w:rFonts w:ascii="Times New Roman" w:hAnsi="Times New Roman"/>
          <w:szCs w:val="20"/>
          <w:lang w:val="uk-UA"/>
        </w:rPr>
      </w:pPr>
      <w:r w:rsidRPr="00E16672">
        <w:rPr>
          <w:rFonts w:ascii="Times New Roman" w:hAnsi="Times New Roman"/>
          <w:szCs w:val="20"/>
          <w:lang w:val="uk-UA"/>
        </w:rPr>
        <w:t xml:space="preserve">2.1.1 Відкрити Депоненту рахунок </w:t>
      </w:r>
      <w:r w:rsidR="00C22309" w:rsidRPr="00E16672">
        <w:rPr>
          <w:rFonts w:ascii="Times New Roman" w:hAnsi="Times New Roman"/>
          <w:szCs w:val="20"/>
          <w:lang w:val="uk-UA"/>
        </w:rPr>
        <w:t>в цін</w:t>
      </w:r>
      <w:r w:rsidRPr="00E16672">
        <w:rPr>
          <w:rFonts w:ascii="Times New Roman" w:hAnsi="Times New Roman"/>
          <w:szCs w:val="20"/>
          <w:lang w:val="uk-UA"/>
        </w:rPr>
        <w:t xml:space="preserve">них паперах протягом </w:t>
      </w:r>
      <w:r w:rsidRPr="00E16672">
        <w:rPr>
          <w:rFonts w:ascii="Times New Roman" w:hAnsi="Times New Roman"/>
          <w:i/>
          <w:szCs w:val="20"/>
          <w:lang w:val="uk-UA"/>
        </w:rPr>
        <w:t xml:space="preserve">п'яти </w:t>
      </w:r>
      <w:r w:rsidRPr="00E16672">
        <w:rPr>
          <w:rFonts w:ascii="Times New Roman" w:hAnsi="Times New Roman"/>
          <w:szCs w:val="20"/>
          <w:lang w:val="uk-UA"/>
        </w:rPr>
        <w:t xml:space="preserve">робочих днів після подання Депонентом визначених законодавством документів для відкриття рахунку в цінних паперах. Якщо Депонент є платником податків, видаткові операції на рахунку </w:t>
      </w:r>
      <w:r w:rsidR="00C22309" w:rsidRPr="00E16672">
        <w:rPr>
          <w:rFonts w:ascii="Times New Roman" w:hAnsi="Times New Roman"/>
          <w:szCs w:val="20"/>
          <w:lang w:val="uk-UA"/>
        </w:rPr>
        <w:t>в цін</w:t>
      </w:r>
      <w:r w:rsidRPr="00E16672">
        <w:rPr>
          <w:rFonts w:ascii="Times New Roman" w:hAnsi="Times New Roman"/>
          <w:szCs w:val="20"/>
          <w:lang w:val="uk-UA"/>
        </w:rPr>
        <w:t>них паперах здійснюються після узяття рахунку на облік в органах державної податкової служби.</w:t>
      </w:r>
    </w:p>
    <w:p w14:paraId="420DA529" w14:textId="77777777" w:rsidR="00765E37" w:rsidRPr="00E16672" w:rsidRDefault="00765E37" w:rsidP="00765E37">
      <w:pPr>
        <w:tabs>
          <w:tab w:val="left" w:pos="851"/>
        </w:tabs>
        <w:ind w:firstLine="539"/>
        <w:rPr>
          <w:rFonts w:ascii="Times New Roman" w:hAnsi="Times New Roman"/>
          <w:color w:val="000000"/>
          <w:szCs w:val="20"/>
          <w:lang w:val="uk-UA"/>
        </w:rPr>
      </w:pPr>
      <w:r w:rsidRPr="00E16672">
        <w:rPr>
          <w:rFonts w:ascii="Times New Roman" w:hAnsi="Times New Roman"/>
          <w:szCs w:val="20"/>
          <w:lang w:val="uk-UA"/>
        </w:rPr>
        <w:t>2.1.2. Ознайомити Депонента з внутрішніми документами (витягами з внутрішніх документів, діючими тарифами</w:t>
      </w:r>
      <w:r w:rsidRPr="00E16672">
        <w:rPr>
          <w:rFonts w:ascii="Times New Roman" w:hAnsi="Times New Roman"/>
          <w:bCs/>
          <w:szCs w:val="16"/>
          <w:lang w:val="uk-UA"/>
        </w:rPr>
        <w:t xml:space="preserve"> на депозитарні операції з цінними паперами Депозитарної установи (далі – тарифи Депозитарної установи)</w:t>
      </w:r>
      <w:r w:rsidRPr="00E16672">
        <w:rPr>
          <w:rFonts w:ascii="Times New Roman" w:hAnsi="Times New Roman"/>
          <w:szCs w:val="20"/>
          <w:lang w:val="uk-UA"/>
        </w:rPr>
        <w:t xml:space="preserve">, що є чинними на час підписання цього Договору) Депозитарної установи, які регламентують відносини Депонента та Депозитарної установи стосовно порядку виконання розпоряджень Депонента, отримання виписок про стан рахунку </w:t>
      </w:r>
      <w:r w:rsidR="00C22309" w:rsidRPr="00E16672">
        <w:rPr>
          <w:rFonts w:ascii="Times New Roman" w:hAnsi="Times New Roman"/>
          <w:szCs w:val="20"/>
          <w:lang w:val="uk-UA"/>
        </w:rPr>
        <w:t>в цін</w:t>
      </w:r>
      <w:r w:rsidRPr="00E16672">
        <w:rPr>
          <w:rFonts w:ascii="Times New Roman" w:hAnsi="Times New Roman"/>
          <w:szCs w:val="20"/>
          <w:lang w:val="uk-UA"/>
        </w:rPr>
        <w:t xml:space="preserve">них </w:t>
      </w:r>
      <w:r w:rsidRPr="00E16672">
        <w:rPr>
          <w:rFonts w:ascii="Times New Roman" w:hAnsi="Times New Roman"/>
          <w:color w:val="000000"/>
          <w:szCs w:val="20"/>
          <w:lang w:val="uk-UA"/>
        </w:rPr>
        <w:t xml:space="preserve">паперах Депонента та про операції з цінними паперами, інформаційних довідок про незавершені операції з цінними паперами за рахунками в цінних паперах Депонента та інших інформаційних довідок, шляхом оприлюднення на </w:t>
      </w:r>
      <w:r w:rsidRPr="00E16672">
        <w:rPr>
          <w:rFonts w:ascii="Times New Roman" w:hAnsi="Times New Roman"/>
          <w:bCs/>
          <w:color w:val="000000"/>
          <w:szCs w:val="20"/>
          <w:lang w:val="uk-UA"/>
        </w:rPr>
        <w:t xml:space="preserve">веб-сторінці </w:t>
      </w:r>
      <w:r w:rsidRPr="00E16672">
        <w:rPr>
          <w:rFonts w:ascii="Times New Roman" w:hAnsi="Times New Roman"/>
          <w:color w:val="000000"/>
          <w:szCs w:val="20"/>
          <w:lang w:val="uk-UA"/>
        </w:rPr>
        <w:t xml:space="preserve">Депозитарної установи </w:t>
      </w:r>
      <w:r w:rsidR="00E16672">
        <w:rPr>
          <w:rFonts w:ascii="Times New Roman" w:hAnsi="Times New Roman"/>
          <w:color w:val="000000"/>
          <w:szCs w:val="20"/>
          <w:lang w:val="uk-UA"/>
        </w:rPr>
        <w:t>http://comex.uafin.net</w:t>
      </w:r>
      <w:r w:rsidRPr="00E16672">
        <w:rPr>
          <w:rFonts w:ascii="Times New Roman" w:hAnsi="Times New Roman"/>
          <w:color w:val="000000"/>
          <w:szCs w:val="20"/>
          <w:lang w:val="uk-UA"/>
        </w:rPr>
        <w:t xml:space="preserve">, та в подальшому ознайомлювати Депонента зі змінами та доповненнями до цих документів (витягів з внутрішніх документів, діючих тарифів Депозитарної установи) шляхом розміщення протягом </w:t>
      </w:r>
      <w:r w:rsidRPr="00E16672">
        <w:rPr>
          <w:rFonts w:ascii="Times New Roman" w:hAnsi="Times New Roman"/>
          <w:i/>
          <w:color w:val="000000"/>
          <w:szCs w:val="20"/>
          <w:lang w:val="uk-UA"/>
        </w:rPr>
        <w:t>п'яти</w:t>
      </w:r>
      <w:r w:rsidRPr="00E16672">
        <w:rPr>
          <w:rFonts w:ascii="Times New Roman" w:hAnsi="Times New Roman"/>
          <w:color w:val="000000"/>
          <w:szCs w:val="20"/>
          <w:lang w:val="uk-UA"/>
        </w:rPr>
        <w:t xml:space="preserve"> робочих днів після затвердження змін відповідної інформації та тексту внутрішніх документів (витягів з внутрішніх документів) на </w:t>
      </w:r>
      <w:r w:rsidRPr="00E16672">
        <w:rPr>
          <w:rFonts w:ascii="Times New Roman" w:hAnsi="Times New Roman"/>
          <w:bCs/>
          <w:color w:val="000000"/>
          <w:szCs w:val="20"/>
          <w:lang w:val="uk-UA"/>
        </w:rPr>
        <w:t xml:space="preserve">веб-сторінці </w:t>
      </w:r>
      <w:r w:rsidRPr="00E16672">
        <w:rPr>
          <w:rFonts w:ascii="Times New Roman" w:hAnsi="Times New Roman"/>
          <w:color w:val="000000"/>
          <w:szCs w:val="20"/>
          <w:lang w:val="uk-UA"/>
        </w:rPr>
        <w:t xml:space="preserve">Депозитарної установи </w:t>
      </w:r>
      <w:r w:rsidR="00E16672">
        <w:rPr>
          <w:rFonts w:ascii="Times New Roman" w:hAnsi="Times New Roman"/>
          <w:color w:val="000000"/>
          <w:szCs w:val="20"/>
          <w:lang w:val="uk-UA"/>
        </w:rPr>
        <w:t>http://comex.uafin.net</w:t>
      </w:r>
      <w:r w:rsidRPr="00E16672">
        <w:rPr>
          <w:rFonts w:ascii="Times New Roman" w:hAnsi="Times New Roman"/>
          <w:color w:val="000000"/>
          <w:szCs w:val="20"/>
          <w:lang w:val="uk-UA"/>
        </w:rPr>
        <w:t>.</w:t>
      </w:r>
    </w:p>
    <w:p w14:paraId="2085E22C" w14:textId="77777777" w:rsidR="00765E37" w:rsidRPr="00E16672" w:rsidRDefault="00765E37" w:rsidP="00765E37">
      <w:pPr>
        <w:tabs>
          <w:tab w:val="left" w:pos="851"/>
        </w:tabs>
        <w:ind w:firstLine="539"/>
        <w:rPr>
          <w:rFonts w:ascii="Times New Roman" w:hAnsi="Times New Roman"/>
          <w:color w:val="000000"/>
          <w:szCs w:val="20"/>
          <w:lang w:val="uk-UA"/>
        </w:rPr>
      </w:pPr>
      <w:r w:rsidRPr="00E16672">
        <w:rPr>
          <w:rFonts w:ascii="Times New Roman" w:hAnsi="Times New Roman"/>
          <w:color w:val="000000"/>
          <w:szCs w:val="20"/>
          <w:lang w:val="uk-UA"/>
        </w:rPr>
        <w:t xml:space="preserve">2.1.3. Здійснювати облік цінних паперів, що належать Депоненту, на рахунку </w:t>
      </w:r>
      <w:r w:rsidR="00C22309" w:rsidRPr="00E16672">
        <w:rPr>
          <w:rFonts w:ascii="Times New Roman" w:hAnsi="Times New Roman"/>
          <w:color w:val="000000"/>
          <w:szCs w:val="20"/>
          <w:lang w:val="uk-UA"/>
        </w:rPr>
        <w:t>в цін</w:t>
      </w:r>
      <w:r w:rsidRPr="00E16672">
        <w:rPr>
          <w:rFonts w:ascii="Times New Roman" w:hAnsi="Times New Roman"/>
          <w:color w:val="000000"/>
          <w:szCs w:val="20"/>
          <w:lang w:val="uk-UA"/>
        </w:rPr>
        <w:t>них паперах.</w:t>
      </w:r>
    </w:p>
    <w:p w14:paraId="4B428860" w14:textId="77777777" w:rsidR="00765E37" w:rsidRPr="00E16672" w:rsidRDefault="00765E37" w:rsidP="00022F5F">
      <w:pPr>
        <w:tabs>
          <w:tab w:val="left" w:pos="851"/>
        </w:tabs>
        <w:ind w:firstLine="539"/>
        <w:jc w:val="left"/>
        <w:rPr>
          <w:rFonts w:ascii="Times New Roman" w:hAnsi="Times New Roman"/>
          <w:bCs/>
          <w:color w:val="000000"/>
          <w:szCs w:val="20"/>
          <w:lang w:val="uk-UA"/>
        </w:rPr>
      </w:pPr>
      <w:r w:rsidRPr="00E16672">
        <w:rPr>
          <w:rFonts w:ascii="Times New Roman" w:hAnsi="Times New Roman"/>
          <w:color w:val="000000"/>
          <w:szCs w:val="20"/>
          <w:lang w:val="uk-UA"/>
        </w:rPr>
        <w:t xml:space="preserve">2.1.4. Здійснювати облік прав Депонента на цінні папери, що обліковуються на його рахунку </w:t>
      </w:r>
      <w:r w:rsidR="00C22309" w:rsidRPr="00E16672">
        <w:rPr>
          <w:rFonts w:ascii="Times New Roman" w:hAnsi="Times New Roman"/>
          <w:color w:val="000000"/>
          <w:szCs w:val="20"/>
          <w:lang w:val="uk-UA"/>
        </w:rPr>
        <w:t>в цін</w:t>
      </w:r>
      <w:r w:rsidRPr="00E16672">
        <w:rPr>
          <w:rFonts w:ascii="Times New Roman" w:hAnsi="Times New Roman"/>
          <w:color w:val="000000"/>
          <w:szCs w:val="20"/>
          <w:lang w:val="uk-UA"/>
        </w:rPr>
        <w:t xml:space="preserve">них паперах, та обмеження таких прав, у тому числі відокремлений </w:t>
      </w:r>
      <w:r w:rsidRPr="00E16672">
        <w:rPr>
          <w:rFonts w:ascii="Times New Roman" w:hAnsi="Times New Roman"/>
          <w:bCs/>
          <w:color w:val="000000"/>
          <w:szCs w:val="20"/>
          <w:lang w:val="uk-UA"/>
        </w:rPr>
        <w:t xml:space="preserve">облік прав на цінні папери, які зарезервовані для здійснення розрахунків за правочинами щодо цінних паперів з дотриманням принципу </w:t>
      </w:r>
      <w:r w:rsidR="00022F5F">
        <w:rPr>
          <w:rFonts w:ascii="Times New Roman" w:hAnsi="Times New Roman"/>
          <w:bCs/>
          <w:color w:val="000000"/>
          <w:szCs w:val="20"/>
          <w:lang w:val="uk-UA"/>
        </w:rPr>
        <w:t>"</w:t>
      </w:r>
      <w:r w:rsidRPr="00E16672">
        <w:rPr>
          <w:rFonts w:ascii="Times New Roman" w:hAnsi="Times New Roman"/>
          <w:bCs/>
          <w:color w:val="000000"/>
          <w:szCs w:val="20"/>
          <w:lang w:val="uk-UA"/>
        </w:rPr>
        <w:t>поставка цінних паперів проти оплати</w:t>
      </w:r>
      <w:r w:rsidR="00022F5F">
        <w:rPr>
          <w:rFonts w:ascii="Times New Roman" w:hAnsi="Times New Roman"/>
          <w:bCs/>
          <w:color w:val="000000"/>
          <w:szCs w:val="20"/>
          <w:lang w:val="uk-UA"/>
        </w:rPr>
        <w:t>"</w:t>
      </w:r>
      <w:r w:rsidRPr="00E16672">
        <w:rPr>
          <w:rFonts w:ascii="Times New Roman" w:hAnsi="Times New Roman"/>
          <w:bCs/>
          <w:color w:val="000000"/>
          <w:szCs w:val="20"/>
          <w:lang w:val="uk-UA"/>
        </w:rPr>
        <w:t>.</w:t>
      </w:r>
    </w:p>
    <w:p w14:paraId="5276B546" w14:textId="77777777" w:rsidR="00765E37" w:rsidRPr="00E16672" w:rsidRDefault="00765E37" w:rsidP="00765E37">
      <w:pPr>
        <w:tabs>
          <w:tab w:val="left" w:pos="851"/>
        </w:tabs>
        <w:ind w:firstLine="539"/>
        <w:rPr>
          <w:rFonts w:ascii="Times New Roman" w:hAnsi="Times New Roman"/>
          <w:color w:val="000000"/>
          <w:szCs w:val="20"/>
          <w:lang w:val="uk-UA"/>
        </w:rPr>
      </w:pPr>
      <w:r w:rsidRPr="00E16672">
        <w:rPr>
          <w:rFonts w:ascii="Times New Roman" w:hAnsi="Times New Roman"/>
          <w:color w:val="000000"/>
          <w:szCs w:val="20"/>
          <w:lang w:val="uk-UA"/>
        </w:rPr>
        <w:t xml:space="preserve">2.1.5. Здійснювати обслуговування </w:t>
      </w:r>
      <w:proofErr w:type="spellStart"/>
      <w:r w:rsidRPr="00E16672">
        <w:rPr>
          <w:rFonts w:ascii="Times New Roman" w:hAnsi="Times New Roman"/>
          <w:color w:val="000000"/>
          <w:szCs w:val="20"/>
          <w:lang w:val="uk-UA"/>
        </w:rPr>
        <w:t>обіг</w:t>
      </w:r>
      <w:r w:rsidR="00C22309" w:rsidRPr="00E16672">
        <w:rPr>
          <w:rFonts w:ascii="Times New Roman" w:hAnsi="Times New Roman"/>
          <w:color w:val="000000"/>
          <w:szCs w:val="20"/>
          <w:lang w:val="uk-UA"/>
        </w:rPr>
        <w:t>в</w:t>
      </w:r>
      <w:proofErr w:type="spellEnd"/>
      <w:r w:rsidR="00C22309" w:rsidRPr="00E16672">
        <w:rPr>
          <w:rFonts w:ascii="Times New Roman" w:hAnsi="Times New Roman"/>
          <w:color w:val="000000"/>
          <w:szCs w:val="20"/>
          <w:lang w:val="uk-UA"/>
        </w:rPr>
        <w:t xml:space="preserve"> цін</w:t>
      </w:r>
      <w:r w:rsidRPr="00E16672">
        <w:rPr>
          <w:rFonts w:ascii="Times New Roman" w:hAnsi="Times New Roman"/>
          <w:color w:val="000000"/>
          <w:szCs w:val="20"/>
          <w:lang w:val="uk-UA"/>
        </w:rPr>
        <w:t xml:space="preserve">них паперів на рахунку </w:t>
      </w:r>
      <w:r w:rsidR="00C22309" w:rsidRPr="00E16672">
        <w:rPr>
          <w:rFonts w:ascii="Times New Roman" w:hAnsi="Times New Roman"/>
          <w:color w:val="000000"/>
          <w:szCs w:val="20"/>
          <w:lang w:val="uk-UA"/>
        </w:rPr>
        <w:t>в цін</w:t>
      </w:r>
      <w:r w:rsidRPr="00E16672">
        <w:rPr>
          <w:rFonts w:ascii="Times New Roman" w:hAnsi="Times New Roman"/>
          <w:color w:val="000000"/>
          <w:szCs w:val="20"/>
          <w:lang w:val="uk-UA"/>
        </w:rPr>
        <w:t xml:space="preserve">них паперах Депонента шляхом проведення депозитарних операцій за рахунком </w:t>
      </w:r>
      <w:r w:rsidR="00C22309" w:rsidRPr="00E16672">
        <w:rPr>
          <w:rFonts w:ascii="Times New Roman" w:hAnsi="Times New Roman"/>
          <w:color w:val="000000"/>
          <w:szCs w:val="20"/>
          <w:lang w:val="uk-UA"/>
        </w:rPr>
        <w:t>в цін</w:t>
      </w:r>
      <w:r w:rsidRPr="00E16672">
        <w:rPr>
          <w:rFonts w:ascii="Times New Roman" w:hAnsi="Times New Roman"/>
          <w:color w:val="000000"/>
          <w:szCs w:val="20"/>
          <w:lang w:val="uk-UA"/>
        </w:rPr>
        <w:t>них паперах у порядку та строки, визначені законодавством та/або внутрішніми документами Депозитарної установи.</w:t>
      </w:r>
    </w:p>
    <w:p w14:paraId="2F151593" w14:textId="77777777" w:rsidR="00765E37" w:rsidRPr="00E16672" w:rsidRDefault="00765E37" w:rsidP="00765E37">
      <w:pPr>
        <w:tabs>
          <w:tab w:val="left" w:pos="851"/>
        </w:tabs>
        <w:ind w:firstLine="539"/>
        <w:rPr>
          <w:rFonts w:ascii="Times New Roman" w:eastAsia="Arial" w:hAnsi="Times New Roman"/>
          <w:strike/>
          <w:color w:val="000000"/>
          <w:szCs w:val="20"/>
          <w:lang w:val="uk-UA"/>
        </w:rPr>
      </w:pPr>
      <w:r w:rsidRPr="00E16672">
        <w:rPr>
          <w:rFonts w:ascii="Times New Roman" w:hAnsi="Times New Roman"/>
          <w:color w:val="000000"/>
          <w:szCs w:val="20"/>
          <w:lang w:val="uk-UA"/>
        </w:rPr>
        <w:t xml:space="preserve">2.1.6. </w:t>
      </w:r>
      <w:r w:rsidRPr="00E16672">
        <w:rPr>
          <w:rFonts w:ascii="Times New Roman" w:eastAsia="Arial" w:hAnsi="Times New Roman"/>
          <w:color w:val="000000"/>
          <w:szCs w:val="20"/>
          <w:lang w:val="uk-UA"/>
        </w:rPr>
        <w:t xml:space="preserve">Складати та видавати виписку з рахунку в цінних паперах Депонента та виписку про операції з цінними паперами </w:t>
      </w:r>
      <w:r w:rsidRPr="00E16672">
        <w:rPr>
          <w:rFonts w:ascii="Times New Roman" w:eastAsia="Arial" w:hAnsi="Times New Roman"/>
          <w:color w:val="000000"/>
          <w:szCs w:val="20"/>
        </w:rPr>
        <w:t xml:space="preserve">на </w:t>
      </w:r>
      <w:proofErr w:type="spellStart"/>
      <w:r w:rsidRPr="00E16672">
        <w:rPr>
          <w:rFonts w:ascii="Times New Roman" w:eastAsia="Arial" w:hAnsi="Times New Roman"/>
          <w:color w:val="000000"/>
          <w:szCs w:val="20"/>
        </w:rPr>
        <w:t>вимогу</w:t>
      </w:r>
      <w:proofErr w:type="spellEnd"/>
      <w:r w:rsidRPr="00E16672">
        <w:rPr>
          <w:rFonts w:ascii="Times New Roman" w:eastAsia="Arial" w:hAnsi="Times New Roman"/>
          <w:color w:val="000000"/>
          <w:szCs w:val="20"/>
        </w:rPr>
        <w:t xml:space="preserve"> Депонента </w:t>
      </w:r>
      <w:r w:rsidRPr="00E16672">
        <w:rPr>
          <w:rFonts w:ascii="Times New Roman" w:eastAsia="Arial" w:hAnsi="Times New Roman"/>
          <w:color w:val="000000"/>
          <w:szCs w:val="20"/>
          <w:lang w:val="uk-UA"/>
        </w:rPr>
        <w:t xml:space="preserve">періодично  - один раз на рік за відповідним розпорядженням Депонента, або на запит Депонента </w:t>
      </w:r>
      <w:r w:rsidRPr="00E16672">
        <w:rPr>
          <w:rFonts w:ascii="Times New Roman" w:hAnsi="Times New Roman"/>
          <w:color w:val="000000"/>
          <w:szCs w:val="20"/>
        </w:rPr>
        <w:t xml:space="preserve">не </w:t>
      </w:r>
      <w:proofErr w:type="spellStart"/>
      <w:r w:rsidRPr="00E16672">
        <w:rPr>
          <w:rFonts w:ascii="Times New Roman" w:hAnsi="Times New Roman"/>
          <w:color w:val="000000"/>
          <w:szCs w:val="20"/>
        </w:rPr>
        <w:t>пізніше</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наступного</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робочого</w:t>
      </w:r>
      <w:proofErr w:type="spellEnd"/>
      <w:r w:rsidRPr="00E16672">
        <w:rPr>
          <w:rFonts w:ascii="Times New Roman" w:hAnsi="Times New Roman"/>
          <w:color w:val="000000"/>
          <w:szCs w:val="20"/>
        </w:rPr>
        <w:t xml:space="preserve"> дня з </w:t>
      </w:r>
      <w:proofErr w:type="spellStart"/>
      <w:r w:rsidRPr="00E16672">
        <w:rPr>
          <w:rFonts w:ascii="Times New Roman" w:hAnsi="Times New Roman"/>
          <w:color w:val="000000"/>
          <w:szCs w:val="20"/>
        </w:rPr>
        <w:t>дати</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отримання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відповідного</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розпорядження</w:t>
      </w:r>
      <w:proofErr w:type="spellEnd"/>
      <w:r w:rsidRPr="00E16672">
        <w:rPr>
          <w:rFonts w:ascii="Times New Roman" w:hAnsi="Times New Roman"/>
          <w:color w:val="000000"/>
          <w:szCs w:val="20"/>
        </w:rPr>
        <w:t xml:space="preserve"> у </w:t>
      </w:r>
      <w:proofErr w:type="spellStart"/>
      <w:r w:rsidRPr="00E16672">
        <w:rPr>
          <w:rFonts w:ascii="Times New Roman" w:hAnsi="Times New Roman"/>
          <w:color w:val="000000"/>
          <w:szCs w:val="20"/>
        </w:rPr>
        <w:t>спосіб</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визначений</w:t>
      </w:r>
      <w:proofErr w:type="spellEnd"/>
      <w:r w:rsidRPr="00E16672">
        <w:rPr>
          <w:rFonts w:ascii="Times New Roman" w:hAnsi="Times New Roman"/>
          <w:color w:val="000000"/>
          <w:szCs w:val="20"/>
        </w:rPr>
        <w:t xml:space="preserve"> у </w:t>
      </w:r>
      <w:proofErr w:type="spellStart"/>
      <w:r w:rsidRPr="00E16672">
        <w:rPr>
          <w:rFonts w:ascii="Times New Roman" w:hAnsi="Times New Roman"/>
          <w:color w:val="000000"/>
          <w:szCs w:val="20"/>
        </w:rPr>
        <w:t>розпорядженні</w:t>
      </w:r>
      <w:proofErr w:type="spellEnd"/>
      <w:r w:rsidRPr="00E16672">
        <w:rPr>
          <w:rFonts w:ascii="Times New Roman" w:hAnsi="Times New Roman"/>
          <w:color w:val="000000"/>
          <w:szCs w:val="20"/>
        </w:rPr>
        <w:t>.</w:t>
      </w:r>
    </w:p>
    <w:p w14:paraId="56E96565" w14:textId="77777777" w:rsidR="00765E37" w:rsidRPr="00E16672" w:rsidRDefault="00765E37" w:rsidP="00765E37">
      <w:pPr>
        <w:pStyle w:val="23"/>
        <w:ind w:firstLine="539"/>
        <w:rPr>
          <w:rFonts w:ascii="Times New Roman" w:hAnsi="Times New Roman"/>
          <w:color w:val="000000"/>
          <w:spacing w:val="-9"/>
        </w:rPr>
      </w:pPr>
      <w:r w:rsidRPr="00E16672">
        <w:rPr>
          <w:rFonts w:ascii="Times New Roman" w:hAnsi="Times New Roman"/>
          <w:color w:val="000000"/>
        </w:rPr>
        <w:t xml:space="preserve">Виписка з рахунку </w:t>
      </w:r>
      <w:r w:rsidR="00C22309" w:rsidRPr="00E16672">
        <w:rPr>
          <w:rFonts w:ascii="Times New Roman" w:hAnsi="Times New Roman"/>
          <w:color w:val="000000"/>
          <w:spacing w:val="-9"/>
          <w:shd w:val="clear" w:color="auto" w:fill="FFFFFF"/>
        </w:rPr>
        <w:t>в цін</w:t>
      </w:r>
      <w:r w:rsidRPr="00E16672">
        <w:rPr>
          <w:rFonts w:ascii="Times New Roman" w:hAnsi="Times New Roman"/>
          <w:color w:val="000000"/>
          <w:spacing w:val="-9"/>
          <w:shd w:val="clear" w:color="auto" w:fill="FFFFFF"/>
        </w:rPr>
        <w:t xml:space="preserve">них паперах може надаватися </w:t>
      </w:r>
      <w:r w:rsidRPr="00E16672">
        <w:rPr>
          <w:rFonts w:ascii="Times New Roman" w:hAnsi="Times New Roman"/>
          <w:color w:val="000000"/>
        </w:rPr>
        <w:t xml:space="preserve">Депоненту у вигляді </w:t>
      </w:r>
      <w:r w:rsidRPr="00E16672">
        <w:rPr>
          <w:rFonts w:ascii="Times New Roman" w:hAnsi="Times New Roman"/>
          <w:color w:val="000000"/>
          <w:spacing w:val="-9"/>
        </w:rPr>
        <w:t xml:space="preserve">електронного документу з використанням </w:t>
      </w:r>
      <w:proofErr w:type="spellStart"/>
      <w:r w:rsidRPr="00E16672">
        <w:rPr>
          <w:rFonts w:ascii="Times New Roman" w:hAnsi="Times New Roman"/>
          <w:color w:val="000000"/>
          <w:spacing w:val="-9"/>
          <w:lang w:val="ru-RU"/>
        </w:rPr>
        <w:t>кваліф</w:t>
      </w:r>
      <w:proofErr w:type="spellEnd"/>
      <w:r w:rsidRPr="00E16672">
        <w:rPr>
          <w:rFonts w:ascii="Times New Roman" w:hAnsi="Times New Roman"/>
          <w:color w:val="000000"/>
          <w:spacing w:val="-9"/>
        </w:rPr>
        <w:t>і</w:t>
      </w:r>
      <w:r w:rsidRPr="00E16672">
        <w:rPr>
          <w:rFonts w:ascii="Times New Roman" w:hAnsi="Times New Roman"/>
          <w:color w:val="000000"/>
          <w:spacing w:val="-9"/>
          <w:lang w:val="ru-RU"/>
        </w:rPr>
        <w:t xml:space="preserve">кованого </w:t>
      </w:r>
      <w:r w:rsidRPr="00E16672">
        <w:rPr>
          <w:rFonts w:ascii="Times New Roman" w:hAnsi="Times New Roman"/>
          <w:color w:val="000000"/>
          <w:spacing w:val="-9"/>
        </w:rPr>
        <w:t xml:space="preserve">електронного підпису та </w:t>
      </w:r>
      <w:proofErr w:type="spellStart"/>
      <w:r w:rsidRPr="00E16672">
        <w:rPr>
          <w:rFonts w:ascii="Times New Roman" w:hAnsi="Times New Roman"/>
          <w:color w:val="000000"/>
          <w:spacing w:val="-9"/>
          <w:lang w:val="ru-RU"/>
        </w:rPr>
        <w:t>кваліф</w:t>
      </w:r>
      <w:proofErr w:type="spellEnd"/>
      <w:r w:rsidRPr="00E16672">
        <w:rPr>
          <w:rFonts w:ascii="Times New Roman" w:hAnsi="Times New Roman"/>
          <w:color w:val="000000"/>
          <w:spacing w:val="-9"/>
        </w:rPr>
        <w:t>і</w:t>
      </w:r>
      <w:r w:rsidRPr="00E16672">
        <w:rPr>
          <w:rFonts w:ascii="Times New Roman" w:hAnsi="Times New Roman"/>
          <w:color w:val="000000"/>
          <w:spacing w:val="-9"/>
          <w:lang w:val="ru-RU"/>
        </w:rPr>
        <w:t>кованого</w:t>
      </w:r>
      <w:r w:rsidRPr="00E16672">
        <w:rPr>
          <w:rFonts w:ascii="Times New Roman" w:hAnsi="Times New Roman"/>
          <w:color w:val="000000"/>
          <w:spacing w:val="-9"/>
        </w:rPr>
        <w:t xml:space="preserve"> </w:t>
      </w:r>
      <w:proofErr w:type="spellStart"/>
      <w:r w:rsidRPr="00E16672">
        <w:rPr>
          <w:rFonts w:ascii="Times New Roman" w:hAnsi="Times New Roman"/>
          <w:color w:val="000000"/>
          <w:spacing w:val="-9"/>
        </w:rPr>
        <w:t>електронн</w:t>
      </w:r>
      <w:proofErr w:type="spellEnd"/>
      <w:r w:rsidRPr="00E16672">
        <w:rPr>
          <w:rFonts w:ascii="Times New Roman" w:hAnsi="Times New Roman"/>
          <w:color w:val="000000"/>
          <w:spacing w:val="-9"/>
          <w:lang w:val="ru-RU"/>
        </w:rPr>
        <w:t>ого</w:t>
      </w:r>
      <w:r w:rsidRPr="00E16672">
        <w:rPr>
          <w:rFonts w:ascii="Times New Roman" w:hAnsi="Times New Roman"/>
          <w:color w:val="000000"/>
          <w:spacing w:val="-9"/>
        </w:rPr>
        <w:t xml:space="preserve"> підпису, що за правовим статусом прирівнюється до печатки юридичної  особи (у разі використання).</w:t>
      </w:r>
    </w:p>
    <w:p w14:paraId="52E3A7FC" w14:textId="77777777" w:rsidR="00765E37" w:rsidRPr="00E16672" w:rsidRDefault="00765E37" w:rsidP="00765E37">
      <w:pPr>
        <w:tabs>
          <w:tab w:val="left" w:pos="867"/>
        </w:tabs>
        <w:snapToGrid w:val="0"/>
        <w:ind w:left="16" w:firstLine="543"/>
        <w:rPr>
          <w:rFonts w:ascii="Times New Roman" w:eastAsia="Arial" w:hAnsi="Times New Roman"/>
          <w:color w:val="000000"/>
          <w:spacing w:val="-9"/>
          <w:szCs w:val="20"/>
          <w:lang w:val="uk-UA"/>
        </w:rPr>
      </w:pPr>
      <w:r w:rsidRPr="00E16672">
        <w:rPr>
          <w:rFonts w:ascii="Times New Roman" w:eastAsia="Arial" w:hAnsi="Times New Roman"/>
          <w:color w:val="000000"/>
          <w:spacing w:val="-9"/>
          <w:szCs w:val="20"/>
          <w:lang w:val="uk-UA"/>
        </w:rPr>
        <w:lastRenderedPageBreak/>
        <w:t xml:space="preserve">У якості звіту надавати Депоненту виписку з рахунку в цінних паперах або виписку про операції з цінними паперами після здійснення хоча б однієї облікової операції </w:t>
      </w:r>
      <w:r w:rsidRPr="00E16672">
        <w:rPr>
          <w:rFonts w:ascii="Times New Roman" w:eastAsia="Arial" w:hAnsi="Times New Roman"/>
          <w:i/>
          <w:iCs/>
          <w:color w:val="000000"/>
          <w:spacing w:val="-9"/>
          <w:szCs w:val="20"/>
          <w:lang w:val="uk-UA"/>
        </w:rPr>
        <w:t>не пізніше трьох</w:t>
      </w:r>
      <w:r w:rsidRPr="00E16672">
        <w:rPr>
          <w:rFonts w:ascii="Times New Roman" w:eastAsia="Arial" w:hAnsi="Times New Roman"/>
          <w:color w:val="000000"/>
          <w:spacing w:val="-9"/>
          <w:szCs w:val="20"/>
          <w:lang w:val="uk-UA"/>
        </w:rPr>
        <w:t xml:space="preserve"> </w:t>
      </w:r>
      <w:r w:rsidRPr="00E16672">
        <w:rPr>
          <w:rFonts w:ascii="Times New Roman" w:eastAsia="Arial" w:hAnsi="Times New Roman"/>
          <w:i/>
          <w:color w:val="000000"/>
          <w:spacing w:val="-9"/>
          <w:szCs w:val="20"/>
          <w:lang w:val="uk-UA"/>
        </w:rPr>
        <w:t>робочих</w:t>
      </w:r>
      <w:r w:rsidRPr="00E16672">
        <w:rPr>
          <w:rFonts w:ascii="Times New Roman" w:eastAsia="Arial" w:hAnsi="Times New Roman"/>
          <w:color w:val="000000"/>
          <w:spacing w:val="-9"/>
          <w:szCs w:val="20"/>
          <w:lang w:val="uk-UA"/>
        </w:rPr>
        <w:t xml:space="preserve"> днів з дня здійснення такої операції.</w:t>
      </w:r>
    </w:p>
    <w:p w14:paraId="02B055A7" w14:textId="77777777" w:rsidR="00765E37" w:rsidRPr="00E16672" w:rsidRDefault="00765E37" w:rsidP="00765E37">
      <w:pPr>
        <w:tabs>
          <w:tab w:val="left" w:pos="851"/>
        </w:tabs>
        <w:ind w:firstLine="539"/>
        <w:rPr>
          <w:rFonts w:ascii="Times New Roman" w:hAnsi="Times New Roman"/>
          <w:szCs w:val="20"/>
          <w:lang w:val="uk-UA"/>
        </w:rPr>
      </w:pPr>
      <w:r w:rsidRPr="00E16672">
        <w:rPr>
          <w:rFonts w:ascii="Times New Roman" w:hAnsi="Times New Roman"/>
          <w:szCs w:val="20"/>
          <w:lang w:val="uk-UA"/>
        </w:rPr>
        <w:t xml:space="preserve">2.1.7. </w:t>
      </w:r>
      <w:r w:rsidRPr="00E16672">
        <w:rPr>
          <w:rFonts w:ascii="Times New Roman" w:hAnsi="Times New Roman"/>
          <w:color w:val="000000"/>
          <w:szCs w:val="20"/>
          <w:lang w:val="uk-UA"/>
        </w:rPr>
        <w:t xml:space="preserve">Надавати Депоненту інформаційні довідки про незавершені операції з цінними паперами за рахунком в цінних паперах Депонента, інші інформаційні довідки згідно вимог законодавства та внутрішніх документів Депозитарної установи, на запит Депонента не пізніше </w:t>
      </w:r>
      <w:r w:rsidRPr="00E16672">
        <w:rPr>
          <w:rFonts w:ascii="Times New Roman" w:hAnsi="Times New Roman"/>
          <w:i/>
          <w:color w:val="000000"/>
          <w:szCs w:val="20"/>
          <w:lang w:val="uk-UA"/>
        </w:rPr>
        <w:t xml:space="preserve">трьох </w:t>
      </w:r>
      <w:r w:rsidRPr="00E16672">
        <w:rPr>
          <w:rFonts w:ascii="Times New Roman" w:hAnsi="Times New Roman"/>
          <w:color w:val="000000"/>
          <w:szCs w:val="20"/>
          <w:lang w:val="uk-UA"/>
        </w:rPr>
        <w:t>робочих днів з дня отримання відповідного запиту (розпорядження)</w:t>
      </w:r>
      <w:r w:rsidRPr="00E16672">
        <w:rPr>
          <w:rFonts w:ascii="Times New Roman" w:hAnsi="Times New Roman"/>
          <w:szCs w:val="20"/>
          <w:lang w:val="uk-UA"/>
        </w:rPr>
        <w:t xml:space="preserve">. </w:t>
      </w:r>
      <w:r w:rsidRPr="00E16672">
        <w:rPr>
          <w:rFonts w:ascii="Times New Roman" w:hAnsi="Times New Roman"/>
          <w:spacing w:val="-9"/>
          <w:szCs w:val="20"/>
          <w:lang w:val="uk-UA"/>
        </w:rPr>
        <w:t>Інформаційна довідка надається Депоненту у спосіб</w:t>
      </w:r>
      <w:r w:rsidRPr="00E16672">
        <w:rPr>
          <w:rFonts w:ascii="Times New Roman" w:hAnsi="Times New Roman"/>
          <w:szCs w:val="20"/>
          <w:lang w:val="uk-UA"/>
        </w:rPr>
        <w:t xml:space="preserve">, визначений у запиті (розпорядженні) про надання відповідної інформаційної довідки. </w:t>
      </w:r>
    </w:p>
    <w:p w14:paraId="41D298BF" w14:textId="77777777" w:rsidR="00765E37" w:rsidRPr="00E16672" w:rsidRDefault="00765E37" w:rsidP="00765E37">
      <w:pPr>
        <w:tabs>
          <w:tab w:val="left" w:pos="540"/>
          <w:tab w:val="left" w:pos="851"/>
        </w:tabs>
        <w:ind w:firstLine="539"/>
        <w:rPr>
          <w:rFonts w:ascii="Times New Roman" w:hAnsi="Times New Roman"/>
          <w:szCs w:val="20"/>
          <w:lang w:val="uk-UA"/>
        </w:rPr>
      </w:pPr>
      <w:r w:rsidRPr="00E16672">
        <w:rPr>
          <w:rFonts w:ascii="Times New Roman" w:hAnsi="Times New Roman"/>
          <w:szCs w:val="20"/>
          <w:lang w:val="uk-UA"/>
        </w:rPr>
        <w:t xml:space="preserve">2.1.8. Повідомляти Депонента про проведення коригувальної операції у разі виявлення технічної помилки, допущеної при виконанні депозитарної операції, протягом </w:t>
      </w:r>
      <w:r w:rsidRPr="00E16672">
        <w:rPr>
          <w:rFonts w:ascii="Times New Roman" w:hAnsi="Times New Roman"/>
          <w:i/>
          <w:iCs/>
          <w:szCs w:val="20"/>
          <w:lang w:val="uk-UA"/>
        </w:rPr>
        <w:t xml:space="preserve">трьох </w:t>
      </w:r>
      <w:r w:rsidRPr="00E16672">
        <w:rPr>
          <w:rFonts w:ascii="Times New Roman" w:hAnsi="Times New Roman"/>
          <w:szCs w:val="20"/>
          <w:lang w:val="uk-UA"/>
        </w:rPr>
        <w:t xml:space="preserve">робочих днів </w:t>
      </w:r>
      <w:r w:rsidRPr="00E16672">
        <w:rPr>
          <w:rFonts w:ascii="Times New Roman" w:hAnsi="Times New Roman"/>
          <w:color w:val="000000"/>
          <w:szCs w:val="20"/>
          <w:lang w:val="uk-UA"/>
        </w:rPr>
        <w:t>з дня проведення коригувальної операції</w:t>
      </w:r>
      <w:r w:rsidRPr="00E16672">
        <w:rPr>
          <w:rFonts w:ascii="Times New Roman" w:hAnsi="Times New Roman"/>
          <w:color w:val="0000FF"/>
          <w:szCs w:val="20"/>
          <w:lang w:val="uk-UA"/>
        </w:rPr>
        <w:t xml:space="preserve"> </w:t>
      </w:r>
      <w:r w:rsidRPr="00E16672">
        <w:rPr>
          <w:rFonts w:ascii="Times New Roman" w:hAnsi="Times New Roman"/>
          <w:szCs w:val="20"/>
          <w:lang w:val="uk-UA"/>
        </w:rPr>
        <w:t xml:space="preserve">шляхом направлення листа із відповідним </w:t>
      </w:r>
      <w:r w:rsidRPr="00E16672">
        <w:rPr>
          <w:rFonts w:ascii="Times New Roman" w:hAnsi="Times New Roman"/>
          <w:color w:val="000000"/>
          <w:szCs w:val="20"/>
          <w:lang w:val="uk-UA"/>
        </w:rPr>
        <w:t>повідомленням в адресу</w:t>
      </w:r>
      <w:r w:rsidRPr="00E16672">
        <w:rPr>
          <w:rFonts w:ascii="Times New Roman" w:hAnsi="Times New Roman"/>
          <w:szCs w:val="20"/>
          <w:lang w:val="uk-UA"/>
        </w:rPr>
        <w:t xml:space="preserve"> Депонента, визначену в анкеті рахунку в цінних паперах Депонента.</w:t>
      </w:r>
    </w:p>
    <w:p w14:paraId="473AB041" w14:textId="77777777" w:rsidR="00765E37" w:rsidRPr="00E16672" w:rsidRDefault="00765E37" w:rsidP="00765E37">
      <w:pPr>
        <w:tabs>
          <w:tab w:val="left" w:pos="851"/>
        </w:tabs>
        <w:ind w:firstLine="539"/>
        <w:rPr>
          <w:rFonts w:ascii="Times New Roman" w:hAnsi="Times New Roman"/>
          <w:szCs w:val="20"/>
          <w:lang w:val="uk-UA"/>
        </w:rPr>
      </w:pPr>
      <w:r w:rsidRPr="00E16672">
        <w:rPr>
          <w:rFonts w:ascii="Times New Roman" w:hAnsi="Times New Roman"/>
          <w:szCs w:val="20"/>
          <w:lang w:val="uk-UA"/>
        </w:rPr>
        <w:t xml:space="preserve">2.1.9. Не виконувати дії та не надавати інформацію щодо цінних паперів, що належать Депоненту, або інформацію щодо Депонента без відповідних розпоряджень Депонента або керуючого рахунком </w:t>
      </w:r>
      <w:r w:rsidR="00C22309" w:rsidRPr="00E16672">
        <w:rPr>
          <w:rFonts w:ascii="Times New Roman" w:hAnsi="Times New Roman"/>
          <w:szCs w:val="20"/>
          <w:lang w:val="uk-UA"/>
        </w:rPr>
        <w:t>в цін</w:t>
      </w:r>
      <w:r w:rsidRPr="00E16672">
        <w:rPr>
          <w:rFonts w:ascii="Times New Roman" w:hAnsi="Times New Roman"/>
          <w:szCs w:val="20"/>
          <w:lang w:val="uk-UA"/>
        </w:rPr>
        <w:t>них паперах Депонента, крім випадків, передбачених законодавством та Договором.</w:t>
      </w:r>
    </w:p>
    <w:p w14:paraId="3188886D" w14:textId="77777777" w:rsidR="00765E37" w:rsidRPr="00E16672" w:rsidRDefault="00765E37" w:rsidP="00022F5F">
      <w:pPr>
        <w:tabs>
          <w:tab w:val="left" w:pos="851"/>
        </w:tabs>
        <w:ind w:firstLine="539"/>
        <w:jc w:val="left"/>
        <w:rPr>
          <w:rFonts w:ascii="Times New Roman" w:hAnsi="Times New Roman"/>
          <w:bCs/>
          <w:color w:val="000000"/>
          <w:szCs w:val="20"/>
          <w:lang w:val="uk-UA"/>
        </w:rPr>
      </w:pPr>
      <w:r w:rsidRPr="00E16672">
        <w:rPr>
          <w:rFonts w:ascii="Times New Roman" w:hAnsi="Times New Roman"/>
          <w:bCs/>
          <w:color w:val="000000"/>
          <w:szCs w:val="20"/>
          <w:lang w:val="uk-UA"/>
        </w:rPr>
        <w:t xml:space="preserve">2.1.10. Надавати Центральному депозитарію цінних паперів (далі – Центральний депозитарій) інформацію щодо Депонента, торговця цінними паперами, якому Депонентом надані повноваження на вчинення правочинів щодо цінних паперів в інтересах Депонента та цінних паперів, що належать Депоненту, яка необхідна для здійснення розрахунків за правочинами щодо цінних паперів з дотриманням принципу </w:t>
      </w:r>
      <w:r w:rsidR="00022F5F">
        <w:rPr>
          <w:rFonts w:ascii="Times New Roman" w:hAnsi="Times New Roman"/>
          <w:bCs/>
          <w:color w:val="000000"/>
          <w:szCs w:val="20"/>
          <w:lang w:val="uk-UA"/>
        </w:rPr>
        <w:t>"</w:t>
      </w:r>
      <w:r w:rsidRPr="00E16672">
        <w:rPr>
          <w:rFonts w:ascii="Times New Roman" w:hAnsi="Times New Roman"/>
          <w:bCs/>
          <w:color w:val="000000"/>
          <w:szCs w:val="20"/>
          <w:lang w:val="uk-UA"/>
        </w:rPr>
        <w:t>поставка цінних паперів проти оплати</w:t>
      </w:r>
      <w:r w:rsidR="00022F5F">
        <w:rPr>
          <w:rFonts w:ascii="Times New Roman" w:hAnsi="Times New Roman"/>
          <w:bCs/>
          <w:color w:val="000000"/>
          <w:szCs w:val="20"/>
          <w:lang w:val="uk-UA"/>
        </w:rPr>
        <w:t>"</w:t>
      </w:r>
      <w:r w:rsidRPr="00E16672">
        <w:rPr>
          <w:rFonts w:ascii="Times New Roman" w:hAnsi="Times New Roman"/>
          <w:bCs/>
          <w:color w:val="000000"/>
          <w:szCs w:val="20"/>
          <w:lang w:val="uk-UA"/>
        </w:rPr>
        <w:t>, з метою подальшого надання такої інформації Розрахунковому центру з обслуговування договорів на фінансових ринках (далі – Розрахунковий центр) чи кліринговій установі для її відображення у внутрішній системі обліку такої особи.</w:t>
      </w:r>
    </w:p>
    <w:p w14:paraId="5DE69D21" w14:textId="77777777" w:rsidR="00765E37" w:rsidRPr="00E16672" w:rsidRDefault="00765E37" w:rsidP="00765E37">
      <w:pPr>
        <w:tabs>
          <w:tab w:val="left" w:pos="851"/>
        </w:tabs>
        <w:ind w:firstLine="539"/>
        <w:rPr>
          <w:rFonts w:ascii="Times New Roman" w:hAnsi="Times New Roman"/>
          <w:strike/>
          <w:color w:val="000000"/>
          <w:szCs w:val="20"/>
          <w:lang w:val="uk-UA"/>
        </w:rPr>
      </w:pPr>
      <w:r w:rsidRPr="00E16672">
        <w:rPr>
          <w:rFonts w:ascii="Times New Roman" w:hAnsi="Times New Roman"/>
          <w:color w:val="000000"/>
          <w:szCs w:val="20"/>
          <w:lang w:val="uk-UA"/>
        </w:rPr>
        <w:t xml:space="preserve">2.1.11. Виконувати за рахунком </w:t>
      </w:r>
      <w:r w:rsidR="00C22309" w:rsidRPr="00E16672">
        <w:rPr>
          <w:rFonts w:ascii="Times New Roman" w:hAnsi="Times New Roman"/>
          <w:color w:val="000000"/>
          <w:szCs w:val="20"/>
          <w:lang w:val="uk-UA"/>
        </w:rPr>
        <w:t>в цін</w:t>
      </w:r>
      <w:r w:rsidRPr="00E16672">
        <w:rPr>
          <w:rFonts w:ascii="Times New Roman" w:hAnsi="Times New Roman"/>
          <w:color w:val="000000"/>
          <w:szCs w:val="20"/>
          <w:lang w:val="uk-UA"/>
        </w:rPr>
        <w:t>них паперах Депонента, що був узятий на облік Розрахунковим центром чи кліринговою установою, адміністративні опера</w:t>
      </w:r>
      <w:r w:rsidRPr="00E16672">
        <w:rPr>
          <w:rFonts w:ascii="Times New Roman" w:hAnsi="Times New Roman"/>
          <w:szCs w:val="20"/>
          <w:lang w:val="uk-UA"/>
        </w:rPr>
        <w:t>ції</w:t>
      </w:r>
      <w:r w:rsidRPr="00E16672">
        <w:rPr>
          <w:rFonts w:ascii="Times New Roman" w:hAnsi="Times New Roman"/>
          <w:color w:val="000000"/>
          <w:szCs w:val="20"/>
          <w:lang w:val="uk-UA"/>
        </w:rPr>
        <w:t xml:space="preserve">, </w:t>
      </w:r>
      <w:proofErr w:type="spellStart"/>
      <w:r w:rsidRPr="00E16672">
        <w:rPr>
          <w:rFonts w:ascii="Times New Roman" w:hAnsi="Times New Roman"/>
          <w:color w:val="000000"/>
          <w:szCs w:val="20"/>
        </w:rPr>
        <w:t>які</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визначені</w:t>
      </w:r>
      <w:proofErr w:type="spellEnd"/>
      <w:r w:rsidRPr="00E16672">
        <w:rPr>
          <w:rFonts w:ascii="Times New Roman" w:hAnsi="Times New Roman"/>
          <w:color w:val="000000"/>
          <w:szCs w:val="20"/>
        </w:rPr>
        <w:t xml:space="preserve"> Регламентом Центрального </w:t>
      </w:r>
      <w:proofErr w:type="spellStart"/>
      <w:r w:rsidRPr="00E16672">
        <w:rPr>
          <w:rFonts w:ascii="Times New Roman" w:hAnsi="Times New Roman"/>
          <w:color w:val="000000"/>
          <w:szCs w:val="20"/>
        </w:rPr>
        <w:t>депозитарію</w:t>
      </w:r>
      <w:proofErr w:type="spellEnd"/>
      <w:r w:rsidRPr="00E16672">
        <w:rPr>
          <w:rFonts w:ascii="Times New Roman" w:hAnsi="Times New Roman"/>
          <w:color w:val="000000"/>
          <w:szCs w:val="20"/>
        </w:rPr>
        <w:t xml:space="preserve"> як </w:t>
      </w:r>
      <w:proofErr w:type="spellStart"/>
      <w:r w:rsidRPr="00E16672">
        <w:rPr>
          <w:rFonts w:ascii="Times New Roman" w:hAnsi="Times New Roman"/>
          <w:color w:val="000000"/>
          <w:szCs w:val="20"/>
        </w:rPr>
        <w:t>такі</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що</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можуть</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призвести</w:t>
      </w:r>
      <w:proofErr w:type="spellEnd"/>
      <w:r w:rsidRPr="00E16672">
        <w:rPr>
          <w:rFonts w:ascii="Times New Roman" w:hAnsi="Times New Roman"/>
          <w:color w:val="000000"/>
          <w:szCs w:val="20"/>
        </w:rPr>
        <w:t xml:space="preserve"> до </w:t>
      </w:r>
      <w:proofErr w:type="spellStart"/>
      <w:r w:rsidRPr="00E16672">
        <w:rPr>
          <w:rFonts w:ascii="Times New Roman" w:hAnsi="Times New Roman"/>
          <w:color w:val="000000"/>
          <w:szCs w:val="20"/>
        </w:rPr>
        <w:t>неможливості</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здійснення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розрахунків</w:t>
      </w:r>
      <w:proofErr w:type="spellEnd"/>
      <w:r w:rsidRPr="00E16672">
        <w:rPr>
          <w:rFonts w:ascii="Times New Roman" w:hAnsi="Times New Roman"/>
          <w:color w:val="000000"/>
          <w:szCs w:val="20"/>
        </w:rPr>
        <w:t xml:space="preserve"> </w:t>
      </w:r>
      <w:r w:rsidR="00C22309" w:rsidRPr="00E16672">
        <w:rPr>
          <w:rFonts w:ascii="Times New Roman" w:hAnsi="Times New Roman"/>
          <w:color w:val="000000"/>
          <w:szCs w:val="20"/>
        </w:rPr>
        <w:t xml:space="preserve">в </w:t>
      </w:r>
      <w:proofErr w:type="spellStart"/>
      <w:r w:rsidR="00C22309" w:rsidRPr="00E16672">
        <w:rPr>
          <w:rFonts w:ascii="Times New Roman" w:hAnsi="Times New Roman"/>
          <w:color w:val="000000"/>
          <w:szCs w:val="20"/>
        </w:rPr>
        <w:t>цін</w:t>
      </w:r>
      <w:r w:rsidRPr="00E16672">
        <w:rPr>
          <w:rFonts w:ascii="Times New Roman" w:hAnsi="Times New Roman"/>
          <w:color w:val="000000"/>
          <w:szCs w:val="20"/>
        </w:rPr>
        <w:t>них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паперах</w:t>
      </w:r>
      <w:proofErr w:type="spellEnd"/>
      <w:r w:rsidRPr="00E16672">
        <w:rPr>
          <w:rFonts w:ascii="Times New Roman" w:hAnsi="Times New Roman"/>
          <w:color w:val="000000"/>
          <w:szCs w:val="20"/>
        </w:rPr>
        <w:t xml:space="preserve"> за результатами </w:t>
      </w:r>
      <w:proofErr w:type="spellStart"/>
      <w:r w:rsidRPr="00E16672">
        <w:rPr>
          <w:rFonts w:ascii="Times New Roman" w:hAnsi="Times New Roman"/>
          <w:color w:val="000000"/>
          <w:szCs w:val="20"/>
        </w:rPr>
        <w:t>правочинів</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тільки</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після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отримання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від</w:t>
      </w:r>
      <w:proofErr w:type="spellEnd"/>
      <w:r w:rsidRPr="00E16672">
        <w:rPr>
          <w:rFonts w:ascii="Times New Roman" w:hAnsi="Times New Roman"/>
          <w:color w:val="000000"/>
          <w:szCs w:val="20"/>
        </w:rPr>
        <w:t xml:space="preserve"> Центрального </w:t>
      </w:r>
      <w:proofErr w:type="spellStart"/>
      <w:r w:rsidRPr="00E16672">
        <w:rPr>
          <w:rFonts w:ascii="Times New Roman" w:hAnsi="Times New Roman"/>
          <w:color w:val="000000"/>
          <w:szCs w:val="20"/>
        </w:rPr>
        <w:t>депозитарію</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інформації</w:t>
      </w:r>
      <w:proofErr w:type="spellEnd"/>
      <w:r w:rsidRPr="00E16672">
        <w:rPr>
          <w:rFonts w:ascii="Times New Roman" w:hAnsi="Times New Roman"/>
          <w:color w:val="000000"/>
          <w:szCs w:val="20"/>
        </w:rPr>
        <w:t xml:space="preserve"> про </w:t>
      </w:r>
      <w:proofErr w:type="spellStart"/>
      <w:r w:rsidRPr="00E16672">
        <w:rPr>
          <w:rFonts w:ascii="Times New Roman" w:hAnsi="Times New Roman"/>
          <w:color w:val="000000"/>
          <w:szCs w:val="20"/>
        </w:rPr>
        <w:t>внесення</w:t>
      </w:r>
      <w:proofErr w:type="spellEnd"/>
      <w:r w:rsidRPr="00E16672">
        <w:rPr>
          <w:rFonts w:ascii="Times New Roman" w:hAnsi="Times New Roman"/>
          <w:color w:val="000000"/>
          <w:szCs w:val="20"/>
        </w:rPr>
        <w:t xml:space="preserve"> до </w:t>
      </w:r>
      <w:proofErr w:type="spellStart"/>
      <w:r w:rsidRPr="00E16672">
        <w:rPr>
          <w:rFonts w:ascii="Times New Roman" w:hAnsi="Times New Roman"/>
          <w:color w:val="000000"/>
          <w:szCs w:val="20"/>
        </w:rPr>
        <w:t>внутрішньої</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системи</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обліку</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Розрахункового</w:t>
      </w:r>
      <w:proofErr w:type="spellEnd"/>
      <w:r w:rsidRPr="00E16672">
        <w:rPr>
          <w:rFonts w:ascii="Times New Roman" w:hAnsi="Times New Roman"/>
          <w:color w:val="000000"/>
          <w:szCs w:val="20"/>
        </w:rPr>
        <w:t xml:space="preserve"> центру </w:t>
      </w:r>
      <w:proofErr w:type="spellStart"/>
      <w:r w:rsidRPr="00E16672">
        <w:rPr>
          <w:rFonts w:ascii="Times New Roman" w:hAnsi="Times New Roman"/>
          <w:color w:val="000000"/>
          <w:szCs w:val="20"/>
        </w:rPr>
        <w:t>чи</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клірингової</w:t>
      </w:r>
      <w:proofErr w:type="spellEnd"/>
      <w:r w:rsidRPr="00E16672">
        <w:rPr>
          <w:rFonts w:ascii="Times New Roman" w:hAnsi="Times New Roman"/>
          <w:color w:val="000000"/>
          <w:szCs w:val="20"/>
        </w:rPr>
        <w:t xml:space="preserve"> установи </w:t>
      </w:r>
      <w:proofErr w:type="spellStart"/>
      <w:r w:rsidRPr="00E16672">
        <w:rPr>
          <w:rFonts w:ascii="Times New Roman" w:hAnsi="Times New Roman"/>
          <w:color w:val="000000"/>
          <w:szCs w:val="20"/>
        </w:rPr>
        <w:t>відповідних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змін</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щодо</w:t>
      </w:r>
      <w:proofErr w:type="spellEnd"/>
      <w:r w:rsidRPr="00E16672">
        <w:rPr>
          <w:rFonts w:ascii="Times New Roman" w:hAnsi="Times New Roman"/>
          <w:color w:val="000000"/>
          <w:szCs w:val="20"/>
        </w:rPr>
        <w:t xml:space="preserve"> такого Депонента.</w:t>
      </w:r>
    </w:p>
    <w:p w14:paraId="7326EB87" w14:textId="77777777" w:rsidR="00765E37" w:rsidRPr="00E16672" w:rsidRDefault="00765E37" w:rsidP="00765E37">
      <w:pPr>
        <w:tabs>
          <w:tab w:val="left" w:pos="851"/>
        </w:tabs>
        <w:ind w:firstLine="539"/>
        <w:rPr>
          <w:rFonts w:ascii="Times New Roman" w:hAnsi="Times New Roman"/>
          <w:color w:val="000000"/>
          <w:szCs w:val="20"/>
          <w:lang w:val="uk-UA"/>
        </w:rPr>
      </w:pPr>
      <w:r w:rsidRPr="00E16672">
        <w:rPr>
          <w:rFonts w:ascii="Times New Roman" w:hAnsi="Times New Roman"/>
          <w:color w:val="000000"/>
          <w:szCs w:val="20"/>
          <w:lang w:val="uk-UA"/>
        </w:rPr>
        <w:t xml:space="preserve">2.1.12. Не здійснювати депозитарних операцій за рахунком </w:t>
      </w:r>
      <w:r w:rsidR="00C22309" w:rsidRPr="00E16672">
        <w:rPr>
          <w:rFonts w:ascii="Times New Roman" w:hAnsi="Times New Roman"/>
          <w:color w:val="000000"/>
          <w:szCs w:val="20"/>
          <w:lang w:val="uk-UA"/>
        </w:rPr>
        <w:t>в цін</w:t>
      </w:r>
      <w:r w:rsidRPr="00E16672">
        <w:rPr>
          <w:rFonts w:ascii="Times New Roman" w:hAnsi="Times New Roman"/>
          <w:color w:val="000000"/>
          <w:szCs w:val="20"/>
          <w:lang w:val="uk-UA"/>
        </w:rPr>
        <w:t>них паперах у випадку виявлення порушень вимог подання, заповнення розпорядження та захисту інформації, яка потрібна для здійснення цих операцій Депозитарною установою, або якщо виконання цього розпорядження буде суперечити законодавству України, або законодавству країн, в яких укладені угоди, на підставі яких здійснюється розпорядження.</w:t>
      </w:r>
    </w:p>
    <w:p w14:paraId="37269381" w14:textId="77777777" w:rsidR="00765E37" w:rsidRPr="00E16672" w:rsidRDefault="00765E37" w:rsidP="00765E37">
      <w:pPr>
        <w:pStyle w:val="western"/>
        <w:spacing w:before="0" w:after="0"/>
        <w:jc w:val="both"/>
        <w:rPr>
          <w:rFonts w:ascii="Times New Roman" w:hAnsi="Times New Roman"/>
          <w:b w:val="0"/>
          <w:bCs w:val="0"/>
          <w:color w:val="000000"/>
          <w:szCs w:val="20"/>
          <w:lang w:val="uk-UA"/>
        </w:rPr>
      </w:pPr>
      <w:r w:rsidRPr="00E16672">
        <w:rPr>
          <w:rFonts w:ascii="Times New Roman" w:hAnsi="Times New Roman"/>
          <w:b w:val="0"/>
          <w:bCs w:val="0"/>
          <w:color w:val="000000"/>
          <w:szCs w:val="20"/>
          <w:lang w:val="uk-UA"/>
        </w:rPr>
        <w:t xml:space="preserve">2.1.13. </w:t>
      </w:r>
      <w:r w:rsidRPr="00E16672">
        <w:rPr>
          <w:rFonts w:ascii="Times New Roman" w:hAnsi="Times New Roman"/>
          <w:b w:val="0"/>
          <w:color w:val="000000"/>
          <w:szCs w:val="20"/>
          <w:lang w:val="uk-UA"/>
        </w:rPr>
        <w:t xml:space="preserve">Забезпечувати збереження та конфіденційність інформації, що міститься у системі депозитарного обліку, стосовно цінних паперів на рахунку </w:t>
      </w:r>
      <w:r w:rsidR="00C22309" w:rsidRPr="00E16672">
        <w:rPr>
          <w:rFonts w:ascii="Times New Roman" w:hAnsi="Times New Roman"/>
          <w:b w:val="0"/>
          <w:color w:val="000000"/>
          <w:szCs w:val="20"/>
          <w:lang w:val="uk-UA"/>
        </w:rPr>
        <w:t>в цін</w:t>
      </w:r>
      <w:r w:rsidRPr="00E16672">
        <w:rPr>
          <w:rFonts w:ascii="Times New Roman" w:hAnsi="Times New Roman"/>
          <w:b w:val="0"/>
          <w:color w:val="000000"/>
          <w:szCs w:val="20"/>
          <w:lang w:val="uk-UA"/>
        </w:rPr>
        <w:t>них паперах Депонента, а також будь-якої іншої інформації, що може завдати шкоду Депоненту. Обов’язки щодо зберігання конфіденційності інформації не виникають у випадках, якщо розголошування подібної інформації мало місце внаслідок дій судових або інших уповноважених чинним законодавством органів або в інших випадках відповідно до вимог чинного законодавства</w:t>
      </w:r>
      <w:r w:rsidRPr="00E16672">
        <w:rPr>
          <w:rFonts w:ascii="Times New Roman" w:hAnsi="Times New Roman"/>
          <w:b w:val="0"/>
          <w:bCs w:val="0"/>
          <w:color w:val="000000"/>
          <w:szCs w:val="20"/>
          <w:lang w:val="uk-UA"/>
        </w:rPr>
        <w:t>.</w:t>
      </w:r>
    </w:p>
    <w:p w14:paraId="5DF58045" w14:textId="77777777" w:rsidR="00765E37" w:rsidRPr="00E16672" w:rsidRDefault="00765E37" w:rsidP="00765E37">
      <w:pPr>
        <w:pStyle w:val="western"/>
        <w:spacing w:before="0" w:after="0"/>
        <w:jc w:val="both"/>
        <w:rPr>
          <w:rFonts w:ascii="Times New Roman" w:hAnsi="Times New Roman"/>
          <w:b w:val="0"/>
          <w:bCs w:val="0"/>
          <w:color w:val="000000"/>
          <w:szCs w:val="20"/>
        </w:rPr>
      </w:pPr>
      <w:r w:rsidRPr="00E16672">
        <w:rPr>
          <w:rFonts w:ascii="Times New Roman" w:hAnsi="Times New Roman"/>
          <w:b w:val="0"/>
          <w:bCs w:val="0"/>
          <w:color w:val="000000"/>
          <w:szCs w:val="20"/>
        </w:rPr>
        <w:t>2.1.1</w:t>
      </w:r>
      <w:r w:rsidRPr="00E16672">
        <w:rPr>
          <w:rFonts w:ascii="Times New Roman" w:hAnsi="Times New Roman"/>
          <w:b w:val="0"/>
          <w:bCs w:val="0"/>
          <w:color w:val="000000"/>
          <w:szCs w:val="20"/>
          <w:lang w:val="uk-UA"/>
        </w:rPr>
        <w:t>4</w:t>
      </w:r>
      <w:r w:rsidRPr="00E16672">
        <w:rPr>
          <w:rFonts w:ascii="Times New Roman" w:hAnsi="Times New Roman"/>
          <w:b w:val="0"/>
          <w:bCs w:val="0"/>
          <w:color w:val="000000"/>
          <w:szCs w:val="20"/>
        </w:rPr>
        <w:t xml:space="preserve">. </w:t>
      </w:r>
      <w:proofErr w:type="spellStart"/>
      <w:r w:rsidRPr="00E16672">
        <w:rPr>
          <w:rFonts w:ascii="Times New Roman" w:hAnsi="Times New Roman"/>
          <w:b w:val="0"/>
          <w:bCs w:val="0"/>
          <w:color w:val="000000"/>
          <w:szCs w:val="20"/>
        </w:rPr>
        <w:t>Дотримуватися</w:t>
      </w:r>
      <w:proofErr w:type="spellEnd"/>
      <w:r w:rsidRPr="00E16672">
        <w:rPr>
          <w:rFonts w:ascii="Times New Roman" w:hAnsi="Times New Roman"/>
          <w:b w:val="0"/>
          <w:bCs w:val="0"/>
          <w:color w:val="000000"/>
          <w:szCs w:val="20"/>
        </w:rPr>
        <w:t xml:space="preserve"> </w:t>
      </w:r>
      <w:proofErr w:type="spellStart"/>
      <w:r w:rsidRPr="00E16672">
        <w:rPr>
          <w:rFonts w:ascii="Times New Roman" w:hAnsi="Times New Roman"/>
          <w:b w:val="0"/>
          <w:bCs w:val="0"/>
          <w:color w:val="000000"/>
          <w:szCs w:val="20"/>
        </w:rPr>
        <w:t>встановлених</w:t>
      </w:r>
      <w:proofErr w:type="spellEnd"/>
      <w:r w:rsidRPr="00E16672">
        <w:rPr>
          <w:rFonts w:ascii="Times New Roman" w:hAnsi="Times New Roman"/>
          <w:b w:val="0"/>
          <w:bCs w:val="0"/>
          <w:color w:val="000000"/>
          <w:szCs w:val="20"/>
        </w:rPr>
        <w:t xml:space="preserve"> </w:t>
      </w:r>
      <w:proofErr w:type="spellStart"/>
      <w:r w:rsidRPr="00E16672">
        <w:rPr>
          <w:rFonts w:ascii="Times New Roman" w:hAnsi="Times New Roman"/>
          <w:b w:val="0"/>
          <w:bCs w:val="0"/>
          <w:color w:val="000000"/>
          <w:szCs w:val="20"/>
        </w:rPr>
        <w:t>вимог</w:t>
      </w:r>
      <w:proofErr w:type="spellEnd"/>
      <w:r w:rsidRPr="00E16672">
        <w:rPr>
          <w:rFonts w:ascii="Times New Roman" w:hAnsi="Times New Roman"/>
          <w:b w:val="0"/>
          <w:bCs w:val="0"/>
          <w:color w:val="000000"/>
          <w:szCs w:val="20"/>
        </w:rPr>
        <w:t xml:space="preserve"> </w:t>
      </w:r>
      <w:proofErr w:type="spellStart"/>
      <w:r w:rsidRPr="00E16672">
        <w:rPr>
          <w:rFonts w:ascii="Times New Roman" w:hAnsi="Times New Roman"/>
          <w:b w:val="0"/>
          <w:bCs w:val="0"/>
          <w:color w:val="000000"/>
          <w:szCs w:val="20"/>
        </w:rPr>
        <w:t>захисту</w:t>
      </w:r>
      <w:proofErr w:type="spellEnd"/>
      <w:r w:rsidRPr="00E16672">
        <w:rPr>
          <w:rFonts w:ascii="Times New Roman" w:hAnsi="Times New Roman"/>
          <w:b w:val="0"/>
          <w:bCs w:val="0"/>
          <w:color w:val="000000"/>
          <w:szCs w:val="20"/>
        </w:rPr>
        <w:t xml:space="preserve"> </w:t>
      </w:r>
      <w:proofErr w:type="spellStart"/>
      <w:r w:rsidRPr="00E16672">
        <w:rPr>
          <w:rFonts w:ascii="Times New Roman" w:hAnsi="Times New Roman"/>
          <w:b w:val="0"/>
          <w:bCs w:val="0"/>
          <w:color w:val="000000"/>
          <w:szCs w:val="20"/>
        </w:rPr>
        <w:t>інформації</w:t>
      </w:r>
      <w:proofErr w:type="spellEnd"/>
      <w:r w:rsidRPr="00E16672">
        <w:rPr>
          <w:rFonts w:ascii="Times New Roman" w:hAnsi="Times New Roman"/>
          <w:b w:val="0"/>
          <w:bCs w:val="0"/>
          <w:color w:val="000000"/>
          <w:szCs w:val="20"/>
        </w:rPr>
        <w:t xml:space="preserve"> </w:t>
      </w:r>
      <w:proofErr w:type="spellStart"/>
      <w:r w:rsidRPr="00E16672">
        <w:rPr>
          <w:rFonts w:ascii="Times New Roman" w:hAnsi="Times New Roman"/>
          <w:b w:val="0"/>
          <w:bCs w:val="0"/>
          <w:color w:val="000000"/>
          <w:szCs w:val="20"/>
        </w:rPr>
        <w:t>від</w:t>
      </w:r>
      <w:proofErr w:type="spellEnd"/>
      <w:r w:rsidRPr="00E16672">
        <w:rPr>
          <w:rFonts w:ascii="Times New Roman" w:hAnsi="Times New Roman"/>
          <w:b w:val="0"/>
          <w:bCs w:val="0"/>
          <w:color w:val="000000"/>
          <w:szCs w:val="20"/>
        </w:rPr>
        <w:t xml:space="preserve"> </w:t>
      </w:r>
      <w:proofErr w:type="spellStart"/>
      <w:r w:rsidRPr="00E16672">
        <w:rPr>
          <w:rFonts w:ascii="Times New Roman" w:hAnsi="Times New Roman"/>
          <w:b w:val="0"/>
          <w:bCs w:val="0"/>
          <w:color w:val="000000"/>
          <w:szCs w:val="20"/>
        </w:rPr>
        <w:t>несанкціонованого</w:t>
      </w:r>
      <w:proofErr w:type="spellEnd"/>
      <w:r w:rsidRPr="00E16672">
        <w:rPr>
          <w:rFonts w:ascii="Times New Roman" w:hAnsi="Times New Roman"/>
          <w:b w:val="0"/>
          <w:bCs w:val="0"/>
          <w:color w:val="000000"/>
          <w:szCs w:val="20"/>
        </w:rPr>
        <w:t xml:space="preserve"> доступу в </w:t>
      </w:r>
      <w:proofErr w:type="spellStart"/>
      <w:r w:rsidRPr="00E16672">
        <w:rPr>
          <w:rFonts w:ascii="Times New Roman" w:hAnsi="Times New Roman"/>
          <w:b w:val="0"/>
          <w:bCs w:val="0"/>
          <w:color w:val="000000"/>
          <w:szCs w:val="20"/>
        </w:rPr>
        <w:t>електронних</w:t>
      </w:r>
      <w:proofErr w:type="spellEnd"/>
      <w:r w:rsidRPr="00E16672">
        <w:rPr>
          <w:rFonts w:ascii="Times New Roman" w:hAnsi="Times New Roman"/>
          <w:b w:val="0"/>
          <w:bCs w:val="0"/>
          <w:color w:val="000000"/>
          <w:szCs w:val="20"/>
        </w:rPr>
        <w:t xml:space="preserve"> системах </w:t>
      </w:r>
      <w:proofErr w:type="spellStart"/>
      <w:r w:rsidRPr="00E16672">
        <w:rPr>
          <w:rFonts w:ascii="Times New Roman" w:hAnsi="Times New Roman"/>
          <w:b w:val="0"/>
          <w:bCs w:val="0"/>
          <w:color w:val="000000"/>
          <w:szCs w:val="20"/>
        </w:rPr>
        <w:t>обміну</w:t>
      </w:r>
      <w:proofErr w:type="spellEnd"/>
      <w:r w:rsidRPr="00E16672">
        <w:rPr>
          <w:rFonts w:ascii="Times New Roman" w:hAnsi="Times New Roman"/>
          <w:b w:val="0"/>
          <w:bCs w:val="0"/>
          <w:color w:val="000000"/>
          <w:szCs w:val="20"/>
        </w:rPr>
        <w:t xml:space="preserve"> </w:t>
      </w:r>
      <w:proofErr w:type="spellStart"/>
      <w:r w:rsidRPr="00E16672">
        <w:rPr>
          <w:rFonts w:ascii="Times New Roman" w:hAnsi="Times New Roman"/>
          <w:b w:val="0"/>
          <w:bCs w:val="0"/>
          <w:color w:val="000000"/>
          <w:szCs w:val="20"/>
        </w:rPr>
        <w:t>даними</w:t>
      </w:r>
      <w:proofErr w:type="spellEnd"/>
      <w:r w:rsidRPr="00E16672">
        <w:rPr>
          <w:rFonts w:ascii="Times New Roman" w:hAnsi="Times New Roman"/>
          <w:b w:val="0"/>
          <w:bCs w:val="0"/>
          <w:color w:val="000000"/>
          <w:szCs w:val="20"/>
        </w:rPr>
        <w:t>.</w:t>
      </w:r>
    </w:p>
    <w:p w14:paraId="2E46D10D" w14:textId="77777777" w:rsidR="00765E37" w:rsidRPr="00E16672" w:rsidRDefault="00765E37" w:rsidP="00765E37">
      <w:pPr>
        <w:pStyle w:val="western"/>
        <w:spacing w:before="0" w:after="0"/>
        <w:ind w:firstLine="539"/>
        <w:jc w:val="both"/>
        <w:rPr>
          <w:rFonts w:ascii="Times New Roman" w:hAnsi="Times New Roman"/>
          <w:b w:val="0"/>
          <w:bCs w:val="0"/>
          <w:color w:val="000000"/>
          <w:szCs w:val="20"/>
        </w:rPr>
      </w:pPr>
      <w:r w:rsidRPr="00E16672">
        <w:rPr>
          <w:rFonts w:ascii="Times New Roman" w:hAnsi="Times New Roman"/>
          <w:b w:val="0"/>
          <w:bCs w:val="0"/>
          <w:color w:val="000000"/>
          <w:szCs w:val="20"/>
        </w:rPr>
        <w:t>2.1.1</w:t>
      </w:r>
      <w:r w:rsidRPr="00E16672">
        <w:rPr>
          <w:rFonts w:ascii="Times New Roman" w:hAnsi="Times New Roman"/>
          <w:b w:val="0"/>
          <w:bCs w:val="0"/>
          <w:color w:val="000000"/>
          <w:szCs w:val="20"/>
          <w:lang w:val="uk-UA"/>
        </w:rPr>
        <w:t>5</w:t>
      </w:r>
      <w:r w:rsidRPr="00E16672">
        <w:rPr>
          <w:rFonts w:ascii="Times New Roman" w:hAnsi="Times New Roman"/>
          <w:b w:val="0"/>
          <w:bCs w:val="0"/>
          <w:color w:val="000000"/>
          <w:szCs w:val="20"/>
        </w:rPr>
        <w:t xml:space="preserve">. </w:t>
      </w:r>
      <w:proofErr w:type="spellStart"/>
      <w:r w:rsidRPr="00E16672">
        <w:rPr>
          <w:rFonts w:ascii="Times New Roman" w:hAnsi="Times New Roman"/>
          <w:b w:val="0"/>
          <w:bCs w:val="0"/>
          <w:color w:val="000000"/>
          <w:szCs w:val="20"/>
        </w:rPr>
        <w:t>Протягом</w:t>
      </w:r>
      <w:proofErr w:type="spellEnd"/>
      <w:r w:rsidRPr="00E16672">
        <w:rPr>
          <w:rFonts w:ascii="Times New Roman" w:hAnsi="Times New Roman"/>
          <w:b w:val="0"/>
          <w:bCs w:val="0"/>
          <w:color w:val="000000"/>
          <w:szCs w:val="20"/>
        </w:rPr>
        <w:t xml:space="preserve"> </w:t>
      </w:r>
      <w:proofErr w:type="spellStart"/>
      <w:r w:rsidRPr="00E16672">
        <w:rPr>
          <w:rFonts w:ascii="Times New Roman" w:hAnsi="Times New Roman"/>
          <w:b w:val="0"/>
          <w:bCs w:val="0"/>
          <w:i/>
          <w:color w:val="000000"/>
          <w:szCs w:val="20"/>
        </w:rPr>
        <w:t>п`яти</w:t>
      </w:r>
      <w:proofErr w:type="spellEnd"/>
      <w:r w:rsidRPr="00E16672">
        <w:rPr>
          <w:rFonts w:ascii="Times New Roman" w:hAnsi="Times New Roman"/>
          <w:b w:val="0"/>
          <w:bCs w:val="0"/>
          <w:color w:val="000000"/>
          <w:szCs w:val="20"/>
        </w:rPr>
        <w:t xml:space="preserve"> </w:t>
      </w:r>
      <w:proofErr w:type="spellStart"/>
      <w:r w:rsidRPr="00E16672">
        <w:rPr>
          <w:rFonts w:ascii="Times New Roman" w:hAnsi="Times New Roman"/>
          <w:b w:val="0"/>
          <w:bCs w:val="0"/>
          <w:color w:val="000000"/>
          <w:szCs w:val="20"/>
        </w:rPr>
        <w:t>робочих</w:t>
      </w:r>
      <w:proofErr w:type="spellEnd"/>
      <w:r w:rsidRPr="00E16672">
        <w:rPr>
          <w:rFonts w:ascii="Times New Roman" w:hAnsi="Times New Roman"/>
          <w:b w:val="0"/>
          <w:bCs w:val="0"/>
          <w:color w:val="000000"/>
          <w:szCs w:val="20"/>
        </w:rPr>
        <w:t xml:space="preserve"> </w:t>
      </w:r>
      <w:proofErr w:type="spellStart"/>
      <w:r w:rsidRPr="00E16672">
        <w:rPr>
          <w:rFonts w:ascii="Times New Roman" w:hAnsi="Times New Roman"/>
          <w:b w:val="0"/>
          <w:bCs w:val="0"/>
          <w:color w:val="000000"/>
          <w:szCs w:val="20"/>
        </w:rPr>
        <w:t>днів</w:t>
      </w:r>
      <w:proofErr w:type="spellEnd"/>
      <w:r w:rsidRPr="00E16672">
        <w:rPr>
          <w:rFonts w:ascii="Times New Roman" w:hAnsi="Times New Roman"/>
          <w:b w:val="0"/>
          <w:bCs w:val="0"/>
          <w:color w:val="000000"/>
          <w:szCs w:val="20"/>
        </w:rPr>
        <w:t xml:space="preserve"> з </w:t>
      </w:r>
      <w:proofErr w:type="spellStart"/>
      <w:r w:rsidRPr="00E16672">
        <w:rPr>
          <w:rFonts w:ascii="Times New Roman" w:hAnsi="Times New Roman"/>
          <w:b w:val="0"/>
          <w:bCs w:val="0"/>
          <w:color w:val="000000"/>
          <w:szCs w:val="20"/>
        </w:rPr>
        <w:t>дати</w:t>
      </w:r>
      <w:proofErr w:type="spellEnd"/>
      <w:r w:rsidRPr="00E16672">
        <w:rPr>
          <w:rFonts w:ascii="Times New Roman" w:hAnsi="Times New Roman"/>
          <w:b w:val="0"/>
          <w:bCs w:val="0"/>
          <w:color w:val="000000"/>
          <w:szCs w:val="20"/>
        </w:rPr>
        <w:t xml:space="preserve"> початку Депозитарною </w:t>
      </w:r>
      <w:proofErr w:type="spellStart"/>
      <w:r w:rsidRPr="00E16672">
        <w:rPr>
          <w:rFonts w:ascii="Times New Roman" w:hAnsi="Times New Roman"/>
          <w:b w:val="0"/>
          <w:bCs w:val="0"/>
          <w:color w:val="000000"/>
          <w:szCs w:val="20"/>
        </w:rPr>
        <w:t>установою</w:t>
      </w:r>
      <w:proofErr w:type="spellEnd"/>
      <w:r w:rsidRPr="00E16672">
        <w:rPr>
          <w:rFonts w:ascii="Times New Roman" w:hAnsi="Times New Roman"/>
          <w:b w:val="0"/>
          <w:bCs w:val="0"/>
          <w:color w:val="000000"/>
          <w:szCs w:val="20"/>
        </w:rPr>
        <w:t xml:space="preserve"> </w:t>
      </w:r>
      <w:proofErr w:type="spellStart"/>
      <w:r w:rsidRPr="00E16672">
        <w:rPr>
          <w:rFonts w:ascii="Times New Roman" w:hAnsi="Times New Roman"/>
          <w:b w:val="0"/>
          <w:bCs w:val="0"/>
          <w:color w:val="000000"/>
          <w:szCs w:val="20"/>
        </w:rPr>
        <w:t>процедури</w:t>
      </w:r>
      <w:proofErr w:type="spellEnd"/>
      <w:r w:rsidRPr="00E16672">
        <w:rPr>
          <w:rFonts w:ascii="Times New Roman" w:hAnsi="Times New Roman"/>
          <w:b w:val="0"/>
          <w:bCs w:val="0"/>
          <w:color w:val="000000"/>
          <w:szCs w:val="20"/>
        </w:rPr>
        <w:t xml:space="preserve"> </w:t>
      </w:r>
      <w:proofErr w:type="spellStart"/>
      <w:r w:rsidRPr="00E16672">
        <w:rPr>
          <w:rFonts w:ascii="Times New Roman" w:hAnsi="Times New Roman"/>
          <w:b w:val="0"/>
          <w:bCs w:val="0"/>
          <w:color w:val="000000"/>
          <w:szCs w:val="20"/>
        </w:rPr>
        <w:t>припинення</w:t>
      </w:r>
      <w:proofErr w:type="spellEnd"/>
      <w:r w:rsidRPr="00E16672">
        <w:rPr>
          <w:rFonts w:ascii="Times New Roman" w:hAnsi="Times New Roman"/>
          <w:b w:val="0"/>
          <w:bCs w:val="0"/>
          <w:color w:val="000000"/>
          <w:szCs w:val="20"/>
        </w:rPr>
        <w:t xml:space="preserve"> нею </w:t>
      </w:r>
      <w:proofErr w:type="spellStart"/>
      <w:r w:rsidRPr="00E16672">
        <w:rPr>
          <w:rFonts w:ascii="Times New Roman" w:hAnsi="Times New Roman"/>
          <w:b w:val="0"/>
          <w:bCs w:val="0"/>
          <w:color w:val="000000"/>
          <w:szCs w:val="20"/>
        </w:rPr>
        <w:t>провадження</w:t>
      </w:r>
      <w:proofErr w:type="spellEnd"/>
      <w:r w:rsidRPr="00E16672">
        <w:rPr>
          <w:rFonts w:ascii="Times New Roman" w:hAnsi="Times New Roman"/>
          <w:b w:val="0"/>
          <w:bCs w:val="0"/>
          <w:color w:val="000000"/>
          <w:szCs w:val="20"/>
        </w:rPr>
        <w:t xml:space="preserve"> </w:t>
      </w:r>
      <w:proofErr w:type="spellStart"/>
      <w:r w:rsidRPr="00E16672">
        <w:rPr>
          <w:rFonts w:ascii="Times New Roman" w:hAnsi="Times New Roman"/>
          <w:b w:val="0"/>
          <w:bCs w:val="0"/>
          <w:color w:val="000000"/>
          <w:szCs w:val="20"/>
        </w:rPr>
        <w:t>професійної</w:t>
      </w:r>
      <w:proofErr w:type="spellEnd"/>
      <w:r w:rsidRPr="00E16672">
        <w:rPr>
          <w:rFonts w:ascii="Times New Roman" w:hAnsi="Times New Roman"/>
          <w:b w:val="0"/>
          <w:bCs w:val="0"/>
          <w:color w:val="000000"/>
          <w:szCs w:val="20"/>
        </w:rPr>
        <w:t xml:space="preserve"> </w:t>
      </w:r>
      <w:proofErr w:type="spellStart"/>
      <w:r w:rsidRPr="00E16672">
        <w:rPr>
          <w:rFonts w:ascii="Times New Roman" w:hAnsi="Times New Roman"/>
          <w:b w:val="0"/>
          <w:bCs w:val="0"/>
          <w:color w:val="000000"/>
          <w:szCs w:val="20"/>
        </w:rPr>
        <w:t>діяльності</w:t>
      </w:r>
      <w:proofErr w:type="spellEnd"/>
      <w:r w:rsidRPr="00E16672">
        <w:rPr>
          <w:rFonts w:ascii="Times New Roman" w:hAnsi="Times New Roman"/>
          <w:b w:val="0"/>
          <w:bCs w:val="0"/>
          <w:color w:val="000000"/>
          <w:szCs w:val="20"/>
        </w:rPr>
        <w:t xml:space="preserve"> </w:t>
      </w:r>
      <w:proofErr w:type="gramStart"/>
      <w:r w:rsidRPr="00E16672">
        <w:rPr>
          <w:rFonts w:ascii="Times New Roman" w:hAnsi="Times New Roman"/>
          <w:b w:val="0"/>
          <w:bCs w:val="0"/>
          <w:color w:val="000000"/>
          <w:szCs w:val="20"/>
        </w:rPr>
        <w:t>на фондовому ринку</w:t>
      </w:r>
      <w:proofErr w:type="gramEnd"/>
      <w:r w:rsidRPr="00E16672">
        <w:rPr>
          <w:rFonts w:ascii="Times New Roman" w:hAnsi="Times New Roman"/>
          <w:b w:val="0"/>
          <w:bCs w:val="0"/>
          <w:color w:val="000000"/>
          <w:szCs w:val="20"/>
        </w:rPr>
        <w:t xml:space="preserve"> - </w:t>
      </w:r>
      <w:proofErr w:type="spellStart"/>
      <w:r w:rsidRPr="00E16672">
        <w:rPr>
          <w:rFonts w:ascii="Times New Roman" w:hAnsi="Times New Roman"/>
          <w:b w:val="0"/>
          <w:bCs w:val="0"/>
          <w:color w:val="000000"/>
          <w:szCs w:val="20"/>
        </w:rPr>
        <w:t>депозитарної</w:t>
      </w:r>
      <w:proofErr w:type="spellEnd"/>
      <w:r w:rsidRPr="00E16672">
        <w:rPr>
          <w:rFonts w:ascii="Times New Roman" w:hAnsi="Times New Roman"/>
          <w:b w:val="0"/>
          <w:bCs w:val="0"/>
          <w:color w:val="000000"/>
          <w:szCs w:val="20"/>
        </w:rPr>
        <w:t xml:space="preserve"> </w:t>
      </w:r>
      <w:proofErr w:type="spellStart"/>
      <w:r w:rsidRPr="00E16672">
        <w:rPr>
          <w:rFonts w:ascii="Times New Roman" w:hAnsi="Times New Roman"/>
          <w:b w:val="0"/>
          <w:bCs w:val="0"/>
          <w:color w:val="000000"/>
          <w:szCs w:val="20"/>
        </w:rPr>
        <w:t>діяльності</w:t>
      </w:r>
      <w:proofErr w:type="spellEnd"/>
      <w:r w:rsidRPr="00E16672">
        <w:rPr>
          <w:rFonts w:ascii="Times New Roman" w:hAnsi="Times New Roman"/>
          <w:b w:val="0"/>
          <w:bCs w:val="0"/>
          <w:color w:val="000000"/>
          <w:szCs w:val="20"/>
        </w:rPr>
        <w:t xml:space="preserve"> </w:t>
      </w:r>
      <w:proofErr w:type="spellStart"/>
      <w:r w:rsidRPr="00E16672">
        <w:rPr>
          <w:rFonts w:ascii="Times New Roman" w:hAnsi="Times New Roman"/>
          <w:b w:val="0"/>
          <w:bCs w:val="0"/>
          <w:color w:val="000000"/>
          <w:szCs w:val="20"/>
        </w:rPr>
        <w:t>депозитарної</w:t>
      </w:r>
      <w:proofErr w:type="spellEnd"/>
      <w:r w:rsidRPr="00E16672">
        <w:rPr>
          <w:rFonts w:ascii="Times New Roman" w:hAnsi="Times New Roman"/>
          <w:b w:val="0"/>
          <w:bCs w:val="0"/>
          <w:color w:val="000000"/>
          <w:szCs w:val="20"/>
        </w:rPr>
        <w:t xml:space="preserve"> установи </w:t>
      </w:r>
      <w:proofErr w:type="spellStart"/>
      <w:r w:rsidRPr="00E16672">
        <w:rPr>
          <w:rFonts w:ascii="Times New Roman" w:hAnsi="Times New Roman"/>
          <w:b w:val="0"/>
          <w:bCs w:val="0"/>
          <w:color w:val="000000"/>
          <w:szCs w:val="20"/>
        </w:rPr>
        <w:t>відповідно</w:t>
      </w:r>
      <w:proofErr w:type="spellEnd"/>
      <w:r w:rsidRPr="00E16672">
        <w:rPr>
          <w:rFonts w:ascii="Times New Roman" w:hAnsi="Times New Roman"/>
          <w:b w:val="0"/>
          <w:bCs w:val="0"/>
          <w:color w:val="000000"/>
          <w:szCs w:val="20"/>
        </w:rPr>
        <w:t xml:space="preserve"> до </w:t>
      </w:r>
      <w:proofErr w:type="spellStart"/>
      <w:r w:rsidRPr="00E16672">
        <w:rPr>
          <w:rFonts w:ascii="Times New Roman" w:hAnsi="Times New Roman"/>
          <w:b w:val="0"/>
          <w:bCs w:val="0"/>
          <w:color w:val="000000"/>
          <w:szCs w:val="20"/>
        </w:rPr>
        <w:t>вимог</w:t>
      </w:r>
      <w:proofErr w:type="spellEnd"/>
      <w:r w:rsidRPr="00E16672">
        <w:rPr>
          <w:rFonts w:ascii="Times New Roman" w:hAnsi="Times New Roman"/>
          <w:b w:val="0"/>
          <w:bCs w:val="0"/>
          <w:color w:val="000000"/>
          <w:szCs w:val="20"/>
        </w:rPr>
        <w:t xml:space="preserve"> нормативно-правового акта </w:t>
      </w:r>
      <w:proofErr w:type="spellStart"/>
      <w:r w:rsidRPr="00E16672">
        <w:rPr>
          <w:rFonts w:ascii="Times New Roman" w:hAnsi="Times New Roman"/>
          <w:b w:val="0"/>
          <w:bCs w:val="0"/>
          <w:color w:val="000000"/>
          <w:szCs w:val="20"/>
        </w:rPr>
        <w:t>щодо</w:t>
      </w:r>
      <w:proofErr w:type="spellEnd"/>
      <w:r w:rsidRPr="00E16672">
        <w:rPr>
          <w:rFonts w:ascii="Times New Roman" w:hAnsi="Times New Roman"/>
          <w:b w:val="0"/>
          <w:bCs w:val="0"/>
          <w:color w:val="000000"/>
          <w:szCs w:val="20"/>
        </w:rPr>
        <w:t xml:space="preserve"> </w:t>
      </w:r>
      <w:proofErr w:type="spellStart"/>
      <w:r w:rsidRPr="00E16672">
        <w:rPr>
          <w:rFonts w:ascii="Times New Roman" w:hAnsi="Times New Roman"/>
          <w:b w:val="0"/>
          <w:bCs w:val="0"/>
          <w:color w:val="000000"/>
          <w:szCs w:val="20"/>
        </w:rPr>
        <w:t>припинення</w:t>
      </w:r>
      <w:proofErr w:type="spellEnd"/>
      <w:r w:rsidRPr="00E16672">
        <w:rPr>
          <w:rFonts w:ascii="Times New Roman" w:hAnsi="Times New Roman"/>
          <w:b w:val="0"/>
          <w:bCs w:val="0"/>
          <w:color w:val="000000"/>
          <w:szCs w:val="20"/>
        </w:rPr>
        <w:t xml:space="preserve"> </w:t>
      </w:r>
      <w:proofErr w:type="spellStart"/>
      <w:r w:rsidRPr="00E16672">
        <w:rPr>
          <w:rFonts w:ascii="Times New Roman" w:hAnsi="Times New Roman"/>
          <w:b w:val="0"/>
          <w:bCs w:val="0"/>
          <w:color w:val="000000"/>
          <w:szCs w:val="20"/>
        </w:rPr>
        <w:t>депозитарної</w:t>
      </w:r>
      <w:proofErr w:type="spellEnd"/>
      <w:r w:rsidRPr="00E16672">
        <w:rPr>
          <w:rFonts w:ascii="Times New Roman" w:hAnsi="Times New Roman"/>
          <w:b w:val="0"/>
          <w:bCs w:val="0"/>
          <w:color w:val="000000"/>
          <w:szCs w:val="20"/>
        </w:rPr>
        <w:t xml:space="preserve"> </w:t>
      </w:r>
      <w:proofErr w:type="spellStart"/>
      <w:r w:rsidRPr="00E16672">
        <w:rPr>
          <w:rFonts w:ascii="Times New Roman" w:hAnsi="Times New Roman"/>
          <w:b w:val="0"/>
          <w:bCs w:val="0"/>
          <w:color w:val="000000"/>
          <w:szCs w:val="20"/>
        </w:rPr>
        <w:t>діяльності</w:t>
      </w:r>
      <w:proofErr w:type="spellEnd"/>
      <w:r w:rsidRPr="00E16672">
        <w:rPr>
          <w:rFonts w:ascii="Times New Roman" w:hAnsi="Times New Roman"/>
          <w:b w:val="0"/>
          <w:bCs w:val="0"/>
          <w:color w:val="000000"/>
          <w:szCs w:val="20"/>
        </w:rPr>
        <w:t xml:space="preserve"> </w:t>
      </w:r>
      <w:proofErr w:type="spellStart"/>
      <w:r w:rsidRPr="00E16672">
        <w:rPr>
          <w:rFonts w:ascii="Times New Roman" w:hAnsi="Times New Roman"/>
          <w:b w:val="0"/>
          <w:bCs w:val="0"/>
          <w:color w:val="000000"/>
          <w:szCs w:val="20"/>
        </w:rPr>
        <w:t>депозитарної</w:t>
      </w:r>
      <w:proofErr w:type="spellEnd"/>
      <w:r w:rsidRPr="00E16672">
        <w:rPr>
          <w:rFonts w:ascii="Times New Roman" w:hAnsi="Times New Roman"/>
          <w:b w:val="0"/>
          <w:bCs w:val="0"/>
          <w:color w:val="000000"/>
          <w:szCs w:val="20"/>
        </w:rPr>
        <w:t xml:space="preserve"> установи, </w:t>
      </w:r>
      <w:proofErr w:type="spellStart"/>
      <w:r w:rsidRPr="00E16672">
        <w:rPr>
          <w:rFonts w:ascii="Times New Roman" w:hAnsi="Times New Roman"/>
          <w:b w:val="0"/>
          <w:bCs w:val="0"/>
          <w:color w:val="000000"/>
          <w:szCs w:val="20"/>
        </w:rPr>
        <w:t>повідомити</w:t>
      </w:r>
      <w:proofErr w:type="spellEnd"/>
      <w:r w:rsidRPr="00E16672">
        <w:rPr>
          <w:rFonts w:ascii="Times New Roman" w:hAnsi="Times New Roman"/>
          <w:b w:val="0"/>
          <w:bCs w:val="0"/>
          <w:color w:val="000000"/>
          <w:szCs w:val="20"/>
        </w:rPr>
        <w:t xml:space="preserve"> Депонента </w:t>
      </w:r>
      <w:proofErr w:type="spellStart"/>
      <w:r w:rsidRPr="00E16672">
        <w:rPr>
          <w:rFonts w:ascii="Times New Roman" w:hAnsi="Times New Roman"/>
          <w:b w:val="0"/>
          <w:bCs w:val="0"/>
          <w:color w:val="000000"/>
          <w:szCs w:val="20"/>
        </w:rPr>
        <w:t>щодо</w:t>
      </w:r>
      <w:proofErr w:type="spellEnd"/>
      <w:r w:rsidRPr="00E16672">
        <w:rPr>
          <w:rFonts w:ascii="Times New Roman" w:hAnsi="Times New Roman"/>
          <w:b w:val="0"/>
          <w:bCs w:val="0"/>
          <w:color w:val="000000"/>
          <w:szCs w:val="20"/>
        </w:rPr>
        <w:t xml:space="preserve"> </w:t>
      </w:r>
      <w:proofErr w:type="spellStart"/>
      <w:r w:rsidRPr="00E16672">
        <w:rPr>
          <w:rFonts w:ascii="Times New Roman" w:hAnsi="Times New Roman"/>
          <w:b w:val="0"/>
          <w:bCs w:val="0"/>
          <w:color w:val="000000"/>
          <w:szCs w:val="20"/>
        </w:rPr>
        <w:t>необхідності</w:t>
      </w:r>
      <w:proofErr w:type="spellEnd"/>
      <w:r w:rsidRPr="00E16672">
        <w:rPr>
          <w:rFonts w:ascii="Times New Roman" w:hAnsi="Times New Roman"/>
          <w:b w:val="0"/>
          <w:bCs w:val="0"/>
          <w:color w:val="000000"/>
          <w:szCs w:val="20"/>
        </w:rPr>
        <w:t xml:space="preserve"> </w:t>
      </w:r>
      <w:proofErr w:type="spellStart"/>
      <w:r w:rsidRPr="00E16672">
        <w:rPr>
          <w:rFonts w:ascii="Times New Roman" w:hAnsi="Times New Roman"/>
          <w:b w:val="0"/>
          <w:bCs w:val="0"/>
          <w:color w:val="000000"/>
          <w:szCs w:val="20"/>
        </w:rPr>
        <w:t>закриття</w:t>
      </w:r>
      <w:proofErr w:type="spellEnd"/>
      <w:r w:rsidRPr="00E16672">
        <w:rPr>
          <w:rFonts w:ascii="Times New Roman" w:hAnsi="Times New Roman"/>
          <w:b w:val="0"/>
          <w:bCs w:val="0"/>
          <w:color w:val="000000"/>
          <w:szCs w:val="20"/>
        </w:rPr>
        <w:t xml:space="preserve"> </w:t>
      </w:r>
      <w:proofErr w:type="spellStart"/>
      <w:r w:rsidRPr="00E16672">
        <w:rPr>
          <w:rFonts w:ascii="Times New Roman" w:hAnsi="Times New Roman"/>
          <w:b w:val="0"/>
          <w:bCs w:val="0"/>
          <w:color w:val="000000"/>
          <w:szCs w:val="20"/>
        </w:rPr>
        <w:t>рахунку</w:t>
      </w:r>
      <w:proofErr w:type="spellEnd"/>
      <w:r w:rsidRPr="00E16672">
        <w:rPr>
          <w:rFonts w:ascii="Times New Roman" w:hAnsi="Times New Roman"/>
          <w:b w:val="0"/>
          <w:bCs w:val="0"/>
          <w:color w:val="000000"/>
          <w:szCs w:val="20"/>
        </w:rPr>
        <w:t xml:space="preserve"> в </w:t>
      </w:r>
      <w:proofErr w:type="spellStart"/>
      <w:r w:rsidRPr="00E16672">
        <w:rPr>
          <w:rFonts w:ascii="Times New Roman" w:hAnsi="Times New Roman"/>
          <w:b w:val="0"/>
          <w:bCs w:val="0"/>
          <w:color w:val="000000"/>
          <w:szCs w:val="20"/>
        </w:rPr>
        <w:t>цінних</w:t>
      </w:r>
      <w:proofErr w:type="spellEnd"/>
      <w:r w:rsidRPr="00E16672">
        <w:rPr>
          <w:rFonts w:ascii="Times New Roman" w:hAnsi="Times New Roman"/>
          <w:b w:val="0"/>
          <w:bCs w:val="0"/>
          <w:color w:val="000000"/>
          <w:szCs w:val="20"/>
        </w:rPr>
        <w:t xml:space="preserve"> </w:t>
      </w:r>
      <w:proofErr w:type="spellStart"/>
      <w:r w:rsidRPr="00E16672">
        <w:rPr>
          <w:rFonts w:ascii="Times New Roman" w:hAnsi="Times New Roman"/>
          <w:b w:val="0"/>
          <w:bCs w:val="0"/>
          <w:color w:val="000000"/>
          <w:szCs w:val="20"/>
        </w:rPr>
        <w:t>паперах</w:t>
      </w:r>
      <w:proofErr w:type="spellEnd"/>
      <w:r w:rsidRPr="00E16672">
        <w:rPr>
          <w:rFonts w:ascii="Times New Roman" w:hAnsi="Times New Roman"/>
          <w:b w:val="0"/>
          <w:bCs w:val="0"/>
          <w:color w:val="000000"/>
          <w:szCs w:val="20"/>
        </w:rPr>
        <w:t xml:space="preserve"> </w:t>
      </w:r>
      <w:proofErr w:type="spellStart"/>
      <w:r w:rsidRPr="00E16672">
        <w:rPr>
          <w:rFonts w:ascii="Times New Roman" w:hAnsi="Times New Roman"/>
          <w:b w:val="0"/>
          <w:bCs w:val="0"/>
          <w:color w:val="000000"/>
          <w:szCs w:val="20"/>
        </w:rPr>
        <w:t>протягом</w:t>
      </w:r>
      <w:proofErr w:type="spellEnd"/>
      <w:r w:rsidRPr="00E16672">
        <w:rPr>
          <w:rFonts w:ascii="Times New Roman" w:hAnsi="Times New Roman"/>
          <w:b w:val="0"/>
          <w:bCs w:val="0"/>
          <w:color w:val="000000"/>
          <w:szCs w:val="20"/>
        </w:rPr>
        <w:t xml:space="preserve"> </w:t>
      </w:r>
      <w:proofErr w:type="spellStart"/>
      <w:r w:rsidR="00200366" w:rsidRPr="00E16672">
        <w:rPr>
          <w:rFonts w:ascii="Times New Roman" w:hAnsi="Times New Roman"/>
          <w:b w:val="0"/>
          <w:bCs w:val="0"/>
          <w:i/>
          <w:iCs/>
          <w:color w:val="000000"/>
          <w:szCs w:val="20"/>
        </w:rPr>
        <w:t>шістдесяти</w:t>
      </w:r>
      <w:proofErr w:type="spellEnd"/>
      <w:r w:rsidRPr="00E16672">
        <w:rPr>
          <w:rFonts w:ascii="Times New Roman" w:hAnsi="Times New Roman"/>
          <w:b w:val="0"/>
          <w:bCs w:val="0"/>
          <w:color w:val="000000"/>
          <w:szCs w:val="20"/>
        </w:rPr>
        <w:t xml:space="preserve"> </w:t>
      </w:r>
      <w:proofErr w:type="spellStart"/>
      <w:r w:rsidRPr="00E16672">
        <w:rPr>
          <w:rFonts w:ascii="Times New Roman" w:hAnsi="Times New Roman"/>
          <w:b w:val="0"/>
          <w:bCs w:val="0"/>
          <w:color w:val="000000"/>
          <w:szCs w:val="20"/>
        </w:rPr>
        <w:t>календарних</w:t>
      </w:r>
      <w:proofErr w:type="spellEnd"/>
      <w:r w:rsidRPr="00E16672">
        <w:rPr>
          <w:rFonts w:ascii="Times New Roman" w:hAnsi="Times New Roman"/>
          <w:b w:val="0"/>
          <w:bCs w:val="0"/>
          <w:color w:val="000000"/>
          <w:szCs w:val="20"/>
        </w:rPr>
        <w:t xml:space="preserve"> </w:t>
      </w:r>
      <w:proofErr w:type="spellStart"/>
      <w:r w:rsidRPr="00E16672">
        <w:rPr>
          <w:rFonts w:ascii="Times New Roman" w:hAnsi="Times New Roman"/>
          <w:b w:val="0"/>
          <w:bCs w:val="0"/>
          <w:color w:val="000000"/>
          <w:szCs w:val="20"/>
        </w:rPr>
        <w:t>днів</w:t>
      </w:r>
      <w:proofErr w:type="spellEnd"/>
      <w:r w:rsidRPr="00E16672">
        <w:rPr>
          <w:rFonts w:ascii="Times New Roman" w:hAnsi="Times New Roman"/>
          <w:b w:val="0"/>
          <w:bCs w:val="0"/>
          <w:color w:val="000000"/>
          <w:szCs w:val="20"/>
        </w:rPr>
        <w:t xml:space="preserve"> з </w:t>
      </w:r>
      <w:proofErr w:type="spellStart"/>
      <w:r w:rsidRPr="00E16672">
        <w:rPr>
          <w:rFonts w:ascii="Times New Roman" w:hAnsi="Times New Roman"/>
          <w:b w:val="0"/>
          <w:bCs w:val="0"/>
          <w:color w:val="000000"/>
          <w:szCs w:val="20"/>
        </w:rPr>
        <w:t>дати</w:t>
      </w:r>
      <w:proofErr w:type="spellEnd"/>
      <w:r w:rsidRPr="00E16672">
        <w:rPr>
          <w:rFonts w:ascii="Times New Roman" w:hAnsi="Times New Roman"/>
          <w:b w:val="0"/>
          <w:bCs w:val="0"/>
          <w:color w:val="000000"/>
          <w:szCs w:val="20"/>
        </w:rPr>
        <w:t xml:space="preserve"> початку </w:t>
      </w:r>
      <w:proofErr w:type="spellStart"/>
      <w:r w:rsidRPr="00E16672">
        <w:rPr>
          <w:rFonts w:ascii="Times New Roman" w:hAnsi="Times New Roman"/>
          <w:b w:val="0"/>
          <w:bCs w:val="0"/>
          <w:color w:val="000000"/>
          <w:szCs w:val="20"/>
        </w:rPr>
        <w:t>цієї</w:t>
      </w:r>
      <w:proofErr w:type="spellEnd"/>
      <w:r w:rsidRPr="00E16672">
        <w:rPr>
          <w:rFonts w:ascii="Times New Roman" w:hAnsi="Times New Roman"/>
          <w:b w:val="0"/>
          <w:bCs w:val="0"/>
          <w:color w:val="000000"/>
          <w:szCs w:val="20"/>
        </w:rPr>
        <w:t xml:space="preserve"> </w:t>
      </w:r>
      <w:proofErr w:type="spellStart"/>
      <w:r w:rsidRPr="00E16672">
        <w:rPr>
          <w:rFonts w:ascii="Times New Roman" w:hAnsi="Times New Roman"/>
          <w:b w:val="0"/>
          <w:bCs w:val="0"/>
          <w:color w:val="000000"/>
          <w:szCs w:val="20"/>
        </w:rPr>
        <w:t>процедури</w:t>
      </w:r>
      <w:proofErr w:type="spellEnd"/>
      <w:r w:rsidRPr="00E16672">
        <w:rPr>
          <w:rFonts w:ascii="Times New Roman" w:hAnsi="Times New Roman"/>
          <w:b w:val="0"/>
          <w:bCs w:val="0"/>
          <w:color w:val="000000"/>
          <w:szCs w:val="20"/>
        </w:rPr>
        <w:t xml:space="preserve">. </w:t>
      </w:r>
      <w:r w:rsidRPr="00E16672">
        <w:rPr>
          <w:rFonts w:ascii="Times New Roman" w:hAnsi="Times New Roman"/>
          <w:b w:val="0"/>
          <w:bCs w:val="0"/>
          <w:color w:val="000000"/>
          <w:szCs w:val="20"/>
          <w:lang w:val="uk-UA"/>
        </w:rPr>
        <w:t xml:space="preserve">Повідомлення надається шляхом розміщення на офіційному веб-сайті Депозитарної установи </w:t>
      </w:r>
      <w:r w:rsidR="00E16672">
        <w:rPr>
          <w:rFonts w:ascii="Times New Roman" w:hAnsi="Times New Roman"/>
          <w:b w:val="0"/>
          <w:color w:val="000000"/>
          <w:szCs w:val="20"/>
          <w:lang w:val="uk-UA"/>
        </w:rPr>
        <w:t>http://comex.uafin.net</w:t>
      </w:r>
      <w:r w:rsidRPr="00E16672">
        <w:rPr>
          <w:rFonts w:ascii="Times New Roman" w:hAnsi="Times New Roman"/>
          <w:b w:val="0"/>
          <w:bCs w:val="0"/>
          <w:color w:val="000000"/>
          <w:szCs w:val="20"/>
          <w:lang w:val="uk-UA"/>
        </w:rPr>
        <w:t>.</w:t>
      </w:r>
    </w:p>
    <w:p w14:paraId="6DCEAE78" w14:textId="77777777" w:rsidR="00765E37" w:rsidRPr="00E16672" w:rsidRDefault="00765E37" w:rsidP="00765E37">
      <w:pPr>
        <w:pStyle w:val="western"/>
        <w:spacing w:before="0" w:after="0"/>
        <w:ind w:firstLine="539"/>
        <w:jc w:val="both"/>
        <w:rPr>
          <w:rFonts w:ascii="Times New Roman" w:hAnsi="Times New Roman"/>
          <w:b w:val="0"/>
          <w:bCs w:val="0"/>
          <w:color w:val="000000"/>
          <w:szCs w:val="20"/>
          <w:lang w:val="uk-UA"/>
        </w:rPr>
      </w:pPr>
      <w:r w:rsidRPr="00E16672">
        <w:rPr>
          <w:rFonts w:ascii="Times New Roman" w:hAnsi="Times New Roman"/>
          <w:b w:val="0"/>
          <w:bCs w:val="0"/>
          <w:color w:val="000000"/>
          <w:szCs w:val="20"/>
        </w:rPr>
        <w:t>2.1.1</w:t>
      </w:r>
      <w:r w:rsidRPr="00E16672">
        <w:rPr>
          <w:rFonts w:ascii="Times New Roman" w:hAnsi="Times New Roman"/>
          <w:b w:val="0"/>
          <w:bCs w:val="0"/>
          <w:color w:val="000000"/>
          <w:szCs w:val="20"/>
          <w:lang w:val="uk-UA"/>
        </w:rPr>
        <w:t>6</w:t>
      </w:r>
      <w:r w:rsidRPr="00E16672">
        <w:rPr>
          <w:rFonts w:ascii="Times New Roman" w:hAnsi="Times New Roman"/>
          <w:b w:val="0"/>
          <w:bCs w:val="0"/>
          <w:color w:val="000000"/>
          <w:szCs w:val="20"/>
        </w:rPr>
        <w:t xml:space="preserve">. </w:t>
      </w:r>
      <w:proofErr w:type="spellStart"/>
      <w:r w:rsidRPr="00E16672">
        <w:rPr>
          <w:rFonts w:ascii="Times New Roman" w:hAnsi="Times New Roman"/>
          <w:b w:val="0"/>
          <w:bCs w:val="0"/>
          <w:color w:val="000000"/>
          <w:szCs w:val="20"/>
        </w:rPr>
        <w:t>Закрити</w:t>
      </w:r>
      <w:proofErr w:type="spellEnd"/>
      <w:r w:rsidRPr="00E16672">
        <w:rPr>
          <w:rFonts w:ascii="Times New Roman" w:hAnsi="Times New Roman"/>
          <w:b w:val="0"/>
          <w:bCs w:val="0"/>
          <w:color w:val="000000"/>
          <w:szCs w:val="20"/>
        </w:rPr>
        <w:t xml:space="preserve"> </w:t>
      </w:r>
      <w:proofErr w:type="spellStart"/>
      <w:r w:rsidRPr="00E16672">
        <w:rPr>
          <w:rFonts w:ascii="Times New Roman" w:hAnsi="Times New Roman"/>
          <w:b w:val="0"/>
          <w:bCs w:val="0"/>
          <w:color w:val="000000"/>
          <w:szCs w:val="20"/>
        </w:rPr>
        <w:t>рахунок</w:t>
      </w:r>
      <w:proofErr w:type="spellEnd"/>
      <w:r w:rsidRPr="00E16672">
        <w:rPr>
          <w:rFonts w:ascii="Times New Roman" w:hAnsi="Times New Roman"/>
          <w:b w:val="0"/>
          <w:bCs w:val="0"/>
          <w:color w:val="000000"/>
          <w:szCs w:val="20"/>
        </w:rPr>
        <w:t xml:space="preserve"> </w:t>
      </w:r>
      <w:r w:rsidR="00C22309" w:rsidRPr="00E16672">
        <w:rPr>
          <w:rFonts w:ascii="Times New Roman" w:hAnsi="Times New Roman"/>
          <w:b w:val="0"/>
          <w:bCs w:val="0"/>
          <w:color w:val="000000"/>
          <w:szCs w:val="20"/>
        </w:rPr>
        <w:t xml:space="preserve">в </w:t>
      </w:r>
      <w:proofErr w:type="spellStart"/>
      <w:r w:rsidR="00C22309" w:rsidRPr="00E16672">
        <w:rPr>
          <w:rFonts w:ascii="Times New Roman" w:hAnsi="Times New Roman"/>
          <w:b w:val="0"/>
          <w:bCs w:val="0"/>
          <w:color w:val="000000"/>
          <w:szCs w:val="20"/>
        </w:rPr>
        <w:t>цін</w:t>
      </w:r>
      <w:r w:rsidRPr="00E16672">
        <w:rPr>
          <w:rFonts w:ascii="Times New Roman" w:hAnsi="Times New Roman"/>
          <w:b w:val="0"/>
          <w:bCs w:val="0"/>
          <w:color w:val="000000"/>
          <w:szCs w:val="20"/>
        </w:rPr>
        <w:t>них</w:t>
      </w:r>
      <w:proofErr w:type="spellEnd"/>
      <w:r w:rsidRPr="00E16672">
        <w:rPr>
          <w:rFonts w:ascii="Times New Roman" w:hAnsi="Times New Roman"/>
          <w:b w:val="0"/>
          <w:bCs w:val="0"/>
          <w:color w:val="000000"/>
          <w:szCs w:val="20"/>
        </w:rPr>
        <w:t xml:space="preserve"> </w:t>
      </w:r>
      <w:proofErr w:type="spellStart"/>
      <w:r w:rsidRPr="00E16672">
        <w:rPr>
          <w:rFonts w:ascii="Times New Roman" w:hAnsi="Times New Roman"/>
          <w:b w:val="0"/>
          <w:bCs w:val="0"/>
          <w:color w:val="000000"/>
          <w:szCs w:val="20"/>
        </w:rPr>
        <w:t>паперах</w:t>
      </w:r>
      <w:proofErr w:type="spellEnd"/>
      <w:r w:rsidRPr="00E16672">
        <w:rPr>
          <w:rFonts w:ascii="Times New Roman" w:hAnsi="Times New Roman"/>
          <w:b w:val="0"/>
          <w:bCs w:val="0"/>
          <w:color w:val="000000"/>
          <w:szCs w:val="20"/>
        </w:rPr>
        <w:t xml:space="preserve"> Депонента </w:t>
      </w:r>
      <w:proofErr w:type="gramStart"/>
      <w:r w:rsidRPr="00E16672">
        <w:rPr>
          <w:rFonts w:ascii="Times New Roman" w:hAnsi="Times New Roman"/>
          <w:b w:val="0"/>
          <w:bCs w:val="0"/>
          <w:color w:val="000000"/>
          <w:szCs w:val="20"/>
        </w:rPr>
        <w:t>у порядку</w:t>
      </w:r>
      <w:proofErr w:type="gramEnd"/>
      <w:r w:rsidRPr="00E16672">
        <w:rPr>
          <w:rFonts w:ascii="Times New Roman" w:hAnsi="Times New Roman"/>
          <w:b w:val="0"/>
          <w:bCs w:val="0"/>
          <w:color w:val="000000"/>
          <w:szCs w:val="20"/>
        </w:rPr>
        <w:t xml:space="preserve">, </w:t>
      </w:r>
      <w:proofErr w:type="spellStart"/>
      <w:r w:rsidRPr="00E16672">
        <w:rPr>
          <w:rFonts w:ascii="Times New Roman" w:hAnsi="Times New Roman"/>
          <w:b w:val="0"/>
          <w:bCs w:val="0"/>
          <w:color w:val="000000"/>
          <w:szCs w:val="20"/>
        </w:rPr>
        <w:t>передбаченому</w:t>
      </w:r>
      <w:proofErr w:type="spellEnd"/>
      <w:r w:rsidRPr="00E16672">
        <w:rPr>
          <w:rFonts w:ascii="Times New Roman" w:hAnsi="Times New Roman"/>
          <w:b w:val="0"/>
          <w:bCs w:val="0"/>
          <w:color w:val="000000"/>
          <w:szCs w:val="20"/>
        </w:rPr>
        <w:t xml:space="preserve"> </w:t>
      </w:r>
      <w:proofErr w:type="spellStart"/>
      <w:r w:rsidRPr="00E16672">
        <w:rPr>
          <w:rFonts w:ascii="Times New Roman" w:hAnsi="Times New Roman"/>
          <w:b w:val="0"/>
          <w:bCs w:val="0"/>
          <w:color w:val="000000"/>
          <w:szCs w:val="20"/>
        </w:rPr>
        <w:t>цим</w:t>
      </w:r>
      <w:proofErr w:type="spellEnd"/>
      <w:r w:rsidRPr="00E16672">
        <w:rPr>
          <w:rFonts w:ascii="Times New Roman" w:hAnsi="Times New Roman"/>
          <w:b w:val="0"/>
          <w:bCs w:val="0"/>
          <w:color w:val="000000"/>
          <w:szCs w:val="20"/>
        </w:rPr>
        <w:t xml:space="preserve"> Договором</w:t>
      </w:r>
      <w:r w:rsidRPr="00E16672">
        <w:rPr>
          <w:rFonts w:ascii="Times New Roman" w:hAnsi="Times New Roman"/>
          <w:b w:val="0"/>
          <w:bCs w:val="0"/>
          <w:color w:val="000000"/>
          <w:szCs w:val="20"/>
          <w:lang w:val="uk-UA"/>
        </w:rPr>
        <w:t>,</w:t>
      </w:r>
      <w:r w:rsidRPr="00E16672">
        <w:rPr>
          <w:rFonts w:ascii="Times New Roman" w:hAnsi="Times New Roman"/>
          <w:b w:val="0"/>
          <w:bCs w:val="0"/>
          <w:color w:val="000000"/>
          <w:szCs w:val="20"/>
        </w:rPr>
        <w:t xml:space="preserve"> </w:t>
      </w:r>
      <w:proofErr w:type="spellStart"/>
      <w:r w:rsidRPr="00E16672">
        <w:rPr>
          <w:rFonts w:ascii="Times New Roman" w:hAnsi="Times New Roman"/>
          <w:b w:val="0"/>
          <w:bCs w:val="0"/>
          <w:color w:val="000000"/>
          <w:szCs w:val="20"/>
        </w:rPr>
        <w:t>законодавством</w:t>
      </w:r>
      <w:proofErr w:type="spellEnd"/>
      <w:r w:rsidRPr="00E16672">
        <w:rPr>
          <w:rFonts w:ascii="Times New Roman" w:hAnsi="Times New Roman"/>
          <w:b w:val="0"/>
          <w:bCs w:val="0"/>
          <w:color w:val="000000"/>
          <w:szCs w:val="20"/>
        </w:rPr>
        <w:t xml:space="preserve">, </w:t>
      </w:r>
      <w:proofErr w:type="spellStart"/>
      <w:r w:rsidRPr="00E16672">
        <w:rPr>
          <w:rFonts w:ascii="Times New Roman" w:hAnsi="Times New Roman"/>
          <w:b w:val="0"/>
          <w:bCs w:val="0"/>
          <w:color w:val="000000"/>
          <w:szCs w:val="20"/>
        </w:rPr>
        <w:t>внутрішніми</w:t>
      </w:r>
      <w:proofErr w:type="spellEnd"/>
      <w:r w:rsidRPr="00E16672">
        <w:rPr>
          <w:rFonts w:ascii="Times New Roman" w:hAnsi="Times New Roman"/>
          <w:b w:val="0"/>
          <w:bCs w:val="0"/>
          <w:color w:val="000000"/>
          <w:szCs w:val="20"/>
        </w:rPr>
        <w:t xml:space="preserve"> документами </w:t>
      </w:r>
      <w:proofErr w:type="spellStart"/>
      <w:r w:rsidRPr="00E16672">
        <w:rPr>
          <w:rFonts w:ascii="Times New Roman" w:hAnsi="Times New Roman"/>
          <w:b w:val="0"/>
          <w:bCs w:val="0"/>
          <w:color w:val="000000"/>
          <w:szCs w:val="20"/>
        </w:rPr>
        <w:t>Депозитарної</w:t>
      </w:r>
      <w:proofErr w:type="spellEnd"/>
      <w:r w:rsidRPr="00E16672">
        <w:rPr>
          <w:rFonts w:ascii="Times New Roman" w:hAnsi="Times New Roman"/>
          <w:b w:val="0"/>
          <w:bCs w:val="0"/>
          <w:color w:val="000000"/>
          <w:szCs w:val="20"/>
        </w:rPr>
        <w:t xml:space="preserve"> установи.</w:t>
      </w:r>
    </w:p>
    <w:p w14:paraId="2D082E20" w14:textId="77777777" w:rsidR="00765E37" w:rsidRPr="00E16672" w:rsidRDefault="00765E37" w:rsidP="00022F5F">
      <w:pPr>
        <w:pStyle w:val="western"/>
        <w:spacing w:before="0" w:after="0"/>
        <w:ind w:firstLine="539"/>
        <w:jc w:val="left"/>
        <w:rPr>
          <w:rFonts w:ascii="Times New Roman" w:hAnsi="Times New Roman"/>
          <w:b w:val="0"/>
          <w:bCs w:val="0"/>
          <w:szCs w:val="20"/>
        </w:rPr>
      </w:pPr>
      <w:r w:rsidRPr="00E16672">
        <w:rPr>
          <w:rFonts w:ascii="Times New Roman" w:hAnsi="Times New Roman"/>
          <w:b w:val="0"/>
          <w:bCs w:val="0"/>
          <w:szCs w:val="20"/>
        </w:rPr>
        <w:t>2.1.1</w:t>
      </w:r>
      <w:r w:rsidRPr="00E16672">
        <w:rPr>
          <w:rFonts w:ascii="Times New Roman" w:hAnsi="Times New Roman"/>
          <w:b w:val="0"/>
          <w:bCs w:val="0"/>
          <w:szCs w:val="20"/>
          <w:lang w:val="uk-UA"/>
        </w:rPr>
        <w:t>7</w:t>
      </w:r>
      <w:r w:rsidRPr="00E16672">
        <w:rPr>
          <w:rFonts w:ascii="Times New Roman" w:hAnsi="Times New Roman"/>
          <w:b w:val="0"/>
          <w:bCs w:val="0"/>
          <w:szCs w:val="20"/>
        </w:rPr>
        <w:t xml:space="preserve">. </w:t>
      </w:r>
      <w:proofErr w:type="spellStart"/>
      <w:r w:rsidRPr="00E16672">
        <w:rPr>
          <w:rFonts w:ascii="Times New Roman" w:hAnsi="Times New Roman"/>
          <w:b w:val="0"/>
          <w:bCs w:val="0"/>
          <w:szCs w:val="20"/>
        </w:rPr>
        <w:t>Направляти</w:t>
      </w:r>
      <w:proofErr w:type="spellEnd"/>
      <w:r w:rsidRPr="00E16672">
        <w:rPr>
          <w:rFonts w:ascii="Times New Roman" w:hAnsi="Times New Roman"/>
          <w:b w:val="0"/>
          <w:bCs w:val="0"/>
          <w:szCs w:val="20"/>
        </w:rPr>
        <w:t xml:space="preserve"> у </w:t>
      </w:r>
      <w:proofErr w:type="spellStart"/>
      <w:r w:rsidRPr="00E16672">
        <w:rPr>
          <w:rFonts w:ascii="Times New Roman" w:hAnsi="Times New Roman"/>
          <w:b w:val="0"/>
          <w:bCs w:val="0"/>
          <w:szCs w:val="20"/>
        </w:rPr>
        <w:t>встановленому</w:t>
      </w:r>
      <w:proofErr w:type="spellEnd"/>
      <w:r w:rsidRPr="00E16672">
        <w:rPr>
          <w:rFonts w:ascii="Times New Roman" w:hAnsi="Times New Roman"/>
          <w:b w:val="0"/>
          <w:bCs w:val="0"/>
          <w:szCs w:val="20"/>
        </w:rPr>
        <w:t xml:space="preserve"> </w:t>
      </w:r>
      <w:proofErr w:type="spellStart"/>
      <w:r w:rsidRPr="00E16672">
        <w:rPr>
          <w:rFonts w:ascii="Times New Roman" w:hAnsi="Times New Roman"/>
          <w:b w:val="0"/>
          <w:bCs w:val="0"/>
          <w:szCs w:val="20"/>
        </w:rPr>
        <w:t>законодавством</w:t>
      </w:r>
      <w:proofErr w:type="spellEnd"/>
      <w:r w:rsidRPr="00E16672">
        <w:rPr>
          <w:rFonts w:ascii="Times New Roman" w:hAnsi="Times New Roman"/>
          <w:b w:val="0"/>
          <w:bCs w:val="0"/>
          <w:szCs w:val="20"/>
        </w:rPr>
        <w:t xml:space="preserve"> порядку депоненту, </w:t>
      </w:r>
      <w:proofErr w:type="spellStart"/>
      <w:r w:rsidRPr="00E16672">
        <w:rPr>
          <w:rFonts w:ascii="Times New Roman" w:hAnsi="Times New Roman"/>
          <w:b w:val="0"/>
          <w:bCs w:val="0"/>
          <w:szCs w:val="20"/>
        </w:rPr>
        <w:t>який</w:t>
      </w:r>
      <w:proofErr w:type="spellEnd"/>
      <w:r w:rsidRPr="00E16672">
        <w:rPr>
          <w:rFonts w:ascii="Times New Roman" w:hAnsi="Times New Roman"/>
          <w:b w:val="0"/>
          <w:bCs w:val="0"/>
          <w:szCs w:val="20"/>
        </w:rPr>
        <w:t xml:space="preserve"> є </w:t>
      </w:r>
      <w:proofErr w:type="spellStart"/>
      <w:r w:rsidRPr="00E16672">
        <w:rPr>
          <w:rFonts w:ascii="Times New Roman" w:hAnsi="Times New Roman"/>
          <w:b w:val="0"/>
          <w:bCs w:val="0"/>
          <w:szCs w:val="20"/>
        </w:rPr>
        <w:t>власником</w:t>
      </w:r>
      <w:proofErr w:type="spellEnd"/>
      <w:r w:rsidRPr="00E16672">
        <w:rPr>
          <w:rFonts w:ascii="Times New Roman" w:hAnsi="Times New Roman"/>
          <w:b w:val="0"/>
          <w:bCs w:val="0"/>
          <w:szCs w:val="20"/>
        </w:rPr>
        <w:t xml:space="preserve"> </w:t>
      </w:r>
      <w:proofErr w:type="spellStart"/>
      <w:r w:rsidRPr="00E16672">
        <w:rPr>
          <w:rFonts w:ascii="Times New Roman" w:hAnsi="Times New Roman"/>
          <w:b w:val="0"/>
          <w:bCs w:val="0"/>
          <w:szCs w:val="20"/>
        </w:rPr>
        <w:t>акцій</w:t>
      </w:r>
      <w:proofErr w:type="spellEnd"/>
      <w:r w:rsidRPr="00E16672">
        <w:rPr>
          <w:rFonts w:ascii="Times New Roman" w:hAnsi="Times New Roman"/>
          <w:b w:val="0"/>
          <w:bCs w:val="0"/>
          <w:szCs w:val="20"/>
        </w:rPr>
        <w:t xml:space="preserve"> </w:t>
      </w:r>
      <w:proofErr w:type="spellStart"/>
      <w:r w:rsidRPr="00E16672">
        <w:rPr>
          <w:rFonts w:ascii="Times New Roman" w:hAnsi="Times New Roman"/>
          <w:b w:val="0"/>
          <w:bCs w:val="0"/>
          <w:szCs w:val="20"/>
        </w:rPr>
        <w:t>акціонерного</w:t>
      </w:r>
      <w:proofErr w:type="spellEnd"/>
      <w:r w:rsidRPr="00E16672">
        <w:rPr>
          <w:rFonts w:ascii="Times New Roman" w:hAnsi="Times New Roman"/>
          <w:b w:val="0"/>
          <w:bCs w:val="0"/>
          <w:szCs w:val="20"/>
        </w:rPr>
        <w:t xml:space="preserve"> </w:t>
      </w:r>
      <w:proofErr w:type="spellStart"/>
      <w:r w:rsidRPr="00E16672">
        <w:rPr>
          <w:rFonts w:ascii="Times New Roman" w:hAnsi="Times New Roman"/>
          <w:b w:val="0"/>
          <w:bCs w:val="0"/>
          <w:szCs w:val="20"/>
        </w:rPr>
        <w:t>товариства</w:t>
      </w:r>
      <w:proofErr w:type="spellEnd"/>
      <w:r w:rsidRPr="00E16672">
        <w:rPr>
          <w:rFonts w:ascii="Times New Roman" w:hAnsi="Times New Roman"/>
          <w:b w:val="0"/>
          <w:bCs w:val="0"/>
          <w:szCs w:val="20"/>
        </w:rPr>
        <w:t xml:space="preserve"> на </w:t>
      </w:r>
      <w:proofErr w:type="spellStart"/>
      <w:r w:rsidRPr="00E16672">
        <w:rPr>
          <w:rFonts w:ascii="Times New Roman" w:hAnsi="Times New Roman"/>
          <w:b w:val="0"/>
          <w:bCs w:val="0"/>
          <w:szCs w:val="20"/>
        </w:rPr>
        <w:t>визначену</w:t>
      </w:r>
      <w:proofErr w:type="spellEnd"/>
      <w:r w:rsidRPr="00E16672">
        <w:rPr>
          <w:rFonts w:ascii="Times New Roman" w:hAnsi="Times New Roman"/>
          <w:b w:val="0"/>
          <w:bCs w:val="0"/>
          <w:szCs w:val="20"/>
        </w:rPr>
        <w:t xml:space="preserve"> </w:t>
      </w:r>
      <w:proofErr w:type="spellStart"/>
      <w:r w:rsidRPr="00E16672">
        <w:rPr>
          <w:rFonts w:ascii="Times New Roman" w:hAnsi="Times New Roman"/>
          <w:b w:val="0"/>
          <w:bCs w:val="0"/>
          <w:szCs w:val="20"/>
        </w:rPr>
        <w:t>відповідно</w:t>
      </w:r>
      <w:proofErr w:type="spellEnd"/>
      <w:r w:rsidRPr="00E16672">
        <w:rPr>
          <w:rFonts w:ascii="Times New Roman" w:hAnsi="Times New Roman"/>
          <w:b w:val="0"/>
          <w:bCs w:val="0"/>
          <w:szCs w:val="20"/>
        </w:rPr>
        <w:t xml:space="preserve"> до закону дату, </w:t>
      </w:r>
      <w:proofErr w:type="spellStart"/>
      <w:r w:rsidRPr="00E16672">
        <w:rPr>
          <w:rFonts w:ascii="Times New Roman" w:hAnsi="Times New Roman"/>
          <w:b w:val="0"/>
          <w:bCs w:val="0"/>
          <w:szCs w:val="20"/>
        </w:rPr>
        <w:t>повідомлення</w:t>
      </w:r>
      <w:proofErr w:type="spellEnd"/>
      <w:r w:rsidRPr="00E16672">
        <w:rPr>
          <w:rFonts w:ascii="Times New Roman" w:hAnsi="Times New Roman"/>
          <w:b w:val="0"/>
          <w:bCs w:val="0"/>
          <w:szCs w:val="20"/>
        </w:rPr>
        <w:t xml:space="preserve"> у </w:t>
      </w:r>
      <w:proofErr w:type="spellStart"/>
      <w:r w:rsidRPr="00E16672">
        <w:rPr>
          <w:rFonts w:ascii="Times New Roman" w:hAnsi="Times New Roman"/>
          <w:b w:val="0"/>
          <w:bCs w:val="0"/>
          <w:szCs w:val="20"/>
        </w:rPr>
        <w:t>разі</w:t>
      </w:r>
      <w:proofErr w:type="spellEnd"/>
      <w:r w:rsidRPr="00E16672">
        <w:rPr>
          <w:rFonts w:ascii="Times New Roman" w:hAnsi="Times New Roman"/>
          <w:b w:val="0"/>
          <w:bCs w:val="0"/>
          <w:szCs w:val="20"/>
        </w:rPr>
        <w:t xml:space="preserve"> </w:t>
      </w:r>
      <w:proofErr w:type="spellStart"/>
      <w:r w:rsidRPr="00E16672">
        <w:rPr>
          <w:rFonts w:ascii="Times New Roman" w:hAnsi="Times New Roman"/>
          <w:b w:val="0"/>
          <w:bCs w:val="0"/>
          <w:szCs w:val="20"/>
        </w:rPr>
        <w:t>направлення</w:t>
      </w:r>
      <w:proofErr w:type="spellEnd"/>
      <w:r w:rsidRPr="00E16672">
        <w:rPr>
          <w:rFonts w:ascii="Times New Roman" w:hAnsi="Times New Roman"/>
          <w:b w:val="0"/>
          <w:bCs w:val="0"/>
          <w:szCs w:val="20"/>
        </w:rPr>
        <w:t xml:space="preserve"> </w:t>
      </w:r>
      <w:proofErr w:type="spellStart"/>
      <w:r w:rsidR="004957AE" w:rsidRPr="00E16672">
        <w:rPr>
          <w:rFonts w:ascii="Times New Roman" w:hAnsi="Times New Roman"/>
          <w:b w:val="0"/>
          <w:color w:val="000000"/>
          <w:szCs w:val="22"/>
          <w:shd w:val="clear" w:color="auto" w:fill="FFFFFF"/>
        </w:rPr>
        <w:t>відповідно</w:t>
      </w:r>
      <w:proofErr w:type="spellEnd"/>
      <w:r w:rsidR="004957AE" w:rsidRPr="00E16672">
        <w:rPr>
          <w:rFonts w:ascii="Times New Roman" w:hAnsi="Times New Roman"/>
          <w:b w:val="0"/>
          <w:color w:val="000000"/>
          <w:szCs w:val="22"/>
          <w:shd w:val="clear" w:color="auto" w:fill="FFFFFF"/>
        </w:rPr>
        <w:t xml:space="preserve"> до Порядку </w:t>
      </w:r>
      <w:proofErr w:type="spellStart"/>
      <w:r w:rsidR="004957AE" w:rsidRPr="00E16672">
        <w:rPr>
          <w:rFonts w:ascii="Times New Roman" w:hAnsi="Times New Roman"/>
          <w:b w:val="0"/>
          <w:color w:val="000000"/>
          <w:szCs w:val="22"/>
          <w:shd w:val="clear" w:color="auto" w:fill="FFFFFF"/>
        </w:rPr>
        <w:t>направлення</w:t>
      </w:r>
      <w:proofErr w:type="spellEnd"/>
      <w:r w:rsidR="004957AE" w:rsidRPr="00E16672">
        <w:rPr>
          <w:rFonts w:ascii="Times New Roman" w:hAnsi="Times New Roman"/>
          <w:b w:val="0"/>
          <w:color w:val="000000"/>
          <w:szCs w:val="22"/>
          <w:shd w:val="clear" w:color="auto" w:fill="FFFFFF"/>
        </w:rPr>
        <w:t xml:space="preserve"> </w:t>
      </w:r>
      <w:proofErr w:type="spellStart"/>
      <w:r w:rsidR="004957AE" w:rsidRPr="00E16672">
        <w:rPr>
          <w:rFonts w:ascii="Times New Roman" w:hAnsi="Times New Roman"/>
          <w:b w:val="0"/>
          <w:color w:val="000000"/>
          <w:szCs w:val="22"/>
          <w:shd w:val="clear" w:color="auto" w:fill="FFFFFF"/>
        </w:rPr>
        <w:t>повідомлень</w:t>
      </w:r>
      <w:proofErr w:type="spellEnd"/>
      <w:r w:rsidR="004957AE" w:rsidRPr="00E16672">
        <w:rPr>
          <w:rFonts w:ascii="Times New Roman" w:hAnsi="Times New Roman"/>
          <w:b w:val="0"/>
          <w:color w:val="000000"/>
          <w:szCs w:val="22"/>
          <w:shd w:val="clear" w:color="auto" w:fill="FFFFFF"/>
        </w:rPr>
        <w:t xml:space="preserve"> </w:t>
      </w:r>
      <w:proofErr w:type="spellStart"/>
      <w:r w:rsidR="004957AE" w:rsidRPr="00E16672">
        <w:rPr>
          <w:rFonts w:ascii="Times New Roman" w:hAnsi="Times New Roman"/>
          <w:b w:val="0"/>
          <w:color w:val="000000"/>
          <w:szCs w:val="22"/>
          <w:shd w:val="clear" w:color="auto" w:fill="FFFFFF"/>
        </w:rPr>
        <w:t>акціонерам</w:t>
      </w:r>
      <w:proofErr w:type="spellEnd"/>
      <w:r w:rsidR="004957AE" w:rsidRPr="00E16672">
        <w:rPr>
          <w:rFonts w:ascii="Times New Roman" w:hAnsi="Times New Roman"/>
          <w:b w:val="0"/>
          <w:color w:val="000000"/>
          <w:szCs w:val="22"/>
          <w:shd w:val="clear" w:color="auto" w:fill="FFFFFF"/>
        </w:rPr>
        <w:t xml:space="preserve"> через </w:t>
      </w:r>
      <w:proofErr w:type="spellStart"/>
      <w:r w:rsidR="004957AE" w:rsidRPr="00E16672">
        <w:rPr>
          <w:rFonts w:ascii="Times New Roman" w:hAnsi="Times New Roman"/>
          <w:b w:val="0"/>
          <w:color w:val="000000"/>
          <w:szCs w:val="22"/>
          <w:shd w:val="clear" w:color="auto" w:fill="FFFFFF"/>
        </w:rPr>
        <w:t>депозитарну</w:t>
      </w:r>
      <w:proofErr w:type="spellEnd"/>
      <w:r w:rsidR="004957AE" w:rsidRPr="00E16672">
        <w:rPr>
          <w:rFonts w:ascii="Times New Roman" w:hAnsi="Times New Roman"/>
          <w:b w:val="0"/>
          <w:color w:val="000000"/>
          <w:szCs w:val="22"/>
          <w:shd w:val="clear" w:color="auto" w:fill="FFFFFF"/>
        </w:rPr>
        <w:t xml:space="preserve"> систему </w:t>
      </w:r>
      <w:proofErr w:type="spellStart"/>
      <w:r w:rsidR="004957AE" w:rsidRPr="00E16672">
        <w:rPr>
          <w:rFonts w:ascii="Times New Roman" w:hAnsi="Times New Roman"/>
          <w:b w:val="0"/>
          <w:color w:val="000000"/>
          <w:szCs w:val="22"/>
          <w:shd w:val="clear" w:color="auto" w:fill="FFFFFF"/>
        </w:rPr>
        <w:t>України</w:t>
      </w:r>
      <w:proofErr w:type="spellEnd"/>
      <w:r w:rsidR="004957AE" w:rsidRPr="00E16672">
        <w:rPr>
          <w:rFonts w:ascii="Times New Roman" w:hAnsi="Times New Roman"/>
          <w:b w:val="0"/>
          <w:color w:val="000000"/>
          <w:szCs w:val="22"/>
          <w:shd w:val="clear" w:color="auto" w:fill="FFFFFF"/>
        </w:rPr>
        <w:t xml:space="preserve">, </w:t>
      </w:r>
      <w:proofErr w:type="spellStart"/>
      <w:r w:rsidR="004957AE" w:rsidRPr="00E16672">
        <w:rPr>
          <w:rFonts w:ascii="Times New Roman" w:hAnsi="Times New Roman"/>
          <w:b w:val="0"/>
          <w:color w:val="000000"/>
          <w:szCs w:val="22"/>
          <w:shd w:val="clear" w:color="auto" w:fill="FFFFFF"/>
        </w:rPr>
        <w:t>затвердженого</w:t>
      </w:r>
      <w:proofErr w:type="spellEnd"/>
      <w:r w:rsidR="004957AE" w:rsidRPr="00E16672">
        <w:rPr>
          <w:rFonts w:ascii="Times New Roman" w:hAnsi="Times New Roman"/>
          <w:b w:val="0"/>
          <w:color w:val="000000"/>
          <w:szCs w:val="22"/>
          <w:shd w:val="clear" w:color="auto" w:fill="FFFFFF"/>
          <w:lang w:val="uk-UA"/>
        </w:rPr>
        <w:t xml:space="preserve"> </w:t>
      </w:r>
      <w:proofErr w:type="spellStart"/>
      <w:r w:rsidR="004957AE" w:rsidRPr="00E16672">
        <w:rPr>
          <w:rFonts w:ascii="Times New Roman" w:hAnsi="Times New Roman"/>
          <w:b w:val="0"/>
          <w:color w:val="000000"/>
          <w:szCs w:val="22"/>
          <w:shd w:val="clear" w:color="auto" w:fill="FFFFFF"/>
        </w:rPr>
        <w:t>рішенням</w:t>
      </w:r>
      <w:proofErr w:type="spellEnd"/>
      <w:r w:rsidR="004957AE" w:rsidRPr="00E16672">
        <w:rPr>
          <w:rFonts w:ascii="Times New Roman" w:hAnsi="Times New Roman"/>
          <w:b w:val="0"/>
          <w:color w:val="000000"/>
          <w:szCs w:val="22"/>
          <w:shd w:val="clear" w:color="auto" w:fill="FFFFFF"/>
        </w:rPr>
        <w:t xml:space="preserve"> </w:t>
      </w:r>
      <w:proofErr w:type="spellStart"/>
      <w:r w:rsidR="004957AE" w:rsidRPr="00E16672">
        <w:rPr>
          <w:rFonts w:ascii="Times New Roman" w:hAnsi="Times New Roman"/>
          <w:b w:val="0"/>
          <w:color w:val="000000"/>
          <w:szCs w:val="22"/>
          <w:shd w:val="clear" w:color="auto" w:fill="FFFFFF"/>
        </w:rPr>
        <w:t>Національної</w:t>
      </w:r>
      <w:proofErr w:type="spellEnd"/>
      <w:r w:rsidR="004957AE" w:rsidRPr="00E16672">
        <w:rPr>
          <w:rFonts w:ascii="Times New Roman" w:hAnsi="Times New Roman"/>
          <w:b w:val="0"/>
          <w:color w:val="000000"/>
          <w:szCs w:val="22"/>
          <w:shd w:val="clear" w:color="auto" w:fill="FFFFFF"/>
        </w:rPr>
        <w:t xml:space="preserve"> </w:t>
      </w:r>
      <w:proofErr w:type="spellStart"/>
      <w:r w:rsidR="004957AE" w:rsidRPr="00E16672">
        <w:rPr>
          <w:rFonts w:ascii="Times New Roman" w:hAnsi="Times New Roman"/>
          <w:b w:val="0"/>
          <w:color w:val="000000"/>
          <w:szCs w:val="22"/>
          <w:shd w:val="clear" w:color="auto" w:fill="FFFFFF"/>
        </w:rPr>
        <w:t>комісії</w:t>
      </w:r>
      <w:proofErr w:type="spellEnd"/>
      <w:r w:rsidR="004957AE" w:rsidRPr="00E16672">
        <w:rPr>
          <w:rFonts w:ascii="Times New Roman" w:hAnsi="Times New Roman"/>
          <w:b w:val="0"/>
          <w:color w:val="000000"/>
          <w:szCs w:val="22"/>
          <w:shd w:val="clear" w:color="auto" w:fill="FFFFFF"/>
        </w:rPr>
        <w:t xml:space="preserve"> з </w:t>
      </w:r>
      <w:proofErr w:type="spellStart"/>
      <w:r w:rsidR="004957AE" w:rsidRPr="00E16672">
        <w:rPr>
          <w:rFonts w:ascii="Times New Roman" w:hAnsi="Times New Roman"/>
          <w:b w:val="0"/>
          <w:color w:val="000000"/>
          <w:szCs w:val="22"/>
          <w:shd w:val="clear" w:color="auto" w:fill="FFFFFF"/>
        </w:rPr>
        <w:t>цінних</w:t>
      </w:r>
      <w:proofErr w:type="spellEnd"/>
      <w:r w:rsidR="004957AE" w:rsidRPr="00E16672">
        <w:rPr>
          <w:rFonts w:ascii="Times New Roman" w:hAnsi="Times New Roman"/>
          <w:b w:val="0"/>
          <w:color w:val="000000"/>
          <w:szCs w:val="22"/>
          <w:shd w:val="clear" w:color="auto" w:fill="FFFFFF"/>
        </w:rPr>
        <w:t xml:space="preserve"> </w:t>
      </w:r>
      <w:proofErr w:type="spellStart"/>
      <w:r w:rsidR="004957AE" w:rsidRPr="00E16672">
        <w:rPr>
          <w:rFonts w:ascii="Times New Roman" w:hAnsi="Times New Roman"/>
          <w:b w:val="0"/>
          <w:color w:val="000000"/>
          <w:szCs w:val="22"/>
          <w:shd w:val="clear" w:color="auto" w:fill="FFFFFF"/>
        </w:rPr>
        <w:t>паперів</w:t>
      </w:r>
      <w:proofErr w:type="spellEnd"/>
      <w:r w:rsidR="004957AE" w:rsidRPr="00E16672">
        <w:rPr>
          <w:rFonts w:ascii="Times New Roman" w:hAnsi="Times New Roman"/>
          <w:b w:val="0"/>
          <w:color w:val="000000"/>
          <w:szCs w:val="22"/>
          <w:shd w:val="clear" w:color="auto" w:fill="FFFFFF"/>
        </w:rPr>
        <w:t xml:space="preserve"> та фондового ринку </w:t>
      </w:r>
      <w:proofErr w:type="spellStart"/>
      <w:r w:rsidR="004957AE" w:rsidRPr="00E16672">
        <w:rPr>
          <w:rFonts w:ascii="Times New Roman" w:hAnsi="Times New Roman"/>
          <w:b w:val="0"/>
          <w:color w:val="000000"/>
          <w:szCs w:val="22"/>
          <w:shd w:val="clear" w:color="auto" w:fill="FFFFFF"/>
        </w:rPr>
        <w:t>від</w:t>
      </w:r>
      <w:proofErr w:type="spellEnd"/>
      <w:r w:rsidR="004957AE" w:rsidRPr="00E16672">
        <w:rPr>
          <w:rFonts w:ascii="Times New Roman" w:hAnsi="Times New Roman"/>
          <w:b w:val="0"/>
          <w:color w:val="000000"/>
          <w:szCs w:val="22"/>
          <w:shd w:val="clear" w:color="auto" w:fill="FFFFFF"/>
        </w:rPr>
        <w:t xml:space="preserve"> 07 </w:t>
      </w:r>
      <w:proofErr w:type="spellStart"/>
      <w:r w:rsidR="004957AE" w:rsidRPr="00E16672">
        <w:rPr>
          <w:rFonts w:ascii="Times New Roman" w:hAnsi="Times New Roman"/>
          <w:b w:val="0"/>
          <w:color w:val="000000"/>
          <w:szCs w:val="22"/>
          <w:shd w:val="clear" w:color="auto" w:fill="FFFFFF"/>
        </w:rPr>
        <w:t>березня</w:t>
      </w:r>
      <w:proofErr w:type="spellEnd"/>
      <w:r w:rsidR="004957AE" w:rsidRPr="00E16672">
        <w:rPr>
          <w:rFonts w:ascii="Times New Roman" w:hAnsi="Times New Roman"/>
          <w:b w:val="0"/>
          <w:color w:val="000000"/>
          <w:szCs w:val="22"/>
          <w:shd w:val="clear" w:color="auto" w:fill="FFFFFF"/>
        </w:rPr>
        <w:t xml:space="preserve"> 2017 року N 148, </w:t>
      </w:r>
      <w:proofErr w:type="spellStart"/>
      <w:r w:rsidR="004957AE" w:rsidRPr="00E16672">
        <w:rPr>
          <w:rFonts w:ascii="Times New Roman" w:hAnsi="Times New Roman"/>
          <w:b w:val="0"/>
          <w:color w:val="000000"/>
          <w:szCs w:val="22"/>
          <w:shd w:val="clear" w:color="auto" w:fill="FFFFFF"/>
        </w:rPr>
        <w:t>зареєстрованого</w:t>
      </w:r>
      <w:proofErr w:type="spellEnd"/>
      <w:r w:rsidR="004957AE" w:rsidRPr="00E16672">
        <w:rPr>
          <w:rFonts w:ascii="Times New Roman" w:hAnsi="Times New Roman"/>
          <w:b w:val="0"/>
          <w:color w:val="000000"/>
          <w:szCs w:val="22"/>
          <w:shd w:val="clear" w:color="auto" w:fill="FFFFFF"/>
        </w:rPr>
        <w:t xml:space="preserve"> в </w:t>
      </w:r>
      <w:proofErr w:type="spellStart"/>
      <w:r w:rsidR="004957AE" w:rsidRPr="00E16672">
        <w:rPr>
          <w:rFonts w:ascii="Times New Roman" w:hAnsi="Times New Roman"/>
          <w:b w:val="0"/>
          <w:color w:val="000000"/>
          <w:szCs w:val="22"/>
          <w:shd w:val="clear" w:color="auto" w:fill="FFFFFF"/>
        </w:rPr>
        <w:t>Міністерстві</w:t>
      </w:r>
      <w:proofErr w:type="spellEnd"/>
      <w:r w:rsidR="004957AE" w:rsidRPr="00E16672">
        <w:rPr>
          <w:rFonts w:ascii="Times New Roman" w:hAnsi="Times New Roman"/>
          <w:b w:val="0"/>
          <w:color w:val="000000"/>
          <w:szCs w:val="22"/>
          <w:shd w:val="clear" w:color="auto" w:fill="FFFFFF"/>
        </w:rPr>
        <w:t xml:space="preserve"> </w:t>
      </w:r>
      <w:proofErr w:type="spellStart"/>
      <w:r w:rsidR="004957AE" w:rsidRPr="00E16672">
        <w:rPr>
          <w:rFonts w:ascii="Times New Roman" w:hAnsi="Times New Roman"/>
          <w:b w:val="0"/>
          <w:color w:val="000000"/>
          <w:szCs w:val="22"/>
          <w:shd w:val="clear" w:color="auto" w:fill="FFFFFF"/>
        </w:rPr>
        <w:t>юстиції</w:t>
      </w:r>
      <w:proofErr w:type="spellEnd"/>
      <w:r w:rsidR="004957AE" w:rsidRPr="00E16672">
        <w:rPr>
          <w:rFonts w:ascii="Times New Roman" w:hAnsi="Times New Roman"/>
          <w:b w:val="0"/>
          <w:color w:val="000000"/>
          <w:szCs w:val="22"/>
          <w:shd w:val="clear" w:color="auto" w:fill="FFFFFF"/>
        </w:rPr>
        <w:t xml:space="preserve"> </w:t>
      </w:r>
      <w:proofErr w:type="spellStart"/>
      <w:r w:rsidR="004957AE" w:rsidRPr="00E16672">
        <w:rPr>
          <w:rFonts w:ascii="Times New Roman" w:hAnsi="Times New Roman"/>
          <w:b w:val="0"/>
          <w:color w:val="000000"/>
          <w:szCs w:val="22"/>
          <w:shd w:val="clear" w:color="auto" w:fill="FFFFFF"/>
        </w:rPr>
        <w:t>України</w:t>
      </w:r>
      <w:proofErr w:type="spellEnd"/>
      <w:r w:rsidR="004957AE" w:rsidRPr="00E16672">
        <w:rPr>
          <w:rFonts w:ascii="Times New Roman" w:hAnsi="Times New Roman"/>
          <w:b w:val="0"/>
          <w:color w:val="000000"/>
          <w:szCs w:val="22"/>
          <w:shd w:val="clear" w:color="auto" w:fill="FFFFFF"/>
        </w:rPr>
        <w:t xml:space="preserve"> 28 </w:t>
      </w:r>
      <w:proofErr w:type="spellStart"/>
      <w:r w:rsidR="004957AE" w:rsidRPr="00E16672">
        <w:rPr>
          <w:rFonts w:ascii="Times New Roman" w:hAnsi="Times New Roman"/>
          <w:b w:val="0"/>
          <w:color w:val="000000"/>
          <w:szCs w:val="22"/>
          <w:shd w:val="clear" w:color="auto" w:fill="FFFFFF"/>
        </w:rPr>
        <w:t>березня</w:t>
      </w:r>
      <w:proofErr w:type="spellEnd"/>
      <w:r w:rsidR="004957AE" w:rsidRPr="00E16672">
        <w:rPr>
          <w:rFonts w:ascii="Times New Roman" w:hAnsi="Times New Roman"/>
          <w:b w:val="0"/>
          <w:color w:val="000000"/>
          <w:szCs w:val="22"/>
          <w:shd w:val="clear" w:color="auto" w:fill="FFFFFF"/>
        </w:rPr>
        <w:t xml:space="preserve"> 2017 року за N 408/30276 (</w:t>
      </w:r>
      <w:proofErr w:type="spellStart"/>
      <w:r w:rsidR="004957AE" w:rsidRPr="00E16672">
        <w:rPr>
          <w:rFonts w:ascii="Times New Roman" w:hAnsi="Times New Roman"/>
          <w:b w:val="0"/>
          <w:color w:val="000000"/>
          <w:szCs w:val="22"/>
          <w:shd w:val="clear" w:color="auto" w:fill="FFFFFF"/>
        </w:rPr>
        <w:t>із</w:t>
      </w:r>
      <w:proofErr w:type="spellEnd"/>
      <w:r w:rsidR="004957AE" w:rsidRPr="00E16672">
        <w:rPr>
          <w:rFonts w:ascii="Times New Roman" w:hAnsi="Times New Roman"/>
          <w:b w:val="0"/>
          <w:color w:val="000000"/>
          <w:szCs w:val="22"/>
          <w:shd w:val="clear" w:color="auto" w:fill="FFFFFF"/>
        </w:rPr>
        <w:t xml:space="preserve"> </w:t>
      </w:r>
      <w:proofErr w:type="spellStart"/>
      <w:r w:rsidR="004957AE" w:rsidRPr="00E16672">
        <w:rPr>
          <w:rFonts w:ascii="Times New Roman" w:hAnsi="Times New Roman"/>
          <w:b w:val="0"/>
          <w:color w:val="000000"/>
          <w:szCs w:val="22"/>
          <w:shd w:val="clear" w:color="auto" w:fill="FFFFFF"/>
        </w:rPr>
        <w:t>змінами</w:t>
      </w:r>
      <w:proofErr w:type="spellEnd"/>
      <w:r w:rsidR="004957AE" w:rsidRPr="00E16672">
        <w:rPr>
          <w:rFonts w:ascii="Times New Roman" w:hAnsi="Times New Roman"/>
          <w:b w:val="0"/>
          <w:color w:val="000000"/>
          <w:szCs w:val="22"/>
          <w:shd w:val="clear" w:color="auto" w:fill="FFFFFF"/>
        </w:rPr>
        <w:t>),</w:t>
      </w:r>
      <w:r w:rsidRPr="00E16672">
        <w:rPr>
          <w:rFonts w:ascii="Times New Roman" w:hAnsi="Times New Roman"/>
          <w:b w:val="0"/>
          <w:bCs w:val="0"/>
          <w:szCs w:val="20"/>
        </w:rPr>
        <w:t xml:space="preserve"> </w:t>
      </w:r>
      <w:proofErr w:type="spellStart"/>
      <w:r w:rsidRPr="00E16672">
        <w:rPr>
          <w:rFonts w:ascii="Times New Roman" w:hAnsi="Times New Roman"/>
          <w:b w:val="0"/>
          <w:bCs w:val="0"/>
          <w:szCs w:val="20"/>
        </w:rPr>
        <w:t>повідомлення</w:t>
      </w:r>
      <w:proofErr w:type="spellEnd"/>
      <w:r w:rsidRPr="00E16672">
        <w:rPr>
          <w:rFonts w:ascii="Times New Roman" w:hAnsi="Times New Roman"/>
          <w:b w:val="0"/>
          <w:bCs w:val="0"/>
          <w:szCs w:val="20"/>
        </w:rPr>
        <w:t xml:space="preserve"> </w:t>
      </w:r>
      <w:proofErr w:type="spellStart"/>
      <w:r w:rsidRPr="00E16672">
        <w:rPr>
          <w:rFonts w:ascii="Times New Roman" w:hAnsi="Times New Roman"/>
          <w:b w:val="0"/>
          <w:bCs w:val="0"/>
          <w:szCs w:val="20"/>
        </w:rPr>
        <w:t>акціонерам</w:t>
      </w:r>
      <w:proofErr w:type="spellEnd"/>
      <w:r w:rsidRPr="00E16672">
        <w:rPr>
          <w:rFonts w:ascii="Times New Roman" w:hAnsi="Times New Roman"/>
          <w:b w:val="0"/>
          <w:bCs w:val="0"/>
          <w:szCs w:val="20"/>
        </w:rPr>
        <w:t xml:space="preserve"> через </w:t>
      </w:r>
      <w:proofErr w:type="spellStart"/>
      <w:r w:rsidRPr="00E16672">
        <w:rPr>
          <w:rFonts w:ascii="Times New Roman" w:hAnsi="Times New Roman"/>
          <w:b w:val="0"/>
          <w:bCs w:val="0"/>
          <w:szCs w:val="20"/>
        </w:rPr>
        <w:t>депозитарну</w:t>
      </w:r>
      <w:proofErr w:type="spellEnd"/>
      <w:r w:rsidRPr="00E16672">
        <w:rPr>
          <w:rFonts w:ascii="Times New Roman" w:hAnsi="Times New Roman"/>
          <w:b w:val="0"/>
          <w:bCs w:val="0"/>
          <w:szCs w:val="20"/>
        </w:rPr>
        <w:t xml:space="preserve"> систему </w:t>
      </w:r>
      <w:proofErr w:type="spellStart"/>
      <w:r w:rsidRPr="00E16672">
        <w:rPr>
          <w:rFonts w:ascii="Times New Roman" w:hAnsi="Times New Roman"/>
          <w:b w:val="0"/>
          <w:bCs w:val="0"/>
          <w:szCs w:val="20"/>
        </w:rPr>
        <w:t>України</w:t>
      </w:r>
      <w:proofErr w:type="spellEnd"/>
      <w:r w:rsidRPr="00E16672">
        <w:rPr>
          <w:rFonts w:ascii="Times New Roman" w:hAnsi="Times New Roman"/>
          <w:b w:val="0"/>
          <w:bCs w:val="0"/>
          <w:szCs w:val="20"/>
        </w:rPr>
        <w:t xml:space="preserve"> </w:t>
      </w:r>
      <w:proofErr w:type="spellStart"/>
      <w:r w:rsidRPr="00E16672">
        <w:rPr>
          <w:rFonts w:ascii="Times New Roman" w:hAnsi="Times New Roman"/>
          <w:b w:val="0"/>
          <w:bCs w:val="0"/>
          <w:szCs w:val="20"/>
        </w:rPr>
        <w:t>відповідно</w:t>
      </w:r>
      <w:proofErr w:type="spellEnd"/>
      <w:r w:rsidRPr="00E16672">
        <w:rPr>
          <w:rFonts w:ascii="Times New Roman" w:hAnsi="Times New Roman"/>
          <w:b w:val="0"/>
          <w:bCs w:val="0"/>
          <w:szCs w:val="20"/>
        </w:rPr>
        <w:t xml:space="preserve"> до </w:t>
      </w:r>
      <w:hyperlink r:id="rId9" w:anchor="n3" w:tgtFrame="_blank" w:history="1">
        <w:r w:rsidRPr="00E16672">
          <w:rPr>
            <w:rFonts w:ascii="Times New Roman" w:hAnsi="Times New Roman"/>
            <w:b w:val="0"/>
            <w:bCs w:val="0"/>
            <w:szCs w:val="20"/>
          </w:rPr>
          <w:t xml:space="preserve">Закону </w:t>
        </w:r>
        <w:proofErr w:type="spellStart"/>
        <w:r w:rsidRPr="00E16672">
          <w:rPr>
            <w:rFonts w:ascii="Times New Roman" w:hAnsi="Times New Roman"/>
            <w:b w:val="0"/>
            <w:bCs w:val="0"/>
            <w:szCs w:val="20"/>
          </w:rPr>
          <w:t>України</w:t>
        </w:r>
        <w:proofErr w:type="spellEnd"/>
      </w:hyperlink>
      <w:r w:rsidRPr="00E16672">
        <w:rPr>
          <w:rFonts w:ascii="Times New Roman" w:hAnsi="Times New Roman"/>
          <w:b w:val="0"/>
          <w:bCs w:val="0"/>
          <w:szCs w:val="20"/>
        </w:rPr>
        <w:t> </w:t>
      </w:r>
      <w:r w:rsidR="00022F5F">
        <w:rPr>
          <w:rFonts w:ascii="Times New Roman" w:hAnsi="Times New Roman"/>
          <w:b w:val="0"/>
          <w:bCs w:val="0"/>
          <w:szCs w:val="20"/>
        </w:rPr>
        <w:t>"</w:t>
      </w:r>
      <w:r w:rsidRPr="00E16672">
        <w:rPr>
          <w:rFonts w:ascii="Times New Roman" w:hAnsi="Times New Roman"/>
          <w:b w:val="0"/>
          <w:bCs w:val="0"/>
          <w:szCs w:val="20"/>
        </w:rPr>
        <w:t xml:space="preserve">Про </w:t>
      </w:r>
      <w:proofErr w:type="spellStart"/>
      <w:r w:rsidRPr="00E16672">
        <w:rPr>
          <w:rFonts w:ascii="Times New Roman" w:hAnsi="Times New Roman"/>
          <w:b w:val="0"/>
          <w:bCs w:val="0"/>
          <w:szCs w:val="20"/>
        </w:rPr>
        <w:t>акціонерні</w:t>
      </w:r>
      <w:proofErr w:type="spellEnd"/>
      <w:r w:rsidRPr="00E16672">
        <w:rPr>
          <w:rFonts w:ascii="Times New Roman" w:hAnsi="Times New Roman"/>
          <w:b w:val="0"/>
          <w:bCs w:val="0"/>
          <w:szCs w:val="20"/>
        </w:rPr>
        <w:t xml:space="preserve"> </w:t>
      </w:r>
      <w:proofErr w:type="spellStart"/>
      <w:r w:rsidRPr="00E16672">
        <w:rPr>
          <w:rFonts w:ascii="Times New Roman" w:hAnsi="Times New Roman"/>
          <w:b w:val="0"/>
          <w:bCs w:val="0"/>
          <w:szCs w:val="20"/>
        </w:rPr>
        <w:t>товариства</w:t>
      </w:r>
      <w:proofErr w:type="spellEnd"/>
      <w:r w:rsidR="00022F5F">
        <w:rPr>
          <w:rFonts w:ascii="Times New Roman" w:hAnsi="Times New Roman"/>
          <w:b w:val="0"/>
          <w:bCs w:val="0"/>
          <w:szCs w:val="20"/>
        </w:rPr>
        <w:t>"</w:t>
      </w:r>
      <w:r w:rsidRPr="00E16672">
        <w:rPr>
          <w:rFonts w:ascii="Times New Roman" w:hAnsi="Times New Roman"/>
          <w:b w:val="0"/>
          <w:bCs w:val="0"/>
          <w:szCs w:val="20"/>
        </w:rPr>
        <w:t>.</w:t>
      </w:r>
    </w:p>
    <w:p w14:paraId="2DDE5745" w14:textId="77777777" w:rsidR="00765E37" w:rsidRPr="00E16672" w:rsidRDefault="00765E37" w:rsidP="00765E37">
      <w:pPr>
        <w:tabs>
          <w:tab w:val="left" w:pos="851"/>
          <w:tab w:val="left" w:pos="7200"/>
        </w:tabs>
        <w:ind w:firstLine="539"/>
        <w:rPr>
          <w:rFonts w:ascii="Times New Roman" w:hAnsi="Times New Roman"/>
          <w:szCs w:val="20"/>
        </w:rPr>
      </w:pPr>
      <w:r w:rsidRPr="00E16672">
        <w:rPr>
          <w:rFonts w:ascii="Times New Roman" w:hAnsi="Times New Roman"/>
          <w:bCs/>
          <w:color w:val="000000"/>
          <w:szCs w:val="20"/>
        </w:rPr>
        <w:t>2.1.1</w:t>
      </w:r>
      <w:r w:rsidRPr="00E16672">
        <w:rPr>
          <w:rFonts w:ascii="Times New Roman" w:hAnsi="Times New Roman"/>
          <w:bCs/>
          <w:color w:val="000000"/>
          <w:szCs w:val="20"/>
          <w:lang w:val="uk-UA"/>
        </w:rPr>
        <w:t>8</w:t>
      </w:r>
      <w:r w:rsidRPr="00E16672">
        <w:rPr>
          <w:rFonts w:ascii="Times New Roman" w:hAnsi="Times New Roman"/>
          <w:bCs/>
          <w:color w:val="000000"/>
          <w:szCs w:val="20"/>
        </w:rPr>
        <w:t>.</w:t>
      </w:r>
      <w:r w:rsidRPr="00E16672">
        <w:rPr>
          <w:rFonts w:ascii="Times New Roman" w:hAnsi="Times New Roman"/>
          <w:b/>
          <w:bCs/>
          <w:color w:val="000000"/>
          <w:szCs w:val="20"/>
        </w:rPr>
        <w:t xml:space="preserve"> </w:t>
      </w:r>
      <w:r w:rsidRPr="00E16672">
        <w:rPr>
          <w:rFonts w:ascii="Times New Roman" w:hAnsi="Times New Roman"/>
          <w:color w:val="000000"/>
          <w:szCs w:val="20"/>
          <w:lang w:val="uk-UA"/>
        </w:rPr>
        <w:t>І</w:t>
      </w:r>
      <w:proofErr w:type="spellStart"/>
      <w:r w:rsidRPr="00E16672">
        <w:rPr>
          <w:rFonts w:ascii="Times New Roman" w:hAnsi="Times New Roman"/>
          <w:color w:val="000000"/>
          <w:szCs w:val="20"/>
        </w:rPr>
        <w:t>дентифікувати</w:t>
      </w:r>
      <w:proofErr w:type="spellEnd"/>
      <w:r w:rsidRPr="00E16672">
        <w:rPr>
          <w:rFonts w:ascii="Times New Roman" w:hAnsi="Times New Roman"/>
          <w:color w:val="000000"/>
          <w:szCs w:val="20"/>
        </w:rPr>
        <w:t xml:space="preserve"> та </w:t>
      </w:r>
      <w:proofErr w:type="spellStart"/>
      <w:r w:rsidRPr="00E16672">
        <w:rPr>
          <w:rFonts w:ascii="Times New Roman" w:hAnsi="Times New Roman"/>
          <w:color w:val="000000"/>
          <w:szCs w:val="20"/>
        </w:rPr>
        <w:t>верифікувати</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осіб</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яким</w:t>
      </w:r>
      <w:proofErr w:type="spellEnd"/>
      <w:r w:rsidRPr="00E16672">
        <w:rPr>
          <w:rFonts w:ascii="Times New Roman" w:hAnsi="Times New Roman"/>
          <w:color w:val="000000"/>
          <w:szCs w:val="20"/>
        </w:rPr>
        <w:t xml:space="preserve"> на </w:t>
      </w:r>
      <w:proofErr w:type="spellStart"/>
      <w:r w:rsidRPr="00E16672">
        <w:rPr>
          <w:rFonts w:ascii="Times New Roman" w:hAnsi="Times New Roman"/>
          <w:color w:val="000000"/>
          <w:szCs w:val="20"/>
        </w:rPr>
        <w:t>підставі</w:t>
      </w:r>
      <w:proofErr w:type="spellEnd"/>
      <w:r w:rsidRPr="00E16672">
        <w:rPr>
          <w:rFonts w:ascii="Times New Roman" w:hAnsi="Times New Roman"/>
          <w:color w:val="000000"/>
          <w:szCs w:val="20"/>
        </w:rPr>
        <w:t xml:space="preserve"> </w:t>
      </w:r>
      <w:r w:rsidRPr="00E16672">
        <w:rPr>
          <w:rFonts w:ascii="Times New Roman" w:hAnsi="Times New Roman"/>
          <w:color w:val="000000"/>
          <w:szCs w:val="20"/>
          <w:lang w:val="uk-UA"/>
        </w:rPr>
        <w:t>Д</w:t>
      </w:r>
      <w:r w:rsidRPr="00E16672">
        <w:rPr>
          <w:rFonts w:ascii="Times New Roman" w:hAnsi="Times New Roman"/>
          <w:color w:val="000000"/>
          <w:szCs w:val="20"/>
        </w:rPr>
        <w:t xml:space="preserve">оговору </w:t>
      </w:r>
      <w:r w:rsidRPr="00E16672">
        <w:rPr>
          <w:rFonts w:ascii="Times New Roman" w:hAnsi="Times New Roman"/>
          <w:color w:val="000000"/>
          <w:szCs w:val="20"/>
          <w:lang w:val="uk-UA"/>
        </w:rPr>
        <w:t>відкриває</w:t>
      </w:r>
      <w:r w:rsidRPr="00E16672">
        <w:rPr>
          <w:rFonts w:ascii="Times New Roman" w:hAnsi="Times New Roman"/>
          <w:szCs w:val="20"/>
          <w:lang w:val="uk-UA"/>
        </w:rPr>
        <w:t>ться</w:t>
      </w:r>
      <w:r w:rsidRPr="00E16672">
        <w:rPr>
          <w:rFonts w:ascii="Times New Roman" w:hAnsi="Times New Roman"/>
          <w:szCs w:val="20"/>
        </w:rPr>
        <w:t xml:space="preserve"> </w:t>
      </w:r>
      <w:proofErr w:type="spellStart"/>
      <w:r w:rsidRPr="00E16672">
        <w:rPr>
          <w:rFonts w:ascii="Times New Roman" w:hAnsi="Times New Roman"/>
          <w:szCs w:val="20"/>
        </w:rPr>
        <w:t>рахун</w:t>
      </w:r>
      <w:r w:rsidRPr="00E16672">
        <w:rPr>
          <w:rFonts w:ascii="Times New Roman" w:hAnsi="Times New Roman"/>
          <w:szCs w:val="20"/>
          <w:lang w:val="uk-UA"/>
        </w:rPr>
        <w:t>ок</w:t>
      </w:r>
      <w:proofErr w:type="spellEnd"/>
      <w:r w:rsidRPr="00E16672">
        <w:rPr>
          <w:rFonts w:ascii="Times New Roman" w:hAnsi="Times New Roman"/>
          <w:szCs w:val="20"/>
          <w:lang w:val="uk-UA"/>
        </w:rPr>
        <w:t xml:space="preserve"> </w:t>
      </w:r>
      <w:r w:rsidRPr="00E16672">
        <w:rPr>
          <w:rFonts w:ascii="Times New Roman" w:hAnsi="Times New Roman"/>
          <w:szCs w:val="20"/>
        </w:rPr>
        <w:t xml:space="preserve">в </w:t>
      </w:r>
      <w:proofErr w:type="spellStart"/>
      <w:r w:rsidRPr="00E16672">
        <w:rPr>
          <w:rFonts w:ascii="Times New Roman" w:hAnsi="Times New Roman"/>
          <w:szCs w:val="20"/>
        </w:rPr>
        <w:t>цінних</w:t>
      </w:r>
      <w:proofErr w:type="spellEnd"/>
      <w:r w:rsidRPr="00E16672">
        <w:rPr>
          <w:rFonts w:ascii="Times New Roman" w:hAnsi="Times New Roman"/>
          <w:szCs w:val="20"/>
        </w:rPr>
        <w:t xml:space="preserve"> </w:t>
      </w:r>
      <w:proofErr w:type="spellStart"/>
      <w:r w:rsidRPr="00E16672">
        <w:rPr>
          <w:rFonts w:ascii="Times New Roman" w:hAnsi="Times New Roman"/>
          <w:szCs w:val="20"/>
        </w:rPr>
        <w:t>паперах</w:t>
      </w:r>
      <w:proofErr w:type="spellEnd"/>
      <w:r w:rsidRPr="00E16672">
        <w:rPr>
          <w:rFonts w:ascii="Times New Roman" w:hAnsi="Times New Roman"/>
          <w:szCs w:val="20"/>
        </w:rPr>
        <w:t xml:space="preserve">, а </w:t>
      </w:r>
      <w:proofErr w:type="spellStart"/>
      <w:r w:rsidRPr="00E16672">
        <w:rPr>
          <w:rFonts w:ascii="Times New Roman" w:hAnsi="Times New Roman"/>
          <w:szCs w:val="20"/>
        </w:rPr>
        <w:t>також</w:t>
      </w:r>
      <w:proofErr w:type="spellEnd"/>
      <w:r w:rsidRPr="00E16672">
        <w:rPr>
          <w:rFonts w:ascii="Times New Roman" w:hAnsi="Times New Roman"/>
          <w:szCs w:val="20"/>
        </w:rPr>
        <w:t xml:space="preserve"> </w:t>
      </w:r>
      <w:proofErr w:type="spellStart"/>
      <w:r w:rsidRPr="00E16672">
        <w:rPr>
          <w:rFonts w:ascii="Times New Roman" w:hAnsi="Times New Roman"/>
          <w:szCs w:val="20"/>
        </w:rPr>
        <w:t>осіб</w:t>
      </w:r>
      <w:proofErr w:type="spellEnd"/>
      <w:r w:rsidRPr="00E16672">
        <w:rPr>
          <w:rFonts w:ascii="Times New Roman" w:hAnsi="Times New Roman"/>
          <w:szCs w:val="20"/>
        </w:rPr>
        <w:t xml:space="preserve">, </w:t>
      </w:r>
      <w:proofErr w:type="spellStart"/>
      <w:r w:rsidRPr="00E16672">
        <w:rPr>
          <w:rFonts w:ascii="Times New Roman" w:hAnsi="Times New Roman"/>
          <w:szCs w:val="20"/>
        </w:rPr>
        <w:t>що</w:t>
      </w:r>
      <w:proofErr w:type="spellEnd"/>
      <w:r w:rsidRPr="00E16672">
        <w:rPr>
          <w:rFonts w:ascii="Times New Roman" w:hAnsi="Times New Roman"/>
          <w:szCs w:val="20"/>
        </w:rPr>
        <w:t xml:space="preserve"> </w:t>
      </w:r>
      <w:proofErr w:type="spellStart"/>
      <w:r w:rsidRPr="00E16672">
        <w:rPr>
          <w:rFonts w:ascii="Times New Roman" w:hAnsi="Times New Roman"/>
          <w:szCs w:val="20"/>
        </w:rPr>
        <w:t>мають</w:t>
      </w:r>
      <w:proofErr w:type="spellEnd"/>
      <w:r w:rsidRPr="00E16672">
        <w:rPr>
          <w:rFonts w:ascii="Times New Roman" w:hAnsi="Times New Roman"/>
          <w:szCs w:val="20"/>
        </w:rPr>
        <w:t xml:space="preserve"> </w:t>
      </w:r>
      <w:proofErr w:type="spellStart"/>
      <w:r w:rsidRPr="00E16672">
        <w:rPr>
          <w:rFonts w:ascii="Times New Roman" w:hAnsi="Times New Roman"/>
          <w:szCs w:val="20"/>
        </w:rPr>
        <w:t>повноваження</w:t>
      </w:r>
      <w:proofErr w:type="spellEnd"/>
      <w:r w:rsidRPr="00E16672">
        <w:rPr>
          <w:rFonts w:ascii="Times New Roman" w:hAnsi="Times New Roman"/>
          <w:szCs w:val="20"/>
        </w:rPr>
        <w:t xml:space="preserve"> </w:t>
      </w:r>
      <w:proofErr w:type="spellStart"/>
      <w:r w:rsidRPr="00E16672">
        <w:rPr>
          <w:rFonts w:ascii="Times New Roman" w:hAnsi="Times New Roman"/>
          <w:szCs w:val="20"/>
        </w:rPr>
        <w:t>діяти</w:t>
      </w:r>
      <w:proofErr w:type="spellEnd"/>
      <w:r w:rsidRPr="00E16672">
        <w:rPr>
          <w:rFonts w:ascii="Times New Roman" w:hAnsi="Times New Roman"/>
          <w:szCs w:val="20"/>
        </w:rPr>
        <w:t xml:space="preserve"> </w:t>
      </w:r>
      <w:proofErr w:type="spellStart"/>
      <w:r w:rsidRPr="00E16672">
        <w:rPr>
          <w:rFonts w:ascii="Times New Roman" w:hAnsi="Times New Roman"/>
          <w:szCs w:val="20"/>
        </w:rPr>
        <w:t>від</w:t>
      </w:r>
      <w:proofErr w:type="spellEnd"/>
      <w:r w:rsidRPr="00E16672">
        <w:rPr>
          <w:rFonts w:ascii="Times New Roman" w:hAnsi="Times New Roman"/>
          <w:szCs w:val="20"/>
        </w:rPr>
        <w:t xml:space="preserve"> </w:t>
      </w:r>
      <w:proofErr w:type="spellStart"/>
      <w:r w:rsidRPr="00E16672">
        <w:rPr>
          <w:rFonts w:ascii="Times New Roman" w:hAnsi="Times New Roman"/>
          <w:szCs w:val="20"/>
        </w:rPr>
        <w:t>їх</w:t>
      </w:r>
      <w:proofErr w:type="spellEnd"/>
      <w:r w:rsidRPr="00E16672">
        <w:rPr>
          <w:rFonts w:ascii="Times New Roman" w:hAnsi="Times New Roman"/>
          <w:szCs w:val="20"/>
        </w:rPr>
        <w:t xml:space="preserve"> </w:t>
      </w:r>
      <w:proofErr w:type="spellStart"/>
      <w:r w:rsidRPr="00E16672">
        <w:rPr>
          <w:rFonts w:ascii="Times New Roman" w:hAnsi="Times New Roman"/>
          <w:szCs w:val="20"/>
        </w:rPr>
        <w:t>імені</w:t>
      </w:r>
      <w:proofErr w:type="spellEnd"/>
      <w:r w:rsidRPr="00E16672">
        <w:rPr>
          <w:rFonts w:ascii="Times New Roman" w:hAnsi="Times New Roman"/>
          <w:szCs w:val="20"/>
        </w:rPr>
        <w:t xml:space="preserve">, </w:t>
      </w:r>
      <w:proofErr w:type="gramStart"/>
      <w:r w:rsidRPr="00E16672">
        <w:rPr>
          <w:rFonts w:ascii="Times New Roman" w:hAnsi="Times New Roman"/>
          <w:szCs w:val="20"/>
        </w:rPr>
        <w:t>у порядку</w:t>
      </w:r>
      <w:proofErr w:type="gramEnd"/>
      <w:r w:rsidRPr="00E16672">
        <w:rPr>
          <w:rFonts w:ascii="Times New Roman" w:hAnsi="Times New Roman"/>
          <w:szCs w:val="20"/>
        </w:rPr>
        <w:t xml:space="preserve">, </w:t>
      </w:r>
      <w:proofErr w:type="spellStart"/>
      <w:r w:rsidRPr="00E16672">
        <w:rPr>
          <w:rFonts w:ascii="Times New Roman" w:hAnsi="Times New Roman"/>
          <w:szCs w:val="20"/>
        </w:rPr>
        <w:t>установленому</w:t>
      </w:r>
      <w:proofErr w:type="spellEnd"/>
      <w:r w:rsidRPr="00E16672">
        <w:rPr>
          <w:rFonts w:ascii="Times New Roman" w:hAnsi="Times New Roman"/>
          <w:szCs w:val="20"/>
        </w:rPr>
        <w:t xml:space="preserve"> </w:t>
      </w:r>
      <w:proofErr w:type="spellStart"/>
      <w:r w:rsidRPr="00E16672">
        <w:rPr>
          <w:rFonts w:ascii="Times New Roman" w:hAnsi="Times New Roman"/>
          <w:szCs w:val="20"/>
        </w:rPr>
        <w:t>законодавством</w:t>
      </w:r>
      <w:proofErr w:type="spellEnd"/>
      <w:r w:rsidRPr="00E16672">
        <w:rPr>
          <w:rFonts w:ascii="Times New Roman" w:hAnsi="Times New Roman"/>
          <w:szCs w:val="20"/>
        </w:rPr>
        <w:t xml:space="preserve"> </w:t>
      </w:r>
      <w:proofErr w:type="spellStart"/>
      <w:r w:rsidRPr="00E16672">
        <w:rPr>
          <w:rFonts w:ascii="Times New Roman" w:hAnsi="Times New Roman"/>
          <w:szCs w:val="20"/>
        </w:rPr>
        <w:t>України</w:t>
      </w:r>
      <w:proofErr w:type="spellEnd"/>
      <w:r w:rsidRPr="00E16672">
        <w:rPr>
          <w:rFonts w:ascii="Times New Roman" w:hAnsi="Times New Roman"/>
          <w:szCs w:val="20"/>
        </w:rPr>
        <w:t>.</w:t>
      </w:r>
    </w:p>
    <w:p w14:paraId="45C6BD25" w14:textId="77777777" w:rsidR="00765E37" w:rsidRPr="00E16672" w:rsidRDefault="00765E37" w:rsidP="00765E37">
      <w:pPr>
        <w:tabs>
          <w:tab w:val="left" w:pos="360"/>
        </w:tabs>
        <w:ind w:left="-14" w:firstLine="581"/>
        <w:rPr>
          <w:rStyle w:val="rvts0"/>
          <w:rFonts w:ascii="Times New Roman" w:hAnsi="Times New Roman"/>
          <w:color w:val="000000"/>
          <w:szCs w:val="20"/>
          <w:lang w:val="uk-UA"/>
        </w:rPr>
      </w:pPr>
      <w:r w:rsidRPr="00E16672">
        <w:rPr>
          <w:rStyle w:val="rvts0"/>
          <w:rFonts w:ascii="Times New Roman" w:hAnsi="Times New Roman"/>
          <w:color w:val="000000"/>
          <w:szCs w:val="20"/>
          <w:lang w:val="uk-UA"/>
        </w:rPr>
        <w:t xml:space="preserve">Ідентифікація клієнта не є обов’язковою у разі проведення фінансової операції (відкриття рахунку) особами, які раніше були ідентифіковані або </w:t>
      </w:r>
      <w:proofErr w:type="spellStart"/>
      <w:r w:rsidRPr="00E16672">
        <w:rPr>
          <w:rStyle w:val="rvts0"/>
          <w:rFonts w:ascii="Times New Roman" w:hAnsi="Times New Roman"/>
          <w:color w:val="000000"/>
          <w:szCs w:val="20"/>
          <w:lang w:val="uk-UA"/>
        </w:rPr>
        <w:t>верифіковані</w:t>
      </w:r>
      <w:proofErr w:type="spellEnd"/>
      <w:r w:rsidRPr="00E16672">
        <w:rPr>
          <w:rStyle w:val="rvts0"/>
          <w:rFonts w:ascii="Times New Roman" w:hAnsi="Times New Roman"/>
          <w:color w:val="000000"/>
          <w:szCs w:val="20"/>
          <w:lang w:val="uk-UA"/>
        </w:rPr>
        <w:t xml:space="preserve"> Депозитарною установою згідно з вимогами закону.</w:t>
      </w:r>
    </w:p>
    <w:p w14:paraId="74530E6D" w14:textId="77777777" w:rsidR="00765E37" w:rsidRPr="00E16672" w:rsidRDefault="00765E37" w:rsidP="00765E37">
      <w:pPr>
        <w:pStyle w:val="western"/>
        <w:spacing w:before="0" w:after="0"/>
        <w:ind w:firstLine="561"/>
        <w:jc w:val="both"/>
        <w:rPr>
          <w:rFonts w:ascii="Times New Roman" w:hAnsi="Times New Roman"/>
          <w:b w:val="0"/>
          <w:bCs w:val="0"/>
          <w:color w:val="000000"/>
          <w:szCs w:val="20"/>
        </w:rPr>
      </w:pPr>
      <w:r w:rsidRPr="00E16672">
        <w:rPr>
          <w:rFonts w:ascii="Times New Roman" w:hAnsi="Times New Roman"/>
          <w:b w:val="0"/>
          <w:bCs w:val="0"/>
          <w:color w:val="000000"/>
          <w:szCs w:val="20"/>
        </w:rPr>
        <w:t>2.1.</w:t>
      </w:r>
      <w:r w:rsidRPr="00E16672">
        <w:rPr>
          <w:rFonts w:ascii="Times New Roman" w:hAnsi="Times New Roman"/>
          <w:b w:val="0"/>
          <w:bCs w:val="0"/>
          <w:color w:val="000000"/>
          <w:szCs w:val="20"/>
          <w:lang w:val="uk-UA"/>
        </w:rPr>
        <w:t>19</w:t>
      </w:r>
      <w:r w:rsidRPr="00E16672">
        <w:rPr>
          <w:rFonts w:ascii="Times New Roman" w:hAnsi="Times New Roman"/>
          <w:b w:val="0"/>
          <w:bCs w:val="0"/>
          <w:color w:val="000000"/>
          <w:szCs w:val="20"/>
        </w:rPr>
        <w:t xml:space="preserve">. </w:t>
      </w:r>
      <w:proofErr w:type="spellStart"/>
      <w:r w:rsidRPr="00E16672">
        <w:rPr>
          <w:rFonts w:ascii="Times New Roman" w:hAnsi="Times New Roman"/>
          <w:b w:val="0"/>
          <w:bCs w:val="0"/>
          <w:color w:val="000000"/>
          <w:szCs w:val="20"/>
        </w:rPr>
        <w:t>Складати</w:t>
      </w:r>
      <w:proofErr w:type="spellEnd"/>
      <w:r w:rsidRPr="00E16672">
        <w:rPr>
          <w:rFonts w:ascii="Times New Roman" w:hAnsi="Times New Roman"/>
          <w:b w:val="0"/>
          <w:bCs w:val="0"/>
          <w:color w:val="000000"/>
          <w:szCs w:val="20"/>
        </w:rPr>
        <w:t xml:space="preserve"> акт </w:t>
      </w:r>
      <w:proofErr w:type="spellStart"/>
      <w:r w:rsidRPr="00E16672">
        <w:rPr>
          <w:rFonts w:ascii="Times New Roman" w:hAnsi="Times New Roman"/>
          <w:b w:val="0"/>
          <w:bCs w:val="0"/>
          <w:color w:val="000000"/>
          <w:szCs w:val="20"/>
        </w:rPr>
        <w:t>приймання-передавання</w:t>
      </w:r>
      <w:proofErr w:type="spellEnd"/>
      <w:r w:rsidRPr="00E16672">
        <w:rPr>
          <w:rFonts w:ascii="Times New Roman" w:hAnsi="Times New Roman"/>
          <w:b w:val="0"/>
          <w:bCs w:val="0"/>
          <w:color w:val="000000"/>
          <w:szCs w:val="20"/>
        </w:rPr>
        <w:t xml:space="preserve"> </w:t>
      </w:r>
      <w:proofErr w:type="spellStart"/>
      <w:r w:rsidRPr="00E16672">
        <w:rPr>
          <w:rFonts w:ascii="Times New Roman" w:hAnsi="Times New Roman"/>
          <w:b w:val="0"/>
          <w:bCs w:val="0"/>
          <w:color w:val="000000"/>
          <w:szCs w:val="20"/>
        </w:rPr>
        <w:t>документів</w:t>
      </w:r>
      <w:proofErr w:type="spellEnd"/>
      <w:r w:rsidRPr="00E16672">
        <w:rPr>
          <w:rFonts w:ascii="Times New Roman" w:hAnsi="Times New Roman"/>
          <w:b w:val="0"/>
          <w:bCs w:val="0"/>
          <w:color w:val="000000"/>
          <w:szCs w:val="20"/>
        </w:rPr>
        <w:t xml:space="preserve">, </w:t>
      </w:r>
      <w:proofErr w:type="spellStart"/>
      <w:r w:rsidRPr="00E16672">
        <w:rPr>
          <w:rFonts w:ascii="Times New Roman" w:hAnsi="Times New Roman"/>
          <w:b w:val="0"/>
          <w:bCs w:val="0"/>
          <w:color w:val="000000"/>
          <w:szCs w:val="20"/>
        </w:rPr>
        <w:t>що</w:t>
      </w:r>
      <w:proofErr w:type="spellEnd"/>
      <w:r w:rsidRPr="00E16672">
        <w:rPr>
          <w:rFonts w:ascii="Times New Roman" w:hAnsi="Times New Roman"/>
          <w:b w:val="0"/>
          <w:bCs w:val="0"/>
          <w:color w:val="000000"/>
          <w:szCs w:val="20"/>
        </w:rPr>
        <w:t xml:space="preserve"> </w:t>
      </w:r>
      <w:proofErr w:type="spellStart"/>
      <w:r w:rsidRPr="00E16672">
        <w:rPr>
          <w:rFonts w:ascii="Times New Roman" w:hAnsi="Times New Roman"/>
          <w:b w:val="0"/>
          <w:bCs w:val="0"/>
          <w:color w:val="000000"/>
          <w:szCs w:val="20"/>
        </w:rPr>
        <w:t>були</w:t>
      </w:r>
      <w:proofErr w:type="spellEnd"/>
      <w:r w:rsidRPr="00E16672">
        <w:rPr>
          <w:rFonts w:ascii="Times New Roman" w:hAnsi="Times New Roman"/>
          <w:b w:val="0"/>
          <w:bCs w:val="0"/>
          <w:color w:val="000000"/>
          <w:szCs w:val="20"/>
        </w:rPr>
        <w:t xml:space="preserve"> </w:t>
      </w:r>
      <w:proofErr w:type="spellStart"/>
      <w:r w:rsidRPr="00E16672">
        <w:rPr>
          <w:rFonts w:ascii="Times New Roman" w:hAnsi="Times New Roman"/>
          <w:b w:val="0"/>
          <w:bCs w:val="0"/>
          <w:color w:val="000000"/>
          <w:szCs w:val="20"/>
        </w:rPr>
        <w:t>підставою</w:t>
      </w:r>
      <w:proofErr w:type="spellEnd"/>
      <w:r w:rsidRPr="00E16672">
        <w:rPr>
          <w:rFonts w:ascii="Times New Roman" w:hAnsi="Times New Roman"/>
          <w:b w:val="0"/>
          <w:bCs w:val="0"/>
          <w:color w:val="000000"/>
          <w:szCs w:val="20"/>
        </w:rPr>
        <w:t xml:space="preserve"> для </w:t>
      </w:r>
      <w:proofErr w:type="spellStart"/>
      <w:r w:rsidRPr="00E16672">
        <w:rPr>
          <w:rFonts w:ascii="Times New Roman" w:hAnsi="Times New Roman"/>
          <w:b w:val="0"/>
          <w:bCs w:val="0"/>
          <w:color w:val="000000"/>
          <w:szCs w:val="20"/>
        </w:rPr>
        <w:t>встановлення</w:t>
      </w:r>
      <w:proofErr w:type="spellEnd"/>
      <w:r w:rsidRPr="00E16672">
        <w:rPr>
          <w:rFonts w:ascii="Times New Roman" w:hAnsi="Times New Roman"/>
          <w:b w:val="0"/>
          <w:bCs w:val="0"/>
          <w:color w:val="000000"/>
          <w:szCs w:val="20"/>
        </w:rPr>
        <w:t xml:space="preserve"> </w:t>
      </w:r>
      <w:proofErr w:type="spellStart"/>
      <w:r w:rsidRPr="00E16672">
        <w:rPr>
          <w:rFonts w:ascii="Times New Roman" w:hAnsi="Times New Roman"/>
          <w:b w:val="0"/>
          <w:bCs w:val="0"/>
          <w:color w:val="000000"/>
          <w:szCs w:val="20"/>
        </w:rPr>
        <w:t>обмежень</w:t>
      </w:r>
      <w:proofErr w:type="spellEnd"/>
      <w:r w:rsidRPr="00E16672">
        <w:rPr>
          <w:rFonts w:ascii="Times New Roman" w:hAnsi="Times New Roman"/>
          <w:b w:val="0"/>
          <w:bCs w:val="0"/>
          <w:color w:val="000000"/>
          <w:szCs w:val="20"/>
        </w:rPr>
        <w:t xml:space="preserve"> </w:t>
      </w:r>
      <w:proofErr w:type="spellStart"/>
      <w:r w:rsidRPr="00E16672">
        <w:rPr>
          <w:rFonts w:ascii="Times New Roman" w:hAnsi="Times New Roman"/>
          <w:b w:val="0"/>
          <w:bCs w:val="0"/>
          <w:color w:val="000000"/>
          <w:szCs w:val="20"/>
        </w:rPr>
        <w:t>цінних</w:t>
      </w:r>
      <w:proofErr w:type="spellEnd"/>
      <w:r w:rsidRPr="00E16672">
        <w:rPr>
          <w:rFonts w:ascii="Times New Roman" w:hAnsi="Times New Roman"/>
          <w:b w:val="0"/>
          <w:bCs w:val="0"/>
          <w:color w:val="000000"/>
          <w:szCs w:val="20"/>
        </w:rPr>
        <w:t xml:space="preserve"> </w:t>
      </w:r>
      <w:proofErr w:type="spellStart"/>
      <w:r w:rsidRPr="00E16672">
        <w:rPr>
          <w:rFonts w:ascii="Times New Roman" w:hAnsi="Times New Roman"/>
          <w:b w:val="0"/>
          <w:bCs w:val="0"/>
          <w:color w:val="000000"/>
          <w:szCs w:val="20"/>
        </w:rPr>
        <w:t>паперів</w:t>
      </w:r>
      <w:proofErr w:type="spellEnd"/>
      <w:r w:rsidRPr="00E16672">
        <w:rPr>
          <w:rFonts w:ascii="Times New Roman" w:hAnsi="Times New Roman"/>
          <w:b w:val="0"/>
          <w:bCs w:val="0"/>
          <w:color w:val="000000"/>
          <w:szCs w:val="20"/>
        </w:rPr>
        <w:t xml:space="preserve"> в </w:t>
      </w:r>
      <w:proofErr w:type="spellStart"/>
      <w:r w:rsidRPr="00E16672">
        <w:rPr>
          <w:rFonts w:ascii="Times New Roman" w:hAnsi="Times New Roman"/>
          <w:b w:val="0"/>
          <w:bCs w:val="0"/>
          <w:color w:val="000000"/>
          <w:szCs w:val="20"/>
        </w:rPr>
        <w:t>обігу</w:t>
      </w:r>
      <w:proofErr w:type="spellEnd"/>
      <w:r w:rsidRPr="00E16672">
        <w:rPr>
          <w:rFonts w:ascii="Times New Roman" w:hAnsi="Times New Roman"/>
          <w:b w:val="0"/>
          <w:bCs w:val="0"/>
          <w:color w:val="000000"/>
          <w:szCs w:val="20"/>
        </w:rPr>
        <w:t xml:space="preserve"> по </w:t>
      </w:r>
      <w:proofErr w:type="spellStart"/>
      <w:r w:rsidRPr="00E16672">
        <w:rPr>
          <w:rFonts w:ascii="Times New Roman" w:hAnsi="Times New Roman"/>
          <w:b w:val="0"/>
          <w:bCs w:val="0"/>
          <w:color w:val="000000"/>
          <w:szCs w:val="20"/>
        </w:rPr>
        <w:t>рахунку</w:t>
      </w:r>
      <w:proofErr w:type="spellEnd"/>
      <w:r w:rsidRPr="00E16672">
        <w:rPr>
          <w:rFonts w:ascii="Times New Roman" w:hAnsi="Times New Roman"/>
          <w:b w:val="0"/>
          <w:bCs w:val="0"/>
          <w:color w:val="000000"/>
          <w:szCs w:val="20"/>
        </w:rPr>
        <w:t xml:space="preserve"> </w:t>
      </w:r>
      <w:r w:rsidR="00C22309" w:rsidRPr="00E16672">
        <w:rPr>
          <w:rFonts w:ascii="Times New Roman" w:hAnsi="Times New Roman"/>
          <w:b w:val="0"/>
          <w:bCs w:val="0"/>
          <w:color w:val="000000"/>
          <w:szCs w:val="20"/>
        </w:rPr>
        <w:t xml:space="preserve">в </w:t>
      </w:r>
      <w:proofErr w:type="spellStart"/>
      <w:r w:rsidR="00C22309" w:rsidRPr="00E16672">
        <w:rPr>
          <w:rFonts w:ascii="Times New Roman" w:hAnsi="Times New Roman"/>
          <w:b w:val="0"/>
          <w:bCs w:val="0"/>
          <w:color w:val="000000"/>
          <w:szCs w:val="20"/>
        </w:rPr>
        <w:t>цін</w:t>
      </w:r>
      <w:r w:rsidRPr="00E16672">
        <w:rPr>
          <w:rFonts w:ascii="Times New Roman" w:hAnsi="Times New Roman"/>
          <w:b w:val="0"/>
          <w:bCs w:val="0"/>
          <w:color w:val="000000"/>
          <w:szCs w:val="20"/>
        </w:rPr>
        <w:t>них</w:t>
      </w:r>
      <w:proofErr w:type="spellEnd"/>
      <w:r w:rsidRPr="00E16672">
        <w:rPr>
          <w:rFonts w:ascii="Times New Roman" w:hAnsi="Times New Roman"/>
          <w:b w:val="0"/>
          <w:bCs w:val="0"/>
          <w:color w:val="000000"/>
          <w:szCs w:val="20"/>
        </w:rPr>
        <w:t xml:space="preserve"> </w:t>
      </w:r>
      <w:proofErr w:type="spellStart"/>
      <w:r w:rsidRPr="00E16672">
        <w:rPr>
          <w:rFonts w:ascii="Times New Roman" w:hAnsi="Times New Roman"/>
          <w:b w:val="0"/>
          <w:bCs w:val="0"/>
          <w:color w:val="000000"/>
          <w:szCs w:val="20"/>
        </w:rPr>
        <w:t>паперах</w:t>
      </w:r>
      <w:proofErr w:type="spellEnd"/>
      <w:r w:rsidRPr="00E16672">
        <w:rPr>
          <w:rFonts w:ascii="Times New Roman" w:hAnsi="Times New Roman"/>
          <w:b w:val="0"/>
          <w:bCs w:val="0"/>
          <w:color w:val="000000"/>
          <w:szCs w:val="20"/>
        </w:rPr>
        <w:t xml:space="preserve"> Депонента, з </w:t>
      </w:r>
      <w:proofErr w:type="spellStart"/>
      <w:r w:rsidRPr="00E16672">
        <w:rPr>
          <w:rFonts w:ascii="Times New Roman" w:hAnsi="Times New Roman"/>
          <w:b w:val="0"/>
          <w:bCs w:val="0"/>
          <w:color w:val="000000"/>
          <w:szCs w:val="20"/>
        </w:rPr>
        <w:t>якого</w:t>
      </w:r>
      <w:proofErr w:type="spellEnd"/>
      <w:r w:rsidRPr="00E16672">
        <w:rPr>
          <w:rFonts w:ascii="Times New Roman" w:hAnsi="Times New Roman"/>
          <w:b w:val="0"/>
          <w:bCs w:val="0"/>
          <w:color w:val="000000"/>
          <w:szCs w:val="20"/>
        </w:rPr>
        <w:t xml:space="preserve"> </w:t>
      </w:r>
      <w:proofErr w:type="spellStart"/>
      <w:r w:rsidRPr="00E16672">
        <w:rPr>
          <w:rFonts w:ascii="Times New Roman" w:hAnsi="Times New Roman"/>
          <w:b w:val="0"/>
          <w:bCs w:val="0"/>
          <w:color w:val="000000"/>
          <w:szCs w:val="20"/>
        </w:rPr>
        <w:t>підлягають</w:t>
      </w:r>
      <w:proofErr w:type="spellEnd"/>
      <w:r w:rsidRPr="00E16672">
        <w:rPr>
          <w:rFonts w:ascii="Times New Roman" w:hAnsi="Times New Roman"/>
          <w:b w:val="0"/>
          <w:bCs w:val="0"/>
          <w:color w:val="000000"/>
          <w:szCs w:val="20"/>
        </w:rPr>
        <w:t xml:space="preserve"> </w:t>
      </w:r>
      <w:proofErr w:type="spellStart"/>
      <w:r w:rsidRPr="00E16672">
        <w:rPr>
          <w:rFonts w:ascii="Times New Roman" w:hAnsi="Times New Roman"/>
          <w:b w:val="0"/>
          <w:bCs w:val="0"/>
          <w:color w:val="000000"/>
          <w:szCs w:val="20"/>
        </w:rPr>
        <w:t>списанню</w:t>
      </w:r>
      <w:proofErr w:type="spellEnd"/>
      <w:r w:rsidRPr="00E16672">
        <w:rPr>
          <w:rFonts w:ascii="Times New Roman" w:hAnsi="Times New Roman"/>
          <w:b w:val="0"/>
          <w:bCs w:val="0"/>
          <w:color w:val="000000"/>
          <w:szCs w:val="20"/>
        </w:rPr>
        <w:t xml:space="preserve"> права на </w:t>
      </w:r>
      <w:proofErr w:type="spellStart"/>
      <w:r w:rsidRPr="00E16672">
        <w:rPr>
          <w:rFonts w:ascii="Times New Roman" w:hAnsi="Times New Roman"/>
          <w:b w:val="0"/>
          <w:bCs w:val="0"/>
          <w:color w:val="000000"/>
          <w:szCs w:val="20"/>
        </w:rPr>
        <w:t>цінні</w:t>
      </w:r>
      <w:proofErr w:type="spellEnd"/>
      <w:r w:rsidRPr="00E16672">
        <w:rPr>
          <w:rFonts w:ascii="Times New Roman" w:hAnsi="Times New Roman"/>
          <w:b w:val="0"/>
          <w:bCs w:val="0"/>
          <w:color w:val="000000"/>
          <w:szCs w:val="20"/>
        </w:rPr>
        <w:t xml:space="preserve"> </w:t>
      </w:r>
      <w:proofErr w:type="spellStart"/>
      <w:r w:rsidRPr="00E16672">
        <w:rPr>
          <w:rFonts w:ascii="Times New Roman" w:hAnsi="Times New Roman"/>
          <w:b w:val="0"/>
          <w:bCs w:val="0"/>
          <w:color w:val="000000"/>
          <w:szCs w:val="20"/>
        </w:rPr>
        <w:t>папери</w:t>
      </w:r>
      <w:proofErr w:type="spellEnd"/>
      <w:r w:rsidRPr="00E16672">
        <w:rPr>
          <w:rFonts w:ascii="Times New Roman" w:hAnsi="Times New Roman"/>
          <w:b w:val="0"/>
          <w:bCs w:val="0"/>
          <w:color w:val="000000"/>
          <w:szCs w:val="20"/>
        </w:rPr>
        <w:t xml:space="preserve">, </w:t>
      </w:r>
      <w:proofErr w:type="spellStart"/>
      <w:r w:rsidRPr="00E16672">
        <w:rPr>
          <w:rFonts w:ascii="Times New Roman" w:hAnsi="Times New Roman"/>
          <w:b w:val="0"/>
          <w:bCs w:val="0"/>
          <w:color w:val="000000"/>
          <w:szCs w:val="20"/>
        </w:rPr>
        <w:t>що</w:t>
      </w:r>
      <w:proofErr w:type="spellEnd"/>
      <w:r w:rsidRPr="00E16672">
        <w:rPr>
          <w:rFonts w:ascii="Times New Roman" w:hAnsi="Times New Roman"/>
          <w:b w:val="0"/>
          <w:bCs w:val="0"/>
          <w:color w:val="000000"/>
          <w:szCs w:val="20"/>
        </w:rPr>
        <w:t xml:space="preserve"> </w:t>
      </w:r>
      <w:proofErr w:type="spellStart"/>
      <w:r w:rsidRPr="00E16672">
        <w:rPr>
          <w:rFonts w:ascii="Times New Roman" w:hAnsi="Times New Roman"/>
          <w:b w:val="0"/>
          <w:bCs w:val="0"/>
          <w:color w:val="000000"/>
          <w:szCs w:val="20"/>
        </w:rPr>
        <w:t>обмежені</w:t>
      </w:r>
      <w:proofErr w:type="spellEnd"/>
      <w:r w:rsidRPr="00E16672">
        <w:rPr>
          <w:rFonts w:ascii="Times New Roman" w:hAnsi="Times New Roman"/>
          <w:b w:val="0"/>
          <w:bCs w:val="0"/>
          <w:color w:val="000000"/>
          <w:szCs w:val="20"/>
        </w:rPr>
        <w:t xml:space="preserve"> в </w:t>
      </w:r>
      <w:proofErr w:type="spellStart"/>
      <w:r w:rsidRPr="00E16672">
        <w:rPr>
          <w:rFonts w:ascii="Times New Roman" w:hAnsi="Times New Roman"/>
          <w:b w:val="0"/>
          <w:bCs w:val="0"/>
          <w:color w:val="000000"/>
          <w:szCs w:val="20"/>
        </w:rPr>
        <w:t>обігу</w:t>
      </w:r>
      <w:proofErr w:type="spellEnd"/>
      <w:r w:rsidRPr="00E16672">
        <w:rPr>
          <w:rFonts w:ascii="Times New Roman" w:hAnsi="Times New Roman"/>
          <w:b w:val="0"/>
          <w:bCs w:val="0"/>
          <w:color w:val="000000"/>
          <w:szCs w:val="20"/>
        </w:rPr>
        <w:t>.</w:t>
      </w:r>
    </w:p>
    <w:p w14:paraId="315D7192" w14:textId="77777777" w:rsidR="00765E37" w:rsidRPr="00E16672" w:rsidRDefault="00765E37" w:rsidP="00022F5F">
      <w:pPr>
        <w:pStyle w:val="western"/>
        <w:spacing w:before="0" w:after="0"/>
        <w:ind w:firstLine="539"/>
        <w:jc w:val="left"/>
        <w:rPr>
          <w:rFonts w:ascii="Times New Roman" w:hAnsi="Times New Roman"/>
          <w:b w:val="0"/>
          <w:bCs w:val="0"/>
          <w:color w:val="000000"/>
          <w:szCs w:val="20"/>
        </w:rPr>
      </w:pPr>
      <w:r w:rsidRPr="00E16672">
        <w:rPr>
          <w:rFonts w:ascii="Times New Roman" w:hAnsi="Times New Roman"/>
          <w:b w:val="0"/>
          <w:bCs w:val="0"/>
          <w:color w:val="000000"/>
          <w:szCs w:val="20"/>
        </w:rPr>
        <w:t>2.1.2</w:t>
      </w:r>
      <w:r w:rsidRPr="00E16672">
        <w:rPr>
          <w:rFonts w:ascii="Times New Roman" w:hAnsi="Times New Roman"/>
          <w:b w:val="0"/>
          <w:bCs w:val="0"/>
          <w:color w:val="000000"/>
          <w:szCs w:val="20"/>
          <w:lang w:val="uk-UA"/>
        </w:rPr>
        <w:t>0</w:t>
      </w:r>
      <w:r w:rsidRPr="00E16672">
        <w:rPr>
          <w:rFonts w:ascii="Times New Roman" w:hAnsi="Times New Roman"/>
          <w:b w:val="0"/>
          <w:bCs w:val="0"/>
          <w:color w:val="000000"/>
          <w:szCs w:val="20"/>
        </w:rPr>
        <w:t xml:space="preserve">. </w:t>
      </w:r>
      <w:proofErr w:type="spellStart"/>
      <w:r w:rsidR="00D960B4" w:rsidRPr="00E16672">
        <w:rPr>
          <w:rFonts w:ascii="Times New Roman" w:hAnsi="Times New Roman"/>
          <w:b w:val="0"/>
          <w:bCs w:val="0"/>
          <w:szCs w:val="20"/>
        </w:rPr>
        <w:t>Розкривати</w:t>
      </w:r>
      <w:proofErr w:type="spellEnd"/>
      <w:r w:rsidR="00D960B4" w:rsidRPr="00E16672">
        <w:rPr>
          <w:rFonts w:ascii="Times New Roman" w:hAnsi="Times New Roman"/>
          <w:b w:val="0"/>
          <w:bCs w:val="0"/>
          <w:szCs w:val="20"/>
        </w:rPr>
        <w:t xml:space="preserve"> депоненту </w:t>
      </w:r>
      <w:proofErr w:type="spellStart"/>
      <w:r w:rsidR="00D960B4" w:rsidRPr="00E16672">
        <w:rPr>
          <w:rFonts w:ascii="Times New Roman" w:hAnsi="Times New Roman"/>
          <w:b w:val="0"/>
          <w:bCs w:val="0"/>
          <w:szCs w:val="20"/>
        </w:rPr>
        <w:t>інформацію</w:t>
      </w:r>
      <w:proofErr w:type="spellEnd"/>
      <w:r w:rsidR="00D960B4" w:rsidRPr="00E16672">
        <w:rPr>
          <w:rFonts w:ascii="Times New Roman" w:hAnsi="Times New Roman"/>
          <w:b w:val="0"/>
          <w:bCs w:val="0"/>
          <w:szCs w:val="20"/>
        </w:rPr>
        <w:t xml:space="preserve"> про </w:t>
      </w:r>
      <w:proofErr w:type="spellStart"/>
      <w:r w:rsidR="00D960B4" w:rsidRPr="00E16672">
        <w:rPr>
          <w:rFonts w:ascii="Times New Roman" w:hAnsi="Times New Roman"/>
          <w:b w:val="0"/>
          <w:bCs w:val="0"/>
          <w:szCs w:val="20"/>
        </w:rPr>
        <w:t>умови</w:t>
      </w:r>
      <w:proofErr w:type="spellEnd"/>
      <w:r w:rsidR="00D960B4" w:rsidRPr="00E16672">
        <w:rPr>
          <w:rFonts w:ascii="Times New Roman" w:hAnsi="Times New Roman"/>
          <w:b w:val="0"/>
          <w:bCs w:val="0"/>
          <w:szCs w:val="20"/>
        </w:rPr>
        <w:t xml:space="preserve"> та порядок </w:t>
      </w:r>
      <w:proofErr w:type="spellStart"/>
      <w:r w:rsidR="00D960B4" w:rsidRPr="00E16672">
        <w:rPr>
          <w:rFonts w:ascii="Times New Roman" w:hAnsi="Times New Roman"/>
          <w:b w:val="0"/>
          <w:bCs w:val="0"/>
          <w:szCs w:val="20"/>
        </w:rPr>
        <w:t>діяльності</w:t>
      </w:r>
      <w:proofErr w:type="spellEnd"/>
      <w:r w:rsidR="00D960B4" w:rsidRPr="00E16672">
        <w:rPr>
          <w:rFonts w:ascii="Times New Roman" w:hAnsi="Times New Roman"/>
          <w:b w:val="0"/>
          <w:bCs w:val="0"/>
          <w:szCs w:val="20"/>
        </w:rPr>
        <w:t xml:space="preserve"> </w:t>
      </w:r>
      <w:proofErr w:type="spellStart"/>
      <w:r w:rsidR="00D960B4" w:rsidRPr="00E16672">
        <w:rPr>
          <w:rFonts w:ascii="Times New Roman" w:hAnsi="Times New Roman"/>
          <w:b w:val="0"/>
          <w:bCs w:val="0"/>
          <w:szCs w:val="20"/>
        </w:rPr>
        <w:t>депозитарної</w:t>
      </w:r>
      <w:proofErr w:type="spellEnd"/>
      <w:r w:rsidR="00D960B4" w:rsidRPr="00E16672">
        <w:rPr>
          <w:rFonts w:ascii="Times New Roman" w:hAnsi="Times New Roman"/>
          <w:b w:val="0"/>
          <w:bCs w:val="0"/>
          <w:szCs w:val="20"/>
        </w:rPr>
        <w:t xml:space="preserve"> установи з </w:t>
      </w:r>
      <w:proofErr w:type="spellStart"/>
      <w:r w:rsidR="00D960B4" w:rsidRPr="00E16672">
        <w:rPr>
          <w:rFonts w:ascii="Times New Roman" w:hAnsi="Times New Roman"/>
          <w:b w:val="0"/>
          <w:bCs w:val="0"/>
          <w:szCs w:val="20"/>
        </w:rPr>
        <w:t>урахуванням</w:t>
      </w:r>
      <w:proofErr w:type="spellEnd"/>
      <w:r w:rsidR="00D960B4" w:rsidRPr="00E16672">
        <w:rPr>
          <w:rFonts w:ascii="Times New Roman" w:hAnsi="Times New Roman"/>
          <w:b w:val="0"/>
          <w:bCs w:val="0"/>
          <w:szCs w:val="20"/>
        </w:rPr>
        <w:t xml:space="preserve"> </w:t>
      </w:r>
      <w:proofErr w:type="spellStart"/>
      <w:r w:rsidR="00D960B4" w:rsidRPr="00E16672">
        <w:rPr>
          <w:rFonts w:ascii="Times New Roman" w:hAnsi="Times New Roman"/>
          <w:b w:val="0"/>
          <w:bCs w:val="0"/>
          <w:szCs w:val="20"/>
        </w:rPr>
        <w:t>вимог</w:t>
      </w:r>
      <w:proofErr w:type="spellEnd"/>
      <w:r w:rsidR="00D960B4" w:rsidRPr="00E16672">
        <w:rPr>
          <w:rFonts w:ascii="Times New Roman" w:hAnsi="Times New Roman"/>
          <w:b w:val="0"/>
          <w:bCs w:val="0"/>
          <w:szCs w:val="20"/>
        </w:rPr>
        <w:t xml:space="preserve">, </w:t>
      </w:r>
      <w:proofErr w:type="spellStart"/>
      <w:r w:rsidR="00D960B4" w:rsidRPr="00E16672">
        <w:rPr>
          <w:rFonts w:ascii="Times New Roman" w:hAnsi="Times New Roman"/>
          <w:b w:val="0"/>
          <w:bCs w:val="0"/>
          <w:szCs w:val="20"/>
        </w:rPr>
        <w:t>встановлених</w:t>
      </w:r>
      <w:proofErr w:type="spellEnd"/>
      <w:r w:rsidR="00D960B4" w:rsidRPr="00E16672">
        <w:rPr>
          <w:rFonts w:ascii="Times New Roman" w:hAnsi="Times New Roman"/>
          <w:b w:val="0"/>
          <w:bCs w:val="0"/>
          <w:szCs w:val="20"/>
        </w:rPr>
        <w:t> </w:t>
      </w:r>
      <w:proofErr w:type="spellStart"/>
      <w:r w:rsidR="00D960B4" w:rsidRPr="00E16672">
        <w:rPr>
          <w:rFonts w:ascii="Times New Roman" w:hAnsi="Times New Roman"/>
          <w:b w:val="0"/>
          <w:bCs w:val="0"/>
          <w:szCs w:val="20"/>
        </w:rPr>
        <w:t>частиною</w:t>
      </w:r>
      <w:proofErr w:type="spellEnd"/>
      <w:r w:rsidR="00D960B4" w:rsidRPr="00E16672">
        <w:rPr>
          <w:rFonts w:ascii="Times New Roman" w:hAnsi="Times New Roman"/>
          <w:b w:val="0"/>
          <w:bCs w:val="0"/>
          <w:szCs w:val="20"/>
        </w:rPr>
        <w:t xml:space="preserve"> </w:t>
      </w:r>
      <w:proofErr w:type="spellStart"/>
      <w:r w:rsidR="00D960B4" w:rsidRPr="00E16672">
        <w:rPr>
          <w:rFonts w:ascii="Times New Roman" w:hAnsi="Times New Roman"/>
          <w:b w:val="0"/>
          <w:bCs w:val="0"/>
          <w:szCs w:val="20"/>
        </w:rPr>
        <w:t>першою</w:t>
      </w:r>
      <w:proofErr w:type="spellEnd"/>
      <w:r w:rsidR="00D960B4" w:rsidRPr="00E16672">
        <w:rPr>
          <w:rFonts w:ascii="Times New Roman" w:hAnsi="Times New Roman"/>
          <w:b w:val="0"/>
          <w:bCs w:val="0"/>
          <w:szCs w:val="20"/>
        </w:rPr>
        <w:t xml:space="preserve"> </w:t>
      </w:r>
      <w:proofErr w:type="spellStart"/>
      <w:r w:rsidR="00D960B4" w:rsidRPr="00E16672">
        <w:rPr>
          <w:rFonts w:ascii="Times New Roman" w:hAnsi="Times New Roman"/>
          <w:b w:val="0"/>
          <w:bCs w:val="0"/>
          <w:szCs w:val="20"/>
        </w:rPr>
        <w:t>статті</w:t>
      </w:r>
      <w:proofErr w:type="spellEnd"/>
      <w:r w:rsidR="00D960B4" w:rsidRPr="00E16672">
        <w:rPr>
          <w:rFonts w:ascii="Times New Roman" w:hAnsi="Times New Roman"/>
          <w:b w:val="0"/>
          <w:bCs w:val="0"/>
          <w:szCs w:val="20"/>
        </w:rPr>
        <w:t xml:space="preserve"> 12 Закону </w:t>
      </w:r>
      <w:proofErr w:type="spellStart"/>
      <w:r w:rsidR="00D960B4" w:rsidRPr="00E16672">
        <w:rPr>
          <w:rFonts w:ascii="Times New Roman" w:hAnsi="Times New Roman"/>
          <w:b w:val="0"/>
          <w:bCs w:val="0"/>
          <w:szCs w:val="20"/>
        </w:rPr>
        <w:t>України</w:t>
      </w:r>
      <w:proofErr w:type="spellEnd"/>
      <w:r w:rsidR="00D960B4" w:rsidRPr="00E16672">
        <w:rPr>
          <w:rFonts w:ascii="Times New Roman" w:hAnsi="Times New Roman"/>
          <w:b w:val="0"/>
          <w:bCs w:val="0"/>
          <w:szCs w:val="20"/>
        </w:rPr>
        <w:t xml:space="preserve"> </w:t>
      </w:r>
      <w:r w:rsidR="00022F5F">
        <w:rPr>
          <w:rFonts w:ascii="Times New Roman" w:hAnsi="Times New Roman"/>
          <w:b w:val="0"/>
          <w:bCs w:val="0"/>
          <w:szCs w:val="20"/>
        </w:rPr>
        <w:t>"</w:t>
      </w:r>
      <w:r w:rsidR="00D960B4" w:rsidRPr="00E16672">
        <w:rPr>
          <w:rFonts w:ascii="Times New Roman" w:hAnsi="Times New Roman"/>
          <w:b w:val="0"/>
          <w:bCs w:val="0"/>
          <w:szCs w:val="20"/>
        </w:rPr>
        <w:t xml:space="preserve">Про </w:t>
      </w:r>
      <w:proofErr w:type="spellStart"/>
      <w:r w:rsidR="00D960B4" w:rsidRPr="00E16672">
        <w:rPr>
          <w:rFonts w:ascii="Times New Roman" w:hAnsi="Times New Roman"/>
          <w:b w:val="0"/>
          <w:bCs w:val="0"/>
          <w:szCs w:val="20"/>
        </w:rPr>
        <w:t>фінансові</w:t>
      </w:r>
      <w:proofErr w:type="spellEnd"/>
      <w:r w:rsidR="00D960B4" w:rsidRPr="00E16672">
        <w:rPr>
          <w:rFonts w:ascii="Times New Roman" w:hAnsi="Times New Roman"/>
          <w:b w:val="0"/>
          <w:bCs w:val="0"/>
          <w:szCs w:val="20"/>
        </w:rPr>
        <w:t xml:space="preserve"> </w:t>
      </w:r>
      <w:proofErr w:type="spellStart"/>
      <w:r w:rsidR="00D960B4" w:rsidRPr="00E16672">
        <w:rPr>
          <w:rFonts w:ascii="Times New Roman" w:hAnsi="Times New Roman"/>
          <w:b w:val="0"/>
          <w:bCs w:val="0"/>
          <w:szCs w:val="20"/>
        </w:rPr>
        <w:t>послуги</w:t>
      </w:r>
      <w:proofErr w:type="spellEnd"/>
      <w:r w:rsidR="00D960B4" w:rsidRPr="00E16672">
        <w:rPr>
          <w:rFonts w:ascii="Times New Roman" w:hAnsi="Times New Roman"/>
          <w:b w:val="0"/>
          <w:bCs w:val="0"/>
          <w:szCs w:val="20"/>
        </w:rPr>
        <w:t xml:space="preserve"> та </w:t>
      </w:r>
      <w:proofErr w:type="spellStart"/>
      <w:r w:rsidR="00D960B4" w:rsidRPr="00E16672">
        <w:rPr>
          <w:rFonts w:ascii="Times New Roman" w:hAnsi="Times New Roman"/>
          <w:b w:val="0"/>
          <w:bCs w:val="0"/>
          <w:szCs w:val="20"/>
        </w:rPr>
        <w:t>державне</w:t>
      </w:r>
      <w:proofErr w:type="spellEnd"/>
      <w:r w:rsidR="00D960B4" w:rsidRPr="00E16672">
        <w:rPr>
          <w:rFonts w:ascii="Times New Roman" w:hAnsi="Times New Roman"/>
          <w:b w:val="0"/>
          <w:bCs w:val="0"/>
          <w:szCs w:val="20"/>
        </w:rPr>
        <w:t xml:space="preserve"> </w:t>
      </w:r>
      <w:proofErr w:type="spellStart"/>
      <w:r w:rsidR="00D960B4" w:rsidRPr="00E16672">
        <w:rPr>
          <w:rFonts w:ascii="Times New Roman" w:hAnsi="Times New Roman"/>
          <w:b w:val="0"/>
          <w:bCs w:val="0"/>
          <w:szCs w:val="20"/>
        </w:rPr>
        <w:t>регулювання</w:t>
      </w:r>
      <w:proofErr w:type="spellEnd"/>
      <w:r w:rsidR="00D960B4" w:rsidRPr="00E16672">
        <w:rPr>
          <w:rFonts w:ascii="Times New Roman" w:hAnsi="Times New Roman"/>
          <w:b w:val="0"/>
          <w:bCs w:val="0"/>
          <w:szCs w:val="20"/>
        </w:rPr>
        <w:t xml:space="preserve"> </w:t>
      </w:r>
      <w:proofErr w:type="spellStart"/>
      <w:r w:rsidR="00D960B4" w:rsidRPr="00E16672">
        <w:rPr>
          <w:rFonts w:ascii="Times New Roman" w:hAnsi="Times New Roman"/>
          <w:b w:val="0"/>
          <w:bCs w:val="0"/>
          <w:szCs w:val="20"/>
        </w:rPr>
        <w:t>ринків</w:t>
      </w:r>
      <w:proofErr w:type="spellEnd"/>
      <w:r w:rsidR="00D960B4" w:rsidRPr="00E16672">
        <w:rPr>
          <w:rFonts w:ascii="Times New Roman" w:hAnsi="Times New Roman"/>
          <w:b w:val="0"/>
          <w:bCs w:val="0"/>
          <w:szCs w:val="20"/>
        </w:rPr>
        <w:t xml:space="preserve"> </w:t>
      </w:r>
      <w:proofErr w:type="spellStart"/>
      <w:r w:rsidR="00D960B4" w:rsidRPr="00E16672">
        <w:rPr>
          <w:rFonts w:ascii="Times New Roman" w:hAnsi="Times New Roman"/>
          <w:b w:val="0"/>
          <w:bCs w:val="0"/>
          <w:szCs w:val="20"/>
        </w:rPr>
        <w:t>фінансових</w:t>
      </w:r>
      <w:proofErr w:type="spellEnd"/>
      <w:r w:rsidR="00D960B4" w:rsidRPr="00E16672">
        <w:rPr>
          <w:rFonts w:ascii="Times New Roman" w:hAnsi="Times New Roman"/>
          <w:b w:val="0"/>
          <w:bCs w:val="0"/>
          <w:szCs w:val="20"/>
        </w:rPr>
        <w:t xml:space="preserve"> </w:t>
      </w:r>
      <w:proofErr w:type="spellStart"/>
      <w:r w:rsidR="00D960B4" w:rsidRPr="00E16672">
        <w:rPr>
          <w:rFonts w:ascii="Times New Roman" w:hAnsi="Times New Roman"/>
          <w:b w:val="0"/>
          <w:bCs w:val="0"/>
          <w:szCs w:val="20"/>
        </w:rPr>
        <w:t>послуг</w:t>
      </w:r>
      <w:proofErr w:type="spellEnd"/>
      <w:r w:rsidR="00022F5F">
        <w:rPr>
          <w:rFonts w:ascii="Times New Roman" w:hAnsi="Times New Roman"/>
          <w:b w:val="0"/>
          <w:bCs w:val="0"/>
          <w:szCs w:val="20"/>
        </w:rPr>
        <w:t>"</w:t>
      </w:r>
      <w:r w:rsidRPr="00E16672">
        <w:rPr>
          <w:rFonts w:ascii="Times New Roman" w:hAnsi="Times New Roman"/>
          <w:b w:val="0"/>
          <w:bCs w:val="0"/>
          <w:color w:val="000000"/>
          <w:szCs w:val="20"/>
        </w:rPr>
        <w:t>.</w:t>
      </w:r>
    </w:p>
    <w:p w14:paraId="68DABF2F" w14:textId="5F29C58C" w:rsidR="00765E37" w:rsidRDefault="00765E37" w:rsidP="00765E37">
      <w:pPr>
        <w:tabs>
          <w:tab w:val="left" w:pos="851"/>
          <w:tab w:val="left" w:pos="7200"/>
        </w:tabs>
        <w:ind w:firstLine="539"/>
        <w:rPr>
          <w:rFonts w:ascii="Times New Roman" w:hAnsi="Times New Roman"/>
          <w:color w:val="000000"/>
          <w:szCs w:val="20"/>
        </w:rPr>
      </w:pPr>
      <w:r w:rsidRPr="00E16672">
        <w:rPr>
          <w:rFonts w:ascii="Times New Roman" w:hAnsi="Times New Roman"/>
          <w:color w:val="000000"/>
          <w:szCs w:val="20"/>
        </w:rPr>
        <w:t>2.1.2</w:t>
      </w:r>
      <w:r w:rsidRPr="00E16672">
        <w:rPr>
          <w:rFonts w:ascii="Times New Roman" w:hAnsi="Times New Roman"/>
          <w:color w:val="000000"/>
          <w:szCs w:val="20"/>
          <w:lang w:val="uk-UA"/>
        </w:rPr>
        <w:t>1</w:t>
      </w:r>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Отримавши</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від</w:t>
      </w:r>
      <w:proofErr w:type="spellEnd"/>
      <w:r w:rsidRPr="00E16672">
        <w:rPr>
          <w:rFonts w:ascii="Times New Roman" w:hAnsi="Times New Roman"/>
          <w:color w:val="000000"/>
          <w:szCs w:val="20"/>
        </w:rPr>
        <w:t xml:space="preserve"> Центрального </w:t>
      </w:r>
      <w:proofErr w:type="spellStart"/>
      <w:r w:rsidRPr="00E16672">
        <w:rPr>
          <w:rFonts w:ascii="Times New Roman" w:hAnsi="Times New Roman"/>
          <w:color w:val="000000"/>
          <w:szCs w:val="20"/>
        </w:rPr>
        <w:t>депозитарію</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повідомлення</w:t>
      </w:r>
      <w:proofErr w:type="spellEnd"/>
      <w:r w:rsidRPr="00E16672">
        <w:rPr>
          <w:rFonts w:ascii="Times New Roman" w:hAnsi="Times New Roman"/>
          <w:color w:val="000000"/>
          <w:szCs w:val="20"/>
        </w:rPr>
        <w:t xml:space="preserve"> про </w:t>
      </w:r>
      <w:proofErr w:type="spellStart"/>
      <w:r w:rsidRPr="00E16672">
        <w:rPr>
          <w:rFonts w:ascii="Times New Roman" w:hAnsi="Times New Roman"/>
          <w:color w:val="000000"/>
          <w:szCs w:val="20"/>
        </w:rPr>
        <w:t>завершення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процедури</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переведення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іменних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цінних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паперів</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певного</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випуску</w:t>
      </w:r>
      <w:proofErr w:type="spellEnd"/>
      <w:r w:rsidRPr="00E16672">
        <w:rPr>
          <w:rFonts w:ascii="Times New Roman" w:hAnsi="Times New Roman"/>
          <w:color w:val="000000"/>
          <w:szCs w:val="20"/>
        </w:rPr>
        <w:t xml:space="preserve"> у </w:t>
      </w:r>
      <w:proofErr w:type="spellStart"/>
      <w:r w:rsidRPr="00E16672">
        <w:rPr>
          <w:rFonts w:ascii="Times New Roman" w:hAnsi="Times New Roman"/>
          <w:color w:val="000000"/>
          <w:szCs w:val="20"/>
        </w:rPr>
        <w:t>бездокументарну</w:t>
      </w:r>
      <w:proofErr w:type="spellEnd"/>
      <w:r w:rsidRPr="00E16672">
        <w:rPr>
          <w:rFonts w:ascii="Times New Roman" w:hAnsi="Times New Roman"/>
          <w:color w:val="000000"/>
          <w:szCs w:val="20"/>
        </w:rPr>
        <w:t xml:space="preserve"> форму </w:t>
      </w:r>
      <w:proofErr w:type="spellStart"/>
      <w:r w:rsidRPr="00E16672">
        <w:rPr>
          <w:rFonts w:ascii="Times New Roman" w:hAnsi="Times New Roman"/>
          <w:color w:val="000000"/>
          <w:szCs w:val="20"/>
        </w:rPr>
        <w:t>існування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протягом</w:t>
      </w:r>
      <w:proofErr w:type="spellEnd"/>
      <w:r w:rsidRPr="00E16672">
        <w:rPr>
          <w:rFonts w:ascii="Times New Roman" w:hAnsi="Times New Roman"/>
          <w:color w:val="000000"/>
          <w:szCs w:val="20"/>
        </w:rPr>
        <w:t xml:space="preserve"> 3 (</w:t>
      </w:r>
      <w:proofErr w:type="spellStart"/>
      <w:r w:rsidRPr="00E16672">
        <w:rPr>
          <w:rFonts w:ascii="Times New Roman" w:hAnsi="Times New Roman"/>
          <w:color w:val="000000"/>
          <w:szCs w:val="20"/>
        </w:rPr>
        <w:t>трьох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днів</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повідомити</w:t>
      </w:r>
      <w:proofErr w:type="spellEnd"/>
      <w:r w:rsidRPr="00E16672">
        <w:rPr>
          <w:rFonts w:ascii="Times New Roman" w:hAnsi="Times New Roman"/>
          <w:color w:val="000000"/>
          <w:szCs w:val="20"/>
        </w:rPr>
        <w:t xml:space="preserve"> про </w:t>
      </w:r>
      <w:proofErr w:type="spellStart"/>
      <w:r w:rsidRPr="00E16672">
        <w:rPr>
          <w:rFonts w:ascii="Times New Roman" w:hAnsi="Times New Roman"/>
          <w:color w:val="000000"/>
          <w:szCs w:val="20"/>
        </w:rPr>
        <w:t>її</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завершення</w:t>
      </w:r>
      <w:proofErr w:type="spellEnd"/>
      <w:r w:rsidRPr="00E16672">
        <w:rPr>
          <w:rFonts w:ascii="Times New Roman" w:hAnsi="Times New Roman"/>
          <w:color w:val="000000"/>
          <w:szCs w:val="20"/>
        </w:rPr>
        <w:t xml:space="preserve"> Депонента, </w:t>
      </w:r>
      <w:proofErr w:type="spellStart"/>
      <w:r w:rsidRPr="00E16672">
        <w:rPr>
          <w:rFonts w:ascii="Times New Roman" w:hAnsi="Times New Roman"/>
          <w:color w:val="000000"/>
          <w:szCs w:val="20"/>
        </w:rPr>
        <w:t>якщо</w:t>
      </w:r>
      <w:proofErr w:type="spellEnd"/>
      <w:r w:rsidRPr="00E16672">
        <w:rPr>
          <w:rFonts w:ascii="Times New Roman" w:hAnsi="Times New Roman"/>
          <w:color w:val="000000"/>
          <w:szCs w:val="20"/>
        </w:rPr>
        <w:t xml:space="preserve"> на </w:t>
      </w:r>
      <w:proofErr w:type="spellStart"/>
      <w:r w:rsidRPr="00E16672">
        <w:rPr>
          <w:rFonts w:ascii="Times New Roman" w:hAnsi="Times New Roman"/>
          <w:color w:val="000000"/>
          <w:szCs w:val="20"/>
        </w:rPr>
        <w:t>його</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рахунку</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обліковуються</w:t>
      </w:r>
      <w:proofErr w:type="spellEnd"/>
      <w:r w:rsidRPr="00E16672">
        <w:rPr>
          <w:rFonts w:ascii="Times New Roman" w:hAnsi="Times New Roman"/>
          <w:color w:val="000000"/>
          <w:szCs w:val="20"/>
        </w:rPr>
        <w:t xml:space="preserve"> права на </w:t>
      </w:r>
      <w:proofErr w:type="spellStart"/>
      <w:r w:rsidRPr="00E16672">
        <w:rPr>
          <w:rFonts w:ascii="Times New Roman" w:hAnsi="Times New Roman"/>
          <w:color w:val="000000"/>
          <w:szCs w:val="20"/>
        </w:rPr>
        <w:t>цінні</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папери</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цього</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випуску</w:t>
      </w:r>
      <w:proofErr w:type="spellEnd"/>
      <w:r w:rsidRPr="00E16672">
        <w:rPr>
          <w:rFonts w:ascii="Times New Roman" w:hAnsi="Times New Roman"/>
          <w:color w:val="000000"/>
          <w:szCs w:val="20"/>
        </w:rPr>
        <w:t xml:space="preserve">, шляхом </w:t>
      </w:r>
      <w:proofErr w:type="spellStart"/>
      <w:r w:rsidRPr="00E16672">
        <w:rPr>
          <w:rFonts w:ascii="Times New Roman" w:hAnsi="Times New Roman"/>
          <w:color w:val="000000"/>
          <w:szCs w:val="20"/>
        </w:rPr>
        <w:t>направлення</w:t>
      </w:r>
      <w:proofErr w:type="spellEnd"/>
      <w:r w:rsidRPr="00E16672">
        <w:rPr>
          <w:rFonts w:ascii="Times New Roman" w:hAnsi="Times New Roman"/>
          <w:color w:val="000000"/>
          <w:szCs w:val="20"/>
        </w:rPr>
        <w:t xml:space="preserve"> на </w:t>
      </w:r>
      <w:proofErr w:type="spellStart"/>
      <w:proofErr w:type="gramStart"/>
      <w:r w:rsidRPr="00E16672">
        <w:rPr>
          <w:rFonts w:ascii="Times New Roman" w:hAnsi="Times New Roman"/>
          <w:color w:val="000000"/>
          <w:szCs w:val="20"/>
        </w:rPr>
        <w:t>електронну</w:t>
      </w:r>
      <w:proofErr w:type="spellEnd"/>
      <w:r w:rsidRPr="00E16672">
        <w:rPr>
          <w:rFonts w:ascii="Times New Roman" w:hAnsi="Times New Roman"/>
          <w:color w:val="000000"/>
          <w:szCs w:val="20"/>
        </w:rPr>
        <w:t xml:space="preserve">  адресу</w:t>
      </w:r>
      <w:proofErr w:type="gramEnd"/>
      <w:r w:rsidRPr="00E16672">
        <w:rPr>
          <w:rFonts w:ascii="Times New Roman" w:hAnsi="Times New Roman"/>
          <w:color w:val="000000"/>
          <w:szCs w:val="20"/>
        </w:rPr>
        <w:t xml:space="preserve"> Депонента </w:t>
      </w:r>
      <w:proofErr w:type="spellStart"/>
      <w:r w:rsidRPr="00E16672">
        <w:rPr>
          <w:rFonts w:ascii="Times New Roman" w:hAnsi="Times New Roman"/>
          <w:color w:val="000000"/>
          <w:szCs w:val="20"/>
        </w:rPr>
        <w:t>відповідного</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повідомлення</w:t>
      </w:r>
      <w:proofErr w:type="spellEnd"/>
      <w:r w:rsidRPr="00E16672">
        <w:rPr>
          <w:rFonts w:ascii="Times New Roman" w:hAnsi="Times New Roman"/>
          <w:color w:val="000000"/>
          <w:szCs w:val="20"/>
        </w:rPr>
        <w:t>.</w:t>
      </w:r>
    </w:p>
    <w:p w14:paraId="608C6552" w14:textId="7EA64BE9" w:rsidR="004D34EE" w:rsidRPr="00E16672" w:rsidRDefault="004D34EE" w:rsidP="00765E37">
      <w:pPr>
        <w:tabs>
          <w:tab w:val="left" w:pos="851"/>
          <w:tab w:val="left" w:pos="7200"/>
        </w:tabs>
        <w:ind w:firstLine="539"/>
        <w:rPr>
          <w:rFonts w:ascii="Times New Roman" w:hAnsi="Times New Roman"/>
          <w:color w:val="000000"/>
          <w:szCs w:val="20"/>
        </w:rPr>
      </w:pPr>
      <w:r w:rsidRPr="004D34EE">
        <w:rPr>
          <w:rFonts w:ascii="Times New Roman" w:hAnsi="Times New Roman"/>
          <w:color w:val="000000"/>
          <w:szCs w:val="20"/>
        </w:rPr>
        <w:t xml:space="preserve">2.1.22. За </w:t>
      </w:r>
      <w:proofErr w:type="spellStart"/>
      <w:r w:rsidRPr="004D34EE">
        <w:rPr>
          <w:rFonts w:ascii="Times New Roman" w:hAnsi="Times New Roman"/>
          <w:color w:val="000000"/>
          <w:szCs w:val="20"/>
        </w:rPr>
        <w:t>наявності</w:t>
      </w:r>
      <w:proofErr w:type="spellEnd"/>
      <w:r w:rsidRPr="004D34EE">
        <w:rPr>
          <w:rFonts w:ascii="Times New Roman" w:hAnsi="Times New Roman"/>
          <w:color w:val="000000"/>
          <w:szCs w:val="20"/>
        </w:rPr>
        <w:t xml:space="preserve"> у </w:t>
      </w:r>
      <w:proofErr w:type="spellStart"/>
      <w:r w:rsidRPr="004D34EE">
        <w:rPr>
          <w:rFonts w:ascii="Times New Roman" w:hAnsi="Times New Roman"/>
          <w:color w:val="000000"/>
          <w:szCs w:val="20"/>
        </w:rPr>
        <w:t>Депозитарної</w:t>
      </w:r>
      <w:proofErr w:type="spellEnd"/>
      <w:r w:rsidRPr="004D34EE">
        <w:rPr>
          <w:rFonts w:ascii="Times New Roman" w:hAnsi="Times New Roman"/>
          <w:color w:val="000000"/>
          <w:szCs w:val="20"/>
        </w:rPr>
        <w:t xml:space="preserve"> установи </w:t>
      </w:r>
      <w:proofErr w:type="spellStart"/>
      <w:r w:rsidRPr="004D34EE">
        <w:rPr>
          <w:rFonts w:ascii="Times New Roman" w:hAnsi="Times New Roman"/>
          <w:color w:val="000000"/>
          <w:szCs w:val="20"/>
        </w:rPr>
        <w:t>обґрунтованої</w:t>
      </w:r>
      <w:proofErr w:type="spellEnd"/>
      <w:r w:rsidRPr="004D34EE">
        <w:rPr>
          <w:rFonts w:ascii="Times New Roman" w:hAnsi="Times New Roman"/>
          <w:color w:val="000000"/>
          <w:szCs w:val="20"/>
        </w:rPr>
        <w:t xml:space="preserve">, документально </w:t>
      </w:r>
      <w:proofErr w:type="spellStart"/>
      <w:r w:rsidRPr="004D34EE">
        <w:rPr>
          <w:rFonts w:ascii="Times New Roman" w:hAnsi="Times New Roman"/>
          <w:color w:val="000000"/>
          <w:szCs w:val="20"/>
        </w:rPr>
        <w:t>підтвердженої</w:t>
      </w:r>
      <w:proofErr w:type="spellEnd"/>
      <w:r w:rsidRPr="004D34EE">
        <w:rPr>
          <w:rFonts w:ascii="Times New Roman" w:hAnsi="Times New Roman"/>
          <w:color w:val="000000"/>
          <w:szCs w:val="20"/>
        </w:rPr>
        <w:t xml:space="preserve"> </w:t>
      </w:r>
      <w:proofErr w:type="spellStart"/>
      <w:r w:rsidRPr="004D34EE">
        <w:rPr>
          <w:rFonts w:ascii="Times New Roman" w:hAnsi="Times New Roman"/>
          <w:color w:val="000000"/>
          <w:szCs w:val="20"/>
        </w:rPr>
        <w:t>підозри</w:t>
      </w:r>
      <w:proofErr w:type="spellEnd"/>
      <w:r w:rsidRPr="004D34EE">
        <w:rPr>
          <w:rFonts w:ascii="Times New Roman" w:hAnsi="Times New Roman"/>
          <w:color w:val="000000"/>
          <w:szCs w:val="20"/>
        </w:rPr>
        <w:t xml:space="preserve">, </w:t>
      </w:r>
      <w:proofErr w:type="spellStart"/>
      <w:r w:rsidRPr="004D34EE">
        <w:rPr>
          <w:rFonts w:ascii="Times New Roman" w:hAnsi="Times New Roman"/>
          <w:color w:val="000000"/>
          <w:szCs w:val="20"/>
        </w:rPr>
        <w:t>що</w:t>
      </w:r>
      <w:proofErr w:type="spellEnd"/>
      <w:r w:rsidRPr="004D34EE">
        <w:rPr>
          <w:rFonts w:ascii="Times New Roman" w:hAnsi="Times New Roman"/>
          <w:color w:val="000000"/>
          <w:szCs w:val="20"/>
        </w:rPr>
        <w:t xml:space="preserve"> </w:t>
      </w:r>
      <w:proofErr w:type="spellStart"/>
      <w:r w:rsidRPr="004D34EE">
        <w:rPr>
          <w:rFonts w:ascii="Times New Roman" w:hAnsi="Times New Roman"/>
          <w:color w:val="000000"/>
          <w:szCs w:val="20"/>
        </w:rPr>
        <w:t>рахунок</w:t>
      </w:r>
      <w:proofErr w:type="spellEnd"/>
      <w:r w:rsidRPr="004D34EE">
        <w:rPr>
          <w:rFonts w:ascii="Times New Roman" w:hAnsi="Times New Roman"/>
          <w:color w:val="000000"/>
          <w:szCs w:val="20"/>
        </w:rPr>
        <w:t xml:space="preserve"> у </w:t>
      </w:r>
      <w:proofErr w:type="spellStart"/>
      <w:r w:rsidRPr="004D34EE">
        <w:rPr>
          <w:rFonts w:ascii="Times New Roman" w:hAnsi="Times New Roman"/>
          <w:color w:val="000000"/>
          <w:szCs w:val="20"/>
        </w:rPr>
        <w:t>цінних</w:t>
      </w:r>
      <w:proofErr w:type="spellEnd"/>
      <w:r w:rsidRPr="004D34EE">
        <w:rPr>
          <w:rFonts w:ascii="Times New Roman" w:hAnsi="Times New Roman"/>
          <w:color w:val="000000"/>
          <w:szCs w:val="20"/>
        </w:rPr>
        <w:t xml:space="preserve"> </w:t>
      </w:r>
      <w:proofErr w:type="spellStart"/>
      <w:r w:rsidRPr="004D34EE">
        <w:rPr>
          <w:rFonts w:ascii="Times New Roman" w:hAnsi="Times New Roman"/>
          <w:color w:val="000000"/>
          <w:szCs w:val="20"/>
        </w:rPr>
        <w:t>паперах</w:t>
      </w:r>
      <w:proofErr w:type="spellEnd"/>
      <w:r w:rsidRPr="004D34EE">
        <w:rPr>
          <w:rFonts w:ascii="Times New Roman" w:hAnsi="Times New Roman"/>
          <w:color w:val="000000"/>
          <w:szCs w:val="20"/>
        </w:rPr>
        <w:t xml:space="preserve"> Депонента </w:t>
      </w:r>
      <w:proofErr w:type="spellStart"/>
      <w:r w:rsidRPr="004D34EE">
        <w:rPr>
          <w:rFonts w:ascii="Times New Roman" w:hAnsi="Times New Roman"/>
          <w:color w:val="000000"/>
          <w:szCs w:val="20"/>
        </w:rPr>
        <w:t>належить</w:t>
      </w:r>
      <w:proofErr w:type="spellEnd"/>
      <w:r w:rsidRPr="004D34EE">
        <w:rPr>
          <w:rFonts w:ascii="Times New Roman" w:hAnsi="Times New Roman"/>
          <w:color w:val="000000"/>
          <w:szCs w:val="20"/>
        </w:rPr>
        <w:t xml:space="preserve"> до </w:t>
      </w:r>
      <w:proofErr w:type="spellStart"/>
      <w:r w:rsidRPr="004D34EE">
        <w:rPr>
          <w:rFonts w:ascii="Times New Roman" w:hAnsi="Times New Roman"/>
          <w:color w:val="000000"/>
          <w:szCs w:val="20"/>
        </w:rPr>
        <w:t>підзвітних</w:t>
      </w:r>
      <w:proofErr w:type="spellEnd"/>
      <w:r w:rsidRPr="004D34EE">
        <w:rPr>
          <w:rFonts w:ascii="Times New Roman" w:hAnsi="Times New Roman"/>
          <w:color w:val="000000"/>
          <w:szCs w:val="20"/>
        </w:rPr>
        <w:t xml:space="preserve">, </w:t>
      </w:r>
      <w:proofErr w:type="spellStart"/>
      <w:r w:rsidRPr="004D34EE">
        <w:rPr>
          <w:rFonts w:ascii="Times New Roman" w:hAnsi="Times New Roman"/>
          <w:color w:val="000000"/>
          <w:szCs w:val="20"/>
        </w:rPr>
        <w:t>Депозитарна</w:t>
      </w:r>
      <w:proofErr w:type="spellEnd"/>
      <w:r w:rsidRPr="004D34EE">
        <w:rPr>
          <w:rFonts w:ascii="Times New Roman" w:hAnsi="Times New Roman"/>
          <w:color w:val="000000"/>
          <w:szCs w:val="20"/>
        </w:rPr>
        <w:t xml:space="preserve"> </w:t>
      </w:r>
      <w:proofErr w:type="spellStart"/>
      <w:r w:rsidRPr="004D34EE">
        <w:rPr>
          <w:rFonts w:ascii="Times New Roman" w:hAnsi="Times New Roman"/>
          <w:color w:val="000000"/>
          <w:szCs w:val="20"/>
        </w:rPr>
        <w:t>установа</w:t>
      </w:r>
      <w:proofErr w:type="spellEnd"/>
      <w:r w:rsidRPr="004D34EE">
        <w:rPr>
          <w:rFonts w:ascii="Times New Roman" w:hAnsi="Times New Roman"/>
          <w:color w:val="000000"/>
          <w:szCs w:val="20"/>
        </w:rPr>
        <w:t xml:space="preserve"> </w:t>
      </w:r>
      <w:proofErr w:type="gramStart"/>
      <w:r w:rsidRPr="004D34EE">
        <w:rPr>
          <w:rFonts w:ascii="Times New Roman" w:hAnsi="Times New Roman"/>
          <w:color w:val="000000"/>
          <w:szCs w:val="20"/>
        </w:rPr>
        <w:t>в порядку</w:t>
      </w:r>
      <w:proofErr w:type="gramEnd"/>
      <w:r w:rsidRPr="004D34EE">
        <w:rPr>
          <w:rFonts w:ascii="Times New Roman" w:hAnsi="Times New Roman"/>
          <w:color w:val="000000"/>
          <w:szCs w:val="20"/>
        </w:rPr>
        <w:t xml:space="preserve">, </w:t>
      </w:r>
      <w:proofErr w:type="spellStart"/>
      <w:r w:rsidRPr="004D34EE">
        <w:rPr>
          <w:rFonts w:ascii="Times New Roman" w:hAnsi="Times New Roman"/>
          <w:color w:val="000000"/>
          <w:szCs w:val="20"/>
        </w:rPr>
        <w:t>встановленому</w:t>
      </w:r>
      <w:proofErr w:type="spellEnd"/>
      <w:r w:rsidRPr="004D34EE">
        <w:rPr>
          <w:rFonts w:ascii="Times New Roman" w:hAnsi="Times New Roman"/>
          <w:color w:val="000000"/>
          <w:szCs w:val="20"/>
        </w:rPr>
        <w:t xml:space="preserve"> </w:t>
      </w:r>
      <w:proofErr w:type="spellStart"/>
      <w:r w:rsidRPr="004D34EE">
        <w:rPr>
          <w:rFonts w:ascii="Times New Roman" w:hAnsi="Times New Roman"/>
          <w:color w:val="000000"/>
          <w:szCs w:val="20"/>
        </w:rPr>
        <w:t>її</w:t>
      </w:r>
      <w:proofErr w:type="spellEnd"/>
      <w:r w:rsidRPr="004D34EE">
        <w:rPr>
          <w:rFonts w:ascii="Times New Roman" w:hAnsi="Times New Roman"/>
          <w:color w:val="000000"/>
          <w:szCs w:val="20"/>
        </w:rPr>
        <w:t xml:space="preserve"> </w:t>
      </w:r>
      <w:proofErr w:type="spellStart"/>
      <w:r w:rsidRPr="004D34EE">
        <w:rPr>
          <w:rFonts w:ascii="Times New Roman" w:hAnsi="Times New Roman"/>
          <w:color w:val="000000"/>
          <w:szCs w:val="20"/>
        </w:rPr>
        <w:t>внутрішніми</w:t>
      </w:r>
      <w:proofErr w:type="spellEnd"/>
      <w:r w:rsidRPr="004D34EE">
        <w:rPr>
          <w:rFonts w:ascii="Times New Roman" w:hAnsi="Times New Roman"/>
          <w:color w:val="000000"/>
          <w:szCs w:val="20"/>
        </w:rPr>
        <w:t xml:space="preserve"> документами, та </w:t>
      </w:r>
      <w:proofErr w:type="spellStart"/>
      <w:r w:rsidRPr="004D34EE">
        <w:rPr>
          <w:rFonts w:ascii="Times New Roman" w:hAnsi="Times New Roman"/>
          <w:color w:val="000000"/>
          <w:szCs w:val="20"/>
        </w:rPr>
        <w:t>відповідно</w:t>
      </w:r>
      <w:proofErr w:type="spellEnd"/>
      <w:r w:rsidRPr="004D34EE">
        <w:rPr>
          <w:rFonts w:ascii="Times New Roman" w:hAnsi="Times New Roman"/>
          <w:color w:val="000000"/>
          <w:szCs w:val="20"/>
        </w:rPr>
        <w:t xml:space="preserve"> до </w:t>
      </w:r>
      <w:proofErr w:type="spellStart"/>
      <w:r w:rsidRPr="004D34EE">
        <w:rPr>
          <w:rFonts w:ascii="Times New Roman" w:hAnsi="Times New Roman"/>
          <w:color w:val="000000"/>
          <w:szCs w:val="20"/>
        </w:rPr>
        <w:t>цього</w:t>
      </w:r>
      <w:proofErr w:type="spellEnd"/>
      <w:r w:rsidRPr="004D34EE">
        <w:rPr>
          <w:rFonts w:ascii="Times New Roman" w:hAnsi="Times New Roman"/>
          <w:color w:val="000000"/>
          <w:szCs w:val="20"/>
        </w:rPr>
        <w:t xml:space="preserve"> Договору </w:t>
      </w:r>
      <w:proofErr w:type="spellStart"/>
      <w:r w:rsidRPr="004D34EE">
        <w:rPr>
          <w:rFonts w:ascii="Times New Roman" w:hAnsi="Times New Roman"/>
          <w:color w:val="000000"/>
          <w:szCs w:val="20"/>
        </w:rPr>
        <w:t>надсилає</w:t>
      </w:r>
      <w:proofErr w:type="spellEnd"/>
      <w:r w:rsidRPr="004D34EE">
        <w:rPr>
          <w:rFonts w:ascii="Times New Roman" w:hAnsi="Times New Roman"/>
          <w:color w:val="000000"/>
          <w:szCs w:val="20"/>
        </w:rPr>
        <w:t xml:space="preserve"> на адресу </w:t>
      </w:r>
      <w:proofErr w:type="spellStart"/>
      <w:r w:rsidRPr="004D34EE">
        <w:rPr>
          <w:rFonts w:ascii="Times New Roman" w:hAnsi="Times New Roman"/>
          <w:color w:val="000000"/>
          <w:szCs w:val="20"/>
        </w:rPr>
        <w:t>відповідного</w:t>
      </w:r>
      <w:proofErr w:type="spellEnd"/>
      <w:r w:rsidRPr="004D34EE">
        <w:rPr>
          <w:rFonts w:ascii="Times New Roman" w:hAnsi="Times New Roman"/>
          <w:color w:val="000000"/>
          <w:szCs w:val="20"/>
        </w:rPr>
        <w:t xml:space="preserve"> Депонента запит з </w:t>
      </w:r>
      <w:proofErr w:type="spellStart"/>
      <w:r w:rsidRPr="004D34EE">
        <w:rPr>
          <w:rFonts w:ascii="Times New Roman" w:hAnsi="Times New Roman"/>
          <w:color w:val="000000"/>
          <w:szCs w:val="20"/>
        </w:rPr>
        <w:t>вимогою</w:t>
      </w:r>
      <w:proofErr w:type="spellEnd"/>
      <w:r w:rsidRPr="004D34EE">
        <w:rPr>
          <w:rFonts w:ascii="Times New Roman" w:hAnsi="Times New Roman"/>
          <w:color w:val="000000"/>
          <w:szCs w:val="20"/>
        </w:rPr>
        <w:t xml:space="preserve"> про </w:t>
      </w:r>
      <w:proofErr w:type="spellStart"/>
      <w:r w:rsidRPr="004D34EE">
        <w:rPr>
          <w:rFonts w:ascii="Times New Roman" w:hAnsi="Times New Roman"/>
          <w:color w:val="000000"/>
          <w:szCs w:val="20"/>
        </w:rPr>
        <w:t>надання</w:t>
      </w:r>
      <w:proofErr w:type="spellEnd"/>
      <w:r w:rsidRPr="004D34EE">
        <w:rPr>
          <w:rFonts w:ascii="Times New Roman" w:hAnsi="Times New Roman"/>
          <w:color w:val="000000"/>
          <w:szCs w:val="20"/>
        </w:rPr>
        <w:t xml:space="preserve"> </w:t>
      </w:r>
      <w:proofErr w:type="spellStart"/>
      <w:r w:rsidRPr="004D34EE">
        <w:rPr>
          <w:rFonts w:ascii="Times New Roman" w:hAnsi="Times New Roman"/>
          <w:color w:val="000000"/>
          <w:szCs w:val="20"/>
        </w:rPr>
        <w:t>пояснень</w:t>
      </w:r>
      <w:proofErr w:type="spellEnd"/>
      <w:r w:rsidRPr="004D34EE">
        <w:rPr>
          <w:rFonts w:ascii="Times New Roman" w:hAnsi="Times New Roman"/>
          <w:color w:val="000000"/>
          <w:szCs w:val="20"/>
        </w:rPr>
        <w:t xml:space="preserve"> та </w:t>
      </w:r>
      <w:proofErr w:type="spellStart"/>
      <w:r w:rsidRPr="004D34EE">
        <w:rPr>
          <w:rFonts w:ascii="Times New Roman" w:hAnsi="Times New Roman"/>
          <w:color w:val="000000"/>
          <w:szCs w:val="20"/>
        </w:rPr>
        <w:t>інформації</w:t>
      </w:r>
      <w:proofErr w:type="spellEnd"/>
      <w:r w:rsidRPr="004D34EE">
        <w:rPr>
          <w:rFonts w:ascii="Times New Roman" w:hAnsi="Times New Roman"/>
          <w:color w:val="000000"/>
          <w:szCs w:val="20"/>
        </w:rPr>
        <w:t xml:space="preserve">, </w:t>
      </w:r>
      <w:proofErr w:type="spellStart"/>
      <w:r w:rsidRPr="004D34EE">
        <w:rPr>
          <w:rFonts w:ascii="Times New Roman" w:hAnsi="Times New Roman"/>
          <w:color w:val="000000"/>
          <w:szCs w:val="20"/>
        </w:rPr>
        <w:t>що</w:t>
      </w:r>
      <w:proofErr w:type="spellEnd"/>
      <w:r w:rsidRPr="004D34EE">
        <w:rPr>
          <w:rFonts w:ascii="Times New Roman" w:hAnsi="Times New Roman"/>
          <w:color w:val="000000"/>
          <w:szCs w:val="20"/>
        </w:rPr>
        <w:t xml:space="preserve"> </w:t>
      </w:r>
      <w:proofErr w:type="spellStart"/>
      <w:r w:rsidRPr="004D34EE">
        <w:rPr>
          <w:rFonts w:ascii="Times New Roman" w:hAnsi="Times New Roman"/>
          <w:color w:val="000000"/>
          <w:szCs w:val="20"/>
        </w:rPr>
        <w:t>стосуються</w:t>
      </w:r>
      <w:proofErr w:type="spellEnd"/>
      <w:r w:rsidRPr="004D34EE">
        <w:rPr>
          <w:rFonts w:ascii="Times New Roman" w:hAnsi="Times New Roman"/>
          <w:color w:val="000000"/>
          <w:szCs w:val="20"/>
        </w:rPr>
        <w:t xml:space="preserve"> </w:t>
      </w:r>
      <w:proofErr w:type="spellStart"/>
      <w:r w:rsidRPr="004D34EE">
        <w:rPr>
          <w:rFonts w:ascii="Times New Roman" w:hAnsi="Times New Roman"/>
          <w:color w:val="000000"/>
          <w:szCs w:val="20"/>
        </w:rPr>
        <w:t>підозри</w:t>
      </w:r>
      <w:proofErr w:type="spellEnd"/>
      <w:r w:rsidRPr="004D34EE">
        <w:rPr>
          <w:rFonts w:ascii="Times New Roman" w:hAnsi="Times New Roman"/>
          <w:color w:val="000000"/>
          <w:szCs w:val="20"/>
        </w:rPr>
        <w:t>.</w:t>
      </w:r>
    </w:p>
    <w:p w14:paraId="2AE5636A" w14:textId="77777777" w:rsidR="00765E37" w:rsidRPr="00E16672" w:rsidRDefault="00765E37" w:rsidP="00765E37">
      <w:pPr>
        <w:tabs>
          <w:tab w:val="left" w:pos="709"/>
        </w:tabs>
        <w:rPr>
          <w:rFonts w:ascii="Times New Roman" w:hAnsi="Times New Roman"/>
          <w:b/>
          <w:szCs w:val="20"/>
          <w:lang w:val="uk-UA"/>
        </w:rPr>
      </w:pPr>
    </w:p>
    <w:p w14:paraId="3D239E38" w14:textId="77777777" w:rsidR="00765E37" w:rsidRPr="00E16672" w:rsidRDefault="00765E37" w:rsidP="00765E37">
      <w:pPr>
        <w:tabs>
          <w:tab w:val="left" w:pos="709"/>
        </w:tabs>
        <w:rPr>
          <w:rFonts w:ascii="Times New Roman" w:hAnsi="Times New Roman"/>
          <w:b/>
          <w:szCs w:val="20"/>
          <w:lang w:val="uk-UA"/>
        </w:rPr>
      </w:pPr>
      <w:r w:rsidRPr="00E16672">
        <w:rPr>
          <w:rFonts w:ascii="Times New Roman" w:hAnsi="Times New Roman"/>
          <w:b/>
          <w:szCs w:val="20"/>
          <w:lang w:val="uk-UA"/>
        </w:rPr>
        <w:t>2.2. Депозитарна установа має право:</w:t>
      </w:r>
    </w:p>
    <w:p w14:paraId="1A79937A" w14:textId="77777777" w:rsidR="00765E37" w:rsidRPr="00E16672" w:rsidRDefault="00765E37" w:rsidP="00765E37">
      <w:pPr>
        <w:tabs>
          <w:tab w:val="left" w:pos="709"/>
        </w:tabs>
        <w:rPr>
          <w:rFonts w:ascii="Times New Roman" w:hAnsi="Times New Roman"/>
          <w:color w:val="000000"/>
          <w:szCs w:val="20"/>
          <w:lang w:val="uk-UA"/>
        </w:rPr>
      </w:pPr>
      <w:r w:rsidRPr="00E16672">
        <w:rPr>
          <w:rFonts w:ascii="Times New Roman" w:hAnsi="Times New Roman"/>
          <w:szCs w:val="20"/>
          <w:lang w:val="uk-UA"/>
        </w:rPr>
        <w:lastRenderedPageBreak/>
        <w:t xml:space="preserve">2.2.1. </w:t>
      </w:r>
      <w:r w:rsidRPr="00E16672">
        <w:rPr>
          <w:rFonts w:ascii="Times New Roman" w:hAnsi="Times New Roman"/>
          <w:color w:val="000000"/>
          <w:szCs w:val="20"/>
          <w:lang w:val="uk-UA"/>
        </w:rPr>
        <w:t xml:space="preserve">Надавати письмову відмову у видачі виписки з рахунку в цінних паперах у разі невідповідності оформленого запиту вимогам законодавства та внутрішніх документів Депозитарної установи.2.2.2. Вимагати від Депонента, керуючого рахунком, розпорядника рахунку </w:t>
      </w:r>
      <w:r w:rsidR="00C22309" w:rsidRPr="00E16672">
        <w:rPr>
          <w:rFonts w:ascii="Times New Roman" w:hAnsi="Times New Roman"/>
          <w:color w:val="000000"/>
          <w:szCs w:val="20"/>
          <w:lang w:val="uk-UA"/>
        </w:rPr>
        <w:t>в цін</w:t>
      </w:r>
      <w:r w:rsidRPr="00E16672">
        <w:rPr>
          <w:rFonts w:ascii="Times New Roman" w:hAnsi="Times New Roman"/>
          <w:color w:val="000000"/>
          <w:szCs w:val="20"/>
          <w:lang w:val="uk-UA"/>
        </w:rPr>
        <w:t>них паперах Депонента надання на виконання вимог законодавства та/або внутрішніх документів Депозитарної установи належним чином засвідчених документів та інформації, необхідних для виконання своїх обов’язків згідно умов Договору та законодавства.</w:t>
      </w:r>
    </w:p>
    <w:p w14:paraId="451B6D96" w14:textId="77777777" w:rsidR="00765E37" w:rsidRPr="00E16672" w:rsidRDefault="00765E37" w:rsidP="00765E37">
      <w:pPr>
        <w:tabs>
          <w:tab w:val="left" w:pos="709"/>
        </w:tabs>
        <w:rPr>
          <w:rFonts w:ascii="Times New Roman" w:hAnsi="Times New Roman"/>
          <w:color w:val="000000"/>
          <w:szCs w:val="20"/>
          <w:lang w:val="uk-UA"/>
        </w:rPr>
      </w:pPr>
      <w:r w:rsidRPr="00E16672">
        <w:rPr>
          <w:rFonts w:ascii="Times New Roman" w:hAnsi="Times New Roman"/>
          <w:color w:val="000000"/>
          <w:szCs w:val="20"/>
          <w:lang w:val="uk-UA"/>
        </w:rPr>
        <w:t xml:space="preserve">2.2.3. Згідно з чинним законодавством України, у випадку необхідності, вимагати від Депонента надання додаткових документів, відомостей та інформації, </w:t>
      </w:r>
      <w:proofErr w:type="spellStart"/>
      <w:r w:rsidRPr="00E16672">
        <w:rPr>
          <w:rFonts w:ascii="Times New Roman" w:hAnsi="Times New Roman"/>
          <w:color w:val="000000"/>
          <w:szCs w:val="20"/>
        </w:rPr>
        <w:t>засвідчених</w:t>
      </w:r>
      <w:proofErr w:type="spellEnd"/>
      <w:r w:rsidRPr="00E16672">
        <w:rPr>
          <w:rFonts w:ascii="Times New Roman" w:hAnsi="Times New Roman"/>
          <w:color w:val="000000"/>
          <w:szCs w:val="20"/>
          <w:lang w:val="uk-UA"/>
        </w:rPr>
        <w:t xml:space="preserve"> та погоджених належним чином.</w:t>
      </w:r>
    </w:p>
    <w:p w14:paraId="4847EB28" w14:textId="77777777" w:rsidR="00765E37" w:rsidRPr="00E16672" w:rsidRDefault="00765E37" w:rsidP="00765E37">
      <w:pPr>
        <w:tabs>
          <w:tab w:val="left" w:pos="709"/>
        </w:tabs>
        <w:rPr>
          <w:rFonts w:ascii="Times New Roman" w:hAnsi="Times New Roman"/>
          <w:color w:val="000000"/>
          <w:szCs w:val="20"/>
          <w:lang w:val="uk-UA"/>
        </w:rPr>
      </w:pPr>
      <w:r w:rsidRPr="00E16672">
        <w:rPr>
          <w:rFonts w:ascii="Times New Roman" w:hAnsi="Times New Roman"/>
          <w:szCs w:val="20"/>
          <w:lang w:val="uk-UA"/>
        </w:rPr>
        <w:t xml:space="preserve">2.2.4. Надавати Депоненту додаткові (інформаційні та консультаційні) послуги, іншу інформацію, яка необхідна Депоненту для реалізації прав за цінними </w:t>
      </w:r>
      <w:r w:rsidRPr="00E16672">
        <w:rPr>
          <w:rFonts w:ascii="Times New Roman" w:hAnsi="Times New Roman"/>
          <w:color w:val="000000"/>
          <w:szCs w:val="20"/>
          <w:lang w:val="uk-UA"/>
        </w:rPr>
        <w:t xml:space="preserve">паперами. </w:t>
      </w:r>
      <w:proofErr w:type="spellStart"/>
      <w:r w:rsidRPr="00E16672">
        <w:rPr>
          <w:rFonts w:ascii="Times New Roman" w:hAnsi="Times New Roman"/>
          <w:color w:val="000000"/>
          <w:szCs w:val="20"/>
        </w:rPr>
        <w:t>Надавати</w:t>
      </w:r>
      <w:proofErr w:type="spellEnd"/>
      <w:r w:rsidRPr="00E16672">
        <w:rPr>
          <w:rFonts w:ascii="Times New Roman" w:hAnsi="Times New Roman"/>
          <w:color w:val="000000"/>
          <w:szCs w:val="20"/>
        </w:rPr>
        <w:t xml:space="preserve"> Депоненту </w:t>
      </w:r>
      <w:proofErr w:type="spellStart"/>
      <w:r w:rsidRPr="00E16672">
        <w:rPr>
          <w:rFonts w:ascii="Times New Roman" w:hAnsi="Times New Roman"/>
          <w:color w:val="000000"/>
          <w:szCs w:val="20"/>
        </w:rPr>
        <w:t>виписки</w:t>
      </w:r>
      <w:proofErr w:type="spellEnd"/>
      <w:r w:rsidRPr="00E16672">
        <w:rPr>
          <w:rFonts w:ascii="Times New Roman" w:hAnsi="Times New Roman"/>
          <w:color w:val="000000"/>
          <w:szCs w:val="20"/>
        </w:rPr>
        <w:t xml:space="preserve"> з </w:t>
      </w:r>
      <w:proofErr w:type="spellStart"/>
      <w:r w:rsidRPr="00E16672">
        <w:rPr>
          <w:rFonts w:ascii="Times New Roman" w:hAnsi="Times New Roman"/>
          <w:color w:val="000000"/>
          <w:szCs w:val="20"/>
        </w:rPr>
        <w:t>рахунку</w:t>
      </w:r>
      <w:proofErr w:type="spellEnd"/>
      <w:r w:rsidRPr="00E16672">
        <w:rPr>
          <w:rFonts w:ascii="Times New Roman" w:hAnsi="Times New Roman"/>
          <w:color w:val="000000"/>
          <w:szCs w:val="20"/>
        </w:rPr>
        <w:t xml:space="preserve"> </w:t>
      </w:r>
      <w:r w:rsidR="00C22309" w:rsidRPr="00E16672">
        <w:rPr>
          <w:rFonts w:ascii="Times New Roman" w:hAnsi="Times New Roman"/>
          <w:color w:val="000000"/>
          <w:szCs w:val="20"/>
        </w:rPr>
        <w:t xml:space="preserve">в </w:t>
      </w:r>
      <w:proofErr w:type="spellStart"/>
      <w:r w:rsidR="00C22309" w:rsidRPr="00E16672">
        <w:rPr>
          <w:rFonts w:ascii="Times New Roman" w:hAnsi="Times New Roman"/>
          <w:color w:val="000000"/>
          <w:szCs w:val="20"/>
        </w:rPr>
        <w:t>цін</w:t>
      </w:r>
      <w:r w:rsidRPr="00E16672">
        <w:rPr>
          <w:rFonts w:ascii="Times New Roman" w:hAnsi="Times New Roman"/>
          <w:color w:val="000000"/>
          <w:szCs w:val="20"/>
        </w:rPr>
        <w:t>них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паперах</w:t>
      </w:r>
      <w:proofErr w:type="spellEnd"/>
      <w:r w:rsidRPr="00E16672">
        <w:rPr>
          <w:rFonts w:ascii="Times New Roman" w:hAnsi="Times New Roman"/>
          <w:color w:val="000000"/>
          <w:szCs w:val="20"/>
        </w:rPr>
        <w:t xml:space="preserve"> Депонента, </w:t>
      </w:r>
      <w:proofErr w:type="spellStart"/>
      <w:r w:rsidRPr="00E16672">
        <w:rPr>
          <w:rFonts w:ascii="Times New Roman" w:hAnsi="Times New Roman"/>
          <w:color w:val="000000"/>
          <w:szCs w:val="20"/>
        </w:rPr>
        <w:t>довідки</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або</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інші</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звіти</w:t>
      </w:r>
      <w:proofErr w:type="spellEnd"/>
      <w:r w:rsidRPr="00E16672">
        <w:rPr>
          <w:rFonts w:ascii="Times New Roman" w:hAnsi="Times New Roman"/>
          <w:color w:val="000000"/>
          <w:szCs w:val="20"/>
        </w:rPr>
        <w:t xml:space="preserve"> про </w:t>
      </w:r>
      <w:proofErr w:type="spellStart"/>
      <w:r w:rsidRPr="00E16672">
        <w:rPr>
          <w:rFonts w:ascii="Times New Roman" w:hAnsi="Times New Roman"/>
          <w:color w:val="000000"/>
          <w:szCs w:val="20"/>
        </w:rPr>
        <w:t>виконання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операцій</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які</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формуються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програмним</w:t>
      </w:r>
      <w:proofErr w:type="spellEnd"/>
      <w:r w:rsidRPr="00E16672">
        <w:rPr>
          <w:rFonts w:ascii="Times New Roman" w:hAnsi="Times New Roman"/>
          <w:color w:val="000000"/>
          <w:szCs w:val="20"/>
        </w:rPr>
        <w:t xml:space="preserve"> комплексом Центрального </w:t>
      </w:r>
      <w:proofErr w:type="spellStart"/>
      <w:r w:rsidRPr="00E16672">
        <w:rPr>
          <w:rFonts w:ascii="Times New Roman" w:hAnsi="Times New Roman"/>
          <w:color w:val="000000"/>
          <w:szCs w:val="20"/>
        </w:rPr>
        <w:t>Депозитарію</w:t>
      </w:r>
      <w:proofErr w:type="spellEnd"/>
      <w:r w:rsidRPr="00E16672">
        <w:rPr>
          <w:rFonts w:ascii="Times New Roman" w:hAnsi="Times New Roman"/>
          <w:color w:val="000000"/>
          <w:szCs w:val="20"/>
        </w:rPr>
        <w:t>.</w:t>
      </w:r>
    </w:p>
    <w:p w14:paraId="0A154B4E" w14:textId="77777777" w:rsidR="00765E37" w:rsidRPr="00E16672" w:rsidRDefault="00765E37" w:rsidP="00765E37">
      <w:pPr>
        <w:tabs>
          <w:tab w:val="left" w:pos="709"/>
        </w:tabs>
        <w:rPr>
          <w:rFonts w:ascii="Times New Roman" w:hAnsi="Times New Roman"/>
          <w:szCs w:val="20"/>
          <w:lang w:val="uk-UA"/>
        </w:rPr>
      </w:pPr>
      <w:r w:rsidRPr="00E16672">
        <w:rPr>
          <w:rFonts w:ascii="Times New Roman" w:hAnsi="Times New Roman"/>
          <w:szCs w:val="20"/>
          <w:lang w:val="uk-UA"/>
        </w:rPr>
        <w:t xml:space="preserve">2.2.5. У випадку початку Депозитарною установою процедури припинення нею провадження професійної діяльності на фондовому ринку - депозитарної діяльності депозитарної установи відповідно до вимог нормативно-правового </w:t>
      </w:r>
      <w:proofErr w:type="spellStart"/>
      <w:r w:rsidRPr="00E16672">
        <w:rPr>
          <w:rFonts w:ascii="Times New Roman" w:hAnsi="Times New Roman"/>
          <w:szCs w:val="20"/>
          <w:lang w:val="uk-UA"/>
        </w:rPr>
        <w:t>акта</w:t>
      </w:r>
      <w:proofErr w:type="spellEnd"/>
      <w:r w:rsidRPr="00E16672">
        <w:rPr>
          <w:rFonts w:ascii="Times New Roman" w:hAnsi="Times New Roman"/>
          <w:szCs w:val="20"/>
          <w:lang w:val="uk-UA"/>
        </w:rPr>
        <w:t xml:space="preserve"> щодо припинення депозитарної діяльності депозитарної установи виконувати тільки ті розпорядження Депонента, керуючого рахунком в цінних паперах Депонента, виконання яких не заборонено цим нормативно-правовим актом. </w:t>
      </w:r>
    </w:p>
    <w:p w14:paraId="6DF6A6C8" w14:textId="77777777" w:rsidR="00765E37" w:rsidRPr="00E16672" w:rsidRDefault="00765E37" w:rsidP="00765E37">
      <w:pPr>
        <w:tabs>
          <w:tab w:val="left" w:pos="709"/>
        </w:tabs>
        <w:rPr>
          <w:rFonts w:ascii="Times New Roman" w:hAnsi="Times New Roman"/>
          <w:szCs w:val="20"/>
          <w:lang w:val="uk-UA"/>
        </w:rPr>
      </w:pPr>
      <w:r w:rsidRPr="00E16672">
        <w:rPr>
          <w:rFonts w:ascii="Times New Roman" w:hAnsi="Times New Roman"/>
          <w:szCs w:val="20"/>
          <w:lang w:val="uk-UA"/>
        </w:rPr>
        <w:t>2.2.6. Вносити зміни до внутрішніх документів Депозитарної установи та тарифів Депозитарної установи</w:t>
      </w:r>
      <w:r w:rsidRPr="00E16672">
        <w:rPr>
          <w:rFonts w:ascii="Times New Roman" w:hAnsi="Times New Roman"/>
          <w:szCs w:val="20"/>
        </w:rPr>
        <w:t>)</w:t>
      </w:r>
      <w:r w:rsidRPr="00E16672">
        <w:rPr>
          <w:rFonts w:ascii="Times New Roman" w:hAnsi="Times New Roman"/>
          <w:szCs w:val="20"/>
          <w:lang w:val="uk-UA"/>
        </w:rPr>
        <w:t>.</w:t>
      </w:r>
    </w:p>
    <w:p w14:paraId="2A693062" w14:textId="77777777" w:rsidR="00765E37" w:rsidRPr="00E16672" w:rsidRDefault="00765E37" w:rsidP="00765E37">
      <w:pPr>
        <w:suppressAutoHyphens w:val="0"/>
        <w:autoSpaceDE w:val="0"/>
        <w:autoSpaceDN w:val="0"/>
        <w:adjustRightInd w:val="0"/>
        <w:rPr>
          <w:rFonts w:ascii="Times New Roman" w:hAnsi="Times New Roman"/>
          <w:strike/>
          <w:color w:val="FF0000"/>
          <w:szCs w:val="20"/>
          <w:lang w:val="uk-UA"/>
        </w:rPr>
      </w:pPr>
      <w:r w:rsidRPr="00E16672">
        <w:rPr>
          <w:rFonts w:ascii="Times New Roman" w:hAnsi="Times New Roman"/>
          <w:szCs w:val="20"/>
          <w:lang w:val="uk-UA"/>
        </w:rPr>
        <w:t xml:space="preserve">2.2.7. Закрити рахунок </w:t>
      </w:r>
      <w:r w:rsidR="00C22309" w:rsidRPr="00E16672">
        <w:rPr>
          <w:rFonts w:ascii="Times New Roman" w:hAnsi="Times New Roman"/>
          <w:szCs w:val="20"/>
          <w:lang w:val="uk-UA"/>
        </w:rPr>
        <w:t>в цін</w:t>
      </w:r>
      <w:r w:rsidRPr="00E16672">
        <w:rPr>
          <w:rFonts w:ascii="Times New Roman" w:hAnsi="Times New Roman"/>
          <w:szCs w:val="20"/>
          <w:lang w:val="uk-UA"/>
        </w:rPr>
        <w:t xml:space="preserve">них паперах Депонента, на якому відсутні права на цінні папери, без розпорядження Депонента про закриття рахунку в цінних паперах та розірвати Договір в односторонньому порядку у разі припинення здійснення Депозитарною установою </w:t>
      </w:r>
      <w:r w:rsidRPr="00E16672">
        <w:rPr>
          <w:rFonts w:ascii="Times New Roman" w:hAnsi="Times New Roman"/>
          <w:szCs w:val="20"/>
          <w:lang w:val="uk-UA" w:eastAsia="uk-UA"/>
        </w:rPr>
        <w:t xml:space="preserve">діяльності депозитарної установи відповідно до вимог нормативно-правового </w:t>
      </w:r>
      <w:proofErr w:type="spellStart"/>
      <w:r w:rsidRPr="00E16672">
        <w:rPr>
          <w:rFonts w:ascii="Times New Roman" w:hAnsi="Times New Roman"/>
          <w:szCs w:val="20"/>
          <w:lang w:val="uk-UA" w:eastAsia="uk-UA"/>
        </w:rPr>
        <w:t>акта</w:t>
      </w:r>
      <w:proofErr w:type="spellEnd"/>
      <w:r w:rsidRPr="00E16672">
        <w:rPr>
          <w:rFonts w:ascii="Times New Roman" w:hAnsi="Times New Roman"/>
          <w:szCs w:val="20"/>
          <w:lang w:val="uk-UA" w:eastAsia="uk-UA"/>
        </w:rPr>
        <w:t xml:space="preserve"> щодо припинення депозитарної діяльності депозитарної установи, у разі виконання безумовної операції списання цінних паперів у порядку спадкування (в тому числі на підставі рішення суду або документів виконавчого провадження), ліквідації юридичної особи, що підтверджується відомостями Єдиного державного реєстру юридичних осіб, фізичних осіб-підприємців та громадських формувань.</w:t>
      </w:r>
      <w:r w:rsidRPr="00E16672">
        <w:rPr>
          <w:rFonts w:ascii="Times New Roman" w:hAnsi="Times New Roman"/>
          <w:szCs w:val="20"/>
          <w:lang w:val="uk-UA"/>
        </w:rPr>
        <w:t>, а також у разі розірвання цього Договору.</w:t>
      </w:r>
    </w:p>
    <w:p w14:paraId="2071DE78" w14:textId="77777777" w:rsidR="00765E37" w:rsidRPr="00E16672" w:rsidRDefault="00765E37" w:rsidP="00022F5F">
      <w:pPr>
        <w:jc w:val="left"/>
        <w:rPr>
          <w:rFonts w:ascii="Times New Roman" w:hAnsi="Times New Roman"/>
          <w:bCs/>
          <w:szCs w:val="20"/>
          <w:lang w:val="uk-UA"/>
        </w:rPr>
      </w:pPr>
      <w:r w:rsidRPr="00E16672">
        <w:rPr>
          <w:rFonts w:ascii="Times New Roman" w:hAnsi="Times New Roman"/>
          <w:szCs w:val="20"/>
          <w:lang w:val="uk-UA"/>
        </w:rPr>
        <w:t xml:space="preserve">2.2.8. </w:t>
      </w:r>
      <w:r w:rsidRPr="00E16672">
        <w:rPr>
          <w:rFonts w:ascii="Times New Roman" w:hAnsi="Times New Roman"/>
          <w:bCs/>
          <w:szCs w:val="20"/>
          <w:lang w:val="uk-UA"/>
        </w:rPr>
        <w:t xml:space="preserve">При здійсненні розрахунків за правочинами щодо цінних паперів з дотриманням принципу </w:t>
      </w:r>
      <w:r w:rsidR="00022F5F">
        <w:rPr>
          <w:rFonts w:ascii="Times New Roman" w:hAnsi="Times New Roman"/>
          <w:bCs/>
          <w:szCs w:val="20"/>
          <w:lang w:val="uk-UA"/>
        </w:rPr>
        <w:t>"</w:t>
      </w:r>
      <w:r w:rsidRPr="00E16672">
        <w:rPr>
          <w:rFonts w:ascii="Times New Roman" w:hAnsi="Times New Roman"/>
          <w:bCs/>
          <w:szCs w:val="20"/>
          <w:lang w:val="uk-UA"/>
        </w:rPr>
        <w:t>поставка цінних паперів проти оплати</w:t>
      </w:r>
      <w:r w:rsidR="00022F5F">
        <w:rPr>
          <w:rFonts w:ascii="Times New Roman" w:hAnsi="Times New Roman"/>
          <w:bCs/>
          <w:szCs w:val="20"/>
          <w:lang w:val="uk-UA"/>
        </w:rPr>
        <w:t>"</w:t>
      </w:r>
      <w:r w:rsidRPr="00E16672">
        <w:rPr>
          <w:rFonts w:ascii="Times New Roman" w:hAnsi="Times New Roman"/>
          <w:bCs/>
          <w:szCs w:val="20"/>
          <w:lang w:val="uk-UA"/>
        </w:rPr>
        <w:t xml:space="preserve"> виконувати на рахунку в цінних паперах Депонента депозитарні операції щодо цінних паперів без розпорядження депонента виключно на підставі розпоряджень та інформації Центрального депозитарію, наданих Депозитарній установі згідно з інформацією, отриманою Центральним депозитарієм від Розрахункового центру чи клірингової установи.</w:t>
      </w:r>
    </w:p>
    <w:p w14:paraId="4B706448" w14:textId="77777777" w:rsidR="00765E37" w:rsidRPr="00E16672" w:rsidRDefault="00765E37" w:rsidP="00765E37">
      <w:pPr>
        <w:rPr>
          <w:rFonts w:ascii="Times New Roman" w:hAnsi="Times New Roman"/>
          <w:szCs w:val="20"/>
          <w:lang w:val="uk-UA"/>
        </w:rPr>
      </w:pPr>
      <w:r w:rsidRPr="00E16672">
        <w:rPr>
          <w:rFonts w:ascii="Times New Roman" w:hAnsi="Times New Roman"/>
          <w:szCs w:val="20"/>
          <w:lang w:val="uk-UA"/>
        </w:rPr>
        <w:t xml:space="preserve">2.2.9. Відмінити облікові операції, які були ініційовані Депозитарною установою у Центральному депозитарії, але не були завершені протягом </w:t>
      </w:r>
      <w:r w:rsidRPr="00E16672">
        <w:rPr>
          <w:rFonts w:ascii="Times New Roman" w:hAnsi="Times New Roman"/>
          <w:i/>
          <w:iCs/>
          <w:szCs w:val="20"/>
          <w:lang w:val="uk-UA"/>
        </w:rPr>
        <w:t>трьох</w:t>
      </w:r>
      <w:r w:rsidRPr="00E16672">
        <w:rPr>
          <w:rFonts w:ascii="Times New Roman" w:hAnsi="Times New Roman"/>
          <w:szCs w:val="20"/>
          <w:lang w:val="uk-UA"/>
        </w:rPr>
        <w:t xml:space="preserve"> робочих днів за підстав, які не залежать від Депозитарної установи, у випадку отримання від Депонента відповідного розпорядження відміни (анулювання) його попереднього розпорядження згідно з внутрішніми документами депозитарної установи відповідно до Правил та інших внутрішніх документів Центрального депозитарію.</w:t>
      </w:r>
    </w:p>
    <w:p w14:paraId="31C3EAF5" w14:textId="77777777" w:rsidR="00765E37" w:rsidRPr="00E16672" w:rsidRDefault="00765E37" w:rsidP="00765E37">
      <w:pPr>
        <w:tabs>
          <w:tab w:val="left" w:pos="851"/>
          <w:tab w:val="left" w:pos="7200"/>
        </w:tabs>
        <w:ind w:firstLine="539"/>
        <w:rPr>
          <w:rFonts w:ascii="Times New Roman" w:hAnsi="Times New Roman"/>
          <w:color w:val="000000"/>
          <w:szCs w:val="20"/>
          <w:lang w:val="uk-UA"/>
        </w:rPr>
      </w:pPr>
      <w:r w:rsidRPr="00E16672">
        <w:rPr>
          <w:rFonts w:ascii="Times New Roman" w:hAnsi="Times New Roman"/>
          <w:szCs w:val="20"/>
          <w:lang w:val="uk-UA"/>
        </w:rPr>
        <w:t xml:space="preserve">2.2.10. </w:t>
      </w:r>
      <w:proofErr w:type="spellStart"/>
      <w:r w:rsidRPr="00E16672">
        <w:rPr>
          <w:rFonts w:ascii="Times New Roman" w:hAnsi="Times New Roman"/>
          <w:szCs w:val="20"/>
          <w:lang w:val="uk-UA"/>
        </w:rPr>
        <w:t>Знерухомити</w:t>
      </w:r>
      <w:proofErr w:type="spellEnd"/>
      <w:r w:rsidRPr="00E16672">
        <w:rPr>
          <w:rFonts w:ascii="Times New Roman" w:hAnsi="Times New Roman"/>
          <w:szCs w:val="20"/>
          <w:lang w:val="uk-UA"/>
        </w:rPr>
        <w:t xml:space="preserve"> належні </w:t>
      </w:r>
      <w:proofErr w:type="spellStart"/>
      <w:r w:rsidRPr="00E16672">
        <w:rPr>
          <w:rFonts w:ascii="Times New Roman" w:hAnsi="Times New Roman"/>
          <w:szCs w:val="20"/>
          <w:lang w:val="uk-UA"/>
        </w:rPr>
        <w:t>Депонент</w:t>
      </w:r>
      <w:r w:rsidR="00C22309" w:rsidRPr="00E16672">
        <w:rPr>
          <w:rFonts w:ascii="Times New Roman" w:hAnsi="Times New Roman"/>
          <w:szCs w:val="20"/>
          <w:lang w:val="uk-UA"/>
        </w:rPr>
        <w:t>в</w:t>
      </w:r>
      <w:proofErr w:type="spellEnd"/>
      <w:r w:rsidR="00C22309" w:rsidRPr="00E16672">
        <w:rPr>
          <w:rFonts w:ascii="Times New Roman" w:hAnsi="Times New Roman"/>
          <w:szCs w:val="20"/>
          <w:lang w:val="uk-UA"/>
        </w:rPr>
        <w:t xml:space="preserve"> цін</w:t>
      </w:r>
      <w:r w:rsidRPr="00E16672">
        <w:rPr>
          <w:rFonts w:ascii="Times New Roman" w:hAnsi="Times New Roman"/>
          <w:szCs w:val="20"/>
          <w:lang w:val="uk-UA"/>
        </w:rPr>
        <w:t xml:space="preserve">ні папери на пред`явника документарної форми існування, шляхом надання Депозитарній установі розпорядження про </w:t>
      </w:r>
      <w:proofErr w:type="spellStart"/>
      <w:r w:rsidRPr="00E16672">
        <w:rPr>
          <w:rFonts w:ascii="Times New Roman" w:hAnsi="Times New Roman"/>
          <w:szCs w:val="20"/>
          <w:lang w:val="uk-UA"/>
        </w:rPr>
        <w:t>знерухомлення</w:t>
      </w:r>
      <w:proofErr w:type="spellEnd"/>
      <w:r w:rsidRPr="00E16672">
        <w:rPr>
          <w:rFonts w:ascii="Times New Roman" w:hAnsi="Times New Roman"/>
          <w:szCs w:val="20"/>
          <w:lang w:val="uk-UA"/>
        </w:rPr>
        <w:t xml:space="preserve"> та зарахування цінних паперів (місце зберігання цінних паперів - Центральний депозитарій) та сертифікатів цінних паперів, приймання яких оформлюється </w:t>
      </w:r>
      <w:r w:rsidRPr="00E16672">
        <w:rPr>
          <w:rFonts w:ascii="Times New Roman" w:hAnsi="Times New Roman"/>
          <w:color w:val="000000"/>
          <w:szCs w:val="20"/>
          <w:lang w:val="uk-UA"/>
        </w:rPr>
        <w:t xml:space="preserve">складанням </w:t>
      </w:r>
      <w:proofErr w:type="spellStart"/>
      <w:r w:rsidRPr="00E16672">
        <w:rPr>
          <w:rFonts w:ascii="Times New Roman" w:hAnsi="Times New Roman"/>
          <w:color w:val="000000"/>
          <w:szCs w:val="20"/>
          <w:lang w:val="uk-UA"/>
        </w:rPr>
        <w:t>акта</w:t>
      </w:r>
      <w:proofErr w:type="spellEnd"/>
      <w:r w:rsidRPr="00E16672">
        <w:rPr>
          <w:rFonts w:ascii="Times New Roman" w:hAnsi="Times New Roman"/>
          <w:color w:val="000000"/>
          <w:szCs w:val="20"/>
          <w:lang w:val="uk-UA"/>
        </w:rPr>
        <w:t xml:space="preserve"> приймання-передавання. </w:t>
      </w:r>
    </w:p>
    <w:p w14:paraId="441999D0" w14:textId="77777777" w:rsidR="00765E37" w:rsidRPr="00E16672" w:rsidRDefault="00765E37" w:rsidP="00765E37">
      <w:pPr>
        <w:rPr>
          <w:rFonts w:ascii="Times New Roman" w:hAnsi="Times New Roman"/>
          <w:color w:val="000000"/>
          <w:szCs w:val="20"/>
          <w:lang w:val="uk-UA"/>
        </w:rPr>
      </w:pPr>
      <w:r w:rsidRPr="00E16672">
        <w:rPr>
          <w:rFonts w:ascii="Times New Roman" w:hAnsi="Times New Roman"/>
          <w:color w:val="000000"/>
          <w:szCs w:val="20"/>
          <w:lang w:val="uk-UA"/>
        </w:rPr>
        <w:t xml:space="preserve">2.2.11. Надавати письмову відмову у видачі виписки з рахунку в цінних паперах у разі невідповідності оформлення розпорядження вимогам </w:t>
      </w:r>
      <w:r w:rsidRPr="00E16672">
        <w:rPr>
          <w:rFonts w:ascii="Times New Roman" w:hAnsi="Times New Roman"/>
          <w:bCs/>
          <w:color w:val="000000"/>
          <w:szCs w:val="20"/>
          <w:lang w:val="uk-UA"/>
        </w:rPr>
        <w:t>Положення про провадження депозитарної діяльності та/або внутрішніх документів Депозитарної установи</w:t>
      </w:r>
      <w:r w:rsidRPr="00E16672">
        <w:rPr>
          <w:rFonts w:ascii="Times New Roman" w:hAnsi="Times New Roman"/>
          <w:color w:val="000000"/>
          <w:szCs w:val="20"/>
          <w:lang w:val="uk-UA"/>
        </w:rPr>
        <w:t xml:space="preserve">. Відмовити Депоненту (розпоряднику рахунку, керуючому рахунком) у взятті до виконання розпорядження (запиту) у випадках, визначених законодавством та внутрішніми документами Депозитарної установи, </w:t>
      </w:r>
      <w:r w:rsidR="00200366" w:rsidRPr="00E16672">
        <w:rPr>
          <w:rFonts w:ascii="Times New Roman" w:hAnsi="Times New Roman"/>
          <w:color w:val="000000"/>
          <w:szCs w:val="20"/>
          <w:lang w:val="uk-UA"/>
        </w:rPr>
        <w:t>в тому числі у разі відмови депонента у приведенні Договору у відповідність до вимог законодавства</w:t>
      </w:r>
      <w:r w:rsidRPr="00E16672">
        <w:rPr>
          <w:rFonts w:ascii="Times New Roman" w:hAnsi="Times New Roman"/>
          <w:color w:val="000000"/>
          <w:szCs w:val="20"/>
          <w:lang w:val="uk-UA"/>
        </w:rPr>
        <w:t>.</w:t>
      </w:r>
    </w:p>
    <w:p w14:paraId="252E8E1E" w14:textId="11727509" w:rsidR="00765E37" w:rsidRDefault="00765E37" w:rsidP="00765E37">
      <w:pPr>
        <w:tabs>
          <w:tab w:val="left" w:pos="709"/>
        </w:tabs>
        <w:rPr>
          <w:rFonts w:ascii="Times New Roman" w:hAnsi="Times New Roman"/>
          <w:color w:val="000000"/>
          <w:szCs w:val="20"/>
          <w:lang w:val="uk-UA"/>
        </w:rPr>
      </w:pPr>
      <w:r w:rsidRPr="00E16672">
        <w:rPr>
          <w:rFonts w:ascii="Times New Roman" w:hAnsi="Times New Roman"/>
          <w:szCs w:val="20"/>
          <w:lang w:val="uk-UA"/>
        </w:rPr>
        <w:t>2.2.1</w:t>
      </w:r>
      <w:r w:rsidRPr="00E16672">
        <w:rPr>
          <w:rFonts w:ascii="Times New Roman" w:hAnsi="Times New Roman"/>
          <w:szCs w:val="20"/>
        </w:rPr>
        <w:t>2</w:t>
      </w:r>
      <w:r w:rsidRPr="00E16672">
        <w:rPr>
          <w:rFonts w:ascii="Times New Roman" w:hAnsi="Times New Roman"/>
          <w:szCs w:val="20"/>
          <w:lang w:val="uk-UA"/>
        </w:rPr>
        <w:t>. Вимагати від Депонента повної та своєчасної оплати своїх послуг згідно умов цього Договору та тарифів Депозитарної установи. Відмовити</w:t>
      </w:r>
      <w:r w:rsidRPr="00E16672">
        <w:rPr>
          <w:rFonts w:ascii="Times New Roman" w:hAnsi="Times New Roman"/>
          <w:szCs w:val="20"/>
        </w:rPr>
        <w:t xml:space="preserve"> в </w:t>
      </w:r>
      <w:proofErr w:type="spellStart"/>
      <w:r w:rsidRPr="00E16672">
        <w:rPr>
          <w:rFonts w:ascii="Times New Roman" w:hAnsi="Times New Roman"/>
          <w:szCs w:val="20"/>
        </w:rPr>
        <w:t>узятті</w:t>
      </w:r>
      <w:proofErr w:type="spellEnd"/>
      <w:r w:rsidRPr="00E16672">
        <w:rPr>
          <w:rFonts w:ascii="Times New Roman" w:hAnsi="Times New Roman"/>
          <w:szCs w:val="20"/>
        </w:rPr>
        <w:t xml:space="preserve"> до </w:t>
      </w:r>
      <w:proofErr w:type="spellStart"/>
      <w:r w:rsidRPr="00E16672">
        <w:rPr>
          <w:rFonts w:ascii="Times New Roman" w:hAnsi="Times New Roman"/>
          <w:szCs w:val="20"/>
        </w:rPr>
        <w:t>виконання</w:t>
      </w:r>
      <w:proofErr w:type="spellEnd"/>
      <w:r w:rsidRPr="00E16672">
        <w:rPr>
          <w:rFonts w:ascii="Times New Roman" w:hAnsi="Times New Roman"/>
          <w:szCs w:val="20"/>
        </w:rPr>
        <w:t xml:space="preserve"> </w:t>
      </w:r>
      <w:proofErr w:type="spellStart"/>
      <w:r w:rsidRPr="00E16672">
        <w:rPr>
          <w:rFonts w:ascii="Times New Roman" w:hAnsi="Times New Roman"/>
          <w:szCs w:val="20"/>
        </w:rPr>
        <w:t>розпорядження</w:t>
      </w:r>
      <w:proofErr w:type="spellEnd"/>
      <w:r w:rsidRPr="00E16672">
        <w:rPr>
          <w:rFonts w:ascii="Times New Roman" w:hAnsi="Times New Roman"/>
          <w:szCs w:val="20"/>
        </w:rPr>
        <w:t xml:space="preserve"> </w:t>
      </w:r>
      <w:r w:rsidRPr="00E16672">
        <w:rPr>
          <w:rFonts w:ascii="Times New Roman" w:hAnsi="Times New Roman"/>
          <w:szCs w:val="20"/>
          <w:lang w:val="uk-UA"/>
        </w:rPr>
        <w:t>у разі несплати Депонентом  депозитарних послуг. П</w:t>
      </w:r>
      <w:r w:rsidRPr="00E16672">
        <w:rPr>
          <w:rFonts w:ascii="Times New Roman" w:hAnsi="Times New Roman"/>
          <w:color w:val="000000"/>
          <w:szCs w:val="20"/>
          <w:lang w:val="uk-UA"/>
        </w:rPr>
        <w:t xml:space="preserve">ризупинити обслуговування рахунку </w:t>
      </w:r>
      <w:r w:rsidR="00C22309" w:rsidRPr="00E16672">
        <w:rPr>
          <w:rFonts w:ascii="Times New Roman" w:hAnsi="Times New Roman"/>
          <w:color w:val="000000"/>
          <w:szCs w:val="20"/>
          <w:lang w:val="uk-UA"/>
        </w:rPr>
        <w:t>в цін</w:t>
      </w:r>
      <w:r w:rsidRPr="00E16672">
        <w:rPr>
          <w:rFonts w:ascii="Times New Roman" w:hAnsi="Times New Roman"/>
          <w:color w:val="000000"/>
          <w:szCs w:val="20"/>
          <w:lang w:val="uk-UA"/>
        </w:rPr>
        <w:t>них паперах Депонента у разі порушення Депонентом цього Договору щодо оплати послуг Депозитарної установи.</w:t>
      </w:r>
    </w:p>
    <w:p w14:paraId="65D8EACC" w14:textId="77777777" w:rsidR="004D34EE" w:rsidRPr="004D34EE" w:rsidRDefault="004D34EE" w:rsidP="004D34EE">
      <w:pPr>
        <w:tabs>
          <w:tab w:val="left" w:pos="709"/>
        </w:tabs>
        <w:rPr>
          <w:rFonts w:ascii="Times New Roman" w:hAnsi="Times New Roman"/>
          <w:color w:val="000000"/>
          <w:szCs w:val="20"/>
          <w:lang w:val="uk-UA"/>
        </w:rPr>
      </w:pPr>
      <w:r w:rsidRPr="004D34EE">
        <w:rPr>
          <w:rFonts w:ascii="Times New Roman" w:hAnsi="Times New Roman"/>
          <w:color w:val="000000"/>
          <w:szCs w:val="20"/>
          <w:lang w:val="uk-UA"/>
        </w:rPr>
        <w:t xml:space="preserve">2.2.13. Вимагати від Депонента надання документів та іншої </w:t>
      </w:r>
      <w:proofErr w:type="spellStart"/>
      <w:r w:rsidRPr="004D34EE">
        <w:rPr>
          <w:rFonts w:ascii="Times New Roman" w:hAnsi="Times New Roman"/>
          <w:color w:val="000000"/>
          <w:szCs w:val="20"/>
          <w:lang w:val="uk-UA"/>
        </w:rPr>
        <w:t>інформаціі</w:t>
      </w:r>
      <w:proofErr w:type="spellEnd"/>
      <w:r w:rsidRPr="004D34EE">
        <w:rPr>
          <w:rFonts w:ascii="Times New Roman" w:hAnsi="Times New Roman"/>
          <w:color w:val="000000"/>
          <w:szCs w:val="20"/>
          <w:lang w:val="uk-UA"/>
        </w:rPr>
        <w:t xml:space="preserve">, необхідної для перевірки Депозитарною установою відповідно до вимог Податкового кодексу України статусу податкового </w:t>
      </w:r>
      <w:proofErr w:type="spellStart"/>
      <w:r w:rsidRPr="004D34EE">
        <w:rPr>
          <w:rFonts w:ascii="Times New Roman" w:hAnsi="Times New Roman"/>
          <w:color w:val="000000"/>
          <w:szCs w:val="20"/>
          <w:lang w:val="uk-UA"/>
        </w:rPr>
        <w:t>резидентства</w:t>
      </w:r>
      <w:proofErr w:type="spellEnd"/>
      <w:r w:rsidRPr="004D34EE">
        <w:rPr>
          <w:rFonts w:ascii="Times New Roman" w:hAnsi="Times New Roman"/>
          <w:color w:val="000000"/>
          <w:szCs w:val="20"/>
          <w:lang w:val="uk-UA"/>
        </w:rPr>
        <w:t xml:space="preserve"> Депонента та його кінцевих </w:t>
      </w:r>
      <w:proofErr w:type="spellStart"/>
      <w:r w:rsidRPr="004D34EE">
        <w:rPr>
          <w:rFonts w:ascii="Times New Roman" w:hAnsi="Times New Roman"/>
          <w:color w:val="000000"/>
          <w:szCs w:val="20"/>
          <w:lang w:val="uk-UA"/>
        </w:rPr>
        <w:t>бенефіціарних</w:t>
      </w:r>
      <w:proofErr w:type="spellEnd"/>
      <w:r w:rsidRPr="004D34EE">
        <w:rPr>
          <w:rFonts w:ascii="Times New Roman" w:hAnsi="Times New Roman"/>
          <w:color w:val="000000"/>
          <w:szCs w:val="20"/>
          <w:lang w:val="uk-UA"/>
        </w:rPr>
        <w:t xml:space="preserve"> власників.</w:t>
      </w:r>
    </w:p>
    <w:p w14:paraId="6F00A2A6" w14:textId="4DB4913D" w:rsidR="004D34EE" w:rsidRPr="00E16672" w:rsidRDefault="004D34EE" w:rsidP="004D34EE">
      <w:pPr>
        <w:tabs>
          <w:tab w:val="left" w:pos="709"/>
        </w:tabs>
        <w:rPr>
          <w:rFonts w:ascii="Times New Roman" w:hAnsi="Times New Roman"/>
          <w:color w:val="000000"/>
          <w:szCs w:val="20"/>
          <w:lang w:val="uk-UA"/>
        </w:rPr>
      </w:pPr>
      <w:r w:rsidRPr="004D34EE">
        <w:rPr>
          <w:rFonts w:ascii="Times New Roman" w:hAnsi="Times New Roman"/>
          <w:color w:val="000000"/>
          <w:szCs w:val="20"/>
          <w:lang w:val="uk-UA"/>
        </w:rPr>
        <w:t>2.2.14. Ненадання Депонентом протягом п’ятнадцяти  календарних днів з дня отримання запиту Депозитарної установи запитуваної інформації та/або документів або надання інформації та/або документів, що не спростовують обґрунтованої підозри депозитарної установи, або надання Депонентом недостовірної інформації для встановлення підзвітності його є підставою для відмови такому Депоненту у виконанні розпоряджень щодо проведення операцій за його рахунком у цінних паперах відповідно до законодавства та внутрішніх документів Депозитарної установи.</w:t>
      </w:r>
    </w:p>
    <w:p w14:paraId="060EC84E" w14:textId="77777777" w:rsidR="00765E37" w:rsidRPr="00E16672" w:rsidRDefault="00765E37" w:rsidP="00765E37">
      <w:pPr>
        <w:tabs>
          <w:tab w:val="left" w:pos="709"/>
        </w:tabs>
        <w:rPr>
          <w:rFonts w:ascii="Times New Roman" w:hAnsi="Times New Roman"/>
          <w:szCs w:val="20"/>
          <w:lang w:val="uk-UA"/>
        </w:rPr>
      </w:pPr>
    </w:p>
    <w:p w14:paraId="0026FCAE" w14:textId="77777777" w:rsidR="00765E37" w:rsidRPr="00E16672" w:rsidRDefault="00765E37" w:rsidP="00765E37">
      <w:pPr>
        <w:tabs>
          <w:tab w:val="left" w:pos="709"/>
        </w:tabs>
        <w:rPr>
          <w:rFonts w:ascii="Times New Roman" w:hAnsi="Times New Roman"/>
          <w:b/>
          <w:szCs w:val="20"/>
          <w:lang w:val="uk-UA"/>
        </w:rPr>
      </w:pPr>
      <w:r w:rsidRPr="00E16672">
        <w:rPr>
          <w:rFonts w:ascii="Times New Roman" w:hAnsi="Times New Roman"/>
          <w:b/>
          <w:szCs w:val="20"/>
          <w:lang w:val="uk-UA"/>
        </w:rPr>
        <w:t>2.3. Депонент зобов’язаний:</w:t>
      </w:r>
    </w:p>
    <w:p w14:paraId="72B8565B" w14:textId="080B52C0" w:rsidR="00765E37" w:rsidRPr="00E16672" w:rsidRDefault="00765E37" w:rsidP="00765E37">
      <w:pPr>
        <w:tabs>
          <w:tab w:val="left" w:pos="709"/>
        </w:tabs>
        <w:rPr>
          <w:rFonts w:ascii="Times New Roman" w:hAnsi="Times New Roman"/>
          <w:szCs w:val="20"/>
          <w:lang w:val="uk-UA"/>
        </w:rPr>
      </w:pPr>
      <w:r w:rsidRPr="00E16672">
        <w:rPr>
          <w:rFonts w:ascii="Times New Roman" w:hAnsi="Times New Roman"/>
          <w:szCs w:val="20"/>
          <w:lang w:val="uk-UA"/>
        </w:rPr>
        <w:t>2.3.1. Надати Депозитарній установі належним чином оформлені документи</w:t>
      </w:r>
      <w:r w:rsidR="004D34EE">
        <w:rPr>
          <w:rFonts w:ascii="Times New Roman" w:hAnsi="Times New Roman"/>
          <w:szCs w:val="20"/>
          <w:lang w:val="uk-UA"/>
        </w:rPr>
        <w:t xml:space="preserve"> </w:t>
      </w:r>
      <w:r w:rsidR="004D34EE" w:rsidRPr="004D34EE">
        <w:rPr>
          <w:rFonts w:ascii="Times New Roman" w:hAnsi="Times New Roman"/>
          <w:szCs w:val="20"/>
          <w:lang w:val="uk-UA"/>
        </w:rPr>
        <w:t>та інформацію</w:t>
      </w:r>
      <w:r w:rsidRPr="00E16672">
        <w:rPr>
          <w:rFonts w:ascii="Times New Roman" w:hAnsi="Times New Roman"/>
          <w:szCs w:val="20"/>
          <w:lang w:val="uk-UA"/>
        </w:rPr>
        <w:t xml:space="preserve">, визначені законодавством та внутрішніми документами Депозитарної установи, необхідні для відкриття рахунку в цінних паперах протягом </w:t>
      </w:r>
      <w:r w:rsidRPr="00E16672">
        <w:rPr>
          <w:rFonts w:ascii="Times New Roman" w:hAnsi="Times New Roman"/>
          <w:i/>
          <w:iCs/>
          <w:szCs w:val="20"/>
          <w:lang w:val="uk-UA"/>
        </w:rPr>
        <w:t>п</w:t>
      </w:r>
      <w:r w:rsidRPr="00E16672">
        <w:rPr>
          <w:rFonts w:ascii="Times New Roman" w:hAnsi="Times New Roman"/>
          <w:i/>
          <w:iCs/>
          <w:szCs w:val="20"/>
        </w:rPr>
        <w:t>'</w:t>
      </w:r>
      <w:proofErr w:type="spellStart"/>
      <w:r w:rsidRPr="00E16672">
        <w:rPr>
          <w:rFonts w:ascii="Times New Roman" w:hAnsi="Times New Roman"/>
          <w:i/>
          <w:iCs/>
          <w:szCs w:val="20"/>
          <w:lang w:val="uk-UA"/>
        </w:rPr>
        <w:t>яти</w:t>
      </w:r>
      <w:proofErr w:type="spellEnd"/>
      <w:r w:rsidRPr="00E16672">
        <w:rPr>
          <w:rFonts w:ascii="Times New Roman" w:hAnsi="Times New Roman"/>
          <w:szCs w:val="20"/>
          <w:lang w:val="uk-UA"/>
        </w:rPr>
        <w:t xml:space="preserve"> робочих днів після укладення цього Договору. Надавати повні та достовірні відомості, документи, передбачені законодавством як обов’язкові для надання, або згідно внутрішніх документів Депозитарної установи необхідні для виконання Депозитарною установою вимог цього  Договору, в тому числі щодо ідентифікації особи.</w:t>
      </w:r>
    </w:p>
    <w:p w14:paraId="24D5D547" w14:textId="77777777" w:rsidR="00765E37" w:rsidRPr="00E16672" w:rsidRDefault="00765E37" w:rsidP="00765E37">
      <w:pPr>
        <w:tabs>
          <w:tab w:val="left" w:pos="709"/>
        </w:tabs>
        <w:rPr>
          <w:rFonts w:ascii="Times New Roman" w:hAnsi="Times New Roman"/>
          <w:szCs w:val="20"/>
          <w:lang w:val="uk-UA"/>
        </w:rPr>
      </w:pPr>
      <w:r w:rsidRPr="00E16672">
        <w:rPr>
          <w:rFonts w:ascii="Times New Roman" w:hAnsi="Times New Roman"/>
          <w:szCs w:val="20"/>
          <w:lang w:val="uk-UA"/>
        </w:rPr>
        <w:t xml:space="preserve">2.3.2. Призначити розпорядника рахунку </w:t>
      </w:r>
      <w:r w:rsidR="00C22309" w:rsidRPr="00E16672">
        <w:rPr>
          <w:rFonts w:ascii="Times New Roman" w:hAnsi="Times New Roman"/>
          <w:szCs w:val="20"/>
          <w:lang w:val="uk-UA"/>
        </w:rPr>
        <w:t>в цін</w:t>
      </w:r>
      <w:r w:rsidRPr="00E16672">
        <w:rPr>
          <w:rFonts w:ascii="Times New Roman" w:hAnsi="Times New Roman"/>
          <w:szCs w:val="20"/>
          <w:lang w:val="uk-UA"/>
        </w:rPr>
        <w:t>них паперах.</w:t>
      </w:r>
    </w:p>
    <w:p w14:paraId="3A63BC2A" w14:textId="77777777" w:rsidR="00765E37" w:rsidRPr="00E16672" w:rsidRDefault="00765E37" w:rsidP="00765E37">
      <w:pPr>
        <w:tabs>
          <w:tab w:val="left" w:pos="709"/>
        </w:tabs>
        <w:rPr>
          <w:rFonts w:ascii="Times New Roman" w:hAnsi="Times New Roman"/>
          <w:color w:val="000000"/>
          <w:szCs w:val="20"/>
          <w:lang w:val="uk-UA"/>
        </w:rPr>
      </w:pPr>
      <w:r w:rsidRPr="00E16672">
        <w:rPr>
          <w:rFonts w:ascii="Times New Roman" w:hAnsi="Times New Roman"/>
          <w:szCs w:val="20"/>
          <w:lang w:val="uk-UA"/>
        </w:rPr>
        <w:t xml:space="preserve">2.3.3.Дотримуватись вимог внутрішніх документів Депозитарної установи, які регламентують відносини </w:t>
      </w:r>
      <w:r w:rsidRPr="00E16672">
        <w:rPr>
          <w:rFonts w:ascii="Times New Roman" w:hAnsi="Times New Roman"/>
          <w:color w:val="000000"/>
          <w:szCs w:val="20"/>
          <w:lang w:val="uk-UA"/>
        </w:rPr>
        <w:t>Депонента та Депозитарної установи.</w:t>
      </w:r>
    </w:p>
    <w:p w14:paraId="1F367A04" w14:textId="77777777" w:rsidR="00765E37" w:rsidRPr="00E16672" w:rsidRDefault="00765E37" w:rsidP="00765E37">
      <w:pPr>
        <w:tabs>
          <w:tab w:val="left" w:pos="709"/>
        </w:tabs>
        <w:rPr>
          <w:rFonts w:ascii="Times New Roman" w:hAnsi="Times New Roman"/>
          <w:color w:val="000000"/>
          <w:szCs w:val="20"/>
          <w:lang w:val="uk-UA"/>
        </w:rPr>
      </w:pPr>
      <w:r w:rsidRPr="00E16672">
        <w:rPr>
          <w:rFonts w:ascii="Times New Roman" w:hAnsi="Times New Roman"/>
          <w:color w:val="000000"/>
          <w:szCs w:val="20"/>
        </w:rPr>
        <w:t xml:space="preserve">2.3.4. </w:t>
      </w:r>
      <w:proofErr w:type="spellStart"/>
      <w:r w:rsidRPr="00E16672">
        <w:rPr>
          <w:rFonts w:ascii="Times New Roman" w:hAnsi="Times New Roman"/>
          <w:color w:val="000000"/>
          <w:szCs w:val="20"/>
        </w:rPr>
        <w:t>Своєчасно</w:t>
      </w:r>
      <w:proofErr w:type="spellEnd"/>
      <w:r w:rsidRPr="00E16672">
        <w:rPr>
          <w:rFonts w:ascii="Times New Roman" w:hAnsi="Times New Roman"/>
          <w:color w:val="000000"/>
          <w:szCs w:val="20"/>
        </w:rPr>
        <w:t xml:space="preserve"> та в </w:t>
      </w:r>
      <w:proofErr w:type="spellStart"/>
      <w:r w:rsidRPr="00E16672">
        <w:rPr>
          <w:rFonts w:ascii="Times New Roman" w:hAnsi="Times New Roman"/>
          <w:color w:val="000000"/>
          <w:szCs w:val="20"/>
        </w:rPr>
        <w:t>повному</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обсязі</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сплачувати</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послуги</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Депозитарної</w:t>
      </w:r>
      <w:proofErr w:type="spellEnd"/>
      <w:r w:rsidRPr="00E16672">
        <w:rPr>
          <w:rFonts w:ascii="Times New Roman" w:hAnsi="Times New Roman"/>
          <w:color w:val="000000"/>
          <w:szCs w:val="20"/>
        </w:rPr>
        <w:t xml:space="preserve"> установи </w:t>
      </w:r>
      <w:proofErr w:type="spellStart"/>
      <w:r w:rsidRPr="00E16672">
        <w:rPr>
          <w:rFonts w:ascii="Times New Roman" w:hAnsi="Times New Roman"/>
          <w:color w:val="000000"/>
          <w:szCs w:val="20"/>
        </w:rPr>
        <w:t>згідно</w:t>
      </w:r>
      <w:proofErr w:type="spellEnd"/>
      <w:r w:rsidRPr="00E16672">
        <w:rPr>
          <w:rFonts w:ascii="Times New Roman" w:hAnsi="Times New Roman"/>
          <w:color w:val="000000"/>
          <w:szCs w:val="20"/>
        </w:rPr>
        <w:t xml:space="preserve"> з </w:t>
      </w:r>
      <w:proofErr w:type="spellStart"/>
      <w:r w:rsidRPr="00E16672">
        <w:rPr>
          <w:rFonts w:ascii="Times New Roman" w:hAnsi="Times New Roman"/>
          <w:color w:val="000000"/>
          <w:szCs w:val="20"/>
        </w:rPr>
        <w:t>умовами</w:t>
      </w:r>
      <w:proofErr w:type="spellEnd"/>
      <w:r w:rsidRPr="00E16672">
        <w:rPr>
          <w:rFonts w:ascii="Times New Roman" w:hAnsi="Times New Roman"/>
          <w:color w:val="000000"/>
          <w:szCs w:val="20"/>
        </w:rPr>
        <w:t xml:space="preserve"> та строками, </w:t>
      </w:r>
      <w:proofErr w:type="spellStart"/>
      <w:r w:rsidRPr="00E16672">
        <w:rPr>
          <w:rFonts w:ascii="Times New Roman" w:hAnsi="Times New Roman"/>
          <w:color w:val="000000"/>
          <w:szCs w:val="20"/>
        </w:rPr>
        <w:t>передбаченими</w:t>
      </w:r>
      <w:proofErr w:type="spellEnd"/>
      <w:r w:rsidRPr="00E16672">
        <w:rPr>
          <w:rFonts w:ascii="Times New Roman" w:hAnsi="Times New Roman"/>
          <w:color w:val="000000"/>
          <w:szCs w:val="20"/>
        </w:rPr>
        <w:t xml:space="preserve"> Договором, та тарифами, </w:t>
      </w:r>
      <w:proofErr w:type="spellStart"/>
      <w:r w:rsidRPr="00E16672">
        <w:rPr>
          <w:rFonts w:ascii="Times New Roman" w:hAnsi="Times New Roman"/>
          <w:color w:val="000000"/>
          <w:szCs w:val="20"/>
        </w:rPr>
        <w:t>встановленими</w:t>
      </w:r>
      <w:proofErr w:type="spellEnd"/>
      <w:r w:rsidRPr="00E16672">
        <w:rPr>
          <w:rFonts w:ascii="Times New Roman" w:hAnsi="Times New Roman"/>
          <w:color w:val="000000"/>
          <w:szCs w:val="20"/>
        </w:rPr>
        <w:t xml:space="preserve"> Депозитарною </w:t>
      </w:r>
      <w:proofErr w:type="spellStart"/>
      <w:r w:rsidRPr="00E16672">
        <w:rPr>
          <w:rFonts w:ascii="Times New Roman" w:hAnsi="Times New Roman"/>
          <w:color w:val="000000"/>
          <w:szCs w:val="20"/>
        </w:rPr>
        <w:t>установою</w:t>
      </w:r>
      <w:proofErr w:type="spellEnd"/>
      <w:r w:rsidRPr="00E16672">
        <w:rPr>
          <w:rFonts w:ascii="Times New Roman" w:hAnsi="Times New Roman"/>
          <w:color w:val="000000"/>
          <w:szCs w:val="20"/>
        </w:rPr>
        <w:t xml:space="preserve"> </w:t>
      </w:r>
      <w:r w:rsidRPr="00E16672">
        <w:rPr>
          <w:rFonts w:ascii="Times New Roman" w:hAnsi="Times New Roman"/>
          <w:color w:val="000000"/>
          <w:szCs w:val="20"/>
          <w:lang w:val="uk-UA"/>
        </w:rPr>
        <w:t xml:space="preserve">на дату надання послуг (у тому числі послуги з надання інформації про корпоративні операції емітентів, </w:t>
      </w:r>
      <w:proofErr w:type="spellStart"/>
      <w:r w:rsidRPr="00E16672">
        <w:rPr>
          <w:rFonts w:ascii="Times New Roman" w:hAnsi="Times New Roman"/>
          <w:color w:val="000000"/>
          <w:szCs w:val="20"/>
        </w:rPr>
        <w:t>іншої</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інформації</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отриманої</w:t>
      </w:r>
      <w:proofErr w:type="spellEnd"/>
      <w:r w:rsidRPr="00E16672">
        <w:rPr>
          <w:rFonts w:ascii="Times New Roman" w:hAnsi="Times New Roman"/>
          <w:color w:val="000000"/>
          <w:szCs w:val="20"/>
        </w:rPr>
        <w:t xml:space="preserve"> </w:t>
      </w:r>
      <w:r w:rsidRPr="00E16672">
        <w:rPr>
          <w:rFonts w:ascii="Times New Roman" w:hAnsi="Times New Roman"/>
          <w:color w:val="000000"/>
          <w:szCs w:val="20"/>
          <w:lang w:val="uk-UA"/>
        </w:rPr>
        <w:t>від Центрального депозитарію згідно вимог чинного законодавства).</w:t>
      </w:r>
    </w:p>
    <w:p w14:paraId="07F3AE5E" w14:textId="77777777" w:rsidR="00765E37" w:rsidRPr="00E16672" w:rsidRDefault="00765E37" w:rsidP="00765E37">
      <w:pPr>
        <w:tabs>
          <w:tab w:val="left" w:pos="709"/>
        </w:tabs>
        <w:rPr>
          <w:rFonts w:ascii="Times New Roman" w:hAnsi="Times New Roman"/>
          <w:color w:val="000000"/>
          <w:szCs w:val="20"/>
        </w:rPr>
      </w:pPr>
      <w:r w:rsidRPr="00E16672">
        <w:rPr>
          <w:rFonts w:ascii="Times New Roman" w:hAnsi="Times New Roman"/>
          <w:color w:val="000000"/>
          <w:szCs w:val="20"/>
        </w:rPr>
        <w:lastRenderedPageBreak/>
        <w:t xml:space="preserve">2.3.5. </w:t>
      </w:r>
      <w:proofErr w:type="spellStart"/>
      <w:r w:rsidRPr="00E16672">
        <w:rPr>
          <w:rFonts w:ascii="Times New Roman" w:hAnsi="Times New Roman"/>
          <w:color w:val="000000"/>
          <w:szCs w:val="20"/>
        </w:rPr>
        <w:t>Сплатити</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Депозитарній</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установі</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повну</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вартість</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отриманих</w:t>
      </w:r>
      <w:proofErr w:type="spellEnd"/>
      <w:r w:rsidRPr="00E16672">
        <w:rPr>
          <w:rFonts w:ascii="Times New Roman" w:hAnsi="Times New Roman"/>
          <w:color w:val="000000"/>
          <w:szCs w:val="20"/>
        </w:rPr>
        <w:t xml:space="preserve">, але не </w:t>
      </w:r>
      <w:proofErr w:type="spellStart"/>
      <w:r w:rsidRPr="00E16672">
        <w:rPr>
          <w:rFonts w:ascii="Times New Roman" w:hAnsi="Times New Roman"/>
          <w:color w:val="000000"/>
          <w:szCs w:val="20"/>
        </w:rPr>
        <w:t>сплачених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послуг</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протягом</w:t>
      </w:r>
      <w:proofErr w:type="spellEnd"/>
      <w:r w:rsidRPr="00E16672">
        <w:rPr>
          <w:rFonts w:ascii="Times New Roman" w:hAnsi="Times New Roman"/>
          <w:color w:val="000000"/>
          <w:szCs w:val="20"/>
        </w:rPr>
        <w:t xml:space="preserve"> </w:t>
      </w:r>
      <w:r w:rsidRPr="00E16672">
        <w:rPr>
          <w:rFonts w:ascii="Times New Roman" w:hAnsi="Times New Roman"/>
          <w:i/>
          <w:iCs/>
          <w:color w:val="000000"/>
          <w:szCs w:val="20"/>
        </w:rPr>
        <w:t>десяти</w:t>
      </w:r>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банківських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днів</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після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отримання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письмового</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повідомлення</w:t>
      </w:r>
      <w:proofErr w:type="spellEnd"/>
      <w:r w:rsidRPr="00E16672">
        <w:rPr>
          <w:rFonts w:ascii="Times New Roman" w:hAnsi="Times New Roman"/>
          <w:color w:val="000000"/>
          <w:szCs w:val="20"/>
        </w:rPr>
        <w:t xml:space="preserve"> про </w:t>
      </w:r>
      <w:proofErr w:type="spellStart"/>
      <w:r w:rsidRPr="00E16672">
        <w:rPr>
          <w:rFonts w:ascii="Times New Roman" w:hAnsi="Times New Roman"/>
          <w:color w:val="000000"/>
          <w:szCs w:val="20"/>
        </w:rPr>
        <w:t>розірвання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цього</w:t>
      </w:r>
      <w:proofErr w:type="spellEnd"/>
      <w:r w:rsidRPr="00E16672">
        <w:rPr>
          <w:rFonts w:ascii="Times New Roman" w:hAnsi="Times New Roman"/>
          <w:color w:val="000000"/>
          <w:szCs w:val="20"/>
        </w:rPr>
        <w:t xml:space="preserve"> Договору.</w:t>
      </w:r>
    </w:p>
    <w:p w14:paraId="2A75077E" w14:textId="77777777" w:rsidR="00765E37" w:rsidRPr="00E16672" w:rsidRDefault="00765E37" w:rsidP="00765E37">
      <w:pPr>
        <w:tabs>
          <w:tab w:val="left" w:pos="709"/>
        </w:tabs>
        <w:rPr>
          <w:rFonts w:ascii="Times New Roman" w:hAnsi="Times New Roman"/>
          <w:color w:val="000000"/>
          <w:szCs w:val="20"/>
          <w:lang w:val="uk-UA"/>
        </w:rPr>
      </w:pPr>
      <w:r w:rsidRPr="00E16672">
        <w:rPr>
          <w:rFonts w:ascii="Times New Roman" w:hAnsi="Times New Roman"/>
          <w:color w:val="000000"/>
          <w:szCs w:val="20"/>
          <w:lang w:val="uk-UA"/>
        </w:rPr>
        <w:t>2.3.6. Надавати Депозитарній установі документи, які передбачені законодавством України та внутрішніми документами Депозитарної установи як обов'язкові для подання або необхідні їй для виконання дій згідно з вимогами законодавства України та умовами Договору.</w:t>
      </w:r>
    </w:p>
    <w:p w14:paraId="66AD4137" w14:textId="77777777" w:rsidR="00765E37" w:rsidRPr="00E16672" w:rsidRDefault="00765E37" w:rsidP="00765E37">
      <w:pPr>
        <w:tabs>
          <w:tab w:val="left" w:pos="709"/>
        </w:tabs>
        <w:rPr>
          <w:rFonts w:ascii="Times New Roman" w:hAnsi="Times New Roman"/>
          <w:szCs w:val="20"/>
          <w:lang w:val="uk-UA"/>
        </w:rPr>
      </w:pPr>
      <w:r w:rsidRPr="00E16672">
        <w:rPr>
          <w:rFonts w:ascii="Times New Roman" w:hAnsi="Times New Roman"/>
          <w:color w:val="000000"/>
          <w:szCs w:val="20"/>
          <w:lang w:val="uk-UA"/>
        </w:rPr>
        <w:t xml:space="preserve">2.3.7. Протягом </w:t>
      </w:r>
      <w:r w:rsidRPr="00E16672">
        <w:rPr>
          <w:rFonts w:ascii="Times New Roman" w:hAnsi="Times New Roman"/>
          <w:i/>
          <w:iCs/>
          <w:color w:val="000000"/>
          <w:szCs w:val="20"/>
          <w:lang w:val="uk-UA"/>
        </w:rPr>
        <w:t xml:space="preserve">десяти </w:t>
      </w:r>
      <w:r w:rsidRPr="00E16672">
        <w:rPr>
          <w:rFonts w:ascii="Times New Roman" w:hAnsi="Times New Roman"/>
          <w:iCs/>
          <w:color w:val="000000"/>
          <w:szCs w:val="20"/>
          <w:lang w:val="uk-UA"/>
        </w:rPr>
        <w:t>робочих днів</w:t>
      </w:r>
      <w:r w:rsidRPr="00E16672">
        <w:rPr>
          <w:rFonts w:ascii="Times New Roman" w:hAnsi="Times New Roman"/>
          <w:i/>
          <w:iCs/>
          <w:color w:val="000000"/>
          <w:szCs w:val="20"/>
          <w:lang w:val="uk-UA"/>
        </w:rPr>
        <w:t xml:space="preserve"> </w:t>
      </w:r>
      <w:r w:rsidRPr="00E16672">
        <w:rPr>
          <w:rFonts w:ascii="Times New Roman" w:hAnsi="Times New Roman"/>
          <w:color w:val="000000"/>
          <w:szCs w:val="20"/>
          <w:lang w:val="uk-UA"/>
        </w:rPr>
        <w:t>з дати внесення відповідних змін до своїх реквізитів (</w:t>
      </w:r>
      <w:r w:rsidRPr="00E16672">
        <w:rPr>
          <w:rFonts w:ascii="Times New Roman" w:hAnsi="Times New Roman"/>
          <w:szCs w:val="20"/>
          <w:lang w:val="uk-UA"/>
        </w:rPr>
        <w:t>в тому числі адреси електронної пошти</w:t>
      </w:r>
      <w:r w:rsidRPr="00E16672">
        <w:rPr>
          <w:rFonts w:ascii="Times New Roman" w:hAnsi="Times New Roman"/>
          <w:color w:val="000000"/>
          <w:szCs w:val="20"/>
          <w:lang w:val="uk-UA"/>
        </w:rPr>
        <w:t xml:space="preserve"> та номера телефону для направлення текстових повідомлень) або документів, що надавалися для відкриття рахунку в цінних паперах, надавати  інформацію про ці зміни Депозитарній установі у порядку, встановленому законодавством</w:t>
      </w:r>
      <w:r w:rsidRPr="00E16672">
        <w:rPr>
          <w:rFonts w:ascii="Times New Roman" w:hAnsi="Times New Roman"/>
          <w:szCs w:val="20"/>
          <w:lang w:val="uk-UA"/>
        </w:rPr>
        <w:t xml:space="preserve"> та внутрішніми документами Депозитарної установи.</w:t>
      </w:r>
    </w:p>
    <w:p w14:paraId="1FABD005" w14:textId="77777777" w:rsidR="00765E37" w:rsidRPr="00E16672" w:rsidRDefault="00765E37" w:rsidP="00765E37">
      <w:pPr>
        <w:tabs>
          <w:tab w:val="left" w:pos="709"/>
        </w:tabs>
        <w:rPr>
          <w:rFonts w:ascii="Times New Roman" w:hAnsi="Times New Roman"/>
          <w:szCs w:val="20"/>
          <w:lang w:val="uk-UA"/>
        </w:rPr>
      </w:pPr>
      <w:r w:rsidRPr="00E16672">
        <w:rPr>
          <w:rFonts w:ascii="Times New Roman" w:hAnsi="Times New Roman"/>
          <w:szCs w:val="20"/>
          <w:lang w:val="uk-UA"/>
        </w:rPr>
        <w:t xml:space="preserve">2.3.8. Протягом </w:t>
      </w:r>
      <w:r w:rsidR="00200366" w:rsidRPr="00E16672">
        <w:rPr>
          <w:rFonts w:ascii="Times New Roman" w:hAnsi="Times New Roman"/>
          <w:i/>
          <w:iCs/>
          <w:szCs w:val="20"/>
          <w:lang w:val="uk-UA"/>
        </w:rPr>
        <w:t>шістдесяти</w:t>
      </w:r>
      <w:r w:rsidRPr="00E16672">
        <w:rPr>
          <w:rFonts w:ascii="Times New Roman" w:hAnsi="Times New Roman"/>
          <w:szCs w:val="20"/>
          <w:lang w:val="uk-UA"/>
        </w:rPr>
        <w:t xml:space="preserve"> календарних днів з дати початку Депозитарною установою процедури припинення нею провадження професійної діяльності на фондовому ринку - депозитарної діяльності депозитарної установи відповідно до вимог нормативно-правового </w:t>
      </w:r>
      <w:proofErr w:type="spellStart"/>
      <w:r w:rsidRPr="00E16672">
        <w:rPr>
          <w:rFonts w:ascii="Times New Roman" w:hAnsi="Times New Roman"/>
          <w:szCs w:val="20"/>
          <w:lang w:val="uk-UA"/>
        </w:rPr>
        <w:t>акта</w:t>
      </w:r>
      <w:proofErr w:type="spellEnd"/>
      <w:r w:rsidRPr="00E16672">
        <w:rPr>
          <w:rFonts w:ascii="Times New Roman" w:hAnsi="Times New Roman"/>
          <w:szCs w:val="20"/>
          <w:lang w:val="uk-UA"/>
        </w:rPr>
        <w:t xml:space="preserve"> щодо припинення депозитарної діяльності депозитарної установи здійснити всі необхідні дії щодо закриття рахунку в цінних паперах.</w:t>
      </w:r>
    </w:p>
    <w:p w14:paraId="1D581F05" w14:textId="77777777" w:rsidR="00765E37" w:rsidRPr="00E16672" w:rsidRDefault="00765E37" w:rsidP="00022F5F">
      <w:pPr>
        <w:jc w:val="left"/>
        <w:rPr>
          <w:rFonts w:ascii="Times New Roman" w:hAnsi="Times New Roman"/>
          <w:color w:val="000000"/>
          <w:szCs w:val="20"/>
          <w:lang w:val="uk-UA"/>
        </w:rPr>
      </w:pPr>
      <w:r w:rsidRPr="00E16672">
        <w:rPr>
          <w:rFonts w:ascii="Times New Roman" w:hAnsi="Times New Roman"/>
          <w:color w:val="000000"/>
          <w:szCs w:val="20"/>
          <w:lang w:val="uk-UA"/>
        </w:rPr>
        <w:t xml:space="preserve">2.3.9. Надавати Депозитарній установі для здійснення розрахунків за правочинами щодо цінних паперів з дотриманням принципу </w:t>
      </w:r>
      <w:r w:rsidR="00022F5F">
        <w:rPr>
          <w:rFonts w:ascii="Times New Roman" w:hAnsi="Times New Roman"/>
          <w:color w:val="000000"/>
          <w:szCs w:val="20"/>
          <w:lang w:val="uk-UA"/>
        </w:rPr>
        <w:t>"</w:t>
      </w:r>
      <w:r w:rsidRPr="00E16672">
        <w:rPr>
          <w:rFonts w:ascii="Times New Roman" w:hAnsi="Times New Roman"/>
          <w:color w:val="000000"/>
          <w:szCs w:val="20"/>
          <w:lang w:val="uk-UA"/>
        </w:rPr>
        <w:t>поставка цінних паперів проти оплати</w:t>
      </w:r>
      <w:r w:rsidR="00022F5F">
        <w:rPr>
          <w:rFonts w:ascii="Times New Roman" w:hAnsi="Times New Roman"/>
          <w:color w:val="000000"/>
          <w:szCs w:val="20"/>
          <w:lang w:val="uk-UA"/>
        </w:rPr>
        <w:t>"</w:t>
      </w:r>
      <w:r w:rsidRPr="00E16672">
        <w:rPr>
          <w:rFonts w:ascii="Times New Roman" w:hAnsi="Times New Roman"/>
          <w:color w:val="000000"/>
          <w:szCs w:val="20"/>
          <w:lang w:val="uk-UA"/>
        </w:rPr>
        <w:t xml:space="preserve"> інформацію про торговця цінними паперами, якому Депонентом надані повноваження на вчинення правочинів щодо цінних паперів в інтересах Депонента, з метою подальшого надання такої інформації Центральному депозитарію та Розрахунковому центру чи кліринговій установі для її відображення у внутрішній системі обліку такої особи.</w:t>
      </w:r>
    </w:p>
    <w:p w14:paraId="58AAB611" w14:textId="7BF8ECD9" w:rsidR="00765E37" w:rsidRDefault="00765E37" w:rsidP="00765E37">
      <w:pPr>
        <w:suppressAutoHyphens w:val="0"/>
        <w:rPr>
          <w:rStyle w:val="rvts0"/>
          <w:rFonts w:ascii="Times New Roman" w:hAnsi="Times New Roman"/>
          <w:color w:val="000000"/>
          <w:szCs w:val="20"/>
        </w:rPr>
      </w:pPr>
      <w:r w:rsidRPr="00E16672">
        <w:rPr>
          <w:rFonts w:ascii="Times New Roman" w:hAnsi="Times New Roman"/>
          <w:iCs/>
          <w:color w:val="000000"/>
          <w:szCs w:val="20"/>
          <w:lang w:val="uk-UA" w:eastAsia="ru-RU"/>
        </w:rPr>
        <w:t xml:space="preserve">2.3.10. Протягом </w:t>
      </w:r>
      <w:r w:rsidRPr="00E16672">
        <w:rPr>
          <w:rFonts w:ascii="Times New Roman" w:hAnsi="Times New Roman"/>
          <w:i/>
          <w:iCs/>
          <w:color w:val="000000"/>
          <w:szCs w:val="20"/>
          <w:lang w:val="uk-UA" w:eastAsia="ru-RU"/>
        </w:rPr>
        <w:t>трьох</w:t>
      </w:r>
      <w:r w:rsidRPr="00E16672">
        <w:rPr>
          <w:rFonts w:ascii="Times New Roman" w:hAnsi="Times New Roman"/>
          <w:iCs/>
          <w:color w:val="000000"/>
          <w:szCs w:val="20"/>
          <w:lang w:val="uk-UA" w:eastAsia="ru-RU"/>
        </w:rPr>
        <w:t xml:space="preserve"> робочих днів з дня настання відповідної події письмово повідомити Депозитарну установу про зміни в інформації, що надавалася Депозитарній установі для здійснення ідентифікації (верифікації), у тому числі </w:t>
      </w:r>
      <w:r w:rsidRPr="00E16672">
        <w:rPr>
          <w:rStyle w:val="rvts0"/>
          <w:rFonts w:ascii="Times New Roman" w:hAnsi="Times New Roman"/>
          <w:color w:val="000000"/>
          <w:szCs w:val="20"/>
          <w:lang w:val="uk-UA"/>
        </w:rPr>
        <w:t xml:space="preserve">щодо кінцевих </w:t>
      </w:r>
      <w:proofErr w:type="spellStart"/>
      <w:r w:rsidRPr="00E16672">
        <w:rPr>
          <w:rStyle w:val="rvts0"/>
          <w:rFonts w:ascii="Times New Roman" w:hAnsi="Times New Roman"/>
          <w:color w:val="000000"/>
          <w:szCs w:val="20"/>
          <w:lang w:val="uk-UA"/>
        </w:rPr>
        <w:t>бенефіціарних</w:t>
      </w:r>
      <w:proofErr w:type="spellEnd"/>
      <w:r w:rsidRPr="00E16672">
        <w:rPr>
          <w:rStyle w:val="rvts0"/>
          <w:rFonts w:ascii="Times New Roman" w:hAnsi="Times New Roman"/>
          <w:color w:val="000000"/>
          <w:szCs w:val="20"/>
          <w:lang w:val="uk-UA"/>
        </w:rPr>
        <w:t xml:space="preserve"> власників (контролерів), та надати засвідчені належним чином копії підтверджуючих документів. </w:t>
      </w:r>
      <w:proofErr w:type="spellStart"/>
      <w:r w:rsidRPr="00E16672">
        <w:rPr>
          <w:rStyle w:val="rvts0"/>
          <w:rFonts w:ascii="Times New Roman" w:hAnsi="Times New Roman"/>
          <w:color w:val="000000"/>
          <w:szCs w:val="20"/>
        </w:rPr>
        <w:t>Повідомлення</w:t>
      </w:r>
      <w:proofErr w:type="spellEnd"/>
      <w:r w:rsidRPr="00E16672">
        <w:rPr>
          <w:rStyle w:val="rvts0"/>
          <w:rFonts w:ascii="Times New Roman" w:hAnsi="Times New Roman"/>
          <w:color w:val="000000"/>
          <w:szCs w:val="20"/>
        </w:rPr>
        <w:t xml:space="preserve"> та </w:t>
      </w:r>
      <w:proofErr w:type="spellStart"/>
      <w:r w:rsidRPr="00E16672">
        <w:rPr>
          <w:rStyle w:val="rvts0"/>
          <w:rFonts w:ascii="Times New Roman" w:hAnsi="Times New Roman"/>
          <w:color w:val="000000"/>
          <w:szCs w:val="20"/>
        </w:rPr>
        <w:t>документи</w:t>
      </w:r>
      <w:proofErr w:type="spellEnd"/>
      <w:r w:rsidRPr="00E16672">
        <w:rPr>
          <w:rStyle w:val="rvts0"/>
          <w:rFonts w:ascii="Times New Roman" w:hAnsi="Times New Roman"/>
          <w:color w:val="000000"/>
          <w:szCs w:val="20"/>
        </w:rPr>
        <w:t xml:space="preserve"> </w:t>
      </w:r>
      <w:proofErr w:type="spellStart"/>
      <w:r w:rsidRPr="00E16672">
        <w:rPr>
          <w:rStyle w:val="rvts0"/>
          <w:rFonts w:ascii="Times New Roman" w:hAnsi="Times New Roman"/>
          <w:color w:val="000000"/>
          <w:szCs w:val="20"/>
        </w:rPr>
        <w:t>можуть</w:t>
      </w:r>
      <w:proofErr w:type="spellEnd"/>
      <w:r w:rsidRPr="00E16672">
        <w:rPr>
          <w:rStyle w:val="rvts0"/>
          <w:rFonts w:ascii="Times New Roman" w:hAnsi="Times New Roman"/>
          <w:color w:val="000000"/>
          <w:szCs w:val="20"/>
        </w:rPr>
        <w:t xml:space="preserve"> </w:t>
      </w:r>
      <w:proofErr w:type="spellStart"/>
      <w:r w:rsidRPr="00E16672">
        <w:rPr>
          <w:rStyle w:val="rvts0"/>
          <w:rFonts w:ascii="Times New Roman" w:hAnsi="Times New Roman"/>
          <w:color w:val="000000"/>
          <w:szCs w:val="20"/>
        </w:rPr>
        <w:t>надаватися</w:t>
      </w:r>
      <w:proofErr w:type="spellEnd"/>
      <w:r w:rsidRPr="00E16672">
        <w:rPr>
          <w:rStyle w:val="rvts0"/>
          <w:rFonts w:ascii="Times New Roman" w:hAnsi="Times New Roman"/>
          <w:color w:val="000000"/>
          <w:szCs w:val="20"/>
        </w:rPr>
        <w:t xml:space="preserve"> </w:t>
      </w:r>
      <w:proofErr w:type="spellStart"/>
      <w:r w:rsidRPr="00E16672">
        <w:rPr>
          <w:rStyle w:val="rvts0"/>
          <w:rFonts w:ascii="Times New Roman" w:hAnsi="Times New Roman"/>
          <w:color w:val="000000"/>
          <w:szCs w:val="20"/>
        </w:rPr>
        <w:t>особисто</w:t>
      </w:r>
      <w:proofErr w:type="spellEnd"/>
      <w:r w:rsidRPr="00E16672">
        <w:rPr>
          <w:rStyle w:val="rvts0"/>
          <w:rFonts w:ascii="Times New Roman" w:hAnsi="Times New Roman"/>
          <w:color w:val="000000"/>
          <w:szCs w:val="20"/>
        </w:rPr>
        <w:t xml:space="preserve">, </w:t>
      </w:r>
      <w:proofErr w:type="spellStart"/>
      <w:r w:rsidRPr="00E16672">
        <w:rPr>
          <w:rStyle w:val="rvts0"/>
          <w:rFonts w:ascii="Times New Roman" w:hAnsi="Times New Roman"/>
          <w:color w:val="000000"/>
          <w:szCs w:val="20"/>
        </w:rPr>
        <w:t>поштою</w:t>
      </w:r>
      <w:proofErr w:type="spellEnd"/>
      <w:r w:rsidRPr="00E16672">
        <w:rPr>
          <w:rStyle w:val="rvts0"/>
          <w:rFonts w:ascii="Times New Roman" w:hAnsi="Times New Roman"/>
          <w:color w:val="000000"/>
          <w:szCs w:val="20"/>
        </w:rPr>
        <w:t xml:space="preserve">, </w:t>
      </w:r>
      <w:proofErr w:type="spellStart"/>
      <w:r w:rsidRPr="00E16672">
        <w:rPr>
          <w:rStyle w:val="rvts0"/>
          <w:rFonts w:ascii="Times New Roman" w:hAnsi="Times New Roman"/>
          <w:color w:val="000000"/>
          <w:szCs w:val="20"/>
        </w:rPr>
        <w:t>кур’єром</w:t>
      </w:r>
      <w:proofErr w:type="spellEnd"/>
      <w:r w:rsidRPr="00E16672">
        <w:rPr>
          <w:rStyle w:val="rvts0"/>
          <w:rFonts w:ascii="Times New Roman" w:hAnsi="Times New Roman"/>
          <w:color w:val="000000"/>
          <w:szCs w:val="20"/>
        </w:rPr>
        <w:t>.</w:t>
      </w:r>
    </w:p>
    <w:p w14:paraId="68008360" w14:textId="77777777" w:rsidR="00746CB3" w:rsidRPr="00746CB3" w:rsidRDefault="00746CB3" w:rsidP="00746CB3">
      <w:pPr>
        <w:suppressAutoHyphens w:val="0"/>
        <w:rPr>
          <w:rFonts w:ascii="Times New Roman" w:hAnsi="Times New Roman"/>
          <w:iCs/>
          <w:color w:val="000000"/>
          <w:szCs w:val="20"/>
          <w:lang w:eastAsia="ru-RU"/>
        </w:rPr>
      </w:pPr>
      <w:proofErr w:type="spellStart"/>
      <w:r w:rsidRPr="00746CB3">
        <w:rPr>
          <w:rFonts w:ascii="Times New Roman" w:hAnsi="Times New Roman"/>
          <w:iCs/>
          <w:color w:val="000000"/>
          <w:szCs w:val="20"/>
          <w:lang w:eastAsia="ru-RU"/>
        </w:rPr>
        <w:t>Надавати</w:t>
      </w:r>
      <w:proofErr w:type="spellEnd"/>
      <w:r w:rsidRPr="00746CB3">
        <w:rPr>
          <w:rFonts w:ascii="Times New Roman" w:hAnsi="Times New Roman"/>
          <w:iCs/>
          <w:color w:val="000000"/>
          <w:szCs w:val="20"/>
          <w:lang w:eastAsia="ru-RU"/>
        </w:rPr>
        <w:t xml:space="preserve"> </w:t>
      </w:r>
      <w:proofErr w:type="spellStart"/>
      <w:r w:rsidRPr="00746CB3">
        <w:rPr>
          <w:rFonts w:ascii="Times New Roman" w:hAnsi="Times New Roman"/>
          <w:iCs/>
          <w:color w:val="000000"/>
          <w:szCs w:val="20"/>
          <w:lang w:eastAsia="ru-RU"/>
        </w:rPr>
        <w:t>інформацію</w:t>
      </w:r>
      <w:proofErr w:type="spellEnd"/>
      <w:r w:rsidRPr="00746CB3">
        <w:rPr>
          <w:rFonts w:ascii="Times New Roman" w:hAnsi="Times New Roman"/>
          <w:iCs/>
          <w:color w:val="000000"/>
          <w:szCs w:val="20"/>
          <w:lang w:eastAsia="ru-RU"/>
        </w:rPr>
        <w:t xml:space="preserve"> про </w:t>
      </w:r>
      <w:proofErr w:type="spellStart"/>
      <w:r w:rsidRPr="00746CB3">
        <w:rPr>
          <w:rFonts w:ascii="Times New Roman" w:hAnsi="Times New Roman"/>
          <w:iCs/>
          <w:color w:val="000000"/>
          <w:szCs w:val="20"/>
          <w:lang w:eastAsia="ru-RU"/>
        </w:rPr>
        <w:t>зміни</w:t>
      </w:r>
      <w:proofErr w:type="spellEnd"/>
      <w:r w:rsidRPr="00746CB3">
        <w:rPr>
          <w:rFonts w:ascii="Times New Roman" w:hAnsi="Times New Roman"/>
          <w:iCs/>
          <w:color w:val="000000"/>
          <w:szCs w:val="20"/>
          <w:lang w:eastAsia="ru-RU"/>
        </w:rPr>
        <w:t xml:space="preserve"> </w:t>
      </w:r>
      <w:proofErr w:type="spellStart"/>
      <w:r w:rsidRPr="00746CB3">
        <w:rPr>
          <w:rFonts w:ascii="Times New Roman" w:hAnsi="Times New Roman"/>
          <w:iCs/>
          <w:color w:val="000000"/>
          <w:szCs w:val="20"/>
          <w:lang w:eastAsia="ru-RU"/>
        </w:rPr>
        <w:t>відповідного</w:t>
      </w:r>
      <w:proofErr w:type="spellEnd"/>
      <w:r w:rsidRPr="00746CB3">
        <w:rPr>
          <w:rFonts w:ascii="Times New Roman" w:hAnsi="Times New Roman"/>
          <w:iCs/>
          <w:color w:val="000000"/>
          <w:szCs w:val="20"/>
          <w:lang w:eastAsia="ru-RU"/>
        </w:rPr>
        <w:t xml:space="preserve"> </w:t>
      </w:r>
      <w:proofErr w:type="spellStart"/>
      <w:r w:rsidRPr="00746CB3">
        <w:rPr>
          <w:rFonts w:ascii="Times New Roman" w:hAnsi="Times New Roman"/>
          <w:iCs/>
          <w:color w:val="000000"/>
          <w:szCs w:val="20"/>
          <w:lang w:eastAsia="ru-RU"/>
        </w:rPr>
        <w:t>власного</w:t>
      </w:r>
      <w:proofErr w:type="spellEnd"/>
      <w:r w:rsidRPr="00746CB3">
        <w:rPr>
          <w:rFonts w:ascii="Times New Roman" w:hAnsi="Times New Roman"/>
          <w:iCs/>
          <w:color w:val="000000"/>
          <w:szCs w:val="20"/>
          <w:lang w:eastAsia="ru-RU"/>
        </w:rPr>
        <w:t xml:space="preserve"> статусу </w:t>
      </w:r>
      <w:proofErr w:type="spellStart"/>
      <w:r w:rsidRPr="00746CB3">
        <w:rPr>
          <w:rFonts w:ascii="Times New Roman" w:hAnsi="Times New Roman"/>
          <w:iCs/>
          <w:color w:val="000000"/>
          <w:szCs w:val="20"/>
          <w:lang w:eastAsia="ru-RU"/>
        </w:rPr>
        <w:t>податкового</w:t>
      </w:r>
      <w:proofErr w:type="spellEnd"/>
      <w:r w:rsidRPr="00746CB3">
        <w:rPr>
          <w:rFonts w:ascii="Times New Roman" w:hAnsi="Times New Roman"/>
          <w:iCs/>
          <w:color w:val="000000"/>
          <w:szCs w:val="20"/>
          <w:lang w:eastAsia="ru-RU"/>
        </w:rPr>
        <w:t xml:space="preserve"> резидентства та статусу </w:t>
      </w:r>
      <w:proofErr w:type="spellStart"/>
      <w:r w:rsidRPr="00746CB3">
        <w:rPr>
          <w:rFonts w:ascii="Times New Roman" w:hAnsi="Times New Roman"/>
          <w:iCs/>
          <w:color w:val="000000"/>
          <w:szCs w:val="20"/>
          <w:lang w:eastAsia="ru-RU"/>
        </w:rPr>
        <w:t>податкового</w:t>
      </w:r>
      <w:proofErr w:type="spellEnd"/>
      <w:r w:rsidRPr="00746CB3">
        <w:rPr>
          <w:rFonts w:ascii="Times New Roman" w:hAnsi="Times New Roman"/>
          <w:iCs/>
          <w:color w:val="000000"/>
          <w:szCs w:val="20"/>
          <w:lang w:eastAsia="ru-RU"/>
        </w:rPr>
        <w:t xml:space="preserve"> резидентства </w:t>
      </w:r>
      <w:proofErr w:type="spellStart"/>
      <w:r w:rsidRPr="00746CB3">
        <w:rPr>
          <w:rFonts w:ascii="Times New Roman" w:hAnsi="Times New Roman"/>
          <w:iCs/>
          <w:color w:val="000000"/>
          <w:szCs w:val="20"/>
          <w:lang w:eastAsia="ru-RU"/>
        </w:rPr>
        <w:t>своїх</w:t>
      </w:r>
      <w:proofErr w:type="spellEnd"/>
      <w:r w:rsidRPr="00746CB3">
        <w:rPr>
          <w:rFonts w:ascii="Times New Roman" w:hAnsi="Times New Roman"/>
          <w:iCs/>
          <w:color w:val="000000"/>
          <w:szCs w:val="20"/>
          <w:lang w:eastAsia="ru-RU"/>
        </w:rPr>
        <w:t xml:space="preserve"> </w:t>
      </w:r>
      <w:proofErr w:type="spellStart"/>
      <w:r w:rsidRPr="00746CB3">
        <w:rPr>
          <w:rFonts w:ascii="Times New Roman" w:hAnsi="Times New Roman"/>
          <w:iCs/>
          <w:color w:val="000000"/>
          <w:szCs w:val="20"/>
          <w:lang w:eastAsia="ru-RU"/>
        </w:rPr>
        <w:t>кінцевих</w:t>
      </w:r>
      <w:proofErr w:type="spellEnd"/>
      <w:r w:rsidRPr="00746CB3">
        <w:rPr>
          <w:rFonts w:ascii="Times New Roman" w:hAnsi="Times New Roman"/>
          <w:iCs/>
          <w:color w:val="000000"/>
          <w:szCs w:val="20"/>
          <w:lang w:eastAsia="ru-RU"/>
        </w:rPr>
        <w:t xml:space="preserve"> </w:t>
      </w:r>
      <w:proofErr w:type="spellStart"/>
      <w:r w:rsidRPr="00746CB3">
        <w:rPr>
          <w:rFonts w:ascii="Times New Roman" w:hAnsi="Times New Roman"/>
          <w:iCs/>
          <w:color w:val="000000"/>
          <w:szCs w:val="20"/>
          <w:lang w:eastAsia="ru-RU"/>
        </w:rPr>
        <w:t>бенефіціарних</w:t>
      </w:r>
      <w:proofErr w:type="spellEnd"/>
      <w:r w:rsidRPr="00746CB3">
        <w:rPr>
          <w:rFonts w:ascii="Times New Roman" w:hAnsi="Times New Roman"/>
          <w:iCs/>
          <w:color w:val="000000"/>
          <w:szCs w:val="20"/>
          <w:lang w:eastAsia="ru-RU"/>
        </w:rPr>
        <w:t xml:space="preserve"> </w:t>
      </w:r>
      <w:proofErr w:type="spellStart"/>
      <w:r w:rsidRPr="00746CB3">
        <w:rPr>
          <w:rFonts w:ascii="Times New Roman" w:hAnsi="Times New Roman"/>
          <w:iCs/>
          <w:color w:val="000000"/>
          <w:szCs w:val="20"/>
          <w:lang w:eastAsia="ru-RU"/>
        </w:rPr>
        <w:t>власників</w:t>
      </w:r>
      <w:proofErr w:type="spellEnd"/>
      <w:r w:rsidRPr="00746CB3">
        <w:rPr>
          <w:rFonts w:ascii="Times New Roman" w:hAnsi="Times New Roman"/>
          <w:iCs/>
          <w:color w:val="000000"/>
          <w:szCs w:val="20"/>
          <w:lang w:eastAsia="ru-RU"/>
        </w:rPr>
        <w:t xml:space="preserve"> </w:t>
      </w:r>
      <w:proofErr w:type="spellStart"/>
      <w:r w:rsidRPr="00746CB3">
        <w:rPr>
          <w:rFonts w:ascii="Times New Roman" w:hAnsi="Times New Roman"/>
          <w:iCs/>
          <w:color w:val="000000"/>
          <w:szCs w:val="20"/>
          <w:lang w:eastAsia="ru-RU"/>
        </w:rPr>
        <w:t>протягом</w:t>
      </w:r>
      <w:proofErr w:type="spellEnd"/>
      <w:r w:rsidRPr="00746CB3">
        <w:rPr>
          <w:rFonts w:ascii="Times New Roman" w:hAnsi="Times New Roman"/>
          <w:iCs/>
          <w:color w:val="000000"/>
          <w:szCs w:val="20"/>
          <w:lang w:eastAsia="ru-RU"/>
        </w:rPr>
        <w:t xml:space="preserve"> десяти </w:t>
      </w:r>
      <w:proofErr w:type="spellStart"/>
      <w:r w:rsidRPr="00746CB3">
        <w:rPr>
          <w:rFonts w:ascii="Times New Roman" w:hAnsi="Times New Roman"/>
          <w:iCs/>
          <w:color w:val="000000"/>
          <w:szCs w:val="20"/>
          <w:lang w:eastAsia="ru-RU"/>
        </w:rPr>
        <w:t>робочих</w:t>
      </w:r>
      <w:proofErr w:type="spellEnd"/>
      <w:r w:rsidRPr="00746CB3">
        <w:rPr>
          <w:rFonts w:ascii="Times New Roman" w:hAnsi="Times New Roman"/>
          <w:iCs/>
          <w:color w:val="000000"/>
          <w:szCs w:val="20"/>
          <w:lang w:eastAsia="ru-RU"/>
        </w:rPr>
        <w:t xml:space="preserve"> </w:t>
      </w:r>
      <w:proofErr w:type="spellStart"/>
      <w:r w:rsidRPr="00746CB3">
        <w:rPr>
          <w:rFonts w:ascii="Times New Roman" w:hAnsi="Times New Roman"/>
          <w:iCs/>
          <w:color w:val="000000"/>
          <w:szCs w:val="20"/>
          <w:lang w:eastAsia="ru-RU"/>
        </w:rPr>
        <w:t>днів</w:t>
      </w:r>
      <w:proofErr w:type="spellEnd"/>
      <w:r w:rsidRPr="00746CB3">
        <w:rPr>
          <w:rFonts w:ascii="Times New Roman" w:hAnsi="Times New Roman"/>
          <w:iCs/>
          <w:color w:val="000000"/>
          <w:szCs w:val="20"/>
          <w:lang w:eastAsia="ru-RU"/>
        </w:rPr>
        <w:t xml:space="preserve"> з дня </w:t>
      </w:r>
      <w:proofErr w:type="spellStart"/>
      <w:r w:rsidRPr="00746CB3">
        <w:rPr>
          <w:rFonts w:ascii="Times New Roman" w:hAnsi="Times New Roman"/>
          <w:iCs/>
          <w:color w:val="000000"/>
          <w:szCs w:val="20"/>
          <w:lang w:eastAsia="ru-RU"/>
        </w:rPr>
        <w:t>настання</w:t>
      </w:r>
      <w:proofErr w:type="spellEnd"/>
      <w:r w:rsidRPr="00746CB3">
        <w:rPr>
          <w:rFonts w:ascii="Times New Roman" w:hAnsi="Times New Roman"/>
          <w:iCs/>
          <w:color w:val="000000"/>
          <w:szCs w:val="20"/>
          <w:lang w:eastAsia="ru-RU"/>
        </w:rPr>
        <w:t xml:space="preserve"> </w:t>
      </w:r>
      <w:proofErr w:type="spellStart"/>
      <w:r w:rsidRPr="00746CB3">
        <w:rPr>
          <w:rFonts w:ascii="Times New Roman" w:hAnsi="Times New Roman"/>
          <w:iCs/>
          <w:color w:val="000000"/>
          <w:szCs w:val="20"/>
          <w:lang w:eastAsia="ru-RU"/>
        </w:rPr>
        <w:t>відповідної</w:t>
      </w:r>
      <w:proofErr w:type="spellEnd"/>
      <w:r w:rsidRPr="00746CB3">
        <w:rPr>
          <w:rFonts w:ascii="Times New Roman" w:hAnsi="Times New Roman"/>
          <w:iCs/>
          <w:color w:val="000000"/>
          <w:szCs w:val="20"/>
          <w:lang w:eastAsia="ru-RU"/>
        </w:rPr>
        <w:t xml:space="preserve"> </w:t>
      </w:r>
      <w:proofErr w:type="spellStart"/>
      <w:r w:rsidRPr="00746CB3">
        <w:rPr>
          <w:rFonts w:ascii="Times New Roman" w:hAnsi="Times New Roman"/>
          <w:iCs/>
          <w:color w:val="000000"/>
          <w:szCs w:val="20"/>
          <w:lang w:eastAsia="ru-RU"/>
        </w:rPr>
        <w:t>зміни</w:t>
      </w:r>
      <w:proofErr w:type="spellEnd"/>
      <w:r w:rsidRPr="00746CB3">
        <w:rPr>
          <w:rFonts w:ascii="Times New Roman" w:hAnsi="Times New Roman"/>
          <w:iCs/>
          <w:color w:val="000000"/>
          <w:szCs w:val="20"/>
          <w:lang w:eastAsia="ru-RU"/>
        </w:rPr>
        <w:t>.</w:t>
      </w:r>
    </w:p>
    <w:p w14:paraId="17A34250" w14:textId="76BCE492" w:rsidR="00746CB3" w:rsidRPr="00E16672" w:rsidRDefault="00746CB3" w:rsidP="00746CB3">
      <w:pPr>
        <w:suppressAutoHyphens w:val="0"/>
        <w:rPr>
          <w:rFonts w:ascii="Times New Roman" w:hAnsi="Times New Roman"/>
          <w:iCs/>
          <w:color w:val="000000"/>
          <w:szCs w:val="20"/>
          <w:lang w:eastAsia="ru-RU"/>
        </w:rPr>
      </w:pPr>
      <w:r w:rsidRPr="00746CB3">
        <w:rPr>
          <w:rFonts w:ascii="Times New Roman" w:hAnsi="Times New Roman"/>
          <w:iCs/>
          <w:color w:val="000000"/>
          <w:szCs w:val="20"/>
          <w:lang w:eastAsia="ru-RU"/>
        </w:rPr>
        <w:t xml:space="preserve">2.3.11. </w:t>
      </w:r>
      <w:proofErr w:type="spellStart"/>
      <w:r w:rsidRPr="00746CB3">
        <w:rPr>
          <w:rFonts w:ascii="Times New Roman" w:hAnsi="Times New Roman"/>
          <w:iCs/>
          <w:color w:val="000000"/>
          <w:szCs w:val="20"/>
          <w:lang w:eastAsia="ru-RU"/>
        </w:rPr>
        <w:t>Надавати</w:t>
      </w:r>
      <w:proofErr w:type="spellEnd"/>
      <w:r w:rsidRPr="00746CB3">
        <w:rPr>
          <w:rFonts w:ascii="Times New Roman" w:hAnsi="Times New Roman"/>
          <w:iCs/>
          <w:color w:val="000000"/>
          <w:szCs w:val="20"/>
          <w:lang w:eastAsia="ru-RU"/>
        </w:rPr>
        <w:t xml:space="preserve"> на запит </w:t>
      </w:r>
      <w:proofErr w:type="spellStart"/>
      <w:r w:rsidRPr="00746CB3">
        <w:rPr>
          <w:rFonts w:ascii="Times New Roman" w:hAnsi="Times New Roman"/>
          <w:iCs/>
          <w:color w:val="000000"/>
          <w:szCs w:val="20"/>
          <w:lang w:eastAsia="ru-RU"/>
        </w:rPr>
        <w:t>Депозитарної</w:t>
      </w:r>
      <w:proofErr w:type="spellEnd"/>
      <w:r w:rsidRPr="00746CB3">
        <w:rPr>
          <w:rFonts w:ascii="Times New Roman" w:hAnsi="Times New Roman"/>
          <w:iCs/>
          <w:color w:val="000000"/>
          <w:szCs w:val="20"/>
          <w:lang w:eastAsia="ru-RU"/>
        </w:rPr>
        <w:t xml:space="preserve"> установи </w:t>
      </w:r>
      <w:proofErr w:type="spellStart"/>
      <w:r w:rsidRPr="00746CB3">
        <w:rPr>
          <w:rFonts w:ascii="Times New Roman" w:hAnsi="Times New Roman"/>
          <w:iCs/>
          <w:color w:val="000000"/>
          <w:szCs w:val="20"/>
          <w:lang w:eastAsia="ru-RU"/>
        </w:rPr>
        <w:t>інформацію</w:t>
      </w:r>
      <w:proofErr w:type="spellEnd"/>
      <w:r w:rsidRPr="00746CB3">
        <w:rPr>
          <w:rFonts w:ascii="Times New Roman" w:hAnsi="Times New Roman"/>
          <w:iCs/>
          <w:color w:val="000000"/>
          <w:szCs w:val="20"/>
          <w:lang w:eastAsia="ru-RU"/>
        </w:rPr>
        <w:t xml:space="preserve"> та </w:t>
      </w:r>
      <w:proofErr w:type="spellStart"/>
      <w:r w:rsidRPr="00746CB3">
        <w:rPr>
          <w:rFonts w:ascii="Times New Roman" w:hAnsi="Times New Roman"/>
          <w:iCs/>
          <w:color w:val="000000"/>
          <w:szCs w:val="20"/>
          <w:lang w:eastAsia="ru-RU"/>
        </w:rPr>
        <w:t>документи</w:t>
      </w:r>
      <w:proofErr w:type="spellEnd"/>
      <w:r w:rsidRPr="00746CB3">
        <w:rPr>
          <w:rFonts w:ascii="Times New Roman" w:hAnsi="Times New Roman"/>
          <w:iCs/>
          <w:color w:val="000000"/>
          <w:szCs w:val="20"/>
          <w:lang w:eastAsia="ru-RU"/>
        </w:rPr>
        <w:t xml:space="preserve"> про </w:t>
      </w:r>
      <w:proofErr w:type="spellStart"/>
      <w:r w:rsidRPr="00746CB3">
        <w:rPr>
          <w:rFonts w:ascii="Times New Roman" w:hAnsi="Times New Roman"/>
          <w:iCs/>
          <w:color w:val="000000"/>
          <w:szCs w:val="20"/>
          <w:lang w:eastAsia="ru-RU"/>
        </w:rPr>
        <w:t>власний</w:t>
      </w:r>
      <w:proofErr w:type="spellEnd"/>
      <w:r w:rsidRPr="00746CB3">
        <w:rPr>
          <w:rFonts w:ascii="Times New Roman" w:hAnsi="Times New Roman"/>
          <w:iCs/>
          <w:color w:val="000000"/>
          <w:szCs w:val="20"/>
          <w:lang w:eastAsia="ru-RU"/>
        </w:rPr>
        <w:t xml:space="preserve"> статус </w:t>
      </w:r>
      <w:proofErr w:type="spellStart"/>
      <w:r w:rsidRPr="00746CB3">
        <w:rPr>
          <w:rFonts w:ascii="Times New Roman" w:hAnsi="Times New Roman"/>
          <w:iCs/>
          <w:color w:val="000000"/>
          <w:szCs w:val="20"/>
          <w:lang w:eastAsia="ru-RU"/>
        </w:rPr>
        <w:t>податкового</w:t>
      </w:r>
      <w:proofErr w:type="spellEnd"/>
      <w:r w:rsidRPr="00746CB3">
        <w:rPr>
          <w:rFonts w:ascii="Times New Roman" w:hAnsi="Times New Roman"/>
          <w:iCs/>
          <w:color w:val="000000"/>
          <w:szCs w:val="20"/>
          <w:lang w:eastAsia="ru-RU"/>
        </w:rPr>
        <w:t xml:space="preserve"> резидентства та статус </w:t>
      </w:r>
      <w:proofErr w:type="spellStart"/>
      <w:r w:rsidRPr="00746CB3">
        <w:rPr>
          <w:rFonts w:ascii="Times New Roman" w:hAnsi="Times New Roman"/>
          <w:iCs/>
          <w:color w:val="000000"/>
          <w:szCs w:val="20"/>
          <w:lang w:eastAsia="ru-RU"/>
        </w:rPr>
        <w:t>податкового</w:t>
      </w:r>
      <w:proofErr w:type="spellEnd"/>
      <w:r w:rsidRPr="00746CB3">
        <w:rPr>
          <w:rFonts w:ascii="Times New Roman" w:hAnsi="Times New Roman"/>
          <w:iCs/>
          <w:color w:val="000000"/>
          <w:szCs w:val="20"/>
          <w:lang w:eastAsia="ru-RU"/>
        </w:rPr>
        <w:t xml:space="preserve"> резидентства </w:t>
      </w:r>
      <w:proofErr w:type="spellStart"/>
      <w:r w:rsidRPr="00746CB3">
        <w:rPr>
          <w:rFonts w:ascii="Times New Roman" w:hAnsi="Times New Roman"/>
          <w:iCs/>
          <w:color w:val="000000"/>
          <w:szCs w:val="20"/>
          <w:lang w:eastAsia="ru-RU"/>
        </w:rPr>
        <w:t>своїх</w:t>
      </w:r>
      <w:proofErr w:type="spellEnd"/>
      <w:r w:rsidRPr="00746CB3">
        <w:rPr>
          <w:rFonts w:ascii="Times New Roman" w:hAnsi="Times New Roman"/>
          <w:iCs/>
          <w:color w:val="000000"/>
          <w:szCs w:val="20"/>
          <w:lang w:eastAsia="ru-RU"/>
        </w:rPr>
        <w:t xml:space="preserve"> </w:t>
      </w:r>
      <w:proofErr w:type="spellStart"/>
      <w:r w:rsidRPr="00746CB3">
        <w:rPr>
          <w:rFonts w:ascii="Times New Roman" w:hAnsi="Times New Roman"/>
          <w:iCs/>
          <w:color w:val="000000"/>
          <w:szCs w:val="20"/>
          <w:lang w:eastAsia="ru-RU"/>
        </w:rPr>
        <w:t>кінцевих</w:t>
      </w:r>
      <w:proofErr w:type="spellEnd"/>
      <w:r w:rsidRPr="00746CB3">
        <w:rPr>
          <w:rFonts w:ascii="Times New Roman" w:hAnsi="Times New Roman"/>
          <w:iCs/>
          <w:color w:val="000000"/>
          <w:szCs w:val="20"/>
          <w:lang w:eastAsia="ru-RU"/>
        </w:rPr>
        <w:t xml:space="preserve"> </w:t>
      </w:r>
      <w:proofErr w:type="spellStart"/>
      <w:r w:rsidRPr="00746CB3">
        <w:rPr>
          <w:rFonts w:ascii="Times New Roman" w:hAnsi="Times New Roman"/>
          <w:iCs/>
          <w:color w:val="000000"/>
          <w:szCs w:val="20"/>
          <w:lang w:eastAsia="ru-RU"/>
        </w:rPr>
        <w:t>бенефіціарних</w:t>
      </w:r>
      <w:proofErr w:type="spellEnd"/>
      <w:r w:rsidRPr="00746CB3">
        <w:rPr>
          <w:rFonts w:ascii="Times New Roman" w:hAnsi="Times New Roman"/>
          <w:iCs/>
          <w:color w:val="000000"/>
          <w:szCs w:val="20"/>
          <w:lang w:eastAsia="ru-RU"/>
        </w:rPr>
        <w:t xml:space="preserve"> </w:t>
      </w:r>
      <w:proofErr w:type="spellStart"/>
      <w:r w:rsidRPr="00746CB3">
        <w:rPr>
          <w:rFonts w:ascii="Times New Roman" w:hAnsi="Times New Roman"/>
          <w:iCs/>
          <w:color w:val="000000"/>
          <w:szCs w:val="20"/>
          <w:lang w:eastAsia="ru-RU"/>
        </w:rPr>
        <w:t>власників</w:t>
      </w:r>
      <w:proofErr w:type="spellEnd"/>
      <w:r w:rsidRPr="00746CB3">
        <w:rPr>
          <w:rFonts w:ascii="Times New Roman" w:hAnsi="Times New Roman"/>
          <w:iCs/>
          <w:color w:val="000000"/>
          <w:szCs w:val="20"/>
          <w:lang w:eastAsia="ru-RU"/>
        </w:rPr>
        <w:t xml:space="preserve">, а </w:t>
      </w:r>
      <w:proofErr w:type="spellStart"/>
      <w:r w:rsidRPr="00746CB3">
        <w:rPr>
          <w:rFonts w:ascii="Times New Roman" w:hAnsi="Times New Roman"/>
          <w:iCs/>
          <w:color w:val="000000"/>
          <w:szCs w:val="20"/>
          <w:lang w:eastAsia="ru-RU"/>
        </w:rPr>
        <w:t>також</w:t>
      </w:r>
      <w:proofErr w:type="spellEnd"/>
      <w:r w:rsidRPr="00746CB3">
        <w:rPr>
          <w:rFonts w:ascii="Times New Roman" w:hAnsi="Times New Roman"/>
          <w:iCs/>
          <w:color w:val="000000"/>
          <w:szCs w:val="20"/>
          <w:lang w:eastAsia="ru-RU"/>
        </w:rPr>
        <w:t xml:space="preserve"> </w:t>
      </w:r>
      <w:proofErr w:type="spellStart"/>
      <w:r w:rsidRPr="00746CB3">
        <w:rPr>
          <w:rFonts w:ascii="Times New Roman" w:hAnsi="Times New Roman"/>
          <w:iCs/>
          <w:color w:val="000000"/>
          <w:szCs w:val="20"/>
          <w:lang w:eastAsia="ru-RU"/>
        </w:rPr>
        <w:t>іншу</w:t>
      </w:r>
      <w:proofErr w:type="spellEnd"/>
      <w:r w:rsidRPr="00746CB3">
        <w:rPr>
          <w:rFonts w:ascii="Times New Roman" w:hAnsi="Times New Roman"/>
          <w:iCs/>
          <w:color w:val="000000"/>
          <w:szCs w:val="20"/>
          <w:lang w:eastAsia="ru-RU"/>
        </w:rPr>
        <w:t xml:space="preserve"> </w:t>
      </w:r>
      <w:proofErr w:type="spellStart"/>
      <w:r w:rsidRPr="00746CB3">
        <w:rPr>
          <w:rFonts w:ascii="Times New Roman" w:hAnsi="Times New Roman"/>
          <w:iCs/>
          <w:color w:val="000000"/>
          <w:szCs w:val="20"/>
          <w:lang w:eastAsia="ru-RU"/>
        </w:rPr>
        <w:t>інформацію</w:t>
      </w:r>
      <w:proofErr w:type="spellEnd"/>
      <w:r w:rsidRPr="00746CB3">
        <w:rPr>
          <w:rFonts w:ascii="Times New Roman" w:hAnsi="Times New Roman"/>
          <w:iCs/>
          <w:color w:val="000000"/>
          <w:szCs w:val="20"/>
          <w:lang w:eastAsia="ru-RU"/>
        </w:rPr>
        <w:t xml:space="preserve"> і </w:t>
      </w:r>
      <w:proofErr w:type="spellStart"/>
      <w:r w:rsidRPr="00746CB3">
        <w:rPr>
          <w:rFonts w:ascii="Times New Roman" w:hAnsi="Times New Roman"/>
          <w:iCs/>
          <w:color w:val="000000"/>
          <w:szCs w:val="20"/>
          <w:lang w:eastAsia="ru-RU"/>
        </w:rPr>
        <w:t>документи</w:t>
      </w:r>
      <w:proofErr w:type="spellEnd"/>
      <w:r w:rsidRPr="00746CB3">
        <w:rPr>
          <w:rFonts w:ascii="Times New Roman" w:hAnsi="Times New Roman"/>
          <w:iCs/>
          <w:color w:val="000000"/>
          <w:szCs w:val="20"/>
          <w:lang w:eastAsia="ru-RU"/>
        </w:rPr>
        <w:t xml:space="preserve">, </w:t>
      </w:r>
      <w:proofErr w:type="spellStart"/>
      <w:r w:rsidRPr="00746CB3">
        <w:rPr>
          <w:rFonts w:ascii="Times New Roman" w:hAnsi="Times New Roman"/>
          <w:iCs/>
          <w:color w:val="000000"/>
          <w:szCs w:val="20"/>
          <w:lang w:eastAsia="ru-RU"/>
        </w:rPr>
        <w:t>необхідні</w:t>
      </w:r>
      <w:proofErr w:type="spellEnd"/>
      <w:r w:rsidRPr="00746CB3">
        <w:rPr>
          <w:rFonts w:ascii="Times New Roman" w:hAnsi="Times New Roman"/>
          <w:iCs/>
          <w:color w:val="000000"/>
          <w:szCs w:val="20"/>
          <w:lang w:eastAsia="ru-RU"/>
        </w:rPr>
        <w:t xml:space="preserve"> для </w:t>
      </w:r>
      <w:proofErr w:type="spellStart"/>
      <w:r w:rsidRPr="00746CB3">
        <w:rPr>
          <w:rFonts w:ascii="Times New Roman" w:hAnsi="Times New Roman"/>
          <w:iCs/>
          <w:color w:val="000000"/>
          <w:szCs w:val="20"/>
          <w:lang w:eastAsia="ru-RU"/>
        </w:rPr>
        <w:t>звітності</w:t>
      </w:r>
      <w:proofErr w:type="spellEnd"/>
      <w:r w:rsidRPr="00746CB3">
        <w:rPr>
          <w:rFonts w:ascii="Times New Roman" w:hAnsi="Times New Roman"/>
          <w:iCs/>
          <w:color w:val="000000"/>
          <w:szCs w:val="20"/>
          <w:lang w:eastAsia="ru-RU"/>
        </w:rPr>
        <w:t xml:space="preserve"> за </w:t>
      </w:r>
      <w:proofErr w:type="spellStart"/>
      <w:r w:rsidRPr="00746CB3">
        <w:rPr>
          <w:rFonts w:ascii="Times New Roman" w:hAnsi="Times New Roman"/>
          <w:iCs/>
          <w:color w:val="000000"/>
          <w:szCs w:val="20"/>
          <w:lang w:eastAsia="ru-RU"/>
        </w:rPr>
        <w:t>підзвітними</w:t>
      </w:r>
      <w:proofErr w:type="spellEnd"/>
      <w:r w:rsidRPr="00746CB3">
        <w:rPr>
          <w:rFonts w:ascii="Times New Roman" w:hAnsi="Times New Roman"/>
          <w:iCs/>
          <w:color w:val="000000"/>
          <w:szCs w:val="20"/>
          <w:lang w:eastAsia="ru-RU"/>
        </w:rPr>
        <w:t xml:space="preserve"> </w:t>
      </w:r>
      <w:proofErr w:type="spellStart"/>
      <w:r w:rsidRPr="00746CB3">
        <w:rPr>
          <w:rFonts w:ascii="Times New Roman" w:hAnsi="Times New Roman"/>
          <w:iCs/>
          <w:color w:val="000000"/>
          <w:szCs w:val="20"/>
          <w:lang w:eastAsia="ru-RU"/>
        </w:rPr>
        <w:t>рахунками</w:t>
      </w:r>
      <w:proofErr w:type="spellEnd"/>
      <w:r w:rsidRPr="00746CB3">
        <w:rPr>
          <w:rFonts w:ascii="Times New Roman" w:hAnsi="Times New Roman"/>
          <w:iCs/>
          <w:color w:val="000000"/>
          <w:szCs w:val="20"/>
          <w:lang w:eastAsia="ru-RU"/>
        </w:rPr>
        <w:t xml:space="preserve">, у тому </w:t>
      </w:r>
      <w:proofErr w:type="spellStart"/>
      <w:r w:rsidRPr="00746CB3">
        <w:rPr>
          <w:rFonts w:ascii="Times New Roman" w:hAnsi="Times New Roman"/>
          <w:iCs/>
          <w:color w:val="000000"/>
          <w:szCs w:val="20"/>
          <w:lang w:eastAsia="ru-RU"/>
        </w:rPr>
        <w:t>числі</w:t>
      </w:r>
      <w:proofErr w:type="spellEnd"/>
      <w:r w:rsidRPr="00746CB3">
        <w:rPr>
          <w:rFonts w:ascii="Times New Roman" w:hAnsi="Times New Roman"/>
          <w:iCs/>
          <w:color w:val="000000"/>
          <w:szCs w:val="20"/>
          <w:lang w:eastAsia="ru-RU"/>
        </w:rPr>
        <w:t xml:space="preserve"> </w:t>
      </w:r>
      <w:proofErr w:type="spellStart"/>
      <w:r w:rsidRPr="00746CB3">
        <w:rPr>
          <w:rFonts w:ascii="Times New Roman" w:hAnsi="Times New Roman"/>
          <w:iCs/>
          <w:color w:val="000000"/>
          <w:szCs w:val="20"/>
          <w:lang w:eastAsia="ru-RU"/>
        </w:rPr>
        <w:t>пояснення</w:t>
      </w:r>
      <w:proofErr w:type="spellEnd"/>
      <w:r w:rsidRPr="00746CB3">
        <w:rPr>
          <w:rFonts w:ascii="Times New Roman" w:hAnsi="Times New Roman"/>
          <w:iCs/>
          <w:color w:val="000000"/>
          <w:szCs w:val="20"/>
          <w:lang w:eastAsia="ru-RU"/>
        </w:rPr>
        <w:t xml:space="preserve"> та </w:t>
      </w:r>
      <w:proofErr w:type="spellStart"/>
      <w:r w:rsidRPr="00746CB3">
        <w:rPr>
          <w:rFonts w:ascii="Times New Roman" w:hAnsi="Times New Roman"/>
          <w:iCs/>
          <w:color w:val="000000"/>
          <w:szCs w:val="20"/>
          <w:lang w:eastAsia="ru-RU"/>
        </w:rPr>
        <w:t>інформацію</w:t>
      </w:r>
      <w:proofErr w:type="spellEnd"/>
      <w:r w:rsidRPr="00746CB3">
        <w:rPr>
          <w:rFonts w:ascii="Times New Roman" w:hAnsi="Times New Roman"/>
          <w:iCs/>
          <w:color w:val="000000"/>
          <w:szCs w:val="20"/>
          <w:lang w:eastAsia="ru-RU"/>
        </w:rPr>
        <w:t xml:space="preserve">, </w:t>
      </w:r>
      <w:proofErr w:type="spellStart"/>
      <w:r w:rsidRPr="00746CB3">
        <w:rPr>
          <w:rFonts w:ascii="Times New Roman" w:hAnsi="Times New Roman"/>
          <w:iCs/>
          <w:color w:val="000000"/>
          <w:szCs w:val="20"/>
          <w:lang w:eastAsia="ru-RU"/>
        </w:rPr>
        <w:t>що</w:t>
      </w:r>
      <w:proofErr w:type="spellEnd"/>
      <w:r w:rsidRPr="00746CB3">
        <w:rPr>
          <w:rFonts w:ascii="Times New Roman" w:hAnsi="Times New Roman"/>
          <w:iCs/>
          <w:color w:val="000000"/>
          <w:szCs w:val="20"/>
          <w:lang w:eastAsia="ru-RU"/>
        </w:rPr>
        <w:t xml:space="preserve"> </w:t>
      </w:r>
      <w:proofErr w:type="spellStart"/>
      <w:r w:rsidRPr="00746CB3">
        <w:rPr>
          <w:rFonts w:ascii="Times New Roman" w:hAnsi="Times New Roman"/>
          <w:iCs/>
          <w:color w:val="000000"/>
          <w:szCs w:val="20"/>
          <w:lang w:eastAsia="ru-RU"/>
        </w:rPr>
        <w:t>стосуються</w:t>
      </w:r>
      <w:proofErr w:type="spellEnd"/>
      <w:r w:rsidRPr="00746CB3">
        <w:rPr>
          <w:rFonts w:ascii="Times New Roman" w:hAnsi="Times New Roman"/>
          <w:iCs/>
          <w:color w:val="000000"/>
          <w:szCs w:val="20"/>
          <w:lang w:eastAsia="ru-RU"/>
        </w:rPr>
        <w:t xml:space="preserve"> </w:t>
      </w:r>
      <w:proofErr w:type="spellStart"/>
      <w:r w:rsidRPr="00746CB3">
        <w:rPr>
          <w:rFonts w:ascii="Times New Roman" w:hAnsi="Times New Roman"/>
          <w:iCs/>
          <w:color w:val="000000"/>
          <w:szCs w:val="20"/>
          <w:lang w:eastAsia="ru-RU"/>
        </w:rPr>
        <w:t>наявної</w:t>
      </w:r>
      <w:proofErr w:type="spellEnd"/>
      <w:r w:rsidRPr="00746CB3">
        <w:rPr>
          <w:rFonts w:ascii="Times New Roman" w:hAnsi="Times New Roman"/>
          <w:iCs/>
          <w:color w:val="000000"/>
          <w:szCs w:val="20"/>
          <w:lang w:eastAsia="ru-RU"/>
        </w:rPr>
        <w:t xml:space="preserve"> у </w:t>
      </w:r>
      <w:proofErr w:type="spellStart"/>
      <w:r w:rsidRPr="00746CB3">
        <w:rPr>
          <w:rFonts w:ascii="Times New Roman" w:hAnsi="Times New Roman"/>
          <w:iCs/>
          <w:color w:val="000000"/>
          <w:szCs w:val="20"/>
          <w:lang w:eastAsia="ru-RU"/>
        </w:rPr>
        <w:t>депозитарної</w:t>
      </w:r>
      <w:proofErr w:type="spellEnd"/>
      <w:r w:rsidRPr="00746CB3">
        <w:rPr>
          <w:rFonts w:ascii="Times New Roman" w:hAnsi="Times New Roman"/>
          <w:iCs/>
          <w:color w:val="000000"/>
          <w:szCs w:val="20"/>
          <w:lang w:eastAsia="ru-RU"/>
        </w:rPr>
        <w:t xml:space="preserve"> установи </w:t>
      </w:r>
      <w:proofErr w:type="spellStart"/>
      <w:r w:rsidRPr="00746CB3">
        <w:rPr>
          <w:rFonts w:ascii="Times New Roman" w:hAnsi="Times New Roman"/>
          <w:iCs/>
          <w:color w:val="000000"/>
          <w:szCs w:val="20"/>
          <w:lang w:eastAsia="ru-RU"/>
        </w:rPr>
        <w:t>обґрунтованої</w:t>
      </w:r>
      <w:proofErr w:type="spellEnd"/>
      <w:r w:rsidRPr="00746CB3">
        <w:rPr>
          <w:rFonts w:ascii="Times New Roman" w:hAnsi="Times New Roman"/>
          <w:iCs/>
          <w:color w:val="000000"/>
          <w:szCs w:val="20"/>
          <w:lang w:eastAsia="ru-RU"/>
        </w:rPr>
        <w:t xml:space="preserve">, документально </w:t>
      </w:r>
      <w:proofErr w:type="spellStart"/>
      <w:r w:rsidRPr="00746CB3">
        <w:rPr>
          <w:rFonts w:ascii="Times New Roman" w:hAnsi="Times New Roman"/>
          <w:iCs/>
          <w:color w:val="000000"/>
          <w:szCs w:val="20"/>
          <w:lang w:eastAsia="ru-RU"/>
        </w:rPr>
        <w:t>підтвердженої</w:t>
      </w:r>
      <w:proofErr w:type="spellEnd"/>
      <w:r w:rsidRPr="00746CB3">
        <w:rPr>
          <w:rFonts w:ascii="Times New Roman" w:hAnsi="Times New Roman"/>
          <w:iCs/>
          <w:color w:val="000000"/>
          <w:szCs w:val="20"/>
          <w:lang w:eastAsia="ru-RU"/>
        </w:rPr>
        <w:t xml:space="preserve"> </w:t>
      </w:r>
      <w:proofErr w:type="spellStart"/>
      <w:r w:rsidRPr="00746CB3">
        <w:rPr>
          <w:rFonts w:ascii="Times New Roman" w:hAnsi="Times New Roman"/>
          <w:iCs/>
          <w:color w:val="000000"/>
          <w:szCs w:val="20"/>
          <w:lang w:eastAsia="ru-RU"/>
        </w:rPr>
        <w:t>підозри</w:t>
      </w:r>
      <w:proofErr w:type="spellEnd"/>
      <w:r w:rsidRPr="00746CB3">
        <w:rPr>
          <w:rFonts w:ascii="Times New Roman" w:hAnsi="Times New Roman"/>
          <w:iCs/>
          <w:color w:val="000000"/>
          <w:szCs w:val="20"/>
          <w:lang w:eastAsia="ru-RU"/>
        </w:rPr>
        <w:t xml:space="preserve">, </w:t>
      </w:r>
      <w:proofErr w:type="spellStart"/>
      <w:r w:rsidRPr="00746CB3">
        <w:rPr>
          <w:rFonts w:ascii="Times New Roman" w:hAnsi="Times New Roman"/>
          <w:iCs/>
          <w:color w:val="000000"/>
          <w:szCs w:val="20"/>
          <w:lang w:eastAsia="ru-RU"/>
        </w:rPr>
        <w:t>що</w:t>
      </w:r>
      <w:proofErr w:type="spellEnd"/>
      <w:r w:rsidRPr="00746CB3">
        <w:rPr>
          <w:rFonts w:ascii="Times New Roman" w:hAnsi="Times New Roman"/>
          <w:iCs/>
          <w:color w:val="000000"/>
          <w:szCs w:val="20"/>
          <w:lang w:eastAsia="ru-RU"/>
        </w:rPr>
        <w:t xml:space="preserve"> </w:t>
      </w:r>
      <w:proofErr w:type="spellStart"/>
      <w:r w:rsidRPr="00746CB3">
        <w:rPr>
          <w:rFonts w:ascii="Times New Roman" w:hAnsi="Times New Roman"/>
          <w:iCs/>
          <w:color w:val="000000"/>
          <w:szCs w:val="20"/>
          <w:lang w:eastAsia="ru-RU"/>
        </w:rPr>
        <w:t>рахунок</w:t>
      </w:r>
      <w:proofErr w:type="spellEnd"/>
      <w:r w:rsidRPr="00746CB3">
        <w:rPr>
          <w:rFonts w:ascii="Times New Roman" w:hAnsi="Times New Roman"/>
          <w:iCs/>
          <w:color w:val="000000"/>
          <w:szCs w:val="20"/>
          <w:lang w:eastAsia="ru-RU"/>
        </w:rPr>
        <w:t xml:space="preserve"> у </w:t>
      </w:r>
      <w:proofErr w:type="spellStart"/>
      <w:r w:rsidRPr="00746CB3">
        <w:rPr>
          <w:rFonts w:ascii="Times New Roman" w:hAnsi="Times New Roman"/>
          <w:iCs/>
          <w:color w:val="000000"/>
          <w:szCs w:val="20"/>
          <w:lang w:eastAsia="ru-RU"/>
        </w:rPr>
        <w:t>цінних</w:t>
      </w:r>
      <w:proofErr w:type="spellEnd"/>
      <w:r w:rsidRPr="00746CB3">
        <w:rPr>
          <w:rFonts w:ascii="Times New Roman" w:hAnsi="Times New Roman"/>
          <w:iCs/>
          <w:color w:val="000000"/>
          <w:szCs w:val="20"/>
          <w:lang w:eastAsia="ru-RU"/>
        </w:rPr>
        <w:t xml:space="preserve"> </w:t>
      </w:r>
      <w:proofErr w:type="spellStart"/>
      <w:r w:rsidRPr="00746CB3">
        <w:rPr>
          <w:rFonts w:ascii="Times New Roman" w:hAnsi="Times New Roman"/>
          <w:iCs/>
          <w:color w:val="000000"/>
          <w:szCs w:val="20"/>
          <w:lang w:eastAsia="ru-RU"/>
        </w:rPr>
        <w:t>паперах</w:t>
      </w:r>
      <w:proofErr w:type="spellEnd"/>
      <w:r w:rsidRPr="00746CB3">
        <w:rPr>
          <w:rFonts w:ascii="Times New Roman" w:hAnsi="Times New Roman"/>
          <w:iCs/>
          <w:color w:val="000000"/>
          <w:szCs w:val="20"/>
          <w:lang w:eastAsia="ru-RU"/>
        </w:rPr>
        <w:t xml:space="preserve"> </w:t>
      </w:r>
      <w:proofErr w:type="spellStart"/>
      <w:r w:rsidRPr="00746CB3">
        <w:rPr>
          <w:rFonts w:ascii="Times New Roman" w:hAnsi="Times New Roman"/>
          <w:iCs/>
          <w:color w:val="000000"/>
          <w:szCs w:val="20"/>
          <w:lang w:eastAsia="ru-RU"/>
        </w:rPr>
        <w:t>належить</w:t>
      </w:r>
      <w:proofErr w:type="spellEnd"/>
      <w:r w:rsidRPr="00746CB3">
        <w:rPr>
          <w:rFonts w:ascii="Times New Roman" w:hAnsi="Times New Roman"/>
          <w:iCs/>
          <w:color w:val="000000"/>
          <w:szCs w:val="20"/>
          <w:lang w:eastAsia="ru-RU"/>
        </w:rPr>
        <w:t xml:space="preserve"> до </w:t>
      </w:r>
      <w:proofErr w:type="spellStart"/>
      <w:r w:rsidRPr="00746CB3">
        <w:rPr>
          <w:rFonts w:ascii="Times New Roman" w:hAnsi="Times New Roman"/>
          <w:iCs/>
          <w:color w:val="000000"/>
          <w:szCs w:val="20"/>
          <w:lang w:eastAsia="ru-RU"/>
        </w:rPr>
        <w:t>підзвітних</w:t>
      </w:r>
      <w:proofErr w:type="spellEnd"/>
      <w:r w:rsidRPr="00746CB3">
        <w:rPr>
          <w:rFonts w:ascii="Times New Roman" w:hAnsi="Times New Roman"/>
          <w:iCs/>
          <w:color w:val="000000"/>
          <w:szCs w:val="20"/>
          <w:lang w:eastAsia="ru-RU"/>
        </w:rPr>
        <w:t>.</w:t>
      </w:r>
    </w:p>
    <w:p w14:paraId="28178D4F" w14:textId="77777777" w:rsidR="00765E37" w:rsidRPr="00E16672" w:rsidRDefault="00765E37" w:rsidP="00765E37">
      <w:pPr>
        <w:tabs>
          <w:tab w:val="left" w:pos="709"/>
        </w:tabs>
        <w:rPr>
          <w:rFonts w:ascii="Times New Roman" w:hAnsi="Times New Roman"/>
          <w:szCs w:val="20"/>
          <w:lang w:val="uk-UA"/>
        </w:rPr>
      </w:pPr>
    </w:p>
    <w:p w14:paraId="2A94CF17" w14:textId="77777777" w:rsidR="00765E37" w:rsidRPr="00E16672" w:rsidRDefault="00765E37" w:rsidP="00765E37">
      <w:pPr>
        <w:tabs>
          <w:tab w:val="left" w:pos="709"/>
        </w:tabs>
        <w:rPr>
          <w:rFonts w:ascii="Times New Roman" w:hAnsi="Times New Roman"/>
          <w:b/>
          <w:szCs w:val="20"/>
          <w:lang w:val="uk-UA"/>
        </w:rPr>
      </w:pPr>
      <w:r w:rsidRPr="00E16672">
        <w:rPr>
          <w:rFonts w:ascii="Times New Roman" w:hAnsi="Times New Roman"/>
          <w:b/>
          <w:szCs w:val="20"/>
          <w:lang w:val="uk-UA"/>
        </w:rPr>
        <w:t>2.4. Депонент має право:</w:t>
      </w:r>
    </w:p>
    <w:p w14:paraId="29D97275" w14:textId="77777777" w:rsidR="00765E37" w:rsidRPr="00E16672" w:rsidRDefault="00765E37" w:rsidP="00765E37">
      <w:pPr>
        <w:tabs>
          <w:tab w:val="left" w:pos="709"/>
        </w:tabs>
        <w:rPr>
          <w:rFonts w:ascii="Times New Roman" w:hAnsi="Times New Roman"/>
          <w:szCs w:val="20"/>
          <w:lang w:val="uk-UA"/>
        </w:rPr>
      </w:pPr>
      <w:r w:rsidRPr="00E16672">
        <w:rPr>
          <w:rFonts w:ascii="Times New Roman" w:hAnsi="Times New Roman"/>
          <w:szCs w:val="20"/>
          <w:lang w:val="uk-UA"/>
        </w:rPr>
        <w:t>2.4.1. Передати власні повноваження щодо відкриття рахунку в цінних паперах іншій особі, уповноваженій діяти від його імені на підставі визначеного законодавством правочину.</w:t>
      </w:r>
    </w:p>
    <w:p w14:paraId="1608C8D3" w14:textId="77777777" w:rsidR="00765E37" w:rsidRPr="00E16672" w:rsidRDefault="00765E37" w:rsidP="00765E37">
      <w:pPr>
        <w:pStyle w:val="ab"/>
        <w:tabs>
          <w:tab w:val="left" w:pos="709"/>
        </w:tabs>
        <w:jc w:val="both"/>
        <w:rPr>
          <w:rFonts w:ascii="Times New Roman" w:hAnsi="Times New Roman"/>
          <w:b w:val="0"/>
        </w:rPr>
      </w:pPr>
      <w:r w:rsidRPr="00E16672">
        <w:rPr>
          <w:rFonts w:ascii="Times New Roman" w:hAnsi="Times New Roman"/>
          <w:b w:val="0"/>
        </w:rPr>
        <w:t>2.4.2. Передати власні повноваження з розпорядження цінними паперами, що обліковуються на його рахунку в цінних паперах, повноваження щодо здійснення прав, що випливають з цінних паперів, керуючому рахунком.</w:t>
      </w:r>
    </w:p>
    <w:p w14:paraId="6A0D03B7" w14:textId="77777777" w:rsidR="00765E37" w:rsidRPr="00E16672" w:rsidRDefault="00765E37" w:rsidP="00765E37">
      <w:pPr>
        <w:pStyle w:val="ab"/>
        <w:jc w:val="both"/>
        <w:rPr>
          <w:rFonts w:ascii="Times New Roman" w:hAnsi="Times New Roman"/>
          <w:b w:val="0"/>
        </w:rPr>
      </w:pPr>
      <w:r w:rsidRPr="00E16672">
        <w:rPr>
          <w:rFonts w:ascii="Times New Roman" w:hAnsi="Times New Roman"/>
          <w:b w:val="0"/>
        </w:rPr>
        <w:t>2.4.3.</w:t>
      </w:r>
      <w:r w:rsidRPr="00E16672">
        <w:rPr>
          <w:rFonts w:ascii="Times New Roman" w:hAnsi="Times New Roman"/>
          <w:b w:val="0"/>
          <w:bCs/>
        </w:rPr>
        <w:t xml:space="preserve"> Призначити керуючого (керуючих) рахунком </w:t>
      </w:r>
      <w:r w:rsidR="00C22309" w:rsidRPr="00E16672">
        <w:rPr>
          <w:rFonts w:ascii="Times New Roman" w:hAnsi="Times New Roman"/>
          <w:b w:val="0"/>
          <w:bCs/>
        </w:rPr>
        <w:t>в цін</w:t>
      </w:r>
      <w:r w:rsidRPr="00E16672">
        <w:rPr>
          <w:rFonts w:ascii="Times New Roman" w:hAnsi="Times New Roman"/>
          <w:b w:val="0"/>
          <w:bCs/>
        </w:rPr>
        <w:t xml:space="preserve">них паперах. </w:t>
      </w:r>
      <w:r w:rsidRPr="00E16672">
        <w:rPr>
          <w:rFonts w:ascii="Times New Roman" w:hAnsi="Times New Roman"/>
          <w:b w:val="0"/>
        </w:rPr>
        <w:t xml:space="preserve">Власник має право розділити повноваження з управління рахунком </w:t>
      </w:r>
      <w:r w:rsidR="00C22309" w:rsidRPr="00E16672">
        <w:rPr>
          <w:rFonts w:ascii="Times New Roman" w:hAnsi="Times New Roman"/>
          <w:b w:val="0"/>
        </w:rPr>
        <w:t>в цін</w:t>
      </w:r>
      <w:r w:rsidRPr="00E16672">
        <w:rPr>
          <w:rFonts w:ascii="Times New Roman" w:hAnsi="Times New Roman"/>
          <w:b w:val="0"/>
        </w:rPr>
        <w:t>них паперах серед декількох керуючих рахунком. Різним керуючим рахунком - професійним учасникам фондового ринку не можуть делегуватися однакові повноваження. За певним випуском цінних паперів може бути визначений тільки один керуючий рахунком.</w:t>
      </w:r>
    </w:p>
    <w:p w14:paraId="1054851C" w14:textId="77777777" w:rsidR="00765E37" w:rsidRPr="00E16672" w:rsidRDefault="00765E37" w:rsidP="00765E37">
      <w:pPr>
        <w:tabs>
          <w:tab w:val="left" w:pos="709"/>
        </w:tabs>
        <w:rPr>
          <w:rFonts w:ascii="Times New Roman" w:hAnsi="Times New Roman"/>
          <w:color w:val="000000"/>
          <w:szCs w:val="20"/>
          <w:lang w:val="uk-UA"/>
        </w:rPr>
      </w:pPr>
      <w:r w:rsidRPr="00E16672">
        <w:rPr>
          <w:rFonts w:ascii="Times New Roman" w:hAnsi="Times New Roman"/>
          <w:szCs w:val="20"/>
          <w:lang w:val="uk-UA"/>
        </w:rPr>
        <w:t xml:space="preserve">2.4.4. Вимагати від Депозитарної установи своєчасного виконання своїх розпоряджень на рахунку </w:t>
      </w:r>
      <w:r w:rsidR="00C22309" w:rsidRPr="00E16672">
        <w:rPr>
          <w:rFonts w:ascii="Times New Roman" w:hAnsi="Times New Roman"/>
          <w:szCs w:val="20"/>
          <w:lang w:val="uk-UA"/>
        </w:rPr>
        <w:t>в цін</w:t>
      </w:r>
      <w:r w:rsidRPr="00E16672">
        <w:rPr>
          <w:rFonts w:ascii="Times New Roman" w:hAnsi="Times New Roman"/>
          <w:szCs w:val="20"/>
          <w:lang w:val="uk-UA"/>
        </w:rPr>
        <w:t xml:space="preserve">них паперах та отримувати відповідно до умов Договору повну інформацію щодо цінних паперів, прав на цінні папери, які обліковуються на рахунку </w:t>
      </w:r>
      <w:r w:rsidR="00C22309" w:rsidRPr="00E16672">
        <w:rPr>
          <w:rFonts w:ascii="Times New Roman" w:hAnsi="Times New Roman"/>
          <w:szCs w:val="20"/>
          <w:lang w:val="uk-UA"/>
        </w:rPr>
        <w:t>в цін</w:t>
      </w:r>
      <w:r w:rsidRPr="00E16672">
        <w:rPr>
          <w:rFonts w:ascii="Times New Roman" w:hAnsi="Times New Roman"/>
          <w:szCs w:val="20"/>
          <w:lang w:val="uk-UA"/>
        </w:rPr>
        <w:t>них паперах Депонента.</w:t>
      </w:r>
    </w:p>
    <w:p w14:paraId="15833FCB" w14:textId="77777777" w:rsidR="00765E37" w:rsidRPr="00E16672" w:rsidRDefault="00765E37" w:rsidP="00765E37">
      <w:pPr>
        <w:pStyle w:val="ab"/>
        <w:tabs>
          <w:tab w:val="left" w:pos="709"/>
        </w:tabs>
        <w:jc w:val="both"/>
        <w:rPr>
          <w:rFonts w:ascii="Times New Roman" w:hAnsi="Times New Roman"/>
          <w:b w:val="0"/>
        </w:rPr>
      </w:pPr>
      <w:r w:rsidRPr="00E16672">
        <w:rPr>
          <w:rFonts w:ascii="Times New Roman" w:hAnsi="Times New Roman"/>
          <w:b w:val="0"/>
        </w:rPr>
        <w:t xml:space="preserve">2.4.5. Вимагати від Депозитарної установи виконання умов обслуговування </w:t>
      </w:r>
      <w:proofErr w:type="spellStart"/>
      <w:r w:rsidRPr="00E16672">
        <w:rPr>
          <w:rFonts w:ascii="Times New Roman" w:hAnsi="Times New Roman"/>
          <w:b w:val="0"/>
        </w:rPr>
        <w:t>обіг</w:t>
      </w:r>
      <w:r w:rsidR="00C22309" w:rsidRPr="00E16672">
        <w:rPr>
          <w:rFonts w:ascii="Times New Roman" w:hAnsi="Times New Roman"/>
          <w:b w:val="0"/>
        </w:rPr>
        <w:t>в</w:t>
      </w:r>
      <w:proofErr w:type="spellEnd"/>
      <w:r w:rsidR="00C22309" w:rsidRPr="00E16672">
        <w:rPr>
          <w:rFonts w:ascii="Times New Roman" w:hAnsi="Times New Roman"/>
          <w:b w:val="0"/>
        </w:rPr>
        <w:t xml:space="preserve"> цін</w:t>
      </w:r>
      <w:r w:rsidRPr="00E16672">
        <w:rPr>
          <w:rFonts w:ascii="Times New Roman" w:hAnsi="Times New Roman"/>
          <w:b w:val="0"/>
        </w:rPr>
        <w:t xml:space="preserve">них паперів на рахунку </w:t>
      </w:r>
      <w:r w:rsidR="00C22309" w:rsidRPr="00E16672">
        <w:rPr>
          <w:rFonts w:ascii="Times New Roman" w:hAnsi="Times New Roman"/>
          <w:b w:val="0"/>
        </w:rPr>
        <w:t>в цін</w:t>
      </w:r>
      <w:r w:rsidRPr="00E16672">
        <w:rPr>
          <w:rFonts w:ascii="Times New Roman" w:hAnsi="Times New Roman"/>
          <w:b w:val="0"/>
        </w:rPr>
        <w:t xml:space="preserve">них паперах Депонента, обліку прав на цінні папери та їх обмежень на рахунках </w:t>
      </w:r>
      <w:r w:rsidR="00C22309" w:rsidRPr="00E16672">
        <w:rPr>
          <w:rFonts w:ascii="Times New Roman" w:hAnsi="Times New Roman"/>
          <w:b w:val="0"/>
        </w:rPr>
        <w:t>в цін</w:t>
      </w:r>
      <w:r w:rsidRPr="00E16672">
        <w:rPr>
          <w:rFonts w:ascii="Times New Roman" w:hAnsi="Times New Roman"/>
          <w:b w:val="0"/>
        </w:rPr>
        <w:t>них паперах Депонента.</w:t>
      </w:r>
    </w:p>
    <w:p w14:paraId="67330032" w14:textId="77777777" w:rsidR="00765E37" w:rsidRPr="00E16672" w:rsidRDefault="00765E37" w:rsidP="00765E37">
      <w:pPr>
        <w:pStyle w:val="ab"/>
        <w:tabs>
          <w:tab w:val="left" w:pos="709"/>
        </w:tabs>
        <w:jc w:val="both"/>
        <w:rPr>
          <w:rFonts w:ascii="Times New Roman" w:hAnsi="Times New Roman"/>
          <w:b w:val="0"/>
        </w:rPr>
      </w:pPr>
      <w:r w:rsidRPr="00E16672">
        <w:rPr>
          <w:rFonts w:ascii="Times New Roman" w:hAnsi="Times New Roman"/>
          <w:b w:val="0"/>
        </w:rPr>
        <w:t xml:space="preserve">2.4.6. У випадку початку Депозитарною установою  процедури припинення ним провадження професійної діяльності на фондовому ринку - депозитарної діяльності, а саме депозитарної діяльності депозитарної установи відповідно до вимог  відповідно до вимог нормативно-правового </w:t>
      </w:r>
      <w:proofErr w:type="spellStart"/>
      <w:r w:rsidRPr="00E16672">
        <w:rPr>
          <w:rFonts w:ascii="Times New Roman" w:hAnsi="Times New Roman"/>
          <w:b w:val="0"/>
        </w:rPr>
        <w:t>акта</w:t>
      </w:r>
      <w:proofErr w:type="spellEnd"/>
      <w:r w:rsidRPr="00E16672">
        <w:rPr>
          <w:rFonts w:ascii="Times New Roman" w:hAnsi="Times New Roman"/>
          <w:b w:val="0"/>
        </w:rPr>
        <w:t xml:space="preserve"> щодо припинення депозитарної діяльності депозитарної установи, надавати тільки ті розпорядження щодо  цінних паперів, що належать йому, виконання яких не заборонено законодавством.</w:t>
      </w:r>
    </w:p>
    <w:p w14:paraId="2A9B79DF" w14:textId="77777777" w:rsidR="00765E37" w:rsidRPr="00E16672" w:rsidRDefault="00765E37" w:rsidP="00022F5F">
      <w:pPr>
        <w:jc w:val="left"/>
        <w:rPr>
          <w:rFonts w:ascii="Times New Roman" w:hAnsi="Times New Roman"/>
          <w:color w:val="000000"/>
          <w:szCs w:val="20"/>
          <w:lang w:val="uk-UA"/>
        </w:rPr>
      </w:pPr>
      <w:r w:rsidRPr="00E16672">
        <w:rPr>
          <w:rFonts w:ascii="Times New Roman" w:hAnsi="Times New Roman"/>
          <w:color w:val="000000"/>
          <w:szCs w:val="20"/>
          <w:lang w:val="uk-UA"/>
        </w:rPr>
        <w:t xml:space="preserve">2.4.7. </w:t>
      </w:r>
      <w:r w:rsidRPr="00E16672">
        <w:rPr>
          <w:rFonts w:ascii="Times New Roman" w:hAnsi="Times New Roman"/>
          <w:bCs/>
          <w:color w:val="000000"/>
          <w:szCs w:val="20"/>
          <w:lang w:val="uk-UA"/>
        </w:rPr>
        <w:t>Н</w:t>
      </w:r>
      <w:r w:rsidRPr="00E16672">
        <w:rPr>
          <w:rFonts w:ascii="Times New Roman" w:hAnsi="Times New Roman"/>
          <w:color w:val="000000"/>
          <w:szCs w:val="20"/>
          <w:lang w:val="uk-UA"/>
        </w:rPr>
        <w:t xml:space="preserve">адавати Депозитарній установі інформацію лише щодо одного торговця цінними паперами, якому Депонентом надані повноваження на вчинення правочинів щодо цінних паперів в інтересах Депонента, які виконуються із забезпеченням здійснення розрахунків за правочинами щодо цінних паперів з дотриманням принципу </w:t>
      </w:r>
      <w:r w:rsidR="00022F5F">
        <w:rPr>
          <w:rFonts w:ascii="Times New Roman" w:hAnsi="Times New Roman"/>
          <w:color w:val="000000"/>
          <w:szCs w:val="20"/>
          <w:lang w:val="uk-UA"/>
        </w:rPr>
        <w:t>"</w:t>
      </w:r>
      <w:r w:rsidRPr="00E16672">
        <w:rPr>
          <w:rFonts w:ascii="Times New Roman" w:hAnsi="Times New Roman"/>
          <w:color w:val="000000"/>
          <w:szCs w:val="20"/>
          <w:lang w:val="uk-UA"/>
        </w:rPr>
        <w:t>поставка цінних паперів проти оплати</w:t>
      </w:r>
      <w:r w:rsidR="00022F5F">
        <w:rPr>
          <w:rFonts w:ascii="Times New Roman" w:hAnsi="Times New Roman"/>
          <w:color w:val="000000"/>
          <w:szCs w:val="20"/>
          <w:lang w:val="uk-UA"/>
        </w:rPr>
        <w:t>"</w:t>
      </w:r>
      <w:r w:rsidRPr="00E16672">
        <w:rPr>
          <w:rFonts w:ascii="Times New Roman" w:hAnsi="Times New Roman"/>
          <w:color w:val="000000"/>
          <w:szCs w:val="20"/>
          <w:lang w:val="uk-UA"/>
        </w:rPr>
        <w:t>.</w:t>
      </w:r>
    </w:p>
    <w:p w14:paraId="299F3595" w14:textId="77777777" w:rsidR="00D960B4" w:rsidRPr="00E16672" w:rsidRDefault="00D960B4" w:rsidP="00022F5F">
      <w:pPr>
        <w:jc w:val="left"/>
        <w:rPr>
          <w:rFonts w:ascii="Times New Roman" w:hAnsi="Times New Roman"/>
          <w:color w:val="000000"/>
          <w:szCs w:val="20"/>
          <w:lang w:val="uk-UA"/>
        </w:rPr>
      </w:pPr>
      <w:r w:rsidRPr="00E16672">
        <w:rPr>
          <w:rFonts w:ascii="Times New Roman" w:hAnsi="Times New Roman"/>
          <w:szCs w:val="20"/>
          <w:lang w:val="uk-UA"/>
        </w:rPr>
        <w:t>2.4.8. Отримувати інформацію про умови та порядок діяльності депозитарної установи з урахуванням вимог, встановлених</w:t>
      </w:r>
      <w:r w:rsidRPr="00E16672">
        <w:rPr>
          <w:rFonts w:ascii="Times New Roman" w:hAnsi="Times New Roman"/>
          <w:szCs w:val="20"/>
        </w:rPr>
        <w:t> </w:t>
      </w:r>
      <w:r w:rsidRPr="00E16672">
        <w:rPr>
          <w:rFonts w:ascii="Times New Roman" w:hAnsi="Times New Roman"/>
          <w:szCs w:val="20"/>
          <w:lang w:val="uk-UA"/>
        </w:rPr>
        <w:t xml:space="preserve">частиною першою статті 12 Закону України </w:t>
      </w:r>
      <w:r w:rsidR="00022F5F">
        <w:rPr>
          <w:rFonts w:ascii="Times New Roman" w:hAnsi="Times New Roman"/>
          <w:szCs w:val="20"/>
          <w:lang w:val="uk-UA"/>
        </w:rPr>
        <w:t>"</w:t>
      </w:r>
      <w:r w:rsidRPr="00E16672">
        <w:rPr>
          <w:rFonts w:ascii="Times New Roman" w:hAnsi="Times New Roman"/>
          <w:szCs w:val="20"/>
          <w:lang w:val="uk-UA"/>
        </w:rPr>
        <w:t>Про фінансові послуги та державне регулювання ринків фінансових послуг</w:t>
      </w:r>
      <w:r w:rsidR="00022F5F">
        <w:rPr>
          <w:rFonts w:ascii="Times New Roman" w:hAnsi="Times New Roman"/>
          <w:szCs w:val="20"/>
          <w:lang w:val="uk-UA"/>
        </w:rPr>
        <w:t>"</w:t>
      </w:r>
      <w:r w:rsidRPr="00E16672">
        <w:rPr>
          <w:rFonts w:ascii="Times New Roman" w:hAnsi="Times New Roman"/>
          <w:szCs w:val="20"/>
          <w:lang w:val="uk-UA"/>
        </w:rPr>
        <w:t>.</w:t>
      </w:r>
    </w:p>
    <w:p w14:paraId="5BD7593D" w14:textId="77777777" w:rsidR="00765E37" w:rsidRPr="00E16672" w:rsidRDefault="00765E37" w:rsidP="00765E37">
      <w:pPr>
        <w:pStyle w:val="2"/>
        <w:rPr>
          <w:rFonts w:ascii="Times New Roman" w:hAnsi="Times New Roman" w:cs="Times New Roman"/>
          <w:lang w:val="uk-UA"/>
        </w:rPr>
      </w:pPr>
      <w:r w:rsidRPr="00E16672">
        <w:rPr>
          <w:rFonts w:ascii="Times New Roman" w:hAnsi="Times New Roman" w:cs="Times New Roman"/>
          <w:lang w:val="uk-UA"/>
        </w:rPr>
        <w:t xml:space="preserve">3. Порядок отримання розпоряджень </w:t>
      </w:r>
    </w:p>
    <w:p w14:paraId="6F875744" w14:textId="77777777" w:rsidR="00765E37" w:rsidRPr="00E16672" w:rsidRDefault="00765E37" w:rsidP="00765E37">
      <w:pPr>
        <w:rPr>
          <w:rFonts w:ascii="Times New Roman" w:hAnsi="Times New Roman"/>
          <w:color w:val="000000"/>
          <w:szCs w:val="20"/>
          <w:lang w:val="uk-UA"/>
        </w:rPr>
      </w:pPr>
      <w:r w:rsidRPr="00E16672">
        <w:rPr>
          <w:rFonts w:ascii="Times New Roman" w:hAnsi="Times New Roman"/>
          <w:color w:val="000000"/>
          <w:szCs w:val="20"/>
          <w:lang w:val="uk-UA"/>
        </w:rPr>
        <w:t>3.1. Обслуговування операцій з цінними паперами здійснюються Депозитарною установою за розпорядженням  Депонента, керуючого або розпорядника його рахунком (уповноваженого представника).</w:t>
      </w:r>
    </w:p>
    <w:p w14:paraId="362BD14D" w14:textId="77777777" w:rsidR="00765E37" w:rsidRPr="00E16672" w:rsidRDefault="00765E37" w:rsidP="00765E37">
      <w:pPr>
        <w:rPr>
          <w:rFonts w:ascii="Times New Roman" w:hAnsi="Times New Roman"/>
          <w:color w:val="000000"/>
          <w:szCs w:val="20"/>
          <w:lang w:val="uk-UA"/>
        </w:rPr>
      </w:pPr>
      <w:r w:rsidRPr="00E16672">
        <w:rPr>
          <w:rFonts w:ascii="Times New Roman" w:hAnsi="Times New Roman"/>
          <w:color w:val="000000"/>
          <w:szCs w:val="20"/>
          <w:lang w:val="uk-UA"/>
        </w:rPr>
        <w:t>3.2. Особливості складання розпоряджень Депонентів встановлені законодавством та</w:t>
      </w:r>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внутрішніми</w:t>
      </w:r>
      <w:proofErr w:type="spellEnd"/>
      <w:r w:rsidRPr="00E16672">
        <w:rPr>
          <w:rFonts w:ascii="Times New Roman" w:hAnsi="Times New Roman"/>
          <w:color w:val="000000"/>
          <w:szCs w:val="20"/>
        </w:rPr>
        <w:t xml:space="preserve"> документами </w:t>
      </w:r>
      <w:proofErr w:type="spellStart"/>
      <w:r w:rsidRPr="00E16672">
        <w:rPr>
          <w:rFonts w:ascii="Times New Roman" w:hAnsi="Times New Roman"/>
          <w:color w:val="000000"/>
          <w:szCs w:val="20"/>
        </w:rPr>
        <w:t>Депозитарної</w:t>
      </w:r>
      <w:proofErr w:type="spellEnd"/>
      <w:r w:rsidRPr="00E16672">
        <w:rPr>
          <w:rFonts w:ascii="Times New Roman" w:hAnsi="Times New Roman"/>
          <w:color w:val="000000"/>
          <w:szCs w:val="20"/>
        </w:rPr>
        <w:t xml:space="preserve"> установи</w:t>
      </w:r>
      <w:r w:rsidRPr="00E16672">
        <w:rPr>
          <w:rFonts w:ascii="Times New Roman" w:hAnsi="Times New Roman"/>
          <w:color w:val="000000"/>
          <w:szCs w:val="20"/>
          <w:lang w:val="uk-UA"/>
        </w:rPr>
        <w:t xml:space="preserve">. Розпорядження можуть </w:t>
      </w:r>
      <w:r w:rsidR="00200366" w:rsidRPr="00E16672">
        <w:rPr>
          <w:rFonts w:ascii="Times New Roman" w:hAnsi="Times New Roman"/>
          <w:color w:val="000000"/>
          <w:szCs w:val="20"/>
          <w:lang w:val="uk-UA"/>
        </w:rPr>
        <w:t>надаватися</w:t>
      </w:r>
      <w:r w:rsidRPr="00E16672">
        <w:rPr>
          <w:rFonts w:ascii="Times New Roman" w:hAnsi="Times New Roman"/>
          <w:color w:val="000000"/>
          <w:szCs w:val="20"/>
          <w:lang w:val="uk-UA"/>
        </w:rPr>
        <w:t xml:space="preserve"> Депозитарній установі у формі: паперового документу, електронного документу, електронного документу у формі S.W.I.F.T.-повідомлення. </w:t>
      </w:r>
    </w:p>
    <w:p w14:paraId="4A094BB7" w14:textId="77777777" w:rsidR="00765E37" w:rsidRPr="00E16672" w:rsidRDefault="00765E37" w:rsidP="00765E37">
      <w:pPr>
        <w:rPr>
          <w:rFonts w:ascii="Times New Roman" w:hAnsi="Times New Roman"/>
          <w:color w:val="000000"/>
          <w:szCs w:val="20"/>
          <w:lang w:val="uk-UA"/>
        </w:rPr>
      </w:pPr>
      <w:r w:rsidRPr="00E16672">
        <w:rPr>
          <w:rFonts w:ascii="Times New Roman" w:hAnsi="Times New Roman"/>
          <w:color w:val="000000"/>
          <w:szCs w:val="20"/>
          <w:lang w:val="uk-UA"/>
        </w:rPr>
        <w:t>Спосіб підписання розпорядження визначається згідно зі способом підтвердження справжності підпису, що використовується при обміні інформацією між Депонентом та Депозитарною установою, і може бути таким:</w:t>
      </w:r>
    </w:p>
    <w:p w14:paraId="61AA9607" w14:textId="77777777" w:rsidR="00765E37" w:rsidRPr="00E16672" w:rsidRDefault="00765E37" w:rsidP="00765E37">
      <w:pPr>
        <w:rPr>
          <w:rFonts w:ascii="Times New Roman" w:hAnsi="Times New Roman"/>
          <w:color w:val="000000"/>
          <w:szCs w:val="20"/>
          <w:lang w:val="uk-UA"/>
        </w:rPr>
      </w:pPr>
      <w:r w:rsidRPr="00E16672">
        <w:rPr>
          <w:rFonts w:ascii="Times New Roman" w:hAnsi="Times New Roman"/>
          <w:color w:val="000000"/>
          <w:szCs w:val="20"/>
          <w:lang w:val="uk-UA"/>
        </w:rPr>
        <w:lastRenderedPageBreak/>
        <w:t>- підпис розпорядника рахунку або керуючого рахунком юридичної особи, печатка керуючого рахунком - юридичної особи (у разі її використання та у відповідності до повноважень, які передбачають посвідчення підпису печаткою) - у разі надання розпорядження у вигляді паперового документа;</w:t>
      </w:r>
    </w:p>
    <w:p w14:paraId="684A6F9E" w14:textId="77777777" w:rsidR="00765E37" w:rsidRPr="00E16672" w:rsidRDefault="00765E37" w:rsidP="00765E37">
      <w:pPr>
        <w:rPr>
          <w:rFonts w:ascii="Times New Roman" w:hAnsi="Times New Roman"/>
          <w:color w:val="000000"/>
          <w:szCs w:val="20"/>
          <w:lang w:val="uk-UA"/>
        </w:rPr>
      </w:pPr>
      <w:r w:rsidRPr="00E16672">
        <w:rPr>
          <w:rFonts w:ascii="Times New Roman" w:hAnsi="Times New Roman"/>
          <w:color w:val="000000"/>
          <w:szCs w:val="20"/>
          <w:lang w:val="uk-UA"/>
        </w:rPr>
        <w:t xml:space="preserve"> - кваліфікований</w:t>
      </w:r>
      <w:r w:rsidRPr="00E16672" w:rsidDel="008C4813">
        <w:rPr>
          <w:rFonts w:ascii="Times New Roman" w:hAnsi="Times New Roman"/>
          <w:color w:val="000000"/>
          <w:szCs w:val="20"/>
          <w:lang w:val="uk-UA"/>
        </w:rPr>
        <w:t xml:space="preserve"> </w:t>
      </w:r>
      <w:r w:rsidRPr="00E16672">
        <w:rPr>
          <w:rFonts w:ascii="Times New Roman" w:hAnsi="Times New Roman"/>
          <w:color w:val="000000"/>
          <w:szCs w:val="20"/>
          <w:lang w:val="uk-UA"/>
        </w:rPr>
        <w:t xml:space="preserve">електронний підпис, що накладається за допомогою особистого ключа кваліфікованого електронного підпису розпорядника рахунку або керуючого рахунком юридичної особи, кваліфікований електронний підпис, що за правовим статусом прирівнюється до печатки юридичної особи (у разі її використання, крім керуючих рахунком та у відповідності до повноважень, які передбачають посвідчення підпису печаткою) – у разі надання розпорядження у вигляді електронного документа. Цілісність наданого розпорядження, а також ідентифікація </w:t>
      </w:r>
      <w:proofErr w:type="spellStart"/>
      <w:r w:rsidRPr="00E16672">
        <w:rPr>
          <w:rFonts w:ascii="Times New Roman" w:hAnsi="Times New Roman"/>
          <w:color w:val="000000"/>
          <w:szCs w:val="20"/>
          <w:lang w:val="uk-UA"/>
        </w:rPr>
        <w:t>підписувача</w:t>
      </w:r>
      <w:proofErr w:type="spellEnd"/>
      <w:r w:rsidRPr="00E16672">
        <w:rPr>
          <w:rFonts w:ascii="Times New Roman" w:hAnsi="Times New Roman"/>
          <w:color w:val="000000"/>
          <w:szCs w:val="20"/>
          <w:lang w:val="uk-UA"/>
        </w:rPr>
        <w:t xml:space="preserve"> здійснюються шляхом перевірки кваліфікованого електронного підпису за допомогою відкритого ключа;</w:t>
      </w:r>
    </w:p>
    <w:p w14:paraId="0AA901E1" w14:textId="77777777" w:rsidR="00765E37" w:rsidRPr="00E16672" w:rsidRDefault="00765E37" w:rsidP="00765E37">
      <w:pPr>
        <w:rPr>
          <w:rFonts w:ascii="Times New Roman" w:hAnsi="Times New Roman"/>
          <w:color w:val="000000"/>
          <w:szCs w:val="20"/>
          <w:lang w:val="uk-UA"/>
        </w:rPr>
      </w:pPr>
      <w:r w:rsidRPr="00E16672">
        <w:rPr>
          <w:rFonts w:ascii="Times New Roman" w:hAnsi="Times New Roman"/>
          <w:color w:val="000000"/>
          <w:szCs w:val="20"/>
          <w:lang w:val="uk-UA"/>
        </w:rPr>
        <w:t>- електронне підтвердження (авторизація) підписання розпорядження ініціатором депозитарної операції (користувачем системи S.W.I.F.T.) - у разі надання розпорядження у  вигляді електронного документа у формі S.W.I.F.T. - повідомлення.</w:t>
      </w:r>
    </w:p>
    <w:p w14:paraId="10B9C36C" w14:textId="77777777" w:rsidR="00765E37" w:rsidRPr="00E16672" w:rsidRDefault="00765E37" w:rsidP="00765E37">
      <w:pPr>
        <w:ind w:firstLine="480"/>
        <w:rPr>
          <w:rFonts w:ascii="Times New Roman" w:hAnsi="Times New Roman"/>
          <w:color w:val="000000"/>
          <w:szCs w:val="20"/>
          <w:lang w:val="uk-UA"/>
        </w:rPr>
      </w:pPr>
      <w:r w:rsidRPr="00E16672">
        <w:rPr>
          <w:rFonts w:ascii="Times New Roman" w:hAnsi="Times New Roman"/>
          <w:color w:val="000000"/>
          <w:szCs w:val="20"/>
          <w:lang w:val="uk-UA"/>
        </w:rPr>
        <w:t>3.3. Розпорядження у паперовому вигляді,</w:t>
      </w:r>
      <w:r w:rsidRPr="00E16672">
        <w:rPr>
          <w:rFonts w:ascii="Times New Roman" w:hAnsi="Times New Roman"/>
          <w:color w:val="000000"/>
          <w:szCs w:val="20"/>
        </w:rPr>
        <w:t xml:space="preserve"> а </w:t>
      </w:r>
      <w:proofErr w:type="spellStart"/>
      <w:r w:rsidRPr="00E16672">
        <w:rPr>
          <w:rFonts w:ascii="Times New Roman" w:hAnsi="Times New Roman"/>
          <w:color w:val="000000"/>
          <w:szCs w:val="20"/>
        </w:rPr>
        <w:t>також</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повідомлення</w:t>
      </w:r>
      <w:proofErr w:type="spellEnd"/>
      <w:r w:rsidRPr="00E16672">
        <w:rPr>
          <w:rFonts w:ascii="Times New Roman" w:hAnsi="Times New Roman"/>
          <w:color w:val="000000"/>
          <w:szCs w:val="20"/>
        </w:rPr>
        <w:t xml:space="preserve"> та </w:t>
      </w:r>
      <w:proofErr w:type="spellStart"/>
      <w:r w:rsidRPr="00E16672">
        <w:rPr>
          <w:rFonts w:ascii="Times New Roman" w:hAnsi="Times New Roman"/>
          <w:color w:val="000000"/>
          <w:szCs w:val="20"/>
        </w:rPr>
        <w:t>інформація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що</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надаються</w:t>
      </w:r>
      <w:proofErr w:type="spellEnd"/>
      <w:r w:rsidRPr="00E16672">
        <w:rPr>
          <w:rFonts w:ascii="Times New Roman" w:hAnsi="Times New Roman"/>
          <w:color w:val="000000"/>
          <w:szCs w:val="20"/>
        </w:rPr>
        <w:t xml:space="preserve"> у </w:t>
      </w:r>
      <w:proofErr w:type="spellStart"/>
      <w:r w:rsidRPr="00E16672">
        <w:rPr>
          <w:rFonts w:ascii="Times New Roman" w:hAnsi="Times New Roman"/>
          <w:color w:val="000000"/>
          <w:szCs w:val="20"/>
        </w:rPr>
        <w:t>зв’язку</w:t>
      </w:r>
      <w:proofErr w:type="spellEnd"/>
      <w:r w:rsidRPr="00E16672">
        <w:rPr>
          <w:rFonts w:ascii="Times New Roman" w:hAnsi="Times New Roman"/>
          <w:color w:val="000000"/>
          <w:szCs w:val="20"/>
        </w:rPr>
        <w:t xml:space="preserve"> з </w:t>
      </w:r>
      <w:proofErr w:type="spellStart"/>
      <w:r w:rsidRPr="00E16672">
        <w:rPr>
          <w:rFonts w:ascii="Times New Roman" w:hAnsi="Times New Roman"/>
          <w:color w:val="000000"/>
          <w:szCs w:val="20"/>
        </w:rPr>
        <w:t>виконанням</w:t>
      </w:r>
      <w:proofErr w:type="spellEnd"/>
      <w:r w:rsidRPr="00E16672">
        <w:rPr>
          <w:rFonts w:ascii="Times New Roman" w:hAnsi="Times New Roman"/>
          <w:color w:val="000000"/>
          <w:szCs w:val="20"/>
        </w:rPr>
        <w:t xml:space="preserve"> Сторонами Договору, </w:t>
      </w:r>
      <w:r w:rsidRPr="00E16672">
        <w:rPr>
          <w:rFonts w:ascii="Times New Roman" w:hAnsi="Times New Roman"/>
          <w:color w:val="000000"/>
          <w:szCs w:val="20"/>
          <w:lang w:val="uk-UA"/>
        </w:rPr>
        <w:t>можуть отримуватися Депозитарною установою</w:t>
      </w:r>
      <w:r w:rsidRPr="00E16672">
        <w:rPr>
          <w:rFonts w:ascii="Times New Roman" w:hAnsi="Times New Roman"/>
          <w:color w:val="000000"/>
          <w:szCs w:val="20"/>
        </w:rPr>
        <w:t xml:space="preserve"> та Депонентом</w:t>
      </w:r>
      <w:r w:rsidRPr="00E16672">
        <w:rPr>
          <w:rFonts w:ascii="Times New Roman" w:hAnsi="Times New Roman"/>
          <w:color w:val="000000"/>
          <w:szCs w:val="20"/>
          <w:lang w:val="uk-UA"/>
        </w:rPr>
        <w:t>:</w:t>
      </w:r>
    </w:p>
    <w:p w14:paraId="418ABFEE" w14:textId="77777777" w:rsidR="00765E37" w:rsidRPr="00E16672" w:rsidRDefault="00765E37" w:rsidP="00765E37">
      <w:pPr>
        <w:numPr>
          <w:ilvl w:val="0"/>
          <w:numId w:val="2"/>
        </w:numPr>
        <w:ind w:left="0" w:firstLine="540"/>
        <w:rPr>
          <w:rFonts w:ascii="Times New Roman" w:hAnsi="Times New Roman"/>
          <w:color w:val="000000"/>
          <w:spacing w:val="-8"/>
          <w:szCs w:val="20"/>
          <w:lang w:val="uk-UA"/>
        </w:rPr>
      </w:pPr>
      <w:r w:rsidRPr="00E16672">
        <w:rPr>
          <w:rFonts w:ascii="Times New Roman" w:hAnsi="Times New Roman"/>
          <w:color w:val="000000"/>
          <w:szCs w:val="20"/>
          <w:lang w:val="uk-UA"/>
        </w:rPr>
        <w:t xml:space="preserve">- особисто при </w:t>
      </w:r>
      <w:r w:rsidRPr="00E16672">
        <w:rPr>
          <w:rFonts w:ascii="Times New Roman" w:hAnsi="Times New Roman"/>
          <w:color w:val="000000"/>
          <w:spacing w:val="-8"/>
          <w:szCs w:val="20"/>
          <w:lang w:val="uk-UA"/>
        </w:rPr>
        <w:t>зверненні Депонента,</w:t>
      </w:r>
      <w:r w:rsidRPr="00E16672">
        <w:rPr>
          <w:rFonts w:ascii="Times New Roman" w:hAnsi="Times New Roman"/>
          <w:color w:val="000000"/>
          <w:szCs w:val="20"/>
          <w:lang w:val="uk-UA"/>
        </w:rPr>
        <w:t xml:space="preserve"> керуючого або розпорядника його рахунком (уповноваженого представника)</w:t>
      </w:r>
      <w:r w:rsidRPr="00E16672">
        <w:rPr>
          <w:rFonts w:ascii="Times New Roman" w:hAnsi="Times New Roman"/>
          <w:color w:val="000000"/>
          <w:spacing w:val="-8"/>
          <w:szCs w:val="20"/>
          <w:lang w:val="uk-UA"/>
        </w:rPr>
        <w:t>;</w:t>
      </w:r>
    </w:p>
    <w:p w14:paraId="02F1E20F" w14:textId="77777777" w:rsidR="00765E37" w:rsidRPr="00E16672" w:rsidRDefault="00765E37" w:rsidP="00765E37">
      <w:pPr>
        <w:numPr>
          <w:ilvl w:val="0"/>
          <w:numId w:val="2"/>
        </w:numPr>
        <w:ind w:left="0" w:firstLine="540"/>
        <w:rPr>
          <w:rFonts w:ascii="Times New Roman" w:hAnsi="Times New Roman"/>
          <w:color w:val="000000"/>
          <w:szCs w:val="20"/>
          <w:lang w:val="uk-UA"/>
        </w:rPr>
      </w:pPr>
      <w:r w:rsidRPr="00E16672">
        <w:rPr>
          <w:rFonts w:ascii="Times New Roman" w:hAnsi="Times New Roman"/>
          <w:color w:val="000000"/>
          <w:spacing w:val="-8"/>
          <w:szCs w:val="20"/>
          <w:lang w:val="uk-UA"/>
        </w:rPr>
        <w:t xml:space="preserve">- </w:t>
      </w:r>
      <w:proofErr w:type="spellStart"/>
      <w:r w:rsidRPr="00E16672">
        <w:rPr>
          <w:rFonts w:ascii="Times New Roman" w:hAnsi="Times New Roman"/>
          <w:color w:val="000000"/>
          <w:spacing w:val="-8"/>
          <w:szCs w:val="20"/>
        </w:rPr>
        <w:t>засобами</w:t>
      </w:r>
      <w:proofErr w:type="spellEnd"/>
      <w:r w:rsidRPr="00E16672">
        <w:rPr>
          <w:rFonts w:ascii="Times New Roman" w:hAnsi="Times New Roman"/>
          <w:color w:val="000000"/>
          <w:spacing w:val="-8"/>
          <w:szCs w:val="20"/>
        </w:rPr>
        <w:t xml:space="preserve"> </w:t>
      </w:r>
      <w:proofErr w:type="spellStart"/>
      <w:r w:rsidRPr="00E16672">
        <w:rPr>
          <w:rFonts w:ascii="Times New Roman" w:hAnsi="Times New Roman"/>
          <w:color w:val="000000"/>
          <w:spacing w:val="-8"/>
          <w:szCs w:val="20"/>
        </w:rPr>
        <w:t>поштового</w:t>
      </w:r>
      <w:proofErr w:type="spellEnd"/>
      <w:r w:rsidRPr="00E16672">
        <w:rPr>
          <w:rFonts w:ascii="Times New Roman" w:hAnsi="Times New Roman"/>
          <w:color w:val="000000"/>
          <w:spacing w:val="-8"/>
          <w:szCs w:val="20"/>
        </w:rPr>
        <w:t xml:space="preserve"> </w:t>
      </w:r>
      <w:proofErr w:type="spellStart"/>
      <w:r w:rsidRPr="00E16672">
        <w:rPr>
          <w:rFonts w:ascii="Times New Roman" w:hAnsi="Times New Roman"/>
          <w:color w:val="000000"/>
          <w:spacing w:val="-8"/>
          <w:szCs w:val="20"/>
        </w:rPr>
        <w:t>зв’язку</w:t>
      </w:r>
      <w:proofErr w:type="spellEnd"/>
      <w:r w:rsidRPr="00E16672">
        <w:rPr>
          <w:rFonts w:ascii="Times New Roman" w:hAnsi="Times New Roman"/>
          <w:color w:val="000000"/>
          <w:spacing w:val="-8"/>
          <w:szCs w:val="20"/>
        </w:rPr>
        <w:t xml:space="preserve"> </w:t>
      </w:r>
      <w:proofErr w:type="spellStart"/>
      <w:r w:rsidRPr="00E16672">
        <w:rPr>
          <w:rFonts w:ascii="Times New Roman" w:hAnsi="Times New Roman"/>
          <w:color w:val="000000"/>
          <w:spacing w:val="-8"/>
          <w:szCs w:val="20"/>
        </w:rPr>
        <w:t>або</w:t>
      </w:r>
      <w:proofErr w:type="spellEnd"/>
      <w:r w:rsidRPr="00E16672">
        <w:rPr>
          <w:rFonts w:ascii="Times New Roman" w:hAnsi="Times New Roman"/>
          <w:color w:val="000000"/>
          <w:spacing w:val="-8"/>
          <w:szCs w:val="20"/>
        </w:rPr>
        <w:t xml:space="preserve"> </w:t>
      </w:r>
      <w:proofErr w:type="spellStart"/>
      <w:r w:rsidRPr="00E16672">
        <w:rPr>
          <w:rFonts w:ascii="Times New Roman" w:hAnsi="Times New Roman"/>
          <w:color w:val="000000"/>
          <w:spacing w:val="-8"/>
          <w:szCs w:val="20"/>
        </w:rPr>
        <w:t>кур’єром</w:t>
      </w:r>
      <w:proofErr w:type="spellEnd"/>
    </w:p>
    <w:p w14:paraId="147A0FB3" w14:textId="77777777" w:rsidR="00765E37" w:rsidRPr="00E16672" w:rsidRDefault="00765E37" w:rsidP="00765E37">
      <w:pPr>
        <w:rPr>
          <w:rFonts w:ascii="Times New Roman" w:hAnsi="Times New Roman"/>
          <w:color w:val="000000"/>
          <w:szCs w:val="20"/>
          <w:lang w:val="uk-UA"/>
        </w:rPr>
      </w:pPr>
      <w:r w:rsidRPr="00E16672">
        <w:rPr>
          <w:rFonts w:ascii="Times New Roman" w:hAnsi="Times New Roman"/>
          <w:color w:val="000000"/>
          <w:szCs w:val="20"/>
          <w:lang w:val="uk-UA"/>
        </w:rPr>
        <w:t>3.4.</w:t>
      </w:r>
      <w:r w:rsidRPr="00E16672">
        <w:rPr>
          <w:rFonts w:ascii="Times New Roman" w:hAnsi="Times New Roman"/>
          <w:b/>
          <w:bCs/>
          <w:color w:val="000000"/>
          <w:szCs w:val="20"/>
          <w:lang w:val="uk-UA"/>
        </w:rPr>
        <w:t xml:space="preserve"> </w:t>
      </w:r>
      <w:r w:rsidRPr="00E16672">
        <w:rPr>
          <w:rFonts w:ascii="Times New Roman" w:hAnsi="Times New Roman"/>
          <w:color w:val="000000"/>
          <w:szCs w:val="20"/>
          <w:lang w:val="uk-UA"/>
        </w:rPr>
        <w:t xml:space="preserve">Розпорядження має бути підписане Депонентом, розпорядником рахунку </w:t>
      </w:r>
      <w:r w:rsidR="00C22309" w:rsidRPr="00E16672">
        <w:rPr>
          <w:rFonts w:ascii="Times New Roman" w:hAnsi="Times New Roman"/>
          <w:color w:val="000000"/>
          <w:szCs w:val="20"/>
          <w:lang w:val="uk-UA"/>
        </w:rPr>
        <w:t>в цін</w:t>
      </w:r>
      <w:r w:rsidRPr="00E16672">
        <w:rPr>
          <w:rFonts w:ascii="Times New Roman" w:hAnsi="Times New Roman"/>
          <w:color w:val="000000"/>
          <w:szCs w:val="20"/>
          <w:lang w:val="uk-UA"/>
        </w:rPr>
        <w:t xml:space="preserve">них паперах або керуючим рахунком </w:t>
      </w:r>
      <w:r w:rsidR="00C22309" w:rsidRPr="00E16672">
        <w:rPr>
          <w:rFonts w:ascii="Times New Roman" w:hAnsi="Times New Roman"/>
          <w:color w:val="000000"/>
          <w:szCs w:val="20"/>
          <w:lang w:val="uk-UA"/>
        </w:rPr>
        <w:t>в цін</w:t>
      </w:r>
      <w:r w:rsidRPr="00E16672">
        <w:rPr>
          <w:rFonts w:ascii="Times New Roman" w:hAnsi="Times New Roman"/>
          <w:color w:val="000000"/>
          <w:szCs w:val="20"/>
          <w:lang w:val="uk-UA"/>
        </w:rPr>
        <w:t xml:space="preserve">них паперах. Підпис розпорядника рахунку </w:t>
      </w:r>
      <w:r w:rsidR="00C22309" w:rsidRPr="00E16672">
        <w:rPr>
          <w:rFonts w:ascii="Times New Roman" w:hAnsi="Times New Roman"/>
          <w:color w:val="000000"/>
          <w:szCs w:val="20"/>
          <w:lang w:val="uk-UA"/>
        </w:rPr>
        <w:t>в цін</w:t>
      </w:r>
      <w:r w:rsidRPr="00E16672">
        <w:rPr>
          <w:rFonts w:ascii="Times New Roman" w:hAnsi="Times New Roman"/>
          <w:color w:val="000000"/>
          <w:szCs w:val="20"/>
          <w:lang w:val="uk-UA"/>
        </w:rPr>
        <w:t xml:space="preserve">них паперах, якщо керуючим рахунком є юридична особа, засвідчується печаткою відповідної юридичною особи (у разі використання). </w:t>
      </w:r>
    </w:p>
    <w:p w14:paraId="29B90CFD" w14:textId="77777777" w:rsidR="00765E37" w:rsidRPr="00E16672" w:rsidRDefault="00765E37" w:rsidP="00765E37">
      <w:pPr>
        <w:rPr>
          <w:rFonts w:ascii="Times New Roman" w:hAnsi="Times New Roman"/>
          <w:szCs w:val="20"/>
        </w:rPr>
      </w:pPr>
      <w:r w:rsidRPr="00E16672">
        <w:rPr>
          <w:rFonts w:ascii="Times New Roman" w:hAnsi="Times New Roman"/>
          <w:color w:val="000000"/>
          <w:szCs w:val="20"/>
          <w:lang w:val="uk-UA"/>
        </w:rPr>
        <w:t>3.5. Депозитарна установа приймає до виконання тільки ті розпорядження Депонента, які підтверджені підписом керуючого або розпорядника його</w:t>
      </w:r>
      <w:r w:rsidRPr="00E16672">
        <w:rPr>
          <w:rFonts w:ascii="Times New Roman" w:hAnsi="Times New Roman"/>
          <w:szCs w:val="20"/>
          <w:lang w:val="uk-UA"/>
        </w:rPr>
        <w:t xml:space="preserve"> рахунком (уповноваженого представника). Д</w:t>
      </w:r>
      <w:proofErr w:type="spellStart"/>
      <w:r w:rsidRPr="00E16672">
        <w:rPr>
          <w:rFonts w:ascii="Times New Roman" w:hAnsi="Times New Roman"/>
          <w:szCs w:val="20"/>
        </w:rPr>
        <w:t>епозитарна</w:t>
      </w:r>
      <w:proofErr w:type="spellEnd"/>
      <w:r w:rsidRPr="00E16672">
        <w:rPr>
          <w:rFonts w:ascii="Times New Roman" w:hAnsi="Times New Roman"/>
          <w:szCs w:val="20"/>
        </w:rPr>
        <w:t xml:space="preserve"> </w:t>
      </w:r>
      <w:proofErr w:type="spellStart"/>
      <w:r w:rsidRPr="00E16672">
        <w:rPr>
          <w:rFonts w:ascii="Times New Roman" w:hAnsi="Times New Roman"/>
          <w:szCs w:val="20"/>
        </w:rPr>
        <w:t>установа</w:t>
      </w:r>
      <w:proofErr w:type="spellEnd"/>
      <w:r w:rsidRPr="00E16672">
        <w:rPr>
          <w:rFonts w:ascii="Times New Roman" w:hAnsi="Times New Roman"/>
          <w:szCs w:val="20"/>
        </w:rPr>
        <w:t xml:space="preserve"> </w:t>
      </w:r>
      <w:proofErr w:type="spellStart"/>
      <w:r w:rsidRPr="00E16672">
        <w:rPr>
          <w:rFonts w:ascii="Times New Roman" w:hAnsi="Times New Roman"/>
          <w:szCs w:val="20"/>
        </w:rPr>
        <w:t>перевіряє</w:t>
      </w:r>
      <w:proofErr w:type="spellEnd"/>
      <w:r w:rsidRPr="00E16672">
        <w:rPr>
          <w:rFonts w:ascii="Times New Roman" w:hAnsi="Times New Roman"/>
          <w:szCs w:val="20"/>
        </w:rPr>
        <w:t xml:space="preserve"> </w:t>
      </w:r>
      <w:proofErr w:type="spellStart"/>
      <w:r w:rsidRPr="00E16672">
        <w:rPr>
          <w:rFonts w:ascii="Times New Roman" w:hAnsi="Times New Roman"/>
          <w:szCs w:val="20"/>
        </w:rPr>
        <w:t>їх</w:t>
      </w:r>
      <w:proofErr w:type="spellEnd"/>
      <w:r w:rsidRPr="00E16672">
        <w:rPr>
          <w:rFonts w:ascii="Times New Roman" w:hAnsi="Times New Roman"/>
          <w:szCs w:val="20"/>
        </w:rPr>
        <w:t xml:space="preserve"> на </w:t>
      </w:r>
      <w:proofErr w:type="spellStart"/>
      <w:r w:rsidRPr="00E16672">
        <w:rPr>
          <w:rFonts w:ascii="Times New Roman" w:hAnsi="Times New Roman"/>
          <w:szCs w:val="20"/>
        </w:rPr>
        <w:t>достовірність</w:t>
      </w:r>
      <w:proofErr w:type="spellEnd"/>
      <w:r w:rsidRPr="00E16672">
        <w:rPr>
          <w:rFonts w:ascii="Times New Roman" w:hAnsi="Times New Roman"/>
          <w:szCs w:val="20"/>
        </w:rPr>
        <w:t xml:space="preserve">. </w:t>
      </w:r>
    </w:p>
    <w:p w14:paraId="3B3410EA" w14:textId="77777777" w:rsidR="00765E37" w:rsidRPr="00E16672" w:rsidRDefault="00765E37" w:rsidP="00765E37">
      <w:pPr>
        <w:rPr>
          <w:rFonts w:ascii="Times New Roman" w:hAnsi="Times New Roman"/>
          <w:szCs w:val="20"/>
          <w:lang w:val="uk-UA"/>
        </w:rPr>
      </w:pPr>
      <w:r w:rsidRPr="00E16672">
        <w:rPr>
          <w:rFonts w:ascii="Times New Roman" w:hAnsi="Times New Roman"/>
          <w:szCs w:val="20"/>
          <w:lang w:val="uk-UA"/>
        </w:rPr>
        <w:t xml:space="preserve">Спосіб підтвердження справжності підпису, що використовується при обміні інформацією між депонентом та Депозитарною установою, може бути таким: </w:t>
      </w:r>
    </w:p>
    <w:p w14:paraId="5779B407" w14:textId="77777777" w:rsidR="00765E37" w:rsidRPr="00E16672" w:rsidRDefault="00765E37" w:rsidP="00765E37">
      <w:pPr>
        <w:rPr>
          <w:rFonts w:ascii="Times New Roman" w:hAnsi="Times New Roman"/>
          <w:szCs w:val="20"/>
          <w:lang w:val="uk-UA"/>
        </w:rPr>
      </w:pPr>
      <w:r w:rsidRPr="00E16672">
        <w:rPr>
          <w:rFonts w:ascii="Times New Roman" w:hAnsi="Times New Roman"/>
          <w:szCs w:val="20"/>
          <w:lang w:val="uk-UA"/>
        </w:rPr>
        <w:t>- достовірність підпису підтверджується шляхом зіставлення підписів у розпорядженні із зразками підписів у відповідній картці із зразками підписів та відбитком печатки (у разі її використання), оформленій та засвідченій відповідно до вимог законодавства і внутрішніх документів Депозитарної установи;</w:t>
      </w:r>
    </w:p>
    <w:p w14:paraId="72FC5445" w14:textId="77777777" w:rsidR="00765E37" w:rsidRPr="00E16672" w:rsidRDefault="00765E37" w:rsidP="00765E37">
      <w:pPr>
        <w:rPr>
          <w:rFonts w:ascii="Times New Roman" w:hAnsi="Times New Roman"/>
          <w:szCs w:val="20"/>
          <w:lang w:val="uk-UA"/>
        </w:rPr>
      </w:pPr>
      <w:r w:rsidRPr="00E16672">
        <w:rPr>
          <w:rFonts w:ascii="Times New Roman" w:hAnsi="Times New Roman"/>
          <w:szCs w:val="20"/>
          <w:lang w:val="uk-UA"/>
        </w:rPr>
        <w:t xml:space="preserve">- кваліфікований електронний підпис вважається таким, що відповідає сертифікату відкритого ключа, якщо особистий ключ </w:t>
      </w:r>
      <w:proofErr w:type="spellStart"/>
      <w:r w:rsidRPr="00E16672">
        <w:rPr>
          <w:rFonts w:ascii="Times New Roman" w:hAnsi="Times New Roman"/>
          <w:szCs w:val="20"/>
          <w:lang w:val="uk-UA"/>
        </w:rPr>
        <w:t>підписувача</w:t>
      </w:r>
      <w:proofErr w:type="spellEnd"/>
      <w:r w:rsidRPr="00E16672">
        <w:rPr>
          <w:rFonts w:ascii="Times New Roman" w:hAnsi="Times New Roman"/>
          <w:szCs w:val="20"/>
          <w:lang w:val="uk-UA"/>
        </w:rPr>
        <w:t xml:space="preserve"> (розпорядника рахунку), використаний при формуванні кваліфікованого електронного підпису, відповідає відкритому ключу, зазначеному у сертифікаті.</w:t>
      </w:r>
    </w:p>
    <w:p w14:paraId="5539D234" w14:textId="77777777" w:rsidR="00765E37" w:rsidRPr="00E16672" w:rsidRDefault="00765E37" w:rsidP="00765E37">
      <w:pPr>
        <w:rPr>
          <w:rFonts w:ascii="Times New Roman" w:hAnsi="Times New Roman"/>
          <w:szCs w:val="20"/>
          <w:lang w:val="uk-UA"/>
        </w:rPr>
      </w:pPr>
      <w:r w:rsidRPr="00E16672">
        <w:rPr>
          <w:rFonts w:ascii="Times New Roman" w:hAnsi="Times New Roman"/>
          <w:szCs w:val="20"/>
        </w:rPr>
        <w:t xml:space="preserve">3.6. </w:t>
      </w:r>
      <w:r w:rsidRPr="00E16672">
        <w:rPr>
          <w:rFonts w:ascii="Times New Roman" w:hAnsi="Times New Roman"/>
          <w:szCs w:val="20"/>
          <w:lang w:val="uk-UA"/>
        </w:rPr>
        <w:t xml:space="preserve">Розпорядження </w:t>
      </w:r>
      <w:r w:rsidRPr="00E16672">
        <w:rPr>
          <w:rFonts w:ascii="Times New Roman" w:hAnsi="Times New Roman"/>
          <w:szCs w:val="20"/>
        </w:rPr>
        <w:t xml:space="preserve">у </w:t>
      </w:r>
      <w:r w:rsidRPr="00E16672">
        <w:rPr>
          <w:rFonts w:ascii="Times New Roman" w:hAnsi="Times New Roman"/>
          <w:szCs w:val="20"/>
          <w:lang w:val="uk-UA"/>
        </w:rPr>
        <w:t xml:space="preserve">вигляді </w:t>
      </w:r>
      <w:proofErr w:type="spellStart"/>
      <w:r w:rsidRPr="00E16672">
        <w:rPr>
          <w:rFonts w:ascii="Times New Roman" w:hAnsi="Times New Roman"/>
          <w:szCs w:val="20"/>
        </w:rPr>
        <w:t>паперового</w:t>
      </w:r>
      <w:proofErr w:type="spellEnd"/>
      <w:r w:rsidRPr="00E16672">
        <w:rPr>
          <w:rFonts w:ascii="Times New Roman" w:hAnsi="Times New Roman"/>
          <w:szCs w:val="20"/>
        </w:rPr>
        <w:t xml:space="preserve"> документа </w:t>
      </w:r>
      <w:r w:rsidRPr="00E16672">
        <w:rPr>
          <w:rFonts w:ascii="Times New Roman" w:hAnsi="Times New Roman"/>
          <w:szCs w:val="20"/>
          <w:lang w:val="uk-UA"/>
        </w:rPr>
        <w:t>повинні бути надані Депозитарній установі без перекручування та виправлення тексту, з чітким відбитком печатки (у разі використання) за підписом Депонента, або керуючого чи розпорядника його рахунку (уповноваженого представника).</w:t>
      </w:r>
    </w:p>
    <w:p w14:paraId="2641E78A" w14:textId="77777777" w:rsidR="00765E37" w:rsidRPr="00E16672" w:rsidRDefault="00765E37" w:rsidP="00765E37">
      <w:pPr>
        <w:ind w:left="-12" w:firstLine="564"/>
        <w:rPr>
          <w:rFonts w:ascii="Times New Roman" w:hAnsi="Times New Roman"/>
          <w:color w:val="000000"/>
          <w:szCs w:val="20"/>
          <w:lang w:val="uk-UA"/>
        </w:rPr>
      </w:pPr>
      <w:r w:rsidRPr="00E16672">
        <w:rPr>
          <w:rFonts w:ascii="Times New Roman" w:hAnsi="Times New Roman"/>
          <w:szCs w:val="20"/>
          <w:lang w:val="uk-UA"/>
        </w:rPr>
        <w:t xml:space="preserve">3.7. Розпорядження Депонентів повинні повністю розкривати зміст виконання операцій з рахунками в цінних паперах та відповідати чинному </w:t>
      </w:r>
      <w:r w:rsidRPr="00E16672">
        <w:rPr>
          <w:rFonts w:ascii="Times New Roman" w:hAnsi="Times New Roman"/>
          <w:color w:val="000000"/>
          <w:szCs w:val="20"/>
          <w:lang w:val="uk-UA"/>
        </w:rPr>
        <w:t>законодавству України.</w:t>
      </w:r>
    </w:p>
    <w:p w14:paraId="495C5A05" w14:textId="77777777" w:rsidR="00765E37" w:rsidRPr="00E16672" w:rsidRDefault="00765E37" w:rsidP="00765E37">
      <w:pPr>
        <w:ind w:left="-12" w:firstLine="564"/>
        <w:rPr>
          <w:rFonts w:ascii="Times New Roman" w:hAnsi="Times New Roman"/>
          <w:color w:val="000000"/>
          <w:szCs w:val="20"/>
          <w:lang w:val="uk-UA"/>
        </w:rPr>
      </w:pPr>
      <w:r w:rsidRPr="00E16672">
        <w:rPr>
          <w:rFonts w:ascii="Times New Roman" w:hAnsi="Times New Roman"/>
          <w:color w:val="000000"/>
          <w:szCs w:val="20"/>
          <w:lang w:val="uk-UA"/>
        </w:rPr>
        <w:t xml:space="preserve">3.8. Розпорядження виконується Депозитарною установою у порядку, передбаченому законодавством та внутрішніми документами Депозитарної установи. </w:t>
      </w:r>
    </w:p>
    <w:p w14:paraId="76F65731" w14:textId="77777777" w:rsidR="00765E37" w:rsidRPr="00E16672" w:rsidRDefault="00765E37" w:rsidP="00765E37">
      <w:pPr>
        <w:pStyle w:val="ab"/>
        <w:ind w:left="-12" w:firstLine="564"/>
        <w:jc w:val="both"/>
        <w:rPr>
          <w:rFonts w:ascii="Times New Roman" w:hAnsi="Times New Roman"/>
          <w:b w:val="0"/>
        </w:rPr>
      </w:pPr>
      <w:r w:rsidRPr="00E16672">
        <w:rPr>
          <w:rFonts w:ascii="Times New Roman" w:hAnsi="Times New Roman"/>
          <w:b w:val="0"/>
          <w:color w:val="000000"/>
        </w:rPr>
        <w:t>3.9. Депонент бере на себе відповідальність за достовірність інформації, яка міститься в документах, які надаються Депонентом, розпорядником рахунку, керуючим рахунком  Депозитарній установі, у тому числі таких, за якими Депозитарній установі доручається проведення депозитарних операцій на рахунку Депонента.</w:t>
      </w:r>
    </w:p>
    <w:p w14:paraId="637BE9C9" w14:textId="77777777" w:rsidR="00FC1DBE" w:rsidRPr="00E16672" w:rsidRDefault="00765E37" w:rsidP="00B7169F">
      <w:pPr>
        <w:rPr>
          <w:rFonts w:ascii="Times New Roman" w:hAnsi="Times New Roman"/>
          <w:lang w:val="uk-UA"/>
        </w:rPr>
      </w:pPr>
      <w:r w:rsidRPr="00E16672">
        <w:rPr>
          <w:rFonts w:ascii="Times New Roman" w:hAnsi="Times New Roman"/>
          <w:lang w:val="uk-UA"/>
        </w:rPr>
        <w:t xml:space="preserve">3.10. Облікові операції, які були ініційовані Депозитарною установою у депозитарії, але не були завершені </w:t>
      </w:r>
      <w:r w:rsidRPr="00E16672">
        <w:rPr>
          <w:rFonts w:ascii="Times New Roman" w:hAnsi="Times New Roman"/>
          <w:u w:val="single"/>
          <w:lang w:val="uk-UA"/>
        </w:rPr>
        <w:t xml:space="preserve">протягом </w:t>
      </w:r>
      <w:r w:rsidRPr="00E16672">
        <w:rPr>
          <w:rFonts w:ascii="Times New Roman" w:hAnsi="Times New Roman"/>
          <w:i/>
          <w:u w:val="single"/>
          <w:lang w:val="uk-UA"/>
        </w:rPr>
        <w:t>трьох</w:t>
      </w:r>
      <w:r w:rsidRPr="00E16672">
        <w:rPr>
          <w:rFonts w:ascii="Times New Roman" w:hAnsi="Times New Roman"/>
          <w:u w:val="single"/>
          <w:lang w:val="uk-UA"/>
        </w:rPr>
        <w:t xml:space="preserve"> робочих днів</w:t>
      </w:r>
      <w:r w:rsidRPr="00E16672">
        <w:rPr>
          <w:rFonts w:ascii="Times New Roman" w:hAnsi="Times New Roman"/>
          <w:lang w:val="uk-UA"/>
        </w:rPr>
        <w:t xml:space="preserve"> за підстав, які не залежать від Депозитарної установи (розпорядження Депозитарної установи не було відповідно до внутрішніх документів Центрального депозитарію занесене Центральним депозитарієм до відомості </w:t>
      </w:r>
      <w:proofErr w:type="spellStart"/>
      <w:r w:rsidRPr="00E16672">
        <w:rPr>
          <w:rFonts w:ascii="Times New Roman" w:hAnsi="Times New Roman"/>
          <w:lang w:val="uk-UA"/>
        </w:rPr>
        <w:t>сквитованих</w:t>
      </w:r>
      <w:proofErr w:type="spellEnd"/>
      <w:r w:rsidRPr="00E16672">
        <w:rPr>
          <w:rFonts w:ascii="Times New Roman" w:hAnsi="Times New Roman"/>
          <w:lang w:val="uk-UA"/>
        </w:rPr>
        <w:t xml:space="preserve"> розпоряджень на поставку/одержання цінних паперів), можуть бути відмінені ним у випадку отримання від Депонента відповідного розпорядження відміни (анулювання) його попереднього розпорядження.</w:t>
      </w:r>
      <w:r w:rsidRPr="00E16672" w:rsidDel="00E816D4">
        <w:rPr>
          <w:rFonts w:ascii="Times New Roman" w:hAnsi="Times New Roman"/>
          <w:lang w:val="uk-UA"/>
        </w:rPr>
        <w:t xml:space="preserve"> </w:t>
      </w:r>
    </w:p>
    <w:p w14:paraId="23C4AEF2" w14:textId="77777777" w:rsidR="00765E37" w:rsidRPr="00E16672" w:rsidRDefault="00765E37" w:rsidP="00765E37">
      <w:pPr>
        <w:pStyle w:val="2"/>
        <w:rPr>
          <w:rFonts w:ascii="Times New Roman" w:hAnsi="Times New Roman" w:cs="Times New Roman"/>
        </w:rPr>
      </w:pPr>
      <w:r w:rsidRPr="00E16672">
        <w:rPr>
          <w:rFonts w:ascii="Times New Roman" w:hAnsi="Times New Roman" w:cs="Times New Roman"/>
        </w:rPr>
        <w:t xml:space="preserve">4. </w:t>
      </w:r>
      <w:proofErr w:type="spellStart"/>
      <w:r w:rsidRPr="00E16672">
        <w:rPr>
          <w:rFonts w:ascii="Times New Roman" w:hAnsi="Times New Roman" w:cs="Times New Roman"/>
        </w:rPr>
        <w:t>Тарифи</w:t>
      </w:r>
      <w:proofErr w:type="spellEnd"/>
      <w:r w:rsidRPr="00E16672">
        <w:rPr>
          <w:rFonts w:ascii="Times New Roman" w:hAnsi="Times New Roman" w:cs="Times New Roman"/>
        </w:rPr>
        <w:t xml:space="preserve"> на </w:t>
      </w:r>
      <w:proofErr w:type="spellStart"/>
      <w:r w:rsidRPr="00E16672">
        <w:rPr>
          <w:rFonts w:ascii="Times New Roman" w:hAnsi="Times New Roman" w:cs="Times New Roman"/>
        </w:rPr>
        <w:t>послуги</w:t>
      </w:r>
      <w:proofErr w:type="spellEnd"/>
      <w:r w:rsidRPr="00E16672">
        <w:rPr>
          <w:rFonts w:ascii="Times New Roman" w:hAnsi="Times New Roman" w:cs="Times New Roman"/>
        </w:rPr>
        <w:t xml:space="preserve"> та порядок </w:t>
      </w:r>
      <w:proofErr w:type="spellStart"/>
      <w:r w:rsidRPr="00E16672">
        <w:rPr>
          <w:rFonts w:ascii="Times New Roman" w:hAnsi="Times New Roman" w:cs="Times New Roman"/>
        </w:rPr>
        <w:t>розрахунків</w:t>
      </w:r>
      <w:proofErr w:type="spellEnd"/>
      <w:r w:rsidRPr="00E16672">
        <w:rPr>
          <w:rFonts w:ascii="Times New Roman" w:hAnsi="Times New Roman" w:cs="Times New Roman"/>
        </w:rPr>
        <w:t xml:space="preserve"> за </w:t>
      </w:r>
      <w:proofErr w:type="spellStart"/>
      <w:r w:rsidRPr="00E16672">
        <w:rPr>
          <w:rFonts w:ascii="Times New Roman" w:hAnsi="Times New Roman" w:cs="Times New Roman"/>
        </w:rPr>
        <w:t>надані</w:t>
      </w:r>
      <w:proofErr w:type="spellEnd"/>
      <w:r w:rsidRPr="00E16672">
        <w:rPr>
          <w:rFonts w:ascii="Times New Roman" w:hAnsi="Times New Roman" w:cs="Times New Roman"/>
        </w:rPr>
        <w:t xml:space="preserve"> </w:t>
      </w:r>
      <w:proofErr w:type="spellStart"/>
      <w:r w:rsidRPr="00E16672">
        <w:rPr>
          <w:rFonts w:ascii="Times New Roman" w:hAnsi="Times New Roman" w:cs="Times New Roman"/>
        </w:rPr>
        <w:t>послуги</w:t>
      </w:r>
      <w:proofErr w:type="spellEnd"/>
    </w:p>
    <w:p w14:paraId="4B78351B" w14:textId="77777777" w:rsidR="00765E37" w:rsidRPr="00E16672" w:rsidRDefault="00765E37" w:rsidP="00765E37">
      <w:pPr>
        <w:ind w:firstLine="532"/>
        <w:rPr>
          <w:rFonts w:ascii="Times New Roman" w:hAnsi="Times New Roman"/>
          <w:color w:val="000000"/>
          <w:szCs w:val="20"/>
          <w:lang w:val="uk-UA"/>
        </w:rPr>
      </w:pPr>
      <w:r w:rsidRPr="00E16672">
        <w:rPr>
          <w:rFonts w:ascii="Times New Roman" w:hAnsi="Times New Roman"/>
          <w:szCs w:val="20"/>
          <w:lang w:val="uk-UA"/>
        </w:rPr>
        <w:t xml:space="preserve">4.1. Тарифи </w:t>
      </w:r>
      <w:r w:rsidRPr="00E16672">
        <w:rPr>
          <w:rFonts w:ascii="Times New Roman" w:hAnsi="Times New Roman"/>
          <w:color w:val="000000"/>
          <w:szCs w:val="20"/>
          <w:lang w:val="uk-UA"/>
        </w:rPr>
        <w:t xml:space="preserve">на </w:t>
      </w:r>
      <w:proofErr w:type="spellStart"/>
      <w:r w:rsidRPr="00E16672">
        <w:rPr>
          <w:rFonts w:ascii="Times New Roman" w:hAnsi="Times New Roman"/>
          <w:bCs/>
          <w:szCs w:val="20"/>
        </w:rPr>
        <w:t>операції</w:t>
      </w:r>
      <w:proofErr w:type="spellEnd"/>
      <w:r w:rsidRPr="00E16672">
        <w:rPr>
          <w:rFonts w:ascii="Times New Roman" w:hAnsi="Times New Roman"/>
          <w:bCs/>
          <w:szCs w:val="20"/>
        </w:rPr>
        <w:t xml:space="preserve"> з </w:t>
      </w:r>
      <w:proofErr w:type="spellStart"/>
      <w:r w:rsidRPr="00E16672">
        <w:rPr>
          <w:rFonts w:ascii="Times New Roman" w:hAnsi="Times New Roman"/>
          <w:bCs/>
          <w:szCs w:val="20"/>
        </w:rPr>
        <w:t>цінними</w:t>
      </w:r>
      <w:proofErr w:type="spellEnd"/>
      <w:r w:rsidRPr="00E16672">
        <w:rPr>
          <w:rFonts w:ascii="Times New Roman" w:hAnsi="Times New Roman"/>
          <w:bCs/>
          <w:szCs w:val="20"/>
        </w:rPr>
        <w:t xml:space="preserve"> </w:t>
      </w:r>
      <w:proofErr w:type="spellStart"/>
      <w:r w:rsidRPr="00E16672">
        <w:rPr>
          <w:rFonts w:ascii="Times New Roman" w:hAnsi="Times New Roman"/>
          <w:bCs/>
          <w:szCs w:val="20"/>
        </w:rPr>
        <w:t>паперами</w:t>
      </w:r>
      <w:proofErr w:type="spellEnd"/>
      <w:r w:rsidRPr="00E16672">
        <w:rPr>
          <w:rFonts w:ascii="Times New Roman" w:hAnsi="Times New Roman"/>
          <w:color w:val="000000"/>
          <w:szCs w:val="20"/>
          <w:lang w:val="uk-UA"/>
        </w:rPr>
        <w:t xml:space="preserve"> Депозитарної установи встановлюються Депозитарною установою самостійно. Підписавши цей Договір, Депонент погоджується з тарифами</w:t>
      </w:r>
      <w:r w:rsidRPr="00E16672">
        <w:rPr>
          <w:rFonts w:ascii="Times New Roman" w:hAnsi="Times New Roman"/>
          <w:color w:val="000000"/>
          <w:szCs w:val="20"/>
        </w:rPr>
        <w:t xml:space="preserve"> </w:t>
      </w:r>
      <w:r w:rsidRPr="00E16672">
        <w:rPr>
          <w:rFonts w:ascii="Times New Roman" w:hAnsi="Times New Roman"/>
          <w:szCs w:val="20"/>
          <w:lang w:val="uk-UA"/>
        </w:rPr>
        <w:t>Депозитарної установи</w:t>
      </w:r>
      <w:r w:rsidRPr="00E16672">
        <w:rPr>
          <w:rFonts w:ascii="Times New Roman" w:hAnsi="Times New Roman"/>
          <w:color w:val="000000"/>
          <w:szCs w:val="20"/>
          <w:lang w:val="uk-UA"/>
        </w:rPr>
        <w:t xml:space="preserve">, встановленими Депозитарною установою на дату укладення Договору, які оприлюднені на </w:t>
      </w:r>
      <w:r w:rsidRPr="00E16672">
        <w:rPr>
          <w:rFonts w:ascii="Times New Roman" w:hAnsi="Times New Roman"/>
          <w:bCs/>
          <w:color w:val="000000"/>
          <w:szCs w:val="20"/>
          <w:lang w:val="uk-UA"/>
        </w:rPr>
        <w:t xml:space="preserve">веб-сторінці Депозитарної установи </w:t>
      </w:r>
      <w:r w:rsidR="00E16672">
        <w:rPr>
          <w:rFonts w:ascii="Times New Roman" w:hAnsi="Times New Roman"/>
          <w:color w:val="000000"/>
          <w:szCs w:val="20"/>
          <w:lang w:val="uk-UA"/>
        </w:rPr>
        <w:t>http://comex.uafin.net</w:t>
      </w:r>
      <w:r w:rsidRPr="00E16672">
        <w:rPr>
          <w:rFonts w:ascii="Times New Roman" w:hAnsi="Times New Roman"/>
          <w:color w:val="000000"/>
          <w:szCs w:val="20"/>
          <w:lang w:val="uk-UA"/>
        </w:rPr>
        <w:t>.</w:t>
      </w:r>
    </w:p>
    <w:p w14:paraId="5D9A39AE" w14:textId="77777777" w:rsidR="00765E37" w:rsidRPr="00E16672" w:rsidRDefault="00765E37" w:rsidP="00765E37">
      <w:pPr>
        <w:ind w:firstLine="532"/>
        <w:rPr>
          <w:rFonts w:ascii="Times New Roman" w:hAnsi="Times New Roman"/>
          <w:szCs w:val="20"/>
          <w:lang w:val="uk-UA"/>
        </w:rPr>
      </w:pPr>
      <w:r w:rsidRPr="00E16672">
        <w:rPr>
          <w:rFonts w:ascii="Times New Roman" w:hAnsi="Times New Roman"/>
          <w:szCs w:val="20"/>
          <w:lang w:val="uk-UA"/>
        </w:rPr>
        <w:t xml:space="preserve">Депозитарна установа  повідомляє про зміни до тарифів на послуги  шляхом розміщення змінених тарифів Депозитарної установи на </w:t>
      </w:r>
      <w:r w:rsidRPr="00E16672">
        <w:rPr>
          <w:rFonts w:ascii="Times New Roman" w:hAnsi="Times New Roman"/>
          <w:bCs/>
          <w:szCs w:val="20"/>
          <w:lang w:val="uk-UA"/>
        </w:rPr>
        <w:t xml:space="preserve">веб-сторінці Депозитарної установи </w:t>
      </w:r>
      <w:r w:rsidR="00E16672">
        <w:rPr>
          <w:rFonts w:ascii="Times New Roman" w:hAnsi="Times New Roman"/>
          <w:color w:val="000000"/>
          <w:szCs w:val="20"/>
          <w:lang w:val="uk-UA"/>
        </w:rPr>
        <w:t>http://comex.uafin.net</w:t>
      </w:r>
      <w:r w:rsidRPr="00E16672">
        <w:rPr>
          <w:rFonts w:ascii="Times New Roman" w:hAnsi="Times New Roman"/>
          <w:bCs/>
          <w:szCs w:val="20"/>
          <w:lang w:val="uk-UA"/>
        </w:rPr>
        <w:t xml:space="preserve"> </w:t>
      </w:r>
      <w:r w:rsidRPr="00E16672">
        <w:rPr>
          <w:rFonts w:ascii="Times New Roman" w:hAnsi="Times New Roman"/>
          <w:szCs w:val="20"/>
          <w:lang w:val="uk-UA"/>
        </w:rPr>
        <w:t xml:space="preserve">протягом </w:t>
      </w:r>
      <w:r w:rsidRPr="00E16672">
        <w:rPr>
          <w:rFonts w:ascii="Times New Roman" w:hAnsi="Times New Roman"/>
          <w:i/>
          <w:szCs w:val="20"/>
          <w:lang w:val="uk-UA"/>
        </w:rPr>
        <w:t>п'яти</w:t>
      </w:r>
      <w:r w:rsidRPr="00E16672">
        <w:rPr>
          <w:rFonts w:ascii="Times New Roman" w:hAnsi="Times New Roman"/>
          <w:szCs w:val="20"/>
          <w:lang w:val="uk-UA"/>
        </w:rPr>
        <w:t xml:space="preserve"> робочих днів після затвердження відповідних змін. Змінені тарифи Депозитарної установи використовуються Сторонами для визначення вартості операцій на дату надання послуг.</w:t>
      </w:r>
    </w:p>
    <w:p w14:paraId="00A39F22" w14:textId="77777777" w:rsidR="00765E37" w:rsidRPr="00E16672" w:rsidRDefault="00765E37" w:rsidP="00765E37">
      <w:pPr>
        <w:ind w:firstLine="532"/>
        <w:rPr>
          <w:rFonts w:ascii="Times New Roman" w:hAnsi="Times New Roman"/>
          <w:szCs w:val="20"/>
          <w:lang w:val="uk-UA"/>
        </w:rPr>
      </w:pPr>
      <w:r w:rsidRPr="00E16672">
        <w:rPr>
          <w:rFonts w:ascii="Times New Roman" w:hAnsi="Times New Roman"/>
          <w:szCs w:val="20"/>
          <w:lang w:val="uk-UA"/>
        </w:rPr>
        <w:t>Депонент оплачує послуги Депозитарної установи відповідно до цього Договору та затверджених тарифів Депозитарної установи, що є чинними на дату надання послуг.</w:t>
      </w:r>
    </w:p>
    <w:p w14:paraId="201C8371" w14:textId="77777777" w:rsidR="00765E37" w:rsidRPr="00E16672" w:rsidRDefault="00765E37" w:rsidP="00765E37">
      <w:pPr>
        <w:ind w:firstLine="559"/>
        <w:rPr>
          <w:rFonts w:ascii="Times New Roman" w:hAnsi="Times New Roman"/>
          <w:color w:val="000000"/>
          <w:szCs w:val="20"/>
        </w:rPr>
      </w:pPr>
      <w:r w:rsidRPr="00E16672">
        <w:rPr>
          <w:rFonts w:ascii="Times New Roman" w:hAnsi="Times New Roman"/>
          <w:szCs w:val="20"/>
        </w:rPr>
        <w:t>4.</w:t>
      </w:r>
      <w:r w:rsidRPr="00E16672">
        <w:rPr>
          <w:rFonts w:ascii="Times New Roman" w:hAnsi="Times New Roman"/>
          <w:color w:val="000000"/>
          <w:szCs w:val="20"/>
        </w:rPr>
        <w:t xml:space="preserve">2. Депонент </w:t>
      </w:r>
      <w:proofErr w:type="spellStart"/>
      <w:r w:rsidRPr="00E16672">
        <w:rPr>
          <w:rFonts w:ascii="Times New Roman" w:hAnsi="Times New Roman"/>
          <w:color w:val="000000"/>
          <w:szCs w:val="20"/>
        </w:rPr>
        <w:t>здійснює</w:t>
      </w:r>
      <w:proofErr w:type="spellEnd"/>
      <w:r w:rsidRPr="00E16672">
        <w:rPr>
          <w:rFonts w:ascii="Times New Roman" w:hAnsi="Times New Roman"/>
          <w:color w:val="000000"/>
          <w:szCs w:val="20"/>
        </w:rPr>
        <w:t xml:space="preserve"> оплату </w:t>
      </w:r>
      <w:proofErr w:type="spellStart"/>
      <w:r w:rsidRPr="00E16672">
        <w:rPr>
          <w:rFonts w:ascii="Times New Roman" w:hAnsi="Times New Roman"/>
          <w:color w:val="000000"/>
          <w:szCs w:val="20"/>
        </w:rPr>
        <w:t>Депозитарний</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установі</w:t>
      </w:r>
      <w:proofErr w:type="spellEnd"/>
      <w:r w:rsidRPr="00E16672">
        <w:rPr>
          <w:rFonts w:ascii="Times New Roman" w:hAnsi="Times New Roman"/>
          <w:color w:val="000000"/>
          <w:szCs w:val="20"/>
        </w:rPr>
        <w:t xml:space="preserve"> на </w:t>
      </w:r>
      <w:proofErr w:type="spellStart"/>
      <w:r w:rsidRPr="00E16672">
        <w:rPr>
          <w:rFonts w:ascii="Times New Roman" w:hAnsi="Times New Roman"/>
          <w:color w:val="000000"/>
          <w:szCs w:val="20"/>
        </w:rPr>
        <w:t>підставі</w:t>
      </w:r>
      <w:proofErr w:type="spellEnd"/>
      <w:r w:rsidRPr="00E16672">
        <w:rPr>
          <w:rFonts w:ascii="Times New Roman" w:hAnsi="Times New Roman"/>
          <w:color w:val="000000"/>
          <w:szCs w:val="20"/>
        </w:rPr>
        <w:t>:</w:t>
      </w:r>
    </w:p>
    <w:p w14:paraId="00EB405A" w14:textId="77777777" w:rsidR="001D4B15" w:rsidRPr="00E16672" w:rsidRDefault="00765E37" w:rsidP="001D4B15">
      <w:pPr>
        <w:ind w:left="567" w:firstLine="0"/>
        <w:rPr>
          <w:rFonts w:ascii="Times New Roman" w:hAnsi="Times New Roman"/>
          <w:color w:val="000000"/>
          <w:szCs w:val="20"/>
        </w:rPr>
      </w:pPr>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актів</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виконаних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операцій</w:t>
      </w:r>
      <w:proofErr w:type="spellEnd"/>
      <w:r w:rsidRPr="00E16672">
        <w:rPr>
          <w:rFonts w:ascii="Times New Roman" w:hAnsi="Times New Roman"/>
          <w:color w:val="000000"/>
          <w:szCs w:val="20"/>
        </w:rPr>
        <w:t xml:space="preserve"> за </w:t>
      </w:r>
      <w:proofErr w:type="spellStart"/>
      <w:r w:rsidRPr="00E16672">
        <w:rPr>
          <w:rFonts w:ascii="Times New Roman" w:hAnsi="Times New Roman"/>
          <w:color w:val="000000"/>
          <w:szCs w:val="20"/>
        </w:rPr>
        <w:t>операції</w:t>
      </w:r>
      <w:proofErr w:type="spellEnd"/>
      <w:r w:rsidRPr="00E16672">
        <w:rPr>
          <w:rFonts w:ascii="Times New Roman" w:hAnsi="Times New Roman"/>
          <w:color w:val="000000"/>
          <w:szCs w:val="20"/>
        </w:rPr>
        <w:t xml:space="preserve"> не </w:t>
      </w:r>
      <w:proofErr w:type="spellStart"/>
      <w:r w:rsidRPr="00E16672">
        <w:rPr>
          <w:rFonts w:ascii="Times New Roman" w:hAnsi="Times New Roman"/>
          <w:color w:val="000000"/>
          <w:szCs w:val="20"/>
        </w:rPr>
        <w:t>пізніше</w:t>
      </w:r>
      <w:proofErr w:type="spellEnd"/>
      <w:r w:rsidRPr="00E16672">
        <w:rPr>
          <w:rFonts w:ascii="Times New Roman" w:hAnsi="Times New Roman"/>
          <w:color w:val="000000"/>
          <w:szCs w:val="20"/>
        </w:rPr>
        <w:t xml:space="preserve"> </w:t>
      </w:r>
      <w:r w:rsidRPr="00E16672">
        <w:rPr>
          <w:rFonts w:ascii="Times New Roman" w:hAnsi="Times New Roman"/>
          <w:i/>
          <w:color w:val="000000"/>
          <w:szCs w:val="20"/>
        </w:rPr>
        <w:t>одного</w:t>
      </w:r>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робочого</w:t>
      </w:r>
      <w:proofErr w:type="spellEnd"/>
      <w:r w:rsidRPr="00E16672">
        <w:rPr>
          <w:rFonts w:ascii="Times New Roman" w:hAnsi="Times New Roman"/>
          <w:color w:val="000000"/>
          <w:szCs w:val="20"/>
        </w:rPr>
        <w:t xml:space="preserve"> дня з </w:t>
      </w:r>
      <w:proofErr w:type="spellStart"/>
      <w:r w:rsidRPr="00E16672">
        <w:rPr>
          <w:rFonts w:ascii="Times New Roman" w:hAnsi="Times New Roman"/>
          <w:color w:val="000000"/>
          <w:szCs w:val="20"/>
        </w:rPr>
        <w:t>дати</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lang w:val="uk-UA"/>
        </w:rPr>
        <w:t>підписа</w:t>
      </w:r>
      <w:r w:rsidRPr="00E16672">
        <w:rPr>
          <w:rFonts w:ascii="Times New Roman" w:hAnsi="Times New Roman"/>
          <w:color w:val="000000"/>
          <w:szCs w:val="20"/>
        </w:rPr>
        <w:t>ння</w:t>
      </w:r>
      <w:proofErr w:type="spellEnd"/>
      <w:r w:rsidRPr="00E16672">
        <w:rPr>
          <w:rFonts w:ascii="Times New Roman" w:hAnsi="Times New Roman"/>
          <w:color w:val="000000"/>
          <w:szCs w:val="20"/>
        </w:rPr>
        <w:t xml:space="preserve"> акту Депозитарною</w:t>
      </w:r>
    </w:p>
    <w:p w14:paraId="5C106172" w14:textId="77777777" w:rsidR="00765E37" w:rsidRPr="00E16672" w:rsidRDefault="00765E37" w:rsidP="001D4B15">
      <w:pPr>
        <w:ind w:firstLine="0"/>
        <w:rPr>
          <w:rFonts w:ascii="Times New Roman" w:hAnsi="Times New Roman"/>
          <w:color w:val="000000"/>
          <w:szCs w:val="20"/>
          <w:lang w:val="uk-UA"/>
        </w:rPr>
      </w:pPr>
      <w:proofErr w:type="spellStart"/>
      <w:r w:rsidRPr="00E16672">
        <w:rPr>
          <w:rFonts w:ascii="Times New Roman" w:hAnsi="Times New Roman"/>
          <w:color w:val="000000"/>
          <w:szCs w:val="20"/>
        </w:rPr>
        <w:t>установою</w:t>
      </w:r>
      <w:proofErr w:type="spellEnd"/>
      <w:r w:rsidRPr="00E16672">
        <w:rPr>
          <w:rFonts w:ascii="Times New Roman" w:hAnsi="Times New Roman"/>
          <w:color w:val="000000"/>
          <w:szCs w:val="20"/>
          <w:lang w:val="uk-UA"/>
        </w:rPr>
        <w:t xml:space="preserve"> </w:t>
      </w:r>
      <w:r w:rsidRPr="00E16672">
        <w:rPr>
          <w:rFonts w:ascii="Times New Roman" w:hAnsi="Times New Roman"/>
          <w:color w:val="000000"/>
          <w:szCs w:val="20"/>
        </w:rPr>
        <w:t>(</w:t>
      </w:r>
      <w:proofErr w:type="spellStart"/>
      <w:r w:rsidRPr="00E16672">
        <w:rPr>
          <w:rFonts w:ascii="Times New Roman" w:hAnsi="Times New Roman"/>
          <w:color w:val="000000"/>
          <w:szCs w:val="20"/>
        </w:rPr>
        <w:t>якщо</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інше</w:t>
      </w:r>
      <w:proofErr w:type="spellEnd"/>
      <w:r w:rsidRPr="00E16672">
        <w:rPr>
          <w:rFonts w:ascii="Times New Roman" w:hAnsi="Times New Roman"/>
          <w:color w:val="000000"/>
          <w:szCs w:val="20"/>
        </w:rPr>
        <w:t xml:space="preserve"> не </w:t>
      </w:r>
      <w:proofErr w:type="spellStart"/>
      <w:r w:rsidRPr="00E16672">
        <w:rPr>
          <w:rFonts w:ascii="Times New Roman" w:hAnsi="Times New Roman"/>
          <w:color w:val="000000"/>
          <w:szCs w:val="20"/>
        </w:rPr>
        <w:t>передбачено</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додатковою</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угодою</w:t>
      </w:r>
      <w:proofErr w:type="spellEnd"/>
      <w:r w:rsidRPr="00E16672">
        <w:rPr>
          <w:rFonts w:ascii="Times New Roman" w:hAnsi="Times New Roman"/>
          <w:color w:val="000000"/>
          <w:szCs w:val="20"/>
        </w:rPr>
        <w:t xml:space="preserve"> до </w:t>
      </w:r>
      <w:proofErr w:type="spellStart"/>
      <w:r w:rsidRPr="00E16672">
        <w:rPr>
          <w:rFonts w:ascii="Times New Roman" w:hAnsi="Times New Roman"/>
          <w:color w:val="000000"/>
          <w:szCs w:val="20"/>
        </w:rPr>
        <w:t>цього</w:t>
      </w:r>
      <w:proofErr w:type="spellEnd"/>
      <w:r w:rsidRPr="00E16672">
        <w:rPr>
          <w:rFonts w:ascii="Times New Roman" w:hAnsi="Times New Roman"/>
          <w:color w:val="000000"/>
          <w:szCs w:val="20"/>
        </w:rPr>
        <w:t xml:space="preserve"> Договору)</w:t>
      </w:r>
    </w:p>
    <w:p w14:paraId="7B774311" w14:textId="77777777" w:rsidR="00765E37" w:rsidRPr="00E16672" w:rsidRDefault="00765E37" w:rsidP="00F82710">
      <w:pPr>
        <w:ind w:left="709" w:hanging="142"/>
        <w:rPr>
          <w:rFonts w:ascii="Times New Roman" w:hAnsi="Times New Roman"/>
          <w:color w:val="000000"/>
          <w:szCs w:val="20"/>
        </w:rPr>
      </w:pPr>
      <w:proofErr w:type="spellStart"/>
      <w:r w:rsidRPr="00E16672">
        <w:rPr>
          <w:rFonts w:ascii="Times New Roman" w:hAnsi="Times New Roman"/>
          <w:color w:val="000000"/>
          <w:szCs w:val="20"/>
        </w:rPr>
        <w:t>або</w:t>
      </w:r>
      <w:proofErr w:type="spellEnd"/>
    </w:p>
    <w:p w14:paraId="2954DF69" w14:textId="77777777" w:rsidR="001D4B15" w:rsidRPr="00E16672" w:rsidRDefault="00765E37" w:rsidP="001D4B15">
      <w:pPr>
        <w:ind w:left="709" w:hanging="142"/>
        <w:rPr>
          <w:rFonts w:ascii="Times New Roman" w:hAnsi="Times New Roman"/>
          <w:color w:val="000000"/>
          <w:szCs w:val="20"/>
        </w:rPr>
      </w:pPr>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рахунків</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виставлених</w:t>
      </w:r>
      <w:proofErr w:type="spellEnd"/>
      <w:r w:rsidRPr="00E16672">
        <w:rPr>
          <w:rFonts w:ascii="Times New Roman" w:hAnsi="Times New Roman"/>
          <w:color w:val="000000"/>
          <w:szCs w:val="20"/>
        </w:rPr>
        <w:t xml:space="preserve"> Депозитарною </w:t>
      </w:r>
      <w:proofErr w:type="spellStart"/>
      <w:r w:rsidRPr="00E16672">
        <w:rPr>
          <w:rFonts w:ascii="Times New Roman" w:hAnsi="Times New Roman"/>
          <w:color w:val="000000"/>
          <w:szCs w:val="20"/>
        </w:rPr>
        <w:t>установою</w:t>
      </w:r>
      <w:proofErr w:type="spellEnd"/>
      <w:r w:rsidRPr="00E16672">
        <w:rPr>
          <w:rFonts w:ascii="Times New Roman" w:hAnsi="Times New Roman"/>
          <w:color w:val="000000"/>
          <w:szCs w:val="20"/>
        </w:rPr>
        <w:t xml:space="preserve"> Депоненту для </w:t>
      </w:r>
      <w:proofErr w:type="spellStart"/>
      <w:r w:rsidRPr="00E16672">
        <w:rPr>
          <w:rFonts w:ascii="Times New Roman" w:hAnsi="Times New Roman"/>
          <w:color w:val="000000"/>
          <w:szCs w:val="20"/>
        </w:rPr>
        <w:t>попередньої</w:t>
      </w:r>
      <w:proofErr w:type="spellEnd"/>
      <w:r w:rsidRPr="00E16672">
        <w:rPr>
          <w:rFonts w:ascii="Times New Roman" w:hAnsi="Times New Roman"/>
          <w:color w:val="000000"/>
          <w:szCs w:val="20"/>
        </w:rPr>
        <w:t xml:space="preserve"> оплати за </w:t>
      </w:r>
      <w:proofErr w:type="spellStart"/>
      <w:proofErr w:type="gramStart"/>
      <w:r w:rsidRPr="00E16672">
        <w:rPr>
          <w:rFonts w:ascii="Times New Roman" w:hAnsi="Times New Roman"/>
          <w:color w:val="000000"/>
          <w:szCs w:val="20"/>
        </w:rPr>
        <w:t>операції</w:t>
      </w:r>
      <w:proofErr w:type="spellEnd"/>
      <w:r w:rsidRPr="00E16672">
        <w:rPr>
          <w:rFonts w:ascii="Times New Roman" w:hAnsi="Times New Roman"/>
          <w:color w:val="000000"/>
          <w:szCs w:val="20"/>
        </w:rPr>
        <w:t xml:space="preserve">  у</w:t>
      </w:r>
      <w:proofErr w:type="gramEnd"/>
      <w:r w:rsidRPr="00E16672">
        <w:rPr>
          <w:rFonts w:ascii="Times New Roman" w:hAnsi="Times New Roman"/>
          <w:color w:val="000000"/>
          <w:szCs w:val="20"/>
        </w:rPr>
        <w:t xml:space="preserve"> строки,</w:t>
      </w:r>
    </w:p>
    <w:p w14:paraId="380B78EA" w14:textId="77777777" w:rsidR="00765E37" w:rsidRPr="00E16672" w:rsidRDefault="00765E37" w:rsidP="001D4B15">
      <w:pPr>
        <w:ind w:firstLine="0"/>
        <w:rPr>
          <w:rFonts w:ascii="Times New Roman" w:hAnsi="Times New Roman"/>
          <w:color w:val="000000"/>
          <w:szCs w:val="20"/>
          <w:lang w:val="uk-UA"/>
        </w:rPr>
      </w:pPr>
      <w:proofErr w:type="spellStart"/>
      <w:r w:rsidRPr="00E16672">
        <w:rPr>
          <w:rFonts w:ascii="Times New Roman" w:hAnsi="Times New Roman"/>
          <w:color w:val="000000"/>
          <w:szCs w:val="20"/>
        </w:rPr>
        <w:t>вказані</w:t>
      </w:r>
      <w:proofErr w:type="spellEnd"/>
      <w:r w:rsidRPr="00E16672">
        <w:rPr>
          <w:rFonts w:ascii="Times New Roman" w:hAnsi="Times New Roman"/>
          <w:color w:val="000000"/>
          <w:szCs w:val="20"/>
        </w:rPr>
        <w:t xml:space="preserve"> в </w:t>
      </w:r>
      <w:proofErr w:type="spellStart"/>
      <w:r w:rsidRPr="00E16672">
        <w:rPr>
          <w:rFonts w:ascii="Times New Roman" w:hAnsi="Times New Roman"/>
          <w:color w:val="000000"/>
          <w:szCs w:val="20"/>
        </w:rPr>
        <w:t>цих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рахунках</w:t>
      </w:r>
      <w:proofErr w:type="spellEnd"/>
      <w:r w:rsidRPr="00E16672">
        <w:rPr>
          <w:rFonts w:ascii="Times New Roman" w:hAnsi="Times New Roman"/>
          <w:color w:val="000000"/>
          <w:szCs w:val="20"/>
          <w:lang w:val="uk-UA"/>
        </w:rPr>
        <w:t>.</w:t>
      </w:r>
    </w:p>
    <w:p w14:paraId="2B2A8492" w14:textId="77777777" w:rsidR="00765E37" w:rsidRPr="00E16672" w:rsidRDefault="00765E37" w:rsidP="00765E37">
      <w:pPr>
        <w:pStyle w:val="310"/>
        <w:ind w:left="-15" w:firstLine="559"/>
        <w:rPr>
          <w:rFonts w:ascii="Times New Roman" w:hAnsi="Times New Roman"/>
          <w:color w:val="000000"/>
          <w:sz w:val="20"/>
          <w:szCs w:val="20"/>
        </w:rPr>
      </w:pPr>
      <w:r w:rsidRPr="00E16672">
        <w:rPr>
          <w:rFonts w:ascii="Times New Roman" w:hAnsi="Times New Roman"/>
          <w:color w:val="000000"/>
          <w:sz w:val="20"/>
          <w:szCs w:val="20"/>
        </w:rPr>
        <w:t>4.3. Підтвердженням виконання послуг Депозитарної установи є акт виконаних Депозитарною установою операцій, який складається:</w:t>
      </w:r>
    </w:p>
    <w:p w14:paraId="192CAD88" w14:textId="77777777" w:rsidR="001D4B15" w:rsidRPr="00E16672" w:rsidRDefault="00765E37" w:rsidP="000D0438">
      <w:pPr>
        <w:pStyle w:val="310"/>
        <w:numPr>
          <w:ilvl w:val="0"/>
          <w:numId w:val="18"/>
        </w:numPr>
        <w:ind w:left="567" w:firstLine="0"/>
        <w:rPr>
          <w:rFonts w:ascii="Times New Roman" w:hAnsi="Times New Roman"/>
          <w:color w:val="000000"/>
          <w:sz w:val="20"/>
          <w:szCs w:val="20"/>
          <w:lang w:val="ru-RU"/>
        </w:rPr>
      </w:pPr>
      <w:r w:rsidRPr="00E16672">
        <w:rPr>
          <w:rFonts w:ascii="Times New Roman" w:hAnsi="Times New Roman"/>
          <w:color w:val="000000"/>
          <w:sz w:val="20"/>
          <w:szCs w:val="20"/>
        </w:rPr>
        <w:t>по виконаним Депозитарною установою адміністративним, обліковим, інформаційним та іншим операціям по</w:t>
      </w:r>
    </w:p>
    <w:p w14:paraId="620A01BC" w14:textId="77777777" w:rsidR="001D4B15" w:rsidRPr="00E16672" w:rsidRDefault="00765E37" w:rsidP="001D4B15">
      <w:pPr>
        <w:pStyle w:val="310"/>
        <w:ind w:left="567" w:hanging="567"/>
        <w:rPr>
          <w:rFonts w:ascii="Times New Roman" w:hAnsi="Times New Roman"/>
          <w:color w:val="000000"/>
          <w:sz w:val="20"/>
          <w:szCs w:val="20"/>
        </w:rPr>
      </w:pPr>
      <w:r w:rsidRPr="00E16672">
        <w:rPr>
          <w:rFonts w:ascii="Times New Roman" w:hAnsi="Times New Roman"/>
          <w:color w:val="000000"/>
          <w:sz w:val="20"/>
          <w:szCs w:val="20"/>
        </w:rPr>
        <w:t xml:space="preserve">рахунку </w:t>
      </w:r>
      <w:r w:rsidR="00C22309" w:rsidRPr="00E16672">
        <w:rPr>
          <w:rFonts w:ascii="Times New Roman" w:hAnsi="Times New Roman"/>
          <w:color w:val="000000"/>
          <w:sz w:val="20"/>
          <w:szCs w:val="20"/>
        </w:rPr>
        <w:t>в цін</w:t>
      </w:r>
      <w:r w:rsidRPr="00E16672">
        <w:rPr>
          <w:rFonts w:ascii="Times New Roman" w:hAnsi="Times New Roman"/>
          <w:color w:val="000000"/>
          <w:sz w:val="20"/>
          <w:szCs w:val="20"/>
        </w:rPr>
        <w:t>них паперах - у день проведення операцій або на останній день місяця (та/або кварталу), в якому їх</w:t>
      </w:r>
    </w:p>
    <w:p w14:paraId="34F18681" w14:textId="77777777" w:rsidR="001D4B15" w:rsidRPr="00E16672" w:rsidRDefault="00765E37" w:rsidP="001D4B15">
      <w:pPr>
        <w:pStyle w:val="310"/>
        <w:ind w:left="567" w:hanging="567"/>
        <w:rPr>
          <w:rFonts w:ascii="Times New Roman" w:hAnsi="Times New Roman"/>
          <w:color w:val="000000"/>
          <w:sz w:val="20"/>
          <w:szCs w:val="20"/>
        </w:rPr>
      </w:pPr>
      <w:r w:rsidRPr="00E16672">
        <w:rPr>
          <w:rFonts w:ascii="Times New Roman" w:hAnsi="Times New Roman"/>
          <w:color w:val="000000"/>
          <w:sz w:val="20"/>
          <w:szCs w:val="20"/>
        </w:rPr>
        <w:lastRenderedPageBreak/>
        <w:t>виконано</w:t>
      </w:r>
      <w:r w:rsidRPr="00E16672">
        <w:rPr>
          <w:rFonts w:ascii="Times New Roman" w:hAnsi="Times New Roman"/>
          <w:color w:val="000000"/>
          <w:sz w:val="20"/>
          <w:szCs w:val="20"/>
          <w:lang w:val="ru-RU"/>
        </w:rPr>
        <w:t>,</w:t>
      </w:r>
      <w:r w:rsidRPr="00E16672">
        <w:rPr>
          <w:rFonts w:ascii="Times New Roman" w:hAnsi="Times New Roman"/>
          <w:color w:val="000000"/>
          <w:sz w:val="20"/>
          <w:szCs w:val="20"/>
        </w:rPr>
        <w:t xml:space="preserve"> підписується Депозитарною установою у двох оригіналах та подається Депоненту для підписання особисто</w:t>
      </w:r>
    </w:p>
    <w:p w14:paraId="30C1CA59" w14:textId="77777777" w:rsidR="001D4B15" w:rsidRPr="00E16672" w:rsidRDefault="00765E37" w:rsidP="001D4B15">
      <w:pPr>
        <w:pStyle w:val="310"/>
        <w:ind w:left="567" w:hanging="567"/>
        <w:rPr>
          <w:rFonts w:ascii="Times New Roman" w:hAnsi="Times New Roman"/>
          <w:color w:val="000000"/>
          <w:sz w:val="20"/>
          <w:szCs w:val="20"/>
        </w:rPr>
      </w:pPr>
      <w:r w:rsidRPr="00E16672">
        <w:rPr>
          <w:rFonts w:ascii="Times New Roman" w:hAnsi="Times New Roman"/>
          <w:color w:val="000000"/>
          <w:sz w:val="20"/>
          <w:szCs w:val="20"/>
        </w:rPr>
        <w:t>або направляється поштою в адресу Депонента (або іншим способом за домовленістю з Депонентом) протягом не</w:t>
      </w:r>
    </w:p>
    <w:p w14:paraId="157C76C0" w14:textId="77777777" w:rsidR="00765E37" w:rsidRPr="00E16672" w:rsidRDefault="00765E37" w:rsidP="001D4B15">
      <w:pPr>
        <w:pStyle w:val="310"/>
        <w:ind w:left="567" w:hanging="567"/>
        <w:rPr>
          <w:rFonts w:ascii="Times New Roman" w:hAnsi="Times New Roman"/>
          <w:color w:val="000000"/>
          <w:sz w:val="20"/>
          <w:szCs w:val="20"/>
          <w:lang w:val="ru-RU"/>
        </w:rPr>
      </w:pPr>
      <w:r w:rsidRPr="00E16672">
        <w:rPr>
          <w:rFonts w:ascii="Times New Roman" w:hAnsi="Times New Roman"/>
          <w:color w:val="000000"/>
          <w:sz w:val="20"/>
          <w:szCs w:val="20"/>
        </w:rPr>
        <w:t xml:space="preserve">більш як </w:t>
      </w:r>
      <w:r w:rsidRPr="00E16672">
        <w:rPr>
          <w:rFonts w:ascii="Times New Roman" w:hAnsi="Times New Roman"/>
          <w:i/>
          <w:color w:val="000000"/>
          <w:sz w:val="20"/>
          <w:szCs w:val="20"/>
          <w:lang w:val="ru-RU"/>
        </w:rPr>
        <w:t>п’</w:t>
      </w:r>
      <w:r w:rsidRPr="00E16672">
        <w:rPr>
          <w:rFonts w:ascii="Times New Roman" w:hAnsi="Times New Roman"/>
          <w:i/>
          <w:color w:val="000000"/>
          <w:sz w:val="20"/>
          <w:szCs w:val="20"/>
        </w:rPr>
        <w:t>ять</w:t>
      </w:r>
      <w:r w:rsidRPr="00E16672">
        <w:rPr>
          <w:rFonts w:ascii="Times New Roman" w:hAnsi="Times New Roman"/>
          <w:color w:val="000000"/>
          <w:sz w:val="20"/>
          <w:szCs w:val="20"/>
        </w:rPr>
        <w:t xml:space="preserve"> робочих днів з моменту підписання</w:t>
      </w:r>
      <w:r w:rsidRPr="00E16672">
        <w:rPr>
          <w:rFonts w:ascii="Times New Roman" w:hAnsi="Times New Roman"/>
          <w:color w:val="000000"/>
          <w:sz w:val="20"/>
          <w:szCs w:val="20"/>
          <w:lang w:val="ru-RU"/>
        </w:rPr>
        <w:t>;</w:t>
      </w:r>
    </w:p>
    <w:p w14:paraId="62E462FD" w14:textId="77777777" w:rsidR="001D4B15" w:rsidRPr="00E16672" w:rsidRDefault="00765E37" w:rsidP="000D0438">
      <w:pPr>
        <w:pStyle w:val="310"/>
        <w:numPr>
          <w:ilvl w:val="0"/>
          <w:numId w:val="17"/>
        </w:numPr>
        <w:ind w:left="567" w:firstLine="0"/>
        <w:rPr>
          <w:rFonts w:ascii="Times New Roman" w:hAnsi="Times New Roman"/>
          <w:color w:val="000000"/>
          <w:sz w:val="20"/>
          <w:szCs w:val="20"/>
        </w:rPr>
      </w:pPr>
      <w:r w:rsidRPr="00E16672">
        <w:rPr>
          <w:rFonts w:ascii="Times New Roman" w:hAnsi="Times New Roman"/>
          <w:color w:val="000000"/>
          <w:sz w:val="20"/>
          <w:szCs w:val="20"/>
        </w:rPr>
        <w:t xml:space="preserve">за облік цінних паперів на </w:t>
      </w:r>
      <w:proofErr w:type="spellStart"/>
      <w:r w:rsidRPr="00E16672">
        <w:rPr>
          <w:rFonts w:ascii="Times New Roman" w:hAnsi="Times New Roman"/>
          <w:color w:val="000000"/>
          <w:sz w:val="20"/>
          <w:szCs w:val="20"/>
        </w:rPr>
        <w:t>рахунк</w:t>
      </w:r>
      <w:r w:rsidR="00C22309" w:rsidRPr="00E16672">
        <w:rPr>
          <w:rFonts w:ascii="Times New Roman" w:hAnsi="Times New Roman"/>
          <w:color w:val="000000"/>
          <w:sz w:val="20"/>
          <w:szCs w:val="20"/>
        </w:rPr>
        <w:t>в</w:t>
      </w:r>
      <w:proofErr w:type="spellEnd"/>
      <w:r w:rsidR="00C22309" w:rsidRPr="00E16672">
        <w:rPr>
          <w:rFonts w:ascii="Times New Roman" w:hAnsi="Times New Roman"/>
          <w:color w:val="000000"/>
          <w:sz w:val="20"/>
          <w:szCs w:val="20"/>
        </w:rPr>
        <w:t xml:space="preserve"> цін</w:t>
      </w:r>
      <w:r w:rsidRPr="00E16672">
        <w:rPr>
          <w:rFonts w:ascii="Times New Roman" w:hAnsi="Times New Roman"/>
          <w:color w:val="000000"/>
          <w:sz w:val="20"/>
          <w:szCs w:val="20"/>
        </w:rPr>
        <w:t>них паперах - на останній день кварталу, в якому їх виконано,</w:t>
      </w:r>
    </w:p>
    <w:p w14:paraId="6EB6696F" w14:textId="77777777" w:rsidR="001D4B15" w:rsidRPr="00E16672" w:rsidRDefault="00765E37" w:rsidP="001D4B15">
      <w:pPr>
        <w:pStyle w:val="310"/>
        <w:ind w:left="567" w:hanging="567"/>
        <w:rPr>
          <w:rFonts w:ascii="Times New Roman" w:hAnsi="Times New Roman"/>
          <w:color w:val="000000"/>
          <w:sz w:val="20"/>
          <w:szCs w:val="20"/>
        </w:rPr>
      </w:pPr>
      <w:r w:rsidRPr="00E16672">
        <w:rPr>
          <w:rFonts w:ascii="Times New Roman" w:hAnsi="Times New Roman"/>
          <w:color w:val="000000"/>
          <w:sz w:val="20"/>
          <w:szCs w:val="20"/>
        </w:rPr>
        <w:t>підписується Депозитарною установою у двох оригіналах та подається Депоненту для підписання особисто або</w:t>
      </w:r>
    </w:p>
    <w:p w14:paraId="66F7CC3F" w14:textId="77777777" w:rsidR="001D4B15" w:rsidRPr="00E16672" w:rsidRDefault="00765E37" w:rsidP="001D4B15">
      <w:pPr>
        <w:pStyle w:val="310"/>
        <w:ind w:left="567" w:hanging="567"/>
        <w:rPr>
          <w:rFonts w:ascii="Times New Roman" w:hAnsi="Times New Roman"/>
          <w:color w:val="000000"/>
          <w:sz w:val="20"/>
          <w:szCs w:val="20"/>
        </w:rPr>
      </w:pPr>
      <w:r w:rsidRPr="00E16672">
        <w:rPr>
          <w:rFonts w:ascii="Times New Roman" w:hAnsi="Times New Roman"/>
          <w:color w:val="000000"/>
          <w:sz w:val="20"/>
          <w:szCs w:val="20"/>
        </w:rPr>
        <w:t>направляється поштою в адресу Депонента (або іншим способом за домовленістю з Депонентом) протягом не більше</w:t>
      </w:r>
    </w:p>
    <w:p w14:paraId="4B636FB7" w14:textId="77777777" w:rsidR="00765E37" w:rsidRPr="00E16672" w:rsidRDefault="00765E37" w:rsidP="001D4B15">
      <w:pPr>
        <w:pStyle w:val="310"/>
        <w:ind w:left="567" w:hanging="567"/>
        <w:rPr>
          <w:rFonts w:ascii="Times New Roman" w:hAnsi="Times New Roman"/>
          <w:color w:val="000000"/>
          <w:sz w:val="20"/>
          <w:szCs w:val="20"/>
        </w:rPr>
      </w:pPr>
      <w:r w:rsidRPr="00E16672">
        <w:rPr>
          <w:rFonts w:ascii="Times New Roman" w:hAnsi="Times New Roman"/>
          <w:i/>
          <w:color w:val="000000"/>
          <w:sz w:val="20"/>
          <w:szCs w:val="20"/>
        </w:rPr>
        <w:t>двадцяти</w:t>
      </w:r>
      <w:r w:rsidRPr="00E16672">
        <w:rPr>
          <w:rFonts w:ascii="Times New Roman" w:hAnsi="Times New Roman"/>
          <w:color w:val="000000"/>
          <w:sz w:val="20"/>
          <w:szCs w:val="20"/>
        </w:rPr>
        <w:t xml:space="preserve"> робочих днів з моменту підписання. </w:t>
      </w:r>
    </w:p>
    <w:p w14:paraId="40C1AFB9" w14:textId="77777777" w:rsidR="00765E37" w:rsidRPr="00E16672" w:rsidRDefault="00765E37" w:rsidP="00765E37">
      <w:pPr>
        <w:pStyle w:val="310"/>
        <w:ind w:firstLine="567"/>
        <w:rPr>
          <w:rFonts w:ascii="Times New Roman" w:hAnsi="Times New Roman"/>
          <w:color w:val="000000"/>
          <w:sz w:val="20"/>
          <w:szCs w:val="20"/>
        </w:rPr>
      </w:pPr>
      <w:r w:rsidRPr="00E16672">
        <w:rPr>
          <w:rFonts w:ascii="Times New Roman" w:hAnsi="Times New Roman"/>
          <w:color w:val="000000"/>
          <w:sz w:val="20"/>
          <w:szCs w:val="20"/>
        </w:rPr>
        <w:t xml:space="preserve">Депонент має підписати та повернути Депозитарній установі один оригінал  протягом </w:t>
      </w:r>
      <w:r w:rsidRPr="00E16672">
        <w:rPr>
          <w:rFonts w:ascii="Times New Roman" w:hAnsi="Times New Roman"/>
          <w:i/>
          <w:iCs/>
          <w:color w:val="000000"/>
          <w:sz w:val="20"/>
          <w:szCs w:val="20"/>
          <w:lang w:val="ru-RU"/>
        </w:rPr>
        <w:t>десяти</w:t>
      </w:r>
      <w:r w:rsidRPr="00E16672">
        <w:rPr>
          <w:rFonts w:ascii="Times New Roman" w:hAnsi="Times New Roman"/>
          <w:color w:val="000000"/>
          <w:sz w:val="20"/>
          <w:szCs w:val="20"/>
          <w:lang w:val="ru-RU"/>
        </w:rPr>
        <w:t xml:space="preserve"> </w:t>
      </w:r>
      <w:proofErr w:type="spellStart"/>
      <w:r w:rsidRPr="00E16672">
        <w:rPr>
          <w:rFonts w:ascii="Times New Roman" w:hAnsi="Times New Roman"/>
          <w:color w:val="000000"/>
          <w:sz w:val="20"/>
          <w:szCs w:val="20"/>
          <w:lang w:val="ru-RU"/>
        </w:rPr>
        <w:t>календарних</w:t>
      </w:r>
      <w:proofErr w:type="spellEnd"/>
      <w:r w:rsidRPr="00E16672">
        <w:rPr>
          <w:rFonts w:ascii="Times New Roman" w:hAnsi="Times New Roman"/>
          <w:color w:val="000000"/>
          <w:sz w:val="20"/>
          <w:szCs w:val="20"/>
        </w:rPr>
        <w:t xml:space="preserve"> днів з моменту отримання. У разі неповернення акту послуги вважаються наданими без заперечень.</w:t>
      </w:r>
    </w:p>
    <w:p w14:paraId="617F29CA" w14:textId="77777777" w:rsidR="00765E37" w:rsidRPr="00E16672" w:rsidRDefault="00200366" w:rsidP="00765E37">
      <w:pPr>
        <w:pStyle w:val="western"/>
        <w:spacing w:before="0" w:after="0"/>
        <w:ind w:firstLine="538"/>
        <w:jc w:val="both"/>
        <w:rPr>
          <w:rFonts w:ascii="Times New Roman" w:hAnsi="Times New Roman"/>
          <w:b w:val="0"/>
          <w:bCs w:val="0"/>
          <w:color w:val="000000"/>
          <w:szCs w:val="20"/>
          <w:lang w:val="uk-UA"/>
        </w:rPr>
      </w:pPr>
      <w:r w:rsidRPr="00E16672">
        <w:rPr>
          <w:rFonts w:ascii="Times New Roman" w:hAnsi="Times New Roman"/>
          <w:b w:val="0"/>
          <w:bCs w:val="0"/>
          <w:color w:val="000000"/>
          <w:szCs w:val="20"/>
        </w:rPr>
        <w:t xml:space="preserve">Акт </w:t>
      </w:r>
      <w:proofErr w:type="spellStart"/>
      <w:r w:rsidRPr="00E16672">
        <w:rPr>
          <w:rFonts w:ascii="Times New Roman" w:hAnsi="Times New Roman"/>
          <w:b w:val="0"/>
          <w:bCs w:val="0"/>
          <w:color w:val="000000"/>
          <w:szCs w:val="20"/>
        </w:rPr>
        <w:t>виконаних</w:t>
      </w:r>
      <w:proofErr w:type="spellEnd"/>
      <w:r w:rsidRPr="00E16672">
        <w:rPr>
          <w:rFonts w:ascii="Times New Roman" w:hAnsi="Times New Roman"/>
          <w:b w:val="0"/>
          <w:bCs w:val="0"/>
          <w:color w:val="000000"/>
          <w:szCs w:val="20"/>
        </w:rPr>
        <w:t xml:space="preserve"> </w:t>
      </w:r>
      <w:proofErr w:type="spellStart"/>
      <w:r w:rsidRPr="00E16672">
        <w:rPr>
          <w:rFonts w:ascii="Times New Roman" w:hAnsi="Times New Roman"/>
          <w:b w:val="0"/>
          <w:bCs w:val="0"/>
          <w:color w:val="000000"/>
          <w:szCs w:val="20"/>
        </w:rPr>
        <w:t>операцій</w:t>
      </w:r>
      <w:proofErr w:type="spellEnd"/>
      <w:r w:rsidRPr="00E16672">
        <w:rPr>
          <w:rFonts w:ascii="Times New Roman" w:hAnsi="Times New Roman"/>
          <w:b w:val="0"/>
          <w:bCs w:val="0"/>
          <w:color w:val="000000"/>
          <w:szCs w:val="20"/>
        </w:rPr>
        <w:t xml:space="preserve"> </w:t>
      </w:r>
      <w:proofErr w:type="spellStart"/>
      <w:r w:rsidRPr="00E16672">
        <w:rPr>
          <w:rFonts w:ascii="Times New Roman" w:hAnsi="Times New Roman"/>
          <w:b w:val="0"/>
          <w:bCs w:val="0"/>
          <w:color w:val="000000"/>
          <w:szCs w:val="20"/>
        </w:rPr>
        <w:t>може</w:t>
      </w:r>
      <w:proofErr w:type="spellEnd"/>
      <w:r w:rsidRPr="00E16672">
        <w:rPr>
          <w:rFonts w:ascii="Times New Roman" w:hAnsi="Times New Roman"/>
          <w:b w:val="0"/>
          <w:bCs w:val="0"/>
          <w:color w:val="000000"/>
          <w:szCs w:val="20"/>
        </w:rPr>
        <w:t xml:space="preserve"> бути </w:t>
      </w:r>
      <w:proofErr w:type="spellStart"/>
      <w:r w:rsidRPr="00E16672">
        <w:rPr>
          <w:rFonts w:ascii="Times New Roman" w:hAnsi="Times New Roman"/>
          <w:b w:val="0"/>
          <w:bCs w:val="0"/>
          <w:color w:val="000000"/>
          <w:szCs w:val="20"/>
        </w:rPr>
        <w:t>підписаний</w:t>
      </w:r>
      <w:proofErr w:type="spellEnd"/>
      <w:r w:rsidRPr="00E16672">
        <w:rPr>
          <w:rFonts w:ascii="Times New Roman" w:hAnsi="Times New Roman"/>
          <w:b w:val="0"/>
          <w:bCs w:val="0"/>
          <w:color w:val="000000"/>
          <w:szCs w:val="20"/>
        </w:rPr>
        <w:t xml:space="preserve"> Депозитарною </w:t>
      </w:r>
      <w:proofErr w:type="spellStart"/>
      <w:r w:rsidRPr="00E16672">
        <w:rPr>
          <w:rFonts w:ascii="Times New Roman" w:hAnsi="Times New Roman"/>
          <w:b w:val="0"/>
          <w:bCs w:val="0"/>
          <w:color w:val="000000"/>
          <w:szCs w:val="20"/>
        </w:rPr>
        <w:t>установою</w:t>
      </w:r>
      <w:proofErr w:type="spellEnd"/>
      <w:r w:rsidRPr="00E16672">
        <w:rPr>
          <w:rFonts w:ascii="Times New Roman" w:hAnsi="Times New Roman"/>
          <w:b w:val="0"/>
          <w:bCs w:val="0"/>
          <w:color w:val="000000"/>
          <w:szCs w:val="20"/>
        </w:rPr>
        <w:t xml:space="preserve"> та Депонентом за </w:t>
      </w:r>
      <w:proofErr w:type="spellStart"/>
      <w:r w:rsidRPr="00E16672">
        <w:rPr>
          <w:rFonts w:ascii="Times New Roman" w:hAnsi="Times New Roman"/>
          <w:b w:val="0"/>
          <w:bCs w:val="0"/>
          <w:color w:val="000000"/>
          <w:szCs w:val="20"/>
        </w:rPr>
        <w:t>допомогою</w:t>
      </w:r>
      <w:proofErr w:type="spellEnd"/>
      <w:r w:rsidRPr="00E16672">
        <w:rPr>
          <w:rFonts w:ascii="Times New Roman" w:hAnsi="Times New Roman"/>
          <w:b w:val="0"/>
          <w:bCs w:val="0"/>
          <w:color w:val="000000"/>
          <w:szCs w:val="20"/>
          <w:lang w:val="uk-UA"/>
        </w:rPr>
        <w:t xml:space="preserve"> кваліфікованого</w:t>
      </w:r>
      <w:r w:rsidRPr="00E16672">
        <w:rPr>
          <w:rFonts w:ascii="Times New Roman" w:hAnsi="Times New Roman"/>
          <w:b w:val="0"/>
          <w:bCs w:val="0"/>
          <w:color w:val="000000"/>
          <w:szCs w:val="20"/>
        </w:rPr>
        <w:t xml:space="preserve"> </w:t>
      </w:r>
      <w:proofErr w:type="spellStart"/>
      <w:r w:rsidRPr="00E16672">
        <w:rPr>
          <w:rFonts w:ascii="Times New Roman" w:hAnsi="Times New Roman"/>
          <w:b w:val="0"/>
          <w:bCs w:val="0"/>
          <w:color w:val="000000"/>
          <w:szCs w:val="20"/>
        </w:rPr>
        <w:t>електронного</w:t>
      </w:r>
      <w:proofErr w:type="spellEnd"/>
      <w:r w:rsidRPr="00E16672">
        <w:rPr>
          <w:rFonts w:ascii="Times New Roman" w:hAnsi="Times New Roman"/>
          <w:b w:val="0"/>
          <w:bCs w:val="0"/>
          <w:color w:val="000000"/>
          <w:szCs w:val="20"/>
        </w:rPr>
        <w:t xml:space="preserve"> </w:t>
      </w:r>
      <w:proofErr w:type="spellStart"/>
      <w:r w:rsidRPr="00E16672">
        <w:rPr>
          <w:rFonts w:ascii="Times New Roman" w:hAnsi="Times New Roman"/>
          <w:b w:val="0"/>
          <w:bCs w:val="0"/>
          <w:color w:val="000000"/>
          <w:szCs w:val="20"/>
        </w:rPr>
        <w:t>підпису</w:t>
      </w:r>
      <w:proofErr w:type="spellEnd"/>
      <w:r w:rsidRPr="00E16672">
        <w:rPr>
          <w:rFonts w:ascii="Times New Roman" w:hAnsi="Times New Roman"/>
          <w:b w:val="0"/>
          <w:bCs w:val="0"/>
          <w:color w:val="000000"/>
          <w:szCs w:val="20"/>
        </w:rPr>
        <w:t xml:space="preserve">. </w:t>
      </w:r>
      <w:r w:rsidRPr="00E16672">
        <w:rPr>
          <w:rFonts w:ascii="Times New Roman" w:hAnsi="Times New Roman"/>
          <w:b w:val="0"/>
          <w:bCs w:val="0"/>
          <w:color w:val="000000"/>
          <w:szCs w:val="20"/>
          <w:lang w:val="uk-UA"/>
        </w:rPr>
        <w:t>Рахунок також може бути підписаний за допомогою кваліфікованого</w:t>
      </w:r>
      <w:r w:rsidRPr="00E16672">
        <w:rPr>
          <w:rFonts w:ascii="Times New Roman" w:hAnsi="Times New Roman"/>
          <w:b w:val="0"/>
          <w:bCs w:val="0"/>
          <w:color w:val="000000"/>
          <w:szCs w:val="20"/>
        </w:rPr>
        <w:t xml:space="preserve"> </w:t>
      </w:r>
      <w:r w:rsidRPr="00E16672">
        <w:rPr>
          <w:rFonts w:ascii="Times New Roman" w:hAnsi="Times New Roman"/>
          <w:b w:val="0"/>
          <w:bCs w:val="0"/>
          <w:color w:val="000000"/>
          <w:szCs w:val="20"/>
          <w:lang w:val="uk-UA"/>
        </w:rPr>
        <w:t>електронного підпису</w:t>
      </w:r>
      <w:r w:rsidR="00765E37" w:rsidRPr="00E16672">
        <w:rPr>
          <w:rFonts w:ascii="Times New Roman" w:hAnsi="Times New Roman"/>
          <w:b w:val="0"/>
          <w:bCs w:val="0"/>
          <w:color w:val="000000"/>
          <w:szCs w:val="20"/>
          <w:lang w:val="uk-UA"/>
        </w:rPr>
        <w:t>.</w:t>
      </w:r>
    </w:p>
    <w:p w14:paraId="66732590" w14:textId="77777777" w:rsidR="00765E37" w:rsidRPr="00E16672" w:rsidRDefault="00765E37" w:rsidP="00765E37">
      <w:pPr>
        <w:pStyle w:val="western"/>
        <w:spacing w:before="0" w:after="0"/>
        <w:jc w:val="both"/>
        <w:rPr>
          <w:rFonts w:ascii="Times New Roman" w:hAnsi="Times New Roman"/>
          <w:b w:val="0"/>
          <w:bCs w:val="0"/>
          <w:szCs w:val="20"/>
        </w:rPr>
      </w:pPr>
      <w:r w:rsidRPr="00E16672">
        <w:rPr>
          <w:rFonts w:ascii="Times New Roman" w:hAnsi="Times New Roman"/>
          <w:b w:val="0"/>
          <w:bCs w:val="0"/>
          <w:color w:val="000000"/>
          <w:szCs w:val="20"/>
          <w:lang w:val="uk-UA"/>
        </w:rPr>
        <w:t xml:space="preserve">4.4. </w:t>
      </w:r>
      <w:r w:rsidRPr="00E16672">
        <w:rPr>
          <w:rFonts w:ascii="Times New Roman" w:hAnsi="Times New Roman"/>
          <w:b w:val="0"/>
          <w:bCs w:val="0"/>
          <w:color w:val="000000"/>
          <w:szCs w:val="20"/>
        </w:rPr>
        <w:t xml:space="preserve">Плата вноситься Депонентом у </w:t>
      </w:r>
      <w:proofErr w:type="spellStart"/>
      <w:r w:rsidRPr="00E16672">
        <w:rPr>
          <w:rFonts w:ascii="Times New Roman" w:hAnsi="Times New Roman"/>
          <w:b w:val="0"/>
          <w:bCs w:val="0"/>
          <w:color w:val="000000"/>
          <w:szCs w:val="20"/>
        </w:rPr>
        <w:t>безготівковій</w:t>
      </w:r>
      <w:proofErr w:type="spellEnd"/>
      <w:r w:rsidRPr="00E16672">
        <w:rPr>
          <w:rFonts w:ascii="Times New Roman" w:hAnsi="Times New Roman"/>
          <w:b w:val="0"/>
          <w:bCs w:val="0"/>
          <w:color w:val="000000"/>
          <w:szCs w:val="20"/>
        </w:rPr>
        <w:t xml:space="preserve"> </w:t>
      </w:r>
      <w:proofErr w:type="spellStart"/>
      <w:r w:rsidRPr="00E16672">
        <w:rPr>
          <w:rFonts w:ascii="Times New Roman" w:hAnsi="Times New Roman"/>
          <w:b w:val="0"/>
          <w:bCs w:val="0"/>
          <w:color w:val="000000"/>
          <w:szCs w:val="20"/>
        </w:rPr>
        <w:t>формі</w:t>
      </w:r>
      <w:proofErr w:type="spellEnd"/>
      <w:r w:rsidRPr="00E16672">
        <w:rPr>
          <w:rFonts w:ascii="Times New Roman" w:hAnsi="Times New Roman"/>
          <w:b w:val="0"/>
          <w:bCs w:val="0"/>
          <w:color w:val="000000"/>
          <w:szCs w:val="20"/>
        </w:rPr>
        <w:t xml:space="preserve"> шляхом </w:t>
      </w:r>
      <w:proofErr w:type="spellStart"/>
      <w:r w:rsidRPr="00E16672">
        <w:rPr>
          <w:rFonts w:ascii="Times New Roman" w:hAnsi="Times New Roman"/>
          <w:b w:val="0"/>
          <w:bCs w:val="0"/>
          <w:color w:val="000000"/>
          <w:szCs w:val="20"/>
        </w:rPr>
        <w:t>перерахування</w:t>
      </w:r>
      <w:proofErr w:type="spellEnd"/>
      <w:r w:rsidRPr="00E16672">
        <w:rPr>
          <w:rFonts w:ascii="Times New Roman" w:hAnsi="Times New Roman"/>
          <w:b w:val="0"/>
          <w:bCs w:val="0"/>
          <w:color w:val="000000"/>
          <w:szCs w:val="20"/>
        </w:rPr>
        <w:t xml:space="preserve"> </w:t>
      </w:r>
      <w:proofErr w:type="spellStart"/>
      <w:r w:rsidRPr="00E16672">
        <w:rPr>
          <w:rFonts w:ascii="Times New Roman" w:hAnsi="Times New Roman"/>
          <w:b w:val="0"/>
          <w:bCs w:val="0"/>
          <w:color w:val="000000"/>
          <w:szCs w:val="20"/>
        </w:rPr>
        <w:t>грошових</w:t>
      </w:r>
      <w:proofErr w:type="spellEnd"/>
      <w:r w:rsidRPr="00E16672">
        <w:rPr>
          <w:rFonts w:ascii="Times New Roman" w:hAnsi="Times New Roman"/>
          <w:b w:val="0"/>
          <w:bCs w:val="0"/>
          <w:color w:val="000000"/>
          <w:szCs w:val="20"/>
        </w:rPr>
        <w:t xml:space="preserve"> </w:t>
      </w:r>
      <w:proofErr w:type="spellStart"/>
      <w:r w:rsidRPr="00E16672">
        <w:rPr>
          <w:rFonts w:ascii="Times New Roman" w:hAnsi="Times New Roman"/>
          <w:b w:val="0"/>
          <w:bCs w:val="0"/>
          <w:color w:val="000000"/>
          <w:szCs w:val="20"/>
        </w:rPr>
        <w:t>коштів</w:t>
      </w:r>
      <w:proofErr w:type="spellEnd"/>
      <w:r w:rsidRPr="00E16672">
        <w:rPr>
          <w:rFonts w:ascii="Times New Roman" w:hAnsi="Times New Roman"/>
          <w:b w:val="0"/>
          <w:bCs w:val="0"/>
          <w:color w:val="000000"/>
          <w:szCs w:val="20"/>
        </w:rPr>
        <w:t xml:space="preserve"> на </w:t>
      </w:r>
      <w:proofErr w:type="spellStart"/>
      <w:r w:rsidRPr="00E16672">
        <w:rPr>
          <w:rFonts w:ascii="Times New Roman" w:hAnsi="Times New Roman"/>
          <w:b w:val="0"/>
          <w:bCs w:val="0"/>
          <w:color w:val="000000"/>
          <w:szCs w:val="20"/>
        </w:rPr>
        <w:t>рахунок</w:t>
      </w:r>
      <w:proofErr w:type="spellEnd"/>
      <w:r w:rsidRPr="00E16672">
        <w:rPr>
          <w:rFonts w:ascii="Times New Roman" w:hAnsi="Times New Roman"/>
          <w:b w:val="0"/>
          <w:bCs w:val="0"/>
          <w:color w:val="000000"/>
          <w:szCs w:val="20"/>
        </w:rPr>
        <w:t xml:space="preserve"> </w:t>
      </w:r>
      <w:proofErr w:type="spellStart"/>
      <w:r w:rsidRPr="00E16672">
        <w:rPr>
          <w:rFonts w:ascii="Times New Roman" w:hAnsi="Times New Roman"/>
          <w:b w:val="0"/>
          <w:bCs w:val="0"/>
          <w:color w:val="000000"/>
          <w:szCs w:val="20"/>
        </w:rPr>
        <w:t>Депозитарної</w:t>
      </w:r>
      <w:proofErr w:type="spellEnd"/>
      <w:r w:rsidRPr="00E16672">
        <w:rPr>
          <w:rFonts w:ascii="Times New Roman" w:hAnsi="Times New Roman"/>
          <w:b w:val="0"/>
          <w:bCs w:val="0"/>
          <w:color w:val="000000"/>
          <w:szCs w:val="20"/>
        </w:rPr>
        <w:t xml:space="preserve"> установи за </w:t>
      </w:r>
      <w:proofErr w:type="spellStart"/>
      <w:r w:rsidRPr="00E16672">
        <w:rPr>
          <w:rFonts w:ascii="Times New Roman" w:hAnsi="Times New Roman"/>
          <w:b w:val="0"/>
          <w:bCs w:val="0"/>
          <w:color w:val="000000"/>
          <w:szCs w:val="20"/>
        </w:rPr>
        <w:t>реквізитами</w:t>
      </w:r>
      <w:proofErr w:type="spellEnd"/>
      <w:r w:rsidRPr="00E16672">
        <w:rPr>
          <w:rFonts w:ascii="Times New Roman" w:hAnsi="Times New Roman"/>
          <w:b w:val="0"/>
          <w:bCs w:val="0"/>
          <w:color w:val="000000"/>
          <w:szCs w:val="20"/>
        </w:rPr>
        <w:t>,</w:t>
      </w:r>
      <w:r w:rsidRPr="00E16672">
        <w:rPr>
          <w:rFonts w:ascii="Times New Roman" w:hAnsi="Times New Roman"/>
          <w:b w:val="0"/>
          <w:bCs w:val="0"/>
          <w:szCs w:val="20"/>
        </w:rPr>
        <w:t xml:space="preserve"> </w:t>
      </w:r>
      <w:proofErr w:type="spellStart"/>
      <w:r w:rsidRPr="00E16672">
        <w:rPr>
          <w:rFonts w:ascii="Times New Roman" w:hAnsi="Times New Roman"/>
          <w:b w:val="0"/>
          <w:bCs w:val="0"/>
          <w:szCs w:val="20"/>
        </w:rPr>
        <w:t>вказаними</w:t>
      </w:r>
      <w:proofErr w:type="spellEnd"/>
      <w:r w:rsidRPr="00E16672">
        <w:rPr>
          <w:rFonts w:ascii="Times New Roman" w:hAnsi="Times New Roman"/>
          <w:b w:val="0"/>
          <w:bCs w:val="0"/>
          <w:szCs w:val="20"/>
        </w:rPr>
        <w:t xml:space="preserve"> Депозитарною </w:t>
      </w:r>
      <w:proofErr w:type="spellStart"/>
      <w:r w:rsidRPr="00E16672">
        <w:rPr>
          <w:rFonts w:ascii="Times New Roman" w:hAnsi="Times New Roman"/>
          <w:b w:val="0"/>
          <w:bCs w:val="0"/>
          <w:szCs w:val="20"/>
        </w:rPr>
        <w:t>установою</w:t>
      </w:r>
      <w:proofErr w:type="spellEnd"/>
      <w:r w:rsidRPr="00E16672">
        <w:rPr>
          <w:rFonts w:ascii="Times New Roman" w:hAnsi="Times New Roman"/>
          <w:b w:val="0"/>
          <w:bCs w:val="0"/>
          <w:szCs w:val="20"/>
        </w:rPr>
        <w:t xml:space="preserve">. </w:t>
      </w:r>
      <w:proofErr w:type="spellStart"/>
      <w:r w:rsidRPr="00E16672">
        <w:rPr>
          <w:rFonts w:ascii="Times New Roman" w:hAnsi="Times New Roman"/>
          <w:b w:val="0"/>
          <w:bCs w:val="0"/>
          <w:szCs w:val="20"/>
        </w:rPr>
        <w:t>Операція</w:t>
      </w:r>
      <w:proofErr w:type="spellEnd"/>
      <w:r w:rsidRPr="00E16672">
        <w:rPr>
          <w:rFonts w:ascii="Times New Roman" w:hAnsi="Times New Roman"/>
          <w:b w:val="0"/>
          <w:bCs w:val="0"/>
          <w:szCs w:val="20"/>
        </w:rPr>
        <w:t xml:space="preserve"> </w:t>
      </w:r>
      <w:proofErr w:type="spellStart"/>
      <w:r w:rsidRPr="00E16672">
        <w:rPr>
          <w:rFonts w:ascii="Times New Roman" w:hAnsi="Times New Roman"/>
          <w:b w:val="0"/>
          <w:bCs w:val="0"/>
          <w:szCs w:val="20"/>
        </w:rPr>
        <w:t>закриття</w:t>
      </w:r>
      <w:proofErr w:type="spellEnd"/>
      <w:r w:rsidRPr="00E16672">
        <w:rPr>
          <w:rFonts w:ascii="Times New Roman" w:hAnsi="Times New Roman"/>
          <w:b w:val="0"/>
          <w:bCs w:val="0"/>
          <w:szCs w:val="20"/>
        </w:rPr>
        <w:t xml:space="preserve"> </w:t>
      </w:r>
      <w:proofErr w:type="spellStart"/>
      <w:r w:rsidRPr="00E16672">
        <w:rPr>
          <w:rFonts w:ascii="Times New Roman" w:hAnsi="Times New Roman"/>
          <w:b w:val="0"/>
          <w:bCs w:val="0"/>
          <w:szCs w:val="20"/>
        </w:rPr>
        <w:t>рахунку</w:t>
      </w:r>
      <w:proofErr w:type="spellEnd"/>
      <w:r w:rsidRPr="00E16672">
        <w:rPr>
          <w:rFonts w:ascii="Times New Roman" w:hAnsi="Times New Roman"/>
          <w:b w:val="0"/>
          <w:bCs w:val="0"/>
          <w:szCs w:val="20"/>
        </w:rPr>
        <w:t xml:space="preserve"> </w:t>
      </w:r>
      <w:r w:rsidR="00C22309" w:rsidRPr="00E16672">
        <w:rPr>
          <w:rFonts w:ascii="Times New Roman" w:hAnsi="Times New Roman"/>
          <w:b w:val="0"/>
          <w:bCs w:val="0"/>
          <w:szCs w:val="20"/>
        </w:rPr>
        <w:t xml:space="preserve">в </w:t>
      </w:r>
      <w:proofErr w:type="spellStart"/>
      <w:r w:rsidR="00C22309" w:rsidRPr="00E16672">
        <w:rPr>
          <w:rFonts w:ascii="Times New Roman" w:hAnsi="Times New Roman"/>
          <w:b w:val="0"/>
          <w:bCs w:val="0"/>
          <w:szCs w:val="20"/>
        </w:rPr>
        <w:t>цін</w:t>
      </w:r>
      <w:r w:rsidRPr="00E16672">
        <w:rPr>
          <w:rFonts w:ascii="Times New Roman" w:hAnsi="Times New Roman"/>
          <w:b w:val="0"/>
          <w:bCs w:val="0"/>
          <w:szCs w:val="20"/>
        </w:rPr>
        <w:t>них</w:t>
      </w:r>
      <w:proofErr w:type="spellEnd"/>
      <w:r w:rsidRPr="00E16672">
        <w:rPr>
          <w:rFonts w:ascii="Times New Roman" w:hAnsi="Times New Roman"/>
          <w:b w:val="0"/>
          <w:bCs w:val="0"/>
          <w:szCs w:val="20"/>
        </w:rPr>
        <w:t xml:space="preserve"> </w:t>
      </w:r>
      <w:proofErr w:type="spellStart"/>
      <w:r w:rsidRPr="00E16672">
        <w:rPr>
          <w:rFonts w:ascii="Times New Roman" w:hAnsi="Times New Roman"/>
          <w:b w:val="0"/>
          <w:bCs w:val="0"/>
          <w:szCs w:val="20"/>
        </w:rPr>
        <w:t>паперах</w:t>
      </w:r>
      <w:proofErr w:type="spellEnd"/>
      <w:r w:rsidRPr="00E16672">
        <w:rPr>
          <w:rFonts w:ascii="Times New Roman" w:hAnsi="Times New Roman"/>
          <w:b w:val="0"/>
          <w:bCs w:val="0"/>
          <w:szCs w:val="20"/>
        </w:rPr>
        <w:t xml:space="preserve"> повинна бути оплачена до </w:t>
      </w:r>
      <w:proofErr w:type="spellStart"/>
      <w:r w:rsidRPr="00E16672">
        <w:rPr>
          <w:rFonts w:ascii="Times New Roman" w:hAnsi="Times New Roman"/>
          <w:b w:val="0"/>
          <w:bCs w:val="0"/>
          <w:szCs w:val="20"/>
        </w:rPr>
        <w:t>виконання</w:t>
      </w:r>
      <w:proofErr w:type="spellEnd"/>
      <w:r w:rsidRPr="00E16672">
        <w:rPr>
          <w:rFonts w:ascii="Times New Roman" w:hAnsi="Times New Roman"/>
          <w:b w:val="0"/>
          <w:bCs w:val="0"/>
          <w:szCs w:val="20"/>
        </w:rPr>
        <w:t xml:space="preserve"> </w:t>
      </w:r>
      <w:proofErr w:type="spellStart"/>
      <w:r w:rsidRPr="00E16672">
        <w:rPr>
          <w:rFonts w:ascii="Times New Roman" w:hAnsi="Times New Roman"/>
          <w:b w:val="0"/>
          <w:bCs w:val="0"/>
          <w:szCs w:val="20"/>
        </w:rPr>
        <w:t>цієї</w:t>
      </w:r>
      <w:proofErr w:type="spellEnd"/>
      <w:r w:rsidRPr="00E16672">
        <w:rPr>
          <w:rFonts w:ascii="Times New Roman" w:hAnsi="Times New Roman"/>
          <w:b w:val="0"/>
          <w:bCs w:val="0"/>
          <w:szCs w:val="20"/>
        </w:rPr>
        <w:t xml:space="preserve"> </w:t>
      </w:r>
      <w:proofErr w:type="spellStart"/>
      <w:r w:rsidRPr="00E16672">
        <w:rPr>
          <w:rFonts w:ascii="Times New Roman" w:hAnsi="Times New Roman"/>
          <w:b w:val="0"/>
          <w:bCs w:val="0"/>
          <w:szCs w:val="20"/>
        </w:rPr>
        <w:t>послуги</w:t>
      </w:r>
      <w:proofErr w:type="spellEnd"/>
      <w:r w:rsidRPr="00E16672">
        <w:rPr>
          <w:rFonts w:ascii="Times New Roman" w:hAnsi="Times New Roman"/>
          <w:b w:val="0"/>
          <w:bCs w:val="0"/>
          <w:szCs w:val="20"/>
        </w:rPr>
        <w:t xml:space="preserve">. </w:t>
      </w:r>
    </w:p>
    <w:p w14:paraId="6A74F6D4" w14:textId="77777777" w:rsidR="00765E37" w:rsidRPr="00E16672" w:rsidRDefault="00765E37" w:rsidP="00765E37">
      <w:pPr>
        <w:pStyle w:val="western"/>
        <w:spacing w:before="0" w:after="0"/>
        <w:jc w:val="both"/>
        <w:rPr>
          <w:rFonts w:ascii="Times New Roman" w:hAnsi="Times New Roman"/>
          <w:b w:val="0"/>
          <w:bCs w:val="0"/>
          <w:color w:val="000000"/>
          <w:szCs w:val="20"/>
        </w:rPr>
      </w:pPr>
      <w:r w:rsidRPr="00E16672">
        <w:rPr>
          <w:rFonts w:ascii="Times New Roman" w:hAnsi="Times New Roman"/>
          <w:b w:val="0"/>
          <w:bCs w:val="0"/>
          <w:color w:val="000000"/>
          <w:szCs w:val="20"/>
        </w:rPr>
        <w:t xml:space="preserve">4.5. У </w:t>
      </w:r>
      <w:proofErr w:type="spellStart"/>
      <w:r w:rsidRPr="00E16672">
        <w:rPr>
          <w:rFonts w:ascii="Times New Roman" w:hAnsi="Times New Roman"/>
          <w:b w:val="0"/>
          <w:bCs w:val="0"/>
          <w:color w:val="000000"/>
          <w:szCs w:val="20"/>
        </w:rPr>
        <w:t>разі</w:t>
      </w:r>
      <w:proofErr w:type="spellEnd"/>
      <w:r w:rsidRPr="00E16672">
        <w:rPr>
          <w:rFonts w:ascii="Times New Roman" w:hAnsi="Times New Roman"/>
          <w:b w:val="0"/>
          <w:bCs w:val="0"/>
          <w:color w:val="000000"/>
          <w:szCs w:val="20"/>
        </w:rPr>
        <w:t xml:space="preserve"> </w:t>
      </w:r>
      <w:proofErr w:type="spellStart"/>
      <w:r w:rsidRPr="00E16672">
        <w:rPr>
          <w:rFonts w:ascii="Times New Roman" w:hAnsi="Times New Roman"/>
          <w:b w:val="0"/>
          <w:bCs w:val="0"/>
          <w:color w:val="000000"/>
          <w:szCs w:val="20"/>
        </w:rPr>
        <w:t>припинення</w:t>
      </w:r>
      <w:proofErr w:type="spellEnd"/>
      <w:r w:rsidRPr="00E16672">
        <w:rPr>
          <w:rFonts w:ascii="Times New Roman" w:hAnsi="Times New Roman"/>
          <w:b w:val="0"/>
          <w:bCs w:val="0"/>
          <w:color w:val="000000"/>
          <w:szCs w:val="20"/>
        </w:rPr>
        <w:t xml:space="preserve"> </w:t>
      </w:r>
      <w:proofErr w:type="spellStart"/>
      <w:r w:rsidRPr="00E16672">
        <w:rPr>
          <w:rFonts w:ascii="Times New Roman" w:hAnsi="Times New Roman"/>
          <w:b w:val="0"/>
          <w:bCs w:val="0"/>
          <w:color w:val="000000"/>
          <w:szCs w:val="20"/>
        </w:rPr>
        <w:t>дії</w:t>
      </w:r>
      <w:proofErr w:type="spellEnd"/>
      <w:r w:rsidRPr="00E16672">
        <w:rPr>
          <w:rFonts w:ascii="Times New Roman" w:hAnsi="Times New Roman"/>
          <w:b w:val="0"/>
          <w:bCs w:val="0"/>
          <w:color w:val="000000"/>
          <w:szCs w:val="20"/>
        </w:rPr>
        <w:t xml:space="preserve"> Договору Депонент </w:t>
      </w:r>
      <w:proofErr w:type="spellStart"/>
      <w:r w:rsidRPr="00E16672">
        <w:rPr>
          <w:rFonts w:ascii="Times New Roman" w:hAnsi="Times New Roman"/>
          <w:b w:val="0"/>
          <w:bCs w:val="0"/>
          <w:color w:val="000000"/>
          <w:szCs w:val="20"/>
        </w:rPr>
        <w:t>зобов’язаний</w:t>
      </w:r>
      <w:proofErr w:type="spellEnd"/>
      <w:r w:rsidRPr="00E16672">
        <w:rPr>
          <w:rFonts w:ascii="Times New Roman" w:hAnsi="Times New Roman"/>
          <w:b w:val="0"/>
          <w:bCs w:val="0"/>
          <w:color w:val="000000"/>
          <w:szCs w:val="20"/>
        </w:rPr>
        <w:t xml:space="preserve"> </w:t>
      </w:r>
      <w:proofErr w:type="spellStart"/>
      <w:r w:rsidRPr="00E16672">
        <w:rPr>
          <w:rFonts w:ascii="Times New Roman" w:hAnsi="Times New Roman"/>
          <w:b w:val="0"/>
          <w:bCs w:val="0"/>
          <w:color w:val="000000"/>
          <w:szCs w:val="20"/>
        </w:rPr>
        <w:t>сплатити</w:t>
      </w:r>
      <w:proofErr w:type="spellEnd"/>
      <w:r w:rsidRPr="00E16672">
        <w:rPr>
          <w:rFonts w:ascii="Times New Roman" w:hAnsi="Times New Roman"/>
          <w:b w:val="0"/>
          <w:bCs w:val="0"/>
          <w:color w:val="000000"/>
          <w:szCs w:val="20"/>
        </w:rPr>
        <w:t xml:space="preserve"> </w:t>
      </w:r>
      <w:proofErr w:type="spellStart"/>
      <w:r w:rsidRPr="00E16672">
        <w:rPr>
          <w:rFonts w:ascii="Times New Roman" w:hAnsi="Times New Roman"/>
          <w:b w:val="0"/>
          <w:bCs w:val="0"/>
          <w:color w:val="000000"/>
          <w:szCs w:val="20"/>
        </w:rPr>
        <w:t>фактично</w:t>
      </w:r>
      <w:proofErr w:type="spellEnd"/>
      <w:r w:rsidRPr="00E16672">
        <w:rPr>
          <w:rFonts w:ascii="Times New Roman" w:hAnsi="Times New Roman"/>
          <w:b w:val="0"/>
          <w:bCs w:val="0"/>
          <w:color w:val="000000"/>
          <w:szCs w:val="20"/>
        </w:rPr>
        <w:t xml:space="preserve"> </w:t>
      </w:r>
      <w:proofErr w:type="spellStart"/>
      <w:r w:rsidRPr="00E16672">
        <w:rPr>
          <w:rFonts w:ascii="Times New Roman" w:hAnsi="Times New Roman"/>
          <w:b w:val="0"/>
          <w:bCs w:val="0"/>
          <w:color w:val="000000"/>
          <w:szCs w:val="20"/>
        </w:rPr>
        <w:t>надані</w:t>
      </w:r>
      <w:proofErr w:type="spellEnd"/>
      <w:r w:rsidRPr="00E16672">
        <w:rPr>
          <w:rFonts w:ascii="Times New Roman" w:hAnsi="Times New Roman"/>
          <w:b w:val="0"/>
          <w:bCs w:val="0"/>
          <w:color w:val="000000"/>
          <w:szCs w:val="20"/>
        </w:rPr>
        <w:t xml:space="preserve"> Депозитарною </w:t>
      </w:r>
      <w:proofErr w:type="spellStart"/>
      <w:r w:rsidRPr="00E16672">
        <w:rPr>
          <w:rFonts w:ascii="Times New Roman" w:hAnsi="Times New Roman"/>
          <w:b w:val="0"/>
          <w:bCs w:val="0"/>
          <w:color w:val="000000"/>
          <w:szCs w:val="20"/>
        </w:rPr>
        <w:t>установою</w:t>
      </w:r>
      <w:proofErr w:type="spellEnd"/>
      <w:r w:rsidRPr="00E16672">
        <w:rPr>
          <w:rFonts w:ascii="Times New Roman" w:hAnsi="Times New Roman"/>
          <w:b w:val="0"/>
          <w:bCs w:val="0"/>
          <w:color w:val="000000"/>
          <w:szCs w:val="20"/>
        </w:rPr>
        <w:t xml:space="preserve"> </w:t>
      </w:r>
      <w:proofErr w:type="spellStart"/>
      <w:r w:rsidRPr="00E16672">
        <w:rPr>
          <w:rFonts w:ascii="Times New Roman" w:hAnsi="Times New Roman"/>
          <w:b w:val="0"/>
          <w:bCs w:val="0"/>
          <w:color w:val="000000"/>
          <w:szCs w:val="20"/>
        </w:rPr>
        <w:t>послуги</w:t>
      </w:r>
      <w:proofErr w:type="spellEnd"/>
      <w:r w:rsidRPr="00E16672">
        <w:rPr>
          <w:rFonts w:ascii="Times New Roman" w:hAnsi="Times New Roman"/>
          <w:b w:val="0"/>
          <w:bCs w:val="0"/>
          <w:color w:val="000000"/>
          <w:szCs w:val="20"/>
        </w:rPr>
        <w:t xml:space="preserve"> </w:t>
      </w:r>
      <w:proofErr w:type="gramStart"/>
      <w:r w:rsidRPr="00E16672">
        <w:rPr>
          <w:rFonts w:ascii="Times New Roman" w:hAnsi="Times New Roman"/>
          <w:b w:val="0"/>
          <w:bCs w:val="0"/>
          <w:color w:val="000000"/>
          <w:szCs w:val="20"/>
        </w:rPr>
        <w:t>до моменту</w:t>
      </w:r>
      <w:proofErr w:type="gramEnd"/>
      <w:r w:rsidRPr="00E16672">
        <w:rPr>
          <w:rFonts w:ascii="Times New Roman" w:hAnsi="Times New Roman"/>
          <w:b w:val="0"/>
          <w:bCs w:val="0"/>
          <w:color w:val="000000"/>
          <w:szCs w:val="20"/>
        </w:rPr>
        <w:t xml:space="preserve"> </w:t>
      </w:r>
      <w:proofErr w:type="spellStart"/>
      <w:r w:rsidRPr="00E16672">
        <w:rPr>
          <w:rFonts w:ascii="Times New Roman" w:hAnsi="Times New Roman"/>
          <w:b w:val="0"/>
          <w:bCs w:val="0"/>
          <w:color w:val="000000"/>
          <w:szCs w:val="20"/>
        </w:rPr>
        <w:t>припинення</w:t>
      </w:r>
      <w:proofErr w:type="spellEnd"/>
      <w:r w:rsidRPr="00E16672">
        <w:rPr>
          <w:rFonts w:ascii="Times New Roman" w:hAnsi="Times New Roman"/>
          <w:b w:val="0"/>
          <w:bCs w:val="0"/>
          <w:color w:val="000000"/>
          <w:szCs w:val="20"/>
        </w:rPr>
        <w:t xml:space="preserve"> </w:t>
      </w:r>
      <w:proofErr w:type="spellStart"/>
      <w:r w:rsidRPr="00E16672">
        <w:rPr>
          <w:rFonts w:ascii="Times New Roman" w:hAnsi="Times New Roman"/>
          <w:b w:val="0"/>
          <w:bCs w:val="0"/>
          <w:color w:val="000000"/>
          <w:szCs w:val="20"/>
        </w:rPr>
        <w:t>дії</w:t>
      </w:r>
      <w:proofErr w:type="spellEnd"/>
      <w:r w:rsidRPr="00E16672">
        <w:rPr>
          <w:rFonts w:ascii="Times New Roman" w:hAnsi="Times New Roman"/>
          <w:b w:val="0"/>
          <w:bCs w:val="0"/>
          <w:color w:val="000000"/>
          <w:szCs w:val="20"/>
        </w:rPr>
        <w:t xml:space="preserve"> Договору.</w:t>
      </w:r>
    </w:p>
    <w:p w14:paraId="242E03FA" w14:textId="77777777" w:rsidR="00765E37" w:rsidRPr="00E16672" w:rsidRDefault="00765E37" w:rsidP="00765E37">
      <w:pPr>
        <w:rPr>
          <w:rFonts w:ascii="Times New Roman" w:hAnsi="Times New Roman"/>
          <w:color w:val="000000"/>
          <w:szCs w:val="20"/>
        </w:rPr>
      </w:pPr>
      <w:r w:rsidRPr="00E16672">
        <w:rPr>
          <w:rFonts w:ascii="Times New Roman" w:hAnsi="Times New Roman"/>
          <w:color w:val="000000"/>
          <w:szCs w:val="20"/>
        </w:rPr>
        <w:t xml:space="preserve">4.6. Оплата за </w:t>
      </w:r>
      <w:proofErr w:type="spellStart"/>
      <w:r w:rsidRPr="00E16672">
        <w:rPr>
          <w:rFonts w:ascii="Times New Roman" w:hAnsi="Times New Roman"/>
          <w:color w:val="000000"/>
          <w:szCs w:val="20"/>
        </w:rPr>
        <w:t>послуги</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надані</w:t>
      </w:r>
      <w:proofErr w:type="spellEnd"/>
      <w:r w:rsidRPr="00E16672">
        <w:rPr>
          <w:rFonts w:ascii="Times New Roman" w:hAnsi="Times New Roman"/>
          <w:color w:val="000000"/>
          <w:szCs w:val="20"/>
        </w:rPr>
        <w:t xml:space="preserve"> </w:t>
      </w:r>
      <w:r w:rsidRPr="00E16672">
        <w:rPr>
          <w:rFonts w:ascii="Times New Roman" w:hAnsi="Times New Roman"/>
          <w:color w:val="000000"/>
          <w:szCs w:val="20"/>
          <w:lang w:val="uk-UA"/>
        </w:rPr>
        <w:t>Депоненту</w:t>
      </w:r>
      <w:r w:rsidRPr="00E16672">
        <w:rPr>
          <w:rFonts w:ascii="Times New Roman" w:hAnsi="Times New Roman"/>
          <w:color w:val="000000"/>
          <w:szCs w:val="20"/>
        </w:rPr>
        <w:t xml:space="preserve"> Депозитарною </w:t>
      </w:r>
      <w:proofErr w:type="spellStart"/>
      <w:r w:rsidRPr="00E16672">
        <w:rPr>
          <w:rFonts w:ascii="Times New Roman" w:hAnsi="Times New Roman"/>
          <w:color w:val="000000"/>
          <w:szCs w:val="20"/>
        </w:rPr>
        <w:t>установою</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може</w:t>
      </w:r>
      <w:proofErr w:type="spellEnd"/>
      <w:r w:rsidRPr="00E16672">
        <w:rPr>
          <w:rFonts w:ascii="Times New Roman" w:hAnsi="Times New Roman"/>
          <w:color w:val="000000"/>
          <w:szCs w:val="20"/>
        </w:rPr>
        <w:t xml:space="preserve"> бути </w:t>
      </w:r>
      <w:proofErr w:type="spellStart"/>
      <w:r w:rsidRPr="00E16672">
        <w:rPr>
          <w:rFonts w:ascii="Times New Roman" w:hAnsi="Times New Roman"/>
          <w:color w:val="000000"/>
          <w:szCs w:val="20"/>
        </w:rPr>
        <w:t>здійснена</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третіми</w:t>
      </w:r>
      <w:proofErr w:type="spellEnd"/>
      <w:r w:rsidRPr="00E16672">
        <w:rPr>
          <w:rFonts w:ascii="Times New Roman" w:hAnsi="Times New Roman"/>
          <w:color w:val="000000"/>
          <w:szCs w:val="20"/>
        </w:rPr>
        <w:t xml:space="preserve"> особами. Оплата </w:t>
      </w:r>
      <w:proofErr w:type="spellStart"/>
      <w:r w:rsidRPr="00E16672">
        <w:rPr>
          <w:rFonts w:ascii="Times New Roman" w:hAnsi="Times New Roman"/>
          <w:color w:val="000000"/>
          <w:szCs w:val="20"/>
        </w:rPr>
        <w:t>здійснюється</w:t>
      </w:r>
      <w:proofErr w:type="spellEnd"/>
      <w:r w:rsidRPr="00E16672">
        <w:rPr>
          <w:rFonts w:ascii="Times New Roman" w:hAnsi="Times New Roman"/>
          <w:color w:val="000000"/>
          <w:szCs w:val="20"/>
        </w:rPr>
        <w:t xml:space="preserve"> на </w:t>
      </w:r>
      <w:proofErr w:type="spellStart"/>
      <w:r w:rsidRPr="00E16672">
        <w:rPr>
          <w:rFonts w:ascii="Times New Roman" w:hAnsi="Times New Roman"/>
          <w:color w:val="000000"/>
          <w:szCs w:val="20"/>
        </w:rPr>
        <w:t>підставі</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рахунків</w:t>
      </w:r>
      <w:proofErr w:type="spellEnd"/>
      <w:r w:rsidRPr="00E16672">
        <w:rPr>
          <w:rFonts w:ascii="Times New Roman" w:hAnsi="Times New Roman"/>
          <w:color w:val="000000"/>
          <w:szCs w:val="20"/>
        </w:rPr>
        <w:t>/</w:t>
      </w:r>
      <w:proofErr w:type="spellStart"/>
      <w:r w:rsidRPr="00E16672">
        <w:rPr>
          <w:rFonts w:ascii="Times New Roman" w:hAnsi="Times New Roman"/>
          <w:color w:val="000000"/>
          <w:szCs w:val="20"/>
        </w:rPr>
        <w:t>актів</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виконаних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робіт</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виставлених</w:t>
      </w:r>
      <w:proofErr w:type="spellEnd"/>
      <w:r w:rsidRPr="00E16672">
        <w:rPr>
          <w:rFonts w:ascii="Times New Roman" w:hAnsi="Times New Roman"/>
          <w:color w:val="000000"/>
          <w:szCs w:val="20"/>
        </w:rPr>
        <w:t xml:space="preserve"> </w:t>
      </w:r>
      <w:r w:rsidRPr="00E16672">
        <w:rPr>
          <w:rFonts w:ascii="Times New Roman" w:hAnsi="Times New Roman"/>
          <w:color w:val="000000"/>
          <w:szCs w:val="20"/>
          <w:lang w:val="uk-UA"/>
        </w:rPr>
        <w:t>Д</w:t>
      </w:r>
      <w:proofErr w:type="spellStart"/>
      <w:r w:rsidRPr="00E16672">
        <w:rPr>
          <w:rFonts w:ascii="Times New Roman" w:hAnsi="Times New Roman"/>
          <w:color w:val="000000"/>
          <w:szCs w:val="20"/>
        </w:rPr>
        <w:t>епоненту</w:t>
      </w:r>
      <w:proofErr w:type="spellEnd"/>
      <w:r w:rsidRPr="00E16672">
        <w:rPr>
          <w:rFonts w:ascii="Times New Roman" w:hAnsi="Times New Roman"/>
          <w:color w:val="000000"/>
          <w:szCs w:val="20"/>
        </w:rPr>
        <w:t xml:space="preserve"> Депозитарною </w:t>
      </w:r>
      <w:proofErr w:type="spellStart"/>
      <w:r w:rsidRPr="00E16672">
        <w:rPr>
          <w:rFonts w:ascii="Times New Roman" w:hAnsi="Times New Roman"/>
          <w:color w:val="000000"/>
          <w:szCs w:val="20"/>
        </w:rPr>
        <w:t>установою</w:t>
      </w:r>
      <w:proofErr w:type="spellEnd"/>
      <w:r w:rsidRPr="00E16672">
        <w:rPr>
          <w:rFonts w:ascii="Times New Roman" w:hAnsi="Times New Roman"/>
          <w:color w:val="000000"/>
          <w:szCs w:val="20"/>
        </w:rPr>
        <w:t xml:space="preserve">. У </w:t>
      </w:r>
      <w:proofErr w:type="spellStart"/>
      <w:r w:rsidRPr="00E16672">
        <w:rPr>
          <w:rFonts w:ascii="Times New Roman" w:hAnsi="Times New Roman"/>
          <w:color w:val="000000"/>
          <w:szCs w:val="20"/>
        </w:rPr>
        <w:t>платіжному</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дорученні</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третьої</w:t>
      </w:r>
      <w:proofErr w:type="spellEnd"/>
      <w:r w:rsidRPr="00E16672">
        <w:rPr>
          <w:rFonts w:ascii="Times New Roman" w:hAnsi="Times New Roman"/>
          <w:color w:val="000000"/>
          <w:szCs w:val="20"/>
        </w:rPr>
        <w:t xml:space="preserve"> особи, яка </w:t>
      </w:r>
      <w:proofErr w:type="spellStart"/>
      <w:r w:rsidRPr="00E16672">
        <w:rPr>
          <w:rFonts w:ascii="Times New Roman" w:hAnsi="Times New Roman"/>
          <w:color w:val="000000"/>
          <w:szCs w:val="20"/>
        </w:rPr>
        <w:t>здійснює</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платіж</w:t>
      </w:r>
      <w:proofErr w:type="spellEnd"/>
      <w:r w:rsidRPr="00E16672">
        <w:rPr>
          <w:rFonts w:ascii="Times New Roman" w:hAnsi="Times New Roman"/>
          <w:color w:val="000000"/>
          <w:szCs w:val="20"/>
        </w:rPr>
        <w:t xml:space="preserve"> на </w:t>
      </w:r>
      <w:proofErr w:type="spellStart"/>
      <w:r w:rsidRPr="00E16672">
        <w:rPr>
          <w:rFonts w:ascii="Times New Roman" w:hAnsi="Times New Roman"/>
          <w:color w:val="000000"/>
          <w:szCs w:val="20"/>
        </w:rPr>
        <w:t>користь</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Депозитарної</w:t>
      </w:r>
      <w:proofErr w:type="spellEnd"/>
      <w:r w:rsidRPr="00E16672">
        <w:rPr>
          <w:rFonts w:ascii="Times New Roman" w:hAnsi="Times New Roman"/>
          <w:color w:val="000000"/>
          <w:szCs w:val="20"/>
        </w:rPr>
        <w:t xml:space="preserve"> установи, </w:t>
      </w:r>
      <w:proofErr w:type="spellStart"/>
      <w:r w:rsidRPr="00E16672">
        <w:rPr>
          <w:rFonts w:ascii="Times New Roman" w:hAnsi="Times New Roman"/>
          <w:color w:val="000000"/>
          <w:szCs w:val="20"/>
        </w:rPr>
        <w:t>має</w:t>
      </w:r>
      <w:proofErr w:type="spellEnd"/>
      <w:r w:rsidRPr="00E16672">
        <w:rPr>
          <w:rFonts w:ascii="Times New Roman" w:hAnsi="Times New Roman"/>
          <w:color w:val="000000"/>
          <w:szCs w:val="20"/>
        </w:rPr>
        <w:t xml:space="preserve"> бути </w:t>
      </w:r>
      <w:proofErr w:type="spellStart"/>
      <w:r w:rsidRPr="00E16672">
        <w:rPr>
          <w:rFonts w:ascii="Times New Roman" w:hAnsi="Times New Roman"/>
          <w:color w:val="000000"/>
          <w:szCs w:val="20"/>
        </w:rPr>
        <w:t>зазначено</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що</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призначенням</w:t>
      </w:r>
      <w:proofErr w:type="spellEnd"/>
      <w:r w:rsidRPr="00E16672">
        <w:rPr>
          <w:rFonts w:ascii="Times New Roman" w:hAnsi="Times New Roman"/>
          <w:color w:val="000000"/>
          <w:szCs w:val="20"/>
        </w:rPr>
        <w:t xml:space="preserve"> платежу є </w:t>
      </w:r>
      <w:proofErr w:type="spellStart"/>
      <w:r w:rsidRPr="00E16672">
        <w:rPr>
          <w:rFonts w:ascii="Times New Roman" w:hAnsi="Times New Roman"/>
          <w:color w:val="000000"/>
          <w:szCs w:val="20"/>
        </w:rPr>
        <w:t>сплата</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коштів</w:t>
      </w:r>
      <w:proofErr w:type="spellEnd"/>
      <w:r w:rsidRPr="00E16672">
        <w:rPr>
          <w:rFonts w:ascii="Times New Roman" w:hAnsi="Times New Roman"/>
          <w:color w:val="000000"/>
          <w:szCs w:val="20"/>
        </w:rPr>
        <w:t xml:space="preserve"> за </w:t>
      </w:r>
      <w:proofErr w:type="spellStart"/>
      <w:r w:rsidRPr="00E16672">
        <w:rPr>
          <w:rFonts w:ascii="Times New Roman" w:hAnsi="Times New Roman"/>
          <w:color w:val="000000"/>
          <w:szCs w:val="20"/>
        </w:rPr>
        <w:t>послуги</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отримані</w:t>
      </w:r>
      <w:proofErr w:type="spellEnd"/>
      <w:r w:rsidRPr="00E16672">
        <w:rPr>
          <w:rFonts w:ascii="Times New Roman" w:hAnsi="Times New Roman"/>
          <w:color w:val="000000"/>
          <w:szCs w:val="20"/>
        </w:rPr>
        <w:t xml:space="preserve"> </w:t>
      </w:r>
      <w:r w:rsidRPr="00E16672">
        <w:rPr>
          <w:rFonts w:ascii="Times New Roman" w:hAnsi="Times New Roman"/>
          <w:color w:val="000000"/>
          <w:szCs w:val="20"/>
          <w:lang w:val="uk-UA"/>
        </w:rPr>
        <w:t>Д</w:t>
      </w:r>
      <w:proofErr w:type="spellStart"/>
      <w:r w:rsidRPr="00E16672">
        <w:rPr>
          <w:rFonts w:ascii="Times New Roman" w:hAnsi="Times New Roman"/>
          <w:color w:val="000000"/>
          <w:szCs w:val="20"/>
        </w:rPr>
        <w:t>епонент</w:t>
      </w:r>
      <w:r w:rsidRPr="00E16672">
        <w:rPr>
          <w:rFonts w:ascii="Times New Roman" w:hAnsi="Times New Roman"/>
          <w:color w:val="000000"/>
          <w:szCs w:val="20"/>
          <w:lang w:val="uk-UA"/>
        </w:rPr>
        <w:t>ом</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Депозитарної</w:t>
      </w:r>
      <w:proofErr w:type="spellEnd"/>
      <w:r w:rsidRPr="00E16672">
        <w:rPr>
          <w:rFonts w:ascii="Times New Roman" w:hAnsi="Times New Roman"/>
          <w:color w:val="000000"/>
          <w:szCs w:val="20"/>
        </w:rPr>
        <w:t xml:space="preserve"> установи, а </w:t>
      </w:r>
      <w:proofErr w:type="spellStart"/>
      <w:r w:rsidRPr="00E16672">
        <w:rPr>
          <w:rFonts w:ascii="Times New Roman" w:hAnsi="Times New Roman"/>
          <w:color w:val="000000"/>
          <w:szCs w:val="20"/>
        </w:rPr>
        <w:t>також</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реквізити</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відповідних</w:t>
      </w:r>
      <w:proofErr w:type="spellEnd"/>
      <w:r w:rsidRPr="00E16672">
        <w:rPr>
          <w:rFonts w:ascii="Times New Roman" w:hAnsi="Times New Roman"/>
          <w:color w:val="000000"/>
          <w:szCs w:val="20"/>
        </w:rPr>
        <w:t xml:space="preserve"> договору з </w:t>
      </w:r>
      <w:r w:rsidRPr="00E16672">
        <w:rPr>
          <w:rFonts w:ascii="Times New Roman" w:hAnsi="Times New Roman"/>
          <w:color w:val="000000"/>
          <w:szCs w:val="20"/>
          <w:lang w:val="uk-UA"/>
        </w:rPr>
        <w:t>Д</w:t>
      </w:r>
      <w:proofErr w:type="spellStart"/>
      <w:r w:rsidRPr="00E16672">
        <w:rPr>
          <w:rFonts w:ascii="Times New Roman" w:hAnsi="Times New Roman"/>
          <w:color w:val="000000"/>
          <w:szCs w:val="20"/>
        </w:rPr>
        <w:t>епонентом</w:t>
      </w:r>
      <w:proofErr w:type="spellEnd"/>
      <w:r w:rsidRPr="00E16672">
        <w:rPr>
          <w:rFonts w:ascii="Times New Roman" w:hAnsi="Times New Roman"/>
          <w:color w:val="000000"/>
          <w:szCs w:val="20"/>
        </w:rPr>
        <w:t xml:space="preserve"> та </w:t>
      </w:r>
      <w:proofErr w:type="spellStart"/>
      <w:r w:rsidRPr="00E16672">
        <w:rPr>
          <w:rFonts w:ascii="Times New Roman" w:hAnsi="Times New Roman"/>
          <w:color w:val="000000"/>
          <w:szCs w:val="20"/>
        </w:rPr>
        <w:t>рахунку</w:t>
      </w:r>
      <w:proofErr w:type="spellEnd"/>
      <w:r w:rsidRPr="00E16672">
        <w:rPr>
          <w:rFonts w:ascii="Times New Roman" w:hAnsi="Times New Roman"/>
          <w:color w:val="000000"/>
          <w:szCs w:val="20"/>
        </w:rPr>
        <w:t xml:space="preserve">/акту </w:t>
      </w:r>
      <w:proofErr w:type="spellStart"/>
      <w:r w:rsidRPr="00E16672">
        <w:rPr>
          <w:rFonts w:ascii="Times New Roman" w:hAnsi="Times New Roman"/>
          <w:color w:val="000000"/>
          <w:szCs w:val="20"/>
        </w:rPr>
        <w:t>виконаних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робіт</w:t>
      </w:r>
      <w:proofErr w:type="spellEnd"/>
      <w:r w:rsidRPr="00E16672">
        <w:rPr>
          <w:rFonts w:ascii="Times New Roman" w:hAnsi="Times New Roman"/>
          <w:color w:val="000000"/>
          <w:szCs w:val="20"/>
        </w:rPr>
        <w:t>.</w:t>
      </w:r>
    </w:p>
    <w:p w14:paraId="145B42F3" w14:textId="77777777" w:rsidR="003A05A3" w:rsidRPr="00E16672" w:rsidRDefault="00765E37" w:rsidP="003A05A3">
      <w:pPr>
        <w:rPr>
          <w:rFonts w:ascii="Times New Roman" w:hAnsi="Times New Roman"/>
          <w:lang w:val="uk-UA"/>
        </w:rPr>
      </w:pPr>
      <w:r w:rsidRPr="00E16672">
        <w:rPr>
          <w:rFonts w:ascii="Times New Roman" w:hAnsi="Times New Roman"/>
          <w:lang w:val="uk-UA"/>
        </w:rPr>
        <w:t>4.7. Надання депозитарних послуг Депоненту може бути призупинено Депозитарною установою у разі відсутності належної оплати послуг Депозитарної установи з боку Депонента до повного погашення заборгованості.</w:t>
      </w:r>
    </w:p>
    <w:p w14:paraId="0C240F71" w14:textId="77777777" w:rsidR="001D4B15" w:rsidRPr="00E16672" w:rsidRDefault="001D4B15" w:rsidP="001D4B15">
      <w:pPr>
        <w:pStyle w:val="2"/>
        <w:spacing w:before="0" w:after="0"/>
        <w:rPr>
          <w:rFonts w:ascii="Times New Roman" w:hAnsi="Times New Roman" w:cs="Times New Roman"/>
          <w:lang w:val="uk-UA"/>
        </w:rPr>
      </w:pPr>
    </w:p>
    <w:p w14:paraId="5E710724" w14:textId="77777777" w:rsidR="00765E37" w:rsidRPr="00E16672" w:rsidRDefault="00765E37" w:rsidP="001D4B15">
      <w:pPr>
        <w:pStyle w:val="2"/>
        <w:spacing w:before="0" w:after="0"/>
        <w:rPr>
          <w:rFonts w:ascii="Times New Roman" w:hAnsi="Times New Roman" w:cs="Times New Roman"/>
          <w:lang w:val="uk-UA"/>
        </w:rPr>
      </w:pPr>
      <w:r w:rsidRPr="00E16672">
        <w:rPr>
          <w:rFonts w:ascii="Times New Roman" w:hAnsi="Times New Roman" w:cs="Times New Roman"/>
          <w:lang w:val="uk-UA"/>
        </w:rPr>
        <w:t>5. Відповідальність Сторін. Порядок розгляду спорів, що можуть виникнути між Сторонами в процесі виконання, зміни чи розірвання Договору.</w:t>
      </w:r>
    </w:p>
    <w:p w14:paraId="312BC68C" w14:textId="77777777" w:rsidR="001D4B15" w:rsidRPr="00E16672" w:rsidRDefault="001D4B15" w:rsidP="001D4B15">
      <w:pPr>
        <w:rPr>
          <w:rFonts w:ascii="Times New Roman" w:hAnsi="Times New Roman"/>
          <w:lang w:val="uk-UA"/>
        </w:rPr>
      </w:pPr>
    </w:p>
    <w:p w14:paraId="776CB3DC" w14:textId="77777777" w:rsidR="00765E37" w:rsidRPr="00E16672" w:rsidRDefault="00765E37" w:rsidP="00765E37">
      <w:pPr>
        <w:ind w:firstLine="570"/>
        <w:rPr>
          <w:rFonts w:ascii="Times New Roman" w:hAnsi="Times New Roman"/>
          <w:szCs w:val="20"/>
          <w:lang w:val="uk-UA"/>
        </w:rPr>
      </w:pPr>
      <w:r w:rsidRPr="00E16672">
        <w:rPr>
          <w:rFonts w:ascii="Times New Roman" w:hAnsi="Times New Roman"/>
          <w:szCs w:val="20"/>
          <w:lang w:val="uk-UA"/>
        </w:rPr>
        <w:t>5.1. Кожна сторона зобов’язується виконувати свої обов’язки належним чином та сприяти іншій стороні у виконанні.</w:t>
      </w:r>
    </w:p>
    <w:p w14:paraId="203CF84F" w14:textId="77777777" w:rsidR="00765E37" w:rsidRPr="00E16672" w:rsidRDefault="00765E37" w:rsidP="00765E37">
      <w:pPr>
        <w:ind w:firstLine="570"/>
        <w:rPr>
          <w:rFonts w:ascii="Times New Roman" w:hAnsi="Times New Roman"/>
          <w:szCs w:val="20"/>
          <w:lang w:val="uk-UA"/>
        </w:rPr>
      </w:pPr>
      <w:r w:rsidRPr="00E16672">
        <w:rPr>
          <w:rFonts w:ascii="Times New Roman" w:hAnsi="Times New Roman"/>
          <w:szCs w:val="20"/>
          <w:lang w:val="uk-UA"/>
        </w:rPr>
        <w:t>5.2. Обмін розпорядженнями, повідомленнями, інформацією, що надається у зв’язку з виконанням Сторонами Договору, здійснюється в порядку, визначеному Договором, внутрішніми документами Депозитарної установи та законодавством.</w:t>
      </w:r>
    </w:p>
    <w:p w14:paraId="5E0EAC10" w14:textId="77777777" w:rsidR="00765E37" w:rsidRPr="00E16672" w:rsidRDefault="00765E37" w:rsidP="00765E37">
      <w:pPr>
        <w:ind w:firstLine="570"/>
        <w:rPr>
          <w:rFonts w:ascii="Times New Roman" w:hAnsi="Times New Roman"/>
          <w:szCs w:val="20"/>
          <w:lang w:val="uk-UA"/>
        </w:rPr>
      </w:pPr>
      <w:r w:rsidRPr="00E16672">
        <w:rPr>
          <w:rFonts w:ascii="Times New Roman" w:hAnsi="Times New Roman"/>
          <w:szCs w:val="20"/>
          <w:lang w:val="uk-UA"/>
        </w:rPr>
        <w:t xml:space="preserve">5.3. Сторони </w:t>
      </w:r>
      <w:r w:rsidR="00200366" w:rsidRPr="00E16672">
        <w:rPr>
          <w:rFonts w:ascii="Times New Roman" w:hAnsi="Times New Roman"/>
          <w:szCs w:val="20"/>
          <w:lang w:val="uk-UA"/>
        </w:rPr>
        <w:t>підтверджують</w:t>
      </w:r>
      <w:r w:rsidRPr="00E16672">
        <w:rPr>
          <w:rFonts w:ascii="Times New Roman" w:hAnsi="Times New Roman"/>
          <w:szCs w:val="20"/>
          <w:lang w:val="uk-UA"/>
        </w:rPr>
        <w:t xml:space="preserve"> достовірність підписів на розпорядженнях Депонента способом, визначеним у розділі 3 цього Договору.</w:t>
      </w:r>
    </w:p>
    <w:p w14:paraId="73EBD8F2" w14:textId="77777777" w:rsidR="00765E37" w:rsidRPr="00E16672" w:rsidRDefault="00765E37" w:rsidP="00765E37">
      <w:pPr>
        <w:ind w:firstLine="570"/>
        <w:rPr>
          <w:rFonts w:ascii="Times New Roman" w:hAnsi="Times New Roman"/>
          <w:szCs w:val="20"/>
          <w:lang w:val="uk-UA"/>
        </w:rPr>
      </w:pPr>
      <w:r w:rsidRPr="00E16672">
        <w:rPr>
          <w:rFonts w:ascii="Times New Roman" w:hAnsi="Times New Roman"/>
          <w:szCs w:val="20"/>
          <w:lang w:val="uk-UA"/>
        </w:rPr>
        <w:t xml:space="preserve">5.4. Сторони несуть  відповідальність за невиконання або неналежне виконання своїх зобов’язань за цим Договором відповідно до законодавства, у тому числі нормативно-правових актів </w:t>
      </w:r>
      <w:r w:rsidRPr="00E16672">
        <w:rPr>
          <w:rFonts w:ascii="Times New Roman" w:hAnsi="Times New Roman"/>
          <w:szCs w:val="20"/>
        </w:rPr>
        <w:t>НКЦПФР</w:t>
      </w:r>
      <w:r w:rsidRPr="00E16672">
        <w:rPr>
          <w:rFonts w:ascii="Times New Roman" w:hAnsi="Times New Roman"/>
          <w:szCs w:val="20"/>
          <w:lang w:val="uk-UA"/>
        </w:rPr>
        <w:t>.</w:t>
      </w:r>
    </w:p>
    <w:p w14:paraId="39EEB4C6" w14:textId="77777777" w:rsidR="00765E37" w:rsidRPr="00E16672" w:rsidRDefault="00765E37" w:rsidP="00765E37">
      <w:pPr>
        <w:ind w:firstLine="570"/>
        <w:rPr>
          <w:rFonts w:ascii="Times New Roman" w:hAnsi="Times New Roman"/>
          <w:szCs w:val="20"/>
          <w:lang w:val="uk-UA"/>
        </w:rPr>
      </w:pPr>
      <w:r w:rsidRPr="00E16672">
        <w:rPr>
          <w:rFonts w:ascii="Times New Roman" w:hAnsi="Times New Roman"/>
          <w:szCs w:val="20"/>
          <w:lang w:val="uk-UA"/>
        </w:rPr>
        <w:t>5.5. Сторона, яка порушила зобов’язання відповідно до цього Договору, повинна усунути ці порушення в найкоротший строк.</w:t>
      </w:r>
    </w:p>
    <w:p w14:paraId="1599E952" w14:textId="77777777" w:rsidR="00B7169F" w:rsidRPr="00E16672" w:rsidRDefault="00765E37" w:rsidP="00B7169F">
      <w:pPr>
        <w:rPr>
          <w:rFonts w:ascii="Times New Roman" w:hAnsi="Times New Roman"/>
          <w:color w:val="000000"/>
          <w:szCs w:val="20"/>
          <w:lang w:val="uk-UA"/>
        </w:rPr>
      </w:pPr>
      <w:r w:rsidRPr="00E16672">
        <w:rPr>
          <w:rFonts w:ascii="Times New Roman" w:hAnsi="Times New Roman"/>
          <w:szCs w:val="20"/>
          <w:lang w:val="uk-UA"/>
        </w:rPr>
        <w:t xml:space="preserve">5.6. </w:t>
      </w:r>
      <w:r w:rsidRPr="00E16672">
        <w:rPr>
          <w:rFonts w:ascii="Times New Roman" w:hAnsi="Times New Roman"/>
          <w:color w:val="000000"/>
          <w:szCs w:val="20"/>
          <w:lang w:val="uk-UA"/>
        </w:rPr>
        <w:t xml:space="preserve">Депозитарна установа несе </w:t>
      </w:r>
      <w:proofErr w:type="spellStart"/>
      <w:r w:rsidRPr="00E16672">
        <w:rPr>
          <w:rFonts w:ascii="Times New Roman" w:hAnsi="Times New Roman"/>
          <w:color w:val="000000"/>
          <w:szCs w:val="20"/>
          <w:lang w:val="uk-UA"/>
        </w:rPr>
        <w:t>вiдповiдальнiсть</w:t>
      </w:r>
      <w:proofErr w:type="spellEnd"/>
      <w:r w:rsidRPr="00E16672">
        <w:rPr>
          <w:rFonts w:ascii="Times New Roman" w:hAnsi="Times New Roman"/>
          <w:color w:val="000000"/>
          <w:szCs w:val="20"/>
          <w:lang w:val="uk-UA"/>
        </w:rPr>
        <w:t xml:space="preserve"> за:</w:t>
      </w:r>
    </w:p>
    <w:p w14:paraId="4C98BD04" w14:textId="77777777" w:rsidR="00765E37" w:rsidRPr="00E16672" w:rsidRDefault="00765E37" w:rsidP="000D0438">
      <w:pPr>
        <w:numPr>
          <w:ilvl w:val="0"/>
          <w:numId w:val="19"/>
        </w:numPr>
        <w:ind w:left="567" w:firstLine="0"/>
        <w:rPr>
          <w:rFonts w:ascii="Times New Roman" w:hAnsi="Times New Roman"/>
          <w:color w:val="000000"/>
          <w:szCs w:val="20"/>
          <w:lang w:val="uk-UA"/>
        </w:rPr>
      </w:pPr>
      <w:r w:rsidRPr="00E16672">
        <w:rPr>
          <w:rFonts w:ascii="Times New Roman" w:hAnsi="Times New Roman"/>
          <w:color w:val="000000"/>
          <w:szCs w:val="20"/>
          <w:lang w:val="uk-UA"/>
        </w:rPr>
        <w:t xml:space="preserve">забезпечення режиму конфіденційності щодо Депонента та належних </w:t>
      </w:r>
      <w:proofErr w:type="spellStart"/>
      <w:r w:rsidRPr="00E16672">
        <w:rPr>
          <w:rFonts w:ascii="Times New Roman" w:hAnsi="Times New Roman"/>
          <w:color w:val="000000"/>
          <w:szCs w:val="20"/>
          <w:lang w:val="uk-UA"/>
        </w:rPr>
        <w:t>йом</w:t>
      </w:r>
      <w:r w:rsidR="00C22309" w:rsidRPr="00E16672">
        <w:rPr>
          <w:rFonts w:ascii="Times New Roman" w:hAnsi="Times New Roman"/>
          <w:color w:val="000000"/>
          <w:szCs w:val="20"/>
          <w:lang w:val="uk-UA"/>
        </w:rPr>
        <w:t>в</w:t>
      </w:r>
      <w:proofErr w:type="spellEnd"/>
      <w:r w:rsidR="00C22309" w:rsidRPr="00E16672">
        <w:rPr>
          <w:rFonts w:ascii="Times New Roman" w:hAnsi="Times New Roman"/>
          <w:color w:val="000000"/>
          <w:szCs w:val="20"/>
          <w:lang w:val="uk-UA"/>
        </w:rPr>
        <w:t xml:space="preserve"> цін</w:t>
      </w:r>
      <w:r w:rsidRPr="00E16672">
        <w:rPr>
          <w:rFonts w:ascii="Times New Roman" w:hAnsi="Times New Roman"/>
          <w:color w:val="000000"/>
          <w:szCs w:val="20"/>
          <w:lang w:val="uk-UA"/>
        </w:rPr>
        <w:t>них паперів;</w:t>
      </w:r>
    </w:p>
    <w:p w14:paraId="1A980E35" w14:textId="77777777" w:rsidR="00765E37" w:rsidRPr="00E16672" w:rsidRDefault="00765E37" w:rsidP="000D0438">
      <w:pPr>
        <w:numPr>
          <w:ilvl w:val="0"/>
          <w:numId w:val="12"/>
        </w:numPr>
        <w:ind w:left="426" w:firstLine="142"/>
        <w:rPr>
          <w:rFonts w:ascii="Times New Roman" w:hAnsi="Times New Roman"/>
          <w:color w:val="000000"/>
          <w:szCs w:val="20"/>
          <w:lang w:val="uk-UA"/>
        </w:rPr>
      </w:pPr>
      <w:r w:rsidRPr="00E16672">
        <w:rPr>
          <w:rFonts w:ascii="Times New Roman" w:hAnsi="Times New Roman"/>
          <w:color w:val="000000"/>
          <w:szCs w:val="20"/>
          <w:lang w:val="uk-UA"/>
        </w:rPr>
        <w:t>підтвердження достовірності підписів Депонента, розпорядника/керуючого рахунком на розпорядженнях;</w:t>
      </w:r>
    </w:p>
    <w:p w14:paraId="5665D33B" w14:textId="77777777" w:rsidR="001D4B15" w:rsidRPr="00E16672" w:rsidRDefault="00765E37" w:rsidP="000D0438">
      <w:pPr>
        <w:numPr>
          <w:ilvl w:val="0"/>
          <w:numId w:val="12"/>
        </w:numPr>
        <w:ind w:left="709" w:hanging="142"/>
        <w:rPr>
          <w:rFonts w:ascii="Times New Roman" w:hAnsi="Times New Roman"/>
          <w:color w:val="000000"/>
          <w:szCs w:val="20"/>
          <w:lang w:val="uk-UA"/>
        </w:rPr>
      </w:pPr>
      <w:r w:rsidRPr="00E16672">
        <w:rPr>
          <w:rFonts w:ascii="Times New Roman" w:hAnsi="Times New Roman"/>
          <w:color w:val="000000"/>
          <w:szCs w:val="20"/>
          <w:lang w:val="uk-UA"/>
        </w:rPr>
        <w:t>перевірку розпоряджень на правильність складання та інші перевірки, передбачені чинним законодавством</w:t>
      </w:r>
    </w:p>
    <w:p w14:paraId="1B655F52" w14:textId="77777777" w:rsidR="00765E37" w:rsidRPr="00E16672" w:rsidRDefault="00765E37" w:rsidP="001D4B15">
      <w:pPr>
        <w:ind w:firstLine="0"/>
        <w:rPr>
          <w:rFonts w:ascii="Times New Roman" w:hAnsi="Times New Roman"/>
          <w:color w:val="000000"/>
          <w:szCs w:val="20"/>
          <w:lang w:val="uk-UA"/>
        </w:rPr>
      </w:pPr>
      <w:r w:rsidRPr="00E16672">
        <w:rPr>
          <w:rFonts w:ascii="Times New Roman" w:hAnsi="Times New Roman"/>
          <w:color w:val="000000"/>
          <w:szCs w:val="20"/>
          <w:lang w:val="uk-UA"/>
        </w:rPr>
        <w:t>України та внутрішніми документами Депозитарної установи;</w:t>
      </w:r>
    </w:p>
    <w:p w14:paraId="1B067AF3" w14:textId="77777777" w:rsidR="00765E37" w:rsidRPr="00E16672" w:rsidRDefault="00765E37" w:rsidP="000D0438">
      <w:pPr>
        <w:numPr>
          <w:ilvl w:val="0"/>
          <w:numId w:val="12"/>
        </w:numPr>
        <w:ind w:left="709" w:hanging="142"/>
        <w:rPr>
          <w:rFonts w:ascii="Times New Roman" w:hAnsi="Times New Roman"/>
          <w:color w:val="000000"/>
          <w:szCs w:val="20"/>
          <w:lang w:val="uk-UA"/>
        </w:rPr>
      </w:pPr>
      <w:r w:rsidRPr="00E16672">
        <w:rPr>
          <w:rFonts w:ascii="Times New Roman" w:hAnsi="Times New Roman"/>
          <w:color w:val="000000"/>
          <w:szCs w:val="20"/>
          <w:lang w:val="uk-UA"/>
        </w:rPr>
        <w:t>виконання розпоряджень Депонента відповідно до вимог чинного законодавства України;</w:t>
      </w:r>
    </w:p>
    <w:p w14:paraId="62A76B8E" w14:textId="77777777" w:rsidR="001D4B15" w:rsidRPr="00E16672" w:rsidRDefault="00765E37" w:rsidP="000D0438">
      <w:pPr>
        <w:numPr>
          <w:ilvl w:val="0"/>
          <w:numId w:val="12"/>
        </w:numPr>
        <w:ind w:left="709" w:hanging="142"/>
        <w:rPr>
          <w:rFonts w:ascii="Times New Roman" w:hAnsi="Times New Roman"/>
          <w:color w:val="000000"/>
          <w:szCs w:val="20"/>
          <w:lang w:val="uk-UA"/>
        </w:rPr>
      </w:pPr>
      <w:r w:rsidRPr="00E16672">
        <w:rPr>
          <w:rFonts w:ascii="Times New Roman" w:hAnsi="Times New Roman"/>
          <w:color w:val="000000"/>
          <w:szCs w:val="20"/>
          <w:lang w:val="uk-UA"/>
        </w:rPr>
        <w:t xml:space="preserve">дотримання правил обліку при виконанні своїх обов’язків та за </w:t>
      </w:r>
      <w:proofErr w:type="spellStart"/>
      <w:r w:rsidRPr="00E16672">
        <w:rPr>
          <w:rFonts w:ascii="Times New Roman" w:hAnsi="Times New Roman"/>
          <w:color w:val="000000"/>
          <w:szCs w:val="20"/>
        </w:rPr>
        <w:t>правильність</w:t>
      </w:r>
      <w:proofErr w:type="spellEnd"/>
      <w:r w:rsidRPr="00E16672">
        <w:rPr>
          <w:rFonts w:ascii="Times New Roman" w:hAnsi="Times New Roman"/>
          <w:color w:val="000000"/>
          <w:szCs w:val="20"/>
          <w:lang w:val="uk-UA"/>
        </w:rPr>
        <w:t xml:space="preserve"> ведення записів по рахунку у</w:t>
      </w:r>
    </w:p>
    <w:p w14:paraId="4BD61807" w14:textId="77777777" w:rsidR="00765E37" w:rsidRPr="00E16672" w:rsidRDefault="00765E37" w:rsidP="001D4B15">
      <w:pPr>
        <w:ind w:firstLine="0"/>
        <w:rPr>
          <w:rFonts w:ascii="Times New Roman" w:hAnsi="Times New Roman"/>
          <w:color w:val="000000"/>
          <w:szCs w:val="20"/>
          <w:lang w:val="uk-UA"/>
        </w:rPr>
      </w:pPr>
      <w:r w:rsidRPr="00E16672">
        <w:rPr>
          <w:rFonts w:ascii="Times New Roman" w:hAnsi="Times New Roman"/>
          <w:color w:val="000000"/>
          <w:szCs w:val="20"/>
          <w:lang w:val="uk-UA"/>
        </w:rPr>
        <w:t>цінних паперах;</w:t>
      </w:r>
    </w:p>
    <w:p w14:paraId="6F649E87" w14:textId="77777777" w:rsidR="001D4B15" w:rsidRPr="00E16672" w:rsidRDefault="00765E37" w:rsidP="000D0438">
      <w:pPr>
        <w:numPr>
          <w:ilvl w:val="0"/>
          <w:numId w:val="12"/>
        </w:numPr>
        <w:ind w:left="709" w:hanging="142"/>
        <w:rPr>
          <w:rFonts w:ascii="Times New Roman" w:hAnsi="Times New Roman"/>
          <w:color w:val="000000"/>
          <w:szCs w:val="20"/>
          <w:lang w:val="uk-UA"/>
        </w:rPr>
      </w:pPr>
      <w:r w:rsidRPr="00E16672">
        <w:rPr>
          <w:rFonts w:ascii="Times New Roman" w:hAnsi="Times New Roman"/>
          <w:color w:val="000000"/>
          <w:szCs w:val="20"/>
          <w:lang w:val="uk-UA"/>
        </w:rPr>
        <w:t xml:space="preserve">облік цінних паперів та прав за цінними паперами Депонента у Депозитарній установі на рахунку </w:t>
      </w:r>
      <w:r w:rsidR="00C22309" w:rsidRPr="00E16672">
        <w:rPr>
          <w:rFonts w:ascii="Times New Roman" w:hAnsi="Times New Roman"/>
          <w:color w:val="000000"/>
          <w:szCs w:val="20"/>
          <w:lang w:val="uk-UA"/>
        </w:rPr>
        <w:t>в цін</w:t>
      </w:r>
      <w:r w:rsidRPr="00E16672">
        <w:rPr>
          <w:rFonts w:ascii="Times New Roman" w:hAnsi="Times New Roman"/>
          <w:color w:val="000000"/>
          <w:szCs w:val="20"/>
          <w:lang w:val="uk-UA"/>
        </w:rPr>
        <w:t>них</w:t>
      </w:r>
    </w:p>
    <w:p w14:paraId="0222A705" w14:textId="77777777" w:rsidR="00765E37" w:rsidRPr="00E16672" w:rsidRDefault="00765E37" w:rsidP="001D4B15">
      <w:pPr>
        <w:ind w:left="567" w:hanging="567"/>
        <w:rPr>
          <w:rFonts w:ascii="Times New Roman" w:hAnsi="Times New Roman"/>
          <w:color w:val="000000"/>
          <w:szCs w:val="20"/>
          <w:lang w:val="uk-UA"/>
        </w:rPr>
      </w:pPr>
      <w:r w:rsidRPr="00E16672">
        <w:rPr>
          <w:rFonts w:ascii="Times New Roman" w:hAnsi="Times New Roman"/>
          <w:color w:val="000000"/>
          <w:szCs w:val="20"/>
          <w:lang w:val="uk-UA"/>
        </w:rPr>
        <w:t>паперах Депонента.</w:t>
      </w:r>
    </w:p>
    <w:p w14:paraId="066E159B" w14:textId="77777777" w:rsidR="00765E37" w:rsidRPr="00E16672" w:rsidRDefault="00765E37" w:rsidP="00765E37">
      <w:pPr>
        <w:ind w:firstLine="570"/>
        <w:rPr>
          <w:rFonts w:ascii="Times New Roman" w:hAnsi="Times New Roman"/>
          <w:color w:val="000000"/>
          <w:szCs w:val="20"/>
          <w:lang w:val="uk-UA"/>
        </w:rPr>
      </w:pPr>
      <w:r w:rsidRPr="00E16672">
        <w:rPr>
          <w:rFonts w:ascii="Times New Roman" w:hAnsi="Times New Roman"/>
          <w:color w:val="000000"/>
          <w:szCs w:val="20"/>
          <w:lang w:val="uk-UA"/>
        </w:rPr>
        <w:t xml:space="preserve">5.7. Депозитарна установа не несе відповідальності перед Депонентом за: </w:t>
      </w:r>
    </w:p>
    <w:p w14:paraId="483F83EC" w14:textId="77777777" w:rsidR="00D0349D" w:rsidRPr="00E16672" w:rsidRDefault="00765E37" w:rsidP="000D0438">
      <w:pPr>
        <w:numPr>
          <w:ilvl w:val="0"/>
          <w:numId w:val="11"/>
        </w:numPr>
        <w:ind w:left="709" w:hanging="142"/>
        <w:rPr>
          <w:rFonts w:ascii="Times New Roman" w:hAnsi="Times New Roman"/>
          <w:color w:val="000000"/>
          <w:szCs w:val="20"/>
          <w:lang w:val="uk-UA"/>
        </w:rPr>
      </w:pPr>
      <w:r w:rsidRPr="00E16672">
        <w:rPr>
          <w:rFonts w:ascii="Times New Roman" w:hAnsi="Times New Roman"/>
          <w:color w:val="000000"/>
          <w:szCs w:val="20"/>
          <w:lang w:val="uk-UA"/>
        </w:rPr>
        <w:t>шкоду, заподіяну діями або бездіяльністю Депозитарної установи, якщо ці дії (бездіяльність) здійснювались</w:t>
      </w:r>
    </w:p>
    <w:p w14:paraId="47B4D070" w14:textId="77777777" w:rsidR="00765E37" w:rsidRPr="00E16672" w:rsidRDefault="00765E37" w:rsidP="00D0349D">
      <w:pPr>
        <w:ind w:firstLine="0"/>
        <w:rPr>
          <w:rFonts w:ascii="Times New Roman" w:hAnsi="Times New Roman"/>
          <w:color w:val="000000"/>
          <w:szCs w:val="20"/>
          <w:lang w:val="uk-UA"/>
        </w:rPr>
      </w:pPr>
      <w:r w:rsidRPr="00E16672">
        <w:rPr>
          <w:rFonts w:ascii="Times New Roman" w:hAnsi="Times New Roman"/>
          <w:color w:val="000000"/>
          <w:szCs w:val="20"/>
          <w:lang w:val="uk-UA"/>
        </w:rPr>
        <w:t>Депозитарною установою за письмовими розпорядженнями Депонента, виникли внаслідок дій (бездіяльності) інших учасників депозитарної системи;</w:t>
      </w:r>
    </w:p>
    <w:p w14:paraId="7EAD2FD3" w14:textId="77777777" w:rsidR="00D0349D" w:rsidRPr="00E16672" w:rsidRDefault="00765E37" w:rsidP="000D0438">
      <w:pPr>
        <w:numPr>
          <w:ilvl w:val="0"/>
          <w:numId w:val="11"/>
        </w:numPr>
        <w:ind w:left="709" w:hanging="142"/>
        <w:rPr>
          <w:rStyle w:val="rvts0"/>
          <w:rFonts w:ascii="Times New Roman" w:hAnsi="Times New Roman"/>
          <w:color w:val="000000"/>
          <w:sz w:val="16"/>
          <w:szCs w:val="20"/>
          <w:lang w:val="uk-UA"/>
        </w:rPr>
      </w:pPr>
      <w:r w:rsidRPr="00E16672">
        <w:rPr>
          <w:rFonts w:ascii="Times New Roman" w:hAnsi="Times New Roman"/>
          <w:color w:val="000000"/>
          <w:szCs w:val="20"/>
          <w:lang w:val="uk-UA"/>
        </w:rPr>
        <w:t xml:space="preserve">суми та порядок нарахування емітентом </w:t>
      </w:r>
      <w:r w:rsidRPr="00E16672">
        <w:rPr>
          <w:rStyle w:val="rvts0"/>
          <w:rFonts w:ascii="Times New Roman" w:hAnsi="Times New Roman"/>
          <w:lang w:val="uk-UA"/>
        </w:rPr>
        <w:t>виплат доходу та інших виплат, що здійснюються (здійснювалися)</w:t>
      </w:r>
    </w:p>
    <w:p w14:paraId="5510BB5F" w14:textId="77777777" w:rsidR="00765E37" w:rsidRPr="00E16672" w:rsidRDefault="00765E37" w:rsidP="00D0349D">
      <w:pPr>
        <w:ind w:firstLine="0"/>
        <w:rPr>
          <w:rStyle w:val="rvts0"/>
          <w:rFonts w:ascii="Times New Roman" w:hAnsi="Times New Roman"/>
          <w:color w:val="000000"/>
          <w:sz w:val="16"/>
          <w:szCs w:val="20"/>
          <w:lang w:val="uk-UA"/>
        </w:rPr>
      </w:pPr>
      <w:r w:rsidRPr="00E16672">
        <w:rPr>
          <w:rStyle w:val="rvts0"/>
          <w:rFonts w:ascii="Times New Roman" w:hAnsi="Times New Roman"/>
          <w:lang w:val="uk-UA"/>
        </w:rPr>
        <w:t>відповідно до закону, за цінними паперами, права на які обліковуються на рахунку в цінних паперах Депонента, що надаються Депозитарній установі для виплат Депоненту;</w:t>
      </w:r>
    </w:p>
    <w:p w14:paraId="7DF0FFF4" w14:textId="77777777" w:rsidR="00D0349D" w:rsidRPr="00E16672" w:rsidRDefault="00765E37" w:rsidP="000D0438">
      <w:pPr>
        <w:numPr>
          <w:ilvl w:val="0"/>
          <w:numId w:val="11"/>
        </w:numPr>
        <w:ind w:left="709" w:hanging="142"/>
        <w:rPr>
          <w:rStyle w:val="rvts0"/>
          <w:rFonts w:ascii="Times New Roman" w:hAnsi="Times New Roman"/>
          <w:color w:val="000000"/>
          <w:sz w:val="16"/>
          <w:szCs w:val="20"/>
          <w:lang w:val="uk-UA"/>
        </w:rPr>
      </w:pPr>
      <w:r w:rsidRPr="00E16672">
        <w:rPr>
          <w:rFonts w:ascii="Times New Roman" w:hAnsi="Times New Roman"/>
          <w:color w:val="000000"/>
          <w:szCs w:val="20"/>
          <w:lang w:val="uk-UA"/>
        </w:rPr>
        <w:t xml:space="preserve">неможливість перерахувати, не перерахування, несвоєчасне перерахування </w:t>
      </w:r>
      <w:r w:rsidRPr="00E16672">
        <w:rPr>
          <w:rStyle w:val="rvts0"/>
          <w:rFonts w:ascii="Times New Roman" w:hAnsi="Times New Roman"/>
          <w:lang w:val="uk-UA"/>
        </w:rPr>
        <w:t>виплат доходу та інших виплат,</w:t>
      </w:r>
    </w:p>
    <w:p w14:paraId="219828AE" w14:textId="77777777" w:rsidR="00765E37" w:rsidRPr="00E16672" w:rsidRDefault="00765E37" w:rsidP="00D0349D">
      <w:pPr>
        <w:ind w:firstLine="0"/>
        <w:rPr>
          <w:rFonts w:ascii="Times New Roman" w:hAnsi="Times New Roman"/>
          <w:color w:val="000000"/>
          <w:sz w:val="16"/>
          <w:szCs w:val="20"/>
          <w:lang w:val="uk-UA"/>
        </w:rPr>
      </w:pPr>
      <w:r w:rsidRPr="00E16672">
        <w:rPr>
          <w:rStyle w:val="rvts0"/>
          <w:rFonts w:ascii="Times New Roman" w:hAnsi="Times New Roman"/>
          <w:lang w:val="uk-UA"/>
        </w:rPr>
        <w:t>що здійснюються (здійснювалися) відповідно до закону, за цінними паперами, права на які обліковуються на рахунку в цінних паперах Депонента, на банківський рахунок Депонента або поштовим переказом на поштову адресу Депонента – у разі відсутності на рахунку в цінних паперах інформації, необхідної для здійснення перерахування зазначених коштів, або недостовірності такої інформації.</w:t>
      </w:r>
    </w:p>
    <w:p w14:paraId="655D6A8F" w14:textId="77777777" w:rsidR="00765E37" w:rsidRPr="00E16672" w:rsidRDefault="00765E37" w:rsidP="00765E37">
      <w:pPr>
        <w:ind w:firstLine="555"/>
        <w:rPr>
          <w:rFonts w:ascii="Times New Roman" w:hAnsi="Times New Roman"/>
          <w:color w:val="000000"/>
          <w:szCs w:val="20"/>
          <w:lang w:val="uk-UA"/>
        </w:rPr>
      </w:pPr>
      <w:r w:rsidRPr="00E16672">
        <w:rPr>
          <w:rFonts w:ascii="Times New Roman" w:hAnsi="Times New Roman"/>
          <w:color w:val="000000"/>
          <w:szCs w:val="20"/>
          <w:lang w:val="uk-UA"/>
        </w:rPr>
        <w:t xml:space="preserve">5.8. Депонент несе </w:t>
      </w:r>
      <w:proofErr w:type="spellStart"/>
      <w:r w:rsidRPr="00E16672">
        <w:rPr>
          <w:rFonts w:ascii="Times New Roman" w:hAnsi="Times New Roman"/>
          <w:color w:val="000000"/>
          <w:szCs w:val="20"/>
          <w:lang w:val="uk-UA"/>
        </w:rPr>
        <w:t>вiдповiдальнiсть</w:t>
      </w:r>
      <w:proofErr w:type="spellEnd"/>
      <w:r w:rsidRPr="00E16672">
        <w:rPr>
          <w:rFonts w:ascii="Times New Roman" w:hAnsi="Times New Roman"/>
          <w:color w:val="000000"/>
          <w:szCs w:val="20"/>
          <w:lang w:val="uk-UA"/>
        </w:rPr>
        <w:t xml:space="preserve"> за:</w:t>
      </w:r>
    </w:p>
    <w:p w14:paraId="4BCDD780" w14:textId="77777777" w:rsidR="00D0349D" w:rsidRPr="00E16672" w:rsidRDefault="00765E37" w:rsidP="000D0438">
      <w:pPr>
        <w:numPr>
          <w:ilvl w:val="0"/>
          <w:numId w:val="13"/>
        </w:numPr>
        <w:ind w:left="567" w:firstLine="0"/>
        <w:rPr>
          <w:rFonts w:ascii="Times New Roman" w:hAnsi="Times New Roman"/>
          <w:color w:val="000000"/>
          <w:szCs w:val="20"/>
          <w:lang w:val="uk-UA"/>
        </w:rPr>
      </w:pPr>
      <w:r w:rsidRPr="00E16672">
        <w:rPr>
          <w:rFonts w:ascii="Times New Roman" w:hAnsi="Times New Roman"/>
          <w:color w:val="000000"/>
          <w:szCs w:val="20"/>
          <w:lang w:val="uk-UA"/>
        </w:rPr>
        <w:t>власні дії, за всі дії його уповноважених осіб та розпорядників рахунків, а також за наслідки виданих</w:t>
      </w:r>
    </w:p>
    <w:p w14:paraId="32D12464" w14:textId="77777777" w:rsidR="00765E37" w:rsidRPr="00E16672" w:rsidRDefault="00765E37" w:rsidP="00D0349D">
      <w:pPr>
        <w:ind w:left="709" w:hanging="709"/>
        <w:rPr>
          <w:rFonts w:ascii="Times New Roman" w:hAnsi="Times New Roman"/>
          <w:color w:val="000000"/>
          <w:szCs w:val="20"/>
          <w:lang w:val="uk-UA"/>
        </w:rPr>
      </w:pPr>
      <w:r w:rsidRPr="00E16672">
        <w:rPr>
          <w:rFonts w:ascii="Times New Roman" w:hAnsi="Times New Roman"/>
          <w:color w:val="000000"/>
          <w:szCs w:val="20"/>
          <w:lang w:val="uk-UA"/>
        </w:rPr>
        <w:t>ним розпоряджень;</w:t>
      </w:r>
    </w:p>
    <w:p w14:paraId="1C6DD078" w14:textId="77777777" w:rsidR="00D0349D" w:rsidRPr="00E16672" w:rsidRDefault="00765E37" w:rsidP="000D0438">
      <w:pPr>
        <w:numPr>
          <w:ilvl w:val="0"/>
          <w:numId w:val="13"/>
        </w:numPr>
        <w:ind w:left="709" w:hanging="142"/>
        <w:rPr>
          <w:rFonts w:ascii="Times New Roman" w:hAnsi="Times New Roman"/>
          <w:color w:val="000000"/>
          <w:szCs w:val="20"/>
          <w:lang w:val="uk-UA"/>
        </w:rPr>
      </w:pPr>
      <w:r w:rsidRPr="00E16672">
        <w:rPr>
          <w:rFonts w:ascii="Times New Roman" w:hAnsi="Times New Roman"/>
          <w:color w:val="000000"/>
          <w:szCs w:val="20"/>
          <w:lang w:val="uk-UA"/>
        </w:rPr>
        <w:t>повноту та достовірність інформації, що надається Депозитарній установі на виконання цього Договору, в</w:t>
      </w:r>
    </w:p>
    <w:p w14:paraId="3BE351A7" w14:textId="77777777" w:rsidR="00765E37" w:rsidRPr="00E16672" w:rsidRDefault="00765E37" w:rsidP="00D0349D">
      <w:pPr>
        <w:ind w:left="567" w:hanging="567"/>
        <w:rPr>
          <w:rFonts w:ascii="Times New Roman" w:hAnsi="Times New Roman"/>
          <w:color w:val="000000"/>
          <w:szCs w:val="20"/>
          <w:lang w:val="uk-UA"/>
        </w:rPr>
      </w:pPr>
      <w:r w:rsidRPr="00E16672">
        <w:rPr>
          <w:rFonts w:ascii="Times New Roman" w:hAnsi="Times New Roman"/>
          <w:color w:val="000000"/>
          <w:szCs w:val="20"/>
          <w:lang w:val="uk-UA"/>
        </w:rPr>
        <w:t>тому числі її своєчасну актуалізацію.</w:t>
      </w:r>
    </w:p>
    <w:p w14:paraId="1AC04724" w14:textId="77777777" w:rsidR="00765E37" w:rsidRPr="00E16672" w:rsidRDefault="00765E37" w:rsidP="00765E37">
      <w:pPr>
        <w:ind w:firstLine="555"/>
        <w:rPr>
          <w:rFonts w:ascii="Times New Roman" w:hAnsi="Times New Roman"/>
          <w:szCs w:val="20"/>
          <w:lang w:val="uk-UA"/>
        </w:rPr>
      </w:pPr>
      <w:r w:rsidRPr="00E16672">
        <w:rPr>
          <w:rFonts w:ascii="Times New Roman" w:hAnsi="Times New Roman"/>
          <w:color w:val="000000"/>
          <w:szCs w:val="20"/>
          <w:lang w:val="uk-UA"/>
        </w:rPr>
        <w:lastRenderedPageBreak/>
        <w:t>5.9. Депозитарна установа має право за порушення термінів оплати нарахувати та стягнути з іншої Сторони</w:t>
      </w:r>
      <w:r w:rsidRPr="00E16672">
        <w:rPr>
          <w:rFonts w:ascii="Times New Roman" w:hAnsi="Times New Roman"/>
          <w:szCs w:val="20"/>
          <w:lang w:val="uk-UA"/>
        </w:rPr>
        <w:t xml:space="preserve"> пеню у розмірі </w:t>
      </w:r>
      <w:r w:rsidRPr="00E16672">
        <w:rPr>
          <w:rFonts w:ascii="Times New Roman" w:hAnsi="Times New Roman"/>
          <w:i/>
          <w:iCs/>
          <w:szCs w:val="20"/>
          <w:lang w:val="uk-UA"/>
        </w:rPr>
        <w:t>подвійної облікової ставки</w:t>
      </w:r>
      <w:r w:rsidRPr="00E16672">
        <w:rPr>
          <w:rFonts w:ascii="Times New Roman" w:hAnsi="Times New Roman"/>
          <w:szCs w:val="20"/>
          <w:lang w:val="uk-UA"/>
        </w:rPr>
        <w:t xml:space="preserve"> Національного банку України, що діяла у період прострочення, </w:t>
      </w:r>
      <w:proofErr w:type="spellStart"/>
      <w:r w:rsidRPr="00E16672">
        <w:rPr>
          <w:rFonts w:ascii="Times New Roman" w:hAnsi="Times New Roman"/>
          <w:color w:val="000000"/>
          <w:szCs w:val="20"/>
          <w:lang w:eastAsia="hi-IN" w:bidi="hi-IN"/>
        </w:rPr>
        <w:t>від</w:t>
      </w:r>
      <w:proofErr w:type="spellEnd"/>
      <w:r w:rsidRPr="00E16672">
        <w:rPr>
          <w:rFonts w:ascii="Times New Roman" w:hAnsi="Times New Roman"/>
          <w:color w:val="000000"/>
          <w:szCs w:val="20"/>
          <w:lang w:eastAsia="hi-IN" w:bidi="hi-IN"/>
        </w:rPr>
        <w:t xml:space="preserve"> </w:t>
      </w:r>
      <w:proofErr w:type="spellStart"/>
      <w:r w:rsidRPr="00E16672">
        <w:rPr>
          <w:rFonts w:ascii="Times New Roman" w:hAnsi="Times New Roman"/>
          <w:color w:val="000000"/>
          <w:szCs w:val="20"/>
          <w:lang w:eastAsia="hi-IN" w:bidi="hi-IN"/>
        </w:rPr>
        <w:t>суми</w:t>
      </w:r>
      <w:proofErr w:type="spellEnd"/>
      <w:r w:rsidRPr="00E16672">
        <w:rPr>
          <w:rFonts w:ascii="Times New Roman" w:hAnsi="Times New Roman"/>
          <w:color w:val="000000"/>
          <w:szCs w:val="20"/>
          <w:lang w:eastAsia="hi-IN" w:bidi="hi-IN"/>
        </w:rPr>
        <w:t xml:space="preserve"> </w:t>
      </w:r>
      <w:proofErr w:type="spellStart"/>
      <w:r w:rsidRPr="00E16672">
        <w:rPr>
          <w:rFonts w:ascii="Times New Roman" w:hAnsi="Times New Roman"/>
          <w:color w:val="000000"/>
          <w:szCs w:val="20"/>
          <w:lang w:eastAsia="hi-IN" w:bidi="hi-IN"/>
        </w:rPr>
        <w:t>простроченого</w:t>
      </w:r>
      <w:proofErr w:type="spellEnd"/>
      <w:r w:rsidRPr="00E16672">
        <w:rPr>
          <w:rFonts w:ascii="Times New Roman" w:hAnsi="Times New Roman"/>
          <w:color w:val="000000"/>
          <w:szCs w:val="20"/>
          <w:lang w:eastAsia="hi-IN" w:bidi="hi-IN"/>
        </w:rPr>
        <w:t xml:space="preserve"> платежу за </w:t>
      </w:r>
      <w:proofErr w:type="spellStart"/>
      <w:r w:rsidRPr="00E16672">
        <w:rPr>
          <w:rFonts w:ascii="Times New Roman" w:hAnsi="Times New Roman"/>
          <w:color w:val="000000"/>
          <w:szCs w:val="20"/>
          <w:lang w:eastAsia="hi-IN" w:bidi="hi-IN"/>
        </w:rPr>
        <w:t>кожен</w:t>
      </w:r>
      <w:proofErr w:type="spellEnd"/>
      <w:r w:rsidRPr="00E16672">
        <w:rPr>
          <w:rFonts w:ascii="Times New Roman" w:hAnsi="Times New Roman"/>
          <w:color w:val="000000"/>
          <w:szCs w:val="20"/>
          <w:lang w:eastAsia="hi-IN" w:bidi="hi-IN"/>
        </w:rPr>
        <w:t xml:space="preserve"> день </w:t>
      </w:r>
      <w:proofErr w:type="spellStart"/>
      <w:r w:rsidRPr="00E16672">
        <w:rPr>
          <w:rFonts w:ascii="Times New Roman" w:hAnsi="Times New Roman"/>
          <w:color w:val="000000"/>
          <w:szCs w:val="20"/>
          <w:lang w:eastAsia="hi-IN" w:bidi="hi-IN"/>
        </w:rPr>
        <w:t>прострочення</w:t>
      </w:r>
      <w:proofErr w:type="spellEnd"/>
      <w:r w:rsidRPr="00E16672">
        <w:rPr>
          <w:rFonts w:ascii="Times New Roman" w:hAnsi="Times New Roman"/>
          <w:color w:val="000000"/>
          <w:szCs w:val="20"/>
          <w:lang w:val="uk-UA"/>
        </w:rPr>
        <w:t>. Формула</w:t>
      </w:r>
      <w:r w:rsidRPr="00E16672">
        <w:rPr>
          <w:rFonts w:ascii="Times New Roman" w:hAnsi="Times New Roman"/>
          <w:szCs w:val="20"/>
          <w:lang w:val="uk-UA"/>
        </w:rPr>
        <w:t xml:space="preserve">, за якою розраховується пеня: </w:t>
      </w:r>
    </w:p>
    <w:p w14:paraId="5D75F0E4" w14:textId="77777777" w:rsidR="00D0349D" w:rsidRPr="00E16672" w:rsidRDefault="00D0349D" w:rsidP="00B7169F">
      <w:pPr>
        <w:ind w:left="567"/>
        <w:rPr>
          <w:rFonts w:ascii="Times New Roman" w:hAnsi="Times New Roman"/>
          <w:szCs w:val="20"/>
          <w:lang w:val="uk-UA"/>
        </w:rPr>
      </w:pPr>
    </w:p>
    <w:p w14:paraId="10A7393E" w14:textId="77777777" w:rsidR="00765E37" w:rsidRPr="00E16672" w:rsidRDefault="00765E37" w:rsidP="00B7169F">
      <w:pPr>
        <w:ind w:left="567"/>
        <w:rPr>
          <w:rFonts w:ascii="Times New Roman" w:hAnsi="Times New Roman"/>
          <w:szCs w:val="20"/>
          <w:lang w:val="uk-UA"/>
        </w:rPr>
      </w:pPr>
      <w:r w:rsidRPr="00E16672">
        <w:rPr>
          <w:rFonts w:ascii="Times New Roman" w:hAnsi="Times New Roman"/>
          <w:szCs w:val="20"/>
          <w:lang w:val="uk-UA"/>
        </w:rPr>
        <w:t>5.9.1. П=</w:t>
      </w:r>
      <w:proofErr w:type="spellStart"/>
      <w:r w:rsidRPr="00E16672">
        <w:rPr>
          <w:rFonts w:ascii="Times New Roman" w:hAnsi="Times New Roman"/>
          <w:szCs w:val="20"/>
          <w:lang w:val="uk-UA"/>
        </w:rPr>
        <w:t>Т</w:t>
      </w:r>
      <w:r w:rsidRPr="00E16672">
        <w:rPr>
          <w:rFonts w:ascii="Times New Roman" w:hAnsi="Times New Roman"/>
          <w:szCs w:val="20"/>
          <w:vertAlign w:val="subscript"/>
          <w:lang w:val="uk-UA"/>
        </w:rPr>
        <w:t>неоплачений</w:t>
      </w:r>
      <w:proofErr w:type="spellEnd"/>
      <w:r w:rsidRPr="00E16672">
        <w:rPr>
          <w:rFonts w:ascii="Times New Roman" w:hAnsi="Times New Roman"/>
          <w:szCs w:val="20"/>
          <w:lang w:val="uk-UA"/>
        </w:rPr>
        <w:t>*2НБУ/</w:t>
      </w:r>
      <w:proofErr w:type="spellStart"/>
      <w:r w:rsidRPr="00E16672">
        <w:rPr>
          <w:rFonts w:ascii="Times New Roman" w:hAnsi="Times New Roman"/>
          <w:szCs w:val="20"/>
          <w:lang w:val="uk-UA"/>
        </w:rPr>
        <w:t>Д</w:t>
      </w:r>
      <w:r w:rsidRPr="00E16672">
        <w:rPr>
          <w:rFonts w:ascii="Times New Roman" w:hAnsi="Times New Roman"/>
          <w:szCs w:val="20"/>
          <w:vertAlign w:val="subscript"/>
          <w:lang w:val="uk-UA"/>
        </w:rPr>
        <w:t>рік</w:t>
      </w:r>
      <w:proofErr w:type="spellEnd"/>
      <w:r w:rsidRPr="00E16672">
        <w:rPr>
          <w:rFonts w:ascii="Times New Roman" w:hAnsi="Times New Roman"/>
          <w:szCs w:val="20"/>
          <w:lang w:val="uk-UA"/>
        </w:rPr>
        <w:t>*</w:t>
      </w:r>
      <w:proofErr w:type="spellStart"/>
      <w:r w:rsidRPr="00E16672">
        <w:rPr>
          <w:rFonts w:ascii="Times New Roman" w:hAnsi="Times New Roman"/>
          <w:szCs w:val="20"/>
          <w:lang w:val="uk-UA"/>
        </w:rPr>
        <w:t>Д</w:t>
      </w:r>
      <w:r w:rsidRPr="00E16672">
        <w:rPr>
          <w:rFonts w:ascii="Times New Roman" w:hAnsi="Times New Roman"/>
          <w:szCs w:val="20"/>
          <w:vertAlign w:val="subscript"/>
          <w:lang w:val="uk-UA"/>
        </w:rPr>
        <w:t>нарахування</w:t>
      </w:r>
      <w:proofErr w:type="spellEnd"/>
      <w:r w:rsidRPr="00E16672">
        <w:rPr>
          <w:rFonts w:ascii="Times New Roman" w:hAnsi="Times New Roman"/>
          <w:szCs w:val="20"/>
          <w:lang w:val="uk-UA"/>
        </w:rPr>
        <w:t>, де:</w:t>
      </w:r>
    </w:p>
    <w:p w14:paraId="7A4BADE7" w14:textId="77777777" w:rsidR="00765E37" w:rsidRPr="00E16672" w:rsidRDefault="00765E37" w:rsidP="003A05A3">
      <w:pPr>
        <w:ind w:left="1134" w:firstLine="11"/>
        <w:jc w:val="left"/>
        <w:rPr>
          <w:rFonts w:ascii="Times New Roman" w:hAnsi="Times New Roman"/>
          <w:szCs w:val="20"/>
          <w:lang w:val="uk-UA"/>
        </w:rPr>
      </w:pPr>
      <w:r w:rsidRPr="00E16672">
        <w:rPr>
          <w:rFonts w:ascii="Times New Roman" w:hAnsi="Times New Roman"/>
          <w:szCs w:val="20"/>
          <w:lang w:val="uk-UA"/>
        </w:rPr>
        <w:t>П – пеня;</w:t>
      </w:r>
      <w:r w:rsidR="003A05A3" w:rsidRPr="00E16672" w:rsidDel="00FC1DBE">
        <w:rPr>
          <w:rFonts w:ascii="Times New Roman" w:hAnsi="Times New Roman"/>
          <w:szCs w:val="20"/>
          <w:lang w:val="uk-UA"/>
        </w:rPr>
        <w:t xml:space="preserve"> </w:t>
      </w:r>
      <w:proofErr w:type="spellStart"/>
      <w:r w:rsidRPr="00E16672">
        <w:rPr>
          <w:rFonts w:ascii="Times New Roman" w:hAnsi="Times New Roman"/>
          <w:szCs w:val="20"/>
          <w:lang w:val="uk-UA"/>
        </w:rPr>
        <w:t>Т</w:t>
      </w:r>
      <w:r w:rsidRPr="00E16672">
        <w:rPr>
          <w:rFonts w:ascii="Times New Roman" w:hAnsi="Times New Roman"/>
          <w:szCs w:val="20"/>
          <w:vertAlign w:val="subscript"/>
          <w:lang w:val="uk-UA"/>
        </w:rPr>
        <w:t>неоплачений</w:t>
      </w:r>
      <w:proofErr w:type="spellEnd"/>
      <w:r w:rsidRPr="00E16672">
        <w:rPr>
          <w:rFonts w:ascii="Times New Roman" w:hAnsi="Times New Roman"/>
          <w:szCs w:val="20"/>
          <w:lang w:val="uk-UA"/>
        </w:rPr>
        <w:t xml:space="preserve"> – вартість неоплаченої послуги (неоплачених послуг);</w:t>
      </w:r>
    </w:p>
    <w:p w14:paraId="445B6177" w14:textId="77777777" w:rsidR="00765E37" w:rsidRPr="00E16672" w:rsidRDefault="00765E37" w:rsidP="00B7169F">
      <w:pPr>
        <w:ind w:left="1134" w:firstLine="11"/>
        <w:rPr>
          <w:rFonts w:ascii="Times New Roman" w:hAnsi="Times New Roman"/>
          <w:szCs w:val="20"/>
          <w:lang w:val="uk-UA"/>
        </w:rPr>
      </w:pPr>
      <w:r w:rsidRPr="00E16672">
        <w:rPr>
          <w:rFonts w:ascii="Times New Roman" w:hAnsi="Times New Roman"/>
          <w:szCs w:val="20"/>
          <w:lang w:val="uk-UA"/>
        </w:rPr>
        <w:t>2НБУ – подвійна облікова ставка Національного Банку України;</w:t>
      </w:r>
    </w:p>
    <w:p w14:paraId="00B6F776" w14:textId="77777777" w:rsidR="00765E37" w:rsidRPr="00E16672" w:rsidRDefault="00765E37" w:rsidP="00B7169F">
      <w:pPr>
        <w:ind w:left="1134" w:firstLine="11"/>
        <w:rPr>
          <w:rFonts w:ascii="Times New Roman" w:hAnsi="Times New Roman"/>
          <w:szCs w:val="20"/>
          <w:lang w:val="uk-UA"/>
        </w:rPr>
      </w:pPr>
      <w:proofErr w:type="spellStart"/>
      <w:r w:rsidRPr="00E16672">
        <w:rPr>
          <w:rFonts w:ascii="Times New Roman" w:hAnsi="Times New Roman"/>
          <w:szCs w:val="20"/>
          <w:lang w:val="uk-UA"/>
        </w:rPr>
        <w:t>Д</w:t>
      </w:r>
      <w:r w:rsidRPr="00E16672">
        <w:rPr>
          <w:rFonts w:ascii="Times New Roman" w:hAnsi="Times New Roman"/>
          <w:szCs w:val="20"/>
          <w:vertAlign w:val="subscript"/>
          <w:lang w:val="uk-UA"/>
        </w:rPr>
        <w:t>рік</w:t>
      </w:r>
      <w:proofErr w:type="spellEnd"/>
      <w:r w:rsidRPr="00E16672">
        <w:rPr>
          <w:rFonts w:ascii="Times New Roman" w:hAnsi="Times New Roman"/>
          <w:szCs w:val="20"/>
          <w:lang w:val="uk-UA"/>
        </w:rPr>
        <w:t xml:space="preserve"> – кількість днів у році;</w:t>
      </w:r>
    </w:p>
    <w:p w14:paraId="06402C8F" w14:textId="77777777" w:rsidR="00765E37" w:rsidRPr="00E16672" w:rsidRDefault="00765E37" w:rsidP="00B7169F">
      <w:pPr>
        <w:ind w:left="1134" w:firstLine="11"/>
        <w:rPr>
          <w:rFonts w:ascii="Times New Roman" w:hAnsi="Times New Roman"/>
          <w:szCs w:val="20"/>
          <w:lang w:val="uk-UA"/>
        </w:rPr>
      </w:pPr>
      <w:proofErr w:type="spellStart"/>
      <w:r w:rsidRPr="00E16672">
        <w:rPr>
          <w:rFonts w:ascii="Times New Roman" w:hAnsi="Times New Roman"/>
          <w:szCs w:val="20"/>
          <w:lang w:val="uk-UA"/>
        </w:rPr>
        <w:t>Д</w:t>
      </w:r>
      <w:r w:rsidRPr="00E16672">
        <w:rPr>
          <w:rFonts w:ascii="Times New Roman" w:hAnsi="Times New Roman"/>
          <w:szCs w:val="20"/>
          <w:vertAlign w:val="subscript"/>
          <w:lang w:val="uk-UA"/>
        </w:rPr>
        <w:t>нарахування</w:t>
      </w:r>
      <w:proofErr w:type="spellEnd"/>
      <w:r w:rsidRPr="00E16672">
        <w:rPr>
          <w:rFonts w:ascii="Times New Roman" w:hAnsi="Times New Roman"/>
          <w:szCs w:val="20"/>
          <w:lang w:val="uk-UA"/>
        </w:rPr>
        <w:t xml:space="preserve"> – кількість днів нарахування пені.</w:t>
      </w:r>
    </w:p>
    <w:p w14:paraId="66FA1063" w14:textId="77777777" w:rsidR="00526269" w:rsidRPr="00E16672" w:rsidRDefault="00526269" w:rsidP="00B7169F">
      <w:pPr>
        <w:ind w:left="1134" w:firstLine="11"/>
        <w:rPr>
          <w:rFonts w:ascii="Times New Roman" w:hAnsi="Times New Roman"/>
          <w:szCs w:val="20"/>
          <w:lang w:val="uk-UA"/>
        </w:rPr>
      </w:pPr>
    </w:p>
    <w:p w14:paraId="22539245" w14:textId="77777777" w:rsidR="00526269" w:rsidRPr="00E16672" w:rsidRDefault="00765E37" w:rsidP="00B7169F">
      <w:pPr>
        <w:ind w:left="567" w:firstLine="540"/>
        <w:rPr>
          <w:rFonts w:ascii="Times New Roman" w:hAnsi="Times New Roman"/>
          <w:szCs w:val="20"/>
          <w:lang w:val="uk-UA"/>
        </w:rPr>
      </w:pPr>
      <w:r w:rsidRPr="00E16672">
        <w:rPr>
          <w:rFonts w:ascii="Times New Roman" w:hAnsi="Times New Roman"/>
          <w:szCs w:val="20"/>
          <w:lang w:val="uk-UA"/>
        </w:rPr>
        <w:t>Якщо протягом періоду прострочення розмір облікової ставки  Національного Банку України змінювався,</w:t>
      </w:r>
    </w:p>
    <w:p w14:paraId="7B1F35A8" w14:textId="77777777" w:rsidR="00765E37" w:rsidRPr="00E16672" w:rsidRDefault="00765E37" w:rsidP="00526269">
      <w:pPr>
        <w:ind w:firstLine="0"/>
        <w:rPr>
          <w:rFonts w:ascii="Times New Roman" w:hAnsi="Times New Roman"/>
          <w:szCs w:val="20"/>
          <w:lang w:val="uk-UA"/>
        </w:rPr>
      </w:pPr>
      <w:r w:rsidRPr="00E16672">
        <w:rPr>
          <w:rFonts w:ascii="Times New Roman" w:hAnsi="Times New Roman"/>
          <w:szCs w:val="20"/>
          <w:lang w:val="uk-UA"/>
        </w:rPr>
        <w:t xml:space="preserve">пеня розраховується окремо для кожного періоду з відповідним значенням 2НБУ, після чого значення </w:t>
      </w:r>
      <w:proofErr w:type="spellStart"/>
      <w:r w:rsidRPr="00E16672">
        <w:rPr>
          <w:rFonts w:ascii="Times New Roman" w:hAnsi="Times New Roman"/>
          <w:szCs w:val="20"/>
          <w:lang w:val="uk-UA"/>
        </w:rPr>
        <w:t>сумуються</w:t>
      </w:r>
      <w:proofErr w:type="spellEnd"/>
      <w:r w:rsidRPr="00E16672">
        <w:rPr>
          <w:rFonts w:ascii="Times New Roman" w:hAnsi="Times New Roman"/>
          <w:szCs w:val="20"/>
          <w:lang w:val="uk-UA"/>
        </w:rPr>
        <w:t xml:space="preserve">. </w:t>
      </w:r>
    </w:p>
    <w:p w14:paraId="775A7101" w14:textId="77777777" w:rsidR="00526269" w:rsidRPr="00E16672" w:rsidRDefault="00765E37" w:rsidP="00B7169F">
      <w:pPr>
        <w:ind w:left="567" w:firstLine="540"/>
        <w:rPr>
          <w:rFonts w:ascii="Times New Roman" w:hAnsi="Times New Roman"/>
          <w:szCs w:val="20"/>
          <w:lang w:val="uk-UA"/>
        </w:rPr>
      </w:pPr>
      <w:r w:rsidRPr="00E16672">
        <w:rPr>
          <w:rFonts w:ascii="Times New Roman" w:hAnsi="Times New Roman"/>
          <w:szCs w:val="20"/>
          <w:lang w:val="uk-UA"/>
        </w:rPr>
        <w:t>5.9.2. Депозитарна установа може пред'являти Депоненту вимоги стосовно сплати пені, як шляхом</w:t>
      </w:r>
    </w:p>
    <w:p w14:paraId="63AE20AF" w14:textId="77777777" w:rsidR="00765E37" w:rsidRPr="00E16672" w:rsidRDefault="00765E37" w:rsidP="00526269">
      <w:pPr>
        <w:ind w:firstLine="0"/>
        <w:rPr>
          <w:rFonts w:ascii="Times New Roman" w:hAnsi="Times New Roman"/>
          <w:szCs w:val="20"/>
          <w:lang w:val="uk-UA"/>
        </w:rPr>
      </w:pPr>
      <w:r w:rsidRPr="00E16672">
        <w:rPr>
          <w:rFonts w:ascii="Times New Roman" w:hAnsi="Times New Roman"/>
          <w:szCs w:val="20"/>
          <w:lang w:val="uk-UA"/>
        </w:rPr>
        <w:t>надіслання рахунку, так і шляхом звернення до Депонента з листом, телеграмою тощо.</w:t>
      </w:r>
    </w:p>
    <w:p w14:paraId="2A28B404" w14:textId="77777777" w:rsidR="00526269" w:rsidRPr="00E16672" w:rsidRDefault="00765E37" w:rsidP="00B7169F">
      <w:pPr>
        <w:ind w:left="567" w:firstLine="540"/>
        <w:rPr>
          <w:rFonts w:ascii="Times New Roman" w:hAnsi="Times New Roman"/>
          <w:szCs w:val="20"/>
          <w:lang w:val="uk-UA"/>
        </w:rPr>
      </w:pPr>
      <w:r w:rsidRPr="00E16672">
        <w:rPr>
          <w:rFonts w:ascii="Times New Roman" w:hAnsi="Times New Roman"/>
          <w:szCs w:val="20"/>
          <w:lang w:val="uk-UA"/>
        </w:rPr>
        <w:t xml:space="preserve">5.9.3. Депонент повинен виконати зобов'язання, визначене п.5.9, у </w:t>
      </w:r>
      <w:r w:rsidRPr="00E16672">
        <w:rPr>
          <w:rFonts w:ascii="Times New Roman" w:hAnsi="Times New Roman"/>
          <w:i/>
          <w:szCs w:val="20"/>
          <w:lang w:val="uk-UA"/>
        </w:rPr>
        <w:t>п’ятиденний</w:t>
      </w:r>
      <w:r w:rsidRPr="00E16672">
        <w:rPr>
          <w:rFonts w:ascii="Times New Roman" w:hAnsi="Times New Roman"/>
          <w:szCs w:val="20"/>
          <w:lang w:val="uk-UA"/>
        </w:rPr>
        <w:t xml:space="preserve"> строк з дня пред'явлення</w:t>
      </w:r>
    </w:p>
    <w:p w14:paraId="768EBA24" w14:textId="77777777" w:rsidR="00765E37" w:rsidRPr="00E16672" w:rsidRDefault="00765E37" w:rsidP="00526269">
      <w:pPr>
        <w:ind w:firstLine="0"/>
        <w:rPr>
          <w:rFonts w:ascii="Times New Roman" w:hAnsi="Times New Roman"/>
          <w:szCs w:val="20"/>
          <w:lang w:val="uk-UA"/>
        </w:rPr>
      </w:pPr>
      <w:r w:rsidRPr="00E16672">
        <w:rPr>
          <w:rFonts w:ascii="Times New Roman" w:hAnsi="Times New Roman"/>
          <w:szCs w:val="20"/>
          <w:lang w:val="uk-UA"/>
        </w:rPr>
        <w:t>вимоги Депозитарної установи згідно з пп.5.9.1. Таким днем слід вважати дату одержання вимоги Депонентом.</w:t>
      </w:r>
    </w:p>
    <w:p w14:paraId="5C87FC39" w14:textId="77777777" w:rsidR="00526269" w:rsidRPr="00E16672" w:rsidRDefault="00765E37" w:rsidP="00B7169F">
      <w:pPr>
        <w:ind w:left="567" w:firstLine="540"/>
        <w:rPr>
          <w:rFonts w:ascii="Times New Roman" w:hAnsi="Times New Roman"/>
          <w:szCs w:val="20"/>
          <w:lang w:val="uk-UA"/>
        </w:rPr>
      </w:pPr>
      <w:r w:rsidRPr="00E16672">
        <w:rPr>
          <w:rFonts w:ascii="Times New Roman" w:hAnsi="Times New Roman"/>
          <w:szCs w:val="20"/>
          <w:lang w:val="uk-UA"/>
        </w:rPr>
        <w:t>5.9.4. При цьому визнання Депонентом претензії Депозитарної установи про оплату послуг без</w:t>
      </w:r>
    </w:p>
    <w:p w14:paraId="67E40E5E" w14:textId="77777777" w:rsidR="00765E37" w:rsidRPr="00E16672" w:rsidRDefault="00765E37" w:rsidP="00526269">
      <w:pPr>
        <w:ind w:firstLine="0"/>
        <w:rPr>
          <w:rFonts w:ascii="Times New Roman" w:hAnsi="Times New Roman"/>
          <w:color w:val="000000"/>
          <w:szCs w:val="20"/>
          <w:lang w:val="uk-UA"/>
        </w:rPr>
      </w:pPr>
      <w:r w:rsidRPr="00E16672">
        <w:rPr>
          <w:rFonts w:ascii="Times New Roman" w:hAnsi="Times New Roman"/>
          <w:szCs w:val="20"/>
          <w:lang w:val="uk-UA"/>
        </w:rPr>
        <w:t xml:space="preserve">перерахування заборгованості не може бути підставою для припинення </w:t>
      </w:r>
      <w:r w:rsidRPr="00E16672">
        <w:rPr>
          <w:rFonts w:ascii="Times New Roman" w:hAnsi="Times New Roman"/>
          <w:color w:val="000000"/>
          <w:szCs w:val="20"/>
          <w:lang w:val="uk-UA"/>
        </w:rPr>
        <w:t>нарахування пені за прострочення платежу.</w:t>
      </w:r>
    </w:p>
    <w:p w14:paraId="33080910" w14:textId="77777777" w:rsidR="00765E37" w:rsidRPr="00E16672" w:rsidRDefault="00765E37" w:rsidP="00765E37">
      <w:pPr>
        <w:ind w:firstLine="540"/>
        <w:rPr>
          <w:rFonts w:ascii="Times New Roman" w:hAnsi="Times New Roman"/>
          <w:color w:val="000000"/>
          <w:szCs w:val="20"/>
          <w:lang w:val="uk-UA"/>
        </w:rPr>
      </w:pPr>
      <w:r w:rsidRPr="00E16672">
        <w:rPr>
          <w:rFonts w:ascii="Times New Roman" w:hAnsi="Times New Roman"/>
          <w:color w:val="000000"/>
          <w:szCs w:val="20"/>
          <w:lang w:val="uk-UA"/>
        </w:rPr>
        <w:t xml:space="preserve">5.10. Прострочення платежу більш як на </w:t>
      </w:r>
      <w:r w:rsidRPr="00E16672">
        <w:rPr>
          <w:rFonts w:ascii="Times New Roman" w:hAnsi="Times New Roman"/>
          <w:i/>
          <w:color w:val="000000"/>
          <w:szCs w:val="20"/>
          <w:lang w:val="uk-UA"/>
        </w:rPr>
        <w:t>сто вісімдесят</w:t>
      </w:r>
      <w:r w:rsidRPr="00E16672">
        <w:rPr>
          <w:rFonts w:ascii="Times New Roman" w:hAnsi="Times New Roman"/>
          <w:color w:val="000000"/>
          <w:szCs w:val="20"/>
          <w:lang w:val="uk-UA"/>
        </w:rPr>
        <w:t xml:space="preserve"> днів вважається відмовою від виконання умов Договору, у зв'язку з чим, Депозитарна установа має право нарахувати та стягнути з іншої Сторони, крім пені,  штраф у розмірі 20% від суми невиконаного зобов'язання.</w:t>
      </w:r>
    </w:p>
    <w:p w14:paraId="56506747" w14:textId="77777777" w:rsidR="00765E37" w:rsidRPr="00E16672" w:rsidRDefault="00765E37" w:rsidP="00200366">
      <w:pPr>
        <w:ind w:firstLine="1107"/>
        <w:rPr>
          <w:rFonts w:ascii="Times New Roman" w:hAnsi="Times New Roman"/>
          <w:szCs w:val="20"/>
          <w:lang w:val="uk-UA"/>
        </w:rPr>
      </w:pPr>
      <w:r w:rsidRPr="00E16672">
        <w:rPr>
          <w:rFonts w:ascii="Times New Roman" w:hAnsi="Times New Roman"/>
          <w:szCs w:val="20"/>
          <w:lang w:val="uk-UA"/>
        </w:rPr>
        <w:t>5.10.1. Депозитарна установа може пред'являти Депоненту вимоги стосовно сплати штрафу, як шляхом надіслання рахунка, так і шляхом звернення до Депонента з листом, телеграмою тощо.</w:t>
      </w:r>
    </w:p>
    <w:p w14:paraId="6596FF09" w14:textId="77777777" w:rsidR="00765E37" w:rsidRPr="00E16672" w:rsidRDefault="00765E37" w:rsidP="00200366">
      <w:pPr>
        <w:ind w:firstLine="1107"/>
        <w:rPr>
          <w:rFonts w:ascii="Times New Roman" w:hAnsi="Times New Roman"/>
          <w:szCs w:val="20"/>
          <w:lang w:val="uk-UA"/>
        </w:rPr>
      </w:pPr>
      <w:r w:rsidRPr="00E16672">
        <w:rPr>
          <w:rFonts w:ascii="Times New Roman" w:hAnsi="Times New Roman"/>
          <w:szCs w:val="20"/>
          <w:lang w:val="uk-UA"/>
        </w:rPr>
        <w:t>5.10.2. Депонент повинен виконати зобов'язання, визначене п.5.10., у п’ятиденний строк з дня пред'явлення вимоги Депозитарної установи згідно з пп.5.10.1. Таким днем слід вважати дату одержання вимоги Депонентом.</w:t>
      </w:r>
    </w:p>
    <w:p w14:paraId="6CC2D9DA" w14:textId="77777777" w:rsidR="00765E37" w:rsidRPr="00E16672" w:rsidRDefault="00765E37" w:rsidP="00200366">
      <w:pPr>
        <w:ind w:firstLine="1107"/>
        <w:rPr>
          <w:rFonts w:ascii="Times New Roman" w:hAnsi="Times New Roman"/>
          <w:szCs w:val="20"/>
          <w:lang w:val="uk-UA"/>
        </w:rPr>
      </w:pPr>
      <w:r w:rsidRPr="00E16672">
        <w:rPr>
          <w:rFonts w:ascii="Times New Roman" w:hAnsi="Times New Roman"/>
          <w:szCs w:val="20"/>
          <w:lang w:val="uk-UA"/>
        </w:rPr>
        <w:t>5.10.3. Виплата пені або штрафу не звільняє Сторони від виконання обов’язків згідно з умовами цього Договору.</w:t>
      </w:r>
    </w:p>
    <w:p w14:paraId="0A2C7B62" w14:textId="77777777" w:rsidR="00765E37" w:rsidRPr="00E16672" w:rsidRDefault="00765E37" w:rsidP="00765E37">
      <w:pPr>
        <w:pStyle w:val="23"/>
        <w:ind w:firstLine="555"/>
        <w:rPr>
          <w:rFonts w:ascii="Times New Roman" w:hAnsi="Times New Roman"/>
        </w:rPr>
      </w:pPr>
      <w:r w:rsidRPr="00E16672">
        <w:rPr>
          <w:rFonts w:ascii="Times New Roman" w:hAnsi="Times New Roman"/>
        </w:rPr>
        <w:t>5.11. Сторона, яка порушила Договір, несе відповідальність, якщо не доведе, що належне виконання зобов'язання унеможливлено впливом обставин непереборної сили, тобто надзвичайних і невідворотних за даних умов подій: стихійного лиха, аварії, пожежі, масових порушень правопорядку, страйків, військових дій, протиправних дій третіх осіб (крім дій працівників Сторони) чи інших обставин, що виникли після підписання Договору та не залежать від волевиявлення Сторін. Не є непереборною силою недодержання своїх обов'язків іншими контрагентами однієї зі Сторін чи відсутність у Сторони достатніх коштів.</w:t>
      </w:r>
    </w:p>
    <w:p w14:paraId="67860364" w14:textId="77777777" w:rsidR="00765E37" w:rsidRPr="00E16672" w:rsidRDefault="00765E37" w:rsidP="00765E37">
      <w:pPr>
        <w:pStyle w:val="23"/>
        <w:tabs>
          <w:tab w:val="left" w:pos="1080"/>
        </w:tabs>
        <w:ind w:firstLine="555"/>
        <w:rPr>
          <w:rFonts w:ascii="Times New Roman" w:hAnsi="Times New Roman"/>
        </w:rPr>
      </w:pPr>
      <w:r w:rsidRPr="00E16672">
        <w:rPr>
          <w:rFonts w:ascii="Times New Roman" w:hAnsi="Times New Roman"/>
        </w:rPr>
        <w:t xml:space="preserve">5.12. Жодна із Сторін не несе відповідальності за невиконання або неналежне виконання своїх </w:t>
      </w:r>
      <w:r w:rsidR="00200366" w:rsidRPr="00E16672">
        <w:rPr>
          <w:rFonts w:ascii="Times New Roman" w:hAnsi="Times New Roman"/>
        </w:rPr>
        <w:t>зобов’язань</w:t>
      </w:r>
      <w:r w:rsidRPr="00E16672">
        <w:rPr>
          <w:rFonts w:ascii="Times New Roman" w:hAnsi="Times New Roman"/>
        </w:rPr>
        <w:t xml:space="preserve"> за цим Договором, якщо це невиконання або неналежне виконання зумовлено дією обставин непереборної сили (форс-мажорних обставин) відповідно до розділу 9 цього Договору. </w:t>
      </w:r>
    </w:p>
    <w:p w14:paraId="1B3CF44A" w14:textId="77777777" w:rsidR="00765E37" w:rsidRPr="00E16672" w:rsidRDefault="00765E37" w:rsidP="00765E37">
      <w:pPr>
        <w:pStyle w:val="23"/>
        <w:tabs>
          <w:tab w:val="left" w:pos="1080"/>
        </w:tabs>
        <w:ind w:firstLine="555"/>
        <w:rPr>
          <w:rFonts w:ascii="Times New Roman" w:hAnsi="Times New Roman"/>
        </w:rPr>
      </w:pPr>
      <w:r w:rsidRPr="00E16672">
        <w:rPr>
          <w:rFonts w:ascii="Times New Roman" w:hAnsi="Times New Roman"/>
        </w:rPr>
        <w:t xml:space="preserve">5.13. Усі спори, що виникають з цього Договору або пов'язані із ним, вирішуються шляхом переговорів або у порядку, встановленому чинним законодавством України,  шляхом вирішення у судовому порядку. </w:t>
      </w:r>
    </w:p>
    <w:p w14:paraId="0C747003" w14:textId="77777777" w:rsidR="00765E37" w:rsidRPr="00E16672" w:rsidRDefault="00765E37" w:rsidP="00765E37">
      <w:pPr>
        <w:pStyle w:val="23"/>
        <w:tabs>
          <w:tab w:val="left" w:pos="1080"/>
        </w:tabs>
        <w:ind w:firstLine="555"/>
        <w:rPr>
          <w:rFonts w:ascii="Times New Roman" w:hAnsi="Times New Roman"/>
        </w:rPr>
      </w:pPr>
      <w:r w:rsidRPr="00E16672">
        <w:rPr>
          <w:rFonts w:ascii="Times New Roman" w:hAnsi="Times New Roman"/>
        </w:rPr>
        <w:t xml:space="preserve">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законодавства України або у постійно діючому Третейському суді </w:t>
      </w:r>
      <w:proofErr w:type="spellStart"/>
      <w:r w:rsidRPr="00E16672">
        <w:rPr>
          <w:rFonts w:ascii="Times New Roman" w:hAnsi="Times New Roman"/>
        </w:rPr>
        <w:t>саморегулівної</w:t>
      </w:r>
      <w:proofErr w:type="spellEnd"/>
      <w:r w:rsidRPr="00E16672">
        <w:rPr>
          <w:rFonts w:ascii="Times New Roman" w:hAnsi="Times New Roman"/>
        </w:rPr>
        <w:t xml:space="preserve"> організації Професійна асоціація реєстраторів і депозитаріїв. </w:t>
      </w:r>
    </w:p>
    <w:p w14:paraId="69F9CE3F" w14:textId="77777777" w:rsidR="00765E37" w:rsidRPr="00E16672" w:rsidRDefault="00765E37" w:rsidP="00765E37">
      <w:pPr>
        <w:pStyle w:val="23"/>
        <w:tabs>
          <w:tab w:val="left" w:pos="1080"/>
        </w:tabs>
        <w:ind w:firstLine="555"/>
        <w:rPr>
          <w:rFonts w:ascii="Times New Roman" w:hAnsi="Times New Roman"/>
        </w:rPr>
      </w:pPr>
      <w:r w:rsidRPr="00E16672">
        <w:rPr>
          <w:rFonts w:ascii="Times New Roman" w:hAnsi="Times New Roman"/>
        </w:rPr>
        <w:t>5.</w:t>
      </w:r>
      <w:r w:rsidRPr="00E16672">
        <w:rPr>
          <w:rFonts w:ascii="Times New Roman" w:hAnsi="Times New Roman"/>
          <w:color w:val="000000"/>
        </w:rPr>
        <w:t>14.</w:t>
      </w:r>
      <w:r w:rsidRPr="00E16672">
        <w:rPr>
          <w:rFonts w:ascii="Times New Roman" w:hAnsi="Times New Roman"/>
          <w:color w:val="000000"/>
          <w:sz w:val="16"/>
          <w:lang w:val="ru-RU"/>
        </w:rPr>
        <w:t xml:space="preserve"> </w:t>
      </w:r>
      <w:r w:rsidRPr="00E16672">
        <w:rPr>
          <w:rFonts w:ascii="Times New Roman" w:hAnsi="Times New Roman"/>
          <w:color w:val="000000"/>
          <w:lang w:val="ru-RU"/>
        </w:rPr>
        <w:t xml:space="preserve">Строк </w:t>
      </w:r>
      <w:proofErr w:type="spellStart"/>
      <w:r w:rsidRPr="00E16672">
        <w:rPr>
          <w:rFonts w:ascii="Times New Roman" w:hAnsi="Times New Roman"/>
          <w:color w:val="000000"/>
          <w:lang w:val="ru-RU"/>
        </w:rPr>
        <w:t>позовної</w:t>
      </w:r>
      <w:proofErr w:type="spellEnd"/>
      <w:r w:rsidRPr="00E16672">
        <w:rPr>
          <w:rFonts w:ascii="Times New Roman" w:hAnsi="Times New Roman"/>
          <w:color w:val="000000"/>
          <w:lang w:val="ru-RU"/>
        </w:rPr>
        <w:t xml:space="preserve"> </w:t>
      </w:r>
      <w:proofErr w:type="spellStart"/>
      <w:r w:rsidRPr="00E16672">
        <w:rPr>
          <w:rFonts w:ascii="Times New Roman" w:hAnsi="Times New Roman"/>
          <w:color w:val="000000"/>
          <w:lang w:val="ru-RU"/>
        </w:rPr>
        <w:t>давності</w:t>
      </w:r>
      <w:proofErr w:type="spellEnd"/>
      <w:r w:rsidRPr="00E16672">
        <w:rPr>
          <w:rFonts w:ascii="Times New Roman" w:hAnsi="Times New Roman"/>
          <w:color w:val="000000"/>
          <w:lang w:val="ru-RU"/>
        </w:rPr>
        <w:t xml:space="preserve">, </w:t>
      </w:r>
      <w:proofErr w:type="gramStart"/>
      <w:r w:rsidRPr="00E16672">
        <w:rPr>
          <w:rFonts w:ascii="Times New Roman" w:hAnsi="Times New Roman"/>
          <w:color w:val="000000"/>
          <w:lang w:val="ru-RU"/>
        </w:rPr>
        <w:t>у межах</w:t>
      </w:r>
      <w:proofErr w:type="gramEnd"/>
      <w:r w:rsidRPr="00E16672">
        <w:rPr>
          <w:rFonts w:ascii="Times New Roman" w:hAnsi="Times New Roman"/>
          <w:color w:val="000000"/>
          <w:lang w:val="ru-RU"/>
        </w:rPr>
        <w:t xml:space="preserve"> </w:t>
      </w:r>
      <w:proofErr w:type="spellStart"/>
      <w:r w:rsidRPr="00E16672">
        <w:rPr>
          <w:rFonts w:ascii="Times New Roman" w:hAnsi="Times New Roman"/>
          <w:color w:val="000000"/>
          <w:lang w:val="ru-RU"/>
        </w:rPr>
        <w:t>якого</w:t>
      </w:r>
      <w:proofErr w:type="spellEnd"/>
      <w:r w:rsidRPr="00E16672">
        <w:rPr>
          <w:rFonts w:ascii="Times New Roman" w:hAnsi="Times New Roman"/>
          <w:color w:val="000000"/>
          <w:lang w:val="ru-RU"/>
        </w:rPr>
        <w:t xml:space="preserve"> одна </w:t>
      </w:r>
      <w:proofErr w:type="spellStart"/>
      <w:r w:rsidRPr="00E16672">
        <w:rPr>
          <w:rFonts w:ascii="Times New Roman" w:hAnsi="Times New Roman"/>
          <w:color w:val="000000"/>
          <w:lang w:val="ru-RU"/>
        </w:rPr>
        <w:t>із</w:t>
      </w:r>
      <w:proofErr w:type="spellEnd"/>
      <w:r w:rsidRPr="00E16672">
        <w:rPr>
          <w:rFonts w:ascii="Times New Roman" w:hAnsi="Times New Roman"/>
          <w:color w:val="000000"/>
          <w:lang w:val="ru-RU"/>
        </w:rPr>
        <w:t xml:space="preserve"> </w:t>
      </w:r>
      <w:proofErr w:type="spellStart"/>
      <w:r w:rsidRPr="00E16672">
        <w:rPr>
          <w:rFonts w:ascii="Times New Roman" w:hAnsi="Times New Roman"/>
          <w:color w:val="000000"/>
          <w:lang w:val="ru-RU"/>
        </w:rPr>
        <w:t>Сторін</w:t>
      </w:r>
      <w:proofErr w:type="spellEnd"/>
      <w:r w:rsidRPr="00E16672">
        <w:rPr>
          <w:rFonts w:ascii="Times New Roman" w:hAnsi="Times New Roman"/>
          <w:color w:val="000000"/>
          <w:lang w:val="ru-RU"/>
        </w:rPr>
        <w:t xml:space="preserve"> </w:t>
      </w:r>
      <w:proofErr w:type="spellStart"/>
      <w:r w:rsidRPr="00E16672">
        <w:rPr>
          <w:rFonts w:ascii="Times New Roman" w:hAnsi="Times New Roman"/>
          <w:color w:val="000000"/>
          <w:lang w:val="ru-RU"/>
        </w:rPr>
        <w:t>може</w:t>
      </w:r>
      <w:proofErr w:type="spellEnd"/>
      <w:r w:rsidRPr="00E16672">
        <w:rPr>
          <w:rFonts w:ascii="Times New Roman" w:hAnsi="Times New Roman"/>
          <w:color w:val="000000"/>
          <w:lang w:val="ru-RU"/>
        </w:rPr>
        <w:t xml:space="preserve"> </w:t>
      </w:r>
      <w:proofErr w:type="spellStart"/>
      <w:r w:rsidRPr="00E16672">
        <w:rPr>
          <w:rFonts w:ascii="Times New Roman" w:hAnsi="Times New Roman"/>
          <w:color w:val="000000"/>
          <w:lang w:val="ru-RU"/>
        </w:rPr>
        <w:t>звернутися</w:t>
      </w:r>
      <w:proofErr w:type="spellEnd"/>
      <w:r w:rsidRPr="00E16672">
        <w:rPr>
          <w:rFonts w:ascii="Times New Roman" w:hAnsi="Times New Roman"/>
          <w:color w:val="000000"/>
          <w:lang w:val="ru-RU"/>
        </w:rPr>
        <w:t xml:space="preserve"> до суду з </w:t>
      </w:r>
      <w:proofErr w:type="spellStart"/>
      <w:r w:rsidRPr="00E16672">
        <w:rPr>
          <w:rFonts w:ascii="Times New Roman" w:hAnsi="Times New Roman"/>
          <w:color w:val="000000"/>
          <w:lang w:val="ru-RU"/>
        </w:rPr>
        <w:t>вимогою</w:t>
      </w:r>
      <w:proofErr w:type="spellEnd"/>
      <w:r w:rsidRPr="00E16672">
        <w:rPr>
          <w:rFonts w:ascii="Times New Roman" w:hAnsi="Times New Roman"/>
          <w:color w:val="000000"/>
          <w:lang w:val="ru-RU"/>
        </w:rPr>
        <w:t xml:space="preserve"> про </w:t>
      </w:r>
      <w:proofErr w:type="spellStart"/>
      <w:r w:rsidRPr="00E16672">
        <w:rPr>
          <w:rFonts w:ascii="Times New Roman" w:hAnsi="Times New Roman"/>
          <w:color w:val="000000"/>
          <w:lang w:val="ru-RU"/>
        </w:rPr>
        <w:t>захист</w:t>
      </w:r>
      <w:proofErr w:type="spellEnd"/>
      <w:r w:rsidRPr="00E16672">
        <w:rPr>
          <w:rFonts w:ascii="Times New Roman" w:hAnsi="Times New Roman"/>
          <w:color w:val="000000"/>
          <w:lang w:val="ru-RU"/>
        </w:rPr>
        <w:t xml:space="preserve"> </w:t>
      </w:r>
      <w:proofErr w:type="spellStart"/>
      <w:r w:rsidRPr="00E16672">
        <w:rPr>
          <w:rFonts w:ascii="Times New Roman" w:hAnsi="Times New Roman"/>
          <w:i/>
          <w:iCs/>
          <w:color w:val="000000"/>
          <w:lang w:val="ru-RU"/>
        </w:rPr>
        <w:t>основних</w:t>
      </w:r>
      <w:proofErr w:type="spellEnd"/>
      <w:r w:rsidRPr="00E16672">
        <w:rPr>
          <w:rFonts w:ascii="Times New Roman" w:hAnsi="Times New Roman"/>
          <w:i/>
          <w:iCs/>
          <w:color w:val="000000"/>
          <w:lang w:val="ru-RU"/>
        </w:rPr>
        <w:t xml:space="preserve"> </w:t>
      </w:r>
      <w:r w:rsidRPr="00E16672">
        <w:rPr>
          <w:rFonts w:ascii="Times New Roman" w:hAnsi="Times New Roman"/>
          <w:color w:val="000000"/>
          <w:lang w:val="ru-RU"/>
        </w:rPr>
        <w:t xml:space="preserve">прав та </w:t>
      </w:r>
      <w:proofErr w:type="spellStart"/>
      <w:r w:rsidRPr="00E16672">
        <w:rPr>
          <w:rFonts w:ascii="Times New Roman" w:hAnsi="Times New Roman"/>
          <w:color w:val="000000"/>
          <w:lang w:val="ru-RU"/>
        </w:rPr>
        <w:t>інтересів</w:t>
      </w:r>
      <w:proofErr w:type="spellEnd"/>
      <w:r w:rsidRPr="00E16672">
        <w:rPr>
          <w:rFonts w:ascii="Times New Roman" w:hAnsi="Times New Roman"/>
          <w:color w:val="000000"/>
          <w:lang w:val="ru-RU"/>
        </w:rPr>
        <w:t xml:space="preserve"> </w:t>
      </w:r>
      <w:proofErr w:type="spellStart"/>
      <w:r w:rsidRPr="00E16672">
        <w:rPr>
          <w:rFonts w:ascii="Times New Roman" w:hAnsi="Times New Roman"/>
          <w:color w:val="000000"/>
          <w:lang w:val="ru-RU"/>
        </w:rPr>
        <w:t>встановлюється</w:t>
      </w:r>
      <w:proofErr w:type="spellEnd"/>
      <w:r w:rsidRPr="00E16672">
        <w:rPr>
          <w:rFonts w:ascii="Times New Roman" w:hAnsi="Times New Roman"/>
          <w:color w:val="000000"/>
          <w:lang w:val="ru-RU"/>
        </w:rPr>
        <w:t xml:space="preserve"> </w:t>
      </w:r>
      <w:proofErr w:type="spellStart"/>
      <w:r w:rsidRPr="00E16672">
        <w:rPr>
          <w:rFonts w:ascii="Times New Roman" w:hAnsi="Times New Roman"/>
          <w:color w:val="000000"/>
          <w:lang w:val="ru-RU"/>
        </w:rPr>
        <w:t>тривалістю</w:t>
      </w:r>
      <w:proofErr w:type="spellEnd"/>
      <w:r w:rsidRPr="00E16672">
        <w:rPr>
          <w:rFonts w:ascii="Times New Roman" w:hAnsi="Times New Roman"/>
          <w:color w:val="000000"/>
          <w:lang w:val="ru-RU"/>
        </w:rPr>
        <w:t xml:space="preserve"> у </w:t>
      </w:r>
      <w:proofErr w:type="spellStart"/>
      <w:r w:rsidRPr="00E16672">
        <w:rPr>
          <w:rFonts w:ascii="Times New Roman" w:hAnsi="Times New Roman"/>
          <w:i/>
          <w:iCs/>
          <w:color w:val="000000"/>
          <w:lang w:val="ru-RU"/>
        </w:rPr>
        <w:t>п’ятдесят</w:t>
      </w:r>
      <w:proofErr w:type="spellEnd"/>
      <w:r w:rsidRPr="00E16672">
        <w:rPr>
          <w:rFonts w:ascii="Times New Roman" w:hAnsi="Times New Roman"/>
          <w:color w:val="000000"/>
          <w:lang w:val="ru-RU"/>
        </w:rPr>
        <w:t xml:space="preserve"> </w:t>
      </w:r>
      <w:proofErr w:type="spellStart"/>
      <w:r w:rsidRPr="00E16672">
        <w:rPr>
          <w:rFonts w:ascii="Times New Roman" w:hAnsi="Times New Roman"/>
          <w:color w:val="000000"/>
          <w:lang w:val="ru-RU"/>
        </w:rPr>
        <w:t>років</w:t>
      </w:r>
      <w:proofErr w:type="spellEnd"/>
      <w:r w:rsidRPr="00E16672">
        <w:rPr>
          <w:rFonts w:ascii="Times New Roman" w:hAnsi="Times New Roman"/>
          <w:color w:val="000000"/>
          <w:lang w:val="ru-RU"/>
        </w:rPr>
        <w:t xml:space="preserve">. </w:t>
      </w:r>
      <w:proofErr w:type="spellStart"/>
      <w:r w:rsidRPr="00E16672">
        <w:rPr>
          <w:rFonts w:ascii="Times New Roman" w:hAnsi="Times New Roman"/>
          <w:color w:val="000000"/>
          <w:lang w:val="ru-RU"/>
        </w:rPr>
        <w:t>Позовна</w:t>
      </w:r>
      <w:proofErr w:type="spellEnd"/>
      <w:r w:rsidRPr="00E16672">
        <w:rPr>
          <w:rFonts w:ascii="Times New Roman" w:hAnsi="Times New Roman"/>
          <w:color w:val="000000"/>
          <w:lang w:val="ru-RU"/>
        </w:rPr>
        <w:t xml:space="preserve"> </w:t>
      </w:r>
      <w:proofErr w:type="spellStart"/>
      <w:r w:rsidRPr="00E16672">
        <w:rPr>
          <w:rFonts w:ascii="Times New Roman" w:hAnsi="Times New Roman"/>
          <w:color w:val="000000"/>
          <w:lang w:val="ru-RU"/>
        </w:rPr>
        <w:t>давність</w:t>
      </w:r>
      <w:proofErr w:type="spellEnd"/>
      <w:r w:rsidRPr="00E16672">
        <w:rPr>
          <w:rFonts w:ascii="Times New Roman" w:hAnsi="Times New Roman"/>
          <w:color w:val="000000"/>
          <w:lang w:val="ru-RU"/>
        </w:rPr>
        <w:t xml:space="preserve"> в </w:t>
      </w:r>
      <w:proofErr w:type="spellStart"/>
      <w:r w:rsidRPr="00E16672">
        <w:rPr>
          <w:rFonts w:ascii="Times New Roman" w:hAnsi="Times New Roman"/>
          <w:i/>
          <w:iCs/>
          <w:color w:val="000000"/>
          <w:lang w:val="ru-RU"/>
        </w:rPr>
        <w:t>п'ятдесят</w:t>
      </w:r>
      <w:proofErr w:type="spellEnd"/>
      <w:r w:rsidRPr="00E16672">
        <w:rPr>
          <w:rFonts w:ascii="Times New Roman" w:hAnsi="Times New Roman"/>
          <w:color w:val="000000"/>
          <w:lang w:val="ru-RU"/>
        </w:rPr>
        <w:t xml:space="preserve"> </w:t>
      </w:r>
      <w:proofErr w:type="spellStart"/>
      <w:r w:rsidRPr="00E16672">
        <w:rPr>
          <w:rFonts w:ascii="Times New Roman" w:hAnsi="Times New Roman"/>
          <w:color w:val="000000"/>
          <w:lang w:val="ru-RU"/>
        </w:rPr>
        <w:t>років</w:t>
      </w:r>
      <w:proofErr w:type="spellEnd"/>
      <w:r w:rsidRPr="00E16672">
        <w:rPr>
          <w:rFonts w:ascii="Times New Roman" w:hAnsi="Times New Roman"/>
          <w:color w:val="000000"/>
          <w:lang w:val="ru-RU"/>
        </w:rPr>
        <w:t xml:space="preserve"> </w:t>
      </w:r>
      <w:proofErr w:type="spellStart"/>
      <w:r w:rsidRPr="00E16672">
        <w:rPr>
          <w:rFonts w:ascii="Times New Roman" w:hAnsi="Times New Roman"/>
          <w:color w:val="000000"/>
          <w:lang w:val="ru-RU"/>
        </w:rPr>
        <w:t>застосовується</w:t>
      </w:r>
      <w:proofErr w:type="spellEnd"/>
      <w:r w:rsidRPr="00E16672">
        <w:rPr>
          <w:rFonts w:ascii="Times New Roman" w:hAnsi="Times New Roman"/>
          <w:color w:val="000000"/>
          <w:lang w:val="ru-RU"/>
        </w:rPr>
        <w:t xml:space="preserve"> </w:t>
      </w:r>
      <w:proofErr w:type="spellStart"/>
      <w:r w:rsidRPr="00E16672">
        <w:rPr>
          <w:rFonts w:ascii="Times New Roman" w:hAnsi="Times New Roman"/>
          <w:color w:val="000000"/>
          <w:lang w:val="ru-RU"/>
        </w:rPr>
        <w:t>також</w:t>
      </w:r>
      <w:proofErr w:type="spellEnd"/>
      <w:r w:rsidRPr="00E16672">
        <w:rPr>
          <w:rFonts w:ascii="Times New Roman" w:hAnsi="Times New Roman"/>
          <w:color w:val="000000"/>
          <w:lang w:val="ru-RU"/>
        </w:rPr>
        <w:t xml:space="preserve"> до </w:t>
      </w:r>
      <w:proofErr w:type="spellStart"/>
      <w:r w:rsidRPr="00E16672">
        <w:rPr>
          <w:rFonts w:ascii="Times New Roman" w:hAnsi="Times New Roman"/>
          <w:color w:val="000000"/>
          <w:lang w:val="ru-RU"/>
        </w:rPr>
        <w:t>вимог</w:t>
      </w:r>
      <w:proofErr w:type="spellEnd"/>
      <w:r w:rsidRPr="00E16672">
        <w:rPr>
          <w:rFonts w:ascii="Times New Roman" w:hAnsi="Times New Roman"/>
          <w:lang w:val="ru-RU"/>
        </w:rPr>
        <w:t xml:space="preserve"> про </w:t>
      </w:r>
      <w:proofErr w:type="spellStart"/>
      <w:r w:rsidRPr="00E16672">
        <w:rPr>
          <w:rFonts w:ascii="Times New Roman" w:hAnsi="Times New Roman"/>
          <w:lang w:val="ru-RU"/>
        </w:rPr>
        <w:t>стягнення</w:t>
      </w:r>
      <w:proofErr w:type="spellEnd"/>
      <w:r w:rsidRPr="00E16672">
        <w:rPr>
          <w:rFonts w:ascii="Times New Roman" w:hAnsi="Times New Roman"/>
          <w:lang w:val="ru-RU"/>
        </w:rPr>
        <w:t xml:space="preserve"> </w:t>
      </w:r>
      <w:r w:rsidRPr="00E16672">
        <w:rPr>
          <w:rFonts w:ascii="Times New Roman" w:hAnsi="Times New Roman"/>
          <w:i/>
          <w:iCs/>
          <w:lang w:val="ru-RU"/>
        </w:rPr>
        <w:t>неустойки</w:t>
      </w:r>
      <w:r w:rsidRPr="00E16672">
        <w:rPr>
          <w:rFonts w:ascii="Times New Roman" w:hAnsi="Times New Roman"/>
          <w:lang w:val="ru-RU"/>
        </w:rPr>
        <w:t xml:space="preserve"> (</w:t>
      </w:r>
      <w:proofErr w:type="spellStart"/>
      <w:r w:rsidRPr="00E16672">
        <w:rPr>
          <w:rFonts w:ascii="Times New Roman" w:hAnsi="Times New Roman"/>
          <w:lang w:val="ru-RU"/>
        </w:rPr>
        <w:t>пені</w:t>
      </w:r>
      <w:proofErr w:type="spellEnd"/>
      <w:r w:rsidRPr="00E16672">
        <w:rPr>
          <w:rFonts w:ascii="Times New Roman" w:hAnsi="Times New Roman"/>
          <w:lang w:val="ru-RU"/>
        </w:rPr>
        <w:t>).</w:t>
      </w:r>
    </w:p>
    <w:p w14:paraId="2F6A38B4" w14:textId="77777777" w:rsidR="00765E37" w:rsidRPr="00E16672" w:rsidRDefault="00765E37" w:rsidP="00765E37">
      <w:pPr>
        <w:jc w:val="center"/>
        <w:rPr>
          <w:rFonts w:ascii="Times New Roman" w:hAnsi="Times New Roman"/>
          <w:b/>
          <w:szCs w:val="20"/>
          <w:lang w:val="uk-UA"/>
        </w:rPr>
      </w:pPr>
    </w:p>
    <w:p w14:paraId="190E27DC" w14:textId="77777777" w:rsidR="00765E37" w:rsidRPr="00E16672" w:rsidRDefault="00765E37" w:rsidP="00765E37">
      <w:pPr>
        <w:jc w:val="center"/>
        <w:rPr>
          <w:rFonts w:ascii="Times New Roman" w:hAnsi="Times New Roman"/>
          <w:b/>
          <w:szCs w:val="20"/>
          <w:lang w:val="uk-UA"/>
        </w:rPr>
      </w:pPr>
      <w:r w:rsidRPr="00E16672">
        <w:rPr>
          <w:rFonts w:ascii="Times New Roman" w:hAnsi="Times New Roman"/>
          <w:b/>
          <w:szCs w:val="20"/>
          <w:lang w:val="uk-UA"/>
        </w:rPr>
        <w:t xml:space="preserve">6. Строк дії Договору, порядок внесення змін до нього, умови розірвання Договору </w:t>
      </w:r>
    </w:p>
    <w:p w14:paraId="4F1BEDED" w14:textId="77777777" w:rsidR="00765E37" w:rsidRPr="00E16672" w:rsidRDefault="00765E37" w:rsidP="00765E37">
      <w:pPr>
        <w:jc w:val="center"/>
        <w:rPr>
          <w:rFonts w:ascii="Times New Roman" w:hAnsi="Times New Roman"/>
          <w:b/>
          <w:szCs w:val="20"/>
          <w:lang w:val="uk-UA"/>
        </w:rPr>
      </w:pPr>
      <w:r w:rsidRPr="00E16672">
        <w:rPr>
          <w:rFonts w:ascii="Times New Roman" w:hAnsi="Times New Roman"/>
          <w:b/>
          <w:szCs w:val="20"/>
          <w:lang w:val="uk-UA"/>
        </w:rPr>
        <w:t xml:space="preserve"> та припинення його дії</w:t>
      </w:r>
    </w:p>
    <w:p w14:paraId="7D83701D" w14:textId="77777777" w:rsidR="00765E37" w:rsidRPr="00E16672" w:rsidRDefault="00765E37" w:rsidP="00765E37">
      <w:pPr>
        <w:rPr>
          <w:rFonts w:ascii="Times New Roman" w:hAnsi="Times New Roman"/>
          <w:szCs w:val="20"/>
          <w:lang w:val="uk-UA"/>
        </w:rPr>
      </w:pPr>
      <w:r w:rsidRPr="00E16672">
        <w:rPr>
          <w:rFonts w:ascii="Times New Roman" w:hAnsi="Times New Roman"/>
          <w:szCs w:val="20"/>
          <w:lang w:val="uk-UA"/>
        </w:rPr>
        <w:t xml:space="preserve">6.1.Цей Договір набирає чинності з моменту його підписання Сторонами і скріплення печатками та діє до повного виконання Договору. </w:t>
      </w:r>
    </w:p>
    <w:p w14:paraId="367112A1" w14:textId="77777777" w:rsidR="00765E37" w:rsidRPr="00E16672" w:rsidRDefault="00765E37" w:rsidP="00765E37">
      <w:pPr>
        <w:rPr>
          <w:rFonts w:ascii="Times New Roman" w:hAnsi="Times New Roman"/>
          <w:szCs w:val="20"/>
          <w:lang w:val="uk-UA"/>
        </w:rPr>
      </w:pPr>
      <w:r w:rsidRPr="00E16672">
        <w:rPr>
          <w:rFonts w:ascii="Times New Roman" w:hAnsi="Times New Roman"/>
          <w:szCs w:val="20"/>
          <w:lang w:val="uk-UA"/>
        </w:rPr>
        <w:t>6.2. Зміни до умов цього Договору вносяться за взаємною згодою Сторін, оформленою  в письмовій формі. Одностороння відмова кожної із Сторін від виконання Договору або зміна його умов є неприпустимою, крім випадків, встановлених законодавством або цим Договором.</w:t>
      </w:r>
    </w:p>
    <w:p w14:paraId="2AE47B56" w14:textId="77777777" w:rsidR="00765E37" w:rsidRPr="00E16672" w:rsidRDefault="00765E37" w:rsidP="00765E37">
      <w:pPr>
        <w:rPr>
          <w:rFonts w:ascii="Times New Roman" w:hAnsi="Times New Roman"/>
          <w:szCs w:val="20"/>
          <w:lang w:val="uk-UA"/>
        </w:rPr>
      </w:pPr>
      <w:r w:rsidRPr="00E16672">
        <w:rPr>
          <w:rFonts w:ascii="Times New Roman" w:hAnsi="Times New Roman"/>
          <w:szCs w:val="20"/>
          <w:lang w:val="uk-UA"/>
        </w:rPr>
        <w:t>6.3. Цей Договір може бути достроково розірваний:</w:t>
      </w:r>
    </w:p>
    <w:p w14:paraId="1A5C6BB6" w14:textId="77777777" w:rsidR="00765E37" w:rsidRPr="00E16672" w:rsidRDefault="00765E37" w:rsidP="00765E37">
      <w:pPr>
        <w:rPr>
          <w:rFonts w:ascii="Times New Roman" w:hAnsi="Times New Roman"/>
          <w:szCs w:val="20"/>
          <w:lang w:val="uk-UA"/>
        </w:rPr>
      </w:pPr>
      <w:r w:rsidRPr="00E16672">
        <w:rPr>
          <w:rFonts w:ascii="Times New Roman" w:hAnsi="Times New Roman"/>
          <w:szCs w:val="20"/>
          <w:lang w:val="uk-UA"/>
        </w:rPr>
        <w:t xml:space="preserve">6.3.1. Кожною із Сторін в односторонньому порядку. Про дострокове розірвання цього Договору в односторонньому порядку Сторона, яка прийняла таке рішення, повинна повідомити надіславши відповідне письмове повідомлення іншій Стороні за її місцезнаходженням менше ніж за </w:t>
      </w:r>
      <w:r w:rsidRPr="00E16672">
        <w:rPr>
          <w:rFonts w:ascii="Times New Roman" w:hAnsi="Times New Roman"/>
          <w:i/>
          <w:iCs/>
          <w:szCs w:val="20"/>
          <w:lang w:val="uk-UA"/>
        </w:rPr>
        <w:t>тридцять</w:t>
      </w:r>
      <w:r w:rsidRPr="00E16672">
        <w:rPr>
          <w:rFonts w:ascii="Times New Roman" w:hAnsi="Times New Roman"/>
          <w:szCs w:val="20"/>
          <w:lang w:val="uk-UA"/>
        </w:rPr>
        <w:t xml:space="preserve"> календарних днів до дати припинення дії Договору внаслідок розірвання. </w:t>
      </w:r>
    </w:p>
    <w:p w14:paraId="669CD3F2" w14:textId="77777777" w:rsidR="00765E37" w:rsidRPr="00E16672" w:rsidRDefault="00765E37" w:rsidP="00765E37">
      <w:pPr>
        <w:rPr>
          <w:rFonts w:ascii="Times New Roman" w:hAnsi="Times New Roman"/>
          <w:szCs w:val="20"/>
          <w:lang w:val="uk-UA"/>
        </w:rPr>
      </w:pPr>
      <w:r w:rsidRPr="00E16672">
        <w:rPr>
          <w:rFonts w:ascii="Times New Roman" w:hAnsi="Times New Roman"/>
          <w:szCs w:val="20"/>
          <w:lang w:val="uk-UA"/>
        </w:rPr>
        <w:t>Депозитарна установа надсилає вказане письмове повідомлення про розірвання договору в односторонньому порядку за місцем проживання Депонента, що зазначене в анкеті рахунку в цінних паперах.</w:t>
      </w:r>
    </w:p>
    <w:p w14:paraId="297BD8E9" w14:textId="77777777" w:rsidR="00765E37" w:rsidRPr="00E16672" w:rsidRDefault="00765E37" w:rsidP="00765E37">
      <w:pPr>
        <w:rPr>
          <w:rFonts w:ascii="Times New Roman" w:hAnsi="Times New Roman"/>
          <w:szCs w:val="20"/>
          <w:lang w:val="uk-UA"/>
        </w:rPr>
      </w:pPr>
      <w:r w:rsidRPr="00E16672">
        <w:rPr>
          <w:rFonts w:ascii="Times New Roman" w:hAnsi="Times New Roman"/>
          <w:szCs w:val="20"/>
          <w:lang w:val="uk-UA"/>
        </w:rPr>
        <w:t>6.3.2. За згодою Сторін.</w:t>
      </w:r>
    </w:p>
    <w:p w14:paraId="0F3D2F00" w14:textId="77777777" w:rsidR="00765E37" w:rsidRPr="00E16672" w:rsidRDefault="00765E37" w:rsidP="00765E37">
      <w:pPr>
        <w:rPr>
          <w:rFonts w:ascii="Times New Roman" w:hAnsi="Times New Roman"/>
          <w:szCs w:val="20"/>
          <w:lang w:val="uk-UA"/>
        </w:rPr>
      </w:pPr>
      <w:r w:rsidRPr="00E16672">
        <w:rPr>
          <w:rFonts w:ascii="Times New Roman" w:hAnsi="Times New Roman"/>
          <w:szCs w:val="20"/>
          <w:lang w:val="uk-UA"/>
        </w:rPr>
        <w:t>6.3.3. За відповідним рішенням суду.</w:t>
      </w:r>
    </w:p>
    <w:p w14:paraId="3940CA00" w14:textId="77777777" w:rsidR="00765E37" w:rsidRPr="00E16672" w:rsidRDefault="00765E37" w:rsidP="00765E37">
      <w:pPr>
        <w:rPr>
          <w:rFonts w:ascii="Times New Roman" w:hAnsi="Times New Roman"/>
          <w:szCs w:val="20"/>
          <w:lang w:val="uk-UA"/>
        </w:rPr>
      </w:pPr>
      <w:r w:rsidRPr="00E16672">
        <w:rPr>
          <w:rFonts w:ascii="Times New Roman" w:hAnsi="Times New Roman"/>
          <w:szCs w:val="20"/>
          <w:lang w:val="uk-UA"/>
        </w:rPr>
        <w:t xml:space="preserve">6.4. Договір може бути розірваний за умови відсутності цінних паперів, прав на цінні папери на рахунку </w:t>
      </w:r>
      <w:r w:rsidR="00C22309" w:rsidRPr="00E16672">
        <w:rPr>
          <w:rFonts w:ascii="Times New Roman" w:hAnsi="Times New Roman"/>
          <w:szCs w:val="20"/>
          <w:lang w:val="uk-UA"/>
        </w:rPr>
        <w:t>в цін</w:t>
      </w:r>
      <w:r w:rsidRPr="00E16672">
        <w:rPr>
          <w:rFonts w:ascii="Times New Roman" w:hAnsi="Times New Roman"/>
          <w:szCs w:val="20"/>
          <w:lang w:val="uk-UA"/>
        </w:rPr>
        <w:t>них паперах Депонента.</w:t>
      </w:r>
    </w:p>
    <w:p w14:paraId="059221EB" w14:textId="77777777" w:rsidR="00765E37" w:rsidRPr="00E16672" w:rsidRDefault="00765E37" w:rsidP="00765E37">
      <w:pPr>
        <w:rPr>
          <w:rFonts w:ascii="Times New Roman" w:hAnsi="Times New Roman"/>
          <w:color w:val="000000"/>
          <w:szCs w:val="20"/>
          <w:lang w:val="uk-UA"/>
        </w:rPr>
      </w:pPr>
      <w:r w:rsidRPr="00E16672">
        <w:rPr>
          <w:rFonts w:ascii="Times New Roman" w:hAnsi="Times New Roman"/>
          <w:szCs w:val="20"/>
          <w:lang w:val="uk-UA"/>
        </w:rPr>
        <w:t xml:space="preserve">6.5. Депозитарна установа та Депонент зобов’язані у разі розірвання цього Договору (у тому числі у зв’язку з припиненням Депозитарною установою провадження професійної діяльності на фондовому ринку – депозитарної </w:t>
      </w:r>
      <w:r w:rsidRPr="00E16672">
        <w:rPr>
          <w:rFonts w:ascii="Times New Roman" w:hAnsi="Times New Roman"/>
          <w:color w:val="000000"/>
          <w:szCs w:val="20"/>
          <w:lang w:val="uk-UA"/>
        </w:rPr>
        <w:t>діяльності) діяти відповідно до вимог законодавства та цього Договору.</w:t>
      </w:r>
    </w:p>
    <w:p w14:paraId="522BE586" w14:textId="77777777" w:rsidR="00765E37" w:rsidRPr="00E16672" w:rsidRDefault="00765E37" w:rsidP="00765E37">
      <w:pPr>
        <w:rPr>
          <w:rFonts w:ascii="Times New Roman" w:hAnsi="Times New Roman"/>
          <w:color w:val="000000"/>
          <w:szCs w:val="20"/>
        </w:rPr>
      </w:pPr>
      <w:r w:rsidRPr="00E16672">
        <w:rPr>
          <w:rFonts w:ascii="Times New Roman" w:hAnsi="Times New Roman"/>
          <w:color w:val="000000"/>
          <w:szCs w:val="20"/>
        </w:rPr>
        <w:lastRenderedPageBreak/>
        <w:t xml:space="preserve">6.6. </w:t>
      </w:r>
      <w:proofErr w:type="spellStart"/>
      <w:r w:rsidRPr="00E16672">
        <w:rPr>
          <w:rFonts w:ascii="Times New Roman" w:hAnsi="Times New Roman"/>
          <w:color w:val="000000"/>
          <w:szCs w:val="20"/>
        </w:rPr>
        <w:t>Цей</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Договір</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припиняється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зокрема</w:t>
      </w:r>
      <w:proofErr w:type="spellEnd"/>
      <w:r w:rsidRPr="00E16672">
        <w:rPr>
          <w:rFonts w:ascii="Times New Roman" w:hAnsi="Times New Roman"/>
          <w:color w:val="000000"/>
          <w:szCs w:val="20"/>
        </w:rPr>
        <w:t xml:space="preserve">, у </w:t>
      </w:r>
      <w:proofErr w:type="spellStart"/>
      <w:r w:rsidRPr="00E16672">
        <w:rPr>
          <w:rFonts w:ascii="Times New Roman" w:hAnsi="Times New Roman"/>
          <w:color w:val="000000"/>
          <w:szCs w:val="20"/>
        </w:rPr>
        <w:t>разі</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закриття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рахунку</w:t>
      </w:r>
      <w:proofErr w:type="spellEnd"/>
      <w:r w:rsidRPr="00E16672">
        <w:rPr>
          <w:rFonts w:ascii="Times New Roman" w:hAnsi="Times New Roman"/>
          <w:color w:val="000000"/>
          <w:szCs w:val="20"/>
        </w:rPr>
        <w:t xml:space="preserve"> </w:t>
      </w:r>
      <w:r w:rsidR="00C22309" w:rsidRPr="00E16672">
        <w:rPr>
          <w:rFonts w:ascii="Times New Roman" w:hAnsi="Times New Roman"/>
          <w:color w:val="000000"/>
          <w:szCs w:val="20"/>
        </w:rPr>
        <w:t xml:space="preserve">в </w:t>
      </w:r>
      <w:proofErr w:type="spellStart"/>
      <w:r w:rsidR="00C22309" w:rsidRPr="00E16672">
        <w:rPr>
          <w:rFonts w:ascii="Times New Roman" w:hAnsi="Times New Roman"/>
          <w:color w:val="000000"/>
          <w:szCs w:val="20"/>
        </w:rPr>
        <w:t>цін</w:t>
      </w:r>
      <w:r w:rsidRPr="00E16672">
        <w:rPr>
          <w:rFonts w:ascii="Times New Roman" w:hAnsi="Times New Roman"/>
          <w:color w:val="000000"/>
          <w:szCs w:val="20"/>
        </w:rPr>
        <w:t>них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паперах</w:t>
      </w:r>
      <w:proofErr w:type="spellEnd"/>
      <w:r w:rsidRPr="00E16672">
        <w:rPr>
          <w:rFonts w:ascii="Times New Roman" w:hAnsi="Times New Roman"/>
          <w:color w:val="000000"/>
          <w:szCs w:val="20"/>
        </w:rPr>
        <w:t xml:space="preserve"> за </w:t>
      </w:r>
      <w:proofErr w:type="spellStart"/>
      <w:r w:rsidRPr="00E16672">
        <w:rPr>
          <w:rFonts w:ascii="Times New Roman" w:hAnsi="Times New Roman"/>
          <w:color w:val="000000"/>
          <w:szCs w:val="20"/>
        </w:rPr>
        <w:t>розпорядженням</w:t>
      </w:r>
      <w:proofErr w:type="spellEnd"/>
      <w:r w:rsidRPr="00E16672">
        <w:rPr>
          <w:rFonts w:ascii="Times New Roman" w:hAnsi="Times New Roman"/>
          <w:color w:val="000000"/>
          <w:szCs w:val="20"/>
        </w:rPr>
        <w:t xml:space="preserve"> </w:t>
      </w:r>
      <w:r w:rsidRPr="00E16672">
        <w:rPr>
          <w:rFonts w:ascii="Times New Roman" w:hAnsi="Times New Roman"/>
          <w:color w:val="000000"/>
          <w:szCs w:val="20"/>
          <w:lang w:val="uk-UA"/>
        </w:rPr>
        <w:t>Д</w:t>
      </w:r>
      <w:proofErr w:type="spellStart"/>
      <w:r w:rsidRPr="00E16672">
        <w:rPr>
          <w:rFonts w:ascii="Times New Roman" w:hAnsi="Times New Roman"/>
          <w:color w:val="000000"/>
          <w:szCs w:val="20"/>
        </w:rPr>
        <w:t>епонента</w:t>
      </w:r>
      <w:proofErr w:type="spellEnd"/>
      <w:r w:rsidRPr="00E16672">
        <w:rPr>
          <w:rFonts w:ascii="Times New Roman" w:hAnsi="Times New Roman"/>
          <w:color w:val="000000"/>
          <w:szCs w:val="20"/>
        </w:rPr>
        <w:t xml:space="preserve">. У </w:t>
      </w:r>
      <w:proofErr w:type="spellStart"/>
      <w:r w:rsidRPr="00E16672">
        <w:rPr>
          <w:rFonts w:ascii="Times New Roman" w:hAnsi="Times New Roman"/>
          <w:color w:val="000000"/>
          <w:szCs w:val="20"/>
        </w:rPr>
        <w:t>цьому</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випадку</w:t>
      </w:r>
      <w:proofErr w:type="spellEnd"/>
      <w:r w:rsidRPr="00E16672">
        <w:rPr>
          <w:rFonts w:ascii="Times New Roman" w:hAnsi="Times New Roman"/>
          <w:color w:val="000000"/>
          <w:szCs w:val="20"/>
        </w:rPr>
        <w:t xml:space="preserve"> дата </w:t>
      </w:r>
      <w:proofErr w:type="spellStart"/>
      <w:r w:rsidRPr="00E16672">
        <w:rPr>
          <w:rFonts w:ascii="Times New Roman" w:hAnsi="Times New Roman"/>
          <w:color w:val="000000"/>
          <w:szCs w:val="20"/>
        </w:rPr>
        <w:t>закриття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рахунку</w:t>
      </w:r>
      <w:proofErr w:type="spellEnd"/>
      <w:r w:rsidRPr="00E16672">
        <w:rPr>
          <w:rFonts w:ascii="Times New Roman" w:hAnsi="Times New Roman"/>
          <w:color w:val="000000"/>
          <w:szCs w:val="20"/>
        </w:rPr>
        <w:t xml:space="preserve"> </w:t>
      </w:r>
      <w:r w:rsidR="00C22309" w:rsidRPr="00E16672">
        <w:rPr>
          <w:rFonts w:ascii="Times New Roman" w:hAnsi="Times New Roman"/>
          <w:color w:val="000000"/>
          <w:szCs w:val="20"/>
        </w:rPr>
        <w:t xml:space="preserve">в </w:t>
      </w:r>
      <w:proofErr w:type="spellStart"/>
      <w:r w:rsidR="00C22309" w:rsidRPr="00E16672">
        <w:rPr>
          <w:rFonts w:ascii="Times New Roman" w:hAnsi="Times New Roman"/>
          <w:color w:val="000000"/>
          <w:szCs w:val="20"/>
        </w:rPr>
        <w:t>цін</w:t>
      </w:r>
      <w:r w:rsidRPr="00E16672">
        <w:rPr>
          <w:rFonts w:ascii="Times New Roman" w:hAnsi="Times New Roman"/>
          <w:color w:val="000000"/>
          <w:szCs w:val="20"/>
        </w:rPr>
        <w:t>них</w:t>
      </w:r>
      <w:proofErr w:type="spellEnd"/>
      <w:r w:rsidRPr="00E16672">
        <w:rPr>
          <w:rFonts w:ascii="Times New Roman" w:hAnsi="Times New Roman"/>
          <w:color w:val="000000"/>
          <w:szCs w:val="20"/>
        </w:rPr>
        <w:t xml:space="preserve"> </w:t>
      </w:r>
      <w:proofErr w:type="spellStart"/>
      <w:proofErr w:type="gramStart"/>
      <w:r w:rsidRPr="00E16672">
        <w:rPr>
          <w:rFonts w:ascii="Times New Roman" w:hAnsi="Times New Roman"/>
          <w:color w:val="000000"/>
          <w:szCs w:val="20"/>
        </w:rPr>
        <w:t>паперах</w:t>
      </w:r>
      <w:proofErr w:type="spellEnd"/>
      <w:r w:rsidRPr="00E16672">
        <w:rPr>
          <w:rFonts w:ascii="Times New Roman" w:hAnsi="Times New Roman"/>
          <w:color w:val="000000"/>
          <w:szCs w:val="20"/>
        </w:rPr>
        <w:t xml:space="preserve">  є</w:t>
      </w:r>
      <w:proofErr w:type="gram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останньою</w:t>
      </w:r>
      <w:proofErr w:type="spellEnd"/>
      <w:r w:rsidRPr="00E16672">
        <w:rPr>
          <w:rFonts w:ascii="Times New Roman" w:hAnsi="Times New Roman"/>
          <w:color w:val="000000"/>
          <w:szCs w:val="20"/>
        </w:rPr>
        <w:t xml:space="preserve"> датою </w:t>
      </w:r>
      <w:proofErr w:type="spellStart"/>
      <w:r w:rsidRPr="00E16672">
        <w:rPr>
          <w:rFonts w:ascii="Times New Roman" w:hAnsi="Times New Roman"/>
          <w:color w:val="000000"/>
          <w:szCs w:val="20"/>
        </w:rPr>
        <w:t>чинності</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дії</w:t>
      </w:r>
      <w:proofErr w:type="spellEnd"/>
      <w:r w:rsidRPr="00E16672">
        <w:rPr>
          <w:rFonts w:ascii="Times New Roman" w:hAnsi="Times New Roman"/>
          <w:color w:val="000000"/>
          <w:szCs w:val="20"/>
        </w:rPr>
        <w:t>) Договору.</w:t>
      </w:r>
    </w:p>
    <w:p w14:paraId="79112583" w14:textId="77777777" w:rsidR="00765E37" w:rsidRPr="00E16672" w:rsidRDefault="00765E37" w:rsidP="00022F5F">
      <w:pPr>
        <w:jc w:val="left"/>
        <w:rPr>
          <w:rFonts w:ascii="Times New Roman" w:hAnsi="Times New Roman"/>
          <w:szCs w:val="20"/>
        </w:rPr>
      </w:pPr>
      <w:r w:rsidRPr="00E16672">
        <w:rPr>
          <w:rFonts w:ascii="Times New Roman" w:hAnsi="Times New Roman"/>
          <w:color w:val="000000"/>
          <w:szCs w:val="20"/>
          <w:lang w:val="uk-UA"/>
        </w:rPr>
        <w:t xml:space="preserve">6.7. Питання, що виникають під час укладення, виконання, зміни, розірвання Договору і не врегульовані ним, регулюються Цивільним кодексом України, Господарським кодексом України, Законом України </w:t>
      </w:r>
      <w:r w:rsidR="00022F5F">
        <w:rPr>
          <w:rFonts w:ascii="Times New Roman" w:hAnsi="Times New Roman"/>
          <w:color w:val="000000"/>
          <w:szCs w:val="20"/>
          <w:lang w:val="uk-UA"/>
        </w:rPr>
        <w:t>"</w:t>
      </w:r>
      <w:r w:rsidRPr="00E16672">
        <w:rPr>
          <w:rFonts w:ascii="Times New Roman" w:hAnsi="Times New Roman"/>
          <w:color w:val="000000"/>
          <w:szCs w:val="20"/>
          <w:lang w:val="uk-UA"/>
        </w:rPr>
        <w:t>Про депозитарну</w:t>
      </w:r>
      <w:r w:rsidRPr="00E16672">
        <w:rPr>
          <w:rFonts w:ascii="Times New Roman" w:hAnsi="Times New Roman"/>
          <w:szCs w:val="20"/>
          <w:lang w:val="uk-UA"/>
        </w:rPr>
        <w:t xml:space="preserve"> систему України</w:t>
      </w:r>
      <w:r w:rsidR="00022F5F">
        <w:rPr>
          <w:rFonts w:ascii="Times New Roman" w:hAnsi="Times New Roman"/>
          <w:szCs w:val="20"/>
          <w:lang w:val="uk-UA"/>
        </w:rPr>
        <w:t>"</w:t>
      </w:r>
      <w:r w:rsidRPr="00E16672">
        <w:rPr>
          <w:rFonts w:ascii="Times New Roman" w:hAnsi="Times New Roman"/>
          <w:szCs w:val="20"/>
          <w:lang w:val="uk-UA"/>
        </w:rPr>
        <w:t>, нормативно-правовими актами НКЦПФР.</w:t>
      </w:r>
    </w:p>
    <w:p w14:paraId="21D8F8A5" w14:textId="77777777" w:rsidR="00765E37" w:rsidRPr="00E16672" w:rsidRDefault="00765E37" w:rsidP="00765E37">
      <w:pPr>
        <w:pStyle w:val="2"/>
        <w:rPr>
          <w:rFonts w:ascii="Times New Roman" w:hAnsi="Times New Roman" w:cs="Times New Roman"/>
        </w:rPr>
      </w:pPr>
      <w:r w:rsidRPr="00E16672">
        <w:rPr>
          <w:rFonts w:ascii="Times New Roman" w:hAnsi="Times New Roman" w:cs="Times New Roman"/>
          <w:lang w:val="uk-UA"/>
        </w:rPr>
        <w:t>7. Порядок розкриття інформації, що належить</w:t>
      </w:r>
      <w:r w:rsidRPr="00E16672">
        <w:rPr>
          <w:rFonts w:ascii="Times New Roman" w:hAnsi="Times New Roman" w:cs="Times New Roman"/>
        </w:rPr>
        <w:t xml:space="preserve"> </w:t>
      </w:r>
      <w:r w:rsidRPr="00E16672">
        <w:rPr>
          <w:rFonts w:ascii="Times New Roman" w:hAnsi="Times New Roman" w:cs="Times New Roman"/>
          <w:lang w:val="uk-UA"/>
        </w:rPr>
        <w:t>до інформації з обмеженим доступом</w:t>
      </w:r>
    </w:p>
    <w:p w14:paraId="1BC794B4" w14:textId="77777777" w:rsidR="00765E37" w:rsidRPr="00E16672" w:rsidRDefault="00765E37" w:rsidP="00022F5F">
      <w:pPr>
        <w:jc w:val="left"/>
        <w:rPr>
          <w:rFonts w:ascii="Times New Roman" w:hAnsi="Times New Roman"/>
          <w:szCs w:val="20"/>
          <w:lang w:val="uk-UA"/>
        </w:rPr>
      </w:pPr>
      <w:r w:rsidRPr="00E16672">
        <w:rPr>
          <w:rFonts w:ascii="Times New Roman" w:hAnsi="Times New Roman"/>
          <w:szCs w:val="20"/>
          <w:lang w:val="uk-UA"/>
        </w:rPr>
        <w:t xml:space="preserve">7.1. Інформація, що міститься у системі депозитарного обліку, є інформацією з обмеженим доступом, охороняється законом та не підлягає розголошенню Депозитарною установою, крім випадків, передбачених статтею 25 Закону України </w:t>
      </w:r>
      <w:r w:rsidR="00022F5F">
        <w:rPr>
          <w:rFonts w:ascii="Times New Roman" w:hAnsi="Times New Roman"/>
          <w:szCs w:val="20"/>
          <w:lang w:val="uk-UA"/>
        </w:rPr>
        <w:t>"</w:t>
      </w:r>
      <w:r w:rsidRPr="00E16672">
        <w:rPr>
          <w:rFonts w:ascii="Times New Roman" w:hAnsi="Times New Roman"/>
          <w:szCs w:val="20"/>
          <w:lang w:val="uk-UA"/>
        </w:rPr>
        <w:t>Про депозитарну систему України</w:t>
      </w:r>
      <w:r w:rsidR="00022F5F">
        <w:rPr>
          <w:rFonts w:ascii="Times New Roman" w:hAnsi="Times New Roman"/>
          <w:szCs w:val="20"/>
          <w:lang w:val="uk-UA"/>
        </w:rPr>
        <w:t>"</w:t>
      </w:r>
      <w:r w:rsidRPr="00E16672">
        <w:rPr>
          <w:rFonts w:ascii="Times New Roman" w:hAnsi="Times New Roman"/>
          <w:szCs w:val="20"/>
          <w:lang w:val="uk-UA"/>
        </w:rPr>
        <w:t>.</w:t>
      </w:r>
    </w:p>
    <w:p w14:paraId="52A09129" w14:textId="77777777" w:rsidR="00765E37" w:rsidRPr="00E16672" w:rsidRDefault="00765E37" w:rsidP="00765E37">
      <w:pPr>
        <w:rPr>
          <w:rFonts w:ascii="Times New Roman" w:hAnsi="Times New Roman"/>
          <w:szCs w:val="20"/>
          <w:lang w:val="uk-UA"/>
        </w:rPr>
      </w:pPr>
      <w:r w:rsidRPr="00E16672">
        <w:rPr>
          <w:rFonts w:ascii="Times New Roman" w:hAnsi="Times New Roman"/>
          <w:szCs w:val="20"/>
          <w:lang w:val="uk-UA"/>
        </w:rPr>
        <w:t>7.2. Інформація, що міститься у системі депозитарного обліку, надається власнику інформації або його представникові відповідно до умов Договору, або іншим особам у передбачених законом випадках.</w:t>
      </w:r>
    </w:p>
    <w:p w14:paraId="74EDAE94" w14:textId="77777777" w:rsidR="00765E37" w:rsidRPr="00E16672" w:rsidRDefault="00765E37" w:rsidP="00765E37">
      <w:pPr>
        <w:rPr>
          <w:rFonts w:ascii="Times New Roman" w:hAnsi="Times New Roman"/>
          <w:szCs w:val="20"/>
          <w:lang w:val="uk-UA"/>
        </w:rPr>
      </w:pPr>
      <w:r w:rsidRPr="00E16672">
        <w:rPr>
          <w:rFonts w:ascii="Times New Roman" w:hAnsi="Times New Roman"/>
          <w:szCs w:val="20"/>
          <w:lang w:val="uk-UA"/>
        </w:rPr>
        <w:t>7.3. Депозитарна установа забезпечує нерозголошення інформації, що міститься у системі депозитарного обліку, шляхом:</w:t>
      </w:r>
    </w:p>
    <w:p w14:paraId="5D4F580E" w14:textId="77777777" w:rsidR="00765E37" w:rsidRPr="00E16672" w:rsidRDefault="00765E37" w:rsidP="00765E37">
      <w:pPr>
        <w:rPr>
          <w:rFonts w:ascii="Times New Roman" w:hAnsi="Times New Roman"/>
          <w:szCs w:val="20"/>
          <w:lang w:val="uk-UA"/>
        </w:rPr>
      </w:pPr>
      <w:r w:rsidRPr="00E16672">
        <w:rPr>
          <w:rFonts w:ascii="Times New Roman" w:hAnsi="Times New Roman"/>
          <w:szCs w:val="20"/>
          <w:lang w:val="uk-UA"/>
        </w:rPr>
        <w:t>1) обмеження кола осіб, які мають доступ до зазначеної інформації;</w:t>
      </w:r>
    </w:p>
    <w:p w14:paraId="47F1E754" w14:textId="77777777" w:rsidR="00765E37" w:rsidRPr="00E16672" w:rsidRDefault="00765E37" w:rsidP="00765E37">
      <w:pPr>
        <w:rPr>
          <w:rFonts w:ascii="Times New Roman" w:hAnsi="Times New Roman"/>
          <w:szCs w:val="20"/>
          <w:lang w:val="uk-UA"/>
        </w:rPr>
      </w:pPr>
      <w:r w:rsidRPr="00E16672">
        <w:rPr>
          <w:rFonts w:ascii="Times New Roman" w:hAnsi="Times New Roman"/>
          <w:szCs w:val="20"/>
          <w:lang w:val="uk-UA"/>
        </w:rPr>
        <w:t>2) організації спеціального діловодства у системі депозитарного обліку;</w:t>
      </w:r>
    </w:p>
    <w:p w14:paraId="26445DFB" w14:textId="77777777" w:rsidR="00765E37" w:rsidRPr="00E16672" w:rsidRDefault="00765E37" w:rsidP="00765E37">
      <w:pPr>
        <w:rPr>
          <w:rFonts w:ascii="Times New Roman" w:hAnsi="Times New Roman"/>
          <w:szCs w:val="20"/>
          <w:lang w:val="uk-UA"/>
        </w:rPr>
      </w:pPr>
      <w:r w:rsidRPr="00E16672">
        <w:rPr>
          <w:rFonts w:ascii="Times New Roman" w:hAnsi="Times New Roman"/>
          <w:szCs w:val="20"/>
          <w:lang w:val="uk-UA"/>
        </w:rPr>
        <w:t>3) застосування технічних та програмних засобів для запобігання несанкціонованому доступу до носіїв такої інформації.</w:t>
      </w:r>
    </w:p>
    <w:p w14:paraId="27D61F35" w14:textId="77777777" w:rsidR="00765E37" w:rsidRPr="00E16672" w:rsidRDefault="00765E37" w:rsidP="00022F5F">
      <w:pPr>
        <w:jc w:val="left"/>
        <w:rPr>
          <w:rFonts w:ascii="Times New Roman" w:hAnsi="Times New Roman"/>
          <w:bCs/>
          <w:szCs w:val="20"/>
          <w:lang w:val="uk-UA"/>
        </w:rPr>
      </w:pPr>
      <w:r w:rsidRPr="00E16672">
        <w:rPr>
          <w:rFonts w:ascii="Times New Roman" w:hAnsi="Times New Roman"/>
          <w:bCs/>
          <w:szCs w:val="20"/>
          <w:lang w:val="uk-UA"/>
        </w:rPr>
        <w:t xml:space="preserve">7.4. </w:t>
      </w:r>
      <w:r w:rsidRPr="00E16672">
        <w:rPr>
          <w:rFonts w:ascii="Times New Roman" w:hAnsi="Times New Roman"/>
          <w:color w:val="000000"/>
          <w:szCs w:val="20"/>
          <w:lang w:val="uk-UA"/>
        </w:rPr>
        <w:t xml:space="preserve">Депозитарна установа надає </w:t>
      </w:r>
      <w:r w:rsidRPr="00E16672">
        <w:rPr>
          <w:rFonts w:ascii="Times New Roman" w:hAnsi="Times New Roman"/>
          <w:bCs/>
          <w:szCs w:val="20"/>
          <w:lang w:val="uk-UA"/>
        </w:rPr>
        <w:t xml:space="preserve">Центральному депозитарію, іншім учасникам депозитарної системи відповідно до вимог чинного </w:t>
      </w:r>
      <w:r w:rsidR="00200366" w:rsidRPr="00E16672">
        <w:rPr>
          <w:rFonts w:ascii="Times New Roman" w:hAnsi="Times New Roman"/>
          <w:bCs/>
          <w:szCs w:val="20"/>
          <w:lang w:val="uk-UA"/>
        </w:rPr>
        <w:t>законодавства,</w:t>
      </w:r>
      <w:r w:rsidRPr="00E16672">
        <w:rPr>
          <w:rFonts w:ascii="Times New Roman" w:hAnsi="Times New Roman"/>
          <w:bCs/>
          <w:szCs w:val="20"/>
          <w:lang w:val="uk-UA"/>
        </w:rPr>
        <w:t xml:space="preserve">  цінних паперів інформацію щодо Депонента, керуючого рахунком </w:t>
      </w:r>
      <w:r w:rsidR="00C22309" w:rsidRPr="00E16672">
        <w:rPr>
          <w:rFonts w:ascii="Times New Roman" w:hAnsi="Times New Roman"/>
          <w:bCs/>
          <w:szCs w:val="20"/>
          <w:lang w:val="uk-UA"/>
        </w:rPr>
        <w:t>в цін</w:t>
      </w:r>
      <w:r w:rsidRPr="00E16672">
        <w:rPr>
          <w:rFonts w:ascii="Times New Roman" w:hAnsi="Times New Roman"/>
          <w:bCs/>
          <w:szCs w:val="20"/>
          <w:lang w:val="uk-UA"/>
        </w:rPr>
        <w:t xml:space="preserve">них паперах Депонента та цінних паперів, що належать Депоненту, яка необхідна для здійснення розрахунків за правочинами щодо цінних паперів з дотриманням принципу </w:t>
      </w:r>
      <w:r w:rsidR="00022F5F">
        <w:rPr>
          <w:rFonts w:ascii="Times New Roman" w:hAnsi="Times New Roman"/>
          <w:bCs/>
          <w:szCs w:val="20"/>
          <w:lang w:val="uk-UA"/>
        </w:rPr>
        <w:t>"</w:t>
      </w:r>
      <w:r w:rsidRPr="00E16672">
        <w:rPr>
          <w:rFonts w:ascii="Times New Roman" w:hAnsi="Times New Roman"/>
          <w:bCs/>
          <w:szCs w:val="20"/>
          <w:lang w:val="uk-UA"/>
        </w:rPr>
        <w:t>поставка цінних паперів проти оплати</w:t>
      </w:r>
      <w:r w:rsidR="00022F5F">
        <w:rPr>
          <w:rFonts w:ascii="Times New Roman" w:hAnsi="Times New Roman"/>
          <w:bCs/>
          <w:szCs w:val="20"/>
          <w:lang w:val="uk-UA"/>
        </w:rPr>
        <w:t>"</w:t>
      </w:r>
      <w:r w:rsidRPr="00E16672">
        <w:rPr>
          <w:rFonts w:ascii="Times New Roman" w:hAnsi="Times New Roman"/>
          <w:bCs/>
          <w:szCs w:val="20"/>
          <w:lang w:val="uk-UA"/>
        </w:rPr>
        <w:t>, з метою подальшого надання такої інформації Розрахунковому центру чи кліринговій установі для її відображення у внутрішній системі обліку такої особи, про що Депонент надає згоду підписавши цей Договір.</w:t>
      </w:r>
    </w:p>
    <w:p w14:paraId="5C77F07F" w14:textId="77777777" w:rsidR="00765E37" w:rsidRPr="00E16672" w:rsidRDefault="00765E37" w:rsidP="00765E37">
      <w:pPr>
        <w:rPr>
          <w:rFonts w:ascii="Times New Roman" w:hAnsi="Times New Roman"/>
          <w:b/>
          <w:bCs/>
          <w:szCs w:val="20"/>
          <w:lang w:val="uk-UA"/>
        </w:rPr>
      </w:pPr>
    </w:p>
    <w:p w14:paraId="0052137B" w14:textId="77777777" w:rsidR="00765E37" w:rsidRPr="00E16672" w:rsidRDefault="00765E37" w:rsidP="00765E37">
      <w:pPr>
        <w:jc w:val="center"/>
        <w:rPr>
          <w:rFonts w:ascii="Times New Roman" w:hAnsi="Times New Roman"/>
          <w:b/>
          <w:bCs/>
          <w:szCs w:val="20"/>
          <w:lang w:val="uk-UA"/>
        </w:rPr>
      </w:pPr>
      <w:r w:rsidRPr="00E16672">
        <w:rPr>
          <w:rFonts w:ascii="Times New Roman" w:hAnsi="Times New Roman"/>
          <w:b/>
          <w:bCs/>
          <w:szCs w:val="20"/>
          <w:lang w:val="uk-UA"/>
        </w:rPr>
        <w:t xml:space="preserve">8. Виконання умов договору. Порядок закриття рахунку </w:t>
      </w:r>
      <w:r w:rsidR="00C22309" w:rsidRPr="00E16672">
        <w:rPr>
          <w:rFonts w:ascii="Times New Roman" w:hAnsi="Times New Roman"/>
          <w:b/>
          <w:bCs/>
          <w:szCs w:val="20"/>
          <w:lang w:val="uk-UA"/>
        </w:rPr>
        <w:t>в цін</w:t>
      </w:r>
      <w:r w:rsidRPr="00E16672">
        <w:rPr>
          <w:rFonts w:ascii="Times New Roman" w:hAnsi="Times New Roman"/>
          <w:b/>
          <w:bCs/>
          <w:szCs w:val="20"/>
          <w:lang w:val="uk-UA"/>
        </w:rPr>
        <w:t>них паперах. Особливі умови.</w:t>
      </w:r>
    </w:p>
    <w:p w14:paraId="67C1F2E7" w14:textId="77777777" w:rsidR="00765E37" w:rsidRPr="00E16672" w:rsidRDefault="00765E37" w:rsidP="00765E37">
      <w:pPr>
        <w:pStyle w:val="23"/>
        <w:ind w:firstLine="540"/>
        <w:rPr>
          <w:rFonts w:ascii="Times New Roman" w:hAnsi="Times New Roman"/>
          <w:lang w:val="ru-RU"/>
        </w:rPr>
      </w:pPr>
      <w:r w:rsidRPr="00E16672">
        <w:rPr>
          <w:rFonts w:ascii="Times New Roman" w:hAnsi="Times New Roman"/>
        </w:rPr>
        <w:t xml:space="preserve">8.1. Депозитарна установа має статус платника податку на прибуток підприємства на загальних </w:t>
      </w:r>
      <w:r w:rsidRPr="00E16672">
        <w:rPr>
          <w:rFonts w:ascii="Times New Roman" w:hAnsi="Times New Roman"/>
          <w:color w:val="000000"/>
        </w:rPr>
        <w:t>умовах</w:t>
      </w:r>
      <w:r w:rsidRPr="00E16672">
        <w:rPr>
          <w:rFonts w:ascii="Times New Roman" w:hAnsi="Times New Roman"/>
          <w:color w:val="000000"/>
          <w:lang w:val="ru-RU"/>
        </w:rPr>
        <w:t>.</w:t>
      </w:r>
    </w:p>
    <w:p w14:paraId="169081FB" w14:textId="77777777" w:rsidR="00765E37" w:rsidRPr="00E16672" w:rsidRDefault="00765E37" w:rsidP="00765E37">
      <w:pPr>
        <w:ind w:firstLine="540"/>
        <w:rPr>
          <w:rFonts w:ascii="Times New Roman" w:hAnsi="Times New Roman"/>
          <w:color w:val="000000"/>
          <w:szCs w:val="20"/>
          <w:lang w:val="uk-UA"/>
        </w:rPr>
      </w:pPr>
      <w:r w:rsidRPr="00E16672">
        <w:rPr>
          <w:rFonts w:ascii="Times New Roman" w:hAnsi="Times New Roman"/>
          <w:color w:val="000000"/>
          <w:szCs w:val="20"/>
          <w:lang w:val="uk-UA"/>
        </w:rPr>
        <w:t>8.2. Підписанням цього Договору Депонент підтверджує, що ознайомлений із внутрішніми документами Депозитарної установи, тарифами Депозитарної установи.</w:t>
      </w:r>
    </w:p>
    <w:p w14:paraId="40D737ED" w14:textId="77777777" w:rsidR="00765E37" w:rsidRPr="00E16672" w:rsidRDefault="00765E37" w:rsidP="00022F5F">
      <w:pPr>
        <w:tabs>
          <w:tab w:val="left" w:pos="1080"/>
          <w:tab w:val="left" w:pos="1134"/>
        </w:tabs>
        <w:ind w:firstLine="540"/>
        <w:jc w:val="left"/>
        <w:rPr>
          <w:rFonts w:ascii="Times New Roman" w:hAnsi="Times New Roman"/>
          <w:i/>
          <w:color w:val="000000"/>
          <w:szCs w:val="20"/>
          <w:lang w:val="uk-UA"/>
        </w:rPr>
      </w:pPr>
      <w:r w:rsidRPr="00E16672">
        <w:rPr>
          <w:rFonts w:ascii="Times New Roman" w:hAnsi="Times New Roman"/>
          <w:color w:val="000000"/>
          <w:szCs w:val="20"/>
          <w:lang w:val="uk-UA"/>
        </w:rPr>
        <w:t xml:space="preserve">Депонент підтверджує, що Депозитарною установою йому надана інформація, зазначена в частині другій статті 12 Закону України </w:t>
      </w:r>
      <w:r w:rsidR="00022F5F">
        <w:rPr>
          <w:rFonts w:ascii="Times New Roman" w:hAnsi="Times New Roman"/>
          <w:color w:val="000000"/>
          <w:szCs w:val="20"/>
          <w:lang w:val="uk-UA"/>
        </w:rPr>
        <w:t>"</w:t>
      </w:r>
      <w:r w:rsidRPr="00E16672">
        <w:rPr>
          <w:rFonts w:ascii="Times New Roman" w:hAnsi="Times New Roman"/>
          <w:color w:val="000000"/>
          <w:szCs w:val="20"/>
          <w:lang w:val="uk-UA"/>
        </w:rPr>
        <w:t>Про фінансові послуги та державне регулювання ринків фінансових послуг</w:t>
      </w:r>
      <w:r w:rsidR="00022F5F">
        <w:rPr>
          <w:rFonts w:ascii="Times New Roman" w:hAnsi="Times New Roman"/>
          <w:color w:val="000000"/>
          <w:szCs w:val="20"/>
          <w:lang w:val="uk-UA"/>
        </w:rPr>
        <w:t>"</w:t>
      </w:r>
      <w:r w:rsidRPr="00E16672">
        <w:rPr>
          <w:rFonts w:ascii="Times New Roman" w:hAnsi="Times New Roman"/>
          <w:color w:val="000000"/>
          <w:szCs w:val="20"/>
          <w:lang w:val="uk-UA"/>
        </w:rPr>
        <w:t>.</w:t>
      </w:r>
      <w:r w:rsidRPr="00E16672">
        <w:rPr>
          <w:rFonts w:ascii="Times New Roman" w:hAnsi="Times New Roman"/>
          <w:i/>
          <w:color w:val="000000"/>
          <w:szCs w:val="20"/>
          <w:lang w:val="uk-UA"/>
        </w:rPr>
        <w:t xml:space="preserve"> </w:t>
      </w:r>
    </w:p>
    <w:p w14:paraId="1B894C5A" w14:textId="77777777" w:rsidR="00765E37" w:rsidRPr="00E16672" w:rsidRDefault="00765E37" w:rsidP="00765E37">
      <w:pPr>
        <w:pStyle w:val="ae"/>
        <w:tabs>
          <w:tab w:val="left" w:pos="1080"/>
          <w:tab w:val="left" w:pos="1134"/>
        </w:tabs>
        <w:ind w:firstLine="540"/>
        <w:rPr>
          <w:rFonts w:ascii="Times New Roman" w:hAnsi="Times New Roman"/>
          <w:color w:val="000000"/>
          <w:szCs w:val="20"/>
        </w:rPr>
      </w:pPr>
      <w:r w:rsidRPr="00E16672">
        <w:rPr>
          <w:rFonts w:ascii="Times New Roman" w:hAnsi="Times New Roman"/>
          <w:color w:val="000000"/>
          <w:szCs w:val="20"/>
        </w:rPr>
        <w:t>Інформація, що була надана Депоненту, забезпечила правильне розуміння Депонентом  суті фінансової послуги, що має надаватись, без нав'язування її придбання.</w:t>
      </w:r>
    </w:p>
    <w:p w14:paraId="7D42D695" w14:textId="77777777" w:rsidR="00DE2E39" w:rsidRPr="00E16672" w:rsidRDefault="00765E37" w:rsidP="00022F5F">
      <w:pPr>
        <w:pStyle w:val="ae"/>
        <w:tabs>
          <w:tab w:val="left" w:pos="426"/>
        </w:tabs>
        <w:ind w:firstLine="540"/>
        <w:jc w:val="left"/>
        <w:rPr>
          <w:rFonts w:ascii="Times New Roman" w:hAnsi="Times New Roman"/>
          <w:color w:val="000000"/>
          <w:szCs w:val="20"/>
        </w:rPr>
      </w:pPr>
      <w:r w:rsidRPr="00E16672">
        <w:rPr>
          <w:rFonts w:ascii="Times New Roman" w:hAnsi="Times New Roman"/>
          <w:color w:val="000000"/>
          <w:szCs w:val="20"/>
        </w:rPr>
        <w:t xml:space="preserve">8.3. На виконання вимог Закону України </w:t>
      </w:r>
      <w:r w:rsidR="00022F5F">
        <w:rPr>
          <w:rFonts w:ascii="Times New Roman" w:hAnsi="Times New Roman"/>
          <w:color w:val="000000"/>
          <w:szCs w:val="20"/>
        </w:rPr>
        <w:t>"</w:t>
      </w:r>
      <w:r w:rsidRPr="00E16672">
        <w:rPr>
          <w:rFonts w:ascii="Times New Roman" w:hAnsi="Times New Roman"/>
          <w:color w:val="000000"/>
          <w:szCs w:val="20"/>
        </w:rPr>
        <w:t>Про захист персональних даних</w:t>
      </w:r>
      <w:r w:rsidR="00022F5F">
        <w:rPr>
          <w:rFonts w:ascii="Times New Roman" w:hAnsi="Times New Roman"/>
          <w:color w:val="000000"/>
          <w:szCs w:val="20"/>
        </w:rPr>
        <w:t>"</w:t>
      </w:r>
      <w:r w:rsidRPr="00E16672">
        <w:rPr>
          <w:rFonts w:ascii="Times New Roman" w:hAnsi="Times New Roman"/>
          <w:color w:val="000000"/>
          <w:szCs w:val="20"/>
        </w:rPr>
        <w:t xml:space="preserve"> у разі отримання Депозитарною установою інформації, яка стосується персональних даних фізичних осіб, Сторона, що надала такі дані підписанням цього Договору підтверджує легітимність їх отримання, та право на передання Депозитарній установі таких даних для використання (обробки) Депозитарною установою у випадках, передбачених законодавством, а також – передання Депозитарною установою таких даних третім особам у випадках, встановлених чинним законодавством України. </w:t>
      </w:r>
    </w:p>
    <w:p w14:paraId="082F13AF" w14:textId="77777777" w:rsidR="00765E37" w:rsidRPr="00E16672" w:rsidRDefault="00765E37" w:rsidP="00B7169F">
      <w:pPr>
        <w:pStyle w:val="ae"/>
        <w:tabs>
          <w:tab w:val="left" w:pos="426"/>
        </w:tabs>
        <w:ind w:firstLine="540"/>
        <w:rPr>
          <w:rFonts w:ascii="Times New Roman" w:hAnsi="Times New Roman"/>
          <w:color w:val="000000"/>
          <w:szCs w:val="20"/>
        </w:rPr>
      </w:pPr>
      <w:r w:rsidRPr="00E16672">
        <w:rPr>
          <w:rFonts w:ascii="Times New Roman" w:hAnsi="Times New Roman"/>
          <w:color w:val="000000"/>
          <w:szCs w:val="20"/>
        </w:rPr>
        <w:t>8.4. Додаткові угоди набирають чинності з моменту їх підписання та є невід’ємною частиною Договору.</w:t>
      </w:r>
    </w:p>
    <w:p w14:paraId="1112D64D" w14:textId="77777777" w:rsidR="00765E37" w:rsidRPr="00E16672" w:rsidRDefault="00765E37" w:rsidP="00765E37">
      <w:pPr>
        <w:ind w:firstLine="540"/>
        <w:rPr>
          <w:rFonts w:ascii="Times New Roman" w:hAnsi="Times New Roman"/>
          <w:color w:val="000000"/>
          <w:szCs w:val="20"/>
          <w:lang w:val="uk-UA"/>
        </w:rPr>
      </w:pPr>
      <w:r w:rsidRPr="00E16672">
        <w:rPr>
          <w:rFonts w:ascii="Times New Roman" w:hAnsi="Times New Roman"/>
          <w:color w:val="000000"/>
          <w:szCs w:val="20"/>
          <w:lang w:val="uk-UA"/>
        </w:rPr>
        <w:t>8.5. При виконанні даного Договору Сторони керуються умовами Договору</w:t>
      </w:r>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внутрішніх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документів</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Депозитарної</w:t>
      </w:r>
      <w:proofErr w:type="spellEnd"/>
      <w:r w:rsidRPr="00E16672">
        <w:rPr>
          <w:rFonts w:ascii="Times New Roman" w:hAnsi="Times New Roman"/>
          <w:color w:val="000000"/>
          <w:szCs w:val="20"/>
        </w:rPr>
        <w:t xml:space="preserve"> установи </w:t>
      </w:r>
      <w:r w:rsidRPr="00E16672">
        <w:rPr>
          <w:rFonts w:ascii="Times New Roman" w:hAnsi="Times New Roman"/>
          <w:color w:val="000000"/>
          <w:szCs w:val="20"/>
          <w:lang w:val="uk-UA"/>
        </w:rPr>
        <w:t>та законодавством України.</w:t>
      </w:r>
    </w:p>
    <w:p w14:paraId="1AB40484" w14:textId="77777777" w:rsidR="00765E37" w:rsidRPr="00E16672" w:rsidRDefault="00765E37" w:rsidP="00765E37">
      <w:pPr>
        <w:ind w:firstLine="540"/>
        <w:rPr>
          <w:rFonts w:ascii="Times New Roman" w:hAnsi="Times New Roman"/>
          <w:color w:val="000000"/>
          <w:szCs w:val="20"/>
          <w:lang w:val="uk-UA"/>
        </w:rPr>
      </w:pPr>
      <w:r w:rsidRPr="00E16672">
        <w:rPr>
          <w:rFonts w:ascii="Times New Roman" w:hAnsi="Times New Roman"/>
          <w:color w:val="000000"/>
          <w:szCs w:val="20"/>
          <w:lang w:val="uk-UA"/>
        </w:rPr>
        <w:t>86. Депонент бере на себе відповідальність за достовірність інформації, що міститься в документах, які подаються Депонентом Депозитарній установі, у тому числі документах, за якими Депозитарній установі Депонентом доручається проведення депозитарних операцій на рахунку Депонента.</w:t>
      </w:r>
    </w:p>
    <w:p w14:paraId="071E0CCE" w14:textId="77777777" w:rsidR="00765E37" w:rsidRPr="00E16672" w:rsidRDefault="00765E37" w:rsidP="00765E37">
      <w:pPr>
        <w:ind w:firstLine="540"/>
        <w:rPr>
          <w:rFonts w:ascii="Times New Roman" w:hAnsi="Times New Roman"/>
          <w:color w:val="000000"/>
          <w:szCs w:val="20"/>
          <w:lang w:val="uk-UA"/>
        </w:rPr>
      </w:pPr>
      <w:r w:rsidRPr="00E16672">
        <w:rPr>
          <w:rFonts w:ascii="Times New Roman" w:hAnsi="Times New Roman"/>
          <w:color w:val="000000"/>
          <w:szCs w:val="20"/>
          <w:lang w:val="uk-UA"/>
        </w:rPr>
        <w:t>8.7. Укладення цього Договору не тягне за собою переходу прав на цінні папери та прав за цінними паперами Депонента до Депозитарної установи.</w:t>
      </w:r>
    </w:p>
    <w:p w14:paraId="26DDEDF0" w14:textId="77777777" w:rsidR="00765E37" w:rsidRPr="00E16672" w:rsidRDefault="00765E37" w:rsidP="00765E37">
      <w:pPr>
        <w:ind w:firstLine="540"/>
        <w:rPr>
          <w:rFonts w:ascii="Times New Roman" w:hAnsi="Times New Roman"/>
          <w:color w:val="000000"/>
          <w:szCs w:val="20"/>
        </w:rPr>
      </w:pPr>
      <w:r w:rsidRPr="00E16672">
        <w:rPr>
          <w:rFonts w:ascii="Times New Roman" w:hAnsi="Times New Roman"/>
          <w:color w:val="000000"/>
          <w:szCs w:val="20"/>
          <w:lang w:val="uk-UA"/>
        </w:rPr>
        <w:t>8.8. Закриття</w:t>
      </w:r>
      <w:r w:rsidRPr="00E16672">
        <w:rPr>
          <w:rFonts w:ascii="Times New Roman" w:hAnsi="Times New Roman"/>
          <w:szCs w:val="20"/>
          <w:lang w:val="uk-UA"/>
        </w:rPr>
        <w:t xml:space="preserve"> рахунків </w:t>
      </w:r>
      <w:r w:rsidR="00C22309" w:rsidRPr="00E16672">
        <w:rPr>
          <w:rFonts w:ascii="Times New Roman" w:hAnsi="Times New Roman"/>
          <w:szCs w:val="20"/>
          <w:lang w:val="uk-UA"/>
        </w:rPr>
        <w:t>в цін</w:t>
      </w:r>
      <w:r w:rsidRPr="00E16672">
        <w:rPr>
          <w:rFonts w:ascii="Times New Roman" w:hAnsi="Times New Roman"/>
          <w:szCs w:val="20"/>
          <w:lang w:val="uk-UA"/>
        </w:rPr>
        <w:t xml:space="preserve">них паперах відбувається за розпорядженням ініціатора депозитарної операції крім випадків, встановлених цим Договором та законом. </w:t>
      </w:r>
      <w:r w:rsidRPr="00E16672">
        <w:rPr>
          <w:rFonts w:ascii="Times New Roman" w:hAnsi="Times New Roman"/>
          <w:color w:val="000000"/>
          <w:szCs w:val="20"/>
          <w:lang w:val="uk-UA"/>
        </w:rPr>
        <w:t>О</w:t>
      </w:r>
      <w:proofErr w:type="spellStart"/>
      <w:r w:rsidRPr="00E16672">
        <w:rPr>
          <w:rFonts w:ascii="Times New Roman" w:hAnsi="Times New Roman"/>
          <w:color w:val="000000"/>
          <w:szCs w:val="20"/>
        </w:rPr>
        <w:t>бов’язковою</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умовою</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закриття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рахунку</w:t>
      </w:r>
      <w:proofErr w:type="spellEnd"/>
      <w:r w:rsidRPr="00E16672">
        <w:rPr>
          <w:rFonts w:ascii="Times New Roman" w:hAnsi="Times New Roman"/>
          <w:color w:val="000000"/>
          <w:szCs w:val="20"/>
        </w:rPr>
        <w:t xml:space="preserve"> в </w:t>
      </w:r>
      <w:proofErr w:type="spellStart"/>
      <w:r w:rsidRPr="00E16672">
        <w:rPr>
          <w:rFonts w:ascii="Times New Roman" w:hAnsi="Times New Roman"/>
          <w:color w:val="000000"/>
          <w:szCs w:val="20"/>
        </w:rPr>
        <w:t>цінних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паперах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має</w:t>
      </w:r>
      <w:proofErr w:type="spellEnd"/>
      <w:r w:rsidRPr="00E16672">
        <w:rPr>
          <w:rFonts w:ascii="Times New Roman" w:hAnsi="Times New Roman"/>
          <w:color w:val="000000"/>
          <w:szCs w:val="20"/>
        </w:rPr>
        <w:t xml:space="preserve"> бути </w:t>
      </w:r>
      <w:proofErr w:type="spellStart"/>
      <w:r w:rsidRPr="00E16672">
        <w:rPr>
          <w:rFonts w:ascii="Times New Roman" w:hAnsi="Times New Roman"/>
          <w:color w:val="000000"/>
          <w:szCs w:val="20"/>
        </w:rPr>
        <w:t>відсутність</w:t>
      </w:r>
      <w:proofErr w:type="spellEnd"/>
      <w:r w:rsidRPr="00E16672">
        <w:rPr>
          <w:rFonts w:ascii="Times New Roman" w:hAnsi="Times New Roman"/>
          <w:color w:val="000000"/>
          <w:szCs w:val="20"/>
        </w:rPr>
        <w:t xml:space="preserve"> в </w:t>
      </w:r>
      <w:proofErr w:type="spellStart"/>
      <w:r w:rsidRPr="00E16672">
        <w:rPr>
          <w:rFonts w:ascii="Times New Roman" w:hAnsi="Times New Roman"/>
          <w:color w:val="000000"/>
          <w:szCs w:val="20"/>
        </w:rPr>
        <w:t>облік</w:t>
      </w:r>
      <w:r w:rsidR="00C22309" w:rsidRPr="00E16672">
        <w:rPr>
          <w:rFonts w:ascii="Times New Roman" w:hAnsi="Times New Roman"/>
          <w:color w:val="000000"/>
          <w:szCs w:val="20"/>
        </w:rPr>
        <w:t>в</w:t>
      </w:r>
      <w:proofErr w:type="spellEnd"/>
      <w:r w:rsidR="00C22309" w:rsidRPr="00E16672">
        <w:rPr>
          <w:rFonts w:ascii="Times New Roman" w:hAnsi="Times New Roman"/>
          <w:color w:val="000000"/>
          <w:szCs w:val="20"/>
        </w:rPr>
        <w:t xml:space="preserve"> </w:t>
      </w:r>
      <w:proofErr w:type="spellStart"/>
      <w:r w:rsidR="00C22309" w:rsidRPr="00E16672">
        <w:rPr>
          <w:rFonts w:ascii="Times New Roman" w:hAnsi="Times New Roman"/>
          <w:color w:val="000000"/>
          <w:szCs w:val="20"/>
        </w:rPr>
        <w:t>цін</w:t>
      </w:r>
      <w:r w:rsidRPr="00E16672">
        <w:rPr>
          <w:rFonts w:ascii="Times New Roman" w:hAnsi="Times New Roman"/>
          <w:color w:val="000000"/>
          <w:szCs w:val="20"/>
        </w:rPr>
        <w:t>них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паперів</w:t>
      </w:r>
      <w:proofErr w:type="spellEnd"/>
      <w:r w:rsidRPr="00E16672">
        <w:rPr>
          <w:rFonts w:ascii="Times New Roman" w:hAnsi="Times New Roman"/>
          <w:color w:val="000000"/>
          <w:szCs w:val="20"/>
        </w:rPr>
        <w:t xml:space="preserve">, прав на </w:t>
      </w:r>
      <w:proofErr w:type="spellStart"/>
      <w:r w:rsidRPr="00E16672">
        <w:rPr>
          <w:rFonts w:ascii="Times New Roman" w:hAnsi="Times New Roman"/>
          <w:color w:val="000000"/>
          <w:szCs w:val="20"/>
        </w:rPr>
        <w:t>цінні</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папери</w:t>
      </w:r>
      <w:proofErr w:type="spellEnd"/>
      <w:r w:rsidRPr="00E16672">
        <w:rPr>
          <w:rFonts w:ascii="Times New Roman" w:hAnsi="Times New Roman"/>
          <w:color w:val="000000"/>
          <w:szCs w:val="20"/>
        </w:rPr>
        <w:t>.</w:t>
      </w:r>
    </w:p>
    <w:p w14:paraId="2AFDE562" w14:textId="77777777" w:rsidR="00765E37" w:rsidRPr="00E16672" w:rsidRDefault="00765E37" w:rsidP="00765E37">
      <w:pPr>
        <w:pStyle w:val="32"/>
        <w:ind w:firstLine="540"/>
        <w:rPr>
          <w:rFonts w:ascii="Times New Roman" w:hAnsi="Times New Roman"/>
          <w:sz w:val="20"/>
          <w:lang w:val="uk-UA"/>
        </w:rPr>
      </w:pPr>
      <w:r w:rsidRPr="00E16672">
        <w:rPr>
          <w:rFonts w:ascii="Times New Roman" w:hAnsi="Times New Roman"/>
          <w:sz w:val="20"/>
          <w:lang w:val="uk-UA"/>
        </w:rPr>
        <w:t>8.10. Інші питання, які не регулюються положеннями цього Договору, регулюються чинним законодавством України та внутрішніми документами Депозитарної установи.</w:t>
      </w:r>
    </w:p>
    <w:p w14:paraId="6955A83B" w14:textId="77777777" w:rsidR="00765E37" w:rsidRPr="00E16672" w:rsidRDefault="00765E37" w:rsidP="00765E37">
      <w:pPr>
        <w:pStyle w:val="32"/>
        <w:ind w:firstLine="540"/>
        <w:rPr>
          <w:rFonts w:ascii="Times New Roman" w:hAnsi="Times New Roman"/>
          <w:sz w:val="20"/>
          <w:lang w:val="uk-UA"/>
        </w:rPr>
      </w:pPr>
    </w:p>
    <w:p w14:paraId="1623D227" w14:textId="77777777" w:rsidR="00765E37" w:rsidRPr="00E16672" w:rsidRDefault="00765E37" w:rsidP="00765E37">
      <w:pPr>
        <w:jc w:val="center"/>
        <w:rPr>
          <w:rFonts w:ascii="Times New Roman" w:hAnsi="Times New Roman"/>
          <w:b/>
          <w:bCs/>
          <w:szCs w:val="20"/>
          <w:lang w:val="uk-UA"/>
        </w:rPr>
      </w:pPr>
      <w:r w:rsidRPr="00E16672">
        <w:rPr>
          <w:rFonts w:ascii="Times New Roman" w:hAnsi="Times New Roman"/>
          <w:b/>
          <w:bCs/>
          <w:szCs w:val="20"/>
          <w:lang w:val="uk-UA"/>
        </w:rPr>
        <w:t>9. Форс-мажор</w:t>
      </w:r>
    </w:p>
    <w:p w14:paraId="7741D92A" w14:textId="77777777" w:rsidR="00765E37" w:rsidRPr="00E16672" w:rsidRDefault="00765E37" w:rsidP="00765E37">
      <w:pPr>
        <w:rPr>
          <w:rFonts w:ascii="Times New Roman" w:hAnsi="Times New Roman"/>
          <w:szCs w:val="20"/>
          <w:lang w:val="uk-UA"/>
        </w:rPr>
      </w:pPr>
      <w:r w:rsidRPr="00E16672">
        <w:rPr>
          <w:rFonts w:ascii="Times New Roman" w:hAnsi="Times New Roman"/>
          <w:szCs w:val="20"/>
          <w:lang w:val="uk-UA"/>
        </w:rPr>
        <w:t>9.1. Сторони звільняються від відповідальності за часткове або повне невиконання зобов’язань по цьому Договору, якщо це виконання унеможливив вплив обставин непереборної сили, тобто надзвичайних і невідворотних за даних умов подій: стихійного лиха, аварії, пожежі, вихід із ладу мереж зв’язку та системи електропостачання, масових порушень правопорядку, страйків, військових дій, протиправних дій третіх осіб (крім дій працівників Сторони) чи інших обставин, що виникли після підписання Договору та не залежать від волевиявлення Сторін. Не є непереборною силою недодержання своїх обов’язків іншими контрагентами однієї зі Сторін чи відсутність у Сторони достатніх коштів.</w:t>
      </w:r>
    </w:p>
    <w:p w14:paraId="34350689" w14:textId="77777777" w:rsidR="00765E37" w:rsidRPr="00E16672" w:rsidRDefault="00765E37" w:rsidP="00765E37">
      <w:pPr>
        <w:rPr>
          <w:rFonts w:ascii="Times New Roman" w:hAnsi="Times New Roman"/>
          <w:color w:val="000000"/>
          <w:szCs w:val="20"/>
          <w:lang w:val="uk-UA"/>
        </w:rPr>
      </w:pPr>
      <w:r w:rsidRPr="00E16672">
        <w:rPr>
          <w:rFonts w:ascii="Times New Roman" w:hAnsi="Times New Roman"/>
          <w:szCs w:val="20"/>
        </w:rPr>
        <w:t>9</w:t>
      </w:r>
      <w:r w:rsidRPr="00E16672">
        <w:rPr>
          <w:rFonts w:ascii="Times New Roman" w:hAnsi="Times New Roman"/>
          <w:szCs w:val="20"/>
          <w:lang w:val="uk-UA"/>
        </w:rPr>
        <w:t xml:space="preserve">.2. У випадку виникнення обставин непереборної сили термін виконання Сторонами обов`язків по цьому Договору </w:t>
      </w:r>
      <w:r w:rsidRPr="00E16672">
        <w:rPr>
          <w:rFonts w:ascii="Times New Roman" w:hAnsi="Times New Roman"/>
          <w:color w:val="000000"/>
          <w:szCs w:val="20"/>
          <w:lang w:val="uk-UA"/>
        </w:rPr>
        <w:t>відкладається на термін, протягом якого діють такі обставини та їх наслідки.</w:t>
      </w:r>
    </w:p>
    <w:p w14:paraId="71488D5C" w14:textId="77777777" w:rsidR="00765E37" w:rsidRPr="00E16672" w:rsidRDefault="00765E37" w:rsidP="00765E37">
      <w:pPr>
        <w:rPr>
          <w:rFonts w:ascii="Times New Roman" w:hAnsi="Times New Roman"/>
          <w:color w:val="000000"/>
          <w:szCs w:val="20"/>
          <w:lang w:val="uk-UA"/>
        </w:rPr>
      </w:pPr>
      <w:r w:rsidRPr="00E16672">
        <w:rPr>
          <w:rFonts w:ascii="Times New Roman" w:hAnsi="Times New Roman"/>
          <w:color w:val="000000"/>
          <w:szCs w:val="20"/>
        </w:rPr>
        <w:t>9</w:t>
      </w:r>
      <w:r w:rsidRPr="00E16672">
        <w:rPr>
          <w:rFonts w:ascii="Times New Roman" w:hAnsi="Times New Roman"/>
          <w:color w:val="000000"/>
          <w:szCs w:val="20"/>
          <w:lang w:val="uk-UA"/>
        </w:rPr>
        <w:t xml:space="preserve">.3. Сторони зобов`язуються після настання форс-мажорних обставин вжити всі заходи для ліквідації наслідків та виконання умов Договору. </w:t>
      </w:r>
    </w:p>
    <w:p w14:paraId="0763E93A" w14:textId="77777777" w:rsidR="00765E37" w:rsidRPr="00E16672" w:rsidRDefault="00765E37" w:rsidP="00765E37">
      <w:pPr>
        <w:pStyle w:val="210"/>
        <w:snapToGrid w:val="0"/>
        <w:ind w:firstLine="540"/>
        <w:rPr>
          <w:rFonts w:ascii="Times New Roman" w:hAnsi="Times New Roman"/>
          <w:color w:val="000000"/>
          <w:sz w:val="20"/>
          <w:szCs w:val="20"/>
        </w:rPr>
      </w:pPr>
      <w:r w:rsidRPr="00E16672">
        <w:rPr>
          <w:rFonts w:ascii="Times New Roman" w:hAnsi="Times New Roman"/>
          <w:color w:val="000000"/>
          <w:sz w:val="20"/>
          <w:szCs w:val="20"/>
        </w:rPr>
        <w:t xml:space="preserve">9.4. Кожна Сторона зобов’язана письмово підтвердити факт виникнення Форс-мажорних обставин іншій Стороні протягом </w:t>
      </w:r>
      <w:r w:rsidRPr="00E16672">
        <w:rPr>
          <w:rFonts w:ascii="Times New Roman" w:hAnsi="Times New Roman"/>
          <w:i/>
          <w:iCs/>
          <w:color w:val="000000"/>
          <w:sz w:val="20"/>
          <w:szCs w:val="20"/>
          <w:lang w:val="ru-RU"/>
        </w:rPr>
        <w:t>десяти</w:t>
      </w:r>
      <w:r w:rsidRPr="00E16672">
        <w:rPr>
          <w:rFonts w:ascii="Times New Roman" w:hAnsi="Times New Roman"/>
          <w:color w:val="000000"/>
          <w:sz w:val="20"/>
          <w:szCs w:val="20"/>
        </w:rPr>
        <w:t xml:space="preserve"> днів після їх виникнення.</w:t>
      </w:r>
    </w:p>
    <w:p w14:paraId="1EF711A4" w14:textId="77777777" w:rsidR="00765E37" w:rsidRPr="00E16672" w:rsidRDefault="00765E37" w:rsidP="00765E37">
      <w:pPr>
        <w:rPr>
          <w:rFonts w:ascii="Times New Roman" w:hAnsi="Times New Roman"/>
          <w:color w:val="000000"/>
          <w:szCs w:val="20"/>
          <w:lang w:val="uk-UA"/>
        </w:rPr>
      </w:pPr>
      <w:r w:rsidRPr="00E16672">
        <w:rPr>
          <w:rFonts w:ascii="Times New Roman" w:hAnsi="Times New Roman"/>
          <w:color w:val="000000"/>
          <w:szCs w:val="20"/>
          <w:lang w:val="uk-UA"/>
        </w:rPr>
        <w:t xml:space="preserve">9.5. Форс-мажорна ситуація між Сторонами розглядається тільки за умови сповіщення протилежної сторони в письмовій формі із зазначенням обставин, що виникли.   </w:t>
      </w:r>
    </w:p>
    <w:p w14:paraId="076C8391" w14:textId="77777777" w:rsidR="00765E37" w:rsidRPr="00E16672" w:rsidRDefault="00765E37" w:rsidP="00765E37">
      <w:pPr>
        <w:pStyle w:val="32"/>
        <w:ind w:firstLine="0"/>
        <w:rPr>
          <w:rFonts w:ascii="Times New Roman" w:hAnsi="Times New Roman"/>
          <w:color w:val="000000"/>
          <w:sz w:val="20"/>
          <w:lang w:val="uk-UA"/>
        </w:rPr>
      </w:pPr>
    </w:p>
    <w:p w14:paraId="690013FC" w14:textId="77777777" w:rsidR="00765E37" w:rsidRPr="00E16672" w:rsidRDefault="00765E37" w:rsidP="00765E37">
      <w:pPr>
        <w:pStyle w:val="33"/>
        <w:tabs>
          <w:tab w:val="left" w:pos="851"/>
        </w:tabs>
        <w:ind w:firstLine="540"/>
        <w:jc w:val="center"/>
        <w:rPr>
          <w:rFonts w:ascii="Times New Roman" w:hAnsi="Times New Roman" w:cs="Times New Roman"/>
          <w:b/>
          <w:bCs/>
          <w:lang w:val="uk-UA"/>
        </w:rPr>
      </w:pPr>
      <w:r w:rsidRPr="00E16672">
        <w:rPr>
          <w:rFonts w:ascii="Times New Roman" w:hAnsi="Times New Roman" w:cs="Times New Roman"/>
          <w:b/>
          <w:bCs/>
          <w:lang w:val="uk-UA"/>
        </w:rPr>
        <w:t>1</w:t>
      </w:r>
      <w:r w:rsidR="00577C78" w:rsidRPr="00E16672">
        <w:rPr>
          <w:rFonts w:ascii="Times New Roman" w:hAnsi="Times New Roman" w:cs="Times New Roman"/>
          <w:b/>
          <w:bCs/>
          <w:lang w:val="uk-UA"/>
        </w:rPr>
        <w:t>0</w:t>
      </w:r>
      <w:r w:rsidRPr="00E16672">
        <w:rPr>
          <w:rFonts w:ascii="Times New Roman" w:hAnsi="Times New Roman" w:cs="Times New Roman"/>
          <w:b/>
          <w:bCs/>
          <w:lang w:val="uk-UA"/>
        </w:rPr>
        <w:t>. Про визнання кваліфікованого електронного підпису</w:t>
      </w:r>
    </w:p>
    <w:p w14:paraId="430BA13C" w14:textId="77777777" w:rsidR="00765E37" w:rsidRPr="00E16672" w:rsidRDefault="00765E37" w:rsidP="00765E37">
      <w:pPr>
        <w:pStyle w:val="33"/>
        <w:tabs>
          <w:tab w:val="left" w:pos="851"/>
        </w:tabs>
        <w:ind w:firstLine="540"/>
        <w:rPr>
          <w:rFonts w:ascii="Times New Roman" w:hAnsi="Times New Roman" w:cs="Times New Roman"/>
          <w:strike/>
          <w:color w:val="000000"/>
          <w:kern w:val="20"/>
          <w:lang w:val="uk-UA"/>
        </w:rPr>
      </w:pPr>
      <w:r w:rsidRPr="00E16672">
        <w:rPr>
          <w:rFonts w:ascii="Times New Roman" w:hAnsi="Times New Roman" w:cs="Times New Roman"/>
          <w:color w:val="000000"/>
          <w:lang w:val="uk-UA"/>
        </w:rPr>
        <w:t>1</w:t>
      </w:r>
      <w:r w:rsidR="00577C78" w:rsidRPr="00E16672">
        <w:rPr>
          <w:rFonts w:ascii="Times New Roman" w:hAnsi="Times New Roman" w:cs="Times New Roman"/>
          <w:color w:val="000000"/>
          <w:lang w:val="uk-UA"/>
        </w:rPr>
        <w:t>0</w:t>
      </w:r>
      <w:r w:rsidRPr="00E16672">
        <w:rPr>
          <w:rFonts w:ascii="Times New Roman" w:hAnsi="Times New Roman" w:cs="Times New Roman"/>
          <w:color w:val="000000"/>
          <w:lang w:val="uk-UA"/>
        </w:rPr>
        <w:t xml:space="preserve">.1. </w:t>
      </w:r>
      <w:r w:rsidRPr="00E16672">
        <w:rPr>
          <w:rFonts w:ascii="Times New Roman" w:hAnsi="Times New Roman" w:cs="Times New Roman"/>
          <w:lang w:val="uk-UA"/>
        </w:rPr>
        <w:t xml:space="preserve">В ході виконання договору Сторони можуть обмінюватися електронними документами, які засвідчуються за допомогою кваліфікованого електронного підпису </w:t>
      </w:r>
      <w:proofErr w:type="spellStart"/>
      <w:r w:rsidRPr="00E16672">
        <w:rPr>
          <w:rFonts w:ascii="Times New Roman" w:hAnsi="Times New Roman" w:cs="Times New Roman"/>
          <w:lang w:eastAsia="ru-RU"/>
        </w:rPr>
        <w:t>відповідно</w:t>
      </w:r>
      <w:proofErr w:type="spellEnd"/>
      <w:r w:rsidRPr="00E16672">
        <w:rPr>
          <w:rFonts w:ascii="Times New Roman" w:hAnsi="Times New Roman" w:cs="Times New Roman"/>
          <w:lang w:eastAsia="ru-RU"/>
        </w:rPr>
        <w:t xml:space="preserve"> до </w:t>
      </w:r>
      <w:proofErr w:type="spellStart"/>
      <w:r w:rsidRPr="00E16672">
        <w:rPr>
          <w:rFonts w:ascii="Times New Roman" w:hAnsi="Times New Roman" w:cs="Times New Roman"/>
          <w:lang w:eastAsia="ru-RU"/>
        </w:rPr>
        <w:t>вимог</w:t>
      </w:r>
      <w:proofErr w:type="spellEnd"/>
      <w:r w:rsidRPr="00E16672">
        <w:rPr>
          <w:rFonts w:ascii="Times New Roman" w:hAnsi="Times New Roman" w:cs="Times New Roman"/>
          <w:lang w:eastAsia="ru-RU"/>
        </w:rPr>
        <w:t xml:space="preserve"> </w:t>
      </w:r>
      <w:proofErr w:type="spellStart"/>
      <w:r w:rsidRPr="00E16672">
        <w:rPr>
          <w:rFonts w:ascii="Times New Roman" w:hAnsi="Times New Roman" w:cs="Times New Roman"/>
          <w:lang w:eastAsia="ru-RU"/>
        </w:rPr>
        <w:t>законодавства</w:t>
      </w:r>
      <w:proofErr w:type="spellEnd"/>
      <w:r w:rsidRPr="00E16672">
        <w:rPr>
          <w:rFonts w:ascii="Times New Roman" w:hAnsi="Times New Roman" w:cs="Times New Roman"/>
          <w:lang w:eastAsia="ru-RU"/>
        </w:rPr>
        <w:t xml:space="preserve"> у </w:t>
      </w:r>
      <w:proofErr w:type="spellStart"/>
      <w:r w:rsidRPr="00E16672">
        <w:rPr>
          <w:rFonts w:ascii="Times New Roman" w:hAnsi="Times New Roman" w:cs="Times New Roman"/>
          <w:lang w:eastAsia="ru-RU"/>
        </w:rPr>
        <w:t>сфері</w:t>
      </w:r>
      <w:proofErr w:type="spellEnd"/>
      <w:r w:rsidRPr="00E16672">
        <w:rPr>
          <w:rFonts w:ascii="Times New Roman" w:hAnsi="Times New Roman" w:cs="Times New Roman"/>
          <w:lang w:eastAsia="ru-RU"/>
        </w:rPr>
        <w:t xml:space="preserve"> </w:t>
      </w:r>
      <w:proofErr w:type="spellStart"/>
      <w:r w:rsidRPr="00E16672">
        <w:rPr>
          <w:rFonts w:ascii="Times New Roman" w:hAnsi="Times New Roman" w:cs="Times New Roman"/>
          <w:lang w:eastAsia="ru-RU"/>
        </w:rPr>
        <w:t>електронного</w:t>
      </w:r>
      <w:proofErr w:type="spellEnd"/>
      <w:r w:rsidRPr="00E16672">
        <w:rPr>
          <w:rFonts w:ascii="Times New Roman" w:hAnsi="Times New Roman" w:cs="Times New Roman"/>
          <w:lang w:eastAsia="ru-RU"/>
        </w:rPr>
        <w:t xml:space="preserve"> </w:t>
      </w:r>
      <w:proofErr w:type="spellStart"/>
      <w:r w:rsidRPr="00E16672">
        <w:rPr>
          <w:rFonts w:ascii="Times New Roman" w:hAnsi="Times New Roman" w:cs="Times New Roman"/>
          <w:lang w:eastAsia="ru-RU"/>
        </w:rPr>
        <w:t>документообігу</w:t>
      </w:r>
      <w:proofErr w:type="spellEnd"/>
      <w:r w:rsidRPr="00E16672">
        <w:rPr>
          <w:rFonts w:ascii="Times New Roman" w:hAnsi="Times New Roman" w:cs="Times New Roman"/>
          <w:lang w:eastAsia="ru-RU"/>
        </w:rPr>
        <w:t xml:space="preserve"> та </w:t>
      </w:r>
      <w:proofErr w:type="spellStart"/>
      <w:r w:rsidRPr="00E16672">
        <w:rPr>
          <w:rFonts w:ascii="Times New Roman" w:hAnsi="Times New Roman" w:cs="Times New Roman"/>
          <w:lang w:eastAsia="ru-RU"/>
        </w:rPr>
        <w:t>електронних</w:t>
      </w:r>
      <w:proofErr w:type="spellEnd"/>
      <w:r w:rsidRPr="00E16672">
        <w:rPr>
          <w:rFonts w:ascii="Times New Roman" w:hAnsi="Times New Roman" w:cs="Times New Roman"/>
          <w:lang w:eastAsia="ru-RU"/>
        </w:rPr>
        <w:t xml:space="preserve"> </w:t>
      </w:r>
      <w:proofErr w:type="spellStart"/>
      <w:r w:rsidRPr="00E16672">
        <w:rPr>
          <w:rFonts w:ascii="Times New Roman" w:hAnsi="Times New Roman" w:cs="Times New Roman"/>
          <w:lang w:eastAsia="ru-RU"/>
        </w:rPr>
        <w:t>довірчих</w:t>
      </w:r>
      <w:proofErr w:type="spellEnd"/>
      <w:r w:rsidRPr="00E16672">
        <w:rPr>
          <w:rFonts w:ascii="Times New Roman" w:hAnsi="Times New Roman" w:cs="Times New Roman"/>
          <w:lang w:eastAsia="ru-RU"/>
        </w:rPr>
        <w:t xml:space="preserve"> </w:t>
      </w:r>
      <w:proofErr w:type="spellStart"/>
      <w:r w:rsidRPr="00E16672">
        <w:rPr>
          <w:rFonts w:ascii="Times New Roman" w:hAnsi="Times New Roman" w:cs="Times New Roman"/>
          <w:lang w:eastAsia="ru-RU"/>
        </w:rPr>
        <w:t>послуг</w:t>
      </w:r>
      <w:proofErr w:type="spellEnd"/>
      <w:r w:rsidRPr="00E16672">
        <w:rPr>
          <w:rFonts w:ascii="Times New Roman" w:hAnsi="Times New Roman" w:cs="Times New Roman"/>
          <w:lang w:val="uk-UA"/>
        </w:rPr>
        <w:t>.</w:t>
      </w:r>
    </w:p>
    <w:p w14:paraId="303549D9" w14:textId="77777777" w:rsidR="00765E37" w:rsidRPr="00E16672" w:rsidRDefault="00765E37" w:rsidP="00765E37">
      <w:pPr>
        <w:pStyle w:val="33"/>
        <w:tabs>
          <w:tab w:val="left" w:pos="851"/>
        </w:tabs>
        <w:ind w:firstLine="540"/>
        <w:rPr>
          <w:rFonts w:ascii="Times New Roman" w:hAnsi="Times New Roman" w:cs="Times New Roman"/>
          <w:lang w:val="uk-UA"/>
        </w:rPr>
      </w:pPr>
      <w:r w:rsidRPr="00E16672">
        <w:rPr>
          <w:rFonts w:ascii="Times New Roman" w:hAnsi="Times New Roman" w:cs="Times New Roman"/>
          <w:color w:val="000000"/>
          <w:lang w:val="uk-UA"/>
        </w:rPr>
        <w:t>1</w:t>
      </w:r>
      <w:r w:rsidR="00577C78" w:rsidRPr="00E16672">
        <w:rPr>
          <w:rFonts w:ascii="Times New Roman" w:hAnsi="Times New Roman" w:cs="Times New Roman"/>
          <w:color w:val="000000"/>
          <w:lang w:val="uk-UA"/>
        </w:rPr>
        <w:t>0</w:t>
      </w:r>
      <w:r w:rsidRPr="00E16672">
        <w:rPr>
          <w:rFonts w:ascii="Times New Roman" w:hAnsi="Times New Roman" w:cs="Times New Roman"/>
          <w:color w:val="000000"/>
          <w:lang w:val="uk-UA"/>
        </w:rPr>
        <w:t>.2 При виконанні ц</w:t>
      </w:r>
      <w:r w:rsidRPr="00E16672">
        <w:rPr>
          <w:rFonts w:ascii="Times New Roman" w:hAnsi="Times New Roman" w:cs="Times New Roman"/>
          <w:lang w:val="uk-UA"/>
        </w:rPr>
        <w:t xml:space="preserve">ього Договору кожна Сторона може виступати як </w:t>
      </w:r>
      <w:proofErr w:type="spellStart"/>
      <w:r w:rsidRPr="00E16672">
        <w:rPr>
          <w:rFonts w:ascii="Times New Roman" w:hAnsi="Times New Roman" w:cs="Times New Roman"/>
          <w:lang w:val="uk-UA"/>
        </w:rPr>
        <w:t>підписувачем</w:t>
      </w:r>
      <w:proofErr w:type="spellEnd"/>
      <w:r w:rsidRPr="00E16672">
        <w:rPr>
          <w:rFonts w:ascii="Times New Roman" w:hAnsi="Times New Roman" w:cs="Times New Roman"/>
          <w:lang w:val="uk-UA"/>
        </w:rPr>
        <w:t>, так і адресатом електронних документів.</w:t>
      </w:r>
    </w:p>
    <w:p w14:paraId="075ED583" w14:textId="77777777" w:rsidR="00765E37" w:rsidRPr="00E16672" w:rsidRDefault="00765E37" w:rsidP="00765E37">
      <w:pPr>
        <w:pStyle w:val="33"/>
        <w:tabs>
          <w:tab w:val="left" w:pos="851"/>
        </w:tabs>
        <w:ind w:firstLine="540"/>
        <w:rPr>
          <w:rFonts w:ascii="Times New Roman" w:hAnsi="Times New Roman" w:cs="Times New Roman"/>
          <w:lang w:val="uk-UA"/>
        </w:rPr>
      </w:pPr>
      <w:r w:rsidRPr="00E16672">
        <w:rPr>
          <w:rFonts w:ascii="Times New Roman" w:hAnsi="Times New Roman" w:cs="Times New Roman"/>
          <w:lang w:val="uk-UA"/>
        </w:rPr>
        <w:t>1</w:t>
      </w:r>
      <w:r w:rsidR="00577C78" w:rsidRPr="00E16672">
        <w:rPr>
          <w:rFonts w:ascii="Times New Roman" w:hAnsi="Times New Roman" w:cs="Times New Roman"/>
          <w:lang w:val="uk-UA"/>
        </w:rPr>
        <w:t>0</w:t>
      </w:r>
      <w:r w:rsidRPr="00E16672">
        <w:rPr>
          <w:rFonts w:ascii="Times New Roman" w:hAnsi="Times New Roman" w:cs="Times New Roman"/>
          <w:lang w:val="uk-UA"/>
        </w:rPr>
        <w:t>.3 Електронний документ - документ, інформація в якому зафіксована у вигляді електронних даних, включаючи обов'язкові реквізити документа, в тому числі кваліфікований</w:t>
      </w:r>
      <w:r w:rsidRPr="00E16672" w:rsidDel="00047AE1">
        <w:rPr>
          <w:rFonts w:ascii="Times New Roman" w:hAnsi="Times New Roman" w:cs="Times New Roman"/>
          <w:lang w:val="uk-UA"/>
        </w:rPr>
        <w:t xml:space="preserve"> </w:t>
      </w:r>
      <w:r w:rsidRPr="00E16672">
        <w:rPr>
          <w:rFonts w:ascii="Times New Roman" w:hAnsi="Times New Roman" w:cs="Times New Roman"/>
          <w:lang w:val="uk-UA"/>
        </w:rPr>
        <w:t>електронний підпис.</w:t>
      </w:r>
    </w:p>
    <w:p w14:paraId="5C31C799" w14:textId="77777777" w:rsidR="00765E37" w:rsidRPr="00E16672" w:rsidRDefault="00765E37" w:rsidP="00765E37">
      <w:pPr>
        <w:pStyle w:val="33"/>
        <w:tabs>
          <w:tab w:val="left" w:pos="851"/>
        </w:tabs>
        <w:ind w:firstLine="540"/>
        <w:rPr>
          <w:rFonts w:ascii="Times New Roman" w:hAnsi="Times New Roman" w:cs="Times New Roman"/>
          <w:lang w:val="uk-UA"/>
        </w:rPr>
      </w:pPr>
      <w:r w:rsidRPr="00E16672">
        <w:rPr>
          <w:rFonts w:ascii="Times New Roman" w:hAnsi="Times New Roman" w:cs="Times New Roman"/>
          <w:lang w:val="uk-UA"/>
        </w:rPr>
        <w:t>1</w:t>
      </w:r>
      <w:r w:rsidR="00577C78" w:rsidRPr="00E16672">
        <w:rPr>
          <w:rFonts w:ascii="Times New Roman" w:hAnsi="Times New Roman" w:cs="Times New Roman"/>
          <w:lang w:val="uk-UA"/>
        </w:rPr>
        <w:t>0</w:t>
      </w:r>
      <w:r w:rsidRPr="00E16672">
        <w:rPr>
          <w:rFonts w:ascii="Times New Roman" w:hAnsi="Times New Roman" w:cs="Times New Roman"/>
          <w:lang w:val="uk-UA"/>
        </w:rPr>
        <w:t>.4 Кваліфікований</w:t>
      </w:r>
      <w:r w:rsidRPr="00E16672" w:rsidDel="00047AE1">
        <w:rPr>
          <w:rFonts w:ascii="Times New Roman" w:hAnsi="Times New Roman" w:cs="Times New Roman"/>
          <w:lang w:val="uk-UA"/>
        </w:rPr>
        <w:t xml:space="preserve"> </w:t>
      </w:r>
      <w:r w:rsidRPr="00E16672">
        <w:rPr>
          <w:rFonts w:ascii="Times New Roman" w:hAnsi="Times New Roman" w:cs="Times New Roman"/>
          <w:lang w:val="uk-UA"/>
        </w:rPr>
        <w:t xml:space="preserve">електронний підпис -  </w:t>
      </w:r>
      <w:r w:rsidRPr="00E16672">
        <w:rPr>
          <w:rStyle w:val="rvts0"/>
          <w:rFonts w:ascii="Times New Roman" w:hAnsi="Times New Roman" w:cs="Times New Roman"/>
          <w:lang w:val="uk-UA"/>
        </w:rPr>
        <w:t xml:space="preserve">удосконалений електронний підпис, який створюється з використанням засобу кваліфікованого електронного підпису, а саме </w:t>
      </w:r>
      <w:r w:rsidRPr="00E16672">
        <w:rPr>
          <w:rFonts w:ascii="Times New Roman" w:hAnsi="Times New Roman" w:cs="Times New Roman"/>
          <w:lang w:val="uk-UA"/>
        </w:rPr>
        <w:t>за допомогою системи криптографічного захисту інформації Акредитованого Центру Сертифікації ключів,</w:t>
      </w:r>
      <w:r w:rsidRPr="00E16672">
        <w:rPr>
          <w:rStyle w:val="rvts0"/>
          <w:rFonts w:ascii="Times New Roman" w:hAnsi="Times New Roman" w:cs="Times New Roman"/>
          <w:lang w:val="uk-UA"/>
        </w:rPr>
        <w:t xml:space="preserve"> і базується на кваліфікованому сертифікаті відкритого ключа</w:t>
      </w:r>
      <w:r w:rsidRPr="00E16672">
        <w:rPr>
          <w:rFonts w:ascii="Times New Roman" w:hAnsi="Times New Roman" w:cs="Times New Roman"/>
          <w:lang w:val="uk-UA"/>
        </w:rPr>
        <w:t>. Кваліфікований</w:t>
      </w:r>
      <w:r w:rsidRPr="00E16672" w:rsidDel="00047AE1">
        <w:rPr>
          <w:rFonts w:ascii="Times New Roman" w:hAnsi="Times New Roman" w:cs="Times New Roman"/>
          <w:lang w:val="uk-UA"/>
        </w:rPr>
        <w:t xml:space="preserve"> </w:t>
      </w:r>
      <w:r w:rsidRPr="00E16672">
        <w:rPr>
          <w:rFonts w:ascii="Times New Roman" w:hAnsi="Times New Roman" w:cs="Times New Roman"/>
          <w:lang w:val="uk-UA"/>
        </w:rPr>
        <w:t xml:space="preserve">електронний підпис є обов'язковим реквізитом електронного документа та використовується для ідентифікації </w:t>
      </w:r>
      <w:r w:rsidR="006F5763" w:rsidRPr="00E16672">
        <w:rPr>
          <w:rFonts w:ascii="Times New Roman" w:hAnsi="Times New Roman" w:cs="Times New Roman"/>
          <w:lang w:val="uk-UA"/>
        </w:rPr>
        <w:t xml:space="preserve">адресатом </w:t>
      </w:r>
      <w:proofErr w:type="spellStart"/>
      <w:r w:rsidRPr="00E16672">
        <w:rPr>
          <w:rFonts w:ascii="Times New Roman" w:hAnsi="Times New Roman" w:cs="Times New Roman"/>
          <w:lang w:val="uk-UA"/>
        </w:rPr>
        <w:t>підписувача</w:t>
      </w:r>
      <w:proofErr w:type="spellEnd"/>
      <w:r w:rsidRPr="00E16672">
        <w:rPr>
          <w:rFonts w:ascii="Times New Roman" w:hAnsi="Times New Roman" w:cs="Times New Roman"/>
          <w:lang w:val="uk-UA"/>
        </w:rPr>
        <w:t xml:space="preserve"> електронного документа.</w:t>
      </w:r>
    </w:p>
    <w:p w14:paraId="7CC31D95" w14:textId="77777777" w:rsidR="00765E37" w:rsidRPr="00E16672" w:rsidRDefault="00765E37" w:rsidP="00765E37">
      <w:pPr>
        <w:pStyle w:val="33"/>
        <w:tabs>
          <w:tab w:val="left" w:pos="851"/>
        </w:tabs>
        <w:ind w:firstLine="540"/>
        <w:rPr>
          <w:rFonts w:ascii="Times New Roman" w:hAnsi="Times New Roman" w:cs="Times New Roman"/>
          <w:lang w:val="uk-UA"/>
        </w:rPr>
      </w:pPr>
      <w:r w:rsidRPr="00E16672">
        <w:rPr>
          <w:rFonts w:ascii="Times New Roman" w:hAnsi="Times New Roman" w:cs="Times New Roman"/>
          <w:lang w:val="uk-UA"/>
        </w:rPr>
        <w:t>1</w:t>
      </w:r>
      <w:r w:rsidR="00577C78" w:rsidRPr="00E16672">
        <w:rPr>
          <w:rFonts w:ascii="Times New Roman" w:hAnsi="Times New Roman" w:cs="Times New Roman"/>
          <w:lang w:val="uk-UA"/>
        </w:rPr>
        <w:t>0</w:t>
      </w:r>
      <w:r w:rsidRPr="00E16672">
        <w:rPr>
          <w:rFonts w:ascii="Times New Roman" w:hAnsi="Times New Roman" w:cs="Times New Roman"/>
          <w:lang w:val="uk-UA"/>
        </w:rPr>
        <w:t>.5 Кваліфікований</w:t>
      </w:r>
      <w:r w:rsidRPr="00E16672" w:rsidDel="00047AE1">
        <w:rPr>
          <w:rFonts w:ascii="Times New Roman" w:hAnsi="Times New Roman" w:cs="Times New Roman"/>
          <w:lang w:val="uk-UA"/>
        </w:rPr>
        <w:t xml:space="preserve"> </w:t>
      </w:r>
      <w:r w:rsidRPr="00E16672">
        <w:rPr>
          <w:rFonts w:ascii="Times New Roman" w:hAnsi="Times New Roman" w:cs="Times New Roman"/>
          <w:lang w:val="uk-UA"/>
        </w:rPr>
        <w:t>електронний підпис за правовим статусом прирівнюється до власноручного підпису (печатки) особи, яка його вчинила, згідно законодавства та цього Договору. Юридична сила електронного документа не може бути заперечена виключно через те, що він має електронну форму.</w:t>
      </w:r>
    </w:p>
    <w:p w14:paraId="6452D7A3" w14:textId="77777777" w:rsidR="00765E37" w:rsidRPr="00E16672" w:rsidRDefault="00577C78" w:rsidP="00765E37">
      <w:pPr>
        <w:pStyle w:val="33"/>
        <w:tabs>
          <w:tab w:val="left" w:pos="851"/>
        </w:tabs>
        <w:ind w:firstLine="540"/>
        <w:rPr>
          <w:rFonts w:ascii="Times New Roman" w:hAnsi="Times New Roman" w:cs="Times New Roman"/>
          <w:lang w:val="uk-UA"/>
        </w:rPr>
      </w:pPr>
      <w:r w:rsidRPr="00E16672">
        <w:rPr>
          <w:rFonts w:ascii="Times New Roman" w:hAnsi="Times New Roman" w:cs="Times New Roman"/>
          <w:lang w:val="uk-UA"/>
        </w:rPr>
        <w:t>10</w:t>
      </w:r>
      <w:r w:rsidR="00765E37" w:rsidRPr="00E16672">
        <w:rPr>
          <w:rFonts w:ascii="Times New Roman" w:hAnsi="Times New Roman" w:cs="Times New Roman"/>
          <w:lang w:val="uk-UA"/>
        </w:rPr>
        <w:t xml:space="preserve">.6 </w:t>
      </w:r>
      <w:proofErr w:type="spellStart"/>
      <w:r w:rsidR="00765E37" w:rsidRPr="00E16672">
        <w:rPr>
          <w:rFonts w:ascii="Times New Roman" w:hAnsi="Times New Roman" w:cs="Times New Roman"/>
          <w:lang w:val="uk-UA"/>
        </w:rPr>
        <w:t>Підписувач</w:t>
      </w:r>
      <w:proofErr w:type="spellEnd"/>
      <w:r w:rsidR="00765E37" w:rsidRPr="00E16672">
        <w:rPr>
          <w:rFonts w:ascii="Times New Roman" w:hAnsi="Times New Roman" w:cs="Times New Roman"/>
          <w:lang w:val="uk-UA"/>
        </w:rPr>
        <w:t xml:space="preserve"> - </w:t>
      </w:r>
      <w:proofErr w:type="spellStart"/>
      <w:r w:rsidR="00765E37" w:rsidRPr="00E16672">
        <w:rPr>
          <w:rStyle w:val="rvts0"/>
          <w:rFonts w:ascii="Times New Roman" w:hAnsi="Times New Roman" w:cs="Times New Roman"/>
        </w:rPr>
        <w:t>фізична</w:t>
      </w:r>
      <w:proofErr w:type="spellEnd"/>
      <w:r w:rsidR="00765E37" w:rsidRPr="00E16672">
        <w:rPr>
          <w:rStyle w:val="rvts0"/>
          <w:rFonts w:ascii="Times New Roman" w:hAnsi="Times New Roman" w:cs="Times New Roman"/>
        </w:rPr>
        <w:t xml:space="preserve"> особа, яка </w:t>
      </w:r>
      <w:proofErr w:type="spellStart"/>
      <w:r w:rsidR="00765E37" w:rsidRPr="00E16672">
        <w:rPr>
          <w:rStyle w:val="rvts0"/>
          <w:rFonts w:ascii="Times New Roman" w:hAnsi="Times New Roman" w:cs="Times New Roman"/>
        </w:rPr>
        <w:t>створює</w:t>
      </w:r>
      <w:proofErr w:type="spellEnd"/>
      <w:r w:rsidR="00765E37" w:rsidRPr="00E16672">
        <w:rPr>
          <w:rStyle w:val="rvts0"/>
          <w:rFonts w:ascii="Times New Roman" w:hAnsi="Times New Roman" w:cs="Times New Roman"/>
        </w:rPr>
        <w:t xml:space="preserve"> </w:t>
      </w:r>
      <w:proofErr w:type="spellStart"/>
      <w:r w:rsidR="00765E37" w:rsidRPr="00E16672">
        <w:rPr>
          <w:rStyle w:val="rvts0"/>
          <w:rFonts w:ascii="Times New Roman" w:hAnsi="Times New Roman" w:cs="Times New Roman"/>
        </w:rPr>
        <w:t>електронний</w:t>
      </w:r>
      <w:proofErr w:type="spellEnd"/>
      <w:r w:rsidR="00765E37" w:rsidRPr="00E16672">
        <w:rPr>
          <w:rStyle w:val="rvts0"/>
          <w:rFonts w:ascii="Times New Roman" w:hAnsi="Times New Roman" w:cs="Times New Roman"/>
        </w:rPr>
        <w:t xml:space="preserve"> </w:t>
      </w:r>
      <w:proofErr w:type="spellStart"/>
      <w:r w:rsidR="00765E37" w:rsidRPr="00E16672">
        <w:rPr>
          <w:rStyle w:val="rvts0"/>
          <w:rFonts w:ascii="Times New Roman" w:hAnsi="Times New Roman" w:cs="Times New Roman"/>
        </w:rPr>
        <w:t>підпис</w:t>
      </w:r>
      <w:proofErr w:type="spellEnd"/>
      <w:r w:rsidR="00765E37" w:rsidRPr="00E16672">
        <w:rPr>
          <w:rFonts w:ascii="Times New Roman" w:hAnsi="Times New Roman" w:cs="Times New Roman"/>
          <w:lang w:val="uk-UA"/>
        </w:rPr>
        <w:t>.</w:t>
      </w:r>
    </w:p>
    <w:p w14:paraId="59276174" w14:textId="77777777" w:rsidR="00765E37" w:rsidRPr="00E16672" w:rsidRDefault="00765E37" w:rsidP="00765E37">
      <w:pPr>
        <w:pStyle w:val="HTML"/>
        <w:ind w:firstLine="540"/>
        <w:rPr>
          <w:rFonts w:ascii="Times New Roman" w:hAnsi="Times New Roman" w:cs="Times New Roman"/>
          <w:lang w:val="uk-UA"/>
        </w:rPr>
      </w:pPr>
      <w:r w:rsidRPr="00E16672">
        <w:rPr>
          <w:rFonts w:ascii="Times New Roman" w:hAnsi="Times New Roman" w:cs="Times New Roman"/>
          <w:lang w:val="uk-UA"/>
        </w:rPr>
        <w:t>1</w:t>
      </w:r>
      <w:r w:rsidR="00577C78" w:rsidRPr="00E16672">
        <w:rPr>
          <w:rFonts w:ascii="Times New Roman" w:hAnsi="Times New Roman" w:cs="Times New Roman"/>
          <w:lang w:val="uk-UA"/>
        </w:rPr>
        <w:t>0</w:t>
      </w:r>
      <w:r w:rsidRPr="00E16672">
        <w:rPr>
          <w:rFonts w:ascii="Times New Roman" w:hAnsi="Times New Roman" w:cs="Times New Roman"/>
          <w:lang w:val="uk-UA"/>
        </w:rPr>
        <w:t xml:space="preserve">.7 Адресат - </w:t>
      </w:r>
      <w:proofErr w:type="spellStart"/>
      <w:r w:rsidRPr="00E16672">
        <w:rPr>
          <w:rFonts w:ascii="Times New Roman" w:hAnsi="Times New Roman" w:cs="Times New Roman"/>
        </w:rPr>
        <w:t>фізична</w:t>
      </w:r>
      <w:proofErr w:type="spellEnd"/>
      <w:r w:rsidRPr="00E16672">
        <w:rPr>
          <w:rFonts w:ascii="Times New Roman" w:hAnsi="Times New Roman" w:cs="Times New Roman"/>
        </w:rPr>
        <w:t xml:space="preserve">  </w:t>
      </w:r>
      <w:proofErr w:type="spellStart"/>
      <w:r w:rsidRPr="00E16672">
        <w:rPr>
          <w:rFonts w:ascii="Times New Roman" w:hAnsi="Times New Roman" w:cs="Times New Roman"/>
        </w:rPr>
        <w:t>або</w:t>
      </w:r>
      <w:proofErr w:type="spellEnd"/>
      <w:r w:rsidRPr="00E16672">
        <w:rPr>
          <w:rFonts w:ascii="Times New Roman" w:hAnsi="Times New Roman" w:cs="Times New Roman"/>
        </w:rPr>
        <w:t xml:space="preserve">  </w:t>
      </w:r>
      <w:proofErr w:type="spellStart"/>
      <w:r w:rsidRPr="00E16672">
        <w:rPr>
          <w:rFonts w:ascii="Times New Roman" w:hAnsi="Times New Roman" w:cs="Times New Roman"/>
        </w:rPr>
        <w:t>юридична</w:t>
      </w:r>
      <w:proofErr w:type="spellEnd"/>
      <w:r w:rsidRPr="00E16672">
        <w:rPr>
          <w:rFonts w:ascii="Times New Roman" w:hAnsi="Times New Roman" w:cs="Times New Roman"/>
        </w:rPr>
        <w:t xml:space="preserve">  особа,  </w:t>
      </w:r>
      <w:proofErr w:type="spellStart"/>
      <w:r w:rsidRPr="00E16672">
        <w:rPr>
          <w:rFonts w:ascii="Times New Roman" w:hAnsi="Times New Roman" w:cs="Times New Roman"/>
        </w:rPr>
        <w:t>якій</w:t>
      </w:r>
      <w:proofErr w:type="spellEnd"/>
      <w:r w:rsidRPr="00E16672">
        <w:rPr>
          <w:rFonts w:ascii="Times New Roman" w:hAnsi="Times New Roman" w:cs="Times New Roman"/>
        </w:rPr>
        <w:t xml:space="preserve">  </w:t>
      </w:r>
      <w:proofErr w:type="spellStart"/>
      <w:r w:rsidRPr="00E16672">
        <w:rPr>
          <w:rFonts w:ascii="Times New Roman" w:hAnsi="Times New Roman" w:cs="Times New Roman"/>
        </w:rPr>
        <w:t>адресується</w:t>
      </w:r>
      <w:proofErr w:type="spellEnd"/>
      <w:r w:rsidRPr="00E16672">
        <w:rPr>
          <w:rFonts w:ascii="Times New Roman" w:hAnsi="Times New Roman" w:cs="Times New Roman"/>
        </w:rPr>
        <w:t xml:space="preserve"> </w:t>
      </w:r>
      <w:proofErr w:type="spellStart"/>
      <w:r w:rsidRPr="00E16672">
        <w:rPr>
          <w:rFonts w:ascii="Times New Roman" w:hAnsi="Times New Roman" w:cs="Times New Roman"/>
        </w:rPr>
        <w:t>електронний</w:t>
      </w:r>
      <w:proofErr w:type="spellEnd"/>
      <w:r w:rsidRPr="00E16672">
        <w:rPr>
          <w:rFonts w:ascii="Times New Roman" w:hAnsi="Times New Roman" w:cs="Times New Roman"/>
        </w:rPr>
        <w:t xml:space="preserve"> документ</w:t>
      </w:r>
      <w:r w:rsidRPr="00E16672">
        <w:rPr>
          <w:rFonts w:ascii="Times New Roman" w:hAnsi="Times New Roman" w:cs="Times New Roman"/>
          <w:lang w:val="uk-UA"/>
        </w:rPr>
        <w:t>.</w:t>
      </w:r>
    </w:p>
    <w:p w14:paraId="56D285CB" w14:textId="77777777" w:rsidR="00765E37" w:rsidRPr="00E16672" w:rsidRDefault="00765E37" w:rsidP="00765E37">
      <w:pPr>
        <w:pStyle w:val="33"/>
        <w:tabs>
          <w:tab w:val="left" w:pos="851"/>
        </w:tabs>
        <w:ind w:firstLine="540"/>
        <w:rPr>
          <w:rFonts w:ascii="Times New Roman" w:hAnsi="Times New Roman" w:cs="Times New Roman"/>
          <w:lang w:val="uk-UA"/>
        </w:rPr>
      </w:pPr>
      <w:r w:rsidRPr="00E16672">
        <w:rPr>
          <w:rFonts w:ascii="Times New Roman" w:hAnsi="Times New Roman" w:cs="Times New Roman"/>
          <w:lang w:val="uk-UA"/>
        </w:rPr>
        <w:t>1</w:t>
      </w:r>
      <w:r w:rsidR="00577C78" w:rsidRPr="00E16672">
        <w:rPr>
          <w:rFonts w:ascii="Times New Roman" w:hAnsi="Times New Roman" w:cs="Times New Roman"/>
          <w:lang w:val="uk-UA"/>
        </w:rPr>
        <w:t>0</w:t>
      </w:r>
      <w:r w:rsidRPr="00E16672">
        <w:rPr>
          <w:rFonts w:ascii="Times New Roman" w:hAnsi="Times New Roman" w:cs="Times New Roman"/>
          <w:lang w:val="uk-UA"/>
        </w:rPr>
        <w:t>.8 Кваліфікований</w:t>
      </w:r>
      <w:r w:rsidRPr="00E16672" w:rsidDel="00047AE1">
        <w:rPr>
          <w:rFonts w:ascii="Times New Roman" w:hAnsi="Times New Roman" w:cs="Times New Roman"/>
          <w:lang w:val="uk-UA"/>
        </w:rPr>
        <w:t xml:space="preserve"> </w:t>
      </w:r>
      <w:r w:rsidRPr="00E16672">
        <w:rPr>
          <w:rFonts w:ascii="Times New Roman" w:hAnsi="Times New Roman" w:cs="Times New Roman"/>
          <w:lang w:val="uk-UA"/>
        </w:rPr>
        <w:t xml:space="preserve">електронний підпис вважається таким, що відповідає сертифікату відкритого ключа, якщо особистий ключ </w:t>
      </w:r>
      <w:proofErr w:type="spellStart"/>
      <w:r w:rsidRPr="00E16672">
        <w:rPr>
          <w:rFonts w:ascii="Times New Roman" w:hAnsi="Times New Roman" w:cs="Times New Roman"/>
          <w:lang w:val="uk-UA"/>
        </w:rPr>
        <w:t>підписувача</w:t>
      </w:r>
      <w:proofErr w:type="spellEnd"/>
      <w:r w:rsidRPr="00E16672">
        <w:rPr>
          <w:rFonts w:ascii="Times New Roman" w:hAnsi="Times New Roman" w:cs="Times New Roman"/>
          <w:lang w:val="uk-UA"/>
        </w:rPr>
        <w:t>, використаний при формуванні кваліфікованого</w:t>
      </w:r>
      <w:r w:rsidRPr="00E16672" w:rsidDel="00047AE1">
        <w:rPr>
          <w:rFonts w:ascii="Times New Roman" w:hAnsi="Times New Roman" w:cs="Times New Roman"/>
          <w:lang w:val="uk-UA"/>
        </w:rPr>
        <w:t xml:space="preserve"> </w:t>
      </w:r>
      <w:r w:rsidRPr="00E16672">
        <w:rPr>
          <w:rFonts w:ascii="Times New Roman" w:hAnsi="Times New Roman" w:cs="Times New Roman"/>
          <w:lang w:val="uk-UA"/>
        </w:rPr>
        <w:t>електронного підпису, відповідає відкритому ключу, зазначеному у сертифікаті.</w:t>
      </w:r>
    </w:p>
    <w:p w14:paraId="656390BD" w14:textId="77777777" w:rsidR="00765E37" w:rsidRPr="00E16672" w:rsidRDefault="00765E37" w:rsidP="00765E37">
      <w:pPr>
        <w:pStyle w:val="33"/>
        <w:tabs>
          <w:tab w:val="left" w:pos="851"/>
        </w:tabs>
        <w:ind w:firstLine="540"/>
        <w:rPr>
          <w:rFonts w:ascii="Times New Roman" w:hAnsi="Times New Roman" w:cs="Times New Roman"/>
          <w:lang w:val="uk-UA"/>
        </w:rPr>
      </w:pPr>
      <w:r w:rsidRPr="00E16672">
        <w:rPr>
          <w:rFonts w:ascii="Times New Roman" w:hAnsi="Times New Roman" w:cs="Times New Roman"/>
          <w:lang w:val="uk-UA"/>
        </w:rPr>
        <w:t>1</w:t>
      </w:r>
      <w:r w:rsidR="00577C78" w:rsidRPr="00E16672">
        <w:rPr>
          <w:rFonts w:ascii="Times New Roman" w:hAnsi="Times New Roman" w:cs="Times New Roman"/>
          <w:lang w:val="uk-UA"/>
        </w:rPr>
        <w:t>0</w:t>
      </w:r>
      <w:r w:rsidRPr="00E16672">
        <w:rPr>
          <w:rFonts w:ascii="Times New Roman" w:hAnsi="Times New Roman" w:cs="Times New Roman"/>
          <w:lang w:val="uk-UA"/>
        </w:rPr>
        <w:t>.9 Відповідно до цього Договору Сторони зобов'язуються визнавати кваліфікований</w:t>
      </w:r>
      <w:r w:rsidRPr="00E16672" w:rsidDel="00047AE1">
        <w:rPr>
          <w:rFonts w:ascii="Times New Roman" w:hAnsi="Times New Roman" w:cs="Times New Roman"/>
          <w:lang w:val="uk-UA"/>
        </w:rPr>
        <w:t xml:space="preserve"> </w:t>
      </w:r>
      <w:r w:rsidRPr="00E16672">
        <w:rPr>
          <w:rFonts w:ascii="Times New Roman" w:hAnsi="Times New Roman" w:cs="Times New Roman"/>
          <w:lang w:val="uk-UA"/>
        </w:rPr>
        <w:t>електронний підпис як такий, що надає юридичної сили електронним документам, сформованим з його використанням.</w:t>
      </w:r>
    </w:p>
    <w:p w14:paraId="37B49441" w14:textId="77777777" w:rsidR="00765E37" w:rsidRPr="00E16672" w:rsidRDefault="00765E37" w:rsidP="00765E37">
      <w:pPr>
        <w:pStyle w:val="33"/>
        <w:tabs>
          <w:tab w:val="left" w:pos="851"/>
        </w:tabs>
        <w:ind w:firstLine="540"/>
        <w:rPr>
          <w:rFonts w:ascii="Times New Roman" w:hAnsi="Times New Roman" w:cs="Times New Roman"/>
          <w:lang w:val="uk-UA"/>
        </w:rPr>
      </w:pPr>
      <w:r w:rsidRPr="00E16672">
        <w:rPr>
          <w:rFonts w:ascii="Times New Roman" w:hAnsi="Times New Roman" w:cs="Times New Roman"/>
          <w:lang w:val="uk-UA"/>
        </w:rPr>
        <w:t>1</w:t>
      </w:r>
      <w:r w:rsidR="00577C78" w:rsidRPr="00E16672">
        <w:rPr>
          <w:rFonts w:ascii="Times New Roman" w:hAnsi="Times New Roman" w:cs="Times New Roman"/>
          <w:lang w:val="uk-UA"/>
        </w:rPr>
        <w:t>0</w:t>
      </w:r>
      <w:r w:rsidRPr="00E16672">
        <w:rPr>
          <w:rFonts w:ascii="Times New Roman" w:hAnsi="Times New Roman" w:cs="Times New Roman"/>
          <w:lang w:val="uk-UA"/>
        </w:rPr>
        <w:t xml:space="preserve">.10 Визнання здійснюється </w:t>
      </w:r>
      <w:r w:rsidR="00F11330" w:rsidRPr="00E16672">
        <w:rPr>
          <w:rFonts w:ascii="Times New Roman" w:hAnsi="Times New Roman" w:cs="Times New Roman"/>
          <w:lang w:val="uk-UA"/>
        </w:rPr>
        <w:t xml:space="preserve">адресатом </w:t>
      </w:r>
      <w:r w:rsidRPr="00E16672">
        <w:rPr>
          <w:rFonts w:ascii="Times New Roman" w:hAnsi="Times New Roman" w:cs="Times New Roman"/>
          <w:lang w:val="uk-UA"/>
        </w:rPr>
        <w:t xml:space="preserve">щодо кожного окремого електронного документа, наданого </w:t>
      </w:r>
      <w:proofErr w:type="spellStart"/>
      <w:r w:rsidRPr="00E16672">
        <w:rPr>
          <w:rFonts w:ascii="Times New Roman" w:hAnsi="Times New Roman" w:cs="Times New Roman"/>
          <w:lang w:val="uk-UA"/>
        </w:rPr>
        <w:t>підписувачем</w:t>
      </w:r>
      <w:proofErr w:type="spellEnd"/>
      <w:r w:rsidRPr="00E16672">
        <w:rPr>
          <w:rFonts w:ascii="Times New Roman" w:hAnsi="Times New Roman" w:cs="Times New Roman"/>
          <w:lang w:val="uk-UA"/>
        </w:rPr>
        <w:t>.</w:t>
      </w:r>
    </w:p>
    <w:p w14:paraId="25A8432D" w14:textId="77777777" w:rsidR="00765E37" w:rsidRPr="00E16672" w:rsidRDefault="00765E37" w:rsidP="00765E37">
      <w:pPr>
        <w:pStyle w:val="33"/>
        <w:tabs>
          <w:tab w:val="left" w:pos="851"/>
        </w:tabs>
        <w:ind w:firstLine="540"/>
        <w:rPr>
          <w:rFonts w:ascii="Times New Roman" w:hAnsi="Times New Roman" w:cs="Times New Roman"/>
          <w:lang w:val="uk-UA"/>
        </w:rPr>
      </w:pPr>
      <w:r w:rsidRPr="00E16672">
        <w:rPr>
          <w:rFonts w:ascii="Times New Roman" w:hAnsi="Times New Roman" w:cs="Times New Roman"/>
          <w:lang w:val="uk-UA"/>
        </w:rPr>
        <w:t>1</w:t>
      </w:r>
      <w:r w:rsidR="00577C78" w:rsidRPr="00E16672">
        <w:rPr>
          <w:rFonts w:ascii="Times New Roman" w:hAnsi="Times New Roman" w:cs="Times New Roman"/>
          <w:lang w:val="uk-UA"/>
        </w:rPr>
        <w:t>0</w:t>
      </w:r>
      <w:r w:rsidRPr="00E16672">
        <w:rPr>
          <w:rFonts w:ascii="Times New Roman" w:hAnsi="Times New Roman" w:cs="Times New Roman"/>
          <w:lang w:val="uk-UA"/>
        </w:rPr>
        <w:t>.11 Визнання кваліфікованого</w:t>
      </w:r>
      <w:r w:rsidRPr="00E16672" w:rsidDel="00047AE1">
        <w:rPr>
          <w:rFonts w:ascii="Times New Roman" w:hAnsi="Times New Roman" w:cs="Times New Roman"/>
          <w:lang w:val="uk-UA"/>
        </w:rPr>
        <w:t xml:space="preserve"> </w:t>
      </w:r>
      <w:r w:rsidRPr="00E16672">
        <w:rPr>
          <w:rFonts w:ascii="Times New Roman" w:hAnsi="Times New Roman" w:cs="Times New Roman"/>
          <w:lang w:val="uk-UA"/>
        </w:rPr>
        <w:t xml:space="preserve">електронного підпису - визначення відповідності </w:t>
      </w:r>
      <w:r w:rsidRPr="00E16672">
        <w:rPr>
          <w:rFonts w:ascii="Times New Roman" w:hAnsi="Times New Roman" w:cs="Times New Roman"/>
          <w:szCs w:val="16"/>
          <w:lang w:val="uk-UA"/>
        </w:rPr>
        <w:t>кваліфікованого</w:t>
      </w:r>
      <w:r w:rsidRPr="00E16672" w:rsidDel="00047AE1">
        <w:rPr>
          <w:rFonts w:ascii="Times New Roman" w:hAnsi="Times New Roman" w:cs="Times New Roman"/>
          <w:sz w:val="24"/>
          <w:lang w:val="uk-UA"/>
        </w:rPr>
        <w:t xml:space="preserve"> </w:t>
      </w:r>
      <w:r w:rsidRPr="00E16672">
        <w:rPr>
          <w:rFonts w:ascii="Times New Roman" w:hAnsi="Times New Roman" w:cs="Times New Roman"/>
          <w:lang w:val="uk-UA"/>
        </w:rPr>
        <w:t xml:space="preserve">електронного підпису сертифікату відкритого ключа </w:t>
      </w:r>
      <w:proofErr w:type="spellStart"/>
      <w:r w:rsidRPr="00E16672">
        <w:rPr>
          <w:rFonts w:ascii="Times New Roman" w:hAnsi="Times New Roman" w:cs="Times New Roman"/>
          <w:lang w:val="uk-UA"/>
        </w:rPr>
        <w:t>підписувача</w:t>
      </w:r>
      <w:proofErr w:type="spellEnd"/>
      <w:r w:rsidRPr="00E16672">
        <w:rPr>
          <w:rFonts w:ascii="Times New Roman" w:hAnsi="Times New Roman" w:cs="Times New Roman"/>
          <w:lang w:val="uk-UA"/>
        </w:rPr>
        <w:t>, який є чинним, та визнання підпису таким, що надає юридичної сили отриманим стороною електронним документам, сформованим з його використанням.</w:t>
      </w:r>
    </w:p>
    <w:p w14:paraId="4325ECB7" w14:textId="77777777" w:rsidR="00765E37" w:rsidRPr="00E16672" w:rsidRDefault="00765E37" w:rsidP="00765E37">
      <w:pPr>
        <w:pStyle w:val="33"/>
        <w:tabs>
          <w:tab w:val="left" w:pos="851"/>
        </w:tabs>
        <w:ind w:firstLine="540"/>
        <w:rPr>
          <w:rFonts w:ascii="Times New Roman" w:hAnsi="Times New Roman" w:cs="Times New Roman"/>
          <w:lang w:val="uk-UA"/>
        </w:rPr>
      </w:pPr>
    </w:p>
    <w:p w14:paraId="20F6FA61" w14:textId="77777777" w:rsidR="00765E37" w:rsidRPr="00E16672" w:rsidRDefault="00765E37" w:rsidP="00765E37">
      <w:pPr>
        <w:jc w:val="center"/>
        <w:rPr>
          <w:rFonts w:ascii="Times New Roman" w:hAnsi="Times New Roman"/>
          <w:b/>
          <w:color w:val="000000"/>
          <w:szCs w:val="20"/>
        </w:rPr>
      </w:pPr>
      <w:r w:rsidRPr="00E16672">
        <w:rPr>
          <w:rFonts w:ascii="Times New Roman" w:hAnsi="Times New Roman"/>
          <w:b/>
          <w:color w:val="000000"/>
          <w:szCs w:val="20"/>
        </w:rPr>
        <w:t>1</w:t>
      </w:r>
      <w:r w:rsidR="00577C78" w:rsidRPr="00E16672">
        <w:rPr>
          <w:rFonts w:ascii="Times New Roman" w:hAnsi="Times New Roman"/>
          <w:b/>
          <w:color w:val="000000"/>
          <w:szCs w:val="20"/>
          <w:lang w:val="uk-UA"/>
        </w:rPr>
        <w:t>1</w:t>
      </w:r>
      <w:r w:rsidRPr="00E16672">
        <w:rPr>
          <w:rFonts w:ascii="Times New Roman" w:hAnsi="Times New Roman"/>
          <w:b/>
          <w:color w:val="000000"/>
          <w:szCs w:val="20"/>
        </w:rPr>
        <w:t xml:space="preserve">. </w:t>
      </w:r>
      <w:proofErr w:type="spellStart"/>
      <w:r w:rsidRPr="00E16672">
        <w:rPr>
          <w:rFonts w:ascii="Times New Roman" w:hAnsi="Times New Roman"/>
          <w:b/>
          <w:color w:val="000000"/>
          <w:szCs w:val="20"/>
        </w:rPr>
        <w:t>Умови</w:t>
      </w:r>
      <w:proofErr w:type="spellEnd"/>
      <w:r w:rsidRPr="00E16672">
        <w:rPr>
          <w:rFonts w:ascii="Times New Roman" w:hAnsi="Times New Roman"/>
          <w:b/>
          <w:color w:val="000000"/>
          <w:szCs w:val="20"/>
        </w:rPr>
        <w:t xml:space="preserve"> </w:t>
      </w:r>
      <w:proofErr w:type="spellStart"/>
      <w:r w:rsidRPr="00E16672">
        <w:rPr>
          <w:rFonts w:ascii="Times New Roman" w:hAnsi="Times New Roman"/>
          <w:b/>
          <w:color w:val="000000"/>
          <w:szCs w:val="20"/>
        </w:rPr>
        <w:t>щодо</w:t>
      </w:r>
      <w:proofErr w:type="spellEnd"/>
      <w:r w:rsidRPr="00E16672">
        <w:rPr>
          <w:rFonts w:ascii="Times New Roman" w:hAnsi="Times New Roman"/>
          <w:b/>
          <w:color w:val="000000"/>
          <w:szCs w:val="20"/>
        </w:rPr>
        <w:t xml:space="preserve"> порядку </w:t>
      </w:r>
      <w:proofErr w:type="spellStart"/>
      <w:r w:rsidRPr="00E16672">
        <w:rPr>
          <w:rFonts w:ascii="Times New Roman" w:hAnsi="Times New Roman"/>
          <w:b/>
          <w:color w:val="000000"/>
          <w:szCs w:val="20"/>
        </w:rPr>
        <w:t>виплати</w:t>
      </w:r>
      <w:proofErr w:type="spellEnd"/>
      <w:r w:rsidRPr="00E16672">
        <w:rPr>
          <w:rFonts w:ascii="Times New Roman" w:hAnsi="Times New Roman"/>
          <w:b/>
          <w:color w:val="000000"/>
          <w:szCs w:val="20"/>
        </w:rPr>
        <w:t xml:space="preserve"> доход</w:t>
      </w:r>
      <w:r w:rsidRPr="00E16672">
        <w:rPr>
          <w:rFonts w:ascii="Times New Roman" w:hAnsi="Times New Roman"/>
          <w:b/>
          <w:color w:val="000000"/>
          <w:szCs w:val="20"/>
          <w:lang w:val="uk-UA"/>
        </w:rPr>
        <w:t>і</w:t>
      </w:r>
      <w:r w:rsidRPr="00E16672">
        <w:rPr>
          <w:rFonts w:ascii="Times New Roman" w:hAnsi="Times New Roman"/>
          <w:b/>
          <w:color w:val="000000"/>
          <w:szCs w:val="20"/>
        </w:rPr>
        <w:t xml:space="preserve">в, </w:t>
      </w:r>
      <w:proofErr w:type="spellStart"/>
      <w:r w:rsidRPr="00E16672">
        <w:rPr>
          <w:rFonts w:ascii="Times New Roman" w:hAnsi="Times New Roman"/>
          <w:b/>
          <w:color w:val="000000"/>
          <w:szCs w:val="20"/>
        </w:rPr>
        <w:t>отриманих</w:t>
      </w:r>
      <w:proofErr w:type="spellEnd"/>
      <w:r w:rsidRPr="00E16672">
        <w:rPr>
          <w:rFonts w:ascii="Times New Roman" w:hAnsi="Times New Roman"/>
          <w:b/>
          <w:color w:val="000000"/>
          <w:szCs w:val="20"/>
        </w:rPr>
        <w:t xml:space="preserve"> </w:t>
      </w:r>
      <w:r w:rsidRPr="00E16672">
        <w:rPr>
          <w:rFonts w:ascii="Times New Roman" w:hAnsi="Times New Roman"/>
          <w:b/>
          <w:color w:val="000000"/>
          <w:szCs w:val="20"/>
          <w:lang w:val="uk-UA"/>
        </w:rPr>
        <w:t>Д</w:t>
      </w:r>
      <w:proofErr w:type="spellStart"/>
      <w:r w:rsidRPr="00E16672">
        <w:rPr>
          <w:rFonts w:ascii="Times New Roman" w:hAnsi="Times New Roman"/>
          <w:b/>
          <w:color w:val="000000"/>
          <w:szCs w:val="20"/>
        </w:rPr>
        <w:t>епонентом</w:t>
      </w:r>
      <w:proofErr w:type="spellEnd"/>
      <w:r w:rsidRPr="00E16672">
        <w:rPr>
          <w:rFonts w:ascii="Times New Roman" w:hAnsi="Times New Roman"/>
          <w:b/>
          <w:color w:val="000000"/>
          <w:szCs w:val="20"/>
        </w:rPr>
        <w:t xml:space="preserve"> за результатами </w:t>
      </w:r>
      <w:proofErr w:type="spellStart"/>
      <w:r w:rsidRPr="00E16672">
        <w:rPr>
          <w:rFonts w:ascii="Times New Roman" w:hAnsi="Times New Roman"/>
          <w:b/>
          <w:color w:val="000000"/>
          <w:szCs w:val="20"/>
        </w:rPr>
        <w:t>проведених</w:t>
      </w:r>
      <w:proofErr w:type="spellEnd"/>
      <w:r w:rsidRPr="00E16672">
        <w:rPr>
          <w:rFonts w:ascii="Times New Roman" w:hAnsi="Times New Roman"/>
          <w:b/>
          <w:color w:val="000000"/>
          <w:szCs w:val="20"/>
        </w:rPr>
        <w:t xml:space="preserve"> </w:t>
      </w:r>
      <w:proofErr w:type="spellStart"/>
      <w:r w:rsidRPr="00E16672">
        <w:rPr>
          <w:rFonts w:ascii="Times New Roman" w:hAnsi="Times New Roman"/>
          <w:b/>
          <w:color w:val="000000"/>
          <w:szCs w:val="20"/>
        </w:rPr>
        <w:t>корпоративних</w:t>
      </w:r>
      <w:proofErr w:type="spellEnd"/>
      <w:r w:rsidRPr="00E16672">
        <w:rPr>
          <w:rFonts w:ascii="Times New Roman" w:hAnsi="Times New Roman"/>
          <w:b/>
          <w:color w:val="000000"/>
          <w:szCs w:val="20"/>
        </w:rPr>
        <w:t xml:space="preserve"> </w:t>
      </w:r>
      <w:proofErr w:type="spellStart"/>
      <w:r w:rsidRPr="00E16672">
        <w:rPr>
          <w:rFonts w:ascii="Times New Roman" w:hAnsi="Times New Roman"/>
          <w:b/>
          <w:color w:val="000000"/>
          <w:szCs w:val="20"/>
        </w:rPr>
        <w:t>операцій</w:t>
      </w:r>
      <w:proofErr w:type="spellEnd"/>
      <w:r w:rsidRPr="00E16672">
        <w:rPr>
          <w:rFonts w:ascii="Times New Roman" w:hAnsi="Times New Roman"/>
          <w:b/>
          <w:color w:val="000000"/>
          <w:szCs w:val="20"/>
        </w:rPr>
        <w:t xml:space="preserve"> </w:t>
      </w:r>
      <w:proofErr w:type="spellStart"/>
      <w:r w:rsidRPr="00E16672">
        <w:rPr>
          <w:rFonts w:ascii="Times New Roman" w:hAnsi="Times New Roman"/>
          <w:b/>
          <w:color w:val="000000"/>
          <w:szCs w:val="20"/>
        </w:rPr>
        <w:t>емітента</w:t>
      </w:r>
      <w:proofErr w:type="spellEnd"/>
    </w:p>
    <w:p w14:paraId="3DF0232B" w14:textId="77777777" w:rsidR="00765E37" w:rsidRPr="00E16672" w:rsidRDefault="00765E37" w:rsidP="00765E37">
      <w:pPr>
        <w:rPr>
          <w:rFonts w:ascii="Times New Roman" w:hAnsi="Times New Roman"/>
          <w:color w:val="000000"/>
          <w:szCs w:val="20"/>
        </w:rPr>
      </w:pPr>
      <w:r w:rsidRPr="00E16672">
        <w:rPr>
          <w:rFonts w:ascii="Times New Roman" w:hAnsi="Times New Roman"/>
          <w:color w:val="000000"/>
          <w:szCs w:val="20"/>
        </w:rPr>
        <w:t>1</w:t>
      </w:r>
      <w:r w:rsidR="00577C78" w:rsidRPr="00E16672">
        <w:rPr>
          <w:rFonts w:ascii="Times New Roman" w:hAnsi="Times New Roman"/>
          <w:color w:val="000000"/>
          <w:szCs w:val="20"/>
          <w:lang w:val="uk-UA"/>
        </w:rPr>
        <w:t>1</w:t>
      </w:r>
      <w:r w:rsidRPr="00E16672">
        <w:rPr>
          <w:rFonts w:ascii="Times New Roman" w:hAnsi="Times New Roman"/>
          <w:color w:val="000000"/>
          <w:szCs w:val="20"/>
        </w:rPr>
        <w:t xml:space="preserve">.1. </w:t>
      </w:r>
      <w:proofErr w:type="spellStart"/>
      <w:r w:rsidRPr="00E16672">
        <w:rPr>
          <w:rFonts w:ascii="Times New Roman" w:hAnsi="Times New Roman"/>
          <w:color w:val="000000"/>
          <w:szCs w:val="20"/>
        </w:rPr>
        <w:t>Щодо</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цінних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паперів</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облік</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яких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здійснює</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Центральний</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депозитарій</w:t>
      </w:r>
      <w:proofErr w:type="spellEnd"/>
      <w:r w:rsidRPr="00E16672">
        <w:rPr>
          <w:rFonts w:ascii="Times New Roman" w:hAnsi="Times New Roman"/>
          <w:color w:val="000000"/>
          <w:szCs w:val="20"/>
        </w:rPr>
        <w:t>:</w:t>
      </w:r>
    </w:p>
    <w:p w14:paraId="408210D9" w14:textId="77777777" w:rsidR="00765E37" w:rsidRPr="00E16672" w:rsidRDefault="00765E37" w:rsidP="00765E37">
      <w:pPr>
        <w:rPr>
          <w:rFonts w:ascii="Times New Roman" w:hAnsi="Times New Roman"/>
          <w:color w:val="000000"/>
          <w:szCs w:val="20"/>
        </w:rPr>
      </w:pPr>
      <w:r w:rsidRPr="00E16672">
        <w:rPr>
          <w:rFonts w:ascii="Times New Roman" w:hAnsi="Times New Roman"/>
          <w:color w:val="000000"/>
          <w:szCs w:val="20"/>
        </w:rPr>
        <w:t>1</w:t>
      </w:r>
      <w:r w:rsidR="00577C78" w:rsidRPr="00E16672">
        <w:rPr>
          <w:rFonts w:ascii="Times New Roman" w:hAnsi="Times New Roman"/>
          <w:color w:val="000000"/>
          <w:szCs w:val="20"/>
          <w:lang w:val="uk-UA"/>
        </w:rPr>
        <w:t>1</w:t>
      </w:r>
      <w:r w:rsidRPr="00E16672">
        <w:rPr>
          <w:rFonts w:ascii="Times New Roman" w:hAnsi="Times New Roman"/>
          <w:color w:val="000000"/>
          <w:szCs w:val="20"/>
        </w:rPr>
        <w:t xml:space="preserve">.1.1. У </w:t>
      </w:r>
      <w:proofErr w:type="spellStart"/>
      <w:r w:rsidRPr="00E16672">
        <w:rPr>
          <w:rFonts w:ascii="Times New Roman" w:hAnsi="Times New Roman"/>
          <w:color w:val="000000"/>
          <w:szCs w:val="20"/>
        </w:rPr>
        <w:t>термін</w:t>
      </w:r>
      <w:proofErr w:type="spellEnd"/>
      <w:r w:rsidRPr="00E16672">
        <w:rPr>
          <w:rFonts w:ascii="Times New Roman" w:hAnsi="Times New Roman"/>
          <w:color w:val="000000"/>
          <w:szCs w:val="20"/>
        </w:rPr>
        <w:t xml:space="preserve"> не </w:t>
      </w:r>
      <w:proofErr w:type="spellStart"/>
      <w:r w:rsidRPr="00E16672">
        <w:rPr>
          <w:rFonts w:ascii="Times New Roman" w:hAnsi="Times New Roman"/>
          <w:color w:val="000000"/>
          <w:szCs w:val="20"/>
        </w:rPr>
        <w:t>пізніше</w:t>
      </w:r>
      <w:proofErr w:type="spellEnd"/>
      <w:r w:rsidRPr="00E16672">
        <w:rPr>
          <w:rFonts w:ascii="Times New Roman" w:hAnsi="Times New Roman"/>
          <w:color w:val="000000"/>
          <w:szCs w:val="20"/>
        </w:rPr>
        <w:t xml:space="preserve"> десяти </w:t>
      </w:r>
      <w:proofErr w:type="spellStart"/>
      <w:r w:rsidRPr="00E16672">
        <w:rPr>
          <w:rFonts w:ascii="Times New Roman" w:hAnsi="Times New Roman"/>
          <w:color w:val="000000"/>
          <w:szCs w:val="20"/>
        </w:rPr>
        <w:t>робочих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днів</w:t>
      </w:r>
      <w:proofErr w:type="spellEnd"/>
      <w:r w:rsidRPr="00E16672">
        <w:rPr>
          <w:rFonts w:ascii="Times New Roman" w:hAnsi="Times New Roman"/>
          <w:color w:val="000000"/>
          <w:szCs w:val="20"/>
        </w:rPr>
        <w:t xml:space="preserve">  з моменту </w:t>
      </w:r>
      <w:proofErr w:type="spellStart"/>
      <w:r w:rsidRPr="00E16672">
        <w:rPr>
          <w:rFonts w:ascii="Times New Roman" w:hAnsi="Times New Roman"/>
          <w:color w:val="000000"/>
          <w:szCs w:val="20"/>
        </w:rPr>
        <w:t>надходження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відповідних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коштів</w:t>
      </w:r>
      <w:proofErr w:type="spellEnd"/>
      <w:r w:rsidRPr="00E16672">
        <w:rPr>
          <w:rFonts w:ascii="Times New Roman" w:hAnsi="Times New Roman"/>
          <w:color w:val="000000"/>
          <w:szCs w:val="20"/>
        </w:rPr>
        <w:t xml:space="preserve"> на </w:t>
      </w:r>
      <w:proofErr w:type="spellStart"/>
      <w:r w:rsidRPr="00E16672">
        <w:rPr>
          <w:rFonts w:ascii="Times New Roman" w:hAnsi="Times New Roman"/>
          <w:color w:val="000000"/>
          <w:szCs w:val="20"/>
        </w:rPr>
        <w:t>грошовий</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рахунок</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Депозитарної</w:t>
      </w:r>
      <w:proofErr w:type="spellEnd"/>
      <w:r w:rsidRPr="00E16672">
        <w:rPr>
          <w:rFonts w:ascii="Times New Roman" w:hAnsi="Times New Roman"/>
          <w:color w:val="000000"/>
          <w:szCs w:val="20"/>
        </w:rPr>
        <w:t xml:space="preserve"> установи, </w:t>
      </w:r>
      <w:proofErr w:type="spellStart"/>
      <w:r w:rsidRPr="00E16672">
        <w:rPr>
          <w:rFonts w:ascii="Times New Roman" w:hAnsi="Times New Roman"/>
          <w:color w:val="000000"/>
          <w:szCs w:val="20"/>
        </w:rPr>
        <w:t>отримання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розпорядження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від</w:t>
      </w:r>
      <w:proofErr w:type="spellEnd"/>
      <w:r w:rsidRPr="00E16672">
        <w:rPr>
          <w:rFonts w:ascii="Times New Roman" w:hAnsi="Times New Roman"/>
          <w:color w:val="000000"/>
          <w:szCs w:val="20"/>
        </w:rPr>
        <w:t xml:space="preserve"> Центрального </w:t>
      </w:r>
      <w:proofErr w:type="spellStart"/>
      <w:r w:rsidRPr="00E16672">
        <w:rPr>
          <w:rFonts w:ascii="Times New Roman" w:hAnsi="Times New Roman"/>
          <w:color w:val="000000"/>
          <w:szCs w:val="20"/>
        </w:rPr>
        <w:t>депозитарію</w:t>
      </w:r>
      <w:proofErr w:type="spellEnd"/>
      <w:r w:rsidRPr="00E16672">
        <w:rPr>
          <w:rFonts w:ascii="Times New Roman" w:hAnsi="Times New Roman"/>
          <w:color w:val="000000"/>
          <w:szCs w:val="20"/>
        </w:rPr>
        <w:t xml:space="preserve"> та </w:t>
      </w:r>
      <w:proofErr w:type="spellStart"/>
      <w:r w:rsidRPr="00E16672">
        <w:rPr>
          <w:rFonts w:ascii="Times New Roman" w:hAnsi="Times New Roman"/>
          <w:color w:val="000000"/>
          <w:szCs w:val="20"/>
        </w:rPr>
        <w:t>інших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документів</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згідно</w:t>
      </w:r>
      <w:proofErr w:type="spellEnd"/>
      <w:r w:rsidRPr="00E16672">
        <w:rPr>
          <w:rFonts w:ascii="Times New Roman" w:hAnsi="Times New Roman"/>
          <w:color w:val="000000"/>
          <w:szCs w:val="20"/>
        </w:rPr>
        <w:t xml:space="preserve"> чинного </w:t>
      </w:r>
      <w:proofErr w:type="spellStart"/>
      <w:r w:rsidRPr="00E16672">
        <w:rPr>
          <w:rFonts w:ascii="Times New Roman" w:hAnsi="Times New Roman"/>
          <w:color w:val="000000"/>
          <w:szCs w:val="20"/>
        </w:rPr>
        <w:t>законодавства</w:t>
      </w:r>
      <w:proofErr w:type="spellEnd"/>
      <w:r w:rsidRPr="00E16672">
        <w:rPr>
          <w:rFonts w:ascii="Times New Roman" w:hAnsi="Times New Roman"/>
          <w:color w:val="000000"/>
          <w:szCs w:val="20"/>
        </w:rPr>
        <w:t xml:space="preserve"> та регламенту Центрального </w:t>
      </w:r>
      <w:proofErr w:type="spellStart"/>
      <w:r w:rsidRPr="00E16672">
        <w:rPr>
          <w:rFonts w:ascii="Times New Roman" w:hAnsi="Times New Roman"/>
          <w:color w:val="000000"/>
          <w:szCs w:val="20"/>
        </w:rPr>
        <w:t>депозитарію</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Депозитарна</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установа</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здійснює</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виплату</w:t>
      </w:r>
      <w:proofErr w:type="spellEnd"/>
      <w:r w:rsidRPr="00E16672">
        <w:rPr>
          <w:rFonts w:ascii="Times New Roman" w:hAnsi="Times New Roman"/>
          <w:color w:val="000000"/>
          <w:szCs w:val="20"/>
        </w:rPr>
        <w:t xml:space="preserve"> доходу за </w:t>
      </w:r>
      <w:proofErr w:type="spellStart"/>
      <w:r w:rsidRPr="00E16672">
        <w:rPr>
          <w:rFonts w:ascii="Times New Roman" w:hAnsi="Times New Roman"/>
          <w:color w:val="000000"/>
          <w:szCs w:val="20"/>
        </w:rPr>
        <w:t>цінними</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паперами</w:t>
      </w:r>
      <w:proofErr w:type="spellEnd"/>
      <w:r w:rsidRPr="00E16672">
        <w:rPr>
          <w:rFonts w:ascii="Times New Roman" w:hAnsi="Times New Roman"/>
          <w:color w:val="000000"/>
          <w:szCs w:val="20"/>
        </w:rPr>
        <w:t xml:space="preserve"> – </w:t>
      </w:r>
      <w:proofErr w:type="spellStart"/>
      <w:r w:rsidRPr="00E16672">
        <w:rPr>
          <w:rFonts w:ascii="Times New Roman" w:hAnsi="Times New Roman"/>
          <w:color w:val="000000"/>
          <w:szCs w:val="20"/>
        </w:rPr>
        <w:t>грошових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коштів</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отриманих</w:t>
      </w:r>
      <w:proofErr w:type="spellEnd"/>
      <w:r w:rsidRPr="00E16672">
        <w:rPr>
          <w:rFonts w:ascii="Times New Roman" w:hAnsi="Times New Roman"/>
          <w:color w:val="000000"/>
          <w:szCs w:val="20"/>
        </w:rPr>
        <w:t xml:space="preserve"> Депонентом за результатами </w:t>
      </w:r>
      <w:proofErr w:type="spellStart"/>
      <w:r w:rsidRPr="00E16672">
        <w:rPr>
          <w:rFonts w:ascii="Times New Roman" w:hAnsi="Times New Roman"/>
          <w:color w:val="000000"/>
          <w:szCs w:val="20"/>
        </w:rPr>
        <w:t>проведення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корпоративних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операцій</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емітента</w:t>
      </w:r>
      <w:proofErr w:type="spellEnd"/>
      <w:r w:rsidRPr="00E16672">
        <w:rPr>
          <w:rFonts w:ascii="Times New Roman" w:hAnsi="Times New Roman"/>
          <w:color w:val="000000"/>
          <w:szCs w:val="20"/>
        </w:rPr>
        <w:t xml:space="preserve">, шляхом </w:t>
      </w:r>
      <w:proofErr w:type="spellStart"/>
      <w:r w:rsidRPr="00E16672">
        <w:rPr>
          <w:rFonts w:ascii="Times New Roman" w:hAnsi="Times New Roman"/>
          <w:color w:val="000000"/>
          <w:szCs w:val="20"/>
        </w:rPr>
        <w:t>перерахування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грошових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коштів</w:t>
      </w:r>
      <w:proofErr w:type="spellEnd"/>
      <w:r w:rsidRPr="00E16672">
        <w:rPr>
          <w:rFonts w:ascii="Times New Roman" w:hAnsi="Times New Roman"/>
          <w:color w:val="000000"/>
          <w:szCs w:val="20"/>
        </w:rPr>
        <w:t xml:space="preserve"> на </w:t>
      </w:r>
      <w:proofErr w:type="spellStart"/>
      <w:r w:rsidRPr="00E16672">
        <w:rPr>
          <w:rFonts w:ascii="Times New Roman" w:hAnsi="Times New Roman"/>
          <w:color w:val="000000"/>
          <w:szCs w:val="20"/>
        </w:rPr>
        <w:t>грошовий</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банківський</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рахунок</w:t>
      </w:r>
      <w:proofErr w:type="spellEnd"/>
      <w:r w:rsidRPr="00E16672">
        <w:rPr>
          <w:rFonts w:ascii="Times New Roman" w:hAnsi="Times New Roman"/>
          <w:color w:val="000000"/>
          <w:szCs w:val="20"/>
        </w:rPr>
        <w:t xml:space="preserve"> Депонента, </w:t>
      </w:r>
      <w:proofErr w:type="spellStart"/>
      <w:r w:rsidRPr="00E16672">
        <w:rPr>
          <w:rFonts w:ascii="Times New Roman" w:hAnsi="Times New Roman"/>
          <w:color w:val="000000"/>
          <w:szCs w:val="20"/>
        </w:rPr>
        <w:t>реквізити</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якого</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зазначені</w:t>
      </w:r>
      <w:proofErr w:type="spellEnd"/>
      <w:r w:rsidRPr="00E16672">
        <w:rPr>
          <w:rFonts w:ascii="Times New Roman" w:hAnsi="Times New Roman"/>
          <w:color w:val="000000"/>
          <w:szCs w:val="20"/>
        </w:rPr>
        <w:t xml:space="preserve">  в </w:t>
      </w:r>
      <w:proofErr w:type="spellStart"/>
      <w:r w:rsidRPr="00E16672">
        <w:rPr>
          <w:rFonts w:ascii="Times New Roman" w:hAnsi="Times New Roman"/>
          <w:color w:val="000000"/>
          <w:szCs w:val="20"/>
        </w:rPr>
        <w:t>анкеті</w:t>
      </w:r>
      <w:proofErr w:type="spellEnd"/>
      <w:r w:rsidRPr="00E16672">
        <w:rPr>
          <w:rFonts w:ascii="Times New Roman" w:hAnsi="Times New Roman"/>
          <w:color w:val="000000"/>
          <w:szCs w:val="20"/>
        </w:rPr>
        <w:t xml:space="preserve"> </w:t>
      </w:r>
      <w:proofErr w:type="spellStart"/>
      <w:r w:rsidR="001216E2" w:rsidRPr="00E16672">
        <w:rPr>
          <w:rFonts w:ascii="Times New Roman" w:hAnsi="Times New Roman"/>
          <w:color w:val="000000"/>
          <w:szCs w:val="20"/>
        </w:rPr>
        <w:t>рахунк</w:t>
      </w:r>
      <w:proofErr w:type="spellEnd"/>
      <w:r w:rsidR="001216E2" w:rsidRPr="00E16672">
        <w:rPr>
          <w:rFonts w:ascii="Times New Roman" w:hAnsi="Times New Roman"/>
          <w:color w:val="000000"/>
          <w:szCs w:val="20"/>
          <w:lang w:val="uk-UA"/>
        </w:rPr>
        <w:t>у</w:t>
      </w:r>
      <w:r w:rsidR="001216E2" w:rsidRPr="00E16672">
        <w:rPr>
          <w:rFonts w:ascii="Times New Roman" w:hAnsi="Times New Roman"/>
          <w:color w:val="000000"/>
          <w:szCs w:val="20"/>
        </w:rPr>
        <w:t xml:space="preserve"> </w:t>
      </w:r>
      <w:r w:rsidR="00C22309" w:rsidRPr="00E16672">
        <w:rPr>
          <w:rFonts w:ascii="Times New Roman" w:hAnsi="Times New Roman"/>
          <w:color w:val="000000"/>
          <w:szCs w:val="20"/>
        </w:rPr>
        <w:t xml:space="preserve">в </w:t>
      </w:r>
      <w:proofErr w:type="spellStart"/>
      <w:r w:rsidR="00C22309" w:rsidRPr="00E16672">
        <w:rPr>
          <w:rFonts w:ascii="Times New Roman" w:hAnsi="Times New Roman"/>
          <w:color w:val="000000"/>
          <w:szCs w:val="20"/>
        </w:rPr>
        <w:t>цін</w:t>
      </w:r>
      <w:r w:rsidRPr="00E16672">
        <w:rPr>
          <w:rFonts w:ascii="Times New Roman" w:hAnsi="Times New Roman"/>
          <w:color w:val="000000"/>
          <w:szCs w:val="20"/>
        </w:rPr>
        <w:t>них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паперах</w:t>
      </w:r>
      <w:proofErr w:type="spellEnd"/>
      <w:r w:rsidRPr="00E16672">
        <w:rPr>
          <w:rFonts w:ascii="Times New Roman" w:hAnsi="Times New Roman"/>
          <w:color w:val="000000"/>
          <w:szCs w:val="20"/>
        </w:rPr>
        <w:t xml:space="preserve"> Депонента.</w:t>
      </w:r>
    </w:p>
    <w:p w14:paraId="58CD21B5" w14:textId="77777777" w:rsidR="00765E37" w:rsidRPr="00E16672" w:rsidRDefault="00765E37" w:rsidP="00765E37">
      <w:pPr>
        <w:rPr>
          <w:rFonts w:ascii="Times New Roman" w:hAnsi="Times New Roman"/>
          <w:color w:val="000000"/>
          <w:szCs w:val="20"/>
        </w:rPr>
      </w:pPr>
      <w:proofErr w:type="spellStart"/>
      <w:r w:rsidRPr="00E16672">
        <w:rPr>
          <w:rFonts w:ascii="Times New Roman" w:hAnsi="Times New Roman"/>
          <w:color w:val="000000"/>
          <w:szCs w:val="20"/>
        </w:rPr>
        <w:t>Якщо</w:t>
      </w:r>
      <w:proofErr w:type="spellEnd"/>
      <w:r w:rsidRPr="00E16672">
        <w:rPr>
          <w:rFonts w:ascii="Times New Roman" w:hAnsi="Times New Roman"/>
          <w:color w:val="000000"/>
          <w:szCs w:val="20"/>
        </w:rPr>
        <w:t xml:space="preserve"> в </w:t>
      </w:r>
      <w:proofErr w:type="spellStart"/>
      <w:r w:rsidRPr="00E16672">
        <w:rPr>
          <w:rFonts w:ascii="Times New Roman" w:hAnsi="Times New Roman"/>
          <w:color w:val="000000"/>
          <w:szCs w:val="20"/>
        </w:rPr>
        <w:t>анкеті</w:t>
      </w:r>
      <w:proofErr w:type="spellEnd"/>
      <w:r w:rsidRPr="00E16672">
        <w:rPr>
          <w:rFonts w:ascii="Times New Roman" w:hAnsi="Times New Roman"/>
          <w:color w:val="000000"/>
          <w:szCs w:val="20"/>
        </w:rPr>
        <w:t xml:space="preserve"> Депонента </w:t>
      </w:r>
      <w:proofErr w:type="spellStart"/>
      <w:r w:rsidRPr="00E16672">
        <w:rPr>
          <w:rFonts w:ascii="Times New Roman" w:hAnsi="Times New Roman"/>
          <w:color w:val="000000"/>
          <w:szCs w:val="20"/>
        </w:rPr>
        <w:t>відсутні</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реквізити</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діючого</w:t>
      </w:r>
      <w:proofErr w:type="spellEnd"/>
      <w:r w:rsidRPr="00E16672">
        <w:rPr>
          <w:rFonts w:ascii="Times New Roman" w:hAnsi="Times New Roman"/>
          <w:color w:val="000000"/>
          <w:szCs w:val="20"/>
        </w:rPr>
        <w:t xml:space="preserve"> грошового </w:t>
      </w:r>
      <w:proofErr w:type="spellStart"/>
      <w:r w:rsidRPr="00E16672">
        <w:rPr>
          <w:rFonts w:ascii="Times New Roman" w:hAnsi="Times New Roman"/>
          <w:color w:val="000000"/>
          <w:szCs w:val="20"/>
        </w:rPr>
        <w:t>банківського</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рахунку</w:t>
      </w:r>
      <w:proofErr w:type="spellEnd"/>
      <w:r w:rsidRPr="00E16672">
        <w:rPr>
          <w:rFonts w:ascii="Times New Roman" w:hAnsi="Times New Roman"/>
          <w:color w:val="000000"/>
          <w:szCs w:val="20"/>
        </w:rPr>
        <w:t xml:space="preserve"> на дату </w:t>
      </w:r>
      <w:proofErr w:type="spellStart"/>
      <w:r w:rsidRPr="00E16672">
        <w:rPr>
          <w:rFonts w:ascii="Times New Roman" w:hAnsi="Times New Roman"/>
          <w:color w:val="000000"/>
          <w:szCs w:val="20"/>
        </w:rPr>
        <w:t>надходження</w:t>
      </w:r>
      <w:proofErr w:type="spellEnd"/>
      <w:r w:rsidRPr="00E16672">
        <w:rPr>
          <w:rFonts w:ascii="Times New Roman" w:hAnsi="Times New Roman"/>
          <w:color w:val="000000"/>
          <w:szCs w:val="20"/>
        </w:rPr>
        <w:t xml:space="preserve"> до </w:t>
      </w:r>
      <w:proofErr w:type="spellStart"/>
      <w:r w:rsidRPr="00E16672">
        <w:rPr>
          <w:rFonts w:ascii="Times New Roman" w:hAnsi="Times New Roman"/>
          <w:color w:val="000000"/>
          <w:szCs w:val="20"/>
        </w:rPr>
        <w:t>Депозитарної</w:t>
      </w:r>
      <w:proofErr w:type="spellEnd"/>
      <w:r w:rsidRPr="00E16672">
        <w:rPr>
          <w:rFonts w:ascii="Times New Roman" w:hAnsi="Times New Roman"/>
          <w:color w:val="000000"/>
          <w:szCs w:val="20"/>
        </w:rPr>
        <w:t xml:space="preserve"> установи </w:t>
      </w:r>
      <w:proofErr w:type="spellStart"/>
      <w:r w:rsidRPr="00E16672">
        <w:rPr>
          <w:rFonts w:ascii="Times New Roman" w:hAnsi="Times New Roman"/>
          <w:color w:val="000000"/>
          <w:szCs w:val="20"/>
        </w:rPr>
        <w:t>відповідних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коштів</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виплата</w:t>
      </w:r>
      <w:proofErr w:type="spellEnd"/>
      <w:r w:rsidRPr="00E16672">
        <w:rPr>
          <w:rFonts w:ascii="Times New Roman" w:hAnsi="Times New Roman"/>
          <w:color w:val="000000"/>
          <w:szCs w:val="20"/>
        </w:rPr>
        <w:t xml:space="preserve"> доходу за </w:t>
      </w:r>
      <w:proofErr w:type="spellStart"/>
      <w:r w:rsidRPr="00E16672">
        <w:rPr>
          <w:rFonts w:ascii="Times New Roman" w:hAnsi="Times New Roman"/>
          <w:color w:val="000000"/>
          <w:szCs w:val="20"/>
        </w:rPr>
        <w:t>цінними</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паперами</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здійснюється</w:t>
      </w:r>
      <w:proofErr w:type="spellEnd"/>
      <w:r w:rsidRPr="00E16672">
        <w:rPr>
          <w:rFonts w:ascii="Times New Roman" w:hAnsi="Times New Roman"/>
          <w:color w:val="000000"/>
          <w:szCs w:val="20"/>
        </w:rPr>
        <w:t xml:space="preserve"> не </w:t>
      </w:r>
      <w:proofErr w:type="spellStart"/>
      <w:r w:rsidRPr="00E16672">
        <w:rPr>
          <w:rFonts w:ascii="Times New Roman" w:hAnsi="Times New Roman"/>
          <w:color w:val="000000"/>
          <w:szCs w:val="20"/>
        </w:rPr>
        <w:t>пізніше</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ніж</w:t>
      </w:r>
      <w:proofErr w:type="spellEnd"/>
      <w:r w:rsidRPr="00E16672">
        <w:rPr>
          <w:rFonts w:ascii="Times New Roman" w:hAnsi="Times New Roman"/>
          <w:color w:val="000000"/>
          <w:szCs w:val="20"/>
        </w:rPr>
        <w:t xml:space="preserve"> за десять </w:t>
      </w:r>
      <w:proofErr w:type="spellStart"/>
      <w:r w:rsidRPr="00E16672">
        <w:rPr>
          <w:rFonts w:ascii="Times New Roman" w:hAnsi="Times New Roman"/>
          <w:color w:val="000000"/>
          <w:szCs w:val="20"/>
        </w:rPr>
        <w:t>робочих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днів</w:t>
      </w:r>
      <w:proofErr w:type="spellEnd"/>
      <w:r w:rsidRPr="00E16672">
        <w:rPr>
          <w:rFonts w:ascii="Times New Roman" w:hAnsi="Times New Roman"/>
          <w:color w:val="000000"/>
          <w:szCs w:val="20"/>
        </w:rPr>
        <w:t xml:space="preserve"> до </w:t>
      </w:r>
      <w:proofErr w:type="spellStart"/>
      <w:r w:rsidRPr="00E16672">
        <w:rPr>
          <w:rFonts w:ascii="Times New Roman" w:hAnsi="Times New Roman"/>
          <w:color w:val="000000"/>
          <w:szCs w:val="20"/>
        </w:rPr>
        <w:t>закінчення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шестимісячного</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терміну</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знаходження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коштів</w:t>
      </w:r>
      <w:proofErr w:type="spellEnd"/>
      <w:r w:rsidRPr="00E16672">
        <w:rPr>
          <w:rFonts w:ascii="Times New Roman" w:hAnsi="Times New Roman"/>
          <w:color w:val="000000"/>
          <w:szCs w:val="20"/>
        </w:rPr>
        <w:t xml:space="preserve"> у </w:t>
      </w:r>
      <w:proofErr w:type="spellStart"/>
      <w:r w:rsidRPr="00E16672">
        <w:rPr>
          <w:rFonts w:ascii="Times New Roman" w:hAnsi="Times New Roman"/>
          <w:color w:val="000000"/>
          <w:szCs w:val="20"/>
        </w:rPr>
        <w:t>Депозитарній</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установі</w:t>
      </w:r>
      <w:proofErr w:type="spellEnd"/>
      <w:r w:rsidRPr="00E16672">
        <w:rPr>
          <w:rFonts w:ascii="Times New Roman" w:hAnsi="Times New Roman"/>
          <w:color w:val="000000"/>
          <w:szCs w:val="20"/>
        </w:rPr>
        <w:t xml:space="preserve"> у </w:t>
      </w:r>
      <w:proofErr w:type="spellStart"/>
      <w:r w:rsidRPr="00E16672">
        <w:rPr>
          <w:rFonts w:ascii="Times New Roman" w:hAnsi="Times New Roman"/>
          <w:color w:val="000000"/>
          <w:szCs w:val="20"/>
        </w:rPr>
        <w:t>разі</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внесення</w:t>
      </w:r>
      <w:proofErr w:type="spellEnd"/>
      <w:r w:rsidRPr="00E16672">
        <w:rPr>
          <w:rFonts w:ascii="Times New Roman" w:hAnsi="Times New Roman"/>
          <w:color w:val="000000"/>
          <w:szCs w:val="20"/>
        </w:rPr>
        <w:t xml:space="preserve"> Депонентом до </w:t>
      </w:r>
      <w:proofErr w:type="spellStart"/>
      <w:r w:rsidRPr="00E16672">
        <w:rPr>
          <w:rFonts w:ascii="Times New Roman" w:hAnsi="Times New Roman"/>
          <w:color w:val="000000"/>
          <w:szCs w:val="20"/>
        </w:rPr>
        <w:t>анкети</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рахунку</w:t>
      </w:r>
      <w:proofErr w:type="spellEnd"/>
      <w:r w:rsidRPr="00E16672">
        <w:rPr>
          <w:rFonts w:ascii="Times New Roman" w:hAnsi="Times New Roman"/>
          <w:color w:val="000000"/>
          <w:szCs w:val="20"/>
        </w:rPr>
        <w:t xml:space="preserve"> </w:t>
      </w:r>
      <w:r w:rsidR="00C22309" w:rsidRPr="00E16672">
        <w:rPr>
          <w:rFonts w:ascii="Times New Roman" w:hAnsi="Times New Roman"/>
          <w:color w:val="000000"/>
          <w:szCs w:val="20"/>
        </w:rPr>
        <w:t xml:space="preserve">в </w:t>
      </w:r>
      <w:proofErr w:type="spellStart"/>
      <w:r w:rsidR="00C22309" w:rsidRPr="00E16672">
        <w:rPr>
          <w:rFonts w:ascii="Times New Roman" w:hAnsi="Times New Roman"/>
          <w:color w:val="000000"/>
          <w:szCs w:val="20"/>
        </w:rPr>
        <w:t>цін</w:t>
      </w:r>
      <w:r w:rsidRPr="00E16672">
        <w:rPr>
          <w:rFonts w:ascii="Times New Roman" w:hAnsi="Times New Roman"/>
          <w:color w:val="000000"/>
          <w:szCs w:val="20"/>
        </w:rPr>
        <w:t>них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паперах</w:t>
      </w:r>
      <w:proofErr w:type="spellEnd"/>
      <w:r w:rsidRPr="00E16672">
        <w:rPr>
          <w:rFonts w:ascii="Times New Roman" w:hAnsi="Times New Roman"/>
          <w:color w:val="000000"/>
          <w:szCs w:val="20"/>
        </w:rPr>
        <w:t xml:space="preserve"> не </w:t>
      </w:r>
      <w:proofErr w:type="spellStart"/>
      <w:r w:rsidRPr="00E16672">
        <w:rPr>
          <w:rFonts w:ascii="Times New Roman" w:hAnsi="Times New Roman"/>
          <w:color w:val="000000"/>
          <w:szCs w:val="20"/>
        </w:rPr>
        <w:t>пізніше</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ніж</w:t>
      </w:r>
      <w:proofErr w:type="spellEnd"/>
      <w:r w:rsidRPr="00E16672">
        <w:rPr>
          <w:rFonts w:ascii="Times New Roman" w:hAnsi="Times New Roman"/>
          <w:color w:val="000000"/>
          <w:szCs w:val="20"/>
        </w:rPr>
        <w:t xml:space="preserve"> за </w:t>
      </w:r>
      <w:proofErr w:type="spellStart"/>
      <w:r w:rsidRPr="00E16672">
        <w:rPr>
          <w:rFonts w:ascii="Times New Roman" w:hAnsi="Times New Roman"/>
          <w:color w:val="000000"/>
          <w:szCs w:val="20"/>
        </w:rPr>
        <w:t>п'ятнадцять</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робочих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днів</w:t>
      </w:r>
      <w:proofErr w:type="spellEnd"/>
      <w:r w:rsidRPr="00E16672">
        <w:rPr>
          <w:rFonts w:ascii="Times New Roman" w:hAnsi="Times New Roman"/>
          <w:color w:val="000000"/>
          <w:szCs w:val="20"/>
        </w:rPr>
        <w:t xml:space="preserve"> до </w:t>
      </w:r>
      <w:proofErr w:type="spellStart"/>
      <w:r w:rsidRPr="00E16672">
        <w:rPr>
          <w:rFonts w:ascii="Times New Roman" w:hAnsi="Times New Roman"/>
          <w:color w:val="000000"/>
          <w:szCs w:val="20"/>
        </w:rPr>
        <w:t>закінчення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зазначеного</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терміну</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інформації</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щодо</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діючого</w:t>
      </w:r>
      <w:proofErr w:type="spellEnd"/>
      <w:r w:rsidRPr="00E16672">
        <w:rPr>
          <w:rFonts w:ascii="Times New Roman" w:hAnsi="Times New Roman"/>
          <w:color w:val="000000"/>
          <w:szCs w:val="20"/>
        </w:rPr>
        <w:t xml:space="preserve"> грошового </w:t>
      </w:r>
      <w:proofErr w:type="spellStart"/>
      <w:r w:rsidRPr="00E16672">
        <w:rPr>
          <w:rFonts w:ascii="Times New Roman" w:hAnsi="Times New Roman"/>
          <w:color w:val="000000"/>
          <w:szCs w:val="20"/>
        </w:rPr>
        <w:t>банківського</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рахунку</w:t>
      </w:r>
      <w:proofErr w:type="spellEnd"/>
      <w:r w:rsidRPr="00E16672">
        <w:rPr>
          <w:rFonts w:ascii="Times New Roman" w:hAnsi="Times New Roman"/>
          <w:color w:val="000000"/>
          <w:szCs w:val="20"/>
        </w:rPr>
        <w:t xml:space="preserve">. </w:t>
      </w:r>
    </w:p>
    <w:p w14:paraId="50930487" w14:textId="77777777" w:rsidR="00765E37" w:rsidRPr="00E16672" w:rsidRDefault="00765E37" w:rsidP="00765E37">
      <w:pPr>
        <w:rPr>
          <w:rFonts w:ascii="Times New Roman" w:hAnsi="Times New Roman"/>
          <w:color w:val="000000"/>
          <w:szCs w:val="20"/>
        </w:rPr>
      </w:pPr>
      <w:proofErr w:type="spellStart"/>
      <w:r w:rsidRPr="00E16672">
        <w:rPr>
          <w:rFonts w:ascii="Times New Roman" w:hAnsi="Times New Roman"/>
          <w:color w:val="000000"/>
          <w:szCs w:val="20"/>
        </w:rPr>
        <w:t>Щодо</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коштів</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які</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надійшли</w:t>
      </w:r>
      <w:proofErr w:type="spellEnd"/>
      <w:r w:rsidRPr="00E16672">
        <w:rPr>
          <w:rFonts w:ascii="Times New Roman" w:hAnsi="Times New Roman"/>
          <w:color w:val="000000"/>
          <w:szCs w:val="20"/>
        </w:rPr>
        <w:t xml:space="preserve"> на </w:t>
      </w:r>
      <w:proofErr w:type="spellStart"/>
      <w:r w:rsidRPr="00E16672">
        <w:rPr>
          <w:rFonts w:ascii="Times New Roman" w:hAnsi="Times New Roman"/>
          <w:color w:val="000000"/>
          <w:szCs w:val="20"/>
        </w:rPr>
        <w:t>грошовий</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рахунок</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Депозитарної</w:t>
      </w:r>
      <w:proofErr w:type="spellEnd"/>
      <w:r w:rsidRPr="00E16672">
        <w:rPr>
          <w:rFonts w:ascii="Times New Roman" w:hAnsi="Times New Roman"/>
          <w:color w:val="000000"/>
          <w:szCs w:val="20"/>
        </w:rPr>
        <w:t xml:space="preserve"> установи з метою </w:t>
      </w:r>
      <w:proofErr w:type="spellStart"/>
      <w:r w:rsidRPr="00E16672">
        <w:rPr>
          <w:rFonts w:ascii="Times New Roman" w:hAnsi="Times New Roman"/>
          <w:color w:val="000000"/>
          <w:szCs w:val="20"/>
        </w:rPr>
        <w:t>їх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подальшого</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переказу</w:t>
      </w:r>
      <w:proofErr w:type="spellEnd"/>
      <w:r w:rsidRPr="00E16672">
        <w:rPr>
          <w:rFonts w:ascii="Times New Roman" w:hAnsi="Times New Roman"/>
          <w:color w:val="000000"/>
          <w:szCs w:val="20"/>
        </w:rPr>
        <w:t xml:space="preserve"> та не </w:t>
      </w:r>
      <w:proofErr w:type="spellStart"/>
      <w:r w:rsidRPr="00E16672">
        <w:rPr>
          <w:rFonts w:ascii="Times New Roman" w:hAnsi="Times New Roman"/>
          <w:color w:val="000000"/>
          <w:szCs w:val="20"/>
        </w:rPr>
        <w:t>були</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виплачені</w:t>
      </w:r>
      <w:proofErr w:type="spellEnd"/>
      <w:r w:rsidRPr="00E16672">
        <w:rPr>
          <w:rFonts w:ascii="Times New Roman" w:hAnsi="Times New Roman"/>
          <w:color w:val="000000"/>
          <w:szCs w:val="20"/>
        </w:rPr>
        <w:t xml:space="preserve"> Депоненту через </w:t>
      </w:r>
      <w:proofErr w:type="spellStart"/>
      <w:r w:rsidRPr="00E16672">
        <w:rPr>
          <w:rFonts w:ascii="Times New Roman" w:hAnsi="Times New Roman"/>
          <w:color w:val="000000"/>
          <w:szCs w:val="20"/>
        </w:rPr>
        <w:t>незалежні</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від</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Депозитарної</w:t>
      </w:r>
      <w:proofErr w:type="spellEnd"/>
      <w:r w:rsidRPr="00E16672">
        <w:rPr>
          <w:rFonts w:ascii="Times New Roman" w:hAnsi="Times New Roman"/>
          <w:color w:val="000000"/>
          <w:szCs w:val="20"/>
        </w:rPr>
        <w:t xml:space="preserve"> установи </w:t>
      </w:r>
      <w:proofErr w:type="spellStart"/>
      <w:r w:rsidRPr="00E16672">
        <w:rPr>
          <w:rFonts w:ascii="Times New Roman" w:hAnsi="Times New Roman"/>
          <w:color w:val="000000"/>
          <w:szCs w:val="20"/>
        </w:rPr>
        <w:t>обставини</w:t>
      </w:r>
      <w:proofErr w:type="spellEnd"/>
      <w:r w:rsidRPr="00E16672">
        <w:rPr>
          <w:rFonts w:ascii="Times New Roman" w:hAnsi="Times New Roman"/>
          <w:color w:val="000000"/>
          <w:szCs w:val="20"/>
        </w:rPr>
        <w:t xml:space="preserve"> у </w:t>
      </w:r>
      <w:proofErr w:type="spellStart"/>
      <w:r w:rsidRPr="00E16672">
        <w:rPr>
          <w:rFonts w:ascii="Times New Roman" w:hAnsi="Times New Roman"/>
          <w:color w:val="000000"/>
          <w:szCs w:val="20"/>
        </w:rPr>
        <w:t>разі</w:t>
      </w:r>
      <w:proofErr w:type="spellEnd"/>
      <w:r w:rsidRPr="00E16672">
        <w:rPr>
          <w:rFonts w:ascii="Times New Roman" w:hAnsi="Times New Roman"/>
          <w:color w:val="000000"/>
          <w:szCs w:val="20"/>
        </w:rPr>
        <w:t xml:space="preserve"> не </w:t>
      </w:r>
      <w:proofErr w:type="spellStart"/>
      <w:r w:rsidRPr="00E16672">
        <w:rPr>
          <w:rFonts w:ascii="Times New Roman" w:hAnsi="Times New Roman"/>
          <w:color w:val="000000"/>
          <w:szCs w:val="20"/>
        </w:rPr>
        <w:t>вчинення</w:t>
      </w:r>
      <w:proofErr w:type="spellEnd"/>
      <w:r w:rsidRPr="00E16672">
        <w:rPr>
          <w:rFonts w:ascii="Times New Roman" w:hAnsi="Times New Roman"/>
          <w:color w:val="000000"/>
          <w:szCs w:val="20"/>
        </w:rPr>
        <w:t xml:space="preserve"> Депонентом </w:t>
      </w:r>
      <w:proofErr w:type="spellStart"/>
      <w:r w:rsidRPr="00E16672">
        <w:rPr>
          <w:rFonts w:ascii="Times New Roman" w:hAnsi="Times New Roman"/>
          <w:color w:val="000000"/>
          <w:szCs w:val="20"/>
        </w:rPr>
        <w:t>необхідних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дій</w:t>
      </w:r>
      <w:proofErr w:type="spellEnd"/>
      <w:r w:rsidRPr="00E16672">
        <w:rPr>
          <w:rFonts w:ascii="Times New Roman" w:hAnsi="Times New Roman"/>
          <w:color w:val="000000"/>
          <w:szCs w:val="20"/>
        </w:rPr>
        <w:t xml:space="preserve"> для </w:t>
      </w:r>
      <w:proofErr w:type="spellStart"/>
      <w:r w:rsidRPr="00E16672">
        <w:rPr>
          <w:rFonts w:ascii="Times New Roman" w:hAnsi="Times New Roman"/>
          <w:color w:val="000000"/>
          <w:szCs w:val="20"/>
        </w:rPr>
        <w:t>їх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отримання</w:t>
      </w:r>
      <w:proofErr w:type="spellEnd"/>
      <w:r w:rsidRPr="00E16672">
        <w:rPr>
          <w:rFonts w:ascii="Times New Roman" w:hAnsi="Times New Roman"/>
          <w:color w:val="000000"/>
          <w:szCs w:val="20"/>
        </w:rPr>
        <w:t xml:space="preserve">, Депозитарною </w:t>
      </w:r>
      <w:proofErr w:type="spellStart"/>
      <w:r w:rsidRPr="00E16672">
        <w:rPr>
          <w:rFonts w:ascii="Times New Roman" w:hAnsi="Times New Roman"/>
          <w:color w:val="000000"/>
          <w:szCs w:val="20"/>
        </w:rPr>
        <w:t>установою</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вчиняються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дії</w:t>
      </w:r>
      <w:proofErr w:type="spellEnd"/>
      <w:r w:rsidRPr="00E16672">
        <w:rPr>
          <w:rFonts w:ascii="Times New Roman" w:hAnsi="Times New Roman"/>
          <w:color w:val="000000"/>
          <w:szCs w:val="20"/>
        </w:rPr>
        <w:t xml:space="preserve"> </w:t>
      </w:r>
      <w:proofErr w:type="gramStart"/>
      <w:r w:rsidRPr="00E16672">
        <w:rPr>
          <w:rFonts w:ascii="Times New Roman" w:hAnsi="Times New Roman"/>
          <w:color w:val="000000"/>
          <w:szCs w:val="20"/>
        </w:rPr>
        <w:t>у порядку</w:t>
      </w:r>
      <w:proofErr w:type="gram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передбаченому</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законодавством</w:t>
      </w:r>
      <w:proofErr w:type="spellEnd"/>
      <w:r w:rsidRPr="00E16672">
        <w:rPr>
          <w:rFonts w:ascii="Times New Roman" w:hAnsi="Times New Roman"/>
          <w:color w:val="000000"/>
          <w:szCs w:val="20"/>
        </w:rPr>
        <w:t xml:space="preserve"> та/</w:t>
      </w:r>
      <w:proofErr w:type="spellStart"/>
      <w:r w:rsidRPr="00E16672">
        <w:rPr>
          <w:rFonts w:ascii="Times New Roman" w:hAnsi="Times New Roman"/>
          <w:color w:val="000000"/>
          <w:szCs w:val="20"/>
        </w:rPr>
        <w:t>або</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внутрішніми</w:t>
      </w:r>
      <w:proofErr w:type="spellEnd"/>
      <w:r w:rsidRPr="00E16672">
        <w:rPr>
          <w:rFonts w:ascii="Times New Roman" w:hAnsi="Times New Roman"/>
          <w:color w:val="000000"/>
          <w:szCs w:val="20"/>
        </w:rPr>
        <w:t xml:space="preserve"> документами </w:t>
      </w:r>
      <w:proofErr w:type="spellStart"/>
      <w:r w:rsidRPr="00E16672">
        <w:rPr>
          <w:rFonts w:ascii="Times New Roman" w:hAnsi="Times New Roman"/>
          <w:color w:val="000000"/>
          <w:szCs w:val="20"/>
        </w:rPr>
        <w:t>Депозитарної</w:t>
      </w:r>
      <w:proofErr w:type="spellEnd"/>
      <w:r w:rsidRPr="00E16672">
        <w:rPr>
          <w:rFonts w:ascii="Times New Roman" w:hAnsi="Times New Roman"/>
          <w:color w:val="000000"/>
          <w:szCs w:val="20"/>
        </w:rPr>
        <w:t xml:space="preserve"> установи.</w:t>
      </w:r>
    </w:p>
    <w:p w14:paraId="33219ED6" w14:textId="77777777" w:rsidR="00765E37" w:rsidRPr="00E16672" w:rsidRDefault="00577C78" w:rsidP="00765E37">
      <w:pPr>
        <w:rPr>
          <w:rFonts w:ascii="Times New Roman" w:hAnsi="Times New Roman"/>
          <w:color w:val="000000"/>
          <w:szCs w:val="20"/>
        </w:rPr>
      </w:pPr>
      <w:r w:rsidRPr="00E16672">
        <w:rPr>
          <w:rFonts w:ascii="Times New Roman" w:hAnsi="Times New Roman"/>
          <w:color w:val="000000"/>
          <w:szCs w:val="20"/>
        </w:rPr>
        <w:t>11</w:t>
      </w:r>
      <w:r w:rsidR="00765E37" w:rsidRPr="00E16672">
        <w:rPr>
          <w:rFonts w:ascii="Times New Roman" w:hAnsi="Times New Roman"/>
          <w:color w:val="000000"/>
          <w:szCs w:val="20"/>
        </w:rPr>
        <w:t xml:space="preserve">.1.2. У </w:t>
      </w:r>
      <w:proofErr w:type="spellStart"/>
      <w:r w:rsidR="00765E37" w:rsidRPr="00E16672">
        <w:rPr>
          <w:rFonts w:ascii="Times New Roman" w:hAnsi="Times New Roman"/>
          <w:color w:val="000000"/>
          <w:szCs w:val="20"/>
        </w:rPr>
        <w:t>термін</w:t>
      </w:r>
      <w:proofErr w:type="spellEnd"/>
      <w:r w:rsidR="00765E37" w:rsidRPr="00E16672">
        <w:rPr>
          <w:rFonts w:ascii="Times New Roman" w:hAnsi="Times New Roman"/>
          <w:color w:val="000000"/>
          <w:szCs w:val="20"/>
        </w:rPr>
        <w:t xml:space="preserve"> не </w:t>
      </w:r>
      <w:proofErr w:type="spellStart"/>
      <w:r w:rsidR="00765E37" w:rsidRPr="00E16672">
        <w:rPr>
          <w:rFonts w:ascii="Times New Roman" w:hAnsi="Times New Roman"/>
          <w:color w:val="000000"/>
          <w:szCs w:val="20"/>
        </w:rPr>
        <w:t>пізніше</w:t>
      </w:r>
      <w:proofErr w:type="spellEnd"/>
      <w:r w:rsidR="00765E37" w:rsidRPr="00E16672">
        <w:rPr>
          <w:rFonts w:ascii="Times New Roman" w:hAnsi="Times New Roman"/>
          <w:color w:val="000000"/>
          <w:szCs w:val="20"/>
        </w:rPr>
        <w:t xml:space="preserve"> десяти </w:t>
      </w:r>
      <w:proofErr w:type="spellStart"/>
      <w:r w:rsidR="00765E37" w:rsidRPr="00E16672">
        <w:rPr>
          <w:rFonts w:ascii="Times New Roman" w:hAnsi="Times New Roman"/>
          <w:color w:val="000000"/>
          <w:szCs w:val="20"/>
        </w:rPr>
        <w:t>робочих</w:t>
      </w:r>
      <w:proofErr w:type="spellEnd"/>
      <w:r w:rsidR="00765E37" w:rsidRPr="00E16672">
        <w:rPr>
          <w:rFonts w:ascii="Times New Roman" w:hAnsi="Times New Roman"/>
          <w:color w:val="000000"/>
          <w:szCs w:val="20"/>
        </w:rPr>
        <w:t xml:space="preserve"> </w:t>
      </w:r>
      <w:proofErr w:type="spellStart"/>
      <w:r w:rsidR="00765E37" w:rsidRPr="00E16672">
        <w:rPr>
          <w:rFonts w:ascii="Times New Roman" w:hAnsi="Times New Roman"/>
          <w:color w:val="000000"/>
          <w:szCs w:val="20"/>
        </w:rPr>
        <w:t>днів</w:t>
      </w:r>
      <w:proofErr w:type="spellEnd"/>
      <w:r w:rsidR="00765E37" w:rsidRPr="00E16672">
        <w:rPr>
          <w:rFonts w:ascii="Times New Roman" w:hAnsi="Times New Roman"/>
          <w:color w:val="000000"/>
          <w:szCs w:val="20"/>
        </w:rPr>
        <w:t xml:space="preserve"> з моменту </w:t>
      </w:r>
      <w:proofErr w:type="spellStart"/>
      <w:r w:rsidR="00765E37" w:rsidRPr="00E16672">
        <w:rPr>
          <w:rFonts w:ascii="Times New Roman" w:hAnsi="Times New Roman"/>
          <w:color w:val="000000"/>
          <w:szCs w:val="20"/>
        </w:rPr>
        <w:t>надходження</w:t>
      </w:r>
      <w:proofErr w:type="spellEnd"/>
      <w:r w:rsidR="00765E37" w:rsidRPr="00E16672">
        <w:rPr>
          <w:rFonts w:ascii="Times New Roman" w:hAnsi="Times New Roman"/>
          <w:color w:val="000000"/>
          <w:szCs w:val="20"/>
        </w:rPr>
        <w:t xml:space="preserve"> </w:t>
      </w:r>
      <w:proofErr w:type="spellStart"/>
      <w:r w:rsidR="00765E37" w:rsidRPr="00E16672">
        <w:rPr>
          <w:rFonts w:ascii="Times New Roman" w:hAnsi="Times New Roman"/>
          <w:color w:val="000000"/>
          <w:szCs w:val="20"/>
        </w:rPr>
        <w:t>відповідних</w:t>
      </w:r>
      <w:proofErr w:type="spellEnd"/>
      <w:r w:rsidR="00765E37" w:rsidRPr="00E16672">
        <w:rPr>
          <w:rFonts w:ascii="Times New Roman" w:hAnsi="Times New Roman"/>
          <w:color w:val="000000"/>
          <w:szCs w:val="20"/>
        </w:rPr>
        <w:t xml:space="preserve"> </w:t>
      </w:r>
      <w:proofErr w:type="spellStart"/>
      <w:r w:rsidR="00765E37" w:rsidRPr="00E16672">
        <w:rPr>
          <w:rFonts w:ascii="Times New Roman" w:hAnsi="Times New Roman"/>
          <w:color w:val="000000"/>
          <w:szCs w:val="20"/>
        </w:rPr>
        <w:t>коштів</w:t>
      </w:r>
      <w:proofErr w:type="spellEnd"/>
      <w:r w:rsidR="00765E37" w:rsidRPr="00E16672">
        <w:rPr>
          <w:rFonts w:ascii="Times New Roman" w:hAnsi="Times New Roman"/>
          <w:color w:val="000000"/>
          <w:szCs w:val="20"/>
        </w:rPr>
        <w:t xml:space="preserve"> на </w:t>
      </w:r>
      <w:proofErr w:type="spellStart"/>
      <w:r w:rsidR="00765E37" w:rsidRPr="00E16672">
        <w:rPr>
          <w:rFonts w:ascii="Times New Roman" w:hAnsi="Times New Roman"/>
          <w:color w:val="000000"/>
          <w:szCs w:val="20"/>
        </w:rPr>
        <w:t>грошовий</w:t>
      </w:r>
      <w:proofErr w:type="spellEnd"/>
      <w:r w:rsidR="00765E37" w:rsidRPr="00E16672">
        <w:rPr>
          <w:rFonts w:ascii="Times New Roman" w:hAnsi="Times New Roman"/>
          <w:color w:val="000000"/>
          <w:szCs w:val="20"/>
        </w:rPr>
        <w:t xml:space="preserve"> </w:t>
      </w:r>
      <w:proofErr w:type="spellStart"/>
      <w:r w:rsidR="00765E37" w:rsidRPr="00E16672">
        <w:rPr>
          <w:rFonts w:ascii="Times New Roman" w:hAnsi="Times New Roman"/>
          <w:color w:val="000000"/>
          <w:szCs w:val="20"/>
        </w:rPr>
        <w:t>рахунок</w:t>
      </w:r>
      <w:proofErr w:type="spellEnd"/>
      <w:r w:rsidR="00765E37" w:rsidRPr="00E16672">
        <w:rPr>
          <w:rFonts w:ascii="Times New Roman" w:hAnsi="Times New Roman"/>
          <w:color w:val="000000"/>
          <w:szCs w:val="20"/>
        </w:rPr>
        <w:t xml:space="preserve"> </w:t>
      </w:r>
      <w:proofErr w:type="spellStart"/>
      <w:r w:rsidR="00765E37" w:rsidRPr="00E16672">
        <w:rPr>
          <w:rFonts w:ascii="Times New Roman" w:hAnsi="Times New Roman"/>
          <w:color w:val="000000"/>
          <w:szCs w:val="20"/>
        </w:rPr>
        <w:t>Депозитарної</w:t>
      </w:r>
      <w:proofErr w:type="spellEnd"/>
      <w:r w:rsidR="00765E37" w:rsidRPr="00E16672">
        <w:rPr>
          <w:rFonts w:ascii="Times New Roman" w:hAnsi="Times New Roman"/>
          <w:color w:val="000000"/>
          <w:szCs w:val="20"/>
        </w:rPr>
        <w:t xml:space="preserve"> установи </w:t>
      </w:r>
      <w:proofErr w:type="spellStart"/>
      <w:r w:rsidR="00765E37" w:rsidRPr="00E16672">
        <w:rPr>
          <w:rFonts w:ascii="Times New Roman" w:hAnsi="Times New Roman"/>
          <w:color w:val="000000"/>
          <w:szCs w:val="20"/>
        </w:rPr>
        <w:t>Депозитарна</w:t>
      </w:r>
      <w:proofErr w:type="spellEnd"/>
      <w:r w:rsidR="00765E37" w:rsidRPr="00E16672">
        <w:rPr>
          <w:rFonts w:ascii="Times New Roman" w:hAnsi="Times New Roman"/>
          <w:color w:val="000000"/>
          <w:szCs w:val="20"/>
        </w:rPr>
        <w:t xml:space="preserve"> </w:t>
      </w:r>
      <w:proofErr w:type="spellStart"/>
      <w:r w:rsidR="00765E37" w:rsidRPr="00E16672">
        <w:rPr>
          <w:rFonts w:ascii="Times New Roman" w:hAnsi="Times New Roman"/>
          <w:color w:val="000000"/>
          <w:szCs w:val="20"/>
        </w:rPr>
        <w:t>установа</w:t>
      </w:r>
      <w:proofErr w:type="spellEnd"/>
      <w:r w:rsidR="00765E37" w:rsidRPr="00E16672">
        <w:rPr>
          <w:rFonts w:ascii="Times New Roman" w:hAnsi="Times New Roman"/>
          <w:color w:val="000000"/>
          <w:szCs w:val="20"/>
        </w:rPr>
        <w:t xml:space="preserve"> </w:t>
      </w:r>
      <w:proofErr w:type="spellStart"/>
      <w:r w:rsidR="00765E37" w:rsidRPr="00E16672">
        <w:rPr>
          <w:rFonts w:ascii="Times New Roman" w:hAnsi="Times New Roman"/>
          <w:color w:val="000000"/>
          <w:szCs w:val="20"/>
        </w:rPr>
        <w:t>здійснює</w:t>
      </w:r>
      <w:proofErr w:type="spellEnd"/>
      <w:r w:rsidR="00765E37" w:rsidRPr="00E16672">
        <w:rPr>
          <w:rFonts w:ascii="Times New Roman" w:hAnsi="Times New Roman"/>
          <w:color w:val="000000"/>
          <w:szCs w:val="20"/>
        </w:rPr>
        <w:t xml:space="preserve"> </w:t>
      </w:r>
      <w:proofErr w:type="spellStart"/>
      <w:r w:rsidR="00765E37" w:rsidRPr="00E16672">
        <w:rPr>
          <w:rFonts w:ascii="Times New Roman" w:hAnsi="Times New Roman"/>
          <w:color w:val="000000"/>
          <w:szCs w:val="20"/>
        </w:rPr>
        <w:t>виплату</w:t>
      </w:r>
      <w:proofErr w:type="spellEnd"/>
      <w:r w:rsidR="00765E37" w:rsidRPr="00E16672">
        <w:rPr>
          <w:rFonts w:ascii="Times New Roman" w:hAnsi="Times New Roman"/>
          <w:color w:val="000000"/>
          <w:szCs w:val="20"/>
        </w:rPr>
        <w:t xml:space="preserve"> </w:t>
      </w:r>
      <w:proofErr w:type="spellStart"/>
      <w:r w:rsidR="00765E37" w:rsidRPr="00E16672">
        <w:rPr>
          <w:rFonts w:ascii="Times New Roman" w:hAnsi="Times New Roman"/>
          <w:color w:val="000000"/>
          <w:szCs w:val="20"/>
        </w:rPr>
        <w:t>грошових</w:t>
      </w:r>
      <w:proofErr w:type="spellEnd"/>
      <w:r w:rsidR="00765E37" w:rsidRPr="00E16672">
        <w:rPr>
          <w:rFonts w:ascii="Times New Roman" w:hAnsi="Times New Roman"/>
          <w:color w:val="000000"/>
          <w:szCs w:val="20"/>
        </w:rPr>
        <w:t xml:space="preserve"> </w:t>
      </w:r>
      <w:proofErr w:type="spellStart"/>
      <w:r w:rsidR="00765E37" w:rsidRPr="00E16672">
        <w:rPr>
          <w:rFonts w:ascii="Times New Roman" w:hAnsi="Times New Roman"/>
          <w:color w:val="000000"/>
          <w:szCs w:val="20"/>
        </w:rPr>
        <w:t>коштів</w:t>
      </w:r>
      <w:proofErr w:type="spellEnd"/>
      <w:r w:rsidR="00765E37" w:rsidRPr="00E16672">
        <w:rPr>
          <w:rFonts w:ascii="Times New Roman" w:hAnsi="Times New Roman"/>
          <w:color w:val="000000"/>
          <w:szCs w:val="20"/>
        </w:rPr>
        <w:t xml:space="preserve">, </w:t>
      </w:r>
      <w:proofErr w:type="spellStart"/>
      <w:r w:rsidR="00765E37" w:rsidRPr="00E16672">
        <w:rPr>
          <w:rFonts w:ascii="Times New Roman" w:hAnsi="Times New Roman"/>
          <w:color w:val="000000"/>
          <w:szCs w:val="20"/>
        </w:rPr>
        <w:t>отриманих</w:t>
      </w:r>
      <w:proofErr w:type="spellEnd"/>
      <w:r w:rsidR="00765E37" w:rsidRPr="00E16672">
        <w:rPr>
          <w:rFonts w:ascii="Times New Roman" w:hAnsi="Times New Roman"/>
          <w:color w:val="000000"/>
          <w:szCs w:val="20"/>
        </w:rPr>
        <w:t xml:space="preserve"> Депонентом за результатами </w:t>
      </w:r>
      <w:proofErr w:type="spellStart"/>
      <w:r w:rsidR="00765E37" w:rsidRPr="00E16672">
        <w:rPr>
          <w:rFonts w:ascii="Times New Roman" w:hAnsi="Times New Roman"/>
          <w:color w:val="000000"/>
          <w:szCs w:val="20"/>
        </w:rPr>
        <w:t>погашення</w:t>
      </w:r>
      <w:proofErr w:type="spellEnd"/>
      <w:r w:rsidR="00765E37" w:rsidRPr="00E16672">
        <w:rPr>
          <w:rFonts w:ascii="Times New Roman" w:hAnsi="Times New Roman"/>
          <w:color w:val="000000"/>
          <w:szCs w:val="20"/>
        </w:rPr>
        <w:t xml:space="preserve"> </w:t>
      </w:r>
      <w:proofErr w:type="spellStart"/>
      <w:r w:rsidR="00765E37" w:rsidRPr="00E16672">
        <w:rPr>
          <w:rFonts w:ascii="Times New Roman" w:hAnsi="Times New Roman"/>
          <w:color w:val="000000"/>
          <w:szCs w:val="20"/>
        </w:rPr>
        <w:t>цінних</w:t>
      </w:r>
      <w:proofErr w:type="spellEnd"/>
      <w:r w:rsidR="00765E37" w:rsidRPr="00E16672">
        <w:rPr>
          <w:rFonts w:ascii="Times New Roman" w:hAnsi="Times New Roman"/>
          <w:color w:val="000000"/>
          <w:szCs w:val="20"/>
        </w:rPr>
        <w:t xml:space="preserve"> </w:t>
      </w:r>
      <w:proofErr w:type="spellStart"/>
      <w:r w:rsidR="00765E37" w:rsidRPr="00E16672">
        <w:rPr>
          <w:rFonts w:ascii="Times New Roman" w:hAnsi="Times New Roman"/>
          <w:color w:val="000000"/>
          <w:szCs w:val="20"/>
        </w:rPr>
        <w:t>паперів</w:t>
      </w:r>
      <w:proofErr w:type="spellEnd"/>
      <w:r w:rsidR="00765E37" w:rsidRPr="00E16672">
        <w:rPr>
          <w:rFonts w:ascii="Times New Roman" w:hAnsi="Times New Roman"/>
          <w:color w:val="000000"/>
          <w:szCs w:val="20"/>
        </w:rPr>
        <w:t xml:space="preserve"> </w:t>
      </w:r>
      <w:proofErr w:type="spellStart"/>
      <w:r w:rsidR="00765E37" w:rsidRPr="00E16672">
        <w:rPr>
          <w:rFonts w:ascii="Times New Roman" w:hAnsi="Times New Roman"/>
          <w:color w:val="000000"/>
          <w:szCs w:val="20"/>
        </w:rPr>
        <w:t>емітента</w:t>
      </w:r>
      <w:proofErr w:type="spellEnd"/>
      <w:r w:rsidR="00765E37" w:rsidRPr="00E16672">
        <w:rPr>
          <w:rFonts w:ascii="Times New Roman" w:hAnsi="Times New Roman"/>
          <w:color w:val="000000"/>
          <w:szCs w:val="20"/>
        </w:rPr>
        <w:t xml:space="preserve">, шляхом </w:t>
      </w:r>
      <w:proofErr w:type="spellStart"/>
      <w:r w:rsidR="00765E37" w:rsidRPr="00E16672">
        <w:rPr>
          <w:rFonts w:ascii="Times New Roman" w:hAnsi="Times New Roman"/>
          <w:color w:val="000000"/>
          <w:szCs w:val="20"/>
        </w:rPr>
        <w:t>перерахування</w:t>
      </w:r>
      <w:proofErr w:type="spellEnd"/>
      <w:r w:rsidR="00765E37" w:rsidRPr="00E16672">
        <w:rPr>
          <w:rFonts w:ascii="Times New Roman" w:hAnsi="Times New Roman"/>
          <w:color w:val="000000"/>
          <w:szCs w:val="20"/>
        </w:rPr>
        <w:t xml:space="preserve"> </w:t>
      </w:r>
      <w:proofErr w:type="spellStart"/>
      <w:r w:rsidR="00765E37" w:rsidRPr="00E16672">
        <w:rPr>
          <w:rFonts w:ascii="Times New Roman" w:hAnsi="Times New Roman"/>
          <w:color w:val="000000"/>
          <w:szCs w:val="20"/>
        </w:rPr>
        <w:t>грошових</w:t>
      </w:r>
      <w:proofErr w:type="spellEnd"/>
      <w:r w:rsidR="00765E37" w:rsidRPr="00E16672">
        <w:rPr>
          <w:rFonts w:ascii="Times New Roman" w:hAnsi="Times New Roman"/>
          <w:color w:val="000000"/>
          <w:szCs w:val="20"/>
        </w:rPr>
        <w:t xml:space="preserve"> </w:t>
      </w:r>
      <w:proofErr w:type="spellStart"/>
      <w:r w:rsidR="00765E37" w:rsidRPr="00E16672">
        <w:rPr>
          <w:rFonts w:ascii="Times New Roman" w:hAnsi="Times New Roman"/>
          <w:color w:val="000000"/>
          <w:szCs w:val="20"/>
        </w:rPr>
        <w:t>коштів</w:t>
      </w:r>
      <w:proofErr w:type="spellEnd"/>
      <w:r w:rsidR="00765E37" w:rsidRPr="00E16672">
        <w:rPr>
          <w:rFonts w:ascii="Times New Roman" w:hAnsi="Times New Roman"/>
          <w:color w:val="000000"/>
          <w:szCs w:val="20"/>
        </w:rPr>
        <w:t xml:space="preserve"> на </w:t>
      </w:r>
      <w:proofErr w:type="spellStart"/>
      <w:r w:rsidR="00765E37" w:rsidRPr="00E16672">
        <w:rPr>
          <w:rFonts w:ascii="Times New Roman" w:hAnsi="Times New Roman"/>
          <w:color w:val="000000"/>
          <w:szCs w:val="20"/>
        </w:rPr>
        <w:t>грошовий</w:t>
      </w:r>
      <w:proofErr w:type="spellEnd"/>
      <w:r w:rsidR="00765E37" w:rsidRPr="00E16672">
        <w:rPr>
          <w:rFonts w:ascii="Times New Roman" w:hAnsi="Times New Roman"/>
          <w:color w:val="000000"/>
          <w:szCs w:val="20"/>
        </w:rPr>
        <w:t xml:space="preserve"> </w:t>
      </w:r>
      <w:proofErr w:type="spellStart"/>
      <w:r w:rsidR="00765E37" w:rsidRPr="00E16672">
        <w:rPr>
          <w:rFonts w:ascii="Times New Roman" w:hAnsi="Times New Roman"/>
          <w:color w:val="000000"/>
          <w:szCs w:val="20"/>
        </w:rPr>
        <w:t>банківський</w:t>
      </w:r>
      <w:proofErr w:type="spellEnd"/>
      <w:r w:rsidR="00765E37" w:rsidRPr="00E16672">
        <w:rPr>
          <w:rFonts w:ascii="Times New Roman" w:hAnsi="Times New Roman"/>
          <w:color w:val="000000"/>
          <w:szCs w:val="20"/>
        </w:rPr>
        <w:t xml:space="preserve"> </w:t>
      </w:r>
      <w:proofErr w:type="spellStart"/>
      <w:r w:rsidR="00765E37" w:rsidRPr="00E16672">
        <w:rPr>
          <w:rFonts w:ascii="Times New Roman" w:hAnsi="Times New Roman"/>
          <w:color w:val="000000"/>
          <w:szCs w:val="20"/>
        </w:rPr>
        <w:t>рахунок</w:t>
      </w:r>
      <w:proofErr w:type="spellEnd"/>
      <w:r w:rsidR="00765E37" w:rsidRPr="00E16672">
        <w:rPr>
          <w:rFonts w:ascii="Times New Roman" w:hAnsi="Times New Roman"/>
          <w:color w:val="000000"/>
          <w:szCs w:val="20"/>
        </w:rPr>
        <w:t xml:space="preserve"> Депонента, </w:t>
      </w:r>
      <w:proofErr w:type="spellStart"/>
      <w:r w:rsidR="00765E37" w:rsidRPr="00E16672">
        <w:rPr>
          <w:rFonts w:ascii="Times New Roman" w:hAnsi="Times New Roman"/>
          <w:color w:val="000000"/>
          <w:szCs w:val="20"/>
        </w:rPr>
        <w:t>зазначений</w:t>
      </w:r>
      <w:proofErr w:type="spellEnd"/>
      <w:r w:rsidR="00765E37" w:rsidRPr="00E16672">
        <w:rPr>
          <w:rFonts w:ascii="Times New Roman" w:hAnsi="Times New Roman"/>
          <w:color w:val="000000"/>
          <w:szCs w:val="20"/>
        </w:rPr>
        <w:t xml:space="preserve"> в </w:t>
      </w:r>
      <w:proofErr w:type="spellStart"/>
      <w:r w:rsidR="00765E37" w:rsidRPr="00E16672">
        <w:rPr>
          <w:rFonts w:ascii="Times New Roman" w:hAnsi="Times New Roman"/>
          <w:color w:val="000000"/>
          <w:szCs w:val="20"/>
        </w:rPr>
        <w:t>анкеті</w:t>
      </w:r>
      <w:proofErr w:type="spellEnd"/>
      <w:r w:rsidR="00765E37" w:rsidRPr="00E16672">
        <w:rPr>
          <w:rFonts w:ascii="Times New Roman" w:hAnsi="Times New Roman"/>
          <w:color w:val="000000"/>
          <w:szCs w:val="20"/>
        </w:rPr>
        <w:t xml:space="preserve"> </w:t>
      </w:r>
      <w:proofErr w:type="spellStart"/>
      <w:r w:rsidR="00765E37" w:rsidRPr="00E16672">
        <w:rPr>
          <w:rFonts w:ascii="Times New Roman" w:hAnsi="Times New Roman"/>
          <w:color w:val="000000"/>
          <w:szCs w:val="20"/>
        </w:rPr>
        <w:t>рахунку</w:t>
      </w:r>
      <w:proofErr w:type="spellEnd"/>
      <w:r w:rsidR="00765E37" w:rsidRPr="00E16672">
        <w:rPr>
          <w:rFonts w:ascii="Times New Roman" w:hAnsi="Times New Roman"/>
          <w:color w:val="000000"/>
          <w:szCs w:val="20"/>
        </w:rPr>
        <w:t xml:space="preserve"> в </w:t>
      </w:r>
      <w:proofErr w:type="spellStart"/>
      <w:r w:rsidR="00765E37" w:rsidRPr="00E16672">
        <w:rPr>
          <w:rFonts w:ascii="Times New Roman" w:hAnsi="Times New Roman"/>
          <w:color w:val="000000"/>
          <w:szCs w:val="20"/>
        </w:rPr>
        <w:t>цінних</w:t>
      </w:r>
      <w:proofErr w:type="spellEnd"/>
      <w:r w:rsidR="00765E37" w:rsidRPr="00E16672">
        <w:rPr>
          <w:rFonts w:ascii="Times New Roman" w:hAnsi="Times New Roman"/>
          <w:color w:val="000000"/>
          <w:szCs w:val="20"/>
        </w:rPr>
        <w:t xml:space="preserve"> </w:t>
      </w:r>
      <w:proofErr w:type="spellStart"/>
      <w:r w:rsidR="00765E37" w:rsidRPr="00E16672">
        <w:rPr>
          <w:rFonts w:ascii="Times New Roman" w:hAnsi="Times New Roman"/>
          <w:color w:val="000000"/>
          <w:szCs w:val="20"/>
        </w:rPr>
        <w:t>паперах</w:t>
      </w:r>
      <w:proofErr w:type="spellEnd"/>
      <w:r w:rsidR="00765E37" w:rsidRPr="00E16672">
        <w:rPr>
          <w:rFonts w:ascii="Times New Roman" w:hAnsi="Times New Roman"/>
          <w:color w:val="000000"/>
          <w:szCs w:val="20"/>
        </w:rPr>
        <w:t xml:space="preserve"> Депонента. </w:t>
      </w:r>
      <w:proofErr w:type="spellStart"/>
      <w:r w:rsidR="00765E37" w:rsidRPr="00E16672">
        <w:rPr>
          <w:rFonts w:ascii="Times New Roman" w:hAnsi="Times New Roman"/>
          <w:color w:val="000000"/>
          <w:szCs w:val="20"/>
        </w:rPr>
        <w:t>Вищезазначені</w:t>
      </w:r>
      <w:proofErr w:type="spellEnd"/>
      <w:r w:rsidR="00765E37" w:rsidRPr="00E16672">
        <w:rPr>
          <w:rFonts w:ascii="Times New Roman" w:hAnsi="Times New Roman"/>
          <w:color w:val="000000"/>
          <w:szCs w:val="20"/>
        </w:rPr>
        <w:t xml:space="preserve"> </w:t>
      </w:r>
      <w:proofErr w:type="spellStart"/>
      <w:r w:rsidR="00765E37" w:rsidRPr="00E16672">
        <w:rPr>
          <w:rFonts w:ascii="Times New Roman" w:hAnsi="Times New Roman"/>
          <w:color w:val="000000"/>
          <w:szCs w:val="20"/>
        </w:rPr>
        <w:t>дії</w:t>
      </w:r>
      <w:proofErr w:type="spellEnd"/>
      <w:r w:rsidR="00765E37" w:rsidRPr="00E16672">
        <w:rPr>
          <w:rFonts w:ascii="Times New Roman" w:hAnsi="Times New Roman"/>
          <w:color w:val="000000"/>
          <w:szCs w:val="20"/>
        </w:rPr>
        <w:t xml:space="preserve"> </w:t>
      </w:r>
      <w:proofErr w:type="spellStart"/>
      <w:r w:rsidR="00765E37" w:rsidRPr="00E16672">
        <w:rPr>
          <w:rFonts w:ascii="Times New Roman" w:hAnsi="Times New Roman"/>
          <w:color w:val="000000"/>
          <w:szCs w:val="20"/>
        </w:rPr>
        <w:t>виконуються</w:t>
      </w:r>
      <w:proofErr w:type="spellEnd"/>
      <w:r w:rsidR="00765E37" w:rsidRPr="00E16672">
        <w:rPr>
          <w:rFonts w:ascii="Times New Roman" w:hAnsi="Times New Roman"/>
          <w:color w:val="000000"/>
          <w:szCs w:val="20"/>
        </w:rPr>
        <w:t xml:space="preserve"> Депозитарною </w:t>
      </w:r>
      <w:proofErr w:type="spellStart"/>
      <w:r w:rsidR="00765E37" w:rsidRPr="00E16672">
        <w:rPr>
          <w:rFonts w:ascii="Times New Roman" w:hAnsi="Times New Roman"/>
          <w:color w:val="000000"/>
          <w:szCs w:val="20"/>
        </w:rPr>
        <w:t>установою</w:t>
      </w:r>
      <w:proofErr w:type="spellEnd"/>
      <w:r w:rsidR="00765E37" w:rsidRPr="00E16672">
        <w:rPr>
          <w:rFonts w:ascii="Times New Roman" w:hAnsi="Times New Roman"/>
          <w:color w:val="000000"/>
          <w:szCs w:val="20"/>
        </w:rPr>
        <w:t xml:space="preserve"> у </w:t>
      </w:r>
      <w:proofErr w:type="spellStart"/>
      <w:r w:rsidR="00765E37" w:rsidRPr="00E16672">
        <w:rPr>
          <w:rFonts w:ascii="Times New Roman" w:hAnsi="Times New Roman"/>
          <w:color w:val="000000"/>
          <w:szCs w:val="20"/>
        </w:rPr>
        <w:t>разі</w:t>
      </w:r>
      <w:proofErr w:type="spellEnd"/>
      <w:r w:rsidR="00765E37" w:rsidRPr="00E16672">
        <w:rPr>
          <w:rFonts w:ascii="Times New Roman" w:hAnsi="Times New Roman"/>
          <w:color w:val="000000"/>
          <w:szCs w:val="20"/>
        </w:rPr>
        <w:t xml:space="preserve"> </w:t>
      </w:r>
      <w:proofErr w:type="spellStart"/>
      <w:r w:rsidR="00765E37" w:rsidRPr="00E16672">
        <w:rPr>
          <w:rFonts w:ascii="Times New Roman" w:hAnsi="Times New Roman"/>
          <w:color w:val="000000"/>
          <w:szCs w:val="20"/>
        </w:rPr>
        <w:t>наявності</w:t>
      </w:r>
      <w:proofErr w:type="spellEnd"/>
      <w:r w:rsidR="00765E37" w:rsidRPr="00E16672">
        <w:rPr>
          <w:rFonts w:ascii="Times New Roman" w:hAnsi="Times New Roman"/>
          <w:color w:val="000000"/>
          <w:szCs w:val="20"/>
        </w:rPr>
        <w:t xml:space="preserve"> </w:t>
      </w:r>
      <w:proofErr w:type="spellStart"/>
      <w:r w:rsidR="00765E37" w:rsidRPr="00E16672">
        <w:rPr>
          <w:rFonts w:ascii="Times New Roman" w:hAnsi="Times New Roman"/>
          <w:color w:val="000000"/>
          <w:szCs w:val="20"/>
        </w:rPr>
        <w:t>реквізитів</w:t>
      </w:r>
      <w:proofErr w:type="spellEnd"/>
      <w:r w:rsidR="00765E37" w:rsidRPr="00E16672">
        <w:rPr>
          <w:rFonts w:ascii="Times New Roman" w:hAnsi="Times New Roman"/>
          <w:color w:val="000000"/>
          <w:szCs w:val="20"/>
        </w:rPr>
        <w:t xml:space="preserve"> </w:t>
      </w:r>
      <w:proofErr w:type="spellStart"/>
      <w:r w:rsidR="00765E37" w:rsidRPr="00E16672">
        <w:rPr>
          <w:rFonts w:ascii="Times New Roman" w:hAnsi="Times New Roman"/>
          <w:color w:val="000000"/>
          <w:szCs w:val="20"/>
        </w:rPr>
        <w:t>діючого</w:t>
      </w:r>
      <w:proofErr w:type="spellEnd"/>
      <w:r w:rsidR="00765E37" w:rsidRPr="00E16672">
        <w:rPr>
          <w:rFonts w:ascii="Times New Roman" w:hAnsi="Times New Roman"/>
          <w:color w:val="000000"/>
          <w:szCs w:val="20"/>
        </w:rPr>
        <w:t xml:space="preserve"> грошового </w:t>
      </w:r>
      <w:proofErr w:type="spellStart"/>
      <w:r w:rsidR="00765E37" w:rsidRPr="00E16672">
        <w:rPr>
          <w:rFonts w:ascii="Times New Roman" w:hAnsi="Times New Roman"/>
          <w:color w:val="000000"/>
          <w:szCs w:val="20"/>
        </w:rPr>
        <w:t>банківського</w:t>
      </w:r>
      <w:proofErr w:type="spellEnd"/>
      <w:r w:rsidR="00765E37" w:rsidRPr="00E16672">
        <w:rPr>
          <w:rFonts w:ascii="Times New Roman" w:hAnsi="Times New Roman"/>
          <w:color w:val="000000"/>
          <w:szCs w:val="20"/>
        </w:rPr>
        <w:t xml:space="preserve"> </w:t>
      </w:r>
      <w:proofErr w:type="spellStart"/>
      <w:r w:rsidR="00765E37" w:rsidRPr="00E16672">
        <w:rPr>
          <w:rFonts w:ascii="Times New Roman" w:hAnsi="Times New Roman"/>
          <w:color w:val="000000"/>
          <w:szCs w:val="20"/>
        </w:rPr>
        <w:t>рахунку</w:t>
      </w:r>
      <w:proofErr w:type="spellEnd"/>
      <w:r w:rsidR="00765E37" w:rsidRPr="00E16672">
        <w:rPr>
          <w:rFonts w:ascii="Times New Roman" w:hAnsi="Times New Roman"/>
          <w:color w:val="000000"/>
          <w:szCs w:val="20"/>
        </w:rPr>
        <w:t xml:space="preserve"> в </w:t>
      </w:r>
      <w:proofErr w:type="spellStart"/>
      <w:r w:rsidR="00765E37" w:rsidRPr="00E16672">
        <w:rPr>
          <w:rFonts w:ascii="Times New Roman" w:hAnsi="Times New Roman"/>
          <w:color w:val="000000"/>
          <w:szCs w:val="20"/>
        </w:rPr>
        <w:t>анкеті</w:t>
      </w:r>
      <w:proofErr w:type="spellEnd"/>
      <w:r w:rsidR="00765E37" w:rsidRPr="00E16672">
        <w:rPr>
          <w:rFonts w:ascii="Times New Roman" w:hAnsi="Times New Roman"/>
          <w:color w:val="000000"/>
          <w:szCs w:val="20"/>
        </w:rPr>
        <w:t xml:space="preserve"> </w:t>
      </w:r>
      <w:proofErr w:type="spellStart"/>
      <w:r w:rsidR="00765E37" w:rsidRPr="00E16672">
        <w:rPr>
          <w:rFonts w:ascii="Times New Roman" w:hAnsi="Times New Roman"/>
          <w:color w:val="000000"/>
          <w:szCs w:val="20"/>
        </w:rPr>
        <w:t>рахунку</w:t>
      </w:r>
      <w:proofErr w:type="spellEnd"/>
      <w:r w:rsidR="00765E37" w:rsidRPr="00E16672">
        <w:rPr>
          <w:rFonts w:ascii="Times New Roman" w:hAnsi="Times New Roman"/>
          <w:color w:val="000000"/>
          <w:szCs w:val="20"/>
        </w:rPr>
        <w:t xml:space="preserve"> </w:t>
      </w:r>
      <w:r w:rsidR="00C22309" w:rsidRPr="00E16672">
        <w:rPr>
          <w:rFonts w:ascii="Times New Roman" w:hAnsi="Times New Roman"/>
          <w:color w:val="000000"/>
          <w:szCs w:val="20"/>
        </w:rPr>
        <w:t xml:space="preserve">в </w:t>
      </w:r>
      <w:proofErr w:type="spellStart"/>
      <w:r w:rsidR="00C22309" w:rsidRPr="00E16672">
        <w:rPr>
          <w:rFonts w:ascii="Times New Roman" w:hAnsi="Times New Roman"/>
          <w:color w:val="000000"/>
          <w:szCs w:val="20"/>
        </w:rPr>
        <w:t>цін</w:t>
      </w:r>
      <w:r w:rsidR="00765E37" w:rsidRPr="00E16672">
        <w:rPr>
          <w:rFonts w:ascii="Times New Roman" w:hAnsi="Times New Roman"/>
          <w:color w:val="000000"/>
          <w:szCs w:val="20"/>
        </w:rPr>
        <w:t>них</w:t>
      </w:r>
      <w:proofErr w:type="spellEnd"/>
      <w:r w:rsidR="00765E37" w:rsidRPr="00E16672">
        <w:rPr>
          <w:rFonts w:ascii="Times New Roman" w:hAnsi="Times New Roman"/>
          <w:color w:val="000000"/>
          <w:szCs w:val="20"/>
        </w:rPr>
        <w:t xml:space="preserve"> </w:t>
      </w:r>
      <w:proofErr w:type="spellStart"/>
      <w:r w:rsidR="00765E37" w:rsidRPr="00E16672">
        <w:rPr>
          <w:rFonts w:ascii="Times New Roman" w:hAnsi="Times New Roman"/>
          <w:color w:val="000000"/>
          <w:szCs w:val="20"/>
        </w:rPr>
        <w:t>паперах</w:t>
      </w:r>
      <w:proofErr w:type="spellEnd"/>
      <w:r w:rsidR="00765E37" w:rsidRPr="00E16672">
        <w:rPr>
          <w:rFonts w:ascii="Times New Roman" w:hAnsi="Times New Roman"/>
          <w:color w:val="000000"/>
          <w:szCs w:val="20"/>
        </w:rPr>
        <w:t xml:space="preserve"> Депонента на момент </w:t>
      </w:r>
      <w:proofErr w:type="spellStart"/>
      <w:r w:rsidR="00765E37" w:rsidRPr="00E16672">
        <w:rPr>
          <w:rFonts w:ascii="Times New Roman" w:hAnsi="Times New Roman"/>
          <w:color w:val="000000"/>
          <w:szCs w:val="20"/>
        </w:rPr>
        <w:t>надходження</w:t>
      </w:r>
      <w:proofErr w:type="spellEnd"/>
      <w:r w:rsidR="00765E37" w:rsidRPr="00E16672">
        <w:rPr>
          <w:rFonts w:ascii="Times New Roman" w:hAnsi="Times New Roman"/>
          <w:color w:val="000000"/>
          <w:szCs w:val="20"/>
        </w:rPr>
        <w:t xml:space="preserve"> </w:t>
      </w:r>
      <w:proofErr w:type="spellStart"/>
      <w:r w:rsidR="00765E37" w:rsidRPr="00E16672">
        <w:rPr>
          <w:rFonts w:ascii="Times New Roman" w:hAnsi="Times New Roman"/>
          <w:color w:val="000000"/>
          <w:szCs w:val="20"/>
        </w:rPr>
        <w:t>відповідних</w:t>
      </w:r>
      <w:proofErr w:type="spellEnd"/>
      <w:r w:rsidR="00765E37" w:rsidRPr="00E16672">
        <w:rPr>
          <w:rFonts w:ascii="Times New Roman" w:hAnsi="Times New Roman"/>
          <w:color w:val="000000"/>
          <w:szCs w:val="20"/>
        </w:rPr>
        <w:t xml:space="preserve"> </w:t>
      </w:r>
      <w:proofErr w:type="spellStart"/>
      <w:r w:rsidR="00765E37" w:rsidRPr="00E16672">
        <w:rPr>
          <w:rFonts w:ascii="Times New Roman" w:hAnsi="Times New Roman"/>
          <w:color w:val="000000"/>
          <w:szCs w:val="20"/>
        </w:rPr>
        <w:t>коштів</w:t>
      </w:r>
      <w:proofErr w:type="spellEnd"/>
      <w:r w:rsidR="00765E37" w:rsidRPr="00E16672">
        <w:rPr>
          <w:rFonts w:ascii="Times New Roman" w:hAnsi="Times New Roman"/>
          <w:color w:val="000000"/>
          <w:szCs w:val="20"/>
        </w:rPr>
        <w:t xml:space="preserve"> на </w:t>
      </w:r>
      <w:proofErr w:type="spellStart"/>
      <w:r w:rsidR="00765E37" w:rsidRPr="00E16672">
        <w:rPr>
          <w:rFonts w:ascii="Times New Roman" w:hAnsi="Times New Roman"/>
          <w:color w:val="000000"/>
          <w:szCs w:val="20"/>
        </w:rPr>
        <w:t>грошовий</w:t>
      </w:r>
      <w:proofErr w:type="spellEnd"/>
      <w:r w:rsidR="00765E37" w:rsidRPr="00E16672">
        <w:rPr>
          <w:rFonts w:ascii="Times New Roman" w:hAnsi="Times New Roman"/>
          <w:color w:val="000000"/>
          <w:szCs w:val="20"/>
        </w:rPr>
        <w:t xml:space="preserve"> </w:t>
      </w:r>
      <w:proofErr w:type="spellStart"/>
      <w:r w:rsidR="00765E37" w:rsidRPr="00E16672">
        <w:rPr>
          <w:rFonts w:ascii="Times New Roman" w:hAnsi="Times New Roman"/>
          <w:color w:val="000000"/>
          <w:szCs w:val="20"/>
        </w:rPr>
        <w:t>рахунок</w:t>
      </w:r>
      <w:proofErr w:type="spellEnd"/>
      <w:r w:rsidR="00765E37" w:rsidRPr="00E16672">
        <w:rPr>
          <w:rFonts w:ascii="Times New Roman" w:hAnsi="Times New Roman"/>
          <w:color w:val="000000"/>
          <w:szCs w:val="20"/>
        </w:rPr>
        <w:t xml:space="preserve"> </w:t>
      </w:r>
      <w:proofErr w:type="spellStart"/>
      <w:r w:rsidR="00765E37" w:rsidRPr="00E16672">
        <w:rPr>
          <w:rFonts w:ascii="Times New Roman" w:hAnsi="Times New Roman"/>
          <w:color w:val="000000"/>
          <w:szCs w:val="20"/>
        </w:rPr>
        <w:t>Депозитарної</w:t>
      </w:r>
      <w:proofErr w:type="spellEnd"/>
      <w:r w:rsidR="00765E37" w:rsidRPr="00E16672">
        <w:rPr>
          <w:rFonts w:ascii="Times New Roman" w:hAnsi="Times New Roman"/>
          <w:color w:val="000000"/>
          <w:szCs w:val="20"/>
        </w:rPr>
        <w:t xml:space="preserve"> установи.</w:t>
      </w:r>
    </w:p>
    <w:p w14:paraId="2BD751E2" w14:textId="77777777" w:rsidR="00765E37" w:rsidRPr="00E16672" w:rsidRDefault="00765E37" w:rsidP="00765E37">
      <w:pPr>
        <w:rPr>
          <w:rFonts w:ascii="Times New Roman" w:hAnsi="Times New Roman"/>
          <w:color w:val="000000"/>
          <w:szCs w:val="20"/>
        </w:rPr>
      </w:pPr>
      <w:r w:rsidRPr="00E16672">
        <w:rPr>
          <w:rFonts w:ascii="Times New Roman" w:hAnsi="Times New Roman"/>
          <w:color w:val="000000"/>
          <w:szCs w:val="20"/>
        </w:rPr>
        <w:t>1</w:t>
      </w:r>
      <w:r w:rsidR="00577C78" w:rsidRPr="00E16672">
        <w:rPr>
          <w:rFonts w:ascii="Times New Roman" w:hAnsi="Times New Roman"/>
          <w:color w:val="000000"/>
          <w:szCs w:val="20"/>
          <w:lang w:val="uk-UA"/>
        </w:rPr>
        <w:t>1</w:t>
      </w:r>
      <w:r w:rsidRPr="00E16672">
        <w:rPr>
          <w:rFonts w:ascii="Times New Roman" w:hAnsi="Times New Roman"/>
          <w:color w:val="000000"/>
          <w:szCs w:val="20"/>
        </w:rPr>
        <w:t xml:space="preserve">.1.3. </w:t>
      </w:r>
      <w:proofErr w:type="spellStart"/>
      <w:r w:rsidRPr="00E16672">
        <w:rPr>
          <w:rFonts w:ascii="Times New Roman" w:hAnsi="Times New Roman"/>
          <w:color w:val="000000"/>
          <w:szCs w:val="20"/>
        </w:rPr>
        <w:t>Якщо</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виплата</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доходів</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здійснюється</w:t>
      </w:r>
      <w:proofErr w:type="spellEnd"/>
      <w:r w:rsidRPr="00E16672">
        <w:rPr>
          <w:rFonts w:ascii="Times New Roman" w:hAnsi="Times New Roman"/>
          <w:color w:val="000000"/>
          <w:szCs w:val="20"/>
        </w:rPr>
        <w:t xml:space="preserve"> </w:t>
      </w:r>
      <w:r w:rsidR="00C22309" w:rsidRPr="00E16672">
        <w:rPr>
          <w:rFonts w:ascii="Times New Roman" w:hAnsi="Times New Roman"/>
          <w:color w:val="000000"/>
          <w:szCs w:val="20"/>
        </w:rPr>
        <w:t xml:space="preserve">в </w:t>
      </w:r>
      <w:proofErr w:type="spellStart"/>
      <w:r w:rsidR="00C22309" w:rsidRPr="00E16672">
        <w:rPr>
          <w:rFonts w:ascii="Times New Roman" w:hAnsi="Times New Roman"/>
          <w:color w:val="000000"/>
          <w:szCs w:val="20"/>
        </w:rPr>
        <w:t>цін</w:t>
      </w:r>
      <w:r w:rsidRPr="00E16672">
        <w:rPr>
          <w:rFonts w:ascii="Times New Roman" w:hAnsi="Times New Roman"/>
          <w:color w:val="000000"/>
          <w:szCs w:val="20"/>
        </w:rPr>
        <w:t>них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паперах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після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надходження</w:t>
      </w:r>
      <w:proofErr w:type="spellEnd"/>
      <w:r w:rsidRPr="00E16672">
        <w:rPr>
          <w:rFonts w:ascii="Times New Roman" w:hAnsi="Times New Roman"/>
          <w:color w:val="000000"/>
          <w:szCs w:val="20"/>
        </w:rPr>
        <w:t xml:space="preserve"> до Центрального </w:t>
      </w:r>
      <w:proofErr w:type="spellStart"/>
      <w:r w:rsidRPr="00E16672">
        <w:rPr>
          <w:rFonts w:ascii="Times New Roman" w:hAnsi="Times New Roman"/>
          <w:color w:val="000000"/>
          <w:szCs w:val="20"/>
        </w:rPr>
        <w:t>депозитарію</w:t>
      </w:r>
      <w:proofErr w:type="spellEnd"/>
      <w:r w:rsidRPr="00E16672">
        <w:rPr>
          <w:rFonts w:ascii="Times New Roman" w:hAnsi="Times New Roman"/>
          <w:color w:val="000000"/>
          <w:szCs w:val="20"/>
        </w:rPr>
        <w:t xml:space="preserve"> таких </w:t>
      </w:r>
      <w:proofErr w:type="spellStart"/>
      <w:r w:rsidRPr="00E16672">
        <w:rPr>
          <w:rFonts w:ascii="Times New Roman" w:hAnsi="Times New Roman"/>
          <w:color w:val="000000"/>
          <w:szCs w:val="20"/>
        </w:rPr>
        <w:t>доходів</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цінних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паперів</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Центральний</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депозитарій</w:t>
      </w:r>
      <w:proofErr w:type="spellEnd"/>
      <w:r w:rsidRPr="00E16672">
        <w:rPr>
          <w:rFonts w:ascii="Times New Roman" w:hAnsi="Times New Roman"/>
          <w:color w:val="000000"/>
          <w:szCs w:val="20"/>
        </w:rPr>
        <w:t xml:space="preserve"> проводить </w:t>
      </w:r>
      <w:proofErr w:type="spellStart"/>
      <w:r w:rsidRPr="00E16672">
        <w:rPr>
          <w:rFonts w:ascii="Times New Roman" w:hAnsi="Times New Roman"/>
          <w:color w:val="000000"/>
          <w:szCs w:val="20"/>
        </w:rPr>
        <w:t>операції</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щодо</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переказу</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цих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цінних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паперів</w:t>
      </w:r>
      <w:proofErr w:type="spellEnd"/>
      <w:r w:rsidRPr="00E16672">
        <w:rPr>
          <w:rFonts w:ascii="Times New Roman" w:hAnsi="Times New Roman"/>
          <w:color w:val="000000"/>
          <w:szCs w:val="20"/>
        </w:rPr>
        <w:t xml:space="preserve"> з </w:t>
      </w:r>
      <w:proofErr w:type="spellStart"/>
      <w:r w:rsidRPr="00E16672">
        <w:rPr>
          <w:rFonts w:ascii="Times New Roman" w:hAnsi="Times New Roman"/>
          <w:color w:val="000000"/>
          <w:szCs w:val="20"/>
        </w:rPr>
        <w:t>рахунку</w:t>
      </w:r>
      <w:proofErr w:type="spellEnd"/>
      <w:r w:rsidRPr="00E16672">
        <w:rPr>
          <w:rFonts w:ascii="Times New Roman" w:hAnsi="Times New Roman"/>
          <w:color w:val="000000"/>
          <w:szCs w:val="20"/>
        </w:rPr>
        <w:t xml:space="preserve"> в </w:t>
      </w:r>
      <w:proofErr w:type="spellStart"/>
      <w:r w:rsidRPr="00E16672">
        <w:rPr>
          <w:rFonts w:ascii="Times New Roman" w:hAnsi="Times New Roman"/>
          <w:color w:val="000000"/>
          <w:szCs w:val="20"/>
        </w:rPr>
        <w:t>цінних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паперах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емітента</w:t>
      </w:r>
      <w:proofErr w:type="spellEnd"/>
      <w:r w:rsidRPr="00E16672">
        <w:rPr>
          <w:rFonts w:ascii="Times New Roman" w:hAnsi="Times New Roman"/>
          <w:color w:val="000000"/>
          <w:szCs w:val="20"/>
        </w:rPr>
        <w:t xml:space="preserve"> на </w:t>
      </w:r>
      <w:proofErr w:type="spellStart"/>
      <w:r w:rsidRPr="00E16672">
        <w:rPr>
          <w:rFonts w:ascii="Times New Roman" w:hAnsi="Times New Roman"/>
          <w:color w:val="000000"/>
          <w:szCs w:val="20"/>
        </w:rPr>
        <w:t>рахунки</w:t>
      </w:r>
      <w:proofErr w:type="spellEnd"/>
      <w:r w:rsidRPr="00E16672">
        <w:rPr>
          <w:rFonts w:ascii="Times New Roman" w:hAnsi="Times New Roman"/>
          <w:color w:val="000000"/>
          <w:szCs w:val="20"/>
        </w:rPr>
        <w:t xml:space="preserve"> </w:t>
      </w:r>
      <w:r w:rsidR="00C22309" w:rsidRPr="00E16672">
        <w:rPr>
          <w:rFonts w:ascii="Times New Roman" w:hAnsi="Times New Roman"/>
          <w:color w:val="000000"/>
          <w:szCs w:val="20"/>
        </w:rPr>
        <w:t xml:space="preserve">в </w:t>
      </w:r>
      <w:proofErr w:type="spellStart"/>
      <w:r w:rsidR="00C22309" w:rsidRPr="00E16672">
        <w:rPr>
          <w:rFonts w:ascii="Times New Roman" w:hAnsi="Times New Roman"/>
          <w:color w:val="000000"/>
          <w:szCs w:val="20"/>
        </w:rPr>
        <w:t>цін</w:t>
      </w:r>
      <w:r w:rsidRPr="00E16672">
        <w:rPr>
          <w:rFonts w:ascii="Times New Roman" w:hAnsi="Times New Roman"/>
          <w:color w:val="000000"/>
          <w:szCs w:val="20"/>
        </w:rPr>
        <w:t>них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паперах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депозитарних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установ</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які</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обслуговують</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власників</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цінних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паперів</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які</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мають</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отримати</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цей</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дохід</w:t>
      </w:r>
      <w:proofErr w:type="spellEnd"/>
      <w:r w:rsidRPr="00E16672">
        <w:rPr>
          <w:rFonts w:ascii="Times New Roman" w:hAnsi="Times New Roman"/>
          <w:color w:val="000000"/>
          <w:szCs w:val="20"/>
        </w:rPr>
        <w:t xml:space="preserve"> </w:t>
      </w:r>
      <w:r w:rsidR="00C22309" w:rsidRPr="00E16672">
        <w:rPr>
          <w:rFonts w:ascii="Times New Roman" w:hAnsi="Times New Roman"/>
          <w:color w:val="000000"/>
          <w:szCs w:val="20"/>
        </w:rPr>
        <w:t xml:space="preserve">в </w:t>
      </w:r>
      <w:proofErr w:type="spellStart"/>
      <w:r w:rsidR="00C22309" w:rsidRPr="00E16672">
        <w:rPr>
          <w:rFonts w:ascii="Times New Roman" w:hAnsi="Times New Roman"/>
          <w:color w:val="000000"/>
          <w:szCs w:val="20"/>
        </w:rPr>
        <w:t>цін</w:t>
      </w:r>
      <w:r w:rsidRPr="00E16672">
        <w:rPr>
          <w:rFonts w:ascii="Times New Roman" w:hAnsi="Times New Roman"/>
          <w:color w:val="000000"/>
          <w:szCs w:val="20"/>
        </w:rPr>
        <w:t>них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паперах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Депозитарна</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установа</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зобов'язана</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протягом</w:t>
      </w:r>
      <w:proofErr w:type="spellEnd"/>
      <w:r w:rsidRPr="00E16672">
        <w:rPr>
          <w:rFonts w:ascii="Times New Roman" w:hAnsi="Times New Roman"/>
          <w:color w:val="000000"/>
          <w:szCs w:val="20"/>
        </w:rPr>
        <w:t xml:space="preserve"> десяти </w:t>
      </w:r>
      <w:proofErr w:type="spellStart"/>
      <w:r w:rsidRPr="00E16672">
        <w:rPr>
          <w:rFonts w:ascii="Times New Roman" w:hAnsi="Times New Roman"/>
          <w:color w:val="000000"/>
          <w:szCs w:val="20"/>
        </w:rPr>
        <w:t>робочих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днів</w:t>
      </w:r>
      <w:proofErr w:type="spellEnd"/>
      <w:r w:rsidRPr="00E16672">
        <w:rPr>
          <w:rFonts w:ascii="Times New Roman" w:hAnsi="Times New Roman"/>
          <w:color w:val="000000"/>
          <w:szCs w:val="20"/>
        </w:rPr>
        <w:t xml:space="preserve"> з моменту </w:t>
      </w:r>
      <w:proofErr w:type="spellStart"/>
      <w:r w:rsidRPr="00E16672">
        <w:rPr>
          <w:rFonts w:ascii="Times New Roman" w:hAnsi="Times New Roman"/>
          <w:color w:val="000000"/>
          <w:szCs w:val="20"/>
        </w:rPr>
        <w:t>надходження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зарахувати</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зазначені</w:t>
      </w:r>
      <w:proofErr w:type="spellEnd"/>
      <w:r w:rsidRPr="00E16672">
        <w:rPr>
          <w:rFonts w:ascii="Times New Roman" w:hAnsi="Times New Roman"/>
          <w:color w:val="000000"/>
          <w:szCs w:val="20"/>
        </w:rPr>
        <w:t xml:space="preserve"> доходи (права на </w:t>
      </w:r>
      <w:proofErr w:type="spellStart"/>
      <w:r w:rsidRPr="00E16672">
        <w:rPr>
          <w:rFonts w:ascii="Times New Roman" w:hAnsi="Times New Roman"/>
          <w:color w:val="000000"/>
          <w:szCs w:val="20"/>
        </w:rPr>
        <w:t>цінні</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папери</w:t>
      </w:r>
      <w:proofErr w:type="spellEnd"/>
      <w:r w:rsidRPr="00E16672">
        <w:rPr>
          <w:rFonts w:ascii="Times New Roman" w:hAnsi="Times New Roman"/>
          <w:color w:val="000000"/>
          <w:szCs w:val="20"/>
        </w:rPr>
        <w:t xml:space="preserve">) на </w:t>
      </w:r>
      <w:proofErr w:type="spellStart"/>
      <w:r w:rsidRPr="00E16672">
        <w:rPr>
          <w:rFonts w:ascii="Times New Roman" w:hAnsi="Times New Roman"/>
          <w:color w:val="000000"/>
          <w:szCs w:val="20"/>
        </w:rPr>
        <w:t>рахунок</w:t>
      </w:r>
      <w:proofErr w:type="spellEnd"/>
      <w:r w:rsidRPr="00E16672">
        <w:rPr>
          <w:rFonts w:ascii="Times New Roman" w:hAnsi="Times New Roman"/>
          <w:color w:val="000000"/>
          <w:szCs w:val="20"/>
        </w:rPr>
        <w:t xml:space="preserve"> в </w:t>
      </w:r>
      <w:proofErr w:type="spellStart"/>
      <w:r w:rsidRPr="00E16672">
        <w:rPr>
          <w:rFonts w:ascii="Times New Roman" w:hAnsi="Times New Roman"/>
          <w:color w:val="000000"/>
          <w:szCs w:val="20"/>
        </w:rPr>
        <w:t>цінних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паперах</w:t>
      </w:r>
      <w:proofErr w:type="spellEnd"/>
      <w:r w:rsidRPr="00E16672">
        <w:rPr>
          <w:rFonts w:ascii="Times New Roman" w:hAnsi="Times New Roman"/>
          <w:color w:val="000000"/>
          <w:szCs w:val="20"/>
        </w:rPr>
        <w:t xml:space="preserve"> депонента.</w:t>
      </w:r>
    </w:p>
    <w:p w14:paraId="7E6D1248" w14:textId="77777777" w:rsidR="00765E37" w:rsidRPr="00E16672" w:rsidRDefault="00765E37" w:rsidP="00765E37">
      <w:pPr>
        <w:rPr>
          <w:rFonts w:ascii="Times New Roman" w:hAnsi="Times New Roman"/>
          <w:color w:val="000000"/>
          <w:szCs w:val="20"/>
        </w:rPr>
      </w:pPr>
      <w:r w:rsidRPr="00E16672">
        <w:rPr>
          <w:rFonts w:ascii="Times New Roman" w:hAnsi="Times New Roman"/>
          <w:color w:val="000000"/>
          <w:szCs w:val="20"/>
        </w:rPr>
        <w:t>1</w:t>
      </w:r>
      <w:r w:rsidR="00577C78" w:rsidRPr="00E16672">
        <w:rPr>
          <w:rFonts w:ascii="Times New Roman" w:hAnsi="Times New Roman"/>
          <w:color w:val="000000"/>
          <w:szCs w:val="20"/>
          <w:lang w:val="uk-UA"/>
        </w:rPr>
        <w:t>1</w:t>
      </w:r>
      <w:r w:rsidRPr="00E16672">
        <w:rPr>
          <w:rFonts w:ascii="Times New Roman" w:hAnsi="Times New Roman"/>
          <w:color w:val="000000"/>
          <w:szCs w:val="20"/>
        </w:rPr>
        <w:t xml:space="preserve">.2. </w:t>
      </w:r>
      <w:proofErr w:type="spellStart"/>
      <w:r w:rsidRPr="00E16672">
        <w:rPr>
          <w:rFonts w:ascii="Times New Roman" w:hAnsi="Times New Roman"/>
          <w:color w:val="000000"/>
          <w:szCs w:val="20"/>
        </w:rPr>
        <w:t>Щодо</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цінних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паперів</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облік</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яких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здійснює</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Національний</w:t>
      </w:r>
      <w:proofErr w:type="spellEnd"/>
      <w:r w:rsidRPr="00E16672">
        <w:rPr>
          <w:rFonts w:ascii="Times New Roman" w:hAnsi="Times New Roman"/>
          <w:color w:val="000000"/>
          <w:szCs w:val="20"/>
        </w:rPr>
        <w:t xml:space="preserve"> Банк </w:t>
      </w:r>
      <w:proofErr w:type="spellStart"/>
      <w:r w:rsidRPr="00E16672">
        <w:rPr>
          <w:rFonts w:ascii="Times New Roman" w:hAnsi="Times New Roman"/>
          <w:color w:val="000000"/>
          <w:szCs w:val="20"/>
        </w:rPr>
        <w:t>України</w:t>
      </w:r>
      <w:proofErr w:type="spellEnd"/>
      <w:r w:rsidRPr="00E16672">
        <w:rPr>
          <w:rFonts w:ascii="Times New Roman" w:hAnsi="Times New Roman"/>
          <w:color w:val="000000"/>
          <w:szCs w:val="20"/>
        </w:rPr>
        <w:t>:</w:t>
      </w:r>
    </w:p>
    <w:p w14:paraId="3963436D" w14:textId="77777777" w:rsidR="00765E37" w:rsidRPr="00E16672" w:rsidRDefault="00765E37" w:rsidP="00765E37">
      <w:pPr>
        <w:rPr>
          <w:rFonts w:ascii="Times New Roman" w:hAnsi="Times New Roman"/>
          <w:color w:val="000000"/>
          <w:szCs w:val="20"/>
        </w:rPr>
      </w:pPr>
      <w:r w:rsidRPr="00E16672">
        <w:rPr>
          <w:rFonts w:ascii="Times New Roman" w:hAnsi="Times New Roman"/>
          <w:color w:val="000000"/>
          <w:szCs w:val="20"/>
        </w:rPr>
        <w:t xml:space="preserve">У </w:t>
      </w:r>
      <w:proofErr w:type="spellStart"/>
      <w:r w:rsidRPr="00E16672">
        <w:rPr>
          <w:rFonts w:ascii="Times New Roman" w:hAnsi="Times New Roman"/>
          <w:color w:val="000000"/>
          <w:szCs w:val="20"/>
        </w:rPr>
        <w:t>термін</w:t>
      </w:r>
      <w:proofErr w:type="spellEnd"/>
      <w:r w:rsidRPr="00E16672">
        <w:rPr>
          <w:rFonts w:ascii="Times New Roman" w:hAnsi="Times New Roman"/>
          <w:color w:val="000000"/>
          <w:szCs w:val="20"/>
        </w:rPr>
        <w:t xml:space="preserve"> не </w:t>
      </w:r>
      <w:proofErr w:type="spellStart"/>
      <w:r w:rsidRPr="00E16672">
        <w:rPr>
          <w:rFonts w:ascii="Times New Roman" w:hAnsi="Times New Roman"/>
          <w:color w:val="000000"/>
          <w:szCs w:val="20"/>
        </w:rPr>
        <w:t>пізніше</w:t>
      </w:r>
      <w:proofErr w:type="spellEnd"/>
      <w:r w:rsidRPr="00E16672">
        <w:rPr>
          <w:rFonts w:ascii="Times New Roman" w:hAnsi="Times New Roman"/>
          <w:color w:val="000000"/>
          <w:szCs w:val="20"/>
        </w:rPr>
        <w:t xml:space="preserve"> десяти </w:t>
      </w:r>
      <w:proofErr w:type="spellStart"/>
      <w:r w:rsidRPr="00E16672">
        <w:rPr>
          <w:rFonts w:ascii="Times New Roman" w:hAnsi="Times New Roman"/>
          <w:color w:val="000000"/>
          <w:szCs w:val="20"/>
        </w:rPr>
        <w:t>робочих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днів</w:t>
      </w:r>
      <w:proofErr w:type="spellEnd"/>
      <w:r w:rsidRPr="00E16672">
        <w:rPr>
          <w:rFonts w:ascii="Times New Roman" w:hAnsi="Times New Roman"/>
          <w:color w:val="000000"/>
          <w:szCs w:val="20"/>
        </w:rPr>
        <w:t xml:space="preserve"> з моменту </w:t>
      </w:r>
      <w:proofErr w:type="spellStart"/>
      <w:r w:rsidRPr="00E16672">
        <w:rPr>
          <w:rFonts w:ascii="Times New Roman" w:hAnsi="Times New Roman"/>
          <w:color w:val="000000"/>
          <w:szCs w:val="20"/>
        </w:rPr>
        <w:t>надходження</w:t>
      </w:r>
      <w:proofErr w:type="spellEnd"/>
      <w:r w:rsidRPr="00E16672">
        <w:rPr>
          <w:rFonts w:ascii="Times New Roman" w:hAnsi="Times New Roman"/>
          <w:color w:val="000000"/>
          <w:szCs w:val="20"/>
        </w:rPr>
        <w:t xml:space="preserve"> доходу за </w:t>
      </w:r>
      <w:proofErr w:type="spellStart"/>
      <w:r w:rsidRPr="00E16672">
        <w:rPr>
          <w:rFonts w:ascii="Times New Roman" w:hAnsi="Times New Roman"/>
          <w:color w:val="000000"/>
          <w:szCs w:val="20"/>
        </w:rPr>
        <w:t>цінними</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паперами</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грошових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коштів</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отриманих</w:t>
      </w:r>
      <w:proofErr w:type="spellEnd"/>
      <w:r w:rsidRPr="00E16672">
        <w:rPr>
          <w:rFonts w:ascii="Times New Roman" w:hAnsi="Times New Roman"/>
          <w:color w:val="000000"/>
          <w:szCs w:val="20"/>
        </w:rPr>
        <w:t xml:space="preserve"> за результатами </w:t>
      </w:r>
      <w:proofErr w:type="spellStart"/>
      <w:r w:rsidRPr="00E16672">
        <w:rPr>
          <w:rFonts w:ascii="Times New Roman" w:hAnsi="Times New Roman"/>
          <w:color w:val="000000"/>
          <w:szCs w:val="20"/>
        </w:rPr>
        <w:t>погашення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цінних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паперів</w:t>
      </w:r>
      <w:proofErr w:type="spellEnd"/>
      <w:r w:rsidRPr="00E16672">
        <w:rPr>
          <w:rFonts w:ascii="Times New Roman" w:hAnsi="Times New Roman"/>
          <w:color w:val="000000"/>
          <w:szCs w:val="20"/>
        </w:rPr>
        <w:t xml:space="preserve"> на </w:t>
      </w:r>
      <w:proofErr w:type="spellStart"/>
      <w:r w:rsidRPr="00E16672">
        <w:rPr>
          <w:rFonts w:ascii="Times New Roman" w:hAnsi="Times New Roman"/>
          <w:color w:val="000000"/>
          <w:szCs w:val="20"/>
        </w:rPr>
        <w:t>грошовий</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рахунок</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Депозитарної</w:t>
      </w:r>
      <w:proofErr w:type="spellEnd"/>
      <w:r w:rsidRPr="00E16672">
        <w:rPr>
          <w:rFonts w:ascii="Times New Roman" w:hAnsi="Times New Roman"/>
          <w:color w:val="000000"/>
          <w:szCs w:val="20"/>
        </w:rPr>
        <w:t xml:space="preserve"> установи </w:t>
      </w:r>
      <w:proofErr w:type="spellStart"/>
      <w:r w:rsidRPr="00E16672">
        <w:rPr>
          <w:rFonts w:ascii="Times New Roman" w:hAnsi="Times New Roman"/>
          <w:color w:val="000000"/>
          <w:szCs w:val="20"/>
        </w:rPr>
        <w:t>Депозитарна</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установа</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здійснює</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виплату</w:t>
      </w:r>
      <w:proofErr w:type="spellEnd"/>
      <w:r w:rsidRPr="00E16672">
        <w:rPr>
          <w:rFonts w:ascii="Times New Roman" w:hAnsi="Times New Roman"/>
          <w:color w:val="000000"/>
          <w:szCs w:val="20"/>
        </w:rPr>
        <w:t xml:space="preserve"> доходу за </w:t>
      </w:r>
      <w:proofErr w:type="spellStart"/>
      <w:r w:rsidRPr="00E16672">
        <w:rPr>
          <w:rFonts w:ascii="Times New Roman" w:hAnsi="Times New Roman"/>
          <w:color w:val="000000"/>
          <w:szCs w:val="20"/>
        </w:rPr>
        <w:t>цінними</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паперами</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грошових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коштів</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отриманих</w:t>
      </w:r>
      <w:proofErr w:type="spellEnd"/>
      <w:r w:rsidRPr="00E16672">
        <w:rPr>
          <w:rFonts w:ascii="Times New Roman" w:hAnsi="Times New Roman"/>
          <w:color w:val="000000"/>
          <w:szCs w:val="20"/>
        </w:rPr>
        <w:t xml:space="preserve"> Депонентом за результатами </w:t>
      </w:r>
      <w:proofErr w:type="spellStart"/>
      <w:r w:rsidRPr="00E16672">
        <w:rPr>
          <w:rFonts w:ascii="Times New Roman" w:hAnsi="Times New Roman"/>
          <w:color w:val="000000"/>
          <w:szCs w:val="20"/>
        </w:rPr>
        <w:t>погашення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цінних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паперів</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емітента</w:t>
      </w:r>
      <w:proofErr w:type="spellEnd"/>
      <w:r w:rsidRPr="00E16672">
        <w:rPr>
          <w:rFonts w:ascii="Times New Roman" w:hAnsi="Times New Roman"/>
          <w:color w:val="000000"/>
          <w:szCs w:val="20"/>
        </w:rPr>
        <w:t xml:space="preserve">, шляхом </w:t>
      </w:r>
      <w:proofErr w:type="spellStart"/>
      <w:r w:rsidRPr="00E16672">
        <w:rPr>
          <w:rFonts w:ascii="Times New Roman" w:hAnsi="Times New Roman"/>
          <w:color w:val="000000"/>
          <w:szCs w:val="20"/>
        </w:rPr>
        <w:t>перерахування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грошових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коштів</w:t>
      </w:r>
      <w:proofErr w:type="spellEnd"/>
      <w:r w:rsidRPr="00E16672">
        <w:rPr>
          <w:rFonts w:ascii="Times New Roman" w:hAnsi="Times New Roman"/>
          <w:color w:val="000000"/>
          <w:szCs w:val="20"/>
        </w:rPr>
        <w:t xml:space="preserve"> на </w:t>
      </w:r>
      <w:proofErr w:type="spellStart"/>
      <w:r w:rsidRPr="00E16672">
        <w:rPr>
          <w:rFonts w:ascii="Times New Roman" w:hAnsi="Times New Roman"/>
          <w:color w:val="000000"/>
          <w:szCs w:val="20"/>
        </w:rPr>
        <w:t>грошовий</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банківський</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рахунок</w:t>
      </w:r>
      <w:proofErr w:type="spellEnd"/>
      <w:r w:rsidRPr="00E16672">
        <w:rPr>
          <w:rFonts w:ascii="Times New Roman" w:hAnsi="Times New Roman"/>
          <w:color w:val="000000"/>
          <w:szCs w:val="20"/>
        </w:rPr>
        <w:t xml:space="preserve"> Депонента, </w:t>
      </w:r>
      <w:proofErr w:type="spellStart"/>
      <w:r w:rsidRPr="00E16672">
        <w:rPr>
          <w:rFonts w:ascii="Times New Roman" w:hAnsi="Times New Roman"/>
          <w:color w:val="000000"/>
          <w:szCs w:val="20"/>
        </w:rPr>
        <w:t>зазначений</w:t>
      </w:r>
      <w:proofErr w:type="spellEnd"/>
      <w:r w:rsidRPr="00E16672">
        <w:rPr>
          <w:rFonts w:ascii="Times New Roman" w:hAnsi="Times New Roman"/>
          <w:color w:val="000000"/>
          <w:szCs w:val="20"/>
        </w:rPr>
        <w:t xml:space="preserve"> в </w:t>
      </w:r>
      <w:proofErr w:type="spellStart"/>
      <w:r w:rsidRPr="00E16672">
        <w:rPr>
          <w:rFonts w:ascii="Times New Roman" w:hAnsi="Times New Roman"/>
          <w:color w:val="000000"/>
          <w:szCs w:val="20"/>
        </w:rPr>
        <w:t>анкеті</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рахунку</w:t>
      </w:r>
      <w:proofErr w:type="spellEnd"/>
      <w:r w:rsidRPr="00E16672">
        <w:rPr>
          <w:rFonts w:ascii="Times New Roman" w:hAnsi="Times New Roman"/>
          <w:color w:val="000000"/>
          <w:szCs w:val="20"/>
        </w:rPr>
        <w:t xml:space="preserve"> в </w:t>
      </w:r>
      <w:proofErr w:type="spellStart"/>
      <w:r w:rsidRPr="00E16672">
        <w:rPr>
          <w:rFonts w:ascii="Times New Roman" w:hAnsi="Times New Roman"/>
          <w:color w:val="000000"/>
          <w:szCs w:val="20"/>
        </w:rPr>
        <w:t>цінних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паперах</w:t>
      </w:r>
      <w:proofErr w:type="spellEnd"/>
      <w:r w:rsidRPr="00E16672">
        <w:rPr>
          <w:rFonts w:ascii="Times New Roman" w:hAnsi="Times New Roman"/>
          <w:color w:val="000000"/>
          <w:szCs w:val="20"/>
        </w:rPr>
        <w:t xml:space="preserve"> Депонента. </w:t>
      </w:r>
      <w:proofErr w:type="spellStart"/>
      <w:r w:rsidRPr="00E16672">
        <w:rPr>
          <w:rFonts w:ascii="Times New Roman" w:hAnsi="Times New Roman"/>
          <w:color w:val="000000"/>
          <w:szCs w:val="20"/>
        </w:rPr>
        <w:t>Вищезазначені</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дії</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виконуються</w:t>
      </w:r>
      <w:proofErr w:type="spellEnd"/>
      <w:r w:rsidRPr="00E16672">
        <w:rPr>
          <w:rFonts w:ascii="Times New Roman" w:hAnsi="Times New Roman"/>
          <w:color w:val="000000"/>
          <w:szCs w:val="20"/>
        </w:rPr>
        <w:t xml:space="preserve"> Депозитарною </w:t>
      </w:r>
      <w:proofErr w:type="spellStart"/>
      <w:r w:rsidRPr="00E16672">
        <w:rPr>
          <w:rFonts w:ascii="Times New Roman" w:hAnsi="Times New Roman"/>
          <w:color w:val="000000"/>
          <w:szCs w:val="20"/>
        </w:rPr>
        <w:t>установою</w:t>
      </w:r>
      <w:proofErr w:type="spellEnd"/>
      <w:r w:rsidRPr="00E16672">
        <w:rPr>
          <w:rFonts w:ascii="Times New Roman" w:hAnsi="Times New Roman"/>
          <w:color w:val="000000"/>
          <w:szCs w:val="20"/>
        </w:rPr>
        <w:t xml:space="preserve"> у </w:t>
      </w:r>
      <w:proofErr w:type="spellStart"/>
      <w:r w:rsidRPr="00E16672">
        <w:rPr>
          <w:rFonts w:ascii="Times New Roman" w:hAnsi="Times New Roman"/>
          <w:color w:val="000000"/>
          <w:szCs w:val="20"/>
        </w:rPr>
        <w:t>разі</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наявності</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реквізитів</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діючого</w:t>
      </w:r>
      <w:proofErr w:type="spellEnd"/>
      <w:r w:rsidRPr="00E16672">
        <w:rPr>
          <w:rFonts w:ascii="Times New Roman" w:hAnsi="Times New Roman"/>
          <w:color w:val="000000"/>
          <w:szCs w:val="20"/>
        </w:rPr>
        <w:t xml:space="preserve"> грошового </w:t>
      </w:r>
      <w:proofErr w:type="spellStart"/>
      <w:r w:rsidRPr="00E16672">
        <w:rPr>
          <w:rFonts w:ascii="Times New Roman" w:hAnsi="Times New Roman"/>
          <w:color w:val="000000"/>
          <w:szCs w:val="20"/>
        </w:rPr>
        <w:t>банківського</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рахунку</w:t>
      </w:r>
      <w:proofErr w:type="spellEnd"/>
      <w:r w:rsidRPr="00E16672">
        <w:rPr>
          <w:rFonts w:ascii="Times New Roman" w:hAnsi="Times New Roman"/>
          <w:color w:val="000000"/>
          <w:szCs w:val="20"/>
        </w:rPr>
        <w:t xml:space="preserve"> в </w:t>
      </w:r>
      <w:proofErr w:type="spellStart"/>
      <w:r w:rsidRPr="00E16672">
        <w:rPr>
          <w:rFonts w:ascii="Times New Roman" w:hAnsi="Times New Roman"/>
          <w:color w:val="000000"/>
          <w:szCs w:val="20"/>
        </w:rPr>
        <w:t>анкеті</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рахунку</w:t>
      </w:r>
      <w:proofErr w:type="spellEnd"/>
      <w:r w:rsidRPr="00E16672">
        <w:rPr>
          <w:rFonts w:ascii="Times New Roman" w:hAnsi="Times New Roman"/>
          <w:color w:val="000000"/>
          <w:szCs w:val="20"/>
        </w:rPr>
        <w:t xml:space="preserve"> </w:t>
      </w:r>
      <w:r w:rsidR="00C22309" w:rsidRPr="00E16672">
        <w:rPr>
          <w:rFonts w:ascii="Times New Roman" w:hAnsi="Times New Roman"/>
          <w:color w:val="000000"/>
          <w:szCs w:val="20"/>
        </w:rPr>
        <w:t xml:space="preserve">в </w:t>
      </w:r>
      <w:proofErr w:type="spellStart"/>
      <w:r w:rsidR="00C22309" w:rsidRPr="00E16672">
        <w:rPr>
          <w:rFonts w:ascii="Times New Roman" w:hAnsi="Times New Roman"/>
          <w:color w:val="000000"/>
          <w:szCs w:val="20"/>
        </w:rPr>
        <w:t>цін</w:t>
      </w:r>
      <w:r w:rsidRPr="00E16672">
        <w:rPr>
          <w:rFonts w:ascii="Times New Roman" w:hAnsi="Times New Roman"/>
          <w:color w:val="000000"/>
          <w:szCs w:val="20"/>
        </w:rPr>
        <w:t>них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паперах</w:t>
      </w:r>
      <w:proofErr w:type="spellEnd"/>
      <w:r w:rsidRPr="00E16672">
        <w:rPr>
          <w:rFonts w:ascii="Times New Roman" w:hAnsi="Times New Roman"/>
          <w:color w:val="000000"/>
          <w:szCs w:val="20"/>
        </w:rPr>
        <w:t xml:space="preserve"> Депонента на момент </w:t>
      </w:r>
      <w:proofErr w:type="spellStart"/>
      <w:r w:rsidRPr="00E16672">
        <w:rPr>
          <w:rFonts w:ascii="Times New Roman" w:hAnsi="Times New Roman"/>
          <w:color w:val="000000"/>
          <w:szCs w:val="20"/>
        </w:rPr>
        <w:t>надходження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відповідних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коштів</w:t>
      </w:r>
      <w:proofErr w:type="spellEnd"/>
      <w:r w:rsidRPr="00E16672">
        <w:rPr>
          <w:rFonts w:ascii="Times New Roman" w:hAnsi="Times New Roman"/>
          <w:color w:val="000000"/>
          <w:szCs w:val="20"/>
        </w:rPr>
        <w:t xml:space="preserve"> на </w:t>
      </w:r>
      <w:proofErr w:type="spellStart"/>
      <w:r w:rsidRPr="00E16672">
        <w:rPr>
          <w:rFonts w:ascii="Times New Roman" w:hAnsi="Times New Roman"/>
          <w:color w:val="000000"/>
          <w:szCs w:val="20"/>
        </w:rPr>
        <w:t>грошовий</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рахунок</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Депозитарної</w:t>
      </w:r>
      <w:proofErr w:type="spellEnd"/>
      <w:r w:rsidRPr="00E16672">
        <w:rPr>
          <w:rFonts w:ascii="Times New Roman" w:hAnsi="Times New Roman"/>
          <w:color w:val="000000"/>
          <w:szCs w:val="20"/>
        </w:rPr>
        <w:t xml:space="preserve"> установи.</w:t>
      </w:r>
    </w:p>
    <w:p w14:paraId="301E7C66" w14:textId="08589FDD" w:rsidR="00765E37" w:rsidRDefault="00765E37" w:rsidP="00765E37">
      <w:pPr>
        <w:rPr>
          <w:rFonts w:ascii="Times New Roman" w:hAnsi="Times New Roman"/>
          <w:color w:val="000000"/>
          <w:szCs w:val="20"/>
        </w:rPr>
      </w:pPr>
      <w:r w:rsidRPr="00E16672">
        <w:rPr>
          <w:rFonts w:ascii="Times New Roman" w:hAnsi="Times New Roman"/>
          <w:color w:val="000000"/>
          <w:szCs w:val="20"/>
        </w:rPr>
        <w:lastRenderedPageBreak/>
        <w:t>1</w:t>
      </w:r>
      <w:r w:rsidR="00577C78" w:rsidRPr="00E16672">
        <w:rPr>
          <w:rFonts w:ascii="Times New Roman" w:hAnsi="Times New Roman"/>
          <w:color w:val="000000"/>
          <w:szCs w:val="20"/>
          <w:lang w:val="uk-UA"/>
        </w:rPr>
        <w:t>1</w:t>
      </w:r>
      <w:r w:rsidRPr="00E16672">
        <w:rPr>
          <w:rFonts w:ascii="Times New Roman" w:hAnsi="Times New Roman"/>
          <w:color w:val="000000"/>
          <w:szCs w:val="20"/>
        </w:rPr>
        <w:t xml:space="preserve">.3. </w:t>
      </w:r>
      <w:proofErr w:type="spellStart"/>
      <w:r w:rsidRPr="00E16672">
        <w:rPr>
          <w:rFonts w:ascii="Times New Roman" w:hAnsi="Times New Roman"/>
          <w:color w:val="000000"/>
          <w:szCs w:val="20"/>
        </w:rPr>
        <w:t>Грошові</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кошти</w:t>
      </w:r>
      <w:proofErr w:type="spellEnd"/>
      <w:r w:rsidRPr="00E16672">
        <w:rPr>
          <w:rFonts w:ascii="Times New Roman" w:hAnsi="Times New Roman"/>
          <w:color w:val="000000"/>
          <w:szCs w:val="20"/>
        </w:rPr>
        <w:t xml:space="preserve">, </w:t>
      </w:r>
      <w:proofErr w:type="spellStart"/>
      <w:r w:rsidRPr="00E16672">
        <w:rPr>
          <w:rStyle w:val="rvts0"/>
          <w:rFonts w:ascii="Times New Roman" w:hAnsi="Times New Roman"/>
          <w:color w:val="000000"/>
          <w:szCs w:val="20"/>
        </w:rPr>
        <w:t>які</w:t>
      </w:r>
      <w:proofErr w:type="spellEnd"/>
      <w:r w:rsidRPr="00E16672">
        <w:rPr>
          <w:rStyle w:val="rvts0"/>
          <w:rFonts w:ascii="Times New Roman" w:hAnsi="Times New Roman"/>
          <w:color w:val="000000"/>
          <w:szCs w:val="20"/>
        </w:rPr>
        <w:t xml:space="preserve"> </w:t>
      </w:r>
      <w:proofErr w:type="spellStart"/>
      <w:r w:rsidRPr="00E16672">
        <w:rPr>
          <w:rStyle w:val="rvts0"/>
          <w:rFonts w:ascii="Times New Roman" w:hAnsi="Times New Roman"/>
          <w:color w:val="000000"/>
          <w:szCs w:val="20"/>
        </w:rPr>
        <w:t>відповідно</w:t>
      </w:r>
      <w:proofErr w:type="spellEnd"/>
      <w:r w:rsidRPr="00E16672">
        <w:rPr>
          <w:rStyle w:val="rvts0"/>
          <w:rFonts w:ascii="Times New Roman" w:hAnsi="Times New Roman"/>
          <w:color w:val="000000"/>
          <w:szCs w:val="20"/>
        </w:rPr>
        <w:t xml:space="preserve"> до </w:t>
      </w:r>
      <w:proofErr w:type="spellStart"/>
      <w:r w:rsidRPr="00E16672">
        <w:rPr>
          <w:rStyle w:val="rvts0"/>
          <w:rFonts w:ascii="Times New Roman" w:hAnsi="Times New Roman"/>
          <w:color w:val="000000"/>
          <w:szCs w:val="20"/>
        </w:rPr>
        <w:t>законодавства</w:t>
      </w:r>
      <w:proofErr w:type="spellEnd"/>
      <w:r w:rsidRPr="00E16672">
        <w:rPr>
          <w:rStyle w:val="rvts0"/>
          <w:rFonts w:ascii="Times New Roman" w:hAnsi="Times New Roman"/>
          <w:color w:val="000000"/>
          <w:szCs w:val="20"/>
        </w:rPr>
        <w:t xml:space="preserve"> </w:t>
      </w:r>
      <w:proofErr w:type="spellStart"/>
      <w:r w:rsidRPr="00E16672">
        <w:rPr>
          <w:rStyle w:val="rvts0"/>
          <w:rFonts w:ascii="Times New Roman" w:hAnsi="Times New Roman"/>
          <w:color w:val="000000"/>
          <w:szCs w:val="20"/>
        </w:rPr>
        <w:t>надходять</w:t>
      </w:r>
      <w:proofErr w:type="spellEnd"/>
      <w:r w:rsidRPr="00E16672">
        <w:rPr>
          <w:rStyle w:val="rvts0"/>
          <w:rFonts w:ascii="Times New Roman" w:hAnsi="Times New Roman"/>
          <w:color w:val="000000"/>
          <w:szCs w:val="20"/>
        </w:rPr>
        <w:t xml:space="preserve"> на </w:t>
      </w:r>
      <w:proofErr w:type="spellStart"/>
      <w:r w:rsidRPr="00E16672">
        <w:rPr>
          <w:rStyle w:val="rvts0"/>
          <w:rFonts w:ascii="Times New Roman" w:hAnsi="Times New Roman"/>
          <w:color w:val="000000"/>
          <w:szCs w:val="20"/>
        </w:rPr>
        <w:t>поточний</w:t>
      </w:r>
      <w:proofErr w:type="spellEnd"/>
      <w:r w:rsidRPr="00E16672">
        <w:rPr>
          <w:rStyle w:val="rvts0"/>
          <w:rFonts w:ascii="Times New Roman" w:hAnsi="Times New Roman"/>
          <w:color w:val="000000"/>
          <w:szCs w:val="20"/>
        </w:rPr>
        <w:t xml:space="preserve"> </w:t>
      </w:r>
      <w:proofErr w:type="spellStart"/>
      <w:r w:rsidRPr="00E16672">
        <w:rPr>
          <w:rStyle w:val="rvts0"/>
          <w:rFonts w:ascii="Times New Roman" w:hAnsi="Times New Roman"/>
          <w:color w:val="000000"/>
          <w:szCs w:val="20"/>
        </w:rPr>
        <w:t>рахунок</w:t>
      </w:r>
      <w:proofErr w:type="spellEnd"/>
      <w:r w:rsidRPr="00E16672">
        <w:rPr>
          <w:rStyle w:val="rvts0"/>
          <w:rFonts w:ascii="Times New Roman" w:hAnsi="Times New Roman"/>
          <w:color w:val="000000"/>
          <w:szCs w:val="20"/>
        </w:rPr>
        <w:t xml:space="preserve"> </w:t>
      </w:r>
      <w:proofErr w:type="spellStart"/>
      <w:r w:rsidRPr="00E16672">
        <w:rPr>
          <w:rStyle w:val="rvts0"/>
          <w:rFonts w:ascii="Times New Roman" w:hAnsi="Times New Roman"/>
          <w:color w:val="000000"/>
          <w:szCs w:val="20"/>
        </w:rPr>
        <w:t>Депозитарної</w:t>
      </w:r>
      <w:proofErr w:type="spellEnd"/>
      <w:r w:rsidRPr="00E16672">
        <w:rPr>
          <w:rStyle w:val="rvts0"/>
          <w:rFonts w:ascii="Times New Roman" w:hAnsi="Times New Roman"/>
          <w:color w:val="000000"/>
          <w:szCs w:val="20"/>
        </w:rPr>
        <w:t xml:space="preserve"> установи з метою </w:t>
      </w:r>
      <w:proofErr w:type="spellStart"/>
      <w:r w:rsidRPr="00E16672">
        <w:rPr>
          <w:rStyle w:val="rvts0"/>
          <w:rFonts w:ascii="Times New Roman" w:hAnsi="Times New Roman"/>
          <w:color w:val="000000"/>
          <w:szCs w:val="20"/>
        </w:rPr>
        <w:t>їх</w:t>
      </w:r>
      <w:proofErr w:type="spellEnd"/>
      <w:r w:rsidRPr="00E16672">
        <w:rPr>
          <w:rStyle w:val="rvts0"/>
          <w:rFonts w:ascii="Times New Roman" w:hAnsi="Times New Roman"/>
          <w:color w:val="000000"/>
          <w:szCs w:val="20"/>
        </w:rPr>
        <w:t xml:space="preserve"> </w:t>
      </w:r>
      <w:proofErr w:type="spellStart"/>
      <w:r w:rsidRPr="00E16672">
        <w:rPr>
          <w:rStyle w:val="rvts0"/>
          <w:rFonts w:ascii="Times New Roman" w:hAnsi="Times New Roman"/>
          <w:color w:val="000000"/>
          <w:szCs w:val="20"/>
        </w:rPr>
        <w:t>подальшого</w:t>
      </w:r>
      <w:proofErr w:type="spellEnd"/>
      <w:r w:rsidRPr="00E16672">
        <w:rPr>
          <w:rStyle w:val="rvts0"/>
          <w:rFonts w:ascii="Times New Roman" w:hAnsi="Times New Roman"/>
          <w:color w:val="000000"/>
          <w:szCs w:val="20"/>
        </w:rPr>
        <w:t xml:space="preserve"> </w:t>
      </w:r>
      <w:proofErr w:type="spellStart"/>
      <w:r w:rsidRPr="00E16672">
        <w:rPr>
          <w:rStyle w:val="rvts0"/>
          <w:rFonts w:ascii="Times New Roman" w:hAnsi="Times New Roman"/>
          <w:color w:val="000000"/>
          <w:szCs w:val="20"/>
        </w:rPr>
        <w:t>переказу</w:t>
      </w:r>
      <w:proofErr w:type="spellEnd"/>
      <w:r w:rsidRPr="00E16672">
        <w:rPr>
          <w:rStyle w:val="rvts0"/>
          <w:rFonts w:ascii="Times New Roman" w:hAnsi="Times New Roman"/>
          <w:color w:val="000000"/>
          <w:szCs w:val="20"/>
        </w:rPr>
        <w:t xml:space="preserve"> Депоненту,</w:t>
      </w:r>
      <w:r w:rsidRPr="00E16672">
        <w:rPr>
          <w:rFonts w:ascii="Times New Roman" w:hAnsi="Times New Roman"/>
          <w:color w:val="000000"/>
          <w:szCs w:val="20"/>
        </w:rPr>
        <w:t xml:space="preserve"> не є </w:t>
      </w:r>
      <w:proofErr w:type="spellStart"/>
      <w:r w:rsidRPr="00E16672">
        <w:rPr>
          <w:rFonts w:ascii="Times New Roman" w:hAnsi="Times New Roman"/>
          <w:color w:val="000000"/>
          <w:szCs w:val="20"/>
        </w:rPr>
        <w:t>власністю</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Депозитарної</w:t>
      </w:r>
      <w:proofErr w:type="spellEnd"/>
      <w:r w:rsidRPr="00E16672">
        <w:rPr>
          <w:rFonts w:ascii="Times New Roman" w:hAnsi="Times New Roman"/>
          <w:color w:val="000000"/>
          <w:szCs w:val="20"/>
        </w:rPr>
        <w:t xml:space="preserve"> установи. </w:t>
      </w:r>
    </w:p>
    <w:p w14:paraId="4AF9A88B" w14:textId="55D78A4C" w:rsidR="002E45AE" w:rsidRPr="00E16672" w:rsidRDefault="002E45AE" w:rsidP="00765E37">
      <w:pPr>
        <w:rPr>
          <w:rFonts w:ascii="Times New Roman" w:hAnsi="Times New Roman"/>
          <w:color w:val="000000"/>
          <w:szCs w:val="20"/>
        </w:rPr>
      </w:pPr>
      <w:proofErr w:type="spellStart"/>
      <w:r w:rsidRPr="002E45AE">
        <w:rPr>
          <w:rFonts w:ascii="Times New Roman" w:hAnsi="Times New Roman"/>
          <w:color w:val="000000"/>
          <w:szCs w:val="20"/>
        </w:rPr>
        <w:t>Депозитарна</w:t>
      </w:r>
      <w:proofErr w:type="spellEnd"/>
      <w:r w:rsidRPr="002E45AE">
        <w:rPr>
          <w:rFonts w:ascii="Times New Roman" w:hAnsi="Times New Roman"/>
          <w:color w:val="000000"/>
          <w:szCs w:val="20"/>
        </w:rPr>
        <w:t xml:space="preserve"> </w:t>
      </w:r>
      <w:proofErr w:type="spellStart"/>
      <w:r w:rsidRPr="002E45AE">
        <w:rPr>
          <w:rFonts w:ascii="Times New Roman" w:hAnsi="Times New Roman"/>
          <w:color w:val="000000"/>
          <w:szCs w:val="20"/>
        </w:rPr>
        <w:t>установа</w:t>
      </w:r>
      <w:proofErr w:type="spellEnd"/>
      <w:r w:rsidRPr="002E45AE">
        <w:rPr>
          <w:rFonts w:ascii="Times New Roman" w:hAnsi="Times New Roman"/>
          <w:color w:val="000000"/>
          <w:szCs w:val="20"/>
        </w:rPr>
        <w:t xml:space="preserve"> повинна </w:t>
      </w:r>
      <w:proofErr w:type="spellStart"/>
      <w:r w:rsidRPr="002E45AE">
        <w:rPr>
          <w:rFonts w:ascii="Times New Roman" w:hAnsi="Times New Roman"/>
          <w:color w:val="000000"/>
          <w:szCs w:val="20"/>
        </w:rPr>
        <w:t>переказати</w:t>
      </w:r>
      <w:proofErr w:type="spellEnd"/>
      <w:r w:rsidRPr="002E45AE">
        <w:rPr>
          <w:rFonts w:ascii="Times New Roman" w:hAnsi="Times New Roman"/>
          <w:color w:val="000000"/>
          <w:szCs w:val="20"/>
        </w:rPr>
        <w:t xml:space="preserve"> </w:t>
      </w:r>
      <w:proofErr w:type="spellStart"/>
      <w:r w:rsidRPr="002E45AE">
        <w:rPr>
          <w:rFonts w:ascii="Times New Roman" w:hAnsi="Times New Roman"/>
          <w:color w:val="000000"/>
          <w:szCs w:val="20"/>
        </w:rPr>
        <w:t>кошти</w:t>
      </w:r>
      <w:proofErr w:type="spellEnd"/>
      <w:r w:rsidRPr="002E45AE">
        <w:rPr>
          <w:rFonts w:ascii="Times New Roman" w:hAnsi="Times New Roman"/>
          <w:color w:val="000000"/>
          <w:szCs w:val="20"/>
        </w:rPr>
        <w:t xml:space="preserve">, </w:t>
      </w:r>
      <w:proofErr w:type="spellStart"/>
      <w:r w:rsidRPr="002E45AE">
        <w:rPr>
          <w:rFonts w:ascii="Times New Roman" w:hAnsi="Times New Roman"/>
          <w:color w:val="000000"/>
          <w:szCs w:val="20"/>
        </w:rPr>
        <w:t>що</w:t>
      </w:r>
      <w:proofErr w:type="spellEnd"/>
      <w:r w:rsidRPr="002E45AE">
        <w:rPr>
          <w:rFonts w:ascii="Times New Roman" w:hAnsi="Times New Roman"/>
          <w:color w:val="000000"/>
          <w:szCs w:val="20"/>
        </w:rPr>
        <w:t xml:space="preserve"> </w:t>
      </w:r>
      <w:proofErr w:type="spellStart"/>
      <w:r w:rsidRPr="002E45AE">
        <w:rPr>
          <w:rFonts w:ascii="Times New Roman" w:hAnsi="Times New Roman"/>
          <w:color w:val="000000"/>
          <w:szCs w:val="20"/>
        </w:rPr>
        <w:t>призначені</w:t>
      </w:r>
      <w:proofErr w:type="spellEnd"/>
      <w:r w:rsidRPr="002E45AE">
        <w:rPr>
          <w:rFonts w:ascii="Times New Roman" w:hAnsi="Times New Roman"/>
          <w:color w:val="000000"/>
          <w:szCs w:val="20"/>
        </w:rPr>
        <w:t xml:space="preserve"> для </w:t>
      </w:r>
      <w:proofErr w:type="spellStart"/>
      <w:r w:rsidRPr="002E45AE">
        <w:rPr>
          <w:rFonts w:ascii="Times New Roman" w:hAnsi="Times New Roman"/>
          <w:color w:val="000000"/>
          <w:szCs w:val="20"/>
        </w:rPr>
        <w:t>виплати</w:t>
      </w:r>
      <w:proofErr w:type="spellEnd"/>
      <w:r w:rsidRPr="002E45AE">
        <w:rPr>
          <w:rFonts w:ascii="Times New Roman" w:hAnsi="Times New Roman"/>
          <w:color w:val="000000"/>
          <w:szCs w:val="20"/>
        </w:rPr>
        <w:t xml:space="preserve"> за </w:t>
      </w:r>
      <w:proofErr w:type="spellStart"/>
      <w:r w:rsidRPr="002E45AE">
        <w:rPr>
          <w:rFonts w:ascii="Times New Roman" w:hAnsi="Times New Roman"/>
          <w:color w:val="000000"/>
          <w:szCs w:val="20"/>
        </w:rPr>
        <w:t>цінними</w:t>
      </w:r>
      <w:proofErr w:type="spellEnd"/>
      <w:r w:rsidRPr="002E45AE">
        <w:rPr>
          <w:rFonts w:ascii="Times New Roman" w:hAnsi="Times New Roman"/>
          <w:color w:val="000000"/>
          <w:szCs w:val="20"/>
        </w:rPr>
        <w:t xml:space="preserve"> </w:t>
      </w:r>
      <w:proofErr w:type="spellStart"/>
      <w:r w:rsidRPr="002E45AE">
        <w:rPr>
          <w:rFonts w:ascii="Times New Roman" w:hAnsi="Times New Roman"/>
          <w:color w:val="000000"/>
          <w:szCs w:val="20"/>
        </w:rPr>
        <w:t>паперами</w:t>
      </w:r>
      <w:proofErr w:type="spellEnd"/>
      <w:r w:rsidRPr="002E45AE">
        <w:rPr>
          <w:rFonts w:ascii="Times New Roman" w:hAnsi="Times New Roman"/>
          <w:color w:val="000000"/>
          <w:szCs w:val="20"/>
        </w:rPr>
        <w:t xml:space="preserve">, права на </w:t>
      </w:r>
      <w:proofErr w:type="spellStart"/>
      <w:r w:rsidRPr="002E45AE">
        <w:rPr>
          <w:rFonts w:ascii="Times New Roman" w:hAnsi="Times New Roman"/>
          <w:color w:val="000000"/>
          <w:szCs w:val="20"/>
        </w:rPr>
        <w:t>які</w:t>
      </w:r>
      <w:proofErr w:type="spellEnd"/>
      <w:r w:rsidRPr="002E45AE">
        <w:rPr>
          <w:rFonts w:ascii="Times New Roman" w:hAnsi="Times New Roman"/>
          <w:color w:val="000000"/>
          <w:szCs w:val="20"/>
        </w:rPr>
        <w:t xml:space="preserve"> </w:t>
      </w:r>
      <w:proofErr w:type="spellStart"/>
      <w:r w:rsidRPr="002E45AE">
        <w:rPr>
          <w:rFonts w:ascii="Times New Roman" w:hAnsi="Times New Roman"/>
          <w:color w:val="000000"/>
          <w:szCs w:val="20"/>
        </w:rPr>
        <w:t>обліковувались</w:t>
      </w:r>
      <w:proofErr w:type="spellEnd"/>
      <w:r w:rsidRPr="002E45AE">
        <w:rPr>
          <w:rFonts w:ascii="Times New Roman" w:hAnsi="Times New Roman"/>
          <w:color w:val="000000"/>
          <w:szCs w:val="20"/>
        </w:rPr>
        <w:t xml:space="preserve"> у </w:t>
      </w:r>
      <w:proofErr w:type="spellStart"/>
      <w:r w:rsidRPr="002E45AE">
        <w:rPr>
          <w:rFonts w:ascii="Times New Roman" w:hAnsi="Times New Roman"/>
          <w:color w:val="000000"/>
          <w:szCs w:val="20"/>
        </w:rPr>
        <w:t>неї</w:t>
      </w:r>
      <w:proofErr w:type="spellEnd"/>
      <w:r w:rsidRPr="002E45AE">
        <w:rPr>
          <w:rFonts w:ascii="Times New Roman" w:hAnsi="Times New Roman"/>
          <w:color w:val="000000"/>
          <w:szCs w:val="20"/>
        </w:rPr>
        <w:t xml:space="preserve">, та не </w:t>
      </w:r>
      <w:proofErr w:type="spellStart"/>
      <w:r w:rsidRPr="002E45AE">
        <w:rPr>
          <w:rFonts w:ascii="Times New Roman" w:hAnsi="Times New Roman"/>
          <w:color w:val="000000"/>
          <w:szCs w:val="20"/>
        </w:rPr>
        <w:t>були</w:t>
      </w:r>
      <w:proofErr w:type="spellEnd"/>
      <w:r w:rsidRPr="002E45AE">
        <w:rPr>
          <w:rFonts w:ascii="Times New Roman" w:hAnsi="Times New Roman"/>
          <w:color w:val="000000"/>
          <w:szCs w:val="20"/>
        </w:rPr>
        <w:t xml:space="preserve"> нею </w:t>
      </w:r>
      <w:proofErr w:type="spellStart"/>
      <w:r w:rsidRPr="002E45AE">
        <w:rPr>
          <w:rFonts w:ascii="Times New Roman" w:hAnsi="Times New Roman"/>
          <w:color w:val="000000"/>
          <w:szCs w:val="20"/>
        </w:rPr>
        <w:t>виплачені</w:t>
      </w:r>
      <w:proofErr w:type="spellEnd"/>
      <w:r w:rsidRPr="002E45AE">
        <w:rPr>
          <w:rFonts w:ascii="Times New Roman" w:hAnsi="Times New Roman"/>
          <w:color w:val="000000"/>
          <w:szCs w:val="20"/>
        </w:rPr>
        <w:t xml:space="preserve"> особам, </w:t>
      </w:r>
      <w:proofErr w:type="spellStart"/>
      <w:r w:rsidRPr="002E45AE">
        <w:rPr>
          <w:rFonts w:ascii="Times New Roman" w:hAnsi="Times New Roman"/>
          <w:color w:val="000000"/>
          <w:szCs w:val="20"/>
        </w:rPr>
        <w:t>які</w:t>
      </w:r>
      <w:proofErr w:type="spellEnd"/>
      <w:r w:rsidRPr="002E45AE">
        <w:rPr>
          <w:rFonts w:ascii="Times New Roman" w:hAnsi="Times New Roman"/>
          <w:color w:val="000000"/>
          <w:szCs w:val="20"/>
        </w:rPr>
        <w:t xml:space="preserve"> </w:t>
      </w:r>
      <w:proofErr w:type="spellStart"/>
      <w:r w:rsidRPr="002E45AE">
        <w:rPr>
          <w:rFonts w:ascii="Times New Roman" w:hAnsi="Times New Roman"/>
          <w:color w:val="000000"/>
          <w:szCs w:val="20"/>
        </w:rPr>
        <w:t>мають</w:t>
      </w:r>
      <w:proofErr w:type="spellEnd"/>
      <w:r w:rsidRPr="002E45AE">
        <w:rPr>
          <w:rFonts w:ascii="Times New Roman" w:hAnsi="Times New Roman"/>
          <w:color w:val="000000"/>
          <w:szCs w:val="20"/>
        </w:rPr>
        <w:t xml:space="preserve"> право на </w:t>
      </w:r>
      <w:proofErr w:type="spellStart"/>
      <w:r w:rsidRPr="002E45AE">
        <w:rPr>
          <w:rFonts w:ascii="Times New Roman" w:hAnsi="Times New Roman"/>
          <w:color w:val="000000"/>
          <w:szCs w:val="20"/>
        </w:rPr>
        <w:t>їх</w:t>
      </w:r>
      <w:proofErr w:type="spellEnd"/>
      <w:r w:rsidRPr="002E45AE">
        <w:rPr>
          <w:rFonts w:ascii="Times New Roman" w:hAnsi="Times New Roman"/>
          <w:color w:val="000000"/>
          <w:szCs w:val="20"/>
        </w:rPr>
        <w:t xml:space="preserve"> </w:t>
      </w:r>
      <w:proofErr w:type="spellStart"/>
      <w:r w:rsidRPr="002E45AE">
        <w:rPr>
          <w:rFonts w:ascii="Times New Roman" w:hAnsi="Times New Roman"/>
          <w:color w:val="000000"/>
          <w:szCs w:val="20"/>
        </w:rPr>
        <w:t>отримання</w:t>
      </w:r>
      <w:proofErr w:type="spellEnd"/>
      <w:r w:rsidRPr="002E45AE">
        <w:rPr>
          <w:rFonts w:ascii="Times New Roman" w:hAnsi="Times New Roman"/>
          <w:color w:val="000000"/>
          <w:szCs w:val="20"/>
        </w:rPr>
        <w:t xml:space="preserve">, у </w:t>
      </w:r>
      <w:proofErr w:type="spellStart"/>
      <w:r w:rsidRPr="002E45AE">
        <w:rPr>
          <w:rFonts w:ascii="Times New Roman" w:hAnsi="Times New Roman"/>
          <w:color w:val="000000"/>
          <w:szCs w:val="20"/>
        </w:rPr>
        <w:t>встановленому</w:t>
      </w:r>
      <w:proofErr w:type="spellEnd"/>
      <w:r w:rsidRPr="002E45AE">
        <w:rPr>
          <w:rFonts w:ascii="Times New Roman" w:hAnsi="Times New Roman"/>
          <w:color w:val="000000"/>
          <w:szCs w:val="20"/>
        </w:rPr>
        <w:t xml:space="preserve"> </w:t>
      </w:r>
      <w:proofErr w:type="spellStart"/>
      <w:r w:rsidRPr="002E45AE">
        <w:rPr>
          <w:rFonts w:ascii="Times New Roman" w:hAnsi="Times New Roman"/>
          <w:color w:val="000000"/>
          <w:szCs w:val="20"/>
        </w:rPr>
        <w:t>законодавством</w:t>
      </w:r>
      <w:proofErr w:type="spellEnd"/>
      <w:r w:rsidRPr="002E45AE">
        <w:rPr>
          <w:rFonts w:ascii="Times New Roman" w:hAnsi="Times New Roman"/>
          <w:color w:val="000000"/>
          <w:szCs w:val="20"/>
        </w:rPr>
        <w:t xml:space="preserve"> порядку на </w:t>
      </w:r>
      <w:proofErr w:type="spellStart"/>
      <w:r w:rsidRPr="002E45AE">
        <w:rPr>
          <w:rFonts w:ascii="Times New Roman" w:hAnsi="Times New Roman"/>
          <w:color w:val="000000"/>
          <w:szCs w:val="20"/>
        </w:rPr>
        <w:t>грошовий</w:t>
      </w:r>
      <w:proofErr w:type="spellEnd"/>
      <w:r w:rsidRPr="002E45AE">
        <w:rPr>
          <w:rFonts w:ascii="Times New Roman" w:hAnsi="Times New Roman"/>
          <w:color w:val="000000"/>
          <w:szCs w:val="20"/>
        </w:rPr>
        <w:t xml:space="preserve"> </w:t>
      </w:r>
      <w:proofErr w:type="spellStart"/>
      <w:r w:rsidRPr="002E45AE">
        <w:rPr>
          <w:rFonts w:ascii="Times New Roman" w:hAnsi="Times New Roman"/>
          <w:color w:val="000000"/>
          <w:szCs w:val="20"/>
        </w:rPr>
        <w:t>рахунок</w:t>
      </w:r>
      <w:proofErr w:type="spellEnd"/>
      <w:r w:rsidRPr="002E45AE">
        <w:rPr>
          <w:rFonts w:ascii="Times New Roman" w:hAnsi="Times New Roman"/>
          <w:color w:val="000000"/>
          <w:szCs w:val="20"/>
        </w:rPr>
        <w:t xml:space="preserve"> Центрального </w:t>
      </w:r>
      <w:proofErr w:type="spellStart"/>
      <w:r w:rsidRPr="002E45AE">
        <w:rPr>
          <w:rFonts w:ascii="Times New Roman" w:hAnsi="Times New Roman"/>
          <w:color w:val="000000"/>
          <w:szCs w:val="20"/>
        </w:rPr>
        <w:t>депозитарію</w:t>
      </w:r>
      <w:proofErr w:type="spellEnd"/>
      <w:r w:rsidRPr="002E45AE">
        <w:rPr>
          <w:rFonts w:ascii="Times New Roman" w:hAnsi="Times New Roman"/>
          <w:color w:val="000000"/>
          <w:szCs w:val="20"/>
        </w:rPr>
        <w:t xml:space="preserve"> у </w:t>
      </w:r>
      <w:proofErr w:type="spellStart"/>
      <w:r w:rsidRPr="002E45AE">
        <w:rPr>
          <w:rFonts w:ascii="Times New Roman" w:hAnsi="Times New Roman"/>
          <w:color w:val="000000"/>
          <w:szCs w:val="20"/>
        </w:rPr>
        <w:t>Розрахунковому</w:t>
      </w:r>
      <w:proofErr w:type="spellEnd"/>
      <w:r w:rsidRPr="002E45AE">
        <w:rPr>
          <w:rFonts w:ascii="Times New Roman" w:hAnsi="Times New Roman"/>
          <w:color w:val="000000"/>
          <w:szCs w:val="20"/>
        </w:rPr>
        <w:t xml:space="preserve"> </w:t>
      </w:r>
      <w:proofErr w:type="spellStart"/>
      <w:r w:rsidRPr="002E45AE">
        <w:rPr>
          <w:rFonts w:ascii="Times New Roman" w:hAnsi="Times New Roman"/>
          <w:color w:val="000000"/>
          <w:szCs w:val="20"/>
        </w:rPr>
        <w:t>центрі</w:t>
      </w:r>
      <w:proofErr w:type="spellEnd"/>
      <w:r w:rsidRPr="002E45AE">
        <w:rPr>
          <w:rFonts w:ascii="Times New Roman" w:hAnsi="Times New Roman"/>
          <w:color w:val="000000"/>
          <w:szCs w:val="20"/>
        </w:rPr>
        <w:t xml:space="preserve"> з </w:t>
      </w:r>
      <w:proofErr w:type="spellStart"/>
      <w:r w:rsidRPr="002E45AE">
        <w:rPr>
          <w:rFonts w:ascii="Times New Roman" w:hAnsi="Times New Roman"/>
          <w:color w:val="000000"/>
          <w:szCs w:val="20"/>
        </w:rPr>
        <w:t>одночасним</w:t>
      </w:r>
      <w:proofErr w:type="spellEnd"/>
      <w:r w:rsidRPr="002E45AE">
        <w:rPr>
          <w:rFonts w:ascii="Times New Roman" w:hAnsi="Times New Roman"/>
          <w:color w:val="000000"/>
          <w:szCs w:val="20"/>
        </w:rPr>
        <w:t xml:space="preserve"> </w:t>
      </w:r>
      <w:proofErr w:type="spellStart"/>
      <w:r w:rsidRPr="002E45AE">
        <w:rPr>
          <w:rFonts w:ascii="Times New Roman" w:hAnsi="Times New Roman"/>
          <w:color w:val="000000"/>
          <w:szCs w:val="20"/>
        </w:rPr>
        <w:t>поданням</w:t>
      </w:r>
      <w:proofErr w:type="spellEnd"/>
      <w:r w:rsidRPr="002E45AE">
        <w:rPr>
          <w:rFonts w:ascii="Times New Roman" w:hAnsi="Times New Roman"/>
          <w:color w:val="000000"/>
          <w:szCs w:val="20"/>
        </w:rPr>
        <w:t xml:space="preserve"> Центральному </w:t>
      </w:r>
      <w:proofErr w:type="spellStart"/>
      <w:r w:rsidRPr="002E45AE">
        <w:rPr>
          <w:rFonts w:ascii="Times New Roman" w:hAnsi="Times New Roman"/>
          <w:color w:val="000000"/>
          <w:szCs w:val="20"/>
        </w:rPr>
        <w:t>депозитарію</w:t>
      </w:r>
      <w:proofErr w:type="spellEnd"/>
      <w:r w:rsidRPr="002E45AE">
        <w:rPr>
          <w:rFonts w:ascii="Times New Roman" w:hAnsi="Times New Roman"/>
          <w:color w:val="000000"/>
          <w:szCs w:val="20"/>
        </w:rPr>
        <w:t xml:space="preserve"> </w:t>
      </w:r>
      <w:proofErr w:type="spellStart"/>
      <w:r w:rsidRPr="002E45AE">
        <w:rPr>
          <w:rFonts w:ascii="Times New Roman" w:hAnsi="Times New Roman"/>
          <w:color w:val="000000"/>
          <w:szCs w:val="20"/>
        </w:rPr>
        <w:t>відповідного</w:t>
      </w:r>
      <w:proofErr w:type="spellEnd"/>
      <w:r w:rsidRPr="002E45AE">
        <w:rPr>
          <w:rFonts w:ascii="Times New Roman" w:hAnsi="Times New Roman"/>
          <w:color w:val="000000"/>
          <w:szCs w:val="20"/>
        </w:rPr>
        <w:t xml:space="preserve"> </w:t>
      </w:r>
      <w:proofErr w:type="spellStart"/>
      <w:r w:rsidRPr="002E45AE">
        <w:rPr>
          <w:rFonts w:ascii="Times New Roman" w:hAnsi="Times New Roman"/>
          <w:color w:val="000000"/>
          <w:szCs w:val="20"/>
        </w:rPr>
        <w:t>повідомлення</w:t>
      </w:r>
      <w:proofErr w:type="spellEnd"/>
      <w:r w:rsidRPr="002E45AE">
        <w:rPr>
          <w:rFonts w:ascii="Times New Roman" w:hAnsi="Times New Roman"/>
          <w:color w:val="000000"/>
          <w:szCs w:val="20"/>
        </w:rPr>
        <w:t xml:space="preserve"> </w:t>
      </w:r>
      <w:proofErr w:type="spellStart"/>
      <w:r w:rsidRPr="002E45AE">
        <w:rPr>
          <w:rFonts w:ascii="Times New Roman" w:hAnsi="Times New Roman"/>
          <w:color w:val="000000"/>
          <w:szCs w:val="20"/>
        </w:rPr>
        <w:t>щодо</w:t>
      </w:r>
      <w:proofErr w:type="spellEnd"/>
      <w:r w:rsidRPr="002E45AE">
        <w:rPr>
          <w:rFonts w:ascii="Times New Roman" w:hAnsi="Times New Roman"/>
          <w:color w:val="000000"/>
          <w:szCs w:val="20"/>
        </w:rPr>
        <w:t xml:space="preserve"> </w:t>
      </w:r>
      <w:proofErr w:type="spellStart"/>
      <w:r w:rsidRPr="002E45AE">
        <w:rPr>
          <w:rFonts w:ascii="Times New Roman" w:hAnsi="Times New Roman"/>
          <w:color w:val="000000"/>
          <w:szCs w:val="20"/>
        </w:rPr>
        <w:t>загальної</w:t>
      </w:r>
      <w:proofErr w:type="spellEnd"/>
      <w:r w:rsidRPr="002E45AE">
        <w:rPr>
          <w:rFonts w:ascii="Times New Roman" w:hAnsi="Times New Roman"/>
          <w:color w:val="000000"/>
          <w:szCs w:val="20"/>
        </w:rPr>
        <w:t xml:space="preserve"> </w:t>
      </w:r>
      <w:proofErr w:type="spellStart"/>
      <w:r w:rsidRPr="002E45AE">
        <w:rPr>
          <w:rFonts w:ascii="Times New Roman" w:hAnsi="Times New Roman"/>
          <w:color w:val="000000"/>
          <w:szCs w:val="20"/>
        </w:rPr>
        <w:t>суми</w:t>
      </w:r>
      <w:proofErr w:type="spellEnd"/>
      <w:r w:rsidRPr="002E45AE">
        <w:rPr>
          <w:rFonts w:ascii="Times New Roman" w:hAnsi="Times New Roman"/>
          <w:color w:val="000000"/>
          <w:szCs w:val="20"/>
        </w:rPr>
        <w:t xml:space="preserve"> </w:t>
      </w:r>
      <w:proofErr w:type="spellStart"/>
      <w:r w:rsidRPr="002E45AE">
        <w:rPr>
          <w:rFonts w:ascii="Times New Roman" w:hAnsi="Times New Roman"/>
          <w:color w:val="000000"/>
          <w:szCs w:val="20"/>
        </w:rPr>
        <w:t>коштів</w:t>
      </w:r>
      <w:proofErr w:type="spellEnd"/>
      <w:r w:rsidRPr="002E45AE">
        <w:rPr>
          <w:rFonts w:ascii="Times New Roman" w:hAnsi="Times New Roman"/>
          <w:color w:val="000000"/>
          <w:szCs w:val="20"/>
        </w:rPr>
        <w:t xml:space="preserve"> </w:t>
      </w:r>
      <w:proofErr w:type="spellStart"/>
      <w:r w:rsidRPr="002E45AE">
        <w:rPr>
          <w:rFonts w:ascii="Times New Roman" w:hAnsi="Times New Roman"/>
          <w:color w:val="000000"/>
          <w:szCs w:val="20"/>
        </w:rPr>
        <w:t>окремо</w:t>
      </w:r>
      <w:proofErr w:type="spellEnd"/>
      <w:r w:rsidRPr="002E45AE">
        <w:rPr>
          <w:rFonts w:ascii="Times New Roman" w:hAnsi="Times New Roman"/>
          <w:color w:val="000000"/>
          <w:szCs w:val="20"/>
        </w:rPr>
        <w:t xml:space="preserve"> за </w:t>
      </w:r>
      <w:proofErr w:type="spellStart"/>
      <w:r w:rsidRPr="002E45AE">
        <w:rPr>
          <w:rFonts w:ascii="Times New Roman" w:hAnsi="Times New Roman"/>
          <w:color w:val="000000"/>
          <w:szCs w:val="20"/>
        </w:rPr>
        <w:t>відповідним</w:t>
      </w:r>
      <w:proofErr w:type="spellEnd"/>
      <w:r w:rsidRPr="002E45AE">
        <w:rPr>
          <w:rFonts w:ascii="Times New Roman" w:hAnsi="Times New Roman"/>
          <w:color w:val="000000"/>
          <w:szCs w:val="20"/>
        </w:rPr>
        <w:t xml:space="preserve"> </w:t>
      </w:r>
      <w:proofErr w:type="spellStart"/>
      <w:r w:rsidRPr="002E45AE">
        <w:rPr>
          <w:rFonts w:ascii="Times New Roman" w:hAnsi="Times New Roman"/>
          <w:color w:val="000000"/>
          <w:szCs w:val="20"/>
        </w:rPr>
        <w:t>випуском</w:t>
      </w:r>
      <w:proofErr w:type="spellEnd"/>
      <w:r w:rsidRPr="002E45AE">
        <w:rPr>
          <w:rFonts w:ascii="Times New Roman" w:hAnsi="Times New Roman"/>
          <w:color w:val="000000"/>
          <w:szCs w:val="20"/>
        </w:rPr>
        <w:t xml:space="preserve"> </w:t>
      </w:r>
      <w:proofErr w:type="spellStart"/>
      <w:r w:rsidRPr="002E45AE">
        <w:rPr>
          <w:rFonts w:ascii="Times New Roman" w:hAnsi="Times New Roman"/>
          <w:color w:val="000000"/>
          <w:szCs w:val="20"/>
        </w:rPr>
        <w:t>цінних</w:t>
      </w:r>
      <w:proofErr w:type="spellEnd"/>
      <w:r w:rsidRPr="002E45AE">
        <w:rPr>
          <w:rFonts w:ascii="Times New Roman" w:hAnsi="Times New Roman"/>
          <w:color w:val="000000"/>
          <w:szCs w:val="20"/>
        </w:rPr>
        <w:t xml:space="preserve"> </w:t>
      </w:r>
      <w:proofErr w:type="spellStart"/>
      <w:r w:rsidRPr="002E45AE">
        <w:rPr>
          <w:rFonts w:ascii="Times New Roman" w:hAnsi="Times New Roman"/>
          <w:color w:val="000000"/>
          <w:szCs w:val="20"/>
        </w:rPr>
        <w:t>паперів</w:t>
      </w:r>
      <w:proofErr w:type="spellEnd"/>
      <w:r w:rsidRPr="002E45AE">
        <w:rPr>
          <w:rFonts w:ascii="Times New Roman" w:hAnsi="Times New Roman"/>
          <w:color w:val="000000"/>
          <w:szCs w:val="20"/>
        </w:rPr>
        <w:t xml:space="preserve"> та </w:t>
      </w:r>
      <w:proofErr w:type="spellStart"/>
      <w:r w:rsidRPr="002E45AE">
        <w:rPr>
          <w:rFonts w:ascii="Times New Roman" w:hAnsi="Times New Roman"/>
          <w:color w:val="000000"/>
          <w:szCs w:val="20"/>
        </w:rPr>
        <w:t>відповідного</w:t>
      </w:r>
      <w:proofErr w:type="spellEnd"/>
      <w:r w:rsidRPr="002E45AE">
        <w:rPr>
          <w:rFonts w:ascii="Times New Roman" w:hAnsi="Times New Roman"/>
          <w:color w:val="000000"/>
          <w:szCs w:val="20"/>
        </w:rPr>
        <w:t xml:space="preserve"> </w:t>
      </w:r>
      <w:proofErr w:type="spellStart"/>
      <w:r w:rsidRPr="002E45AE">
        <w:rPr>
          <w:rFonts w:ascii="Times New Roman" w:hAnsi="Times New Roman"/>
          <w:color w:val="000000"/>
          <w:szCs w:val="20"/>
        </w:rPr>
        <w:t>розпорядження</w:t>
      </w:r>
      <w:proofErr w:type="spellEnd"/>
      <w:r w:rsidRPr="002E45AE">
        <w:rPr>
          <w:rFonts w:ascii="Times New Roman" w:hAnsi="Times New Roman"/>
          <w:color w:val="000000"/>
          <w:szCs w:val="20"/>
        </w:rPr>
        <w:t xml:space="preserve"> у порядку, </w:t>
      </w:r>
      <w:proofErr w:type="spellStart"/>
      <w:r w:rsidRPr="002E45AE">
        <w:rPr>
          <w:rFonts w:ascii="Times New Roman" w:hAnsi="Times New Roman"/>
          <w:color w:val="000000"/>
          <w:szCs w:val="20"/>
        </w:rPr>
        <w:t>визначеному</w:t>
      </w:r>
      <w:proofErr w:type="spellEnd"/>
      <w:r w:rsidRPr="002E45AE">
        <w:rPr>
          <w:rFonts w:ascii="Times New Roman" w:hAnsi="Times New Roman"/>
          <w:color w:val="000000"/>
          <w:szCs w:val="20"/>
        </w:rPr>
        <w:t xml:space="preserve"> </w:t>
      </w:r>
      <w:proofErr w:type="spellStart"/>
      <w:r w:rsidRPr="002E45AE">
        <w:rPr>
          <w:rFonts w:ascii="Times New Roman" w:hAnsi="Times New Roman"/>
          <w:color w:val="000000"/>
          <w:szCs w:val="20"/>
        </w:rPr>
        <w:t>внутрішніми</w:t>
      </w:r>
      <w:proofErr w:type="spellEnd"/>
      <w:r w:rsidRPr="002E45AE">
        <w:rPr>
          <w:rFonts w:ascii="Times New Roman" w:hAnsi="Times New Roman"/>
          <w:color w:val="000000"/>
          <w:szCs w:val="20"/>
        </w:rPr>
        <w:t xml:space="preserve"> документами Центрального </w:t>
      </w:r>
      <w:proofErr w:type="spellStart"/>
      <w:r w:rsidRPr="002E45AE">
        <w:rPr>
          <w:rFonts w:ascii="Times New Roman" w:hAnsi="Times New Roman"/>
          <w:color w:val="000000"/>
          <w:szCs w:val="20"/>
        </w:rPr>
        <w:t>депозитарію</w:t>
      </w:r>
      <w:proofErr w:type="spellEnd"/>
      <w:r w:rsidRPr="002E45AE">
        <w:rPr>
          <w:rFonts w:ascii="Times New Roman" w:hAnsi="Times New Roman"/>
          <w:color w:val="000000"/>
          <w:szCs w:val="20"/>
        </w:rPr>
        <w:t>.</w:t>
      </w:r>
    </w:p>
    <w:p w14:paraId="1C9719B1" w14:textId="77777777" w:rsidR="00765E37" w:rsidRPr="00E16672" w:rsidRDefault="00577C78" w:rsidP="00765E37">
      <w:pPr>
        <w:rPr>
          <w:rFonts w:ascii="Times New Roman" w:hAnsi="Times New Roman"/>
          <w:color w:val="000000"/>
          <w:szCs w:val="20"/>
          <w:lang w:val="uk-UA"/>
        </w:rPr>
      </w:pPr>
      <w:r w:rsidRPr="00E16672">
        <w:rPr>
          <w:rFonts w:ascii="Times New Roman" w:hAnsi="Times New Roman"/>
          <w:color w:val="000000"/>
          <w:szCs w:val="20"/>
        </w:rPr>
        <w:t>11</w:t>
      </w:r>
      <w:r w:rsidR="00765E37" w:rsidRPr="00E16672">
        <w:rPr>
          <w:rFonts w:ascii="Times New Roman" w:hAnsi="Times New Roman"/>
          <w:color w:val="000000"/>
          <w:szCs w:val="20"/>
        </w:rPr>
        <w:t xml:space="preserve">.4. У </w:t>
      </w:r>
      <w:proofErr w:type="spellStart"/>
      <w:r w:rsidR="00765E37" w:rsidRPr="00E16672">
        <w:rPr>
          <w:rFonts w:ascii="Times New Roman" w:hAnsi="Times New Roman"/>
          <w:color w:val="000000"/>
          <w:szCs w:val="20"/>
        </w:rPr>
        <w:t>разі</w:t>
      </w:r>
      <w:proofErr w:type="spellEnd"/>
      <w:r w:rsidR="00765E37" w:rsidRPr="00E16672">
        <w:rPr>
          <w:rFonts w:ascii="Times New Roman" w:hAnsi="Times New Roman"/>
          <w:color w:val="000000"/>
          <w:szCs w:val="20"/>
        </w:rPr>
        <w:t xml:space="preserve"> </w:t>
      </w:r>
      <w:proofErr w:type="spellStart"/>
      <w:r w:rsidR="00765E37" w:rsidRPr="00E16672">
        <w:rPr>
          <w:rFonts w:ascii="Times New Roman" w:hAnsi="Times New Roman"/>
          <w:color w:val="000000"/>
          <w:szCs w:val="20"/>
        </w:rPr>
        <w:t>наявності</w:t>
      </w:r>
      <w:proofErr w:type="spellEnd"/>
      <w:r w:rsidR="00765E37" w:rsidRPr="00E16672">
        <w:rPr>
          <w:rFonts w:ascii="Times New Roman" w:hAnsi="Times New Roman"/>
          <w:color w:val="000000"/>
          <w:szCs w:val="20"/>
        </w:rPr>
        <w:t xml:space="preserve"> </w:t>
      </w:r>
      <w:proofErr w:type="spellStart"/>
      <w:r w:rsidR="00765E37" w:rsidRPr="00E16672">
        <w:rPr>
          <w:rFonts w:ascii="Times New Roman" w:hAnsi="Times New Roman"/>
          <w:color w:val="000000"/>
          <w:szCs w:val="20"/>
        </w:rPr>
        <w:t>заборгованості</w:t>
      </w:r>
      <w:proofErr w:type="spellEnd"/>
      <w:r w:rsidR="00765E37" w:rsidRPr="00E16672">
        <w:rPr>
          <w:rFonts w:ascii="Times New Roman" w:hAnsi="Times New Roman"/>
          <w:color w:val="000000"/>
          <w:szCs w:val="20"/>
        </w:rPr>
        <w:t xml:space="preserve"> з боку Депонента за </w:t>
      </w:r>
      <w:proofErr w:type="spellStart"/>
      <w:r w:rsidR="00765E37" w:rsidRPr="00E16672">
        <w:rPr>
          <w:rFonts w:ascii="Times New Roman" w:hAnsi="Times New Roman"/>
          <w:color w:val="000000"/>
          <w:szCs w:val="20"/>
        </w:rPr>
        <w:t>послуги</w:t>
      </w:r>
      <w:proofErr w:type="spellEnd"/>
      <w:r w:rsidR="00765E37" w:rsidRPr="00E16672">
        <w:rPr>
          <w:rFonts w:ascii="Times New Roman" w:hAnsi="Times New Roman"/>
          <w:color w:val="000000"/>
          <w:szCs w:val="20"/>
        </w:rPr>
        <w:t xml:space="preserve"> </w:t>
      </w:r>
      <w:proofErr w:type="spellStart"/>
      <w:r w:rsidR="00765E37" w:rsidRPr="00E16672">
        <w:rPr>
          <w:rFonts w:ascii="Times New Roman" w:hAnsi="Times New Roman"/>
          <w:color w:val="000000"/>
          <w:szCs w:val="20"/>
        </w:rPr>
        <w:t>Депозитарної</w:t>
      </w:r>
      <w:proofErr w:type="spellEnd"/>
      <w:r w:rsidR="00765E37" w:rsidRPr="00E16672">
        <w:rPr>
          <w:rFonts w:ascii="Times New Roman" w:hAnsi="Times New Roman"/>
          <w:color w:val="000000"/>
          <w:szCs w:val="20"/>
        </w:rPr>
        <w:t xml:space="preserve"> установи </w:t>
      </w:r>
      <w:proofErr w:type="spellStart"/>
      <w:r w:rsidR="00765E37" w:rsidRPr="00E16672">
        <w:rPr>
          <w:rFonts w:ascii="Times New Roman" w:hAnsi="Times New Roman"/>
          <w:color w:val="000000"/>
          <w:szCs w:val="20"/>
        </w:rPr>
        <w:t>термін</w:t>
      </w:r>
      <w:proofErr w:type="spellEnd"/>
      <w:r w:rsidR="00765E37" w:rsidRPr="00E16672">
        <w:rPr>
          <w:rFonts w:ascii="Times New Roman" w:hAnsi="Times New Roman"/>
          <w:color w:val="000000"/>
          <w:szCs w:val="20"/>
        </w:rPr>
        <w:t xml:space="preserve"> </w:t>
      </w:r>
      <w:proofErr w:type="spellStart"/>
      <w:r w:rsidR="00765E37" w:rsidRPr="00E16672">
        <w:rPr>
          <w:rFonts w:ascii="Times New Roman" w:hAnsi="Times New Roman"/>
          <w:color w:val="000000"/>
          <w:szCs w:val="20"/>
        </w:rPr>
        <w:t>здійснення</w:t>
      </w:r>
      <w:proofErr w:type="spellEnd"/>
      <w:r w:rsidR="00765E37" w:rsidRPr="00E16672">
        <w:rPr>
          <w:rFonts w:ascii="Times New Roman" w:hAnsi="Times New Roman"/>
          <w:color w:val="000000"/>
          <w:szCs w:val="20"/>
        </w:rPr>
        <w:t xml:space="preserve"> </w:t>
      </w:r>
      <w:proofErr w:type="spellStart"/>
      <w:r w:rsidR="00765E37" w:rsidRPr="00E16672">
        <w:rPr>
          <w:rFonts w:ascii="Times New Roman" w:hAnsi="Times New Roman"/>
          <w:color w:val="000000"/>
          <w:szCs w:val="20"/>
        </w:rPr>
        <w:t>виплати</w:t>
      </w:r>
      <w:proofErr w:type="spellEnd"/>
      <w:r w:rsidR="00765E37" w:rsidRPr="00E16672">
        <w:rPr>
          <w:rFonts w:ascii="Times New Roman" w:hAnsi="Times New Roman"/>
          <w:color w:val="000000"/>
          <w:szCs w:val="20"/>
        </w:rPr>
        <w:t xml:space="preserve"> доходу за </w:t>
      </w:r>
      <w:proofErr w:type="spellStart"/>
      <w:r w:rsidR="00765E37" w:rsidRPr="00E16672">
        <w:rPr>
          <w:rFonts w:ascii="Times New Roman" w:hAnsi="Times New Roman"/>
          <w:color w:val="000000"/>
          <w:szCs w:val="20"/>
        </w:rPr>
        <w:t>цінними</w:t>
      </w:r>
      <w:proofErr w:type="spellEnd"/>
      <w:r w:rsidR="00765E37" w:rsidRPr="00E16672">
        <w:rPr>
          <w:rFonts w:ascii="Times New Roman" w:hAnsi="Times New Roman"/>
          <w:color w:val="000000"/>
          <w:szCs w:val="20"/>
        </w:rPr>
        <w:t xml:space="preserve"> </w:t>
      </w:r>
      <w:proofErr w:type="spellStart"/>
      <w:r w:rsidR="00765E37" w:rsidRPr="00E16672">
        <w:rPr>
          <w:rFonts w:ascii="Times New Roman" w:hAnsi="Times New Roman"/>
          <w:color w:val="000000"/>
          <w:szCs w:val="20"/>
        </w:rPr>
        <w:t>паперами</w:t>
      </w:r>
      <w:proofErr w:type="spellEnd"/>
      <w:r w:rsidR="00765E37" w:rsidRPr="00E16672">
        <w:rPr>
          <w:rFonts w:ascii="Times New Roman" w:hAnsi="Times New Roman"/>
          <w:color w:val="000000"/>
          <w:szCs w:val="20"/>
        </w:rPr>
        <w:t xml:space="preserve">, </w:t>
      </w:r>
      <w:proofErr w:type="spellStart"/>
      <w:r w:rsidR="00765E37" w:rsidRPr="00E16672">
        <w:rPr>
          <w:rFonts w:ascii="Times New Roman" w:hAnsi="Times New Roman"/>
          <w:color w:val="000000"/>
          <w:szCs w:val="20"/>
        </w:rPr>
        <w:t>грошових</w:t>
      </w:r>
      <w:proofErr w:type="spellEnd"/>
      <w:r w:rsidR="00765E37" w:rsidRPr="00E16672">
        <w:rPr>
          <w:rFonts w:ascii="Times New Roman" w:hAnsi="Times New Roman"/>
          <w:color w:val="000000"/>
          <w:szCs w:val="20"/>
        </w:rPr>
        <w:t xml:space="preserve"> </w:t>
      </w:r>
      <w:proofErr w:type="spellStart"/>
      <w:r w:rsidR="00765E37" w:rsidRPr="00E16672">
        <w:rPr>
          <w:rFonts w:ascii="Times New Roman" w:hAnsi="Times New Roman"/>
          <w:color w:val="000000"/>
          <w:szCs w:val="20"/>
        </w:rPr>
        <w:t>коштів</w:t>
      </w:r>
      <w:proofErr w:type="spellEnd"/>
      <w:r w:rsidR="00765E37" w:rsidRPr="00E16672">
        <w:rPr>
          <w:rFonts w:ascii="Times New Roman" w:hAnsi="Times New Roman"/>
          <w:color w:val="000000"/>
          <w:szCs w:val="20"/>
        </w:rPr>
        <w:t xml:space="preserve">, </w:t>
      </w:r>
      <w:proofErr w:type="spellStart"/>
      <w:r w:rsidR="00765E37" w:rsidRPr="00E16672">
        <w:rPr>
          <w:rFonts w:ascii="Times New Roman" w:hAnsi="Times New Roman"/>
          <w:color w:val="000000"/>
          <w:szCs w:val="20"/>
        </w:rPr>
        <w:t>отриманих</w:t>
      </w:r>
      <w:proofErr w:type="spellEnd"/>
      <w:r w:rsidR="00765E37" w:rsidRPr="00E16672">
        <w:rPr>
          <w:rFonts w:ascii="Times New Roman" w:hAnsi="Times New Roman"/>
          <w:color w:val="000000"/>
          <w:szCs w:val="20"/>
        </w:rPr>
        <w:t xml:space="preserve"> за результатами </w:t>
      </w:r>
      <w:proofErr w:type="spellStart"/>
      <w:r w:rsidR="00765E37" w:rsidRPr="00E16672">
        <w:rPr>
          <w:rFonts w:ascii="Times New Roman" w:hAnsi="Times New Roman"/>
          <w:color w:val="000000"/>
          <w:szCs w:val="20"/>
        </w:rPr>
        <w:t>погашення</w:t>
      </w:r>
      <w:proofErr w:type="spellEnd"/>
      <w:r w:rsidR="00765E37" w:rsidRPr="00E16672">
        <w:rPr>
          <w:rFonts w:ascii="Times New Roman" w:hAnsi="Times New Roman"/>
          <w:color w:val="000000"/>
          <w:szCs w:val="20"/>
        </w:rPr>
        <w:t xml:space="preserve"> </w:t>
      </w:r>
      <w:proofErr w:type="spellStart"/>
      <w:r w:rsidR="00765E37" w:rsidRPr="00E16672">
        <w:rPr>
          <w:rFonts w:ascii="Times New Roman" w:hAnsi="Times New Roman"/>
          <w:color w:val="000000"/>
          <w:szCs w:val="20"/>
        </w:rPr>
        <w:t>цінних</w:t>
      </w:r>
      <w:proofErr w:type="spellEnd"/>
      <w:r w:rsidR="00765E37" w:rsidRPr="00E16672">
        <w:rPr>
          <w:rFonts w:ascii="Times New Roman" w:hAnsi="Times New Roman"/>
          <w:color w:val="000000"/>
          <w:szCs w:val="20"/>
        </w:rPr>
        <w:t xml:space="preserve"> </w:t>
      </w:r>
      <w:proofErr w:type="spellStart"/>
      <w:r w:rsidR="00765E37" w:rsidRPr="00E16672">
        <w:rPr>
          <w:rFonts w:ascii="Times New Roman" w:hAnsi="Times New Roman"/>
          <w:color w:val="000000"/>
          <w:szCs w:val="20"/>
        </w:rPr>
        <w:t>паперів</w:t>
      </w:r>
      <w:proofErr w:type="spellEnd"/>
      <w:r w:rsidR="00765E37" w:rsidRPr="00E16672">
        <w:rPr>
          <w:rFonts w:ascii="Times New Roman" w:hAnsi="Times New Roman"/>
          <w:color w:val="000000"/>
          <w:szCs w:val="20"/>
        </w:rPr>
        <w:t xml:space="preserve"> </w:t>
      </w:r>
      <w:proofErr w:type="spellStart"/>
      <w:r w:rsidR="00765E37" w:rsidRPr="00E16672">
        <w:rPr>
          <w:rFonts w:ascii="Times New Roman" w:hAnsi="Times New Roman"/>
          <w:color w:val="000000"/>
          <w:szCs w:val="20"/>
        </w:rPr>
        <w:t>емітента</w:t>
      </w:r>
      <w:proofErr w:type="spellEnd"/>
      <w:r w:rsidR="00765E37" w:rsidRPr="00E16672">
        <w:rPr>
          <w:rFonts w:ascii="Times New Roman" w:hAnsi="Times New Roman"/>
          <w:color w:val="000000"/>
          <w:szCs w:val="20"/>
        </w:rPr>
        <w:t xml:space="preserve">, </w:t>
      </w:r>
      <w:proofErr w:type="spellStart"/>
      <w:r w:rsidR="00765E37" w:rsidRPr="00E16672">
        <w:rPr>
          <w:rFonts w:ascii="Times New Roman" w:hAnsi="Times New Roman"/>
          <w:color w:val="000000"/>
          <w:szCs w:val="20"/>
        </w:rPr>
        <w:t>отриманих</w:t>
      </w:r>
      <w:proofErr w:type="spellEnd"/>
      <w:r w:rsidR="00765E37" w:rsidRPr="00E16672">
        <w:rPr>
          <w:rFonts w:ascii="Times New Roman" w:hAnsi="Times New Roman"/>
          <w:color w:val="000000"/>
          <w:szCs w:val="20"/>
        </w:rPr>
        <w:t xml:space="preserve"> Депонентом за результатами </w:t>
      </w:r>
      <w:proofErr w:type="spellStart"/>
      <w:r w:rsidR="00765E37" w:rsidRPr="00E16672">
        <w:rPr>
          <w:rFonts w:ascii="Times New Roman" w:hAnsi="Times New Roman"/>
          <w:color w:val="000000"/>
          <w:szCs w:val="20"/>
        </w:rPr>
        <w:t>проведення</w:t>
      </w:r>
      <w:proofErr w:type="spellEnd"/>
      <w:r w:rsidR="00765E37" w:rsidRPr="00E16672">
        <w:rPr>
          <w:rFonts w:ascii="Times New Roman" w:hAnsi="Times New Roman"/>
          <w:color w:val="000000"/>
          <w:szCs w:val="20"/>
        </w:rPr>
        <w:t xml:space="preserve"> </w:t>
      </w:r>
      <w:proofErr w:type="spellStart"/>
      <w:r w:rsidR="00765E37" w:rsidRPr="00E16672">
        <w:rPr>
          <w:rFonts w:ascii="Times New Roman" w:hAnsi="Times New Roman"/>
          <w:color w:val="000000"/>
          <w:szCs w:val="20"/>
        </w:rPr>
        <w:t>корпоративних</w:t>
      </w:r>
      <w:proofErr w:type="spellEnd"/>
      <w:r w:rsidR="00765E37" w:rsidRPr="00E16672">
        <w:rPr>
          <w:rFonts w:ascii="Times New Roman" w:hAnsi="Times New Roman"/>
          <w:color w:val="000000"/>
          <w:szCs w:val="20"/>
        </w:rPr>
        <w:t xml:space="preserve"> </w:t>
      </w:r>
      <w:proofErr w:type="spellStart"/>
      <w:r w:rsidR="00765E37" w:rsidRPr="00E16672">
        <w:rPr>
          <w:rFonts w:ascii="Times New Roman" w:hAnsi="Times New Roman"/>
          <w:color w:val="000000"/>
          <w:szCs w:val="20"/>
        </w:rPr>
        <w:t>операцій</w:t>
      </w:r>
      <w:proofErr w:type="spellEnd"/>
      <w:r w:rsidR="00765E37" w:rsidRPr="00E16672">
        <w:rPr>
          <w:rFonts w:ascii="Times New Roman" w:hAnsi="Times New Roman"/>
          <w:color w:val="000000"/>
          <w:szCs w:val="20"/>
        </w:rPr>
        <w:t xml:space="preserve"> </w:t>
      </w:r>
      <w:proofErr w:type="spellStart"/>
      <w:r w:rsidR="00765E37" w:rsidRPr="00E16672">
        <w:rPr>
          <w:rFonts w:ascii="Times New Roman" w:hAnsi="Times New Roman"/>
          <w:color w:val="000000"/>
          <w:szCs w:val="20"/>
        </w:rPr>
        <w:t>емітента</w:t>
      </w:r>
      <w:proofErr w:type="spellEnd"/>
      <w:r w:rsidR="00765E37" w:rsidRPr="00E16672">
        <w:rPr>
          <w:rFonts w:ascii="Times New Roman" w:hAnsi="Times New Roman"/>
          <w:color w:val="000000"/>
          <w:szCs w:val="20"/>
        </w:rPr>
        <w:t xml:space="preserve">, </w:t>
      </w:r>
      <w:proofErr w:type="spellStart"/>
      <w:r w:rsidR="00765E37" w:rsidRPr="00E16672">
        <w:rPr>
          <w:rFonts w:ascii="Times New Roman" w:hAnsi="Times New Roman"/>
          <w:color w:val="000000"/>
          <w:szCs w:val="20"/>
        </w:rPr>
        <w:t>може</w:t>
      </w:r>
      <w:proofErr w:type="spellEnd"/>
      <w:r w:rsidR="00765E37" w:rsidRPr="00E16672">
        <w:rPr>
          <w:rFonts w:ascii="Times New Roman" w:hAnsi="Times New Roman"/>
          <w:color w:val="000000"/>
          <w:szCs w:val="20"/>
        </w:rPr>
        <w:t xml:space="preserve"> бути </w:t>
      </w:r>
      <w:proofErr w:type="spellStart"/>
      <w:r w:rsidR="00765E37" w:rsidRPr="00E16672">
        <w:rPr>
          <w:rFonts w:ascii="Times New Roman" w:hAnsi="Times New Roman"/>
          <w:color w:val="000000"/>
          <w:szCs w:val="20"/>
        </w:rPr>
        <w:t>збільшений</w:t>
      </w:r>
      <w:proofErr w:type="spellEnd"/>
      <w:r w:rsidR="00765E37" w:rsidRPr="00E16672">
        <w:rPr>
          <w:rFonts w:ascii="Times New Roman" w:hAnsi="Times New Roman"/>
          <w:color w:val="000000"/>
          <w:szCs w:val="20"/>
        </w:rPr>
        <w:t xml:space="preserve"> </w:t>
      </w:r>
      <w:proofErr w:type="gramStart"/>
      <w:r w:rsidR="00765E37" w:rsidRPr="00E16672">
        <w:rPr>
          <w:rFonts w:ascii="Times New Roman" w:hAnsi="Times New Roman"/>
          <w:color w:val="000000"/>
          <w:szCs w:val="20"/>
        </w:rPr>
        <w:t>до моменту</w:t>
      </w:r>
      <w:proofErr w:type="gramEnd"/>
      <w:r w:rsidR="00765E37" w:rsidRPr="00E16672">
        <w:rPr>
          <w:rFonts w:ascii="Times New Roman" w:hAnsi="Times New Roman"/>
          <w:color w:val="000000"/>
          <w:szCs w:val="20"/>
        </w:rPr>
        <w:t xml:space="preserve"> </w:t>
      </w:r>
      <w:proofErr w:type="spellStart"/>
      <w:r w:rsidR="00765E37" w:rsidRPr="00E16672">
        <w:rPr>
          <w:rFonts w:ascii="Times New Roman" w:hAnsi="Times New Roman"/>
          <w:color w:val="000000"/>
          <w:szCs w:val="20"/>
        </w:rPr>
        <w:t>сплати</w:t>
      </w:r>
      <w:proofErr w:type="spellEnd"/>
      <w:r w:rsidR="00765E37" w:rsidRPr="00E16672">
        <w:rPr>
          <w:rFonts w:ascii="Times New Roman" w:hAnsi="Times New Roman"/>
          <w:color w:val="000000"/>
          <w:szCs w:val="20"/>
        </w:rPr>
        <w:t xml:space="preserve"> Депонентом </w:t>
      </w:r>
      <w:proofErr w:type="spellStart"/>
      <w:r w:rsidR="00765E37" w:rsidRPr="00E16672">
        <w:rPr>
          <w:rFonts w:ascii="Times New Roman" w:hAnsi="Times New Roman"/>
          <w:color w:val="000000"/>
          <w:szCs w:val="20"/>
        </w:rPr>
        <w:t>заборгованості</w:t>
      </w:r>
      <w:proofErr w:type="spellEnd"/>
      <w:r w:rsidR="00765E37" w:rsidRPr="00E16672">
        <w:rPr>
          <w:rFonts w:ascii="Times New Roman" w:hAnsi="Times New Roman"/>
          <w:color w:val="000000"/>
          <w:szCs w:val="20"/>
        </w:rPr>
        <w:t>.</w:t>
      </w:r>
    </w:p>
    <w:p w14:paraId="6BC15D76" w14:textId="77777777" w:rsidR="00765E37" w:rsidRPr="00E16672" w:rsidRDefault="00577C78" w:rsidP="00765E37">
      <w:pPr>
        <w:suppressAutoHyphens w:val="0"/>
        <w:rPr>
          <w:rFonts w:ascii="Times New Roman" w:hAnsi="Times New Roman"/>
          <w:color w:val="000000"/>
          <w:szCs w:val="20"/>
          <w:lang w:val="uk-UA"/>
        </w:rPr>
      </w:pPr>
      <w:r w:rsidRPr="00E16672">
        <w:rPr>
          <w:rFonts w:ascii="Times New Roman" w:hAnsi="Times New Roman"/>
          <w:color w:val="000000"/>
          <w:szCs w:val="20"/>
          <w:lang w:val="uk-UA"/>
        </w:rPr>
        <w:t>11</w:t>
      </w:r>
      <w:r w:rsidR="00765E37" w:rsidRPr="00E16672">
        <w:rPr>
          <w:rFonts w:ascii="Times New Roman" w:hAnsi="Times New Roman"/>
          <w:color w:val="000000"/>
          <w:szCs w:val="20"/>
          <w:lang w:val="uk-UA"/>
        </w:rPr>
        <w:t xml:space="preserve">.5. Виплата дивідендів (доходів) </w:t>
      </w:r>
      <w:r w:rsidR="00765E37" w:rsidRPr="00E16672">
        <w:rPr>
          <w:rFonts w:ascii="Times New Roman" w:hAnsi="Times New Roman"/>
          <w:szCs w:val="20"/>
          <w:lang w:val="uk-UA" w:eastAsia="ru-RU"/>
        </w:rPr>
        <w:t>та інших виплат, що здійснюються (здійснювалися) відповідно до закону,</w:t>
      </w:r>
      <w:r w:rsidR="00765E37" w:rsidRPr="00E16672">
        <w:rPr>
          <w:rFonts w:ascii="Times New Roman" w:hAnsi="Times New Roman"/>
          <w:lang w:val="uk-UA" w:eastAsia="ru-RU"/>
        </w:rPr>
        <w:t xml:space="preserve"> </w:t>
      </w:r>
      <w:r w:rsidR="00765E37" w:rsidRPr="00E16672">
        <w:rPr>
          <w:rFonts w:ascii="Times New Roman" w:hAnsi="Times New Roman"/>
          <w:color w:val="000000"/>
          <w:szCs w:val="20"/>
          <w:lang w:val="uk-UA"/>
        </w:rPr>
        <w:t>за цінними паперами, які розміщені за межами України, здійснюється в порядку, встановленому Положенням про провадження депозитарної діяльності та внутрішніми документами Депозитарної установи.</w:t>
      </w:r>
    </w:p>
    <w:p w14:paraId="742B609D" w14:textId="77777777" w:rsidR="00765E37" w:rsidRPr="00E16672" w:rsidRDefault="00765E37" w:rsidP="00765E37">
      <w:pPr>
        <w:pStyle w:val="2"/>
        <w:rPr>
          <w:rFonts w:ascii="Times New Roman" w:hAnsi="Times New Roman" w:cs="Times New Roman"/>
          <w:lang w:val="uk-UA"/>
        </w:rPr>
      </w:pPr>
      <w:r w:rsidRPr="00E16672">
        <w:rPr>
          <w:rFonts w:ascii="Times New Roman" w:hAnsi="Times New Roman" w:cs="Times New Roman"/>
          <w:lang w:val="uk-UA"/>
        </w:rPr>
        <w:t>1</w:t>
      </w:r>
      <w:r w:rsidR="00577C78" w:rsidRPr="00E16672">
        <w:rPr>
          <w:rFonts w:ascii="Times New Roman" w:hAnsi="Times New Roman" w:cs="Times New Roman"/>
          <w:lang w:val="uk-UA"/>
        </w:rPr>
        <w:t>2</w:t>
      </w:r>
      <w:r w:rsidRPr="00E16672">
        <w:rPr>
          <w:rFonts w:ascii="Times New Roman" w:hAnsi="Times New Roman" w:cs="Times New Roman"/>
          <w:lang w:val="uk-UA"/>
        </w:rPr>
        <w:t>. Заключні положення</w:t>
      </w:r>
    </w:p>
    <w:p w14:paraId="3F2664D7" w14:textId="77777777" w:rsidR="00765E37" w:rsidRPr="00E16672" w:rsidRDefault="00765E37" w:rsidP="00765E37">
      <w:pPr>
        <w:tabs>
          <w:tab w:val="left" w:pos="5954"/>
        </w:tabs>
        <w:rPr>
          <w:rFonts w:ascii="Times New Roman" w:hAnsi="Times New Roman"/>
          <w:color w:val="000000"/>
          <w:szCs w:val="20"/>
          <w:lang w:val="uk-UA"/>
        </w:rPr>
      </w:pPr>
      <w:r w:rsidRPr="00E16672">
        <w:rPr>
          <w:rFonts w:ascii="Times New Roman" w:hAnsi="Times New Roman"/>
          <w:color w:val="000000"/>
          <w:szCs w:val="20"/>
          <w:lang w:val="uk-UA"/>
        </w:rPr>
        <w:t>1</w:t>
      </w:r>
      <w:r w:rsidR="00577C78" w:rsidRPr="00E16672">
        <w:rPr>
          <w:rFonts w:ascii="Times New Roman" w:hAnsi="Times New Roman"/>
          <w:color w:val="000000"/>
          <w:szCs w:val="20"/>
          <w:lang w:val="uk-UA"/>
        </w:rPr>
        <w:t>2</w:t>
      </w:r>
      <w:r w:rsidRPr="00E16672">
        <w:rPr>
          <w:rFonts w:ascii="Times New Roman" w:hAnsi="Times New Roman"/>
          <w:color w:val="000000"/>
          <w:szCs w:val="20"/>
          <w:lang w:val="uk-UA"/>
        </w:rPr>
        <w:t xml:space="preserve">.1. Цей Договір було складено у двох примірниках, </w:t>
      </w:r>
      <w:proofErr w:type="spellStart"/>
      <w:r w:rsidRPr="00E16672">
        <w:rPr>
          <w:rFonts w:ascii="Times New Roman" w:hAnsi="Times New Roman"/>
          <w:color w:val="000000"/>
          <w:szCs w:val="20"/>
          <w:lang w:val="uk-UA"/>
        </w:rPr>
        <w:t>якi</w:t>
      </w:r>
      <w:proofErr w:type="spellEnd"/>
      <w:r w:rsidRPr="00E16672">
        <w:rPr>
          <w:rFonts w:ascii="Times New Roman" w:hAnsi="Times New Roman"/>
          <w:color w:val="000000"/>
          <w:szCs w:val="20"/>
          <w:lang w:val="uk-UA"/>
        </w:rPr>
        <w:t xml:space="preserve"> мають однакову юридичну силу, по одному - Депонентові та Депозитарній установі. </w:t>
      </w:r>
    </w:p>
    <w:p w14:paraId="3EF7650C" w14:textId="77777777" w:rsidR="00765E37" w:rsidRPr="00E16672" w:rsidRDefault="00765E37" w:rsidP="00765E37">
      <w:pPr>
        <w:tabs>
          <w:tab w:val="left" w:pos="5954"/>
        </w:tabs>
        <w:rPr>
          <w:rFonts w:ascii="Times New Roman" w:hAnsi="Times New Roman"/>
          <w:color w:val="000000"/>
          <w:szCs w:val="20"/>
          <w:lang w:val="uk-UA"/>
        </w:rPr>
      </w:pPr>
      <w:r w:rsidRPr="00E16672">
        <w:rPr>
          <w:rFonts w:ascii="Times New Roman" w:hAnsi="Times New Roman"/>
          <w:color w:val="000000"/>
          <w:szCs w:val="20"/>
          <w:lang w:val="uk-UA"/>
        </w:rPr>
        <w:t>1</w:t>
      </w:r>
      <w:r w:rsidR="00577C78" w:rsidRPr="00E16672">
        <w:rPr>
          <w:rFonts w:ascii="Times New Roman" w:hAnsi="Times New Roman"/>
          <w:color w:val="000000"/>
          <w:szCs w:val="20"/>
          <w:lang w:val="uk-UA"/>
        </w:rPr>
        <w:t>2</w:t>
      </w:r>
      <w:r w:rsidRPr="00E16672">
        <w:rPr>
          <w:rFonts w:ascii="Times New Roman" w:hAnsi="Times New Roman"/>
          <w:color w:val="000000"/>
          <w:szCs w:val="20"/>
          <w:lang w:val="uk-UA"/>
        </w:rPr>
        <w:t>.2. Підписуючи цей Договір, Депонент засвідчує, що він ознайомлений з внутрішніми документами Депозитарної установи, що регламентують провадження депозитарної діяльності, та тарифами Депозитарної установи.</w:t>
      </w:r>
    </w:p>
    <w:p w14:paraId="33EC4824" w14:textId="77777777" w:rsidR="00765E37" w:rsidRPr="00E16672" w:rsidRDefault="00577C78" w:rsidP="00765E37">
      <w:pPr>
        <w:pStyle w:val="2"/>
        <w:rPr>
          <w:rFonts w:ascii="Times New Roman" w:hAnsi="Times New Roman" w:cs="Times New Roman"/>
          <w:lang w:val="uk-UA"/>
        </w:rPr>
      </w:pPr>
      <w:r w:rsidRPr="00E16672">
        <w:rPr>
          <w:rFonts w:ascii="Times New Roman" w:hAnsi="Times New Roman" w:cs="Times New Roman"/>
          <w:lang w:val="uk-UA"/>
        </w:rPr>
        <w:t>13</w:t>
      </w:r>
      <w:r w:rsidR="00765E37" w:rsidRPr="00E16672">
        <w:rPr>
          <w:rFonts w:ascii="Times New Roman" w:hAnsi="Times New Roman" w:cs="Times New Roman"/>
          <w:lang w:val="uk-UA"/>
        </w:rPr>
        <w:t>. Реквізити Сторін</w:t>
      </w:r>
    </w:p>
    <w:p w14:paraId="0A984B33" w14:textId="77777777" w:rsidR="00765E37" w:rsidRPr="00E16672" w:rsidRDefault="00765E37" w:rsidP="00765E37">
      <w:pPr>
        <w:rPr>
          <w:rFonts w:ascii="Times New Roman" w:hAnsi="Times New Roman"/>
          <w:lang w:val="uk-UA"/>
        </w:rPr>
      </w:pPr>
    </w:p>
    <w:tbl>
      <w:tblPr>
        <w:tblW w:w="10961" w:type="dxa"/>
        <w:tblInd w:w="158" w:type="dxa"/>
        <w:tblLayout w:type="fixed"/>
        <w:tblLook w:val="0000" w:firstRow="0" w:lastRow="0" w:firstColumn="0" w:lastColumn="0" w:noHBand="0" w:noVBand="0"/>
      </w:tblPr>
      <w:tblGrid>
        <w:gridCol w:w="2394"/>
        <w:gridCol w:w="231"/>
        <w:gridCol w:w="2625"/>
        <w:gridCol w:w="236"/>
        <w:gridCol w:w="2720"/>
        <w:gridCol w:w="17"/>
        <w:gridCol w:w="2738"/>
      </w:tblGrid>
      <w:tr w:rsidR="00765E37" w:rsidRPr="00E16672" w14:paraId="5E919B06" w14:textId="77777777" w:rsidTr="00526269">
        <w:trPr>
          <w:trHeight w:val="295"/>
        </w:trPr>
        <w:tc>
          <w:tcPr>
            <w:tcW w:w="5250" w:type="dxa"/>
            <w:gridSpan w:val="3"/>
            <w:shd w:val="clear" w:color="auto" w:fill="auto"/>
          </w:tcPr>
          <w:p w14:paraId="0F8986E6" w14:textId="3E26926F" w:rsidR="00765E37" w:rsidRPr="00E16672" w:rsidRDefault="00765E37" w:rsidP="007B7EDC">
            <w:pPr>
              <w:pStyle w:val="4"/>
              <w:keepNext w:val="0"/>
              <w:numPr>
                <w:ilvl w:val="0"/>
                <w:numId w:val="0"/>
              </w:numPr>
              <w:snapToGrid w:val="0"/>
              <w:ind w:left="-12" w:right="105" w:hanging="25"/>
              <w:rPr>
                <w:rFonts w:ascii="Times New Roman" w:hAnsi="Times New Roman"/>
                <w:iCs/>
                <w:color w:val="000000"/>
                <w:sz w:val="18"/>
                <w:szCs w:val="18"/>
              </w:rPr>
            </w:pPr>
            <w:r w:rsidRPr="00E16672">
              <w:rPr>
                <w:rFonts w:ascii="Times New Roman" w:hAnsi="Times New Roman"/>
                <w:iCs/>
                <w:color w:val="000000"/>
                <w:sz w:val="18"/>
                <w:szCs w:val="18"/>
              </w:rPr>
              <w:t>Депонент:</w:t>
            </w:r>
          </w:p>
        </w:tc>
        <w:tc>
          <w:tcPr>
            <w:tcW w:w="236" w:type="dxa"/>
            <w:shd w:val="clear" w:color="auto" w:fill="auto"/>
          </w:tcPr>
          <w:p w14:paraId="2A08CED8" w14:textId="77777777" w:rsidR="00765E37" w:rsidRPr="00E16672" w:rsidRDefault="00765E37" w:rsidP="007B7EDC">
            <w:pPr>
              <w:snapToGrid w:val="0"/>
              <w:rPr>
                <w:rFonts w:ascii="Times New Roman" w:hAnsi="Times New Roman"/>
                <w:b/>
                <w:bCs/>
                <w:color w:val="000000"/>
                <w:sz w:val="18"/>
                <w:szCs w:val="18"/>
              </w:rPr>
            </w:pPr>
          </w:p>
        </w:tc>
        <w:tc>
          <w:tcPr>
            <w:tcW w:w="5475" w:type="dxa"/>
            <w:gridSpan w:val="3"/>
            <w:shd w:val="clear" w:color="auto" w:fill="auto"/>
          </w:tcPr>
          <w:p w14:paraId="2EF3EB2B" w14:textId="77777777" w:rsidR="00765E37" w:rsidRPr="00E16672" w:rsidRDefault="00765E37" w:rsidP="007B7EDC">
            <w:pPr>
              <w:snapToGrid w:val="0"/>
              <w:jc w:val="center"/>
              <w:rPr>
                <w:rFonts w:ascii="Times New Roman" w:hAnsi="Times New Roman"/>
                <w:b/>
                <w:bCs/>
                <w:color w:val="000000"/>
                <w:sz w:val="18"/>
                <w:szCs w:val="18"/>
              </w:rPr>
            </w:pPr>
            <w:proofErr w:type="spellStart"/>
            <w:r w:rsidRPr="00E16672">
              <w:rPr>
                <w:rFonts w:ascii="Times New Roman" w:hAnsi="Times New Roman"/>
                <w:b/>
                <w:bCs/>
                <w:color w:val="000000"/>
                <w:sz w:val="18"/>
                <w:szCs w:val="18"/>
              </w:rPr>
              <w:t>Депозитарна</w:t>
            </w:r>
            <w:proofErr w:type="spellEnd"/>
            <w:r w:rsidRPr="00E16672">
              <w:rPr>
                <w:rFonts w:ascii="Times New Roman" w:hAnsi="Times New Roman"/>
                <w:b/>
                <w:bCs/>
                <w:color w:val="000000"/>
                <w:sz w:val="18"/>
                <w:szCs w:val="18"/>
              </w:rPr>
              <w:t xml:space="preserve"> </w:t>
            </w:r>
            <w:proofErr w:type="spellStart"/>
            <w:r w:rsidRPr="00E16672">
              <w:rPr>
                <w:rFonts w:ascii="Times New Roman" w:hAnsi="Times New Roman"/>
                <w:b/>
                <w:bCs/>
                <w:color w:val="000000"/>
                <w:sz w:val="18"/>
                <w:szCs w:val="18"/>
              </w:rPr>
              <w:t>установа</w:t>
            </w:r>
            <w:proofErr w:type="spellEnd"/>
            <w:r w:rsidRPr="00E16672">
              <w:rPr>
                <w:rFonts w:ascii="Times New Roman" w:hAnsi="Times New Roman"/>
                <w:b/>
                <w:bCs/>
                <w:color w:val="000000"/>
                <w:sz w:val="18"/>
                <w:szCs w:val="18"/>
              </w:rPr>
              <w:t>:</w:t>
            </w:r>
          </w:p>
        </w:tc>
      </w:tr>
      <w:tr w:rsidR="00765E37" w:rsidRPr="00E16672" w14:paraId="3528A506" w14:textId="77777777" w:rsidTr="00526269">
        <w:trPr>
          <w:trHeight w:val="182"/>
        </w:trPr>
        <w:tc>
          <w:tcPr>
            <w:tcW w:w="5250" w:type="dxa"/>
            <w:gridSpan w:val="3"/>
            <w:shd w:val="clear" w:color="auto" w:fill="auto"/>
          </w:tcPr>
          <w:p w14:paraId="12F51D2F" w14:textId="68CC94EC" w:rsidR="00765E37" w:rsidRPr="00E16672" w:rsidRDefault="00765E37" w:rsidP="007B7EDC">
            <w:pPr>
              <w:snapToGrid w:val="0"/>
              <w:ind w:firstLine="6"/>
              <w:rPr>
                <w:rFonts w:ascii="Times New Roman" w:hAnsi="Times New Roman"/>
                <w:b/>
                <w:i/>
                <w:color w:val="000000"/>
                <w:sz w:val="18"/>
                <w:szCs w:val="18"/>
              </w:rPr>
            </w:pPr>
            <w:proofErr w:type="spellStart"/>
            <w:r w:rsidRPr="00E16672">
              <w:rPr>
                <w:rFonts w:ascii="Times New Roman" w:hAnsi="Times New Roman"/>
                <w:b/>
                <w:i/>
                <w:color w:val="000000"/>
                <w:sz w:val="18"/>
                <w:szCs w:val="18"/>
              </w:rPr>
              <w:t>Повне</w:t>
            </w:r>
            <w:proofErr w:type="spellEnd"/>
            <w:r w:rsidRPr="00E16672">
              <w:rPr>
                <w:rFonts w:ascii="Times New Roman" w:hAnsi="Times New Roman"/>
                <w:b/>
                <w:i/>
                <w:color w:val="000000"/>
                <w:sz w:val="18"/>
                <w:szCs w:val="18"/>
              </w:rPr>
              <w:t xml:space="preserve"> </w:t>
            </w:r>
            <w:proofErr w:type="spellStart"/>
            <w:r w:rsidRPr="00E16672">
              <w:rPr>
                <w:rFonts w:ascii="Times New Roman" w:hAnsi="Times New Roman"/>
                <w:b/>
                <w:i/>
                <w:color w:val="000000"/>
                <w:sz w:val="18"/>
                <w:szCs w:val="18"/>
              </w:rPr>
              <w:t>найменування</w:t>
            </w:r>
            <w:proofErr w:type="spellEnd"/>
            <w:r w:rsidRPr="00E16672">
              <w:rPr>
                <w:rFonts w:ascii="Times New Roman" w:hAnsi="Times New Roman"/>
                <w:b/>
                <w:i/>
                <w:color w:val="000000"/>
                <w:sz w:val="18"/>
                <w:szCs w:val="18"/>
              </w:rPr>
              <w:t xml:space="preserve"> </w:t>
            </w:r>
          </w:p>
        </w:tc>
        <w:tc>
          <w:tcPr>
            <w:tcW w:w="236" w:type="dxa"/>
            <w:shd w:val="clear" w:color="auto" w:fill="auto"/>
          </w:tcPr>
          <w:p w14:paraId="606D4C0B" w14:textId="77777777" w:rsidR="00765E37" w:rsidRPr="00E16672" w:rsidRDefault="00765E37" w:rsidP="007B7EDC">
            <w:pPr>
              <w:snapToGrid w:val="0"/>
              <w:rPr>
                <w:rFonts w:ascii="Times New Roman" w:hAnsi="Times New Roman"/>
                <w:b/>
                <w:bCs/>
                <w:color w:val="000000"/>
                <w:sz w:val="18"/>
                <w:szCs w:val="18"/>
              </w:rPr>
            </w:pPr>
          </w:p>
        </w:tc>
        <w:tc>
          <w:tcPr>
            <w:tcW w:w="5475" w:type="dxa"/>
            <w:gridSpan w:val="3"/>
            <w:shd w:val="clear" w:color="auto" w:fill="auto"/>
          </w:tcPr>
          <w:p w14:paraId="5C0B3622" w14:textId="77777777" w:rsidR="00765E37" w:rsidRPr="00E16672" w:rsidRDefault="00765E37" w:rsidP="007B7EDC">
            <w:pPr>
              <w:pStyle w:val="4"/>
              <w:numPr>
                <w:ilvl w:val="0"/>
                <w:numId w:val="0"/>
              </w:numPr>
              <w:snapToGrid w:val="0"/>
              <w:ind w:left="1" w:right="424"/>
              <w:jc w:val="both"/>
              <w:rPr>
                <w:rFonts w:ascii="Times New Roman" w:hAnsi="Times New Roman"/>
                <w:i/>
                <w:color w:val="000000"/>
                <w:sz w:val="18"/>
                <w:szCs w:val="18"/>
              </w:rPr>
            </w:pPr>
            <w:r w:rsidRPr="00E16672">
              <w:rPr>
                <w:rFonts w:ascii="Times New Roman" w:hAnsi="Times New Roman"/>
                <w:i/>
                <w:color w:val="000000"/>
                <w:sz w:val="18"/>
                <w:szCs w:val="18"/>
              </w:rPr>
              <w:t>Повне найменування</w:t>
            </w:r>
          </w:p>
        </w:tc>
      </w:tr>
      <w:tr w:rsidR="00765E37" w:rsidRPr="00E16672" w14:paraId="41C27E27" w14:textId="77777777" w:rsidTr="00526269">
        <w:trPr>
          <w:trHeight w:val="353"/>
        </w:trPr>
        <w:tc>
          <w:tcPr>
            <w:tcW w:w="5250" w:type="dxa"/>
            <w:gridSpan w:val="3"/>
            <w:shd w:val="clear" w:color="auto" w:fill="auto"/>
          </w:tcPr>
          <w:p w14:paraId="734F9584" w14:textId="77777777" w:rsidR="00765E37" w:rsidRPr="00E16672" w:rsidRDefault="00765E37" w:rsidP="007B7EDC">
            <w:pPr>
              <w:pStyle w:val="4"/>
              <w:keepNext w:val="0"/>
              <w:numPr>
                <w:ilvl w:val="0"/>
                <w:numId w:val="0"/>
              </w:numPr>
              <w:snapToGrid w:val="0"/>
              <w:ind w:left="1440"/>
              <w:rPr>
                <w:rFonts w:ascii="Times New Roman" w:hAnsi="Times New Roman"/>
                <w:b w:val="0"/>
                <w:bCs/>
                <w:color w:val="000000"/>
                <w:sz w:val="18"/>
                <w:szCs w:val="18"/>
              </w:rPr>
            </w:pPr>
          </w:p>
        </w:tc>
        <w:tc>
          <w:tcPr>
            <w:tcW w:w="236" w:type="dxa"/>
            <w:shd w:val="clear" w:color="auto" w:fill="auto"/>
          </w:tcPr>
          <w:p w14:paraId="4F27EDF3" w14:textId="77777777" w:rsidR="00765E37" w:rsidRPr="00E16672" w:rsidRDefault="00765E37" w:rsidP="007B7EDC">
            <w:pPr>
              <w:snapToGrid w:val="0"/>
              <w:rPr>
                <w:rFonts w:ascii="Times New Roman" w:hAnsi="Times New Roman"/>
                <w:b/>
                <w:bCs/>
                <w:color w:val="000000"/>
                <w:sz w:val="18"/>
                <w:szCs w:val="18"/>
              </w:rPr>
            </w:pPr>
          </w:p>
        </w:tc>
        <w:tc>
          <w:tcPr>
            <w:tcW w:w="5475" w:type="dxa"/>
            <w:gridSpan w:val="3"/>
            <w:shd w:val="clear" w:color="auto" w:fill="auto"/>
          </w:tcPr>
          <w:p w14:paraId="49E06D00" w14:textId="77777777" w:rsidR="00765E37" w:rsidRPr="00E16672" w:rsidRDefault="00DE2E39" w:rsidP="00022F5F">
            <w:pPr>
              <w:pStyle w:val="3"/>
              <w:numPr>
                <w:ilvl w:val="0"/>
                <w:numId w:val="0"/>
              </w:numPr>
              <w:snapToGrid w:val="0"/>
              <w:spacing w:before="0" w:after="0"/>
              <w:ind w:left="15" w:right="219"/>
              <w:jc w:val="left"/>
              <w:rPr>
                <w:rFonts w:ascii="Times New Roman" w:hAnsi="Times New Roman" w:cs="Times New Roman"/>
                <w:b w:val="0"/>
                <w:sz w:val="18"/>
                <w:szCs w:val="18"/>
              </w:rPr>
            </w:pPr>
            <w:r w:rsidRPr="00E16672">
              <w:rPr>
                <w:rFonts w:ascii="Times New Roman" w:hAnsi="Times New Roman" w:cs="Times New Roman"/>
                <w:b w:val="0"/>
                <w:sz w:val="18"/>
                <w:szCs w:val="18"/>
              </w:rPr>
              <w:t xml:space="preserve">ТОВАРИСТВО З ОБМЕЖЕНОЮ ВІДПОВІДАЛЬНІСТЮ </w:t>
            </w:r>
            <w:r w:rsidR="00022F5F">
              <w:rPr>
                <w:rFonts w:ascii="Times New Roman" w:hAnsi="Times New Roman" w:cs="Times New Roman"/>
                <w:b w:val="0"/>
                <w:sz w:val="18"/>
                <w:szCs w:val="18"/>
              </w:rPr>
              <w:t>"</w:t>
            </w:r>
            <w:r w:rsidR="00E16672" w:rsidRPr="00E16672">
              <w:rPr>
                <w:rFonts w:ascii="Times New Roman" w:hAnsi="Times New Roman" w:cs="Times New Roman"/>
                <w:b w:val="0"/>
                <w:sz w:val="18"/>
                <w:szCs w:val="18"/>
              </w:rPr>
              <w:t>КОМЕКС ЦІННІ ПАПЕРИ</w:t>
            </w:r>
            <w:r w:rsidR="00022F5F">
              <w:rPr>
                <w:rFonts w:ascii="Times New Roman" w:hAnsi="Times New Roman" w:cs="Times New Roman"/>
                <w:b w:val="0"/>
                <w:sz w:val="18"/>
                <w:szCs w:val="18"/>
              </w:rPr>
              <w:t>"</w:t>
            </w:r>
          </w:p>
        </w:tc>
      </w:tr>
      <w:tr w:rsidR="00765E37" w:rsidRPr="00E16672" w14:paraId="1A55B075" w14:textId="77777777" w:rsidTr="00526269">
        <w:tc>
          <w:tcPr>
            <w:tcW w:w="5250" w:type="dxa"/>
            <w:gridSpan w:val="3"/>
            <w:shd w:val="clear" w:color="auto" w:fill="auto"/>
          </w:tcPr>
          <w:p w14:paraId="5D6E803F" w14:textId="77777777" w:rsidR="00526269" w:rsidRPr="00E16672" w:rsidRDefault="00526269" w:rsidP="007B7EDC">
            <w:pPr>
              <w:pStyle w:val="3"/>
              <w:numPr>
                <w:ilvl w:val="0"/>
                <w:numId w:val="0"/>
              </w:numPr>
              <w:snapToGrid w:val="0"/>
              <w:spacing w:before="0" w:after="0"/>
              <w:ind w:right="115"/>
              <w:rPr>
                <w:rFonts w:ascii="Times New Roman" w:hAnsi="Times New Roman" w:cs="Times New Roman"/>
                <w:i/>
                <w:color w:val="000000"/>
                <w:sz w:val="18"/>
                <w:szCs w:val="18"/>
              </w:rPr>
            </w:pPr>
          </w:p>
          <w:p w14:paraId="733AE82B" w14:textId="77777777" w:rsidR="00765E37" w:rsidRPr="00E16672" w:rsidRDefault="00765E37" w:rsidP="007B7EDC">
            <w:pPr>
              <w:pStyle w:val="3"/>
              <w:numPr>
                <w:ilvl w:val="0"/>
                <w:numId w:val="0"/>
              </w:numPr>
              <w:snapToGrid w:val="0"/>
              <w:spacing w:before="0" w:after="0"/>
              <w:ind w:right="115"/>
              <w:rPr>
                <w:rFonts w:ascii="Times New Roman" w:hAnsi="Times New Roman" w:cs="Times New Roman"/>
                <w:i/>
              </w:rPr>
            </w:pPr>
            <w:r w:rsidRPr="00E16672">
              <w:rPr>
                <w:rFonts w:ascii="Times New Roman" w:hAnsi="Times New Roman" w:cs="Times New Roman"/>
                <w:i/>
                <w:color w:val="000000"/>
                <w:sz w:val="18"/>
                <w:szCs w:val="18"/>
              </w:rPr>
              <w:t xml:space="preserve">Ідентифікаційний код юридичної особи </w:t>
            </w:r>
            <w:r w:rsidRPr="00E16672">
              <w:rPr>
                <w:rFonts w:ascii="Times New Roman" w:hAnsi="Times New Roman" w:cs="Times New Roman"/>
                <w:b w:val="0"/>
                <w:i/>
                <w:color w:val="000000"/>
                <w:sz w:val="18"/>
                <w:szCs w:val="18"/>
              </w:rPr>
              <w:t xml:space="preserve">(код за ЄДРПОУ, для нерезидентів - </w:t>
            </w:r>
            <w:r w:rsidRPr="00E16672">
              <w:rPr>
                <w:rFonts w:ascii="Times New Roman" w:hAnsi="Times New Roman" w:cs="Times New Roman"/>
                <w:b w:val="0"/>
                <w:i/>
                <w:iCs/>
                <w:sz w:val="18"/>
                <w:szCs w:val="18"/>
                <w:lang w:eastAsia="uk-UA"/>
              </w:rPr>
              <w:t>номер реєстрації юридичної особи в країні її місцезнаходження</w:t>
            </w:r>
            <w:r w:rsidRPr="00E16672">
              <w:rPr>
                <w:rFonts w:ascii="Times New Roman" w:hAnsi="Times New Roman" w:cs="Times New Roman"/>
                <w:b w:val="0"/>
                <w:i/>
                <w:color w:val="000000"/>
                <w:sz w:val="18"/>
                <w:szCs w:val="18"/>
              </w:rPr>
              <w:t>)</w:t>
            </w:r>
            <w:r w:rsidRPr="00E16672">
              <w:rPr>
                <w:rFonts w:ascii="Times New Roman" w:hAnsi="Times New Roman" w:cs="Times New Roman"/>
                <w:i/>
                <w:sz w:val="18"/>
              </w:rPr>
              <w:t xml:space="preserve"> </w:t>
            </w:r>
          </w:p>
        </w:tc>
        <w:tc>
          <w:tcPr>
            <w:tcW w:w="236" w:type="dxa"/>
            <w:shd w:val="clear" w:color="auto" w:fill="auto"/>
          </w:tcPr>
          <w:p w14:paraId="35E9C06B" w14:textId="77777777" w:rsidR="00765E37" w:rsidRPr="00E16672" w:rsidRDefault="00765E37" w:rsidP="007B7EDC">
            <w:pPr>
              <w:snapToGrid w:val="0"/>
              <w:rPr>
                <w:rFonts w:ascii="Times New Roman" w:hAnsi="Times New Roman"/>
                <w:b/>
                <w:bCs/>
                <w:color w:val="000000"/>
                <w:sz w:val="18"/>
                <w:szCs w:val="18"/>
                <w:lang w:val="uk-UA"/>
              </w:rPr>
            </w:pPr>
          </w:p>
        </w:tc>
        <w:tc>
          <w:tcPr>
            <w:tcW w:w="5475" w:type="dxa"/>
            <w:gridSpan w:val="3"/>
            <w:shd w:val="clear" w:color="auto" w:fill="auto"/>
          </w:tcPr>
          <w:p w14:paraId="63879A04" w14:textId="77777777" w:rsidR="00526269" w:rsidRPr="00E16672" w:rsidRDefault="00526269" w:rsidP="007B7EDC">
            <w:pPr>
              <w:pStyle w:val="3"/>
              <w:numPr>
                <w:ilvl w:val="0"/>
                <w:numId w:val="0"/>
              </w:numPr>
              <w:snapToGrid w:val="0"/>
              <w:spacing w:before="0" w:after="0"/>
              <w:ind w:left="15" w:right="219"/>
              <w:rPr>
                <w:rFonts w:ascii="Times New Roman" w:hAnsi="Times New Roman" w:cs="Times New Roman"/>
                <w:i/>
                <w:color w:val="000000"/>
                <w:sz w:val="18"/>
                <w:szCs w:val="18"/>
              </w:rPr>
            </w:pPr>
          </w:p>
          <w:p w14:paraId="642C80CA" w14:textId="77777777" w:rsidR="00765E37" w:rsidRPr="00E16672" w:rsidRDefault="00765E37" w:rsidP="007B7EDC">
            <w:pPr>
              <w:pStyle w:val="3"/>
              <w:numPr>
                <w:ilvl w:val="0"/>
                <w:numId w:val="0"/>
              </w:numPr>
              <w:snapToGrid w:val="0"/>
              <w:spacing w:before="0" w:after="0"/>
              <w:ind w:left="15" w:right="219"/>
              <w:rPr>
                <w:rFonts w:ascii="Times New Roman" w:hAnsi="Times New Roman" w:cs="Times New Roman"/>
                <w:i/>
                <w:color w:val="000000"/>
                <w:sz w:val="18"/>
                <w:szCs w:val="18"/>
              </w:rPr>
            </w:pPr>
            <w:r w:rsidRPr="00E16672">
              <w:rPr>
                <w:rFonts w:ascii="Times New Roman" w:hAnsi="Times New Roman" w:cs="Times New Roman"/>
                <w:i/>
                <w:color w:val="000000"/>
                <w:sz w:val="18"/>
                <w:szCs w:val="18"/>
              </w:rPr>
              <w:t>Ідентифікаційний код юридичної особи</w:t>
            </w:r>
            <w:r w:rsidRPr="00E16672">
              <w:rPr>
                <w:rFonts w:ascii="Times New Roman" w:hAnsi="Times New Roman" w:cs="Times New Roman"/>
                <w:color w:val="000000"/>
                <w:sz w:val="18"/>
                <w:szCs w:val="18"/>
              </w:rPr>
              <w:t xml:space="preserve"> </w:t>
            </w:r>
            <w:r w:rsidRPr="00E16672">
              <w:rPr>
                <w:rFonts w:ascii="Times New Roman" w:hAnsi="Times New Roman" w:cs="Times New Roman"/>
                <w:b w:val="0"/>
                <w:i/>
                <w:color w:val="000000"/>
                <w:sz w:val="18"/>
                <w:szCs w:val="18"/>
              </w:rPr>
              <w:t>(код за ЄДРПОУ)</w:t>
            </w:r>
          </w:p>
        </w:tc>
      </w:tr>
      <w:tr w:rsidR="00765E37" w:rsidRPr="00E16672" w14:paraId="636CBA1A" w14:textId="77777777" w:rsidTr="00526269">
        <w:tc>
          <w:tcPr>
            <w:tcW w:w="5250" w:type="dxa"/>
            <w:gridSpan w:val="3"/>
            <w:shd w:val="clear" w:color="auto" w:fill="auto"/>
          </w:tcPr>
          <w:p w14:paraId="645F41A2" w14:textId="77777777" w:rsidR="00765E37" w:rsidRPr="00E16672" w:rsidRDefault="00765E37" w:rsidP="007B7EDC">
            <w:pPr>
              <w:snapToGrid w:val="0"/>
              <w:ind w:firstLine="6"/>
              <w:rPr>
                <w:rFonts w:ascii="Times New Roman" w:hAnsi="Times New Roman"/>
                <w:color w:val="000000"/>
                <w:sz w:val="18"/>
                <w:szCs w:val="18"/>
              </w:rPr>
            </w:pPr>
          </w:p>
        </w:tc>
        <w:tc>
          <w:tcPr>
            <w:tcW w:w="236" w:type="dxa"/>
            <w:shd w:val="clear" w:color="auto" w:fill="auto"/>
          </w:tcPr>
          <w:p w14:paraId="3565C87B" w14:textId="77777777" w:rsidR="00765E37" w:rsidRPr="00E16672" w:rsidRDefault="00765E37" w:rsidP="007B7EDC">
            <w:pPr>
              <w:snapToGrid w:val="0"/>
              <w:rPr>
                <w:rFonts w:ascii="Times New Roman" w:hAnsi="Times New Roman"/>
                <w:b/>
                <w:bCs/>
                <w:color w:val="000000"/>
                <w:sz w:val="18"/>
                <w:szCs w:val="18"/>
              </w:rPr>
            </w:pPr>
          </w:p>
        </w:tc>
        <w:tc>
          <w:tcPr>
            <w:tcW w:w="5475" w:type="dxa"/>
            <w:gridSpan w:val="3"/>
            <w:shd w:val="clear" w:color="auto" w:fill="auto"/>
          </w:tcPr>
          <w:p w14:paraId="1CC8EE5A" w14:textId="77777777" w:rsidR="00765E37" w:rsidRPr="00E16672" w:rsidRDefault="00E16672" w:rsidP="007B7EDC">
            <w:pPr>
              <w:pStyle w:val="3"/>
              <w:numPr>
                <w:ilvl w:val="0"/>
                <w:numId w:val="0"/>
              </w:numPr>
              <w:snapToGrid w:val="0"/>
              <w:spacing w:before="0" w:after="0"/>
              <w:ind w:left="28" w:right="110"/>
              <w:rPr>
                <w:rFonts w:ascii="Times New Roman" w:hAnsi="Times New Roman" w:cs="Times New Roman"/>
                <w:b w:val="0"/>
                <w:bCs w:val="0"/>
                <w:color w:val="000000"/>
                <w:sz w:val="18"/>
                <w:szCs w:val="18"/>
              </w:rPr>
            </w:pPr>
            <w:r w:rsidRPr="00E16672">
              <w:rPr>
                <w:rFonts w:ascii="Times New Roman" w:hAnsi="Times New Roman" w:cs="Times New Roman"/>
                <w:b w:val="0"/>
                <w:bCs w:val="0"/>
                <w:color w:val="000000"/>
                <w:sz w:val="18"/>
                <w:szCs w:val="18"/>
              </w:rPr>
              <w:t>33153077</w:t>
            </w:r>
          </w:p>
        </w:tc>
      </w:tr>
      <w:tr w:rsidR="00765E37" w:rsidRPr="00E16672" w14:paraId="70DEABA0" w14:textId="77777777" w:rsidTr="00526269">
        <w:tc>
          <w:tcPr>
            <w:tcW w:w="5250" w:type="dxa"/>
            <w:gridSpan w:val="3"/>
            <w:shd w:val="clear" w:color="auto" w:fill="auto"/>
          </w:tcPr>
          <w:p w14:paraId="5D2C5541" w14:textId="77777777" w:rsidR="00526269" w:rsidRPr="00E16672" w:rsidRDefault="00526269" w:rsidP="001456E9">
            <w:pPr>
              <w:pStyle w:val="4"/>
              <w:keepNext w:val="0"/>
              <w:numPr>
                <w:ilvl w:val="0"/>
                <w:numId w:val="0"/>
              </w:numPr>
              <w:snapToGrid w:val="0"/>
              <w:ind w:left="5" w:right="-8" w:hanging="13"/>
              <w:jc w:val="left"/>
              <w:rPr>
                <w:rFonts w:ascii="Times New Roman" w:hAnsi="Times New Roman"/>
                <w:i/>
                <w:iCs/>
                <w:color w:val="000000"/>
                <w:sz w:val="18"/>
                <w:szCs w:val="18"/>
              </w:rPr>
            </w:pPr>
          </w:p>
          <w:p w14:paraId="08CF8857" w14:textId="065555DE" w:rsidR="00765E37" w:rsidRPr="00E16672" w:rsidRDefault="00765E37" w:rsidP="001456E9">
            <w:pPr>
              <w:pStyle w:val="4"/>
              <w:keepNext w:val="0"/>
              <w:numPr>
                <w:ilvl w:val="0"/>
                <w:numId w:val="0"/>
              </w:numPr>
              <w:snapToGrid w:val="0"/>
              <w:ind w:left="5" w:right="-8" w:hanging="13"/>
              <w:jc w:val="left"/>
              <w:rPr>
                <w:rFonts w:ascii="Times New Roman" w:hAnsi="Times New Roman"/>
              </w:rPr>
            </w:pPr>
            <w:r w:rsidRPr="00E16672">
              <w:rPr>
                <w:rFonts w:ascii="Times New Roman" w:hAnsi="Times New Roman"/>
                <w:i/>
                <w:iCs/>
                <w:color w:val="000000"/>
                <w:sz w:val="18"/>
                <w:szCs w:val="18"/>
              </w:rPr>
              <w:t>Місцезнаходження</w:t>
            </w:r>
          </w:p>
        </w:tc>
        <w:tc>
          <w:tcPr>
            <w:tcW w:w="236" w:type="dxa"/>
            <w:shd w:val="clear" w:color="auto" w:fill="auto"/>
          </w:tcPr>
          <w:p w14:paraId="1CAE3066" w14:textId="77777777" w:rsidR="00765E37" w:rsidRPr="00E16672" w:rsidRDefault="00765E37" w:rsidP="007B7EDC">
            <w:pPr>
              <w:snapToGrid w:val="0"/>
              <w:rPr>
                <w:rFonts w:ascii="Times New Roman" w:hAnsi="Times New Roman"/>
                <w:b/>
                <w:bCs/>
                <w:color w:val="000000"/>
                <w:sz w:val="18"/>
                <w:szCs w:val="18"/>
              </w:rPr>
            </w:pPr>
          </w:p>
        </w:tc>
        <w:tc>
          <w:tcPr>
            <w:tcW w:w="5475" w:type="dxa"/>
            <w:gridSpan w:val="3"/>
            <w:shd w:val="clear" w:color="auto" w:fill="auto"/>
          </w:tcPr>
          <w:p w14:paraId="618374C5" w14:textId="77777777" w:rsidR="00526269" w:rsidRPr="00E16672" w:rsidRDefault="00526269" w:rsidP="007B7EDC">
            <w:pPr>
              <w:pStyle w:val="4"/>
              <w:keepNext w:val="0"/>
              <w:numPr>
                <w:ilvl w:val="0"/>
                <w:numId w:val="0"/>
              </w:numPr>
              <w:tabs>
                <w:tab w:val="left" w:pos="5640"/>
              </w:tabs>
              <w:snapToGrid w:val="0"/>
              <w:ind w:right="105"/>
              <w:jc w:val="left"/>
              <w:rPr>
                <w:rFonts w:ascii="Times New Roman" w:hAnsi="Times New Roman"/>
                <w:i/>
                <w:iCs/>
                <w:color w:val="000000"/>
                <w:sz w:val="18"/>
                <w:szCs w:val="18"/>
              </w:rPr>
            </w:pPr>
          </w:p>
          <w:p w14:paraId="0B23A0DB" w14:textId="77777777" w:rsidR="00765E37" w:rsidRPr="00E16672" w:rsidRDefault="00765E37" w:rsidP="007B7EDC">
            <w:pPr>
              <w:pStyle w:val="4"/>
              <w:keepNext w:val="0"/>
              <w:numPr>
                <w:ilvl w:val="0"/>
                <w:numId w:val="0"/>
              </w:numPr>
              <w:tabs>
                <w:tab w:val="left" w:pos="5640"/>
              </w:tabs>
              <w:snapToGrid w:val="0"/>
              <w:ind w:right="105"/>
              <w:jc w:val="left"/>
              <w:rPr>
                <w:rFonts w:ascii="Times New Roman" w:hAnsi="Times New Roman"/>
                <w:i/>
                <w:iCs/>
                <w:color w:val="000000"/>
                <w:sz w:val="18"/>
                <w:szCs w:val="18"/>
              </w:rPr>
            </w:pPr>
            <w:r w:rsidRPr="00E16672">
              <w:rPr>
                <w:rFonts w:ascii="Times New Roman" w:hAnsi="Times New Roman"/>
                <w:i/>
                <w:iCs/>
                <w:color w:val="000000"/>
                <w:sz w:val="18"/>
                <w:szCs w:val="18"/>
              </w:rPr>
              <w:t>Місцезнаходження</w:t>
            </w:r>
          </w:p>
        </w:tc>
      </w:tr>
      <w:tr w:rsidR="00765E37" w:rsidRPr="00E16672" w14:paraId="7BF6864C" w14:textId="77777777" w:rsidTr="00526269">
        <w:tc>
          <w:tcPr>
            <w:tcW w:w="5250" w:type="dxa"/>
            <w:gridSpan w:val="3"/>
            <w:shd w:val="clear" w:color="auto" w:fill="auto"/>
          </w:tcPr>
          <w:p w14:paraId="296B1090" w14:textId="77777777" w:rsidR="00765E37" w:rsidRPr="00E16672" w:rsidRDefault="00765E37" w:rsidP="007B7EDC">
            <w:pPr>
              <w:pStyle w:val="4"/>
              <w:keepNext w:val="0"/>
              <w:numPr>
                <w:ilvl w:val="0"/>
                <w:numId w:val="0"/>
              </w:numPr>
              <w:snapToGrid w:val="0"/>
              <w:ind w:left="1440"/>
              <w:rPr>
                <w:rFonts w:ascii="Times New Roman" w:hAnsi="Times New Roman"/>
                <w:b w:val="0"/>
                <w:color w:val="000000"/>
                <w:sz w:val="18"/>
                <w:szCs w:val="18"/>
              </w:rPr>
            </w:pPr>
          </w:p>
        </w:tc>
        <w:tc>
          <w:tcPr>
            <w:tcW w:w="236" w:type="dxa"/>
            <w:shd w:val="clear" w:color="auto" w:fill="auto"/>
          </w:tcPr>
          <w:p w14:paraId="0B672C79" w14:textId="77777777" w:rsidR="00765E37" w:rsidRPr="00E16672" w:rsidRDefault="00765E37" w:rsidP="007B7EDC">
            <w:pPr>
              <w:snapToGrid w:val="0"/>
              <w:rPr>
                <w:rFonts w:ascii="Times New Roman" w:hAnsi="Times New Roman"/>
                <w:b/>
                <w:bCs/>
                <w:color w:val="000000"/>
                <w:sz w:val="18"/>
                <w:szCs w:val="18"/>
              </w:rPr>
            </w:pPr>
          </w:p>
        </w:tc>
        <w:tc>
          <w:tcPr>
            <w:tcW w:w="5475" w:type="dxa"/>
            <w:gridSpan w:val="3"/>
            <w:shd w:val="clear" w:color="auto" w:fill="auto"/>
          </w:tcPr>
          <w:p w14:paraId="1021CE5D" w14:textId="77777777" w:rsidR="00765E37" w:rsidRPr="00E16672" w:rsidRDefault="00622BEB" w:rsidP="00526269">
            <w:pPr>
              <w:pStyle w:val="4"/>
              <w:snapToGrid w:val="0"/>
              <w:ind w:left="57" w:right="57" w:firstLine="0"/>
              <w:jc w:val="left"/>
              <w:rPr>
                <w:rFonts w:ascii="Times New Roman" w:hAnsi="Times New Roman"/>
                <w:color w:val="000000"/>
                <w:sz w:val="18"/>
                <w:szCs w:val="18"/>
              </w:rPr>
            </w:pPr>
            <w:r>
              <w:rPr>
                <w:rFonts w:ascii="Times New Roman" w:hAnsi="Times New Roman"/>
                <w:b w:val="0"/>
                <w:bCs/>
                <w:sz w:val="18"/>
                <w:szCs w:val="18"/>
              </w:rPr>
              <w:t xml:space="preserve">Україна, </w:t>
            </w:r>
            <w:proofErr w:type="spellStart"/>
            <w:r>
              <w:rPr>
                <w:rFonts w:ascii="Times New Roman" w:hAnsi="Times New Roman"/>
                <w:b w:val="0"/>
                <w:bCs/>
                <w:sz w:val="18"/>
                <w:szCs w:val="18"/>
              </w:rPr>
              <w:t>м.Київ</w:t>
            </w:r>
            <w:proofErr w:type="spellEnd"/>
            <w:r>
              <w:rPr>
                <w:rFonts w:ascii="Times New Roman" w:hAnsi="Times New Roman"/>
                <w:b w:val="0"/>
                <w:bCs/>
                <w:sz w:val="18"/>
                <w:szCs w:val="18"/>
              </w:rPr>
              <w:t>, Велика Васильківська (колишня Червоноармійська) вул., буд. 65</w:t>
            </w:r>
          </w:p>
        </w:tc>
      </w:tr>
      <w:tr w:rsidR="00765E37" w:rsidRPr="00E16672" w14:paraId="1554EAAB" w14:textId="77777777" w:rsidTr="00526269">
        <w:trPr>
          <w:trHeight w:val="166"/>
        </w:trPr>
        <w:tc>
          <w:tcPr>
            <w:tcW w:w="5250" w:type="dxa"/>
            <w:gridSpan w:val="3"/>
            <w:shd w:val="clear" w:color="auto" w:fill="auto"/>
          </w:tcPr>
          <w:p w14:paraId="3B8AFA82" w14:textId="77777777" w:rsidR="00526269" w:rsidRPr="00E16672" w:rsidRDefault="00526269" w:rsidP="00526269">
            <w:pPr>
              <w:pStyle w:val="4"/>
              <w:keepNext w:val="0"/>
              <w:numPr>
                <w:ilvl w:val="0"/>
                <w:numId w:val="0"/>
              </w:numPr>
              <w:snapToGrid w:val="0"/>
              <w:ind w:left="363" w:right="110" w:hanging="363"/>
              <w:jc w:val="left"/>
              <w:rPr>
                <w:rFonts w:ascii="Times New Roman" w:hAnsi="Times New Roman"/>
                <w:i/>
                <w:iCs/>
                <w:color w:val="000000"/>
                <w:sz w:val="18"/>
                <w:szCs w:val="18"/>
              </w:rPr>
            </w:pPr>
          </w:p>
          <w:p w14:paraId="5DB93274" w14:textId="77777777" w:rsidR="00765E37" w:rsidRPr="00E16672" w:rsidRDefault="00765E37" w:rsidP="00526269">
            <w:pPr>
              <w:pStyle w:val="4"/>
              <w:keepNext w:val="0"/>
              <w:numPr>
                <w:ilvl w:val="0"/>
                <w:numId w:val="0"/>
              </w:numPr>
              <w:snapToGrid w:val="0"/>
              <w:ind w:left="363" w:right="110" w:hanging="363"/>
              <w:jc w:val="left"/>
              <w:rPr>
                <w:rFonts w:ascii="Times New Roman" w:hAnsi="Times New Roman"/>
                <w:i/>
                <w:iCs/>
                <w:color w:val="000000"/>
                <w:sz w:val="18"/>
                <w:szCs w:val="18"/>
              </w:rPr>
            </w:pPr>
            <w:r w:rsidRPr="00E16672">
              <w:rPr>
                <w:rFonts w:ascii="Times New Roman" w:hAnsi="Times New Roman"/>
                <w:i/>
                <w:iCs/>
                <w:color w:val="000000"/>
                <w:sz w:val="18"/>
                <w:szCs w:val="18"/>
              </w:rPr>
              <w:t>Адреса для листування</w:t>
            </w:r>
          </w:p>
        </w:tc>
        <w:tc>
          <w:tcPr>
            <w:tcW w:w="236" w:type="dxa"/>
            <w:shd w:val="clear" w:color="auto" w:fill="auto"/>
          </w:tcPr>
          <w:p w14:paraId="24D17531" w14:textId="77777777" w:rsidR="00765E37" w:rsidRPr="00E16672" w:rsidRDefault="00765E37" w:rsidP="007B7EDC">
            <w:pPr>
              <w:snapToGrid w:val="0"/>
              <w:rPr>
                <w:rFonts w:ascii="Times New Roman" w:hAnsi="Times New Roman"/>
                <w:b/>
                <w:color w:val="000000"/>
                <w:sz w:val="18"/>
                <w:szCs w:val="18"/>
              </w:rPr>
            </w:pPr>
          </w:p>
        </w:tc>
        <w:tc>
          <w:tcPr>
            <w:tcW w:w="5475" w:type="dxa"/>
            <w:gridSpan w:val="3"/>
            <w:shd w:val="clear" w:color="auto" w:fill="auto"/>
          </w:tcPr>
          <w:p w14:paraId="1289A59B" w14:textId="77777777" w:rsidR="00526269" w:rsidRPr="00E16672" w:rsidRDefault="00526269" w:rsidP="007B7EDC">
            <w:pPr>
              <w:pStyle w:val="4"/>
              <w:keepNext w:val="0"/>
              <w:numPr>
                <w:ilvl w:val="0"/>
                <w:numId w:val="0"/>
              </w:numPr>
              <w:snapToGrid w:val="0"/>
              <w:ind w:left="-8" w:right="105" w:hanging="13"/>
              <w:jc w:val="left"/>
              <w:rPr>
                <w:rFonts w:ascii="Times New Roman" w:hAnsi="Times New Roman"/>
                <w:i/>
                <w:iCs/>
                <w:color w:val="000000"/>
                <w:sz w:val="18"/>
                <w:szCs w:val="18"/>
              </w:rPr>
            </w:pPr>
          </w:p>
          <w:p w14:paraId="45A2E5C1" w14:textId="77777777" w:rsidR="00765E37" w:rsidRPr="00E16672" w:rsidRDefault="00765E37" w:rsidP="007B7EDC">
            <w:pPr>
              <w:pStyle w:val="4"/>
              <w:keepNext w:val="0"/>
              <w:numPr>
                <w:ilvl w:val="0"/>
                <w:numId w:val="0"/>
              </w:numPr>
              <w:snapToGrid w:val="0"/>
              <w:ind w:left="-8" w:right="105" w:hanging="13"/>
              <w:jc w:val="left"/>
              <w:rPr>
                <w:rFonts w:ascii="Times New Roman" w:hAnsi="Times New Roman"/>
                <w:i/>
                <w:iCs/>
                <w:color w:val="000000"/>
                <w:sz w:val="18"/>
                <w:szCs w:val="18"/>
              </w:rPr>
            </w:pPr>
            <w:r w:rsidRPr="00E16672">
              <w:rPr>
                <w:rFonts w:ascii="Times New Roman" w:hAnsi="Times New Roman"/>
                <w:i/>
                <w:iCs/>
                <w:color w:val="000000"/>
                <w:sz w:val="18"/>
                <w:szCs w:val="18"/>
              </w:rPr>
              <w:t>Адреса для листування</w:t>
            </w:r>
          </w:p>
        </w:tc>
      </w:tr>
      <w:tr w:rsidR="00765E37" w:rsidRPr="00E16672" w14:paraId="3386FF42" w14:textId="77777777" w:rsidTr="00526269">
        <w:tc>
          <w:tcPr>
            <w:tcW w:w="5250" w:type="dxa"/>
            <w:gridSpan w:val="3"/>
            <w:shd w:val="clear" w:color="auto" w:fill="auto"/>
          </w:tcPr>
          <w:p w14:paraId="75BB5585" w14:textId="77777777" w:rsidR="00765E37" w:rsidRPr="00E16672" w:rsidRDefault="00765E37" w:rsidP="007B7EDC">
            <w:pPr>
              <w:pStyle w:val="4"/>
              <w:keepNext w:val="0"/>
              <w:numPr>
                <w:ilvl w:val="0"/>
                <w:numId w:val="0"/>
              </w:numPr>
              <w:snapToGrid w:val="0"/>
              <w:ind w:left="105" w:right="105"/>
              <w:jc w:val="left"/>
              <w:rPr>
                <w:rFonts w:ascii="Times New Roman" w:hAnsi="Times New Roman"/>
                <w:b w:val="0"/>
                <w:color w:val="000000"/>
                <w:sz w:val="18"/>
                <w:szCs w:val="18"/>
              </w:rPr>
            </w:pPr>
          </w:p>
        </w:tc>
        <w:tc>
          <w:tcPr>
            <w:tcW w:w="236" w:type="dxa"/>
            <w:shd w:val="clear" w:color="auto" w:fill="auto"/>
          </w:tcPr>
          <w:p w14:paraId="2ECCC062" w14:textId="77777777" w:rsidR="00765E37" w:rsidRPr="00E16672" w:rsidRDefault="00765E37" w:rsidP="007B7EDC">
            <w:pPr>
              <w:snapToGrid w:val="0"/>
              <w:rPr>
                <w:rFonts w:ascii="Times New Roman" w:hAnsi="Times New Roman"/>
                <w:color w:val="000000"/>
                <w:sz w:val="18"/>
                <w:szCs w:val="18"/>
              </w:rPr>
            </w:pPr>
          </w:p>
        </w:tc>
        <w:tc>
          <w:tcPr>
            <w:tcW w:w="5475" w:type="dxa"/>
            <w:gridSpan w:val="3"/>
            <w:shd w:val="clear" w:color="auto" w:fill="auto"/>
          </w:tcPr>
          <w:p w14:paraId="7FFD4D2F" w14:textId="77777777" w:rsidR="00765E37" w:rsidRPr="00E16672" w:rsidRDefault="00622BEB" w:rsidP="008257D7">
            <w:pPr>
              <w:pStyle w:val="4"/>
              <w:numPr>
                <w:ilvl w:val="0"/>
                <w:numId w:val="0"/>
              </w:numPr>
              <w:snapToGrid w:val="0"/>
              <w:ind w:right="57"/>
              <w:jc w:val="left"/>
              <w:rPr>
                <w:rFonts w:ascii="Times New Roman" w:hAnsi="Times New Roman"/>
              </w:rPr>
            </w:pPr>
            <w:r>
              <w:rPr>
                <w:rFonts w:ascii="Times New Roman" w:hAnsi="Times New Roman"/>
                <w:b w:val="0"/>
                <w:bCs/>
                <w:sz w:val="18"/>
                <w:szCs w:val="18"/>
              </w:rPr>
              <w:t xml:space="preserve">Україна, </w:t>
            </w:r>
            <w:proofErr w:type="spellStart"/>
            <w:r>
              <w:rPr>
                <w:rFonts w:ascii="Times New Roman" w:hAnsi="Times New Roman"/>
                <w:b w:val="0"/>
                <w:bCs/>
                <w:sz w:val="18"/>
                <w:szCs w:val="18"/>
              </w:rPr>
              <w:t>м.Київ</w:t>
            </w:r>
            <w:proofErr w:type="spellEnd"/>
            <w:r>
              <w:rPr>
                <w:rFonts w:ascii="Times New Roman" w:hAnsi="Times New Roman"/>
                <w:b w:val="0"/>
                <w:bCs/>
                <w:sz w:val="18"/>
                <w:szCs w:val="18"/>
              </w:rPr>
              <w:t>, Велика Васильківська (колишня Червоноармійська) вул., буд. 65</w:t>
            </w:r>
          </w:p>
        </w:tc>
      </w:tr>
      <w:tr w:rsidR="00765E37" w:rsidRPr="00E16672" w14:paraId="7DF0D8D4" w14:textId="77777777" w:rsidTr="00526269">
        <w:tc>
          <w:tcPr>
            <w:tcW w:w="5250" w:type="dxa"/>
            <w:gridSpan w:val="3"/>
            <w:shd w:val="clear" w:color="auto" w:fill="auto"/>
          </w:tcPr>
          <w:p w14:paraId="5CFB5221" w14:textId="77777777" w:rsidR="00526269" w:rsidRPr="00E16672" w:rsidRDefault="00526269" w:rsidP="007B7EDC">
            <w:pPr>
              <w:pStyle w:val="4"/>
              <w:keepNext w:val="0"/>
              <w:numPr>
                <w:ilvl w:val="0"/>
                <w:numId w:val="0"/>
              </w:numPr>
              <w:snapToGrid w:val="0"/>
              <w:ind w:left="-20" w:right="105" w:hanging="25"/>
              <w:jc w:val="left"/>
              <w:rPr>
                <w:rFonts w:ascii="Times New Roman" w:hAnsi="Times New Roman"/>
                <w:i/>
                <w:iCs/>
                <w:color w:val="000000"/>
                <w:sz w:val="18"/>
                <w:szCs w:val="18"/>
              </w:rPr>
            </w:pPr>
          </w:p>
          <w:p w14:paraId="308A9CF2" w14:textId="77777777" w:rsidR="00765E37" w:rsidRPr="00E16672" w:rsidRDefault="00765E37" w:rsidP="007B7EDC">
            <w:pPr>
              <w:pStyle w:val="4"/>
              <w:keepNext w:val="0"/>
              <w:numPr>
                <w:ilvl w:val="0"/>
                <w:numId w:val="0"/>
              </w:numPr>
              <w:snapToGrid w:val="0"/>
              <w:ind w:left="-20" w:right="105" w:hanging="25"/>
              <w:jc w:val="left"/>
              <w:rPr>
                <w:rFonts w:ascii="Times New Roman" w:hAnsi="Times New Roman"/>
                <w:i/>
                <w:iCs/>
                <w:color w:val="000000"/>
                <w:sz w:val="18"/>
                <w:szCs w:val="18"/>
              </w:rPr>
            </w:pPr>
            <w:r w:rsidRPr="00E16672">
              <w:rPr>
                <w:rFonts w:ascii="Times New Roman" w:hAnsi="Times New Roman"/>
                <w:i/>
                <w:iCs/>
                <w:color w:val="000000"/>
                <w:sz w:val="18"/>
                <w:szCs w:val="18"/>
              </w:rPr>
              <w:t>Банківські реквізити</w:t>
            </w:r>
          </w:p>
        </w:tc>
        <w:tc>
          <w:tcPr>
            <w:tcW w:w="236" w:type="dxa"/>
            <w:shd w:val="clear" w:color="auto" w:fill="auto"/>
          </w:tcPr>
          <w:p w14:paraId="50B3CB67" w14:textId="77777777" w:rsidR="00765E37" w:rsidRPr="00E16672" w:rsidRDefault="00765E37" w:rsidP="007B7EDC">
            <w:pPr>
              <w:snapToGrid w:val="0"/>
              <w:rPr>
                <w:rFonts w:ascii="Times New Roman" w:hAnsi="Times New Roman"/>
                <w:color w:val="000000"/>
                <w:sz w:val="18"/>
                <w:szCs w:val="18"/>
              </w:rPr>
            </w:pPr>
          </w:p>
        </w:tc>
        <w:tc>
          <w:tcPr>
            <w:tcW w:w="5475" w:type="dxa"/>
            <w:gridSpan w:val="3"/>
            <w:shd w:val="clear" w:color="auto" w:fill="auto"/>
          </w:tcPr>
          <w:p w14:paraId="1C8EFFF1" w14:textId="77777777" w:rsidR="00526269" w:rsidRPr="00E16672" w:rsidRDefault="00526269" w:rsidP="007B7EDC">
            <w:pPr>
              <w:pStyle w:val="6"/>
              <w:numPr>
                <w:ilvl w:val="0"/>
                <w:numId w:val="0"/>
              </w:numPr>
              <w:snapToGrid w:val="0"/>
              <w:ind w:left="15" w:right="1"/>
              <w:jc w:val="left"/>
              <w:rPr>
                <w:rFonts w:ascii="Times New Roman" w:hAnsi="Times New Roman"/>
                <w:b/>
                <w:i/>
                <w:color w:val="000000"/>
                <w:sz w:val="18"/>
                <w:szCs w:val="18"/>
                <w:lang w:val="uk-UA"/>
              </w:rPr>
            </w:pPr>
          </w:p>
          <w:p w14:paraId="34FD8C01" w14:textId="77777777" w:rsidR="00765E37" w:rsidRPr="00E16672" w:rsidRDefault="00765E37" w:rsidP="007B7EDC">
            <w:pPr>
              <w:pStyle w:val="6"/>
              <w:numPr>
                <w:ilvl w:val="0"/>
                <w:numId w:val="0"/>
              </w:numPr>
              <w:snapToGrid w:val="0"/>
              <w:ind w:left="15" w:right="1"/>
              <w:jc w:val="left"/>
              <w:rPr>
                <w:rFonts w:ascii="Times New Roman" w:hAnsi="Times New Roman"/>
                <w:b/>
                <w:i/>
                <w:color w:val="000000"/>
                <w:sz w:val="18"/>
                <w:szCs w:val="18"/>
                <w:lang w:val="uk-UA"/>
              </w:rPr>
            </w:pPr>
            <w:r w:rsidRPr="00E16672">
              <w:rPr>
                <w:rFonts w:ascii="Times New Roman" w:hAnsi="Times New Roman"/>
                <w:b/>
                <w:i/>
                <w:color w:val="000000"/>
                <w:sz w:val="18"/>
                <w:szCs w:val="18"/>
                <w:lang w:val="uk-UA"/>
              </w:rPr>
              <w:t>Банківські реквізити</w:t>
            </w:r>
          </w:p>
        </w:tc>
      </w:tr>
      <w:tr w:rsidR="00765E37" w:rsidRPr="00E16672" w14:paraId="6641D9BD" w14:textId="77777777" w:rsidTr="003352AE">
        <w:trPr>
          <w:trHeight w:val="1691"/>
        </w:trPr>
        <w:tc>
          <w:tcPr>
            <w:tcW w:w="5250" w:type="dxa"/>
            <w:gridSpan w:val="3"/>
            <w:shd w:val="clear" w:color="auto" w:fill="auto"/>
          </w:tcPr>
          <w:p w14:paraId="1BBB2E62" w14:textId="77777777" w:rsidR="00765E37" w:rsidRPr="00E16672" w:rsidRDefault="00765E37" w:rsidP="007B7EDC">
            <w:pPr>
              <w:snapToGrid w:val="0"/>
              <w:ind w:firstLine="6"/>
              <w:rPr>
                <w:rFonts w:ascii="Times New Roman" w:hAnsi="Times New Roman"/>
                <w:color w:val="000000"/>
                <w:sz w:val="18"/>
                <w:szCs w:val="18"/>
              </w:rPr>
            </w:pPr>
          </w:p>
        </w:tc>
        <w:tc>
          <w:tcPr>
            <w:tcW w:w="236" w:type="dxa"/>
            <w:shd w:val="clear" w:color="auto" w:fill="auto"/>
          </w:tcPr>
          <w:p w14:paraId="76EF38B2" w14:textId="77777777" w:rsidR="00765E37" w:rsidRPr="00E16672" w:rsidRDefault="00765E37" w:rsidP="007B7EDC">
            <w:pPr>
              <w:snapToGrid w:val="0"/>
              <w:rPr>
                <w:rFonts w:ascii="Times New Roman" w:hAnsi="Times New Roman"/>
                <w:color w:val="000000"/>
                <w:sz w:val="18"/>
                <w:szCs w:val="18"/>
              </w:rPr>
            </w:pPr>
          </w:p>
        </w:tc>
        <w:tc>
          <w:tcPr>
            <w:tcW w:w="5475" w:type="dxa"/>
            <w:gridSpan w:val="3"/>
            <w:shd w:val="clear" w:color="auto" w:fill="auto"/>
          </w:tcPr>
          <w:p w14:paraId="525EEF5C" w14:textId="77777777" w:rsidR="00397741" w:rsidRPr="008257D7" w:rsidRDefault="00622BEB" w:rsidP="00397741">
            <w:pPr>
              <w:pStyle w:val="af7"/>
              <w:snapToGrid w:val="0"/>
              <w:ind w:right="57" w:firstLine="0"/>
              <w:rPr>
                <w:rFonts w:ascii="Times New Roman" w:hAnsi="Times New Roman"/>
                <w:sz w:val="18"/>
                <w:szCs w:val="18"/>
              </w:rPr>
            </w:pPr>
            <w:r w:rsidRPr="008257D7">
              <w:rPr>
                <w:rFonts w:ascii="Times New Roman" w:hAnsi="Times New Roman"/>
                <w:sz w:val="18"/>
                <w:szCs w:val="18"/>
              </w:rPr>
              <w:t>UA743281680000000026503815351</w:t>
            </w:r>
            <w:r w:rsidR="00397741" w:rsidRPr="008257D7">
              <w:rPr>
                <w:rFonts w:ascii="Times New Roman" w:hAnsi="Times New Roman"/>
                <w:sz w:val="18"/>
                <w:szCs w:val="18"/>
              </w:rPr>
              <w:t xml:space="preserve"> </w:t>
            </w:r>
          </w:p>
          <w:p w14:paraId="1F118F70" w14:textId="77777777" w:rsidR="00397741" w:rsidRPr="008257D7" w:rsidRDefault="00622BEB" w:rsidP="00022F5F">
            <w:pPr>
              <w:pStyle w:val="3"/>
              <w:numPr>
                <w:ilvl w:val="0"/>
                <w:numId w:val="0"/>
              </w:numPr>
              <w:snapToGrid w:val="0"/>
              <w:spacing w:before="0" w:after="0"/>
              <w:ind w:left="15" w:right="219"/>
              <w:jc w:val="left"/>
              <w:rPr>
                <w:rFonts w:ascii="Times New Roman" w:hAnsi="Times New Roman" w:cs="Times New Roman"/>
                <w:b w:val="0"/>
                <w:color w:val="FF0000"/>
                <w:sz w:val="18"/>
                <w:szCs w:val="18"/>
                <w:lang w:val="ru-RU"/>
              </w:rPr>
            </w:pPr>
            <w:r w:rsidRPr="008257D7">
              <w:rPr>
                <w:rFonts w:ascii="Times New Roman" w:hAnsi="Times New Roman" w:cs="Times New Roman"/>
                <w:b w:val="0"/>
                <w:sz w:val="18"/>
                <w:szCs w:val="18"/>
              </w:rPr>
              <w:t xml:space="preserve">ПАТ </w:t>
            </w:r>
            <w:r w:rsidR="00022F5F">
              <w:rPr>
                <w:rFonts w:ascii="Times New Roman" w:hAnsi="Times New Roman" w:cs="Times New Roman"/>
                <w:b w:val="0"/>
                <w:sz w:val="18"/>
                <w:szCs w:val="18"/>
              </w:rPr>
              <w:t>"</w:t>
            </w:r>
            <w:r w:rsidRPr="008257D7">
              <w:rPr>
                <w:rFonts w:ascii="Times New Roman" w:hAnsi="Times New Roman" w:cs="Times New Roman"/>
                <w:b w:val="0"/>
                <w:sz w:val="18"/>
                <w:szCs w:val="18"/>
              </w:rPr>
              <w:t>МТБ Банк</w:t>
            </w:r>
            <w:r w:rsidR="00022F5F">
              <w:rPr>
                <w:rFonts w:ascii="Times New Roman" w:hAnsi="Times New Roman" w:cs="Times New Roman"/>
                <w:b w:val="0"/>
                <w:sz w:val="18"/>
                <w:szCs w:val="18"/>
              </w:rPr>
              <w:t>"</w:t>
            </w:r>
            <w:r w:rsidRPr="008257D7">
              <w:rPr>
                <w:rFonts w:ascii="Times New Roman" w:hAnsi="Times New Roman" w:cs="Times New Roman"/>
                <w:b w:val="0"/>
                <w:sz w:val="18"/>
                <w:szCs w:val="18"/>
              </w:rPr>
              <w:t>, МФО 328168</w:t>
            </w:r>
            <w:r w:rsidR="00896826" w:rsidRPr="001E62BE">
              <w:rPr>
                <w:rFonts w:ascii="Times New Roman" w:hAnsi="Times New Roman" w:cs="Times New Roman"/>
                <w:b w:val="0"/>
                <w:sz w:val="18"/>
                <w:szCs w:val="18"/>
                <w:lang w:val="ru-RU"/>
              </w:rPr>
              <w:t>,</w:t>
            </w:r>
            <w:r w:rsidR="00397741" w:rsidRPr="008257D7">
              <w:rPr>
                <w:rFonts w:ascii="Times New Roman" w:hAnsi="Times New Roman" w:cs="Times New Roman"/>
                <w:b w:val="0"/>
                <w:sz w:val="18"/>
                <w:szCs w:val="18"/>
              </w:rPr>
              <w:t xml:space="preserve"> </w:t>
            </w:r>
            <w:r w:rsidR="00397741" w:rsidRPr="008257D7">
              <w:rPr>
                <w:rFonts w:ascii="Times New Roman" w:hAnsi="Times New Roman" w:cs="Times New Roman"/>
                <w:b w:val="0"/>
                <w:color w:val="000000" w:themeColor="text1"/>
                <w:sz w:val="18"/>
                <w:szCs w:val="18"/>
              </w:rPr>
              <w:t xml:space="preserve">ЄДРПОУ </w:t>
            </w:r>
            <w:r w:rsidRPr="008257D7">
              <w:rPr>
                <w:rFonts w:ascii="Times New Roman" w:hAnsi="Times New Roman" w:cs="Times New Roman"/>
                <w:b w:val="0"/>
                <w:color w:val="000000" w:themeColor="text1"/>
                <w:sz w:val="18"/>
                <w:szCs w:val="18"/>
                <w:lang w:val="ru-RU"/>
              </w:rPr>
              <w:t>21650966</w:t>
            </w:r>
          </w:p>
          <w:p w14:paraId="7FB88E8E" w14:textId="77777777" w:rsidR="00DE7B72" w:rsidRPr="00E16672" w:rsidRDefault="008257D7" w:rsidP="001456E9">
            <w:pPr>
              <w:ind w:firstLine="0"/>
              <w:jc w:val="left"/>
              <w:rPr>
                <w:rFonts w:ascii="Times New Roman" w:hAnsi="Times New Roman"/>
                <w:sz w:val="18"/>
                <w:szCs w:val="18"/>
              </w:rPr>
            </w:pPr>
            <w:r w:rsidRPr="008257D7">
              <w:rPr>
                <w:rFonts w:ascii="Times New Roman" w:hAnsi="Times New Roman"/>
                <w:i/>
                <w:sz w:val="18"/>
                <w:szCs w:val="18"/>
                <w:lang w:val="uk-UA"/>
              </w:rPr>
              <w:t xml:space="preserve">68003, </w:t>
            </w:r>
            <w:proofErr w:type="spellStart"/>
            <w:r w:rsidRPr="008257D7">
              <w:rPr>
                <w:rFonts w:ascii="Times New Roman" w:hAnsi="Times New Roman"/>
                <w:i/>
                <w:sz w:val="18"/>
                <w:szCs w:val="18"/>
                <w:lang w:val="uk-UA"/>
              </w:rPr>
              <w:t>м.Чорноморськ</w:t>
            </w:r>
            <w:proofErr w:type="spellEnd"/>
            <w:r w:rsidRPr="008257D7">
              <w:rPr>
                <w:rFonts w:ascii="Times New Roman" w:hAnsi="Times New Roman"/>
                <w:i/>
                <w:sz w:val="18"/>
                <w:szCs w:val="18"/>
                <w:lang w:val="uk-UA"/>
              </w:rPr>
              <w:t xml:space="preserve">, Миру </w:t>
            </w:r>
            <w:proofErr w:type="spellStart"/>
            <w:r w:rsidRPr="008257D7">
              <w:rPr>
                <w:rFonts w:ascii="Times New Roman" w:hAnsi="Times New Roman"/>
                <w:i/>
                <w:sz w:val="18"/>
                <w:szCs w:val="18"/>
                <w:lang w:val="uk-UA"/>
              </w:rPr>
              <w:t>просп</w:t>
            </w:r>
            <w:proofErr w:type="spellEnd"/>
            <w:r w:rsidRPr="008257D7">
              <w:rPr>
                <w:rFonts w:ascii="Times New Roman" w:hAnsi="Times New Roman"/>
                <w:i/>
                <w:sz w:val="18"/>
                <w:szCs w:val="18"/>
                <w:lang w:val="uk-UA"/>
              </w:rPr>
              <w:t>., буд. 28.</w:t>
            </w:r>
          </w:p>
        </w:tc>
      </w:tr>
      <w:tr w:rsidR="00765E37" w:rsidRPr="00E16672" w14:paraId="482AC693" w14:textId="77777777" w:rsidTr="00526269">
        <w:tc>
          <w:tcPr>
            <w:tcW w:w="2625" w:type="dxa"/>
            <w:gridSpan w:val="2"/>
            <w:shd w:val="clear" w:color="auto" w:fill="auto"/>
          </w:tcPr>
          <w:p w14:paraId="074B271E" w14:textId="77777777" w:rsidR="00526269" w:rsidRPr="00E16672" w:rsidRDefault="00526269" w:rsidP="007B7EDC">
            <w:pPr>
              <w:snapToGrid w:val="0"/>
              <w:ind w:firstLine="6"/>
              <w:rPr>
                <w:rFonts w:ascii="Times New Roman" w:hAnsi="Times New Roman"/>
                <w:b/>
                <w:color w:val="000000"/>
                <w:sz w:val="18"/>
                <w:szCs w:val="18"/>
                <w:lang w:val="uk-UA"/>
              </w:rPr>
            </w:pPr>
          </w:p>
          <w:p w14:paraId="69285C40" w14:textId="77777777" w:rsidR="00765E37" w:rsidRPr="00E16672" w:rsidRDefault="00765E37" w:rsidP="007B7EDC">
            <w:pPr>
              <w:snapToGrid w:val="0"/>
              <w:ind w:firstLine="6"/>
              <w:rPr>
                <w:rFonts w:ascii="Times New Roman" w:hAnsi="Times New Roman"/>
                <w:b/>
                <w:color w:val="000000"/>
                <w:sz w:val="18"/>
                <w:szCs w:val="18"/>
                <w:lang w:val="uk-UA"/>
              </w:rPr>
            </w:pPr>
            <w:r w:rsidRPr="00E16672">
              <w:rPr>
                <w:rFonts w:ascii="Times New Roman" w:hAnsi="Times New Roman"/>
                <w:b/>
                <w:color w:val="000000"/>
                <w:sz w:val="18"/>
                <w:szCs w:val="18"/>
                <w:lang w:val="uk-UA"/>
              </w:rPr>
              <w:t>Документ, що підтверджує повноваження особи, яка підписує договір</w:t>
            </w:r>
          </w:p>
        </w:tc>
        <w:tc>
          <w:tcPr>
            <w:tcW w:w="2625" w:type="dxa"/>
            <w:shd w:val="clear" w:color="auto" w:fill="auto"/>
          </w:tcPr>
          <w:p w14:paraId="4C67DF7C" w14:textId="77777777" w:rsidR="00765E37" w:rsidRPr="00E16672" w:rsidRDefault="00765E37" w:rsidP="007B7EDC">
            <w:pPr>
              <w:snapToGrid w:val="0"/>
              <w:ind w:firstLine="6"/>
              <w:rPr>
                <w:rFonts w:ascii="Times New Roman" w:hAnsi="Times New Roman"/>
                <w:b/>
                <w:color w:val="000000"/>
                <w:sz w:val="18"/>
                <w:szCs w:val="18"/>
                <w:lang w:val="uk-UA"/>
              </w:rPr>
            </w:pPr>
          </w:p>
        </w:tc>
        <w:tc>
          <w:tcPr>
            <w:tcW w:w="236" w:type="dxa"/>
            <w:shd w:val="clear" w:color="auto" w:fill="auto"/>
          </w:tcPr>
          <w:p w14:paraId="47F588E4" w14:textId="77777777" w:rsidR="00765E37" w:rsidRPr="00E16672" w:rsidRDefault="00765E37" w:rsidP="007B7EDC">
            <w:pPr>
              <w:snapToGrid w:val="0"/>
              <w:rPr>
                <w:rFonts w:ascii="Times New Roman" w:hAnsi="Times New Roman"/>
                <w:color w:val="000000"/>
                <w:sz w:val="18"/>
                <w:szCs w:val="18"/>
              </w:rPr>
            </w:pPr>
          </w:p>
        </w:tc>
        <w:tc>
          <w:tcPr>
            <w:tcW w:w="2737" w:type="dxa"/>
            <w:gridSpan w:val="2"/>
            <w:shd w:val="clear" w:color="auto" w:fill="auto"/>
          </w:tcPr>
          <w:p w14:paraId="31915B6F" w14:textId="77777777" w:rsidR="00526269" w:rsidRPr="00E16672" w:rsidRDefault="00526269" w:rsidP="007B7EDC">
            <w:pPr>
              <w:pStyle w:val="6"/>
              <w:widowControl w:val="0"/>
              <w:snapToGrid w:val="0"/>
              <w:ind w:left="0" w:firstLine="0"/>
              <w:jc w:val="left"/>
              <w:rPr>
                <w:rFonts w:ascii="Times New Roman" w:hAnsi="Times New Roman"/>
                <w:b/>
                <w:bCs/>
                <w:color w:val="0000FF"/>
                <w:sz w:val="20"/>
              </w:rPr>
            </w:pPr>
          </w:p>
          <w:p w14:paraId="306D8B8A" w14:textId="77777777" w:rsidR="00765E37" w:rsidRPr="00E16672" w:rsidDel="00D16973" w:rsidRDefault="00765E37" w:rsidP="007B7EDC">
            <w:pPr>
              <w:pStyle w:val="6"/>
              <w:widowControl w:val="0"/>
              <w:snapToGrid w:val="0"/>
              <w:ind w:left="0" w:firstLine="0"/>
              <w:jc w:val="left"/>
              <w:rPr>
                <w:rFonts w:ascii="Times New Roman" w:hAnsi="Times New Roman"/>
                <w:b/>
                <w:bCs/>
                <w:color w:val="0000FF"/>
                <w:sz w:val="20"/>
              </w:rPr>
            </w:pPr>
            <w:r w:rsidRPr="00E16672">
              <w:rPr>
                <w:rFonts w:ascii="Times New Roman" w:hAnsi="Times New Roman"/>
                <w:b/>
                <w:color w:val="000000"/>
                <w:sz w:val="18"/>
                <w:szCs w:val="18"/>
                <w:lang w:val="uk-UA"/>
              </w:rPr>
              <w:t>Документ, що підтверджує повноваження особи, яка підписує договір</w:t>
            </w:r>
          </w:p>
        </w:tc>
        <w:tc>
          <w:tcPr>
            <w:tcW w:w="2738" w:type="dxa"/>
            <w:shd w:val="clear" w:color="auto" w:fill="auto"/>
          </w:tcPr>
          <w:p w14:paraId="758EFB48" w14:textId="77777777" w:rsidR="00526269" w:rsidRPr="00E16672" w:rsidRDefault="00526269" w:rsidP="007B7EDC">
            <w:pPr>
              <w:pStyle w:val="6"/>
              <w:widowControl w:val="0"/>
              <w:snapToGrid w:val="0"/>
              <w:ind w:left="0" w:firstLine="0"/>
              <w:jc w:val="left"/>
              <w:rPr>
                <w:rFonts w:ascii="Times New Roman" w:hAnsi="Times New Roman"/>
                <w:bCs/>
                <w:color w:val="0000FF"/>
                <w:sz w:val="18"/>
                <w:szCs w:val="18"/>
              </w:rPr>
            </w:pPr>
          </w:p>
          <w:p w14:paraId="094AE44F" w14:textId="77777777" w:rsidR="00526269" w:rsidRPr="00E16672" w:rsidRDefault="00526269" w:rsidP="007B7EDC">
            <w:pPr>
              <w:pStyle w:val="6"/>
              <w:widowControl w:val="0"/>
              <w:snapToGrid w:val="0"/>
              <w:ind w:left="0" w:firstLine="0"/>
              <w:jc w:val="left"/>
              <w:rPr>
                <w:rFonts w:ascii="Times New Roman" w:hAnsi="Times New Roman"/>
                <w:bCs/>
                <w:color w:val="0000FF"/>
                <w:sz w:val="18"/>
                <w:szCs w:val="18"/>
              </w:rPr>
            </w:pPr>
          </w:p>
          <w:p w14:paraId="19255496" w14:textId="77777777" w:rsidR="00765E37" w:rsidRPr="00E16672" w:rsidDel="00D16973" w:rsidRDefault="007D13ED" w:rsidP="007B7EDC">
            <w:pPr>
              <w:pStyle w:val="6"/>
              <w:widowControl w:val="0"/>
              <w:snapToGrid w:val="0"/>
              <w:ind w:left="0" w:firstLine="0"/>
              <w:jc w:val="left"/>
              <w:rPr>
                <w:rFonts w:ascii="Times New Roman" w:hAnsi="Times New Roman"/>
                <w:bCs/>
                <w:color w:val="0000FF"/>
                <w:sz w:val="18"/>
                <w:szCs w:val="18"/>
              </w:rPr>
            </w:pPr>
            <w:r w:rsidRPr="00E16672">
              <w:rPr>
                <w:rFonts w:ascii="Times New Roman" w:hAnsi="Times New Roman"/>
                <w:bCs/>
                <w:sz w:val="18"/>
                <w:szCs w:val="18"/>
                <w:lang w:val="uk-UA"/>
              </w:rPr>
              <w:t>Статут</w:t>
            </w:r>
          </w:p>
        </w:tc>
      </w:tr>
      <w:tr w:rsidR="00765E37" w:rsidRPr="00E16672" w14:paraId="5291BCA4" w14:textId="77777777" w:rsidTr="00526269">
        <w:tc>
          <w:tcPr>
            <w:tcW w:w="5250" w:type="dxa"/>
            <w:gridSpan w:val="3"/>
            <w:shd w:val="clear" w:color="auto" w:fill="auto"/>
          </w:tcPr>
          <w:p w14:paraId="2C10C534" w14:textId="77777777" w:rsidR="00765E37" w:rsidRPr="00E16672" w:rsidRDefault="00765E37" w:rsidP="007B7EDC">
            <w:pPr>
              <w:snapToGrid w:val="0"/>
              <w:ind w:firstLine="6"/>
              <w:rPr>
                <w:rFonts w:ascii="Times New Roman" w:hAnsi="Times New Roman"/>
                <w:b/>
                <w:bCs/>
                <w:i/>
                <w:iCs/>
                <w:color w:val="000000"/>
                <w:sz w:val="18"/>
                <w:szCs w:val="18"/>
              </w:rPr>
            </w:pPr>
          </w:p>
        </w:tc>
        <w:tc>
          <w:tcPr>
            <w:tcW w:w="236" w:type="dxa"/>
            <w:shd w:val="clear" w:color="auto" w:fill="auto"/>
          </w:tcPr>
          <w:p w14:paraId="1A6A2087" w14:textId="77777777" w:rsidR="00765E37" w:rsidRPr="00E16672" w:rsidRDefault="00765E37" w:rsidP="007B7EDC">
            <w:pPr>
              <w:snapToGrid w:val="0"/>
              <w:rPr>
                <w:rFonts w:ascii="Times New Roman" w:hAnsi="Times New Roman"/>
                <w:color w:val="000000"/>
                <w:sz w:val="18"/>
                <w:szCs w:val="18"/>
              </w:rPr>
            </w:pPr>
          </w:p>
        </w:tc>
        <w:tc>
          <w:tcPr>
            <w:tcW w:w="5475" w:type="dxa"/>
            <w:gridSpan w:val="3"/>
            <w:shd w:val="clear" w:color="auto" w:fill="auto"/>
          </w:tcPr>
          <w:p w14:paraId="746E9D34" w14:textId="77777777" w:rsidR="00765E37" w:rsidRPr="00E16672" w:rsidRDefault="00765E37" w:rsidP="007B7EDC">
            <w:pPr>
              <w:snapToGrid w:val="0"/>
              <w:rPr>
                <w:rFonts w:ascii="Times New Roman" w:hAnsi="Times New Roman"/>
                <w:color w:val="000000"/>
                <w:sz w:val="18"/>
                <w:szCs w:val="18"/>
              </w:rPr>
            </w:pPr>
          </w:p>
        </w:tc>
      </w:tr>
      <w:tr w:rsidR="00765E37" w:rsidRPr="00E16672" w14:paraId="1D49D422" w14:textId="77777777" w:rsidTr="00526269">
        <w:tc>
          <w:tcPr>
            <w:tcW w:w="2394" w:type="dxa"/>
            <w:shd w:val="clear" w:color="auto" w:fill="auto"/>
          </w:tcPr>
          <w:p w14:paraId="3BFEB705" w14:textId="77777777" w:rsidR="00765E37" w:rsidRPr="00E16672" w:rsidRDefault="00765E37" w:rsidP="007B7EDC">
            <w:pPr>
              <w:snapToGrid w:val="0"/>
              <w:ind w:firstLine="6"/>
              <w:rPr>
                <w:rFonts w:ascii="Times New Roman" w:hAnsi="Times New Roman"/>
                <w:b/>
                <w:bCs/>
                <w:i/>
                <w:iCs/>
                <w:color w:val="000000"/>
                <w:sz w:val="18"/>
                <w:szCs w:val="18"/>
                <w:lang w:val="en-US"/>
              </w:rPr>
            </w:pPr>
            <w:r w:rsidRPr="00E16672">
              <w:rPr>
                <w:rFonts w:ascii="Times New Roman" w:hAnsi="Times New Roman"/>
                <w:b/>
                <w:bCs/>
                <w:i/>
                <w:iCs/>
                <w:color w:val="000000"/>
                <w:sz w:val="18"/>
                <w:szCs w:val="18"/>
                <w:lang w:val="en-US"/>
              </w:rPr>
              <w:t>E-mail</w:t>
            </w:r>
          </w:p>
        </w:tc>
        <w:tc>
          <w:tcPr>
            <w:tcW w:w="2856" w:type="dxa"/>
            <w:gridSpan w:val="2"/>
            <w:shd w:val="clear" w:color="auto" w:fill="auto"/>
          </w:tcPr>
          <w:p w14:paraId="35C013AF" w14:textId="77777777" w:rsidR="00765E37" w:rsidRPr="00E16672" w:rsidRDefault="00765E37" w:rsidP="007B7EDC">
            <w:pPr>
              <w:snapToGrid w:val="0"/>
              <w:ind w:firstLine="6"/>
              <w:rPr>
                <w:rFonts w:ascii="Times New Roman" w:hAnsi="Times New Roman"/>
                <w:color w:val="000000"/>
                <w:sz w:val="18"/>
                <w:szCs w:val="18"/>
                <w:lang w:val="en-US"/>
              </w:rPr>
            </w:pPr>
          </w:p>
        </w:tc>
        <w:tc>
          <w:tcPr>
            <w:tcW w:w="236" w:type="dxa"/>
            <w:shd w:val="clear" w:color="auto" w:fill="auto"/>
          </w:tcPr>
          <w:p w14:paraId="24BFE463" w14:textId="77777777" w:rsidR="00765E37" w:rsidRPr="00E16672" w:rsidRDefault="00765E37" w:rsidP="007B7EDC">
            <w:pPr>
              <w:snapToGrid w:val="0"/>
              <w:rPr>
                <w:rFonts w:ascii="Times New Roman" w:hAnsi="Times New Roman"/>
                <w:color w:val="000000"/>
                <w:sz w:val="18"/>
                <w:szCs w:val="18"/>
              </w:rPr>
            </w:pPr>
          </w:p>
        </w:tc>
        <w:tc>
          <w:tcPr>
            <w:tcW w:w="2720" w:type="dxa"/>
            <w:shd w:val="clear" w:color="auto" w:fill="auto"/>
          </w:tcPr>
          <w:p w14:paraId="70A96C33" w14:textId="77777777" w:rsidR="00765E37" w:rsidRPr="00E16672" w:rsidRDefault="00765E37" w:rsidP="00526269">
            <w:pPr>
              <w:snapToGrid w:val="0"/>
              <w:ind w:firstLine="6"/>
              <w:jc w:val="left"/>
              <w:rPr>
                <w:rFonts w:ascii="Times New Roman" w:hAnsi="Times New Roman"/>
                <w:b/>
                <w:bCs/>
                <w:i/>
                <w:iCs/>
                <w:color w:val="000000"/>
                <w:sz w:val="18"/>
                <w:szCs w:val="18"/>
                <w:lang w:val="en-US"/>
              </w:rPr>
            </w:pPr>
            <w:r w:rsidRPr="00E16672">
              <w:rPr>
                <w:rFonts w:ascii="Times New Roman" w:hAnsi="Times New Roman"/>
                <w:b/>
                <w:bCs/>
                <w:i/>
                <w:iCs/>
                <w:color w:val="000000"/>
                <w:sz w:val="18"/>
                <w:szCs w:val="18"/>
                <w:lang w:val="en-US"/>
              </w:rPr>
              <w:t>E-mail</w:t>
            </w:r>
          </w:p>
        </w:tc>
        <w:tc>
          <w:tcPr>
            <w:tcW w:w="2755" w:type="dxa"/>
            <w:gridSpan w:val="2"/>
            <w:shd w:val="clear" w:color="auto" w:fill="auto"/>
          </w:tcPr>
          <w:p w14:paraId="2EA8D03F" w14:textId="77777777" w:rsidR="00765E37" w:rsidRPr="00E16672" w:rsidRDefault="00622BEB" w:rsidP="00526269">
            <w:pPr>
              <w:pStyle w:val="6"/>
              <w:widowControl w:val="0"/>
              <w:snapToGrid w:val="0"/>
              <w:ind w:left="0" w:firstLine="0"/>
              <w:jc w:val="left"/>
              <w:rPr>
                <w:rFonts w:ascii="Times New Roman" w:hAnsi="Times New Roman"/>
                <w:bCs/>
                <w:sz w:val="18"/>
                <w:szCs w:val="18"/>
                <w:lang w:val="uk-UA"/>
              </w:rPr>
            </w:pPr>
            <w:r>
              <w:rPr>
                <w:rFonts w:ascii="Times New Roman" w:hAnsi="Times New Roman"/>
                <w:bCs/>
                <w:sz w:val="18"/>
                <w:szCs w:val="18"/>
                <w:lang w:val="uk-UA"/>
              </w:rPr>
              <w:t>custody@comex.com.ua</w:t>
            </w:r>
          </w:p>
        </w:tc>
      </w:tr>
      <w:tr w:rsidR="00765E37" w:rsidRPr="00E16672" w14:paraId="154356B1" w14:textId="77777777" w:rsidTr="00526269">
        <w:tc>
          <w:tcPr>
            <w:tcW w:w="2394" w:type="dxa"/>
            <w:shd w:val="clear" w:color="auto" w:fill="auto"/>
          </w:tcPr>
          <w:p w14:paraId="345BEEA0" w14:textId="77777777" w:rsidR="00765E37" w:rsidRPr="00E16672" w:rsidRDefault="00765E37" w:rsidP="007B7EDC">
            <w:pPr>
              <w:pStyle w:val="6"/>
              <w:numPr>
                <w:ilvl w:val="0"/>
                <w:numId w:val="0"/>
              </w:numPr>
              <w:snapToGrid w:val="0"/>
              <w:ind w:right="4"/>
              <w:jc w:val="left"/>
              <w:rPr>
                <w:rFonts w:ascii="Times New Roman" w:hAnsi="Times New Roman"/>
                <w:b/>
                <w:i/>
                <w:color w:val="000000"/>
                <w:sz w:val="18"/>
                <w:szCs w:val="18"/>
                <w:lang w:val="uk-UA"/>
              </w:rPr>
            </w:pPr>
            <w:r w:rsidRPr="00E16672">
              <w:rPr>
                <w:rFonts w:ascii="Times New Roman" w:hAnsi="Times New Roman"/>
                <w:b/>
                <w:i/>
                <w:color w:val="000000"/>
                <w:sz w:val="18"/>
                <w:szCs w:val="18"/>
                <w:lang w:val="uk-UA"/>
              </w:rPr>
              <w:t xml:space="preserve">Телефон </w:t>
            </w:r>
          </w:p>
        </w:tc>
        <w:tc>
          <w:tcPr>
            <w:tcW w:w="2856" w:type="dxa"/>
            <w:gridSpan w:val="2"/>
            <w:shd w:val="clear" w:color="auto" w:fill="auto"/>
          </w:tcPr>
          <w:p w14:paraId="45DE3489" w14:textId="77777777" w:rsidR="00765E37" w:rsidRPr="00E16672" w:rsidRDefault="00765E37" w:rsidP="007B7EDC">
            <w:pPr>
              <w:pStyle w:val="6"/>
              <w:numPr>
                <w:ilvl w:val="0"/>
                <w:numId w:val="0"/>
              </w:numPr>
              <w:snapToGrid w:val="0"/>
              <w:ind w:right="4"/>
              <w:jc w:val="left"/>
              <w:rPr>
                <w:rFonts w:ascii="Times New Roman" w:hAnsi="Times New Roman"/>
                <w:color w:val="000000"/>
                <w:sz w:val="18"/>
                <w:szCs w:val="18"/>
                <w:lang w:val="uk-UA"/>
              </w:rPr>
            </w:pPr>
          </w:p>
        </w:tc>
        <w:tc>
          <w:tcPr>
            <w:tcW w:w="236" w:type="dxa"/>
            <w:shd w:val="clear" w:color="auto" w:fill="auto"/>
          </w:tcPr>
          <w:p w14:paraId="78923F63" w14:textId="77777777" w:rsidR="00765E37" w:rsidRPr="00E16672" w:rsidRDefault="00765E37" w:rsidP="007B7EDC">
            <w:pPr>
              <w:snapToGrid w:val="0"/>
              <w:rPr>
                <w:rFonts w:ascii="Times New Roman" w:hAnsi="Times New Roman"/>
                <w:color w:val="000000"/>
                <w:sz w:val="18"/>
                <w:szCs w:val="18"/>
              </w:rPr>
            </w:pPr>
          </w:p>
        </w:tc>
        <w:tc>
          <w:tcPr>
            <w:tcW w:w="2720" w:type="dxa"/>
            <w:shd w:val="clear" w:color="auto" w:fill="auto"/>
          </w:tcPr>
          <w:p w14:paraId="1D96AE15" w14:textId="77777777" w:rsidR="00765E37" w:rsidRPr="00E16672" w:rsidRDefault="00765E37" w:rsidP="00526269">
            <w:pPr>
              <w:snapToGrid w:val="0"/>
              <w:ind w:firstLine="0"/>
              <w:jc w:val="left"/>
              <w:rPr>
                <w:rFonts w:ascii="Times New Roman" w:hAnsi="Times New Roman"/>
                <w:b/>
                <w:i/>
                <w:color w:val="000000"/>
                <w:sz w:val="18"/>
                <w:szCs w:val="18"/>
              </w:rPr>
            </w:pPr>
            <w:r w:rsidRPr="00E16672">
              <w:rPr>
                <w:rFonts w:ascii="Times New Roman" w:hAnsi="Times New Roman"/>
                <w:b/>
                <w:i/>
                <w:color w:val="000000"/>
                <w:sz w:val="18"/>
                <w:szCs w:val="18"/>
              </w:rPr>
              <w:t>Телефон</w:t>
            </w:r>
          </w:p>
        </w:tc>
        <w:tc>
          <w:tcPr>
            <w:tcW w:w="2755" w:type="dxa"/>
            <w:gridSpan w:val="2"/>
            <w:shd w:val="clear" w:color="auto" w:fill="auto"/>
          </w:tcPr>
          <w:p w14:paraId="38A10B82" w14:textId="77777777" w:rsidR="00765E37" w:rsidRPr="00E16672" w:rsidRDefault="00622BEB" w:rsidP="00526269">
            <w:pPr>
              <w:snapToGrid w:val="0"/>
              <w:ind w:firstLine="0"/>
              <w:jc w:val="left"/>
              <w:rPr>
                <w:rFonts w:ascii="Times New Roman" w:hAnsi="Times New Roman"/>
                <w:bCs/>
                <w:sz w:val="18"/>
                <w:szCs w:val="18"/>
                <w:lang w:val="uk-UA"/>
              </w:rPr>
            </w:pPr>
            <w:r>
              <w:rPr>
                <w:rFonts w:ascii="Times New Roman" w:hAnsi="Times New Roman"/>
                <w:bCs/>
                <w:sz w:val="18"/>
                <w:szCs w:val="18"/>
                <w:lang w:val="uk-UA"/>
              </w:rPr>
              <w:t>044 502 65 73</w:t>
            </w:r>
          </w:p>
        </w:tc>
      </w:tr>
      <w:tr w:rsidR="00765E37" w:rsidRPr="00E16672" w14:paraId="005F5351" w14:textId="77777777" w:rsidTr="00526269">
        <w:trPr>
          <w:trHeight w:val="199"/>
        </w:trPr>
        <w:tc>
          <w:tcPr>
            <w:tcW w:w="2394" w:type="dxa"/>
            <w:shd w:val="clear" w:color="auto" w:fill="auto"/>
          </w:tcPr>
          <w:p w14:paraId="53617D52" w14:textId="12CBCCB0" w:rsidR="00765E37" w:rsidRPr="00E16672" w:rsidRDefault="00765E37" w:rsidP="007B7EDC">
            <w:pPr>
              <w:snapToGrid w:val="0"/>
              <w:ind w:firstLine="6"/>
              <w:rPr>
                <w:rFonts w:ascii="Times New Roman" w:hAnsi="Times New Roman"/>
                <w:b/>
                <w:bCs/>
                <w:i/>
                <w:iCs/>
                <w:color w:val="000000"/>
                <w:sz w:val="18"/>
                <w:szCs w:val="18"/>
                <w:lang w:val="uk-UA"/>
              </w:rPr>
            </w:pPr>
          </w:p>
        </w:tc>
        <w:tc>
          <w:tcPr>
            <w:tcW w:w="2856" w:type="dxa"/>
            <w:gridSpan w:val="2"/>
            <w:shd w:val="clear" w:color="auto" w:fill="auto"/>
          </w:tcPr>
          <w:p w14:paraId="5E119565" w14:textId="77777777" w:rsidR="00765E37" w:rsidRPr="00E16672" w:rsidRDefault="00765E37" w:rsidP="007B7EDC">
            <w:pPr>
              <w:snapToGrid w:val="0"/>
              <w:ind w:firstLine="6"/>
              <w:rPr>
                <w:rFonts w:ascii="Times New Roman" w:hAnsi="Times New Roman"/>
                <w:color w:val="000000"/>
                <w:sz w:val="18"/>
                <w:szCs w:val="18"/>
              </w:rPr>
            </w:pPr>
          </w:p>
        </w:tc>
        <w:tc>
          <w:tcPr>
            <w:tcW w:w="236" w:type="dxa"/>
            <w:shd w:val="clear" w:color="auto" w:fill="auto"/>
          </w:tcPr>
          <w:p w14:paraId="639D1F07" w14:textId="77777777" w:rsidR="00765E37" w:rsidRPr="00E16672" w:rsidRDefault="00765E37" w:rsidP="007B7EDC">
            <w:pPr>
              <w:snapToGrid w:val="0"/>
              <w:rPr>
                <w:rFonts w:ascii="Times New Roman" w:hAnsi="Times New Roman"/>
                <w:color w:val="000000"/>
                <w:sz w:val="18"/>
                <w:szCs w:val="18"/>
              </w:rPr>
            </w:pPr>
          </w:p>
        </w:tc>
        <w:tc>
          <w:tcPr>
            <w:tcW w:w="2720" w:type="dxa"/>
            <w:shd w:val="clear" w:color="auto" w:fill="auto"/>
          </w:tcPr>
          <w:p w14:paraId="1DBC397E" w14:textId="2F7847C4" w:rsidR="00765E37" w:rsidRPr="00E16672" w:rsidRDefault="00765E37" w:rsidP="00526269">
            <w:pPr>
              <w:snapToGrid w:val="0"/>
              <w:ind w:firstLine="0"/>
              <w:jc w:val="left"/>
              <w:rPr>
                <w:rFonts w:ascii="Times New Roman" w:hAnsi="Times New Roman"/>
                <w:color w:val="000000"/>
                <w:sz w:val="18"/>
                <w:szCs w:val="18"/>
              </w:rPr>
            </w:pPr>
          </w:p>
        </w:tc>
        <w:tc>
          <w:tcPr>
            <w:tcW w:w="2755" w:type="dxa"/>
            <w:gridSpan w:val="2"/>
            <w:shd w:val="clear" w:color="auto" w:fill="auto"/>
          </w:tcPr>
          <w:p w14:paraId="58F66A78" w14:textId="77777777" w:rsidR="00765E37" w:rsidRPr="00E16672" w:rsidRDefault="00765E37" w:rsidP="00526269">
            <w:pPr>
              <w:snapToGrid w:val="0"/>
              <w:jc w:val="left"/>
              <w:rPr>
                <w:rFonts w:ascii="Times New Roman" w:hAnsi="Times New Roman"/>
                <w:bCs/>
                <w:sz w:val="18"/>
                <w:szCs w:val="18"/>
                <w:lang w:val="en-US"/>
              </w:rPr>
            </w:pPr>
          </w:p>
        </w:tc>
      </w:tr>
      <w:tr w:rsidR="00765E37" w:rsidRPr="00E16672" w14:paraId="71638226" w14:textId="77777777" w:rsidTr="00526269">
        <w:tc>
          <w:tcPr>
            <w:tcW w:w="2394" w:type="dxa"/>
            <w:shd w:val="clear" w:color="auto" w:fill="auto"/>
          </w:tcPr>
          <w:p w14:paraId="640BF61B" w14:textId="77777777" w:rsidR="00765E37" w:rsidRPr="00E16672" w:rsidRDefault="00765E37" w:rsidP="007B7EDC">
            <w:pPr>
              <w:snapToGrid w:val="0"/>
              <w:ind w:firstLine="6"/>
              <w:rPr>
                <w:rFonts w:ascii="Times New Roman" w:hAnsi="Times New Roman"/>
                <w:b/>
                <w:bCs/>
                <w:i/>
                <w:iCs/>
                <w:color w:val="000000"/>
                <w:sz w:val="18"/>
                <w:szCs w:val="18"/>
              </w:rPr>
            </w:pPr>
          </w:p>
        </w:tc>
        <w:tc>
          <w:tcPr>
            <w:tcW w:w="2856" w:type="dxa"/>
            <w:gridSpan w:val="2"/>
            <w:shd w:val="clear" w:color="auto" w:fill="auto"/>
          </w:tcPr>
          <w:p w14:paraId="39ED660B" w14:textId="77777777" w:rsidR="00765E37" w:rsidRPr="00E16672" w:rsidRDefault="00765E37" w:rsidP="007B7EDC">
            <w:pPr>
              <w:snapToGrid w:val="0"/>
              <w:ind w:firstLine="6"/>
              <w:rPr>
                <w:rFonts w:ascii="Times New Roman" w:hAnsi="Times New Roman"/>
                <w:color w:val="000000"/>
                <w:sz w:val="18"/>
                <w:szCs w:val="18"/>
              </w:rPr>
            </w:pPr>
          </w:p>
        </w:tc>
        <w:tc>
          <w:tcPr>
            <w:tcW w:w="236" w:type="dxa"/>
            <w:shd w:val="clear" w:color="auto" w:fill="auto"/>
          </w:tcPr>
          <w:p w14:paraId="63707C00" w14:textId="77777777" w:rsidR="00765E37" w:rsidRPr="00E16672" w:rsidRDefault="00765E37" w:rsidP="007B7EDC">
            <w:pPr>
              <w:snapToGrid w:val="0"/>
              <w:rPr>
                <w:rFonts w:ascii="Times New Roman" w:hAnsi="Times New Roman"/>
                <w:color w:val="000000"/>
                <w:sz w:val="18"/>
                <w:szCs w:val="18"/>
              </w:rPr>
            </w:pPr>
          </w:p>
        </w:tc>
        <w:tc>
          <w:tcPr>
            <w:tcW w:w="2737" w:type="dxa"/>
            <w:gridSpan w:val="2"/>
            <w:shd w:val="clear" w:color="auto" w:fill="auto"/>
          </w:tcPr>
          <w:p w14:paraId="6D51FB31" w14:textId="77777777" w:rsidR="00526269" w:rsidRPr="00E16672" w:rsidRDefault="00526269" w:rsidP="00526269">
            <w:pPr>
              <w:snapToGrid w:val="0"/>
              <w:ind w:firstLine="0"/>
              <w:jc w:val="left"/>
              <w:rPr>
                <w:rFonts w:ascii="Times New Roman" w:hAnsi="Times New Roman"/>
                <w:b/>
                <w:i/>
                <w:color w:val="000000"/>
                <w:sz w:val="18"/>
                <w:szCs w:val="18"/>
                <w:lang w:val="uk-UA"/>
              </w:rPr>
            </w:pPr>
          </w:p>
          <w:p w14:paraId="7D1E75EB" w14:textId="77777777" w:rsidR="00765E37" w:rsidRPr="00E16672" w:rsidRDefault="00765E37" w:rsidP="00526269">
            <w:pPr>
              <w:snapToGrid w:val="0"/>
              <w:ind w:firstLine="0"/>
              <w:jc w:val="left"/>
              <w:rPr>
                <w:rFonts w:ascii="Times New Roman" w:hAnsi="Times New Roman"/>
                <w:b/>
                <w:i/>
                <w:color w:val="000000"/>
                <w:sz w:val="18"/>
                <w:szCs w:val="18"/>
              </w:rPr>
            </w:pPr>
            <w:r w:rsidRPr="00E16672">
              <w:rPr>
                <w:rFonts w:ascii="Times New Roman" w:hAnsi="Times New Roman"/>
                <w:b/>
                <w:i/>
                <w:color w:val="000000"/>
                <w:sz w:val="18"/>
                <w:szCs w:val="18"/>
                <w:lang w:val="uk-UA"/>
              </w:rPr>
              <w:t xml:space="preserve">Ліцензія депозитарної установи </w:t>
            </w:r>
            <w:r w:rsidRPr="00E16672">
              <w:rPr>
                <w:rFonts w:ascii="Times New Roman" w:hAnsi="Times New Roman"/>
                <w:i/>
                <w:color w:val="000000"/>
                <w:sz w:val="18"/>
                <w:szCs w:val="18"/>
                <w:lang w:val="uk-UA"/>
              </w:rPr>
              <w:t>(серія, номер, дата видачі)</w:t>
            </w:r>
          </w:p>
        </w:tc>
        <w:tc>
          <w:tcPr>
            <w:tcW w:w="2738" w:type="dxa"/>
            <w:shd w:val="clear" w:color="auto" w:fill="auto"/>
          </w:tcPr>
          <w:p w14:paraId="149EA099" w14:textId="77777777" w:rsidR="00526269" w:rsidRPr="00E16672" w:rsidRDefault="00526269" w:rsidP="001456E9">
            <w:pPr>
              <w:snapToGrid w:val="0"/>
              <w:ind w:firstLine="0"/>
              <w:rPr>
                <w:rFonts w:ascii="Times New Roman" w:hAnsi="Times New Roman"/>
                <w:bCs/>
                <w:sz w:val="18"/>
                <w:szCs w:val="18"/>
              </w:rPr>
            </w:pPr>
          </w:p>
          <w:p w14:paraId="2483DA89" w14:textId="77777777" w:rsidR="00765E37" w:rsidRPr="00E16672" w:rsidDel="00D16973" w:rsidRDefault="00DA694A" w:rsidP="001456E9">
            <w:pPr>
              <w:snapToGrid w:val="0"/>
              <w:ind w:firstLine="0"/>
              <w:rPr>
                <w:rFonts w:ascii="Times New Roman" w:hAnsi="Times New Roman"/>
                <w:bCs/>
                <w:sz w:val="18"/>
                <w:szCs w:val="18"/>
                <w:lang w:val="uk-UA"/>
              </w:rPr>
            </w:pPr>
            <w:r w:rsidRPr="00E16672">
              <w:rPr>
                <w:rFonts w:ascii="Times New Roman" w:hAnsi="Times New Roman"/>
                <w:bCs/>
                <w:sz w:val="18"/>
                <w:szCs w:val="18"/>
                <w:lang w:val="uk-UA"/>
              </w:rPr>
              <w:t xml:space="preserve">АЕ </w:t>
            </w:r>
            <w:r w:rsidR="00E16672" w:rsidRPr="00E16672">
              <w:rPr>
                <w:rFonts w:ascii="Times New Roman" w:hAnsi="Times New Roman"/>
                <w:bCs/>
                <w:sz w:val="18"/>
                <w:szCs w:val="18"/>
                <w:lang w:val="uk-UA"/>
              </w:rPr>
              <w:t>263429</w:t>
            </w:r>
            <w:r w:rsidRPr="00E16672">
              <w:rPr>
                <w:rFonts w:ascii="Times New Roman" w:hAnsi="Times New Roman"/>
                <w:bCs/>
                <w:sz w:val="18"/>
                <w:szCs w:val="18"/>
                <w:lang w:val="uk-UA"/>
              </w:rPr>
              <w:t xml:space="preserve">, </w:t>
            </w:r>
            <w:r w:rsidR="00E16672" w:rsidRPr="00E16672">
              <w:rPr>
                <w:rFonts w:ascii="Times New Roman" w:hAnsi="Times New Roman"/>
                <w:bCs/>
                <w:sz w:val="18"/>
                <w:szCs w:val="18"/>
                <w:lang w:val="uk-UA"/>
              </w:rPr>
              <w:t>01.10.2013</w:t>
            </w:r>
            <w:r w:rsidRPr="00E16672">
              <w:rPr>
                <w:rFonts w:ascii="Times New Roman" w:hAnsi="Times New Roman"/>
                <w:bCs/>
                <w:sz w:val="18"/>
                <w:szCs w:val="18"/>
                <w:lang w:val="uk-UA"/>
              </w:rPr>
              <w:t xml:space="preserve"> р.</w:t>
            </w:r>
          </w:p>
        </w:tc>
      </w:tr>
    </w:tbl>
    <w:p w14:paraId="1184D77B" w14:textId="77777777" w:rsidR="00765E37" w:rsidRPr="00E16672" w:rsidRDefault="00765E37" w:rsidP="00765E37">
      <w:pPr>
        <w:tabs>
          <w:tab w:val="left" w:pos="3403"/>
        </w:tabs>
        <w:ind w:left="1843" w:hanging="1395"/>
        <w:jc w:val="center"/>
        <w:rPr>
          <w:rFonts w:ascii="Times New Roman" w:hAnsi="Times New Roman"/>
          <w:color w:val="000000"/>
        </w:rPr>
      </w:pPr>
    </w:p>
    <w:tbl>
      <w:tblPr>
        <w:tblW w:w="0" w:type="auto"/>
        <w:tblInd w:w="-67" w:type="dxa"/>
        <w:tblLayout w:type="fixed"/>
        <w:tblLook w:val="0000" w:firstRow="0" w:lastRow="0" w:firstColumn="0" w:lastColumn="0" w:noHBand="0" w:noVBand="0"/>
      </w:tblPr>
      <w:tblGrid>
        <w:gridCol w:w="250"/>
        <w:gridCol w:w="1491"/>
        <w:gridCol w:w="3505"/>
        <w:gridCol w:w="17"/>
        <w:gridCol w:w="100"/>
        <w:gridCol w:w="333"/>
        <w:gridCol w:w="104"/>
        <w:gridCol w:w="1463"/>
        <w:gridCol w:w="206"/>
        <w:gridCol w:w="43"/>
        <w:gridCol w:w="3313"/>
        <w:gridCol w:w="175"/>
        <w:gridCol w:w="190"/>
      </w:tblGrid>
      <w:tr w:rsidR="00765E37" w:rsidRPr="00E16672" w14:paraId="7E0DC9E7" w14:textId="77777777" w:rsidTr="00D77858">
        <w:trPr>
          <w:gridBefore w:val="1"/>
          <w:gridAfter w:val="1"/>
          <w:wBefore w:w="250" w:type="dxa"/>
          <w:wAfter w:w="190" w:type="dxa"/>
        </w:trPr>
        <w:tc>
          <w:tcPr>
            <w:tcW w:w="5550" w:type="dxa"/>
            <w:gridSpan w:val="6"/>
            <w:shd w:val="clear" w:color="auto" w:fill="auto"/>
          </w:tcPr>
          <w:p w14:paraId="304B3DE9" w14:textId="77777777" w:rsidR="00765E37" w:rsidRPr="00E16672" w:rsidRDefault="00765E37" w:rsidP="007B7EDC">
            <w:pPr>
              <w:tabs>
                <w:tab w:val="left" w:pos="1560"/>
              </w:tabs>
              <w:snapToGrid w:val="0"/>
              <w:ind w:left="1843" w:hanging="1395"/>
              <w:rPr>
                <w:rFonts w:ascii="Times New Roman" w:hAnsi="Times New Roman"/>
                <w:b/>
                <w:bCs/>
                <w:color w:val="000000"/>
                <w:sz w:val="18"/>
                <w:szCs w:val="18"/>
                <w:lang w:val="uk-UA"/>
              </w:rPr>
            </w:pPr>
          </w:p>
          <w:p w14:paraId="5192DE46" w14:textId="77777777" w:rsidR="00526269" w:rsidRPr="00E16672" w:rsidRDefault="00526269" w:rsidP="007B7EDC">
            <w:pPr>
              <w:tabs>
                <w:tab w:val="left" w:pos="1560"/>
              </w:tabs>
              <w:snapToGrid w:val="0"/>
              <w:ind w:hanging="40"/>
              <w:rPr>
                <w:rFonts w:ascii="Times New Roman" w:hAnsi="Times New Roman"/>
                <w:b/>
                <w:bCs/>
                <w:color w:val="000000"/>
                <w:sz w:val="18"/>
                <w:szCs w:val="18"/>
                <w:lang w:val="uk-UA"/>
              </w:rPr>
            </w:pPr>
          </w:p>
          <w:p w14:paraId="0533976F" w14:textId="7EAD0E0F" w:rsidR="00765E37" w:rsidRPr="00E16672" w:rsidRDefault="00765E37" w:rsidP="007B7EDC">
            <w:pPr>
              <w:tabs>
                <w:tab w:val="left" w:pos="1560"/>
              </w:tabs>
              <w:snapToGrid w:val="0"/>
              <w:ind w:hanging="40"/>
              <w:rPr>
                <w:rFonts w:ascii="Times New Roman" w:hAnsi="Times New Roman"/>
                <w:b/>
                <w:bCs/>
                <w:color w:val="000000"/>
                <w:sz w:val="18"/>
                <w:szCs w:val="18"/>
              </w:rPr>
            </w:pPr>
            <w:r w:rsidRPr="00E16672">
              <w:rPr>
                <w:rFonts w:ascii="Times New Roman" w:hAnsi="Times New Roman"/>
                <w:b/>
                <w:bCs/>
                <w:color w:val="000000"/>
                <w:sz w:val="18"/>
                <w:szCs w:val="18"/>
                <w:lang w:val="uk-UA"/>
              </w:rPr>
              <w:t>ДЕПОНЕНТ</w:t>
            </w:r>
            <w:r w:rsidR="00783D04">
              <w:rPr>
                <w:rFonts w:ascii="Times New Roman" w:hAnsi="Times New Roman"/>
                <w:b/>
                <w:bCs/>
                <w:color w:val="000000"/>
                <w:sz w:val="18"/>
                <w:szCs w:val="18"/>
                <w:lang w:val="uk-UA"/>
              </w:rPr>
              <w:t xml:space="preserve"> / </w:t>
            </w:r>
            <w:r w:rsidR="00783D04" w:rsidRPr="00783D04">
              <w:rPr>
                <w:rFonts w:ascii="Times New Roman" w:hAnsi="Times New Roman"/>
                <w:b/>
                <w:bCs/>
                <w:color w:val="000000"/>
                <w:sz w:val="18"/>
                <w:szCs w:val="18"/>
                <w:lang w:val="uk-UA"/>
              </w:rPr>
              <w:t>Уповноважена особа</w:t>
            </w:r>
            <w:r w:rsidRPr="00E16672">
              <w:rPr>
                <w:rFonts w:ascii="Times New Roman" w:hAnsi="Times New Roman"/>
                <w:b/>
                <w:bCs/>
                <w:color w:val="000000"/>
                <w:sz w:val="18"/>
                <w:szCs w:val="18"/>
              </w:rPr>
              <w:t>:</w:t>
            </w:r>
            <w:r w:rsidRPr="00E16672">
              <w:rPr>
                <w:rFonts w:ascii="Times New Roman" w:hAnsi="Times New Roman"/>
                <w:b/>
                <w:bCs/>
                <w:color w:val="000000"/>
                <w:sz w:val="18"/>
                <w:szCs w:val="18"/>
              </w:rPr>
              <w:tab/>
            </w:r>
          </w:p>
          <w:p w14:paraId="274525DD" w14:textId="77777777" w:rsidR="00765E37" w:rsidRPr="00E16672" w:rsidRDefault="00765E37" w:rsidP="007B7EDC">
            <w:pPr>
              <w:tabs>
                <w:tab w:val="left" w:pos="1560"/>
              </w:tabs>
              <w:snapToGrid w:val="0"/>
              <w:ind w:left="1843" w:hanging="1395"/>
              <w:rPr>
                <w:rFonts w:ascii="Times New Roman" w:hAnsi="Times New Roman"/>
                <w:b/>
                <w:bCs/>
                <w:color w:val="000000"/>
                <w:sz w:val="18"/>
                <w:szCs w:val="18"/>
              </w:rPr>
            </w:pPr>
          </w:p>
          <w:p w14:paraId="22CA4D07" w14:textId="77777777" w:rsidR="00765E37" w:rsidRPr="00E16672" w:rsidRDefault="00765E37" w:rsidP="00B7169F">
            <w:pPr>
              <w:tabs>
                <w:tab w:val="left" w:pos="1560"/>
              </w:tabs>
              <w:ind w:firstLine="0"/>
              <w:rPr>
                <w:rFonts w:ascii="Times New Roman" w:hAnsi="Times New Roman"/>
                <w:color w:val="000000"/>
                <w:sz w:val="18"/>
                <w:szCs w:val="18"/>
              </w:rPr>
            </w:pPr>
            <w:r w:rsidRPr="00E16672">
              <w:rPr>
                <w:rFonts w:ascii="Times New Roman" w:hAnsi="Times New Roman"/>
                <w:color w:val="000000"/>
                <w:sz w:val="18"/>
                <w:szCs w:val="18"/>
              </w:rPr>
              <w:t>_</w:t>
            </w:r>
            <w:r w:rsidRPr="00E16672">
              <w:rPr>
                <w:rFonts w:ascii="Times New Roman" w:hAnsi="Times New Roman"/>
                <w:color w:val="000000"/>
                <w:sz w:val="18"/>
                <w:szCs w:val="18"/>
                <w:lang w:val="uk-UA"/>
              </w:rPr>
              <w:t>__</w:t>
            </w:r>
            <w:r w:rsidRPr="00E16672">
              <w:rPr>
                <w:rFonts w:ascii="Times New Roman" w:hAnsi="Times New Roman"/>
                <w:color w:val="000000"/>
                <w:sz w:val="18"/>
                <w:szCs w:val="18"/>
              </w:rPr>
              <w:t>____________________</w:t>
            </w:r>
            <w:r w:rsidR="007373D8" w:rsidRPr="00E16672">
              <w:rPr>
                <w:rFonts w:ascii="Times New Roman" w:hAnsi="Times New Roman"/>
                <w:color w:val="000000"/>
                <w:sz w:val="18"/>
                <w:szCs w:val="18"/>
                <w:lang w:val="uk-UA"/>
              </w:rPr>
              <w:t xml:space="preserve">    </w:t>
            </w:r>
            <w:r w:rsidR="00901A02" w:rsidRPr="00E16672">
              <w:rPr>
                <w:rFonts w:ascii="Times New Roman" w:hAnsi="Times New Roman"/>
                <w:color w:val="000000"/>
                <w:sz w:val="18"/>
                <w:szCs w:val="18"/>
                <w:lang w:val="uk-UA"/>
              </w:rPr>
              <w:t xml:space="preserve"> </w:t>
            </w:r>
            <w:r w:rsidR="007373D8" w:rsidRPr="00E16672">
              <w:rPr>
                <w:rFonts w:ascii="Times New Roman" w:hAnsi="Times New Roman"/>
                <w:color w:val="000000"/>
                <w:sz w:val="18"/>
                <w:szCs w:val="18"/>
                <w:lang w:val="uk-UA"/>
              </w:rPr>
              <w:t xml:space="preserve">  </w:t>
            </w:r>
            <w:r w:rsidRPr="00E16672">
              <w:rPr>
                <w:rFonts w:ascii="Times New Roman" w:hAnsi="Times New Roman"/>
                <w:color w:val="000000"/>
                <w:sz w:val="18"/>
                <w:szCs w:val="18"/>
              </w:rPr>
              <w:t xml:space="preserve">(____________________)   </w:t>
            </w:r>
          </w:p>
          <w:p w14:paraId="45F9D2CB" w14:textId="77777777" w:rsidR="007373D8" w:rsidRPr="00E16672" w:rsidRDefault="00901A02" w:rsidP="007373D8">
            <w:pPr>
              <w:tabs>
                <w:tab w:val="left" w:pos="1560"/>
              </w:tabs>
              <w:ind w:firstLine="0"/>
              <w:rPr>
                <w:rFonts w:ascii="Times New Roman" w:hAnsi="Times New Roman"/>
                <w:color w:val="000000"/>
                <w:sz w:val="14"/>
                <w:szCs w:val="14"/>
                <w:lang w:val="uk-UA"/>
              </w:rPr>
            </w:pPr>
            <w:r w:rsidRPr="00E16672">
              <w:rPr>
                <w:rFonts w:ascii="Times New Roman" w:hAnsi="Times New Roman"/>
                <w:color w:val="000000"/>
                <w:sz w:val="14"/>
                <w:szCs w:val="14"/>
                <w:lang w:val="uk-UA"/>
              </w:rPr>
              <w:t>В</w:t>
            </w:r>
            <w:r w:rsidR="00765E37" w:rsidRPr="00E16672">
              <w:rPr>
                <w:rFonts w:ascii="Times New Roman" w:hAnsi="Times New Roman"/>
                <w:color w:val="000000"/>
                <w:sz w:val="14"/>
                <w:szCs w:val="14"/>
              </w:rPr>
              <w:t>.П</w:t>
            </w:r>
            <w:r w:rsidR="00765E37" w:rsidRPr="00E16672">
              <w:rPr>
                <w:rFonts w:ascii="Times New Roman" w:hAnsi="Times New Roman"/>
                <w:i/>
                <w:color w:val="000000"/>
                <w:sz w:val="14"/>
                <w:szCs w:val="14"/>
              </w:rPr>
              <w:t>.</w:t>
            </w:r>
            <w:r w:rsidR="00765E37" w:rsidRPr="00E16672">
              <w:rPr>
                <w:rFonts w:ascii="Times New Roman" w:hAnsi="Times New Roman"/>
                <w:i/>
                <w:color w:val="000000"/>
                <w:sz w:val="14"/>
                <w:szCs w:val="14"/>
                <w:lang w:val="uk-UA"/>
              </w:rPr>
              <w:t xml:space="preserve"> (у разі використання)</w:t>
            </w:r>
            <w:r w:rsidR="00765E37" w:rsidRPr="00E16672">
              <w:rPr>
                <w:rFonts w:ascii="Times New Roman" w:hAnsi="Times New Roman"/>
                <w:color w:val="000000"/>
                <w:sz w:val="14"/>
                <w:szCs w:val="14"/>
              </w:rPr>
              <w:t xml:space="preserve">, </w:t>
            </w:r>
            <w:r w:rsidR="00765E37" w:rsidRPr="00E16672">
              <w:rPr>
                <w:rFonts w:ascii="Times New Roman" w:hAnsi="Times New Roman"/>
                <w:color w:val="000000"/>
                <w:sz w:val="14"/>
                <w:szCs w:val="14"/>
                <w:lang w:val="uk-UA"/>
              </w:rPr>
              <w:t xml:space="preserve">  </w:t>
            </w:r>
            <w:proofErr w:type="spellStart"/>
            <w:r w:rsidRPr="00E16672">
              <w:rPr>
                <w:rFonts w:ascii="Times New Roman" w:hAnsi="Times New Roman"/>
                <w:color w:val="000000"/>
                <w:sz w:val="14"/>
                <w:szCs w:val="14"/>
              </w:rPr>
              <w:t>підпис</w:t>
            </w:r>
            <w:proofErr w:type="spellEnd"/>
            <w:r w:rsidR="00765E37" w:rsidRPr="00E16672">
              <w:rPr>
                <w:rFonts w:ascii="Times New Roman" w:hAnsi="Times New Roman"/>
                <w:color w:val="000000"/>
                <w:sz w:val="14"/>
                <w:szCs w:val="14"/>
                <w:lang w:val="uk-UA"/>
              </w:rPr>
              <w:t xml:space="preserve">   </w:t>
            </w:r>
            <w:r w:rsidR="007373D8" w:rsidRPr="00E16672">
              <w:rPr>
                <w:rFonts w:ascii="Times New Roman" w:hAnsi="Times New Roman"/>
                <w:color w:val="000000"/>
                <w:sz w:val="14"/>
                <w:szCs w:val="14"/>
                <w:lang w:val="uk-UA"/>
              </w:rPr>
              <w:t xml:space="preserve">      </w:t>
            </w:r>
            <w:r w:rsidR="00765E37" w:rsidRPr="00E16672">
              <w:rPr>
                <w:rFonts w:ascii="Times New Roman" w:hAnsi="Times New Roman"/>
                <w:color w:val="000000"/>
                <w:sz w:val="14"/>
                <w:szCs w:val="14"/>
                <w:lang w:val="uk-UA"/>
              </w:rPr>
              <w:t xml:space="preserve"> Прізвище, ім’я, по батькові</w:t>
            </w:r>
            <w:r w:rsidR="007373D8" w:rsidRPr="00E16672">
              <w:rPr>
                <w:rFonts w:ascii="Times New Roman" w:hAnsi="Times New Roman"/>
                <w:color w:val="000000"/>
                <w:sz w:val="14"/>
                <w:szCs w:val="14"/>
                <w:lang w:val="uk-UA"/>
              </w:rPr>
              <w:t xml:space="preserve"> </w:t>
            </w:r>
            <w:r w:rsidR="007373D8" w:rsidRPr="00E16672">
              <w:rPr>
                <w:rFonts w:ascii="Times New Roman" w:hAnsi="Times New Roman"/>
                <w:i/>
                <w:color w:val="000000"/>
                <w:sz w:val="14"/>
                <w:szCs w:val="14"/>
                <w:lang w:val="uk-UA"/>
              </w:rPr>
              <w:t>(за наявності)</w:t>
            </w:r>
          </w:p>
          <w:p w14:paraId="1C189A01" w14:textId="77777777" w:rsidR="00765E37" w:rsidRPr="00E16672" w:rsidRDefault="00765E37" w:rsidP="00B7169F">
            <w:pPr>
              <w:tabs>
                <w:tab w:val="left" w:pos="1560"/>
              </w:tabs>
              <w:ind w:firstLine="0"/>
              <w:rPr>
                <w:rFonts w:ascii="Times New Roman" w:hAnsi="Times New Roman"/>
                <w:color w:val="000000"/>
                <w:sz w:val="14"/>
                <w:szCs w:val="14"/>
                <w:lang w:val="uk-UA"/>
              </w:rPr>
            </w:pPr>
          </w:p>
          <w:p w14:paraId="76D8CD2F" w14:textId="77777777" w:rsidR="00765E37" w:rsidRPr="00E16672" w:rsidRDefault="00765E37" w:rsidP="007373D8">
            <w:pPr>
              <w:tabs>
                <w:tab w:val="left" w:pos="1560"/>
              </w:tabs>
              <w:ind w:firstLine="0"/>
              <w:rPr>
                <w:rFonts w:ascii="Times New Roman" w:hAnsi="Times New Roman"/>
                <w:b/>
                <w:bCs/>
                <w:color w:val="000000"/>
                <w:sz w:val="18"/>
                <w:szCs w:val="18"/>
              </w:rPr>
            </w:pPr>
            <w:r w:rsidRPr="00E16672">
              <w:rPr>
                <w:rFonts w:ascii="Times New Roman" w:hAnsi="Times New Roman"/>
                <w:color w:val="000000"/>
                <w:sz w:val="14"/>
                <w:szCs w:val="14"/>
                <w:lang w:val="uk-UA"/>
              </w:rPr>
              <w:t xml:space="preserve">                                              </w:t>
            </w:r>
          </w:p>
        </w:tc>
        <w:tc>
          <w:tcPr>
            <w:tcW w:w="5200" w:type="dxa"/>
            <w:gridSpan w:val="5"/>
            <w:shd w:val="clear" w:color="auto" w:fill="auto"/>
          </w:tcPr>
          <w:p w14:paraId="76448672" w14:textId="77777777" w:rsidR="00765E37" w:rsidRPr="00E16672" w:rsidRDefault="00765E37" w:rsidP="007B7EDC">
            <w:pPr>
              <w:tabs>
                <w:tab w:val="left" w:pos="1560"/>
              </w:tabs>
              <w:snapToGrid w:val="0"/>
              <w:rPr>
                <w:rFonts w:ascii="Times New Roman" w:hAnsi="Times New Roman"/>
                <w:b/>
                <w:bCs/>
                <w:color w:val="000000"/>
                <w:sz w:val="18"/>
                <w:szCs w:val="18"/>
                <w:lang w:val="uk-UA"/>
              </w:rPr>
            </w:pPr>
          </w:p>
          <w:p w14:paraId="3DE6C5B7" w14:textId="77777777" w:rsidR="00526269" w:rsidRPr="00E16672" w:rsidRDefault="00526269" w:rsidP="007B7EDC">
            <w:pPr>
              <w:tabs>
                <w:tab w:val="left" w:pos="1560"/>
              </w:tabs>
              <w:snapToGrid w:val="0"/>
              <w:rPr>
                <w:rFonts w:ascii="Times New Roman" w:hAnsi="Times New Roman"/>
                <w:b/>
                <w:bCs/>
                <w:color w:val="000000"/>
                <w:sz w:val="18"/>
                <w:szCs w:val="18"/>
              </w:rPr>
            </w:pPr>
          </w:p>
          <w:p w14:paraId="593BD286" w14:textId="77777777" w:rsidR="00765E37" w:rsidRPr="00E16672" w:rsidRDefault="00765E37" w:rsidP="007B7EDC">
            <w:pPr>
              <w:tabs>
                <w:tab w:val="left" w:pos="1560"/>
              </w:tabs>
              <w:snapToGrid w:val="0"/>
              <w:rPr>
                <w:rFonts w:ascii="Times New Roman" w:hAnsi="Times New Roman"/>
                <w:b/>
                <w:bCs/>
                <w:color w:val="000000"/>
                <w:sz w:val="18"/>
                <w:szCs w:val="18"/>
              </w:rPr>
            </w:pPr>
            <w:r w:rsidRPr="00E16672">
              <w:rPr>
                <w:rFonts w:ascii="Times New Roman" w:hAnsi="Times New Roman"/>
                <w:b/>
                <w:bCs/>
                <w:color w:val="000000"/>
                <w:sz w:val="18"/>
                <w:szCs w:val="18"/>
              </w:rPr>
              <w:t xml:space="preserve">ДЕПОЗИТАРНА УСТАНОВА:   </w:t>
            </w:r>
          </w:p>
          <w:p w14:paraId="67083EBC" w14:textId="77777777" w:rsidR="00765E37" w:rsidRPr="00E16672" w:rsidRDefault="00765E37" w:rsidP="007B7EDC">
            <w:pPr>
              <w:tabs>
                <w:tab w:val="left" w:pos="1560"/>
              </w:tabs>
              <w:snapToGrid w:val="0"/>
              <w:rPr>
                <w:rFonts w:ascii="Times New Roman" w:hAnsi="Times New Roman"/>
                <w:color w:val="000000"/>
                <w:sz w:val="18"/>
                <w:szCs w:val="18"/>
              </w:rPr>
            </w:pPr>
          </w:p>
          <w:p w14:paraId="425BAD41" w14:textId="77777777" w:rsidR="00901A02" w:rsidRPr="00E16672" w:rsidRDefault="00765E37" w:rsidP="00B7169F">
            <w:pPr>
              <w:tabs>
                <w:tab w:val="left" w:pos="1560"/>
              </w:tabs>
              <w:snapToGrid w:val="0"/>
              <w:ind w:firstLine="0"/>
              <w:rPr>
                <w:rFonts w:ascii="Times New Roman" w:hAnsi="Times New Roman"/>
                <w:b/>
                <w:bCs/>
                <w:color w:val="000000"/>
                <w:sz w:val="18"/>
                <w:szCs w:val="18"/>
              </w:rPr>
            </w:pPr>
            <w:r w:rsidRPr="00E16672">
              <w:rPr>
                <w:rFonts w:ascii="Times New Roman" w:hAnsi="Times New Roman"/>
                <w:b/>
                <w:bCs/>
                <w:color w:val="000000"/>
                <w:sz w:val="18"/>
                <w:szCs w:val="18"/>
              </w:rPr>
              <w:t xml:space="preserve">  </w:t>
            </w:r>
          </w:p>
          <w:p w14:paraId="52127339" w14:textId="77777777" w:rsidR="00765E37" w:rsidRPr="00E16672" w:rsidRDefault="00765E37" w:rsidP="00F82710">
            <w:pPr>
              <w:tabs>
                <w:tab w:val="left" w:pos="1560"/>
              </w:tabs>
              <w:snapToGrid w:val="0"/>
              <w:ind w:firstLine="0"/>
              <w:jc w:val="left"/>
              <w:rPr>
                <w:rFonts w:ascii="Times New Roman" w:hAnsi="Times New Roman"/>
                <w:color w:val="000000"/>
                <w:sz w:val="18"/>
                <w:szCs w:val="18"/>
              </w:rPr>
            </w:pPr>
            <w:r w:rsidRPr="00E16672">
              <w:rPr>
                <w:rFonts w:ascii="Times New Roman" w:hAnsi="Times New Roman"/>
                <w:color w:val="000000"/>
                <w:sz w:val="18"/>
                <w:szCs w:val="18"/>
              </w:rPr>
              <w:t xml:space="preserve">____________________ </w:t>
            </w:r>
            <w:r w:rsidR="004250A5" w:rsidRPr="00E16672">
              <w:rPr>
                <w:rFonts w:ascii="Times New Roman" w:hAnsi="Times New Roman"/>
                <w:color w:val="000000"/>
                <w:sz w:val="18"/>
                <w:szCs w:val="18"/>
                <w:lang w:val="uk-UA"/>
              </w:rPr>
              <w:t>(</w:t>
            </w:r>
            <w:r w:rsidR="00F82710">
              <w:rPr>
                <w:rFonts w:ascii="Times New Roman" w:hAnsi="Times New Roman"/>
                <w:color w:val="000000"/>
                <w:sz w:val="16"/>
                <w:szCs w:val="16"/>
                <w:lang w:val="uk-UA"/>
              </w:rPr>
              <w:t>Король</w:t>
            </w:r>
            <w:r w:rsidR="00E16672" w:rsidRPr="00E16672">
              <w:rPr>
                <w:rFonts w:ascii="Times New Roman" w:hAnsi="Times New Roman"/>
                <w:color w:val="000000"/>
                <w:sz w:val="16"/>
                <w:szCs w:val="16"/>
                <w:lang w:val="uk-UA"/>
              </w:rPr>
              <w:t xml:space="preserve"> Оксана Іванівна</w:t>
            </w:r>
            <w:r w:rsidRPr="00E16672">
              <w:rPr>
                <w:rFonts w:ascii="Times New Roman" w:hAnsi="Times New Roman"/>
                <w:color w:val="000000"/>
                <w:sz w:val="16"/>
                <w:szCs w:val="16"/>
              </w:rPr>
              <w:t>)</w:t>
            </w:r>
            <w:r w:rsidRPr="00E16672">
              <w:rPr>
                <w:rFonts w:ascii="Times New Roman" w:hAnsi="Times New Roman"/>
                <w:color w:val="000000"/>
                <w:sz w:val="18"/>
                <w:szCs w:val="18"/>
              </w:rPr>
              <w:t xml:space="preserve">  </w:t>
            </w:r>
          </w:p>
          <w:p w14:paraId="28DB3F07" w14:textId="77777777" w:rsidR="00765E37" w:rsidRPr="00E16672" w:rsidRDefault="00901A02" w:rsidP="000E60DB">
            <w:pPr>
              <w:tabs>
                <w:tab w:val="left" w:pos="1560"/>
              </w:tabs>
              <w:ind w:left="505" w:firstLine="0"/>
              <w:jc w:val="left"/>
              <w:rPr>
                <w:rFonts w:ascii="Times New Roman" w:hAnsi="Times New Roman"/>
                <w:b/>
                <w:bCs/>
                <w:color w:val="000000"/>
                <w:sz w:val="18"/>
                <w:szCs w:val="18"/>
                <w:lang w:val="uk-UA"/>
              </w:rPr>
            </w:pPr>
            <w:r w:rsidRPr="00E16672">
              <w:rPr>
                <w:rFonts w:ascii="Times New Roman" w:hAnsi="Times New Roman"/>
                <w:color w:val="000000"/>
                <w:sz w:val="14"/>
                <w:szCs w:val="14"/>
              </w:rPr>
              <w:t>В</w:t>
            </w:r>
            <w:r w:rsidR="00765E37" w:rsidRPr="00E16672">
              <w:rPr>
                <w:rFonts w:ascii="Times New Roman" w:hAnsi="Times New Roman"/>
                <w:color w:val="000000"/>
                <w:sz w:val="14"/>
                <w:szCs w:val="14"/>
              </w:rPr>
              <w:t xml:space="preserve">.П., </w:t>
            </w:r>
            <w:proofErr w:type="spellStart"/>
            <w:r w:rsidR="00765E37" w:rsidRPr="00E16672">
              <w:rPr>
                <w:rFonts w:ascii="Times New Roman" w:hAnsi="Times New Roman"/>
                <w:color w:val="000000"/>
                <w:sz w:val="14"/>
                <w:szCs w:val="14"/>
              </w:rPr>
              <w:t>підпис</w:t>
            </w:r>
            <w:proofErr w:type="spellEnd"/>
            <w:r w:rsidR="00765E37" w:rsidRPr="00E16672">
              <w:rPr>
                <w:rFonts w:ascii="Times New Roman" w:hAnsi="Times New Roman"/>
                <w:color w:val="000000"/>
                <w:sz w:val="14"/>
                <w:szCs w:val="14"/>
              </w:rPr>
              <w:t xml:space="preserve"> </w:t>
            </w:r>
            <w:r w:rsidR="000E60DB">
              <w:rPr>
                <w:rFonts w:ascii="Times New Roman" w:hAnsi="Times New Roman"/>
                <w:color w:val="000000"/>
                <w:sz w:val="14"/>
                <w:szCs w:val="14"/>
                <w:lang w:val="uk-UA"/>
              </w:rPr>
              <w:t xml:space="preserve">                 </w:t>
            </w:r>
            <w:r w:rsidR="00765E37" w:rsidRPr="00E16672">
              <w:rPr>
                <w:rFonts w:ascii="Times New Roman" w:hAnsi="Times New Roman"/>
                <w:color w:val="000000"/>
                <w:sz w:val="14"/>
                <w:szCs w:val="14"/>
                <w:lang w:val="uk-UA"/>
              </w:rPr>
              <w:t>Прізвище, ім’я, по батькові</w:t>
            </w:r>
            <w:r w:rsidR="000E60DB">
              <w:rPr>
                <w:rFonts w:ascii="Times New Roman" w:hAnsi="Times New Roman"/>
                <w:color w:val="000000"/>
                <w:sz w:val="14"/>
                <w:szCs w:val="14"/>
                <w:lang w:val="uk-UA"/>
              </w:rPr>
              <w:t xml:space="preserve"> </w:t>
            </w:r>
            <w:r w:rsidR="00765E37" w:rsidRPr="00E16672">
              <w:rPr>
                <w:rFonts w:ascii="Times New Roman" w:hAnsi="Times New Roman"/>
                <w:i/>
                <w:color w:val="000000"/>
                <w:sz w:val="14"/>
                <w:szCs w:val="14"/>
                <w:lang w:val="uk-UA"/>
              </w:rPr>
              <w:t>(за наявності)</w:t>
            </w:r>
          </w:p>
        </w:tc>
      </w:tr>
      <w:tr w:rsidR="00502AEC" w:rsidRPr="00F23413" w14:paraId="22D2248C" w14:textId="77777777" w:rsidTr="00D77858">
        <w:tblPrEx>
          <w:tblCellMar>
            <w:left w:w="0" w:type="dxa"/>
            <w:right w:w="0" w:type="dxa"/>
          </w:tblCellMar>
        </w:tblPrEx>
        <w:trPr>
          <w:trHeight w:val="192"/>
        </w:trPr>
        <w:tc>
          <w:tcPr>
            <w:tcW w:w="5696" w:type="dxa"/>
            <w:gridSpan w:val="6"/>
            <w:shd w:val="clear" w:color="auto" w:fill="auto"/>
          </w:tcPr>
          <w:p w14:paraId="1B078F26" w14:textId="77777777" w:rsidR="00502AEC" w:rsidRPr="00E16672" w:rsidRDefault="00502AEC">
            <w:pPr>
              <w:snapToGrid w:val="0"/>
              <w:ind w:left="142"/>
              <w:jc w:val="center"/>
              <w:rPr>
                <w:rFonts w:ascii="Times New Roman" w:eastAsia="Arial" w:hAnsi="Times New Roman"/>
                <w:b/>
                <w:caps/>
                <w:sz w:val="16"/>
                <w:szCs w:val="16"/>
              </w:rPr>
            </w:pPr>
            <w:bookmarkStart w:id="3" w:name="n199"/>
            <w:r w:rsidRPr="00E16672">
              <w:rPr>
                <w:rFonts w:ascii="Times New Roman" w:eastAsia="Arial" w:hAnsi="Times New Roman"/>
                <w:b/>
                <w:caps/>
                <w:sz w:val="16"/>
                <w:szCs w:val="16"/>
              </w:rPr>
              <w:lastRenderedPageBreak/>
              <w:t>Договір</w:t>
            </w:r>
          </w:p>
          <w:p w14:paraId="0C0B5819" w14:textId="77777777" w:rsidR="00502AEC" w:rsidRPr="00E16672" w:rsidRDefault="00502AEC">
            <w:pPr>
              <w:ind w:left="142"/>
              <w:jc w:val="center"/>
              <w:rPr>
                <w:rFonts w:ascii="Times New Roman" w:eastAsia="Arial" w:hAnsi="Times New Roman"/>
                <w:b/>
                <w:caps/>
                <w:sz w:val="16"/>
                <w:szCs w:val="16"/>
              </w:rPr>
            </w:pPr>
            <w:r w:rsidRPr="00E16672">
              <w:rPr>
                <w:rFonts w:ascii="Times New Roman" w:eastAsia="Arial" w:hAnsi="Times New Roman"/>
                <w:b/>
                <w:caps/>
                <w:sz w:val="16"/>
                <w:szCs w:val="16"/>
              </w:rPr>
              <w:t>про обслуговування рахункУ в цінних паперах</w:t>
            </w:r>
          </w:p>
          <w:p w14:paraId="2A3F6427" w14:textId="77777777" w:rsidR="00502AEC" w:rsidRPr="00457728" w:rsidRDefault="00502AEC">
            <w:pPr>
              <w:ind w:left="142"/>
              <w:jc w:val="center"/>
              <w:rPr>
                <w:rFonts w:ascii="Times New Roman" w:eastAsia="Arial" w:hAnsi="Times New Roman"/>
                <w:b/>
                <w:sz w:val="16"/>
                <w:szCs w:val="16"/>
                <w:lang w:val="uk-UA"/>
              </w:rPr>
            </w:pPr>
            <w:proofErr w:type="gramStart"/>
            <w:r w:rsidRPr="00E16672">
              <w:rPr>
                <w:rFonts w:ascii="Times New Roman" w:eastAsia="Arial" w:hAnsi="Times New Roman"/>
                <w:b/>
                <w:sz w:val="16"/>
                <w:szCs w:val="16"/>
              </w:rPr>
              <w:t>№  _</w:t>
            </w:r>
            <w:proofErr w:type="gramEnd"/>
            <w:r w:rsidRPr="00E16672">
              <w:rPr>
                <w:rFonts w:ascii="Times New Roman" w:eastAsia="Arial" w:hAnsi="Times New Roman"/>
                <w:b/>
                <w:sz w:val="16"/>
                <w:szCs w:val="16"/>
              </w:rPr>
              <w:t>_____/____</w:t>
            </w:r>
            <w:r w:rsidR="00457728">
              <w:rPr>
                <w:rFonts w:ascii="Times New Roman" w:eastAsia="Arial" w:hAnsi="Times New Roman"/>
                <w:b/>
                <w:sz w:val="16"/>
                <w:szCs w:val="16"/>
                <w:lang w:val="uk-UA"/>
              </w:rPr>
              <w:t>/ДУ</w:t>
            </w:r>
          </w:p>
          <w:p w14:paraId="5CF1FCAD" w14:textId="77777777" w:rsidR="00502AEC" w:rsidRPr="00E16672" w:rsidRDefault="00502AEC">
            <w:pPr>
              <w:ind w:left="142"/>
              <w:jc w:val="center"/>
              <w:rPr>
                <w:rFonts w:ascii="Times New Roman" w:eastAsia="Arial" w:hAnsi="Times New Roman"/>
                <w:b/>
                <w:sz w:val="16"/>
                <w:szCs w:val="16"/>
              </w:rPr>
            </w:pPr>
          </w:p>
          <w:p w14:paraId="4A776C80" w14:textId="77777777" w:rsidR="00186785" w:rsidRDefault="00186785" w:rsidP="00186785">
            <w:pPr>
              <w:jc w:val="center"/>
              <w:rPr>
                <w:rFonts w:ascii="Times New Roman" w:hAnsi="Times New Roman"/>
                <w:szCs w:val="20"/>
                <w:lang w:val="uk-UA"/>
              </w:rPr>
            </w:pPr>
            <w:r w:rsidRPr="00E16672">
              <w:rPr>
                <w:rFonts w:ascii="Times New Roman" w:hAnsi="Times New Roman"/>
                <w:szCs w:val="20"/>
                <w:lang w:val="uk-UA"/>
              </w:rPr>
              <w:t>м. Київ</w:t>
            </w:r>
            <w:r>
              <w:rPr>
                <w:rFonts w:ascii="Times New Roman" w:hAnsi="Times New Roman"/>
                <w:szCs w:val="20"/>
                <w:lang w:val="uk-UA"/>
              </w:rPr>
              <w:t xml:space="preserve"> </w:t>
            </w:r>
            <w:r>
              <w:rPr>
                <w:rFonts w:ascii="Times New Roman" w:hAnsi="Times New Roman"/>
                <w:szCs w:val="20"/>
                <w:lang w:val="uk-UA"/>
              </w:rPr>
              <w:tab/>
            </w:r>
            <w:r>
              <w:rPr>
                <w:rFonts w:ascii="Times New Roman" w:hAnsi="Times New Roman"/>
                <w:szCs w:val="20"/>
                <w:lang w:val="uk-UA"/>
              </w:rPr>
              <w:tab/>
            </w:r>
            <w:r>
              <w:rPr>
                <w:rFonts w:ascii="Times New Roman" w:hAnsi="Times New Roman"/>
                <w:szCs w:val="20"/>
                <w:lang w:val="uk-UA"/>
              </w:rPr>
              <w:tab/>
            </w:r>
            <w:r w:rsidRPr="00E16672">
              <w:rPr>
                <w:rFonts w:ascii="Times New Roman" w:hAnsi="Times New Roman"/>
                <w:szCs w:val="20"/>
                <w:lang w:val="uk-UA"/>
              </w:rPr>
              <w:t>"</w:t>
            </w:r>
            <w:r>
              <w:rPr>
                <w:rFonts w:ascii="Times New Roman" w:hAnsi="Times New Roman"/>
                <w:szCs w:val="20"/>
                <w:lang w:val="uk-UA"/>
              </w:rPr>
              <w:t xml:space="preserve">       </w:t>
            </w:r>
            <w:r w:rsidRPr="00E16672">
              <w:rPr>
                <w:rFonts w:ascii="Times New Roman" w:hAnsi="Times New Roman"/>
                <w:szCs w:val="20"/>
                <w:lang w:val="uk-UA"/>
              </w:rPr>
              <w:t>" ____________ 20_</w:t>
            </w:r>
            <w:r>
              <w:rPr>
                <w:rFonts w:ascii="Times New Roman" w:hAnsi="Times New Roman"/>
                <w:szCs w:val="20"/>
                <w:lang w:val="uk-UA"/>
              </w:rPr>
              <w:t>__</w:t>
            </w:r>
            <w:r w:rsidRPr="00E16672">
              <w:rPr>
                <w:rFonts w:ascii="Times New Roman" w:hAnsi="Times New Roman"/>
                <w:szCs w:val="20"/>
                <w:lang w:val="uk-UA"/>
              </w:rPr>
              <w:t>_р.</w:t>
            </w:r>
          </w:p>
          <w:p w14:paraId="628A3F04" w14:textId="77777777" w:rsidR="00502AEC" w:rsidRPr="00E16672" w:rsidRDefault="00502AEC">
            <w:pPr>
              <w:ind w:left="142"/>
              <w:rPr>
                <w:rFonts w:ascii="Times New Roman" w:eastAsia="Arial" w:hAnsi="Times New Roman"/>
                <w:sz w:val="16"/>
                <w:szCs w:val="16"/>
              </w:rPr>
            </w:pPr>
          </w:p>
          <w:p w14:paraId="6CA07875" w14:textId="77777777" w:rsidR="00502AEC" w:rsidRPr="00E16672" w:rsidRDefault="00B323AB" w:rsidP="006517E7">
            <w:pPr>
              <w:pStyle w:val="WW-1"/>
              <w:ind w:left="175" w:right="138" w:firstLine="284"/>
              <w:jc w:val="left"/>
              <w:rPr>
                <w:i w:val="0"/>
                <w:sz w:val="16"/>
                <w:szCs w:val="16"/>
              </w:rPr>
            </w:pPr>
            <w:r w:rsidRPr="00E16672">
              <w:rPr>
                <w:i w:val="0"/>
                <w:sz w:val="16"/>
                <w:szCs w:val="16"/>
              </w:rPr>
              <w:t xml:space="preserve">ТОВАРИСТВО З ОБМЕЖЕНОЮ ВІДПОВІДАЛЬНІСТЮ </w:t>
            </w:r>
            <w:r w:rsidR="00022F5F">
              <w:rPr>
                <w:i w:val="0"/>
                <w:sz w:val="16"/>
                <w:szCs w:val="16"/>
              </w:rPr>
              <w:t>"</w:t>
            </w:r>
            <w:r w:rsidR="00E16672" w:rsidRPr="00E16672">
              <w:rPr>
                <w:i w:val="0"/>
                <w:sz w:val="16"/>
                <w:szCs w:val="16"/>
              </w:rPr>
              <w:t>КОМЕКС ЦІННІ ПАПЕРИ</w:t>
            </w:r>
            <w:r w:rsidR="00022F5F">
              <w:rPr>
                <w:i w:val="0"/>
                <w:sz w:val="16"/>
                <w:szCs w:val="16"/>
              </w:rPr>
              <w:t>"</w:t>
            </w:r>
            <w:r w:rsidRPr="00E16672">
              <w:rPr>
                <w:i w:val="0"/>
                <w:sz w:val="16"/>
                <w:szCs w:val="16"/>
              </w:rPr>
              <w:t xml:space="preserve">, код за ЄДРПОУ </w:t>
            </w:r>
            <w:r w:rsidR="00E16672" w:rsidRPr="00E16672">
              <w:rPr>
                <w:i w:val="0"/>
                <w:sz w:val="16"/>
                <w:szCs w:val="16"/>
              </w:rPr>
              <w:t>33153077</w:t>
            </w:r>
            <w:r w:rsidRPr="00E16672">
              <w:rPr>
                <w:i w:val="0"/>
                <w:sz w:val="16"/>
                <w:szCs w:val="16"/>
              </w:rPr>
              <w:t xml:space="preserve"> (</w:t>
            </w:r>
            <w:proofErr w:type="spellStart"/>
            <w:r w:rsidRPr="00E16672">
              <w:rPr>
                <w:i w:val="0"/>
                <w:sz w:val="16"/>
                <w:szCs w:val="16"/>
              </w:rPr>
              <w:t>надалі</w:t>
            </w:r>
            <w:proofErr w:type="spellEnd"/>
            <w:r w:rsidRPr="00E16672">
              <w:rPr>
                <w:i w:val="0"/>
                <w:sz w:val="16"/>
                <w:szCs w:val="16"/>
              </w:rPr>
              <w:t xml:space="preserve"> – </w:t>
            </w:r>
            <w:proofErr w:type="spellStart"/>
            <w:r w:rsidRPr="00E16672">
              <w:rPr>
                <w:i w:val="0"/>
                <w:sz w:val="16"/>
                <w:szCs w:val="16"/>
              </w:rPr>
              <w:t>Депозитарна</w:t>
            </w:r>
            <w:proofErr w:type="spellEnd"/>
            <w:r w:rsidRPr="00E16672">
              <w:rPr>
                <w:i w:val="0"/>
                <w:sz w:val="16"/>
                <w:szCs w:val="16"/>
              </w:rPr>
              <w:t xml:space="preserve"> </w:t>
            </w:r>
            <w:proofErr w:type="spellStart"/>
            <w:r w:rsidRPr="00E16672">
              <w:rPr>
                <w:i w:val="0"/>
                <w:sz w:val="16"/>
                <w:szCs w:val="16"/>
              </w:rPr>
              <w:t>установа</w:t>
            </w:r>
            <w:proofErr w:type="spellEnd"/>
            <w:r w:rsidRPr="00E16672">
              <w:rPr>
                <w:i w:val="0"/>
                <w:sz w:val="16"/>
                <w:szCs w:val="16"/>
              </w:rPr>
              <w:t xml:space="preserve">), </w:t>
            </w:r>
            <w:proofErr w:type="spellStart"/>
            <w:r w:rsidRPr="00E16672">
              <w:rPr>
                <w:i w:val="0"/>
                <w:sz w:val="16"/>
                <w:szCs w:val="16"/>
              </w:rPr>
              <w:t>що</w:t>
            </w:r>
            <w:proofErr w:type="spellEnd"/>
            <w:r w:rsidRPr="00E16672">
              <w:rPr>
                <w:i w:val="0"/>
                <w:sz w:val="16"/>
                <w:szCs w:val="16"/>
              </w:rPr>
              <w:t xml:space="preserve"> </w:t>
            </w:r>
            <w:proofErr w:type="spellStart"/>
            <w:r w:rsidRPr="00E16672">
              <w:rPr>
                <w:i w:val="0"/>
                <w:sz w:val="16"/>
                <w:szCs w:val="16"/>
              </w:rPr>
              <w:t>здійснює</w:t>
            </w:r>
            <w:proofErr w:type="spellEnd"/>
            <w:r w:rsidRPr="00E16672">
              <w:rPr>
                <w:i w:val="0"/>
                <w:sz w:val="16"/>
                <w:szCs w:val="16"/>
              </w:rPr>
              <w:t xml:space="preserve"> </w:t>
            </w:r>
            <w:proofErr w:type="spellStart"/>
            <w:r w:rsidRPr="00E16672">
              <w:rPr>
                <w:i w:val="0"/>
                <w:sz w:val="16"/>
                <w:szCs w:val="16"/>
              </w:rPr>
              <w:t>депозитарну</w:t>
            </w:r>
            <w:proofErr w:type="spellEnd"/>
            <w:r w:rsidRPr="00E16672">
              <w:rPr>
                <w:i w:val="0"/>
                <w:sz w:val="16"/>
                <w:szCs w:val="16"/>
              </w:rPr>
              <w:t xml:space="preserve"> </w:t>
            </w:r>
            <w:proofErr w:type="spellStart"/>
            <w:r w:rsidRPr="00E16672">
              <w:rPr>
                <w:i w:val="0"/>
                <w:sz w:val="16"/>
                <w:szCs w:val="16"/>
              </w:rPr>
              <w:t>діяльність</w:t>
            </w:r>
            <w:proofErr w:type="spellEnd"/>
            <w:r w:rsidRPr="00E16672">
              <w:rPr>
                <w:i w:val="0"/>
                <w:sz w:val="16"/>
                <w:szCs w:val="16"/>
              </w:rPr>
              <w:t xml:space="preserve"> </w:t>
            </w:r>
            <w:proofErr w:type="spellStart"/>
            <w:r w:rsidRPr="00E16672">
              <w:rPr>
                <w:i w:val="0"/>
                <w:sz w:val="16"/>
                <w:szCs w:val="16"/>
              </w:rPr>
              <w:t>депозитарної</w:t>
            </w:r>
            <w:proofErr w:type="spellEnd"/>
            <w:r w:rsidRPr="00E16672">
              <w:rPr>
                <w:i w:val="0"/>
                <w:sz w:val="16"/>
                <w:szCs w:val="16"/>
              </w:rPr>
              <w:t xml:space="preserve"> установи на </w:t>
            </w:r>
            <w:proofErr w:type="spellStart"/>
            <w:r w:rsidRPr="00E16672">
              <w:rPr>
                <w:i w:val="0"/>
                <w:sz w:val="16"/>
                <w:szCs w:val="16"/>
              </w:rPr>
              <w:t>підставі</w:t>
            </w:r>
            <w:proofErr w:type="spellEnd"/>
            <w:r w:rsidRPr="00E16672">
              <w:rPr>
                <w:i w:val="0"/>
                <w:sz w:val="16"/>
                <w:szCs w:val="16"/>
              </w:rPr>
              <w:t xml:space="preserve"> </w:t>
            </w:r>
            <w:proofErr w:type="spellStart"/>
            <w:r w:rsidRPr="00E16672">
              <w:rPr>
                <w:i w:val="0"/>
                <w:sz w:val="16"/>
                <w:szCs w:val="16"/>
              </w:rPr>
              <w:t>ліцензії</w:t>
            </w:r>
            <w:proofErr w:type="spellEnd"/>
            <w:r w:rsidRPr="00E16672">
              <w:rPr>
                <w:i w:val="0"/>
                <w:sz w:val="16"/>
                <w:szCs w:val="16"/>
              </w:rPr>
              <w:t xml:space="preserve"> </w:t>
            </w:r>
            <w:proofErr w:type="spellStart"/>
            <w:r w:rsidRPr="00E16672">
              <w:rPr>
                <w:i w:val="0"/>
                <w:sz w:val="16"/>
                <w:szCs w:val="16"/>
              </w:rPr>
              <w:t>серія</w:t>
            </w:r>
            <w:proofErr w:type="spellEnd"/>
            <w:r w:rsidRPr="00E16672">
              <w:rPr>
                <w:i w:val="0"/>
                <w:sz w:val="16"/>
                <w:szCs w:val="16"/>
              </w:rPr>
              <w:t xml:space="preserve"> АЕ № </w:t>
            </w:r>
            <w:r w:rsidR="00E16672" w:rsidRPr="00E16672">
              <w:rPr>
                <w:i w:val="0"/>
                <w:sz w:val="16"/>
                <w:szCs w:val="16"/>
              </w:rPr>
              <w:t>263429</w:t>
            </w:r>
            <w:r w:rsidRPr="00E16672">
              <w:rPr>
                <w:i w:val="0"/>
                <w:sz w:val="16"/>
                <w:szCs w:val="16"/>
              </w:rPr>
              <w:t xml:space="preserve">, </w:t>
            </w:r>
            <w:proofErr w:type="spellStart"/>
            <w:r w:rsidRPr="00E16672">
              <w:rPr>
                <w:i w:val="0"/>
                <w:sz w:val="16"/>
                <w:szCs w:val="16"/>
              </w:rPr>
              <w:t>виданої</w:t>
            </w:r>
            <w:proofErr w:type="spellEnd"/>
            <w:r w:rsidRPr="00E16672">
              <w:rPr>
                <w:i w:val="0"/>
                <w:sz w:val="16"/>
                <w:szCs w:val="16"/>
              </w:rPr>
              <w:t xml:space="preserve"> </w:t>
            </w:r>
            <w:proofErr w:type="spellStart"/>
            <w:r w:rsidRPr="00E16672">
              <w:rPr>
                <w:i w:val="0"/>
                <w:sz w:val="16"/>
                <w:szCs w:val="16"/>
              </w:rPr>
              <w:t>Національною</w:t>
            </w:r>
            <w:proofErr w:type="spellEnd"/>
            <w:r w:rsidRPr="00E16672">
              <w:rPr>
                <w:i w:val="0"/>
                <w:sz w:val="16"/>
                <w:szCs w:val="16"/>
              </w:rPr>
              <w:t xml:space="preserve"> </w:t>
            </w:r>
            <w:proofErr w:type="spellStart"/>
            <w:r w:rsidRPr="00E16672">
              <w:rPr>
                <w:i w:val="0"/>
                <w:sz w:val="16"/>
                <w:szCs w:val="16"/>
              </w:rPr>
              <w:t>комісією</w:t>
            </w:r>
            <w:proofErr w:type="spellEnd"/>
            <w:r w:rsidRPr="00E16672">
              <w:rPr>
                <w:i w:val="0"/>
                <w:sz w:val="16"/>
                <w:szCs w:val="16"/>
              </w:rPr>
              <w:t xml:space="preserve"> з </w:t>
            </w:r>
            <w:proofErr w:type="spellStart"/>
            <w:r w:rsidRPr="00E16672">
              <w:rPr>
                <w:i w:val="0"/>
                <w:sz w:val="16"/>
                <w:szCs w:val="16"/>
              </w:rPr>
              <w:t>цінних</w:t>
            </w:r>
            <w:proofErr w:type="spellEnd"/>
            <w:r w:rsidRPr="00E16672">
              <w:rPr>
                <w:i w:val="0"/>
                <w:sz w:val="16"/>
                <w:szCs w:val="16"/>
              </w:rPr>
              <w:t xml:space="preserve"> </w:t>
            </w:r>
            <w:proofErr w:type="spellStart"/>
            <w:r w:rsidRPr="00E16672">
              <w:rPr>
                <w:i w:val="0"/>
                <w:sz w:val="16"/>
                <w:szCs w:val="16"/>
              </w:rPr>
              <w:t>паперів</w:t>
            </w:r>
            <w:proofErr w:type="spellEnd"/>
            <w:r w:rsidRPr="00E16672">
              <w:rPr>
                <w:i w:val="0"/>
                <w:sz w:val="16"/>
                <w:szCs w:val="16"/>
              </w:rPr>
              <w:t xml:space="preserve"> та фондового ринку </w:t>
            </w:r>
            <w:r w:rsidR="00E16672" w:rsidRPr="00E16672">
              <w:rPr>
                <w:i w:val="0"/>
                <w:sz w:val="16"/>
                <w:szCs w:val="16"/>
              </w:rPr>
              <w:t>01.10.2013</w:t>
            </w:r>
            <w:r w:rsidRPr="00E16672">
              <w:rPr>
                <w:i w:val="0"/>
                <w:sz w:val="16"/>
                <w:szCs w:val="16"/>
              </w:rPr>
              <w:t>р. (</w:t>
            </w:r>
            <w:proofErr w:type="spellStart"/>
            <w:r w:rsidRPr="00E16672">
              <w:rPr>
                <w:i w:val="0"/>
                <w:sz w:val="16"/>
                <w:szCs w:val="16"/>
              </w:rPr>
              <w:t>надалі</w:t>
            </w:r>
            <w:proofErr w:type="spellEnd"/>
            <w:r w:rsidRPr="00E16672">
              <w:rPr>
                <w:i w:val="0"/>
                <w:sz w:val="16"/>
                <w:szCs w:val="16"/>
              </w:rPr>
              <w:t xml:space="preserve"> – НКЦПФР)</w:t>
            </w:r>
            <w:r w:rsidR="00502AEC" w:rsidRPr="00E16672">
              <w:rPr>
                <w:i w:val="0"/>
                <w:sz w:val="16"/>
                <w:szCs w:val="16"/>
              </w:rPr>
              <w:t xml:space="preserve">, в </w:t>
            </w:r>
            <w:proofErr w:type="spellStart"/>
            <w:r w:rsidR="00502AEC" w:rsidRPr="00E16672">
              <w:rPr>
                <w:i w:val="0"/>
                <w:sz w:val="16"/>
                <w:szCs w:val="16"/>
              </w:rPr>
              <w:t>особі</w:t>
            </w:r>
            <w:proofErr w:type="spellEnd"/>
            <w:r w:rsidR="00502AEC" w:rsidRPr="00E16672">
              <w:rPr>
                <w:i w:val="0"/>
                <w:sz w:val="16"/>
                <w:szCs w:val="16"/>
              </w:rPr>
              <w:t xml:space="preserve"> </w:t>
            </w:r>
            <w:r w:rsidRPr="00E16672">
              <w:rPr>
                <w:i w:val="0"/>
                <w:sz w:val="16"/>
                <w:szCs w:val="16"/>
                <w:lang w:val="uk-UA"/>
              </w:rPr>
              <w:t xml:space="preserve">директора </w:t>
            </w:r>
            <w:r w:rsidR="006517E7">
              <w:rPr>
                <w:i w:val="0"/>
                <w:sz w:val="16"/>
                <w:szCs w:val="16"/>
                <w:lang w:val="uk-UA"/>
              </w:rPr>
              <w:t>Король Оксани Іванівни</w:t>
            </w:r>
            <w:r w:rsidR="00502AEC" w:rsidRPr="00E16672">
              <w:rPr>
                <w:i w:val="0"/>
                <w:sz w:val="16"/>
                <w:szCs w:val="16"/>
              </w:rPr>
              <w:t xml:space="preserve">, </w:t>
            </w:r>
            <w:proofErr w:type="spellStart"/>
            <w:r w:rsidR="00502AEC" w:rsidRPr="00E16672">
              <w:rPr>
                <w:i w:val="0"/>
                <w:sz w:val="16"/>
                <w:szCs w:val="16"/>
              </w:rPr>
              <w:t>що</w:t>
            </w:r>
            <w:proofErr w:type="spellEnd"/>
            <w:r w:rsidR="00502AEC" w:rsidRPr="00E16672">
              <w:rPr>
                <w:i w:val="0"/>
                <w:sz w:val="16"/>
                <w:szCs w:val="16"/>
              </w:rPr>
              <w:t xml:space="preserve"> </w:t>
            </w:r>
            <w:proofErr w:type="spellStart"/>
            <w:r w:rsidR="00502AEC" w:rsidRPr="00E16672">
              <w:rPr>
                <w:i w:val="0"/>
                <w:sz w:val="16"/>
                <w:szCs w:val="16"/>
              </w:rPr>
              <w:t>діє</w:t>
            </w:r>
            <w:proofErr w:type="spellEnd"/>
            <w:r w:rsidR="00502AEC" w:rsidRPr="00E16672">
              <w:rPr>
                <w:i w:val="0"/>
                <w:sz w:val="16"/>
                <w:szCs w:val="16"/>
              </w:rPr>
              <w:t xml:space="preserve"> на </w:t>
            </w:r>
            <w:proofErr w:type="spellStart"/>
            <w:r w:rsidR="00502AEC" w:rsidRPr="00E16672">
              <w:rPr>
                <w:i w:val="0"/>
                <w:sz w:val="16"/>
                <w:szCs w:val="16"/>
              </w:rPr>
              <w:t>підставі</w:t>
            </w:r>
            <w:proofErr w:type="spellEnd"/>
            <w:r w:rsidR="00502AEC" w:rsidRPr="00E16672">
              <w:rPr>
                <w:i w:val="0"/>
                <w:sz w:val="16"/>
                <w:szCs w:val="16"/>
              </w:rPr>
              <w:t xml:space="preserve"> </w:t>
            </w:r>
            <w:r w:rsidRPr="00E16672">
              <w:rPr>
                <w:i w:val="0"/>
                <w:sz w:val="16"/>
                <w:szCs w:val="16"/>
                <w:lang w:val="uk-UA"/>
              </w:rPr>
              <w:t xml:space="preserve">Статуту з </w:t>
            </w:r>
            <w:r w:rsidR="00502AEC" w:rsidRPr="00E16672">
              <w:rPr>
                <w:i w:val="0"/>
                <w:sz w:val="16"/>
                <w:szCs w:val="16"/>
                <w:lang w:val="uk-UA"/>
              </w:rPr>
              <w:t>одного боку</w:t>
            </w:r>
            <w:r w:rsidR="00502AEC" w:rsidRPr="00E16672">
              <w:rPr>
                <w:i w:val="0"/>
                <w:sz w:val="16"/>
                <w:szCs w:val="16"/>
              </w:rPr>
              <w:t>, та ___________________________________________________________,</w:t>
            </w:r>
          </w:p>
          <w:p w14:paraId="633A11F2" w14:textId="16560CC8" w:rsidR="00502AEC" w:rsidRPr="00E16672" w:rsidRDefault="00015A56" w:rsidP="005B559F">
            <w:pPr>
              <w:ind w:left="175" w:right="138" w:firstLine="284"/>
              <w:jc w:val="center"/>
              <w:rPr>
                <w:rFonts w:ascii="Times New Roman" w:eastAsia="Arial" w:hAnsi="Times New Roman"/>
                <w:i/>
                <w:sz w:val="16"/>
                <w:szCs w:val="16"/>
              </w:rPr>
            </w:pPr>
            <w:r w:rsidRPr="00E16672">
              <w:rPr>
                <w:rFonts w:ascii="Times New Roman" w:hAnsi="Times New Roman"/>
                <w:i/>
                <w:sz w:val="16"/>
                <w:szCs w:val="20"/>
                <w:lang w:val="uk-UA"/>
              </w:rPr>
              <w:t>(</w:t>
            </w:r>
            <w:r w:rsidRPr="00E16672">
              <w:rPr>
                <w:rFonts w:ascii="Times New Roman" w:hAnsi="Times New Roman"/>
                <w:i/>
                <w:sz w:val="16"/>
                <w:szCs w:val="20"/>
                <w:lang w:val="uk-UA" w:eastAsia="uk-UA"/>
              </w:rPr>
              <w:t>прізвище, ім’я, по батькові (за наявності)</w:t>
            </w:r>
          </w:p>
          <w:p w14:paraId="45CF4B0E" w14:textId="77777777" w:rsidR="00502AEC" w:rsidRPr="00E16672" w:rsidRDefault="00502AEC" w:rsidP="001216E2">
            <w:pPr>
              <w:pStyle w:val="WW-1"/>
              <w:ind w:left="175" w:right="138" w:firstLine="284"/>
              <w:jc w:val="both"/>
              <w:rPr>
                <w:i w:val="0"/>
                <w:sz w:val="16"/>
                <w:szCs w:val="16"/>
              </w:rPr>
            </w:pPr>
            <w:r w:rsidRPr="00E16672">
              <w:rPr>
                <w:i w:val="0"/>
                <w:sz w:val="16"/>
                <w:szCs w:val="16"/>
              </w:rPr>
              <w:t xml:space="preserve">паспорт __________ </w:t>
            </w:r>
            <w:proofErr w:type="spellStart"/>
            <w:r w:rsidRPr="00E16672">
              <w:rPr>
                <w:i w:val="0"/>
                <w:sz w:val="16"/>
                <w:szCs w:val="16"/>
              </w:rPr>
              <w:t>виданий</w:t>
            </w:r>
            <w:proofErr w:type="spellEnd"/>
            <w:r w:rsidRPr="00E16672">
              <w:rPr>
                <w:i w:val="0"/>
                <w:sz w:val="16"/>
                <w:szCs w:val="16"/>
              </w:rPr>
              <w:t xml:space="preserve"> _________________________</w:t>
            </w:r>
            <w:r w:rsidR="00BB46AE" w:rsidRPr="00E16672">
              <w:rPr>
                <w:i w:val="0"/>
                <w:sz w:val="16"/>
                <w:szCs w:val="16"/>
                <w:lang w:val="uk-UA"/>
              </w:rPr>
              <w:t>, термін (строк) дії (за наявності)  _________________</w:t>
            </w:r>
            <w:r w:rsidRPr="00E16672">
              <w:rPr>
                <w:i w:val="0"/>
                <w:sz w:val="16"/>
                <w:szCs w:val="16"/>
              </w:rPr>
              <w:t xml:space="preserve"> (</w:t>
            </w:r>
            <w:proofErr w:type="spellStart"/>
            <w:r w:rsidRPr="00E16672">
              <w:rPr>
                <w:i w:val="0"/>
                <w:sz w:val="16"/>
                <w:szCs w:val="16"/>
              </w:rPr>
              <w:t>надалі</w:t>
            </w:r>
            <w:proofErr w:type="spellEnd"/>
            <w:r w:rsidRPr="00E16672">
              <w:rPr>
                <w:i w:val="0"/>
                <w:sz w:val="16"/>
                <w:szCs w:val="16"/>
              </w:rPr>
              <w:t xml:space="preserve"> – Депонент) в </w:t>
            </w:r>
            <w:proofErr w:type="spellStart"/>
            <w:r w:rsidRPr="00E16672">
              <w:rPr>
                <w:i w:val="0"/>
                <w:sz w:val="16"/>
                <w:szCs w:val="16"/>
              </w:rPr>
              <w:t>особі</w:t>
            </w:r>
            <w:proofErr w:type="spellEnd"/>
            <w:r w:rsidRPr="00E16672">
              <w:rPr>
                <w:i w:val="0"/>
                <w:sz w:val="16"/>
                <w:szCs w:val="16"/>
              </w:rPr>
              <w:t xml:space="preserve"> _________________________________, </w:t>
            </w:r>
            <w:proofErr w:type="spellStart"/>
            <w:r w:rsidRPr="00E16672">
              <w:rPr>
                <w:i w:val="0"/>
                <w:sz w:val="16"/>
                <w:szCs w:val="16"/>
              </w:rPr>
              <w:t>що</w:t>
            </w:r>
            <w:proofErr w:type="spellEnd"/>
            <w:r w:rsidRPr="00E16672">
              <w:rPr>
                <w:i w:val="0"/>
                <w:sz w:val="16"/>
                <w:szCs w:val="16"/>
              </w:rPr>
              <w:t xml:space="preserve"> </w:t>
            </w:r>
            <w:proofErr w:type="spellStart"/>
            <w:r w:rsidRPr="00E16672">
              <w:rPr>
                <w:i w:val="0"/>
                <w:sz w:val="16"/>
                <w:szCs w:val="16"/>
              </w:rPr>
              <w:t>діє</w:t>
            </w:r>
            <w:proofErr w:type="spellEnd"/>
            <w:r w:rsidRPr="00E16672">
              <w:rPr>
                <w:i w:val="0"/>
                <w:sz w:val="16"/>
                <w:szCs w:val="16"/>
              </w:rPr>
              <w:t xml:space="preserve"> на </w:t>
            </w:r>
            <w:proofErr w:type="spellStart"/>
            <w:r w:rsidRPr="00E16672">
              <w:rPr>
                <w:i w:val="0"/>
                <w:sz w:val="16"/>
                <w:szCs w:val="16"/>
              </w:rPr>
              <w:t>підставі</w:t>
            </w:r>
            <w:proofErr w:type="spellEnd"/>
            <w:r w:rsidRPr="00E16672">
              <w:rPr>
                <w:i w:val="0"/>
                <w:sz w:val="16"/>
                <w:szCs w:val="16"/>
              </w:rPr>
              <w:t xml:space="preserve"> (</w:t>
            </w:r>
            <w:proofErr w:type="spellStart"/>
            <w:r w:rsidRPr="00E16672">
              <w:rPr>
                <w:i w:val="0"/>
                <w:sz w:val="16"/>
                <w:szCs w:val="16"/>
              </w:rPr>
              <w:t>власного</w:t>
            </w:r>
            <w:proofErr w:type="spellEnd"/>
            <w:r w:rsidRPr="00E16672">
              <w:rPr>
                <w:i w:val="0"/>
                <w:sz w:val="16"/>
                <w:szCs w:val="16"/>
              </w:rPr>
              <w:t xml:space="preserve"> </w:t>
            </w:r>
            <w:proofErr w:type="spellStart"/>
            <w:r w:rsidRPr="00E16672">
              <w:rPr>
                <w:i w:val="0"/>
                <w:sz w:val="16"/>
                <w:szCs w:val="16"/>
              </w:rPr>
              <w:t>волевиявлення</w:t>
            </w:r>
            <w:proofErr w:type="spellEnd"/>
            <w:r w:rsidRPr="00E16672">
              <w:rPr>
                <w:i w:val="0"/>
                <w:sz w:val="16"/>
                <w:szCs w:val="16"/>
              </w:rPr>
              <w:t xml:space="preserve">, </w:t>
            </w:r>
            <w:proofErr w:type="spellStart"/>
            <w:r w:rsidRPr="00E16672">
              <w:rPr>
                <w:i w:val="0"/>
                <w:sz w:val="16"/>
                <w:szCs w:val="16"/>
              </w:rPr>
              <w:t>довіреності</w:t>
            </w:r>
            <w:proofErr w:type="spellEnd"/>
            <w:r w:rsidRPr="00E16672">
              <w:rPr>
                <w:i w:val="0"/>
                <w:sz w:val="16"/>
                <w:szCs w:val="16"/>
              </w:rPr>
              <w:t xml:space="preserve"> №____ </w:t>
            </w:r>
            <w:proofErr w:type="spellStart"/>
            <w:r w:rsidRPr="00E16672">
              <w:rPr>
                <w:i w:val="0"/>
                <w:sz w:val="16"/>
                <w:szCs w:val="16"/>
              </w:rPr>
              <w:t>від</w:t>
            </w:r>
            <w:proofErr w:type="spellEnd"/>
            <w:r w:rsidRPr="00E16672">
              <w:rPr>
                <w:i w:val="0"/>
                <w:sz w:val="16"/>
                <w:szCs w:val="16"/>
              </w:rPr>
              <w:t xml:space="preserve"> ________) з </w:t>
            </w:r>
            <w:proofErr w:type="spellStart"/>
            <w:r w:rsidRPr="00E16672">
              <w:rPr>
                <w:i w:val="0"/>
                <w:sz w:val="16"/>
                <w:szCs w:val="16"/>
              </w:rPr>
              <w:t>другої</w:t>
            </w:r>
            <w:proofErr w:type="spellEnd"/>
            <w:r w:rsidRPr="00E16672">
              <w:rPr>
                <w:i w:val="0"/>
                <w:sz w:val="16"/>
                <w:szCs w:val="16"/>
              </w:rPr>
              <w:t xml:space="preserve"> </w:t>
            </w:r>
            <w:proofErr w:type="spellStart"/>
            <w:r w:rsidRPr="00E16672">
              <w:rPr>
                <w:i w:val="0"/>
                <w:sz w:val="16"/>
                <w:szCs w:val="16"/>
              </w:rPr>
              <w:t>сторони</w:t>
            </w:r>
            <w:proofErr w:type="spellEnd"/>
            <w:r w:rsidRPr="00E16672">
              <w:rPr>
                <w:i w:val="0"/>
                <w:sz w:val="16"/>
                <w:szCs w:val="16"/>
              </w:rPr>
              <w:t xml:space="preserve">, а разом </w:t>
            </w:r>
            <w:proofErr w:type="spellStart"/>
            <w:r w:rsidRPr="00E16672">
              <w:rPr>
                <w:i w:val="0"/>
                <w:sz w:val="16"/>
                <w:szCs w:val="16"/>
              </w:rPr>
              <w:t>надалі</w:t>
            </w:r>
            <w:proofErr w:type="spellEnd"/>
            <w:r w:rsidRPr="00E16672">
              <w:rPr>
                <w:i w:val="0"/>
                <w:sz w:val="16"/>
                <w:szCs w:val="16"/>
              </w:rPr>
              <w:t xml:space="preserve"> </w:t>
            </w:r>
            <w:proofErr w:type="spellStart"/>
            <w:r w:rsidRPr="00E16672">
              <w:rPr>
                <w:i w:val="0"/>
                <w:sz w:val="16"/>
                <w:szCs w:val="16"/>
              </w:rPr>
              <w:t>іменовані</w:t>
            </w:r>
            <w:proofErr w:type="spellEnd"/>
            <w:r w:rsidRPr="00E16672">
              <w:rPr>
                <w:i w:val="0"/>
                <w:sz w:val="16"/>
                <w:szCs w:val="16"/>
              </w:rPr>
              <w:t xml:space="preserve"> </w:t>
            </w:r>
            <w:proofErr w:type="spellStart"/>
            <w:r w:rsidRPr="00E16672">
              <w:rPr>
                <w:i w:val="0"/>
                <w:sz w:val="16"/>
                <w:szCs w:val="16"/>
              </w:rPr>
              <w:t>Сторони</w:t>
            </w:r>
            <w:proofErr w:type="spellEnd"/>
            <w:r w:rsidRPr="00E16672">
              <w:rPr>
                <w:i w:val="0"/>
                <w:sz w:val="16"/>
                <w:szCs w:val="16"/>
              </w:rPr>
              <w:t xml:space="preserve">, </w:t>
            </w:r>
            <w:proofErr w:type="spellStart"/>
            <w:r w:rsidRPr="00E16672">
              <w:rPr>
                <w:i w:val="0"/>
                <w:sz w:val="16"/>
                <w:szCs w:val="16"/>
              </w:rPr>
              <w:t>уклали</w:t>
            </w:r>
            <w:proofErr w:type="spellEnd"/>
            <w:r w:rsidRPr="00E16672">
              <w:rPr>
                <w:i w:val="0"/>
                <w:sz w:val="16"/>
                <w:szCs w:val="16"/>
              </w:rPr>
              <w:t xml:space="preserve"> </w:t>
            </w:r>
            <w:proofErr w:type="spellStart"/>
            <w:r w:rsidRPr="00E16672">
              <w:rPr>
                <w:i w:val="0"/>
                <w:sz w:val="16"/>
                <w:szCs w:val="16"/>
              </w:rPr>
              <w:t>цей</w:t>
            </w:r>
            <w:proofErr w:type="spellEnd"/>
            <w:r w:rsidRPr="00E16672">
              <w:rPr>
                <w:i w:val="0"/>
                <w:sz w:val="16"/>
                <w:szCs w:val="16"/>
              </w:rPr>
              <w:t xml:space="preserve"> </w:t>
            </w:r>
            <w:proofErr w:type="spellStart"/>
            <w:r w:rsidRPr="00E16672">
              <w:rPr>
                <w:i w:val="0"/>
                <w:sz w:val="16"/>
                <w:szCs w:val="16"/>
              </w:rPr>
              <w:t>Договір</w:t>
            </w:r>
            <w:proofErr w:type="spellEnd"/>
            <w:r w:rsidRPr="00E16672">
              <w:rPr>
                <w:i w:val="0"/>
                <w:sz w:val="16"/>
                <w:szCs w:val="16"/>
              </w:rPr>
              <w:t xml:space="preserve"> про </w:t>
            </w:r>
            <w:proofErr w:type="spellStart"/>
            <w:r w:rsidRPr="00E16672">
              <w:rPr>
                <w:i w:val="0"/>
                <w:sz w:val="16"/>
                <w:szCs w:val="16"/>
              </w:rPr>
              <w:t>обслуговування</w:t>
            </w:r>
            <w:proofErr w:type="spellEnd"/>
            <w:r w:rsidRPr="00E16672">
              <w:rPr>
                <w:i w:val="0"/>
                <w:sz w:val="16"/>
                <w:szCs w:val="16"/>
              </w:rPr>
              <w:t xml:space="preserve"> </w:t>
            </w:r>
            <w:proofErr w:type="spellStart"/>
            <w:r w:rsidR="001216E2" w:rsidRPr="00E16672">
              <w:rPr>
                <w:i w:val="0"/>
                <w:sz w:val="16"/>
                <w:szCs w:val="16"/>
              </w:rPr>
              <w:t>рахунк</w:t>
            </w:r>
            <w:proofErr w:type="spellEnd"/>
            <w:r w:rsidR="001216E2" w:rsidRPr="00E16672">
              <w:rPr>
                <w:i w:val="0"/>
                <w:sz w:val="16"/>
                <w:szCs w:val="16"/>
                <w:lang w:val="uk-UA"/>
              </w:rPr>
              <w:t>у</w:t>
            </w:r>
            <w:r w:rsidR="001216E2" w:rsidRPr="00E16672">
              <w:rPr>
                <w:i w:val="0"/>
                <w:sz w:val="16"/>
                <w:szCs w:val="16"/>
              </w:rPr>
              <w:t xml:space="preserve"> </w:t>
            </w:r>
            <w:r w:rsidRPr="00E16672">
              <w:rPr>
                <w:i w:val="0"/>
                <w:sz w:val="16"/>
                <w:szCs w:val="16"/>
              </w:rPr>
              <w:t xml:space="preserve">в </w:t>
            </w:r>
            <w:proofErr w:type="spellStart"/>
            <w:r w:rsidRPr="00E16672">
              <w:rPr>
                <w:i w:val="0"/>
                <w:sz w:val="16"/>
                <w:szCs w:val="16"/>
              </w:rPr>
              <w:t>цінних</w:t>
            </w:r>
            <w:proofErr w:type="spellEnd"/>
            <w:r w:rsidRPr="00E16672">
              <w:rPr>
                <w:i w:val="0"/>
                <w:sz w:val="16"/>
                <w:szCs w:val="16"/>
              </w:rPr>
              <w:t xml:space="preserve"> </w:t>
            </w:r>
            <w:proofErr w:type="spellStart"/>
            <w:r w:rsidRPr="00E16672">
              <w:rPr>
                <w:i w:val="0"/>
                <w:sz w:val="16"/>
                <w:szCs w:val="16"/>
              </w:rPr>
              <w:t>паперах</w:t>
            </w:r>
            <w:proofErr w:type="spellEnd"/>
            <w:r w:rsidRPr="00E16672">
              <w:rPr>
                <w:i w:val="0"/>
                <w:sz w:val="16"/>
                <w:szCs w:val="16"/>
              </w:rPr>
              <w:t xml:space="preserve"> (</w:t>
            </w:r>
            <w:proofErr w:type="spellStart"/>
            <w:r w:rsidRPr="00E16672">
              <w:rPr>
                <w:i w:val="0"/>
                <w:sz w:val="16"/>
                <w:szCs w:val="16"/>
              </w:rPr>
              <w:t>надалі</w:t>
            </w:r>
            <w:proofErr w:type="spellEnd"/>
            <w:r w:rsidRPr="00E16672">
              <w:rPr>
                <w:i w:val="0"/>
                <w:sz w:val="16"/>
                <w:szCs w:val="16"/>
              </w:rPr>
              <w:t xml:space="preserve"> – </w:t>
            </w:r>
            <w:proofErr w:type="spellStart"/>
            <w:r w:rsidRPr="00E16672">
              <w:rPr>
                <w:i w:val="0"/>
                <w:sz w:val="16"/>
                <w:szCs w:val="16"/>
              </w:rPr>
              <w:t>Договір</w:t>
            </w:r>
            <w:proofErr w:type="spellEnd"/>
            <w:r w:rsidRPr="00E16672">
              <w:rPr>
                <w:i w:val="0"/>
                <w:sz w:val="16"/>
                <w:szCs w:val="16"/>
              </w:rPr>
              <w:t xml:space="preserve">) про </w:t>
            </w:r>
            <w:proofErr w:type="spellStart"/>
            <w:r w:rsidRPr="00E16672">
              <w:rPr>
                <w:i w:val="0"/>
                <w:sz w:val="16"/>
                <w:szCs w:val="16"/>
              </w:rPr>
              <w:t>наступне</w:t>
            </w:r>
            <w:proofErr w:type="spellEnd"/>
            <w:r w:rsidRPr="00E16672">
              <w:rPr>
                <w:i w:val="0"/>
                <w:sz w:val="16"/>
                <w:szCs w:val="16"/>
              </w:rPr>
              <w:t>:</w:t>
            </w:r>
          </w:p>
          <w:p w14:paraId="3C7F1F45" w14:textId="77777777" w:rsidR="00397741" w:rsidRPr="00E16672" w:rsidRDefault="00397741" w:rsidP="001216E2">
            <w:pPr>
              <w:pStyle w:val="WW-1"/>
              <w:ind w:left="175" w:right="138" w:firstLine="284"/>
              <w:jc w:val="both"/>
              <w:rPr>
                <w:i w:val="0"/>
                <w:sz w:val="16"/>
                <w:szCs w:val="16"/>
              </w:rPr>
            </w:pPr>
          </w:p>
        </w:tc>
        <w:tc>
          <w:tcPr>
            <w:tcW w:w="5494" w:type="dxa"/>
            <w:gridSpan w:val="7"/>
            <w:shd w:val="clear" w:color="auto" w:fill="auto"/>
          </w:tcPr>
          <w:p w14:paraId="73DF62F8" w14:textId="77777777" w:rsidR="00502AEC" w:rsidRPr="00E16672" w:rsidRDefault="00502AEC">
            <w:pPr>
              <w:snapToGrid w:val="0"/>
              <w:ind w:left="57" w:right="57"/>
              <w:jc w:val="center"/>
              <w:rPr>
                <w:rFonts w:ascii="Times New Roman" w:hAnsi="Times New Roman"/>
                <w:b/>
                <w:bCs/>
                <w:sz w:val="16"/>
                <w:szCs w:val="16"/>
                <w:lang w:val="en-GB"/>
              </w:rPr>
            </w:pPr>
            <w:r w:rsidRPr="00E16672">
              <w:rPr>
                <w:rFonts w:ascii="Times New Roman" w:hAnsi="Times New Roman"/>
                <w:b/>
                <w:bCs/>
                <w:sz w:val="16"/>
                <w:szCs w:val="16"/>
                <w:lang w:val="en-US"/>
              </w:rPr>
              <w:t>AGREEMENT</w:t>
            </w:r>
            <w:r w:rsidRPr="00E16672">
              <w:rPr>
                <w:rFonts w:ascii="Times New Roman" w:hAnsi="Times New Roman"/>
                <w:b/>
                <w:bCs/>
                <w:sz w:val="16"/>
                <w:szCs w:val="16"/>
                <w:lang w:val="en-GB"/>
              </w:rPr>
              <w:t xml:space="preserve"> </w:t>
            </w:r>
          </w:p>
          <w:p w14:paraId="5BE4BA2E" w14:textId="77777777" w:rsidR="00502AEC" w:rsidRPr="00E16672" w:rsidRDefault="00502AEC">
            <w:pPr>
              <w:snapToGrid w:val="0"/>
              <w:ind w:left="57" w:right="57"/>
              <w:jc w:val="center"/>
              <w:rPr>
                <w:rFonts w:ascii="Times New Roman" w:hAnsi="Times New Roman"/>
                <w:b/>
                <w:bCs/>
                <w:sz w:val="16"/>
                <w:szCs w:val="16"/>
                <w:lang w:val="en-US"/>
              </w:rPr>
            </w:pPr>
            <w:r w:rsidRPr="00E16672">
              <w:rPr>
                <w:rFonts w:ascii="Times New Roman" w:hAnsi="Times New Roman"/>
                <w:b/>
                <w:bCs/>
                <w:caps/>
                <w:sz w:val="16"/>
                <w:szCs w:val="16"/>
                <w:lang w:val="en-US"/>
              </w:rPr>
              <w:t xml:space="preserve">on </w:t>
            </w:r>
            <w:proofErr w:type="gramStart"/>
            <w:r w:rsidRPr="00E16672">
              <w:rPr>
                <w:rFonts w:ascii="Times New Roman" w:hAnsi="Times New Roman"/>
                <w:b/>
                <w:bCs/>
                <w:caps/>
                <w:sz w:val="16"/>
                <w:szCs w:val="16"/>
                <w:lang w:val="en-US"/>
              </w:rPr>
              <w:t>servicing</w:t>
            </w:r>
            <w:r w:rsidRPr="00F23413">
              <w:rPr>
                <w:rStyle w:val="hpsalt-edited"/>
                <w:rFonts w:ascii="Times New Roman" w:hAnsi="Times New Roman"/>
                <w:sz w:val="16"/>
                <w:szCs w:val="16"/>
                <w:lang w:val="en-US"/>
              </w:rPr>
              <w:t xml:space="preserve"> </w:t>
            </w:r>
            <w:r w:rsidRPr="00E16672">
              <w:rPr>
                <w:rFonts w:ascii="Times New Roman" w:hAnsi="Times New Roman"/>
                <w:b/>
                <w:bCs/>
                <w:sz w:val="16"/>
                <w:szCs w:val="16"/>
                <w:lang w:val="en-GB"/>
              </w:rPr>
              <w:t xml:space="preserve"> </w:t>
            </w:r>
            <w:r w:rsidRPr="00E16672">
              <w:rPr>
                <w:rFonts w:ascii="Times New Roman" w:hAnsi="Times New Roman"/>
                <w:b/>
                <w:bCs/>
                <w:sz w:val="16"/>
                <w:szCs w:val="16"/>
                <w:lang w:val="en-US"/>
              </w:rPr>
              <w:t>THE</w:t>
            </w:r>
            <w:proofErr w:type="gramEnd"/>
            <w:r w:rsidRPr="00E16672">
              <w:rPr>
                <w:rFonts w:ascii="Times New Roman" w:hAnsi="Times New Roman"/>
                <w:b/>
                <w:bCs/>
                <w:sz w:val="16"/>
                <w:szCs w:val="16"/>
                <w:lang w:val="en-GB"/>
              </w:rPr>
              <w:t xml:space="preserve"> </w:t>
            </w:r>
            <w:r w:rsidRPr="00E16672">
              <w:rPr>
                <w:rFonts w:ascii="Times New Roman" w:hAnsi="Times New Roman"/>
                <w:b/>
                <w:bCs/>
                <w:sz w:val="16"/>
                <w:szCs w:val="16"/>
                <w:lang w:val="en-US"/>
              </w:rPr>
              <w:t>ACCOUNT</w:t>
            </w:r>
            <w:r w:rsidRPr="00E16672">
              <w:rPr>
                <w:rFonts w:ascii="Times New Roman" w:hAnsi="Times New Roman"/>
                <w:b/>
                <w:bCs/>
                <w:sz w:val="16"/>
                <w:szCs w:val="16"/>
                <w:lang w:val="en-GB"/>
              </w:rPr>
              <w:t xml:space="preserve"> </w:t>
            </w:r>
            <w:r w:rsidRPr="00E16672">
              <w:rPr>
                <w:rFonts w:ascii="Times New Roman" w:hAnsi="Times New Roman"/>
                <w:b/>
                <w:bCs/>
                <w:sz w:val="16"/>
                <w:szCs w:val="16"/>
                <w:lang w:val="en-US"/>
              </w:rPr>
              <w:t>IN</w:t>
            </w:r>
            <w:r w:rsidRPr="00E16672">
              <w:rPr>
                <w:rFonts w:ascii="Times New Roman" w:hAnsi="Times New Roman"/>
                <w:b/>
                <w:bCs/>
                <w:sz w:val="16"/>
                <w:szCs w:val="16"/>
                <w:lang w:val="en-GB"/>
              </w:rPr>
              <w:t xml:space="preserve"> </w:t>
            </w:r>
            <w:r w:rsidRPr="00E16672">
              <w:rPr>
                <w:rFonts w:ascii="Times New Roman" w:hAnsi="Times New Roman"/>
                <w:b/>
                <w:bCs/>
                <w:sz w:val="16"/>
                <w:szCs w:val="16"/>
                <w:lang w:val="en-US"/>
              </w:rPr>
              <w:t>SECURITIES</w:t>
            </w:r>
          </w:p>
          <w:p w14:paraId="70C75ABD" w14:textId="77777777" w:rsidR="00502AEC" w:rsidRPr="00457728" w:rsidRDefault="00502AEC">
            <w:pPr>
              <w:ind w:left="57" w:right="57"/>
              <w:jc w:val="center"/>
              <w:rPr>
                <w:rFonts w:ascii="Times New Roman" w:hAnsi="Times New Roman"/>
                <w:b/>
                <w:bCs/>
                <w:sz w:val="16"/>
                <w:szCs w:val="16"/>
                <w:lang w:val="en-US"/>
              </w:rPr>
            </w:pPr>
            <w:r w:rsidRPr="00E16672">
              <w:rPr>
                <w:rFonts w:ascii="Times New Roman" w:hAnsi="Times New Roman"/>
                <w:b/>
                <w:bCs/>
                <w:sz w:val="16"/>
                <w:szCs w:val="16"/>
                <w:lang w:val="en-GB"/>
              </w:rPr>
              <w:t xml:space="preserve"># </w:t>
            </w:r>
            <w:r w:rsidRPr="00E16672">
              <w:rPr>
                <w:rFonts w:ascii="Times New Roman" w:eastAsia="Arial" w:hAnsi="Times New Roman"/>
                <w:b/>
                <w:sz w:val="16"/>
                <w:szCs w:val="16"/>
                <w:lang w:val="en-GB"/>
              </w:rPr>
              <w:t>_</w:t>
            </w:r>
            <w:r w:rsidRPr="00E16672">
              <w:rPr>
                <w:rFonts w:ascii="Times New Roman" w:hAnsi="Times New Roman"/>
                <w:b/>
                <w:bCs/>
                <w:sz w:val="16"/>
                <w:szCs w:val="16"/>
                <w:lang w:val="en-GB"/>
              </w:rPr>
              <w:t>_</w:t>
            </w:r>
            <w:r w:rsidRPr="00E16672">
              <w:rPr>
                <w:rFonts w:ascii="Times New Roman" w:hAnsi="Times New Roman"/>
                <w:b/>
                <w:bCs/>
                <w:sz w:val="16"/>
                <w:szCs w:val="16"/>
                <w:lang w:val="en-US"/>
              </w:rPr>
              <w:t>___</w:t>
            </w:r>
            <w:r w:rsidRPr="00E16672">
              <w:rPr>
                <w:rFonts w:ascii="Times New Roman" w:hAnsi="Times New Roman"/>
                <w:b/>
                <w:bCs/>
                <w:sz w:val="16"/>
                <w:szCs w:val="16"/>
                <w:lang w:val="en-GB"/>
              </w:rPr>
              <w:t>/_____</w:t>
            </w:r>
            <w:r w:rsidR="00457728">
              <w:rPr>
                <w:rFonts w:ascii="Times New Roman" w:hAnsi="Times New Roman"/>
                <w:b/>
                <w:bCs/>
                <w:sz w:val="16"/>
                <w:szCs w:val="16"/>
                <w:lang w:val="uk-UA"/>
              </w:rPr>
              <w:t>/</w:t>
            </w:r>
            <w:r w:rsidR="00457728">
              <w:rPr>
                <w:rFonts w:ascii="Times New Roman" w:hAnsi="Times New Roman"/>
                <w:b/>
                <w:bCs/>
                <w:sz w:val="16"/>
                <w:szCs w:val="16"/>
                <w:lang w:val="en-US"/>
              </w:rPr>
              <w:t>DU</w:t>
            </w:r>
          </w:p>
          <w:p w14:paraId="2AF0F14F" w14:textId="77777777" w:rsidR="00502AEC" w:rsidRPr="00E16672" w:rsidRDefault="00502AEC">
            <w:pPr>
              <w:ind w:right="57"/>
              <w:rPr>
                <w:rFonts w:ascii="Times New Roman" w:hAnsi="Times New Roman"/>
                <w:bCs/>
                <w:sz w:val="16"/>
                <w:szCs w:val="16"/>
                <w:lang w:val="en-GB"/>
              </w:rPr>
            </w:pPr>
          </w:p>
          <w:p w14:paraId="786625DC" w14:textId="77777777" w:rsidR="00502AEC" w:rsidRPr="00186785" w:rsidRDefault="00186785">
            <w:pPr>
              <w:ind w:left="57" w:right="57"/>
              <w:jc w:val="center"/>
              <w:rPr>
                <w:rFonts w:ascii="Times New Roman" w:hAnsi="Times New Roman"/>
                <w:bCs/>
                <w:sz w:val="16"/>
                <w:szCs w:val="16"/>
                <w:lang w:val="uk-UA"/>
              </w:rPr>
            </w:pPr>
            <w:r>
              <w:rPr>
                <w:rFonts w:ascii="Times New Roman" w:hAnsi="Times New Roman"/>
                <w:bCs/>
                <w:sz w:val="16"/>
                <w:szCs w:val="16"/>
                <w:lang w:val="en-US"/>
              </w:rPr>
              <w:t>Kyiv</w:t>
            </w:r>
            <w:r>
              <w:rPr>
                <w:rFonts w:ascii="Times New Roman" w:hAnsi="Times New Roman"/>
                <w:bCs/>
                <w:sz w:val="16"/>
                <w:szCs w:val="16"/>
                <w:lang w:val="uk-UA"/>
              </w:rPr>
              <w:t xml:space="preserve">                                        </w:t>
            </w:r>
            <w:r w:rsidR="00502AEC" w:rsidRPr="00E16672">
              <w:rPr>
                <w:rFonts w:ascii="Times New Roman" w:hAnsi="Times New Roman"/>
                <w:bCs/>
                <w:sz w:val="16"/>
                <w:szCs w:val="16"/>
                <w:u w:val="single"/>
                <w:lang w:val="en-GB"/>
              </w:rPr>
              <w:t>__________ _________</w:t>
            </w:r>
            <w:r w:rsidR="00502AEC" w:rsidRPr="00E16672">
              <w:rPr>
                <w:rFonts w:ascii="Times New Roman" w:hAnsi="Times New Roman"/>
                <w:bCs/>
                <w:sz w:val="16"/>
                <w:szCs w:val="16"/>
                <w:lang w:val="en-GB"/>
              </w:rPr>
              <w:t>, 20</w:t>
            </w:r>
            <w:r w:rsidR="00502AEC" w:rsidRPr="00E16672">
              <w:rPr>
                <w:rFonts w:ascii="Times New Roman" w:hAnsi="Times New Roman"/>
                <w:bCs/>
                <w:sz w:val="16"/>
                <w:szCs w:val="16"/>
                <w:u w:val="single"/>
                <w:lang w:val="en-GB"/>
              </w:rPr>
              <w:t>__</w:t>
            </w:r>
            <w:r w:rsidR="00502AEC" w:rsidRPr="00E16672">
              <w:rPr>
                <w:rFonts w:ascii="Times New Roman" w:hAnsi="Times New Roman"/>
                <w:bCs/>
                <w:sz w:val="16"/>
                <w:szCs w:val="16"/>
                <w:lang w:val="en-GB"/>
              </w:rPr>
              <w:t xml:space="preserve">_.        </w:t>
            </w:r>
            <w:r w:rsidR="00502AEC" w:rsidRPr="00E16672">
              <w:rPr>
                <w:rFonts w:ascii="Times New Roman" w:hAnsi="Times New Roman"/>
                <w:bCs/>
                <w:sz w:val="16"/>
                <w:szCs w:val="16"/>
                <w:lang w:val="en-US"/>
              </w:rPr>
              <w:t xml:space="preserve">      </w:t>
            </w:r>
            <w:r>
              <w:rPr>
                <w:rFonts w:ascii="Times New Roman" w:hAnsi="Times New Roman"/>
                <w:bCs/>
                <w:sz w:val="16"/>
                <w:szCs w:val="16"/>
                <w:lang w:val="en-GB"/>
              </w:rPr>
              <w:t xml:space="preserve"> </w:t>
            </w:r>
          </w:p>
          <w:p w14:paraId="01C751AD" w14:textId="77777777" w:rsidR="006742E6" w:rsidRPr="00E16672" w:rsidRDefault="006742E6">
            <w:pPr>
              <w:ind w:left="57" w:right="57"/>
              <w:jc w:val="center"/>
              <w:rPr>
                <w:rFonts w:ascii="Times New Roman" w:hAnsi="Times New Roman"/>
                <w:b/>
                <w:bCs/>
                <w:sz w:val="16"/>
                <w:szCs w:val="16"/>
                <w:lang w:val="en-GB"/>
              </w:rPr>
            </w:pPr>
          </w:p>
          <w:p w14:paraId="56950AED" w14:textId="77777777" w:rsidR="00502AEC" w:rsidRPr="00E16672" w:rsidRDefault="001E62BE" w:rsidP="004D052D">
            <w:pPr>
              <w:pStyle w:val="WW-0"/>
              <w:ind w:left="57" w:right="100" w:firstLine="376"/>
              <w:rPr>
                <w:rFonts w:ascii="Times New Roman" w:hAnsi="Times New Roman"/>
                <w:sz w:val="16"/>
                <w:szCs w:val="16"/>
                <w:lang w:val="en-GB"/>
              </w:rPr>
            </w:pPr>
            <w:r>
              <w:rPr>
                <w:rFonts w:ascii="Times New Roman" w:hAnsi="Times New Roman"/>
                <w:color w:val="000000"/>
                <w:sz w:val="16"/>
                <w:lang w:val="en-GB"/>
              </w:rPr>
              <w:t>COMEX Securities Limited</w:t>
            </w:r>
            <w:r w:rsidR="00350DB1" w:rsidRPr="00E16672">
              <w:rPr>
                <w:rFonts w:ascii="Times New Roman" w:hAnsi="Times New Roman"/>
                <w:color w:val="000000"/>
                <w:sz w:val="16"/>
                <w:lang w:val="en-US"/>
              </w:rPr>
              <w:t xml:space="preserve">, code according to EDRPOU </w:t>
            </w:r>
            <w:r w:rsidR="00E16672" w:rsidRPr="00E16672">
              <w:rPr>
                <w:rFonts w:ascii="Times New Roman" w:hAnsi="Times New Roman"/>
                <w:color w:val="000000"/>
                <w:sz w:val="16"/>
                <w:lang w:val="en-US"/>
              </w:rPr>
              <w:t>33153077</w:t>
            </w:r>
            <w:r w:rsidR="00350DB1" w:rsidRPr="00E16672">
              <w:rPr>
                <w:rFonts w:ascii="Times New Roman" w:hAnsi="Times New Roman"/>
                <w:color w:val="000000"/>
                <w:sz w:val="16"/>
                <w:lang w:val="en-US"/>
              </w:rPr>
              <w:t xml:space="preserve"> </w:t>
            </w:r>
            <w:r w:rsidR="00350DB1" w:rsidRPr="00E16672">
              <w:rPr>
                <w:rFonts w:ascii="Times New Roman" w:hAnsi="Times New Roman"/>
                <w:color w:val="000000"/>
                <w:sz w:val="16"/>
                <w:lang w:val="en-GB"/>
              </w:rPr>
              <w:t>(</w:t>
            </w:r>
            <w:r w:rsidR="00350DB1" w:rsidRPr="00E16672">
              <w:rPr>
                <w:rFonts w:ascii="Times New Roman" w:hAnsi="Times New Roman"/>
                <w:color w:val="000000"/>
                <w:sz w:val="16"/>
                <w:lang w:val="en-US"/>
              </w:rPr>
              <w:t>hereinafter referred to as Depository institution</w:t>
            </w:r>
            <w:r w:rsidR="00350DB1" w:rsidRPr="00E16672">
              <w:rPr>
                <w:rFonts w:ascii="Times New Roman" w:hAnsi="Times New Roman"/>
                <w:color w:val="000000"/>
                <w:sz w:val="16"/>
                <w:lang w:val="en-GB"/>
              </w:rPr>
              <w:t>)</w:t>
            </w:r>
            <w:r w:rsidR="00350DB1" w:rsidRPr="00E16672">
              <w:rPr>
                <w:rFonts w:ascii="Times New Roman" w:hAnsi="Times New Roman"/>
                <w:color w:val="000000"/>
                <w:sz w:val="16"/>
                <w:lang w:val="en-US"/>
              </w:rPr>
              <w:t xml:space="preserve">, providing the depository activity of the Depository institution on the basis of License АЕ № </w:t>
            </w:r>
            <w:r w:rsidR="00E16672" w:rsidRPr="00E16672">
              <w:rPr>
                <w:rFonts w:ascii="Times New Roman" w:hAnsi="Times New Roman"/>
                <w:color w:val="000000"/>
                <w:sz w:val="16"/>
                <w:lang w:val="en-US"/>
              </w:rPr>
              <w:t>263429</w:t>
            </w:r>
            <w:r w:rsidR="00350DB1" w:rsidRPr="00E16672">
              <w:rPr>
                <w:rFonts w:ascii="Times New Roman" w:hAnsi="Times New Roman"/>
                <w:color w:val="000000"/>
              </w:rPr>
              <w:t xml:space="preserve"> </w:t>
            </w:r>
            <w:r w:rsidR="00350DB1" w:rsidRPr="00E16672">
              <w:rPr>
                <w:rFonts w:ascii="Times New Roman" w:hAnsi="Times New Roman"/>
                <w:color w:val="000000"/>
                <w:sz w:val="16"/>
                <w:lang w:val="en-US"/>
              </w:rPr>
              <w:t xml:space="preserve">issued by the National Commission on Securities and Stock Market on </w:t>
            </w:r>
            <w:r w:rsidR="00E16672" w:rsidRPr="00E16672">
              <w:rPr>
                <w:rFonts w:ascii="Times New Roman" w:hAnsi="Times New Roman"/>
                <w:color w:val="000000"/>
                <w:sz w:val="16"/>
              </w:rPr>
              <w:t>01.10.2013</w:t>
            </w:r>
            <w:r w:rsidR="00350DB1" w:rsidRPr="00E16672">
              <w:rPr>
                <w:rFonts w:ascii="Times New Roman" w:hAnsi="Times New Roman"/>
                <w:color w:val="000000"/>
              </w:rPr>
              <w:t xml:space="preserve"> </w:t>
            </w:r>
            <w:r w:rsidR="00350DB1" w:rsidRPr="00E16672">
              <w:rPr>
                <w:rFonts w:ascii="Times New Roman" w:hAnsi="Times New Roman"/>
                <w:color w:val="000000"/>
                <w:sz w:val="16"/>
                <w:lang w:val="en-US"/>
              </w:rPr>
              <w:t>(hereinafter - NCSSM</w:t>
            </w:r>
            <w:r w:rsidR="00502AEC" w:rsidRPr="00E16672">
              <w:rPr>
                <w:rFonts w:ascii="Times New Roman" w:hAnsi="Times New Roman"/>
                <w:sz w:val="16"/>
                <w:szCs w:val="16"/>
                <w:lang w:val="en-US"/>
              </w:rPr>
              <w:t xml:space="preserve">) represented </w:t>
            </w:r>
            <w:proofErr w:type="gramStart"/>
            <w:r w:rsidR="00502AEC" w:rsidRPr="00E16672">
              <w:rPr>
                <w:rFonts w:ascii="Times New Roman" w:hAnsi="Times New Roman"/>
                <w:sz w:val="16"/>
                <w:szCs w:val="16"/>
                <w:lang w:val="en-US"/>
              </w:rPr>
              <w:t>by  the</w:t>
            </w:r>
            <w:proofErr w:type="gramEnd"/>
            <w:r w:rsidR="00350DB1" w:rsidRPr="00E16672">
              <w:rPr>
                <w:rFonts w:ascii="Times New Roman" w:hAnsi="Times New Roman"/>
                <w:sz w:val="16"/>
                <w:szCs w:val="16"/>
              </w:rPr>
              <w:t xml:space="preserve"> </w:t>
            </w:r>
            <w:r w:rsidR="00350DB1" w:rsidRPr="00E16672">
              <w:rPr>
                <w:rFonts w:ascii="Times New Roman" w:hAnsi="Times New Roman"/>
                <w:color w:val="000000"/>
                <w:sz w:val="16"/>
                <w:lang w:val="en-US"/>
              </w:rPr>
              <w:t xml:space="preserve">Director </w:t>
            </w:r>
            <w:r>
              <w:rPr>
                <w:rFonts w:ascii="Times New Roman" w:hAnsi="Times New Roman"/>
                <w:color w:val="000000"/>
                <w:sz w:val="16"/>
                <w:lang w:val="en-US"/>
              </w:rPr>
              <w:t xml:space="preserve">Ms. </w:t>
            </w:r>
            <w:proofErr w:type="spellStart"/>
            <w:r>
              <w:rPr>
                <w:rFonts w:ascii="Times New Roman" w:hAnsi="Times New Roman"/>
                <w:color w:val="000000"/>
                <w:sz w:val="16"/>
                <w:lang w:val="en-US"/>
              </w:rPr>
              <w:t>Korol</w:t>
            </w:r>
            <w:proofErr w:type="spellEnd"/>
            <w:r>
              <w:rPr>
                <w:rFonts w:ascii="Times New Roman" w:hAnsi="Times New Roman"/>
                <w:color w:val="000000"/>
                <w:sz w:val="16"/>
                <w:lang w:val="en-US"/>
              </w:rPr>
              <w:t xml:space="preserve"> Oxana</w:t>
            </w:r>
            <w:r w:rsidR="00350DB1" w:rsidRPr="00E16672">
              <w:rPr>
                <w:rFonts w:ascii="Times New Roman" w:hAnsi="Times New Roman"/>
                <w:color w:val="000000"/>
                <w:sz w:val="16"/>
              </w:rPr>
              <w:t>,</w:t>
            </w:r>
            <w:r w:rsidR="00350DB1" w:rsidRPr="00E16672">
              <w:rPr>
                <w:rFonts w:ascii="Times New Roman" w:hAnsi="Times New Roman"/>
                <w:color w:val="000000"/>
                <w:sz w:val="16"/>
                <w:lang w:val="en-US"/>
              </w:rPr>
              <w:t xml:space="preserve"> acting on the basis of </w:t>
            </w:r>
            <w:r w:rsidR="00350DB1" w:rsidRPr="00E16672">
              <w:rPr>
                <w:rFonts w:ascii="Times New Roman" w:hAnsi="Times New Roman"/>
                <w:color w:val="000000"/>
              </w:rPr>
              <w:t xml:space="preserve"> </w:t>
            </w:r>
            <w:r w:rsidR="00350DB1" w:rsidRPr="00E16672">
              <w:rPr>
                <w:rFonts w:ascii="Times New Roman" w:hAnsi="Times New Roman"/>
                <w:color w:val="000000"/>
                <w:sz w:val="16"/>
                <w:lang w:val="en-US"/>
              </w:rPr>
              <w:t>Statute</w:t>
            </w:r>
            <w:r w:rsidR="00502AEC" w:rsidRPr="00E16672">
              <w:rPr>
                <w:rFonts w:ascii="Times New Roman" w:hAnsi="Times New Roman"/>
                <w:sz w:val="16"/>
                <w:szCs w:val="16"/>
                <w:lang w:val="en-US"/>
              </w:rPr>
              <w:t>, on the one hand, and</w:t>
            </w:r>
            <w:r w:rsidR="00502AEC" w:rsidRPr="00E16672">
              <w:rPr>
                <w:rFonts w:ascii="Times New Roman" w:hAnsi="Times New Roman"/>
                <w:sz w:val="16"/>
                <w:szCs w:val="16"/>
                <w:lang w:val="en-GB"/>
              </w:rPr>
              <w:t xml:space="preserve"> ______________________________________________________</w:t>
            </w:r>
          </w:p>
          <w:p w14:paraId="20BC4AE8" w14:textId="77777777" w:rsidR="00D77858" w:rsidRDefault="00BB46AE" w:rsidP="00C35733">
            <w:pPr>
              <w:pStyle w:val="WW-0"/>
              <w:ind w:left="57" w:right="100"/>
              <w:rPr>
                <w:rFonts w:ascii="Times New Roman" w:hAnsi="Times New Roman"/>
                <w:i/>
                <w:sz w:val="16"/>
                <w:szCs w:val="20"/>
                <w:lang w:eastAsia="uk-UA"/>
              </w:rPr>
            </w:pPr>
            <w:r w:rsidRPr="00E16672">
              <w:rPr>
                <w:rFonts w:ascii="Times New Roman" w:hAnsi="Times New Roman"/>
                <w:i/>
                <w:sz w:val="16"/>
                <w:szCs w:val="20"/>
                <w:lang w:eastAsia="uk-UA"/>
              </w:rPr>
              <w:t>(</w:t>
            </w:r>
            <w:proofErr w:type="spellStart"/>
            <w:r w:rsidRPr="00E16672">
              <w:rPr>
                <w:rFonts w:ascii="Times New Roman" w:hAnsi="Times New Roman"/>
                <w:i/>
                <w:sz w:val="16"/>
                <w:szCs w:val="20"/>
                <w:lang w:eastAsia="uk-UA"/>
              </w:rPr>
              <w:t>surname</w:t>
            </w:r>
            <w:proofErr w:type="spellEnd"/>
            <w:r w:rsidRPr="00E16672">
              <w:rPr>
                <w:rFonts w:ascii="Times New Roman" w:hAnsi="Times New Roman"/>
                <w:i/>
                <w:sz w:val="16"/>
                <w:szCs w:val="20"/>
                <w:lang w:eastAsia="uk-UA"/>
              </w:rPr>
              <w:t xml:space="preserve">, </w:t>
            </w:r>
            <w:proofErr w:type="spellStart"/>
            <w:r w:rsidRPr="00E16672">
              <w:rPr>
                <w:rFonts w:ascii="Times New Roman" w:hAnsi="Times New Roman"/>
                <w:i/>
                <w:sz w:val="16"/>
                <w:szCs w:val="20"/>
                <w:lang w:eastAsia="uk-UA"/>
              </w:rPr>
              <w:t>name</w:t>
            </w:r>
            <w:proofErr w:type="spellEnd"/>
            <w:r w:rsidRPr="00E16672">
              <w:rPr>
                <w:rFonts w:ascii="Times New Roman" w:hAnsi="Times New Roman"/>
                <w:i/>
                <w:sz w:val="16"/>
                <w:szCs w:val="20"/>
                <w:lang w:eastAsia="uk-UA"/>
              </w:rPr>
              <w:t xml:space="preserve">, </w:t>
            </w:r>
            <w:proofErr w:type="spellStart"/>
            <w:r w:rsidRPr="00E16672">
              <w:rPr>
                <w:rFonts w:ascii="Times New Roman" w:hAnsi="Times New Roman"/>
                <w:i/>
                <w:sz w:val="16"/>
                <w:szCs w:val="20"/>
                <w:lang w:eastAsia="uk-UA"/>
              </w:rPr>
              <w:t>patronymic</w:t>
            </w:r>
            <w:proofErr w:type="spellEnd"/>
            <w:r w:rsidRPr="00E16672">
              <w:rPr>
                <w:rFonts w:ascii="Times New Roman" w:hAnsi="Times New Roman"/>
                <w:i/>
                <w:sz w:val="16"/>
                <w:szCs w:val="20"/>
                <w:lang w:eastAsia="uk-UA"/>
              </w:rPr>
              <w:t xml:space="preserve"> (</w:t>
            </w:r>
            <w:proofErr w:type="spellStart"/>
            <w:r w:rsidRPr="00E16672">
              <w:rPr>
                <w:rFonts w:ascii="Times New Roman" w:hAnsi="Times New Roman"/>
                <w:i/>
                <w:sz w:val="16"/>
                <w:szCs w:val="20"/>
                <w:lang w:eastAsia="uk-UA"/>
              </w:rPr>
              <w:t>if</w:t>
            </w:r>
            <w:proofErr w:type="spellEnd"/>
            <w:r w:rsidRPr="00E16672">
              <w:rPr>
                <w:rFonts w:ascii="Times New Roman" w:hAnsi="Times New Roman"/>
                <w:i/>
                <w:sz w:val="16"/>
                <w:szCs w:val="20"/>
                <w:lang w:eastAsia="uk-UA"/>
              </w:rPr>
              <w:t xml:space="preserve"> </w:t>
            </w:r>
            <w:proofErr w:type="spellStart"/>
            <w:r w:rsidRPr="00E16672">
              <w:rPr>
                <w:rFonts w:ascii="Times New Roman" w:hAnsi="Times New Roman"/>
                <w:i/>
                <w:sz w:val="16"/>
                <w:szCs w:val="20"/>
                <w:lang w:eastAsia="uk-UA"/>
              </w:rPr>
              <w:t>any</w:t>
            </w:r>
            <w:proofErr w:type="spellEnd"/>
            <w:r w:rsidRPr="00E16672">
              <w:rPr>
                <w:rFonts w:ascii="Times New Roman" w:hAnsi="Times New Roman"/>
                <w:i/>
                <w:sz w:val="16"/>
                <w:szCs w:val="20"/>
                <w:lang w:eastAsia="uk-UA"/>
              </w:rPr>
              <w:t>)</w:t>
            </w:r>
          </w:p>
          <w:p w14:paraId="2ED0FEF7" w14:textId="52945CE3" w:rsidR="00502AEC" w:rsidRPr="00E16672" w:rsidRDefault="00B335DD" w:rsidP="00C35733">
            <w:pPr>
              <w:pStyle w:val="WW-0"/>
              <w:ind w:left="57" w:right="100"/>
              <w:rPr>
                <w:rFonts w:ascii="Times New Roman" w:hAnsi="Times New Roman"/>
                <w:sz w:val="16"/>
                <w:szCs w:val="16"/>
                <w:lang w:val="en-US"/>
              </w:rPr>
            </w:pPr>
            <w:r w:rsidRPr="00E16672">
              <w:rPr>
                <w:rFonts w:ascii="Times New Roman" w:hAnsi="Times New Roman"/>
                <w:i/>
                <w:sz w:val="16"/>
                <w:szCs w:val="20"/>
                <w:lang w:val="en-US" w:eastAsia="uk-UA"/>
              </w:rPr>
              <w:t xml:space="preserve"> </w:t>
            </w:r>
            <w:r w:rsidR="00502AEC" w:rsidRPr="00E16672">
              <w:rPr>
                <w:rFonts w:ascii="Times New Roman" w:hAnsi="Times New Roman"/>
                <w:sz w:val="16"/>
                <w:szCs w:val="16"/>
                <w:lang w:val="en-US"/>
              </w:rPr>
              <w:t>passport</w:t>
            </w:r>
            <w:r w:rsidR="00502AEC" w:rsidRPr="00E16672">
              <w:rPr>
                <w:rFonts w:ascii="Times New Roman" w:hAnsi="Times New Roman"/>
                <w:sz w:val="16"/>
                <w:szCs w:val="16"/>
                <w:lang w:val="en-GB"/>
              </w:rPr>
              <w:t xml:space="preserve"> _________  issue  _____________</w:t>
            </w:r>
            <w:r w:rsidR="00C35733" w:rsidRPr="00E16672">
              <w:rPr>
                <w:rFonts w:ascii="Times New Roman" w:hAnsi="Times New Roman"/>
                <w:sz w:val="16"/>
                <w:szCs w:val="16"/>
              </w:rPr>
              <w:t xml:space="preserve">, </w:t>
            </w:r>
            <w:r w:rsidR="00C35733" w:rsidRPr="00E16672">
              <w:rPr>
                <w:rFonts w:ascii="Times New Roman" w:hAnsi="Times New Roman"/>
                <w:i/>
                <w:sz w:val="16"/>
                <w:szCs w:val="16"/>
                <w:lang w:val="en-US"/>
              </w:rPr>
              <w:t>term of the valid (if any)</w:t>
            </w:r>
            <w:r w:rsidR="00C35733" w:rsidRPr="00E16672">
              <w:rPr>
                <w:rFonts w:ascii="Times New Roman" w:hAnsi="Times New Roman"/>
                <w:i/>
                <w:sz w:val="16"/>
                <w:szCs w:val="16"/>
              </w:rPr>
              <w:t xml:space="preserve"> ____________, </w:t>
            </w:r>
            <w:r w:rsidR="00502AEC" w:rsidRPr="00E16672">
              <w:rPr>
                <w:rFonts w:ascii="Times New Roman" w:hAnsi="Times New Roman"/>
                <w:sz w:val="16"/>
                <w:szCs w:val="16"/>
                <w:lang w:val="en-GB"/>
              </w:rPr>
              <w:t>hereinafter referred to as Depositor, represented by ______________________________, acting on the basis of (</w:t>
            </w:r>
            <w:r w:rsidR="00502AEC" w:rsidRPr="00E16672">
              <w:rPr>
                <w:rFonts w:ascii="Times New Roman" w:hAnsi="Times New Roman"/>
                <w:sz w:val="16"/>
                <w:szCs w:val="16"/>
                <w:lang w:val="en-US"/>
              </w:rPr>
              <w:t>his own declaration of intent, Power of Attorney No_______ dated ____________</w:t>
            </w:r>
            <w:r w:rsidR="00502AEC" w:rsidRPr="00E16672">
              <w:rPr>
                <w:rFonts w:ascii="Times New Roman" w:hAnsi="Times New Roman"/>
                <w:sz w:val="16"/>
                <w:szCs w:val="16"/>
                <w:lang w:val="en-GB"/>
              </w:rPr>
              <w:t>)</w:t>
            </w:r>
            <w:r w:rsidR="00502AEC" w:rsidRPr="00E16672">
              <w:rPr>
                <w:rFonts w:ascii="Times New Roman" w:hAnsi="Times New Roman"/>
                <w:sz w:val="16"/>
                <w:szCs w:val="16"/>
                <w:lang w:val="en-US"/>
              </w:rPr>
              <w:t>, on the other hand, together referred to as Parties, have concluded this Agreement on servicing the account securities (hereinafter - Agreement) as follows:</w:t>
            </w:r>
          </w:p>
        </w:tc>
      </w:tr>
      <w:tr w:rsidR="00502AEC" w:rsidRPr="00F23413" w14:paraId="350054BC" w14:textId="77777777" w:rsidTr="00D77858">
        <w:tblPrEx>
          <w:tblCellMar>
            <w:left w:w="0" w:type="dxa"/>
            <w:right w:w="0" w:type="dxa"/>
          </w:tblCellMar>
        </w:tblPrEx>
        <w:trPr>
          <w:trHeight w:val="192"/>
        </w:trPr>
        <w:tc>
          <w:tcPr>
            <w:tcW w:w="5696" w:type="dxa"/>
            <w:gridSpan w:val="6"/>
            <w:shd w:val="clear" w:color="auto" w:fill="auto"/>
          </w:tcPr>
          <w:p w14:paraId="72D0C807" w14:textId="77777777" w:rsidR="00502AEC" w:rsidRPr="00E16672" w:rsidRDefault="00502AEC" w:rsidP="005B559F">
            <w:pPr>
              <w:snapToGrid w:val="0"/>
              <w:ind w:left="142" w:right="138"/>
              <w:jc w:val="center"/>
              <w:rPr>
                <w:rFonts w:ascii="Times New Roman" w:eastAsia="Arial" w:hAnsi="Times New Roman"/>
                <w:b/>
                <w:color w:val="000000"/>
                <w:sz w:val="16"/>
                <w:szCs w:val="16"/>
              </w:rPr>
            </w:pPr>
            <w:r w:rsidRPr="00E16672">
              <w:rPr>
                <w:rFonts w:ascii="Times New Roman" w:eastAsia="Arial" w:hAnsi="Times New Roman"/>
                <w:b/>
                <w:color w:val="000000"/>
                <w:sz w:val="16"/>
                <w:szCs w:val="16"/>
              </w:rPr>
              <w:t>1. ПРЕДМЕТ ДОГОВОРУ.</w:t>
            </w:r>
          </w:p>
          <w:p w14:paraId="4E96A516" w14:textId="77777777" w:rsidR="00502AEC" w:rsidRPr="00E16672" w:rsidRDefault="00502AEC" w:rsidP="005B559F">
            <w:pPr>
              <w:pStyle w:val="WW-0"/>
              <w:spacing w:after="120"/>
              <w:ind w:left="142" w:right="138"/>
              <w:rPr>
                <w:rFonts w:ascii="Times New Roman" w:hAnsi="Times New Roman"/>
                <w:color w:val="000000"/>
                <w:sz w:val="10"/>
                <w:szCs w:val="10"/>
              </w:rPr>
            </w:pPr>
            <w:r w:rsidRPr="00E16672">
              <w:rPr>
                <w:rFonts w:ascii="Times New Roman" w:hAnsi="Times New Roman"/>
                <w:color w:val="000000"/>
                <w:sz w:val="16"/>
                <w:szCs w:val="16"/>
              </w:rPr>
              <w:t>1.1. Д</w:t>
            </w:r>
            <w:r w:rsidR="007F7C17" w:rsidRPr="00E16672">
              <w:rPr>
                <w:rFonts w:ascii="Times New Roman" w:hAnsi="Times New Roman"/>
                <w:color w:val="000000"/>
                <w:sz w:val="16"/>
                <w:szCs w:val="16"/>
              </w:rPr>
              <w:t>епонент доручає, а д</w:t>
            </w:r>
            <w:r w:rsidRPr="00E16672">
              <w:rPr>
                <w:rFonts w:ascii="Times New Roman" w:hAnsi="Times New Roman"/>
                <w:color w:val="000000"/>
                <w:sz w:val="16"/>
                <w:szCs w:val="16"/>
              </w:rPr>
              <w:t xml:space="preserve">епозитарна установа зобов’язується у порядку, передбаченому законодавством, внутрішніми документами Депозитарної установи та цим Договором, надавати послуги щодо відкриття та обслуговування рахунку </w:t>
            </w:r>
            <w:r w:rsidR="00C22309" w:rsidRPr="00E16672">
              <w:rPr>
                <w:rFonts w:ascii="Times New Roman" w:hAnsi="Times New Roman"/>
                <w:color w:val="000000"/>
                <w:sz w:val="16"/>
                <w:szCs w:val="16"/>
              </w:rPr>
              <w:t>в цін</w:t>
            </w:r>
            <w:r w:rsidRPr="00E16672">
              <w:rPr>
                <w:rFonts w:ascii="Times New Roman" w:hAnsi="Times New Roman"/>
                <w:color w:val="000000"/>
                <w:sz w:val="16"/>
                <w:szCs w:val="16"/>
              </w:rPr>
              <w:t xml:space="preserve">них паперах Депонента, та вести на ньому облік цінних паперів, що належать Депоненту, а також облік прав Депонента на цінні папери, що обліковуються на  рахунку </w:t>
            </w:r>
            <w:r w:rsidR="00C22309" w:rsidRPr="00E16672">
              <w:rPr>
                <w:rFonts w:ascii="Times New Roman" w:hAnsi="Times New Roman"/>
                <w:color w:val="000000"/>
                <w:sz w:val="16"/>
                <w:szCs w:val="16"/>
              </w:rPr>
              <w:t>в цін</w:t>
            </w:r>
            <w:r w:rsidRPr="00E16672">
              <w:rPr>
                <w:rFonts w:ascii="Times New Roman" w:hAnsi="Times New Roman"/>
                <w:color w:val="000000"/>
                <w:sz w:val="16"/>
                <w:szCs w:val="16"/>
              </w:rPr>
              <w:t xml:space="preserve">них паперах, та обмеження таких прав,  проводити депозитарні операції за рахунком </w:t>
            </w:r>
            <w:r w:rsidR="00C22309" w:rsidRPr="00E16672">
              <w:rPr>
                <w:rFonts w:ascii="Times New Roman" w:hAnsi="Times New Roman"/>
                <w:color w:val="000000"/>
                <w:sz w:val="16"/>
                <w:szCs w:val="16"/>
              </w:rPr>
              <w:t>в цін</w:t>
            </w:r>
            <w:r w:rsidRPr="00E16672">
              <w:rPr>
                <w:rFonts w:ascii="Times New Roman" w:hAnsi="Times New Roman"/>
                <w:color w:val="000000"/>
                <w:sz w:val="16"/>
                <w:szCs w:val="16"/>
              </w:rPr>
              <w:t>них паперах Депонента на підставі розпоряджень Депонента</w:t>
            </w:r>
            <w:r w:rsidR="00C35733" w:rsidRPr="00E16672">
              <w:rPr>
                <w:rFonts w:ascii="Times New Roman" w:hAnsi="Times New Roman"/>
                <w:color w:val="000000"/>
                <w:sz w:val="16"/>
                <w:szCs w:val="16"/>
              </w:rPr>
              <w:t xml:space="preserve"> </w:t>
            </w:r>
            <w:r w:rsidR="00C35733" w:rsidRPr="00E16672">
              <w:rPr>
                <w:rStyle w:val="rvts0"/>
                <w:rFonts w:ascii="Times New Roman" w:hAnsi="Times New Roman"/>
                <w:sz w:val="16"/>
                <w:szCs w:val="16"/>
              </w:rPr>
              <w:t xml:space="preserve">(суб'єкта управління) </w:t>
            </w:r>
            <w:r w:rsidRPr="00E16672">
              <w:rPr>
                <w:rFonts w:ascii="Times New Roman" w:hAnsi="Times New Roman"/>
                <w:color w:val="000000"/>
                <w:sz w:val="16"/>
                <w:szCs w:val="16"/>
              </w:rPr>
              <w:t xml:space="preserve"> та в інший спосіб, передбачений законодавством, а також надавати інші послуги у процесі провадження депозитарної діяльності відповідно до “Положення про провадження депозитарної діяльності”, затвердженого рішенням НКЦПФР від 23.04.2013 року № 735, зареєстрованого в Міністерстві юстиції України 27.06.2013 року № 1084/23616 (далі – Положення</w:t>
            </w:r>
            <w:r w:rsidR="003843A8" w:rsidRPr="00E16672">
              <w:rPr>
                <w:rFonts w:ascii="Times New Roman" w:hAnsi="Times New Roman"/>
                <w:color w:val="000000"/>
                <w:sz w:val="18"/>
                <w:szCs w:val="18"/>
                <w:lang w:val="ru-RU"/>
              </w:rPr>
              <w:t xml:space="preserve"> </w:t>
            </w:r>
            <w:r w:rsidR="003843A8" w:rsidRPr="00E16672">
              <w:rPr>
                <w:rFonts w:ascii="Times New Roman" w:hAnsi="Times New Roman"/>
                <w:color w:val="000000"/>
                <w:sz w:val="16"/>
                <w:szCs w:val="16"/>
                <w:lang w:val="ru-RU"/>
              </w:rPr>
              <w:t xml:space="preserve">про </w:t>
            </w:r>
            <w:proofErr w:type="spellStart"/>
            <w:r w:rsidR="003843A8" w:rsidRPr="00E16672">
              <w:rPr>
                <w:rFonts w:ascii="Times New Roman" w:hAnsi="Times New Roman"/>
                <w:color w:val="000000"/>
                <w:sz w:val="16"/>
                <w:szCs w:val="16"/>
                <w:lang w:val="ru-RU"/>
              </w:rPr>
              <w:t>провадження</w:t>
            </w:r>
            <w:proofErr w:type="spellEnd"/>
            <w:r w:rsidR="003843A8" w:rsidRPr="00E16672">
              <w:rPr>
                <w:rFonts w:ascii="Times New Roman" w:hAnsi="Times New Roman"/>
                <w:color w:val="000000"/>
                <w:sz w:val="16"/>
                <w:szCs w:val="16"/>
                <w:lang w:val="ru-RU"/>
              </w:rPr>
              <w:t xml:space="preserve"> </w:t>
            </w:r>
            <w:proofErr w:type="spellStart"/>
            <w:r w:rsidR="003843A8" w:rsidRPr="00E16672">
              <w:rPr>
                <w:rFonts w:ascii="Times New Roman" w:hAnsi="Times New Roman"/>
                <w:color w:val="000000"/>
                <w:sz w:val="16"/>
                <w:szCs w:val="16"/>
                <w:lang w:val="ru-RU"/>
              </w:rPr>
              <w:t>депозитарно</w:t>
            </w:r>
            <w:proofErr w:type="spellEnd"/>
            <w:r w:rsidR="003843A8" w:rsidRPr="00E16672">
              <w:rPr>
                <w:rFonts w:ascii="Times New Roman" w:hAnsi="Times New Roman"/>
                <w:color w:val="000000"/>
                <w:sz w:val="16"/>
                <w:szCs w:val="16"/>
              </w:rPr>
              <w:t>ї діяльності</w:t>
            </w:r>
            <w:r w:rsidRPr="00E16672">
              <w:rPr>
                <w:rFonts w:ascii="Times New Roman" w:hAnsi="Times New Roman"/>
                <w:color w:val="000000"/>
                <w:sz w:val="16"/>
                <w:szCs w:val="16"/>
              </w:rPr>
              <w:t>), а Депонент зобов’язується оплатити послуги Депозитарної установи.</w:t>
            </w:r>
          </w:p>
        </w:tc>
        <w:tc>
          <w:tcPr>
            <w:tcW w:w="5494" w:type="dxa"/>
            <w:gridSpan w:val="7"/>
            <w:shd w:val="clear" w:color="auto" w:fill="auto"/>
          </w:tcPr>
          <w:p w14:paraId="0448103E" w14:textId="77777777" w:rsidR="00502AEC" w:rsidRPr="00E16672" w:rsidRDefault="00502AEC" w:rsidP="004D052D">
            <w:pPr>
              <w:snapToGrid w:val="0"/>
              <w:ind w:left="145" w:right="100"/>
              <w:jc w:val="center"/>
              <w:rPr>
                <w:rFonts w:ascii="Times New Roman" w:hAnsi="Times New Roman"/>
                <w:b/>
                <w:bCs/>
                <w:color w:val="000000"/>
                <w:sz w:val="16"/>
                <w:szCs w:val="16"/>
                <w:lang w:val="en-GB"/>
              </w:rPr>
            </w:pPr>
            <w:r w:rsidRPr="00E16672">
              <w:rPr>
                <w:rFonts w:ascii="Times New Roman" w:hAnsi="Times New Roman"/>
                <w:b/>
                <w:bCs/>
                <w:color w:val="000000"/>
                <w:sz w:val="16"/>
                <w:szCs w:val="16"/>
                <w:lang w:val="en-GB"/>
              </w:rPr>
              <w:t xml:space="preserve">1. </w:t>
            </w:r>
            <w:r w:rsidRPr="00E16672">
              <w:rPr>
                <w:rFonts w:ascii="Times New Roman" w:hAnsi="Times New Roman"/>
                <w:b/>
                <w:bCs/>
                <w:caps/>
                <w:color w:val="000000"/>
                <w:sz w:val="16"/>
                <w:szCs w:val="16"/>
                <w:lang w:val="en-GB"/>
              </w:rPr>
              <w:t>SUBJECT of the AGREEMENT</w:t>
            </w:r>
            <w:r w:rsidRPr="00E16672">
              <w:rPr>
                <w:rFonts w:ascii="Times New Roman" w:hAnsi="Times New Roman"/>
                <w:b/>
                <w:bCs/>
                <w:color w:val="000000"/>
                <w:sz w:val="16"/>
                <w:szCs w:val="16"/>
                <w:lang w:val="en-GB"/>
              </w:rPr>
              <w:t>.</w:t>
            </w:r>
          </w:p>
          <w:p w14:paraId="5BA3C66E" w14:textId="77777777" w:rsidR="00502AEC" w:rsidRPr="00E16672" w:rsidRDefault="00502AEC" w:rsidP="007F7C17">
            <w:pPr>
              <w:pStyle w:val="WW-0"/>
              <w:tabs>
                <w:tab w:val="left" w:pos="142"/>
                <w:tab w:val="left" w:pos="432"/>
                <w:tab w:val="left" w:pos="1080"/>
              </w:tabs>
              <w:ind w:left="145" w:right="100"/>
              <w:rPr>
                <w:rFonts w:ascii="Times New Roman" w:hAnsi="Times New Roman"/>
                <w:color w:val="000000"/>
                <w:sz w:val="16"/>
                <w:szCs w:val="16"/>
                <w:lang w:val="en-US"/>
              </w:rPr>
            </w:pPr>
            <w:r w:rsidRPr="00E16672">
              <w:rPr>
                <w:rFonts w:ascii="Times New Roman" w:hAnsi="Times New Roman"/>
                <w:color w:val="000000"/>
                <w:sz w:val="16"/>
                <w:szCs w:val="16"/>
              </w:rPr>
              <w:t xml:space="preserve">1.1. </w:t>
            </w:r>
            <w:proofErr w:type="spellStart"/>
            <w:r w:rsidR="00C35733" w:rsidRPr="00E16672">
              <w:rPr>
                <w:rFonts w:ascii="Times New Roman" w:hAnsi="Times New Roman"/>
                <w:sz w:val="16"/>
                <w:szCs w:val="16"/>
              </w:rPr>
              <w:t>The</w:t>
            </w:r>
            <w:proofErr w:type="spellEnd"/>
            <w:r w:rsidR="00C35733" w:rsidRPr="00E16672">
              <w:rPr>
                <w:rFonts w:ascii="Times New Roman" w:hAnsi="Times New Roman"/>
                <w:sz w:val="16"/>
                <w:szCs w:val="16"/>
              </w:rPr>
              <w:t xml:space="preserve"> </w:t>
            </w:r>
            <w:proofErr w:type="spellStart"/>
            <w:r w:rsidR="00C35733" w:rsidRPr="00E16672">
              <w:rPr>
                <w:rFonts w:ascii="Times New Roman" w:hAnsi="Times New Roman"/>
                <w:sz w:val="16"/>
                <w:szCs w:val="16"/>
              </w:rPr>
              <w:t>Deposit</w:t>
            </w:r>
            <w:r w:rsidR="007F7C17" w:rsidRPr="00E16672">
              <w:rPr>
                <w:rFonts w:ascii="Times New Roman" w:hAnsi="Times New Roman"/>
                <w:sz w:val="16"/>
                <w:szCs w:val="16"/>
              </w:rPr>
              <w:t>о</w:t>
            </w:r>
            <w:r w:rsidR="00C35733" w:rsidRPr="00E16672">
              <w:rPr>
                <w:rFonts w:ascii="Times New Roman" w:hAnsi="Times New Roman"/>
                <w:sz w:val="16"/>
                <w:szCs w:val="16"/>
              </w:rPr>
              <w:t>r</w:t>
            </w:r>
            <w:proofErr w:type="spellEnd"/>
            <w:r w:rsidR="00C35733" w:rsidRPr="00E16672">
              <w:rPr>
                <w:rFonts w:ascii="Times New Roman" w:hAnsi="Times New Roman"/>
                <w:sz w:val="16"/>
                <w:szCs w:val="16"/>
              </w:rPr>
              <w:t xml:space="preserve"> </w:t>
            </w:r>
            <w:proofErr w:type="spellStart"/>
            <w:r w:rsidR="00C35733" w:rsidRPr="00E16672">
              <w:rPr>
                <w:rFonts w:ascii="Times New Roman" w:hAnsi="Times New Roman"/>
                <w:sz w:val="16"/>
                <w:szCs w:val="16"/>
              </w:rPr>
              <w:t>entrusts</w:t>
            </w:r>
            <w:proofErr w:type="spellEnd"/>
            <w:r w:rsidR="00C35733" w:rsidRPr="00E16672">
              <w:rPr>
                <w:rFonts w:ascii="Times New Roman" w:hAnsi="Times New Roman"/>
                <w:sz w:val="16"/>
                <w:szCs w:val="16"/>
              </w:rPr>
              <w:t xml:space="preserve">, </w:t>
            </w:r>
            <w:proofErr w:type="spellStart"/>
            <w:r w:rsidR="00C35733" w:rsidRPr="00E16672">
              <w:rPr>
                <w:rFonts w:ascii="Times New Roman" w:hAnsi="Times New Roman"/>
                <w:sz w:val="16"/>
                <w:szCs w:val="16"/>
              </w:rPr>
              <w:t>and</w:t>
            </w:r>
            <w:proofErr w:type="spellEnd"/>
            <w:r w:rsidR="00C35733" w:rsidRPr="00E16672">
              <w:rPr>
                <w:rFonts w:ascii="Times New Roman" w:hAnsi="Times New Roman"/>
                <w:sz w:val="16"/>
                <w:szCs w:val="16"/>
              </w:rPr>
              <w:t xml:space="preserve"> </w:t>
            </w:r>
            <w:proofErr w:type="spellStart"/>
            <w:r w:rsidR="00C35733" w:rsidRPr="00E16672">
              <w:rPr>
                <w:rFonts w:ascii="Times New Roman" w:hAnsi="Times New Roman"/>
                <w:sz w:val="16"/>
                <w:szCs w:val="16"/>
              </w:rPr>
              <w:t>the</w:t>
            </w:r>
            <w:proofErr w:type="spellEnd"/>
            <w:r w:rsidR="00C35733" w:rsidRPr="00E16672">
              <w:rPr>
                <w:rFonts w:ascii="Times New Roman" w:hAnsi="Times New Roman"/>
              </w:rPr>
              <w:t xml:space="preserve"> </w:t>
            </w:r>
            <w:r w:rsidRPr="00E16672">
              <w:rPr>
                <w:rFonts w:ascii="Times New Roman" w:hAnsi="Times New Roman"/>
                <w:color w:val="000000"/>
                <w:sz w:val="16"/>
                <w:szCs w:val="16"/>
                <w:lang w:val="en-US"/>
              </w:rPr>
              <w:t>Depository institution shall in the manner prescribed by law, internal documents of  Depository institution and this Agreement, provide for opening and servicing the account in securities of Depositor,</w:t>
            </w:r>
            <w:r w:rsidRPr="00E16672">
              <w:rPr>
                <w:rStyle w:val="WW8Num7z0"/>
                <w:rFonts w:ascii="Times New Roman" w:hAnsi="Times New Roman"/>
                <w:color w:val="000000"/>
              </w:rPr>
              <w:t xml:space="preserve"> </w:t>
            </w:r>
            <w:r w:rsidRPr="00E16672">
              <w:rPr>
                <w:rFonts w:ascii="Times New Roman" w:hAnsi="Times New Roman"/>
                <w:color w:val="000000"/>
                <w:sz w:val="16"/>
                <w:szCs w:val="16"/>
                <w:lang w:val="en-US"/>
              </w:rPr>
              <w:t xml:space="preserve">and keep it records the securities owned by the Depositor and the Depositor records of securities rights is accounted for on a securities account and limiting such rights, to conduct depository account transactions in securities on the basis of the </w:t>
            </w:r>
            <w:r w:rsidR="00C35733" w:rsidRPr="00E16672">
              <w:rPr>
                <w:rFonts w:ascii="Times New Roman" w:hAnsi="Times New Roman"/>
                <w:color w:val="000000"/>
                <w:sz w:val="16"/>
                <w:szCs w:val="16"/>
                <w:lang w:val="en-US"/>
              </w:rPr>
              <w:t xml:space="preserve">orders of the </w:t>
            </w:r>
            <w:r w:rsidRPr="00E16672">
              <w:rPr>
                <w:rFonts w:ascii="Times New Roman" w:hAnsi="Times New Roman"/>
                <w:color w:val="000000"/>
                <w:sz w:val="16"/>
                <w:szCs w:val="16"/>
                <w:lang w:val="en-US"/>
              </w:rPr>
              <w:t xml:space="preserve">Depositor </w:t>
            </w:r>
            <w:r w:rsidR="00C35733" w:rsidRPr="00E16672">
              <w:rPr>
                <w:rFonts w:ascii="Times New Roman" w:hAnsi="Times New Roman"/>
                <w:color w:val="000000"/>
                <w:sz w:val="16"/>
                <w:szCs w:val="16"/>
              </w:rPr>
              <w:t>(</w:t>
            </w:r>
            <w:proofErr w:type="spellStart"/>
            <w:r w:rsidR="00C35733" w:rsidRPr="00E16672">
              <w:rPr>
                <w:rStyle w:val="shorttext"/>
                <w:rFonts w:ascii="Times New Roman" w:hAnsi="Times New Roman"/>
                <w:sz w:val="16"/>
                <w:szCs w:val="16"/>
              </w:rPr>
              <w:t>subject</w:t>
            </w:r>
            <w:proofErr w:type="spellEnd"/>
            <w:r w:rsidR="00C35733" w:rsidRPr="00E16672">
              <w:rPr>
                <w:rStyle w:val="shorttext"/>
                <w:rFonts w:ascii="Times New Roman" w:hAnsi="Times New Roman"/>
                <w:sz w:val="16"/>
                <w:szCs w:val="16"/>
              </w:rPr>
              <w:t xml:space="preserve"> </w:t>
            </w:r>
            <w:proofErr w:type="spellStart"/>
            <w:r w:rsidR="00C35733" w:rsidRPr="00E16672">
              <w:rPr>
                <w:rStyle w:val="shorttext"/>
                <w:rFonts w:ascii="Times New Roman" w:hAnsi="Times New Roman"/>
                <w:sz w:val="16"/>
                <w:szCs w:val="16"/>
              </w:rPr>
              <w:t>of</w:t>
            </w:r>
            <w:proofErr w:type="spellEnd"/>
            <w:r w:rsidR="00C35733" w:rsidRPr="00E16672">
              <w:rPr>
                <w:rStyle w:val="shorttext"/>
                <w:rFonts w:ascii="Times New Roman" w:hAnsi="Times New Roman"/>
                <w:sz w:val="16"/>
                <w:szCs w:val="16"/>
              </w:rPr>
              <w:t xml:space="preserve"> </w:t>
            </w:r>
            <w:proofErr w:type="spellStart"/>
            <w:r w:rsidR="00C35733" w:rsidRPr="00E16672">
              <w:rPr>
                <w:rStyle w:val="shorttext"/>
                <w:rFonts w:ascii="Times New Roman" w:hAnsi="Times New Roman"/>
                <w:sz w:val="16"/>
                <w:szCs w:val="16"/>
              </w:rPr>
              <w:t>management</w:t>
            </w:r>
            <w:proofErr w:type="spellEnd"/>
            <w:r w:rsidR="00C35733" w:rsidRPr="00E16672">
              <w:rPr>
                <w:rFonts w:ascii="Times New Roman" w:hAnsi="Times New Roman"/>
                <w:color w:val="000000"/>
                <w:sz w:val="16"/>
                <w:szCs w:val="16"/>
              </w:rPr>
              <w:t xml:space="preserve">) </w:t>
            </w:r>
            <w:r w:rsidRPr="00E16672">
              <w:rPr>
                <w:rFonts w:ascii="Times New Roman" w:hAnsi="Times New Roman"/>
                <w:color w:val="000000"/>
                <w:sz w:val="16"/>
                <w:szCs w:val="16"/>
                <w:lang w:val="en-US"/>
              </w:rPr>
              <w:t xml:space="preserve">otherwise provided legislation and provide other services in the proceedings of the depositary in accordance with the provisions of the proceedings of the depository approved by the NCSSM on 04.23.2013, № 735, registered with the Ministry of Justice of Ukraine  on 06.27.2013, № 1084 / 23616 (hereinafter - </w:t>
            </w:r>
            <w:proofErr w:type="spellStart"/>
            <w:r w:rsidR="003843A8" w:rsidRPr="00E16672">
              <w:rPr>
                <w:rFonts w:ascii="Times New Roman" w:hAnsi="Times New Roman"/>
                <w:bCs/>
                <w:color w:val="000000"/>
                <w:sz w:val="16"/>
                <w:szCs w:val="16"/>
              </w:rPr>
              <w:t>Regulation</w:t>
            </w:r>
            <w:proofErr w:type="spellEnd"/>
            <w:r w:rsidR="003843A8" w:rsidRPr="00E16672">
              <w:rPr>
                <w:rFonts w:ascii="Times New Roman" w:hAnsi="Times New Roman"/>
                <w:bCs/>
                <w:color w:val="000000"/>
                <w:sz w:val="16"/>
                <w:szCs w:val="16"/>
              </w:rPr>
              <w:t xml:space="preserve"> </w:t>
            </w:r>
            <w:proofErr w:type="spellStart"/>
            <w:r w:rsidR="003843A8" w:rsidRPr="00E16672">
              <w:rPr>
                <w:rFonts w:ascii="Times New Roman" w:hAnsi="Times New Roman"/>
                <w:bCs/>
                <w:color w:val="000000"/>
                <w:sz w:val="16"/>
                <w:szCs w:val="16"/>
              </w:rPr>
              <w:t>on</w:t>
            </w:r>
            <w:proofErr w:type="spellEnd"/>
            <w:r w:rsidR="003843A8" w:rsidRPr="00E16672">
              <w:rPr>
                <w:rFonts w:ascii="Times New Roman" w:hAnsi="Times New Roman"/>
                <w:bCs/>
                <w:color w:val="000000"/>
                <w:sz w:val="16"/>
                <w:szCs w:val="16"/>
              </w:rPr>
              <w:t xml:space="preserve"> </w:t>
            </w:r>
            <w:proofErr w:type="spellStart"/>
            <w:r w:rsidR="003843A8" w:rsidRPr="00E16672">
              <w:rPr>
                <w:rFonts w:ascii="Times New Roman" w:hAnsi="Times New Roman"/>
                <w:bCs/>
                <w:color w:val="000000"/>
                <w:sz w:val="16"/>
                <w:szCs w:val="16"/>
              </w:rPr>
              <w:t>depository</w:t>
            </w:r>
            <w:proofErr w:type="spellEnd"/>
            <w:r w:rsidR="003843A8" w:rsidRPr="00E16672">
              <w:rPr>
                <w:rFonts w:ascii="Times New Roman" w:hAnsi="Times New Roman"/>
                <w:bCs/>
                <w:color w:val="000000"/>
                <w:sz w:val="16"/>
                <w:szCs w:val="16"/>
              </w:rPr>
              <w:t xml:space="preserve"> </w:t>
            </w:r>
            <w:proofErr w:type="spellStart"/>
            <w:r w:rsidR="003843A8" w:rsidRPr="00E16672">
              <w:rPr>
                <w:rFonts w:ascii="Times New Roman" w:hAnsi="Times New Roman"/>
                <w:bCs/>
                <w:color w:val="000000"/>
                <w:sz w:val="16"/>
                <w:szCs w:val="16"/>
              </w:rPr>
              <w:t>activities</w:t>
            </w:r>
            <w:proofErr w:type="spellEnd"/>
            <w:r w:rsidRPr="00E16672">
              <w:rPr>
                <w:rFonts w:ascii="Times New Roman" w:hAnsi="Times New Roman"/>
                <w:color w:val="000000"/>
                <w:sz w:val="16"/>
                <w:szCs w:val="16"/>
                <w:lang w:val="en-US"/>
              </w:rPr>
              <w:t>), and Depositor undertakes to pay depository institution services.</w:t>
            </w:r>
          </w:p>
        </w:tc>
      </w:tr>
      <w:tr w:rsidR="00502AEC" w:rsidRPr="00F23413" w14:paraId="72F14574" w14:textId="77777777" w:rsidTr="00D77858">
        <w:tblPrEx>
          <w:tblCellMar>
            <w:left w:w="0" w:type="dxa"/>
            <w:right w:w="0" w:type="dxa"/>
          </w:tblCellMar>
        </w:tblPrEx>
        <w:trPr>
          <w:trHeight w:val="192"/>
        </w:trPr>
        <w:tc>
          <w:tcPr>
            <w:tcW w:w="5696" w:type="dxa"/>
            <w:gridSpan w:val="6"/>
            <w:shd w:val="clear" w:color="auto" w:fill="auto"/>
          </w:tcPr>
          <w:p w14:paraId="68BF83EA" w14:textId="77777777" w:rsidR="00502AEC" w:rsidRPr="00E16672" w:rsidRDefault="00502AEC" w:rsidP="00022F5F">
            <w:pPr>
              <w:pStyle w:val="WW-1"/>
              <w:snapToGrid w:val="0"/>
              <w:ind w:left="142" w:right="138"/>
              <w:jc w:val="left"/>
              <w:rPr>
                <w:i w:val="0"/>
                <w:sz w:val="16"/>
                <w:szCs w:val="16"/>
              </w:rPr>
            </w:pPr>
            <w:r w:rsidRPr="00E16672">
              <w:rPr>
                <w:i w:val="0"/>
                <w:sz w:val="16"/>
                <w:szCs w:val="16"/>
              </w:rPr>
              <w:t xml:space="preserve">1.2. </w:t>
            </w:r>
            <w:proofErr w:type="spellStart"/>
            <w:r w:rsidRPr="00E16672">
              <w:rPr>
                <w:i w:val="0"/>
                <w:sz w:val="16"/>
                <w:szCs w:val="16"/>
              </w:rPr>
              <w:t>Цінні</w:t>
            </w:r>
            <w:proofErr w:type="spellEnd"/>
            <w:r w:rsidRPr="00E16672">
              <w:rPr>
                <w:i w:val="0"/>
                <w:sz w:val="16"/>
                <w:szCs w:val="16"/>
              </w:rPr>
              <w:t xml:space="preserve"> </w:t>
            </w:r>
            <w:proofErr w:type="spellStart"/>
            <w:r w:rsidRPr="00E16672">
              <w:rPr>
                <w:i w:val="0"/>
                <w:sz w:val="16"/>
                <w:szCs w:val="16"/>
              </w:rPr>
              <w:t>папери</w:t>
            </w:r>
            <w:proofErr w:type="spellEnd"/>
            <w:r w:rsidRPr="00E16672">
              <w:rPr>
                <w:i w:val="0"/>
                <w:sz w:val="16"/>
                <w:szCs w:val="16"/>
              </w:rPr>
              <w:t xml:space="preserve"> (</w:t>
            </w:r>
            <w:proofErr w:type="spellStart"/>
            <w:r w:rsidRPr="00E16672">
              <w:rPr>
                <w:i w:val="0"/>
                <w:sz w:val="16"/>
                <w:szCs w:val="16"/>
              </w:rPr>
              <w:t>фінансовий</w:t>
            </w:r>
            <w:proofErr w:type="spellEnd"/>
            <w:r w:rsidRPr="00E16672">
              <w:rPr>
                <w:i w:val="0"/>
                <w:sz w:val="16"/>
                <w:szCs w:val="16"/>
              </w:rPr>
              <w:t xml:space="preserve"> актив) Депонента, права на </w:t>
            </w:r>
            <w:proofErr w:type="spellStart"/>
            <w:r w:rsidRPr="00E16672">
              <w:rPr>
                <w:i w:val="0"/>
                <w:sz w:val="16"/>
                <w:szCs w:val="16"/>
              </w:rPr>
              <w:t>які</w:t>
            </w:r>
            <w:proofErr w:type="spellEnd"/>
            <w:r w:rsidRPr="00E16672">
              <w:rPr>
                <w:i w:val="0"/>
                <w:sz w:val="16"/>
                <w:szCs w:val="16"/>
              </w:rPr>
              <w:t xml:space="preserve"> </w:t>
            </w:r>
            <w:proofErr w:type="spellStart"/>
            <w:r w:rsidRPr="00E16672">
              <w:rPr>
                <w:i w:val="0"/>
                <w:sz w:val="16"/>
                <w:szCs w:val="16"/>
              </w:rPr>
              <w:t>обліковуються</w:t>
            </w:r>
            <w:proofErr w:type="spellEnd"/>
            <w:r w:rsidRPr="00E16672">
              <w:rPr>
                <w:i w:val="0"/>
                <w:sz w:val="16"/>
                <w:szCs w:val="16"/>
              </w:rPr>
              <w:t xml:space="preserve"> Депозитарною </w:t>
            </w:r>
            <w:proofErr w:type="spellStart"/>
            <w:r w:rsidRPr="00E16672">
              <w:rPr>
                <w:i w:val="0"/>
                <w:sz w:val="16"/>
                <w:szCs w:val="16"/>
              </w:rPr>
              <w:t>установою</w:t>
            </w:r>
            <w:proofErr w:type="spellEnd"/>
            <w:r w:rsidRPr="00E16672">
              <w:rPr>
                <w:i w:val="0"/>
                <w:sz w:val="16"/>
                <w:szCs w:val="16"/>
              </w:rPr>
              <w:t xml:space="preserve"> </w:t>
            </w:r>
            <w:proofErr w:type="spellStart"/>
            <w:r w:rsidRPr="00E16672">
              <w:rPr>
                <w:i w:val="0"/>
                <w:sz w:val="16"/>
                <w:szCs w:val="16"/>
              </w:rPr>
              <w:t>відповідно</w:t>
            </w:r>
            <w:proofErr w:type="spellEnd"/>
            <w:r w:rsidRPr="00E16672">
              <w:rPr>
                <w:i w:val="0"/>
                <w:sz w:val="16"/>
                <w:szCs w:val="16"/>
              </w:rPr>
              <w:t xml:space="preserve"> до умов </w:t>
            </w:r>
            <w:proofErr w:type="spellStart"/>
            <w:r w:rsidRPr="00E16672">
              <w:rPr>
                <w:i w:val="0"/>
                <w:sz w:val="16"/>
                <w:szCs w:val="16"/>
              </w:rPr>
              <w:t>цього</w:t>
            </w:r>
            <w:proofErr w:type="spellEnd"/>
            <w:r w:rsidRPr="00E16672">
              <w:rPr>
                <w:i w:val="0"/>
                <w:sz w:val="16"/>
                <w:szCs w:val="16"/>
              </w:rPr>
              <w:t xml:space="preserve"> Договору, </w:t>
            </w:r>
            <w:proofErr w:type="spellStart"/>
            <w:r w:rsidRPr="00E16672">
              <w:rPr>
                <w:i w:val="0"/>
                <w:sz w:val="16"/>
                <w:szCs w:val="16"/>
              </w:rPr>
              <w:t>зберігаються</w:t>
            </w:r>
            <w:proofErr w:type="spellEnd"/>
            <w:r w:rsidRPr="00E16672">
              <w:rPr>
                <w:i w:val="0"/>
                <w:sz w:val="16"/>
                <w:szCs w:val="16"/>
              </w:rPr>
              <w:t xml:space="preserve"> </w:t>
            </w:r>
            <w:proofErr w:type="spellStart"/>
            <w:r w:rsidRPr="00E16672">
              <w:rPr>
                <w:i w:val="0"/>
                <w:sz w:val="16"/>
                <w:szCs w:val="16"/>
              </w:rPr>
              <w:t>Центральним</w:t>
            </w:r>
            <w:proofErr w:type="spellEnd"/>
            <w:r w:rsidRPr="00E16672">
              <w:rPr>
                <w:i w:val="0"/>
                <w:sz w:val="16"/>
                <w:szCs w:val="16"/>
              </w:rPr>
              <w:t xml:space="preserve"> </w:t>
            </w:r>
            <w:proofErr w:type="spellStart"/>
            <w:r w:rsidRPr="00E16672">
              <w:rPr>
                <w:i w:val="0"/>
                <w:sz w:val="16"/>
                <w:szCs w:val="16"/>
              </w:rPr>
              <w:t>депозитарієм</w:t>
            </w:r>
            <w:proofErr w:type="spellEnd"/>
            <w:r w:rsidRPr="00E16672">
              <w:rPr>
                <w:i w:val="0"/>
                <w:sz w:val="16"/>
                <w:szCs w:val="16"/>
              </w:rPr>
              <w:t xml:space="preserve"> </w:t>
            </w:r>
            <w:proofErr w:type="spellStart"/>
            <w:r w:rsidRPr="00E16672">
              <w:rPr>
                <w:i w:val="0"/>
                <w:sz w:val="16"/>
                <w:szCs w:val="16"/>
              </w:rPr>
              <w:t>цінних</w:t>
            </w:r>
            <w:proofErr w:type="spellEnd"/>
            <w:r w:rsidRPr="00E16672">
              <w:rPr>
                <w:i w:val="0"/>
                <w:sz w:val="16"/>
                <w:szCs w:val="16"/>
              </w:rPr>
              <w:t xml:space="preserve"> </w:t>
            </w:r>
            <w:proofErr w:type="spellStart"/>
            <w:r w:rsidRPr="00E16672">
              <w:rPr>
                <w:i w:val="0"/>
                <w:sz w:val="16"/>
                <w:szCs w:val="16"/>
              </w:rPr>
              <w:t>паперів</w:t>
            </w:r>
            <w:proofErr w:type="spellEnd"/>
            <w:r w:rsidRPr="00E16672">
              <w:rPr>
                <w:i w:val="0"/>
                <w:sz w:val="16"/>
                <w:szCs w:val="16"/>
              </w:rPr>
              <w:t xml:space="preserve"> </w:t>
            </w:r>
            <w:proofErr w:type="spellStart"/>
            <w:r w:rsidRPr="00E16672">
              <w:rPr>
                <w:i w:val="0"/>
                <w:sz w:val="16"/>
                <w:szCs w:val="16"/>
              </w:rPr>
              <w:t>відповідно</w:t>
            </w:r>
            <w:proofErr w:type="spellEnd"/>
            <w:r w:rsidRPr="00E16672">
              <w:rPr>
                <w:i w:val="0"/>
                <w:sz w:val="16"/>
                <w:szCs w:val="16"/>
              </w:rPr>
              <w:t xml:space="preserve"> до Закону </w:t>
            </w:r>
            <w:proofErr w:type="spellStart"/>
            <w:r w:rsidRPr="00E16672">
              <w:rPr>
                <w:i w:val="0"/>
                <w:sz w:val="16"/>
                <w:szCs w:val="16"/>
              </w:rPr>
              <w:t>України</w:t>
            </w:r>
            <w:proofErr w:type="spellEnd"/>
            <w:r w:rsidRPr="00E16672">
              <w:rPr>
                <w:i w:val="0"/>
                <w:sz w:val="16"/>
                <w:szCs w:val="16"/>
              </w:rPr>
              <w:t xml:space="preserve"> </w:t>
            </w:r>
            <w:r w:rsidR="00022F5F">
              <w:rPr>
                <w:i w:val="0"/>
                <w:sz w:val="16"/>
                <w:szCs w:val="16"/>
              </w:rPr>
              <w:t>"</w:t>
            </w:r>
            <w:r w:rsidRPr="00E16672">
              <w:rPr>
                <w:i w:val="0"/>
                <w:sz w:val="16"/>
                <w:szCs w:val="16"/>
              </w:rPr>
              <w:t xml:space="preserve">Про </w:t>
            </w:r>
            <w:proofErr w:type="spellStart"/>
            <w:r w:rsidRPr="00E16672">
              <w:rPr>
                <w:i w:val="0"/>
                <w:sz w:val="16"/>
                <w:szCs w:val="16"/>
              </w:rPr>
              <w:t>депозитарну</w:t>
            </w:r>
            <w:proofErr w:type="spellEnd"/>
            <w:r w:rsidRPr="00E16672">
              <w:rPr>
                <w:i w:val="0"/>
                <w:sz w:val="16"/>
                <w:szCs w:val="16"/>
              </w:rPr>
              <w:t xml:space="preserve"> систему </w:t>
            </w:r>
            <w:proofErr w:type="spellStart"/>
            <w:r w:rsidRPr="00E16672">
              <w:rPr>
                <w:i w:val="0"/>
                <w:sz w:val="16"/>
                <w:szCs w:val="16"/>
              </w:rPr>
              <w:t>України</w:t>
            </w:r>
            <w:proofErr w:type="spellEnd"/>
            <w:r w:rsidR="00022F5F">
              <w:rPr>
                <w:i w:val="0"/>
                <w:sz w:val="16"/>
                <w:szCs w:val="16"/>
              </w:rPr>
              <w:t>"</w:t>
            </w:r>
            <w:r w:rsidRPr="00E16672">
              <w:rPr>
                <w:i w:val="0"/>
                <w:sz w:val="16"/>
                <w:szCs w:val="16"/>
              </w:rPr>
              <w:t>.</w:t>
            </w:r>
          </w:p>
          <w:p w14:paraId="16349D20" w14:textId="77777777" w:rsidR="00502AEC" w:rsidRPr="00E16672" w:rsidRDefault="00502AEC" w:rsidP="005B559F">
            <w:pPr>
              <w:pStyle w:val="WW-1"/>
              <w:ind w:left="142" w:right="138"/>
              <w:jc w:val="both"/>
              <w:rPr>
                <w:i w:val="0"/>
                <w:sz w:val="16"/>
                <w:szCs w:val="16"/>
              </w:rPr>
            </w:pPr>
          </w:p>
        </w:tc>
        <w:tc>
          <w:tcPr>
            <w:tcW w:w="5494" w:type="dxa"/>
            <w:gridSpan w:val="7"/>
            <w:shd w:val="clear" w:color="auto" w:fill="auto"/>
          </w:tcPr>
          <w:p w14:paraId="7B7C846D" w14:textId="77777777" w:rsidR="00502AEC" w:rsidRPr="00E16672" w:rsidRDefault="00502AEC" w:rsidP="004D052D">
            <w:pPr>
              <w:pStyle w:val="WW-0"/>
              <w:snapToGrid w:val="0"/>
              <w:spacing w:after="120"/>
              <w:ind w:left="145" w:right="100"/>
              <w:rPr>
                <w:rFonts w:ascii="Times New Roman" w:hAnsi="Times New Roman"/>
                <w:sz w:val="16"/>
                <w:szCs w:val="16"/>
                <w:lang w:val="en-US"/>
              </w:rPr>
            </w:pPr>
            <w:r w:rsidRPr="00E16672">
              <w:rPr>
                <w:rFonts w:ascii="Times New Roman" w:hAnsi="Times New Roman"/>
                <w:sz w:val="16"/>
                <w:szCs w:val="16"/>
                <w:lang w:val="en-US"/>
              </w:rPr>
              <w:t>1.2. Securities (financial asset) Depositor, the rights to which are accounted for Depository institutions under this Agreement are saved by the Central Securities Depository in accordance with the Law of Ukraine "On the Depository System of Ukraine".</w:t>
            </w:r>
          </w:p>
        </w:tc>
      </w:tr>
      <w:tr w:rsidR="00502AEC" w:rsidRPr="00F23413" w14:paraId="5544F8C0" w14:textId="77777777" w:rsidTr="00D77858">
        <w:tblPrEx>
          <w:tblCellMar>
            <w:left w:w="0" w:type="dxa"/>
            <w:right w:w="0" w:type="dxa"/>
          </w:tblCellMar>
        </w:tblPrEx>
        <w:trPr>
          <w:trHeight w:val="192"/>
        </w:trPr>
        <w:tc>
          <w:tcPr>
            <w:tcW w:w="5696" w:type="dxa"/>
            <w:gridSpan w:val="6"/>
            <w:shd w:val="clear" w:color="auto" w:fill="auto"/>
          </w:tcPr>
          <w:p w14:paraId="2D0256B9" w14:textId="77777777" w:rsidR="00502AEC" w:rsidRPr="00E16672" w:rsidRDefault="00502AEC" w:rsidP="005B559F">
            <w:pPr>
              <w:pStyle w:val="WW-1"/>
              <w:snapToGrid w:val="0"/>
              <w:ind w:left="142" w:right="138"/>
              <w:jc w:val="both"/>
              <w:rPr>
                <w:i w:val="0"/>
                <w:sz w:val="16"/>
                <w:szCs w:val="16"/>
              </w:rPr>
            </w:pPr>
            <w:r w:rsidRPr="00E16672">
              <w:rPr>
                <w:i w:val="0"/>
                <w:sz w:val="16"/>
                <w:szCs w:val="16"/>
              </w:rPr>
              <w:t xml:space="preserve">1.3. </w:t>
            </w:r>
            <w:proofErr w:type="spellStart"/>
            <w:r w:rsidRPr="00E16672">
              <w:rPr>
                <w:i w:val="0"/>
                <w:sz w:val="16"/>
                <w:szCs w:val="16"/>
              </w:rPr>
              <w:t>Виконання</w:t>
            </w:r>
            <w:proofErr w:type="spellEnd"/>
            <w:r w:rsidRPr="00E16672">
              <w:rPr>
                <w:i w:val="0"/>
                <w:sz w:val="16"/>
                <w:szCs w:val="16"/>
              </w:rPr>
              <w:t xml:space="preserve"> Депозитарною </w:t>
            </w:r>
            <w:proofErr w:type="spellStart"/>
            <w:r w:rsidRPr="00E16672">
              <w:rPr>
                <w:i w:val="0"/>
                <w:sz w:val="16"/>
                <w:szCs w:val="16"/>
              </w:rPr>
              <w:t>установою</w:t>
            </w:r>
            <w:proofErr w:type="spellEnd"/>
            <w:r w:rsidRPr="00E16672">
              <w:rPr>
                <w:i w:val="0"/>
                <w:sz w:val="16"/>
                <w:szCs w:val="16"/>
              </w:rPr>
              <w:t xml:space="preserve"> </w:t>
            </w:r>
            <w:proofErr w:type="spellStart"/>
            <w:r w:rsidRPr="00E16672">
              <w:rPr>
                <w:i w:val="0"/>
                <w:sz w:val="16"/>
                <w:szCs w:val="16"/>
              </w:rPr>
              <w:t>додаткових</w:t>
            </w:r>
            <w:proofErr w:type="spellEnd"/>
            <w:r w:rsidRPr="00E16672">
              <w:rPr>
                <w:i w:val="0"/>
                <w:sz w:val="16"/>
                <w:szCs w:val="16"/>
              </w:rPr>
              <w:t xml:space="preserve"> </w:t>
            </w:r>
            <w:proofErr w:type="spellStart"/>
            <w:r w:rsidRPr="00E16672">
              <w:rPr>
                <w:i w:val="0"/>
                <w:sz w:val="16"/>
                <w:szCs w:val="16"/>
              </w:rPr>
              <w:t>послуг</w:t>
            </w:r>
            <w:proofErr w:type="spellEnd"/>
            <w:r w:rsidRPr="00E16672">
              <w:rPr>
                <w:i w:val="0"/>
                <w:sz w:val="16"/>
                <w:szCs w:val="16"/>
              </w:rPr>
              <w:t xml:space="preserve"> та </w:t>
            </w:r>
            <w:proofErr w:type="spellStart"/>
            <w:r w:rsidRPr="00E16672">
              <w:rPr>
                <w:i w:val="0"/>
                <w:sz w:val="16"/>
                <w:szCs w:val="16"/>
              </w:rPr>
              <w:t>операцій</w:t>
            </w:r>
            <w:proofErr w:type="spellEnd"/>
            <w:r w:rsidRPr="00E16672">
              <w:rPr>
                <w:i w:val="0"/>
                <w:sz w:val="16"/>
                <w:szCs w:val="16"/>
              </w:rPr>
              <w:t xml:space="preserve">, </w:t>
            </w:r>
            <w:proofErr w:type="spellStart"/>
            <w:r w:rsidRPr="00E16672">
              <w:rPr>
                <w:i w:val="0"/>
                <w:sz w:val="16"/>
                <w:szCs w:val="16"/>
              </w:rPr>
              <w:t>що</w:t>
            </w:r>
            <w:proofErr w:type="spellEnd"/>
            <w:r w:rsidRPr="00E16672">
              <w:rPr>
                <w:i w:val="0"/>
                <w:sz w:val="16"/>
                <w:szCs w:val="16"/>
              </w:rPr>
              <w:t xml:space="preserve"> не </w:t>
            </w:r>
            <w:proofErr w:type="spellStart"/>
            <w:r w:rsidR="00C35733" w:rsidRPr="00E16672">
              <w:rPr>
                <w:i w:val="0"/>
                <w:sz w:val="16"/>
                <w:szCs w:val="16"/>
              </w:rPr>
              <w:t>суперечать</w:t>
            </w:r>
            <w:proofErr w:type="spellEnd"/>
            <w:r w:rsidR="00C35733" w:rsidRPr="00E16672">
              <w:rPr>
                <w:i w:val="0"/>
                <w:sz w:val="16"/>
                <w:szCs w:val="16"/>
              </w:rPr>
              <w:t xml:space="preserve"> </w:t>
            </w:r>
            <w:r w:rsidRPr="00E16672">
              <w:rPr>
                <w:i w:val="0"/>
                <w:sz w:val="16"/>
                <w:szCs w:val="16"/>
              </w:rPr>
              <w:t xml:space="preserve">чинному </w:t>
            </w:r>
            <w:proofErr w:type="spellStart"/>
            <w:r w:rsidRPr="00E16672">
              <w:rPr>
                <w:i w:val="0"/>
                <w:sz w:val="16"/>
                <w:szCs w:val="16"/>
              </w:rPr>
              <w:t>законодавству</w:t>
            </w:r>
            <w:proofErr w:type="spellEnd"/>
            <w:r w:rsidRPr="00E16672">
              <w:rPr>
                <w:i w:val="0"/>
                <w:sz w:val="16"/>
                <w:szCs w:val="16"/>
              </w:rPr>
              <w:t xml:space="preserve"> </w:t>
            </w:r>
            <w:proofErr w:type="spellStart"/>
            <w:r w:rsidRPr="00E16672">
              <w:rPr>
                <w:i w:val="0"/>
                <w:sz w:val="16"/>
                <w:szCs w:val="16"/>
              </w:rPr>
              <w:t>України</w:t>
            </w:r>
            <w:proofErr w:type="spellEnd"/>
            <w:r w:rsidRPr="00E16672">
              <w:rPr>
                <w:i w:val="0"/>
                <w:sz w:val="16"/>
                <w:szCs w:val="16"/>
              </w:rPr>
              <w:t xml:space="preserve">, </w:t>
            </w:r>
            <w:proofErr w:type="spellStart"/>
            <w:r w:rsidRPr="00E16672">
              <w:rPr>
                <w:i w:val="0"/>
                <w:sz w:val="16"/>
                <w:szCs w:val="16"/>
              </w:rPr>
              <w:t>оформлюється</w:t>
            </w:r>
            <w:proofErr w:type="spellEnd"/>
            <w:r w:rsidRPr="00E16672">
              <w:rPr>
                <w:i w:val="0"/>
                <w:sz w:val="16"/>
                <w:szCs w:val="16"/>
              </w:rPr>
              <w:t xml:space="preserve"> </w:t>
            </w:r>
            <w:proofErr w:type="spellStart"/>
            <w:r w:rsidRPr="00E16672">
              <w:rPr>
                <w:i w:val="0"/>
                <w:sz w:val="16"/>
                <w:szCs w:val="16"/>
              </w:rPr>
              <w:t>додатковими</w:t>
            </w:r>
            <w:proofErr w:type="spellEnd"/>
            <w:r w:rsidRPr="00E16672">
              <w:rPr>
                <w:i w:val="0"/>
                <w:sz w:val="16"/>
                <w:szCs w:val="16"/>
              </w:rPr>
              <w:t xml:space="preserve"> </w:t>
            </w:r>
            <w:proofErr w:type="spellStart"/>
            <w:r w:rsidRPr="00E16672">
              <w:rPr>
                <w:i w:val="0"/>
                <w:sz w:val="16"/>
                <w:szCs w:val="16"/>
              </w:rPr>
              <w:t>угодами</w:t>
            </w:r>
            <w:proofErr w:type="spellEnd"/>
            <w:r w:rsidRPr="00E16672">
              <w:rPr>
                <w:i w:val="0"/>
                <w:sz w:val="16"/>
                <w:szCs w:val="16"/>
              </w:rPr>
              <w:t xml:space="preserve">, </w:t>
            </w:r>
            <w:proofErr w:type="spellStart"/>
            <w:r w:rsidRPr="00E16672">
              <w:rPr>
                <w:i w:val="0"/>
                <w:sz w:val="16"/>
                <w:szCs w:val="16"/>
              </w:rPr>
              <w:t>які</w:t>
            </w:r>
            <w:proofErr w:type="spellEnd"/>
            <w:r w:rsidRPr="00E16672">
              <w:rPr>
                <w:i w:val="0"/>
                <w:sz w:val="16"/>
                <w:szCs w:val="16"/>
              </w:rPr>
              <w:t xml:space="preserve"> з моменту </w:t>
            </w:r>
            <w:proofErr w:type="spellStart"/>
            <w:r w:rsidRPr="00E16672">
              <w:rPr>
                <w:i w:val="0"/>
                <w:sz w:val="16"/>
                <w:szCs w:val="16"/>
              </w:rPr>
              <w:t>їх</w:t>
            </w:r>
            <w:proofErr w:type="spellEnd"/>
            <w:r w:rsidRPr="00E16672">
              <w:rPr>
                <w:i w:val="0"/>
                <w:sz w:val="16"/>
                <w:szCs w:val="16"/>
              </w:rPr>
              <w:t xml:space="preserve"> </w:t>
            </w:r>
            <w:proofErr w:type="spellStart"/>
            <w:r w:rsidRPr="00E16672">
              <w:rPr>
                <w:i w:val="0"/>
                <w:sz w:val="16"/>
                <w:szCs w:val="16"/>
              </w:rPr>
              <w:t>підписання</w:t>
            </w:r>
            <w:proofErr w:type="spellEnd"/>
            <w:r w:rsidRPr="00E16672">
              <w:rPr>
                <w:i w:val="0"/>
                <w:sz w:val="16"/>
                <w:szCs w:val="16"/>
              </w:rPr>
              <w:t xml:space="preserve"> </w:t>
            </w:r>
            <w:proofErr w:type="spellStart"/>
            <w:r w:rsidRPr="00E16672">
              <w:rPr>
                <w:i w:val="0"/>
                <w:sz w:val="16"/>
                <w:szCs w:val="16"/>
              </w:rPr>
              <w:t>стають</w:t>
            </w:r>
            <w:proofErr w:type="spellEnd"/>
            <w:r w:rsidRPr="00E16672">
              <w:rPr>
                <w:i w:val="0"/>
                <w:sz w:val="16"/>
                <w:szCs w:val="16"/>
              </w:rPr>
              <w:t xml:space="preserve"> </w:t>
            </w:r>
            <w:proofErr w:type="spellStart"/>
            <w:r w:rsidRPr="00E16672">
              <w:rPr>
                <w:i w:val="0"/>
                <w:sz w:val="16"/>
                <w:szCs w:val="16"/>
              </w:rPr>
              <w:t>невід’ємною</w:t>
            </w:r>
            <w:proofErr w:type="spellEnd"/>
            <w:r w:rsidRPr="00E16672">
              <w:rPr>
                <w:i w:val="0"/>
                <w:sz w:val="16"/>
                <w:szCs w:val="16"/>
              </w:rPr>
              <w:t xml:space="preserve"> </w:t>
            </w:r>
            <w:proofErr w:type="spellStart"/>
            <w:r w:rsidRPr="00E16672">
              <w:rPr>
                <w:i w:val="0"/>
                <w:sz w:val="16"/>
                <w:szCs w:val="16"/>
              </w:rPr>
              <w:t>частиною</w:t>
            </w:r>
            <w:proofErr w:type="spellEnd"/>
            <w:r w:rsidRPr="00E16672">
              <w:rPr>
                <w:i w:val="0"/>
                <w:sz w:val="16"/>
                <w:szCs w:val="16"/>
              </w:rPr>
              <w:t xml:space="preserve"> </w:t>
            </w:r>
            <w:proofErr w:type="spellStart"/>
            <w:r w:rsidRPr="00E16672">
              <w:rPr>
                <w:i w:val="0"/>
                <w:sz w:val="16"/>
                <w:szCs w:val="16"/>
              </w:rPr>
              <w:t>цього</w:t>
            </w:r>
            <w:proofErr w:type="spellEnd"/>
            <w:r w:rsidRPr="00E16672">
              <w:rPr>
                <w:i w:val="0"/>
                <w:sz w:val="16"/>
                <w:szCs w:val="16"/>
              </w:rPr>
              <w:t xml:space="preserve"> Договору. </w:t>
            </w:r>
          </w:p>
          <w:p w14:paraId="4DC5BA1E" w14:textId="77777777" w:rsidR="00502AEC" w:rsidRPr="00E16672" w:rsidRDefault="00502AEC" w:rsidP="005B559F">
            <w:pPr>
              <w:pStyle w:val="WW-1"/>
              <w:ind w:left="142" w:right="138"/>
              <w:jc w:val="both"/>
              <w:rPr>
                <w:i w:val="0"/>
                <w:sz w:val="16"/>
                <w:szCs w:val="16"/>
              </w:rPr>
            </w:pPr>
          </w:p>
        </w:tc>
        <w:tc>
          <w:tcPr>
            <w:tcW w:w="5494" w:type="dxa"/>
            <w:gridSpan w:val="7"/>
            <w:shd w:val="clear" w:color="auto" w:fill="auto"/>
          </w:tcPr>
          <w:p w14:paraId="3581F29B" w14:textId="77777777" w:rsidR="00502AEC" w:rsidRPr="00E16672" w:rsidRDefault="00502AEC" w:rsidP="004D052D">
            <w:pPr>
              <w:pStyle w:val="WW-0"/>
              <w:snapToGrid w:val="0"/>
              <w:spacing w:after="120"/>
              <w:ind w:left="145" w:right="100"/>
              <w:rPr>
                <w:rFonts w:ascii="Times New Roman" w:hAnsi="Times New Roman"/>
                <w:sz w:val="16"/>
                <w:szCs w:val="16"/>
                <w:lang w:val="en-GB"/>
              </w:rPr>
            </w:pPr>
            <w:r w:rsidRPr="00E16672">
              <w:rPr>
                <w:rFonts w:ascii="Times New Roman" w:hAnsi="Times New Roman"/>
                <w:sz w:val="16"/>
                <w:szCs w:val="16"/>
                <w:lang w:val="en-GB"/>
              </w:rPr>
              <w:t xml:space="preserve">1.3. Execution by </w:t>
            </w:r>
            <w:r w:rsidRPr="00E16672">
              <w:rPr>
                <w:rFonts w:ascii="Times New Roman" w:hAnsi="Times New Roman"/>
                <w:sz w:val="16"/>
                <w:szCs w:val="16"/>
                <w:lang w:val="en-US"/>
              </w:rPr>
              <w:t xml:space="preserve">Depository institution </w:t>
            </w:r>
            <w:r w:rsidRPr="00E16672">
              <w:rPr>
                <w:rFonts w:ascii="Times New Roman" w:hAnsi="Times New Roman"/>
                <w:sz w:val="16"/>
                <w:szCs w:val="16"/>
                <w:lang w:val="en-GB"/>
              </w:rPr>
              <w:t>of the additional services and operations, which are not prohibited by the current legislation of Ukraine, shall be executed as the additional agreements, that since the signing of becoming an integral part of this Agreement.</w:t>
            </w:r>
          </w:p>
        </w:tc>
      </w:tr>
      <w:tr w:rsidR="00502AEC" w:rsidRPr="00F23413" w14:paraId="5E3BD8B1" w14:textId="77777777" w:rsidTr="00D77858">
        <w:tblPrEx>
          <w:tblCellMar>
            <w:left w:w="0" w:type="dxa"/>
            <w:right w:w="0" w:type="dxa"/>
          </w:tblCellMar>
        </w:tblPrEx>
        <w:trPr>
          <w:trHeight w:val="192"/>
        </w:trPr>
        <w:tc>
          <w:tcPr>
            <w:tcW w:w="5696" w:type="dxa"/>
            <w:gridSpan w:val="6"/>
            <w:shd w:val="clear" w:color="auto" w:fill="auto"/>
          </w:tcPr>
          <w:p w14:paraId="5207D2CA" w14:textId="77777777" w:rsidR="00502AEC" w:rsidRPr="00E16672" w:rsidRDefault="00502AEC" w:rsidP="00547A75">
            <w:pPr>
              <w:snapToGrid w:val="0"/>
              <w:ind w:left="142" w:right="138" w:firstLine="40"/>
              <w:jc w:val="center"/>
              <w:rPr>
                <w:rFonts w:ascii="Times New Roman" w:eastAsia="Arial" w:hAnsi="Times New Roman"/>
                <w:b/>
                <w:sz w:val="16"/>
                <w:szCs w:val="16"/>
              </w:rPr>
            </w:pPr>
            <w:r w:rsidRPr="00E16672">
              <w:rPr>
                <w:rFonts w:ascii="Times New Roman" w:eastAsia="Arial" w:hAnsi="Times New Roman"/>
                <w:b/>
                <w:sz w:val="16"/>
                <w:szCs w:val="16"/>
              </w:rPr>
              <w:t>2. ПРАВА ТА ОБОВ’ЯЗКИ СТОРІН.</w:t>
            </w:r>
          </w:p>
          <w:p w14:paraId="112E5E96" w14:textId="77777777" w:rsidR="00502AEC" w:rsidRPr="00E16672" w:rsidRDefault="00502AEC" w:rsidP="00547A75">
            <w:pPr>
              <w:ind w:left="142" w:right="138" w:firstLine="40"/>
              <w:rPr>
                <w:rFonts w:ascii="Times New Roman" w:eastAsia="Arial" w:hAnsi="Times New Roman"/>
                <w:sz w:val="16"/>
                <w:szCs w:val="16"/>
              </w:rPr>
            </w:pPr>
          </w:p>
          <w:p w14:paraId="3AEF53BE" w14:textId="77777777" w:rsidR="00502AEC" w:rsidRPr="00E16672" w:rsidRDefault="00502AEC" w:rsidP="00547A75">
            <w:pPr>
              <w:ind w:left="142" w:right="138" w:firstLine="40"/>
              <w:rPr>
                <w:rFonts w:ascii="Times New Roman" w:eastAsia="Arial" w:hAnsi="Times New Roman"/>
                <w:b/>
                <w:sz w:val="16"/>
                <w:szCs w:val="16"/>
              </w:rPr>
            </w:pPr>
            <w:r w:rsidRPr="00E16672">
              <w:rPr>
                <w:rFonts w:ascii="Times New Roman" w:eastAsia="Arial" w:hAnsi="Times New Roman"/>
                <w:b/>
                <w:sz w:val="16"/>
                <w:szCs w:val="16"/>
              </w:rPr>
              <w:t xml:space="preserve">2.1. </w:t>
            </w:r>
            <w:proofErr w:type="spellStart"/>
            <w:r w:rsidRPr="00E16672">
              <w:rPr>
                <w:rFonts w:ascii="Times New Roman" w:eastAsia="Arial" w:hAnsi="Times New Roman"/>
                <w:b/>
                <w:sz w:val="16"/>
                <w:szCs w:val="16"/>
              </w:rPr>
              <w:t>Депозитарна</w:t>
            </w:r>
            <w:proofErr w:type="spellEnd"/>
            <w:r w:rsidRPr="00E16672">
              <w:rPr>
                <w:rFonts w:ascii="Times New Roman" w:eastAsia="Arial" w:hAnsi="Times New Roman"/>
                <w:b/>
                <w:sz w:val="16"/>
                <w:szCs w:val="16"/>
              </w:rPr>
              <w:t xml:space="preserve"> </w:t>
            </w:r>
            <w:proofErr w:type="spellStart"/>
            <w:r w:rsidRPr="00E16672">
              <w:rPr>
                <w:rFonts w:ascii="Times New Roman" w:eastAsia="Arial" w:hAnsi="Times New Roman"/>
                <w:b/>
                <w:sz w:val="16"/>
                <w:szCs w:val="16"/>
              </w:rPr>
              <w:t>установа</w:t>
            </w:r>
            <w:proofErr w:type="spellEnd"/>
            <w:r w:rsidRPr="00E16672">
              <w:rPr>
                <w:rFonts w:ascii="Times New Roman" w:eastAsia="Arial" w:hAnsi="Times New Roman"/>
                <w:b/>
                <w:sz w:val="16"/>
                <w:szCs w:val="16"/>
              </w:rPr>
              <w:t xml:space="preserve"> </w:t>
            </w:r>
            <w:proofErr w:type="spellStart"/>
            <w:r w:rsidRPr="00E16672">
              <w:rPr>
                <w:rFonts w:ascii="Times New Roman" w:eastAsia="Arial" w:hAnsi="Times New Roman"/>
                <w:b/>
                <w:sz w:val="16"/>
                <w:szCs w:val="16"/>
              </w:rPr>
              <w:t>зобов’язана</w:t>
            </w:r>
            <w:proofErr w:type="spellEnd"/>
            <w:r w:rsidRPr="00E16672">
              <w:rPr>
                <w:rFonts w:ascii="Times New Roman" w:eastAsia="Arial" w:hAnsi="Times New Roman"/>
                <w:b/>
                <w:sz w:val="16"/>
                <w:szCs w:val="16"/>
              </w:rPr>
              <w:t>:</w:t>
            </w:r>
          </w:p>
          <w:p w14:paraId="0A6C8328" w14:textId="77777777" w:rsidR="00502AEC" w:rsidRPr="00E16672" w:rsidRDefault="00502AEC" w:rsidP="00547A75">
            <w:pPr>
              <w:ind w:left="142" w:right="138" w:firstLine="40"/>
              <w:rPr>
                <w:rFonts w:ascii="Times New Roman" w:eastAsia="Arial" w:hAnsi="Times New Roman"/>
                <w:sz w:val="16"/>
                <w:szCs w:val="16"/>
              </w:rPr>
            </w:pPr>
          </w:p>
          <w:p w14:paraId="7FF054EB" w14:textId="77777777" w:rsidR="00502AEC" w:rsidRPr="00E16672" w:rsidRDefault="00502AEC" w:rsidP="00547A75">
            <w:pPr>
              <w:tabs>
                <w:tab w:val="left" w:pos="851"/>
              </w:tabs>
              <w:ind w:left="142" w:right="138" w:firstLine="40"/>
              <w:rPr>
                <w:rFonts w:ascii="Times New Roman" w:eastAsia="Arial" w:hAnsi="Times New Roman"/>
                <w:sz w:val="16"/>
                <w:szCs w:val="16"/>
              </w:rPr>
            </w:pPr>
            <w:r w:rsidRPr="00E16672">
              <w:rPr>
                <w:rFonts w:ascii="Times New Roman" w:eastAsia="Arial" w:hAnsi="Times New Roman"/>
                <w:sz w:val="16"/>
                <w:szCs w:val="16"/>
              </w:rPr>
              <w:t xml:space="preserve">2.1.1 </w:t>
            </w:r>
            <w:proofErr w:type="spellStart"/>
            <w:r w:rsidRPr="00E16672">
              <w:rPr>
                <w:rFonts w:ascii="Times New Roman" w:eastAsia="Arial" w:hAnsi="Times New Roman"/>
                <w:sz w:val="16"/>
                <w:szCs w:val="16"/>
              </w:rPr>
              <w:t>Відкрити</w:t>
            </w:r>
            <w:proofErr w:type="spellEnd"/>
            <w:r w:rsidRPr="00E16672">
              <w:rPr>
                <w:rFonts w:ascii="Times New Roman" w:eastAsia="Arial" w:hAnsi="Times New Roman"/>
                <w:sz w:val="16"/>
                <w:szCs w:val="16"/>
              </w:rPr>
              <w:t xml:space="preserve"> Депоненту </w:t>
            </w:r>
            <w:proofErr w:type="spellStart"/>
            <w:r w:rsidRPr="00E16672">
              <w:rPr>
                <w:rFonts w:ascii="Times New Roman" w:eastAsia="Arial" w:hAnsi="Times New Roman"/>
                <w:sz w:val="16"/>
                <w:szCs w:val="16"/>
              </w:rPr>
              <w:t>рахунок</w:t>
            </w:r>
            <w:proofErr w:type="spellEnd"/>
            <w:r w:rsidRPr="00E16672">
              <w:rPr>
                <w:rFonts w:ascii="Times New Roman" w:eastAsia="Arial" w:hAnsi="Times New Roman"/>
                <w:sz w:val="16"/>
                <w:szCs w:val="16"/>
              </w:rPr>
              <w:t xml:space="preserve"> </w:t>
            </w:r>
            <w:r w:rsidR="00C22309" w:rsidRPr="00E16672">
              <w:rPr>
                <w:rFonts w:ascii="Times New Roman" w:eastAsia="Arial" w:hAnsi="Times New Roman"/>
                <w:sz w:val="16"/>
                <w:szCs w:val="16"/>
              </w:rPr>
              <w:t xml:space="preserve">в </w:t>
            </w:r>
            <w:proofErr w:type="spellStart"/>
            <w:r w:rsidR="00C22309" w:rsidRPr="00E16672">
              <w:rPr>
                <w:rFonts w:ascii="Times New Roman" w:eastAsia="Arial" w:hAnsi="Times New Roman"/>
                <w:sz w:val="16"/>
                <w:szCs w:val="16"/>
              </w:rPr>
              <w:t>цін</w:t>
            </w:r>
            <w:r w:rsidRPr="00E16672">
              <w:rPr>
                <w:rFonts w:ascii="Times New Roman" w:eastAsia="Arial" w:hAnsi="Times New Roman"/>
                <w:sz w:val="16"/>
                <w:szCs w:val="16"/>
              </w:rPr>
              <w:t>них</w:t>
            </w:r>
            <w:proofErr w:type="spellEnd"/>
            <w:r w:rsidRPr="00E16672">
              <w:rPr>
                <w:rFonts w:ascii="Times New Roman" w:eastAsia="Arial" w:hAnsi="Times New Roman"/>
                <w:sz w:val="16"/>
                <w:szCs w:val="16"/>
              </w:rPr>
              <w:t xml:space="preserve"> </w:t>
            </w:r>
            <w:proofErr w:type="spellStart"/>
            <w:r w:rsidRPr="00E16672">
              <w:rPr>
                <w:rFonts w:ascii="Times New Roman" w:eastAsia="Arial" w:hAnsi="Times New Roman"/>
                <w:sz w:val="16"/>
                <w:szCs w:val="16"/>
              </w:rPr>
              <w:t>паперах</w:t>
            </w:r>
            <w:proofErr w:type="spellEnd"/>
            <w:r w:rsidRPr="00E16672">
              <w:rPr>
                <w:rFonts w:ascii="Times New Roman" w:eastAsia="Arial" w:hAnsi="Times New Roman"/>
                <w:sz w:val="16"/>
                <w:szCs w:val="16"/>
              </w:rPr>
              <w:t xml:space="preserve"> </w:t>
            </w:r>
            <w:proofErr w:type="spellStart"/>
            <w:r w:rsidRPr="00E16672">
              <w:rPr>
                <w:rFonts w:ascii="Times New Roman" w:eastAsia="Arial" w:hAnsi="Times New Roman"/>
                <w:i/>
                <w:sz w:val="16"/>
                <w:szCs w:val="16"/>
              </w:rPr>
              <w:t>протягом</w:t>
            </w:r>
            <w:proofErr w:type="spellEnd"/>
            <w:r w:rsidRPr="00E16672">
              <w:rPr>
                <w:rFonts w:ascii="Times New Roman" w:eastAsia="Arial" w:hAnsi="Times New Roman"/>
                <w:i/>
                <w:sz w:val="16"/>
                <w:szCs w:val="16"/>
              </w:rPr>
              <w:t xml:space="preserve"> </w:t>
            </w:r>
            <w:proofErr w:type="spellStart"/>
            <w:r w:rsidRPr="00E16672">
              <w:rPr>
                <w:rFonts w:ascii="Times New Roman" w:eastAsia="Arial" w:hAnsi="Times New Roman"/>
                <w:i/>
                <w:sz w:val="16"/>
                <w:szCs w:val="16"/>
              </w:rPr>
              <w:t>п'яти</w:t>
            </w:r>
            <w:proofErr w:type="spellEnd"/>
            <w:r w:rsidRPr="00E16672">
              <w:rPr>
                <w:rFonts w:ascii="Times New Roman" w:eastAsia="Arial" w:hAnsi="Times New Roman"/>
                <w:i/>
                <w:sz w:val="16"/>
                <w:szCs w:val="16"/>
              </w:rPr>
              <w:t xml:space="preserve"> </w:t>
            </w:r>
            <w:proofErr w:type="spellStart"/>
            <w:r w:rsidRPr="00E16672">
              <w:rPr>
                <w:rFonts w:ascii="Times New Roman" w:eastAsia="Arial" w:hAnsi="Times New Roman"/>
                <w:i/>
                <w:sz w:val="16"/>
                <w:szCs w:val="16"/>
              </w:rPr>
              <w:t>робочих</w:t>
            </w:r>
            <w:proofErr w:type="spellEnd"/>
            <w:r w:rsidRPr="00E16672">
              <w:rPr>
                <w:rFonts w:ascii="Times New Roman" w:eastAsia="Arial" w:hAnsi="Times New Roman"/>
                <w:i/>
                <w:sz w:val="16"/>
                <w:szCs w:val="16"/>
              </w:rPr>
              <w:t xml:space="preserve"> </w:t>
            </w:r>
            <w:proofErr w:type="spellStart"/>
            <w:r w:rsidRPr="00E16672">
              <w:rPr>
                <w:rFonts w:ascii="Times New Roman" w:eastAsia="Arial" w:hAnsi="Times New Roman"/>
                <w:i/>
                <w:sz w:val="16"/>
                <w:szCs w:val="16"/>
              </w:rPr>
              <w:t>днів</w:t>
            </w:r>
            <w:proofErr w:type="spellEnd"/>
            <w:r w:rsidRPr="00E16672">
              <w:rPr>
                <w:rFonts w:ascii="Times New Roman" w:eastAsia="Arial" w:hAnsi="Times New Roman"/>
                <w:sz w:val="16"/>
                <w:szCs w:val="16"/>
              </w:rPr>
              <w:t xml:space="preserve"> </w:t>
            </w:r>
            <w:proofErr w:type="spellStart"/>
            <w:r w:rsidRPr="00E16672">
              <w:rPr>
                <w:rFonts w:ascii="Times New Roman" w:eastAsia="Arial" w:hAnsi="Times New Roman"/>
                <w:sz w:val="16"/>
                <w:szCs w:val="16"/>
              </w:rPr>
              <w:t>після</w:t>
            </w:r>
            <w:proofErr w:type="spellEnd"/>
            <w:r w:rsidRPr="00E16672">
              <w:rPr>
                <w:rFonts w:ascii="Times New Roman" w:eastAsia="Arial" w:hAnsi="Times New Roman"/>
                <w:sz w:val="16"/>
                <w:szCs w:val="16"/>
              </w:rPr>
              <w:t xml:space="preserve"> </w:t>
            </w:r>
            <w:proofErr w:type="spellStart"/>
            <w:r w:rsidRPr="00E16672">
              <w:rPr>
                <w:rFonts w:ascii="Times New Roman" w:eastAsia="Arial" w:hAnsi="Times New Roman"/>
                <w:sz w:val="16"/>
                <w:szCs w:val="16"/>
              </w:rPr>
              <w:t>подання</w:t>
            </w:r>
            <w:proofErr w:type="spellEnd"/>
            <w:r w:rsidRPr="00E16672">
              <w:rPr>
                <w:rFonts w:ascii="Times New Roman" w:eastAsia="Arial" w:hAnsi="Times New Roman"/>
                <w:sz w:val="16"/>
                <w:szCs w:val="16"/>
              </w:rPr>
              <w:t xml:space="preserve"> Депонентом </w:t>
            </w:r>
            <w:proofErr w:type="spellStart"/>
            <w:r w:rsidRPr="00E16672">
              <w:rPr>
                <w:rFonts w:ascii="Times New Roman" w:eastAsia="Arial" w:hAnsi="Times New Roman"/>
                <w:sz w:val="16"/>
                <w:szCs w:val="16"/>
              </w:rPr>
              <w:t>визначених</w:t>
            </w:r>
            <w:proofErr w:type="spellEnd"/>
            <w:r w:rsidRPr="00E16672">
              <w:rPr>
                <w:rFonts w:ascii="Times New Roman" w:eastAsia="Arial" w:hAnsi="Times New Roman"/>
                <w:sz w:val="16"/>
                <w:szCs w:val="16"/>
              </w:rPr>
              <w:t xml:space="preserve"> </w:t>
            </w:r>
            <w:proofErr w:type="spellStart"/>
            <w:r w:rsidRPr="00E16672">
              <w:rPr>
                <w:rFonts w:ascii="Times New Roman" w:eastAsia="Arial" w:hAnsi="Times New Roman"/>
                <w:sz w:val="16"/>
                <w:szCs w:val="16"/>
              </w:rPr>
              <w:t>законодавством</w:t>
            </w:r>
            <w:proofErr w:type="spellEnd"/>
            <w:r w:rsidRPr="00E16672">
              <w:rPr>
                <w:rFonts w:ascii="Times New Roman" w:eastAsia="Arial" w:hAnsi="Times New Roman"/>
                <w:sz w:val="16"/>
                <w:szCs w:val="16"/>
              </w:rPr>
              <w:t xml:space="preserve"> </w:t>
            </w:r>
            <w:proofErr w:type="spellStart"/>
            <w:r w:rsidRPr="00E16672">
              <w:rPr>
                <w:rFonts w:ascii="Times New Roman" w:eastAsia="Arial" w:hAnsi="Times New Roman"/>
                <w:sz w:val="16"/>
                <w:szCs w:val="16"/>
              </w:rPr>
              <w:t>документів</w:t>
            </w:r>
            <w:proofErr w:type="spellEnd"/>
            <w:r w:rsidRPr="00E16672">
              <w:rPr>
                <w:rFonts w:ascii="Times New Roman" w:eastAsia="Arial" w:hAnsi="Times New Roman"/>
                <w:sz w:val="16"/>
                <w:szCs w:val="16"/>
              </w:rPr>
              <w:t xml:space="preserve"> для </w:t>
            </w:r>
            <w:proofErr w:type="spellStart"/>
            <w:r w:rsidRPr="00E16672">
              <w:rPr>
                <w:rFonts w:ascii="Times New Roman" w:eastAsia="Arial" w:hAnsi="Times New Roman"/>
                <w:sz w:val="16"/>
                <w:szCs w:val="16"/>
              </w:rPr>
              <w:t>відкриття</w:t>
            </w:r>
            <w:proofErr w:type="spellEnd"/>
            <w:r w:rsidRPr="00E16672">
              <w:rPr>
                <w:rFonts w:ascii="Times New Roman" w:eastAsia="Arial" w:hAnsi="Times New Roman"/>
                <w:sz w:val="16"/>
                <w:szCs w:val="16"/>
              </w:rPr>
              <w:t xml:space="preserve"> </w:t>
            </w:r>
            <w:proofErr w:type="spellStart"/>
            <w:r w:rsidRPr="00E16672">
              <w:rPr>
                <w:rFonts w:ascii="Times New Roman" w:eastAsia="Arial" w:hAnsi="Times New Roman"/>
                <w:sz w:val="16"/>
                <w:szCs w:val="16"/>
              </w:rPr>
              <w:t>рахунку</w:t>
            </w:r>
            <w:proofErr w:type="spellEnd"/>
            <w:r w:rsidRPr="00E16672">
              <w:rPr>
                <w:rFonts w:ascii="Times New Roman" w:eastAsia="Arial" w:hAnsi="Times New Roman"/>
                <w:sz w:val="16"/>
                <w:szCs w:val="16"/>
              </w:rPr>
              <w:t xml:space="preserve"> в </w:t>
            </w:r>
            <w:proofErr w:type="spellStart"/>
            <w:r w:rsidRPr="00E16672">
              <w:rPr>
                <w:rFonts w:ascii="Times New Roman" w:eastAsia="Arial" w:hAnsi="Times New Roman"/>
                <w:sz w:val="16"/>
                <w:szCs w:val="16"/>
              </w:rPr>
              <w:t>цінних</w:t>
            </w:r>
            <w:proofErr w:type="spellEnd"/>
            <w:r w:rsidRPr="00E16672">
              <w:rPr>
                <w:rFonts w:ascii="Times New Roman" w:eastAsia="Arial" w:hAnsi="Times New Roman"/>
                <w:sz w:val="16"/>
                <w:szCs w:val="16"/>
              </w:rPr>
              <w:t xml:space="preserve"> </w:t>
            </w:r>
            <w:proofErr w:type="spellStart"/>
            <w:r w:rsidRPr="00E16672">
              <w:rPr>
                <w:rFonts w:ascii="Times New Roman" w:eastAsia="Arial" w:hAnsi="Times New Roman"/>
                <w:sz w:val="16"/>
                <w:szCs w:val="16"/>
              </w:rPr>
              <w:t>паперах</w:t>
            </w:r>
            <w:proofErr w:type="spellEnd"/>
            <w:r w:rsidRPr="00E16672">
              <w:rPr>
                <w:rFonts w:ascii="Times New Roman" w:eastAsia="Arial" w:hAnsi="Times New Roman"/>
                <w:sz w:val="16"/>
                <w:szCs w:val="16"/>
              </w:rPr>
              <w:t xml:space="preserve">. </w:t>
            </w:r>
            <w:proofErr w:type="spellStart"/>
            <w:r w:rsidRPr="00E16672">
              <w:rPr>
                <w:rFonts w:ascii="Times New Roman" w:eastAsia="Arial" w:hAnsi="Times New Roman"/>
                <w:sz w:val="16"/>
                <w:szCs w:val="16"/>
              </w:rPr>
              <w:t>Якщо</w:t>
            </w:r>
            <w:proofErr w:type="spellEnd"/>
            <w:r w:rsidRPr="00E16672">
              <w:rPr>
                <w:rFonts w:ascii="Times New Roman" w:eastAsia="Arial" w:hAnsi="Times New Roman"/>
                <w:sz w:val="16"/>
                <w:szCs w:val="16"/>
              </w:rPr>
              <w:t xml:space="preserve"> Депонент є </w:t>
            </w:r>
            <w:proofErr w:type="spellStart"/>
            <w:r w:rsidRPr="00E16672">
              <w:rPr>
                <w:rFonts w:ascii="Times New Roman" w:eastAsia="Arial" w:hAnsi="Times New Roman"/>
                <w:sz w:val="16"/>
                <w:szCs w:val="16"/>
              </w:rPr>
              <w:t>платником</w:t>
            </w:r>
            <w:proofErr w:type="spellEnd"/>
            <w:r w:rsidRPr="00E16672">
              <w:rPr>
                <w:rFonts w:ascii="Times New Roman" w:eastAsia="Arial" w:hAnsi="Times New Roman"/>
                <w:sz w:val="16"/>
                <w:szCs w:val="16"/>
              </w:rPr>
              <w:t xml:space="preserve"> </w:t>
            </w:r>
            <w:proofErr w:type="spellStart"/>
            <w:r w:rsidRPr="00E16672">
              <w:rPr>
                <w:rFonts w:ascii="Times New Roman" w:eastAsia="Arial" w:hAnsi="Times New Roman"/>
                <w:sz w:val="16"/>
                <w:szCs w:val="16"/>
              </w:rPr>
              <w:t>податків</w:t>
            </w:r>
            <w:proofErr w:type="spellEnd"/>
            <w:r w:rsidRPr="00E16672">
              <w:rPr>
                <w:rFonts w:ascii="Times New Roman" w:eastAsia="Arial" w:hAnsi="Times New Roman"/>
                <w:sz w:val="16"/>
                <w:szCs w:val="16"/>
              </w:rPr>
              <w:t xml:space="preserve"> в </w:t>
            </w:r>
            <w:proofErr w:type="spellStart"/>
            <w:r w:rsidRPr="00E16672">
              <w:rPr>
                <w:rFonts w:ascii="Times New Roman" w:eastAsia="Arial" w:hAnsi="Times New Roman"/>
                <w:sz w:val="16"/>
                <w:szCs w:val="16"/>
              </w:rPr>
              <w:t>Україні</w:t>
            </w:r>
            <w:proofErr w:type="spellEnd"/>
            <w:r w:rsidRPr="00E16672">
              <w:rPr>
                <w:rFonts w:ascii="Times New Roman" w:eastAsia="Arial" w:hAnsi="Times New Roman"/>
                <w:sz w:val="16"/>
                <w:szCs w:val="16"/>
              </w:rPr>
              <w:t xml:space="preserve">, </w:t>
            </w:r>
            <w:proofErr w:type="spellStart"/>
            <w:r w:rsidRPr="00E16672">
              <w:rPr>
                <w:rFonts w:ascii="Times New Roman" w:eastAsia="Arial" w:hAnsi="Times New Roman"/>
                <w:sz w:val="16"/>
                <w:szCs w:val="16"/>
              </w:rPr>
              <w:t>видаткові</w:t>
            </w:r>
            <w:proofErr w:type="spellEnd"/>
            <w:r w:rsidRPr="00E16672">
              <w:rPr>
                <w:rFonts w:ascii="Times New Roman" w:eastAsia="Arial" w:hAnsi="Times New Roman"/>
                <w:sz w:val="16"/>
                <w:szCs w:val="16"/>
              </w:rPr>
              <w:t xml:space="preserve"> </w:t>
            </w:r>
            <w:proofErr w:type="spellStart"/>
            <w:r w:rsidRPr="00E16672">
              <w:rPr>
                <w:rFonts w:ascii="Times New Roman" w:eastAsia="Arial" w:hAnsi="Times New Roman"/>
                <w:sz w:val="16"/>
                <w:szCs w:val="16"/>
              </w:rPr>
              <w:t>операції</w:t>
            </w:r>
            <w:proofErr w:type="spellEnd"/>
            <w:r w:rsidRPr="00E16672">
              <w:rPr>
                <w:rFonts w:ascii="Times New Roman" w:eastAsia="Arial" w:hAnsi="Times New Roman"/>
                <w:sz w:val="16"/>
                <w:szCs w:val="16"/>
              </w:rPr>
              <w:t xml:space="preserve"> на </w:t>
            </w:r>
            <w:proofErr w:type="spellStart"/>
            <w:r w:rsidRPr="00E16672">
              <w:rPr>
                <w:rFonts w:ascii="Times New Roman" w:eastAsia="Arial" w:hAnsi="Times New Roman"/>
                <w:sz w:val="16"/>
                <w:szCs w:val="16"/>
              </w:rPr>
              <w:t>рахунку</w:t>
            </w:r>
            <w:proofErr w:type="spellEnd"/>
            <w:r w:rsidRPr="00E16672">
              <w:rPr>
                <w:rFonts w:ascii="Times New Roman" w:eastAsia="Arial" w:hAnsi="Times New Roman"/>
                <w:sz w:val="16"/>
                <w:szCs w:val="16"/>
              </w:rPr>
              <w:t xml:space="preserve"> </w:t>
            </w:r>
            <w:r w:rsidR="00C22309" w:rsidRPr="00E16672">
              <w:rPr>
                <w:rFonts w:ascii="Times New Roman" w:eastAsia="Arial" w:hAnsi="Times New Roman"/>
                <w:sz w:val="16"/>
                <w:szCs w:val="16"/>
              </w:rPr>
              <w:t xml:space="preserve">в </w:t>
            </w:r>
            <w:proofErr w:type="spellStart"/>
            <w:r w:rsidR="00C22309" w:rsidRPr="00E16672">
              <w:rPr>
                <w:rFonts w:ascii="Times New Roman" w:eastAsia="Arial" w:hAnsi="Times New Roman"/>
                <w:sz w:val="16"/>
                <w:szCs w:val="16"/>
              </w:rPr>
              <w:t>цін</w:t>
            </w:r>
            <w:r w:rsidRPr="00E16672">
              <w:rPr>
                <w:rFonts w:ascii="Times New Roman" w:eastAsia="Arial" w:hAnsi="Times New Roman"/>
                <w:sz w:val="16"/>
                <w:szCs w:val="16"/>
              </w:rPr>
              <w:t>них</w:t>
            </w:r>
            <w:proofErr w:type="spellEnd"/>
            <w:r w:rsidRPr="00E16672">
              <w:rPr>
                <w:rFonts w:ascii="Times New Roman" w:eastAsia="Arial" w:hAnsi="Times New Roman"/>
                <w:sz w:val="16"/>
                <w:szCs w:val="16"/>
              </w:rPr>
              <w:t xml:space="preserve"> </w:t>
            </w:r>
            <w:proofErr w:type="spellStart"/>
            <w:r w:rsidRPr="00E16672">
              <w:rPr>
                <w:rFonts w:ascii="Times New Roman" w:eastAsia="Arial" w:hAnsi="Times New Roman"/>
                <w:sz w:val="16"/>
                <w:szCs w:val="16"/>
              </w:rPr>
              <w:t>паперах</w:t>
            </w:r>
            <w:proofErr w:type="spellEnd"/>
            <w:r w:rsidRPr="00E16672">
              <w:rPr>
                <w:rFonts w:ascii="Times New Roman" w:eastAsia="Arial" w:hAnsi="Times New Roman"/>
                <w:sz w:val="16"/>
                <w:szCs w:val="16"/>
              </w:rPr>
              <w:t xml:space="preserve"> </w:t>
            </w:r>
            <w:proofErr w:type="spellStart"/>
            <w:r w:rsidRPr="00E16672">
              <w:rPr>
                <w:rFonts w:ascii="Times New Roman" w:eastAsia="Arial" w:hAnsi="Times New Roman"/>
                <w:sz w:val="16"/>
                <w:szCs w:val="16"/>
              </w:rPr>
              <w:t>здійснюються</w:t>
            </w:r>
            <w:proofErr w:type="spellEnd"/>
            <w:r w:rsidRPr="00E16672">
              <w:rPr>
                <w:rFonts w:ascii="Times New Roman" w:eastAsia="Arial" w:hAnsi="Times New Roman"/>
                <w:sz w:val="16"/>
                <w:szCs w:val="16"/>
              </w:rPr>
              <w:t xml:space="preserve"> </w:t>
            </w:r>
            <w:proofErr w:type="spellStart"/>
            <w:r w:rsidRPr="00E16672">
              <w:rPr>
                <w:rFonts w:ascii="Times New Roman" w:eastAsia="Arial" w:hAnsi="Times New Roman"/>
                <w:sz w:val="16"/>
                <w:szCs w:val="16"/>
              </w:rPr>
              <w:t>після</w:t>
            </w:r>
            <w:proofErr w:type="spellEnd"/>
            <w:r w:rsidRPr="00E16672">
              <w:rPr>
                <w:rFonts w:ascii="Times New Roman" w:eastAsia="Arial" w:hAnsi="Times New Roman"/>
                <w:sz w:val="16"/>
                <w:szCs w:val="16"/>
              </w:rPr>
              <w:t xml:space="preserve"> </w:t>
            </w:r>
            <w:proofErr w:type="spellStart"/>
            <w:r w:rsidRPr="00E16672">
              <w:rPr>
                <w:rFonts w:ascii="Times New Roman" w:eastAsia="Arial" w:hAnsi="Times New Roman"/>
                <w:sz w:val="16"/>
                <w:szCs w:val="16"/>
              </w:rPr>
              <w:t>узяття</w:t>
            </w:r>
            <w:proofErr w:type="spellEnd"/>
            <w:r w:rsidRPr="00E16672">
              <w:rPr>
                <w:rFonts w:ascii="Times New Roman" w:eastAsia="Arial" w:hAnsi="Times New Roman"/>
                <w:sz w:val="16"/>
                <w:szCs w:val="16"/>
              </w:rPr>
              <w:t xml:space="preserve"> </w:t>
            </w:r>
            <w:proofErr w:type="spellStart"/>
            <w:r w:rsidRPr="00E16672">
              <w:rPr>
                <w:rFonts w:ascii="Times New Roman" w:eastAsia="Arial" w:hAnsi="Times New Roman"/>
                <w:sz w:val="16"/>
                <w:szCs w:val="16"/>
              </w:rPr>
              <w:t>рахунку</w:t>
            </w:r>
            <w:proofErr w:type="spellEnd"/>
            <w:r w:rsidRPr="00E16672">
              <w:rPr>
                <w:rFonts w:ascii="Times New Roman" w:eastAsia="Arial" w:hAnsi="Times New Roman"/>
                <w:sz w:val="16"/>
                <w:szCs w:val="16"/>
              </w:rPr>
              <w:t xml:space="preserve"> на </w:t>
            </w:r>
            <w:proofErr w:type="spellStart"/>
            <w:r w:rsidRPr="00E16672">
              <w:rPr>
                <w:rFonts w:ascii="Times New Roman" w:eastAsia="Arial" w:hAnsi="Times New Roman"/>
                <w:sz w:val="16"/>
                <w:szCs w:val="16"/>
              </w:rPr>
              <w:t>облік</w:t>
            </w:r>
            <w:proofErr w:type="spellEnd"/>
            <w:r w:rsidRPr="00E16672">
              <w:rPr>
                <w:rFonts w:ascii="Times New Roman" w:eastAsia="Arial" w:hAnsi="Times New Roman"/>
                <w:sz w:val="16"/>
                <w:szCs w:val="16"/>
              </w:rPr>
              <w:t xml:space="preserve"> в органах </w:t>
            </w:r>
            <w:proofErr w:type="spellStart"/>
            <w:r w:rsidRPr="00E16672">
              <w:rPr>
                <w:rFonts w:ascii="Times New Roman" w:eastAsia="Arial" w:hAnsi="Times New Roman"/>
                <w:sz w:val="16"/>
                <w:szCs w:val="16"/>
              </w:rPr>
              <w:t>державної</w:t>
            </w:r>
            <w:proofErr w:type="spellEnd"/>
            <w:r w:rsidRPr="00E16672">
              <w:rPr>
                <w:rFonts w:ascii="Times New Roman" w:eastAsia="Arial" w:hAnsi="Times New Roman"/>
                <w:sz w:val="16"/>
                <w:szCs w:val="16"/>
              </w:rPr>
              <w:t xml:space="preserve"> </w:t>
            </w:r>
            <w:proofErr w:type="spellStart"/>
            <w:r w:rsidRPr="00E16672">
              <w:rPr>
                <w:rFonts w:ascii="Times New Roman" w:eastAsia="Arial" w:hAnsi="Times New Roman"/>
                <w:sz w:val="16"/>
                <w:szCs w:val="16"/>
              </w:rPr>
              <w:t>податкової</w:t>
            </w:r>
            <w:proofErr w:type="spellEnd"/>
            <w:r w:rsidRPr="00E16672">
              <w:rPr>
                <w:rFonts w:ascii="Times New Roman" w:eastAsia="Arial" w:hAnsi="Times New Roman"/>
                <w:sz w:val="16"/>
                <w:szCs w:val="16"/>
              </w:rPr>
              <w:t xml:space="preserve"> </w:t>
            </w:r>
            <w:proofErr w:type="spellStart"/>
            <w:r w:rsidRPr="00E16672">
              <w:rPr>
                <w:rFonts w:ascii="Times New Roman" w:eastAsia="Arial" w:hAnsi="Times New Roman"/>
                <w:sz w:val="16"/>
                <w:szCs w:val="16"/>
              </w:rPr>
              <w:t>служби</w:t>
            </w:r>
            <w:proofErr w:type="spellEnd"/>
            <w:r w:rsidRPr="00E16672">
              <w:rPr>
                <w:rFonts w:ascii="Times New Roman" w:eastAsia="Arial" w:hAnsi="Times New Roman"/>
                <w:sz w:val="16"/>
                <w:szCs w:val="16"/>
              </w:rPr>
              <w:t>.</w:t>
            </w:r>
          </w:p>
          <w:p w14:paraId="41F6AED6" w14:textId="77777777" w:rsidR="00502AEC" w:rsidRPr="00E16672" w:rsidRDefault="00502AEC" w:rsidP="00547A75">
            <w:pPr>
              <w:pStyle w:val="210"/>
              <w:ind w:left="142" w:right="138" w:firstLine="40"/>
              <w:rPr>
                <w:rFonts w:ascii="Times New Roman" w:eastAsia="Arial" w:hAnsi="Times New Roman"/>
                <w:sz w:val="16"/>
                <w:szCs w:val="16"/>
                <w:lang w:val="ru-RU"/>
              </w:rPr>
            </w:pPr>
          </w:p>
        </w:tc>
        <w:tc>
          <w:tcPr>
            <w:tcW w:w="5494" w:type="dxa"/>
            <w:gridSpan w:val="7"/>
            <w:shd w:val="clear" w:color="auto" w:fill="auto"/>
          </w:tcPr>
          <w:p w14:paraId="2F9E1E23" w14:textId="77777777" w:rsidR="00502AEC" w:rsidRPr="00E16672" w:rsidRDefault="00502AEC" w:rsidP="004D052D">
            <w:pPr>
              <w:snapToGrid w:val="0"/>
              <w:ind w:left="145" w:right="100"/>
              <w:jc w:val="center"/>
              <w:rPr>
                <w:rFonts w:ascii="Times New Roman" w:hAnsi="Times New Roman"/>
                <w:b/>
                <w:bCs/>
                <w:caps/>
                <w:sz w:val="16"/>
                <w:szCs w:val="16"/>
                <w:lang w:val="en-US"/>
              </w:rPr>
            </w:pPr>
            <w:r w:rsidRPr="00E16672">
              <w:rPr>
                <w:rFonts w:ascii="Times New Roman" w:hAnsi="Times New Roman"/>
                <w:b/>
                <w:bCs/>
                <w:sz w:val="16"/>
                <w:szCs w:val="16"/>
                <w:lang w:val="en-GB"/>
              </w:rPr>
              <w:t>2</w:t>
            </w:r>
            <w:r w:rsidRPr="00E16672">
              <w:rPr>
                <w:rFonts w:ascii="Times New Roman" w:hAnsi="Times New Roman"/>
                <w:b/>
                <w:bCs/>
                <w:sz w:val="16"/>
                <w:szCs w:val="16"/>
                <w:lang w:val="en-US"/>
              </w:rPr>
              <w:t xml:space="preserve">. </w:t>
            </w:r>
            <w:r w:rsidRPr="00E16672">
              <w:rPr>
                <w:rFonts w:ascii="Times New Roman" w:hAnsi="Times New Roman"/>
                <w:b/>
                <w:bCs/>
                <w:caps/>
                <w:sz w:val="16"/>
                <w:szCs w:val="16"/>
                <w:lang w:val="en-US"/>
              </w:rPr>
              <w:t>RIGHTS and RESPONSIBILITIES of the Parties</w:t>
            </w:r>
          </w:p>
          <w:p w14:paraId="5FF6E8C0" w14:textId="77777777" w:rsidR="00502AEC" w:rsidRPr="00E16672" w:rsidRDefault="00502AEC" w:rsidP="004D052D">
            <w:pPr>
              <w:ind w:left="145" w:right="100"/>
              <w:jc w:val="center"/>
              <w:rPr>
                <w:rFonts w:ascii="Times New Roman" w:hAnsi="Times New Roman"/>
                <w:b/>
                <w:bCs/>
                <w:sz w:val="16"/>
                <w:szCs w:val="16"/>
                <w:lang w:val="en-US"/>
              </w:rPr>
            </w:pPr>
          </w:p>
          <w:p w14:paraId="1E4BE4E5" w14:textId="77777777" w:rsidR="00502AEC" w:rsidRPr="00E16672" w:rsidRDefault="00502AEC" w:rsidP="004D052D">
            <w:pPr>
              <w:ind w:left="145" w:right="100"/>
              <w:rPr>
                <w:rFonts w:ascii="Times New Roman" w:hAnsi="Times New Roman"/>
                <w:b/>
                <w:bCs/>
                <w:sz w:val="16"/>
                <w:szCs w:val="16"/>
                <w:lang w:val="en-US"/>
              </w:rPr>
            </w:pPr>
            <w:r w:rsidRPr="00E16672">
              <w:rPr>
                <w:rFonts w:ascii="Times New Roman" w:hAnsi="Times New Roman"/>
                <w:b/>
                <w:bCs/>
                <w:sz w:val="16"/>
                <w:szCs w:val="16"/>
                <w:lang w:val="en-US"/>
              </w:rPr>
              <w:t>2.1. Depository institution shall be obliged:</w:t>
            </w:r>
          </w:p>
          <w:p w14:paraId="6098E22E" w14:textId="77777777" w:rsidR="00502AEC" w:rsidRPr="00E16672" w:rsidRDefault="00502AEC" w:rsidP="004D052D">
            <w:pPr>
              <w:ind w:left="145" w:right="100"/>
              <w:rPr>
                <w:rFonts w:ascii="Times New Roman" w:hAnsi="Times New Roman"/>
                <w:b/>
                <w:bCs/>
                <w:sz w:val="16"/>
                <w:szCs w:val="16"/>
                <w:lang w:val="en-US"/>
              </w:rPr>
            </w:pPr>
          </w:p>
          <w:p w14:paraId="6429F95E" w14:textId="77777777" w:rsidR="00502AEC" w:rsidRPr="00E16672" w:rsidRDefault="00502AEC" w:rsidP="004D052D">
            <w:pPr>
              <w:pStyle w:val="23"/>
              <w:ind w:left="145" w:right="100" w:firstLine="0"/>
              <w:rPr>
                <w:rFonts w:ascii="Times New Roman" w:eastAsia="Arial" w:hAnsi="Times New Roman"/>
                <w:sz w:val="16"/>
                <w:szCs w:val="16"/>
                <w:lang w:val="en-US"/>
              </w:rPr>
            </w:pPr>
            <w:r w:rsidRPr="00E16672">
              <w:rPr>
                <w:rFonts w:ascii="Times New Roman" w:eastAsia="Arial" w:hAnsi="Times New Roman"/>
                <w:sz w:val="16"/>
                <w:szCs w:val="16"/>
                <w:lang w:val="en-US"/>
              </w:rPr>
              <w:t xml:space="preserve">2.1.1. To open for Depositor the account in securities </w:t>
            </w:r>
            <w:r w:rsidRPr="00E16672">
              <w:rPr>
                <w:rFonts w:ascii="Times New Roman" w:eastAsia="Arial" w:hAnsi="Times New Roman"/>
                <w:i/>
                <w:sz w:val="16"/>
                <w:szCs w:val="16"/>
                <w:lang w:val="en-US"/>
              </w:rPr>
              <w:t>within five working days</w:t>
            </w:r>
            <w:r w:rsidRPr="00E16672">
              <w:rPr>
                <w:rFonts w:ascii="Times New Roman" w:eastAsia="Arial" w:hAnsi="Times New Roman"/>
                <w:sz w:val="16"/>
                <w:szCs w:val="16"/>
                <w:lang w:val="en-US"/>
              </w:rPr>
              <w:t xml:space="preserve"> after the receiving the documents, </w:t>
            </w:r>
            <w:proofErr w:type="spellStart"/>
            <w:r w:rsidRPr="00E16672">
              <w:rPr>
                <w:rFonts w:ascii="Times New Roman" w:eastAsia="Arial" w:hAnsi="Times New Roman"/>
                <w:sz w:val="16"/>
                <w:szCs w:val="16"/>
                <w:lang w:val="en-US"/>
              </w:rPr>
              <w:t>definited</w:t>
            </w:r>
            <w:proofErr w:type="spellEnd"/>
            <w:r w:rsidRPr="00E16672">
              <w:rPr>
                <w:rFonts w:ascii="Times New Roman" w:eastAsia="Arial" w:hAnsi="Times New Roman"/>
                <w:sz w:val="16"/>
                <w:szCs w:val="16"/>
                <w:lang w:val="en-US"/>
              </w:rPr>
              <w:t xml:space="preserve"> by the legislation documents for open account in securities. If the Depositor is a taxpayer in Ukraine, expenditure operations on a securities account made after taking account registered in the State Tax Service.</w:t>
            </w:r>
          </w:p>
          <w:p w14:paraId="39507240" w14:textId="77777777" w:rsidR="00502AEC" w:rsidRPr="00E16672" w:rsidRDefault="00502AEC" w:rsidP="004D052D">
            <w:pPr>
              <w:pStyle w:val="23"/>
              <w:ind w:left="145" w:right="100" w:firstLine="0"/>
              <w:rPr>
                <w:rFonts w:ascii="Times New Roman" w:hAnsi="Times New Roman"/>
                <w:sz w:val="16"/>
                <w:szCs w:val="16"/>
                <w:lang w:val="en-US"/>
              </w:rPr>
            </w:pPr>
          </w:p>
        </w:tc>
      </w:tr>
      <w:tr w:rsidR="00E00EC0" w:rsidRPr="00F23413" w14:paraId="669D81AA" w14:textId="77777777" w:rsidTr="00D77858">
        <w:tblPrEx>
          <w:tblCellMar>
            <w:left w:w="0" w:type="dxa"/>
            <w:right w:w="0" w:type="dxa"/>
          </w:tblCellMar>
        </w:tblPrEx>
        <w:trPr>
          <w:trHeight w:val="192"/>
        </w:trPr>
        <w:tc>
          <w:tcPr>
            <w:tcW w:w="5696" w:type="dxa"/>
            <w:gridSpan w:val="6"/>
            <w:shd w:val="clear" w:color="auto" w:fill="auto"/>
          </w:tcPr>
          <w:p w14:paraId="38F4D72B" w14:textId="77777777" w:rsidR="00E00EC0" w:rsidRPr="00E16672" w:rsidRDefault="00E00EC0" w:rsidP="00547A75">
            <w:pPr>
              <w:tabs>
                <w:tab w:val="left" w:pos="993"/>
              </w:tabs>
              <w:snapToGrid w:val="0"/>
              <w:ind w:left="142" w:right="138" w:firstLine="40"/>
              <w:rPr>
                <w:rFonts w:ascii="Times New Roman" w:eastAsia="Arial" w:hAnsi="Times New Roman"/>
                <w:strike/>
                <w:color w:val="FF0000"/>
                <w:sz w:val="16"/>
                <w:szCs w:val="16"/>
                <w:lang w:val="uk-UA"/>
              </w:rPr>
            </w:pPr>
            <w:r w:rsidRPr="00E16672">
              <w:rPr>
                <w:rFonts w:ascii="Times New Roman" w:eastAsia="Arial" w:hAnsi="Times New Roman"/>
                <w:sz w:val="16"/>
                <w:szCs w:val="16"/>
                <w:lang w:val="en-US"/>
              </w:rPr>
              <w:t xml:space="preserve">2.1.2. </w:t>
            </w:r>
            <w:r w:rsidRPr="00E16672">
              <w:rPr>
                <w:rFonts w:ascii="Times New Roman" w:hAnsi="Times New Roman"/>
                <w:sz w:val="16"/>
                <w:szCs w:val="16"/>
                <w:lang w:val="uk-UA"/>
              </w:rPr>
              <w:t>Ознайомити Депонента з внутрішніми документами (витягами з внутрішніх документів, діючими тарифами</w:t>
            </w:r>
            <w:r w:rsidR="008A70C6" w:rsidRPr="00E16672">
              <w:rPr>
                <w:rFonts w:ascii="Times New Roman" w:hAnsi="Times New Roman"/>
                <w:bCs/>
                <w:sz w:val="16"/>
                <w:szCs w:val="16"/>
                <w:lang w:val="uk-UA"/>
              </w:rPr>
              <w:t xml:space="preserve"> на депозитарні операції з цінними паперами Депозитарної установи (далі – тарифи Депозитарної установи)</w:t>
            </w:r>
            <w:r w:rsidRPr="00E16672">
              <w:rPr>
                <w:rFonts w:ascii="Times New Roman" w:hAnsi="Times New Roman"/>
                <w:sz w:val="16"/>
                <w:szCs w:val="16"/>
                <w:lang w:val="uk-UA"/>
              </w:rPr>
              <w:t xml:space="preserve">, що є чинними на час підписання цього Договору) Депозитарної установи, які регламентують відносини Депонента та Депозитарної установи стосовно порядку виконання розпоряджень Депонента, отримання виписок про стан рахунку </w:t>
            </w:r>
            <w:r w:rsidR="00C22309" w:rsidRPr="00E16672">
              <w:rPr>
                <w:rFonts w:ascii="Times New Roman" w:hAnsi="Times New Roman"/>
                <w:sz w:val="16"/>
                <w:szCs w:val="16"/>
                <w:lang w:val="uk-UA"/>
              </w:rPr>
              <w:t>в цін</w:t>
            </w:r>
            <w:r w:rsidRPr="00E16672">
              <w:rPr>
                <w:rFonts w:ascii="Times New Roman" w:hAnsi="Times New Roman"/>
                <w:sz w:val="16"/>
                <w:szCs w:val="16"/>
                <w:lang w:val="uk-UA"/>
              </w:rPr>
              <w:t xml:space="preserve">них </w:t>
            </w:r>
            <w:r w:rsidRPr="00E16672">
              <w:rPr>
                <w:rFonts w:ascii="Times New Roman" w:hAnsi="Times New Roman"/>
                <w:color w:val="000000"/>
                <w:sz w:val="16"/>
                <w:szCs w:val="16"/>
                <w:lang w:val="uk-UA"/>
              </w:rPr>
              <w:t xml:space="preserve">паперах Депонента та про операції з цінними паперами, інформаційних довідок про незавершені операції з цінними паперами </w:t>
            </w:r>
            <w:r w:rsidR="00622B88" w:rsidRPr="00E16672">
              <w:rPr>
                <w:rFonts w:ascii="Times New Roman" w:hAnsi="Times New Roman"/>
                <w:color w:val="000000"/>
                <w:sz w:val="16"/>
                <w:szCs w:val="16"/>
                <w:lang w:val="uk-UA"/>
              </w:rPr>
              <w:t xml:space="preserve">за рахунками </w:t>
            </w:r>
            <w:r w:rsidRPr="00E16672">
              <w:rPr>
                <w:rFonts w:ascii="Times New Roman" w:hAnsi="Times New Roman"/>
                <w:color w:val="000000"/>
                <w:sz w:val="16"/>
                <w:szCs w:val="16"/>
                <w:lang w:val="uk-UA"/>
              </w:rPr>
              <w:t xml:space="preserve">в цінних паперах Депонента та інших інформаційних довідок, шляхом оприлюднення на </w:t>
            </w:r>
            <w:r w:rsidRPr="00E16672">
              <w:rPr>
                <w:rFonts w:ascii="Times New Roman" w:hAnsi="Times New Roman"/>
                <w:bCs/>
                <w:sz w:val="16"/>
                <w:szCs w:val="16"/>
                <w:lang w:val="uk-UA"/>
              </w:rPr>
              <w:t xml:space="preserve">веб-сторінці Депозитарної установи </w:t>
            </w:r>
            <w:hyperlink r:id="rId10" w:history="1">
              <w:r w:rsidR="00E16672">
                <w:rPr>
                  <w:rFonts w:ascii="Times New Roman" w:hAnsi="Times New Roman"/>
                  <w:bCs/>
                  <w:sz w:val="16"/>
                  <w:szCs w:val="16"/>
                  <w:lang w:val="en-US"/>
                </w:rPr>
                <w:t>http://comex.uafin.net</w:t>
              </w:r>
            </w:hyperlink>
            <w:r w:rsidRPr="00E16672">
              <w:rPr>
                <w:rFonts w:ascii="Times New Roman" w:hAnsi="Times New Roman"/>
                <w:bCs/>
                <w:sz w:val="16"/>
                <w:szCs w:val="16"/>
                <w:lang w:val="uk-UA"/>
              </w:rPr>
              <w:t>, та в подальшому ознайомлювати Депонента зі змінами та доповненнями до цих документів (витягів з внутрішніх документів, діючих тарифів</w:t>
            </w:r>
            <w:r w:rsidR="008A70C6" w:rsidRPr="00E16672">
              <w:rPr>
                <w:rFonts w:ascii="Times New Roman" w:hAnsi="Times New Roman"/>
                <w:bCs/>
                <w:sz w:val="16"/>
                <w:szCs w:val="16"/>
                <w:lang w:val="uk-UA"/>
              </w:rPr>
              <w:t xml:space="preserve"> Депозитарної установи</w:t>
            </w:r>
            <w:r w:rsidRPr="00E16672">
              <w:rPr>
                <w:rFonts w:ascii="Times New Roman" w:hAnsi="Times New Roman"/>
                <w:bCs/>
                <w:sz w:val="16"/>
                <w:szCs w:val="16"/>
                <w:lang w:val="uk-UA"/>
              </w:rPr>
              <w:t xml:space="preserve">) шляхом розміщення протягом </w:t>
            </w:r>
            <w:r w:rsidRPr="00E16672">
              <w:rPr>
                <w:rFonts w:ascii="Times New Roman" w:hAnsi="Times New Roman"/>
                <w:bCs/>
                <w:i/>
                <w:sz w:val="16"/>
                <w:szCs w:val="16"/>
                <w:lang w:val="uk-UA"/>
              </w:rPr>
              <w:t>п'яти</w:t>
            </w:r>
            <w:r w:rsidRPr="00E16672">
              <w:rPr>
                <w:rFonts w:ascii="Times New Roman" w:hAnsi="Times New Roman"/>
                <w:bCs/>
                <w:sz w:val="16"/>
                <w:szCs w:val="16"/>
                <w:lang w:val="uk-UA"/>
              </w:rPr>
              <w:t xml:space="preserve"> робочих днів після затвердження змін відповідної інформації та тексту внутрішніх документів (витягів з внутрішніх документів) на веб-сторінці Депозитарної установи </w:t>
            </w:r>
            <w:hyperlink r:id="rId11" w:history="1">
              <w:r w:rsidR="00E16672">
                <w:rPr>
                  <w:rFonts w:ascii="Times New Roman" w:hAnsi="Times New Roman"/>
                  <w:bCs/>
                  <w:sz w:val="16"/>
                  <w:szCs w:val="16"/>
                  <w:lang w:val="en-US"/>
                </w:rPr>
                <w:t>http://comex.uafin.net</w:t>
              </w:r>
            </w:hyperlink>
            <w:r w:rsidR="00350DB1" w:rsidRPr="00E16672">
              <w:rPr>
                <w:rFonts w:ascii="Times New Roman" w:hAnsi="Times New Roman"/>
                <w:bCs/>
                <w:sz w:val="16"/>
                <w:szCs w:val="16"/>
                <w:lang w:val="uk-UA"/>
              </w:rPr>
              <w:t>.</w:t>
            </w:r>
          </w:p>
          <w:p w14:paraId="23EF506F" w14:textId="77777777" w:rsidR="00E00EC0" w:rsidRPr="00E16672" w:rsidRDefault="00E00EC0" w:rsidP="00547A75">
            <w:pPr>
              <w:pStyle w:val="210"/>
              <w:snapToGrid w:val="0"/>
              <w:ind w:left="142" w:right="138" w:firstLine="40"/>
              <w:rPr>
                <w:rFonts w:ascii="Times New Roman" w:eastAsia="Arial" w:hAnsi="Times New Roman"/>
                <w:sz w:val="16"/>
                <w:szCs w:val="16"/>
              </w:rPr>
            </w:pPr>
          </w:p>
        </w:tc>
        <w:tc>
          <w:tcPr>
            <w:tcW w:w="5494" w:type="dxa"/>
            <w:gridSpan w:val="7"/>
            <w:shd w:val="clear" w:color="auto" w:fill="auto"/>
          </w:tcPr>
          <w:p w14:paraId="2EED7490" w14:textId="77777777" w:rsidR="00E00EC0" w:rsidRPr="00E16672" w:rsidRDefault="00E00EC0" w:rsidP="00324929">
            <w:pPr>
              <w:pStyle w:val="23"/>
              <w:snapToGrid w:val="0"/>
              <w:ind w:left="145" w:right="100" w:firstLine="0"/>
              <w:rPr>
                <w:rFonts w:ascii="Times New Roman" w:eastAsia="Arial" w:hAnsi="Times New Roman"/>
                <w:sz w:val="16"/>
                <w:szCs w:val="16"/>
              </w:rPr>
            </w:pPr>
            <w:r w:rsidRPr="00E16672">
              <w:rPr>
                <w:rFonts w:ascii="Times New Roman" w:eastAsia="Arial" w:hAnsi="Times New Roman"/>
                <w:sz w:val="16"/>
                <w:szCs w:val="16"/>
                <w:lang w:val="en-US"/>
              </w:rPr>
              <w:t>2.1.2.</w:t>
            </w:r>
            <w:r w:rsidRPr="00E16672">
              <w:rPr>
                <w:rFonts w:ascii="Times New Roman" w:eastAsia="Arial" w:hAnsi="Times New Roman"/>
                <w:sz w:val="16"/>
                <w:szCs w:val="16"/>
                <w:lang w:val="en-GB"/>
              </w:rPr>
              <w:t xml:space="preserve"> </w:t>
            </w:r>
            <w:r w:rsidRPr="00E16672">
              <w:rPr>
                <w:rFonts w:ascii="Times New Roman" w:eastAsia="Arial" w:hAnsi="Times New Roman"/>
                <w:sz w:val="16"/>
                <w:szCs w:val="16"/>
                <w:lang w:val="en-US"/>
              </w:rPr>
              <w:t>To acquaint Depositor with internal documents (excerpts from internal documents, applicable tariffs</w:t>
            </w:r>
            <w:r w:rsidR="008A70C6" w:rsidRPr="00E16672">
              <w:rPr>
                <w:rFonts w:ascii="Times New Roman" w:hAnsi="Times New Roman"/>
                <w:b/>
                <w:sz w:val="18"/>
                <w:szCs w:val="18"/>
                <w:lang w:val="en-US"/>
              </w:rPr>
              <w:t xml:space="preserve"> </w:t>
            </w:r>
            <w:r w:rsidR="008A70C6" w:rsidRPr="00E16672">
              <w:rPr>
                <w:rFonts w:ascii="Times New Roman" w:hAnsi="Times New Roman"/>
                <w:sz w:val="16"/>
                <w:szCs w:val="18"/>
                <w:lang w:val="en-US"/>
              </w:rPr>
              <w:t>for depositary operations with securities</w:t>
            </w:r>
            <w:r w:rsidR="008A70C6" w:rsidRPr="00E16672">
              <w:rPr>
                <w:rFonts w:ascii="Times New Roman" w:hAnsi="Times New Roman"/>
                <w:sz w:val="16"/>
                <w:szCs w:val="18"/>
              </w:rPr>
              <w:t xml:space="preserve"> (</w:t>
            </w:r>
            <w:r w:rsidR="008A70C6" w:rsidRPr="00E16672">
              <w:rPr>
                <w:rFonts w:ascii="Times New Roman" w:hAnsi="Times New Roman"/>
                <w:sz w:val="16"/>
                <w:szCs w:val="18"/>
                <w:lang w:val="en-US"/>
              </w:rPr>
              <w:t xml:space="preserve">hereinafter - tariffs of </w:t>
            </w:r>
            <w:r w:rsidR="008A70C6" w:rsidRPr="00E16672">
              <w:rPr>
                <w:rFonts w:ascii="Times New Roman" w:hAnsi="Times New Roman"/>
                <w:bCs/>
                <w:sz w:val="16"/>
                <w:szCs w:val="18"/>
                <w:lang w:val="en-US"/>
              </w:rPr>
              <w:t>Depository institution</w:t>
            </w:r>
            <w:r w:rsidR="008A70C6" w:rsidRPr="00E16672">
              <w:rPr>
                <w:rFonts w:ascii="Times New Roman" w:hAnsi="Times New Roman"/>
                <w:sz w:val="16"/>
                <w:szCs w:val="18"/>
              </w:rPr>
              <w:t>)</w:t>
            </w:r>
            <w:r w:rsidRPr="00E16672">
              <w:rPr>
                <w:rFonts w:ascii="Times New Roman" w:eastAsia="Arial" w:hAnsi="Times New Roman"/>
                <w:sz w:val="14"/>
                <w:szCs w:val="16"/>
                <w:lang w:val="en-US"/>
              </w:rPr>
              <w:t xml:space="preserve"> </w:t>
            </w:r>
            <w:r w:rsidRPr="00E16672">
              <w:rPr>
                <w:rFonts w:ascii="Times New Roman" w:eastAsia="Arial" w:hAnsi="Times New Roman"/>
                <w:sz w:val="16"/>
                <w:szCs w:val="16"/>
                <w:lang w:val="en-US"/>
              </w:rPr>
              <w:t>in force at the time of signature of this Agreement) of Depository institutions that govern the relationship the Depositor and Depository institutions with regard to the order of execution of orders of Depositor, obtain extracts of account in securities of Depositor and the securities transactions, information sheets about unfinished transactions in securities on the securities account of the Depositor and other information sheets,</w:t>
            </w:r>
            <w:r w:rsidR="00324929" w:rsidRPr="00E16672">
              <w:rPr>
                <w:rFonts w:ascii="Times New Roman" w:eastAsia="Arial" w:hAnsi="Times New Roman"/>
                <w:sz w:val="16"/>
                <w:szCs w:val="16"/>
                <w:lang w:val="en-US"/>
              </w:rPr>
              <w:t xml:space="preserve"> </w:t>
            </w:r>
            <w:r w:rsidRPr="00E16672">
              <w:rPr>
                <w:rFonts w:ascii="Times New Roman" w:eastAsia="Arial" w:hAnsi="Times New Roman"/>
                <w:sz w:val="16"/>
                <w:szCs w:val="16"/>
                <w:lang w:val="en-US"/>
              </w:rPr>
              <w:t xml:space="preserve">by placement on a website of Depository institution </w:t>
            </w:r>
            <w:hyperlink r:id="rId12" w:history="1">
              <w:r w:rsidR="00E16672">
                <w:rPr>
                  <w:rFonts w:ascii="Times New Roman" w:hAnsi="Times New Roman"/>
                  <w:bCs/>
                  <w:sz w:val="16"/>
                  <w:szCs w:val="16"/>
                  <w:lang w:val="en-US"/>
                </w:rPr>
                <w:t>http://comex.uafin.net</w:t>
              </w:r>
            </w:hyperlink>
            <w:r w:rsidRPr="00E16672">
              <w:rPr>
                <w:rFonts w:ascii="Times New Roman" w:eastAsia="Arial" w:hAnsi="Times New Roman"/>
                <w:sz w:val="16"/>
                <w:szCs w:val="16"/>
                <w:lang w:val="en-US"/>
              </w:rPr>
              <w:t>, and further acquaint Depositor with changes and additions to these documents (excerpts from internal documents, current tariffs</w:t>
            </w:r>
            <w:r w:rsidR="00324929" w:rsidRPr="00E16672">
              <w:rPr>
                <w:rFonts w:ascii="Times New Roman" w:eastAsia="Arial" w:hAnsi="Times New Roman"/>
                <w:sz w:val="16"/>
                <w:szCs w:val="16"/>
                <w:lang w:val="en-US"/>
              </w:rPr>
              <w:t xml:space="preserve"> </w:t>
            </w:r>
            <w:r w:rsidR="00324929" w:rsidRPr="00E16672">
              <w:rPr>
                <w:rFonts w:ascii="Times New Roman" w:hAnsi="Times New Roman"/>
                <w:sz w:val="16"/>
                <w:szCs w:val="18"/>
                <w:lang w:val="en-US"/>
              </w:rPr>
              <w:t xml:space="preserve">of </w:t>
            </w:r>
            <w:r w:rsidR="00324929" w:rsidRPr="00E16672">
              <w:rPr>
                <w:rFonts w:ascii="Times New Roman" w:hAnsi="Times New Roman"/>
                <w:bCs/>
                <w:sz w:val="16"/>
                <w:szCs w:val="18"/>
                <w:lang w:val="en-US"/>
              </w:rPr>
              <w:t>Depository institution</w:t>
            </w:r>
            <w:r w:rsidRPr="00E16672">
              <w:rPr>
                <w:rFonts w:ascii="Times New Roman" w:eastAsia="Arial" w:hAnsi="Times New Roman"/>
                <w:sz w:val="16"/>
                <w:szCs w:val="16"/>
                <w:lang w:val="en-US"/>
              </w:rPr>
              <w:t>)</w:t>
            </w:r>
            <w:r w:rsidRPr="00E16672">
              <w:rPr>
                <w:rFonts w:ascii="Times New Roman" w:eastAsia="Arial" w:hAnsi="Times New Roman"/>
                <w:sz w:val="16"/>
                <w:szCs w:val="16"/>
                <w:lang w:val="en-GB"/>
              </w:rPr>
              <w:t xml:space="preserve"> </w:t>
            </w:r>
            <w:r w:rsidRPr="00E16672">
              <w:rPr>
                <w:rFonts w:ascii="Times New Roman" w:eastAsia="Arial" w:hAnsi="Times New Roman"/>
                <w:sz w:val="16"/>
                <w:szCs w:val="16"/>
                <w:lang w:val="en-US"/>
              </w:rPr>
              <w:t xml:space="preserve">by placing over </w:t>
            </w:r>
            <w:r w:rsidRPr="00E16672">
              <w:rPr>
                <w:rFonts w:ascii="Times New Roman" w:eastAsia="Arial" w:hAnsi="Times New Roman"/>
                <w:i/>
                <w:sz w:val="16"/>
                <w:szCs w:val="16"/>
                <w:lang w:val="en-US"/>
              </w:rPr>
              <w:t xml:space="preserve">five </w:t>
            </w:r>
            <w:r w:rsidR="00324929" w:rsidRPr="00E16672">
              <w:rPr>
                <w:rFonts w:ascii="Times New Roman" w:eastAsia="Arial" w:hAnsi="Times New Roman"/>
                <w:i/>
                <w:sz w:val="16"/>
                <w:szCs w:val="16"/>
                <w:lang w:val="en-US"/>
              </w:rPr>
              <w:t xml:space="preserve">business </w:t>
            </w:r>
            <w:r w:rsidRPr="00E16672">
              <w:rPr>
                <w:rFonts w:ascii="Times New Roman" w:eastAsia="Arial" w:hAnsi="Times New Roman"/>
                <w:i/>
                <w:sz w:val="16"/>
                <w:szCs w:val="16"/>
                <w:lang w:val="en-US"/>
              </w:rPr>
              <w:t>days</w:t>
            </w:r>
            <w:r w:rsidRPr="00E16672">
              <w:rPr>
                <w:rFonts w:ascii="Times New Roman" w:eastAsia="Arial" w:hAnsi="Times New Roman"/>
                <w:sz w:val="16"/>
                <w:szCs w:val="16"/>
                <w:lang w:val="en-US"/>
              </w:rPr>
              <w:t xml:space="preserve"> after approval of changes relevant information and internal documents of text (excerpts from internal documents) on a website of Depository institution </w:t>
            </w:r>
            <w:hyperlink r:id="rId13" w:history="1">
              <w:r w:rsidR="00E16672">
                <w:rPr>
                  <w:rFonts w:ascii="Times New Roman" w:hAnsi="Times New Roman"/>
                  <w:bCs/>
                  <w:sz w:val="16"/>
                  <w:szCs w:val="16"/>
                  <w:lang w:val="en-US"/>
                </w:rPr>
                <w:t>http://comex.uafin.net</w:t>
              </w:r>
            </w:hyperlink>
            <w:r w:rsidRPr="00E16672">
              <w:rPr>
                <w:rFonts w:ascii="Times New Roman" w:eastAsia="Arial" w:hAnsi="Times New Roman"/>
                <w:sz w:val="16"/>
                <w:szCs w:val="16"/>
                <w:lang w:val="en-US"/>
              </w:rPr>
              <w:t>.</w:t>
            </w:r>
          </w:p>
        </w:tc>
      </w:tr>
      <w:tr w:rsidR="00502AEC" w:rsidRPr="00F23413" w14:paraId="1A3167B2" w14:textId="77777777" w:rsidTr="00D77858">
        <w:tblPrEx>
          <w:tblCellMar>
            <w:left w:w="0" w:type="dxa"/>
            <w:right w:w="0" w:type="dxa"/>
          </w:tblCellMar>
        </w:tblPrEx>
        <w:trPr>
          <w:trHeight w:val="192"/>
        </w:trPr>
        <w:tc>
          <w:tcPr>
            <w:tcW w:w="5696" w:type="dxa"/>
            <w:gridSpan w:val="6"/>
            <w:shd w:val="clear" w:color="auto" w:fill="auto"/>
          </w:tcPr>
          <w:p w14:paraId="4384504B" w14:textId="77777777" w:rsidR="00502AEC" w:rsidRPr="00E16672" w:rsidRDefault="00502AEC" w:rsidP="00547A75">
            <w:pPr>
              <w:tabs>
                <w:tab w:val="left" w:pos="851"/>
              </w:tabs>
              <w:snapToGrid w:val="0"/>
              <w:ind w:left="182" w:right="138" w:firstLine="0"/>
              <w:rPr>
                <w:rFonts w:ascii="Times New Roman" w:eastAsia="Arial" w:hAnsi="Times New Roman"/>
                <w:sz w:val="16"/>
                <w:szCs w:val="16"/>
              </w:rPr>
            </w:pPr>
            <w:r w:rsidRPr="00E16672">
              <w:rPr>
                <w:rFonts w:ascii="Times New Roman" w:eastAsia="Arial" w:hAnsi="Times New Roman"/>
                <w:sz w:val="16"/>
                <w:szCs w:val="16"/>
              </w:rPr>
              <w:t xml:space="preserve">2.1.3. </w:t>
            </w:r>
            <w:proofErr w:type="spellStart"/>
            <w:r w:rsidRPr="00E16672">
              <w:rPr>
                <w:rFonts w:ascii="Times New Roman" w:eastAsia="Arial" w:hAnsi="Times New Roman"/>
                <w:sz w:val="16"/>
                <w:szCs w:val="16"/>
              </w:rPr>
              <w:t>Здійснювати</w:t>
            </w:r>
            <w:proofErr w:type="spellEnd"/>
            <w:r w:rsidRPr="00E16672">
              <w:rPr>
                <w:rFonts w:ascii="Times New Roman" w:eastAsia="Arial" w:hAnsi="Times New Roman"/>
                <w:sz w:val="16"/>
                <w:szCs w:val="16"/>
              </w:rPr>
              <w:t xml:space="preserve"> </w:t>
            </w:r>
            <w:proofErr w:type="spellStart"/>
            <w:r w:rsidRPr="00E16672">
              <w:rPr>
                <w:rFonts w:ascii="Times New Roman" w:eastAsia="Arial" w:hAnsi="Times New Roman"/>
                <w:sz w:val="16"/>
                <w:szCs w:val="16"/>
              </w:rPr>
              <w:t>облік</w:t>
            </w:r>
            <w:proofErr w:type="spellEnd"/>
            <w:r w:rsidRPr="00E16672">
              <w:rPr>
                <w:rFonts w:ascii="Times New Roman" w:eastAsia="Arial" w:hAnsi="Times New Roman"/>
                <w:sz w:val="16"/>
                <w:szCs w:val="16"/>
              </w:rPr>
              <w:t xml:space="preserve"> </w:t>
            </w:r>
            <w:proofErr w:type="spellStart"/>
            <w:r w:rsidRPr="00E16672">
              <w:rPr>
                <w:rFonts w:ascii="Times New Roman" w:eastAsia="Arial" w:hAnsi="Times New Roman"/>
                <w:sz w:val="16"/>
                <w:szCs w:val="16"/>
              </w:rPr>
              <w:t>цінних</w:t>
            </w:r>
            <w:proofErr w:type="spellEnd"/>
            <w:r w:rsidRPr="00E16672">
              <w:rPr>
                <w:rFonts w:ascii="Times New Roman" w:eastAsia="Arial" w:hAnsi="Times New Roman"/>
                <w:sz w:val="16"/>
                <w:szCs w:val="16"/>
              </w:rPr>
              <w:t xml:space="preserve"> </w:t>
            </w:r>
            <w:proofErr w:type="spellStart"/>
            <w:r w:rsidRPr="00E16672">
              <w:rPr>
                <w:rFonts w:ascii="Times New Roman" w:eastAsia="Arial" w:hAnsi="Times New Roman"/>
                <w:sz w:val="16"/>
                <w:szCs w:val="16"/>
              </w:rPr>
              <w:t>паперів</w:t>
            </w:r>
            <w:proofErr w:type="spellEnd"/>
            <w:r w:rsidRPr="00E16672">
              <w:rPr>
                <w:rFonts w:ascii="Times New Roman" w:eastAsia="Arial" w:hAnsi="Times New Roman"/>
                <w:sz w:val="16"/>
                <w:szCs w:val="16"/>
              </w:rPr>
              <w:t xml:space="preserve">, </w:t>
            </w:r>
            <w:proofErr w:type="spellStart"/>
            <w:r w:rsidRPr="00E16672">
              <w:rPr>
                <w:rFonts w:ascii="Times New Roman" w:eastAsia="Arial" w:hAnsi="Times New Roman"/>
                <w:sz w:val="16"/>
                <w:szCs w:val="16"/>
              </w:rPr>
              <w:t>що</w:t>
            </w:r>
            <w:proofErr w:type="spellEnd"/>
            <w:r w:rsidRPr="00E16672">
              <w:rPr>
                <w:rFonts w:ascii="Times New Roman" w:eastAsia="Arial" w:hAnsi="Times New Roman"/>
                <w:sz w:val="16"/>
                <w:szCs w:val="16"/>
              </w:rPr>
              <w:t xml:space="preserve"> належать Депоненту, на </w:t>
            </w:r>
            <w:proofErr w:type="spellStart"/>
            <w:r w:rsidRPr="00E16672">
              <w:rPr>
                <w:rFonts w:ascii="Times New Roman" w:eastAsia="Arial" w:hAnsi="Times New Roman"/>
                <w:sz w:val="16"/>
                <w:szCs w:val="16"/>
              </w:rPr>
              <w:t>рахунку</w:t>
            </w:r>
            <w:proofErr w:type="spellEnd"/>
            <w:r w:rsidRPr="00E16672">
              <w:rPr>
                <w:rFonts w:ascii="Times New Roman" w:eastAsia="Arial" w:hAnsi="Times New Roman"/>
                <w:sz w:val="16"/>
                <w:szCs w:val="16"/>
              </w:rPr>
              <w:t xml:space="preserve"> </w:t>
            </w:r>
            <w:r w:rsidR="00C22309" w:rsidRPr="00E16672">
              <w:rPr>
                <w:rFonts w:ascii="Times New Roman" w:eastAsia="Arial" w:hAnsi="Times New Roman"/>
                <w:sz w:val="16"/>
                <w:szCs w:val="16"/>
              </w:rPr>
              <w:t xml:space="preserve">в </w:t>
            </w:r>
            <w:proofErr w:type="spellStart"/>
            <w:r w:rsidR="00C22309" w:rsidRPr="00E16672">
              <w:rPr>
                <w:rFonts w:ascii="Times New Roman" w:eastAsia="Arial" w:hAnsi="Times New Roman"/>
                <w:sz w:val="16"/>
                <w:szCs w:val="16"/>
              </w:rPr>
              <w:t>цін</w:t>
            </w:r>
            <w:r w:rsidRPr="00E16672">
              <w:rPr>
                <w:rFonts w:ascii="Times New Roman" w:eastAsia="Arial" w:hAnsi="Times New Roman"/>
                <w:sz w:val="16"/>
                <w:szCs w:val="16"/>
              </w:rPr>
              <w:t>них</w:t>
            </w:r>
            <w:proofErr w:type="spellEnd"/>
            <w:r w:rsidRPr="00E16672">
              <w:rPr>
                <w:rFonts w:ascii="Times New Roman" w:eastAsia="Arial" w:hAnsi="Times New Roman"/>
                <w:sz w:val="16"/>
                <w:szCs w:val="16"/>
              </w:rPr>
              <w:t xml:space="preserve"> </w:t>
            </w:r>
            <w:proofErr w:type="spellStart"/>
            <w:r w:rsidRPr="00E16672">
              <w:rPr>
                <w:rFonts w:ascii="Times New Roman" w:eastAsia="Arial" w:hAnsi="Times New Roman"/>
                <w:sz w:val="16"/>
                <w:szCs w:val="16"/>
              </w:rPr>
              <w:t>паперах</w:t>
            </w:r>
            <w:proofErr w:type="spellEnd"/>
            <w:r w:rsidRPr="00E16672">
              <w:rPr>
                <w:rFonts w:ascii="Times New Roman" w:eastAsia="Arial" w:hAnsi="Times New Roman"/>
                <w:sz w:val="16"/>
                <w:szCs w:val="16"/>
              </w:rPr>
              <w:t>.</w:t>
            </w:r>
          </w:p>
          <w:p w14:paraId="4609188D" w14:textId="77777777" w:rsidR="00502AEC" w:rsidRPr="00E16672" w:rsidRDefault="00502AEC" w:rsidP="00547A75">
            <w:pPr>
              <w:pStyle w:val="22"/>
              <w:snapToGrid w:val="0"/>
              <w:ind w:left="182" w:right="138" w:firstLine="0"/>
              <w:rPr>
                <w:rFonts w:ascii="Times New Roman" w:eastAsia="Arial" w:hAnsi="Times New Roman"/>
                <w:sz w:val="16"/>
                <w:szCs w:val="16"/>
                <w:lang w:val="ru-RU"/>
              </w:rPr>
            </w:pPr>
          </w:p>
        </w:tc>
        <w:tc>
          <w:tcPr>
            <w:tcW w:w="5494" w:type="dxa"/>
            <w:gridSpan w:val="7"/>
            <w:shd w:val="clear" w:color="auto" w:fill="auto"/>
          </w:tcPr>
          <w:p w14:paraId="65FFA1C0" w14:textId="77777777" w:rsidR="00502AEC" w:rsidRPr="00E16672" w:rsidRDefault="00502AEC" w:rsidP="004D052D">
            <w:pPr>
              <w:pStyle w:val="210"/>
              <w:snapToGrid w:val="0"/>
              <w:ind w:left="145" w:right="100" w:firstLine="0"/>
              <w:rPr>
                <w:rFonts w:ascii="Times New Roman" w:eastAsia="Arial" w:hAnsi="Times New Roman"/>
                <w:sz w:val="16"/>
                <w:szCs w:val="16"/>
                <w:lang w:val="en-US"/>
              </w:rPr>
            </w:pPr>
            <w:r w:rsidRPr="00E16672">
              <w:rPr>
                <w:rFonts w:ascii="Times New Roman" w:eastAsia="Arial" w:hAnsi="Times New Roman"/>
                <w:sz w:val="16"/>
                <w:szCs w:val="16"/>
                <w:lang w:val="en-US"/>
              </w:rPr>
              <w:t>2.1.3. To provide accounting of securities owned the Depositor</w:t>
            </w:r>
            <w:r w:rsidRPr="00E16672">
              <w:rPr>
                <w:rFonts w:ascii="Times New Roman" w:eastAsia="Arial" w:hAnsi="Times New Roman"/>
                <w:sz w:val="16"/>
                <w:szCs w:val="16"/>
                <w:lang w:val="en-GB"/>
              </w:rPr>
              <w:t xml:space="preserve"> </w:t>
            </w:r>
            <w:r w:rsidR="00AB1E0A" w:rsidRPr="00E16672">
              <w:rPr>
                <w:rFonts w:ascii="Times New Roman" w:eastAsia="Arial" w:hAnsi="Times New Roman"/>
                <w:sz w:val="16"/>
                <w:szCs w:val="16"/>
                <w:lang w:val="en-US"/>
              </w:rPr>
              <w:t>on</w:t>
            </w:r>
            <w:r w:rsidRPr="00E16672">
              <w:rPr>
                <w:rFonts w:ascii="Times New Roman" w:eastAsia="Arial" w:hAnsi="Times New Roman"/>
                <w:sz w:val="16"/>
                <w:szCs w:val="16"/>
              </w:rPr>
              <w:t xml:space="preserve"> </w:t>
            </w:r>
            <w:r w:rsidRPr="00E16672">
              <w:rPr>
                <w:rFonts w:ascii="Times New Roman" w:eastAsia="Arial" w:hAnsi="Times New Roman"/>
                <w:sz w:val="16"/>
                <w:szCs w:val="16"/>
                <w:lang w:val="en-US"/>
              </w:rPr>
              <w:t xml:space="preserve">account ins </w:t>
            </w:r>
            <w:proofErr w:type="spellStart"/>
            <w:r w:rsidRPr="00E16672">
              <w:rPr>
                <w:rFonts w:ascii="Times New Roman" w:eastAsia="Arial" w:hAnsi="Times New Roman"/>
                <w:sz w:val="16"/>
                <w:szCs w:val="16"/>
                <w:lang w:val="en-US"/>
              </w:rPr>
              <w:t>ecurities</w:t>
            </w:r>
            <w:proofErr w:type="spellEnd"/>
            <w:r w:rsidRPr="00E16672">
              <w:rPr>
                <w:rFonts w:ascii="Times New Roman" w:eastAsia="Arial" w:hAnsi="Times New Roman"/>
                <w:sz w:val="16"/>
                <w:szCs w:val="16"/>
                <w:lang w:val="en-US"/>
              </w:rPr>
              <w:t>.</w:t>
            </w:r>
          </w:p>
          <w:p w14:paraId="1AED3C5C" w14:textId="77777777" w:rsidR="00502AEC" w:rsidRPr="00E16672" w:rsidRDefault="00502AEC" w:rsidP="004D052D">
            <w:pPr>
              <w:pStyle w:val="210"/>
              <w:snapToGrid w:val="0"/>
              <w:ind w:left="145" w:right="100" w:firstLine="0"/>
              <w:rPr>
                <w:rFonts w:ascii="Times New Roman" w:hAnsi="Times New Roman"/>
              </w:rPr>
            </w:pPr>
          </w:p>
        </w:tc>
      </w:tr>
      <w:tr w:rsidR="00502AEC" w:rsidRPr="00F23413" w14:paraId="1ADF2122" w14:textId="77777777" w:rsidTr="00D77858">
        <w:tblPrEx>
          <w:tblCellMar>
            <w:left w:w="0" w:type="dxa"/>
            <w:right w:w="0" w:type="dxa"/>
          </w:tblCellMar>
        </w:tblPrEx>
        <w:trPr>
          <w:trHeight w:val="192"/>
        </w:trPr>
        <w:tc>
          <w:tcPr>
            <w:tcW w:w="5696" w:type="dxa"/>
            <w:gridSpan w:val="6"/>
            <w:shd w:val="clear" w:color="auto" w:fill="auto"/>
          </w:tcPr>
          <w:p w14:paraId="7463DC12" w14:textId="77777777" w:rsidR="00502AEC" w:rsidRPr="00E16672" w:rsidRDefault="00502AEC" w:rsidP="00022F5F">
            <w:pPr>
              <w:tabs>
                <w:tab w:val="left" w:pos="851"/>
              </w:tabs>
              <w:snapToGrid w:val="0"/>
              <w:ind w:left="182" w:right="138" w:firstLine="0"/>
              <w:jc w:val="left"/>
              <w:rPr>
                <w:rFonts w:ascii="Times New Roman" w:eastAsia="Arial" w:hAnsi="Times New Roman"/>
                <w:sz w:val="16"/>
                <w:szCs w:val="16"/>
              </w:rPr>
            </w:pPr>
            <w:r w:rsidRPr="00E16672">
              <w:rPr>
                <w:rFonts w:ascii="Times New Roman" w:eastAsia="Arial" w:hAnsi="Times New Roman"/>
                <w:sz w:val="16"/>
                <w:szCs w:val="16"/>
              </w:rPr>
              <w:t xml:space="preserve">2.1.4. </w:t>
            </w:r>
            <w:proofErr w:type="spellStart"/>
            <w:r w:rsidRPr="00E16672">
              <w:rPr>
                <w:rFonts w:ascii="Times New Roman" w:eastAsia="Arial" w:hAnsi="Times New Roman"/>
                <w:sz w:val="16"/>
                <w:szCs w:val="16"/>
              </w:rPr>
              <w:t>Здійснювати</w:t>
            </w:r>
            <w:proofErr w:type="spellEnd"/>
            <w:r w:rsidRPr="00E16672">
              <w:rPr>
                <w:rFonts w:ascii="Times New Roman" w:eastAsia="Arial" w:hAnsi="Times New Roman"/>
                <w:sz w:val="16"/>
                <w:szCs w:val="16"/>
              </w:rPr>
              <w:t xml:space="preserve"> </w:t>
            </w:r>
            <w:proofErr w:type="spellStart"/>
            <w:r w:rsidRPr="00E16672">
              <w:rPr>
                <w:rFonts w:ascii="Times New Roman" w:eastAsia="Arial" w:hAnsi="Times New Roman"/>
                <w:sz w:val="16"/>
                <w:szCs w:val="16"/>
              </w:rPr>
              <w:t>облік</w:t>
            </w:r>
            <w:proofErr w:type="spellEnd"/>
            <w:r w:rsidRPr="00E16672">
              <w:rPr>
                <w:rFonts w:ascii="Times New Roman" w:eastAsia="Arial" w:hAnsi="Times New Roman"/>
                <w:sz w:val="16"/>
                <w:szCs w:val="16"/>
              </w:rPr>
              <w:t xml:space="preserve"> прав Депонента на </w:t>
            </w:r>
            <w:proofErr w:type="spellStart"/>
            <w:r w:rsidRPr="00E16672">
              <w:rPr>
                <w:rFonts w:ascii="Times New Roman" w:eastAsia="Arial" w:hAnsi="Times New Roman"/>
                <w:sz w:val="16"/>
                <w:szCs w:val="16"/>
              </w:rPr>
              <w:t>цінні</w:t>
            </w:r>
            <w:proofErr w:type="spellEnd"/>
            <w:r w:rsidRPr="00E16672">
              <w:rPr>
                <w:rFonts w:ascii="Times New Roman" w:eastAsia="Arial" w:hAnsi="Times New Roman"/>
                <w:sz w:val="16"/>
                <w:szCs w:val="16"/>
              </w:rPr>
              <w:t xml:space="preserve"> </w:t>
            </w:r>
            <w:proofErr w:type="spellStart"/>
            <w:r w:rsidRPr="00E16672">
              <w:rPr>
                <w:rFonts w:ascii="Times New Roman" w:eastAsia="Arial" w:hAnsi="Times New Roman"/>
                <w:sz w:val="16"/>
                <w:szCs w:val="16"/>
              </w:rPr>
              <w:t>папери</w:t>
            </w:r>
            <w:proofErr w:type="spellEnd"/>
            <w:r w:rsidRPr="00E16672">
              <w:rPr>
                <w:rFonts w:ascii="Times New Roman" w:eastAsia="Arial" w:hAnsi="Times New Roman"/>
                <w:sz w:val="16"/>
                <w:szCs w:val="16"/>
              </w:rPr>
              <w:t xml:space="preserve">, </w:t>
            </w:r>
            <w:proofErr w:type="spellStart"/>
            <w:r w:rsidRPr="00E16672">
              <w:rPr>
                <w:rFonts w:ascii="Times New Roman" w:eastAsia="Arial" w:hAnsi="Times New Roman"/>
                <w:sz w:val="16"/>
                <w:szCs w:val="16"/>
              </w:rPr>
              <w:t>що</w:t>
            </w:r>
            <w:proofErr w:type="spellEnd"/>
            <w:r w:rsidRPr="00E16672">
              <w:rPr>
                <w:rFonts w:ascii="Times New Roman" w:eastAsia="Arial" w:hAnsi="Times New Roman"/>
                <w:sz w:val="16"/>
                <w:szCs w:val="16"/>
              </w:rPr>
              <w:t xml:space="preserve"> </w:t>
            </w:r>
            <w:proofErr w:type="spellStart"/>
            <w:r w:rsidRPr="00E16672">
              <w:rPr>
                <w:rFonts w:ascii="Times New Roman" w:eastAsia="Arial" w:hAnsi="Times New Roman"/>
                <w:sz w:val="16"/>
                <w:szCs w:val="16"/>
              </w:rPr>
              <w:t>обліковуються</w:t>
            </w:r>
            <w:proofErr w:type="spellEnd"/>
            <w:r w:rsidRPr="00E16672">
              <w:rPr>
                <w:rFonts w:ascii="Times New Roman" w:eastAsia="Arial" w:hAnsi="Times New Roman"/>
                <w:sz w:val="16"/>
                <w:szCs w:val="16"/>
              </w:rPr>
              <w:t xml:space="preserve"> на </w:t>
            </w:r>
            <w:r w:rsidR="00622B88" w:rsidRPr="00E16672">
              <w:rPr>
                <w:rFonts w:ascii="Times New Roman" w:eastAsia="Arial" w:hAnsi="Times New Roman"/>
                <w:sz w:val="16"/>
                <w:szCs w:val="16"/>
                <w:lang w:val="uk-UA"/>
              </w:rPr>
              <w:t>його</w:t>
            </w:r>
            <w:r w:rsidR="00622B88" w:rsidRPr="00E16672">
              <w:rPr>
                <w:rFonts w:ascii="Times New Roman" w:eastAsia="Arial" w:hAnsi="Times New Roman"/>
                <w:sz w:val="16"/>
                <w:szCs w:val="16"/>
              </w:rPr>
              <w:t xml:space="preserve"> </w:t>
            </w:r>
            <w:proofErr w:type="spellStart"/>
            <w:r w:rsidRPr="00E16672">
              <w:rPr>
                <w:rFonts w:ascii="Times New Roman" w:eastAsia="Arial" w:hAnsi="Times New Roman"/>
                <w:sz w:val="16"/>
                <w:szCs w:val="16"/>
              </w:rPr>
              <w:t>рахунку</w:t>
            </w:r>
            <w:proofErr w:type="spellEnd"/>
            <w:r w:rsidRPr="00E16672">
              <w:rPr>
                <w:rFonts w:ascii="Times New Roman" w:eastAsia="Arial" w:hAnsi="Times New Roman"/>
                <w:sz w:val="16"/>
                <w:szCs w:val="16"/>
              </w:rPr>
              <w:t xml:space="preserve"> </w:t>
            </w:r>
            <w:r w:rsidR="00C22309" w:rsidRPr="00E16672">
              <w:rPr>
                <w:rFonts w:ascii="Times New Roman" w:eastAsia="Arial" w:hAnsi="Times New Roman"/>
                <w:sz w:val="16"/>
                <w:szCs w:val="16"/>
              </w:rPr>
              <w:t xml:space="preserve">в </w:t>
            </w:r>
            <w:proofErr w:type="spellStart"/>
            <w:r w:rsidR="00C22309" w:rsidRPr="00E16672">
              <w:rPr>
                <w:rFonts w:ascii="Times New Roman" w:eastAsia="Arial" w:hAnsi="Times New Roman"/>
                <w:sz w:val="16"/>
                <w:szCs w:val="16"/>
              </w:rPr>
              <w:t>цін</w:t>
            </w:r>
            <w:r w:rsidRPr="00E16672">
              <w:rPr>
                <w:rFonts w:ascii="Times New Roman" w:eastAsia="Arial" w:hAnsi="Times New Roman"/>
                <w:sz w:val="16"/>
                <w:szCs w:val="16"/>
              </w:rPr>
              <w:t>них</w:t>
            </w:r>
            <w:proofErr w:type="spellEnd"/>
            <w:r w:rsidRPr="00E16672">
              <w:rPr>
                <w:rFonts w:ascii="Times New Roman" w:eastAsia="Arial" w:hAnsi="Times New Roman"/>
                <w:sz w:val="16"/>
                <w:szCs w:val="16"/>
              </w:rPr>
              <w:t xml:space="preserve"> </w:t>
            </w:r>
            <w:proofErr w:type="spellStart"/>
            <w:r w:rsidRPr="00E16672">
              <w:rPr>
                <w:rFonts w:ascii="Times New Roman" w:eastAsia="Arial" w:hAnsi="Times New Roman"/>
                <w:sz w:val="16"/>
                <w:szCs w:val="16"/>
              </w:rPr>
              <w:t>паперах</w:t>
            </w:r>
            <w:proofErr w:type="spellEnd"/>
            <w:r w:rsidRPr="00E16672">
              <w:rPr>
                <w:rFonts w:ascii="Times New Roman" w:eastAsia="Arial" w:hAnsi="Times New Roman"/>
                <w:sz w:val="16"/>
                <w:szCs w:val="16"/>
              </w:rPr>
              <w:t xml:space="preserve">, та </w:t>
            </w:r>
            <w:proofErr w:type="spellStart"/>
            <w:r w:rsidRPr="00E16672">
              <w:rPr>
                <w:rFonts w:ascii="Times New Roman" w:eastAsia="Arial" w:hAnsi="Times New Roman"/>
                <w:sz w:val="16"/>
                <w:szCs w:val="16"/>
              </w:rPr>
              <w:t>обмеження</w:t>
            </w:r>
            <w:proofErr w:type="spellEnd"/>
            <w:r w:rsidRPr="00E16672">
              <w:rPr>
                <w:rFonts w:ascii="Times New Roman" w:eastAsia="Arial" w:hAnsi="Times New Roman"/>
                <w:sz w:val="16"/>
                <w:szCs w:val="16"/>
              </w:rPr>
              <w:t xml:space="preserve"> таких прав, у тому </w:t>
            </w:r>
            <w:proofErr w:type="spellStart"/>
            <w:r w:rsidRPr="00E16672">
              <w:rPr>
                <w:rFonts w:ascii="Times New Roman" w:eastAsia="Arial" w:hAnsi="Times New Roman"/>
                <w:sz w:val="16"/>
                <w:szCs w:val="16"/>
              </w:rPr>
              <w:t>числі</w:t>
            </w:r>
            <w:proofErr w:type="spellEnd"/>
            <w:r w:rsidRPr="00E16672">
              <w:rPr>
                <w:rFonts w:ascii="Times New Roman" w:eastAsia="Arial" w:hAnsi="Times New Roman"/>
                <w:sz w:val="16"/>
                <w:szCs w:val="16"/>
              </w:rPr>
              <w:t xml:space="preserve"> </w:t>
            </w:r>
            <w:proofErr w:type="spellStart"/>
            <w:r w:rsidRPr="00E16672">
              <w:rPr>
                <w:rFonts w:ascii="Times New Roman" w:eastAsia="Arial" w:hAnsi="Times New Roman"/>
                <w:sz w:val="16"/>
                <w:szCs w:val="16"/>
              </w:rPr>
              <w:t>відокремлений</w:t>
            </w:r>
            <w:proofErr w:type="spellEnd"/>
            <w:r w:rsidRPr="00E16672">
              <w:rPr>
                <w:rFonts w:ascii="Times New Roman" w:eastAsia="Arial" w:hAnsi="Times New Roman"/>
                <w:sz w:val="16"/>
                <w:szCs w:val="16"/>
              </w:rPr>
              <w:t xml:space="preserve"> </w:t>
            </w:r>
            <w:proofErr w:type="spellStart"/>
            <w:r w:rsidRPr="00E16672">
              <w:rPr>
                <w:rFonts w:ascii="Times New Roman" w:eastAsia="Arial" w:hAnsi="Times New Roman"/>
                <w:sz w:val="16"/>
                <w:szCs w:val="16"/>
              </w:rPr>
              <w:t>облік</w:t>
            </w:r>
            <w:proofErr w:type="spellEnd"/>
            <w:r w:rsidRPr="00E16672">
              <w:rPr>
                <w:rFonts w:ascii="Times New Roman" w:eastAsia="Arial" w:hAnsi="Times New Roman"/>
                <w:sz w:val="16"/>
                <w:szCs w:val="16"/>
              </w:rPr>
              <w:t xml:space="preserve"> прав на </w:t>
            </w:r>
            <w:proofErr w:type="spellStart"/>
            <w:r w:rsidRPr="00E16672">
              <w:rPr>
                <w:rFonts w:ascii="Times New Roman" w:eastAsia="Arial" w:hAnsi="Times New Roman"/>
                <w:sz w:val="16"/>
                <w:szCs w:val="16"/>
              </w:rPr>
              <w:t>цінні</w:t>
            </w:r>
            <w:proofErr w:type="spellEnd"/>
            <w:r w:rsidRPr="00E16672">
              <w:rPr>
                <w:rFonts w:ascii="Times New Roman" w:eastAsia="Arial" w:hAnsi="Times New Roman"/>
                <w:sz w:val="16"/>
                <w:szCs w:val="16"/>
              </w:rPr>
              <w:t xml:space="preserve"> </w:t>
            </w:r>
            <w:proofErr w:type="spellStart"/>
            <w:r w:rsidRPr="00E16672">
              <w:rPr>
                <w:rFonts w:ascii="Times New Roman" w:eastAsia="Arial" w:hAnsi="Times New Roman"/>
                <w:sz w:val="16"/>
                <w:szCs w:val="16"/>
              </w:rPr>
              <w:t>папери</w:t>
            </w:r>
            <w:proofErr w:type="spellEnd"/>
            <w:r w:rsidRPr="00E16672">
              <w:rPr>
                <w:rFonts w:ascii="Times New Roman" w:eastAsia="Arial" w:hAnsi="Times New Roman"/>
                <w:sz w:val="16"/>
                <w:szCs w:val="16"/>
              </w:rPr>
              <w:t xml:space="preserve">, </w:t>
            </w:r>
            <w:proofErr w:type="spellStart"/>
            <w:r w:rsidRPr="00E16672">
              <w:rPr>
                <w:rFonts w:ascii="Times New Roman" w:eastAsia="Arial" w:hAnsi="Times New Roman"/>
                <w:sz w:val="16"/>
                <w:szCs w:val="16"/>
              </w:rPr>
              <w:t>які</w:t>
            </w:r>
            <w:proofErr w:type="spellEnd"/>
            <w:r w:rsidRPr="00E16672">
              <w:rPr>
                <w:rFonts w:ascii="Times New Roman" w:eastAsia="Arial" w:hAnsi="Times New Roman"/>
                <w:sz w:val="16"/>
                <w:szCs w:val="16"/>
              </w:rPr>
              <w:t xml:space="preserve"> </w:t>
            </w:r>
            <w:proofErr w:type="spellStart"/>
            <w:r w:rsidRPr="00E16672">
              <w:rPr>
                <w:rFonts w:ascii="Times New Roman" w:eastAsia="Arial" w:hAnsi="Times New Roman"/>
                <w:sz w:val="16"/>
                <w:szCs w:val="16"/>
              </w:rPr>
              <w:t>зарезервовані</w:t>
            </w:r>
            <w:proofErr w:type="spellEnd"/>
            <w:r w:rsidRPr="00E16672">
              <w:rPr>
                <w:rFonts w:ascii="Times New Roman" w:eastAsia="Arial" w:hAnsi="Times New Roman"/>
                <w:sz w:val="16"/>
                <w:szCs w:val="16"/>
              </w:rPr>
              <w:t xml:space="preserve"> для </w:t>
            </w:r>
            <w:proofErr w:type="spellStart"/>
            <w:r w:rsidRPr="00E16672">
              <w:rPr>
                <w:rFonts w:ascii="Times New Roman" w:eastAsia="Arial" w:hAnsi="Times New Roman"/>
                <w:sz w:val="16"/>
                <w:szCs w:val="16"/>
              </w:rPr>
              <w:t>здійснення</w:t>
            </w:r>
            <w:proofErr w:type="spellEnd"/>
            <w:r w:rsidRPr="00E16672">
              <w:rPr>
                <w:rFonts w:ascii="Times New Roman" w:eastAsia="Arial" w:hAnsi="Times New Roman"/>
                <w:sz w:val="16"/>
                <w:szCs w:val="16"/>
              </w:rPr>
              <w:t xml:space="preserve"> </w:t>
            </w:r>
            <w:proofErr w:type="spellStart"/>
            <w:r w:rsidRPr="00E16672">
              <w:rPr>
                <w:rFonts w:ascii="Times New Roman" w:eastAsia="Arial" w:hAnsi="Times New Roman"/>
                <w:sz w:val="16"/>
                <w:szCs w:val="16"/>
              </w:rPr>
              <w:t>розрахунків</w:t>
            </w:r>
            <w:proofErr w:type="spellEnd"/>
            <w:r w:rsidRPr="00E16672">
              <w:rPr>
                <w:rFonts w:ascii="Times New Roman" w:eastAsia="Arial" w:hAnsi="Times New Roman"/>
                <w:sz w:val="16"/>
                <w:szCs w:val="16"/>
              </w:rPr>
              <w:t xml:space="preserve"> за </w:t>
            </w:r>
            <w:proofErr w:type="spellStart"/>
            <w:r w:rsidRPr="00E16672">
              <w:rPr>
                <w:rFonts w:ascii="Times New Roman" w:eastAsia="Arial" w:hAnsi="Times New Roman"/>
                <w:sz w:val="16"/>
                <w:szCs w:val="16"/>
              </w:rPr>
              <w:t>правочинами</w:t>
            </w:r>
            <w:proofErr w:type="spellEnd"/>
            <w:r w:rsidRPr="00E16672">
              <w:rPr>
                <w:rFonts w:ascii="Times New Roman" w:eastAsia="Arial" w:hAnsi="Times New Roman"/>
                <w:sz w:val="16"/>
                <w:szCs w:val="16"/>
              </w:rPr>
              <w:t xml:space="preserve"> </w:t>
            </w:r>
            <w:proofErr w:type="spellStart"/>
            <w:r w:rsidRPr="00E16672">
              <w:rPr>
                <w:rFonts w:ascii="Times New Roman" w:eastAsia="Arial" w:hAnsi="Times New Roman"/>
                <w:sz w:val="16"/>
                <w:szCs w:val="16"/>
              </w:rPr>
              <w:t>щодо</w:t>
            </w:r>
            <w:proofErr w:type="spellEnd"/>
            <w:r w:rsidRPr="00E16672">
              <w:rPr>
                <w:rFonts w:ascii="Times New Roman" w:eastAsia="Arial" w:hAnsi="Times New Roman"/>
                <w:sz w:val="16"/>
                <w:szCs w:val="16"/>
              </w:rPr>
              <w:t xml:space="preserve"> </w:t>
            </w:r>
            <w:proofErr w:type="spellStart"/>
            <w:r w:rsidRPr="00E16672">
              <w:rPr>
                <w:rFonts w:ascii="Times New Roman" w:eastAsia="Arial" w:hAnsi="Times New Roman"/>
                <w:sz w:val="16"/>
                <w:szCs w:val="16"/>
              </w:rPr>
              <w:t>цінних</w:t>
            </w:r>
            <w:proofErr w:type="spellEnd"/>
            <w:r w:rsidRPr="00E16672">
              <w:rPr>
                <w:rFonts w:ascii="Times New Roman" w:eastAsia="Arial" w:hAnsi="Times New Roman"/>
                <w:sz w:val="16"/>
                <w:szCs w:val="16"/>
              </w:rPr>
              <w:t xml:space="preserve"> </w:t>
            </w:r>
            <w:proofErr w:type="spellStart"/>
            <w:r w:rsidRPr="00E16672">
              <w:rPr>
                <w:rFonts w:ascii="Times New Roman" w:eastAsia="Arial" w:hAnsi="Times New Roman"/>
                <w:sz w:val="16"/>
                <w:szCs w:val="16"/>
              </w:rPr>
              <w:t>паперів</w:t>
            </w:r>
            <w:proofErr w:type="spellEnd"/>
            <w:r w:rsidRPr="00E16672">
              <w:rPr>
                <w:rFonts w:ascii="Times New Roman" w:eastAsia="Arial" w:hAnsi="Times New Roman"/>
                <w:sz w:val="16"/>
                <w:szCs w:val="16"/>
              </w:rPr>
              <w:t xml:space="preserve"> з </w:t>
            </w:r>
            <w:proofErr w:type="spellStart"/>
            <w:r w:rsidRPr="00E16672">
              <w:rPr>
                <w:rFonts w:ascii="Times New Roman" w:eastAsia="Arial" w:hAnsi="Times New Roman"/>
                <w:sz w:val="16"/>
                <w:szCs w:val="16"/>
              </w:rPr>
              <w:t>дотриманням</w:t>
            </w:r>
            <w:proofErr w:type="spellEnd"/>
            <w:r w:rsidRPr="00E16672">
              <w:rPr>
                <w:rFonts w:ascii="Times New Roman" w:eastAsia="Arial" w:hAnsi="Times New Roman"/>
                <w:sz w:val="16"/>
                <w:szCs w:val="16"/>
              </w:rPr>
              <w:t xml:space="preserve"> принципу </w:t>
            </w:r>
            <w:r w:rsidR="00022F5F">
              <w:rPr>
                <w:rFonts w:ascii="Times New Roman" w:eastAsia="Arial" w:hAnsi="Times New Roman"/>
                <w:sz w:val="16"/>
                <w:szCs w:val="16"/>
              </w:rPr>
              <w:t>"</w:t>
            </w:r>
            <w:r w:rsidRPr="00E16672">
              <w:rPr>
                <w:rFonts w:ascii="Times New Roman" w:eastAsia="Arial" w:hAnsi="Times New Roman"/>
                <w:sz w:val="16"/>
                <w:szCs w:val="16"/>
              </w:rPr>
              <w:t xml:space="preserve">поставка </w:t>
            </w:r>
            <w:proofErr w:type="spellStart"/>
            <w:r w:rsidRPr="00E16672">
              <w:rPr>
                <w:rFonts w:ascii="Times New Roman" w:eastAsia="Arial" w:hAnsi="Times New Roman"/>
                <w:sz w:val="16"/>
                <w:szCs w:val="16"/>
              </w:rPr>
              <w:t>цінних</w:t>
            </w:r>
            <w:proofErr w:type="spellEnd"/>
            <w:r w:rsidRPr="00E16672">
              <w:rPr>
                <w:rFonts w:ascii="Times New Roman" w:eastAsia="Arial" w:hAnsi="Times New Roman"/>
                <w:sz w:val="16"/>
                <w:szCs w:val="16"/>
              </w:rPr>
              <w:t xml:space="preserve"> </w:t>
            </w:r>
            <w:proofErr w:type="spellStart"/>
            <w:r w:rsidRPr="00E16672">
              <w:rPr>
                <w:rFonts w:ascii="Times New Roman" w:eastAsia="Arial" w:hAnsi="Times New Roman"/>
                <w:sz w:val="16"/>
                <w:szCs w:val="16"/>
              </w:rPr>
              <w:t>паперів</w:t>
            </w:r>
            <w:proofErr w:type="spellEnd"/>
            <w:r w:rsidRPr="00E16672">
              <w:rPr>
                <w:rFonts w:ascii="Times New Roman" w:eastAsia="Arial" w:hAnsi="Times New Roman"/>
                <w:sz w:val="16"/>
                <w:szCs w:val="16"/>
              </w:rPr>
              <w:t xml:space="preserve"> </w:t>
            </w:r>
            <w:proofErr w:type="spellStart"/>
            <w:r w:rsidRPr="00E16672">
              <w:rPr>
                <w:rFonts w:ascii="Times New Roman" w:eastAsia="Arial" w:hAnsi="Times New Roman"/>
                <w:sz w:val="16"/>
                <w:szCs w:val="16"/>
              </w:rPr>
              <w:t>проти</w:t>
            </w:r>
            <w:proofErr w:type="spellEnd"/>
            <w:r w:rsidRPr="00E16672">
              <w:rPr>
                <w:rFonts w:ascii="Times New Roman" w:eastAsia="Arial" w:hAnsi="Times New Roman"/>
                <w:sz w:val="16"/>
                <w:szCs w:val="16"/>
              </w:rPr>
              <w:t xml:space="preserve"> оплати</w:t>
            </w:r>
            <w:r w:rsidR="00022F5F">
              <w:rPr>
                <w:rFonts w:ascii="Times New Roman" w:eastAsia="Arial" w:hAnsi="Times New Roman"/>
                <w:sz w:val="16"/>
                <w:szCs w:val="16"/>
              </w:rPr>
              <w:t>"</w:t>
            </w:r>
            <w:r w:rsidRPr="00E16672">
              <w:rPr>
                <w:rFonts w:ascii="Times New Roman" w:eastAsia="Arial" w:hAnsi="Times New Roman"/>
                <w:sz w:val="16"/>
                <w:szCs w:val="16"/>
              </w:rPr>
              <w:t>.</w:t>
            </w:r>
          </w:p>
          <w:p w14:paraId="35FE9886" w14:textId="77777777" w:rsidR="00502AEC" w:rsidRPr="00E16672" w:rsidRDefault="00502AEC" w:rsidP="00547A75">
            <w:pPr>
              <w:pStyle w:val="210"/>
              <w:snapToGrid w:val="0"/>
              <w:ind w:left="182" w:right="138" w:firstLine="0"/>
              <w:rPr>
                <w:rFonts w:ascii="Times New Roman" w:eastAsia="Arial" w:hAnsi="Times New Roman"/>
                <w:sz w:val="16"/>
                <w:szCs w:val="16"/>
                <w:lang w:val="ru-RU"/>
              </w:rPr>
            </w:pPr>
          </w:p>
        </w:tc>
        <w:tc>
          <w:tcPr>
            <w:tcW w:w="5494" w:type="dxa"/>
            <w:gridSpan w:val="7"/>
            <w:shd w:val="clear" w:color="auto" w:fill="auto"/>
          </w:tcPr>
          <w:p w14:paraId="032E1B6F" w14:textId="77777777" w:rsidR="00502AEC" w:rsidRPr="00E16672" w:rsidRDefault="00502AEC" w:rsidP="00A71E25">
            <w:pPr>
              <w:pStyle w:val="210"/>
              <w:snapToGrid w:val="0"/>
              <w:ind w:left="145" w:right="100" w:firstLine="0"/>
              <w:rPr>
                <w:rFonts w:ascii="Times New Roman" w:eastAsia="Arial" w:hAnsi="Times New Roman"/>
                <w:sz w:val="16"/>
                <w:szCs w:val="16"/>
                <w:lang w:val="en-US"/>
              </w:rPr>
            </w:pPr>
            <w:r w:rsidRPr="00E16672">
              <w:rPr>
                <w:rFonts w:ascii="Times New Roman" w:eastAsia="Arial" w:hAnsi="Times New Roman"/>
                <w:sz w:val="16"/>
                <w:szCs w:val="16"/>
                <w:lang w:val="en-US"/>
              </w:rPr>
              <w:lastRenderedPageBreak/>
              <w:t xml:space="preserve">2.1.4. To provide accounting of the rights of Depositor’s securities registered </w:t>
            </w:r>
            <w:proofErr w:type="gramStart"/>
            <w:r w:rsidRPr="00E16672">
              <w:rPr>
                <w:rFonts w:ascii="Times New Roman" w:eastAsia="Arial" w:hAnsi="Times New Roman"/>
                <w:sz w:val="16"/>
                <w:szCs w:val="16"/>
                <w:lang w:val="en-US"/>
              </w:rPr>
              <w:t>on  the</w:t>
            </w:r>
            <w:proofErr w:type="gramEnd"/>
            <w:r w:rsidRPr="00E16672">
              <w:rPr>
                <w:rFonts w:ascii="Times New Roman" w:eastAsia="Arial" w:hAnsi="Times New Roman"/>
                <w:sz w:val="16"/>
                <w:szCs w:val="16"/>
                <w:lang w:val="en-US"/>
              </w:rPr>
              <w:t xml:space="preserve"> account in securities, and restrictions of such rights, including separate accounting of securities that are reserved for settlement of legal actions in securities with the principle of "supply of securities against payment"</w:t>
            </w:r>
            <w:r w:rsidR="00A71E25" w:rsidRPr="00E16672">
              <w:rPr>
                <w:rFonts w:ascii="Times New Roman" w:eastAsia="Arial" w:hAnsi="Times New Roman"/>
                <w:sz w:val="16"/>
                <w:szCs w:val="16"/>
                <w:lang w:val="en-US"/>
              </w:rPr>
              <w:t>.</w:t>
            </w:r>
          </w:p>
        </w:tc>
      </w:tr>
      <w:tr w:rsidR="00E00EC0" w:rsidRPr="00F23413" w14:paraId="04173A0B" w14:textId="77777777" w:rsidTr="00D77858">
        <w:tblPrEx>
          <w:tblCellMar>
            <w:left w:w="0" w:type="dxa"/>
            <w:right w:w="0" w:type="dxa"/>
          </w:tblCellMar>
        </w:tblPrEx>
        <w:trPr>
          <w:trHeight w:val="988"/>
        </w:trPr>
        <w:tc>
          <w:tcPr>
            <w:tcW w:w="5696" w:type="dxa"/>
            <w:gridSpan w:val="6"/>
            <w:shd w:val="clear" w:color="auto" w:fill="auto"/>
          </w:tcPr>
          <w:p w14:paraId="7D06C47B" w14:textId="77777777" w:rsidR="00E00EC0" w:rsidRPr="00E16672" w:rsidRDefault="00E00EC0" w:rsidP="00547A75">
            <w:pPr>
              <w:tabs>
                <w:tab w:val="left" w:pos="851"/>
              </w:tabs>
              <w:snapToGrid w:val="0"/>
              <w:ind w:left="182" w:firstLine="0"/>
              <w:rPr>
                <w:rFonts w:ascii="Times New Roman" w:eastAsia="Arial" w:hAnsi="Times New Roman"/>
                <w:color w:val="000000"/>
                <w:sz w:val="16"/>
                <w:szCs w:val="16"/>
              </w:rPr>
            </w:pPr>
            <w:r w:rsidRPr="00E16672">
              <w:rPr>
                <w:rFonts w:ascii="Times New Roman" w:hAnsi="Times New Roman"/>
                <w:color w:val="000000"/>
                <w:sz w:val="16"/>
                <w:szCs w:val="16"/>
              </w:rPr>
              <w:lastRenderedPageBreak/>
              <w:t xml:space="preserve">2.1.5. </w:t>
            </w:r>
            <w:proofErr w:type="spellStart"/>
            <w:r w:rsidRPr="00E16672">
              <w:rPr>
                <w:rFonts w:ascii="Times New Roman" w:hAnsi="Times New Roman"/>
                <w:color w:val="000000"/>
                <w:sz w:val="16"/>
                <w:szCs w:val="16"/>
              </w:rPr>
              <w:t>Здійснювати</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обслуговування</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обіг</w:t>
            </w:r>
            <w:r w:rsidR="00C22309" w:rsidRPr="00E16672">
              <w:rPr>
                <w:rFonts w:ascii="Times New Roman" w:hAnsi="Times New Roman"/>
                <w:color w:val="000000"/>
                <w:sz w:val="16"/>
                <w:szCs w:val="16"/>
              </w:rPr>
              <w:t>в</w:t>
            </w:r>
            <w:proofErr w:type="spellEnd"/>
            <w:r w:rsidR="00C22309" w:rsidRPr="00E16672">
              <w:rPr>
                <w:rFonts w:ascii="Times New Roman" w:hAnsi="Times New Roman"/>
                <w:color w:val="000000"/>
                <w:sz w:val="16"/>
                <w:szCs w:val="16"/>
              </w:rPr>
              <w:t xml:space="preserve"> </w:t>
            </w:r>
            <w:proofErr w:type="spellStart"/>
            <w:r w:rsidR="00C22309" w:rsidRPr="00E16672">
              <w:rPr>
                <w:rFonts w:ascii="Times New Roman" w:hAnsi="Times New Roman"/>
                <w:color w:val="000000"/>
                <w:sz w:val="16"/>
                <w:szCs w:val="16"/>
              </w:rPr>
              <w:t>цін</w:t>
            </w:r>
            <w:r w:rsidRPr="00E16672">
              <w:rPr>
                <w:rFonts w:ascii="Times New Roman" w:hAnsi="Times New Roman"/>
                <w:color w:val="000000"/>
                <w:sz w:val="16"/>
                <w:szCs w:val="16"/>
              </w:rPr>
              <w:t>них</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паперів</w:t>
            </w:r>
            <w:proofErr w:type="spellEnd"/>
            <w:r w:rsidRPr="00E16672">
              <w:rPr>
                <w:rFonts w:ascii="Times New Roman" w:hAnsi="Times New Roman"/>
                <w:color w:val="000000"/>
                <w:sz w:val="16"/>
                <w:szCs w:val="16"/>
              </w:rPr>
              <w:t xml:space="preserve"> на </w:t>
            </w:r>
            <w:proofErr w:type="spellStart"/>
            <w:r w:rsidRPr="00E16672">
              <w:rPr>
                <w:rFonts w:ascii="Times New Roman" w:hAnsi="Times New Roman"/>
                <w:color w:val="000000"/>
                <w:sz w:val="16"/>
                <w:szCs w:val="16"/>
              </w:rPr>
              <w:t>рахунку</w:t>
            </w:r>
            <w:proofErr w:type="spellEnd"/>
            <w:r w:rsidRPr="00E16672">
              <w:rPr>
                <w:rFonts w:ascii="Times New Roman" w:hAnsi="Times New Roman"/>
                <w:color w:val="000000"/>
                <w:sz w:val="16"/>
                <w:szCs w:val="16"/>
              </w:rPr>
              <w:t xml:space="preserve"> </w:t>
            </w:r>
            <w:r w:rsidR="00C22309" w:rsidRPr="00E16672">
              <w:rPr>
                <w:rFonts w:ascii="Times New Roman" w:hAnsi="Times New Roman"/>
                <w:color w:val="000000"/>
                <w:sz w:val="16"/>
                <w:szCs w:val="16"/>
              </w:rPr>
              <w:t xml:space="preserve">в </w:t>
            </w:r>
            <w:proofErr w:type="spellStart"/>
            <w:r w:rsidR="00C22309" w:rsidRPr="00E16672">
              <w:rPr>
                <w:rFonts w:ascii="Times New Roman" w:hAnsi="Times New Roman"/>
                <w:color w:val="000000"/>
                <w:sz w:val="16"/>
                <w:szCs w:val="16"/>
              </w:rPr>
              <w:t>цін</w:t>
            </w:r>
            <w:r w:rsidRPr="00E16672">
              <w:rPr>
                <w:rFonts w:ascii="Times New Roman" w:hAnsi="Times New Roman"/>
                <w:color w:val="000000"/>
                <w:sz w:val="16"/>
                <w:szCs w:val="16"/>
              </w:rPr>
              <w:t>них</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паперах</w:t>
            </w:r>
            <w:proofErr w:type="spellEnd"/>
            <w:r w:rsidRPr="00E16672">
              <w:rPr>
                <w:rFonts w:ascii="Times New Roman" w:hAnsi="Times New Roman"/>
                <w:color w:val="000000"/>
                <w:sz w:val="16"/>
                <w:szCs w:val="16"/>
              </w:rPr>
              <w:t xml:space="preserve"> Депонента шляхом </w:t>
            </w:r>
            <w:proofErr w:type="spellStart"/>
            <w:r w:rsidRPr="00E16672">
              <w:rPr>
                <w:rFonts w:ascii="Times New Roman" w:hAnsi="Times New Roman"/>
                <w:color w:val="000000"/>
                <w:sz w:val="16"/>
                <w:szCs w:val="16"/>
              </w:rPr>
              <w:t>проведення</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депозитарних</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операцій</w:t>
            </w:r>
            <w:proofErr w:type="spellEnd"/>
            <w:r w:rsidRPr="00E16672">
              <w:rPr>
                <w:rFonts w:ascii="Times New Roman" w:hAnsi="Times New Roman"/>
                <w:color w:val="000000"/>
                <w:sz w:val="16"/>
                <w:szCs w:val="16"/>
              </w:rPr>
              <w:t xml:space="preserve"> за </w:t>
            </w:r>
            <w:proofErr w:type="spellStart"/>
            <w:r w:rsidRPr="00E16672">
              <w:rPr>
                <w:rFonts w:ascii="Times New Roman" w:hAnsi="Times New Roman"/>
                <w:color w:val="000000"/>
                <w:sz w:val="16"/>
                <w:szCs w:val="16"/>
              </w:rPr>
              <w:t>рахунком</w:t>
            </w:r>
            <w:proofErr w:type="spellEnd"/>
            <w:r w:rsidRPr="00E16672">
              <w:rPr>
                <w:rFonts w:ascii="Times New Roman" w:hAnsi="Times New Roman"/>
                <w:color w:val="000000"/>
                <w:sz w:val="16"/>
                <w:szCs w:val="16"/>
              </w:rPr>
              <w:t xml:space="preserve"> </w:t>
            </w:r>
            <w:r w:rsidR="00C22309" w:rsidRPr="00E16672">
              <w:rPr>
                <w:rFonts w:ascii="Times New Roman" w:hAnsi="Times New Roman"/>
                <w:color w:val="000000"/>
                <w:sz w:val="16"/>
                <w:szCs w:val="16"/>
              </w:rPr>
              <w:t xml:space="preserve">в </w:t>
            </w:r>
            <w:proofErr w:type="spellStart"/>
            <w:r w:rsidR="00C22309" w:rsidRPr="00E16672">
              <w:rPr>
                <w:rFonts w:ascii="Times New Roman" w:hAnsi="Times New Roman"/>
                <w:color w:val="000000"/>
                <w:sz w:val="16"/>
                <w:szCs w:val="16"/>
              </w:rPr>
              <w:t>цін</w:t>
            </w:r>
            <w:r w:rsidRPr="00E16672">
              <w:rPr>
                <w:rFonts w:ascii="Times New Roman" w:hAnsi="Times New Roman"/>
                <w:color w:val="000000"/>
                <w:sz w:val="16"/>
                <w:szCs w:val="16"/>
              </w:rPr>
              <w:t>них</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паперах</w:t>
            </w:r>
            <w:proofErr w:type="spellEnd"/>
            <w:r w:rsidRPr="00E16672">
              <w:rPr>
                <w:rFonts w:ascii="Times New Roman" w:hAnsi="Times New Roman"/>
                <w:color w:val="000000"/>
                <w:sz w:val="16"/>
                <w:szCs w:val="16"/>
              </w:rPr>
              <w:t xml:space="preserve"> у порядку та строки, </w:t>
            </w:r>
            <w:proofErr w:type="spellStart"/>
            <w:r w:rsidRPr="00E16672">
              <w:rPr>
                <w:rFonts w:ascii="Times New Roman" w:hAnsi="Times New Roman"/>
                <w:color w:val="000000"/>
                <w:sz w:val="16"/>
                <w:szCs w:val="16"/>
              </w:rPr>
              <w:t>визначені</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законодавством</w:t>
            </w:r>
            <w:proofErr w:type="spellEnd"/>
            <w:r w:rsidRPr="00E16672">
              <w:rPr>
                <w:rFonts w:ascii="Times New Roman" w:hAnsi="Times New Roman"/>
                <w:color w:val="000000"/>
                <w:sz w:val="16"/>
                <w:szCs w:val="16"/>
              </w:rPr>
              <w:t xml:space="preserve"> та/</w:t>
            </w:r>
            <w:proofErr w:type="spellStart"/>
            <w:r w:rsidRPr="00E16672">
              <w:rPr>
                <w:rFonts w:ascii="Times New Roman" w:hAnsi="Times New Roman"/>
                <w:color w:val="000000"/>
                <w:sz w:val="16"/>
                <w:szCs w:val="16"/>
              </w:rPr>
              <w:t>або</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внутрішніми</w:t>
            </w:r>
            <w:proofErr w:type="spellEnd"/>
            <w:r w:rsidRPr="00E16672">
              <w:rPr>
                <w:rFonts w:ascii="Times New Roman" w:hAnsi="Times New Roman"/>
                <w:color w:val="000000"/>
                <w:sz w:val="16"/>
                <w:szCs w:val="16"/>
              </w:rPr>
              <w:t xml:space="preserve"> документами </w:t>
            </w:r>
            <w:proofErr w:type="spellStart"/>
            <w:r w:rsidRPr="00E16672">
              <w:rPr>
                <w:rFonts w:ascii="Times New Roman" w:hAnsi="Times New Roman"/>
                <w:color w:val="000000"/>
                <w:sz w:val="16"/>
                <w:szCs w:val="16"/>
              </w:rPr>
              <w:t>Депозитарної</w:t>
            </w:r>
            <w:proofErr w:type="spellEnd"/>
            <w:r w:rsidRPr="00E16672">
              <w:rPr>
                <w:rFonts w:ascii="Times New Roman" w:hAnsi="Times New Roman"/>
                <w:color w:val="000000"/>
                <w:sz w:val="16"/>
                <w:szCs w:val="16"/>
              </w:rPr>
              <w:t xml:space="preserve"> </w:t>
            </w:r>
            <w:proofErr w:type="gramStart"/>
            <w:r w:rsidRPr="00E16672">
              <w:rPr>
                <w:rFonts w:ascii="Times New Roman" w:hAnsi="Times New Roman"/>
                <w:color w:val="000000"/>
                <w:sz w:val="16"/>
                <w:szCs w:val="16"/>
              </w:rPr>
              <w:t>установи.</w:t>
            </w:r>
            <w:r w:rsidRPr="00E16672">
              <w:rPr>
                <w:rFonts w:ascii="Times New Roman" w:eastAsia="Arial" w:hAnsi="Times New Roman"/>
                <w:color w:val="000000"/>
                <w:sz w:val="16"/>
                <w:szCs w:val="16"/>
              </w:rPr>
              <w:t>.</w:t>
            </w:r>
            <w:proofErr w:type="gramEnd"/>
          </w:p>
        </w:tc>
        <w:tc>
          <w:tcPr>
            <w:tcW w:w="5494" w:type="dxa"/>
            <w:gridSpan w:val="7"/>
            <w:shd w:val="clear" w:color="auto" w:fill="auto"/>
          </w:tcPr>
          <w:p w14:paraId="07AC9D32" w14:textId="77777777" w:rsidR="00E00EC0" w:rsidRPr="00E16672" w:rsidRDefault="00E00EC0" w:rsidP="00200366">
            <w:pPr>
              <w:pStyle w:val="ab"/>
              <w:snapToGrid w:val="0"/>
              <w:ind w:left="142" w:right="57" w:firstLine="6"/>
              <w:jc w:val="both"/>
              <w:rPr>
                <w:rFonts w:ascii="Times New Roman" w:eastAsia="Arial" w:hAnsi="Times New Roman"/>
                <w:b w:val="0"/>
                <w:color w:val="000000"/>
                <w:sz w:val="16"/>
                <w:szCs w:val="16"/>
                <w:lang w:val="en-US"/>
              </w:rPr>
            </w:pPr>
            <w:r w:rsidRPr="00E16672">
              <w:rPr>
                <w:rFonts w:ascii="Times New Roman" w:hAnsi="Times New Roman"/>
                <w:b w:val="0"/>
                <w:color w:val="000000"/>
                <w:sz w:val="16"/>
                <w:szCs w:val="16"/>
              </w:rPr>
              <w:t xml:space="preserve">2.1.5. </w:t>
            </w:r>
            <w:r w:rsidRPr="00E16672">
              <w:rPr>
                <w:rFonts w:ascii="Times New Roman" w:hAnsi="Times New Roman"/>
                <w:b w:val="0"/>
                <w:color w:val="000000"/>
                <w:sz w:val="16"/>
                <w:szCs w:val="16"/>
                <w:lang w:val="en-US"/>
              </w:rPr>
              <w:t xml:space="preserve"> </w:t>
            </w:r>
            <w:r w:rsidRPr="00E16672">
              <w:rPr>
                <w:rFonts w:ascii="Times New Roman" w:eastAsia="Arial" w:hAnsi="Times New Roman"/>
                <w:b w:val="0"/>
                <w:color w:val="000000"/>
                <w:sz w:val="16"/>
                <w:szCs w:val="16"/>
                <w:lang w:val="en-US"/>
              </w:rPr>
              <w:t xml:space="preserve">To manage servicing </w:t>
            </w:r>
            <w:proofErr w:type="gramStart"/>
            <w:r w:rsidRPr="00E16672">
              <w:rPr>
                <w:rFonts w:ascii="Times New Roman" w:eastAsia="Arial" w:hAnsi="Times New Roman"/>
                <w:b w:val="0"/>
                <w:color w:val="000000"/>
                <w:sz w:val="16"/>
                <w:szCs w:val="16"/>
                <w:lang w:val="en-US"/>
              </w:rPr>
              <w:t>of  securities</w:t>
            </w:r>
            <w:proofErr w:type="gramEnd"/>
            <w:r w:rsidRPr="00E16672">
              <w:rPr>
                <w:rFonts w:ascii="Times New Roman" w:eastAsia="Arial" w:hAnsi="Times New Roman"/>
                <w:b w:val="0"/>
                <w:color w:val="000000"/>
                <w:sz w:val="16"/>
                <w:szCs w:val="16"/>
                <w:lang w:val="en-US"/>
              </w:rPr>
              <w:t xml:space="preserve"> </w:t>
            </w:r>
            <w:proofErr w:type="spellStart"/>
            <w:r w:rsidRPr="00E16672">
              <w:rPr>
                <w:rFonts w:ascii="Times New Roman" w:eastAsia="Arial" w:hAnsi="Times New Roman"/>
                <w:b w:val="0"/>
                <w:color w:val="000000"/>
                <w:sz w:val="16"/>
                <w:szCs w:val="16"/>
                <w:lang w:val="en-US"/>
              </w:rPr>
              <w:t>onthe</w:t>
            </w:r>
            <w:proofErr w:type="spellEnd"/>
            <w:r w:rsidRPr="00E16672">
              <w:rPr>
                <w:rFonts w:ascii="Times New Roman" w:eastAsia="Arial" w:hAnsi="Times New Roman"/>
                <w:b w:val="0"/>
                <w:color w:val="000000"/>
                <w:sz w:val="16"/>
                <w:szCs w:val="16"/>
                <w:lang w:val="en-US"/>
              </w:rPr>
              <w:t xml:space="preserve"> account in securities of Depositor by implementation of depositary operations after this account  in the procedure and time limits set by law and/or internal documents of the Depository institution.</w:t>
            </w:r>
          </w:p>
        </w:tc>
      </w:tr>
      <w:tr w:rsidR="00E00EC0" w:rsidRPr="00F23413" w14:paraId="40A29E1A" w14:textId="77777777" w:rsidTr="00D77858">
        <w:tblPrEx>
          <w:tblCellMar>
            <w:left w:w="0" w:type="dxa"/>
            <w:right w:w="0" w:type="dxa"/>
          </w:tblCellMar>
        </w:tblPrEx>
        <w:trPr>
          <w:trHeight w:val="192"/>
        </w:trPr>
        <w:tc>
          <w:tcPr>
            <w:tcW w:w="5696" w:type="dxa"/>
            <w:gridSpan w:val="6"/>
            <w:shd w:val="clear" w:color="auto" w:fill="auto"/>
          </w:tcPr>
          <w:p w14:paraId="0A1A784A" w14:textId="77777777" w:rsidR="009F0B83" w:rsidRPr="00E16672" w:rsidRDefault="00E00EC0" w:rsidP="00547A75">
            <w:pPr>
              <w:tabs>
                <w:tab w:val="left" w:pos="851"/>
              </w:tabs>
              <w:ind w:left="182" w:right="138" w:firstLine="0"/>
              <w:rPr>
                <w:rFonts w:ascii="Times New Roman" w:hAnsi="Times New Roman"/>
                <w:color w:val="000000"/>
                <w:sz w:val="16"/>
                <w:szCs w:val="16"/>
              </w:rPr>
            </w:pPr>
            <w:r w:rsidRPr="00E16672">
              <w:rPr>
                <w:rFonts w:ascii="Times New Roman" w:eastAsia="Arial" w:hAnsi="Times New Roman"/>
                <w:color w:val="000000"/>
                <w:sz w:val="16"/>
                <w:szCs w:val="16"/>
              </w:rPr>
              <w:t>2.1.6.</w:t>
            </w:r>
            <w:r w:rsidRPr="00E16672">
              <w:rPr>
                <w:rFonts w:ascii="Times New Roman" w:hAnsi="Times New Roman"/>
                <w:color w:val="000000"/>
                <w:sz w:val="16"/>
                <w:szCs w:val="16"/>
                <w:lang w:val="uk-UA"/>
              </w:rPr>
              <w:t xml:space="preserve"> </w:t>
            </w:r>
            <w:proofErr w:type="spellStart"/>
            <w:r w:rsidR="009F0B83" w:rsidRPr="00E16672">
              <w:rPr>
                <w:rFonts w:ascii="Times New Roman" w:eastAsia="Arial" w:hAnsi="Times New Roman"/>
                <w:color w:val="000000"/>
                <w:sz w:val="16"/>
                <w:szCs w:val="16"/>
              </w:rPr>
              <w:t>Складати</w:t>
            </w:r>
            <w:proofErr w:type="spellEnd"/>
            <w:r w:rsidR="009F0B83" w:rsidRPr="00E16672">
              <w:rPr>
                <w:rFonts w:ascii="Times New Roman" w:eastAsia="Arial" w:hAnsi="Times New Roman"/>
                <w:color w:val="000000"/>
                <w:sz w:val="16"/>
                <w:szCs w:val="16"/>
              </w:rPr>
              <w:t xml:space="preserve"> та </w:t>
            </w:r>
            <w:proofErr w:type="spellStart"/>
            <w:r w:rsidR="009F0B83" w:rsidRPr="00E16672">
              <w:rPr>
                <w:rFonts w:ascii="Times New Roman" w:eastAsia="Arial" w:hAnsi="Times New Roman"/>
                <w:color w:val="000000"/>
                <w:sz w:val="16"/>
                <w:szCs w:val="16"/>
              </w:rPr>
              <w:t>видавати</w:t>
            </w:r>
            <w:proofErr w:type="spellEnd"/>
            <w:r w:rsidR="009F0B83" w:rsidRPr="00E16672">
              <w:rPr>
                <w:rFonts w:ascii="Times New Roman" w:eastAsia="Arial" w:hAnsi="Times New Roman"/>
                <w:color w:val="000000"/>
                <w:sz w:val="16"/>
                <w:szCs w:val="16"/>
              </w:rPr>
              <w:t xml:space="preserve"> </w:t>
            </w:r>
            <w:proofErr w:type="spellStart"/>
            <w:r w:rsidR="009F0B83" w:rsidRPr="00E16672">
              <w:rPr>
                <w:rFonts w:ascii="Times New Roman" w:eastAsia="Arial" w:hAnsi="Times New Roman"/>
                <w:color w:val="000000"/>
                <w:sz w:val="16"/>
                <w:szCs w:val="16"/>
              </w:rPr>
              <w:t>Виписку</w:t>
            </w:r>
            <w:proofErr w:type="spellEnd"/>
            <w:r w:rsidR="009F0B83" w:rsidRPr="00E16672">
              <w:rPr>
                <w:rFonts w:ascii="Times New Roman" w:eastAsia="Arial" w:hAnsi="Times New Roman"/>
                <w:color w:val="000000"/>
                <w:sz w:val="16"/>
                <w:szCs w:val="16"/>
              </w:rPr>
              <w:t xml:space="preserve"> з </w:t>
            </w:r>
            <w:proofErr w:type="spellStart"/>
            <w:r w:rsidR="00AE01A8" w:rsidRPr="00E16672">
              <w:rPr>
                <w:rFonts w:ascii="Times New Roman" w:eastAsia="Arial" w:hAnsi="Times New Roman"/>
                <w:color w:val="000000"/>
                <w:sz w:val="16"/>
                <w:szCs w:val="16"/>
              </w:rPr>
              <w:t>рахунк</w:t>
            </w:r>
            <w:proofErr w:type="spellEnd"/>
            <w:r w:rsidR="00AE01A8" w:rsidRPr="00E16672">
              <w:rPr>
                <w:rFonts w:ascii="Times New Roman" w:eastAsia="Arial" w:hAnsi="Times New Roman"/>
                <w:color w:val="000000"/>
                <w:sz w:val="16"/>
                <w:szCs w:val="16"/>
                <w:lang w:val="uk-UA"/>
              </w:rPr>
              <w:t>у</w:t>
            </w:r>
            <w:r w:rsidR="00AE01A8" w:rsidRPr="00E16672">
              <w:rPr>
                <w:rFonts w:ascii="Times New Roman" w:eastAsia="Arial" w:hAnsi="Times New Roman"/>
                <w:color w:val="000000"/>
                <w:sz w:val="16"/>
                <w:szCs w:val="16"/>
              </w:rPr>
              <w:t xml:space="preserve"> </w:t>
            </w:r>
            <w:r w:rsidR="009F0B83" w:rsidRPr="00E16672">
              <w:rPr>
                <w:rFonts w:ascii="Times New Roman" w:eastAsia="Arial" w:hAnsi="Times New Roman"/>
                <w:color w:val="000000"/>
                <w:sz w:val="16"/>
                <w:szCs w:val="16"/>
              </w:rPr>
              <w:t xml:space="preserve">в </w:t>
            </w:r>
            <w:proofErr w:type="spellStart"/>
            <w:r w:rsidR="009F0B83" w:rsidRPr="00E16672">
              <w:rPr>
                <w:rFonts w:ascii="Times New Roman" w:eastAsia="Arial" w:hAnsi="Times New Roman"/>
                <w:color w:val="000000"/>
                <w:sz w:val="16"/>
                <w:szCs w:val="16"/>
              </w:rPr>
              <w:t>цінних</w:t>
            </w:r>
            <w:proofErr w:type="spellEnd"/>
            <w:r w:rsidR="009F0B83" w:rsidRPr="00E16672">
              <w:rPr>
                <w:rFonts w:ascii="Times New Roman" w:eastAsia="Arial" w:hAnsi="Times New Roman"/>
                <w:color w:val="000000"/>
                <w:sz w:val="16"/>
                <w:szCs w:val="16"/>
              </w:rPr>
              <w:t xml:space="preserve"> </w:t>
            </w:r>
            <w:proofErr w:type="spellStart"/>
            <w:r w:rsidR="009F0B83" w:rsidRPr="00E16672">
              <w:rPr>
                <w:rFonts w:ascii="Times New Roman" w:eastAsia="Arial" w:hAnsi="Times New Roman"/>
                <w:color w:val="000000"/>
                <w:sz w:val="16"/>
                <w:szCs w:val="16"/>
              </w:rPr>
              <w:t>паперах</w:t>
            </w:r>
            <w:proofErr w:type="spellEnd"/>
            <w:r w:rsidR="009F0B83" w:rsidRPr="00E16672">
              <w:rPr>
                <w:rFonts w:ascii="Times New Roman" w:eastAsia="Arial" w:hAnsi="Times New Roman"/>
                <w:color w:val="000000"/>
                <w:sz w:val="16"/>
                <w:szCs w:val="16"/>
              </w:rPr>
              <w:t xml:space="preserve"> Депонента та </w:t>
            </w:r>
            <w:proofErr w:type="spellStart"/>
            <w:r w:rsidR="009F0B83" w:rsidRPr="00E16672">
              <w:rPr>
                <w:rFonts w:ascii="Times New Roman" w:eastAsia="Arial" w:hAnsi="Times New Roman"/>
                <w:color w:val="000000"/>
                <w:sz w:val="16"/>
                <w:szCs w:val="16"/>
              </w:rPr>
              <w:t>Виписку</w:t>
            </w:r>
            <w:proofErr w:type="spellEnd"/>
            <w:r w:rsidR="009F0B83" w:rsidRPr="00E16672">
              <w:rPr>
                <w:rFonts w:ascii="Times New Roman" w:eastAsia="Arial" w:hAnsi="Times New Roman"/>
                <w:color w:val="000000"/>
                <w:sz w:val="16"/>
                <w:szCs w:val="16"/>
              </w:rPr>
              <w:t xml:space="preserve"> про </w:t>
            </w:r>
            <w:proofErr w:type="spellStart"/>
            <w:r w:rsidR="009F0B83" w:rsidRPr="00E16672">
              <w:rPr>
                <w:rFonts w:ascii="Times New Roman" w:eastAsia="Arial" w:hAnsi="Times New Roman"/>
                <w:color w:val="000000"/>
                <w:sz w:val="16"/>
                <w:szCs w:val="16"/>
              </w:rPr>
              <w:t>операції</w:t>
            </w:r>
            <w:proofErr w:type="spellEnd"/>
            <w:r w:rsidR="009F0B83" w:rsidRPr="00E16672">
              <w:rPr>
                <w:rFonts w:ascii="Times New Roman" w:eastAsia="Arial" w:hAnsi="Times New Roman"/>
                <w:color w:val="000000"/>
                <w:sz w:val="16"/>
                <w:szCs w:val="16"/>
              </w:rPr>
              <w:t xml:space="preserve"> з </w:t>
            </w:r>
            <w:proofErr w:type="spellStart"/>
            <w:r w:rsidR="009F0B83" w:rsidRPr="00E16672">
              <w:rPr>
                <w:rFonts w:ascii="Times New Roman" w:eastAsia="Arial" w:hAnsi="Times New Roman"/>
                <w:color w:val="000000"/>
                <w:sz w:val="16"/>
                <w:szCs w:val="16"/>
              </w:rPr>
              <w:t>цінними</w:t>
            </w:r>
            <w:proofErr w:type="spellEnd"/>
            <w:r w:rsidR="009F0B83" w:rsidRPr="00E16672">
              <w:rPr>
                <w:rFonts w:ascii="Times New Roman" w:eastAsia="Arial" w:hAnsi="Times New Roman"/>
                <w:color w:val="000000"/>
                <w:sz w:val="16"/>
                <w:szCs w:val="16"/>
              </w:rPr>
              <w:t xml:space="preserve"> </w:t>
            </w:r>
            <w:proofErr w:type="spellStart"/>
            <w:r w:rsidR="009F0B83" w:rsidRPr="00E16672">
              <w:rPr>
                <w:rFonts w:ascii="Times New Roman" w:eastAsia="Arial" w:hAnsi="Times New Roman"/>
                <w:color w:val="000000"/>
                <w:sz w:val="16"/>
                <w:szCs w:val="16"/>
              </w:rPr>
              <w:t>паперами</w:t>
            </w:r>
            <w:proofErr w:type="spellEnd"/>
            <w:r w:rsidR="009F0B83" w:rsidRPr="00E16672">
              <w:rPr>
                <w:rFonts w:ascii="Times New Roman" w:eastAsia="Arial" w:hAnsi="Times New Roman"/>
                <w:color w:val="000000"/>
                <w:sz w:val="16"/>
                <w:szCs w:val="16"/>
              </w:rPr>
              <w:t xml:space="preserve"> на </w:t>
            </w:r>
            <w:proofErr w:type="spellStart"/>
            <w:r w:rsidR="009F0B83" w:rsidRPr="00E16672">
              <w:rPr>
                <w:rFonts w:ascii="Times New Roman" w:eastAsia="Arial" w:hAnsi="Times New Roman"/>
                <w:color w:val="000000"/>
                <w:sz w:val="16"/>
                <w:szCs w:val="16"/>
              </w:rPr>
              <w:t>вимогу</w:t>
            </w:r>
            <w:proofErr w:type="spellEnd"/>
            <w:r w:rsidR="009F0B83" w:rsidRPr="00E16672">
              <w:rPr>
                <w:rFonts w:ascii="Times New Roman" w:eastAsia="Arial" w:hAnsi="Times New Roman"/>
                <w:color w:val="000000"/>
                <w:sz w:val="16"/>
                <w:szCs w:val="16"/>
              </w:rPr>
              <w:t xml:space="preserve"> Депонента </w:t>
            </w:r>
            <w:proofErr w:type="gramStart"/>
            <w:r w:rsidR="00AE01A8" w:rsidRPr="00E16672">
              <w:rPr>
                <w:rFonts w:ascii="Times New Roman" w:eastAsia="Arial" w:hAnsi="Times New Roman"/>
                <w:color w:val="000000"/>
                <w:sz w:val="16"/>
                <w:szCs w:val="20"/>
                <w:lang w:val="uk-UA"/>
              </w:rPr>
              <w:t>періодично  -</w:t>
            </w:r>
            <w:proofErr w:type="gramEnd"/>
            <w:r w:rsidR="00AE01A8" w:rsidRPr="00E16672">
              <w:rPr>
                <w:rFonts w:ascii="Times New Roman" w:eastAsia="Arial" w:hAnsi="Times New Roman"/>
                <w:color w:val="000000"/>
                <w:sz w:val="16"/>
                <w:szCs w:val="20"/>
                <w:lang w:val="uk-UA"/>
              </w:rPr>
              <w:t xml:space="preserve"> один раз на рік за відповідним розпорядженням Депонента, або на запит Депонента </w:t>
            </w:r>
            <w:r w:rsidR="009F0B83" w:rsidRPr="00E16672">
              <w:rPr>
                <w:rFonts w:ascii="Times New Roman" w:hAnsi="Times New Roman"/>
                <w:color w:val="000000"/>
                <w:sz w:val="16"/>
                <w:szCs w:val="16"/>
              </w:rPr>
              <w:t xml:space="preserve">не </w:t>
            </w:r>
            <w:proofErr w:type="spellStart"/>
            <w:r w:rsidR="009F0B83" w:rsidRPr="00E16672">
              <w:rPr>
                <w:rFonts w:ascii="Times New Roman" w:hAnsi="Times New Roman"/>
                <w:color w:val="000000"/>
                <w:sz w:val="16"/>
                <w:szCs w:val="16"/>
              </w:rPr>
              <w:t>пізніше</w:t>
            </w:r>
            <w:proofErr w:type="spellEnd"/>
            <w:r w:rsidR="009F0B83" w:rsidRPr="00E16672">
              <w:rPr>
                <w:rFonts w:ascii="Times New Roman" w:hAnsi="Times New Roman"/>
                <w:color w:val="000000"/>
                <w:sz w:val="16"/>
                <w:szCs w:val="16"/>
              </w:rPr>
              <w:t xml:space="preserve"> </w:t>
            </w:r>
            <w:proofErr w:type="spellStart"/>
            <w:r w:rsidR="009F0B83" w:rsidRPr="00E16672">
              <w:rPr>
                <w:rFonts w:ascii="Times New Roman" w:hAnsi="Times New Roman"/>
                <w:color w:val="000000"/>
                <w:sz w:val="16"/>
                <w:szCs w:val="16"/>
              </w:rPr>
              <w:t>наступного</w:t>
            </w:r>
            <w:proofErr w:type="spellEnd"/>
            <w:r w:rsidR="009F0B83" w:rsidRPr="00E16672">
              <w:rPr>
                <w:rFonts w:ascii="Times New Roman" w:hAnsi="Times New Roman"/>
                <w:color w:val="000000"/>
                <w:sz w:val="16"/>
                <w:szCs w:val="16"/>
              </w:rPr>
              <w:t xml:space="preserve"> </w:t>
            </w:r>
            <w:proofErr w:type="spellStart"/>
            <w:r w:rsidR="009F0B83" w:rsidRPr="00E16672">
              <w:rPr>
                <w:rFonts w:ascii="Times New Roman" w:hAnsi="Times New Roman"/>
                <w:color w:val="000000"/>
                <w:sz w:val="16"/>
                <w:szCs w:val="16"/>
              </w:rPr>
              <w:t>робочого</w:t>
            </w:r>
            <w:proofErr w:type="spellEnd"/>
            <w:r w:rsidR="009F0B83" w:rsidRPr="00E16672">
              <w:rPr>
                <w:rFonts w:ascii="Times New Roman" w:hAnsi="Times New Roman"/>
                <w:color w:val="000000"/>
                <w:sz w:val="16"/>
                <w:szCs w:val="16"/>
              </w:rPr>
              <w:t xml:space="preserve"> дня з </w:t>
            </w:r>
            <w:proofErr w:type="spellStart"/>
            <w:r w:rsidR="009F0B83" w:rsidRPr="00E16672">
              <w:rPr>
                <w:rFonts w:ascii="Times New Roman" w:hAnsi="Times New Roman"/>
                <w:color w:val="000000"/>
                <w:sz w:val="16"/>
                <w:szCs w:val="16"/>
              </w:rPr>
              <w:t>дати</w:t>
            </w:r>
            <w:proofErr w:type="spellEnd"/>
            <w:r w:rsidR="009F0B83" w:rsidRPr="00E16672">
              <w:rPr>
                <w:rFonts w:ascii="Times New Roman" w:hAnsi="Times New Roman"/>
                <w:color w:val="000000"/>
                <w:sz w:val="16"/>
                <w:szCs w:val="16"/>
              </w:rPr>
              <w:t xml:space="preserve"> </w:t>
            </w:r>
            <w:proofErr w:type="spellStart"/>
            <w:r w:rsidR="009F0B83" w:rsidRPr="00E16672">
              <w:rPr>
                <w:rFonts w:ascii="Times New Roman" w:hAnsi="Times New Roman"/>
                <w:color w:val="000000"/>
                <w:sz w:val="16"/>
                <w:szCs w:val="16"/>
              </w:rPr>
              <w:t>отримання</w:t>
            </w:r>
            <w:proofErr w:type="spellEnd"/>
            <w:r w:rsidR="009F0B83" w:rsidRPr="00E16672">
              <w:rPr>
                <w:rFonts w:ascii="Times New Roman" w:hAnsi="Times New Roman"/>
                <w:color w:val="000000"/>
                <w:sz w:val="16"/>
                <w:szCs w:val="16"/>
              </w:rPr>
              <w:t xml:space="preserve"> </w:t>
            </w:r>
            <w:proofErr w:type="spellStart"/>
            <w:r w:rsidR="009F0B83" w:rsidRPr="00E16672">
              <w:rPr>
                <w:rFonts w:ascii="Times New Roman" w:hAnsi="Times New Roman"/>
                <w:color w:val="000000"/>
                <w:sz w:val="16"/>
                <w:szCs w:val="16"/>
              </w:rPr>
              <w:t>відповідного</w:t>
            </w:r>
            <w:proofErr w:type="spellEnd"/>
            <w:r w:rsidR="009F0B83" w:rsidRPr="00E16672">
              <w:rPr>
                <w:rFonts w:ascii="Times New Roman" w:hAnsi="Times New Roman"/>
                <w:color w:val="000000"/>
                <w:sz w:val="16"/>
                <w:szCs w:val="16"/>
              </w:rPr>
              <w:t xml:space="preserve"> </w:t>
            </w:r>
            <w:proofErr w:type="spellStart"/>
            <w:r w:rsidR="009F0B83" w:rsidRPr="00E16672">
              <w:rPr>
                <w:rFonts w:ascii="Times New Roman" w:hAnsi="Times New Roman"/>
                <w:color w:val="000000"/>
                <w:sz w:val="16"/>
                <w:szCs w:val="16"/>
              </w:rPr>
              <w:t>розпорядження</w:t>
            </w:r>
            <w:proofErr w:type="spellEnd"/>
            <w:r w:rsidR="009F0B83" w:rsidRPr="00E16672">
              <w:rPr>
                <w:rFonts w:ascii="Times New Roman" w:hAnsi="Times New Roman"/>
                <w:color w:val="000000"/>
                <w:sz w:val="16"/>
                <w:szCs w:val="16"/>
              </w:rPr>
              <w:t xml:space="preserve"> у </w:t>
            </w:r>
            <w:proofErr w:type="spellStart"/>
            <w:r w:rsidR="009F0B83" w:rsidRPr="00E16672">
              <w:rPr>
                <w:rFonts w:ascii="Times New Roman" w:hAnsi="Times New Roman"/>
                <w:color w:val="000000"/>
                <w:sz w:val="16"/>
                <w:szCs w:val="16"/>
              </w:rPr>
              <w:t>спосіб</w:t>
            </w:r>
            <w:proofErr w:type="spellEnd"/>
            <w:r w:rsidR="009F0B83" w:rsidRPr="00E16672">
              <w:rPr>
                <w:rFonts w:ascii="Times New Roman" w:hAnsi="Times New Roman"/>
                <w:color w:val="000000"/>
                <w:sz w:val="16"/>
                <w:szCs w:val="16"/>
              </w:rPr>
              <w:t xml:space="preserve">, </w:t>
            </w:r>
            <w:proofErr w:type="spellStart"/>
            <w:r w:rsidR="009F0B83" w:rsidRPr="00E16672">
              <w:rPr>
                <w:rFonts w:ascii="Times New Roman" w:hAnsi="Times New Roman"/>
                <w:color w:val="000000"/>
                <w:sz w:val="16"/>
                <w:szCs w:val="16"/>
              </w:rPr>
              <w:t>визначений</w:t>
            </w:r>
            <w:proofErr w:type="spellEnd"/>
            <w:r w:rsidR="009F0B83" w:rsidRPr="00E16672">
              <w:rPr>
                <w:rFonts w:ascii="Times New Roman" w:hAnsi="Times New Roman"/>
                <w:color w:val="000000"/>
                <w:sz w:val="16"/>
                <w:szCs w:val="16"/>
              </w:rPr>
              <w:t xml:space="preserve"> у </w:t>
            </w:r>
            <w:proofErr w:type="spellStart"/>
            <w:r w:rsidR="009F0B83" w:rsidRPr="00E16672">
              <w:rPr>
                <w:rFonts w:ascii="Times New Roman" w:hAnsi="Times New Roman"/>
                <w:color w:val="000000"/>
                <w:sz w:val="16"/>
                <w:szCs w:val="16"/>
              </w:rPr>
              <w:t>розпорядженні</w:t>
            </w:r>
            <w:proofErr w:type="spellEnd"/>
            <w:r w:rsidR="009F0B83" w:rsidRPr="00E16672">
              <w:rPr>
                <w:rFonts w:ascii="Times New Roman" w:hAnsi="Times New Roman"/>
                <w:color w:val="000000"/>
                <w:sz w:val="16"/>
                <w:szCs w:val="16"/>
              </w:rPr>
              <w:t>.</w:t>
            </w:r>
          </w:p>
          <w:p w14:paraId="34855C84" w14:textId="77777777" w:rsidR="00E51F85" w:rsidRPr="00E16672" w:rsidRDefault="00E00EC0" w:rsidP="00547A75">
            <w:pPr>
              <w:pStyle w:val="23"/>
              <w:ind w:left="182" w:right="138" w:firstLine="0"/>
              <w:rPr>
                <w:rFonts w:ascii="Times New Roman" w:eastAsia="Arial" w:hAnsi="Times New Roman"/>
                <w:color w:val="000000"/>
                <w:sz w:val="16"/>
                <w:szCs w:val="16"/>
              </w:rPr>
            </w:pPr>
            <w:r w:rsidRPr="00E16672">
              <w:rPr>
                <w:rFonts w:ascii="Times New Roman" w:hAnsi="Times New Roman"/>
                <w:color w:val="000000"/>
                <w:sz w:val="16"/>
                <w:szCs w:val="16"/>
              </w:rPr>
              <w:t xml:space="preserve">Виписка з рахунку </w:t>
            </w:r>
            <w:r w:rsidR="00C22309" w:rsidRPr="00E16672">
              <w:rPr>
                <w:rFonts w:ascii="Times New Roman" w:hAnsi="Times New Roman"/>
                <w:color w:val="000000"/>
                <w:spacing w:val="-9"/>
                <w:sz w:val="16"/>
                <w:szCs w:val="16"/>
                <w:shd w:val="clear" w:color="auto" w:fill="FFFFFF"/>
              </w:rPr>
              <w:t>в цін</w:t>
            </w:r>
            <w:r w:rsidRPr="00E16672">
              <w:rPr>
                <w:rFonts w:ascii="Times New Roman" w:hAnsi="Times New Roman"/>
                <w:color w:val="000000"/>
                <w:spacing w:val="-9"/>
                <w:sz w:val="16"/>
                <w:szCs w:val="16"/>
                <w:shd w:val="clear" w:color="auto" w:fill="FFFFFF"/>
              </w:rPr>
              <w:t xml:space="preserve">них паперах може надаватися </w:t>
            </w:r>
            <w:r w:rsidRPr="00E16672">
              <w:rPr>
                <w:rFonts w:ascii="Times New Roman" w:hAnsi="Times New Roman"/>
                <w:color w:val="000000"/>
                <w:sz w:val="16"/>
                <w:szCs w:val="16"/>
              </w:rPr>
              <w:t xml:space="preserve">Депоненту у вигляді </w:t>
            </w:r>
            <w:r w:rsidRPr="00E16672">
              <w:rPr>
                <w:rFonts w:ascii="Times New Roman" w:hAnsi="Times New Roman"/>
                <w:color w:val="000000"/>
                <w:spacing w:val="-9"/>
                <w:sz w:val="16"/>
                <w:szCs w:val="16"/>
              </w:rPr>
              <w:t>електронного документу з використанням</w:t>
            </w:r>
            <w:r w:rsidRPr="00E16672">
              <w:rPr>
                <w:rFonts w:ascii="Times New Roman" w:hAnsi="Times New Roman"/>
                <w:color w:val="000000"/>
                <w:spacing w:val="-9"/>
                <w:sz w:val="12"/>
                <w:szCs w:val="16"/>
              </w:rPr>
              <w:t xml:space="preserve"> </w:t>
            </w:r>
            <w:proofErr w:type="spellStart"/>
            <w:r w:rsidR="00AE01A8" w:rsidRPr="00E16672">
              <w:rPr>
                <w:rFonts w:ascii="Times New Roman" w:hAnsi="Times New Roman"/>
                <w:color w:val="000000"/>
                <w:spacing w:val="-9"/>
                <w:sz w:val="16"/>
                <w:lang w:val="ru-RU"/>
              </w:rPr>
              <w:t>кваліф</w:t>
            </w:r>
            <w:proofErr w:type="spellEnd"/>
            <w:r w:rsidR="00AE01A8" w:rsidRPr="00E16672">
              <w:rPr>
                <w:rFonts w:ascii="Times New Roman" w:hAnsi="Times New Roman"/>
                <w:color w:val="000000"/>
                <w:spacing w:val="-9"/>
                <w:sz w:val="16"/>
              </w:rPr>
              <w:t>і</w:t>
            </w:r>
            <w:r w:rsidR="00AE01A8" w:rsidRPr="00E16672">
              <w:rPr>
                <w:rFonts w:ascii="Times New Roman" w:hAnsi="Times New Roman"/>
                <w:color w:val="000000"/>
                <w:spacing w:val="-9"/>
                <w:sz w:val="16"/>
                <w:lang w:val="ru-RU"/>
              </w:rPr>
              <w:t>кованого</w:t>
            </w:r>
            <w:r w:rsidR="00AE01A8" w:rsidRPr="00E16672">
              <w:rPr>
                <w:rFonts w:ascii="Times New Roman" w:hAnsi="Times New Roman"/>
                <w:color w:val="000000"/>
                <w:spacing w:val="-9"/>
                <w:sz w:val="16"/>
              </w:rPr>
              <w:t xml:space="preserve"> </w:t>
            </w:r>
            <w:r w:rsidRPr="00E16672">
              <w:rPr>
                <w:rFonts w:ascii="Times New Roman" w:hAnsi="Times New Roman"/>
                <w:color w:val="000000"/>
                <w:spacing w:val="-9"/>
                <w:sz w:val="16"/>
                <w:szCs w:val="16"/>
              </w:rPr>
              <w:t>електронного підпису</w:t>
            </w:r>
            <w:r w:rsidR="00E51F85" w:rsidRPr="00E16672">
              <w:rPr>
                <w:rFonts w:ascii="Times New Roman" w:hAnsi="Times New Roman"/>
                <w:color w:val="000000"/>
                <w:spacing w:val="-9"/>
                <w:sz w:val="16"/>
                <w:szCs w:val="16"/>
              </w:rPr>
              <w:t xml:space="preserve"> </w:t>
            </w:r>
            <w:r w:rsidR="00E51F85" w:rsidRPr="00E16672">
              <w:rPr>
                <w:rFonts w:ascii="Times New Roman" w:eastAsia="Arial" w:hAnsi="Times New Roman"/>
                <w:color w:val="000000"/>
                <w:sz w:val="16"/>
                <w:szCs w:val="16"/>
              </w:rPr>
              <w:t xml:space="preserve">та </w:t>
            </w:r>
            <w:proofErr w:type="spellStart"/>
            <w:r w:rsidR="00910781" w:rsidRPr="00E16672">
              <w:rPr>
                <w:rFonts w:ascii="Times New Roman" w:hAnsi="Times New Roman"/>
                <w:color w:val="000000"/>
                <w:spacing w:val="-9"/>
                <w:sz w:val="16"/>
                <w:lang w:val="ru-RU"/>
              </w:rPr>
              <w:t>кваліф</w:t>
            </w:r>
            <w:proofErr w:type="spellEnd"/>
            <w:r w:rsidR="00910781" w:rsidRPr="00E16672">
              <w:rPr>
                <w:rFonts w:ascii="Times New Roman" w:hAnsi="Times New Roman"/>
                <w:color w:val="000000"/>
                <w:spacing w:val="-9"/>
                <w:sz w:val="16"/>
              </w:rPr>
              <w:t>і</w:t>
            </w:r>
            <w:proofErr w:type="spellStart"/>
            <w:r w:rsidR="00910781" w:rsidRPr="00E16672">
              <w:rPr>
                <w:rFonts w:ascii="Times New Roman" w:hAnsi="Times New Roman"/>
                <w:color w:val="000000"/>
                <w:spacing w:val="-9"/>
                <w:sz w:val="16"/>
                <w:lang w:val="ru-RU"/>
              </w:rPr>
              <w:t>кованим</w:t>
            </w:r>
            <w:proofErr w:type="spellEnd"/>
            <w:r w:rsidR="00E51F85" w:rsidRPr="00E16672">
              <w:rPr>
                <w:rFonts w:ascii="Times New Roman" w:eastAsia="Arial" w:hAnsi="Times New Roman"/>
                <w:color w:val="000000"/>
                <w:sz w:val="16"/>
                <w:szCs w:val="16"/>
              </w:rPr>
              <w:t xml:space="preserve"> електронним підписом, що за правовим статусом прирівнюється до  печатки  юридичної  особи</w:t>
            </w:r>
            <w:r w:rsidR="00910781" w:rsidRPr="00E16672">
              <w:rPr>
                <w:rFonts w:ascii="Times New Roman" w:eastAsia="Arial" w:hAnsi="Times New Roman"/>
                <w:color w:val="000000"/>
                <w:sz w:val="16"/>
                <w:szCs w:val="16"/>
                <w:lang w:val="ru-RU"/>
              </w:rPr>
              <w:t xml:space="preserve"> (</w:t>
            </w:r>
            <w:r w:rsidR="00910781" w:rsidRPr="00E16672">
              <w:rPr>
                <w:rFonts w:ascii="Times New Roman" w:eastAsia="Arial" w:hAnsi="Times New Roman"/>
                <w:color w:val="000000"/>
                <w:sz w:val="16"/>
                <w:szCs w:val="16"/>
              </w:rPr>
              <w:t>у разі використання</w:t>
            </w:r>
            <w:r w:rsidR="00910781" w:rsidRPr="00E16672">
              <w:rPr>
                <w:rFonts w:ascii="Times New Roman" w:eastAsia="Arial" w:hAnsi="Times New Roman"/>
                <w:color w:val="000000"/>
                <w:sz w:val="16"/>
                <w:szCs w:val="16"/>
                <w:lang w:val="ru-RU"/>
              </w:rPr>
              <w:t>)</w:t>
            </w:r>
            <w:r w:rsidR="00E51F85" w:rsidRPr="00E16672">
              <w:rPr>
                <w:rFonts w:ascii="Times New Roman" w:eastAsia="Arial" w:hAnsi="Times New Roman"/>
                <w:color w:val="000000"/>
                <w:sz w:val="16"/>
                <w:szCs w:val="16"/>
              </w:rPr>
              <w:t>.</w:t>
            </w:r>
          </w:p>
          <w:p w14:paraId="7B3AFF2E" w14:textId="77777777" w:rsidR="00E00EC0" w:rsidRPr="00E16672" w:rsidRDefault="00E00EC0" w:rsidP="00547A75">
            <w:pPr>
              <w:tabs>
                <w:tab w:val="left" w:pos="867"/>
              </w:tabs>
              <w:snapToGrid w:val="0"/>
              <w:ind w:left="182" w:right="138" w:firstLine="0"/>
              <w:rPr>
                <w:rFonts w:ascii="Times New Roman" w:eastAsia="Arial" w:hAnsi="Times New Roman"/>
                <w:color w:val="000000"/>
                <w:spacing w:val="-9"/>
                <w:sz w:val="16"/>
                <w:szCs w:val="16"/>
                <w:lang w:val="uk-UA"/>
              </w:rPr>
            </w:pPr>
            <w:r w:rsidRPr="00E16672">
              <w:rPr>
                <w:rFonts w:ascii="Times New Roman" w:eastAsia="Arial" w:hAnsi="Times New Roman"/>
                <w:color w:val="000000"/>
                <w:spacing w:val="-9"/>
                <w:sz w:val="16"/>
                <w:szCs w:val="16"/>
                <w:lang w:val="uk-UA"/>
              </w:rPr>
              <w:t xml:space="preserve">У якості звіту надавати Депоненту виписку про стан </w:t>
            </w:r>
            <w:r w:rsidR="00910781" w:rsidRPr="00E16672">
              <w:rPr>
                <w:rFonts w:ascii="Times New Roman" w:eastAsia="Arial" w:hAnsi="Times New Roman"/>
                <w:color w:val="000000"/>
                <w:spacing w:val="-9"/>
                <w:sz w:val="16"/>
                <w:szCs w:val="16"/>
                <w:lang w:val="uk-UA"/>
              </w:rPr>
              <w:t xml:space="preserve">рахунку </w:t>
            </w:r>
            <w:r w:rsidRPr="00E16672">
              <w:rPr>
                <w:rFonts w:ascii="Times New Roman" w:eastAsia="Arial" w:hAnsi="Times New Roman"/>
                <w:color w:val="000000"/>
                <w:spacing w:val="-9"/>
                <w:sz w:val="16"/>
                <w:szCs w:val="16"/>
                <w:lang w:val="uk-UA"/>
              </w:rPr>
              <w:t xml:space="preserve">в цінних паперах або виписку про операції з цінними паперами після здійснення хоча б однієї облікової операції </w:t>
            </w:r>
            <w:r w:rsidRPr="00E16672">
              <w:rPr>
                <w:rFonts w:ascii="Times New Roman" w:eastAsia="Arial" w:hAnsi="Times New Roman"/>
                <w:i/>
                <w:iCs/>
                <w:color w:val="000000"/>
                <w:spacing w:val="-9"/>
                <w:sz w:val="16"/>
                <w:szCs w:val="16"/>
                <w:lang w:val="uk-UA"/>
              </w:rPr>
              <w:t>не пізніше трьох</w:t>
            </w:r>
            <w:r w:rsidRPr="00E16672">
              <w:rPr>
                <w:rFonts w:ascii="Times New Roman" w:eastAsia="Arial" w:hAnsi="Times New Roman"/>
                <w:color w:val="000000"/>
                <w:spacing w:val="-9"/>
                <w:sz w:val="16"/>
                <w:szCs w:val="16"/>
                <w:lang w:val="uk-UA"/>
              </w:rPr>
              <w:t xml:space="preserve"> </w:t>
            </w:r>
            <w:r w:rsidRPr="00E16672">
              <w:rPr>
                <w:rFonts w:ascii="Times New Roman" w:eastAsia="Arial" w:hAnsi="Times New Roman"/>
                <w:i/>
                <w:color w:val="000000"/>
                <w:spacing w:val="-9"/>
                <w:sz w:val="16"/>
                <w:szCs w:val="16"/>
                <w:lang w:val="uk-UA"/>
              </w:rPr>
              <w:t>робочих</w:t>
            </w:r>
            <w:r w:rsidRPr="00E16672">
              <w:rPr>
                <w:rFonts w:ascii="Times New Roman" w:eastAsia="Arial" w:hAnsi="Times New Roman"/>
                <w:color w:val="000000"/>
                <w:spacing w:val="-9"/>
                <w:sz w:val="16"/>
                <w:szCs w:val="16"/>
                <w:lang w:val="uk-UA"/>
              </w:rPr>
              <w:t xml:space="preserve"> днів з дня здійснення такої операції.</w:t>
            </w:r>
          </w:p>
          <w:p w14:paraId="215C6FA4" w14:textId="77777777" w:rsidR="00E00EC0" w:rsidRPr="00E16672" w:rsidRDefault="00E00EC0" w:rsidP="00547A75">
            <w:pPr>
              <w:pStyle w:val="23"/>
              <w:ind w:left="182" w:right="138" w:firstLine="0"/>
              <w:rPr>
                <w:rFonts w:ascii="Times New Roman" w:eastAsia="Arial" w:hAnsi="Times New Roman"/>
                <w:color w:val="000000"/>
                <w:sz w:val="16"/>
                <w:szCs w:val="16"/>
              </w:rPr>
            </w:pPr>
          </w:p>
        </w:tc>
        <w:tc>
          <w:tcPr>
            <w:tcW w:w="5494" w:type="dxa"/>
            <w:gridSpan w:val="7"/>
            <w:shd w:val="clear" w:color="auto" w:fill="auto"/>
          </w:tcPr>
          <w:p w14:paraId="723397A7" w14:textId="77777777" w:rsidR="00E00EC0" w:rsidRPr="00E16672" w:rsidRDefault="00E00EC0" w:rsidP="009F0B83">
            <w:pPr>
              <w:pStyle w:val="23"/>
              <w:snapToGrid w:val="0"/>
              <w:spacing w:before="57" w:after="57"/>
              <w:ind w:left="175" w:right="138" w:firstLine="0"/>
              <w:rPr>
                <w:rFonts w:ascii="Times New Roman" w:eastAsia="Arial" w:hAnsi="Times New Roman"/>
                <w:color w:val="000000"/>
                <w:sz w:val="16"/>
                <w:szCs w:val="16"/>
                <w:lang w:val="en-US"/>
              </w:rPr>
            </w:pPr>
            <w:r w:rsidRPr="00E16672">
              <w:rPr>
                <w:rFonts w:ascii="Times New Roman" w:eastAsia="Arial" w:hAnsi="Times New Roman"/>
                <w:color w:val="000000"/>
                <w:sz w:val="16"/>
                <w:szCs w:val="16"/>
              </w:rPr>
              <w:t xml:space="preserve">2.1.6. </w:t>
            </w:r>
            <w:r w:rsidR="009F0B83" w:rsidRPr="00E16672">
              <w:rPr>
                <w:rFonts w:ascii="Times New Roman" w:eastAsia="Arial" w:hAnsi="Times New Roman"/>
                <w:color w:val="000000"/>
                <w:sz w:val="16"/>
                <w:szCs w:val="16"/>
                <w:lang w:val="en-US"/>
              </w:rPr>
              <w:t xml:space="preserve">To prepare and </w:t>
            </w:r>
            <w:proofErr w:type="gramStart"/>
            <w:r w:rsidR="009F0B83" w:rsidRPr="00E16672">
              <w:rPr>
                <w:rFonts w:ascii="Times New Roman" w:eastAsia="Arial" w:hAnsi="Times New Roman"/>
                <w:color w:val="000000"/>
                <w:sz w:val="16"/>
                <w:szCs w:val="16"/>
                <w:lang w:val="en-US"/>
              </w:rPr>
              <w:t>give  an</w:t>
            </w:r>
            <w:proofErr w:type="gramEnd"/>
            <w:r w:rsidR="009F0B83" w:rsidRPr="00E16672">
              <w:rPr>
                <w:rFonts w:ascii="Times New Roman" w:eastAsia="Arial" w:hAnsi="Times New Roman"/>
                <w:color w:val="000000"/>
                <w:sz w:val="16"/>
                <w:szCs w:val="16"/>
                <w:lang w:val="en-US"/>
              </w:rPr>
              <w:t xml:space="preserve"> extract  from account in securities of  Depositor and the  extract  of the securities transactions at the request of the Depositor </w:t>
            </w:r>
            <w:proofErr w:type="spellStart"/>
            <w:r w:rsidR="00AE01A8" w:rsidRPr="00E16672">
              <w:rPr>
                <w:rFonts w:ascii="Times New Roman" w:hAnsi="Times New Roman"/>
                <w:sz w:val="16"/>
                <w:szCs w:val="16"/>
              </w:rPr>
              <w:t>periodically</w:t>
            </w:r>
            <w:proofErr w:type="spellEnd"/>
            <w:r w:rsidR="00AE01A8" w:rsidRPr="00E16672">
              <w:rPr>
                <w:rFonts w:ascii="Times New Roman" w:hAnsi="Times New Roman"/>
                <w:sz w:val="16"/>
                <w:szCs w:val="16"/>
              </w:rPr>
              <w:t xml:space="preserve"> - </w:t>
            </w:r>
            <w:proofErr w:type="spellStart"/>
            <w:r w:rsidR="00AE01A8" w:rsidRPr="00E16672">
              <w:rPr>
                <w:rFonts w:ascii="Times New Roman" w:hAnsi="Times New Roman"/>
                <w:sz w:val="16"/>
                <w:szCs w:val="16"/>
              </w:rPr>
              <w:t>once</w:t>
            </w:r>
            <w:proofErr w:type="spellEnd"/>
            <w:r w:rsidR="00AE01A8" w:rsidRPr="00E16672">
              <w:rPr>
                <w:rFonts w:ascii="Times New Roman" w:hAnsi="Times New Roman"/>
                <w:sz w:val="16"/>
                <w:szCs w:val="16"/>
              </w:rPr>
              <w:t xml:space="preserve"> a </w:t>
            </w:r>
            <w:proofErr w:type="spellStart"/>
            <w:r w:rsidR="00AE01A8" w:rsidRPr="00E16672">
              <w:rPr>
                <w:rFonts w:ascii="Times New Roman" w:hAnsi="Times New Roman"/>
                <w:sz w:val="16"/>
                <w:szCs w:val="16"/>
              </w:rPr>
              <w:t>year</w:t>
            </w:r>
            <w:proofErr w:type="spellEnd"/>
            <w:r w:rsidR="00AE01A8" w:rsidRPr="00E16672">
              <w:rPr>
                <w:rFonts w:ascii="Times New Roman" w:hAnsi="Times New Roman"/>
                <w:sz w:val="16"/>
                <w:szCs w:val="16"/>
              </w:rPr>
              <w:t xml:space="preserve">, </w:t>
            </w:r>
            <w:proofErr w:type="spellStart"/>
            <w:r w:rsidR="00AE01A8" w:rsidRPr="00E16672">
              <w:rPr>
                <w:rFonts w:ascii="Times New Roman" w:hAnsi="Times New Roman"/>
                <w:sz w:val="16"/>
                <w:szCs w:val="16"/>
              </w:rPr>
              <w:t>according</w:t>
            </w:r>
            <w:proofErr w:type="spellEnd"/>
            <w:r w:rsidR="00AE01A8" w:rsidRPr="00E16672">
              <w:rPr>
                <w:rFonts w:ascii="Times New Roman" w:hAnsi="Times New Roman"/>
                <w:sz w:val="16"/>
                <w:szCs w:val="16"/>
              </w:rPr>
              <w:t xml:space="preserve"> </w:t>
            </w:r>
            <w:proofErr w:type="spellStart"/>
            <w:r w:rsidR="00AE01A8" w:rsidRPr="00E16672">
              <w:rPr>
                <w:rFonts w:ascii="Times New Roman" w:hAnsi="Times New Roman"/>
                <w:sz w:val="16"/>
                <w:szCs w:val="16"/>
              </w:rPr>
              <w:t>to</w:t>
            </w:r>
            <w:proofErr w:type="spellEnd"/>
            <w:r w:rsidR="00AE01A8" w:rsidRPr="00E16672">
              <w:rPr>
                <w:rFonts w:ascii="Times New Roman" w:hAnsi="Times New Roman"/>
                <w:sz w:val="16"/>
                <w:szCs w:val="16"/>
              </w:rPr>
              <w:t xml:space="preserve"> </w:t>
            </w:r>
            <w:proofErr w:type="spellStart"/>
            <w:r w:rsidR="00AE01A8" w:rsidRPr="00E16672">
              <w:rPr>
                <w:rFonts w:ascii="Times New Roman" w:hAnsi="Times New Roman"/>
                <w:sz w:val="16"/>
                <w:szCs w:val="16"/>
              </w:rPr>
              <w:t>the</w:t>
            </w:r>
            <w:proofErr w:type="spellEnd"/>
            <w:r w:rsidR="00AE01A8" w:rsidRPr="00E16672">
              <w:rPr>
                <w:rFonts w:ascii="Times New Roman" w:hAnsi="Times New Roman"/>
                <w:sz w:val="16"/>
                <w:szCs w:val="16"/>
              </w:rPr>
              <w:t xml:space="preserve"> </w:t>
            </w:r>
            <w:proofErr w:type="spellStart"/>
            <w:r w:rsidR="00AE01A8" w:rsidRPr="00E16672">
              <w:rPr>
                <w:rFonts w:ascii="Times New Roman" w:hAnsi="Times New Roman"/>
                <w:sz w:val="16"/>
                <w:szCs w:val="16"/>
              </w:rPr>
              <w:t>relevant</w:t>
            </w:r>
            <w:proofErr w:type="spellEnd"/>
            <w:r w:rsidR="00AE01A8" w:rsidRPr="00E16672">
              <w:rPr>
                <w:rFonts w:ascii="Times New Roman" w:hAnsi="Times New Roman"/>
                <w:sz w:val="16"/>
                <w:szCs w:val="16"/>
              </w:rPr>
              <w:t xml:space="preserve"> </w:t>
            </w:r>
            <w:proofErr w:type="spellStart"/>
            <w:r w:rsidR="00AE01A8" w:rsidRPr="00E16672">
              <w:rPr>
                <w:rFonts w:ascii="Times New Roman" w:hAnsi="Times New Roman"/>
                <w:sz w:val="16"/>
                <w:szCs w:val="16"/>
              </w:rPr>
              <w:t>order</w:t>
            </w:r>
            <w:proofErr w:type="spellEnd"/>
            <w:r w:rsidR="00AE01A8" w:rsidRPr="00E16672">
              <w:rPr>
                <w:rFonts w:ascii="Times New Roman" w:hAnsi="Times New Roman"/>
                <w:sz w:val="16"/>
                <w:szCs w:val="16"/>
              </w:rPr>
              <w:t xml:space="preserve"> </w:t>
            </w:r>
            <w:proofErr w:type="spellStart"/>
            <w:r w:rsidR="00AE01A8" w:rsidRPr="00E16672">
              <w:rPr>
                <w:rFonts w:ascii="Times New Roman" w:hAnsi="Times New Roman"/>
                <w:sz w:val="16"/>
                <w:szCs w:val="16"/>
              </w:rPr>
              <w:t>of</w:t>
            </w:r>
            <w:proofErr w:type="spellEnd"/>
            <w:r w:rsidR="00AE01A8" w:rsidRPr="00E16672">
              <w:rPr>
                <w:rFonts w:ascii="Times New Roman" w:hAnsi="Times New Roman"/>
                <w:sz w:val="16"/>
                <w:szCs w:val="16"/>
              </w:rPr>
              <w:t xml:space="preserve"> </w:t>
            </w:r>
            <w:proofErr w:type="spellStart"/>
            <w:r w:rsidR="00AE01A8" w:rsidRPr="00E16672">
              <w:rPr>
                <w:rFonts w:ascii="Times New Roman" w:hAnsi="Times New Roman"/>
                <w:sz w:val="16"/>
                <w:szCs w:val="16"/>
              </w:rPr>
              <w:t>the</w:t>
            </w:r>
            <w:proofErr w:type="spellEnd"/>
            <w:r w:rsidR="00AE01A8" w:rsidRPr="00E16672">
              <w:rPr>
                <w:rFonts w:ascii="Times New Roman" w:hAnsi="Times New Roman"/>
                <w:sz w:val="16"/>
                <w:szCs w:val="16"/>
              </w:rPr>
              <w:t xml:space="preserve"> </w:t>
            </w:r>
            <w:proofErr w:type="spellStart"/>
            <w:r w:rsidR="00AE01A8" w:rsidRPr="00E16672">
              <w:rPr>
                <w:rFonts w:ascii="Times New Roman" w:hAnsi="Times New Roman"/>
                <w:sz w:val="16"/>
                <w:szCs w:val="16"/>
              </w:rPr>
              <w:t>Depositor</w:t>
            </w:r>
            <w:proofErr w:type="spellEnd"/>
            <w:r w:rsidR="00AE01A8" w:rsidRPr="00E16672">
              <w:rPr>
                <w:rFonts w:ascii="Times New Roman" w:hAnsi="Times New Roman"/>
                <w:sz w:val="16"/>
                <w:szCs w:val="16"/>
              </w:rPr>
              <w:t xml:space="preserve">, </w:t>
            </w:r>
            <w:proofErr w:type="spellStart"/>
            <w:r w:rsidR="00AE01A8" w:rsidRPr="00E16672">
              <w:rPr>
                <w:rFonts w:ascii="Times New Roman" w:hAnsi="Times New Roman"/>
                <w:sz w:val="16"/>
                <w:szCs w:val="16"/>
              </w:rPr>
              <w:t>or</w:t>
            </w:r>
            <w:proofErr w:type="spellEnd"/>
            <w:r w:rsidR="00AE01A8" w:rsidRPr="00E16672">
              <w:rPr>
                <w:rFonts w:ascii="Times New Roman" w:hAnsi="Times New Roman"/>
                <w:sz w:val="16"/>
                <w:szCs w:val="16"/>
              </w:rPr>
              <w:t xml:space="preserve"> </w:t>
            </w:r>
            <w:proofErr w:type="spellStart"/>
            <w:r w:rsidR="00AE01A8" w:rsidRPr="00E16672">
              <w:rPr>
                <w:rFonts w:ascii="Times New Roman" w:hAnsi="Times New Roman"/>
                <w:sz w:val="16"/>
                <w:szCs w:val="16"/>
              </w:rPr>
              <w:t>at</w:t>
            </w:r>
            <w:proofErr w:type="spellEnd"/>
            <w:r w:rsidR="00AE01A8" w:rsidRPr="00E16672">
              <w:rPr>
                <w:rFonts w:ascii="Times New Roman" w:hAnsi="Times New Roman"/>
                <w:sz w:val="16"/>
                <w:szCs w:val="16"/>
              </w:rPr>
              <w:t xml:space="preserve"> </w:t>
            </w:r>
            <w:proofErr w:type="spellStart"/>
            <w:r w:rsidR="00AE01A8" w:rsidRPr="00E16672">
              <w:rPr>
                <w:rFonts w:ascii="Times New Roman" w:hAnsi="Times New Roman"/>
                <w:sz w:val="16"/>
                <w:szCs w:val="16"/>
              </w:rPr>
              <w:t>the</w:t>
            </w:r>
            <w:proofErr w:type="spellEnd"/>
            <w:r w:rsidR="00AE01A8" w:rsidRPr="00E16672">
              <w:rPr>
                <w:rFonts w:ascii="Times New Roman" w:hAnsi="Times New Roman"/>
                <w:sz w:val="16"/>
                <w:szCs w:val="16"/>
              </w:rPr>
              <w:t xml:space="preserve"> </w:t>
            </w:r>
            <w:proofErr w:type="spellStart"/>
            <w:r w:rsidR="00AE01A8" w:rsidRPr="00E16672">
              <w:rPr>
                <w:rFonts w:ascii="Times New Roman" w:hAnsi="Times New Roman"/>
                <w:sz w:val="16"/>
                <w:szCs w:val="16"/>
              </w:rPr>
              <w:t>request</w:t>
            </w:r>
            <w:proofErr w:type="spellEnd"/>
            <w:r w:rsidR="00AE01A8" w:rsidRPr="00E16672">
              <w:rPr>
                <w:rFonts w:ascii="Times New Roman" w:hAnsi="Times New Roman"/>
                <w:sz w:val="16"/>
                <w:szCs w:val="16"/>
              </w:rPr>
              <w:t xml:space="preserve"> </w:t>
            </w:r>
            <w:proofErr w:type="spellStart"/>
            <w:r w:rsidR="00AE01A8" w:rsidRPr="00E16672">
              <w:rPr>
                <w:rFonts w:ascii="Times New Roman" w:hAnsi="Times New Roman"/>
                <w:sz w:val="16"/>
                <w:szCs w:val="16"/>
              </w:rPr>
              <w:t>of</w:t>
            </w:r>
            <w:proofErr w:type="spellEnd"/>
            <w:r w:rsidR="00AE01A8" w:rsidRPr="00E16672">
              <w:rPr>
                <w:rFonts w:ascii="Times New Roman" w:hAnsi="Times New Roman"/>
                <w:sz w:val="16"/>
                <w:szCs w:val="16"/>
              </w:rPr>
              <w:t xml:space="preserve"> </w:t>
            </w:r>
            <w:proofErr w:type="spellStart"/>
            <w:r w:rsidR="00AE01A8" w:rsidRPr="00E16672">
              <w:rPr>
                <w:rFonts w:ascii="Times New Roman" w:hAnsi="Times New Roman"/>
                <w:sz w:val="16"/>
                <w:szCs w:val="16"/>
              </w:rPr>
              <w:t>the</w:t>
            </w:r>
            <w:proofErr w:type="spellEnd"/>
            <w:r w:rsidR="00AE01A8" w:rsidRPr="00E16672">
              <w:rPr>
                <w:rFonts w:ascii="Times New Roman" w:hAnsi="Times New Roman"/>
                <w:sz w:val="16"/>
                <w:szCs w:val="16"/>
              </w:rPr>
              <w:t xml:space="preserve"> </w:t>
            </w:r>
            <w:proofErr w:type="spellStart"/>
            <w:r w:rsidR="00AE01A8" w:rsidRPr="00E16672">
              <w:rPr>
                <w:rFonts w:ascii="Times New Roman" w:hAnsi="Times New Roman"/>
                <w:sz w:val="16"/>
                <w:szCs w:val="16"/>
              </w:rPr>
              <w:t>Depositor</w:t>
            </w:r>
            <w:proofErr w:type="spellEnd"/>
            <w:r w:rsidR="00AE01A8" w:rsidRPr="00E16672">
              <w:rPr>
                <w:rFonts w:ascii="Times New Roman" w:eastAsia="Arial" w:hAnsi="Times New Roman"/>
                <w:color w:val="000000"/>
                <w:sz w:val="16"/>
                <w:szCs w:val="16"/>
                <w:lang w:val="en-US"/>
              </w:rPr>
              <w:t xml:space="preserve"> </w:t>
            </w:r>
            <w:r w:rsidR="009F0B83" w:rsidRPr="00E16672">
              <w:rPr>
                <w:rFonts w:ascii="Times New Roman" w:eastAsia="Arial" w:hAnsi="Times New Roman"/>
                <w:color w:val="000000"/>
                <w:sz w:val="16"/>
                <w:szCs w:val="16"/>
                <w:lang w:val="en-US"/>
              </w:rPr>
              <w:t>no later</w:t>
            </w:r>
            <w:r w:rsidR="009F0B83" w:rsidRPr="00E16672">
              <w:rPr>
                <w:rFonts w:ascii="Times New Roman" w:eastAsia="Arial" w:hAnsi="Times New Roman"/>
                <w:i/>
                <w:color w:val="000000"/>
                <w:sz w:val="16"/>
                <w:szCs w:val="16"/>
                <w:lang w:val="en-US"/>
              </w:rPr>
              <w:t xml:space="preserve"> </w:t>
            </w:r>
            <w:r w:rsidR="009F0B83" w:rsidRPr="00E16672">
              <w:rPr>
                <w:rFonts w:ascii="Times New Roman" w:eastAsia="Arial" w:hAnsi="Times New Roman"/>
                <w:color w:val="000000"/>
                <w:sz w:val="16"/>
                <w:szCs w:val="16"/>
                <w:lang w:val="en-US"/>
              </w:rPr>
              <w:t>the next working day</w:t>
            </w:r>
            <w:r w:rsidR="009F0B83" w:rsidRPr="00E16672">
              <w:rPr>
                <w:rFonts w:ascii="Times New Roman" w:eastAsia="Arial" w:hAnsi="Times New Roman"/>
                <w:color w:val="000000"/>
                <w:sz w:val="16"/>
                <w:szCs w:val="16"/>
              </w:rPr>
              <w:t xml:space="preserve"> </w:t>
            </w:r>
            <w:proofErr w:type="spellStart"/>
            <w:r w:rsidR="009F0B83" w:rsidRPr="00E16672">
              <w:rPr>
                <w:rFonts w:ascii="Times New Roman" w:eastAsia="Arial" w:hAnsi="Times New Roman"/>
                <w:color w:val="000000"/>
                <w:sz w:val="16"/>
                <w:szCs w:val="16"/>
              </w:rPr>
              <w:t>from</w:t>
            </w:r>
            <w:proofErr w:type="spellEnd"/>
            <w:r w:rsidR="009F0B83" w:rsidRPr="00E16672">
              <w:rPr>
                <w:rFonts w:ascii="Times New Roman" w:eastAsia="Arial" w:hAnsi="Times New Roman"/>
                <w:color w:val="000000"/>
                <w:sz w:val="16"/>
                <w:szCs w:val="16"/>
              </w:rPr>
              <w:t xml:space="preserve"> </w:t>
            </w:r>
            <w:proofErr w:type="spellStart"/>
            <w:r w:rsidR="009F0B83" w:rsidRPr="00E16672">
              <w:rPr>
                <w:rFonts w:ascii="Times New Roman" w:eastAsia="Arial" w:hAnsi="Times New Roman"/>
                <w:color w:val="000000"/>
                <w:sz w:val="16"/>
                <w:szCs w:val="16"/>
              </w:rPr>
              <w:t>the</w:t>
            </w:r>
            <w:proofErr w:type="spellEnd"/>
            <w:r w:rsidR="009F0B83" w:rsidRPr="00E16672">
              <w:rPr>
                <w:rFonts w:ascii="Times New Roman" w:eastAsia="Arial" w:hAnsi="Times New Roman"/>
                <w:color w:val="000000"/>
                <w:sz w:val="16"/>
                <w:szCs w:val="16"/>
              </w:rPr>
              <w:t xml:space="preserve"> </w:t>
            </w:r>
            <w:proofErr w:type="spellStart"/>
            <w:r w:rsidR="009F0B83" w:rsidRPr="00E16672">
              <w:rPr>
                <w:rFonts w:ascii="Times New Roman" w:eastAsia="Arial" w:hAnsi="Times New Roman"/>
                <w:color w:val="000000"/>
                <w:sz w:val="16"/>
                <w:szCs w:val="16"/>
              </w:rPr>
              <w:t>date</w:t>
            </w:r>
            <w:proofErr w:type="spellEnd"/>
            <w:r w:rsidR="009F0B83" w:rsidRPr="00E16672">
              <w:rPr>
                <w:rFonts w:ascii="Times New Roman" w:eastAsia="Arial" w:hAnsi="Times New Roman"/>
                <w:color w:val="000000"/>
                <w:sz w:val="16"/>
                <w:szCs w:val="16"/>
              </w:rPr>
              <w:t xml:space="preserve"> </w:t>
            </w:r>
            <w:proofErr w:type="spellStart"/>
            <w:r w:rsidR="009F0B83" w:rsidRPr="00E16672">
              <w:rPr>
                <w:rFonts w:ascii="Times New Roman" w:eastAsia="Arial" w:hAnsi="Times New Roman"/>
                <w:color w:val="000000"/>
                <w:sz w:val="16"/>
                <w:szCs w:val="16"/>
              </w:rPr>
              <w:t>of</w:t>
            </w:r>
            <w:proofErr w:type="spellEnd"/>
            <w:r w:rsidR="009F0B83" w:rsidRPr="00E16672">
              <w:rPr>
                <w:rFonts w:ascii="Times New Roman" w:eastAsia="Arial" w:hAnsi="Times New Roman"/>
                <w:color w:val="000000"/>
                <w:sz w:val="16"/>
                <w:szCs w:val="16"/>
              </w:rPr>
              <w:t xml:space="preserve"> </w:t>
            </w:r>
            <w:proofErr w:type="spellStart"/>
            <w:r w:rsidR="009F0B83" w:rsidRPr="00E16672">
              <w:rPr>
                <w:rFonts w:ascii="Times New Roman" w:eastAsia="Arial" w:hAnsi="Times New Roman"/>
                <w:color w:val="000000"/>
                <w:sz w:val="16"/>
                <w:szCs w:val="16"/>
              </w:rPr>
              <w:t>receipt</w:t>
            </w:r>
            <w:proofErr w:type="spellEnd"/>
            <w:r w:rsidR="009F0B83" w:rsidRPr="00E16672">
              <w:rPr>
                <w:rFonts w:ascii="Times New Roman" w:eastAsia="Arial" w:hAnsi="Times New Roman"/>
                <w:color w:val="000000"/>
                <w:sz w:val="16"/>
                <w:szCs w:val="16"/>
              </w:rPr>
              <w:t xml:space="preserve"> </w:t>
            </w:r>
            <w:proofErr w:type="spellStart"/>
            <w:r w:rsidR="009F0B83" w:rsidRPr="00E16672">
              <w:rPr>
                <w:rFonts w:ascii="Times New Roman" w:eastAsia="Arial" w:hAnsi="Times New Roman"/>
                <w:color w:val="000000"/>
                <w:sz w:val="16"/>
                <w:szCs w:val="16"/>
              </w:rPr>
              <w:t>of</w:t>
            </w:r>
            <w:proofErr w:type="spellEnd"/>
            <w:r w:rsidR="009F0B83" w:rsidRPr="00E16672">
              <w:rPr>
                <w:rFonts w:ascii="Times New Roman" w:eastAsia="Arial" w:hAnsi="Times New Roman"/>
                <w:color w:val="000000"/>
                <w:sz w:val="16"/>
                <w:szCs w:val="16"/>
              </w:rPr>
              <w:t xml:space="preserve"> </w:t>
            </w:r>
            <w:r w:rsidR="009F0B83" w:rsidRPr="00E16672">
              <w:rPr>
                <w:rFonts w:ascii="Times New Roman" w:eastAsia="Arial" w:hAnsi="Times New Roman"/>
                <w:color w:val="000000"/>
                <w:sz w:val="16"/>
                <w:szCs w:val="16"/>
                <w:lang w:val="en-US"/>
              </w:rPr>
              <w:t xml:space="preserve">such order </w:t>
            </w:r>
            <w:r w:rsidR="009F0B83" w:rsidRPr="00E16672">
              <w:rPr>
                <w:rFonts w:ascii="Times New Roman" w:eastAsia="Arial" w:hAnsi="Times New Roman"/>
                <w:color w:val="000000"/>
                <w:sz w:val="16"/>
                <w:szCs w:val="16"/>
              </w:rPr>
              <w:t xml:space="preserve"> </w:t>
            </w:r>
            <w:r w:rsidR="009F0B83" w:rsidRPr="00E16672">
              <w:rPr>
                <w:rFonts w:ascii="Times New Roman" w:eastAsia="Arial" w:hAnsi="Times New Roman"/>
                <w:color w:val="000000"/>
                <w:sz w:val="16"/>
                <w:szCs w:val="16"/>
                <w:lang w:val="en-US"/>
              </w:rPr>
              <w:t>in the manner specified in the order.</w:t>
            </w:r>
          </w:p>
          <w:p w14:paraId="404DE0E6" w14:textId="77777777" w:rsidR="00E51F85" w:rsidRPr="00E16672" w:rsidRDefault="00E51F85" w:rsidP="009F0B83">
            <w:pPr>
              <w:pStyle w:val="23"/>
              <w:ind w:left="175" w:right="138" w:firstLine="0"/>
              <w:rPr>
                <w:rFonts w:ascii="Times New Roman" w:eastAsia="Arial" w:hAnsi="Times New Roman"/>
                <w:color w:val="000000"/>
                <w:sz w:val="16"/>
                <w:szCs w:val="16"/>
              </w:rPr>
            </w:pPr>
            <w:r w:rsidRPr="00E16672">
              <w:rPr>
                <w:rFonts w:ascii="Times New Roman" w:eastAsia="Arial" w:hAnsi="Times New Roman"/>
                <w:color w:val="000000"/>
                <w:sz w:val="16"/>
                <w:szCs w:val="16"/>
                <w:lang w:val="en-US"/>
              </w:rPr>
              <w:t xml:space="preserve">Extract from the securities account </w:t>
            </w:r>
            <w:proofErr w:type="gramStart"/>
            <w:r w:rsidRPr="00E16672">
              <w:rPr>
                <w:rFonts w:ascii="Times New Roman" w:eastAsia="Arial" w:hAnsi="Times New Roman"/>
                <w:color w:val="000000"/>
                <w:sz w:val="16"/>
                <w:szCs w:val="16"/>
                <w:lang w:val="en-US"/>
              </w:rPr>
              <w:t>of  Depositor</w:t>
            </w:r>
            <w:proofErr w:type="gramEnd"/>
            <w:r w:rsidRPr="00E16672">
              <w:rPr>
                <w:rFonts w:ascii="Times New Roman" w:eastAsia="Arial" w:hAnsi="Times New Roman"/>
                <w:color w:val="000000"/>
                <w:sz w:val="16"/>
                <w:szCs w:val="16"/>
                <w:lang w:val="en-US"/>
              </w:rPr>
              <w:t xml:space="preserve"> may be provided as an electronic document using a </w:t>
            </w:r>
            <w:proofErr w:type="spellStart"/>
            <w:r w:rsidR="00AE01A8" w:rsidRPr="00E16672">
              <w:rPr>
                <w:rStyle w:val="shorttext"/>
                <w:rFonts w:ascii="Times New Roman" w:hAnsi="Times New Roman"/>
                <w:sz w:val="16"/>
              </w:rPr>
              <w:t>qualified</w:t>
            </w:r>
            <w:proofErr w:type="spellEnd"/>
            <w:r w:rsidR="00AE01A8" w:rsidRPr="00E16672">
              <w:rPr>
                <w:rFonts w:ascii="Times New Roman" w:eastAsia="Arial" w:hAnsi="Times New Roman"/>
                <w:color w:val="000000"/>
                <w:sz w:val="8"/>
                <w:szCs w:val="16"/>
                <w:lang w:val="en-US"/>
              </w:rPr>
              <w:t xml:space="preserve"> </w:t>
            </w:r>
            <w:proofErr w:type="spellStart"/>
            <w:r w:rsidR="00910781" w:rsidRPr="00E16672">
              <w:rPr>
                <w:rFonts w:ascii="Times New Roman" w:hAnsi="Times New Roman"/>
                <w:color w:val="000000"/>
                <w:spacing w:val="-9"/>
                <w:sz w:val="16"/>
                <w:szCs w:val="16"/>
                <w:shd w:val="clear" w:color="auto" w:fill="FFFFFF"/>
              </w:rPr>
              <w:t>electronic</w:t>
            </w:r>
            <w:proofErr w:type="spellEnd"/>
            <w:r w:rsidR="00910781" w:rsidRPr="00E16672" w:rsidDel="00910781">
              <w:rPr>
                <w:rFonts w:ascii="Times New Roman" w:eastAsia="Arial" w:hAnsi="Times New Roman"/>
                <w:color w:val="000000"/>
                <w:sz w:val="16"/>
                <w:szCs w:val="16"/>
                <w:lang w:val="en-US"/>
              </w:rPr>
              <w:t xml:space="preserve"> </w:t>
            </w:r>
            <w:r w:rsidRPr="00E16672">
              <w:rPr>
                <w:rFonts w:ascii="Times New Roman" w:eastAsia="Arial" w:hAnsi="Times New Roman"/>
                <w:color w:val="000000"/>
                <w:sz w:val="16"/>
                <w:szCs w:val="16"/>
                <w:lang w:val="en-US"/>
              </w:rPr>
              <w:t xml:space="preserve">signature and </w:t>
            </w:r>
            <w:proofErr w:type="spellStart"/>
            <w:r w:rsidRPr="00E16672">
              <w:rPr>
                <w:rFonts w:ascii="Times New Roman" w:hAnsi="Times New Roman"/>
                <w:color w:val="000000"/>
                <w:spacing w:val="-9"/>
                <w:sz w:val="16"/>
                <w:szCs w:val="16"/>
                <w:shd w:val="clear" w:color="auto" w:fill="FFFFFF"/>
              </w:rPr>
              <w:t>with</w:t>
            </w:r>
            <w:proofErr w:type="spellEnd"/>
            <w:r w:rsidRPr="00E16672">
              <w:rPr>
                <w:rFonts w:ascii="Times New Roman" w:hAnsi="Times New Roman"/>
                <w:color w:val="000000"/>
                <w:spacing w:val="-9"/>
                <w:sz w:val="16"/>
                <w:szCs w:val="16"/>
                <w:shd w:val="clear" w:color="auto" w:fill="FFFFFF"/>
              </w:rPr>
              <w:t xml:space="preserve"> </w:t>
            </w:r>
            <w:proofErr w:type="spellStart"/>
            <w:r w:rsidRPr="00E16672">
              <w:rPr>
                <w:rFonts w:ascii="Times New Roman" w:hAnsi="Times New Roman"/>
                <w:color w:val="000000"/>
                <w:spacing w:val="-9"/>
                <w:sz w:val="16"/>
                <w:szCs w:val="16"/>
                <w:shd w:val="clear" w:color="auto" w:fill="FFFFFF"/>
              </w:rPr>
              <w:t>an</w:t>
            </w:r>
            <w:proofErr w:type="spellEnd"/>
            <w:r w:rsidRPr="00E16672">
              <w:rPr>
                <w:rFonts w:ascii="Times New Roman" w:hAnsi="Times New Roman"/>
                <w:color w:val="000000"/>
                <w:spacing w:val="-9"/>
                <w:sz w:val="16"/>
                <w:szCs w:val="16"/>
                <w:shd w:val="clear" w:color="auto" w:fill="FFFFFF"/>
              </w:rPr>
              <w:t xml:space="preserve"> </w:t>
            </w:r>
            <w:proofErr w:type="spellStart"/>
            <w:r w:rsidR="00910781" w:rsidRPr="00E16672">
              <w:rPr>
                <w:rStyle w:val="shorttext"/>
                <w:rFonts w:ascii="Times New Roman" w:hAnsi="Times New Roman"/>
                <w:sz w:val="16"/>
              </w:rPr>
              <w:t>qualified</w:t>
            </w:r>
            <w:proofErr w:type="spellEnd"/>
            <w:r w:rsidR="00910781" w:rsidRPr="00E16672">
              <w:rPr>
                <w:rFonts w:ascii="Times New Roman" w:eastAsia="Arial" w:hAnsi="Times New Roman"/>
                <w:color w:val="000000"/>
                <w:sz w:val="8"/>
                <w:szCs w:val="16"/>
                <w:lang w:val="en-US"/>
              </w:rPr>
              <w:t xml:space="preserve"> </w:t>
            </w:r>
            <w:proofErr w:type="spellStart"/>
            <w:r w:rsidRPr="00E16672">
              <w:rPr>
                <w:rFonts w:ascii="Times New Roman" w:hAnsi="Times New Roman"/>
                <w:color w:val="000000"/>
                <w:spacing w:val="-9"/>
                <w:sz w:val="16"/>
                <w:szCs w:val="16"/>
                <w:shd w:val="clear" w:color="auto" w:fill="FFFFFF"/>
              </w:rPr>
              <w:t>electronic</w:t>
            </w:r>
            <w:proofErr w:type="spellEnd"/>
            <w:r w:rsidRPr="00E16672">
              <w:rPr>
                <w:rFonts w:ascii="Times New Roman" w:hAnsi="Times New Roman"/>
                <w:color w:val="000000"/>
                <w:spacing w:val="-9"/>
                <w:sz w:val="16"/>
                <w:szCs w:val="16"/>
                <w:shd w:val="clear" w:color="auto" w:fill="FFFFFF"/>
              </w:rPr>
              <w:t xml:space="preserve"> </w:t>
            </w:r>
            <w:proofErr w:type="spellStart"/>
            <w:r w:rsidRPr="00E16672">
              <w:rPr>
                <w:rFonts w:ascii="Times New Roman" w:hAnsi="Times New Roman"/>
                <w:color w:val="000000"/>
                <w:spacing w:val="-9"/>
                <w:sz w:val="16"/>
                <w:szCs w:val="16"/>
                <w:shd w:val="clear" w:color="auto" w:fill="FFFFFF"/>
              </w:rPr>
              <w:t>signature</w:t>
            </w:r>
            <w:proofErr w:type="spellEnd"/>
            <w:r w:rsidRPr="00E16672">
              <w:rPr>
                <w:rFonts w:ascii="Times New Roman" w:hAnsi="Times New Roman"/>
                <w:color w:val="000000"/>
                <w:spacing w:val="-9"/>
                <w:sz w:val="16"/>
                <w:szCs w:val="16"/>
                <w:shd w:val="clear" w:color="auto" w:fill="FFFFFF"/>
              </w:rPr>
              <w:t xml:space="preserve">,  </w:t>
            </w:r>
            <w:proofErr w:type="spellStart"/>
            <w:r w:rsidRPr="00E16672">
              <w:rPr>
                <w:rFonts w:ascii="Times New Roman" w:hAnsi="Times New Roman"/>
                <w:color w:val="000000"/>
                <w:spacing w:val="-9"/>
                <w:sz w:val="16"/>
                <w:szCs w:val="16"/>
                <w:shd w:val="clear" w:color="auto" w:fill="FFFFFF"/>
              </w:rPr>
              <w:t>that</w:t>
            </w:r>
            <w:proofErr w:type="spellEnd"/>
            <w:r w:rsidRPr="00E16672">
              <w:rPr>
                <w:rFonts w:ascii="Times New Roman" w:hAnsi="Times New Roman"/>
                <w:color w:val="000000"/>
                <w:spacing w:val="-9"/>
                <w:sz w:val="16"/>
                <w:szCs w:val="16"/>
                <w:shd w:val="clear" w:color="auto" w:fill="FFFFFF"/>
              </w:rPr>
              <w:t xml:space="preserve"> </w:t>
            </w:r>
            <w:proofErr w:type="spellStart"/>
            <w:r w:rsidRPr="00E16672">
              <w:rPr>
                <w:rFonts w:ascii="Times New Roman" w:hAnsi="Times New Roman"/>
                <w:color w:val="000000"/>
                <w:spacing w:val="-9"/>
                <w:sz w:val="16"/>
                <w:szCs w:val="16"/>
                <w:shd w:val="clear" w:color="auto" w:fill="FFFFFF"/>
              </w:rPr>
              <w:t>the</w:t>
            </w:r>
            <w:proofErr w:type="spellEnd"/>
            <w:r w:rsidRPr="00E16672">
              <w:rPr>
                <w:rFonts w:ascii="Times New Roman" w:hAnsi="Times New Roman"/>
                <w:color w:val="000000"/>
                <w:spacing w:val="-9"/>
                <w:sz w:val="16"/>
                <w:szCs w:val="16"/>
                <w:shd w:val="clear" w:color="auto" w:fill="FFFFFF"/>
              </w:rPr>
              <w:t xml:space="preserve"> </w:t>
            </w:r>
            <w:proofErr w:type="spellStart"/>
            <w:r w:rsidRPr="00E16672">
              <w:rPr>
                <w:rFonts w:ascii="Times New Roman" w:hAnsi="Times New Roman"/>
                <w:color w:val="000000"/>
                <w:spacing w:val="-9"/>
                <w:sz w:val="16"/>
                <w:szCs w:val="16"/>
                <w:shd w:val="clear" w:color="auto" w:fill="FFFFFF"/>
              </w:rPr>
              <w:t>legal</w:t>
            </w:r>
            <w:proofErr w:type="spellEnd"/>
            <w:r w:rsidRPr="00E16672">
              <w:rPr>
                <w:rFonts w:ascii="Times New Roman" w:hAnsi="Times New Roman"/>
                <w:color w:val="000000"/>
                <w:spacing w:val="-9"/>
                <w:sz w:val="16"/>
                <w:szCs w:val="16"/>
                <w:shd w:val="clear" w:color="auto" w:fill="FFFFFF"/>
              </w:rPr>
              <w:t xml:space="preserve"> </w:t>
            </w:r>
            <w:proofErr w:type="spellStart"/>
            <w:r w:rsidRPr="00E16672">
              <w:rPr>
                <w:rFonts w:ascii="Times New Roman" w:hAnsi="Times New Roman"/>
                <w:color w:val="000000"/>
                <w:spacing w:val="-9"/>
                <w:sz w:val="16"/>
                <w:szCs w:val="16"/>
                <w:shd w:val="clear" w:color="auto" w:fill="FFFFFF"/>
              </w:rPr>
              <w:t>status</w:t>
            </w:r>
            <w:proofErr w:type="spellEnd"/>
            <w:r w:rsidRPr="00E16672">
              <w:rPr>
                <w:rFonts w:ascii="Times New Roman" w:hAnsi="Times New Roman"/>
                <w:color w:val="000000"/>
                <w:spacing w:val="-9"/>
                <w:sz w:val="16"/>
                <w:szCs w:val="16"/>
                <w:shd w:val="clear" w:color="auto" w:fill="FFFFFF"/>
              </w:rPr>
              <w:t xml:space="preserve"> </w:t>
            </w:r>
            <w:proofErr w:type="spellStart"/>
            <w:r w:rsidRPr="00E16672">
              <w:rPr>
                <w:rFonts w:ascii="Times New Roman" w:hAnsi="Times New Roman"/>
                <w:color w:val="000000"/>
                <w:spacing w:val="-9"/>
                <w:sz w:val="16"/>
                <w:szCs w:val="16"/>
                <w:shd w:val="clear" w:color="auto" w:fill="FFFFFF"/>
              </w:rPr>
              <w:t>equivalent</w:t>
            </w:r>
            <w:proofErr w:type="spellEnd"/>
            <w:r w:rsidRPr="00E16672">
              <w:rPr>
                <w:rFonts w:ascii="Times New Roman" w:hAnsi="Times New Roman"/>
                <w:color w:val="000000"/>
                <w:spacing w:val="-9"/>
                <w:sz w:val="16"/>
                <w:szCs w:val="16"/>
                <w:shd w:val="clear" w:color="auto" w:fill="FFFFFF"/>
              </w:rPr>
              <w:t xml:space="preserve"> </w:t>
            </w:r>
            <w:proofErr w:type="spellStart"/>
            <w:r w:rsidRPr="00E16672">
              <w:rPr>
                <w:rFonts w:ascii="Times New Roman" w:hAnsi="Times New Roman"/>
                <w:color w:val="000000"/>
                <w:spacing w:val="-9"/>
                <w:sz w:val="16"/>
                <w:szCs w:val="16"/>
                <w:shd w:val="clear" w:color="auto" w:fill="FFFFFF"/>
              </w:rPr>
              <w:t>to</w:t>
            </w:r>
            <w:proofErr w:type="spellEnd"/>
            <w:r w:rsidRPr="00E16672">
              <w:rPr>
                <w:rFonts w:ascii="Times New Roman" w:hAnsi="Times New Roman"/>
                <w:color w:val="000000"/>
                <w:spacing w:val="-9"/>
                <w:sz w:val="16"/>
                <w:szCs w:val="16"/>
                <w:shd w:val="clear" w:color="auto" w:fill="FFFFFF"/>
              </w:rPr>
              <w:t xml:space="preserve"> </w:t>
            </w:r>
            <w:proofErr w:type="spellStart"/>
            <w:r w:rsidRPr="00E16672">
              <w:rPr>
                <w:rFonts w:ascii="Times New Roman" w:hAnsi="Times New Roman"/>
                <w:color w:val="000000"/>
                <w:spacing w:val="-9"/>
                <w:sz w:val="16"/>
                <w:szCs w:val="16"/>
                <w:shd w:val="clear" w:color="auto" w:fill="FFFFFF"/>
              </w:rPr>
              <w:t>the</w:t>
            </w:r>
            <w:proofErr w:type="spellEnd"/>
            <w:r w:rsidRPr="00E16672">
              <w:rPr>
                <w:rFonts w:ascii="Times New Roman" w:hAnsi="Times New Roman"/>
                <w:color w:val="000000"/>
                <w:spacing w:val="-9"/>
                <w:sz w:val="16"/>
                <w:szCs w:val="16"/>
                <w:shd w:val="clear" w:color="auto" w:fill="FFFFFF"/>
              </w:rPr>
              <w:t xml:space="preserve"> </w:t>
            </w:r>
            <w:proofErr w:type="spellStart"/>
            <w:r w:rsidRPr="00E16672">
              <w:rPr>
                <w:rFonts w:ascii="Times New Roman" w:hAnsi="Times New Roman"/>
                <w:color w:val="000000"/>
                <w:spacing w:val="-9"/>
                <w:sz w:val="16"/>
                <w:szCs w:val="16"/>
                <w:shd w:val="clear" w:color="auto" w:fill="FFFFFF"/>
              </w:rPr>
              <w:t>seal</w:t>
            </w:r>
            <w:proofErr w:type="spellEnd"/>
            <w:r w:rsidRPr="00E16672">
              <w:rPr>
                <w:rFonts w:ascii="Times New Roman" w:hAnsi="Times New Roman"/>
                <w:color w:val="000000"/>
                <w:spacing w:val="-9"/>
                <w:sz w:val="16"/>
                <w:szCs w:val="16"/>
                <w:shd w:val="clear" w:color="auto" w:fill="FFFFFF"/>
              </w:rPr>
              <w:t xml:space="preserve"> </w:t>
            </w:r>
            <w:proofErr w:type="spellStart"/>
            <w:r w:rsidRPr="00E16672">
              <w:rPr>
                <w:rFonts w:ascii="Times New Roman" w:hAnsi="Times New Roman"/>
                <w:color w:val="000000"/>
                <w:spacing w:val="-9"/>
                <w:sz w:val="16"/>
                <w:szCs w:val="16"/>
                <w:shd w:val="clear" w:color="auto" w:fill="FFFFFF"/>
              </w:rPr>
              <w:t>of</w:t>
            </w:r>
            <w:proofErr w:type="spellEnd"/>
            <w:r w:rsidRPr="00E16672">
              <w:rPr>
                <w:rFonts w:ascii="Times New Roman" w:hAnsi="Times New Roman"/>
                <w:color w:val="000000"/>
                <w:spacing w:val="-9"/>
                <w:sz w:val="16"/>
                <w:szCs w:val="16"/>
                <w:shd w:val="clear" w:color="auto" w:fill="FFFFFF"/>
              </w:rPr>
              <w:t xml:space="preserve"> </w:t>
            </w:r>
            <w:proofErr w:type="spellStart"/>
            <w:r w:rsidRPr="00E16672">
              <w:rPr>
                <w:rFonts w:ascii="Times New Roman" w:hAnsi="Times New Roman"/>
                <w:color w:val="000000"/>
                <w:spacing w:val="-9"/>
                <w:sz w:val="16"/>
                <w:szCs w:val="16"/>
                <w:shd w:val="clear" w:color="auto" w:fill="FFFFFF"/>
              </w:rPr>
              <w:t>the</w:t>
            </w:r>
            <w:proofErr w:type="spellEnd"/>
            <w:r w:rsidRPr="00E16672">
              <w:rPr>
                <w:rFonts w:ascii="Times New Roman" w:hAnsi="Times New Roman"/>
                <w:color w:val="000000"/>
                <w:spacing w:val="-9"/>
                <w:sz w:val="16"/>
                <w:szCs w:val="16"/>
                <w:shd w:val="clear" w:color="auto" w:fill="FFFFFF"/>
              </w:rPr>
              <w:t xml:space="preserve"> </w:t>
            </w:r>
            <w:proofErr w:type="spellStart"/>
            <w:r w:rsidRPr="00E16672">
              <w:rPr>
                <w:rFonts w:ascii="Times New Roman" w:hAnsi="Times New Roman"/>
                <w:color w:val="000000"/>
                <w:spacing w:val="-9"/>
                <w:sz w:val="16"/>
                <w:szCs w:val="16"/>
                <w:shd w:val="clear" w:color="auto" w:fill="FFFFFF"/>
              </w:rPr>
              <w:t>legal</w:t>
            </w:r>
            <w:proofErr w:type="spellEnd"/>
            <w:r w:rsidRPr="00E16672">
              <w:rPr>
                <w:rFonts w:ascii="Times New Roman" w:hAnsi="Times New Roman"/>
                <w:color w:val="000000"/>
                <w:spacing w:val="-9"/>
                <w:sz w:val="16"/>
                <w:szCs w:val="16"/>
                <w:shd w:val="clear" w:color="auto" w:fill="FFFFFF"/>
              </w:rPr>
              <w:t xml:space="preserve"> </w:t>
            </w:r>
            <w:proofErr w:type="spellStart"/>
            <w:r w:rsidRPr="00E16672">
              <w:rPr>
                <w:rFonts w:ascii="Times New Roman" w:hAnsi="Times New Roman"/>
                <w:color w:val="000000"/>
                <w:spacing w:val="-9"/>
                <w:sz w:val="16"/>
                <w:szCs w:val="16"/>
                <w:shd w:val="clear" w:color="auto" w:fill="FFFFFF"/>
              </w:rPr>
              <w:t>entity</w:t>
            </w:r>
            <w:proofErr w:type="spellEnd"/>
            <w:r w:rsidR="00910781" w:rsidRPr="00E16672">
              <w:rPr>
                <w:rFonts w:ascii="Times New Roman" w:hAnsi="Times New Roman"/>
                <w:color w:val="000000"/>
                <w:spacing w:val="-9"/>
                <w:sz w:val="16"/>
                <w:szCs w:val="16"/>
                <w:shd w:val="clear" w:color="auto" w:fill="FFFFFF"/>
              </w:rPr>
              <w:t xml:space="preserve"> (</w:t>
            </w:r>
            <w:r w:rsidR="00910781" w:rsidRPr="00E16672">
              <w:rPr>
                <w:rFonts w:ascii="Times New Roman" w:hAnsi="Times New Roman"/>
                <w:color w:val="000000"/>
                <w:spacing w:val="-9"/>
                <w:sz w:val="16"/>
                <w:szCs w:val="16"/>
                <w:shd w:val="clear" w:color="auto" w:fill="FFFFFF"/>
                <w:lang w:val="en-US"/>
              </w:rPr>
              <w:t>in case of use</w:t>
            </w:r>
            <w:r w:rsidR="00910781" w:rsidRPr="00E16672">
              <w:rPr>
                <w:rFonts w:ascii="Times New Roman" w:hAnsi="Times New Roman"/>
                <w:color w:val="000000"/>
                <w:spacing w:val="-9"/>
                <w:sz w:val="16"/>
                <w:szCs w:val="16"/>
                <w:shd w:val="clear" w:color="auto" w:fill="FFFFFF"/>
              </w:rPr>
              <w:t>)</w:t>
            </w:r>
            <w:r w:rsidRPr="00E16672">
              <w:rPr>
                <w:rFonts w:ascii="Times New Roman" w:eastAsia="Arial" w:hAnsi="Times New Roman"/>
                <w:color w:val="000000"/>
                <w:sz w:val="16"/>
                <w:szCs w:val="16"/>
                <w:lang w:val="en-US"/>
              </w:rPr>
              <w:t>.</w:t>
            </w:r>
            <w:r w:rsidRPr="00E16672">
              <w:rPr>
                <w:rFonts w:ascii="Times New Roman" w:eastAsia="Arial" w:hAnsi="Times New Roman"/>
                <w:color w:val="000000"/>
                <w:sz w:val="16"/>
                <w:szCs w:val="16"/>
              </w:rPr>
              <w:t xml:space="preserve"> </w:t>
            </w:r>
          </w:p>
          <w:p w14:paraId="06B99B85" w14:textId="77777777" w:rsidR="00E00EC0" w:rsidRPr="00E16672" w:rsidRDefault="00E00EC0" w:rsidP="009F0B83">
            <w:pPr>
              <w:pStyle w:val="23"/>
              <w:ind w:left="175" w:right="138" w:firstLine="0"/>
              <w:rPr>
                <w:rFonts w:ascii="Times New Roman" w:eastAsia="Arial" w:hAnsi="Times New Roman"/>
                <w:color w:val="000000"/>
                <w:sz w:val="16"/>
                <w:szCs w:val="16"/>
              </w:rPr>
            </w:pPr>
            <w:r w:rsidRPr="00E16672">
              <w:rPr>
                <w:rFonts w:ascii="Times New Roman" w:eastAsia="Arial" w:hAnsi="Times New Roman"/>
                <w:color w:val="000000"/>
                <w:spacing w:val="-9"/>
                <w:sz w:val="16"/>
                <w:szCs w:val="16"/>
                <w:lang w:val="en-US"/>
              </w:rPr>
              <w:t>As the report provide the Depositor with extract of account in securities or extract of securities operations after the at least one accounting operation within three business days from the date of such operation.</w:t>
            </w:r>
          </w:p>
          <w:p w14:paraId="198FE721" w14:textId="77777777" w:rsidR="00E00EC0" w:rsidRPr="00E16672" w:rsidRDefault="00E00EC0" w:rsidP="009F0B83">
            <w:pPr>
              <w:pStyle w:val="23"/>
              <w:ind w:left="175" w:right="138" w:firstLine="0"/>
              <w:rPr>
                <w:rFonts w:ascii="Times New Roman" w:eastAsia="Arial" w:hAnsi="Times New Roman"/>
                <w:color w:val="000000"/>
                <w:sz w:val="16"/>
                <w:szCs w:val="16"/>
              </w:rPr>
            </w:pPr>
          </w:p>
        </w:tc>
      </w:tr>
      <w:tr w:rsidR="00E51F85" w:rsidRPr="00F23413" w14:paraId="75E53E01" w14:textId="77777777" w:rsidTr="00D77858">
        <w:tblPrEx>
          <w:tblCellMar>
            <w:left w:w="0" w:type="dxa"/>
            <w:right w:w="0" w:type="dxa"/>
          </w:tblCellMar>
        </w:tblPrEx>
        <w:trPr>
          <w:trHeight w:val="192"/>
        </w:trPr>
        <w:tc>
          <w:tcPr>
            <w:tcW w:w="5696" w:type="dxa"/>
            <w:gridSpan w:val="6"/>
            <w:shd w:val="clear" w:color="auto" w:fill="auto"/>
          </w:tcPr>
          <w:p w14:paraId="39981F5E" w14:textId="77777777" w:rsidR="00E51F85" w:rsidRPr="00E16672" w:rsidRDefault="00E51F85" w:rsidP="00547A75">
            <w:pPr>
              <w:pStyle w:val="210"/>
              <w:snapToGrid w:val="0"/>
              <w:ind w:left="182" w:right="138" w:firstLine="0"/>
              <w:rPr>
                <w:rFonts w:ascii="Times New Roman" w:hAnsi="Times New Roman"/>
                <w:color w:val="000000"/>
                <w:sz w:val="16"/>
                <w:szCs w:val="16"/>
              </w:rPr>
            </w:pPr>
            <w:r w:rsidRPr="00E16672">
              <w:rPr>
                <w:rFonts w:ascii="Times New Roman" w:hAnsi="Times New Roman"/>
                <w:color w:val="000000"/>
                <w:sz w:val="16"/>
                <w:szCs w:val="16"/>
              </w:rPr>
              <w:t>2.1.7. Надавати Депоненту інформаційні довідки про незавершені операції з цінними паперами за рахунком в цінних паперах Депонента</w:t>
            </w:r>
            <w:r w:rsidR="00A567FA" w:rsidRPr="00E16672">
              <w:rPr>
                <w:rFonts w:ascii="Times New Roman" w:hAnsi="Times New Roman"/>
                <w:color w:val="000000"/>
                <w:sz w:val="16"/>
                <w:szCs w:val="20"/>
              </w:rPr>
              <w:t>, інші інформаційні довідки згідно вимог законодавства та внутрішніх документів Депозитарної установи,</w:t>
            </w:r>
            <w:r w:rsidRPr="00E16672">
              <w:rPr>
                <w:rFonts w:ascii="Times New Roman" w:hAnsi="Times New Roman"/>
                <w:color w:val="000000"/>
                <w:sz w:val="12"/>
                <w:szCs w:val="16"/>
              </w:rPr>
              <w:t xml:space="preserve"> </w:t>
            </w:r>
            <w:r w:rsidRPr="00E16672">
              <w:rPr>
                <w:rFonts w:ascii="Times New Roman" w:hAnsi="Times New Roman"/>
                <w:color w:val="000000"/>
                <w:sz w:val="16"/>
                <w:szCs w:val="16"/>
              </w:rPr>
              <w:t xml:space="preserve">на запит Депонента не пізніше </w:t>
            </w:r>
            <w:r w:rsidRPr="00E16672">
              <w:rPr>
                <w:rFonts w:ascii="Times New Roman" w:hAnsi="Times New Roman"/>
                <w:i/>
                <w:color w:val="000000"/>
                <w:sz w:val="16"/>
                <w:szCs w:val="16"/>
              </w:rPr>
              <w:t xml:space="preserve">трьох </w:t>
            </w:r>
            <w:r w:rsidRPr="00E16672">
              <w:rPr>
                <w:rFonts w:ascii="Times New Roman" w:hAnsi="Times New Roman"/>
                <w:color w:val="000000"/>
                <w:sz w:val="16"/>
                <w:szCs w:val="16"/>
              </w:rPr>
              <w:t xml:space="preserve">робочих днів з дня отримання </w:t>
            </w:r>
            <w:r w:rsidR="008B4DD5" w:rsidRPr="00E16672">
              <w:rPr>
                <w:rFonts w:ascii="Times New Roman" w:hAnsi="Times New Roman"/>
                <w:color w:val="000000"/>
                <w:sz w:val="16"/>
                <w:szCs w:val="16"/>
              </w:rPr>
              <w:t xml:space="preserve">відповідного </w:t>
            </w:r>
            <w:r w:rsidRPr="00E16672">
              <w:rPr>
                <w:rFonts w:ascii="Times New Roman" w:hAnsi="Times New Roman"/>
                <w:color w:val="000000"/>
                <w:sz w:val="16"/>
                <w:szCs w:val="16"/>
              </w:rPr>
              <w:t>запиту</w:t>
            </w:r>
            <w:r w:rsidR="008B4DD5" w:rsidRPr="00E16672">
              <w:rPr>
                <w:rFonts w:ascii="Times New Roman" w:hAnsi="Times New Roman"/>
                <w:color w:val="000000"/>
                <w:sz w:val="16"/>
                <w:szCs w:val="16"/>
              </w:rPr>
              <w:t xml:space="preserve"> (розпорядження)</w:t>
            </w:r>
            <w:r w:rsidRPr="00E16672">
              <w:rPr>
                <w:rFonts w:ascii="Times New Roman" w:hAnsi="Times New Roman"/>
                <w:color w:val="000000"/>
                <w:sz w:val="16"/>
                <w:szCs w:val="16"/>
              </w:rPr>
              <w:t xml:space="preserve">. </w:t>
            </w:r>
            <w:r w:rsidRPr="00E16672">
              <w:rPr>
                <w:rFonts w:ascii="Times New Roman" w:hAnsi="Times New Roman"/>
                <w:color w:val="000000"/>
                <w:spacing w:val="-9"/>
                <w:sz w:val="16"/>
                <w:szCs w:val="16"/>
              </w:rPr>
              <w:t>Інформаційна довідка надається Депоненту у спосіб</w:t>
            </w:r>
            <w:r w:rsidRPr="00E16672">
              <w:rPr>
                <w:rFonts w:ascii="Times New Roman" w:hAnsi="Times New Roman"/>
                <w:color w:val="000000"/>
                <w:sz w:val="16"/>
                <w:szCs w:val="16"/>
              </w:rPr>
              <w:t>, визначений у запиті</w:t>
            </w:r>
            <w:r w:rsidR="008B4DD5" w:rsidRPr="00E16672">
              <w:rPr>
                <w:rFonts w:ascii="Times New Roman" w:hAnsi="Times New Roman"/>
                <w:color w:val="000000"/>
                <w:sz w:val="16"/>
                <w:szCs w:val="16"/>
              </w:rPr>
              <w:t xml:space="preserve">  (розпорядженні) </w:t>
            </w:r>
            <w:r w:rsidRPr="00E16672">
              <w:rPr>
                <w:rFonts w:ascii="Times New Roman" w:hAnsi="Times New Roman"/>
                <w:color w:val="000000"/>
                <w:sz w:val="16"/>
                <w:szCs w:val="16"/>
              </w:rPr>
              <w:t xml:space="preserve"> про надання відповідної інформаційної довідки. </w:t>
            </w:r>
          </w:p>
          <w:p w14:paraId="1BF81D69" w14:textId="77777777" w:rsidR="00A71E25" w:rsidRPr="00E16672" w:rsidRDefault="00A71E25" w:rsidP="00547A75">
            <w:pPr>
              <w:pStyle w:val="210"/>
              <w:snapToGrid w:val="0"/>
              <w:ind w:left="182" w:right="138" w:firstLine="0"/>
              <w:rPr>
                <w:rFonts w:ascii="Times New Roman" w:hAnsi="Times New Roman"/>
                <w:color w:val="000000"/>
                <w:sz w:val="16"/>
                <w:szCs w:val="16"/>
              </w:rPr>
            </w:pPr>
          </w:p>
        </w:tc>
        <w:tc>
          <w:tcPr>
            <w:tcW w:w="5494" w:type="dxa"/>
            <w:gridSpan w:val="7"/>
            <w:shd w:val="clear" w:color="auto" w:fill="auto"/>
          </w:tcPr>
          <w:p w14:paraId="188D0AD5" w14:textId="77777777" w:rsidR="00E51F85" w:rsidRPr="00E16672" w:rsidRDefault="00E51F85" w:rsidP="00200366">
            <w:pPr>
              <w:pStyle w:val="210"/>
              <w:snapToGrid w:val="0"/>
              <w:ind w:left="142" w:right="100" w:firstLine="0"/>
              <w:rPr>
                <w:rFonts w:ascii="Times New Roman" w:hAnsi="Times New Roman"/>
                <w:color w:val="000000"/>
                <w:sz w:val="16"/>
                <w:szCs w:val="16"/>
              </w:rPr>
            </w:pPr>
            <w:r w:rsidRPr="00E16672">
              <w:rPr>
                <w:rFonts w:ascii="Times New Roman" w:hAnsi="Times New Roman"/>
                <w:color w:val="000000"/>
                <w:sz w:val="16"/>
                <w:szCs w:val="16"/>
              </w:rPr>
              <w:t xml:space="preserve">2.1.7. </w:t>
            </w:r>
            <w:proofErr w:type="spellStart"/>
            <w:r w:rsidRPr="00E16672">
              <w:rPr>
                <w:rFonts w:ascii="Times New Roman" w:hAnsi="Times New Roman"/>
                <w:color w:val="000000"/>
                <w:sz w:val="16"/>
                <w:szCs w:val="16"/>
              </w:rPr>
              <w:t>To</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provide</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Depositor</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with</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information</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sheet</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about</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the</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unfinished</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transactions</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in</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securities</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on</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the</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Depositor’s</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account</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in</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securities</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at</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the</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request</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of</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the</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Depositor</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i/>
                <w:color w:val="000000"/>
                <w:sz w:val="16"/>
                <w:szCs w:val="16"/>
              </w:rPr>
              <w:t>no</w:t>
            </w:r>
            <w:proofErr w:type="spellEnd"/>
            <w:r w:rsidRPr="00E16672">
              <w:rPr>
                <w:rFonts w:ascii="Times New Roman" w:hAnsi="Times New Roman"/>
                <w:i/>
                <w:color w:val="000000"/>
                <w:sz w:val="16"/>
                <w:szCs w:val="16"/>
              </w:rPr>
              <w:t xml:space="preserve"> </w:t>
            </w:r>
            <w:proofErr w:type="spellStart"/>
            <w:r w:rsidRPr="00E16672">
              <w:rPr>
                <w:rFonts w:ascii="Times New Roman" w:hAnsi="Times New Roman"/>
                <w:i/>
                <w:color w:val="000000"/>
                <w:sz w:val="16"/>
                <w:szCs w:val="16"/>
              </w:rPr>
              <w:t>later</w:t>
            </w:r>
            <w:proofErr w:type="spellEnd"/>
            <w:r w:rsidRPr="00E16672">
              <w:rPr>
                <w:rFonts w:ascii="Times New Roman" w:hAnsi="Times New Roman"/>
                <w:i/>
                <w:color w:val="000000"/>
                <w:sz w:val="16"/>
                <w:szCs w:val="16"/>
              </w:rPr>
              <w:t xml:space="preserve"> </w:t>
            </w:r>
            <w:proofErr w:type="spellStart"/>
            <w:r w:rsidRPr="00E16672">
              <w:rPr>
                <w:rFonts w:ascii="Times New Roman" w:hAnsi="Times New Roman"/>
                <w:i/>
                <w:color w:val="000000"/>
                <w:sz w:val="16"/>
                <w:szCs w:val="16"/>
              </w:rPr>
              <w:t>than</w:t>
            </w:r>
            <w:proofErr w:type="spellEnd"/>
            <w:r w:rsidRPr="00E16672">
              <w:rPr>
                <w:rFonts w:ascii="Times New Roman" w:hAnsi="Times New Roman"/>
                <w:i/>
                <w:color w:val="000000"/>
                <w:sz w:val="16"/>
                <w:szCs w:val="16"/>
              </w:rPr>
              <w:t xml:space="preserve"> </w:t>
            </w:r>
            <w:proofErr w:type="spellStart"/>
            <w:r w:rsidRPr="00E16672">
              <w:rPr>
                <w:rFonts w:ascii="Times New Roman" w:hAnsi="Times New Roman"/>
                <w:i/>
                <w:color w:val="000000"/>
                <w:sz w:val="16"/>
                <w:szCs w:val="16"/>
              </w:rPr>
              <w:t>three</w:t>
            </w:r>
            <w:proofErr w:type="spellEnd"/>
            <w:r w:rsidRPr="00E16672">
              <w:rPr>
                <w:rFonts w:ascii="Times New Roman" w:hAnsi="Times New Roman"/>
                <w:i/>
                <w:color w:val="000000"/>
                <w:sz w:val="16"/>
                <w:szCs w:val="16"/>
              </w:rPr>
              <w:t xml:space="preserve"> </w:t>
            </w:r>
            <w:proofErr w:type="spellStart"/>
            <w:r w:rsidRPr="00E16672">
              <w:rPr>
                <w:rFonts w:ascii="Times New Roman" w:hAnsi="Times New Roman"/>
                <w:i/>
                <w:color w:val="000000"/>
                <w:sz w:val="16"/>
                <w:szCs w:val="16"/>
              </w:rPr>
              <w:t>working</w:t>
            </w:r>
            <w:proofErr w:type="spellEnd"/>
            <w:r w:rsidRPr="00E16672">
              <w:rPr>
                <w:rFonts w:ascii="Times New Roman" w:hAnsi="Times New Roman"/>
                <w:i/>
                <w:color w:val="000000"/>
                <w:sz w:val="16"/>
                <w:szCs w:val="16"/>
              </w:rPr>
              <w:t xml:space="preserve"> </w:t>
            </w:r>
            <w:proofErr w:type="spellStart"/>
            <w:r w:rsidRPr="00E16672">
              <w:rPr>
                <w:rFonts w:ascii="Times New Roman" w:hAnsi="Times New Roman"/>
                <w:i/>
                <w:color w:val="000000"/>
                <w:sz w:val="16"/>
                <w:szCs w:val="16"/>
              </w:rPr>
              <w:t>days</w:t>
            </w:r>
            <w:proofErr w:type="spellEnd"/>
            <w:r w:rsidRPr="00E16672">
              <w:rPr>
                <w:rFonts w:ascii="Times New Roman" w:hAnsi="Times New Roman"/>
                <w:i/>
                <w:color w:val="000000"/>
                <w:sz w:val="16"/>
                <w:szCs w:val="16"/>
              </w:rPr>
              <w:t xml:space="preserve"> </w:t>
            </w:r>
            <w:proofErr w:type="spellStart"/>
            <w:r w:rsidRPr="00E16672">
              <w:rPr>
                <w:rFonts w:ascii="Times New Roman" w:eastAsia="Arial" w:hAnsi="Times New Roman"/>
                <w:color w:val="000000"/>
                <w:spacing w:val="-9"/>
                <w:sz w:val="16"/>
                <w:szCs w:val="16"/>
              </w:rPr>
              <w:t>after</w:t>
            </w:r>
            <w:proofErr w:type="spellEnd"/>
            <w:r w:rsidRPr="00E16672">
              <w:rPr>
                <w:rFonts w:ascii="Times New Roman" w:eastAsia="Arial" w:hAnsi="Times New Roman"/>
                <w:color w:val="000000"/>
                <w:spacing w:val="-9"/>
                <w:sz w:val="16"/>
                <w:szCs w:val="16"/>
              </w:rPr>
              <w:t xml:space="preserve"> </w:t>
            </w:r>
            <w:proofErr w:type="spellStart"/>
            <w:r w:rsidRPr="00E16672">
              <w:rPr>
                <w:rFonts w:ascii="Times New Roman" w:eastAsia="Arial" w:hAnsi="Times New Roman"/>
                <w:color w:val="000000"/>
                <w:spacing w:val="-9"/>
                <w:sz w:val="16"/>
                <w:szCs w:val="16"/>
              </w:rPr>
              <w:t>receipt</w:t>
            </w:r>
            <w:proofErr w:type="spellEnd"/>
            <w:r w:rsidRPr="00E16672">
              <w:rPr>
                <w:rFonts w:ascii="Times New Roman" w:eastAsia="Arial" w:hAnsi="Times New Roman"/>
                <w:color w:val="000000"/>
                <w:spacing w:val="-9"/>
                <w:sz w:val="16"/>
                <w:szCs w:val="16"/>
              </w:rPr>
              <w:t xml:space="preserve"> </w:t>
            </w:r>
            <w:proofErr w:type="spellStart"/>
            <w:r w:rsidRPr="00E16672">
              <w:rPr>
                <w:rFonts w:ascii="Times New Roman" w:eastAsia="Arial" w:hAnsi="Times New Roman"/>
                <w:color w:val="000000"/>
                <w:spacing w:val="-9"/>
                <w:sz w:val="16"/>
                <w:szCs w:val="16"/>
              </w:rPr>
              <w:t>of</w:t>
            </w:r>
            <w:proofErr w:type="spellEnd"/>
            <w:r w:rsidRPr="00E16672">
              <w:rPr>
                <w:rFonts w:ascii="Times New Roman" w:eastAsia="Arial" w:hAnsi="Times New Roman"/>
                <w:color w:val="000000"/>
                <w:spacing w:val="-9"/>
                <w:sz w:val="16"/>
                <w:szCs w:val="16"/>
              </w:rPr>
              <w:t xml:space="preserve"> </w:t>
            </w:r>
            <w:proofErr w:type="spellStart"/>
            <w:r w:rsidRPr="00E16672">
              <w:rPr>
                <w:rFonts w:ascii="Times New Roman" w:eastAsia="Arial" w:hAnsi="Times New Roman"/>
                <w:color w:val="000000"/>
                <w:spacing w:val="-9"/>
                <w:sz w:val="16"/>
                <w:szCs w:val="16"/>
              </w:rPr>
              <w:t>such</w:t>
            </w:r>
            <w:proofErr w:type="spellEnd"/>
            <w:r w:rsidRPr="00E16672">
              <w:rPr>
                <w:rFonts w:ascii="Times New Roman" w:eastAsia="Arial" w:hAnsi="Times New Roman"/>
                <w:color w:val="000000"/>
                <w:spacing w:val="-9"/>
                <w:sz w:val="16"/>
                <w:szCs w:val="16"/>
              </w:rPr>
              <w:t xml:space="preserve"> </w:t>
            </w:r>
            <w:proofErr w:type="spellStart"/>
            <w:r w:rsidRPr="00E16672">
              <w:rPr>
                <w:rFonts w:ascii="Times New Roman" w:eastAsia="Arial" w:hAnsi="Times New Roman"/>
                <w:color w:val="000000"/>
                <w:spacing w:val="-9"/>
                <w:sz w:val="16"/>
                <w:szCs w:val="16"/>
              </w:rPr>
              <w:t>request</w:t>
            </w:r>
            <w:proofErr w:type="spellEnd"/>
            <w:r w:rsidR="008B4DD5" w:rsidRPr="00E16672">
              <w:rPr>
                <w:rFonts w:ascii="Times New Roman" w:eastAsia="Arial" w:hAnsi="Times New Roman"/>
                <w:color w:val="000000"/>
                <w:spacing w:val="-9"/>
                <w:sz w:val="16"/>
                <w:szCs w:val="16"/>
              </w:rPr>
              <w:t xml:space="preserve"> </w:t>
            </w:r>
            <w:r w:rsidR="008B4DD5" w:rsidRPr="00E16672">
              <w:rPr>
                <w:rStyle w:val="shorttext"/>
                <w:rFonts w:ascii="Times New Roman" w:hAnsi="Times New Roman"/>
                <w:sz w:val="16"/>
              </w:rPr>
              <w:t>(</w:t>
            </w:r>
            <w:proofErr w:type="spellStart"/>
            <w:r w:rsidR="008B4DD5" w:rsidRPr="00E16672">
              <w:rPr>
                <w:rStyle w:val="shorttext"/>
                <w:rFonts w:ascii="Times New Roman" w:hAnsi="Times New Roman"/>
                <w:sz w:val="16"/>
              </w:rPr>
              <w:t>order</w:t>
            </w:r>
            <w:proofErr w:type="spellEnd"/>
            <w:r w:rsidR="008B4DD5" w:rsidRPr="00E16672">
              <w:rPr>
                <w:rStyle w:val="shorttext"/>
                <w:rFonts w:ascii="Times New Roman" w:hAnsi="Times New Roman"/>
                <w:sz w:val="16"/>
              </w:rPr>
              <w:t>)</w:t>
            </w:r>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Information</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sheet</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is</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provided</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to</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Depositor</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in</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the</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manner</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specified</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in</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the</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request</w:t>
            </w:r>
            <w:proofErr w:type="spellEnd"/>
            <w:r w:rsidR="008B4DD5" w:rsidRPr="00E16672">
              <w:rPr>
                <w:rFonts w:ascii="Times New Roman" w:hAnsi="Times New Roman"/>
                <w:color w:val="000000"/>
                <w:sz w:val="16"/>
                <w:szCs w:val="16"/>
              </w:rPr>
              <w:t xml:space="preserve"> </w:t>
            </w:r>
            <w:r w:rsidR="008B4DD5" w:rsidRPr="00E16672">
              <w:rPr>
                <w:rStyle w:val="shorttext"/>
                <w:rFonts w:ascii="Times New Roman" w:hAnsi="Times New Roman"/>
                <w:sz w:val="16"/>
              </w:rPr>
              <w:t>(</w:t>
            </w:r>
            <w:proofErr w:type="spellStart"/>
            <w:r w:rsidR="008B4DD5" w:rsidRPr="00E16672">
              <w:rPr>
                <w:rStyle w:val="shorttext"/>
                <w:rFonts w:ascii="Times New Roman" w:hAnsi="Times New Roman"/>
                <w:sz w:val="16"/>
              </w:rPr>
              <w:t>order</w:t>
            </w:r>
            <w:proofErr w:type="spellEnd"/>
            <w:r w:rsidR="008B4DD5" w:rsidRPr="00E16672">
              <w:rPr>
                <w:rStyle w:val="shorttext"/>
                <w:rFonts w:ascii="Times New Roman" w:hAnsi="Times New Roman"/>
                <w:sz w:val="16"/>
              </w:rPr>
              <w:t>)</w:t>
            </w:r>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for</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relevant</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information</w:t>
            </w:r>
            <w:proofErr w:type="spellEnd"/>
            <w:r w:rsidRPr="00E16672">
              <w:rPr>
                <w:rFonts w:ascii="Times New Roman" w:hAnsi="Times New Roman"/>
                <w:color w:val="000000"/>
                <w:sz w:val="16"/>
                <w:szCs w:val="16"/>
              </w:rPr>
              <w:t>.</w:t>
            </w:r>
          </w:p>
        </w:tc>
      </w:tr>
      <w:tr w:rsidR="00E00EC0" w:rsidRPr="00F23413" w14:paraId="3299466A" w14:textId="77777777" w:rsidTr="00D77858">
        <w:tblPrEx>
          <w:tblCellMar>
            <w:left w:w="0" w:type="dxa"/>
            <w:right w:w="0" w:type="dxa"/>
          </w:tblCellMar>
        </w:tblPrEx>
        <w:trPr>
          <w:trHeight w:val="192"/>
        </w:trPr>
        <w:tc>
          <w:tcPr>
            <w:tcW w:w="5696" w:type="dxa"/>
            <w:gridSpan w:val="6"/>
            <w:shd w:val="clear" w:color="auto" w:fill="auto"/>
          </w:tcPr>
          <w:p w14:paraId="7688A824" w14:textId="77777777" w:rsidR="00E00EC0" w:rsidRPr="00E16672" w:rsidRDefault="00E00EC0" w:rsidP="00547A75">
            <w:pPr>
              <w:pStyle w:val="23"/>
              <w:tabs>
                <w:tab w:val="left" w:pos="576"/>
                <w:tab w:val="left" w:pos="588"/>
              </w:tabs>
              <w:ind w:left="182" w:right="138" w:firstLine="0"/>
              <w:rPr>
                <w:rFonts w:ascii="Times New Roman" w:hAnsi="Times New Roman"/>
                <w:color w:val="000000"/>
                <w:sz w:val="16"/>
                <w:szCs w:val="16"/>
              </w:rPr>
            </w:pPr>
            <w:r w:rsidRPr="00E16672">
              <w:rPr>
                <w:rFonts w:ascii="Times New Roman" w:hAnsi="Times New Roman"/>
                <w:color w:val="000000"/>
                <w:sz w:val="16"/>
                <w:szCs w:val="16"/>
              </w:rPr>
              <w:t xml:space="preserve">2.1.8. </w:t>
            </w:r>
            <w:r w:rsidRPr="00E16672">
              <w:rPr>
                <w:rFonts w:ascii="Times New Roman" w:hAnsi="Times New Roman"/>
                <w:sz w:val="16"/>
                <w:szCs w:val="16"/>
              </w:rPr>
              <w:t xml:space="preserve">Повідомляти Депонента про проведення коригувальної операції у разі виявлення технічної помилки, допущеної при виконанні депозитарної операції, протягом </w:t>
            </w:r>
            <w:r w:rsidRPr="00E16672">
              <w:rPr>
                <w:rFonts w:ascii="Times New Roman" w:hAnsi="Times New Roman"/>
                <w:i/>
                <w:iCs/>
                <w:sz w:val="16"/>
                <w:szCs w:val="16"/>
              </w:rPr>
              <w:t xml:space="preserve">трьох </w:t>
            </w:r>
            <w:r w:rsidRPr="00E16672">
              <w:rPr>
                <w:rFonts w:ascii="Times New Roman" w:hAnsi="Times New Roman"/>
                <w:sz w:val="16"/>
                <w:szCs w:val="16"/>
              </w:rPr>
              <w:t xml:space="preserve">робочих днів </w:t>
            </w:r>
            <w:r w:rsidRPr="00E16672">
              <w:rPr>
                <w:rFonts w:ascii="Times New Roman" w:hAnsi="Times New Roman"/>
                <w:color w:val="000000"/>
                <w:sz w:val="16"/>
                <w:szCs w:val="16"/>
              </w:rPr>
              <w:t>з дня проведення коригувальної операції шляхом направлення листа із відповідним повідомленням в адресу Депонента, визначену в анкеті рахунку в цінних паперах Депонента</w:t>
            </w:r>
            <w:r w:rsidR="00A71E25" w:rsidRPr="00E16672">
              <w:rPr>
                <w:rFonts w:ascii="Times New Roman" w:hAnsi="Times New Roman"/>
                <w:color w:val="000000"/>
                <w:sz w:val="16"/>
                <w:szCs w:val="16"/>
              </w:rPr>
              <w:t>.</w:t>
            </w:r>
          </w:p>
          <w:p w14:paraId="73A76FFA" w14:textId="77777777" w:rsidR="00A71E25" w:rsidRPr="00E16672" w:rsidRDefault="00A71E25" w:rsidP="00547A75">
            <w:pPr>
              <w:pStyle w:val="23"/>
              <w:tabs>
                <w:tab w:val="left" w:pos="576"/>
                <w:tab w:val="left" w:pos="588"/>
              </w:tabs>
              <w:ind w:left="182" w:right="138" w:firstLine="0"/>
              <w:rPr>
                <w:rFonts w:ascii="Times New Roman" w:hAnsi="Times New Roman"/>
                <w:color w:val="000000"/>
                <w:spacing w:val="-9"/>
                <w:sz w:val="16"/>
                <w:szCs w:val="16"/>
                <w:shd w:val="clear" w:color="auto" w:fill="FFFFFF"/>
              </w:rPr>
            </w:pPr>
          </w:p>
        </w:tc>
        <w:tc>
          <w:tcPr>
            <w:tcW w:w="5494" w:type="dxa"/>
            <w:gridSpan w:val="7"/>
            <w:shd w:val="clear" w:color="auto" w:fill="auto"/>
          </w:tcPr>
          <w:p w14:paraId="797FB03E" w14:textId="77777777" w:rsidR="00E00EC0" w:rsidRPr="00E16672" w:rsidRDefault="00E00EC0" w:rsidP="00200366">
            <w:pPr>
              <w:pStyle w:val="210"/>
              <w:snapToGrid w:val="0"/>
              <w:ind w:left="142" w:right="100" w:firstLine="0"/>
              <w:rPr>
                <w:rFonts w:ascii="Times New Roman" w:hAnsi="Times New Roman"/>
                <w:color w:val="000000"/>
                <w:sz w:val="16"/>
                <w:szCs w:val="16"/>
              </w:rPr>
            </w:pPr>
            <w:r w:rsidRPr="00E16672">
              <w:rPr>
                <w:rFonts w:ascii="Times New Roman" w:hAnsi="Times New Roman"/>
                <w:color w:val="000000"/>
                <w:sz w:val="16"/>
                <w:szCs w:val="16"/>
              </w:rPr>
              <w:t>2.1.</w:t>
            </w:r>
            <w:r w:rsidRPr="00E16672">
              <w:rPr>
                <w:rFonts w:ascii="Times New Roman" w:hAnsi="Times New Roman"/>
                <w:color w:val="000000"/>
                <w:sz w:val="16"/>
                <w:szCs w:val="16"/>
                <w:lang w:val="en-GB"/>
              </w:rPr>
              <w:t>8</w:t>
            </w:r>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Notify</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the</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Depositor</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of</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corrective</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operation</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in</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case</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of</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technical</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error</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made</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in</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the</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performance</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of</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depository</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operation</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i/>
                <w:color w:val="000000"/>
                <w:sz w:val="16"/>
                <w:szCs w:val="16"/>
              </w:rPr>
              <w:t>within</w:t>
            </w:r>
            <w:proofErr w:type="spellEnd"/>
            <w:r w:rsidRPr="00E16672">
              <w:rPr>
                <w:rFonts w:ascii="Times New Roman" w:hAnsi="Times New Roman"/>
                <w:i/>
                <w:color w:val="000000"/>
                <w:sz w:val="16"/>
                <w:szCs w:val="16"/>
              </w:rPr>
              <w:t xml:space="preserve"> </w:t>
            </w:r>
            <w:proofErr w:type="spellStart"/>
            <w:r w:rsidRPr="00E16672">
              <w:rPr>
                <w:rFonts w:ascii="Times New Roman" w:hAnsi="Times New Roman"/>
                <w:i/>
                <w:color w:val="000000"/>
                <w:sz w:val="16"/>
                <w:szCs w:val="16"/>
              </w:rPr>
              <w:t>three</w:t>
            </w:r>
            <w:proofErr w:type="spellEnd"/>
            <w:r w:rsidRPr="00E16672">
              <w:rPr>
                <w:rFonts w:ascii="Times New Roman" w:hAnsi="Times New Roman"/>
                <w:i/>
                <w:color w:val="000000"/>
                <w:sz w:val="16"/>
                <w:szCs w:val="16"/>
              </w:rPr>
              <w:t xml:space="preserve"> </w:t>
            </w:r>
            <w:proofErr w:type="spellStart"/>
            <w:r w:rsidRPr="00E16672">
              <w:rPr>
                <w:rFonts w:ascii="Times New Roman" w:hAnsi="Times New Roman"/>
                <w:i/>
                <w:color w:val="000000"/>
                <w:sz w:val="16"/>
                <w:szCs w:val="16"/>
              </w:rPr>
              <w:t>working</w:t>
            </w:r>
            <w:proofErr w:type="spellEnd"/>
            <w:r w:rsidRPr="00E16672">
              <w:rPr>
                <w:rFonts w:ascii="Times New Roman" w:hAnsi="Times New Roman"/>
                <w:i/>
                <w:color w:val="000000"/>
                <w:sz w:val="16"/>
                <w:szCs w:val="16"/>
              </w:rPr>
              <w:t xml:space="preserve"> </w:t>
            </w:r>
            <w:proofErr w:type="spellStart"/>
            <w:r w:rsidRPr="00E16672">
              <w:rPr>
                <w:rFonts w:ascii="Times New Roman" w:hAnsi="Times New Roman"/>
                <w:i/>
                <w:color w:val="000000"/>
                <w:sz w:val="16"/>
                <w:szCs w:val="16"/>
              </w:rPr>
              <w:t>days</w:t>
            </w:r>
            <w:proofErr w:type="spellEnd"/>
            <w:r w:rsidRPr="00E16672">
              <w:rPr>
                <w:rFonts w:ascii="Times New Roman" w:hAnsi="Times New Roman"/>
                <w:i/>
                <w:color w:val="000000"/>
                <w:sz w:val="16"/>
                <w:szCs w:val="16"/>
              </w:rPr>
              <w:t xml:space="preserve"> </w:t>
            </w:r>
            <w:r w:rsidRPr="00E16672">
              <w:rPr>
                <w:rFonts w:ascii="Times New Roman" w:hAnsi="Times New Roman"/>
                <w:i/>
                <w:color w:val="000000"/>
                <w:sz w:val="16"/>
                <w:szCs w:val="16"/>
                <w:lang w:val="en-GB"/>
              </w:rPr>
              <w:t xml:space="preserve"> </w:t>
            </w:r>
            <w:proofErr w:type="spellStart"/>
            <w:r w:rsidRPr="00E16672">
              <w:rPr>
                <w:rFonts w:ascii="Times New Roman" w:eastAsia="Arial" w:hAnsi="Times New Roman"/>
                <w:color w:val="000000"/>
                <w:spacing w:val="-9"/>
                <w:sz w:val="16"/>
                <w:szCs w:val="16"/>
              </w:rPr>
              <w:t>from</w:t>
            </w:r>
            <w:proofErr w:type="spellEnd"/>
            <w:r w:rsidRPr="00E16672">
              <w:rPr>
                <w:rFonts w:ascii="Times New Roman" w:eastAsia="Arial" w:hAnsi="Times New Roman"/>
                <w:color w:val="000000"/>
                <w:spacing w:val="-9"/>
                <w:sz w:val="16"/>
                <w:szCs w:val="16"/>
              </w:rPr>
              <w:t xml:space="preserve"> </w:t>
            </w:r>
            <w:proofErr w:type="spellStart"/>
            <w:r w:rsidRPr="00E16672">
              <w:rPr>
                <w:rFonts w:ascii="Times New Roman" w:eastAsia="Arial" w:hAnsi="Times New Roman"/>
                <w:color w:val="000000"/>
                <w:spacing w:val="-9"/>
                <w:sz w:val="16"/>
                <w:szCs w:val="16"/>
              </w:rPr>
              <w:t>the</w:t>
            </w:r>
            <w:proofErr w:type="spellEnd"/>
            <w:r w:rsidRPr="00E16672">
              <w:rPr>
                <w:rFonts w:ascii="Times New Roman" w:eastAsia="Arial" w:hAnsi="Times New Roman"/>
                <w:color w:val="000000"/>
                <w:spacing w:val="-9"/>
                <w:sz w:val="16"/>
                <w:szCs w:val="16"/>
              </w:rPr>
              <w:t xml:space="preserve"> </w:t>
            </w:r>
            <w:proofErr w:type="spellStart"/>
            <w:r w:rsidRPr="00E16672">
              <w:rPr>
                <w:rFonts w:ascii="Times New Roman" w:eastAsia="Arial" w:hAnsi="Times New Roman"/>
                <w:color w:val="000000"/>
                <w:spacing w:val="-9"/>
                <w:sz w:val="16"/>
                <w:szCs w:val="16"/>
              </w:rPr>
              <w:t>date</w:t>
            </w:r>
            <w:proofErr w:type="spellEnd"/>
            <w:r w:rsidRPr="00E16672">
              <w:rPr>
                <w:rFonts w:ascii="Times New Roman" w:eastAsia="Arial" w:hAnsi="Times New Roman"/>
                <w:color w:val="000000"/>
                <w:spacing w:val="-9"/>
                <w:sz w:val="16"/>
                <w:szCs w:val="16"/>
              </w:rPr>
              <w:t xml:space="preserve"> </w:t>
            </w:r>
            <w:proofErr w:type="spellStart"/>
            <w:r w:rsidRPr="00E16672">
              <w:rPr>
                <w:rFonts w:ascii="Times New Roman" w:eastAsia="Arial" w:hAnsi="Times New Roman"/>
                <w:color w:val="000000"/>
                <w:spacing w:val="-9"/>
                <w:sz w:val="16"/>
                <w:szCs w:val="16"/>
              </w:rPr>
              <w:t>of</w:t>
            </w:r>
            <w:proofErr w:type="spellEnd"/>
            <w:r w:rsidRPr="00E16672">
              <w:rPr>
                <w:rFonts w:ascii="Times New Roman" w:eastAsia="Arial" w:hAnsi="Times New Roman"/>
                <w:color w:val="000000"/>
                <w:spacing w:val="-9"/>
                <w:sz w:val="16"/>
                <w:szCs w:val="16"/>
              </w:rPr>
              <w:t xml:space="preserve"> </w:t>
            </w:r>
            <w:proofErr w:type="spellStart"/>
            <w:r w:rsidRPr="00E16672">
              <w:rPr>
                <w:rFonts w:ascii="Times New Roman" w:eastAsia="Arial" w:hAnsi="Times New Roman"/>
                <w:color w:val="000000"/>
                <w:spacing w:val="-9"/>
                <w:sz w:val="16"/>
                <w:szCs w:val="16"/>
              </w:rPr>
              <w:t>corrective</w:t>
            </w:r>
            <w:proofErr w:type="spellEnd"/>
            <w:r w:rsidRPr="00E16672">
              <w:rPr>
                <w:rFonts w:ascii="Times New Roman" w:eastAsia="Arial" w:hAnsi="Times New Roman"/>
                <w:color w:val="000000"/>
                <w:spacing w:val="-9"/>
                <w:sz w:val="16"/>
                <w:szCs w:val="16"/>
              </w:rPr>
              <w:t xml:space="preserve"> </w:t>
            </w:r>
            <w:proofErr w:type="spellStart"/>
            <w:r w:rsidRPr="00E16672">
              <w:rPr>
                <w:rFonts w:ascii="Times New Roman" w:eastAsia="Arial" w:hAnsi="Times New Roman"/>
                <w:color w:val="000000"/>
                <w:spacing w:val="-9"/>
                <w:sz w:val="16"/>
                <w:szCs w:val="16"/>
              </w:rPr>
              <w:t>operation</w:t>
            </w:r>
            <w:proofErr w:type="spellEnd"/>
            <w:r w:rsidRPr="00E16672">
              <w:rPr>
                <w:rFonts w:ascii="Times New Roman" w:eastAsia="Arial" w:hAnsi="Times New Roman"/>
                <w:color w:val="000000"/>
                <w:spacing w:val="-9"/>
                <w:sz w:val="16"/>
                <w:szCs w:val="16"/>
              </w:rPr>
              <w:t xml:space="preserve"> </w:t>
            </w:r>
            <w:proofErr w:type="spellStart"/>
            <w:r w:rsidRPr="00E16672">
              <w:rPr>
                <w:rFonts w:ascii="Times New Roman" w:hAnsi="Times New Roman"/>
                <w:color w:val="000000"/>
                <w:sz w:val="16"/>
                <w:szCs w:val="16"/>
              </w:rPr>
              <w:t>by</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sending</w:t>
            </w:r>
            <w:proofErr w:type="spellEnd"/>
            <w:r w:rsidRPr="00E16672">
              <w:rPr>
                <w:rFonts w:ascii="Times New Roman" w:hAnsi="Times New Roman"/>
                <w:color w:val="000000"/>
                <w:sz w:val="16"/>
                <w:szCs w:val="16"/>
              </w:rPr>
              <w:t xml:space="preserve"> a </w:t>
            </w:r>
            <w:proofErr w:type="spellStart"/>
            <w:r w:rsidRPr="00E16672">
              <w:rPr>
                <w:rFonts w:ascii="Times New Roman" w:hAnsi="Times New Roman"/>
                <w:color w:val="000000"/>
                <w:sz w:val="16"/>
                <w:szCs w:val="16"/>
              </w:rPr>
              <w:t>letter</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of</w:t>
            </w:r>
            <w:proofErr w:type="spellEnd"/>
            <w:r w:rsidRPr="00E16672">
              <w:rPr>
                <w:rFonts w:ascii="Times New Roman" w:hAnsi="Times New Roman"/>
                <w:color w:val="000000"/>
                <w:sz w:val="16"/>
                <w:szCs w:val="16"/>
              </w:rPr>
              <w:t xml:space="preserve"> a </w:t>
            </w:r>
            <w:proofErr w:type="spellStart"/>
            <w:r w:rsidRPr="00E16672">
              <w:rPr>
                <w:rFonts w:ascii="Times New Roman" w:hAnsi="Times New Roman"/>
                <w:color w:val="000000"/>
                <w:sz w:val="16"/>
                <w:szCs w:val="16"/>
              </w:rPr>
              <w:t>notification</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to</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the</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Depositor’s</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address</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as</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determined</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in</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the</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Depositor’s</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form</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of</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the</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account</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in</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securities</w:t>
            </w:r>
            <w:proofErr w:type="spellEnd"/>
            <w:r w:rsidRPr="00E16672">
              <w:rPr>
                <w:rFonts w:ascii="Times New Roman" w:hAnsi="Times New Roman"/>
                <w:color w:val="000000"/>
                <w:sz w:val="16"/>
                <w:szCs w:val="16"/>
              </w:rPr>
              <w:t>.</w:t>
            </w:r>
          </w:p>
        </w:tc>
      </w:tr>
      <w:tr w:rsidR="00E51F85" w:rsidRPr="00F23413" w14:paraId="479DA451" w14:textId="77777777" w:rsidTr="00D77858">
        <w:tblPrEx>
          <w:tblCellMar>
            <w:left w:w="0" w:type="dxa"/>
            <w:right w:w="0" w:type="dxa"/>
          </w:tblCellMar>
        </w:tblPrEx>
        <w:trPr>
          <w:trHeight w:val="192"/>
        </w:trPr>
        <w:tc>
          <w:tcPr>
            <w:tcW w:w="5696" w:type="dxa"/>
            <w:gridSpan w:val="6"/>
            <w:shd w:val="clear" w:color="auto" w:fill="auto"/>
          </w:tcPr>
          <w:p w14:paraId="3D2F2F25" w14:textId="77777777" w:rsidR="00E51F85" w:rsidRPr="00E16672" w:rsidRDefault="00E51F85" w:rsidP="00547A75">
            <w:pPr>
              <w:pStyle w:val="af5"/>
              <w:spacing w:after="60"/>
              <w:ind w:left="182" w:right="138" w:firstLine="0"/>
              <w:jc w:val="both"/>
              <w:rPr>
                <w:rFonts w:ascii="Times New Roman" w:hAnsi="Times New Roman" w:cs="Times New Roman"/>
                <w:b w:val="0"/>
                <w:sz w:val="16"/>
                <w:szCs w:val="16"/>
              </w:rPr>
            </w:pPr>
            <w:r w:rsidRPr="00E16672">
              <w:rPr>
                <w:rFonts w:ascii="Times New Roman" w:hAnsi="Times New Roman" w:cs="Times New Roman"/>
                <w:b w:val="0"/>
                <w:sz w:val="16"/>
                <w:szCs w:val="16"/>
              </w:rPr>
              <w:t xml:space="preserve">2.1.9. Не виконувати дії та не надавати інформацію щодо цінних паперів, що належать Депоненту, або інформацію щодо Депонента без відповідних розпоряджень Депонента або </w:t>
            </w:r>
            <w:r w:rsidR="00A05686" w:rsidRPr="00E16672">
              <w:rPr>
                <w:rFonts w:ascii="Times New Roman" w:hAnsi="Times New Roman" w:cs="Times New Roman"/>
                <w:b w:val="0"/>
                <w:sz w:val="16"/>
                <w:szCs w:val="16"/>
              </w:rPr>
              <w:t>розпорядника/</w:t>
            </w:r>
            <w:r w:rsidRPr="00E16672">
              <w:rPr>
                <w:rFonts w:ascii="Times New Roman" w:hAnsi="Times New Roman" w:cs="Times New Roman"/>
                <w:b w:val="0"/>
                <w:sz w:val="16"/>
                <w:szCs w:val="16"/>
              </w:rPr>
              <w:t xml:space="preserve">керуючого рахунком </w:t>
            </w:r>
            <w:r w:rsidR="00C22309" w:rsidRPr="00E16672">
              <w:rPr>
                <w:rFonts w:ascii="Times New Roman" w:hAnsi="Times New Roman" w:cs="Times New Roman"/>
                <w:b w:val="0"/>
                <w:sz w:val="16"/>
                <w:szCs w:val="16"/>
              </w:rPr>
              <w:t>в цін</w:t>
            </w:r>
            <w:r w:rsidRPr="00E16672">
              <w:rPr>
                <w:rFonts w:ascii="Times New Roman" w:hAnsi="Times New Roman" w:cs="Times New Roman"/>
                <w:b w:val="0"/>
                <w:sz w:val="16"/>
                <w:szCs w:val="16"/>
              </w:rPr>
              <w:t>них паперах Депонента, крім випадків, передбачених законодавством та Договором.</w:t>
            </w:r>
          </w:p>
          <w:p w14:paraId="563061BA" w14:textId="77777777" w:rsidR="00A71E25" w:rsidRPr="00E16672" w:rsidRDefault="00A71E25" w:rsidP="00547A75">
            <w:pPr>
              <w:pStyle w:val="ab"/>
              <w:ind w:left="182" w:firstLine="0"/>
              <w:rPr>
                <w:rFonts w:ascii="Times New Roman" w:hAnsi="Times New Roman"/>
              </w:rPr>
            </w:pPr>
          </w:p>
        </w:tc>
        <w:tc>
          <w:tcPr>
            <w:tcW w:w="5494" w:type="dxa"/>
            <w:gridSpan w:val="7"/>
            <w:shd w:val="clear" w:color="auto" w:fill="auto"/>
          </w:tcPr>
          <w:p w14:paraId="1921FAC2" w14:textId="77777777" w:rsidR="00E51F85" w:rsidRPr="00E16672" w:rsidRDefault="00E51F85" w:rsidP="00AB3C26">
            <w:pPr>
              <w:pStyle w:val="210"/>
              <w:snapToGrid w:val="0"/>
              <w:ind w:left="142" w:right="100" w:firstLine="0"/>
              <w:rPr>
                <w:rFonts w:ascii="Times New Roman" w:hAnsi="Times New Roman"/>
                <w:sz w:val="16"/>
                <w:szCs w:val="16"/>
                <w:lang w:val="en-GB"/>
              </w:rPr>
            </w:pPr>
            <w:r w:rsidRPr="00E16672">
              <w:rPr>
                <w:rFonts w:ascii="Times New Roman" w:hAnsi="Times New Roman"/>
                <w:sz w:val="16"/>
                <w:szCs w:val="16"/>
                <w:lang w:val="en-GB"/>
              </w:rPr>
              <w:t>2.1.9. Not to execute of any activities and not to provide with any information about the Depositor’s securities or information about the Depositor without the appropriate orders of Depositor or manager</w:t>
            </w:r>
            <w:r w:rsidR="00A05686" w:rsidRPr="00E16672">
              <w:rPr>
                <w:rFonts w:ascii="Times New Roman" w:hAnsi="Times New Roman"/>
                <w:sz w:val="16"/>
                <w:szCs w:val="16"/>
              </w:rPr>
              <w:t>/</w:t>
            </w:r>
            <w:r w:rsidR="00A05686" w:rsidRPr="00E16672">
              <w:rPr>
                <w:rFonts w:ascii="Times New Roman" w:hAnsi="Times New Roman"/>
                <w:b/>
                <w:sz w:val="16"/>
              </w:rPr>
              <w:t xml:space="preserve"> </w:t>
            </w:r>
            <w:r w:rsidR="00A05686" w:rsidRPr="00E16672">
              <w:rPr>
                <w:rFonts w:ascii="Times New Roman" w:hAnsi="Times New Roman"/>
                <w:sz w:val="16"/>
              </w:rPr>
              <w:t>а</w:t>
            </w:r>
            <w:proofErr w:type="spellStart"/>
            <w:proofErr w:type="gramStart"/>
            <w:r w:rsidR="00A05686" w:rsidRPr="00E16672">
              <w:rPr>
                <w:rFonts w:ascii="Times New Roman" w:hAnsi="Times New Roman"/>
                <w:sz w:val="16"/>
                <w:lang w:val="en-US"/>
              </w:rPr>
              <w:t>dministrator</w:t>
            </w:r>
            <w:proofErr w:type="spellEnd"/>
            <w:r w:rsidR="00A05686" w:rsidRPr="00E16672">
              <w:rPr>
                <w:rFonts w:ascii="Times New Roman" w:hAnsi="Times New Roman"/>
                <w:b/>
                <w:sz w:val="16"/>
                <w:lang w:val="en-US"/>
              </w:rPr>
              <w:t xml:space="preserve">  </w:t>
            </w:r>
            <w:r w:rsidRPr="00E16672">
              <w:rPr>
                <w:rFonts w:ascii="Times New Roman" w:hAnsi="Times New Roman"/>
                <w:sz w:val="16"/>
                <w:szCs w:val="16"/>
                <w:lang w:val="en-GB"/>
              </w:rPr>
              <w:t>of</w:t>
            </w:r>
            <w:proofErr w:type="gramEnd"/>
            <w:r w:rsidRPr="00E16672">
              <w:rPr>
                <w:rFonts w:ascii="Times New Roman" w:hAnsi="Times New Roman"/>
                <w:sz w:val="16"/>
                <w:szCs w:val="16"/>
                <w:lang w:val="en-GB"/>
              </w:rPr>
              <w:t xml:space="preserve"> the account in securities of Depositor, except the cases, provided by the legislation  and Agreement.</w:t>
            </w:r>
          </w:p>
        </w:tc>
      </w:tr>
      <w:tr w:rsidR="00E51F85" w:rsidRPr="00F23413" w14:paraId="294384D3" w14:textId="77777777" w:rsidTr="00D77858">
        <w:tblPrEx>
          <w:tblCellMar>
            <w:left w:w="0" w:type="dxa"/>
            <w:right w:w="0" w:type="dxa"/>
          </w:tblCellMar>
        </w:tblPrEx>
        <w:trPr>
          <w:trHeight w:val="192"/>
        </w:trPr>
        <w:tc>
          <w:tcPr>
            <w:tcW w:w="5696" w:type="dxa"/>
            <w:gridSpan w:val="6"/>
            <w:shd w:val="clear" w:color="auto" w:fill="auto"/>
          </w:tcPr>
          <w:p w14:paraId="05B587FA" w14:textId="77777777" w:rsidR="00E51F85" w:rsidRPr="00E16672" w:rsidRDefault="00E51F85" w:rsidP="00022F5F">
            <w:pPr>
              <w:pStyle w:val="1b"/>
              <w:snapToGrid w:val="0"/>
              <w:spacing w:before="0" w:after="0"/>
              <w:ind w:left="182" w:right="138" w:firstLine="0"/>
              <w:jc w:val="left"/>
              <w:rPr>
                <w:rFonts w:ascii="Times New Roman" w:eastAsia="Times New Roman" w:hAnsi="Times New Roman" w:cs="Times New Roman"/>
                <w:bCs/>
                <w:color w:val="000000"/>
                <w:sz w:val="16"/>
                <w:szCs w:val="16"/>
                <w:shd w:val="clear" w:color="auto" w:fill="FFFFFF"/>
              </w:rPr>
            </w:pPr>
            <w:r w:rsidRPr="00E16672">
              <w:rPr>
                <w:rFonts w:ascii="Times New Roman" w:hAnsi="Times New Roman" w:cs="Times New Roman"/>
                <w:bCs/>
                <w:color w:val="000000"/>
                <w:sz w:val="16"/>
                <w:szCs w:val="16"/>
                <w:lang w:val="en-US"/>
              </w:rPr>
              <w:t xml:space="preserve">2.1.10. </w:t>
            </w:r>
            <w:r w:rsidRPr="00E16672">
              <w:rPr>
                <w:rFonts w:ascii="Times New Roman" w:hAnsi="Times New Roman" w:cs="Times New Roman"/>
                <w:bCs/>
                <w:color w:val="000000"/>
                <w:sz w:val="16"/>
                <w:szCs w:val="16"/>
              </w:rPr>
              <w:t>Надавати Центральному депозитарію</w:t>
            </w:r>
            <w:r w:rsidR="008B4DD5" w:rsidRPr="00E16672">
              <w:rPr>
                <w:rFonts w:ascii="Times New Roman" w:hAnsi="Times New Roman" w:cs="Times New Roman"/>
                <w:bCs/>
                <w:color w:val="000000"/>
                <w:sz w:val="20"/>
                <w:szCs w:val="20"/>
              </w:rPr>
              <w:t xml:space="preserve"> </w:t>
            </w:r>
            <w:r w:rsidR="008B4DD5" w:rsidRPr="00E16672">
              <w:rPr>
                <w:rFonts w:ascii="Times New Roman" w:hAnsi="Times New Roman" w:cs="Times New Roman"/>
                <w:bCs/>
                <w:color w:val="000000"/>
                <w:sz w:val="16"/>
                <w:szCs w:val="16"/>
              </w:rPr>
              <w:t>цінних паперів (далі – Центральний депозитарій) інформацію щодо Депонента,</w:t>
            </w:r>
            <w:r w:rsidR="008B4DD5" w:rsidRPr="00E16672">
              <w:rPr>
                <w:rFonts w:ascii="Times New Roman" w:hAnsi="Times New Roman" w:cs="Times New Roman"/>
                <w:bCs/>
                <w:color w:val="000000"/>
                <w:sz w:val="20"/>
                <w:szCs w:val="20"/>
              </w:rPr>
              <w:t xml:space="preserve"> </w:t>
            </w:r>
            <w:r w:rsidRPr="00E16672">
              <w:rPr>
                <w:rFonts w:ascii="Times New Roman" w:hAnsi="Times New Roman" w:cs="Times New Roman"/>
                <w:bCs/>
                <w:color w:val="000000"/>
                <w:sz w:val="16"/>
                <w:szCs w:val="16"/>
              </w:rPr>
              <w:t xml:space="preserve"> торговця цінними паперами, якому Депонентом надані повноваження на вчинення правочинів щодо цінних паперів в інтересах Депонента та цінних паперів, що належать Депоненту, яка необхідна для здійснення розрахунків за правочинами щодо цінних паперів з дотриманням принципу </w:t>
            </w:r>
            <w:r w:rsidR="00022F5F">
              <w:rPr>
                <w:rFonts w:ascii="Times New Roman" w:hAnsi="Times New Roman" w:cs="Times New Roman"/>
                <w:bCs/>
                <w:color w:val="000000"/>
                <w:sz w:val="16"/>
                <w:szCs w:val="16"/>
              </w:rPr>
              <w:t>"</w:t>
            </w:r>
            <w:r w:rsidRPr="00E16672">
              <w:rPr>
                <w:rFonts w:ascii="Times New Roman" w:hAnsi="Times New Roman" w:cs="Times New Roman"/>
                <w:bCs/>
                <w:color w:val="000000"/>
                <w:sz w:val="16"/>
                <w:szCs w:val="16"/>
              </w:rPr>
              <w:t>поставка цінних паперів проти оплати</w:t>
            </w:r>
            <w:r w:rsidR="00022F5F">
              <w:rPr>
                <w:rFonts w:ascii="Times New Roman" w:hAnsi="Times New Roman" w:cs="Times New Roman"/>
                <w:bCs/>
                <w:color w:val="000000"/>
                <w:sz w:val="16"/>
                <w:szCs w:val="16"/>
              </w:rPr>
              <w:t>"</w:t>
            </w:r>
            <w:r w:rsidRPr="00E16672">
              <w:rPr>
                <w:rFonts w:ascii="Times New Roman" w:hAnsi="Times New Roman" w:cs="Times New Roman"/>
                <w:bCs/>
                <w:color w:val="000000"/>
                <w:sz w:val="16"/>
                <w:szCs w:val="16"/>
              </w:rPr>
              <w:t>, з метою подальшого надання такої інформації Розрахунковому центру з обслуговування договорів на фінансових ринках (далі – Розрахунковий центр) чи кліринговій установі для її відображення у внутрішній системі обліку такої особи.</w:t>
            </w:r>
            <w:r w:rsidRPr="00E16672">
              <w:rPr>
                <w:rFonts w:ascii="Times New Roman" w:eastAsia="Times New Roman" w:hAnsi="Times New Roman" w:cs="Times New Roman"/>
                <w:bCs/>
                <w:color w:val="000000"/>
                <w:sz w:val="16"/>
                <w:szCs w:val="16"/>
                <w:shd w:val="clear" w:color="auto" w:fill="FFFFFF"/>
              </w:rPr>
              <w:t xml:space="preserve"> </w:t>
            </w:r>
          </w:p>
        </w:tc>
        <w:tc>
          <w:tcPr>
            <w:tcW w:w="5494" w:type="dxa"/>
            <w:gridSpan w:val="7"/>
            <w:shd w:val="clear" w:color="auto" w:fill="auto"/>
          </w:tcPr>
          <w:p w14:paraId="202E3F6A" w14:textId="77777777" w:rsidR="00E51F85" w:rsidRPr="00E16672" w:rsidRDefault="00E51F85" w:rsidP="00022F5F">
            <w:pPr>
              <w:ind w:left="142" w:right="100" w:firstLine="6"/>
              <w:jc w:val="left"/>
              <w:rPr>
                <w:rFonts w:ascii="Times New Roman" w:hAnsi="Times New Roman"/>
                <w:b/>
                <w:bCs/>
                <w:color w:val="000000"/>
                <w:sz w:val="16"/>
                <w:szCs w:val="16"/>
                <w:lang w:val="en-GB"/>
              </w:rPr>
            </w:pPr>
            <w:r w:rsidRPr="00E16672">
              <w:rPr>
                <w:rFonts w:ascii="Times New Roman" w:hAnsi="Times New Roman"/>
                <w:bCs/>
                <w:color w:val="000000"/>
                <w:sz w:val="16"/>
                <w:szCs w:val="16"/>
                <w:lang w:val="en-GB"/>
              </w:rPr>
              <w:t>2.1.10. Provide the Central Depository</w:t>
            </w:r>
            <w:r w:rsidRPr="00E16672">
              <w:rPr>
                <w:rFonts w:ascii="Times New Roman" w:hAnsi="Times New Roman"/>
                <w:bCs/>
                <w:color w:val="000000"/>
                <w:sz w:val="16"/>
                <w:szCs w:val="16"/>
                <w:lang w:val="en-US"/>
              </w:rPr>
              <w:t xml:space="preserve"> with an </w:t>
            </w:r>
            <w:r w:rsidRPr="00E16672">
              <w:rPr>
                <w:rFonts w:ascii="Times New Roman" w:hAnsi="Times New Roman"/>
                <w:bCs/>
                <w:color w:val="000000"/>
                <w:sz w:val="16"/>
                <w:szCs w:val="16"/>
                <w:lang w:val="en-GB"/>
              </w:rPr>
              <w:t xml:space="preserve">information </w:t>
            </w:r>
            <w:r w:rsidRPr="00E16672">
              <w:rPr>
                <w:rFonts w:ascii="Times New Roman" w:hAnsi="Times New Roman"/>
                <w:bCs/>
                <w:color w:val="000000"/>
                <w:sz w:val="16"/>
                <w:szCs w:val="16"/>
                <w:lang w:val="en-US"/>
              </w:rPr>
              <w:t>of</w:t>
            </w:r>
            <w:r w:rsidRPr="00E16672">
              <w:rPr>
                <w:rFonts w:ascii="Times New Roman" w:hAnsi="Times New Roman"/>
                <w:bCs/>
                <w:color w:val="000000"/>
                <w:sz w:val="16"/>
                <w:szCs w:val="16"/>
                <w:lang w:val="en-GB"/>
              </w:rPr>
              <w:t xml:space="preserve"> Depositor, securities trader, which the Depositor empowered to commit transactions in securities for the benefit of the Depositor and securities owned by the Depositor, which is necessary for settlement of legal actions in securities with the principle of </w:t>
            </w:r>
            <w:r w:rsidR="00022F5F">
              <w:rPr>
                <w:rFonts w:ascii="Times New Roman" w:hAnsi="Times New Roman"/>
                <w:color w:val="000000"/>
                <w:sz w:val="16"/>
                <w:szCs w:val="16"/>
                <w:lang w:val="en-GB"/>
              </w:rPr>
              <w:t>"</w:t>
            </w:r>
            <w:r w:rsidRPr="00E16672">
              <w:rPr>
                <w:rFonts w:ascii="Times New Roman" w:hAnsi="Times New Roman"/>
                <w:bCs/>
                <w:color w:val="000000"/>
                <w:sz w:val="16"/>
                <w:szCs w:val="16"/>
                <w:lang w:val="en-GB"/>
              </w:rPr>
              <w:t xml:space="preserve">supply of securities </w:t>
            </w:r>
            <w:r w:rsidRPr="00E16672">
              <w:rPr>
                <w:rFonts w:ascii="Times New Roman" w:eastAsia="Arial" w:hAnsi="Times New Roman"/>
                <w:color w:val="000000"/>
                <w:sz w:val="16"/>
                <w:szCs w:val="16"/>
                <w:lang w:val="en-US"/>
              </w:rPr>
              <w:t xml:space="preserve">against </w:t>
            </w:r>
            <w:r w:rsidRPr="00E16672">
              <w:rPr>
                <w:rFonts w:ascii="Times New Roman" w:hAnsi="Times New Roman"/>
                <w:bCs/>
                <w:color w:val="000000"/>
                <w:sz w:val="16"/>
                <w:szCs w:val="16"/>
                <w:lang w:val="en-GB"/>
              </w:rPr>
              <w:t>payment</w:t>
            </w:r>
            <w:r w:rsidR="00022F5F">
              <w:rPr>
                <w:rFonts w:ascii="Times New Roman" w:hAnsi="Times New Roman"/>
                <w:color w:val="000000"/>
                <w:sz w:val="16"/>
                <w:szCs w:val="16"/>
                <w:lang w:val="en-GB"/>
              </w:rPr>
              <w:t>"</w:t>
            </w:r>
            <w:r w:rsidRPr="00E16672">
              <w:rPr>
                <w:rFonts w:ascii="Times New Roman" w:hAnsi="Times New Roman"/>
                <w:bCs/>
                <w:color w:val="000000"/>
                <w:sz w:val="16"/>
                <w:szCs w:val="16"/>
                <w:lang w:val="en-GB"/>
              </w:rPr>
              <w:t xml:space="preserve"> for further disclosure of such information, to the Accounting </w:t>
            </w:r>
            <w:proofErr w:type="spellStart"/>
            <w:r w:rsidRPr="00E16672">
              <w:rPr>
                <w:rFonts w:ascii="Times New Roman" w:hAnsi="Times New Roman"/>
                <w:bCs/>
                <w:color w:val="000000"/>
                <w:sz w:val="16"/>
                <w:szCs w:val="16"/>
                <w:lang w:val="en-GB"/>
              </w:rPr>
              <w:t>Center</w:t>
            </w:r>
            <w:proofErr w:type="spellEnd"/>
            <w:r w:rsidRPr="00E16672">
              <w:rPr>
                <w:rFonts w:ascii="Times New Roman" w:hAnsi="Times New Roman"/>
                <w:bCs/>
                <w:color w:val="000000"/>
                <w:sz w:val="16"/>
                <w:szCs w:val="16"/>
                <w:lang w:val="en-GB"/>
              </w:rPr>
              <w:t xml:space="preserve"> of servicing contracts in the financial markets (hereinafter - Accounting </w:t>
            </w:r>
            <w:proofErr w:type="spellStart"/>
            <w:r w:rsidRPr="00E16672">
              <w:rPr>
                <w:rFonts w:ascii="Times New Roman" w:hAnsi="Times New Roman"/>
                <w:bCs/>
                <w:color w:val="000000"/>
                <w:sz w:val="16"/>
                <w:szCs w:val="16"/>
                <w:lang w:val="en-GB"/>
              </w:rPr>
              <w:t>Center</w:t>
            </w:r>
            <w:proofErr w:type="spellEnd"/>
            <w:r w:rsidRPr="00E16672">
              <w:rPr>
                <w:rFonts w:ascii="Times New Roman" w:hAnsi="Times New Roman"/>
                <w:bCs/>
                <w:color w:val="000000"/>
                <w:sz w:val="16"/>
                <w:szCs w:val="16"/>
                <w:lang w:val="en-GB"/>
              </w:rPr>
              <w:t>) or clearing institution to display it in the internal accounting system of such  person.</w:t>
            </w:r>
          </w:p>
        </w:tc>
      </w:tr>
      <w:tr w:rsidR="00E51F85" w:rsidRPr="00F23413" w14:paraId="04115199" w14:textId="77777777" w:rsidTr="00D77858">
        <w:tblPrEx>
          <w:tblCellMar>
            <w:left w:w="0" w:type="dxa"/>
            <w:right w:w="0" w:type="dxa"/>
          </w:tblCellMar>
        </w:tblPrEx>
        <w:trPr>
          <w:trHeight w:val="192"/>
        </w:trPr>
        <w:tc>
          <w:tcPr>
            <w:tcW w:w="5696" w:type="dxa"/>
            <w:gridSpan w:val="6"/>
            <w:shd w:val="clear" w:color="auto" w:fill="auto"/>
          </w:tcPr>
          <w:p w14:paraId="1E4B58CA" w14:textId="77777777" w:rsidR="00E51F85" w:rsidRPr="00E16672" w:rsidRDefault="00E51F85" w:rsidP="008F2FF8">
            <w:pPr>
              <w:pStyle w:val="1b"/>
              <w:spacing w:before="0" w:after="0"/>
              <w:ind w:left="182" w:right="138" w:hanging="7"/>
              <w:rPr>
                <w:rFonts w:ascii="Times New Roman" w:hAnsi="Times New Roman" w:cs="Times New Roman"/>
                <w:color w:val="000000"/>
                <w:sz w:val="16"/>
                <w:szCs w:val="16"/>
              </w:rPr>
            </w:pPr>
            <w:r w:rsidRPr="00E16672">
              <w:rPr>
                <w:rFonts w:ascii="Times New Roman" w:hAnsi="Times New Roman" w:cs="Times New Roman"/>
                <w:color w:val="000000"/>
                <w:sz w:val="16"/>
                <w:szCs w:val="16"/>
              </w:rPr>
              <w:t>2.1.</w:t>
            </w:r>
            <w:r w:rsidR="008B4DD5" w:rsidRPr="00E16672">
              <w:rPr>
                <w:rFonts w:ascii="Times New Roman" w:hAnsi="Times New Roman" w:cs="Times New Roman"/>
                <w:color w:val="000000"/>
                <w:sz w:val="16"/>
                <w:szCs w:val="16"/>
              </w:rPr>
              <w:t>11</w:t>
            </w:r>
            <w:r w:rsidRPr="00E16672">
              <w:rPr>
                <w:rFonts w:ascii="Times New Roman" w:hAnsi="Times New Roman" w:cs="Times New Roman"/>
                <w:color w:val="000000"/>
                <w:sz w:val="16"/>
                <w:szCs w:val="16"/>
              </w:rPr>
              <w:t xml:space="preserve">. Виконувати за рахунком </w:t>
            </w:r>
            <w:r w:rsidR="00C22309" w:rsidRPr="00E16672">
              <w:rPr>
                <w:rFonts w:ascii="Times New Roman" w:hAnsi="Times New Roman" w:cs="Times New Roman"/>
                <w:color w:val="000000"/>
                <w:sz w:val="16"/>
                <w:szCs w:val="16"/>
              </w:rPr>
              <w:t>в цін</w:t>
            </w:r>
            <w:r w:rsidRPr="00E16672">
              <w:rPr>
                <w:rFonts w:ascii="Times New Roman" w:hAnsi="Times New Roman" w:cs="Times New Roman"/>
                <w:color w:val="000000"/>
                <w:sz w:val="16"/>
                <w:szCs w:val="16"/>
              </w:rPr>
              <w:t xml:space="preserve">них паперах Депонента, </w:t>
            </w:r>
            <w:r w:rsidRPr="00E16672">
              <w:rPr>
                <w:rFonts w:ascii="Times New Roman" w:hAnsi="Times New Roman" w:cs="Times New Roman"/>
                <w:bCs/>
                <w:color w:val="000000"/>
                <w:sz w:val="16"/>
                <w:szCs w:val="16"/>
              </w:rPr>
              <w:t>якщо Депонент</w:t>
            </w:r>
            <w:r w:rsidRPr="00E16672">
              <w:rPr>
                <w:rFonts w:ascii="Times New Roman" w:hAnsi="Times New Roman" w:cs="Times New Roman"/>
                <w:b/>
                <w:bCs/>
                <w:color w:val="000000"/>
                <w:sz w:val="16"/>
                <w:szCs w:val="16"/>
              </w:rPr>
              <w:t xml:space="preserve"> </w:t>
            </w:r>
            <w:r w:rsidRPr="00E16672">
              <w:rPr>
                <w:rFonts w:ascii="Times New Roman" w:hAnsi="Times New Roman" w:cs="Times New Roman"/>
                <w:color w:val="000000"/>
                <w:sz w:val="16"/>
                <w:szCs w:val="16"/>
              </w:rPr>
              <w:t xml:space="preserve">був узятий на облік Розрахунковим центром чи кліринговою установою, адміністративні операції, які визначені Регламентом Центрального депозитарію як такі, що можуть призвести до неможливості здійснення розрахунків </w:t>
            </w:r>
            <w:r w:rsidR="00C22309" w:rsidRPr="00E16672">
              <w:rPr>
                <w:rFonts w:ascii="Times New Roman" w:hAnsi="Times New Roman" w:cs="Times New Roman"/>
                <w:color w:val="000000"/>
                <w:sz w:val="16"/>
                <w:szCs w:val="16"/>
              </w:rPr>
              <w:t>в цін</w:t>
            </w:r>
            <w:r w:rsidRPr="00E16672">
              <w:rPr>
                <w:rFonts w:ascii="Times New Roman" w:hAnsi="Times New Roman" w:cs="Times New Roman"/>
                <w:color w:val="000000"/>
                <w:sz w:val="16"/>
                <w:szCs w:val="16"/>
              </w:rPr>
              <w:t>них паперах за результатами правочинів, тільки після отримання від Центрального депозитарію інформації про внесення до внутрішньої системи обліку Розрахункового центру чи клірингової установи відповідних змін щодо такого Депонента.</w:t>
            </w:r>
          </w:p>
          <w:p w14:paraId="4B99F175" w14:textId="77777777" w:rsidR="000F7775" w:rsidRPr="00E16672" w:rsidRDefault="000F7775" w:rsidP="00547A75">
            <w:pPr>
              <w:pStyle w:val="ab"/>
              <w:rPr>
                <w:rFonts w:ascii="Times New Roman" w:hAnsi="Times New Roman"/>
                <w:lang w:eastAsia="hi-IN" w:bidi="hi-IN"/>
              </w:rPr>
            </w:pPr>
          </w:p>
        </w:tc>
        <w:tc>
          <w:tcPr>
            <w:tcW w:w="5494" w:type="dxa"/>
            <w:gridSpan w:val="7"/>
            <w:shd w:val="clear" w:color="auto" w:fill="auto"/>
          </w:tcPr>
          <w:p w14:paraId="6BD0F88F" w14:textId="77777777" w:rsidR="00E51F85" w:rsidRPr="00E16672" w:rsidRDefault="00E51F85" w:rsidP="001C2A36">
            <w:pPr>
              <w:pStyle w:val="210"/>
              <w:snapToGrid w:val="0"/>
              <w:ind w:left="142" w:right="138" w:firstLine="0"/>
              <w:rPr>
                <w:rFonts w:ascii="Times New Roman" w:hAnsi="Times New Roman"/>
                <w:color w:val="000000"/>
                <w:sz w:val="16"/>
                <w:szCs w:val="16"/>
              </w:rPr>
            </w:pPr>
            <w:r w:rsidRPr="00E16672">
              <w:rPr>
                <w:rFonts w:ascii="Times New Roman" w:hAnsi="Times New Roman"/>
                <w:color w:val="000000"/>
                <w:sz w:val="16"/>
                <w:szCs w:val="16"/>
              </w:rPr>
              <w:t>2.1.</w:t>
            </w:r>
            <w:r w:rsidR="008B4DD5" w:rsidRPr="00E16672">
              <w:rPr>
                <w:rFonts w:ascii="Times New Roman" w:hAnsi="Times New Roman"/>
                <w:color w:val="000000"/>
                <w:sz w:val="16"/>
                <w:szCs w:val="16"/>
              </w:rPr>
              <w:t>11</w:t>
            </w:r>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To</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execute</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for</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the</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account</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in</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securities</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of</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the</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Depositor</w:t>
            </w:r>
            <w:proofErr w:type="spellEnd"/>
            <w:r w:rsidRPr="00E16672">
              <w:rPr>
                <w:rFonts w:ascii="Times New Roman" w:hAnsi="Times New Roman"/>
                <w:color w:val="000000"/>
                <w:sz w:val="16"/>
                <w:szCs w:val="16"/>
              </w:rPr>
              <w:t xml:space="preserve">, </w:t>
            </w:r>
            <w:r w:rsidRPr="00E16672">
              <w:rPr>
                <w:rFonts w:ascii="Times New Roman" w:hAnsi="Times New Roman"/>
                <w:color w:val="000000"/>
                <w:sz w:val="16"/>
                <w:szCs w:val="16"/>
                <w:lang w:val="en-US"/>
              </w:rPr>
              <w:t xml:space="preserve">if </w:t>
            </w:r>
            <w:proofErr w:type="spellStart"/>
            <w:r w:rsidRPr="00E16672">
              <w:rPr>
                <w:rFonts w:ascii="Times New Roman" w:hAnsi="Times New Roman"/>
                <w:color w:val="000000"/>
                <w:sz w:val="16"/>
                <w:szCs w:val="16"/>
              </w:rPr>
              <w:t>Depositor</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was</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taken</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on</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account</w:t>
            </w:r>
            <w:proofErr w:type="spellEnd"/>
            <w:r w:rsidRPr="00E16672">
              <w:rPr>
                <w:rFonts w:ascii="Times New Roman" w:hAnsi="Times New Roman"/>
                <w:color w:val="000000"/>
                <w:sz w:val="16"/>
                <w:szCs w:val="16"/>
              </w:rPr>
              <w:t xml:space="preserve"> </w:t>
            </w:r>
            <w:r w:rsidRPr="00E16672">
              <w:rPr>
                <w:rFonts w:ascii="Times New Roman" w:hAnsi="Times New Roman"/>
                <w:color w:val="000000"/>
                <w:sz w:val="16"/>
                <w:szCs w:val="16"/>
                <w:lang w:val="en-US"/>
              </w:rPr>
              <w:t>Accounting</w:t>
            </w:r>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center</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or</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clearing</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institution</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administrative</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operations</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as</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defined</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by</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Regulation</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of</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the</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Central</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Depository</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as</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that</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could</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lead</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to</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the</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impossibility</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of</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making</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payments</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on</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securities</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transactions</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on</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the</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results</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only</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after</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receiving</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information</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from</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the</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Central</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Depository</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of</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entry</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in</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the</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internal</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accounting</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system</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Accounting</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center</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or</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clearing</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institution</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appropriate</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changes</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for</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such</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Depositor</w:t>
            </w:r>
            <w:proofErr w:type="spellEnd"/>
            <w:r w:rsidRPr="00E16672">
              <w:rPr>
                <w:rFonts w:ascii="Times New Roman" w:hAnsi="Times New Roman"/>
                <w:color w:val="000000"/>
                <w:sz w:val="16"/>
                <w:szCs w:val="16"/>
              </w:rPr>
              <w:t>.</w:t>
            </w:r>
          </w:p>
          <w:p w14:paraId="4ADC64BC" w14:textId="77777777" w:rsidR="00E51F85" w:rsidRPr="00E16672" w:rsidRDefault="00E51F85" w:rsidP="001C2A36">
            <w:pPr>
              <w:ind w:left="142" w:right="138"/>
              <w:jc w:val="center"/>
              <w:rPr>
                <w:rFonts w:ascii="Times New Roman" w:hAnsi="Times New Roman"/>
                <w:b/>
                <w:bCs/>
                <w:color w:val="000000"/>
                <w:sz w:val="16"/>
                <w:szCs w:val="16"/>
                <w:lang w:val="en-GB"/>
              </w:rPr>
            </w:pPr>
          </w:p>
        </w:tc>
      </w:tr>
      <w:tr w:rsidR="00E51F85" w:rsidRPr="00F23413" w14:paraId="18031236" w14:textId="77777777" w:rsidTr="00D77858">
        <w:tblPrEx>
          <w:tblCellMar>
            <w:left w:w="0" w:type="dxa"/>
            <w:right w:w="0" w:type="dxa"/>
          </w:tblCellMar>
        </w:tblPrEx>
        <w:trPr>
          <w:trHeight w:val="192"/>
        </w:trPr>
        <w:tc>
          <w:tcPr>
            <w:tcW w:w="5696" w:type="dxa"/>
            <w:gridSpan w:val="6"/>
            <w:shd w:val="clear" w:color="auto" w:fill="auto"/>
          </w:tcPr>
          <w:p w14:paraId="27741122" w14:textId="77777777" w:rsidR="00E51F85" w:rsidRPr="00E16672" w:rsidRDefault="00E51F85" w:rsidP="008F2FF8">
            <w:pPr>
              <w:pStyle w:val="1b"/>
              <w:snapToGrid w:val="0"/>
              <w:spacing w:before="0" w:after="0"/>
              <w:ind w:left="182" w:right="138" w:hanging="7"/>
              <w:rPr>
                <w:rFonts w:ascii="Times New Roman" w:hAnsi="Times New Roman" w:cs="Times New Roman"/>
                <w:color w:val="000000"/>
                <w:sz w:val="16"/>
                <w:szCs w:val="16"/>
                <w:shd w:val="clear" w:color="auto" w:fill="FFFFFF"/>
              </w:rPr>
            </w:pPr>
            <w:r w:rsidRPr="00E16672">
              <w:rPr>
                <w:rFonts w:ascii="Times New Roman" w:hAnsi="Times New Roman" w:cs="Times New Roman"/>
                <w:color w:val="000000"/>
                <w:sz w:val="16"/>
                <w:szCs w:val="16"/>
              </w:rPr>
              <w:t>2.1.</w:t>
            </w:r>
            <w:r w:rsidR="008B4DD5" w:rsidRPr="00E16672">
              <w:rPr>
                <w:rFonts w:ascii="Times New Roman" w:hAnsi="Times New Roman" w:cs="Times New Roman"/>
                <w:color w:val="000000"/>
                <w:sz w:val="16"/>
                <w:szCs w:val="16"/>
              </w:rPr>
              <w:t>12</w:t>
            </w:r>
            <w:r w:rsidRPr="00E16672">
              <w:rPr>
                <w:rFonts w:ascii="Times New Roman" w:hAnsi="Times New Roman" w:cs="Times New Roman"/>
                <w:color w:val="000000"/>
                <w:sz w:val="16"/>
                <w:szCs w:val="16"/>
              </w:rPr>
              <w:t xml:space="preserve">. Не здійснювати депозитарних операцій за рахунком </w:t>
            </w:r>
            <w:r w:rsidR="00C22309" w:rsidRPr="00E16672">
              <w:rPr>
                <w:rFonts w:ascii="Times New Roman" w:hAnsi="Times New Roman" w:cs="Times New Roman"/>
                <w:color w:val="000000"/>
                <w:sz w:val="16"/>
                <w:szCs w:val="16"/>
              </w:rPr>
              <w:t>в цін</w:t>
            </w:r>
            <w:r w:rsidRPr="00E16672">
              <w:rPr>
                <w:rFonts w:ascii="Times New Roman" w:hAnsi="Times New Roman" w:cs="Times New Roman"/>
                <w:color w:val="000000"/>
                <w:sz w:val="16"/>
                <w:szCs w:val="16"/>
              </w:rPr>
              <w:t xml:space="preserve">них паперах у випадку виявлення порушень вимог подання, заповнення розпорядження та захисту інформації, яка потрібна для здійснення цих операцій Депозитарною установою, або якщо виконання цього розпорядження буде суперечити законодавству </w:t>
            </w:r>
            <w:r w:rsidRPr="00E16672">
              <w:rPr>
                <w:rFonts w:ascii="Times New Roman" w:hAnsi="Times New Roman" w:cs="Times New Roman"/>
                <w:color w:val="000000"/>
                <w:sz w:val="16"/>
                <w:szCs w:val="16"/>
                <w:shd w:val="clear" w:color="auto" w:fill="FFFFFF"/>
              </w:rPr>
              <w:t>України, або законодавству країн, в яких укладені угоди, на підставі яких здійснюється розпорядження.</w:t>
            </w:r>
          </w:p>
          <w:p w14:paraId="2AC201D2" w14:textId="77777777" w:rsidR="00E51F85" w:rsidRPr="00E16672" w:rsidRDefault="00E51F85" w:rsidP="00547A75">
            <w:pPr>
              <w:pStyle w:val="WW-"/>
              <w:ind w:left="182" w:right="138" w:firstLine="40"/>
              <w:jc w:val="both"/>
              <w:rPr>
                <w:color w:val="000000"/>
                <w:sz w:val="10"/>
                <w:szCs w:val="10"/>
                <w:lang w:val="en-US"/>
              </w:rPr>
            </w:pPr>
          </w:p>
        </w:tc>
        <w:tc>
          <w:tcPr>
            <w:tcW w:w="5494" w:type="dxa"/>
            <w:gridSpan w:val="7"/>
            <w:shd w:val="clear" w:color="auto" w:fill="auto"/>
          </w:tcPr>
          <w:p w14:paraId="6FCC9F2A" w14:textId="77777777" w:rsidR="00E51F85" w:rsidRPr="00E16672" w:rsidRDefault="00E51F85" w:rsidP="008B4DD5">
            <w:pPr>
              <w:pStyle w:val="210"/>
              <w:snapToGrid w:val="0"/>
              <w:ind w:left="142" w:right="138" w:firstLine="0"/>
              <w:rPr>
                <w:rFonts w:ascii="Times New Roman" w:hAnsi="Times New Roman"/>
                <w:color w:val="000000"/>
                <w:sz w:val="16"/>
                <w:szCs w:val="16"/>
                <w:lang w:val="en-GB"/>
              </w:rPr>
            </w:pPr>
            <w:r w:rsidRPr="00E16672">
              <w:rPr>
                <w:rFonts w:ascii="Times New Roman" w:hAnsi="Times New Roman"/>
                <w:color w:val="000000"/>
                <w:sz w:val="16"/>
                <w:szCs w:val="16"/>
              </w:rPr>
              <w:t>2.1.</w:t>
            </w:r>
            <w:r w:rsidR="008B4DD5" w:rsidRPr="00E16672">
              <w:rPr>
                <w:rFonts w:ascii="Times New Roman" w:hAnsi="Times New Roman"/>
                <w:color w:val="000000"/>
                <w:sz w:val="16"/>
                <w:szCs w:val="16"/>
              </w:rPr>
              <w:t>12</w:t>
            </w:r>
            <w:r w:rsidRPr="00E16672">
              <w:rPr>
                <w:rFonts w:ascii="Times New Roman" w:hAnsi="Times New Roman"/>
                <w:color w:val="000000"/>
                <w:sz w:val="16"/>
                <w:szCs w:val="16"/>
                <w:lang w:val="en-GB"/>
              </w:rPr>
              <w:t>. Not to carry out any depository operation with the account on securities in the case of exposure of violations of requirements of presentation, filling of order and defence of an information, which is needed for realization of these operations of Depository institution, or if implementation of this order will conflict with the current legislation of Ukraine, or legislation of countries, which the celled agreements which an order is carried out on the basis of are in.</w:t>
            </w:r>
          </w:p>
        </w:tc>
      </w:tr>
      <w:tr w:rsidR="00E51F85" w:rsidRPr="00F23413" w14:paraId="4B9CE8F0" w14:textId="77777777" w:rsidTr="00D77858">
        <w:tblPrEx>
          <w:tblCellMar>
            <w:left w:w="0" w:type="dxa"/>
            <w:right w:w="0" w:type="dxa"/>
          </w:tblCellMar>
        </w:tblPrEx>
        <w:trPr>
          <w:trHeight w:val="192"/>
        </w:trPr>
        <w:tc>
          <w:tcPr>
            <w:tcW w:w="5696" w:type="dxa"/>
            <w:gridSpan w:val="6"/>
            <w:shd w:val="clear" w:color="auto" w:fill="auto"/>
          </w:tcPr>
          <w:p w14:paraId="48DE5026" w14:textId="77777777" w:rsidR="00E51F85" w:rsidRPr="00E16672" w:rsidRDefault="00E51F85" w:rsidP="008F2FF8">
            <w:pPr>
              <w:pStyle w:val="ab"/>
              <w:ind w:left="182" w:right="138" w:hanging="7"/>
              <w:jc w:val="both"/>
              <w:rPr>
                <w:rFonts w:ascii="Times New Roman" w:hAnsi="Times New Roman"/>
                <w:b w:val="0"/>
                <w:color w:val="000000"/>
                <w:lang w:eastAsia="hi-IN" w:bidi="hi-IN"/>
              </w:rPr>
            </w:pPr>
            <w:r w:rsidRPr="00E16672">
              <w:rPr>
                <w:rFonts w:ascii="Times New Roman" w:hAnsi="Times New Roman"/>
                <w:b w:val="0"/>
                <w:color w:val="000000"/>
                <w:sz w:val="16"/>
                <w:szCs w:val="16"/>
                <w:shd w:val="clear" w:color="auto" w:fill="FFFFFF"/>
              </w:rPr>
              <w:t>2.1.</w:t>
            </w:r>
            <w:r w:rsidR="008B4DD5" w:rsidRPr="00E16672">
              <w:rPr>
                <w:rFonts w:ascii="Times New Roman" w:hAnsi="Times New Roman"/>
                <w:b w:val="0"/>
                <w:color w:val="000000"/>
                <w:sz w:val="16"/>
                <w:szCs w:val="16"/>
                <w:shd w:val="clear" w:color="auto" w:fill="FFFFFF"/>
              </w:rPr>
              <w:t>13</w:t>
            </w:r>
            <w:r w:rsidRPr="00E16672">
              <w:rPr>
                <w:rFonts w:ascii="Times New Roman" w:hAnsi="Times New Roman"/>
                <w:b w:val="0"/>
                <w:color w:val="000000"/>
                <w:sz w:val="16"/>
                <w:szCs w:val="16"/>
                <w:shd w:val="clear" w:color="auto" w:fill="FFFFFF"/>
              </w:rPr>
              <w:t xml:space="preserve">. Забезпечувати збереження та конфіденційність інформації, що міститься у системі депозитарного обліку, стосовно цінних паперів на рахунку </w:t>
            </w:r>
            <w:r w:rsidR="00C22309" w:rsidRPr="00E16672">
              <w:rPr>
                <w:rFonts w:ascii="Times New Roman" w:hAnsi="Times New Roman"/>
                <w:b w:val="0"/>
                <w:color w:val="000000"/>
                <w:sz w:val="16"/>
                <w:szCs w:val="16"/>
                <w:shd w:val="clear" w:color="auto" w:fill="FFFFFF"/>
              </w:rPr>
              <w:t>в цін</w:t>
            </w:r>
            <w:r w:rsidRPr="00E16672">
              <w:rPr>
                <w:rFonts w:ascii="Times New Roman" w:hAnsi="Times New Roman"/>
                <w:b w:val="0"/>
                <w:color w:val="000000"/>
                <w:sz w:val="16"/>
                <w:szCs w:val="16"/>
                <w:shd w:val="clear" w:color="auto" w:fill="FFFFFF"/>
              </w:rPr>
              <w:t xml:space="preserve">них паперах Депонента, а також будь-якої іншої інформації, що може завдати шкоду Депоненту. Обов’язки щодо зберігання конфіденційності інформації не виникають у випадках, якщо розголошування подібної інформації мало місце внаслідок дій судових або інших уповноважених чинним законодавством органів </w:t>
            </w:r>
            <w:r w:rsidRPr="00E16672">
              <w:rPr>
                <w:rFonts w:ascii="Times New Roman" w:hAnsi="Times New Roman"/>
                <w:b w:val="0"/>
                <w:color w:val="000000"/>
                <w:sz w:val="16"/>
                <w:szCs w:val="16"/>
              </w:rPr>
              <w:t>або в інших випадках відповідно до вимог чинного законодавства.</w:t>
            </w:r>
          </w:p>
        </w:tc>
        <w:tc>
          <w:tcPr>
            <w:tcW w:w="5494" w:type="dxa"/>
            <w:gridSpan w:val="7"/>
            <w:shd w:val="clear" w:color="auto" w:fill="auto"/>
          </w:tcPr>
          <w:p w14:paraId="13B593EE" w14:textId="77777777" w:rsidR="00E51F85" w:rsidRPr="00E16672" w:rsidRDefault="00E51F85" w:rsidP="001C2A36">
            <w:pPr>
              <w:pStyle w:val="210"/>
              <w:snapToGrid w:val="0"/>
              <w:ind w:left="142" w:right="138" w:firstLine="0"/>
              <w:rPr>
                <w:rFonts w:ascii="Times New Roman" w:eastAsia="Lucida Sans Unicode" w:hAnsi="Times New Roman"/>
                <w:color w:val="000000"/>
                <w:sz w:val="16"/>
                <w:szCs w:val="16"/>
                <w:shd w:val="clear" w:color="auto" w:fill="FFFFFF"/>
              </w:rPr>
            </w:pPr>
            <w:r w:rsidRPr="00E16672">
              <w:rPr>
                <w:rFonts w:ascii="Times New Roman" w:eastAsia="Lucida Sans Unicode" w:hAnsi="Times New Roman"/>
                <w:color w:val="000000"/>
                <w:sz w:val="16"/>
                <w:szCs w:val="16"/>
                <w:shd w:val="clear" w:color="auto" w:fill="FFFFFF"/>
                <w:lang w:val="en-US"/>
              </w:rPr>
              <w:t>2</w:t>
            </w:r>
            <w:r w:rsidRPr="00E16672">
              <w:rPr>
                <w:rFonts w:ascii="Times New Roman" w:eastAsia="Lucida Sans Unicode" w:hAnsi="Times New Roman"/>
                <w:color w:val="000000"/>
                <w:sz w:val="16"/>
                <w:szCs w:val="16"/>
                <w:shd w:val="clear" w:color="auto" w:fill="FFFFFF"/>
              </w:rPr>
              <w:t>.1.</w:t>
            </w:r>
            <w:r w:rsidR="008B4DD5" w:rsidRPr="00E16672">
              <w:rPr>
                <w:rFonts w:ascii="Times New Roman" w:eastAsia="Lucida Sans Unicode" w:hAnsi="Times New Roman"/>
                <w:color w:val="000000"/>
                <w:sz w:val="16"/>
                <w:szCs w:val="16"/>
                <w:shd w:val="clear" w:color="auto" w:fill="FFFFFF"/>
                <w:lang w:val="en-US"/>
              </w:rPr>
              <w:t>1</w:t>
            </w:r>
            <w:r w:rsidR="008B4DD5" w:rsidRPr="00E16672">
              <w:rPr>
                <w:rFonts w:ascii="Times New Roman" w:eastAsia="Lucida Sans Unicode" w:hAnsi="Times New Roman"/>
                <w:color w:val="000000"/>
                <w:sz w:val="16"/>
                <w:szCs w:val="16"/>
                <w:shd w:val="clear" w:color="auto" w:fill="FFFFFF"/>
              </w:rPr>
              <w:t>3</w:t>
            </w:r>
            <w:r w:rsidRPr="00E16672">
              <w:rPr>
                <w:rFonts w:ascii="Times New Roman" w:eastAsia="Lucida Sans Unicode" w:hAnsi="Times New Roman"/>
                <w:color w:val="000000"/>
                <w:sz w:val="16"/>
                <w:szCs w:val="16"/>
                <w:shd w:val="clear" w:color="auto" w:fill="FFFFFF"/>
              </w:rPr>
              <w:t xml:space="preserve">. </w:t>
            </w:r>
            <w:proofErr w:type="spellStart"/>
            <w:r w:rsidRPr="00E16672">
              <w:rPr>
                <w:rFonts w:ascii="Times New Roman" w:eastAsia="Lucida Sans Unicode" w:hAnsi="Times New Roman"/>
                <w:color w:val="000000"/>
                <w:sz w:val="16"/>
                <w:szCs w:val="16"/>
                <w:shd w:val="clear" w:color="auto" w:fill="FFFFFF"/>
              </w:rPr>
              <w:t>To</w:t>
            </w:r>
            <w:proofErr w:type="spellEnd"/>
            <w:r w:rsidRPr="00E16672">
              <w:rPr>
                <w:rFonts w:ascii="Times New Roman" w:eastAsia="Lucida Sans Unicode" w:hAnsi="Times New Roman"/>
                <w:color w:val="000000"/>
                <w:sz w:val="16"/>
                <w:szCs w:val="16"/>
                <w:shd w:val="clear" w:color="auto" w:fill="FFFFFF"/>
              </w:rPr>
              <w:t xml:space="preserve"> </w:t>
            </w:r>
            <w:proofErr w:type="spellStart"/>
            <w:r w:rsidRPr="00E16672">
              <w:rPr>
                <w:rFonts w:ascii="Times New Roman" w:eastAsia="Lucida Sans Unicode" w:hAnsi="Times New Roman"/>
                <w:color w:val="000000"/>
                <w:sz w:val="16"/>
                <w:szCs w:val="16"/>
                <w:shd w:val="clear" w:color="auto" w:fill="FFFFFF"/>
              </w:rPr>
              <w:t>ensure</w:t>
            </w:r>
            <w:proofErr w:type="spellEnd"/>
            <w:r w:rsidRPr="00E16672">
              <w:rPr>
                <w:rFonts w:ascii="Times New Roman" w:eastAsia="Lucida Sans Unicode" w:hAnsi="Times New Roman"/>
                <w:color w:val="000000"/>
                <w:sz w:val="16"/>
                <w:szCs w:val="16"/>
                <w:shd w:val="clear" w:color="auto" w:fill="FFFFFF"/>
              </w:rPr>
              <w:t xml:space="preserve"> </w:t>
            </w:r>
            <w:proofErr w:type="spellStart"/>
            <w:r w:rsidRPr="00E16672">
              <w:rPr>
                <w:rFonts w:ascii="Times New Roman" w:eastAsia="Lucida Sans Unicode" w:hAnsi="Times New Roman"/>
                <w:color w:val="000000"/>
                <w:sz w:val="16"/>
                <w:szCs w:val="16"/>
                <w:shd w:val="clear" w:color="auto" w:fill="FFFFFF"/>
              </w:rPr>
              <w:t>custody</w:t>
            </w:r>
            <w:proofErr w:type="spellEnd"/>
            <w:r w:rsidRPr="00E16672">
              <w:rPr>
                <w:rFonts w:ascii="Times New Roman" w:eastAsia="Lucida Sans Unicode" w:hAnsi="Times New Roman"/>
                <w:color w:val="000000"/>
                <w:sz w:val="16"/>
                <w:szCs w:val="16"/>
                <w:shd w:val="clear" w:color="auto" w:fill="FFFFFF"/>
              </w:rPr>
              <w:t xml:space="preserve"> </w:t>
            </w:r>
            <w:proofErr w:type="spellStart"/>
            <w:r w:rsidRPr="00E16672">
              <w:rPr>
                <w:rFonts w:ascii="Times New Roman" w:eastAsia="Lucida Sans Unicode" w:hAnsi="Times New Roman"/>
                <w:color w:val="000000"/>
                <w:sz w:val="16"/>
                <w:szCs w:val="16"/>
                <w:shd w:val="clear" w:color="auto" w:fill="FFFFFF"/>
              </w:rPr>
              <w:t>and</w:t>
            </w:r>
            <w:proofErr w:type="spellEnd"/>
            <w:r w:rsidRPr="00E16672">
              <w:rPr>
                <w:rFonts w:ascii="Times New Roman" w:eastAsia="Lucida Sans Unicode" w:hAnsi="Times New Roman"/>
                <w:color w:val="000000"/>
                <w:sz w:val="16"/>
                <w:szCs w:val="16"/>
                <w:shd w:val="clear" w:color="auto" w:fill="FFFFFF"/>
              </w:rPr>
              <w:t xml:space="preserve"> </w:t>
            </w:r>
            <w:proofErr w:type="spellStart"/>
            <w:r w:rsidRPr="00E16672">
              <w:rPr>
                <w:rFonts w:ascii="Times New Roman" w:eastAsia="Lucida Sans Unicode" w:hAnsi="Times New Roman"/>
                <w:color w:val="000000"/>
                <w:sz w:val="16"/>
                <w:szCs w:val="16"/>
                <w:shd w:val="clear" w:color="auto" w:fill="FFFFFF"/>
              </w:rPr>
              <w:t>confidentiality</w:t>
            </w:r>
            <w:proofErr w:type="spellEnd"/>
            <w:r w:rsidRPr="00E16672">
              <w:rPr>
                <w:rFonts w:ascii="Times New Roman" w:eastAsia="Lucida Sans Unicode" w:hAnsi="Times New Roman"/>
                <w:color w:val="000000"/>
                <w:sz w:val="16"/>
                <w:szCs w:val="16"/>
                <w:shd w:val="clear" w:color="auto" w:fill="FFFFFF"/>
              </w:rPr>
              <w:t xml:space="preserve"> </w:t>
            </w:r>
            <w:proofErr w:type="spellStart"/>
            <w:r w:rsidRPr="00E16672">
              <w:rPr>
                <w:rFonts w:ascii="Times New Roman" w:eastAsia="Lucida Sans Unicode" w:hAnsi="Times New Roman"/>
                <w:color w:val="000000"/>
                <w:sz w:val="16"/>
                <w:szCs w:val="16"/>
                <w:shd w:val="clear" w:color="auto" w:fill="FFFFFF"/>
              </w:rPr>
              <w:t>of</w:t>
            </w:r>
            <w:proofErr w:type="spellEnd"/>
            <w:r w:rsidRPr="00E16672">
              <w:rPr>
                <w:rFonts w:ascii="Times New Roman" w:eastAsia="Lucida Sans Unicode" w:hAnsi="Times New Roman"/>
                <w:color w:val="000000"/>
                <w:sz w:val="16"/>
                <w:szCs w:val="16"/>
                <w:shd w:val="clear" w:color="auto" w:fill="FFFFFF"/>
              </w:rPr>
              <w:t xml:space="preserve"> </w:t>
            </w:r>
            <w:proofErr w:type="spellStart"/>
            <w:r w:rsidRPr="00E16672">
              <w:rPr>
                <w:rFonts w:ascii="Times New Roman" w:eastAsia="Lucida Sans Unicode" w:hAnsi="Times New Roman"/>
                <w:color w:val="000000"/>
                <w:sz w:val="16"/>
                <w:szCs w:val="16"/>
                <w:shd w:val="clear" w:color="auto" w:fill="FFFFFF"/>
              </w:rPr>
              <w:t>information</w:t>
            </w:r>
            <w:proofErr w:type="spellEnd"/>
            <w:r w:rsidRPr="00E16672">
              <w:rPr>
                <w:rFonts w:ascii="Times New Roman" w:eastAsia="Lucida Sans Unicode" w:hAnsi="Times New Roman"/>
                <w:color w:val="000000"/>
                <w:sz w:val="16"/>
                <w:szCs w:val="16"/>
                <w:shd w:val="clear" w:color="auto" w:fill="FFFFFF"/>
              </w:rPr>
              <w:t xml:space="preserve">, </w:t>
            </w:r>
            <w:proofErr w:type="spellStart"/>
            <w:r w:rsidRPr="00E16672">
              <w:rPr>
                <w:rFonts w:ascii="Times New Roman" w:eastAsia="Lucida Sans Unicode" w:hAnsi="Times New Roman"/>
                <w:color w:val="000000"/>
                <w:sz w:val="16"/>
                <w:szCs w:val="16"/>
                <w:shd w:val="clear" w:color="auto" w:fill="FFFFFF"/>
              </w:rPr>
              <w:t>contained</w:t>
            </w:r>
            <w:proofErr w:type="spellEnd"/>
            <w:r w:rsidRPr="00E16672">
              <w:rPr>
                <w:rFonts w:ascii="Times New Roman" w:eastAsia="Lucida Sans Unicode" w:hAnsi="Times New Roman"/>
                <w:color w:val="000000"/>
                <w:sz w:val="16"/>
                <w:szCs w:val="16"/>
                <w:shd w:val="clear" w:color="auto" w:fill="FFFFFF"/>
              </w:rPr>
              <w:t xml:space="preserve"> </w:t>
            </w:r>
            <w:proofErr w:type="spellStart"/>
            <w:r w:rsidRPr="00E16672">
              <w:rPr>
                <w:rFonts w:ascii="Times New Roman" w:eastAsia="Lucida Sans Unicode" w:hAnsi="Times New Roman"/>
                <w:color w:val="000000"/>
                <w:sz w:val="16"/>
                <w:szCs w:val="16"/>
                <w:shd w:val="clear" w:color="auto" w:fill="FFFFFF"/>
              </w:rPr>
              <w:t>in</w:t>
            </w:r>
            <w:proofErr w:type="spellEnd"/>
            <w:r w:rsidRPr="00E16672">
              <w:rPr>
                <w:rFonts w:ascii="Times New Roman" w:eastAsia="Lucida Sans Unicode" w:hAnsi="Times New Roman"/>
                <w:color w:val="000000"/>
                <w:sz w:val="16"/>
                <w:szCs w:val="16"/>
                <w:shd w:val="clear" w:color="auto" w:fill="FFFFFF"/>
              </w:rPr>
              <w:t xml:space="preserve"> </w:t>
            </w:r>
            <w:proofErr w:type="spellStart"/>
            <w:r w:rsidRPr="00E16672">
              <w:rPr>
                <w:rFonts w:ascii="Times New Roman" w:eastAsia="Lucida Sans Unicode" w:hAnsi="Times New Roman"/>
                <w:color w:val="000000"/>
                <w:sz w:val="16"/>
                <w:szCs w:val="16"/>
                <w:shd w:val="clear" w:color="auto" w:fill="FFFFFF"/>
              </w:rPr>
              <w:t>the</w:t>
            </w:r>
            <w:proofErr w:type="spellEnd"/>
            <w:r w:rsidRPr="00E16672">
              <w:rPr>
                <w:rFonts w:ascii="Times New Roman" w:eastAsia="Lucida Sans Unicode" w:hAnsi="Times New Roman"/>
                <w:color w:val="000000"/>
                <w:sz w:val="16"/>
                <w:szCs w:val="16"/>
                <w:shd w:val="clear" w:color="auto" w:fill="FFFFFF"/>
              </w:rPr>
              <w:t xml:space="preserve"> </w:t>
            </w:r>
            <w:proofErr w:type="spellStart"/>
            <w:r w:rsidRPr="00E16672">
              <w:rPr>
                <w:rFonts w:ascii="Times New Roman" w:eastAsia="Lucida Sans Unicode" w:hAnsi="Times New Roman"/>
                <w:color w:val="000000"/>
                <w:sz w:val="16"/>
                <w:szCs w:val="16"/>
                <w:shd w:val="clear" w:color="auto" w:fill="FFFFFF"/>
              </w:rPr>
              <w:t>system</w:t>
            </w:r>
            <w:proofErr w:type="spellEnd"/>
            <w:r w:rsidRPr="00E16672">
              <w:rPr>
                <w:rFonts w:ascii="Times New Roman" w:eastAsia="Lucida Sans Unicode" w:hAnsi="Times New Roman"/>
                <w:color w:val="000000"/>
                <w:sz w:val="16"/>
                <w:szCs w:val="16"/>
                <w:shd w:val="clear" w:color="auto" w:fill="FFFFFF"/>
              </w:rPr>
              <w:t xml:space="preserve"> </w:t>
            </w:r>
            <w:proofErr w:type="spellStart"/>
            <w:r w:rsidRPr="00E16672">
              <w:rPr>
                <w:rFonts w:ascii="Times New Roman" w:eastAsia="Lucida Sans Unicode" w:hAnsi="Times New Roman"/>
                <w:color w:val="000000"/>
                <w:sz w:val="16"/>
                <w:szCs w:val="16"/>
                <w:shd w:val="clear" w:color="auto" w:fill="FFFFFF"/>
              </w:rPr>
              <w:t>of</w:t>
            </w:r>
            <w:proofErr w:type="spellEnd"/>
            <w:r w:rsidRPr="00E16672">
              <w:rPr>
                <w:rFonts w:ascii="Times New Roman" w:eastAsia="Lucida Sans Unicode" w:hAnsi="Times New Roman"/>
                <w:color w:val="000000"/>
                <w:sz w:val="16"/>
                <w:szCs w:val="16"/>
                <w:shd w:val="clear" w:color="auto" w:fill="FFFFFF"/>
              </w:rPr>
              <w:t xml:space="preserve"> </w:t>
            </w:r>
            <w:proofErr w:type="spellStart"/>
            <w:r w:rsidRPr="00E16672">
              <w:rPr>
                <w:rFonts w:ascii="Times New Roman" w:eastAsia="Lucida Sans Unicode" w:hAnsi="Times New Roman"/>
                <w:color w:val="000000"/>
                <w:sz w:val="16"/>
                <w:szCs w:val="16"/>
                <w:shd w:val="clear" w:color="auto" w:fill="FFFFFF"/>
              </w:rPr>
              <w:t>depository</w:t>
            </w:r>
            <w:proofErr w:type="spellEnd"/>
            <w:r w:rsidRPr="00E16672">
              <w:rPr>
                <w:rFonts w:ascii="Times New Roman" w:eastAsia="Lucida Sans Unicode" w:hAnsi="Times New Roman"/>
                <w:color w:val="000000"/>
                <w:sz w:val="16"/>
                <w:szCs w:val="16"/>
                <w:shd w:val="clear" w:color="auto" w:fill="FFFFFF"/>
              </w:rPr>
              <w:t xml:space="preserve"> </w:t>
            </w:r>
            <w:proofErr w:type="spellStart"/>
            <w:r w:rsidRPr="00E16672">
              <w:rPr>
                <w:rFonts w:ascii="Times New Roman" w:eastAsia="Lucida Sans Unicode" w:hAnsi="Times New Roman"/>
                <w:color w:val="000000"/>
                <w:sz w:val="16"/>
                <w:szCs w:val="16"/>
                <w:shd w:val="clear" w:color="auto" w:fill="FFFFFF"/>
              </w:rPr>
              <w:t>account</w:t>
            </w:r>
            <w:proofErr w:type="spellEnd"/>
            <w:r w:rsidRPr="00E16672">
              <w:rPr>
                <w:rFonts w:ascii="Times New Roman" w:eastAsia="Lucida Sans Unicode" w:hAnsi="Times New Roman"/>
                <w:color w:val="000000"/>
                <w:sz w:val="16"/>
                <w:szCs w:val="16"/>
                <w:shd w:val="clear" w:color="auto" w:fill="FFFFFF"/>
              </w:rPr>
              <w:t xml:space="preserve">, </w:t>
            </w:r>
            <w:proofErr w:type="spellStart"/>
            <w:r w:rsidRPr="00E16672">
              <w:rPr>
                <w:rFonts w:ascii="Times New Roman" w:eastAsia="Lucida Sans Unicode" w:hAnsi="Times New Roman"/>
                <w:color w:val="000000"/>
                <w:sz w:val="16"/>
                <w:szCs w:val="16"/>
                <w:shd w:val="clear" w:color="auto" w:fill="FFFFFF"/>
              </w:rPr>
              <w:t>concerning</w:t>
            </w:r>
            <w:proofErr w:type="spellEnd"/>
            <w:r w:rsidRPr="00E16672">
              <w:rPr>
                <w:rFonts w:ascii="Times New Roman" w:eastAsia="Lucida Sans Unicode" w:hAnsi="Times New Roman"/>
                <w:color w:val="000000"/>
                <w:sz w:val="16"/>
                <w:szCs w:val="16"/>
                <w:shd w:val="clear" w:color="auto" w:fill="FFFFFF"/>
              </w:rPr>
              <w:t xml:space="preserve"> </w:t>
            </w:r>
            <w:proofErr w:type="spellStart"/>
            <w:r w:rsidRPr="00E16672">
              <w:rPr>
                <w:rFonts w:ascii="Times New Roman" w:eastAsia="Lucida Sans Unicode" w:hAnsi="Times New Roman"/>
                <w:color w:val="000000"/>
                <w:sz w:val="16"/>
                <w:szCs w:val="16"/>
                <w:shd w:val="clear" w:color="auto" w:fill="FFFFFF"/>
              </w:rPr>
              <w:t>the</w:t>
            </w:r>
            <w:proofErr w:type="spellEnd"/>
            <w:r w:rsidRPr="00E16672">
              <w:rPr>
                <w:rFonts w:ascii="Times New Roman" w:eastAsia="Lucida Sans Unicode" w:hAnsi="Times New Roman"/>
                <w:color w:val="000000"/>
                <w:sz w:val="16"/>
                <w:szCs w:val="16"/>
                <w:shd w:val="clear" w:color="auto" w:fill="FFFFFF"/>
              </w:rPr>
              <w:t xml:space="preserve"> </w:t>
            </w:r>
            <w:proofErr w:type="spellStart"/>
            <w:r w:rsidRPr="00E16672">
              <w:rPr>
                <w:rFonts w:ascii="Times New Roman" w:eastAsia="Lucida Sans Unicode" w:hAnsi="Times New Roman"/>
                <w:color w:val="000000"/>
                <w:sz w:val="16"/>
                <w:szCs w:val="16"/>
                <w:shd w:val="clear" w:color="auto" w:fill="FFFFFF"/>
              </w:rPr>
              <w:t>securities</w:t>
            </w:r>
            <w:proofErr w:type="spellEnd"/>
            <w:r w:rsidRPr="00E16672">
              <w:rPr>
                <w:rFonts w:ascii="Times New Roman" w:eastAsia="Lucida Sans Unicode" w:hAnsi="Times New Roman"/>
                <w:color w:val="000000"/>
                <w:sz w:val="16"/>
                <w:szCs w:val="16"/>
                <w:shd w:val="clear" w:color="auto" w:fill="FFFFFF"/>
              </w:rPr>
              <w:t xml:space="preserve"> </w:t>
            </w:r>
            <w:proofErr w:type="spellStart"/>
            <w:r w:rsidRPr="00E16672">
              <w:rPr>
                <w:rFonts w:ascii="Times New Roman" w:eastAsia="Lucida Sans Unicode" w:hAnsi="Times New Roman"/>
                <w:color w:val="000000"/>
                <w:sz w:val="16"/>
                <w:szCs w:val="16"/>
                <w:shd w:val="clear" w:color="auto" w:fill="FFFFFF"/>
              </w:rPr>
              <w:t>accounted</w:t>
            </w:r>
            <w:proofErr w:type="spellEnd"/>
            <w:r w:rsidRPr="00E16672">
              <w:rPr>
                <w:rFonts w:ascii="Times New Roman" w:eastAsia="Lucida Sans Unicode" w:hAnsi="Times New Roman"/>
                <w:color w:val="000000"/>
                <w:sz w:val="16"/>
                <w:szCs w:val="16"/>
                <w:shd w:val="clear" w:color="auto" w:fill="FFFFFF"/>
              </w:rPr>
              <w:t xml:space="preserve"> </w:t>
            </w:r>
            <w:proofErr w:type="spellStart"/>
            <w:r w:rsidRPr="00E16672">
              <w:rPr>
                <w:rFonts w:ascii="Times New Roman" w:eastAsia="Lucida Sans Unicode" w:hAnsi="Times New Roman"/>
                <w:color w:val="000000"/>
                <w:sz w:val="16"/>
                <w:szCs w:val="16"/>
                <w:shd w:val="clear" w:color="auto" w:fill="FFFFFF"/>
              </w:rPr>
              <w:t>on</w:t>
            </w:r>
            <w:proofErr w:type="spellEnd"/>
            <w:r w:rsidRPr="00E16672">
              <w:rPr>
                <w:rFonts w:ascii="Times New Roman" w:eastAsia="Lucida Sans Unicode" w:hAnsi="Times New Roman"/>
                <w:color w:val="000000"/>
                <w:sz w:val="16"/>
                <w:szCs w:val="16"/>
                <w:shd w:val="clear" w:color="auto" w:fill="FFFFFF"/>
              </w:rPr>
              <w:t xml:space="preserve"> </w:t>
            </w:r>
            <w:proofErr w:type="spellStart"/>
            <w:r w:rsidRPr="00E16672">
              <w:rPr>
                <w:rFonts w:ascii="Times New Roman" w:eastAsia="Lucida Sans Unicode" w:hAnsi="Times New Roman"/>
                <w:color w:val="000000"/>
                <w:sz w:val="16"/>
                <w:szCs w:val="16"/>
                <w:shd w:val="clear" w:color="auto" w:fill="FFFFFF"/>
              </w:rPr>
              <w:t>the</w:t>
            </w:r>
            <w:proofErr w:type="spellEnd"/>
            <w:r w:rsidRPr="00E16672">
              <w:rPr>
                <w:rFonts w:ascii="Times New Roman" w:eastAsia="Lucida Sans Unicode" w:hAnsi="Times New Roman"/>
                <w:color w:val="000000"/>
                <w:sz w:val="16"/>
                <w:szCs w:val="16"/>
                <w:shd w:val="clear" w:color="auto" w:fill="FFFFFF"/>
              </w:rPr>
              <w:t xml:space="preserve"> </w:t>
            </w:r>
            <w:proofErr w:type="spellStart"/>
            <w:r w:rsidRPr="00E16672">
              <w:rPr>
                <w:rFonts w:ascii="Times New Roman" w:eastAsia="Lucida Sans Unicode" w:hAnsi="Times New Roman"/>
                <w:color w:val="000000"/>
                <w:sz w:val="16"/>
                <w:szCs w:val="16"/>
                <w:shd w:val="clear" w:color="auto" w:fill="FFFFFF"/>
              </w:rPr>
              <w:t>Depositor’s</w:t>
            </w:r>
            <w:proofErr w:type="spellEnd"/>
            <w:r w:rsidRPr="00E16672">
              <w:rPr>
                <w:rFonts w:ascii="Times New Roman" w:eastAsia="Lucida Sans Unicode" w:hAnsi="Times New Roman"/>
                <w:color w:val="000000"/>
                <w:sz w:val="16"/>
                <w:szCs w:val="16"/>
                <w:shd w:val="clear" w:color="auto" w:fill="FFFFFF"/>
              </w:rPr>
              <w:t xml:space="preserve"> </w:t>
            </w:r>
            <w:proofErr w:type="spellStart"/>
            <w:r w:rsidRPr="00E16672">
              <w:rPr>
                <w:rFonts w:ascii="Times New Roman" w:eastAsia="Lucida Sans Unicode" w:hAnsi="Times New Roman"/>
                <w:color w:val="000000"/>
                <w:sz w:val="16"/>
                <w:szCs w:val="16"/>
                <w:shd w:val="clear" w:color="auto" w:fill="FFFFFF"/>
              </w:rPr>
              <w:t>account</w:t>
            </w:r>
            <w:proofErr w:type="spellEnd"/>
            <w:r w:rsidRPr="00E16672">
              <w:rPr>
                <w:rFonts w:ascii="Times New Roman" w:eastAsia="Lucida Sans Unicode" w:hAnsi="Times New Roman"/>
                <w:color w:val="000000"/>
                <w:sz w:val="16"/>
                <w:szCs w:val="16"/>
                <w:shd w:val="clear" w:color="auto" w:fill="FFFFFF"/>
              </w:rPr>
              <w:t xml:space="preserve"> </w:t>
            </w:r>
            <w:proofErr w:type="spellStart"/>
            <w:r w:rsidRPr="00E16672">
              <w:rPr>
                <w:rFonts w:ascii="Times New Roman" w:eastAsia="Lucida Sans Unicode" w:hAnsi="Times New Roman"/>
                <w:color w:val="000000"/>
                <w:sz w:val="16"/>
                <w:szCs w:val="16"/>
                <w:shd w:val="clear" w:color="auto" w:fill="FFFFFF"/>
              </w:rPr>
              <w:t>in</w:t>
            </w:r>
            <w:proofErr w:type="spellEnd"/>
            <w:r w:rsidRPr="00E16672">
              <w:rPr>
                <w:rFonts w:ascii="Times New Roman" w:eastAsia="Lucida Sans Unicode" w:hAnsi="Times New Roman"/>
                <w:color w:val="000000"/>
                <w:sz w:val="16"/>
                <w:szCs w:val="16"/>
                <w:shd w:val="clear" w:color="auto" w:fill="FFFFFF"/>
              </w:rPr>
              <w:t xml:space="preserve"> </w:t>
            </w:r>
            <w:proofErr w:type="spellStart"/>
            <w:r w:rsidRPr="00E16672">
              <w:rPr>
                <w:rFonts w:ascii="Times New Roman" w:eastAsia="Lucida Sans Unicode" w:hAnsi="Times New Roman"/>
                <w:color w:val="000000"/>
                <w:sz w:val="16"/>
                <w:szCs w:val="16"/>
                <w:shd w:val="clear" w:color="auto" w:fill="FFFFFF"/>
              </w:rPr>
              <w:t>securities</w:t>
            </w:r>
            <w:proofErr w:type="spellEnd"/>
            <w:r w:rsidRPr="00E16672">
              <w:rPr>
                <w:rFonts w:ascii="Times New Roman" w:eastAsia="Lucida Sans Unicode" w:hAnsi="Times New Roman"/>
                <w:color w:val="000000"/>
                <w:sz w:val="16"/>
                <w:szCs w:val="16"/>
                <w:shd w:val="clear" w:color="auto" w:fill="FFFFFF"/>
              </w:rPr>
              <w:t xml:space="preserve"> </w:t>
            </w:r>
            <w:proofErr w:type="spellStart"/>
            <w:r w:rsidRPr="00E16672">
              <w:rPr>
                <w:rFonts w:ascii="Times New Roman" w:eastAsia="Lucida Sans Unicode" w:hAnsi="Times New Roman"/>
                <w:color w:val="000000"/>
                <w:sz w:val="16"/>
                <w:szCs w:val="16"/>
                <w:shd w:val="clear" w:color="auto" w:fill="FFFFFF"/>
              </w:rPr>
              <w:t>and</w:t>
            </w:r>
            <w:proofErr w:type="spellEnd"/>
            <w:r w:rsidRPr="00E16672">
              <w:rPr>
                <w:rFonts w:ascii="Times New Roman" w:eastAsia="Lucida Sans Unicode" w:hAnsi="Times New Roman"/>
                <w:color w:val="000000"/>
                <w:sz w:val="16"/>
                <w:szCs w:val="16"/>
                <w:shd w:val="clear" w:color="auto" w:fill="FFFFFF"/>
              </w:rPr>
              <w:t xml:space="preserve"> </w:t>
            </w:r>
            <w:proofErr w:type="spellStart"/>
            <w:r w:rsidRPr="00E16672">
              <w:rPr>
                <w:rFonts w:ascii="Times New Roman" w:eastAsia="Lucida Sans Unicode" w:hAnsi="Times New Roman"/>
                <w:color w:val="000000"/>
                <w:sz w:val="16"/>
                <w:szCs w:val="16"/>
                <w:shd w:val="clear" w:color="auto" w:fill="FFFFFF"/>
              </w:rPr>
              <w:t>of</w:t>
            </w:r>
            <w:proofErr w:type="spellEnd"/>
            <w:r w:rsidRPr="00E16672">
              <w:rPr>
                <w:rFonts w:ascii="Times New Roman" w:eastAsia="Lucida Sans Unicode" w:hAnsi="Times New Roman"/>
                <w:color w:val="000000"/>
                <w:sz w:val="16"/>
                <w:szCs w:val="16"/>
                <w:shd w:val="clear" w:color="auto" w:fill="FFFFFF"/>
              </w:rPr>
              <w:t xml:space="preserve"> </w:t>
            </w:r>
            <w:proofErr w:type="spellStart"/>
            <w:r w:rsidRPr="00E16672">
              <w:rPr>
                <w:rFonts w:ascii="Times New Roman" w:eastAsia="Lucida Sans Unicode" w:hAnsi="Times New Roman"/>
                <w:color w:val="000000"/>
                <w:sz w:val="16"/>
                <w:szCs w:val="16"/>
                <w:shd w:val="clear" w:color="auto" w:fill="FFFFFF"/>
              </w:rPr>
              <w:t>any</w:t>
            </w:r>
            <w:proofErr w:type="spellEnd"/>
            <w:r w:rsidRPr="00E16672">
              <w:rPr>
                <w:rFonts w:ascii="Times New Roman" w:eastAsia="Lucida Sans Unicode" w:hAnsi="Times New Roman"/>
                <w:color w:val="000000"/>
                <w:sz w:val="16"/>
                <w:szCs w:val="16"/>
                <w:shd w:val="clear" w:color="auto" w:fill="FFFFFF"/>
              </w:rPr>
              <w:t xml:space="preserve"> </w:t>
            </w:r>
            <w:proofErr w:type="spellStart"/>
            <w:r w:rsidRPr="00E16672">
              <w:rPr>
                <w:rFonts w:ascii="Times New Roman" w:eastAsia="Lucida Sans Unicode" w:hAnsi="Times New Roman"/>
                <w:color w:val="000000"/>
                <w:sz w:val="16"/>
                <w:szCs w:val="16"/>
                <w:shd w:val="clear" w:color="auto" w:fill="FFFFFF"/>
              </w:rPr>
              <w:t>information</w:t>
            </w:r>
            <w:proofErr w:type="spellEnd"/>
            <w:r w:rsidRPr="00E16672">
              <w:rPr>
                <w:rFonts w:ascii="Times New Roman" w:eastAsia="Lucida Sans Unicode" w:hAnsi="Times New Roman"/>
                <w:color w:val="000000"/>
                <w:sz w:val="16"/>
                <w:szCs w:val="16"/>
                <w:shd w:val="clear" w:color="auto" w:fill="FFFFFF"/>
              </w:rPr>
              <w:t xml:space="preserve">, </w:t>
            </w:r>
            <w:proofErr w:type="spellStart"/>
            <w:r w:rsidRPr="00E16672">
              <w:rPr>
                <w:rFonts w:ascii="Times New Roman" w:eastAsia="Lucida Sans Unicode" w:hAnsi="Times New Roman"/>
                <w:color w:val="000000"/>
                <w:sz w:val="16"/>
                <w:szCs w:val="16"/>
                <w:shd w:val="clear" w:color="auto" w:fill="FFFFFF"/>
              </w:rPr>
              <w:t>which</w:t>
            </w:r>
            <w:proofErr w:type="spellEnd"/>
            <w:r w:rsidRPr="00E16672">
              <w:rPr>
                <w:rFonts w:ascii="Times New Roman" w:eastAsia="Lucida Sans Unicode" w:hAnsi="Times New Roman"/>
                <w:color w:val="000000"/>
                <w:sz w:val="16"/>
                <w:szCs w:val="16"/>
                <w:shd w:val="clear" w:color="auto" w:fill="FFFFFF"/>
              </w:rPr>
              <w:t xml:space="preserve"> </w:t>
            </w:r>
            <w:proofErr w:type="spellStart"/>
            <w:r w:rsidRPr="00E16672">
              <w:rPr>
                <w:rFonts w:ascii="Times New Roman" w:eastAsia="Lucida Sans Unicode" w:hAnsi="Times New Roman"/>
                <w:color w:val="000000"/>
                <w:sz w:val="16"/>
                <w:szCs w:val="16"/>
                <w:shd w:val="clear" w:color="auto" w:fill="FFFFFF"/>
              </w:rPr>
              <w:t>can</w:t>
            </w:r>
            <w:proofErr w:type="spellEnd"/>
            <w:r w:rsidRPr="00E16672">
              <w:rPr>
                <w:rFonts w:ascii="Times New Roman" w:eastAsia="Lucida Sans Unicode" w:hAnsi="Times New Roman"/>
                <w:color w:val="000000"/>
                <w:sz w:val="16"/>
                <w:szCs w:val="16"/>
                <w:shd w:val="clear" w:color="auto" w:fill="FFFFFF"/>
              </w:rPr>
              <w:t xml:space="preserve"> </w:t>
            </w:r>
            <w:proofErr w:type="spellStart"/>
            <w:r w:rsidRPr="00E16672">
              <w:rPr>
                <w:rFonts w:ascii="Times New Roman" w:eastAsia="Lucida Sans Unicode" w:hAnsi="Times New Roman"/>
                <w:color w:val="000000"/>
                <w:sz w:val="16"/>
                <w:szCs w:val="16"/>
                <w:shd w:val="clear" w:color="auto" w:fill="FFFFFF"/>
              </w:rPr>
              <w:t>make</w:t>
            </w:r>
            <w:proofErr w:type="spellEnd"/>
            <w:r w:rsidRPr="00E16672">
              <w:rPr>
                <w:rFonts w:ascii="Times New Roman" w:eastAsia="Lucida Sans Unicode" w:hAnsi="Times New Roman"/>
                <w:color w:val="000000"/>
                <w:sz w:val="16"/>
                <w:szCs w:val="16"/>
                <w:shd w:val="clear" w:color="auto" w:fill="FFFFFF"/>
              </w:rPr>
              <w:t xml:space="preserve"> </w:t>
            </w:r>
            <w:proofErr w:type="spellStart"/>
            <w:r w:rsidRPr="00E16672">
              <w:rPr>
                <w:rFonts w:ascii="Times New Roman" w:eastAsia="Lucida Sans Unicode" w:hAnsi="Times New Roman"/>
                <w:color w:val="000000"/>
                <w:sz w:val="16"/>
                <w:szCs w:val="16"/>
                <w:shd w:val="clear" w:color="auto" w:fill="FFFFFF"/>
              </w:rPr>
              <w:t>any</w:t>
            </w:r>
            <w:proofErr w:type="spellEnd"/>
            <w:r w:rsidRPr="00E16672">
              <w:rPr>
                <w:rFonts w:ascii="Times New Roman" w:eastAsia="Lucida Sans Unicode" w:hAnsi="Times New Roman"/>
                <w:color w:val="000000"/>
                <w:sz w:val="16"/>
                <w:szCs w:val="16"/>
                <w:shd w:val="clear" w:color="auto" w:fill="FFFFFF"/>
              </w:rPr>
              <w:t xml:space="preserve"> </w:t>
            </w:r>
            <w:proofErr w:type="spellStart"/>
            <w:r w:rsidRPr="00E16672">
              <w:rPr>
                <w:rFonts w:ascii="Times New Roman" w:eastAsia="Lucida Sans Unicode" w:hAnsi="Times New Roman"/>
                <w:color w:val="000000"/>
                <w:sz w:val="16"/>
                <w:szCs w:val="16"/>
                <w:shd w:val="clear" w:color="auto" w:fill="FFFFFF"/>
              </w:rPr>
              <w:t>damage</w:t>
            </w:r>
            <w:proofErr w:type="spellEnd"/>
            <w:r w:rsidRPr="00E16672">
              <w:rPr>
                <w:rFonts w:ascii="Times New Roman" w:eastAsia="Lucida Sans Unicode" w:hAnsi="Times New Roman"/>
                <w:color w:val="000000"/>
                <w:sz w:val="16"/>
                <w:szCs w:val="16"/>
                <w:shd w:val="clear" w:color="auto" w:fill="FFFFFF"/>
              </w:rPr>
              <w:t xml:space="preserve"> </w:t>
            </w:r>
            <w:proofErr w:type="spellStart"/>
            <w:r w:rsidRPr="00E16672">
              <w:rPr>
                <w:rFonts w:ascii="Times New Roman" w:eastAsia="Lucida Sans Unicode" w:hAnsi="Times New Roman"/>
                <w:color w:val="000000"/>
                <w:sz w:val="16"/>
                <w:szCs w:val="16"/>
                <w:shd w:val="clear" w:color="auto" w:fill="FFFFFF"/>
              </w:rPr>
              <w:t>to</w:t>
            </w:r>
            <w:proofErr w:type="spellEnd"/>
            <w:r w:rsidRPr="00E16672">
              <w:rPr>
                <w:rFonts w:ascii="Times New Roman" w:eastAsia="Lucida Sans Unicode" w:hAnsi="Times New Roman"/>
                <w:color w:val="000000"/>
                <w:sz w:val="16"/>
                <w:szCs w:val="16"/>
                <w:shd w:val="clear" w:color="auto" w:fill="FFFFFF"/>
              </w:rPr>
              <w:t xml:space="preserve"> </w:t>
            </w:r>
            <w:proofErr w:type="spellStart"/>
            <w:r w:rsidRPr="00E16672">
              <w:rPr>
                <w:rFonts w:ascii="Times New Roman" w:eastAsia="Lucida Sans Unicode" w:hAnsi="Times New Roman"/>
                <w:color w:val="000000"/>
                <w:sz w:val="16"/>
                <w:szCs w:val="16"/>
                <w:shd w:val="clear" w:color="auto" w:fill="FFFFFF"/>
              </w:rPr>
              <w:t>Depositor</w:t>
            </w:r>
            <w:proofErr w:type="spellEnd"/>
            <w:r w:rsidRPr="00E16672">
              <w:rPr>
                <w:rFonts w:ascii="Times New Roman" w:eastAsia="Lucida Sans Unicode" w:hAnsi="Times New Roman"/>
                <w:color w:val="000000"/>
                <w:sz w:val="16"/>
                <w:szCs w:val="16"/>
                <w:shd w:val="clear" w:color="auto" w:fill="FFFFFF"/>
              </w:rPr>
              <w:t xml:space="preserve">. </w:t>
            </w:r>
            <w:proofErr w:type="spellStart"/>
            <w:r w:rsidRPr="00E16672">
              <w:rPr>
                <w:rFonts w:ascii="Times New Roman" w:eastAsia="Lucida Sans Unicode" w:hAnsi="Times New Roman"/>
                <w:color w:val="000000"/>
                <w:sz w:val="16"/>
                <w:szCs w:val="16"/>
                <w:shd w:val="clear" w:color="auto" w:fill="FFFFFF"/>
              </w:rPr>
              <w:t>Responsibility</w:t>
            </w:r>
            <w:proofErr w:type="spellEnd"/>
            <w:r w:rsidRPr="00E16672">
              <w:rPr>
                <w:rFonts w:ascii="Times New Roman" w:eastAsia="Lucida Sans Unicode" w:hAnsi="Times New Roman"/>
                <w:color w:val="000000"/>
                <w:sz w:val="16"/>
                <w:szCs w:val="16"/>
                <w:shd w:val="clear" w:color="auto" w:fill="FFFFFF"/>
              </w:rPr>
              <w:t xml:space="preserve"> </w:t>
            </w:r>
            <w:proofErr w:type="spellStart"/>
            <w:r w:rsidRPr="00E16672">
              <w:rPr>
                <w:rFonts w:ascii="Times New Roman" w:eastAsia="Lucida Sans Unicode" w:hAnsi="Times New Roman"/>
                <w:color w:val="000000"/>
                <w:sz w:val="16"/>
                <w:szCs w:val="16"/>
                <w:shd w:val="clear" w:color="auto" w:fill="FFFFFF"/>
              </w:rPr>
              <w:t>for</w:t>
            </w:r>
            <w:proofErr w:type="spellEnd"/>
            <w:r w:rsidRPr="00E16672">
              <w:rPr>
                <w:rFonts w:ascii="Times New Roman" w:eastAsia="Lucida Sans Unicode" w:hAnsi="Times New Roman"/>
                <w:color w:val="000000"/>
                <w:sz w:val="16"/>
                <w:szCs w:val="16"/>
                <w:shd w:val="clear" w:color="auto" w:fill="FFFFFF"/>
              </w:rPr>
              <w:t xml:space="preserve"> </w:t>
            </w:r>
            <w:proofErr w:type="spellStart"/>
            <w:r w:rsidRPr="00E16672">
              <w:rPr>
                <w:rFonts w:ascii="Times New Roman" w:eastAsia="Lucida Sans Unicode" w:hAnsi="Times New Roman"/>
                <w:color w:val="000000"/>
                <w:sz w:val="16"/>
                <w:szCs w:val="16"/>
                <w:shd w:val="clear" w:color="auto" w:fill="FFFFFF"/>
              </w:rPr>
              <w:t>keeping</w:t>
            </w:r>
            <w:proofErr w:type="spellEnd"/>
            <w:r w:rsidRPr="00E16672">
              <w:rPr>
                <w:rFonts w:ascii="Times New Roman" w:eastAsia="Lucida Sans Unicode" w:hAnsi="Times New Roman"/>
                <w:color w:val="000000"/>
                <w:sz w:val="16"/>
                <w:szCs w:val="16"/>
                <w:shd w:val="clear" w:color="auto" w:fill="FFFFFF"/>
              </w:rPr>
              <w:t xml:space="preserve"> </w:t>
            </w:r>
            <w:proofErr w:type="spellStart"/>
            <w:r w:rsidRPr="00E16672">
              <w:rPr>
                <w:rFonts w:ascii="Times New Roman" w:eastAsia="Lucida Sans Unicode" w:hAnsi="Times New Roman"/>
                <w:color w:val="000000"/>
                <w:sz w:val="16"/>
                <w:szCs w:val="16"/>
                <w:shd w:val="clear" w:color="auto" w:fill="FFFFFF"/>
              </w:rPr>
              <w:t>confidentiality</w:t>
            </w:r>
            <w:proofErr w:type="spellEnd"/>
            <w:r w:rsidRPr="00E16672">
              <w:rPr>
                <w:rFonts w:ascii="Times New Roman" w:eastAsia="Lucida Sans Unicode" w:hAnsi="Times New Roman"/>
                <w:color w:val="000000"/>
                <w:sz w:val="16"/>
                <w:szCs w:val="16"/>
                <w:shd w:val="clear" w:color="auto" w:fill="FFFFFF"/>
              </w:rPr>
              <w:t xml:space="preserve"> </w:t>
            </w:r>
            <w:proofErr w:type="spellStart"/>
            <w:r w:rsidRPr="00E16672">
              <w:rPr>
                <w:rFonts w:ascii="Times New Roman" w:eastAsia="Lucida Sans Unicode" w:hAnsi="Times New Roman"/>
                <w:color w:val="000000"/>
                <w:sz w:val="16"/>
                <w:szCs w:val="16"/>
                <w:shd w:val="clear" w:color="auto" w:fill="FFFFFF"/>
              </w:rPr>
              <w:t>do</w:t>
            </w:r>
            <w:proofErr w:type="spellEnd"/>
            <w:r w:rsidRPr="00E16672">
              <w:rPr>
                <w:rFonts w:ascii="Times New Roman" w:eastAsia="Lucida Sans Unicode" w:hAnsi="Times New Roman"/>
                <w:color w:val="000000"/>
                <w:sz w:val="16"/>
                <w:szCs w:val="16"/>
                <w:shd w:val="clear" w:color="auto" w:fill="FFFFFF"/>
              </w:rPr>
              <w:t xml:space="preserve"> </w:t>
            </w:r>
            <w:proofErr w:type="spellStart"/>
            <w:r w:rsidRPr="00E16672">
              <w:rPr>
                <w:rFonts w:ascii="Times New Roman" w:eastAsia="Lucida Sans Unicode" w:hAnsi="Times New Roman"/>
                <w:color w:val="000000"/>
                <w:sz w:val="16"/>
                <w:szCs w:val="16"/>
                <w:shd w:val="clear" w:color="auto" w:fill="FFFFFF"/>
              </w:rPr>
              <w:t>not</w:t>
            </w:r>
            <w:proofErr w:type="spellEnd"/>
            <w:r w:rsidRPr="00E16672">
              <w:rPr>
                <w:rFonts w:ascii="Times New Roman" w:eastAsia="Lucida Sans Unicode" w:hAnsi="Times New Roman"/>
                <w:color w:val="000000"/>
                <w:sz w:val="16"/>
                <w:szCs w:val="16"/>
                <w:shd w:val="clear" w:color="auto" w:fill="FFFFFF"/>
              </w:rPr>
              <w:t xml:space="preserve"> </w:t>
            </w:r>
            <w:proofErr w:type="spellStart"/>
            <w:r w:rsidRPr="00E16672">
              <w:rPr>
                <w:rFonts w:ascii="Times New Roman" w:eastAsia="Lucida Sans Unicode" w:hAnsi="Times New Roman"/>
                <w:color w:val="000000"/>
                <w:sz w:val="16"/>
                <w:szCs w:val="16"/>
                <w:shd w:val="clear" w:color="auto" w:fill="FFFFFF"/>
              </w:rPr>
              <w:t>arise</w:t>
            </w:r>
            <w:proofErr w:type="spellEnd"/>
            <w:r w:rsidRPr="00E16672">
              <w:rPr>
                <w:rFonts w:ascii="Times New Roman" w:eastAsia="Lucida Sans Unicode" w:hAnsi="Times New Roman"/>
                <w:color w:val="000000"/>
                <w:sz w:val="16"/>
                <w:szCs w:val="16"/>
                <w:shd w:val="clear" w:color="auto" w:fill="FFFFFF"/>
              </w:rPr>
              <w:t xml:space="preserve"> </w:t>
            </w:r>
            <w:proofErr w:type="spellStart"/>
            <w:r w:rsidRPr="00E16672">
              <w:rPr>
                <w:rFonts w:ascii="Times New Roman" w:eastAsia="Lucida Sans Unicode" w:hAnsi="Times New Roman"/>
                <w:color w:val="000000"/>
                <w:sz w:val="16"/>
                <w:szCs w:val="16"/>
                <w:shd w:val="clear" w:color="auto" w:fill="FFFFFF"/>
              </w:rPr>
              <w:t>in</w:t>
            </w:r>
            <w:proofErr w:type="spellEnd"/>
            <w:r w:rsidRPr="00E16672">
              <w:rPr>
                <w:rFonts w:ascii="Times New Roman" w:eastAsia="Lucida Sans Unicode" w:hAnsi="Times New Roman"/>
                <w:color w:val="000000"/>
                <w:sz w:val="16"/>
                <w:szCs w:val="16"/>
                <w:shd w:val="clear" w:color="auto" w:fill="FFFFFF"/>
              </w:rPr>
              <w:t xml:space="preserve"> </w:t>
            </w:r>
            <w:proofErr w:type="spellStart"/>
            <w:r w:rsidRPr="00E16672">
              <w:rPr>
                <w:rFonts w:ascii="Times New Roman" w:eastAsia="Lucida Sans Unicode" w:hAnsi="Times New Roman"/>
                <w:color w:val="000000"/>
                <w:sz w:val="16"/>
                <w:szCs w:val="16"/>
                <w:shd w:val="clear" w:color="auto" w:fill="FFFFFF"/>
              </w:rPr>
              <w:t>cases</w:t>
            </w:r>
            <w:proofErr w:type="spellEnd"/>
            <w:r w:rsidRPr="00E16672">
              <w:rPr>
                <w:rFonts w:ascii="Times New Roman" w:eastAsia="Lucida Sans Unicode" w:hAnsi="Times New Roman"/>
                <w:color w:val="000000"/>
                <w:sz w:val="16"/>
                <w:szCs w:val="16"/>
                <w:shd w:val="clear" w:color="auto" w:fill="FFFFFF"/>
              </w:rPr>
              <w:t xml:space="preserve"> </w:t>
            </w:r>
            <w:proofErr w:type="spellStart"/>
            <w:r w:rsidRPr="00E16672">
              <w:rPr>
                <w:rFonts w:ascii="Times New Roman" w:eastAsia="Lucida Sans Unicode" w:hAnsi="Times New Roman"/>
                <w:color w:val="000000"/>
                <w:sz w:val="16"/>
                <w:szCs w:val="16"/>
                <w:shd w:val="clear" w:color="auto" w:fill="FFFFFF"/>
              </w:rPr>
              <w:t>where</w:t>
            </w:r>
            <w:proofErr w:type="spellEnd"/>
            <w:r w:rsidRPr="00E16672">
              <w:rPr>
                <w:rFonts w:ascii="Times New Roman" w:eastAsia="Lucida Sans Unicode" w:hAnsi="Times New Roman"/>
                <w:color w:val="000000"/>
                <w:sz w:val="16"/>
                <w:szCs w:val="16"/>
                <w:shd w:val="clear" w:color="auto" w:fill="FFFFFF"/>
              </w:rPr>
              <w:t xml:space="preserve"> </w:t>
            </w:r>
            <w:proofErr w:type="spellStart"/>
            <w:r w:rsidRPr="00E16672">
              <w:rPr>
                <w:rFonts w:ascii="Times New Roman" w:eastAsia="Lucida Sans Unicode" w:hAnsi="Times New Roman"/>
                <w:color w:val="000000"/>
                <w:sz w:val="16"/>
                <w:szCs w:val="16"/>
                <w:shd w:val="clear" w:color="auto" w:fill="FFFFFF"/>
              </w:rPr>
              <w:t>disclosure</w:t>
            </w:r>
            <w:proofErr w:type="spellEnd"/>
            <w:r w:rsidRPr="00E16672">
              <w:rPr>
                <w:rFonts w:ascii="Times New Roman" w:eastAsia="Lucida Sans Unicode" w:hAnsi="Times New Roman"/>
                <w:color w:val="000000"/>
                <w:sz w:val="16"/>
                <w:szCs w:val="16"/>
                <w:shd w:val="clear" w:color="auto" w:fill="FFFFFF"/>
              </w:rPr>
              <w:t xml:space="preserve"> </w:t>
            </w:r>
            <w:proofErr w:type="spellStart"/>
            <w:r w:rsidRPr="00E16672">
              <w:rPr>
                <w:rFonts w:ascii="Times New Roman" w:eastAsia="Lucida Sans Unicode" w:hAnsi="Times New Roman"/>
                <w:color w:val="000000"/>
                <w:sz w:val="16"/>
                <w:szCs w:val="16"/>
                <w:shd w:val="clear" w:color="auto" w:fill="FFFFFF"/>
              </w:rPr>
              <w:t>of</w:t>
            </w:r>
            <w:proofErr w:type="spellEnd"/>
            <w:r w:rsidRPr="00E16672">
              <w:rPr>
                <w:rFonts w:ascii="Times New Roman" w:eastAsia="Lucida Sans Unicode" w:hAnsi="Times New Roman"/>
                <w:color w:val="000000"/>
                <w:sz w:val="16"/>
                <w:szCs w:val="16"/>
                <w:shd w:val="clear" w:color="auto" w:fill="FFFFFF"/>
              </w:rPr>
              <w:t xml:space="preserve"> </w:t>
            </w:r>
            <w:proofErr w:type="spellStart"/>
            <w:r w:rsidRPr="00E16672">
              <w:rPr>
                <w:rFonts w:ascii="Times New Roman" w:eastAsia="Lucida Sans Unicode" w:hAnsi="Times New Roman"/>
                <w:color w:val="000000"/>
                <w:sz w:val="16"/>
                <w:szCs w:val="16"/>
                <w:shd w:val="clear" w:color="auto" w:fill="FFFFFF"/>
              </w:rPr>
              <w:t>such</w:t>
            </w:r>
            <w:proofErr w:type="spellEnd"/>
            <w:r w:rsidRPr="00E16672">
              <w:rPr>
                <w:rFonts w:ascii="Times New Roman" w:eastAsia="Lucida Sans Unicode" w:hAnsi="Times New Roman"/>
                <w:color w:val="000000"/>
                <w:sz w:val="16"/>
                <w:szCs w:val="16"/>
                <w:shd w:val="clear" w:color="auto" w:fill="FFFFFF"/>
              </w:rPr>
              <w:t xml:space="preserve"> </w:t>
            </w:r>
            <w:proofErr w:type="spellStart"/>
            <w:r w:rsidRPr="00E16672">
              <w:rPr>
                <w:rFonts w:ascii="Times New Roman" w:eastAsia="Lucida Sans Unicode" w:hAnsi="Times New Roman"/>
                <w:color w:val="000000"/>
                <w:sz w:val="16"/>
                <w:szCs w:val="16"/>
                <w:shd w:val="clear" w:color="auto" w:fill="FFFFFF"/>
              </w:rPr>
              <w:t>information</w:t>
            </w:r>
            <w:proofErr w:type="spellEnd"/>
            <w:r w:rsidRPr="00E16672">
              <w:rPr>
                <w:rFonts w:ascii="Times New Roman" w:eastAsia="Lucida Sans Unicode" w:hAnsi="Times New Roman"/>
                <w:color w:val="000000"/>
                <w:sz w:val="16"/>
                <w:szCs w:val="16"/>
                <w:shd w:val="clear" w:color="auto" w:fill="FFFFFF"/>
              </w:rPr>
              <w:t xml:space="preserve"> </w:t>
            </w:r>
            <w:proofErr w:type="spellStart"/>
            <w:r w:rsidRPr="00E16672">
              <w:rPr>
                <w:rFonts w:ascii="Times New Roman" w:eastAsia="Lucida Sans Unicode" w:hAnsi="Times New Roman"/>
                <w:color w:val="000000"/>
                <w:sz w:val="16"/>
                <w:szCs w:val="16"/>
                <w:shd w:val="clear" w:color="auto" w:fill="FFFFFF"/>
              </w:rPr>
              <w:t>has</w:t>
            </w:r>
            <w:proofErr w:type="spellEnd"/>
            <w:r w:rsidRPr="00E16672">
              <w:rPr>
                <w:rFonts w:ascii="Times New Roman" w:eastAsia="Lucida Sans Unicode" w:hAnsi="Times New Roman"/>
                <w:color w:val="000000"/>
                <w:sz w:val="16"/>
                <w:szCs w:val="16"/>
                <w:shd w:val="clear" w:color="auto" w:fill="FFFFFF"/>
              </w:rPr>
              <w:t xml:space="preserve"> </w:t>
            </w:r>
            <w:proofErr w:type="spellStart"/>
            <w:r w:rsidRPr="00E16672">
              <w:rPr>
                <w:rFonts w:ascii="Times New Roman" w:eastAsia="Lucida Sans Unicode" w:hAnsi="Times New Roman"/>
                <w:color w:val="000000"/>
                <w:sz w:val="16"/>
                <w:szCs w:val="16"/>
                <w:shd w:val="clear" w:color="auto" w:fill="FFFFFF"/>
              </w:rPr>
              <w:t>been</w:t>
            </w:r>
            <w:proofErr w:type="spellEnd"/>
            <w:r w:rsidRPr="00E16672">
              <w:rPr>
                <w:rFonts w:ascii="Times New Roman" w:eastAsia="Lucida Sans Unicode" w:hAnsi="Times New Roman"/>
                <w:color w:val="000000"/>
                <w:sz w:val="16"/>
                <w:szCs w:val="16"/>
                <w:shd w:val="clear" w:color="auto" w:fill="FFFFFF"/>
              </w:rPr>
              <w:t xml:space="preserve"> a </w:t>
            </w:r>
            <w:proofErr w:type="spellStart"/>
            <w:r w:rsidRPr="00E16672">
              <w:rPr>
                <w:rFonts w:ascii="Times New Roman" w:eastAsia="Lucida Sans Unicode" w:hAnsi="Times New Roman"/>
                <w:color w:val="000000"/>
                <w:sz w:val="16"/>
                <w:szCs w:val="16"/>
                <w:shd w:val="clear" w:color="auto" w:fill="FFFFFF"/>
              </w:rPr>
              <w:t>result</w:t>
            </w:r>
            <w:proofErr w:type="spellEnd"/>
            <w:r w:rsidRPr="00E16672">
              <w:rPr>
                <w:rFonts w:ascii="Times New Roman" w:eastAsia="Lucida Sans Unicode" w:hAnsi="Times New Roman"/>
                <w:color w:val="000000"/>
                <w:sz w:val="16"/>
                <w:szCs w:val="16"/>
                <w:shd w:val="clear" w:color="auto" w:fill="FFFFFF"/>
              </w:rPr>
              <w:t xml:space="preserve"> </w:t>
            </w:r>
            <w:proofErr w:type="spellStart"/>
            <w:r w:rsidRPr="00E16672">
              <w:rPr>
                <w:rFonts w:ascii="Times New Roman" w:eastAsia="Lucida Sans Unicode" w:hAnsi="Times New Roman"/>
                <w:color w:val="000000"/>
                <w:sz w:val="16"/>
                <w:szCs w:val="16"/>
                <w:shd w:val="clear" w:color="auto" w:fill="FFFFFF"/>
              </w:rPr>
              <w:t>of</w:t>
            </w:r>
            <w:proofErr w:type="spellEnd"/>
            <w:r w:rsidRPr="00E16672">
              <w:rPr>
                <w:rFonts w:ascii="Times New Roman" w:eastAsia="Lucida Sans Unicode" w:hAnsi="Times New Roman"/>
                <w:color w:val="000000"/>
                <w:sz w:val="16"/>
                <w:szCs w:val="16"/>
                <w:shd w:val="clear" w:color="auto" w:fill="FFFFFF"/>
              </w:rPr>
              <w:t xml:space="preserve"> </w:t>
            </w:r>
            <w:proofErr w:type="spellStart"/>
            <w:r w:rsidRPr="00E16672">
              <w:rPr>
                <w:rFonts w:ascii="Times New Roman" w:eastAsia="Lucida Sans Unicode" w:hAnsi="Times New Roman"/>
                <w:color w:val="000000"/>
                <w:sz w:val="16"/>
                <w:szCs w:val="16"/>
                <w:shd w:val="clear" w:color="auto" w:fill="FFFFFF"/>
              </w:rPr>
              <w:t>the</w:t>
            </w:r>
            <w:proofErr w:type="spellEnd"/>
            <w:r w:rsidRPr="00E16672">
              <w:rPr>
                <w:rFonts w:ascii="Times New Roman" w:eastAsia="Lucida Sans Unicode" w:hAnsi="Times New Roman"/>
                <w:color w:val="000000"/>
                <w:sz w:val="16"/>
                <w:szCs w:val="16"/>
                <w:shd w:val="clear" w:color="auto" w:fill="FFFFFF"/>
              </w:rPr>
              <w:t xml:space="preserve"> </w:t>
            </w:r>
            <w:proofErr w:type="spellStart"/>
            <w:r w:rsidRPr="00E16672">
              <w:rPr>
                <w:rFonts w:ascii="Times New Roman" w:eastAsia="Lucida Sans Unicode" w:hAnsi="Times New Roman"/>
                <w:color w:val="000000"/>
                <w:sz w:val="16"/>
                <w:szCs w:val="16"/>
                <w:shd w:val="clear" w:color="auto" w:fill="FFFFFF"/>
              </w:rPr>
              <w:t>actions</w:t>
            </w:r>
            <w:proofErr w:type="spellEnd"/>
            <w:r w:rsidRPr="00E16672">
              <w:rPr>
                <w:rFonts w:ascii="Times New Roman" w:eastAsia="Lucida Sans Unicode" w:hAnsi="Times New Roman"/>
                <w:color w:val="000000"/>
                <w:sz w:val="16"/>
                <w:szCs w:val="16"/>
                <w:shd w:val="clear" w:color="auto" w:fill="FFFFFF"/>
              </w:rPr>
              <w:t xml:space="preserve"> </w:t>
            </w:r>
            <w:proofErr w:type="spellStart"/>
            <w:r w:rsidRPr="00E16672">
              <w:rPr>
                <w:rFonts w:ascii="Times New Roman" w:eastAsia="Lucida Sans Unicode" w:hAnsi="Times New Roman"/>
                <w:color w:val="000000"/>
                <w:sz w:val="16"/>
                <w:szCs w:val="16"/>
                <w:shd w:val="clear" w:color="auto" w:fill="FFFFFF"/>
              </w:rPr>
              <w:t>of</w:t>
            </w:r>
            <w:proofErr w:type="spellEnd"/>
            <w:r w:rsidRPr="00E16672">
              <w:rPr>
                <w:rFonts w:ascii="Times New Roman" w:eastAsia="Lucida Sans Unicode" w:hAnsi="Times New Roman"/>
                <w:color w:val="000000"/>
                <w:sz w:val="16"/>
                <w:szCs w:val="16"/>
                <w:shd w:val="clear" w:color="auto" w:fill="FFFFFF"/>
              </w:rPr>
              <w:t xml:space="preserve"> </w:t>
            </w:r>
            <w:proofErr w:type="spellStart"/>
            <w:r w:rsidRPr="00E16672">
              <w:rPr>
                <w:rFonts w:ascii="Times New Roman" w:eastAsia="Lucida Sans Unicode" w:hAnsi="Times New Roman"/>
                <w:color w:val="000000"/>
                <w:sz w:val="16"/>
                <w:szCs w:val="16"/>
                <w:shd w:val="clear" w:color="auto" w:fill="FFFFFF"/>
              </w:rPr>
              <w:t>judicial</w:t>
            </w:r>
            <w:proofErr w:type="spellEnd"/>
            <w:r w:rsidRPr="00E16672">
              <w:rPr>
                <w:rFonts w:ascii="Times New Roman" w:eastAsia="Lucida Sans Unicode" w:hAnsi="Times New Roman"/>
                <w:color w:val="000000"/>
                <w:sz w:val="16"/>
                <w:szCs w:val="16"/>
                <w:shd w:val="clear" w:color="auto" w:fill="FFFFFF"/>
              </w:rPr>
              <w:t xml:space="preserve"> </w:t>
            </w:r>
            <w:proofErr w:type="spellStart"/>
            <w:r w:rsidRPr="00E16672">
              <w:rPr>
                <w:rFonts w:ascii="Times New Roman" w:eastAsia="Lucida Sans Unicode" w:hAnsi="Times New Roman"/>
                <w:color w:val="000000"/>
                <w:sz w:val="16"/>
                <w:szCs w:val="16"/>
                <w:shd w:val="clear" w:color="auto" w:fill="FFFFFF"/>
              </w:rPr>
              <w:t>or</w:t>
            </w:r>
            <w:proofErr w:type="spellEnd"/>
            <w:r w:rsidRPr="00E16672">
              <w:rPr>
                <w:rFonts w:ascii="Times New Roman" w:eastAsia="Lucida Sans Unicode" w:hAnsi="Times New Roman"/>
                <w:color w:val="000000"/>
                <w:sz w:val="16"/>
                <w:szCs w:val="16"/>
                <w:shd w:val="clear" w:color="auto" w:fill="FFFFFF"/>
              </w:rPr>
              <w:t xml:space="preserve"> </w:t>
            </w:r>
            <w:proofErr w:type="spellStart"/>
            <w:r w:rsidRPr="00E16672">
              <w:rPr>
                <w:rFonts w:ascii="Times New Roman" w:eastAsia="Lucida Sans Unicode" w:hAnsi="Times New Roman"/>
                <w:color w:val="000000"/>
                <w:sz w:val="16"/>
                <w:szCs w:val="16"/>
                <w:shd w:val="clear" w:color="auto" w:fill="FFFFFF"/>
              </w:rPr>
              <w:t>other</w:t>
            </w:r>
            <w:proofErr w:type="spellEnd"/>
            <w:r w:rsidRPr="00E16672">
              <w:rPr>
                <w:rFonts w:ascii="Times New Roman" w:eastAsia="Lucida Sans Unicode" w:hAnsi="Times New Roman"/>
                <w:color w:val="000000"/>
                <w:sz w:val="16"/>
                <w:szCs w:val="16"/>
                <w:shd w:val="clear" w:color="auto" w:fill="FFFFFF"/>
              </w:rPr>
              <w:t xml:space="preserve"> </w:t>
            </w:r>
            <w:proofErr w:type="spellStart"/>
            <w:r w:rsidRPr="00E16672">
              <w:rPr>
                <w:rFonts w:ascii="Times New Roman" w:eastAsia="Lucida Sans Unicode" w:hAnsi="Times New Roman"/>
                <w:color w:val="000000"/>
                <w:sz w:val="16"/>
                <w:szCs w:val="16"/>
                <w:shd w:val="clear" w:color="auto" w:fill="FFFFFF"/>
              </w:rPr>
              <w:t>competent</w:t>
            </w:r>
            <w:proofErr w:type="spellEnd"/>
            <w:r w:rsidRPr="00E16672">
              <w:rPr>
                <w:rFonts w:ascii="Times New Roman" w:eastAsia="Lucida Sans Unicode" w:hAnsi="Times New Roman"/>
                <w:color w:val="000000"/>
                <w:sz w:val="16"/>
                <w:szCs w:val="16"/>
                <w:shd w:val="clear" w:color="auto" w:fill="FFFFFF"/>
              </w:rPr>
              <w:t xml:space="preserve"> </w:t>
            </w:r>
            <w:proofErr w:type="spellStart"/>
            <w:r w:rsidRPr="00E16672">
              <w:rPr>
                <w:rFonts w:ascii="Times New Roman" w:eastAsia="Lucida Sans Unicode" w:hAnsi="Times New Roman"/>
                <w:color w:val="000000"/>
                <w:sz w:val="16"/>
                <w:szCs w:val="16"/>
                <w:shd w:val="clear" w:color="auto" w:fill="FFFFFF"/>
              </w:rPr>
              <w:t>bodies</w:t>
            </w:r>
            <w:proofErr w:type="spellEnd"/>
            <w:r w:rsidRPr="00E16672">
              <w:rPr>
                <w:rFonts w:ascii="Times New Roman" w:eastAsia="Lucida Sans Unicode" w:hAnsi="Times New Roman"/>
                <w:color w:val="000000"/>
                <w:sz w:val="16"/>
                <w:szCs w:val="16"/>
                <w:shd w:val="clear" w:color="auto" w:fill="FFFFFF"/>
              </w:rPr>
              <w:t xml:space="preserve"> </w:t>
            </w:r>
            <w:proofErr w:type="spellStart"/>
            <w:r w:rsidRPr="00E16672">
              <w:rPr>
                <w:rFonts w:ascii="Times New Roman" w:eastAsia="Lucida Sans Unicode" w:hAnsi="Times New Roman"/>
                <w:color w:val="000000"/>
                <w:sz w:val="16"/>
                <w:szCs w:val="16"/>
                <w:shd w:val="clear" w:color="auto" w:fill="FFFFFF"/>
              </w:rPr>
              <w:t>of</w:t>
            </w:r>
            <w:proofErr w:type="spellEnd"/>
            <w:r w:rsidRPr="00E16672">
              <w:rPr>
                <w:rFonts w:ascii="Times New Roman" w:eastAsia="Lucida Sans Unicode" w:hAnsi="Times New Roman"/>
                <w:color w:val="000000"/>
                <w:sz w:val="16"/>
                <w:szCs w:val="16"/>
                <w:shd w:val="clear" w:color="auto" w:fill="FFFFFF"/>
              </w:rPr>
              <w:t xml:space="preserve"> </w:t>
            </w:r>
            <w:proofErr w:type="spellStart"/>
            <w:r w:rsidRPr="00E16672">
              <w:rPr>
                <w:rFonts w:ascii="Times New Roman" w:eastAsia="Lucida Sans Unicode" w:hAnsi="Times New Roman"/>
                <w:color w:val="000000"/>
                <w:sz w:val="16"/>
                <w:szCs w:val="16"/>
                <w:shd w:val="clear" w:color="auto" w:fill="FFFFFF"/>
              </w:rPr>
              <w:t>legislation</w:t>
            </w:r>
            <w:proofErr w:type="spellEnd"/>
            <w:r w:rsidRPr="00E16672">
              <w:rPr>
                <w:rFonts w:ascii="Times New Roman" w:hAnsi="Times New Roman"/>
                <w:color w:val="000000"/>
                <w:sz w:val="18"/>
                <w:szCs w:val="18"/>
                <w:lang w:val="en-US"/>
              </w:rPr>
              <w:t xml:space="preserve"> </w:t>
            </w:r>
            <w:r w:rsidRPr="00E16672">
              <w:rPr>
                <w:rFonts w:ascii="Times New Roman" w:hAnsi="Times New Roman"/>
                <w:color w:val="000000"/>
                <w:sz w:val="16"/>
                <w:szCs w:val="16"/>
                <w:lang w:val="en-US"/>
              </w:rPr>
              <w:t>or in other cases in accordance to the current legislation</w:t>
            </w:r>
            <w:r w:rsidRPr="00E16672">
              <w:rPr>
                <w:rFonts w:ascii="Times New Roman" w:eastAsia="Lucida Sans Unicode" w:hAnsi="Times New Roman"/>
                <w:color w:val="000000"/>
                <w:sz w:val="16"/>
                <w:szCs w:val="16"/>
                <w:shd w:val="clear" w:color="auto" w:fill="FFFFFF"/>
              </w:rPr>
              <w:t>.</w:t>
            </w:r>
          </w:p>
          <w:p w14:paraId="37F8C7EF" w14:textId="77777777" w:rsidR="00E51F85" w:rsidRPr="00E16672" w:rsidRDefault="00E51F85" w:rsidP="001C2A36">
            <w:pPr>
              <w:pStyle w:val="210"/>
              <w:snapToGrid w:val="0"/>
              <w:ind w:left="142" w:right="138" w:firstLine="0"/>
              <w:rPr>
                <w:rFonts w:ascii="Times New Roman" w:eastAsia="Lucida Sans Unicode" w:hAnsi="Times New Roman"/>
                <w:color w:val="000000"/>
                <w:sz w:val="16"/>
                <w:szCs w:val="16"/>
                <w:shd w:val="clear" w:color="auto" w:fill="FFFFFF"/>
              </w:rPr>
            </w:pPr>
          </w:p>
          <w:p w14:paraId="5E1AF7AF" w14:textId="77777777" w:rsidR="00E51F85" w:rsidRPr="00E16672" w:rsidRDefault="00E51F85" w:rsidP="001C2A36">
            <w:pPr>
              <w:ind w:left="142" w:right="138"/>
              <w:rPr>
                <w:rFonts w:ascii="Times New Roman" w:eastAsia="Lucida Sans Unicode" w:hAnsi="Times New Roman"/>
                <w:color w:val="000000"/>
                <w:sz w:val="16"/>
                <w:szCs w:val="16"/>
                <w:shd w:val="clear" w:color="auto" w:fill="FFFFFF"/>
                <w:lang w:val="en-GB"/>
              </w:rPr>
            </w:pPr>
          </w:p>
        </w:tc>
      </w:tr>
      <w:tr w:rsidR="00E51F85" w:rsidRPr="00F23413" w14:paraId="58916A17" w14:textId="77777777" w:rsidTr="00D77858">
        <w:tblPrEx>
          <w:tblCellMar>
            <w:left w:w="0" w:type="dxa"/>
            <w:right w:w="0" w:type="dxa"/>
          </w:tblCellMar>
        </w:tblPrEx>
        <w:trPr>
          <w:trHeight w:val="192"/>
        </w:trPr>
        <w:tc>
          <w:tcPr>
            <w:tcW w:w="5696" w:type="dxa"/>
            <w:gridSpan w:val="6"/>
            <w:shd w:val="clear" w:color="auto" w:fill="auto"/>
          </w:tcPr>
          <w:p w14:paraId="5DA11C66" w14:textId="77777777" w:rsidR="00E51F85" w:rsidRPr="00E16672" w:rsidRDefault="00E51F85" w:rsidP="008F2FF8">
            <w:pPr>
              <w:tabs>
                <w:tab w:val="left" w:pos="0"/>
              </w:tabs>
              <w:snapToGrid w:val="0"/>
              <w:ind w:left="142" w:right="138" w:firstLine="33"/>
              <w:rPr>
                <w:rFonts w:ascii="Times New Roman" w:hAnsi="Times New Roman"/>
                <w:color w:val="000000"/>
                <w:sz w:val="16"/>
                <w:szCs w:val="16"/>
                <w:shd w:val="clear" w:color="auto" w:fill="FFFFFF"/>
              </w:rPr>
            </w:pPr>
            <w:r w:rsidRPr="00E16672">
              <w:rPr>
                <w:rFonts w:ascii="Times New Roman" w:hAnsi="Times New Roman"/>
                <w:color w:val="000000"/>
                <w:sz w:val="16"/>
                <w:szCs w:val="16"/>
                <w:shd w:val="clear" w:color="auto" w:fill="FFFFFF"/>
              </w:rPr>
              <w:t>2.1.</w:t>
            </w:r>
            <w:r w:rsidR="008B4DD5" w:rsidRPr="00E16672">
              <w:rPr>
                <w:rFonts w:ascii="Times New Roman" w:hAnsi="Times New Roman"/>
                <w:color w:val="000000"/>
                <w:sz w:val="16"/>
                <w:szCs w:val="16"/>
                <w:shd w:val="clear" w:color="auto" w:fill="FFFFFF"/>
              </w:rPr>
              <w:t>1</w:t>
            </w:r>
            <w:r w:rsidR="008B4DD5" w:rsidRPr="00E16672">
              <w:rPr>
                <w:rFonts w:ascii="Times New Roman" w:hAnsi="Times New Roman"/>
                <w:color w:val="000000"/>
                <w:sz w:val="16"/>
                <w:szCs w:val="16"/>
                <w:shd w:val="clear" w:color="auto" w:fill="FFFFFF"/>
                <w:lang w:val="uk-UA"/>
              </w:rPr>
              <w:t>4</w:t>
            </w:r>
            <w:r w:rsidRPr="00E16672">
              <w:rPr>
                <w:rFonts w:ascii="Times New Roman" w:hAnsi="Times New Roman"/>
                <w:color w:val="000000"/>
                <w:sz w:val="16"/>
                <w:szCs w:val="16"/>
                <w:shd w:val="clear" w:color="auto" w:fill="FFFFFF"/>
              </w:rPr>
              <w:t xml:space="preserve">. </w:t>
            </w:r>
            <w:proofErr w:type="spellStart"/>
            <w:r w:rsidRPr="00E16672">
              <w:rPr>
                <w:rFonts w:ascii="Times New Roman" w:hAnsi="Times New Roman"/>
                <w:color w:val="000000"/>
                <w:sz w:val="16"/>
                <w:szCs w:val="16"/>
                <w:shd w:val="clear" w:color="auto" w:fill="FFFFFF"/>
              </w:rPr>
              <w:t>Дотримуватися</w:t>
            </w:r>
            <w:proofErr w:type="spellEnd"/>
            <w:r w:rsidRPr="00E16672">
              <w:rPr>
                <w:rFonts w:ascii="Times New Roman" w:hAnsi="Times New Roman"/>
                <w:color w:val="000000"/>
                <w:sz w:val="16"/>
                <w:szCs w:val="16"/>
                <w:shd w:val="clear" w:color="auto" w:fill="FFFFFF"/>
              </w:rPr>
              <w:t xml:space="preserve"> </w:t>
            </w:r>
            <w:proofErr w:type="spellStart"/>
            <w:r w:rsidRPr="00E16672">
              <w:rPr>
                <w:rFonts w:ascii="Times New Roman" w:hAnsi="Times New Roman"/>
                <w:color w:val="000000"/>
                <w:sz w:val="16"/>
                <w:szCs w:val="16"/>
                <w:shd w:val="clear" w:color="auto" w:fill="FFFFFF"/>
              </w:rPr>
              <w:t>встановлених</w:t>
            </w:r>
            <w:proofErr w:type="spellEnd"/>
            <w:r w:rsidRPr="00E16672">
              <w:rPr>
                <w:rFonts w:ascii="Times New Roman" w:hAnsi="Times New Roman"/>
                <w:color w:val="000000"/>
                <w:sz w:val="16"/>
                <w:szCs w:val="16"/>
                <w:shd w:val="clear" w:color="auto" w:fill="FFFFFF"/>
              </w:rPr>
              <w:t xml:space="preserve"> </w:t>
            </w:r>
            <w:proofErr w:type="spellStart"/>
            <w:r w:rsidRPr="00E16672">
              <w:rPr>
                <w:rFonts w:ascii="Times New Roman" w:hAnsi="Times New Roman"/>
                <w:color w:val="000000"/>
                <w:sz w:val="16"/>
                <w:szCs w:val="16"/>
                <w:shd w:val="clear" w:color="auto" w:fill="FFFFFF"/>
              </w:rPr>
              <w:t>вимог</w:t>
            </w:r>
            <w:proofErr w:type="spellEnd"/>
            <w:r w:rsidRPr="00E16672">
              <w:rPr>
                <w:rFonts w:ascii="Times New Roman" w:hAnsi="Times New Roman"/>
                <w:color w:val="000000"/>
                <w:sz w:val="16"/>
                <w:szCs w:val="16"/>
                <w:shd w:val="clear" w:color="auto" w:fill="FFFFFF"/>
              </w:rPr>
              <w:t xml:space="preserve"> </w:t>
            </w:r>
            <w:proofErr w:type="spellStart"/>
            <w:r w:rsidRPr="00E16672">
              <w:rPr>
                <w:rFonts w:ascii="Times New Roman" w:hAnsi="Times New Roman"/>
                <w:color w:val="000000"/>
                <w:sz w:val="16"/>
                <w:szCs w:val="16"/>
                <w:shd w:val="clear" w:color="auto" w:fill="FFFFFF"/>
              </w:rPr>
              <w:t>захисту</w:t>
            </w:r>
            <w:proofErr w:type="spellEnd"/>
            <w:r w:rsidRPr="00E16672">
              <w:rPr>
                <w:rFonts w:ascii="Times New Roman" w:hAnsi="Times New Roman"/>
                <w:color w:val="000000"/>
                <w:sz w:val="16"/>
                <w:szCs w:val="16"/>
                <w:shd w:val="clear" w:color="auto" w:fill="FFFFFF"/>
              </w:rPr>
              <w:t xml:space="preserve"> </w:t>
            </w:r>
            <w:proofErr w:type="spellStart"/>
            <w:r w:rsidRPr="00E16672">
              <w:rPr>
                <w:rFonts w:ascii="Times New Roman" w:hAnsi="Times New Roman"/>
                <w:color w:val="000000"/>
                <w:sz w:val="16"/>
                <w:szCs w:val="16"/>
                <w:shd w:val="clear" w:color="auto" w:fill="FFFFFF"/>
              </w:rPr>
              <w:t>інформації</w:t>
            </w:r>
            <w:proofErr w:type="spellEnd"/>
            <w:r w:rsidRPr="00E16672">
              <w:rPr>
                <w:rFonts w:ascii="Times New Roman" w:hAnsi="Times New Roman"/>
                <w:color w:val="000000"/>
                <w:sz w:val="16"/>
                <w:szCs w:val="16"/>
                <w:shd w:val="clear" w:color="auto" w:fill="FFFFFF"/>
              </w:rPr>
              <w:t xml:space="preserve"> </w:t>
            </w:r>
            <w:proofErr w:type="spellStart"/>
            <w:proofErr w:type="gramStart"/>
            <w:r w:rsidRPr="00E16672">
              <w:rPr>
                <w:rFonts w:ascii="Times New Roman" w:hAnsi="Times New Roman"/>
                <w:color w:val="000000"/>
                <w:sz w:val="16"/>
                <w:szCs w:val="16"/>
                <w:shd w:val="clear" w:color="auto" w:fill="FFFFFF"/>
              </w:rPr>
              <w:t>від</w:t>
            </w:r>
            <w:proofErr w:type="spellEnd"/>
            <w:r w:rsidRPr="00E16672">
              <w:rPr>
                <w:rFonts w:ascii="Times New Roman" w:hAnsi="Times New Roman"/>
                <w:color w:val="000000"/>
                <w:sz w:val="16"/>
                <w:szCs w:val="16"/>
                <w:shd w:val="clear" w:color="auto" w:fill="FFFFFF"/>
              </w:rPr>
              <w:t xml:space="preserve"> </w:t>
            </w:r>
            <w:r w:rsidR="008F2FF8">
              <w:rPr>
                <w:rFonts w:ascii="Times New Roman" w:hAnsi="Times New Roman"/>
                <w:color w:val="000000"/>
                <w:sz w:val="16"/>
                <w:szCs w:val="16"/>
                <w:shd w:val="clear" w:color="auto" w:fill="FFFFFF"/>
                <w:lang w:val="uk-UA"/>
              </w:rPr>
              <w:t xml:space="preserve"> </w:t>
            </w:r>
            <w:proofErr w:type="spellStart"/>
            <w:r w:rsidRPr="00E16672">
              <w:rPr>
                <w:rFonts w:ascii="Times New Roman" w:hAnsi="Times New Roman"/>
                <w:color w:val="000000"/>
                <w:sz w:val="16"/>
                <w:szCs w:val="16"/>
                <w:shd w:val="clear" w:color="auto" w:fill="FFFFFF"/>
              </w:rPr>
              <w:t>несанкціонованого</w:t>
            </w:r>
            <w:proofErr w:type="spellEnd"/>
            <w:proofErr w:type="gramEnd"/>
            <w:r w:rsidRPr="00E16672">
              <w:rPr>
                <w:rFonts w:ascii="Times New Roman" w:hAnsi="Times New Roman"/>
                <w:color w:val="000000"/>
                <w:sz w:val="16"/>
                <w:szCs w:val="16"/>
                <w:shd w:val="clear" w:color="auto" w:fill="FFFFFF"/>
              </w:rPr>
              <w:t xml:space="preserve"> доступу в </w:t>
            </w:r>
            <w:proofErr w:type="spellStart"/>
            <w:r w:rsidRPr="00E16672">
              <w:rPr>
                <w:rFonts w:ascii="Times New Roman" w:hAnsi="Times New Roman"/>
                <w:color w:val="000000"/>
                <w:sz w:val="16"/>
                <w:szCs w:val="16"/>
                <w:shd w:val="clear" w:color="auto" w:fill="FFFFFF"/>
              </w:rPr>
              <w:t>електронних</w:t>
            </w:r>
            <w:proofErr w:type="spellEnd"/>
            <w:r w:rsidRPr="00E16672">
              <w:rPr>
                <w:rFonts w:ascii="Times New Roman" w:hAnsi="Times New Roman"/>
                <w:color w:val="000000"/>
                <w:sz w:val="16"/>
                <w:szCs w:val="16"/>
                <w:shd w:val="clear" w:color="auto" w:fill="FFFFFF"/>
              </w:rPr>
              <w:t xml:space="preserve"> системах </w:t>
            </w:r>
            <w:proofErr w:type="spellStart"/>
            <w:r w:rsidRPr="00E16672">
              <w:rPr>
                <w:rFonts w:ascii="Times New Roman" w:hAnsi="Times New Roman"/>
                <w:color w:val="000000"/>
                <w:sz w:val="16"/>
                <w:szCs w:val="16"/>
                <w:shd w:val="clear" w:color="auto" w:fill="FFFFFF"/>
              </w:rPr>
              <w:t>обміну</w:t>
            </w:r>
            <w:proofErr w:type="spellEnd"/>
            <w:r w:rsidRPr="00E16672">
              <w:rPr>
                <w:rFonts w:ascii="Times New Roman" w:hAnsi="Times New Roman"/>
                <w:color w:val="000000"/>
                <w:sz w:val="16"/>
                <w:szCs w:val="16"/>
                <w:shd w:val="clear" w:color="auto" w:fill="FFFFFF"/>
              </w:rPr>
              <w:t xml:space="preserve"> </w:t>
            </w:r>
            <w:proofErr w:type="spellStart"/>
            <w:r w:rsidRPr="00E16672">
              <w:rPr>
                <w:rFonts w:ascii="Times New Roman" w:hAnsi="Times New Roman"/>
                <w:color w:val="000000"/>
                <w:sz w:val="16"/>
                <w:szCs w:val="16"/>
                <w:shd w:val="clear" w:color="auto" w:fill="FFFFFF"/>
              </w:rPr>
              <w:t>даними</w:t>
            </w:r>
            <w:proofErr w:type="spellEnd"/>
            <w:r w:rsidRPr="00E16672">
              <w:rPr>
                <w:rFonts w:ascii="Times New Roman" w:hAnsi="Times New Roman"/>
                <w:color w:val="000000"/>
                <w:sz w:val="16"/>
                <w:szCs w:val="16"/>
                <w:shd w:val="clear" w:color="auto" w:fill="FFFFFF"/>
              </w:rPr>
              <w:t>.</w:t>
            </w:r>
          </w:p>
          <w:p w14:paraId="08CB4D66" w14:textId="77777777" w:rsidR="00E51F85" w:rsidRPr="00E16672" w:rsidRDefault="00E51F85" w:rsidP="00AB3C26">
            <w:pPr>
              <w:pStyle w:val="1b"/>
              <w:spacing w:before="0" w:after="0"/>
              <w:ind w:left="142" w:right="138"/>
              <w:rPr>
                <w:rFonts w:ascii="Times New Roman" w:eastAsia="Times New Roman" w:hAnsi="Times New Roman" w:cs="Times New Roman"/>
                <w:b/>
                <w:color w:val="000000"/>
                <w:sz w:val="16"/>
                <w:szCs w:val="16"/>
              </w:rPr>
            </w:pPr>
          </w:p>
        </w:tc>
        <w:tc>
          <w:tcPr>
            <w:tcW w:w="5494" w:type="dxa"/>
            <w:gridSpan w:val="7"/>
            <w:shd w:val="clear" w:color="auto" w:fill="auto"/>
          </w:tcPr>
          <w:p w14:paraId="7A64FB72" w14:textId="77777777" w:rsidR="00E51F85" w:rsidRPr="00E16672" w:rsidRDefault="00E51F85" w:rsidP="00AB3C26">
            <w:pPr>
              <w:pStyle w:val="210"/>
              <w:snapToGrid w:val="0"/>
              <w:ind w:left="145" w:right="100" w:firstLine="0"/>
              <w:rPr>
                <w:rFonts w:ascii="Times New Roman" w:hAnsi="Times New Roman"/>
                <w:color w:val="000000"/>
                <w:sz w:val="16"/>
                <w:szCs w:val="16"/>
                <w:lang w:val="en-GB"/>
              </w:rPr>
            </w:pPr>
            <w:r w:rsidRPr="00E16672">
              <w:rPr>
                <w:rFonts w:ascii="Times New Roman" w:hAnsi="Times New Roman"/>
                <w:color w:val="000000"/>
                <w:sz w:val="16"/>
                <w:szCs w:val="16"/>
              </w:rPr>
              <w:t>2.1.</w:t>
            </w:r>
            <w:r w:rsidR="008B4DD5" w:rsidRPr="00E16672">
              <w:rPr>
                <w:rFonts w:ascii="Times New Roman" w:hAnsi="Times New Roman"/>
                <w:color w:val="000000"/>
                <w:sz w:val="16"/>
                <w:szCs w:val="16"/>
                <w:lang w:val="en-US"/>
              </w:rPr>
              <w:t>1</w:t>
            </w:r>
            <w:r w:rsidR="008B4DD5" w:rsidRPr="00E16672">
              <w:rPr>
                <w:rFonts w:ascii="Times New Roman" w:hAnsi="Times New Roman"/>
                <w:color w:val="000000"/>
                <w:sz w:val="16"/>
                <w:szCs w:val="16"/>
              </w:rPr>
              <w:t>4</w:t>
            </w:r>
            <w:r w:rsidRPr="00E16672">
              <w:rPr>
                <w:rFonts w:ascii="Times New Roman" w:hAnsi="Times New Roman"/>
                <w:color w:val="000000"/>
                <w:sz w:val="16"/>
                <w:szCs w:val="16"/>
                <w:lang w:val="en-GB"/>
              </w:rPr>
              <w:t>. To keep the settled demands of protection of the information from unauthorized access in electronic data exchange systems.</w:t>
            </w:r>
          </w:p>
          <w:p w14:paraId="0F0F49DD" w14:textId="77777777" w:rsidR="00E51F85" w:rsidRPr="00E16672" w:rsidRDefault="00E51F85" w:rsidP="00AB3C26">
            <w:pPr>
              <w:ind w:left="145" w:right="100"/>
              <w:jc w:val="center"/>
              <w:rPr>
                <w:rFonts w:ascii="Times New Roman" w:hAnsi="Times New Roman"/>
                <w:b/>
                <w:bCs/>
                <w:color w:val="000000"/>
                <w:sz w:val="16"/>
                <w:szCs w:val="16"/>
                <w:lang w:val="en-GB"/>
              </w:rPr>
            </w:pPr>
          </w:p>
        </w:tc>
      </w:tr>
      <w:tr w:rsidR="00E51F85" w:rsidRPr="00F23413" w14:paraId="39EEBE90" w14:textId="77777777" w:rsidTr="00D77858">
        <w:tblPrEx>
          <w:tblCellMar>
            <w:left w:w="0" w:type="dxa"/>
            <w:right w:w="0" w:type="dxa"/>
          </w:tblCellMar>
        </w:tblPrEx>
        <w:trPr>
          <w:trHeight w:val="192"/>
        </w:trPr>
        <w:tc>
          <w:tcPr>
            <w:tcW w:w="5696" w:type="dxa"/>
            <w:gridSpan w:val="6"/>
            <w:shd w:val="clear" w:color="auto" w:fill="auto"/>
          </w:tcPr>
          <w:p w14:paraId="5D9FE725" w14:textId="77777777" w:rsidR="00E51F85" w:rsidRPr="00F23413" w:rsidRDefault="00E51F85" w:rsidP="00547A75">
            <w:pPr>
              <w:tabs>
                <w:tab w:val="left" w:pos="851"/>
                <w:tab w:val="left" w:pos="7200"/>
              </w:tabs>
              <w:snapToGrid w:val="0"/>
              <w:ind w:left="142" w:right="138" w:firstLine="0"/>
              <w:rPr>
                <w:rFonts w:ascii="Times New Roman" w:hAnsi="Times New Roman"/>
                <w:color w:val="000000"/>
                <w:sz w:val="16"/>
                <w:szCs w:val="16"/>
                <w:lang w:val="en-US"/>
              </w:rPr>
            </w:pPr>
            <w:r w:rsidRPr="00F23413">
              <w:rPr>
                <w:rFonts w:ascii="Times New Roman" w:hAnsi="Times New Roman"/>
                <w:color w:val="000000"/>
                <w:sz w:val="16"/>
                <w:szCs w:val="16"/>
                <w:lang w:val="en-US"/>
              </w:rPr>
              <w:t>2.1.</w:t>
            </w:r>
            <w:r w:rsidR="008B4DD5" w:rsidRPr="00F23413">
              <w:rPr>
                <w:rFonts w:ascii="Times New Roman" w:hAnsi="Times New Roman"/>
                <w:color w:val="000000"/>
                <w:sz w:val="16"/>
                <w:szCs w:val="16"/>
                <w:lang w:val="en-US"/>
              </w:rPr>
              <w:t>1</w:t>
            </w:r>
            <w:r w:rsidR="008B4DD5" w:rsidRPr="00E16672">
              <w:rPr>
                <w:rFonts w:ascii="Times New Roman" w:hAnsi="Times New Roman"/>
                <w:color w:val="000000"/>
                <w:sz w:val="16"/>
                <w:szCs w:val="16"/>
                <w:lang w:val="uk-UA"/>
              </w:rPr>
              <w:t>5</w:t>
            </w:r>
            <w:r w:rsidRPr="00F23413">
              <w:rPr>
                <w:rFonts w:ascii="Times New Roman" w:hAnsi="Times New Roman"/>
                <w:color w:val="000000"/>
                <w:sz w:val="16"/>
                <w:szCs w:val="16"/>
                <w:lang w:val="en-US"/>
              </w:rPr>
              <w:t xml:space="preserve">. </w:t>
            </w:r>
            <w:proofErr w:type="spellStart"/>
            <w:r w:rsidRPr="00E16672">
              <w:rPr>
                <w:rFonts w:ascii="Times New Roman" w:hAnsi="Times New Roman"/>
                <w:color w:val="000000"/>
                <w:sz w:val="16"/>
                <w:szCs w:val="16"/>
              </w:rPr>
              <w:t>Протягом</w:t>
            </w:r>
            <w:proofErr w:type="spellEnd"/>
            <w:r w:rsidRPr="00F23413">
              <w:rPr>
                <w:rFonts w:ascii="Times New Roman" w:hAnsi="Times New Roman"/>
                <w:color w:val="000000"/>
                <w:sz w:val="16"/>
                <w:szCs w:val="16"/>
                <w:lang w:val="en-US"/>
              </w:rPr>
              <w:t xml:space="preserve"> </w:t>
            </w:r>
            <w:r w:rsidR="008B4DD5" w:rsidRPr="00E16672">
              <w:rPr>
                <w:rFonts w:ascii="Times New Roman" w:hAnsi="Times New Roman"/>
                <w:i/>
                <w:color w:val="000000"/>
                <w:sz w:val="16"/>
                <w:szCs w:val="16"/>
                <w:lang w:val="uk-UA"/>
              </w:rPr>
              <w:t>п’яти</w:t>
            </w:r>
            <w:r w:rsidR="008B4DD5" w:rsidRPr="00F23413">
              <w:rPr>
                <w:rFonts w:ascii="Times New Roman" w:hAnsi="Times New Roman"/>
                <w:i/>
                <w:color w:val="000000"/>
                <w:sz w:val="16"/>
                <w:szCs w:val="16"/>
                <w:lang w:val="en-US"/>
              </w:rPr>
              <w:t xml:space="preserve"> </w:t>
            </w:r>
            <w:proofErr w:type="spellStart"/>
            <w:r w:rsidRPr="00E16672">
              <w:rPr>
                <w:rFonts w:ascii="Times New Roman" w:hAnsi="Times New Roman"/>
                <w:i/>
                <w:color w:val="000000"/>
                <w:sz w:val="16"/>
                <w:szCs w:val="16"/>
              </w:rPr>
              <w:t>робочих</w:t>
            </w:r>
            <w:proofErr w:type="spellEnd"/>
            <w:r w:rsidRPr="00F23413">
              <w:rPr>
                <w:rFonts w:ascii="Times New Roman" w:hAnsi="Times New Roman"/>
                <w:color w:val="000000"/>
                <w:sz w:val="16"/>
                <w:szCs w:val="16"/>
                <w:lang w:val="en-US"/>
              </w:rPr>
              <w:t xml:space="preserve"> </w:t>
            </w:r>
            <w:proofErr w:type="spellStart"/>
            <w:r w:rsidRPr="00E16672">
              <w:rPr>
                <w:rFonts w:ascii="Times New Roman" w:hAnsi="Times New Roman"/>
                <w:color w:val="000000"/>
                <w:sz w:val="16"/>
                <w:szCs w:val="16"/>
              </w:rPr>
              <w:t>днів</w:t>
            </w:r>
            <w:proofErr w:type="spellEnd"/>
            <w:r w:rsidRPr="00F23413">
              <w:rPr>
                <w:rFonts w:ascii="Times New Roman" w:hAnsi="Times New Roman"/>
                <w:color w:val="000000"/>
                <w:sz w:val="16"/>
                <w:szCs w:val="16"/>
                <w:lang w:val="en-US"/>
              </w:rPr>
              <w:t xml:space="preserve"> </w:t>
            </w:r>
            <w:r w:rsidRPr="00E16672">
              <w:rPr>
                <w:rFonts w:ascii="Times New Roman" w:hAnsi="Times New Roman"/>
                <w:color w:val="000000"/>
                <w:sz w:val="16"/>
                <w:szCs w:val="16"/>
              </w:rPr>
              <w:t>з</w:t>
            </w:r>
            <w:r w:rsidRPr="00F23413">
              <w:rPr>
                <w:rFonts w:ascii="Times New Roman" w:hAnsi="Times New Roman"/>
                <w:color w:val="000000"/>
                <w:sz w:val="16"/>
                <w:szCs w:val="16"/>
                <w:lang w:val="en-US"/>
              </w:rPr>
              <w:t xml:space="preserve"> </w:t>
            </w:r>
            <w:proofErr w:type="spellStart"/>
            <w:r w:rsidRPr="00E16672">
              <w:rPr>
                <w:rFonts w:ascii="Times New Roman" w:hAnsi="Times New Roman"/>
                <w:color w:val="000000"/>
                <w:sz w:val="16"/>
                <w:szCs w:val="16"/>
              </w:rPr>
              <w:t>дати</w:t>
            </w:r>
            <w:proofErr w:type="spellEnd"/>
            <w:r w:rsidRPr="00F23413">
              <w:rPr>
                <w:rFonts w:ascii="Times New Roman" w:hAnsi="Times New Roman"/>
                <w:color w:val="000000"/>
                <w:sz w:val="16"/>
                <w:szCs w:val="16"/>
                <w:lang w:val="en-US"/>
              </w:rPr>
              <w:t xml:space="preserve"> </w:t>
            </w:r>
            <w:r w:rsidRPr="00E16672">
              <w:rPr>
                <w:rFonts w:ascii="Times New Roman" w:hAnsi="Times New Roman"/>
                <w:color w:val="000000"/>
                <w:sz w:val="16"/>
                <w:szCs w:val="16"/>
              </w:rPr>
              <w:t>початку</w:t>
            </w:r>
            <w:r w:rsidRPr="00F23413">
              <w:rPr>
                <w:rFonts w:ascii="Times New Roman" w:hAnsi="Times New Roman"/>
                <w:color w:val="000000"/>
                <w:sz w:val="16"/>
                <w:szCs w:val="16"/>
                <w:lang w:val="en-US"/>
              </w:rPr>
              <w:t xml:space="preserve"> </w:t>
            </w:r>
            <w:r w:rsidRPr="00E16672">
              <w:rPr>
                <w:rFonts w:ascii="Times New Roman" w:hAnsi="Times New Roman"/>
                <w:color w:val="000000"/>
                <w:sz w:val="16"/>
                <w:szCs w:val="16"/>
              </w:rPr>
              <w:t>Депозитарною</w:t>
            </w:r>
            <w:r w:rsidRPr="00F23413">
              <w:rPr>
                <w:rFonts w:ascii="Times New Roman" w:hAnsi="Times New Roman"/>
                <w:color w:val="000000"/>
                <w:sz w:val="16"/>
                <w:szCs w:val="16"/>
                <w:lang w:val="en-US"/>
              </w:rPr>
              <w:t xml:space="preserve"> </w:t>
            </w:r>
            <w:proofErr w:type="spellStart"/>
            <w:r w:rsidRPr="00E16672">
              <w:rPr>
                <w:rFonts w:ascii="Times New Roman" w:hAnsi="Times New Roman"/>
                <w:color w:val="000000"/>
                <w:sz w:val="16"/>
                <w:szCs w:val="16"/>
              </w:rPr>
              <w:t>установою</w:t>
            </w:r>
            <w:proofErr w:type="spellEnd"/>
            <w:r w:rsidRPr="00F23413">
              <w:rPr>
                <w:rFonts w:ascii="Times New Roman" w:hAnsi="Times New Roman"/>
                <w:color w:val="000000"/>
                <w:sz w:val="16"/>
                <w:szCs w:val="16"/>
                <w:lang w:val="en-US"/>
              </w:rPr>
              <w:t xml:space="preserve"> </w:t>
            </w:r>
            <w:proofErr w:type="spellStart"/>
            <w:r w:rsidRPr="00E16672">
              <w:rPr>
                <w:rFonts w:ascii="Times New Roman" w:hAnsi="Times New Roman"/>
                <w:color w:val="000000"/>
                <w:sz w:val="16"/>
                <w:szCs w:val="16"/>
              </w:rPr>
              <w:t>процедури</w:t>
            </w:r>
            <w:proofErr w:type="spellEnd"/>
            <w:r w:rsidRPr="00F23413">
              <w:rPr>
                <w:rFonts w:ascii="Times New Roman" w:hAnsi="Times New Roman"/>
                <w:color w:val="000000"/>
                <w:sz w:val="16"/>
                <w:szCs w:val="16"/>
                <w:lang w:val="en-US"/>
              </w:rPr>
              <w:t xml:space="preserve"> </w:t>
            </w:r>
            <w:proofErr w:type="spellStart"/>
            <w:r w:rsidRPr="00E16672">
              <w:rPr>
                <w:rFonts w:ascii="Times New Roman" w:hAnsi="Times New Roman"/>
                <w:color w:val="000000"/>
                <w:sz w:val="16"/>
                <w:szCs w:val="16"/>
              </w:rPr>
              <w:t>припинення</w:t>
            </w:r>
            <w:proofErr w:type="spellEnd"/>
            <w:r w:rsidRPr="00F23413">
              <w:rPr>
                <w:rFonts w:ascii="Times New Roman" w:hAnsi="Times New Roman"/>
                <w:color w:val="000000"/>
                <w:sz w:val="16"/>
                <w:szCs w:val="16"/>
                <w:lang w:val="en-US"/>
              </w:rPr>
              <w:t xml:space="preserve"> </w:t>
            </w:r>
            <w:r w:rsidRPr="00E16672">
              <w:rPr>
                <w:rFonts w:ascii="Times New Roman" w:hAnsi="Times New Roman"/>
                <w:color w:val="000000"/>
                <w:sz w:val="16"/>
                <w:szCs w:val="16"/>
              </w:rPr>
              <w:t>нею</w:t>
            </w:r>
            <w:r w:rsidRPr="00F23413">
              <w:rPr>
                <w:rFonts w:ascii="Times New Roman" w:hAnsi="Times New Roman"/>
                <w:color w:val="000000"/>
                <w:sz w:val="16"/>
                <w:szCs w:val="16"/>
                <w:lang w:val="en-US"/>
              </w:rPr>
              <w:t xml:space="preserve"> </w:t>
            </w:r>
            <w:proofErr w:type="spellStart"/>
            <w:r w:rsidRPr="00E16672">
              <w:rPr>
                <w:rFonts w:ascii="Times New Roman" w:hAnsi="Times New Roman"/>
                <w:color w:val="000000"/>
                <w:sz w:val="16"/>
                <w:szCs w:val="16"/>
              </w:rPr>
              <w:t>провадження</w:t>
            </w:r>
            <w:proofErr w:type="spellEnd"/>
            <w:r w:rsidRPr="00F23413">
              <w:rPr>
                <w:rFonts w:ascii="Times New Roman" w:hAnsi="Times New Roman"/>
                <w:color w:val="000000"/>
                <w:sz w:val="16"/>
                <w:szCs w:val="16"/>
                <w:lang w:val="en-US"/>
              </w:rPr>
              <w:t xml:space="preserve"> </w:t>
            </w:r>
            <w:proofErr w:type="spellStart"/>
            <w:r w:rsidRPr="00E16672">
              <w:rPr>
                <w:rFonts w:ascii="Times New Roman" w:hAnsi="Times New Roman"/>
                <w:color w:val="000000"/>
                <w:sz w:val="16"/>
                <w:szCs w:val="16"/>
              </w:rPr>
              <w:t>професійної</w:t>
            </w:r>
            <w:proofErr w:type="spellEnd"/>
            <w:r w:rsidRPr="00F23413">
              <w:rPr>
                <w:rFonts w:ascii="Times New Roman" w:hAnsi="Times New Roman"/>
                <w:color w:val="000000"/>
                <w:sz w:val="16"/>
                <w:szCs w:val="16"/>
                <w:lang w:val="en-US"/>
              </w:rPr>
              <w:t xml:space="preserve"> </w:t>
            </w:r>
            <w:proofErr w:type="spellStart"/>
            <w:r w:rsidRPr="00E16672">
              <w:rPr>
                <w:rFonts w:ascii="Times New Roman" w:hAnsi="Times New Roman"/>
                <w:color w:val="000000"/>
                <w:sz w:val="16"/>
                <w:szCs w:val="16"/>
              </w:rPr>
              <w:t>діяльності</w:t>
            </w:r>
            <w:proofErr w:type="spellEnd"/>
            <w:r w:rsidRPr="00F23413">
              <w:rPr>
                <w:rFonts w:ascii="Times New Roman" w:hAnsi="Times New Roman"/>
                <w:color w:val="000000"/>
                <w:sz w:val="16"/>
                <w:szCs w:val="16"/>
                <w:lang w:val="en-US"/>
              </w:rPr>
              <w:t xml:space="preserve"> </w:t>
            </w:r>
            <w:proofErr w:type="gramStart"/>
            <w:r w:rsidRPr="00E16672">
              <w:rPr>
                <w:rFonts w:ascii="Times New Roman" w:hAnsi="Times New Roman"/>
                <w:color w:val="000000"/>
                <w:sz w:val="16"/>
                <w:szCs w:val="16"/>
              </w:rPr>
              <w:t>на</w:t>
            </w:r>
            <w:r w:rsidRPr="00F23413">
              <w:rPr>
                <w:rFonts w:ascii="Times New Roman" w:hAnsi="Times New Roman"/>
                <w:color w:val="000000"/>
                <w:sz w:val="16"/>
                <w:szCs w:val="16"/>
                <w:lang w:val="en-US"/>
              </w:rPr>
              <w:t xml:space="preserve"> </w:t>
            </w:r>
            <w:r w:rsidRPr="00E16672">
              <w:rPr>
                <w:rFonts w:ascii="Times New Roman" w:hAnsi="Times New Roman"/>
                <w:color w:val="000000"/>
                <w:sz w:val="16"/>
                <w:szCs w:val="16"/>
              </w:rPr>
              <w:t>фондовому</w:t>
            </w:r>
            <w:r w:rsidRPr="00F23413">
              <w:rPr>
                <w:rFonts w:ascii="Times New Roman" w:hAnsi="Times New Roman"/>
                <w:color w:val="000000"/>
                <w:sz w:val="16"/>
                <w:szCs w:val="16"/>
                <w:lang w:val="en-US"/>
              </w:rPr>
              <w:t xml:space="preserve"> </w:t>
            </w:r>
            <w:r w:rsidRPr="00E16672">
              <w:rPr>
                <w:rFonts w:ascii="Times New Roman" w:hAnsi="Times New Roman"/>
                <w:color w:val="000000"/>
                <w:sz w:val="16"/>
                <w:szCs w:val="16"/>
              </w:rPr>
              <w:t>ринку</w:t>
            </w:r>
            <w:proofErr w:type="gramEnd"/>
            <w:r w:rsidRPr="00F23413">
              <w:rPr>
                <w:rFonts w:ascii="Times New Roman" w:hAnsi="Times New Roman"/>
                <w:color w:val="000000"/>
                <w:sz w:val="16"/>
                <w:szCs w:val="16"/>
                <w:lang w:val="en-US"/>
              </w:rPr>
              <w:t xml:space="preserve"> - </w:t>
            </w:r>
            <w:proofErr w:type="spellStart"/>
            <w:r w:rsidRPr="00E16672">
              <w:rPr>
                <w:rFonts w:ascii="Times New Roman" w:hAnsi="Times New Roman"/>
                <w:color w:val="000000"/>
                <w:sz w:val="16"/>
                <w:szCs w:val="16"/>
              </w:rPr>
              <w:t>депозитарної</w:t>
            </w:r>
            <w:proofErr w:type="spellEnd"/>
            <w:r w:rsidRPr="00F23413">
              <w:rPr>
                <w:rFonts w:ascii="Times New Roman" w:hAnsi="Times New Roman"/>
                <w:color w:val="000000"/>
                <w:sz w:val="16"/>
                <w:szCs w:val="16"/>
                <w:lang w:val="en-US"/>
              </w:rPr>
              <w:t xml:space="preserve"> </w:t>
            </w:r>
            <w:proofErr w:type="spellStart"/>
            <w:r w:rsidRPr="00E16672">
              <w:rPr>
                <w:rFonts w:ascii="Times New Roman" w:hAnsi="Times New Roman"/>
                <w:color w:val="000000"/>
                <w:sz w:val="16"/>
                <w:szCs w:val="16"/>
              </w:rPr>
              <w:t>діяльності</w:t>
            </w:r>
            <w:proofErr w:type="spellEnd"/>
            <w:r w:rsidRPr="00F23413">
              <w:rPr>
                <w:rFonts w:ascii="Times New Roman" w:hAnsi="Times New Roman"/>
                <w:color w:val="000000"/>
                <w:sz w:val="16"/>
                <w:szCs w:val="16"/>
                <w:lang w:val="en-US"/>
              </w:rPr>
              <w:t xml:space="preserve"> </w:t>
            </w:r>
            <w:proofErr w:type="spellStart"/>
            <w:r w:rsidRPr="00E16672">
              <w:rPr>
                <w:rFonts w:ascii="Times New Roman" w:hAnsi="Times New Roman"/>
                <w:color w:val="000000"/>
                <w:sz w:val="16"/>
                <w:szCs w:val="16"/>
              </w:rPr>
              <w:t>депозитарної</w:t>
            </w:r>
            <w:proofErr w:type="spellEnd"/>
            <w:r w:rsidRPr="00F23413">
              <w:rPr>
                <w:rFonts w:ascii="Times New Roman" w:hAnsi="Times New Roman"/>
                <w:color w:val="000000"/>
                <w:sz w:val="16"/>
                <w:szCs w:val="16"/>
                <w:lang w:val="en-US"/>
              </w:rPr>
              <w:t xml:space="preserve"> </w:t>
            </w:r>
            <w:r w:rsidRPr="00E16672">
              <w:rPr>
                <w:rFonts w:ascii="Times New Roman" w:hAnsi="Times New Roman"/>
                <w:color w:val="000000"/>
                <w:sz w:val="16"/>
                <w:szCs w:val="16"/>
              </w:rPr>
              <w:t>установи</w:t>
            </w:r>
            <w:r w:rsidRPr="00F23413">
              <w:rPr>
                <w:rFonts w:ascii="Times New Roman" w:hAnsi="Times New Roman"/>
                <w:color w:val="000000"/>
                <w:sz w:val="16"/>
                <w:szCs w:val="16"/>
                <w:lang w:val="en-US"/>
              </w:rPr>
              <w:t xml:space="preserve"> </w:t>
            </w:r>
            <w:proofErr w:type="spellStart"/>
            <w:r w:rsidRPr="00E16672">
              <w:rPr>
                <w:rFonts w:ascii="Times New Roman" w:hAnsi="Times New Roman"/>
                <w:color w:val="000000"/>
                <w:sz w:val="16"/>
                <w:szCs w:val="16"/>
              </w:rPr>
              <w:t>відповідно</w:t>
            </w:r>
            <w:proofErr w:type="spellEnd"/>
            <w:r w:rsidRPr="00F23413">
              <w:rPr>
                <w:rFonts w:ascii="Times New Roman" w:hAnsi="Times New Roman"/>
                <w:color w:val="000000"/>
                <w:sz w:val="16"/>
                <w:szCs w:val="16"/>
                <w:lang w:val="en-US"/>
              </w:rPr>
              <w:t xml:space="preserve"> </w:t>
            </w:r>
            <w:r w:rsidRPr="00E16672">
              <w:rPr>
                <w:rFonts w:ascii="Times New Roman" w:hAnsi="Times New Roman"/>
                <w:color w:val="000000"/>
                <w:sz w:val="16"/>
                <w:szCs w:val="16"/>
              </w:rPr>
              <w:t>до</w:t>
            </w:r>
            <w:r w:rsidRPr="00F23413">
              <w:rPr>
                <w:rFonts w:ascii="Times New Roman" w:hAnsi="Times New Roman"/>
                <w:color w:val="000000"/>
                <w:sz w:val="16"/>
                <w:szCs w:val="16"/>
                <w:lang w:val="en-US"/>
              </w:rPr>
              <w:t xml:space="preserve"> </w:t>
            </w:r>
            <w:proofErr w:type="spellStart"/>
            <w:r w:rsidRPr="00E16672">
              <w:rPr>
                <w:rFonts w:ascii="Times New Roman" w:hAnsi="Times New Roman"/>
                <w:color w:val="000000"/>
                <w:sz w:val="16"/>
                <w:szCs w:val="16"/>
              </w:rPr>
              <w:t>вимог</w:t>
            </w:r>
            <w:proofErr w:type="spellEnd"/>
            <w:r w:rsidRPr="00F23413">
              <w:rPr>
                <w:rFonts w:ascii="Times New Roman" w:hAnsi="Times New Roman"/>
                <w:color w:val="000000"/>
                <w:sz w:val="16"/>
                <w:szCs w:val="16"/>
                <w:lang w:val="en-US"/>
              </w:rPr>
              <w:t xml:space="preserve"> </w:t>
            </w:r>
            <w:r w:rsidRPr="00E16672">
              <w:rPr>
                <w:rFonts w:ascii="Times New Roman" w:hAnsi="Times New Roman"/>
                <w:color w:val="000000"/>
                <w:sz w:val="16"/>
                <w:szCs w:val="16"/>
              </w:rPr>
              <w:t>нормативно</w:t>
            </w:r>
            <w:r w:rsidRPr="00F23413">
              <w:rPr>
                <w:rFonts w:ascii="Times New Roman" w:hAnsi="Times New Roman"/>
                <w:color w:val="000000"/>
                <w:sz w:val="16"/>
                <w:szCs w:val="16"/>
                <w:lang w:val="en-US"/>
              </w:rPr>
              <w:t>-</w:t>
            </w:r>
            <w:r w:rsidRPr="00E16672">
              <w:rPr>
                <w:rFonts w:ascii="Times New Roman" w:hAnsi="Times New Roman"/>
                <w:color w:val="000000"/>
                <w:sz w:val="16"/>
                <w:szCs w:val="16"/>
              </w:rPr>
              <w:t>правового</w:t>
            </w:r>
            <w:r w:rsidRPr="00F23413">
              <w:rPr>
                <w:rFonts w:ascii="Times New Roman" w:hAnsi="Times New Roman"/>
                <w:color w:val="000000"/>
                <w:sz w:val="16"/>
                <w:szCs w:val="16"/>
                <w:lang w:val="en-US"/>
              </w:rPr>
              <w:t xml:space="preserve"> </w:t>
            </w:r>
            <w:r w:rsidRPr="00E16672">
              <w:rPr>
                <w:rFonts w:ascii="Times New Roman" w:hAnsi="Times New Roman"/>
                <w:color w:val="000000"/>
                <w:sz w:val="16"/>
                <w:szCs w:val="16"/>
              </w:rPr>
              <w:t>акта</w:t>
            </w:r>
            <w:r w:rsidRPr="00F23413">
              <w:rPr>
                <w:rFonts w:ascii="Times New Roman" w:hAnsi="Times New Roman"/>
                <w:color w:val="000000"/>
                <w:sz w:val="16"/>
                <w:szCs w:val="16"/>
                <w:lang w:val="en-US"/>
              </w:rPr>
              <w:t xml:space="preserve"> </w:t>
            </w:r>
            <w:proofErr w:type="spellStart"/>
            <w:r w:rsidRPr="00E16672">
              <w:rPr>
                <w:rFonts w:ascii="Times New Roman" w:hAnsi="Times New Roman"/>
                <w:color w:val="000000"/>
                <w:sz w:val="16"/>
                <w:szCs w:val="16"/>
              </w:rPr>
              <w:t>щодо</w:t>
            </w:r>
            <w:proofErr w:type="spellEnd"/>
            <w:r w:rsidRPr="00F23413">
              <w:rPr>
                <w:rFonts w:ascii="Times New Roman" w:hAnsi="Times New Roman"/>
                <w:color w:val="000000"/>
                <w:sz w:val="16"/>
                <w:szCs w:val="16"/>
                <w:lang w:val="en-US"/>
              </w:rPr>
              <w:t xml:space="preserve"> </w:t>
            </w:r>
            <w:proofErr w:type="spellStart"/>
            <w:r w:rsidRPr="00E16672">
              <w:rPr>
                <w:rFonts w:ascii="Times New Roman" w:hAnsi="Times New Roman"/>
                <w:color w:val="000000"/>
                <w:sz w:val="16"/>
                <w:szCs w:val="16"/>
              </w:rPr>
              <w:t>припинення</w:t>
            </w:r>
            <w:proofErr w:type="spellEnd"/>
            <w:r w:rsidRPr="00F23413">
              <w:rPr>
                <w:rFonts w:ascii="Times New Roman" w:hAnsi="Times New Roman"/>
                <w:color w:val="000000"/>
                <w:sz w:val="16"/>
                <w:szCs w:val="16"/>
                <w:lang w:val="en-US"/>
              </w:rPr>
              <w:t xml:space="preserve"> </w:t>
            </w:r>
            <w:proofErr w:type="spellStart"/>
            <w:r w:rsidRPr="00E16672">
              <w:rPr>
                <w:rFonts w:ascii="Times New Roman" w:hAnsi="Times New Roman"/>
                <w:color w:val="000000"/>
                <w:sz w:val="16"/>
                <w:szCs w:val="16"/>
              </w:rPr>
              <w:t>депозитарної</w:t>
            </w:r>
            <w:proofErr w:type="spellEnd"/>
            <w:r w:rsidRPr="00F23413">
              <w:rPr>
                <w:rFonts w:ascii="Times New Roman" w:hAnsi="Times New Roman"/>
                <w:color w:val="000000"/>
                <w:sz w:val="16"/>
                <w:szCs w:val="16"/>
                <w:lang w:val="en-US"/>
              </w:rPr>
              <w:t xml:space="preserve"> </w:t>
            </w:r>
            <w:proofErr w:type="spellStart"/>
            <w:r w:rsidRPr="00E16672">
              <w:rPr>
                <w:rFonts w:ascii="Times New Roman" w:hAnsi="Times New Roman"/>
                <w:color w:val="000000"/>
                <w:sz w:val="16"/>
                <w:szCs w:val="16"/>
              </w:rPr>
              <w:t>діяльності</w:t>
            </w:r>
            <w:proofErr w:type="spellEnd"/>
            <w:r w:rsidRPr="00F23413">
              <w:rPr>
                <w:rFonts w:ascii="Times New Roman" w:hAnsi="Times New Roman"/>
                <w:color w:val="000000"/>
                <w:sz w:val="16"/>
                <w:szCs w:val="16"/>
                <w:lang w:val="en-US"/>
              </w:rPr>
              <w:t xml:space="preserve"> </w:t>
            </w:r>
            <w:proofErr w:type="spellStart"/>
            <w:r w:rsidRPr="00E16672">
              <w:rPr>
                <w:rFonts w:ascii="Times New Roman" w:hAnsi="Times New Roman"/>
                <w:color w:val="000000"/>
                <w:sz w:val="16"/>
                <w:szCs w:val="16"/>
              </w:rPr>
              <w:t>депозитарної</w:t>
            </w:r>
            <w:proofErr w:type="spellEnd"/>
            <w:r w:rsidRPr="00F23413">
              <w:rPr>
                <w:rFonts w:ascii="Times New Roman" w:hAnsi="Times New Roman"/>
                <w:color w:val="000000"/>
                <w:sz w:val="16"/>
                <w:szCs w:val="16"/>
                <w:lang w:val="en-US"/>
              </w:rPr>
              <w:t xml:space="preserve"> </w:t>
            </w:r>
            <w:r w:rsidRPr="00E16672">
              <w:rPr>
                <w:rFonts w:ascii="Times New Roman" w:hAnsi="Times New Roman"/>
                <w:color w:val="000000"/>
                <w:sz w:val="16"/>
                <w:szCs w:val="16"/>
              </w:rPr>
              <w:t>установи</w:t>
            </w:r>
            <w:r w:rsidRPr="00F23413">
              <w:rPr>
                <w:rFonts w:ascii="Times New Roman" w:hAnsi="Times New Roman"/>
                <w:color w:val="000000"/>
                <w:sz w:val="16"/>
                <w:szCs w:val="16"/>
                <w:lang w:val="en-US"/>
              </w:rPr>
              <w:t xml:space="preserve">, </w:t>
            </w:r>
            <w:proofErr w:type="spellStart"/>
            <w:r w:rsidRPr="00E16672">
              <w:rPr>
                <w:rFonts w:ascii="Times New Roman" w:hAnsi="Times New Roman"/>
                <w:color w:val="000000"/>
                <w:sz w:val="16"/>
                <w:szCs w:val="16"/>
              </w:rPr>
              <w:t>повідомити</w:t>
            </w:r>
            <w:proofErr w:type="spellEnd"/>
            <w:r w:rsidRPr="00F23413">
              <w:rPr>
                <w:rFonts w:ascii="Times New Roman" w:hAnsi="Times New Roman"/>
                <w:color w:val="000000"/>
                <w:sz w:val="16"/>
                <w:szCs w:val="16"/>
                <w:lang w:val="en-US"/>
              </w:rPr>
              <w:t xml:space="preserve"> </w:t>
            </w:r>
            <w:r w:rsidRPr="00E16672">
              <w:rPr>
                <w:rFonts w:ascii="Times New Roman" w:hAnsi="Times New Roman"/>
                <w:color w:val="000000"/>
                <w:sz w:val="16"/>
                <w:szCs w:val="16"/>
              </w:rPr>
              <w:t>Депонента</w:t>
            </w:r>
            <w:r w:rsidRPr="00F23413">
              <w:rPr>
                <w:rFonts w:ascii="Times New Roman" w:hAnsi="Times New Roman"/>
                <w:color w:val="000000"/>
                <w:sz w:val="16"/>
                <w:szCs w:val="16"/>
                <w:lang w:val="en-US"/>
              </w:rPr>
              <w:t xml:space="preserve"> </w:t>
            </w:r>
            <w:proofErr w:type="spellStart"/>
            <w:r w:rsidRPr="00E16672">
              <w:rPr>
                <w:rFonts w:ascii="Times New Roman" w:hAnsi="Times New Roman"/>
                <w:color w:val="000000"/>
                <w:sz w:val="16"/>
                <w:szCs w:val="16"/>
              </w:rPr>
              <w:t>щодо</w:t>
            </w:r>
            <w:proofErr w:type="spellEnd"/>
            <w:r w:rsidRPr="00F23413">
              <w:rPr>
                <w:rFonts w:ascii="Times New Roman" w:hAnsi="Times New Roman"/>
                <w:color w:val="000000"/>
                <w:sz w:val="16"/>
                <w:szCs w:val="16"/>
                <w:lang w:val="en-US"/>
              </w:rPr>
              <w:t xml:space="preserve"> </w:t>
            </w:r>
            <w:proofErr w:type="spellStart"/>
            <w:r w:rsidRPr="00E16672">
              <w:rPr>
                <w:rFonts w:ascii="Times New Roman" w:hAnsi="Times New Roman"/>
                <w:color w:val="000000"/>
                <w:sz w:val="16"/>
                <w:szCs w:val="16"/>
              </w:rPr>
              <w:t>необхідності</w:t>
            </w:r>
            <w:proofErr w:type="spellEnd"/>
            <w:r w:rsidRPr="00F23413">
              <w:rPr>
                <w:rFonts w:ascii="Times New Roman" w:hAnsi="Times New Roman"/>
                <w:color w:val="000000"/>
                <w:sz w:val="16"/>
                <w:szCs w:val="16"/>
                <w:lang w:val="en-US"/>
              </w:rPr>
              <w:t xml:space="preserve"> </w:t>
            </w:r>
            <w:proofErr w:type="spellStart"/>
            <w:r w:rsidRPr="00E16672">
              <w:rPr>
                <w:rFonts w:ascii="Times New Roman" w:hAnsi="Times New Roman"/>
                <w:color w:val="000000"/>
                <w:sz w:val="16"/>
                <w:szCs w:val="16"/>
              </w:rPr>
              <w:lastRenderedPageBreak/>
              <w:t>закриття</w:t>
            </w:r>
            <w:proofErr w:type="spellEnd"/>
            <w:r w:rsidRPr="00F23413">
              <w:rPr>
                <w:rFonts w:ascii="Times New Roman" w:hAnsi="Times New Roman"/>
                <w:color w:val="000000"/>
                <w:sz w:val="16"/>
                <w:szCs w:val="16"/>
                <w:lang w:val="en-US"/>
              </w:rPr>
              <w:t xml:space="preserve"> </w:t>
            </w:r>
            <w:proofErr w:type="spellStart"/>
            <w:r w:rsidR="008B4DD5" w:rsidRPr="00E16672">
              <w:rPr>
                <w:rFonts w:ascii="Times New Roman" w:hAnsi="Times New Roman"/>
                <w:color w:val="000000"/>
                <w:sz w:val="16"/>
                <w:szCs w:val="16"/>
              </w:rPr>
              <w:t>рахунк</w:t>
            </w:r>
            <w:proofErr w:type="spellEnd"/>
            <w:r w:rsidR="008B4DD5" w:rsidRPr="00E16672">
              <w:rPr>
                <w:rFonts w:ascii="Times New Roman" w:hAnsi="Times New Roman"/>
                <w:color w:val="000000"/>
                <w:sz w:val="16"/>
                <w:szCs w:val="16"/>
                <w:lang w:val="uk-UA"/>
              </w:rPr>
              <w:t>у</w:t>
            </w:r>
            <w:r w:rsidR="008B4DD5" w:rsidRPr="00F23413">
              <w:rPr>
                <w:rFonts w:ascii="Times New Roman" w:hAnsi="Times New Roman"/>
                <w:color w:val="000000"/>
                <w:sz w:val="16"/>
                <w:szCs w:val="16"/>
                <w:lang w:val="en-US"/>
              </w:rPr>
              <w:t xml:space="preserve"> </w:t>
            </w:r>
            <w:r w:rsidRPr="00E16672">
              <w:rPr>
                <w:rFonts w:ascii="Times New Roman" w:hAnsi="Times New Roman"/>
                <w:color w:val="000000"/>
                <w:sz w:val="16"/>
                <w:szCs w:val="16"/>
              </w:rPr>
              <w:t>в</w:t>
            </w:r>
            <w:r w:rsidRPr="00F23413">
              <w:rPr>
                <w:rFonts w:ascii="Times New Roman" w:hAnsi="Times New Roman"/>
                <w:color w:val="000000"/>
                <w:sz w:val="16"/>
                <w:szCs w:val="16"/>
                <w:lang w:val="en-US"/>
              </w:rPr>
              <w:t xml:space="preserve"> </w:t>
            </w:r>
            <w:proofErr w:type="spellStart"/>
            <w:r w:rsidRPr="00E16672">
              <w:rPr>
                <w:rFonts w:ascii="Times New Roman" w:hAnsi="Times New Roman"/>
                <w:color w:val="000000"/>
                <w:sz w:val="16"/>
                <w:szCs w:val="16"/>
              </w:rPr>
              <w:t>цінних</w:t>
            </w:r>
            <w:proofErr w:type="spellEnd"/>
            <w:r w:rsidRPr="00F23413">
              <w:rPr>
                <w:rFonts w:ascii="Times New Roman" w:hAnsi="Times New Roman"/>
                <w:color w:val="000000"/>
                <w:sz w:val="16"/>
                <w:szCs w:val="16"/>
                <w:lang w:val="en-US"/>
              </w:rPr>
              <w:t xml:space="preserve"> </w:t>
            </w:r>
            <w:proofErr w:type="spellStart"/>
            <w:r w:rsidRPr="00E16672">
              <w:rPr>
                <w:rFonts w:ascii="Times New Roman" w:hAnsi="Times New Roman"/>
                <w:color w:val="000000"/>
                <w:sz w:val="16"/>
                <w:szCs w:val="16"/>
              </w:rPr>
              <w:t>паперах</w:t>
            </w:r>
            <w:proofErr w:type="spellEnd"/>
            <w:r w:rsidRPr="00F23413">
              <w:rPr>
                <w:rFonts w:ascii="Times New Roman" w:hAnsi="Times New Roman"/>
                <w:color w:val="000000"/>
                <w:sz w:val="16"/>
                <w:szCs w:val="16"/>
                <w:lang w:val="en-US"/>
              </w:rPr>
              <w:t xml:space="preserve"> </w:t>
            </w:r>
            <w:proofErr w:type="spellStart"/>
            <w:r w:rsidRPr="00E16672">
              <w:rPr>
                <w:rFonts w:ascii="Times New Roman" w:hAnsi="Times New Roman"/>
                <w:color w:val="000000"/>
                <w:sz w:val="16"/>
                <w:szCs w:val="16"/>
              </w:rPr>
              <w:t>протягом</w:t>
            </w:r>
            <w:proofErr w:type="spellEnd"/>
            <w:r w:rsidRPr="00F23413">
              <w:rPr>
                <w:rFonts w:ascii="Times New Roman" w:hAnsi="Times New Roman"/>
                <w:color w:val="000000"/>
                <w:sz w:val="16"/>
                <w:szCs w:val="16"/>
                <w:lang w:val="en-US"/>
              </w:rPr>
              <w:t xml:space="preserve">  </w:t>
            </w:r>
            <w:r w:rsidRPr="00F23413">
              <w:rPr>
                <w:rFonts w:ascii="Times New Roman" w:hAnsi="Times New Roman"/>
                <w:i/>
                <w:color w:val="000000"/>
                <w:sz w:val="16"/>
                <w:szCs w:val="16"/>
                <w:lang w:val="en-US"/>
              </w:rPr>
              <w:t xml:space="preserve"> </w:t>
            </w:r>
            <w:proofErr w:type="spellStart"/>
            <w:r w:rsidR="003D69AC" w:rsidRPr="00E16672">
              <w:rPr>
                <w:rFonts w:ascii="Times New Roman" w:hAnsi="Times New Roman"/>
                <w:i/>
                <w:color w:val="000000"/>
                <w:sz w:val="16"/>
                <w:szCs w:val="16"/>
              </w:rPr>
              <w:t>шістдесяти</w:t>
            </w:r>
            <w:proofErr w:type="spellEnd"/>
            <w:r w:rsidRPr="00F23413">
              <w:rPr>
                <w:rFonts w:ascii="Times New Roman" w:hAnsi="Times New Roman"/>
                <w:i/>
                <w:color w:val="000000"/>
                <w:sz w:val="16"/>
                <w:szCs w:val="16"/>
                <w:lang w:val="en-US"/>
              </w:rPr>
              <w:t xml:space="preserve"> </w:t>
            </w:r>
            <w:proofErr w:type="spellStart"/>
            <w:r w:rsidRPr="00E16672">
              <w:rPr>
                <w:rFonts w:ascii="Times New Roman" w:hAnsi="Times New Roman"/>
                <w:i/>
                <w:color w:val="000000"/>
                <w:sz w:val="16"/>
                <w:szCs w:val="16"/>
              </w:rPr>
              <w:t>календарних</w:t>
            </w:r>
            <w:proofErr w:type="spellEnd"/>
            <w:r w:rsidRPr="00F23413">
              <w:rPr>
                <w:rFonts w:ascii="Times New Roman" w:hAnsi="Times New Roman"/>
                <w:i/>
                <w:color w:val="000000"/>
                <w:sz w:val="16"/>
                <w:szCs w:val="16"/>
                <w:lang w:val="en-US"/>
              </w:rPr>
              <w:t xml:space="preserve"> </w:t>
            </w:r>
            <w:proofErr w:type="spellStart"/>
            <w:r w:rsidRPr="00E16672">
              <w:rPr>
                <w:rFonts w:ascii="Times New Roman" w:hAnsi="Times New Roman"/>
                <w:i/>
                <w:color w:val="000000"/>
                <w:sz w:val="16"/>
                <w:szCs w:val="16"/>
              </w:rPr>
              <w:t>днів</w:t>
            </w:r>
            <w:proofErr w:type="spellEnd"/>
            <w:r w:rsidRPr="00F23413">
              <w:rPr>
                <w:rFonts w:ascii="Times New Roman" w:hAnsi="Times New Roman"/>
                <w:i/>
                <w:color w:val="000000"/>
                <w:sz w:val="16"/>
                <w:szCs w:val="16"/>
                <w:lang w:val="en-US"/>
              </w:rPr>
              <w:t xml:space="preserve"> </w:t>
            </w:r>
            <w:r w:rsidRPr="00E16672">
              <w:rPr>
                <w:rFonts w:ascii="Times New Roman" w:hAnsi="Times New Roman"/>
                <w:color w:val="000000"/>
                <w:sz w:val="16"/>
                <w:szCs w:val="16"/>
              </w:rPr>
              <w:t>з</w:t>
            </w:r>
            <w:r w:rsidRPr="00F23413">
              <w:rPr>
                <w:rFonts w:ascii="Times New Roman" w:hAnsi="Times New Roman"/>
                <w:color w:val="000000"/>
                <w:sz w:val="16"/>
                <w:szCs w:val="16"/>
                <w:lang w:val="en-US"/>
              </w:rPr>
              <w:t xml:space="preserve"> </w:t>
            </w:r>
            <w:proofErr w:type="spellStart"/>
            <w:r w:rsidRPr="00E16672">
              <w:rPr>
                <w:rFonts w:ascii="Times New Roman" w:hAnsi="Times New Roman"/>
                <w:color w:val="000000"/>
                <w:sz w:val="16"/>
                <w:szCs w:val="16"/>
              </w:rPr>
              <w:t>дати</w:t>
            </w:r>
            <w:proofErr w:type="spellEnd"/>
            <w:r w:rsidRPr="00F23413">
              <w:rPr>
                <w:rFonts w:ascii="Times New Roman" w:hAnsi="Times New Roman"/>
                <w:color w:val="000000"/>
                <w:sz w:val="16"/>
                <w:szCs w:val="16"/>
                <w:lang w:val="en-US"/>
              </w:rPr>
              <w:t xml:space="preserve"> </w:t>
            </w:r>
            <w:r w:rsidRPr="00E16672">
              <w:rPr>
                <w:rFonts w:ascii="Times New Roman" w:hAnsi="Times New Roman"/>
                <w:color w:val="000000"/>
                <w:sz w:val="16"/>
                <w:szCs w:val="16"/>
              </w:rPr>
              <w:t>початку</w:t>
            </w:r>
            <w:r w:rsidRPr="00F23413">
              <w:rPr>
                <w:rFonts w:ascii="Times New Roman" w:hAnsi="Times New Roman"/>
                <w:color w:val="000000"/>
                <w:sz w:val="16"/>
                <w:szCs w:val="16"/>
                <w:lang w:val="en-US"/>
              </w:rPr>
              <w:t xml:space="preserve"> </w:t>
            </w:r>
            <w:proofErr w:type="spellStart"/>
            <w:r w:rsidRPr="00E16672">
              <w:rPr>
                <w:rFonts w:ascii="Times New Roman" w:hAnsi="Times New Roman"/>
                <w:color w:val="000000"/>
                <w:sz w:val="16"/>
                <w:szCs w:val="16"/>
              </w:rPr>
              <w:t>цієї</w:t>
            </w:r>
            <w:proofErr w:type="spellEnd"/>
            <w:r w:rsidRPr="00F23413">
              <w:rPr>
                <w:rFonts w:ascii="Times New Roman" w:hAnsi="Times New Roman"/>
                <w:color w:val="000000"/>
                <w:sz w:val="16"/>
                <w:szCs w:val="16"/>
                <w:lang w:val="en-US"/>
              </w:rPr>
              <w:t xml:space="preserve"> </w:t>
            </w:r>
            <w:proofErr w:type="spellStart"/>
            <w:r w:rsidRPr="00E16672">
              <w:rPr>
                <w:rFonts w:ascii="Times New Roman" w:hAnsi="Times New Roman"/>
                <w:color w:val="000000"/>
                <w:sz w:val="16"/>
                <w:szCs w:val="16"/>
              </w:rPr>
              <w:t>процедури</w:t>
            </w:r>
            <w:proofErr w:type="spellEnd"/>
            <w:r w:rsidRPr="00F23413">
              <w:rPr>
                <w:rFonts w:ascii="Times New Roman" w:hAnsi="Times New Roman"/>
                <w:color w:val="000000"/>
                <w:sz w:val="16"/>
                <w:szCs w:val="16"/>
                <w:lang w:val="en-US"/>
              </w:rPr>
              <w:t>.</w:t>
            </w:r>
          </w:p>
          <w:p w14:paraId="5A735AC5" w14:textId="77777777" w:rsidR="00350DB1" w:rsidRPr="00E16672" w:rsidRDefault="00F333F6" w:rsidP="00547A75">
            <w:pPr>
              <w:tabs>
                <w:tab w:val="left" w:pos="851"/>
                <w:tab w:val="left" w:pos="7200"/>
              </w:tabs>
              <w:snapToGrid w:val="0"/>
              <w:ind w:left="142" w:right="138" w:firstLine="0"/>
              <w:rPr>
                <w:rFonts w:ascii="Times New Roman" w:hAnsi="Times New Roman"/>
                <w:color w:val="000000"/>
                <w:sz w:val="16"/>
                <w:szCs w:val="16"/>
              </w:rPr>
            </w:pPr>
            <w:r w:rsidRPr="00E16672">
              <w:rPr>
                <w:rFonts w:ascii="Times New Roman" w:hAnsi="Times New Roman"/>
                <w:bCs/>
                <w:color w:val="000000"/>
                <w:sz w:val="16"/>
                <w:szCs w:val="16"/>
                <w:lang w:val="uk-UA"/>
              </w:rPr>
              <w:t xml:space="preserve">Повідомлення надається шляхом розміщення на офіційному веб-сайті Депозитарної установи </w:t>
            </w:r>
            <w:hyperlink r:id="rId14" w:history="1">
              <w:r w:rsidR="00E16672">
                <w:rPr>
                  <w:rFonts w:ascii="Times New Roman" w:hAnsi="Times New Roman"/>
                  <w:bCs/>
                  <w:sz w:val="16"/>
                  <w:szCs w:val="16"/>
                  <w:lang w:val="en-US"/>
                </w:rPr>
                <w:t>http</w:t>
              </w:r>
              <w:r w:rsidR="00E16672" w:rsidRPr="00E16672">
                <w:rPr>
                  <w:rFonts w:ascii="Times New Roman" w:hAnsi="Times New Roman"/>
                  <w:bCs/>
                  <w:sz w:val="16"/>
                  <w:szCs w:val="16"/>
                </w:rPr>
                <w:t>://</w:t>
              </w:r>
              <w:proofErr w:type="spellStart"/>
              <w:r w:rsidR="00E16672">
                <w:rPr>
                  <w:rFonts w:ascii="Times New Roman" w:hAnsi="Times New Roman"/>
                  <w:bCs/>
                  <w:sz w:val="16"/>
                  <w:szCs w:val="16"/>
                  <w:lang w:val="en-US"/>
                </w:rPr>
                <w:t>comex</w:t>
              </w:r>
              <w:proofErr w:type="spellEnd"/>
              <w:r w:rsidR="00E16672" w:rsidRPr="00E16672">
                <w:rPr>
                  <w:rFonts w:ascii="Times New Roman" w:hAnsi="Times New Roman"/>
                  <w:bCs/>
                  <w:sz w:val="16"/>
                  <w:szCs w:val="16"/>
                </w:rPr>
                <w:t>.</w:t>
              </w:r>
              <w:proofErr w:type="spellStart"/>
              <w:r w:rsidR="00E16672">
                <w:rPr>
                  <w:rFonts w:ascii="Times New Roman" w:hAnsi="Times New Roman"/>
                  <w:bCs/>
                  <w:sz w:val="16"/>
                  <w:szCs w:val="16"/>
                  <w:lang w:val="en-US"/>
                </w:rPr>
                <w:t>uafin</w:t>
              </w:r>
              <w:proofErr w:type="spellEnd"/>
              <w:r w:rsidR="00E16672" w:rsidRPr="00E16672">
                <w:rPr>
                  <w:rFonts w:ascii="Times New Roman" w:hAnsi="Times New Roman"/>
                  <w:bCs/>
                  <w:sz w:val="16"/>
                  <w:szCs w:val="16"/>
                </w:rPr>
                <w:t>.</w:t>
              </w:r>
              <w:r w:rsidR="00E16672">
                <w:rPr>
                  <w:rFonts w:ascii="Times New Roman" w:hAnsi="Times New Roman"/>
                  <w:bCs/>
                  <w:sz w:val="16"/>
                  <w:szCs w:val="16"/>
                  <w:lang w:val="en-US"/>
                </w:rPr>
                <w:t>net</w:t>
              </w:r>
            </w:hyperlink>
            <w:r w:rsidRPr="00E16672">
              <w:rPr>
                <w:rFonts w:ascii="Times New Roman" w:hAnsi="Times New Roman"/>
                <w:bCs/>
                <w:color w:val="000000"/>
                <w:sz w:val="16"/>
                <w:szCs w:val="16"/>
                <w:lang w:val="uk-UA"/>
              </w:rPr>
              <w:t>.</w:t>
            </w:r>
          </w:p>
          <w:p w14:paraId="166E19BA" w14:textId="77777777" w:rsidR="00E51F85" w:rsidRPr="00E16672" w:rsidRDefault="00E51F85" w:rsidP="00547A75">
            <w:pPr>
              <w:tabs>
                <w:tab w:val="left" w:pos="851"/>
                <w:tab w:val="left" w:pos="7200"/>
              </w:tabs>
              <w:snapToGrid w:val="0"/>
              <w:ind w:left="142" w:right="138" w:firstLine="0"/>
              <w:rPr>
                <w:rFonts w:ascii="Times New Roman" w:hAnsi="Times New Roman"/>
                <w:b/>
                <w:color w:val="000000"/>
                <w:sz w:val="16"/>
                <w:szCs w:val="16"/>
              </w:rPr>
            </w:pPr>
          </w:p>
        </w:tc>
        <w:tc>
          <w:tcPr>
            <w:tcW w:w="5494" w:type="dxa"/>
            <w:gridSpan w:val="7"/>
            <w:shd w:val="clear" w:color="auto" w:fill="auto"/>
          </w:tcPr>
          <w:p w14:paraId="18DDA61A" w14:textId="77777777" w:rsidR="00E51F85" w:rsidRPr="00E16672" w:rsidRDefault="00E51F85" w:rsidP="00AB3C26">
            <w:pPr>
              <w:pStyle w:val="210"/>
              <w:snapToGrid w:val="0"/>
              <w:ind w:left="145" w:right="100" w:firstLine="0"/>
              <w:rPr>
                <w:rFonts w:ascii="Times New Roman" w:hAnsi="Times New Roman"/>
                <w:color w:val="000000"/>
                <w:sz w:val="16"/>
                <w:szCs w:val="16"/>
              </w:rPr>
            </w:pPr>
            <w:r w:rsidRPr="00E16672">
              <w:rPr>
                <w:rFonts w:ascii="Times New Roman" w:hAnsi="Times New Roman"/>
                <w:color w:val="000000"/>
                <w:sz w:val="16"/>
                <w:szCs w:val="16"/>
              </w:rPr>
              <w:lastRenderedPageBreak/>
              <w:t>2.1.</w:t>
            </w:r>
            <w:r w:rsidR="008B4DD5" w:rsidRPr="00E16672">
              <w:rPr>
                <w:rFonts w:ascii="Times New Roman" w:hAnsi="Times New Roman"/>
                <w:color w:val="000000"/>
                <w:sz w:val="16"/>
                <w:szCs w:val="16"/>
              </w:rPr>
              <w:t>15</w:t>
            </w:r>
            <w:r w:rsidRPr="00E16672">
              <w:rPr>
                <w:rFonts w:ascii="Times New Roman" w:hAnsi="Times New Roman"/>
                <w:color w:val="000000"/>
                <w:sz w:val="16"/>
                <w:szCs w:val="16"/>
                <w:lang w:val="en-GB"/>
              </w:rPr>
              <w:t xml:space="preserve">. </w:t>
            </w:r>
            <w:r w:rsidR="003A447C" w:rsidRPr="00E16672">
              <w:rPr>
                <w:rFonts w:ascii="Times New Roman" w:hAnsi="Times New Roman"/>
                <w:color w:val="000000"/>
                <w:sz w:val="16"/>
                <w:szCs w:val="16"/>
                <w:lang w:val="en-GB"/>
              </w:rPr>
              <w:t xml:space="preserve">During </w:t>
            </w:r>
            <w:proofErr w:type="spellStart"/>
            <w:r w:rsidR="003A447C" w:rsidRPr="00E16672">
              <w:rPr>
                <w:rStyle w:val="shorttext"/>
                <w:rFonts w:ascii="Times New Roman" w:hAnsi="Times New Roman"/>
                <w:sz w:val="16"/>
              </w:rPr>
              <w:t>five</w:t>
            </w:r>
            <w:proofErr w:type="spellEnd"/>
            <w:r w:rsidR="003A447C" w:rsidRPr="00E16672">
              <w:rPr>
                <w:rStyle w:val="shorttext"/>
                <w:rFonts w:ascii="Times New Roman" w:hAnsi="Times New Roman"/>
                <w:sz w:val="16"/>
              </w:rPr>
              <w:t xml:space="preserve"> </w:t>
            </w:r>
            <w:proofErr w:type="spellStart"/>
            <w:r w:rsidR="003A447C" w:rsidRPr="00E16672">
              <w:rPr>
                <w:rStyle w:val="shorttext"/>
                <w:rFonts w:ascii="Times New Roman" w:hAnsi="Times New Roman"/>
                <w:sz w:val="16"/>
              </w:rPr>
              <w:t>business</w:t>
            </w:r>
            <w:proofErr w:type="spellEnd"/>
            <w:r w:rsidR="003A447C" w:rsidRPr="00E16672">
              <w:rPr>
                <w:rStyle w:val="shorttext"/>
                <w:rFonts w:ascii="Times New Roman" w:hAnsi="Times New Roman"/>
                <w:sz w:val="16"/>
              </w:rPr>
              <w:t xml:space="preserve"> </w:t>
            </w:r>
            <w:r w:rsidR="003A447C" w:rsidRPr="00E16672">
              <w:rPr>
                <w:rFonts w:ascii="Times New Roman" w:hAnsi="Times New Roman"/>
                <w:i/>
                <w:color w:val="000000"/>
                <w:sz w:val="16"/>
                <w:szCs w:val="16"/>
                <w:lang w:val="en-GB"/>
              </w:rPr>
              <w:t>days</w:t>
            </w:r>
            <w:r w:rsidR="003A447C" w:rsidRPr="00E16672">
              <w:rPr>
                <w:rFonts w:ascii="Times New Roman" w:hAnsi="Times New Roman"/>
                <w:color w:val="000000"/>
                <w:sz w:val="16"/>
                <w:szCs w:val="16"/>
                <w:lang w:val="en-GB"/>
              </w:rPr>
              <w:t xml:space="preserve"> from the date of beginning by Depository institution of procedure of stopping them of realization of professional </w:t>
            </w:r>
            <w:proofErr w:type="spellStart"/>
            <w:r w:rsidR="003A447C" w:rsidRPr="00E16672">
              <w:rPr>
                <w:rFonts w:ascii="Times New Roman" w:hAnsi="Times New Roman"/>
                <w:color w:val="000000"/>
                <w:sz w:val="16"/>
                <w:szCs w:val="16"/>
              </w:rPr>
              <w:t>activity</w:t>
            </w:r>
            <w:proofErr w:type="spellEnd"/>
            <w:r w:rsidR="003A447C" w:rsidRPr="00E16672">
              <w:rPr>
                <w:rFonts w:ascii="Times New Roman" w:hAnsi="Times New Roman"/>
                <w:color w:val="000000"/>
                <w:sz w:val="16"/>
                <w:szCs w:val="16"/>
              </w:rPr>
              <w:t xml:space="preserve"> </w:t>
            </w:r>
            <w:proofErr w:type="spellStart"/>
            <w:r w:rsidR="003A447C" w:rsidRPr="00E16672">
              <w:rPr>
                <w:rFonts w:ascii="Times New Roman" w:hAnsi="Times New Roman"/>
                <w:color w:val="000000"/>
                <w:sz w:val="16"/>
                <w:szCs w:val="16"/>
              </w:rPr>
              <w:t>at</w:t>
            </w:r>
            <w:proofErr w:type="spellEnd"/>
            <w:r w:rsidR="003A447C" w:rsidRPr="00E16672">
              <w:rPr>
                <w:rFonts w:ascii="Times New Roman" w:hAnsi="Times New Roman"/>
                <w:color w:val="000000"/>
                <w:sz w:val="16"/>
                <w:szCs w:val="16"/>
              </w:rPr>
              <w:t xml:space="preserve"> </w:t>
            </w:r>
            <w:proofErr w:type="spellStart"/>
            <w:r w:rsidR="003A447C" w:rsidRPr="00E16672">
              <w:rPr>
                <w:rFonts w:ascii="Times New Roman" w:hAnsi="Times New Roman"/>
                <w:color w:val="000000"/>
                <w:sz w:val="16"/>
                <w:szCs w:val="16"/>
              </w:rPr>
              <w:t>the</w:t>
            </w:r>
            <w:proofErr w:type="spellEnd"/>
            <w:r w:rsidR="003A447C" w:rsidRPr="00E16672">
              <w:rPr>
                <w:rFonts w:ascii="Times New Roman" w:hAnsi="Times New Roman"/>
                <w:color w:val="000000"/>
                <w:sz w:val="16"/>
                <w:szCs w:val="16"/>
              </w:rPr>
              <w:t xml:space="preserve"> </w:t>
            </w:r>
            <w:proofErr w:type="spellStart"/>
            <w:r w:rsidR="003A447C" w:rsidRPr="00E16672">
              <w:rPr>
                <w:rFonts w:ascii="Times New Roman" w:hAnsi="Times New Roman"/>
                <w:color w:val="000000"/>
                <w:sz w:val="16"/>
                <w:szCs w:val="16"/>
              </w:rPr>
              <w:t>Stock</w:t>
            </w:r>
            <w:proofErr w:type="spellEnd"/>
            <w:r w:rsidR="003A447C" w:rsidRPr="00E16672">
              <w:rPr>
                <w:rFonts w:ascii="Times New Roman" w:hAnsi="Times New Roman"/>
                <w:color w:val="000000"/>
                <w:sz w:val="16"/>
                <w:szCs w:val="16"/>
              </w:rPr>
              <w:t xml:space="preserve"> </w:t>
            </w:r>
            <w:proofErr w:type="spellStart"/>
            <w:r w:rsidR="003A447C" w:rsidRPr="00E16672">
              <w:rPr>
                <w:rFonts w:ascii="Times New Roman" w:hAnsi="Times New Roman"/>
                <w:color w:val="000000"/>
                <w:sz w:val="16"/>
                <w:szCs w:val="16"/>
              </w:rPr>
              <w:t>Market</w:t>
            </w:r>
            <w:proofErr w:type="spellEnd"/>
            <w:r w:rsidR="003A447C" w:rsidRPr="00E16672">
              <w:rPr>
                <w:rFonts w:ascii="Times New Roman" w:hAnsi="Times New Roman"/>
                <w:color w:val="000000"/>
                <w:sz w:val="16"/>
                <w:szCs w:val="16"/>
              </w:rPr>
              <w:t xml:space="preserve"> - </w:t>
            </w:r>
            <w:proofErr w:type="spellStart"/>
            <w:r w:rsidR="003A447C" w:rsidRPr="00E16672">
              <w:rPr>
                <w:rFonts w:ascii="Times New Roman" w:hAnsi="Times New Roman"/>
                <w:color w:val="000000"/>
                <w:sz w:val="16"/>
                <w:szCs w:val="16"/>
              </w:rPr>
              <w:t>depositary</w:t>
            </w:r>
            <w:proofErr w:type="spellEnd"/>
            <w:r w:rsidR="003A447C" w:rsidRPr="00E16672">
              <w:rPr>
                <w:rFonts w:ascii="Times New Roman" w:hAnsi="Times New Roman"/>
                <w:color w:val="000000"/>
                <w:sz w:val="16"/>
                <w:szCs w:val="16"/>
              </w:rPr>
              <w:t xml:space="preserve"> </w:t>
            </w:r>
            <w:proofErr w:type="spellStart"/>
            <w:r w:rsidR="003A447C" w:rsidRPr="00E16672">
              <w:rPr>
                <w:rFonts w:ascii="Times New Roman" w:hAnsi="Times New Roman"/>
                <w:color w:val="000000"/>
                <w:sz w:val="16"/>
                <w:szCs w:val="16"/>
              </w:rPr>
              <w:t>activity</w:t>
            </w:r>
            <w:proofErr w:type="spellEnd"/>
            <w:r w:rsidR="003A447C" w:rsidRPr="00E16672">
              <w:rPr>
                <w:rFonts w:ascii="Times New Roman" w:hAnsi="Times New Roman"/>
                <w:color w:val="000000"/>
                <w:sz w:val="16"/>
                <w:szCs w:val="16"/>
              </w:rPr>
              <w:t xml:space="preserve">, </w:t>
            </w:r>
            <w:proofErr w:type="spellStart"/>
            <w:r w:rsidR="003A447C" w:rsidRPr="00E16672">
              <w:rPr>
                <w:rFonts w:ascii="Times New Roman" w:hAnsi="Times New Roman"/>
                <w:color w:val="000000"/>
                <w:sz w:val="16"/>
                <w:szCs w:val="16"/>
              </w:rPr>
              <w:t>namely</w:t>
            </w:r>
            <w:proofErr w:type="spellEnd"/>
            <w:r w:rsidR="003A447C" w:rsidRPr="00E16672">
              <w:rPr>
                <w:rFonts w:ascii="Times New Roman" w:hAnsi="Times New Roman"/>
                <w:color w:val="000000"/>
                <w:sz w:val="16"/>
                <w:szCs w:val="16"/>
              </w:rPr>
              <w:t xml:space="preserve"> </w:t>
            </w:r>
            <w:proofErr w:type="spellStart"/>
            <w:r w:rsidR="003A447C" w:rsidRPr="00E16672">
              <w:rPr>
                <w:rFonts w:ascii="Times New Roman" w:hAnsi="Times New Roman"/>
                <w:color w:val="000000"/>
                <w:sz w:val="16"/>
                <w:szCs w:val="16"/>
              </w:rPr>
              <w:t>depositary</w:t>
            </w:r>
            <w:proofErr w:type="spellEnd"/>
            <w:r w:rsidR="003A447C" w:rsidRPr="00E16672">
              <w:rPr>
                <w:rFonts w:ascii="Times New Roman" w:hAnsi="Times New Roman"/>
                <w:color w:val="000000"/>
                <w:sz w:val="16"/>
                <w:szCs w:val="16"/>
              </w:rPr>
              <w:t xml:space="preserve"> </w:t>
            </w:r>
            <w:proofErr w:type="spellStart"/>
            <w:r w:rsidR="003A447C" w:rsidRPr="00E16672">
              <w:rPr>
                <w:rFonts w:ascii="Times New Roman" w:hAnsi="Times New Roman"/>
                <w:color w:val="000000"/>
                <w:sz w:val="16"/>
                <w:szCs w:val="16"/>
              </w:rPr>
              <w:t>activity</w:t>
            </w:r>
            <w:proofErr w:type="spellEnd"/>
            <w:r w:rsidR="003A447C" w:rsidRPr="00E16672">
              <w:rPr>
                <w:rFonts w:ascii="Times New Roman" w:hAnsi="Times New Roman"/>
                <w:color w:val="000000"/>
                <w:sz w:val="16"/>
                <w:szCs w:val="16"/>
              </w:rPr>
              <w:t xml:space="preserve"> </w:t>
            </w:r>
            <w:proofErr w:type="spellStart"/>
            <w:r w:rsidR="003A447C" w:rsidRPr="00E16672">
              <w:rPr>
                <w:rFonts w:ascii="Times New Roman" w:hAnsi="Times New Roman"/>
                <w:color w:val="000000"/>
                <w:sz w:val="16"/>
                <w:szCs w:val="16"/>
              </w:rPr>
              <w:t>of</w:t>
            </w:r>
            <w:proofErr w:type="spellEnd"/>
            <w:r w:rsidR="003A447C" w:rsidRPr="00E16672">
              <w:rPr>
                <w:rFonts w:ascii="Times New Roman" w:hAnsi="Times New Roman"/>
                <w:color w:val="000000"/>
                <w:sz w:val="16"/>
                <w:szCs w:val="16"/>
              </w:rPr>
              <w:t xml:space="preserve"> </w:t>
            </w:r>
            <w:proofErr w:type="spellStart"/>
            <w:r w:rsidR="003A447C" w:rsidRPr="00E16672">
              <w:rPr>
                <w:rFonts w:ascii="Times New Roman" w:hAnsi="Times New Roman"/>
                <w:color w:val="000000"/>
                <w:sz w:val="16"/>
                <w:szCs w:val="16"/>
              </w:rPr>
              <w:t>Depository</w:t>
            </w:r>
            <w:proofErr w:type="spellEnd"/>
            <w:r w:rsidR="003A447C" w:rsidRPr="00E16672">
              <w:rPr>
                <w:rFonts w:ascii="Times New Roman" w:hAnsi="Times New Roman"/>
                <w:color w:val="000000"/>
                <w:sz w:val="16"/>
                <w:szCs w:val="16"/>
              </w:rPr>
              <w:t xml:space="preserve"> </w:t>
            </w:r>
            <w:proofErr w:type="spellStart"/>
            <w:r w:rsidR="003A447C" w:rsidRPr="00E16672">
              <w:rPr>
                <w:rFonts w:ascii="Times New Roman" w:hAnsi="Times New Roman"/>
                <w:color w:val="000000"/>
                <w:sz w:val="16"/>
                <w:szCs w:val="16"/>
              </w:rPr>
              <w:t>institution</w:t>
            </w:r>
            <w:proofErr w:type="spellEnd"/>
            <w:r w:rsidR="003A447C" w:rsidRPr="00E16672">
              <w:rPr>
                <w:rFonts w:ascii="Times New Roman" w:hAnsi="Times New Roman"/>
                <w:color w:val="000000"/>
                <w:sz w:val="16"/>
                <w:szCs w:val="16"/>
              </w:rPr>
              <w:t xml:space="preserve"> </w:t>
            </w:r>
            <w:proofErr w:type="spellStart"/>
            <w:r w:rsidR="003A447C" w:rsidRPr="00E16672">
              <w:rPr>
                <w:rFonts w:ascii="Times New Roman" w:hAnsi="Times New Roman"/>
                <w:color w:val="000000"/>
                <w:sz w:val="16"/>
                <w:szCs w:val="16"/>
              </w:rPr>
              <w:t>in</w:t>
            </w:r>
            <w:proofErr w:type="spellEnd"/>
            <w:r w:rsidR="003A447C" w:rsidRPr="00E16672">
              <w:rPr>
                <w:rFonts w:ascii="Times New Roman" w:hAnsi="Times New Roman"/>
                <w:color w:val="000000"/>
                <w:sz w:val="16"/>
                <w:szCs w:val="16"/>
              </w:rPr>
              <w:t xml:space="preserve"> </w:t>
            </w:r>
            <w:proofErr w:type="spellStart"/>
            <w:r w:rsidR="003A447C" w:rsidRPr="00E16672">
              <w:rPr>
                <w:rFonts w:ascii="Times New Roman" w:hAnsi="Times New Roman"/>
                <w:color w:val="000000"/>
                <w:sz w:val="16"/>
                <w:szCs w:val="16"/>
              </w:rPr>
              <w:t>accordance</w:t>
            </w:r>
            <w:proofErr w:type="spellEnd"/>
            <w:r w:rsidR="003A447C" w:rsidRPr="00E16672">
              <w:rPr>
                <w:rFonts w:ascii="Times New Roman" w:hAnsi="Times New Roman"/>
                <w:color w:val="000000"/>
                <w:sz w:val="16"/>
                <w:szCs w:val="16"/>
              </w:rPr>
              <w:t xml:space="preserve"> </w:t>
            </w:r>
            <w:proofErr w:type="spellStart"/>
            <w:r w:rsidR="003A447C" w:rsidRPr="00E16672">
              <w:rPr>
                <w:rFonts w:ascii="Times New Roman" w:hAnsi="Times New Roman"/>
                <w:color w:val="000000"/>
                <w:sz w:val="16"/>
                <w:szCs w:val="16"/>
              </w:rPr>
              <w:t>to</w:t>
            </w:r>
            <w:proofErr w:type="spellEnd"/>
            <w:r w:rsidR="003A447C" w:rsidRPr="00E16672">
              <w:rPr>
                <w:rFonts w:ascii="Times New Roman" w:hAnsi="Times New Roman"/>
                <w:color w:val="000000"/>
                <w:sz w:val="16"/>
                <w:szCs w:val="16"/>
              </w:rPr>
              <w:t xml:space="preserve"> </w:t>
            </w:r>
            <w:proofErr w:type="spellStart"/>
            <w:r w:rsidR="003A447C" w:rsidRPr="00E16672">
              <w:rPr>
                <w:rFonts w:ascii="Times New Roman" w:hAnsi="Times New Roman"/>
                <w:color w:val="000000"/>
                <w:sz w:val="16"/>
                <w:szCs w:val="16"/>
              </w:rPr>
              <w:t>the</w:t>
            </w:r>
            <w:proofErr w:type="spellEnd"/>
            <w:r w:rsidR="003A447C" w:rsidRPr="00E16672">
              <w:rPr>
                <w:rFonts w:ascii="Times New Roman" w:hAnsi="Times New Roman"/>
                <w:color w:val="000000"/>
                <w:sz w:val="16"/>
                <w:szCs w:val="16"/>
              </w:rPr>
              <w:t xml:space="preserve"> </w:t>
            </w:r>
            <w:proofErr w:type="spellStart"/>
            <w:r w:rsidR="003A447C" w:rsidRPr="00E16672">
              <w:rPr>
                <w:rFonts w:ascii="Times New Roman" w:hAnsi="Times New Roman"/>
                <w:color w:val="000000"/>
                <w:sz w:val="16"/>
                <w:szCs w:val="16"/>
              </w:rPr>
              <w:t>legal</w:t>
            </w:r>
            <w:proofErr w:type="spellEnd"/>
            <w:r w:rsidR="003A447C" w:rsidRPr="00E16672">
              <w:rPr>
                <w:rFonts w:ascii="Times New Roman" w:hAnsi="Times New Roman"/>
                <w:color w:val="000000"/>
                <w:sz w:val="16"/>
                <w:szCs w:val="16"/>
              </w:rPr>
              <w:t xml:space="preserve"> </w:t>
            </w:r>
            <w:proofErr w:type="spellStart"/>
            <w:r w:rsidR="003A447C" w:rsidRPr="00E16672">
              <w:rPr>
                <w:rFonts w:ascii="Times New Roman" w:hAnsi="Times New Roman"/>
                <w:color w:val="000000"/>
                <w:sz w:val="16"/>
                <w:szCs w:val="16"/>
              </w:rPr>
              <w:t>act</w:t>
            </w:r>
            <w:proofErr w:type="spellEnd"/>
            <w:r w:rsidR="003A447C" w:rsidRPr="00E16672">
              <w:rPr>
                <w:rFonts w:ascii="Times New Roman" w:hAnsi="Times New Roman"/>
                <w:color w:val="000000"/>
                <w:sz w:val="16"/>
                <w:szCs w:val="16"/>
              </w:rPr>
              <w:t xml:space="preserve"> </w:t>
            </w:r>
            <w:proofErr w:type="spellStart"/>
            <w:r w:rsidR="003A447C" w:rsidRPr="00E16672">
              <w:rPr>
                <w:rFonts w:ascii="Times New Roman" w:hAnsi="Times New Roman"/>
                <w:color w:val="000000"/>
                <w:sz w:val="16"/>
                <w:szCs w:val="16"/>
              </w:rPr>
              <w:t>to</w:t>
            </w:r>
            <w:proofErr w:type="spellEnd"/>
            <w:r w:rsidR="003A447C" w:rsidRPr="00E16672">
              <w:rPr>
                <w:rFonts w:ascii="Times New Roman" w:hAnsi="Times New Roman"/>
                <w:color w:val="000000"/>
                <w:sz w:val="16"/>
                <w:szCs w:val="16"/>
              </w:rPr>
              <w:t xml:space="preserve"> </w:t>
            </w:r>
            <w:proofErr w:type="spellStart"/>
            <w:r w:rsidR="003A447C" w:rsidRPr="00E16672">
              <w:rPr>
                <w:rFonts w:ascii="Times New Roman" w:hAnsi="Times New Roman"/>
                <w:color w:val="000000"/>
                <w:sz w:val="16"/>
                <w:szCs w:val="16"/>
              </w:rPr>
              <w:t>stopping</w:t>
            </w:r>
            <w:proofErr w:type="spellEnd"/>
            <w:r w:rsidR="003A447C" w:rsidRPr="00E16672">
              <w:rPr>
                <w:rFonts w:ascii="Times New Roman" w:hAnsi="Times New Roman"/>
                <w:color w:val="000000"/>
                <w:sz w:val="16"/>
                <w:szCs w:val="16"/>
              </w:rPr>
              <w:t xml:space="preserve"> </w:t>
            </w:r>
            <w:proofErr w:type="spellStart"/>
            <w:proofErr w:type="gramStart"/>
            <w:r w:rsidR="003A447C" w:rsidRPr="00E16672">
              <w:rPr>
                <w:rFonts w:ascii="Times New Roman" w:hAnsi="Times New Roman"/>
                <w:color w:val="000000"/>
                <w:sz w:val="16"/>
                <w:szCs w:val="16"/>
              </w:rPr>
              <w:t>the</w:t>
            </w:r>
            <w:proofErr w:type="spellEnd"/>
            <w:r w:rsidR="003A447C" w:rsidRPr="00E16672">
              <w:rPr>
                <w:rFonts w:ascii="Times New Roman" w:hAnsi="Times New Roman"/>
                <w:color w:val="000000"/>
                <w:sz w:val="16"/>
                <w:szCs w:val="16"/>
              </w:rPr>
              <w:t xml:space="preserve">  </w:t>
            </w:r>
            <w:proofErr w:type="spellStart"/>
            <w:r w:rsidR="003A447C" w:rsidRPr="00E16672">
              <w:rPr>
                <w:rFonts w:ascii="Times New Roman" w:hAnsi="Times New Roman"/>
                <w:color w:val="000000"/>
                <w:sz w:val="16"/>
                <w:szCs w:val="16"/>
              </w:rPr>
              <w:t>depository</w:t>
            </w:r>
            <w:proofErr w:type="spellEnd"/>
            <w:proofErr w:type="gramEnd"/>
            <w:r w:rsidR="003A447C" w:rsidRPr="00E16672">
              <w:rPr>
                <w:rFonts w:ascii="Times New Roman" w:hAnsi="Times New Roman"/>
                <w:color w:val="000000"/>
                <w:sz w:val="16"/>
                <w:szCs w:val="16"/>
              </w:rPr>
              <w:t xml:space="preserve"> </w:t>
            </w:r>
            <w:proofErr w:type="spellStart"/>
            <w:r w:rsidR="003A447C" w:rsidRPr="00E16672">
              <w:rPr>
                <w:rFonts w:ascii="Times New Roman" w:hAnsi="Times New Roman"/>
                <w:color w:val="000000"/>
                <w:sz w:val="16"/>
                <w:szCs w:val="16"/>
              </w:rPr>
              <w:t>activity</w:t>
            </w:r>
            <w:proofErr w:type="spellEnd"/>
            <w:r w:rsidR="003A447C" w:rsidRPr="00E16672">
              <w:rPr>
                <w:rFonts w:ascii="Times New Roman" w:hAnsi="Times New Roman"/>
                <w:color w:val="000000"/>
                <w:sz w:val="16"/>
                <w:szCs w:val="16"/>
              </w:rPr>
              <w:t xml:space="preserve"> </w:t>
            </w:r>
            <w:proofErr w:type="spellStart"/>
            <w:r w:rsidR="003A447C" w:rsidRPr="00E16672">
              <w:rPr>
                <w:rFonts w:ascii="Times New Roman" w:hAnsi="Times New Roman"/>
                <w:color w:val="000000"/>
                <w:sz w:val="16"/>
                <w:szCs w:val="16"/>
              </w:rPr>
              <w:t>of</w:t>
            </w:r>
            <w:proofErr w:type="spellEnd"/>
            <w:r w:rsidR="003A447C" w:rsidRPr="00E16672">
              <w:rPr>
                <w:rFonts w:ascii="Times New Roman" w:hAnsi="Times New Roman"/>
                <w:color w:val="000000"/>
                <w:sz w:val="16"/>
                <w:szCs w:val="16"/>
              </w:rPr>
              <w:t xml:space="preserve"> </w:t>
            </w:r>
            <w:proofErr w:type="spellStart"/>
            <w:r w:rsidR="003A447C" w:rsidRPr="00E16672">
              <w:rPr>
                <w:rFonts w:ascii="Times New Roman" w:hAnsi="Times New Roman"/>
                <w:color w:val="000000"/>
                <w:sz w:val="16"/>
                <w:szCs w:val="16"/>
              </w:rPr>
              <w:t>Depository</w:t>
            </w:r>
            <w:proofErr w:type="spellEnd"/>
            <w:r w:rsidR="003A447C" w:rsidRPr="00E16672">
              <w:rPr>
                <w:rFonts w:ascii="Times New Roman" w:hAnsi="Times New Roman"/>
                <w:color w:val="000000"/>
                <w:sz w:val="16"/>
                <w:szCs w:val="16"/>
              </w:rPr>
              <w:t xml:space="preserve"> </w:t>
            </w:r>
            <w:proofErr w:type="spellStart"/>
            <w:r w:rsidR="003A447C" w:rsidRPr="00E16672">
              <w:rPr>
                <w:rFonts w:ascii="Times New Roman" w:hAnsi="Times New Roman"/>
                <w:color w:val="000000"/>
                <w:sz w:val="16"/>
                <w:szCs w:val="16"/>
              </w:rPr>
              <w:t>institution</w:t>
            </w:r>
            <w:proofErr w:type="spellEnd"/>
            <w:r w:rsidR="003A447C" w:rsidRPr="00E16672">
              <w:rPr>
                <w:rFonts w:ascii="Times New Roman" w:hAnsi="Times New Roman"/>
                <w:color w:val="000000"/>
                <w:sz w:val="16"/>
                <w:szCs w:val="16"/>
              </w:rPr>
              <w:t xml:space="preserve"> </w:t>
            </w:r>
            <w:proofErr w:type="spellStart"/>
            <w:r w:rsidR="003A447C" w:rsidRPr="00E16672">
              <w:rPr>
                <w:rFonts w:ascii="Times New Roman" w:hAnsi="Times New Roman"/>
                <w:color w:val="000000"/>
                <w:sz w:val="16"/>
                <w:szCs w:val="16"/>
              </w:rPr>
              <w:t>to</w:t>
            </w:r>
            <w:proofErr w:type="spellEnd"/>
            <w:r w:rsidR="003A447C" w:rsidRPr="00E16672">
              <w:rPr>
                <w:rFonts w:ascii="Times New Roman" w:hAnsi="Times New Roman"/>
                <w:color w:val="000000"/>
                <w:sz w:val="16"/>
                <w:szCs w:val="16"/>
              </w:rPr>
              <w:t xml:space="preserve"> </w:t>
            </w:r>
            <w:proofErr w:type="spellStart"/>
            <w:r w:rsidR="003A447C" w:rsidRPr="00E16672">
              <w:rPr>
                <w:rFonts w:ascii="Times New Roman" w:hAnsi="Times New Roman"/>
                <w:color w:val="000000"/>
                <w:sz w:val="16"/>
                <w:szCs w:val="16"/>
              </w:rPr>
              <w:t>inform</w:t>
            </w:r>
            <w:proofErr w:type="spellEnd"/>
            <w:r w:rsidR="003A447C" w:rsidRPr="00E16672">
              <w:rPr>
                <w:rFonts w:ascii="Times New Roman" w:hAnsi="Times New Roman"/>
                <w:color w:val="000000"/>
                <w:sz w:val="16"/>
                <w:szCs w:val="16"/>
              </w:rPr>
              <w:t xml:space="preserve"> </w:t>
            </w:r>
            <w:proofErr w:type="spellStart"/>
            <w:r w:rsidR="003A447C" w:rsidRPr="00E16672">
              <w:rPr>
                <w:rFonts w:ascii="Times New Roman" w:hAnsi="Times New Roman"/>
                <w:color w:val="000000"/>
                <w:sz w:val="16"/>
                <w:szCs w:val="16"/>
              </w:rPr>
              <w:t>the</w:t>
            </w:r>
            <w:proofErr w:type="spellEnd"/>
            <w:r w:rsidR="003A447C" w:rsidRPr="00E16672">
              <w:rPr>
                <w:rFonts w:ascii="Times New Roman" w:hAnsi="Times New Roman"/>
                <w:color w:val="000000"/>
                <w:sz w:val="16"/>
                <w:szCs w:val="16"/>
              </w:rPr>
              <w:t xml:space="preserve">  </w:t>
            </w:r>
            <w:proofErr w:type="spellStart"/>
            <w:r w:rsidR="003A447C" w:rsidRPr="00E16672">
              <w:rPr>
                <w:rFonts w:ascii="Times New Roman" w:hAnsi="Times New Roman"/>
                <w:color w:val="000000"/>
                <w:sz w:val="16"/>
                <w:szCs w:val="16"/>
              </w:rPr>
              <w:t>Depositor</w:t>
            </w:r>
            <w:proofErr w:type="spellEnd"/>
            <w:r w:rsidR="003A447C" w:rsidRPr="00E16672">
              <w:rPr>
                <w:rFonts w:ascii="Times New Roman" w:hAnsi="Times New Roman"/>
                <w:color w:val="000000"/>
                <w:sz w:val="16"/>
                <w:szCs w:val="16"/>
              </w:rPr>
              <w:t xml:space="preserve"> </w:t>
            </w:r>
            <w:proofErr w:type="spellStart"/>
            <w:r w:rsidR="003A447C" w:rsidRPr="00E16672">
              <w:rPr>
                <w:rFonts w:ascii="Times New Roman" w:hAnsi="Times New Roman"/>
                <w:color w:val="000000"/>
                <w:sz w:val="16"/>
                <w:szCs w:val="16"/>
              </w:rPr>
              <w:t>as</w:t>
            </w:r>
            <w:proofErr w:type="spellEnd"/>
            <w:r w:rsidR="003A447C" w:rsidRPr="00E16672">
              <w:rPr>
                <w:rFonts w:ascii="Times New Roman" w:hAnsi="Times New Roman"/>
                <w:color w:val="000000"/>
                <w:sz w:val="16"/>
                <w:szCs w:val="16"/>
              </w:rPr>
              <w:t xml:space="preserve"> </w:t>
            </w:r>
            <w:proofErr w:type="spellStart"/>
            <w:r w:rsidR="003A447C" w:rsidRPr="00E16672">
              <w:rPr>
                <w:rFonts w:ascii="Times New Roman" w:hAnsi="Times New Roman"/>
                <w:color w:val="000000"/>
                <w:sz w:val="16"/>
                <w:szCs w:val="16"/>
              </w:rPr>
              <w:t>to</w:t>
            </w:r>
            <w:proofErr w:type="spellEnd"/>
            <w:r w:rsidR="003A447C" w:rsidRPr="00E16672">
              <w:rPr>
                <w:rFonts w:ascii="Times New Roman" w:hAnsi="Times New Roman"/>
                <w:color w:val="000000"/>
                <w:sz w:val="16"/>
                <w:szCs w:val="16"/>
              </w:rPr>
              <w:t xml:space="preserve"> </w:t>
            </w:r>
            <w:proofErr w:type="spellStart"/>
            <w:r w:rsidR="003A447C" w:rsidRPr="00E16672">
              <w:rPr>
                <w:rFonts w:ascii="Times New Roman" w:hAnsi="Times New Roman"/>
                <w:color w:val="000000"/>
                <w:sz w:val="16"/>
                <w:szCs w:val="16"/>
              </w:rPr>
              <w:t>necessary</w:t>
            </w:r>
            <w:proofErr w:type="spellEnd"/>
            <w:r w:rsidR="003A447C" w:rsidRPr="00E16672">
              <w:rPr>
                <w:rFonts w:ascii="Times New Roman" w:hAnsi="Times New Roman"/>
                <w:color w:val="000000"/>
                <w:sz w:val="16"/>
                <w:szCs w:val="16"/>
              </w:rPr>
              <w:t xml:space="preserve">  </w:t>
            </w:r>
            <w:proofErr w:type="spellStart"/>
            <w:r w:rsidR="003A447C" w:rsidRPr="00E16672">
              <w:rPr>
                <w:rFonts w:ascii="Times New Roman" w:hAnsi="Times New Roman"/>
                <w:color w:val="000000"/>
                <w:sz w:val="16"/>
                <w:szCs w:val="16"/>
              </w:rPr>
              <w:t>to</w:t>
            </w:r>
            <w:proofErr w:type="spellEnd"/>
            <w:r w:rsidR="003A447C" w:rsidRPr="00E16672">
              <w:rPr>
                <w:rFonts w:ascii="Times New Roman" w:hAnsi="Times New Roman"/>
                <w:color w:val="000000"/>
                <w:sz w:val="16"/>
                <w:szCs w:val="16"/>
              </w:rPr>
              <w:t xml:space="preserve">  </w:t>
            </w:r>
            <w:proofErr w:type="spellStart"/>
            <w:r w:rsidR="003A447C" w:rsidRPr="00E16672">
              <w:rPr>
                <w:rFonts w:ascii="Times New Roman" w:hAnsi="Times New Roman"/>
                <w:color w:val="000000"/>
                <w:sz w:val="16"/>
                <w:szCs w:val="16"/>
              </w:rPr>
              <w:t>close</w:t>
            </w:r>
            <w:proofErr w:type="spellEnd"/>
            <w:r w:rsidR="003A447C" w:rsidRPr="00E16672">
              <w:rPr>
                <w:rFonts w:ascii="Times New Roman" w:hAnsi="Times New Roman"/>
                <w:color w:val="000000"/>
                <w:sz w:val="16"/>
                <w:szCs w:val="16"/>
              </w:rPr>
              <w:t xml:space="preserve"> </w:t>
            </w:r>
            <w:proofErr w:type="spellStart"/>
            <w:r w:rsidR="003A447C" w:rsidRPr="00E16672">
              <w:rPr>
                <w:rFonts w:ascii="Times New Roman" w:hAnsi="Times New Roman"/>
                <w:color w:val="000000"/>
                <w:sz w:val="16"/>
                <w:szCs w:val="16"/>
              </w:rPr>
              <w:t>an</w:t>
            </w:r>
            <w:proofErr w:type="spellEnd"/>
            <w:r w:rsidR="003A447C" w:rsidRPr="00E16672">
              <w:rPr>
                <w:rFonts w:ascii="Times New Roman" w:hAnsi="Times New Roman"/>
                <w:color w:val="000000"/>
                <w:sz w:val="16"/>
                <w:szCs w:val="16"/>
              </w:rPr>
              <w:t xml:space="preserve"> </w:t>
            </w:r>
            <w:proofErr w:type="spellStart"/>
            <w:r w:rsidR="003A447C" w:rsidRPr="00E16672">
              <w:rPr>
                <w:rFonts w:ascii="Times New Roman" w:hAnsi="Times New Roman"/>
                <w:color w:val="000000"/>
                <w:sz w:val="16"/>
                <w:szCs w:val="16"/>
              </w:rPr>
              <w:lastRenderedPageBreak/>
              <w:t>account</w:t>
            </w:r>
            <w:proofErr w:type="spellEnd"/>
            <w:r w:rsidR="003A447C" w:rsidRPr="00E16672">
              <w:rPr>
                <w:rFonts w:ascii="Times New Roman" w:hAnsi="Times New Roman"/>
                <w:color w:val="000000"/>
                <w:sz w:val="16"/>
                <w:szCs w:val="16"/>
              </w:rPr>
              <w:t xml:space="preserve"> </w:t>
            </w:r>
            <w:proofErr w:type="spellStart"/>
            <w:r w:rsidR="003A447C" w:rsidRPr="00E16672">
              <w:rPr>
                <w:rFonts w:ascii="Times New Roman" w:hAnsi="Times New Roman"/>
                <w:color w:val="000000"/>
                <w:sz w:val="16"/>
                <w:szCs w:val="16"/>
              </w:rPr>
              <w:t>in</w:t>
            </w:r>
            <w:proofErr w:type="spellEnd"/>
            <w:r w:rsidR="003A447C" w:rsidRPr="00E16672">
              <w:rPr>
                <w:rFonts w:ascii="Times New Roman" w:hAnsi="Times New Roman"/>
                <w:color w:val="000000"/>
                <w:sz w:val="16"/>
                <w:szCs w:val="16"/>
              </w:rPr>
              <w:t xml:space="preserve"> </w:t>
            </w:r>
            <w:proofErr w:type="spellStart"/>
            <w:r w:rsidR="003A447C" w:rsidRPr="00E16672">
              <w:rPr>
                <w:rFonts w:ascii="Times New Roman" w:hAnsi="Times New Roman"/>
                <w:color w:val="000000"/>
                <w:sz w:val="16"/>
                <w:szCs w:val="16"/>
              </w:rPr>
              <w:t>securities</w:t>
            </w:r>
            <w:proofErr w:type="spellEnd"/>
            <w:r w:rsidR="003A447C" w:rsidRPr="00E16672">
              <w:rPr>
                <w:rFonts w:ascii="Times New Roman" w:hAnsi="Times New Roman"/>
                <w:color w:val="000000"/>
                <w:sz w:val="16"/>
                <w:szCs w:val="16"/>
              </w:rPr>
              <w:t xml:space="preserve"> </w:t>
            </w:r>
            <w:proofErr w:type="spellStart"/>
            <w:r w:rsidR="003A447C" w:rsidRPr="00E16672">
              <w:rPr>
                <w:rFonts w:ascii="Times New Roman" w:hAnsi="Times New Roman"/>
                <w:color w:val="000000"/>
                <w:sz w:val="16"/>
                <w:szCs w:val="16"/>
              </w:rPr>
              <w:t>within</w:t>
            </w:r>
            <w:proofErr w:type="spellEnd"/>
            <w:r w:rsidR="003A447C" w:rsidRPr="00E16672">
              <w:rPr>
                <w:rFonts w:ascii="Times New Roman" w:hAnsi="Times New Roman"/>
                <w:color w:val="000000"/>
                <w:sz w:val="16"/>
                <w:szCs w:val="16"/>
              </w:rPr>
              <w:t xml:space="preserve"> </w:t>
            </w:r>
            <w:r w:rsidR="003A447C" w:rsidRPr="00E16672">
              <w:rPr>
                <w:rFonts w:ascii="Times New Roman" w:hAnsi="Times New Roman"/>
                <w:i/>
                <w:color w:val="000000"/>
                <w:sz w:val="16"/>
                <w:szCs w:val="16"/>
                <w:lang w:val="en-US"/>
              </w:rPr>
              <w:t xml:space="preserve">sixty </w:t>
            </w:r>
            <w:r w:rsidR="003A447C" w:rsidRPr="00E16672">
              <w:rPr>
                <w:rFonts w:ascii="Times New Roman" w:hAnsi="Times New Roman"/>
                <w:i/>
                <w:color w:val="000000"/>
                <w:sz w:val="16"/>
                <w:szCs w:val="16"/>
              </w:rPr>
              <w:t xml:space="preserve"> </w:t>
            </w:r>
            <w:proofErr w:type="spellStart"/>
            <w:r w:rsidR="003A447C" w:rsidRPr="00E16672">
              <w:rPr>
                <w:rFonts w:ascii="Times New Roman" w:hAnsi="Times New Roman"/>
                <w:i/>
                <w:color w:val="000000"/>
                <w:sz w:val="16"/>
                <w:szCs w:val="16"/>
              </w:rPr>
              <w:t>calendar</w:t>
            </w:r>
            <w:proofErr w:type="spellEnd"/>
            <w:r w:rsidR="003A447C" w:rsidRPr="00E16672">
              <w:rPr>
                <w:rFonts w:ascii="Times New Roman" w:hAnsi="Times New Roman"/>
                <w:i/>
                <w:color w:val="000000"/>
                <w:sz w:val="16"/>
                <w:szCs w:val="16"/>
              </w:rPr>
              <w:t xml:space="preserve"> </w:t>
            </w:r>
            <w:proofErr w:type="spellStart"/>
            <w:r w:rsidR="003A447C" w:rsidRPr="00E16672">
              <w:rPr>
                <w:rFonts w:ascii="Times New Roman" w:hAnsi="Times New Roman"/>
                <w:i/>
                <w:color w:val="000000"/>
                <w:sz w:val="16"/>
                <w:szCs w:val="16"/>
              </w:rPr>
              <w:t>days</w:t>
            </w:r>
            <w:proofErr w:type="spellEnd"/>
            <w:r w:rsidR="003A447C" w:rsidRPr="00E16672">
              <w:rPr>
                <w:rFonts w:ascii="Times New Roman" w:hAnsi="Times New Roman"/>
                <w:color w:val="000000"/>
                <w:sz w:val="16"/>
                <w:szCs w:val="16"/>
              </w:rPr>
              <w:t xml:space="preserve"> </w:t>
            </w:r>
            <w:proofErr w:type="spellStart"/>
            <w:r w:rsidR="003A447C" w:rsidRPr="00E16672">
              <w:rPr>
                <w:rFonts w:ascii="Times New Roman" w:hAnsi="Times New Roman"/>
                <w:color w:val="000000"/>
                <w:sz w:val="16"/>
                <w:szCs w:val="16"/>
              </w:rPr>
              <w:t>from</w:t>
            </w:r>
            <w:proofErr w:type="spellEnd"/>
            <w:r w:rsidR="003A447C" w:rsidRPr="00E16672">
              <w:rPr>
                <w:rFonts w:ascii="Times New Roman" w:hAnsi="Times New Roman"/>
                <w:color w:val="000000"/>
                <w:sz w:val="16"/>
                <w:szCs w:val="16"/>
              </w:rPr>
              <w:t xml:space="preserve"> </w:t>
            </w:r>
            <w:proofErr w:type="spellStart"/>
            <w:r w:rsidR="003A447C" w:rsidRPr="00E16672">
              <w:rPr>
                <w:rFonts w:ascii="Times New Roman" w:hAnsi="Times New Roman"/>
                <w:color w:val="000000"/>
                <w:sz w:val="16"/>
                <w:szCs w:val="16"/>
              </w:rPr>
              <w:t>the</w:t>
            </w:r>
            <w:proofErr w:type="spellEnd"/>
            <w:r w:rsidR="003A447C" w:rsidRPr="00E16672">
              <w:rPr>
                <w:rFonts w:ascii="Times New Roman" w:hAnsi="Times New Roman"/>
                <w:color w:val="000000"/>
                <w:sz w:val="16"/>
                <w:szCs w:val="16"/>
              </w:rPr>
              <w:t xml:space="preserve"> </w:t>
            </w:r>
            <w:proofErr w:type="spellStart"/>
            <w:r w:rsidR="003A447C" w:rsidRPr="00E16672">
              <w:rPr>
                <w:rFonts w:ascii="Times New Roman" w:hAnsi="Times New Roman"/>
                <w:color w:val="000000"/>
                <w:sz w:val="16"/>
                <w:szCs w:val="16"/>
              </w:rPr>
              <w:t>date</w:t>
            </w:r>
            <w:proofErr w:type="spellEnd"/>
            <w:r w:rsidR="003A447C" w:rsidRPr="00E16672">
              <w:rPr>
                <w:rFonts w:ascii="Times New Roman" w:hAnsi="Times New Roman"/>
                <w:color w:val="000000"/>
                <w:sz w:val="16"/>
                <w:szCs w:val="16"/>
              </w:rPr>
              <w:t xml:space="preserve"> </w:t>
            </w:r>
            <w:proofErr w:type="spellStart"/>
            <w:r w:rsidR="003A447C" w:rsidRPr="00E16672">
              <w:rPr>
                <w:rFonts w:ascii="Times New Roman" w:hAnsi="Times New Roman"/>
                <w:color w:val="000000"/>
                <w:sz w:val="16"/>
                <w:szCs w:val="16"/>
              </w:rPr>
              <w:t>of</w:t>
            </w:r>
            <w:proofErr w:type="spellEnd"/>
            <w:r w:rsidR="003A447C" w:rsidRPr="00E16672">
              <w:rPr>
                <w:rFonts w:ascii="Times New Roman" w:hAnsi="Times New Roman"/>
                <w:color w:val="000000"/>
                <w:sz w:val="16"/>
                <w:szCs w:val="16"/>
              </w:rPr>
              <w:t xml:space="preserve"> </w:t>
            </w:r>
            <w:proofErr w:type="spellStart"/>
            <w:r w:rsidR="003A447C" w:rsidRPr="00E16672">
              <w:rPr>
                <w:rFonts w:ascii="Times New Roman" w:hAnsi="Times New Roman"/>
                <w:color w:val="000000"/>
                <w:sz w:val="16"/>
                <w:szCs w:val="16"/>
              </w:rPr>
              <w:t>beginning</w:t>
            </w:r>
            <w:proofErr w:type="spellEnd"/>
            <w:r w:rsidR="003A447C" w:rsidRPr="00E16672">
              <w:rPr>
                <w:rFonts w:ascii="Times New Roman" w:hAnsi="Times New Roman"/>
                <w:color w:val="000000"/>
                <w:sz w:val="16"/>
                <w:szCs w:val="16"/>
              </w:rPr>
              <w:t xml:space="preserve"> </w:t>
            </w:r>
            <w:proofErr w:type="spellStart"/>
            <w:r w:rsidR="003A447C" w:rsidRPr="00E16672">
              <w:rPr>
                <w:rFonts w:ascii="Times New Roman" w:hAnsi="Times New Roman"/>
                <w:color w:val="000000"/>
                <w:sz w:val="16"/>
                <w:szCs w:val="16"/>
              </w:rPr>
              <w:t>of</w:t>
            </w:r>
            <w:proofErr w:type="spellEnd"/>
            <w:r w:rsidR="003A447C" w:rsidRPr="00E16672">
              <w:rPr>
                <w:rFonts w:ascii="Times New Roman" w:hAnsi="Times New Roman"/>
                <w:color w:val="000000"/>
                <w:sz w:val="16"/>
                <w:szCs w:val="16"/>
              </w:rPr>
              <w:t xml:space="preserve"> </w:t>
            </w:r>
            <w:proofErr w:type="spellStart"/>
            <w:r w:rsidR="003A447C" w:rsidRPr="00E16672">
              <w:rPr>
                <w:rFonts w:ascii="Times New Roman" w:hAnsi="Times New Roman"/>
                <w:color w:val="000000"/>
                <w:sz w:val="16"/>
                <w:szCs w:val="16"/>
              </w:rPr>
              <w:t>the</w:t>
            </w:r>
            <w:proofErr w:type="spellEnd"/>
            <w:r w:rsidR="003A447C" w:rsidRPr="00E16672">
              <w:rPr>
                <w:rFonts w:ascii="Times New Roman" w:hAnsi="Times New Roman"/>
                <w:color w:val="000000"/>
                <w:sz w:val="16"/>
                <w:szCs w:val="16"/>
              </w:rPr>
              <w:t xml:space="preserve"> </w:t>
            </w:r>
            <w:proofErr w:type="spellStart"/>
            <w:r w:rsidR="003A447C" w:rsidRPr="00E16672">
              <w:rPr>
                <w:rFonts w:ascii="Times New Roman" w:hAnsi="Times New Roman"/>
                <w:color w:val="000000"/>
                <w:sz w:val="16"/>
                <w:szCs w:val="16"/>
              </w:rPr>
              <w:t>procedure</w:t>
            </w:r>
            <w:proofErr w:type="spellEnd"/>
            <w:r w:rsidR="003A447C" w:rsidRPr="00E16672">
              <w:rPr>
                <w:rFonts w:ascii="Times New Roman" w:hAnsi="Times New Roman"/>
                <w:color w:val="000000"/>
                <w:sz w:val="16"/>
                <w:szCs w:val="16"/>
              </w:rPr>
              <w:t>.</w:t>
            </w:r>
            <w:r w:rsidR="00200366" w:rsidRPr="00E16672">
              <w:rPr>
                <w:rFonts w:ascii="Times New Roman" w:hAnsi="Times New Roman"/>
                <w:color w:val="000000"/>
                <w:sz w:val="16"/>
                <w:szCs w:val="16"/>
              </w:rPr>
              <w:t>.</w:t>
            </w:r>
          </w:p>
          <w:p w14:paraId="0A39E966" w14:textId="77777777" w:rsidR="00F333F6" w:rsidRPr="00E16672" w:rsidRDefault="00F333F6" w:rsidP="00547A75">
            <w:pPr>
              <w:tabs>
                <w:tab w:val="left" w:pos="851"/>
                <w:tab w:val="left" w:pos="7200"/>
              </w:tabs>
              <w:snapToGrid w:val="0"/>
              <w:ind w:left="142" w:right="138" w:firstLine="0"/>
              <w:rPr>
                <w:rFonts w:ascii="Times New Roman" w:hAnsi="Times New Roman"/>
                <w:color w:val="000000"/>
                <w:sz w:val="16"/>
                <w:szCs w:val="16"/>
                <w:lang w:val="en-US"/>
              </w:rPr>
            </w:pPr>
            <w:r w:rsidRPr="00F23413">
              <w:rPr>
                <w:rFonts w:ascii="Times New Roman" w:hAnsi="Times New Roman"/>
                <w:sz w:val="16"/>
                <w:szCs w:val="16"/>
                <w:lang w:val="en-US"/>
              </w:rPr>
              <w:t xml:space="preserve">The notice is given by placing on the official website of the Depository </w:t>
            </w:r>
            <w:hyperlink r:id="rId15" w:history="1">
              <w:r w:rsidR="00E16672">
                <w:rPr>
                  <w:rFonts w:ascii="Times New Roman" w:hAnsi="Times New Roman"/>
                  <w:bCs/>
                  <w:sz w:val="16"/>
                  <w:szCs w:val="16"/>
                  <w:lang w:val="en-US"/>
                </w:rPr>
                <w:t>http://comex.uafin.net</w:t>
              </w:r>
            </w:hyperlink>
            <w:r w:rsidRPr="00E16672">
              <w:rPr>
                <w:rFonts w:ascii="Times New Roman" w:hAnsi="Times New Roman"/>
                <w:bCs/>
                <w:color w:val="000000"/>
                <w:sz w:val="16"/>
                <w:szCs w:val="16"/>
                <w:lang w:val="uk-UA"/>
              </w:rPr>
              <w:t>.</w:t>
            </w:r>
          </w:p>
          <w:p w14:paraId="6ABB9923" w14:textId="77777777" w:rsidR="00E51F85" w:rsidRPr="00E16672" w:rsidRDefault="00E51F85" w:rsidP="00AB3C26">
            <w:pPr>
              <w:pStyle w:val="210"/>
              <w:ind w:left="145" w:right="100" w:firstLine="0"/>
              <w:rPr>
                <w:rFonts w:ascii="Times New Roman" w:hAnsi="Times New Roman"/>
                <w:color w:val="000000"/>
                <w:sz w:val="16"/>
                <w:szCs w:val="16"/>
                <w:lang w:val="en-GB"/>
              </w:rPr>
            </w:pPr>
            <w:r w:rsidRPr="00E16672">
              <w:rPr>
                <w:rFonts w:ascii="Times New Roman" w:hAnsi="Times New Roman"/>
                <w:color w:val="000000"/>
                <w:sz w:val="16"/>
                <w:szCs w:val="16"/>
                <w:lang w:val="en-GB"/>
              </w:rPr>
              <w:t xml:space="preserve"> </w:t>
            </w:r>
          </w:p>
        </w:tc>
      </w:tr>
      <w:tr w:rsidR="00E51F85" w:rsidRPr="00F23413" w14:paraId="7DF83D39" w14:textId="77777777" w:rsidTr="00D77858">
        <w:tblPrEx>
          <w:tblCellMar>
            <w:left w:w="0" w:type="dxa"/>
            <w:right w:w="0" w:type="dxa"/>
          </w:tblCellMar>
        </w:tblPrEx>
        <w:trPr>
          <w:trHeight w:val="192"/>
        </w:trPr>
        <w:tc>
          <w:tcPr>
            <w:tcW w:w="5696" w:type="dxa"/>
            <w:gridSpan w:val="6"/>
            <w:shd w:val="clear" w:color="auto" w:fill="auto"/>
          </w:tcPr>
          <w:p w14:paraId="171174E7" w14:textId="77777777" w:rsidR="00E51F85" w:rsidRPr="00E16672" w:rsidRDefault="00E51F85" w:rsidP="001456E9">
            <w:pPr>
              <w:tabs>
                <w:tab w:val="left" w:pos="851"/>
                <w:tab w:val="left" w:pos="7200"/>
              </w:tabs>
              <w:snapToGrid w:val="0"/>
              <w:ind w:left="142" w:right="138" w:firstLine="0"/>
              <w:rPr>
                <w:rFonts w:ascii="Times New Roman" w:hAnsi="Times New Roman"/>
                <w:color w:val="000000"/>
                <w:sz w:val="16"/>
                <w:szCs w:val="16"/>
              </w:rPr>
            </w:pPr>
            <w:r w:rsidRPr="00E16672">
              <w:rPr>
                <w:rFonts w:ascii="Times New Roman" w:hAnsi="Times New Roman"/>
                <w:color w:val="000000"/>
                <w:sz w:val="16"/>
                <w:szCs w:val="16"/>
              </w:rPr>
              <w:lastRenderedPageBreak/>
              <w:t>2.1.</w:t>
            </w:r>
            <w:r w:rsidR="00F333F6" w:rsidRPr="00E16672">
              <w:rPr>
                <w:rFonts w:ascii="Times New Roman" w:hAnsi="Times New Roman"/>
                <w:color w:val="000000"/>
                <w:sz w:val="16"/>
                <w:szCs w:val="16"/>
              </w:rPr>
              <w:t>16</w:t>
            </w:r>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Закрити</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рахунок</w:t>
            </w:r>
            <w:proofErr w:type="spellEnd"/>
            <w:r w:rsidRPr="00E16672">
              <w:rPr>
                <w:rFonts w:ascii="Times New Roman" w:hAnsi="Times New Roman"/>
                <w:color w:val="000000"/>
                <w:sz w:val="16"/>
                <w:szCs w:val="16"/>
              </w:rPr>
              <w:t xml:space="preserve"> </w:t>
            </w:r>
            <w:r w:rsidR="00C22309" w:rsidRPr="00E16672">
              <w:rPr>
                <w:rFonts w:ascii="Times New Roman" w:hAnsi="Times New Roman"/>
                <w:color w:val="000000"/>
                <w:sz w:val="16"/>
                <w:szCs w:val="16"/>
              </w:rPr>
              <w:t xml:space="preserve">в </w:t>
            </w:r>
            <w:proofErr w:type="spellStart"/>
            <w:r w:rsidR="00C22309" w:rsidRPr="00E16672">
              <w:rPr>
                <w:rFonts w:ascii="Times New Roman" w:hAnsi="Times New Roman"/>
                <w:color w:val="000000"/>
                <w:sz w:val="16"/>
                <w:szCs w:val="16"/>
              </w:rPr>
              <w:t>цін</w:t>
            </w:r>
            <w:r w:rsidRPr="00E16672">
              <w:rPr>
                <w:rFonts w:ascii="Times New Roman" w:hAnsi="Times New Roman"/>
                <w:color w:val="000000"/>
                <w:sz w:val="16"/>
                <w:szCs w:val="16"/>
              </w:rPr>
              <w:t>них</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паперах</w:t>
            </w:r>
            <w:proofErr w:type="spellEnd"/>
            <w:r w:rsidRPr="00E16672">
              <w:rPr>
                <w:rFonts w:ascii="Times New Roman" w:hAnsi="Times New Roman"/>
                <w:color w:val="000000"/>
                <w:sz w:val="16"/>
                <w:szCs w:val="16"/>
              </w:rPr>
              <w:t xml:space="preserve"> Депонента </w:t>
            </w:r>
            <w:proofErr w:type="gramStart"/>
            <w:r w:rsidRPr="00E16672">
              <w:rPr>
                <w:rFonts w:ascii="Times New Roman" w:hAnsi="Times New Roman"/>
                <w:color w:val="000000"/>
                <w:sz w:val="16"/>
                <w:szCs w:val="16"/>
              </w:rPr>
              <w:t>у порядку</w:t>
            </w:r>
            <w:proofErr w:type="gram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передбаченому</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цим</w:t>
            </w:r>
            <w:proofErr w:type="spellEnd"/>
            <w:r w:rsidRPr="00E16672">
              <w:rPr>
                <w:rFonts w:ascii="Times New Roman" w:hAnsi="Times New Roman"/>
                <w:color w:val="000000"/>
                <w:sz w:val="16"/>
                <w:szCs w:val="16"/>
              </w:rPr>
              <w:t xml:space="preserve"> Договором та </w:t>
            </w:r>
            <w:proofErr w:type="spellStart"/>
            <w:r w:rsidRPr="00E16672">
              <w:rPr>
                <w:rFonts w:ascii="Times New Roman" w:hAnsi="Times New Roman"/>
                <w:color w:val="000000"/>
                <w:sz w:val="16"/>
                <w:szCs w:val="16"/>
              </w:rPr>
              <w:t>законодавством</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внутрішніми</w:t>
            </w:r>
            <w:proofErr w:type="spellEnd"/>
            <w:r w:rsidRPr="00E16672">
              <w:rPr>
                <w:rFonts w:ascii="Times New Roman" w:hAnsi="Times New Roman"/>
                <w:color w:val="000000"/>
                <w:sz w:val="16"/>
                <w:szCs w:val="16"/>
              </w:rPr>
              <w:t xml:space="preserve"> документами </w:t>
            </w:r>
            <w:proofErr w:type="spellStart"/>
            <w:r w:rsidRPr="00E16672">
              <w:rPr>
                <w:rFonts w:ascii="Times New Roman" w:hAnsi="Times New Roman"/>
                <w:color w:val="000000"/>
                <w:sz w:val="16"/>
                <w:szCs w:val="16"/>
              </w:rPr>
              <w:t>Депозитарної</w:t>
            </w:r>
            <w:proofErr w:type="spellEnd"/>
            <w:r w:rsidRPr="00E16672">
              <w:rPr>
                <w:rFonts w:ascii="Times New Roman" w:hAnsi="Times New Roman"/>
                <w:color w:val="000000"/>
                <w:sz w:val="16"/>
                <w:szCs w:val="16"/>
              </w:rPr>
              <w:t xml:space="preserve"> установи.</w:t>
            </w:r>
          </w:p>
          <w:p w14:paraId="13BE8C8D" w14:textId="77777777" w:rsidR="00E51F85" w:rsidRPr="00E16672" w:rsidRDefault="00E51F85" w:rsidP="00AB3C26">
            <w:pPr>
              <w:pStyle w:val="WW-"/>
              <w:ind w:right="138"/>
              <w:rPr>
                <w:color w:val="000000"/>
                <w:sz w:val="10"/>
                <w:szCs w:val="10"/>
              </w:rPr>
            </w:pPr>
          </w:p>
        </w:tc>
        <w:tc>
          <w:tcPr>
            <w:tcW w:w="5494" w:type="dxa"/>
            <w:gridSpan w:val="7"/>
            <w:shd w:val="clear" w:color="auto" w:fill="auto"/>
          </w:tcPr>
          <w:p w14:paraId="1022AD68" w14:textId="77777777" w:rsidR="00E51F85" w:rsidRPr="00E16672" w:rsidRDefault="00E51F85" w:rsidP="00AB3C26">
            <w:pPr>
              <w:pStyle w:val="210"/>
              <w:snapToGrid w:val="0"/>
              <w:ind w:left="145" w:right="100" w:firstLine="0"/>
              <w:rPr>
                <w:rFonts w:ascii="Times New Roman" w:hAnsi="Times New Roman"/>
                <w:color w:val="000000"/>
                <w:sz w:val="16"/>
                <w:szCs w:val="16"/>
              </w:rPr>
            </w:pPr>
            <w:r w:rsidRPr="00E16672">
              <w:rPr>
                <w:rFonts w:ascii="Times New Roman" w:hAnsi="Times New Roman"/>
                <w:color w:val="000000"/>
                <w:sz w:val="16"/>
                <w:szCs w:val="16"/>
              </w:rPr>
              <w:t>2.1.</w:t>
            </w:r>
            <w:r w:rsidR="00F333F6" w:rsidRPr="00E16672">
              <w:rPr>
                <w:rFonts w:ascii="Times New Roman" w:hAnsi="Times New Roman"/>
                <w:color w:val="000000"/>
                <w:sz w:val="16"/>
                <w:szCs w:val="16"/>
              </w:rPr>
              <w:t>16</w:t>
            </w:r>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To</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close</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an</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account</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in</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securities</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of</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Depositor</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in</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the</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manner</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provided</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by</w:t>
            </w:r>
            <w:proofErr w:type="spellEnd"/>
            <w:r w:rsidRPr="00E16672">
              <w:rPr>
                <w:rFonts w:ascii="Times New Roman" w:hAnsi="Times New Roman"/>
                <w:color w:val="000000"/>
                <w:sz w:val="16"/>
                <w:szCs w:val="16"/>
              </w:rPr>
              <w:t xml:space="preserve"> </w:t>
            </w:r>
            <w:r w:rsidRPr="00E16672">
              <w:rPr>
                <w:rFonts w:ascii="Times New Roman" w:hAnsi="Times New Roman"/>
                <w:color w:val="000000"/>
                <w:sz w:val="16"/>
                <w:szCs w:val="16"/>
                <w:lang w:val="en-US"/>
              </w:rPr>
              <w:t xml:space="preserve"> this Agreement and </w:t>
            </w:r>
            <w:proofErr w:type="spellStart"/>
            <w:r w:rsidRPr="00E16672">
              <w:rPr>
                <w:rFonts w:ascii="Times New Roman" w:hAnsi="Times New Roman"/>
                <w:color w:val="000000"/>
                <w:sz w:val="16"/>
                <w:szCs w:val="16"/>
              </w:rPr>
              <w:t>legislation</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internal</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documents</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of</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Depository</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institution</w:t>
            </w:r>
            <w:proofErr w:type="spellEnd"/>
            <w:r w:rsidRPr="00E16672">
              <w:rPr>
                <w:rFonts w:ascii="Times New Roman" w:hAnsi="Times New Roman"/>
                <w:color w:val="000000"/>
                <w:sz w:val="16"/>
                <w:szCs w:val="16"/>
              </w:rPr>
              <w:t>.</w:t>
            </w:r>
          </w:p>
          <w:p w14:paraId="1D631A64" w14:textId="77777777" w:rsidR="00E51F85" w:rsidRPr="00E16672" w:rsidRDefault="00E51F85" w:rsidP="00AB3C26">
            <w:pPr>
              <w:ind w:left="145" w:right="100"/>
              <w:jc w:val="center"/>
              <w:rPr>
                <w:rFonts w:ascii="Times New Roman" w:hAnsi="Times New Roman"/>
                <w:b/>
                <w:bCs/>
                <w:color w:val="000000"/>
                <w:sz w:val="16"/>
                <w:szCs w:val="16"/>
                <w:lang w:val="en-GB"/>
              </w:rPr>
            </w:pPr>
          </w:p>
        </w:tc>
      </w:tr>
      <w:tr w:rsidR="00E03681" w:rsidRPr="00F23413" w14:paraId="3835B2EE" w14:textId="77777777" w:rsidTr="00D77858">
        <w:tblPrEx>
          <w:tblCellMar>
            <w:left w:w="0" w:type="dxa"/>
            <w:right w:w="0" w:type="dxa"/>
          </w:tblCellMar>
        </w:tblPrEx>
        <w:trPr>
          <w:trHeight w:val="192"/>
        </w:trPr>
        <w:tc>
          <w:tcPr>
            <w:tcW w:w="5696" w:type="dxa"/>
            <w:gridSpan w:val="6"/>
            <w:shd w:val="clear" w:color="auto" w:fill="auto"/>
          </w:tcPr>
          <w:p w14:paraId="3751BE2D" w14:textId="77777777" w:rsidR="00E03681" w:rsidRPr="00E16672" w:rsidRDefault="00E03681" w:rsidP="00022F5F">
            <w:pPr>
              <w:tabs>
                <w:tab w:val="left" w:pos="851"/>
                <w:tab w:val="left" w:pos="7200"/>
              </w:tabs>
              <w:snapToGrid w:val="0"/>
              <w:ind w:left="142" w:right="138" w:firstLine="0"/>
              <w:jc w:val="left"/>
              <w:rPr>
                <w:rFonts w:ascii="Times New Roman" w:eastAsia="Lucida Sans Unicode" w:hAnsi="Times New Roman"/>
                <w:kern w:val="1"/>
                <w:sz w:val="16"/>
                <w:szCs w:val="16"/>
                <w:lang w:val="uk-UA" w:eastAsia="hi-IN" w:bidi="hi-IN"/>
              </w:rPr>
            </w:pPr>
            <w:r w:rsidRPr="00E16672">
              <w:rPr>
                <w:rFonts w:ascii="Times New Roman" w:eastAsia="Lucida Sans Unicode" w:hAnsi="Times New Roman"/>
                <w:sz w:val="16"/>
                <w:szCs w:val="16"/>
                <w:lang w:val="uk-UA"/>
              </w:rPr>
              <w:t>2.1.</w:t>
            </w:r>
            <w:r w:rsidR="00F333F6" w:rsidRPr="00E16672">
              <w:rPr>
                <w:rFonts w:ascii="Times New Roman" w:eastAsia="Lucida Sans Unicode" w:hAnsi="Times New Roman"/>
                <w:sz w:val="16"/>
                <w:szCs w:val="16"/>
                <w:lang w:val="uk-UA"/>
              </w:rPr>
              <w:t>17</w:t>
            </w:r>
            <w:r w:rsidRPr="00E16672">
              <w:rPr>
                <w:rFonts w:ascii="Times New Roman" w:eastAsia="Lucida Sans Unicode" w:hAnsi="Times New Roman"/>
                <w:sz w:val="16"/>
                <w:szCs w:val="16"/>
                <w:lang w:val="uk-UA"/>
              </w:rPr>
              <w:t xml:space="preserve">. </w:t>
            </w:r>
            <w:r w:rsidRPr="00E16672">
              <w:rPr>
                <w:rFonts w:ascii="Times New Roman" w:eastAsia="Lucida Sans Unicode" w:hAnsi="Times New Roman"/>
                <w:kern w:val="1"/>
                <w:sz w:val="16"/>
                <w:szCs w:val="16"/>
                <w:lang w:val="uk-UA" w:eastAsia="hi-IN" w:bidi="hi-IN"/>
              </w:rPr>
              <w:t>Направляти у встановленому законодавством порядку депоненту, який є власником акцій акціонерного товариства на визначену відповідно до закону дату, повідомлення у разі направлення відповідним акціонерним товариством повідомлення акціонерам через депозитарну систему України відповідно до </w:t>
            </w:r>
            <w:hyperlink r:id="rId16" w:anchor="n3" w:tgtFrame="_blank" w:history="1">
              <w:r w:rsidRPr="00E16672">
                <w:rPr>
                  <w:rFonts w:ascii="Times New Roman" w:eastAsia="Lucida Sans Unicode" w:hAnsi="Times New Roman"/>
                  <w:kern w:val="1"/>
                  <w:sz w:val="16"/>
                  <w:szCs w:val="16"/>
                  <w:lang w:val="uk-UA" w:eastAsia="hi-IN" w:bidi="hi-IN"/>
                </w:rPr>
                <w:t>Закону України</w:t>
              </w:r>
            </w:hyperlink>
            <w:r w:rsidRPr="00E16672">
              <w:rPr>
                <w:rFonts w:ascii="Times New Roman" w:eastAsia="Lucida Sans Unicode" w:hAnsi="Times New Roman"/>
                <w:kern w:val="1"/>
                <w:sz w:val="16"/>
                <w:szCs w:val="16"/>
                <w:lang w:val="uk-UA" w:eastAsia="hi-IN" w:bidi="hi-IN"/>
              </w:rPr>
              <w:t> </w:t>
            </w:r>
            <w:r w:rsidR="00022F5F">
              <w:rPr>
                <w:rFonts w:ascii="Times New Roman" w:eastAsia="Lucida Sans Unicode" w:hAnsi="Times New Roman"/>
                <w:kern w:val="1"/>
                <w:sz w:val="16"/>
                <w:szCs w:val="16"/>
                <w:lang w:val="uk-UA" w:eastAsia="hi-IN" w:bidi="hi-IN"/>
              </w:rPr>
              <w:t>"</w:t>
            </w:r>
            <w:r w:rsidRPr="00E16672">
              <w:rPr>
                <w:rFonts w:ascii="Times New Roman" w:eastAsia="Lucida Sans Unicode" w:hAnsi="Times New Roman"/>
                <w:kern w:val="1"/>
                <w:sz w:val="16"/>
                <w:szCs w:val="16"/>
                <w:lang w:val="uk-UA" w:eastAsia="hi-IN" w:bidi="hi-IN"/>
              </w:rPr>
              <w:t>Про акціонерні товариства</w:t>
            </w:r>
            <w:r w:rsidR="00022F5F">
              <w:rPr>
                <w:rFonts w:ascii="Times New Roman" w:eastAsia="Lucida Sans Unicode" w:hAnsi="Times New Roman"/>
                <w:kern w:val="1"/>
                <w:sz w:val="16"/>
                <w:szCs w:val="16"/>
                <w:lang w:val="uk-UA" w:eastAsia="hi-IN" w:bidi="hi-IN"/>
              </w:rPr>
              <w:t>"</w:t>
            </w:r>
            <w:r w:rsidRPr="00E16672">
              <w:rPr>
                <w:rFonts w:ascii="Times New Roman" w:eastAsia="Lucida Sans Unicode" w:hAnsi="Times New Roman"/>
                <w:kern w:val="1"/>
                <w:sz w:val="16"/>
                <w:szCs w:val="16"/>
                <w:lang w:val="uk-UA" w:eastAsia="hi-IN" w:bidi="hi-IN"/>
              </w:rPr>
              <w:t>.</w:t>
            </w:r>
          </w:p>
          <w:p w14:paraId="55F99199" w14:textId="77777777" w:rsidR="00F333F6" w:rsidRPr="00E16672" w:rsidRDefault="00F333F6" w:rsidP="00F333F6">
            <w:pPr>
              <w:tabs>
                <w:tab w:val="left" w:pos="851"/>
                <w:tab w:val="left" w:pos="7200"/>
              </w:tabs>
              <w:snapToGrid w:val="0"/>
              <w:ind w:left="142" w:right="138"/>
              <w:rPr>
                <w:rFonts w:ascii="Times New Roman" w:eastAsia="Lucida Sans Unicode" w:hAnsi="Times New Roman"/>
                <w:sz w:val="16"/>
                <w:szCs w:val="16"/>
                <w:lang w:val="uk-UA"/>
              </w:rPr>
            </w:pPr>
          </w:p>
        </w:tc>
        <w:tc>
          <w:tcPr>
            <w:tcW w:w="5494" w:type="dxa"/>
            <w:gridSpan w:val="7"/>
            <w:shd w:val="clear" w:color="auto" w:fill="auto"/>
          </w:tcPr>
          <w:p w14:paraId="62537ED6" w14:textId="77777777" w:rsidR="00E03681" w:rsidRPr="00E16672" w:rsidRDefault="00E03681" w:rsidP="00547A75">
            <w:pPr>
              <w:tabs>
                <w:tab w:val="left" w:pos="851"/>
                <w:tab w:val="left" w:pos="7200"/>
              </w:tabs>
              <w:snapToGrid w:val="0"/>
              <w:ind w:left="145" w:right="100" w:firstLine="0"/>
              <w:rPr>
                <w:rFonts w:ascii="Times New Roman" w:eastAsia="Lucida Sans Unicode" w:hAnsi="Times New Roman"/>
                <w:sz w:val="16"/>
                <w:szCs w:val="16"/>
                <w:lang w:val="uk-UA"/>
              </w:rPr>
            </w:pPr>
            <w:r w:rsidRPr="00E16672">
              <w:rPr>
                <w:rFonts w:ascii="Times New Roman" w:eastAsia="Lucida Sans Unicode" w:hAnsi="Times New Roman"/>
                <w:sz w:val="16"/>
                <w:szCs w:val="16"/>
                <w:lang w:val="uk-UA"/>
              </w:rPr>
              <w:t>2.1.</w:t>
            </w:r>
            <w:r w:rsidR="00F333F6" w:rsidRPr="00E16672">
              <w:rPr>
                <w:rFonts w:ascii="Times New Roman" w:eastAsia="Lucida Sans Unicode" w:hAnsi="Times New Roman"/>
                <w:sz w:val="16"/>
                <w:szCs w:val="16"/>
                <w:lang w:val="uk-UA"/>
              </w:rPr>
              <w:t>17</w:t>
            </w:r>
            <w:r w:rsidRPr="00E16672">
              <w:rPr>
                <w:rFonts w:ascii="Times New Roman" w:eastAsia="Lucida Sans Unicode" w:hAnsi="Times New Roman"/>
                <w:sz w:val="16"/>
                <w:szCs w:val="16"/>
                <w:lang w:val="uk-UA"/>
              </w:rPr>
              <w:t xml:space="preserve">. </w:t>
            </w:r>
            <w:r w:rsidR="00D565A9" w:rsidRPr="00E16672">
              <w:rPr>
                <w:rFonts w:ascii="Times New Roman" w:eastAsia="Lucida Sans Unicode" w:hAnsi="Times New Roman"/>
                <w:sz w:val="16"/>
                <w:szCs w:val="16"/>
                <w:lang w:val="en-GB"/>
              </w:rPr>
              <w:t>To send in the order established by law to the depositor who owns the shares of the joint-stock company for a date determined in accordance with the law, notification in case of sending to shareholders by the relevant joint-stock company through the depository system of Ukraine in accordance with the Law of Ukraine "On Joint Stock Companies".</w:t>
            </w:r>
          </w:p>
        </w:tc>
      </w:tr>
      <w:tr w:rsidR="00E51F85" w:rsidRPr="00F23413" w14:paraId="728B0285" w14:textId="77777777" w:rsidTr="00D77858">
        <w:tblPrEx>
          <w:tblCellMar>
            <w:left w:w="0" w:type="dxa"/>
            <w:right w:w="0" w:type="dxa"/>
          </w:tblCellMar>
        </w:tblPrEx>
        <w:trPr>
          <w:trHeight w:val="192"/>
        </w:trPr>
        <w:tc>
          <w:tcPr>
            <w:tcW w:w="5696" w:type="dxa"/>
            <w:gridSpan w:val="6"/>
            <w:shd w:val="clear" w:color="auto" w:fill="auto"/>
          </w:tcPr>
          <w:p w14:paraId="7F1E3078" w14:textId="77777777" w:rsidR="00E51F85" w:rsidRPr="00E16672" w:rsidRDefault="006A4D27" w:rsidP="00547A75">
            <w:pPr>
              <w:tabs>
                <w:tab w:val="left" w:pos="851"/>
                <w:tab w:val="left" w:pos="7200"/>
              </w:tabs>
              <w:snapToGrid w:val="0"/>
              <w:ind w:left="142" w:right="138" w:firstLine="40"/>
              <w:rPr>
                <w:rFonts w:ascii="Times New Roman" w:eastAsia="Lucida Sans Unicode" w:hAnsi="Times New Roman"/>
                <w:strike/>
                <w:color w:val="000000"/>
                <w:kern w:val="1"/>
                <w:sz w:val="16"/>
                <w:szCs w:val="16"/>
                <w:lang w:val="uk-UA" w:eastAsia="hi-IN" w:bidi="hi-IN"/>
              </w:rPr>
            </w:pPr>
            <w:r w:rsidRPr="00E16672">
              <w:rPr>
                <w:rFonts w:ascii="Times New Roman" w:eastAsia="Lucida Sans Unicode" w:hAnsi="Times New Roman"/>
                <w:color w:val="000000"/>
                <w:sz w:val="16"/>
                <w:szCs w:val="16"/>
              </w:rPr>
              <w:t>2.1.</w:t>
            </w:r>
            <w:r w:rsidR="00F333F6" w:rsidRPr="00E16672">
              <w:rPr>
                <w:rFonts w:ascii="Times New Roman" w:eastAsia="Lucida Sans Unicode" w:hAnsi="Times New Roman"/>
                <w:color w:val="000000"/>
                <w:sz w:val="16"/>
                <w:szCs w:val="16"/>
              </w:rPr>
              <w:t>1</w:t>
            </w:r>
            <w:r w:rsidR="00F333F6" w:rsidRPr="00E16672">
              <w:rPr>
                <w:rFonts w:ascii="Times New Roman" w:eastAsia="Lucida Sans Unicode" w:hAnsi="Times New Roman"/>
                <w:color w:val="000000"/>
                <w:sz w:val="16"/>
                <w:szCs w:val="16"/>
                <w:lang w:val="uk-UA"/>
              </w:rPr>
              <w:t>8</w:t>
            </w:r>
            <w:r w:rsidR="00E51F85" w:rsidRPr="00E16672">
              <w:rPr>
                <w:rFonts w:ascii="Times New Roman" w:eastAsia="Lucida Sans Unicode" w:hAnsi="Times New Roman"/>
                <w:color w:val="000000"/>
                <w:sz w:val="16"/>
                <w:szCs w:val="16"/>
              </w:rPr>
              <w:t xml:space="preserve">. </w:t>
            </w:r>
            <w:proofErr w:type="spellStart"/>
            <w:r w:rsidR="00E51F85" w:rsidRPr="00E16672">
              <w:rPr>
                <w:rFonts w:ascii="Times New Roman" w:eastAsia="Lucida Sans Unicode" w:hAnsi="Times New Roman"/>
                <w:color w:val="000000"/>
                <w:sz w:val="16"/>
                <w:szCs w:val="16"/>
              </w:rPr>
              <w:t>Ідентифікувати</w:t>
            </w:r>
            <w:proofErr w:type="spellEnd"/>
            <w:r w:rsidR="00E51F85" w:rsidRPr="00E16672">
              <w:rPr>
                <w:rFonts w:ascii="Times New Roman" w:eastAsia="Lucida Sans Unicode" w:hAnsi="Times New Roman"/>
                <w:color w:val="000000"/>
                <w:sz w:val="16"/>
                <w:szCs w:val="16"/>
              </w:rPr>
              <w:t xml:space="preserve"> </w:t>
            </w:r>
            <w:r w:rsidR="00E51F85" w:rsidRPr="00E16672">
              <w:rPr>
                <w:rFonts w:ascii="Times New Roman" w:hAnsi="Times New Roman"/>
                <w:color w:val="000000"/>
                <w:sz w:val="16"/>
                <w:szCs w:val="16"/>
              </w:rPr>
              <w:t xml:space="preserve">та </w:t>
            </w:r>
            <w:proofErr w:type="spellStart"/>
            <w:r w:rsidR="00E51F85" w:rsidRPr="00E16672">
              <w:rPr>
                <w:rFonts w:ascii="Times New Roman" w:hAnsi="Times New Roman"/>
                <w:color w:val="000000"/>
                <w:sz w:val="16"/>
                <w:szCs w:val="16"/>
              </w:rPr>
              <w:t>верифікувати</w:t>
            </w:r>
            <w:proofErr w:type="spellEnd"/>
            <w:r w:rsidR="00E51F85" w:rsidRPr="00E16672">
              <w:rPr>
                <w:rFonts w:ascii="Times New Roman" w:hAnsi="Times New Roman"/>
                <w:color w:val="000000"/>
                <w:sz w:val="16"/>
                <w:szCs w:val="16"/>
              </w:rPr>
              <w:t xml:space="preserve"> </w:t>
            </w:r>
            <w:proofErr w:type="spellStart"/>
            <w:r w:rsidR="00E51F85" w:rsidRPr="00E16672">
              <w:rPr>
                <w:rFonts w:ascii="Times New Roman" w:eastAsia="Lucida Sans Unicode" w:hAnsi="Times New Roman"/>
                <w:color w:val="000000"/>
                <w:sz w:val="16"/>
                <w:szCs w:val="16"/>
              </w:rPr>
              <w:t>осіб</w:t>
            </w:r>
            <w:proofErr w:type="spellEnd"/>
            <w:r w:rsidR="00E51F85" w:rsidRPr="00E16672">
              <w:rPr>
                <w:rFonts w:ascii="Times New Roman" w:eastAsia="Lucida Sans Unicode" w:hAnsi="Times New Roman"/>
                <w:color w:val="000000"/>
                <w:sz w:val="16"/>
                <w:szCs w:val="16"/>
              </w:rPr>
              <w:t xml:space="preserve">, </w:t>
            </w:r>
            <w:proofErr w:type="spellStart"/>
            <w:r w:rsidR="00E51F85" w:rsidRPr="00E16672">
              <w:rPr>
                <w:rFonts w:ascii="Times New Roman" w:eastAsia="Lucida Sans Unicode" w:hAnsi="Times New Roman"/>
                <w:color w:val="000000"/>
                <w:sz w:val="16"/>
                <w:szCs w:val="16"/>
              </w:rPr>
              <w:t>яким</w:t>
            </w:r>
            <w:proofErr w:type="spellEnd"/>
            <w:r w:rsidR="00E51F85" w:rsidRPr="00E16672">
              <w:rPr>
                <w:rFonts w:ascii="Times New Roman" w:eastAsia="Lucida Sans Unicode" w:hAnsi="Times New Roman"/>
                <w:color w:val="000000"/>
                <w:sz w:val="16"/>
                <w:szCs w:val="16"/>
              </w:rPr>
              <w:t xml:space="preserve"> на </w:t>
            </w:r>
            <w:proofErr w:type="spellStart"/>
            <w:r w:rsidR="00E51F85" w:rsidRPr="00E16672">
              <w:rPr>
                <w:rFonts w:ascii="Times New Roman" w:eastAsia="Lucida Sans Unicode" w:hAnsi="Times New Roman"/>
                <w:color w:val="000000"/>
                <w:sz w:val="16"/>
                <w:szCs w:val="16"/>
              </w:rPr>
              <w:t>підставі</w:t>
            </w:r>
            <w:proofErr w:type="spellEnd"/>
            <w:r w:rsidR="00E51F85" w:rsidRPr="00E16672">
              <w:rPr>
                <w:rFonts w:ascii="Times New Roman" w:eastAsia="Lucida Sans Unicode" w:hAnsi="Times New Roman"/>
                <w:color w:val="000000"/>
                <w:sz w:val="16"/>
                <w:szCs w:val="16"/>
              </w:rPr>
              <w:t xml:space="preserve"> Договору </w:t>
            </w:r>
            <w:proofErr w:type="spellStart"/>
            <w:r w:rsidR="00E51F85" w:rsidRPr="00E16672">
              <w:rPr>
                <w:rFonts w:ascii="Times New Roman" w:eastAsia="Lucida Sans Unicode" w:hAnsi="Times New Roman"/>
                <w:color w:val="000000"/>
                <w:sz w:val="16"/>
                <w:szCs w:val="16"/>
              </w:rPr>
              <w:t>відкривається</w:t>
            </w:r>
            <w:proofErr w:type="spellEnd"/>
            <w:r w:rsidR="00E51F85" w:rsidRPr="00E16672">
              <w:rPr>
                <w:rFonts w:ascii="Times New Roman" w:eastAsia="Lucida Sans Unicode" w:hAnsi="Times New Roman"/>
                <w:color w:val="000000"/>
                <w:sz w:val="16"/>
                <w:szCs w:val="16"/>
              </w:rPr>
              <w:t xml:space="preserve"> </w:t>
            </w:r>
            <w:proofErr w:type="spellStart"/>
            <w:r w:rsidR="00E51F85" w:rsidRPr="00E16672">
              <w:rPr>
                <w:rFonts w:ascii="Times New Roman" w:eastAsia="Lucida Sans Unicode" w:hAnsi="Times New Roman"/>
                <w:color w:val="000000"/>
                <w:sz w:val="16"/>
                <w:szCs w:val="16"/>
              </w:rPr>
              <w:t>рахунок</w:t>
            </w:r>
            <w:proofErr w:type="spellEnd"/>
            <w:r w:rsidR="00E51F85" w:rsidRPr="00E16672">
              <w:rPr>
                <w:rFonts w:ascii="Times New Roman" w:eastAsia="Lucida Sans Unicode" w:hAnsi="Times New Roman"/>
                <w:color w:val="000000"/>
                <w:sz w:val="16"/>
                <w:szCs w:val="16"/>
              </w:rPr>
              <w:t xml:space="preserve"> в </w:t>
            </w:r>
            <w:proofErr w:type="spellStart"/>
            <w:r w:rsidR="00E51F85" w:rsidRPr="00E16672">
              <w:rPr>
                <w:rFonts w:ascii="Times New Roman" w:eastAsia="Lucida Sans Unicode" w:hAnsi="Times New Roman"/>
                <w:color w:val="000000"/>
                <w:sz w:val="16"/>
                <w:szCs w:val="16"/>
              </w:rPr>
              <w:t>цінних</w:t>
            </w:r>
            <w:proofErr w:type="spellEnd"/>
            <w:r w:rsidR="00E51F85" w:rsidRPr="00E16672">
              <w:rPr>
                <w:rFonts w:ascii="Times New Roman" w:eastAsia="Lucida Sans Unicode" w:hAnsi="Times New Roman"/>
                <w:color w:val="000000"/>
                <w:sz w:val="16"/>
                <w:szCs w:val="16"/>
              </w:rPr>
              <w:t xml:space="preserve"> </w:t>
            </w:r>
            <w:proofErr w:type="spellStart"/>
            <w:r w:rsidR="00E51F85" w:rsidRPr="00E16672">
              <w:rPr>
                <w:rFonts w:ascii="Times New Roman" w:eastAsia="Lucida Sans Unicode" w:hAnsi="Times New Roman"/>
                <w:color w:val="000000"/>
                <w:sz w:val="16"/>
                <w:szCs w:val="16"/>
              </w:rPr>
              <w:t>паперах</w:t>
            </w:r>
            <w:proofErr w:type="spellEnd"/>
            <w:r w:rsidR="00E51F85" w:rsidRPr="00E16672">
              <w:rPr>
                <w:rFonts w:ascii="Times New Roman" w:eastAsia="Lucida Sans Unicode" w:hAnsi="Times New Roman"/>
                <w:color w:val="000000"/>
                <w:sz w:val="16"/>
                <w:szCs w:val="16"/>
              </w:rPr>
              <w:t xml:space="preserve">, а </w:t>
            </w:r>
            <w:proofErr w:type="spellStart"/>
            <w:r w:rsidR="00E51F85" w:rsidRPr="00E16672">
              <w:rPr>
                <w:rFonts w:ascii="Times New Roman" w:eastAsia="Lucida Sans Unicode" w:hAnsi="Times New Roman"/>
                <w:color w:val="000000"/>
                <w:sz w:val="16"/>
                <w:szCs w:val="16"/>
              </w:rPr>
              <w:t>також</w:t>
            </w:r>
            <w:proofErr w:type="spellEnd"/>
            <w:r w:rsidR="00E51F85" w:rsidRPr="00E16672">
              <w:rPr>
                <w:rFonts w:ascii="Times New Roman" w:eastAsia="Lucida Sans Unicode" w:hAnsi="Times New Roman"/>
                <w:color w:val="000000"/>
                <w:sz w:val="16"/>
                <w:szCs w:val="16"/>
              </w:rPr>
              <w:t xml:space="preserve"> </w:t>
            </w:r>
            <w:proofErr w:type="spellStart"/>
            <w:r w:rsidR="00E51F85" w:rsidRPr="00E16672">
              <w:rPr>
                <w:rFonts w:ascii="Times New Roman" w:eastAsia="Lucida Sans Unicode" w:hAnsi="Times New Roman"/>
                <w:color w:val="000000"/>
                <w:sz w:val="16"/>
                <w:szCs w:val="16"/>
              </w:rPr>
              <w:t>осіб</w:t>
            </w:r>
            <w:proofErr w:type="spellEnd"/>
            <w:r w:rsidR="00E51F85" w:rsidRPr="00E16672">
              <w:rPr>
                <w:rFonts w:ascii="Times New Roman" w:eastAsia="Lucida Sans Unicode" w:hAnsi="Times New Roman"/>
                <w:color w:val="000000"/>
                <w:sz w:val="16"/>
                <w:szCs w:val="16"/>
              </w:rPr>
              <w:t xml:space="preserve">, </w:t>
            </w:r>
            <w:proofErr w:type="spellStart"/>
            <w:r w:rsidR="00E51F85" w:rsidRPr="00E16672">
              <w:rPr>
                <w:rFonts w:ascii="Times New Roman" w:eastAsia="Lucida Sans Unicode" w:hAnsi="Times New Roman"/>
                <w:color w:val="000000"/>
                <w:sz w:val="16"/>
                <w:szCs w:val="16"/>
              </w:rPr>
              <w:t>що</w:t>
            </w:r>
            <w:proofErr w:type="spellEnd"/>
            <w:r w:rsidR="00E51F85" w:rsidRPr="00E16672">
              <w:rPr>
                <w:rFonts w:ascii="Times New Roman" w:eastAsia="Lucida Sans Unicode" w:hAnsi="Times New Roman"/>
                <w:color w:val="000000"/>
                <w:sz w:val="16"/>
                <w:szCs w:val="16"/>
              </w:rPr>
              <w:t xml:space="preserve"> </w:t>
            </w:r>
            <w:proofErr w:type="spellStart"/>
            <w:r w:rsidR="00E51F85" w:rsidRPr="00E16672">
              <w:rPr>
                <w:rFonts w:ascii="Times New Roman" w:eastAsia="Lucida Sans Unicode" w:hAnsi="Times New Roman"/>
                <w:color w:val="000000"/>
                <w:sz w:val="16"/>
                <w:szCs w:val="16"/>
              </w:rPr>
              <w:t>мають</w:t>
            </w:r>
            <w:proofErr w:type="spellEnd"/>
            <w:r w:rsidR="00E51F85" w:rsidRPr="00E16672">
              <w:rPr>
                <w:rFonts w:ascii="Times New Roman" w:eastAsia="Lucida Sans Unicode" w:hAnsi="Times New Roman"/>
                <w:color w:val="000000"/>
                <w:sz w:val="16"/>
                <w:szCs w:val="16"/>
              </w:rPr>
              <w:t xml:space="preserve"> </w:t>
            </w:r>
            <w:proofErr w:type="spellStart"/>
            <w:r w:rsidR="00E51F85" w:rsidRPr="00E16672">
              <w:rPr>
                <w:rFonts w:ascii="Times New Roman" w:eastAsia="Lucida Sans Unicode" w:hAnsi="Times New Roman"/>
                <w:color w:val="000000"/>
                <w:sz w:val="16"/>
                <w:szCs w:val="16"/>
              </w:rPr>
              <w:t>повноваження</w:t>
            </w:r>
            <w:proofErr w:type="spellEnd"/>
            <w:r w:rsidR="00E51F85" w:rsidRPr="00E16672">
              <w:rPr>
                <w:rFonts w:ascii="Times New Roman" w:eastAsia="Lucida Sans Unicode" w:hAnsi="Times New Roman"/>
                <w:color w:val="000000"/>
                <w:sz w:val="16"/>
                <w:szCs w:val="16"/>
              </w:rPr>
              <w:t xml:space="preserve"> </w:t>
            </w:r>
            <w:proofErr w:type="spellStart"/>
            <w:r w:rsidR="00E51F85" w:rsidRPr="00E16672">
              <w:rPr>
                <w:rFonts w:ascii="Times New Roman" w:eastAsia="Lucida Sans Unicode" w:hAnsi="Times New Roman"/>
                <w:color w:val="000000"/>
                <w:sz w:val="16"/>
                <w:szCs w:val="16"/>
              </w:rPr>
              <w:t>діяти</w:t>
            </w:r>
            <w:proofErr w:type="spellEnd"/>
            <w:r w:rsidR="00E51F85" w:rsidRPr="00E16672">
              <w:rPr>
                <w:rFonts w:ascii="Times New Roman" w:eastAsia="Lucida Sans Unicode" w:hAnsi="Times New Roman"/>
                <w:color w:val="000000"/>
                <w:sz w:val="16"/>
                <w:szCs w:val="16"/>
              </w:rPr>
              <w:t xml:space="preserve"> </w:t>
            </w:r>
            <w:proofErr w:type="spellStart"/>
            <w:r w:rsidR="00E51F85" w:rsidRPr="00E16672">
              <w:rPr>
                <w:rFonts w:ascii="Times New Roman" w:eastAsia="Lucida Sans Unicode" w:hAnsi="Times New Roman"/>
                <w:color w:val="000000"/>
                <w:sz w:val="16"/>
                <w:szCs w:val="16"/>
              </w:rPr>
              <w:t>від</w:t>
            </w:r>
            <w:proofErr w:type="spellEnd"/>
            <w:r w:rsidR="00E51F85" w:rsidRPr="00E16672">
              <w:rPr>
                <w:rFonts w:ascii="Times New Roman" w:eastAsia="Lucida Sans Unicode" w:hAnsi="Times New Roman"/>
                <w:color w:val="000000"/>
                <w:sz w:val="16"/>
                <w:szCs w:val="16"/>
              </w:rPr>
              <w:t xml:space="preserve"> </w:t>
            </w:r>
            <w:proofErr w:type="spellStart"/>
            <w:r w:rsidR="00E51F85" w:rsidRPr="00E16672">
              <w:rPr>
                <w:rFonts w:ascii="Times New Roman" w:eastAsia="Lucida Sans Unicode" w:hAnsi="Times New Roman"/>
                <w:color w:val="000000"/>
                <w:sz w:val="16"/>
                <w:szCs w:val="16"/>
              </w:rPr>
              <w:t>їх</w:t>
            </w:r>
            <w:proofErr w:type="spellEnd"/>
            <w:r w:rsidR="00E51F85" w:rsidRPr="00E16672">
              <w:rPr>
                <w:rFonts w:ascii="Times New Roman" w:eastAsia="Lucida Sans Unicode" w:hAnsi="Times New Roman"/>
                <w:color w:val="000000"/>
                <w:sz w:val="16"/>
                <w:szCs w:val="16"/>
              </w:rPr>
              <w:t xml:space="preserve"> </w:t>
            </w:r>
            <w:proofErr w:type="spellStart"/>
            <w:r w:rsidR="00E51F85" w:rsidRPr="00E16672">
              <w:rPr>
                <w:rFonts w:ascii="Times New Roman" w:eastAsia="Lucida Sans Unicode" w:hAnsi="Times New Roman"/>
                <w:color w:val="000000"/>
                <w:sz w:val="16"/>
                <w:szCs w:val="16"/>
              </w:rPr>
              <w:t>імені</w:t>
            </w:r>
            <w:proofErr w:type="spellEnd"/>
            <w:r w:rsidR="00E51F85" w:rsidRPr="00E16672">
              <w:rPr>
                <w:rFonts w:ascii="Times New Roman" w:eastAsia="Lucida Sans Unicode" w:hAnsi="Times New Roman"/>
                <w:color w:val="000000"/>
                <w:sz w:val="16"/>
                <w:szCs w:val="16"/>
              </w:rPr>
              <w:t xml:space="preserve">, </w:t>
            </w:r>
            <w:proofErr w:type="gramStart"/>
            <w:r w:rsidR="00E51F85" w:rsidRPr="00E16672">
              <w:rPr>
                <w:rFonts w:ascii="Times New Roman" w:eastAsia="Lucida Sans Unicode" w:hAnsi="Times New Roman"/>
                <w:color w:val="000000"/>
                <w:sz w:val="16"/>
                <w:szCs w:val="16"/>
              </w:rPr>
              <w:t>у порядку</w:t>
            </w:r>
            <w:proofErr w:type="gramEnd"/>
            <w:r w:rsidR="00E51F85" w:rsidRPr="00E16672">
              <w:rPr>
                <w:rFonts w:ascii="Times New Roman" w:eastAsia="Lucida Sans Unicode" w:hAnsi="Times New Roman"/>
                <w:color w:val="000000"/>
                <w:sz w:val="16"/>
                <w:szCs w:val="16"/>
              </w:rPr>
              <w:t xml:space="preserve">, </w:t>
            </w:r>
            <w:proofErr w:type="spellStart"/>
            <w:r w:rsidR="00E51F85" w:rsidRPr="00E16672">
              <w:rPr>
                <w:rFonts w:ascii="Times New Roman" w:eastAsia="Lucida Sans Unicode" w:hAnsi="Times New Roman"/>
                <w:color w:val="000000"/>
                <w:sz w:val="16"/>
                <w:szCs w:val="16"/>
              </w:rPr>
              <w:t>установленому</w:t>
            </w:r>
            <w:proofErr w:type="spellEnd"/>
            <w:r w:rsidR="00E51F85" w:rsidRPr="00E16672">
              <w:rPr>
                <w:rFonts w:ascii="Times New Roman" w:eastAsia="Lucida Sans Unicode" w:hAnsi="Times New Roman"/>
                <w:color w:val="000000"/>
                <w:sz w:val="16"/>
                <w:szCs w:val="16"/>
              </w:rPr>
              <w:t xml:space="preserve"> </w:t>
            </w:r>
            <w:proofErr w:type="spellStart"/>
            <w:r w:rsidR="00E51F85" w:rsidRPr="00E16672">
              <w:rPr>
                <w:rFonts w:ascii="Times New Roman" w:eastAsia="Lucida Sans Unicode" w:hAnsi="Times New Roman"/>
                <w:color w:val="000000"/>
                <w:sz w:val="16"/>
                <w:szCs w:val="16"/>
              </w:rPr>
              <w:t>законодавством</w:t>
            </w:r>
            <w:proofErr w:type="spellEnd"/>
            <w:r w:rsidR="00E51F85" w:rsidRPr="00E16672">
              <w:rPr>
                <w:rFonts w:ascii="Times New Roman" w:eastAsia="Lucida Sans Unicode" w:hAnsi="Times New Roman"/>
                <w:color w:val="000000"/>
                <w:sz w:val="16"/>
                <w:szCs w:val="16"/>
              </w:rPr>
              <w:t xml:space="preserve"> </w:t>
            </w:r>
            <w:proofErr w:type="spellStart"/>
            <w:r w:rsidR="00E51F85" w:rsidRPr="00E16672">
              <w:rPr>
                <w:rFonts w:ascii="Times New Roman" w:eastAsia="Lucida Sans Unicode" w:hAnsi="Times New Roman"/>
                <w:color w:val="000000"/>
                <w:sz w:val="16"/>
                <w:szCs w:val="16"/>
              </w:rPr>
              <w:t>України</w:t>
            </w:r>
            <w:proofErr w:type="spellEnd"/>
            <w:r w:rsidR="00E51F85" w:rsidRPr="00E16672">
              <w:rPr>
                <w:rFonts w:ascii="Times New Roman" w:eastAsia="Lucida Sans Unicode" w:hAnsi="Times New Roman"/>
                <w:color w:val="000000"/>
                <w:sz w:val="16"/>
                <w:szCs w:val="16"/>
              </w:rPr>
              <w:t xml:space="preserve">. </w:t>
            </w:r>
          </w:p>
          <w:p w14:paraId="44366DE5" w14:textId="77777777" w:rsidR="00E51F85" w:rsidRPr="00E16672" w:rsidRDefault="00E51F85" w:rsidP="00547A75">
            <w:pPr>
              <w:tabs>
                <w:tab w:val="left" w:pos="360"/>
              </w:tabs>
              <w:ind w:left="142" w:right="138" w:firstLine="40"/>
              <w:rPr>
                <w:rStyle w:val="rvts0"/>
                <w:rFonts w:ascii="Times New Roman" w:hAnsi="Times New Roman"/>
                <w:color w:val="000000"/>
                <w:sz w:val="16"/>
                <w:szCs w:val="16"/>
                <w:lang w:val="uk-UA"/>
              </w:rPr>
            </w:pPr>
            <w:r w:rsidRPr="00E16672">
              <w:rPr>
                <w:rStyle w:val="rvts0"/>
                <w:rFonts w:ascii="Times New Roman" w:hAnsi="Times New Roman"/>
                <w:color w:val="000000"/>
                <w:sz w:val="16"/>
                <w:szCs w:val="16"/>
                <w:lang w:val="uk-UA"/>
              </w:rPr>
              <w:t xml:space="preserve">Ідентифікація клієнта не є обов’язковою у разі проведення фінансової операції (відкриття рахунку) особами, які раніше були ідентифіковані або </w:t>
            </w:r>
            <w:proofErr w:type="spellStart"/>
            <w:r w:rsidRPr="00E16672">
              <w:rPr>
                <w:rStyle w:val="rvts0"/>
                <w:rFonts w:ascii="Times New Roman" w:hAnsi="Times New Roman"/>
                <w:color w:val="000000"/>
                <w:sz w:val="16"/>
                <w:szCs w:val="16"/>
                <w:lang w:val="uk-UA"/>
              </w:rPr>
              <w:t>верифіковані</w:t>
            </w:r>
            <w:proofErr w:type="spellEnd"/>
            <w:r w:rsidRPr="00E16672">
              <w:rPr>
                <w:rStyle w:val="rvts0"/>
                <w:rFonts w:ascii="Times New Roman" w:hAnsi="Times New Roman"/>
                <w:color w:val="000000"/>
                <w:sz w:val="16"/>
                <w:szCs w:val="16"/>
                <w:lang w:val="uk-UA"/>
              </w:rPr>
              <w:t xml:space="preserve"> Депозитарною установою згідно з вимогами закону.</w:t>
            </w:r>
          </w:p>
          <w:p w14:paraId="7722BF3B" w14:textId="77777777" w:rsidR="00E51F85" w:rsidRPr="00E16672" w:rsidRDefault="00E51F85" w:rsidP="00547A75">
            <w:pPr>
              <w:snapToGrid w:val="0"/>
              <w:ind w:left="142" w:right="138" w:firstLine="40"/>
              <w:rPr>
                <w:rFonts w:ascii="Times New Roman" w:hAnsi="Times New Roman"/>
                <w:color w:val="000000"/>
                <w:sz w:val="16"/>
                <w:szCs w:val="16"/>
                <w:shd w:val="clear" w:color="auto" w:fill="FFFFFF"/>
                <w:lang w:val="uk-UA"/>
              </w:rPr>
            </w:pPr>
          </w:p>
        </w:tc>
        <w:tc>
          <w:tcPr>
            <w:tcW w:w="5494" w:type="dxa"/>
            <w:gridSpan w:val="7"/>
            <w:shd w:val="clear" w:color="auto" w:fill="auto"/>
          </w:tcPr>
          <w:p w14:paraId="0B0F40DC" w14:textId="77777777" w:rsidR="00E51F85" w:rsidRPr="00E16672" w:rsidRDefault="00E51F85" w:rsidP="00547A75">
            <w:pPr>
              <w:tabs>
                <w:tab w:val="left" w:pos="851"/>
                <w:tab w:val="left" w:pos="7200"/>
              </w:tabs>
              <w:snapToGrid w:val="0"/>
              <w:ind w:left="145" w:right="100" w:firstLine="3"/>
              <w:rPr>
                <w:rFonts w:ascii="Times New Roman" w:hAnsi="Times New Roman"/>
                <w:strike/>
                <w:color w:val="000000"/>
                <w:sz w:val="16"/>
                <w:szCs w:val="16"/>
                <w:lang w:val="en-US"/>
              </w:rPr>
            </w:pPr>
            <w:r w:rsidRPr="00E16672">
              <w:rPr>
                <w:rFonts w:ascii="Times New Roman" w:eastAsia="Lucida Sans Unicode" w:hAnsi="Times New Roman"/>
                <w:color w:val="000000"/>
                <w:sz w:val="16"/>
                <w:szCs w:val="16"/>
                <w:lang w:val="en-GB"/>
              </w:rPr>
              <w:t>2.1.</w:t>
            </w:r>
            <w:r w:rsidR="00F333F6" w:rsidRPr="00E16672">
              <w:rPr>
                <w:rFonts w:ascii="Times New Roman" w:eastAsia="Lucida Sans Unicode" w:hAnsi="Times New Roman"/>
                <w:color w:val="000000"/>
                <w:sz w:val="16"/>
                <w:szCs w:val="16"/>
                <w:lang w:val="en-US"/>
              </w:rPr>
              <w:t>1</w:t>
            </w:r>
            <w:r w:rsidR="00F333F6" w:rsidRPr="00E16672">
              <w:rPr>
                <w:rFonts w:ascii="Times New Roman" w:eastAsia="Lucida Sans Unicode" w:hAnsi="Times New Roman"/>
                <w:color w:val="000000"/>
                <w:sz w:val="16"/>
                <w:szCs w:val="16"/>
                <w:lang w:val="uk-UA"/>
              </w:rPr>
              <w:t>8</w:t>
            </w:r>
            <w:r w:rsidRPr="00E16672">
              <w:rPr>
                <w:rFonts w:ascii="Times New Roman" w:eastAsia="Lucida Sans Unicode" w:hAnsi="Times New Roman"/>
                <w:color w:val="000000"/>
                <w:sz w:val="16"/>
                <w:szCs w:val="16"/>
                <w:lang w:val="en-GB"/>
              </w:rPr>
              <w:t xml:space="preserve">. To identify </w:t>
            </w:r>
            <w:r w:rsidRPr="00E16672">
              <w:rPr>
                <w:rStyle w:val="rvts0"/>
                <w:rFonts w:ascii="Times New Roman" w:hAnsi="Times New Roman"/>
                <w:color w:val="000000"/>
                <w:sz w:val="16"/>
                <w:szCs w:val="16"/>
                <w:lang w:val="en-US"/>
              </w:rPr>
              <w:t>and verify</w:t>
            </w:r>
            <w:r w:rsidRPr="00E16672">
              <w:rPr>
                <w:rFonts w:ascii="Times New Roman" w:eastAsia="Lucida Sans Unicode" w:hAnsi="Times New Roman"/>
                <w:color w:val="000000"/>
                <w:sz w:val="16"/>
                <w:szCs w:val="16"/>
                <w:lang w:val="en-GB"/>
              </w:rPr>
              <w:t xml:space="preserve"> the persons who under Agreement is opened an </w:t>
            </w:r>
            <w:proofErr w:type="gramStart"/>
            <w:r w:rsidRPr="00E16672">
              <w:rPr>
                <w:rFonts w:ascii="Times New Roman" w:eastAsia="Lucida Sans Unicode" w:hAnsi="Times New Roman"/>
                <w:color w:val="000000"/>
                <w:sz w:val="16"/>
                <w:szCs w:val="16"/>
                <w:lang w:val="en-GB"/>
              </w:rPr>
              <w:t>account securities</w:t>
            </w:r>
            <w:proofErr w:type="gramEnd"/>
            <w:r w:rsidRPr="00E16672">
              <w:rPr>
                <w:rFonts w:ascii="Times New Roman" w:eastAsia="Lucida Sans Unicode" w:hAnsi="Times New Roman"/>
                <w:color w:val="000000"/>
                <w:sz w:val="16"/>
                <w:szCs w:val="16"/>
                <w:lang w:val="en-GB"/>
              </w:rPr>
              <w:t>, and also persons who are authorized to act on their behalf in the manner established by the legislation of Ukraine.</w:t>
            </w:r>
            <w:r w:rsidRPr="00E16672">
              <w:rPr>
                <w:rFonts w:ascii="Times New Roman" w:eastAsia="Lucida Sans Unicode" w:hAnsi="Times New Roman"/>
                <w:color w:val="000000"/>
                <w:sz w:val="16"/>
                <w:szCs w:val="16"/>
                <w:lang w:val="en-US"/>
              </w:rPr>
              <w:t xml:space="preserve"> </w:t>
            </w:r>
          </w:p>
          <w:p w14:paraId="6337E64D" w14:textId="77777777" w:rsidR="00E51F85" w:rsidRPr="00E16672" w:rsidRDefault="00E51F85" w:rsidP="00547A75">
            <w:pPr>
              <w:pStyle w:val="210"/>
              <w:ind w:left="145" w:right="100" w:firstLine="3"/>
              <w:rPr>
                <w:rFonts w:ascii="Times New Roman" w:hAnsi="Times New Roman"/>
                <w:color w:val="000000"/>
                <w:sz w:val="16"/>
                <w:szCs w:val="16"/>
              </w:rPr>
            </w:pPr>
            <w:proofErr w:type="spellStart"/>
            <w:r w:rsidRPr="00E16672">
              <w:rPr>
                <w:rStyle w:val="rvts0"/>
                <w:rFonts w:ascii="Times New Roman" w:hAnsi="Times New Roman"/>
                <w:color w:val="000000"/>
                <w:sz w:val="16"/>
                <w:szCs w:val="16"/>
              </w:rPr>
              <w:t>Identification</w:t>
            </w:r>
            <w:proofErr w:type="spellEnd"/>
            <w:r w:rsidRPr="00E16672">
              <w:rPr>
                <w:rStyle w:val="rvts0"/>
                <w:rFonts w:ascii="Times New Roman" w:hAnsi="Times New Roman"/>
                <w:color w:val="000000"/>
                <w:sz w:val="16"/>
                <w:szCs w:val="16"/>
              </w:rPr>
              <w:t xml:space="preserve"> </w:t>
            </w:r>
            <w:proofErr w:type="spellStart"/>
            <w:r w:rsidRPr="00E16672">
              <w:rPr>
                <w:rStyle w:val="rvts0"/>
                <w:rFonts w:ascii="Times New Roman" w:hAnsi="Times New Roman"/>
                <w:color w:val="000000"/>
                <w:sz w:val="16"/>
                <w:szCs w:val="16"/>
              </w:rPr>
              <w:t>of</w:t>
            </w:r>
            <w:proofErr w:type="spellEnd"/>
            <w:r w:rsidRPr="00E16672">
              <w:rPr>
                <w:rStyle w:val="rvts0"/>
                <w:rFonts w:ascii="Times New Roman" w:hAnsi="Times New Roman"/>
                <w:color w:val="000000"/>
                <w:sz w:val="16"/>
                <w:szCs w:val="16"/>
              </w:rPr>
              <w:t xml:space="preserve"> </w:t>
            </w:r>
            <w:proofErr w:type="spellStart"/>
            <w:r w:rsidRPr="00E16672">
              <w:rPr>
                <w:rStyle w:val="rvts0"/>
                <w:rFonts w:ascii="Times New Roman" w:hAnsi="Times New Roman"/>
                <w:color w:val="000000"/>
                <w:sz w:val="16"/>
                <w:szCs w:val="16"/>
              </w:rPr>
              <w:t>the</w:t>
            </w:r>
            <w:proofErr w:type="spellEnd"/>
            <w:r w:rsidRPr="00E16672">
              <w:rPr>
                <w:rStyle w:val="rvts0"/>
                <w:rFonts w:ascii="Times New Roman" w:hAnsi="Times New Roman"/>
                <w:color w:val="000000"/>
                <w:sz w:val="16"/>
                <w:szCs w:val="16"/>
              </w:rPr>
              <w:t xml:space="preserve"> </w:t>
            </w:r>
            <w:proofErr w:type="spellStart"/>
            <w:r w:rsidRPr="00E16672">
              <w:rPr>
                <w:rStyle w:val="rvts0"/>
                <w:rFonts w:ascii="Times New Roman" w:hAnsi="Times New Roman"/>
                <w:color w:val="000000"/>
                <w:sz w:val="16"/>
                <w:szCs w:val="16"/>
              </w:rPr>
              <w:t>client</w:t>
            </w:r>
            <w:proofErr w:type="spellEnd"/>
            <w:r w:rsidRPr="00E16672">
              <w:rPr>
                <w:rStyle w:val="rvts0"/>
                <w:rFonts w:ascii="Times New Roman" w:hAnsi="Times New Roman"/>
                <w:color w:val="000000"/>
                <w:sz w:val="16"/>
                <w:szCs w:val="16"/>
              </w:rPr>
              <w:t xml:space="preserve"> </w:t>
            </w:r>
            <w:proofErr w:type="spellStart"/>
            <w:r w:rsidRPr="00E16672">
              <w:rPr>
                <w:rStyle w:val="rvts0"/>
                <w:rFonts w:ascii="Times New Roman" w:hAnsi="Times New Roman"/>
                <w:color w:val="000000"/>
                <w:sz w:val="16"/>
                <w:szCs w:val="16"/>
              </w:rPr>
              <w:t>is</w:t>
            </w:r>
            <w:proofErr w:type="spellEnd"/>
            <w:r w:rsidRPr="00E16672">
              <w:rPr>
                <w:rStyle w:val="rvts0"/>
                <w:rFonts w:ascii="Times New Roman" w:hAnsi="Times New Roman"/>
                <w:color w:val="000000"/>
                <w:sz w:val="16"/>
                <w:szCs w:val="16"/>
              </w:rPr>
              <w:t xml:space="preserve"> </w:t>
            </w:r>
            <w:proofErr w:type="spellStart"/>
            <w:r w:rsidRPr="00E16672">
              <w:rPr>
                <w:rStyle w:val="rvts0"/>
                <w:rFonts w:ascii="Times New Roman" w:hAnsi="Times New Roman"/>
                <w:color w:val="000000"/>
                <w:sz w:val="16"/>
                <w:szCs w:val="16"/>
              </w:rPr>
              <w:t>not</w:t>
            </w:r>
            <w:proofErr w:type="spellEnd"/>
            <w:r w:rsidRPr="00E16672">
              <w:rPr>
                <w:rStyle w:val="rvts0"/>
                <w:rFonts w:ascii="Times New Roman" w:hAnsi="Times New Roman"/>
                <w:color w:val="000000"/>
                <w:sz w:val="16"/>
                <w:szCs w:val="16"/>
              </w:rPr>
              <w:t xml:space="preserve"> </w:t>
            </w:r>
            <w:proofErr w:type="spellStart"/>
            <w:r w:rsidRPr="00E16672">
              <w:rPr>
                <w:rStyle w:val="rvts0"/>
                <w:rFonts w:ascii="Times New Roman" w:hAnsi="Times New Roman"/>
                <w:color w:val="000000"/>
                <w:sz w:val="16"/>
                <w:szCs w:val="16"/>
              </w:rPr>
              <w:t>obligatory</w:t>
            </w:r>
            <w:proofErr w:type="spellEnd"/>
            <w:r w:rsidRPr="00E16672">
              <w:rPr>
                <w:rStyle w:val="rvts0"/>
                <w:rFonts w:ascii="Times New Roman" w:hAnsi="Times New Roman"/>
                <w:color w:val="000000"/>
                <w:sz w:val="16"/>
                <w:szCs w:val="16"/>
              </w:rPr>
              <w:t xml:space="preserve"> </w:t>
            </w:r>
            <w:proofErr w:type="spellStart"/>
            <w:r w:rsidRPr="00E16672">
              <w:rPr>
                <w:rStyle w:val="rvts0"/>
                <w:rFonts w:ascii="Times New Roman" w:hAnsi="Times New Roman"/>
                <w:color w:val="000000"/>
                <w:sz w:val="16"/>
                <w:szCs w:val="16"/>
              </w:rPr>
              <w:t>in</w:t>
            </w:r>
            <w:proofErr w:type="spellEnd"/>
            <w:r w:rsidRPr="00E16672">
              <w:rPr>
                <w:rStyle w:val="rvts0"/>
                <w:rFonts w:ascii="Times New Roman" w:hAnsi="Times New Roman"/>
                <w:color w:val="000000"/>
                <w:sz w:val="16"/>
                <w:szCs w:val="16"/>
              </w:rPr>
              <w:t xml:space="preserve"> </w:t>
            </w:r>
            <w:proofErr w:type="spellStart"/>
            <w:r w:rsidRPr="00E16672">
              <w:rPr>
                <w:rStyle w:val="rvts0"/>
                <w:rFonts w:ascii="Times New Roman" w:hAnsi="Times New Roman"/>
                <w:color w:val="000000"/>
                <w:sz w:val="16"/>
                <w:szCs w:val="16"/>
              </w:rPr>
              <w:t>the</w:t>
            </w:r>
            <w:proofErr w:type="spellEnd"/>
            <w:r w:rsidRPr="00E16672">
              <w:rPr>
                <w:rStyle w:val="rvts0"/>
                <w:rFonts w:ascii="Times New Roman" w:hAnsi="Times New Roman"/>
                <w:color w:val="000000"/>
                <w:sz w:val="16"/>
                <w:szCs w:val="16"/>
              </w:rPr>
              <w:t xml:space="preserve"> </w:t>
            </w:r>
            <w:proofErr w:type="spellStart"/>
            <w:r w:rsidRPr="00E16672">
              <w:rPr>
                <w:rStyle w:val="rvts0"/>
                <w:rFonts w:ascii="Times New Roman" w:hAnsi="Times New Roman"/>
                <w:color w:val="000000"/>
                <w:sz w:val="16"/>
                <w:szCs w:val="16"/>
              </w:rPr>
              <w:t>case</w:t>
            </w:r>
            <w:proofErr w:type="spellEnd"/>
            <w:r w:rsidRPr="00E16672">
              <w:rPr>
                <w:rStyle w:val="rvts0"/>
                <w:rFonts w:ascii="Times New Roman" w:hAnsi="Times New Roman"/>
                <w:color w:val="000000"/>
                <w:sz w:val="16"/>
                <w:szCs w:val="16"/>
              </w:rPr>
              <w:t xml:space="preserve"> </w:t>
            </w:r>
            <w:proofErr w:type="spellStart"/>
            <w:r w:rsidRPr="00E16672">
              <w:rPr>
                <w:rStyle w:val="rvts0"/>
                <w:rFonts w:ascii="Times New Roman" w:hAnsi="Times New Roman"/>
                <w:color w:val="000000"/>
                <w:sz w:val="16"/>
                <w:szCs w:val="16"/>
              </w:rPr>
              <w:t>of</w:t>
            </w:r>
            <w:proofErr w:type="spellEnd"/>
            <w:r w:rsidRPr="00E16672">
              <w:rPr>
                <w:rStyle w:val="rvts0"/>
                <w:rFonts w:ascii="Times New Roman" w:hAnsi="Times New Roman"/>
                <w:color w:val="000000"/>
                <w:sz w:val="16"/>
                <w:szCs w:val="16"/>
              </w:rPr>
              <w:t xml:space="preserve"> </w:t>
            </w:r>
            <w:proofErr w:type="spellStart"/>
            <w:r w:rsidRPr="00E16672">
              <w:rPr>
                <w:rStyle w:val="rvts0"/>
                <w:rFonts w:ascii="Times New Roman" w:hAnsi="Times New Roman"/>
                <w:color w:val="000000"/>
                <w:sz w:val="16"/>
                <w:szCs w:val="16"/>
              </w:rPr>
              <w:t>conduct</w:t>
            </w:r>
            <w:proofErr w:type="spellEnd"/>
            <w:r w:rsidRPr="00E16672">
              <w:rPr>
                <w:rStyle w:val="rvts0"/>
                <w:rFonts w:ascii="Times New Roman" w:hAnsi="Times New Roman"/>
                <w:color w:val="000000"/>
                <w:sz w:val="16"/>
                <w:szCs w:val="16"/>
              </w:rPr>
              <w:t xml:space="preserve"> </w:t>
            </w:r>
            <w:proofErr w:type="spellStart"/>
            <w:r w:rsidRPr="00E16672">
              <w:rPr>
                <w:rStyle w:val="rvts0"/>
                <w:rFonts w:ascii="Times New Roman" w:hAnsi="Times New Roman"/>
                <w:color w:val="000000"/>
                <w:sz w:val="16"/>
                <w:szCs w:val="16"/>
              </w:rPr>
              <w:t>of</w:t>
            </w:r>
            <w:proofErr w:type="spellEnd"/>
            <w:r w:rsidRPr="00E16672">
              <w:rPr>
                <w:rStyle w:val="rvts0"/>
                <w:rFonts w:ascii="Times New Roman" w:hAnsi="Times New Roman"/>
                <w:color w:val="000000"/>
                <w:sz w:val="16"/>
                <w:szCs w:val="16"/>
              </w:rPr>
              <w:t xml:space="preserve"> </w:t>
            </w:r>
            <w:proofErr w:type="spellStart"/>
            <w:r w:rsidRPr="00E16672">
              <w:rPr>
                <w:rStyle w:val="rvts0"/>
                <w:rFonts w:ascii="Times New Roman" w:hAnsi="Times New Roman"/>
                <w:color w:val="000000"/>
                <w:sz w:val="16"/>
                <w:szCs w:val="16"/>
              </w:rPr>
              <w:t>financial</w:t>
            </w:r>
            <w:proofErr w:type="spellEnd"/>
            <w:r w:rsidRPr="00E16672">
              <w:rPr>
                <w:rStyle w:val="rvts0"/>
                <w:rFonts w:ascii="Times New Roman" w:hAnsi="Times New Roman"/>
                <w:color w:val="000000"/>
                <w:sz w:val="16"/>
                <w:szCs w:val="16"/>
              </w:rPr>
              <w:t xml:space="preserve"> </w:t>
            </w:r>
            <w:proofErr w:type="spellStart"/>
            <w:r w:rsidRPr="00E16672">
              <w:rPr>
                <w:rStyle w:val="rvts0"/>
                <w:rFonts w:ascii="Times New Roman" w:hAnsi="Times New Roman"/>
                <w:color w:val="000000"/>
                <w:sz w:val="16"/>
                <w:szCs w:val="16"/>
              </w:rPr>
              <w:t>operation</w:t>
            </w:r>
            <w:proofErr w:type="spellEnd"/>
            <w:r w:rsidRPr="00E16672">
              <w:rPr>
                <w:rStyle w:val="rvts0"/>
                <w:rFonts w:ascii="Times New Roman" w:hAnsi="Times New Roman"/>
                <w:color w:val="000000"/>
                <w:sz w:val="16"/>
                <w:szCs w:val="16"/>
              </w:rPr>
              <w:t xml:space="preserve"> </w:t>
            </w:r>
            <w:proofErr w:type="spellStart"/>
            <w:r w:rsidRPr="00E16672">
              <w:rPr>
                <w:rStyle w:val="rvts0"/>
                <w:rFonts w:ascii="Times New Roman" w:hAnsi="Times New Roman"/>
                <w:color w:val="000000"/>
                <w:sz w:val="16"/>
                <w:szCs w:val="16"/>
              </w:rPr>
              <w:t>by</w:t>
            </w:r>
            <w:proofErr w:type="spellEnd"/>
            <w:r w:rsidRPr="00E16672">
              <w:rPr>
                <w:rStyle w:val="rvts0"/>
                <w:rFonts w:ascii="Times New Roman" w:hAnsi="Times New Roman"/>
                <w:color w:val="000000"/>
                <w:sz w:val="16"/>
                <w:szCs w:val="16"/>
              </w:rPr>
              <w:t xml:space="preserve"> </w:t>
            </w:r>
            <w:proofErr w:type="spellStart"/>
            <w:r w:rsidRPr="00E16672">
              <w:rPr>
                <w:rStyle w:val="rvts0"/>
                <w:rFonts w:ascii="Times New Roman" w:hAnsi="Times New Roman"/>
                <w:color w:val="000000"/>
                <w:sz w:val="16"/>
                <w:szCs w:val="16"/>
              </w:rPr>
              <w:t>persons</w:t>
            </w:r>
            <w:proofErr w:type="spellEnd"/>
            <w:r w:rsidRPr="00E16672">
              <w:rPr>
                <w:rStyle w:val="rvts0"/>
                <w:rFonts w:ascii="Times New Roman" w:hAnsi="Times New Roman"/>
                <w:color w:val="000000"/>
                <w:sz w:val="16"/>
                <w:szCs w:val="16"/>
              </w:rPr>
              <w:t xml:space="preserve"> </w:t>
            </w:r>
            <w:proofErr w:type="spellStart"/>
            <w:r w:rsidRPr="00E16672">
              <w:rPr>
                <w:rStyle w:val="rvts0"/>
                <w:rFonts w:ascii="Times New Roman" w:hAnsi="Times New Roman"/>
                <w:color w:val="000000"/>
                <w:sz w:val="16"/>
                <w:szCs w:val="16"/>
              </w:rPr>
              <w:t>previously</w:t>
            </w:r>
            <w:proofErr w:type="spellEnd"/>
            <w:r w:rsidRPr="00E16672">
              <w:rPr>
                <w:rStyle w:val="rvts0"/>
                <w:rFonts w:ascii="Times New Roman" w:hAnsi="Times New Roman"/>
                <w:color w:val="000000"/>
                <w:sz w:val="16"/>
                <w:szCs w:val="16"/>
              </w:rPr>
              <w:t xml:space="preserve"> </w:t>
            </w:r>
            <w:proofErr w:type="spellStart"/>
            <w:r w:rsidRPr="00E16672">
              <w:rPr>
                <w:rStyle w:val="rvts0"/>
                <w:rFonts w:ascii="Times New Roman" w:hAnsi="Times New Roman"/>
                <w:color w:val="000000"/>
                <w:sz w:val="16"/>
                <w:szCs w:val="16"/>
              </w:rPr>
              <w:t>identified</w:t>
            </w:r>
            <w:proofErr w:type="spellEnd"/>
            <w:r w:rsidRPr="00E16672">
              <w:rPr>
                <w:rStyle w:val="rvts0"/>
                <w:rFonts w:ascii="Times New Roman" w:hAnsi="Times New Roman"/>
                <w:color w:val="000000"/>
                <w:sz w:val="16"/>
                <w:szCs w:val="16"/>
              </w:rPr>
              <w:t xml:space="preserve"> </w:t>
            </w:r>
            <w:proofErr w:type="spellStart"/>
            <w:r w:rsidRPr="00E16672">
              <w:rPr>
                <w:rStyle w:val="rvts0"/>
                <w:rFonts w:ascii="Times New Roman" w:hAnsi="Times New Roman"/>
                <w:color w:val="000000"/>
                <w:sz w:val="16"/>
                <w:szCs w:val="16"/>
              </w:rPr>
              <w:t>or</w:t>
            </w:r>
            <w:proofErr w:type="spellEnd"/>
            <w:r w:rsidRPr="00E16672">
              <w:rPr>
                <w:rStyle w:val="rvts0"/>
                <w:rFonts w:ascii="Times New Roman" w:hAnsi="Times New Roman"/>
                <w:color w:val="000000"/>
                <w:sz w:val="16"/>
                <w:szCs w:val="16"/>
              </w:rPr>
              <w:t xml:space="preserve"> </w:t>
            </w:r>
            <w:proofErr w:type="spellStart"/>
            <w:r w:rsidRPr="00E16672">
              <w:rPr>
                <w:rStyle w:val="rvts0"/>
                <w:rFonts w:ascii="Times New Roman" w:hAnsi="Times New Roman"/>
                <w:color w:val="000000"/>
                <w:sz w:val="16"/>
                <w:szCs w:val="16"/>
              </w:rPr>
              <w:t>verified</w:t>
            </w:r>
            <w:proofErr w:type="spellEnd"/>
            <w:r w:rsidRPr="00E16672">
              <w:rPr>
                <w:rStyle w:val="rvts0"/>
                <w:rFonts w:ascii="Times New Roman" w:hAnsi="Times New Roman"/>
                <w:color w:val="000000"/>
                <w:sz w:val="16"/>
                <w:szCs w:val="16"/>
              </w:rPr>
              <w:t xml:space="preserve"> </w:t>
            </w:r>
            <w:proofErr w:type="spellStart"/>
            <w:r w:rsidRPr="00E16672">
              <w:rPr>
                <w:rStyle w:val="rvts0"/>
                <w:rFonts w:ascii="Times New Roman" w:hAnsi="Times New Roman"/>
                <w:color w:val="000000"/>
                <w:sz w:val="16"/>
                <w:szCs w:val="16"/>
              </w:rPr>
              <w:t>in</w:t>
            </w:r>
            <w:proofErr w:type="spellEnd"/>
            <w:r w:rsidRPr="00E16672">
              <w:rPr>
                <w:rStyle w:val="rvts0"/>
                <w:rFonts w:ascii="Times New Roman" w:hAnsi="Times New Roman"/>
                <w:color w:val="000000"/>
                <w:sz w:val="16"/>
                <w:szCs w:val="16"/>
              </w:rPr>
              <w:t xml:space="preserve"> </w:t>
            </w:r>
            <w:proofErr w:type="spellStart"/>
            <w:r w:rsidRPr="00E16672">
              <w:rPr>
                <w:rStyle w:val="rvts0"/>
                <w:rFonts w:ascii="Times New Roman" w:hAnsi="Times New Roman"/>
                <w:color w:val="000000"/>
                <w:sz w:val="16"/>
                <w:szCs w:val="16"/>
              </w:rPr>
              <w:t>accordance</w:t>
            </w:r>
            <w:proofErr w:type="spellEnd"/>
            <w:r w:rsidRPr="00E16672">
              <w:rPr>
                <w:rStyle w:val="rvts0"/>
                <w:rFonts w:ascii="Times New Roman" w:hAnsi="Times New Roman"/>
                <w:color w:val="000000"/>
                <w:sz w:val="16"/>
                <w:szCs w:val="16"/>
              </w:rPr>
              <w:t xml:space="preserve"> </w:t>
            </w:r>
            <w:proofErr w:type="spellStart"/>
            <w:r w:rsidRPr="00E16672">
              <w:rPr>
                <w:rStyle w:val="rvts0"/>
                <w:rFonts w:ascii="Times New Roman" w:hAnsi="Times New Roman"/>
                <w:color w:val="000000"/>
                <w:sz w:val="16"/>
                <w:szCs w:val="16"/>
              </w:rPr>
              <w:t>with</w:t>
            </w:r>
            <w:proofErr w:type="spellEnd"/>
            <w:r w:rsidRPr="00E16672">
              <w:rPr>
                <w:rStyle w:val="rvts0"/>
                <w:rFonts w:ascii="Times New Roman" w:hAnsi="Times New Roman"/>
                <w:color w:val="000000"/>
                <w:sz w:val="16"/>
                <w:szCs w:val="16"/>
              </w:rPr>
              <w:t xml:space="preserve"> </w:t>
            </w:r>
            <w:proofErr w:type="spellStart"/>
            <w:r w:rsidRPr="00E16672">
              <w:rPr>
                <w:rStyle w:val="rvts0"/>
                <w:rFonts w:ascii="Times New Roman" w:hAnsi="Times New Roman"/>
                <w:color w:val="000000"/>
                <w:sz w:val="16"/>
                <w:szCs w:val="16"/>
              </w:rPr>
              <w:t>the</w:t>
            </w:r>
            <w:proofErr w:type="spellEnd"/>
            <w:r w:rsidRPr="00E16672">
              <w:rPr>
                <w:rStyle w:val="rvts0"/>
                <w:rFonts w:ascii="Times New Roman" w:hAnsi="Times New Roman"/>
                <w:color w:val="000000"/>
                <w:sz w:val="16"/>
                <w:szCs w:val="16"/>
              </w:rPr>
              <w:t xml:space="preserve"> </w:t>
            </w:r>
            <w:proofErr w:type="spellStart"/>
            <w:r w:rsidRPr="00E16672">
              <w:rPr>
                <w:rStyle w:val="rvts0"/>
                <w:rFonts w:ascii="Times New Roman" w:hAnsi="Times New Roman"/>
                <w:color w:val="000000"/>
                <w:sz w:val="16"/>
                <w:szCs w:val="16"/>
              </w:rPr>
              <w:t>law</w:t>
            </w:r>
            <w:proofErr w:type="spellEnd"/>
            <w:r w:rsidRPr="00E16672">
              <w:rPr>
                <w:rStyle w:val="rvts0"/>
                <w:rFonts w:ascii="Times New Roman" w:hAnsi="Times New Roman"/>
                <w:color w:val="000000"/>
                <w:sz w:val="16"/>
                <w:szCs w:val="16"/>
              </w:rPr>
              <w:t>.</w:t>
            </w:r>
          </w:p>
        </w:tc>
      </w:tr>
      <w:tr w:rsidR="00E51F85" w:rsidRPr="00F23413" w14:paraId="61706EAF" w14:textId="77777777" w:rsidTr="009311BB">
        <w:tblPrEx>
          <w:tblCellMar>
            <w:left w:w="0" w:type="dxa"/>
            <w:right w:w="0" w:type="dxa"/>
          </w:tblCellMar>
        </w:tblPrEx>
        <w:trPr>
          <w:trHeight w:val="192"/>
        </w:trPr>
        <w:tc>
          <w:tcPr>
            <w:tcW w:w="5696" w:type="dxa"/>
            <w:gridSpan w:val="6"/>
            <w:shd w:val="clear" w:color="auto" w:fill="auto"/>
          </w:tcPr>
          <w:p w14:paraId="59EC8D65" w14:textId="77777777" w:rsidR="00E51F85" w:rsidRPr="00E16672" w:rsidRDefault="00E51F85" w:rsidP="00547A75">
            <w:pPr>
              <w:pStyle w:val="WW-1"/>
              <w:tabs>
                <w:tab w:val="left" w:pos="851"/>
                <w:tab w:val="left" w:pos="7200"/>
              </w:tabs>
              <w:snapToGrid w:val="0"/>
              <w:ind w:left="142" w:right="141" w:firstLine="40"/>
              <w:jc w:val="both"/>
              <w:rPr>
                <w:i w:val="0"/>
                <w:color w:val="000000"/>
                <w:sz w:val="16"/>
                <w:szCs w:val="16"/>
                <w:lang w:val="uk-UA"/>
              </w:rPr>
            </w:pPr>
            <w:r w:rsidRPr="00E16672">
              <w:rPr>
                <w:i w:val="0"/>
                <w:color w:val="000000"/>
                <w:sz w:val="16"/>
                <w:szCs w:val="16"/>
                <w:lang w:val="uk-UA"/>
              </w:rPr>
              <w:t>2.1.</w:t>
            </w:r>
            <w:r w:rsidR="00F333F6" w:rsidRPr="00E16672">
              <w:rPr>
                <w:i w:val="0"/>
                <w:color w:val="000000"/>
                <w:sz w:val="16"/>
                <w:szCs w:val="16"/>
                <w:lang w:val="uk-UA"/>
              </w:rPr>
              <w:t>19</w:t>
            </w:r>
            <w:r w:rsidRPr="00E16672">
              <w:rPr>
                <w:i w:val="0"/>
                <w:color w:val="000000"/>
                <w:sz w:val="16"/>
                <w:szCs w:val="16"/>
                <w:lang w:val="uk-UA"/>
              </w:rPr>
              <w:t xml:space="preserve">. Складати акт приймання-передавання документів, що були підставою для встановлення обмежень цінних паперів в обігу по рахунку </w:t>
            </w:r>
            <w:r w:rsidR="00C22309" w:rsidRPr="00E16672">
              <w:rPr>
                <w:i w:val="0"/>
                <w:color w:val="000000"/>
                <w:sz w:val="16"/>
                <w:szCs w:val="16"/>
                <w:lang w:val="uk-UA"/>
              </w:rPr>
              <w:t>в цін</w:t>
            </w:r>
            <w:r w:rsidRPr="00E16672">
              <w:rPr>
                <w:i w:val="0"/>
                <w:color w:val="000000"/>
                <w:sz w:val="16"/>
                <w:szCs w:val="16"/>
                <w:lang w:val="uk-UA"/>
              </w:rPr>
              <w:t>них паперах Депонента, з якого підлягають списанню права на цінні папери, що обмежені в обігу.</w:t>
            </w:r>
          </w:p>
          <w:p w14:paraId="62F936E1" w14:textId="77777777" w:rsidR="00E51F85" w:rsidRPr="00E16672" w:rsidRDefault="00E51F85" w:rsidP="00547A75">
            <w:pPr>
              <w:snapToGrid w:val="0"/>
              <w:ind w:left="142" w:right="141" w:firstLine="40"/>
              <w:rPr>
                <w:rFonts w:ascii="Times New Roman" w:hAnsi="Times New Roman"/>
                <w:color w:val="000000"/>
                <w:sz w:val="16"/>
                <w:szCs w:val="16"/>
              </w:rPr>
            </w:pPr>
          </w:p>
        </w:tc>
        <w:tc>
          <w:tcPr>
            <w:tcW w:w="5494" w:type="dxa"/>
            <w:gridSpan w:val="7"/>
            <w:shd w:val="clear" w:color="auto" w:fill="auto"/>
          </w:tcPr>
          <w:p w14:paraId="0DBB31C1" w14:textId="77777777" w:rsidR="00E51F85" w:rsidRPr="00E16672" w:rsidRDefault="006A4D27" w:rsidP="00547A75">
            <w:pPr>
              <w:pStyle w:val="210"/>
              <w:snapToGrid w:val="0"/>
              <w:ind w:left="145" w:right="100" w:firstLine="3"/>
              <w:rPr>
                <w:rFonts w:ascii="Times New Roman" w:eastAsia="Arial" w:hAnsi="Times New Roman"/>
                <w:color w:val="000000"/>
                <w:sz w:val="16"/>
                <w:szCs w:val="16"/>
              </w:rPr>
            </w:pPr>
            <w:r w:rsidRPr="00E16672">
              <w:rPr>
                <w:rFonts w:ascii="Times New Roman" w:eastAsia="Arial" w:hAnsi="Times New Roman"/>
                <w:color w:val="000000"/>
                <w:sz w:val="16"/>
                <w:szCs w:val="16"/>
              </w:rPr>
              <w:t>2.1.</w:t>
            </w:r>
            <w:r w:rsidR="00F333F6" w:rsidRPr="00E16672">
              <w:rPr>
                <w:rFonts w:ascii="Times New Roman" w:eastAsia="Arial" w:hAnsi="Times New Roman"/>
                <w:color w:val="000000"/>
                <w:sz w:val="16"/>
                <w:szCs w:val="16"/>
              </w:rPr>
              <w:t>19</w:t>
            </w:r>
            <w:r w:rsidR="00E51F85" w:rsidRPr="00E16672">
              <w:rPr>
                <w:rFonts w:ascii="Times New Roman" w:eastAsia="Arial" w:hAnsi="Times New Roman"/>
                <w:color w:val="000000"/>
                <w:sz w:val="16"/>
                <w:szCs w:val="16"/>
              </w:rPr>
              <w:t xml:space="preserve">. </w:t>
            </w:r>
            <w:proofErr w:type="spellStart"/>
            <w:r w:rsidR="00E51F85" w:rsidRPr="00E16672">
              <w:rPr>
                <w:rFonts w:ascii="Times New Roman" w:eastAsia="Arial" w:hAnsi="Times New Roman"/>
                <w:color w:val="000000"/>
                <w:sz w:val="16"/>
                <w:szCs w:val="16"/>
              </w:rPr>
              <w:t>Prepare</w:t>
            </w:r>
            <w:proofErr w:type="spellEnd"/>
            <w:r w:rsidR="00E51F85" w:rsidRPr="00E16672">
              <w:rPr>
                <w:rFonts w:ascii="Times New Roman" w:eastAsia="Arial" w:hAnsi="Times New Roman"/>
                <w:color w:val="000000"/>
                <w:sz w:val="16"/>
                <w:szCs w:val="16"/>
              </w:rPr>
              <w:t xml:space="preserve"> </w:t>
            </w:r>
            <w:proofErr w:type="spellStart"/>
            <w:r w:rsidR="00E51F85" w:rsidRPr="00E16672">
              <w:rPr>
                <w:rFonts w:ascii="Times New Roman" w:eastAsia="Arial" w:hAnsi="Times New Roman"/>
                <w:color w:val="000000"/>
                <w:sz w:val="16"/>
                <w:szCs w:val="16"/>
              </w:rPr>
              <w:t>an</w:t>
            </w:r>
            <w:proofErr w:type="spellEnd"/>
            <w:r w:rsidR="00E51F85" w:rsidRPr="00E16672">
              <w:rPr>
                <w:rFonts w:ascii="Times New Roman" w:eastAsia="Arial" w:hAnsi="Times New Roman"/>
                <w:color w:val="000000"/>
                <w:sz w:val="16"/>
                <w:szCs w:val="16"/>
              </w:rPr>
              <w:t xml:space="preserve"> </w:t>
            </w:r>
            <w:proofErr w:type="spellStart"/>
            <w:r w:rsidR="00E51F85" w:rsidRPr="00E16672">
              <w:rPr>
                <w:rFonts w:ascii="Times New Roman" w:eastAsia="Arial" w:hAnsi="Times New Roman"/>
                <w:color w:val="000000"/>
                <w:sz w:val="16"/>
                <w:szCs w:val="16"/>
              </w:rPr>
              <w:t>act</w:t>
            </w:r>
            <w:proofErr w:type="spellEnd"/>
            <w:r w:rsidR="00E51F85" w:rsidRPr="00E16672">
              <w:rPr>
                <w:rFonts w:ascii="Times New Roman" w:eastAsia="Arial" w:hAnsi="Times New Roman"/>
                <w:color w:val="000000"/>
                <w:sz w:val="16"/>
                <w:szCs w:val="16"/>
              </w:rPr>
              <w:t xml:space="preserve"> </w:t>
            </w:r>
            <w:proofErr w:type="spellStart"/>
            <w:r w:rsidR="00E51F85" w:rsidRPr="00E16672">
              <w:rPr>
                <w:rFonts w:ascii="Times New Roman" w:eastAsia="Arial" w:hAnsi="Times New Roman"/>
                <w:color w:val="000000"/>
                <w:sz w:val="16"/>
                <w:szCs w:val="16"/>
              </w:rPr>
              <w:t>of</w:t>
            </w:r>
            <w:proofErr w:type="spellEnd"/>
            <w:r w:rsidR="00E51F85" w:rsidRPr="00E16672">
              <w:rPr>
                <w:rFonts w:ascii="Times New Roman" w:eastAsia="Arial" w:hAnsi="Times New Roman"/>
                <w:color w:val="000000"/>
                <w:sz w:val="16"/>
                <w:szCs w:val="16"/>
              </w:rPr>
              <w:t xml:space="preserve"> </w:t>
            </w:r>
            <w:proofErr w:type="spellStart"/>
            <w:r w:rsidR="00E51F85" w:rsidRPr="00E16672">
              <w:rPr>
                <w:rFonts w:ascii="Times New Roman" w:eastAsia="Arial" w:hAnsi="Times New Roman"/>
                <w:color w:val="000000"/>
                <w:sz w:val="16"/>
                <w:szCs w:val="16"/>
              </w:rPr>
              <w:t>acceptance</w:t>
            </w:r>
            <w:proofErr w:type="spellEnd"/>
            <w:r w:rsidR="00E51F85" w:rsidRPr="00E16672">
              <w:rPr>
                <w:rFonts w:ascii="Times New Roman" w:eastAsia="Arial" w:hAnsi="Times New Roman"/>
                <w:color w:val="000000"/>
                <w:sz w:val="16"/>
                <w:szCs w:val="16"/>
              </w:rPr>
              <w:t xml:space="preserve"> </w:t>
            </w:r>
            <w:proofErr w:type="spellStart"/>
            <w:r w:rsidR="00E51F85" w:rsidRPr="00E16672">
              <w:rPr>
                <w:rFonts w:ascii="Times New Roman" w:eastAsia="Arial" w:hAnsi="Times New Roman"/>
                <w:color w:val="000000"/>
                <w:sz w:val="16"/>
                <w:szCs w:val="16"/>
              </w:rPr>
              <w:t>and</w:t>
            </w:r>
            <w:proofErr w:type="spellEnd"/>
            <w:r w:rsidR="00E51F85" w:rsidRPr="00E16672">
              <w:rPr>
                <w:rFonts w:ascii="Times New Roman" w:eastAsia="Arial" w:hAnsi="Times New Roman"/>
                <w:color w:val="000000"/>
                <w:sz w:val="16"/>
                <w:szCs w:val="16"/>
              </w:rPr>
              <w:t xml:space="preserve"> </w:t>
            </w:r>
            <w:proofErr w:type="spellStart"/>
            <w:r w:rsidR="00E51F85" w:rsidRPr="00E16672">
              <w:rPr>
                <w:rFonts w:ascii="Times New Roman" w:eastAsia="Arial" w:hAnsi="Times New Roman"/>
                <w:color w:val="000000"/>
                <w:sz w:val="16"/>
                <w:szCs w:val="16"/>
              </w:rPr>
              <w:t>transfer</w:t>
            </w:r>
            <w:proofErr w:type="spellEnd"/>
            <w:r w:rsidR="00E51F85" w:rsidRPr="00E16672">
              <w:rPr>
                <w:rFonts w:ascii="Times New Roman" w:eastAsia="Arial" w:hAnsi="Times New Roman"/>
                <w:color w:val="000000"/>
                <w:sz w:val="16"/>
                <w:szCs w:val="16"/>
              </w:rPr>
              <w:t xml:space="preserve"> </w:t>
            </w:r>
            <w:proofErr w:type="spellStart"/>
            <w:r w:rsidR="00E51F85" w:rsidRPr="00E16672">
              <w:rPr>
                <w:rFonts w:ascii="Times New Roman" w:eastAsia="Arial" w:hAnsi="Times New Roman"/>
                <w:color w:val="000000"/>
                <w:sz w:val="16"/>
                <w:szCs w:val="16"/>
              </w:rPr>
              <w:t>documents</w:t>
            </w:r>
            <w:proofErr w:type="spellEnd"/>
            <w:r w:rsidR="00E51F85" w:rsidRPr="00E16672">
              <w:rPr>
                <w:rFonts w:ascii="Times New Roman" w:eastAsia="Arial" w:hAnsi="Times New Roman"/>
                <w:color w:val="000000"/>
                <w:sz w:val="16"/>
                <w:szCs w:val="16"/>
              </w:rPr>
              <w:t xml:space="preserve"> </w:t>
            </w:r>
            <w:proofErr w:type="spellStart"/>
            <w:r w:rsidR="00E51F85" w:rsidRPr="00E16672">
              <w:rPr>
                <w:rFonts w:ascii="Times New Roman" w:eastAsia="Arial" w:hAnsi="Times New Roman"/>
                <w:color w:val="000000"/>
                <w:sz w:val="16"/>
                <w:szCs w:val="16"/>
              </w:rPr>
              <w:t>that</w:t>
            </w:r>
            <w:proofErr w:type="spellEnd"/>
            <w:r w:rsidR="00E51F85" w:rsidRPr="00E16672">
              <w:rPr>
                <w:rFonts w:ascii="Times New Roman" w:eastAsia="Arial" w:hAnsi="Times New Roman"/>
                <w:color w:val="000000"/>
                <w:sz w:val="16"/>
                <w:szCs w:val="16"/>
              </w:rPr>
              <w:t xml:space="preserve"> </w:t>
            </w:r>
            <w:proofErr w:type="spellStart"/>
            <w:r w:rsidR="00E51F85" w:rsidRPr="00E16672">
              <w:rPr>
                <w:rFonts w:ascii="Times New Roman" w:eastAsia="Arial" w:hAnsi="Times New Roman"/>
                <w:color w:val="000000"/>
                <w:sz w:val="16"/>
                <w:szCs w:val="16"/>
              </w:rPr>
              <w:t>were</w:t>
            </w:r>
            <w:proofErr w:type="spellEnd"/>
            <w:r w:rsidR="00E51F85" w:rsidRPr="00E16672">
              <w:rPr>
                <w:rFonts w:ascii="Times New Roman" w:eastAsia="Arial" w:hAnsi="Times New Roman"/>
                <w:color w:val="000000"/>
                <w:sz w:val="16"/>
                <w:szCs w:val="16"/>
              </w:rPr>
              <w:t xml:space="preserve"> </w:t>
            </w:r>
            <w:proofErr w:type="spellStart"/>
            <w:r w:rsidR="00E51F85" w:rsidRPr="00E16672">
              <w:rPr>
                <w:rFonts w:ascii="Times New Roman" w:eastAsia="Arial" w:hAnsi="Times New Roman"/>
                <w:color w:val="000000"/>
                <w:sz w:val="16"/>
                <w:szCs w:val="16"/>
              </w:rPr>
              <w:t>the</w:t>
            </w:r>
            <w:proofErr w:type="spellEnd"/>
            <w:r w:rsidR="00E51F85" w:rsidRPr="00E16672">
              <w:rPr>
                <w:rFonts w:ascii="Times New Roman" w:eastAsia="Arial" w:hAnsi="Times New Roman"/>
                <w:color w:val="000000"/>
                <w:sz w:val="16"/>
                <w:szCs w:val="16"/>
              </w:rPr>
              <w:t xml:space="preserve"> </w:t>
            </w:r>
            <w:proofErr w:type="spellStart"/>
            <w:r w:rsidR="00E51F85" w:rsidRPr="00E16672">
              <w:rPr>
                <w:rFonts w:ascii="Times New Roman" w:eastAsia="Arial" w:hAnsi="Times New Roman"/>
                <w:color w:val="000000"/>
                <w:sz w:val="16"/>
                <w:szCs w:val="16"/>
              </w:rPr>
              <w:t>basis</w:t>
            </w:r>
            <w:proofErr w:type="spellEnd"/>
            <w:r w:rsidR="00E51F85" w:rsidRPr="00E16672">
              <w:rPr>
                <w:rFonts w:ascii="Times New Roman" w:eastAsia="Arial" w:hAnsi="Times New Roman"/>
                <w:color w:val="000000"/>
                <w:sz w:val="16"/>
                <w:szCs w:val="16"/>
              </w:rPr>
              <w:t xml:space="preserve"> </w:t>
            </w:r>
            <w:proofErr w:type="spellStart"/>
            <w:r w:rsidR="00E51F85" w:rsidRPr="00E16672">
              <w:rPr>
                <w:rFonts w:ascii="Times New Roman" w:eastAsia="Arial" w:hAnsi="Times New Roman"/>
                <w:color w:val="000000"/>
                <w:sz w:val="16"/>
                <w:szCs w:val="16"/>
              </w:rPr>
              <w:t>for</w:t>
            </w:r>
            <w:proofErr w:type="spellEnd"/>
            <w:r w:rsidR="00E51F85" w:rsidRPr="00E16672">
              <w:rPr>
                <w:rFonts w:ascii="Times New Roman" w:eastAsia="Arial" w:hAnsi="Times New Roman"/>
                <w:color w:val="000000"/>
                <w:sz w:val="16"/>
                <w:szCs w:val="16"/>
              </w:rPr>
              <w:t xml:space="preserve"> </w:t>
            </w:r>
            <w:proofErr w:type="spellStart"/>
            <w:r w:rsidR="00E51F85" w:rsidRPr="00E16672">
              <w:rPr>
                <w:rFonts w:ascii="Times New Roman" w:eastAsia="Arial" w:hAnsi="Times New Roman"/>
                <w:color w:val="000000"/>
                <w:sz w:val="16"/>
                <w:szCs w:val="16"/>
              </w:rPr>
              <w:t>establishing</w:t>
            </w:r>
            <w:proofErr w:type="spellEnd"/>
            <w:r w:rsidR="00E51F85" w:rsidRPr="00E16672">
              <w:rPr>
                <w:rFonts w:ascii="Times New Roman" w:eastAsia="Arial" w:hAnsi="Times New Roman"/>
                <w:color w:val="000000"/>
                <w:sz w:val="16"/>
                <w:szCs w:val="16"/>
              </w:rPr>
              <w:t xml:space="preserve"> </w:t>
            </w:r>
            <w:proofErr w:type="spellStart"/>
            <w:r w:rsidR="00E51F85" w:rsidRPr="00E16672">
              <w:rPr>
                <w:rFonts w:ascii="Times New Roman" w:eastAsia="Arial" w:hAnsi="Times New Roman"/>
                <w:color w:val="000000"/>
                <w:sz w:val="16"/>
                <w:szCs w:val="16"/>
              </w:rPr>
              <w:t>limits</w:t>
            </w:r>
            <w:proofErr w:type="spellEnd"/>
            <w:r w:rsidR="00E51F85" w:rsidRPr="00E16672">
              <w:rPr>
                <w:rFonts w:ascii="Times New Roman" w:eastAsia="Arial" w:hAnsi="Times New Roman"/>
                <w:color w:val="000000"/>
                <w:sz w:val="16"/>
                <w:szCs w:val="16"/>
              </w:rPr>
              <w:t xml:space="preserve"> </w:t>
            </w:r>
            <w:proofErr w:type="spellStart"/>
            <w:r w:rsidR="00E51F85" w:rsidRPr="00E16672">
              <w:rPr>
                <w:rFonts w:ascii="Times New Roman" w:eastAsia="Arial" w:hAnsi="Times New Roman"/>
                <w:color w:val="000000"/>
                <w:sz w:val="16"/>
                <w:szCs w:val="16"/>
              </w:rPr>
              <w:t>on</w:t>
            </w:r>
            <w:proofErr w:type="spellEnd"/>
            <w:r w:rsidR="00E51F85" w:rsidRPr="00E16672">
              <w:rPr>
                <w:rFonts w:ascii="Times New Roman" w:eastAsia="Arial" w:hAnsi="Times New Roman"/>
                <w:color w:val="000000"/>
                <w:sz w:val="16"/>
                <w:szCs w:val="16"/>
              </w:rPr>
              <w:t xml:space="preserve"> </w:t>
            </w:r>
            <w:proofErr w:type="spellStart"/>
            <w:r w:rsidR="00E51F85" w:rsidRPr="00E16672">
              <w:rPr>
                <w:rFonts w:ascii="Times New Roman" w:eastAsia="Arial" w:hAnsi="Times New Roman"/>
                <w:color w:val="000000"/>
                <w:sz w:val="16"/>
                <w:szCs w:val="16"/>
              </w:rPr>
              <w:t>securities</w:t>
            </w:r>
            <w:proofErr w:type="spellEnd"/>
            <w:r w:rsidR="00E51F85" w:rsidRPr="00E16672">
              <w:rPr>
                <w:rFonts w:ascii="Times New Roman" w:eastAsia="Arial" w:hAnsi="Times New Roman"/>
                <w:color w:val="000000"/>
                <w:sz w:val="16"/>
                <w:szCs w:val="16"/>
              </w:rPr>
              <w:t xml:space="preserve"> </w:t>
            </w:r>
            <w:proofErr w:type="spellStart"/>
            <w:r w:rsidR="00E51F85" w:rsidRPr="00E16672">
              <w:rPr>
                <w:rFonts w:ascii="Times New Roman" w:eastAsia="Arial" w:hAnsi="Times New Roman"/>
                <w:color w:val="000000"/>
                <w:sz w:val="16"/>
                <w:szCs w:val="16"/>
              </w:rPr>
              <w:t>outstanding</w:t>
            </w:r>
            <w:proofErr w:type="spellEnd"/>
            <w:r w:rsidR="00E51F85" w:rsidRPr="00E16672">
              <w:rPr>
                <w:rFonts w:ascii="Times New Roman" w:eastAsia="Arial" w:hAnsi="Times New Roman"/>
                <w:color w:val="000000"/>
                <w:sz w:val="16"/>
                <w:szCs w:val="16"/>
              </w:rPr>
              <w:t xml:space="preserve"> </w:t>
            </w:r>
            <w:proofErr w:type="spellStart"/>
            <w:r w:rsidR="00E51F85" w:rsidRPr="00E16672">
              <w:rPr>
                <w:rFonts w:ascii="Times New Roman" w:eastAsia="Arial" w:hAnsi="Times New Roman"/>
                <w:color w:val="000000"/>
                <w:sz w:val="16"/>
                <w:szCs w:val="16"/>
              </w:rPr>
              <w:t>on</w:t>
            </w:r>
            <w:proofErr w:type="spellEnd"/>
            <w:r w:rsidR="00E51F85" w:rsidRPr="00E16672">
              <w:rPr>
                <w:rFonts w:ascii="Times New Roman" w:eastAsia="Arial" w:hAnsi="Times New Roman"/>
                <w:color w:val="000000"/>
                <w:sz w:val="16"/>
                <w:szCs w:val="16"/>
              </w:rPr>
              <w:t xml:space="preserve"> </w:t>
            </w:r>
            <w:proofErr w:type="spellStart"/>
            <w:r w:rsidR="00E51F85" w:rsidRPr="00E16672">
              <w:rPr>
                <w:rFonts w:ascii="Times New Roman" w:eastAsia="Arial" w:hAnsi="Times New Roman"/>
                <w:color w:val="000000"/>
                <w:sz w:val="16"/>
                <w:szCs w:val="16"/>
              </w:rPr>
              <w:t>the</w:t>
            </w:r>
            <w:proofErr w:type="spellEnd"/>
            <w:r w:rsidR="00E51F85" w:rsidRPr="00E16672">
              <w:rPr>
                <w:rFonts w:ascii="Times New Roman" w:eastAsia="Arial" w:hAnsi="Times New Roman"/>
                <w:color w:val="000000"/>
                <w:sz w:val="16"/>
                <w:szCs w:val="16"/>
              </w:rPr>
              <w:t xml:space="preserve"> </w:t>
            </w:r>
            <w:proofErr w:type="spellStart"/>
            <w:r w:rsidR="00E51F85" w:rsidRPr="00E16672">
              <w:rPr>
                <w:rFonts w:ascii="Times New Roman" w:eastAsia="Arial" w:hAnsi="Times New Roman"/>
                <w:color w:val="000000"/>
                <w:sz w:val="16"/>
                <w:szCs w:val="16"/>
              </w:rPr>
              <w:t>securities</w:t>
            </w:r>
            <w:proofErr w:type="spellEnd"/>
            <w:r w:rsidR="00E51F85" w:rsidRPr="00E16672">
              <w:rPr>
                <w:rFonts w:ascii="Times New Roman" w:eastAsia="Arial" w:hAnsi="Times New Roman"/>
                <w:color w:val="000000"/>
                <w:sz w:val="16"/>
                <w:szCs w:val="16"/>
              </w:rPr>
              <w:t xml:space="preserve"> </w:t>
            </w:r>
            <w:proofErr w:type="spellStart"/>
            <w:r w:rsidR="00E51F85" w:rsidRPr="00E16672">
              <w:rPr>
                <w:rFonts w:ascii="Times New Roman" w:eastAsia="Arial" w:hAnsi="Times New Roman"/>
                <w:color w:val="000000"/>
                <w:sz w:val="16"/>
                <w:szCs w:val="16"/>
              </w:rPr>
              <w:t>account</w:t>
            </w:r>
            <w:proofErr w:type="spellEnd"/>
            <w:r w:rsidR="00E51F85" w:rsidRPr="00E16672">
              <w:rPr>
                <w:rFonts w:ascii="Times New Roman" w:eastAsia="Arial" w:hAnsi="Times New Roman"/>
                <w:color w:val="000000"/>
                <w:sz w:val="16"/>
                <w:szCs w:val="16"/>
              </w:rPr>
              <w:t xml:space="preserve"> </w:t>
            </w:r>
            <w:proofErr w:type="spellStart"/>
            <w:r w:rsidR="00E51F85" w:rsidRPr="00E16672">
              <w:rPr>
                <w:rFonts w:ascii="Times New Roman" w:eastAsia="Arial" w:hAnsi="Times New Roman"/>
                <w:color w:val="000000"/>
                <w:sz w:val="16"/>
                <w:szCs w:val="16"/>
              </w:rPr>
              <w:t>the</w:t>
            </w:r>
            <w:proofErr w:type="spellEnd"/>
            <w:r w:rsidR="00E51F85" w:rsidRPr="00E16672">
              <w:rPr>
                <w:rFonts w:ascii="Times New Roman" w:eastAsia="Arial" w:hAnsi="Times New Roman"/>
                <w:color w:val="000000"/>
                <w:sz w:val="16"/>
                <w:szCs w:val="16"/>
              </w:rPr>
              <w:t xml:space="preserve"> </w:t>
            </w:r>
            <w:proofErr w:type="spellStart"/>
            <w:r w:rsidR="00E51F85" w:rsidRPr="00E16672">
              <w:rPr>
                <w:rFonts w:ascii="Times New Roman" w:eastAsia="Arial" w:hAnsi="Times New Roman"/>
                <w:color w:val="000000"/>
                <w:sz w:val="16"/>
                <w:szCs w:val="16"/>
              </w:rPr>
              <w:t>Depositor</w:t>
            </w:r>
            <w:proofErr w:type="spellEnd"/>
            <w:r w:rsidR="00E51F85" w:rsidRPr="00E16672">
              <w:rPr>
                <w:rFonts w:ascii="Times New Roman" w:eastAsia="Arial" w:hAnsi="Times New Roman"/>
                <w:color w:val="000000"/>
                <w:sz w:val="16"/>
                <w:szCs w:val="16"/>
              </w:rPr>
              <w:t xml:space="preserve"> </w:t>
            </w:r>
            <w:proofErr w:type="spellStart"/>
            <w:r w:rsidR="00E51F85" w:rsidRPr="00E16672">
              <w:rPr>
                <w:rFonts w:ascii="Times New Roman" w:eastAsia="Arial" w:hAnsi="Times New Roman"/>
                <w:color w:val="000000"/>
                <w:sz w:val="16"/>
                <w:szCs w:val="16"/>
              </w:rPr>
              <w:t>of</w:t>
            </w:r>
            <w:proofErr w:type="spellEnd"/>
            <w:r w:rsidR="00E51F85" w:rsidRPr="00E16672">
              <w:rPr>
                <w:rFonts w:ascii="Times New Roman" w:eastAsia="Arial" w:hAnsi="Times New Roman"/>
                <w:color w:val="000000"/>
                <w:sz w:val="16"/>
                <w:szCs w:val="16"/>
              </w:rPr>
              <w:t xml:space="preserve"> </w:t>
            </w:r>
            <w:proofErr w:type="spellStart"/>
            <w:r w:rsidR="00E51F85" w:rsidRPr="00E16672">
              <w:rPr>
                <w:rFonts w:ascii="Times New Roman" w:eastAsia="Arial" w:hAnsi="Times New Roman"/>
                <w:color w:val="000000"/>
                <w:sz w:val="16"/>
                <w:szCs w:val="16"/>
              </w:rPr>
              <w:t>which</w:t>
            </w:r>
            <w:proofErr w:type="spellEnd"/>
            <w:r w:rsidR="00E51F85" w:rsidRPr="00E16672">
              <w:rPr>
                <w:rFonts w:ascii="Times New Roman" w:eastAsia="Arial" w:hAnsi="Times New Roman"/>
                <w:color w:val="000000"/>
                <w:sz w:val="16"/>
                <w:szCs w:val="16"/>
              </w:rPr>
              <w:t xml:space="preserve"> </w:t>
            </w:r>
            <w:proofErr w:type="spellStart"/>
            <w:r w:rsidR="00E51F85" w:rsidRPr="00E16672">
              <w:rPr>
                <w:rFonts w:ascii="Times New Roman" w:eastAsia="Arial" w:hAnsi="Times New Roman"/>
                <w:color w:val="000000"/>
                <w:sz w:val="16"/>
                <w:szCs w:val="16"/>
              </w:rPr>
              <w:t>to</w:t>
            </w:r>
            <w:proofErr w:type="spellEnd"/>
            <w:r w:rsidR="00E51F85" w:rsidRPr="00E16672">
              <w:rPr>
                <w:rFonts w:ascii="Times New Roman" w:eastAsia="Arial" w:hAnsi="Times New Roman"/>
                <w:color w:val="000000"/>
                <w:sz w:val="16"/>
                <w:szCs w:val="16"/>
              </w:rPr>
              <w:t xml:space="preserve"> </w:t>
            </w:r>
            <w:proofErr w:type="spellStart"/>
            <w:r w:rsidR="00E51F85" w:rsidRPr="00E16672">
              <w:rPr>
                <w:rFonts w:ascii="Times New Roman" w:eastAsia="Arial" w:hAnsi="Times New Roman"/>
                <w:color w:val="000000"/>
                <w:sz w:val="16"/>
                <w:szCs w:val="16"/>
              </w:rPr>
              <w:t>be</w:t>
            </w:r>
            <w:proofErr w:type="spellEnd"/>
            <w:r w:rsidR="00E51F85" w:rsidRPr="00E16672">
              <w:rPr>
                <w:rFonts w:ascii="Times New Roman" w:eastAsia="Arial" w:hAnsi="Times New Roman"/>
                <w:color w:val="000000"/>
                <w:sz w:val="16"/>
                <w:szCs w:val="16"/>
              </w:rPr>
              <w:t xml:space="preserve"> </w:t>
            </w:r>
            <w:proofErr w:type="spellStart"/>
            <w:r w:rsidR="00E51F85" w:rsidRPr="00E16672">
              <w:rPr>
                <w:rFonts w:ascii="Times New Roman" w:eastAsia="Arial" w:hAnsi="Times New Roman"/>
                <w:color w:val="000000"/>
                <w:sz w:val="16"/>
                <w:szCs w:val="16"/>
              </w:rPr>
              <w:t>withdrawal</w:t>
            </w:r>
            <w:proofErr w:type="spellEnd"/>
            <w:r w:rsidR="00E51F85" w:rsidRPr="00E16672">
              <w:rPr>
                <w:rFonts w:ascii="Times New Roman" w:eastAsia="Arial" w:hAnsi="Times New Roman"/>
                <w:color w:val="000000"/>
                <w:sz w:val="16"/>
                <w:szCs w:val="16"/>
              </w:rPr>
              <w:t xml:space="preserve"> </w:t>
            </w:r>
            <w:proofErr w:type="spellStart"/>
            <w:r w:rsidR="00E51F85" w:rsidRPr="00E16672">
              <w:rPr>
                <w:rFonts w:ascii="Times New Roman" w:eastAsia="Arial" w:hAnsi="Times New Roman"/>
                <w:color w:val="000000"/>
                <w:sz w:val="16"/>
                <w:szCs w:val="16"/>
              </w:rPr>
              <w:t>securities</w:t>
            </w:r>
            <w:proofErr w:type="spellEnd"/>
            <w:r w:rsidR="00E51F85" w:rsidRPr="00E16672">
              <w:rPr>
                <w:rFonts w:ascii="Times New Roman" w:eastAsia="Arial" w:hAnsi="Times New Roman"/>
                <w:color w:val="000000"/>
                <w:sz w:val="16"/>
                <w:szCs w:val="16"/>
              </w:rPr>
              <w:t xml:space="preserve"> </w:t>
            </w:r>
            <w:proofErr w:type="spellStart"/>
            <w:r w:rsidR="00E51F85" w:rsidRPr="00E16672">
              <w:rPr>
                <w:rFonts w:ascii="Times New Roman" w:eastAsia="Arial" w:hAnsi="Times New Roman"/>
                <w:color w:val="000000"/>
                <w:sz w:val="16"/>
                <w:szCs w:val="16"/>
              </w:rPr>
              <w:t>that</w:t>
            </w:r>
            <w:proofErr w:type="spellEnd"/>
            <w:r w:rsidR="00E51F85" w:rsidRPr="00E16672">
              <w:rPr>
                <w:rFonts w:ascii="Times New Roman" w:eastAsia="Arial" w:hAnsi="Times New Roman"/>
                <w:color w:val="000000"/>
                <w:sz w:val="16"/>
                <w:szCs w:val="16"/>
              </w:rPr>
              <w:t xml:space="preserve"> </w:t>
            </w:r>
            <w:proofErr w:type="spellStart"/>
            <w:r w:rsidR="00E51F85" w:rsidRPr="00E16672">
              <w:rPr>
                <w:rFonts w:ascii="Times New Roman" w:eastAsia="Arial" w:hAnsi="Times New Roman"/>
                <w:color w:val="000000"/>
                <w:sz w:val="16"/>
                <w:szCs w:val="16"/>
              </w:rPr>
              <w:t>have</w:t>
            </w:r>
            <w:proofErr w:type="spellEnd"/>
            <w:r w:rsidR="00E51F85" w:rsidRPr="00E16672">
              <w:rPr>
                <w:rFonts w:ascii="Times New Roman" w:eastAsia="Arial" w:hAnsi="Times New Roman"/>
                <w:color w:val="000000"/>
                <w:sz w:val="16"/>
                <w:szCs w:val="16"/>
              </w:rPr>
              <w:t xml:space="preserve"> </w:t>
            </w:r>
            <w:proofErr w:type="spellStart"/>
            <w:r w:rsidR="00E51F85" w:rsidRPr="00E16672">
              <w:rPr>
                <w:rFonts w:ascii="Times New Roman" w:eastAsia="Arial" w:hAnsi="Times New Roman"/>
                <w:color w:val="000000"/>
                <w:sz w:val="16"/>
                <w:szCs w:val="16"/>
              </w:rPr>
              <w:t>limited</w:t>
            </w:r>
            <w:proofErr w:type="spellEnd"/>
            <w:r w:rsidR="00E51F85" w:rsidRPr="00E16672">
              <w:rPr>
                <w:rFonts w:ascii="Times New Roman" w:eastAsia="Arial" w:hAnsi="Times New Roman"/>
                <w:color w:val="000000"/>
                <w:sz w:val="16"/>
                <w:szCs w:val="16"/>
              </w:rPr>
              <w:t xml:space="preserve"> </w:t>
            </w:r>
            <w:proofErr w:type="spellStart"/>
            <w:r w:rsidR="00E51F85" w:rsidRPr="00E16672">
              <w:rPr>
                <w:rFonts w:ascii="Times New Roman" w:eastAsia="Arial" w:hAnsi="Times New Roman"/>
                <w:color w:val="000000"/>
                <w:sz w:val="16"/>
                <w:szCs w:val="16"/>
              </w:rPr>
              <w:t>turnover</w:t>
            </w:r>
            <w:proofErr w:type="spellEnd"/>
            <w:r w:rsidR="00E51F85" w:rsidRPr="00E16672">
              <w:rPr>
                <w:rFonts w:ascii="Times New Roman" w:eastAsia="Arial" w:hAnsi="Times New Roman"/>
                <w:color w:val="000000"/>
                <w:sz w:val="16"/>
                <w:szCs w:val="16"/>
              </w:rPr>
              <w:t>.</w:t>
            </w:r>
          </w:p>
        </w:tc>
      </w:tr>
      <w:tr w:rsidR="00E51F85" w:rsidRPr="00F23413" w14:paraId="3300B22E" w14:textId="77777777" w:rsidTr="009311BB">
        <w:tblPrEx>
          <w:tblCellMar>
            <w:left w:w="0" w:type="dxa"/>
            <w:right w:w="0" w:type="dxa"/>
          </w:tblCellMar>
        </w:tblPrEx>
        <w:trPr>
          <w:trHeight w:val="192"/>
        </w:trPr>
        <w:tc>
          <w:tcPr>
            <w:tcW w:w="5696" w:type="dxa"/>
            <w:gridSpan w:val="6"/>
            <w:shd w:val="clear" w:color="auto" w:fill="auto"/>
          </w:tcPr>
          <w:p w14:paraId="31532AE8" w14:textId="77777777" w:rsidR="00E51F85" w:rsidRPr="00E16672" w:rsidRDefault="006A4D27" w:rsidP="00022F5F">
            <w:pPr>
              <w:tabs>
                <w:tab w:val="left" w:pos="851"/>
                <w:tab w:val="left" w:pos="7200"/>
              </w:tabs>
              <w:snapToGrid w:val="0"/>
              <w:ind w:left="142" w:right="141" w:firstLine="40"/>
              <w:jc w:val="left"/>
              <w:rPr>
                <w:rFonts w:ascii="Times New Roman" w:eastAsia="Arial" w:hAnsi="Times New Roman"/>
                <w:color w:val="000000"/>
                <w:sz w:val="16"/>
                <w:szCs w:val="16"/>
                <w:lang w:val="en-US"/>
              </w:rPr>
            </w:pPr>
            <w:r w:rsidRPr="00E16672">
              <w:rPr>
                <w:rFonts w:ascii="Times New Roman" w:eastAsia="Arial" w:hAnsi="Times New Roman"/>
                <w:color w:val="000000"/>
                <w:sz w:val="16"/>
                <w:szCs w:val="16"/>
                <w:lang w:val="en-US"/>
              </w:rPr>
              <w:t>2.1.</w:t>
            </w:r>
            <w:r w:rsidR="00F333F6" w:rsidRPr="00E16672">
              <w:rPr>
                <w:rFonts w:ascii="Times New Roman" w:eastAsia="Arial" w:hAnsi="Times New Roman"/>
                <w:color w:val="000000"/>
                <w:sz w:val="16"/>
                <w:szCs w:val="16"/>
                <w:lang w:val="en-US"/>
              </w:rPr>
              <w:t>2</w:t>
            </w:r>
            <w:r w:rsidR="00F333F6" w:rsidRPr="00E16672">
              <w:rPr>
                <w:rFonts w:ascii="Times New Roman" w:eastAsia="Arial" w:hAnsi="Times New Roman"/>
                <w:color w:val="000000"/>
                <w:sz w:val="16"/>
                <w:szCs w:val="16"/>
                <w:lang w:val="uk-UA"/>
              </w:rPr>
              <w:t>0</w:t>
            </w:r>
            <w:r w:rsidR="00E51F85" w:rsidRPr="00E16672">
              <w:rPr>
                <w:rFonts w:ascii="Times New Roman" w:eastAsia="Arial" w:hAnsi="Times New Roman"/>
                <w:color w:val="000000"/>
                <w:sz w:val="16"/>
                <w:szCs w:val="16"/>
                <w:lang w:val="en-US"/>
              </w:rPr>
              <w:t xml:space="preserve">. </w:t>
            </w:r>
            <w:r w:rsidR="00D960B4" w:rsidRPr="00E16672">
              <w:rPr>
                <w:rFonts w:ascii="Times New Roman" w:eastAsia="Arial" w:hAnsi="Times New Roman"/>
                <w:color w:val="000000"/>
                <w:sz w:val="16"/>
                <w:szCs w:val="16"/>
                <w:lang w:val="uk-UA"/>
              </w:rPr>
              <w:t xml:space="preserve">Розкривати депоненту інформацію про умови та порядок діяльності депозитарної установи з урахуванням вимог, встановлених частиною першою статті 12 Закону України </w:t>
            </w:r>
            <w:r w:rsidR="00022F5F">
              <w:rPr>
                <w:rFonts w:ascii="Times New Roman" w:eastAsia="Arial" w:hAnsi="Times New Roman"/>
                <w:color w:val="000000"/>
                <w:sz w:val="16"/>
                <w:szCs w:val="16"/>
                <w:lang w:val="uk-UA"/>
              </w:rPr>
              <w:t>"</w:t>
            </w:r>
            <w:r w:rsidR="00D960B4" w:rsidRPr="00E16672">
              <w:rPr>
                <w:rFonts w:ascii="Times New Roman" w:eastAsia="Arial" w:hAnsi="Times New Roman"/>
                <w:color w:val="000000"/>
                <w:sz w:val="16"/>
                <w:szCs w:val="16"/>
                <w:lang w:val="uk-UA"/>
              </w:rPr>
              <w:t>Про фінансові послуги та державне регулювання ринків фінансових послуг</w:t>
            </w:r>
            <w:r w:rsidR="00022F5F">
              <w:rPr>
                <w:rFonts w:ascii="Times New Roman" w:eastAsia="Arial" w:hAnsi="Times New Roman"/>
                <w:color w:val="000000"/>
                <w:sz w:val="16"/>
                <w:szCs w:val="16"/>
                <w:lang w:val="uk-UA"/>
              </w:rPr>
              <w:t>"</w:t>
            </w:r>
            <w:r w:rsidR="00E51F85" w:rsidRPr="00E16672">
              <w:rPr>
                <w:rFonts w:ascii="Times New Roman" w:eastAsia="Arial" w:hAnsi="Times New Roman"/>
                <w:color w:val="000000"/>
                <w:sz w:val="16"/>
                <w:szCs w:val="16"/>
                <w:lang w:val="uk-UA"/>
              </w:rPr>
              <w:t>.</w:t>
            </w:r>
          </w:p>
          <w:p w14:paraId="5EA1DF5F" w14:textId="77777777" w:rsidR="00E51F85" w:rsidRPr="00E16672" w:rsidRDefault="00E51F85" w:rsidP="00547A75">
            <w:pPr>
              <w:tabs>
                <w:tab w:val="left" w:pos="851"/>
                <w:tab w:val="left" w:pos="7200"/>
              </w:tabs>
              <w:ind w:left="142" w:right="141" w:firstLine="40"/>
              <w:rPr>
                <w:rFonts w:ascii="Times New Roman" w:hAnsi="Times New Roman"/>
                <w:color w:val="000000"/>
                <w:sz w:val="16"/>
                <w:szCs w:val="16"/>
                <w:lang w:val="en-US"/>
              </w:rPr>
            </w:pPr>
          </w:p>
        </w:tc>
        <w:tc>
          <w:tcPr>
            <w:tcW w:w="5494" w:type="dxa"/>
            <w:gridSpan w:val="7"/>
            <w:shd w:val="clear" w:color="auto" w:fill="auto"/>
          </w:tcPr>
          <w:p w14:paraId="0303183B" w14:textId="77777777" w:rsidR="00E51F85" w:rsidRPr="00E16672" w:rsidRDefault="006A4D27" w:rsidP="00022F5F">
            <w:pPr>
              <w:pStyle w:val="210"/>
              <w:snapToGrid w:val="0"/>
              <w:ind w:left="145" w:right="100" w:firstLine="3"/>
              <w:jc w:val="left"/>
              <w:rPr>
                <w:rFonts w:ascii="Times New Roman" w:eastAsia="Arial" w:hAnsi="Times New Roman"/>
                <w:color w:val="000000"/>
                <w:sz w:val="16"/>
                <w:szCs w:val="16"/>
              </w:rPr>
            </w:pPr>
            <w:r w:rsidRPr="00E16672">
              <w:rPr>
                <w:rFonts w:ascii="Times New Roman" w:eastAsia="Arial" w:hAnsi="Times New Roman"/>
                <w:color w:val="000000"/>
                <w:sz w:val="16"/>
                <w:szCs w:val="16"/>
              </w:rPr>
              <w:t>2.1.</w:t>
            </w:r>
            <w:r w:rsidR="00F333F6" w:rsidRPr="00E16672">
              <w:rPr>
                <w:rFonts w:ascii="Times New Roman" w:eastAsia="Arial" w:hAnsi="Times New Roman"/>
                <w:color w:val="000000"/>
                <w:sz w:val="16"/>
                <w:szCs w:val="16"/>
              </w:rPr>
              <w:t>20</w:t>
            </w:r>
            <w:r w:rsidR="00E51F85" w:rsidRPr="00E16672">
              <w:rPr>
                <w:rFonts w:ascii="Times New Roman" w:eastAsia="Arial" w:hAnsi="Times New Roman"/>
                <w:color w:val="000000"/>
                <w:sz w:val="16"/>
                <w:szCs w:val="16"/>
              </w:rPr>
              <w:t xml:space="preserve">. </w:t>
            </w:r>
            <w:proofErr w:type="spellStart"/>
            <w:r w:rsidR="00D960B4" w:rsidRPr="00E16672">
              <w:rPr>
                <w:rFonts w:ascii="Times New Roman" w:eastAsia="Arial" w:hAnsi="Times New Roman"/>
                <w:color w:val="000000"/>
                <w:sz w:val="16"/>
                <w:szCs w:val="16"/>
              </w:rPr>
              <w:t>To</w:t>
            </w:r>
            <w:proofErr w:type="spellEnd"/>
            <w:r w:rsidR="00D960B4" w:rsidRPr="00E16672">
              <w:rPr>
                <w:rFonts w:ascii="Times New Roman" w:eastAsia="Arial" w:hAnsi="Times New Roman"/>
                <w:color w:val="000000"/>
                <w:sz w:val="16"/>
                <w:szCs w:val="16"/>
              </w:rPr>
              <w:t xml:space="preserve"> </w:t>
            </w:r>
            <w:proofErr w:type="spellStart"/>
            <w:r w:rsidR="00D960B4" w:rsidRPr="00E16672">
              <w:rPr>
                <w:rFonts w:ascii="Times New Roman" w:eastAsia="Arial" w:hAnsi="Times New Roman"/>
                <w:color w:val="000000"/>
                <w:sz w:val="16"/>
                <w:szCs w:val="16"/>
              </w:rPr>
              <w:t>disclose</w:t>
            </w:r>
            <w:proofErr w:type="spellEnd"/>
            <w:r w:rsidR="00D960B4" w:rsidRPr="00E16672">
              <w:rPr>
                <w:rFonts w:ascii="Times New Roman" w:eastAsia="Arial" w:hAnsi="Times New Roman"/>
                <w:color w:val="000000"/>
                <w:sz w:val="16"/>
                <w:szCs w:val="16"/>
              </w:rPr>
              <w:t xml:space="preserve"> </w:t>
            </w:r>
            <w:proofErr w:type="spellStart"/>
            <w:r w:rsidR="00D960B4" w:rsidRPr="00E16672">
              <w:rPr>
                <w:rFonts w:ascii="Times New Roman" w:eastAsia="Arial" w:hAnsi="Times New Roman"/>
                <w:color w:val="000000"/>
                <w:sz w:val="16"/>
                <w:szCs w:val="16"/>
              </w:rPr>
              <w:t>to</w:t>
            </w:r>
            <w:proofErr w:type="spellEnd"/>
            <w:r w:rsidR="00D960B4" w:rsidRPr="00E16672">
              <w:rPr>
                <w:rFonts w:ascii="Times New Roman" w:eastAsia="Arial" w:hAnsi="Times New Roman"/>
                <w:color w:val="000000"/>
                <w:sz w:val="16"/>
                <w:szCs w:val="16"/>
              </w:rPr>
              <w:t xml:space="preserve"> </w:t>
            </w:r>
            <w:proofErr w:type="spellStart"/>
            <w:r w:rsidR="00D960B4" w:rsidRPr="00E16672">
              <w:rPr>
                <w:rFonts w:ascii="Times New Roman" w:eastAsia="Arial" w:hAnsi="Times New Roman"/>
                <w:color w:val="000000"/>
                <w:sz w:val="16"/>
                <w:szCs w:val="16"/>
              </w:rPr>
              <w:t>the</w:t>
            </w:r>
            <w:proofErr w:type="spellEnd"/>
            <w:r w:rsidR="00D960B4" w:rsidRPr="00E16672">
              <w:rPr>
                <w:rFonts w:ascii="Times New Roman" w:eastAsia="Arial" w:hAnsi="Times New Roman"/>
                <w:color w:val="000000"/>
                <w:sz w:val="16"/>
                <w:szCs w:val="16"/>
              </w:rPr>
              <w:t xml:space="preserve"> </w:t>
            </w:r>
            <w:proofErr w:type="spellStart"/>
            <w:r w:rsidR="00D960B4" w:rsidRPr="00E16672">
              <w:rPr>
                <w:rFonts w:ascii="Times New Roman" w:eastAsia="Arial" w:hAnsi="Times New Roman"/>
                <w:color w:val="000000"/>
                <w:sz w:val="16"/>
                <w:szCs w:val="16"/>
              </w:rPr>
              <w:t>depositor</w:t>
            </w:r>
            <w:proofErr w:type="spellEnd"/>
            <w:r w:rsidR="00D960B4" w:rsidRPr="00E16672">
              <w:rPr>
                <w:rFonts w:ascii="Times New Roman" w:eastAsia="Arial" w:hAnsi="Times New Roman"/>
                <w:color w:val="000000"/>
                <w:sz w:val="16"/>
                <w:szCs w:val="16"/>
              </w:rPr>
              <w:t xml:space="preserve"> </w:t>
            </w:r>
            <w:proofErr w:type="spellStart"/>
            <w:r w:rsidR="00D960B4" w:rsidRPr="00E16672">
              <w:rPr>
                <w:rFonts w:ascii="Times New Roman" w:eastAsia="Arial" w:hAnsi="Times New Roman"/>
                <w:color w:val="000000"/>
                <w:sz w:val="16"/>
                <w:szCs w:val="16"/>
              </w:rPr>
              <w:t>information</w:t>
            </w:r>
            <w:proofErr w:type="spellEnd"/>
            <w:r w:rsidR="00D960B4" w:rsidRPr="00E16672">
              <w:rPr>
                <w:rFonts w:ascii="Times New Roman" w:eastAsia="Arial" w:hAnsi="Times New Roman"/>
                <w:color w:val="000000"/>
                <w:sz w:val="16"/>
                <w:szCs w:val="16"/>
              </w:rPr>
              <w:t xml:space="preserve"> </w:t>
            </w:r>
            <w:proofErr w:type="spellStart"/>
            <w:r w:rsidR="00D960B4" w:rsidRPr="00E16672">
              <w:rPr>
                <w:rFonts w:ascii="Times New Roman" w:eastAsia="Arial" w:hAnsi="Times New Roman"/>
                <w:color w:val="000000"/>
                <w:sz w:val="16"/>
                <w:szCs w:val="16"/>
              </w:rPr>
              <w:t>on</w:t>
            </w:r>
            <w:proofErr w:type="spellEnd"/>
            <w:r w:rsidR="00D960B4" w:rsidRPr="00E16672">
              <w:rPr>
                <w:rFonts w:ascii="Times New Roman" w:eastAsia="Arial" w:hAnsi="Times New Roman"/>
                <w:color w:val="000000"/>
                <w:sz w:val="16"/>
                <w:szCs w:val="16"/>
              </w:rPr>
              <w:t xml:space="preserve"> </w:t>
            </w:r>
            <w:proofErr w:type="spellStart"/>
            <w:r w:rsidR="00D960B4" w:rsidRPr="00E16672">
              <w:rPr>
                <w:rFonts w:ascii="Times New Roman" w:eastAsia="Arial" w:hAnsi="Times New Roman"/>
                <w:color w:val="000000"/>
                <w:sz w:val="16"/>
                <w:szCs w:val="16"/>
              </w:rPr>
              <w:t>the</w:t>
            </w:r>
            <w:proofErr w:type="spellEnd"/>
            <w:r w:rsidR="00D960B4" w:rsidRPr="00E16672">
              <w:rPr>
                <w:rFonts w:ascii="Times New Roman" w:eastAsia="Arial" w:hAnsi="Times New Roman"/>
                <w:color w:val="000000"/>
                <w:sz w:val="16"/>
                <w:szCs w:val="16"/>
              </w:rPr>
              <w:t xml:space="preserve"> </w:t>
            </w:r>
            <w:proofErr w:type="spellStart"/>
            <w:r w:rsidR="00D960B4" w:rsidRPr="00E16672">
              <w:rPr>
                <w:rFonts w:ascii="Times New Roman" w:eastAsia="Arial" w:hAnsi="Times New Roman"/>
                <w:color w:val="000000"/>
                <w:sz w:val="16"/>
                <w:szCs w:val="16"/>
              </w:rPr>
              <w:t>conditions</w:t>
            </w:r>
            <w:proofErr w:type="spellEnd"/>
            <w:r w:rsidR="00D960B4" w:rsidRPr="00E16672">
              <w:rPr>
                <w:rFonts w:ascii="Times New Roman" w:eastAsia="Arial" w:hAnsi="Times New Roman"/>
                <w:color w:val="000000"/>
                <w:sz w:val="16"/>
                <w:szCs w:val="16"/>
              </w:rPr>
              <w:t xml:space="preserve"> </w:t>
            </w:r>
            <w:proofErr w:type="spellStart"/>
            <w:r w:rsidR="00D960B4" w:rsidRPr="00E16672">
              <w:rPr>
                <w:rFonts w:ascii="Times New Roman" w:eastAsia="Arial" w:hAnsi="Times New Roman"/>
                <w:color w:val="000000"/>
                <w:sz w:val="16"/>
                <w:szCs w:val="16"/>
              </w:rPr>
              <w:t>and</w:t>
            </w:r>
            <w:proofErr w:type="spellEnd"/>
            <w:r w:rsidR="00D960B4" w:rsidRPr="00E16672">
              <w:rPr>
                <w:rFonts w:ascii="Times New Roman" w:eastAsia="Arial" w:hAnsi="Times New Roman"/>
                <w:color w:val="000000"/>
                <w:sz w:val="16"/>
                <w:szCs w:val="16"/>
              </w:rPr>
              <w:t xml:space="preserve"> </w:t>
            </w:r>
            <w:proofErr w:type="spellStart"/>
            <w:r w:rsidR="00D960B4" w:rsidRPr="00E16672">
              <w:rPr>
                <w:rFonts w:ascii="Times New Roman" w:eastAsia="Arial" w:hAnsi="Times New Roman"/>
                <w:color w:val="000000"/>
                <w:sz w:val="16"/>
                <w:szCs w:val="16"/>
              </w:rPr>
              <w:t>procedure</w:t>
            </w:r>
            <w:proofErr w:type="spellEnd"/>
            <w:r w:rsidR="00D960B4" w:rsidRPr="00E16672">
              <w:rPr>
                <w:rFonts w:ascii="Times New Roman" w:eastAsia="Arial" w:hAnsi="Times New Roman"/>
                <w:color w:val="000000"/>
                <w:sz w:val="16"/>
                <w:szCs w:val="16"/>
              </w:rPr>
              <w:t xml:space="preserve"> </w:t>
            </w:r>
            <w:proofErr w:type="spellStart"/>
            <w:r w:rsidR="00D960B4" w:rsidRPr="00E16672">
              <w:rPr>
                <w:rFonts w:ascii="Times New Roman" w:eastAsia="Arial" w:hAnsi="Times New Roman"/>
                <w:color w:val="000000"/>
                <w:sz w:val="16"/>
                <w:szCs w:val="16"/>
              </w:rPr>
              <w:t>of</w:t>
            </w:r>
            <w:proofErr w:type="spellEnd"/>
            <w:r w:rsidR="00D960B4" w:rsidRPr="00E16672">
              <w:rPr>
                <w:rFonts w:ascii="Times New Roman" w:eastAsia="Arial" w:hAnsi="Times New Roman"/>
                <w:color w:val="000000"/>
                <w:sz w:val="16"/>
                <w:szCs w:val="16"/>
              </w:rPr>
              <w:t xml:space="preserve"> </w:t>
            </w:r>
            <w:proofErr w:type="spellStart"/>
            <w:r w:rsidR="00D960B4" w:rsidRPr="00E16672">
              <w:rPr>
                <w:rFonts w:ascii="Times New Roman" w:eastAsia="Arial" w:hAnsi="Times New Roman"/>
                <w:color w:val="000000"/>
                <w:sz w:val="16"/>
                <w:szCs w:val="16"/>
              </w:rPr>
              <w:t>the</w:t>
            </w:r>
            <w:proofErr w:type="spellEnd"/>
            <w:r w:rsidR="00D960B4" w:rsidRPr="00E16672">
              <w:rPr>
                <w:rFonts w:ascii="Times New Roman" w:eastAsia="Arial" w:hAnsi="Times New Roman"/>
                <w:color w:val="000000"/>
                <w:sz w:val="16"/>
                <w:szCs w:val="16"/>
              </w:rPr>
              <w:t xml:space="preserve"> </w:t>
            </w:r>
            <w:proofErr w:type="spellStart"/>
            <w:r w:rsidR="00D960B4" w:rsidRPr="00E16672">
              <w:rPr>
                <w:rFonts w:ascii="Times New Roman" w:eastAsia="Arial" w:hAnsi="Times New Roman"/>
                <w:color w:val="000000"/>
                <w:sz w:val="16"/>
                <w:szCs w:val="16"/>
              </w:rPr>
              <w:t>depository</w:t>
            </w:r>
            <w:proofErr w:type="spellEnd"/>
            <w:r w:rsidR="00D960B4" w:rsidRPr="00E16672">
              <w:rPr>
                <w:rFonts w:ascii="Times New Roman" w:eastAsia="Arial" w:hAnsi="Times New Roman"/>
                <w:color w:val="000000"/>
                <w:sz w:val="16"/>
                <w:szCs w:val="16"/>
              </w:rPr>
              <w:t xml:space="preserve"> </w:t>
            </w:r>
            <w:proofErr w:type="spellStart"/>
            <w:r w:rsidR="00D960B4" w:rsidRPr="00E16672">
              <w:rPr>
                <w:rFonts w:ascii="Times New Roman" w:eastAsia="Arial" w:hAnsi="Times New Roman"/>
                <w:color w:val="000000"/>
                <w:sz w:val="16"/>
                <w:szCs w:val="16"/>
              </w:rPr>
              <w:t>institution</w:t>
            </w:r>
            <w:proofErr w:type="spellEnd"/>
            <w:r w:rsidR="00D960B4" w:rsidRPr="00E16672">
              <w:rPr>
                <w:rFonts w:ascii="Times New Roman" w:eastAsia="Arial" w:hAnsi="Times New Roman"/>
                <w:color w:val="000000"/>
                <w:sz w:val="16"/>
                <w:szCs w:val="16"/>
              </w:rPr>
              <w:t xml:space="preserve"> </w:t>
            </w:r>
            <w:proofErr w:type="spellStart"/>
            <w:r w:rsidR="00D960B4" w:rsidRPr="00E16672">
              <w:rPr>
                <w:rFonts w:ascii="Times New Roman" w:eastAsia="Arial" w:hAnsi="Times New Roman"/>
                <w:color w:val="000000"/>
                <w:sz w:val="16"/>
                <w:szCs w:val="16"/>
              </w:rPr>
              <w:t>taking</w:t>
            </w:r>
            <w:proofErr w:type="spellEnd"/>
            <w:r w:rsidR="00D960B4" w:rsidRPr="00E16672">
              <w:rPr>
                <w:rFonts w:ascii="Times New Roman" w:eastAsia="Arial" w:hAnsi="Times New Roman"/>
                <w:color w:val="000000"/>
                <w:sz w:val="16"/>
                <w:szCs w:val="16"/>
              </w:rPr>
              <w:t xml:space="preserve"> </w:t>
            </w:r>
            <w:proofErr w:type="spellStart"/>
            <w:r w:rsidR="00D960B4" w:rsidRPr="00E16672">
              <w:rPr>
                <w:rFonts w:ascii="Times New Roman" w:eastAsia="Arial" w:hAnsi="Times New Roman"/>
                <w:color w:val="000000"/>
                <w:sz w:val="16"/>
                <w:szCs w:val="16"/>
              </w:rPr>
              <w:t>into</w:t>
            </w:r>
            <w:proofErr w:type="spellEnd"/>
            <w:r w:rsidR="00D960B4" w:rsidRPr="00E16672">
              <w:rPr>
                <w:rFonts w:ascii="Times New Roman" w:eastAsia="Arial" w:hAnsi="Times New Roman"/>
                <w:color w:val="000000"/>
                <w:sz w:val="16"/>
                <w:szCs w:val="16"/>
              </w:rPr>
              <w:t xml:space="preserve"> </w:t>
            </w:r>
            <w:proofErr w:type="spellStart"/>
            <w:r w:rsidR="00D960B4" w:rsidRPr="00E16672">
              <w:rPr>
                <w:rFonts w:ascii="Times New Roman" w:eastAsia="Arial" w:hAnsi="Times New Roman"/>
                <w:color w:val="000000"/>
                <w:sz w:val="16"/>
                <w:szCs w:val="16"/>
              </w:rPr>
              <w:t>account</w:t>
            </w:r>
            <w:proofErr w:type="spellEnd"/>
            <w:r w:rsidR="00D960B4" w:rsidRPr="00E16672">
              <w:rPr>
                <w:rFonts w:ascii="Times New Roman" w:eastAsia="Arial" w:hAnsi="Times New Roman"/>
                <w:color w:val="000000"/>
                <w:sz w:val="16"/>
                <w:szCs w:val="16"/>
              </w:rPr>
              <w:t xml:space="preserve"> </w:t>
            </w:r>
            <w:proofErr w:type="spellStart"/>
            <w:r w:rsidR="00D960B4" w:rsidRPr="00E16672">
              <w:rPr>
                <w:rFonts w:ascii="Times New Roman" w:eastAsia="Arial" w:hAnsi="Times New Roman"/>
                <w:color w:val="000000"/>
                <w:sz w:val="16"/>
                <w:szCs w:val="16"/>
              </w:rPr>
              <w:t>the</w:t>
            </w:r>
            <w:proofErr w:type="spellEnd"/>
            <w:r w:rsidR="00D960B4" w:rsidRPr="00E16672">
              <w:rPr>
                <w:rFonts w:ascii="Times New Roman" w:eastAsia="Arial" w:hAnsi="Times New Roman"/>
                <w:color w:val="000000"/>
                <w:sz w:val="16"/>
                <w:szCs w:val="16"/>
              </w:rPr>
              <w:t xml:space="preserve"> </w:t>
            </w:r>
            <w:proofErr w:type="spellStart"/>
            <w:r w:rsidR="00D960B4" w:rsidRPr="00E16672">
              <w:rPr>
                <w:rFonts w:ascii="Times New Roman" w:eastAsia="Arial" w:hAnsi="Times New Roman"/>
                <w:color w:val="000000"/>
                <w:sz w:val="16"/>
                <w:szCs w:val="16"/>
              </w:rPr>
              <w:t>requirements</w:t>
            </w:r>
            <w:proofErr w:type="spellEnd"/>
            <w:r w:rsidR="00D960B4" w:rsidRPr="00E16672">
              <w:rPr>
                <w:rFonts w:ascii="Times New Roman" w:eastAsia="Arial" w:hAnsi="Times New Roman"/>
                <w:color w:val="000000"/>
                <w:sz w:val="16"/>
                <w:szCs w:val="16"/>
              </w:rPr>
              <w:t xml:space="preserve"> </w:t>
            </w:r>
            <w:proofErr w:type="spellStart"/>
            <w:r w:rsidR="00D960B4" w:rsidRPr="00E16672">
              <w:rPr>
                <w:rFonts w:ascii="Times New Roman" w:eastAsia="Arial" w:hAnsi="Times New Roman"/>
                <w:color w:val="000000"/>
                <w:sz w:val="16"/>
                <w:szCs w:val="16"/>
              </w:rPr>
              <w:t>established</w:t>
            </w:r>
            <w:proofErr w:type="spellEnd"/>
            <w:r w:rsidR="00D960B4" w:rsidRPr="00E16672">
              <w:rPr>
                <w:rFonts w:ascii="Times New Roman" w:eastAsia="Arial" w:hAnsi="Times New Roman"/>
                <w:color w:val="000000"/>
                <w:sz w:val="16"/>
                <w:szCs w:val="16"/>
              </w:rPr>
              <w:t xml:space="preserve"> </w:t>
            </w:r>
            <w:proofErr w:type="spellStart"/>
            <w:r w:rsidR="00D960B4" w:rsidRPr="00E16672">
              <w:rPr>
                <w:rFonts w:ascii="Times New Roman" w:eastAsia="Arial" w:hAnsi="Times New Roman"/>
                <w:color w:val="000000"/>
                <w:sz w:val="16"/>
                <w:szCs w:val="16"/>
              </w:rPr>
              <w:t>by</w:t>
            </w:r>
            <w:proofErr w:type="spellEnd"/>
            <w:r w:rsidR="00D960B4" w:rsidRPr="00E16672">
              <w:rPr>
                <w:rFonts w:ascii="Times New Roman" w:eastAsia="Arial" w:hAnsi="Times New Roman"/>
                <w:color w:val="000000"/>
                <w:sz w:val="16"/>
                <w:szCs w:val="16"/>
              </w:rPr>
              <w:t xml:space="preserve"> </w:t>
            </w:r>
            <w:proofErr w:type="spellStart"/>
            <w:r w:rsidR="00D960B4" w:rsidRPr="00E16672">
              <w:rPr>
                <w:rFonts w:ascii="Times New Roman" w:eastAsia="Arial" w:hAnsi="Times New Roman"/>
                <w:color w:val="000000"/>
                <w:sz w:val="16"/>
                <w:szCs w:val="16"/>
              </w:rPr>
              <w:t>part</w:t>
            </w:r>
            <w:proofErr w:type="spellEnd"/>
            <w:r w:rsidR="00D960B4" w:rsidRPr="00E16672">
              <w:rPr>
                <w:rFonts w:ascii="Times New Roman" w:eastAsia="Arial" w:hAnsi="Times New Roman"/>
                <w:color w:val="000000"/>
                <w:sz w:val="16"/>
                <w:szCs w:val="16"/>
              </w:rPr>
              <w:t xml:space="preserve"> </w:t>
            </w:r>
            <w:proofErr w:type="spellStart"/>
            <w:r w:rsidR="00D960B4" w:rsidRPr="00E16672">
              <w:rPr>
                <w:rFonts w:ascii="Times New Roman" w:eastAsia="Arial" w:hAnsi="Times New Roman"/>
                <w:color w:val="000000"/>
                <w:sz w:val="16"/>
                <w:szCs w:val="16"/>
              </w:rPr>
              <w:t>one</w:t>
            </w:r>
            <w:proofErr w:type="spellEnd"/>
            <w:r w:rsidR="00D960B4" w:rsidRPr="00E16672">
              <w:rPr>
                <w:rFonts w:ascii="Times New Roman" w:eastAsia="Arial" w:hAnsi="Times New Roman"/>
                <w:color w:val="000000"/>
                <w:sz w:val="16"/>
                <w:szCs w:val="16"/>
              </w:rPr>
              <w:t xml:space="preserve"> </w:t>
            </w:r>
            <w:proofErr w:type="spellStart"/>
            <w:r w:rsidR="00D960B4" w:rsidRPr="00E16672">
              <w:rPr>
                <w:rFonts w:ascii="Times New Roman" w:eastAsia="Arial" w:hAnsi="Times New Roman"/>
                <w:color w:val="000000"/>
                <w:sz w:val="16"/>
                <w:szCs w:val="16"/>
              </w:rPr>
              <w:t>of</w:t>
            </w:r>
            <w:proofErr w:type="spellEnd"/>
            <w:r w:rsidR="00D960B4" w:rsidRPr="00E16672">
              <w:rPr>
                <w:rFonts w:ascii="Times New Roman" w:eastAsia="Arial" w:hAnsi="Times New Roman"/>
                <w:color w:val="000000"/>
                <w:sz w:val="16"/>
                <w:szCs w:val="16"/>
              </w:rPr>
              <w:t xml:space="preserve"> </w:t>
            </w:r>
            <w:proofErr w:type="spellStart"/>
            <w:r w:rsidR="00D960B4" w:rsidRPr="00E16672">
              <w:rPr>
                <w:rFonts w:ascii="Times New Roman" w:eastAsia="Arial" w:hAnsi="Times New Roman"/>
                <w:color w:val="000000"/>
                <w:sz w:val="16"/>
                <w:szCs w:val="16"/>
              </w:rPr>
              <w:t>Article</w:t>
            </w:r>
            <w:proofErr w:type="spellEnd"/>
            <w:r w:rsidR="00D960B4" w:rsidRPr="00E16672">
              <w:rPr>
                <w:rFonts w:ascii="Times New Roman" w:eastAsia="Arial" w:hAnsi="Times New Roman"/>
                <w:color w:val="000000"/>
                <w:sz w:val="16"/>
                <w:szCs w:val="16"/>
              </w:rPr>
              <w:t xml:space="preserve"> 12 </w:t>
            </w:r>
            <w:proofErr w:type="spellStart"/>
            <w:r w:rsidR="00D960B4" w:rsidRPr="00E16672">
              <w:rPr>
                <w:rFonts w:ascii="Times New Roman" w:eastAsia="Arial" w:hAnsi="Times New Roman"/>
                <w:color w:val="000000"/>
                <w:sz w:val="16"/>
                <w:szCs w:val="16"/>
              </w:rPr>
              <w:t>of</w:t>
            </w:r>
            <w:proofErr w:type="spellEnd"/>
            <w:r w:rsidR="00D960B4" w:rsidRPr="00E16672">
              <w:rPr>
                <w:rFonts w:ascii="Times New Roman" w:eastAsia="Arial" w:hAnsi="Times New Roman"/>
                <w:color w:val="000000"/>
                <w:sz w:val="16"/>
                <w:szCs w:val="16"/>
              </w:rPr>
              <w:t xml:space="preserve"> </w:t>
            </w:r>
            <w:proofErr w:type="spellStart"/>
            <w:r w:rsidR="00D960B4" w:rsidRPr="00E16672">
              <w:rPr>
                <w:rFonts w:ascii="Times New Roman" w:eastAsia="Arial" w:hAnsi="Times New Roman"/>
                <w:color w:val="000000"/>
                <w:sz w:val="16"/>
                <w:szCs w:val="16"/>
              </w:rPr>
              <w:t>the</w:t>
            </w:r>
            <w:proofErr w:type="spellEnd"/>
            <w:r w:rsidR="00D960B4" w:rsidRPr="00E16672">
              <w:rPr>
                <w:rFonts w:ascii="Times New Roman" w:eastAsia="Arial" w:hAnsi="Times New Roman"/>
                <w:color w:val="000000"/>
                <w:sz w:val="16"/>
                <w:szCs w:val="16"/>
              </w:rPr>
              <w:t xml:space="preserve"> </w:t>
            </w:r>
            <w:proofErr w:type="spellStart"/>
            <w:r w:rsidR="00D960B4" w:rsidRPr="00E16672">
              <w:rPr>
                <w:rFonts w:ascii="Times New Roman" w:eastAsia="Arial" w:hAnsi="Times New Roman"/>
                <w:color w:val="000000"/>
                <w:sz w:val="16"/>
                <w:szCs w:val="16"/>
              </w:rPr>
              <w:t>Law</w:t>
            </w:r>
            <w:proofErr w:type="spellEnd"/>
            <w:r w:rsidR="00D960B4" w:rsidRPr="00E16672">
              <w:rPr>
                <w:rFonts w:ascii="Times New Roman" w:eastAsia="Arial" w:hAnsi="Times New Roman"/>
                <w:color w:val="000000"/>
                <w:sz w:val="16"/>
                <w:szCs w:val="16"/>
              </w:rPr>
              <w:t xml:space="preserve"> </w:t>
            </w:r>
            <w:proofErr w:type="spellStart"/>
            <w:r w:rsidR="00D960B4" w:rsidRPr="00E16672">
              <w:rPr>
                <w:rFonts w:ascii="Times New Roman" w:eastAsia="Arial" w:hAnsi="Times New Roman"/>
                <w:color w:val="000000"/>
                <w:sz w:val="16"/>
                <w:szCs w:val="16"/>
              </w:rPr>
              <w:t>of</w:t>
            </w:r>
            <w:proofErr w:type="spellEnd"/>
            <w:r w:rsidR="00D960B4" w:rsidRPr="00E16672">
              <w:rPr>
                <w:rFonts w:ascii="Times New Roman" w:eastAsia="Arial" w:hAnsi="Times New Roman"/>
                <w:color w:val="000000"/>
                <w:sz w:val="16"/>
                <w:szCs w:val="16"/>
              </w:rPr>
              <w:t xml:space="preserve"> </w:t>
            </w:r>
            <w:proofErr w:type="spellStart"/>
            <w:r w:rsidR="00D960B4" w:rsidRPr="00E16672">
              <w:rPr>
                <w:rFonts w:ascii="Times New Roman" w:eastAsia="Arial" w:hAnsi="Times New Roman"/>
                <w:color w:val="000000"/>
                <w:sz w:val="16"/>
                <w:szCs w:val="16"/>
              </w:rPr>
              <w:t>Ukraine</w:t>
            </w:r>
            <w:proofErr w:type="spellEnd"/>
            <w:r w:rsidR="00D960B4" w:rsidRPr="00E16672">
              <w:rPr>
                <w:rFonts w:ascii="Times New Roman" w:eastAsia="Arial" w:hAnsi="Times New Roman"/>
                <w:color w:val="000000"/>
                <w:sz w:val="16"/>
                <w:szCs w:val="16"/>
              </w:rPr>
              <w:t xml:space="preserve"> </w:t>
            </w:r>
            <w:r w:rsidR="00022F5F">
              <w:rPr>
                <w:rFonts w:ascii="Times New Roman" w:eastAsia="Arial" w:hAnsi="Times New Roman"/>
                <w:color w:val="000000"/>
                <w:sz w:val="16"/>
                <w:szCs w:val="16"/>
                <w:lang w:val="en-US"/>
              </w:rPr>
              <w:t>"</w:t>
            </w:r>
            <w:proofErr w:type="spellStart"/>
            <w:r w:rsidR="00D960B4" w:rsidRPr="00E16672">
              <w:rPr>
                <w:rFonts w:ascii="Times New Roman" w:eastAsia="Arial" w:hAnsi="Times New Roman"/>
                <w:color w:val="000000"/>
                <w:sz w:val="16"/>
                <w:szCs w:val="16"/>
              </w:rPr>
              <w:t>On</w:t>
            </w:r>
            <w:proofErr w:type="spellEnd"/>
            <w:r w:rsidR="00D960B4" w:rsidRPr="00E16672">
              <w:rPr>
                <w:rFonts w:ascii="Times New Roman" w:eastAsia="Arial" w:hAnsi="Times New Roman"/>
                <w:color w:val="000000"/>
                <w:sz w:val="16"/>
                <w:szCs w:val="16"/>
              </w:rPr>
              <w:t xml:space="preserve"> </w:t>
            </w:r>
            <w:proofErr w:type="spellStart"/>
            <w:r w:rsidR="00D960B4" w:rsidRPr="00E16672">
              <w:rPr>
                <w:rFonts w:ascii="Times New Roman" w:eastAsia="Arial" w:hAnsi="Times New Roman"/>
                <w:color w:val="000000"/>
                <w:sz w:val="16"/>
                <w:szCs w:val="16"/>
              </w:rPr>
              <w:t>Financial</w:t>
            </w:r>
            <w:proofErr w:type="spellEnd"/>
            <w:r w:rsidR="00D960B4" w:rsidRPr="00E16672">
              <w:rPr>
                <w:rFonts w:ascii="Times New Roman" w:eastAsia="Arial" w:hAnsi="Times New Roman"/>
                <w:color w:val="000000"/>
                <w:sz w:val="16"/>
                <w:szCs w:val="16"/>
              </w:rPr>
              <w:t xml:space="preserve"> </w:t>
            </w:r>
            <w:proofErr w:type="spellStart"/>
            <w:r w:rsidR="00D960B4" w:rsidRPr="00E16672">
              <w:rPr>
                <w:rFonts w:ascii="Times New Roman" w:eastAsia="Arial" w:hAnsi="Times New Roman"/>
                <w:color w:val="000000"/>
                <w:sz w:val="16"/>
                <w:szCs w:val="16"/>
              </w:rPr>
              <w:t>Services</w:t>
            </w:r>
            <w:proofErr w:type="spellEnd"/>
            <w:r w:rsidR="00D960B4" w:rsidRPr="00E16672">
              <w:rPr>
                <w:rFonts w:ascii="Times New Roman" w:eastAsia="Arial" w:hAnsi="Times New Roman"/>
                <w:color w:val="000000"/>
                <w:sz w:val="16"/>
                <w:szCs w:val="16"/>
              </w:rPr>
              <w:t xml:space="preserve"> </w:t>
            </w:r>
            <w:proofErr w:type="spellStart"/>
            <w:r w:rsidR="00D960B4" w:rsidRPr="00E16672">
              <w:rPr>
                <w:rFonts w:ascii="Times New Roman" w:eastAsia="Arial" w:hAnsi="Times New Roman"/>
                <w:color w:val="000000"/>
                <w:sz w:val="16"/>
                <w:szCs w:val="16"/>
              </w:rPr>
              <w:t>and</w:t>
            </w:r>
            <w:proofErr w:type="spellEnd"/>
            <w:r w:rsidR="00D960B4" w:rsidRPr="00E16672">
              <w:rPr>
                <w:rFonts w:ascii="Times New Roman" w:eastAsia="Arial" w:hAnsi="Times New Roman"/>
                <w:color w:val="000000"/>
                <w:sz w:val="16"/>
                <w:szCs w:val="16"/>
              </w:rPr>
              <w:t xml:space="preserve"> </w:t>
            </w:r>
            <w:proofErr w:type="spellStart"/>
            <w:r w:rsidR="00D960B4" w:rsidRPr="00E16672">
              <w:rPr>
                <w:rFonts w:ascii="Times New Roman" w:eastAsia="Arial" w:hAnsi="Times New Roman"/>
                <w:color w:val="000000"/>
                <w:sz w:val="16"/>
                <w:szCs w:val="16"/>
              </w:rPr>
              <w:t>State</w:t>
            </w:r>
            <w:proofErr w:type="spellEnd"/>
            <w:r w:rsidR="00D960B4" w:rsidRPr="00E16672">
              <w:rPr>
                <w:rFonts w:ascii="Times New Roman" w:eastAsia="Arial" w:hAnsi="Times New Roman"/>
                <w:color w:val="000000"/>
                <w:sz w:val="16"/>
                <w:szCs w:val="16"/>
              </w:rPr>
              <w:t xml:space="preserve"> </w:t>
            </w:r>
            <w:proofErr w:type="spellStart"/>
            <w:r w:rsidR="00D960B4" w:rsidRPr="00E16672">
              <w:rPr>
                <w:rFonts w:ascii="Times New Roman" w:eastAsia="Arial" w:hAnsi="Times New Roman"/>
                <w:color w:val="000000"/>
                <w:sz w:val="16"/>
                <w:szCs w:val="16"/>
              </w:rPr>
              <w:t>Regulation</w:t>
            </w:r>
            <w:proofErr w:type="spellEnd"/>
            <w:r w:rsidR="00D960B4" w:rsidRPr="00E16672">
              <w:rPr>
                <w:rFonts w:ascii="Times New Roman" w:eastAsia="Arial" w:hAnsi="Times New Roman"/>
                <w:color w:val="000000"/>
                <w:sz w:val="16"/>
                <w:szCs w:val="16"/>
              </w:rPr>
              <w:t xml:space="preserve"> </w:t>
            </w:r>
            <w:proofErr w:type="spellStart"/>
            <w:r w:rsidR="00D960B4" w:rsidRPr="00E16672">
              <w:rPr>
                <w:rFonts w:ascii="Times New Roman" w:eastAsia="Arial" w:hAnsi="Times New Roman"/>
                <w:color w:val="000000"/>
                <w:sz w:val="16"/>
                <w:szCs w:val="16"/>
              </w:rPr>
              <w:t>of</w:t>
            </w:r>
            <w:proofErr w:type="spellEnd"/>
            <w:r w:rsidR="00D960B4" w:rsidRPr="00E16672">
              <w:rPr>
                <w:rFonts w:ascii="Times New Roman" w:eastAsia="Arial" w:hAnsi="Times New Roman"/>
                <w:color w:val="000000"/>
                <w:sz w:val="16"/>
                <w:szCs w:val="16"/>
              </w:rPr>
              <w:t xml:space="preserve"> </w:t>
            </w:r>
            <w:proofErr w:type="spellStart"/>
            <w:r w:rsidR="00D960B4" w:rsidRPr="00E16672">
              <w:rPr>
                <w:rFonts w:ascii="Times New Roman" w:eastAsia="Arial" w:hAnsi="Times New Roman"/>
                <w:color w:val="000000"/>
                <w:sz w:val="16"/>
                <w:szCs w:val="16"/>
              </w:rPr>
              <w:t>Financial</w:t>
            </w:r>
            <w:proofErr w:type="spellEnd"/>
            <w:r w:rsidR="00D960B4" w:rsidRPr="00E16672">
              <w:rPr>
                <w:rFonts w:ascii="Times New Roman" w:eastAsia="Arial" w:hAnsi="Times New Roman"/>
                <w:color w:val="000000"/>
                <w:sz w:val="16"/>
                <w:szCs w:val="16"/>
              </w:rPr>
              <w:t xml:space="preserve"> </w:t>
            </w:r>
            <w:proofErr w:type="spellStart"/>
            <w:r w:rsidR="00D960B4" w:rsidRPr="00E16672">
              <w:rPr>
                <w:rFonts w:ascii="Times New Roman" w:eastAsia="Arial" w:hAnsi="Times New Roman"/>
                <w:color w:val="000000"/>
                <w:sz w:val="16"/>
                <w:szCs w:val="16"/>
              </w:rPr>
              <w:t>Services</w:t>
            </w:r>
            <w:proofErr w:type="spellEnd"/>
            <w:r w:rsidR="00D960B4" w:rsidRPr="00E16672">
              <w:rPr>
                <w:rFonts w:ascii="Times New Roman" w:eastAsia="Arial" w:hAnsi="Times New Roman"/>
                <w:color w:val="000000"/>
                <w:sz w:val="16"/>
                <w:szCs w:val="16"/>
              </w:rPr>
              <w:t xml:space="preserve"> </w:t>
            </w:r>
            <w:proofErr w:type="spellStart"/>
            <w:r w:rsidR="00D960B4" w:rsidRPr="00E16672">
              <w:rPr>
                <w:rFonts w:ascii="Times New Roman" w:eastAsia="Arial" w:hAnsi="Times New Roman"/>
                <w:color w:val="000000"/>
                <w:sz w:val="16"/>
                <w:szCs w:val="16"/>
              </w:rPr>
              <w:t>Markets</w:t>
            </w:r>
            <w:proofErr w:type="spellEnd"/>
            <w:r w:rsidR="00022F5F">
              <w:rPr>
                <w:rFonts w:ascii="Times New Roman" w:eastAsia="Arial" w:hAnsi="Times New Roman"/>
                <w:color w:val="000000"/>
                <w:sz w:val="16"/>
                <w:szCs w:val="16"/>
                <w:lang w:val="en-US"/>
              </w:rPr>
              <w:t>"</w:t>
            </w:r>
            <w:r w:rsidR="00E51F85" w:rsidRPr="00E16672">
              <w:rPr>
                <w:rFonts w:ascii="Times New Roman" w:eastAsia="Arial" w:hAnsi="Times New Roman"/>
                <w:color w:val="000000"/>
                <w:sz w:val="16"/>
                <w:szCs w:val="16"/>
              </w:rPr>
              <w:t>.</w:t>
            </w:r>
          </w:p>
          <w:p w14:paraId="28C5454F" w14:textId="77777777" w:rsidR="00F333F6" w:rsidRPr="00E16672" w:rsidRDefault="00F333F6" w:rsidP="00547A75">
            <w:pPr>
              <w:pStyle w:val="210"/>
              <w:snapToGrid w:val="0"/>
              <w:ind w:left="145" w:right="100" w:firstLine="3"/>
              <w:rPr>
                <w:rFonts w:ascii="Times New Roman" w:eastAsia="Arial" w:hAnsi="Times New Roman"/>
                <w:color w:val="000000"/>
                <w:sz w:val="16"/>
                <w:szCs w:val="16"/>
              </w:rPr>
            </w:pPr>
          </w:p>
        </w:tc>
      </w:tr>
      <w:tr w:rsidR="00E51F85" w:rsidRPr="00F23413" w14:paraId="1DC88DF8" w14:textId="77777777" w:rsidTr="009311BB">
        <w:tblPrEx>
          <w:tblCellMar>
            <w:left w:w="0" w:type="dxa"/>
            <w:right w:w="0" w:type="dxa"/>
          </w:tblCellMar>
        </w:tblPrEx>
        <w:trPr>
          <w:trHeight w:val="192"/>
        </w:trPr>
        <w:tc>
          <w:tcPr>
            <w:tcW w:w="5696" w:type="dxa"/>
            <w:gridSpan w:val="6"/>
            <w:shd w:val="clear" w:color="auto" w:fill="auto"/>
          </w:tcPr>
          <w:p w14:paraId="3CC06E52" w14:textId="77777777" w:rsidR="00E51F85" w:rsidRPr="00E16672" w:rsidRDefault="006A4D27" w:rsidP="00547A75">
            <w:pPr>
              <w:tabs>
                <w:tab w:val="left" w:pos="851"/>
                <w:tab w:val="left" w:pos="7200"/>
              </w:tabs>
              <w:ind w:left="142" w:right="138" w:firstLine="40"/>
              <w:rPr>
                <w:rFonts w:ascii="Times New Roman" w:hAnsi="Times New Roman"/>
                <w:color w:val="000000"/>
                <w:sz w:val="16"/>
                <w:szCs w:val="16"/>
              </w:rPr>
            </w:pPr>
            <w:r w:rsidRPr="00E16672">
              <w:rPr>
                <w:rFonts w:ascii="Times New Roman" w:hAnsi="Times New Roman"/>
                <w:color w:val="000000"/>
                <w:sz w:val="16"/>
                <w:szCs w:val="16"/>
              </w:rPr>
              <w:t>2.1.</w:t>
            </w:r>
            <w:r w:rsidR="00F333F6" w:rsidRPr="00E16672">
              <w:rPr>
                <w:rFonts w:ascii="Times New Roman" w:hAnsi="Times New Roman"/>
                <w:color w:val="000000"/>
                <w:sz w:val="16"/>
                <w:szCs w:val="16"/>
              </w:rPr>
              <w:t>2</w:t>
            </w:r>
            <w:r w:rsidR="00F333F6" w:rsidRPr="00E16672">
              <w:rPr>
                <w:rFonts w:ascii="Times New Roman" w:hAnsi="Times New Roman"/>
                <w:color w:val="000000"/>
                <w:sz w:val="16"/>
                <w:szCs w:val="16"/>
                <w:lang w:val="uk-UA"/>
              </w:rPr>
              <w:t>1</w:t>
            </w:r>
            <w:r w:rsidR="00E51F85" w:rsidRPr="00E16672">
              <w:rPr>
                <w:rFonts w:ascii="Times New Roman" w:hAnsi="Times New Roman"/>
                <w:color w:val="000000"/>
                <w:sz w:val="16"/>
                <w:szCs w:val="16"/>
              </w:rPr>
              <w:t xml:space="preserve">. </w:t>
            </w:r>
            <w:proofErr w:type="spellStart"/>
            <w:r w:rsidR="00E51F85" w:rsidRPr="00E16672">
              <w:rPr>
                <w:rFonts w:ascii="Times New Roman" w:hAnsi="Times New Roman"/>
                <w:color w:val="000000"/>
                <w:sz w:val="16"/>
                <w:szCs w:val="16"/>
              </w:rPr>
              <w:t>Отримавши</w:t>
            </w:r>
            <w:proofErr w:type="spellEnd"/>
            <w:r w:rsidR="00E51F85" w:rsidRPr="00E16672">
              <w:rPr>
                <w:rFonts w:ascii="Times New Roman" w:hAnsi="Times New Roman"/>
                <w:color w:val="000000"/>
                <w:sz w:val="16"/>
                <w:szCs w:val="16"/>
              </w:rPr>
              <w:t xml:space="preserve"> </w:t>
            </w:r>
            <w:proofErr w:type="spellStart"/>
            <w:r w:rsidR="00E51F85" w:rsidRPr="00E16672">
              <w:rPr>
                <w:rFonts w:ascii="Times New Roman" w:hAnsi="Times New Roman"/>
                <w:color w:val="000000"/>
                <w:sz w:val="16"/>
                <w:szCs w:val="16"/>
              </w:rPr>
              <w:t>від</w:t>
            </w:r>
            <w:proofErr w:type="spellEnd"/>
            <w:r w:rsidR="00E51F85" w:rsidRPr="00E16672">
              <w:rPr>
                <w:rFonts w:ascii="Times New Roman" w:hAnsi="Times New Roman"/>
                <w:color w:val="000000"/>
                <w:sz w:val="16"/>
                <w:szCs w:val="16"/>
              </w:rPr>
              <w:t xml:space="preserve"> Центрального </w:t>
            </w:r>
            <w:proofErr w:type="spellStart"/>
            <w:r w:rsidR="00E51F85" w:rsidRPr="00E16672">
              <w:rPr>
                <w:rFonts w:ascii="Times New Roman" w:hAnsi="Times New Roman"/>
                <w:color w:val="000000"/>
                <w:sz w:val="16"/>
                <w:szCs w:val="16"/>
              </w:rPr>
              <w:t>депозитарію</w:t>
            </w:r>
            <w:proofErr w:type="spellEnd"/>
            <w:r w:rsidR="00E51F85" w:rsidRPr="00E16672">
              <w:rPr>
                <w:rFonts w:ascii="Times New Roman" w:hAnsi="Times New Roman"/>
                <w:color w:val="000000"/>
                <w:sz w:val="16"/>
                <w:szCs w:val="16"/>
              </w:rPr>
              <w:t xml:space="preserve"> </w:t>
            </w:r>
            <w:proofErr w:type="spellStart"/>
            <w:r w:rsidR="00E51F85" w:rsidRPr="00E16672">
              <w:rPr>
                <w:rFonts w:ascii="Times New Roman" w:hAnsi="Times New Roman"/>
                <w:color w:val="000000"/>
                <w:sz w:val="16"/>
                <w:szCs w:val="16"/>
              </w:rPr>
              <w:t>повідомлення</w:t>
            </w:r>
            <w:proofErr w:type="spellEnd"/>
            <w:r w:rsidR="00E51F85" w:rsidRPr="00E16672">
              <w:rPr>
                <w:rFonts w:ascii="Times New Roman" w:hAnsi="Times New Roman"/>
                <w:color w:val="000000"/>
                <w:sz w:val="16"/>
                <w:szCs w:val="16"/>
              </w:rPr>
              <w:t xml:space="preserve"> про </w:t>
            </w:r>
            <w:proofErr w:type="spellStart"/>
            <w:r w:rsidR="00E51F85" w:rsidRPr="00E16672">
              <w:rPr>
                <w:rFonts w:ascii="Times New Roman" w:hAnsi="Times New Roman"/>
                <w:color w:val="000000"/>
                <w:sz w:val="16"/>
                <w:szCs w:val="16"/>
              </w:rPr>
              <w:t>завершення</w:t>
            </w:r>
            <w:proofErr w:type="spellEnd"/>
            <w:r w:rsidR="00E51F85" w:rsidRPr="00E16672">
              <w:rPr>
                <w:rFonts w:ascii="Times New Roman" w:hAnsi="Times New Roman"/>
                <w:color w:val="000000"/>
                <w:sz w:val="16"/>
                <w:szCs w:val="16"/>
              </w:rPr>
              <w:t xml:space="preserve"> </w:t>
            </w:r>
            <w:proofErr w:type="spellStart"/>
            <w:r w:rsidR="00E51F85" w:rsidRPr="00E16672">
              <w:rPr>
                <w:rFonts w:ascii="Times New Roman" w:hAnsi="Times New Roman"/>
                <w:color w:val="000000"/>
                <w:sz w:val="16"/>
                <w:szCs w:val="16"/>
              </w:rPr>
              <w:t>процедури</w:t>
            </w:r>
            <w:proofErr w:type="spellEnd"/>
            <w:r w:rsidR="00E51F85" w:rsidRPr="00E16672">
              <w:rPr>
                <w:rFonts w:ascii="Times New Roman" w:hAnsi="Times New Roman"/>
                <w:color w:val="000000"/>
                <w:sz w:val="16"/>
                <w:szCs w:val="16"/>
              </w:rPr>
              <w:t xml:space="preserve"> </w:t>
            </w:r>
            <w:proofErr w:type="spellStart"/>
            <w:r w:rsidR="00E51F85" w:rsidRPr="00E16672">
              <w:rPr>
                <w:rFonts w:ascii="Times New Roman" w:hAnsi="Times New Roman"/>
                <w:color w:val="000000"/>
                <w:sz w:val="16"/>
                <w:szCs w:val="16"/>
              </w:rPr>
              <w:t>переведення</w:t>
            </w:r>
            <w:proofErr w:type="spellEnd"/>
            <w:r w:rsidR="00E51F85" w:rsidRPr="00E16672">
              <w:rPr>
                <w:rFonts w:ascii="Times New Roman" w:hAnsi="Times New Roman"/>
                <w:color w:val="000000"/>
                <w:sz w:val="16"/>
                <w:szCs w:val="16"/>
              </w:rPr>
              <w:t xml:space="preserve"> </w:t>
            </w:r>
            <w:proofErr w:type="spellStart"/>
            <w:r w:rsidR="00E51F85" w:rsidRPr="00E16672">
              <w:rPr>
                <w:rFonts w:ascii="Times New Roman" w:hAnsi="Times New Roman"/>
                <w:color w:val="000000"/>
                <w:sz w:val="16"/>
                <w:szCs w:val="16"/>
              </w:rPr>
              <w:t>іменних</w:t>
            </w:r>
            <w:proofErr w:type="spellEnd"/>
            <w:r w:rsidR="00E51F85" w:rsidRPr="00E16672">
              <w:rPr>
                <w:rFonts w:ascii="Times New Roman" w:hAnsi="Times New Roman"/>
                <w:color w:val="000000"/>
                <w:sz w:val="16"/>
                <w:szCs w:val="16"/>
              </w:rPr>
              <w:t xml:space="preserve"> </w:t>
            </w:r>
            <w:proofErr w:type="spellStart"/>
            <w:r w:rsidR="00E51F85" w:rsidRPr="00E16672">
              <w:rPr>
                <w:rFonts w:ascii="Times New Roman" w:hAnsi="Times New Roman"/>
                <w:color w:val="000000"/>
                <w:sz w:val="16"/>
                <w:szCs w:val="16"/>
              </w:rPr>
              <w:t>цінних</w:t>
            </w:r>
            <w:proofErr w:type="spellEnd"/>
            <w:r w:rsidR="00E51F85" w:rsidRPr="00E16672">
              <w:rPr>
                <w:rFonts w:ascii="Times New Roman" w:hAnsi="Times New Roman"/>
                <w:color w:val="000000"/>
                <w:sz w:val="16"/>
                <w:szCs w:val="16"/>
              </w:rPr>
              <w:t xml:space="preserve"> </w:t>
            </w:r>
            <w:proofErr w:type="spellStart"/>
            <w:r w:rsidR="00E51F85" w:rsidRPr="00E16672">
              <w:rPr>
                <w:rFonts w:ascii="Times New Roman" w:hAnsi="Times New Roman"/>
                <w:color w:val="000000"/>
                <w:sz w:val="16"/>
                <w:szCs w:val="16"/>
              </w:rPr>
              <w:t>паперів</w:t>
            </w:r>
            <w:proofErr w:type="spellEnd"/>
            <w:r w:rsidR="00E51F85" w:rsidRPr="00E16672">
              <w:rPr>
                <w:rFonts w:ascii="Times New Roman" w:hAnsi="Times New Roman"/>
                <w:color w:val="000000"/>
                <w:sz w:val="16"/>
                <w:szCs w:val="16"/>
              </w:rPr>
              <w:t xml:space="preserve"> </w:t>
            </w:r>
            <w:proofErr w:type="spellStart"/>
            <w:r w:rsidR="00E51F85" w:rsidRPr="00E16672">
              <w:rPr>
                <w:rFonts w:ascii="Times New Roman" w:hAnsi="Times New Roman"/>
                <w:color w:val="000000"/>
                <w:sz w:val="16"/>
                <w:szCs w:val="16"/>
              </w:rPr>
              <w:t>певного</w:t>
            </w:r>
            <w:proofErr w:type="spellEnd"/>
            <w:r w:rsidR="00E51F85" w:rsidRPr="00E16672">
              <w:rPr>
                <w:rFonts w:ascii="Times New Roman" w:hAnsi="Times New Roman"/>
                <w:color w:val="000000"/>
                <w:sz w:val="16"/>
                <w:szCs w:val="16"/>
              </w:rPr>
              <w:t xml:space="preserve"> </w:t>
            </w:r>
            <w:proofErr w:type="spellStart"/>
            <w:r w:rsidR="00E51F85" w:rsidRPr="00E16672">
              <w:rPr>
                <w:rFonts w:ascii="Times New Roman" w:hAnsi="Times New Roman"/>
                <w:color w:val="000000"/>
                <w:sz w:val="16"/>
                <w:szCs w:val="16"/>
              </w:rPr>
              <w:t>випуску</w:t>
            </w:r>
            <w:proofErr w:type="spellEnd"/>
            <w:r w:rsidR="00E51F85" w:rsidRPr="00E16672">
              <w:rPr>
                <w:rFonts w:ascii="Times New Roman" w:hAnsi="Times New Roman"/>
                <w:color w:val="000000"/>
                <w:sz w:val="16"/>
                <w:szCs w:val="16"/>
              </w:rPr>
              <w:t xml:space="preserve"> у </w:t>
            </w:r>
            <w:proofErr w:type="spellStart"/>
            <w:r w:rsidR="00E51F85" w:rsidRPr="00E16672">
              <w:rPr>
                <w:rFonts w:ascii="Times New Roman" w:hAnsi="Times New Roman"/>
                <w:color w:val="000000"/>
                <w:sz w:val="16"/>
                <w:szCs w:val="16"/>
              </w:rPr>
              <w:t>бездокументарну</w:t>
            </w:r>
            <w:proofErr w:type="spellEnd"/>
            <w:r w:rsidR="00E51F85" w:rsidRPr="00E16672">
              <w:rPr>
                <w:rFonts w:ascii="Times New Roman" w:hAnsi="Times New Roman"/>
                <w:color w:val="000000"/>
                <w:sz w:val="16"/>
                <w:szCs w:val="16"/>
              </w:rPr>
              <w:t xml:space="preserve"> форму </w:t>
            </w:r>
            <w:proofErr w:type="spellStart"/>
            <w:r w:rsidR="00E51F85" w:rsidRPr="00E16672">
              <w:rPr>
                <w:rFonts w:ascii="Times New Roman" w:hAnsi="Times New Roman"/>
                <w:color w:val="000000"/>
                <w:sz w:val="16"/>
                <w:szCs w:val="16"/>
              </w:rPr>
              <w:t>існування</w:t>
            </w:r>
            <w:proofErr w:type="spellEnd"/>
            <w:r w:rsidR="00E51F85" w:rsidRPr="00E16672">
              <w:rPr>
                <w:rFonts w:ascii="Times New Roman" w:hAnsi="Times New Roman"/>
                <w:color w:val="000000"/>
                <w:sz w:val="16"/>
                <w:szCs w:val="16"/>
              </w:rPr>
              <w:t xml:space="preserve">, </w:t>
            </w:r>
            <w:proofErr w:type="spellStart"/>
            <w:r w:rsidR="00E51F85" w:rsidRPr="00E16672">
              <w:rPr>
                <w:rFonts w:ascii="Times New Roman" w:hAnsi="Times New Roman"/>
                <w:color w:val="000000"/>
                <w:sz w:val="16"/>
                <w:szCs w:val="16"/>
              </w:rPr>
              <w:t>протягом</w:t>
            </w:r>
            <w:proofErr w:type="spellEnd"/>
            <w:r w:rsidR="00E51F85" w:rsidRPr="00E16672">
              <w:rPr>
                <w:rFonts w:ascii="Times New Roman" w:hAnsi="Times New Roman"/>
                <w:color w:val="000000"/>
                <w:sz w:val="16"/>
                <w:szCs w:val="16"/>
              </w:rPr>
              <w:t xml:space="preserve"> </w:t>
            </w:r>
            <w:r w:rsidR="00E51F85" w:rsidRPr="00E16672">
              <w:rPr>
                <w:rFonts w:ascii="Times New Roman" w:hAnsi="Times New Roman"/>
                <w:i/>
                <w:iCs/>
                <w:color w:val="000000"/>
                <w:sz w:val="16"/>
                <w:szCs w:val="16"/>
                <w:lang w:val="uk-UA"/>
              </w:rPr>
              <w:t>трьох</w:t>
            </w:r>
            <w:r w:rsidR="00E51F85" w:rsidRPr="00E16672">
              <w:rPr>
                <w:rFonts w:ascii="Times New Roman" w:hAnsi="Times New Roman"/>
                <w:color w:val="000000"/>
                <w:sz w:val="16"/>
                <w:szCs w:val="16"/>
                <w:lang w:val="uk-UA"/>
              </w:rPr>
              <w:t xml:space="preserve"> </w:t>
            </w:r>
            <w:proofErr w:type="spellStart"/>
            <w:r w:rsidR="00E51F85" w:rsidRPr="00E16672">
              <w:rPr>
                <w:rFonts w:ascii="Times New Roman" w:hAnsi="Times New Roman"/>
                <w:color w:val="000000"/>
                <w:sz w:val="16"/>
                <w:szCs w:val="16"/>
              </w:rPr>
              <w:t>днів</w:t>
            </w:r>
            <w:proofErr w:type="spellEnd"/>
            <w:r w:rsidR="00E51F85" w:rsidRPr="00E16672">
              <w:rPr>
                <w:rFonts w:ascii="Times New Roman" w:hAnsi="Times New Roman"/>
                <w:color w:val="000000"/>
                <w:sz w:val="16"/>
                <w:szCs w:val="16"/>
              </w:rPr>
              <w:t xml:space="preserve"> </w:t>
            </w:r>
            <w:proofErr w:type="spellStart"/>
            <w:r w:rsidR="00E51F85" w:rsidRPr="00E16672">
              <w:rPr>
                <w:rFonts w:ascii="Times New Roman" w:hAnsi="Times New Roman"/>
                <w:color w:val="000000"/>
                <w:sz w:val="16"/>
                <w:szCs w:val="16"/>
              </w:rPr>
              <w:t>повідомити</w:t>
            </w:r>
            <w:proofErr w:type="spellEnd"/>
            <w:r w:rsidR="00E51F85" w:rsidRPr="00E16672">
              <w:rPr>
                <w:rFonts w:ascii="Times New Roman" w:hAnsi="Times New Roman"/>
                <w:color w:val="000000"/>
                <w:sz w:val="16"/>
                <w:szCs w:val="16"/>
              </w:rPr>
              <w:t xml:space="preserve"> про </w:t>
            </w:r>
            <w:proofErr w:type="spellStart"/>
            <w:r w:rsidR="00E51F85" w:rsidRPr="00E16672">
              <w:rPr>
                <w:rFonts w:ascii="Times New Roman" w:hAnsi="Times New Roman"/>
                <w:color w:val="000000"/>
                <w:sz w:val="16"/>
                <w:szCs w:val="16"/>
              </w:rPr>
              <w:t>її</w:t>
            </w:r>
            <w:proofErr w:type="spellEnd"/>
            <w:r w:rsidR="00E51F85" w:rsidRPr="00E16672">
              <w:rPr>
                <w:rFonts w:ascii="Times New Roman" w:hAnsi="Times New Roman"/>
                <w:color w:val="000000"/>
                <w:sz w:val="16"/>
                <w:szCs w:val="16"/>
              </w:rPr>
              <w:t xml:space="preserve"> </w:t>
            </w:r>
            <w:proofErr w:type="spellStart"/>
            <w:r w:rsidR="00E51F85" w:rsidRPr="00E16672">
              <w:rPr>
                <w:rFonts w:ascii="Times New Roman" w:hAnsi="Times New Roman"/>
                <w:color w:val="000000"/>
                <w:sz w:val="16"/>
                <w:szCs w:val="16"/>
              </w:rPr>
              <w:t>завершення</w:t>
            </w:r>
            <w:proofErr w:type="spellEnd"/>
            <w:r w:rsidR="00E51F85" w:rsidRPr="00E16672">
              <w:rPr>
                <w:rFonts w:ascii="Times New Roman" w:hAnsi="Times New Roman"/>
                <w:color w:val="000000"/>
                <w:sz w:val="16"/>
                <w:szCs w:val="16"/>
              </w:rPr>
              <w:t xml:space="preserve"> Депонента, </w:t>
            </w:r>
            <w:proofErr w:type="spellStart"/>
            <w:r w:rsidR="00E51F85" w:rsidRPr="00E16672">
              <w:rPr>
                <w:rFonts w:ascii="Times New Roman" w:hAnsi="Times New Roman"/>
                <w:color w:val="000000"/>
                <w:sz w:val="16"/>
                <w:szCs w:val="16"/>
              </w:rPr>
              <w:t>якщо</w:t>
            </w:r>
            <w:proofErr w:type="spellEnd"/>
            <w:r w:rsidR="00E51F85" w:rsidRPr="00E16672">
              <w:rPr>
                <w:rFonts w:ascii="Times New Roman" w:hAnsi="Times New Roman"/>
                <w:color w:val="000000"/>
                <w:sz w:val="16"/>
                <w:szCs w:val="16"/>
              </w:rPr>
              <w:t xml:space="preserve"> на </w:t>
            </w:r>
            <w:proofErr w:type="spellStart"/>
            <w:r w:rsidR="00E51F85" w:rsidRPr="00E16672">
              <w:rPr>
                <w:rFonts w:ascii="Times New Roman" w:hAnsi="Times New Roman"/>
                <w:color w:val="000000"/>
                <w:sz w:val="16"/>
                <w:szCs w:val="16"/>
              </w:rPr>
              <w:t>його</w:t>
            </w:r>
            <w:proofErr w:type="spellEnd"/>
            <w:r w:rsidR="00E51F85" w:rsidRPr="00E16672">
              <w:rPr>
                <w:rFonts w:ascii="Times New Roman" w:hAnsi="Times New Roman"/>
                <w:color w:val="000000"/>
                <w:sz w:val="16"/>
                <w:szCs w:val="16"/>
              </w:rPr>
              <w:t xml:space="preserve"> </w:t>
            </w:r>
            <w:proofErr w:type="spellStart"/>
            <w:r w:rsidR="00E51F85" w:rsidRPr="00E16672">
              <w:rPr>
                <w:rFonts w:ascii="Times New Roman" w:hAnsi="Times New Roman"/>
                <w:color w:val="000000"/>
                <w:sz w:val="16"/>
                <w:szCs w:val="16"/>
              </w:rPr>
              <w:t>рахунку</w:t>
            </w:r>
            <w:proofErr w:type="spellEnd"/>
            <w:r w:rsidR="00E51F85" w:rsidRPr="00E16672">
              <w:rPr>
                <w:rFonts w:ascii="Times New Roman" w:hAnsi="Times New Roman"/>
                <w:color w:val="000000"/>
                <w:sz w:val="16"/>
                <w:szCs w:val="16"/>
              </w:rPr>
              <w:t xml:space="preserve"> </w:t>
            </w:r>
            <w:proofErr w:type="spellStart"/>
            <w:r w:rsidR="00E51F85" w:rsidRPr="00E16672">
              <w:rPr>
                <w:rFonts w:ascii="Times New Roman" w:hAnsi="Times New Roman"/>
                <w:color w:val="000000"/>
                <w:sz w:val="16"/>
                <w:szCs w:val="16"/>
              </w:rPr>
              <w:t>обліковуються</w:t>
            </w:r>
            <w:proofErr w:type="spellEnd"/>
            <w:r w:rsidR="00E51F85" w:rsidRPr="00E16672">
              <w:rPr>
                <w:rFonts w:ascii="Times New Roman" w:hAnsi="Times New Roman"/>
                <w:color w:val="000000"/>
                <w:sz w:val="16"/>
                <w:szCs w:val="16"/>
              </w:rPr>
              <w:t xml:space="preserve"> права на </w:t>
            </w:r>
            <w:proofErr w:type="spellStart"/>
            <w:r w:rsidR="00E51F85" w:rsidRPr="00E16672">
              <w:rPr>
                <w:rFonts w:ascii="Times New Roman" w:hAnsi="Times New Roman"/>
                <w:color w:val="000000"/>
                <w:sz w:val="16"/>
                <w:szCs w:val="16"/>
              </w:rPr>
              <w:t>цінні</w:t>
            </w:r>
            <w:proofErr w:type="spellEnd"/>
            <w:r w:rsidR="00E51F85" w:rsidRPr="00E16672">
              <w:rPr>
                <w:rFonts w:ascii="Times New Roman" w:hAnsi="Times New Roman"/>
                <w:color w:val="000000"/>
                <w:sz w:val="16"/>
                <w:szCs w:val="16"/>
              </w:rPr>
              <w:t xml:space="preserve"> </w:t>
            </w:r>
            <w:proofErr w:type="spellStart"/>
            <w:r w:rsidR="00E51F85" w:rsidRPr="00E16672">
              <w:rPr>
                <w:rFonts w:ascii="Times New Roman" w:hAnsi="Times New Roman"/>
                <w:color w:val="000000"/>
                <w:sz w:val="16"/>
                <w:szCs w:val="16"/>
              </w:rPr>
              <w:t>папери</w:t>
            </w:r>
            <w:proofErr w:type="spellEnd"/>
            <w:r w:rsidR="00E51F85" w:rsidRPr="00E16672">
              <w:rPr>
                <w:rFonts w:ascii="Times New Roman" w:hAnsi="Times New Roman"/>
                <w:color w:val="000000"/>
                <w:sz w:val="16"/>
                <w:szCs w:val="16"/>
              </w:rPr>
              <w:t xml:space="preserve"> </w:t>
            </w:r>
            <w:proofErr w:type="spellStart"/>
            <w:r w:rsidR="00E51F85" w:rsidRPr="00E16672">
              <w:rPr>
                <w:rFonts w:ascii="Times New Roman" w:hAnsi="Times New Roman"/>
                <w:color w:val="000000"/>
                <w:sz w:val="16"/>
                <w:szCs w:val="16"/>
              </w:rPr>
              <w:t>цього</w:t>
            </w:r>
            <w:proofErr w:type="spellEnd"/>
            <w:r w:rsidR="00E51F85" w:rsidRPr="00E16672">
              <w:rPr>
                <w:rFonts w:ascii="Times New Roman" w:hAnsi="Times New Roman"/>
                <w:color w:val="000000"/>
                <w:sz w:val="16"/>
                <w:szCs w:val="16"/>
              </w:rPr>
              <w:t xml:space="preserve"> </w:t>
            </w:r>
            <w:proofErr w:type="spellStart"/>
            <w:r w:rsidR="00E51F85" w:rsidRPr="00E16672">
              <w:rPr>
                <w:rFonts w:ascii="Times New Roman" w:hAnsi="Times New Roman"/>
                <w:color w:val="000000"/>
                <w:sz w:val="16"/>
                <w:szCs w:val="16"/>
              </w:rPr>
              <w:t>випуску</w:t>
            </w:r>
            <w:proofErr w:type="spellEnd"/>
            <w:r w:rsidR="00E51F85" w:rsidRPr="00E16672">
              <w:rPr>
                <w:rFonts w:ascii="Times New Roman" w:hAnsi="Times New Roman"/>
                <w:color w:val="000000"/>
                <w:sz w:val="16"/>
                <w:szCs w:val="16"/>
              </w:rPr>
              <w:t xml:space="preserve">, шляхом </w:t>
            </w:r>
            <w:proofErr w:type="spellStart"/>
            <w:r w:rsidR="00E51F85" w:rsidRPr="00E16672">
              <w:rPr>
                <w:rFonts w:ascii="Times New Roman" w:hAnsi="Times New Roman"/>
                <w:color w:val="000000"/>
                <w:sz w:val="16"/>
                <w:szCs w:val="16"/>
              </w:rPr>
              <w:t>направлення</w:t>
            </w:r>
            <w:proofErr w:type="spellEnd"/>
            <w:r w:rsidR="00E51F85" w:rsidRPr="00E16672">
              <w:rPr>
                <w:rFonts w:ascii="Times New Roman" w:hAnsi="Times New Roman"/>
                <w:color w:val="000000"/>
                <w:sz w:val="16"/>
                <w:szCs w:val="16"/>
              </w:rPr>
              <w:t xml:space="preserve"> на </w:t>
            </w:r>
            <w:proofErr w:type="spellStart"/>
            <w:proofErr w:type="gramStart"/>
            <w:r w:rsidR="00E51F85" w:rsidRPr="00E16672">
              <w:rPr>
                <w:rFonts w:ascii="Times New Roman" w:hAnsi="Times New Roman"/>
                <w:color w:val="000000"/>
                <w:sz w:val="16"/>
                <w:szCs w:val="16"/>
              </w:rPr>
              <w:t>електронну</w:t>
            </w:r>
            <w:proofErr w:type="spellEnd"/>
            <w:r w:rsidR="00E51F85" w:rsidRPr="00E16672">
              <w:rPr>
                <w:rFonts w:ascii="Times New Roman" w:hAnsi="Times New Roman"/>
                <w:color w:val="000000"/>
                <w:sz w:val="16"/>
                <w:szCs w:val="16"/>
              </w:rPr>
              <w:t xml:space="preserve">  адресу</w:t>
            </w:r>
            <w:proofErr w:type="gramEnd"/>
            <w:r w:rsidR="00E51F85" w:rsidRPr="00E16672">
              <w:rPr>
                <w:rFonts w:ascii="Times New Roman" w:hAnsi="Times New Roman"/>
                <w:color w:val="000000"/>
                <w:sz w:val="16"/>
                <w:szCs w:val="16"/>
              </w:rPr>
              <w:t xml:space="preserve"> Депонента </w:t>
            </w:r>
            <w:proofErr w:type="spellStart"/>
            <w:r w:rsidR="00E51F85" w:rsidRPr="00E16672">
              <w:rPr>
                <w:rFonts w:ascii="Times New Roman" w:hAnsi="Times New Roman"/>
                <w:color w:val="000000"/>
                <w:sz w:val="16"/>
                <w:szCs w:val="16"/>
              </w:rPr>
              <w:t>відповідного</w:t>
            </w:r>
            <w:proofErr w:type="spellEnd"/>
            <w:r w:rsidR="00E51F85" w:rsidRPr="00E16672">
              <w:rPr>
                <w:rFonts w:ascii="Times New Roman" w:hAnsi="Times New Roman"/>
                <w:color w:val="000000"/>
                <w:sz w:val="16"/>
                <w:szCs w:val="16"/>
              </w:rPr>
              <w:t xml:space="preserve"> </w:t>
            </w:r>
            <w:proofErr w:type="spellStart"/>
            <w:r w:rsidR="00E51F85" w:rsidRPr="00E16672">
              <w:rPr>
                <w:rFonts w:ascii="Times New Roman" w:hAnsi="Times New Roman"/>
                <w:color w:val="000000"/>
                <w:sz w:val="16"/>
                <w:szCs w:val="16"/>
              </w:rPr>
              <w:t>повідомлення</w:t>
            </w:r>
            <w:proofErr w:type="spellEnd"/>
            <w:r w:rsidR="00E51F85" w:rsidRPr="00E16672">
              <w:rPr>
                <w:rFonts w:ascii="Times New Roman" w:hAnsi="Times New Roman"/>
                <w:color w:val="000000"/>
                <w:sz w:val="16"/>
                <w:szCs w:val="16"/>
              </w:rPr>
              <w:t>.</w:t>
            </w:r>
          </w:p>
          <w:p w14:paraId="3D5510F0" w14:textId="77777777" w:rsidR="00E51F85" w:rsidRPr="00E16672" w:rsidRDefault="00E51F85" w:rsidP="00547A75">
            <w:pPr>
              <w:tabs>
                <w:tab w:val="left" w:pos="851"/>
                <w:tab w:val="left" w:pos="7200"/>
              </w:tabs>
              <w:snapToGrid w:val="0"/>
              <w:ind w:left="142" w:right="141" w:firstLine="40"/>
              <w:rPr>
                <w:rFonts w:ascii="Times New Roman" w:eastAsia="Arial" w:hAnsi="Times New Roman"/>
                <w:color w:val="000000"/>
                <w:sz w:val="16"/>
                <w:szCs w:val="16"/>
                <w:lang w:val="uk-UA"/>
              </w:rPr>
            </w:pPr>
          </w:p>
        </w:tc>
        <w:tc>
          <w:tcPr>
            <w:tcW w:w="5494" w:type="dxa"/>
            <w:gridSpan w:val="7"/>
            <w:shd w:val="clear" w:color="auto" w:fill="auto"/>
          </w:tcPr>
          <w:p w14:paraId="0377962A" w14:textId="77777777" w:rsidR="00E51F85" w:rsidRPr="00E16672" w:rsidRDefault="006A4D27" w:rsidP="00547A75">
            <w:pPr>
              <w:pStyle w:val="210"/>
              <w:snapToGrid w:val="0"/>
              <w:ind w:left="145" w:right="100" w:firstLine="3"/>
              <w:rPr>
                <w:rFonts w:ascii="Times New Roman" w:eastAsia="Arial" w:hAnsi="Times New Roman"/>
                <w:color w:val="000000"/>
                <w:sz w:val="16"/>
                <w:szCs w:val="16"/>
              </w:rPr>
            </w:pPr>
            <w:r w:rsidRPr="00E16672">
              <w:rPr>
                <w:rFonts w:ascii="Times New Roman" w:eastAsia="Arial" w:hAnsi="Times New Roman"/>
                <w:color w:val="000000"/>
                <w:sz w:val="16"/>
                <w:szCs w:val="16"/>
              </w:rPr>
              <w:t>2.1.</w:t>
            </w:r>
            <w:r w:rsidR="00F333F6" w:rsidRPr="00E16672">
              <w:rPr>
                <w:rFonts w:ascii="Times New Roman" w:eastAsia="Arial" w:hAnsi="Times New Roman"/>
                <w:color w:val="000000"/>
                <w:sz w:val="16"/>
                <w:szCs w:val="16"/>
              </w:rPr>
              <w:t>21</w:t>
            </w:r>
            <w:r w:rsidR="00E51F85" w:rsidRPr="00E16672">
              <w:rPr>
                <w:rFonts w:ascii="Times New Roman" w:eastAsia="Arial" w:hAnsi="Times New Roman"/>
                <w:color w:val="000000"/>
                <w:sz w:val="16"/>
                <w:szCs w:val="16"/>
              </w:rPr>
              <w:t xml:space="preserve">. </w:t>
            </w:r>
            <w:proofErr w:type="spellStart"/>
            <w:r w:rsidR="00E51F85" w:rsidRPr="00E16672">
              <w:rPr>
                <w:rFonts w:ascii="Times New Roman" w:hAnsi="Times New Roman"/>
                <w:color w:val="000000"/>
                <w:sz w:val="16"/>
                <w:szCs w:val="16"/>
              </w:rPr>
              <w:t>Received</w:t>
            </w:r>
            <w:proofErr w:type="spellEnd"/>
            <w:r w:rsidR="00E51F85" w:rsidRPr="00E16672">
              <w:rPr>
                <w:rFonts w:ascii="Times New Roman" w:hAnsi="Times New Roman"/>
                <w:color w:val="000000"/>
                <w:sz w:val="16"/>
                <w:szCs w:val="16"/>
              </w:rPr>
              <w:t xml:space="preserve"> </w:t>
            </w:r>
            <w:proofErr w:type="spellStart"/>
            <w:r w:rsidR="00E51F85" w:rsidRPr="00E16672">
              <w:rPr>
                <w:rFonts w:ascii="Times New Roman" w:hAnsi="Times New Roman"/>
                <w:color w:val="000000"/>
                <w:sz w:val="16"/>
                <w:szCs w:val="16"/>
              </w:rPr>
              <w:t>from</w:t>
            </w:r>
            <w:proofErr w:type="spellEnd"/>
            <w:r w:rsidR="00E51F85" w:rsidRPr="00E16672">
              <w:rPr>
                <w:rFonts w:ascii="Times New Roman" w:hAnsi="Times New Roman"/>
                <w:color w:val="000000"/>
                <w:sz w:val="16"/>
                <w:szCs w:val="16"/>
              </w:rPr>
              <w:t xml:space="preserve"> </w:t>
            </w:r>
            <w:proofErr w:type="spellStart"/>
            <w:r w:rsidR="00E51F85" w:rsidRPr="00E16672">
              <w:rPr>
                <w:rFonts w:ascii="Times New Roman" w:hAnsi="Times New Roman"/>
                <w:color w:val="000000"/>
                <w:sz w:val="16"/>
                <w:szCs w:val="16"/>
              </w:rPr>
              <w:t>the</w:t>
            </w:r>
            <w:proofErr w:type="spellEnd"/>
            <w:r w:rsidR="00E51F85" w:rsidRPr="00E16672">
              <w:rPr>
                <w:rFonts w:ascii="Times New Roman" w:hAnsi="Times New Roman"/>
                <w:color w:val="000000"/>
                <w:sz w:val="16"/>
                <w:szCs w:val="16"/>
              </w:rPr>
              <w:t xml:space="preserve"> </w:t>
            </w:r>
            <w:proofErr w:type="spellStart"/>
            <w:r w:rsidR="00E51F85" w:rsidRPr="00E16672">
              <w:rPr>
                <w:rFonts w:ascii="Times New Roman" w:hAnsi="Times New Roman"/>
                <w:color w:val="000000"/>
                <w:sz w:val="16"/>
                <w:szCs w:val="16"/>
              </w:rPr>
              <w:t>Central</w:t>
            </w:r>
            <w:proofErr w:type="spellEnd"/>
            <w:r w:rsidR="00E51F85" w:rsidRPr="00E16672">
              <w:rPr>
                <w:rFonts w:ascii="Times New Roman" w:hAnsi="Times New Roman"/>
                <w:color w:val="000000"/>
                <w:sz w:val="16"/>
                <w:szCs w:val="16"/>
              </w:rPr>
              <w:t xml:space="preserve"> </w:t>
            </w:r>
            <w:proofErr w:type="spellStart"/>
            <w:r w:rsidR="00E51F85" w:rsidRPr="00E16672">
              <w:rPr>
                <w:rFonts w:ascii="Times New Roman" w:hAnsi="Times New Roman"/>
                <w:color w:val="000000"/>
                <w:sz w:val="16"/>
                <w:szCs w:val="16"/>
              </w:rPr>
              <w:t>Depository</w:t>
            </w:r>
            <w:proofErr w:type="spellEnd"/>
            <w:r w:rsidR="00E51F85" w:rsidRPr="00E16672">
              <w:rPr>
                <w:rFonts w:ascii="Times New Roman" w:hAnsi="Times New Roman"/>
                <w:color w:val="000000"/>
                <w:sz w:val="16"/>
                <w:szCs w:val="16"/>
              </w:rPr>
              <w:t xml:space="preserve"> </w:t>
            </w:r>
            <w:proofErr w:type="spellStart"/>
            <w:r w:rsidR="00E51F85" w:rsidRPr="00E16672">
              <w:rPr>
                <w:rFonts w:ascii="Times New Roman" w:hAnsi="Times New Roman"/>
                <w:color w:val="000000"/>
                <w:sz w:val="16"/>
                <w:szCs w:val="16"/>
              </w:rPr>
              <w:t>notice</w:t>
            </w:r>
            <w:proofErr w:type="spellEnd"/>
            <w:r w:rsidR="00E51F85" w:rsidRPr="00E16672">
              <w:rPr>
                <w:rFonts w:ascii="Times New Roman" w:hAnsi="Times New Roman"/>
                <w:color w:val="000000"/>
                <w:sz w:val="16"/>
                <w:szCs w:val="16"/>
              </w:rPr>
              <w:t xml:space="preserve"> </w:t>
            </w:r>
            <w:proofErr w:type="spellStart"/>
            <w:r w:rsidR="00E51F85" w:rsidRPr="00E16672">
              <w:rPr>
                <w:rFonts w:ascii="Times New Roman" w:hAnsi="Times New Roman"/>
                <w:color w:val="000000"/>
                <w:sz w:val="16"/>
                <w:szCs w:val="16"/>
              </w:rPr>
              <w:t>of</w:t>
            </w:r>
            <w:proofErr w:type="spellEnd"/>
            <w:r w:rsidR="00E51F85" w:rsidRPr="00E16672">
              <w:rPr>
                <w:rFonts w:ascii="Times New Roman" w:hAnsi="Times New Roman"/>
                <w:color w:val="000000"/>
                <w:sz w:val="16"/>
                <w:szCs w:val="16"/>
              </w:rPr>
              <w:t xml:space="preserve"> </w:t>
            </w:r>
            <w:proofErr w:type="spellStart"/>
            <w:r w:rsidR="00E51F85" w:rsidRPr="00E16672">
              <w:rPr>
                <w:rFonts w:ascii="Times New Roman" w:hAnsi="Times New Roman"/>
                <w:color w:val="000000"/>
                <w:sz w:val="16"/>
                <w:szCs w:val="16"/>
              </w:rPr>
              <w:t>completion</w:t>
            </w:r>
            <w:proofErr w:type="spellEnd"/>
            <w:r w:rsidR="00E51F85" w:rsidRPr="00E16672">
              <w:rPr>
                <w:rFonts w:ascii="Times New Roman" w:hAnsi="Times New Roman"/>
                <w:color w:val="000000"/>
                <w:sz w:val="16"/>
                <w:szCs w:val="16"/>
              </w:rPr>
              <w:t xml:space="preserve"> </w:t>
            </w:r>
            <w:proofErr w:type="spellStart"/>
            <w:r w:rsidR="00E51F85" w:rsidRPr="00E16672">
              <w:rPr>
                <w:rFonts w:ascii="Times New Roman" w:hAnsi="Times New Roman"/>
                <w:color w:val="000000"/>
                <w:sz w:val="16"/>
                <w:szCs w:val="16"/>
              </w:rPr>
              <w:t>of</w:t>
            </w:r>
            <w:proofErr w:type="spellEnd"/>
            <w:r w:rsidR="00E51F85" w:rsidRPr="00E16672">
              <w:rPr>
                <w:rFonts w:ascii="Times New Roman" w:hAnsi="Times New Roman"/>
                <w:color w:val="000000"/>
                <w:sz w:val="16"/>
                <w:szCs w:val="16"/>
              </w:rPr>
              <w:t xml:space="preserve"> </w:t>
            </w:r>
            <w:proofErr w:type="spellStart"/>
            <w:r w:rsidR="00E51F85" w:rsidRPr="00E16672">
              <w:rPr>
                <w:rFonts w:ascii="Times New Roman" w:hAnsi="Times New Roman"/>
                <w:color w:val="000000"/>
                <w:sz w:val="16"/>
                <w:szCs w:val="16"/>
              </w:rPr>
              <w:t>the</w:t>
            </w:r>
            <w:proofErr w:type="spellEnd"/>
            <w:r w:rsidR="00E51F85" w:rsidRPr="00E16672">
              <w:rPr>
                <w:rFonts w:ascii="Times New Roman" w:hAnsi="Times New Roman"/>
                <w:color w:val="000000"/>
                <w:sz w:val="16"/>
                <w:szCs w:val="16"/>
              </w:rPr>
              <w:t xml:space="preserve"> </w:t>
            </w:r>
            <w:proofErr w:type="spellStart"/>
            <w:r w:rsidR="00E51F85" w:rsidRPr="00E16672">
              <w:rPr>
                <w:rFonts w:ascii="Times New Roman" w:hAnsi="Times New Roman"/>
                <w:color w:val="000000"/>
                <w:sz w:val="16"/>
                <w:szCs w:val="16"/>
              </w:rPr>
              <w:t>transfer</w:t>
            </w:r>
            <w:proofErr w:type="spellEnd"/>
            <w:r w:rsidR="00E51F85" w:rsidRPr="00E16672">
              <w:rPr>
                <w:rFonts w:ascii="Times New Roman" w:hAnsi="Times New Roman"/>
                <w:color w:val="000000"/>
                <w:sz w:val="16"/>
                <w:szCs w:val="16"/>
              </w:rPr>
              <w:t xml:space="preserve"> </w:t>
            </w:r>
            <w:proofErr w:type="spellStart"/>
            <w:r w:rsidR="00E51F85" w:rsidRPr="00E16672">
              <w:rPr>
                <w:rFonts w:ascii="Times New Roman" w:hAnsi="Times New Roman"/>
                <w:color w:val="000000"/>
                <w:sz w:val="16"/>
                <w:szCs w:val="16"/>
              </w:rPr>
              <w:t>of</w:t>
            </w:r>
            <w:proofErr w:type="spellEnd"/>
            <w:r w:rsidR="00E51F85" w:rsidRPr="00E16672">
              <w:rPr>
                <w:rFonts w:ascii="Times New Roman" w:hAnsi="Times New Roman"/>
                <w:color w:val="000000"/>
                <w:sz w:val="16"/>
                <w:szCs w:val="16"/>
              </w:rPr>
              <w:t xml:space="preserve"> </w:t>
            </w:r>
            <w:proofErr w:type="spellStart"/>
            <w:r w:rsidR="00E51F85" w:rsidRPr="00E16672">
              <w:rPr>
                <w:rFonts w:ascii="Times New Roman" w:hAnsi="Times New Roman"/>
                <w:color w:val="000000"/>
                <w:sz w:val="16"/>
                <w:szCs w:val="16"/>
              </w:rPr>
              <w:t>registered</w:t>
            </w:r>
            <w:proofErr w:type="spellEnd"/>
            <w:r w:rsidR="00E51F85" w:rsidRPr="00E16672">
              <w:rPr>
                <w:rFonts w:ascii="Times New Roman" w:hAnsi="Times New Roman"/>
                <w:color w:val="000000"/>
                <w:sz w:val="16"/>
                <w:szCs w:val="16"/>
              </w:rPr>
              <w:t xml:space="preserve"> </w:t>
            </w:r>
            <w:proofErr w:type="spellStart"/>
            <w:r w:rsidR="00E51F85" w:rsidRPr="00E16672">
              <w:rPr>
                <w:rFonts w:ascii="Times New Roman" w:hAnsi="Times New Roman"/>
                <w:color w:val="000000"/>
                <w:sz w:val="16"/>
                <w:szCs w:val="16"/>
              </w:rPr>
              <w:t>securities</w:t>
            </w:r>
            <w:proofErr w:type="spellEnd"/>
            <w:r w:rsidR="00E51F85" w:rsidRPr="00E16672">
              <w:rPr>
                <w:rFonts w:ascii="Times New Roman" w:hAnsi="Times New Roman"/>
                <w:color w:val="000000"/>
                <w:sz w:val="16"/>
                <w:szCs w:val="16"/>
              </w:rPr>
              <w:t xml:space="preserve"> </w:t>
            </w:r>
            <w:proofErr w:type="spellStart"/>
            <w:r w:rsidR="00E51F85" w:rsidRPr="00E16672">
              <w:rPr>
                <w:rFonts w:ascii="Times New Roman" w:hAnsi="Times New Roman"/>
                <w:color w:val="000000"/>
                <w:sz w:val="16"/>
                <w:szCs w:val="16"/>
              </w:rPr>
              <w:t>of</w:t>
            </w:r>
            <w:proofErr w:type="spellEnd"/>
            <w:r w:rsidR="00E51F85" w:rsidRPr="00E16672">
              <w:rPr>
                <w:rFonts w:ascii="Times New Roman" w:hAnsi="Times New Roman"/>
                <w:color w:val="000000"/>
                <w:sz w:val="16"/>
                <w:szCs w:val="16"/>
              </w:rPr>
              <w:t xml:space="preserve"> a </w:t>
            </w:r>
            <w:proofErr w:type="spellStart"/>
            <w:r w:rsidR="00E51F85" w:rsidRPr="00E16672">
              <w:rPr>
                <w:rFonts w:ascii="Times New Roman" w:hAnsi="Times New Roman"/>
                <w:color w:val="000000"/>
                <w:sz w:val="16"/>
                <w:szCs w:val="16"/>
              </w:rPr>
              <w:t>particular</w:t>
            </w:r>
            <w:proofErr w:type="spellEnd"/>
            <w:r w:rsidR="00E51F85" w:rsidRPr="00E16672">
              <w:rPr>
                <w:rFonts w:ascii="Times New Roman" w:hAnsi="Times New Roman"/>
                <w:color w:val="000000"/>
                <w:sz w:val="16"/>
                <w:szCs w:val="16"/>
              </w:rPr>
              <w:t xml:space="preserve"> </w:t>
            </w:r>
            <w:proofErr w:type="spellStart"/>
            <w:r w:rsidR="00E51F85" w:rsidRPr="00E16672">
              <w:rPr>
                <w:rFonts w:ascii="Times New Roman" w:hAnsi="Times New Roman"/>
                <w:color w:val="000000"/>
                <w:sz w:val="16"/>
                <w:szCs w:val="16"/>
              </w:rPr>
              <w:t>issue</w:t>
            </w:r>
            <w:proofErr w:type="spellEnd"/>
            <w:r w:rsidR="00E51F85" w:rsidRPr="00E16672">
              <w:rPr>
                <w:rFonts w:ascii="Times New Roman" w:hAnsi="Times New Roman"/>
                <w:color w:val="000000"/>
                <w:sz w:val="16"/>
                <w:szCs w:val="16"/>
              </w:rPr>
              <w:t xml:space="preserve"> </w:t>
            </w:r>
            <w:proofErr w:type="spellStart"/>
            <w:r w:rsidR="00E51F85" w:rsidRPr="00E16672">
              <w:rPr>
                <w:rFonts w:ascii="Times New Roman" w:hAnsi="Times New Roman"/>
                <w:color w:val="000000"/>
                <w:sz w:val="16"/>
                <w:szCs w:val="16"/>
              </w:rPr>
              <w:t>in</w:t>
            </w:r>
            <w:proofErr w:type="spellEnd"/>
            <w:r w:rsidR="00E51F85" w:rsidRPr="00E16672">
              <w:rPr>
                <w:rFonts w:ascii="Times New Roman" w:hAnsi="Times New Roman"/>
                <w:color w:val="000000"/>
                <w:sz w:val="16"/>
                <w:szCs w:val="16"/>
              </w:rPr>
              <w:t xml:space="preserve"> </w:t>
            </w:r>
            <w:proofErr w:type="spellStart"/>
            <w:r w:rsidR="00E51F85" w:rsidRPr="00E16672">
              <w:rPr>
                <w:rFonts w:ascii="Times New Roman" w:hAnsi="Times New Roman"/>
                <w:color w:val="000000"/>
                <w:sz w:val="16"/>
                <w:szCs w:val="16"/>
              </w:rPr>
              <w:t>book-entry</w:t>
            </w:r>
            <w:proofErr w:type="spellEnd"/>
            <w:r w:rsidR="00E51F85" w:rsidRPr="00E16672">
              <w:rPr>
                <w:rFonts w:ascii="Times New Roman" w:hAnsi="Times New Roman"/>
                <w:color w:val="000000"/>
                <w:sz w:val="16"/>
                <w:szCs w:val="16"/>
              </w:rPr>
              <w:t xml:space="preserve"> </w:t>
            </w:r>
            <w:proofErr w:type="spellStart"/>
            <w:r w:rsidR="00E51F85" w:rsidRPr="00E16672">
              <w:rPr>
                <w:rFonts w:ascii="Times New Roman" w:hAnsi="Times New Roman"/>
                <w:color w:val="000000"/>
                <w:sz w:val="16"/>
                <w:szCs w:val="16"/>
              </w:rPr>
              <w:t>form</w:t>
            </w:r>
            <w:proofErr w:type="spellEnd"/>
            <w:r w:rsidR="00E51F85" w:rsidRPr="00E16672">
              <w:rPr>
                <w:rFonts w:ascii="Times New Roman" w:hAnsi="Times New Roman"/>
                <w:color w:val="000000"/>
                <w:sz w:val="16"/>
                <w:szCs w:val="16"/>
              </w:rPr>
              <w:t xml:space="preserve">, </w:t>
            </w:r>
            <w:proofErr w:type="spellStart"/>
            <w:r w:rsidR="00E51F85" w:rsidRPr="00E16672">
              <w:rPr>
                <w:rFonts w:ascii="Times New Roman" w:hAnsi="Times New Roman"/>
                <w:color w:val="000000"/>
                <w:sz w:val="16"/>
                <w:szCs w:val="16"/>
              </w:rPr>
              <w:t>within</w:t>
            </w:r>
            <w:proofErr w:type="spellEnd"/>
            <w:r w:rsidR="00E51F85" w:rsidRPr="00E16672">
              <w:rPr>
                <w:rFonts w:ascii="Times New Roman" w:hAnsi="Times New Roman"/>
                <w:color w:val="000000"/>
                <w:sz w:val="16"/>
                <w:szCs w:val="16"/>
              </w:rPr>
              <w:t xml:space="preserve"> </w:t>
            </w:r>
            <w:proofErr w:type="spellStart"/>
            <w:r w:rsidR="00E51F85" w:rsidRPr="00E16672">
              <w:rPr>
                <w:rFonts w:ascii="Times New Roman" w:hAnsi="Times New Roman"/>
                <w:i/>
                <w:iCs/>
                <w:color w:val="000000"/>
                <w:sz w:val="16"/>
                <w:szCs w:val="16"/>
              </w:rPr>
              <w:t>three</w:t>
            </w:r>
            <w:proofErr w:type="spellEnd"/>
            <w:r w:rsidR="00E51F85" w:rsidRPr="00E16672">
              <w:rPr>
                <w:rFonts w:ascii="Times New Roman" w:hAnsi="Times New Roman"/>
                <w:i/>
                <w:iCs/>
                <w:color w:val="000000"/>
                <w:sz w:val="16"/>
                <w:szCs w:val="16"/>
              </w:rPr>
              <w:t xml:space="preserve"> </w:t>
            </w:r>
            <w:proofErr w:type="spellStart"/>
            <w:r w:rsidR="00E51F85" w:rsidRPr="00E16672">
              <w:rPr>
                <w:rFonts w:ascii="Times New Roman" w:hAnsi="Times New Roman"/>
                <w:color w:val="000000"/>
                <w:sz w:val="16"/>
                <w:szCs w:val="16"/>
              </w:rPr>
              <w:t>days</w:t>
            </w:r>
            <w:proofErr w:type="spellEnd"/>
            <w:r w:rsidR="00E51F85" w:rsidRPr="00E16672">
              <w:rPr>
                <w:rFonts w:ascii="Times New Roman" w:hAnsi="Times New Roman"/>
                <w:color w:val="000000"/>
                <w:sz w:val="16"/>
                <w:szCs w:val="16"/>
              </w:rPr>
              <w:t xml:space="preserve"> </w:t>
            </w:r>
            <w:proofErr w:type="spellStart"/>
            <w:r w:rsidR="00E51F85" w:rsidRPr="00E16672">
              <w:rPr>
                <w:rFonts w:ascii="Times New Roman" w:hAnsi="Times New Roman"/>
                <w:color w:val="000000"/>
                <w:sz w:val="16"/>
                <w:szCs w:val="16"/>
              </w:rPr>
              <w:t>to</w:t>
            </w:r>
            <w:proofErr w:type="spellEnd"/>
            <w:r w:rsidR="00E51F85" w:rsidRPr="00E16672">
              <w:rPr>
                <w:rFonts w:ascii="Times New Roman" w:hAnsi="Times New Roman"/>
                <w:color w:val="000000"/>
                <w:sz w:val="16"/>
                <w:szCs w:val="16"/>
              </w:rPr>
              <w:t xml:space="preserve"> </w:t>
            </w:r>
            <w:proofErr w:type="spellStart"/>
            <w:r w:rsidR="00E51F85" w:rsidRPr="00E16672">
              <w:rPr>
                <w:rFonts w:ascii="Times New Roman" w:hAnsi="Times New Roman"/>
                <w:color w:val="000000"/>
                <w:sz w:val="16"/>
                <w:szCs w:val="16"/>
              </w:rPr>
              <w:t>announce</w:t>
            </w:r>
            <w:proofErr w:type="spellEnd"/>
            <w:r w:rsidR="00E51F85" w:rsidRPr="00E16672">
              <w:rPr>
                <w:rFonts w:ascii="Times New Roman" w:hAnsi="Times New Roman"/>
                <w:color w:val="000000"/>
                <w:sz w:val="16"/>
                <w:szCs w:val="16"/>
              </w:rPr>
              <w:t xml:space="preserve"> </w:t>
            </w:r>
            <w:proofErr w:type="spellStart"/>
            <w:r w:rsidR="00E51F85" w:rsidRPr="00E16672">
              <w:rPr>
                <w:rFonts w:ascii="Times New Roman" w:hAnsi="Times New Roman"/>
                <w:color w:val="000000"/>
                <w:sz w:val="16"/>
                <w:szCs w:val="16"/>
              </w:rPr>
              <w:t>the</w:t>
            </w:r>
            <w:proofErr w:type="spellEnd"/>
            <w:r w:rsidR="00E51F85" w:rsidRPr="00E16672">
              <w:rPr>
                <w:rFonts w:ascii="Times New Roman" w:hAnsi="Times New Roman"/>
                <w:color w:val="000000"/>
                <w:sz w:val="16"/>
                <w:szCs w:val="16"/>
              </w:rPr>
              <w:t xml:space="preserve"> </w:t>
            </w:r>
            <w:proofErr w:type="spellStart"/>
            <w:r w:rsidR="00E51F85" w:rsidRPr="00E16672">
              <w:rPr>
                <w:rFonts w:ascii="Times New Roman" w:hAnsi="Times New Roman"/>
                <w:color w:val="000000"/>
                <w:sz w:val="16"/>
                <w:szCs w:val="16"/>
              </w:rPr>
              <w:t>completion</w:t>
            </w:r>
            <w:proofErr w:type="spellEnd"/>
            <w:r w:rsidR="00E51F85" w:rsidRPr="00E16672">
              <w:rPr>
                <w:rFonts w:ascii="Times New Roman" w:hAnsi="Times New Roman"/>
                <w:color w:val="000000"/>
                <w:sz w:val="16"/>
                <w:szCs w:val="16"/>
              </w:rPr>
              <w:t xml:space="preserve"> </w:t>
            </w:r>
            <w:proofErr w:type="spellStart"/>
            <w:r w:rsidR="00E51F85" w:rsidRPr="00E16672">
              <w:rPr>
                <w:rFonts w:ascii="Times New Roman" w:hAnsi="Times New Roman"/>
                <w:color w:val="000000"/>
                <w:sz w:val="16"/>
                <w:szCs w:val="16"/>
              </w:rPr>
              <w:t>of</w:t>
            </w:r>
            <w:proofErr w:type="spellEnd"/>
            <w:r w:rsidR="00E51F85" w:rsidRPr="00E16672">
              <w:rPr>
                <w:rFonts w:ascii="Times New Roman" w:hAnsi="Times New Roman"/>
                <w:color w:val="000000"/>
                <w:sz w:val="16"/>
                <w:szCs w:val="16"/>
              </w:rPr>
              <w:t xml:space="preserve"> </w:t>
            </w:r>
            <w:proofErr w:type="spellStart"/>
            <w:r w:rsidR="00E51F85" w:rsidRPr="00E16672">
              <w:rPr>
                <w:rFonts w:ascii="Times New Roman" w:hAnsi="Times New Roman"/>
                <w:color w:val="000000"/>
                <w:sz w:val="16"/>
                <w:szCs w:val="16"/>
              </w:rPr>
              <w:t>the</w:t>
            </w:r>
            <w:proofErr w:type="spellEnd"/>
            <w:r w:rsidR="00E51F85" w:rsidRPr="00E16672">
              <w:rPr>
                <w:rFonts w:ascii="Times New Roman" w:hAnsi="Times New Roman"/>
                <w:color w:val="000000"/>
                <w:sz w:val="16"/>
                <w:szCs w:val="16"/>
              </w:rPr>
              <w:t xml:space="preserve"> </w:t>
            </w:r>
            <w:proofErr w:type="spellStart"/>
            <w:r w:rsidR="00E51F85" w:rsidRPr="00E16672">
              <w:rPr>
                <w:rFonts w:ascii="Times New Roman" w:hAnsi="Times New Roman"/>
                <w:color w:val="000000"/>
                <w:sz w:val="16"/>
                <w:szCs w:val="16"/>
              </w:rPr>
              <w:t>Depositor</w:t>
            </w:r>
            <w:proofErr w:type="spellEnd"/>
            <w:r w:rsidR="00E51F85" w:rsidRPr="00E16672">
              <w:rPr>
                <w:rFonts w:ascii="Times New Roman" w:hAnsi="Times New Roman"/>
                <w:color w:val="000000"/>
                <w:sz w:val="16"/>
                <w:szCs w:val="16"/>
              </w:rPr>
              <w:t xml:space="preserve">, </w:t>
            </w:r>
            <w:proofErr w:type="spellStart"/>
            <w:r w:rsidR="00E51F85" w:rsidRPr="00E16672">
              <w:rPr>
                <w:rFonts w:ascii="Times New Roman" w:hAnsi="Times New Roman"/>
                <w:color w:val="000000"/>
                <w:sz w:val="16"/>
                <w:szCs w:val="16"/>
              </w:rPr>
              <w:t>if</w:t>
            </w:r>
            <w:proofErr w:type="spellEnd"/>
            <w:r w:rsidR="00E51F85" w:rsidRPr="00E16672">
              <w:rPr>
                <w:rFonts w:ascii="Times New Roman" w:hAnsi="Times New Roman"/>
                <w:color w:val="000000"/>
                <w:sz w:val="16"/>
                <w:szCs w:val="16"/>
              </w:rPr>
              <w:t xml:space="preserve"> </w:t>
            </w:r>
            <w:proofErr w:type="spellStart"/>
            <w:r w:rsidR="00E51F85" w:rsidRPr="00E16672">
              <w:rPr>
                <w:rFonts w:ascii="Times New Roman" w:hAnsi="Times New Roman"/>
                <w:color w:val="000000"/>
                <w:sz w:val="16"/>
                <w:szCs w:val="16"/>
              </w:rPr>
              <w:t>carried</w:t>
            </w:r>
            <w:proofErr w:type="spellEnd"/>
            <w:r w:rsidR="00E51F85" w:rsidRPr="00E16672">
              <w:rPr>
                <w:rFonts w:ascii="Times New Roman" w:hAnsi="Times New Roman"/>
                <w:color w:val="000000"/>
                <w:sz w:val="16"/>
                <w:szCs w:val="16"/>
              </w:rPr>
              <w:t xml:space="preserve"> </w:t>
            </w:r>
            <w:proofErr w:type="spellStart"/>
            <w:r w:rsidR="00E51F85" w:rsidRPr="00E16672">
              <w:rPr>
                <w:rFonts w:ascii="Times New Roman" w:hAnsi="Times New Roman"/>
                <w:color w:val="000000"/>
                <w:sz w:val="16"/>
                <w:szCs w:val="16"/>
              </w:rPr>
              <w:t>to</w:t>
            </w:r>
            <w:proofErr w:type="spellEnd"/>
            <w:r w:rsidR="00E51F85" w:rsidRPr="00E16672">
              <w:rPr>
                <w:rFonts w:ascii="Times New Roman" w:hAnsi="Times New Roman"/>
                <w:color w:val="000000"/>
                <w:sz w:val="16"/>
                <w:szCs w:val="16"/>
              </w:rPr>
              <w:t xml:space="preserve"> </w:t>
            </w:r>
            <w:proofErr w:type="spellStart"/>
            <w:r w:rsidR="00E51F85" w:rsidRPr="00E16672">
              <w:rPr>
                <w:rFonts w:ascii="Times New Roman" w:hAnsi="Times New Roman"/>
                <w:color w:val="000000"/>
                <w:sz w:val="16"/>
                <w:szCs w:val="16"/>
              </w:rPr>
              <w:t>its</w:t>
            </w:r>
            <w:proofErr w:type="spellEnd"/>
            <w:r w:rsidR="00E51F85" w:rsidRPr="00E16672">
              <w:rPr>
                <w:rFonts w:ascii="Times New Roman" w:hAnsi="Times New Roman"/>
                <w:color w:val="000000"/>
                <w:sz w:val="16"/>
                <w:szCs w:val="16"/>
              </w:rPr>
              <w:t xml:space="preserve"> </w:t>
            </w:r>
            <w:r w:rsidR="00E51F85" w:rsidRPr="00E16672">
              <w:rPr>
                <w:rFonts w:ascii="Times New Roman" w:hAnsi="Times New Roman"/>
                <w:color w:val="000000"/>
                <w:sz w:val="16"/>
                <w:szCs w:val="16"/>
                <w:lang w:val="en-US"/>
              </w:rPr>
              <w:t>account</w:t>
            </w:r>
            <w:r w:rsidR="00E51F85" w:rsidRPr="00E16672">
              <w:rPr>
                <w:rFonts w:ascii="Times New Roman" w:hAnsi="Times New Roman"/>
                <w:color w:val="000000"/>
                <w:sz w:val="16"/>
                <w:szCs w:val="16"/>
              </w:rPr>
              <w:t xml:space="preserve"> </w:t>
            </w:r>
            <w:r w:rsidR="00E51F85" w:rsidRPr="00E16672">
              <w:rPr>
                <w:rFonts w:ascii="Times New Roman" w:hAnsi="Times New Roman"/>
                <w:color w:val="000000"/>
                <w:sz w:val="16"/>
                <w:szCs w:val="16"/>
                <w:lang w:val="en-US"/>
              </w:rPr>
              <w:t>in</w:t>
            </w:r>
            <w:r w:rsidR="00E51F85" w:rsidRPr="00E16672">
              <w:rPr>
                <w:rFonts w:ascii="Times New Roman" w:hAnsi="Times New Roman"/>
                <w:color w:val="000000"/>
                <w:sz w:val="16"/>
                <w:szCs w:val="16"/>
              </w:rPr>
              <w:t xml:space="preserve"> </w:t>
            </w:r>
            <w:proofErr w:type="spellStart"/>
            <w:r w:rsidR="00E51F85" w:rsidRPr="00E16672">
              <w:rPr>
                <w:rFonts w:ascii="Times New Roman" w:hAnsi="Times New Roman"/>
                <w:color w:val="000000"/>
                <w:sz w:val="16"/>
                <w:szCs w:val="16"/>
              </w:rPr>
              <w:t>securities</w:t>
            </w:r>
            <w:proofErr w:type="spellEnd"/>
            <w:r w:rsidR="00E51F85" w:rsidRPr="00E16672">
              <w:rPr>
                <w:rFonts w:ascii="Times New Roman" w:hAnsi="Times New Roman"/>
                <w:color w:val="000000"/>
                <w:sz w:val="16"/>
                <w:szCs w:val="16"/>
              </w:rPr>
              <w:t xml:space="preserve"> </w:t>
            </w:r>
            <w:proofErr w:type="spellStart"/>
            <w:r w:rsidR="00E51F85" w:rsidRPr="00E16672">
              <w:rPr>
                <w:rFonts w:ascii="Times New Roman" w:hAnsi="Times New Roman"/>
                <w:color w:val="000000"/>
                <w:sz w:val="16"/>
                <w:szCs w:val="16"/>
              </w:rPr>
              <w:t>of</w:t>
            </w:r>
            <w:proofErr w:type="spellEnd"/>
            <w:r w:rsidR="00E51F85" w:rsidRPr="00E16672">
              <w:rPr>
                <w:rFonts w:ascii="Times New Roman" w:hAnsi="Times New Roman"/>
                <w:color w:val="000000"/>
                <w:sz w:val="16"/>
                <w:szCs w:val="16"/>
              </w:rPr>
              <w:t xml:space="preserve"> </w:t>
            </w:r>
            <w:proofErr w:type="spellStart"/>
            <w:r w:rsidR="00E51F85" w:rsidRPr="00E16672">
              <w:rPr>
                <w:rFonts w:ascii="Times New Roman" w:hAnsi="Times New Roman"/>
                <w:color w:val="000000"/>
                <w:sz w:val="16"/>
                <w:szCs w:val="16"/>
              </w:rPr>
              <w:t>this</w:t>
            </w:r>
            <w:proofErr w:type="spellEnd"/>
            <w:r w:rsidR="00E51F85" w:rsidRPr="00E16672">
              <w:rPr>
                <w:rFonts w:ascii="Times New Roman" w:hAnsi="Times New Roman"/>
                <w:color w:val="000000"/>
                <w:sz w:val="16"/>
                <w:szCs w:val="16"/>
              </w:rPr>
              <w:t xml:space="preserve"> </w:t>
            </w:r>
            <w:proofErr w:type="spellStart"/>
            <w:r w:rsidR="00E51F85" w:rsidRPr="00E16672">
              <w:rPr>
                <w:rFonts w:ascii="Times New Roman" w:hAnsi="Times New Roman"/>
                <w:color w:val="000000"/>
                <w:sz w:val="16"/>
                <w:szCs w:val="16"/>
              </w:rPr>
              <w:t>issue</w:t>
            </w:r>
            <w:proofErr w:type="spellEnd"/>
            <w:r w:rsidR="00E51F85" w:rsidRPr="00E16672">
              <w:rPr>
                <w:rFonts w:ascii="Times New Roman" w:hAnsi="Times New Roman"/>
                <w:color w:val="000000"/>
                <w:sz w:val="16"/>
                <w:szCs w:val="16"/>
              </w:rPr>
              <w:t xml:space="preserve"> </w:t>
            </w:r>
            <w:proofErr w:type="spellStart"/>
            <w:r w:rsidR="00E51F85" w:rsidRPr="00E16672">
              <w:rPr>
                <w:rFonts w:ascii="Times New Roman" w:hAnsi="Times New Roman"/>
                <w:color w:val="000000"/>
                <w:sz w:val="16"/>
                <w:szCs w:val="16"/>
              </w:rPr>
              <w:t>by</w:t>
            </w:r>
            <w:proofErr w:type="spellEnd"/>
            <w:r w:rsidR="00E51F85" w:rsidRPr="00E16672">
              <w:rPr>
                <w:rFonts w:ascii="Times New Roman" w:hAnsi="Times New Roman"/>
                <w:color w:val="000000"/>
                <w:sz w:val="16"/>
                <w:szCs w:val="16"/>
              </w:rPr>
              <w:t xml:space="preserve"> </w:t>
            </w:r>
            <w:proofErr w:type="spellStart"/>
            <w:r w:rsidR="00E51F85" w:rsidRPr="00E16672">
              <w:rPr>
                <w:rFonts w:ascii="Times New Roman" w:hAnsi="Times New Roman"/>
                <w:color w:val="000000"/>
                <w:sz w:val="16"/>
                <w:szCs w:val="16"/>
              </w:rPr>
              <w:t>sending</w:t>
            </w:r>
            <w:proofErr w:type="spellEnd"/>
            <w:r w:rsidR="00E51F85" w:rsidRPr="00E16672">
              <w:rPr>
                <w:rFonts w:ascii="Times New Roman" w:hAnsi="Times New Roman"/>
                <w:color w:val="000000"/>
                <w:sz w:val="16"/>
                <w:szCs w:val="16"/>
                <w:lang w:val="en-US"/>
              </w:rPr>
              <w:t xml:space="preserve"> </w:t>
            </w:r>
            <w:proofErr w:type="spellStart"/>
            <w:r w:rsidR="00E51F85" w:rsidRPr="00E16672">
              <w:rPr>
                <w:rFonts w:ascii="Times New Roman" w:hAnsi="Times New Roman"/>
                <w:color w:val="000000"/>
                <w:sz w:val="16"/>
                <w:szCs w:val="16"/>
              </w:rPr>
              <w:t>appropriate</w:t>
            </w:r>
            <w:proofErr w:type="spellEnd"/>
            <w:r w:rsidR="00E51F85" w:rsidRPr="00E16672">
              <w:rPr>
                <w:rFonts w:ascii="Times New Roman" w:hAnsi="Times New Roman"/>
                <w:color w:val="000000"/>
                <w:sz w:val="16"/>
                <w:szCs w:val="16"/>
              </w:rPr>
              <w:t xml:space="preserve"> </w:t>
            </w:r>
            <w:proofErr w:type="spellStart"/>
            <w:r w:rsidR="00E51F85" w:rsidRPr="00E16672">
              <w:rPr>
                <w:rFonts w:ascii="Times New Roman" w:hAnsi="Times New Roman"/>
                <w:color w:val="000000"/>
                <w:sz w:val="16"/>
                <w:szCs w:val="16"/>
              </w:rPr>
              <w:t>message</w:t>
            </w:r>
            <w:proofErr w:type="spellEnd"/>
            <w:r w:rsidR="00E51F85" w:rsidRPr="00E16672">
              <w:rPr>
                <w:rFonts w:ascii="Times New Roman" w:hAnsi="Times New Roman"/>
                <w:color w:val="000000"/>
                <w:sz w:val="16"/>
                <w:szCs w:val="16"/>
              </w:rPr>
              <w:t xml:space="preserve"> </w:t>
            </w:r>
            <w:r w:rsidR="00E51F85" w:rsidRPr="00E16672">
              <w:rPr>
                <w:rFonts w:ascii="Times New Roman" w:hAnsi="Times New Roman"/>
                <w:color w:val="000000"/>
                <w:sz w:val="16"/>
                <w:szCs w:val="16"/>
                <w:lang w:val="en-US"/>
              </w:rPr>
              <w:t>to e-</w:t>
            </w:r>
            <w:proofErr w:type="spellStart"/>
            <w:r w:rsidR="00E51F85" w:rsidRPr="00E16672">
              <w:rPr>
                <w:rFonts w:ascii="Times New Roman" w:hAnsi="Times New Roman"/>
                <w:color w:val="000000"/>
                <w:sz w:val="16"/>
                <w:szCs w:val="16"/>
              </w:rPr>
              <w:t>mail</w:t>
            </w:r>
            <w:proofErr w:type="spellEnd"/>
            <w:r w:rsidR="00E51F85" w:rsidRPr="00E16672">
              <w:rPr>
                <w:rFonts w:ascii="Times New Roman" w:hAnsi="Times New Roman"/>
                <w:color w:val="000000"/>
                <w:sz w:val="16"/>
                <w:szCs w:val="16"/>
              </w:rPr>
              <w:t xml:space="preserve"> </w:t>
            </w:r>
            <w:proofErr w:type="spellStart"/>
            <w:r w:rsidR="00E51F85" w:rsidRPr="00E16672">
              <w:rPr>
                <w:rFonts w:ascii="Times New Roman" w:hAnsi="Times New Roman"/>
                <w:color w:val="000000"/>
                <w:sz w:val="16"/>
                <w:szCs w:val="16"/>
              </w:rPr>
              <w:t>of</w:t>
            </w:r>
            <w:proofErr w:type="spellEnd"/>
            <w:r w:rsidR="00E51F85" w:rsidRPr="00E16672">
              <w:rPr>
                <w:rFonts w:ascii="Times New Roman" w:hAnsi="Times New Roman"/>
                <w:color w:val="000000"/>
                <w:sz w:val="16"/>
                <w:szCs w:val="16"/>
              </w:rPr>
              <w:t xml:space="preserve"> </w:t>
            </w:r>
            <w:proofErr w:type="spellStart"/>
            <w:r w:rsidR="00E51F85" w:rsidRPr="00E16672">
              <w:rPr>
                <w:rFonts w:ascii="Times New Roman" w:hAnsi="Times New Roman"/>
                <w:color w:val="000000"/>
                <w:sz w:val="16"/>
                <w:szCs w:val="16"/>
              </w:rPr>
              <w:t>Depositor</w:t>
            </w:r>
            <w:proofErr w:type="spellEnd"/>
            <w:r w:rsidR="00E51F85" w:rsidRPr="00E16672">
              <w:rPr>
                <w:rFonts w:ascii="Times New Roman" w:hAnsi="Times New Roman"/>
                <w:color w:val="000000"/>
                <w:sz w:val="16"/>
                <w:szCs w:val="16"/>
              </w:rPr>
              <w:t>.</w:t>
            </w:r>
          </w:p>
        </w:tc>
      </w:tr>
      <w:tr w:rsidR="009311BB" w:rsidRPr="009311BB" w14:paraId="2E5AC3F2" w14:textId="77777777" w:rsidTr="009311BB">
        <w:tblPrEx>
          <w:tblCellMar>
            <w:left w:w="0" w:type="dxa"/>
            <w:right w:w="0" w:type="dxa"/>
          </w:tblCellMar>
        </w:tblPrEx>
        <w:trPr>
          <w:trHeight w:val="192"/>
        </w:trPr>
        <w:tc>
          <w:tcPr>
            <w:tcW w:w="5696" w:type="dxa"/>
            <w:gridSpan w:val="6"/>
            <w:shd w:val="clear" w:color="auto" w:fill="auto"/>
          </w:tcPr>
          <w:p w14:paraId="165DB989" w14:textId="7A34A01C" w:rsidR="009311BB" w:rsidRPr="00E16672" w:rsidRDefault="009311BB" w:rsidP="00547A75">
            <w:pPr>
              <w:tabs>
                <w:tab w:val="left" w:pos="851"/>
                <w:tab w:val="left" w:pos="7200"/>
              </w:tabs>
              <w:ind w:left="142" w:right="138" w:firstLine="40"/>
              <w:rPr>
                <w:rFonts w:ascii="Times New Roman" w:hAnsi="Times New Roman"/>
                <w:color w:val="000000"/>
                <w:sz w:val="16"/>
                <w:szCs w:val="16"/>
              </w:rPr>
            </w:pPr>
            <w:r w:rsidRPr="009311BB">
              <w:rPr>
                <w:rFonts w:ascii="Times New Roman" w:hAnsi="Times New Roman"/>
                <w:color w:val="000000"/>
                <w:sz w:val="16"/>
                <w:szCs w:val="16"/>
              </w:rPr>
              <w:t xml:space="preserve">2.1.22. За </w:t>
            </w:r>
            <w:proofErr w:type="spellStart"/>
            <w:r w:rsidRPr="009311BB">
              <w:rPr>
                <w:rFonts w:ascii="Times New Roman" w:hAnsi="Times New Roman"/>
                <w:color w:val="000000"/>
                <w:sz w:val="16"/>
                <w:szCs w:val="16"/>
              </w:rPr>
              <w:t>наявності</w:t>
            </w:r>
            <w:proofErr w:type="spellEnd"/>
            <w:r w:rsidRPr="009311BB">
              <w:rPr>
                <w:rFonts w:ascii="Times New Roman" w:hAnsi="Times New Roman"/>
                <w:color w:val="000000"/>
                <w:sz w:val="16"/>
                <w:szCs w:val="16"/>
              </w:rPr>
              <w:t xml:space="preserve"> у </w:t>
            </w:r>
            <w:proofErr w:type="spellStart"/>
            <w:r w:rsidRPr="009311BB">
              <w:rPr>
                <w:rFonts w:ascii="Times New Roman" w:hAnsi="Times New Roman"/>
                <w:color w:val="000000"/>
                <w:sz w:val="16"/>
                <w:szCs w:val="16"/>
              </w:rPr>
              <w:t>Депозитарної</w:t>
            </w:r>
            <w:proofErr w:type="spellEnd"/>
            <w:r w:rsidRPr="009311BB">
              <w:rPr>
                <w:rFonts w:ascii="Times New Roman" w:hAnsi="Times New Roman"/>
                <w:color w:val="000000"/>
                <w:sz w:val="16"/>
                <w:szCs w:val="16"/>
              </w:rPr>
              <w:t xml:space="preserve"> установи </w:t>
            </w:r>
            <w:proofErr w:type="spellStart"/>
            <w:r w:rsidRPr="009311BB">
              <w:rPr>
                <w:rFonts w:ascii="Times New Roman" w:hAnsi="Times New Roman"/>
                <w:color w:val="000000"/>
                <w:sz w:val="16"/>
                <w:szCs w:val="16"/>
              </w:rPr>
              <w:t>обґрунтованої</w:t>
            </w:r>
            <w:proofErr w:type="spellEnd"/>
            <w:r w:rsidRPr="009311BB">
              <w:rPr>
                <w:rFonts w:ascii="Times New Roman" w:hAnsi="Times New Roman"/>
                <w:color w:val="000000"/>
                <w:sz w:val="16"/>
                <w:szCs w:val="16"/>
              </w:rPr>
              <w:t xml:space="preserve">, документально </w:t>
            </w:r>
            <w:proofErr w:type="spellStart"/>
            <w:r w:rsidRPr="009311BB">
              <w:rPr>
                <w:rFonts w:ascii="Times New Roman" w:hAnsi="Times New Roman"/>
                <w:color w:val="000000"/>
                <w:sz w:val="16"/>
                <w:szCs w:val="16"/>
              </w:rPr>
              <w:t>підтвердженої</w:t>
            </w:r>
            <w:proofErr w:type="spellEnd"/>
            <w:r w:rsidRPr="009311BB">
              <w:rPr>
                <w:rFonts w:ascii="Times New Roman" w:hAnsi="Times New Roman"/>
                <w:color w:val="000000"/>
                <w:sz w:val="16"/>
                <w:szCs w:val="16"/>
              </w:rPr>
              <w:t xml:space="preserve"> </w:t>
            </w:r>
            <w:proofErr w:type="spellStart"/>
            <w:r w:rsidRPr="009311BB">
              <w:rPr>
                <w:rFonts w:ascii="Times New Roman" w:hAnsi="Times New Roman"/>
                <w:color w:val="000000"/>
                <w:sz w:val="16"/>
                <w:szCs w:val="16"/>
              </w:rPr>
              <w:t>підозри</w:t>
            </w:r>
            <w:proofErr w:type="spellEnd"/>
            <w:r w:rsidRPr="009311BB">
              <w:rPr>
                <w:rFonts w:ascii="Times New Roman" w:hAnsi="Times New Roman"/>
                <w:color w:val="000000"/>
                <w:sz w:val="16"/>
                <w:szCs w:val="16"/>
              </w:rPr>
              <w:t xml:space="preserve">, </w:t>
            </w:r>
            <w:proofErr w:type="spellStart"/>
            <w:r w:rsidRPr="009311BB">
              <w:rPr>
                <w:rFonts w:ascii="Times New Roman" w:hAnsi="Times New Roman"/>
                <w:color w:val="000000"/>
                <w:sz w:val="16"/>
                <w:szCs w:val="16"/>
              </w:rPr>
              <w:t>що</w:t>
            </w:r>
            <w:proofErr w:type="spellEnd"/>
            <w:r w:rsidRPr="009311BB">
              <w:rPr>
                <w:rFonts w:ascii="Times New Roman" w:hAnsi="Times New Roman"/>
                <w:color w:val="000000"/>
                <w:sz w:val="16"/>
                <w:szCs w:val="16"/>
              </w:rPr>
              <w:t xml:space="preserve"> </w:t>
            </w:r>
            <w:proofErr w:type="spellStart"/>
            <w:r w:rsidRPr="009311BB">
              <w:rPr>
                <w:rFonts w:ascii="Times New Roman" w:hAnsi="Times New Roman"/>
                <w:color w:val="000000"/>
                <w:sz w:val="16"/>
                <w:szCs w:val="16"/>
              </w:rPr>
              <w:t>рахунок</w:t>
            </w:r>
            <w:proofErr w:type="spellEnd"/>
            <w:r w:rsidRPr="009311BB">
              <w:rPr>
                <w:rFonts w:ascii="Times New Roman" w:hAnsi="Times New Roman"/>
                <w:color w:val="000000"/>
                <w:sz w:val="16"/>
                <w:szCs w:val="16"/>
              </w:rPr>
              <w:t xml:space="preserve"> у </w:t>
            </w:r>
            <w:proofErr w:type="spellStart"/>
            <w:r w:rsidRPr="009311BB">
              <w:rPr>
                <w:rFonts w:ascii="Times New Roman" w:hAnsi="Times New Roman"/>
                <w:color w:val="000000"/>
                <w:sz w:val="16"/>
                <w:szCs w:val="16"/>
              </w:rPr>
              <w:t>цінних</w:t>
            </w:r>
            <w:proofErr w:type="spellEnd"/>
            <w:r w:rsidRPr="009311BB">
              <w:rPr>
                <w:rFonts w:ascii="Times New Roman" w:hAnsi="Times New Roman"/>
                <w:color w:val="000000"/>
                <w:sz w:val="16"/>
                <w:szCs w:val="16"/>
              </w:rPr>
              <w:t xml:space="preserve"> </w:t>
            </w:r>
            <w:proofErr w:type="spellStart"/>
            <w:r w:rsidRPr="009311BB">
              <w:rPr>
                <w:rFonts w:ascii="Times New Roman" w:hAnsi="Times New Roman"/>
                <w:color w:val="000000"/>
                <w:sz w:val="16"/>
                <w:szCs w:val="16"/>
              </w:rPr>
              <w:t>паперах</w:t>
            </w:r>
            <w:proofErr w:type="spellEnd"/>
            <w:r w:rsidRPr="009311BB">
              <w:rPr>
                <w:rFonts w:ascii="Times New Roman" w:hAnsi="Times New Roman"/>
                <w:color w:val="000000"/>
                <w:sz w:val="16"/>
                <w:szCs w:val="16"/>
              </w:rPr>
              <w:t xml:space="preserve"> Депонента </w:t>
            </w:r>
            <w:proofErr w:type="spellStart"/>
            <w:r w:rsidRPr="009311BB">
              <w:rPr>
                <w:rFonts w:ascii="Times New Roman" w:hAnsi="Times New Roman"/>
                <w:color w:val="000000"/>
                <w:sz w:val="16"/>
                <w:szCs w:val="16"/>
              </w:rPr>
              <w:t>належить</w:t>
            </w:r>
            <w:proofErr w:type="spellEnd"/>
            <w:r w:rsidRPr="009311BB">
              <w:rPr>
                <w:rFonts w:ascii="Times New Roman" w:hAnsi="Times New Roman"/>
                <w:color w:val="000000"/>
                <w:sz w:val="16"/>
                <w:szCs w:val="16"/>
              </w:rPr>
              <w:t xml:space="preserve"> до </w:t>
            </w:r>
            <w:proofErr w:type="spellStart"/>
            <w:r w:rsidRPr="009311BB">
              <w:rPr>
                <w:rFonts w:ascii="Times New Roman" w:hAnsi="Times New Roman"/>
                <w:color w:val="000000"/>
                <w:sz w:val="16"/>
                <w:szCs w:val="16"/>
              </w:rPr>
              <w:t>підзвітних</w:t>
            </w:r>
            <w:proofErr w:type="spellEnd"/>
            <w:r w:rsidRPr="009311BB">
              <w:rPr>
                <w:rFonts w:ascii="Times New Roman" w:hAnsi="Times New Roman"/>
                <w:color w:val="000000"/>
                <w:sz w:val="16"/>
                <w:szCs w:val="16"/>
              </w:rPr>
              <w:t xml:space="preserve">, </w:t>
            </w:r>
            <w:proofErr w:type="spellStart"/>
            <w:r w:rsidRPr="009311BB">
              <w:rPr>
                <w:rFonts w:ascii="Times New Roman" w:hAnsi="Times New Roman"/>
                <w:color w:val="000000"/>
                <w:sz w:val="16"/>
                <w:szCs w:val="16"/>
              </w:rPr>
              <w:t>Депозитарна</w:t>
            </w:r>
            <w:proofErr w:type="spellEnd"/>
            <w:r w:rsidRPr="009311BB">
              <w:rPr>
                <w:rFonts w:ascii="Times New Roman" w:hAnsi="Times New Roman"/>
                <w:color w:val="000000"/>
                <w:sz w:val="16"/>
                <w:szCs w:val="16"/>
              </w:rPr>
              <w:t xml:space="preserve"> </w:t>
            </w:r>
            <w:proofErr w:type="spellStart"/>
            <w:r w:rsidRPr="009311BB">
              <w:rPr>
                <w:rFonts w:ascii="Times New Roman" w:hAnsi="Times New Roman"/>
                <w:color w:val="000000"/>
                <w:sz w:val="16"/>
                <w:szCs w:val="16"/>
              </w:rPr>
              <w:t>установа</w:t>
            </w:r>
            <w:proofErr w:type="spellEnd"/>
            <w:r w:rsidRPr="009311BB">
              <w:rPr>
                <w:rFonts w:ascii="Times New Roman" w:hAnsi="Times New Roman"/>
                <w:color w:val="000000"/>
                <w:sz w:val="16"/>
                <w:szCs w:val="16"/>
              </w:rPr>
              <w:t xml:space="preserve"> </w:t>
            </w:r>
            <w:proofErr w:type="gramStart"/>
            <w:r w:rsidRPr="009311BB">
              <w:rPr>
                <w:rFonts w:ascii="Times New Roman" w:hAnsi="Times New Roman"/>
                <w:color w:val="000000"/>
                <w:sz w:val="16"/>
                <w:szCs w:val="16"/>
              </w:rPr>
              <w:t>в порядку</w:t>
            </w:r>
            <w:proofErr w:type="gramEnd"/>
            <w:r w:rsidRPr="009311BB">
              <w:rPr>
                <w:rFonts w:ascii="Times New Roman" w:hAnsi="Times New Roman"/>
                <w:color w:val="000000"/>
                <w:sz w:val="16"/>
                <w:szCs w:val="16"/>
              </w:rPr>
              <w:t xml:space="preserve">, </w:t>
            </w:r>
            <w:proofErr w:type="spellStart"/>
            <w:r w:rsidRPr="009311BB">
              <w:rPr>
                <w:rFonts w:ascii="Times New Roman" w:hAnsi="Times New Roman"/>
                <w:color w:val="000000"/>
                <w:sz w:val="16"/>
                <w:szCs w:val="16"/>
              </w:rPr>
              <w:t>встановленому</w:t>
            </w:r>
            <w:proofErr w:type="spellEnd"/>
            <w:r w:rsidRPr="009311BB">
              <w:rPr>
                <w:rFonts w:ascii="Times New Roman" w:hAnsi="Times New Roman"/>
                <w:color w:val="000000"/>
                <w:sz w:val="16"/>
                <w:szCs w:val="16"/>
              </w:rPr>
              <w:t xml:space="preserve"> </w:t>
            </w:r>
            <w:proofErr w:type="spellStart"/>
            <w:r w:rsidRPr="009311BB">
              <w:rPr>
                <w:rFonts w:ascii="Times New Roman" w:hAnsi="Times New Roman"/>
                <w:color w:val="000000"/>
                <w:sz w:val="16"/>
                <w:szCs w:val="16"/>
              </w:rPr>
              <w:t>її</w:t>
            </w:r>
            <w:proofErr w:type="spellEnd"/>
            <w:r w:rsidRPr="009311BB">
              <w:rPr>
                <w:rFonts w:ascii="Times New Roman" w:hAnsi="Times New Roman"/>
                <w:color w:val="000000"/>
                <w:sz w:val="16"/>
                <w:szCs w:val="16"/>
              </w:rPr>
              <w:t xml:space="preserve"> </w:t>
            </w:r>
            <w:proofErr w:type="spellStart"/>
            <w:r w:rsidRPr="009311BB">
              <w:rPr>
                <w:rFonts w:ascii="Times New Roman" w:hAnsi="Times New Roman"/>
                <w:color w:val="000000"/>
                <w:sz w:val="16"/>
                <w:szCs w:val="16"/>
              </w:rPr>
              <w:t>внутрішніми</w:t>
            </w:r>
            <w:proofErr w:type="spellEnd"/>
            <w:r w:rsidRPr="009311BB">
              <w:rPr>
                <w:rFonts w:ascii="Times New Roman" w:hAnsi="Times New Roman"/>
                <w:color w:val="000000"/>
                <w:sz w:val="16"/>
                <w:szCs w:val="16"/>
              </w:rPr>
              <w:t xml:space="preserve"> документами, та </w:t>
            </w:r>
            <w:proofErr w:type="spellStart"/>
            <w:r w:rsidRPr="009311BB">
              <w:rPr>
                <w:rFonts w:ascii="Times New Roman" w:hAnsi="Times New Roman"/>
                <w:color w:val="000000"/>
                <w:sz w:val="16"/>
                <w:szCs w:val="16"/>
              </w:rPr>
              <w:t>відповідно</w:t>
            </w:r>
            <w:proofErr w:type="spellEnd"/>
            <w:r w:rsidRPr="009311BB">
              <w:rPr>
                <w:rFonts w:ascii="Times New Roman" w:hAnsi="Times New Roman"/>
                <w:color w:val="000000"/>
                <w:sz w:val="16"/>
                <w:szCs w:val="16"/>
              </w:rPr>
              <w:t xml:space="preserve"> до </w:t>
            </w:r>
            <w:proofErr w:type="spellStart"/>
            <w:r w:rsidRPr="009311BB">
              <w:rPr>
                <w:rFonts w:ascii="Times New Roman" w:hAnsi="Times New Roman"/>
                <w:color w:val="000000"/>
                <w:sz w:val="16"/>
                <w:szCs w:val="16"/>
              </w:rPr>
              <w:t>цього</w:t>
            </w:r>
            <w:proofErr w:type="spellEnd"/>
            <w:r w:rsidRPr="009311BB">
              <w:rPr>
                <w:rFonts w:ascii="Times New Roman" w:hAnsi="Times New Roman"/>
                <w:color w:val="000000"/>
                <w:sz w:val="16"/>
                <w:szCs w:val="16"/>
              </w:rPr>
              <w:t xml:space="preserve"> Договору </w:t>
            </w:r>
            <w:proofErr w:type="spellStart"/>
            <w:r w:rsidRPr="009311BB">
              <w:rPr>
                <w:rFonts w:ascii="Times New Roman" w:hAnsi="Times New Roman"/>
                <w:color w:val="000000"/>
                <w:sz w:val="16"/>
                <w:szCs w:val="16"/>
              </w:rPr>
              <w:t>надсилає</w:t>
            </w:r>
            <w:proofErr w:type="spellEnd"/>
            <w:r w:rsidRPr="009311BB">
              <w:rPr>
                <w:rFonts w:ascii="Times New Roman" w:hAnsi="Times New Roman"/>
                <w:color w:val="000000"/>
                <w:sz w:val="16"/>
                <w:szCs w:val="16"/>
              </w:rPr>
              <w:t xml:space="preserve"> на адресу </w:t>
            </w:r>
            <w:proofErr w:type="spellStart"/>
            <w:r w:rsidRPr="009311BB">
              <w:rPr>
                <w:rFonts w:ascii="Times New Roman" w:hAnsi="Times New Roman"/>
                <w:color w:val="000000"/>
                <w:sz w:val="16"/>
                <w:szCs w:val="16"/>
              </w:rPr>
              <w:t>відповідного</w:t>
            </w:r>
            <w:proofErr w:type="spellEnd"/>
            <w:r w:rsidRPr="009311BB">
              <w:rPr>
                <w:rFonts w:ascii="Times New Roman" w:hAnsi="Times New Roman"/>
                <w:color w:val="000000"/>
                <w:sz w:val="16"/>
                <w:szCs w:val="16"/>
              </w:rPr>
              <w:t xml:space="preserve"> Депонента запит з </w:t>
            </w:r>
            <w:proofErr w:type="spellStart"/>
            <w:r w:rsidRPr="009311BB">
              <w:rPr>
                <w:rFonts w:ascii="Times New Roman" w:hAnsi="Times New Roman"/>
                <w:color w:val="000000"/>
                <w:sz w:val="16"/>
                <w:szCs w:val="16"/>
              </w:rPr>
              <w:t>вимогою</w:t>
            </w:r>
            <w:proofErr w:type="spellEnd"/>
            <w:r w:rsidRPr="009311BB">
              <w:rPr>
                <w:rFonts w:ascii="Times New Roman" w:hAnsi="Times New Roman"/>
                <w:color w:val="000000"/>
                <w:sz w:val="16"/>
                <w:szCs w:val="16"/>
              </w:rPr>
              <w:t xml:space="preserve"> про </w:t>
            </w:r>
            <w:proofErr w:type="spellStart"/>
            <w:r w:rsidRPr="009311BB">
              <w:rPr>
                <w:rFonts w:ascii="Times New Roman" w:hAnsi="Times New Roman"/>
                <w:color w:val="000000"/>
                <w:sz w:val="16"/>
                <w:szCs w:val="16"/>
              </w:rPr>
              <w:t>надання</w:t>
            </w:r>
            <w:proofErr w:type="spellEnd"/>
            <w:r w:rsidRPr="009311BB">
              <w:rPr>
                <w:rFonts w:ascii="Times New Roman" w:hAnsi="Times New Roman"/>
                <w:color w:val="000000"/>
                <w:sz w:val="16"/>
                <w:szCs w:val="16"/>
              </w:rPr>
              <w:t xml:space="preserve"> </w:t>
            </w:r>
            <w:proofErr w:type="spellStart"/>
            <w:r w:rsidRPr="009311BB">
              <w:rPr>
                <w:rFonts w:ascii="Times New Roman" w:hAnsi="Times New Roman"/>
                <w:color w:val="000000"/>
                <w:sz w:val="16"/>
                <w:szCs w:val="16"/>
              </w:rPr>
              <w:t>пояснень</w:t>
            </w:r>
            <w:proofErr w:type="spellEnd"/>
            <w:r w:rsidRPr="009311BB">
              <w:rPr>
                <w:rFonts w:ascii="Times New Roman" w:hAnsi="Times New Roman"/>
                <w:color w:val="000000"/>
                <w:sz w:val="16"/>
                <w:szCs w:val="16"/>
              </w:rPr>
              <w:t xml:space="preserve"> та </w:t>
            </w:r>
            <w:proofErr w:type="spellStart"/>
            <w:r w:rsidRPr="009311BB">
              <w:rPr>
                <w:rFonts w:ascii="Times New Roman" w:hAnsi="Times New Roman"/>
                <w:color w:val="000000"/>
                <w:sz w:val="16"/>
                <w:szCs w:val="16"/>
              </w:rPr>
              <w:t>інформації</w:t>
            </w:r>
            <w:proofErr w:type="spellEnd"/>
            <w:r w:rsidRPr="009311BB">
              <w:rPr>
                <w:rFonts w:ascii="Times New Roman" w:hAnsi="Times New Roman"/>
                <w:color w:val="000000"/>
                <w:sz w:val="16"/>
                <w:szCs w:val="16"/>
              </w:rPr>
              <w:t xml:space="preserve">, </w:t>
            </w:r>
            <w:proofErr w:type="spellStart"/>
            <w:r w:rsidRPr="009311BB">
              <w:rPr>
                <w:rFonts w:ascii="Times New Roman" w:hAnsi="Times New Roman"/>
                <w:color w:val="000000"/>
                <w:sz w:val="16"/>
                <w:szCs w:val="16"/>
              </w:rPr>
              <w:t>що</w:t>
            </w:r>
            <w:proofErr w:type="spellEnd"/>
            <w:r w:rsidRPr="009311BB">
              <w:rPr>
                <w:rFonts w:ascii="Times New Roman" w:hAnsi="Times New Roman"/>
                <w:color w:val="000000"/>
                <w:sz w:val="16"/>
                <w:szCs w:val="16"/>
              </w:rPr>
              <w:t xml:space="preserve"> </w:t>
            </w:r>
            <w:proofErr w:type="spellStart"/>
            <w:r w:rsidRPr="009311BB">
              <w:rPr>
                <w:rFonts w:ascii="Times New Roman" w:hAnsi="Times New Roman"/>
                <w:color w:val="000000"/>
                <w:sz w:val="16"/>
                <w:szCs w:val="16"/>
              </w:rPr>
              <w:t>стосуються</w:t>
            </w:r>
            <w:proofErr w:type="spellEnd"/>
            <w:r w:rsidRPr="009311BB">
              <w:rPr>
                <w:rFonts w:ascii="Times New Roman" w:hAnsi="Times New Roman"/>
                <w:color w:val="000000"/>
                <w:sz w:val="16"/>
                <w:szCs w:val="16"/>
              </w:rPr>
              <w:t xml:space="preserve"> </w:t>
            </w:r>
            <w:proofErr w:type="spellStart"/>
            <w:r w:rsidRPr="009311BB">
              <w:rPr>
                <w:rFonts w:ascii="Times New Roman" w:hAnsi="Times New Roman"/>
                <w:color w:val="000000"/>
                <w:sz w:val="16"/>
                <w:szCs w:val="16"/>
              </w:rPr>
              <w:t>підозри</w:t>
            </w:r>
            <w:proofErr w:type="spellEnd"/>
            <w:r w:rsidRPr="009311BB">
              <w:rPr>
                <w:rFonts w:ascii="Times New Roman" w:hAnsi="Times New Roman"/>
                <w:color w:val="000000"/>
                <w:sz w:val="16"/>
                <w:szCs w:val="16"/>
              </w:rPr>
              <w:t>.</w:t>
            </w:r>
          </w:p>
        </w:tc>
        <w:tc>
          <w:tcPr>
            <w:tcW w:w="5494" w:type="dxa"/>
            <w:gridSpan w:val="7"/>
            <w:shd w:val="clear" w:color="auto" w:fill="auto"/>
          </w:tcPr>
          <w:p w14:paraId="24A378B7" w14:textId="0BB48F10" w:rsidR="009311BB" w:rsidRPr="00E16672" w:rsidRDefault="009311BB" w:rsidP="00547A75">
            <w:pPr>
              <w:pStyle w:val="210"/>
              <w:snapToGrid w:val="0"/>
              <w:ind w:left="145" w:right="100" w:firstLine="3"/>
              <w:rPr>
                <w:rFonts w:ascii="Times New Roman" w:eastAsia="Arial" w:hAnsi="Times New Roman"/>
                <w:color w:val="000000"/>
                <w:sz w:val="16"/>
                <w:szCs w:val="16"/>
              </w:rPr>
            </w:pPr>
            <w:r w:rsidRPr="009311BB">
              <w:rPr>
                <w:rFonts w:ascii="Times New Roman" w:eastAsia="Arial" w:hAnsi="Times New Roman"/>
                <w:color w:val="000000"/>
                <w:sz w:val="16"/>
                <w:szCs w:val="16"/>
              </w:rPr>
              <w:t xml:space="preserve">2.1.22. </w:t>
            </w:r>
            <w:proofErr w:type="spellStart"/>
            <w:r w:rsidRPr="009311BB">
              <w:rPr>
                <w:rFonts w:ascii="Times New Roman" w:eastAsia="Arial" w:hAnsi="Times New Roman"/>
                <w:color w:val="000000"/>
                <w:sz w:val="16"/>
                <w:szCs w:val="16"/>
              </w:rPr>
              <w:t>If</w:t>
            </w:r>
            <w:proofErr w:type="spellEnd"/>
            <w:r w:rsidRPr="009311BB">
              <w:rPr>
                <w:rFonts w:ascii="Times New Roman" w:eastAsia="Arial" w:hAnsi="Times New Roman"/>
                <w:color w:val="000000"/>
                <w:sz w:val="16"/>
                <w:szCs w:val="16"/>
              </w:rPr>
              <w:t xml:space="preserve"> </w:t>
            </w:r>
            <w:proofErr w:type="spellStart"/>
            <w:r w:rsidRPr="009311BB">
              <w:rPr>
                <w:rFonts w:ascii="Times New Roman" w:eastAsia="Arial" w:hAnsi="Times New Roman"/>
                <w:color w:val="000000"/>
                <w:sz w:val="16"/>
                <w:szCs w:val="16"/>
              </w:rPr>
              <w:t>the</w:t>
            </w:r>
            <w:proofErr w:type="spellEnd"/>
            <w:r w:rsidRPr="009311BB">
              <w:rPr>
                <w:rFonts w:ascii="Times New Roman" w:eastAsia="Arial" w:hAnsi="Times New Roman"/>
                <w:color w:val="000000"/>
                <w:sz w:val="16"/>
                <w:szCs w:val="16"/>
              </w:rPr>
              <w:t xml:space="preserve"> </w:t>
            </w:r>
            <w:proofErr w:type="spellStart"/>
            <w:r w:rsidRPr="009311BB">
              <w:rPr>
                <w:rFonts w:ascii="Times New Roman" w:eastAsia="Arial" w:hAnsi="Times New Roman"/>
                <w:color w:val="000000"/>
                <w:sz w:val="16"/>
                <w:szCs w:val="16"/>
              </w:rPr>
              <w:t>Depository</w:t>
            </w:r>
            <w:proofErr w:type="spellEnd"/>
            <w:r w:rsidRPr="009311BB">
              <w:rPr>
                <w:rFonts w:ascii="Times New Roman" w:eastAsia="Arial" w:hAnsi="Times New Roman"/>
                <w:color w:val="000000"/>
                <w:sz w:val="16"/>
                <w:szCs w:val="16"/>
              </w:rPr>
              <w:t xml:space="preserve"> </w:t>
            </w:r>
            <w:proofErr w:type="spellStart"/>
            <w:r w:rsidRPr="009311BB">
              <w:rPr>
                <w:rFonts w:ascii="Times New Roman" w:eastAsia="Arial" w:hAnsi="Times New Roman"/>
                <w:color w:val="000000"/>
                <w:sz w:val="16"/>
                <w:szCs w:val="16"/>
              </w:rPr>
              <w:t>has</w:t>
            </w:r>
            <w:proofErr w:type="spellEnd"/>
            <w:r w:rsidRPr="009311BB">
              <w:rPr>
                <w:rFonts w:ascii="Times New Roman" w:eastAsia="Arial" w:hAnsi="Times New Roman"/>
                <w:color w:val="000000"/>
                <w:sz w:val="16"/>
                <w:szCs w:val="16"/>
              </w:rPr>
              <w:t xml:space="preserve"> a </w:t>
            </w:r>
            <w:proofErr w:type="spellStart"/>
            <w:r w:rsidRPr="009311BB">
              <w:rPr>
                <w:rFonts w:ascii="Times New Roman" w:eastAsia="Arial" w:hAnsi="Times New Roman"/>
                <w:color w:val="000000"/>
                <w:sz w:val="16"/>
                <w:szCs w:val="16"/>
              </w:rPr>
              <w:t>reasonable</w:t>
            </w:r>
            <w:proofErr w:type="spellEnd"/>
            <w:r w:rsidRPr="009311BB">
              <w:rPr>
                <w:rFonts w:ascii="Times New Roman" w:eastAsia="Arial" w:hAnsi="Times New Roman"/>
                <w:color w:val="000000"/>
                <w:sz w:val="16"/>
                <w:szCs w:val="16"/>
              </w:rPr>
              <w:t xml:space="preserve">, </w:t>
            </w:r>
            <w:proofErr w:type="spellStart"/>
            <w:r w:rsidRPr="009311BB">
              <w:rPr>
                <w:rFonts w:ascii="Times New Roman" w:eastAsia="Arial" w:hAnsi="Times New Roman"/>
                <w:color w:val="000000"/>
                <w:sz w:val="16"/>
                <w:szCs w:val="16"/>
              </w:rPr>
              <w:t>documented</w:t>
            </w:r>
            <w:proofErr w:type="spellEnd"/>
            <w:r w:rsidRPr="009311BB">
              <w:rPr>
                <w:rFonts w:ascii="Times New Roman" w:eastAsia="Arial" w:hAnsi="Times New Roman"/>
                <w:color w:val="000000"/>
                <w:sz w:val="16"/>
                <w:szCs w:val="16"/>
              </w:rPr>
              <w:t xml:space="preserve"> </w:t>
            </w:r>
            <w:proofErr w:type="spellStart"/>
            <w:r w:rsidRPr="009311BB">
              <w:rPr>
                <w:rFonts w:ascii="Times New Roman" w:eastAsia="Arial" w:hAnsi="Times New Roman"/>
                <w:color w:val="000000"/>
                <w:sz w:val="16"/>
                <w:szCs w:val="16"/>
              </w:rPr>
              <w:t>suspicion</w:t>
            </w:r>
            <w:proofErr w:type="spellEnd"/>
            <w:r w:rsidRPr="009311BB">
              <w:rPr>
                <w:rFonts w:ascii="Times New Roman" w:eastAsia="Arial" w:hAnsi="Times New Roman"/>
                <w:color w:val="000000"/>
                <w:sz w:val="16"/>
                <w:szCs w:val="16"/>
              </w:rPr>
              <w:t xml:space="preserve"> </w:t>
            </w:r>
            <w:proofErr w:type="spellStart"/>
            <w:r w:rsidRPr="009311BB">
              <w:rPr>
                <w:rFonts w:ascii="Times New Roman" w:eastAsia="Arial" w:hAnsi="Times New Roman"/>
                <w:color w:val="000000"/>
                <w:sz w:val="16"/>
                <w:szCs w:val="16"/>
              </w:rPr>
              <w:t>that</w:t>
            </w:r>
            <w:proofErr w:type="spellEnd"/>
            <w:r w:rsidRPr="009311BB">
              <w:rPr>
                <w:rFonts w:ascii="Times New Roman" w:eastAsia="Arial" w:hAnsi="Times New Roman"/>
                <w:color w:val="000000"/>
                <w:sz w:val="16"/>
                <w:szCs w:val="16"/>
              </w:rPr>
              <w:t xml:space="preserve"> </w:t>
            </w:r>
            <w:proofErr w:type="spellStart"/>
            <w:r w:rsidRPr="009311BB">
              <w:rPr>
                <w:rFonts w:ascii="Times New Roman" w:eastAsia="Arial" w:hAnsi="Times New Roman"/>
                <w:color w:val="000000"/>
                <w:sz w:val="16"/>
                <w:szCs w:val="16"/>
              </w:rPr>
              <w:t>the</w:t>
            </w:r>
            <w:proofErr w:type="spellEnd"/>
            <w:r w:rsidRPr="009311BB">
              <w:rPr>
                <w:rFonts w:ascii="Times New Roman" w:eastAsia="Arial" w:hAnsi="Times New Roman"/>
                <w:color w:val="000000"/>
                <w:sz w:val="16"/>
                <w:szCs w:val="16"/>
              </w:rPr>
              <w:t xml:space="preserve"> </w:t>
            </w:r>
            <w:proofErr w:type="spellStart"/>
            <w:r w:rsidRPr="009311BB">
              <w:rPr>
                <w:rFonts w:ascii="Times New Roman" w:eastAsia="Arial" w:hAnsi="Times New Roman"/>
                <w:color w:val="000000"/>
                <w:sz w:val="16"/>
                <w:szCs w:val="16"/>
              </w:rPr>
              <w:t>Depositor's</w:t>
            </w:r>
            <w:proofErr w:type="spellEnd"/>
            <w:r w:rsidRPr="009311BB">
              <w:rPr>
                <w:rFonts w:ascii="Times New Roman" w:eastAsia="Arial" w:hAnsi="Times New Roman"/>
                <w:color w:val="000000"/>
                <w:sz w:val="16"/>
                <w:szCs w:val="16"/>
              </w:rPr>
              <w:t xml:space="preserve"> </w:t>
            </w:r>
            <w:proofErr w:type="spellStart"/>
            <w:r w:rsidRPr="009311BB">
              <w:rPr>
                <w:rFonts w:ascii="Times New Roman" w:eastAsia="Arial" w:hAnsi="Times New Roman"/>
                <w:color w:val="000000"/>
                <w:sz w:val="16"/>
                <w:szCs w:val="16"/>
              </w:rPr>
              <w:t>securities</w:t>
            </w:r>
            <w:proofErr w:type="spellEnd"/>
            <w:r w:rsidRPr="009311BB">
              <w:rPr>
                <w:rFonts w:ascii="Times New Roman" w:eastAsia="Arial" w:hAnsi="Times New Roman"/>
                <w:color w:val="000000"/>
                <w:sz w:val="16"/>
                <w:szCs w:val="16"/>
              </w:rPr>
              <w:t xml:space="preserve"> </w:t>
            </w:r>
            <w:proofErr w:type="spellStart"/>
            <w:r w:rsidRPr="009311BB">
              <w:rPr>
                <w:rFonts w:ascii="Times New Roman" w:eastAsia="Arial" w:hAnsi="Times New Roman"/>
                <w:color w:val="000000"/>
                <w:sz w:val="16"/>
                <w:szCs w:val="16"/>
              </w:rPr>
              <w:t>account</w:t>
            </w:r>
            <w:proofErr w:type="spellEnd"/>
            <w:r w:rsidRPr="009311BB">
              <w:rPr>
                <w:rFonts w:ascii="Times New Roman" w:eastAsia="Arial" w:hAnsi="Times New Roman"/>
                <w:color w:val="000000"/>
                <w:sz w:val="16"/>
                <w:szCs w:val="16"/>
              </w:rPr>
              <w:t xml:space="preserve"> </w:t>
            </w:r>
            <w:proofErr w:type="spellStart"/>
            <w:r w:rsidRPr="009311BB">
              <w:rPr>
                <w:rFonts w:ascii="Times New Roman" w:eastAsia="Arial" w:hAnsi="Times New Roman"/>
                <w:color w:val="000000"/>
                <w:sz w:val="16"/>
                <w:szCs w:val="16"/>
              </w:rPr>
              <w:t>belongs</w:t>
            </w:r>
            <w:proofErr w:type="spellEnd"/>
            <w:r w:rsidRPr="009311BB">
              <w:rPr>
                <w:rFonts w:ascii="Times New Roman" w:eastAsia="Arial" w:hAnsi="Times New Roman"/>
                <w:color w:val="000000"/>
                <w:sz w:val="16"/>
                <w:szCs w:val="16"/>
              </w:rPr>
              <w:t xml:space="preserve"> </w:t>
            </w:r>
            <w:proofErr w:type="spellStart"/>
            <w:r w:rsidRPr="009311BB">
              <w:rPr>
                <w:rFonts w:ascii="Times New Roman" w:eastAsia="Arial" w:hAnsi="Times New Roman"/>
                <w:color w:val="000000"/>
                <w:sz w:val="16"/>
                <w:szCs w:val="16"/>
              </w:rPr>
              <w:t>to</w:t>
            </w:r>
            <w:proofErr w:type="spellEnd"/>
            <w:r w:rsidRPr="009311BB">
              <w:rPr>
                <w:rFonts w:ascii="Times New Roman" w:eastAsia="Arial" w:hAnsi="Times New Roman"/>
                <w:color w:val="000000"/>
                <w:sz w:val="16"/>
                <w:szCs w:val="16"/>
              </w:rPr>
              <w:t xml:space="preserve"> </w:t>
            </w:r>
            <w:proofErr w:type="spellStart"/>
            <w:r w:rsidRPr="009311BB">
              <w:rPr>
                <w:rFonts w:ascii="Times New Roman" w:eastAsia="Arial" w:hAnsi="Times New Roman"/>
                <w:color w:val="000000"/>
                <w:sz w:val="16"/>
                <w:szCs w:val="16"/>
              </w:rPr>
              <w:t>the</w:t>
            </w:r>
            <w:proofErr w:type="spellEnd"/>
            <w:r w:rsidRPr="009311BB">
              <w:rPr>
                <w:rFonts w:ascii="Times New Roman" w:eastAsia="Arial" w:hAnsi="Times New Roman"/>
                <w:color w:val="000000"/>
                <w:sz w:val="16"/>
                <w:szCs w:val="16"/>
              </w:rPr>
              <w:t xml:space="preserve"> </w:t>
            </w:r>
            <w:proofErr w:type="spellStart"/>
            <w:r w:rsidRPr="009311BB">
              <w:rPr>
                <w:rFonts w:ascii="Times New Roman" w:eastAsia="Arial" w:hAnsi="Times New Roman"/>
                <w:color w:val="000000"/>
                <w:sz w:val="16"/>
                <w:szCs w:val="16"/>
              </w:rPr>
              <w:t>accountable</w:t>
            </w:r>
            <w:proofErr w:type="spellEnd"/>
            <w:r w:rsidRPr="009311BB">
              <w:rPr>
                <w:rFonts w:ascii="Times New Roman" w:eastAsia="Arial" w:hAnsi="Times New Roman"/>
                <w:color w:val="000000"/>
                <w:sz w:val="16"/>
                <w:szCs w:val="16"/>
              </w:rPr>
              <w:t xml:space="preserve">, </w:t>
            </w:r>
            <w:proofErr w:type="spellStart"/>
            <w:r w:rsidRPr="009311BB">
              <w:rPr>
                <w:rFonts w:ascii="Times New Roman" w:eastAsia="Arial" w:hAnsi="Times New Roman"/>
                <w:color w:val="000000"/>
                <w:sz w:val="16"/>
                <w:szCs w:val="16"/>
              </w:rPr>
              <w:t>the</w:t>
            </w:r>
            <w:proofErr w:type="spellEnd"/>
            <w:r w:rsidRPr="009311BB">
              <w:rPr>
                <w:rFonts w:ascii="Times New Roman" w:eastAsia="Arial" w:hAnsi="Times New Roman"/>
                <w:color w:val="000000"/>
                <w:sz w:val="16"/>
                <w:szCs w:val="16"/>
              </w:rPr>
              <w:t xml:space="preserve"> </w:t>
            </w:r>
            <w:proofErr w:type="spellStart"/>
            <w:r w:rsidRPr="009311BB">
              <w:rPr>
                <w:rFonts w:ascii="Times New Roman" w:eastAsia="Arial" w:hAnsi="Times New Roman"/>
                <w:color w:val="000000"/>
                <w:sz w:val="16"/>
                <w:szCs w:val="16"/>
              </w:rPr>
              <w:t>Depository</w:t>
            </w:r>
            <w:proofErr w:type="spellEnd"/>
            <w:r w:rsidRPr="009311BB">
              <w:rPr>
                <w:rFonts w:ascii="Times New Roman" w:eastAsia="Arial" w:hAnsi="Times New Roman"/>
                <w:color w:val="000000"/>
                <w:sz w:val="16"/>
                <w:szCs w:val="16"/>
              </w:rPr>
              <w:t xml:space="preserve"> </w:t>
            </w:r>
            <w:proofErr w:type="spellStart"/>
            <w:r w:rsidRPr="009311BB">
              <w:rPr>
                <w:rFonts w:ascii="Times New Roman" w:eastAsia="Arial" w:hAnsi="Times New Roman"/>
                <w:color w:val="000000"/>
                <w:sz w:val="16"/>
                <w:szCs w:val="16"/>
              </w:rPr>
              <w:t>in</w:t>
            </w:r>
            <w:proofErr w:type="spellEnd"/>
            <w:r w:rsidRPr="009311BB">
              <w:rPr>
                <w:rFonts w:ascii="Times New Roman" w:eastAsia="Arial" w:hAnsi="Times New Roman"/>
                <w:color w:val="000000"/>
                <w:sz w:val="16"/>
                <w:szCs w:val="16"/>
              </w:rPr>
              <w:t xml:space="preserve"> </w:t>
            </w:r>
            <w:proofErr w:type="spellStart"/>
            <w:r w:rsidRPr="009311BB">
              <w:rPr>
                <w:rFonts w:ascii="Times New Roman" w:eastAsia="Arial" w:hAnsi="Times New Roman"/>
                <w:color w:val="000000"/>
                <w:sz w:val="16"/>
                <w:szCs w:val="16"/>
              </w:rPr>
              <w:t>the</w:t>
            </w:r>
            <w:proofErr w:type="spellEnd"/>
            <w:r w:rsidRPr="009311BB">
              <w:rPr>
                <w:rFonts w:ascii="Times New Roman" w:eastAsia="Arial" w:hAnsi="Times New Roman"/>
                <w:color w:val="000000"/>
                <w:sz w:val="16"/>
                <w:szCs w:val="16"/>
              </w:rPr>
              <w:t xml:space="preserve"> </w:t>
            </w:r>
            <w:proofErr w:type="spellStart"/>
            <w:r w:rsidRPr="009311BB">
              <w:rPr>
                <w:rFonts w:ascii="Times New Roman" w:eastAsia="Arial" w:hAnsi="Times New Roman"/>
                <w:color w:val="000000"/>
                <w:sz w:val="16"/>
                <w:szCs w:val="16"/>
              </w:rPr>
              <w:t>manner</w:t>
            </w:r>
            <w:proofErr w:type="spellEnd"/>
            <w:r w:rsidRPr="009311BB">
              <w:rPr>
                <w:rFonts w:ascii="Times New Roman" w:eastAsia="Arial" w:hAnsi="Times New Roman"/>
                <w:color w:val="000000"/>
                <w:sz w:val="16"/>
                <w:szCs w:val="16"/>
              </w:rPr>
              <w:t xml:space="preserve"> </w:t>
            </w:r>
            <w:proofErr w:type="spellStart"/>
            <w:r w:rsidRPr="009311BB">
              <w:rPr>
                <w:rFonts w:ascii="Times New Roman" w:eastAsia="Arial" w:hAnsi="Times New Roman"/>
                <w:color w:val="000000"/>
                <w:sz w:val="16"/>
                <w:szCs w:val="16"/>
              </w:rPr>
              <w:t>prescribed</w:t>
            </w:r>
            <w:proofErr w:type="spellEnd"/>
            <w:r w:rsidRPr="009311BB">
              <w:rPr>
                <w:rFonts w:ascii="Times New Roman" w:eastAsia="Arial" w:hAnsi="Times New Roman"/>
                <w:color w:val="000000"/>
                <w:sz w:val="16"/>
                <w:szCs w:val="16"/>
              </w:rPr>
              <w:t xml:space="preserve"> </w:t>
            </w:r>
            <w:proofErr w:type="spellStart"/>
            <w:r w:rsidRPr="009311BB">
              <w:rPr>
                <w:rFonts w:ascii="Times New Roman" w:eastAsia="Arial" w:hAnsi="Times New Roman"/>
                <w:color w:val="000000"/>
                <w:sz w:val="16"/>
                <w:szCs w:val="16"/>
              </w:rPr>
              <w:t>by</w:t>
            </w:r>
            <w:proofErr w:type="spellEnd"/>
            <w:r w:rsidRPr="009311BB">
              <w:rPr>
                <w:rFonts w:ascii="Times New Roman" w:eastAsia="Arial" w:hAnsi="Times New Roman"/>
                <w:color w:val="000000"/>
                <w:sz w:val="16"/>
                <w:szCs w:val="16"/>
              </w:rPr>
              <w:t xml:space="preserve"> </w:t>
            </w:r>
            <w:proofErr w:type="spellStart"/>
            <w:r w:rsidRPr="009311BB">
              <w:rPr>
                <w:rFonts w:ascii="Times New Roman" w:eastAsia="Arial" w:hAnsi="Times New Roman"/>
                <w:color w:val="000000"/>
                <w:sz w:val="16"/>
                <w:szCs w:val="16"/>
              </w:rPr>
              <w:t>its</w:t>
            </w:r>
            <w:proofErr w:type="spellEnd"/>
            <w:r w:rsidRPr="009311BB">
              <w:rPr>
                <w:rFonts w:ascii="Times New Roman" w:eastAsia="Arial" w:hAnsi="Times New Roman"/>
                <w:color w:val="000000"/>
                <w:sz w:val="16"/>
                <w:szCs w:val="16"/>
              </w:rPr>
              <w:t xml:space="preserve"> </w:t>
            </w:r>
            <w:proofErr w:type="spellStart"/>
            <w:r w:rsidRPr="009311BB">
              <w:rPr>
                <w:rFonts w:ascii="Times New Roman" w:eastAsia="Arial" w:hAnsi="Times New Roman"/>
                <w:color w:val="000000"/>
                <w:sz w:val="16"/>
                <w:szCs w:val="16"/>
              </w:rPr>
              <w:t>internal</w:t>
            </w:r>
            <w:proofErr w:type="spellEnd"/>
            <w:r w:rsidRPr="009311BB">
              <w:rPr>
                <w:rFonts w:ascii="Times New Roman" w:eastAsia="Arial" w:hAnsi="Times New Roman"/>
                <w:color w:val="000000"/>
                <w:sz w:val="16"/>
                <w:szCs w:val="16"/>
              </w:rPr>
              <w:t xml:space="preserve"> </w:t>
            </w:r>
            <w:proofErr w:type="spellStart"/>
            <w:r w:rsidRPr="009311BB">
              <w:rPr>
                <w:rFonts w:ascii="Times New Roman" w:eastAsia="Arial" w:hAnsi="Times New Roman"/>
                <w:color w:val="000000"/>
                <w:sz w:val="16"/>
                <w:szCs w:val="16"/>
              </w:rPr>
              <w:t>documents</w:t>
            </w:r>
            <w:proofErr w:type="spellEnd"/>
            <w:r w:rsidRPr="009311BB">
              <w:rPr>
                <w:rFonts w:ascii="Times New Roman" w:eastAsia="Arial" w:hAnsi="Times New Roman"/>
                <w:color w:val="000000"/>
                <w:sz w:val="16"/>
                <w:szCs w:val="16"/>
              </w:rPr>
              <w:t xml:space="preserve">, </w:t>
            </w:r>
            <w:proofErr w:type="spellStart"/>
            <w:r w:rsidRPr="009311BB">
              <w:rPr>
                <w:rFonts w:ascii="Times New Roman" w:eastAsia="Arial" w:hAnsi="Times New Roman"/>
                <w:color w:val="000000"/>
                <w:sz w:val="16"/>
                <w:szCs w:val="16"/>
              </w:rPr>
              <w:t>and</w:t>
            </w:r>
            <w:proofErr w:type="spellEnd"/>
            <w:r w:rsidRPr="009311BB">
              <w:rPr>
                <w:rFonts w:ascii="Times New Roman" w:eastAsia="Arial" w:hAnsi="Times New Roman"/>
                <w:color w:val="000000"/>
                <w:sz w:val="16"/>
                <w:szCs w:val="16"/>
              </w:rPr>
              <w:t xml:space="preserve"> </w:t>
            </w:r>
            <w:proofErr w:type="spellStart"/>
            <w:r w:rsidRPr="009311BB">
              <w:rPr>
                <w:rFonts w:ascii="Times New Roman" w:eastAsia="Arial" w:hAnsi="Times New Roman"/>
                <w:color w:val="000000"/>
                <w:sz w:val="16"/>
                <w:szCs w:val="16"/>
              </w:rPr>
              <w:t>in</w:t>
            </w:r>
            <w:proofErr w:type="spellEnd"/>
            <w:r w:rsidRPr="009311BB">
              <w:rPr>
                <w:rFonts w:ascii="Times New Roman" w:eastAsia="Arial" w:hAnsi="Times New Roman"/>
                <w:color w:val="000000"/>
                <w:sz w:val="16"/>
                <w:szCs w:val="16"/>
              </w:rPr>
              <w:t xml:space="preserve"> </w:t>
            </w:r>
            <w:proofErr w:type="spellStart"/>
            <w:r w:rsidRPr="009311BB">
              <w:rPr>
                <w:rFonts w:ascii="Times New Roman" w:eastAsia="Arial" w:hAnsi="Times New Roman"/>
                <w:color w:val="000000"/>
                <w:sz w:val="16"/>
                <w:szCs w:val="16"/>
              </w:rPr>
              <w:t>accordance</w:t>
            </w:r>
            <w:proofErr w:type="spellEnd"/>
            <w:r w:rsidRPr="009311BB">
              <w:rPr>
                <w:rFonts w:ascii="Times New Roman" w:eastAsia="Arial" w:hAnsi="Times New Roman"/>
                <w:color w:val="000000"/>
                <w:sz w:val="16"/>
                <w:szCs w:val="16"/>
              </w:rPr>
              <w:t xml:space="preserve"> </w:t>
            </w:r>
            <w:proofErr w:type="spellStart"/>
            <w:r w:rsidRPr="009311BB">
              <w:rPr>
                <w:rFonts w:ascii="Times New Roman" w:eastAsia="Arial" w:hAnsi="Times New Roman"/>
                <w:color w:val="000000"/>
                <w:sz w:val="16"/>
                <w:szCs w:val="16"/>
              </w:rPr>
              <w:t>with</w:t>
            </w:r>
            <w:proofErr w:type="spellEnd"/>
            <w:r w:rsidRPr="009311BB">
              <w:rPr>
                <w:rFonts w:ascii="Times New Roman" w:eastAsia="Arial" w:hAnsi="Times New Roman"/>
                <w:color w:val="000000"/>
                <w:sz w:val="16"/>
                <w:szCs w:val="16"/>
              </w:rPr>
              <w:t xml:space="preserve"> </w:t>
            </w:r>
            <w:proofErr w:type="spellStart"/>
            <w:r w:rsidRPr="009311BB">
              <w:rPr>
                <w:rFonts w:ascii="Times New Roman" w:eastAsia="Arial" w:hAnsi="Times New Roman"/>
                <w:color w:val="000000"/>
                <w:sz w:val="16"/>
                <w:szCs w:val="16"/>
              </w:rPr>
              <w:t>this</w:t>
            </w:r>
            <w:proofErr w:type="spellEnd"/>
            <w:r w:rsidRPr="009311BB">
              <w:rPr>
                <w:rFonts w:ascii="Times New Roman" w:eastAsia="Arial" w:hAnsi="Times New Roman"/>
                <w:color w:val="000000"/>
                <w:sz w:val="16"/>
                <w:szCs w:val="16"/>
              </w:rPr>
              <w:t xml:space="preserve"> </w:t>
            </w:r>
            <w:proofErr w:type="spellStart"/>
            <w:r w:rsidRPr="009311BB">
              <w:rPr>
                <w:rFonts w:ascii="Times New Roman" w:eastAsia="Arial" w:hAnsi="Times New Roman"/>
                <w:color w:val="000000"/>
                <w:sz w:val="16"/>
                <w:szCs w:val="16"/>
              </w:rPr>
              <w:t>Agreement</w:t>
            </w:r>
            <w:proofErr w:type="spellEnd"/>
            <w:r w:rsidRPr="009311BB">
              <w:rPr>
                <w:rFonts w:ascii="Times New Roman" w:eastAsia="Arial" w:hAnsi="Times New Roman"/>
                <w:color w:val="000000"/>
                <w:sz w:val="16"/>
                <w:szCs w:val="16"/>
              </w:rPr>
              <w:t xml:space="preserve"> </w:t>
            </w:r>
            <w:proofErr w:type="spellStart"/>
            <w:r w:rsidRPr="009311BB">
              <w:rPr>
                <w:rFonts w:ascii="Times New Roman" w:eastAsia="Arial" w:hAnsi="Times New Roman"/>
                <w:color w:val="000000"/>
                <w:sz w:val="16"/>
                <w:szCs w:val="16"/>
              </w:rPr>
              <w:t>sends</w:t>
            </w:r>
            <w:proofErr w:type="spellEnd"/>
            <w:r w:rsidRPr="009311BB">
              <w:rPr>
                <w:rFonts w:ascii="Times New Roman" w:eastAsia="Arial" w:hAnsi="Times New Roman"/>
                <w:color w:val="000000"/>
                <w:sz w:val="16"/>
                <w:szCs w:val="16"/>
              </w:rPr>
              <w:t xml:space="preserve"> </w:t>
            </w:r>
            <w:proofErr w:type="spellStart"/>
            <w:r w:rsidRPr="009311BB">
              <w:rPr>
                <w:rFonts w:ascii="Times New Roman" w:eastAsia="Arial" w:hAnsi="Times New Roman"/>
                <w:color w:val="000000"/>
                <w:sz w:val="16"/>
                <w:szCs w:val="16"/>
              </w:rPr>
              <w:t>to</w:t>
            </w:r>
            <w:proofErr w:type="spellEnd"/>
            <w:r w:rsidRPr="009311BB">
              <w:rPr>
                <w:rFonts w:ascii="Times New Roman" w:eastAsia="Arial" w:hAnsi="Times New Roman"/>
                <w:color w:val="000000"/>
                <w:sz w:val="16"/>
                <w:szCs w:val="16"/>
              </w:rPr>
              <w:t xml:space="preserve"> </w:t>
            </w:r>
            <w:proofErr w:type="spellStart"/>
            <w:r w:rsidRPr="009311BB">
              <w:rPr>
                <w:rFonts w:ascii="Times New Roman" w:eastAsia="Arial" w:hAnsi="Times New Roman"/>
                <w:color w:val="000000"/>
                <w:sz w:val="16"/>
                <w:szCs w:val="16"/>
              </w:rPr>
              <w:t>the</w:t>
            </w:r>
            <w:proofErr w:type="spellEnd"/>
            <w:r w:rsidRPr="009311BB">
              <w:rPr>
                <w:rFonts w:ascii="Times New Roman" w:eastAsia="Arial" w:hAnsi="Times New Roman"/>
                <w:color w:val="000000"/>
                <w:sz w:val="16"/>
                <w:szCs w:val="16"/>
              </w:rPr>
              <w:t xml:space="preserve"> </w:t>
            </w:r>
            <w:proofErr w:type="spellStart"/>
            <w:r w:rsidRPr="009311BB">
              <w:rPr>
                <w:rFonts w:ascii="Times New Roman" w:eastAsia="Arial" w:hAnsi="Times New Roman"/>
                <w:color w:val="000000"/>
                <w:sz w:val="16"/>
                <w:szCs w:val="16"/>
              </w:rPr>
              <w:t>relevant</w:t>
            </w:r>
            <w:proofErr w:type="spellEnd"/>
            <w:r w:rsidRPr="009311BB">
              <w:rPr>
                <w:rFonts w:ascii="Times New Roman" w:eastAsia="Arial" w:hAnsi="Times New Roman"/>
                <w:color w:val="000000"/>
                <w:sz w:val="16"/>
                <w:szCs w:val="16"/>
              </w:rPr>
              <w:t xml:space="preserve"> </w:t>
            </w:r>
            <w:proofErr w:type="spellStart"/>
            <w:r w:rsidRPr="009311BB">
              <w:rPr>
                <w:rFonts w:ascii="Times New Roman" w:eastAsia="Arial" w:hAnsi="Times New Roman"/>
                <w:color w:val="000000"/>
                <w:sz w:val="16"/>
                <w:szCs w:val="16"/>
              </w:rPr>
              <w:t>Depositor</w:t>
            </w:r>
            <w:proofErr w:type="spellEnd"/>
            <w:r w:rsidRPr="009311BB">
              <w:rPr>
                <w:rFonts w:ascii="Times New Roman" w:eastAsia="Arial" w:hAnsi="Times New Roman"/>
                <w:color w:val="000000"/>
                <w:sz w:val="16"/>
                <w:szCs w:val="16"/>
              </w:rPr>
              <w:t xml:space="preserve"> a </w:t>
            </w:r>
            <w:proofErr w:type="spellStart"/>
            <w:r w:rsidRPr="009311BB">
              <w:rPr>
                <w:rFonts w:ascii="Times New Roman" w:eastAsia="Arial" w:hAnsi="Times New Roman"/>
                <w:color w:val="000000"/>
                <w:sz w:val="16"/>
                <w:szCs w:val="16"/>
              </w:rPr>
              <w:t>request</w:t>
            </w:r>
            <w:proofErr w:type="spellEnd"/>
            <w:r w:rsidRPr="009311BB">
              <w:rPr>
                <w:rFonts w:ascii="Times New Roman" w:eastAsia="Arial" w:hAnsi="Times New Roman"/>
                <w:color w:val="000000"/>
                <w:sz w:val="16"/>
                <w:szCs w:val="16"/>
              </w:rPr>
              <w:t xml:space="preserve"> </w:t>
            </w:r>
            <w:proofErr w:type="spellStart"/>
            <w:r w:rsidRPr="009311BB">
              <w:rPr>
                <w:rFonts w:ascii="Times New Roman" w:eastAsia="Arial" w:hAnsi="Times New Roman"/>
                <w:color w:val="000000"/>
                <w:sz w:val="16"/>
                <w:szCs w:val="16"/>
              </w:rPr>
              <w:t>for</w:t>
            </w:r>
            <w:proofErr w:type="spellEnd"/>
            <w:r w:rsidRPr="009311BB">
              <w:rPr>
                <w:rFonts w:ascii="Times New Roman" w:eastAsia="Arial" w:hAnsi="Times New Roman"/>
                <w:color w:val="000000"/>
                <w:sz w:val="16"/>
                <w:szCs w:val="16"/>
              </w:rPr>
              <w:t xml:space="preserve"> </w:t>
            </w:r>
            <w:proofErr w:type="spellStart"/>
            <w:r w:rsidRPr="009311BB">
              <w:rPr>
                <w:rFonts w:ascii="Times New Roman" w:eastAsia="Arial" w:hAnsi="Times New Roman"/>
                <w:color w:val="000000"/>
                <w:sz w:val="16"/>
                <w:szCs w:val="16"/>
              </w:rPr>
              <w:t>clarification</w:t>
            </w:r>
            <w:proofErr w:type="spellEnd"/>
            <w:r w:rsidRPr="009311BB">
              <w:rPr>
                <w:rFonts w:ascii="Times New Roman" w:eastAsia="Arial" w:hAnsi="Times New Roman"/>
                <w:color w:val="000000"/>
                <w:sz w:val="16"/>
                <w:szCs w:val="16"/>
              </w:rPr>
              <w:t xml:space="preserve"> </w:t>
            </w:r>
            <w:proofErr w:type="spellStart"/>
            <w:r w:rsidRPr="009311BB">
              <w:rPr>
                <w:rFonts w:ascii="Times New Roman" w:eastAsia="Arial" w:hAnsi="Times New Roman"/>
                <w:color w:val="000000"/>
                <w:sz w:val="16"/>
                <w:szCs w:val="16"/>
              </w:rPr>
              <w:t>and</w:t>
            </w:r>
            <w:proofErr w:type="spellEnd"/>
            <w:r w:rsidRPr="009311BB">
              <w:rPr>
                <w:rFonts w:ascii="Times New Roman" w:eastAsia="Arial" w:hAnsi="Times New Roman"/>
                <w:color w:val="000000"/>
                <w:sz w:val="16"/>
                <w:szCs w:val="16"/>
              </w:rPr>
              <w:t xml:space="preserve"> </w:t>
            </w:r>
            <w:proofErr w:type="spellStart"/>
            <w:r w:rsidRPr="009311BB">
              <w:rPr>
                <w:rFonts w:ascii="Times New Roman" w:eastAsia="Arial" w:hAnsi="Times New Roman"/>
                <w:color w:val="000000"/>
                <w:sz w:val="16"/>
                <w:szCs w:val="16"/>
              </w:rPr>
              <w:t>information</w:t>
            </w:r>
            <w:proofErr w:type="spellEnd"/>
            <w:r w:rsidRPr="009311BB">
              <w:rPr>
                <w:rFonts w:ascii="Times New Roman" w:eastAsia="Arial" w:hAnsi="Times New Roman"/>
                <w:color w:val="000000"/>
                <w:sz w:val="16"/>
                <w:szCs w:val="16"/>
              </w:rPr>
              <w:t xml:space="preserve">, </w:t>
            </w:r>
            <w:proofErr w:type="spellStart"/>
            <w:r w:rsidRPr="009311BB">
              <w:rPr>
                <w:rFonts w:ascii="Times New Roman" w:eastAsia="Arial" w:hAnsi="Times New Roman"/>
                <w:color w:val="000000"/>
                <w:sz w:val="16"/>
                <w:szCs w:val="16"/>
              </w:rPr>
              <w:t>concerning</w:t>
            </w:r>
            <w:proofErr w:type="spellEnd"/>
            <w:r w:rsidRPr="009311BB">
              <w:rPr>
                <w:rFonts w:ascii="Times New Roman" w:eastAsia="Arial" w:hAnsi="Times New Roman"/>
                <w:color w:val="000000"/>
                <w:sz w:val="16"/>
                <w:szCs w:val="16"/>
              </w:rPr>
              <w:t xml:space="preserve"> </w:t>
            </w:r>
            <w:proofErr w:type="spellStart"/>
            <w:r w:rsidRPr="009311BB">
              <w:rPr>
                <w:rFonts w:ascii="Times New Roman" w:eastAsia="Arial" w:hAnsi="Times New Roman"/>
                <w:color w:val="000000"/>
                <w:sz w:val="16"/>
                <w:szCs w:val="16"/>
              </w:rPr>
              <w:t>suspicion</w:t>
            </w:r>
            <w:proofErr w:type="spellEnd"/>
            <w:r w:rsidRPr="009311BB">
              <w:rPr>
                <w:rFonts w:ascii="Times New Roman" w:eastAsia="Arial" w:hAnsi="Times New Roman"/>
                <w:color w:val="000000"/>
                <w:sz w:val="16"/>
                <w:szCs w:val="16"/>
              </w:rPr>
              <w:t>.</w:t>
            </w:r>
          </w:p>
        </w:tc>
      </w:tr>
      <w:tr w:rsidR="00E51F85" w:rsidRPr="00F23413" w14:paraId="13F5C925" w14:textId="77777777" w:rsidTr="009311BB">
        <w:tblPrEx>
          <w:tblCellMar>
            <w:left w:w="0" w:type="dxa"/>
            <w:right w:w="0" w:type="dxa"/>
          </w:tblCellMar>
        </w:tblPrEx>
        <w:trPr>
          <w:trHeight w:val="192"/>
        </w:trPr>
        <w:tc>
          <w:tcPr>
            <w:tcW w:w="5696" w:type="dxa"/>
            <w:gridSpan w:val="6"/>
            <w:shd w:val="clear" w:color="auto" w:fill="auto"/>
          </w:tcPr>
          <w:p w14:paraId="31FB2C3A" w14:textId="77777777" w:rsidR="00E51F85" w:rsidRPr="00E16672" w:rsidRDefault="00E51F85" w:rsidP="00547A75">
            <w:pPr>
              <w:pStyle w:val="1b"/>
              <w:snapToGrid w:val="0"/>
              <w:spacing w:before="0"/>
              <w:ind w:left="175" w:right="138" w:firstLine="7"/>
              <w:rPr>
                <w:rFonts w:ascii="Times New Roman" w:eastAsia="Times New Roman" w:hAnsi="Times New Roman" w:cs="Times New Roman"/>
                <w:b/>
                <w:color w:val="000000"/>
                <w:sz w:val="16"/>
                <w:szCs w:val="16"/>
              </w:rPr>
            </w:pPr>
            <w:r w:rsidRPr="00E16672">
              <w:rPr>
                <w:rFonts w:ascii="Times New Roman" w:eastAsia="Times New Roman" w:hAnsi="Times New Roman" w:cs="Times New Roman"/>
                <w:b/>
                <w:color w:val="000000"/>
                <w:sz w:val="16"/>
                <w:szCs w:val="16"/>
              </w:rPr>
              <w:t>2.2. Депозитарна установа має право:</w:t>
            </w:r>
          </w:p>
          <w:p w14:paraId="0BDC6B57" w14:textId="77777777" w:rsidR="00E51F85" w:rsidRPr="00E16672" w:rsidRDefault="00E51F85" w:rsidP="00547A75">
            <w:pPr>
              <w:tabs>
                <w:tab w:val="left" w:pos="709"/>
              </w:tabs>
              <w:ind w:left="175" w:right="138" w:firstLine="7"/>
              <w:rPr>
                <w:rFonts w:ascii="Times New Roman" w:eastAsia="Arial" w:hAnsi="Times New Roman"/>
                <w:color w:val="000000"/>
                <w:sz w:val="16"/>
                <w:szCs w:val="16"/>
              </w:rPr>
            </w:pPr>
            <w:r w:rsidRPr="00E16672">
              <w:rPr>
                <w:rFonts w:ascii="Times New Roman" w:eastAsia="Arial" w:hAnsi="Times New Roman"/>
                <w:color w:val="000000"/>
                <w:sz w:val="16"/>
                <w:szCs w:val="16"/>
              </w:rPr>
              <w:t xml:space="preserve">2.2.1. </w:t>
            </w:r>
            <w:r w:rsidR="0007317D" w:rsidRPr="00E16672">
              <w:rPr>
                <w:rFonts w:ascii="Times New Roman" w:hAnsi="Times New Roman"/>
                <w:color w:val="000000"/>
                <w:sz w:val="16"/>
                <w:szCs w:val="16"/>
                <w:lang w:val="uk-UA"/>
              </w:rPr>
              <w:t>Надавати письмову відмову у видачі виписки з рахунку в цінних паперах у разі невідповідності оформленого запиту вимогам законодавства та внутрішніх документів Депозитарної установи.</w:t>
            </w:r>
          </w:p>
          <w:p w14:paraId="220E99E9" w14:textId="77777777" w:rsidR="00E51F85" w:rsidRPr="00E16672" w:rsidRDefault="00E51F85" w:rsidP="00547A75">
            <w:pPr>
              <w:tabs>
                <w:tab w:val="left" w:pos="709"/>
              </w:tabs>
              <w:ind w:left="175" w:right="138" w:firstLine="7"/>
              <w:rPr>
                <w:rFonts w:ascii="Times New Roman" w:hAnsi="Times New Roman"/>
                <w:color w:val="000000"/>
                <w:sz w:val="16"/>
                <w:szCs w:val="16"/>
              </w:rPr>
            </w:pPr>
          </w:p>
        </w:tc>
        <w:tc>
          <w:tcPr>
            <w:tcW w:w="5494" w:type="dxa"/>
            <w:gridSpan w:val="7"/>
            <w:shd w:val="clear" w:color="auto" w:fill="auto"/>
          </w:tcPr>
          <w:p w14:paraId="2533470E" w14:textId="77777777" w:rsidR="00E51F85" w:rsidRPr="00E16672" w:rsidRDefault="00E51F85" w:rsidP="00547A75">
            <w:pPr>
              <w:tabs>
                <w:tab w:val="left" w:pos="287"/>
              </w:tabs>
              <w:snapToGrid w:val="0"/>
              <w:ind w:left="175" w:right="100" w:firstLine="7"/>
              <w:rPr>
                <w:rFonts w:ascii="Times New Roman" w:hAnsi="Times New Roman"/>
                <w:b/>
                <w:color w:val="000000"/>
                <w:sz w:val="16"/>
                <w:szCs w:val="16"/>
                <w:lang w:val="en-GB"/>
              </w:rPr>
            </w:pPr>
            <w:r w:rsidRPr="00E16672">
              <w:rPr>
                <w:rFonts w:ascii="Times New Roman" w:hAnsi="Times New Roman"/>
                <w:b/>
                <w:color w:val="000000"/>
                <w:sz w:val="16"/>
                <w:szCs w:val="16"/>
                <w:lang w:val="en-GB"/>
              </w:rPr>
              <w:t>2.2. Depository institutions may have rights:</w:t>
            </w:r>
          </w:p>
          <w:p w14:paraId="3B399B89" w14:textId="77777777" w:rsidR="00E51F85" w:rsidRPr="00E16672" w:rsidRDefault="00E51F85" w:rsidP="00547A75">
            <w:pPr>
              <w:pStyle w:val="210"/>
              <w:tabs>
                <w:tab w:val="left" w:pos="287"/>
              </w:tabs>
              <w:ind w:left="175" w:right="100" w:firstLine="7"/>
              <w:rPr>
                <w:rFonts w:ascii="Times New Roman" w:hAnsi="Times New Roman"/>
                <w:b/>
                <w:color w:val="000000"/>
                <w:sz w:val="16"/>
                <w:szCs w:val="16"/>
              </w:rPr>
            </w:pPr>
          </w:p>
          <w:p w14:paraId="2C109A22" w14:textId="77777777" w:rsidR="00E51F85" w:rsidRPr="00E16672" w:rsidRDefault="00E51F85" w:rsidP="00547A75">
            <w:pPr>
              <w:tabs>
                <w:tab w:val="left" w:pos="287"/>
              </w:tabs>
              <w:ind w:left="175" w:right="100" w:firstLine="7"/>
              <w:rPr>
                <w:rFonts w:ascii="Times New Roman" w:hAnsi="Times New Roman"/>
                <w:b/>
                <w:color w:val="000000"/>
                <w:sz w:val="16"/>
                <w:szCs w:val="16"/>
                <w:lang w:val="en-GB"/>
              </w:rPr>
            </w:pPr>
            <w:proofErr w:type="gramStart"/>
            <w:r w:rsidRPr="00E16672">
              <w:rPr>
                <w:rFonts w:ascii="Times New Roman" w:hAnsi="Times New Roman"/>
                <w:color w:val="000000"/>
                <w:sz w:val="16"/>
                <w:szCs w:val="16"/>
                <w:lang w:val="en-GB"/>
              </w:rPr>
              <w:t>2.2.</w:t>
            </w:r>
            <w:r w:rsidRPr="00E16672">
              <w:rPr>
                <w:rFonts w:ascii="Times New Roman" w:eastAsia="Arial" w:hAnsi="Times New Roman"/>
                <w:color w:val="000000"/>
                <w:sz w:val="16"/>
                <w:szCs w:val="16"/>
                <w:lang w:val="en-GB"/>
              </w:rPr>
              <w:t xml:space="preserve">1  </w:t>
            </w:r>
            <w:r w:rsidR="004E617E" w:rsidRPr="00F23413">
              <w:rPr>
                <w:rFonts w:ascii="Times New Roman" w:hAnsi="Times New Roman"/>
                <w:sz w:val="16"/>
                <w:lang w:val="en-US"/>
              </w:rPr>
              <w:t>To</w:t>
            </w:r>
            <w:proofErr w:type="gramEnd"/>
            <w:r w:rsidR="004E617E" w:rsidRPr="00F23413">
              <w:rPr>
                <w:rFonts w:ascii="Times New Roman" w:hAnsi="Times New Roman"/>
                <w:sz w:val="16"/>
                <w:lang w:val="en-US"/>
              </w:rPr>
              <w:t xml:space="preserve"> provide a written refusal to issue an extract from the securities account in case of non-compliance of the completed request with the requirements of the legislation and internal documents of the Depository.</w:t>
            </w:r>
          </w:p>
        </w:tc>
      </w:tr>
      <w:tr w:rsidR="00E51F85" w:rsidRPr="00F23413" w14:paraId="5DADD924" w14:textId="77777777" w:rsidTr="009311BB">
        <w:tblPrEx>
          <w:tblCellMar>
            <w:left w:w="0" w:type="dxa"/>
            <w:right w:w="0" w:type="dxa"/>
          </w:tblCellMar>
        </w:tblPrEx>
        <w:trPr>
          <w:trHeight w:val="192"/>
        </w:trPr>
        <w:tc>
          <w:tcPr>
            <w:tcW w:w="5696" w:type="dxa"/>
            <w:gridSpan w:val="6"/>
            <w:shd w:val="clear" w:color="auto" w:fill="auto"/>
          </w:tcPr>
          <w:p w14:paraId="57324C28" w14:textId="77777777" w:rsidR="00E51F85" w:rsidRPr="00E16672" w:rsidRDefault="00E51F85" w:rsidP="00547A75">
            <w:pPr>
              <w:tabs>
                <w:tab w:val="left" w:pos="709"/>
              </w:tabs>
              <w:snapToGrid w:val="0"/>
              <w:ind w:left="175" w:right="138" w:firstLine="7"/>
              <w:rPr>
                <w:rFonts w:ascii="Times New Roman" w:hAnsi="Times New Roman"/>
                <w:color w:val="000000"/>
                <w:sz w:val="16"/>
                <w:szCs w:val="16"/>
              </w:rPr>
            </w:pPr>
            <w:r w:rsidRPr="00E16672">
              <w:rPr>
                <w:rFonts w:ascii="Times New Roman" w:hAnsi="Times New Roman"/>
                <w:color w:val="000000"/>
                <w:sz w:val="16"/>
                <w:szCs w:val="16"/>
              </w:rPr>
              <w:t xml:space="preserve">2.2.2. </w:t>
            </w:r>
            <w:proofErr w:type="spellStart"/>
            <w:r w:rsidRPr="00E16672">
              <w:rPr>
                <w:rFonts w:ascii="Times New Roman" w:hAnsi="Times New Roman"/>
                <w:color w:val="000000"/>
                <w:sz w:val="16"/>
                <w:szCs w:val="16"/>
              </w:rPr>
              <w:t>Вимагати</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від</w:t>
            </w:r>
            <w:proofErr w:type="spellEnd"/>
            <w:r w:rsidRPr="00E16672">
              <w:rPr>
                <w:rFonts w:ascii="Times New Roman" w:hAnsi="Times New Roman"/>
                <w:color w:val="000000"/>
                <w:sz w:val="16"/>
                <w:szCs w:val="16"/>
              </w:rPr>
              <w:t xml:space="preserve"> Депонента, </w:t>
            </w:r>
            <w:proofErr w:type="spellStart"/>
            <w:r w:rsidRPr="00E16672">
              <w:rPr>
                <w:rFonts w:ascii="Times New Roman" w:hAnsi="Times New Roman"/>
                <w:color w:val="000000"/>
                <w:sz w:val="16"/>
                <w:szCs w:val="16"/>
              </w:rPr>
              <w:t>керуючого</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рахунком</w:t>
            </w:r>
            <w:proofErr w:type="spellEnd"/>
            <w:r w:rsidR="00B6625B" w:rsidRPr="00E16672">
              <w:rPr>
                <w:rFonts w:ascii="Times New Roman" w:hAnsi="Times New Roman"/>
                <w:color w:val="000000"/>
                <w:sz w:val="16"/>
                <w:szCs w:val="16"/>
              </w:rPr>
              <w:t xml:space="preserve"> </w:t>
            </w:r>
            <w:r w:rsidR="00C22309" w:rsidRPr="00E16672">
              <w:rPr>
                <w:rFonts w:ascii="Times New Roman" w:hAnsi="Times New Roman"/>
                <w:color w:val="000000"/>
                <w:sz w:val="16"/>
                <w:szCs w:val="16"/>
              </w:rPr>
              <w:t xml:space="preserve">в </w:t>
            </w:r>
            <w:proofErr w:type="spellStart"/>
            <w:r w:rsidR="00C22309" w:rsidRPr="00E16672">
              <w:rPr>
                <w:rFonts w:ascii="Times New Roman" w:hAnsi="Times New Roman"/>
                <w:color w:val="000000"/>
                <w:sz w:val="16"/>
                <w:szCs w:val="16"/>
              </w:rPr>
              <w:t>цін</w:t>
            </w:r>
            <w:r w:rsidRPr="00E16672">
              <w:rPr>
                <w:rFonts w:ascii="Times New Roman" w:hAnsi="Times New Roman"/>
                <w:color w:val="000000"/>
                <w:sz w:val="16"/>
                <w:szCs w:val="16"/>
              </w:rPr>
              <w:t>них</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паперах</w:t>
            </w:r>
            <w:proofErr w:type="spellEnd"/>
            <w:r w:rsidRPr="00E16672">
              <w:rPr>
                <w:rFonts w:ascii="Times New Roman" w:hAnsi="Times New Roman"/>
                <w:color w:val="000000"/>
                <w:sz w:val="16"/>
                <w:szCs w:val="16"/>
              </w:rPr>
              <w:t xml:space="preserve"> Депонента</w:t>
            </w:r>
            <w:r w:rsidR="0016725A" w:rsidRPr="00E16672">
              <w:rPr>
                <w:rFonts w:ascii="Times New Roman" w:hAnsi="Times New Roman"/>
                <w:color w:val="000000"/>
                <w:sz w:val="16"/>
                <w:szCs w:val="16"/>
                <w:lang w:val="uk-UA"/>
              </w:rPr>
              <w:t>, розпорядника рахунку</w:t>
            </w:r>
            <w:r w:rsidR="0016725A" w:rsidRPr="00E16672">
              <w:rPr>
                <w:rFonts w:ascii="Times New Roman" w:hAnsi="Times New Roman"/>
                <w:color w:val="000000"/>
                <w:sz w:val="16"/>
                <w:szCs w:val="16"/>
              </w:rPr>
              <w:t xml:space="preserve">, </w:t>
            </w:r>
            <w:r w:rsidR="0016725A" w:rsidRPr="00E16672">
              <w:rPr>
                <w:rFonts w:ascii="Times New Roman" w:hAnsi="Times New Roman"/>
                <w:color w:val="000000"/>
                <w:sz w:val="16"/>
                <w:szCs w:val="16"/>
                <w:lang w:val="uk-UA"/>
              </w:rPr>
              <w:t>надання на виконання вимог законодавства та/або внутрішніх документів Депозитарної установи належним чином засвідчених документів та інформації, необхідних</w:t>
            </w:r>
            <w:r w:rsidR="0016725A" w:rsidRPr="00E16672">
              <w:rPr>
                <w:rFonts w:ascii="Times New Roman" w:hAnsi="Times New Roman"/>
                <w:color w:val="000000"/>
                <w:sz w:val="16"/>
                <w:szCs w:val="16"/>
              </w:rPr>
              <w:t xml:space="preserve"> </w:t>
            </w:r>
            <w:r w:rsidRPr="00E16672">
              <w:rPr>
                <w:rFonts w:ascii="Times New Roman" w:hAnsi="Times New Roman"/>
                <w:color w:val="000000"/>
                <w:sz w:val="16"/>
                <w:szCs w:val="16"/>
              </w:rPr>
              <w:t xml:space="preserve">для </w:t>
            </w:r>
            <w:proofErr w:type="spellStart"/>
            <w:r w:rsidRPr="00E16672">
              <w:rPr>
                <w:rFonts w:ascii="Times New Roman" w:hAnsi="Times New Roman"/>
                <w:color w:val="000000"/>
                <w:sz w:val="16"/>
                <w:szCs w:val="16"/>
              </w:rPr>
              <w:t>виконання</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своїх</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обов’язків</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згідно</w:t>
            </w:r>
            <w:proofErr w:type="spellEnd"/>
            <w:r w:rsidRPr="00E16672">
              <w:rPr>
                <w:rFonts w:ascii="Times New Roman" w:hAnsi="Times New Roman"/>
                <w:color w:val="000000"/>
                <w:sz w:val="16"/>
                <w:szCs w:val="16"/>
              </w:rPr>
              <w:t xml:space="preserve"> умов Договору та </w:t>
            </w:r>
            <w:proofErr w:type="spellStart"/>
            <w:r w:rsidRPr="00E16672">
              <w:rPr>
                <w:rFonts w:ascii="Times New Roman" w:hAnsi="Times New Roman"/>
                <w:color w:val="000000"/>
                <w:sz w:val="16"/>
                <w:szCs w:val="16"/>
              </w:rPr>
              <w:t>законодавства</w:t>
            </w:r>
            <w:proofErr w:type="spellEnd"/>
            <w:r w:rsidRPr="00E16672">
              <w:rPr>
                <w:rFonts w:ascii="Times New Roman" w:hAnsi="Times New Roman"/>
                <w:color w:val="000000"/>
                <w:sz w:val="16"/>
                <w:szCs w:val="16"/>
              </w:rPr>
              <w:t>.</w:t>
            </w:r>
          </w:p>
          <w:p w14:paraId="3FA091D1" w14:textId="77777777" w:rsidR="00E51F85" w:rsidRPr="00E16672" w:rsidRDefault="00E51F85" w:rsidP="00547A75">
            <w:pPr>
              <w:tabs>
                <w:tab w:val="left" w:pos="57"/>
              </w:tabs>
              <w:snapToGrid w:val="0"/>
              <w:ind w:left="175" w:right="138" w:firstLine="7"/>
              <w:rPr>
                <w:rFonts w:ascii="Times New Roman" w:hAnsi="Times New Roman"/>
                <w:color w:val="000000"/>
                <w:sz w:val="16"/>
                <w:szCs w:val="16"/>
              </w:rPr>
            </w:pPr>
          </w:p>
        </w:tc>
        <w:tc>
          <w:tcPr>
            <w:tcW w:w="5494" w:type="dxa"/>
            <w:gridSpan w:val="7"/>
            <w:shd w:val="clear" w:color="auto" w:fill="auto"/>
          </w:tcPr>
          <w:p w14:paraId="0E06DF5D" w14:textId="77777777" w:rsidR="00E51F85" w:rsidRPr="00E16672" w:rsidRDefault="00E51F85" w:rsidP="00547A75">
            <w:pPr>
              <w:tabs>
                <w:tab w:val="left" w:pos="287"/>
              </w:tabs>
              <w:snapToGrid w:val="0"/>
              <w:ind w:left="175" w:right="100" w:firstLine="7"/>
              <w:rPr>
                <w:rFonts w:ascii="Times New Roman" w:hAnsi="Times New Roman"/>
                <w:color w:val="000000"/>
                <w:sz w:val="16"/>
                <w:szCs w:val="16"/>
                <w:lang w:val="en-GB"/>
              </w:rPr>
            </w:pPr>
            <w:r w:rsidRPr="00E16672">
              <w:rPr>
                <w:rFonts w:ascii="Times New Roman" w:hAnsi="Times New Roman"/>
                <w:color w:val="000000"/>
                <w:sz w:val="16"/>
                <w:szCs w:val="16"/>
                <w:lang w:val="en-GB"/>
              </w:rPr>
              <w:t xml:space="preserve">2.2.2. To demand from Depositor, </w:t>
            </w:r>
            <w:r w:rsidR="004472CA" w:rsidRPr="00E16672">
              <w:rPr>
                <w:rFonts w:ascii="Times New Roman" w:hAnsi="Times New Roman"/>
                <w:sz w:val="16"/>
                <w:lang w:val="en-US"/>
              </w:rPr>
              <w:t>administrator of the account in securities,</w:t>
            </w:r>
            <w:r w:rsidR="004472CA" w:rsidRPr="00E16672">
              <w:rPr>
                <w:rFonts w:ascii="Times New Roman" w:hAnsi="Times New Roman"/>
                <w:color w:val="000000"/>
                <w:sz w:val="12"/>
                <w:szCs w:val="16"/>
                <w:lang w:val="en-GB"/>
              </w:rPr>
              <w:t xml:space="preserve"> </w:t>
            </w:r>
            <w:r w:rsidRPr="00E16672">
              <w:rPr>
                <w:rFonts w:ascii="Times New Roman" w:hAnsi="Times New Roman"/>
                <w:color w:val="000000"/>
                <w:sz w:val="16"/>
                <w:szCs w:val="16"/>
                <w:lang w:val="en-GB"/>
              </w:rPr>
              <w:t xml:space="preserve">manager of the account </w:t>
            </w:r>
            <w:r w:rsidR="004472CA" w:rsidRPr="00F23413">
              <w:rPr>
                <w:rFonts w:ascii="Times New Roman" w:hAnsi="Times New Roman"/>
                <w:sz w:val="16"/>
                <w:szCs w:val="16"/>
                <w:lang w:val="en-US"/>
              </w:rPr>
              <w:t>to provide of properly documented documents and information</w:t>
            </w:r>
            <w:r w:rsidR="004472CA" w:rsidRPr="00F23413">
              <w:rPr>
                <w:rFonts w:ascii="Times New Roman" w:hAnsi="Times New Roman"/>
                <w:lang w:val="en-US"/>
              </w:rPr>
              <w:t xml:space="preserve"> </w:t>
            </w:r>
            <w:r w:rsidRPr="00E16672">
              <w:rPr>
                <w:rFonts w:ascii="Times New Roman" w:hAnsi="Times New Roman"/>
                <w:color w:val="000000"/>
                <w:sz w:val="16"/>
                <w:szCs w:val="16"/>
                <w:lang w:val="en-GB"/>
              </w:rPr>
              <w:t>necessary to perform its obligations under the Agreement and legislation.</w:t>
            </w:r>
          </w:p>
          <w:p w14:paraId="38B39D7F" w14:textId="77777777" w:rsidR="00E51F85" w:rsidRPr="00E16672" w:rsidRDefault="00E51F85" w:rsidP="00547A75">
            <w:pPr>
              <w:tabs>
                <w:tab w:val="left" w:pos="287"/>
              </w:tabs>
              <w:snapToGrid w:val="0"/>
              <w:ind w:left="175" w:right="100" w:firstLine="7"/>
              <w:rPr>
                <w:rFonts w:ascii="Times New Roman" w:hAnsi="Times New Roman"/>
                <w:color w:val="000000"/>
                <w:sz w:val="16"/>
                <w:szCs w:val="16"/>
                <w:lang w:val="en-GB"/>
              </w:rPr>
            </w:pPr>
          </w:p>
        </w:tc>
      </w:tr>
      <w:tr w:rsidR="00E51F85" w:rsidRPr="00F23413" w14:paraId="379660ED" w14:textId="77777777" w:rsidTr="00D77858">
        <w:tblPrEx>
          <w:tblCellMar>
            <w:left w:w="0" w:type="dxa"/>
            <w:right w:w="0" w:type="dxa"/>
          </w:tblCellMar>
        </w:tblPrEx>
        <w:trPr>
          <w:trHeight w:val="615"/>
        </w:trPr>
        <w:tc>
          <w:tcPr>
            <w:tcW w:w="5696" w:type="dxa"/>
            <w:gridSpan w:val="6"/>
            <w:shd w:val="clear" w:color="auto" w:fill="auto"/>
          </w:tcPr>
          <w:p w14:paraId="71702945" w14:textId="77777777" w:rsidR="00E51F85" w:rsidRPr="00E16672" w:rsidRDefault="00E51F85" w:rsidP="00547A75">
            <w:pPr>
              <w:tabs>
                <w:tab w:val="left" w:pos="709"/>
              </w:tabs>
              <w:snapToGrid w:val="0"/>
              <w:ind w:left="175" w:right="138" w:firstLine="7"/>
              <w:rPr>
                <w:rFonts w:ascii="Times New Roman" w:hAnsi="Times New Roman"/>
                <w:color w:val="000000"/>
                <w:sz w:val="16"/>
                <w:szCs w:val="16"/>
              </w:rPr>
            </w:pPr>
            <w:r w:rsidRPr="00E16672">
              <w:rPr>
                <w:rFonts w:ascii="Times New Roman" w:hAnsi="Times New Roman"/>
                <w:color w:val="000000"/>
                <w:sz w:val="16"/>
                <w:szCs w:val="16"/>
              </w:rPr>
              <w:t xml:space="preserve">2.2.3. </w:t>
            </w:r>
            <w:proofErr w:type="spellStart"/>
            <w:r w:rsidRPr="00E16672">
              <w:rPr>
                <w:rFonts w:ascii="Times New Roman" w:hAnsi="Times New Roman"/>
                <w:color w:val="000000"/>
                <w:sz w:val="16"/>
                <w:szCs w:val="16"/>
              </w:rPr>
              <w:t>Згідно</w:t>
            </w:r>
            <w:proofErr w:type="spellEnd"/>
            <w:r w:rsidRPr="00E16672">
              <w:rPr>
                <w:rFonts w:ascii="Times New Roman" w:hAnsi="Times New Roman"/>
                <w:color w:val="000000"/>
                <w:sz w:val="16"/>
                <w:szCs w:val="16"/>
              </w:rPr>
              <w:t xml:space="preserve"> з </w:t>
            </w:r>
            <w:proofErr w:type="spellStart"/>
            <w:r w:rsidRPr="00E16672">
              <w:rPr>
                <w:rFonts w:ascii="Times New Roman" w:hAnsi="Times New Roman"/>
                <w:color w:val="000000"/>
                <w:sz w:val="16"/>
                <w:szCs w:val="16"/>
              </w:rPr>
              <w:t>чинним</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законодавством</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України</w:t>
            </w:r>
            <w:proofErr w:type="spellEnd"/>
            <w:r w:rsidRPr="00E16672">
              <w:rPr>
                <w:rFonts w:ascii="Times New Roman" w:hAnsi="Times New Roman"/>
                <w:color w:val="000000"/>
                <w:sz w:val="16"/>
                <w:szCs w:val="16"/>
              </w:rPr>
              <w:t xml:space="preserve">, у </w:t>
            </w:r>
            <w:proofErr w:type="spellStart"/>
            <w:r w:rsidRPr="00E16672">
              <w:rPr>
                <w:rFonts w:ascii="Times New Roman" w:hAnsi="Times New Roman"/>
                <w:color w:val="000000"/>
                <w:sz w:val="16"/>
                <w:szCs w:val="16"/>
              </w:rPr>
              <w:t>випадку</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необхідності</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вимагати</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від</w:t>
            </w:r>
            <w:proofErr w:type="spellEnd"/>
            <w:r w:rsidRPr="00E16672">
              <w:rPr>
                <w:rFonts w:ascii="Times New Roman" w:hAnsi="Times New Roman"/>
                <w:color w:val="000000"/>
                <w:sz w:val="16"/>
                <w:szCs w:val="16"/>
              </w:rPr>
              <w:t xml:space="preserve"> Депонента </w:t>
            </w:r>
            <w:proofErr w:type="spellStart"/>
            <w:r w:rsidRPr="00E16672">
              <w:rPr>
                <w:rFonts w:ascii="Times New Roman" w:hAnsi="Times New Roman"/>
                <w:color w:val="000000"/>
                <w:sz w:val="16"/>
                <w:szCs w:val="16"/>
              </w:rPr>
              <w:t>надання</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додаткових</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документів</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відомостей</w:t>
            </w:r>
            <w:proofErr w:type="spellEnd"/>
            <w:r w:rsidRPr="00E16672">
              <w:rPr>
                <w:rFonts w:ascii="Times New Roman" w:hAnsi="Times New Roman"/>
                <w:color w:val="000000"/>
                <w:sz w:val="16"/>
                <w:szCs w:val="16"/>
              </w:rPr>
              <w:t xml:space="preserve"> та </w:t>
            </w:r>
            <w:proofErr w:type="spellStart"/>
            <w:r w:rsidRPr="00E16672">
              <w:rPr>
                <w:rFonts w:ascii="Times New Roman" w:hAnsi="Times New Roman"/>
                <w:color w:val="000000"/>
                <w:sz w:val="16"/>
                <w:szCs w:val="16"/>
              </w:rPr>
              <w:t>інформації</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засвідчених</w:t>
            </w:r>
            <w:proofErr w:type="spellEnd"/>
            <w:r w:rsidRPr="00E16672">
              <w:rPr>
                <w:rFonts w:ascii="Times New Roman" w:hAnsi="Times New Roman"/>
                <w:color w:val="000000"/>
                <w:sz w:val="16"/>
                <w:szCs w:val="16"/>
              </w:rPr>
              <w:t xml:space="preserve"> та </w:t>
            </w:r>
            <w:proofErr w:type="spellStart"/>
            <w:r w:rsidRPr="00E16672">
              <w:rPr>
                <w:rFonts w:ascii="Times New Roman" w:hAnsi="Times New Roman"/>
                <w:color w:val="000000"/>
                <w:sz w:val="16"/>
                <w:szCs w:val="16"/>
              </w:rPr>
              <w:t>погоджених</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належним</w:t>
            </w:r>
            <w:proofErr w:type="spellEnd"/>
            <w:r w:rsidRPr="00E16672">
              <w:rPr>
                <w:rFonts w:ascii="Times New Roman" w:hAnsi="Times New Roman"/>
                <w:color w:val="000000"/>
                <w:sz w:val="16"/>
                <w:szCs w:val="16"/>
              </w:rPr>
              <w:t xml:space="preserve"> чином.</w:t>
            </w:r>
          </w:p>
          <w:p w14:paraId="76EC2B2F" w14:textId="77777777" w:rsidR="00E51F85" w:rsidRPr="00E16672" w:rsidRDefault="00E51F85" w:rsidP="00547A75">
            <w:pPr>
              <w:tabs>
                <w:tab w:val="left" w:pos="709"/>
              </w:tabs>
              <w:snapToGrid w:val="0"/>
              <w:ind w:left="175" w:right="138" w:firstLine="7"/>
              <w:rPr>
                <w:rFonts w:ascii="Times New Roman" w:hAnsi="Times New Roman"/>
                <w:color w:val="000000"/>
              </w:rPr>
            </w:pPr>
          </w:p>
        </w:tc>
        <w:tc>
          <w:tcPr>
            <w:tcW w:w="5494" w:type="dxa"/>
            <w:gridSpan w:val="7"/>
            <w:shd w:val="clear" w:color="auto" w:fill="auto"/>
          </w:tcPr>
          <w:p w14:paraId="5D41924C" w14:textId="77777777" w:rsidR="00E51F85" w:rsidRPr="00E16672" w:rsidRDefault="00E51F85" w:rsidP="00200366">
            <w:pPr>
              <w:tabs>
                <w:tab w:val="left" w:pos="287"/>
              </w:tabs>
              <w:snapToGrid w:val="0"/>
              <w:ind w:left="175" w:right="100" w:firstLine="7"/>
              <w:rPr>
                <w:rFonts w:ascii="Times New Roman" w:hAnsi="Times New Roman"/>
                <w:color w:val="000000"/>
                <w:sz w:val="16"/>
                <w:szCs w:val="16"/>
                <w:lang w:val="en-GB"/>
              </w:rPr>
            </w:pPr>
            <w:r w:rsidRPr="00E16672">
              <w:rPr>
                <w:rFonts w:ascii="Times New Roman" w:hAnsi="Times New Roman"/>
                <w:color w:val="000000"/>
                <w:sz w:val="16"/>
                <w:szCs w:val="16"/>
                <w:lang w:val="en-GB"/>
              </w:rPr>
              <w:t>2.2.3. In accordance with the current legislation of Ukraine, where necessary, require the Depositor to provide additional documents, data and information</w:t>
            </w:r>
            <w:r w:rsidR="00853090" w:rsidRPr="00E16672">
              <w:rPr>
                <w:rFonts w:ascii="Times New Roman" w:hAnsi="Times New Roman"/>
                <w:color w:val="000000"/>
                <w:sz w:val="16"/>
                <w:szCs w:val="16"/>
                <w:lang w:val="en-US"/>
              </w:rPr>
              <w:t xml:space="preserve"> </w:t>
            </w:r>
            <w:r w:rsidRPr="00E16672">
              <w:rPr>
                <w:rFonts w:ascii="Times New Roman" w:hAnsi="Times New Roman"/>
                <w:color w:val="000000"/>
                <w:sz w:val="16"/>
                <w:szCs w:val="16"/>
                <w:lang w:val="en-GB"/>
              </w:rPr>
              <w:t>certified and coordinated properly.</w:t>
            </w:r>
          </w:p>
        </w:tc>
      </w:tr>
      <w:tr w:rsidR="00E51F85" w:rsidRPr="00F23413" w14:paraId="1AEF6ABD" w14:textId="77777777" w:rsidTr="00D77858">
        <w:tblPrEx>
          <w:tblCellMar>
            <w:left w:w="0" w:type="dxa"/>
            <w:right w:w="0" w:type="dxa"/>
          </w:tblCellMar>
        </w:tblPrEx>
        <w:trPr>
          <w:trHeight w:val="192"/>
        </w:trPr>
        <w:tc>
          <w:tcPr>
            <w:tcW w:w="5696" w:type="dxa"/>
            <w:gridSpan w:val="6"/>
            <w:shd w:val="clear" w:color="auto" w:fill="auto"/>
          </w:tcPr>
          <w:p w14:paraId="1F112C7B" w14:textId="77777777" w:rsidR="00E51F85" w:rsidRPr="00E16672" w:rsidRDefault="00E51F85" w:rsidP="00547A75">
            <w:pPr>
              <w:tabs>
                <w:tab w:val="left" w:pos="709"/>
              </w:tabs>
              <w:ind w:left="175" w:firstLine="7"/>
              <w:rPr>
                <w:rFonts w:ascii="Times New Roman" w:hAnsi="Times New Roman"/>
                <w:color w:val="000000"/>
                <w:sz w:val="16"/>
                <w:szCs w:val="16"/>
                <w:lang w:val="uk-UA"/>
              </w:rPr>
            </w:pPr>
            <w:r w:rsidRPr="00E16672">
              <w:rPr>
                <w:rFonts w:ascii="Times New Roman" w:hAnsi="Times New Roman"/>
                <w:color w:val="000000"/>
                <w:sz w:val="16"/>
                <w:szCs w:val="16"/>
              </w:rPr>
              <w:t xml:space="preserve">2.2.4. </w:t>
            </w:r>
            <w:r w:rsidRPr="00E16672">
              <w:rPr>
                <w:rFonts w:ascii="Times New Roman" w:hAnsi="Times New Roman"/>
                <w:color w:val="000000"/>
                <w:sz w:val="16"/>
                <w:szCs w:val="16"/>
                <w:lang w:val="uk-UA"/>
              </w:rPr>
              <w:t>Надавати Депоненту додаткові (інформаційні та консультаційні) послуги, іншу інформацію, яка необхідна Депоненту для реалізації прав за цінними паперами.</w:t>
            </w:r>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Надавати</w:t>
            </w:r>
            <w:proofErr w:type="spellEnd"/>
            <w:r w:rsidRPr="00E16672">
              <w:rPr>
                <w:rFonts w:ascii="Times New Roman" w:hAnsi="Times New Roman"/>
                <w:color w:val="000000"/>
                <w:sz w:val="16"/>
                <w:szCs w:val="16"/>
              </w:rPr>
              <w:t xml:space="preserve"> Депоненту </w:t>
            </w:r>
            <w:proofErr w:type="spellStart"/>
            <w:r w:rsidRPr="00E16672">
              <w:rPr>
                <w:rFonts w:ascii="Times New Roman" w:hAnsi="Times New Roman"/>
                <w:color w:val="000000"/>
                <w:sz w:val="16"/>
                <w:szCs w:val="16"/>
              </w:rPr>
              <w:t>виписки</w:t>
            </w:r>
            <w:proofErr w:type="spellEnd"/>
            <w:r w:rsidRPr="00E16672">
              <w:rPr>
                <w:rFonts w:ascii="Times New Roman" w:hAnsi="Times New Roman"/>
                <w:color w:val="000000"/>
                <w:sz w:val="16"/>
                <w:szCs w:val="16"/>
              </w:rPr>
              <w:t xml:space="preserve"> з </w:t>
            </w:r>
            <w:proofErr w:type="spellStart"/>
            <w:r w:rsidRPr="00E16672">
              <w:rPr>
                <w:rFonts w:ascii="Times New Roman" w:hAnsi="Times New Roman"/>
                <w:color w:val="000000"/>
                <w:sz w:val="16"/>
                <w:szCs w:val="16"/>
              </w:rPr>
              <w:t>рахунку</w:t>
            </w:r>
            <w:proofErr w:type="spellEnd"/>
            <w:r w:rsidRPr="00E16672">
              <w:rPr>
                <w:rFonts w:ascii="Times New Roman" w:hAnsi="Times New Roman"/>
                <w:color w:val="000000"/>
                <w:sz w:val="16"/>
                <w:szCs w:val="16"/>
              </w:rPr>
              <w:t xml:space="preserve"> </w:t>
            </w:r>
            <w:r w:rsidR="00C22309" w:rsidRPr="00E16672">
              <w:rPr>
                <w:rFonts w:ascii="Times New Roman" w:hAnsi="Times New Roman"/>
                <w:color w:val="000000"/>
                <w:sz w:val="16"/>
                <w:szCs w:val="16"/>
              </w:rPr>
              <w:t xml:space="preserve">в </w:t>
            </w:r>
            <w:proofErr w:type="spellStart"/>
            <w:r w:rsidR="00C22309" w:rsidRPr="00E16672">
              <w:rPr>
                <w:rFonts w:ascii="Times New Roman" w:hAnsi="Times New Roman"/>
                <w:color w:val="000000"/>
                <w:sz w:val="16"/>
                <w:szCs w:val="16"/>
              </w:rPr>
              <w:t>цін</w:t>
            </w:r>
            <w:r w:rsidRPr="00E16672">
              <w:rPr>
                <w:rFonts w:ascii="Times New Roman" w:hAnsi="Times New Roman"/>
                <w:color w:val="000000"/>
                <w:sz w:val="16"/>
                <w:szCs w:val="16"/>
              </w:rPr>
              <w:t>них</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паперах</w:t>
            </w:r>
            <w:proofErr w:type="spellEnd"/>
            <w:r w:rsidRPr="00E16672">
              <w:rPr>
                <w:rFonts w:ascii="Times New Roman" w:hAnsi="Times New Roman"/>
                <w:color w:val="000000"/>
                <w:sz w:val="16"/>
                <w:szCs w:val="16"/>
              </w:rPr>
              <w:t xml:space="preserve"> Депонента, </w:t>
            </w:r>
            <w:proofErr w:type="spellStart"/>
            <w:r w:rsidRPr="00E16672">
              <w:rPr>
                <w:rFonts w:ascii="Times New Roman" w:hAnsi="Times New Roman"/>
                <w:color w:val="000000"/>
                <w:sz w:val="16"/>
                <w:szCs w:val="16"/>
              </w:rPr>
              <w:t>довідки</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або</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інші</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звіти</w:t>
            </w:r>
            <w:proofErr w:type="spellEnd"/>
            <w:r w:rsidRPr="00E16672">
              <w:rPr>
                <w:rFonts w:ascii="Times New Roman" w:hAnsi="Times New Roman"/>
                <w:color w:val="000000"/>
                <w:sz w:val="16"/>
                <w:szCs w:val="16"/>
              </w:rPr>
              <w:t xml:space="preserve"> про </w:t>
            </w:r>
            <w:proofErr w:type="spellStart"/>
            <w:r w:rsidRPr="00E16672">
              <w:rPr>
                <w:rFonts w:ascii="Times New Roman" w:hAnsi="Times New Roman"/>
                <w:color w:val="000000"/>
                <w:sz w:val="16"/>
                <w:szCs w:val="16"/>
              </w:rPr>
              <w:t>виконання</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операцій</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які</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формуються</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програмним</w:t>
            </w:r>
            <w:proofErr w:type="spellEnd"/>
            <w:r w:rsidRPr="00E16672">
              <w:rPr>
                <w:rFonts w:ascii="Times New Roman" w:hAnsi="Times New Roman"/>
                <w:color w:val="000000"/>
                <w:sz w:val="16"/>
                <w:szCs w:val="16"/>
              </w:rPr>
              <w:t xml:space="preserve"> комплексом Центрального </w:t>
            </w:r>
            <w:proofErr w:type="spellStart"/>
            <w:r w:rsidRPr="00E16672">
              <w:rPr>
                <w:rFonts w:ascii="Times New Roman" w:hAnsi="Times New Roman"/>
                <w:color w:val="000000"/>
                <w:sz w:val="16"/>
                <w:szCs w:val="16"/>
              </w:rPr>
              <w:t>Депозитарію</w:t>
            </w:r>
            <w:proofErr w:type="spellEnd"/>
            <w:r w:rsidRPr="00E16672">
              <w:rPr>
                <w:rFonts w:ascii="Times New Roman" w:hAnsi="Times New Roman"/>
                <w:color w:val="000000"/>
                <w:sz w:val="16"/>
                <w:szCs w:val="16"/>
              </w:rPr>
              <w:t>.</w:t>
            </w:r>
          </w:p>
          <w:p w14:paraId="70E42FFD" w14:textId="77777777" w:rsidR="00E51F85" w:rsidRPr="00E16672" w:rsidRDefault="00E51F85" w:rsidP="00547A75">
            <w:pPr>
              <w:snapToGrid w:val="0"/>
              <w:ind w:left="175" w:right="138" w:firstLine="7"/>
              <w:rPr>
                <w:rFonts w:ascii="Times New Roman" w:hAnsi="Times New Roman"/>
                <w:color w:val="000000"/>
                <w:sz w:val="16"/>
                <w:szCs w:val="16"/>
                <w:lang w:val="uk-UA"/>
              </w:rPr>
            </w:pPr>
          </w:p>
        </w:tc>
        <w:tc>
          <w:tcPr>
            <w:tcW w:w="5494" w:type="dxa"/>
            <w:gridSpan w:val="7"/>
            <w:shd w:val="clear" w:color="auto" w:fill="auto"/>
          </w:tcPr>
          <w:p w14:paraId="7D11FDC9" w14:textId="77777777" w:rsidR="00E51F85" w:rsidRPr="00E16672" w:rsidRDefault="00E51F85" w:rsidP="00547A75">
            <w:pPr>
              <w:tabs>
                <w:tab w:val="left" w:pos="287"/>
              </w:tabs>
              <w:snapToGrid w:val="0"/>
              <w:ind w:left="175" w:right="100" w:firstLine="7"/>
              <w:rPr>
                <w:rFonts w:ascii="Times New Roman" w:hAnsi="Times New Roman"/>
                <w:color w:val="000000"/>
                <w:sz w:val="16"/>
                <w:szCs w:val="16"/>
                <w:lang w:val="en-US"/>
              </w:rPr>
            </w:pPr>
            <w:r w:rsidRPr="00E16672">
              <w:rPr>
                <w:rFonts w:ascii="Times New Roman" w:hAnsi="Times New Roman"/>
                <w:color w:val="000000"/>
                <w:sz w:val="16"/>
                <w:szCs w:val="16"/>
                <w:lang w:val="en-GB"/>
              </w:rPr>
              <w:t>2.2.4. To provide Depositor additional (information and consultation) services and other information which is necessary for Depositor the rights of the securities.</w:t>
            </w:r>
            <w:r w:rsidRPr="00E16672">
              <w:rPr>
                <w:rFonts w:ascii="Times New Roman" w:hAnsi="Times New Roman"/>
                <w:color w:val="000000"/>
                <w:sz w:val="18"/>
                <w:szCs w:val="18"/>
                <w:lang w:val="en-US"/>
              </w:rPr>
              <w:t xml:space="preserve"> </w:t>
            </w:r>
            <w:r w:rsidRPr="00E16672">
              <w:rPr>
                <w:rFonts w:ascii="Times New Roman" w:hAnsi="Times New Roman"/>
                <w:color w:val="000000"/>
                <w:sz w:val="16"/>
                <w:szCs w:val="16"/>
                <w:lang w:val="en-US"/>
              </w:rPr>
              <w:t>To provide Depositor extract from the securities account of the Depositor, information or other reports on the implementation of operations that form a complex program of the Central Depository.</w:t>
            </w:r>
          </w:p>
          <w:p w14:paraId="3641F20B" w14:textId="77777777" w:rsidR="00E51F85" w:rsidRPr="00E16672" w:rsidRDefault="00E51F85" w:rsidP="00547A75">
            <w:pPr>
              <w:tabs>
                <w:tab w:val="left" w:pos="287"/>
              </w:tabs>
              <w:ind w:left="175" w:right="100" w:firstLine="7"/>
              <w:jc w:val="center"/>
              <w:rPr>
                <w:rFonts w:ascii="Times New Roman" w:hAnsi="Times New Roman"/>
                <w:b/>
                <w:bCs/>
                <w:color w:val="000000"/>
                <w:sz w:val="16"/>
                <w:szCs w:val="16"/>
                <w:lang w:val="en-GB"/>
              </w:rPr>
            </w:pPr>
          </w:p>
        </w:tc>
      </w:tr>
      <w:tr w:rsidR="00E51F85" w:rsidRPr="00F23413" w14:paraId="76ABC8B4" w14:textId="77777777" w:rsidTr="00D77858">
        <w:tblPrEx>
          <w:tblCellMar>
            <w:left w:w="0" w:type="dxa"/>
            <w:right w:w="0" w:type="dxa"/>
          </w:tblCellMar>
        </w:tblPrEx>
        <w:trPr>
          <w:trHeight w:val="1554"/>
        </w:trPr>
        <w:tc>
          <w:tcPr>
            <w:tcW w:w="5696" w:type="dxa"/>
            <w:gridSpan w:val="6"/>
            <w:shd w:val="clear" w:color="auto" w:fill="auto"/>
          </w:tcPr>
          <w:p w14:paraId="6DDE86DC" w14:textId="77777777" w:rsidR="00E51F85" w:rsidRPr="00E16672" w:rsidRDefault="00E51F85" w:rsidP="00547A75">
            <w:pPr>
              <w:tabs>
                <w:tab w:val="left" w:pos="709"/>
              </w:tabs>
              <w:snapToGrid w:val="0"/>
              <w:ind w:left="175" w:right="138" w:firstLine="7"/>
              <w:rPr>
                <w:rFonts w:ascii="Times New Roman" w:hAnsi="Times New Roman"/>
                <w:sz w:val="16"/>
                <w:szCs w:val="16"/>
              </w:rPr>
            </w:pPr>
            <w:r w:rsidRPr="00E16672">
              <w:rPr>
                <w:rFonts w:ascii="Times New Roman" w:hAnsi="Times New Roman"/>
                <w:sz w:val="16"/>
                <w:szCs w:val="16"/>
              </w:rPr>
              <w:t xml:space="preserve">2.2.5. У </w:t>
            </w:r>
            <w:proofErr w:type="spellStart"/>
            <w:r w:rsidRPr="00E16672">
              <w:rPr>
                <w:rFonts w:ascii="Times New Roman" w:hAnsi="Times New Roman"/>
                <w:sz w:val="16"/>
                <w:szCs w:val="16"/>
              </w:rPr>
              <w:t>випадку</w:t>
            </w:r>
            <w:proofErr w:type="spellEnd"/>
            <w:r w:rsidRPr="00E16672">
              <w:rPr>
                <w:rFonts w:ascii="Times New Roman" w:hAnsi="Times New Roman"/>
                <w:sz w:val="16"/>
                <w:szCs w:val="16"/>
              </w:rPr>
              <w:t xml:space="preserve"> початку Депозитарною </w:t>
            </w:r>
            <w:proofErr w:type="spellStart"/>
            <w:r w:rsidRPr="00E16672">
              <w:rPr>
                <w:rFonts w:ascii="Times New Roman" w:hAnsi="Times New Roman"/>
                <w:sz w:val="16"/>
                <w:szCs w:val="16"/>
              </w:rPr>
              <w:t>установою</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процедури</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припинення</w:t>
            </w:r>
            <w:proofErr w:type="spellEnd"/>
            <w:r w:rsidRPr="00E16672">
              <w:rPr>
                <w:rFonts w:ascii="Times New Roman" w:hAnsi="Times New Roman"/>
                <w:sz w:val="16"/>
                <w:szCs w:val="16"/>
              </w:rPr>
              <w:t xml:space="preserve"> нею </w:t>
            </w:r>
            <w:proofErr w:type="spellStart"/>
            <w:r w:rsidRPr="00E16672">
              <w:rPr>
                <w:rFonts w:ascii="Times New Roman" w:hAnsi="Times New Roman"/>
                <w:sz w:val="16"/>
                <w:szCs w:val="16"/>
              </w:rPr>
              <w:t>провадження</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професійної</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діяльності</w:t>
            </w:r>
            <w:proofErr w:type="spellEnd"/>
            <w:r w:rsidRPr="00E16672">
              <w:rPr>
                <w:rFonts w:ascii="Times New Roman" w:hAnsi="Times New Roman"/>
                <w:sz w:val="16"/>
                <w:szCs w:val="16"/>
              </w:rPr>
              <w:t xml:space="preserve"> </w:t>
            </w:r>
            <w:proofErr w:type="gramStart"/>
            <w:r w:rsidRPr="00E16672">
              <w:rPr>
                <w:rFonts w:ascii="Times New Roman" w:hAnsi="Times New Roman"/>
                <w:sz w:val="16"/>
                <w:szCs w:val="16"/>
              </w:rPr>
              <w:t>на фондовому ринку</w:t>
            </w:r>
            <w:proofErr w:type="gramEnd"/>
            <w:r w:rsidRPr="00E16672">
              <w:rPr>
                <w:rFonts w:ascii="Times New Roman" w:hAnsi="Times New Roman"/>
                <w:sz w:val="16"/>
                <w:szCs w:val="16"/>
              </w:rPr>
              <w:t xml:space="preserve"> - </w:t>
            </w:r>
            <w:proofErr w:type="spellStart"/>
            <w:r w:rsidRPr="00E16672">
              <w:rPr>
                <w:rFonts w:ascii="Times New Roman" w:hAnsi="Times New Roman"/>
                <w:sz w:val="16"/>
                <w:szCs w:val="16"/>
              </w:rPr>
              <w:t>депозитарної</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діяльності</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депозитарної</w:t>
            </w:r>
            <w:proofErr w:type="spellEnd"/>
            <w:r w:rsidRPr="00E16672">
              <w:rPr>
                <w:rFonts w:ascii="Times New Roman" w:hAnsi="Times New Roman"/>
                <w:sz w:val="16"/>
                <w:szCs w:val="16"/>
              </w:rPr>
              <w:t xml:space="preserve"> установи </w:t>
            </w:r>
            <w:proofErr w:type="spellStart"/>
            <w:r w:rsidRPr="00E16672">
              <w:rPr>
                <w:rFonts w:ascii="Times New Roman" w:hAnsi="Times New Roman"/>
                <w:sz w:val="16"/>
                <w:szCs w:val="16"/>
              </w:rPr>
              <w:t>відповідно</w:t>
            </w:r>
            <w:proofErr w:type="spellEnd"/>
            <w:r w:rsidRPr="00E16672">
              <w:rPr>
                <w:rFonts w:ascii="Times New Roman" w:hAnsi="Times New Roman"/>
                <w:sz w:val="16"/>
                <w:szCs w:val="16"/>
              </w:rPr>
              <w:t xml:space="preserve"> до </w:t>
            </w:r>
            <w:proofErr w:type="spellStart"/>
            <w:r w:rsidRPr="00E16672">
              <w:rPr>
                <w:rFonts w:ascii="Times New Roman" w:hAnsi="Times New Roman"/>
                <w:sz w:val="16"/>
                <w:szCs w:val="16"/>
              </w:rPr>
              <w:t>вимог</w:t>
            </w:r>
            <w:proofErr w:type="spellEnd"/>
            <w:r w:rsidRPr="00E16672">
              <w:rPr>
                <w:rFonts w:ascii="Times New Roman" w:hAnsi="Times New Roman"/>
                <w:sz w:val="16"/>
                <w:szCs w:val="16"/>
              </w:rPr>
              <w:t xml:space="preserve"> нормативно-правового акта </w:t>
            </w:r>
            <w:proofErr w:type="spellStart"/>
            <w:r w:rsidRPr="00E16672">
              <w:rPr>
                <w:rFonts w:ascii="Times New Roman" w:hAnsi="Times New Roman"/>
                <w:sz w:val="16"/>
                <w:szCs w:val="16"/>
              </w:rPr>
              <w:t>щодо</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припинення</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депозитарної</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діяльності</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депозитарної</w:t>
            </w:r>
            <w:proofErr w:type="spellEnd"/>
            <w:r w:rsidRPr="00E16672">
              <w:rPr>
                <w:rFonts w:ascii="Times New Roman" w:hAnsi="Times New Roman"/>
                <w:sz w:val="16"/>
                <w:szCs w:val="16"/>
              </w:rPr>
              <w:t xml:space="preserve"> установи </w:t>
            </w:r>
            <w:proofErr w:type="spellStart"/>
            <w:r w:rsidRPr="00E16672">
              <w:rPr>
                <w:rFonts w:ascii="Times New Roman" w:hAnsi="Times New Roman"/>
                <w:sz w:val="16"/>
                <w:szCs w:val="16"/>
              </w:rPr>
              <w:t>виконувати</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тільки</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ті</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розпорядження</w:t>
            </w:r>
            <w:proofErr w:type="spellEnd"/>
            <w:r w:rsidRPr="00E16672">
              <w:rPr>
                <w:rFonts w:ascii="Times New Roman" w:hAnsi="Times New Roman"/>
                <w:sz w:val="16"/>
                <w:szCs w:val="16"/>
              </w:rPr>
              <w:t xml:space="preserve"> Депонента, </w:t>
            </w:r>
            <w:proofErr w:type="spellStart"/>
            <w:r w:rsidR="00113864" w:rsidRPr="00E16672">
              <w:rPr>
                <w:rFonts w:ascii="Times New Roman" w:hAnsi="Times New Roman"/>
                <w:sz w:val="16"/>
                <w:szCs w:val="16"/>
              </w:rPr>
              <w:t>розпорядника</w:t>
            </w:r>
            <w:proofErr w:type="spellEnd"/>
            <w:r w:rsidR="00113864" w:rsidRPr="00E16672">
              <w:rPr>
                <w:rFonts w:ascii="Times New Roman" w:hAnsi="Times New Roman"/>
                <w:sz w:val="16"/>
                <w:szCs w:val="16"/>
              </w:rPr>
              <w:t>/</w:t>
            </w:r>
            <w:proofErr w:type="spellStart"/>
            <w:r w:rsidRPr="00E16672">
              <w:rPr>
                <w:rFonts w:ascii="Times New Roman" w:hAnsi="Times New Roman"/>
                <w:sz w:val="16"/>
                <w:szCs w:val="16"/>
              </w:rPr>
              <w:t>керуючого</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рахунком</w:t>
            </w:r>
            <w:proofErr w:type="spellEnd"/>
            <w:r w:rsidRPr="00E16672">
              <w:rPr>
                <w:rFonts w:ascii="Times New Roman" w:hAnsi="Times New Roman"/>
                <w:sz w:val="16"/>
                <w:szCs w:val="16"/>
              </w:rPr>
              <w:t xml:space="preserve"> в </w:t>
            </w:r>
            <w:proofErr w:type="spellStart"/>
            <w:r w:rsidRPr="00E16672">
              <w:rPr>
                <w:rFonts w:ascii="Times New Roman" w:hAnsi="Times New Roman"/>
                <w:sz w:val="16"/>
                <w:szCs w:val="16"/>
              </w:rPr>
              <w:t>цінних</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паперах</w:t>
            </w:r>
            <w:proofErr w:type="spellEnd"/>
            <w:r w:rsidRPr="00E16672">
              <w:rPr>
                <w:rFonts w:ascii="Times New Roman" w:hAnsi="Times New Roman"/>
                <w:sz w:val="16"/>
                <w:szCs w:val="16"/>
              </w:rPr>
              <w:t xml:space="preserve"> Депонента, </w:t>
            </w:r>
            <w:proofErr w:type="spellStart"/>
            <w:r w:rsidRPr="00E16672">
              <w:rPr>
                <w:rFonts w:ascii="Times New Roman" w:hAnsi="Times New Roman"/>
                <w:sz w:val="16"/>
                <w:szCs w:val="16"/>
              </w:rPr>
              <w:t>виконання</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яких</w:t>
            </w:r>
            <w:proofErr w:type="spellEnd"/>
            <w:r w:rsidRPr="00E16672">
              <w:rPr>
                <w:rFonts w:ascii="Times New Roman" w:hAnsi="Times New Roman"/>
                <w:sz w:val="16"/>
                <w:szCs w:val="16"/>
              </w:rPr>
              <w:t xml:space="preserve"> не заборонено </w:t>
            </w:r>
            <w:proofErr w:type="spellStart"/>
            <w:r w:rsidRPr="00E16672">
              <w:rPr>
                <w:rFonts w:ascii="Times New Roman" w:hAnsi="Times New Roman"/>
                <w:sz w:val="16"/>
                <w:szCs w:val="16"/>
              </w:rPr>
              <w:t>цим</w:t>
            </w:r>
            <w:proofErr w:type="spellEnd"/>
            <w:r w:rsidRPr="00E16672">
              <w:rPr>
                <w:rFonts w:ascii="Times New Roman" w:hAnsi="Times New Roman"/>
                <w:sz w:val="16"/>
                <w:szCs w:val="16"/>
              </w:rPr>
              <w:t xml:space="preserve"> нормативно-</w:t>
            </w:r>
            <w:proofErr w:type="spellStart"/>
            <w:r w:rsidRPr="00E16672">
              <w:rPr>
                <w:rFonts w:ascii="Times New Roman" w:hAnsi="Times New Roman"/>
                <w:sz w:val="16"/>
                <w:szCs w:val="16"/>
              </w:rPr>
              <w:t>правовим</w:t>
            </w:r>
            <w:proofErr w:type="spellEnd"/>
            <w:r w:rsidRPr="00E16672">
              <w:rPr>
                <w:rFonts w:ascii="Times New Roman" w:hAnsi="Times New Roman"/>
                <w:sz w:val="16"/>
                <w:szCs w:val="16"/>
              </w:rPr>
              <w:t xml:space="preserve"> актом. </w:t>
            </w:r>
          </w:p>
          <w:p w14:paraId="0CE89A97" w14:textId="77777777" w:rsidR="00E51F85" w:rsidRPr="00E16672" w:rsidRDefault="00E51F85" w:rsidP="00547A75">
            <w:pPr>
              <w:snapToGrid w:val="0"/>
              <w:ind w:left="175" w:right="138" w:firstLine="7"/>
              <w:rPr>
                <w:rFonts w:ascii="Times New Roman" w:hAnsi="Times New Roman"/>
                <w:sz w:val="16"/>
                <w:szCs w:val="16"/>
              </w:rPr>
            </w:pPr>
          </w:p>
        </w:tc>
        <w:tc>
          <w:tcPr>
            <w:tcW w:w="5494" w:type="dxa"/>
            <w:gridSpan w:val="7"/>
            <w:shd w:val="clear" w:color="auto" w:fill="auto"/>
          </w:tcPr>
          <w:p w14:paraId="527F3F4A" w14:textId="77777777" w:rsidR="00E51F85" w:rsidRPr="00E16672" w:rsidRDefault="00E51F85" w:rsidP="00200366">
            <w:pPr>
              <w:tabs>
                <w:tab w:val="left" w:pos="57"/>
              </w:tabs>
              <w:snapToGrid w:val="0"/>
              <w:ind w:left="175" w:right="138" w:firstLine="7"/>
              <w:rPr>
                <w:rFonts w:ascii="Times New Roman" w:hAnsi="Times New Roman"/>
                <w:sz w:val="16"/>
                <w:szCs w:val="16"/>
                <w:lang w:val="en-GB"/>
              </w:rPr>
            </w:pPr>
            <w:r w:rsidRPr="00E16672">
              <w:rPr>
                <w:rFonts w:ascii="Times New Roman" w:hAnsi="Times New Roman"/>
                <w:sz w:val="16"/>
                <w:szCs w:val="16"/>
                <w:lang w:val="en-GB"/>
              </w:rPr>
              <w:t xml:space="preserve">2.2.5. In the case beginning by Depository </w:t>
            </w:r>
            <w:proofErr w:type="gramStart"/>
            <w:r w:rsidRPr="00E16672">
              <w:rPr>
                <w:rFonts w:ascii="Times New Roman" w:hAnsi="Times New Roman"/>
                <w:sz w:val="16"/>
                <w:szCs w:val="16"/>
                <w:lang w:val="en-GB"/>
              </w:rPr>
              <w:t>institution  the</w:t>
            </w:r>
            <w:proofErr w:type="gramEnd"/>
            <w:r w:rsidRPr="00E16672">
              <w:rPr>
                <w:rFonts w:ascii="Times New Roman" w:hAnsi="Times New Roman"/>
                <w:sz w:val="16"/>
                <w:szCs w:val="16"/>
                <w:lang w:val="en-GB"/>
              </w:rPr>
              <w:t xml:space="preserve"> procedure of stopping the exercise of professional </w:t>
            </w:r>
            <w:r w:rsidR="00200366" w:rsidRPr="00E16672">
              <w:rPr>
                <w:rFonts w:ascii="Times New Roman" w:hAnsi="Times New Roman"/>
                <w:sz w:val="16"/>
                <w:szCs w:val="16"/>
                <w:lang w:val="en-GB"/>
              </w:rPr>
              <w:t>activity</w:t>
            </w:r>
            <w:r w:rsidRPr="00E16672">
              <w:rPr>
                <w:rFonts w:ascii="Times New Roman" w:hAnsi="Times New Roman"/>
                <w:sz w:val="16"/>
                <w:szCs w:val="16"/>
                <w:lang w:val="en-GB"/>
              </w:rPr>
              <w:t xml:space="preserve"> on the stock market - depository activities of Depository institution in accordance with the legal act to stopping the depository </w:t>
            </w:r>
            <w:r w:rsidR="00200366" w:rsidRPr="00E16672">
              <w:rPr>
                <w:rFonts w:ascii="Times New Roman" w:hAnsi="Times New Roman"/>
                <w:sz w:val="16"/>
                <w:szCs w:val="16"/>
                <w:lang w:val="en-GB"/>
              </w:rPr>
              <w:t>activity</w:t>
            </w:r>
            <w:r w:rsidRPr="00E16672">
              <w:rPr>
                <w:rFonts w:ascii="Times New Roman" w:hAnsi="Times New Roman"/>
                <w:sz w:val="16"/>
                <w:szCs w:val="16"/>
                <w:lang w:val="en-GB"/>
              </w:rPr>
              <w:t xml:space="preserve"> of Depository institution perform only those orders the Depositor, the </w:t>
            </w:r>
            <w:r w:rsidR="00113864" w:rsidRPr="00E16672">
              <w:rPr>
                <w:rFonts w:ascii="Times New Roman" w:hAnsi="Times New Roman"/>
                <w:sz w:val="16"/>
                <w:szCs w:val="16"/>
                <w:lang w:val="en-GB"/>
              </w:rPr>
              <w:t>manager</w:t>
            </w:r>
            <w:r w:rsidR="00113864" w:rsidRPr="00E16672">
              <w:rPr>
                <w:rFonts w:ascii="Times New Roman" w:hAnsi="Times New Roman"/>
                <w:sz w:val="16"/>
                <w:szCs w:val="16"/>
                <w:lang w:val="en-US"/>
              </w:rPr>
              <w:t>/</w:t>
            </w:r>
            <w:r w:rsidR="00113864" w:rsidRPr="00E16672">
              <w:rPr>
                <w:rFonts w:ascii="Times New Roman" w:hAnsi="Times New Roman"/>
                <w:sz w:val="16"/>
                <w:szCs w:val="22"/>
              </w:rPr>
              <w:t>а</w:t>
            </w:r>
            <w:proofErr w:type="spellStart"/>
            <w:r w:rsidR="00113864" w:rsidRPr="00E16672">
              <w:rPr>
                <w:rFonts w:ascii="Times New Roman" w:hAnsi="Times New Roman"/>
                <w:sz w:val="16"/>
                <w:szCs w:val="22"/>
                <w:lang w:val="en-US"/>
              </w:rPr>
              <w:t>dministrator</w:t>
            </w:r>
            <w:proofErr w:type="spellEnd"/>
            <w:r w:rsidR="00113864" w:rsidRPr="00E16672">
              <w:rPr>
                <w:rFonts w:ascii="Times New Roman" w:hAnsi="Times New Roman"/>
                <w:sz w:val="16"/>
                <w:szCs w:val="16"/>
                <w:lang w:val="en-GB"/>
              </w:rPr>
              <w:t xml:space="preserve"> </w:t>
            </w:r>
            <w:r w:rsidRPr="00E16672">
              <w:rPr>
                <w:rFonts w:ascii="Times New Roman" w:hAnsi="Times New Roman"/>
                <w:sz w:val="16"/>
                <w:szCs w:val="16"/>
                <w:lang w:val="en-GB"/>
              </w:rPr>
              <w:t>of account in securities the Depositor, the implementation of which is not prohibited by this legal act.</w:t>
            </w:r>
          </w:p>
        </w:tc>
      </w:tr>
      <w:tr w:rsidR="00E51F85" w:rsidRPr="00F23413" w14:paraId="70565661" w14:textId="77777777" w:rsidTr="00D77858">
        <w:tblPrEx>
          <w:tblCellMar>
            <w:left w:w="0" w:type="dxa"/>
            <w:right w:w="0" w:type="dxa"/>
          </w:tblCellMar>
        </w:tblPrEx>
        <w:trPr>
          <w:trHeight w:val="529"/>
        </w:trPr>
        <w:tc>
          <w:tcPr>
            <w:tcW w:w="5696" w:type="dxa"/>
            <w:gridSpan w:val="6"/>
            <w:shd w:val="clear" w:color="auto" w:fill="auto"/>
          </w:tcPr>
          <w:p w14:paraId="373FA4E4" w14:textId="77777777" w:rsidR="00E51F85" w:rsidRPr="00E16672" w:rsidRDefault="00E51F85" w:rsidP="00547A75">
            <w:pPr>
              <w:pStyle w:val="1b"/>
              <w:spacing w:before="0" w:after="0"/>
              <w:ind w:left="175" w:right="138" w:firstLine="7"/>
              <w:rPr>
                <w:rFonts w:ascii="Times New Roman" w:hAnsi="Times New Roman" w:cs="Times New Roman"/>
                <w:sz w:val="16"/>
                <w:szCs w:val="16"/>
              </w:rPr>
            </w:pPr>
            <w:r w:rsidRPr="00E16672">
              <w:rPr>
                <w:rFonts w:ascii="Times New Roman" w:hAnsi="Times New Roman" w:cs="Times New Roman"/>
                <w:sz w:val="16"/>
                <w:szCs w:val="16"/>
              </w:rPr>
              <w:t>2.2.6. Вносити зміни до внутрішніх документів Депозитарної установи та тарифів Депозитарної установи.</w:t>
            </w:r>
          </w:p>
          <w:p w14:paraId="1FA59047" w14:textId="77777777" w:rsidR="00D70B23" w:rsidRPr="00E16672" w:rsidRDefault="00D70B23" w:rsidP="00547A75">
            <w:pPr>
              <w:pStyle w:val="ab"/>
              <w:ind w:left="175" w:firstLine="7"/>
              <w:rPr>
                <w:rFonts w:ascii="Times New Roman" w:hAnsi="Times New Roman"/>
                <w:sz w:val="24"/>
                <w:lang w:eastAsia="hi-IN" w:bidi="hi-IN"/>
              </w:rPr>
            </w:pPr>
          </w:p>
        </w:tc>
        <w:tc>
          <w:tcPr>
            <w:tcW w:w="5494" w:type="dxa"/>
            <w:gridSpan w:val="7"/>
            <w:shd w:val="clear" w:color="auto" w:fill="auto"/>
          </w:tcPr>
          <w:p w14:paraId="2D9CB847" w14:textId="77777777" w:rsidR="00E51F85" w:rsidRPr="00E16672" w:rsidRDefault="00E51F85" w:rsidP="00547A75">
            <w:pPr>
              <w:snapToGrid w:val="0"/>
              <w:ind w:left="175" w:right="138" w:firstLine="7"/>
              <w:rPr>
                <w:rFonts w:ascii="Times New Roman" w:hAnsi="Times New Roman"/>
                <w:sz w:val="16"/>
                <w:szCs w:val="16"/>
                <w:lang w:val="en-GB"/>
              </w:rPr>
            </w:pPr>
            <w:r w:rsidRPr="00E16672">
              <w:rPr>
                <w:rFonts w:ascii="Times New Roman" w:hAnsi="Times New Roman"/>
                <w:sz w:val="16"/>
                <w:szCs w:val="16"/>
                <w:lang w:val="en-GB"/>
              </w:rPr>
              <w:t xml:space="preserve">2.2.6.  To make changes to internal </w:t>
            </w:r>
            <w:proofErr w:type="gramStart"/>
            <w:r w:rsidRPr="00E16672">
              <w:rPr>
                <w:rFonts w:ascii="Times New Roman" w:hAnsi="Times New Roman"/>
                <w:sz w:val="16"/>
                <w:szCs w:val="16"/>
                <w:lang w:val="en-GB"/>
              </w:rPr>
              <w:t>documents  of</w:t>
            </w:r>
            <w:proofErr w:type="gramEnd"/>
            <w:r w:rsidRPr="00E16672">
              <w:rPr>
                <w:rFonts w:ascii="Times New Roman" w:hAnsi="Times New Roman"/>
                <w:sz w:val="16"/>
                <w:szCs w:val="16"/>
                <w:lang w:val="en-GB"/>
              </w:rPr>
              <w:t xml:space="preserve"> Depository institution and Tariffs of Depository institution.</w:t>
            </w:r>
            <w:r w:rsidRPr="00E16672">
              <w:rPr>
                <w:rFonts w:ascii="Times New Roman" w:hAnsi="Times New Roman"/>
                <w:lang w:val="en-GB"/>
              </w:rPr>
              <w:t xml:space="preserve"> </w:t>
            </w:r>
          </w:p>
        </w:tc>
      </w:tr>
      <w:tr w:rsidR="00E51F85" w:rsidRPr="00E16672" w14:paraId="2DCE869D" w14:textId="77777777" w:rsidTr="00D77858">
        <w:tblPrEx>
          <w:tblCellMar>
            <w:left w:w="0" w:type="dxa"/>
            <w:right w:w="0" w:type="dxa"/>
          </w:tblCellMar>
        </w:tblPrEx>
        <w:trPr>
          <w:trHeight w:val="192"/>
        </w:trPr>
        <w:tc>
          <w:tcPr>
            <w:tcW w:w="5696" w:type="dxa"/>
            <w:gridSpan w:val="6"/>
            <w:shd w:val="clear" w:color="auto" w:fill="auto"/>
          </w:tcPr>
          <w:p w14:paraId="3B3CB83B" w14:textId="77777777" w:rsidR="00E51F85" w:rsidRPr="00E16672" w:rsidRDefault="00E51F85" w:rsidP="00547A75">
            <w:pPr>
              <w:tabs>
                <w:tab w:val="left" w:pos="709"/>
              </w:tabs>
              <w:snapToGrid w:val="0"/>
              <w:ind w:left="175" w:right="138" w:firstLine="7"/>
              <w:rPr>
                <w:rFonts w:ascii="Times New Roman" w:hAnsi="Times New Roman"/>
                <w:sz w:val="16"/>
                <w:szCs w:val="16"/>
                <w:lang w:val="en-US"/>
              </w:rPr>
            </w:pPr>
            <w:r w:rsidRPr="00E16672">
              <w:rPr>
                <w:rFonts w:ascii="Times New Roman" w:hAnsi="Times New Roman"/>
                <w:sz w:val="16"/>
                <w:szCs w:val="16"/>
                <w:lang w:val="en-US"/>
              </w:rPr>
              <w:t xml:space="preserve">2.2.7. </w:t>
            </w:r>
            <w:proofErr w:type="spellStart"/>
            <w:r w:rsidRPr="00E16672">
              <w:rPr>
                <w:rFonts w:ascii="Times New Roman" w:hAnsi="Times New Roman"/>
                <w:sz w:val="16"/>
                <w:szCs w:val="16"/>
              </w:rPr>
              <w:t>Закрити</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рахунок</w:t>
            </w:r>
            <w:proofErr w:type="spellEnd"/>
            <w:r w:rsidRPr="00E16672">
              <w:rPr>
                <w:rFonts w:ascii="Times New Roman" w:hAnsi="Times New Roman"/>
                <w:sz w:val="16"/>
                <w:szCs w:val="16"/>
                <w:lang w:val="en-US"/>
              </w:rPr>
              <w:t xml:space="preserve"> </w:t>
            </w:r>
            <w:r w:rsidR="00C22309" w:rsidRPr="00E16672">
              <w:rPr>
                <w:rFonts w:ascii="Times New Roman" w:hAnsi="Times New Roman"/>
                <w:sz w:val="16"/>
                <w:szCs w:val="16"/>
              </w:rPr>
              <w:t>в</w:t>
            </w:r>
            <w:r w:rsidR="00C22309" w:rsidRPr="00E16672">
              <w:rPr>
                <w:rFonts w:ascii="Times New Roman" w:hAnsi="Times New Roman"/>
                <w:sz w:val="16"/>
                <w:szCs w:val="16"/>
                <w:lang w:val="en-US"/>
              </w:rPr>
              <w:t xml:space="preserve"> </w:t>
            </w:r>
            <w:proofErr w:type="spellStart"/>
            <w:r w:rsidR="00C22309" w:rsidRPr="00E16672">
              <w:rPr>
                <w:rFonts w:ascii="Times New Roman" w:hAnsi="Times New Roman"/>
                <w:sz w:val="16"/>
                <w:szCs w:val="16"/>
              </w:rPr>
              <w:t>цін</w:t>
            </w:r>
            <w:r w:rsidRPr="00E16672">
              <w:rPr>
                <w:rFonts w:ascii="Times New Roman" w:hAnsi="Times New Roman"/>
                <w:sz w:val="16"/>
                <w:szCs w:val="16"/>
              </w:rPr>
              <w:t>них</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паперах</w:t>
            </w:r>
            <w:proofErr w:type="spellEnd"/>
            <w:r w:rsidRPr="00E16672">
              <w:rPr>
                <w:rFonts w:ascii="Times New Roman" w:hAnsi="Times New Roman"/>
                <w:sz w:val="16"/>
                <w:szCs w:val="16"/>
                <w:lang w:val="en-US"/>
              </w:rPr>
              <w:t xml:space="preserve"> </w:t>
            </w:r>
            <w:r w:rsidRPr="00E16672">
              <w:rPr>
                <w:rFonts w:ascii="Times New Roman" w:hAnsi="Times New Roman"/>
                <w:sz w:val="16"/>
                <w:szCs w:val="16"/>
              </w:rPr>
              <w:t>Депонента</w:t>
            </w:r>
            <w:r w:rsidRPr="00E16672">
              <w:rPr>
                <w:rFonts w:ascii="Times New Roman" w:hAnsi="Times New Roman"/>
                <w:sz w:val="16"/>
                <w:szCs w:val="16"/>
                <w:lang w:val="en-US"/>
              </w:rPr>
              <w:t xml:space="preserve">, </w:t>
            </w:r>
            <w:r w:rsidRPr="00E16672">
              <w:rPr>
                <w:rFonts w:ascii="Times New Roman" w:hAnsi="Times New Roman"/>
                <w:sz w:val="16"/>
                <w:szCs w:val="16"/>
              </w:rPr>
              <w:t>на</w:t>
            </w:r>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якому</w:t>
            </w:r>
            <w:proofErr w:type="spellEnd"/>
            <w:r w:rsidRPr="00E16672">
              <w:rPr>
                <w:rFonts w:ascii="Times New Roman" w:hAnsi="Times New Roman"/>
                <w:sz w:val="16"/>
                <w:szCs w:val="16"/>
                <w:lang w:val="en-US"/>
              </w:rPr>
              <w:t xml:space="preserve"> </w:t>
            </w:r>
            <w:r w:rsidR="00D70B23" w:rsidRPr="00E16672">
              <w:rPr>
                <w:rFonts w:ascii="Times New Roman" w:hAnsi="Times New Roman"/>
                <w:sz w:val="16"/>
                <w:szCs w:val="16"/>
                <w:lang w:val="uk-UA"/>
              </w:rPr>
              <w:t>відсутні</w:t>
            </w:r>
            <w:r w:rsidRPr="00E16672">
              <w:rPr>
                <w:rFonts w:ascii="Times New Roman" w:hAnsi="Times New Roman"/>
                <w:sz w:val="16"/>
                <w:szCs w:val="16"/>
                <w:lang w:val="en-US"/>
              </w:rPr>
              <w:t xml:space="preserve"> </w:t>
            </w:r>
            <w:r w:rsidRPr="00E16672">
              <w:rPr>
                <w:rFonts w:ascii="Times New Roman" w:hAnsi="Times New Roman"/>
                <w:sz w:val="16"/>
                <w:szCs w:val="16"/>
              </w:rPr>
              <w:t>права</w:t>
            </w:r>
            <w:r w:rsidRPr="00E16672">
              <w:rPr>
                <w:rFonts w:ascii="Times New Roman" w:hAnsi="Times New Roman"/>
                <w:sz w:val="16"/>
                <w:szCs w:val="16"/>
                <w:lang w:val="en-US"/>
              </w:rPr>
              <w:t xml:space="preserve"> </w:t>
            </w:r>
            <w:r w:rsidRPr="00E16672">
              <w:rPr>
                <w:rFonts w:ascii="Times New Roman" w:hAnsi="Times New Roman"/>
                <w:sz w:val="16"/>
                <w:szCs w:val="16"/>
              </w:rPr>
              <w:t>на</w:t>
            </w:r>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цінні</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папери</w:t>
            </w:r>
            <w:proofErr w:type="spellEnd"/>
            <w:r w:rsidRPr="00E16672">
              <w:rPr>
                <w:rFonts w:ascii="Times New Roman" w:hAnsi="Times New Roman"/>
                <w:sz w:val="16"/>
                <w:szCs w:val="16"/>
                <w:lang w:val="en-US"/>
              </w:rPr>
              <w:t xml:space="preserve">, </w:t>
            </w:r>
            <w:r w:rsidRPr="00E16672">
              <w:rPr>
                <w:rFonts w:ascii="Times New Roman" w:hAnsi="Times New Roman"/>
                <w:sz w:val="16"/>
                <w:szCs w:val="16"/>
              </w:rPr>
              <w:t>без</w:t>
            </w:r>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розпорядження</w:t>
            </w:r>
            <w:proofErr w:type="spellEnd"/>
            <w:r w:rsidRPr="00E16672">
              <w:rPr>
                <w:rFonts w:ascii="Times New Roman" w:hAnsi="Times New Roman"/>
                <w:sz w:val="16"/>
                <w:szCs w:val="16"/>
                <w:lang w:val="en-US"/>
              </w:rPr>
              <w:t xml:space="preserve"> </w:t>
            </w:r>
            <w:r w:rsidRPr="00E16672">
              <w:rPr>
                <w:rFonts w:ascii="Times New Roman" w:hAnsi="Times New Roman"/>
                <w:sz w:val="16"/>
                <w:szCs w:val="16"/>
              </w:rPr>
              <w:t>Депонента</w:t>
            </w:r>
            <w:r w:rsidRPr="00E16672">
              <w:rPr>
                <w:rFonts w:ascii="Times New Roman" w:hAnsi="Times New Roman"/>
                <w:sz w:val="16"/>
                <w:szCs w:val="16"/>
                <w:lang w:val="en-US"/>
              </w:rPr>
              <w:t xml:space="preserve"> </w:t>
            </w:r>
            <w:r w:rsidRPr="00E16672">
              <w:rPr>
                <w:rFonts w:ascii="Times New Roman" w:hAnsi="Times New Roman"/>
                <w:sz w:val="16"/>
                <w:szCs w:val="16"/>
              </w:rPr>
              <w:t>про</w:t>
            </w:r>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закриття</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рахунку</w:t>
            </w:r>
            <w:proofErr w:type="spellEnd"/>
            <w:r w:rsidRPr="00E16672">
              <w:rPr>
                <w:rFonts w:ascii="Times New Roman" w:hAnsi="Times New Roman"/>
                <w:sz w:val="16"/>
                <w:szCs w:val="16"/>
                <w:lang w:val="en-US"/>
              </w:rPr>
              <w:t xml:space="preserve"> </w:t>
            </w:r>
            <w:r w:rsidRPr="00E16672">
              <w:rPr>
                <w:rFonts w:ascii="Times New Roman" w:hAnsi="Times New Roman"/>
                <w:sz w:val="16"/>
                <w:szCs w:val="16"/>
              </w:rPr>
              <w:t>в</w:t>
            </w:r>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цінних</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паперах</w:t>
            </w:r>
            <w:proofErr w:type="spellEnd"/>
            <w:r w:rsidRPr="00E16672">
              <w:rPr>
                <w:rFonts w:ascii="Times New Roman" w:hAnsi="Times New Roman"/>
                <w:sz w:val="16"/>
                <w:szCs w:val="16"/>
                <w:lang w:val="en-US"/>
              </w:rPr>
              <w:t xml:space="preserve"> </w:t>
            </w:r>
            <w:r w:rsidR="00D70B23" w:rsidRPr="00E16672">
              <w:rPr>
                <w:rFonts w:ascii="Times New Roman" w:hAnsi="Times New Roman"/>
                <w:sz w:val="16"/>
                <w:szCs w:val="20"/>
                <w:lang w:val="uk-UA"/>
              </w:rPr>
              <w:t>та</w:t>
            </w:r>
            <w:r w:rsidR="00D70B23" w:rsidRPr="00E16672">
              <w:rPr>
                <w:rFonts w:ascii="Times New Roman" w:hAnsi="Times New Roman"/>
                <w:szCs w:val="20"/>
                <w:lang w:val="uk-UA"/>
              </w:rPr>
              <w:t xml:space="preserve"> </w:t>
            </w:r>
            <w:r w:rsidR="00D70B23" w:rsidRPr="00E16672">
              <w:rPr>
                <w:rFonts w:ascii="Times New Roman" w:hAnsi="Times New Roman"/>
                <w:sz w:val="16"/>
                <w:szCs w:val="20"/>
                <w:lang w:val="uk-UA"/>
              </w:rPr>
              <w:t xml:space="preserve">розірвати Договір в </w:t>
            </w:r>
            <w:r w:rsidR="00D70B23" w:rsidRPr="00E16672">
              <w:rPr>
                <w:rFonts w:ascii="Times New Roman" w:hAnsi="Times New Roman"/>
                <w:sz w:val="16"/>
                <w:szCs w:val="16"/>
                <w:lang w:val="uk-UA"/>
              </w:rPr>
              <w:t xml:space="preserve">односторонньому порядку </w:t>
            </w:r>
            <w:r w:rsidRPr="00E16672">
              <w:rPr>
                <w:rFonts w:ascii="Times New Roman" w:hAnsi="Times New Roman"/>
                <w:sz w:val="16"/>
                <w:szCs w:val="16"/>
              </w:rPr>
              <w:t>у</w:t>
            </w:r>
            <w:r w:rsidRPr="00E16672">
              <w:rPr>
                <w:rFonts w:ascii="Times New Roman" w:hAnsi="Times New Roman"/>
                <w:sz w:val="16"/>
                <w:szCs w:val="16"/>
                <w:lang w:val="en-US"/>
              </w:rPr>
              <w:t xml:space="preserve"> </w:t>
            </w:r>
            <w:r w:rsidRPr="00E16672">
              <w:rPr>
                <w:rFonts w:ascii="Times New Roman" w:hAnsi="Times New Roman"/>
                <w:sz w:val="16"/>
                <w:szCs w:val="16"/>
              </w:rPr>
              <w:t>раз</w:t>
            </w:r>
            <w:proofErr w:type="spellStart"/>
            <w:r w:rsidRPr="00E16672">
              <w:rPr>
                <w:rFonts w:ascii="Times New Roman" w:hAnsi="Times New Roman"/>
                <w:sz w:val="16"/>
                <w:szCs w:val="16"/>
                <w:lang w:val="en-US"/>
              </w:rPr>
              <w:t>i</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припинення</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здійснення</w:t>
            </w:r>
            <w:proofErr w:type="spellEnd"/>
            <w:r w:rsidRPr="00E16672">
              <w:rPr>
                <w:rFonts w:ascii="Times New Roman" w:hAnsi="Times New Roman"/>
                <w:sz w:val="16"/>
                <w:szCs w:val="16"/>
                <w:lang w:val="en-US"/>
              </w:rPr>
              <w:t xml:space="preserve"> </w:t>
            </w:r>
            <w:r w:rsidRPr="00E16672">
              <w:rPr>
                <w:rFonts w:ascii="Times New Roman" w:hAnsi="Times New Roman"/>
                <w:sz w:val="16"/>
                <w:szCs w:val="16"/>
              </w:rPr>
              <w:t>Депозитарною</w:t>
            </w:r>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установою</w:t>
            </w:r>
            <w:proofErr w:type="spellEnd"/>
            <w:r w:rsidRPr="00E16672">
              <w:rPr>
                <w:rFonts w:ascii="Times New Roman" w:hAnsi="Times New Roman"/>
                <w:sz w:val="16"/>
                <w:szCs w:val="16"/>
                <w:lang w:val="en-US"/>
              </w:rPr>
              <w:t xml:space="preserve"> </w:t>
            </w:r>
            <w:r w:rsidR="00D70B23" w:rsidRPr="00E16672">
              <w:rPr>
                <w:rFonts w:ascii="Times New Roman" w:hAnsi="Times New Roman"/>
                <w:sz w:val="16"/>
                <w:szCs w:val="16"/>
                <w:lang w:val="uk-UA" w:eastAsia="uk-UA"/>
              </w:rPr>
              <w:t xml:space="preserve">діяльності депозитарної установи </w:t>
            </w:r>
            <w:r w:rsidR="00D70B23" w:rsidRPr="00E16672">
              <w:rPr>
                <w:rFonts w:ascii="Times New Roman" w:hAnsi="Times New Roman"/>
                <w:sz w:val="16"/>
                <w:szCs w:val="16"/>
                <w:lang w:val="uk-UA" w:eastAsia="uk-UA"/>
              </w:rPr>
              <w:lastRenderedPageBreak/>
              <w:t xml:space="preserve">відповідно до вимог нормативно-правового </w:t>
            </w:r>
            <w:proofErr w:type="spellStart"/>
            <w:r w:rsidR="00D70B23" w:rsidRPr="00E16672">
              <w:rPr>
                <w:rFonts w:ascii="Times New Roman" w:hAnsi="Times New Roman"/>
                <w:sz w:val="16"/>
                <w:szCs w:val="16"/>
                <w:lang w:val="uk-UA" w:eastAsia="uk-UA"/>
              </w:rPr>
              <w:t>акта</w:t>
            </w:r>
            <w:proofErr w:type="spellEnd"/>
            <w:r w:rsidR="00D70B23" w:rsidRPr="00E16672">
              <w:rPr>
                <w:rFonts w:ascii="Times New Roman" w:hAnsi="Times New Roman"/>
                <w:sz w:val="16"/>
                <w:szCs w:val="16"/>
                <w:lang w:val="uk-UA" w:eastAsia="uk-UA"/>
              </w:rPr>
              <w:t xml:space="preserve"> щодо припинення депозитарної діяльності депозитарної установи, у разі виконання безумовної операції списання цінних паперів у порядку спадкування (в тому числі на підставі рішення суду або документів виконавчого провадження), ліквідації юридичної особи, що підтверджується відомостями Єдиного державного реєстру юридичних осіб, фізичних осіб-підприємців та громадських формувань.</w:t>
            </w:r>
            <w:r w:rsidRPr="00E16672">
              <w:rPr>
                <w:rFonts w:ascii="Times New Roman" w:hAnsi="Times New Roman"/>
                <w:sz w:val="16"/>
                <w:szCs w:val="16"/>
                <w:lang w:val="en-US"/>
              </w:rPr>
              <w:t xml:space="preserve">, </w:t>
            </w:r>
            <w:r w:rsidRPr="00E16672">
              <w:rPr>
                <w:rFonts w:ascii="Times New Roman" w:hAnsi="Times New Roman"/>
                <w:sz w:val="16"/>
                <w:szCs w:val="16"/>
              </w:rPr>
              <w:t>а</w:t>
            </w:r>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також</w:t>
            </w:r>
            <w:proofErr w:type="spellEnd"/>
            <w:r w:rsidRPr="00E16672">
              <w:rPr>
                <w:rFonts w:ascii="Times New Roman" w:hAnsi="Times New Roman"/>
                <w:sz w:val="16"/>
                <w:szCs w:val="16"/>
                <w:lang w:val="en-US"/>
              </w:rPr>
              <w:t xml:space="preserve"> </w:t>
            </w:r>
            <w:r w:rsidRPr="00E16672">
              <w:rPr>
                <w:rFonts w:ascii="Times New Roman" w:hAnsi="Times New Roman"/>
                <w:sz w:val="16"/>
                <w:szCs w:val="16"/>
              </w:rPr>
              <w:t>у</w:t>
            </w:r>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разі</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розірвання</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цього</w:t>
            </w:r>
            <w:proofErr w:type="spellEnd"/>
            <w:r w:rsidRPr="00E16672">
              <w:rPr>
                <w:rFonts w:ascii="Times New Roman" w:hAnsi="Times New Roman"/>
                <w:sz w:val="16"/>
                <w:szCs w:val="16"/>
                <w:lang w:val="en-US"/>
              </w:rPr>
              <w:t xml:space="preserve"> </w:t>
            </w:r>
            <w:r w:rsidRPr="00E16672">
              <w:rPr>
                <w:rFonts w:ascii="Times New Roman" w:hAnsi="Times New Roman"/>
                <w:sz w:val="16"/>
                <w:szCs w:val="16"/>
              </w:rPr>
              <w:t>Договору</w:t>
            </w:r>
            <w:r w:rsidRPr="00E16672">
              <w:rPr>
                <w:rFonts w:ascii="Times New Roman" w:hAnsi="Times New Roman"/>
                <w:sz w:val="16"/>
                <w:szCs w:val="16"/>
                <w:lang w:val="en-US"/>
              </w:rPr>
              <w:t>.</w:t>
            </w:r>
          </w:p>
          <w:p w14:paraId="237485FA" w14:textId="77777777" w:rsidR="00E51F85" w:rsidRPr="00E16672" w:rsidRDefault="00E51F85" w:rsidP="00547A75">
            <w:pPr>
              <w:pStyle w:val="210"/>
              <w:snapToGrid w:val="0"/>
              <w:ind w:left="175" w:right="138" w:firstLine="7"/>
              <w:rPr>
                <w:rFonts w:ascii="Times New Roman" w:hAnsi="Times New Roman"/>
                <w:sz w:val="16"/>
                <w:szCs w:val="16"/>
              </w:rPr>
            </w:pPr>
          </w:p>
        </w:tc>
        <w:tc>
          <w:tcPr>
            <w:tcW w:w="5494" w:type="dxa"/>
            <w:gridSpan w:val="7"/>
            <w:shd w:val="clear" w:color="auto" w:fill="auto"/>
          </w:tcPr>
          <w:p w14:paraId="484499CB" w14:textId="77777777" w:rsidR="00E51F85" w:rsidRPr="00E16672" w:rsidRDefault="00E51F85" w:rsidP="00547A75">
            <w:pPr>
              <w:pStyle w:val="210"/>
              <w:snapToGrid w:val="0"/>
              <w:ind w:left="175" w:right="138" w:firstLine="7"/>
              <w:rPr>
                <w:rFonts w:ascii="Times New Roman" w:hAnsi="Times New Roman"/>
                <w:color w:val="000000"/>
                <w:sz w:val="16"/>
                <w:szCs w:val="16"/>
              </w:rPr>
            </w:pPr>
            <w:r w:rsidRPr="00E16672">
              <w:rPr>
                <w:rFonts w:ascii="Times New Roman" w:hAnsi="Times New Roman"/>
                <w:sz w:val="16"/>
                <w:szCs w:val="16"/>
              </w:rPr>
              <w:lastRenderedPageBreak/>
              <w:t xml:space="preserve">2.2.7. </w:t>
            </w:r>
            <w:proofErr w:type="spellStart"/>
            <w:r w:rsidRPr="00E16672">
              <w:rPr>
                <w:rFonts w:ascii="Times New Roman" w:hAnsi="Times New Roman"/>
                <w:sz w:val="16"/>
                <w:szCs w:val="16"/>
              </w:rPr>
              <w:t>To</w:t>
            </w:r>
            <w:proofErr w:type="spellEnd"/>
            <w:r w:rsidRPr="00E16672">
              <w:rPr>
                <w:rFonts w:ascii="Times New Roman" w:hAnsi="Times New Roman"/>
                <w:sz w:val="16"/>
                <w:szCs w:val="16"/>
              </w:rPr>
              <w:t xml:space="preserve"> </w:t>
            </w:r>
            <w:proofErr w:type="spellStart"/>
            <w:r w:rsidRPr="00E16672">
              <w:rPr>
                <w:rFonts w:ascii="Times New Roman" w:hAnsi="Times New Roman"/>
                <w:color w:val="000000"/>
                <w:sz w:val="16"/>
                <w:szCs w:val="16"/>
              </w:rPr>
              <w:t>close</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an</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account</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in</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securities</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of</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the</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Depositor</w:t>
            </w:r>
            <w:proofErr w:type="spellEnd"/>
            <w:r w:rsidRPr="00E16672">
              <w:rPr>
                <w:rFonts w:ascii="Times New Roman" w:hAnsi="Times New Roman"/>
                <w:color w:val="000000"/>
                <w:sz w:val="16"/>
                <w:szCs w:val="16"/>
              </w:rPr>
              <w:t xml:space="preserve"> </w:t>
            </w:r>
            <w:proofErr w:type="spellStart"/>
            <w:r w:rsidR="00D70B23" w:rsidRPr="00E16672">
              <w:rPr>
                <w:rStyle w:val="shorttext"/>
                <w:rFonts w:ascii="Times New Roman" w:hAnsi="Times New Roman"/>
                <w:sz w:val="16"/>
              </w:rPr>
              <w:t>with</w:t>
            </w:r>
            <w:proofErr w:type="spellEnd"/>
            <w:r w:rsidR="00D70B23" w:rsidRPr="00E16672">
              <w:rPr>
                <w:rStyle w:val="shorttext"/>
                <w:rFonts w:ascii="Times New Roman" w:hAnsi="Times New Roman"/>
                <w:sz w:val="16"/>
              </w:rPr>
              <w:t xml:space="preserve"> </w:t>
            </w:r>
            <w:proofErr w:type="spellStart"/>
            <w:r w:rsidR="00D70B23" w:rsidRPr="00E16672">
              <w:rPr>
                <w:rStyle w:val="shorttext"/>
                <w:rFonts w:ascii="Times New Roman" w:hAnsi="Times New Roman"/>
                <w:sz w:val="16"/>
              </w:rPr>
              <w:t>no</w:t>
            </w:r>
            <w:proofErr w:type="spellEnd"/>
            <w:r w:rsidR="00D70B23" w:rsidRPr="00E16672">
              <w:rPr>
                <w:rStyle w:val="shorttext"/>
                <w:rFonts w:ascii="Times New Roman" w:hAnsi="Times New Roman"/>
              </w:rPr>
              <w:t xml:space="preserve"> </w:t>
            </w:r>
            <w:r w:rsidRPr="00E16672">
              <w:rPr>
                <w:rFonts w:ascii="Times New Roman" w:hAnsi="Times New Roman"/>
                <w:color w:val="000000"/>
                <w:sz w:val="16"/>
                <w:szCs w:val="16"/>
                <w:lang w:val="en-US"/>
              </w:rPr>
              <w:t xml:space="preserve">rights on </w:t>
            </w:r>
            <w:proofErr w:type="spellStart"/>
            <w:r w:rsidRPr="00E16672">
              <w:rPr>
                <w:rFonts w:ascii="Times New Roman" w:hAnsi="Times New Roman"/>
                <w:color w:val="000000"/>
                <w:sz w:val="16"/>
                <w:szCs w:val="16"/>
              </w:rPr>
              <w:t>securities</w:t>
            </w:r>
            <w:proofErr w:type="spellEnd"/>
            <w:r w:rsidRPr="00E16672">
              <w:rPr>
                <w:rFonts w:ascii="Times New Roman" w:hAnsi="Times New Roman"/>
                <w:color w:val="000000"/>
                <w:sz w:val="16"/>
                <w:szCs w:val="16"/>
                <w:lang w:val="en-US"/>
              </w:rPr>
              <w:t xml:space="preserve">, </w:t>
            </w:r>
            <w:r w:rsidRPr="00E16672">
              <w:rPr>
                <w:rFonts w:ascii="Times New Roman" w:hAnsi="Times New Roman"/>
                <w:color w:val="000000"/>
                <w:sz w:val="16"/>
                <w:szCs w:val="16"/>
              </w:rPr>
              <w:t xml:space="preserve"> </w:t>
            </w:r>
            <w:proofErr w:type="spellStart"/>
            <w:r w:rsidR="009F0B83" w:rsidRPr="00E16672">
              <w:rPr>
                <w:rFonts w:ascii="Times New Roman" w:hAnsi="Times New Roman"/>
                <w:color w:val="000000"/>
                <w:sz w:val="16"/>
                <w:szCs w:val="16"/>
              </w:rPr>
              <w:t>with</w:t>
            </w:r>
            <w:proofErr w:type="spellEnd"/>
            <w:r w:rsidR="009F0B83" w:rsidRPr="00E16672">
              <w:rPr>
                <w:rFonts w:ascii="Times New Roman" w:hAnsi="Times New Roman"/>
                <w:color w:val="000000"/>
                <w:sz w:val="16"/>
                <w:szCs w:val="16"/>
                <w:lang w:val="en-US"/>
              </w:rPr>
              <w:t>out</w:t>
            </w:r>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order</w:t>
            </w:r>
            <w:proofErr w:type="spellEnd"/>
            <w:r w:rsidRPr="00E16672">
              <w:rPr>
                <w:rFonts w:ascii="Times New Roman" w:hAnsi="Times New Roman"/>
                <w:color w:val="000000"/>
                <w:sz w:val="16"/>
                <w:szCs w:val="16"/>
              </w:rPr>
              <w:t xml:space="preserve"> </w:t>
            </w:r>
            <w:r w:rsidRPr="00E16672">
              <w:rPr>
                <w:rFonts w:ascii="Times New Roman" w:hAnsi="Times New Roman"/>
                <w:color w:val="000000"/>
                <w:sz w:val="16"/>
                <w:szCs w:val="16"/>
                <w:lang w:val="en-US"/>
              </w:rPr>
              <w:t xml:space="preserve"> of Depositor </w:t>
            </w:r>
            <w:proofErr w:type="spellStart"/>
            <w:r w:rsidRPr="00E16672">
              <w:rPr>
                <w:rFonts w:ascii="Times New Roman" w:hAnsi="Times New Roman"/>
                <w:color w:val="000000"/>
                <w:sz w:val="16"/>
                <w:szCs w:val="16"/>
              </w:rPr>
              <w:t>to</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close</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the</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Depositor's</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securities</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account</w:t>
            </w:r>
            <w:proofErr w:type="spellEnd"/>
            <w:r w:rsidRPr="00E16672">
              <w:rPr>
                <w:rFonts w:ascii="Times New Roman" w:hAnsi="Times New Roman"/>
                <w:color w:val="000000"/>
                <w:sz w:val="16"/>
                <w:szCs w:val="16"/>
              </w:rPr>
              <w:t xml:space="preserve"> </w:t>
            </w:r>
            <w:proofErr w:type="spellStart"/>
            <w:r w:rsidR="002A0D0B" w:rsidRPr="00E16672">
              <w:rPr>
                <w:rStyle w:val="shorttext"/>
                <w:rFonts w:ascii="Times New Roman" w:hAnsi="Times New Roman"/>
                <w:sz w:val="16"/>
              </w:rPr>
              <w:t>and</w:t>
            </w:r>
            <w:proofErr w:type="spellEnd"/>
            <w:r w:rsidR="002A0D0B" w:rsidRPr="00E16672">
              <w:rPr>
                <w:rStyle w:val="shorttext"/>
                <w:rFonts w:ascii="Times New Roman" w:hAnsi="Times New Roman"/>
                <w:sz w:val="16"/>
              </w:rPr>
              <w:t xml:space="preserve"> </w:t>
            </w:r>
            <w:proofErr w:type="spellStart"/>
            <w:r w:rsidR="002A0D0B" w:rsidRPr="00E16672">
              <w:rPr>
                <w:rStyle w:val="shorttext"/>
                <w:rFonts w:ascii="Times New Roman" w:hAnsi="Times New Roman"/>
                <w:sz w:val="16"/>
              </w:rPr>
              <w:t>to</w:t>
            </w:r>
            <w:proofErr w:type="spellEnd"/>
            <w:r w:rsidR="002A0D0B" w:rsidRPr="00E16672">
              <w:rPr>
                <w:rStyle w:val="shorttext"/>
                <w:rFonts w:ascii="Times New Roman" w:hAnsi="Times New Roman"/>
                <w:sz w:val="16"/>
              </w:rPr>
              <w:t xml:space="preserve"> </w:t>
            </w:r>
            <w:proofErr w:type="spellStart"/>
            <w:r w:rsidR="002A0D0B" w:rsidRPr="00E16672">
              <w:rPr>
                <w:rStyle w:val="shorttext"/>
                <w:rFonts w:ascii="Times New Roman" w:hAnsi="Times New Roman"/>
                <w:sz w:val="16"/>
              </w:rPr>
              <w:t>terminate</w:t>
            </w:r>
            <w:proofErr w:type="spellEnd"/>
            <w:r w:rsidR="002A0D0B" w:rsidRPr="00E16672">
              <w:rPr>
                <w:rStyle w:val="shorttext"/>
                <w:rFonts w:ascii="Times New Roman" w:hAnsi="Times New Roman"/>
                <w:sz w:val="16"/>
              </w:rPr>
              <w:t xml:space="preserve"> </w:t>
            </w:r>
            <w:proofErr w:type="spellStart"/>
            <w:r w:rsidR="002A0D0B" w:rsidRPr="00E16672">
              <w:rPr>
                <w:rStyle w:val="shorttext"/>
                <w:rFonts w:ascii="Times New Roman" w:hAnsi="Times New Roman"/>
                <w:sz w:val="16"/>
              </w:rPr>
              <w:t>the</w:t>
            </w:r>
            <w:proofErr w:type="spellEnd"/>
            <w:r w:rsidR="002A0D0B" w:rsidRPr="00E16672">
              <w:rPr>
                <w:rStyle w:val="shorttext"/>
                <w:rFonts w:ascii="Times New Roman" w:hAnsi="Times New Roman"/>
                <w:sz w:val="16"/>
              </w:rPr>
              <w:t xml:space="preserve"> </w:t>
            </w:r>
            <w:proofErr w:type="spellStart"/>
            <w:r w:rsidR="002A0D0B" w:rsidRPr="00E16672">
              <w:rPr>
                <w:rStyle w:val="shorttext"/>
                <w:rFonts w:ascii="Times New Roman" w:hAnsi="Times New Roman"/>
                <w:sz w:val="16"/>
              </w:rPr>
              <w:t>Agreement</w:t>
            </w:r>
            <w:proofErr w:type="spellEnd"/>
            <w:r w:rsidR="002A0D0B" w:rsidRPr="00E16672">
              <w:rPr>
                <w:rStyle w:val="shorttext"/>
                <w:rFonts w:ascii="Times New Roman" w:hAnsi="Times New Roman"/>
                <w:sz w:val="16"/>
              </w:rPr>
              <w:t xml:space="preserve"> </w:t>
            </w:r>
            <w:proofErr w:type="spellStart"/>
            <w:r w:rsidR="002A0D0B" w:rsidRPr="00E16672">
              <w:rPr>
                <w:rStyle w:val="shorttext"/>
                <w:rFonts w:ascii="Times New Roman" w:hAnsi="Times New Roman"/>
                <w:sz w:val="16"/>
              </w:rPr>
              <w:t>unilaterally</w:t>
            </w:r>
            <w:proofErr w:type="spellEnd"/>
            <w:r w:rsidR="002A0D0B" w:rsidRPr="00E16672">
              <w:rPr>
                <w:rFonts w:ascii="Times New Roman" w:hAnsi="Times New Roman"/>
                <w:color w:val="000000"/>
                <w:sz w:val="10"/>
                <w:szCs w:val="16"/>
              </w:rPr>
              <w:t xml:space="preserve"> </w:t>
            </w:r>
            <w:proofErr w:type="spellStart"/>
            <w:r w:rsidRPr="00E16672">
              <w:rPr>
                <w:rFonts w:ascii="Times New Roman" w:hAnsi="Times New Roman"/>
                <w:color w:val="000000"/>
                <w:sz w:val="16"/>
                <w:szCs w:val="16"/>
              </w:rPr>
              <w:t>in</w:t>
            </w:r>
            <w:proofErr w:type="spellEnd"/>
            <w:r w:rsidRPr="00E16672">
              <w:rPr>
                <w:rFonts w:ascii="Times New Roman" w:hAnsi="Times New Roman"/>
                <w:color w:val="000000"/>
                <w:sz w:val="16"/>
                <w:szCs w:val="16"/>
              </w:rPr>
              <w:t xml:space="preserve"> </w:t>
            </w:r>
            <w:r w:rsidR="002A0D0B" w:rsidRPr="00E16672">
              <w:rPr>
                <w:rFonts w:ascii="Times New Roman" w:hAnsi="Times New Roman"/>
                <w:color w:val="000000"/>
                <w:sz w:val="16"/>
                <w:szCs w:val="16"/>
                <w:lang w:val="en-US"/>
              </w:rPr>
              <w:t>case</w:t>
            </w:r>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of</w:t>
            </w:r>
            <w:proofErr w:type="spellEnd"/>
            <w:r w:rsidRPr="00E16672">
              <w:rPr>
                <w:rFonts w:ascii="Times New Roman" w:hAnsi="Times New Roman"/>
                <w:color w:val="000000"/>
                <w:sz w:val="16"/>
                <w:szCs w:val="16"/>
              </w:rPr>
              <w:t xml:space="preserve"> </w:t>
            </w:r>
            <w:r w:rsidRPr="00E16672">
              <w:rPr>
                <w:rFonts w:ascii="Times New Roman" w:hAnsi="Times New Roman"/>
                <w:color w:val="000000"/>
                <w:sz w:val="16"/>
                <w:szCs w:val="16"/>
                <w:lang w:val="en-US"/>
              </w:rPr>
              <w:t>stopped</w:t>
            </w:r>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of</w:t>
            </w:r>
            <w:proofErr w:type="spellEnd"/>
            <w:r w:rsidRPr="00E16672">
              <w:rPr>
                <w:rFonts w:ascii="Times New Roman" w:hAnsi="Times New Roman"/>
                <w:color w:val="000000"/>
                <w:sz w:val="16"/>
                <w:szCs w:val="16"/>
              </w:rPr>
              <w:t xml:space="preserve"> </w:t>
            </w:r>
            <w:r w:rsidRPr="00E16672">
              <w:rPr>
                <w:rFonts w:ascii="Times New Roman" w:hAnsi="Times New Roman"/>
                <w:color w:val="000000"/>
                <w:sz w:val="16"/>
                <w:szCs w:val="16"/>
                <w:lang w:val="en-US"/>
              </w:rPr>
              <w:t>D</w:t>
            </w:r>
            <w:proofErr w:type="spellStart"/>
            <w:r w:rsidRPr="00E16672">
              <w:rPr>
                <w:rFonts w:ascii="Times New Roman" w:hAnsi="Times New Roman"/>
                <w:color w:val="000000"/>
                <w:sz w:val="16"/>
                <w:szCs w:val="16"/>
              </w:rPr>
              <w:t>epository</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institution</w:t>
            </w:r>
            <w:proofErr w:type="spellEnd"/>
            <w:r w:rsidRPr="00E16672">
              <w:rPr>
                <w:rFonts w:ascii="Times New Roman" w:hAnsi="Times New Roman"/>
                <w:color w:val="000000"/>
                <w:sz w:val="16"/>
                <w:szCs w:val="16"/>
              </w:rPr>
              <w:t xml:space="preserve"> </w:t>
            </w:r>
            <w:proofErr w:type="spellStart"/>
            <w:r w:rsidR="002A0D0B" w:rsidRPr="00E16672">
              <w:rPr>
                <w:rFonts w:ascii="Times New Roman" w:hAnsi="Times New Roman"/>
                <w:sz w:val="16"/>
                <w:szCs w:val="16"/>
              </w:rPr>
              <w:t>activity</w:t>
            </w:r>
            <w:proofErr w:type="spellEnd"/>
            <w:r w:rsidR="002A0D0B" w:rsidRPr="00E16672">
              <w:rPr>
                <w:rFonts w:ascii="Times New Roman" w:hAnsi="Times New Roman"/>
                <w:sz w:val="16"/>
                <w:szCs w:val="16"/>
              </w:rPr>
              <w:t xml:space="preserve"> </w:t>
            </w:r>
            <w:proofErr w:type="spellStart"/>
            <w:r w:rsidR="002A0D0B" w:rsidRPr="00E16672">
              <w:rPr>
                <w:rFonts w:ascii="Times New Roman" w:hAnsi="Times New Roman"/>
                <w:sz w:val="16"/>
                <w:szCs w:val="16"/>
              </w:rPr>
              <w:t>in</w:t>
            </w:r>
            <w:proofErr w:type="spellEnd"/>
            <w:r w:rsidR="002A0D0B" w:rsidRPr="00E16672">
              <w:rPr>
                <w:rFonts w:ascii="Times New Roman" w:hAnsi="Times New Roman"/>
                <w:sz w:val="16"/>
                <w:szCs w:val="16"/>
              </w:rPr>
              <w:t xml:space="preserve"> </w:t>
            </w:r>
            <w:proofErr w:type="spellStart"/>
            <w:r w:rsidR="002A0D0B" w:rsidRPr="00E16672">
              <w:rPr>
                <w:rFonts w:ascii="Times New Roman" w:hAnsi="Times New Roman"/>
                <w:sz w:val="16"/>
                <w:szCs w:val="16"/>
              </w:rPr>
              <w:t>accordance</w:t>
            </w:r>
            <w:proofErr w:type="spellEnd"/>
            <w:r w:rsidR="002A0D0B" w:rsidRPr="00E16672">
              <w:rPr>
                <w:rFonts w:ascii="Times New Roman" w:hAnsi="Times New Roman"/>
                <w:sz w:val="16"/>
                <w:szCs w:val="16"/>
              </w:rPr>
              <w:t xml:space="preserve"> </w:t>
            </w:r>
            <w:proofErr w:type="spellStart"/>
            <w:r w:rsidR="002A0D0B" w:rsidRPr="00E16672">
              <w:rPr>
                <w:rFonts w:ascii="Times New Roman" w:hAnsi="Times New Roman"/>
                <w:sz w:val="16"/>
                <w:szCs w:val="16"/>
              </w:rPr>
              <w:t>with</w:t>
            </w:r>
            <w:proofErr w:type="spellEnd"/>
            <w:r w:rsidR="002A0D0B" w:rsidRPr="00E16672">
              <w:rPr>
                <w:rFonts w:ascii="Times New Roman" w:hAnsi="Times New Roman"/>
                <w:sz w:val="16"/>
                <w:szCs w:val="16"/>
              </w:rPr>
              <w:t xml:space="preserve"> </w:t>
            </w:r>
            <w:proofErr w:type="spellStart"/>
            <w:r w:rsidR="002A0D0B" w:rsidRPr="00E16672">
              <w:rPr>
                <w:rFonts w:ascii="Times New Roman" w:hAnsi="Times New Roman"/>
                <w:sz w:val="16"/>
                <w:szCs w:val="16"/>
              </w:rPr>
              <w:t>the</w:t>
            </w:r>
            <w:proofErr w:type="spellEnd"/>
            <w:r w:rsidR="002A0D0B" w:rsidRPr="00E16672">
              <w:rPr>
                <w:rFonts w:ascii="Times New Roman" w:hAnsi="Times New Roman"/>
                <w:sz w:val="16"/>
                <w:szCs w:val="16"/>
              </w:rPr>
              <w:t xml:space="preserve"> </w:t>
            </w:r>
            <w:proofErr w:type="spellStart"/>
            <w:r w:rsidR="002A0D0B" w:rsidRPr="00E16672">
              <w:rPr>
                <w:rFonts w:ascii="Times New Roman" w:hAnsi="Times New Roman"/>
                <w:sz w:val="16"/>
                <w:szCs w:val="16"/>
              </w:rPr>
              <w:t>requirements</w:t>
            </w:r>
            <w:proofErr w:type="spellEnd"/>
            <w:r w:rsidR="002A0D0B" w:rsidRPr="00E16672">
              <w:rPr>
                <w:rFonts w:ascii="Times New Roman" w:hAnsi="Times New Roman"/>
                <w:sz w:val="16"/>
                <w:szCs w:val="16"/>
              </w:rPr>
              <w:t xml:space="preserve"> </w:t>
            </w:r>
            <w:proofErr w:type="spellStart"/>
            <w:r w:rsidR="002A0D0B" w:rsidRPr="00E16672">
              <w:rPr>
                <w:rFonts w:ascii="Times New Roman" w:hAnsi="Times New Roman"/>
                <w:sz w:val="16"/>
                <w:szCs w:val="16"/>
              </w:rPr>
              <w:t>of</w:t>
            </w:r>
            <w:proofErr w:type="spellEnd"/>
            <w:r w:rsidR="002A0D0B" w:rsidRPr="00E16672">
              <w:rPr>
                <w:rFonts w:ascii="Times New Roman" w:hAnsi="Times New Roman"/>
                <w:sz w:val="16"/>
                <w:szCs w:val="16"/>
              </w:rPr>
              <w:t xml:space="preserve"> </w:t>
            </w:r>
            <w:proofErr w:type="spellStart"/>
            <w:r w:rsidR="002A0D0B" w:rsidRPr="00E16672">
              <w:rPr>
                <w:rFonts w:ascii="Times New Roman" w:hAnsi="Times New Roman"/>
                <w:sz w:val="16"/>
                <w:szCs w:val="16"/>
              </w:rPr>
              <w:t>the</w:t>
            </w:r>
            <w:proofErr w:type="spellEnd"/>
            <w:r w:rsidR="002A0D0B" w:rsidRPr="00E16672">
              <w:rPr>
                <w:rFonts w:ascii="Times New Roman" w:hAnsi="Times New Roman"/>
                <w:sz w:val="16"/>
                <w:szCs w:val="16"/>
              </w:rPr>
              <w:t xml:space="preserve"> </w:t>
            </w:r>
            <w:proofErr w:type="spellStart"/>
            <w:r w:rsidR="002A0D0B" w:rsidRPr="00E16672">
              <w:rPr>
                <w:rFonts w:ascii="Times New Roman" w:hAnsi="Times New Roman"/>
                <w:sz w:val="16"/>
                <w:szCs w:val="16"/>
              </w:rPr>
              <w:lastRenderedPageBreak/>
              <w:t>regulatory</w:t>
            </w:r>
            <w:proofErr w:type="spellEnd"/>
            <w:r w:rsidR="002A0D0B" w:rsidRPr="00E16672">
              <w:rPr>
                <w:rFonts w:ascii="Times New Roman" w:hAnsi="Times New Roman"/>
                <w:sz w:val="16"/>
                <w:szCs w:val="16"/>
              </w:rPr>
              <w:t xml:space="preserve"> </w:t>
            </w:r>
            <w:proofErr w:type="spellStart"/>
            <w:r w:rsidR="002A0D0B" w:rsidRPr="00E16672">
              <w:rPr>
                <w:rFonts w:ascii="Times New Roman" w:hAnsi="Times New Roman"/>
                <w:sz w:val="16"/>
                <w:szCs w:val="16"/>
              </w:rPr>
              <w:t>act</w:t>
            </w:r>
            <w:proofErr w:type="spellEnd"/>
            <w:r w:rsidR="002A0D0B" w:rsidRPr="00E16672">
              <w:rPr>
                <w:rFonts w:ascii="Times New Roman" w:hAnsi="Times New Roman"/>
                <w:sz w:val="16"/>
                <w:szCs w:val="16"/>
              </w:rPr>
              <w:t xml:space="preserve"> </w:t>
            </w:r>
            <w:proofErr w:type="spellStart"/>
            <w:r w:rsidR="002A0D0B" w:rsidRPr="00E16672">
              <w:rPr>
                <w:rFonts w:ascii="Times New Roman" w:hAnsi="Times New Roman"/>
                <w:sz w:val="16"/>
                <w:szCs w:val="16"/>
              </w:rPr>
              <w:t>on</w:t>
            </w:r>
            <w:proofErr w:type="spellEnd"/>
            <w:r w:rsidR="002A0D0B" w:rsidRPr="00E16672">
              <w:rPr>
                <w:rFonts w:ascii="Times New Roman" w:hAnsi="Times New Roman"/>
                <w:sz w:val="16"/>
                <w:szCs w:val="16"/>
              </w:rPr>
              <w:t xml:space="preserve"> </w:t>
            </w:r>
            <w:proofErr w:type="spellStart"/>
            <w:r w:rsidR="002A0D0B" w:rsidRPr="00E16672">
              <w:rPr>
                <w:rFonts w:ascii="Times New Roman" w:hAnsi="Times New Roman"/>
                <w:sz w:val="16"/>
                <w:szCs w:val="16"/>
              </w:rPr>
              <w:t>the</w:t>
            </w:r>
            <w:proofErr w:type="spellEnd"/>
            <w:r w:rsidR="002A0D0B" w:rsidRPr="00E16672">
              <w:rPr>
                <w:rFonts w:ascii="Times New Roman" w:hAnsi="Times New Roman"/>
                <w:sz w:val="16"/>
                <w:szCs w:val="16"/>
              </w:rPr>
              <w:t xml:space="preserve"> </w:t>
            </w:r>
            <w:proofErr w:type="spellStart"/>
            <w:r w:rsidR="002A0D0B" w:rsidRPr="00E16672">
              <w:rPr>
                <w:rFonts w:ascii="Times New Roman" w:hAnsi="Times New Roman"/>
                <w:sz w:val="16"/>
                <w:szCs w:val="16"/>
              </w:rPr>
              <w:t>cessation</w:t>
            </w:r>
            <w:proofErr w:type="spellEnd"/>
            <w:r w:rsidR="002A0D0B" w:rsidRPr="00E16672">
              <w:rPr>
                <w:rFonts w:ascii="Times New Roman" w:hAnsi="Times New Roman"/>
                <w:sz w:val="16"/>
                <w:szCs w:val="16"/>
              </w:rPr>
              <w:t xml:space="preserve"> </w:t>
            </w:r>
            <w:proofErr w:type="spellStart"/>
            <w:r w:rsidR="002A0D0B" w:rsidRPr="00E16672">
              <w:rPr>
                <w:rFonts w:ascii="Times New Roman" w:hAnsi="Times New Roman"/>
                <w:sz w:val="16"/>
                <w:szCs w:val="16"/>
              </w:rPr>
              <w:t>of</w:t>
            </w:r>
            <w:proofErr w:type="spellEnd"/>
            <w:r w:rsidR="002A0D0B" w:rsidRPr="00E16672">
              <w:rPr>
                <w:rFonts w:ascii="Times New Roman" w:hAnsi="Times New Roman"/>
                <w:sz w:val="16"/>
                <w:szCs w:val="16"/>
              </w:rPr>
              <w:t xml:space="preserve"> </w:t>
            </w:r>
            <w:proofErr w:type="spellStart"/>
            <w:r w:rsidR="002A0D0B" w:rsidRPr="00E16672">
              <w:rPr>
                <w:rFonts w:ascii="Times New Roman" w:hAnsi="Times New Roman"/>
                <w:sz w:val="16"/>
                <w:szCs w:val="16"/>
              </w:rPr>
              <w:t>the</w:t>
            </w:r>
            <w:proofErr w:type="spellEnd"/>
            <w:r w:rsidR="002A0D0B" w:rsidRPr="00E16672">
              <w:rPr>
                <w:rFonts w:ascii="Times New Roman" w:hAnsi="Times New Roman"/>
                <w:sz w:val="16"/>
                <w:szCs w:val="16"/>
              </w:rPr>
              <w:t xml:space="preserve"> </w:t>
            </w:r>
            <w:proofErr w:type="spellStart"/>
            <w:r w:rsidR="002A0D0B" w:rsidRPr="00E16672">
              <w:rPr>
                <w:rFonts w:ascii="Times New Roman" w:hAnsi="Times New Roman"/>
                <w:sz w:val="16"/>
                <w:szCs w:val="16"/>
              </w:rPr>
              <w:t>depositary</w:t>
            </w:r>
            <w:proofErr w:type="spellEnd"/>
            <w:r w:rsidR="002A0D0B" w:rsidRPr="00E16672">
              <w:rPr>
                <w:rFonts w:ascii="Times New Roman" w:hAnsi="Times New Roman"/>
                <w:sz w:val="16"/>
                <w:szCs w:val="16"/>
              </w:rPr>
              <w:t xml:space="preserve"> </w:t>
            </w:r>
            <w:proofErr w:type="spellStart"/>
            <w:r w:rsidR="002A0D0B" w:rsidRPr="00E16672">
              <w:rPr>
                <w:rFonts w:ascii="Times New Roman" w:hAnsi="Times New Roman"/>
                <w:sz w:val="16"/>
                <w:szCs w:val="16"/>
              </w:rPr>
              <w:t>activity</w:t>
            </w:r>
            <w:proofErr w:type="spellEnd"/>
            <w:r w:rsidR="002A0D0B" w:rsidRPr="00E16672">
              <w:rPr>
                <w:rFonts w:ascii="Times New Roman" w:hAnsi="Times New Roman"/>
                <w:sz w:val="16"/>
                <w:szCs w:val="16"/>
              </w:rPr>
              <w:t xml:space="preserve"> </w:t>
            </w:r>
            <w:proofErr w:type="spellStart"/>
            <w:r w:rsidR="002A0D0B" w:rsidRPr="00E16672">
              <w:rPr>
                <w:rFonts w:ascii="Times New Roman" w:hAnsi="Times New Roman"/>
                <w:sz w:val="16"/>
                <w:szCs w:val="16"/>
              </w:rPr>
              <w:t>of</w:t>
            </w:r>
            <w:proofErr w:type="spellEnd"/>
            <w:r w:rsidR="002A0D0B" w:rsidRPr="00E16672">
              <w:rPr>
                <w:rFonts w:ascii="Times New Roman" w:hAnsi="Times New Roman"/>
                <w:sz w:val="16"/>
                <w:szCs w:val="16"/>
              </w:rPr>
              <w:t xml:space="preserve"> </w:t>
            </w:r>
            <w:proofErr w:type="spellStart"/>
            <w:r w:rsidR="002A0D0B" w:rsidRPr="00E16672">
              <w:rPr>
                <w:rFonts w:ascii="Times New Roman" w:hAnsi="Times New Roman"/>
                <w:sz w:val="16"/>
                <w:szCs w:val="16"/>
              </w:rPr>
              <w:t>the</w:t>
            </w:r>
            <w:proofErr w:type="spellEnd"/>
            <w:r w:rsidR="002A0D0B" w:rsidRPr="00E16672">
              <w:rPr>
                <w:rFonts w:ascii="Times New Roman" w:hAnsi="Times New Roman"/>
                <w:sz w:val="16"/>
                <w:szCs w:val="16"/>
              </w:rPr>
              <w:t xml:space="preserve"> </w:t>
            </w:r>
            <w:proofErr w:type="spellStart"/>
            <w:r w:rsidR="002A0D0B" w:rsidRPr="00E16672">
              <w:rPr>
                <w:rFonts w:ascii="Times New Roman" w:hAnsi="Times New Roman"/>
                <w:sz w:val="16"/>
                <w:szCs w:val="16"/>
              </w:rPr>
              <w:t>depositary</w:t>
            </w:r>
            <w:proofErr w:type="spellEnd"/>
            <w:r w:rsidR="002A0D0B" w:rsidRPr="00E16672">
              <w:rPr>
                <w:rFonts w:ascii="Times New Roman" w:hAnsi="Times New Roman"/>
                <w:sz w:val="16"/>
                <w:szCs w:val="16"/>
              </w:rPr>
              <w:t xml:space="preserve"> </w:t>
            </w:r>
            <w:proofErr w:type="spellStart"/>
            <w:r w:rsidR="002A0D0B" w:rsidRPr="00E16672">
              <w:rPr>
                <w:rFonts w:ascii="Times New Roman" w:hAnsi="Times New Roman"/>
                <w:sz w:val="16"/>
                <w:szCs w:val="16"/>
              </w:rPr>
              <w:t>institution</w:t>
            </w:r>
            <w:proofErr w:type="spellEnd"/>
            <w:r w:rsidR="002A0D0B" w:rsidRPr="00E16672">
              <w:rPr>
                <w:rFonts w:ascii="Times New Roman" w:hAnsi="Times New Roman"/>
                <w:sz w:val="16"/>
                <w:szCs w:val="16"/>
              </w:rPr>
              <w:t xml:space="preserve">, </w:t>
            </w:r>
            <w:proofErr w:type="spellStart"/>
            <w:r w:rsidR="002A0D0B" w:rsidRPr="00E16672">
              <w:rPr>
                <w:rFonts w:ascii="Times New Roman" w:hAnsi="Times New Roman"/>
                <w:sz w:val="16"/>
                <w:szCs w:val="16"/>
              </w:rPr>
              <w:t>in</w:t>
            </w:r>
            <w:proofErr w:type="spellEnd"/>
            <w:r w:rsidR="002A0D0B" w:rsidRPr="00E16672">
              <w:rPr>
                <w:rFonts w:ascii="Times New Roman" w:hAnsi="Times New Roman"/>
                <w:sz w:val="16"/>
                <w:szCs w:val="16"/>
              </w:rPr>
              <w:t xml:space="preserve"> </w:t>
            </w:r>
            <w:proofErr w:type="spellStart"/>
            <w:r w:rsidR="002A0D0B" w:rsidRPr="00E16672">
              <w:rPr>
                <w:rFonts w:ascii="Times New Roman" w:hAnsi="Times New Roman"/>
                <w:sz w:val="16"/>
                <w:szCs w:val="16"/>
              </w:rPr>
              <w:t>case</w:t>
            </w:r>
            <w:proofErr w:type="spellEnd"/>
            <w:r w:rsidR="002A0D0B" w:rsidRPr="00E16672">
              <w:rPr>
                <w:rFonts w:ascii="Times New Roman" w:hAnsi="Times New Roman"/>
                <w:sz w:val="16"/>
                <w:szCs w:val="16"/>
              </w:rPr>
              <w:t xml:space="preserve"> </w:t>
            </w:r>
            <w:proofErr w:type="spellStart"/>
            <w:r w:rsidR="002A0D0B" w:rsidRPr="00E16672">
              <w:rPr>
                <w:rFonts w:ascii="Times New Roman" w:hAnsi="Times New Roman"/>
                <w:sz w:val="16"/>
                <w:szCs w:val="16"/>
              </w:rPr>
              <w:t>of</w:t>
            </w:r>
            <w:proofErr w:type="spellEnd"/>
            <w:r w:rsidR="002A0D0B" w:rsidRPr="00E16672">
              <w:rPr>
                <w:rFonts w:ascii="Times New Roman" w:hAnsi="Times New Roman"/>
                <w:sz w:val="16"/>
                <w:szCs w:val="16"/>
              </w:rPr>
              <w:t xml:space="preserve"> </w:t>
            </w:r>
            <w:proofErr w:type="spellStart"/>
            <w:r w:rsidR="002A0D0B" w:rsidRPr="00E16672">
              <w:rPr>
                <w:rFonts w:ascii="Times New Roman" w:hAnsi="Times New Roman"/>
                <w:sz w:val="16"/>
                <w:szCs w:val="16"/>
              </w:rPr>
              <w:t>an</w:t>
            </w:r>
            <w:proofErr w:type="spellEnd"/>
            <w:r w:rsidR="002A0D0B" w:rsidRPr="00E16672">
              <w:rPr>
                <w:rFonts w:ascii="Times New Roman" w:hAnsi="Times New Roman"/>
                <w:sz w:val="16"/>
                <w:szCs w:val="16"/>
              </w:rPr>
              <w:t xml:space="preserve"> </w:t>
            </w:r>
            <w:proofErr w:type="spellStart"/>
            <w:r w:rsidR="002A0D0B" w:rsidRPr="00E16672">
              <w:rPr>
                <w:rFonts w:ascii="Times New Roman" w:hAnsi="Times New Roman"/>
                <w:sz w:val="16"/>
                <w:szCs w:val="16"/>
              </w:rPr>
              <w:t>unconditional</w:t>
            </w:r>
            <w:proofErr w:type="spellEnd"/>
            <w:r w:rsidR="002A0D0B" w:rsidRPr="00E16672">
              <w:rPr>
                <w:rFonts w:ascii="Times New Roman" w:hAnsi="Times New Roman"/>
                <w:sz w:val="16"/>
                <w:szCs w:val="16"/>
              </w:rPr>
              <w:t xml:space="preserve"> </w:t>
            </w:r>
            <w:proofErr w:type="spellStart"/>
            <w:r w:rsidR="002A0D0B" w:rsidRPr="00E16672">
              <w:rPr>
                <w:rFonts w:ascii="Times New Roman" w:hAnsi="Times New Roman"/>
                <w:sz w:val="16"/>
                <w:szCs w:val="16"/>
              </w:rPr>
              <w:t>transaction</w:t>
            </w:r>
            <w:proofErr w:type="spellEnd"/>
            <w:r w:rsidR="002A0D0B" w:rsidRPr="00E16672">
              <w:rPr>
                <w:rFonts w:ascii="Times New Roman" w:hAnsi="Times New Roman"/>
                <w:sz w:val="16"/>
                <w:szCs w:val="16"/>
              </w:rPr>
              <w:t xml:space="preserve"> </w:t>
            </w:r>
            <w:proofErr w:type="spellStart"/>
            <w:r w:rsidR="002A0D0B" w:rsidRPr="00E16672">
              <w:rPr>
                <w:rFonts w:ascii="Times New Roman" w:hAnsi="Times New Roman"/>
                <w:sz w:val="16"/>
                <w:szCs w:val="16"/>
              </w:rPr>
              <w:t>of</w:t>
            </w:r>
            <w:proofErr w:type="spellEnd"/>
            <w:r w:rsidR="002A0D0B" w:rsidRPr="00E16672">
              <w:rPr>
                <w:rFonts w:ascii="Times New Roman" w:hAnsi="Times New Roman"/>
                <w:sz w:val="16"/>
                <w:szCs w:val="16"/>
              </w:rPr>
              <w:t xml:space="preserve"> </w:t>
            </w:r>
            <w:proofErr w:type="spellStart"/>
            <w:r w:rsidR="002A0D0B" w:rsidRPr="00E16672">
              <w:rPr>
                <w:rFonts w:ascii="Times New Roman" w:hAnsi="Times New Roman"/>
                <w:sz w:val="16"/>
                <w:szCs w:val="16"/>
              </w:rPr>
              <w:t>writing</w:t>
            </w:r>
            <w:proofErr w:type="spellEnd"/>
            <w:r w:rsidR="002A0D0B" w:rsidRPr="00E16672">
              <w:rPr>
                <w:rFonts w:ascii="Times New Roman" w:hAnsi="Times New Roman"/>
                <w:sz w:val="16"/>
                <w:szCs w:val="16"/>
              </w:rPr>
              <w:t xml:space="preserve"> </w:t>
            </w:r>
            <w:proofErr w:type="spellStart"/>
            <w:r w:rsidR="002A0D0B" w:rsidRPr="00E16672">
              <w:rPr>
                <w:rFonts w:ascii="Times New Roman" w:hAnsi="Times New Roman"/>
                <w:sz w:val="16"/>
                <w:szCs w:val="16"/>
              </w:rPr>
              <w:t>off</w:t>
            </w:r>
            <w:proofErr w:type="spellEnd"/>
            <w:r w:rsidR="002A0D0B" w:rsidRPr="00E16672">
              <w:rPr>
                <w:rFonts w:ascii="Times New Roman" w:hAnsi="Times New Roman"/>
                <w:sz w:val="16"/>
                <w:szCs w:val="16"/>
              </w:rPr>
              <w:t xml:space="preserve"> </w:t>
            </w:r>
            <w:proofErr w:type="spellStart"/>
            <w:r w:rsidR="002A0D0B" w:rsidRPr="00E16672">
              <w:rPr>
                <w:rFonts w:ascii="Times New Roman" w:hAnsi="Times New Roman"/>
                <w:sz w:val="16"/>
                <w:szCs w:val="16"/>
              </w:rPr>
              <w:t>securities</w:t>
            </w:r>
            <w:proofErr w:type="spellEnd"/>
            <w:r w:rsidR="002A0D0B" w:rsidRPr="00E16672">
              <w:rPr>
                <w:rFonts w:ascii="Times New Roman" w:hAnsi="Times New Roman"/>
                <w:sz w:val="16"/>
                <w:szCs w:val="16"/>
              </w:rPr>
              <w:t xml:space="preserve"> </w:t>
            </w:r>
            <w:proofErr w:type="spellStart"/>
            <w:r w:rsidR="002A0D0B" w:rsidRPr="00E16672">
              <w:rPr>
                <w:rFonts w:ascii="Times New Roman" w:hAnsi="Times New Roman"/>
                <w:sz w:val="16"/>
                <w:szCs w:val="16"/>
              </w:rPr>
              <w:t>in</w:t>
            </w:r>
            <w:proofErr w:type="spellEnd"/>
            <w:r w:rsidR="002A0D0B" w:rsidRPr="00E16672">
              <w:rPr>
                <w:rFonts w:ascii="Times New Roman" w:hAnsi="Times New Roman"/>
                <w:sz w:val="16"/>
                <w:szCs w:val="16"/>
              </w:rPr>
              <w:t xml:space="preserve"> </w:t>
            </w:r>
            <w:proofErr w:type="spellStart"/>
            <w:r w:rsidR="002A0D0B" w:rsidRPr="00E16672">
              <w:rPr>
                <w:rFonts w:ascii="Times New Roman" w:hAnsi="Times New Roman"/>
                <w:sz w:val="16"/>
                <w:szCs w:val="16"/>
              </w:rPr>
              <w:t>succession</w:t>
            </w:r>
            <w:proofErr w:type="spellEnd"/>
            <w:r w:rsidR="002A0D0B" w:rsidRPr="00E16672">
              <w:rPr>
                <w:rFonts w:ascii="Times New Roman" w:hAnsi="Times New Roman"/>
                <w:sz w:val="16"/>
                <w:szCs w:val="16"/>
              </w:rPr>
              <w:t xml:space="preserve"> (</w:t>
            </w:r>
            <w:proofErr w:type="spellStart"/>
            <w:r w:rsidR="002A0D0B" w:rsidRPr="00E16672">
              <w:rPr>
                <w:rFonts w:ascii="Times New Roman" w:hAnsi="Times New Roman"/>
                <w:sz w:val="16"/>
                <w:szCs w:val="16"/>
              </w:rPr>
              <w:t>including</w:t>
            </w:r>
            <w:proofErr w:type="spellEnd"/>
            <w:r w:rsidR="002A0D0B" w:rsidRPr="00E16672">
              <w:rPr>
                <w:rFonts w:ascii="Times New Roman" w:hAnsi="Times New Roman"/>
                <w:sz w:val="16"/>
                <w:szCs w:val="16"/>
              </w:rPr>
              <w:t xml:space="preserve"> </w:t>
            </w:r>
            <w:proofErr w:type="spellStart"/>
            <w:r w:rsidR="002A0D0B" w:rsidRPr="00E16672">
              <w:rPr>
                <w:rFonts w:ascii="Times New Roman" w:hAnsi="Times New Roman"/>
                <w:sz w:val="16"/>
                <w:szCs w:val="16"/>
              </w:rPr>
              <w:t>on</w:t>
            </w:r>
            <w:proofErr w:type="spellEnd"/>
            <w:r w:rsidR="002A0D0B" w:rsidRPr="00E16672">
              <w:rPr>
                <w:rFonts w:ascii="Times New Roman" w:hAnsi="Times New Roman"/>
                <w:sz w:val="16"/>
                <w:szCs w:val="16"/>
              </w:rPr>
              <w:t xml:space="preserve"> </w:t>
            </w:r>
            <w:proofErr w:type="spellStart"/>
            <w:r w:rsidR="002A0D0B" w:rsidRPr="00E16672">
              <w:rPr>
                <w:rFonts w:ascii="Times New Roman" w:hAnsi="Times New Roman"/>
                <w:sz w:val="16"/>
                <w:szCs w:val="16"/>
              </w:rPr>
              <w:t>the</w:t>
            </w:r>
            <w:proofErr w:type="spellEnd"/>
            <w:r w:rsidR="002A0D0B" w:rsidRPr="00E16672">
              <w:rPr>
                <w:rFonts w:ascii="Times New Roman" w:hAnsi="Times New Roman"/>
                <w:sz w:val="16"/>
                <w:szCs w:val="16"/>
              </w:rPr>
              <w:t xml:space="preserve"> </w:t>
            </w:r>
            <w:proofErr w:type="spellStart"/>
            <w:r w:rsidR="002A0D0B" w:rsidRPr="00E16672">
              <w:rPr>
                <w:rFonts w:ascii="Times New Roman" w:hAnsi="Times New Roman"/>
                <w:sz w:val="16"/>
                <w:szCs w:val="16"/>
              </w:rPr>
              <w:t>basis</w:t>
            </w:r>
            <w:proofErr w:type="spellEnd"/>
            <w:r w:rsidR="002A0D0B" w:rsidRPr="00E16672">
              <w:rPr>
                <w:rFonts w:ascii="Times New Roman" w:hAnsi="Times New Roman"/>
                <w:sz w:val="16"/>
                <w:szCs w:val="16"/>
              </w:rPr>
              <w:t xml:space="preserve"> </w:t>
            </w:r>
            <w:proofErr w:type="spellStart"/>
            <w:r w:rsidR="002A0D0B" w:rsidRPr="00E16672">
              <w:rPr>
                <w:rFonts w:ascii="Times New Roman" w:hAnsi="Times New Roman"/>
                <w:sz w:val="16"/>
                <w:szCs w:val="16"/>
              </w:rPr>
              <w:t>of</w:t>
            </w:r>
            <w:proofErr w:type="spellEnd"/>
            <w:r w:rsidR="002A0D0B" w:rsidRPr="00E16672">
              <w:rPr>
                <w:rFonts w:ascii="Times New Roman" w:hAnsi="Times New Roman"/>
                <w:sz w:val="16"/>
                <w:szCs w:val="16"/>
              </w:rPr>
              <w:t xml:space="preserve"> a </w:t>
            </w:r>
            <w:proofErr w:type="spellStart"/>
            <w:r w:rsidR="002A0D0B" w:rsidRPr="00E16672">
              <w:rPr>
                <w:rFonts w:ascii="Times New Roman" w:hAnsi="Times New Roman"/>
                <w:sz w:val="16"/>
                <w:szCs w:val="16"/>
              </w:rPr>
              <w:t>court</w:t>
            </w:r>
            <w:proofErr w:type="spellEnd"/>
            <w:r w:rsidR="002A0D0B" w:rsidRPr="00E16672">
              <w:rPr>
                <w:rFonts w:ascii="Times New Roman" w:hAnsi="Times New Roman"/>
                <w:sz w:val="16"/>
                <w:szCs w:val="16"/>
              </w:rPr>
              <w:t xml:space="preserve"> </w:t>
            </w:r>
            <w:proofErr w:type="spellStart"/>
            <w:r w:rsidR="002A0D0B" w:rsidRPr="00E16672">
              <w:rPr>
                <w:rFonts w:ascii="Times New Roman" w:hAnsi="Times New Roman"/>
                <w:sz w:val="16"/>
                <w:szCs w:val="16"/>
              </w:rPr>
              <w:t>decision</w:t>
            </w:r>
            <w:proofErr w:type="spellEnd"/>
            <w:r w:rsidR="002A0D0B" w:rsidRPr="00E16672">
              <w:rPr>
                <w:rFonts w:ascii="Times New Roman" w:hAnsi="Times New Roman"/>
                <w:sz w:val="16"/>
                <w:szCs w:val="16"/>
              </w:rPr>
              <w:t xml:space="preserve"> </w:t>
            </w:r>
            <w:proofErr w:type="spellStart"/>
            <w:r w:rsidR="002A0D0B" w:rsidRPr="00E16672">
              <w:rPr>
                <w:rFonts w:ascii="Times New Roman" w:hAnsi="Times New Roman"/>
                <w:sz w:val="16"/>
                <w:szCs w:val="16"/>
              </w:rPr>
              <w:t>or</w:t>
            </w:r>
            <w:proofErr w:type="spellEnd"/>
            <w:r w:rsidR="002A0D0B" w:rsidRPr="00E16672">
              <w:rPr>
                <w:rFonts w:ascii="Times New Roman" w:hAnsi="Times New Roman"/>
                <w:sz w:val="16"/>
                <w:szCs w:val="16"/>
              </w:rPr>
              <w:t xml:space="preserve"> </w:t>
            </w:r>
            <w:proofErr w:type="spellStart"/>
            <w:r w:rsidR="002A0D0B" w:rsidRPr="00E16672">
              <w:rPr>
                <w:rFonts w:ascii="Times New Roman" w:hAnsi="Times New Roman"/>
                <w:sz w:val="16"/>
                <w:szCs w:val="16"/>
              </w:rPr>
              <w:t>documents</w:t>
            </w:r>
            <w:proofErr w:type="spellEnd"/>
            <w:r w:rsidR="002A0D0B" w:rsidRPr="00E16672">
              <w:rPr>
                <w:rFonts w:ascii="Times New Roman" w:hAnsi="Times New Roman"/>
                <w:sz w:val="16"/>
                <w:szCs w:val="16"/>
              </w:rPr>
              <w:t xml:space="preserve"> </w:t>
            </w:r>
            <w:proofErr w:type="spellStart"/>
            <w:r w:rsidR="002A0D0B" w:rsidRPr="00E16672">
              <w:rPr>
                <w:rFonts w:ascii="Times New Roman" w:hAnsi="Times New Roman"/>
                <w:sz w:val="16"/>
                <w:szCs w:val="16"/>
              </w:rPr>
              <w:t>of</w:t>
            </w:r>
            <w:proofErr w:type="spellEnd"/>
            <w:r w:rsidR="002A0D0B" w:rsidRPr="00E16672">
              <w:rPr>
                <w:rFonts w:ascii="Times New Roman" w:hAnsi="Times New Roman"/>
                <w:sz w:val="16"/>
                <w:szCs w:val="16"/>
              </w:rPr>
              <w:t xml:space="preserve"> </w:t>
            </w:r>
            <w:proofErr w:type="spellStart"/>
            <w:r w:rsidR="002A0D0B" w:rsidRPr="00E16672">
              <w:rPr>
                <w:rFonts w:ascii="Times New Roman" w:hAnsi="Times New Roman"/>
                <w:sz w:val="16"/>
                <w:szCs w:val="16"/>
              </w:rPr>
              <w:t>enforcement</w:t>
            </w:r>
            <w:proofErr w:type="spellEnd"/>
            <w:r w:rsidR="002A0D0B" w:rsidRPr="00E16672">
              <w:rPr>
                <w:rFonts w:ascii="Times New Roman" w:hAnsi="Times New Roman"/>
                <w:sz w:val="16"/>
                <w:szCs w:val="16"/>
              </w:rPr>
              <w:t xml:space="preserve"> </w:t>
            </w:r>
            <w:proofErr w:type="spellStart"/>
            <w:r w:rsidR="002A0D0B" w:rsidRPr="00E16672">
              <w:rPr>
                <w:rFonts w:ascii="Times New Roman" w:hAnsi="Times New Roman"/>
                <w:sz w:val="16"/>
                <w:szCs w:val="16"/>
              </w:rPr>
              <w:t>proceedings</w:t>
            </w:r>
            <w:proofErr w:type="spellEnd"/>
            <w:r w:rsidR="002A0D0B" w:rsidRPr="00E16672">
              <w:rPr>
                <w:rFonts w:ascii="Times New Roman" w:hAnsi="Times New Roman"/>
                <w:sz w:val="16"/>
                <w:szCs w:val="16"/>
              </w:rPr>
              <w:t xml:space="preserve">), </w:t>
            </w:r>
            <w:proofErr w:type="spellStart"/>
            <w:r w:rsidR="002A0D0B" w:rsidRPr="00E16672">
              <w:rPr>
                <w:rFonts w:ascii="Times New Roman" w:hAnsi="Times New Roman"/>
                <w:sz w:val="16"/>
                <w:szCs w:val="16"/>
              </w:rPr>
              <w:t>the</w:t>
            </w:r>
            <w:proofErr w:type="spellEnd"/>
            <w:r w:rsidR="002A0D0B" w:rsidRPr="00E16672">
              <w:rPr>
                <w:rFonts w:ascii="Times New Roman" w:hAnsi="Times New Roman"/>
                <w:sz w:val="16"/>
                <w:szCs w:val="16"/>
              </w:rPr>
              <w:t xml:space="preserve"> </w:t>
            </w:r>
            <w:proofErr w:type="spellStart"/>
            <w:r w:rsidR="002A0D0B" w:rsidRPr="00E16672">
              <w:rPr>
                <w:rFonts w:ascii="Times New Roman" w:hAnsi="Times New Roman"/>
                <w:sz w:val="16"/>
                <w:szCs w:val="16"/>
              </w:rPr>
              <w:t>liquidation</w:t>
            </w:r>
            <w:proofErr w:type="spellEnd"/>
            <w:r w:rsidR="002A0D0B" w:rsidRPr="00E16672">
              <w:rPr>
                <w:rFonts w:ascii="Times New Roman" w:hAnsi="Times New Roman"/>
                <w:sz w:val="16"/>
                <w:szCs w:val="16"/>
              </w:rPr>
              <w:t xml:space="preserve"> </w:t>
            </w:r>
            <w:proofErr w:type="spellStart"/>
            <w:r w:rsidR="002A0D0B" w:rsidRPr="00E16672">
              <w:rPr>
                <w:rFonts w:ascii="Times New Roman" w:hAnsi="Times New Roman"/>
                <w:sz w:val="16"/>
                <w:szCs w:val="16"/>
              </w:rPr>
              <w:t>of</w:t>
            </w:r>
            <w:proofErr w:type="spellEnd"/>
            <w:r w:rsidR="002A0D0B" w:rsidRPr="00E16672">
              <w:rPr>
                <w:rFonts w:ascii="Times New Roman" w:hAnsi="Times New Roman"/>
                <w:sz w:val="16"/>
                <w:szCs w:val="16"/>
              </w:rPr>
              <w:t xml:space="preserve"> a </w:t>
            </w:r>
            <w:proofErr w:type="spellStart"/>
            <w:r w:rsidR="002A0D0B" w:rsidRPr="00E16672">
              <w:rPr>
                <w:rFonts w:ascii="Times New Roman" w:hAnsi="Times New Roman"/>
                <w:sz w:val="16"/>
                <w:szCs w:val="16"/>
              </w:rPr>
              <w:t>legal</w:t>
            </w:r>
            <w:proofErr w:type="spellEnd"/>
            <w:r w:rsidR="002A0D0B" w:rsidRPr="00E16672">
              <w:rPr>
                <w:rFonts w:ascii="Times New Roman" w:hAnsi="Times New Roman"/>
                <w:sz w:val="16"/>
                <w:szCs w:val="16"/>
              </w:rPr>
              <w:t xml:space="preserve"> </w:t>
            </w:r>
            <w:proofErr w:type="spellStart"/>
            <w:r w:rsidR="002A0D0B" w:rsidRPr="00E16672">
              <w:rPr>
                <w:rFonts w:ascii="Times New Roman" w:hAnsi="Times New Roman"/>
                <w:sz w:val="16"/>
                <w:szCs w:val="16"/>
              </w:rPr>
              <w:t>entity</w:t>
            </w:r>
            <w:proofErr w:type="spellEnd"/>
            <w:r w:rsidR="002A0D0B" w:rsidRPr="00E16672">
              <w:rPr>
                <w:rFonts w:ascii="Times New Roman" w:hAnsi="Times New Roman"/>
                <w:sz w:val="16"/>
                <w:szCs w:val="16"/>
              </w:rPr>
              <w:t xml:space="preserve">, </w:t>
            </w:r>
            <w:proofErr w:type="spellStart"/>
            <w:r w:rsidR="002A0D0B" w:rsidRPr="00E16672">
              <w:rPr>
                <w:rFonts w:ascii="Times New Roman" w:hAnsi="Times New Roman"/>
                <w:sz w:val="16"/>
                <w:szCs w:val="16"/>
              </w:rPr>
              <w:t>which</w:t>
            </w:r>
            <w:proofErr w:type="spellEnd"/>
            <w:r w:rsidR="002A0D0B" w:rsidRPr="00E16672">
              <w:rPr>
                <w:rFonts w:ascii="Times New Roman" w:hAnsi="Times New Roman"/>
                <w:sz w:val="16"/>
                <w:szCs w:val="16"/>
              </w:rPr>
              <w:t xml:space="preserve"> </w:t>
            </w:r>
            <w:proofErr w:type="spellStart"/>
            <w:r w:rsidR="002A0D0B" w:rsidRPr="00E16672">
              <w:rPr>
                <w:rFonts w:ascii="Times New Roman" w:hAnsi="Times New Roman"/>
                <w:sz w:val="16"/>
                <w:szCs w:val="16"/>
              </w:rPr>
              <w:t>is</w:t>
            </w:r>
            <w:proofErr w:type="spellEnd"/>
            <w:r w:rsidR="002A0D0B" w:rsidRPr="00E16672">
              <w:rPr>
                <w:rFonts w:ascii="Times New Roman" w:hAnsi="Times New Roman"/>
                <w:sz w:val="16"/>
                <w:szCs w:val="16"/>
              </w:rPr>
              <w:t xml:space="preserve"> </w:t>
            </w:r>
            <w:proofErr w:type="spellStart"/>
            <w:r w:rsidR="002A0D0B" w:rsidRPr="00E16672">
              <w:rPr>
                <w:rFonts w:ascii="Times New Roman" w:hAnsi="Times New Roman"/>
                <w:sz w:val="16"/>
                <w:szCs w:val="16"/>
              </w:rPr>
              <w:t>confirmed</w:t>
            </w:r>
            <w:proofErr w:type="spellEnd"/>
            <w:r w:rsidR="002A0D0B" w:rsidRPr="00E16672">
              <w:rPr>
                <w:rFonts w:ascii="Times New Roman" w:hAnsi="Times New Roman"/>
                <w:sz w:val="16"/>
                <w:szCs w:val="16"/>
              </w:rPr>
              <w:t xml:space="preserve"> </w:t>
            </w:r>
            <w:proofErr w:type="spellStart"/>
            <w:r w:rsidR="002A0D0B" w:rsidRPr="00E16672">
              <w:rPr>
                <w:rFonts w:ascii="Times New Roman" w:hAnsi="Times New Roman"/>
                <w:sz w:val="16"/>
                <w:szCs w:val="16"/>
              </w:rPr>
              <w:t>by</w:t>
            </w:r>
            <w:proofErr w:type="spellEnd"/>
            <w:r w:rsidR="002A0D0B" w:rsidRPr="00E16672">
              <w:rPr>
                <w:rFonts w:ascii="Times New Roman" w:hAnsi="Times New Roman"/>
                <w:sz w:val="16"/>
                <w:szCs w:val="16"/>
              </w:rPr>
              <w:t xml:space="preserve"> </w:t>
            </w:r>
            <w:proofErr w:type="spellStart"/>
            <w:r w:rsidR="002A0D0B" w:rsidRPr="00E16672">
              <w:rPr>
                <w:rFonts w:ascii="Times New Roman" w:hAnsi="Times New Roman"/>
                <w:sz w:val="16"/>
                <w:szCs w:val="16"/>
              </w:rPr>
              <w:t>information</w:t>
            </w:r>
            <w:proofErr w:type="spellEnd"/>
            <w:r w:rsidR="002A0D0B" w:rsidRPr="00E16672">
              <w:rPr>
                <w:rFonts w:ascii="Times New Roman" w:hAnsi="Times New Roman"/>
                <w:sz w:val="16"/>
                <w:szCs w:val="16"/>
              </w:rPr>
              <w:t xml:space="preserve"> </w:t>
            </w:r>
            <w:proofErr w:type="spellStart"/>
            <w:r w:rsidR="002A0D0B" w:rsidRPr="00E16672">
              <w:rPr>
                <w:rFonts w:ascii="Times New Roman" w:hAnsi="Times New Roman"/>
                <w:sz w:val="16"/>
                <w:szCs w:val="16"/>
              </w:rPr>
              <w:t>Unified</w:t>
            </w:r>
            <w:proofErr w:type="spellEnd"/>
            <w:r w:rsidR="002A0D0B" w:rsidRPr="00E16672">
              <w:rPr>
                <w:rFonts w:ascii="Times New Roman" w:hAnsi="Times New Roman"/>
                <w:sz w:val="16"/>
                <w:szCs w:val="16"/>
              </w:rPr>
              <w:t xml:space="preserve"> </w:t>
            </w:r>
            <w:proofErr w:type="spellStart"/>
            <w:r w:rsidR="002A0D0B" w:rsidRPr="00E16672">
              <w:rPr>
                <w:rFonts w:ascii="Times New Roman" w:hAnsi="Times New Roman"/>
                <w:sz w:val="16"/>
                <w:szCs w:val="16"/>
              </w:rPr>
              <w:t>State</w:t>
            </w:r>
            <w:proofErr w:type="spellEnd"/>
            <w:r w:rsidR="002A0D0B" w:rsidRPr="00E16672">
              <w:rPr>
                <w:rFonts w:ascii="Times New Roman" w:hAnsi="Times New Roman"/>
                <w:sz w:val="16"/>
                <w:szCs w:val="16"/>
              </w:rPr>
              <w:t xml:space="preserve"> </w:t>
            </w:r>
            <w:proofErr w:type="spellStart"/>
            <w:r w:rsidR="002A0D0B" w:rsidRPr="00E16672">
              <w:rPr>
                <w:rFonts w:ascii="Times New Roman" w:hAnsi="Times New Roman"/>
                <w:sz w:val="16"/>
                <w:szCs w:val="16"/>
              </w:rPr>
              <w:t>Register</w:t>
            </w:r>
            <w:proofErr w:type="spellEnd"/>
            <w:r w:rsidR="002A0D0B" w:rsidRPr="00E16672">
              <w:rPr>
                <w:rFonts w:ascii="Times New Roman" w:hAnsi="Times New Roman"/>
                <w:sz w:val="16"/>
                <w:szCs w:val="16"/>
              </w:rPr>
              <w:t xml:space="preserve"> </w:t>
            </w:r>
            <w:proofErr w:type="spellStart"/>
            <w:r w:rsidR="002A0D0B" w:rsidRPr="00E16672">
              <w:rPr>
                <w:rFonts w:ascii="Times New Roman" w:hAnsi="Times New Roman"/>
                <w:sz w:val="16"/>
                <w:szCs w:val="16"/>
              </w:rPr>
              <w:t>of</w:t>
            </w:r>
            <w:proofErr w:type="spellEnd"/>
            <w:r w:rsidR="002A0D0B" w:rsidRPr="00E16672">
              <w:rPr>
                <w:rFonts w:ascii="Times New Roman" w:hAnsi="Times New Roman"/>
                <w:sz w:val="16"/>
                <w:szCs w:val="16"/>
              </w:rPr>
              <w:t xml:space="preserve"> </w:t>
            </w:r>
            <w:proofErr w:type="spellStart"/>
            <w:r w:rsidR="002A0D0B" w:rsidRPr="00E16672">
              <w:rPr>
                <w:rFonts w:ascii="Times New Roman" w:hAnsi="Times New Roman"/>
                <w:sz w:val="16"/>
                <w:szCs w:val="16"/>
              </w:rPr>
              <w:t>Legal</w:t>
            </w:r>
            <w:proofErr w:type="spellEnd"/>
            <w:r w:rsidR="002A0D0B" w:rsidRPr="00E16672">
              <w:rPr>
                <w:rFonts w:ascii="Times New Roman" w:hAnsi="Times New Roman"/>
                <w:sz w:val="16"/>
                <w:szCs w:val="16"/>
              </w:rPr>
              <w:t xml:space="preserve"> </w:t>
            </w:r>
            <w:proofErr w:type="spellStart"/>
            <w:r w:rsidR="002A0D0B" w:rsidRPr="00E16672">
              <w:rPr>
                <w:rFonts w:ascii="Times New Roman" w:hAnsi="Times New Roman"/>
                <w:sz w:val="16"/>
                <w:szCs w:val="16"/>
              </w:rPr>
              <w:t>Entities</w:t>
            </w:r>
            <w:proofErr w:type="spellEnd"/>
            <w:r w:rsidR="002A0D0B" w:rsidRPr="00E16672">
              <w:rPr>
                <w:rFonts w:ascii="Times New Roman" w:hAnsi="Times New Roman"/>
                <w:sz w:val="16"/>
                <w:szCs w:val="16"/>
              </w:rPr>
              <w:t xml:space="preserve">, </w:t>
            </w:r>
            <w:proofErr w:type="spellStart"/>
            <w:r w:rsidR="002A0D0B" w:rsidRPr="00E16672">
              <w:rPr>
                <w:rFonts w:ascii="Times New Roman" w:hAnsi="Times New Roman"/>
                <w:sz w:val="16"/>
                <w:szCs w:val="16"/>
              </w:rPr>
              <w:t>Individual</w:t>
            </w:r>
            <w:proofErr w:type="spellEnd"/>
            <w:r w:rsidR="002A0D0B" w:rsidRPr="00E16672">
              <w:rPr>
                <w:rFonts w:ascii="Times New Roman" w:hAnsi="Times New Roman"/>
                <w:sz w:val="16"/>
                <w:szCs w:val="16"/>
              </w:rPr>
              <w:t xml:space="preserve"> </w:t>
            </w:r>
            <w:proofErr w:type="spellStart"/>
            <w:r w:rsidR="002A0D0B" w:rsidRPr="00E16672">
              <w:rPr>
                <w:rFonts w:ascii="Times New Roman" w:hAnsi="Times New Roman"/>
                <w:sz w:val="16"/>
                <w:szCs w:val="16"/>
              </w:rPr>
              <w:t>Entrepreneurs</w:t>
            </w:r>
            <w:proofErr w:type="spellEnd"/>
            <w:r w:rsidR="002A0D0B" w:rsidRPr="00E16672">
              <w:rPr>
                <w:rFonts w:ascii="Times New Roman" w:hAnsi="Times New Roman"/>
                <w:sz w:val="16"/>
                <w:szCs w:val="16"/>
              </w:rPr>
              <w:t xml:space="preserve"> </w:t>
            </w:r>
            <w:proofErr w:type="spellStart"/>
            <w:r w:rsidR="002A0D0B" w:rsidRPr="00E16672">
              <w:rPr>
                <w:rFonts w:ascii="Times New Roman" w:hAnsi="Times New Roman"/>
                <w:sz w:val="16"/>
                <w:szCs w:val="16"/>
              </w:rPr>
              <w:t>and</w:t>
            </w:r>
            <w:proofErr w:type="spellEnd"/>
            <w:r w:rsidR="002A0D0B" w:rsidRPr="00E16672">
              <w:rPr>
                <w:rFonts w:ascii="Times New Roman" w:hAnsi="Times New Roman"/>
                <w:sz w:val="16"/>
                <w:szCs w:val="16"/>
              </w:rPr>
              <w:t xml:space="preserve"> </w:t>
            </w:r>
            <w:proofErr w:type="spellStart"/>
            <w:r w:rsidR="002A0D0B" w:rsidRPr="00E16672">
              <w:rPr>
                <w:rFonts w:ascii="Times New Roman" w:hAnsi="Times New Roman"/>
                <w:sz w:val="16"/>
                <w:szCs w:val="16"/>
              </w:rPr>
              <w:t>Public</w:t>
            </w:r>
            <w:proofErr w:type="spellEnd"/>
            <w:r w:rsidR="002A0D0B" w:rsidRPr="00E16672">
              <w:rPr>
                <w:rFonts w:ascii="Times New Roman" w:hAnsi="Times New Roman"/>
                <w:sz w:val="16"/>
                <w:szCs w:val="16"/>
              </w:rPr>
              <w:t xml:space="preserve"> </w:t>
            </w:r>
            <w:proofErr w:type="spellStart"/>
            <w:r w:rsidR="002A0D0B" w:rsidRPr="00E16672">
              <w:rPr>
                <w:rFonts w:ascii="Times New Roman" w:hAnsi="Times New Roman"/>
                <w:sz w:val="16"/>
                <w:szCs w:val="16"/>
              </w:rPr>
              <w:t>Associations</w:t>
            </w:r>
            <w:proofErr w:type="spellEnd"/>
            <w:r w:rsidR="002A0D0B" w:rsidRPr="00E16672">
              <w:rPr>
                <w:rFonts w:ascii="Times New Roman" w:hAnsi="Times New Roman"/>
                <w:sz w:val="16"/>
                <w:szCs w:val="16"/>
              </w:rPr>
              <w:t>.</w:t>
            </w:r>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and</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in</w:t>
            </w:r>
            <w:proofErr w:type="spellEnd"/>
            <w:r w:rsidRPr="00E16672">
              <w:rPr>
                <w:rFonts w:ascii="Times New Roman" w:hAnsi="Times New Roman"/>
                <w:color w:val="000000"/>
                <w:sz w:val="16"/>
                <w:szCs w:val="16"/>
              </w:rPr>
              <w:t xml:space="preserve"> </w:t>
            </w:r>
            <w:proofErr w:type="spellStart"/>
            <w:r w:rsidR="002A0D0B" w:rsidRPr="00E16672">
              <w:rPr>
                <w:rFonts w:ascii="Times New Roman" w:hAnsi="Times New Roman"/>
                <w:sz w:val="16"/>
                <w:szCs w:val="16"/>
              </w:rPr>
              <w:t>case</w:t>
            </w:r>
            <w:proofErr w:type="spellEnd"/>
            <w:r w:rsidR="002A0D0B" w:rsidRPr="00E16672" w:rsidDel="002A0D0B">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of</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termination</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of</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this</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Agreement</w:t>
            </w:r>
            <w:proofErr w:type="spellEnd"/>
            <w:r w:rsidRPr="00E16672">
              <w:rPr>
                <w:rFonts w:ascii="Times New Roman" w:hAnsi="Times New Roman"/>
                <w:color w:val="000000"/>
                <w:sz w:val="16"/>
                <w:szCs w:val="16"/>
              </w:rPr>
              <w:t>.</w:t>
            </w:r>
          </w:p>
          <w:p w14:paraId="0ACCCFA6" w14:textId="77777777" w:rsidR="00E51F85" w:rsidRPr="00E16672" w:rsidRDefault="0062084A" w:rsidP="00547A75">
            <w:pPr>
              <w:snapToGrid w:val="0"/>
              <w:ind w:left="175" w:right="138" w:firstLine="7"/>
              <w:rPr>
                <w:rFonts w:ascii="Times New Roman" w:hAnsi="Times New Roman"/>
                <w:strike/>
                <w:color w:val="000000"/>
                <w:sz w:val="16"/>
                <w:szCs w:val="16"/>
                <w:lang w:val="en-GB"/>
              </w:rPr>
            </w:pPr>
            <w:r w:rsidRPr="00E16672">
              <w:rPr>
                <w:rFonts w:ascii="Times New Roman" w:hAnsi="Times New Roman"/>
                <w:color w:val="000000"/>
                <w:sz w:val="16"/>
                <w:szCs w:val="16"/>
                <w:lang w:val="uk-UA"/>
              </w:rPr>
              <w:t>.</w:t>
            </w:r>
          </w:p>
          <w:p w14:paraId="6E46D10B" w14:textId="77777777" w:rsidR="00E51F85" w:rsidRPr="00E16672" w:rsidRDefault="00E51F85" w:rsidP="00547A75">
            <w:pPr>
              <w:snapToGrid w:val="0"/>
              <w:ind w:left="175" w:right="138" w:firstLine="7"/>
              <w:rPr>
                <w:rFonts w:ascii="Times New Roman" w:hAnsi="Times New Roman"/>
                <w:sz w:val="16"/>
                <w:szCs w:val="16"/>
                <w:lang w:val="en-US"/>
              </w:rPr>
            </w:pPr>
          </w:p>
        </w:tc>
      </w:tr>
      <w:tr w:rsidR="00E51F85" w:rsidRPr="00F23413" w14:paraId="14D2FA8D" w14:textId="77777777" w:rsidTr="00D77858">
        <w:tblPrEx>
          <w:tblCellMar>
            <w:left w:w="0" w:type="dxa"/>
            <w:right w:w="0" w:type="dxa"/>
          </w:tblCellMar>
        </w:tblPrEx>
        <w:trPr>
          <w:trHeight w:val="192"/>
        </w:trPr>
        <w:tc>
          <w:tcPr>
            <w:tcW w:w="5696" w:type="dxa"/>
            <w:gridSpan w:val="6"/>
            <w:shd w:val="clear" w:color="auto" w:fill="auto"/>
          </w:tcPr>
          <w:p w14:paraId="670EF300" w14:textId="77777777" w:rsidR="00E51F85" w:rsidRPr="00E16672" w:rsidRDefault="00E51F85" w:rsidP="00022F5F">
            <w:pPr>
              <w:snapToGrid w:val="0"/>
              <w:ind w:left="175" w:right="138" w:firstLine="7"/>
              <w:jc w:val="left"/>
              <w:rPr>
                <w:rFonts w:ascii="Times New Roman" w:hAnsi="Times New Roman"/>
                <w:sz w:val="16"/>
                <w:szCs w:val="16"/>
              </w:rPr>
            </w:pPr>
            <w:r w:rsidRPr="00E16672">
              <w:rPr>
                <w:rFonts w:ascii="Times New Roman" w:hAnsi="Times New Roman"/>
                <w:sz w:val="16"/>
                <w:szCs w:val="16"/>
              </w:rPr>
              <w:lastRenderedPageBreak/>
              <w:t xml:space="preserve">2.2.8. При </w:t>
            </w:r>
            <w:proofErr w:type="spellStart"/>
            <w:r w:rsidRPr="00E16672">
              <w:rPr>
                <w:rFonts w:ascii="Times New Roman" w:hAnsi="Times New Roman"/>
                <w:sz w:val="16"/>
                <w:szCs w:val="16"/>
              </w:rPr>
              <w:t>здійсненні</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розрахунків</w:t>
            </w:r>
            <w:proofErr w:type="spellEnd"/>
            <w:r w:rsidRPr="00E16672">
              <w:rPr>
                <w:rFonts w:ascii="Times New Roman" w:hAnsi="Times New Roman"/>
                <w:sz w:val="16"/>
                <w:szCs w:val="16"/>
              </w:rPr>
              <w:t xml:space="preserve"> за </w:t>
            </w:r>
            <w:proofErr w:type="spellStart"/>
            <w:r w:rsidRPr="00E16672">
              <w:rPr>
                <w:rFonts w:ascii="Times New Roman" w:hAnsi="Times New Roman"/>
                <w:sz w:val="16"/>
                <w:szCs w:val="16"/>
              </w:rPr>
              <w:t>правочинами</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щодо</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цінних</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паперів</w:t>
            </w:r>
            <w:proofErr w:type="spellEnd"/>
            <w:r w:rsidRPr="00E16672">
              <w:rPr>
                <w:rFonts w:ascii="Times New Roman" w:hAnsi="Times New Roman"/>
                <w:sz w:val="16"/>
                <w:szCs w:val="16"/>
              </w:rPr>
              <w:t xml:space="preserve"> з </w:t>
            </w:r>
            <w:proofErr w:type="spellStart"/>
            <w:r w:rsidRPr="00E16672">
              <w:rPr>
                <w:rFonts w:ascii="Times New Roman" w:hAnsi="Times New Roman"/>
                <w:sz w:val="16"/>
                <w:szCs w:val="16"/>
              </w:rPr>
              <w:t>дотриманням</w:t>
            </w:r>
            <w:proofErr w:type="spellEnd"/>
            <w:r w:rsidRPr="00E16672">
              <w:rPr>
                <w:rFonts w:ascii="Times New Roman" w:hAnsi="Times New Roman"/>
                <w:sz w:val="16"/>
                <w:szCs w:val="16"/>
              </w:rPr>
              <w:t xml:space="preserve"> принципу </w:t>
            </w:r>
            <w:r w:rsidR="00022F5F">
              <w:rPr>
                <w:rFonts w:ascii="Times New Roman" w:hAnsi="Times New Roman"/>
                <w:sz w:val="16"/>
                <w:szCs w:val="16"/>
              </w:rPr>
              <w:t>"</w:t>
            </w:r>
            <w:r w:rsidRPr="00E16672">
              <w:rPr>
                <w:rFonts w:ascii="Times New Roman" w:hAnsi="Times New Roman"/>
                <w:sz w:val="16"/>
                <w:szCs w:val="16"/>
              </w:rPr>
              <w:t xml:space="preserve">поставка </w:t>
            </w:r>
            <w:proofErr w:type="spellStart"/>
            <w:r w:rsidRPr="00E16672">
              <w:rPr>
                <w:rFonts w:ascii="Times New Roman" w:hAnsi="Times New Roman"/>
                <w:sz w:val="16"/>
                <w:szCs w:val="16"/>
              </w:rPr>
              <w:t>цінних</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паперів</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проти</w:t>
            </w:r>
            <w:proofErr w:type="spellEnd"/>
            <w:r w:rsidRPr="00E16672">
              <w:rPr>
                <w:rFonts w:ascii="Times New Roman" w:hAnsi="Times New Roman"/>
                <w:sz w:val="16"/>
                <w:szCs w:val="16"/>
              </w:rPr>
              <w:t xml:space="preserve"> оплати</w:t>
            </w:r>
            <w:r w:rsidR="00022F5F">
              <w:rPr>
                <w:rFonts w:ascii="Times New Roman" w:hAnsi="Times New Roman"/>
                <w:sz w:val="16"/>
                <w:szCs w:val="16"/>
              </w:rPr>
              <w:t>"</w:t>
            </w:r>
            <w:r w:rsidRPr="00E16672">
              <w:rPr>
                <w:rFonts w:ascii="Times New Roman" w:hAnsi="Times New Roman"/>
                <w:sz w:val="16"/>
                <w:szCs w:val="16"/>
              </w:rPr>
              <w:t xml:space="preserve"> </w:t>
            </w:r>
            <w:proofErr w:type="spellStart"/>
            <w:r w:rsidRPr="00E16672">
              <w:rPr>
                <w:rFonts w:ascii="Times New Roman" w:hAnsi="Times New Roman"/>
                <w:sz w:val="16"/>
                <w:szCs w:val="16"/>
              </w:rPr>
              <w:t>виконувати</w:t>
            </w:r>
            <w:proofErr w:type="spellEnd"/>
            <w:r w:rsidRPr="00E16672">
              <w:rPr>
                <w:rFonts w:ascii="Times New Roman" w:hAnsi="Times New Roman"/>
                <w:sz w:val="16"/>
                <w:szCs w:val="16"/>
              </w:rPr>
              <w:t xml:space="preserve"> на </w:t>
            </w:r>
            <w:proofErr w:type="spellStart"/>
            <w:r w:rsidRPr="00E16672">
              <w:rPr>
                <w:rFonts w:ascii="Times New Roman" w:hAnsi="Times New Roman"/>
                <w:sz w:val="16"/>
                <w:szCs w:val="16"/>
              </w:rPr>
              <w:t>рахунку</w:t>
            </w:r>
            <w:proofErr w:type="spellEnd"/>
            <w:r w:rsidRPr="00E16672">
              <w:rPr>
                <w:rFonts w:ascii="Times New Roman" w:hAnsi="Times New Roman"/>
                <w:sz w:val="16"/>
                <w:szCs w:val="16"/>
              </w:rPr>
              <w:t xml:space="preserve"> в </w:t>
            </w:r>
            <w:proofErr w:type="spellStart"/>
            <w:r w:rsidRPr="00E16672">
              <w:rPr>
                <w:rFonts w:ascii="Times New Roman" w:hAnsi="Times New Roman"/>
                <w:sz w:val="16"/>
                <w:szCs w:val="16"/>
              </w:rPr>
              <w:t>цінних</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паперах</w:t>
            </w:r>
            <w:proofErr w:type="spellEnd"/>
            <w:r w:rsidRPr="00E16672">
              <w:rPr>
                <w:rFonts w:ascii="Times New Roman" w:hAnsi="Times New Roman"/>
                <w:sz w:val="16"/>
                <w:szCs w:val="16"/>
              </w:rPr>
              <w:t xml:space="preserve"> Депонента </w:t>
            </w:r>
            <w:proofErr w:type="spellStart"/>
            <w:r w:rsidRPr="00E16672">
              <w:rPr>
                <w:rFonts w:ascii="Times New Roman" w:hAnsi="Times New Roman"/>
                <w:sz w:val="16"/>
                <w:szCs w:val="16"/>
              </w:rPr>
              <w:t>депозитарні</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операції</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щодо</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цінних</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паперів</w:t>
            </w:r>
            <w:proofErr w:type="spellEnd"/>
            <w:r w:rsidRPr="00E16672">
              <w:rPr>
                <w:rFonts w:ascii="Times New Roman" w:hAnsi="Times New Roman"/>
                <w:sz w:val="16"/>
                <w:szCs w:val="16"/>
              </w:rPr>
              <w:t xml:space="preserve"> без </w:t>
            </w:r>
            <w:proofErr w:type="spellStart"/>
            <w:r w:rsidRPr="00E16672">
              <w:rPr>
                <w:rFonts w:ascii="Times New Roman" w:hAnsi="Times New Roman"/>
                <w:sz w:val="16"/>
                <w:szCs w:val="16"/>
              </w:rPr>
              <w:t>розпорядження</w:t>
            </w:r>
            <w:proofErr w:type="spellEnd"/>
            <w:r w:rsidRPr="00E16672">
              <w:rPr>
                <w:rFonts w:ascii="Times New Roman" w:hAnsi="Times New Roman"/>
                <w:sz w:val="16"/>
                <w:szCs w:val="16"/>
              </w:rPr>
              <w:t xml:space="preserve"> депонента </w:t>
            </w:r>
            <w:proofErr w:type="spellStart"/>
            <w:r w:rsidRPr="00E16672">
              <w:rPr>
                <w:rFonts w:ascii="Times New Roman" w:hAnsi="Times New Roman"/>
                <w:sz w:val="16"/>
                <w:szCs w:val="16"/>
              </w:rPr>
              <w:t>виключно</w:t>
            </w:r>
            <w:proofErr w:type="spellEnd"/>
            <w:r w:rsidRPr="00E16672">
              <w:rPr>
                <w:rFonts w:ascii="Times New Roman" w:hAnsi="Times New Roman"/>
                <w:sz w:val="16"/>
                <w:szCs w:val="16"/>
              </w:rPr>
              <w:t xml:space="preserve"> на </w:t>
            </w:r>
            <w:proofErr w:type="spellStart"/>
            <w:r w:rsidRPr="00E16672">
              <w:rPr>
                <w:rFonts w:ascii="Times New Roman" w:hAnsi="Times New Roman"/>
                <w:sz w:val="16"/>
                <w:szCs w:val="16"/>
              </w:rPr>
              <w:t>підставі</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розпоряджень</w:t>
            </w:r>
            <w:proofErr w:type="spellEnd"/>
            <w:r w:rsidRPr="00E16672">
              <w:rPr>
                <w:rFonts w:ascii="Times New Roman" w:hAnsi="Times New Roman"/>
                <w:sz w:val="16"/>
                <w:szCs w:val="16"/>
              </w:rPr>
              <w:t xml:space="preserve"> та </w:t>
            </w:r>
            <w:proofErr w:type="spellStart"/>
            <w:r w:rsidRPr="00E16672">
              <w:rPr>
                <w:rFonts w:ascii="Times New Roman" w:hAnsi="Times New Roman"/>
                <w:sz w:val="16"/>
                <w:szCs w:val="16"/>
              </w:rPr>
              <w:t>інформації</w:t>
            </w:r>
            <w:proofErr w:type="spellEnd"/>
            <w:r w:rsidRPr="00E16672">
              <w:rPr>
                <w:rFonts w:ascii="Times New Roman" w:hAnsi="Times New Roman"/>
                <w:sz w:val="16"/>
                <w:szCs w:val="16"/>
              </w:rPr>
              <w:t xml:space="preserve"> Центрального </w:t>
            </w:r>
            <w:proofErr w:type="spellStart"/>
            <w:r w:rsidRPr="00E16672">
              <w:rPr>
                <w:rFonts w:ascii="Times New Roman" w:hAnsi="Times New Roman"/>
                <w:sz w:val="16"/>
                <w:szCs w:val="16"/>
              </w:rPr>
              <w:t>депозитарію</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наданих</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Депозитарній</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установі</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згідно</w:t>
            </w:r>
            <w:proofErr w:type="spellEnd"/>
            <w:r w:rsidRPr="00E16672">
              <w:rPr>
                <w:rFonts w:ascii="Times New Roman" w:hAnsi="Times New Roman"/>
                <w:sz w:val="16"/>
                <w:szCs w:val="16"/>
              </w:rPr>
              <w:t xml:space="preserve"> з </w:t>
            </w:r>
            <w:proofErr w:type="spellStart"/>
            <w:r w:rsidRPr="00E16672">
              <w:rPr>
                <w:rFonts w:ascii="Times New Roman" w:hAnsi="Times New Roman"/>
                <w:sz w:val="16"/>
                <w:szCs w:val="16"/>
              </w:rPr>
              <w:t>інформацією</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отриманою</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Центральним</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депозитарієм</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від</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Розрахункового</w:t>
            </w:r>
            <w:proofErr w:type="spellEnd"/>
            <w:r w:rsidRPr="00E16672">
              <w:rPr>
                <w:rFonts w:ascii="Times New Roman" w:hAnsi="Times New Roman"/>
                <w:sz w:val="16"/>
                <w:szCs w:val="16"/>
              </w:rPr>
              <w:t xml:space="preserve"> центру </w:t>
            </w:r>
            <w:proofErr w:type="spellStart"/>
            <w:r w:rsidRPr="00E16672">
              <w:rPr>
                <w:rFonts w:ascii="Times New Roman" w:hAnsi="Times New Roman"/>
                <w:sz w:val="16"/>
                <w:szCs w:val="16"/>
              </w:rPr>
              <w:t>чи</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клірингової</w:t>
            </w:r>
            <w:proofErr w:type="spellEnd"/>
            <w:r w:rsidRPr="00E16672">
              <w:rPr>
                <w:rFonts w:ascii="Times New Roman" w:hAnsi="Times New Roman"/>
                <w:sz w:val="16"/>
                <w:szCs w:val="16"/>
              </w:rPr>
              <w:t xml:space="preserve"> установи.</w:t>
            </w:r>
          </w:p>
          <w:p w14:paraId="438D2928" w14:textId="77777777" w:rsidR="00E51F85" w:rsidRPr="00E16672" w:rsidRDefault="00E51F85" w:rsidP="00547A75">
            <w:pPr>
              <w:pStyle w:val="210"/>
              <w:ind w:left="175" w:right="138" w:firstLine="7"/>
              <w:rPr>
                <w:rFonts w:ascii="Times New Roman" w:hAnsi="Times New Roman"/>
                <w:sz w:val="16"/>
                <w:szCs w:val="16"/>
              </w:rPr>
            </w:pPr>
          </w:p>
        </w:tc>
        <w:tc>
          <w:tcPr>
            <w:tcW w:w="5494" w:type="dxa"/>
            <w:gridSpan w:val="7"/>
            <w:shd w:val="clear" w:color="auto" w:fill="auto"/>
          </w:tcPr>
          <w:p w14:paraId="1970BB6D" w14:textId="77777777" w:rsidR="00E51F85" w:rsidRPr="00E16672" w:rsidRDefault="00E51F85" w:rsidP="00547A75">
            <w:pPr>
              <w:pStyle w:val="210"/>
              <w:snapToGrid w:val="0"/>
              <w:ind w:left="175" w:right="138" w:firstLine="7"/>
              <w:rPr>
                <w:rFonts w:ascii="Times New Roman" w:hAnsi="Times New Roman"/>
                <w:sz w:val="16"/>
                <w:szCs w:val="16"/>
              </w:rPr>
            </w:pPr>
            <w:r w:rsidRPr="00E16672">
              <w:rPr>
                <w:rFonts w:ascii="Times New Roman" w:hAnsi="Times New Roman"/>
                <w:sz w:val="16"/>
                <w:szCs w:val="16"/>
              </w:rPr>
              <w:t xml:space="preserve">2.2.8. </w:t>
            </w:r>
            <w:proofErr w:type="spellStart"/>
            <w:r w:rsidRPr="00E16672">
              <w:rPr>
                <w:rFonts w:ascii="Times New Roman" w:hAnsi="Times New Roman"/>
                <w:sz w:val="16"/>
                <w:szCs w:val="16"/>
              </w:rPr>
              <w:t>In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carrying</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out</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calculations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for</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Securities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competence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concerning</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with</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principle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of</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supply</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of</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securities</w:t>
            </w:r>
            <w:proofErr w:type="spellEnd"/>
            <w:r w:rsidRPr="00E16672">
              <w:rPr>
                <w:rFonts w:ascii="Times New Roman" w:hAnsi="Times New Roman"/>
                <w:sz w:val="16"/>
                <w:szCs w:val="16"/>
              </w:rPr>
              <w:t xml:space="preserve"> </w:t>
            </w:r>
            <w:r w:rsidR="00FD622C" w:rsidRPr="00E16672">
              <w:rPr>
                <w:rFonts w:ascii="Times New Roman" w:hAnsi="Times New Roman"/>
                <w:sz w:val="16"/>
                <w:szCs w:val="16"/>
                <w:lang w:val="en-US"/>
              </w:rPr>
              <w:t>against</w:t>
            </w:r>
            <w:r w:rsidRPr="00E16672">
              <w:rPr>
                <w:rFonts w:ascii="Times New Roman" w:hAnsi="Times New Roman"/>
                <w:sz w:val="16"/>
                <w:szCs w:val="16"/>
              </w:rPr>
              <w:t xml:space="preserve"> </w:t>
            </w:r>
            <w:proofErr w:type="spellStart"/>
            <w:r w:rsidRPr="00E16672">
              <w:rPr>
                <w:rFonts w:ascii="Times New Roman" w:hAnsi="Times New Roman"/>
                <w:sz w:val="16"/>
                <w:szCs w:val="16"/>
              </w:rPr>
              <w:t>payment</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to</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perform</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account</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of</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Depositor's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securities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depository</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transactions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in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securities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without</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available</w:t>
            </w:r>
            <w:proofErr w:type="spellEnd"/>
            <w:r w:rsidRPr="00E16672">
              <w:rPr>
                <w:rFonts w:ascii="Times New Roman" w:hAnsi="Times New Roman"/>
                <w:sz w:val="16"/>
                <w:szCs w:val="16"/>
              </w:rPr>
              <w:t xml:space="preserve"> </w:t>
            </w:r>
            <w:r w:rsidRPr="00E16672">
              <w:rPr>
                <w:rFonts w:ascii="Times New Roman" w:hAnsi="Times New Roman"/>
                <w:sz w:val="16"/>
                <w:szCs w:val="16"/>
                <w:lang w:val="en-US"/>
              </w:rPr>
              <w:t>D</w:t>
            </w:r>
            <w:proofErr w:type="spellStart"/>
            <w:r w:rsidRPr="00E16672">
              <w:rPr>
                <w:rFonts w:ascii="Times New Roman" w:hAnsi="Times New Roman"/>
                <w:sz w:val="16"/>
                <w:szCs w:val="16"/>
              </w:rPr>
              <w:t>epositor</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solely</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orders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of</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Central</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Depository</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and</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information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provided</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by</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r w:rsidRPr="00E16672">
              <w:rPr>
                <w:rFonts w:ascii="Times New Roman" w:hAnsi="Times New Roman"/>
                <w:sz w:val="16"/>
                <w:szCs w:val="16"/>
                <w:lang w:val="en-US"/>
              </w:rPr>
              <w:t>D</w:t>
            </w:r>
            <w:proofErr w:type="spellStart"/>
            <w:r w:rsidRPr="00E16672">
              <w:rPr>
                <w:rFonts w:ascii="Times New Roman" w:hAnsi="Times New Roman"/>
                <w:sz w:val="16"/>
                <w:szCs w:val="16"/>
              </w:rPr>
              <w:t>epository</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institution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in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accordance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with</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information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received</w:t>
            </w:r>
            <w:proofErr w:type="spellEnd"/>
            <w:r w:rsidRPr="00E16672">
              <w:rPr>
                <w:rFonts w:ascii="Times New Roman" w:hAnsi="Times New Roman"/>
                <w:sz w:val="16"/>
                <w:szCs w:val="16"/>
              </w:rPr>
              <w:t xml:space="preserve"> </w:t>
            </w:r>
            <w:r w:rsidRPr="00E16672">
              <w:rPr>
                <w:rFonts w:ascii="Times New Roman" w:hAnsi="Times New Roman"/>
                <w:sz w:val="16"/>
                <w:szCs w:val="16"/>
                <w:lang w:val="en-US"/>
              </w:rPr>
              <w:t xml:space="preserve"> by </w:t>
            </w:r>
            <w:proofErr w:type="spellStart"/>
            <w:r w:rsidRPr="00E16672">
              <w:rPr>
                <w:rFonts w:ascii="Times New Roman" w:hAnsi="Times New Roman"/>
                <w:sz w:val="16"/>
                <w:szCs w:val="16"/>
              </w:rPr>
              <w:t>Central</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Depository</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from</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r w:rsidRPr="00E16672">
              <w:rPr>
                <w:rFonts w:ascii="Times New Roman" w:hAnsi="Times New Roman"/>
                <w:sz w:val="16"/>
                <w:szCs w:val="16"/>
                <w:lang w:val="en-US"/>
              </w:rPr>
              <w:t>Accounting</w:t>
            </w:r>
            <w:r w:rsidRPr="00E16672">
              <w:rPr>
                <w:rFonts w:ascii="Times New Roman" w:hAnsi="Times New Roman"/>
                <w:sz w:val="16"/>
                <w:szCs w:val="16"/>
              </w:rPr>
              <w:t xml:space="preserve"> </w:t>
            </w:r>
            <w:proofErr w:type="spellStart"/>
            <w:r w:rsidRPr="00E16672">
              <w:rPr>
                <w:rFonts w:ascii="Times New Roman" w:hAnsi="Times New Roman"/>
                <w:sz w:val="16"/>
                <w:szCs w:val="16"/>
              </w:rPr>
              <w:t>center</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or</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clearing</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institution</w:t>
            </w:r>
            <w:proofErr w:type="spellEnd"/>
            <w:r w:rsidRPr="00E16672">
              <w:rPr>
                <w:rFonts w:ascii="Times New Roman" w:hAnsi="Times New Roman"/>
                <w:sz w:val="16"/>
                <w:szCs w:val="16"/>
              </w:rPr>
              <w:t>.</w:t>
            </w:r>
          </w:p>
        </w:tc>
      </w:tr>
      <w:tr w:rsidR="00E51F85" w:rsidRPr="00F23413" w14:paraId="347F064A" w14:textId="77777777" w:rsidTr="00D77858">
        <w:tblPrEx>
          <w:tblCellMar>
            <w:left w:w="0" w:type="dxa"/>
            <w:right w:w="0" w:type="dxa"/>
          </w:tblCellMar>
        </w:tblPrEx>
        <w:trPr>
          <w:trHeight w:val="192"/>
        </w:trPr>
        <w:tc>
          <w:tcPr>
            <w:tcW w:w="5696" w:type="dxa"/>
            <w:gridSpan w:val="6"/>
            <w:shd w:val="clear" w:color="auto" w:fill="auto"/>
          </w:tcPr>
          <w:p w14:paraId="7CE29E4E" w14:textId="77777777" w:rsidR="00E51F85" w:rsidRPr="00E16672" w:rsidRDefault="00E51F85" w:rsidP="00547A75">
            <w:pPr>
              <w:tabs>
                <w:tab w:val="left" w:pos="540"/>
              </w:tabs>
              <w:snapToGrid w:val="0"/>
              <w:ind w:left="175" w:right="138" w:firstLine="7"/>
              <w:rPr>
                <w:rFonts w:ascii="Times New Roman" w:hAnsi="Times New Roman"/>
                <w:sz w:val="16"/>
                <w:szCs w:val="16"/>
                <w:lang w:val="en-US"/>
              </w:rPr>
            </w:pPr>
            <w:r w:rsidRPr="00E16672">
              <w:rPr>
                <w:rFonts w:ascii="Times New Roman" w:hAnsi="Times New Roman"/>
                <w:sz w:val="16"/>
                <w:szCs w:val="16"/>
                <w:lang w:val="en-US"/>
              </w:rPr>
              <w:t xml:space="preserve">2.2.9. </w:t>
            </w:r>
            <w:proofErr w:type="spellStart"/>
            <w:r w:rsidRPr="00E16672">
              <w:rPr>
                <w:rFonts w:ascii="Times New Roman" w:hAnsi="Times New Roman"/>
                <w:sz w:val="16"/>
                <w:szCs w:val="16"/>
              </w:rPr>
              <w:t>Відмінити</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облікові</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операції</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які</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були</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ініційовані</w:t>
            </w:r>
            <w:proofErr w:type="spellEnd"/>
            <w:r w:rsidRPr="00E16672">
              <w:rPr>
                <w:rFonts w:ascii="Times New Roman" w:hAnsi="Times New Roman"/>
                <w:sz w:val="16"/>
                <w:szCs w:val="16"/>
                <w:lang w:val="en-US"/>
              </w:rPr>
              <w:t xml:space="preserve"> </w:t>
            </w:r>
            <w:r w:rsidRPr="00E16672">
              <w:rPr>
                <w:rFonts w:ascii="Times New Roman" w:hAnsi="Times New Roman"/>
                <w:sz w:val="16"/>
                <w:szCs w:val="16"/>
              </w:rPr>
              <w:t>Депозитарною</w:t>
            </w:r>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установою</w:t>
            </w:r>
            <w:proofErr w:type="spellEnd"/>
            <w:r w:rsidRPr="00E16672">
              <w:rPr>
                <w:rFonts w:ascii="Times New Roman" w:hAnsi="Times New Roman"/>
                <w:sz w:val="16"/>
                <w:szCs w:val="16"/>
                <w:lang w:val="en-US"/>
              </w:rPr>
              <w:t xml:space="preserve"> </w:t>
            </w:r>
            <w:r w:rsidRPr="00E16672">
              <w:rPr>
                <w:rFonts w:ascii="Times New Roman" w:hAnsi="Times New Roman"/>
                <w:sz w:val="16"/>
                <w:szCs w:val="16"/>
              </w:rPr>
              <w:t>у</w:t>
            </w:r>
            <w:r w:rsidRPr="00E16672">
              <w:rPr>
                <w:rFonts w:ascii="Times New Roman" w:hAnsi="Times New Roman"/>
                <w:sz w:val="16"/>
                <w:szCs w:val="16"/>
                <w:lang w:val="en-US"/>
              </w:rPr>
              <w:t xml:space="preserve"> </w:t>
            </w:r>
            <w:r w:rsidRPr="00E16672">
              <w:rPr>
                <w:rFonts w:ascii="Times New Roman" w:hAnsi="Times New Roman"/>
                <w:sz w:val="16"/>
                <w:szCs w:val="16"/>
              </w:rPr>
              <w:t>Центральному</w:t>
            </w:r>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депозитарії</w:t>
            </w:r>
            <w:proofErr w:type="spellEnd"/>
            <w:r w:rsidRPr="00E16672">
              <w:rPr>
                <w:rFonts w:ascii="Times New Roman" w:hAnsi="Times New Roman"/>
                <w:sz w:val="16"/>
                <w:szCs w:val="16"/>
                <w:lang w:val="en-US"/>
              </w:rPr>
              <w:t xml:space="preserve">, </w:t>
            </w:r>
            <w:r w:rsidRPr="00E16672">
              <w:rPr>
                <w:rFonts w:ascii="Times New Roman" w:hAnsi="Times New Roman"/>
                <w:sz w:val="16"/>
                <w:szCs w:val="16"/>
              </w:rPr>
              <w:t>але</w:t>
            </w:r>
            <w:r w:rsidRPr="00E16672">
              <w:rPr>
                <w:rFonts w:ascii="Times New Roman" w:hAnsi="Times New Roman"/>
                <w:sz w:val="16"/>
                <w:szCs w:val="16"/>
                <w:lang w:val="en-US"/>
              </w:rPr>
              <w:t xml:space="preserve"> </w:t>
            </w:r>
            <w:r w:rsidRPr="00E16672">
              <w:rPr>
                <w:rFonts w:ascii="Times New Roman" w:hAnsi="Times New Roman"/>
                <w:sz w:val="16"/>
                <w:szCs w:val="16"/>
              </w:rPr>
              <w:t>не</w:t>
            </w:r>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були</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завершені</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протягом</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трьох</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робочих</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днів</w:t>
            </w:r>
            <w:proofErr w:type="spellEnd"/>
            <w:r w:rsidRPr="00E16672">
              <w:rPr>
                <w:rFonts w:ascii="Times New Roman" w:hAnsi="Times New Roman"/>
                <w:sz w:val="16"/>
                <w:szCs w:val="16"/>
                <w:lang w:val="en-US"/>
              </w:rPr>
              <w:t xml:space="preserve"> </w:t>
            </w:r>
            <w:r w:rsidRPr="00E16672">
              <w:rPr>
                <w:rFonts w:ascii="Times New Roman" w:hAnsi="Times New Roman"/>
                <w:sz w:val="16"/>
                <w:szCs w:val="16"/>
              </w:rPr>
              <w:t>за</w:t>
            </w:r>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підстав</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які</w:t>
            </w:r>
            <w:proofErr w:type="spellEnd"/>
            <w:r w:rsidRPr="00E16672">
              <w:rPr>
                <w:rFonts w:ascii="Times New Roman" w:hAnsi="Times New Roman"/>
                <w:sz w:val="16"/>
                <w:szCs w:val="16"/>
                <w:lang w:val="en-US"/>
              </w:rPr>
              <w:t xml:space="preserve"> </w:t>
            </w:r>
            <w:r w:rsidRPr="00E16672">
              <w:rPr>
                <w:rFonts w:ascii="Times New Roman" w:hAnsi="Times New Roman"/>
                <w:sz w:val="16"/>
                <w:szCs w:val="16"/>
              </w:rPr>
              <w:t>не</w:t>
            </w:r>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залежать</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від</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Депозитарної</w:t>
            </w:r>
            <w:proofErr w:type="spellEnd"/>
            <w:r w:rsidRPr="00E16672">
              <w:rPr>
                <w:rFonts w:ascii="Times New Roman" w:hAnsi="Times New Roman"/>
                <w:sz w:val="16"/>
                <w:szCs w:val="16"/>
                <w:lang w:val="en-US"/>
              </w:rPr>
              <w:t xml:space="preserve"> </w:t>
            </w:r>
            <w:r w:rsidRPr="00E16672">
              <w:rPr>
                <w:rFonts w:ascii="Times New Roman" w:hAnsi="Times New Roman"/>
                <w:sz w:val="16"/>
                <w:szCs w:val="16"/>
              </w:rPr>
              <w:t>установи</w:t>
            </w:r>
            <w:r w:rsidRPr="00E16672">
              <w:rPr>
                <w:rFonts w:ascii="Times New Roman" w:hAnsi="Times New Roman"/>
                <w:sz w:val="16"/>
                <w:szCs w:val="16"/>
                <w:lang w:val="en-US"/>
              </w:rPr>
              <w:t xml:space="preserve">, </w:t>
            </w:r>
            <w:r w:rsidRPr="00E16672">
              <w:rPr>
                <w:rFonts w:ascii="Times New Roman" w:hAnsi="Times New Roman"/>
                <w:sz w:val="16"/>
                <w:szCs w:val="16"/>
              </w:rPr>
              <w:t>у</w:t>
            </w:r>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випадку</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отримання</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від</w:t>
            </w:r>
            <w:proofErr w:type="spellEnd"/>
            <w:r w:rsidRPr="00E16672">
              <w:rPr>
                <w:rFonts w:ascii="Times New Roman" w:hAnsi="Times New Roman"/>
                <w:sz w:val="16"/>
                <w:szCs w:val="16"/>
                <w:lang w:val="en-US"/>
              </w:rPr>
              <w:t xml:space="preserve"> </w:t>
            </w:r>
            <w:r w:rsidRPr="00E16672">
              <w:rPr>
                <w:rFonts w:ascii="Times New Roman" w:hAnsi="Times New Roman"/>
                <w:sz w:val="16"/>
                <w:szCs w:val="16"/>
              </w:rPr>
              <w:t>Депонента</w:t>
            </w:r>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відповідного</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розпорядження</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відміни</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анулювання</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його</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попереднього</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розпорядження</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згідно</w:t>
            </w:r>
            <w:proofErr w:type="spellEnd"/>
            <w:r w:rsidRPr="00E16672">
              <w:rPr>
                <w:rFonts w:ascii="Times New Roman" w:hAnsi="Times New Roman"/>
                <w:sz w:val="16"/>
                <w:szCs w:val="16"/>
                <w:lang w:val="en-US"/>
              </w:rPr>
              <w:t xml:space="preserve"> </w:t>
            </w:r>
            <w:r w:rsidRPr="00E16672">
              <w:rPr>
                <w:rFonts w:ascii="Times New Roman" w:hAnsi="Times New Roman"/>
                <w:sz w:val="16"/>
                <w:szCs w:val="16"/>
              </w:rPr>
              <w:t>з</w:t>
            </w:r>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внутрішніми</w:t>
            </w:r>
            <w:proofErr w:type="spellEnd"/>
            <w:r w:rsidRPr="00E16672">
              <w:rPr>
                <w:rFonts w:ascii="Times New Roman" w:hAnsi="Times New Roman"/>
                <w:sz w:val="16"/>
                <w:szCs w:val="16"/>
                <w:lang w:val="en-US"/>
              </w:rPr>
              <w:t xml:space="preserve"> </w:t>
            </w:r>
            <w:r w:rsidRPr="00E16672">
              <w:rPr>
                <w:rFonts w:ascii="Times New Roman" w:hAnsi="Times New Roman"/>
                <w:sz w:val="16"/>
                <w:szCs w:val="16"/>
              </w:rPr>
              <w:t>документами</w:t>
            </w:r>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депозитарної</w:t>
            </w:r>
            <w:proofErr w:type="spellEnd"/>
            <w:r w:rsidRPr="00E16672">
              <w:rPr>
                <w:rFonts w:ascii="Times New Roman" w:hAnsi="Times New Roman"/>
                <w:sz w:val="16"/>
                <w:szCs w:val="16"/>
                <w:lang w:val="en-US"/>
              </w:rPr>
              <w:t xml:space="preserve"> </w:t>
            </w:r>
            <w:r w:rsidRPr="00E16672">
              <w:rPr>
                <w:rFonts w:ascii="Times New Roman" w:hAnsi="Times New Roman"/>
                <w:sz w:val="16"/>
                <w:szCs w:val="16"/>
              </w:rPr>
              <w:t>установи</w:t>
            </w:r>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відповідно</w:t>
            </w:r>
            <w:proofErr w:type="spellEnd"/>
            <w:r w:rsidRPr="00E16672">
              <w:rPr>
                <w:rFonts w:ascii="Times New Roman" w:hAnsi="Times New Roman"/>
                <w:sz w:val="16"/>
                <w:szCs w:val="16"/>
                <w:lang w:val="en-US"/>
              </w:rPr>
              <w:t xml:space="preserve"> </w:t>
            </w:r>
            <w:r w:rsidRPr="00E16672">
              <w:rPr>
                <w:rFonts w:ascii="Times New Roman" w:hAnsi="Times New Roman"/>
                <w:sz w:val="16"/>
                <w:szCs w:val="16"/>
              </w:rPr>
              <w:t>до</w:t>
            </w:r>
            <w:r w:rsidRPr="00E16672">
              <w:rPr>
                <w:rFonts w:ascii="Times New Roman" w:hAnsi="Times New Roman"/>
                <w:sz w:val="16"/>
                <w:szCs w:val="16"/>
                <w:lang w:val="en-US"/>
              </w:rPr>
              <w:t xml:space="preserve"> </w:t>
            </w:r>
            <w:r w:rsidRPr="00E16672">
              <w:rPr>
                <w:rFonts w:ascii="Times New Roman" w:hAnsi="Times New Roman"/>
                <w:sz w:val="16"/>
                <w:szCs w:val="16"/>
              </w:rPr>
              <w:t>Правил</w:t>
            </w:r>
            <w:r w:rsidRPr="00E16672">
              <w:rPr>
                <w:rFonts w:ascii="Times New Roman" w:hAnsi="Times New Roman"/>
                <w:sz w:val="16"/>
                <w:szCs w:val="16"/>
                <w:lang w:val="en-US"/>
              </w:rPr>
              <w:t xml:space="preserve"> </w:t>
            </w:r>
            <w:r w:rsidRPr="00E16672">
              <w:rPr>
                <w:rFonts w:ascii="Times New Roman" w:hAnsi="Times New Roman"/>
                <w:sz w:val="16"/>
                <w:szCs w:val="16"/>
              </w:rPr>
              <w:t>та</w:t>
            </w:r>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інших</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внутрішніх</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документів</w:t>
            </w:r>
            <w:proofErr w:type="spellEnd"/>
            <w:r w:rsidRPr="00E16672">
              <w:rPr>
                <w:rFonts w:ascii="Times New Roman" w:hAnsi="Times New Roman"/>
                <w:sz w:val="16"/>
                <w:szCs w:val="16"/>
                <w:lang w:val="en-US"/>
              </w:rPr>
              <w:t xml:space="preserve"> </w:t>
            </w:r>
            <w:r w:rsidRPr="00E16672">
              <w:rPr>
                <w:rFonts w:ascii="Times New Roman" w:hAnsi="Times New Roman"/>
                <w:sz w:val="16"/>
                <w:szCs w:val="16"/>
              </w:rPr>
              <w:t>Центрального</w:t>
            </w:r>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депозитарію</w:t>
            </w:r>
            <w:proofErr w:type="spellEnd"/>
            <w:r w:rsidRPr="00E16672">
              <w:rPr>
                <w:rFonts w:ascii="Times New Roman" w:hAnsi="Times New Roman"/>
                <w:sz w:val="16"/>
                <w:szCs w:val="16"/>
                <w:lang w:val="en-US"/>
              </w:rPr>
              <w:t>.</w:t>
            </w:r>
          </w:p>
          <w:p w14:paraId="1CE00130" w14:textId="77777777" w:rsidR="00E51F85" w:rsidRPr="00E16672" w:rsidRDefault="00E51F85" w:rsidP="00547A75">
            <w:pPr>
              <w:pStyle w:val="210"/>
              <w:ind w:left="175" w:right="138" w:firstLine="7"/>
              <w:rPr>
                <w:rFonts w:ascii="Times New Roman" w:hAnsi="Times New Roman"/>
                <w:sz w:val="16"/>
                <w:szCs w:val="16"/>
              </w:rPr>
            </w:pPr>
          </w:p>
        </w:tc>
        <w:tc>
          <w:tcPr>
            <w:tcW w:w="5494" w:type="dxa"/>
            <w:gridSpan w:val="7"/>
            <w:shd w:val="clear" w:color="auto" w:fill="auto"/>
          </w:tcPr>
          <w:p w14:paraId="589A42D0" w14:textId="77777777" w:rsidR="00E51F85" w:rsidRPr="00E16672" w:rsidRDefault="00E51F85" w:rsidP="00547A75">
            <w:pPr>
              <w:snapToGrid w:val="0"/>
              <w:ind w:left="175" w:right="138" w:firstLine="7"/>
              <w:rPr>
                <w:rFonts w:ascii="Times New Roman" w:hAnsi="Times New Roman"/>
                <w:sz w:val="16"/>
                <w:szCs w:val="16"/>
                <w:lang w:val="en-GB"/>
              </w:rPr>
            </w:pPr>
            <w:r w:rsidRPr="00E16672">
              <w:rPr>
                <w:rFonts w:ascii="Times New Roman" w:hAnsi="Times New Roman"/>
                <w:sz w:val="16"/>
                <w:szCs w:val="16"/>
                <w:lang w:val="en-GB"/>
              </w:rPr>
              <w:t xml:space="preserve">2.2.9. Cancel accounting </w:t>
            </w:r>
            <w:r w:rsidRPr="00E16672">
              <w:rPr>
                <w:rFonts w:ascii="Times New Roman" w:hAnsi="Times New Roman"/>
                <w:sz w:val="16"/>
                <w:szCs w:val="16"/>
                <w:lang w:val="en-US"/>
              </w:rPr>
              <w:t>opera</w:t>
            </w:r>
            <w:proofErr w:type="spellStart"/>
            <w:r w:rsidRPr="00E16672">
              <w:rPr>
                <w:rFonts w:ascii="Times New Roman" w:hAnsi="Times New Roman"/>
                <w:sz w:val="16"/>
                <w:szCs w:val="16"/>
                <w:lang w:val="en-GB"/>
              </w:rPr>
              <w:t>tions</w:t>
            </w:r>
            <w:proofErr w:type="spellEnd"/>
            <w:r w:rsidRPr="00E16672">
              <w:rPr>
                <w:rFonts w:ascii="Times New Roman" w:hAnsi="Times New Roman"/>
                <w:sz w:val="16"/>
                <w:szCs w:val="16"/>
                <w:lang w:val="en-GB"/>
              </w:rPr>
              <w:t xml:space="preserve"> that were initiated by </w:t>
            </w:r>
            <w:r w:rsidRPr="00E16672">
              <w:rPr>
                <w:rFonts w:ascii="Times New Roman" w:hAnsi="Times New Roman"/>
                <w:sz w:val="16"/>
                <w:szCs w:val="16"/>
                <w:lang w:val="en-US"/>
              </w:rPr>
              <w:t>D</w:t>
            </w:r>
            <w:proofErr w:type="spellStart"/>
            <w:r w:rsidRPr="00E16672">
              <w:rPr>
                <w:rFonts w:ascii="Times New Roman" w:hAnsi="Times New Roman"/>
                <w:sz w:val="16"/>
                <w:szCs w:val="16"/>
                <w:lang w:val="en-GB"/>
              </w:rPr>
              <w:t>epository</w:t>
            </w:r>
            <w:proofErr w:type="spellEnd"/>
            <w:r w:rsidRPr="00E16672">
              <w:rPr>
                <w:rFonts w:ascii="Times New Roman" w:hAnsi="Times New Roman"/>
                <w:sz w:val="16"/>
                <w:szCs w:val="16"/>
                <w:lang w:val="en-GB"/>
              </w:rPr>
              <w:t xml:space="preserve"> institution in the Central Depository, but were not completed within three working days for reasons beyond the control of the </w:t>
            </w:r>
            <w:r w:rsidRPr="00E16672">
              <w:rPr>
                <w:rFonts w:ascii="Times New Roman" w:hAnsi="Times New Roman"/>
                <w:sz w:val="16"/>
                <w:szCs w:val="16"/>
                <w:lang w:val="en-US"/>
              </w:rPr>
              <w:t>D</w:t>
            </w:r>
            <w:proofErr w:type="spellStart"/>
            <w:r w:rsidRPr="00E16672">
              <w:rPr>
                <w:rFonts w:ascii="Times New Roman" w:hAnsi="Times New Roman"/>
                <w:sz w:val="16"/>
                <w:szCs w:val="16"/>
                <w:lang w:val="en-GB"/>
              </w:rPr>
              <w:t>epository</w:t>
            </w:r>
            <w:proofErr w:type="spellEnd"/>
            <w:r w:rsidRPr="00E16672">
              <w:rPr>
                <w:rFonts w:ascii="Times New Roman" w:hAnsi="Times New Roman"/>
                <w:sz w:val="16"/>
                <w:szCs w:val="16"/>
                <w:lang w:val="en-GB"/>
              </w:rPr>
              <w:t xml:space="preserve"> institution, in the case of a the Depositor of order cancellation of its previous order according to internal </w:t>
            </w:r>
            <w:proofErr w:type="gramStart"/>
            <w:r w:rsidRPr="00E16672">
              <w:rPr>
                <w:rFonts w:ascii="Times New Roman" w:hAnsi="Times New Roman"/>
                <w:sz w:val="16"/>
                <w:szCs w:val="16"/>
                <w:lang w:val="en-GB"/>
              </w:rPr>
              <w:t xml:space="preserve">documents </w:t>
            </w:r>
            <w:r w:rsidRPr="00E16672">
              <w:rPr>
                <w:rFonts w:ascii="Times New Roman" w:hAnsi="Times New Roman"/>
                <w:sz w:val="16"/>
                <w:szCs w:val="16"/>
                <w:lang w:val="en-US"/>
              </w:rPr>
              <w:t xml:space="preserve"> of</w:t>
            </w:r>
            <w:proofErr w:type="gramEnd"/>
            <w:r w:rsidRPr="00E16672">
              <w:rPr>
                <w:rFonts w:ascii="Times New Roman" w:hAnsi="Times New Roman"/>
                <w:sz w:val="16"/>
                <w:szCs w:val="16"/>
                <w:lang w:val="en-US"/>
              </w:rPr>
              <w:t xml:space="preserve"> D</w:t>
            </w:r>
            <w:proofErr w:type="spellStart"/>
            <w:r w:rsidRPr="00E16672">
              <w:rPr>
                <w:rFonts w:ascii="Times New Roman" w:hAnsi="Times New Roman"/>
                <w:sz w:val="16"/>
                <w:szCs w:val="16"/>
                <w:lang w:val="en-GB"/>
              </w:rPr>
              <w:t>epository</w:t>
            </w:r>
            <w:proofErr w:type="spellEnd"/>
            <w:r w:rsidRPr="00E16672">
              <w:rPr>
                <w:rFonts w:ascii="Times New Roman" w:hAnsi="Times New Roman"/>
                <w:sz w:val="16"/>
                <w:szCs w:val="16"/>
                <w:lang w:val="en-GB"/>
              </w:rPr>
              <w:t xml:space="preserve"> institution in accordance with the Rules and other internal documents of the Central Depository.</w:t>
            </w:r>
          </w:p>
          <w:p w14:paraId="3101FE21" w14:textId="77777777" w:rsidR="00E51F85" w:rsidRPr="00E16672" w:rsidRDefault="00E51F85" w:rsidP="00547A75">
            <w:pPr>
              <w:pStyle w:val="210"/>
              <w:snapToGrid w:val="0"/>
              <w:ind w:left="175" w:right="138" w:firstLine="7"/>
              <w:rPr>
                <w:rFonts w:ascii="Times New Roman" w:hAnsi="Times New Roman"/>
                <w:sz w:val="16"/>
                <w:szCs w:val="16"/>
                <w:lang w:val="en-GB"/>
              </w:rPr>
            </w:pPr>
          </w:p>
        </w:tc>
      </w:tr>
      <w:tr w:rsidR="00E51F85" w:rsidRPr="00F23413" w14:paraId="2CB0A66C" w14:textId="77777777" w:rsidTr="00C743EA">
        <w:tblPrEx>
          <w:tblCellMar>
            <w:left w:w="0" w:type="dxa"/>
            <w:right w:w="0" w:type="dxa"/>
          </w:tblCellMar>
        </w:tblPrEx>
        <w:trPr>
          <w:trHeight w:val="192"/>
        </w:trPr>
        <w:tc>
          <w:tcPr>
            <w:tcW w:w="5696" w:type="dxa"/>
            <w:gridSpan w:val="6"/>
            <w:shd w:val="clear" w:color="auto" w:fill="auto"/>
          </w:tcPr>
          <w:p w14:paraId="0821179B" w14:textId="77777777" w:rsidR="00E51F85" w:rsidRPr="00E16672" w:rsidRDefault="00E51F85" w:rsidP="00547A75">
            <w:pPr>
              <w:pStyle w:val="210"/>
              <w:snapToGrid w:val="0"/>
              <w:ind w:left="175" w:right="138" w:firstLine="7"/>
              <w:rPr>
                <w:rFonts w:ascii="Times New Roman" w:hAnsi="Times New Roman"/>
                <w:sz w:val="16"/>
                <w:szCs w:val="16"/>
              </w:rPr>
            </w:pPr>
            <w:r w:rsidRPr="00E16672">
              <w:rPr>
                <w:rFonts w:ascii="Times New Roman" w:hAnsi="Times New Roman"/>
                <w:sz w:val="16"/>
                <w:szCs w:val="16"/>
              </w:rPr>
              <w:t xml:space="preserve">2.2.10. </w:t>
            </w:r>
            <w:proofErr w:type="spellStart"/>
            <w:r w:rsidRPr="00E16672">
              <w:rPr>
                <w:rFonts w:ascii="Times New Roman" w:hAnsi="Times New Roman"/>
                <w:sz w:val="16"/>
                <w:szCs w:val="16"/>
              </w:rPr>
              <w:t>Знерухомити</w:t>
            </w:r>
            <w:proofErr w:type="spellEnd"/>
            <w:r w:rsidRPr="00E16672">
              <w:rPr>
                <w:rFonts w:ascii="Times New Roman" w:hAnsi="Times New Roman"/>
                <w:sz w:val="16"/>
                <w:szCs w:val="16"/>
              </w:rPr>
              <w:t xml:space="preserve"> належні </w:t>
            </w:r>
            <w:proofErr w:type="spellStart"/>
            <w:r w:rsidRPr="00E16672">
              <w:rPr>
                <w:rFonts w:ascii="Times New Roman" w:hAnsi="Times New Roman"/>
                <w:sz w:val="16"/>
                <w:szCs w:val="16"/>
              </w:rPr>
              <w:t>Депонент</w:t>
            </w:r>
            <w:r w:rsidR="00C22309" w:rsidRPr="00E16672">
              <w:rPr>
                <w:rFonts w:ascii="Times New Roman" w:hAnsi="Times New Roman"/>
                <w:sz w:val="16"/>
                <w:szCs w:val="16"/>
              </w:rPr>
              <w:t>в</w:t>
            </w:r>
            <w:proofErr w:type="spellEnd"/>
            <w:r w:rsidR="00C22309" w:rsidRPr="00E16672">
              <w:rPr>
                <w:rFonts w:ascii="Times New Roman" w:hAnsi="Times New Roman"/>
                <w:sz w:val="16"/>
                <w:szCs w:val="16"/>
              </w:rPr>
              <w:t xml:space="preserve"> цін</w:t>
            </w:r>
            <w:r w:rsidRPr="00E16672">
              <w:rPr>
                <w:rFonts w:ascii="Times New Roman" w:hAnsi="Times New Roman"/>
                <w:sz w:val="16"/>
                <w:szCs w:val="16"/>
              </w:rPr>
              <w:t xml:space="preserve">ні папери на пред`явника документарної форми існування, шляхом надання Депозитарній установі розпорядження про </w:t>
            </w:r>
            <w:proofErr w:type="spellStart"/>
            <w:r w:rsidRPr="00E16672">
              <w:rPr>
                <w:rFonts w:ascii="Times New Roman" w:hAnsi="Times New Roman"/>
                <w:sz w:val="16"/>
                <w:szCs w:val="16"/>
              </w:rPr>
              <w:t>знерухомлення</w:t>
            </w:r>
            <w:proofErr w:type="spellEnd"/>
            <w:r w:rsidRPr="00E16672">
              <w:rPr>
                <w:rFonts w:ascii="Times New Roman" w:hAnsi="Times New Roman"/>
                <w:sz w:val="16"/>
                <w:szCs w:val="16"/>
              </w:rPr>
              <w:t xml:space="preserve"> та зарахування цінних паперів (місце зберігання цінних паперів - Центральний депозитарій) та сертифікатів цінних паперів, приймання яких оформлюється складанням </w:t>
            </w:r>
            <w:proofErr w:type="spellStart"/>
            <w:r w:rsidRPr="00E16672">
              <w:rPr>
                <w:rFonts w:ascii="Times New Roman" w:hAnsi="Times New Roman"/>
                <w:sz w:val="16"/>
                <w:szCs w:val="16"/>
              </w:rPr>
              <w:t>акта</w:t>
            </w:r>
            <w:proofErr w:type="spellEnd"/>
            <w:r w:rsidRPr="00E16672">
              <w:rPr>
                <w:rFonts w:ascii="Times New Roman" w:hAnsi="Times New Roman"/>
                <w:sz w:val="16"/>
                <w:szCs w:val="16"/>
              </w:rPr>
              <w:t xml:space="preserve"> приймання-передавання.</w:t>
            </w:r>
          </w:p>
          <w:p w14:paraId="78935D29" w14:textId="77777777" w:rsidR="00E51F85" w:rsidRPr="00E16672" w:rsidRDefault="00E51F85" w:rsidP="00547A75">
            <w:pPr>
              <w:pStyle w:val="210"/>
              <w:snapToGrid w:val="0"/>
              <w:ind w:left="175" w:right="138" w:firstLine="7"/>
              <w:rPr>
                <w:rFonts w:ascii="Times New Roman" w:hAnsi="Times New Roman"/>
                <w:sz w:val="16"/>
                <w:szCs w:val="16"/>
              </w:rPr>
            </w:pPr>
          </w:p>
        </w:tc>
        <w:tc>
          <w:tcPr>
            <w:tcW w:w="5494" w:type="dxa"/>
            <w:gridSpan w:val="7"/>
            <w:shd w:val="clear" w:color="auto" w:fill="auto"/>
          </w:tcPr>
          <w:p w14:paraId="4869F584" w14:textId="77777777" w:rsidR="00E51F85" w:rsidRPr="00E16672" w:rsidRDefault="00E51F85" w:rsidP="00547A75">
            <w:pPr>
              <w:pStyle w:val="210"/>
              <w:snapToGrid w:val="0"/>
              <w:ind w:left="175" w:right="138" w:firstLine="7"/>
              <w:rPr>
                <w:rFonts w:ascii="Times New Roman" w:hAnsi="Times New Roman"/>
                <w:sz w:val="16"/>
                <w:szCs w:val="16"/>
                <w:lang w:val="en-US"/>
              </w:rPr>
            </w:pPr>
            <w:r w:rsidRPr="00E16672">
              <w:rPr>
                <w:rFonts w:ascii="Times New Roman" w:hAnsi="Times New Roman"/>
                <w:sz w:val="16"/>
                <w:szCs w:val="16"/>
                <w:lang w:val="en-US"/>
              </w:rPr>
              <w:t xml:space="preserve">2.2.10.  To make on operation of registrations as the </w:t>
            </w:r>
            <w:proofErr w:type="gramStart"/>
            <w:r w:rsidRPr="00E16672">
              <w:rPr>
                <w:rFonts w:ascii="Times New Roman" w:hAnsi="Times New Roman"/>
                <w:sz w:val="16"/>
                <w:szCs w:val="16"/>
                <w:lang w:val="en-US"/>
              </w:rPr>
              <w:t>nominee  Depositor’s</w:t>
            </w:r>
            <w:proofErr w:type="gramEnd"/>
            <w:r w:rsidRPr="00E16672">
              <w:rPr>
                <w:rFonts w:ascii="Times New Roman" w:hAnsi="Times New Roman"/>
                <w:sz w:val="16"/>
                <w:szCs w:val="16"/>
                <w:lang w:val="en-US"/>
              </w:rPr>
              <w:t xml:space="preserve"> securities resent applicant's documentary form by providing Depository institution order the operation of registrations as the nominee  of securities (place of safekeeping of securities – Central Depositary) and certificates of securities, receipt of which is made of act of acceptance and transfer.</w:t>
            </w:r>
          </w:p>
          <w:p w14:paraId="23FC9A1A" w14:textId="77777777" w:rsidR="00E51F85" w:rsidRPr="00E16672" w:rsidRDefault="00E51F85" w:rsidP="00547A75">
            <w:pPr>
              <w:pStyle w:val="210"/>
              <w:snapToGrid w:val="0"/>
              <w:ind w:left="175" w:right="138" w:firstLine="7"/>
              <w:rPr>
                <w:rFonts w:ascii="Times New Roman" w:hAnsi="Times New Roman"/>
                <w:sz w:val="16"/>
                <w:szCs w:val="16"/>
                <w:lang w:val="en-US"/>
              </w:rPr>
            </w:pPr>
          </w:p>
        </w:tc>
      </w:tr>
      <w:tr w:rsidR="008B667A" w:rsidRPr="00F23413" w14:paraId="05D3CC4E" w14:textId="77777777" w:rsidTr="00C743EA">
        <w:tblPrEx>
          <w:tblCellMar>
            <w:left w:w="0" w:type="dxa"/>
            <w:right w:w="0" w:type="dxa"/>
          </w:tblCellMar>
        </w:tblPrEx>
        <w:trPr>
          <w:trHeight w:val="192"/>
        </w:trPr>
        <w:tc>
          <w:tcPr>
            <w:tcW w:w="5696" w:type="dxa"/>
            <w:gridSpan w:val="6"/>
            <w:shd w:val="clear" w:color="auto" w:fill="auto"/>
          </w:tcPr>
          <w:p w14:paraId="0FED41F2" w14:textId="77777777" w:rsidR="008B667A" w:rsidRPr="00E16672" w:rsidRDefault="008B667A" w:rsidP="00547A75">
            <w:pPr>
              <w:ind w:left="175" w:firstLine="7"/>
              <w:rPr>
                <w:rFonts w:ascii="Times New Roman" w:hAnsi="Times New Roman"/>
                <w:color w:val="000000"/>
                <w:sz w:val="16"/>
                <w:szCs w:val="16"/>
                <w:lang w:val="uk-UA"/>
              </w:rPr>
            </w:pPr>
            <w:r w:rsidRPr="00E16672">
              <w:rPr>
                <w:rFonts w:ascii="Times New Roman" w:hAnsi="Times New Roman"/>
                <w:color w:val="000000"/>
                <w:sz w:val="16"/>
                <w:szCs w:val="16"/>
                <w:lang w:val="en-US"/>
              </w:rPr>
              <w:t xml:space="preserve">2.2.11. </w:t>
            </w:r>
            <w:r w:rsidRPr="00E16672">
              <w:rPr>
                <w:rFonts w:ascii="Times New Roman" w:hAnsi="Times New Roman"/>
                <w:color w:val="000000"/>
                <w:sz w:val="16"/>
                <w:szCs w:val="16"/>
                <w:lang w:val="uk-UA"/>
              </w:rPr>
              <w:t xml:space="preserve">Надавати письмову відмову у видачі виписки з </w:t>
            </w:r>
            <w:r w:rsidR="00E861F9" w:rsidRPr="00E16672">
              <w:rPr>
                <w:rFonts w:ascii="Times New Roman" w:hAnsi="Times New Roman"/>
                <w:color w:val="000000"/>
                <w:sz w:val="16"/>
                <w:szCs w:val="16"/>
                <w:lang w:val="uk-UA"/>
              </w:rPr>
              <w:t xml:space="preserve">рахунку </w:t>
            </w:r>
            <w:r w:rsidRPr="00E16672">
              <w:rPr>
                <w:rFonts w:ascii="Times New Roman" w:hAnsi="Times New Roman"/>
                <w:color w:val="000000"/>
                <w:sz w:val="16"/>
                <w:szCs w:val="16"/>
                <w:lang w:val="uk-UA"/>
              </w:rPr>
              <w:t xml:space="preserve">в цінних паперах у разі невідповідності оформлення </w:t>
            </w:r>
            <w:proofErr w:type="spellStart"/>
            <w:r w:rsidR="009F0B83" w:rsidRPr="00E16672">
              <w:rPr>
                <w:rFonts w:ascii="Times New Roman" w:hAnsi="Times New Roman"/>
                <w:color w:val="000000"/>
                <w:sz w:val="16"/>
                <w:szCs w:val="16"/>
              </w:rPr>
              <w:t>розпорядження</w:t>
            </w:r>
            <w:proofErr w:type="spellEnd"/>
            <w:r w:rsidR="009F0B83" w:rsidRPr="00E16672">
              <w:rPr>
                <w:rFonts w:ascii="Times New Roman" w:hAnsi="Times New Roman"/>
                <w:color w:val="000000"/>
                <w:sz w:val="16"/>
                <w:szCs w:val="16"/>
                <w:lang w:val="uk-UA"/>
              </w:rPr>
              <w:t xml:space="preserve"> </w:t>
            </w:r>
            <w:r w:rsidRPr="00E16672">
              <w:rPr>
                <w:rFonts w:ascii="Times New Roman" w:hAnsi="Times New Roman"/>
                <w:color w:val="000000"/>
                <w:sz w:val="16"/>
                <w:szCs w:val="16"/>
                <w:lang w:val="uk-UA"/>
              </w:rPr>
              <w:t xml:space="preserve">вимогам </w:t>
            </w:r>
            <w:r w:rsidRPr="00E16672">
              <w:rPr>
                <w:rFonts w:ascii="Times New Roman" w:hAnsi="Times New Roman"/>
                <w:bCs/>
                <w:color w:val="000000"/>
                <w:sz w:val="16"/>
                <w:szCs w:val="16"/>
                <w:lang w:val="uk-UA"/>
              </w:rPr>
              <w:t xml:space="preserve">Положення </w:t>
            </w:r>
            <w:r w:rsidRPr="00E16672">
              <w:rPr>
                <w:rFonts w:ascii="Times New Roman" w:hAnsi="Times New Roman"/>
                <w:bCs/>
                <w:color w:val="000000"/>
                <w:sz w:val="16"/>
                <w:szCs w:val="16"/>
              </w:rPr>
              <w:t>про</w:t>
            </w:r>
            <w:r w:rsidRPr="00E16672">
              <w:rPr>
                <w:rFonts w:ascii="Times New Roman" w:hAnsi="Times New Roman"/>
                <w:bCs/>
                <w:color w:val="000000"/>
                <w:sz w:val="16"/>
                <w:szCs w:val="16"/>
                <w:lang w:val="en-US"/>
              </w:rPr>
              <w:t xml:space="preserve"> </w:t>
            </w:r>
            <w:proofErr w:type="spellStart"/>
            <w:r w:rsidRPr="00E16672">
              <w:rPr>
                <w:rFonts w:ascii="Times New Roman" w:hAnsi="Times New Roman"/>
                <w:bCs/>
                <w:color w:val="000000"/>
                <w:sz w:val="16"/>
                <w:szCs w:val="16"/>
              </w:rPr>
              <w:t>провадження</w:t>
            </w:r>
            <w:proofErr w:type="spellEnd"/>
            <w:r w:rsidRPr="00E16672">
              <w:rPr>
                <w:rFonts w:ascii="Times New Roman" w:hAnsi="Times New Roman"/>
                <w:bCs/>
                <w:color w:val="000000"/>
                <w:sz w:val="16"/>
                <w:szCs w:val="16"/>
                <w:lang w:val="en-US"/>
              </w:rPr>
              <w:t xml:space="preserve"> </w:t>
            </w:r>
            <w:proofErr w:type="spellStart"/>
            <w:r w:rsidRPr="00E16672">
              <w:rPr>
                <w:rFonts w:ascii="Times New Roman" w:hAnsi="Times New Roman"/>
                <w:bCs/>
                <w:color w:val="000000"/>
                <w:sz w:val="16"/>
                <w:szCs w:val="16"/>
              </w:rPr>
              <w:t>депозитарної</w:t>
            </w:r>
            <w:proofErr w:type="spellEnd"/>
            <w:r w:rsidRPr="00E16672">
              <w:rPr>
                <w:rFonts w:ascii="Times New Roman" w:hAnsi="Times New Roman"/>
                <w:bCs/>
                <w:color w:val="000000"/>
                <w:sz w:val="16"/>
                <w:szCs w:val="16"/>
                <w:lang w:val="en-US"/>
              </w:rPr>
              <w:t xml:space="preserve"> </w:t>
            </w:r>
            <w:proofErr w:type="spellStart"/>
            <w:r w:rsidRPr="00E16672">
              <w:rPr>
                <w:rFonts w:ascii="Times New Roman" w:hAnsi="Times New Roman"/>
                <w:bCs/>
                <w:color w:val="000000"/>
                <w:sz w:val="16"/>
                <w:szCs w:val="16"/>
              </w:rPr>
              <w:t>діяльності</w:t>
            </w:r>
            <w:proofErr w:type="spellEnd"/>
            <w:r w:rsidRPr="00E16672">
              <w:rPr>
                <w:rFonts w:ascii="Times New Roman" w:hAnsi="Times New Roman"/>
                <w:bCs/>
                <w:color w:val="000000"/>
                <w:sz w:val="16"/>
                <w:szCs w:val="16"/>
                <w:lang w:val="en-US"/>
              </w:rPr>
              <w:t xml:space="preserve"> </w:t>
            </w:r>
            <w:r w:rsidRPr="00E16672">
              <w:rPr>
                <w:rFonts w:ascii="Times New Roman" w:hAnsi="Times New Roman"/>
                <w:bCs/>
                <w:color w:val="000000"/>
                <w:sz w:val="16"/>
                <w:szCs w:val="16"/>
              </w:rPr>
              <w:t>та</w:t>
            </w:r>
            <w:r w:rsidRPr="00E16672">
              <w:rPr>
                <w:rFonts w:ascii="Times New Roman" w:hAnsi="Times New Roman"/>
                <w:bCs/>
                <w:color w:val="000000"/>
                <w:sz w:val="16"/>
                <w:szCs w:val="16"/>
                <w:lang w:val="en-US"/>
              </w:rPr>
              <w:t>/</w:t>
            </w:r>
            <w:proofErr w:type="spellStart"/>
            <w:r w:rsidRPr="00E16672">
              <w:rPr>
                <w:rFonts w:ascii="Times New Roman" w:hAnsi="Times New Roman"/>
                <w:bCs/>
                <w:color w:val="000000"/>
                <w:sz w:val="16"/>
                <w:szCs w:val="16"/>
              </w:rPr>
              <w:t>або</w:t>
            </w:r>
            <w:proofErr w:type="spellEnd"/>
            <w:r w:rsidRPr="00E16672">
              <w:rPr>
                <w:rFonts w:ascii="Times New Roman" w:hAnsi="Times New Roman"/>
                <w:bCs/>
                <w:color w:val="000000"/>
                <w:sz w:val="16"/>
                <w:szCs w:val="16"/>
                <w:lang w:val="en-US"/>
              </w:rPr>
              <w:t xml:space="preserve"> </w:t>
            </w:r>
            <w:r w:rsidRPr="00E16672">
              <w:rPr>
                <w:rFonts w:ascii="Times New Roman" w:hAnsi="Times New Roman"/>
                <w:bCs/>
                <w:color w:val="000000"/>
                <w:sz w:val="16"/>
                <w:szCs w:val="16"/>
                <w:lang w:val="uk-UA"/>
              </w:rPr>
              <w:t>внутрішніх документів Депозитарної установи</w:t>
            </w:r>
            <w:r w:rsidRPr="00E16672">
              <w:rPr>
                <w:rFonts w:ascii="Times New Roman" w:hAnsi="Times New Roman"/>
                <w:color w:val="000000"/>
                <w:sz w:val="16"/>
                <w:szCs w:val="16"/>
                <w:lang w:val="uk-UA"/>
              </w:rPr>
              <w:t xml:space="preserve">. </w:t>
            </w:r>
            <w:r w:rsidR="00E861F9" w:rsidRPr="00E16672">
              <w:rPr>
                <w:rFonts w:ascii="Times New Roman" w:hAnsi="Times New Roman"/>
                <w:color w:val="000000"/>
                <w:sz w:val="16"/>
                <w:szCs w:val="20"/>
                <w:lang w:val="uk-UA"/>
              </w:rPr>
              <w:t xml:space="preserve">Відмовити Депоненту (розпоряднику рахунку, керуючому рахунком) у взятті до виконання розпорядження (запиту) у випадках, визначених законодавством та внутрішніми документами Депозитарної установи, </w:t>
            </w:r>
            <w:r w:rsidR="00FD622C" w:rsidRPr="00E16672">
              <w:rPr>
                <w:rFonts w:ascii="Times New Roman" w:hAnsi="Times New Roman"/>
                <w:color w:val="000000"/>
                <w:sz w:val="16"/>
                <w:szCs w:val="20"/>
                <w:lang w:val="uk-UA"/>
              </w:rPr>
              <w:t>в тому числі у разі відмови Депонента у приведенні Договору у відповідність до вимог законодавства</w:t>
            </w:r>
            <w:r w:rsidR="00E861F9" w:rsidRPr="00E16672">
              <w:rPr>
                <w:rFonts w:ascii="Times New Roman" w:hAnsi="Times New Roman"/>
                <w:color w:val="000000"/>
                <w:sz w:val="16"/>
                <w:szCs w:val="20"/>
                <w:lang w:val="uk-UA"/>
              </w:rPr>
              <w:t>.</w:t>
            </w:r>
          </w:p>
          <w:p w14:paraId="1C07AA0C" w14:textId="77777777" w:rsidR="008B667A" w:rsidRPr="00E16672" w:rsidRDefault="008B667A" w:rsidP="00547A75">
            <w:pPr>
              <w:pStyle w:val="210"/>
              <w:snapToGrid w:val="0"/>
              <w:ind w:left="175" w:right="62" w:firstLine="7"/>
              <w:rPr>
                <w:rFonts w:ascii="Times New Roman" w:hAnsi="Times New Roman"/>
                <w:color w:val="000000"/>
                <w:sz w:val="16"/>
                <w:szCs w:val="16"/>
              </w:rPr>
            </w:pPr>
          </w:p>
        </w:tc>
        <w:tc>
          <w:tcPr>
            <w:tcW w:w="5494" w:type="dxa"/>
            <w:gridSpan w:val="7"/>
            <w:shd w:val="clear" w:color="auto" w:fill="auto"/>
          </w:tcPr>
          <w:p w14:paraId="6D134C9F" w14:textId="77777777" w:rsidR="008B667A" w:rsidRPr="00E16672" w:rsidRDefault="008B667A" w:rsidP="00547A75">
            <w:pPr>
              <w:pStyle w:val="HTML"/>
              <w:ind w:left="175" w:right="62" w:firstLine="7"/>
              <w:rPr>
                <w:rFonts w:ascii="Times New Roman" w:hAnsi="Times New Roman" w:cs="Times New Roman"/>
                <w:color w:val="000000"/>
                <w:sz w:val="16"/>
                <w:szCs w:val="16"/>
                <w:lang w:val="uk-UA"/>
              </w:rPr>
            </w:pPr>
            <w:r w:rsidRPr="00E16672">
              <w:rPr>
                <w:rFonts w:ascii="Times New Roman" w:hAnsi="Times New Roman" w:cs="Times New Roman"/>
                <w:color w:val="000000"/>
                <w:sz w:val="16"/>
                <w:szCs w:val="16"/>
                <w:lang w:val="en-US"/>
              </w:rPr>
              <w:t xml:space="preserve">2.2.11. </w:t>
            </w:r>
            <w:r w:rsidR="009F0B83" w:rsidRPr="00E16672">
              <w:rPr>
                <w:rFonts w:ascii="Times New Roman" w:hAnsi="Times New Roman" w:cs="Times New Roman"/>
                <w:color w:val="000000"/>
                <w:sz w:val="16"/>
                <w:szCs w:val="16"/>
                <w:lang w:val="en-US"/>
              </w:rPr>
              <w:t xml:space="preserve">Provide a written refusal of issuing a an extract from the account in securities in the event of non-compliance registration the order with requirements of the </w:t>
            </w:r>
            <w:r w:rsidR="009F0B83" w:rsidRPr="00E16672">
              <w:rPr>
                <w:rFonts w:ascii="Times New Roman" w:hAnsi="Times New Roman" w:cs="Times New Roman"/>
                <w:bCs/>
                <w:color w:val="000000"/>
                <w:sz w:val="16"/>
                <w:szCs w:val="16"/>
                <w:lang w:val="en-US"/>
              </w:rPr>
              <w:t>Regulation on depository activities</w:t>
            </w:r>
            <w:r w:rsidR="009F0B83" w:rsidRPr="00E16672">
              <w:rPr>
                <w:rFonts w:ascii="Times New Roman" w:hAnsi="Times New Roman" w:cs="Times New Roman"/>
                <w:color w:val="000000"/>
                <w:sz w:val="16"/>
                <w:szCs w:val="16"/>
                <w:lang w:val="en-US"/>
              </w:rPr>
              <w:t xml:space="preserve"> and internal documents </w:t>
            </w:r>
            <w:proofErr w:type="gramStart"/>
            <w:r w:rsidR="009F0B83" w:rsidRPr="00E16672">
              <w:rPr>
                <w:rFonts w:ascii="Times New Roman" w:hAnsi="Times New Roman" w:cs="Times New Roman"/>
                <w:color w:val="000000"/>
                <w:sz w:val="16"/>
                <w:szCs w:val="16"/>
                <w:lang w:val="en-US"/>
              </w:rPr>
              <w:t>of  Depository</w:t>
            </w:r>
            <w:proofErr w:type="gramEnd"/>
            <w:r w:rsidR="009F0B83" w:rsidRPr="00E16672">
              <w:rPr>
                <w:rFonts w:ascii="Times New Roman" w:hAnsi="Times New Roman" w:cs="Times New Roman"/>
                <w:color w:val="000000"/>
                <w:sz w:val="16"/>
                <w:szCs w:val="16"/>
                <w:lang w:val="en-US"/>
              </w:rPr>
              <w:t xml:space="preserve"> institution</w:t>
            </w:r>
            <w:r w:rsidR="009F0B83" w:rsidRPr="00E16672">
              <w:rPr>
                <w:rFonts w:ascii="Times New Roman" w:hAnsi="Times New Roman" w:cs="Times New Roman"/>
                <w:color w:val="000000"/>
                <w:sz w:val="16"/>
                <w:szCs w:val="16"/>
                <w:lang w:val="uk-UA"/>
              </w:rPr>
              <w:t>.</w:t>
            </w:r>
          </w:p>
          <w:p w14:paraId="186F6DCB" w14:textId="77777777" w:rsidR="008B667A" w:rsidRPr="00E16672" w:rsidRDefault="00FD622C" w:rsidP="00547A75">
            <w:pPr>
              <w:pStyle w:val="210"/>
              <w:tabs>
                <w:tab w:val="left" w:pos="287"/>
              </w:tabs>
              <w:snapToGrid w:val="0"/>
              <w:ind w:left="175" w:right="62" w:firstLine="7"/>
              <w:rPr>
                <w:rFonts w:ascii="Times New Roman" w:hAnsi="Times New Roman"/>
                <w:color w:val="000000"/>
                <w:sz w:val="16"/>
                <w:szCs w:val="16"/>
                <w:lang w:val="en-US"/>
              </w:rPr>
            </w:pPr>
            <w:proofErr w:type="spellStart"/>
            <w:r w:rsidRPr="00E16672">
              <w:rPr>
                <w:rFonts w:ascii="Times New Roman" w:hAnsi="Times New Roman"/>
                <w:sz w:val="16"/>
                <w:szCs w:val="16"/>
              </w:rPr>
              <w:t>To</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refuse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Depositor</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Manager</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of</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account</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Аdministrator</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of</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account</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in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taking</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orders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inquiries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in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cases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specified</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by</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legislation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and</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internal</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documents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of</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Depository</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including</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in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case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of</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refusal</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of</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Depositor</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to</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bring</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Agreement</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into</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compliance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with</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requirements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of</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legislation</w:t>
            </w:r>
            <w:proofErr w:type="spellEnd"/>
            <w:r w:rsidR="00E861F9" w:rsidRPr="00E16672">
              <w:rPr>
                <w:rFonts w:ascii="Times New Roman" w:hAnsi="Times New Roman"/>
                <w:sz w:val="16"/>
                <w:szCs w:val="16"/>
              </w:rPr>
              <w:t>.</w:t>
            </w:r>
          </w:p>
        </w:tc>
      </w:tr>
      <w:tr w:rsidR="00E51F85" w:rsidRPr="00F23413" w14:paraId="521B530E" w14:textId="77777777" w:rsidTr="00C743EA">
        <w:tblPrEx>
          <w:tblCellMar>
            <w:left w:w="0" w:type="dxa"/>
            <w:right w:w="0" w:type="dxa"/>
          </w:tblCellMar>
        </w:tblPrEx>
        <w:trPr>
          <w:trHeight w:val="192"/>
        </w:trPr>
        <w:tc>
          <w:tcPr>
            <w:tcW w:w="5696" w:type="dxa"/>
            <w:gridSpan w:val="6"/>
            <w:shd w:val="clear" w:color="auto" w:fill="auto"/>
          </w:tcPr>
          <w:p w14:paraId="295191B9" w14:textId="77777777" w:rsidR="00E51F85" w:rsidRPr="00E16672" w:rsidRDefault="00E51F85" w:rsidP="00547A75">
            <w:pPr>
              <w:widowControl w:val="0"/>
              <w:tabs>
                <w:tab w:val="left" w:pos="540"/>
              </w:tabs>
              <w:snapToGrid w:val="0"/>
              <w:ind w:left="175" w:right="138" w:firstLine="7"/>
              <w:rPr>
                <w:rFonts w:ascii="Times New Roman" w:hAnsi="Times New Roman"/>
                <w:sz w:val="16"/>
                <w:szCs w:val="16"/>
              </w:rPr>
            </w:pPr>
            <w:r w:rsidRPr="00E16672">
              <w:rPr>
                <w:rFonts w:ascii="Times New Roman" w:hAnsi="Times New Roman"/>
                <w:sz w:val="16"/>
                <w:szCs w:val="16"/>
              </w:rPr>
              <w:t xml:space="preserve">2.2.12. </w:t>
            </w:r>
            <w:r w:rsidR="008144EA" w:rsidRPr="00E16672">
              <w:rPr>
                <w:rFonts w:ascii="Times New Roman" w:hAnsi="Times New Roman"/>
                <w:sz w:val="16"/>
                <w:szCs w:val="20"/>
                <w:lang w:val="uk-UA"/>
              </w:rPr>
              <w:t xml:space="preserve">Вимагати від Депонента повної та своєчасної оплати своїх послуг згідно умов цього Договору та тарифів Депозитарної установи. </w:t>
            </w:r>
            <w:proofErr w:type="spellStart"/>
            <w:proofErr w:type="gramStart"/>
            <w:r w:rsidRPr="00E16672">
              <w:rPr>
                <w:rFonts w:ascii="Times New Roman" w:hAnsi="Times New Roman"/>
                <w:sz w:val="16"/>
                <w:szCs w:val="16"/>
              </w:rPr>
              <w:t>Відмовити</w:t>
            </w:r>
            <w:proofErr w:type="spellEnd"/>
            <w:r w:rsidRPr="00E16672">
              <w:rPr>
                <w:rFonts w:ascii="Times New Roman" w:hAnsi="Times New Roman"/>
                <w:sz w:val="16"/>
                <w:szCs w:val="16"/>
              </w:rPr>
              <w:t xml:space="preserve">  в</w:t>
            </w:r>
            <w:proofErr w:type="gramEnd"/>
            <w:r w:rsidRPr="00E16672">
              <w:rPr>
                <w:rFonts w:ascii="Times New Roman" w:hAnsi="Times New Roman"/>
                <w:sz w:val="16"/>
                <w:szCs w:val="16"/>
              </w:rPr>
              <w:t xml:space="preserve"> </w:t>
            </w:r>
            <w:proofErr w:type="spellStart"/>
            <w:r w:rsidRPr="00E16672">
              <w:rPr>
                <w:rFonts w:ascii="Times New Roman" w:hAnsi="Times New Roman"/>
                <w:sz w:val="16"/>
                <w:szCs w:val="16"/>
              </w:rPr>
              <w:t>узятті</w:t>
            </w:r>
            <w:proofErr w:type="spellEnd"/>
            <w:r w:rsidRPr="00E16672">
              <w:rPr>
                <w:rFonts w:ascii="Times New Roman" w:hAnsi="Times New Roman"/>
                <w:sz w:val="16"/>
                <w:szCs w:val="16"/>
              </w:rPr>
              <w:t xml:space="preserve"> до </w:t>
            </w:r>
            <w:proofErr w:type="spellStart"/>
            <w:r w:rsidRPr="00E16672">
              <w:rPr>
                <w:rFonts w:ascii="Times New Roman" w:hAnsi="Times New Roman"/>
                <w:sz w:val="16"/>
                <w:szCs w:val="16"/>
              </w:rPr>
              <w:t>виконання</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розпорядження</w:t>
            </w:r>
            <w:proofErr w:type="spellEnd"/>
            <w:r w:rsidRPr="00E16672">
              <w:rPr>
                <w:rFonts w:ascii="Times New Roman" w:hAnsi="Times New Roman"/>
                <w:sz w:val="16"/>
                <w:szCs w:val="16"/>
              </w:rPr>
              <w:t xml:space="preserve"> у </w:t>
            </w:r>
            <w:proofErr w:type="spellStart"/>
            <w:r w:rsidRPr="00E16672">
              <w:rPr>
                <w:rFonts w:ascii="Times New Roman" w:hAnsi="Times New Roman"/>
                <w:sz w:val="16"/>
                <w:szCs w:val="16"/>
              </w:rPr>
              <w:t>разі</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несплати</w:t>
            </w:r>
            <w:proofErr w:type="spellEnd"/>
            <w:r w:rsidRPr="00E16672">
              <w:rPr>
                <w:rFonts w:ascii="Times New Roman" w:hAnsi="Times New Roman"/>
                <w:sz w:val="16"/>
                <w:szCs w:val="16"/>
              </w:rPr>
              <w:t xml:space="preserve"> Депонентом  </w:t>
            </w:r>
            <w:proofErr w:type="spellStart"/>
            <w:r w:rsidRPr="00E16672">
              <w:rPr>
                <w:rFonts w:ascii="Times New Roman" w:hAnsi="Times New Roman"/>
                <w:sz w:val="16"/>
                <w:szCs w:val="16"/>
              </w:rPr>
              <w:t>депозитарних</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послуг</w:t>
            </w:r>
            <w:proofErr w:type="spellEnd"/>
            <w:r w:rsidRPr="00E16672">
              <w:rPr>
                <w:rFonts w:ascii="Times New Roman" w:hAnsi="Times New Roman"/>
                <w:sz w:val="16"/>
                <w:szCs w:val="16"/>
              </w:rPr>
              <w:t>.</w:t>
            </w:r>
            <w:r w:rsidR="008144EA" w:rsidRPr="00E16672">
              <w:rPr>
                <w:rFonts w:ascii="Times New Roman" w:hAnsi="Times New Roman"/>
                <w:sz w:val="16"/>
                <w:szCs w:val="16"/>
                <w:lang w:val="uk-UA"/>
              </w:rPr>
              <w:t xml:space="preserve"> П</w:t>
            </w:r>
            <w:r w:rsidR="008144EA" w:rsidRPr="00E16672">
              <w:rPr>
                <w:rFonts w:ascii="Times New Roman" w:hAnsi="Times New Roman"/>
                <w:color w:val="000000"/>
                <w:sz w:val="16"/>
                <w:szCs w:val="16"/>
                <w:lang w:val="uk-UA"/>
              </w:rPr>
              <w:t xml:space="preserve">ризупинити обслуговування рахунку </w:t>
            </w:r>
            <w:r w:rsidR="00C22309" w:rsidRPr="00E16672">
              <w:rPr>
                <w:rFonts w:ascii="Times New Roman" w:hAnsi="Times New Roman"/>
                <w:color w:val="000000"/>
                <w:sz w:val="16"/>
                <w:szCs w:val="16"/>
                <w:lang w:val="uk-UA"/>
              </w:rPr>
              <w:t>в цін</w:t>
            </w:r>
            <w:r w:rsidR="008144EA" w:rsidRPr="00E16672">
              <w:rPr>
                <w:rFonts w:ascii="Times New Roman" w:hAnsi="Times New Roman"/>
                <w:color w:val="000000"/>
                <w:sz w:val="16"/>
                <w:szCs w:val="16"/>
                <w:lang w:val="uk-UA"/>
              </w:rPr>
              <w:t>них паперах Депонента у разі порушення Депонентом цього Договору щодо оплати послуг Депозитарної установи.</w:t>
            </w:r>
          </w:p>
        </w:tc>
        <w:tc>
          <w:tcPr>
            <w:tcW w:w="5494" w:type="dxa"/>
            <w:gridSpan w:val="7"/>
            <w:shd w:val="clear" w:color="auto" w:fill="auto"/>
          </w:tcPr>
          <w:p w14:paraId="39502154" w14:textId="77777777" w:rsidR="00E51F85" w:rsidRPr="00E16672" w:rsidRDefault="00E51F85" w:rsidP="00547A75">
            <w:pPr>
              <w:pStyle w:val="210"/>
              <w:snapToGrid w:val="0"/>
              <w:ind w:left="175" w:right="138" w:firstLine="7"/>
              <w:rPr>
                <w:rFonts w:ascii="Times New Roman" w:hAnsi="Times New Roman"/>
                <w:sz w:val="16"/>
                <w:szCs w:val="16"/>
              </w:rPr>
            </w:pPr>
            <w:r w:rsidRPr="00E16672">
              <w:rPr>
                <w:rFonts w:ascii="Times New Roman" w:hAnsi="Times New Roman"/>
                <w:sz w:val="16"/>
                <w:szCs w:val="16"/>
              </w:rPr>
              <w:t xml:space="preserve">2.2.12 </w:t>
            </w:r>
            <w:proofErr w:type="spellStart"/>
            <w:r w:rsidR="008144EA" w:rsidRPr="00E16672">
              <w:rPr>
                <w:rFonts w:ascii="Times New Roman" w:hAnsi="Times New Roman"/>
                <w:sz w:val="16"/>
              </w:rPr>
              <w:t>To</w:t>
            </w:r>
            <w:proofErr w:type="spellEnd"/>
            <w:r w:rsidR="008144EA" w:rsidRPr="00E16672">
              <w:rPr>
                <w:rFonts w:ascii="Times New Roman" w:hAnsi="Times New Roman"/>
                <w:sz w:val="16"/>
              </w:rPr>
              <w:t xml:space="preserve"> </w:t>
            </w:r>
            <w:proofErr w:type="spellStart"/>
            <w:r w:rsidR="008144EA" w:rsidRPr="00E16672">
              <w:rPr>
                <w:rFonts w:ascii="Times New Roman" w:hAnsi="Times New Roman"/>
                <w:sz w:val="16"/>
              </w:rPr>
              <w:t>demand</w:t>
            </w:r>
            <w:proofErr w:type="spellEnd"/>
            <w:r w:rsidR="008144EA" w:rsidRPr="00E16672">
              <w:rPr>
                <w:rFonts w:ascii="Times New Roman" w:hAnsi="Times New Roman"/>
                <w:sz w:val="16"/>
              </w:rPr>
              <w:t xml:space="preserve"> </w:t>
            </w:r>
            <w:proofErr w:type="spellStart"/>
            <w:r w:rsidR="008144EA" w:rsidRPr="00E16672">
              <w:rPr>
                <w:rFonts w:ascii="Times New Roman" w:hAnsi="Times New Roman"/>
                <w:sz w:val="16"/>
              </w:rPr>
              <w:t>from</w:t>
            </w:r>
            <w:proofErr w:type="spellEnd"/>
            <w:r w:rsidR="008144EA" w:rsidRPr="00E16672">
              <w:rPr>
                <w:rFonts w:ascii="Times New Roman" w:hAnsi="Times New Roman"/>
                <w:sz w:val="16"/>
              </w:rPr>
              <w:t xml:space="preserve"> </w:t>
            </w:r>
            <w:proofErr w:type="spellStart"/>
            <w:r w:rsidR="008144EA" w:rsidRPr="00E16672">
              <w:rPr>
                <w:rFonts w:ascii="Times New Roman" w:hAnsi="Times New Roman"/>
                <w:sz w:val="16"/>
              </w:rPr>
              <w:t>the</w:t>
            </w:r>
            <w:proofErr w:type="spellEnd"/>
            <w:r w:rsidR="008144EA" w:rsidRPr="00E16672">
              <w:rPr>
                <w:rFonts w:ascii="Times New Roman" w:hAnsi="Times New Roman"/>
                <w:sz w:val="16"/>
              </w:rPr>
              <w:t xml:space="preserve"> </w:t>
            </w:r>
            <w:proofErr w:type="spellStart"/>
            <w:r w:rsidR="008144EA" w:rsidRPr="00E16672">
              <w:rPr>
                <w:rFonts w:ascii="Times New Roman" w:hAnsi="Times New Roman"/>
                <w:sz w:val="16"/>
              </w:rPr>
              <w:t>Depositor</w:t>
            </w:r>
            <w:proofErr w:type="spellEnd"/>
            <w:r w:rsidR="008144EA" w:rsidRPr="00E16672">
              <w:rPr>
                <w:rFonts w:ascii="Times New Roman" w:hAnsi="Times New Roman"/>
                <w:sz w:val="16"/>
              </w:rPr>
              <w:t xml:space="preserve"> </w:t>
            </w:r>
            <w:proofErr w:type="spellStart"/>
            <w:r w:rsidR="008144EA" w:rsidRPr="00E16672">
              <w:rPr>
                <w:rFonts w:ascii="Times New Roman" w:hAnsi="Times New Roman"/>
                <w:sz w:val="16"/>
              </w:rPr>
              <w:t>full</w:t>
            </w:r>
            <w:proofErr w:type="spellEnd"/>
            <w:r w:rsidR="008144EA" w:rsidRPr="00E16672">
              <w:rPr>
                <w:rFonts w:ascii="Times New Roman" w:hAnsi="Times New Roman"/>
                <w:sz w:val="16"/>
              </w:rPr>
              <w:t xml:space="preserve"> </w:t>
            </w:r>
            <w:proofErr w:type="spellStart"/>
            <w:r w:rsidR="008144EA" w:rsidRPr="00E16672">
              <w:rPr>
                <w:rFonts w:ascii="Times New Roman" w:hAnsi="Times New Roman"/>
                <w:sz w:val="16"/>
              </w:rPr>
              <w:t>and</w:t>
            </w:r>
            <w:proofErr w:type="spellEnd"/>
            <w:r w:rsidR="008144EA" w:rsidRPr="00E16672">
              <w:rPr>
                <w:rFonts w:ascii="Times New Roman" w:hAnsi="Times New Roman"/>
                <w:sz w:val="16"/>
              </w:rPr>
              <w:t xml:space="preserve"> </w:t>
            </w:r>
            <w:proofErr w:type="spellStart"/>
            <w:r w:rsidR="008144EA" w:rsidRPr="00E16672">
              <w:rPr>
                <w:rFonts w:ascii="Times New Roman" w:hAnsi="Times New Roman"/>
                <w:sz w:val="16"/>
              </w:rPr>
              <w:t>timely</w:t>
            </w:r>
            <w:proofErr w:type="spellEnd"/>
            <w:r w:rsidR="008144EA" w:rsidRPr="00E16672">
              <w:rPr>
                <w:rFonts w:ascii="Times New Roman" w:hAnsi="Times New Roman"/>
                <w:sz w:val="16"/>
              </w:rPr>
              <w:t xml:space="preserve"> </w:t>
            </w:r>
            <w:proofErr w:type="spellStart"/>
            <w:r w:rsidR="008144EA" w:rsidRPr="00E16672">
              <w:rPr>
                <w:rFonts w:ascii="Times New Roman" w:hAnsi="Times New Roman"/>
                <w:sz w:val="16"/>
              </w:rPr>
              <w:t>payment</w:t>
            </w:r>
            <w:proofErr w:type="spellEnd"/>
            <w:r w:rsidR="008144EA" w:rsidRPr="00E16672">
              <w:rPr>
                <w:rFonts w:ascii="Times New Roman" w:hAnsi="Times New Roman"/>
                <w:sz w:val="16"/>
              </w:rPr>
              <w:t xml:space="preserve"> </w:t>
            </w:r>
            <w:proofErr w:type="spellStart"/>
            <w:r w:rsidR="008144EA" w:rsidRPr="00E16672">
              <w:rPr>
                <w:rFonts w:ascii="Times New Roman" w:hAnsi="Times New Roman"/>
                <w:sz w:val="16"/>
              </w:rPr>
              <w:t>of</w:t>
            </w:r>
            <w:proofErr w:type="spellEnd"/>
            <w:r w:rsidR="008144EA" w:rsidRPr="00E16672">
              <w:rPr>
                <w:rFonts w:ascii="Times New Roman" w:hAnsi="Times New Roman"/>
                <w:sz w:val="16"/>
              </w:rPr>
              <w:t xml:space="preserve"> </w:t>
            </w:r>
            <w:proofErr w:type="spellStart"/>
            <w:r w:rsidR="008144EA" w:rsidRPr="00E16672">
              <w:rPr>
                <w:rFonts w:ascii="Times New Roman" w:hAnsi="Times New Roman"/>
                <w:sz w:val="16"/>
              </w:rPr>
              <w:t>his</w:t>
            </w:r>
            <w:proofErr w:type="spellEnd"/>
            <w:r w:rsidR="008144EA" w:rsidRPr="00E16672">
              <w:rPr>
                <w:rFonts w:ascii="Times New Roman" w:hAnsi="Times New Roman"/>
                <w:sz w:val="16"/>
              </w:rPr>
              <w:t xml:space="preserve"> </w:t>
            </w:r>
            <w:proofErr w:type="spellStart"/>
            <w:r w:rsidR="008144EA" w:rsidRPr="00E16672">
              <w:rPr>
                <w:rFonts w:ascii="Times New Roman" w:hAnsi="Times New Roman"/>
                <w:sz w:val="16"/>
              </w:rPr>
              <w:t>services</w:t>
            </w:r>
            <w:proofErr w:type="spellEnd"/>
            <w:r w:rsidR="008144EA" w:rsidRPr="00E16672">
              <w:rPr>
                <w:rFonts w:ascii="Times New Roman" w:hAnsi="Times New Roman"/>
                <w:sz w:val="16"/>
              </w:rPr>
              <w:t xml:space="preserve"> </w:t>
            </w:r>
            <w:proofErr w:type="spellStart"/>
            <w:r w:rsidR="008144EA" w:rsidRPr="00E16672">
              <w:rPr>
                <w:rFonts w:ascii="Times New Roman" w:hAnsi="Times New Roman"/>
                <w:sz w:val="16"/>
              </w:rPr>
              <w:t>in</w:t>
            </w:r>
            <w:proofErr w:type="spellEnd"/>
            <w:r w:rsidR="008144EA" w:rsidRPr="00E16672">
              <w:rPr>
                <w:rFonts w:ascii="Times New Roman" w:hAnsi="Times New Roman"/>
                <w:sz w:val="16"/>
              </w:rPr>
              <w:t xml:space="preserve"> </w:t>
            </w:r>
            <w:proofErr w:type="spellStart"/>
            <w:r w:rsidR="008144EA" w:rsidRPr="00E16672">
              <w:rPr>
                <w:rFonts w:ascii="Times New Roman" w:hAnsi="Times New Roman"/>
                <w:sz w:val="16"/>
              </w:rPr>
              <w:t>accordance</w:t>
            </w:r>
            <w:proofErr w:type="spellEnd"/>
            <w:r w:rsidR="008144EA" w:rsidRPr="00E16672">
              <w:rPr>
                <w:rFonts w:ascii="Times New Roman" w:hAnsi="Times New Roman"/>
                <w:sz w:val="16"/>
              </w:rPr>
              <w:t xml:space="preserve"> </w:t>
            </w:r>
            <w:proofErr w:type="spellStart"/>
            <w:r w:rsidR="008144EA" w:rsidRPr="00E16672">
              <w:rPr>
                <w:rFonts w:ascii="Times New Roman" w:hAnsi="Times New Roman"/>
                <w:sz w:val="16"/>
              </w:rPr>
              <w:t>with</w:t>
            </w:r>
            <w:proofErr w:type="spellEnd"/>
            <w:r w:rsidR="008144EA" w:rsidRPr="00E16672">
              <w:rPr>
                <w:rFonts w:ascii="Times New Roman" w:hAnsi="Times New Roman"/>
                <w:sz w:val="16"/>
              </w:rPr>
              <w:t xml:space="preserve"> </w:t>
            </w:r>
            <w:proofErr w:type="spellStart"/>
            <w:r w:rsidR="008144EA" w:rsidRPr="00E16672">
              <w:rPr>
                <w:rFonts w:ascii="Times New Roman" w:hAnsi="Times New Roman"/>
                <w:sz w:val="16"/>
              </w:rPr>
              <w:t>the</w:t>
            </w:r>
            <w:proofErr w:type="spellEnd"/>
            <w:r w:rsidR="008144EA" w:rsidRPr="00E16672">
              <w:rPr>
                <w:rFonts w:ascii="Times New Roman" w:hAnsi="Times New Roman"/>
                <w:sz w:val="16"/>
              </w:rPr>
              <w:t xml:space="preserve"> </w:t>
            </w:r>
            <w:proofErr w:type="spellStart"/>
            <w:r w:rsidR="008144EA" w:rsidRPr="00E16672">
              <w:rPr>
                <w:rFonts w:ascii="Times New Roman" w:hAnsi="Times New Roman"/>
                <w:sz w:val="16"/>
              </w:rPr>
              <w:t>terms</w:t>
            </w:r>
            <w:proofErr w:type="spellEnd"/>
            <w:r w:rsidR="008144EA" w:rsidRPr="00E16672">
              <w:rPr>
                <w:rFonts w:ascii="Times New Roman" w:hAnsi="Times New Roman"/>
                <w:sz w:val="16"/>
              </w:rPr>
              <w:t xml:space="preserve"> </w:t>
            </w:r>
            <w:proofErr w:type="spellStart"/>
            <w:r w:rsidR="008144EA" w:rsidRPr="00E16672">
              <w:rPr>
                <w:rFonts w:ascii="Times New Roman" w:hAnsi="Times New Roman"/>
                <w:sz w:val="16"/>
              </w:rPr>
              <w:t>of</w:t>
            </w:r>
            <w:proofErr w:type="spellEnd"/>
            <w:r w:rsidR="008144EA" w:rsidRPr="00E16672">
              <w:rPr>
                <w:rFonts w:ascii="Times New Roman" w:hAnsi="Times New Roman"/>
                <w:sz w:val="16"/>
              </w:rPr>
              <w:t xml:space="preserve"> </w:t>
            </w:r>
            <w:proofErr w:type="spellStart"/>
            <w:r w:rsidR="008144EA" w:rsidRPr="00E16672">
              <w:rPr>
                <w:rFonts w:ascii="Times New Roman" w:hAnsi="Times New Roman"/>
                <w:sz w:val="16"/>
              </w:rPr>
              <w:t>this</w:t>
            </w:r>
            <w:proofErr w:type="spellEnd"/>
            <w:r w:rsidR="008144EA" w:rsidRPr="00E16672">
              <w:rPr>
                <w:rFonts w:ascii="Times New Roman" w:hAnsi="Times New Roman"/>
                <w:sz w:val="16"/>
              </w:rPr>
              <w:t xml:space="preserve"> </w:t>
            </w:r>
            <w:proofErr w:type="spellStart"/>
            <w:r w:rsidR="008144EA" w:rsidRPr="00E16672">
              <w:rPr>
                <w:rFonts w:ascii="Times New Roman" w:hAnsi="Times New Roman"/>
                <w:sz w:val="16"/>
              </w:rPr>
              <w:t>Agreement</w:t>
            </w:r>
            <w:proofErr w:type="spellEnd"/>
            <w:r w:rsidR="008144EA" w:rsidRPr="00E16672">
              <w:rPr>
                <w:rFonts w:ascii="Times New Roman" w:hAnsi="Times New Roman"/>
                <w:sz w:val="16"/>
              </w:rPr>
              <w:t xml:space="preserve"> </w:t>
            </w:r>
            <w:proofErr w:type="spellStart"/>
            <w:r w:rsidR="008144EA" w:rsidRPr="00E16672">
              <w:rPr>
                <w:rFonts w:ascii="Times New Roman" w:hAnsi="Times New Roman"/>
                <w:sz w:val="16"/>
              </w:rPr>
              <w:t>and</w:t>
            </w:r>
            <w:proofErr w:type="spellEnd"/>
            <w:r w:rsidR="008144EA" w:rsidRPr="00E16672">
              <w:rPr>
                <w:rFonts w:ascii="Times New Roman" w:hAnsi="Times New Roman"/>
                <w:sz w:val="16"/>
              </w:rPr>
              <w:t xml:space="preserve"> </w:t>
            </w:r>
            <w:proofErr w:type="spellStart"/>
            <w:r w:rsidR="008144EA" w:rsidRPr="00E16672">
              <w:rPr>
                <w:rFonts w:ascii="Times New Roman" w:hAnsi="Times New Roman"/>
                <w:sz w:val="16"/>
              </w:rPr>
              <w:t>the</w:t>
            </w:r>
            <w:proofErr w:type="spellEnd"/>
            <w:r w:rsidR="008144EA" w:rsidRPr="00E16672">
              <w:rPr>
                <w:rFonts w:ascii="Times New Roman" w:hAnsi="Times New Roman"/>
                <w:sz w:val="16"/>
              </w:rPr>
              <w:t xml:space="preserve"> </w:t>
            </w:r>
            <w:proofErr w:type="spellStart"/>
            <w:r w:rsidR="008144EA" w:rsidRPr="00E16672">
              <w:rPr>
                <w:rFonts w:ascii="Times New Roman" w:hAnsi="Times New Roman"/>
                <w:sz w:val="16"/>
              </w:rPr>
              <w:t>fees</w:t>
            </w:r>
            <w:proofErr w:type="spellEnd"/>
            <w:r w:rsidR="008144EA" w:rsidRPr="00E16672">
              <w:rPr>
                <w:rFonts w:ascii="Times New Roman" w:hAnsi="Times New Roman"/>
                <w:sz w:val="16"/>
              </w:rPr>
              <w:t xml:space="preserve"> </w:t>
            </w:r>
            <w:proofErr w:type="spellStart"/>
            <w:r w:rsidR="008144EA" w:rsidRPr="00E16672">
              <w:rPr>
                <w:rFonts w:ascii="Times New Roman" w:hAnsi="Times New Roman"/>
                <w:sz w:val="16"/>
              </w:rPr>
              <w:t>of</w:t>
            </w:r>
            <w:proofErr w:type="spellEnd"/>
            <w:r w:rsidR="008144EA" w:rsidRPr="00E16672">
              <w:rPr>
                <w:rFonts w:ascii="Times New Roman" w:hAnsi="Times New Roman"/>
                <w:sz w:val="16"/>
              </w:rPr>
              <w:t xml:space="preserve"> </w:t>
            </w:r>
            <w:proofErr w:type="spellStart"/>
            <w:r w:rsidR="008144EA" w:rsidRPr="00E16672">
              <w:rPr>
                <w:rFonts w:ascii="Times New Roman" w:hAnsi="Times New Roman"/>
                <w:sz w:val="16"/>
              </w:rPr>
              <w:t>the</w:t>
            </w:r>
            <w:proofErr w:type="spellEnd"/>
            <w:r w:rsidR="008144EA" w:rsidRPr="00E16672">
              <w:rPr>
                <w:rFonts w:ascii="Times New Roman" w:hAnsi="Times New Roman"/>
                <w:sz w:val="16"/>
              </w:rPr>
              <w:t xml:space="preserve"> </w:t>
            </w:r>
            <w:proofErr w:type="spellStart"/>
            <w:r w:rsidR="008144EA" w:rsidRPr="00E16672">
              <w:rPr>
                <w:rFonts w:ascii="Times New Roman" w:hAnsi="Times New Roman"/>
                <w:sz w:val="16"/>
              </w:rPr>
              <w:t>Depositary</w:t>
            </w:r>
            <w:proofErr w:type="spellEnd"/>
            <w:r w:rsidR="008144EA" w:rsidRPr="00E16672">
              <w:rPr>
                <w:rFonts w:ascii="Times New Roman" w:hAnsi="Times New Roman"/>
                <w:sz w:val="16"/>
              </w:rPr>
              <w:t xml:space="preserve">. </w:t>
            </w:r>
            <w:proofErr w:type="spellStart"/>
            <w:r w:rsidRPr="00E16672">
              <w:rPr>
                <w:rFonts w:ascii="Times New Roman" w:hAnsi="Times New Roman"/>
                <w:sz w:val="16"/>
                <w:szCs w:val="16"/>
              </w:rPr>
              <w:t>Refuse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in</w:t>
            </w:r>
            <w:proofErr w:type="spellEnd"/>
            <w:r w:rsidRPr="00E16672">
              <w:rPr>
                <w:rFonts w:ascii="Times New Roman" w:hAnsi="Times New Roman"/>
                <w:sz w:val="16"/>
                <w:szCs w:val="16"/>
              </w:rPr>
              <w:t xml:space="preserve"> </w:t>
            </w:r>
            <w:r w:rsidRPr="00E16672">
              <w:rPr>
                <w:rFonts w:ascii="Times New Roman" w:hAnsi="Times New Roman"/>
                <w:sz w:val="16"/>
                <w:szCs w:val="16"/>
                <w:lang w:val="en-US"/>
              </w:rPr>
              <w:t>taking</w:t>
            </w:r>
            <w:r w:rsidRPr="00E16672">
              <w:rPr>
                <w:rFonts w:ascii="Times New Roman" w:hAnsi="Times New Roman"/>
                <w:sz w:val="16"/>
                <w:szCs w:val="16"/>
              </w:rPr>
              <w:t xml:space="preserve"> </w:t>
            </w:r>
            <w:proofErr w:type="spellStart"/>
            <w:r w:rsidRPr="00E16672">
              <w:rPr>
                <w:rFonts w:ascii="Times New Roman" w:hAnsi="Times New Roman"/>
                <w:sz w:val="16"/>
                <w:szCs w:val="16"/>
              </w:rPr>
              <w:t>to</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fulfill</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orders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in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event</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of</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non-payment</w:t>
            </w:r>
            <w:proofErr w:type="spellEnd"/>
            <w:r w:rsidRPr="00E16672">
              <w:rPr>
                <w:rStyle w:val="hps"/>
                <w:rFonts w:ascii="Times New Roman" w:hAnsi="Times New Roman"/>
              </w:rPr>
              <w:t xml:space="preserve"> </w:t>
            </w:r>
            <w:proofErr w:type="spellStart"/>
            <w:r w:rsidRPr="00E16672">
              <w:rPr>
                <w:rFonts w:ascii="Times New Roman" w:hAnsi="Times New Roman"/>
                <w:sz w:val="16"/>
                <w:szCs w:val="16"/>
              </w:rPr>
              <w:t>by</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Depositor</w:t>
            </w:r>
            <w:proofErr w:type="spellEnd"/>
            <w:r w:rsidRPr="00E16672">
              <w:rPr>
                <w:rFonts w:ascii="Times New Roman" w:hAnsi="Times New Roman"/>
                <w:sz w:val="16"/>
                <w:szCs w:val="16"/>
              </w:rPr>
              <w:t xml:space="preserve"> </w:t>
            </w:r>
            <w:r w:rsidRPr="00E16672">
              <w:rPr>
                <w:rFonts w:ascii="Times New Roman" w:hAnsi="Times New Roman"/>
                <w:sz w:val="16"/>
                <w:szCs w:val="16"/>
                <w:lang w:val="en-US"/>
              </w:rPr>
              <w:t>depositary</w:t>
            </w:r>
            <w:r w:rsidRPr="00E16672">
              <w:rPr>
                <w:rFonts w:ascii="Times New Roman" w:hAnsi="Times New Roman"/>
                <w:sz w:val="16"/>
                <w:szCs w:val="16"/>
              </w:rPr>
              <w:t xml:space="preserve"> </w:t>
            </w:r>
            <w:proofErr w:type="spellStart"/>
            <w:r w:rsidRPr="00E16672">
              <w:rPr>
                <w:rFonts w:ascii="Times New Roman" w:hAnsi="Times New Roman"/>
                <w:sz w:val="16"/>
                <w:szCs w:val="16"/>
              </w:rPr>
              <w:t>services</w:t>
            </w:r>
            <w:proofErr w:type="spellEnd"/>
            <w:r w:rsidRPr="00E16672">
              <w:rPr>
                <w:rFonts w:ascii="Times New Roman" w:hAnsi="Times New Roman"/>
                <w:sz w:val="16"/>
                <w:szCs w:val="16"/>
              </w:rPr>
              <w:t>.</w:t>
            </w:r>
            <w:r w:rsidR="008144EA" w:rsidRPr="00E16672">
              <w:rPr>
                <w:rFonts w:ascii="Times New Roman" w:hAnsi="Times New Roman"/>
                <w:sz w:val="16"/>
                <w:szCs w:val="16"/>
              </w:rPr>
              <w:t xml:space="preserve"> </w:t>
            </w:r>
            <w:proofErr w:type="spellStart"/>
            <w:r w:rsidR="008144EA" w:rsidRPr="00E16672">
              <w:rPr>
                <w:rFonts w:ascii="Times New Roman" w:hAnsi="Times New Roman"/>
                <w:sz w:val="16"/>
              </w:rPr>
              <w:t>Suspend</w:t>
            </w:r>
            <w:proofErr w:type="spellEnd"/>
            <w:r w:rsidR="008144EA" w:rsidRPr="00E16672">
              <w:rPr>
                <w:rFonts w:ascii="Times New Roman" w:hAnsi="Times New Roman"/>
                <w:sz w:val="16"/>
              </w:rPr>
              <w:t xml:space="preserve"> </w:t>
            </w:r>
            <w:proofErr w:type="spellStart"/>
            <w:r w:rsidR="008144EA" w:rsidRPr="00E16672">
              <w:rPr>
                <w:rFonts w:ascii="Times New Roman" w:hAnsi="Times New Roman"/>
                <w:sz w:val="16"/>
              </w:rPr>
              <w:t>servicing</w:t>
            </w:r>
            <w:proofErr w:type="spellEnd"/>
            <w:r w:rsidR="008144EA" w:rsidRPr="00E16672">
              <w:rPr>
                <w:rFonts w:ascii="Times New Roman" w:hAnsi="Times New Roman"/>
                <w:sz w:val="16"/>
              </w:rPr>
              <w:t xml:space="preserve"> </w:t>
            </w:r>
            <w:proofErr w:type="spellStart"/>
            <w:r w:rsidR="008144EA" w:rsidRPr="00E16672">
              <w:rPr>
                <w:rFonts w:ascii="Times New Roman" w:hAnsi="Times New Roman"/>
                <w:sz w:val="16"/>
              </w:rPr>
              <w:t>of</w:t>
            </w:r>
            <w:proofErr w:type="spellEnd"/>
            <w:r w:rsidR="008144EA" w:rsidRPr="00E16672">
              <w:rPr>
                <w:rFonts w:ascii="Times New Roman" w:hAnsi="Times New Roman"/>
                <w:sz w:val="16"/>
              </w:rPr>
              <w:t xml:space="preserve"> </w:t>
            </w:r>
            <w:proofErr w:type="spellStart"/>
            <w:r w:rsidR="008144EA" w:rsidRPr="00E16672">
              <w:rPr>
                <w:rFonts w:ascii="Times New Roman" w:hAnsi="Times New Roman"/>
                <w:sz w:val="16"/>
              </w:rPr>
              <w:t>the</w:t>
            </w:r>
            <w:proofErr w:type="spellEnd"/>
            <w:r w:rsidR="008144EA" w:rsidRPr="00E16672">
              <w:rPr>
                <w:rFonts w:ascii="Times New Roman" w:hAnsi="Times New Roman"/>
                <w:sz w:val="16"/>
              </w:rPr>
              <w:t xml:space="preserve"> </w:t>
            </w:r>
            <w:proofErr w:type="spellStart"/>
            <w:r w:rsidR="008144EA" w:rsidRPr="00E16672">
              <w:rPr>
                <w:rFonts w:ascii="Times New Roman" w:hAnsi="Times New Roman"/>
                <w:sz w:val="16"/>
              </w:rPr>
              <w:t>securities</w:t>
            </w:r>
            <w:proofErr w:type="spellEnd"/>
            <w:r w:rsidR="008144EA" w:rsidRPr="00E16672">
              <w:rPr>
                <w:rFonts w:ascii="Times New Roman" w:hAnsi="Times New Roman"/>
                <w:sz w:val="16"/>
              </w:rPr>
              <w:t xml:space="preserve"> </w:t>
            </w:r>
            <w:proofErr w:type="spellStart"/>
            <w:r w:rsidR="008144EA" w:rsidRPr="00E16672">
              <w:rPr>
                <w:rFonts w:ascii="Times New Roman" w:hAnsi="Times New Roman"/>
                <w:sz w:val="16"/>
              </w:rPr>
              <w:t>account</w:t>
            </w:r>
            <w:proofErr w:type="spellEnd"/>
            <w:r w:rsidR="008144EA" w:rsidRPr="00E16672">
              <w:rPr>
                <w:rFonts w:ascii="Times New Roman" w:hAnsi="Times New Roman"/>
                <w:sz w:val="16"/>
              </w:rPr>
              <w:t xml:space="preserve"> </w:t>
            </w:r>
            <w:proofErr w:type="spellStart"/>
            <w:r w:rsidR="008144EA" w:rsidRPr="00E16672">
              <w:rPr>
                <w:rFonts w:ascii="Times New Roman" w:hAnsi="Times New Roman"/>
                <w:sz w:val="16"/>
              </w:rPr>
              <w:t>of</w:t>
            </w:r>
            <w:proofErr w:type="spellEnd"/>
            <w:r w:rsidR="008144EA" w:rsidRPr="00E16672">
              <w:rPr>
                <w:rFonts w:ascii="Times New Roman" w:hAnsi="Times New Roman"/>
                <w:sz w:val="16"/>
              </w:rPr>
              <w:t xml:space="preserve"> </w:t>
            </w:r>
            <w:proofErr w:type="spellStart"/>
            <w:r w:rsidR="008144EA" w:rsidRPr="00E16672">
              <w:rPr>
                <w:rFonts w:ascii="Times New Roman" w:hAnsi="Times New Roman"/>
                <w:sz w:val="16"/>
              </w:rPr>
              <w:t>the</w:t>
            </w:r>
            <w:proofErr w:type="spellEnd"/>
            <w:r w:rsidR="008144EA" w:rsidRPr="00E16672">
              <w:rPr>
                <w:rFonts w:ascii="Times New Roman" w:hAnsi="Times New Roman"/>
                <w:sz w:val="16"/>
              </w:rPr>
              <w:t xml:space="preserve"> </w:t>
            </w:r>
            <w:proofErr w:type="spellStart"/>
            <w:r w:rsidR="008144EA" w:rsidRPr="00E16672">
              <w:rPr>
                <w:rFonts w:ascii="Times New Roman" w:hAnsi="Times New Roman"/>
                <w:sz w:val="16"/>
              </w:rPr>
              <w:t>Depositor</w:t>
            </w:r>
            <w:proofErr w:type="spellEnd"/>
            <w:r w:rsidR="008144EA" w:rsidRPr="00E16672">
              <w:rPr>
                <w:rFonts w:ascii="Times New Roman" w:hAnsi="Times New Roman"/>
                <w:sz w:val="16"/>
              </w:rPr>
              <w:t xml:space="preserve"> </w:t>
            </w:r>
            <w:proofErr w:type="spellStart"/>
            <w:r w:rsidR="008144EA" w:rsidRPr="00E16672">
              <w:rPr>
                <w:rFonts w:ascii="Times New Roman" w:hAnsi="Times New Roman"/>
                <w:sz w:val="16"/>
              </w:rPr>
              <w:t>in</w:t>
            </w:r>
            <w:proofErr w:type="spellEnd"/>
            <w:r w:rsidR="008144EA" w:rsidRPr="00E16672">
              <w:rPr>
                <w:rFonts w:ascii="Times New Roman" w:hAnsi="Times New Roman"/>
                <w:sz w:val="16"/>
              </w:rPr>
              <w:t xml:space="preserve"> </w:t>
            </w:r>
            <w:proofErr w:type="spellStart"/>
            <w:r w:rsidR="008144EA" w:rsidRPr="00E16672">
              <w:rPr>
                <w:rFonts w:ascii="Times New Roman" w:hAnsi="Times New Roman"/>
                <w:sz w:val="16"/>
              </w:rPr>
              <w:t>case</w:t>
            </w:r>
            <w:proofErr w:type="spellEnd"/>
            <w:r w:rsidR="008144EA" w:rsidRPr="00E16672">
              <w:rPr>
                <w:rFonts w:ascii="Times New Roman" w:hAnsi="Times New Roman"/>
                <w:sz w:val="16"/>
              </w:rPr>
              <w:t xml:space="preserve"> </w:t>
            </w:r>
            <w:proofErr w:type="spellStart"/>
            <w:r w:rsidR="008144EA" w:rsidRPr="00E16672">
              <w:rPr>
                <w:rFonts w:ascii="Times New Roman" w:hAnsi="Times New Roman"/>
                <w:sz w:val="16"/>
              </w:rPr>
              <w:t>of</w:t>
            </w:r>
            <w:proofErr w:type="spellEnd"/>
            <w:r w:rsidR="008144EA" w:rsidRPr="00E16672">
              <w:rPr>
                <w:rFonts w:ascii="Times New Roman" w:hAnsi="Times New Roman"/>
                <w:sz w:val="16"/>
              </w:rPr>
              <w:t xml:space="preserve"> </w:t>
            </w:r>
            <w:proofErr w:type="spellStart"/>
            <w:r w:rsidR="008144EA" w:rsidRPr="00E16672">
              <w:rPr>
                <w:rFonts w:ascii="Times New Roman" w:hAnsi="Times New Roman"/>
                <w:sz w:val="16"/>
              </w:rPr>
              <w:t>breach</w:t>
            </w:r>
            <w:proofErr w:type="spellEnd"/>
            <w:r w:rsidR="008144EA" w:rsidRPr="00E16672">
              <w:rPr>
                <w:rFonts w:ascii="Times New Roman" w:hAnsi="Times New Roman"/>
                <w:sz w:val="16"/>
              </w:rPr>
              <w:t xml:space="preserve"> </w:t>
            </w:r>
            <w:proofErr w:type="spellStart"/>
            <w:r w:rsidR="008144EA" w:rsidRPr="00E16672">
              <w:rPr>
                <w:rFonts w:ascii="Times New Roman" w:hAnsi="Times New Roman"/>
                <w:sz w:val="16"/>
              </w:rPr>
              <w:t>by</w:t>
            </w:r>
            <w:proofErr w:type="spellEnd"/>
            <w:r w:rsidR="008144EA" w:rsidRPr="00E16672">
              <w:rPr>
                <w:rFonts w:ascii="Times New Roman" w:hAnsi="Times New Roman"/>
                <w:sz w:val="16"/>
              </w:rPr>
              <w:t xml:space="preserve"> </w:t>
            </w:r>
            <w:proofErr w:type="spellStart"/>
            <w:r w:rsidR="008144EA" w:rsidRPr="00E16672">
              <w:rPr>
                <w:rFonts w:ascii="Times New Roman" w:hAnsi="Times New Roman"/>
                <w:sz w:val="16"/>
              </w:rPr>
              <w:t>the</w:t>
            </w:r>
            <w:proofErr w:type="spellEnd"/>
            <w:r w:rsidR="008144EA" w:rsidRPr="00E16672">
              <w:rPr>
                <w:rFonts w:ascii="Times New Roman" w:hAnsi="Times New Roman"/>
                <w:sz w:val="16"/>
              </w:rPr>
              <w:t xml:space="preserve"> </w:t>
            </w:r>
            <w:proofErr w:type="spellStart"/>
            <w:r w:rsidR="008144EA" w:rsidRPr="00E16672">
              <w:rPr>
                <w:rFonts w:ascii="Times New Roman" w:hAnsi="Times New Roman"/>
                <w:sz w:val="16"/>
              </w:rPr>
              <w:t>Depositor</w:t>
            </w:r>
            <w:proofErr w:type="spellEnd"/>
            <w:r w:rsidR="008144EA" w:rsidRPr="00E16672">
              <w:rPr>
                <w:rFonts w:ascii="Times New Roman" w:hAnsi="Times New Roman"/>
                <w:sz w:val="16"/>
              </w:rPr>
              <w:t xml:space="preserve"> </w:t>
            </w:r>
            <w:proofErr w:type="spellStart"/>
            <w:r w:rsidR="008144EA" w:rsidRPr="00E16672">
              <w:rPr>
                <w:rFonts w:ascii="Times New Roman" w:hAnsi="Times New Roman"/>
                <w:sz w:val="16"/>
              </w:rPr>
              <w:t>of</w:t>
            </w:r>
            <w:proofErr w:type="spellEnd"/>
            <w:r w:rsidR="008144EA" w:rsidRPr="00E16672">
              <w:rPr>
                <w:rFonts w:ascii="Times New Roman" w:hAnsi="Times New Roman"/>
                <w:sz w:val="16"/>
              </w:rPr>
              <w:t xml:space="preserve"> </w:t>
            </w:r>
            <w:proofErr w:type="spellStart"/>
            <w:r w:rsidR="008144EA" w:rsidRPr="00E16672">
              <w:rPr>
                <w:rFonts w:ascii="Times New Roman" w:hAnsi="Times New Roman"/>
                <w:sz w:val="16"/>
              </w:rPr>
              <w:t>this</w:t>
            </w:r>
            <w:proofErr w:type="spellEnd"/>
            <w:r w:rsidR="008144EA" w:rsidRPr="00E16672">
              <w:rPr>
                <w:rFonts w:ascii="Times New Roman" w:hAnsi="Times New Roman"/>
                <w:sz w:val="16"/>
              </w:rPr>
              <w:t xml:space="preserve"> </w:t>
            </w:r>
            <w:proofErr w:type="spellStart"/>
            <w:r w:rsidR="008144EA" w:rsidRPr="00E16672">
              <w:rPr>
                <w:rFonts w:ascii="Times New Roman" w:hAnsi="Times New Roman"/>
                <w:sz w:val="16"/>
              </w:rPr>
              <w:t>Agreement</w:t>
            </w:r>
            <w:proofErr w:type="spellEnd"/>
            <w:r w:rsidR="008144EA" w:rsidRPr="00E16672">
              <w:rPr>
                <w:rFonts w:ascii="Times New Roman" w:hAnsi="Times New Roman"/>
                <w:sz w:val="16"/>
              </w:rPr>
              <w:t xml:space="preserve"> </w:t>
            </w:r>
            <w:proofErr w:type="spellStart"/>
            <w:r w:rsidR="008144EA" w:rsidRPr="00E16672">
              <w:rPr>
                <w:rFonts w:ascii="Times New Roman" w:hAnsi="Times New Roman"/>
                <w:sz w:val="16"/>
              </w:rPr>
              <w:t>for</w:t>
            </w:r>
            <w:proofErr w:type="spellEnd"/>
            <w:r w:rsidR="008144EA" w:rsidRPr="00E16672">
              <w:rPr>
                <w:rFonts w:ascii="Times New Roman" w:hAnsi="Times New Roman"/>
                <w:sz w:val="16"/>
              </w:rPr>
              <w:t xml:space="preserve"> </w:t>
            </w:r>
            <w:proofErr w:type="spellStart"/>
            <w:r w:rsidR="008144EA" w:rsidRPr="00E16672">
              <w:rPr>
                <w:rFonts w:ascii="Times New Roman" w:hAnsi="Times New Roman"/>
                <w:sz w:val="16"/>
              </w:rPr>
              <w:t>the</w:t>
            </w:r>
            <w:proofErr w:type="spellEnd"/>
            <w:r w:rsidR="008144EA" w:rsidRPr="00E16672">
              <w:rPr>
                <w:rFonts w:ascii="Times New Roman" w:hAnsi="Times New Roman"/>
                <w:sz w:val="16"/>
              </w:rPr>
              <w:t xml:space="preserve"> </w:t>
            </w:r>
            <w:proofErr w:type="spellStart"/>
            <w:r w:rsidR="008144EA" w:rsidRPr="00E16672">
              <w:rPr>
                <w:rFonts w:ascii="Times New Roman" w:hAnsi="Times New Roman"/>
                <w:sz w:val="16"/>
              </w:rPr>
              <w:t>payment</w:t>
            </w:r>
            <w:proofErr w:type="spellEnd"/>
            <w:r w:rsidR="008144EA" w:rsidRPr="00E16672">
              <w:rPr>
                <w:rFonts w:ascii="Times New Roman" w:hAnsi="Times New Roman"/>
                <w:sz w:val="16"/>
              </w:rPr>
              <w:t xml:space="preserve"> </w:t>
            </w:r>
            <w:proofErr w:type="spellStart"/>
            <w:r w:rsidR="008144EA" w:rsidRPr="00E16672">
              <w:rPr>
                <w:rFonts w:ascii="Times New Roman" w:hAnsi="Times New Roman"/>
                <w:sz w:val="16"/>
              </w:rPr>
              <w:t>of</w:t>
            </w:r>
            <w:proofErr w:type="spellEnd"/>
            <w:r w:rsidR="008144EA" w:rsidRPr="00E16672">
              <w:rPr>
                <w:rFonts w:ascii="Times New Roman" w:hAnsi="Times New Roman"/>
                <w:sz w:val="16"/>
              </w:rPr>
              <w:t xml:space="preserve"> </w:t>
            </w:r>
            <w:proofErr w:type="spellStart"/>
            <w:r w:rsidR="008144EA" w:rsidRPr="00E16672">
              <w:rPr>
                <w:rFonts w:ascii="Times New Roman" w:hAnsi="Times New Roman"/>
                <w:sz w:val="16"/>
              </w:rPr>
              <w:t>the</w:t>
            </w:r>
            <w:proofErr w:type="spellEnd"/>
            <w:r w:rsidR="008144EA" w:rsidRPr="00E16672">
              <w:rPr>
                <w:rFonts w:ascii="Times New Roman" w:hAnsi="Times New Roman"/>
                <w:sz w:val="16"/>
              </w:rPr>
              <w:t xml:space="preserve"> </w:t>
            </w:r>
            <w:proofErr w:type="spellStart"/>
            <w:r w:rsidR="008144EA" w:rsidRPr="00E16672">
              <w:rPr>
                <w:rFonts w:ascii="Times New Roman" w:hAnsi="Times New Roman"/>
                <w:sz w:val="16"/>
              </w:rPr>
              <w:t>services</w:t>
            </w:r>
            <w:proofErr w:type="spellEnd"/>
            <w:r w:rsidR="008144EA" w:rsidRPr="00E16672">
              <w:rPr>
                <w:rFonts w:ascii="Times New Roman" w:hAnsi="Times New Roman"/>
                <w:sz w:val="16"/>
              </w:rPr>
              <w:t xml:space="preserve"> </w:t>
            </w:r>
            <w:proofErr w:type="spellStart"/>
            <w:r w:rsidR="008144EA" w:rsidRPr="00E16672">
              <w:rPr>
                <w:rFonts w:ascii="Times New Roman" w:hAnsi="Times New Roman"/>
                <w:sz w:val="16"/>
              </w:rPr>
              <w:t>of</w:t>
            </w:r>
            <w:proofErr w:type="spellEnd"/>
            <w:r w:rsidR="008144EA" w:rsidRPr="00E16672">
              <w:rPr>
                <w:rFonts w:ascii="Times New Roman" w:hAnsi="Times New Roman"/>
                <w:sz w:val="16"/>
              </w:rPr>
              <w:t xml:space="preserve"> </w:t>
            </w:r>
            <w:proofErr w:type="spellStart"/>
            <w:r w:rsidR="008144EA" w:rsidRPr="00E16672">
              <w:rPr>
                <w:rFonts w:ascii="Times New Roman" w:hAnsi="Times New Roman"/>
                <w:sz w:val="16"/>
              </w:rPr>
              <w:t>the</w:t>
            </w:r>
            <w:proofErr w:type="spellEnd"/>
            <w:r w:rsidR="008144EA" w:rsidRPr="00E16672">
              <w:rPr>
                <w:rFonts w:ascii="Times New Roman" w:hAnsi="Times New Roman"/>
                <w:sz w:val="16"/>
              </w:rPr>
              <w:t xml:space="preserve"> </w:t>
            </w:r>
            <w:proofErr w:type="spellStart"/>
            <w:r w:rsidR="008144EA" w:rsidRPr="00E16672">
              <w:rPr>
                <w:rFonts w:ascii="Times New Roman" w:hAnsi="Times New Roman"/>
                <w:sz w:val="16"/>
              </w:rPr>
              <w:t>Depositary</w:t>
            </w:r>
            <w:proofErr w:type="spellEnd"/>
            <w:r w:rsidR="008144EA" w:rsidRPr="00E16672">
              <w:rPr>
                <w:rFonts w:ascii="Times New Roman" w:hAnsi="Times New Roman"/>
                <w:sz w:val="16"/>
              </w:rPr>
              <w:t>.</w:t>
            </w:r>
          </w:p>
        </w:tc>
      </w:tr>
      <w:tr w:rsidR="0046382D" w:rsidRPr="0046382D" w14:paraId="24DD4086" w14:textId="77777777" w:rsidTr="00C743EA">
        <w:tblPrEx>
          <w:tblCellMar>
            <w:left w:w="0" w:type="dxa"/>
            <w:right w:w="0" w:type="dxa"/>
          </w:tblCellMar>
        </w:tblPrEx>
        <w:trPr>
          <w:trHeight w:val="192"/>
        </w:trPr>
        <w:tc>
          <w:tcPr>
            <w:tcW w:w="5696" w:type="dxa"/>
            <w:gridSpan w:val="6"/>
            <w:shd w:val="clear" w:color="auto" w:fill="auto"/>
          </w:tcPr>
          <w:p w14:paraId="6D07928D" w14:textId="574090B6" w:rsidR="0046382D" w:rsidRPr="00E16672" w:rsidRDefault="0046382D" w:rsidP="00547A75">
            <w:pPr>
              <w:widowControl w:val="0"/>
              <w:tabs>
                <w:tab w:val="left" w:pos="540"/>
              </w:tabs>
              <w:snapToGrid w:val="0"/>
              <w:ind w:left="175" w:right="138" w:firstLine="7"/>
              <w:rPr>
                <w:rFonts w:ascii="Times New Roman" w:hAnsi="Times New Roman"/>
                <w:sz w:val="16"/>
                <w:szCs w:val="16"/>
              </w:rPr>
            </w:pPr>
            <w:r w:rsidRPr="0046382D">
              <w:rPr>
                <w:rFonts w:ascii="Times New Roman" w:hAnsi="Times New Roman"/>
                <w:sz w:val="16"/>
                <w:szCs w:val="16"/>
              </w:rPr>
              <w:t xml:space="preserve">2.2.13. </w:t>
            </w:r>
            <w:proofErr w:type="spellStart"/>
            <w:r w:rsidRPr="0046382D">
              <w:rPr>
                <w:rFonts w:ascii="Times New Roman" w:hAnsi="Times New Roman"/>
                <w:sz w:val="16"/>
                <w:szCs w:val="16"/>
              </w:rPr>
              <w:t>Вимагати</w:t>
            </w:r>
            <w:proofErr w:type="spellEnd"/>
            <w:r w:rsidRPr="0046382D">
              <w:rPr>
                <w:rFonts w:ascii="Times New Roman" w:hAnsi="Times New Roman"/>
                <w:sz w:val="16"/>
                <w:szCs w:val="16"/>
              </w:rPr>
              <w:t xml:space="preserve"> </w:t>
            </w:r>
            <w:proofErr w:type="spellStart"/>
            <w:r w:rsidRPr="0046382D">
              <w:rPr>
                <w:rFonts w:ascii="Times New Roman" w:hAnsi="Times New Roman"/>
                <w:sz w:val="16"/>
                <w:szCs w:val="16"/>
              </w:rPr>
              <w:t>від</w:t>
            </w:r>
            <w:proofErr w:type="spellEnd"/>
            <w:r w:rsidRPr="0046382D">
              <w:rPr>
                <w:rFonts w:ascii="Times New Roman" w:hAnsi="Times New Roman"/>
                <w:sz w:val="16"/>
                <w:szCs w:val="16"/>
              </w:rPr>
              <w:t xml:space="preserve"> Депонента </w:t>
            </w:r>
            <w:proofErr w:type="spellStart"/>
            <w:r w:rsidRPr="0046382D">
              <w:rPr>
                <w:rFonts w:ascii="Times New Roman" w:hAnsi="Times New Roman"/>
                <w:sz w:val="16"/>
                <w:szCs w:val="16"/>
              </w:rPr>
              <w:t>надання</w:t>
            </w:r>
            <w:proofErr w:type="spellEnd"/>
            <w:r w:rsidRPr="0046382D">
              <w:rPr>
                <w:rFonts w:ascii="Times New Roman" w:hAnsi="Times New Roman"/>
                <w:sz w:val="16"/>
                <w:szCs w:val="16"/>
              </w:rPr>
              <w:t xml:space="preserve"> </w:t>
            </w:r>
            <w:proofErr w:type="spellStart"/>
            <w:r w:rsidRPr="0046382D">
              <w:rPr>
                <w:rFonts w:ascii="Times New Roman" w:hAnsi="Times New Roman"/>
                <w:sz w:val="16"/>
                <w:szCs w:val="16"/>
              </w:rPr>
              <w:t>документів</w:t>
            </w:r>
            <w:proofErr w:type="spellEnd"/>
            <w:r w:rsidRPr="0046382D">
              <w:rPr>
                <w:rFonts w:ascii="Times New Roman" w:hAnsi="Times New Roman"/>
                <w:sz w:val="16"/>
                <w:szCs w:val="16"/>
              </w:rPr>
              <w:t xml:space="preserve"> та </w:t>
            </w:r>
            <w:proofErr w:type="spellStart"/>
            <w:r w:rsidRPr="0046382D">
              <w:rPr>
                <w:rFonts w:ascii="Times New Roman" w:hAnsi="Times New Roman"/>
                <w:sz w:val="16"/>
                <w:szCs w:val="16"/>
              </w:rPr>
              <w:t>іншої</w:t>
            </w:r>
            <w:proofErr w:type="spellEnd"/>
            <w:r w:rsidRPr="0046382D">
              <w:rPr>
                <w:rFonts w:ascii="Times New Roman" w:hAnsi="Times New Roman"/>
                <w:sz w:val="16"/>
                <w:szCs w:val="16"/>
              </w:rPr>
              <w:t xml:space="preserve"> </w:t>
            </w:r>
            <w:proofErr w:type="spellStart"/>
            <w:r w:rsidRPr="0046382D">
              <w:rPr>
                <w:rFonts w:ascii="Times New Roman" w:hAnsi="Times New Roman"/>
                <w:sz w:val="16"/>
                <w:szCs w:val="16"/>
              </w:rPr>
              <w:t>інформаціі</w:t>
            </w:r>
            <w:proofErr w:type="spellEnd"/>
            <w:r w:rsidRPr="0046382D">
              <w:rPr>
                <w:rFonts w:ascii="Times New Roman" w:hAnsi="Times New Roman"/>
                <w:sz w:val="16"/>
                <w:szCs w:val="16"/>
              </w:rPr>
              <w:t xml:space="preserve">, </w:t>
            </w:r>
            <w:proofErr w:type="spellStart"/>
            <w:r w:rsidRPr="0046382D">
              <w:rPr>
                <w:rFonts w:ascii="Times New Roman" w:hAnsi="Times New Roman"/>
                <w:sz w:val="16"/>
                <w:szCs w:val="16"/>
              </w:rPr>
              <w:t>необхідної</w:t>
            </w:r>
            <w:proofErr w:type="spellEnd"/>
            <w:r w:rsidRPr="0046382D">
              <w:rPr>
                <w:rFonts w:ascii="Times New Roman" w:hAnsi="Times New Roman"/>
                <w:sz w:val="16"/>
                <w:szCs w:val="16"/>
              </w:rPr>
              <w:t xml:space="preserve"> для </w:t>
            </w:r>
            <w:proofErr w:type="spellStart"/>
            <w:r w:rsidRPr="0046382D">
              <w:rPr>
                <w:rFonts w:ascii="Times New Roman" w:hAnsi="Times New Roman"/>
                <w:sz w:val="16"/>
                <w:szCs w:val="16"/>
              </w:rPr>
              <w:t>перевірки</w:t>
            </w:r>
            <w:proofErr w:type="spellEnd"/>
            <w:r w:rsidRPr="0046382D">
              <w:rPr>
                <w:rFonts w:ascii="Times New Roman" w:hAnsi="Times New Roman"/>
                <w:sz w:val="16"/>
                <w:szCs w:val="16"/>
              </w:rPr>
              <w:t xml:space="preserve"> Депозитарною </w:t>
            </w:r>
            <w:proofErr w:type="spellStart"/>
            <w:r w:rsidRPr="0046382D">
              <w:rPr>
                <w:rFonts w:ascii="Times New Roman" w:hAnsi="Times New Roman"/>
                <w:sz w:val="16"/>
                <w:szCs w:val="16"/>
              </w:rPr>
              <w:t>установою</w:t>
            </w:r>
            <w:proofErr w:type="spellEnd"/>
            <w:r w:rsidRPr="0046382D">
              <w:rPr>
                <w:rFonts w:ascii="Times New Roman" w:hAnsi="Times New Roman"/>
                <w:sz w:val="16"/>
                <w:szCs w:val="16"/>
              </w:rPr>
              <w:t xml:space="preserve"> </w:t>
            </w:r>
            <w:proofErr w:type="spellStart"/>
            <w:r w:rsidRPr="0046382D">
              <w:rPr>
                <w:rFonts w:ascii="Times New Roman" w:hAnsi="Times New Roman"/>
                <w:sz w:val="16"/>
                <w:szCs w:val="16"/>
              </w:rPr>
              <w:t>відповідно</w:t>
            </w:r>
            <w:proofErr w:type="spellEnd"/>
            <w:r w:rsidRPr="0046382D">
              <w:rPr>
                <w:rFonts w:ascii="Times New Roman" w:hAnsi="Times New Roman"/>
                <w:sz w:val="16"/>
                <w:szCs w:val="16"/>
              </w:rPr>
              <w:t xml:space="preserve"> до </w:t>
            </w:r>
            <w:proofErr w:type="spellStart"/>
            <w:r w:rsidRPr="0046382D">
              <w:rPr>
                <w:rFonts w:ascii="Times New Roman" w:hAnsi="Times New Roman"/>
                <w:sz w:val="16"/>
                <w:szCs w:val="16"/>
              </w:rPr>
              <w:t>вимог</w:t>
            </w:r>
            <w:proofErr w:type="spellEnd"/>
            <w:r w:rsidRPr="0046382D">
              <w:rPr>
                <w:rFonts w:ascii="Times New Roman" w:hAnsi="Times New Roman"/>
                <w:sz w:val="16"/>
                <w:szCs w:val="16"/>
              </w:rPr>
              <w:t xml:space="preserve"> </w:t>
            </w:r>
            <w:proofErr w:type="spellStart"/>
            <w:r w:rsidRPr="0046382D">
              <w:rPr>
                <w:rFonts w:ascii="Times New Roman" w:hAnsi="Times New Roman"/>
                <w:sz w:val="16"/>
                <w:szCs w:val="16"/>
              </w:rPr>
              <w:t>Податкового</w:t>
            </w:r>
            <w:proofErr w:type="spellEnd"/>
            <w:r w:rsidRPr="0046382D">
              <w:rPr>
                <w:rFonts w:ascii="Times New Roman" w:hAnsi="Times New Roman"/>
                <w:sz w:val="16"/>
                <w:szCs w:val="16"/>
              </w:rPr>
              <w:t xml:space="preserve"> кодексу </w:t>
            </w:r>
            <w:proofErr w:type="spellStart"/>
            <w:r w:rsidRPr="0046382D">
              <w:rPr>
                <w:rFonts w:ascii="Times New Roman" w:hAnsi="Times New Roman"/>
                <w:sz w:val="16"/>
                <w:szCs w:val="16"/>
              </w:rPr>
              <w:t>України</w:t>
            </w:r>
            <w:proofErr w:type="spellEnd"/>
            <w:r w:rsidRPr="0046382D">
              <w:rPr>
                <w:rFonts w:ascii="Times New Roman" w:hAnsi="Times New Roman"/>
                <w:sz w:val="16"/>
                <w:szCs w:val="16"/>
              </w:rPr>
              <w:t xml:space="preserve"> статусу </w:t>
            </w:r>
            <w:proofErr w:type="spellStart"/>
            <w:r w:rsidRPr="0046382D">
              <w:rPr>
                <w:rFonts w:ascii="Times New Roman" w:hAnsi="Times New Roman"/>
                <w:sz w:val="16"/>
                <w:szCs w:val="16"/>
              </w:rPr>
              <w:t>податкового</w:t>
            </w:r>
            <w:proofErr w:type="spellEnd"/>
            <w:r w:rsidRPr="0046382D">
              <w:rPr>
                <w:rFonts w:ascii="Times New Roman" w:hAnsi="Times New Roman"/>
                <w:sz w:val="16"/>
                <w:szCs w:val="16"/>
              </w:rPr>
              <w:t xml:space="preserve"> резидентства Депонента.</w:t>
            </w:r>
          </w:p>
        </w:tc>
        <w:tc>
          <w:tcPr>
            <w:tcW w:w="5494" w:type="dxa"/>
            <w:gridSpan w:val="7"/>
            <w:shd w:val="clear" w:color="auto" w:fill="auto"/>
          </w:tcPr>
          <w:p w14:paraId="568E1C37" w14:textId="28F8FB52" w:rsidR="0046382D" w:rsidRPr="00C743EA" w:rsidRDefault="0046382D" w:rsidP="00547A75">
            <w:pPr>
              <w:pStyle w:val="210"/>
              <w:snapToGrid w:val="0"/>
              <w:ind w:left="175" w:right="138" w:firstLine="7"/>
              <w:rPr>
                <w:rFonts w:ascii="Times New Roman" w:hAnsi="Times New Roman"/>
                <w:sz w:val="16"/>
                <w:szCs w:val="16"/>
                <w:lang w:val="en-US"/>
              </w:rPr>
            </w:pPr>
            <w:r w:rsidRPr="00C743EA">
              <w:rPr>
                <w:rFonts w:ascii="Times New Roman" w:hAnsi="Times New Roman"/>
                <w:sz w:val="16"/>
                <w:szCs w:val="16"/>
                <w:lang w:val="en-US"/>
              </w:rPr>
              <w:t xml:space="preserve">2.2.13 </w:t>
            </w:r>
            <w:proofErr w:type="spellStart"/>
            <w:r w:rsidRPr="00C743EA">
              <w:rPr>
                <w:rFonts w:ascii="Times New Roman" w:hAnsi="Times New Roman"/>
                <w:sz w:val="16"/>
                <w:szCs w:val="16"/>
                <w:lang w:val="en-US"/>
              </w:rPr>
              <w:t>Require</w:t>
            </w:r>
            <w:proofErr w:type="spellEnd"/>
            <w:r w:rsidRPr="00C743EA">
              <w:rPr>
                <w:rFonts w:ascii="Times New Roman" w:hAnsi="Times New Roman"/>
                <w:sz w:val="16"/>
                <w:szCs w:val="16"/>
                <w:lang w:val="en-US"/>
              </w:rPr>
              <w:t xml:space="preserve"> </w:t>
            </w:r>
            <w:proofErr w:type="spellStart"/>
            <w:r w:rsidRPr="00C743EA">
              <w:rPr>
                <w:rFonts w:ascii="Times New Roman" w:hAnsi="Times New Roman"/>
                <w:sz w:val="16"/>
                <w:szCs w:val="16"/>
                <w:lang w:val="en-US"/>
              </w:rPr>
              <w:t>the</w:t>
            </w:r>
            <w:proofErr w:type="spellEnd"/>
            <w:r w:rsidRPr="00C743EA">
              <w:rPr>
                <w:rFonts w:ascii="Times New Roman" w:hAnsi="Times New Roman"/>
                <w:sz w:val="16"/>
                <w:szCs w:val="16"/>
                <w:lang w:val="en-US"/>
              </w:rPr>
              <w:t xml:space="preserve"> </w:t>
            </w:r>
            <w:proofErr w:type="spellStart"/>
            <w:r w:rsidRPr="00C743EA">
              <w:rPr>
                <w:rFonts w:ascii="Times New Roman" w:hAnsi="Times New Roman"/>
                <w:sz w:val="16"/>
                <w:szCs w:val="16"/>
                <w:lang w:val="en-US"/>
              </w:rPr>
              <w:t>Depositor</w:t>
            </w:r>
            <w:proofErr w:type="spellEnd"/>
            <w:r w:rsidRPr="00C743EA">
              <w:rPr>
                <w:rFonts w:ascii="Times New Roman" w:hAnsi="Times New Roman"/>
                <w:sz w:val="16"/>
                <w:szCs w:val="16"/>
                <w:lang w:val="en-US"/>
              </w:rPr>
              <w:t xml:space="preserve"> </w:t>
            </w:r>
            <w:proofErr w:type="spellStart"/>
            <w:r w:rsidRPr="00C743EA">
              <w:rPr>
                <w:rFonts w:ascii="Times New Roman" w:hAnsi="Times New Roman"/>
                <w:sz w:val="16"/>
                <w:szCs w:val="16"/>
                <w:lang w:val="en-US"/>
              </w:rPr>
              <w:t>to</w:t>
            </w:r>
            <w:proofErr w:type="spellEnd"/>
            <w:r w:rsidRPr="00C743EA">
              <w:rPr>
                <w:rFonts w:ascii="Times New Roman" w:hAnsi="Times New Roman"/>
                <w:sz w:val="16"/>
                <w:szCs w:val="16"/>
                <w:lang w:val="en-US"/>
              </w:rPr>
              <w:t xml:space="preserve"> </w:t>
            </w:r>
            <w:proofErr w:type="spellStart"/>
            <w:r w:rsidRPr="00C743EA">
              <w:rPr>
                <w:rFonts w:ascii="Times New Roman" w:hAnsi="Times New Roman"/>
                <w:sz w:val="16"/>
                <w:szCs w:val="16"/>
                <w:lang w:val="en-US"/>
              </w:rPr>
              <w:t>provide</w:t>
            </w:r>
            <w:proofErr w:type="spellEnd"/>
            <w:r w:rsidRPr="00C743EA">
              <w:rPr>
                <w:rFonts w:ascii="Times New Roman" w:hAnsi="Times New Roman"/>
                <w:sz w:val="16"/>
                <w:szCs w:val="16"/>
                <w:lang w:val="en-US"/>
              </w:rPr>
              <w:t xml:space="preserve"> </w:t>
            </w:r>
            <w:proofErr w:type="spellStart"/>
            <w:r w:rsidRPr="00C743EA">
              <w:rPr>
                <w:rFonts w:ascii="Times New Roman" w:hAnsi="Times New Roman"/>
                <w:sz w:val="16"/>
                <w:szCs w:val="16"/>
                <w:lang w:val="en-US"/>
              </w:rPr>
              <w:t>documents</w:t>
            </w:r>
            <w:proofErr w:type="spellEnd"/>
            <w:r w:rsidRPr="00C743EA">
              <w:rPr>
                <w:rFonts w:ascii="Times New Roman" w:hAnsi="Times New Roman"/>
                <w:sz w:val="16"/>
                <w:szCs w:val="16"/>
                <w:lang w:val="en-US"/>
              </w:rPr>
              <w:t xml:space="preserve"> </w:t>
            </w:r>
            <w:proofErr w:type="spellStart"/>
            <w:r w:rsidRPr="00C743EA">
              <w:rPr>
                <w:rFonts w:ascii="Times New Roman" w:hAnsi="Times New Roman"/>
                <w:sz w:val="16"/>
                <w:szCs w:val="16"/>
                <w:lang w:val="en-US"/>
              </w:rPr>
              <w:t>and</w:t>
            </w:r>
            <w:proofErr w:type="spellEnd"/>
            <w:r w:rsidRPr="00C743EA">
              <w:rPr>
                <w:rFonts w:ascii="Times New Roman" w:hAnsi="Times New Roman"/>
                <w:sz w:val="16"/>
                <w:szCs w:val="16"/>
                <w:lang w:val="en-US"/>
              </w:rPr>
              <w:t xml:space="preserve"> </w:t>
            </w:r>
            <w:proofErr w:type="spellStart"/>
            <w:r w:rsidRPr="00C743EA">
              <w:rPr>
                <w:rFonts w:ascii="Times New Roman" w:hAnsi="Times New Roman"/>
                <w:sz w:val="16"/>
                <w:szCs w:val="16"/>
                <w:lang w:val="en-US"/>
              </w:rPr>
              <w:t>other</w:t>
            </w:r>
            <w:proofErr w:type="spellEnd"/>
            <w:r w:rsidRPr="00C743EA">
              <w:rPr>
                <w:rFonts w:ascii="Times New Roman" w:hAnsi="Times New Roman"/>
                <w:sz w:val="16"/>
                <w:szCs w:val="16"/>
                <w:lang w:val="en-US"/>
              </w:rPr>
              <w:t xml:space="preserve"> </w:t>
            </w:r>
            <w:proofErr w:type="spellStart"/>
            <w:r w:rsidRPr="00C743EA">
              <w:rPr>
                <w:rFonts w:ascii="Times New Roman" w:hAnsi="Times New Roman"/>
                <w:sz w:val="16"/>
                <w:szCs w:val="16"/>
                <w:lang w:val="en-US"/>
              </w:rPr>
              <w:t>information</w:t>
            </w:r>
            <w:proofErr w:type="spellEnd"/>
            <w:r w:rsidRPr="00C743EA">
              <w:rPr>
                <w:rFonts w:ascii="Times New Roman" w:hAnsi="Times New Roman"/>
                <w:sz w:val="16"/>
                <w:szCs w:val="16"/>
                <w:lang w:val="en-US"/>
              </w:rPr>
              <w:t xml:space="preserve"> </w:t>
            </w:r>
            <w:proofErr w:type="spellStart"/>
            <w:r w:rsidRPr="00C743EA">
              <w:rPr>
                <w:rFonts w:ascii="Times New Roman" w:hAnsi="Times New Roman"/>
                <w:sz w:val="16"/>
                <w:szCs w:val="16"/>
                <w:lang w:val="en-US"/>
              </w:rPr>
              <w:t>necessary</w:t>
            </w:r>
            <w:proofErr w:type="spellEnd"/>
            <w:r w:rsidRPr="00C743EA">
              <w:rPr>
                <w:rFonts w:ascii="Times New Roman" w:hAnsi="Times New Roman"/>
                <w:sz w:val="16"/>
                <w:szCs w:val="16"/>
                <w:lang w:val="en-US"/>
              </w:rPr>
              <w:t xml:space="preserve"> </w:t>
            </w:r>
            <w:proofErr w:type="spellStart"/>
            <w:r w:rsidRPr="00C743EA">
              <w:rPr>
                <w:rFonts w:ascii="Times New Roman" w:hAnsi="Times New Roman"/>
                <w:sz w:val="16"/>
                <w:szCs w:val="16"/>
                <w:lang w:val="en-US"/>
              </w:rPr>
              <w:t>for</w:t>
            </w:r>
            <w:proofErr w:type="spellEnd"/>
            <w:r w:rsidRPr="00C743EA">
              <w:rPr>
                <w:rFonts w:ascii="Times New Roman" w:hAnsi="Times New Roman"/>
                <w:sz w:val="16"/>
                <w:szCs w:val="16"/>
                <w:lang w:val="en-US"/>
              </w:rPr>
              <w:t xml:space="preserve"> </w:t>
            </w:r>
            <w:proofErr w:type="spellStart"/>
            <w:r w:rsidRPr="00C743EA">
              <w:rPr>
                <w:rFonts w:ascii="Times New Roman" w:hAnsi="Times New Roman"/>
                <w:sz w:val="16"/>
                <w:szCs w:val="16"/>
                <w:lang w:val="en-US"/>
              </w:rPr>
              <w:t>verification</w:t>
            </w:r>
            <w:proofErr w:type="spellEnd"/>
            <w:r w:rsidRPr="00C743EA">
              <w:rPr>
                <w:rFonts w:ascii="Times New Roman" w:hAnsi="Times New Roman"/>
                <w:sz w:val="16"/>
                <w:szCs w:val="16"/>
                <w:lang w:val="en-US"/>
              </w:rPr>
              <w:t xml:space="preserve"> </w:t>
            </w:r>
            <w:proofErr w:type="spellStart"/>
            <w:r w:rsidRPr="00C743EA">
              <w:rPr>
                <w:rFonts w:ascii="Times New Roman" w:hAnsi="Times New Roman"/>
                <w:sz w:val="16"/>
                <w:szCs w:val="16"/>
                <w:lang w:val="en-US"/>
              </w:rPr>
              <w:t>by</w:t>
            </w:r>
            <w:proofErr w:type="spellEnd"/>
            <w:r w:rsidRPr="00C743EA">
              <w:rPr>
                <w:rFonts w:ascii="Times New Roman" w:hAnsi="Times New Roman"/>
                <w:sz w:val="16"/>
                <w:szCs w:val="16"/>
                <w:lang w:val="en-US"/>
              </w:rPr>
              <w:t xml:space="preserve"> </w:t>
            </w:r>
            <w:proofErr w:type="spellStart"/>
            <w:r w:rsidRPr="00C743EA">
              <w:rPr>
                <w:rFonts w:ascii="Times New Roman" w:hAnsi="Times New Roman"/>
                <w:sz w:val="16"/>
                <w:szCs w:val="16"/>
                <w:lang w:val="en-US"/>
              </w:rPr>
              <w:t>the</w:t>
            </w:r>
            <w:proofErr w:type="spellEnd"/>
            <w:r w:rsidRPr="00C743EA">
              <w:rPr>
                <w:rFonts w:ascii="Times New Roman" w:hAnsi="Times New Roman"/>
                <w:sz w:val="16"/>
                <w:szCs w:val="16"/>
                <w:lang w:val="en-US"/>
              </w:rPr>
              <w:t xml:space="preserve"> </w:t>
            </w:r>
            <w:proofErr w:type="spellStart"/>
            <w:r w:rsidRPr="00C743EA">
              <w:rPr>
                <w:rFonts w:ascii="Times New Roman" w:hAnsi="Times New Roman"/>
                <w:sz w:val="16"/>
                <w:szCs w:val="16"/>
                <w:lang w:val="en-US"/>
              </w:rPr>
              <w:t>Depository</w:t>
            </w:r>
            <w:proofErr w:type="spellEnd"/>
            <w:r w:rsidRPr="00C743EA">
              <w:rPr>
                <w:rFonts w:ascii="Times New Roman" w:hAnsi="Times New Roman"/>
                <w:sz w:val="16"/>
                <w:szCs w:val="16"/>
                <w:lang w:val="en-US"/>
              </w:rPr>
              <w:t xml:space="preserve"> </w:t>
            </w:r>
            <w:proofErr w:type="spellStart"/>
            <w:r w:rsidRPr="00C743EA">
              <w:rPr>
                <w:rFonts w:ascii="Times New Roman" w:hAnsi="Times New Roman"/>
                <w:sz w:val="16"/>
                <w:szCs w:val="16"/>
                <w:lang w:val="en-US"/>
              </w:rPr>
              <w:t>Institution</w:t>
            </w:r>
            <w:proofErr w:type="spellEnd"/>
            <w:r w:rsidRPr="00C743EA">
              <w:rPr>
                <w:rFonts w:ascii="Times New Roman" w:hAnsi="Times New Roman"/>
                <w:sz w:val="16"/>
                <w:szCs w:val="16"/>
                <w:lang w:val="en-US"/>
              </w:rPr>
              <w:t xml:space="preserve"> </w:t>
            </w:r>
            <w:proofErr w:type="spellStart"/>
            <w:r w:rsidRPr="00C743EA">
              <w:rPr>
                <w:rFonts w:ascii="Times New Roman" w:hAnsi="Times New Roman"/>
                <w:sz w:val="16"/>
                <w:szCs w:val="16"/>
                <w:lang w:val="en-US"/>
              </w:rPr>
              <w:t>in</w:t>
            </w:r>
            <w:proofErr w:type="spellEnd"/>
            <w:r w:rsidRPr="00C743EA">
              <w:rPr>
                <w:rFonts w:ascii="Times New Roman" w:hAnsi="Times New Roman"/>
                <w:sz w:val="16"/>
                <w:szCs w:val="16"/>
                <w:lang w:val="en-US"/>
              </w:rPr>
              <w:t xml:space="preserve"> </w:t>
            </w:r>
            <w:proofErr w:type="spellStart"/>
            <w:r w:rsidRPr="00C743EA">
              <w:rPr>
                <w:rFonts w:ascii="Times New Roman" w:hAnsi="Times New Roman"/>
                <w:sz w:val="16"/>
                <w:szCs w:val="16"/>
                <w:lang w:val="en-US"/>
              </w:rPr>
              <w:t>accordance</w:t>
            </w:r>
            <w:proofErr w:type="spellEnd"/>
            <w:r w:rsidRPr="00C743EA">
              <w:rPr>
                <w:rFonts w:ascii="Times New Roman" w:hAnsi="Times New Roman"/>
                <w:sz w:val="16"/>
                <w:szCs w:val="16"/>
                <w:lang w:val="en-US"/>
              </w:rPr>
              <w:t xml:space="preserve"> </w:t>
            </w:r>
            <w:proofErr w:type="spellStart"/>
            <w:r w:rsidRPr="00C743EA">
              <w:rPr>
                <w:rFonts w:ascii="Times New Roman" w:hAnsi="Times New Roman"/>
                <w:sz w:val="16"/>
                <w:szCs w:val="16"/>
                <w:lang w:val="en-US"/>
              </w:rPr>
              <w:t>with</w:t>
            </w:r>
            <w:proofErr w:type="spellEnd"/>
            <w:r w:rsidRPr="00C743EA">
              <w:rPr>
                <w:rFonts w:ascii="Times New Roman" w:hAnsi="Times New Roman"/>
                <w:sz w:val="16"/>
                <w:szCs w:val="16"/>
                <w:lang w:val="en-US"/>
              </w:rPr>
              <w:t xml:space="preserve"> </w:t>
            </w:r>
            <w:proofErr w:type="spellStart"/>
            <w:r w:rsidRPr="00C743EA">
              <w:rPr>
                <w:rFonts w:ascii="Times New Roman" w:hAnsi="Times New Roman"/>
                <w:sz w:val="16"/>
                <w:szCs w:val="16"/>
                <w:lang w:val="en-US"/>
              </w:rPr>
              <w:t>the</w:t>
            </w:r>
            <w:proofErr w:type="spellEnd"/>
            <w:r w:rsidRPr="00C743EA">
              <w:rPr>
                <w:rFonts w:ascii="Times New Roman" w:hAnsi="Times New Roman"/>
                <w:sz w:val="16"/>
                <w:szCs w:val="16"/>
                <w:lang w:val="en-US"/>
              </w:rPr>
              <w:t xml:space="preserve"> </w:t>
            </w:r>
            <w:proofErr w:type="spellStart"/>
            <w:r w:rsidRPr="00C743EA">
              <w:rPr>
                <w:rFonts w:ascii="Times New Roman" w:hAnsi="Times New Roman"/>
                <w:sz w:val="16"/>
                <w:szCs w:val="16"/>
                <w:lang w:val="en-US"/>
              </w:rPr>
              <w:t>requirements</w:t>
            </w:r>
            <w:proofErr w:type="spellEnd"/>
            <w:r w:rsidRPr="00C743EA">
              <w:rPr>
                <w:rFonts w:ascii="Times New Roman" w:hAnsi="Times New Roman"/>
                <w:sz w:val="16"/>
                <w:szCs w:val="16"/>
                <w:lang w:val="en-US"/>
              </w:rPr>
              <w:t xml:space="preserve"> </w:t>
            </w:r>
            <w:proofErr w:type="spellStart"/>
            <w:r w:rsidRPr="00C743EA">
              <w:rPr>
                <w:rFonts w:ascii="Times New Roman" w:hAnsi="Times New Roman"/>
                <w:sz w:val="16"/>
                <w:szCs w:val="16"/>
                <w:lang w:val="en-US"/>
              </w:rPr>
              <w:t>of</w:t>
            </w:r>
            <w:proofErr w:type="spellEnd"/>
            <w:r w:rsidRPr="00C743EA">
              <w:rPr>
                <w:rFonts w:ascii="Times New Roman" w:hAnsi="Times New Roman"/>
                <w:sz w:val="16"/>
                <w:szCs w:val="16"/>
                <w:lang w:val="en-US"/>
              </w:rPr>
              <w:t xml:space="preserve"> </w:t>
            </w:r>
            <w:proofErr w:type="spellStart"/>
            <w:r w:rsidRPr="00C743EA">
              <w:rPr>
                <w:rFonts w:ascii="Times New Roman" w:hAnsi="Times New Roman"/>
                <w:sz w:val="16"/>
                <w:szCs w:val="16"/>
                <w:lang w:val="en-US"/>
              </w:rPr>
              <w:t>the</w:t>
            </w:r>
            <w:proofErr w:type="spellEnd"/>
            <w:r w:rsidRPr="00C743EA">
              <w:rPr>
                <w:rFonts w:ascii="Times New Roman" w:hAnsi="Times New Roman"/>
                <w:sz w:val="16"/>
                <w:szCs w:val="16"/>
                <w:lang w:val="en-US"/>
              </w:rPr>
              <w:t xml:space="preserve"> </w:t>
            </w:r>
            <w:proofErr w:type="spellStart"/>
            <w:r w:rsidRPr="00C743EA">
              <w:rPr>
                <w:rFonts w:ascii="Times New Roman" w:hAnsi="Times New Roman"/>
                <w:sz w:val="16"/>
                <w:szCs w:val="16"/>
                <w:lang w:val="en-US"/>
              </w:rPr>
              <w:t>Tax</w:t>
            </w:r>
            <w:proofErr w:type="spellEnd"/>
            <w:r w:rsidRPr="00C743EA">
              <w:rPr>
                <w:rFonts w:ascii="Times New Roman" w:hAnsi="Times New Roman"/>
                <w:sz w:val="16"/>
                <w:szCs w:val="16"/>
                <w:lang w:val="en-US"/>
              </w:rPr>
              <w:t xml:space="preserve"> </w:t>
            </w:r>
            <w:proofErr w:type="spellStart"/>
            <w:r w:rsidRPr="00C743EA">
              <w:rPr>
                <w:rFonts w:ascii="Times New Roman" w:hAnsi="Times New Roman"/>
                <w:sz w:val="16"/>
                <w:szCs w:val="16"/>
                <w:lang w:val="en-US"/>
              </w:rPr>
              <w:t>Code</w:t>
            </w:r>
            <w:proofErr w:type="spellEnd"/>
            <w:r w:rsidRPr="00C743EA">
              <w:rPr>
                <w:rFonts w:ascii="Times New Roman" w:hAnsi="Times New Roman"/>
                <w:sz w:val="16"/>
                <w:szCs w:val="16"/>
                <w:lang w:val="en-US"/>
              </w:rPr>
              <w:t xml:space="preserve"> </w:t>
            </w:r>
            <w:proofErr w:type="spellStart"/>
            <w:r w:rsidRPr="00C743EA">
              <w:rPr>
                <w:rFonts w:ascii="Times New Roman" w:hAnsi="Times New Roman"/>
                <w:sz w:val="16"/>
                <w:szCs w:val="16"/>
                <w:lang w:val="en-US"/>
              </w:rPr>
              <w:t>of</w:t>
            </w:r>
            <w:proofErr w:type="spellEnd"/>
            <w:r w:rsidRPr="00C743EA">
              <w:rPr>
                <w:rFonts w:ascii="Times New Roman" w:hAnsi="Times New Roman"/>
                <w:sz w:val="16"/>
                <w:szCs w:val="16"/>
                <w:lang w:val="en-US"/>
              </w:rPr>
              <w:t xml:space="preserve"> </w:t>
            </w:r>
            <w:proofErr w:type="spellStart"/>
            <w:r w:rsidRPr="00C743EA">
              <w:rPr>
                <w:rFonts w:ascii="Times New Roman" w:hAnsi="Times New Roman"/>
                <w:sz w:val="16"/>
                <w:szCs w:val="16"/>
                <w:lang w:val="en-US"/>
              </w:rPr>
              <w:t>Ukraine</w:t>
            </w:r>
            <w:proofErr w:type="spellEnd"/>
            <w:r w:rsidRPr="00C743EA">
              <w:rPr>
                <w:rFonts w:ascii="Times New Roman" w:hAnsi="Times New Roman"/>
                <w:sz w:val="16"/>
                <w:szCs w:val="16"/>
                <w:lang w:val="en-US"/>
              </w:rPr>
              <w:t xml:space="preserve"> </w:t>
            </w:r>
            <w:proofErr w:type="spellStart"/>
            <w:r w:rsidRPr="00C743EA">
              <w:rPr>
                <w:rFonts w:ascii="Times New Roman" w:hAnsi="Times New Roman"/>
                <w:sz w:val="16"/>
                <w:szCs w:val="16"/>
                <w:lang w:val="en-US"/>
              </w:rPr>
              <w:t>of</w:t>
            </w:r>
            <w:proofErr w:type="spellEnd"/>
            <w:r w:rsidRPr="00C743EA">
              <w:rPr>
                <w:rFonts w:ascii="Times New Roman" w:hAnsi="Times New Roman"/>
                <w:sz w:val="16"/>
                <w:szCs w:val="16"/>
                <w:lang w:val="en-US"/>
              </w:rPr>
              <w:t xml:space="preserve"> </w:t>
            </w:r>
            <w:proofErr w:type="spellStart"/>
            <w:r w:rsidRPr="00C743EA">
              <w:rPr>
                <w:rFonts w:ascii="Times New Roman" w:hAnsi="Times New Roman"/>
                <w:sz w:val="16"/>
                <w:szCs w:val="16"/>
                <w:lang w:val="en-US"/>
              </w:rPr>
              <w:t>the</w:t>
            </w:r>
            <w:proofErr w:type="spellEnd"/>
            <w:r w:rsidRPr="00C743EA">
              <w:rPr>
                <w:rFonts w:ascii="Times New Roman" w:hAnsi="Times New Roman"/>
                <w:sz w:val="16"/>
                <w:szCs w:val="16"/>
                <w:lang w:val="en-US"/>
              </w:rPr>
              <w:t xml:space="preserve"> </w:t>
            </w:r>
            <w:proofErr w:type="spellStart"/>
            <w:r w:rsidRPr="00C743EA">
              <w:rPr>
                <w:rFonts w:ascii="Times New Roman" w:hAnsi="Times New Roman"/>
                <w:sz w:val="16"/>
                <w:szCs w:val="16"/>
                <w:lang w:val="en-US"/>
              </w:rPr>
              <w:t>status</w:t>
            </w:r>
            <w:proofErr w:type="spellEnd"/>
            <w:r w:rsidRPr="00C743EA">
              <w:rPr>
                <w:rFonts w:ascii="Times New Roman" w:hAnsi="Times New Roman"/>
                <w:sz w:val="16"/>
                <w:szCs w:val="16"/>
                <w:lang w:val="en-US"/>
              </w:rPr>
              <w:t xml:space="preserve"> </w:t>
            </w:r>
            <w:proofErr w:type="spellStart"/>
            <w:r w:rsidRPr="00C743EA">
              <w:rPr>
                <w:rFonts w:ascii="Times New Roman" w:hAnsi="Times New Roman"/>
                <w:sz w:val="16"/>
                <w:szCs w:val="16"/>
                <w:lang w:val="en-US"/>
              </w:rPr>
              <w:t>of</w:t>
            </w:r>
            <w:proofErr w:type="spellEnd"/>
            <w:r w:rsidRPr="00C743EA">
              <w:rPr>
                <w:rFonts w:ascii="Times New Roman" w:hAnsi="Times New Roman"/>
                <w:sz w:val="16"/>
                <w:szCs w:val="16"/>
                <w:lang w:val="en-US"/>
              </w:rPr>
              <w:t xml:space="preserve"> </w:t>
            </w:r>
            <w:proofErr w:type="spellStart"/>
            <w:r w:rsidRPr="00C743EA">
              <w:rPr>
                <w:rFonts w:ascii="Times New Roman" w:hAnsi="Times New Roman"/>
                <w:sz w:val="16"/>
                <w:szCs w:val="16"/>
                <w:lang w:val="en-US"/>
              </w:rPr>
              <w:t>tax</w:t>
            </w:r>
            <w:proofErr w:type="spellEnd"/>
            <w:r w:rsidRPr="00C743EA">
              <w:rPr>
                <w:rFonts w:ascii="Times New Roman" w:hAnsi="Times New Roman"/>
                <w:sz w:val="16"/>
                <w:szCs w:val="16"/>
                <w:lang w:val="en-US"/>
              </w:rPr>
              <w:t xml:space="preserve"> </w:t>
            </w:r>
            <w:proofErr w:type="spellStart"/>
            <w:r w:rsidRPr="00C743EA">
              <w:rPr>
                <w:rFonts w:ascii="Times New Roman" w:hAnsi="Times New Roman"/>
                <w:sz w:val="16"/>
                <w:szCs w:val="16"/>
                <w:lang w:val="en-US"/>
              </w:rPr>
              <w:t>residence</w:t>
            </w:r>
            <w:proofErr w:type="spellEnd"/>
            <w:r w:rsidRPr="00C743EA">
              <w:rPr>
                <w:rFonts w:ascii="Times New Roman" w:hAnsi="Times New Roman"/>
                <w:sz w:val="16"/>
                <w:szCs w:val="16"/>
                <w:lang w:val="en-US"/>
              </w:rPr>
              <w:t xml:space="preserve"> </w:t>
            </w:r>
            <w:proofErr w:type="spellStart"/>
            <w:r w:rsidRPr="00C743EA">
              <w:rPr>
                <w:rFonts w:ascii="Times New Roman" w:hAnsi="Times New Roman"/>
                <w:sz w:val="16"/>
                <w:szCs w:val="16"/>
                <w:lang w:val="en-US"/>
              </w:rPr>
              <w:t>of</w:t>
            </w:r>
            <w:proofErr w:type="spellEnd"/>
            <w:r w:rsidRPr="00C743EA">
              <w:rPr>
                <w:rFonts w:ascii="Times New Roman" w:hAnsi="Times New Roman"/>
                <w:sz w:val="16"/>
                <w:szCs w:val="16"/>
                <w:lang w:val="en-US"/>
              </w:rPr>
              <w:t xml:space="preserve"> </w:t>
            </w:r>
            <w:proofErr w:type="spellStart"/>
            <w:r w:rsidRPr="00C743EA">
              <w:rPr>
                <w:rFonts w:ascii="Times New Roman" w:hAnsi="Times New Roman"/>
                <w:sz w:val="16"/>
                <w:szCs w:val="16"/>
                <w:lang w:val="en-US"/>
              </w:rPr>
              <w:t>the</w:t>
            </w:r>
            <w:proofErr w:type="spellEnd"/>
            <w:r w:rsidRPr="00C743EA">
              <w:rPr>
                <w:rFonts w:ascii="Times New Roman" w:hAnsi="Times New Roman"/>
                <w:sz w:val="16"/>
                <w:szCs w:val="16"/>
                <w:lang w:val="en-US"/>
              </w:rPr>
              <w:t xml:space="preserve"> </w:t>
            </w:r>
            <w:proofErr w:type="spellStart"/>
            <w:r w:rsidRPr="00C743EA">
              <w:rPr>
                <w:rFonts w:ascii="Times New Roman" w:hAnsi="Times New Roman"/>
                <w:sz w:val="16"/>
                <w:szCs w:val="16"/>
                <w:lang w:val="en-US"/>
              </w:rPr>
              <w:t>Depositor</w:t>
            </w:r>
            <w:proofErr w:type="spellEnd"/>
            <w:r w:rsidRPr="00C743EA">
              <w:rPr>
                <w:rFonts w:ascii="Times New Roman" w:hAnsi="Times New Roman"/>
                <w:sz w:val="16"/>
                <w:szCs w:val="16"/>
                <w:lang w:val="en-US"/>
              </w:rPr>
              <w:t>.</w:t>
            </w:r>
          </w:p>
        </w:tc>
      </w:tr>
      <w:tr w:rsidR="0046382D" w:rsidRPr="0046382D" w14:paraId="02A451E0" w14:textId="77777777" w:rsidTr="00C743EA">
        <w:tblPrEx>
          <w:tblCellMar>
            <w:left w:w="0" w:type="dxa"/>
            <w:right w:w="0" w:type="dxa"/>
          </w:tblCellMar>
        </w:tblPrEx>
        <w:trPr>
          <w:trHeight w:val="192"/>
        </w:trPr>
        <w:tc>
          <w:tcPr>
            <w:tcW w:w="5696" w:type="dxa"/>
            <w:gridSpan w:val="6"/>
            <w:shd w:val="clear" w:color="auto" w:fill="auto"/>
          </w:tcPr>
          <w:p w14:paraId="556DA144" w14:textId="07A1FCC6" w:rsidR="0046382D" w:rsidRPr="00E16672" w:rsidRDefault="0046382D" w:rsidP="00547A75">
            <w:pPr>
              <w:widowControl w:val="0"/>
              <w:tabs>
                <w:tab w:val="left" w:pos="540"/>
              </w:tabs>
              <w:snapToGrid w:val="0"/>
              <w:ind w:left="175" w:right="138" w:firstLine="7"/>
              <w:rPr>
                <w:rFonts w:ascii="Times New Roman" w:hAnsi="Times New Roman"/>
                <w:sz w:val="16"/>
                <w:szCs w:val="16"/>
              </w:rPr>
            </w:pPr>
            <w:r w:rsidRPr="0046382D">
              <w:rPr>
                <w:rFonts w:ascii="Times New Roman" w:hAnsi="Times New Roman"/>
                <w:sz w:val="16"/>
                <w:szCs w:val="16"/>
              </w:rPr>
              <w:t xml:space="preserve">2.2.14. </w:t>
            </w:r>
            <w:proofErr w:type="spellStart"/>
            <w:r w:rsidRPr="0046382D">
              <w:rPr>
                <w:rFonts w:ascii="Times New Roman" w:hAnsi="Times New Roman"/>
                <w:sz w:val="16"/>
                <w:szCs w:val="16"/>
              </w:rPr>
              <w:t>Ненадання</w:t>
            </w:r>
            <w:proofErr w:type="spellEnd"/>
            <w:r w:rsidRPr="0046382D">
              <w:rPr>
                <w:rFonts w:ascii="Times New Roman" w:hAnsi="Times New Roman"/>
                <w:sz w:val="16"/>
                <w:szCs w:val="16"/>
              </w:rPr>
              <w:t xml:space="preserve"> Депонентом </w:t>
            </w:r>
            <w:proofErr w:type="spellStart"/>
            <w:r w:rsidRPr="0046382D">
              <w:rPr>
                <w:rFonts w:ascii="Times New Roman" w:hAnsi="Times New Roman"/>
                <w:sz w:val="16"/>
                <w:szCs w:val="16"/>
              </w:rPr>
              <w:t>протягом</w:t>
            </w:r>
            <w:proofErr w:type="spellEnd"/>
            <w:r w:rsidRPr="0046382D">
              <w:rPr>
                <w:rFonts w:ascii="Times New Roman" w:hAnsi="Times New Roman"/>
                <w:sz w:val="16"/>
                <w:szCs w:val="16"/>
              </w:rPr>
              <w:t xml:space="preserve"> </w:t>
            </w:r>
            <w:proofErr w:type="spellStart"/>
            <w:r w:rsidRPr="0046382D">
              <w:rPr>
                <w:rFonts w:ascii="Times New Roman" w:hAnsi="Times New Roman"/>
                <w:sz w:val="16"/>
                <w:szCs w:val="16"/>
              </w:rPr>
              <w:t>п’ятнадцяти</w:t>
            </w:r>
            <w:proofErr w:type="spellEnd"/>
            <w:r w:rsidRPr="0046382D">
              <w:rPr>
                <w:rFonts w:ascii="Times New Roman" w:hAnsi="Times New Roman"/>
                <w:sz w:val="16"/>
                <w:szCs w:val="16"/>
              </w:rPr>
              <w:t xml:space="preserve"> </w:t>
            </w:r>
            <w:proofErr w:type="spellStart"/>
            <w:r w:rsidRPr="0046382D">
              <w:rPr>
                <w:rFonts w:ascii="Times New Roman" w:hAnsi="Times New Roman"/>
                <w:sz w:val="16"/>
                <w:szCs w:val="16"/>
              </w:rPr>
              <w:t>календарних</w:t>
            </w:r>
            <w:proofErr w:type="spellEnd"/>
            <w:r w:rsidRPr="0046382D">
              <w:rPr>
                <w:rFonts w:ascii="Times New Roman" w:hAnsi="Times New Roman"/>
                <w:sz w:val="16"/>
                <w:szCs w:val="16"/>
              </w:rPr>
              <w:t xml:space="preserve"> </w:t>
            </w:r>
            <w:proofErr w:type="spellStart"/>
            <w:r w:rsidRPr="0046382D">
              <w:rPr>
                <w:rFonts w:ascii="Times New Roman" w:hAnsi="Times New Roman"/>
                <w:sz w:val="16"/>
                <w:szCs w:val="16"/>
              </w:rPr>
              <w:t>днів</w:t>
            </w:r>
            <w:proofErr w:type="spellEnd"/>
            <w:r w:rsidRPr="0046382D">
              <w:rPr>
                <w:rFonts w:ascii="Times New Roman" w:hAnsi="Times New Roman"/>
                <w:sz w:val="16"/>
                <w:szCs w:val="16"/>
              </w:rPr>
              <w:t xml:space="preserve"> з дня </w:t>
            </w:r>
            <w:proofErr w:type="spellStart"/>
            <w:r w:rsidRPr="0046382D">
              <w:rPr>
                <w:rFonts w:ascii="Times New Roman" w:hAnsi="Times New Roman"/>
                <w:sz w:val="16"/>
                <w:szCs w:val="16"/>
              </w:rPr>
              <w:t>отримання</w:t>
            </w:r>
            <w:proofErr w:type="spellEnd"/>
            <w:r w:rsidRPr="0046382D">
              <w:rPr>
                <w:rFonts w:ascii="Times New Roman" w:hAnsi="Times New Roman"/>
                <w:sz w:val="16"/>
                <w:szCs w:val="16"/>
              </w:rPr>
              <w:t xml:space="preserve"> </w:t>
            </w:r>
            <w:proofErr w:type="spellStart"/>
            <w:r w:rsidRPr="0046382D">
              <w:rPr>
                <w:rFonts w:ascii="Times New Roman" w:hAnsi="Times New Roman"/>
                <w:sz w:val="16"/>
                <w:szCs w:val="16"/>
              </w:rPr>
              <w:t>запиту</w:t>
            </w:r>
            <w:proofErr w:type="spellEnd"/>
            <w:r w:rsidRPr="0046382D">
              <w:rPr>
                <w:rFonts w:ascii="Times New Roman" w:hAnsi="Times New Roman"/>
                <w:sz w:val="16"/>
                <w:szCs w:val="16"/>
              </w:rPr>
              <w:t xml:space="preserve"> </w:t>
            </w:r>
            <w:proofErr w:type="spellStart"/>
            <w:r w:rsidRPr="0046382D">
              <w:rPr>
                <w:rFonts w:ascii="Times New Roman" w:hAnsi="Times New Roman"/>
                <w:sz w:val="16"/>
                <w:szCs w:val="16"/>
              </w:rPr>
              <w:t>Депозитарної</w:t>
            </w:r>
            <w:proofErr w:type="spellEnd"/>
            <w:r w:rsidRPr="0046382D">
              <w:rPr>
                <w:rFonts w:ascii="Times New Roman" w:hAnsi="Times New Roman"/>
                <w:sz w:val="16"/>
                <w:szCs w:val="16"/>
              </w:rPr>
              <w:t xml:space="preserve"> установи </w:t>
            </w:r>
            <w:proofErr w:type="spellStart"/>
            <w:r w:rsidRPr="0046382D">
              <w:rPr>
                <w:rFonts w:ascii="Times New Roman" w:hAnsi="Times New Roman"/>
                <w:sz w:val="16"/>
                <w:szCs w:val="16"/>
              </w:rPr>
              <w:t>запитуваної</w:t>
            </w:r>
            <w:proofErr w:type="spellEnd"/>
            <w:r w:rsidRPr="0046382D">
              <w:rPr>
                <w:rFonts w:ascii="Times New Roman" w:hAnsi="Times New Roman"/>
                <w:sz w:val="16"/>
                <w:szCs w:val="16"/>
              </w:rPr>
              <w:t xml:space="preserve"> </w:t>
            </w:r>
            <w:proofErr w:type="spellStart"/>
            <w:r w:rsidRPr="0046382D">
              <w:rPr>
                <w:rFonts w:ascii="Times New Roman" w:hAnsi="Times New Roman"/>
                <w:sz w:val="16"/>
                <w:szCs w:val="16"/>
              </w:rPr>
              <w:t>інформації</w:t>
            </w:r>
            <w:proofErr w:type="spellEnd"/>
            <w:r w:rsidRPr="0046382D">
              <w:rPr>
                <w:rFonts w:ascii="Times New Roman" w:hAnsi="Times New Roman"/>
                <w:sz w:val="16"/>
                <w:szCs w:val="16"/>
              </w:rPr>
              <w:t xml:space="preserve"> та/</w:t>
            </w:r>
            <w:proofErr w:type="spellStart"/>
            <w:r w:rsidRPr="0046382D">
              <w:rPr>
                <w:rFonts w:ascii="Times New Roman" w:hAnsi="Times New Roman"/>
                <w:sz w:val="16"/>
                <w:szCs w:val="16"/>
              </w:rPr>
              <w:t>або</w:t>
            </w:r>
            <w:proofErr w:type="spellEnd"/>
            <w:r w:rsidRPr="0046382D">
              <w:rPr>
                <w:rFonts w:ascii="Times New Roman" w:hAnsi="Times New Roman"/>
                <w:sz w:val="16"/>
                <w:szCs w:val="16"/>
              </w:rPr>
              <w:t xml:space="preserve"> </w:t>
            </w:r>
            <w:proofErr w:type="spellStart"/>
            <w:r w:rsidRPr="0046382D">
              <w:rPr>
                <w:rFonts w:ascii="Times New Roman" w:hAnsi="Times New Roman"/>
                <w:sz w:val="16"/>
                <w:szCs w:val="16"/>
              </w:rPr>
              <w:t>документів</w:t>
            </w:r>
            <w:proofErr w:type="spellEnd"/>
            <w:r w:rsidRPr="0046382D">
              <w:rPr>
                <w:rFonts w:ascii="Times New Roman" w:hAnsi="Times New Roman"/>
                <w:sz w:val="16"/>
                <w:szCs w:val="16"/>
              </w:rPr>
              <w:t xml:space="preserve"> </w:t>
            </w:r>
            <w:proofErr w:type="spellStart"/>
            <w:r w:rsidRPr="0046382D">
              <w:rPr>
                <w:rFonts w:ascii="Times New Roman" w:hAnsi="Times New Roman"/>
                <w:sz w:val="16"/>
                <w:szCs w:val="16"/>
              </w:rPr>
              <w:t>або</w:t>
            </w:r>
            <w:proofErr w:type="spellEnd"/>
            <w:r w:rsidRPr="0046382D">
              <w:rPr>
                <w:rFonts w:ascii="Times New Roman" w:hAnsi="Times New Roman"/>
                <w:sz w:val="16"/>
                <w:szCs w:val="16"/>
              </w:rPr>
              <w:t xml:space="preserve"> </w:t>
            </w:r>
            <w:proofErr w:type="spellStart"/>
            <w:r w:rsidRPr="0046382D">
              <w:rPr>
                <w:rFonts w:ascii="Times New Roman" w:hAnsi="Times New Roman"/>
                <w:sz w:val="16"/>
                <w:szCs w:val="16"/>
              </w:rPr>
              <w:t>надання</w:t>
            </w:r>
            <w:proofErr w:type="spellEnd"/>
            <w:r w:rsidRPr="0046382D">
              <w:rPr>
                <w:rFonts w:ascii="Times New Roman" w:hAnsi="Times New Roman"/>
                <w:sz w:val="16"/>
                <w:szCs w:val="16"/>
              </w:rPr>
              <w:t xml:space="preserve"> </w:t>
            </w:r>
            <w:proofErr w:type="spellStart"/>
            <w:r w:rsidRPr="0046382D">
              <w:rPr>
                <w:rFonts w:ascii="Times New Roman" w:hAnsi="Times New Roman"/>
                <w:sz w:val="16"/>
                <w:szCs w:val="16"/>
              </w:rPr>
              <w:t>інформації</w:t>
            </w:r>
            <w:proofErr w:type="spellEnd"/>
            <w:r w:rsidRPr="0046382D">
              <w:rPr>
                <w:rFonts w:ascii="Times New Roman" w:hAnsi="Times New Roman"/>
                <w:sz w:val="16"/>
                <w:szCs w:val="16"/>
              </w:rPr>
              <w:t xml:space="preserve"> та/</w:t>
            </w:r>
            <w:proofErr w:type="spellStart"/>
            <w:r w:rsidRPr="0046382D">
              <w:rPr>
                <w:rFonts w:ascii="Times New Roman" w:hAnsi="Times New Roman"/>
                <w:sz w:val="16"/>
                <w:szCs w:val="16"/>
              </w:rPr>
              <w:t>або</w:t>
            </w:r>
            <w:proofErr w:type="spellEnd"/>
            <w:r w:rsidRPr="0046382D">
              <w:rPr>
                <w:rFonts w:ascii="Times New Roman" w:hAnsi="Times New Roman"/>
                <w:sz w:val="16"/>
                <w:szCs w:val="16"/>
              </w:rPr>
              <w:t xml:space="preserve"> </w:t>
            </w:r>
            <w:proofErr w:type="spellStart"/>
            <w:r w:rsidRPr="0046382D">
              <w:rPr>
                <w:rFonts w:ascii="Times New Roman" w:hAnsi="Times New Roman"/>
                <w:sz w:val="16"/>
                <w:szCs w:val="16"/>
              </w:rPr>
              <w:t>документів</w:t>
            </w:r>
            <w:proofErr w:type="spellEnd"/>
            <w:r w:rsidRPr="0046382D">
              <w:rPr>
                <w:rFonts w:ascii="Times New Roman" w:hAnsi="Times New Roman"/>
                <w:sz w:val="16"/>
                <w:szCs w:val="16"/>
              </w:rPr>
              <w:t xml:space="preserve">, </w:t>
            </w:r>
            <w:proofErr w:type="spellStart"/>
            <w:r w:rsidRPr="0046382D">
              <w:rPr>
                <w:rFonts w:ascii="Times New Roman" w:hAnsi="Times New Roman"/>
                <w:sz w:val="16"/>
                <w:szCs w:val="16"/>
              </w:rPr>
              <w:t>що</w:t>
            </w:r>
            <w:proofErr w:type="spellEnd"/>
            <w:r w:rsidRPr="0046382D">
              <w:rPr>
                <w:rFonts w:ascii="Times New Roman" w:hAnsi="Times New Roman"/>
                <w:sz w:val="16"/>
                <w:szCs w:val="16"/>
              </w:rPr>
              <w:t xml:space="preserve"> не </w:t>
            </w:r>
            <w:proofErr w:type="spellStart"/>
            <w:r w:rsidRPr="0046382D">
              <w:rPr>
                <w:rFonts w:ascii="Times New Roman" w:hAnsi="Times New Roman"/>
                <w:sz w:val="16"/>
                <w:szCs w:val="16"/>
              </w:rPr>
              <w:t>спростовують</w:t>
            </w:r>
            <w:proofErr w:type="spellEnd"/>
            <w:r w:rsidRPr="0046382D">
              <w:rPr>
                <w:rFonts w:ascii="Times New Roman" w:hAnsi="Times New Roman"/>
                <w:sz w:val="16"/>
                <w:szCs w:val="16"/>
              </w:rPr>
              <w:t xml:space="preserve"> </w:t>
            </w:r>
            <w:proofErr w:type="spellStart"/>
            <w:r w:rsidRPr="0046382D">
              <w:rPr>
                <w:rFonts w:ascii="Times New Roman" w:hAnsi="Times New Roman"/>
                <w:sz w:val="16"/>
                <w:szCs w:val="16"/>
              </w:rPr>
              <w:t>обґрунтованої</w:t>
            </w:r>
            <w:proofErr w:type="spellEnd"/>
            <w:r w:rsidRPr="0046382D">
              <w:rPr>
                <w:rFonts w:ascii="Times New Roman" w:hAnsi="Times New Roman"/>
                <w:sz w:val="16"/>
                <w:szCs w:val="16"/>
              </w:rPr>
              <w:t xml:space="preserve"> </w:t>
            </w:r>
            <w:proofErr w:type="spellStart"/>
            <w:r w:rsidRPr="0046382D">
              <w:rPr>
                <w:rFonts w:ascii="Times New Roman" w:hAnsi="Times New Roman"/>
                <w:sz w:val="16"/>
                <w:szCs w:val="16"/>
              </w:rPr>
              <w:t>підозри</w:t>
            </w:r>
            <w:proofErr w:type="spellEnd"/>
            <w:r w:rsidRPr="0046382D">
              <w:rPr>
                <w:rFonts w:ascii="Times New Roman" w:hAnsi="Times New Roman"/>
                <w:sz w:val="16"/>
                <w:szCs w:val="16"/>
              </w:rPr>
              <w:t xml:space="preserve"> </w:t>
            </w:r>
            <w:proofErr w:type="spellStart"/>
            <w:r w:rsidRPr="0046382D">
              <w:rPr>
                <w:rFonts w:ascii="Times New Roman" w:hAnsi="Times New Roman"/>
                <w:sz w:val="16"/>
                <w:szCs w:val="16"/>
              </w:rPr>
              <w:t>депозитарної</w:t>
            </w:r>
            <w:proofErr w:type="spellEnd"/>
            <w:r w:rsidRPr="0046382D">
              <w:rPr>
                <w:rFonts w:ascii="Times New Roman" w:hAnsi="Times New Roman"/>
                <w:sz w:val="16"/>
                <w:szCs w:val="16"/>
              </w:rPr>
              <w:t xml:space="preserve"> установи, </w:t>
            </w:r>
            <w:proofErr w:type="spellStart"/>
            <w:r w:rsidRPr="0046382D">
              <w:rPr>
                <w:rFonts w:ascii="Times New Roman" w:hAnsi="Times New Roman"/>
                <w:sz w:val="16"/>
                <w:szCs w:val="16"/>
              </w:rPr>
              <w:t>або</w:t>
            </w:r>
            <w:proofErr w:type="spellEnd"/>
            <w:r w:rsidRPr="0046382D">
              <w:rPr>
                <w:rFonts w:ascii="Times New Roman" w:hAnsi="Times New Roman"/>
                <w:sz w:val="16"/>
                <w:szCs w:val="16"/>
              </w:rPr>
              <w:t xml:space="preserve"> </w:t>
            </w:r>
            <w:proofErr w:type="spellStart"/>
            <w:r w:rsidRPr="0046382D">
              <w:rPr>
                <w:rFonts w:ascii="Times New Roman" w:hAnsi="Times New Roman"/>
                <w:sz w:val="16"/>
                <w:szCs w:val="16"/>
              </w:rPr>
              <w:t>надання</w:t>
            </w:r>
            <w:proofErr w:type="spellEnd"/>
            <w:r w:rsidRPr="0046382D">
              <w:rPr>
                <w:rFonts w:ascii="Times New Roman" w:hAnsi="Times New Roman"/>
                <w:sz w:val="16"/>
                <w:szCs w:val="16"/>
              </w:rPr>
              <w:t xml:space="preserve"> Депонентом </w:t>
            </w:r>
            <w:proofErr w:type="spellStart"/>
            <w:r w:rsidRPr="0046382D">
              <w:rPr>
                <w:rFonts w:ascii="Times New Roman" w:hAnsi="Times New Roman"/>
                <w:sz w:val="16"/>
                <w:szCs w:val="16"/>
              </w:rPr>
              <w:t>недостовірної</w:t>
            </w:r>
            <w:proofErr w:type="spellEnd"/>
            <w:r w:rsidRPr="0046382D">
              <w:rPr>
                <w:rFonts w:ascii="Times New Roman" w:hAnsi="Times New Roman"/>
                <w:sz w:val="16"/>
                <w:szCs w:val="16"/>
              </w:rPr>
              <w:t xml:space="preserve"> </w:t>
            </w:r>
            <w:proofErr w:type="spellStart"/>
            <w:r w:rsidRPr="0046382D">
              <w:rPr>
                <w:rFonts w:ascii="Times New Roman" w:hAnsi="Times New Roman"/>
                <w:sz w:val="16"/>
                <w:szCs w:val="16"/>
              </w:rPr>
              <w:t>інформації</w:t>
            </w:r>
            <w:proofErr w:type="spellEnd"/>
            <w:r w:rsidRPr="0046382D">
              <w:rPr>
                <w:rFonts w:ascii="Times New Roman" w:hAnsi="Times New Roman"/>
                <w:sz w:val="16"/>
                <w:szCs w:val="16"/>
              </w:rPr>
              <w:t xml:space="preserve"> для </w:t>
            </w:r>
            <w:proofErr w:type="spellStart"/>
            <w:r w:rsidRPr="0046382D">
              <w:rPr>
                <w:rFonts w:ascii="Times New Roman" w:hAnsi="Times New Roman"/>
                <w:sz w:val="16"/>
                <w:szCs w:val="16"/>
              </w:rPr>
              <w:t>встановлення</w:t>
            </w:r>
            <w:proofErr w:type="spellEnd"/>
            <w:r w:rsidRPr="0046382D">
              <w:rPr>
                <w:rFonts w:ascii="Times New Roman" w:hAnsi="Times New Roman"/>
                <w:sz w:val="16"/>
                <w:szCs w:val="16"/>
              </w:rPr>
              <w:t xml:space="preserve"> </w:t>
            </w:r>
            <w:proofErr w:type="spellStart"/>
            <w:r w:rsidRPr="0046382D">
              <w:rPr>
                <w:rFonts w:ascii="Times New Roman" w:hAnsi="Times New Roman"/>
                <w:sz w:val="16"/>
                <w:szCs w:val="16"/>
              </w:rPr>
              <w:t>підзвітності</w:t>
            </w:r>
            <w:proofErr w:type="spellEnd"/>
            <w:r w:rsidRPr="0046382D">
              <w:rPr>
                <w:rFonts w:ascii="Times New Roman" w:hAnsi="Times New Roman"/>
                <w:sz w:val="16"/>
                <w:szCs w:val="16"/>
              </w:rPr>
              <w:t xml:space="preserve"> </w:t>
            </w:r>
            <w:proofErr w:type="spellStart"/>
            <w:r w:rsidRPr="0046382D">
              <w:rPr>
                <w:rFonts w:ascii="Times New Roman" w:hAnsi="Times New Roman"/>
                <w:sz w:val="16"/>
                <w:szCs w:val="16"/>
              </w:rPr>
              <w:t>його</w:t>
            </w:r>
            <w:proofErr w:type="spellEnd"/>
            <w:r w:rsidRPr="0046382D">
              <w:rPr>
                <w:rFonts w:ascii="Times New Roman" w:hAnsi="Times New Roman"/>
                <w:sz w:val="16"/>
                <w:szCs w:val="16"/>
              </w:rPr>
              <w:t xml:space="preserve"> є </w:t>
            </w:r>
            <w:proofErr w:type="spellStart"/>
            <w:r w:rsidRPr="0046382D">
              <w:rPr>
                <w:rFonts w:ascii="Times New Roman" w:hAnsi="Times New Roman"/>
                <w:sz w:val="16"/>
                <w:szCs w:val="16"/>
              </w:rPr>
              <w:t>підставою</w:t>
            </w:r>
            <w:proofErr w:type="spellEnd"/>
            <w:r w:rsidRPr="0046382D">
              <w:rPr>
                <w:rFonts w:ascii="Times New Roman" w:hAnsi="Times New Roman"/>
                <w:sz w:val="16"/>
                <w:szCs w:val="16"/>
              </w:rPr>
              <w:t xml:space="preserve"> для </w:t>
            </w:r>
            <w:proofErr w:type="spellStart"/>
            <w:r w:rsidRPr="0046382D">
              <w:rPr>
                <w:rFonts w:ascii="Times New Roman" w:hAnsi="Times New Roman"/>
                <w:sz w:val="16"/>
                <w:szCs w:val="16"/>
              </w:rPr>
              <w:t>відмови</w:t>
            </w:r>
            <w:proofErr w:type="spellEnd"/>
            <w:r w:rsidRPr="0046382D">
              <w:rPr>
                <w:rFonts w:ascii="Times New Roman" w:hAnsi="Times New Roman"/>
                <w:sz w:val="16"/>
                <w:szCs w:val="16"/>
              </w:rPr>
              <w:t xml:space="preserve"> такому Депоненту у </w:t>
            </w:r>
            <w:proofErr w:type="spellStart"/>
            <w:r w:rsidRPr="0046382D">
              <w:rPr>
                <w:rFonts w:ascii="Times New Roman" w:hAnsi="Times New Roman"/>
                <w:sz w:val="16"/>
                <w:szCs w:val="16"/>
              </w:rPr>
              <w:t>виконанні</w:t>
            </w:r>
            <w:proofErr w:type="spellEnd"/>
            <w:r w:rsidRPr="0046382D">
              <w:rPr>
                <w:rFonts w:ascii="Times New Roman" w:hAnsi="Times New Roman"/>
                <w:sz w:val="16"/>
                <w:szCs w:val="16"/>
              </w:rPr>
              <w:t xml:space="preserve"> </w:t>
            </w:r>
            <w:proofErr w:type="spellStart"/>
            <w:r w:rsidRPr="0046382D">
              <w:rPr>
                <w:rFonts w:ascii="Times New Roman" w:hAnsi="Times New Roman"/>
                <w:sz w:val="16"/>
                <w:szCs w:val="16"/>
              </w:rPr>
              <w:t>розпоряджень</w:t>
            </w:r>
            <w:proofErr w:type="spellEnd"/>
            <w:r w:rsidRPr="0046382D">
              <w:rPr>
                <w:rFonts w:ascii="Times New Roman" w:hAnsi="Times New Roman"/>
                <w:sz w:val="16"/>
                <w:szCs w:val="16"/>
              </w:rPr>
              <w:t xml:space="preserve"> </w:t>
            </w:r>
            <w:proofErr w:type="spellStart"/>
            <w:r w:rsidRPr="0046382D">
              <w:rPr>
                <w:rFonts w:ascii="Times New Roman" w:hAnsi="Times New Roman"/>
                <w:sz w:val="16"/>
                <w:szCs w:val="16"/>
              </w:rPr>
              <w:t>щодо</w:t>
            </w:r>
            <w:proofErr w:type="spellEnd"/>
            <w:r w:rsidRPr="0046382D">
              <w:rPr>
                <w:rFonts w:ascii="Times New Roman" w:hAnsi="Times New Roman"/>
                <w:sz w:val="16"/>
                <w:szCs w:val="16"/>
              </w:rPr>
              <w:t xml:space="preserve"> </w:t>
            </w:r>
            <w:proofErr w:type="spellStart"/>
            <w:r w:rsidRPr="0046382D">
              <w:rPr>
                <w:rFonts w:ascii="Times New Roman" w:hAnsi="Times New Roman"/>
                <w:sz w:val="16"/>
                <w:szCs w:val="16"/>
              </w:rPr>
              <w:t>проведення</w:t>
            </w:r>
            <w:proofErr w:type="spellEnd"/>
            <w:r w:rsidRPr="0046382D">
              <w:rPr>
                <w:rFonts w:ascii="Times New Roman" w:hAnsi="Times New Roman"/>
                <w:sz w:val="16"/>
                <w:szCs w:val="16"/>
              </w:rPr>
              <w:t xml:space="preserve"> </w:t>
            </w:r>
            <w:proofErr w:type="spellStart"/>
            <w:r w:rsidRPr="0046382D">
              <w:rPr>
                <w:rFonts w:ascii="Times New Roman" w:hAnsi="Times New Roman"/>
                <w:sz w:val="16"/>
                <w:szCs w:val="16"/>
              </w:rPr>
              <w:t>операцій</w:t>
            </w:r>
            <w:proofErr w:type="spellEnd"/>
            <w:r w:rsidRPr="0046382D">
              <w:rPr>
                <w:rFonts w:ascii="Times New Roman" w:hAnsi="Times New Roman"/>
                <w:sz w:val="16"/>
                <w:szCs w:val="16"/>
              </w:rPr>
              <w:t xml:space="preserve"> за </w:t>
            </w:r>
            <w:proofErr w:type="spellStart"/>
            <w:r w:rsidRPr="0046382D">
              <w:rPr>
                <w:rFonts w:ascii="Times New Roman" w:hAnsi="Times New Roman"/>
                <w:sz w:val="16"/>
                <w:szCs w:val="16"/>
              </w:rPr>
              <w:t>його</w:t>
            </w:r>
            <w:proofErr w:type="spellEnd"/>
            <w:r w:rsidRPr="0046382D">
              <w:rPr>
                <w:rFonts w:ascii="Times New Roman" w:hAnsi="Times New Roman"/>
                <w:sz w:val="16"/>
                <w:szCs w:val="16"/>
              </w:rPr>
              <w:t xml:space="preserve"> </w:t>
            </w:r>
            <w:proofErr w:type="spellStart"/>
            <w:r w:rsidRPr="0046382D">
              <w:rPr>
                <w:rFonts w:ascii="Times New Roman" w:hAnsi="Times New Roman"/>
                <w:sz w:val="16"/>
                <w:szCs w:val="16"/>
              </w:rPr>
              <w:t>рахунком</w:t>
            </w:r>
            <w:proofErr w:type="spellEnd"/>
            <w:r w:rsidRPr="0046382D">
              <w:rPr>
                <w:rFonts w:ascii="Times New Roman" w:hAnsi="Times New Roman"/>
                <w:sz w:val="16"/>
                <w:szCs w:val="16"/>
              </w:rPr>
              <w:t xml:space="preserve"> у </w:t>
            </w:r>
            <w:proofErr w:type="spellStart"/>
            <w:r w:rsidRPr="0046382D">
              <w:rPr>
                <w:rFonts w:ascii="Times New Roman" w:hAnsi="Times New Roman"/>
                <w:sz w:val="16"/>
                <w:szCs w:val="16"/>
              </w:rPr>
              <w:t>цінних</w:t>
            </w:r>
            <w:proofErr w:type="spellEnd"/>
            <w:r w:rsidRPr="0046382D">
              <w:rPr>
                <w:rFonts w:ascii="Times New Roman" w:hAnsi="Times New Roman"/>
                <w:sz w:val="16"/>
                <w:szCs w:val="16"/>
              </w:rPr>
              <w:t xml:space="preserve"> </w:t>
            </w:r>
            <w:proofErr w:type="spellStart"/>
            <w:r w:rsidRPr="0046382D">
              <w:rPr>
                <w:rFonts w:ascii="Times New Roman" w:hAnsi="Times New Roman"/>
                <w:sz w:val="16"/>
                <w:szCs w:val="16"/>
              </w:rPr>
              <w:t>паперах</w:t>
            </w:r>
            <w:proofErr w:type="spellEnd"/>
            <w:r w:rsidRPr="0046382D">
              <w:rPr>
                <w:rFonts w:ascii="Times New Roman" w:hAnsi="Times New Roman"/>
                <w:sz w:val="16"/>
                <w:szCs w:val="16"/>
              </w:rPr>
              <w:t xml:space="preserve"> </w:t>
            </w:r>
            <w:proofErr w:type="spellStart"/>
            <w:r w:rsidRPr="0046382D">
              <w:rPr>
                <w:rFonts w:ascii="Times New Roman" w:hAnsi="Times New Roman"/>
                <w:sz w:val="16"/>
                <w:szCs w:val="16"/>
              </w:rPr>
              <w:t>відповідно</w:t>
            </w:r>
            <w:proofErr w:type="spellEnd"/>
            <w:r w:rsidRPr="0046382D">
              <w:rPr>
                <w:rFonts w:ascii="Times New Roman" w:hAnsi="Times New Roman"/>
                <w:sz w:val="16"/>
                <w:szCs w:val="16"/>
              </w:rPr>
              <w:t xml:space="preserve"> до </w:t>
            </w:r>
            <w:proofErr w:type="spellStart"/>
            <w:r w:rsidRPr="0046382D">
              <w:rPr>
                <w:rFonts w:ascii="Times New Roman" w:hAnsi="Times New Roman"/>
                <w:sz w:val="16"/>
                <w:szCs w:val="16"/>
              </w:rPr>
              <w:t>законодавства</w:t>
            </w:r>
            <w:proofErr w:type="spellEnd"/>
            <w:r w:rsidRPr="0046382D">
              <w:rPr>
                <w:rFonts w:ascii="Times New Roman" w:hAnsi="Times New Roman"/>
                <w:sz w:val="16"/>
                <w:szCs w:val="16"/>
              </w:rPr>
              <w:t xml:space="preserve"> та </w:t>
            </w:r>
            <w:proofErr w:type="spellStart"/>
            <w:r w:rsidRPr="0046382D">
              <w:rPr>
                <w:rFonts w:ascii="Times New Roman" w:hAnsi="Times New Roman"/>
                <w:sz w:val="16"/>
                <w:szCs w:val="16"/>
              </w:rPr>
              <w:t>внутрішніх</w:t>
            </w:r>
            <w:proofErr w:type="spellEnd"/>
            <w:r w:rsidRPr="0046382D">
              <w:rPr>
                <w:rFonts w:ascii="Times New Roman" w:hAnsi="Times New Roman"/>
                <w:sz w:val="16"/>
                <w:szCs w:val="16"/>
              </w:rPr>
              <w:t xml:space="preserve"> </w:t>
            </w:r>
            <w:proofErr w:type="spellStart"/>
            <w:r w:rsidRPr="0046382D">
              <w:rPr>
                <w:rFonts w:ascii="Times New Roman" w:hAnsi="Times New Roman"/>
                <w:sz w:val="16"/>
                <w:szCs w:val="16"/>
              </w:rPr>
              <w:t>документів</w:t>
            </w:r>
            <w:proofErr w:type="spellEnd"/>
            <w:r w:rsidRPr="0046382D">
              <w:rPr>
                <w:rFonts w:ascii="Times New Roman" w:hAnsi="Times New Roman"/>
                <w:sz w:val="16"/>
                <w:szCs w:val="16"/>
              </w:rPr>
              <w:t xml:space="preserve"> </w:t>
            </w:r>
            <w:proofErr w:type="spellStart"/>
            <w:r w:rsidRPr="0046382D">
              <w:rPr>
                <w:rFonts w:ascii="Times New Roman" w:hAnsi="Times New Roman"/>
                <w:sz w:val="16"/>
                <w:szCs w:val="16"/>
              </w:rPr>
              <w:t>Депозитарної</w:t>
            </w:r>
            <w:proofErr w:type="spellEnd"/>
            <w:r w:rsidRPr="0046382D">
              <w:rPr>
                <w:rFonts w:ascii="Times New Roman" w:hAnsi="Times New Roman"/>
                <w:sz w:val="16"/>
                <w:szCs w:val="16"/>
              </w:rPr>
              <w:t xml:space="preserve"> установи.</w:t>
            </w:r>
          </w:p>
        </w:tc>
        <w:tc>
          <w:tcPr>
            <w:tcW w:w="5494" w:type="dxa"/>
            <w:gridSpan w:val="7"/>
            <w:shd w:val="clear" w:color="auto" w:fill="auto"/>
          </w:tcPr>
          <w:p w14:paraId="69D099AC" w14:textId="012099AC" w:rsidR="0046382D" w:rsidRPr="00C743EA" w:rsidRDefault="0046382D" w:rsidP="00547A75">
            <w:pPr>
              <w:pStyle w:val="210"/>
              <w:snapToGrid w:val="0"/>
              <w:ind w:left="175" w:right="138" w:firstLine="7"/>
              <w:rPr>
                <w:rFonts w:ascii="Times New Roman" w:hAnsi="Times New Roman"/>
                <w:sz w:val="16"/>
                <w:szCs w:val="16"/>
                <w:lang w:val="en-US"/>
              </w:rPr>
            </w:pPr>
            <w:r w:rsidRPr="00C743EA">
              <w:rPr>
                <w:rFonts w:ascii="Times New Roman" w:hAnsi="Times New Roman"/>
                <w:sz w:val="16"/>
                <w:szCs w:val="16"/>
                <w:lang w:val="en-US"/>
              </w:rPr>
              <w:t xml:space="preserve">2.2.14. </w:t>
            </w:r>
            <w:proofErr w:type="spellStart"/>
            <w:r w:rsidRPr="00C743EA">
              <w:rPr>
                <w:rFonts w:ascii="Times New Roman" w:hAnsi="Times New Roman"/>
                <w:sz w:val="16"/>
                <w:szCs w:val="16"/>
                <w:lang w:val="en-US"/>
              </w:rPr>
              <w:t>Failure</w:t>
            </w:r>
            <w:proofErr w:type="spellEnd"/>
            <w:r w:rsidRPr="00C743EA">
              <w:rPr>
                <w:rFonts w:ascii="Times New Roman" w:hAnsi="Times New Roman"/>
                <w:sz w:val="16"/>
                <w:szCs w:val="16"/>
                <w:lang w:val="en-US"/>
              </w:rPr>
              <w:t xml:space="preserve"> </w:t>
            </w:r>
            <w:proofErr w:type="spellStart"/>
            <w:r w:rsidRPr="00C743EA">
              <w:rPr>
                <w:rFonts w:ascii="Times New Roman" w:hAnsi="Times New Roman"/>
                <w:sz w:val="16"/>
                <w:szCs w:val="16"/>
                <w:lang w:val="en-US"/>
              </w:rPr>
              <w:t>by</w:t>
            </w:r>
            <w:proofErr w:type="spellEnd"/>
            <w:r w:rsidRPr="00C743EA">
              <w:rPr>
                <w:rFonts w:ascii="Times New Roman" w:hAnsi="Times New Roman"/>
                <w:sz w:val="16"/>
                <w:szCs w:val="16"/>
                <w:lang w:val="en-US"/>
              </w:rPr>
              <w:t xml:space="preserve"> </w:t>
            </w:r>
            <w:proofErr w:type="spellStart"/>
            <w:r w:rsidRPr="00C743EA">
              <w:rPr>
                <w:rFonts w:ascii="Times New Roman" w:hAnsi="Times New Roman"/>
                <w:sz w:val="16"/>
                <w:szCs w:val="16"/>
                <w:lang w:val="en-US"/>
              </w:rPr>
              <w:t>the</w:t>
            </w:r>
            <w:proofErr w:type="spellEnd"/>
            <w:r w:rsidRPr="00C743EA">
              <w:rPr>
                <w:rFonts w:ascii="Times New Roman" w:hAnsi="Times New Roman"/>
                <w:sz w:val="16"/>
                <w:szCs w:val="16"/>
                <w:lang w:val="en-US"/>
              </w:rPr>
              <w:t xml:space="preserve"> </w:t>
            </w:r>
            <w:proofErr w:type="spellStart"/>
            <w:r w:rsidRPr="00C743EA">
              <w:rPr>
                <w:rFonts w:ascii="Times New Roman" w:hAnsi="Times New Roman"/>
                <w:sz w:val="16"/>
                <w:szCs w:val="16"/>
                <w:lang w:val="en-US"/>
              </w:rPr>
              <w:t>Depositor</w:t>
            </w:r>
            <w:proofErr w:type="spellEnd"/>
            <w:r w:rsidRPr="00C743EA">
              <w:rPr>
                <w:rFonts w:ascii="Times New Roman" w:hAnsi="Times New Roman"/>
                <w:sz w:val="16"/>
                <w:szCs w:val="16"/>
                <w:lang w:val="en-US"/>
              </w:rPr>
              <w:t xml:space="preserve"> </w:t>
            </w:r>
            <w:proofErr w:type="spellStart"/>
            <w:r w:rsidRPr="00C743EA">
              <w:rPr>
                <w:rFonts w:ascii="Times New Roman" w:hAnsi="Times New Roman"/>
                <w:sz w:val="16"/>
                <w:szCs w:val="16"/>
                <w:lang w:val="en-US"/>
              </w:rPr>
              <w:t>within</w:t>
            </w:r>
            <w:proofErr w:type="spellEnd"/>
            <w:r w:rsidRPr="00C743EA">
              <w:rPr>
                <w:rFonts w:ascii="Times New Roman" w:hAnsi="Times New Roman"/>
                <w:sz w:val="16"/>
                <w:szCs w:val="16"/>
                <w:lang w:val="en-US"/>
              </w:rPr>
              <w:t xml:space="preserve"> 15 </w:t>
            </w:r>
            <w:proofErr w:type="spellStart"/>
            <w:r w:rsidRPr="00C743EA">
              <w:rPr>
                <w:rFonts w:ascii="Times New Roman" w:hAnsi="Times New Roman"/>
                <w:sz w:val="16"/>
                <w:szCs w:val="16"/>
                <w:lang w:val="en-US"/>
              </w:rPr>
              <w:t>calendar</w:t>
            </w:r>
            <w:proofErr w:type="spellEnd"/>
            <w:r w:rsidRPr="00C743EA">
              <w:rPr>
                <w:rFonts w:ascii="Times New Roman" w:hAnsi="Times New Roman"/>
                <w:sz w:val="16"/>
                <w:szCs w:val="16"/>
                <w:lang w:val="en-US"/>
              </w:rPr>
              <w:t xml:space="preserve"> </w:t>
            </w:r>
            <w:proofErr w:type="spellStart"/>
            <w:r w:rsidRPr="00C743EA">
              <w:rPr>
                <w:rFonts w:ascii="Times New Roman" w:hAnsi="Times New Roman"/>
                <w:sz w:val="16"/>
                <w:szCs w:val="16"/>
                <w:lang w:val="en-US"/>
              </w:rPr>
              <w:t>days</w:t>
            </w:r>
            <w:proofErr w:type="spellEnd"/>
            <w:r w:rsidRPr="00C743EA">
              <w:rPr>
                <w:rFonts w:ascii="Times New Roman" w:hAnsi="Times New Roman"/>
                <w:sz w:val="16"/>
                <w:szCs w:val="16"/>
                <w:lang w:val="en-US"/>
              </w:rPr>
              <w:t xml:space="preserve"> </w:t>
            </w:r>
            <w:proofErr w:type="spellStart"/>
            <w:r w:rsidRPr="00C743EA">
              <w:rPr>
                <w:rFonts w:ascii="Times New Roman" w:hAnsi="Times New Roman"/>
                <w:sz w:val="16"/>
                <w:szCs w:val="16"/>
                <w:lang w:val="en-US"/>
              </w:rPr>
              <w:t>from</w:t>
            </w:r>
            <w:proofErr w:type="spellEnd"/>
            <w:r w:rsidRPr="00C743EA">
              <w:rPr>
                <w:rFonts w:ascii="Times New Roman" w:hAnsi="Times New Roman"/>
                <w:sz w:val="16"/>
                <w:szCs w:val="16"/>
                <w:lang w:val="en-US"/>
              </w:rPr>
              <w:t xml:space="preserve"> </w:t>
            </w:r>
            <w:proofErr w:type="spellStart"/>
            <w:r w:rsidRPr="00C743EA">
              <w:rPr>
                <w:rFonts w:ascii="Times New Roman" w:hAnsi="Times New Roman"/>
                <w:sz w:val="16"/>
                <w:szCs w:val="16"/>
                <w:lang w:val="en-US"/>
              </w:rPr>
              <w:t>the</w:t>
            </w:r>
            <w:proofErr w:type="spellEnd"/>
            <w:r w:rsidRPr="00C743EA">
              <w:rPr>
                <w:rFonts w:ascii="Times New Roman" w:hAnsi="Times New Roman"/>
                <w:sz w:val="16"/>
                <w:szCs w:val="16"/>
                <w:lang w:val="en-US"/>
              </w:rPr>
              <w:t xml:space="preserve"> </w:t>
            </w:r>
            <w:proofErr w:type="spellStart"/>
            <w:r w:rsidRPr="00C743EA">
              <w:rPr>
                <w:rFonts w:ascii="Times New Roman" w:hAnsi="Times New Roman"/>
                <w:sz w:val="16"/>
                <w:szCs w:val="16"/>
                <w:lang w:val="en-US"/>
              </w:rPr>
              <w:t>date</w:t>
            </w:r>
            <w:proofErr w:type="spellEnd"/>
            <w:r w:rsidRPr="00C743EA">
              <w:rPr>
                <w:rFonts w:ascii="Times New Roman" w:hAnsi="Times New Roman"/>
                <w:sz w:val="16"/>
                <w:szCs w:val="16"/>
                <w:lang w:val="en-US"/>
              </w:rPr>
              <w:t xml:space="preserve"> </w:t>
            </w:r>
            <w:proofErr w:type="spellStart"/>
            <w:r w:rsidRPr="00C743EA">
              <w:rPr>
                <w:rFonts w:ascii="Times New Roman" w:hAnsi="Times New Roman"/>
                <w:sz w:val="16"/>
                <w:szCs w:val="16"/>
                <w:lang w:val="en-US"/>
              </w:rPr>
              <w:t>of</w:t>
            </w:r>
            <w:proofErr w:type="spellEnd"/>
            <w:r w:rsidRPr="00C743EA">
              <w:rPr>
                <w:rFonts w:ascii="Times New Roman" w:hAnsi="Times New Roman"/>
                <w:sz w:val="16"/>
                <w:szCs w:val="16"/>
                <w:lang w:val="en-US"/>
              </w:rPr>
              <w:t xml:space="preserve"> </w:t>
            </w:r>
            <w:proofErr w:type="spellStart"/>
            <w:r w:rsidRPr="00C743EA">
              <w:rPr>
                <w:rFonts w:ascii="Times New Roman" w:hAnsi="Times New Roman"/>
                <w:sz w:val="16"/>
                <w:szCs w:val="16"/>
                <w:lang w:val="en-US"/>
              </w:rPr>
              <w:t>receipt</w:t>
            </w:r>
            <w:proofErr w:type="spellEnd"/>
            <w:r w:rsidRPr="00C743EA">
              <w:rPr>
                <w:rFonts w:ascii="Times New Roman" w:hAnsi="Times New Roman"/>
                <w:sz w:val="16"/>
                <w:szCs w:val="16"/>
                <w:lang w:val="en-US"/>
              </w:rPr>
              <w:t xml:space="preserve"> </w:t>
            </w:r>
            <w:proofErr w:type="spellStart"/>
            <w:r w:rsidRPr="00C743EA">
              <w:rPr>
                <w:rFonts w:ascii="Times New Roman" w:hAnsi="Times New Roman"/>
                <w:sz w:val="16"/>
                <w:szCs w:val="16"/>
                <w:lang w:val="en-US"/>
              </w:rPr>
              <w:t>of</w:t>
            </w:r>
            <w:proofErr w:type="spellEnd"/>
            <w:r w:rsidRPr="00C743EA">
              <w:rPr>
                <w:rFonts w:ascii="Times New Roman" w:hAnsi="Times New Roman"/>
                <w:sz w:val="16"/>
                <w:szCs w:val="16"/>
                <w:lang w:val="en-US"/>
              </w:rPr>
              <w:t xml:space="preserve"> </w:t>
            </w:r>
            <w:proofErr w:type="spellStart"/>
            <w:r w:rsidRPr="00C743EA">
              <w:rPr>
                <w:rFonts w:ascii="Times New Roman" w:hAnsi="Times New Roman"/>
                <w:sz w:val="16"/>
                <w:szCs w:val="16"/>
                <w:lang w:val="en-US"/>
              </w:rPr>
              <w:t>the</w:t>
            </w:r>
            <w:proofErr w:type="spellEnd"/>
            <w:r w:rsidRPr="00C743EA">
              <w:rPr>
                <w:rFonts w:ascii="Times New Roman" w:hAnsi="Times New Roman"/>
                <w:sz w:val="16"/>
                <w:szCs w:val="16"/>
                <w:lang w:val="en-US"/>
              </w:rPr>
              <w:t xml:space="preserve"> </w:t>
            </w:r>
            <w:proofErr w:type="spellStart"/>
            <w:r w:rsidRPr="00C743EA">
              <w:rPr>
                <w:rFonts w:ascii="Times New Roman" w:hAnsi="Times New Roman"/>
                <w:sz w:val="16"/>
                <w:szCs w:val="16"/>
                <w:lang w:val="en-US"/>
              </w:rPr>
              <w:t>request</w:t>
            </w:r>
            <w:proofErr w:type="spellEnd"/>
            <w:r w:rsidRPr="00C743EA">
              <w:rPr>
                <w:rFonts w:ascii="Times New Roman" w:hAnsi="Times New Roman"/>
                <w:sz w:val="16"/>
                <w:szCs w:val="16"/>
                <w:lang w:val="en-US"/>
              </w:rPr>
              <w:t xml:space="preserve"> </w:t>
            </w:r>
            <w:proofErr w:type="spellStart"/>
            <w:r w:rsidRPr="00C743EA">
              <w:rPr>
                <w:rFonts w:ascii="Times New Roman" w:hAnsi="Times New Roman"/>
                <w:sz w:val="16"/>
                <w:szCs w:val="16"/>
                <w:lang w:val="en-US"/>
              </w:rPr>
              <w:t>of</w:t>
            </w:r>
            <w:proofErr w:type="spellEnd"/>
            <w:r w:rsidRPr="00C743EA">
              <w:rPr>
                <w:rFonts w:ascii="Times New Roman" w:hAnsi="Times New Roman"/>
                <w:sz w:val="16"/>
                <w:szCs w:val="16"/>
                <w:lang w:val="en-US"/>
              </w:rPr>
              <w:t xml:space="preserve"> </w:t>
            </w:r>
            <w:proofErr w:type="spellStart"/>
            <w:r w:rsidRPr="00C743EA">
              <w:rPr>
                <w:rFonts w:ascii="Times New Roman" w:hAnsi="Times New Roman"/>
                <w:sz w:val="16"/>
                <w:szCs w:val="16"/>
                <w:lang w:val="en-US"/>
              </w:rPr>
              <w:t>the</w:t>
            </w:r>
            <w:proofErr w:type="spellEnd"/>
            <w:r w:rsidRPr="00C743EA">
              <w:rPr>
                <w:rFonts w:ascii="Times New Roman" w:hAnsi="Times New Roman"/>
                <w:sz w:val="16"/>
                <w:szCs w:val="16"/>
                <w:lang w:val="en-US"/>
              </w:rPr>
              <w:t xml:space="preserve"> </w:t>
            </w:r>
            <w:proofErr w:type="spellStart"/>
            <w:r w:rsidRPr="00C743EA">
              <w:rPr>
                <w:rFonts w:ascii="Times New Roman" w:hAnsi="Times New Roman"/>
                <w:sz w:val="16"/>
                <w:szCs w:val="16"/>
                <w:lang w:val="en-US"/>
              </w:rPr>
              <w:t>Depository</w:t>
            </w:r>
            <w:proofErr w:type="spellEnd"/>
            <w:r w:rsidRPr="00C743EA">
              <w:rPr>
                <w:rFonts w:ascii="Times New Roman" w:hAnsi="Times New Roman"/>
                <w:sz w:val="16"/>
                <w:szCs w:val="16"/>
                <w:lang w:val="en-US"/>
              </w:rPr>
              <w:t xml:space="preserve"> </w:t>
            </w:r>
            <w:proofErr w:type="spellStart"/>
            <w:r w:rsidRPr="00C743EA">
              <w:rPr>
                <w:rFonts w:ascii="Times New Roman" w:hAnsi="Times New Roman"/>
                <w:sz w:val="16"/>
                <w:szCs w:val="16"/>
                <w:lang w:val="en-US"/>
              </w:rPr>
              <w:t>to</w:t>
            </w:r>
            <w:proofErr w:type="spellEnd"/>
            <w:r w:rsidRPr="00C743EA">
              <w:rPr>
                <w:rFonts w:ascii="Times New Roman" w:hAnsi="Times New Roman"/>
                <w:sz w:val="16"/>
                <w:szCs w:val="16"/>
                <w:lang w:val="en-US"/>
              </w:rPr>
              <w:t xml:space="preserve"> </w:t>
            </w:r>
            <w:proofErr w:type="spellStart"/>
            <w:r w:rsidRPr="00C743EA">
              <w:rPr>
                <w:rFonts w:ascii="Times New Roman" w:hAnsi="Times New Roman"/>
                <w:sz w:val="16"/>
                <w:szCs w:val="16"/>
                <w:lang w:val="en-US"/>
              </w:rPr>
              <w:t>request</w:t>
            </w:r>
            <w:proofErr w:type="spellEnd"/>
            <w:r w:rsidRPr="00C743EA">
              <w:rPr>
                <w:rFonts w:ascii="Times New Roman" w:hAnsi="Times New Roman"/>
                <w:sz w:val="16"/>
                <w:szCs w:val="16"/>
                <w:lang w:val="en-US"/>
              </w:rPr>
              <w:t xml:space="preserve"> </w:t>
            </w:r>
            <w:proofErr w:type="spellStart"/>
            <w:r w:rsidRPr="00C743EA">
              <w:rPr>
                <w:rFonts w:ascii="Times New Roman" w:hAnsi="Times New Roman"/>
                <w:sz w:val="16"/>
                <w:szCs w:val="16"/>
                <w:lang w:val="en-US"/>
              </w:rPr>
              <w:t>the</w:t>
            </w:r>
            <w:proofErr w:type="spellEnd"/>
            <w:r w:rsidRPr="00C743EA">
              <w:rPr>
                <w:rFonts w:ascii="Times New Roman" w:hAnsi="Times New Roman"/>
                <w:sz w:val="16"/>
                <w:szCs w:val="16"/>
                <w:lang w:val="en-US"/>
              </w:rPr>
              <w:t xml:space="preserve"> </w:t>
            </w:r>
            <w:proofErr w:type="spellStart"/>
            <w:r w:rsidRPr="00C743EA">
              <w:rPr>
                <w:rFonts w:ascii="Times New Roman" w:hAnsi="Times New Roman"/>
                <w:sz w:val="16"/>
                <w:szCs w:val="16"/>
                <w:lang w:val="en-US"/>
              </w:rPr>
              <w:t>information</w:t>
            </w:r>
            <w:proofErr w:type="spellEnd"/>
            <w:r w:rsidRPr="00C743EA">
              <w:rPr>
                <w:rFonts w:ascii="Times New Roman" w:hAnsi="Times New Roman"/>
                <w:sz w:val="16"/>
                <w:szCs w:val="16"/>
                <w:lang w:val="en-US"/>
              </w:rPr>
              <w:t xml:space="preserve"> </w:t>
            </w:r>
            <w:proofErr w:type="spellStart"/>
            <w:r w:rsidRPr="00C743EA">
              <w:rPr>
                <w:rFonts w:ascii="Times New Roman" w:hAnsi="Times New Roman"/>
                <w:sz w:val="16"/>
                <w:szCs w:val="16"/>
                <w:lang w:val="en-US"/>
              </w:rPr>
              <w:t>and</w:t>
            </w:r>
            <w:proofErr w:type="spellEnd"/>
            <w:r w:rsidRPr="00C743EA">
              <w:rPr>
                <w:rFonts w:ascii="Times New Roman" w:hAnsi="Times New Roman"/>
                <w:sz w:val="16"/>
                <w:szCs w:val="16"/>
                <w:lang w:val="en-US"/>
              </w:rPr>
              <w:t xml:space="preserve"> / </w:t>
            </w:r>
            <w:proofErr w:type="spellStart"/>
            <w:r w:rsidRPr="00C743EA">
              <w:rPr>
                <w:rFonts w:ascii="Times New Roman" w:hAnsi="Times New Roman"/>
                <w:sz w:val="16"/>
                <w:szCs w:val="16"/>
                <w:lang w:val="en-US"/>
              </w:rPr>
              <w:t>or</w:t>
            </w:r>
            <w:proofErr w:type="spellEnd"/>
            <w:r w:rsidRPr="00C743EA">
              <w:rPr>
                <w:rFonts w:ascii="Times New Roman" w:hAnsi="Times New Roman"/>
                <w:sz w:val="16"/>
                <w:szCs w:val="16"/>
                <w:lang w:val="en-US"/>
              </w:rPr>
              <w:t xml:space="preserve"> </w:t>
            </w:r>
            <w:proofErr w:type="spellStart"/>
            <w:r w:rsidRPr="00C743EA">
              <w:rPr>
                <w:rFonts w:ascii="Times New Roman" w:hAnsi="Times New Roman"/>
                <w:sz w:val="16"/>
                <w:szCs w:val="16"/>
                <w:lang w:val="en-US"/>
              </w:rPr>
              <w:t>documents</w:t>
            </w:r>
            <w:proofErr w:type="spellEnd"/>
            <w:r w:rsidRPr="00C743EA">
              <w:rPr>
                <w:rFonts w:ascii="Times New Roman" w:hAnsi="Times New Roman"/>
                <w:sz w:val="16"/>
                <w:szCs w:val="16"/>
                <w:lang w:val="en-US"/>
              </w:rPr>
              <w:t xml:space="preserve"> </w:t>
            </w:r>
            <w:proofErr w:type="spellStart"/>
            <w:r w:rsidRPr="00C743EA">
              <w:rPr>
                <w:rFonts w:ascii="Times New Roman" w:hAnsi="Times New Roman"/>
                <w:sz w:val="16"/>
                <w:szCs w:val="16"/>
                <w:lang w:val="en-US"/>
              </w:rPr>
              <w:t>or</w:t>
            </w:r>
            <w:proofErr w:type="spellEnd"/>
            <w:r w:rsidRPr="00C743EA">
              <w:rPr>
                <w:rFonts w:ascii="Times New Roman" w:hAnsi="Times New Roman"/>
                <w:sz w:val="16"/>
                <w:szCs w:val="16"/>
                <w:lang w:val="en-US"/>
              </w:rPr>
              <w:t xml:space="preserve"> </w:t>
            </w:r>
            <w:proofErr w:type="spellStart"/>
            <w:r w:rsidRPr="00C743EA">
              <w:rPr>
                <w:rFonts w:ascii="Times New Roman" w:hAnsi="Times New Roman"/>
                <w:sz w:val="16"/>
                <w:szCs w:val="16"/>
                <w:lang w:val="en-US"/>
              </w:rPr>
              <w:t>provide</w:t>
            </w:r>
            <w:proofErr w:type="spellEnd"/>
            <w:r w:rsidRPr="00C743EA">
              <w:rPr>
                <w:rFonts w:ascii="Times New Roman" w:hAnsi="Times New Roman"/>
                <w:sz w:val="16"/>
                <w:szCs w:val="16"/>
                <w:lang w:val="en-US"/>
              </w:rPr>
              <w:t xml:space="preserve"> </w:t>
            </w:r>
            <w:proofErr w:type="spellStart"/>
            <w:r w:rsidRPr="00C743EA">
              <w:rPr>
                <w:rFonts w:ascii="Times New Roman" w:hAnsi="Times New Roman"/>
                <w:sz w:val="16"/>
                <w:szCs w:val="16"/>
                <w:lang w:val="en-US"/>
              </w:rPr>
              <w:t>information</w:t>
            </w:r>
            <w:proofErr w:type="spellEnd"/>
            <w:r w:rsidRPr="00C743EA">
              <w:rPr>
                <w:rFonts w:ascii="Times New Roman" w:hAnsi="Times New Roman"/>
                <w:sz w:val="16"/>
                <w:szCs w:val="16"/>
                <w:lang w:val="en-US"/>
              </w:rPr>
              <w:t xml:space="preserve"> </w:t>
            </w:r>
            <w:proofErr w:type="spellStart"/>
            <w:r w:rsidRPr="00C743EA">
              <w:rPr>
                <w:rFonts w:ascii="Times New Roman" w:hAnsi="Times New Roman"/>
                <w:sz w:val="16"/>
                <w:szCs w:val="16"/>
                <w:lang w:val="en-US"/>
              </w:rPr>
              <w:t>and</w:t>
            </w:r>
            <w:proofErr w:type="spellEnd"/>
            <w:r w:rsidRPr="00C743EA">
              <w:rPr>
                <w:rFonts w:ascii="Times New Roman" w:hAnsi="Times New Roman"/>
                <w:sz w:val="16"/>
                <w:szCs w:val="16"/>
                <w:lang w:val="en-US"/>
              </w:rPr>
              <w:t xml:space="preserve"> / </w:t>
            </w:r>
            <w:proofErr w:type="spellStart"/>
            <w:r w:rsidRPr="00C743EA">
              <w:rPr>
                <w:rFonts w:ascii="Times New Roman" w:hAnsi="Times New Roman"/>
                <w:sz w:val="16"/>
                <w:szCs w:val="16"/>
                <w:lang w:val="en-US"/>
              </w:rPr>
              <w:t>or</w:t>
            </w:r>
            <w:proofErr w:type="spellEnd"/>
            <w:r w:rsidRPr="00C743EA">
              <w:rPr>
                <w:rFonts w:ascii="Times New Roman" w:hAnsi="Times New Roman"/>
                <w:sz w:val="16"/>
                <w:szCs w:val="16"/>
                <w:lang w:val="en-US"/>
              </w:rPr>
              <w:t xml:space="preserve"> </w:t>
            </w:r>
            <w:proofErr w:type="spellStart"/>
            <w:r w:rsidRPr="00C743EA">
              <w:rPr>
                <w:rFonts w:ascii="Times New Roman" w:hAnsi="Times New Roman"/>
                <w:sz w:val="16"/>
                <w:szCs w:val="16"/>
                <w:lang w:val="en-US"/>
              </w:rPr>
              <w:t>documents</w:t>
            </w:r>
            <w:proofErr w:type="spellEnd"/>
            <w:r w:rsidRPr="00C743EA">
              <w:rPr>
                <w:rFonts w:ascii="Times New Roman" w:hAnsi="Times New Roman"/>
                <w:sz w:val="16"/>
                <w:szCs w:val="16"/>
                <w:lang w:val="en-US"/>
              </w:rPr>
              <w:t xml:space="preserve"> </w:t>
            </w:r>
            <w:proofErr w:type="spellStart"/>
            <w:r w:rsidRPr="00C743EA">
              <w:rPr>
                <w:rFonts w:ascii="Times New Roman" w:hAnsi="Times New Roman"/>
                <w:sz w:val="16"/>
                <w:szCs w:val="16"/>
                <w:lang w:val="en-US"/>
              </w:rPr>
              <w:t>that</w:t>
            </w:r>
            <w:proofErr w:type="spellEnd"/>
            <w:r w:rsidRPr="00C743EA">
              <w:rPr>
                <w:rFonts w:ascii="Times New Roman" w:hAnsi="Times New Roman"/>
                <w:sz w:val="16"/>
                <w:szCs w:val="16"/>
                <w:lang w:val="en-US"/>
              </w:rPr>
              <w:t xml:space="preserve"> </w:t>
            </w:r>
            <w:proofErr w:type="spellStart"/>
            <w:r w:rsidRPr="00C743EA">
              <w:rPr>
                <w:rFonts w:ascii="Times New Roman" w:hAnsi="Times New Roman"/>
                <w:sz w:val="16"/>
                <w:szCs w:val="16"/>
                <w:lang w:val="en-US"/>
              </w:rPr>
              <w:t>do</w:t>
            </w:r>
            <w:proofErr w:type="spellEnd"/>
            <w:r w:rsidRPr="00C743EA">
              <w:rPr>
                <w:rFonts w:ascii="Times New Roman" w:hAnsi="Times New Roman"/>
                <w:sz w:val="16"/>
                <w:szCs w:val="16"/>
                <w:lang w:val="en-US"/>
              </w:rPr>
              <w:t xml:space="preserve"> </w:t>
            </w:r>
            <w:proofErr w:type="spellStart"/>
            <w:r w:rsidRPr="00C743EA">
              <w:rPr>
                <w:rFonts w:ascii="Times New Roman" w:hAnsi="Times New Roman"/>
                <w:sz w:val="16"/>
                <w:szCs w:val="16"/>
                <w:lang w:val="en-US"/>
              </w:rPr>
              <w:t>not</w:t>
            </w:r>
            <w:proofErr w:type="spellEnd"/>
            <w:r w:rsidRPr="00C743EA">
              <w:rPr>
                <w:rFonts w:ascii="Times New Roman" w:hAnsi="Times New Roman"/>
                <w:sz w:val="16"/>
                <w:szCs w:val="16"/>
                <w:lang w:val="en-US"/>
              </w:rPr>
              <w:t xml:space="preserve"> </w:t>
            </w:r>
            <w:proofErr w:type="spellStart"/>
            <w:r w:rsidRPr="00C743EA">
              <w:rPr>
                <w:rFonts w:ascii="Times New Roman" w:hAnsi="Times New Roman"/>
                <w:sz w:val="16"/>
                <w:szCs w:val="16"/>
                <w:lang w:val="en-US"/>
              </w:rPr>
              <w:t>refute</w:t>
            </w:r>
            <w:proofErr w:type="spellEnd"/>
            <w:r w:rsidRPr="00C743EA">
              <w:rPr>
                <w:rFonts w:ascii="Times New Roman" w:hAnsi="Times New Roman"/>
                <w:sz w:val="16"/>
                <w:szCs w:val="16"/>
                <w:lang w:val="en-US"/>
              </w:rPr>
              <w:t xml:space="preserve"> </w:t>
            </w:r>
            <w:proofErr w:type="spellStart"/>
            <w:r w:rsidRPr="00C743EA">
              <w:rPr>
                <w:rFonts w:ascii="Times New Roman" w:hAnsi="Times New Roman"/>
                <w:sz w:val="16"/>
                <w:szCs w:val="16"/>
                <w:lang w:val="en-US"/>
              </w:rPr>
              <w:t>the</w:t>
            </w:r>
            <w:proofErr w:type="spellEnd"/>
            <w:r w:rsidRPr="00C743EA">
              <w:rPr>
                <w:rFonts w:ascii="Times New Roman" w:hAnsi="Times New Roman"/>
                <w:sz w:val="16"/>
                <w:szCs w:val="16"/>
                <w:lang w:val="en-US"/>
              </w:rPr>
              <w:t xml:space="preserve"> </w:t>
            </w:r>
            <w:proofErr w:type="spellStart"/>
            <w:r w:rsidRPr="00C743EA">
              <w:rPr>
                <w:rFonts w:ascii="Times New Roman" w:hAnsi="Times New Roman"/>
                <w:sz w:val="16"/>
                <w:szCs w:val="16"/>
                <w:lang w:val="en-US"/>
              </w:rPr>
              <w:t>reasonable</w:t>
            </w:r>
            <w:proofErr w:type="spellEnd"/>
            <w:r w:rsidRPr="00C743EA">
              <w:rPr>
                <w:rFonts w:ascii="Times New Roman" w:hAnsi="Times New Roman"/>
                <w:sz w:val="16"/>
                <w:szCs w:val="16"/>
                <w:lang w:val="en-US"/>
              </w:rPr>
              <w:t xml:space="preserve"> </w:t>
            </w:r>
            <w:proofErr w:type="spellStart"/>
            <w:r w:rsidRPr="00C743EA">
              <w:rPr>
                <w:rFonts w:ascii="Times New Roman" w:hAnsi="Times New Roman"/>
                <w:sz w:val="16"/>
                <w:szCs w:val="16"/>
                <w:lang w:val="en-US"/>
              </w:rPr>
              <w:t>suspicion</w:t>
            </w:r>
            <w:proofErr w:type="spellEnd"/>
            <w:r w:rsidRPr="00C743EA">
              <w:rPr>
                <w:rFonts w:ascii="Times New Roman" w:hAnsi="Times New Roman"/>
                <w:sz w:val="16"/>
                <w:szCs w:val="16"/>
                <w:lang w:val="en-US"/>
              </w:rPr>
              <w:t xml:space="preserve"> </w:t>
            </w:r>
            <w:proofErr w:type="spellStart"/>
            <w:r w:rsidRPr="00C743EA">
              <w:rPr>
                <w:rFonts w:ascii="Times New Roman" w:hAnsi="Times New Roman"/>
                <w:sz w:val="16"/>
                <w:szCs w:val="16"/>
                <w:lang w:val="en-US"/>
              </w:rPr>
              <w:t>of</w:t>
            </w:r>
            <w:proofErr w:type="spellEnd"/>
            <w:r w:rsidRPr="00C743EA">
              <w:rPr>
                <w:rFonts w:ascii="Times New Roman" w:hAnsi="Times New Roman"/>
                <w:sz w:val="16"/>
                <w:szCs w:val="16"/>
                <w:lang w:val="en-US"/>
              </w:rPr>
              <w:t xml:space="preserve"> </w:t>
            </w:r>
            <w:proofErr w:type="spellStart"/>
            <w:r w:rsidRPr="00C743EA">
              <w:rPr>
                <w:rFonts w:ascii="Times New Roman" w:hAnsi="Times New Roman"/>
                <w:sz w:val="16"/>
                <w:szCs w:val="16"/>
                <w:lang w:val="en-US"/>
              </w:rPr>
              <w:t>the</w:t>
            </w:r>
            <w:proofErr w:type="spellEnd"/>
            <w:r w:rsidRPr="00C743EA">
              <w:rPr>
                <w:rFonts w:ascii="Times New Roman" w:hAnsi="Times New Roman"/>
                <w:sz w:val="16"/>
                <w:szCs w:val="16"/>
                <w:lang w:val="en-US"/>
              </w:rPr>
              <w:t xml:space="preserve"> </w:t>
            </w:r>
            <w:proofErr w:type="spellStart"/>
            <w:r w:rsidRPr="00C743EA">
              <w:rPr>
                <w:rFonts w:ascii="Times New Roman" w:hAnsi="Times New Roman"/>
                <w:sz w:val="16"/>
                <w:szCs w:val="16"/>
                <w:lang w:val="en-US"/>
              </w:rPr>
              <w:t>depository</w:t>
            </w:r>
            <w:proofErr w:type="spellEnd"/>
            <w:r w:rsidRPr="00C743EA">
              <w:rPr>
                <w:rFonts w:ascii="Times New Roman" w:hAnsi="Times New Roman"/>
                <w:sz w:val="16"/>
                <w:szCs w:val="16"/>
                <w:lang w:val="en-US"/>
              </w:rPr>
              <w:t xml:space="preserve">, </w:t>
            </w:r>
            <w:proofErr w:type="spellStart"/>
            <w:r w:rsidRPr="00C743EA">
              <w:rPr>
                <w:rFonts w:ascii="Times New Roman" w:hAnsi="Times New Roman"/>
                <w:sz w:val="16"/>
                <w:szCs w:val="16"/>
                <w:lang w:val="en-US"/>
              </w:rPr>
              <w:t>or</w:t>
            </w:r>
            <w:proofErr w:type="spellEnd"/>
            <w:r w:rsidRPr="00C743EA">
              <w:rPr>
                <w:rFonts w:ascii="Times New Roman" w:hAnsi="Times New Roman"/>
                <w:sz w:val="16"/>
                <w:szCs w:val="16"/>
                <w:lang w:val="en-US"/>
              </w:rPr>
              <w:t xml:space="preserve"> </w:t>
            </w:r>
            <w:proofErr w:type="spellStart"/>
            <w:r w:rsidRPr="00C743EA">
              <w:rPr>
                <w:rFonts w:ascii="Times New Roman" w:hAnsi="Times New Roman"/>
                <w:sz w:val="16"/>
                <w:szCs w:val="16"/>
                <w:lang w:val="en-US"/>
              </w:rPr>
              <w:t>provide</w:t>
            </w:r>
            <w:proofErr w:type="spellEnd"/>
            <w:r w:rsidRPr="00C743EA">
              <w:rPr>
                <w:rFonts w:ascii="Times New Roman" w:hAnsi="Times New Roman"/>
                <w:sz w:val="16"/>
                <w:szCs w:val="16"/>
                <w:lang w:val="en-US"/>
              </w:rPr>
              <w:t xml:space="preserve"> </w:t>
            </w:r>
            <w:proofErr w:type="spellStart"/>
            <w:r w:rsidRPr="00C743EA">
              <w:rPr>
                <w:rFonts w:ascii="Times New Roman" w:hAnsi="Times New Roman"/>
                <w:sz w:val="16"/>
                <w:szCs w:val="16"/>
                <w:lang w:val="en-US"/>
              </w:rPr>
              <w:t>the</w:t>
            </w:r>
            <w:proofErr w:type="spellEnd"/>
            <w:r w:rsidRPr="00C743EA">
              <w:rPr>
                <w:rFonts w:ascii="Times New Roman" w:hAnsi="Times New Roman"/>
                <w:sz w:val="16"/>
                <w:szCs w:val="16"/>
                <w:lang w:val="en-US"/>
              </w:rPr>
              <w:t xml:space="preserve"> </w:t>
            </w:r>
            <w:proofErr w:type="spellStart"/>
            <w:r w:rsidRPr="00C743EA">
              <w:rPr>
                <w:rFonts w:ascii="Times New Roman" w:hAnsi="Times New Roman"/>
                <w:sz w:val="16"/>
                <w:szCs w:val="16"/>
                <w:lang w:val="en-US"/>
              </w:rPr>
              <w:t>Depositor</w:t>
            </w:r>
            <w:proofErr w:type="spellEnd"/>
            <w:r w:rsidRPr="00C743EA">
              <w:rPr>
                <w:rFonts w:ascii="Times New Roman" w:hAnsi="Times New Roman"/>
                <w:sz w:val="16"/>
                <w:szCs w:val="16"/>
                <w:lang w:val="en-US"/>
              </w:rPr>
              <w:t xml:space="preserve"> </w:t>
            </w:r>
            <w:proofErr w:type="spellStart"/>
            <w:r w:rsidRPr="00C743EA">
              <w:rPr>
                <w:rFonts w:ascii="Times New Roman" w:hAnsi="Times New Roman"/>
                <w:sz w:val="16"/>
                <w:szCs w:val="16"/>
                <w:lang w:val="en-US"/>
              </w:rPr>
              <w:t>with</w:t>
            </w:r>
            <w:proofErr w:type="spellEnd"/>
            <w:r w:rsidRPr="00C743EA">
              <w:rPr>
                <w:rFonts w:ascii="Times New Roman" w:hAnsi="Times New Roman"/>
                <w:sz w:val="16"/>
                <w:szCs w:val="16"/>
                <w:lang w:val="en-US"/>
              </w:rPr>
              <w:t xml:space="preserve"> </w:t>
            </w:r>
            <w:proofErr w:type="spellStart"/>
            <w:r w:rsidRPr="00C743EA">
              <w:rPr>
                <w:rFonts w:ascii="Times New Roman" w:hAnsi="Times New Roman"/>
                <w:sz w:val="16"/>
                <w:szCs w:val="16"/>
                <w:lang w:val="en-US"/>
              </w:rPr>
              <w:t>inaccurate</w:t>
            </w:r>
            <w:proofErr w:type="spellEnd"/>
            <w:r w:rsidRPr="00C743EA">
              <w:rPr>
                <w:rFonts w:ascii="Times New Roman" w:hAnsi="Times New Roman"/>
                <w:sz w:val="16"/>
                <w:szCs w:val="16"/>
                <w:lang w:val="en-US"/>
              </w:rPr>
              <w:t xml:space="preserve"> </w:t>
            </w:r>
            <w:proofErr w:type="spellStart"/>
            <w:r w:rsidRPr="00C743EA">
              <w:rPr>
                <w:rFonts w:ascii="Times New Roman" w:hAnsi="Times New Roman"/>
                <w:sz w:val="16"/>
                <w:szCs w:val="16"/>
                <w:lang w:val="en-US"/>
              </w:rPr>
              <w:t>information</w:t>
            </w:r>
            <w:proofErr w:type="spellEnd"/>
            <w:r w:rsidRPr="00C743EA">
              <w:rPr>
                <w:rFonts w:ascii="Times New Roman" w:hAnsi="Times New Roman"/>
                <w:sz w:val="16"/>
                <w:szCs w:val="16"/>
                <w:lang w:val="en-US"/>
              </w:rPr>
              <w:t xml:space="preserve"> </w:t>
            </w:r>
            <w:proofErr w:type="spellStart"/>
            <w:r w:rsidRPr="00C743EA">
              <w:rPr>
                <w:rFonts w:ascii="Times New Roman" w:hAnsi="Times New Roman"/>
                <w:sz w:val="16"/>
                <w:szCs w:val="16"/>
                <w:lang w:val="en-US"/>
              </w:rPr>
              <w:t>to</w:t>
            </w:r>
            <w:proofErr w:type="spellEnd"/>
            <w:r w:rsidRPr="00C743EA">
              <w:rPr>
                <w:rFonts w:ascii="Times New Roman" w:hAnsi="Times New Roman"/>
                <w:sz w:val="16"/>
                <w:szCs w:val="16"/>
                <w:lang w:val="en-US"/>
              </w:rPr>
              <w:t xml:space="preserve"> </w:t>
            </w:r>
            <w:proofErr w:type="spellStart"/>
            <w:r w:rsidRPr="00C743EA">
              <w:rPr>
                <w:rFonts w:ascii="Times New Roman" w:hAnsi="Times New Roman"/>
                <w:sz w:val="16"/>
                <w:szCs w:val="16"/>
                <w:lang w:val="en-US"/>
              </w:rPr>
              <w:t>establish</w:t>
            </w:r>
            <w:proofErr w:type="spellEnd"/>
            <w:r w:rsidRPr="00C743EA">
              <w:rPr>
                <w:rFonts w:ascii="Times New Roman" w:hAnsi="Times New Roman"/>
                <w:sz w:val="16"/>
                <w:szCs w:val="16"/>
                <w:lang w:val="en-US"/>
              </w:rPr>
              <w:t xml:space="preserve"> </w:t>
            </w:r>
            <w:proofErr w:type="spellStart"/>
            <w:r w:rsidRPr="00C743EA">
              <w:rPr>
                <w:rFonts w:ascii="Times New Roman" w:hAnsi="Times New Roman"/>
                <w:sz w:val="16"/>
                <w:szCs w:val="16"/>
                <w:lang w:val="en-US"/>
              </w:rPr>
              <w:t>its</w:t>
            </w:r>
            <w:proofErr w:type="spellEnd"/>
            <w:r w:rsidRPr="00C743EA">
              <w:rPr>
                <w:rFonts w:ascii="Times New Roman" w:hAnsi="Times New Roman"/>
                <w:sz w:val="16"/>
                <w:szCs w:val="16"/>
                <w:lang w:val="en-US"/>
              </w:rPr>
              <w:t xml:space="preserve"> </w:t>
            </w:r>
            <w:proofErr w:type="spellStart"/>
            <w:r w:rsidRPr="00C743EA">
              <w:rPr>
                <w:rFonts w:ascii="Times New Roman" w:hAnsi="Times New Roman"/>
                <w:sz w:val="16"/>
                <w:szCs w:val="16"/>
                <w:lang w:val="en-US"/>
              </w:rPr>
              <w:t>accountability</w:t>
            </w:r>
            <w:proofErr w:type="spellEnd"/>
            <w:r w:rsidRPr="00C743EA">
              <w:rPr>
                <w:rFonts w:ascii="Times New Roman" w:hAnsi="Times New Roman"/>
                <w:sz w:val="16"/>
                <w:szCs w:val="16"/>
                <w:lang w:val="en-US"/>
              </w:rPr>
              <w:t xml:space="preserve"> </w:t>
            </w:r>
            <w:proofErr w:type="spellStart"/>
            <w:r w:rsidRPr="00C743EA">
              <w:rPr>
                <w:rFonts w:ascii="Times New Roman" w:hAnsi="Times New Roman"/>
                <w:sz w:val="16"/>
                <w:szCs w:val="16"/>
                <w:lang w:val="en-US"/>
              </w:rPr>
              <w:t>is</w:t>
            </w:r>
            <w:proofErr w:type="spellEnd"/>
            <w:r w:rsidRPr="00C743EA">
              <w:rPr>
                <w:rFonts w:ascii="Times New Roman" w:hAnsi="Times New Roman"/>
                <w:sz w:val="16"/>
                <w:szCs w:val="16"/>
                <w:lang w:val="en-US"/>
              </w:rPr>
              <w:t xml:space="preserve"> </w:t>
            </w:r>
            <w:proofErr w:type="spellStart"/>
            <w:r w:rsidRPr="00C743EA">
              <w:rPr>
                <w:rFonts w:ascii="Times New Roman" w:hAnsi="Times New Roman"/>
                <w:sz w:val="16"/>
                <w:szCs w:val="16"/>
                <w:lang w:val="en-US"/>
              </w:rPr>
              <w:t>grounds</w:t>
            </w:r>
            <w:proofErr w:type="spellEnd"/>
            <w:r w:rsidRPr="00C743EA">
              <w:rPr>
                <w:rFonts w:ascii="Times New Roman" w:hAnsi="Times New Roman"/>
                <w:sz w:val="16"/>
                <w:szCs w:val="16"/>
                <w:lang w:val="en-US"/>
              </w:rPr>
              <w:t xml:space="preserve"> </w:t>
            </w:r>
            <w:proofErr w:type="spellStart"/>
            <w:r w:rsidRPr="00C743EA">
              <w:rPr>
                <w:rFonts w:ascii="Times New Roman" w:hAnsi="Times New Roman"/>
                <w:sz w:val="16"/>
                <w:szCs w:val="16"/>
                <w:lang w:val="en-US"/>
              </w:rPr>
              <w:t>execution</w:t>
            </w:r>
            <w:proofErr w:type="spellEnd"/>
            <w:r w:rsidRPr="00C743EA">
              <w:rPr>
                <w:rFonts w:ascii="Times New Roman" w:hAnsi="Times New Roman"/>
                <w:sz w:val="16"/>
                <w:szCs w:val="16"/>
                <w:lang w:val="en-US"/>
              </w:rPr>
              <w:t xml:space="preserve"> </w:t>
            </w:r>
            <w:proofErr w:type="spellStart"/>
            <w:r w:rsidRPr="00C743EA">
              <w:rPr>
                <w:rFonts w:ascii="Times New Roman" w:hAnsi="Times New Roman"/>
                <w:sz w:val="16"/>
                <w:szCs w:val="16"/>
                <w:lang w:val="en-US"/>
              </w:rPr>
              <w:t>of</w:t>
            </w:r>
            <w:proofErr w:type="spellEnd"/>
            <w:r w:rsidRPr="00C743EA">
              <w:rPr>
                <w:rFonts w:ascii="Times New Roman" w:hAnsi="Times New Roman"/>
                <w:sz w:val="16"/>
                <w:szCs w:val="16"/>
                <w:lang w:val="en-US"/>
              </w:rPr>
              <w:t xml:space="preserve"> </w:t>
            </w:r>
            <w:proofErr w:type="spellStart"/>
            <w:r w:rsidRPr="00C743EA">
              <w:rPr>
                <w:rFonts w:ascii="Times New Roman" w:hAnsi="Times New Roman"/>
                <w:sz w:val="16"/>
                <w:szCs w:val="16"/>
                <w:lang w:val="en-US"/>
              </w:rPr>
              <w:t>orders</w:t>
            </w:r>
            <w:proofErr w:type="spellEnd"/>
            <w:r w:rsidRPr="00C743EA">
              <w:rPr>
                <w:rFonts w:ascii="Times New Roman" w:hAnsi="Times New Roman"/>
                <w:sz w:val="16"/>
                <w:szCs w:val="16"/>
                <w:lang w:val="en-US"/>
              </w:rPr>
              <w:t xml:space="preserve"> </w:t>
            </w:r>
            <w:proofErr w:type="spellStart"/>
            <w:r w:rsidRPr="00C743EA">
              <w:rPr>
                <w:rFonts w:ascii="Times New Roman" w:hAnsi="Times New Roman"/>
                <w:sz w:val="16"/>
                <w:szCs w:val="16"/>
                <w:lang w:val="en-US"/>
              </w:rPr>
              <w:t>on</w:t>
            </w:r>
            <w:proofErr w:type="spellEnd"/>
            <w:r w:rsidRPr="00C743EA">
              <w:rPr>
                <w:rFonts w:ascii="Times New Roman" w:hAnsi="Times New Roman"/>
                <w:sz w:val="16"/>
                <w:szCs w:val="16"/>
                <w:lang w:val="en-US"/>
              </w:rPr>
              <w:t xml:space="preserve"> </w:t>
            </w:r>
            <w:proofErr w:type="spellStart"/>
            <w:r w:rsidRPr="00C743EA">
              <w:rPr>
                <w:rFonts w:ascii="Times New Roman" w:hAnsi="Times New Roman"/>
                <w:sz w:val="16"/>
                <w:szCs w:val="16"/>
                <w:lang w:val="en-US"/>
              </w:rPr>
              <w:t>conducting</w:t>
            </w:r>
            <w:proofErr w:type="spellEnd"/>
            <w:r w:rsidRPr="00C743EA">
              <w:rPr>
                <w:rFonts w:ascii="Times New Roman" w:hAnsi="Times New Roman"/>
                <w:sz w:val="16"/>
                <w:szCs w:val="16"/>
                <w:lang w:val="en-US"/>
              </w:rPr>
              <w:t xml:space="preserve"> </w:t>
            </w:r>
            <w:proofErr w:type="spellStart"/>
            <w:r w:rsidRPr="00C743EA">
              <w:rPr>
                <w:rFonts w:ascii="Times New Roman" w:hAnsi="Times New Roman"/>
                <w:sz w:val="16"/>
                <w:szCs w:val="16"/>
                <w:lang w:val="en-US"/>
              </w:rPr>
              <w:t>operations</w:t>
            </w:r>
            <w:proofErr w:type="spellEnd"/>
            <w:r w:rsidRPr="00C743EA">
              <w:rPr>
                <w:rFonts w:ascii="Times New Roman" w:hAnsi="Times New Roman"/>
                <w:sz w:val="16"/>
                <w:szCs w:val="16"/>
                <w:lang w:val="en-US"/>
              </w:rPr>
              <w:t xml:space="preserve"> </w:t>
            </w:r>
            <w:proofErr w:type="spellStart"/>
            <w:r w:rsidRPr="00C743EA">
              <w:rPr>
                <w:rFonts w:ascii="Times New Roman" w:hAnsi="Times New Roman"/>
                <w:sz w:val="16"/>
                <w:szCs w:val="16"/>
                <w:lang w:val="en-US"/>
              </w:rPr>
              <w:t>on</w:t>
            </w:r>
            <w:proofErr w:type="spellEnd"/>
            <w:r w:rsidRPr="00C743EA">
              <w:rPr>
                <w:rFonts w:ascii="Times New Roman" w:hAnsi="Times New Roman"/>
                <w:sz w:val="16"/>
                <w:szCs w:val="16"/>
                <w:lang w:val="en-US"/>
              </w:rPr>
              <w:t xml:space="preserve"> </w:t>
            </w:r>
            <w:proofErr w:type="spellStart"/>
            <w:r w:rsidRPr="00C743EA">
              <w:rPr>
                <w:rFonts w:ascii="Times New Roman" w:hAnsi="Times New Roman"/>
                <w:sz w:val="16"/>
                <w:szCs w:val="16"/>
                <w:lang w:val="en-US"/>
              </w:rPr>
              <w:t>his</w:t>
            </w:r>
            <w:proofErr w:type="spellEnd"/>
            <w:r w:rsidRPr="00C743EA">
              <w:rPr>
                <w:rFonts w:ascii="Times New Roman" w:hAnsi="Times New Roman"/>
                <w:sz w:val="16"/>
                <w:szCs w:val="16"/>
                <w:lang w:val="en-US"/>
              </w:rPr>
              <w:t xml:space="preserve"> </w:t>
            </w:r>
            <w:proofErr w:type="spellStart"/>
            <w:r w:rsidRPr="00C743EA">
              <w:rPr>
                <w:rFonts w:ascii="Times New Roman" w:hAnsi="Times New Roman"/>
                <w:sz w:val="16"/>
                <w:szCs w:val="16"/>
                <w:lang w:val="en-US"/>
              </w:rPr>
              <w:t>securities</w:t>
            </w:r>
            <w:proofErr w:type="spellEnd"/>
            <w:r w:rsidRPr="00C743EA">
              <w:rPr>
                <w:rFonts w:ascii="Times New Roman" w:hAnsi="Times New Roman"/>
                <w:sz w:val="16"/>
                <w:szCs w:val="16"/>
                <w:lang w:val="en-US"/>
              </w:rPr>
              <w:t xml:space="preserve"> </w:t>
            </w:r>
            <w:proofErr w:type="spellStart"/>
            <w:r w:rsidRPr="00C743EA">
              <w:rPr>
                <w:rFonts w:ascii="Times New Roman" w:hAnsi="Times New Roman"/>
                <w:sz w:val="16"/>
                <w:szCs w:val="16"/>
                <w:lang w:val="en-US"/>
              </w:rPr>
              <w:t>account</w:t>
            </w:r>
            <w:proofErr w:type="spellEnd"/>
            <w:r w:rsidRPr="00C743EA">
              <w:rPr>
                <w:rFonts w:ascii="Times New Roman" w:hAnsi="Times New Roman"/>
                <w:sz w:val="16"/>
                <w:szCs w:val="16"/>
                <w:lang w:val="en-US"/>
              </w:rPr>
              <w:t xml:space="preserve"> </w:t>
            </w:r>
            <w:proofErr w:type="spellStart"/>
            <w:r w:rsidRPr="00C743EA">
              <w:rPr>
                <w:rFonts w:ascii="Times New Roman" w:hAnsi="Times New Roman"/>
                <w:sz w:val="16"/>
                <w:szCs w:val="16"/>
                <w:lang w:val="en-US"/>
              </w:rPr>
              <w:t>in</w:t>
            </w:r>
            <w:proofErr w:type="spellEnd"/>
            <w:r w:rsidRPr="00C743EA">
              <w:rPr>
                <w:rFonts w:ascii="Times New Roman" w:hAnsi="Times New Roman"/>
                <w:sz w:val="16"/>
                <w:szCs w:val="16"/>
                <w:lang w:val="en-US"/>
              </w:rPr>
              <w:t xml:space="preserve"> </w:t>
            </w:r>
            <w:proofErr w:type="spellStart"/>
            <w:r w:rsidRPr="00C743EA">
              <w:rPr>
                <w:rFonts w:ascii="Times New Roman" w:hAnsi="Times New Roman"/>
                <w:sz w:val="16"/>
                <w:szCs w:val="16"/>
                <w:lang w:val="en-US"/>
              </w:rPr>
              <w:t>accordance</w:t>
            </w:r>
            <w:proofErr w:type="spellEnd"/>
            <w:r w:rsidRPr="00C743EA">
              <w:rPr>
                <w:rFonts w:ascii="Times New Roman" w:hAnsi="Times New Roman"/>
                <w:sz w:val="16"/>
                <w:szCs w:val="16"/>
                <w:lang w:val="en-US"/>
              </w:rPr>
              <w:t xml:space="preserve"> </w:t>
            </w:r>
            <w:proofErr w:type="spellStart"/>
            <w:r w:rsidRPr="00C743EA">
              <w:rPr>
                <w:rFonts w:ascii="Times New Roman" w:hAnsi="Times New Roman"/>
                <w:sz w:val="16"/>
                <w:szCs w:val="16"/>
                <w:lang w:val="en-US"/>
              </w:rPr>
              <w:t>with</w:t>
            </w:r>
            <w:proofErr w:type="spellEnd"/>
            <w:r w:rsidRPr="00C743EA">
              <w:rPr>
                <w:rFonts w:ascii="Times New Roman" w:hAnsi="Times New Roman"/>
                <w:sz w:val="16"/>
                <w:szCs w:val="16"/>
                <w:lang w:val="en-US"/>
              </w:rPr>
              <w:t xml:space="preserve"> </w:t>
            </w:r>
            <w:proofErr w:type="spellStart"/>
            <w:r w:rsidRPr="00C743EA">
              <w:rPr>
                <w:rFonts w:ascii="Times New Roman" w:hAnsi="Times New Roman"/>
                <w:sz w:val="16"/>
                <w:szCs w:val="16"/>
                <w:lang w:val="en-US"/>
              </w:rPr>
              <w:t>the</w:t>
            </w:r>
            <w:proofErr w:type="spellEnd"/>
            <w:r w:rsidRPr="00C743EA">
              <w:rPr>
                <w:rFonts w:ascii="Times New Roman" w:hAnsi="Times New Roman"/>
                <w:sz w:val="16"/>
                <w:szCs w:val="16"/>
                <w:lang w:val="en-US"/>
              </w:rPr>
              <w:t xml:space="preserve"> </w:t>
            </w:r>
            <w:proofErr w:type="spellStart"/>
            <w:r w:rsidRPr="00C743EA">
              <w:rPr>
                <w:rFonts w:ascii="Times New Roman" w:hAnsi="Times New Roman"/>
                <w:sz w:val="16"/>
                <w:szCs w:val="16"/>
                <w:lang w:val="en-US"/>
              </w:rPr>
              <w:t>legislation</w:t>
            </w:r>
            <w:proofErr w:type="spellEnd"/>
            <w:r w:rsidRPr="00C743EA">
              <w:rPr>
                <w:rFonts w:ascii="Times New Roman" w:hAnsi="Times New Roman"/>
                <w:sz w:val="16"/>
                <w:szCs w:val="16"/>
                <w:lang w:val="en-US"/>
              </w:rPr>
              <w:t xml:space="preserve"> </w:t>
            </w:r>
            <w:proofErr w:type="spellStart"/>
            <w:r w:rsidRPr="00C743EA">
              <w:rPr>
                <w:rFonts w:ascii="Times New Roman" w:hAnsi="Times New Roman"/>
                <w:sz w:val="16"/>
                <w:szCs w:val="16"/>
                <w:lang w:val="en-US"/>
              </w:rPr>
              <w:t>and</w:t>
            </w:r>
            <w:proofErr w:type="spellEnd"/>
            <w:r w:rsidRPr="00C743EA">
              <w:rPr>
                <w:rFonts w:ascii="Times New Roman" w:hAnsi="Times New Roman"/>
                <w:sz w:val="16"/>
                <w:szCs w:val="16"/>
                <w:lang w:val="en-US"/>
              </w:rPr>
              <w:t xml:space="preserve"> </w:t>
            </w:r>
            <w:proofErr w:type="spellStart"/>
            <w:r w:rsidRPr="00C743EA">
              <w:rPr>
                <w:rFonts w:ascii="Times New Roman" w:hAnsi="Times New Roman"/>
                <w:sz w:val="16"/>
                <w:szCs w:val="16"/>
                <w:lang w:val="en-US"/>
              </w:rPr>
              <w:t>internal</w:t>
            </w:r>
            <w:proofErr w:type="spellEnd"/>
            <w:r w:rsidRPr="00C743EA">
              <w:rPr>
                <w:rFonts w:ascii="Times New Roman" w:hAnsi="Times New Roman"/>
                <w:sz w:val="16"/>
                <w:szCs w:val="16"/>
                <w:lang w:val="en-US"/>
              </w:rPr>
              <w:t xml:space="preserve"> </w:t>
            </w:r>
            <w:proofErr w:type="spellStart"/>
            <w:r w:rsidRPr="00C743EA">
              <w:rPr>
                <w:rFonts w:ascii="Times New Roman" w:hAnsi="Times New Roman"/>
                <w:sz w:val="16"/>
                <w:szCs w:val="16"/>
                <w:lang w:val="en-US"/>
              </w:rPr>
              <w:t>documents</w:t>
            </w:r>
            <w:proofErr w:type="spellEnd"/>
            <w:r w:rsidRPr="00C743EA">
              <w:rPr>
                <w:rFonts w:ascii="Times New Roman" w:hAnsi="Times New Roman"/>
                <w:sz w:val="16"/>
                <w:szCs w:val="16"/>
                <w:lang w:val="en-US"/>
              </w:rPr>
              <w:t xml:space="preserve"> </w:t>
            </w:r>
            <w:proofErr w:type="spellStart"/>
            <w:r w:rsidRPr="00C743EA">
              <w:rPr>
                <w:rFonts w:ascii="Times New Roman" w:hAnsi="Times New Roman"/>
                <w:sz w:val="16"/>
                <w:szCs w:val="16"/>
                <w:lang w:val="en-US"/>
              </w:rPr>
              <w:t>of</w:t>
            </w:r>
            <w:proofErr w:type="spellEnd"/>
            <w:r w:rsidRPr="00C743EA">
              <w:rPr>
                <w:rFonts w:ascii="Times New Roman" w:hAnsi="Times New Roman"/>
                <w:sz w:val="16"/>
                <w:szCs w:val="16"/>
                <w:lang w:val="en-US"/>
              </w:rPr>
              <w:t xml:space="preserve"> </w:t>
            </w:r>
            <w:proofErr w:type="spellStart"/>
            <w:r w:rsidRPr="00C743EA">
              <w:rPr>
                <w:rFonts w:ascii="Times New Roman" w:hAnsi="Times New Roman"/>
                <w:sz w:val="16"/>
                <w:szCs w:val="16"/>
                <w:lang w:val="en-US"/>
              </w:rPr>
              <w:t>the</w:t>
            </w:r>
            <w:proofErr w:type="spellEnd"/>
            <w:r w:rsidRPr="00C743EA">
              <w:rPr>
                <w:rFonts w:ascii="Times New Roman" w:hAnsi="Times New Roman"/>
                <w:sz w:val="16"/>
                <w:szCs w:val="16"/>
                <w:lang w:val="en-US"/>
              </w:rPr>
              <w:t xml:space="preserve"> </w:t>
            </w:r>
            <w:proofErr w:type="spellStart"/>
            <w:r w:rsidRPr="00C743EA">
              <w:rPr>
                <w:rFonts w:ascii="Times New Roman" w:hAnsi="Times New Roman"/>
                <w:sz w:val="16"/>
                <w:szCs w:val="16"/>
                <w:lang w:val="en-US"/>
              </w:rPr>
              <w:t>Depository</w:t>
            </w:r>
            <w:proofErr w:type="spellEnd"/>
            <w:r w:rsidRPr="00C743EA">
              <w:rPr>
                <w:rFonts w:ascii="Times New Roman" w:hAnsi="Times New Roman"/>
                <w:sz w:val="16"/>
                <w:szCs w:val="16"/>
                <w:lang w:val="en-US"/>
              </w:rPr>
              <w:t xml:space="preserve"> </w:t>
            </w:r>
            <w:proofErr w:type="spellStart"/>
            <w:r w:rsidRPr="00C743EA">
              <w:rPr>
                <w:rFonts w:ascii="Times New Roman" w:hAnsi="Times New Roman"/>
                <w:sz w:val="16"/>
                <w:szCs w:val="16"/>
                <w:lang w:val="en-US"/>
              </w:rPr>
              <w:t>Institution</w:t>
            </w:r>
            <w:proofErr w:type="spellEnd"/>
            <w:r w:rsidRPr="00C743EA">
              <w:rPr>
                <w:rFonts w:ascii="Times New Roman" w:hAnsi="Times New Roman"/>
                <w:sz w:val="16"/>
                <w:szCs w:val="16"/>
                <w:lang w:val="en-US"/>
              </w:rPr>
              <w:t>.</w:t>
            </w:r>
          </w:p>
        </w:tc>
      </w:tr>
      <w:tr w:rsidR="00502AEC" w:rsidRPr="00F23413" w14:paraId="0E9BEC8A" w14:textId="77777777" w:rsidTr="00C743EA">
        <w:tblPrEx>
          <w:tblCellMar>
            <w:left w:w="0" w:type="dxa"/>
            <w:right w:w="0" w:type="dxa"/>
          </w:tblCellMar>
        </w:tblPrEx>
        <w:trPr>
          <w:trHeight w:val="192"/>
        </w:trPr>
        <w:tc>
          <w:tcPr>
            <w:tcW w:w="5696" w:type="dxa"/>
            <w:gridSpan w:val="6"/>
            <w:shd w:val="clear" w:color="auto" w:fill="auto"/>
          </w:tcPr>
          <w:p w14:paraId="7D4E1B1F" w14:textId="77777777" w:rsidR="00502AEC" w:rsidRPr="0046382D" w:rsidRDefault="00502AEC" w:rsidP="0095761D">
            <w:pPr>
              <w:snapToGrid w:val="0"/>
              <w:ind w:left="40" w:right="138" w:firstLine="426"/>
              <w:rPr>
                <w:rFonts w:ascii="Times New Roman" w:hAnsi="Times New Roman"/>
                <w:sz w:val="16"/>
                <w:szCs w:val="16"/>
                <w:lang w:val="en-US"/>
              </w:rPr>
            </w:pPr>
          </w:p>
          <w:p w14:paraId="387368B3" w14:textId="77777777" w:rsidR="00502AEC" w:rsidRPr="00E16672" w:rsidRDefault="00502AEC" w:rsidP="0095761D">
            <w:pPr>
              <w:tabs>
                <w:tab w:val="left" w:pos="709"/>
              </w:tabs>
              <w:ind w:left="40" w:right="138" w:firstLine="426"/>
              <w:rPr>
                <w:rFonts w:ascii="Times New Roman" w:hAnsi="Times New Roman"/>
                <w:b/>
                <w:sz w:val="16"/>
                <w:szCs w:val="16"/>
              </w:rPr>
            </w:pPr>
            <w:r w:rsidRPr="00E16672">
              <w:rPr>
                <w:rFonts w:ascii="Times New Roman" w:hAnsi="Times New Roman"/>
                <w:b/>
                <w:sz w:val="16"/>
                <w:szCs w:val="16"/>
              </w:rPr>
              <w:t xml:space="preserve">2.3. Депонент </w:t>
            </w:r>
            <w:proofErr w:type="spellStart"/>
            <w:r w:rsidRPr="00E16672">
              <w:rPr>
                <w:rFonts w:ascii="Times New Roman" w:hAnsi="Times New Roman"/>
                <w:b/>
                <w:sz w:val="16"/>
                <w:szCs w:val="16"/>
              </w:rPr>
              <w:t>зобов’язаний</w:t>
            </w:r>
            <w:proofErr w:type="spellEnd"/>
            <w:r w:rsidRPr="00E16672">
              <w:rPr>
                <w:rFonts w:ascii="Times New Roman" w:hAnsi="Times New Roman"/>
                <w:b/>
                <w:sz w:val="16"/>
                <w:szCs w:val="16"/>
              </w:rPr>
              <w:t>:</w:t>
            </w:r>
          </w:p>
          <w:p w14:paraId="3E847F5B" w14:textId="77777777" w:rsidR="00502AEC" w:rsidRPr="00E16672" w:rsidRDefault="00502AEC" w:rsidP="0095761D">
            <w:pPr>
              <w:tabs>
                <w:tab w:val="left" w:pos="709"/>
              </w:tabs>
              <w:ind w:left="40" w:right="138" w:firstLine="426"/>
              <w:rPr>
                <w:rFonts w:ascii="Times New Roman" w:hAnsi="Times New Roman"/>
                <w:sz w:val="16"/>
                <w:szCs w:val="16"/>
              </w:rPr>
            </w:pPr>
          </w:p>
          <w:p w14:paraId="7C16A836" w14:textId="04EBA081" w:rsidR="00502AEC" w:rsidRPr="00E16672" w:rsidRDefault="00502AEC" w:rsidP="00547A75">
            <w:pPr>
              <w:tabs>
                <w:tab w:val="left" w:pos="709"/>
              </w:tabs>
              <w:ind w:left="40" w:right="138" w:firstLine="0"/>
              <w:rPr>
                <w:rFonts w:ascii="Times New Roman" w:hAnsi="Times New Roman"/>
                <w:sz w:val="16"/>
                <w:szCs w:val="16"/>
                <w:lang w:val="uk-UA"/>
              </w:rPr>
            </w:pPr>
            <w:r w:rsidRPr="00E16672">
              <w:rPr>
                <w:rFonts w:ascii="Times New Roman" w:hAnsi="Times New Roman"/>
                <w:sz w:val="16"/>
                <w:szCs w:val="16"/>
              </w:rPr>
              <w:t xml:space="preserve">2.3.1. </w:t>
            </w:r>
            <w:proofErr w:type="spellStart"/>
            <w:r w:rsidRPr="00E16672">
              <w:rPr>
                <w:rFonts w:ascii="Times New Roman" w:hAnsi="Times New Roman"/>
                <w:sz w:val="16"/>
                <w:szCs w:val="16"/>
              </w:rPr>
              <w:t>Надати</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Депозитарній</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установі</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належним</w:t>
            </w:r>
            <w:proofErr w:type="spellEnd"/>
            <w:r w:rsidRPr="00E16672">
              <w:rPr>
                <w:rFonts w:ascii="Times New Roman" w:hAnsi="Times New Roman"/>
                <w:sz w:val="16"/>
                <w:szCs w:val="16"/>
              </w:rPr>
              <w:t xml:space="preserve"> чином </w:t>
            </w:r>
            <w:proofErr w:type="spellStart"/>
            <w:r w:rsidRPr="00E16672">
              <w:rPr>
                <w:rFonts w:ascii="Times New Roman" w:hAnsi="Times New Roman"/>
                <w:sz w:val="16"/>
                <w:szCs w:val="16"/>
              </w:rPr>
              <w:t>оформлені</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документи</w:t>
            </w:r>
            <w:proofErr w:type="spellEnd"/>
            <w:r w:rsidR="0046382D">
              <w:rPr>
                <w:rFonts w:ascii="Times New Roman" w:hAnsi="Times New Roman"/>
                <w:sz w:val="16"/>
                <w:szCs w:val="16"/>
                <w:lang w:val="uk-UA"/>
              </w:rPr>
              <w:t xml:space="preserve"> </w:t>
            </w:r>
            <w:r w:rsidR="0046382D" w:rsidRPr="0046382D">
              <w:rPr>
                <w:rFonts w:ascii="Times New Roman" w:hAnsi="Times New Roman"/>
                <w:sz w:val="16"/>
                <w:szCs w:val="16"/>
                <w:lang w:val="uk-UA"/>
              </w:rPr>
              <w:t>та інформацію</w:t>
            </w:r>
            <w:r w:rsidRPr="00E16672">
              <w:rPr>
                <w:rFonts w:ascii="Times New Roman" w:hAnsi="Times New Roman"/>
                <w:sz w:val="16"/>
                <w:szCs w:val="16"/>
              </w:rPr>
              <w:t xml:space="preserve">, </w:t>
            </w:r>
            <w:proofErr w:type="spellStart"/>
            <w:r w:rsidRPr="00E16672">
              <w:rPr>
                <w:rFonts w:ascii="Times New Roman" w:hAnsi="Times New Roman"/>
                <w:sz w:val="16"/>
                <w:szCs w:val="16"/>
              </w:rPr>
              <w:t>визначені</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законодавством</w:t>
            </w:r>
            <w:proofErr w:type="spellEnd"/>
            <w:r w:rsidRPr="00E16672">
              <w:rPr>
                <w:rFonts w:ascii="Times New Roman" w:hAnsi="Times New Roman"/>
                <w:sz w:val="16"/>
                <w:szCs w:val="16"/>
              </w:rPr>
              <w:t xml:space="preserve"> та </w:t>
            </w:r>
            <w:proofErr w:type="spellStart"/>
            <w:r w:rsidRPr="00E16672">
              <w:rPr>
                <w:rFonts w:ascii="Times New Roman" w:hAnsi="Times New Roman"/>
                <w:sz w:val="16"/>
                <w:szCs w:val="16"/>
              </w:rPr>
              <w:t>внутрішніми</w:t>
            </w:r>
            <w:proofErr w:type="spellEnd"/>
            <w:r w:rsidRPr="00E16672">
              <w:rPr>
                <w:rFonts w:ascii="Times New Roman" w:hAnsi="Times New Roman"/>
                <w:sz w:val="16"/>
                <w:szCs w:val="16"/>
              </w:rPr>
              <w:t xml:space="preserve"> документами </w:t>
            </w:r>
            <w:proofErr w:type="spellStart"/>
            <w:r w:rsidRPr="00E16672">
              <w:rPr>
                <w:rFonts w:ascii="Times New Roman" w:hAnsi="Times New Roman"/>
                <w:sz w:val="16"/>
                <w:szCs w:val="16"/>
              </w:rPr>
              <w:t>Депозитарної</w:t>
            </w:r>
            <w:proofErr w:type="spellEnd"/>
            <w:r w:rsidRPr="00E16672">
              <w:rPr>
                <w:rFonts w:ascii="Times New Roman" w:hAnsi="Times New Roman"/>
                <w:sz w:val="16"/>
                <w:szCs w:val="16"/>
              </w:rPr>
              <w:t xml:space="preserve"> установи, </w:t>
            </w:r>
            <w:proofErr w:type="spellStart"/>
            <w:r w:rsidRPr="00E16672">
              <w:rPr>
                <w:rFonts w:ascii="Times New Roman" w:hAnsi="Times New Roman"/>
                <w:sz w:val="16"/>
                <w:szCs w:val="16"/>
              </w:rPr>
              <w:t>необхідні</w:t>
            </w:r>
            <w:proofErr w:type="spellEnd"/>
            <w:r w:rsidRPr="00E16672">
              <w:rPr>
                <w:rFonts w:ascii="Times New Roman" w:hAnsi="Times New Roman"/>
                <w:sz w:val="16"/>
                <w:szCs w:val="16"/>
              </w:rPr>
              <w:t xml:space="preserve"> для </w:t>
            </w:r>
            <w:proofErr w:type="spellStart"/>
            <w:r w:rsidRPr="00E16672">
              <w:rPr>
                <w:rFonts w:ascii="Times New Roman" w:hAnsi="Times New Roman"/>
                <w:sz w:val="16"/>
                <w:szCs w:val="16"/>
              </w:rPr>
              <w:t>відкриття</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рахунку</w:t>
            </w:r>
            <w:proofErr w:type="spellEnd"/>
            <w:r w:rsidRPr="00E16672">
              <w:rPr>
                <w:rFonts w:ascii="Times New Roman" w:hAnsi="Times New Roman"/>
                <w:sz w:val="16"/>
                <w:szCs w:val="16"/>
              </w:rPr>
              <w:t xml:space="preserve"> в </w:t>
            </w:r>
            <w:proofErr w:type="spellStart"/>
            <w:r w:rsidRPr="00E16672">
              <w:rPr>
                <w:rFonts w:ascii="Times New Roman" w:hAnsi="Times New Roman"/>
                <w:sz w:val="16"/>
                <w:szCs w:val="16"/>
              </w:rPr>
              <w:t>цінних</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паперах</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протягом</w:t>
            </w:r>
            <w:proofErr w:type="spellEnd"/>
            <w:r w:rsidRPr="00E16672">
              <w:rPr>
                <w:rFonts w:ascii="Times New Roman" w:hAnsi="Times New Roman"/>
                <w:sz w:val="16"/>
                <w:szCs w:val="16"/>
              </w:rPr>
              <w:t xml:space="preserve"> </w:t>
            </w:r>
            <w:proofErr w:type="spellStart"/>
            <w:r w:rsidRPr="00E16672">
              <w:rPr>
                <w:rFonts w:ascii="Times New Roman" w:hAnsi="Times New Roman"/>
                <w:i/>
                <w:sz w:val="16"/>
                <w:szCs w:val="16"/>
              </w:rPr>
              <w:t>п'яти</w:t>
            </w:r>
            <w:proofErr w:type="spellEnd"/>
            <w:r w:rsidRPr="00E16672">
              <w:rPr>
                <w:rFonts w:ascii="Times New Roman" w:hAnsi="Times New Roman"/>
                <w:i/>
                <w:sz w:val="16"/>
                <w:szCs w:val="16"/>
              </w:rPr>
              <w:t xml:space="preserve"> </w:t>
            </w:r>
            <w:proofErr w:type="spellStart"/>
            <w:r w:rsidRPr="00E16672">
              <w:rPr>
                <w:rFonts w:ascii="Times New Roman" w:hAnsi="Times New Roman"/>
                <w:i/>
                <w:sz w:val="16"/>
                <w:szCs w:val="16"/>
              </w:rPr>
              <w:t>робочих</w:t>
            </w:r>
            <w:proofErr w:type="spellEnd"/>
            <w:r w:rsidRPr="00E16672">
              <w:rPr>
                <w:rFonts w:ascii="Times New Roman" w:hAnsi="Times New Roman"/>
                <w:i/>
                <w:sz w:val="16"/>
                <w:szCs w:val="16"/>
              </w:rPr>
              <w:t xml:space="preserve"> </w:t>
            </w:r>
            <w:proofErr w:type="spellStart"/>
            <w:r w:rsidRPr="00E16672">
              <w:rPr>
                <w:rFonts w:ascii="Times New Roman" w:hAnsi="Times New Roman"/>
                <w:i/>
                <w:sz w:val="16"/>
                <w:szCs w:val="16"/>
              </w:rPr>
              <w:t>днів</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після</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укладення</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цього</w:t>
            </w:r>
            <w:proofErr w:type="spellEnd"/>
            <w:r w:rsidRPr="00E16672">
              <w:rPr>
                <w:rFonts w:ascii="Times New Roman" w:hAnsi="Times New Roman"/>
                <w:sz w:val="16"/>
                <w:szCs w:val="16"/>
              </w:rPr>
              <w:t xml:space="preserve"> Договору.</w:t>
            </w:r>
            <w:r w:rsidR="00AC16C7" w:rsidRPr="00E16672">
              <w:rPr>
                <w:rFonts w:ascii="Times New Roman" w:hAnsi="Times New Roman"/>
                <w:szCs w:val="20"/>
                <w:lang w:val="uk-UA"/>
              </w:rPr>
              <w:t xml:space="preserve"> </w:t>
            </w:r>
            <w:r w:rsidR="00AC16C7" w:rsidRPr="00E16672">
              <w:rPr>
                <w:rFonts w:ascii="Times New Roman" w:hAnsi="Times New Roman"/>
                <w:sz w:val="16"/>
                <w:szCs w:val="20"/>
                <w:lang w:val="uk-UA"/>
              </w:rPr>
              <w:t>Надавати повні та достовірні відомості, документи, передбачені законодавством як обов’язкові для надання, або згідно внутрішніх документів Депозитарної установи необхідні для виконання Депозитарною установою вимог цього  Договору, в тому числі щодо ідентифікації особи.</w:t>
            </w:r>
          </w:p>
          <w:p w14:paraId="0C401DE0" w14:textId="77777777" w:rsidR="00502AEC" w:rsidRPr="00E16672" w:rsidRDefault="00502AEC" w:rsidP="0095761D">
            <w:pPr>
              <w:pStyle w:val="1b"/>
              <w:spacing w:before="0" w:after="0"/>
              <w:ind w:left="40" w:right="138" w:firstLine="426"/>
              <w:rPr>
                <w:rFonts w:ascii="Times New Roman" w:eastAsia="Times New Roman" w:hAnsi="Times New Roman" w:cs="Times New Roman"/>
                <w:sz w:val="16"/>
                <w:szCs w:val="16"/>
              </w:rPr>
            </w:pPr>
          </w:p>
        </w:tc>
        <w:tc>
          <w:tcPr>
            <w:tcW w:w="5494" w:type="dxa"/>
            <w:gridSpan w:val="7"/>
            <w:shd w:val="clear" w:color="auto" w:fill="auto"/>
          </w:tcPr>
          <w:p w14:paraId="12C6D067" w14:textId="77777777" w:rsidR="00502AEC" w:rsidRPr="00E16672" w:rsidRDefault="00502AEC" w:rsidP="00E27FD1">
            <w:pPr>
              <w:tabs>
                <w:tab w:val="left" w:pos="287"/>
              </w:tabs>
              <w:snapToGrid w:val="0"/>
              <w:ind w:left="145" w:right="100"/>
              <w:rPr>
                <w:rFonts w:ascii="Times New Roman" w:hAnsi="Times New Roman"/>
                <w:b/>
                <w:bCs/>
                <w:sz w:val="16"/>
                <w:szCs w:val="16"/>
                <w:lang w:val="uk-UA"/>
              </w:rPr>
            </w:pPr>
          </w:p>
          <w:p w14:paraId="7035B178" w14:textId="77777777" w:rsidR="00502AEC" w:rsidRPr="00E16672" w:rsidRDefault="00502AEC" w:rsidP="00E27FD1">
            <w:pPr>
              <w:tabs>
                <w:tab w:val="left" w:pos="287"/>
              </w:tabs>
              <w:ind w:left="145" w:right="100"/>
              <w:rPr>
                <w:rFonts w:ascii="Times New Roman" w:hAnsi="Times New Roman"/>
                <w:b/>
                <w:bCs/>
                <w:sz w:val="16"/>
                <w:szCs w:val="16"/>
                <w:lang w:val="en-GB"/>
              </w:rPr>
            </w:pPr>
            <w:r w:rsidRPr="00E16672">
              <w:rPr>
                <w:rFonts w:ascii="Times New Roman" w:hAnsi="Times New Roman"/>
                <w:b/>
                <w:sz w:val="16"/>
                <w:szCs w:val="16"/>
                <w:lang w:val="en-US"/>
              </w:rPr>
              <w:t>2</w:t>
            </w:r>
            <w:r w:rsidRPr="00E16672">
              <w:rPr>
                <w:rFonts w:ascii="Times New Roman" w:hAnsi="Times New Roman"/>
                <w:b/>
                <w:sz w:val="16"/>
                <w:szCs w:val="16"/>
                <w:lang w:val="en-GB"/>
              </w:rPr>
              <w:t>.</w:t>
            </w:r>
            <w:r w:rsidRPr="00E16672">
              <w:rPr>
                <w:rFonts w:ascii="Times New Roman" w:hAnsi="Times New Roman"/>
                <w:b/>
                <w:sz w:val="16"/>
                <w:szCs w:val="16"/>
                <w:lang w:val="en-US"/>
              </w:rPr>
              <w:t>3</w:t>
            </w:r>
            <w:r w:rsidRPr="00E16672">
              <w:rPr>
                <w:rFonts w:ascii="Times New Roman" w:hAnsi="Times New Roman"/>
                <w:b/>
                <w:bCs/>
                <w:sz w:val="16"/>
                <w:szCs w:val="16"/>
                <w:lang w:val="en-GB"/>
              </w:rPr>
              <w:t>. Depositor shall be obliged:</w:t>
            </w:r>
          </w:p>
          <w:p w14:paraId="56E62F52" w14:textId="77777777" w:rsidR="00502AEC" w:rsidRPr="00E16672" w:rsidRDefault="00502AEC" w:rsidP="00E27FD1">
            <w:pPr>
              <w:tabs>
                <w:tab w:val="left" w:pos="287"/>
              </w:tabs>
              <w:ind w:left="145" w:right="100"/>
              <w:rPr>
                <w:rFonts w:ascii="Times New Roman" w:hAnsi="Times New Roman"/>
                <w:b/>
                <w:bCs/>
                <w:sz w:val="16"/>
                <w:szCs w:val="16"/>
                <w:lang w:val="en-GB"/>
              </w:rPr>
            </w:pPr>
          </w:p>
          <w:p w14:paraId="57B237D3" w14:textId="2ED9DCF1" w:rsidR="00502AEC" w:rsidRPr="00E16672" w:rsidRDefault="00502AEC" w:rsidP="00547A75">
            <w:pPr>
              <w:tabs>
                <w:tab w:val="left" w:pos="287"/>
              </w:tabs>
              <w:ind w:left="145" w:right="100" w:firstLine="0"/>
              <w:rPr>
                <w:rFonts w:ascii="Times New Roman" w:hAnsi="Times New Roman"/>
                <w:sz w:val="16"/>
                <w:szCs w:val="16"/>
                <w:lang w:val="en-GB"/>
              </w:rPr>
            </w:pPr>
            <w:r w:rsidRPr="00E16672">
              <w:rPr>
                <w:rFonts w:ascii="Times New Roman" w:hAnsi="Times New Roman"/>
                <w:sz w:val="16"/>
                <w:szCs w:val="16"/>
                <w:lang w:val="en-US"/>
              </w:rPr>
              <w:t>2</w:t>
            </w:r>
            <w:r w:rsidRPr="00E16672">
              <w:rPr>
                <w:rFonts w:ascii="Times New Roman" w:hAnsi="Times New Roman"/>
                <w:sz w:val="16"/>
                <w:szCs w:val="16"/>
                <w:lang w:val="en-GB"/>
              </w:rPr>
              <w:t>.</w:t>
            </w:r>
            <w:r w:rsidRPr="00E16672">
              <w:rPr>
                <w:rFonts w:ascii="Times New Roman" w:hAnsi="Times New Roman"/>
                <w:sz w:val="16"/>
                <w:szCs w:val="16"/>
                <w:lang w:val="en-US"/>
              </w:rPr>
              <w:t>3</w:t>
            </w:r>
            <w:r w:rsidRPr="00E16672">
              <w:rPr>
                <w:rFonts w:ascii="Times New Roman" w:hAnsi="Times New Roman"/>
                <w:sz w:val="16"/>
                <w:szCs w:val="16"/>
                <w:lang w:val="en-GB"/>
              </w:rPr>
              <w:t>.1.  To provide a Depository institution duly executed documents</w:t>
            </w:r>
            <w:r w:rsidR="0046382D">
              <w:rPr>
                <w:rFonts w:ascii="Times New Roman" w:hAnsi="Times New Roman"/>
                <w:sz w:val="16"/>
                <w:szCs w:val="16"/>
                <w:lang w:val="uk-UA"/>
              </w:rPr>
              <w:t xml:space="preserve"> </w:t>
            </w:r>
            <w:proofErr w:type="spellStart"/>
            <w:r w:rsidR="0046382D" w:rsidRPr="0046382D">
              <w:rPr>
                <w:rFonts w:ascii="Times New Roman" w:hAnsi="Times New Roman"/>
                <w:sz w:val="16"/>
                <w:szCs w:val="16"/>
                <w:lang w:val="uk-UA"/>
              </w:rPr>
              <w:t>and</w:t>
            </w:r>
            <w:proofErr w:type="spellEnd"/>
            <w:r w:rsidR="0046382D" w:rsidRPr="0046382D">
              <w:rPr>
                <w:rFonts w:ascii="Times New Roman" w:hAnsi="Times New Roman"/>
                <w:sz w:val="16"/>
                <w:szCs w:val="16"/>
                <w:lang w:val="uk-UA"/>
              </w:rPr>
              <w:t xml:space="preserve"> </w:t>
            </w:r>
            <w:proofErr w:type="spellStart"/>
            <w:r w:rsidR="0046382D" w:rsidRPr="0046382D">
              <w:rPr>
                <w:rFonts w:ascii="Times New Roman" w:hAnsi="Times New Roman"/>
                <w:sz w:val="16"/>
                <w:szCs w:val="16"/>
                <w:lang w:val="uk-UA"/>
              </w:rPr>
              <w:t>information</w:t>
            </w:r>
            <w:proofErr w:type="spellEnd"/>
            <w:r w:rsidRPr="00E16672">
              <w:rPr>
                <w:rFonts w:ascii="Times New Roman" w:hAnsi="Times New Roman"/>
                <w:sz w:val="16"/>
                <w:szCs w:val="16"/>
                <w:lang w:val="en-GB"/>
              </w:rPr>
              <w:t xml:space="preserve"> specified by law and internal </w:t>
            </w:r>
            <w:proofErr w:type="gramStart"/>
            <w:r w:rsidRPr="00E16672">
              <w:rPr>
                <w:rFonts w:ascii="Times New Roman" w:hAnsi="Times New Roman"/>
                <w:sz w:val="16"/>
                <w:szCs w:val="16"/>
                <w:lang w:val="en-GB"/>
              </w:rPr>
              <w:t>documents  of</w:t>
            </w:r>
            <w:proofErr w:type="gramEnd"/>
            <w:r w:rsidRPr="00E16672">
              <w:rPr>
                <w:rFonts w:ascii="Times New Roman" w:hAnsi="Times New Roman"/>
                <w:sz w:val="16"/>
                <w:szCs w:val="16"/>
                <w:lang w:val="en-GB"/>
              </w:rPr>
              <w:t xml:space="preserve"> Depository institution required for opening an account in securities </w:t>
            </w:r>
            <w:r w:rsidRPr="00E16672">
              <w:rPr>
                <w:rFonts w:ascii="Times New Roman" w:hAnsi="Times New Roman"/>
                <w:i/>
                <w:sz w:val="16"/>
                <w:szCs w:val="16"/>
                <w:lang w:val="en-GB"/>
              </w:rPr>
              <w:t>within five working days</w:t>
            </w:r>
            <w:r w:rsidRPr="00E16672">
              <w:rPr>
                <w:rFonts w:ascii="Times New Roman" w:hAnsi="Times New Roman"/>
                <w:sz w:val="16"/>
                <w:szCs w:val="16"/>
                <w:lang w:val="en-GB"/>
              </w:rPr>
              <w:t xml:space="preserve"> after the conclusion of the Agreement.</w:t>
            </w:r>
            <w:r w:rsidR="00AC16C7" w:rsidRPr="00F23413">
              <w:rPr>
                <w:rFonts w:ascii="Times New Roman" w:hAnsi="Times New Roman"/>
                <w:sz w:val="16"/>
                <w:szCs w:val="16"/>
                <w:lang w:val="en-US"/>
              </w:rPr>
              <w:t xml:space="preserve"> Provide complete and reliable information, documents stipulated by law as obligatory to provide, or in accordance with the internal documents of the Depository, necessary for the execution of the requirements of this Agreement by the Depository, including the identification of the person.</w:t>
            </w:r>
          </w:p>
          <w:p w14:paraId="6B148E17" w14:textId="77777777" w:rsidR="00502AEC" w:rsidRPr="00E16672" w:rsidRDefault="00502AEC" w:rsidP="00E27FD1">
            <w:pPr>
              <w:tabs>
                <w:tab w:val="left" w:pos="287"/>
              </w:tabs>
              <w:ind w:left="145" w:right="100"/>
              <w:rPr>
                <w:rFonts w:ascii="Times New Roman" w:hAnsi="Times New Roman"/>
                <w:b/>
                <w:bCs/>
                <w:sz w:val="16"/>
                <w:szCs w:val="16"/>
                <w:lang w:val="en-GB"/>
              </w:rPr>
            </w:pPr>
          </w:p>
        </w:tc>
      </w:tr>
      <w:tr w:rsidR="00502AEC" w:rsidRPr="00F23413" w14:paraId="6ADA80A4" w14:textId="77777777" w:rsidTr="00C743EA">
        <w:tblPrEx>
          <w:tblCellMar>
            <w:left w:w="0" w:type="dxa"/>
            <w:right w:w="0" w:type="dxa"/>
          </w:tblCellMar>
        </w:tblPrEx>
        <w:trPr>
          <w:trHeight w:val="192"/>
        </w:trPr>
        <w:tc>
          <w:tcPr>
            <w:tcW w:w="5696" w:type="dxa"/>
            <w:gridSpan w:val="6"/>
            <w:shd w:val="clear" w:color="auto" w:fill="auto"/>
          </w:tcPr>
          <w:p w14:paraId="0ECE1811" w14:textId="77777777" w:rsidR="00502AEC" w:rsidRPr="00E16672" w:rsidRDefault="00502AEC" w:rsidP="00EA74CB">
            <w:pPr>
              <w:tabs>
                <w:tab w:val="left" w:pos="709"/>
              </w:tabs>
              <w:snapToGrid w:val="0"/>
              <w:ind w:left="40" w:right="138" w:firstLine="0"/>
              <w:rPr>
                <w:rFonts w:ascii="Times New Roman" w:hAnsi="Times New Roman"/>
                <w:sz w:val="16"/>
                <w:szCs w:val="16"/>
              </w:rPr>
            </w:pPr>
            <w:r w:rsidRPr="00E16672">
              <w:rPr>
                <w:rFonts w:ascii="Times New Roman" w:hAnsi="Times New Roman"/>
                <w:sz w:val="16"/>
                <w:szCs w:val="16"/>
              </w:rPr>
              <w:t xml:space="preserve">2.3.2. </w:t>
            </w:r>
            <w:proofErr w:type="spellStart"/>
            <w:r w:rsidRPr="00E16672">
              <w:rPr>
                <w:rFonts w:ascii="Times New Roman" w:hAnsi="Times New Roman"/>
                <w:sz w:val="16"/>
                <w:szCs w:val="16"/>
              </w:rPr>
              <w:t>Призначити</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розпорядника</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рахунку</w:t>
            </w:r>
            <w:proofErr w:type="spellEnd"/>
            <w:r w:rsidRPr="00E16672">
              <w:rPr>
                <w:rFonts w:ascii="Times New Roman" w:hAnsi="Times New Roman"/>
                <w:sz w:val="16"/>
                <w:szCs w:val="16"/>
              </w:rPr>
              <w:t xml:space="preserve"> </w:t>
            </w:r>
            <w:r w:rsidR="00C22309" w:rsidRPr="00E16672">
              <w:rPr>
                <w:rFonts w:ascii="Times New Roman" w:hAnsi="Times New Roman"/>
                <w:sz w:val="16"/>
                <w:szCs w:val="16"/>
              </w:rPr>
              <w:t xml:space="preserve">в </w:t>
            </w:r>
            <w:proofErr w:type="spellStart"/>
            <w:r w:rsidR="00C22309" w:rsidRPr="00E16672">
              <w:rPr>
                <w:rFonts w:ascii="Times New Roman" w:hAnsi="Times New Roman"/>
                <w:sz w:val="16"/>
                <w:szCs w:val="16"/>
              </w:rPr>
              <w:t>цін</w:t>
            </w:r>
            <w:r w:rsidRPr="00E16672">
              <w:rPr>
                <w:rFonts w:ascii="Times New Roman" w:hAnsi="Times New Roman"/>
                <w:sz w:val="16"/>
                <w:szCs w:val="16"/>
              </w:rPr>
              <w:t>них</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паперах</w:t>
            </w:r>
            <w:proofErr w:type="spellEnd"/>
            <w:r w:rsidRPr="00E16672">
              <w:rPr>
                <w:rFonts w:ascii="Times New Roman" w:hAnsi="Times New Roman"/>
                <w:sz w:val="16"/>
                <w:szCs w:val="16"/>
              </w:rPr>
              <w:t>.</w:t>
            </w:r>
          </w:p>
          <w:p w14:paraId="137E04EB" w14:textId="77777777" w:rsidR="00EA74CB" w:rsidRPr="00E16672" w:rsidRDefault="00EA74CB" w:rsidP="00EA74CB">
            <w:pPr>
              <w:tabs>
                <w:tab w:val="left" w:pos="709"/>
              </w:tabs>
              <w:snapToGrid w:val="0"/>
              <w:ind w:left="40" w:right="138" w:firstLine="0"/>
              <w:rPr>
                <w:rFonts w:ascii="Times New Roman" w:hAnsi="Times New Roman"/>
                <w:sz w:val="16"/>
                <w:szCs w:val="16"/>
              </w:rPr>
            </w:pPr>
          </w:p>
        </w:tc>
        <w:tc>
          <w:tcPr>
            <w:tcW w:w="5494" w:type="dxa"/>
            <w:gridSpan w:val="7"/>
            <w:shd w:val="clear" w:color="auto" w:fill="auto"/>
          </w:tcPr>
          <w:p w14:paraId="648F5C72" w14:textId="77777777" w:rsidR="00502AEC" w:rsidRPr="00E16672" w:rsidRDefault="00502AEC" w:rsidP="00547A75">
            <w:pPr>
              <w:tabs>
                <w:tab w:val="left" w:pos="287"/>
              </w:tabs>
              <w:snapToGrid w:val="0"/>
              <w:ind w:left="145" w:right="100" w:firstLine="0"/>
              <w:rPr>
                <w:rFonts w:ascii="Times New Roman" w:hAnsi="Times New Roman"/>
                <w:sz w:val="16"/>
                <w:szCs w:val="16"/>
                <w:lang w:val="en-GB"/>
              </w:rPr>
            </w:pPr>
            <w:r w:rsidRPr="00E16672">
              <w:rPr>
                <w:rFonts w:ascii="Times New Roman" w:hAnsi="Times New Roman"/>
                <w:sz w:val="16"/>
                <w:szCs w:val="16"/>
                <w:lang w:val="en-US"/>
              </w:rPr>
              <w:t>2</w:t>
            </w:r>
            <w:r w:rsidRPr="00E16672">
              <w:rPr>
                <w:rFonts w:ascii="Times New Roman" w:hAnsi="Times New Roman"/>
                <w:sz w:val="16"/>
                <w:szCs w:val="16"/>
                <w:lang w:val="en-GB"/>
              </w:rPr>
              <w:t>.</w:t>
            </w:r>
            <w:r w:rsidRPr="00E16672">
              <w:rPr>
                <w:rFonts w:ascii="Times New Roman" w:hAnsi="Times New Roman"/>
                <w:sz w:val="16"/>
                <w:szCs w:val="16"/>
                <w:lang w:val="en-US"/>
              </w:rPr>
              <w:t>3</w:t>
            </w:r>
            <w:r w:rsidRPr="00E16672">
              <w:rPr>
                <w:rFonts w:ascii="Times New Roman" w:hAnsi="Times New Roman"/>
                <w:sz w:val="16"/>
                <w:szCs w:val="16"/>
                <w:lang w:val="en-GB"/>
              </w:rPr>
              <w:t xml:space="preserve">.2.  </w:t>
            </w:r>
            <w:proofErr w:type="gramStart"/>
            <w:r w:rsidRPr="00E16672">
              <w:rPr>
                <w:rFonts w:ascii="Times New Roman" w:hAnsi="Times New Roman"/>
                <w:sz w:val="16"/>
                <w:szCs w:val="16"/>
                <w:lang w:val="en-GB"/>
              </w:rPr>
              <w:t>Approve  a</w:t>
            </w:r>
            <w:proofErr w:type="gramEnd"/>
            <w:r w:rsidRPr="00E16672">
              <w:rPr>
                <w:rFonts w:ascii="Times New Roman" w:hAnsi="Times New Roman"/>
                <w:sz w:val="16"/>
                <w:szCs w:val="16"/>
                <w:lang w:val="en-GB"/>
              </w:rPr>
              <w:t xml:space="preserve">  manager of the account in securities.</w:t>
            </w:r>
          </w:p>
        </w:tc>
      </w:tr>
      <w:tr w:rsidR="00502AEC" w:rsidRPr="00F23413" w14:paraId="31BA2CC9" w14:textId="77777777" w:rsidTr="00D77858">
        <w:tblPrEx>
          <w:tblCellMar>
            <w:left w:w="0" w:type="dxa"/>
            <w:right w:w="0" w:type="dxa"/>
          </w:tblCellMar>
        </w:tblPrEx>
        <w:trPr>
          <w:trHeight w:val="192"/>
        </w:trPr>
        <w:tc>
          <w:tcPr>
            <w:tcW w:w="5696" w:type="dxa"/>
            <w:gridSpan w:val="6"/>
            <w:shd w:val="clear" w:color="auto" w:fill="auto"/>
          </w:tcPr>
          <w:p w14:paraId="5B85FDC0" w14:textId="77777777" w:rsidR="00502AEC" w:rsidRPr="00E16672" w:rsidRDefault="00502AEC" w:rsidP="00547A75">
            <w:pPr>
              <w:pStyle w:val="WW-"/>
              <w:snapToGrid w:val="0"/>
              <w:spacing w:after="120"/>
              <w:ind w:left="40" w:right="138"/>
              <w:jc w:val="both"/>
              <w:rPr>
                <w:i w:val="0"/>
                <w:sz w:val="16"/>
                <w:szCs w:val="16"/>
              </w:rPr>
            </w:pPr>
            <w:r w:rsidRPr="00E16672">
              <w:rPr>
                <w:i w:val="0"/>
                <w:sz w:val="16"/>
                <w:szCs w:val="16"/>
              </w:rPr>
              <w:t xml:space="preserve">2.3.3. </w:t>
            </w:r>
            <w:proofErr w:type="spellStart"/>
            <w:r w:rsidRPr="00E16672">
              <w:rPr>
                <w:i w:val="0"/>
                <w:sz w:val="16"/>
                <w:szCs w:val="16"/>
              </w:rPr>
              <w:t>Дотримуватись</w:t>
            </w:r>
            <w:proofErr w:type="spellEnd"/>
            <w:r w:rsidRPr="00E16672">
              <w:rPr>
                <w:i w:val="0"/>
                <w:sz w:val="16"/>
                <w:szCs w:val="16"/>
              </w:rPr>
              <w:t xml:space="preserve"> </w:t>
            </w:r>
            <w:proofErr w:type="spellStart"/>
            <w:r w:rsidRPr="00E16672">
              <w:rPr>
                <w:i w:val="0"/>
                <w:sz w:val="16"/>
                <w:szCs w:val="16"/>
              </w:rPr>
              <w:t>вимог</w:t>
            </w:r>
            <w:proofErr w:type="spellEnd"/>
            <w:r w:rsidRPr="00E16672">
              <w:rPr>
                <w:i w:val="0"/>
                <w:sz w:val="16"/>
                <w:szCs w:val="16"/>
              </w:rPr>
              <w:t xml:space="preserve"> </w:t>
            </w:r>
            <w:proofErr w:type="spellStart"/>
            <w:r w:rsidRPr="00E16672">
              <w:rPr>
                <w:i w:val="0"/>
                <w:sz w:val="16"/>
                <w:szCs w:val="16"/>
              </w:rPr>
              <w:t>внутрішніх</w:t>
            </w:r>
            <w:proofErr w:type="spellEnd"/>
            <w:r w:rsidRPr="00E16672">
              <w:rPr>
                <w:i w:val="0"/>
                <w:sz w:val="16"/>
                <w:szCs w:val="16"/>
              </w:rPr>
              <w:t xml:space="preserve"> </w:t>
            </w:r>
            <w:proofErr w:type="spellStart"/>
            <w:r w:rsidRPr="00E16672">
              <w:rPr>
                <w:i w:val="0"/>
                <w:sz w:val="16"/>
                <w:szCs w:val="16"/>
              </w:rPr>
              <w:t>документів</w:t>
            </w:r>
            <w:proofErr w:type="spellEnd"/>
            <w:r w:rsidRPr="00E16672">
              <w:rPr>
                <w:i w:val="0"/>
                <w:sz w:val="16"/>
                <w:szCs w:val="16"/>
              </w:rPr>
              <w:t xml:space="preserve"> </w:t>
            </w:r>
            <w:proofErr w:type="spellStart"/>
            <w:r w:rsidRPr="00E16672">
              <w:rPr>
                <w:i w:val="0"/>
                <w:sz w:val="16"/>
                <w:szCs w:val="16"/>
              </w:rPr>
              <w:t>Депозитарної</w:t>
            </w:r>
            <w:proofErr w:type="spellEnd"/>
            <w:r w:rsidRPr="00E16672">
              <w:rPr>
                <w:i w:val="0"/>
                <w:sz w:val="16"/>
                <w:szCs w:val="16"/>
              </w:rPr>
              <w:t xml:space="preserve"> установи, </w:t>
            </w:r>
            <w:proofErr w:type="spellStart"/>
            <w:r w:rsidRPr="00E16672">
              <w:rPr>
                <w:i w:val="0"/>
                <w:sz w:val="16"/>
                <w:szCs w:val="16"/>
              </w:rPr>
              <w:t>які</w:t>
            </w:r>
            <w:proofErr w:type="spellEnd"/>
            <w:r w:rsidRPr="00E16672">
              <w:rPr>
                <w:i w:val="0"/>
                <w:sz w:val="16"/>
                <w:szCs w:val="16"/>
              </w:rPr>
              <w:t xml:space="preserve"> </w:t>
            </w:r>
            <w:proofErr w:type="spellStart"/>
            <w:r w:rsidRPr="00E16672">
              <w:rPr>
                <w:i w:val="0"/>
                <w:sz w:val="16"/>
                <w:szCs w:val="16"/>
              </w:rPr>
              <w:t>регламентують</w:t>
            </w:r>
            <w:proofErr w:type="spellEnd"/>
            <w:r w:rsidRPr="00E16672">
              <w:rPr>
                <w:i w:val="0"/>
                <w:sz w:val="16"/>
                <w:szCs w:val="16"/>
              </w:rPr>
              <w:t xml:space="preserve"> </w:t>
            </w:r>
            <w:proofErr w:type="spellStart"/>
            <w:r w:rsidRPr="00E16672">
              <w:rPr>
                <w:i w:val="0"/>
                <w:sz w:val="16"/>
                <w:szCs w:val="16"/>
              </w:rPr>
              <w:t>відносини</w:t>
            </w:r>
            <w:proofErr w:type="spellEnd"/>
            <w:r w:rsidRPr="00E16672">
              <w:rPr>
                <w:i w:val="0"/>
                <w:sz w:val="16"/>
                <w:szCs w:val="16"/>
              </w:rPr>
              <w:t xml:space="preserve"> Депонента та </w:t>
            </w:r>
            <w:proofErr w:type="spellStart"/>
            <w:r w:rsidRPr="00E16672">
              <w:rPr>
                <w:i w:val="0"/>
                <w:sz w:val="16"/>
                <w:szCs w:val="16"/>
              </w:rPr>
              <w:t>Депозитарної</w:t>
            </w:r>
            <w:proofErr w:type="spellEnd"/>
            <w:r w:rsidRPr="00E16672">
              <w:rPr>
                <w:i w:val="0"/>
                <w:sz w:val="16"/>
                <w:szCs w:val="16"/>
              </w:rPr>
              <w:t xml:space="preserve"> установи.</w:t>
            </w:r>
          </w:p>
        </w:tc>
        <w:tc>
          <w:tcPr>
            <w:tcW w:w="5494" w:type="dxa"/>
            <w:gridSpan w:val="7"/>
            <w:shd w:val="clear" w:color="auto" w:fill="auto"/>
          </w:tcPr>
          <w:p w14:paraId="3E64976D" w14:textId="77777777" w:rsidR="00502AEC" w:rsidRPr="00E16672" w:rsidRDefault="00502AEC" w:rsidP="00547A75">
            <w:pPr>
              <w:tabs>
                <w:tab w:val="left" w:pos="287"/>
              </w:tabs>
              <w:snapToGrid w:val="0"/>
              <w:ind w:left="175" w:right="138" w:firstLine="0"/>
              <w:rPr>
                <w:rFonts w:ascii="Times New Roman" w:hAnsi="Times New Roman"/>
                <w:sz w:val="16"/>
                <w:szCs w:val="16"/>
                <w:lang w:val="en-GB"/>
              </w:rPr>
            </w:pPr>
            <w:r w:rsidRPr="00E16672">
              <w:rPr>
                <w:rFonts w:ascii="Times New Roman" w:hAnsi="Times New Roman"/>
                <w:sz w:val="16"/>
                <w:szCs w:val="16"/>
                <w:lang w:val="en-US"/>
              </w:rPr>
              <w:t>2</w:t>
            </w:r>
            <w:r w:rsidRPr="00E16672">
              <w:rPr>
                <w:rFonts w:ascii="Times New Roman" w:hAnsi="Times New Roman"/>
                <w:sz w:val="16"/>
                <w:szCs w:val="16"/>
                <w:lang w:val="en-GB"/>
              </w:rPr>
              <w:t>.</w:t>
            </w:r>
            <w:r w:rsidRPr="00E16672">
              <w:rPr>
                <w:rFonts w:ascii="Times New Roman" w:hAnsi="Times New Roman"/>
                <w:sz w:val="16"/>
                <w:szCs w:val="16"/>
                <w:lang w:val="en-US"/>
              </w:rPr>
              <w:t>3</w:t>
            </w:r>
            <w:r w:rsidRPr="00E16672">
              <w:rPr>
                <w:rFonts w:ascii="Times New Roman" w:hAnsi="Times New Roman"/>
                <w:sz w:val="16"/>
                <w:szCs w:val="16"/>
                <w:lang w:val="en-GB"/>
              </w:rPr>
              <w:t xml:space="preserve">.3. Comply with the requirements of internal </w:t>
            </w:r>
            <w:proofErr w:type="gramStart"/>
            <w:r w:rsidRPr="00E16672">
              <w:rPr>
                <w:rFonts w:ascii="Times New Roman" w:hAnsi="Times New Roman"/>
                <w:sz w:val="16"/>
                <w:szCs w:val="16"/>
                <w:lang w:val="en-GB"/>
              </w:rPr>
              <w:t>documents  of</w:t>
            </w:r>
            <w:proofErr w:type="gramEnd"/>
            <w:r w:rsidRPr="00E16672">
              <w:rPr>
                <w:rFonts w:ascii="Times New Roman" w:hAnsi="Times New Roman"/>
                <w:sz w:val="16"/>
                <w:szCs w:val="16"/>
                <w:lang w:val="en-GB"/>
              </w:rPr>
              <w:t xml:space="preserve"> Depository institution that govern the relationship between Depositor and Depository institution.</w:t>
            </w:r>
          </w:p>
          <w:p w14:paraId="341200EC" w14:textId="77777777" w:rsidR="00502AEC" w:rsidRPr="00E16672" w:rsidRDefault="00502AEC" w:rsidP="00547A75">
            <w:pPr>
              <w:tabs>
                <w:tab w:val="left" w:pos="287"/>
              </w:tabs>
              <w:snapToGrid w:val="0"/>
              <w:ind w:left="175" w:right="138" w:firstLine="0"/>
              <w:rPr>
                <w:rFonts w:ascii="Times New Roman" w:hAnsi="Times New Roman"/>
                <w:iCs/>
                <w:sz w:val="16"/>
                <w:szCs w:val="16"/>
                <w:lang w:val="en-US"/>
              </w:rPr>
            </w:pPr>
          </w:p>
        </w:tc>
      </w:tr>
      <w:tr w:rsidR="009B333F" w:rsidRPr="00F23413" w14:paraId="6F1EAD92" w14:textId="77777777" w:rsidTr="00D77858">
        <w:tblPrEx>
          <w:tblCellMar>
            <w:left w:w="0" w:type="dxa"/>
            <w:right w:w="0" w:type="dxa"/>
          </w:tblCellMar>
        </w:tblPrEx>
        <w:trPr>
          <w:trHeight w:val="192"/>
        </w:trPr>
        <w:tc>
          <w:tcPr>
            <w:tcW w:w="5696" w:type="dxa"/>
            <w:gridSpan w:val="6"/>
            <w:shd w:val="clear" w:color="auto" w:fill="auto"/>
          </w:tcPr>
          <w:p w14:paraId="4E54E6B2" w14:textId="77777777" w:rsidR="009B333F" w:rsidRPr="00E16672" w:rsidRDefault="009B333F" w:rsidP="00547A75">
            <w:pPr>
              <w:pStyle w:val="1b"/>
              <w:spacing w:before="0" w:after="0"/>
              <w:ind w:left="40" w:right="138" w:firstLine="0"/>
              <w:rPr>
                <w:rFonts w:ascii="Times New Roman" w:eastAsia="Times New Roman" w:hAnsi="Times New Roman" w:cs="Times New Roman"/>
                <w:sz w:val="16"/>
                <w:szCs w:val="16"/>
                <w:lang w:val="ru-RU"/>
              </w:rPr>
            </w:pPr>
            <w:r w:rsidRPr="00E16672">
              <w:rPr>
                <w:rFonts w:ascii="Times New Roman" w:hAnsi="Times New Roman" w:cs="Times New Roman"/>
                <w:sz w:val="16"/>
                <w:szCs w:val="16"/>
              </w:rPr>
              <w:lastRenderedPageBreak/>
              <w:t xml:space="preserve">2.3.4. Своєчасно та в повному обсязі сплачувати послуги Депозитарної установи згідно з умовами та строками, передбаченими Договором, та тарифами, </w:t>
            </w:r>
            <w:r w:rsidRPr="00E16672">
              <w:rPr>
                <w:rFonts w:ascii="Times New Roman" w:hAnsi="Times New Roman" w:cs="Times New Roman"/>
                <w:color w:val="000000"/>
                <w:sz w:val="16"/>
                <w:szCs w:val="16"/>
              </w:rPr>
              <w:t>встановленими Депозитарною установою на дату надання послуг (у тому числі послуги з надання інформації про корпоративні операції емітентів, іншої інформації, отриманої від Центрального депозитарію згідно вимог чинного законодавства) .</w:t>
            </w:r>
          </w:p>
        </w:tc>
        <w:tc>
          <w:tcPr>
            <w:tcW w:w="5494" w:type="dxa"/>
            <w:gridSpan w:val="7"/>
            <w:shd w:val="clear" w:color="auto" w:fill="auto"/>
          </w:tcPr>
          <w:p w14:paraId="2A23260A" w14:textId="77777777" w:rsidR="009B333F" w:rsidRPr="00E16672" w:rsidRDefault="009B333F" w:rsidP="00B7169F">
            <w:pPr>
              <w:pStyle w:val="210"/>
              <w:tabs>
                <w:tab w:val="left" w:pos="287"/>
                <w:tab w:val="left" w:pos="1191"/>
              </w:tabs>
              <w:snapToGrid w:val="0"/>
              <w:ind w:left="175" w:right="138" w:firstLine="0"/>
              <w:rPr>
                <w:rFonts w:ascii="Times New Roman" w:hAnsi="Times New Roman"/>
                <w:sz w:val="16"/>
                <w:szCs w:val="16"/>
              </w:rPr>
            </w:pPr>
            <w:r w:rsidRPr="00E16672">
              <w:rPr>
                <w:rFonts w:ascii="Times New Roman" w:hAnsi="Times New Roman"/>
                <w:sz w:val="16"/>
                <w:szCs w:val="16"/>
                <w:lang w:val="en-US"/>
              </w:rPr>
              <w:t>2</w:t>
            </w:r>
            <w:r w:rsidRPr="00E16672">
              <w:rPr>
                <w:rFonts w:ascii="Times New Roman" w:hAnsi="Times New Roman"/>
                <w:sz w:val="16"/>
                <w:szCs w:val="16"/>
              </w:rPr>
              <w:t>.</w:t>
            </w:r>
            <w:r w:rsidRPr="00E16672">
              <w:rPr>
                <w:rFonts w:ascii="Times New Roman" w:hAnsi="Times New Roman"/>
                <w:sz w:val="16"/>
                <w:szCs w:val="16"/>
                <w:lang w:val="en-US"/>
              </w:rPr>
              <w:t>3</w:t>
            </w:r>
            <w:r w:rsidRPr="00E16672">
              <w:rPr>
                <w:rFonts w:ascii="Times New Roman" w:hAnsi="Times New Roman"/>
                <w:sz w:val="16"/>
                <w:szCs w:val="16"/>
              </w:rPr>
              <w:t xml:space="preserve">.4. </w:t>
            </w:r>
            <w:proofErr w:type="spellStart"/>
            <w:r w:rsidRPr="00E16672">
              <w:rPr>
                <w:rFonts w:ascii="Times New Roman" w:hAnsi="Times New Roman"/>
                <w:sz w:val="16"/>
                <w:szCs w:val="16"/>
              </w:rPr>
              <w:t>Timely</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and</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fully</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pay</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for</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services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of</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Depository</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institution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in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accordance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with</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terms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and</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conditions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stipulated</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by</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Agreement</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and</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Tariffs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established</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by</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Depository</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institution</w:t>
            </w:r>
            <w:proofErr w:type="spellEnd"/>
            <w:r w:rsidRPr="00E16672">
              <w:rPr>
                <w:rFonts w:ascii="Times New Roman" w:hAnsi="Times New Roman"/>
                <w:sz w:val="16"/>
                <w:szCs w:val="16"/>
                <w:lang w:val="en-US"/>
              </w:rPr>
              <w:t xml:space="preserve"> on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date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of</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service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including</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services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to</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provide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information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about</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corporate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transactions</w:t>
            </w:r>
            <w:proofErr w:type="spellEnd"/>
            <w:r w:rsidRPr="00E16672">
              <w:rPr>
                <w:rFonts w:ascii="Times New Roman" w:hAnsi="Times New Roman"/>
                <w:sz w:val="16"/>
                <w:szCs w:val="16"/>
                <w:lang w:val="en-US"/>
              </w:rPr>
              <w:t xml:space="preserve"> of</w:t>
            </w:r>
            <w:r w:rsidRPr="00E16672">
              <w:rPr>
                <w:rFonts w:ascii="Times New Roman" w:hAnsi="Times New Roman"/>
                <w:sz w:val="16"/>
                <w:szCs w:val="16"/>
              </w:rPr>
              <w:t xml:space="preserve"> </w:t>
            </w:r>
            <w:proofErr w:type="spellStart"/>
            <w:r w:rsidRPr="00E16672">
              <w:rPr>
                <w:rFonts w:ascii="Times New Roman" w:hAnsi="Times New Roman"/>
                <w:sz w:val="16"/>
                <w:szCs w:val="16"/>
              </w:rPr>
              <w:t>issuers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other</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information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received</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from</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Central</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Depository</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in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accordance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with</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current</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law</w:t>
            </w:r>
            <w:proofErr w:type="spellEnd"/>
            <w:r w:rsidRPr="00E16672">
              <w:rPr>
                <w:rFonts w:ascii="Times New Roman" w:hAnsi="Times New Roman"/>
                <w:sz w:val="16"/>
                <w:szCs w:val="16"/>
              </w:rPr>
              <w:t>).</w:t>
            </w:r>
          </w:p>
          <w:p w14:paraId="21770C46" w14:textId="77777777" w:rsidR="009B333F" w:rsidRPr="00E16672" w:rsidRDefault="009B333F" w:rsidP="00547A75">
            <w:pPr>
              <w:tabs>
                <w:tab w:val="left" w:pos="287"/>
              </w:tabs>
              <w:snapToGrid w:val="0"/>
              <w:ind w:left="175" w:right="138" w:firstLine="0"/>
              <w:rPr>
                <w:rFonts w:ascii="Times New Roman" w:hAnsi="Times New Roman"/>
                <w:color w:val="000000"/>
                <w:sz w:val="16"/>
                <w:szCs w:val="16"/>
                <w:lang w:val="en-US"/>
              </w:rPr>
            </w:pPr>
          </w:p>
        </w:tc>
      </w:tr>
      <w:tr w:rsidR="00502AEC" w:rsidRPr="00F23413" w14:paraId="2E915B67" w14:textId="77777777" w:rsidTr="00D77858">
        <w:tblPrEx>
          <w:tblCellMar>
            <w:left w:w="0" w:type="dxa"/>
            <w:right w:w="0" w:type="dxa"/>
          </w:tblCellMar>
        </w:tblPrEx>
        <w:trPr>
          <w:trHeight w:val="192"/>
        </w:trPr>
        <w:tc>
          <w:tcPr>
            <w:tcW w:w="5696" w:type="dxa"/>
            <w:gridSpan w:val="6"/>
            <w:shd w:val="clear" w:color="auto" w:fill="auto"/>
          </w:tcPr>
          <w:p w14:paraId="06F5B992" w14:textId="77777777" w:rsidR="00502AEC" w:rsidRPr="00E16672" w:rsidRDefault="00502AEC" w:rsidP="00547A75">
            <w:pPr>
              <w:pStyle w:val="WW-1"/>
              <w:tabs>
                <w:tab w:val="left" w:pos="709"/>
              </w:tabs>
              <w:snapToGrid w:val="0"/>
              <w:ind w:left="40" w:right="138"/>
              <w:jc w:val="both"/>
              <w:rPr>
                <w:rFonts w:eastAsia="Times New Roman"/>
                <w:i w:val="0"/>
                <w:sz w:val="16"/>
                <w:szCs w:val="16"/>
                <w:lang w:val="uk-UA"/>
              </w:rPr>
            </w:pPr>
            <w:r w:rsidRPr="00E16672">
              <w:rPr>
                <w:i w:val="0"/>
                <w:sz w:val="16"/>
                <w:szCs w:val="16"/>
              </w:rPr>
              <w:t>2.3</w:t>
            </w:r>
            <w:r w:rsidRPr="00E16672">
              <w:rPr>
                <w:rFonts w:eastAsia="Times New Roman"/>
                <w:i w:val="0"/>
                <w:sz w:val="16"/>
                <w:szCs w:val="16"/>
                <w:lang w:val="uk-UA"/>
              </w:rPr>
              <w:t xml:space="preserve">.5. Сплатити Депозитарній установі повну вартість отриманих, але не сплачених послуг протягом </w:t>
            </w:r>
            <w:r w:rsidRPr="00E16672">
              <w:rPr>
                <w:rFonts w:eastAsia="Times New Roman"/>
                <w:sz w:val="16"/>
                <w:szCs w:val="16"/>
                <w:lang w:val="uk-UA"/>
              </w:rPr>
              <w:t>десяти банківських днів</w:t>
            </w:r>
            <w:r w:rsidRPr="00E16672">
              <w:rPr>
                <w:rFonts w:eastAsia="Times New Roman"/>
                <w:i w:val="0"/>
                <w:sz w:val="16"/>
                <w:szCs w:val="16"/>
                <w:lang w:val="uk-UA"/>
              </w:rPr>
              <w:t xml:space="preserve"> після отримання письмового повідомлення про розірвання цього Договору.</w:t>
            </w:r>
          </w:p>
          <w:p w14:paraId="1BDCCF83" w14:textId="77777777" w:rsidR="00502AEC" w:rsidRPr="00E16672" w:rsidRDefault="00502AEC" w:rsidP="00547A75">
            <w:pPr>
              <w:pStyle w:val="1b"/>
              <w:spacing w:before="0" w:after="0"/>
              <w:ind w:left="40" w:right="138" w:firstLine="0"/>
              <w:rPr>
                <w:rFonts w:ascii="Times New Roman" w:eastAsia="Times New Roman" w:hAnsi="Times New Roman" w:cs="Times New Roman"/>
                <w:sz w:val="16"/>
                <w:szCs w:val="16"/>
              </w:rPr>
            </w:pPr>
          </w:p>
        </w:tc>
        <w:tc>
          <w:tcPr>
            <w:tcW w:w="5494" w:type="dxa"/>
            <w:gridSpan w:val="7"/>
            <w:shd w:val="clear" w:color="auto" w:fill="auto"/>
          </w:tcPr>
          <w:p w14:paraId="01119448" w14:textId="77777777" w:rsidR="00502AEC" w:rsidRPr="00E16672" w:rsidRDefault="00502AEC" w:rsidP="00B7169F">
            <w:pPr>
              <w:pStyle w:val="210"/>
              <w:tabs>
                <w:tab w:val="left" w:pos="287"/>
                <w:tab w:val="left" w:pos="1191"/>
              </w:tabs>
              <w:snapToGrid w:val="0"/>
              <w:ind w:left="175" w:right="138" w:firstLine="0"/>
              <w:rPr>
                <w:rFonts w:ascii="Times New Roman" w:hAnsi="Times New Roman"/>
                <w:sz w:val="16"/>
                <w:szCs w:val="16"/>
              </w:rPr>
            </w:pPr>
            <w:r w:rsidRPr="00E16672">
              <w:rPr>
                <w:rFonts w:ascii="Times New Roman" w:hAnsi="Times New Roman"/>
                <w:sz w:val="16"/>
                <w:szCs w:val="16"/>
                <w:lang w:val="en-US"/>
              </w:rPr>
              <w:t>2</w:t>
            </w:r>
            <w:r w:rsidRPr="00E16672">
              <w:rPr>
                <w:rFonts w:ascii="Times New Roman" w:hAnsi="Times New Roman"/>
                <w:sz w:val="16"/>
                <w:szCs w:val="16"/>
              </w:rPr>
              <w:t>.</w:t>
            </w:r>
            <w:r w:rsidRPr="00E16672">
              <w:rPr>
                <w:rFonts w:ascii="Times New Roman" w:hAnsi="Times New Roman"/>
                <w:sz w:val="16"/>
                <w:szCs w:val="16"/>
                <w:lang w:val="en-US"/>
              </w:rPr>
              <w:t>3</w:t>
            </w:r>
            <w:r w:rsidRPr="00E16672">
              <w:rPr>
                <w:rFonts w:ascii="Times New Roman" w:hAnsi="Times New Roman"/>
                <w:sz w:val="16"/>
                <w:szCs w:val="16"/>
              </w:rPr>
              <w:t xml:space="preserve">.5. </w:t>
            </w:r>
            <w:proofErr w:type="spellStart"/>
            <w:r w:rsidRPr="00E16672">
              <w:rPr>
                <w:rFonts w:ascii="Times New Roman" w:hAnsi="Times New Roman"/>
                <w:sz w:val="16"/>
                <w:szCs w:val="16"/>
              </w:rPr>
              <w:t>To</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pay</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full</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price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to</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Depository</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institution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received</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but</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not</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paid</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services</w:t>
            </w:r>
            <w:proofErr w:type="spellEnd"/>
            <w:r w:rsidRPr="00E16672">
              <w:rPr>
                <w:rFonts w:ascii="Times New Roman" w:hAnsi="Times New Roman"/>
                <w:sz w:val="16"/>
                <w:szCs w:val="16"/>
              </w:rPr>
              <w:t xml:space="preserve"> </w:t>
            </w:r>
            <w:proofErr w:type="spellStart"/>
            <w:r w:rsidRPr="00E16672">
              <w:rPr>
                <w:rFonts w:ascii="Times New Roman" w:hAnsi="Times New Roman"/>
                <w:i/>
                <w:sz w:val="16"/>
                <w:szCs w:val="16"/>
              </w:rPr>
              <w:t>within</w:t>
            </w:r>
            <w:proofErr w:type="spellEnd"/>
            <w:r w:rsidRPr="00E16672">
              <w:rPr>
                <w:rFonts w:ascii="Times New Roman" w:hAnsi="Times New Roman"/>
                <w:i/>
                <w:sz w:val="16"/>
                <w:szCs w:val="16"/>
              </w:rPr>
              <w:t xml:space="preserve"> </w:t>
            </w:r>
            <w:proofErr w:type="spellStart"/>
            <w:r w:rsidRPr="00E16672">
              <w:rPr>
                <w:rFonts w:ascii="Times New Roman" w:hAnsi="Times New Roman"/>
                <w:i/>
                <w:sz w:val="16"/>
                <w:szCs w:val="16"/>
              </w:rPr>
              <w:t>ten</w:t>
            </w:r>
            <w:proofErr w:type="spellEnd"/>
            <w:r w:rsidRPr="00E16672">
              <w:rPr>
                <w:rFonts w:ascii="Times New Roman" w:hAnsi="Times New Roman"/>
                <w:i/>
                <w:sz w:val="16"/>
                <w:szCs w:val="16"/>
              </w:rPr>
              <w:t xml:space="preserve"> </w:t>
            </w:r>
            <w:proofErr w:type="spellStart"/>
            <w:r w:rsidRPr="00E16672">
              <w:rPr>
                <w:rFonts w:ascii="Times New Roman" w:hAnsi="Times New Roman"/>
                <w:i/>
                <w:sz w:val="16"/>
                <w:szCs w:val="16"/>
              </w:rPr>
              <w:t>banking</w:t>
            </w:r>
            <w:proofErr w:type="spellEnd"/>
            <w:r w:rsidRPr="00E16672">
              <w:rPr>
                <w:rFonts w:ascii="Times New Roman" w:hAnsi="Times New Roman"/>
                <w:i/>
                <w:sz w:val="16"/>
                <w:szCs w:val="16"/>
              </w:rPr>
              <w:t xml:space="preserve"> </w:t>
            </w:r>
            <w:proofErr w:type="spellStart"/>
            <w:r w:rsidRPr="00E16672">
              <w:rPr>
                <w:rFonts w:ascii="Times New Roman" w:hAnsi="Times New Roman"/>
                <w:i/>
                <w:sz w:val="16"/>
                <w:szCs w:val="16"/>
              </w:rPr>
              <w:t>days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after</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receipt</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of</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written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notice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of</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termination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of</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this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Agreement</w:t>
            </w:r>
            <w:proofErr w:type="spellEnd"/>
            <w:r w:rsidRPr="00E16672">
              <w:rPr>
                <w:rFonts w:ascii="Times New Roman" w:hAnsi="Times New Roman"/>
                <w:sz w:val="16"/>
                <w:szCs w:val="16"/>
              </w:rPr>
              <w:t>.</w:t>
            </w:r>
          </w:p>
          <w:p w14:paraId="1A7250C5" w14:textId="77777777" w:rsidR="00502AEC" w:rsidRPr="00E16672" w:rsidRDefault="00502AEC" w:rsidP="00547A75">
            <w:pPr>
              <w:tabs>
                <w:tab w:val="left" w:pos="287"/>
              </w:tabs>
              <w:ind w:left="175" w:right="138" w:firstLine="0"/>
              <w:rPr>
                <w:rFonts w:ascii="Times New Roman" w:hAnsi="Times New Roman"/>
                <w:b/>
                <w:bCs/>
                <w:sz w:val="16"/>
                <w:szCs w:val="16"/>
                <w:lang w:val="en-GB"/>
              </w:rPr>
            </w:pPr>
          </w:p>
        </w:tc>
      </w:tr>
      <w:tr w:rsidR="00502AEC" w:rsidRPr="00F23413" w14:paraId="5A64923E" w14:textId="77777777" w:rsidTr="00D77858">
        <w:tblPrEx>
          <w:tblCellMar>
            <w:left w:w="0" w:type="dxa"/>
            <w:right w:w="0" w:type="dxa"/>
          </w:tblCellMar>
        </w:tblPrEx>
        <w:trPr>
          <w:trHeight w:val="192"/>
        </w:trPr>
        <w:tc>
          <w:tcPr>
            <w:tcW w:w="5696" w:type="dxa"/>
            <w:gridSpan w:val="6"/>
            <w:shd w:val="clear" w:color="auto" w:fill="auto"/>
          </w:tcPr>
          <w:p w14:paraId="196C487D" w14:textId="77777777" w:rsidR="00502AEC" w:rsidRPr="00E16672" w:rsidRDefault="00502AEC" w:rsidP="00547A75">
            <w:pPr>
              <w:tabs>
                <w:tab w:val="left" w:pos="709"/>
              </w:tabs>
              <w:snapToGrid w:val="0"/>
              <w:ind w:left="40" w:right="138" w:firstLine="0"/>
              <w:rPr>
                <w:rFonts w:ascii="Times New Roman" w:hAnsi="Times New Roman"/>
                <w:color w:val="000000"/>
                <w:sz w:val="16"/>
                <w:szCs w:val="16"/>
              </w:rPr>
            </w:pPr>
            <w:r w:rsidRPr="00E16672">
              <w:rPr>
                <w:rFonts w:ascii="Times New Roman" w:hAnsi="Times New Roman"/>
                <w:color w:val="000000"/>
                <w:sz w:val="16"/>
                <w:szCs w:val="16"/>
              </w:rPr>
              <w:t xml:space="preserve">2.3.6. </w:t>
            </w:r>
            <w:r w:rsidR="00D57A52" w:rsidRPr="00E16672">
              <w:rPr>
                <w:rFonts w:ascii="Times New Roman" w:hAnsi="Times New Roman"/>
                <w:color w:val="000000"/>
                <w:sz w:val="16"/>
                <w:szCs w:val="16"/>
                <w:lang w:val="uk-UA"/>
              </w:rPr>
              <w:t>Надавати Депозитарній установі документи, які передбачені законодавством України та внутрішніми документами Депозитарної установи як обов'язкові для подання або необхідні їй для виконання дій згідно з вимогами законодавства України та умовами Договору</w:t>
            </w:r>
            <w:r w:rsidRPr="00E16672">
              <w:rPr>
                <w:rFonts w:ascii="Times New Roman" w:hAnsi="Times New Roman"/>
                <w:color w:val="000000"/>
                <w:sz w:val="16"/>
                <w:szCs w:val="16"/>
              </w:rPr>
              <w:t>.</w:t>
            </w:r>
          </w:p>
          <w:p w14:paraId="6A2598DF" w14:textId="77777777" w:rsidR="00502AEC" w:rsidRPr="00E16672" w:rsidRDefault="00502AEC" w:rsidP="00547A75">
            <w:pPr>
              <w:tabs>
                <w:tab w:val="left" w:pos="709"/>
              </w:tabs>
              <w:ind w:left="40" w:right="138" w:firstLine="0"/>
              <w:rPr>
                <w:rFonts w:ascii="Times New Roman" w:hAnsi="Times New Roman"/>
                <w:color w:val="000000"/>
                <w:sz w:val="16"/>
                <w:szCs w:val="16"/>
              </w:rPr>
            </w:pPr>
          </w:p>
        </w:tc>
        <w:tc>
          <w:tcPr>
            <w:tcW w:w="5494" w:type="dxa"/>
            <w:gridSpan w:val="7"/>
            <w:shd w:val="clear" w:color="auto" w:fill="auto"/>
          </w:tcPr>
          <w:p w14:paraId="3F6680B6" w14:textId="77777777" w:rsidR="00502AEC" w:rsidRPr="00E16672" w:rsidRDefault="00502AEC" w:rsidP="00547A75">
            <w:pPr>
              <w:tabs>
                <w:tab w:val="left" w:pos="287"/>
              </w:tabs>
              <w:snapToGrid w:val="0"/>
              <w:ind w:left="145" w:right="100" w:firstLine="0"/>
              <w:rPr>
                <w:rFonts w:ascii="Times New Roman" w:hAnsi="Times New Roman"/>
                <w:color w:val="000000"/>
                <w:sz w:val="16"/>
                <w:szCs w:val="16"/>
                <w:lang w:val="en-US"/>
              </w:rPr>
            </w:pPr>
            <w:r w:rsidRPr="00E16672">
              <w:rPr>
                <w:rFonts w:ascii="Times New Roman" w:hAnsi="Times New Roman"/>
                <w:color w:val="000000"/>
                <w:sz w:val="16"/>
                <w:szCs w:val="16"/>
                <w:lang w:val="en-US"/>
              </w:rPr>
              <w:t>2</w:t>
            </w:r>
            <w:r w:rsidRPr="00E16672">
              <w:rPr>
                <w:rFonts w:ascii="Times New Roman" w:hAnsi="Times New Roman"/>
                <w:color w:val="000000"/>
                <w:sz w:val="16"/>
                <w:szCs w:val="16"/>
                <w:lang w:val="en-GB"/>
              </w:rPr>
              <w:t>.</w:t>
            </w:r>
            <w:r w:rsidRPr="00E16672">
              <w:rPr>
                <w:rFonts w:ascii="Times New Roman" w:hAnsi="Times New Roman"/>
                <w:color w:val="000000"/>
                <w:sz w:val="16"/>
                <w:szCs w:val="16"/>
                <w:lang w:val="en-US"/>
              </w:rPr>
              <w:t>3</w:t>
            </w:r>
            <w:r w:rsidRPr="00E16672">
              <w:rPr>
                <w:rFonts w:ascii="Times New Roman" w:hAnsi="Times New Roman"/>
                <w:color w:val="000000"/>
                <w:sz w:val="16"/>
                <w:szCs w:val="16"/>
                <w:lang w:val="en-GB"/>
              </w:rPr>
              <w:t xml:space="preserve">.6. </w:t>
            </w:r>
            <w:r w:rsidR="00946876" w:rsidRPr="00E16672">
              <w:rPr>
                <w:rFonts w:ascii="Times New Roman" w:hAnsi="Times New Roman"/>
                <w:color w:val="000000"/>
                <w:sz w:val="16"/>
                <w:szCs w:val="16"/>
                <w:lang w:val="en-GB"/>
              </w:rPr>
              <w:t xml:space="preserve">Provide </w:t>
            </w:r>
            <w:r w:rsidR="00946876" w:rsidRPr="00E16672">
              <w:rPr>
                <w:rFonts w:ascii="Times New Roman" w:hAnsi="Times New Roman"/>
                <w:color w:val="000000"/>
                <w:sz w:val="16"/>
                <w:szCs w:val="16"/>
                <w:lang w:val="en-US"/>
              </w:rPr>
              <w:t>D</w:t>
            </w:r>
            <w:proofErr w:type="spellStart"/>
            <w:r w:rsidR="00946876" w:rsidRPr="00E16672">
              <w:rPr>
                <w:rFonts w:ascii="Times New Roman" w:hAnsi="Times New Roman"/>
                <w:color w:val="000000"/>
                <w:sz w:val="16"/>
                <w:szCs w:val="16"/>
                <w:lang w:val="en-GB"/>
              </w:rPr>
              <w:t>epository</w:t>
            </w:r>
            <w:proofErr w:type="spellEnd"/>
            <w:r w:rsidR="00946876" w:rsidRPr="00E16672">
              <w:rPr>
                <w:rFonts w:ascii="Times New Roman" w:hAnsi="Times New Roman"/>
                <w:color w:val="000000"/>
                <w:sz w:val="16"/>
                <w:szCs w:val="16"/>
                <w:lang w:val="en-GB"/>
              </w:rPr>
              <w:t xml:space="preserve"> institution documents that provided by the law of Ukraine and internal </w:t>
            </w:r>
            <w:proofErr w:type="gramStart"/>
            <w:r w:rsidR="00946876" w:rsidRPr="00E16672">
              <w:rPr>
                <w:rFonts w:ascii="Times New Roman" w:hAnsi="Times New Roman"/>
                <w:color w:val="000000"/>
                <w:sz w:val="16"/>
                <w:szCs w:val="16"/>
                <w:lang w:val="en-GB"/>
              </w:rPr>
              <w:t>documents  of</w:t>
            </w:r>
            <w:proofErr w:type="gramEnd"/>
            <w:r w:rsidR="00946876" w:rsidRPr="00E16672">
              <w:rPr>
                <w:rFonts w:ascii="Times New Roman" w:hAnsi="Times New Roman"/>
                <w:color w:val="000000"/>
                <w:sz w:val="16"/>
                <w:szCs w:val="16"/>
                <w:lang w:val="en-GB"/>
              </w:rPr>
              <w:t xml:space="preserve"> Depository institution as required for submission or necessary for the performance of activities in accordance with law of Ukraine and the terms of the </w:t>
            </w:r>
            <w:r w:rsidR="00946876" w:rsidRPr="00E16672">
              <w:rPr>
                <w:rFonts w:ascii="Times New Roman" w:hAnsi="Times New Roman"/>
                <w:color w:val="000000"/>
                <w:sz w:val="16"/>
                <w:szCs w:val="16"/>
                <w:lang w:val="en-US"/>
              </w:rPr>
              <w:t>Agreement.</w:t>
            </w:r>
          </w:p>
        </w:tc>
      </w:tr>
      <w:tr w:rsidR="00502AEC" w:rsidRPr="00F23413" w14:paraId="1E6822F2" w14:textId="77777777" w:rsidTr="00D77858">
        <w:tblPrEx>
          <w:tblCellMar>
            <w:left w:w="0" w:type="dxa"/>
            <w:right w:w="0" w:type="dxa"/>
          </w:tblCellMar>
        </w:tblPrEx>
        <w:trPr>
          <w:trHeight w:val="192"/>
        </w:trPr>
        <w:tc>
          <w:tcPr>
            <w:tcW w:w="5696" w:type="dxa"/>
            <w:gridSpan w:val="6"/>
            <w:shd w:val="clear" w:color="auto" w:fill="auto"/>
          </w:tcPr>
          <w:p w14:paraId="5F4B4357" w14:textId="77777777" w:rsidR="00502AEC" w:rsidRPr="00E16672" w:rsidRDefault="00502AEC" w:rsidP="00547A75">
            <w:pPr>
              <w:tabs>
                <w:tab w:val="left" w:pos="709"/>
              </w:tabs>
              <w:snapToGrid w:val="0"/>
              <w:ind w:left="40" w:right="138" w:firstLine="0"/>
              <w:rPr>
                <w:rFonts w:ascii="Times New Roman" w:hAnsi="Times New Roman"/>
                <w:sz w:val="16"/>
                <w:szCs w:val="16"/>
              </w:rPr>
            </w:pPr>
            <w:r w:rsidRPr="00E16672">
              <w:rPr>
                <w:rFonts w:ascii="Times New Roman" w:hAnsi="Times New Roman"/>
                <w:sz w:val="16"/>
                <w:szCs w:val="16"/>
              </w:rPr>
              <w:t xml:space="preserve">2.3.7. </w:t>
            </w:r>
            <w:proofErr w:type="spellStart"/>
            <w:r w:rsidRPr="00E16672">
              <w:rPr>
                <w:rFonts w:ascii="Times New Roman" w:hAnsi="Times New Roman"/>
                <w:sz w:val="16"/>
                <w:szCs w:val="16"/>
              </w:rPr>
              <w:t>Протягом</w:t>
            </w:r>
            <w:proofErr w:type="spellEnd"/>
            <w:r w:rsidRPr="00E16672">
              <w:rPr>
                <w:rFonts w:ascii="Times New Roman" w:hAnsi="Times New Roman"/>
                <w:sz w:val="16"/>
                <w:szCs w:val="16"/>
              </w:rPr>
              <w:t xml:space="preserve"> </w:t>
            </w:r>
            <w:proofErr w:type="spellStart"/>
            <w:r w:rsidR="00AC16C7" w:rsidRPr="00E16672">
              <w:rPr>
                <w:rFonts w:ascii="Times New Roman" w:hAnsi="Times New Roman"/>
                <w:i/>
                <w:sz w:val="16"/>
                <w:szCs w:val="16"/>
              </w:rPr>
              <w:t>десят</w:t>
            </w:r>
            <w:proofErr w:type="spellEnd"/>
            <w:r w:rsidR="00AC16C7" w:rsidRPr="00E16672">
              <w:rPr>
                <w:rFonts w:ascii="Times New Roman" w:hAnsi="Times New Roman"/>
                <w:i/>
                <w:sz w:val="16"/>
                <w:szCs w:val="16"/>
                <w:lang w:val="uk-UA"/>
              </w:rPr>
              <w:t>и</w:t>
            </w:r>
            <w:r w:rsidR="00AC16C7" w:rsidRPr="00E16672">
              <w:rPr>
                <w:rFonts w:ascii="Times New Roman" w:hAnsi="Times New Roman"/>
                <w:i/>
                <w:sz w:val="16"/>
                <w:szCs w:val="16"/>
              </w:rPr>
              <w:t xml:space="preserve"> </w:t>
            </w:r>
            <w:proofErr w:type="spellStart"/>
            <w:r w:rsidRPr="00E16672">
              <w:rPr>
                <w:rFonts w:ascii="Times New Roman" w:hAnsi="Times New Roman"/>
                <w:i/>
                <w:sz w:val="16"/>
                <w:szCs w:val="16"/>
              </w:rPr>
              <w:t>робочих</w:t>
            </w:r>
            <w:proofErr w:type="spellEnd"/>
            <w:r w:rsidRPr="00E16672">
              <w:rPr>
                <w:rFonts w:ascii="Times New Roman" w:hAnsi="Times New Roman"/>
                <w:i/>
                <w:sz w:val="16"/>
                <w:szCs w:val="16"/>
              </w:rPr>
              <w:t xml:space="preserve"> </w:t>
            </w:r>
            <w:proofErr w:type="spellStart"/>
            <w:r w:rsidRPr="00E16672">
              <w:rPr>
                <w:rFonts w:ascii="Times New Roman" w:hAnsi="Times New Roman"/>
                <w:i/>
                <w:sz w:val="16"/>
                <w:szCs w:val="16"/>
              </w:rPr>
              <w:t>днів</w:t>
            </w:r>
            <w:proofErr w:type="spellEnd"/>
            <w:r w:rsidRPr="00E16672">
              <w:rPr>
                <w:rFonts w:ascii="Times New Roman" w:hAnsi="Times New Roman"/>
                <w:sz w:val="16"/>
                <w:szCs w:val="16"/>
              </w:rPr>
              <w:t xml:space="preserve"> з </w:t>
            </w:r>
            <w:proofErr w:type="spellStart"/>
            <w:r w:rsidRPr="00E16672">
              <w:rPr>
                <w:rFonts w:ascii="Times New Roman" w:hAnsi="Times New Roman"/>
                <w:sz w:val="16"/>
                <w:szCs w:val="16"/>
              </w:rPr>
              <w:t>дати</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внесення</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відповідних</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змін</w:t>
            </w:r>
            <w:proofErr w:type="spellEnd"/>
            <w:r w:rsidRPr="00E16672">
              <w:rPr>
                <w:rFonts w:ascii="Times New Roman" w:hAnsi="Times New Roman"/>
                <w:sz w:val="16"/>
                <w:szCs w:val="16"/>
              </w:rPr>
              <w:t xml:space="preserve"> до </w:t>
            </w:r>
            <w:proofErr w:type="spellStart"/>
            <w:r w:rsidRPr="00E16672">
              <w:rPr>
                <w:rFonts w:ascii="Times New Roman" w:hAnsi="Times New Roman"/>
                <w:sz w:val="16"/>
                <w:szCs w:val="16"/>
              </w:rPr>
              <w:t>своїх</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реквізитів</w:t>
            </w:r>
            <w:proofErr w:type="spellEnd"/>
            <w:r w:rsidRPr="00E16672">
              <w:rPr>
                <w:rFonts w:ascii="Times New Roman" w:hAnsi="Times New Roman"/>
                <w:sz w:val="16"/>
                <w:szCs w:val="16"/>
              </w:rPr>
              <w:t xml:space="preserve"> </w:t>
            </w:r>
            <w:r w:rsidR="00AC16C7" w:rsidRPr="00E16672">
              <w:rPr>
                <w:rFonts w:ascii="Times New Roman" w:hAnsi="Times New Roman"/>
                <w:color w:val="000000"/>
                <w:sz w:val="16"/>
                <w:szCs w:val="20"/>
                <w:lang w:val="uk-UA"/>
              </w:rPr>
              <w:t>(</w:t>
            </w:r>
            <w:r w:rsidR="00AC16C7" w:rsidRPr="00E16672">
              <w:rPr>
                <w:rFonts w:ascii="Times New Roman" w:hAnsi="Times New Roman"/>
                <w:sz w:val="16"/>
                <w:szCs w:val="20"/>
                <w:lang w:val="uk-UA"/>
              </w:rPr>
              <w:t>в тому числі адреси електронної пошти</w:t>
            </w:r>
            <w:r w:rsidR="00AC16C7" w:rsidRPr="00E16672">
              <w:rPr>
                <w:rFonts w:ascii="Times New Roman" w:hAnsi="Times New Roman"/>
                <w:color w:val="000000"/>
                <w:sz w:val="16"/>
                <w:szCs w:val="20"/>
                <w:lang w:val="uk-UA"/>
              </w:rPr>
              <w:t xml:space="preserve"> та номера телефону для направлення текстових повідомлень) </w:t>
            </w:r>
            <w:proofErr w:type="spellStart"/>
            <w:r w:rsidRPr="00E16672">
              <w:rPr>
                <w:rFonts w:ascii="Times New Roman" w:hAnsi="Times New Roman"/>
                <w:sz w:val="16"/>
                <w:szCs w:val="16"/>
              </w:rPr>
              <w:t>або</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документів</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що</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надавалися</w:t>
            </w:r>
            <w:proofErr w:type="spellEnd"/>
            <w:r w:rsidRPr="00E16672">
              <w:rPr>
                <w:rFonts w:ascii="Times New Roman" w:hAnsi="Times New Roman"/>
                <w:sz w:val="16"/>
                <w:szCs w:val="16"/>
              </w:rPr>
              <w:t xml:space="preserve"> для </w:t>
            </w:r>
            <w:proofErr w:type="spellStart"/>
            <w:r w:rsidRPr="00E16672">
              <w:rPr>
                <w:rFonts w:ascii="Times New Roman" w:hAnsi="Times New Roman"/>
                <w:sz w:val="16"/>
                <w:szCs w:val="16"/>
              </w:rPr>
              <w:t>відкриття</w:t>
            </w:r>
            <w:proofErr w:type="spellEnd"/>
            <w:r w:rsidRPr="00E16672">
              <w:rPr>
                <w:rFonts w:ascii="Times New Roman" w:hAnsi="Times New Roman"/>
                <w:sz w:val="16"/>
                <w:szCs w:val="16"/>
              </w:rPr>
              <w:t xml:space="preserve"> </w:t>
            </w:r>
            <w:proofErr w:type="spellStart"/>
            <w:r w:rsidR="0095761D" w:rsidRPr="00E16672">
              <w:rPr>
                <w:rFonts w:ascii="Times New Roman" w:hAnsi="Times New Roman"/>
                <w:sz w:val="16"/>
                <w:szCs w:val="16"/>
              </w:rPr>
              <w:t>рахунк</w:t>
            </w:r>
            <w:proofErr w:type="spellEnd"/>
            <w:r w:rsidR="0095761D" w:rsidRPr="00E16672">
              <w:rPr>
                <w:rFonts w:ascii="Times New Roman" w:hAnsi="Times New Roman"/>
                <w:sz w:val="16"/>
                <w:szCs w:val="16"/>
                <w:lang w:val="uk-UA"/>
              </w:rPr>
              <w:t>у</w:t>
            </w:r>
            <w:r w:rsidR="0095761D" w:rsidRPr="00E16672">
              <w:rPr>
                <w:rFonts w:ascii="Times New Roman" w:hAnsi="Times New Roman"/>
                <w:sz w:val="16"/>
                <w:szCs w:val="16"/>
              </w:rPr>
              <w:t xml:space="preserve"> </w:t>
            </w:r>
            <w:r w:rsidRPr="00E16672">
              <w:rPr>
                <w:rFonts w:ascii="Times New Roman" w:hAnsi="Times New Roman"/>
                <w:sz w:val="16"/>
                <w:szCs w:val="16"/>
              </w:rPr>
              <w:t xml:space="preserve">в </w:t>
            </w:r>
            <w:proofErr w:type="spellStart"/>
            <w:r w:rsidRPr="00E16672">
              <w:rPr>
                <w:rFonts w:ascii="Times New Roman" w:hAnsi="Times New Roman"/>
                <w:sz w:val="16"/>
                <w:szCs w:val="16"/>
              </w:rPr>
              <w:t>цінних</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паперах</w:t>
            </w:r>
            <w:proofErr w:type="spellEnd"/>
            <w:r w:rsidRPr="00E16672">
              <w:rPr>
                <w:rFonts w:ascii="Times New Roman" w:hAnsi="Times New Roman"/>
                <w:sz w:val="16"/>
                <w:szCs w:val="16"/>
              </w:rPr>
              <w:t xml:space="preserve">, </w:t>
            </w:r>
            <w:proofErr w:type="spellStart"/>
            <w:proofErr w:type="gramStart"/>
            <w:r w:rsidRPr="00E16672">
              <w:rPr>
                <w:rFonts w:ascii="Times New Roman" w:hAnsi="Times New Roman"/>
                <w:sz w:val="16"/>
                <w:szCs w:val="16"/>
              </w:rPr>
              <w:t>надавати</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інформацію</w:t>
            </w:r>
            <w:proofErr w:type="spellEnd"/>
            <w:proofErr w:type="gramEnd"/>
            <w:r w:rsidRPr="00E16672">
              <w:rPr>
                <w:rFonts w:ascii="Times New Roman" w:hAnsi="Times New Roman"/>
                <w:sz w:val="16"/>
                <w:szCs w:val="16"/>
              </w:rPr>
              <w:t xml:space="preserve"> про </w:t>
            </w:r>
            <w:proofErr w:type="spellStart"/>
            <w:r w:rsidRPr="00E16672">
              <w:rPr>
                <w:rFonts w:ascii="Times New Roman" w:hAnsi="Times New Roman"/>
                <w:sz w:val="16"/>
                <w:szCs w:val="16"/>
              </w:rPr>
              <w:t>ці</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зміни</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Депозитарній</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установі</w:t>
            </w:r>
            <w:proofErr w:type="spellEnd"/>
            <w:r w:rsidRPr="00E16672">
              <w:rPr>
                <w:rFonts w:ascii="Times New Roman" w:hAnsi="Times New Roman"/>
                <w:sz w:val="16"/>
                <w:szCs w:val="16"/>
              </w:rPr>
              <w:t xml:space="preserve"> у порядку, </w:t>
            </w:r>
            <w:proofErr w:type="spellStart"/>
            <w:r w:rsidRPr="00E16672">
              <w:rPr>
                <w:rFonts w:ascii="Times New Roman" w:hAnsi="Times New Roman"/>
                <w:sz w:val="16"/>
                <w:szCs w:val="16"/>
              </w:rPr>
              <w:t>встановленому</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законодавством</w:t>
            </w:r>
            <w:proofErr w:type="spellEnd"/>
            <w:r w:rsidRPr="00E16672">
              <w:rPr>
                <w:rFonts w:ascii="Times New Roman" w:hAnsi="Times New Roman"/>
                <w:sz w:val="16"/>
                <w:szCs w:val="16"/>
              </w:rPr>
              <w:t xml:space="preserve"> та </w:t>
            </w:r>
            <w:proofErr w:type="spellStart"/>
            <w:r w:rsidRPr="00E16672">
              <w:rPr>
                <w:rFonts w:ascii="Times New Roman" w:hAnsi="Times New Roman"/>
                <w:sz w:val="16"/>
                <w:szCs w:val="16"/>
              </w:rPr>
              <w:t>внутрішніми</w:t>
            </w:r>
            <w:proofErr w:type="spellEnd"/>
            <w:r w:rsidRPr="00E16672">
              <w:rPr>
                <w:rFonts w:ascii="Times New Roman" w:hAnsi="Times New Roman"/>
                <w:sz w:val="16"/>
                <w:szCs w:val="16"/>
              </w:rPr>
              <w:t xml:space="preserve"> документами </w:t>
            </w:r>
            <w:proofErr w:type="spellStart"/>
            <w:r w:rsidRPr="00E16672">
              <w:rPr>
                <w:rFonts w:ascii="Times New Roman" w:hAnsi="Times New Roman"/>
                <w:sz w:val="16"/>
                <w:szCs w:val="16"/>
              </w:rPr>
              <w:t>Депозитарної</w:t>
            </w:r>
            <w:proofErr w:type="spellEnd"/>
            <w:r w:rsidRPr="00E16672">
              <w:rPr>
                <w:rFonts w:ascii="Times New Roman" w:hAnsi="Times New Roman"/>
                <w:sz w:val="16"/>
                <w:szCs w:val="16"/>
              </w:rPr>
              <w:t xml:space="preserve"> установи.</w:t>
            </w:r>
          </w:p>
          <w:p w14:paraId="6563533E" w14:textId="77777777" w:rsidR="00502AEC" w:rsidRPr="00E16672" w:rsidRDefault="00502AEC" w:rsidP="00547A75">
            <w:pPr>
              <w:tabs>
                <w:tab w:val="left" w:pos="709"/>
              </w:tabs>
              <w:ind w:left="40" w:right="138" w:firstLine="0"/>
              <w:rPr>
                <w:rFonts w:ascii="Times New Roman" w:hAnsi="Times New Roman"/>
                <w:sz w:val="16"/>
                <w:szCs w:val="16"/>
              </w:rPr>
            </w:pPr>
          </w:p>
        </w:tc>
        <w:tc>
          <w:tcPr>
            <w:tcW w:w="5494" w:type="dxa"/>
            <w:gridSpan w:val="7"/>
            <w:shd w:val="clear" w:color="auto" w:fill="auto"/>
          </w:tcPr>
          <w:p w14:paraId="2E7D6E48" w14:textId="77777777" w:rsidR="00502AEC" w:rsidRPr="00E16672" w:rsidRDefault="00502AEC" w:rsidP="00B7169F">
            <w:pPr>
              <w:pStyle w:val="210"/>
              <w:tabs>
                <w:tab w:val="left" w:pos="287"/>
                <w:tab w:val="left" w:pos="1191"/>
              </w:tabs>
              <w:snapToGrid w:val="0"/>
              <w:ind w:left="145" w:right="100" w:firstLine="0"/>
              <w:rPr>
                <w:rFonts w:ascii="Times New Roman" w:hAnsi="Times New Roman"/>
                <w:sz w:val="16"/>
                <w:szCs w:val="16"/>
              </w:rPr>
            </w:pPr>
            <w:r w:rsidRPr="00E16672">
              <w:rPr>
                <w:rFonts w:ascii="Times New Roman" w:hAnsi="Times New Roman"/>
                <w:sz w:val="16"/>
                <w:szCs w:val="16"/>
                <w:lang w:val="en-US"/>
              </w:rPr>
              <w:t>2</w:t>
            </w:r>
            <w:r w:rsidRPr="00E16672">
              <w:rPr>
                <w:rFonts w:ascii="Times New Roman" w:hAnsi="Times New Roman"/>
                <w:sz w:val="16"/>
                <w:szCs w:val="16"/>
              </w:rPr>
              <w:t>.</w:t>
            </w:r>
            <w:r w:rsidRPr="00E16672">
              <w:rPr>
                <w:rFonts w:ascii="Times New Roman" w:hAnsi="Times New Roman"/>
                <w:sz w:val="16"/>
                <w:szCs w:val="16"/>
                <w:lang w:val="en-US"/>
              </w:rPr>
              <w:t>3</w:t>
            </w:r>
            <w:r w:rsidRPr="00E16672">
              <w:rPr>
                <w:rFonts w:ascii="Times New Roman" w:hAnsi="Times New Roman"/>
                <w:sz w:val="16"/>
                <w:szCs w:val="16"/>
              </w:rPr>
              <w:t xml:space="preserve">.7. </w:t>
            </w:r>
            <w:proofErr w:type="spellStart"/>
            <w:r w:rsidRPr="00E16672">
              <w:rPr>
                <w:rFonts w:ascii="Times New Roman" w:hAnsi="Times New Roman"/>
                <w:sz w:val="16"/>
                <w:szCs w:val="16"/>
              </w:rPr>
              <w:t>In</w:t>
            </w:r>
            <w:proofErr w:type="spellEnd"/>
            <w:r w:rsidRPr="00E16672">
              <w:rPr>
                <w:rFonts w:ascii="Times New Roman" w:hAnsi="Times New Roman"/>
                <w:sz w:val="16"/>
                <w:szCs w:val="16"/>
              </w:rPr>
              <w:t xml:space="preserve"> </w:t>
            </w:r>
            <w:proofErr w:type="spellStart"/>
            <w:r w:rsidRPr="00E16672">
              <w:rPr>
                <w:rFonts w:ascii="Times New Roman" w:hAnsi="Times New Roman"/>
                <w:i/>
                <w:sz w:val="16"/>
                <w:szCs w:val="16"/>
              </w:rPr>
              <w:t>working</w:t>
            </w:r>
            <w:proofErr w:type="spellEnd"/>
            <w:r w:rsidRPr="00E16672">
              <w:rPr>
                <w:rFonts w:ascii="Times New Roman" w:hAnsi="Times New Roman"/>
                <w:i/>
                <w:sz w:val="16"/>
                <w:szCs w:val="16"/>
              </w:rPr>
              <w:t xml:space="preserve"> </w:t>
            </w:r>
            <w:proofErr w:type="spellStart"/>
            <w:r w:rsidRPr="00E16672">
              <w:rPr>
                <w:rFonts w:ascii="Times New Roman" w:hAnsi="Times New Roman"/>
                <w:i/>
                <w:sz w:val="16"/>
                <w:szCs w:val="16"/>
              </w:rPr>
              <w:t>days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after</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making</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appropriate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changes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to</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their</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information</w:t>
            </w:r>
            <w:proofErr w:type="spellEnd"/>
            <w:r w:rsidRPr="00E16672">
              <w:rPr>
                <w:rFonts w:ascii="Times New Roman" w:hAnsi="Times New Roman"/>
                <w:sz w:val="16"/>
                <w:szCs w:val="16"/>
              </w:rPr>
              <w:t xml:space="preserve"> </w:t>
            </w:r>
            <w:r w:rsidR="00AC16C7" w:rsidRPr="00E16672">
              <w:rPr>
                <w:rFonts w:ascii="Times New Roman" w:hAnsi="Times New Roman"/>
                <w:sz w:val="16"/>
                <w:szCs w:val="16"/>
              </w:rPr>
              <w:t>(</w:t>
            </w:r>
            <w:proofErr w:type="spellStart"/>
            <w:r w:rsidR="00AC16C7" w:rsidRPr="00E16672">
              <w:rPr>
                <w:rFonts w:ascii="Times New Roman" w:hAnsi="Times New Roman"/>
                <w:sz w:val="16"/>
                <w:szCs w:val="16"/>
              </w:rPr>
              <w:t>including</w:t>
            </w:r>
            <w:proofErr w:type="spellEnd"/>
            <w:r w:rsidR="00AC16C7" w:rsidRPr="00E16672">
              <w:rPr>
                <w:rFonts w:ascii="Times New Roman" w:hAnsi="Times New Roman"/>
                <w:sz w:val="16"/>
                <w:szCs w:val="16"/>
              </w:rPr>
              <w:t xml:space="preserve"> e-</w:t>
            </w:r>
            <w:proofErr w:type="spellStart"/>
            <w:r w:rsidR="00AC16C7" w:rsidRPr="00E16672">
              <w:rPr>
                <w:rFonts w:ascii="Times New Roman" w:hAnsi="Times New Roman"/>
                <w:sz w:val="16"/>
                <w:szCs w:val="16"/>
              </w:rPr>
              <w:t>mail</w:t>
            </w:r>
            <w:proofErr w:type="spellEnd"/>
            <w:r w:rsidR="00AC16C7" w:rsidRPr="00E16672">
              <w:rPr>
                <w:rFonts w:ascii="Times New Roman" w:hAnsi="Times New Roman"/>
                <w:sz w:val="16"/>
                <w:szCs w:val="16"/>
              </w:rPr>
              <w:t xml:space="preserve"> </w:t>
            </w:r>
            <w:proofErr w:type="spellStart"/>
            <w:r w:rsidR="00AC16C7" w:rsidRPr="00E16672">
              <w:rPr>
                <w:rFonts w:ascii="Times New Roman" w:hAnsi="Times New Roman"/>
                <w:sz w:val="16"/>
                <w:szCs w:val="16"/>
              </w:rPr>
              <w:t>addresses</w:t>
            </w:r>
            <w:proofErr w:type="spellEnd"/>
            <w:r w:rsidR="00AC16C7" w:rsidRPr="00E16672">
              <w:rPr>
                <w:rFonts w:ascii="Times New Roman" w:hAnsi="Times New Roman"/>
                <w:sz w:val="16"/>
                <w:szCs w:val="16"/>
              </w:rPr>
              <w:t xml:space="preserve"> </w:t>
            </w:r>
            <w:proofErr w:type="spellStart"/>
            <w:r w:rsidR="00AC16C7" w:rsidRPr="00E16672">
              <w:rPr>
                <w:rFonts w:ascii="Times New Roman" w:hAnsi="Times New Roman"/>
                <w:sz w:val="16"/>
                <w:szCs w:val="16"/>
              </w:rPr>
              <w:t>and</w:t>
            </w:r>
            <w:proofErr w:type="spellEnd"/>
            <w:r w:rsidR="00AC16C7" w:rsidRPr="00E16672">
              <w:rPr>
                <w:rFonts w:ascii="Times New Roman" w:hAnsi="Times New Roman"/>
                <w:sz w:val="16"/>
                <w:szCs w:val="16"/>
              </w:rPr>
              <w:t xml:space="preserve"> </w:t>
            </w:r>
            <w:proofErr w:type="spellStart"/>
            <w:r w:rsidR="00AC16C7" w:rsidRPr="00E16672">
              <w:rPr>
                <w:rFonts w:ascii="Times New Roman" w:hAnsi="Times New Roman"/>
                <w:sz w:val="16"/>
                <w:szCs w:val="16"/>
              </w:rPr>
              <w:t>phone</w:t>
            </w:r>
            <w:proofErr w:type="spellEnd"/>
            <w:r w:rsidR="00AC16C7" w:rsidRPr="00E16672">
              <w:rPr>
                <w:rFonts w:ascii="Times New Roman" w:hAnsi="Times New Roman"/>
                <w:sz w:val="16"/>
                <w:szCs w:val="16"/>
              </w:rPr>
              <w:t xml:space="preserve"> </w:t>
            </w:r>
            <w:proofErr w:type="spellStart"/>
            <w:r w:rsidR="00AC16C7" w:rsidRPr="00E16672">
              <w:rPr>
                <w:rFonts w:ascii="Times New Roman" w:hAnsi="Times New Roman"/>
                <w:sz w:val="16"/>
                <w:szCs w:val="16"/>
              </w:rPr>
              <w:t>numbers</w:t>
            </w:r>
            <w:proofErr w:type="spellEnd"/>
            <w:r w:rsidR="00AC16C7" w:rsidRPr="00E16672">
              <w:rPr>
                <w:rFonts w:ascii="Times New Roman" w:hAnsi="Times New Roman"/>
                <w:sz w:val="16"/>
                <w:szCs w:val="16"/>
              </w:rPr>
              <w:t xml:space="preserve"> </w:t>
            </w:r>
            <w:proofErr w:type="spellStart"/>
            <w:r w:rsidR="00AC16C7" w:rsidRPr="00E16672">
              <w:rPr>
                <w:rFonts w:ascii="Times New Roman" w:hAnsi="Times New Roman"/>
                <w:sz w:val="16"/>
                <w:szCs w:val="16"/>
              </w:rPr>
              <w:t>for</w:t>
            </w:r>
            <w:proofErr w:type="spellEnd"/>
            <w:r w:rsidR="00AC16C7" w:rsidRPr="00E16672">
              <w:rPr>
                <w:rFonts w:ascii="Times New Roman" w:hAnsi="Times New Roman"/>
                <w:sz w:val="16"/>
                <w:szCs w:val="16"/>
              </w:rPr>
              <w:t xml:space="preserve"> </w:t>
            </w:r>
            <w:proofErr w:type="spellStart"/>
            <w:r w:rsidR="00AC16C7" w:rsidRPr="00E16672">
              <w:rPr>
                <w:rFonts w:ascii="Times New Roman" w:hAnsi="Times New Roman"/>
                <w:sz w:val="16"/>
                <w:szCs w:val="16"/>
              </w:rPr>
              <w:t>sending</w:t>
            </w:r>
            <w:proofErr w:type="spellEnd"/>
            <w:r w:rsidR="00AC16C7" w:rsidRPr="00E16672">
              <w:rPr>
                <w:rFonts w:ascii="Times New Roman" w:hAnsi="Times New Roman"/>
                <w:sz w:val="16"/>
                <w:szCs w:val="16"/>
              </w:rPr>
              <w:t xml:space="preserve"> </w:t>
            </w:r>
            <w:proofErr w:type="spellStart"/>
            <w:r w:rsidR="00AC16C7" w:rsidRPr="00E16672">
              <w:rPr>
                <w:rFonts w:ascii="Times New Roman" w:hAnsi="Times New Roman"/>
                <w:sz w:val="16"/>
                <w:szCs w:val="16"/>
              </w:rPr>
              <w:t>text</w:t>
            </w:r>
            <w:proofErr w:type="spellEnd"/>
            <w:r w:rsidR="00AC16C7" w:rsidRPr="00E16672">
              <w:rPr>
                <w:rFonts w:ascii="Times New Roman" w:hAnsi="Times New Roman"/>
                <w:sz w:val="16"/>
                <w:szCs w:val="16"/>
              </w:rPr>
              <w:t xml:space="preserve"> </w:t>
            </w:r>
            <w:proofErr w:type="spellStart"/>
            <w:r w:rsidR="00AC16C7" w:rsidRPr="00E16672">
              <w:rPr>
                <w:rFonts w:ascii="Times New Roman" w:hAnsi="Times New Roman"/>
                <w:sz w:val="16"/>
                <w:szCs w:val="16"/>
              </w:rPr>
              <w:t>messages</w:t>
            </w:r>
            <w:proofErr w:type="spellEnd"/>
            <w:r w:rsidR="00AC16C7" w:rsidRPr="00E16672">
              <w:rPr>
                <w:rFonts w:ascii="Times New Roman" w:hAnsi="Times New Roman"/>
                <w:sz w:val="16"/>
                <w:szCs w:val="16"/>
              </w:rPr>
              <w:t>)</w:t>
            </w:r>
            <w:r w:rsidR="00AC16C7" w:rsidRPr="00E16672">
              <w:rPr>
                <w:rFonts w:ascii="Times New Roman" w:hAnsi="Times New Roman"/>
              </w:rPr>
              <w:t xml:space="preserve"> </w:t>
            </w:r>
            <w:proofErr w:type="spellStart"/>
            <w:r w:rsidRPr="00E16672">
              <w:rPr>
                <w:rFonts w:ascii="Times New Roman" w:hAnsi="Times New Roman"/>
                <w:sz w:val="16"/>
                <w:szCs w:val="16"/>
              </w:rPr>
              <w:t>or</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documents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provided</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to</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open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an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account</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in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securities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provide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information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about</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these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changes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to</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Depository</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institution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in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accordance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with</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laws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and</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internal</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documents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of</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Depository</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institution</w:t>
            </w:r>
            <w:proofErr w:type="spellEnd"/>
            <w:r w:rsidRPr="00E16672">
              <w:rPr>
                <w:rFonts w:ascii="Times New Roman" w:hAnsi="Times New Roman"/>
                <w:sz w:val="16"/>
                <w:szCs w:val="16"/>
              </w:rPr>
              <w:t>.</w:t>
            </w:r>
          </w:p>
          <w:p w14:paraId="1CFC8432" w14:textId="77777777" w:rsidR="00502AEC" w:rsidRPr="00E16672" w:rsidRDefault="00502AEC" w:rsidP="00B7169F">
            <w:pPr>
              <w:pStyle w:val="210"/>
              <w:tabs>
                <w:tab w:val="left" w:pos="287"/>
                <w:tab w:val="left" w:pos="1191"/>
              </w:tabs>
              <w:snapToGrid w:val="0"/>
              <w:ind w:left="145" w:right="100" w:firstLine="0"/>
              <w:rPr>
                <w:rFonts w:ascii="Times New Roman" w:hAnsi="Times New Roman"/>
                <w:sz w:val="16"/>
                <w:szCs w:val="16"/>
                <w:lang w:val="en-GB"/>
              </w:rPr>
            </w:pPr>
          </w:p>
        </w:tc>
      </w:tr>
      <w:tr w:rsidR="00502AEC" w:rsidRPr="00F23413" w14:paraId="5261BC4E" w14:textId="77777777" w:rsidTr="00D77858">
        <w:tblPrEx>
          <w:tblCellMar>
            <w:left w:w="0" w:type="dxa"/>
            <w:right w:w="0" w:type="dxa"/>
          </w:tblCellMar>
        </w:tblPrEx>
        <w:trPr>
          <w:trHeight w:val="192"/>
        </w:trPr>
        <w:tc>
          <w:tcPr>
            <w:tcW w:w="5696" w:type="dxa"/>
            <w:gridSpan w:val="6"/>
            <w:shd w:val="clear" w:color="auto" w:fill="auto"/>
          </w:tcPr>
          <w:p w14:paraId="1C115AE9" w14:textId="77777777" w:rsidR="00502AEC" w:rsidRPr="00F23413" w:rsidRDefault="00502AEC" w:rsidP="00547A75">
            <w:pPr>
              <w:tabs>
                <w:tab w:val="left" w:pos="709"/>
              </w:tabs>
              <w:snapToGrid w:val="0"/>
              <w:ind w:left="40" w:right="138" w:firstLine="0"/>
              <w:rPr>
                <w:rFonts w:ascii="Times New Roman" w:hAnsi="Times New Roman"/>
                <w:sz w:val="16"/>
                <w:szCs w:val="16"/>
                <w:lang w:val="en-US"/>
              </w:rPr>
            </w:pPr>
            <w:r w:rsidRPr="00F23413">
              <w:rPr>
                <w:rFonts w:ascii="Times New Roman" w:hAnsi="Times New Roman"/>
                <w:sz w:val="16"/>
                <w:szCs w:val="16"/>
                <w:lang w:val="en-US"/>
              </w:rPr>
              <w:t xml:space="preserve">2.3.8. </w:t>
            </w:r>
            <w:proofErr w:type="spellStart"/>
            <w:r w:rsidRPr="00E16672">
              <w:rPr>
                <w:rFonts w:ascii="Times New Roman" w:hAnsi="Times New Roman"/>
                <w:sz w:val="16"/>
                <w:szCs w:val="16"/>
              </w:rPr>
              <w:t>Протягом</w:t>
            </w:r>
            <w:proofErr w:type="spellEnd"/>
            <w:r w:rsidRPr="00F23413">
              <w:rPr>
                <w:rFonts w:ascii="Times New Roman" w:hAnsi="Times New Roman"/>
                <w:sz w:val="16"/>
                <w:szCs w:val="16"/>
                <w:lang w:val="en-US"/>
              </w:rPr>
              <w:t xml:space="preserve"> </w:t>
            </w:r>
            <w:proofErr w:type="spellStart"/>
            <w:r w:rsidR="00FD491E" w:rsidRPr="00E16672">
              <w:rPr>
                <w:rFonts w:ascii="Times New Roman" w:hAnsi="Times New Roman"/>
                <w:i/>
                <w:sz w:val="16"/>
                <w:szCs w:val="16"/>
              </w:rPr>
              <w:t>шістдесяти</w:t>
            </w:r>
            <w:proofErr w:type="spellEnd"/>
            <w:r w:rsidRPr="00F23413">
              <w:rPr>
                <w:rFonts w:ascii="Times New Roman" w:hAnsi="Times New Roman"/>
                <w:i/>
                <w:sz w:val="16"/>
                <w:szCs w:val="16"/>
                <w:lang w:val="en-US"/>
              </w:rPr>
              <w:t xml:space="preserve"> </w:t>
            </w:r>
            <w:proofErr w:type="spellStart"/>
            <w:r w:rsidRPr="00E16672">
              <w:rPr>
                <w:rFonts w:ascii="Times New Roman" w:hAnsi="Times New Roman"/>
                <w:i/>
                <w:sz w:val="16"/>
                <w:szCs w:val="16"/>
              </w:rPr>
              <w:t>календарних</w:t>
            </w:r>
            <w:proofErr w:type="spellEnd"/>
            <w:r w:rsidRPr="00F23413">
              <w:rPr>
                <w:rFonts w:ascii="Times New Roman" w:hAnsi="Times New Roman"/>
                <w:i/>
                <w:sz w:val="16"/>
                <w:szCs w:val="16"/>
                <w:lang w:val="en-US"/>
              </w:rPr>
              <w:t xml:space="preserve"> </w:t>
            </w:r>
            <w:proofErr w:type="spellStart"/>
            <w:r w:rsidRPr="00E16672">
              <w:rPr>
                <w:rFonts w:ascii="Times New Roman" w:hAnsi="Times New Roman"/>
                <w:i/>
                <w:sz w:val="16"/>
                <w:szCs w:val="16"/>
              </w:rPr>
              <w:t>днів</w:t>
            </w:r>
            <w:proofErr w:type="spellEnd"/>
            <w:r w:rsidRPr="00F23413">
              <w:rPr>
                <w:rFonts w:ascii="Times New Roman" w:hAnsi="Times New Roman"/>
                <w:sz w:val="16"/>
                <w:szCs w:val="16"/>
                <w:lang w:val="en-US"/>
              </w:rPr>
              <w:t xml:space="preserve"> </w:t>
            </w:r>
            <w:r w:rsidRPr="00E16672">
              <w:rPr>
                <w:rFonts w:ascii="Times New Roman" w:hAnsi="Times New Roman"/>
                <w:sz w:val="16"/>
                <w:szCs w:val="16"/>
              </w:rPr>
              <w:t>з</w:t>
            </w:r>
            <w:r w:rsidRPr="00F23413">
              <w:rPr>
                <w:rFonts w:ascii="Times New Roman" w:hAnsi="Times New Roman"/>
                <w:sz w:val="16"/>
                <w:szCs w:val="16"/>
                <w:lang w:val="en-US"/>
              </w:rPr>
              <w:t xml:space="preserve"> </w:t>
            </w:r>
            <w:proofErr w:type="spellStart"/>
            <w:r w:rsidRPr="00E16672">
              <w:rPr>
                <w:rFonts w:ascii="Times New Roman" w:hAnsi="Times New Roman"/>
                <w:sz w:val="16"/>
                <w:szCs w:val="16"/>
              </w:rPr>
              <w:t>дати</w:t>
            </w:r>
            <w:proofErr w:type="spellEnd"/>
            <w:r w:rsidRPr="00F23413">
              <w:rPr>
                <w:rFonts w:ascii="Times New Roman" w:hAnsi="Times New Roman"/>
                <w:sz w:val="16"/>
                <w:szCs w:val="16"/>
                <w:lang w:val="en-US"/>
              </w:rPr>
              <w:t xml:space="preserve"> </w:t>
            </w:r>
            <w:r w:rsidRPr="00E16672">
              <w:rPr>
                <w:rFonts w:ascii="Times New Roman" w:hAnsi="Times New Roman"/>
                <w:sz w:val="16"/>
                <w:szCs w:val="16"/>
              </w:rPr>
              <w:t>початку</w:t>
            </w:r>
            <w:r w:rsidRPr="00F23413">
              <w:rPr>
                <w:rFonts w:ascii="Times New Roman" w:hAnsi="Times New Roman"/>
                <w:sz w:val="16"/>
                <w:szCs w:val="16"/>
                <w:lang w:val="en-US"/>
              </w:rPr>
              <w:t xml:space="preserve"> </w:t>
            </w:r>
            <w:r w:rsidRPr="00E16672">
              <w:rPr>
                <w:rFonts w:ascii="Times New Roman" w:hAnsi="Times New Roman"/>
                <w:sz w:val="16"/>
                <w:szCs w:val="16"/>
              </w:rPr>
              <w:t>Депозитарною</w:t>
            </w:r>
            <w:r w:rsidRPr="00F23413">
              <w:rPr>
                <w:rFonts w:ascii="Times New Roman" w:hAnsi="Times New Roman"/>
                <w:sz w:val="16"/>
                <w:szCs w:val="16"/>
                <w:lang w:val="en-US"/>
              </w:rPr>
              <w:t xml:space="preserve"> </w:t>
            </w:r>
            <w:proofErr w:type="spellStart"/>
            <w:r w:rsidRPr="00E16672">
              <w:rPr>
                <w:rFonts w:ascii="Times New Roman" w:hAnsi="Times New Roman"/>
                <w:sz w:val="16"/>
                <w:szCs w:val="16"/>
              </w:rPr>
              <w:t>установою</w:t>
            </w:r>
            <w:proofErr w:type="spellEnd"/>
            <w:r w:rsidRPr="00F23413">
              <w:rPr>
                <w:rFonts w:ascii="Times New Roman" w:hAnsi="Times New Roman"/>
                <w:sz w:val="16"/>
                <w:szCs w:val="16"/>
                <w:lang w:val="en-US"/>
              </w:rPr>
              <w:t xml:space="preserve"> </w:t>
            </w:r>
            <w:proofErr w:type="spellStart"/>
            <w:r w:rsidRPr="00E16672">
              <w:rPr>
                <w:rFonts w:ascii="Times New Roman" w:hAnsi="Times New Roman"/>
                <w:sz w:val="16"/>
                <w:szCs w:val="16"/>
              </w:rPr>
              <w:t>процедури</w:t>
            </w:r>
            <w:proofErr w:type="spellEnd"/>
            <w:r w:rsidRPr="00F23413">
              <w:rPr>
                <w:rFonts w:ascii="Times New Roman" w:hAnsi="Times New Roman"/>
                <w:sz w:val="16"/>
                <w:szCs w:val="16"/>
                <w:lang w:val="en-US"/>
              </w:rPr>
              <w:t xml:space="preserve"> </w:t>
            </w:r>
            <w:proofErr w:type="spellStart"/>
            <w:r w:rsidRPr="00E16672">
              <w:rPr>
                <w:rFonts w:ascii="Times New Roman" w:hAnsi="Times New Roman"/>
                <w:sz w:val="16"/>
                <w:szCs w:val="16"/>
              </w:rPr>
              <w:t>припинення</w:t>
            </w:r>
            <w:proofErr w:type="spellEnd"/>
            <w:r w:rsidRPr="00F23413">
              <w:rPr>
                <w:rFonts w:ascii="Times New Roman" w:hAnsi="Times New Roman"/>
                <w:sz w:val="16"/>
                <w:szCs w:val="16"/>
                <w:lang w:val="en-US"/>
              </w:rPr>
              <w:t xml:space="preserve"> </w:t>
            </w:r>
            <w:r w:rsidRPr="00E16672">
              <w:rPr>
                <w:rFonts w:ascii="Times New Roman" w:hAnsi="Times New Roman"/>
                <w:sz w:val="16"/>
                <w:szCs w:val="16"/>
              </w:rPr>
              <w:t>нею</w:t>
            </w:r>
            <w:r w:rsidRPr="00F23413">
              <w:rPr>
                <w:rFonts w:ascii="Times New Roman" w:hAnsi="Times New Roman"/>
                <w:sz w:val="16"/>
                <w:szCs w:val="16"/>
                <w:lang w:val="en-US"/>
              </w:rPr>
              <w:t xml:space="preserve"> </w:t>
            </w:r>
            <w:proofErr w:type="spellStart"/>
            <w:r w:rsidRPr="00E16672">
              <w:rPr>
                <w:rFonts w:ascii="Times New Roman" w:hAnsi="Times New Roman"/>
                <w:sz w:val="16"/>
                <w:szCs w:val="16"/>
              </w:rPr>
              <w:t>провадження</w:t>
            </w:r>
            <w:proofErr w:type="spellEnd"/>
            <w:r w:rsidRPr="00F23413">
              <w:rPr>
                <w:rFonts w:ascii="Times New Roman" w:hAnsi="Times New Roman"/>
                <w:sz w:val="16"/>
                <w:szCs w:val="16"/>
                <w:lang w:val="en-US"/>
              </w:rPr>
              <w:t xml:space="preserve"> </w:t>
            </w:r>
            <w:proofErr w:type="spellStart"/>
            <w:r w:rsidRPr="00E16672">
              <w:rPr>
                <w:rFonts w:ascii="Times New Roman" w:hAnsi="Times New Roman"/>
                <w:sz w:val="16"/>
                <w:szCs w:val="16"/>
              </w:rPr>
              <w:t>професійної</w:t>
            </w:r>
            <w:proofErr w:type="spellEnd"/>
            <w:r w:rsidRPr="00F23413">
              <w:rPr>
                <w:rFonts w:ascii="Times New Roman" w:hAnsi="Times New Roman"/>
                <w:sz w:val="16"/>
                <w:szCs w:val="16"/>
                <w:lang w:val="en-US"/>
              </w:rPr>
              <w:t xml:space="preserve"> </w:t>
            </w:r>
            <w:proofErr w:type="spellStart"/>
            <w:r w:rsidRPr="00E16672">
              <w:rPr>
                <w:rFonts w:ascii="Times New Roman" w:hAnsi="Times New Roman"/>
                <w:sz w:val="16"/>
                <w:szCs w:val="16"/>
              </w:rPr>
              <w:t>діяльності</w:t>
            </w:r>
            <w:proofErr w:type="spellEnd"/>
            <w:r w:rsidRPr="00F23413">
              <w:rPr>
                <w:rFonts w:ascii="Times New Roman" w:hAnsi="Times New Roman"/>
                <w:sz w:val="16"/>
                <w:szCs w:val="16"/>
                <w:lang w:val="en-US"/>
              </w:rPr>
              <w:t xml:space="preserve"> </w:t>
            </w:r>
            <w:proofErr w:type="gramStart"/>
            <w:r w:rsidRPr="00E16672">
              <w:rPr>
                <w:rFonts w:ascii="Times New Roman" w:hAnsi="Times New Roman"/>
                <w:sz w:val="16"/>
                <w:szCs w:val="16"/>
              </w:rPr>
              <w:t>на</w:t>
            </w:r>
            <w:r w:rsidRPr="00F23413">
              <w:rPr>
                <w:rFonts w:ascii="Times New Roman" w:hAnsi="Times New Roman"/>
                <w:sz w:val="16"/>
                <w:szCs w:val="16"/>
                <w:lang w:val="en-US"/>
              </w:rPr>
              <w:t xml:space="preserve"> </w:t>
            </w:r>
            <w:r w:rsidRPr="00E16672">
              <w:rPr>
                <w:rFonts w:ascii="Times New Roman" w:hAnsi="Times New Roman"/>
                <w:sz w:val="16"/>
                <w:szCs w:val="16"/>
              </w:rPr>
              <w:t>фондовому</w:t>
            </w:r>
            <w:r w:rsidRPr="00F23413">
              <w:rPr>
                <w:rFonts w:ascii="Times New Roman" w:hAnsi="Times New Roman"/>
                <w:sz w:val="16"/>
                <w:szCs w:val="16"/>
                <w:lang w:val="en-US"/>
              </w:rPr>
              <w:t xml:space="preserve"> </w:t>
            </w:r>
            <w:r w:rsidRPr="00E16672">
              <w:rPr>
                <w:rFonts w:ascii="Times New Roman" w:hAnsi="Times New Roman"/>
                <w:sz w:val="16"/>
                <w:szCs w:val="16"/>
              </w:rPr>
              <w:t>ринку</w:t>
            </w:r>
            <w:proofErr w:type="gramEnd"/>
            <w:r w:rsidRPr="00F23413">
              <w:rPr>
                <w:rFonts w:ascii="Times New Roman" w:hAnsi="Times New Roman"/>
                <w:sz w:val="16"/>
                <w:szCs w:val="16"/>
                <w:lang w:val="en-US"/>
              </w:rPr>
              <w:t xml:space="preserve"> - </w:t>
            </w:r>
            <w:proofErr w:type="spellStart"/>
            <w:r w:rsidRPr="00E16672">
              <w:rPr>
                <w:rFonts w:ascii="Times New Roman" w:hAnsi="Times New Roman"/>
                <w:sz w:val="16"/>
                <w:szCs w:val="16"/>
              </w:rPr>
              <w:t>депозитарної</w:t>
            </w:r>
            <w:proofErr w:type="spellEnd"/>
            <w:r w:rsidRPr="00F23413">
              <w:rPr>
                <w:rFonts w:ascii="Times New Roman" w:hAnsi="Times New Roman"/>
                <w:sz w:val="16"/>
                <w:szCs w:val="16"/>
                <w:lang w:val="en-US"/>
              </w:rPr>
              <w:t xml:space="preserve"> </w:t>
            </w:r>
            <w:proofErr w:type="spellStart"/>
            <w:r w:rsidRPr="00E16672">
              <w:rPr>
                <w:rFonts w:ascii="Times New Roman" w:hAnsi="Times New Roman"/>
                <w:sz w:val="16"/>
                <w:szCs w:val="16"/>
              </w:rPr>
              <w:t>діяльності</w:t>
            </w:r>
            <w:proofErr w:type="spellEnd"/>
            <w:r w:rsidRPr="00F23413">
              <w:rPr>
                <w:rFonts w:ascii="Times New Roman" w:hAnsi="Times New Roman"/>
                <w:sz w:val="16"/>
                <w:szCs w:val="16"/>
                <w:lang w:val="en-US"/>
              </w:rPr>
              <w:t xml:space="preserve"> </w:t>
            </w:r>
            <w:proofErr w:type="spellStart"/>
            <w:r w:rsidRPr="00E16672">
              <w:rPr>
                <w:rFonts w:ascii="Times New Roman" w:hAnsi="Times New Roman"/>
                <w:sz w:val="16"/>
                <w:szCs w:val="16"/>
              </w:rPr>
              <w:t>депозитарної</w:t>
            </w:r>
            <w:proofErr w:type="spellEnd"/>
            <w:r w:rsidRPr="00F23413">
              <w:rPr>
                <w:rFonts w:ascii="Times New Roman" w:hAnsi="Times New Roman"/>
                <w:sz w:val="16"/>
                <w:szCs w:val="16"/>
                <w:lang w:val="en-US"/>
              </w:rPr>
              <w:t xml:space="preserve"> </w:t>
            </w:r>
            <w:r w:rsidRPr="00E16672">
              <w:rPr>
                <w:rFonts w:ascii="Times New Roman" w:hAnsi="Times New Roman"/>
                <w:sz w:val="16"/>
                <w:szCs w:val="16"/>
              </w:rPr>
              <w:t>установи</w:t>
            </w:r>
            <w:r w:rsidRPr="00F23413">
              <w:rPr>
                <w:rFonts w:ascii="Times New Roman" w:hAnsi="Times New Roman"/>
                <w:sz w:val="16"/>
                <w:szCs w:val="16"/>
                <w:lang w:val="en-US"/>
              </w:rPr>
              <w:t xml:space="preserve"> </w:t>
            </w:r>
            <w:proofErr w:type="spellStart"/>
            <w:r w:rsidRPr="00E16672">
              <w:rPr>
                <w:rFonts w:ascii="Times New Roman" w:hAnsi="Times New Roman"/>
                <w:sz w:val="16"/>
                <w:szCs w:val="16"/>
              </w:rPr>
              <w:t>відповідно</w:t>
            </w:r>
            <w:proofErr w:type="spellEnd"/>
            <w:r w:rsidRPr="00F23413">
              <w:rPr>
                <w:rFonts w:ascii="Times New Roman" w:hAnsi="Times New Roman"/>
                <w:sz w:val="16"/>
                <w:szCs w:val="16"/>
                <w:lang w:val="en-US"/>
              </w:rPr>
              <w:t xml:space="preserve"> </w:t>
            </w:r>
            <w:r w:rsidRPr="00E16672">
              <w:rPr>
                <w:rFonts w:ascii="Times New Roman" w:hAnsi="Times New Roman"/>
                <w:sz w:val="16"/>
                <w:szCs w:val="16"/>
              </w:rPr>
              <w:t>до</w:t>
            </w:r>
            <w:r w:rsidRPr="00F23413">
              <w:rPr>
                <w:rFonts w:ascii="Times New Roman" w:hAnsi="Times New Roman"/>
                <w:sz w:val="16"/>
                <w:szCs w:val="16"/>
                <w:lang w:val="en-US"/>
              </w:rPr>
              <w:t xml:space="preserve"> </w:t>
            </w:r>
            <w:proofErr w:type="spellStart"/>
            <w:r w:rsidRPr="00E16672">
              <w:rPr>
                <w:rFonts w:ascii="Times New Roman" w:hAnsi="Times New Roman"/>
                <w:sz w:val="16"/>
                <w:szCs w:val="16"/>
              </w:rPr>
              <w:t>вимог</w:t>
            </w:r>
            <w:proofErr w:type="spellEnd"/>
            <w:r w:rsidRPr="00F23413">
              <w:rPr>
                <w:rFonts w:ascii="Times New Roman" w:hAnsi="Times New Roman"/>
                <w:sz w:val="16"/>
                <w:szCs w:val="16"/>
                <w:lang w:val="en-US"/>
              </w:rPr>
              <w:t xml:space="preserve"> </w:t>
            </w:r>
            <w:r w:rsidRPr="00E16672">
              <w:rPr>
                <w:rFonts w:ascii="Times New Roman" w:hAnsi="Times New Roman"/>
                <w:sz w:val="16"/>
                <w:szCs w:val="16"/>
              </w:rPr>
              <w:t>нормативно</w:t>
            </w:r>
            <w:r w:rsidRPr="00F23413">
              <w:rPr>
                <w:rFonts w:ascii="Times New Roman" w:hAnsi="Times New Roman"/>
                <w:sz w:val="16"/>
                <w:szCs w:val="16"/>
                <w:lang w:val="en-US"/>
              </w:rPr>
              <w:t>-</w:t>
            </w:r>
            <w:r w:rsidRPr="00E16672">
              <w:rPr>
                <w:rFonts w:ascii="Times New Roman" w:hAnsi="Times New Roman"/>
                <w:sz w:val="16"/>
                <w:szCs w:val="16"/>
              </w:rPr>
              <w:t>правового</w:t>
            </w:r>
            <w:r w:rsidRPr="00F23413">
              <w:rPr>
                <w:rFonts w:ascii="Times New Roman" w:hAnsi="Times New Roman"/>
                <w:sz w:val="16"/>
                <w:szCs w:val="16"/>
                <w:lang w:val="en-US"/>
              </w:rPr>
              <w:t xml:space="preserve"> </w:t>
            </w:r>
            <w:r w:rsidRPr="00E16672">
              <w:rPr>
                <w:rFonts w:ascii="Times New Roman" w:hAnsi="Times New Roman"/>
                <w:sz w:val="16"/>
                <w:szCs w:val="16"/>
              </w:rPr>
              <w:t>акта</w:t>
            </w:r>
            <w:r w:rsidRPr="00F23413">
              <w:rPr>
                <w:rFonts w:ascii="Times New Roman" w:hAnsi="Times New Roman"/>
                <w:sz w:val="16"/>
                <w:szCs w:val="16"/>
                <w:lang w:val="en-US"/>
              </w:rPr>
              <w:t xml:space="preserve"> </w:t>
            </w:r>
            <w:proofErr w:type="spellStart"/>
            <w:r w:rsidRPr="00E16672">
              <w:rPr>
                <w:rFonts w:ascii="Times New Roman" w:hAnsi="Times New Roman"/>
                <w:sz w:val="16"/>
                <w:szCs w:val="16"/>
              </w:rPr>
              <w:t>щодо</w:t>
            </w:r>
            <w:proofErr w:type="spellEnd"/>
            <w:r w:rsidRPr="00F23413">
              <w:rPr>
                <w:rFonts w:ascii="Times New Roman" w:hAnsi="Times New Roman"/>
                <w:sz w:val="16"/>
                <w:szCs w:val="16"/>
                <w:lang w:val="en-US"/>
              </w:rPr>
              <w:t xml:space="preserve"> </w:t>
            </w:r>
            <w:proofErr w:type="spellStart"/>
            <w:r w:rsidRPr="00E16672">
              <w:rPr>
                <w:rFonts w:ascii="Times New Roman" w:hAnsi="Times New Roman"/>
                <w:sz w:val="16"/>
                <w:szCs w:val="16"/>
              </w:rPr>
              <w:t>припинення</w:t>
            </w:r>
            <w:proofErr w:type="spellEnd"/>
            <w:r w:rsidRPr="00F23413">
              <w:rPr>
                <w:rFonts w:ascii="Times New Roman" w:hAnsi="Times New Roman"/>
                <w:sz w:val="16"/>
                <w:szCs w:val="16"/>
                <w:lang w:val="en-US"/>
              </w:rPr>
              <w:t xml:space="preserve"> </w:t>
            </w:r>
            <w:proofErr w:type="spellStart"/>
            <w:r w:rsidRPr="00E16672">
              <w:rPr>
                <w:rFonts w:ascii="Times New Roman" w:hAnsi="Times New Roman"/>
                <w:sz w:val="16"/>
                <w:szCs w:val="16"/>
              </w:rPr>
              <w:t>депозитарної</w:t>
            </w:r>
            <w:proofErr w:type="spellEnd"/>
            <w:r w:rsidRPr="00F23413">
              <w:rPr>
                <w:rFonts w:ascii="Times New Roman" w:hAnsi="Times New Roman"/>
                <w:sz w:val="16"/>
                <w:szCs w:val="16"/>
                <w:lang w:val="en-US"/>
              </w:rPr>
              <w:t xml:space="preserve"> </w:t>
            </w:r>
            <w:proofErr w:type="spellStart"/>
            <w:r w:rsidRPr="00E16672">
              <w:rPr>
                <w:rFonts w:ascii="Times New Roman" w:hAnsi="Times New Roman"/>
                <w:sz w:val="16"/>
                <w:szCs w:val="16"/>
              </w:rPr>
              <w:t>діяльності</w:t>
            </w:r>
            <w:proofErr w:type="spellEnd"/>
            <w:r w:rsidRPr="00F23413">
              <w:rPr>
                <w:rFonts w:ascii="Times New Roman" w:hAnsi="Times New Roman"/>
                <w:sz w:val="16"/>
                <w:szCs w:val="16"/>
                <w:lang w:val="en-US"/>
              </w:rPr>
              <w:t xml:space="preserve"> </w:t>
            </w:r>
            <w:proofErr w:type="spellStart"/>
            <w:r w:rsidRPr="00E16672">
              <w:rPr>
                <w:rFonts w:ascii="Times New Roman" w:hAnsi="Times New Roman"/>
                <w:sz w:val="16"/>
                <w:szCs w:val="16"/>
              </w:rPr>
              <w:t>депозитарної</w:t>
            </w:r>
            <w:proofErr w:type="spellEnd"/>
            <w:r w:rsidRPr="00F23413">
              <w:rPr>
                <w:rFonts w:ascii="Times New Roman" w:hAnsi="Times New Roman"/>
                <w:sz w:val="16"/>
                <w:szCs w:val="16"/>
                <w:lang w:val="en-US"/>
              </w:rPr>
              <w:t xml:space="preserve"> </w:t>
            </w:r>
            <w:r w:rsidRPr="00E16672">
              <w:rPr>
                <w:rFonts w:ascii="Times New Roman" w:hAnsi="Times New Roman"/>
                <w:sz w:val="16"/>
                <w:szCs w:val="16"/>
              </w:rPr>
              <w:t>установи</w:t>
            </w:r>
            <w:r w:rsidRPr="00F23413">
              <w:rPr>
                <w:rFonts w:ascii="Times New Roman" w:hAnsi="Times New Roman"/>
                <w:sz w:val="16"/>
                <w:szCs w:val="16"/>
                <w:lang w:val="en-US"/>
              </w:rPr>
              <w:t xml:space="preserve"> </w:t>
            </w:r>
            <w:proofErr w:type="spellStart"/>
            <w:r w:rsidRPr="00E16672">
              <w:rPr>
                <w:rFonts w:ascii="Times New Roman" w:hAnsi="Times New Roman"/>
                <w:sz w:val="16"/>
                <w:szCs w:val="16"/>
              </w:rPr>
              <w:t>здійснити</w:t>
            </w:r>
            <w:proofErr w:type="spellEnd"/>
            <w:r w:rsidRPr="00F23413">
              <w:rPr>
                <w:rFonts w:ascii="Times New Roman" w:hAnsi="Times New Roman"/>
                <w:sz w:val="16"/>
                <w:szCs w:val="16"/>
                <w:lang w:val="en-US"/>
              </w:rPr>
              <w:t xml:space="preserve"> </w:t>
            </w:r>
            <w:proofErr w:type="spellStart"/>
            <w:r w:rsidRPr="00E16672">
              <w:rPr>
                <w:rFonts w:ascii="Times New Roman" w:hAnsi="Times New Roman"/>
                <w:sz w:val="16"/>
                <w:szCs w:val="16"/>
              </w:rPr>
              <w:t>всі</w:t>
            </w:r>
            <w:proofErr w:type="spellEnd"/>
            <w:r w:rsidRPr="00F23413">
              <w:rPr>
                <w:rFonts w:ascii="Times New Roman" w:hAnsi="Times New Roman"/>
                <w:sz w:val="16"/>
                <w:szCs w:val="16"/>
                <w:lang w:val="en-US"/>
              </w:rPr>
              <w:t xml:space="preserve"> </w:t>
            </w:r>
            <w:proofErr w:type="spellStart"/>
            <w:r w:rsidRPr="00E16672">
              <w:rPr>
                <w:rFonts w:ascii="Times New Roman" w:hAnsi="Times New Roman"/>
                <w:sz w:val="16"/>
                <w:szCs w:val="16"/>
              </w:rPr>
              <w:t>необхідні</w:t>
            </w:r>
            <w:proofErr w:type="spellEnd"/>
            <w:r w:rsidRPr="00F23413">
              <w:rPr>
                <w:rFonts w:ascii="Times New Roman" w:hAnsi="Times New Roman"/>
                <w:sz w:val="16"/>
                <w:szCs w:val="16"/>
                <w:lang w:val="en-US"/>
              </w:rPr>
              <w:t xml:space="preserve"> </w:t>
            </w:r>
            <w:proofErr w:type="spellStart"/>
            <w:r w:rsidRPr="00E16672">
              <w:rPr>
                <w:rFonts w:ascii="Times New Roman" w:hAnsi="Times New Roman"/>
                <w:sz w:val="16"/>
                <w:szCs w:val="16"/>
              </w:rPr>
              <w:t>дії</w:t>
            </w:r>
            <w:proofErr w:type="spellEnd"/>
            <w:r w:rsidRPr="00F23413">
              <w:rPr>
                <w:rFonts w:ascii="Times New Roman" w:hAnsi="Times New Roman"/>
                <w:sz w:val="16"/>
                <w:szCs w:val="16"/>
                <w:lang w:val="en-US"/>
              </w:rPr>
              <w:t xml:space="preserve"> </w:t>
            </w:r>
            <w:proofErr w:type="spellStart"/>
            <w:r w:rsidRPr="00E16672">
              <w:rPr>
                <w:rFonts w:ascii="Times New Roman" w:hAnsi="Times New Roman"/>
                <w:sz w:val="16"/>
                <w:szCs w:val="16"/>
              </w:rPr>
              <w:t>щодо</w:t>
            </w:r>
            <w:proofErr w:type="spellEnd"/>
            <w:r w:rsidRPr="00F23413">
              <w:rPr>
                <w:rFonts w:ascii="Times New Roman" w:hAnsi="Times New Roman"/>
                <w:sz w:val="16"/>
                <w:szCs w:val="16"/>
                <w:lang w:val="en-US"/>
              </w:rPr>
              <w:t xml:space="preserve"> </w:t>
            </w:r>
            <w:proofErr w:type="spellStart"/>
            <w:r w:rsidRPr="00E16672">
              <w:rPr>
                <w:rFonts w:ascii="Times New Roman" w:hAnsi="Times New Roman"/>
                <w:sz w:val="16"/>
                <w:szCs w:val="16"/>
              </w:rPr>
              <w:t>закриття</w:t>
            </w:r>
            <w:proofErr w:type="spellEnd"/>
            <w:r w:rsidRPr="00F23413">
              <w:rPr>
                <w:rFonts w:ascii="Times New Roman" w:hAnsi="Times New Roman"/>
                <w:sz w:val="16"/>
                <w:szCs w:val="16"/>
                <w:lang w:val="en-US"/>
              </w:rPr>
              <w:t xml:space="preserve"> </w:t>
            </w:r>
            <w:proofErr w:type="spellStart"/>
            <w:r w:rsidR="0095761D" w:rsidRPr="00E16672">
              <w:rPr>
                <w:rFonts w:ascii="Times New Roman" w:hAnsi="Times New Roman"/>
                <w:sz w:val="16"/>
                <w:szCs w:val="16"/>
              </w:rPr>
              <w:t>рахунк</w:t>
            </w:r>
            <w:proofErr w:type="spellEnd"/>
            <w:r w:rsidR="0095761D" w:rsidRPr="00E16672">
              <w:rPr>
                <w:rFonts w:ascii="Times New Roman" w:hAnsi="Times New Roman"/>
                <w:sz w:val="16"/>
                <w:szCs w:val="16"/>
                <w:lang w:val="uk-UA"/>
              </w:rPr>
              <w:t>у</w:t>
            </w:r>
            <w:r w:rsidR="0095761D" w:rsidRPr="00F23413">
              <w:rPr>
                <w:rFonts w:ascii="Times New Roman" w:hAnsi="Times New Roman"/>
                <w:sz w:val="16"/>
                <w:szCs w:val="16"/>
                <w:lang w:val="en-US"/>
              </w:rPr>
              <w:t xml:space="preserve"> </w:t>
            </w:r>
            <w:r w:rsidRPr="00E16672">
              <w:rPr>
                <w:rFonts w:ascii="Times New Roman" w:hAnsi="Times New Roman"/>
                <w:sz w:val="16"/>
                <w:szCs w:val="16"/>
              </w:rPr>
              <w:t>в</w:t>
            </w:r>
            <w:r w:rsidRPr="00F23413">
              <w:rPr>
                <w:rFonts w:ascii="Times New Roman" w:hAnsi="Times New Roman"/>
                <w:sz w:val="16"/>
                <w:szCs w:val="16"/>
                <w:lang w:val="en-US"/>
              </w:rPr>
              <w:t xml:space="preserve"> </w:t>
            </w:r>
            <w:proofErr w:type="spellStart"/>
            <w:r w:rsidRPr="00E16672">
              <w:rPr>
                <w:rFonts w:ascii="Times New Roman" w:hAnsi="Times New Roman"/>
                <w:sz w:val="16"/>
                <w:szCs w:val="16"/>
              </w:rPr>
              <w:t>цінних</w:t>
            </w:r>
            <w:proofErr w:type="spellEnd"/>
            <w:r w:rsidRPr="00F23413">
              <w:rPr>
                <w:rFonts w:ascii="Times New Roman" w:hAnsi="Times New Roman"/>
                <w:sz w:val="16"/>
                <w:szCs w:val="16"/>
                <w:lang w:val="en-US"/>
              </w:rPr>
              <w:t xml:space="preserve"> </w:t>
            </w:r>
            <w:proofErr w:type="spellStart"/>
            <w:r w:rsidRPr="00E16672">
              <w:rPr>
                <w:rFonts w:ascii="Times New Roman" w:hAnsi="Times New Roman"/>
                <w:sz w:val="16"/>
                <w:szCs w:val="16"/>
              </w:rPr>
              <w:t>паперах</w:t>
            </w:r>
            <w:proofErr w:type="spellEnd"/>
            <w:r w:rsidRPr="00F23413">
              <w:rPr>
                <w:rFonts w:ascii="Times New Roman" w:hAnsi="Times New Roman"/>
                <w:sz w:val="16"/>
                <w:szCs w:val="16"/>
                <w:lang w:val="en-US"/>
              </w:rPr>
              <w:t>.</w:t>
            </w:r>
          </w:p>
          <w:p w14:paraId="60D94A93" w14:textId="77777777" w:rsidR="0095761D" w:rsidRPr="00F23413" w:rsidRDefault="0095761D" w:rsidP="00547A75">
            <w:pPr>
              <w:tabs>
                <w:tab w:val="left" w:pos="709"/>
              </w:tabs>
              <w:snapToGrid w:val="0"/>
              <w:ind w:left="40" w:right="138" w:firstLine="0"/>
              <w:rPr>
                <w:rFonts w:ascii="Times New Roman" w:hAnsi="Times New Roman"/>
                <w:sz w:val="16"/>
                <w:szCs w:val="16"/>
                <w:lang w:val="en-US"/>
              </w:rPr>
            </w:pPr>
          </w:p>
        </w:tc>
        <w:tc>
          <w:tcPr>
            <w:tcW w:w="5494" w:type="dxa"/>
            <w:gridSpan w:val="7"/>
            <w:shd w:val="clear" w:color="auto" w:fill="auto"/>
          </w:tcPr>
          <w:p w14:paraId="0B0ED082" w14:textId="77777777" w:rsidR="00502AEC" w:rsidRPr="00E16672" w:rsidRDefault="00502AEC" w:rsidP="00B7169F">
            <w:pPr>
              <w:pStyle w:val="210"/>
              <w:tabs>
                <w:tab w:val="left" w:pos="287"/>
                <w:tab w:val="left" w:pos="1191"/>
              </w:tabs>
              <w:snapToGrid w:val="0"/>
              <w:ind w:left="145" w:right="100" w:firstLine="0"/>
              <w:rPr>
                <w:rFonts w:ascii="Times New Roman" w:hAnsi="Times New Roman"/>
                <w:sz w:val="16"/>
                <w:szCs w:val="16"/>
              </w:rPr>
            </w:pPr>
            <w:r w:rsidRPr="00E16672">
              <w:rPr>
                <w:rFonts w:ascii="Times New Roman" w:hAnsi="Times New Roman"/>
                <w:sz w:val="16"/>
                <w:szCs w:val="16"/>
                <w:lang w:val="en-US"/>
              </w:rPr>
              <w:t>2</w:t>
            </w:r>
            <w:r w:rsidRPr="00E16672">
              <w:rPr>
                <w:rFonts w:ascii="Times New Roman" w:hAnsi="Times New Roman"/>
                <w:sz w:val="16"/>
                <w:szCs w:val="16"/>
              </w:rPr>
              <w:t>.</w:t>
            </w:r>
            <w:r w:rsidRPr="00E16672">
              <w:rPr>
                <w:rFonts w:ascii="Times New Roman" w:hAnsi="Times New Roman"/>
                <w:sz w:val="16"/>
                <w:szCs w:val="16"/>
                <w:lang w:val="en-US"/>
              </w:rPr>
              <w:t>3</w:t>
            </w:r>
            <w:r w:rsidRPr="00E16672">
              <w:rPr>
                <w:rFonts w:ascii="Times New Roman" w:hAnsi="Times New Roman"/>
                <w:sz w:val="16"/>
                <w:szCs w:val="16"/>
              </w:rPr>
              <w:t xml:space="preserve">.8. </w:t>
            </w:r>
            <w:proofErr w:type="spellStart"/>
            <w:r w:rsidRPr="00E16672">
              <w:rPr>
                <w:rFonts w:ascii="Times New Roman" w:hAnsi="Times New Roman"/>
                <w:sz w:val="16"/>
                <w:szCs w:val="16"/>
              </w:rPr>
              <w:t>During</w:t>
            </w:r>
            <w:proofErr w:type="spellEnd"/>
            <w:r w:rsidRPr="00E16672">
              <w:rPr>
                <w:rFonts w:ascii="Times New Roman" w:hAnsi="Times New Roman"/>
                <w:sz w:val="16"/>
                <w:szCs w:val="16"/>
              </w:rPr>
              <w:t xml:space="preserve"> </w:t>
            </w:r>
            <w:proofErr w:type="spellStart"/>
            <w:r w:rsidRPr="00E16672">
              <w:rPr>
                <w:rFonts w:ascii="Times New Roman" w:hAnsi="Times New Roman"/>
                <w:i/>
                <w:sz w:val="16"/>
                <w:szCs w:val="16"/>
              </w:rPr>
              <w:t>sixty</w:t>
            </w:r>
            <w:proofErr w:type="spellEnd"/>
            <w:r w:rsidRPr="00E16672">
              <w:rPr>
                <w:rFonts w:ascii="Times New Roman" w:hAnsi="Times New Roman"/>
                <w:i/>
                <w:sz w:val="16"/>
                <w:szCs w:val="16"/>
              </w:rPr>
              <w:t xml:space="preserve"> </w:t>
            </w:r>
            <w:proofErr w:type="spellStart"/>
            <w:r w:rsidRPr="00E16672">
              <w:rPr>
                <w:rFonts w:ascii="Times New Roman" w:hAnsi="Times New Roman"/>
                <w:i/>
                <w:sz w:val="16"/>
                <w:szCs w:val="16"/>
              </w:rPr>
              <w:t>calendar</w:t>
            </w:r>
            <w:proofErr w:type="spellEnd"/>
            <w:r w:rsidRPr="00E16672">
              <w:rPr>
                <w:rFonts w:ascii="Times New Roman" w:hAnsi="Times New Roman"/>
                <w:i/>
                <w:sz w:val="16"/>
                <w:szCs w:val="16"/>
              </w:rPr>
              <w:t xml:space="preserve"> </w:t>
            </w:r>
            <w:proofErr w:type="spellStart"/>
            <w:r w:rsidRPr="00E16672">
              <w:rPr>
                <w:rFonts w:ascii="Times New Roman" w:hAnsi="Times New Roman"/>
                <w:i/>
                <w:sz w:val="16"/>
                <w:szCs w:val="16"/>
              </w:rPr>
              <w:t>days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from</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date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of</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beginning</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of</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procedure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of</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stopping</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by</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Depository</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institution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procedures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for</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stopping</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of</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professional</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activity</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stock</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market</w:t>
            </w:r>
            <w:proofErr w:type="spellEnd"/>
            <w:r w:rsidRPr="00E16672">
              <w:rPr>
                <w:rFonts w:ascii="Times New Roman" w:hAnsi="Times New Roman"/>
                <w:sz w:val="16"/>
                <w:szCs w:val="16"/>
              </w:rPr>
              <w:t xml:space="preserve"> - </w:t>
            </w:r>
            <w:proofErr w:type="spellStart"/>
            <w:r w:rsidRPr="00E16672">
              <w:rPr>
                <w:rFonts w:ascii="Times New Roman" w:hAnsi="Times New Roman"/>
                <w:sz w:val="16"/>
                <w:szCs w:val="16"/>
              </w:rPr>
              <w:t>depository</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activities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of</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Depository</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institution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in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accordance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with</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legal</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act</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to</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stopping</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depository</w:t>
            </w:r>
            <w:proofErr w:type="spellEnd"/>
            <w:r w:rsidRPr="00E16672">
              <w:rPr>
                <w:rFonts w:ascii="Times New Roman" w:hAnsi="Times New Roman"/>
                <w:sz w:val="16"/>
                <w:szCs w:val="16"/>
              </w:rPr>
              <w:t xml:space="preserve"> </w:t>
            </w:r>
            <w:proofErr w:type="spellStart"/>
            <w:r w:rsidR="00FD491E" w:rsidRPr="00E16672">
              <w:rPr>
                <w:rFonts w:ascii="Times New Roman" w:hAnsi="Times New Roman"/>
                <w:sz w:val="16"/>
                <w:szCs w:val="16"/>
              </w:rPr>
              <w:t>activity</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of</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Depository</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institution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to</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take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all</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necessary</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steps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to</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close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an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account</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in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securities</w:t>
            </w:r>
            <w:proofErr w:type="spellEnd"/>
            <w:r w:rsidRPr="00E16672">
              <w:rPr>
                <w:rFonts w:ascii="Times New Roman" w:hAnsi="Times New Roman"/>
                <w:sz w:val="16"/>
                <w:szCs w:val="16"/>
              </w:rPr>
              <w:t>.</w:t>
            </w:r>
          </w:p>
        </w:tc>
      </w:tr>
      <w:tr w:rsidR="00E27FD1" w:rsidRPr="00F23413" w14:paraId="72407FD7" w14:textId="77777777" w:rsidTr="00D77858">
        <w:tblPrEx>
          <w:tblCellMar>
            <w:left w:w="0" w:type="dxa"/>
            <w:right w:w="0" w:type="dxa"/>
          </w:tblCellMar>
        </w:tblPrEx>
        <w:trPr>
          <w:trHeight w:val="192"/>
        </w:trPr>
        <w:tc>
          <w:tcPr>
            <w:tcW w:w="5696" w:type="dxa"/>
            <w:gridSpan w:val="6"/>
            <w:shd w:val="clear" w:color="auto" w:fill="auto"/>
          </w:tcPr>
          <w:p w14:paraId="0A81D534" w14:textId="77777777" w:rsidR="00E27FD1" w:rsidRPr="00E16672" w:rsidRDefault="00E27FD1" w:rsidP="00022F5F">
            <w:pPr>
              <w:ind w:left="40" w:right="138" w:firstLine="0"/>
              <w:jc w:val="left"/>
              <w:rPr>
                <w:rFonts w:ascii="Times New Roman" w:hAnsi="Times New Roman"/>
                <w:color w:val="000000"/>
                <w:sz w:val="16"/>
                <w:szCs w:val="16"/>
                <w:lang w:val="uk-UA"/>
              </w:rPr>
            </w:pPr>
            <w:r w:rsidRPr="00E16672">
              <w:rPr>
                <w:rFonts w:ascii="Times New Roman" w:hAnsi="Times New Roman"/>
                <w:color w:val="000000"/>
                <w:sz w:val="16"/>
                <w:szCs w:val="16"/>
                <w:lang w:val="uk-UA"/>
              </w:rPr>
              <w:t xml:space="preserve">2.3.9. Надавати Депозитарній установі для здійснення розрахунків за правочинами щодо цінних паперів з дотриманням принципу </w:t>
            </w:r>
            <w:r w:rsidR="00022F5F">
              <w:rPr>
                <w:rFonts w:ascii="Times New Roman" w:hAnsi="Times New Roman"/>
                <w:color w:val="000000"/>
                <w:sz w:val="16"/>
                <w:szCs w:val="16"/>
                <w:lang w:val="uk-UA"/>
              </w:rPr>
              <w:t>"</w:t>
            </w:r>
            <w:r w:rsidRPr="00E16672">
              <w:rPr>
                <w:rFonts w:ascii="Times New Roman" w:hAnsi="Times New Roman"/>
                <w:color w:val="000000"/>
                <w:sz w:val="16"/>
                <w:szCs w:val="16"/>
                <w:lang w:val="uk-UA"/>
              </w:rPr>
              <w:t>поставка цінних паперів проти оплати</w:t>
            </w:r>
            <w:r w:rsidR="00022F5F">
              <w:rPr>
                <w:rFonts w:ascii="Times New Roman" w:hAnsi="Times New Roman"/>
                <w:color w:val="000000"/>
                <w:sz w:val="16"/>
                <w:szCs w:val="16"/>
                <w:lang w:val="uk-UA"/>
              </w:rPr>
              <w:t>"</w:t>
            </w:r>
            <w:r w:rsidRPr="00E16672">
              <w:rPr>
                <w:rFonts w:ascii="Times New Roman" w:hAnsi="Times New Roman"/>
                <w:color w:val="000000"/>
                <w:sz w:val="16"/>
                <w:szCs w:val="16"/>
                <w:lang w:val="uk-UA"/>
              </w:rPr>
              <w:t xml:space="preserve"> інформацію про торговця цінними паперами, якому Депонентом надані повноваження на вчинення правочинів щодо цінних паперів в інтересах Депонента, з метою подальшого надання такої інформації Центральному депозитарію та Розрахунковому центру чи кліринговій установі для її відображення у внутрішній системі обліку такої особи.</w:t>
            </w:r>
          </w:p>
          <w:p w14:paraId="31DCEFB4" w14:textId="77777777" w:rsidR="00E27FD1" w:rsidRPr="00E16672" w:rsidRDefault="00E27FD1" w:rsidP="00547A75">
            <w:pPr>
              <w:tabs>
                <w:tab w:val="left" w:pos="709"/>
              </w:tabs>
              <w:snapToGrid w:val="0"/>
              <w:ind w:left="40" w:right="138" w:firstLine="0"/>
              <w:rPr>
                <w:rFonts w:ascii="Times New Roman" w:hAnsi="Times New Roman"/>
                <w:color w:val="000000"/>
                <w:sz w:val="16"/>
                <w:szCs w:val="16"/>
                <w:lang w:val="uk-UA"/>
              </w:rPr>
            </w:pPr>
          </w:p>
        </w:tc>
        <w:tc>
          <w:tcPr>
            <w:tcW w:w="5494" w:type="dxa"/>
            <w:gridSpan w:val="7"/>
            <w:shd w:val="clear" w:color="auto" w:fill="auto"/>
          </w:tcPr>
          <w:p w14:paraId="03E48EA2" w14:textId="77777777" w:rsidR="00E27FD1" w:rsidRPr="00E16672" w:rsidRDefault="0061626D" w:rsidP="00B7169F">
            <w:pPr>
              <w:pStyle w:val="210"/>
              <w:tabs>
                <w:tab w:val="left" w:pos="287"/>
                <w:tab w:val="left" w:pos="1191"/>
              </w:tabs>
              <w:snapToGrid w:val="0"/>
              <w:ind w:left="145" w:right="100" w:firstLine="0"/>
              <w:rPr>
                <w:rFonts w:ascii="Times New Roman" w:hAnsi="Times New Roman"/>
                <w:color w:val="000000"/>
                <w:sz w:val="16"/>
                <w:szCs w:val="16"/>
                <w:lang w:val="en-US"/>
              </w:rPr>
            </w:pPr>
            <w:r w:rsidRPr="00E16672">
              <w:rPr>
                <w:rFonts w:ascii="Times New Roman" w:hAnsi="Times New Roman"/>
                <w:color w:val="000000"/>
                <w:sz w:val="16"/>
                <w:szCs w:val="16"/>
                <w:lang w:val="en-US"/>
              </w:rPr>
              <w:t xml:space="preserve">2.3.9. </w:t>
            </w:r>
            <w:proofErr w:type="spellStart"/>
            <w:r w:rsidRPr="00E16672">
              <w:rPr>
                <w:rFonts w:ascii="Times New Roman" w:hAnsi="Times New Roman"/>
                <w:color w:val="000000"/>
                <w:sz w:val="16"/>
                <w:szCs w:val="16"/>
              </w:rPr>
              <w:t>Provide</w:t>
            </w:r>
            <w:proofErr w:type="spellEnd"/>
            <w:r w:rsidRPr="00E16672">
              <w:rPr>
                <w:rFonts w:ascii="Times New Roman" w:hAnsi="Times New Roman"/>
                <w:color w:val="000000"/>
                <w:sz w:val="16"/>
                <w:szCs w:val="16"/>
              </w:rPr>
              <w:t xml:space="preserve"> </w:t>
            </w:r>
            <w:r w:rsidRPr="00E16672">
              <w:rPr>
                <w:rFonts w:ascii="Times New Roman" w:hAnsi="Times New Roman"/>
                <w:color w:val="000000"/>
                <w:sz w:val="16"/>
                <w:szCs w:val="16"/>
                <w:lang w:val="en-US"/>
              </w:rPr>
              <w:t>D</w:t>
            </w:r>
            <w:proofErr w:type="spellStart"/>
            <w:r w:rsidRPr="00E16672">
              <w:rPr>
                <w:rFonts w:ascii="Times New Roman" w:hAnsi="Times New Roman"/>
                <w:color w:val="000000"/>
                <w:sz w:val="16"/>
                <w:szCs w:val="16"/>
              </w:rPr>
              <w:t>epository</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institution</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for</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making</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payments</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for</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transactions</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in</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securities</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compliance</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with</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principle</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of</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supply</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of</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securities</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against</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payment</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information</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on</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the</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securities</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trader</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which</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the</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Depositor</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empowered</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to</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commit</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transactions</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in</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securities</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for</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the</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benefit</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of</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the</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Depositor</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for</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further</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disclosure</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of</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such</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information</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to</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the</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Central</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Depository</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and</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Accounting</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Center</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or</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clearing</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institution</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to</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display</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it</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in</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the</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internal</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accounting</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system</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of</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such</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person</w:t>
            </w:r>
            <w:proofErr w:type="spellEnd"/>
            <w:r w:rsidRPr="00E16672">
              <w:rPr>
                <w:rFonts w:ascii="Times New Roman" w:hAnsi="Times New Roman"/>
                <w:color w:val="000000"/>
                <w:sz w:val="16"/>
                <w:szCs w:val="16"/>
              </w:rPr>
              <w:t>.</w:t>
            </w:r>
          </w:p>
        </w:tc>
      </w:tr>
      <w:tr w:rsidR="00427890" w:rsidRPr="00F23413" w14:paraId="1FEFADE1" w14:textId="77777777" w:rsidTr="00D77858">
        <w:tblPrEx>
          <w:tblCellMar>
            <w:left w:w="0" w:type="dxa"/>
            <w:right w:w="0" w:type="dxa"/>
          </w:tblCellMar>
        </w:tblPrEx>
        <w:trPr>
          <w:trHeight w:val="192"/>
        </w:trPr>
        <w:tc>
          <w:tcPr>
            <w:tcW w:w="5696" w:type="dxa"/>
            <w:gridSpan w:val="6"/>
            <w:shd w:val="clear" w:color="auto" w:fill="auto"/>
          </w:tcPr>
          <w:p w14:paraId="2F7554A4" w14:textId="23022D7D" w:rsidR="00427890" w:rsidRPr="00E16672" w:rsidRDefault="00A21639" w:rsidP="00547A75">
            <w:pPr>
              <w:suppressAutoHyphens w:val="0"/>
              <w:ind w:left="40" w:right="138" w:firstLine="0"/>
              <w:rPr>
                <w:rFonts w:ascii="Times New Roman" w:hAnsi="Times New Roman"/>
                <w:iCs/>
                <w:color w:val="000000"/>
                <w:sz w:val="16"/>
                <w:szCs w:val="16"/>
                <w:lang w:eastAsia="ru-RU"/>
              </w:rPr>
            </w:pPr>
            <w:r w:rsidRPr="00A21639">
              <w:rPr>
                <w:rFonts w:ascii="Times New Roman" w:hAnsi="Times New Roman"/>
                <w:iCs/>
                <w:color w:val="000000"/>
                <w:sz w:val="16"/>
                <w:szCs w:val="16"/>
                <w:lang w:val="uk-UA" w:eastAsia="ru-RU"/>
              </w:rPr>
              <w:t xml:space="preserve">2.3.10. Протягом трьох робочих днів з дня настання відповідної події письмово повідомити Депозитарну установу про зміни в інформації, що надавалася Депозитарній установі для здійснення ідентифікації (верифікації), у тому числі щодо кінцевих </w:t>
            </w:r>
            <w:proofErr w:type="spellStart"/>
            <w:r w:rsidRPr="00A21639">
              <w:rPr>
                <w:rFonts w:ascii="Times New Roman" w:hAnsi="Times New Roman"/>
                <w:iCs/>
                <w:color w:val="000000"/>
                <w:sz w:val="16"/>
                <w:szCs w:val="16"/>
                <w:lang w:val="uk-UA" w:eastAsia="ru-RU"/>
              </w:rPr>
              <w:t>бенефіціарних</w:t>
            </w:r>
            <w:proofErr w:type="spellEnd"/>
            <w:r w:rsidRPr="00A21639">
              <w:rPr>
                <w:rFonts w:ascii="Times New Roman" w:hAnsi="Times New Roman"/>
                <w:iCs/>
                <w:color w:val="000000"/>
                <w:sz w:val="16"/>
                <w:szCs w:val="16"/>
                <w:lang w:val="uk-UA" w:eastAsia="ru-RU"/>
              </w:rPr>
              <w:t xml:space="preserve"> власників (контролерів), та надати засвідчені належним чином копії підтверджуючих документів. Надавати інформацію про зміни відповідного власного статусу податкового </w:t>
            </w:r>
            <w:proofErr w:type="spellStart"/>
            <w:r w:rsidRPr="00A21639">
              <w:rPr>
                <w:rFonts w:ascii="Times New Roman" w:hAnsi="Times New Roman"/>
                <w:iCs/>
                <w:color w:val="000000"/>
                <w:sz w:val="16"/>
                <w:szCs w:val="16"/>
                <w:lang w:val="uk-UA" w:eastAsia="ru-RU"/>
              </w:rPr>
              <w:t>резидентства</w:t>
            </w:r>
            <w:proofErr w:type="spellEnd"/>
            <w:r w:rsidRPr="00A21639">
              <w:rPr>
                <w:rFonts w:ascii="Times New Roman" w:hAnsi="Times New Roman"/>
                <w:iCs/>
                <w:color w:val="000000"/>
                <w:sz w:val="16"/>
                <w:szCs w:val="16"/>
                <w:lang w:val="uk-UA" w:eastAsia="ru-RU"/>
              </w:rPr>
              <w:t xml:space="preserve"> протягом десяти робочих днів з дня настання відповідної зміни, у порядку, встановленому законодавством та внутрішніми документами Депозитарної установи. Повідомлення та документи можуть надаватися особисто, поштою, кур’єром.</w:t>
            </w:r>
          </w:p>
          <w:p w14:paraId="433CE308" w14:textId="77777777" w:rsidR="00427890" w:rsidRPr="00E16672" w:rsidRDefault="00427890" w:rsidP="00547A75">
            <w:pPr>
              <w:ind w:left="40" w:right="138" w:firstLine="0"/>
              <w:rPr>
                <w:rFonts w:ascii="Times New Roman" w:hAnsi="Times New Roman"/>
                <w:color w:val="000000"/>
                <w:sz w:val="16"/>
                <w:szCs w:val="16"/>
                <w:lang w:val="uk-UA"/>
              </w:rPr>
            </w:pPr>
          </w:p>
        </w:tc>
        <w:tc>
          <w:tcPr>
            <w:tcW w:w="5494" w:type="dxa"/>
            <w:gridSpan w:val="7"/>
            <w:shd w:val="clear" w:color="auto" w:fill="auto"/>
          </w:tcPr>
          <w:p w14:paraId="133231E6" w14:textId="77777777" w:rsidR="00A21639" w:rsidRPr="00A21639" w:rsidRDefault="00A21639" w:rsidP="00A21639">
            <w:pPr>
              <w:pStyle w:val="210"/>
              <w:tabs>
                <w:tab w:val="left" w:pos="287"/>
                <w:tab w:val="left" w:pos="1191"/>
              </w:tabs>
              <w:snapToGrid w:val="0"/>
              <w:ind w:left="145" w:right="100" w:firstLine="0"/>
              <w:rPr>
                <w:rFonts w:ascii="Times New Roman" w:hAnsi="Times New Roman"/>
                <w:iCs/>
                <w:color w:val="000000"/>
                <w:sz w:val="16"/>
                <w:szCs w:val="16"/>
              </w:rPr>
            </w:pPr>
            <w:r w:rsidRPr="00A21639">
              <w:rPr>
                <w:rFonts w:ascii="Times New Roman" w:hAnsi="Times New Roman"/>
                <w:iCs/>
                <w:color w:val="000000"/>
                <w:sz w:val="16"/>
                <w:szCs w:val="16"/>
              </w:rPr>
              <w:t xml:space="preserve">2.3.10. </w:t>
            </w:r>
            <w:proofErr w:type="spellStart"/>
            <w:r w:rsidRPr="00A21639">
              <w:rPr>
                <w:rFonts w:ascii="Times New Roman" w:hAnsi="Times New Roman"/>
                <w:iCs/>
                <w:color w:val="000000"/>
                <w:sz w:val="16"/>
                <w:szCs w:val="16"/>
              </w:rPr>
              <w:t>Within</w:t>
            </w:r>
            <w:proofErr w:type="spellEnd"/>
            <w:r w:rsidRPr="00A21639">
              <w:rPr>
                <w:rFonts w:ascii="Times New Roman" w:hAnsi="Times New Roman"/>
                <w:iCs/>
                <w:color w:val="000000"/>
                <w:sz w:val="16"/>
                <w:szCs w:val="16"/>
              </w:rPr>
              <w:t xml:space="preserve"> </w:t>
            </w:r>
            <w:proofErr w:type="spellStart"/>
            <w:r w:rsidRPr="00A21639">
              <w:rPr>
                <w:rFonts w:ascii="Times New Roman" w:hAnsi="Times New Roman"/>
                <w:iCs/>
                <w:color w:val="000000"/>
                <w:sz w:val="16"/>
                <w:szCs w:val="16"/>
              </w:rPr>
              <w:t>three</w:t>
            </w:r>
            <w:proofErr w:type="spellEnd"/>
            <w:r w:rsidRPr="00A21639">
              <w:rPr>
                <w:rFonts w:ascii="Times New Roman" w:hAnsi="Times New Roman"/>
                <w:iCs/>
                <w:color w:val="000000"/>
                <w:sz w:val="16"/>
                <w:szCs w:val="16"/>
              </w:rPr>
              <w:t xml:space="preserve"> </w:t>
            </w:r>
            <w:proofErr w:type="spellStart"/>
            <w:r w:rsidRPr="00A21639">
              <w:rPr>
                <w:rFonts w:ascii="Times New Roman" w:hAnsi="Times New Roman"/>
                <w:iCs/>
                <w:color w:val="000000"/>
                <w:sz w:val="16"/>
                <w:szCs w:val="16"/>
              </w:rPr>
              <w:t>working</w:t>
            </w:r>
            <w:proofErr w:type="spellEnd"/>
            <w:r w:rsidRPr="00A21639">
              <w:rPr>
                <w:rFonts w:ascii="Times New Roman" w:hAnsi="Times New Roman"/>
                <w:iCs/>
                <w:color w:val="000000"/>
                <w:sz w:val="16"/>
                <w:szCs w:val="16"/>
              </w:rPr>
              <w:t xml:space="preserve"> </w:t>
            </w:r>
            <w:proofErr w:type="spellStart"/>
            <w:r w:rsidRPr="00A21639">
              <w:rPr>
                <w:rFonts w:ascii="Times New Roman" w:hAnsi="Times New Roman"/>
                <w:iCs/>
                <w:color w:val="000000"/>
                <w:sz w:val="16"/>
                <w:szCs w:val="16"/>
              </w:rPr>
              <w:t>days</w:t>
            </w:r>
            <w:proofErr w:type="spellEnd"/>
            <w:r w:rsidRPr="00A21639">
              <w:rPr>
                <w:rFonts w:ascii="Times New Roman" w:hAnsi="Times New Roman"/>
                <w:iCs/>
                <w:color w:val="000000"/>
                <w:sz w:val="16"/>
                <w:szCs w:val="16"/>
              </w:rPr>
              <w:t xml:space="preserve"> </w:t>
            </w:r>
            <w:proofErr w:type="spellStart"/>
            <w:r w:rsidRPr="00A21639">
              <w:rPr>
                <w:rFonts w:ascii="Times New Roman" w:hAnsi="Times New Roman"/>
                <w:iCs/>
                <w:color w:val="000000"/>
                <w:sz w:val="16"/>
                <w:szCs w:val="16"/>
              </w:rPr>
              <w:t>from</w:t>
            </w:r>
            <w:proofErr w:type="spellEnd"/>
            <w:r w:rsidRPr="00A21639">
              <w:rPr>
                <w:rFonts w:ascii="Times New Roman" w:hAnsi="Times New Roman"/>
                <w:iCs/>
                <w:color w:val="000000"/>
                <w:sz w:val="16"/>
                <w:szCs w:val="16"/>
              </w:rPr>
              <w:t xml:space="preserve"> </w:t>
            </w:r>
            <w:proofErr w:type="spellStart"/>
            <w:r w:rsidRPr="00A21639">
              <w:rPr>
                <w:rFonts w:ascii="Times New Roman" w:hAnsi="Times New Roman"/>
                <w:iCs/>
                <w:color w:val="000000"/>
                <w:sz w:val="16"/>
                <w:szCs w:val="16"/>
              </w:rPr>
              <w:t>the</w:t>
            </w:r>
            <w:proofErr w:type="spellEnd"/>
            <w:r w:rsidRPr="00A21639">
              <w:rPr>
                <w:rFonts w:ascii="Times New Roman" w:hAnsi="Times New Roman"/>
                <w:iCs/>
                <w:color w:val="000000"/>
                <w:sz w:val="16"/>
                <w:szCs w:val="16"/>
              </w:rPr>
              <w:t xml:space="preserve"> </w:t>
            </w:r>
            <w:proofErr w:type="spellStart"/>
            <w:r w:rsidRPr="00A21639">
              <w:rPr>
                <w:rFonts w:ascii="Times New Roman" w:hAnsi="Times New Roman"/>
                <w:iCs/>
                <w:color w:val="000000"/>
                <w:sz w:val="16"/>
                <w:szCs w:val="16"/>
              </w:rPr>
              <w:t>day</w:t>
            </w:r>
            <w:proofErr w:type="spellEnd"/>
            <w:r w:rsidRPr="00A21639">
              <w:rPr>
                <w:rFonts w:ascii="Times New Roman" w:hAnsi="Times New Roman"/>
                <w:iCs/>
                <w:color w:val="000000"/>
                <w:sz w:val="16"/>
                <w:szCs w:val="16"/>
              </w:rPr>
              <w:t xml:space="preserve"> </w:t>
            </w:r>
            <w:proofErr w:type="spellStart"/>
            <w:r w:rsidRPr="00A21639">
              <w:rPr>
                <w:rFonts w:ascii="Times New Roman" w:hAnsi="Times New Roman"/>
                <w:iCs/>
                <w:color w:val="000000"/>
                <w:sz w:val="16"/>
                <w:szCs w:val="16"/>
              </w:rPr>
              <w:t>the</w:t>
            </w:r>
            <w:proofErr w:type="spellEnd"/>
            <w:r w:rsidRPr="00A21639">
              <w:rPr>
                <w:rFonts w:ascii="Times New Roman" w:hAnsi="Times New Roman"/>
                <w:iCs/>
                <w:color w:val="000000"/>
                <w:sz w:val="16"/>
                <w:szCs w:val="16"/>
              </w:rPr>
              <w:t xml:space="preserve"> </w:t>
            </w:r>
            <w:proofErr w:type="spellStart"/>
            <w:r w:rsidRPr="00A21639">
              <w:rPr>
                <w:rFonts w:ascii="Times New Roman" w:hAnsi="Times New Roman"/>
                <w:iCs/>
                <w:color w:val="000000"/>
                <w:sz w:val="16"/>
                <w:szCs w:val="16"/>
              </w:rPr>
              <w:t>respective</w:t>
            </w:r>
            <w:proofErr w:type="spellEnd"/>
            <w:r w:rsidRPr="00A21639">
              <w:rPr>
                <w:rFonts w:ascii="Times New Roman" w:hAnsi="Times New Roman"/>
                <w:iCs/>
                <w:color w:val="000000"/>
                <w:sz w:val="16"/>
                <w:szCs w:val="16"/>
              </w:rPr>
              <w:t xml:space="preserve"> </w:t>
            </w:r>
            <w:proofErr w:type="spellStart"/>
            <w:r w:rsidRPr="00A21639">
              <w:rPr>
                <w:rFonts w:ascii="Times New Roman" w:hAnsi="Times New Roman"/>
                <w:iCs/>
                <w:color w:val="000000"/>
                <w:sz w:val="16"/>
                <w:szCs w:val="16"/>
              </w:rPr>
              <w:t>event</w:t>
            </w:r>
            <w:proofErr w:type="spellEnd"/>
            <w:r w:rsidRPr="00A21639">
              <w:rPr>
                <w:rFonts w:ascii="Times New Roman" w:hAnsi="Times New Roman"/>
                <w:iCs/>
                <w:color w:val="000000"/>
                <w:sz w:val="16"/>
                <w:szCs w:val="16"/>
              </w:rPr>
              <w:t xml:space="preserve">  </w:t>
            </w:r>
            <w:proofErr w:type="spellStart"/>
            <w:r w:rsidRPr="00A21639">
              <w:rPr>
                <w:rFonts w:ascii="Times New Roman" w:hAnsi="Times New Roman"/>
                <w:iCs/>
                <w:color w:val="000000"/>
                <w:sz w:val="16"/>
                <w:szCs w:val="16"/>
              </w:rPr>
              <w:t>to</w:t>
            </w:r>
            <w:proofErr w:type="spellEnd"/>
            <w:r w:rsidRPr="00A21639">
              <w:rPr>
                <w:rFonts w:ascii="Times New Roman" w:hAnsi="Times New Roman"/>
                <w:iCs/>
                <w:color w:val="000000"/>
                <w:sz w:val="16"/>
                <w:szCs w:val="16"/>
              </w:rPr>
              <w:t xml:space="preserve"> </w:t>
            </w:r>
            <w:proofErr w:type="spellStart"/>
            <w:r w:rsidRPr="00A21639">
              <w:rPr>
                <w:rFonts w:ascii="Times New Roman" w:hAnsi="Times New Roman"/>
                <w:iCs/>
                <w:color w:val="000000"/>
                <w:sz w:val="16"/>
                <w:szCs w:val="16"/>
              </w:rPr>
              <w:t>notify</w:t>
            </w:r>
            <w:proofErr w:type="spellEnd"/>
            <w:r w:rsidRPr="00A21639">
              <w:rPr>
                <w:rFonts w:ascii="Times New Roman" w:hAnsi="Times New Roman"/>
                <w:iCs/>
                <w:color w:val="000000"/>
                <w:sz w:val="16"/>
                <w:szCs w:val="16"/>
              </w:rPr>
              <w:t xml:space="preserve"> </w:t>
            </w:r>
            <w:proofErr w:type="spellStart"/>
            <w:r w:rsidRPr="00A21639">
              <w:rPr>
                <w:rFonts w:ascii="Times New Roman" w:hAnsi="Times New Roman"/>
                <w:iCs/>
                <w:color w:val="000000"/>
                <w:sz w:val="16"/>
                <w:szCs w:val="16"/>
              </w:rPr>
              <w:t>Depository</w:t>
            </w:r>
            <w:proofErr w:type="spellEnd"/>
            <w:r w:rsidRPr="00A21639">
              <w:rPr>
                <w:rFonts w:ascii="Times New Roman" w:hAnsi="Times New Roman"/>
                <w:iCs/>
                <w:color w:val="000000"/>
                <w:sz w:val="16"/>
                <w:szCs w:val="16"/>
              </w:rPr>
              <w:t xml:space="preserve"> </w:t>
            </w:r>
            <w:proofErr w:type="spellStart"/>
            <w:r w:rsidRPr="00A21639">
              <w:rPr>
                <w:rFonts w:ascii="Times New Roman" w:hAnsi="Times New Roman"/>
                <w:iCs/>
                <w:color w:val="000000"/>
                <w:sz w:val="16"/>
                <w:szCs w:val="16"/>
              </w:rPr>
              <w:t>institution</w:t>
            </w:r>
            <w:proofErr w:type="spellEnd"/>
            <w:r w:rsidRPr="00A21639">
              <w:rPr>
                <w:rFonts w:ascii="Times New Roman" w:hAnsi="Times New Roman"/>
                <w:iCs/>
                <w:color w:val="000000"/>
                <w:sz w:val="16"/>
                <w:szCs w:val="16"/>
              </w:rPr>
              <w:t xml:space="preserve"> </w:t>
            </w:r>
            <w:proofErr w:type="spellStart"/>
            <w:r w:rsidRPr="00A21639">
              <w:rPr>
                <w:rFonts w:ascii="Times New Roman" w:hAnsi="Times New Roman"/>
                <w:iCs/>
                <w:color w:val="000000"/>
                <w:sz w:val="16"/>
                <w:szCs w:val="16"/>
              </w:rPr>
              <w:t>about</w:t>
            </w:r>
            <w:proofErr w:type="spellEnd"/>
            <w:r w:rsidRPr="00A21639">
              <w:rPr>
                <w:rFonts w:ascii="Times New Roman" w:hAnsi="Times New Roman"/>
                <w:iCs/>
                <w:color w:val="000000"/>
                <w:sz w:val="16"/>
                <w:szCs w:val="16"/>
              </w:rPr>
              <w:t xml:space="preserve"> </w:t>
            </w:r>
            <w:proofErr w:type="spellStart"/>
            <w:r w:rsidRPr="00A21639">
              <w:rPr>
                <w:rFonts w:ascii="Times New Roman" w:hAnsi="Times New Roman"/>
                <w:iCs/>
                <w:color w:val="000000"/>
                <w:sz w:val="16"/>
                <w:szCs w:val="16"/>
              </w:rPr>
              <w:t>changes</w:t>
            </w:r>
            <w:proofErr w:type="spellEnd"/>
            <w:r w:rsidRPr="00A21639">
              <w:rPr>
                <w:rFonts w:ascii="Times New Roman" w:hAnsi="Times New Roman"/>
                <w:iCs/>
                <w:color w:val="000000"/>
                <w:sz w:val="16"/>
                <w:szCs w:val="16"/>
              </w:rPr>
              <w:t xml:space="preserve"> </w:t>
            </w:r>
            <w:proofErr w:type="spellStart"/>
            <w:r w:rsidRPr="00A21639">
              <w:rPr>
                <w:rFonts w:ascii="Times New Roman" w:hAnsi="Times New Roman"/>
                <w:iCs/>
                <w:color w:val="000000"/>
                <w:sz w:val="16"/>
                <w:szCs w:val="16"/>
              </w:rPr>
              <w:t>in</w:t>
            </w:r>
            <w:proofErr w:type="spellEnd"/>
            <w:r w:rsidRPr="00A21639">
              <w:rPr>
                <w:rFonts w:ascii="Times New Roman" w:hAnsi="Times New Roman"/>
                <w:iCs/>
                <w:color w:val="000000"/>
                <w:sz w:val="16"/>
                <w:szCs w:val="16"/>
              </w:rPr>
              <w:t xml:space="preserve"> </w:t>
            </w:r>
            <w:proofErr w:type="spellStart"/>
            <w:r w:rsidRPr="00A21639">
              <w:rPr>
                <w:rFonts w:ascii="Times New Roman" w:hAnsi="Times New Roman"/>
                <w:iCs/>
                <w:color w:val="000000"/>
                <w:sz w:val="16"/>
                <w:szCs w:val="16"/>
              </w:rPr>
              <w:t>the</w:t>
            </w:r>
            <w:proofErr w:type="spellEnd"/>
            <w:r w:rsidRPr="00A21639">
              <w:rPr>
                <w:rFonts w:ascii="Times New Roman" w:hAnsi="Times New Roman"/>
                <w:iCs/>
                <w:color w:val="000000"/>
                <w:sz w:val="16"/>
                <w:szCs w:val="16"/>
              </w:rPr>
              <w:t xml:space="preserve"> </w:t>
            </w:r>
            <w:proofErr w:type="spellStart"/>
            <w:r w:rsidRPr="00A21639">
              <w:rPr>
                <w:rFonts w:ascii="Times New Roman" w:hAnsi="Times New Roman"/>
                <w:iCs/>
                <w:color w:val="000000"/>
                <w:sz w:val="16"/>
                <w:szCs w:val="16"/>
              </w:rPr>
              <w:t>information</w:t>
            </w:r>
            <w:proofErr w:type="spellEnd"/>
            <w:r w:rsidRPr="00A21639">
              <w:rPr>
                <w:rFonts w:ascii="Times New Roman" w:hAnsi="Times New Roman"/>
                <w:iCs/>
                <w:color w:val="000000"/>
                <w:sz w:val="16"/>
                <w:szCs w:val="16"/>
              </w:rPr>
              <w:t xml:space="preserve"> </w:t>
            </w:r>
            <w:proofErr w:type="spellStart"/>
            <w:r w:rsidRPr="00A21639">
              <w:rPr>
                <w:rFonts w:ascii="Times New Roman" w:hAnsi="Times New Roman"/>
                <w:iCs/>
                <w:color w:val="000000"/>
                <w:sz w:val="16"/>
                <w:szCs w:val="16"/>
              </w:rPr>
              <w:t>provided</w:t>
            </w:r>
            <w:proofErr w:type="spellEnd"/>
            <w:r w:rsidRPr="00A21639">
              <w:rPr>
                <w:rFonts w:ascii="Times New Roman" w:hAnsi="Times New Roman"/>
                <w:iCs/>
                <w:color w:val="000000"/>
                <w:sz w:val="16"/>
                <w:szCs w:val="16"/>
              </w:rPr>
              <w:t xml:space="preserve"> </w:t>
            </w:r>
            <w:proofErr w:type="spellStart"/>
            <w:r w:rsidRPr="00A21639">
              <w:rPr>
                <w:rFonts w:ascii="Times New Roman" w:hAnsi="Times New Roman"/>
                <w:iCs/>
                <w:color w:val="000000"/>
                <w:sz w:val="16"/>
                <w:szCs w:val="16"/>
              </w:rPr>
              <w:t>to</w:t>
            </w:r>
            <w:proofErr w:type="spellEnd"/>
            <w:r w:rsidRPr="00A21639">
              <w:rPr>
                <w:rFonts w:ascii="Times New Roman" w:hAnsi="Times New Roman"/>
                <w:iCs/>
                <w:color w:val="000000"/>
                <w:sz w:val="16"/>
                <w:szCs w:val="16"/>
              </w:rPr>
              <w:t xml:space="preserve"> </w:t>
            </w:r>
            <w:proofErr w:type="spellStart"/>
            <w:r w:rsidRPr="00A21639">
              <w:rPr>
                <w:rFonts w:ascii="Times New Roman" w:hAnsi="Times New Roman"/>
                <w:iCs/>
                <w:color w:val="000000"/>
                <w:sz w:val="16"/>
                <w:szCs w:val="16"/>
              </w:rPr>
              <w:t>Depository</w:t>
            </w:r>
            <w:proofErr w:type="spellEnd"/>
            <w:r w:rsidRPr="00A21639">
              <w:rPr>
                <w:rFonts w:ascii="Times New Roman" w:hAnsi="Times New Roman"/>
                <w:iCs/>
                <w:color w:val="000000"/>
                <w:sz w:val="16"/>
                <w:szCs w:val="16"/>
              </w:rPr>
              <w:t xml:space="preserve"> </w:t>
            </w:r>
            <w:proofErr w:type="spellStart"/>
            <w:r w:rsidRPr="00A21639">
              <w:rPr>
                <w:rFonts w:ascii="Times New Roman" w:hAnsi="Times New Roman"/>
                <w:iCs/>
                <w:color w:val="000000"/>
                <w:sz w:val="16"/>
                <w:szCs w:val="16"/>
              </w:rPr>
              <w:t>institution</w:t>
            </w:r>
            <w:proofErr w:type="spellEnd"/>
            <w:r w:rsidRPr="00A21639">
              <w:rPr>
                <w:rFonts w:ascii="Times New Roman" w:hAnsi="Times New Roman"/>
                <w:iCs/>
                <w:color w:val="000000"/>
                <w:sz w:val="16"/>
                <w:szCs w:val="16"/>
              </w:rPr>
              <w:t xml:space="preserve"> </w:t>
            </w:r>
            <w:proofErr w:type="spellStart"/>
            <w:r w:rsidRPr="00A21639">
              <w:rPr>
                <w:rFonts w:ascii="Times New Roman" w:hAnsi="Times New Roman"/>
                <w:iCs/>
                <w:color w:val="000000"/>
                <w:sz w:val="16"/>
                <w:szCs w:val="16"/>
              </w:rPr>
              <w:t>to</w:t>
            </w:r>
            <w:proofErr w:type="spellEnd"/>
            <w:r w:rsidRPr="00A21639">
              <w:rPr>
                <w:rFonts w:ascii="Times New Roman" w:hAnsi="Times New Roman"/>
                <w:iCs/>
                <w:color w:val="000000"/>
                <w:sz w:val="16"/>
                <w:szCs w:val="16"/>
              </w:rPr>
              <w:t xml:space="preserve"> </w:t>
            </w:r>
            <w:proofErr w:type="spellStart"/>
            <w:r w:rsidRPr="00A21639">
              <w:rPr>
                <w:rFonts w:ascii="Times New Roman" w:hAnsi="Times New Roman"/>
                <w:iCs/>
                <w:color w:val="000000"/>
                <w:sz w:val="16"/>
                <w:szCs w:val="16"/>
              </w:rPr>
              <w:t>carry</w:t>
            </w:r>
            <w:proofErr w:type="spellEnd"/>
            <w:r w:rsidRPr="00A21639">
              <w:rPr>
                <w:rFonts w:ascii="Times New Roman" w:hAnsi="Times New Roman"/>
                <w:iCs/>
                <w:color w:val="000000"/>
                <w:sz w:val="16"/>
                <w:szCs w:val="16"/>
              </w:rPr>
              <w:t xml:space="preserve"> </w:t>
            </w:r>
            <w:proofErr w:type="spellStart"/>
            <w:r w:rsidRPr="00A21639">
              <w:rPr>
                <w:rFonts w:ascii="Times New Roman" w:hAnsi="Times New Roman"/>
                <w:iCs/>
                <w:color w:val="000000"/>
                <w:sz w:val="16"/>
                <w:szCs w:val="16"/>
              </w:rPr>
              <w:t>identification</w:t>
            </w:r>
            <w:proofErr w:type="spellEnd"/>
            <w:r w:rsidRPr="00A21639">
              <w:rPr>
                <w:rFonts w:ascii="Times New Roman" w:hAnsi="Times New Roman"/>
                <w:iCs/>
                <w:color w:val="000000"/>
                <w:sz w:val="16"/>
                <w:szCs w:val="16"/>
              </w:rPr>
              <w:t xml:space="preserve"> (</w:t>
            </w:r>
            <w:proofErr w:type="spellStart"/>
            <w:r w:rsidRPr="00A21639">
              <w:rPr>
                <w:rFonts w:ascii="Times New Roman" w:hAnsi="Times New Roman"/>
                <w:iCs/>
                <w:color w:val="000000"/>
                <w:sz w:val="16"/>
                <w:szCs w:val="16"/>
              </w:rPr>
              <w:t>verification</w:t>
            </w:r>
            <w:proofErr w:type="spellEnd"/>
            <w:r w:rsidRPr="00A21639">
              <w:rPr>
                <w:rFonts w:ascii="Times New Roman" w:hAnsi="Times New Roman"/>
                <w:iCs/>
                <w:color w:val="000000"/>
                <w:sz w:val="16"/>
                <w:szCs w:val="16"/>
              </w:rPr>
              <w:t xml:space="preserve">), </w:t>
            </w:r>
            <w:proofErr w:type="spellStart"/>
            <w:r w:rsidRPr="00A21639">
              <w:rPr>
                <w:rFonts w:ascii="Times New Roman" w:hAnsi="Times New Roman"/>
                <w:iCs/>
                <w:color w:val="000000"/>
                <w:sz w:val="16"/>
                <w:szCs w:val="16"/>
              </w:rPr>
              <w:t>including</w:t>
            </w:r>
            <w:proofErr w:type="spellEnd"/>
            <w:r w:rsidRPr="00A21639">
              <w:rPr>
                <w:rFonts w:ascii="Times New Roman" w:hAnsi="Times New Roman"/>
                <w:iCs/>
                <w:color w:val="000000"/>
                <w:sz w:val="16"/>
                <w:szCs w:val="16"/>
              </w:rPr>
              <w:t xml:space="preserve"> </w:t>
            </w:r>
            <w:proofErr w:type="spellStart"/>
            <w:r w:rsidRPr="00A21639">
              <w:rPr>
                <w:rFonts w:ascii="Times New Roman" w:hAnsi="Times New Roman"/>
                <w:iCs/>
                <w:color w:val="000000"/>
                <w:sz w:val="16"/>
                <w:szCs w:val="16"/>
              </w:rPr>
              <w:t>the</w:t>
            </w:r>
            <w:proofErr w:type="spellEnd"/>
            <w:r w:rsidRPr="00A21639">
              <w:rPr>
                <w:rFonts w:ascii="Times New Roman" w:hAnsi="Times New Roman"/>
                <w:iCs/>
                <w:color w:val="000000"/>
                <w:sz w:val="16"/>
                <w:szCs w:val="16"/>
              </w:rPr>
              <w:t xml:space="preserve"> </w:t>
            </w:r>
            <w:proofErr w:type="spellStart"/>
            <w:r w:rsidRPr="00A21639">
              <w:rPr>
                <w:rFonts w:ascii="Times New Roman" w:hAnsi="Times New Roman"/>
                <w:iCs/>
                <w:color w:val="000000"/>
                <w:sz w:val="16"/>
                <w:szCs w:val="16"/>
              </w:rPr>
              <w:t>final</w:t>
            </w:r>
            <w:proofErr w:type="spellEnd"/>
            <w:r w:rsidRPr="00A21639">
              <w:rPr>
                <w:rFonts w:ascii="Times New Roman" w:hAnsi="Times New Roman"/>
                <w:iCs/>
                <w:color w:val="000000"/>
                <w:sz w:val="16"/>
                <w:szCs w:val="16"/>
              </w:rPr>
              <w:t xml:space="preserve"> </w:t>
            </w:r>
            <w:proofErr w:type="spellStart"/>
            <w:r w:rsidRPr="00A21639">
              <w:rPr>
                <w:rFonts w:ascii="Times New Roman" w:hAnsi="Times New Roman"/>
                <w:iCs/>
                <w:color w:val="000000"/>
                <w:sz w:val="16"/>
                <w:szCs w:val="16"/>
              </w:rPr>
              <w:t>beneficial</w:t>
            </w:r>
            <w:proofErr w:type="spellEnd"/>
            <w:r w:rsidRPr="00A21639">
              <w:rPr>
                <w:rFonts w:ascii="Times New Roman" w:hAnsi="Times New Roman"/>
                <w:iCs/>
                <w:color w:val="000000"/>
                <w:sz w:val="16"/>
                <w:szCs w:val="16"/>
              </w:rPr>
              <w:t xml:space="preserve"> </w:t>
            </w:r>
            <w:proofErr w:type="spellStart"/>
            <w:r w:rsidRPr="00A21639">
              <w:rPr>
                <w:rFonts w:ascii="Times New Roman" w:hAnsi="Times New Roman"/>
                <w:iCs/>
                <w:color w:val="000000"/>
                <w:sz w:val="16"/>
                <w:szCs w:val="16"/>
              </w:rPr>
              <w:t>owners</w:t>
            </w:r>
            <w:proofErr w:type="spellEnd"/>
            <w:r w:rsidRPr="00A21639">
              <w:rPr>
                <w:rFonts w:ascii="Times New Roman" w:hAnsi="Times New Roman"/>
                <w:iCs/>
                <w:color w:val="000000"/>
                <w:sz w:val="16"/>
                <w:szCs w:val="16"/>
              </w:rPr>
              <w:t xml:space="preserve"> (</w:t>
            </w:r>
            <w:proofErr w:type="spellStart"/>
            <w:r w:rsidRPr="00A21639">
              <w:rPr>
                <w:rFonts w:ascii="Times New Roman" w:hAnsi="Times New Roman"/>
                <w:iCs/>
                <w:color w:val="000000"/>
                <w:sz w:val="16"/>
                <w:szCs w:val="16"/>
              </w:rPr>
              <w:t>controllers</w:t>
            </w:r>
            <w:proofErr w:type="spellEnd"/>
            <w:r w:rsidRPr="00A21639">
              <w:rPr>
                <w:rFonts w:ascii="Times New Roman" w:hAnsi="Times New Roman"/>
                <w:iCs/>
                <w:color w:val="000000"/>
                <w:sz w:val="16"/>
                <w:szCs w:val="16"/>
              </w:rPr>
              <w:t xml:space="preserve">), </w:t>
            </w:r>
            <w:proofErr w:type="spellStart"/>
            <w:r w:rsidRPr="00A21639">
              <w:rPr>
                <w:rFonts w:ascii="Times New Roman" w:hAnsi="Times New Roman"/>
                <w:iCs/>
                <w:color w:val="000000"/>
                <w:sz w:val="16"/>
                <w:szCs w:val="16"/>
              </w:rPr>
              <w:t>and</w:t>
            </w:r>
            <w:proofErr w:type="spellEnd"/>
            <w:r w:rsidRPr="00A21639">
              <w:rPr>
                <w:rFonts w:ascii="Times New Roman" w:hAnsi="Times New Roman"/>
                <w:iCs/>
                <w:color w:val="000000"/>
                <w:sz w:val="16"/>
                <w:szCs w:val="16"/>
              </w:rPr>
              <w:t xml:space="preserve"> </w:t>
            </w:r>
            <w:proofErr w:type="spellStart"/>
            <w:r w:rsidRPr="00A21639">
              <w:rPr>
                <w:rFonts w:ascii="Times New Roman" w:hAnsi="Times New Roman"/>
                <w:iCs/>
                <w:color w:val="000000"/>
                <w:sz w:val="16"/>
                <w:szCs w:val="16"/>
              </w:rPr>
              <w:t>provide</w:t>
            </w:r>
            <w:proofErr w:type="spellEnd"/>
            <w:r w:rsidRPr="00A21639">
              <w:rPr>
                <w:rFonts w:ascii="Times New Roman" w:hAnsi="Times New Roman"/>
                <w:iCs/>
                <w:color w:val="000000"/>
                <w:sz w:val="16"/>
                <w:szCs w:val="16"/>
              </w:rPr>
              <w:t xml:space="preserve"> </w:t>
            </w:r>
            <w:proofErr w:type="spellStart"/>
            <w:r w:rsidRPr="00A21639">
              <w:rPr>
                <w:rFonts w:ascii="Times New Roman" w:hAnsi="Times New Roman"/>
                <w:iCs/>
                <w:color w:val="000000"/>
                <w:sz w:val="16"/>
                <w:szCs w:val="16"/>
              </w:rPr>
              <w:t>properly</w:t>
            </w:r>
            <w:proofErr w:type="spellEnd"/>
            <w:r w:rsidRPr="00A21639">
              <w:rPr>
                <w:rFonts w:ascii="Times New Roman" w:hAnsi="Times New Roman"/>
                <w:iCs/>
                <w:color w:val="000000"/>
                <w:sz w:val="16"/>
                <w:szCs w:val="16"/>
              </w:rPr>
              <w:t xml:space="preserve"> </w:t>
            </w:r>
            <w:proofErr w:type="spellStart"/>
            <w:r w:rsidRPr="00A21639">
              <w:rPr>
                <w:rFonts w:ascii="Times New Roman" w:hAnsi="Times New Roman"/>
                <w:iCs/>
                <w:color w:val="000000"/>
                <w:sz w:val="16"/>
                <w:szCs w:val="16"/>
              </w:rPr>
              <w:t>certified</w:t>
            </w:r>
            <w:proofErr w:type="spellEnd"/>
            <w:r w:rsidRPr="00A21639">
              <w:rPr>
                <w:rFonts w:ascii="Times New Roman" w:hAnsi="Times New Roman"/>
                <w:iCs/>
                <w:color w:val="000000"/>
                <w:sz w:val="16"/>
                <w:szCs w:val="16"/>
              </w:rPr>
              <w:t xml:space="preserve"> </w:t>
            </w:r>
            <w:proofErr w:type="spellStart"/>
            <w:r w:rsidRPr="00A21639">
              <w:rPr>
                <w:rFonts w:ascii="Times New Roman" w:hAnsi="Times New Roman"/>
                <w:iCs/>
                <w:color w:val="000000"/>
                <w:sz w:val="16"/>
                <w:szCs w:val="16"/>
              </w:rPr>
              <w:t>copies</w:t>
            </w:r>
            <w:proofErr w:type="spellEnd"/>
            <w:r w:rsidRPr="00A21639">
              <w:rPr>
                <w:rFonts w:ascii="Times New Roman" w:hAnsi="Times New Roman"/>
                <w:iCs/>
                <w:color w:val="000000"/>
                <w:sz w:val="16"/>
                <w:szCs w:val="16"/>
              </w:rPr>
              <w:t xml:space="preserve"> </w:t>
            </w:r>
            <w:proofErr w:type="spellStart"/>
            <w:r w:rsidRPr="00A21639">
              <w:rPr>
                <w:rFonts w:ascii="Times New Roman" w:hAnsi="Times New Roman"/>
                <w:iCs/>
                <w:color w:val="000000"/>
                <w:sz w:val="16"/>
                <w:szCs w:val="16"/>
              </w:rPr>
              <w:t>of</w:t>
            </w:r>
            <w:proofErr w:type="spellEnd"/>
            <w:r w:rsidRPr="00A21639">
              <w:rPr>
                <w:rFonts w:ascii="Times New Roman" w:hAnsi="Times New Roman"/>
                <w:iCs/>
                <w:color w:val="000000"/>
                <w:sz w:val="16"/>
                <w:szCs w:val="16"/>
              </w:rPr>
              <w:t xml:space="preserve"> </w:t>
            </w:r>
            <w:proofErr w:type="spellStart"/>
            <w:r w:rsidRPr="00A21639">
              <w:rPr>
                <w:rFonts w:ascii="Times New Roman" w:hAnsi="Times New Roman"/>
                <w:iCs/>
                <w:color w:val="000000"/>
                <w:sz w:val="16"/>
                <w:szCs w:val="16"/>
              </w:rPr>
              <w:t>supporting</w:t>
            </w:r>
            <w:proofErr w:type="spellEnd"/>
            <w:r w:rsidRPr="00A21639">
              <w:rPr>
                <w:rFonts w:ascii="Times New Roman" w:hAnsi="Times New Roman"/>
                <w:iCs/>
                <w:color w:val="000000"/>
                <w:sz w:val="16"/>
                <w:szCs w:val="16"/>
              </w:rPr>
              <w:t xml:space="preserve"> </w:t>
            </w:r>
            <w:proofErr w:type="spellStart"/>
            <w:r w:rsidRPr="00A21639">
              <w:rPr>
                <w:rFonts w:ascii="Times New Roman" w:hAnsi="Times New Roman"/>
                <w:iCs/>
                <w:color w:val="000000"/>
                <w:sz w:val="16"/>
                <w:szCs w:val="16"/>
              </w:rPr>
              <w:t>documents</w:t>
            </w:r>
            <w:proofErr w:type="spellEnd"/>
            <w:r w:rsidRPr="00A21639">
              <w:rPr>
                <w:rFonts w:ascii="Times New Roman" w:hAnsi="Times New Roman"/>
                <w:iCs/>
                <w:color w:val="000000"/>
                <w:sz w:val="16"/>
                <w:szCs w:val="16"/>
              </w:rPr>
              <w:t xml:space="preserve">. </w:t>
            </w:r>
            <w:proofErr w:type="spellStart"/>
            <w:r w:rsidRPr="00A21639">
              <w:rPr>
                <w:rFonts w:ascii="Times New Roman" w:hAnsi="Times New Roman"/>
                <w:iCs/>
                <w:color w:val="000000"/>
                <w:sz w:val="16"/>
                <w:szCs w:val="16"/>
              </w:rPr>
              <w:t>Provide</w:t>
            </w:r>
            <w:proofErr w:type="spellEnd"/>
            <w:r w:rsidRPr="00A21639">
              <w:rPr>
                <w:rFonts w:ascii="Times New Roman" w:hAnsi="Times New Roman"/>
                <w:iCs/>
                <w:color w:val="000000"/>
                <w:sz w:val="16"/>
                <w:szCs w:val="16"/>
              </w:rPr>
              <w:t xml:space="preserve"> </w:t>
            </w:r>
            <w:proofErr w:type="spellStart"/>
            <w:r w:rsidRPr="00A21639">
              <w:rPr>
                <w:rFonts w:ascii="Times New Roman" w:hAnsi="Times New Roman"/>
                <w:iCs/>
                <w:color w:val="000000"/>
                <w:sz w:val="16"/>
                <w:szCs w:val="16"/>
              </w:rPr>
              <w:t>information</w:t>
            </w:r>
            <w:proofErr w:type="spellEnd"/>
            <w:r w:rsidRPr="00A21639">
              <w:rPr>
                <w:rFonts w:ascii="Times New Roman" w:hAnsi="Times New Roman"/>
                <w:iCs/>
                <w:color w:val="000000"/>
                <w:sz w:val="16"/>
                <w:szCs w:val="16"/>
              </w:rPr>
              <w:t xml:space="preserve"> </w:t>
            </w:r>
            <w:proofErr w:type="spellStart"/>
            <w:r w:rsidRPr="00A21639">
              <w:rPr>
                <w:rFonts w:ascii="Times New Roman" w:hAnsi="Times New Roman"/>
                <w:iCs/>
                <w:color w:val="000000"/>
                <w:sz w:val="16"/>
                <w:szCs w:val="16"/>
              </w:rPr>
              <w:t>on</w:t>
            </w:r>
            <w:proofErr w:type="spellEnd"/>
            <w:r w:rsidRPr="00A21639">
              <w:rPr>
                <w:rFonts w:ascii="Times New Roman" w:hAnsi="Times New Roman"/>
                <w:iCs/>
                <w:color w:val="000000"/>
                <w:sz w:val="16"/>
                <w:szCs w:val="16"/>
              </w:rPr>
              <w:t xml:space="preserve"> </w:t>
            </w:r>
            <w:proofErr w:type="spellStart"/>
            <w:r w:rsidRPr="00A21639">
              <w:rPr>
                <w:rFonts w:ascii="Times New Roman" w:hAnsi="Times New Roman"/>
                <w:iCs/>
                <w:color w:val="000000"/>
                <w:sz w:val="16"/>
                <w:szCs w:val="16"/>
              </w:rPr>
              <w:t>changes</w:t>
            </w:r>
            <w:proofErr w:type="spellEnd"/>
            <w:r w:rsidRPr="00A21639">
              <w:rPr>
                <w:rFonts w:ascii="Times New Roman" w:hAnsi="Times New Roman"/>
                <w:iCs/>
                <w:color w:val="000000"/>
                <w:sz w:val="16"/>
                <w:szCs w:val="16"/>
              </w:rPr>
              <w:t xml:space="preserve"> </w:t>
            </w:r>
            <w:proofErr w:type="spellStart"/>
            <w:r w:rsidRPr="00A21639">
              <w:rPr>
                <w:rFonts w:ascii="Times New Roman" w:hAnsi="Times New Roman"/>
                <w:iCs/>
                <w:color w:val="000000"/>
                <w:sz w:val="16"/>
                <w:szCs w:val="16"/>
              </w:rPr>
              <w:t>in</w:t>
            </w:r>
            <w:proofErr w:type="spellEnd"/>
            <w:r w:rsidRPr="00A21639">
              <w:rPr>
                <w:rFonts w:ascii="Times New Roman" w:hAnsi="Times New Roman"/>
                <w:iCs/>
                <w:color w:val="000000"/>
                <w:sz w:val="16"/>
                <w:szCs w:val="16"/>
              </w:rPr>
              <w:t xml:space="preserve"> </w:t>
            </w:r>
            <w:proofErr w:type="spellStart"/>
            <w:r w:rsidRPr="00A21639">
              <w:rPr>
                <w:rFonts w:ascii="Times New Roman" w:hAnsi="Times New Roman"/>
                <w:iCs/>
                <w:color w:val="000000"/>
                <w:sz w:val="16"/>
                <w:szCs w:val="16"/>
              </w:rPr>
              <w:t>the</w:t>
            </w:r>
            <w:proofErr w:type="spellEnd"/>
            <w:r w:rsidRPr="00A21639">
              <w:rPr>
                <w:rFonts w:ascii="Times New Roman" w:hAnsi="Times New Roman"/>
                <w:iCs/>
                <w:color w:val="000000"/>
                <w:sz w:val="16"/>
                <w:szCs w:val="16"/>
              </w:rPr>
              <w:t xml:space="preserve"> </w:t>
            </w:r>
            <w:proofErr w:type="spellStart"/>
            <w:r w:rsidRPr="00A21639">
              <w:rPr>
                <w:rFonts w:ascii="Times New Roman" w:hAnsi="Times New Roman"/>
                <w:iCs/>
                <w:color w:val="000000"/>
                <w:sz w:val="16"/>
                <w:szCs w:val="16"/>
              </w:rPr>
              <w:t>relevant</w:t>
            </w:r>
            <w:proofErr w:type="spellEnd"/>
            <w:r w:rsidRPr="00A21639">
              <w:rPr>
                <w:rFonts w:ascii="Times New Roman" w:hAnsi="Times New Roman"/>
                <w:iCs/>
                <w:color w:val="000000"/>
                <w:sz w:val="16"/>
                <w:szCs w:val="16"/>
              </w:rPr>
              <w:t xml:space="preserve"> </w:t>
            </w:r>
            <w:proofErr w:type="spellStart"/>
            <w:r w:rsidRPr="00A21639">
              <w:rPr>
                <w:rFonts w:ascii="Times New Roman" w:hAnsi="Times New Roman"/>
                <w:iCs/>
                <w:color w:val="000000"/>
                <w:sz w:val="16"/>
                <w:szCs w:val="16"/>
              </w:rPr>
              <w:t>own</w:t>
            </w:r>
            <w:proofErr w:type="spellEnd"/>
            <w:r w:rsidRPr="00A21639">
              <w:rPr>
                <w:rFonts w:ascii="Times New Roman" w:hAnsi="Times New Roman"/>
                <w:iCs/>
                <w:color w:val="000000"/>
                <w:sz w:val="16"/>
                <w:szCs w:val="16"/>
              </w:rPr>
              <w:t xml:space="preserve"> </w:t>
            </w:r>
            <w:proofErr w:type="spellStart"/>
            <w:r w:rsidRPr="00A21639">
              <w:rPr>
                <w:rFonts w:ascii="Times New Roman" w:hAnsi="Times New Roman"/>
                <w:iCs/>
                <w:color w:val="000000"/>
                <w:sz w:val="16"/>
                <w:szCs w:val="16"/>
              </w:rPr>
              <w:t>status</w:t>
            </w:r>
            <w:proofErr w:type="spellEnd"/>
            <w:r w:rsidRPr="00A21639">
              <w:rPr>
                <w:rFonts w:ascii="Times New Roman" w:hAnsi="Times New Roman"/>
                <w:iCs/>
                <w:color w:val="000000"/>
                <w:sz w:val="16"/>
                <w:szCs w:val="16"/>
              </w:rPr>
              <w:t xml:space="preserve"> </w:t>
            </w:r>
            <w:proofErr w:type="spellStart"/>
            <w:r w:rsidRPr="00A21639">
              <w:rPr>
                <w:rFonts w:ascii="Times New Roman" w:hAnsi="Times New Roman"/>
                <w:iCs/>
                <w:color w:val="000000"/>
                <w:sz w:val="16"/>
                <w:szCs w:val="16"/>
              </w:rPr>
              <w:t>of</w:t>
            </w:r>
            <w:proofErr w:type="spellEnd"/>
            <w:r w:rsidRPr="00A21639">
              <w:rPr>
                <w:rFonts w:ascii="Times New Roman" w:hAnsi="Times New Roman"/>
                <w:iCs/>
                <w:color w:val="000000"/>
                <w:sz w:val="16"/>
                <w:szCs w:val="16"/>
              </w:rPr>
              <w:t xml:space="preserve"> </w:t>
            </w:r>
            <w:proofErr w:type="spellStart"/>
            <w:r w:rsidRPr="00A21639">
              <w:rPr>
                <w:rFonts w:ascii="Times New Roman" w:hAnsi="Times New Roman"/>
                <w:iCs/>
                <w:color w:val="000000"/>
                <w:sz w:val="16"/>
                <w:szCs w:val="16"/>
              </w:rPr>
              <w:t>the</w:t>
            </w:r>
            <w:proofErr w:type="spellEnd"/>
            <w:r w:rsidRPr="00A21639">
              <w:rPr>
                <w:rFonts w:ascii="Times New Roman" w:hAnsi="Times New Roman"/>
                <w:iCs/>
                <w:color w:val="000000"/>
                <w:sz w:val="16"/>
                <w:szCs w:val="16"/>
              </w:rPr>
              <w:t xml:space="preserve"> </w:t>
            </w:r>
            <w:proofErr w:type="spellStart"/>
            <w:r w:rsidRPr="00A21639">
              <w:rPr>
                <w:rFonts w:ascii="Times New Roman" w:hAnsi="Times New Roman"/>
                <w:iCs/>
                <w:color w:val="000000"/>
                <w:sz w:val="16"/>
                <w:szCs w:val="16"/>
              </w:rPr>
              <w:t>tax</w:t>
            </w:r>
            <w:proofErr w:type="spellEnd"/>
            <w:r w:rsidRPr="00A21639">
              <w:rPr>
                <w:rFonts w:ascii="Times New Roman" w:hAnsi="Times New Roman"/>
                <w:iCs/>
                <w:color w:val="000000"/>
                <w:sz w:val="16"/>
                <w:szCs w:val="16"/>
              </w:rPr>
              <w:t xml:space="preserve"> </w:t>
            </w:r>
            <w:proofErr w:type="spellStart"/>
            <w:r w:rsidRPr="00A21639">
              <w:rPr>
                <w:rFonts w:ascii="Times New Roman" w:hAnsi="Times New Roman"/>
                <w:iCs/>
                <w:color w:val="000000"/>
                <w:sz w:val="16"/>
                <w:szCs w:val="16"/>
              </w:rPr>
              <w:t>residence</w:t>
            </w:r>
            <w:proofErr w:type="spellEnd"/>
            <w:r w:rsidRPr="00A21639">
              <w:rPr>
                <w:rFonts w:ascii="Times New Roman" w:hAnsi="Times New Roman"/>
                <w:iCs/>
                <w:color w:val="000000"/>
                <w:sz w:val="16"/>
                <w:szCs w:val="16"/>
              </w:rPr>
              <w:t xml:space="preserve"> </w:t>
            </w:r>
            <w:proofErr w:type="spellStart"/>
            <w:r w:rsidRPr="00A21639">
              <w:rPr>
                <w:rFonts w:ascii="Times New Roman" w:hAnsi="Times New Roman"/>
                <w:iCs/>
                <w:color w:val="000000"/>
                <w:sz w:val="16"/>
                <w:szCs w:val="16"/>
              </w:rPr>
              <w:t>within</w:t>
            </w:r>
            <w:proofErr w:type="spellEnd"/>
            <w:r w:rsidRPr="00A21639">
              <w:rPr>
                <w:rFonts w:ascii="Times New Roman" w:hAnsi="Times New Roman"/>
                <w:iCs/>
                <w:color w:val="000000"/>
                <w:sz w:val="16"/>
                <w:szCs w:val="16"/>
              </w:rPr>
              <w:t xml:space="preserve"> </w:t>
            </w:r>
            <w:proofErr w:type="spellStart"/>
            <w:r w:rsidRPr="00A21639">
              <w:rPr>
                <w:rFonts w:ascii="Times New Roman" w:hAnsi="Times New Roman"/>
                <w:iCs/>
                <w:color w:val="000000"/>
                <w:sz w:val="16"/>
                <w:szCs w:val="16"/>
              </w:rPr>
              <w:t>ten</w:t>
            </w:r>
            <w:proofErr w:type="spellEnd"/>
            <w:r w:rsidRPr="00A21639">
              <w:rPr>
                <w:rFonts w:ascii="Times New Roman" w:hAnsi="Times New Roman"/>
                <w:iCs/>
                <w:color w:val="000000"/>
                <w:sz w:val="16"/>
                <w:szCs w:val="16"/>
              </w:rPr>
              <w:t xml:space="preserve"> </w:t>
            </w:r>
            <w:proofErr w:type="spellStart"/>
            <w:r w:rsidRPr="00A21639">
              <w:rPr>
                <w:rFonts w:ascii="Times New Roman" w:hAnsi="Times New Roman"/>
                <w:iCs/>
                <w:color w:val="000000"/>
                <w:sz w:val="16"/>
                <w:szCs w:val="16"/>
              </w:rPr>
              <w:t>working</w:t>
            </w:r>
            <w:proofErr w:type="spellEnd"/>
            <w:r w:rsidRPr="00A21639">
              <w:rPr>
                <w:rFonts w:ascii="Times New Roman" w:hAnsi="Times New Roman"/>
                <w:iCs/>
                <w:color w:val="000000"/>
                <w:sz w:val="16"/>
                <w:szCs w:val="16"/>
              </w:rPr>
              <w:t xml:space="preserve"> </w:t>
            </w:r>
            <w:proofErr w:type="spellStart"/>
            <w:r w:rsidRPr="00A21639">
              <w:rPr>
                <w:rFonts w:ascii="Times New Roman" w:hAnsi="Times New Roman"/>
                <w:iCs/>
                <w:color w:val="000000"/>
                <w:sz w:val="16"/>
                <w:szCs w:val="16"/>
              </w:rPr>
              <w:t>days</w:t>
            </w:r>
            <w:proofErr w:type="spellEnd"/>
            <w:r w:rsidRPr="00A21639">
              <w:rPr>
                <w:rFonts w:ascii="Times New Roman" w:hAnsi="Times New Roman"/>
                <w:iCs/>
                <w:color w:val="000000"/>
                <w:sz w:val="16"/>
                <w:szCs w:val="16"/>
              </w:rPr>
              <w:t xml:space="preserve"> </w:t>
            </w:r>
            <w:proofErr w:type="spellStart"/>
            <w:r w:rsidRPr="00A21639">
              <w:rPr>
                <w:rFonts w:ascii="Times New Roman" w:hAnsi="Times New Roman"/>
                <w:iCs/>
                <w:color w:val="000000"/>
                <w:sz w:val="16"/>
                <w:szCs w:val="16"/>
              </w:rPr>
              <w:t>from</w:t>
            </w:r>
            <w:proofErr w:type="spellEnd"/>
            <w:r w:rsidRPr="00A21639">
              <w:rPr>
                <w:rFonts w:ascii="Times New Roman" w:hAnsi="Times New Roman"/>
                <w:iCs/>
                <w:color w:val="000000"/>
                <w:sz w:val="16"/>
                <w:szCs w:val="16"/>
              </w:rPr>
              <w:t xml:space="preserve"> </w:t>
            </w:r>
            <w:proofErr w:type="spellStart"/>
            <w:r w:rsidRPr="00A21639">
              <w:rPr>
                <w:rFonts w:ascii="Times New Roman" w:hAnsi="Times New Roman"/>
                <w:iCs/>
                <w:color w:val="000000"/>
                <w:sz w:val="16"/>
                <w:szCs w:val="16"/>
              </w:rPr>
              <w:t>the</w:t>
            </w:r>
            <w:proofErr w:type="spellEnd"/>
            <w:r w:rsidRPr="00A21639">
              <w:rPr>
                <w:rFonts w:ascii="Times New Roman" w:hAnsi="Times New Roman"/>
                <w:iCs/>
                <w:color w:val="000000"/>
                <w:sz w:val="16"/>
                <w:szCs w:val="16"/>
              </w:rPr>
              <w:t xml:space="preserve"> </w:t>
            </w:r>
            <w:proofErr w:type="spellStart"/>
            <w:r w:rsidRPr="00A21639">
              <w:rPr>
                <w:rFonts w:ascii="Times New Roman" w:hAnsi="Times New Roman"/>
                <w:iCs/>
                <w:color w:val="000000"/>
                <w:sz w:val="16"/>
                <w:szCs w:val="16"/>
              </w:rPr>
              <w:t>date</w:t>
            </w:r>
            <w:proofErr w:type="spellEnd"/>
            <w:r w:rsidRPr="00A21639">
              <w:rPr>
                <w:rFonts w:ascii="Times New Roman" w:hAnsi="Times New Roman"/>
                <w:iCs/>
                <w:color w:val="000000"/>
                <w:sz w:val="16"/>
                <w:szCs w:val="16"/>
              </w:rPr>
              <w:t xml:space="preserve"> </w:t>
            </w:r>
            <w:proofErr w:type="spellStart"/>
            <w:r w:rsidRPr="00A21639">
              <w:rPr>
                <w:rFonts w:ascii="Times New Roman" w:hAnsi="Times New Roman"/>
                <w:iCs/>
                <w:color w:val="000000"/>
                <w:sz w:val="16"/>
                <w:szCs w:val="16"/>
              </w:rPr>
              <w:t>of</w:t>
            </w:r>
            <w:proofErr w:type="spellEnd"/>
            <w:r w:rsidRPr="00A21639">
              <w:rPr>
                <w:rFonts w:ascii="Times New Roman" w:hAnsi="Times New Roman"/>
                <w:iCs/>
                <w:color w:val="000000"/>
                <w:sz w:val="16"/>
                <w:szCs w:val="16"/>
              </w:rPr>
              <w:t xml:space="preserve"> </w:t>
            </w:r>
            <w:proofErr w:type="spellStart"/>
            <w:r w:rsidRPr="00A21639">
              <w:rPr>
                <w:rFonts w:ascii="Times New Roman" w:hAnsi="Times New Roman"/>
                <w:iCs/>
                <w:color w:val="000000"/>
                <w:sz w:val="16"/>
                <w:szCs w:val="16"/>
              </w:rPr>
              <w:t>the</w:t>
            </w:r>
            <w:proofErr w:type="spellEnd"/>
            <w:r w:rsidRPr="00A21639">
              <w:rPr>
                <w:rFonts w:ascii="Times New Roman" w:hAnsi="Times New Roman"/>
                <w:iCs/>
                <w:color w:val="000000"/>
                <w:sz w:val="16"/>
                <w:szCs w:val="16"/>
              </w:rPr>
              <w:t xml:space="preserve"> </w:t>
            </w:r>
            <w:proofErr w:type="spellStart"/>
            <w:r w:rsidRPr="00A21639">
              <w:rPr>
                <w:rFonts w:ascii="Times New Roman" w:hAnsi="Times New Roman"/>
                <w:iCs/>
                <w:color w:val="000000"/>
                <w:sz w:val="16"/>
                <w:szCs w:val="16"/>
              </w:rPr>
              <w:t>change</w:t>
            </w:r>
            <w:proofErr w:type="spellEnd"/>
            <w:r w:rsidRPr="00A21639">
              <w:rPr>
                <w:rFonts w:ascii="Times New Roman" w:hAnsi="Times New Roman"/>
                <w:iCs/>
                <w:color w:val="000000"/>
                <w:sz w:val="16"/>
                <w:szCs w:val="16"/>
              </w:rPr>
              <w:t xml:space="preserve">, </w:t>
            </w:r>
            <w:proofErr w:type="spellStart"/>
            <w:r w:rsidRPr="00A21639">
              <w:rPr>
                <w:rFonts w:ascii="Times New Roman" w:hAnsi="Times New Roman"/>
                <w:iCs/>
                <w:color w:val="000000"/>
                <w:sz w:val="16"/>
                <w:szCs w:val="16"/>
              </w:rPr>
              <w:t>in</w:t>
            </w:r>
            <w:proofErr w:type="spellEnd"/>
            <w:r w:rsidRPr="00A21639">
              <w:rPr>
                <w:rFonts w:ascii="Times New Roman" w:hAnsi="Times New Roman"/>
                <w:iCs/>
                <w:color w:val="000000"/>
                <w:sz w:val="16"/>
                <w:szCs w:val="16"/>
              </w:rPr>
              <w:t xml:space="preserve"> </w:t>
            </w:r>
            <w:proofErr w:type="spellStart"/>
            <w:r w:rsidRPr="00A21639">
              <w:rPr>
                <w:rFonts w:ascii="Times New Roman" w:hAnsi="Times New Roman"/>
                <w:iCs/>
                <w:color w:val="000000"/>
                <w:sz w:val="16"/>
                <w:szCs w:val="16"/>
              </w:rPr>
              <w:t>the</w:t>
            </w:r>
            <w:proofErr w:type="spellEnd"/>
            <w:r w:rsidRPr="00A21639">
              <w:rPr>
                <w:rFonts w:ascii="Times New Roman" w:hAnsi="Times New Roman"/>
                <w:iCs/>
                <w:color w:val="000000"/>
                <w:sz w:val="16"/>
                <w:szCs w:val="16"/>
              </w:rPr>
              <w:t xml:space="preserve"> </w:t>
            </w:r>
            <w:proofErr w:type="spellStart"/>
            <w:r w:rsidRPr="00A21639">
              <w:rPr>
                <w:rFonts w:ascii="Times New Roman" w:hAnsi="Times New Roman"/>
                <w:iCs/>
                <w:color w:val="000000"/>
                <w:sz w:val="16"/>
                <w:szCs w:val="16"/>
              </w:rPr>
              <w:t>manner</w:t>
            </w:r>
            <w:proofErr w:type="spellEnd"/>
            <w:r w:rsidRPr="00A21639">
              <w:rPr>
                <w:rFonts w:ascii="Times New Roman" w:hAnsi="Times New Roman"/>
                <w:iCs/>
                <w:color w:val="000000"/>
                <w:sz w:val="16"/>
                <w:szCs w:val="16"/>
              </w:rPr>
              <w:t xml:space="preserve"> </w:t>
            </w:r>
            <w:proofErr w:type="spellStart"/>
            <w:r w:rsidRPr="00A21639">
              <w:rPr>
                <w:rFonts w:ascii="Times New Roman" w:hAnsi="Times New Roman"/>
                <w:iCs/>
                <w:color w:val="000000"/>
                <w:sz w:val="16"/>
                <w:szCs w:val="16"/>
              </w:rPr>
              <w:t>prescribed</w:t>
            </w:r>
            <w:proofErr w:type="spellEnd"/>
            <w:r w:rsidRPr="00A21639">
              <w:rPr>
                <w:rFonts w:ascii="Times New Roman" w:hAnsi="Times New Roman"/>
                <w:iCs/>
                <w:color w:val="000000"/>
                <w:sz w:val="16"/>
                <w:szCs w:val="16"/>
              </w:rPr>
              <w:t xml:space="preserve"> </w:t>
            </w:r>
            <w:proofErr w:type="spellStart"/>
            <w:r w:rsidRPr="00A21639">
              <w:rPr>
                <w:rFonts w:ascii="Times New Roman" w:hAnsi="Times New Roman"/>
                <w:iCs/>
                <w:color w:val="000000"/>
                <w:sz w:val="16"/>
                <w:szCs w:val="16"/>
              </w:rPr>
              <w:t>by</w:t>
            </w:r>
            <w:proofErr w:type="spellEnd"/>
            <w:r w:rsidRPr="00A21639">
              <w:rPr>
                <w:rFonts w:ascii="Times New Roman" w:hAnsi="Times New Roman"/>
                <w:iCs/>
                <w:color w:val="000000"/>
                <w:sz w:val="16"/>
                <w:szCs w:val="16"/>
              </w:rPr>
              <w:t xml:space="preserve"> </w:t>
            </w:r>
            <w:proofErr w:type="spellStart"/>
            <w:r w:rsidRPr="00A21639">
              <w:rPr>
                <w:rFonts w:ascii="Times New Roman" w:hAnsi="Times New Roman"/>
                <w:iCs/>
                <w:color w:val="000000"/>
                <w:sz w:val="16"/>
                <w:szCs w:val="16"/>
              </w:rPr>
              <w:t>law</w:t>
            </w:r>
            <w:proofErr w:type="spellEnd"/>
            <w:r w:rsidRPr="00A21639">
              <w:rPr>
                <w:rFonts w:ascii="Times New Roman" w:hAnsi="Times New Roman"/>
                <w:iCs/>
                <w:color w:val="000000"/>
                <w:sz w:val="16"/>
                <w:szCs w:val="16"/>
              </w:rPr>
              <w:t xml:space="preserve"> </w:t>
            </w:r>
            <w:proofErr w:type="spellStart"/>
            <w:r w:rsidRPr="00A21639">
              <w:rPr>
                <w:rFonts w:ascii="Times New Roman" w:hAnsi="Times New Roman"/>
                <w:iCs/>
                <w:color w:val="000000"/>
                <w:sz w:val="16"/>
                <w:szCs w:val="16"/>
              </w:rPr>
              <w:t>and</w:t>
            </w:r>
            <w:proofErr w:type="spellEnd"/>
            <w:r w:rsidRPr="00A21639">
              <w:rPr>
                <w:rFonts w:ascii="Times New Roman" w:hAnsi="Times New Roman"/>
                <w:iCs/>
                <w:color w:val="000000"/>
                <w:sz w:val="16"/>
                <w:szCs w:val="16"/>
              </w:rPr>
              <w:t xml:space="preserve"> </w:t>
            </w:r>
            <w:proofErr w:type="spellStart"/>
            <w:r w:rsidRPr="00A21639">
              <w:rPr>
                <w:rFonts w:ascii="Times New Roman" w:hAnsi="Times New Roman"/>
                <w:iCs/>
                <w:color w:val="000000"/>
                <w:sz w:val="16"/>
                <w:szCs w:val="16"/>
              </w:rPr>
              <w:t>internal</w:t>
            </w:r>
            <w:proofErr w:type="spellEnd"/>
            <w:r w:rsidRPr="00A21639">
              <w:rPr>
                <w:rFonts w:ascii="Times New Roman" w:hAnsi="Times New Roman"/>
                <w:iCs/>
                <w:color w:val="000000"/>
                <w:sz w:val="16"/>
                <w:szCs w:val="16"/>
              </w:rPr>
              <w:t xml:space="preserve"> </w:t>
            </w:r>
            <w:proofErr w:type="spellStart"/>
            <w:r w:rsidRPr="00A21639">
              <w:rPr>
                <w:rFonts w:ascii="Times New Roman" w:hAnsi="Times New Roman"/>
                <w:iCs/>
                <w:color w:val="000000"/>
                <w:sz w:val="16"/>
                <w:szCs w:val="16"/>
              </w:rPr>
              <w:t>documents</w:t>
            </w:r>
            <w:proofErr w:type="spellEnd"/>
            <w:r w:rsidRPr="00A21639">
              <w:rPr>
                <w:rFonts w:ascii="Times New Roman" w:hAnsi="Times New Roman"/>
                <w:iCs/>
                <w:color w:val="000000"/>
                <w:sz w:val="16"/>
                <w:szCs w:val="16"/>
              </w:rPr>
              <w:t xml:space="preserve"> </w:t>
            </w:r>
            <w:proofErr w:type="spellStart"/>
            <w:r w:rsidRPr="00A21639">
              <w:rPr>
                <w:rFonts w:ascii="Times New Roman" w:hAnsi="Times New Roman"/>
                <w:iCs/>
                <w:color w:val="000000"/>
                <w:sz w:val="16"/>
                <w:szCs w:val="16"/>
              </w:rPr>
              <w:t>of</w:t>
            </w:r>
            <w:proofErr w:type="spellEnd"/>
            <w:r w:rsidRPr="00A21639">
              <w:rPr>
                <w:rFonts w:ascii="Times New Roman" w:hAnsi="Times New Roman"/>
                <w:iCs/>
                <w:color w:val="000000"/>
                <w:sz w:val="16"/>
                <w:szCs w:val="16"/>
              </w:rPr>
              <w:t xml:space="preserve"> </w:t>
            </w:r>
            <w:proofErr w:type="spellStart"/>
            <w:r w:rsidRPr="00A21639">
              <w:rPr>
                <w:rFonts w:ascii="Times New Roman" w:hAnsi="Times New Roman"/>
                <w:iCs/>
                <w:color w:val="000000"/>
                <w:sz w:val="16"/>
                <w:szCs w:val="16"/>
              </w:rPr>
              <w:t>the</w:t>
            </w:r>
            <w:proofErr w:type="spellEnd"/>
            <w:r w:rsidRPr="00A21639">
              <w:rPr>
                <w:rFonts w:ascii="Times New Roman" w:hAnsi="Times New Roman"/>
                <w:iCs/>
                <w:color w:val="000000"/>
                <w:sz w:val="16"/>
                <w:szCs w:val="16"/>
              </w:rPr>
              <w:t xml:space="preserve"> </w:t>
            </w:r>
            <w:proofErr w:type="spellStart"/>
            <w:r w:rsidRPr="00A21639">
              <w:rPr>
                <w:rFonts w:ascii="Times New Roman" w:hAnsi="Times New Roman"/>
                <w:iCs/>
                <w:color w:val="000000"/>
                <w:sz w:val="16"/>
                <w:szCs w:val="16"/>
              </w:rPr>
              <w:t>Depository</w:t>
            </w:r>
            <w:proofErr w:type="spellEnd"/>
            <w:r w:rsidRPr="00A21639">
              <w:rPr>
                <w:rFonts w:ascii="Times New Roman" w:hAnsi="Times New Roman"/>
                <w:iCs/>
                <w:color w:val="000000"/>
                <w:sz w:val="16"/>
                <w:szCs w:val="16"/>
              </w:rPr>
              <w:t>.</w:t>
            </w:r>
          </w:p>
          <w:p w14:paraId="11DE8060" w14:textId="07B10D9D" w:rsidR="00427890" w:rsidRPr="00E16672" w:rsidRDefault="00A21639" w:rsidP="00A21639">
            <w:pPr>
              <w:pStyle w:val="210"/>
              <w:tabs>
                <w:tab w:val="left" w:pos="287"/>
                <w:tab w:val="left" w:pos="1191"/>
              </w:tabs>
              <w:snapToGrid w:val="0"/>
              <w:ind w:left="145" w:right="100" w:firstLine="0"/>
              <w:rPr>
                <w:rFonts w:ascii="Times New Roman" w:hAnsi="Times New Roman"/>
                <w:color w:val="000000"/>
                <w:sz w:val="16"/>
                <w:szCs w:val="16"/>
                <w:lang w:val="en-US"/>
              </w:rPr>
            </w:pPr>
            <w:proofErr w:type="spellStart"/>
            <w:r w:rsidRPr="00A21639">
              <w:rPr>
                <w:rFonts w:ascii="Times New Roman" w:hAnsi="Times New Roman"/>
                <w:iCs/>
                <w:color w:val="000000"/>
                <w:sz w:val="16"/>
                <w:szCs w:val="16"/>
              </w:rPr>
              <w:t>Messages</w:t>
            </w:r>
            <w:proofErr w:type="spellEnd"/>
            <w:r w:rsidRPr="00A21639">
              <w:rPr>
                <w:rFonts w:ascii="Times New Roman" w:hAnsi="Times New Roman"/>
                <w:iCs/>
                <w:color w:val="000000"/>
                <w:sz w:val="16"/>
                <w:szCs w:val="16"/>
              </w:rPr>
              <w:t xml:space="preserve"> </w:t>
            </w:r>
            <w:proofErr w:type="spellStart"/>
            <w:r w:rsidRPr="00A21639">
              <w:rPr>
                <w:rFonts w:ascii="Times New Roman" w:hAnsi="Times New Roman"/>
                <w:iCs/>
                <w:color w:val="000000"/>
                <w:sz w:val="16"/>
                <w:szCs w:val="16"/>
              </w:rPr>
              <w:t>and</w:t>
            </w:r>
            <w:proofErr w:type="spellEnd"/>
            <w:r w:rsidRPr="00A21639">
              <w:rPr>
                <w:rFonts w:ascii="Times New Roman" w:hAnsi="Times New Roman"/>
                <w:iCs/>
                <w:color w:val="000000"/>
                <w:sz w:val="16"/>
                <w:szCs w:val="16"/>
              </w:rPr>
              <w:t xml:space="preserve"> </w:t>
            </w:r>
            <w:proofErr w:type="spellStart"/>
            <w:r w:rsidRPr="00A21639">
              <w:rPr>
                <w:rFonts w:ascii="Times New Roman" w:hAnsi="Times New Roman"/>
                <w:iCs/>
                <w:color w:val="000000"/>
                <w:sz w:val="16"/>
                <w:szCs w:val="16"/>
              </w:rPr>
              <w:t>documents</w:t>
            </w:r>
            <w:proofErr w:type="spellEnd"/>
            <w:r w:rsidRPr="00A21639">
              <w:rPr>
                <w:rFonts w:ascii="Times New Roman" w:hAnsi="Times New Roman"/>
                <w:iCs/>
                <w:color w:val="000000"/>
                <w:sz w:val="16"/>
                <w:szCs w:val="16"/>
              </w:rPr>
              <w:t xml:space="preserve"> </w:t>
            </w:r>
            <w:proofErr w:type="spellStart"/>
            <w:r w:rsidRPr="00A21639">
              <w:rPr>
                <w:rFonts w:ascii="Times New Roman" w:hAnsi="Times New Roman"/>
                <w:iCs/>
                <w:color w:val="000000"/>
                <w:sz w:val="16"/>
                <w:szCs w:val="16"/>
              </w:rPr>
              <w:t>can</w:t>
            </w:r>
            <w:proofErr w:type="spellEnd"/>
            <w:r w:rsidRPr="00A21639">
              <w:rPr>
                <w:rFonts w:ascii="Times New Roman" w:hAnsi="Times New Roman"/>
                <w:iCs/>
                <w:color w:val="000000"/>
                <w:sz w:val="16"/>
                <w:szCs w:val="16"/>
              </w:rPr>
              <w:t xml:space="preserve"> </w:t>
            </w:r>
            <w:proofErr w:type="spellStart"/>
            <w:r w:rsidRPr="00A21639">
              <w:rPr>
                <w:rFonts w:ascii="Times New Roman" w:hAnsi="Times New Roman"/>
                <w:iCs/>
                <w:color w:val="000000"/>
                <w:sz w:val="16"/>
                <w:szCs w:val="16"/>
              </w:rPr>
              <w:t>be</w:t>
            </w:r>
            <w:proofErr w:type="spellEnd"/>
            <w:r w:rsidRPr="00A21639">
              <w:rPr>
                <w:rFonts w:ascii="Times New Roman" w:hAnsi="Times New Roman"/>
                <w:iCs/>
                <w:color w:val="000000"/>
                <w:sz w:val="16"/>
                <w:szCs w:val="16"/>
              </w:rPr>
              <w:t xml:space="preserve"> </w:t>
            </w:r>
            <w:proofErr w:type="spellStart"/>
            <w:r w:rsidRPr="00A21639">
              <w:rPr>
                <w:rFonts w:ascii="Times New Roman" w:hAnsi="Times New Roman"/>
                <w:iCs/>
                <w:color w:val="000000"/>
                <w:sz w:val="16"/>
                <w:szCs w:val="16"/>
              </w:rPr>
              <w:t>provided</w:t>
            </w:r>
            <w:proofErr w:type="spellEnd"/>
            <w:r w:rsidRPr="00A21639">
              <w:rPr>
                <w:rFonts w:ascii="Times New Roman" w:hAnsi="Times New Roman"/>
                <w:iCs/>
                <w:color w:val="000000"/>
                <w:sz w:val="16"/>
                <w:szCs w:val="16"/>
              </w:rPr>
              <w:t xml:space="preserve"> </w:t>
            </w:r>
            <w:proofErr w:type="spellStart"/>
            <w:r w:rsidRPr="00A21639">
              <w:rPr>
                <w:rFonts w:ascii="Times New Roman" w:hAnsi="Times New Roman"/>
                <w:iCs/>
                <w:color w:val="000000"/>
                <w:sz w:val="16"/>
                <w:szCs w:val="16"/>
              </w:rPr>
              <w:t>in</w:t>
            </w:r>
            <w:proofErr w:type="spellEnd"/>
            <w:r w:rsidRPr="00A21639">
              <w:rPr>
                <w:rFonts w:ascii="Times New Roman" w:hAnsi="Times New Roman"/>
                <w:iCs/>
                <w:color w:val="000000"/>
                <w:sz w:val="16"/>
                <w:szCs w:val="16"/>
              </w:rPr>
              <w:t xml:space="preserve"> </w:t>
            </w:r>
            <w:proofErr w:type="spellStart"/>
            <w:r w:rsidRPr="00A21639">
              <w:rPr>
                <w:rFonts w:ascii="Times New Roman" w:hAnsi="Times New Roman"/>
                <w:iCs/>
                <w:color w:val="000000"/>
                <w:sz w:val="16"/>
                <w:szCs w:val="16"/>
              </w:rPr>
              <w:t>person</w:t>
            </w:r>
            <w:proofErr w:type="spellEnd"/>
            <w:r w:rsidRPr="00A21639">
              <w:rPr>
                <w:rFonts w:ascii="Times New Roman" w:hAnsi="Times New Roman"/>
                <w:iCs/>
                <w:color w:val="000000"/>
                <w:sz w:val="16"/>
                <w:szCs w:val="16"/>
              </w:rPr>
              <w:t xml:space="preserve">, </w:t>
            </w:r>
            <w:proofErr w:type="spellStart"/>
            <w:r w:rsidRPr="00A21639">
              <w:rPr>
                <w:rFonts w:ascii="Times New Roman" w:hAnsi="Times New Roman"/>
                <w:iCs/>
                <w:color w:val="000000"/>
                <w:sz w:val="16"/>
                <w:szCs w:val="16"/>
              </w:rPr>
              <w:t>by</w:t>
            </w:r>
            <w:proofErr w:type="spellEnd"/>
            <w:r w:rsidRPr="00A21639">
              <w:rPr>
                <w:rFonts w:ascii="Times New Roman" w:hAnsi="Times New Roman"/>
                <w:iCs/>
                <w:color w:val="000000"/>
                <w:sz w:val="16"/>
                <w:szCs w:val="16"/>
              </w:rPr>
              <w:t xml:space="preserve"> </w:t>
            </w:r>
            <w:proofErr w:type="spellStart"/>
            <w:r w:rsidRPr="00A21639">
              <w:rPr>
                <w:rFonts w:ascii="Times New Roman" w:hAnsi="Times New Roman"/>
                <w:iCs/>
                <w:color w:val="000000"/>
                <w:sz w:val="16"/>
                <w:szCs w:val="16"/>
              </w:rPr>
              <w:t>mail</w:t>
            </w:r>
            <w:proofErr w:type="spellEnd"/>
            <w:r w:rsidRPr="00A21639">
              <w:rPr>
                <w:rFonts w:ascii="Times New Roman" w:hAnsi="Times New Roman"/>
                <w:iCs/>
                <w:color w:val="000000"/>
                <w:sz w:val="16"/>
                <w:szCs w:val="16"/>
              </w:rPr>
              <w:t xml:space="preserve">, </w:t>
            </w:r>
            <w:proofErr w:type="spellStart"/>
            <w:r w:rsidRPr="00A21639">
              <w:rPr>
                <w:rFonts w:ascii="Times New Roman" w:hAnsi="Times New Roman"/>
                <w:iCs/>
                <w:color w:val="000000"/>
                <w:sz w:val="16"/>
                <w:szCs w:val="16"/>
              </w:rPr>
              <w:t>by</w:t>
            </w:r>
            <w:proofErr w:type="spellEnd"/>
            <w:r w:rsidRPr="00A21639">
              <w:rPr>
                <w:rFonts w:ascii="Times New Roman" w:hAnsi="Times New Roman"/>
                <w:iCs/>
                <w:color w:val="000000"/>
                <w:sz w:val="16"/>
                <w:szCs w:val="16"/>
              </w:rPr>
              <w:t xml:space="preserve"> </w:t>
            </w:r>
            <w:proofErr w:type="spellStart"/>
            <w:r w:rsidRPr="00A21639">
              <w:rPr>
                <w:rFonts w:ascii="Times New Roman" w:hAnsi="Times New Roman"/>
                <w:iCs/>
                <w:color w:val="000000"/>
                <w:sz w:val="16"/>
                <w:szCs w:val="16"/>
              </w:rPr>
              <w:t>courier</w:t>
            </w:r>
            <w:proofErr w:type="spellEnd"/>
            <w:r w:rsidRPr="00A21639">
              <w:rPr>
                <w:rFonts w:ascii="Times New Roman" w:hAnsi="Times New Roman"/>
                <w:iCs/>
                <w:color w:val="000000"/>
                <w:sz w:val="16"/>
                <w:szCs w:val="16"/>
              </w:rPr>
              <w:t>.</w:t>
            </w:r>
          </w:p>
        </w:tc>
      </w:tr>
      <w:tr w:rsidR="00A21639" w:rsidRPr="00A21639" w14:paraId="040C932E" w14:textId="77777777" w:rsidTr="00D77858">
        <w:tblPrEx>
          <w:tblCellMar>
            <w:left w:w="0" w:type="dxa"/>
            <w:right w:w="0" w:type="dxa"/>
          </w:tblCellMar>
        </w:tblPrEx>
        <w:trPr>
          <w:trHeight w:val="192"/>
        </w:trPr>
        <w:tc>
          <w:tcPr>
            <w:tcW w:w="5696" w:type="dxa"/>
            <w:gridSpan w:val="6"/>
            <w:shd w:val="clear" w:color="auto" w:fill="auto"/>
          </w:tcPr>
          <w:p w14:paraId="41629CFB" w14:textId="453BE6D2" w:rsidR="00A21639" w:rsidRPr="00E16672" w:rsidRDefault="00A21639" w:rsidP="00547A75">
            <w:pPr>
              <w:suppressAutoHyphens w:val="0"/>
              <w:ind w:left="40" w:right="138" w:firstLine="0"/>
              <w:rPr>
                <w:rFonts w:ascii="Times New Roman" w:hAnsi="Times New Roman"/>
                <w:iCs/>
                <w:color w:val="000000"/>
                <w:sz w:val="16"/>
                <w:szCs w:val="16"/>
                <w:lang w:val="uk-UA" w:eastAsia="ru-RU"/>
              </w:rPr>
            </w:pPr>
            <w:r w:rsidRPr="00A21639">
              <w:rPr>
                <w:rFonts w:ascii="Times New Roman" w:hAnsi="Times New Roman"/>
                <w:iCs/>
                <w:color w:val="000000"/>
                <w:sz w:val="16"/>
                <w:szCs w:val="16"/>
                <w:lang w:val="uk-UA" w:eastAsia="ru-RU"/>
              </w:rPr>
              <w:t xml:space="preserve">2.3.11. Надавати на запит депозитарної установи інформацію та документи про власний статус податкового </w:t>
            </w:r>
            <w:proofErr w:type="spellStart"/>
            <w:r w:rsidRPr="00A21639">
              <w:rPr>
                <w:rFonts w:ascii="Times New Roman" w:hAnsi="Times New Roman"/>
                <w:iCs/>
                <w:color w:val="000000"/>
                <w:sz w:val="16"/>
                <w:szCs w:val="16"/>
                <w:lang w:val="uk-UA" w:eastAsia="ru-RU"/>
              </w:rPr>
              <w:t>резидентства</w:t>
            </w:r>
            <w:proofErr w:type="spellEnd"/>
            <w:r w:rsidRPr="00A21639">
              <w:rPr>
                <w:rFonts w:ascii="Times New Roman" w:hAnsi="Times New Roman"/>
                <w:iCs/>
                <w:color w:val="000000"/>
                <w:sz w:val="16"/>
                <w:szCs w:val="16"/>
                <w:lang w:val="uk-UA" w:eastAsia="ru-RU"/>
              </w:rPr>
              <w:t>, а також іншу інформацію і документи, необхідні для звітності за підзвітними рахунками, у тому числі пояснення та інформацію, що стосуються наявної у депозитарної установи обґрунтованої, документально підтвердженої підозри, що рахунок у цінних паперах належить до підзвітних.</w:t>
            </w:r>
          </w:p>
        </w:tc>
        <w:tc>
          <w:tcPr>
            <w:tcW w:w="5494" w:type="dxa"/>
            <w:gridSpan w:val="7"/>
            <w:shd w:val="clear" w:color="auto" w:fill="auto"/>
          </w:tcPr>
          <w:p w14:paraId="7F2D330E" w14:textId="096355A6" w:rsidR="00A21639" w:rsidRPr="00E16672" w:rsidRDefault="00A21639" w:rsidP="00B7169F">
            <w:pPr>
              <w:pStyle w:val="210"/>
              <w:tabs>
                <w:tab w:val="left" w:pos="287"/>
                <w:tab w:val="left" w:pos="1191"/>
              </w:tabs>
              <w:snapToGrid w:val="0"/>
              <w:ind w:left="145" w:right="100" w:firstLine="0"/>
              <w:rPr>
                <w:rFonts w:ascii="Times New Roman" w:hAnsi="Times New Roman"/>
                <w:iCs/>
                <w:color w:val="000000"/>
                <w:sz w:val="16"/>
                <w:szCs w:val="16"/>
              </w:rPr>
            </w:pPr>
            <w:r w:rsidRPr="00A21639">
              <w:rPr>
                <w:rFonts w:ascii="Times New Roman" w:hAnsi="Times New Roman"/>
                <w:iCs/>
                <w:color w:val="000000"/>
                <w:sz w:val="16"/>
                <w:szCs w:val="16"/>
              </w:rPr>
              <w:t xml:space="preserve">2.3.11. </w:t>
            </w:r>
            <w:proofErr w:type="spellStart"/>
            <w:r w:rsidRPr="00A21639">
              <w:rPr>
                <w:rFonts w:ascii="Times New Roman" w:hAnsi="Times New Roman"/>
                <w:iCs/>
                <w:color w:val="000000"/>
                <w:sz w:val="16"/>
                <w:szCs w:val="16"/>
              </w:rPr>
              <w:t>Provide</w:t>
            </w:r>
            <w:proofErr w:type="spellEnd"/>
            <w:r w:rsidRPr="00A21639">
              <w:rPr>
                <w:rFonts w:ascii="Times New Roman" w:hAnsi="Times New Roman"/>
                <w:iCs/>
                <w:color w:val="000000"/>
                <w:sz w:val="16"/>
                <w:szCs w:val="16"/>
              </w:rPr>
              <w:t xml:space="preserve">, </w:t>
            </w:r>
            <w:proofErr w:type="spellStart"/>
            <w:r w:rsidRPr="00A21639">
              <w:rPr>
                <w:rFonts w:ascii="Times New Roman" w:hAnsi="Times New Roman"/>
                <w:iCs/>
                <w:color w:val="000000"/>
                <w:sz w:val="16"/>
                <w:szCs w:val="16"/>
              </w:rPr>
              <w:t>at</w:t>
            </w:r>
            <w:proofErr w:type="spellEnd"/>
            <w:r w:rsidRPr="00A21639">
              <w:rPr>
                <w:rFonts w:ascii="Times New Roman" w:hAnsi="Times New Roman"/>
                <w:iCs/>
                <w:color w:val="000000"/>
                <w:sz w:val="16"/>
                <w:szCs w:val="16"/>
              </w:rPr>
              <w:t xml:space="preserve"> </w:t>
            </w:r>
            <w:proofErr w:type="spellStart"/>
            <w:r w:rsidRPr="00A21639">
              <w:rPr>
                <w:rFonts w:ascii="Times New Roman" w:hAnsi="Times New Roman"/>
                <w:iCs/>
                <w:color w:val="000000"/>
                <w:sz w:val="16"/>
                <w:szCs w:val="16"/>
              </w:rPr>
              <w:t>the</w:t>
            </w:r>
            <w:proofErr w:type="spellEnd"/>
            <w:r w:rsidRPr="00A21639">
              <w:rPr>
                <w:rFonts w:ascii="Times New Roman" w:hAnsi="Times New Roman"/>
                <w:iCs/>
                <w:color w:val="000000"/>
                <w:sz w:val="16"/>
                <w:szCs w:val="16"/>
              </w:rPr>
              <w:t xml:space="preserve"> </w:t>
            </w:r>
            <w:proofErr w:type="spellStart"/>
            <w:r w:rsidRPr="00A21639">
              <w:rPr>
                <w:rFonts w:ascii="Times New Roman" w:hAnsi="Times New Roman"/>
                <w:iCs/>
                <w:color w:val="000000"/>
                <w:sz w:val="16"/>
                <w:szCs w:val="16"/>
              </w:rPr>
              <w:t>request</w:t>
            </w:r>
            <w:proofErr w:type="spellEnd"/>
            <w:r w:rsidRPr="00A21639">
              <w:rPr>
                <w:rFonts w:ascii="Times New Roman" w:hAnsi="Times New Roman"/>
                <w:iCs/>
                <w:color w:val="000000"/>
                <w:sz w:val="16"/>
                <w:szCs w:val="16"/>
              </w:rPr>
              <w:t xml:space="preserve"> </w:t>
            </w:r>
            <w:proofErr w:type="spellStart"/>
            <w:r w:rsidRPr="00A21639">
              <w:rPr>
                <w:rFonts w:ascii="Times New Roman" w:hAnsi="Times New Roman"/>
                <w:iCs/>
                <w:color w:val="000000"/>
                <w:sz w:val="16"/>
                <w:szCs w:val="16"/>
              </w:rPr>
              <w:t>of</w:t>
            </w:r>
            <w:proofErr w:type="spellEnd"/>
            <w:r w:rsidRPr="00A21639">
              <w:rPr>
                <w:rFonts w:ascii="Times New Roman" w:hAnsi="Times New Roman"/>
                <w:iCs/>
                <w:color w:val="000000"/>
                <w:sz w:val="16"/>
                <w:szCs w:val="16"/>
              </w:rPr>
              <w:t xml:space="preserve"> </w:t>
            </w:r>
            <w:proofErr w:type="spellStart"/>
            <w:r w:rsidRPr="00A21639">
              <w:rPr>
                <w:rFonts w:ascii="Times New Roman" w:hAnsi="Times New Roman"/>
                <w:iCs/>
                <w:color w:val="000000"/>
                <w:sz w:val="16"/>
                <w:szCs w:val="16"/>
              </w:rPr>
              <w:t>the</w:t>
            </w:r>
            <w:proofErr w:type="spellEnd"/>
            <w:r w:rsidRPr="00A21639">
              <w:rPr>
                <w:rFonts w:ascii="Times New Roman" w:hAnsi="Times New Roman"/>
                <w:iCs/>
                <w:color w:val="000000"/>
                <w:sz w:val="16"/>
                <w:szCs w:val="16"/>
              </w:rPr>
              <w:t xml:space="preserve"> </w:t>
            </w:r>
            <w:proofErr w:type="spellStart"/>
            <w:r w:rsidRPr="00A21639">
              <w:rPr>
                <w:rFonts w:ascii="Times New Roman" w:hAnsi="Times New Roman"/>
                <w:iCs/>
                <w:color w:val="000000"/>
                <w:sz w:val="16"/>
                <w:szCs w:val="16"/>
              </w:rPr>
              <w:t>depository</w:t>
            </w:r>
            <w:proofErr w:type="spellEnd"/>
            <w:r w:rsidRPr="00A21639">
              <w:rPr>
                <w:rFonts w:ascii="Times New Roman" w:hAnsi="Times New Roman"/>
                <w:iCs/>
                <w:color w:val="000000"/>
                <w:sz w:val="16"/>
                <w:szCs w:val="16"/>
              </w:rPr>
              <w:t xml:space="preserve"> </w:t>
            </w:r>
            <w:proofErr w:type="spellStart"/>
            <w:r w:rsidRPr="00A21639">
              <w:rPr>
                <w:rFonts w:ascii="Times New Roman" w:hAnsi="Times New Roman"/>
                <w:iCs/>
                <w:color w:val="000000"/>
                <w:sz w:val="16"/>
                <w:szCs w:val="16"/>
              </w:rPr>
              <w:t>institution</w:t>
            </w:r>
            <w:proofErr w:type="spellEnd"/>
            <w:r w:rsidRPr="00A21639">
              <w:rPr>
                <w:rFonts w:ascii="Times New Roman" w:hAnsi="Times New Roman"/>
                <w:iCs/>
                <w:color w:val="000000"/>
                <w:sz w:val="16"/>
                <w:szCs w:val="16"/>
              </w:rPr>
              <w:t xml:space="preserve">, </w:t>
            </w:r>
            <w:proofErr w:type="spellStart"/>
            <w:r w:rsidRPr="00A21639">
              <w:rPr>
                <w:rFonts w:ascii="Times New Roman" w:hAnsi="Times New Roman"/>
                <w:iCs/>
                <w:color w:val="000000"/>
                <w:sz w:val="16"/>
                <w:szCs w:val="16"/>
              </w:rPr>
              <w:t>information</w:t>
            </w:r>
            <w:proofErr w:type="spellEnd"/>
            <w:r w:rsidRPr="00A21639">
              <w:rPr>
                <w:rFonts w:ascii="Times New Roman" w:hAnsi="Times New Roman"/>
                <w:iCs/>
                <w:color w:val="000000"/>
                <w:sz w:val="16"/>
                <w:szCs w:val="16"/>
              </w:rPr>
              <w:t xml:space="preserve"> </w:t>
            </w:r>
            <w:proofErr w:type="spellStart"/>
            <w:r w:rsidRPr="00A21639">
              <w:rPr>
                <w:rFonts w:ascii="Times New Roman" w:hAnsi="Times New Roman"/>
                <w:iCs/>
                <w:color w:val="000000"/>
                <w:sz w:val="16"/>
                <w:szCs w:val="16"/>
              </w:rPr>
              <w:t>and</w:t>
            </w:r>
            <w:proofErr w:type="spellEnd"/>
            <w:r w:rsidRPr="00A21639">
              <w:rPr>
                <w:rFonts w:ascii="Times New Roman" w:hAnsi="Times New Roman"/>
                <w:iCs/>
                <w:color w:val="000000"/>
                <w:sz w:val="16"/>
                <w:szCs w:val="16"/>
              </w:rPr>
              <w:t xml:space="preserve"> </w:t>
            </w:r>
            <w:proofErr w:type="spellStart"/>
            <w:r w:rsidRPr="00A21639">
              <w:rPr>
                <w:rFonts w:ascii="Times New Roman" w:hAnsi="Times New Roman"/>
                <w:iCs/>
                <w:color w:val="000000"/>
                <w:sz w:val="16"/>
                <w:szCs w:val="16"/>
              </w:rPr>
              <w:t>documents</w:t>
            </w:r>
            <w:proofErr w:type="spellEnd"/>
            <w:r w:rsidRPr="00A21639">
              <w:rPr>
                <w:rFonts w:ascii="Times New Roman" w:hAnsi="Times New Roman"/>
                <w:iCs/>
                <w:color w:val="000000"/>
                <w:sz w:val="16"/>
                <w:szCs w:val="16"/>
              </w:rPr>
              <w:t xml:space="preserve"> </w:t>
            </w:r>
            <w:proofErr w:type="spellStart"/>
            <w:r w:rsidRPr="00A21639">
              <w:rPr>
                <w:rFonts w:ascii="Times New Roman" w:hAnsi="Times New Roman"/>
                <w:iCs/>
                <w:color w:val="000000"/>
                <w:sz w:val="16"/>
                <w:szCs w:val="16"/>
              </w:rPr>
              <w:t>on</w:t>
            </w:r>
            <w:proofErr w:type="spellEnd"/>
            <w:r w:rsidRPr="00A21639">
              <w:rPr>
                <w:rFonts w:ascii="Times New Roman" w:hAnsi="Times New Roman"/>
                <w:iCs/>
                <w:color w:val="000000"/>
                <w:sz w:val="16"/>
                <w:szCs w:val="16"/>
              </w:rPr>
              <w:t xml:space="preserve"> </w:t>
            </w:r>
            <w:proofErr w:type="spellStart"/>
            <w:r w:rsidRPr="00A21639">
              <w:rPr>
                <w:rFonts w:ascii="Times New Roman" w:hAnsi="Times New Roman"/>
                <w:iCs/>
                <w:color w:val="000000"/>
                <w:sz w:val="16"/>
                <w:szCs w:val="16"/>
              </w:rPr>
              <w:t>its</w:t>
            </w:r>
            <w:proofErr w:type="spellEnd"/>
            <w:r w:rsidRPr="00A21639">
              <w:rPr>
                <w:rFonts w:ascii="Times New Roman" w:hAnsi="Times New Roman"/>
                <w:iCs/>
                <w:color w:val="000000"/>
                <w:sz w:val="16"/>
                <w:szCs w:val="16"/>
              </w:rPr>
              <w:t xml:space="preserve"> </w:t>
            </w:r>
            <w:proofErr w:type="spellStart"/>
            <w:r w:rsidRPr="00A21639">
              <w:rPr>
                <w:rFonts w:ascii="Times New Roman" w:hAnsi="Times New Roman"/>
                <w:iCs/>
                <w:color w:val="000000"/>
                <w:sz w:val="16"/>
                <w:szCs w:val="16"/>
              </w:rPr>
              <w:t>own</w:t>
            </w:r>
            <w:proofErr w:type="spellEnd"/>
            <w:r w:rsidRPr="00A21639">
              <w:rPr>
                <w:rFonts w:ascii="Times New Roman" w:hAnsi="Times New Roman"/>
                <w:iCs/>
                <w:color w:val="000000"/>
                <w:sz w:val="16"/>
                <w:szCs w:val="16"/>
              </w:rPr>
              <w:t xml:space="preserve"> </w:t>
            </w:r>
            <w:proofErr w:type="spellStart"/>
            <w:r w:rsidRPr="00A21639">
              <w:rPr>
                <w:rFonts w:ascii="Times New Roman" w:hAnsi="Times New Roman"/>
                <w:iCs/>
                <w:color w:val="000000"/>
                <w:sz w:val="16"/>
                <w:szCs w:val="16"/>
              </w:rPr>
              <w:t>tax</w:t>
            </w:r>
            <w:proofErr w:type="spellEnd"/>
            <w:r w:rsidRPr="00A21639">
              <w:rPr>
                <w:rFonts w:ascii="Times New Roman" w:hAnsi="Times New Roman"/>
                <w:iCs/>
                <w:color w:val="000000"/>
                <w:sz w:val="16"/>
                <w:szCs w:val="16"/>
              </w:rPr>
              <w:t xml:space="preserve"> </w:t>
            </w:r>
            <w:proofErr w:type="spellStart"/>
            <w:r w:rsidRPr="00A21639">
              <w:rPr>
                <w:rFonts w:ascii="Times New Roman" w:hAnsi="Times New Roman"/>
                <w:iCs/>
                <w:color w:val="000000"/>
                <w:sz w:val="16"/>
                <w:szCs w:val="16"/>
              </w:rPr>
              <w:t>residency</w:t>
            </w:r>
            <w:proofErr w:type="spellEnd"/>
            <w:r w:rsidRPr="00A21639">
              <w:rPr>
                <w:rFonts w:ascii="Times New Roman" w:hAnsi="Times New Roman"/>
                <w:iCs/>
                <w:color w:val="000000"/>
                <w:sz w:val="16"/>
                <w:szCs w:val="16"/>
              </w:rPr>
              <w:t xml:space="preserve"> </w:t>
            </w:r>
            <w:proofErr w:type="spellStart"/>
            <w:r w:rsidRPr="00A21639">
              <w:rPr>
                <w:rFonts w:ascii="Times New Roman" w:hAnsi="Times New Roman"/>
                <w:iCs/>
                <w:color w:val="000000"/>
                <w:sz w:val="16"/>
                <w:szCs w:val="16"/>
              </w:rPr>
              <w:t>status</w:t>
            </w:r>
            <w:proofErr w:type="spellEnd"/>
            <w:r w:rsidRPr="00A21639">
              <w:rPr>
                <w:rFonts w:ascii="Times New Roman" w:hAnsi="Times New Roman"/>
                <w:iCs/>
                <w:color w:val="000000"/>
                <w:sz w:val="16"/>
                <w:szCs w:val="16"/>
              </w:rPr>
              <w:t xml:space="preserve">, </w:t>
            </w:r>
            <w:proofErr w:type="spellStart"/>
            <w:r w:rsidRPr="00A21639">
              <w:rPr>
                <w:rFonts w:ascii="Times New Roman" w:hAnsi="Times New Roman"/>
                <w:iCs/>
                <w:color w:val="000000"/>
                <w:sz w:val="16"/>
                <w:szCs w:val="16"/>
              </w:rPr>
              <w:t>as</w:t>
            </w:r>
            <w:proofErr w:type="spellEnd"/>
            <w:r w:rsidRPr="00A21639">
              <w:rPr>
                <w:rFonts w:ascii="Times New Roman" w:hAnsi="Times New Roman"/>
                <w:iCs/>
                <w:color w:val="000000"/>
                <w:sz w:val="16"/>
                <w:szCs w:val="16"/>
              </w:rPr>
              <w:t xml:space="preserve"> </w:t>
            </w:r>
            <w:proofErr w:type="spellStart"/>
            <w:r w:rsidRPr="00A21639">
              <w:rPr>
                <w:rFonts w:ascii="Times New Roman" w:hAnsi="Times New Roman"/>
                <w:iCs/>
                <w:color w:val="000000"/>
                <w:sz w:val="16"/>
                <w:szCs w:val="16"/>
              </w:rPr>
              <w:t>well</w:t>
            </w:r>
            <w:proofErr w:type="spellEnd"/>
            <w:r w:rsidRPr="00A21639">
              <w:rPr>
                <w:rFonts w:ascii="Times New Roman" w:hAnsi="Times New Roman"/>
                <w:iCs/>
                <w:color w:val="000000"/>
                <w:sz w:val="16"/>
                <w:szCs w:val="16"/>
              </w:rPr>
              <w:t xml:space="preserve"> </w:t>
            </w:r>
            <w:proofErr w:type="spellStart"/>
            <w:r w:rsidRPr="00A21639">
              <w:rPr>
                <w:rFonts w:ascii="Times New Roman" w:hAnsi="Times New Roman"/>
                <w:iCs/>
                <w:color w:val="000000"/>
                <w:sz w:val="16"/>
                <w:szCs w:val="16"/>
              </w:rPr>
              <w:t>as</w:t>
            </w:r>
            <w:proofErr w:type="spellEnd"/>
            <w:r w:rsidRPr="00A21639">
              <w:rPr>
                <w:rFonts w:ascii="Times New Roman" w:hAnsi="Times New Roman"/>
                <w:iCs/>
                <w:color w:val="000000"/>
                <w:sz w:val="16"/>
                <w:szCs w:val="16"/>
              </w:rPr>
              <w:t xml:space="preserve"> </w:t>
            </w:r>
            <w:proofErr w:type="spellStart"/>
            <w:r w:rsidRPr="00A21639">
              <w:rPr>
                <w:rFonts w:ascii="Times New Roman" w:hAnsi="Times New Roman"/>
                <w:iCs/>
                <w:color w:val="000000"/>
                <w:sz w:val="16"/>
                <w:szCs w:val="16"/>
              </w:rPr>
              <w:t>other</w:t>
            </w:r>
            <w:proofErr w:type="spellEnd"/>
            <w:r w:rsidRPr="00A21639">
              <w:rPr>
                <w:rFonts w:ascii="Times New Roman" w:hAnsi="Times New Roman"/>
                <w:iCs/>
                <w:color w:val="000000"/>
                <w:sz w:val="16"/>
                <w:szCs w:val="16"/>
              </w:rPr>
              <w:t xml:space="preserve"> </w:t>
            </w:r>
            <w:proofErr w:type="spellStart"/>
            <w:r w:rsidRPr="00A21639">
              <w:rPr>
                <w:rFonts w:ascii="Times New Roman" w:hAnsi="Times New Roman"/>
                <w:iCs/>
                <w:color w:val="000000"/>
                <w:sz w:val="16"/>
                <w:szCs w:val="16"/>
              </w:rPr>
              <w:t>information</w:t>
            </w:r>
            <w:proofErr w:type="spellEnd"/>
            <w:r w:rsidRPr="00A21639">
              <w:rPr>
                <w:rFonts w:ascii="Times New Roman" w:hAnsi="Times New Roman"/>
                <w:iCs/>
                <w:color w:val="000000"/>
                <w:sz w:val="16"/>
                <w:szCs w:val="16"/>
              </w:rPr>
              <w:t xml:space="preserve"> </w:t>
            </w:r>
            <w:proofErr w:type="spellStart"/>
            <w:r w:rsidRPr="00A21639">
              <w:rPr>
                <w:rFonts w:ascii="Times New Roman" w:hAnsi="Times New Roman"/>
                <w:iCs/>
                <w:color w:val="000000"/>
                <w:sz w:val="16"/>
                <w:szCs w:val="16"/>
              </w:rPr>
              <w:t>and</w:t>
            </w:r>
            <w:proofErr w:type="spellEnd"/>
            <w:r w:rsidRPr="00A21639">
              <w:rPr>
                <w:rFonts w:ascii="Times New Roman" w:hAnsi="Times New Roman"/>
                <w:iCs/>
                <w:color w:val="000000"/>
                <w:sz w:val="16"/>
                <w:szCs w:val="16"/>
              </w:rPr>
              <w:t xml:space="preserve"> </w:t>
            </w:r>
            <w:proofErr w:type="spellStart"/>
            <w:r w:rsidRPr="00A21639">
              <w:rPr>
                <w:rFonts w:ascii="Times New Roman" w:hAnsi="Times New Roman"/>
                <w:iCs/>
                <w:color w:val="000000"/>
                <w:sz w:val="16"/>
                <w:szCs w:val="16"/>
              </w:rPr>
              <w:t>documents</w:t>
            </w:r>
            <w:proofErr w:type="spellEnd"/>
            <w:r w:rsidRPr="00A21639">
              <w:rPr>
                <w:rFonts w:ascii="Times New Roman" w:hAnsi="Times New Roman"/>
                <w:iCs/>
                <w:color w:val="000000"/>
                <w:sz w:val="16"/>
                <w:szCs w:val="16"/>
              </w:rPr>
              <w:t xml:space="preserve"> </w:t>
            </w:r>
            <w:proofErr w:type="spellStart"/>
            <w:r w:rsidRPr="00A21639">
              <w:rPr>
                <w:rFonts w:ascii="Times New Roman" w:hAnsi="Times New Roman"/>
                <w:iCs/>
                <w:color w:val="000000"/>
                <w:sz w:val="16"/>
                <w:szCs w:val="16"/>
              </w:rPr>
              <w:t>required</w:t>
            </w:r>
            <w:proofErr w:type="spellEnd"/>
            <w:r w:rsidRPr="00A21639">
              <w:rPr>
                <w:rFonts w:ascii="Times New Roman" w:hAnsi="Times New Roman"/>
                <w:iCs/>
                <w:color w:val="000000"/>
                <w:sz w:val="16"/>
                <w:szCs w:val="16"/>
              </w:rPr>
              <w:t xml:space="preserve"> </w:t>
            </w:r>
            <w:proofErr w:type="spellStart"/>
            <w:r w:rsidRPr="00A21639">
              <w:rPr>
                <w:rFonts w:ascii="Times New Roman" w:hAnsi="Times New Roman"/>
                <w:iCs/>
                <w:color w:val="000000"/>
                <w:sz w:val="16"/>
                <w:szCs w:val="16"/>
              </w:rPr>
              <w:t>for</w:t>
            </w:r>
            <w:proofErr w:type="spellEnd"/>
            <w:r w:rsidRPr="00A21639">
              <w:rPr>
                <w:rFonts w:ascii="Times New Roman" w:hAnsi="Times New Roman"/>
                <w:iCs/>
                <w:color w:val="000000"/>
                <w:sz w:val="16"/>
                <w:szCs w:val="16"/>
              </w:rPr>
              <w:t xml:space="preserve"> </w:t>
            </w:r>
            <w:proofErr w:type="spellStart"/>
            <w:r w:rsidRPr="00A21639">
              <w:rPr>
                <w:rFonts w:ascii="Times New Roman" w:hAnsi="Times New Roman"/>
                <w:iCs/>
                <w:color w:val="000000"/>
                <w:sz w:val="16"/>
                <w:szCs w:val="16"/>
              </w:rPr>
              <w:t>reporting</w:t>
            </w:r>
            <w:proofErr w:type="spellEnd"/>
            <w:r w:rsidRPr="00A21639">
              <w:rPr>
                <w:rFonts w:ascii="Times New Roman" w:hAnsi="Times New Roman"/>
                <w:iCs/>
                <w:color w:val="000000"/>
                <w:sz w:val="16"/>
                <w:szCs w:val="16"/>
              </w:rPr>
              <w:t xml:space="preserve"> </w:t>
            </w:r>
            <w:proofErr w:type="spellStart"/>
            <w:r w:rsidRPr="00A21639">
              <w:rPr>
                <w:rFonts w:ascii="Times New Roman" w:hAnsi="Times New Roman"/>
                <w:iCs/>
                <w:color w:val="000000"/>
                <w:sz w:val="16"/>
                <w:szCs w:val="16"/>
              </w:rPr>
              <w:t>on</w:t>
            </w:r>
            <w:proofErr w:type="spellEnd"/>
            <w:r w:rsidRPr="00A21639">
              <w:rPr>
                <w:rFonts w:ascii="Times New Roman" w:hAnsi="Times New Roman"/>
                <w:iCs/>
                <w:color w:val="000000"/>
                <w:sz w:val="16"/>
                <w:szCs w:val="16"/>
              </w:rPr>
              <w:t xml:space="preserve"> </w:t>
            </w:r>
            <w:proofErr w:type="spellStart"/>
            <w:r w:rsidRPr="00A21639">
              <w:rPr>
                <w:rFonts w:ascii="Times New Roman" w:hAnsi="Times New Roman"/>
                <w:iCs/>
                <w:color w:val="000000"/>
                <w:sz w:val="16"/>
                <w:szCs w:val="16"/>
              </w:rPr>
              <w:t>accountable</w:t>
            </w:r>
            <w:proofErr w:type="spellEnd"/>
            <w:r w:rsidRPr="00A21639">
              <w:rPr>
                <w:rFonts w:ascii="Times New Roman" w:hAnsi="Times New Roman"/>
                <w:iCs/>
                <w:color w:val="000000"/>
                <w:sz w:val="16"/>
                <w:szCs w:val="16"/>
              </w:rPr>
              <w:t xml:space="preserve"> </w:t>
            </w:r>
            <w:proofErr w:type="spellStart"/>
            <w:r w:rsidRPr="00A21639">
              <w:rPr>
                <w:rFonts w:ascii="Times New Roman" w:hAnsi="Times New Roman"/>
                <w:iCs/>
                <w:color w:val="000000"/>
                <w:sz w:val="16"/>
                <w:szCs w:val="16"/>
              </w:rPr>
              <w:t>accounts</w:t>
            </w:r>
            <w:proofErr w:type="spellEnd"/>
            <w:r w:rsidRPr="00A21639">
              <w:rPr>
                <w:rFonts w:ascii="Times New Roman" w:hAnsi="Times New Roman"/>
                <w:iCs/>
                <w:color w:val="000000"/>
                <w:sz w:val="16"/>
                <w:szCs w:val="16"/>
              </w:rPr>
              <w:t xml:space="preserve">, </w:t>
            </w:r>
            <w:proofErr w:type="spellStart"/>
            <w:r w:rsidRPr="00A21639">
              <w:rPr>
                <w:rFonts w:ascii="Times New Roman" w:hAnsi="Times New Roman"/>
                <w:iCs/>
                <w:color w:val="000000"/>
                <w:sz w:val="16"/>
                <w:szCs w:val="16"/>
              </w:rPr>
              <w:t>including</w:t>
            </w:r>
            <w:proofErr w:type="spellEnd"/>
            <w:r w:rsidRPr="00A21639">
              <w:rPr>
                <w:rFonts w:ascii="Times New Roman" w:hAnsi="Times New Roman"/>
                <w:iCs/>
                <w:color w:val="000000"/>
                <w:sz w:val="16"/>
                <w:szCs w:val="16"/>
              </w:rPr>
              <w:t xml:space="preserve"> </w:t>
            </w:r>
            <w:proofErr w:type="spellStart"/>
            <w:r w:rsidRPr="00A21639">
              <w:rPr>
                <w:rFonts w:ascii="Times New Roman" w:hAnsi="Times New Roman"/>
                <w:iCs/>
                <w:color w:val="000000"/>
                <w:sz w:val="16"/>
                <w:szCs w:val="16"/>
              </w:rPr>
              <w:t>explanations</w:t>
            </w:r>
            <w:proofErr w:type="spellEnd"/>
            <w:r w:rsidRPr="00A21639">
              <w:rPr>
                <w:rFonts w:ascii="Times New Roman" w:hAnsi="Times New Roman"/>
                <w:iCs/>
                <w:color w:val="000000"/>
                <w:sz w:val="16"/>
                <w:szCs w:val="16"/>
              </w:rPr>
              <w:t xml:space="preserve"> </w:t>
            </w:r>
            <w:proofErr w:type="spellStart"/>
            <w:r w:rsidRPr="00A21639">
              <w:rPr>
                <w:rFonts w:ascii="Times New Roman" w:hAnsi="Times New Roman"/>
                <w:iCs/>
                <w:color w:val="000000"/>
                <w:sz w:val="16"/>
                <w:szCs w:val="16"/>
              </w:rPr>
              <w:t>and</w:t>
            </w:r>
            <w:proofErr w:type="spellEnd"/>
            <w:r w:rsidRPr="00A21639">
              <w:rPr>
                <w:rFonts w:ascii="Times New Roman" w:hAnsi="Times New Roman"/>
                <w:iCs/>
                <w:color w:val="000000"/>
                <w:sz w:val="16"/>
                <w:szCs w:val="16"/>
              </w:rPr>
              <w:t xml:space="preserve"> </w:t>
            </w:r>
            <w:proofErr w:type="spellStart"/>
            <w:r w:rsidRPr="00A21639">
              <w:rPr>
                <w:rFonts w:ascii="Times New Roman" w:hAnsi="Times New Roman"/>
                <w:iCs/>
                <w:color w:val="000000"/>
                <w:sz w:val="16"/>
                <w:szCs w:val="16"/>
              </w:rPr>
              <w:t>information</w:t>
            </w:r>
            <w:proofErr w:type="spellEnd"/>
            <w:r w:rsidRPr="00A21639">
              <w:rPr>
                <w:rFonts w:ascii="Times New Roman" w:hAnsi="Times New Roman"/>
                <w:iCs/>
                <w:color w:val="000000"/>
                <w:sz w:val="16"/>
                <w:szCs w:val="16"/>
              </w:rPr>
              <w:t xml:space="preserve"> </w:t>
            </w:r>
            <w:proofErr w:type="spellStart"/>
            <w:r w:rsidRPr="00A21639">
              <w:rPr>
                <w:rFonts w:ascii="Times New Roman" w:hAnsi="Times New Roman"/>
                <w:iCs/>
                <w:color w:val="000000"/>
                <w:sz w:val="16"/>
                <w:szCs w:val="16"/>
              </w:rPr>
              <w:t>there</w:t>
            </w:r>
            <w:proofErr w:type="spellEnd"/>
            <w:r w:rsidRPr="00A21639">
              <w:rPr>
                <w:rFonts w:ascii="Times New Roman" w:hAnsi="Times New Roman"/>
                <w:iCs/>
                <w:color w:val="000000"/>
                <w:sz w:val="16"/>
                <w:szCs w:val="16"/>
              </w:rPr>
              <w:t xml:space="preserve"> </w:t>
            </w:r>
            <w:proofErr w:type="spellStart"/>
            <w:r w:rsidRPr="00A21639">
              <w:rPr>
                <w:rFonts w:ascii="Times New Roman" w:hAnsi="Times New Roman"/>
                <w:iCs/>
                <w:color w:val="000000"/>
                <w:sz w:val="16"/>
                <w:szCs w:val="16"/>
              </w:rPr>
              <w:t>is</w:t>
            </w:r>
            <w:proofErr w:type="spellEnd"/>
            <w:r w:rsidRPr="00A21639">
              <w:rPr>
                <w:rFonts w:ascii="Times New Roman" w:hAnsi="Times New Roman"/>
                <w:iCs/>
                <w:color w:val="000000"/>
                <w:sz w:val="16"/>
                <w:szCs w:val="16"/>
              </w:rPr>
              <w:t xml:space="preserve"> a </w:t>
            </w:r>
            <w:proofErr w:type="spellStart"/>
            <w:r w:rsidRPr="00A21639">
              <w:rPr>
                <w:rFonts w:ascii="Times New Roman" w:hAnsi="Times New Roman"/>
                <w:iCs/>
                <w:color w:val="000000"/>
                <w:sz w:val="16"/>
                <w:szCs w:val="16"/>
              </w:rPr>
              <w:t>well-founded</w:t>
            </w:r>
            <w:proofErr w:type="spellEnd"/>
            <w:r w:rsidRPr="00A21639">
              <w:rPr>
                <w:rFonts w:ascii="Times New Roman" w:hAnsi="Times New Roman"/>
                <w:iCs/>
                <w:color w:val="000000"/>
                <w:sz w:val="16"/>
                <w:szCs w:val="16"/>
              </w:rPr>
              <w:t xml:space="preserve">, </w:t>
            </w:r>
            <w:proofErr w:type="spellStart"/>
            <w:r w:rsidRPr="00A21639">
              <w:rPr>
                <w:rFonts w:ascii="Times New Roman" w:hAnsi="Times New Roman"/>
                <w:iCs/>
                <w:color w:val="000000"/>
                <w:sz w:val="16"/>
                <w:szCs w:val="16"/>
              </w:rPr>
              <w:t>documented</w:t>
            </w:r>
            <w:proofErr w:type="spellEnd"/>
            <w:r w:rsidRPr="00A21639">
              <w:rPr>
                <w:rFonts w:ascii="Times New Roman" w:hAnsi="Times New Roman"/>
                <w:iCs/>
                <w:color w:val="000000"/>
                <w:sz w:val="16"/>
                <w:szCs w:val="16"/>
              </w:rPr>
              <w:t xml:space="preserve"> </w:t>
            </w:r>
            <w:proofErr w:type="spellStart"/>
            <w:r w:rsidRPr="00A21639">
              <w:rPr>
                <w:rFonts w:ascii="Times New Roman" w:hAnsi="Times New Roman"/>
                <w:iCs/>
                <w:color w:val="000000"/>
                <w:sz w:val="16"/>
                <w:szCs w:val="16"/>
              </w:rPr>
              <w:t>suspicion</w:t>
            </w:r>
            <w:proofErr w:type="spellEnd"/>
            <w:r w:rsidRPr="00A21639">
              <w:rPr>
                <w:rFonts w:ascii="Times New Roman" w:hAnsi="Times New Roman"/>
                <w:iCs/>
                <w:color w:val="000000"/>
                <w:sz w:val="16"/>
                <w:szCs w:val="16"/>
              </w:rPr>
              <w:t xml:space="preserve"> </w:t>
            </w:r>
            <w:proofErr w:type="spellStart"/>
            <w:r w:rsidRPr="00A21639">
              <w:rPr>
                <w:rFonts w:ascii="Times New Roman" w:hAnsi="Times New Roman"/>
                <w:iCs/>
                <w:color w:val="000000"/>
                <w:sz w:val="16"/>
                <w:szCs w:val="16"/>
              </w:rPr>
              <w:t>in</w:t>
            </w:r>
            <w:proofErr w:type="spellEnd"/>
            <w:r w:rsidRPr="00A21639">
              <w:rPr>
                <w:rFonts w:ascii="Times New Roman" w:hAnsi="Times New Roman"/>
                <w:iCs/>
                <w:color w:val="000000"/>
                <w:sz w:val="16"/>
                <w:szCs w:val="16"/>
              </w:rPr>
              <w:t xml:space="preserve"> </w:t>
            </w:r>
            <w:proofErr w:type="spellStart"/>
            <w:r w:rsidRPr="00A21639">
              <w:rPr>
                <w:rFonts w:ascii="Times New Roman" w:hAnsi="Times New Roman"/>
                <w:iCs/>
                <w:color w:val="000000"/>
                <w:sz w:val="16"/>
                <w:szCs w:val="16"/>
              </w:rPr>
              <w:t>the</w:t>
            </w:r>
            <w:proofErr w:type="spellEnd"/>
            <w:r w:rsidRPr="00A21639">
              <w:rPr>
                <w:rFonts w:ascii="Times New Roman" w:hAnsi="Times New Roman"/>
                <w:iCs/>
                <w:color w:val="000000"/>
                <w:sz w:val="16"/>
                <w:szCs w:val="16"/>
              </w:rPr>
              <w:t xml:space="preserve"> </w:t>
            </w:r>
            <w:proofErr w:type="spellStart"/>
            <w:r w:rsidRPr="00A21639">
              <w:rPr>
                <w:rFonts w:ascii="Times New Roman" w:hAnsi="Times New Roman"/>
                <w:iCs/>
                <w:color w:val="000000"/>
                <w:sz w:val="16"/>
                <w:szCs w:val="16"/>
              </w:rPr>
              <w:t>depository</w:t>
            </w:r>
            <w:proofErr w:type="spellEnd"/>
            <w:r w:rsidRPr="00A21639">
              <w:rPr>
                <w:rFonts w:ascii="Times New Roman" w:hAnsi="Times New Roman"/>
                <w:iCs/>
                <w:color w:val="000000"/>
                <w:sz w:val="16"/>
                <w:szCs w:val="16"/>
              </w:rPr>
              <w:t xml:space="preserve"> </w:t>
            </w:r>
            <w:proofErr w:type="spellStart"/>
            <w:r w:rsidRPr="00A21639">
              <w:rPr>
                <w:rFonts w:ascii="Times New Roman" w:hAnsi="Times New Roman"/>
                <w:iCs/>
                <w:color w:val="000000"/>
                <w:sz w:val="16"/>
                <w:szCs w:val="16"/>
              </w:rPr>
              <w:t>institution</w:t>
            </w:r>
            <w:proofErr w:type="spellEnd"/>
            <w:r w:rsidRPr="00A21639">
              <w:rPr>
                <w:rFonts w:ascii="Times New Roman" w:hAnsi="Times New Roman"/>
                <w:iCs/>
                <w:color w:val="000000"/>
                <w:sz w:val="16"/>
                <w:szCs w:val="16"/>
              </w:rPr>
              <w:t xml:space="preserve"> </w:t>
            </w:r>
            <w:proofErr w:type="spellStart"/>
            <w:r w:rsidRPr="00A21639">
              <w:rPr>
                <w:rFonts w:ascii="Times New Roman" w:hAnsi="Times New Roman"/>
                <w:iCs/>
                <w:color w:val="000000"/>
                <w:sz w:val="16"/>
                <w:szCs w:val="16"/>
              </w:rPr>
              <w:t>that</w:t>
            </w:r>
            <w:proofErr w:type="spellEnd"/>
            <w:r w:rsidRPr="00A21639">
              <w:rPr>
                <w:rFonts w:ascii="Times New Roman" w:hAnsi="Times New Roman"/>
                <w:iCs/>
                <w:color w:val="000000"/>
                <w:sz w:val="16"/>
                <w:szCs w:val="16"/>
              </w:rPr>
              <w:t xml:space="preserve"> </w:t>
            </w:r>
            <w:proofErr w:type="spellStart"/>
            <w:r w:rsidRPr="00A21639">
              <w:rPr>
                <w:rFonts w:ascii="Times New Roman" w:hAnsi="Times New Roman"/>
                <w:iCs/>
                <w:color w:val="000000"/>
                <w:sz w:val="16"/>
                <w:szCs w:val="16"/>
              </w:rPr>
              <w:t>the</w:t>
            </w:r>
            <w:proofErr w:type="spellEnd"/>
            <w:r w:rsidRPr="00A21639">
              <w:rPr>
                <w:rFonts w:ascii="Times New Roman" w:hAnsi="Times New Roman"/>
                <w:iCs/>
                <w:color w:val="000000"/>
                <w:sz w:val="16"/>
                <w:szCs w:val="16"/>
              </w:rPr>
              <w:t xml:space="preserve"> </w:t>
            </w:r>
            <w:proofErr w:type="spellStart"/>
            <w:r w:rsidRPr="00A21639">
              <w:rPr>
                <w:rFonts w:ascii="Times New Roman" w:hAnsi="Times New Roman"/>
                <w:iCs/>
                <w:color w:val="000000"/>
                <w:sz w:val="16"/>
                <w:szCs w:val="16"/>
              </w:rPr>
              <w:t>securities</w:t>
            </w:r>
            <w:proofErr w:type="spellEnd"/>
            <w:r w:rsidRPr="00A21639">
              <w:rPr>
                <w:rFonts w:ascii="Times New Roman" w:hAnsi="Times New Roman"/>
                <w:iCs/>
                <w:color w:val="000000"/>
                <w:sz w:val="16"/>
                <w:szCs w:val="16"/>
              </w:rPr>
              <w:t xml:space="preserve"> </w:t>
            </w:r>
            <w:proofErr w:type="spellStart"/>
            <w:r w:rsidRPr="00A21639">
              <w:rPr>
                <w:rFonts w:ascii="Times New Roman" w:hAnsi="Times New Roman"/>
                <w:iCs/>
                <w:color w:val="000000"/>
                <w:sz w:val="16"/>
                <w:szCs w:val="16"/>
              </w:rPr>
              <w:t>account</w:t>
            </w:r>
            <w:proofErr w:type="spellEnd"/>
            <w:r w:rsidRPr="00A21639">
              <w:rPr>
                <w:rFonts w:ascii="Times New Roman" w:hAnsi="Times New Roman"/>
                <w:iCs/>
                <w:color w:val="000000"/>
                <w:sz w:val="16"/>
                <w:szCs w:val="16"/>
              </w:rPr>
              <w:t xml:space="preserve"> </w:t>
            </w:r>
            <w:proofErr w:type="spellStart"/>
            <w:r w:rsidRPr="00A21639">
              <w:rPr>
                <w:rFonts w:ascii="Times New Roman" w:hAnsi="Times New Roman"/>
                <w:iCs/>
                <w:color w:val="000000"/>
                <w:sz w:val="16"/>
                <w:szCs w:val="16"/>
              </w:rPr>
              <w:t>belongs</w:t>
            </w:r>
            <w:proofErr w:type="spellEnd"/>
            <w:r w:rsidRPr="00A21639">
              <w:rPr>
                <w:rFonts w:ascii="Times New Roman" w:hAnsi="Times New Roman"/>
                <w:iCs/>
                <w:color w:val="000000"/>
                <w:sz w:val="16"/>
                <w:szCs w:val="16"/>
              </w:rPr>
              <w:t xml:space="preserve"> </w:t>
            </w:r>
            <w:proofErr w:type="spellStart"/>
            <w:r w:rsidRPr="00A21639">
              <w:rPr>
                <w:rFonts w:ascii="Times New Roman" w:hAnsi="Times New Roman"/>
                <w:iCs/>
                <w:color w:val="000000"/>
                <w:sz w:val="16"/>
                <w:szCs w:val="16"/>
              </w:rPr>
              <w:t>to</w:t>
            </w:r>
            <w:proofErr w:type="spellEnd"/>
            <w:r w:rsidRPr="00A21639">
              <w:rPr>
                <w:rFonts w:ascii="Times New Roman" w:hAnsi="Times New Roman"/>
                <w:iCs/>
                <w:color w:val="000000"/>
                <w:sz w:val="16"/>
                <w:szCs w:val="16"/>
              </w:rPr>
              <w:t xml:space="preserve"> </w:t>
            </w:r>
            <w:proofErr w:type="spellStart"/>
            <w:r w:rsidRPr="00A21639">
              <w:rPr>
                <w:rFonts w:ascii="Times New Roman" w:hAnsi="Times New Roman"/>
                <w:iCs/>
                <w:color w:val="000000"/>
                <w:sz w:val="16"/>
                <w:szCs w:val="16"/>
              </w:rPr>
              <w:t>the</w:t>
            </w:r>
            <w:proofErr w:type="spellEnd"/>
            <w:r w:rsidRPr="00A21639">
              <w:rPr>
                <w:rFonts w:ascii="Times New Roman" w:hAnsi="Times New Roman"/>
                <w:iCs/>
                <w:color w:val="000000"/>
                <w:sz w:val="16"/>
                <w:szCs w:val="16"/>
              </w:rPr>
              <w:t xml:space="preserve"> </w:t>
            </w:r>
            <w:proofErr w:type="spellStart"/>
            <w:r w:rsidRPr="00A21639">
              <w:rPr>
                <w:rFonts w:ascii="Times New Roman" w:hAnsi="Times New Roman"/>
                <w:iCs/>
                <w:color w:val="000000"/>
                <w:sz w:val="16"/>
                <w:szCs w:val="16"/>
              </w:rPr>
              <w:t>accountable</w:t>
            </w:r>
            <w:proofErr w:type="spellEnd"/>
            <w:r w:rsidRPr="00A21639">
              <w:rPr>
                <w:rFonts w:ascii="Times New Roman" w:hAnsi="Times New Roman"/>
                <w:iCs/>
                <w:color w:val="000000"/>
                <w:sz w:val="16"/>
                <w:szCs w:val="16"/>
              </w:rPr>
              <w:t xml:space="preserve"> </w:t>
            </w:r>
            <w:proofErr w:type="spellStart"/>
            <w:r w:rsidRPr="00A21639">
              <w:rPr>
                <w:rFonts w:ascii="Times New Roman" w:hAnsi="Times New Roman"/>
                <w:iCs/>
                <w:color w:val="000000"/>
                <w:sz w:val="16"/>
                <w:szCs w:val="16"/>
              </w:rPr>
              <w:t>ones</w:t>
            </w:r>
            <w:proofErr w:type="spellEnd"/>
            <w:r w:rsidRPr="00A21639">
              <w:rPr>
                <w:rFonts w:ascii="Times New Roman" w:hAnsi="Times New Roman"/>
                <w:iCs/>
                <w:color w:val="000000"/>
                <w:sz w:val="16"/>
                <w:szCs w:val="16"/>
              </w:rPr>
              <w:t>.</w:t>
            </w:r>
          </w:p>
        </w:tc>
      </w:tr>
      <w:tr w:rsidR="00427890" w:rsidRPr="00F23413" w14:paraId="572381B6" w14:textId="77777777" w:rsidTr="00D77858">
        <w:tblPrEx>
          <w:tblCellMar>
            <w:left w:w="0" w:type="dxa"/>
            <w:right w:w="0" w:type="dxa"/>
          </w:tblCellMar>
        </w:tblPrEx>
        <w:trPr>
          <w:trHeight w:val="192"/>
        </w:trPr>
        <w:tc>
          <w:tcPr>
            <w:tcW w:w="5696" w:type="dxa"/>
            <w:gridSpan w:val="6"/>
            <w:shd w:val="clear" w:color="auto" w:fill="auto"/>
          </w:tcPr>
          <w:p w14:paraId="48EE63C2" w14:textId="77777777" w:rsidR="00427890" w:rsidRPr="00E16672" w:rsidRDefault="00427890" w:rsidP="004D052D">
            <w:pPr>
              <w:tabs>
                <w:tab w:val="left" w:pos="709"/>
              </w:tabs>
              <w:snapToGrid w:val="0"/>
              <w:ind w:left="175" w:right="138"/>
              <w:rPr>
                <w:rFonts w:ascii="Times New Roman" w:hAnsi="Times New Roman"/>
                <w:b/>
                <w:sz w:val="16"/>
                <w:szCs w:val="16"/>
                <w:lang w:val="en-US"/>
              </w:rPr>
            </w:pPr>
            <w:r w:rsidRPr="00E16672">
              <w:rPr>
                <w:rFonts w:ascii="Times New Roman" w:hAnsi="Times New Roman"/>
                <w:b/>
                <w:sz w:val="16"/>
                <w:szCs w:val="16"/>
                <w:lang w:val="en-US"/>
              </w:rPr>
              <w:t xml:space="preserve">2.4. </w:t>
            </w:r>
            <w:r w:rsidRPr="00E16672">
              <w:rPr>
                <w:rFonts w:ascii="Times New Roman" w:hAnsi="Times New Roman"/>
                <w:b/>
                <w:sz w:val="16"/>
                <w:szCs w:val="16"/>
              </w:rPr>
              <w:t>Депонент</w:t>
            </w:r>
            <w:r w:rsidRPr="00E16672">
              <w:rPr>
                <w:rFonts w:ascii="Times New Roman" w:hAnsi="Times New Roman"/>
                <w:b/>
                <w:sz w:val="16"/>
                <w:szCs w:val="16"/>
                <w:lang w:val="en-US"/>
              </w:rPr>
              <w:t xml:space="preserve"> </w:t>
            </w:r>
            <w:proofErr w:type="spellStart"/>
            <w:r w:rsidRPr="00E16672">
              <w:rPr>
                <w:rFonts w:ascii="Times New Roman" w:hAnsi="Times New Roman"/>
                <w:b/>
                <w:sz w:val="16"/>
                <w:szCs w:val="16"/>
              </w:rPr>
              <w:t>має</w:t>
            </w:r>
            <w:proofErr w:type="spellEnd"/>
            <w:r w:rsidRPr="00E16672">
              <w:rPr>
                <w:rFonts w:ascii="Times New Roman" w:hAnsi="Times New Roman"/>
                <w:b/>
                <w:sz w:val="16"/>
                <w:szCs w:val="16"/>
                <w:lang w:val="en-US"/>
              </w:rPr>
              <w:t xml:space="preserve"> </w:t>
            </w:r>
            <w:r w:rsidRPr="00E16672">
              <w:rPr>
                <w:rFonts w:ascii="Times New Roman" w:hAnsi="Times New Roman"/>
                <w:b/>
                <w:sz w:val="16"/>
                <w:szCs w:val="16"/>
              </w:rPr>
              <w:t>право</w:t>
            </w:r>
            <w:r w:rsidRPr="00E16672">
              <w:rPr>
                <w:rFonts w:ascii="Times New Roman" w:hAnsi="Times New Roman"/>
                <w:b/>
                <w:sz w:val="16"/>
                <w:szCs w:val="16"/>
                <w:lang w:val="en-US"/>
              </w:rPr>
              <w:t>:</w:t>
            </w:r>
          </w:p>
          <w:p w14:paraId="7C75ED34" w14:textId="77777777" w:rsidR="00427890" w:rsidRPr="00E16672" w:rsidRDefault="00427890" w:rsidP="004D052D">
            <w:pPr>
              <w:tabs>
                <w:tab w:val="left" w:pos="709"/>
              </w:tabs>
              <w:ind w:left="175" w:right="138"/>
              <w:rPr>
                <w:rFonts w:ascii="Times New Roman" w:hAnsi="Times New Roman"/>
                <w:sz w:val="16"/>
                <w:szCs w:val="16"/>
                <w:lang w:val="en-US"/>
              </w:rPr>
            </w:pPr>
          </w:p>
          <w:p w14:paraId="5319DB07" w14:textId="77777777" w:rsidR="00427890" w:rsidRPr="00E16672" w:rsidRDefault="00427890" w:rsidP="00746617">
            <w:pPr>
              <w:tabs>
                <w:tab w:val="left" w:pos="709"/>
              </w:tabs>
              <w:ind w:left="175" w:right="138" w:firstLine="0"/>
              <w:rPr>
                <w:rFonts w:ascii="Times New Roman" w:hAnsi="Times New Roman"/>
                <w:sz w:val="16"/>
                <w:szCs w:val="16"/>
                <w:lang w:val="en-US"/>
              </w:rPr>
            </w:pPr>
            <w:r w:rsidRPr="00E16672">
              <w:rPr>
                <w:rFonts w:ascii="Times New Roman" w:hAnsi="Times New Roman"/>
                <w:sz w:val="16"/>
                <w:szCs w:val="16"/>
                <w:lang w:val="en-US"/>
              </w:rPr>
              <w:t xml:space="preserve">2.4.1. </w:t>
            </w:r>
            <w:proofErr w:type="spellStart"/>
            <w:r w:rsidRPr="00E16672">
              <w:rPr>
                <w:rFonts w:ascii="Times New Roman" w:hAnsi="Times New Roman"/>
                <w:sz w:val="16"/>
                <w:szCs w:val="16"/>
              </w:rPr>
              <w:t>Передати</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власні</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повноваження</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щодо</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відкриття</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рахунку</w:t>
            </w:r>
            <w:proofErr w:type="spellEnd"/>
            <w:r w:rsidRPr="00E16672">
              <w:rPr>
                <w:rFonts w:ascii="Times New Roman" w:hAnsi="Times New Roman"/>
                <w:sz w:val="16"/>
                <w:szCs w:val="16"/>
                <w:lang w:val="en-US"/>
              </w:rPr>
              <w:t xml:space="preserve"> </w:t>
            </w:r>
            <w:r w:rsidRPr="00E16672">
              <w:rPr>
                <w:rFonts w:ascii="Times New Roman" w:hAnsi="Times New Roman"/>
                <w:sz w:val="16"/>
                <w:szCs w:val="16"/>
              </w:rPr>
              <w:t>в</w:t>
            </w:r>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цінних</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паперах</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іншій</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особі</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уповноваженій</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діяти</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від</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його</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імені</w:t>
            </w:r>
            <w:proofErr w:type="spellEnd"/>
            <w:r w:rsidRPr="00E16672">
              <w:rPr>
                <w:rFonts w:ascii="Times New Roman" w:hAnsi="Times New Roman"/>
                <w:sz w:val="16"/>
                <w:szCs w:val="16"/>
                <w:lang w:val="en-US"/>
              </w:rPr>
              <w:t xml:space="preserve"> </w:t>
            </w:r>
            <w:r w:rsidRPr="00E16672">
              <w:rPr>
                <w:rFonts w:ascii="Times New Roman" w:hAnsi="Times New Roman"/>
                <w:sz w:val="16"/>
                <w:szCs w:val="16"/>
              </w:rPr>
              <w:t>на</w:t>
            </w:r>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підставі</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визначеного</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законодавством</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правочину</w:t>
            </w:r>
            <w:proofErr w:type="spellEnd"/>
            <w:r w:rsidRPr="00E16672">
              <w:rPr>
                <w:rFonts w:ascii="Times New Roman" w:hAnsi="Times New Roman"/>
                <w:sz w:val="16"/>
                <w:szCs w:val="16"/>
                <w:lang w:val="en-US"/>
              </w:rPr>
              <w:t>.</w:t>
            </w:r>
          </w:p>
          <w:p w14:paraId="21F46E31" w14:textId="77777777" w:rsidR="00427890" w:rsidRPr="00E16672" w:rsidRDefault="00427890" w:rsidP="004D052D">
            <w:pPr>
              <w:tabs>
                <w:tab w:val="left" w:pos="709"/>
              </w:tabs>
              <w:ind w:left="175" w:right="138"/>
              <w:rPr>
                <w:rFonts w:ascii="Times New Roman" w:hAnsi="Times New Roman"/>
                <w:sz w:val="16"/>
                <w:szCs w:val="16"/>
                <w:lang w:val="en-US"/>
              </w:rPr>
            </w:pPr>
          </w:p>
        </w:tc>
        <w:tc>
          <w:tcPr>
            <w:tcW w:w="5494" w:type="dxa"/>
            <w:gridSpan w:val="7"/>
            <w:shd w:val="clear" w:color="auto" w:fill="auto"/>
          </w:tcPr>
          <w:p w14:paraId="39340EB0" w14:textId="77777777" w:rsidR="00427890" w:rsidRPr="00E16672" w:rsidRDefault="00427890" w:rsidP="00E27FD1">
            <w:pPr>
              <w:tabs>
                <w:tab w:val="left" w:pos="287"/>
              </w:tabs>
              <w:snapToGrid w:val="0"/>
              <w:ind w:left="145" w:right="100"/>
              <w:rPr>
                <w:rFonts w:ascii="Times New Roman" w:hAnsi="Times New Roman"/>
                <w:b/>
                <w:bCs/>
                <w:sz w:val="16"/>
                <w:szCs w:val="16"/>
                <w:lang w:val="en-GB"/>
              </w:rPr>
            </w:pPr>
            <w:r w:rsidRPr="00E16672">
              <w:rPr>
                <w:rFonts w:ascii="Times New Roman" w:hAnsi="Times New Roman"/>
                <w:b/>
                <w:bCs/>
                <w:sz w:val="16"/>
                <w:szCs w:val="16"/>
                <w:lang w:val="en-US"/>
              </w:rPr>
              <w:t>2</w:t>
            </w:r>
            <w:r w:rsidRPr="00E16672">
              <w:rPr>
                <w:rFonts w:ascii="Times New Roman" w:hAnsi="Times New Roman"/>
                <w:b/>
                <w:bCs/>
                <w:sz w:val="16"/>
                <w:szCs w:val="16"/>
                <w:lang w:val="en-GB"/>
              </w:rPr>
              <w:t>.</w:t>
            </w:r>
            <w:r w:rsidRPr="00E16672">
              <w:rPr>
                <w:rFonts w:ascii="Times New Roman" w:hAnsi="Times New Roman"/>
                <w:b/>
                <w:bCs/>
                <w:sz w:val="16"/>
                <w:szCs w:val="16"/>
                <w:lang w:val="en-US"/>
              </w:rPr>
              <w:t>4.</w:t>
            </w:r>
            <w:r w:rsidRPr="00E16672">
              <w:rPr>
                <w:rFonts w:ascii="Times New Roman" w:hAnsi="Times New Roman"/>
                <w:b/>
                <w:bCs/>
                <w:sz w:val="16"/>
                <w:szCs w:val="16"/>
                <w:lang w:val="en-GB"/>
              </w:rPr>
              <w:t xml:space="preserve"> Depositor </w:t>
            </w:r>
            <w:r w:rsidRPr="00E16672">
              <w:rPr>
                <w:rFonts w:ascii="Times New Roman" w:hAnsi="Times New Roman"/>
                <w:b/>
                <w:bCs/>
                <w:sz w:val="16"/>
                <w:szCs w:val="16"/>
                <w:lang w:val="en-US"/>
              </w:rPr>
              <w:t>have right</w:t>
            </w:r>
            <w:r w:rsidRPr="00E16672">
              <w:rPr>
                <w:rFonts w:ascii="Times New Roman" w:hAnsi="Times New Roman"/>
                <w:b/>
                <w:bCs/>
                <w:sz w:val="16"/>
                <w:szCs w:val="16"/>
                <w:lang w:val="en-GB"/>
              </w:rPr>
              <w:t>:</w:t>
            </w:r>
          </w:p>
          <w:p w14:paraId="1D245B51" w14:textId="77777777" w:rsidR="00427890" w:rsidRPr="00E16672" w:rsidRDefault="00427890" w:rsidP="00E27FD1">
            <w:pPr>
              <w:tabs>
                <w:tab w:val="left" w:pos="287"/>
              </w:tabs>
              <w:ind w:left="145" w:right="100"/>
              <w:rPr>
                <w:rFonts w:ascii="Times New Roman" w:hAnsi="Times New Roman"/>
                <w:bCs/>
                <w:sz w:val="16"/>
                <w:szCs w:val="16"/>
                <w:lang w:val="en-GB"/>
              </w:rPr>
            </w:pPr>
          </w:p>
          <w:p w14:paraId="16D0030D" w14:textId="77777777" w:rsidR="00427890" w:rsidRPr="00E16672" w:rsidRDefault="00427890" w:rsidP="00E27FD1">
            <w:pPr>
              <w:pStyle w:val="210"/>
              <w:tabs>
                <w:tab w:val="left" w:pos="287"/>
                <w:tab w:val="left" w:pos="1191"/>
              </w:tabs>
              <w:ind w:left="145" w:right="100" w:firstLine="0"/>
              <w:rPr>
                <w:rFonts w:ascii="Times New Roman" w:hAnsi="Times New Roman"/>
                <w:sz w:val="16"/>
                <w:szCs w:val="16"/>
              </w:rPr>
            </w:pPr>
            <w:r w:rsidRPr="00E16672">
              <w:rPr>
                <w:rFonts w:ascii="Times New Roman" w:hAnsi="Times New Roman"/>
                <w:sz w:val="16"/>
                <w:szCs w:val="16"/>
                <w:lang w:val="en-US"/>
              </w:rPr>
              <w:t>2.4</w:t>
            </w:r>
            <w:r w:rsidRPr="00E16672">
              <w:rPr>
                <w:rFonts w:ascii="Times New Roman" w:hAnsi="Times New Roman"/>
                <w:sz w:val="16"/>
                <w:szCs w:val="16"/>
              </w:rPr>
              <w:t xml:space="preserve">.1. </w:t>
            </w:r>
            <w:r w:rsidRPr="00E16672">
              <w:rPr>
                <w:rFonts w:ascii="Times New Roman" w:hAnsi="Times New Roman"/>
                <w:sz w:val="16"/>
                <w:szCs w:val="16"/>
                <w:lang w:val="en-US"/>
              </w:rPr>
              <w:t>Transfer</w:t>
            </w:r>
            <w:r w:rsidRPr="00E16672">
              <w:rPr>
                <w:rFonts w:ascii="Times New Roman" w:hAnsi="Times New Roman"/>
                <w:sz w:val="16"/>
                <w:szCs w:val="16"/>
              </w:rPr>
              <w:t xml:space="preserve"> </w:t>
            </w:r>
            <w:proofErr w:type="spellStart"/>
            <w:r w:rsidRPr="00E16672">
              <w:rPr>
                <w:rFonts w:ascii="Times New Roman" w:hAnsi="Times New Roman"/>
                <w:sz w:val="16"/>
                <w:szCs w:val="16"/>
              </w:rPr>
              <w:t>your</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own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power</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to</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open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an</w:t>
            </w:r>
            <w:proofErr w:type="spellEnd"/>
            <w:r w:rsidRPr="00E16672">
              <w:rPr>
                <w:rFonts w:ascii="Times New Roman" w:hAnsi="Times New Roman"/>
                <w:sz w:val="16"/>
                <w:szCs w:val="16"/>
              </w:rPr>
              <w:t xml:space="preserve"> </w:t>
            </w:r>
            <w:proofErr w:type="spellStart"/>
            <w:proofErr w:type="gramStart"/>
            <w:r w:rsidRPr="00E16672">
              <w:rPr>
                <w:rFonts w:ascii="Times New Roman" w:hAnsi="Times New Roman"/>
                <w:sz w:val="16"/>
                <w:szCs w:val="16"/>
              </w:rPr>
              <w:t>account</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in</w:t>
            </w:r>
            <w:proofErr w:type="spellEnd"/>
            <w:proofErr w:type="gramEnd"/>
            <w:r w:rsidRPr="00E16672">
              <w:rPr>
                <w:rFonts w:ascii="Times New Roman" w:hAnsi="Times New Roman"/>
                <w:sz w:val="16"/>
                <w:szCs w:val="16"/>
              </w:rPr>
              <w:t xml:space="preserve"> </w:t>
            </w:r>
            <w:proofErr w:type="spellStart"/>
            <w:r w:rsidRPr="00E16672">
              <w:rPr>
                <w:rFonts w:ascii="Times New Roman" w:hAnsi="Times New Roman"/>
                <w:sz w:val="16"/>
                <w:szCs w:val="16"/>
              </w:rPr>
              <w:t>securities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to</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another</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person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authorized</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to</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act</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his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behalf</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under</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legislation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specified</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competence</w:t>
            </w:r>
            <w:proofErr w:type="spellEnd"/>
            <w:r w:rsidRPr="00E16672">
              <w:rPr>
                <w:rFonts w:ascii="Times New Roman" w:hAnsi="Times New Roman"/>
                <w:sz w:val="16"/>
                <w:szCs w:val="16"/>
              </w:rPr>
              <w:t>.</w:t>
            </w:r>
          </w:p>
          <w:p w14:paraId="4511CE48" w14:textId="77777777" w:rsidR="00427890" w:rsidRPr="00E16672" w:rsidRDefault="00427890" w:rsidP="00E27FD1">
            <w:pPr>
              <w:tabs>
                <w:tab w:val="left" w:pos="287"/>
              </w:tabs>
              <w:ind w:left="145" w:right="100"/>
              <w:jc w:val="center"/>
              <w:rPr>
                <w:rFonts w:ascii="Times New Roman" w:hAnsi="Times New Roman"/>
                <w:bCs/>
                <w:sz w:val="16"/>
                <w:szCs w:val="16"/>
                <w:lang w:val="en-GB"/>
              </w:rPr>
            </w:pPr>
          </w:p>
        </w:tc>
      </w:tr>
      <w:tr w:rsidR="00427890" w:rsidRPr="00F23413" w14:paraId="62421571" w14:textId="77777777" w:rsidTr="00D77858">
        <w:tblPrEx>
          <w:tblCellMar>
            <w:left w:w="0" w:type="dxa"/>
            <w:right w:w="0" w:type="dxa"/>
          </w:tblCellMar>
        </w:tblPrEx>
        <w:trPr>
          <w:trHeight w:val="192"/>
        </w:trPr>
        <w:tc>
          <w:tcPr>
            <w:tcW w:w="5696" w:type="dxa"/>
            <w:gridSpan w:val="6"/>
            <w:shd w:val="clear" w:color="auto" w:fill="auto"/>
          </w:tcPr>
          <w:p w14:paraId="08340FFE" w14:textId="77777777" w:rsidR="00427890" w:rsidRPr="00E16672" w:rsidRDefault="00427890" w:rsidP="004D052D">
            <w:pPr>
              <w:pStyle w:val="WW-1"/>
              <w:tabs>
                <w:tab w:val="left" w:pos="709"/>
              </w:tabs>
              <w:snapToGrid w:val="0"/>
              <w:ind w:left="175" w:right="138"/>
              <w:jc w:val="both"/>
              <w:rPr>
                <w:rFonts w:eastAsia="Times New Roman"/>
                <w:i w:val="0"/>
                <w:sz w:val="16"/>
                <w:szCs w:val="16"/>
                <w:lang w:val="uk-UA"/>
              </w:rPr>
            </w:pPr>
            <w:r w:rsidRPr="00E16672">
              <w:rPr>
                <w:i w:val="0"/>
                <w:sz w:val="16"/>
                <w:szCs w:val="16"/>
                <w:lang w:val="uk-UA"/>
              </w:rPr>
              <w:t>2.4.2</w:t>
            </w:r>
            <w:r w:rsidRPr="00E16672">
              <w:rPr>
                <w:rFonts w:eastAsia="Times New Roman"/>
                <w:i w:val="0"/>
                <w:sz w:val="16"/>
                <w:szCs w:val="16"/>
                <w:lang w:val="uk-UA"/>
              </w:rPr>
              <w:t>. Передати власні повноваження з розпорядження цінними паперами, що обліковуються на його рахунку в цінних паперах, повноваження щодо здійснення прав, що випливають з цінних паперів, керуючому рахунком.</w:t>
            </w:r>
          </w:p>
          <w:p w14:paraId="505633D4" w14:textId="77777777" w:rsidR="00427890" w:rsidRPr="00E16672" w:rsidRDefault="00427890" w:rsidP="004D052D">
            <w:pPr>
              <w:pStyle w:val="WW-1"/>
              <w:tabs>
                <w:tab w:val="left" w:pos="709"/>
              </w:tabs>
              <w:ind w:left="175" w:right="138"/>
              <w:jc w:val="both"/>
              <w:rPr>
                <w:rFonts w:eastAsia="Times New Roman"/>
                <w:i w:val="0"/>
                <w:sz w:val="16"/>
                <w:szCs w:val="16"/>
                <w:lang w:val="uk-UA"/>
              </w:rPr>
            </w:pPr>
          </w:p>
        </w:tc>
        <w:tc>
          <w:tcPr>
            <w:tcW w:w="5494" w:type="dxa"/>
            <w:gridSpan w:val="7"/>
            <w:shd w:val="clear" w:color="auto" w:fill="auto"/>
          </w:tcPr>
          <w:p w14:paraId="160F1A78" w14:textId="77777777" w:rsidR="00427890" w:rsidRPr="00E16672" w:rsidRDefault="00427890" w:rsidP="00E27FD1">
            <w:pPr>
              <w:pStyle w:val="210"/>
              <w:tabs>
                <w:tab w:val="left" w:pos="287"/>
                <w:tab w:val="left" w:pos="1191"/>
              </w:tabs>
              <w:snapToGrid w:val="0"/>
              <w:ind w:left="145" w:right="100" w:firstLine="0"/>
              <w:rPr>
                <w:rFonts w:ascii="Times New Roman" w:hAnsi="Times New Roman"/>
                <w:sz w:val="16"/>
                <w:szCs w:val="16"/>
              </w:rPr>
            </w:pPr>
            <w:r w:rsidRPr="00E16672">
              <w:rPr>
                <w:rFonts w:ascii="Times New Roman" w:hAnsi="Times New Roman"/>
                <w:sz w:val="16"/>
                <w:szCs w:val="16"/>
                <w:lang w:val="en-US"/>
              </w:rPr>
              <w:t>2.4</w:t>
            </w:r>
            <w:r w:rsidRPr="00E16672">
              <w:rPr>
                <w:rFonts w:ascii="Times New Roman" w:hAnsi="Times New Roman"/>
                <w:sz w:val="16"/>
                <w:szCs w:val="16"/>
              </w:rPr>
              <w:t xml:space="preserve">.2. </w:t>
            </w:r>
            <w:r w:rsidRPr="00E16672">
              <w:rPr>
                <w:rFonts w:ascii="Times New Roman" w:hAnsi="Times New Roman"/>
                <w:sz w:val="16"/>
                <w:szCs w:val="16"/>
                <w:lang w:val="en-US"/>
              </w:rPr>
              <w:t>Transfer</w:t>
            </w:r>
            <w:r w:rsidRPr="00E16672">
              <w:rPr>
                <w:rFonts w:ascii="Times New Roman" w:hAnsi="Times New Roman"/>
                <w:sz w:val="16"/>
                <w:szCs w:val="16"/>
              </w:rPr>
              <w:t xml:space="preserve"> </w:t>
            </w:r>
            <w:proofErr w:type="spellStart"/>
            <w:r w:rsidRPr="00E16672">
              <w:rPr>
                <w:rFonts w:ascii="Times New Roman" w:hAnsi="Times New Roman"/>
                <w:sz w:val="16"/>
                <w:szCs w:val="16"/>
              </w:rPr>
              <w:t>your</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own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powers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of</w:t>
            </w:r>
            <w:proofErr w:type="spellEnd"/>
            <w:r w:rsidRPr="00E16672">
              <w:rPr>
                <w:rFonts w:ascii="Times New Roman" w:hAnsi="Times New Roman"/>
                <w:sz w:val="16"/>
                <w:szCs w:val="16"/>
              </w:rPr>
              <w:t xml:space="preserve"> </w:t>
            </w:r>
            <w:r w:rsidRPr="00E16672">
              <w:rPr>
                <w:rFonts w:ascii="Times New Roman" w:hAnsi="Times New Roman"/>
                <w:sz w:val="16"/>
                <w:szCs w:val="16"/>
                <w:lang w:val="en-US"/>
              </w:rPr>
              <w:t>manage</w:t>
            </w:r>
            <w:r w:rsidRPr="00E16672">
              <w:rPr>
                <w:rFonts w:ascii="Times New Roman" w:hAnsi="Times New Roman"/>
                <w:sz w:val="16"/>
                <w:szCs w:val="16"/>
              </w:rPr>
              <w:t xml:space="preserve"> </w:t>
            </w:r>
            <w:r w:rsidRPr="00E16672">
              <w:rPr>
                <w:rFonts w:ascii="Times New Roman" w:hAnsi="Times New Roman"/>
                <w:sz w:val="16"/>
                <w:szCs w:val="16"/>
                <w:lang w:val="en-US"/>
              </w:rPr>
              <w:t>the</w:t>
            </w:r>
            <w:r w:rsidRPr="00E16672">
              <w:rPr>
                <w:rFonts w:ascii="Times New Roman" w:hAnsi="Times New Roman"/>
                <w:sz w:val="16"/>
                <w:szCs w:val="16"/>
              </w:rPr>
              <w:t xml:space="preserve"> </w:t>
            </w:r>
            <w:proofErr w:type="spellStart"/>
            <w:r w:rsidRPr="00E16672">
              <w:rPr>
                <w:rFonts w:ascii="Times New Roman" w:hAnsi="Times New Roman"/>
                <w:sz w:val="16"/>
                <w:szCs w:val="16"/>
              </w:rPr>
              <w:t>securities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is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accounted</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its</w:t>
            </w:r>
            <w:proofErr w:type="spellEnd"/>
            <w:r w:rsidRPr="00E16672">
              <w:rPr>
                <w:rFonts w:ascii="Times New Roman" w:hAnsi="Times New Roman"/>
                <w:sz w:val="16"/>
                <w:szCs w:val="16"/>
              </w:rPr>
              <w:t xml:space="preserve"> </w:t>
            </w:r>
            <w:proofErr w:type="spellStart"/>
            <w:proofErr w:type="gramStart"/>
            <w:r w:rsidRPr="00E16672">
              <w:rPr>
                <w:rFonts w:ascii="Times New Roman" w:hAnsi="Times New Roman"/>
                <w:sz w:val="16"/>
                <w:szCs w:val="16"/>
              </w:rPr>
              <w:t>account</w:t>
            </w:r>
            <w:proofErr w:type="spellEnd"/>
            <w:r w:rsidRPr="00E16672">
              <w:rPr>
                <w:rFonts w:ascii="Times New Roman" w:hAnsi="Times New Roman"/>
                <w:sz w:val="16"/>
                <w:szCs w:val="16"/>
              </w:rPr>
              <w:t xml:space="preserve"> </w:t>
            </w:r>
            <w:r w:rsidRPr="00E16672">
              <w:rPr>
                <w:rFonts w:ascii="Times New Roman" w:hAnsi="Times New Roman"/>
                <w:sz w:val="16"/>
                <w:szCs w:val="16"/>
                <w:lang w:val="en-US"/>
              </w:rPr>
              <w:t xml:space="preserve"> in</w:t>
            </w:r>
            <w:proofErr w:type="gram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securities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authority</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to</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exercise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rights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arising</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from</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securities</w:t>
            </w:r>
            <w:proofErr w:type="spellEnd"/>
            <w:r w:rsidRPr="00E16672">
              <w:rPr>
                <w:rFonts w:ascii="Times New Roman" w:hAnsi="Times New Roman"/>
                <w:sz w:val="16"/>
                <w:szCs w:val="16"/>
              </w:rPr>
              <w:t xml:space="preserve"> </w:t>
            </w:r>
            <w:r w:rsidRPr="00E16672">
              <w:rPr>
                <w:rFonts w:ascii="Times New Roman" w:hAnsi="Times New Roman"/>
                <w:sz w:val="16"/>
                <w:szCs w:val="16"/>
                <w:lang w:val="en-US"/>
              </w:rPr>
              <w:t xml:space="preserve">to </w:t>
            </w:r>
            <w:proofErr w:type="spellStart"/>
            <w:r w:rsidRPr="00E16672">
              <w:rPr>
                <w:rFonts w:ascii="Times New Roman" w:hAnsi="Times New Roman"/>
                <w:sz w:val="16"/>
                <w:szCs w:val="16"/>
              </w:rPr>
              <w:t>account</w:t>
            </w:r>
            <w:proofErr w:type="spellEnd"/>
            <w:r w:rsidRPr="00E16672">
              <w:rPr>
                <w:rFonts w:ascii="Times New Roman" w:hAnsi="Times New Roman"/>
                <w:sz w:val="16"/>
                <w:szCs w:val="16"/>
              </w:rPr>
              <w:t xml:space="preserve"> </w:t>
            </w:r>
            <w:r w:rsidR="00113864" w:rsidRPr="00E16672">
              <w:rPr>
                <w:rFonts w:ascii="Times New Roman" w:hAnsi="Times New Roman"/>
                <w:sz w:val="16"/>
              </w:rPr>
              <w:t>а</w:t>
            </w:r>
            <w:proofErr w:type="spellStart"/>
            <w:r w:rsidR="00113864" w:rsidRPr="00E16672">
              <w:rPr>
                <w:rFonts w:ascii="Times New Roman" w:hAnsi="Times New Roman"/>
                <w:sz w:val="16"/>
                <w:lang w:val="en-US"/>
              </w:rPr>
              <w:t>dministrator</w:t>
            </w:r>
            <w:proofErr w:type="spellEnd"/>
            <w:r w:rsidRPr="00E16672">
              <w:rPr>
                <w:rFonts w:ascii="Times New Roman" w:hAnsi="Times New Roman"/>
                <w:sz w:val="16"/>
                <w:szCs w:val="16"/>
              </w:rPr>
              <w:t>.</w:t>
            </w:r>
          </w:p>
          <w:p w14:paraId="5C7727E3" w14:textId="77777777" w:rsidR="00427890" w:rsidRPr="00E16672" w:rsidRDefault="00427890" w:rsidP="00E27FD1">
            <w:pPr>
              <w:pStyle w:val="210"/>
              <w:tabs>
                <w:tab w:val="left" w:pos="287"/>
                <w:tab w:val="left" w:pos="1191"/>
              </w:tabs>
              <w:ind w:left="145" w:right="100" w:firstLine="0"/>
              <w:rPr>
                <w:rFonts w:ascii="Times New Roman" w:hAnsi="Times New Roman"/>
                <w:sz w:val="16"/>
                <w:szCs w:val="16"/>
                <w:lang w:val="en-GB"/>
              </w:rPr>
            </w:pPr>
          </w:p>
        </w:tc>
      </w:tr>
      <w:tr w:rsidR="00427890" w:rsidRPr="00F23413" w14:paraId="3C84934E" w14:textId="77777777" w:rsidTr="00D77858">
        <w:tblPrEx>
          <w:tblCellMar>
            <w:left w:w="0" w:type="dxa"/>
            <w:right w:w="0" w:type="dxa"/>
          </w:tblCellMar>
        </w:tblPrEx>
        <w:trPr>
          <w:trHeight w:val="192"/>
        </w:trPr>
        <w:tc>
          <w:tcPr>
            <w:tcW w:w="5696" w:type="dxa"/>
            <w:gridSpan w:val="6"/>
            <w:shd w:val="clear" w:color="auto" w:fill="auto"/>
          </w:tcPr>
          <w:p w14:paraId="1C3D720F" w14:textId="77777777" w:rsidR="00427890" w:rsidRPr="00E16672" w:rsidRDefault="00427890" w:rsidP="004D052D">
            <w:pPr>
              <w:pStyle w:val="WW-1"/>
              <w:snapToGrid w:val="0"/>
              <w:ind w:left="175" w:right="138"/>
              <w:jc w:val="both"/>
              <w:rPr>
                <w:rFonts w:eastAsia="Times New Roman"/>
                <w:i w:val="0"/>
                <w:sz w:val="16"/>
                <w:szCs w:val="16"/>
                <w:lang w:val="uk-UA"/>
              </w:rPr>
            </w:pPr>
            <w:r w:rsidRPr="00E16672">
              <w:rPr>
                <w:i w:val="0"/>
                <w:sz w:val="16"/>
                <w:szCs w:val="16"/>
              </w:rPr>
              <w:t>2.4</w:t>
            </w:r>
            <w:r w:rsidRPr="00E16672">
              <w:rPr>
                <w:rFonts w:eastAsia="Times New Roman"/>
                <w:i w:val="0"/>
                <w:sz w:val="16"/>
                <w:szCs w:val="16"/>
                <w:lang w:val="uk-UA"/>
              </w:rPr>
              <w:t xml:space="preserve">.3.  </w:t>
            </w:r>
            <w:proofErr w:type="spellStart"/>
            <w:r w:rsidR="0095761D" w:rsidRPr="00E16672">
              <w:rPr>
                <w:bCs/>
                <w:i w:val="0"/>
                <w:sz w:val="16"/>
              </w:rPr>
              <w:t>Призначити</w:t>
            </w:r>
            <w:proofErr w:type="spellEnd"/>
            <w:r w:rsidR="0095761D" w:rsidRPr="00E16672">
              <w:rPr>
                <w:bCs/>
                <w:i w:val="0"/>
                <w:sz w:val="16"/>
              </w:rPr>
              <w:t xml:space="preserve"> </w:t>
            </w:r>
            <w:proofErr w:type="spellStart"/>
            <w:r w:rsidR="0095761D" w:rsidRPr="00E16672">
              <w:rPr>
                <w:bCs/>
                <w:i w:val="0"/>
                <w:sz w:val="16"/>
              </w:rPr>
              <w:t>керуючого</w:t>
            </w:r>
            <w:proofErr w:type="spellEnd"/>
            <w:r w:rsidR="0095761D" w:rsidRPr="00E16672">
              <w:rPr>
                <w:bCs/>
                <w:i w:val="0"/>
                <w:sz w:val="16"/>
              </w:rPr>
              <w:t xml:space="preserve"> (</w:t>
            </w:r>
            <w:proofErr w:type="spellStart"/>
            <w:r w:rsidR="0095761D" w:rsidRPr="00E16672">
              <w:rPr>
                <w:bCs/>
                <w:i w:val="0"/>
                <w:sz w:val="16"/>
              </w:rPr>
              <w:t>керуючих</w:t>
            </w:r>
            <w:proofErr w:type="spellEnd"/>
            <w:r w:rsidR="0095761D" w:rsidRPr="00E16672">
              <w:rPr>
                <w:bCs/>
                <w:i w:val="0"/>
                <w:sz w:val="16"/>
              </w:rPr>
              <w:t xml:space="preserve">) </w:t>
            </w:r>
            <w:proofErr w:type="spellStart"/>
            <w:r w:rsidR="0095761D" w:rsidRPr="00E16672">
              <w:rPr>
                <w:bCs/>
                <w:i w:val="0"/>
                <w:sz w:val="16"/>
              </w:rPr>
              <w:t>рахунком</w:t>
            </w:r>
            <w:proofErr w:type="spellEnd"/>
            <w:r w:rsidR="0095761D" w:rsidRPr="00E16672">
              <w:rPr>
                <w:bCs/>
                <w:i w:val="0"/>
                <w:sz w:val="16"/>
              </w:rPr>
              <w:t xml:space="preserve"> </w:t>
            </w:r>
            <w:r w:rsidR="00C22309" w:rsidRPr="00E16672">
              <w:rPr>
                <w:bCs/>
                <w:i w:val="0"/>
                <w:sz w:val="16"/>
              </w:rPr>
              <w:t xml:space="preserve">в </w:t>
            </w:r>
            <w:proofErr w:type="spellStart"/>
            <w:r w:rsidR="00C22309" w:rsidRPr="00E16672">
              <w:rPr>
                <w:bCs/>
                <w:i w:val="0"/>
                <w:sz w:val="16"/>
              </w:rPr>
              <w:t>цін</w:t>
            </w:r>
            <w:r w:rsidR="0095761D" w:rsidRPr="00E16672">
              <w:rPr>
                <w:bCs/>
                <w:i w:val="0"/>
                <w:sz w:val="16"/>
              </w:rPr>
              <w:t>них</w:t>
            </w:r>
            <w:proofErr w:type="spellEnd"/>
            <w:r w:rsidR="0095761D" w:rsidRPr="00E16672">
              <w:rPr>
                <w:bCs/>
                <w:i w:val="0"/>
                <w:sz w:val="16"/>
              </w:rPr>
              <w:t xml:space="preserve"> </w:t>
            </w:r>
            <w:proofErr w:type="spellStart"/>
            <w:r w:rsidR="0095761D" w:rsidRPr="00E16672">
              <w:rPr>
                <w:bCs/>
                <w:i w:val="0"/>
                <w:sz w:val="16"/>
              </w:rPr>
              <w:t>паперах</w:t>
            </w:r>
            <w:proofErr w:type="spellEnd"/>
            <w:r w:rsidR="0095761D" w:rsidRPr="00E16672">
              <w:rPr>
                <w:bCs/>
                <w:i w:val="0"/>
                <w:sz w:val="16"/>
              </w:rPr>
              <w:t>.</w:t>
            </w:r>
            <w:r w:rsidR="0095761D" w:rsidRPr="00E16672">
              <w:rPr>
                <w:b/>
                <w:bCs/>
                <w:sz w:val="16"/>
              </w:rPr>
              <w:t xml:space="preserve"> </w:t>
            </w:r>
            <w:r w:rsidRPr="00E16672">
              <w:rPr>
                <w:rFonts w:eastAsia="Times New Roman"/>
                <w:i w:val="0"/>
                <w:sz w:val="16"/>
                <w:szCs w:val="16"/>
                <w:lang w:val="uk-UA"/>
              </w:rPr>
              <w:t xml:space="preserve">Власник має право розділити повноваження з управління рахунком </w:t>
            </w:r>
            <w:r w:rsidR="00C22309" w:rsidRPr="00E16672">
              <w:rPr>
                <w:rFonts w:eastAsia="Times New Roman"/>
                <w:i w:val="0"/>
                <w:sz w:val="16"/>
                <w:szCs w:val="16"/>
                <w:lang w:val="uk-UA"/>
              </w:rPr>
              <w:t>в цін</w:t>
            </w:r>
            <w:r w:rsidRPr="00E16672">
              <w:rPr>
                <w:rFonts w:eastAsia="Times New Roman"/>
                <w:i w:val="0"/>
                <w:sz w:val="16"/>
                <w:szCs w:val="16"/>
                <w:lang w:val="uk-UA"/>
              </w:rPr>
              <w:t>них паперах серед декількох керуючих рахунком. Різним керуючим рахунком - професійним учасникам фондового ринку не можуть делегуватися однакові повноваження. За певним випуском цінних паперів може бути визначений тільки один керуючий рахунком.</w:t>
            </w:r>
          </w:p>
          <w:p w14:paraId="7C4D7366" w14:textId="77777777" w:rsidR="00427890" w:rsidRPr="00E16672" w:rsidRDefault="00427890" w:rsidP="004D052D">
            <w:pPr>
              <w:pStyle w:val="WW-1"/>
              <w:ind w:left="175" w:right="138"/>
              <w:jc w:val="both"/>
              <w:rPr>
                <w:rFonts w:eastAsia="Times New Roman"/>
                <w:i w:val="0"/>
                <w:sz w:val="16"/>
                <w:szCs w:val="16"/>
              </w:rPr>
            </w:pPr>
          </w:p>
        </w:tc>
        <w:tc>
          <w:tcPr>
            <w:tcW w:w="5494" w:type="dxa"/>
            <w:gridSpan w:val="7"/>
            <w:shd w:val="clear" w:color="auto" w:fill="auto"/>
          </w:tcPr>
          <w:p w14:paraId="42511AF9" w14:textId="77777777" w:rsidR="00427890" w:rsidRPr="00E16672" w:rsidRDefault="00427890" w:rsidP="00FD491E">
            <w:pPr>
              <w:tabs>
                <w:tab w:val="left" w:pos="287"/>
              </w:tabs>
              <w:snapToGrid w:val="0"/>
              <w:ind w:left="145" w:right="100" w:firstLine="0"/>
              <w:rPr>
                <w:rFonts w:ascii="Times New Roman" w:hAnsi="Times New Roman"/>
                <w:sz w:val="16"/>
                <w:szCs w:val="16"/>
                <w:lang w:val="en-GB"/>
              </w:rPr>
            </w:pPr>
            <w:r w:rsidRPr="00E16672">
              <w:rPr>
                <w:rFonts w:ascii="Times New Roman" w:hAnsi="Times New Roman"/>
                <w:sz w:val="16"/>
                <w:szCs w:val="16"/>
                <w:lang w:val="en-US"/>
              </w:rPr>
              <w:t>2.4</w:t>
            </w:r>
            <w:r w:rsidRPr="00E16672">
              <w:rPr>
                <w:rFonts w:ascii="Times New Roman" w:hAnsi="Times New Roman"/>
                <w:sz w:val="16"/>
                <w:szCs w:val="16"/>
                <w:lang w:val="en-GB"/>
              </w:rPr>
              <w:t xml:space="preserve">.3. </w:t>
            </w:r>
            <w:r w:rsidR="0095761D" w:rsidRPr="00F23413">
              <w:rPr>
                <w:rFonts w:ascii="Times New Roman" w:hAnsi="Times New Roman"/>
                <w:sz w:val="16"/>
                <w:szCs w:val="16"/>
                <w:lang w:val="en-US"/>
              </w:rPr>
              <w:t>Appoint a</w:t>
            </w:r>
            <w:r w:rsidR="00113864" w:rsidRPr="00E16672">
              <w:rPr>
                <w:rFonts w:ascii="Times New Roman" w:hAnsi="Times New Roman"/>
                <w:sz w:val="16"/>
                <w:szCs w:val="16"/>
                <w:lang w:val="en-US"/>
              </w:rPr>
              <w:t>n</w:t>
            </w:r>
            <w:r w:rsidR="0095761D" w:rsidRPr="00F23413">
              <w:rPr>
                <w:rFonts w:ascii="Times New Roman" w:hAnsi="Times New Roman"/>
                <w:sz w:val="16"/>
                <w:szCs w:val="16"/>
                <w:lang w:val="en-US"/>
              </w:rPr>
              <w:t xml:space="preserve"> </w:t>
            </w:r>
            <w:r w:rsidR="00113864" w:rsidRPr="00E16672">
              <w:rPr>
                <w:rFonts w:ascii="Times New Roman" w:hAnsi="Times New Roman"/>
                <w:sz w:val="16"/>
                <w:szCs w:val="22"/>
              </w:rPr>
              <w:t>а</w:t>
            </w:r>
            <w:proofErr w:type="spellStart"/>
            <w:r w:rsidR="00113864" w:rsidRPr="00E16672">
              <w:rPr>
                <w:rFonts w:ascii="Times New Roman" w:hAnsi="Times New Roman"/>
                <w:sz w:val="16"/>
                <w:szCs w:val="22"/>
                <w:lang w:val="en-US"/>
              </w:rPr>
              <w:t>dministrator</w:t>
            </w:r>
            <w:proofErr w:type="spellEnd"/>
            <w:r w:rsidR="0095761D" w:rsidRPr="00F23413">
              <w:rPr>
                <w:rFonts w:ascii="Times New Roman" w:hAnsi="Times New Roman"/>
                <w:sz w:val="16"/>
                <w:szCs w:val="16"/>
                <w:lang w:val="en-US"/>
              </w:rPr>
              <w:t xml:space="preserve"> (</w:t>
            </w:r>
            <w:r w:rsidR="00113864" w:rsidRPr="00E16672">
              <w:rPr>
                <w:rFonts w:ascii="Times New Roman" w:hAnsi="Times New Roman"/>
                <w:sz w:val="16"/>
                <w:szCs w:val="22"/>
              </w:rPr>
              <w:t>а</w:t>
            </w:r>
            <w:proofErr w:type="spellStart"/>
            <w:r w:rsidR="00113864" w:rsidRPr="00E16672">
              <w:rPr>
                <w:rFonts w:ascii="Times New Roman" w:hAnsi="Times New Roman"/>
                <w:sz w:val="16"/>
                <w:szCs w:val="22"/>
                <w:lang w:val="en-US"/>
              </w:rPr>
              <w:t>dministrator</w:t>
            </w:r>
            <w:r w:rsidR="0095761D" w:rsidRPr="00E16672">
              <w:rPr>
                <w:rFonts w:ascii="Times New Roman" w:hAnsi="Times New Roman"/>
                <w:sz w:val="16"/>
                <w:szCs w:val="16"/>
                <w:lang w:val="en-US"/>
              </w:rPr>
              <w:t>s</w:t>
            </w:r>
            <w:proofErr w:type="spellEnd"/>
            <w:r w:rsidR="0095761D" w:rsidRPr="00F23413">
              <w:rPr>
                <w:rFonts w:ascii="Times New Roman" w:hAnsi="Times New Roman"/>
                <w:sz w:val="16"/>
                <w:szCs w:val="16"/>
                <w:lang w:val="en-US"/>
              </w:rPr>
              <w:t xml:space="preserve">) </w:t>
            </w:r>
            <w:r w:rsidR="0095761D" w:rsidRPr="00E16672">
              <w:rPr>
                <w:rFonts w:ascii="Times New Roman" w:hAnsi="Times New Roman"/>
                <w:sz w:val="16"/>
                <w:lang w:val="en-US"/>
              </w:rPr>
              <w:t xml:space="preserve">of the account in </w:t>
            </w:r>
            <w:proofErr w:type="gramStart"/>
            <w:r w:rsidR="0095761D" w:rsidRPr="00E16672">
              <w:rPr>
                <w:rFonts w:ascii="Times New Roman" w:hAnsi="Times New Roman"/>
                <w:sz w:val="16"/>
                <w:lang w:val="en-US"/>
              </w:rPr>
              <w:t>securities</w:t>
            </w:r>
            <w:r w:rsidR="0095761D" w:rsidRPr="00F23413">
              <w:rPr>
                <w:rFonts w:ascii="Times New Roman" w:hAnsi="Times New Roman"/>
                <w:sz w:val="16"/>
                <w:szCs w:val="16"/>
                <w:lang w:val="en-US"/>
              </w:rPr>
              <w:t>.</w:t>
            </w:r>
            <w:r w:rsidRPr="00E16672">
              <w:rPr>
                <w:rFonts w:ascii="Times New Roman" w:hAnsi="Times New Roman"/>
                <w:sz w:val="16"/>
                <w:szCs w:val="16"/>
                <w:lang w:val="en-GB"/>
              </w:rPr>
              <w:t>The</w:t>
            </w:r>
            <w:proofErr w:type="gramEnd"/>
            <w:r w:rsidRPr="00E16672">
              <w:rPr>
                <w:rFonts w:ascii="Times New Roman" w:hAnsi="Times New Roman"/>
                <w:sz w:val="16"/>
                <w:szCs w:val="16"/>
                <w:lang w:val="en-GB"/>
              </w:rPr>
              <w:t xml:space="preserve"> owner has the right to divide the rights of managing of the account in securities between some of the administrator of the account. Different administrator - professional participants of the stock market </w:t>
            </w:r>
            <w:proofErr w:type="spellStart"/>
            <w:r w:rsidRPr="00E16672">
              <w:rPr>
                <w:rFonts w:ascii="Times New Roman" w:hAnsi="Times New Roman"/>
                <w:sz w:val="16"/>
                <w:szCs w:val="16"/>
                <w:lang w:val="en-GB"/>
              </w:rPr>
              <w:t>can not</w:t>
            </w:r>
            <w:proofErr w:type="spellEnd"/>
            <w:r w:rsidRPr="00E16672">
              <w:rPr>
                <w:rFonts w:ascii="Times New Roman" w:hAnsi="Times New Roman"/>
                <w:sz w:val="16"/>
                <w:szCs w:val="16"/>
                <w:lang w:val="en-GB"/>
              </w:rPr>
              <w:t xml:space="preserve"> be delegated the same powers. In particular issue of securities may be </w:t>
            </w:r>
            <w:proofErr w:type="gramStart"/>
            <w:r w:rsidRPr="00E16672">
              <w:rPr>
                <w:rFonts w:ascii="Times New Roman" w:hAnsi="Times New Roman"/>
                <w:sz w:val="16"/>
                <w:szCs w:val="16"/>
                <w:lang w:val="en-GB"/>
              </w:rPr>
              <w:t>determined  only</w:t>
            </w:r>
            <w:proofErr w:type="gramEnd"/>
            <w:r w:rsidRPr="00E16672">
              <w:rPr>
                <w:rFonts w:ascii="Times New Roman" w:hAnsi="Times New Roman"/>
                <w:sz w:val="16"/>
                <w:szCs w:val="16"/>
                <w:lang w:val="en-GB"/>
              </w:rPr>
              <w:t xml:space="preserve"> one administrator account.</w:t>
            </w:r>
          </w:p>
        </w:tc>
      </w:tr>
      <w:tr w:rsidR="00427890" w:rsidRPr="00F23413" w14:paraId="5EA11AAA" w14:textId="77777777" w:rsidTr="00D77858">
        <w:tblPrEx>
          <w:tblCellMar>
            <w:left w:w="0" w:type="dxa"/>
            <w:right w:w="0" w:type="dxa"/>
          </w:tblCellMar>
        </w:tblPrEx>
        <w:trPr>
          <w:trHeight w:val="192"/>
        </w:trPr>
        <w:tc>
          <w:tcPr>
            <w:tcW w:w="5696" w:type="dxa"/>
            <w:gridSpan w:val="6"/>
            <w:shd w:val="clear" w:color="auto" w:fill="auto"/>
          </w:tcPr>
          <w:p w14:paraId="4513F0CD" w14:textId="77777777" w:rsidR="00427890" w:rsidRPr="00E16672" w:rsidRDefault="00427890" w:rsidP="00746617">
            <w:pPr>
              <w:tabs>
                <w:tab w:val="left" w:pos="709"/>
              </w:tabs>
              <w:snapToGrid w:val="0"/>
              <w:ind w:left="175" w:right="138" w:firstLine="0"/>
              <w:rPr>
                <w:rFonts w:ascii="Times New Roman" w:hAnsi="Times New Roman"/>
                <w:sz w:val="16"/>
                <w:szCs w:val="16"/>
              </w:rPr>
            </w:pPr>
            <w:r w:rsidRPr="00E16672">
              <w:rPr>
                <w:rFonts w:ascii="Times New Roman" w:hAnsi="Times New Roman"/>
                <w:sz w:val="16"/>
                <w:szCs w:val="16"/>
              </w:rPr>
              <w:t xml:space="preserve">2.4.4. </w:t>
            </w:r>
            <w:proofErr w:type="spellStart"/>
            <w:r w:rsidRPr="00E16672">
              <w:rPr>
                <w:rFonts w:ascii="Times New Roman" w:hAnsi="Times New Roman"/>
                <w:sz w:val="16"/>
                <w:szCs w:val="16"/>
              </w:rPr>
              <w:t>Вимагати</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від</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Депозитарної</w:t>
            </w:r>
            <w:proofErr w:type="spellEnd"/>
            <w:r w:rsidRPr="00E16672">
              <w:rPr>
                <w:rFonts w:ascii="Times New Roman" w:hAnsi="Times New Roman"/>
                <w:sz w:val="16"/>
                <w:szCs w:val="16"/>
              </w:rPr>
              <w:t xml:space="preserve"> установи </w:t>
            </w:r>
            <w:proofErr w:type="spellStart"/>
            <w:r w:rsidRPr="00E16672">
              <w:rPr>
                <w:rFonts w:ascii="Times New Roman" w:hAnsi="Times New Roman"/>
                <w:sz w:val="16"/>
                <w:szCs w:val="16"/>
              </w:rPr>
              <w:t>своєчасного</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виконання</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своїх</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розпоряджень</w:t>
            </w:r>
            <w:proofErr w:type="spellEnd"/>
            <w:r w:rsidRPr="00E16672">
              <w:rPr>
                <w:rFonts w:ascii="Times New Roman" w:hAnsi="Times New Roman"/>
                <w:sz w:val="16"/>
                <w:szCs w:val="16"/>
              </w:rPr>
              <w:t xml:space="preserve"> на </w:t>
            </w:r>
            <w:proofErr w:type="spellStart"/>
            <w:r w:rsidRPr="00E16672">
              <w:rPr>
                <w:rFonts w:ascii="Times New Roman" w:hAnsi="Times New Roman"/>
                <w:sz w:val="16"/>
                <w:szCs w:val="16"/>
              </w:rPr>
              <w:t>рахунку</w:t>
            </w:r>
            <w:proofErr w:type="spellEnd"/>
            <w:r w:rsidRPr="00E16672">
              <w:rPr>
                <w:rFonts w:ascii="Times New Roman" w:hAnsi="Times New Roman"/>
                <w:sz w:val="16"/>
                <w:szCs w:val="16"/>
              </w:rPr>
              <w:t xml:space="preserve"> </w:t>
            </w:r>
            <w:r w:rsidR="00C22309" w:rsidRPr="00E16672">
              <w:rPr>
                <w:rFonts w:ascii="Times New Roman" w:hAnsi="Times New Roman"/>
                <w:sz w:val="16"/>
                <w:szCs w:val="16"/>
              </w:rPr>
              <w:t xml:space="preserve">в </w:t>
            </w:r>
            <w:proofErr w:type="spellStart"/>
            <w:r w:rsidR="00C22309" w:rsidRPr="00E16672">
              <w:rPr>
                <w:rFonts w:ascii="Times New Roman" w:hAnsi="Times New Roman"/>
                <w:sz w:val="16"/>
                <w:szCs w:val="16"/>
              </w:rPr>
              <w:t>цін</w:t>
            </w:r>
            <w:r w:rsidRPr="00E16672">
              <w:rPr>
                <w:rFonts w:ascii="Times New Roman" w:hAnsi="Times New Roman"/>
                <w:sz w:val="16"/>
                <w:szCs w:val="16"/>
              </w:rPr>
              <w:t>них</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паперах</w:t>
            </w:r>
            <w:proofErr w:type="spellEnd"/>
            <w:r w:rsidRPr="00E16672">
              <w:rPr>
                <w:rFonts w:ascii="Times New Roman" w:hAnsi="Times New Roman"/>
                <w:sz w:val="16"/>
                <w:szCs w:val="16"/>
              </w:rPr>
              <w:t xml:space="preserve"> та </w:t>
            </w:r>
            <w:proofErr w:type="spellStart"/>
            <w:r w:rsidRPr="00E16672">
              <w:rPr>
                <w:rFonts w:ascii="Times New Roman" w:hAnsi="Times New Roman"/>
                <w:sz w:val="16"/>
                <w:szCs w:val="16"/>
              </w:rPr>
              <w:t>отримувати</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відповідно</w:t>
            </w:r>
            <w:proofErr w:type="spellEnd"/>
            <w:r w:rsidRPr="00E16672">
              <w:rPr>
                <w:rFonts w:ascii="Times New Roman" w:hAnsi="Times New Roman"/>
                <w:sz w:val="16"/>
                <w:szCs w:val="16"/>
              </w:rPr>
              <w:t xml:space="preserve"> до умов Договору </w:t>
            </w:r>
            <w:proofErr w:type="spellStart"/>
            <w:r w:rsidRPr="00E16672">
              <w:rPr>
                <w:rFonts w:ascii="Times New Roman" w:hAnsi="Times New Roman"/>
                <w:sz w:val="16"/>
                <w:szCs w:val="16"/>
              </w:rPr>
              <w:t>повну</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інформацію</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щодо</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цінних</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паперів</w:t>
            </w:r>
            <w:proofErr w:type="spellEnd"/>
            <w:r w:rsidRPr="00E16672">
              <w:rPr>
                <w:rFonts w:ascii="Times New Roman" w:hAnsi="Times New Roman"/>
                <w:sz w:val="16"/>
                <w:szCs w:val="16"/>
              </w:rPr>
              <w:t xml:space="preserve">, прав на </w:t>
            </w:r>
            <w:proofErr w:type="spellStart"/>
            <w:r w:rsidRPr="00E16672">
              <w:rPr>
                <w:rFonts w:ascii="Times New Roman" w:hAnsi="Times New Roman"/>
                <w:sz w:val="16"/>
                <w:szCs w:val="16"/>
              </w:rPr>
              <w:t>цінні</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папери</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які</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обліковуються</w:t>
            </w:r>
            <w:proofErr w:type="spellEnd"/>
            <w:r w:rsidRPr="00E16672">
              <w:rPr>
                <w:rFonts w:ascii="Times New Roman" w:hAnsi="Times New Roman"/>
                <w:sz w:val="16"/>
                <w:szCs w:val="16"/>
              </w:rPr>
              <w:t xml:space="preserve"> на </w:t>
            </w:r>
            <w:proofErr w:type="spellStart"/>
            <w:r w:rsidRPr="00E16672">
              <w:rPr>
                <w:rFonts w:ascii="Times New Roman" w:hAnsi="Times New Roman"/>
                <w:sz w:val="16"/>
                <w:szCs w:val="16"/>
              </w:rPr>
              <w:t>рахунку</w:t>
            </w:r>
            <w:proofErr w:type="spellEnd"/>
            <w:r w:rsidRPr="00E16672">
              <w:rPr>
                <w:rFonts w:ascii="Times New Roman" w:hAnsi="Times New Roman"/>
                <w:sz w:val="16"/>
                <w:szCs w:val="16"/>
              </w:rPr>
              <w:t xml:space="preserve"> </w:t>
            </w:r>
            <w:r w:rsidR="00C22309" w:rsidRPr="00E16672">
              <w:rPr>
                <w:rFonts w:ascii="Times New Roman" w:hAnsi="Times New Roman"/>
                <w:sz w:val="16"/>
                <w:szCs w:val="16"/>
              </w:rPr>
              <w:t xml:space="preserve">в </w:t>
            </w:r>
            <w:proofErr w:type="spellStart"/>
            <w:r w:rsidR="00C22309" w:rsidRPr="00E16672">
              <w:rPr>
                <w:rFonts w:ascii="Times New Roman" w:hAnsi="Times New Roman"/>
                <w:sz w:val="16"/>
                <w:szCs w:val="16"/>
              </w:rPr>
              <w:t>цін</w:t>
            </w:r>
            <w:r w:rsidRPr="00E16672">
              <w:rPr>
                <w:rFonts w:ascii="Times New Roman" w:hAnsi="Times New Roman"/>
                <w:sz w:val="16"/>
                <w:szCs w:val="16"/>
              </w:rPr>
              <w:t>них</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паперах</w:t>
            </w:r>
            <w:proofErr w:type="spellEnd"/>
            <w:r w:rsidR="00DB4148" w:rsidRPr="00E16672">
              <w:rPr>
                <w:rFonts w:ascii="Times New Roman" w:hAnsi="Times New Roman"/>
                <w:sz w:val="16"/>
                <w:szCs w:val="16"/>
              </w:rPr>
              <w:t xml:space="preserve"> </w:t>
            </w:r>
            <w:r w:rsidR="00DB4148" w:rsidRPr="00E16672">
              <w:rPr>
                <w:rFonts w:ascii="Times New Roman" w:hAnsi="Times New Roman"/>
                <w:sz w:val="16"/>
                <w:szCs w:val="16"/>
                <w:lang w:val="uk-UA"/>
              </w:rPr>
              <w:t>Депонента</w:t>
            </w:r>
            <w:r w:rsidRPr="00E16672">
              <w:rPr>
                <w:rFonts w:ascii="Times New Roman" w:hAnsi="Times New Roman"/>
                <w:sz w:val="16"/>
                <w:szCs w:val="16"/>
              </w:rPr>
              <w:t>.</w:t>
            </w:r>
          </w:p>
          <w:p w14:paraId="2909BDAB" w14:textId="77777777" w:rsidR="00427890" w:rsidRPr="00E16672" w:rsidRDefault="00427890" w:rsidP="004D052D">
            <w:pPr>
              <w:tabs>
                <w:tab w:val="left" w:pos="709"/>
              </w:tabs>
              <w:ind w:left="175" w:right="138"/>
              <w:rPr>
                <w:rFonts w:ascii="Times New Roman" w:hAnsi="Times New Roman"/>
                <w:sz w:val="16"/>
                <w:szCs w:val="16"/>
              </w:rPr>
            </w:pPr>
          </w:p>
        </w:tc>
        <w:tc>
          <w:tcPr>
            <w:tcW w:w="5494" w:type="dxa"/>
            <w:gridSpan w:val="7"/>
            <w:shd w:val="clear" w:color="auto" w:fill="auto"/>
          </w:tcPr>
          <w:p w14:paraId="75BE10C0" w14:textId="77777777" w:rsidR="00427890" w:rsidRPr="00E16672" w:rsidRDefault="00427890" w:rsidP="00746617">
            <w:pPr>
              <w:tabs>
                <w:tab w:val="left" w:pos="287"/>
              </w:tabs>
              <w:snapToGrid w:val="0"/>
              <w:ind w:left="145" w:right="100" w:firstLine="0"/>
              <w:rPr>
                <w:rFonts w:ascii="Times New Roman" w:hAnsi="Times New Roman"/>
                <w:sz w:val="16"/>
                <w:szCs w:val="16"/>
                <w:lang w:val="en-GB"/>
              </w:rPr>
            </w:pPr>
            <w:r w:rsidRPr="00E16672">
              <w:rPr>
                <w:rFonts w:ascii="Times New Roman" w:hAnsi="Times New Roman"/>
                <w:sz w:val="16"/>
                <w:szCs w:val="16"/>
                <w:lang w:val="en-US"/>
              </w:rPr>
              <w:t>2.4</w:t>
            </w:r>
            <w:r w:rsidRPr="00E16672">
              <w:rPr>
                <w:rFonts w:ascii="Times New Roman" w:hAnsi="Times New Roman"/>
                <w:sz w:val="16"/>
                <w:szCs w:val="16"/>
                <w:lang w:val="en-GB"/>
              </w:rPr>
              <w:t>.</w:t>
            </w:r>
            <w:r w:rsidRPr="00E16672">
              <w:rPr>
                <w:rFonts w:ascii="Times New Roman" w:hAnsi="Times New Roman"/>
                <w:sz w:val="16"/>
                <w:szCs w:val="16"/>
                <w:lang w:val="en-US"/>
              </w:rPr>
              <w:t>4</w:t>
            </w:r>
            <w:r w:rsidRPr="00E16672">
              <w:rPr>
                <w:rFonts w:ascii="Times New Roman" w:hAnsi="Times New Roman"/>
                <w:sz w:val="16"/>
                <w:szCs w:val="16"/>
                <w:lang w:val="en-GB"/>
              </w:rPr>
              <w:t xml:space="preserve">. To demand the Depository institution to keep the terms of execution of the orders on the account in </w:t>
            </w:r>
            <w:proofErr w:type="gramStart"/>
            <w:r w:rsidRPr="00E16672">
              <w:rPr>
                <w:rFonts w:ascii="Times New Roman" w:hAnsi="Times New Roman"/>
                <w:sz w:val="16"/>
                <w:szCs w:val="16"/>
                <w:lang w:val="en-GB"/>
              </w:rPr>
              <w:t>securities  and</w:t>
            </w:r>
            <w:proofErr w:type="gramEnd"/>
            <w:r w:rsidRPr="00E16672">
              <w:rPr>
                <w:rFonts w:ascii="Times New Roman" w:hAnsi="Times New Roman"/>
                <w:sz w:val="16"/>
                <w:szCs w:val="16"/>
                <w:lang w:val="en-GB"/>
              </w:rPr>
              <w:t xml:space="preserve"> receive pursuant to the terms of the Agreement full information concerning securities, rights on securities that are registered on  the account in securities</w:t>
            </w:r>
            <w:r w:rsidR="00DB4148" w:rsidRPr="00E16672">
              <w:rPr>
                <w:rFonts w:ascii="Times New Roman" w:hAnsi="Times New Roman"/>
                <w:sz w:val="16"/>
                <w:szCs w:val="16"/>
                <w:lang w:val="en-GB"/>
              </w:rPr>
              <w:t xml:space="preserve"> of Depositor</w:t>
            </w:r>
            <w:r w:rsidRPr="00E16672">
              <w:rPr>
                <w:rFonts w:ascii="Times New Roman" w:hAnsi="Times New Roman"/>
                <w:sz w:val="16"/>
                <w:szCs w:val="16"/>
                <w:lang w:val="en-GB"/>
              </w:rPr>
              <w:t>.</w:t>
            </w:r>
          </w:p>
          <w:p w14:paraId="17958878" w14:textId="77777777" w:rsidR="00427890" w:rsidRPr="00E16672" w:rsidRDefault="00427890" w:rsidP="00E27FD1">
            <w:pPr>
              <w:tabs>
                <w:tab w:val="left" w:pos="287"/>
              </w:tabs>
              <w:snapToGrid w:val="0"/>
              <w:ind w:left="145" w:right="100"/>
              <w:rPr>
                <w:rFonts w:ascii="Times New Roman" w:hAnsi="Times New Roman"/>
                <w:sz w:val="16"/>
                <w:szCs w:val="16"/>
                <w:lang w:val="en-US"/>
              </w:rPr>
            </w:pPr>
          </w:p>
        </w:tc>
      </w:tr>
      <w:tr w:rsidR="00427890" w:rsidRPr="00F23413" w14:paraId="18D8142E" w14:textId="77777777" w:rsidTr="00D77858">
        <w:tblPrEx>
          <w:tblCellMar>
            <w:left w:w="0" w:type="dxa"/>
            <w:right w:w="0" w:type="dxa"/>
          </w:tblCellMar>
        </w:tblPrEx>
        <w:trPr>
          <w:trHeight w:val="192"/>
        </w:trPr>
        <w:tc>
          <w:tcPr>
            <w:tcW w:w="5696" w:type="dxa"/>
            <w:gridSpan w:val="6"/>
            <w:shd w:val="clear" w:color="auto" w:fill="auto"/>
          </w:tcPr>
          <w:p w14:paraId="6588D900" w14:textId="77777777" w:rsidR="00427890" w:rsidRPr="00E16672" w:rsidRDefault="00427890" w:rsidP="004D052D">
            <w:pPr>
              <w:pStyle w:val="WW-1"/>
              <w:tabs>
                <w:tab w:val="left" w:pos="709"/>
              </w:tabs>
              <w:snapToGrid w:val="0"/>
              <w:ind w:left="175" w:right="138"/>
              <w:jc w:val="both"/>
              <w:rPr>
                <w:rFonts w:eastAsia="Times New Roman"/>
                <w:i w:val="0"/>
                <w:sz w:val="16"/>
                <w:szCs w:val="16"/>
                <w:lang w:val="uk-UA"/>
              </w:rPr>
            </w:pPr>
            <w:r w:rsidRPr="00E16672">
              <w:rPr>
                <w:i w:val="0"/>
                <w:sz w:val="16"/>
                <w:szCs w:val="16"/>
              </w:rPr>
              <w:t>2.4</w:t>
            </w:r>
            <w:r w:rsidRPr="00E16672">
              <w:rPr>
                <w:rFonts w:eastAsia="Times New Roman"/>
                <w:i w:val="0"/>
                <w:sz w:val="16"/>
                <w:szCs w:val="16"/>
                <w:lang w:val="uk-UA"/>
              </w:rPr>
              <w:t>.</w:t>
            </w:r>
            <w:r w:rsidRPr="00E16672">
              <w:rPr>
                <w:rFonts w:eastAsia="Times New Roman"/>
                <w:i w:val="0"/>
                <w:sz w:val="16"/>
                <w:szCs w:val="16"/>
              </w:rPr>
              <w:t>5</w:t>
            </w:r>
            <w:r w:rsidRPr="00E16672">
              <w:rPr>
                <w:rFonts w:eastAsia="Times New Roman"/>
                <w:i w:val="0"/>
                <w:sz w:val="16"/>
                <w:szCs w:val="16"/>
                <w:lang w:val="uk-UA"/>
              </w:rPr>
              <w:t xml:space="preserve">. Вимагати від Депозитарної установи виконання умов обслуговування </w:t>
            </w:r>
            <w:proofErr w:type="spellStart"/>
            <w:r w:rsidRPr="00E16672">
              <w:rPr>
                <w:rFonts w:eastAsia="Times New Roman"/>
                <w:i w:val="0"/>
                <w:sz w:val="16"/>
                <w:szCs w:val="16"/>
                <w:lang w:val="uk-UA"/>
              </w:rPr>
              <w:t>обіг</w:t>
            </w:r>
            <w:r w:rsidR="00C22309" w:rsidRPr="00E16672">
              <w:rPr>
                <w:rFonts w:eastAsia="Times New Roman"/>
                <w:i w:val="0"/>
                <w:sz w:val="16"/>
                <w:szCs w:val="16"/>
                <w:lang w:val="uk-UA"/>
              </w:rPr>
              <w:t>в</w:t>
            </w:r>
            <w:proofErr w:type="spellEnd"/>
            <w:r w:rsidR="00C22309" w:rsidRPr="00E16672">
              <w:rPr>
                <w:rFonts w:eastAsia="Times New Roman"/>
                <w:i w:val="0"/>
                <w:sz w:val="16"/>
                <w:szCs w:val="16"/>
                <w:lang w:val="uk-UA"/>
              </w:rPr>
              <w:t xml:space="preserve"> цін</w:t>
            </w:r>
            <w:r w:rsidRPr="00E16672">
              <w:rPr>
                <w:rFonts w:eastAsia="Times New Roman"/>
                <w:i w:val="0"/>
                <w:sz w:val="16"/>
                <w:szCs w:val="16"/>
                <w:lang w:val="uk-UA"/>
              </w:rPr>
              <w:t xml:space="preserve">них паперів на рахунку </w:t>
            </w:r>
            <w:r w:rsidR="00C22309" w:rsidRPr="00E16672">
              <w:rPr>
                <w:rFonts w:eastAsia="Times New Roman"/>
                <w:i w:val="0"/>
                <w:sz w:val="16"/>
                <w:szCs w:val="16"/>
                <w:lang w:val="uk-UA"/>
              </w:rPr>
              <w:t>в цін</w:t>
            </w:r>
            <w:r w:rsidRPr="00E16672">
              <w:rPr>
                <w:rFonts w:eastAsia="Times New Roman"/>
                <w:i w:val="0"/>
                <w:sz w:val="16"/>
                <w:szCs w:val="16"/>
                <w:lang w:val="uk-UA"/>
              </w:rPr>
              <w:t xml:space="preserve">них паперах Депонента, обліку прав на цінні папери та їх обмежень на рахунках </w:t>
            </w:r>
            <w:r w:rsidR="00C22309" w:rsidRPr="00E16672">
              <w:rPr>
                <w:rFonts w:eastAsia="Times New Roman"/>
                <w:i w:val="0"/>
                <w:sz w:val="16"/>
                <w:szCs w:val="16"/>
                <w:lang w:val="uk-UA"/>
              </w:rPr>
              <w:t>в цін</w:t>
            </w:r>
            <w:r w:rsidRPr="00E16672">
              <w:rPr>
                <w:rFonts w:eastAsia="Times New Roman"/>
                <w:i w:val="0"/>
                <w:sz w:val="16"/>
                <w:szCs w:val="16"/>
                <w:lang w:val="uk-UA"/>
              </w:rPr>
              <w:t xml:space="preserve">них паперах </w:t>
            </w:r>
            <w:r w:rsidR="00DB4148" w:rsidRPr="00E16672">
              <w:rPr>
                <w:rFonts w:eastAsia="Times New Roman"/>
                <w:i w:val="0"/>
                <w:sz w:val="16"/>
                <w:szCs w:val="16"/>
                <w:lang w:val="uk-UA"/>
              </w:rPr>
              <w:t>Депонент</w:t>
            </w:r>
            <w:r w:rsidR="00DB4148" w:rsidRPr="00E16672">
              <w:rPr>
                <w:rFonts w:eastAsia="Times New Roman"/>
                <w:i w:val="0"/>
                <w:sz w:val="16"/>
                <w:szCs w:val="16"/>
                <w:lang w:val="en-US"/>
              </w:rPr>
              <w:t>a</w:t>
            </w:r>
            <w:r w:rsidRPr="00E16672">
              <w:rPr>
                <w:rFonts w:eastAsia="Times New Roman"/>
                <w:i w:val="0"/>
                <w:sz w:val="16"/>
                <w:szCs w:val="16"/>
                <w:lang w:val="uk-UA"/>
              </w:rPr>
              <w:t>.</w:t>
            </w:r>
          </w:p>
          <w:p w14:paraId="4DF9CEC2" w14:textId="77777777" w:rsidR="00427890" w:rsidRPr="00E16672" w:rsidRDefault="00427890" w:rsidP="004D052D">
            <w:pPr>
              <w:pStyle w:val="WW-1"/>
              <w:tabs>
                <w:tab w:val="left" w:pos="709"/>
              </w:tabs>
              <w:ind w:left="175" w:right="138"/>
              <w:jc w:val="both"/>
              <w:rPr>
                <w:rFonts w:eastAsia="Times New Roman"/>
                <w:i w:val="0"/>
                <w:sz w:val="16"/>
                <w:szCs w:val="16"/>
              </w:rPr>
            </w:pPr>
          </w:p>
        </w:tc>
        <w:tc>
          <w:tcPr>
            <w:tcW w:w="5494" w:type="dxa"/>
            <w:gridSpan w:val="7"/>
            <w:shd w:val="clear" w:color="auto" w:fill="auto"/>
          </w:tcPr>
          <w:p w14:paraId="037DC8B0" w14:textId="77777777" w:rsidR="00427890" w:rsidRPr="00E16672" w:rsidRDefault="00427890" w:rsidP="00E27FD1">
            <w:pPr>
              <w:pStyle w:val="210"/>
              <w:tabs>
                <w:tab w:val="left" w:pos="287"/>
                <w:tab w:val="left" w:pos="1191"/>
              </w:tabs>
              <w:snapToGrid w:val="0"/>
              <w:ind w:left="145" w:right="100" w:firstLine="0"/>
              <w:rPr>
                <w:rFonts w:ascii="Times New Roman" w:hAnsi="Times New Roman"/>
                <w:sz w:val="16"/>
                <w:szCs w:val="16"/>
                <w:lang w:val="en-GB"/>
              </w:rPr>
            </w:pPr>
            <w:r w:rsidRPr="00E16672">
              <w:rPr>
                <w:rFonts w:ascii="Times New Roman" w:hAnsi="Times New Roman"/>
                <w:sz w:val="16"/>
                <w:szCs w:val="16"/>
                <w:lang w:val="en-US"/>
              </w:rPr>
              <w:t>2.4</w:t>
            </w:r>
            <w:r w:rsidRPr="00E16672">
              <w:rPr>
                <w:rFonts w:ascii="Times New Roman" w:hAnsi="Times New Roman"/>
                <w:sz w:val="16"/>
                <w:szCs w:val="16"/>
                <w:lang w:val="en-GB"/>
              </w:rPr>
              <w:t xml:space="preserve">.5. To demand the Depository institution to keep the conditions of servicing of securities and </w:t>
            </w:r>
            <w:proofErr w:type="gramStart"/>
            <w:r w:rsidRPr="00E16672">
              <w:rPr>
                <w:rFonts w:ascii="Times New Roman" w:hAnsi="Times New Roman"/>
                <w:sz w:val="16"/>
                <w:szCs w:val="16"/>
                <w:lang w:val="en-GB"/>
              </w:rPr>
              <w:t>on  the</w:t>
            </w:r>
            <w:proofErr w:type="gramEnd"/>
            <w:r w:rsidRPr="00E16672">
              <w:rPr>
                <w:rFonts w:ascii="Times New Roman" w:hAnsi="Times New Roman"/>
                <w:sz w:val="16"/>
                <w:szCs w:val="16"/>
                <w:lang w:val="en-GB"/>
              </w:rPr>
              <w:t xml:space="preserve"> account in securities of Depositor, accounting of  rights on securities and restrictions on the accounts in securities of </w:t>
            </w:r>
            <w:r w:rsidR="00DB4148" w:rsidRPr="00E16672">
              <w:rPr>
                <w:rFonts w:ascii="Times New Roman" w:hAnsi="Times New Roman"/>
                <w:sz w:val="16"/>
                <w:szCs w:val="16"/>
                <w:lang w:val="en-GB"/>
              </w:rPr>
              <w:t xml:space="preserve">Depositor </w:t>
            </w:r>
            <w:r w:rsidRPr="00E16672">
              <w:rPr>
                <w:rFonts w:ascii="Times New Roman" w:hAnsi="Times New Roman"/>
                <w:sz w:val="16"/>
                <w:szCs w:val="16"/>
                <w:lang w:val="en-GB"/>
              </w:rPr>
              <w:t>.</w:t>
            </w:r>
          </w:p>
          <w:p w14:paraId="0B88C41C" w14:textId="77777777" w:rsidR="00427890" w:rsidRPr="00E16672" w:rsidRDefault="00427890" w:rsidP="00E27FD1">
            <w:pPr>
              <w:tabs>
                <w:tab w:val="left" w:pos="287"/>
              </w:tabs>
              <w:ind w:left="145" w:right="100"/>
              <w:jc w:val="center"/>
              <w:rPr>
                <w:rFonts w:ascii="Times New Roman" w:hAnsi="Times New Roman"/>
                <w:b/>
                <w:bCs/>
                <w:sz w:val="16"/>
                <w:szCs w:val="16"/>
                <w:lang w:val="en-GB"/>
              </w:rPr>
            </w:pPr>
          </w:p>
        </w:tc>
      </w:tr>
      <w:tr w:rsidR="00427890" w:rsidRPr="00F23413" w14:paraId="0EF59F4A" w14:textId="77777777" w:rsidTr="00D77858">
        <w:tblPrEx>
          <w:tblCellMar>
            <w:left w:w="0" w:type="dxa"/>
            <w:right w:w="0" w:type="dxa"/>
          </w:tblCellMar>
        </w:tblPrEx>
        <w:trPr>
          <w:trHeight w:val="192"/>
        </w:trPr>
        <w:tc>
          <w:tcPr>
            <w:tcW w:w="5696" w:type="dxa"/>
            <w:gridSpan w:val="6"/>
            <w:shd w:val="clear" w:color="auto" w:fill="auto"/>
          </w:tcPr>
          <w:p w14:paraId="348AF06B" w14:textId="77777777" w:rsidR="00427890" w:rsidRPr="00E16672" w:rsidRDefault="00427890" w:rsidP="004D052D">
            <w:pPr>
              <w:pStyle w:val="WW-1"/>
              <w:tabs>
                <w:tab w:val="left" w:pos="709"/>
              </w:tabs>
              <w:snapToGrid w:val="0"/>
              <w:ind w:left="175" w:right="138"/>
              <w:jc w:val="both"/>
              <w:rPr>
                <w:rFonts w:eastAsia="Times New Roman"/>
                <w:i w:val="0"/>
                <w:sz w:val="16"/>
                <w:szCs w:val="16"/>
                <w:lang w:val="uk-UA"/>
              </w:rPr>
            </w:pPr>
            <w:r w:rsidRPr="00E16672">
              <w:rPr>
                <w:i w:val="0"/>
                <w:sz w:val="16"/>
                <w:szCs w:val="16"/>
              </w:rPr>
              <w:t>2.4</w:t>
            </w:r>
            <w:r w:rsidRPr="00E16672">
              <w:rPr>
                <w:rFonts w:eastAsia="Times New Roman"/>
                <w:i w:val="0"/>
                <w:sz w:val="16"/>
                <w:szCs w:val="16"/>
                <w:lang w:val="uk-UA"/>
              </w:rPr>
              <w:t>.</w:t>
            </w:r>
            <w:r w:rsidRPr="00E16672">
              <w:rPr>
                <w:rFonts w:eastAsia="Times New Roman"/>
                <w:i w:val="0"/>
                <w:sz w:val="16"/>
                <w:szCs w:val="16"/>
              </w:rPr>
              <w:t>6</w:t>
            </w:r>
            <w:r w:rsidRPr="00E16672">
              <w:rPr>
                <w:rFonts w:eastAsia="Times New Roman"/>
                <w:i w:val="0"/>
                <w:sz w:val="16"/>
                <w:szCs w:val="16"/>
                <w:lang w:val="uk-UA"/>
              </w:rPr>
              <w:t xml:space="preserve">. У випадку початку Депозитарною установою  процедури припинення ним провадження професійної діяльності на фондовому ринку - депозитарної діяльності, а саме депозитарної діяльності депозитарної установи відповідно </w:t>
            </w:r>
            <w:r w:rsidRPr="00E16672">
              <w:rPr>
                <w:rFonts w:eastAsia="Times New Roman"/>
                <w:i w:val="0"/>
                <w:sz w:val="16"/>
                <w:szCs w:val="16"/>
                <w:lang w:val="uk-UA"/>
              </w:rPr>
              <w:lastRenderedPageBreak/>
              <w:t xml:space="preserve">до вимог  нормативно-правового </w:t>
            </w:r>
            <w:proofErr w:type="spellStart"/>
            <w:r w:rsidRPr="00E16672">
              <w:rPr>
                <w:rFonts w:eastAsia="Times New Roman"/>
                <w:i w:val="0"/>
                <w:sz w:val="16"/>
                <w:szCs w:val="16"/>
                <w:lang w:val="uk-UA"/>
              </w:rPr>
              <w:t>акта</w:t>
            </w:r>
            <w:proofErr w:type="spellEnd"/>
            <w:r w:rsidRPr="00E16672">
              <w:rPr>
                <w:rFonts w:eastAsia="Times New Roman"/>
                <w:i w:val="0"/>
                <w:sz w:val="16"/>
                <w:szCs w:val="16"/>
                <w:lang w:val="uk-UA"/>
              </w:rPr>
              <w:t xml:space="preserve"> щодо припинення депозитарної діяльності депозитарної установи, надавати тільки ті розпорядження щодо  цінних паперів, що належать йому, виконання яких не заборонено законодавством.</w:t>
            </w:r>
          </w:p>
          <w:p w14:paraId="51360C31" w14:textId="77777777" w:rsidR="00427890" w:rsidRPr="00E16672" w:rsidRDefault="00427890" w:rsidP="004D052D">
            <w:pPr>
              <w:pStyle w:val="WW-1"/>
              <w:tabs>
                <w:tab w:val="left" w:pos="709"/>
              </w:tabs>
              <w:ind w:left="175" w:right="138"/>
              <w:jc w:val="both"/>
              <w:rPr>
                <w:rFonts w:eastAsia="Times New Roman"/>
                <w:i w:val="0"/>
                <w:sz w:val="16"/>
                <w:szCs w:val="16"/>
              </w:rPr>
            </w:pPr>
          </w:p>
        </w:tc>
        <w:tc>
          <w:tcPr>
            <w:tcW w:w="5494" w:type="dxa"/>
            <w:gridSpan w:val="7"/>
            <w:shd w:val="clear" w:color="auto" w:fill="auto"/>
          </w:tcPr>
          <w:p w14:paraId="217E8D0B" w14:textId="77777777" w:rsidR="00427890" w:rsidRPr="00E16672" w:rsidRDefault="00427890" w:rsidP="00E27FD1">
            <w:pPr>
              <w:pStyle w:val="210"/>
              <w:tabs>
                <w:tab w:val="left" w:pos="287"/>
                <w:tab w:val="left" w:pos="1191"/>
              </w:tabs>
              <w:snapToGrid w:val="0"/>
              <w:ind w:left="145" w:right="100" w:firstLine="0"/>
              <w:rPr>
                <w:rFonts w:ascii="Times New Roman" w:hAnsi="Times New Roman"/>
                <w:sz w:val="16"/>
                <w:szCs w:val="16"/>
              </w:rPr>
            </w:pPr>
            <w:r w:rsidRPr="00E16672">
              <w:rPr>
                <w:rFonts w:ascii="Times New Roman" w:hAnsi="Times New Roman"/>
                <w:sz w:val="16"/>
                <w:szCs w:val="16"/>
                <w:lang w:val="en-US"/>
              </w:rPr>
              <w:lastRenderedPageBreak/>
              <w:t>2.4</w:t>
            </w:r>
            <w:r w:rsidRPr="00E16672">
              <w:rPr>
                <w:rFonts w:ascii="Times New Roman" w:hAnsi="Times New Roman"/>
                <w:sz w:val="16"/>
                <w:szCs w:val="16"/>
              </w:rPr>
              <w:t>.</w:t>
            </w:r>
            <w:r w:rsidRPr="00E16672">
              <w:rPr>
                <w:rFonts w:ascii="Times New Roman" w:hAnsi="Times New Roman"/>
                <w:sz w:val="16"/>
                <w:szCs w:val="16"/>
                <w:lang w:val="en-US"/>
              </w:rPr>
              <w:t>6</w:t>
            </w:r>
            <w:r w:rsidRPr="00E16672">
              <w:rPr>
                <w:rFonts w:ascii="Times New Roman" w:hAnsi="Times New Roman"/>
                <w:sz w:val="16"/>
                <w:szCs w:val="16"/>
              </w:rPr>
              <w:t xml:space="preserve">. </w:t>
            </w:r>
            <w:proofErr w:type="spellStart"/>
            <w:r w:rsidRPr="00E16672">
              <w:rPr>
                <w:rFonts w:ascii="Times New Roman" w:hAnsi="Times New Roman"/>
                <w:sz w:val="16"/>
                <w:szCs w:val="16"/>
              </w:rPr>
              <w:t>In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case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beginning</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by</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Depository</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institution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procedure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of</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stopping</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exercise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of</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professional</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activity</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stock</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market</w:t>
            </w:r>
            <w:proofErr w:type="spellEnd"/>
            <w:r w:rsidRPr="00E16672">
              <w:rPr>
                <w:rFonts w:ascii="Times New Roman" w:hAnsi="Times New Roman"/>
                <w:sz w:val="16"/>
                <w:szCs w:val="16"/>
              </w:rPr>
              <w:t xml:space="preserve"> - </w:t>
            </w:r>
            <w:proofErr w:type="spellStart"/>
            <w:r w:rsidRPr="00E16672">
              <w:rPr>
                <w:rFonts w:ascii="Times New Roman" w:hAnsi="Times New Roman"/>
                <w:sz w:val="16"/>
                <w:szCs w:val="16"/>
              </w:rPr>
              <w:t>depository</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activities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of</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Depository</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institution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in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accordance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with</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legal</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act</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as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to</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stopping</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lastRenderedPageBreak/>
              <w:t>depository</w:t>
            </w:r>
            <w:proofErr w:type="spellEnd"/>
            <w:r w:rsidRPr="00E16672">
              <w:rPr>
                <w:rFonts w:ascii="Times New Roman" w:hAnsi="Times New Roman"/>
                <w:sz w:val="16"/>
                <w:szCs w:val="16"/>
              </w:rPr>
              <w:t xml:space="preserve"> </w:t>
            </w:r>
            <w:proofErr w:type="spellStart"/>
            <w:r w:rsidR="00FD491E" w:rsidRPr="00E16672">
              <w:rPr>
                <w:rFonts w:ascii="Times New Roman" w:hAnsi="Times New Roman"/>
                <w:sz w:val="16"/>
                <w:szCs w:val="16"/>
              </w:rPr>
              <w:t>activity</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of</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Depository</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institution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provide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only</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orders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of</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securities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owned</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by</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him</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performance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of</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which</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is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not</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prohibited</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by</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law</w:t>
            </w:r>
            <w:proofErr w:type="spellEnd"/>
            <w:r w:rsidRPr="00E16672">
              <w:rPr>
                <w:rFonts w:ascii="Times New Roman" w:hAnsi="Times New Roman"/>
                <w:sz w:val="16"/>
                <w:szCs w:val="16"/>
              </w:rPr>
              <w:t>.</w:t>
            </w:r>
          </w:p>
        </w:tc>
      </w:tr>
      <w:tr w:rsidR="00427890" w:rsidRPr="00F23413" w14:paraId="75CF6E94" w14:textId="77777777" w:rsidTr="00D77858">
        <w:tblPrEx>
          <w:tblCellMar>
            <w:left w:w="0" w:type="dxa"/>
            <w:right w:w="0" w:type="dxa"/>
          </w:tblCellMar>
        </w:tblPrEx>
        <w:trPr>
          <w:trHeight w:val="192"/>
        </w:trPr>
        <w:tc>
          <w:tcPr>
            <w:tcW w:w="5696" w:type="dxa"/>
            <w:gridSpan w:val="6"/>
            <w:shd w:val="clear" w:color="auto" w:fill="auto"/>
          </w:tcPr>
          <w:p w14:paraId="7FEC8783" w14:textId="77777777" w:rsidR="00427890" w:rsidRPr="00E16672" w:rsidRDefault="00427890" w:rsidP="00022F5F">
            <w:pPr>
              <w:ind w:left="175" w:right="138" w:firstLine="0"/>
              <w:jc w:val="left"/>
              <w:rPr>
                <w:rFonts w:ascii="Times New Roman" w:hAnsi="Times New Roman"/>
                <w:color w:val="000000"/>
                <w:sz w:val="16"/>
                <w:szCs w:val="16"/>
                <w:lang w:val="uk-UA"/>
              </w:rPr>
            </w:pPr>
            <w:r w:rsidRPr="00E16672">
              <w:rPr>
                <w:rFonts w:ascii="Times New Roman" w:hAnsi="Times New Roman"/>
                <w:color w:val="000000"/>
                <w:sz w:val="16"/>
                <w:szCs w:val="16"/>
                <w:lang w:val="uk-UA"/>
              </w:rPr>
              <w:lastRenderedPageBreak/>
              <w:t xml:space="preserve">2.4.7. Надавати Депозитарній установі інформацію лише щодо одного торговця цінними паперами, якому Депонентом надані повноваження на вчинення правочинів щодо цінних паперів в інтересах Депонента, які виконуються із забезпеченням здійснення розрахунків за правочинами щодо цінних паперів з дотриманням принципу </w:t>
            </w:r>
            <w:r w:rsidR="00022F5F">
              <w:rPr>
                <w:rFonts w:ascii="Times New Roman" w:hAnsi="Times New Roman"/>
                <w:color w:val="000000"/>
                <w:sz w:val="16"/>
                <w:szCs w:val="16"/>
                <w:lang w:val="uk-UA"/>
              </w:rPr>
              <w:t>"</w:t>
            </w:r>
            <w:r w:rsidRPr="00E16672">
              <w:rPr>
                <w:rFonts w:ascii="Times New Roman" w:hAnsi="Times New Roman"/>
                <w:color w:val="000000"/>
                <w:sz w:val="16"/>
                <w:szCs w:val="16"/>
                <w:lang w:val="uk-UA"/>
              </w:rPr>
              <w:t>поставка цінних паперів проти оплати</w:t>
            </w:r>
            <w:r w:rsidR="00022F5F">
              <w:rPr>
                <w:rFonts w:ascii="Times New Roman" w:hAnsi="Times New Roman"/>
                <w:color w:val="000000"/>
                <w:sz w:val="16"/>
                <w:szCs w:val="16"/>
                <w:lang w:val="uk-UA"/>
              </w:rPr>
              <w:t>"</w:t>
            </w:r>
            <w:r w:rsidRPr="00E16672">
              <w:rPr>
                <w:rFonts w:ascii="Times New Roman" w:hAnsi="Times New Roman"/>
                <w:color w:val="000000"/>
                <w:sz w:val="16"/>
                <w:szCs w:val="16"/>
                <w:lang w:val="uk-UA"/>
              </w:rPr>
              <w:t>.</w:t>
            </w:r>
          </w:p>
          <w:p w14:paraId="30179E2F" w14:textId="77777777" w:rsidR="00427890" w:rsidRPr="00E16672" w:rsidRDefault="00427890" w:rsidP="004D052D">
            <w:pPr>
              <w:pStyle w:val="WW-1"/>
              <w:tabs>
                <w:tab w:val="left" w:pos="709"/>
              </w:tabs>
              <w:snapToGrid w:val="0"/>
              <w:ind w:left="175" w:right="138"/>
              <w:jc w:val="both"/>
              <w:rPr>
                <w:rFonts w:eastAsia="Times New Roman"/>
                <w:i w:val="0"/>
                <w:color w:val="000000"/>
                <w:sz w:val="16"/>
                <w:szCs w:val="16"/>
                <w:lang w:val="uk-UA"/>
              </w:rPr>
            </w:pPr>
          </w:p>
        </w:tc>
        <w:tc>
          <w:tcPr>
            <w:tcW w:w="5494" w:type="dxa"/>
            <w:gridSpan w:val="7"/>
            <w:shd w:val="clear" w:color="auto" w:fill="auto"/>
          </w:tcPr>
          <w:p w14:paraId="151C32A4" w14:textId="77777777" w:rsidR="00427890" w:rsidRPr="00E16672" w:rsidRDefault="00427890" w:rsidP="00022F5F">
            <w:pPr>
              <w:pStyle w:val="210"/>
              <w:tabs>
                <w:tab w:val="left" w:pos="287"/>
                <w:tab w:val="left" w:pos="1191"/>
              </w:tabs>
              <w:snapToGrid w:val="0"/>
              <w:ind w:left="145" w:right="100" w:firstLine="0"/>
              <w:jc w:val="left"/>
              <w:rPr>
                <w:rFonts w:ascii="Times New Roman" w:hAnsi="Times New Roman"/>
                <w:color w:val="000000"/>
                <w:sz w:val="16"/>
                <w:szCs w:val="16"/>
                <w:lang w:val="en-US"/>
              </w:rPr>
            </w:pPr>
            <w:r w:rsidRPr="00E16672">
              <w:rPr>
                <w:rFonts w:ascii="Times New Roman" w:hAnsi="Times New Roman"/>
                <w:color w:val="000000"/>
                <w:sz w:val="16"/>
                <w:szCs w:val="16"/>
              </w:rPr>
              <w:t>2.</w:t>
            </w:r>
            <w:r w:rsidRPr="00E16672">
              <w:rPr>
                <w:rFonts w:ascii="Times New Roman" w:hAnsi="Times New Roman"/>
                <w:color w:val="000000"/>
                <w:sz w:val="16"/>
                <w:szCs w:val="16"/>
                <w:lang w:val="en-US"/>
              </w:rPr>
              <w:t>4</w:t>
            </w:r>
            <w:r w:rsidRPr="00E16672">
              <w:rPr>
                <w:rFonts w:ascii="Times New Roman" w:hAnsi="Times New Roman"/>
                <w:color w:val="000000"/>
                <w:sz w:val="16"/>
                <w:szCs w:val="16"/>
              </w:rPr>
              <w:t>.</w:t>
            </w:r>
            <w:r w:rsidRPr="00E16672">
              <w:rPr>
                <w:rFonts w:ascii="Times New Roman" w:hAnsi="Times New Roman"/>
                <w:color w:val="000000"/>
                <w:sz w:val="16"/>
                <w:szCs w:val="16"/>
                <w:lang w:val="en-US"/>
              </w:rPr>
              <w:t>7</w:t>
            </w:r>
            <w:r w:rsidRPr="00E16672">
              <w:rPr>
                <w:rFonts w:ascii="Times New Roman" w:hAnsi="Times New Roman"/>
                <w:color w:val="000000"/>
                <w:sz w:val="16"/>
                <w:szCs w:val="16"/>
              </w:rPr>
              <w:t xml:space="preserve">. </w:t>
            </w:r>
            <w:r w:rsidRPr="00E16672">
              <w:rPr>
                <w:rFonts w:ascii="Times New Roman" w:hAnsi="Times New Roman"/>
                <w:color w:val="000000"/>
                <w:sz w:val="16"/>
                <w:szCs w:val="16"/>
                <w:lang w:val="en-US"/>
              </w:rPr>
              <w:t>P</w:t>
            </w:r>
            <w:proofErr w:type="spellStart"/>
            <w:r w:rsidRPr="00E16672">
              <w:rPr>
                <w:rFonts w:ascii="Times New Roman" w:hAnsi="Times New Roman"/>
                <w:color w:val="000000"/>
                <w:sz w:val="16"/>
                <w:szCs w:val="16"/>
              </w:rPr>
              <w:t>rovide</w:t>
            </w:r>
            <w:proofErr w:type="spellEnd"/>
            <w:r w:rsidRPr="00E16672">
              <w:rPr>
                <w:rFonts w:ascii="Times New Roman" w:hAnsi="Times New Roman"/>
                <w:color w:val="000000"/>
                <w:sz w:val="16"/>
                <w:szCs w:val="16"/>
              </w:rPr>
              <w:t xml:space="preserve"> </w:t>
            </w:r>
            <w:r w:rsidRPr="00E16672">
              <w:rPr>
                <w:rFonts w:ascii="Times New Roman" w:hAnsi="Times New Roman"/>
                <w:color w:val="000000"/>
                <w:sz w:val="16"/>
                <w:szCs w:val="16"/>
                <w:lang w:val="en-US"/>
              </w:rPr>
              <w:t>D</w:t>
            </w:r>
            <w:proofErr w:type="spellStart"/>
            <w:r w:rsidRPr="00E16672">
              <w:rPr>
                <w:rFonts w:ascii="Times New Roman" w:hAnsi="Times New Roman"/>
                <w:color w:val="000000"/>
                <w:sz w:val="16"/>
                <w:szCs w:val="16"/>
              </w:rPr>
              <w:t>epository</w:t>
            </w:r>
            <w:proofErr w:type="spellEnd"/>
            <w:r w:rsidRPr="00E16672">
              <w:rPr>
                <w:rFonts w:ascii="Times New Roman" w:hAnsi="Times New Roman"/>
                <w:color w:val="000000"/>
                <w:sz w:val="16"/>
                <w:szCs w:val="16"/>
              </w:rPr>
              <w:t xml:space="preserve"> </w:t>
            </w:r>
            <w:r w:rsidRPr="00E16672">
              <w:rPr>
                <w:rFonts w:ascii="Times New Roman" w:hAnsi="Times New Roman"/>
                <w:color w:val="000000"/>
                <w:sz w:val="16"/>
                <w:szCs w:val="16"/>
                <w:lang w:val="en-US"/>
              </w:rPr>
              <w:t xml:space="preserve">institution information only about one - securities </w:t>
            </w:r>
            <w:proofErr w:type="spellStart"/>
            <w:r w:rsidRPr="00E16672">
              <w:rPr>
                <w:rFonts w:ascii="Times New Roman" w:hAnsi="Times New Roman"/>
                <w:color w:val="000000"/>
                <w:sz w:val="16"/>
                <w:szCs w:val="16"/>
              </w:rPr>
              <w:t>trader</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which</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the</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Depositor</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empowered</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to</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commit</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transactions</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in</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securities</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for</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the</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benefit</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of</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the</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Depositor</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performed</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with</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providing</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making</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payments</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of</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transactions</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in</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securities</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compliance</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with</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principle</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of</w:t>
            </w:r>
            <w:proofErr w:type="spellEnd"/>
            <w:r w:rsidRPr="00E16672">
              <w:rPr>
                <w:rFonts w:ascii="Times New Roman" w:hAnsi="Times New Roman"/>
                <w:color w:val="000000"/>
                <w:sz w:val="16"/>
                <w:szCs w:val="16"/>
              </w:rPr>
              <w:t xml:space="preserve"> </w:t>
            </w:r>
            <w:r w:rsidR="00022F5F">
              <w:rPr>
                <w:rFonts w:ascii="Times New Roman" w:hAnsi="Times New Roman"/>
                <w:color w:val="000000"/>
                <w:sz w:val="16"/>
                <w:szCs w:val="16"/>
                <w:lang w:val="en-US"/>
              </w:rPr>
              <w:t>"</w:t>
            </w:r>
            <w:proofErr w:type="spellStart"/>
            <w:r w:rsidRPr="00E16672">
              <w:rPr>
                <w:rFonts w:ascii="Times New Roman" w:hAnsi="Times New Roman"/>
                <w:color w:val="000000"/>
                <w:sz w:val="16"/>
                <w:szCs w:val="16"/>
              </w:rPr>
              <w:t>supply</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of</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securities</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against</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payment</w:t>
            </w:r>
            <w:proofErr w:type="spellEnd"/>
            <w:r w:rsidRPr="00E16672">
              <w:rPr>
                <w:rFonts w:ascii="Times New Roman" w:hAnsi="Times New Roman"/>
                <w:color w:val="000000"/>
                <w:sz w:val="16"/>
                <w:szCs w:val="16"/>
              </w:rPr>
              <w:t>.</w:t>
            </w:r>
            <w:r w:rsidR="00022F5F">
              <w:rPr>
                <w:rFonts w:ascii="Times New Roman" w:hAnsi="Times New Roman"/>
                <w:color w:val="000000"/>
                <w:sz w:val="16"/>
                <w:szCs w:val="16"/>
                <w:lang w:val="en-US"/>
              </w:rPr>
              <w:t>"</w:t>
            </w:r>
            <w:r w:rsidRPr="00E16672">
              <w:rPr>
                <w:rFonts w:ascii="Times New Roman" w:hAnsi="Times New Roman"/>
                <w:color w:val="000000"/>
                <w:sz w:val="16"/>
                <w:szCs w:val="16"/>
                <w:lang w:val="en-US"/>
              </w:rPr>
              <w:t>.</w:t>
            </w:r>
          </w:p>
        </w:tc>
      </w:tr>
      <w:tr w:rsidR="00D960B4" w:rsidRPr="00F23413" w14:paraId="1D43EA0E" w14:textId="77777777" w:rsidTr="00D77858">
        <w:tblPrEx>
          <w:tblCellMar>
            <w:left w:w="0" w:type="dxa"/>
            <w:right w:w="0" w:type="dxa"/>
          </w:tblCellMar>
        </w:tblPrEx>
        <w:trPr>
          <w:trHeight w:val="192"/>
        </w:trPr>
        <w:tc>
          <w:tcPr>
            <w:tcW w:w="5696" w:type="dxa"/>
            <w:gridSpan w:val="6"/>
            <w:shd w:val="clear" w:color="auto" w:fill="auto"/>
          </w:tcPr>
          <w:p w14:paraId="31D21C07" w14:textId="77777777" w:rsidR="00D960B4" w:rsidRPr="00E16672" w:rsidRDefault="00D960B4" w:rsidP="00022F5F">
            <w:pPr>
              <w:ind w:left="175" w:right="138" w:firstLine="0"/>
              <w:jc w:val="left"/>
              <w:rPr>
                <w:rFonts w:ascii="Times New Roman" w:hAnsi="Times New Roman"/>
                <w:color w:val="000000"/>
                <w:sz w:val="16"/>
                <w:szCs w:val="16"/>
                <w:lang w:val="uk-UA"/>
              </w:rPr>
            </w:pPr>
            <w:r w:rsidRPr="00E16672">
              <w:rPr>
                <w:rFonts w:ascii="Times New Roman" w:hAnsi="Times New Roman"/>
                <w:color w:val="000000"/>
                <w:sz w:val="16"/>
                <w:szCs w:val="16"/>
                <w:lang w:val="uk-UA"/>
              </w:rPr>
              <w:t xml:space="preserve">2.4.8. Отримувати інформацію про умови та порядок діяльності депозитарної установи з урахуванням вимог, встановлених частиною першою статті 12 Закону України </w:t>
            </w:r>
            <w:r w:rsidR="00022F5F">
              <w:rPr>
                <w:rFonts w:ascii="Times New Roman" w:hAnsi="Times New Roman"/>
                <w:color w:val="000000"/>
                <w:sz w:val="16"/>
                <w:szCs w:val="16"/>
                <w:lang w:val="uk-UA"/>
              </w:rPr>
              <w:t>"</w:t>
            </w:r>
            <w:r w:rsidRPr="00E16672">
              <w:rPr>
                <w:rFonts w:ascii="Times New Roman" w:hAnsi="Times New Roman"/>
                <w:color w:val="000000"/>
                <w:sz w:val="16"/>
                <w:szCs w:val="16"/>
                <w:lang w:val="uk-UA"/>
              </w:rPr>
              <w:t>Про фінансові послуги та державне регулювання ринків фінансових послуг</w:t>
            </w:r>
            <w:r w:rsidR="00022F5F">
              <w:rPr>
                <w:rFonts w:ascii="Times New Roman" w:hAnsi="Times New Roman"/>
                <w:color w:val="000000"/>
                <w:sz w:val="16"/>
                <w:szCs w:val="16"/>
                <w:lang w:val="uk-UA"/>
              </w:rPr>
              <w:t>"</w:t>
            </w:r>
            <w:r w:rsidRPr="00E16672">
              <w:rPr>
                <w:rFonts w:ascii="Times New Roman" w:hAnsi="Times New Roman"/>
                <w:color w:val="000000"/>
                <w:sz w:val="16"/>
                <w:szCs w:val="16"/>
                <w:lang w:val="uk-UA"/>
              </w:rPr>
              <w:t>.</w:t>
            </w:r>
          </w:p>
        </w:tc>
        <w:tc>
          <w:tcPr>
            <w:tcW w:w="5494" w:type="dxa"/>
            <w:gridSpan w:val="7"/>
            <w:shd w:val="clear" w:color="auto" w:fill="auto"/>
          </w:tcPr>
          <w:p w14:paraId="648A008C" w14:textId="77777777" w:rsidR="00D960B4" w:rsidRPr="00E16672" w:rsidRDefault="00D960B4" w:rsidP="00022F5F">
            <w:pPr>
              <w:pStyle w:val="210"/>
              <w:tabs>
                <w:tab w:val="left" w:pos="287"/>
                <w:tab w:val="left" w:pos="1191"/>
              </w:tabs>
              <w:snapToGrid w:val="0"/>
              <w:ind w:left="145" w:right="100" w:firstLine="0"/>
              <w:jc w:val="left"/>
              <w:rPr>
                <w:rFonts w:ascii="Times New Roman" w:hAnsi="Times New Roman"/>
                <w:color w:val="000000"/>
                <w:sz w:val="16"/>
                <w:szCs w:val="16"/>
              </w:rPr>
            </w:pPr>
            <w:r w:rsidRPr="00E16672">
              <w:rPr>
                <w:rFonts w:ascii="Times New Roman" w:hAnsi="Times New Roman"/>
                <w:color w:val="000000"/>
                <w:sz w:val="16"/>
                <w:szCs w:val="16"/>
              </w:rPr>
              <w:t>2.4.8.</w:t>
            </w:r>
            <w:r w:rsidRPr="00E16672">
              <w:rPr>
                <w:rFonts w:ascii="Times New Roman" w:hAnsi="Times New Roman"/>
                <w:color w:val="000000"/>
                <w:sz w:val="16"/>
                <w:szCs w:val="16"/>
                <w:lang w:val="en-US"/>
              </w:rPr>
              <w:t xml:space="preserve"> </w:t>
            </w:r>
            <w:proofErr w:type="spellStart"/>
            <w:r w:rsidRPr="00E16672">
              <w:rPr>
                <w:rFonts w:ascii="Times New Roman" w:eastAsia="Arial" w:hAnsi="Times New Roman"/>
                <w:color w:val="000000"/>
                <w:sz w:val="16"/>
                <w:szCs w:val="16"/>
              </w:rPr>
              <w:t>To</w:t>
            </w:r>
            <w:proofErr w:type="spellEnd"/>
            <w:r w:rsidRPr="00E16672">
              <w:rPr>
                <w:rFonts w:ascii="Times New Roman" w:eastAsia="Arial" w:hAnsi="Times New Roman"/>
                <w:color w:val="000000"/>
                <w:sz w:val="16"/>
                <w:szCs w:val="16"/>
              </w:rPr>
              <w:t xml:space="preserve"> </w:t>
            </w:r>
            <w:r w:rsidRPr="00E16672">
              <w:rPr>
                <w:rFonts w:ascii="Times New Roman" w:eastAsia="Arial" w:hAnsi="Times New Roman"/>
                <w:color w:val="000000"/>
                <w:sz w:val="16"/>
                <w:szCs w:val="16"/>
                <w:lang w:val="en-US"/>
              </w:rPr>
              <w:t xml:space="preserve">obtain </w:t>
            </w:r>
            <w:proofErr w:type="spellStart"/>
            <w:r w:rsidRPr="00E16672">
              <w:rPr>
                <w:rFonts w:ascii="Times New Roman" w:eastAsia="Arial" w:hAnsi="Times New Roman"/>
                <w:color w:val="000000"/>
                <w:sz w:val="16"/>
                <w:szCs w:val="16"/>
              </w:rPr>
              <w:t>information</w:t>
            </w:r>
            <w:proofErr w:type="spellEnd"/>
            <w:r w:rsidRPr="00E16672">
              <w:rPr>
                <w:rFonts w:ascii="Times New Roman" w:eastAsia="Arial" w:hAnsi="Times New Roman"/>
                <w:color w:val="000000"/>
                <w:sz w:val="16"/>
                <w:szCs w:val="16"/>
              </w:rPr>
              <w:t xml:space="preserve"> </w:t>
            </w:r>
            <w:proofErr w:type="spellStart"/>
            <w:r w:rsidRPr="00E16672">
              <w:rPr>
                <w:rFonts w:ascii="Times New Roman" w:eastAsia="Arial" w:hAnsi="Times New Roman"/>
                <w:color w:val="000000"/>
                <w:sz w:val="16"/>
                <w:szCs w:val="16"/>
              </w:rPr>
              <w:t>on</w:t>
            </w:r>
            <w:proofErr w:type="spellEnd"/>
            <w:r w:rsidRPr="00E16672">
              <w:rPr>
                <w:rFonts w:ascii="Times New Roman" w:eastAsia="Arial" w:hAnsi="Times New Roman"/>
                <w:color w:val="000000"/>
                <w:sz w:val="16"/>
                <w:szCs w:val="16"/>
              </w:rPr>
              <w:t xml:space="preserve"> </w:t>
            </w:r>
            <w:proofErr w:type="spellStart"/>
            <w:r w:rsidRPr="00E16672">
              <w:rPr>
                <w:rFonts w:ascii="Times New Roman" w:eastAsia="Arial" w:hAnsi="Times New Roman"/>
                <w:color w:val="000000"/>
                <w:sz w:val="16"/>
                <w:szCs w:val="16"/>
              </w:rPr>
              <w:t>the</w:t>
            </w:r>
            <w:proofErr w:type="spellEnd"/>
            <w:r w:rsidRPr="00E16672">
              <w:rPr>
                <w:rFonts w:ascii="Times New Roman" w:eastAsia="Arial" w:hAnsi="Times New Roman"/>
                <w:color w:val="000000"/>
                <w:sz w:val="16"/>
                <w:szCs w:val="16"/>
              </w:rPr>
              <w:t xml:space="preserve"> </w:t>
            </w:r>
            <w:proofErr w:type="spellStart"/>
            <w:r w:rsidRPr="00E16672">
              <w:rPr>
                <w:rFonts w:ascii="Times New Roman" w:eastAsia="Arial" w:hAnsi="Times New Roman"/>
                <w:color w:val="000000"/>
                <w:sz w:val="16"/>
                <w:szCs w:val="16"/>
              </w:rPr>
              <w:t>conditions</w:t>
            </w:r>
            <w:proofErr w:type="spellEnd"/>
            <w:r w:rsidRPr="00E16672">
              <w:rPr>
                <w:rFonts w:ascii="Times New Roman" w:eastAsia="Arial" w:hAnsi="Times New Roman"/>
                <w:color w:val="000000"/>
                <w:sz w:val="16"/>
                <w:szCs w:val="16"/>
              </w:rPr>
              <w:t xml:space="preserve"> </w:t>
            </w:r>
            <w:proofErr w:type="spellStart"/>
            <w:r w:rsidRPr="00E16672">
              <w:rPr>
                <w:rFonts w:ascii="Times New Roman" w:eastAsia="Arial" w:hAnsi="Times New Roman"/>
                <w:color w:val="000000"/>
                <w:sz w:val="16"/>
                <w:szCs w:val="16"/>
              </w:rPr>
              <w:t>and</w:t>
            </w:r>
            <w:proofErr w:type="spellEnd"/>
            <w:r w:rsidRPr="00E16672">
              <w:rPr>
                <w:rFonts w:ascii="Times New Roman" w:eastAsia="Arial" w:hAnsi="Times New Roman"/>
                <w:color w:val="000000"/>
                <w:sz w:val="16"/>
                <w:szCs w:val="16"/>
              </w:rPr>
              <w:t xml:space="preserve"> </w:t>
            </w:r>
            <w:proofErr w:type="spellStart"/>
            <w:r w:rsidRPr="00E16672">
              <w:rPr>
                <w:rFonts w:ascii="Times New Roman" w:eastAsia="Arial" w:hAnsi="Times New Roman"/>
                <w:color w:val="000000"/>
                <w:sz w:val="16"/>
                <w:szCs w:val="16"/>
              </w:rPr>
              <w:t>procedure</w:t>
            </w:r>
            <w:proofErr w:type="spellEnd"/>
            <w:r w:rsidRPr="00E16672">
              <w:rPr>
                <w:rFonts w:ascii="Times New Roman" w:eastAsia="Arial" w:hAnsi="Times New Roman"/>
                <w:color w:val="000000"/>
                <w:sz w:val="16"/>
                <w:szCs w:val="16"/>
              </w:rPr>
              <w:t xml:space="preserve"> </w:t>
            </w:r>
            <w:proofErr w:type="spellStart"/>
            <w:r w:rsidRPr="00E16672">
              <w:rPr>
                <w:rFonts w:ascii="Times New Roman" w:eastAsia="Arial" w:hAnsi="Times New Roman"/>
                <w:color w:val="000000"/>
                <w:sz w:val="16"/>
                <w:szCs w:val="16"/>
              </w:rPr>
              <w:t>of</w:t>
            </w:r>
            <w:proofErr w:type="spellEnd"/>
            <w:r w:rsidRPr="00E16672">
              <w:rPr>
                <w:rFonts w:ascii="Times New Roman" w:eastAsia="Arial" w:hAnsi="Times New Roman"/>
                <w:color w:val="000000"/>
                <w:sz w:val="16"/>
                <w:szCs w:val="16"/>
              </w:rPr>
              <w:t xml:space="preserve"> </w:t>
            </w:r>
            <w:proofErr w:type="spellStart"/>
            <w:r w:rsidRPr="00E16672">
              <w:rPr>
                <w:rFonts w:ascii="Times New Roman" w:eastAsia="Arial" w:hAnsi="Times New Roman"/>
                <w:color w:val="000000"/>
                <w:sz w:val="16"/>
                <w:szCs w:val="16"/>
              </w:rPr>
              <w:t>the</w:t>
            </w:r>
            <w:proofErr w:type="spellEnd"/>
            <w:r w:rsidRPr="00E16672">
              <w:rPr>
                <w:rFonts w:ascii="Times New Roman" w:eastAsia="Arial" w:hAnsi="Times New Roman"/>
                <w:color w:val="000000"/>
                <w:sz w:val="16"/>
                <w:szCs w:val="16"/>
              </w:rPr>
              <w:t xml:space="preserve"> </w:t>
            </w:r>
            <w:proofErr w:type="spellStart"/>
            <w:r w:rsidRPr="00E16672">
              <w:rPr>
                <w:rFonts w:ascii="Times New Roman" w:eastAsia="Arial" w:hAnsi="Times New Roman"/>
                <w:color w:val="000000"/>
                <w:sz w:val="16"/>
                <w:szCs w:val="16"/>
              </w:rPr>
              <w:t>depository</w:t>
            </w:r>
            <w:proofErr w:type="spellEnd"/>
            <w:r w:rsidRPr="00E16672">
              <w:rPr>
                <w:rFonts w:ascii="Times New Roman" w:eastAsia="Arial" w:hAnsi="Times New Roman"/>
                <w:color w:val="000000"/>
                <w:sz w:val="16"/>
                <w:szCs w:val="16"/>
              </w:rPr>
              <w:t xml:space="preserve"> </w:t>
            </w:r>
            <w:proofErr w:type="spellStart"/>
            <w:r w:rsidRPr="00E16672">
              <w:rPr>
                <w:rFonts w:ascii="Times New Roman" w:eastAsia="Arial" w:hAnsi="Times New Roman"/>
                <w:color w:val="000000"/>
                <w:sz w:val="16"/>
                <w:szCs w:val="16"/>
              </w:rPr>
              <w:t>institution</w:t>
            </w:r>
            <w:proofErr w:type="spellEnd"/>
            <w:r w:rsidRPr="00E16672">
              <w:rPr>
                <w:rFonts w:ascii="Times New Roman" w:eastAsia="Arial" w:hAnsi="Times New Roman"/>
                <w:color w:val="000000"/>
                <w:sz w:val="16"/>
                <w:szCs w:val="16"/>
              </w:rPr>
              <w:t xml:space="preserve"> </w:t>
            </w:r>
            <w:proofErr w:type="spellStart"/>
            <w:r w:rsidRPr="00E16672">
              <w:rPr>
                <w:rFonts w:ascii="Times New Roman" w:eastAsia="Arial" w:hAnsi="Times New Roman"/>
                <w:color w:val="000000"/>
                <w:sz w:val="16"/>
                <w:szCs w:val="16"/>
              </w:rPr>
              <w:t>taking</w:t>
            </w:r>
            <w:proofErr w:type="spellEnd"/>
            <w:r w:rsidRPr="00E16672">
              <w:rPr>
                <w:rFonts w:ascii="Times New Roman" w:eastAsia="Arial" w:hAnsi="Times New Roman"/>
                <w:color w:val="000000"/>
                <w:sz w:val="16"/>
                <w:szCs w:val="16"/>
              </w:rPr>
              <w:t xml:space="preserve"> </w:t>
            </w:r>
            <w:proofErr w:type="spellStart"/>
            <w:r w:rsidRPr="00E16672">
              <w:rPr>
                <w:rFonts w:ascii="Times New Roman" w:eastAsia="Arial" w:hAnsi="Times New Roman"/>
                <w:color w:val="000000"/>
                <w:sz w:val="16"/>
                <w:szCs w:val="16"/>
              </w:rPr>
              <w:t>into</w:t>
            </w:r>
            <w:proofErr w:type="spellEnd"/>
            <w:r w:rsidRPr="00E16672">
              <w:rPr>
                <w:rFonts w:ascii="Times New Roman" w:eastAsia="Arial" w:hAnsi="Times New Roman"/>
                <w:color w:val="000000"/>
                <w:sz w:val="16"/>
                <w:szCs w:val="16"/>
              </w:rPr>
              <w:t xml:space="preserve"> </w:t>
            </w:r>
            <w:proofErr w:type="spellStart"/>
            <w:r w:rsidRPr="00E16672">
              <w:rPr>
                <w:rFonts w:ascii="Times New Roman" w:eastAsia="Arial" w:hAnsi="Times New Roman"/>
                <w:color w:val="000000"/>
                <w:sz w:val="16"/>
                <w:szCs w:val="16"/>
              </w:rPr>
              <w:t>account</w:t>
            </w:r>
            <w:proofErr w:type="spellEnd"/>
            <w:r w:rsidRPr="00E16672">
              <w:rPr>
                <w:rFonts w:ascii="Times New Roman" w:eastAsia="Arial" w:hAnsi="Times New Roman"/>
                <w:color w:val="000000"/>
                <w:sz w:val="16"/>
                <w:szCs w:val="16"/>
              </w:rPr>
              <w:t xml:space="preserve"> </w:t>
            </w:r>
            <w:proofErr w:type="spellStart"/>
            <w:r w:rsidRPr="00E16672">
              <w:rPr>
                <w:rFonts w:ascii="Times New Roman" w:eastAsia="Arial" w:hAnsi="Times New Roman"/>
                <w:color w:val="000000"/>
                <w:sz w:val="16"/>
                <w:szCs w:val="16"/>
              </w:rPr>
              <w:t>the</w:t>
            </w:r>
            <w:proofErr w:type="spellEnd"/>
            <w:r w:rsidRPr="00E16672">
              <w:rPr>
                <w:rFonts w:ascii="Times New Roman" w:eastAsia="Arial" w:hAnsi="Times New Roman"/>
                <w:color w:val="000000"/>
                <w:sz w:val="16"/>
                <w:szCs w:val="16"/>
              </w:rPr>
              <w:t xml:space="preserve"> </w:t>
            </w:r>
            <w:proofErr w:type="spellStart"/>
            <w:r w:rsidRPr="00E16672">
              <w:rPr>
                <w:rFonts w:ascii="Times New Roman" w:eastAsia="Arial" w:hAnsi="Times New Roman"/>
                <w:color w:val="000000"/>
                <w:sz w:val="16"/>
                <w:szCs w:val="16"/>
              </w:rPr>
              <w:t>requirements</w:t>
            </w:r>
            <w:proofErr w:type="spellEnd"/>
            <w:r w:rsidRPr="00E16672">
              <w:rPr>
                <w:rFonts w:ascii="Times New Roman" w:eastAsia="Arial" w:hAnsi="Times New Roman"/>
                <w:color w:val="000000"/>
                <w:sz w:val="16"/>
                <w:szCs w:val="16"/>
              </w:rPr>
              <w:t xml:space="preserve"> </w:t>
            </w:r>
            <w:proofErr w:type="spellStart"/>
            <w:r w:rsidRPr="00E16672">
              <w:rPr>
                <w:rFonts w:ascii="Times New Roman" w:eastAsia="Arial" w:hAnsi="Times New Roman"/>
                <w:color w:val="000000"/>
                <w:sz w:val="16"/>
                <w:szCs w:val="16"/>
              </w:rPr>
              <w:t>established</w:t>
            </w:r>
            <w:proofErr w:type="spellEnd"/>
            <w:r w:rsidRPr="00E16672">
              <w:rPr>
                <w:rFonts w:ascii="Times New Roman" w:eastAsia="Arial" w:hAnsi="Times New Roman"/>
                <w:color w:val="000000"/>
                <w:sz w:val="16"/>
                <w:szCs w:val="16"/>
              </w:rPr>
              <w:t xml:space="preserve"> </w:t>
            </w:r>
            <w:proofErr w:type="spellStart"/>
            <w:r w:rsidRPr="00E16672">
              <w:rPr>
                <w:rFonts w:ascii="Times New Roman" w:eastAsia="Arial" w:hAnsi="Times New Roman"/>
                <w:color w:val="000000"/>
                <w:sz w:val="16"/>
                <w:szCs w:val="16"/>
              </w:rPr>
              <w:t>by</w:t>
            </w:r>
            <w:proofErr w:type="spellEnd"/>
            <w:r w:rsidRPr="00E16672">
              <w:rPr>
                <w:rFonts w:ascii="Times New Roman" w:eastAsia="Arial" w:hAnsi="Times New Roman"/>
                <w:color w:val="000000"/>
                <w:sz w:val="16"/>
                <w:szCs w:val="16"/>
              </w:rPr>
              <w:t xml:space="preserve"> </w:t>
            </w:r>
            <w:proofErr w:type="spellStart"/>
            <w:r w:rsidRPr="00E16672">
              <w:rPr>
                <w:rFonts w:ascii="Times New Roman" w:eastAsia="Arial" w:hAnsi="Times New Roman"/>
                <w:color w:val="000000"/>
                <w:sz w:val="16"/>
                <w:szCs w:val="16"/>
              </w:rPr>
              <w:t>part</w:t>
            </w:r>
            <w:proofErr w:type="spellEnd"/>
            <w:r w:rsidRPr="00E16672">
              <w:rPr>
                <w:rFonts w:ascii="Times New Roman" w:eastAsia="Arial" w:hAnsi="Times New Roman"/>
                <w:color w:val="000000"/>
                <w:sz w:val="16"/>
                <w:szCs w:val="16"/>
              </w:rPr>
              <w:t xml:space="preserve"> </w:t>
            </w:r>
            <w:proofErr w:type="spellStart"/>
            <w:r w:rsidRPr="00E16672">
              <w:rPr>
                <w:rFonts w:ascii="Times New Roman" w:eastAsia="Arial" w:hAnsi="Times New Roman"/>
                <w:color w:val="000000"/>
                <w:sz w:val="16"/>
                <w:szCs w:val="16"/>
              </w:rPr>
              <w:t>one</w:t>
            </w:r>
            <w:proofErr w:type="spellEnd"/>
            <w:r w:rsidRPr="00E16672">
              <w:rPr>
                <w:rFonts w:ascii="Times New Roman" w:eastAsia="Arial" w:hAnsi="Times New Roman"/>
                <w:color w:val="000000"/>
                <w:sz w:val="16"/>
                <w:szCs w:val="16"/>
              </w:rPr>
              <w:t xml:space="preserve"> </w:t>
            </w:r>
            <w:proofErr w:type="spellStart"/>
            <w:r w:rsidRPr="00E16672">
              <w:rPr>
                <w:rFonts w:ascii="Times New Roman" w:eastAsia="Arial" w:hAnsi="Times New Roman"/>
                <w:color w:val="000000"/>
                <w:sz w:val="16"/>
                <w:szCs w:val="16"/>
              </w:rPr>
              <w:t>of</w:t>
            </w:r>
            <w:proofErr w:type="spellEnd"/>
            <w:r w:rsidRPr="00E16672">
              <w:rPr>
                <w:rFonts w:ascii="Times New Roman" w:eastAsia="Arial" w:hAnsi="Times New Roman"/>
                <w:color w:val="000000"/>
                <w:sz w:val="16"/>
                <w:szCs w:val="16"/>
              </w:rPr>
              <w:t xml:space="preserve"> </w:t>
            </w:r>
            <w:proofErr w:type="spellStart"/>
            <w:r w:rsidRPr="00E16672">
              <w:rPr>
                <w:rFonts w:ascii="Times New Roman" w:eastAsia="Arial" w:hAnsi="Times New Roman"/>
                <w:color w:val="000000"/>
                <w:sz w:val="16"/>
                <w:szCs w:val="16"/>
              </w:rPr>
              <w:t>Article</w:t>
            </w:r>
            <w:proofErr w:type="spellEnd"/>
            <w:r w:rsidRPr="00E16672">
              <w:rPr>
                <w:rFonts w:ascii="Times New Roman" w:eastAsia="Arial" w:hAnsi="Times New Roman"/>
                <w:color w:val="000000"/>
                <w:sz w:val="16"/>
                <w:szCs w:val="16"/>
              </w:rPr>
              <w:t xml:space="preserve"> 12 </w:t>
            </w:r>
            <w:proofErr w:type="spellStart"/>
            <w:r w:rsidRPr="00E16672">
              <w:rPr>
                <w:rFonts w:ascii="Times New Roman" w:eastAsia="Arial" w:hAnsi="Times New Roman"/>
                <w:color w:val="000000"/>
                <w:sz w:val="16"/>
                <w:szCs w:val="16"/>
              </w:rPr>
              <w:t>of</w:t>
            </w:r>
            <w:proofErr w:type="spellEnd"/>
            <w:r w:rsidRPr="00E16672">
              <w:rPr>
                <w:rFonts w:ascii="Times New Roman" w:eastAsia="Arial" w:hAnsi="Times New Roman"/>
                <w:color w:val="000000"/>
                <w:sz w:val="16"/>
                <w:szCs w:val="16"/>
              </w:rPr>
              <w:t xml:space="preserve"> </w:t>
            </w:r>
            <w:proofErr w:type="spellStart"/>
            <w:r w:rsidRPr="00E16672">
              <w:rPr>
                <w:rFonts w:ascii="Times New Roman" w:eastAsia="Arial" w:hAnsi="Times New Roman"/>
                <w:color w:val="000000"/>
                <w:sz w:val="16"/>
                <w:szCs w:val="16"/>
              </w:rPr>
              <w:t>the</w:t>
            </w:r>
            <w:proofErr w:type="spellEnd"/>
            <w:r w:rsidRPr="00E16672">
              <w:rPr>
                <w:rFonts w:ascii="Times New Roman" w:eastAsia="Arial" w:hAnsi="Times New Roman"/>
                <w:color w:val="000000"/>
                <w:sz w:val="16"/>
                <w:szCs w:val="16"/>
              </w:rPr>
              <w:t xml:space="preserve"> </w:t>
            </w:r>
            <w:proofErr w:type="spellStart"/>
            <w:r w:rsidRPr="00E16672">
              <w:rPr>
                <w:rFonts w:ascii="Times New Roman" w:eastAsia="Arial" w:hAnsi="Times New Roman"/>
                <w:color w:val="000000"/>
                <w:sz w:val="16"/>
                <w:szCs w:val="16"/>
              </w:rPr>
              <w:t>Law</w:t>
            </w:r>
            <w:proofErr w:type="spellEnd"/>
            <w:r w:rsidRPr="00E16672">
              <w:rPr>
                <w:rFonts w:ascii="Times New Roman" w:eastAsia="Arial" w:hAnsi="Times New Roman"/>
                <w:color w:val="000000"/>
                <w:sz w:val="16"/>
                <w:szCs w:val="16"/>
              </w:rPr>
              <w:t xml:space="preserve"> </w:t>
            </w:r>
            <w:proofErr w:type="spellStart"/>
            <w:r w:rsidRPr="00E16672">
              <w:rPr>
                <w:rFonts w:ascii="Times New Roman" w:eastAsia="Arial" w:hAnsi="Times New Roman"/>
                <w:color w:val="000000"/>
                <w:sz w:val="16"/>
                <w:szCs w:val="16"/>
              </w:rPr>
              <w:t>of</w:t>
            </w:r>
            <w:proofErr w:type="spellEnd"/>
            <w:r w:rsidRPr="00E16672">
              <w:rPr>
                <w:rFonts w:ascii="Times New Roman" w:eastAsia="Arial" w:hAnsi="Times New Roman"/>
                <w:color w:val="000000"/>
                <w:sz w:val="16"/>
                <w:szCs w:val="16"/>
              </w:rPr>
              <w:t xml:space="preserve"> </w:t>
            </w:r>
            <w:proofErr w:type="spellStart"/>
            <w:r w:rsidRPr="00E16672">
              <w:rPr>
                <w:rFonts w:ascii="Times New Roman" w:eastAsia="Arial" w:hAnsi="Times New Roman"/>
                <w:color w:val="000000"/>
                <w:sz w:val="16"/>
                <w:szCs w:val="16"/>
              </w:rPr>
              <w:t>Ukraine</w:t>
            </w:r>
            <w:proofErr w:type="spellEnd"/>
            <w:r w:rsidRPr="00E16672">
              <w:rPr>
                <w:rFonts w:ascii="Times New Roman" w:eastAsia="Arial" w:hAnsi="Times New Roman"/>
                <w:color w:val="000000"/>
                <w:sz w:val="16"/>
                <w:szCs w:val="16"/>
              </w:rPr>
              <w:t xml:space="preserve"> </w:t>
            </w:r>
            <w:r w:rsidR="00022F5F">
              <w:rPr>
                <w:rFonts w:ascii="Times New Roman" w:eastAsia="Arial" w:hAnsi="Times New Roman"/>
                <w:color w:val="000000"/>
                <w:sz w:val="16"/>
                <w:szCs w:val="16"/>
              </w:rPr>
              <w:t>"</w:t>
            </w:r>
            <w:proofErr w:type="spellStart"/>
            <w:r w:rsidRPr="00E16672">
              <w:rPr>
                <w:rFonts w:ascii="Times New Roman" w:eastAsia="Arial" w:hAnsi="Times New Roman"/>
                <w:color w:val="000000"/>
                <w:sz w:val="16"/>
                <w:szCs w:val="16"/>
              </w:rPr>
              <w:t>On</w:t>
            </w:r>
            <w:proofErr w:type="spellEnd"/>
            <w:r w:rsidRPr="00E16672">
              <w:rPr>
                <w:rFonts w:ascii="Times New Roman" w:eastAsia="Arial" w:hAnsi="Times New Roman"/>
                <w:color w:val="000000"/>
                <w:sz w:val="16"/>
                <w:szCs w:val="16"/>
              </w:rPr>
              <w:t xml:space="preserve"> </w:t>
            </w:r>
            <w:proofErr w:type="spellStart"/>
            <w:r w:rsidRPr="00E16672">
              <w:rPr>
                <w:rFonts w:ascii="Times New Roman" w:eastAsia="Arial" w:hAnsi="Times New Roman"/>
                <w:color w:val="000000"/>
                <w:sz w:val="16"/>
                <w:szCs w:val="16"/>
              </w:rPr>
              <w:t>Financial</w:t>
            </w:r>
            <w:proofErr w:type="spellEnd"/>
            <w:r w:rsidRPr="00E16672">
              <w:rPr>
                <w:rFonts w:ascii="Times New Roman" w:eastAsia="Arial" w:hAnsi="Times New Roman"/>
                <w:color w:val="000000"/>
                <w:sz w:val="16"/>
                <w:szCs w:val="16"/>
              </w:rPr>
              <w:t xml:space="preserve"> </w:t>
            </w:r>
            <w:proofErr w:type="spellStart"/>
            <w:r w:rsidRPr="00E16672">
              <w:rPr>
                <w:rFonts w:ascii="Times New Roman" w:eastAsia="Arial" w:hAnsi="Times New Roman"/>
                <w:color w:val="000000"/>
                <w:sz w:val="16"/>
                <w:szCs w:val="16"/>
              </w:rPr>
              <w:t>Services</w:t>
            </w:r>
            <w:proofErr w:type="spellEnd"/>
            <w:r w:rsidRPr="00E16672">
              <w:rPr>
                <w:rFonts w:ascii="Times New Roman" w:eastAsia="Arial" w:hAnsi="Times New Roman"/>
                <w:color w:val="000000"/>
                <w:sz w:val="16"/>
                <w:szCs w:val="16"/>
              </w:rPr>
              <w:t xml:space="preserve"> </w:t>
            </w:r>
            <w:proofErr w:type="spellStart"/>
            <w:r w:rsidRPr="00E16672">
              <w:rPr>
                <w:rFonts w:ascii="Times New Roman" w:eastAsia="Arial" w:hAnsi="Times New Roman"/>
                <w:color w:val="000000"/>
                <w:sz w:val="16"/>
                <w:szCs w:val="16"/>
              </w:rPr>
              <w:t>and</w:t>
            </w:r>
            <w:proofErr w:type="spellEnd"/>
            <w:r w:rsidRPr="00E16672">
              <w:rPr>
                <w:rFonts w:ascii="Times New Roman" w:eastAsia="Arial" w:hAnsi="Times New Roman"/>
                <w:color w:val="000000"/>
                <w:sz w:val="16"/>
                <w:szCs w:val="16"/>
              </w:rPr>
              <w:t xml:space="preserve"> </w:t>
            </w:r>
            <w:proofErr w:type="spellStart"/>
            <w:r w:rsidRPr="00E16672">
              <w:rPr>
                <w:rFonts w:ascii="Times New Roman" w:eastAsia="Arial" w:hAnsi="Times New Roman"/>
                <w:color w:val="000000"/>
                <w:sz w:val="16"/>
                <w:szCs w:val="16"/>
              </w:rPr>
              <w:t>State</w:t>
            </w:r>
            <w:proofErr w:type="spellEnd"/>
            <w:r w:rsidRPr="00E16672">
              <w:rPr>
                <w:rFonts w:ascii="Times New Roman" w:eastAsia="Arial" w:hAnsi="Times New Roman"/>
                <w:color w:val="000000"/>
                <w:sz w:val="16"/>
                <w:szCs w:val="16"/>
              </w:rPr>
              <w:t xml:space="preserve"> </w:t>
            </w:r>
            <w:proofErr w:type="spellStart"/>
            <w:r w:rsidRPr="00E16672">
              <w:rPr>
                <w:rFonts w:ascii="Times New Roman" w:eastAsia="Arial" w:hAnsi="Times New Roman"/>
                <w:color w:val="000000"/>
                <w:sz w:val="16"/>
                <w:szCs w:val="16"/>
              </w:rPr>
              <w:t>Regulation</w:t>
            </w:r>
            <w:proofErr w:type="spellEnd"/>
            <w:r w:rsidRPr="00E16672">
              <w:rPr>
                <w:rFonts w:ascii="Times New Roman" w:eastAsia="Arial" w:hAnsi="Times New Roman"/>
                <w:color w:val="000000"/>
                <w:sz w:val="16"/>
                <w:szCs w:val="16"/>
              </w:rPr>
              <w:t xml:space="preserve"> </w:t>
            </w:r>
            <w:proofErr w:type="spellStart"/>
            <w:r w:rsidRPr="00E16672">
              <w:rPr>
                <w:rFonts w:ascii="Times New Roman" w:eastAsia="Arial" w:hAnsi="Times New Roman"/>
                <w:color w:val="000000"/>
                <w:sz w:val="16"/>
                <w:szCs w:val="16"/>
              </w:rPr>
              <w:t>of</w:t>
            </w:r>
            <w:proofErr w:type="spellEnd"/>
            <w:r w:rsidRPr="00E16672">
              <w:rPr>
                <w:rFonts w:ascii="Times New Roman" w:eastAsia="Arial" w:hAnsi="Times New Roman"/>
                <w:color w:val="000000"/>
                <w:sz w:val="16"/>
                <w:szCs w:val="16"/>
              </w:rPr>
              <w:t xml:space="preserve"> </w:t>
            </w:r>
            <w:proofErr w:type="spellStart"/>
            <w:r w:rsidRPr="00E16672">
              <w:rPr>
                <w:rFonts w:ascii="Times New Roman" w:eastAsia="Arial" w:hAnsi="Times New Roman"/>
                <w:color w:val="000000"/>
                <w:sz w:val="16"/>
                <w:szCs w:val="16"/>
              </w:rPr>
              <w:t>Financial</w:t>
            </w:r>
            <w:proofErr w:type="spellEnd"/>
            <w:r w:rsidRPr="00E16672">
              <w:rPr>
                <w:rFonts w:ascii="Times New Roman" w:eastAsia="Arial" w:hAnsi="Times New Roman"/>
                <w:color w:val="000000"/>
                <w:sz w:val="16"/>
                <w:szCs w:val="16"/>
              </w:rPr>
              <w:t xml:space="preserve"> </w:t>
            </w:r>
            <w:proofErr w:type="spellStart"/>
            <w:r w:rsidRPr="00E16672">
              <w:rPr>
                <w:rFonts w:ascii="Times New Roman" w:eastAsia="Arial" w:hAnsi="Times New Roman"/>
                <w:color w:val="000000"/>
                <w:sz w:val="16"/>
                <w:szCs w:val="16"/>
              </w:rPr>
              <w:t>Services</w:t>
            </w:r>
            <w:proofErr w:type="spellEnd"/>
            <w:r w:rsidRPr="00E16672">
              <w:rPr>
                <w:rFonts w:ascii="Times New Roman" w:eastAsia="Arial" w:hAnsi="Times New Roman"/>
                <w:color w:val="000000"/>
                <w:sz w:val="16"/>
                <w:szCs w:val="16"/>
              </w:rPr>
              <w:t xml:space="preserve"> </w:t>
            </w:r>
            <w:proofErr w:type="spellStart"/>
            <w:r w:rsidRPr="00E16672">
              <w:rPr>
                <w:rFonts w:ascii="Times New Roman" w:eastAsia="Arial" w:hAnsi="Times New Roman"/>
                <w:color w:val="000000"/>
                <w:sz w:val="16"/>
                <w:szCs w:val="16"/>
              </w:rPr>
              <w:t>Markets</w:t>
            </w:r>
            <w:proofErr w:type="spellEnd"/>
            <w:r w:rsidR="00022F5F">
              <w:rPr>
                <w:rFonts w:ascii="Times New Roman" w:eastAsia="Arial" w:hAnsi="Times New Roman"/>
                <w:color w:val="000000"/>
                <w:sz w:val="16"/>
                <w:szCs w:val="16"/>
              </w:rPr>
              <w:t>"</w:t>
            </w:r>
            <w:r w:rsidRPr="00E16672">
              <w:rPr>
                <w:rFonts w:ascii="Times New Roman" w:eastAsia="Arial" w:hAnsi="Times New Roman"/>
                <w:color w:val="000000"/>
                <w:sz w:val="16"/>
                <w:szCs w:val="16"/>
                <w:lang w:val="en-US"/>
              </w:rPr>
              <w:t>.</w:t>
            </w:r>
          </w:p>
        </w:tc>
      </w:tr>
      <w:tr w:rsidR="00427890" w:rsidRPr="00F23413" w14:paraId="23CD8802" w14:textId="77777777" w:rsidTr="00D77858">
        <w:tblPrEx>
          <w:tblCellMar>
            <w:left w:w="0" w:type="dxa"/>
            <w:right w:w="0" w:type="dxa"/>
          </w:tblCellMar>
        </w:tblPrEx>
        <w:trPr>
          <w:trHeight w:val="1334"/>
        </w:trPr>
        <w:tc>
          <w:tcPr>
            <w:tcW w:w="5696" w:type="dxa"/>
            <w:gridSpan w:val="6"/>
            <w:shd w:val="clear" w:color="auto" w:fill="auto"/>
          </w:tcPr>
          <w:p w14:paraId="5176E3D7" w14:textId="77777777" w:rsidR="00D352F4" w:rsidRPr="00E16672" w:rsidRDefault="00D352F4" w:rsidP="004D052D">
            <w:pPr>
              <w:snapToGrid w:val="0"/>
              <w:ind w:left="175" w:right="138"/>
              <w:jc w:val="center"/>
              <w:rPr>
                <w:rFonts w:ascii="Times New Roman" w:hAnsi="Times New Roman"/>
                <w:b/>
                <w:caps/>
                <w:sz w:val="16"/>
                <w:szCs w:val="16"/>
                <w:lang w:val="en-US"/>
              </w:rPr>
            </w:pPr>
          </w:p>
          <w:p w14:paraId="590F9741" w14:textId="77777777" w:rsidR="00427890" w:rsidRPr="00E16672" w:rsidRDefault="00427890" w:rsidP="004D052D">
            <w:pPr>
              <w:snapToGrid w:val="0"/>
              <w:ind w:left="175" w:right="138"/>
              <w:jc w:val="center"/>
              <w:rPr>
                <w:rFonts w:ascii="Times New Roman" w:hAnsi="Times New Roman"/>
                <w:b/>
                <w:caps/>
                <w:sz w:val="16"/>
                <w:szCs w:val="16"/>
              </w:rPr>
            </w:pPr>
            <w:r w:rsidRPr="00E16672">
              <w:rPr>
                <w:rFonts w:ascii="Times New Roman" w:hAnsi="Times New Roman"/>
                <w:b/>
                <w:caps/>
                <w:sz w:val="16"/>
                <w:szCs w:val="16"/>
              </w:rPr>
              <w:t>3. Порядок отримання розпоряджень</w:t>
            </w:r>
          </w:p>
          <w:p w14:paraId="462A84E2" w14:textId="77777777" w:rsidR="00427890" w:rsidRPr="00E16672" w:rsidRDefault="00427890" w:rsidP="004D052D">
            <w:pPr>
              <w:ind w:left="175" w:right="138"/>
              <w:jc w:val="center"/>
              <w:rPr>
                <w:rFonts w:ascii="Times New Roman" w:hAnsi="Times New Roman"/>
                <w:sz w:val="16"/>
                <w:szCs w:val="16"/>
              </w:rPr>
            </w:pPr>
          </w:p>
          <w:p w14:paraId="6838BDFF" w14:textId="77777777" w:rsidR="00427890" w:rsidRPr="00E16672" w:rsidRDefault="00427890" w:rsidP="00746617">
            <w:pPr>
              <w:ind w:left="175" w:right="138" w:firstLine="0"/>
              <w:rPr>
                <w:rFonts w:ascii="Times New Roman" w:hAnsi="Times New Roman"/>
                <w:sz w:val="16"/>
                <w:szCs w:val="16"/>
              </w:rPr>
            </w:pPr>
            <w:r w:rsidRPr="00E16672">
              <w:rPr>
                <w:rFonts w:ascii="Times New Roman" w:hAnsi="Times New Roman"/>
                <w:sz w:val="16"/>
                <w:szCs w:val="16"/>
              </w:rPr>
              <w:t xml:space="preserve">3.1. </w:t>
            </w:r>
            <w:proofErr w:type="spellStart"/>
            <w:r w:rsidRPr="00E16672">
              <w:rPr>
                <w:rFonts w:ascii="Times New Roman" w:hAnsi="Times New Roman"/>
                <w:sz w:val="16"/>
                <w:szCs w:val="16"/>
              </w:rPr>
              <w:t>Обслуговування</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операцій</w:t>
            </w:r>
            <w:proofErr w:type="spellEnd"/>
            <w:r w:rsidRPr="00E16672">
              <w:rPr>
                <w:rFonts w:ascii="Times New Roman" w:hAnsi="Times New Roman"/>
                <w:sz w:val="16"/>
                <w:szCs w:val="16"/>
              </w:rPr>
              <w:t xml:space="preserve"> з </w:t>
            </w:r>
            <w:proofErr w:type="spellStart"/>
            <w:r w:rsidRPr="00E16672">
              <w:rPr>
                <w:rFonts w:ascii="Times New Roman" w:hAnsi="Times New Roman"/>
                <w:sz w:val="16"/>
                <w:szCs w:val="16"/>
              </w:rPr>
              <w:t>цінними</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паперами</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здійснюються</w:t>
            </w:r>
            <w:proofErr w:type="spellEnd"/>
            <w:r w:rsidRPr="00E16672">
              <w:rPr>
                <w:rFonts w:ascii="Times New Roman" w:hAnsi="Times New Roman"/>
                <w:sz w:val="16"/>
                <w:szCs w:val="16"/>
              </w:rPr>
              <w:t xml:space="preserve"> Депозитарною </w:t>
            </w:r>
            <w:proofErr w:type="spellStart"/>
            <w:r w:rsidRPr="00E16672">
              <w:rPr>
                <w:rFonts w:ascii="Times New Roman" w:hAnsi="Times New Roman"/>
                <w:sz w:val="16"/>
                <w:szCs w:val="16"/>
              </w:rPr>
              <w:t>установою</w:t>
            </w:r>
            <w:proofErr w:type="spellEnd"/>
            <w:r w:rsidRPr="00E16672">
              <w:rPr>
                <w:rFonts w:ascii="Times New Roman" w:hAnsi="Times New Roman"/>
                <w:sz w:val="16"/>
                <w:szCs w:val="16"/>
              </w:rPr>
              <w:t xml:space="preserve"> за </w:t>
            </w:r>
            <w:proofErr w:type="spellStart"/>
            <w:proofErr w:type="gramStart"/>
            <w:r w:rsidRPr="00E16672">
              <w:rPr>
                <w:rFonts w:ascii="Times New Roman" w:hAnsi="Times New Roman"/>
                <w:sz w:val="16"/>
                <w:szCs w:val="16"/>
              </w:rPr>
              <w:t>розпорядженням</w:t>
            </w:r>
            <w:proofErr w:type="spellEnd"/>
            <w:r w:rsidRPr="00E16672">
              <w:rPr>
                <w:rFonts w:ascii="Times New Roman" w:hAnsi="Times New Roman"/>
                <w:sz w:val="16"/>
                <w:szCs w:val="16"/>
              </w:rPr>
              <w:t xml:space="preserve">  Депонента</w:t>
            </w:r>
            <w:proofErr w:type="gramEnd"/>
            <w:r w:rsidRPr="00E16672">
              <w:rPr>
                <w:rFonts w:ascii="Times New Roman" w:hAnsi="Times New Roman"/>
                <w:sz w:val="16"/>
                <w:szCs w:val="16"/>
              </w:rPr>
              <w:t xml:space="preserve">, </w:t>
            </w:r>
            <w:proofErr w:type="spellStart"/>
            <w:r w:rsidRPr="00E16672">
              <w:rPr>
                <w:rFonts w:ascii="Times New Roman" w:hAnsi="Times New Roman"/>
                <w:sz w:val="16"/>
                <w:szCs w:val="16"/>
              </w:rPr>
              <w:t>керуючого</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або</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розпорядника</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його</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рахунком</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уповноваженого</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представника</w:t>
            </w:r>
            <w:proofErr w:type="spellEnd"/>
            <w:r w:rsidRPr="00E16672">
              <w:rPr>
                <w:rFonts w:ascii="Times New Roman" w:hAnsi="Times New Roman"/>
                <w:sz w:val="16"/>
                <w:szCs w:val="16"/>
              </w:rPr>
              <w:t>).</w:t>
            </w:r>
          </w:p>
          <w:p w14:paraId="63DDCF0E" w14:textId="77777777" w:rsidR="00427890" w:rsidRPr="00E16672" w:rsidRDefault="00427890" w:rsidP="004D052D">
            <w:pPr>
              <w:ind w:left="175" w:right="138"/>
              <w:rPr>
                <w:rFonts w:ascii="Times New Roman" w:hAnsi="Times New Roman"/>
                <w:sz w:val="16"/>
                <w:szCs w:val="16"/>
              </w:rPr>
            </w:pPr>
          </w:p>
        </w:tc>
        <w:tc>
          <w:tcPr>
            <w:tcW w:w="5494" w:type="dxa"/>
            <w:gridSpan w:val="7"/>
            <w:shd w:val="clear" w:color="auto" w:fill="auto"/>
          </w:tcPr>
          <w:p w14:paraId="4F5D29BF" w14:textId="77777777" w:rsidR="00D352F4" w:rsidRPr="00E16672" w:rsidRDefault="00D352F4" w:rsidP="00E27FD1">
            <w:pPr>
              <w:tabs>
                <w:tab w:val="left" w:pos="287"/>
              </w:tabs>
              <w:snapToGrid w:val="0"/>
              <w:ind w:left="145" w:right="100"/>
              <w:jc w:val="center"/>
              <w:rPr>
                <w:rFonts w:ascii="Times New Roman" w:hAnsi="Times New Roman"/>
                <w:b/>
                <w:caps/>
                <w:sz w:val="16"/>
                <w:szCs w:val="16"/>
              </w:rPr>
            </w:pPr>
          </w:p>
          <w:p w14:paraId="4417602D" w14:textId="77777777" w:rsidR="00427890" w:rsidRPr="00E16672" w:rsidRDefault="00427890" w:rsidP="00E27FD1">
            <w:pPr>
              <w:tabs>
                <w:tab w:val="left" w:pos="287"/>
              </w:tabs>
              <w:snapToGrid w:val="0"/>
              <w:ind w:left="145" w:right="100"/>
              <w:jc w:val="center"/>
              <w:rPr>
                <w:rFonts w:ascii="Times New Roman" w:hAnsi="Times New Roman"/>
                <w:b/>
                <w:caps/>
                <w:sz w:val="16"/>
                <w:szCs w:val="16"/>
                <w:lang w:val="en-GB"/>
              </w:rPr>
            </w:pPr>
            <w:r w:rsidRPr="00E16672">
              <w:rPr>
                <w:rFonts w:ascii="Times New Roman" w:hAnsi="Times New Roman"/>
                <w:b/>
                <w:caps/>
                <w:sz w:val="16"/>
                <w:szCs w:val="16"/>
                <w:lang w:val="en-GB"/>
              </w:rPr>
              <w:t>3. Procedures of deriving of the orders</w:t>
            </w:r>
          </w:p>
          <w:p w14:paraId="4FD16561" w14:textId="77777777" w:rsidR="00427890" w:rsidRPr="00E16672" w:rsidRDefault="00427890" w:rsidP="00E27FD1">
            <w:pPr>
              <w:tabs>
                <w:tab w:val="left" w:pos="287"/>
              </w:tabs>
              <w:ind w:left="145" w:right="100"/>
              <w:rPr>
                <w:rFonts w:ascii="Times New Roman" w:hAnsi="Times New Roman"/>
                <w:sz w:val="16"/>
                <w:szCs w:val="16"/>
                <w:lang w:val="en-GB"/>
              </w:rPr>
            </w:pPr>
          </w:p>
          <w:p w14:paraId="2F2B1B92" w14:textId="77777777" w:rsidR="00427890" w:rsidRPr="00E16672" w:rsidRDefault="00427890" w:rsidP="00746617">
            <w:pPr>
              <w:tabs>
                <w:tab w:val="left" w:pos="287"/>
              </w:tabs>
              <w:ind w:left="145" w:right="100" w:firstLine="0"/>
              <w:rPr>
                <w:rFonts w:ascii="Times New Roman" w:hAnsi="Times New Roman"/>
                <w:sz w:val="16"/>
                <w:szCs w:val="16"/>
                <w:lang w:val="en-GB"/>
              </w:rPr>
            </w:pPr>
            <w:r w:rsidRPr="00E16672">
              <w:rPr>
                <w:rFonts w:ascii="Times New Roman" w:hAnsi="Times New Roman"/>
                <w:sz w:val="16"/>
                <w:szCs w:val="16"/>
                <w:lang w:val="en-GB"/>
              </w:rPr>
              <w:t xml:space="preserve">3.1. Service of all of the operations with securities is to be </w:t>
            </w:r>
            <w:proofErr w:type="gramStart"/>
            <w:r w:rsidRPr="00E16672">
              <w:rPr>
                <w:rFonts w:ascii="Times New Roman" w:hAnsi="Times New Roman"/>
                <w:sz w:val="16"/>
                <w:szCs w:val="16"/>
                <w:lang w:val="en-GB"/>
              </w:rPr>
              <w:t>done  by</w:t>
            </w:r>
            <w:proofErr w:type="gramEnd"/>
            <w:r w:rsidRPr="00E16672">
              <w:rPr>
                <w:rFonts w:ascii="Times New Roman" w:hAnsi="Times New Roman"/>
                <w:sz w:val="16"/>
                <w:szCs w:val="16"/>
                <w:lang w:val="en-GB"/>
              </w:rPr>
              <w:t xml:space="preserve"> Depository institution  only by written orders given by Depositor, his administrator or account manager of the account (authorized representative person).</w:t>
            </w:r>
          </w:p>
        </w:tc>
      </w:tr>
      <w:tr w:rsidR="00427890" w:rsidRPr="00F23413" w14:paraId="2A256D04" w14:textId="77777777" w:rsidTr="00D77858">
        <w:tblPrEx>
          <w:tblCellMar>
            <w:left w:w="0" w:type="dxa"/>
            <w:right w:w="0" w:type="dxa"/>
          </w:tblCellMar>
        </w:tblPrEx>
        <w:trPr>
          <w:trHeight w:val="962"/>
        </w:trPr>
        <w:tc>
          <w:tcPr>
            <w:tcW w:w="5696" w:type="dxa"/>
            <w:gridSpan w:val="6"/>
            <w:shd w:val="clear" w:color="auto" w:fill="auto"/>
          </w:tcPr>
          <w:p w14:paraId="1EE771A5" w14:textId="77777777" w:rsidR="00427890" w:rsidRPr="00E16672" w:rsidRDefault="00427890" w:rsidP="00746617">
            <w:pPr>
              <w:snapToGrid w:val="0"/>
              <w:ind w:left="175" w:right="138" w:firstLine="7"/>
              <w:rPr>
                <w:rFonts w:ascii="Times New Roman" w:hAnsi="Times New Roman"/>
                <w:color w:val="000000"/>
                <w:sz w:val="16"/>
                <w:szCs w:val="16"/>
              </w:rPr>
            </w:pPr>
            <w:r w:rsidRPr="00E16672">
              <w:rPr>
                <w:rFonts w:ascii="Times New Roman" w:hAnsi="Times New Roman"/>
                <w:sz w:val="16"/>
                <w:szCs w:val="16"/>
              </w:rPr>
              <w:t>3.2</w:t>
            </w:r>
            <w:r w:rsidRPr="00E16672">
              <w:rPr>
                <w:rFonts w:ascii="Times New Roman" w:hAnsi="Times New Roman"/>
                <w:color w:val="000000"/>
                <w:sz w:val="16"/>
                <w:szCs w:val="16"/>
              </w:rPr>
              <w:t xml:space="preserve">. </w:t>
            </w:r>
            <w:r w:rsidRPr="00E16672">
              <w:rPr>
                <w:rFonts w:ascii="Times New Roman" w:hAnsi="Times New Roman"/>
                <w:color w:val="000000"/>
                <w:sz w:val="16"/>
                <w:szCs w:val="16"/>
                <w:lang w:val="uk-UA"/>
              </w:rPr>
              <w:t>Особливості складання розпоряджень Депонентів встановлені</w:t>
            </w:r>
            <w:r w:rsidRPr="00E16672">
              <w:rPr>
                <w:rFonts w:ascii="Times New Roman" w:hAnsi="Times New Roman"/>
                <w:color w:val="000000"/>
                <w:sz w:val="16"/>
                <w:szCs w:val="16"/>
              </w:rPr>
              <w:t xml:space="preserve"> </w:t>
            </w:r>
            <w:r w:rsidR="00DB4148" w:rsidRPr="00E16672">
              <w:rPr>
                <w:rFonts w:ascii="Times New Roman" w:hAnsi="Times New Roman"/>
                <w:color w:val="000000"/>
                <w:sz w:val="16"/>
                <w:szCs w:val="20"/>
                <w:lang w:val="uk-UA"/>
              </w:rPr>
              <w:t>законодавством та</w:t>
            </w:r>
            <w:r w:rsidR="00DB4148" w:rsidRPr="00E16672">
              <w:rPr>
                <w:rFonts w:ascii="Times New Roman" w:hAnsi="Times New Roman"/>
                <w:color w:val="000000"/>
                <w:sz w:val="16"/>
                <w:szCs w:val="20"/>
              </w:rPr>
              <w:t xml:space="preserve"> </w:t>
            </w:r>
            <w:proofErr w:type="spellStart"/>
            <w:r w:rsidRPr="00E16672">
              <w:rPr>
                <w:rFonts w:ascii="Times New Roman" w:hAnsi="Times New Roman"/>
                <w:color w:val="000000"/>
                <w:sz w:val="16"/>
                <w:szCs w:val="16"/>
              </w:rPr>
              <w:t>внутрішніми</w:t>
            </w:r>
            <w:proofErr w:type="spellEnd"/>
            <w:r w:rsidRPr="00E16672">
              <w:rPr>
                <w:rFonts w:ascii="Times New Roman" w:hAnsi="Times New Roman"/>
                <w:color w:val="000000"/>
                <w:sz w:val="16"/>
                <w:szCs w:val="16"/>
              </w:rPr>
              <w:t xml:space="preserve"> документами </w:t>
            </w:r>
            <w:proofErr w:type="spellStart"/>
            <w:r w:rsidRPr="00E16672">
              <w:rPr>
                <w:rFonts w:ascii="Times New Roman" w:hAnsi="Times New Roman"/>
                <w:color w:val="000000"/>
                <w:sz w:val="16"/>
                <w:szCs w:val="16"/>
              </w:rPr>
              <w:t>Депозитарної</w:t>
            </w:r>
            <w:proofErr w:type="spellEnd"/>
            <w:r w:rsidRPr="00E16672">
              <w:rPr>
                <w:rFonts w:ascii="Times New Roman" w:hAnsi="Times New Roman"/>
                <w:color w:val="000000"/>
                <w:sz w:val="16"/>
                <w:szCs w:val="16"/>
              </w:rPr>
              <w:t xml:space="preserve"> установи</w:t>
            </w:r>
            <w:r w:rsidR="00853090"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rPr>
              <w:t>Розпорядження</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можуть</w:t>
            </w:r>
            <w:proofErr w:type="spellEnd"/>
            <w:r w:rsidRPr="00E16672">
              <w:rPr>
                <w:rFonts w:ascii="Times New Roman" w:hAnsi="Times New Roman"/>
                <w:color w:val="000000"/>
                <w:sz w:val="16"/>
                <w:szCs w:val="16"/>
              </w:rPr>
              <w:t xml:space="preserve"> </w:t>
            </w:r>
            <w:proofErr w:type="spellStart"/>
            <w:r w:rsidR="00FD491E" w:rsidRPr="00E16672">
              <w:rPr>
                <w:rFonts w:ascii="Times New Roman" w:hAnsi="Times New Roman"/>
                <w:color w:val="000000"/>
                <w:sz w:val="16"/>
                <w:szCs w:val="16"/>
              </w:rPr>
              <w:t>надаватися</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Депозитарній</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установі</w:t>
            </w:r>
            <w:proofErr w:type="spellEnd"/>
            <w:r w:rsidRPr="00E16672">
              <w:rPr>
                <w:rFonts w:ascii="Times New Roman" w:hAnsi="Times New Roman"/>
                <w:color w:val="000000"/>
                <w:sz w:val="16"/>
                <w:szCs w:val="16"/>
              </w:rPr>
              <w:t xml:space="preserve"> у </w:t>
            </w:r>
            <w:proofErr w:type="spellStart"/>
            <w:r w:rsidRPr="00E16672">
              <w:rPr>
                <w:rFonts w:ascii="Times New Roman" w:hAnsi="Times New Roman"/>
                <w:color w:val="000000"/>
                <w:sz w:val="16"/>
                <w:szCs w:val="16"/>
              </w:rPr>
              <w:t>формі</w:t>
            </w:r>
            <w:proofErr w:type="spellEnd"/>
            <w:r w:rsidRPr="00E16672">
              <w:rPr>
                <w:rFonts w:ascii="Times New Roman" w:hAnsi="Times New Roman"/>
                <w:color w:val="000000"/>
                <w:sz w:val="16"/>
                <w:szCs w:val="16"/>
              </w:rPr>
              <w:t>:</w:t>
            </w:r>
            <w:r w:rsidRPr="00E16672">
              <w:rPr>
                <w:rFonts w:ascii="Times New Roman" w:hAnsi="Times New Roman"/>
                <w:sz w:val="16"/>
                <w:szCs w:val="16"/>
              </w:rPr>
              <w:t xml:space="preserve"> </w:t>
            </w:r>
            <w:proofErr w:type="spellStart"/>
            <w:r w:rsidRPr="00E16672">
              <w:rPr>
                <w:rFonts w:ascii="Times New Roman" w:hAnsi="Times New Roman"/>
                <w:sz w:val="16"/>
                <w:szCs w:val="16"/>
              </w:rPr>
              <w:t>паперового</w:t>
            </w:r>
            <w:proofErr w:type="spellEnd"/>
            <w:r w:rsidRPr="00E16672">
              <w:rPr>
                <w:rFonts w:ascii="Times New Roman" w:hAnsi="Times New Roman"/>
                <w:sz w:val="16"/>
                <w:szCs w:val="16"/>
              </w:rPr>
              <w:t xml:space="preserve"> документу, </w:t>
            </w:r>
            <w:proofErr w:type="spellStart"/>
            <w:r w:rsidRPr="00E16672">
              <w:rPr>
                <w:rFonts w:ascii="Times New Roman" w:hAnsi="Times New Roman"/>
                <w:sz w:val="16"/>
                <w:szCs w:val="16"/>
              </w:rPr>
              <w:t>електронного</w:t>
            </w:r>
            <w:proofErr w:type="spellEnd"/>
            <w:r w:rsidRPr="00E16672">
              <w:rPr>
                <w:rFonts w:ascii="Times New Roman" w:hAnsi="Times New Roman"/>
                <w:sz w:val="16"/>
                <w:szCs w:val="16"/>
              </w:rPr>
              <w:t xml:space="preserve"> документу, </w:t>
            </w:r>
            <w:proofErr w:type="spellStart"/>
            <w:r w:rsidRPr="00E16672">
              <w:rPr>
                <w:rFonts w:ascii="Times New Roman" w:hAnsi="Times New Roman"/>
                <w:sz w:val="16"/>
                <w:szCs w:val="16"/>
              </w:rPr>
              <w:t>електронного</w:t>
            </w:r>
            <w:proofErr w:type="spellEnd"/>
            <w:r w:rsidRPr="00E16672">
              <w:rPr>
                <w:rFonts w:ascii="Times New Roman" w:hAnsi="Times New Roman"/>
                <w:sz w:val="16"/>
                <w:szCs w:val="16"/>
              </w:rPr>
              <w:t xml:space="preserve"> документу у </w:t>
            </w:r>
            <w:proofErr w:type="spellStart"/>
            <w:r w:rsidRPr="00E16672">
              <w:rPr>
                <w:rFonts w:ascii="Times New Roman" w:hAnsi="Times New Roman"/>
                <w:sz w:val="16"/>
                <w:szCs w:val="16"/>
              </w:rPr>
              <w:t>формі</w:t>
            </w:r>
            <w:proofErr w:type="spellEnd"/>
            <w:r w:rsidRPr="00E16672">
              <w:rPr>
                <w:rFonts w:ascii="Times New Roman" w:hAnsi="Times New Roman"/>
                <w:sz w:val="16"/>
                <w:szCs w:val="16"/>
              </w:rPr>
              <w:t xml:space="preserve"> S.W.I.F.T.-</w:t>
            </w:r>
            <w:proofErr w:type="spellStart"/>
            <w:r w:rsidRPr="00E16672">
              <w:rPr>
                <w:rFonts w:ascii="Times New Roman" w:hAnsi="Times New Roman"/>
                <w:color w:val="000000"/>
                <w:sz w:val="16"/>
                <w:szCs w:val="16"/>
              </w:rPr>
              <w:t>повідомлення</w:t>
            </w:r>
            <w:proofErr w:type="spellEnd"/>
            <w:r w:rsidRPr="00E16672">
              <w:rPr>
                <w:rFonts w:ascii="Times New Roman" w:hAnsi="Times New Roman"/>
                <w:color w:val="000000"/>
                <w:sz w:val="16"/>
                <w:szCs w:val="16"/>
              </w:rPr>
              <w:t xml:space="preserve">. </w:t>
            </w:r>
          </w:p>
          <w:p w14:paraId="2FFF9445" w14:textId="77777777" w:rsidR="00E21427" w:rsidRPr="00E16672" w:rsidRDefault="00E21427" w:rsidP="00746617">
            <w:pPr>
              <w:ind w:left="175" w:right="138" w:firstLine="7"/>
              <w:rPr>
                <w:rFonts w:ascii="Times New Roman" w:hAnsi="Times New Roman"/>
                <w:color w:val="000000"/>
                <w:sz w:val="16"/>
                <w:szCs w:val="16"/>
              </w:rPr>
            </w:pPr>
            <w:proofErr w:type="spellStart"/>
            <w:r w:rsidRPr="00E16672">
              <w:rPr>
                <w:rFonts w:ascii="Times New Roman" w:hAnsi="Times New Roman"/>
                <w:color w:val="000000"/>
                <w:sz w:val="16"/>
                <w:szCs w:val="16"/>
              </w:rPr>
              <w:t>Спосіб</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підписання</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розпорядження</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визначається</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згідно</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зі</w:t>
            </w:r>
            <w:proofErr w:type="spellEnd"/>
            <w:r w:rsidRPr="00E16672">
              <w:rPr>
                <w:rFonts w:ascii="Times New Roman" w:hAnsi="Times New Roman"/>
                <w:color w:val="000000"/>
                <w:sz w:val="16"/>
                <w:szCs w:val="16"/>
              </w:rPr>
              <w:t xml:space="preserve"> способом </w:t>
            </w:r>
            <w:proofErr w:type="spellStart"/>
            <w:r w:rsidRPr="00E16672">
              <w:rPr>
                <w:rFonts w:ascii="Times New Roman" w:hAnsi="Times New Roman"/>
                <w:color w:val="000000"/>
                <w:sz w:val="16"/>
                <w:szCs w:val="16"/>
              </w:rPr>
              <w:t>підтвердження</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справжності</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підпису</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що</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використовується</w:t>
            </w:r>
            <w:proofErr w:type="spellEnd"/>
            <w:r w:rsidRPr="00E16672">
              <w:rPr>
                <w:rFonts w:ascii="Times New Roman" w:hAnsi="Times New Roman"/>
                <w:color w:val="000000"/>
                <w:sz w:val="16"/>
                <w:szCs w:val="16"/>
              </w:rPr>
              <w:t xml:space="preserve"> при </w:t>
            </w:r>
            <w:proofErr w:type="spellStart"/>
            <w:r w:rsidRPr="00E16672">
              <w:rPr>
                <w:rFonts w:ascii="Times New Roman" w:hAnsi="Times New Roman"/>
                <w:color w:val="000000"/>
                <w:sz w:val="16"/>
                <w:szCs w:val="16"/>
              </w:rPr>
              <w:t>обміні</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інформацією</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між</w:t>
            </w:r>
            <w:proofErr w:type="spellEnd"/>
            <w:r w:rsidRPr="00E16672">
              <w:rPr>
                <w:rFonts w:ascii="Times New Roman" w:hAnsi="Times New Roman"/>
                <w:color w:val="000000"/>
                <w:sz w:val="16"/>
                <w:szCs w:val="16"/>
              </w:rPr>
              <w:t xml:space="preserve"> Депонентом та Депозитарною </w:t>
            </w:r>
            <w:proofErr w:type="spellStart"/>
            <w:r w:rsidRPr="00E16672">
              <w:rPr>
                <w:rFonts w:ascii="Times New Roman" w:hAnsi="Times New Roman"/>
                <w:color w:val="000000"/>
                <w:sz w:val="16"/>
                <w:szCs w:val="16"/>
              </w:rPr>
              <w:t>установою</w:t>
            </w:r>
            <w:proofErr w:type="spellEnd"/>
            <w:r w:rsidRPr="00E16672">
              <w:rPr>
                <w:rFonts w:ascii="Times New Roman" w:hAnsi="Times New Roman"/>
                <w:color w:val="000000"/>
                <w:sz w:val="16"/>
                <w:szCs w:val="16"/>
              </w:rPr>
              <w:t xml:space="preserve">, і </w:t>
            </w:r>
            <w:proofErr w:type="spellStart"/>
            <w:r w:rsidRPr="00E16672">
              <w:rPr>
                <w:rFonts w:ascii="Times New Roman" w:hAnsi="Times New Roman"/>
                <w:color w:val="000000"/>
                <w:sz w:val="16"/>
                <w:szCs w:val="16"/>
              </w:rPr>
              <w:t>може</w:t>
            </w:r>
            <w:proofErr w:type="spellEnd"/>
            <w:r w:rsidRPr="00E16672">
              <w:rPr>
                <w:rFonts w:ascii="Times New Roman" w:hAnsi="Times New Roman"/>
                <w:color w:val="000000"/>
                <w:sz w:val="16"/>
                <w:szCs w:val="16"/>
              </w:rPr>
              <w:t xml:space="preserve"> бути таким:</w:t>
            </w:r>
          </w:p>
          <w:p w14:paraId="7AE7DFEC" w14:textId="77777777" w:rsidR="00E21427" w:rsidRPr="00E16672" w:rsidRDefault="00E21427" w:rsidP="00746617">
            <w:pPr>
              <w:ind w:left="175" w:right="138" w:firstLine="7"/>
              <w:rPr>
                <w:rFonts w:ascii="Times New Roman" w:hAnsi="Times New Roman"/>
                <w:color w:val="000000"/>
                <w:sz w:val="16"/>
                <w:szCs w:val="16"/>
              </w:rPr>
            </w:pPr>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підпис</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розпорядника</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рахунку</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або</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керуючого</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рахунком</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юридичної</w:t>
            </w:r>
            <w:proofErr w:type="spellEnd"/>
            <w:r w:rsidRPr="00E16672">
              <w:rPr>
                <w:rFonts w:ascii="Times New Roman" w:hAnsi="Times New Roman"/>
                <w:color w:val="000000"/>
                <w:sz w:val="16"/>
                <w:szCs w:val="16"/>
              </w:rPr>
              <w:t xml:space="preserve"> особи, печатка </w:t>
            </w:r>
            <w:proofErr w:type="spellStart"/>
            <w:r w:rsidRPr="00E16672">
              <w:rPr>
                <w:rFonts w:ascii="Times New Roman" w:hAnsi="Times New Roman"/>
                <w:color w:val="000000"/>
                <w:sz w:val="16"/>
                <w:szCs w:val="16"/>
              </w:rPr>
              <w:t>керуючого</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рахунком</w:t>
            </w:r>
            <w:proofErr w:type="spellEnd"/>
            <w:r w:rsidRPr="00E16672">
              <w:rPr>
                <w:rFonts w:ascii="Times New Roman" w:hAnsi="Times New Roman"/>
                <w:color w:val="000000"/>
                <w:sz w:val="16"/>
                <w:szCs w:val="16"/>
              </w:rPr>
              <w:t xml:space="preserve"> - </w:t>
            </w:r>
            <w:proofErr w:type="spellStart"/>
            <w:r w:rsidRPr="00E16672">
              <w:rPr>
                <w:rFonts w:ascii="Times New Roman" w:hAnsi="Times New Roman"/>
                <w:color w:val="000000"/>
                <w:sz w:val="16"/>
                <w:szCs w:val="16"/>
              </w:rPr>
              <w:t>юридичної</w:t>
            </w:r>
            <w:proofErr w:type="spellEnd"/>
            <w:r w:rsidRPr="00E16672">
              <w:rPr>
                <w:rFonts w:ascii="Times New Roman" w:hAnsi="Times New Roman"/>
                <w:color w:val="000000"/>
                <w:sz w:val="16"/>
                <w:szCs w:val="16"/>
              </w:rPr>
              <w:t xml:space="preserve"> особи (у </w:t>
            </w:r>
            <w:proofErr w:type="spellStart"/>
            <w:r w:rsidRPr="00E16672">
              <w:rPr>
                <w:rFonts w:ascii="Times New Roman" w:hAnsi="Times New Roman"/>
                <w:color w:val="000000"/>
                <w:sz w:val="16"/>
                <w:szCs w:val="16"/>
              </w:rPr>
              <w:t>разі</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її</w:t>
            </w:r>
            <w:proofErr w:type="spellEnd"/>
            <w:r w:rsidRPr="00E16672">
              <w:rPr>
                <w:rFonts w:ascii="Times New Roman" w:hAnsi="Times New Roman"/>
                <w:color w:val="000000"/>
                <w:sz w:val="16"/>
                <w:szCs w:val="16"/>
              </w:rPr>
              <w:t xml:space="preserve"> </w:t>
            </w:r>
            <w:r w:rsidR="00DB4148" w:rsidRPr="00E16672">
              <w:rPr>
                <w:rFonts w:ascii="Times New Roman" w:hAnsi="Times New Roman"/>
                <w:color w:val="000000"/>
                <w:sz w:val="16"/>
                <w:szCs w:val="16"/>
                <w:lang w:val="uk-UA"/>
              </w:rPr>
              <w:t xml:space="preserve">використання </w:t>
            </w:r>
            <w:r w:rsidRPr="00E16672">
              <w:rPr>
                <w:rFonts w:ascii="Times New Roman" w:hAnsi="Times New Roman"/>
                <w:color w:val="000000"/>
                <w:sz w:val="16"/>
                <w:szCs w:val="16"/>
              </w:rPr>
              <w:t xml:space="preserve">та у </w:t>
            </w:r>
            <w:proofErr w:type="spellStart"/>
            <w:r w:rsidRPr="00E16672">
              <w:rPr>
                <w:rFonts w:ascii="Times New Roman" w:hAnsi="Times New Roman"/>
                <w:color w:val="000000"/>
                <w:sz w:val="16"/>
                <w:szCs w:val="16"/>
              </w:rPr>
              <w:t>відповідності</w:t>
            </w:r>
            <w:proofErr w:type="spellEnd"/>
            <w:r w:rsidRPr="00E16672">
              <w:rPr>
                <w:rFonts w:ascii="Times New Roman" w:hAnsi="Times New Roman"/>
                <w:color w:val="000000"/>
                <w:sz w:val="16"/>
                <w:szCs w:val="16"/>
              </w:rPr>
              <w:t xml:space="preserve"> до </w:t>
            </w:r>
            <w:proofErr w:type="spellStart"/>
            <w:r w:rsidRPr="00E16672">
              <w:rPr>
                <w:rFonts w:ascii="Times New Roman" w:hAnsi="Times New Roman"/>
                <w:color w:val="000000"/>
                <w:sz w:val="16"/>
                <w:szCs w:val="16"/>
              </w:rPr>
              <w:t>повноважень</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які</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передбачають</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посвідчення</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підпису</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печаткою</w:t>
            </w:r>
            <w:proofErr w:type="spellEnd"/>
            <w:r w:rsidRPr="00E16672">
              <w:rPr>
                <w:rFonts w:ascii="Times New Roman" w:hAnsi="Times New Roman"/>
                <w:color w:val="000000"/>
                <w:sz w:val="16"/>
                <w:szCs w:val="16"/>
              </w:rPr>
              <w:t xml:space="preserve">) - у </w:t>
            </w:r>
            <w:proofErr w:type="spellStart"/>
            <w:r w:rsidRPr="00E16672">
              <w:rPr>
                <w:rFonts w:ascii="Times New Roman" w:hAnsi="Times New Roman"/>
                <w:color w:val="000000"/>
                <w:sz w:val="16"/>
                <w:szCs w:val="16"/>
              </w:rPr>
              <w:t>разі</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надання</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розпорядження</w:t>
            </w:r>
            <w:proofErr w:type="spellEnd"/>
            <w:r w:rsidRPr="00E16672">
              <w:rPr>
                <w:rFonts w:ascii="Times New Roman" w:hAnsi="Times New Roman"/>
                <w:color w:val="000000"/>
                <w:sz w:val="16"/>
                <w:szCs w:val="16"/>
              </w:rPr>
              <w:t xml:space="preserve"> у </w:t>
            </w:r>
            <w:proofErr w:type="spellStart"/>
            <w:r w:rsidRPr="00E16672">
              <w:rPr>
                <w:rFonts w:ascii="Times New Roman" w:hAnsi="Times New Roman"/>
                <w:color w:val="000000"/>
                <w:sz w:val="16"/>
                <w:szCs w:val="16"/>
              </w:rPr>
              <w:t>вигляді</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паперового</w:t>
            </w:r>
            <w:proofErr w:type="spellEnd"/>
            <w:r w:rsidRPr="00E16672">
              <w:rPr>
                <w:rFonts w:ascii="Times New Roman" w:hAnsi="Times New Roman"/>
                <w:color w:val="000000"/>
                <w:sz w:val="16"/>
                <w:szCs w:val="16"/>
              </w:rPr>
              <w:t xml:space="preserve"> документа;</w:t>
            </w:r>
          </w:p>
          <w:p w14:paraId="2C865E2A" w14:textId="77777777" w:rsidR="00E21427" w:rsidRPr="00E16672" w:rsidRDefault="00E21427" w:rsidP="00746617">
            <w:pPr>
              <w:ind w:left="175" w:right="138" w:firstLine="7"/>
              <w:rPr>
                <w:rFonts w:ascii="Times New Roman" w:hAnsi="Times New Roman"/>
                <w:color w:val="000000"/>
                <w:sz w:val="16"/>
                <w:szCs w:val="16"/>
                <w:lang w:val="uk-UA"/>
              </w:rPr>
            </w:pPr>
            <w:r w:rsidRPr="00E16672">
              <w:rPr>
                <w:rFonts w:ascii="Times New Roman" w:hAnsi="Times New Roman"/>
                <w:color w:val="000000"/>
                <w:sz w:val="16"/>
                <w:szCs w:val="16"/>
              </w:rPr>
              <w:t xml:space="preserve"> - </w:t>
            </w:r>
            <w:r w:rsidR="00B31F66" w:rsidRPr="00E16672">
              <w:rPr>
                <w:rFonts w:ascii="Times New Roman" w:hAnsi="Times New Roman"/>
                <w:color w:val="000000"/>
                <w:sz w:val="16"/>
                <w:szCs w:val="16"/>
                <w:lang w:val="uk-UA"/>
              </w:rPr>
              <w:t>кваліфікований</w:t>
            </w:r>
            <w:r w:rsidR="00B31F66" w:rsidRPr="00E16672" w:rsidDel="008C4813">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rPr>
              <w:t>електронний</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підпис</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що</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накладається</w:t>
            </w:r>
            <w:proofErr w:type="spellEnd"/>
            <w:r w:rsidRPr="00E16672">
              <w:rPr>
                <w:rFonts w:ascii="Times New Roman" w:hAnsi="Times New Roman"/>
                <w:color w:val="000000"/>
                <w:sz w:val="16"/>
                <w:szCs w:val="16"/>
              </w:rPr>
              <w:t xml:space="preserve"> за </w:t>
            </w:r>
            <w:proofErr w:type="spellStart"/>
            <w:r w:rsidRPr="00E16672">
              <w:rPr>
                <w:rFonts w:ascii="Times New Roman" w:hAnsi="Times New Roman"/>
                <w:color w:val="000000"/>
                <w:sz w:val="16"/>
                <w:szCs w:val="16"/>
              </w:rPr>
              <w:t>допомогою</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особистого</w:t>
            </w:r>
            <w:proofErr w:type="spellEnd"/>
            <w:r w:rsidRPr="00E16672">
              <w:rPr>
                <w:rFonts w:ascii="Times New Roman" w:hAnsi="Times New Roman"/>
                <w:color w:val="000000"/>
                <w:sz w:val="16"/>
                <w:szCs w:val="16"/>
              </w:rPr>
              <w:t xml:space="preserve"> ключа </w:t>
            </w:r>
            <w:proofErr w:type="spellStart"/>
            <w:r w:rsidR="007B0D48" w:rsidRPr="00E16672">
              <w:rPr>
                <w:rFonts w:ascii="Times New Roman" w:hAnsi="Times New Roman"/>
                <w:color w:val="000000"/>
                <w:sz w:val="16"/>
                <w:szCs w:val="16"/>
                <w:lang w:val="uk-UA"/>
              </w:rPr>
              <w:t>кваліфікован</w:t>
            </w:r>
            <w:proofErr w:type="spellEnd"/>
            <w:r w:rsidR="007B0D48" w:rsidRPr="00E16672">
              <w:rPr>
                <w:rFonts w:ascii="Times New Roman" w:hAnsi="Times New Roman"/>
                <w:color w:val="000000"/>
                <w:sz w:val="16"/>
                <w:szCs w:val="16"/>
              </w:rPr>
              <w:t>ого</w:t>
            </w:r>
            <w:r w:rsidR="007B0D48" w:rsidRPr="00E16672" w:rsidDel="008C4813">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rPr>
              <w:t>електронного</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підпису</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розпорядника</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рахунку</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або</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керуючого</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рахунком</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юридичної</w:t>
            </w:r>
            <w:proofErr w:type="spellEnd"/>
            <w:r w:rsidRPr="00E16672">
              <w:rPr>
                <w:rFonts w:ascii="Times New Roman" w:hAnsi="Times New Roman"/>
                <w:color w:val="000000"/>
                <w:sz w:val="16"/>
                <w:szCs w:val="16"/>
              </w:rPr>
              <w:t xml:space="preserve"> особи, </w:t>
            </w:r>
            <w:r w:rsidR="007B0D48" w:rsidRPr="00E16672">
              <w:rPr>
                <w:rFonts w:ascii="Times New Roman" w:hAnsi="Times New Roman"/>
                <w:color w:val="000000"/>
                <w:sz w:val="16"/>
                <w:szCs w:val="16"/>
                <w:lang w:val="uk-UA"/>
              </w:rPr>
              <w:t>кваліфікований</w:t>
            </w:r>
            <w:r w:rsidR="007B0D48" w:rsidRPr="00E16672" w:rsidDel="008C4813">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rPr>
              <w:t>електронний</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підпис</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що</w:t>
            </w:r>
            <w:proofErr w:type="spellEnd"/>
            <w:r w:rsidRPr="00E16672">
              <w:rPr>
                <w:rFonts w:ascii="Times New Roman" w:hAnsi="Times New Roman"/>
                <w:color w:val="000000"/>
                <w:sz w:val="16"/>
                <w:szCs w:val="16"/>
              </w:rPr>
              <w:t xml:space="preserve"> за </w:t>
            </w:r>
            <w:proofErr w:type="spellStart"/>
            <w:r w:rsidRPr="00E16672">
              <w:rPr>
                <w:rFonts w:ascii="Times New Roman" w:hAnsi="Times New Roman"/>
                <w:color w:val="000000"/>
                <w:sz w:val="16"/>
                <w:szCs w:val="16"/>
              </w:rPr>
              <w:t>правовим</w:t>
            </w:r>
            <w:proofErr w:type="spellEnd"/>
            <w:r w:rsidRPr="00E16672">
              <w:rPr>
                <w:rFonts w:ascii="Times New Roman" w:hAnsi="Times New Roman"/>
                <w:color w:val="000000"/>
                <w:sz w:val="16"/>
                <w:szCs w:val="16"/>
              </w:rPr>
              <w:t xml:space="preserve"> статусом </w:t>
            </w:r>
            <w:proofErr w:type="spellStart"/>
            <w:r w:rsidRPr="00E16672">
              <w:rPr>
                <w:rFonts w:ascii="Times New Roman" w:hAnsi="Times New Roman"/>
                <w:color w:val="000000"/>
                <w:sz w:val="16"/>
                <w:szCs w:val="16"/>
              </w:rPr>
              <w:t>прирівнюється</w:t>
            </w:r>
            <w:proofErr w:type="spellEnd"/>
            <w:r w:rsidRPr="00E16672">
              <w:rPr>
                <w:rFonts w:ascii="Times New Roman" w:hAnsi="Times New Roman"/>
                <w:color w:val="000000"/>
                <w:sz w:val="16"/>
                <w:szCs w:val="16"/>
              </w:rPr>
              <w:t xml:space="preserve"> до печатки </w:t>
            </w:r>
            <w:proofErr w:type="spellStart"/>
            <w:r w:rsidRPr="00E16672">
              <w:rPr>
                <w:rFonts w:ascii="Times New Roman" w:hAnsi="Times New Roman"/>
                <w:color w:val="000000"/>
                <w:sz w:val="16"/>
                <w:szCs w:val="16"/>
              </w:rPr>
              <w:t>юридичної</w:t>
            </w:r>
            <w:proofErr w:type="spellEnd"/>
            <w:r w:rsidRPr="00E16672">
              <w:rPr>
                <w:rFonts w:ascii="Times New Roman" w:hAnsi="Times New Roman"/>
                <w:color w:val="000000"/>
                <w:sz w:val="16"/>
                <w:szCs w:val="16"/>
              </w:rPr>
              <w:t xml:space="preserve"> особи (</w:t>
            </w:r>
            <w:r w:rsidR="007B0D48" w:rsidRPr="00E16672">
              <w:rPr>
                <w:rFonts w:ascii="Times New Roman" w:hAnsi="Times New Roman"/>
                <w:color w:val="000000"/>
                <w:sz w:val="16"/>
                <w:szCs w:val="20"/>
                <w:lang w:val="uk-UA"/>
              </w:rPr>
              <w:t xml:space="preserve">у разі її використання, </w:t>
            </w:r>
            <w:proofErr w:type="spellStart"/>
            <w:r w:rsidRPr="00E16672">
              <w:rPr>
                <w:rFonts w:ascii="Times New Roman" w:hAnsi="Times New Roman"/>
                <w:color w:val="000000"/>
                <w:sz w:val="16"/>
                <w:szCs w:val="16"/>
              </w:rPr>
              <w:t>крім</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юридичних</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осіб</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нерезидентів</w:t>
            </w:r>
            <w:proofErr w:type="spellEnd"/>
            <w:r w:rsidRPr="00E16672">
              <w:rPr>
                <w:rFonts w:ascii="Times New Roman" w:hAnsi="Times New Roman"/>
                <w:color w:val="000000"/>
                <w:sz w:val="16"/>
                <w:szCs w:val="16"/>
              </w:rPr>
              <w:t xml:space="preserve"> –  </w:t>
            </w:r>
            <w:proofErr w:type="spellStart"/>
            <w:r w:rsidRPr="00E16672">
              <w:rPr>
                <w:rFonts w:ascii="Times New Roman" w:hAnsi="Times New Roman"/>
                <w:color w:val="000000"/>
                <w:sz w:val="16"/>
                <w:szCs w:val="16"/>
              </w:rPr>
              <w:t>керуючих</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рахунком</w:t>
            </w:r>
            <w:proofErr w:type="spellEnd"/>
            <w:r w:rsidRPr="00E16672">
              <w:rPr>
                <w:rFonts w:ascii="Times New Roman" w:hAnsi="Times New Roman"/>
                <w:color w:val="000000"/>
                <w:sz w:val="16"/>
                <w:szCs w:val="16"/>
              </w:rPr>
              <w:t xml:space="preserve"> та у </w:t>
            </w:r>
            <w:proofErr w:type="spellStart"/>
            <w:r w:rsidRPr="00E16672">
              <w:rPr>
                <w:rFonts w:ascii="Times New Roman" w:hAnsi="Times New Roman"/>
                <w:color w:val="000000"/>
                <w:sz w:val="16"/>
                <w:szCs w:val="16"/>
              </w:rPr>
              <w:t>відповідності</w:t>
            </w:r>
            <w:proofErr w:type="spellEnd"/>
            <w:r w:rsidRPr="00E16672">
              <w:rPr>
                <w:rFonts w:ascii="Times New Roman" w:hAnsi="Times New Roman"/>
                <w:color w:val="000000"/>
                <w:sz w:val="16"/>
                <w:szCs w:val="16"/>
              </w:rPr>
              <w:t xml:space="preserve"> до </w:t>
            </w:r>
            <w:proofErr w:type="spellStart"/>
            <w:r w:rsidRPr="00E16672">
              <w:rPr>
                <w:rFonts w:ascii="Times New Roman" w:hAnsi="Times New Roman"/>
                <w:color w:val="000000"/>
                <w:sz w:val="16"/>
                <w:szCs w:val="16"/>
              </w:rPr>
              <w:t>повноважень</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які</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передбачають</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посвідчення</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підпису</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печаткою</w:t>
            </w:r>
            <w:proofErr w:type="spellEnd"/>
            <w:r w:rsidRPr="00E16672">
              <w:rPr>
                <w:rFonts w:ascii="Times New Roman" w:hAnsi="Times New Roman"/>
                <w:color w:val="000000"/>
                <w:sz w:val="16"/>
                <w:szCs w:val="16"/>
              </w:rPr>
              <w:t xml:space="preserve">) – у </w:t>
            </w:r>
            <w:proofErr w:type="spellStart"/>
            <w:r w:rsidRPr="00E16672">
              <w:rPr>
                <w:rFonts w:ascii="Times New Roman" w:hAnsi="Times New Roman"/>
                <w:color w:val="000000"/>
                <w:sz w:val="16"/>
                <w:szCs w:val="16"/>
              </w:rPr>
              <w:t>разі</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надання</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розпорядження</w:t>
            </w:r>
            <w:proofErr w:type="spellEnd"/>
            <w:r w:rsidRPr="00E16672">
              <w:rPr>
                <w:rFonts w:ascii="Times New Roman" w:hAnsi="Times New Roman"/>
                <w:color w:val="000000"/>
                <w:sz w:val="16"/>
                <w:szCs w:val="16"/>
              </w:rPr>
              <w:t xml:space="preserve"> у </w:t>
            </w:r>
            <w:proofErr w:type="spellStart"/>
            <w:r w:rsidRPr="00E16672">
              <w:rPr>
                <w:rFonts w:ascii="Times New Roman" w:hAnsi="Times New Roman"/>
                <w:color w:val="000000"/>
                <w:sz w:val="16"/>
                <w:szCs w:val="16"/>
              </w:rPr>
              <w:t>вигляді</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електронного</w:t>
            </w:r>
            <w:proofErr w:type="spellEnd"/>
            <w:r w:rsidRPr="00E16672">
              <w:rPr>
                <w:rFonts w:ascii="Times New Roman" w:hAnsi="Times New Roman"/>
                <w:color w:val="000000"/>
                <w:sz w:val="16"/>
                <w:szCs w:val="16"/>
              </w:rPr>
              <w:t xml:space="preserve"> документа. </w:t>
            </w:r>
            <w:proofErr w:type="spellStart"/>
            <w:r w:rsidRPr="00E16672">
              <w:rPr>
                <w:rFonts w:ascii="Times New Roman" w:hAnsi="Times New Roman"/>
                <w:color w:val="000000"/>
                <w:sz w:val="16"/>
                <w:szCs w:val="16"/>
              </w:rPr>
              <w:t>Цілісність</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наданого</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розпорядження</w:t>
            </w:r>
            <w:proofErr w:type="spellEnd"/>
            <w:r w:rsidRPr="00E16672">
              <w:rPr>
                <w:rFonts w:ascii="Times New Roman" w:hAnsi="Times New Roman"/>
                <w:color w:val="000000"/>
                <w:sz w:val="16"/>
                <w:szCs w:val="16"/>
              </w:rPr>
              <w:t xml:space="preserve">, а </w:t>
            </w:r>
            <w:proofErr w:type="spellStart"/>
            <w:r w:rsidRPr="00E16672">
              <w:rPr>
                <w:rFonts w:ascii="Times New Roman" w:hAnsi="Times New Roman"/>
                <w:color w:val="000000"/>
                <w:sz w:val="16"/>
                <w:szCs w:val="16"/>
              </w:rPr>
              <w:t>також</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ідентифікація</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підписувача</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здійснюються</w:t>
            </w:r>
            <w:proofErr w:type="spellEnd"/>
            <w:r w:rsidRPr="00E16672">
              <w:rPr>
                <w:rFonts w:ascii="Times New Roman" w:hAnsi="Times New Roman"/>
                <w:color w:val="000000"/>
                <w:sz w:val="16"/>
                <w:szCs w:val="16"/>
              </w:rPr>
              <w:t xml:space="preserve"> шляхом </w:t>
            </w:r>
            <w:proofErr w:type="spellStart"/>
            <w:r w:rsidRPr="00E16672">
              <w:rPr>
                <w:rFonts w:ascii="Times New Roman" w:hAnsi="Times New Roman"/>
                <w:color w:val="000000"/>
                <w:sz w:val="16"/>
                <w:szCs w:val="16"/>
              </w:rPr>
              <w:t>перевірки</w:t>
            </w:r>
            <w:proofErr w:type="spellEnd"/>
            <w:r w:rsidRPr="00E16672">
              <w:rPr>
                <w:rFonts w:ascii="Times New Roman" w:hAnsi="Times New Roman"/>
                <w:color w:val="000000"/>
                <w:sz w:val="16"/>
                <w:szCs w:val="16"/>
              </w:rPr>
              <w:t xml:space="preserve"> </w:t>
            </w:r>
            <w:r w:rsidR="007B0D48" w:rsidRPr="00E16672">
              <w:rPr>
                <w:rFonts w:ascii="Times New Roman" w:hAnsi="Times New Roman"/>
                <w:color w:val="000000"/>
                <w:sz w:val="16"/>
                <w:szCs w:val="16"/>
                <w:lang w:val="uk-UA"/>
              </w:rPr>
              <w:t>кваліфікованого</w:t>
            </w:r>
            <w:r w:rsidR="007B0D48" w:rsidRPr="00E16672" w:rsidDel="008C4813">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rPr>
              <w:t>електронного</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підпису</w:t>
            </w:r>
            <w:proofErr w:type="spellEnd"/>
            <w:r w:rsidRPr="00E16672">
              <w:rPr>
                <w:rFonts w:ascii="Times New Roman" w:hAnsi="Times New Roman"/>
                <w:color w:val="000000"/>
                <w:sz w:val="16"/>
                <w:szCs w:val="16"/>
              </w:rPr>
              <w:t xml:space="preserve"> за </w:t>
            </w:r>
            <w:proofErr w:type="spellStart"/>
            <w:r w:rsidRPr="00E16672">
              <w:rPr>
                <w:rFonts w:ascii="Times New Roman" w:hAnsi="Times New Roman"/>
                <w:color w:val="000000"/>
                <w:sz w:val="16"/>
                <w:szCs w:val="16"/>
              </w:rPr>
              <w:t>допомогою</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відкритого</w:t>
            </w:r>
            <w:proofErr w:type="spellEnd"/>
            <w:r w:rsidRPr="00E16672">
              <w:rPr>
                <w:rFonts w:ascii="Times New Roman" w:hAnsi="Times New Roman"/>
                <w:color w:val="000000"/>
                <w:sz w:val="16"/>
                <w:szCs w:val="16"/>
              </w:rPr>
              <w:t xml:space="preserve"> ключа;</w:t>
            </w:r>
          </w:p>
          <w:p w14:paraId="39D74DCC" w14:textId="77777777" w:rsidR="000120B8" w:rsidRPr="00E16672" w:rsidRDefault="000120B8" w:rsidP="00746617">
            <w:pPr>
              <w:ind w:left="175" w:right="138" w:firstLine="7"/>
              <w:rPr>
                <w:rFonts w:ascii="Times New Roman" w:hAnsi="Times New Roman"/>
                <w:sz w:val="16"/>
                <w:szCs w:val="16"/>
                <w:lang w:val="uk-UA"/>
              </w:rPr>
            </w:pPr>
          </w:p>
          <w:p w14:paraId="13D04B1A" w14:textId="77777777" w:rsidR="00427890" w:rsidRPr="00E16672" w:rsidRDefault="00427890" w:rsidP="00746617">
            <w:pPr>
              <w:ind w:left="175" w:right="138" w:firstLine="7"/>
              <w:rPr>
                <w:rFonts w:ascii="Times New Roman" w:hAnsi="Times New Roman"/>
                <w:sz w:val="16"/>
                <w:szCs w:val="16"/>
                <w:lang w:val="uk-UA"/>
              </w:rPr>
            </w:pPr>
            <w:r w:rsidRPr="00E16672">
              <w:rPr>
                <w:rFonts w:ascii="Times New Roman" w:hAnsi="Times New Roman"/>
                <w:sz w:val="16"/>
                <w:szCs w:val="16"/>
                <w:lang w:val="uk-UA"/>
              </w:rPr>
              <w:t xml:space="preserve">- електронне підтвердження (авторизація) підписання розпорядження ініціатором депозитарної операції (користувачем системи </w:t>
            </w:r>
            <w:r w:rsidRPr="00E16672">
              <w:rPr>
                <w:rFonts w:ascii="Times New Roman" w:hAnsi="Times New Roman"/>
                <w:sz w:val="16"/>
                <w:szCs w:val="16"/>
              </w:rPr>
              <w:t>S</w:t>
            </w:r>
            <w:r w:rsidRPr="00E16672">
              <w:rPr>
                <w:rFonts w:ascii="Times New Roman" w:hAnsi="Times New Roman"/>
                <w:sz w:val="16"/>
                <w:szCs w:val="16"/>
                <w:lang w:val="uk-UA"/>
              </w:rPr>
              <w:t>.</w:t>
            </w:r>
            <w:r w:rsidRPr="00E16672">
              <w:rPr>
                <w:rFonts w:ascii="Times New Roman" w:hAnsi="Times New Roman"/>
                <w:sz w:val="16"/>
                <w:szCs w:val="16"/>
              </w:rPr>
              <w:t>W</w:t>
            </w:r>
            <w:r w:rsidRPr="00E16672">
              <w:rPr>
                <w:rFonts w:ascii="Times New Roman" w:hAnsi="Times New Roman"/>
                <w:sz w:val="16"/>
                <w:szCs w:val="16"/>
                <w:lang w:val="uk-UA"/>
              </w:rPr>
              <w:t>.</w:t>
            </w:r>
            <w:r w:rsidRPr="00E16672">
              <w:rPr>
                <w:rFonts w:ascii="Times New Roman" w:hAnsi="Times New Roman"/>
                <w:sz w:val="16"/>
                <w:szCs w:val="16"/>
              </w:rPr>
              <w:t>I</w:t>
            </w:r>
            <w:r w:rsidRPr="00E16672">
              <w:rPr>
                <w:rFonts w:ascii="Times New Roman" w:hAnsi="Times New Roman"/>
                <w:sz w:val="16"/>
                <w:szCs w:val="16"/>
                <w:lang w:val="uk-UA"/>
              </w:rPr>
              <w:t>.</w:t>
            </w:r>
            <w:r w:rsidRPr="00E16672">
              <w:rPr>
                <w:rFonts w:ascii="Times New Roman" w:hAnsi="Times New Roman"/>
                <w:sz w:val="16"/>
                <w:szCs w:val="16"/>
              </w:rPr>
              <w:t>F</w:t>
            </w:r>
            <w:r w:rsidRPr="00E16672">
              <w:rPr>
                <w:rFonts w:ascii="Times New Roman" w:hAnsi="Times New Roman"/>
                <w:sz w:val="16"/>
                <w:szCs w:val="16"/>
                <w:lang w:val="uk-UA"/>
              </w:rPr>
              <w:t>.</w:t>
            </w:r>
            <w:r w:rsidRPr="00E16672">
              <w:rPr>
                <w:rFonts w:ascii="Times New Roman" w:hAnsi="Times New Roman"/>
                <w:sz w:val="16"/>
                <w:szCs w:val="16"/>
              </w:rPr>
              <w:t>T</w:t>
            </w:r>
            <w:r w:rsidRPr="00E16672">
              <w:rPr>
                <w:rFonts w:ascii="Times New Roman" w:hAnsi="Times New Roman"/>
                <w:sz w:val="16"/>
                <w:szCs w:val="16"/>
                <w:lang w:val="uk-UA"/>
              </w:rPr>
              <w:t xml:space="preserve">.) - у разі надання розпорядження у  вигляді електронного документа у формі </w:t>
            </w:r>
            <w:r w:rsidRPr="00E16672">
              <w:rPr>
                <w:rFonts w:ascii="Times New Roman" w:hAnsi="Times New Roman"/>
                <w:sz w:val="16"/>
                <w:szCs w:val="16"/>
              </w:rPr>
              <w:t>S</w:t>
            </w:r>
            <w:r w:rsidRPr="00E16672">
              <w:rPr>
                <w:rFonts w:ascii="Times New Roman" w:hAnsi="Times New Roman"/>
                <w:sz w:val="16"/>
                <w:szCs w:val="16"/>
                <w:lang w:val="uk-UA"/>
              </w:rPr>
              <w:t>.</w:t>
            </w:r>
            <w:r w:rsidRPr="00E16672">
              <w:rPr>
                <w:rFonts w:ascii="Times New Roman" w:hAnsi="Times New Roman"/>
                <w:sz w:val="16"/>
                <w:szCs w:val="16"/>
              </w:rPr>
              <w:t>W</w:t>
            </w:r>
            <w:r w:rsidRPr="00E16672">
              <w:rPr>
                <w:rFonts w:ascii="Times New Roman" w:hAnsi="Times New Roman"/>
                <w:sz w:val="16"/>
                <w:szCs w:val="16"/>
                <w:lang w:val="uk-UA"/>
              </w:rPr>
              <w:t>.</w:t>
            </w:r>
            <w:r w:rsidRPr="00E16672">
              <w:rPr>
                <w:rFonts w:ascii="Times New Roman" w:hAnsi="Times New Roman"/>
                <w:sz w:val="16"/>
                <w:szCs w:val="16"/>
              </w:rPr>
              <w:t>I</w:t>
            </w:r>
            <w:r w:rsidRPr="00E16672">
              <w:rPr>
                <w:rFonts w:ascii="Times New Roman" w:hAnsi="Times New Roman"/>
                <w:sz w:val="16"/>
                <w:szCs w:val="16"/>
                <w:lang w:val="uk-UA"/>
              </w:rPr>
              <w:t>.</w:t>
            </w:r>
            <w:r w:rsidRPr="00E16672">
              <w:rPr>
                <w:rFonts w:ascii="Times New Roman" w:hAnsi="Times New Roman"/>
                <w:sz w:val="16"/>
                <w:szCs w:val="16"/>
              </w:rPr>
              <w:t>F</w:t>
            </w:r>
            <w:r w:rsidRPr="00E16672">
              <w:rPr>
                <w:rFonts w:ascii="Times New Roman" w:hAnsi="Times New Roman"/>
                <w:sz w:val="16"/>
                <w:szCs w:val="16"/>
                <w:lang w:val="uk-UA"/>
              </w:rPr>
              <w:t>.</w:t>
            </w:r>
            <w:r w:rsidRPr="00E16672">
              <w:rPr>
                <w:rFonts w:ascii="Times New Roman" w:hAnsi="Times New Roman"/>
                <w:sz w:val="16"/>
                <w:szCs w:val="16"/>
              </w:rPr>
              <w:t>T</w:t>
            </w:r>
            <w:r w:rsidRPr="00E16672">
              <w:rPr>
                <w:rFonts w:ascii="Times New Roman" w:hAnsi="Times New Roman"/>
                <w:sz w:val="16"/>
                <w:szCs w:val="16"/>
                <w:lang w:val="uk-UA"/>
              </w:rPr>
              <w:t>. - повідомлення.</w:t>
            </w:r>
          </w:p>
          <w:p w14:paraId="38DDDC91" w14:textId="77777777" w:rsidR="00427890" w:rsidRPr="00E16672" w:rsidRDefault="00427890" w:rsidP="00746617">
            <w:pPr>
              <w:snapToGrid w:val="0"/>
              <w:ind w:left="175" w:right="138" w:firstLine="7"/>
              <w:rPr>
                <w:rFonts w:ascii="Times New Roman" w:hAnsi="Times New Roman"/>
                <w:sz w:val="16"/>
                <w:szCs w:val="16"/>
                <w:lang w:val="uk-UA"/>
              </w:rPr>
            </w:pPr>
          </w:p>
        </w:tc>
        <w:tc>
          <w:tcPr>
            <w:tcW w:w="5494" w:type="dxa"/>
            <w:gridSpan w:val="7"/>
            <w:shd w:val="clear" w:color="auto" w:fill="auto"/>
          </w:tcPr>
          <w:p w14:paraId="32638264" w14:textId="77777777" w:rsidR="000120B8" w:rsidRPr="00E16672" w:rsidRDefault="00427890" w:rsidP="00746617">
            <w:pPr>
              <w:snapToGrid w:val="0"/>
              <w:spacing w:before="57" w:after="57"/>
              <w:ind w:left="175" w:right="57" w:firstLine="7"/>
              <w:rPr>
                <w:rFonts w:ascii="Times New Roman" w:hAnsi="Times New Roman"/>
                <w:sz w:val="16"/>
                <w:szCs w:val="16"/>
                <w:lang w:val="en-US"/>
              </w:rPr>
            </w:pPr>
            <w:r w:rsidRPr="00E16672">
              <w:rPr>
                <w:rFonts w:ascii="Times New Roman" w:hAnsi="Times New Roman"/>
                <w:sz w:val="16"/>
                <w:szCs w:val="16"/>
                <w:lang w:val="en-GB"/>
              </w:rPr>
              <w:t xml:space="preserve">3.2. </w:t>
            </w:r>
            <w:r w:rsidR="000120B8" w:rsidRPr="00E16672">
              <w:rPr>
                <w:rFonts w:ascii="Times New Roman" w:hAnsi="Times New Roman"/>
                <w:sz w:val="16"/>
                <w:szCs w:val="16"/>
                <w:lang w:val="en-US"/>
              </w:rPr>
              <w:t xml:space="preserve">The singularities of making of the orders of Depositors are settled by </w:t>
            </w:r>
            <w:r w:rsidR="00DB4148" w:rsidRPr="00F23413">
              <w:rPr>
                <w:rStyle w:val="shorttext"/>
                <w:rFonts w:ascii="Times New Roman" w:hAnsi="Times New Roman"/>
                <w:sz w:val="16"/>
                <w:lang w:val="en-US"/>
              </w:rPr>
              <w:t>legislation and</w:t>
            </w:r>
            <w:r w:rsidR="00DB4148" w:rsidRPr="00E16672">
              <w:rPr>
                <w:rFonts w:ascii="Times New Roman" w:hAnsi="Times New Roman"/>
                <w:sz w:val="8"/>
                <w:szCs w:val="16"/>
                <w:lang w:val="en-US"/>
              </w:rPr>
              <w:t xml:space="preserve"> </w:t>
            </w:r>
            <w:r w:rsidR="000120B8" w:rsidRPr="00E16672">
              <w:rPr>
                <w:rFonts w:ascii="Times New Roman" w:hAnsi="Times New Roman"/>
                <w:sz w:val="16"/>
                <w:szCs w:val="16"/>
                <w:lang w:val="en-US"/>
              </w:rPr>
              <w:t xml:space="preserve">the internal documents of Depository institution. Orders can </w:t>
            </w:r>
            <w:proofErr w:type="spellStart"/>
            <w:proofErr w:type="gramStart"/>
            <w:r w:rsidR="000120B8" w:rsidRPr="00E16672">
              <w:rPr>
                <w:rFonts w:ascii="Times New Roman" w:hAnsi="Times New Roman"/>
                <w:sz w:val="16"/>
                <w:szCs w:val="16"/>
                <w:lang w:val="en-US"/>
              </w:rPr>
              <w:t>given</w:t>
            </w:r>
            <w:proofErr w:type="spellEnd"/>
            <w:proofErr w:type="gramEnd"/>
            <w:r w:rsidR="000120B8" w:rsidRPr="00E16672">
              <w:rPr>
                <w:rFonts w:ascii="Times New Roman" w:hAnsi="Times New Roman"/>
                <w:sz w:val="16"/>
                <w:szCs w:val="16"/>
                <w:lang w:val="en-US"/>
              </w:rPr>
              <w:t xml:space="preserve"> to Depository institution in form: paper document, electronic document, electronic document in form S.W.I.F.T.-message.</w:t>
            </w:r>
          </w:p>
          <w:p w14:paraId="2E8DF665" w14:textId="77777777" w:rsidR="000120B8" w:rsidRPr="00E16672" w:rsidRDefault="000120B8" w:rsidP="00746617">
            <w:pPr>
              <w:spacing w:before="57" w:after="57"/>
              <w:ind w:left="175" w:right="57" w:firstLine="7"/>
              <w:rPr>
                <w:rFonts w:ascii="Times New Roman" w:hAnsi="Times New Roman"/>
                <w:color w:val="000000"/>
                <w:sz w:val="16"/>
                <w:szCs w:val="16"/>
                <w:lang w:val="en-US"/>
              </w:rPr>
            </w:pPr>
            <w:r w:rsidRPr="00E16672">
              <w:rPr>
                <w:rFonts w:ascii="Times New Roman" w:hAnsi="Times New Roman"/>
                <w:sz w:val="16"/>
                <w:szCs w:val="16"/>
                <w:lang w:val="en-US"/>
              </w:rPr>
              <w:t xml:space="preserve">The method of signing the order determined in accordance with the method </w:t>
            </w:r>
            <w:r w:rsidRPr="00E16672">
              <w:rPr>
                <w:rFonts w:ascii="Times New Roman" w:hAnsi="Times New Roman"/>
                <w:color w:val="000000"/>
                <w:sz w:val="16"/>
                <w:szCs w:val="16"/>
                <w:lang w:val="en-US"/>
              </w:rPr>
              <w:t>of authentication signature is used in the exchange of information between the Depositor and the Depository institution and can be such:</w:t>
            </w:r>
          </w:p>
          <w:p w14:paraId="17323FC9" w14:textId="77777777" w:rsidR="003A05A3" w:rsidRPr="00E16672" w:rsidRDefault="003A05A3" w:rsidP="00746617">
            <w:pPr>
              <w:spacing w:before="57" w:after="57"/>
              <w:ind w:left="175" w:right="57" w:firstLine="7"/>
              <w:rPr>
                <w:rFonts w:ascii="Times New Roman" w:hAnsi="Times New Roman"/>
                <w:color w:val="000000"/>
                <w:sz w:val="16"/>
                <w:szCs w:val="16"/>
                <w:lang w:val="en-US"/>
              </w:rPr>
            </w:pPr>
          </w:p>
          <w:p w14:paraId="7DC5B33E" w14:textId="77777777" w:rsidR="000120B8" w:rsidRPr="00E16672" w:rsidRDefault="000120B8" w:rsidP="00746617">
            <w:pPr>
              <w:spacing w:before="57" w:after="57"/>
              <w:ind w:left="175" w:right="57" w:firstLine="7"/>
              <w:rPr>
                <w:rFonts w:ascii="Times New Roman" w:hAnsi="Times New Roman"/>
                <w:color w:val="000000"/>
                <w:sz w:val="16"/>
                <w:szCs w:val="16"/>
                <w:lang w:val="en-US"/>
              </w:rPr>
            </w:pPr>
            <w:r w:rsidRPr="00E16672">
              <w:rPr>
                <w:rFonts w:ascii="Times New Roman" w:hAnsi="Times New Roman"/>
                <w:color w:val="000000"/>
                <w:sz w:val="16"/>
                <w:szCs w:val="16"/>
                <w:lang w:val="en-US"/>
              </w:rPr>
              <w:t>- a signature of manager of account</w:t>
            </w:r>
            <w:r w:rsidR="00001E78" w:rsidRPr="00E16672">
              <w:rPr>
                <w:rFonts w:ascii="Times New Roman" w:hAnsi="Times New Roman"/>
                <w:color w:val="000000"/>
                <w:sz w:val="16"/>
                <w:szCs w:val="16"/>
                <w:lang w:val="en-US"/>
              </w:rPr>
              <w:t xml:space="preserve"> </w:t>
            </w:r>
            <w:r w:rsidRPr="00E16672">
              <w:rPr>
                <w:rFonts w:ascii="Times New Roman" w:hAnsi="Times New Roman"/>
                <w:color w:val="000000"/>
                <w:sz w:val="16"/>
                <w:szCs w:val="16"/>
                <w:lang w:val="en-US"/>
              </w:rPr>
              <w:t>or administrator of the account of the legal entity, seal of administrator of the account - legal entity (</w:t>
            </w:r>
            <w:r w:rsidR="00B31F66" w:rsidRPr="00E16672">
              <w:rPr>
                <w:rFonts w:ascii="Times New Roman" w:hAnsi="Times New Roman"/>
                <w:color w:val="000000"/>
                <w:sz w:val="16"/>
                <w:szCs w:val="16"/>
                <w:lang w:val="en-US"/>
              </w:rPr>
              <w:t>in case of use</w:t>
            </w:r>
            <w:r w:rsidRPr="00E16672">
              <w:rPr>
                <w:rFonts w:ascii="Times New Roman" w:hAnsi="Times New Roman"/>
                <w:color w:val="000000"/>
                <w:sz w:val="16"/>
                <w:szCs w:val="16"/>
                <w:lang w:val="en-US"/>
              </w:rPr>
              <w:t xml:space="preserve">, and in accordance with the powers which provide certification of a signature by the seal) - in the case of grant of order  as a paper document;- </w:t>
            </w:r>
            <w:r w:rsidR="00B31F66" w:rsidRPr="00F23413">
              <w:rPr>
                <w:rStyle w:val="shorttext"/>
                <w:rFonts w:ascii="Times New Roman" w:hAnsi="Times New Roman"/>
                <w:sz w:val="16"/>
                <w:szCs w:val="16"/>
                <w:lang w:val="en-US"/>
              </w:rPr>
              <w:t>qualified</w:t>
            </w:r>
            <w:r w:rsidR="00B31F66" w:rsidRPr="00E16672">
              <w:rPr>
                <w:rFonts w:ascii="Times New Roman" w:hAnsi="Times New Roman"/>
                <w:color w:val="000000"/>
                <w:sz w:val="16"/>
                <w:szCs w:val="16"/>
                <w:lang w:val="en-US"/>
              </w:rPr>
              <w:t xml:space="preserve"> </w:t>
            </w:r>
            <w:r w:rsidRPr="00E16672">
              <w:rPr>
                <w:rFonts w:ascii="Times New Roman" w:hAnsi="Times New Roman"/>
                <w:color w:val="000000"/>
                <w:sz w:val="16"/>
                <w:szCs w:val="16"/>
                <w:lang w:val="en-US"/>
              </w:rPr>
              <w:t xml:space="preserve">electronic signature, imposed by private key </w:t>
            </w:r>
            <w:r w:rsidR="00680CF3" w:rsidRPr="00F23413">
              <w:rPr>
                <w:rStyle w:val="shorttext"/>
                <w:rFonts w:ascii="Times New Roman" w:hAnsi="Times New Roman"/>
                <w:sz w:val="16"/>
                <w:szCs w:val="16"/>
                <w:lang w:val="en-US"/>
              </w:rPr>
              <w:t>qualified</w:t>
            </w:r>
            <w:r w:rsidR="00680CF3" w:rsidRPr="00E16672">
              <w:rPr>
                <w:rFonts w:ascii="Times New Roman" w:hAnsi="Times New Roman"/>
                <w:color w:val="000000"/>
                <w:sz w:val="16"/>
                <w:szCs w:val="16"/>
                <w:lang w:val="en-US"/>
              </w:rPr>
              <w:t xml:space="preserve"> </w:t>
            </w:r>
            <w:r w:rsidRPr="00E16672">
              <w:rPr>
                <w:rFonts w:ascii="Times New Roman" w:hAnsi="Times New Roman"/>
                <w:color w:val="000000"/>
                <w:sz w:val="16"/>
                <w:szCs w:val="16"/>
                <w:lang w:val="en-US"/>
              </w:rPr>
              <w:t>electronic signature of a manager of account or administrator of the account the legal entity,</w:t>
            </w:r>
            <w:r w:rsidR="007B0D48" w:rsidRPr="00E16672">
              <w:rPr>
                <w:rFonts w:ascii="Times New Roman" w:hAnsi="Times New Roman"/>
                <w:color w:val="000000"/>
                <w:sz w:val="16"/>
                <w:szCs w:val="16"/>
                <w:lang w:val="en-US"/>
              </w:rPr>
              <w:t xml:space="preserve"> </w:t>
            </w:r>
            <w:r w:rsidR="007B0D48" w:rsidRPr="00F23413">
              <w:rPr>
                <w:rStyle w:val="shorttext"/>
                <w:rFonts w:ascii="Times New Roman" w:hAnsi="Times New Roman"/>
                <w:sz w:val="16"/>
                <w:szCs w:val="16"/>
                <w:lang w:val="en-US"/>
              </w:rPr>
              <w:t>qualified</w:t>
            </w:r>
            <w:r w:rsidRPr="00E16672">
              <w:rPr>
                <w:rFonts w:ascii="Times New Roman" w:hAnsi="Times New Roman"/>
                <w:color w:val="000000"/>
                <w:sz w:val="16"/>
                <w:szCs w:val="16"/>
                <w:lang w:val="en-US"/>
              </w:rPr>
              <w:t xml:space="preserve"> electronic signature that for legal status equivalent to a seal of the legal entity (</w:t>
            </w:r>
            <w:r w:rsidR="007B0D48" w:rsidRPr="00E16672">
              <w:rPr>
                <w:rFonts w:ascii="Times New Roman" w:hAnsi="Times New Roman"/>
                <w:color w:val="000000"/>
                <w:sz w:val="16"/>
                <w:szCs w:val="16"/>
                <w:lang w:val="en-US"/>
              </w:rPr>
              <w:t xml:space="preserve">in case of use, </w:t>
            </w:r>
            <w:r w:rsidRPr="00E16672">
              <w:rPr>
                <w:rFonts w:ascii="Times New Roman" w:hAnsi="Times New Roman"/>
                <w:color w:val="000000"/>
                <w:sz w:val="16"/>
                <w:szCs w:val="16"/>
                <w:lang w:val="en-US"/>
              </w:rPr>
              <w:t xml:space="preserve">other than non-resident legal entities - account administrators and in accordance with the powers which provide certification of a signature by the seal) - in the case of grant of order as an electronic document. The integrity of provided order and identity of the signer performed by checking </w:t>
            </w:r>
            <w:r w:rsidR="007B0D48" w:rsidRPr="00F23413">
              <w:rPr>
                <w:rStyle w:val="shorttext"/>
                <w:rFonts w:ascii="Times New Roman" w:hAnsi="Times New Roman"/>
                <w:sz w:val="16"/>
                <w:szCs w:val="16"/>
                <w:lang w:val="en-US"/>
              </w:rPr>
              <w:t>qualified</w:t>
            </w:r>
            <w:r w:rsidR="007B0D48" w:rsidRPr="00E16672">
              <w:rPr>
                <w:rFonts w:ascii="Times New Roman" w:hAnsi="Times New Roman"/>
                <w:color w:val="000000"/>
                <w:sz w:val="16"/>
                <w:szCs w:val="16"/>
                <w:lang w:val="en-US"/>
              </w:rPr>
              <w:t xml:space="preserve"> </w:t>
            </w:r>
            <w:r w:rsidRPr="00E16672">
              <w:rPr>
                <w:rFonts w:ascii="Times New Roman" w:hAnsi="Times New Roman"/>
                <w:color w:val="000000"/>
                <w:sz w:val="16"/>
                <w:szCs w:val="16"/>
                <w:lang w:val="en-US"/>
              </w:rPr>
              <w:t>electronic signature using the public key;</w:t>
            </w:r>
          </w:p>
          <w:p w14:paraId="247A5EB1" w14:textId="77777777" w:rsidR="008F2FF8" w:rsidRDefault="008F2FF8" w:rsidP="00746617">
            <w:pPr>
              <w:snapToGrid w:val="0"/>
              <w:spacing w:before="57" w:after="57"/>
              <w:ind w:left="175" w:right="57" w:firstLine="7"/>
              <w:rPr>
                <w:rFonts w:ascii="Times New Roman" w:hAnsi="Times New Roman"/>
                <w:sz w:val="16"/>
                <w:szCs w:val="16"/>
                <w:lang w:val="uk-UA"/>
              </w:rPr>
            </w:pPr>
          </w:p>
          <w:p w14:paraId="058F67DF" w14:textId="77777777" w:rsidR="008F2FF8" w:rsidRPr="008F2FF8" w:rsidRDefault="008F2FF8" w:rsidP="00746617">
            <w:pPr>
              <w:snapToGrid w:val="0"/>
              <w:spacing w:before="57" w:after="57"/>
              <w:ind w:left="175" w:right="57" w:firstLine="7"/>
              <w:rPr>
                <w:rFonts w:ascii="Times New Roman" w:hAnsi="Times New Roman"/>
                <w:sz w:val="16"/>
                <w:szCs w:val="16"/>
                <w:lang w:val="uk-UA"/>
              </w:rPr>
            </w:pPr>
          </w:p>
          <w:p w14:paraId="699098FF" w14:textId="77777777" w:rsidR="000120B8" w:rsidRPr="00E16672" w:rsidRDefault="000120B8" w:rsidP="00746617">
            <w:pPr>
              <w:snapToGrid w:val="0"/>
              <w:spacing w:before="57" w:after="57"/>
              <w:ind w:left="175" w:right="57" w:firstLine="7"/>
              <w:rPr>
                <w:rFonts w:ascii="Times New Roman" w:hAnsi="Times New Roman"/>
                <w:sz w:val="16"/>
                <w:szCs w:val="16"/>
                <w:lang w:val="en-US"/>
              </w:rPr>
            </w:pPr>
            <w:r w:rsidRPr="00E16672">
              <w:rPr>
                <w:rFonts w:ascii="Times New Roman" w:hAnsi="Times New Roman"/>
                <w:sz w:val="16"/>
                <w:szCs w:val="16"/>
                <w:lang w:val="en-US"/>
              </w:rPr>
              <w:t>- electronic confirmation (authorizing) of signing of the order of initiator of depositary operation (by the user of the system S.W.I.F.T.) - in the case of grant of order as an electronic document in form S.W.I.F.T.-message.</w:t>
            </w:r>
          </w:p>
          <w:p w14:paraId="6B4A574F" w14:textId="77777777" w:rsidR="00427890" w:rsidRPr="00E16672" w:rsidRDefault="00427890" w:rsidP="00746617">
            <w:pPr>
              <w:tabs>
                <w:tab w:val="left" w:pos="287"/>
              </w:tabs>
              <w:snapToGrid w:val="0"/>
              <w:ind w:left="175" w:right="100" w:firstLine="7"/>
              <w:rPr>
                <w:rFonts w:ascii="Times New Roman" w:hAnsi="Times New Roman"/>
                <w:sz w:val="16"/>
                <w:szCs w:val="16"/>
                <w:lang w:val="en-US"/>
              </w:rPr>
            </w:pPr>
          </w:p>
          <w:p w14:paraId="1E046863" w14:textId="77777777" w:rsidR="00427890" w:rsidRPr="00E16672" w:rsidRDefault="00427890" w:rsidP="00746617">
            <w:pPr>
              <w:tabs>
                <w:tab w:val="left" w:pos="287"/>
              </w:tabs>
              <w:ind w:left="175" w:right="100" w:firstLine="7"/>
              <w:rPr>
                <w:rFonts w:ascii="Times New Roman" w:hAnsi="Times New Roman"/>
                <w:b/>
                <w:bCs/>
                <w:sz w:val="16"/>
                <w:szCs w:val="16"/>
                <w:lang w:val="en-GB"/>
              </w:rPr>
            </w:pPr>
          </w:p>
        </w:tc>
      </w:tr>
      <w:tr w:rsidR="00E57D57" w:rsidRPr="00F23413" w14:paraId="43611492" w14:textId="77777777" w:rsidTr="00D77858">
        <w:tblPrEx>
          <w:tblCellMar>
            <w:left w:w="0" w:type="dxa"/>
            <w:right w:w="0" w:type="dxa"/>
          </w:tblCellMar>
        </w:tblPrEx>
        <w:trPr>
          <w:trHeight w:val="1453"/>
        </w:trPr>
        <w:tc>
          <w:tcPr>
            <w:tcW w:w="5696" w:type="dxa"/>
            <w:gridSpan w:val="6"/>
            <w:shd w:val="clear" w:color="auto" w:fill="auto"/>
          </w:tcPr>
          <w:p w14:paraId="78D3FE21" w14:textId="77777777" w:rsidR="00E57D57" w:rsidRPr="00E16672" w:rsidRDefault="00E57D57" w:rsidP="00746617">
            <w:pPr>
              <w:ind w:left="175" w:right="138" w:firstLine="7"/>
              <w:rPr>
                <w:rFonts w:ascii="Times New Roman" w:hAnsi="Times New Roman"/>
                <w:color w:val="000000"/>
                <w:sz w:val="16"/>
                <w:szCs w:val="16"/>
              </w:rPr>
            </w:pPr>
            <w:r w:rsidRPr="00E16672">
              <w:rPr>
                <w:rFonts w:ascii="Times New Roman" w:hAnsi="Times New Roman"/>
                <w:color w:val="000000"/>
                <w:sz w:val="16"/>
                <w:szCs w:val="16"/>
              </w:rPr>
              <w:t xml:space="preserve">3.3. </w:t>
            </w:r>
            <w:proofErr w:type="spellStart"/>
            <w:r w:rsidRPr="00E16672">
              <w:rPr>
                <w:rFonts w:ascii="Times New Roman" w:hAnsi="Times New Roman"/>
                <w:color w:val="000000"/>
                <w:sz w:val="16"/>
                <w:szCs w:val="16"/>
              </w:rPr>
              <w:t>Розпорядження</w:t>
            </w:r>
            <w:proofErr w:type="spellEnd"/>
            <w:r w:rsidRPr="00E16672">
              <w:rPr>
                <w:rFonts w:ascii="Times New Roman" w:hAnsi="Times New Roman"/>
                <w:color w:val="000000"/>
                <w:sz w:val="16"/>
                <w:szCs w:val="16"/>
              </w:rPr>
              <w:t xml:space="preserve"> у </w:t>
            </w:r>
            <w:proofErr w:type="spellStart"/>
            <w:r w:rsidRPr="00E16672">
              <w:rPr>
                <w:rFonts w:ascii="Times New Roman" w:hAnsi="Times New Roman"/>
                <w:color w:val="000000"/>
                <w:sz w:val="16"/>
                <w:szCs w:val="16"/>
              </w:rPr>
              <w:t>паперовому</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вигляді</w:t>
            </w:r>
            <w:proofErr w:type="spellEnd"/>
            <w:r w:rsidRPr="00E16672">
              <w:rPr>
                <w:rFonts w:ascii="Times New Roman" w:hAnsi="Times New Roman"/>
                <w:color w:val="000000"/>
                <w:sz w:val="16"/>
                <w:szCs w:val="16"/>
              </w:rPr>
              <w:t xml:space="preserve">, а </w:t>
            </w:r>
            <w:proofErr w:type="spellStart"/>
            <w:r w:rsidRPr="00E16672">
              <w:rPr>
                <w:rFonts w:ascii="Times New Roman" w:hAnsi="Times New Roman"/>
                <w:color w:val="000000"/>
                <w:sz w:val="16"/>
                <w:szCs w:val="16"/>
              </w:rPr>
              <w:t>також</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повідомлення</w:t>
            </w:r>
            <w:proofErr w:type="spellEnd"/>
            <w:r w:rsidRPr="00E16672">
              <w:rPr>
                <w:rFonts w:ascii="Times New Roman" w:hAnsi="Times New Roman"/>
                <w:color w:val="000000"/>
                <w:sz w:val="16"/>
                <w:szCs w:val="16"/>
              </w:rPr>
              <w:t xml:space="preserve"> та </w:t>
            </w:r>
            <w:proofErr w:type="spellStart"/>
            <w:r w:rsidRPr="00E16672">
              <w:rPr>
                <w:rFonts w:ascii="Times New Roman" w:hAnsi="Times New Roman"/>
                <w:color w:val="000000"/>
                <w:sz w:val="16"/>
                <w:szCs w:val="16"/>
              </w:rPr>
              <w:t>інформація</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що</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надаються</w:t>
            </w:r>
            <w:proofErr w:type="spellEnd"/>
            <w:r w:rsidRPr="00E16672">
              <w:rPr>
                <w:rFonts w:ascii="Times New Roman" w:hAnsi="Times New Roman"/>
                <w:color w:val="000000"/>
                <w:sz w:val="16"/>
                <w:szCs w:val="16"/>
              </w:rPr>
              <w:t xml:space="preserve"> у </w:t>
            </w:r>
            <w:proofErr w:type="spellStart"/>
            <w:r w:rsidRPr="00E16672">
              <w:rPr>
                <w:rFonts w:ascii="Times New Roman" w:hAnsi="Times New Roman"/>
                <w:color w:val="000000"/>
                <w:sz w:val="16"/>
                <w:szCs w:val="16"/>
              </w:rPr>
              <w:t>зв’язку</w:t>
            </w:r>
            <w:proofErr w:type="spellEnd"/>
            <w:r w:rsidRPr="00E16672">
              <w:rPr>
                <w:rFonts w:ascii="Times New Roman" w:hAnsi="Times New Roman"/>
                <w:color w:val="000000"/>
                <w:sz w:val="16"/>
                <w:szCs w:val="16"/>
              </w:rPr>
              <w:t xml:space="preserve"> з </w:t>
            </w:r>
            <w:proofErr w:type="spellStart"/>
            <w:r w:rsidRPr="00E16672">
              <w:rPr>
                <w:rFonts w:ascii="Times New Roman" w:hAnsi="Times New Roman"/>
                <w:color w:val="000000"/>
                <w:sz w:val="16"/>
                <w:szCs w:val="16"/>
              </w:rPr>
              <w:t>виконанням</w:t>
            </w:r>
            <w:proofErr w:type="spellEnd"/>
            <w:r w:rsidRPr="00E16672">
              <w:rPr>
                <w:rFonts w:ascii="Times New Roman" w:hAnsi="Times New Roman"/>
                <w:color w:val="000000"/>
                <w:sz w:val="16"/>
                <w:szCs w:val="16"/>
              </w:rPr>
              <w:t xml:space="preserve"> Сторонами Договору </w:t>
            </w:r>
            <w:proofErr w:type="spellStart"/>
            <w:r w:rsidRPr="00E16672">
              <w:rPr>
                <w:rFonts w:ascii="Times New Roman" w:hAnsi="Times New Roman"/>
                <w:color w:val="000000"/>
                <w:sz w:val="16"/>
                <w:szCs w:val="16"/>
              </w:rPr>
              <w:t>можуть</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отримуватися</w:t>
            </w:r>
            <w:proofErr w:type="spellEnd"/>
            <w:r w:rsidRPr="00E16672">
              <w:rPr>
                <w:rFonts w:ascii="Times New Roman" w:hAnsi="Times New Roman"/>
                <w:color w:val="000000"/>
                <w:sz w:val="16"/>
                <w:szCs w:val="16"/>
              </w:rPr>
              <w:t xml:space="preserve"> Депозитарною </w:t>
            </w:r>
            <w:proofErr w:type="spellStart"/>
            <w:r w:rsidRPr="00E16672">
              <w:rPr>
                <w:rFonts w:ascii="Times New Roman" w:hAnsi="Times New Roman"/>
                <w:color w:val="000000"/>
                <w:sz w:val="16"/>
                <w:szCs w:val="16"/>
              </w:rPr>
              <w:t>установою</w:t>
            </w:r>
            <w:proofErr w:type="spellEnd"/>
            <w:r w:rsidRPr="00E16672">
              <w:rPr>
                <w:rFonts w:ascii="Times New Roman" w:hAnsi="Times New Roman"/>
                <w:color w:val="000000"/>
                <w:sz w:val="16"/>
                <w:szCs w:val="16"/>
              </w:rPr>
              <w:t xml:space="preserve"> та Депонентом:</w:t>
            </w:r>
          </w:p>
          <w:p w14:paraId="77C9235C" w14:textId="77777777" w:rsidR="00E57D57" w:rsidRPr="00E16672" w:rsidRDefault="00E57D57" w:rsidP="00746617">
            <w:pPr>
              <w:ind w:left="175" w:right="138" w:firstLine="7"/>
              <w:rPr>
                <w:rFonts w:ascii="Times New Roman" w:hAnsi="Times New Roman"/>
                <w:strike/>
                <w:color w:val="000000"/>
                <w:sz w:val="16"/>
                <w:szCs w:val="16"/>
              </w:rPr>
            </w:pPr>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rPr>
              <w:t>особисто</w:t>
            </w:r>
            <w:proofErr w:type="spellEnd"/>
            <w:r w:rsidRPr="00E16672">
              <w:rPr>
                <w:rFonts w:ascii="Times New Roman" w:hAnsi="Times New Roman"/>
                <w:color w:val="000000"/>
                <w:sz w:val="16"/>
                <w:szCs w:val="16"/>
              </w:rPr>
              <w:t xml:space="preserve"> при </w:t>
            </w:r>
            <w:proofErr w:type="spellStart"/>
            <w:r w:rsidRPr="00E16672">
              <w:rPr>
                <w:rFonts w:ascii="Times New Roman" w:hAnsi="Times New Roman"/>
                <w:color w:val="000000"/>
                <w:spacing w:val="-8"/>
                <w:sz w:val="16"/>
                <w:szCs w:val="16"/>
              </w:rPr>
              <w:t>зверненні</w:t>
            </w:r>
            <w:proofErr w:type="spellEnd"/>
            <w:r w:rsidRPr="00E16672">
              <w:rPr>
                <w:rFonts w:ascii="Times New Roman" w:hAnsi="Times New Roman"/>
                <w:color w:val="000000"/>
                <w:spacing w:val="-8"/>
                <w:sz w:val="16"/>
                <w:szCs w:val="16"/>
              </w:rPr>
              <w:t xml:space="preserve"> Депонента,</w:t>
            </w:r>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керуючого</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або</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розпорядника</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його</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рахунком</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уповноваженого</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представника</w:t>
            </w:r>
            <w:proofErr w:type="spellEnd"/>
            <w:r w:rsidRPr="00E16672">
              <w:rPr>
                <w:rFonts w:ascii="Times New Roman" w:hAnsi="Times New Roman"/>
                <w:color w:val="000000"/>
                <w:sz w:val="16"/>
                <w:szCs w:val="16"/>
              </w:rPr>
              <w:t>)</w:t>
            </w:r>
            <w:r w:rsidRPr="00E16672">
              <w:rPr>
                <w:rFonts w:ascii="Times New Roman" w:hAnsi="Times New Roman"/>
                <w:color w:val="000000"/>
                <w:spacing w:val="-8"/>
                <w:sz w:val="16"/>
                <w:szCs w:val="16"/>
              </w:rPr>
              <w:t>;</w:t>
            </w:r>
          </w:p>
          <w:p w14:paraId="7A5E657F" w14:textId="77777777" w:rsidR="00E57D57" w:rsidRPr="00E16672" w:rsidRDefault="00E57D57" w:rsidP="00746617">
            <w:pPr>
              <w:ind w:left="175" w:right="138" w:firstLine="7"/>
              <w:rPr>
                <w:rFonts w:ascii="Times New Roman" w:hAnsi="Times New Roman"/>
                <w:strike/>
                <w:color w:val="000000"/>
                <w:sz w:val="16"/>
                <w:szCs w:val="16"/>
              </w:rPr>
            </w:pPr>
            <w:r w:rsidRPr="00E16672">
              <w:rPr>
                <w:rFonts w:ascii="Times New Roman" w:hAnsi="Times New Roman"/>
                <w:color w:val="000000"/>
                <w:spacing w:val="-8"/>
                <w:sz w:val="16"/>
                <w:szCs w:val="16"/>
                <w:lang w:val="uk-UA"/>
              </w:rPr>
              <w:t xml:space="preserve">- </w:t>
            </w:r>
            <w:r w:rsidRPr="00E16672">
              <w:rPr>
                <w:rFonts w:ascii="Times New Roman" w:hAnsi="Times New Roman"/>
                <w:color w:val="000000"/>
                <w:spacing w:val="-8"/>
                <w:sz w:val="16"/>
                <w:szCs w:val="16"/>
              </w:rPr>
              <w:t xml:space="preserve"> </w:t>
            </w:r>
            <w:proofErr w:type="spellStart"/>
            <w:r w:rsidRPr="00E16672">
              <w:rPr>
                <w:rFonts w:ascii="Times New Roman" w:hAnsi="Times New Roman"/>
                <w:color w:val="000000"/>
                <w:spacing w:val="-8"/>
                <w:sz w:val="16"/>
                <w:szCs w:val="16"/>
              </w:rPr>
              <w:t>засобами</w:t>
            </w:r>
            <w:proofErr w:type="spellEnd"/>
            <w:r w:rsidRPr="00E16672">
              <w:rPr>
                <w:rFonts w:ascii="Times New Roman" w:hAnsi="Times New Roman"/>
                <w:color w:val="000000"/>
                <w:spacing w:val="-8"/>
                <w:sz w:val="16"/>
                <w:szCs w:val="16"/>
              </w:rPr>
              <w:t xml:space="preserve"> </w:t>
            </w:r>
            <w:proofErr w:type="spellStart"/>
            <w:r w:rsidRPr="00E16672">
              <w:rPr>
                <w:rFonts w:ascii="Times New Roman" w:hAnsi="Times New Roman"/>
                <w:color w:val="000000"/>
                <w:spacing w:val="-8"/>
                <w:sz w:val="16"/>
                <w:szCs w:val="16"/>
              </w:rPr>
              <w:t>поштового</w:t>
            </w:r>
            <w:proofErr w:type="spellEnd"/>
            <w:r w:rsidRPr="00E16672">
              <w:rPr>
                <w:rFonts w:ascii="Times New Roman" w:hAnsi="Times New Roman"/>
                <w:color w:val="000000"/>
                <w:spacing w:val="-8"/>
                <w:sz w:val="16"/>
                <w:szCs w:val="16"/>
              </w:rPr>
              <w:t xml:space="preserve"> </w:t>
            </w:r>
            <w:proofErr w:type="spellStart"/>
            <w:r w:rsidRPr="00E16672">
              <w:rPr>
                <w:rFonts w:ascii="Times New Roman" w:hAnsi="Times New Roman"/>
                <w:color w:val="000000"/>
                <w:spacing w:val="-8"/>
                <w:sz w:val="16"/>
                <w:szCs w:val="16"/>
              </w:rPr>
              <w:t>зв’язку</w:t>
            </w:r>
            <w:proofErr w:type="spellEnd"/>
            <w:r w:rsidRPr="00E16672">
              <w:rPr>
                <w:rFonts w:ascii="Times New Roman" w:hAnsi="Times New Roman"/>
                <w:color w:val="000000"/>
                <w:spacing w:val="-8"/>
                <w:sz w:val="16"/>
                <w:szCs w:val="16"/>
              </w:rPr>
              <w:t xml:space="preserve"> </w:t>
            </w:r>
            <w:proofErr w:type="spellStart"/>
            <w:r w:rsidRPr="00E16672">
              <w:rPr>
                <w:rFonts w:ascii="Times New Roman" w:hAnsi="Times New Roman"/>
                <w:color w:val="000000"/>
                <w:spacing w:val="-8"/>
                <w:sz w:val="16"/>
                <w:szCs w:val="16"/>
              </w:rPr>
              <w:t>або</w:t>
            </w:r>
            <w:proofErr w:type="spellEnd"/>
            <w:r w:rsidRPr="00E16672">
              <w:rPr>
                <w:rFonts w:ascii="Times New Roman" w:hAnsi="Times New Roman"/>
                <w:color w:val="000000"/>
                <w:spacing w:val="-8"/>
                <w:sz w:val="16"/>
                <w:szCs w:val="16"/>
              </w:rPr>
              <w:t xml:space="preserve"> </w:t>
            </w:r>
            <w:proofErr w:type="spellStart"/>
            <w:r w:rsidRPr="00E16672">
              <w:rPr>
                <w:rFonts w:ascii="Times New Roman" w:hAnsi="Times New Roman"/>
                <w:color w:val="000000"/>
                <w:spacing w:val="-8"/>
                <w:sz w:val="16"/>
                <w:szCs w:val="16"/>
              </w:rPr>
              <w:t>кур’єром</w:t>
            </w:r>
            <w:proofErr w:type="spellEnd"/>
            <w:r w:rsidRPr="00E16672">
              <w:rPr>
                <w:rFonts w:ascii="Times New Roman" w:hAnsi="Times New Roman"/>
                <w:color w:val="000000"/>
                <w:spacing w:val="-8"/>
                <w:sz w:val="16"/>
                <w:szCs w:val="16"/>
              </w:rPr>
              <w:t>.</w:t>
            </w:r>
          </w:p>
          <w:p w14:paraId="1268BAB1" w14:textId="77777777" w:rsidR="00E57D57" w:rsidRPr="00E16672" w:rsidRDefault="00E57D57" w:rsidP="00746617">
            <w:pPr>
              <w:pStyle w:val="1b"/>
              <w:spacing w:before="0" w:after="0"/>
              <w:ind w:left="175" w:right="138" w:firstLine="7"/>
              <w:rPr>
                <w:rFonts w:ascii="Times New Roman" w:eastAsia="Times New Roman" w:hAnsi="Times New Roman" w:cs="Times New Roman"/>
                <w:color w:val="000000"/>
                <w:sz w:val="16"/>
                <w:szCs w:val="16"/>
              </w:rPr>
            </w:pPr>
          </w:p>
        </w:tc>
        <w:tc>
          <w:tcPr>
            <w:tcW w:w="5494" w:type="dxa"/>
            <w:gridSpan w:val="7"/>
            <w:shd w:val="clear" w:color="auto" w:fill="auto"/>
          </w:tcPr>
          <w:p w14:paraId="56CECE06" w14:textId="77777777" w:rsidR="00E57D57" w:rsidRPr="00E16672" w:rsidRDefault="00E57D57" w:rsidP="00746617">
            <w:pPr>
              <w:snapToGrid w:val="0"/>
              <w:ind w:left="175" w:right="138" w:firstLine="7"/>
              <w:rPr>
                <w:rFonts w:ascii="Times New Roman" w:hAnsi="Times New Roman"/>
                <w:color w:val="000000"/>
                <w:sz w:val="16"/>
                <w:szCs w:val="16"/>
                <w:lang w:val="en-GB"/>
              </w:rPr>
            </w:pPr>
            <w:r w:rsidRPr="00E16672">
              <w:rPr>
                <w:rFonts w:ascii="Times New Roman" w:hAnsi="Times New Roman"/>
                <w:color w:val="000000"/>
                <w:sz w:val="16"/>
                <w:szCs w:val="16"/>
                <w:lang w:val="en-GB"/>
              </w:rPr>
              <w:t xml:space="preserve">3.3. The </w:t>
            </w:r>
            <w:proofErr w:type="gramStart"/>
            <w:r w:rsidRPr="00E16672">
              <w:rPr>
                <w:rFonts w:ascii="Times New Roman" w:hAnsi="Times New Roman"/>
                <w:color w:val="000000"/>
                <w:sz w:val="16"/>
                <w:szCs w:val="16"/>
                <w:lang w:val="en-US"/>
              </w:rPr>
              <w:t xml:space="preserve">orders </w:t>
            </w:r>
            <w:r w:rsidRPr="00E16672">
              <w:rPr>
                <w:rFonts w:ascii="Times New Roman" w:hAnsi="Times New Roman"/>
                <w:color w:val="000000"/>
                <w:sz w:val="16"/>
                <w:szCs w:val="16"/>
                <w:lang w:val="en-GB"/>
              </w:rPr>
              <w:t xml:space="preserve"> in</w:t>
            </w:r>
            <w:proofErr w:type="gramEnd"/>
            <w:r w:rsidRPr="00E16672">
              <w:rPr>
                <w:rFonts w:ascii="Times New Roman" w:hAnsi="Times New Roman"/>
                <w:color w:val="000000"/>
                <w:sz w:val="16"/>
                <w:szCs w:val="16"/>
                <w:lang w:val="en-GB"/>
              </w:rPr>
              <w:t xml:space="preserve"> the paper form </w:t>
            </w:r>
            <w:r w:rsidRPr="00E16672">
              <w:rPr>
                <w:rFonts w:ascii="Times New Roman" w:hAnsi="Times New Roman"/>
                <w:color w:val="000000"/>
                <w:sz w:val="16"/>
                <w:szCs w:val="16"/>
                <w:lang w:val="en-US"/>
              </w:rPr>
              <w:t>and messages and information</w:t>
            </w:r>
            <w:r w:rsidRPr="00F23413">
              <w:rPr>
                <w:rStyle w:val="shorttext"/>
                <w:rFonts w:ascii="Times New Roman" w:hAnsi="Times New Roman"/>
                <w:color w:val="000000"/>
                <w:sz w:val="16"/>
                <w:szCs w:val="16"/>
                <w:lang w:val="en-US"/>
              </w:rPr>
              <w:t>,</w:t>
            </w:r>
            <w:r w:rsidRPr="00E16672">
              <w:rPr>
                <w:rFonts w:ascii="Times New Roman" w:hAnsi="Times New Roman"/>
                <w:color w:val="000000"/>
                <w:sz w:val="16"/>
                <w:szCs w:val="16"/>
                <w:lang w:val="en-GB"/>
              </w:rPr>
              <w:t xml:space="preserve"> </w:t>
            </w:r>
            <w:r w:rsidRPr="00E16672">
              <w:rPr>
                <w:rFonts w:ascii="Times New Roman" w:hAnsi="Times New Roman"/>
                <w:color w:val="000000"/>
                <w:sz w:val="16"/>
                <w:szCs w:val="16"/>
                <w:lang w:val="en-US"/>
              </w:rPr>
              <w:t>which given in connection with execution the Agreement by the Parties,</w:t>
            </w:r>
            <w:r w:rsidRPr="00E16672">
              <w:rPr>
                <w:rFonts w:ascii="Times New Roman" w:hAnsi="Times New Roman"/>
                <w:color w:val="000000"/>
                <w:sz w:val="16"/>
                <w:szCs w:val="16"/>
                <w:lang w:val="en-GB"/>
              </w:rPr>
              <w:t xml:space="preserve"> may be derived by the Depository institution and Depositor:</w:t>
            </w:r>
          </w:p>
          <w:p w14:paraId="56C29F15" w14:textId="77777777" w:rsidR="00E57D57" w:rsidRPr="00E16672" w:rsidRDefault="00E57D57" w:rsidP="00746617">
            <w:pPr>
              <w:ind w:left="175" w:right="138" w:firstLine="7"/>
              <w:rPr>
                <w:rFonts w:ascii="Times New Roman" w:hAnsi="Times New Roman"/>
                <w:color w:val="000000"/>
                <w:sz w:val="16"/>
                <w:szCs w:val="16"/>
                <w:lang w:val="en-GB"/>
              </w:rPr>
            </w:pPr>
            <w:r w:rsidRPr="00E16672">
              <w:rPr>
                <w:rFonts w:ascii="Times New Roman" w:hAnsi="Times New Roman"/>
                <w:color w:val="000000"/>
                <w:sz w:val="16"/>
                <w:szCs w:val="16"/>
                <w:lang w:val="en-GB"/>
              </w:rPr>
              <w:t xml:space="preserve">- </w:t>
            </w:r>
            <w:proofErr w:type="gramStart"/>
            <w:r w:rsidRPr="00E16672">
              <w:rPr>
                <w:rFonts w:ascii="Times New Roman" w:hAnsi="Times New Roman"/>
                <w:color w:val="000000"/>
                <w:sz w:val="16"/>
                <w:szCs w:val="16"/>
                <w:lang w:val="en-GB"/>
              </w:rPr>
              <w:t>Personally</w:t>
            </w:r>
            <w:proofErr w:type="gramEnd"/>
            <w:r w:rsidRPr="00E16672">
              <w:rPr>
                <w:rFonts w:ascii="Times New Roman" w:hAnsi="Times New Roman"/>
                <w:color w:val="000000"/>
                <w:sz w:val="16"/>
                <w:szCs w:val="16"/>
                <w:lang w:val="en-GB"/>
              </w:rPr>
              <w:t xml:space="preserve"> through the personal reversion of the Depositor, administrator or his manager of the account (authorized representative person);</w:t>
            </w:r>
          </w:p>
          <w:p w14:paraId="035DDFD8" w14:textId="77777777" w:rsidR="00E57D57" w:rsidRPr="00E16672" w:rsidRDefault="00E57D57" w:rsidP="00746617">
            <w:pPr>
              <w:ind w:left="175" w:right="138" w:firstLine="7"/>
              <w:rPr>
                <w:rFonts w:ascii="Times New Roman" w:hAnsi="Times New Roman"/>
                <w:color w:val="000000"/>
                <w:sz w:val="16"/>
                <w:szCs w:val="16"/>
                <w:lang w:val="en-US"/>
              </w:rPr>
            </w:pPr>
            <w:r w:rsidRPr="00E16672">
              <w:rPr>
                <w:rFonts w:ascii="Times New Roman" w:hAnsi="Times New Roman"/>
                <w:color w:val="000000"/>
                <w:spacing w:val="-8"/>
                <w:sz w:val="16"/>
                <w:szCs w:val="16"/>
                <w:lang w:val="en-US"/>
              </w:rPr>
              <w:t>-  by means of postal communication or courier.</w:t>
            </w:r>
          </w:p>
        </w:tc>
      </w:tr>
      <w:tr w:rsidR="00E57D57" w:rsidRPr="00F23413" w14:paraId="581F916C" w14:textId="77777777" w:rsidTr="00D77858">
        <w:tblPrEx>
          <w:tblCellMar>
            <w:left w:w="0" w:type="dxa"/>
            <w:right w:w="0" w:type="dxa"/>
          </w:tblCellMar>
        </w:tblPrEx>
        <w:trPr>
          <w:trHeight w:val="1147"/>
        </w:trPr>
        <w:tc>
          <w:tcPr>
            <w:tcW w:w="5696" w:type="dxa"/>
            <w:gridSpan w:val="6"/>
            <w:shd w:val="clear" w:color="auto" w:fill="auto"/>
          </w:tcPr>
          <w:p w14:paraId="7E5EFA3B" w14:textId="77777777" w:rsidR="00E57D57" w:rsidRPr="00E16672" w:rsidRDefault="00E57D57" w:rsidP="00746617">
            <w:pPr>
              <w:ind w:left="175" w:right="138" w:firstLine="7"/>
              <w:rPr>
                <w:rFonts w:ascii="Times New Roman" w:hAnsi="Times New Roman"/>
                <w:sz w:val="16"/>
                <w:szCs w:val="16"/>
              </w:rPr>
            </w:pPr>
            <w:r w:rsidRPr="00E16672">
              <w:rPr>
                <w:rFonts w:ascii="Times New Roman" w:hAnsi="Times New Roman"/>
                <w:sz w:val="16"/>
                <w:szCs w:val="16"/>
              </w:rPr>
              <w:t>3.4.</w:t>
            </w:r>
            <w:r w:rsidRPr="00E16672">
              <w:rPr>
                <w:rFonts w:ascii="Times New Roman" w:hAnsi="Times New Roman"/>
                <w:b/>
                <w:bCs/>
                <w:sz w:val="16"/>
                <w:szCs w:val="16"/>
              </w:rPr>
              <w:t xml:space="preserve"> </w:t>
            </w:r>
            <w:proofErr w:type="spellStart"/>
            <w:r w:rsidRPr="00E16672">
              <w:rPr>
                <w:rFonts w:ascii="Times New Roman" w:hAnsi="Times New Roman"/>
                <w:sz w:val="16"/>
                <w:szCs w:val="16"/>
              </w:rPr>
              <w:t>Розпорядження</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має</w:t>
            </w:r>
            <w:proofErr w:type="spellEnd"/>
            <w:r w:rsidRPr="00E16672">
              <w:rPr>
                <w:rFonts w:ascii="Times New Roman" w:hAnsi="Times New Roman"/>
                <w:sz w:val="16"/>
                <w:szCs w:val="16"/>
              </w:rPr>
              <w:t xml:space="preserve"> бути </w:t>
            </w:r>
            <w:proofErr w:type="spellStart"/>
            <w:r w:rsidRPr="00E16672">
              <w:rPr>
                <w:rFonts w:ascii="Times New Roman" w:hAnsi="Times New Roman"/>
                <w:sz w:val="16"/>
                <w:szCs w:val="16"/>
              </w:rPr>
              <w:t>підписане</w:t>
            </w:r>
            <w:proofErr w:type="spellEnd"/>
            <w:r w:rsidRPr="00E16672">
              <w:rPr>
                <w:rFonts w:ascii="Times New Roman" w:hAnsi="Times New Roman"/>
                <w:sz w:val="16"/>
                <w:szCs w:val="16"/>
              </w:rPr>
              <w:t xml:space="preserve"> </w:t>
            </w:r>
            <w:r w:rsidR="00733AB9" w:rsidRPr="00E16672">
              <w:rPr>
                <w:rFonts w:ascii="Times New Roman" w:hAnsi="Times New Roman"/>
                <w:sz w:val="16"/>
                <w:szCs w:val="16"/>
              </w:rPr>
              <w:t xml:space="preserve">Депонентом, </w:t>
            </w:r>
            <w:proofErr w:type="spellStart"/>
            <w:r w:rsidRPr="00E16672">
              <w:rPr>
                <w:rFonts w:ascii="Times New Roman" w:hAnsi="Times New Roman"/>
                <w:sz w:val="16"/>
                <w:szCs w:val="16"/>
              </w:rPr>
              <w:t>розпорядником</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рахунку</w:t>
            </w:r>
            <w:proofErr w:type="spellEnd"/>
            <w:r w:rsidRPr="00E16672">
              <w:rPr>
                <w:rFonts w:ascii="Times New Roman" w:hAnsi="Times New Roman"/>
                <w:sz w:val="16"/>
                <w:szCs w:val="16"/>
              </w:rPr>
              <w:t xml:space="preserve"> </w:t>
            </w:r>
            <w:r w:rsidR="00C22309" w:rsidRPr="00E16672">
              <w:rPr>
                <w:rFonts w:ascii="Times New Roman" w:hAnsi="Times New Roman"/>
                <w:sz w:val="16"/>
                <w:szCs w:val="16"/>
              </w:rPr>
              <w:t xml:space="preserve">в </w:t>
            </w:r>
            <w:proofErr w:type="spellStart"/>
            <w:r w:rsidR="00C22309" w:rsidRPr="00E16672">
              <w:rPr>
                <w:rFonts w:ascii="Times New Roman" w:hAnsi="Times New Roman"/>
                <w:sz w:val="16"/>
                <w:szCs w:val="16"/>
              </w:rPr>
              <w:t>цін</w:t>
            </w:r>
            <w:r w:rsidRPr="00E16672">
              <w:rPr>
                <w:rFonts w:ascii="Times New Roman" w:hAnsi="Times New Roman"/>
                <w:sz w:val="16"/>
                <w:szCs w:val="16"/>
              </w:rPr>
              <w:t>них</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паперах</w:t>
            </w:r>
            <w:proofErr w:type="spellEnd"/>
            <w:r w:rsidR="009D5EED" w:rsidRPr="00E16672">
              <w:rPr>
                <w:rFonts w:ascii="Times New Roman" w:hAnsi="Times New Roman"/>
                <w:color w:val="000000"/>
                <w:sz w:val="16"/>
                <w:szCs w:val="20"/>
                <w:lang w:val="uk-UA"/>
              </w:rPr>
              <w:t xml:space="preserve"> або керуючим рахунком </w:t>
            </w:r>
            <w:r w:rsidR="00C22309" w:rsidRPr="00E16672">
              <w:rPr>
                <w:rFonts w:ascii="Times New Roman" w:hAnsi="Times New Roman"/>
                <w:color w:val="000000"/>
                <w:sz w:val="16"/>
                <w:szCs w:val="20"/>
                <w:lang w:val="uk-UA"/>
              </w:rPr>
              <w:t>в цін</w:t>
            </w:r>
            <w:r w:rsidR="009D5EED" w:rsidRPr="00E16672">
              <w:rPr>
                <w:rFonts w:ascii="Times New Roman" w:hAnsi="Times New Roman"/>
                <w:color w:val="000000"/>
                <w:sz w:val="16"/>
                <w:szCs w:val="20"/>
                <w:lang w:val="uk-UA"/>
              </w:rPr>
              <w:t>них паперах</w:t>
            </w:r>
            <w:r w:rsidRPr="00E16672">
              <w:rPr>
                <w:rFonts w:ascii="Times New Roman" w:hAnsi="Times New Roman"/>
                <w:sz w:val="16"/>
                <w:szCs w:val="16"/>
              </w:rPr>
              <w:t xml:space="preserve">. </w:t>
            </w:r>
            <w:proofErr w:type="spellStart"/>
            <w:r w:rsidRPr="00E16672">
              <w:rPr>
                <w:rFonts w:ascii="Times New Roman" w:hAnsi="Times New Roman"/>
                <w:sz w:val="16"/>
                <w:szCs w:val="16"/>
              </w:rPr>
              <w:t>Підпис</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розпорядника</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рахунку</w:t>
            </w:r>
            <w:proofErr w:type="spellEnd"/>
            <w:r w:rsidRPr="00E16672">
              <w:rPr>
                <w:rFonts w:ascii="Times New Roman" w:hAnsi="Times New Roman"/>
                <w:sz w:val="16"/>
                <w:szCs w:val="16"/>
              </w:rPr>
              <w:t xml:space="preserve"> </w:t>
            </w:r>
            <w:r w:rsidR="00C22309" w:rsidRPr="00E16672">
              <w:rPr>
                <w:rFonts w:ascii="Times New Roman" w:hAnsi="Times New Roman"/>
                <w:sz w:val="16"/>
                <w:szCs w:val="16"/>
              </w:rPr>
              <w:t xml:space="preserve">в </w:t>
            </w:r>
            <w:proofErr w:type="spellStart"/>
            <w:r w:rsidR="00C22309" w:rsidRPr="00E16672">
              <w:rPr>
                <w:rFonts w:ascii="Times New Roman" w:hAnsi="Times New Roman"/>
                <w:sz w:val="16"/>
                <w:szCs w:val="16"/>
              </w:rPr>
              <w:t>цін</w:t>
            </w:r>
            <w:r w:rsidRPr="00E16672">
              <w:rPr>
                <w:rFonts w:ascii="Times New Roman" w:hAnsi="Times New Roman"/>
                <w:sz w:val="16"/>
                <w:szCs w:val="16"/>
              </w:rPr>
              <w:t>них</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паперах</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якщо</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керуючим</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рахунком</w:t>
            </w:r>
            <w:proofErr w:type="spellEnd"/>
            <w:r w:rsidRPr="00E16672">
              <w:rPr>
                <w:rFonts w:ascii="Times New Roman" w:hAnsi="Times New Roman"/>
                <w:sz w:val="16"/>
                <w:szCs w:val="16"/>
              </w:rPr>
              <w:t xml:space="preserve"> є </w:t>
            </w:r>
            <w:proofErr w:type="spellStart"/>
            <w:r w:rsidRPr="00E16672">
              <w:rPr>
                <w:rFonts w:ascii="Times New Roman" w:hAnsi="Times New Roman"/>
                <w:sz w:val="16"/>
                <w:szCs w:val="16"/>
              </w:rPr>
              <w:t>юридична</w:t>
            </w:r>
            <w:proofErr w:type="spellEnd"/>
            <w:r w:rsidRPr="00E16672">
              <w:rPr>
                <w:rFonts w:ascii="Times New Roman" w:hAnsi="Times New Roman"/>
                <w:sz w:val="16"/>
                <w:szCs w:val="16"/>
              </w:rPr>
              <w:t xml:space="preserve"> особа, </w:t>
            </w:r>
            <w:proofErr w:type="spellStart"/>
            <w:r w:rsidRPr="00E16672">
              <w:rPr>
                <w:rFonts w:ascii="Times New Roman" w:hAnsi="Times New Roman"/>
                <w:sz w:val="16"/>
                <w:szCs w:val="16"/>
              </w:rPr>
              <w:t>засвідчується</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печаткою</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відповідної</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юридичної</w:t>
            </w:r>
            <w:proofErr w:type="spellEnd"/>
            <w:r w:rsidRPr="00E16672">
              <w:rPr>
                <w:rFonts w:ascii="Times New Roman" w:hAnsi="Times New Roman"/>
                <w:sz w:val="16"/>
                <w:szCs w:val="16"/>
              </w:rPr>
              <w:t xml:space="preserve"> особи (у </w:t>
            </w:r>
            <w:proofErr w:type="spellStart"/>
            <w:r w:rsidRPr="00E16672">
              <w:rPr>
                <w:rFonts w:ascii="Times New Roman" w:hAnsi="Times New Roman"/>
                <w:sz w:val="16"/>
                <w:szCs w:val="16"/>
              </w:rPr>
              <w:t>разі</w:t>
            </w:r>
            <w:proofErr w:type="spellEnd"/>
            <w:r w:rsidRPr="00E16672">
              <w:rPr>
                <w:rFonts w:ascii="Times New Roman" w:hAnsi="Times New Roman"/>
                <w:sz w:val="16"/>
                <w:szCs w:val="16"/>
              </w:rPr>
              <w:t xml:space="preserve"> </w:t>
            </w:r>
            <w:proofErr w:type="spellStart"/>
            <w:r w:rsidR="00733AB9" w:rsidRPr="00E16672">
              <w:rPr>
                <w:rFonts w:ascii="Times New Roman" w:hAnsi="Times New Roman"/>
                <w:sz w:val="16"/>
                <w:szCs w:val="16"/>
              </w:rPr>
              <w:t>використання</w:t>
            </w:r>
            <w:proofErr w:type="spellEnd"/>
            <w:r w:rsidRPr="00E16672">
              <w:rPr>
                <w:rFonts w:ascii="Times New Roman" w:hAnsi="Times New Roman"/>
                <w:sz w:val="16"/>
                <w:szCs w:val="16"/>
              </w:rPr>
              <w:t>).</w:t>
            </w:r>
          </w:p>
          <w:p w14:paraId="1CB2976E" w14:textId="77777777" w:rsidR="00E57D57" w:rsidRPr="00E16672" w:rsidRDefault="00E57D57" w:rsidP="00746617">
            <w:pPr>
              <w:snapToGrid w:val="0"/>
              <w:ind w:left="175" w:right="138" w:firstLine="7"/>
              <w:rPr>
                <w:rFonts w:ascii="Times New Roman" w:hAnsi="Times New Roman"/>
                <w:sz w:val="16"/>
                <w:szCs w:val="16"/>
              </w:rPr>
            </w:pPr>
          </w:p>
        </w:tc>
        <w:tc>
          <w:tcPr>
            <w:tcW w:w="5494" w:type="dxa"/>
            <w:gridSpan w:val="7"/>
            <w:shd w:val="clear" w:color="auto" w:fill="auto"/>
          </w:tcPr>
          <w:p w14:paraId="0A682351" w14:textId="77777777" w:rsidR="00E57D57" w:rsidRPr="00E16672" w:rsidRDefault="00E57D57" w:rsidP="00746617">
            <w:pPr>
              <w:snapToGrid w:val="0"/>
              <w:ind w:left="175" w:right="138" w:firstLine="7"/>
              <w:rPr>
                <w:rFonts w:ascii="Times New Roman" w:hAnsi="Times New Roman"/>
                <w:sz w:val="16"/>
                <w:szCs w:val="16"/>
                <w:lang w:val="en-GB"/>
              </w:rPr>
            </w:pPr>
            <w:r w:rsidRPr="00E16672">
              <w:rPr>
                <w:rFonts w:ascii="Times New Roman" w:hAnsi="Times New Roman"/>
                <w:sz w:val="16"/>
                <w:szCs w:val="16"/>
                <w:lang w:val="en-GB"/>
              </w:rPr>
              <w:t xml:space="preserve">3.4. The order </w:t>
            </w:r>
            <w:proofErr w:type="gramStart"/>
            <w:r w:rsidRPr="00E16672">
              <w:rPr>
                <w:rFonts w:ascii="Times New Roman" w:hAnsi="Times New Roman"/>
                <w:sz w:val="16"/>
                <w:szCs w:val="16"/>
                <w:lang w:val="en-GB"/>
              </w:rPr>
              <w:t>have</w:t>
            </w:r>
            <w:proofErr w:type="gramEnd"/>
            <w:r w:rsidRPr="00E16672">
              <w:rPr>
                <w:rFonts w:ascii="Times New Roman" w:hAnsi="Times New Roman"/>
                <w:sz w:val="16"/>
                <w:szCs w:val="16"/>
                <w:lang w:val="en-GB"/>
              </w:rPr>
              <w:t xml:space="preserve"> to be signed by </w:t>
            </w:r>
            <w:r w:rsidR="00733AB9" w:rsidRPr="00E16672">
              <w:rPr>
                <w:rFonts w:ascii="Times New Roman" w:hAnsi="Times New Roman"/>
                <w:color w:val="000000"/>
                <w:sz w:val="16"/>
                <w:szCs w:val="16"/>
                <w:lang w:val="en-GB"/>
              </w:rPr>
              <w:t>Depositor</w:t>
            </w:r>
            <w:r w:rsidR="00733AB9" w:rsidRPr="00E16672">
              <w:rPr>
                <w:rFonts w:ascii="Times New Roman" w:hAnsi="Times New Roman"/>
                <w:sz w:val="16"/>
                <w:szCs w:val="16"/>
                <w:lang w:val="en-US"/>
              </w:rPr>
              <w:t xml:space="preserve">, </w:t>
            </w:r>
            <w:r w:rsidRPr="00E16672">
              <w:rPr>
                <w:rFonts w:ascii="Times New Roman" w:hAnsi="Times New Roman"/>
                <w:sz w:val="16"/>
                <w:szCs w:val="16"/>
                <w:lang w:val="en-GB"/>
              </w:rPr>
              <w:t>manager of the account in securities</w:t>
            </w:r>
            <w:r w:rsidR="009D5EED" w:rsidRPr="00E16672">
              <w:rPr>
                <w:rFonts w:ascii="Times New Roman" w:hAnsi="Times New Roman"/>
                <w:sz w:val="16"/>
                <w:szCs w:val="16"/>
                <w:lang w:val="en-US"/>
              </w:rPr>
              <w:t xml:space="preserve"> </w:t>
            </w:r>
            <w:r w:rsidR="009D5EED" w:rsidRPr="00E16672">
              <w:rPr>
                <w:rFonts w:ascii="Times New Roman" w:hAnsi="Times New Roman"/>
                <w:color w:val="000000"/>
                <w:sz w:val="16"/>
                <w:szCs w:val="16"/>
                <w:lang w:val="en-GB"/>
              </w:rPr>
              <w:t>or</w:t>
            </w:r>
            <w:r w:rsidR="009D5EED" w:rsidRPr="00E16672">
              <w:rPr>
                <w:rFonts w:ascii="Times New Roman" w:hAnsi="Times New Roman"/>
                <w:sz w:val="16"/>
                <w:szCs w:val="16"/>
                <w:lang w:val="en-US"/>
              </w:rPr>
              <w:t xml:space="preserve"> </w:t>
            </w:r>
            <w:r w:rsidR="006E6311" w:rsidRPr="00E16672">
              <w:rPr>
                <w:rFonts w:ascii="Times New Roman" w:hAnsi="Times New Roman"/>
                <w:sz w:val="16"/>
              </w:rPr>
              <w:t>а</w:t>
            </w:r>
            <w:proofErr w:type="spellStart"/>
            <w:r w:rsidR="009D5EED" w:rsidRPr="00E16672">
              <w:rPr>
                <w:rFonts w:ascii="Times New Roman" w:hAnsi="Times New Roman"/>
                <w:sz w:val="16"/>
                <w:lang w:val="en-US"/>
              </w:rPr>
              <w:t>dministrator</w:t>
            </w:r>
            <w:proofErr w:type="spellEnd"/>
            <w:r w:rsidR="009D5EED" w:rsidRPr="00E16672">
              <w:rPr>
                <w:rFonts w:ascii="Times New Roman" w:hAnsi="Times New Roman"/>
                <w:sz w:val="16"/>
                <w:lang w:val="en-US"/>
              </w:rPr>
              <w:t xml:space="preserve"> of the account in securities</w:t>
            </w:r>
            <w:r w:rsidRPr="00E16672">
              <w:rPr>
                <w:rFonts w:ascii="Times New Roman" w:hAnsi="Times New Roman"/>
                <w:sz w:val="16"/>
                <w:szCs w:val="16"/>
                <w:lang w:val="en-GB"/>
              </w:rPr>
              <w:t>. Signature of the manager of the account in securities</w:t>
            </w:r>
            <w:r w:rsidRPr="00E16672">
              <w:rPr>
                <w:rFonts w:ascii="Times New Roman" w:hAnsi="Times New Roman"/>
                <w:sz w:val="16"/>
                <w:szCs w:val="16"/>
                <w:lang w:val="en-US"/>
              </w:rPr>
              <w:t>,</w:t>
            </w:r>
            <w:r w:rsidRPr="00E16672">
              <w:rPr>
                <w:rFonts w:ascii="Times New Roman" w:hAnsi="Times New Roman"/>
                <w:sz w:val="16"/>
                <w:szCs w:val="16"/>
                <w:lang w:val="en-GB"/>
              </w:rPr>
              <w:t xml:space="preserve"> if the administrator of his account is a legal entity, a seal of the legal entity (</w:t>
            </w:r>
            <w:r w:rsidR="00733AB9" w:rsidRPr="00E16672">
              <w:rPr>
                <w:rFonts w:ascii="Times New Roman" w:hAnsi="Times New Roman"/>
                <w:color w:val="000000"/>
                <w:sz w:val="16"/>
                <w:szCs w:val="16"/>
                <w:lang w:val="en-US"/>
              </w:rPr>
              <w:t>in case of use</w:t>
            </w:r>
            <w:r w:rsidRPr="00E16672">
              <w:rPr>
                <w:rFonts w:ascii="Times New Roman" w:hAnsi="Times New Roman"/>
                <w:sz w:val="16"/>
                <w:szCs w:val="16"/>
                <w:lang w:val="en-GB"/>
              </w:rPr>
              <w:t>).</w:t>
            </w:r>
          </w:p>
        </w:tc>
      </w:tr>
      <w:tr w:rsidR="00427890" w:rsidRPr="00F23413" w14:paraId="14B87D90" w14:textId="77777777" w:rsidTr="00D77858">
        <w:tblPrEx>
          <w:tblCellMar>
            <w:left w:w="0" w:type="dxa"/>
            <w:right w:w="0" w:type="dxa"/>
          </w:tblCellMar>
        </w:tblPrEx>
        <w:trPr>
          <w:trHeight w:val="1536"/>
        </w:trPr>
        <w:tc>
          <w:tcPr>
            <w:tcW w:w="5696" w:type="dxa"/>
            <w:gridSpan w:val="6"/>
            <w:shd w:val="clear" w:color="auto" w:fill="auto"/>
          </w:tcPr>
          <w:p w14:paraId="4E1AC283" w14:textId="77777777" w:rsidR="00427890" w:rsidRPr="00E16672" w:rsidRDefault="00427890" w:rsidP="00746617">
            <w:pPr>
              <w:snapToGrid w:val="0"/>
              <w:ind w:left="175" w:right="138" w:firstLine="7"/>
              <w:rPr>
                <w:rFonts w:ascii="Times New Roman" w:hAnsi="Times New Roman"/>
                <w:sz w:val="16"/>
                <w:szCs w:val="16"/>
              </w:rPr>
            </w:pPr>
            <w:r w:rsidRPr="00E16672">
              <w:rPr>
                <w:rFonts w:ascii="Times New Roman" w:hAnsi="Times New Roman"/>
                <w:sz w:val="16"/>
                <w:szCs w:val="16"/>
              </w:rPr>
              <w:t xml:space="preserve">3.5. </w:t>
            </w:r>
            <w:proofErr w:type="spellStart"/>
            <w:r w:rsidRPr="00E16672">
              <w:rPr>
                <w:rFonts w:ascii="Times New Roman" w:hAnsi="Times New Roman"/>
                <w:sz w:val="16"/>
                <w:szCs w:val="16"/>
              </w:rPr>
              <w:t>Депозитарна</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установа</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приймає</w:t>
            </w:r>
            <w:proofErr w:type="spellEnd"/>
            <w:r w:rsidRPr="00E16672">
              <w:rPr>
                <w:rFonts w:ascii="Times New Roman" w:hAnsi="Times New Roman"/>
                <w:sz w:val="16"/>
                <w:szCs w:val="16"/>
              </w:rPr>
              <w:t xml:space="preserve"> до </w:t>
            </w:r>
            <w:proofErr w:type="spellStart"/>
            <w:r w:rsidRPr="00E16672">
              <w:rPr>
                <w:rFonts w:ascii="Times New Roman" w:hAnsi="Times New Roman"/>
                <w:sz w:val="16"/>
                <w:szCs w:val="16"/>
              </w:rPr>
              <w:t>виконання</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тільки</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ті</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розпорядження</w:t>
            </w:r>
            <w:proofErr w:type="spellEnd"/>
            <w:r w:rsidRPr="00E16672">
              <w:rPr>
                <w:rFonts w:ascii="Times New Roman" w:hAnsi="Times New Roman"/>
                <w:sz w:val="16"/>
                <w:szCs w:val="16"/>
              </w:rPr>
              <w:t xml:space="preserve"> Депонента, </w:t>
            </w:r>
            <w:proofErr w:type="spellStart"/>
            <w:r w:rsidRPr="00E16672">
              <w:rPr>
                <w:rFonts w:ascii="Times New Roman" w:hAnsi="Times New Roman"/>
                <w:sz w:val="16"/>
                <w:szCs w:val="16"/>
              </w:rPr>
              <w:t>які</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підтверджені</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підписом</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керуючого</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або</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розпорядника</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його</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рахунком</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уповноваженого</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представника</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Депозитарна</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установа</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перевіряє</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їх</w:t>
            </w:r>
            <w:proofErr w:type="spellEnd"/>
            <w:r w:rsidRPr="00E16672">
              <w:rPr>
                <w:rFonts w:ascii="Times New Roman" w:hAnsi="Times New Roman"/>
                <w:sz w:val="16"/>
                <w:szCs w:val="16"/>
              </w:rPr>
              <w:t xml:space="preserve"> на </w:t>
            </w:r>
            <w:proofErr w:type="spellStart"/>
            <w:r w:rsidRPr="00E16672">
              <w:rPr>
                <w:rFonts w:ascii="Times New Roman" w:hAnsi="Times New Roman"/>
                <w:sz w:val="16"/>
                <w:szCs w:val="16"/>
              </w:rPr>
              <w:t>достовірність</w:t>
            </w:r>
            <w:proofErr w:type="spellEnd"/>
            <w:r w:rsidRPr="00E16672">
              <w:rPr>
                <w:rFonts w:ascii="Times New Roman" w:hAnsi="Times New Roman"/>
                <w:sz w:val="16"/>
                <w:szCs w:val="16"/>
              </w:rPr>
              <w:t xml:space="preserve">. </w:t>
            </w:r>
          </w:p>
          <w:p w14:paraId="73A4F31A" w14:textId="77777777" w:rsidR="00427890" w:rsidRPr="00E16672" w:rsidRDefault="00427890" w:rsidP="00746617">
            <w:pPr>
              <w:ind w:left="175" w:right="138" w:firstLine="7"/>
              <w:rPr>
                <w:rFonts w:ascii="Times New Roman" w:hAnsi="Times New Roman"/>
                <w:sz w:val="16"/>
                <w:szCs w:val="16"/>
              </w:rPr>
            </w:pPr>
            <w:proofErr w:type="spellStart"/>
            <w:r w:rsidRPr="00E16672">
              <w:rPr>
                <w:rFonts w:ascii="Times New Roman" w:hAnsi="Times New Roman"/>
                <w:sz w:val="16"/>
                <w:szCs w:val="16"/>
              </w:rPr>
              <w:t>Спосіб</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підтвердження</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справжності</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підпису</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що</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використовується</w:t>
            </w:r>
            <w:proofErr w:type="spellEnd"/>
            <w:r w:rsidRPr="00E16672">
              <w:rPr>
                <w:rFonts w:ascii="Times New Roman" w:hAnsi="Times New Roman"/>
                <w:sz w:val="16"/>
                <w:szCs w:val="16"/>
              </w:rPr>
              <w:t xml:space="preserve"> при </w:t>
            </w:r>
            <w:proofErr w:type="spellStart"/>
            <w:r w:rsidRPr="00E16672">
              <w:rPr>
                <w:rFonts w:ascii="Times New Roman" w:hAnsi="Times New Roman"/>
                <w:sz w:val="16"/>
                <w:szCs w:val="16"/>
              </w:rPr>
              <w:t>обміні</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інформацією</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між</w:t>
            </w:r>
            <w:proofErr w:type="spellEnd"/>
            <w:r w:rsidRPr="00E16672">
              <w:rPr>
                <w:rFonts w:ascii="Times New Roman" w:hAnsi="Times New Roman"/>
                <w:sz w:val="16"/>
                <w:szCs w:val="16"/>
              </w:rPr>
              <w:t xml:space="preserve"> депонентом та Депозитарною </w:t>
            </w:r>
            <w:proofErr w:type="spellStart"/>
            <w:r w:rsidRPr="00E16672">
              <w:rPr>
                <w:rFonts w:ascii="Times New Roman" w:hAnsi="Times New Roman"/>
                <w:sz w:val="16"/>
                <w:szCs w:val="16"/>
              </w:rPr>
              <w:t>установою</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може</w:t>
            </w:r>
            <w:proofErr w:type="spellEnd"/>
            <w:r w:rsidRPr="00E16672">
              <w:rPr>
                <w:rFonts w:ascii="Times New Roman" w:hAnsi="Times New Roman"/>
                <w:sz w:val="16"/>
                <w:szCs w:val="16"/>
              </w:rPr>
              <w:t xml:space="preserve"> бути таким: </w:t>
            </w:r>
          </w:p>
          <w:p w14:paraId="1A0F32A5" w14:textId="77777777" w:rsidR="00427890" w:rsidRPr="00E16672" w:rsidRDefault="00427890" w:rsidP="00746617">
            <w:pPr>
              <w:ind w:left="175" w:right="138" w:firstLine="7"/>
              <w:rPr>
                <w:rFonts w:ascii="Times New Roman" w:hAnsi="Times New Roman"/>
                <w:sz w:val="16"/>
                <w:szCs w:val="16"/>
              </w:rPr>
            </w:pPr>
            <w:r w:rsidRPr="00E16672">
              <w:rPr>
                <w:rFonts w:ascii="Times New Roman" w:hAnsi="Times New Roman"/>
                <w:sz w:val="16"/>
                <w:szCs w:val="16"/>
              </w:rPr>
              <w:t xml:space="preserve">- </w:t>
            </w:r>
            <w:proofErr w:type="spellStart"/>
            <w:r w:rsidRPr="00E16672">
              <w:rPr>
                <w:rFonts w:ascii="Times New Roman" w:hAnsi="Times New Roman"/>
                <w:sz w:val="16"/>
                <w:szCs w:val="16"/>
              </w:rPr>
              <w:t>достовірність</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підпису</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підтверджується</w:t>
            </w:r>
            <w:proofErr w:type="spellEnd"/>
            <w:r w:rsidRPr="00E16672">
              <w:rPr>
                <w:rFonts w:ascii="Times New Roman" w:hAnsi="Times New Roman"/>
                <w:sz w:val="16"/>
                <w:szCs w:val="16"/>
              </w:rPr>
              <w:t xml:space="preserve"> шляхом </w:t>
            </w:r>
            <w:proofErr w:type="spellStart"/>
            <w:r w:rsidRPr="00E16672">
              <w:rPr>
                <w:rFonts w:ascii="Times New Roman" w:hAnsi="Times New Roman"/>
                <w:sz w:val="16"/>
                <w:szCs w:val="16"/>
              </w:rPr>
              <w:t>зіставлення</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підписів</w:t>
            </w:r>
            <w:proofErr w:type="spellEnd"/>
            <w:r w:rsidRPr="00E16672">
              <w:rPr>
                <w:rFonts w:ascii="Times New Roman" w:hAnsi="Times New Roman"/>
                <w:sz w:val="16"/>
                <w:szCs w:val="16"/>
              </w:rPr>
              <w:t xml:space="preserve"> у </w:t>
            </w:r>
            <w:proofErr w:type="spellStart"/>
            <w:r w:rsidRPr="00E16672">
              <w:rPr>
                <w:rFonts w:ascii="Times New Roman" w:hAnsi="Times New Roman"/>
                <w:sz w:val="16"/>
                <w:szCs w:val="16"/>
              </w:rPr>
              <w:t>розпорядженні</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із</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зразками</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підписів</w:t>
            </w:r>
            <w:proofErr w:type="spellEnd"/>
            <w:r w:rsidRPr="00E16672">
              <w:rPr>
                <w:rFonts w:ascii="Times New Roman" w:hAnsi="Times New Roman"/>
                <w:sz w:val="16"/>
                <w:szCs w:val="16"/>
              </w:rPr>
              <w:t xml:space="preserve"> у </w:t>
            </w:r>
            <w:proofErr w:type="spellStart"/>
            <w:r w:rsidRPr="00E16672">
              <w:rPr>
                <w:rFonts w:ascii="Times New Roman" w:hAnsi="Times New Roman"/>
                <w:sz w:val="16"/>
                <w:szCs w:val="16"/>
              </w:rPr>
              <w:t>картці</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із</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зразками</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підписів</w:t>
            </w:r>
            <w:proofErr w:type="spellEnd"/>
            <w:r w:rsidRPr="00E16672">
              <w:rPr>
                <w:rFonts w:ascii="Times New Roman" w:hAnsi="Times New Roman"/>
                <w:sz w:val="16"/>
                <w:szCs w:val="16"/>
              </w:rPr>
              <w:t xml:space="preserve"> та </w:t>
            </w:r>
            <w:proofErr w:type="spellStart"/>
            <w:r w:rsidRPr="00E16672">
              <w:rPr>
                <w:rFonts w:ascii="Times New Roman" w:hAnsi="Times New Roman"/>
                <w:sz w:val="16"/>
                <w:szCs w:val="16"/>
              </w:rPr>
              <w:t>відбитком</w:t>
            </w:r>
            <w:proofErr w:type="spellEnd"/>
            <w:r w:rsidRPr="00E16672">
              <w:rPr>
                <w:rFonts w:ascii="Times New Roman" w:hAnsi="Times New Roman"/>
                <w:sz w:val="16"/>
                <w:szCs w:val="16"/>
              </w:rPr>
              <w:t xml:space="preserve"> печатки</w:t>
            </w:r>
            <w:r w:rsidR="005C2321" w:rsidRPr="00E16672">
              <w:rPr>
                <w:rFonts w:ascii="Times New Roman" w:hAnsi="Times New Roman"/>
                <w:sz w:val="16"/>
                <w:szCs w:val="20"/>
                <w:lang w:val="uk-UA"/>
              </w:rPr>
              <w:t xml:space="preserve"> (у разі її використання</w:t>
            </w:r>
            <w:proofErr w:type="gramStart"/>
            <w:r w:rsidR="005C2321" w:rsidRPr="00E16672">
              <w:rPr>
                <w:rFonts w:ascii="Times New Roman" w:hAnsi="Times New Roman"/>
                <w:sz w:val="16"/>
                <w:szCs w:val="20"/>
                <w:lang w:val="uk-UA"/>
              </w:rPr>
              <w:t>)</w:t>
            </w:r>
            <w:r w:rsidR="005C2321" w:rsidRPr="00E16672">
              <w:rPr>
                <w:rFonts w:ascii="Times New Roman" w:hAnsi="Times New Roman"/>
                <w:szCs w:val="20"/>
                <w:lang w:val="uk-UA"/>
              </w:rPr>
              <w:t xml:space="preserve"> ,</w:t>
            </w:r>
            <w:proofErr w:type="gramEnd"/>
            <w:r w:rsidR="005C2321" w:rsidRPr="00E16672">
              <w:rPr>
                <w:rFonts w:ascii="Times New Roman" w:hAnsi="Times New Roman"/>
                <w:szCs w:val="20"/>
                <w:lang w:val="uk-UA"/>
              </w:rPr>
              <w:t xml:space="preserve"> </w:t>
            </w:r>
            <w:r w:rsidR="005C2321" w:rsidRPr="00E16672">
              <w:rPr>
                <w:rFonts w:ascii="Times New Roman" w:hAnsi="Times New Roman"/>
                <w:sz w:val="16"/>
                <w:szCs w:val="20"/>
                <w:lang w:val="uk-UA"/>
              </w:rPr>
              <w:t>оформленій та засвідченій відповідно до вимог законодавства і внутрішніх документів Депозитарної установи</w:t>
            </w:r>
            <w:r w:rsidRPr="00E16672">
              <w:rPr>
                <w:rFonts w:ascii="Times New Roman" w:hAnsi="Times New Roman"/>
                <w:sz w:val="16"/>
                <w:szCs w:val="16"/>
              </w:rPr>
              <w:t>;</w:t>
            </w:r>
          </w:p>
          <w:p w14:paraId="5416A3B4" w14:textId="77777777" w:rsidR="00427890" w:rsidRPr="00E16672" w:rsidRDefault="00427890" w:rsidP="00746617">
            <w:pPr>
              <w:snapToGrid w:val="0"/>
              <w:ind w:left="175" w:right="138" w:firstLine="7"/>
              <w:rPr>
                <w:rFonts w:ascii="Times New Roman" w:hAnsi="Times New Roman"/>
                <w:sz w:val="16"/>
                <w:szCs w:val="16"/>
                <w:lang w:val="uk-UA"/>
              </w:rPr>
            </w:pPr>
            <w:r w:rsidRPr="00E16672">
              <w:rPr>
                <w:rFonts w:ascii="Times New Roman" w:hAnsi="Times New Roman"/>
                <w:sz w:val="16"/>
                <w:szCs w:val="16"/>
              </w:rPr>
              <w:t xml:space="preserve">- </w:t>
            </w:r>
            <w:r w:rsidR="00A373E3" w:rsidRPr="00E16672">
              <w:rPr>
                <w:rFonts w:ascii="Times New Roman" w:hAnsi="Times New Roman"/>
                <w:sz w:val="16"/>
                <w:szCs w:val="20"/>
                <w:lang w:val="uk-UA"/>
              </w:rPr>
              <w:t xml:space="preserve">кваліфікований </w:t>
            </w:r>
            <w:proofErr w:type="spellStart"/>
            <w:r w:rsidRPr="00E16672">
              <w:rPr>
                <w:rFonts w:ascii="Times New Roman" w:hAnsi="Times New Roman"/>
                <w:sz w:val="16"/>
                <w:szCs w:val="16"/>
              </w:rPr>
              <w:t>електронний</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підпис</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вважається</w:t>
            </w:r>
            <w:proofErr w:type="spellEnd"/>
            <w:r w:rsidRPr="00E16672">
              <w:rPr>
                <w:rFonts w:ascii="Times New Roman" w:hAnsi="Times New Roman"/>
                <w:sz w:val="16"/>
                <w:szCs w:val="16"/>
              </w:rPr>
              <w:t xml:space="preserve"> таким, </w:t>
            </w:r>
            <w:proofErr w:type="spellStart"/>
            <w:r w:rsidRPr="00E16672">
              <w:rPr>
                <w:rFonts w:ascii="Times New Roman" w:hAnsi="Times New Roman"/>
                <w:sz w:val="16"/>
                <w:szCs w:val="16"/>
              </w:rPr>
              <w:t>що</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відповідає</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сертифікату</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відкритого</w:t>
            </w:r>
            <w:proofErr w:type="spellEnd"/>
            <w:r w:rsidRPr="00E16672">
              <w:rPr>
                <w:rFonts w:ascii="Times New Roman" w:hAnsi="Times New Roman"/>
                <w:sz w:val="16"/>
                <w:szCs w:val="16"/>
              </w:rPr>
              <w:t xml:space="preserve"> ключа, </w:t>
            </w:r>
            <w:proofErr w:type="spellStart"/>
            <w:r w:rsidRPr="00E16672">
              <w:rPr>
                <w:rFonts w:ascii="Times New Roman" w:hAnsi="Times New Roman"/>
                <w:sz w:val="16"/>
                <w:szCs w:val="16"/>
              </w:rPr>
              <w:t>якщо</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особистий</w:t>
            </w:r>
            <w:proofErr w:type="spellEnd"/>
            <w:r w:rsidRPr="00E16672">
              <w:rPr>
                <w:rFonts w:ascii="Times New Roman" w:hAnsi="Times New Roman"/>
                <w:sz w:val="16"/>
                <w:szCs w:val="16"/>
              </w:rPr>
              <w:t xml:space="preserve"> ключ </w:t>
            </w:r>
            <w:proofErr w:type="spellStart"/>
            <w:r w:rsidRPr="00E16672">
              <w:rPr>
                <w:rFonts w:ascii="Times New Roman" w:hAnsi="Times New Roman"/>
                <w:sz w:val="16"/>
                <w:szCs w:val="16"/>
              </w:rPr>
              <w:t>підписувача</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розпорядника</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рахунку</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використаний</w:t>
            </w:r>
            <w:proofErr w:type="spellEnd"/>
            <w:r w:rsidRPr="00E16672">
              <w:rPr>
                <w:rFonts w:ascii="Times New Roman" w:hAnsi="Times New Roman"/>
                <w:sz w:val="16"/>
                <w:szCs w:val="16"/>
              </w:rPr>
              <w:t xml:space="preserve"> при </w:t>
            </w:r>
            <w:proofErr w:type="spellStart"/>
            <w:r w:rsidRPr="00E16672">
              <w:rPr>
                <w:rFonts w:ascii="Times New Roman" w:hAnsi="Times New Roman"/>
                <w:sz w:val="16"/>
                <w:szCs w:val="16"/>
              </w:rPr>
              <w:t>формуванні</w:t>
            </w:r>
            <w:proofErr w:type="spellEnd"/>
            <w:r w:rsidRPr="00E16672">
              <w:rPr>
                <w:rFonts w:ascii="Times New Roman" w:hAnsi="Times New Roman"/>
                <w:sz w:val="16"/>
                <w:szCs w:val="16"/>
              </w:rPr>
              <w:t xml:space="preserve"> </w:t>
            </w:r>
            <w:r w:rsidR="00B6712D" w:rsidRPr="00E16672">
              <w:rPr>
                <w:rFonts w:ascii="Times New Roman" w:hAnsi="Times New Roman"/>
                <w:sz w:val="16"/>
                <w:szCs w:val="20"/>
                <w:lang w:val="uk-UA"/>
              </w:rPr>
              <w:t xml:space="preserve">кваліфікований </w:t>
            </w:r>
            <w:proofErr w:type="spellStart"/>
            <w:r w:rsidRPr="00E16672">
              <w:rPr>
                <w:rFonts w:ascii="Times New Roman" w:hAnsi="Times New Roman"/>
                <w:sz w:val="16"/>
                <w:szCs w:val="16"/>
              </w:rPr>
              <w:t>електронного</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підпису</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відповідає</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відкритому</w:t>
            </w:r>
            <w:proofErr w:type="spellEnd"/>
            <w:r w:rsidRPr="00E16672">
              <w:rPr>
                <w:rFonts w:ascii="Times New Roman" w:hAnsi="Times New Roman"/>
                <w:sz w:val="16"/>
                <w:szCs w:val="16"/>
              </w:rPr>
              <w:t xml:space="preserve"> ключу, </w:t>
            </w:r>
            <w:proofErr w:type="spellStart"/>
            <w:r w:rsidRPr="00E16672">
              <w:rPr>
                <w:rFonts w:ascii="Times New Roman" w:hAnsi="Times New Roman"/>
                <w:sz w:val="16"/>
                <w:szCs w:val="16"/>
              </w:rPr>
              <w:t>зазначеному</w:t>
            </w:r>
            <w:proofErr w:type="spellEnd"/>
            <w:r w:rsidRPr="00E16672">
              <w:rPr>
                <w:rFonts w:ascii="Times New Roman" w:hAnsi="Times New Roman"/>
                <w:sz w:val="16"/>
                <w:szCs w:val="16"/>
              </w:rPr>
              <w:t xml:space="preserve"> у </w:t>
            </w:r>
            <w:proofErr w:type="spellStart"/>
            <w:r w:rsidRPr="00E16672">
              <w:rPr>
                <w:rFonts w:ascii="Times New Roman" w:hAnsi="Times New Roman"/>
                <w:sz w:val="16"/>
                <w:szCs w:val="16"/>
              </w:rPr>
              <w:t>сертифікаті</w:t>
            </w:r>
            <w:proofErr w:type="spellEnd"/>
            <w:r w:rsidRPr="00E16672">
              <w:rPr>
                <w:rFonts w:ascii="Times New Roman" w:hAnsi="Times New Roman"/>
                <w:sz w:val="16"/>
                <w:szCs w:val="16"/>
                <w:lang w:val="uk-UA"/>
              </w:rPr>
              <w:t>.</w:t>
            </w:r>
          </w:p>
          <w:p w14:paraId="03932056" w14:textId="77777777" w:rsidR="00CF0FBF" w:rsidRPr="00E16672" w:rsidRDefault="00CF0FBF" w:rsidP="00746617">
            <w:pPr>
              <w:snapToGrid w:val="0"/>
              <w:ind w:left="175" w:right="138" w:firstLine="7"/>
              <w:rPr>
                <w:rFonts w:ascii="Times New Roman" w:hAnsi="Times New Roman"/>
                <w:sz w:val="16"/>
                <w:szCs w:val="16"/>
              </w:rPr>
            </w:pPr>
          </w:p>
        </w:tc>
        <w:tc>
          <w:tcPr>
            <w:tcW w:w="5494" w:type="dxa"/>
            <w:gridSpan w:val="7"/>
            <w:shd w:val="clear" w:color="auto" w:fill="auto"/>
          </w:tcPr>
          <w:p w14:paraId="3E4C44F4" w14:textId="77777777" w:rsidR="00427890" w:rsidRPr="00E16672" w:rsidRDefault="00427890" w:rsidP="00746617">
            <w:pPr>
              <w:pStyle w:val="210"/>
              <w:tabs>
                <w:tab w:val="left" w:pos="287"/>
                <w:tab w:val="left" w:pos="1191"/>
              </w:tabs>
              <w:snapToGrid w:val="0"/>
              <w:ind w:left="175" w:right="100" w:firstLine="7"/>
              <w:rPr>
                <w:rFonts w:ascii="Times New Roman" w:hAnsi="Times New Roman"/>
                <w:sz w:val="16"/>
                <w:szCs w:val="16"/>
                <w:lang w:val="en-GB"/>
              </w:rPr>
            </w:pPr>
            <w:r w:rsidRPr="00E16672">
              <w:rPr>
                <w:rFonts w:ascii="Times New Roman" w:hAnsi="Times New Roman"/>
                <w:sz w:val="16"/>
                <w:szCs w:val="16"/>
                <w:lang w:val="en-GB"/>
              </w:rPr>
              <w:t xml:space="preserve">3.5. The Depository institution accepts to </w:t>
            </w:r>
            <w:r w:rsidR="00FD491E" w:rsidRPr="00E16672">
              <w:rPr>
                <w:rFonts w:ascii="Times New Roman" w:hAnsi="Times New Roman"/>
                <w:sz w:val="16"/>
                <w:szCs w:val="16"/>
                <w:lang w:val="en-GB"/>
              </w:rPr>
              <w:t>fulfilment</w:t>
            </w:r>
            <w:r w:rsidRPr="00E16672">
              <w:rPr>
                <w:rFonts w:ascii="Times New Roman" w:hAnsi="Times New Roman"/>
                <w:sz w:val="16"/>
                <w:szCs w:val="16"/>
                <w:lang w:val="en-GB"/>
              </w:rPr>
              <w:t xml:space="preserve"> only those of the orders that confirmed by the signature of the administrator or manager of the account in securities (authorized representative person).</w:t>
            </w:r>
          </w:p>
          <w:p w14:paraId="0EFE29F2" w14:textId="77777777" w:rsidR="00427890" w:rsidRPr="00E16672" w:rsidRDefault="00427890" w:rsidP="00746617">
            <w:pPr>
              <w:pStyle w:val="210"/>
              <w:tabs>
                <w:tab w:val="left" w:pos="287"/>
                <w:tab w:val="left" w:pos="1191"/>
              </w:tabs>
              <w:snapToGrid w:val="0"/>
              <w:ind w:left="175" w:right="100" w:firstLine="7"/>
              <w:rPr>
                <w:rFonts w:ascii="Times New Roman" w:hAnsi="Times New Roman"/>
                <w:sz w:val="16"/>
                <w:szCs w:val="16"/>
                <w:lang w:val="en-GB"/>
              </w:rPr>
            </w:pPr>
            <w:r w:rsidRPr="00E16672">
              <w:rPr>
                <w:rFonts w:ascii="Times New Roman" w:hAnsi="Times New Roman"/>
                <w:sz w:val="16"/>
                <w:szCs w:val="16"/>
                <w:lang w:val="en-GB"/>
              </w:rPr>
              <w:t>Depository institution verifies the authenticity.</w:t>
            </w:r>
          </w:p>
          <w:p w14:paraId="479BF292" w14:textId="77777777" w:rsidR="005C2321" w:rsidRPr="00E16672" w:rsidRDefault="00427890" w:rsidP="00746617">
            <w:pPr>
              <w:tabs>
                <w:tab w:val="left" w:pos="287"/>
              </w:tabs>
              <w:ind w:left="175" w:right="100" w:firstLine="7"/>
              <w:rPr>
                <w:rFonts w:ascii="Times New Roman" w:hAnsi="Times New Roman"/>
                <w:sz w:val="16"/>
                <w:szCs w:val="16"/>
                <w:lang w:val="en-GB"/>
              </w:rPr>
            </w:pPr>
            <w:r w:rsidRPr="00E16672">
              <w:rPr>
                <w:rFonts w:ascii="Times New Roman" w:hAnsi="Times New Roman"/>
                <w:sz w:val="16"/>
                <w:szCs w:val="16"/>
                <w:lang w:val="en-GB"/>
              </w:rPr>
              <w:t xml:space="preserve"> Method of verification of a signature, which is used for exchanging information between the Depositor and the Depository institution may be:</w:t>
            </w:r>
          </w:p>
          <w:p w14:paraId="44B593B8" w14:textId="77777777" w:rsidR="000F7775" w:rsidRPr="00E16672" w:rsidRDefault="00427890" w:rsidP="00746617">
            <w:pPr>
              <w:tabs>
                <w:tab w:val="left" w:pos="287"/>
              </w:tabs>
              <w:ind w:left="175" w:right="100" w:firstLine="7"/>
              <w:rPr>
                <w:rFonts w:ascii="Times New Roman" w:hAnsi="Times New Roman"/>
                <w:sz w:val="16"/>
                <w:szCs w:val="16"/>
                <w:lang w:val="en-GB"/>
              </w:rPr>
            </w:pPr>
            <w:r w:rsidRPr="00E16672">
              <w:rPr>
                <w:rFonts w:ascii="Times New Roman" w:hAnsi="Times New Roman"/>
                <w:sz w:val="16"/>
                <w:szCs w:val="16"/>
                <w:lang w:val="en-GB"/>
              </w:rPr>
              <w:br/>
              <w:t>- the authenticity of a signature is confirmed by comparing the signatures in orders with the signature on the card with the signature and seal</w:t>
            </w:r>
            <w:r w:rsidR="005C2321" w:rsidRPr="00E16672">
              <w:rPr>
                <w:rFonts w:ascii="Times New Roman" w:hAnsi="Times New Roman"/>
                <w:sz w:val="16"/>
                <w:szCs w:val="16"/>
                <w:lang w:val="en-US"/>
              </w:rPr>
              <w:t xml:space="preserve"> (</w:t>
            </w:r>
            <w:r w:rsidR="005C2321" w:rsidRPr="00E16672">
              <w:rPr>
                <w:rFonts w:ascii="Times New Roman" w:hAnsi="Times New Roman"/>
                <w:color w:val="000000"/>
                <w:sz w:val="16"/>
                <w:szCs w:val="16"/>
                <w:lang w:val="en-US"/>
              </w:rPr>
              <w:t>in case of use</w:t>
            </w:r>
            <w:r w:rsidR="005C2321" w:rsidRPr="00E16672">
              <w:rPr>
                <w:rFonts w:ascii="Times New Roman" w:hAnsi="Times New Roman"/>
                <w:sz w:val="16"/>
                <w:szCs w:val="16"/>
                <w:lang w:val="en-US"/>
              </w:rPr>
              <w:t>)</w:t>
            </w:r>
            <w:r w:rsidR="00D66BDD" w:rsidRPr="00E16672">
              <w:rPr>
                <w:rFonts w:ascii="Times New Roman" w:hAnsi="Times New Roman"/>
                <w:sz w:val="16"/>
                <w:szCs w:val="16"/>
                <w:lang w:val="en-US"/>
              </w:rPr>
              <w:t xml:space="preserve">, </w:t>
            </w:r>
            <w:r w:rsidR="00D66BDD" w:rsidRPr="00F23413">
              <w:rPr>
                <w:rFonts w:ascii="Times New Roman" w:hAnsi="Times New Roman"/>
                <w:sz w:val="16"/>
                <w:szCs w:val="16"/>
                <w:lang w:val="en-US"/>
              </w:rPr>
              <w:t>issued and certified in accordance with the requirements of the legislation and internal documents of the Depository</w:t>
            </w:r>
            <w:r w:rsidR="00D66BDD" w:rsidRPr="00E16672">
              <w:rPr>
                <w:rFonts w:ascii="Times New Roman" w:hAnsi="Times New Roman"/>
                <w:sz w:val="16"/>
                <w:szCs w:val="16"/>
                <w:lang w:val="en-US"/>
              </w:rPr>
              <w:t xml:space="preserve"> institution</w:t>
            </w:r>
            <w:r w:rsidRPr="00E16672">
              <w:rPr>
                <w:rFonts w:ascii="Times New Roman" w:hAnsi="Times New Roman"/>
                <w:sz w:val="16"/>
                <w:szCs w:val="16"/>
                <w:lang w:val="en-GB"/>
              </w:rPr>
              <w:t>;</w:t>
            </w:r>
          </w:p>
          <w:p w14:paraId="04F0DB08" w14:textId="77777777" w:rsidR="00EA74CB" w:rsidRPr="00E16672" w:rsidRDefault="00EA74CB" w:rsidP="00746617">
            <w:pPr>
              <w:tabs>
                <w:tab w:val="left" w:pos="287"/>
              </w:tabs>
              <w:ind w:left="175" w:right="100" w:firstLine="7"/>
              <w:rPr>
                <w:rFonts w:ascii="Times New Roman" w:hAnsi="Times New Roman"/>
                <w:sz w:val="16"/>
                <w:szCs w:val="16"/>
                <w:lang w:val="en-GB"/>
              </w:rPr>
            </w:pPr>
          </w:p>
          <w:p w14:paraId="270F6593" w14:textId="77777777" w:rsidR="00427890" w:rsidRPr="00E16672" w:rsidRDefault="00427890" w:rsidP="00746617">
            <w:pPr>
              <w:tabs>
                <w:tab w:val="left" w:pos="287"/>
              </w:tabs>
              <w:ind w:left="175" w:right="100" w:firstLine="7"/>
              <w:rPr>
                <w:rFonts w:ascii="Times New Roman" w:hAnsi="Times New Roman"/>
                <w:sz w:val="16"/>
                <w:szCs w:val="16"/>
                <w:lang w:val="en-US"/>
              </w:rPr>
            </w:pPr>
            <w:r w:rsidRPr="00E16672">
              <w:rPr>
                <w:rFonts w:ascii="Times New Roman" w:hAnsi="Times New Roman"/>
                <w:sz w:val="16"/>
                <w:szCs w:val="16"/>
                <w:lang w:val="en-GB"/>
              </w:rPr>
              <w:t xml:space="preserve">- </w:t>
            </w:r>
            <w:r w:rsidR="00B6712D" w:rsidRPr="00F23413">
              <w:rPr>
                <w:rStyle w:val="shorttext"/>
                <w:rFonts w:ascii="Times New Roman" w:hAnsi="Times New Roman"/>
                <w:sz w:val="16"/>
                <w:szCs w:val="16"/>
                <w:lang w:val="en-US"/>
              </w:rPr>
              <w:t>qualified</w:t>
            </w:r>
            <w:r w:rsidR="00B6712D" w:rsidRPr="00E16672">
              <w:rPr>
                <w:rFonts w:ascii="Times New Roman" w:hAnsi="Times New Roman"/>
                <w:color w:val="000000"/>
                <w:sz w:val="16"/>
                <w:szCs w:val="16"/>
                <w:lang w:val="en-US"/>
              </w:rPr>
              <w:t xml:space="preserve"> </w:t>
            </w:r>
            <w:r w:rsidRPr="00E16672">
              <w:rPr>
                <w:rFonts w:ascii="Times New Roman" w:hAnsi="Times New Roman"/>
                <w:sz w:val="16"/>
                <w:szCs w:val="16"/>
                <w:lang w:val="en-GB"/>
              </w:rPr>
              <w:t xml:space="preserve">electronic signature is considered to comply with the certificate's public key, if private key of the signer (manager of the account) used in the formation of the </w:t>
            </w:r>
            <w:r w:rsidR="00B6712D" w:rsidRPr="00F23413">
              <w:rPr>
                <w:rStyle w:val="shorttext"/>
                <w:rFonts w:ascii="Times New Roman" w:hAnsi="Times New Roman"/>
                <w:sz w:val="16"/>
                <w:szCs w:val="16"/>
                <w:lang w:val="en-US"/>
              </w:rPr>
              <w:t>qualified</w:t>
            </w:r>
            <w:r w:rsidR="00B6712D" w:rsidRPr="00E16672">
              <w:rPr>
                <w:rFonts w:ascii="Times New Roman" w:hAnsi="Times New Roman"/>
                <w:color w:val="000000"/>
                <w:sz w:val="16"/>
                <w:szCs w:val="16"/>
                <w:lang w:val="en-US"/>
              </w:rPr>
              <w:t xml:space="preserve"> </w:t>
            </w:r>
            <w:r w:rsidR="00B6712D" w:rsidRPr="00E16672">
              <w:rPr>
                <w:rFonts w:ascii="Times New Roman" w:hAnsi="Times New Roman"/>
                <w:sz w:val="16"/>
                <w:szCs w:val="16"/>
                <w:lang w:val="en-GB"/>
              </w:rPr>
              <w:t xml:space="preserve">electronic </w:t>
            </w:r>
            <w:r w:rsidRPr="00E16672">
              <w:rPr>
                <w:rFonts w:ascii="Times New Roman" w:hAnsi="Times New Roman"/>
                <w:sz w:val="16"/>
                <w:szCs w:val="16"/>
                <w:lang w:val="en-GB"/>
              </w:rPr>
              <w:t>signature matches the public key specified in the certificate</w:t>
            </w:r>
            <w:r w:rsidRPr="00E16672">
              <w:rPr>
                <w:rFonts w:ascii="Times New Roman" w:hAnsi="Times New Roman"/>
                <w:sz w:val="16"/>
                <w:szCs w:val="16"/>
                <w:lang w:val="uk-UA"/>
              </w:rPr>
              <w:t>.</w:t>
            </w:r>
            <w:r w:rsidRPr="00E16672">
              <w:rPr>
                <w:rFonts w:ascii="Times New Roman" w:hAnsi="Times New Roman"/>
                <w:sz w:val="16"/>
                <w:szCs w:val="16"/>
                <w:lang w:val="en-GB"/>
              </w:rPr>
              <w:t xml:space="preserve">  </w:t>
            </w:r>
          </w:p>
        </w:tc>
      </w:tr>
      <w:tr w:rsidR="00933C25" w:rsidRPr="00F23413" w14:paraId="2D84BE3A" w14:textId="77777777" w:rsidTr="00D77858">
        <w:tblPrEx>
          <w:tblCellMar>
            <w:left w:w="0" w:type="dxa"/>
            <w:right w:w="0" w:type="dxa"/>
          </w:tblCellMar>
        </w:tblPrEx>
        <w:trPr>
          <w:trHeight w:val="1163"/>
        </w:trPr>
        <w:tc>
          <w:tcPr>
            <w:tcW w:w="5696" w:type="dxa"/>
            <w:gridSpan w:val="6"/>
            <w:shd w:val="clear" w:color="auto" w:fill="auto"/>
          </w:tcPr>
          <w:p w14:paraId="04B5C9E5" w14:textId="77777777" w:rsidR="00933C25" w:rsidRPr="00E16672" w:rsidRDefault="00933C25" w:rsidP="00746617">
            <w:pPr>
              <w:snapToGrid w:val="0"/>
              <w:ind w:left="175" w:right="138" w:firstLine="7"/>
              <w:rPr>
                <w:rFonts w:ascii="Times New Roman" w:hAnsi="Times New Roman"/>
                <w:sz w:val="16"/>
                <w:szCs w:val="16"/>
              </w:rPr>
            </w:pPr>
            <w:r w:rsidRPr="00E16672">
              <w:rPr>
                <w:rFonts w:ascii="Times New Roman" w:hAnsi="Times New Roman"/>
                <w:sz w:val="16"/>
                <w:szCs w:val="16"/>
              </w:rPr>
              <w:lastRenderedPageBreak/>
              <w:t xml:space="preserve">3.6. </w:t>
            </w:r>
            <w:proofErr w:type="spellStart"/>
            <w:r w:rsidRPr="00E16672">
              <w:rPr>
                <w:rFonts w:ascii="Times New Roman" w:hAnsi="Times New Roman"/>
                <w:sz w:val="16"/>
                <w:szCs w:val="16"/>
              </w:rPr>
              <w:t>Розпорядження</w:t>
            </w:r>
            <w:proofErr w:type="spellEnd"/>
            <w:r w:rsidRPr="00E16672">
              <w:rPr>
                <w:rFonts w:ascii="Times New Roman" w:hAnsi="Times New Roman"/>
                <w:sz w:val="16"/>
                <w:szCs w:val="16"/>
              </w:rPr>
              <w:t xml:space="preserve"> у </w:t>
            </w:r>
            <w:proofErr w:type="spellStart"/>
            <w:r w:rsidRPr="00E16672">
              <w:rPr>
                <w:rFonts w:ascii="Times New Roman" w:hAnsi="Times New Roman"/>
                <w:sz w:val="16"/>
                <w:szCs w:val="16"/>
              </w:rPr>
              <w:t>вигляді</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паперового</w:t>
            </w:r>
            <w:proofErr w:type="spellEnd"/>
            <w:r w:rsidRPr="00E16672">
              <w:rPr>
                <w:rFonts w:ascii="Times New Roman" w:hAnsi="Times New Roman"/>
                <w:sz w:val="16"/>
                <w:szCs w:val="16"/>
              </w:rPr>
              <w:t xml:space="preserve"> документа </w:t>
            </w:r>
            <w:proofErr w:type="spellStart"/>
            <w:r w:rsidRPr="00E16672">
              <w:rPr>
                <w:rFonts w:ascii="Times New Roman" w:hAnsi="Times New Roman"/>
                <w:sz w:val="16"/>
                <w:szCs w:val="16"/>
              </w:rPr>
              <w:t>повинні</w:t>
            </w:r>
            <w:proofErr w:type="spellEnd"/>
            <w:r w:rsidRPr="00E16672">
              <w:rPr>
                <w:rFonts w:ascii="Times New Roman" w:hAnsi="Times New Roman"/>
                <w:sz w:val="16"/>
                <w:szCs w:val="16"/>
              </w:rPr>
              <w:t xml:space="preserve"> бути </w:t>
            </w:r>
            <w:proofErr w:type="spellStart"/>
            <w:r w:rsidRPr="00E16672">
              <w:rPr>
                <w:rFonts w:ascii="Times New Roman" w:hAnsi="Times New Roman"/>
                <w:sz w:val="16"/>
                <w:szCs w:val="16"/>
              </w:rPr>
              <w:t>надані</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Депозитарній</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установі</w:t>
            </w:r>
            <w:proofErr w:type="spellEnd"/>
            <w:r w:rsidRPr="00E16672">
              <w:rPr>
                <w:rFonts w:ascii="Times New Roman" w:hAnsi="Times New Roman"/>
                <w:sz w:val="16"/>
                <w:szCs w:val="16"/>
              </w:rPr>
              <w:t xml:space="preserve"> без </w:t>
            </w:r>
            <w:proofErr w:type="spellStart"/>
            <w:r w:rsidRPr="00E16672">
              <w:rPr>
                <w:rFonts w:ascii="Times New Roman" w:hAnsi="Times New Roman"/>
                <w:sz w:val="16"/>
                <w:szCs w:val="16"/>
              </w:rPr>
              <w:t>перекручування</w:t>
            </w:r>
            <w:proofErr w:type="spellEnd"/>
            <w:r w:rsidRPr="00E16672">
              <w:rPr>
                <w:rFonts w:ascii="Times New Roman" w:hAnsi="Times New Roman"/>
                <w:sz w:val="16"/>
                <w:szCs w:val="16"/>
              </w:rPr>
              <w:t xml:space="preserve"> та </w:t>
            </w:r>
            <w:proofErr w:type="spellStart"/>
            <w:r w:rsidRPr="00E16672">
              <w:rPr>
                <w:rFonts w:ascii="Times New Roman" w:hAnsi="Times New Roman"/>
                <w:sz w:val="16"/>
                <w:szCs w:val="16"/>
              </w:rPr>
              <w:t>виправлення</w:t>
            </w:r>
            <w:proofErr w:type="spellEnd"/>
            <w:r w:rsidRPr="00E16672">
              <w:rPr>
                <w:rFonts w:ascii="Times New Roman" w:hAnsi="Times New Roman"/>
                <w:sz w:val="16"/>
                <w:szCs w:val="16"/>
              </w:rPr>
              <w:t xml:space="preserve"> тексту, з </w:t>
            </w:r>
            <w:proofErr w:type="spellStart"/>
            <w:r w:rsidRPr="00E16672">
              <w:rPr>
                <w:rFonts w:ascii="Times New Roman" w:hAnsi="Times New Roman"/>
                <w:sz w:val="16"/>
                <w:szCs w:val="16"/>
              </w:rPr>
              <w:t>чітким</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відбитком</w:t>
            </w:r>
            <w:proofErr w:type="spellEnd"/>
            <w:r w:rsidRPr="00E16672">
              <w:rPr>
                <w:rFonts w:ascii="Times New Roman" w:hAnsi="Times New Roman"/>
                <w:sz w:val="16"/>
                <w:szCs w:val="16"/>
              </w:rPr>
              <w:t xml:space="preserve"> печатки (у </w:t>
            </w:r>
            <w:proofErr w:type="spellStart"/>
            <w:r w:rsidRPr="00E16672">
              <w:rPr>
                <w:rFonts w:ascii="Times New Roman" w:hAnsi="Times New Roman"/>
                <w:sz w:val="16"/>
                <w:szCs w:val="16"/>
              </w:rPr>
              <w:t>разі</w:t>
            </w:r>
            <w:proofErr w:type="spellEnd"/>
            <w:r w:rsidRPr="00E16672">
              <w:rPr>
                <w:rFonts w:ascii="Times New Roman" w:hAnsi="Times New Roman"/>
                <w:sz w:val="16"/>
                <w:szCs w:val="16"/>
              </w:rPr>
              <w:t xml:space="preserve"> </w:t>
            </w:r>
            <w:proofErr w:type="spellStart"/>
            <w:r w:rsidR="00CF0FBF" w:rsidRPr="00E16672">
              <w:rPr>
                <w:rFonts w:ascii="Times New Roman" w:hAnsi="Times New Roman"/>
                <w:sz w:val="16"/>
                <w:szCs w:val="16"/>
              </w:rPr>
              <w:t>використання</w:t>
            </w:r>
            <w:proofErr w:type="spellEnd"/>
            <w:r w:rsidRPr="00E16672">
              <w:rPr>
                <w:rFonts w:ascii="Times New Roman" w:hAnsi="Times New Roman"/>
                <w:sz w:val="16"/>
                <w:szCs w:val="16"/>
              </w:rPr>
              <w:t xml:space="preserve">) за </w:t>
            </w:r>
            <w:proofErr w:type="spellStart"/>
            <w:r w:rsidRPr="00E16672">
              <w:rPr>
                <w:rFonts w:ascii="Times New Roman" w:hAnsi="Times New Roman"/>
                <w:sz w:val="16"/>
                <w:szCs w:val="16"/>
              </w:rPr>
              <w:t>підписом</w:t>
            </w:r>
            <w:proofErr w:type="spellEnd"/>
            <w:r w:rsidRPr="00E16672">
              <w:rPr>
                <w:rFonts w:ascii="Times New Roman" w:hAnsi="Times New Roman"/>
                <w:sz w:val="16"/>
                <w:szCs w:val="16"/>
              </w:rPr>
              <w:t xml:space="preserve"> Депонента, </w:t>
            </w:r>
            <w:proofErr w:type="spellStart"/>
            <w:r w:rsidRPr="00E16672">
              <w:rPr>
                <w:rFonts w:ascii="Times New Roman" w:hAnsi="Times New Roman"/>
                <w:sz w:val="16"/>
                <w:szCs w:val="16"/>
              </w:rPr>
              <w:t>або</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керуючого</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чи</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розпорядника</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його</w:t>
            </w:r>
            <w:proofErr w:type="spellEnd"/>
            <w:r w:rsidRPr="00E16672">
              <w:rPr>
                <w:rFonts w:ascii="Times New Roman" w:hAnsi="Times New Roman"/>
                <w:sz w:val="16"/>
                <w:szCs w:val="16"/>
              </w:rPr>
              <w:t xml:space="preserve"> </w:t>
            </w:r>
            <w:proofErr w:type="spellStart"/>
            <w:r w:rsidR="00CF0FBF" w:rsidRPr="00E16672">
              <w:rPr>
                <w:rFonts w:ascii="Times New Roman" w:hAnsi="Times New Roman"/>
                <w:sz w:val="16"/>
                <w:szCs w:val="16"/>
              </w:rPr>
              <w:t>рахунку</w:t>
            </w:r>
            <w:proofErr w:type="spellEnd"/>
            <w:r w:rsidR="00CF0FBF" w:rsidRPr="00E16672">
              <w:rPr>
                <w:rFonts w:ascii="Times New Roman" w:hAnsi="Times New Roman"/>
                <w:sz w:val="16"/>
                <w:szCs w:val="16"/>
              </w:rPr>
              <w:t xml:space="preserve"> </w:t>
            </w:r>
            <w:r w:rsidRPr="00E16672">
              <w:rPr>
                <w:rFonts w:ascii="Times New Roman" w:hAnsi="Times New Roman"/>
                <w:sz w:val="16"/>
                <w:szCs w:val="16"/>
              </w:rPr>
              <w:t>(</w:t>
            </w:r>
            <w:proofErr w:type="spellStart"/>
            <w:r w:rsidRPr="00E16672">
              <w:rPr>
                <w:rFonts w:ascii="Times New Roman" w:hAnsi="Times New Roman"/>
                <w:sz w:val="16"/>
                <w:szCs w:val="16"/>
              </w:rPr>
              <w:t>уповноваженого</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представника</w:t>
            </w:r>
            <w:proofErr w:type="spellEnd"/>
            <w:r w:rsidRPr="00E16672">
              <w:rPr>
                <w:rFonts w:ascii="Times New Roman" w:hAnsi="Times New Roman"/>
                <w:sz w:val="16"/>
                <w:szCs w:val="16"/>
              </w:rPr>
              <w:t>).</w:t>
            </w:r>
          </w:p>
          <w:p w14:paraId="4D0EFBBB" w14:textId="77777777" w:rsidR="00933C25" w:rsidRPr="00E16672" w:rsidRDefault="00933C25" w:rsidP="00746617">
            <w:pPr>
              <w:snapToGrid w:val="0"/>
              <w:ind w:left="175" w:right="138" w:firstLine="7"/>
              <w:rPr>
                <w:rFonts w:ascii="Times New Roman" w:hAnsi="Times New Roman"/>
                <w:sz w:val="16"/>
                <w:szCs w:val="16"/>
              </w:rPr>
            </w:pPr>
          </w:p>
        </w:tc>
        <w:tc>
          <w:tcPr>
            <w:tcW w:w="5494" w:type="dxa"/>
            <w:gridSpan w:val="7"/>
            <w:shd w:val="clear" w:color="auto" w:fill="auto"/>
          </w:tcPr>
          <w:p w14:paraId="52DC0ED9" w14:textId="77777777" w:rsidR="00933C25" w:rsidRPr="00E16672" w:rsidRDefault="00933C25" w:rsidP="00746617">
            <w:pPr>
              <w:pStyle w:val="210"/>
              <w:tabs>
                <w:tab w:val="left" w:pos="287"/>
                <w:tab w:val="left" w:pos="1191"/>
              </w:tabs>
              <w:snapToGrid w:val="0"/>
              <w:ind w:left="175" w:right="100" w:firstLine="7"/>
              <w:rPr>
                <w:rFonts w:ascii="Times New Roman" w:hAnsi="Times New Roman"/>
                <w:sz w:val="16"/>
                <w:szCs w:val="16"/>
                <w:lang w:val="en-GB"/>
              </w:rPr>
            </w:pPr>
            <w:r w:rsidRPr="00E16672">
              <w:rPr>
                <w:rFonts w:ascii="Times New Roman" w:hAnsi="Times New Roman"/>
                <w:sz w:val="16"/>
                <w:szCs w:val="16"/>
                <w:lang w:val="en-GB"/>
              </w:rPr>
              <w:t xml:space="preserve">3.6. The orders in the form of a paper document must be given to Depository </w:t>
            </w:r>
            <w:proofErr w:type="gramStart"/>
            <w:r w:rsidRPr="00E16672">
              <w:rPr>
                <w:rFonts w:ascii="Times New Roman" w:hAnsi="Times New Roman"/>
                <w:sz w:val="16"/>
                <w:szCs w:val="16"/>
                <w:lang w:val="en-GB"/>
              </w:rPr>
              <w:t>institution  without</w:t>
            </w:r>
            <w:proofErr w:type="gramEnd"/>
            <w:r w:rsidRPr="00E16672">
              <w:rPr>
                <w:rFonts w:ascii="Times New Roman" w:hAnsi="Times New Roman"/>
                <w:sz w:val="16"/>
                <w:szCs w:val="16"/>
                <w:lang w:val="en-GB"/>
              </w:rPr>
              <w:t xml:space="preserve"> twisting and correction of the text with the clear imprint of seal (</w:t>
            </w:r>
            <w:r w:rsidR="00CF0FBF" w:rsidRPr="00E16672">
              <w:rPr>
                <w:rFonts w:ascii="Times New Roman" w:hAnsi="Times New Roman"/>
                <w:color w:val="000000"/>
                <w:sz w:val="16"/>
                <w:szCs w:val="16"/>
                <w:lang w:val="en-US"/>
              </w:rPr>
              <w:t>in case of use</w:t>
            </w:r>
            <w:r w:rsidRPr="00E16672">
              <w:rPr>
                <w:rFonts w:ascii="Times New Roman" w:hAnsi="Times New Roman"/>
                <w:sz w:val="16"/>
                <w:szCs w:val="16"/>
                <w:lang w:val="en-GB"/>
              </w:rPr>
              <w:t xml:space="preserve">) over the signature of Depositor, or </w:t>
            </w:r>
            <w:r w:rsidR="00001E78" w:rsidRPr="00E16672">
              <w:rPr>
                <w:rFonts w:ascii="Times New Roman" w:hAnsi="Times New Roman"/>
                <w:sz w:val="16"/>
                <w:szCs w:val="16"/>
                <w:lang w:val="en-GB"/>
              </w:rPr>
              <w:t xml:space="preserve">administrator or manager </w:t>
            </w:r>
            <w:r w:rsidRPr="00E16672">
              <w:rPr>
                <w:rFonts w:ascii="Times New Roman" w:hAnsi="Times New Roman"/>
                <w:sz w:val="16"/>
                <w:szCs w:val="16"/>
                <w:lang w:val="en-GB"/>
              </w:rPr>
              <w:t>of his account (authorized representative person.</w:t>
            </w:r>
          </w:p>
          <w:p w14:paraId="5F327378" w14:textId="77777777" w:rsidR="00933C25" w:rsidRPr="00E16672" w:rsidRDefault="00933C25" w:rsidP="00746617">
            <w:pPr>
              <w:tabs>
                <w:tab w:val="left" w:pos="287"/>
              </w:tabs>
              <w:ind w:left="175" w:right="100" w:firstLine="7"/>
              <w:rPr>
                <w:rFonts w:ascii="Times New Roman" w:hAnsi="Times New Roman"/>
                <w:b/>
                <w:bCs/>
                <w:sz w:val="16"/>
                <w:szCs w:val="16"/>
                <w:lang w:val="en-GB"/>
              </w:rPr>
            </w:pPr>
          </w:p>
        </w:tc>
      </w:tr>
      <w:tr w:rsidR="00933C25" w:rsidRPr="00F23413" w14:paraId="46E94D37" w14:textId="77777777" w:rsidTr="00D77858">
        <w:tblPrEx>
          <w:tblCellMar>
            <w:left w:w="0" w:type="dxa"/>
            <w:right w:w="0" w:type="dxa"/>
          </w:tblCellMar>
        </w:tblPrEx>
        <w:trPr>
          <w:trHeight w:val="677"/>
        </w:trPr>
        <w:tc>
          <w:tcPr>
            <w:tcW w:w="5696" w:type="dxa"/>
            <w:gridSpan w:val="6"/>
            <w:shd w:val="clear" w:color="auto" w:fill="auto"/>
          </w:tcPr>
          <w:p w14:paraId="588285AB" w14:textId="77777777" w:rsidR="00933C25" w:rsidRPr="00E16672" w:rsidRDefault="00933C25" w:rsidP="00746617">
            <w:pPr>
              <w:snapToGrid w:val="0"/>
              <w:ind w:left="175" w:right="138" w:firstLine="7"/>
              <w:rPr>
                <w:rFonts w:ascii="Times New Roman" w:hAnsi="Times New Roman"/>
                <w:sz w:val="16"/>
                <w:szCs w:val="16"/>
              </w:rPr>
            </w:pPr>
            <w:r w:rsidRPr="00E16672">
              <w:rPr>
                <w:rFonts w:ascii="Times New Roman" w:hAnsi="Times New Roman"/>
                <w:sz w:val="16"/>
                <w:szCs w:val="16"/>
              </w:rPr>
              <w:t xml:space="preserve">3.7. </w:t>
            </w:r>
            <w:proofErr w:type="spellStart"/>
            <w:r w:rsidRPr="00E16672">
              <w:rPr>
                <w:rFonts w:ascii="Times New Roman" w:hAnsi="Times New Roman"/>
                <w:sz w:val="16"/>
                <w:szCs w:val="16"/>
              </w:rPr>
              <w:t>Розпорядження</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Депонентів</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повинні</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повністю</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розкривати</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зміст</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виконання</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операцій</w:t>
            </w:r>
            <w:proofErr w:type="spellEnd"/>
            <w:r w:rsidRPr="00E16672">
              <w:rPr>
                <w:rFonts w:ascii="Times New Roman" w:hAnsi="Times New Roman"/>
                <w:sz w:val="16"/>
                <w:szCs w:val="16"/>
              </w:rPr>
              <w:t xml:space="preserve"> з </w:t>
            </w:r>
            <w:proofErr w:type="spellStart"/>
            <w:r w:rsidRPr="00E16672">
              <w:rPr>
                <w:rFonts w:ascii="Times New Roman" w:hAnsi="Times New Roman"/>
                <w:sz w:val="16"/>
                <w:szCs w:val="16"/>
              </w:rPr>
              <w:t>рахунками</w:t>
            </w:r>
            <w:proofErr w:type="spellEnd"/>
            <w:r w:rsidRPr="00E16672">
              <w:rPr>
                <w:rFonts w:ascii="Times New Roman" w:hAnsi="Times New Roman"/>
                <w:sz w:val="16"/>
                <w:szCs w:val="16"/>
              </w:rPr>
              <w:t xml:space="preserve"> в </w:t>
            </w:r>
            <w:proofErr w:type="spellStart"/>
            <w:r w:rsidRPr="00E16672">
              <w:rPr>
                <w:rFonts w:ascii="Times New Roman" w:hAnsi="Times New Roman"/>
                <w:sz w:val="16"/>
                <w:szCs w:val="16"/>
              </w:rPr>
              <w:t>цінних</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паперах</w:t>
            </w:r>
            <w:proofErr w:type="spellEnd"/>
            <w:r w:rsidRPr="00E16672">
              <w:rPr>
                <w:rFonts w:ascii="Times New Roman" w:hAnsi="Times New Roman"/>
                <w:sz w:val="16"/>
                <w:szCs w:val="16"/>
              </w:rPr>
              <w:t xml:space="preserve"> та </w:t>
            </w:r>
            <w:proofErr w:type="spellStart"/>
            <w:r w:rsidRPr="00E16672">
              <w:rPr>
                <w:rFonts w:ascii="Times New Roman" w:hAnsi="Times New Roman"/>
                <w:sz w:val="16"/>
                <w:szCs w:val="16"/>
              </w:rPr>
              <w:t>відповідати</w:t>
            </w:r>
            <w:proofErr w:type="spellEnd"/>
            <w:r w:rsidRPr="00E16672">
              <w:rPr>
                <w:rFonts w:ascii="Times New Roman" w:hAnsi="Times New Roman"/>
                <w:sz w:val="16"/>
                <w:szCs w:val="16"/>
              </w:rPr>
              <w:t xml:space="preserve"> чинному </w:t>
            </w:r>
            <w:proofErr w:type="spellStart"/>
            <w:r w:rsidRPr="00E16672">
              <w:rPr>
                <w:rFonts w:ascii="Times New Roman" w:hAnsi="Times New Roman"/>
                <w:sz w:val="16"/>
                <w:szCs w:val="16"/>
              </w:rPr>
              <w:t>законодавству</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України</w:t>
            </w:r>
            <w:proofErr w:type="spellEnd"/>
            <w:r w:rsidRPr="00E16672">
              <w:rPr>
                <w:rFonts w:ascii="Times New Roman" w:hAnsi="Times New Roman"/>
                <w:sz w:val="16"/>
                <w:szCs w:val="16"/>
              </w:rPr>
              <w:t>.</w:t>
            </w:r>
          </w:p>
        </w:tc>
        <w:tc>
          <w:tcPr>
            <w:tcW w:w="5494" w:type="dxa"/>
            <w:gridSpan w:val="7"/>
            <w:shd w:val="clear" w:color="auto" w:fill="auto"/>
          </w:tcPr>
          <w:p w14:paraId="224EDFB8" w14:textId="77777777" w:rsidR="00933C25" w:rsidRPr="00E16672" w:rsidRDefault="00933C25" w:rsidP="00746617">
            <w:pPr>
              <w:pStyle w:val="210"/>
              <w:tabs>
                <w:tab w:val="left" w:pos="1191"/>
              </w:tabs>
              <w:snapToGrid w:val="0"/>
              <w:ind w:left="175" w:right="138" w:firstLine="7"/>
              <w:rPr>
                <w:rFonts w:ascii="Times New Roman" w:hAnsi="Times New Roman"/>
                <w:sz w:val="16"/>
                <w:szCs w:val="16"/>
                <w:lang w:val="en-GB"/>
              </w:rPr>
            </w:pPr>
            <w:r w:rsidRPr="00E16672">
              <w:rPr>
                <w:rFonts w:ascii="Times New Roman" w:hAnsi="Times New Roman"/>
                <w:sz w:val="16"/>
                <w:szCs w:val="16"/>
              </w:rPr>
              <w:t xml:space="preserve">3.7.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orders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of</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Depositor</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should</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be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able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to</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completely</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uncover</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sense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of</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operations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with</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accounts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in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securities</w:t>
            </w:r>
            <w:proofErr w:type="spellEnd"/>
            <w:r w:rsidRPr="00E16672">
              <w:rPr>
                <w:rFonts w:ascii="Times New Roman" w:hAnsi="Times New Roman"/>
                <w:sz w:val="16"/>
                <w:szCs w:val="16"/>
              </w:rPr>
              <w:t xml:space="preserve"> </w:t>
            </w:r>
            <w:r w:rsidRPr="00E16672">
              <w:rPr>
                <w:rFonts w:ascii="Times New Roman" w:hAnsi="Times New Roman"/>
                <w:sz w:val="16"/>
                <w:szCs w:val="16"/>
                <w:lang w:val="en-US"/>
              </w:rPr>
              <w:t>and</w:t>
            </w:r>
            <w:r w:rsidRPr="00E16672">
              <w:rPr>
                <w:rFonts w:ascii="Times New Roman" w:hAnsi="Times New Roman"/>
                <w:sz w:val="16"/>
                <w:szCs w:val="16"/>
              </w:rPr>
              <w:t xml:space="preserve"> </w:t>
            </w:r>
            <w:proofErr w:type="spellStart"/>
            <w:r w:rsidRPr="00E16672">
              <w:rPr>
                <w:rFonts w:ascii="Times New Roman" w:hAnsi="Times New Roman"/>
                <w:sz w:val="16"/>
                <w:szCs w:val="16"/>
              </w:rPr>
              <w:t>correspond</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current</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legislation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of</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Ukrain</w:t>
            </w:r>
            <w:proofErr w:type="spellEnd"/>
            <w:r w:rsidRPr="00E16672">
              <w:rPr>
                <w:rFonts w:ascii="Times New Roman" w:hAnsi="Times New Roman"/>
                <w:sz w:val="16"/>
                <w:szCs w:val="16"/>
                <w:lang w:val="en-US"/>
              </w:rPr>
              <w:t>e</w:t>
            </w:r>
            <w:r w:rsidRPr="00E16672">
              <w:rPr>
                <w:rFonts w:ascii="Times New Roman" w:hAnsi="Times New Roman"/>
                <w:sz w:val="16"/>
                <w:szCs w:val="16"/>
              </w:rPr>
              <w:t>.</w:t>
            </w:r>
          </w:p>
        </w:tc>
      </w:tr>
      <w:tr w:rsidR="00933C25" w:rsidRPr="00F23413" w14:paraId="1FF7EEE4" w14:textId="77777777" w:rsidTr="00D77858">
        <w:tblPrEx>
          <w:tblCellMar>
            <w:left w:w="0" w:type="dxa"/>
            <w:right w:w="0" w:type="dxa"/>
          </w:tblCellMar>
        </w:tblPrEx>
        <w:trPr>
          <w:trHeight w:val="517"/>
        </w:trPr>
        <w:tc>
          <w:tcPr>
            <w:tcW w:w="5696" w:type="dxa"/>
            <w:gridSpan w:val="6"/>
            <w:shd w:val="clear" w:color="auto" w:fill="auto"/>
          </w:tcPr>
          <w:p w14:paraId="7F4419BB" w14:textId="77777777" w:rsidR="00933C25" w:rsidRPr="00E16672" w:rsidRDefault="00933C25" w:rsidP="00746617">
            <w:pPr>
              <w:ind w:left="175" w:right="138" w:firstLine="7"/>
              <w:rPr>
                <w:rFonts w:ascii="Times New Roman" w:hAnsi="Times New Roman"/>
                <w:color w:val="000000"/>
                <w:sz w:val="16"/>
                <w:szCs w:val="16"/>
                <w:lang w:val="uk-UA"/>
              </w:rPr>
            </w:pPr>
            <w:r w:rsidRPr="00E16672">
              <w:rPr>
                <w:rFonts w:ascii="Times New Roman" w:hAnsi="Times New Roman"/>
                <w:color w:val="000000"/>
                <w:sz w:val="16"/>
                <w:szCs w:val="16"/>
                <w:lang w:val="uk-UA"/>
              </w:rPr>
              <w:t xml:space="preserve">3.8. Розпорядження виконується Депозитарною установою у порядку, передбаченому </w:t>
            </w:r>
            <w:r w:rsidR="00CF0FBF" w:rsidRPr="00E16672">
              <w:rPr>
                <w:rFonts w:ascii="Times New Roman" w:hAnsi="Times New Roman"/>
                <w:color w:val="000000"/>
                <w:sz w:val="16"/>
                <w:szCs w:val="20"/>
                <w:lang w:val="uk-UA"/>
              </w:rPr>
              <w:t xml:space="preserve">законодавством та </w:t>
            </w:r>
            <w:r w:rsidRPr="00E16672">
              <w:rPr>
                <w:rFonts w:ascii="Times New Roman" w:hAnsi="Times New Roman"/>
                <w:color w:val="000000"/>
                <w:sz w:val="16"/>
                <w:szCs w:val="16"/>
                <w:lang w:val="uk-UA"/>
              </w:rPr>
              <w:t xml:space="preserve">внутрішніми документами Депозитарної установи. </w:t>
            </w:r>
          </w:p>
          <w:p w14:paraId="729C2A92" w14:textId="77777777" w:rsidR="00933C25" w:rsidRPr="00E16672" w:rsidRDefault="00933C25" w:rsidP="00746617">
            <w:pPr>
              <w:pStyle w:val="ab"/>
              <w:ind w:left="175" w:right="138" w:firstLine="7"/>
              <w:jc w:val="both"/>
              <w:rPr>
                <w:rFonts w:ascii="Times New Roman" w:hAnsi="Times New Roman"/>
                <w:color w:val="000000"/>
                <w:sz w:val="16"/>
                <w:szCs w:val="16"/>
              </w:rPr>
            </w:pPr>
          </w:p>
        </w:tc>
        <w:tc>
          <w:tcPr>
            <w:tcW w:w="5494" w:type="dxa"/>
            <w:gridSpan w:val="7"/>
            <w:shd w:val="clear" w:color="auto" w:fill="auto"/>
          </w:tcPr>
          <w:p w14:paraId="6C1A04D1" w14:textId="77777777" w:rsidR="00933C25" w:rsidRPr="00E16672" w:rsidRDefault="00933C25" w:rsidP="00746617">
            <w:pPr>
              <w:pStyle w:val="210"/>
              <w:tabs>
                <w:tab w:val="left" w:pos="1191"/>
              </w:tabs>
              <w:snapToGrid w:val="0"/>
              <w:ind w:left="175" w:right="138" w:firstLine="7"/>
              <w:rPr>
                <w:rFonts w:ascii="Times New Roman" w:hAnsi="Times New Roman"/>
                <w:color w:val="000000"/>
                <w:sz w:val="16"/>
                <w:szCs w:val="16"/>
              </w:rPr>
            </w:pPr>
            <w:r w:rsidRPr="00E16672">
              <w:rPr>
                <w:rFonts w:ascii="Times New Roman" w:hAnsi="Times New Roman"/>
                <w:color w:val="000000"/>
                <w:sz w:val="16"/>
                <w:szCs w:val="16"/>
              </w:rPr>
              <w:t xml:space="preserve">3.8. </w:t>
            </w:r>
            <w:proofErr w:type="spellStart"/>
            <w:r w:rsidRPr="00E16672">
              <w:rPr>
                <w:rFonts w:ascii="Times New Roman" w:hAnsi="Times New Roman"/>
                <w:color w:val="000000"/>
                <w:sz w:val="16"/>
                <w:szCs w:val="16"/>
              </w:rPr>
              <w:t>The</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orders</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are</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executed</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by</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the</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Depository</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institution</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in</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the</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manner</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provided</w:t>
            </w:r>
            <w:proofErr w:type="spellEnd"/>
            <w:r w:rsidRPr="00E16672">
              <w:rPr>
                <w:rFonts w:ascii="Times New Roman" w:hAnsi="Times New Roman"/>
                <w:color w:val="000000"/>
                <w:sz w:val="16"/>
                <w:szCs w:val="16"/>
              </w:rPr>
              <w:t xml:space="preserve"> </w:t>
            </w:r>
            <w:proofErr w:type="spellStart"/>
            <w:r w:rsidR="00CF0FBF" w:rsidRPr="00E16672">
              <w:rPr>
                <w:rFonts w:ascii="Times New Roman" w:hAnsi="Times New Roman"/>
                <w:sz w:val="16"/>
                <w:szCs w:val="16"/>
              </w:rPr>
              <w:t>by</w:t>
            </w:r>
            <w:proofErr w:type="spellEnd"/>
            <w:r w:rsidR="00CF0FBF" w:rsidRPr="00E16672">
              <w:rPr>
                <w:rFonts w:ascii="Times New Roman" w:hAnsi="Times New Roman"/>
                <w:sz w:val="16"/>
                <w:szCs w:val="16"/>
              </w:rPr>
              <w:t xml:space="preserve"> </w:t>
            </w:r>
            <w:proofErr w:type="spellStart"/>
            <w:r w:rsidR="00CF0FBF" w:rsidRPr="00E16672">
              <w:rPr>
                <w:rFonts w:ascii="Times New Roman" w:hAnsi="Times New Roman"/>
                <w:sz w:val="16"/>
                <w:szCs w:val="16"/>
              </w:rPr>
              <w:t>the</w:t>
            </w:r>
            <w:proofErr w:type="spellEnd"/>
            <w:r w:rsidR="00CF0FBF" w:rsidRPr="00E16672">
              <w:rPr>
                <w:rFonts w:ascii="Times New Roman" w:hAnsi="Times New Roman"/>
                <w:sz w:val="16"/>
                <w:szCs w:val="16"/>
              </w:rPr>
              <w:t xml:space="preserve"> </w:t>
            </w:r>
            <w:proofErr w:type="spellStart"/>
            <w:r w:rsidR="00CF0FBF" w:rsidRPr="00E16672">
              <w:rPr>
                <w:rFonts w:ascii="Times New Roman" w:hAnsi="Times New Roman"/>
                <w:sz w:val="16"/>
                <w:szCs w:val="16"/>
              </w:rPr>
              <w:t>legislation</w:t>
            </w:r>
            <w:proofErr w:type="spellEnd"/>
            <w:r w:rsidR="00CF0FBF" w:rsidRPr="00E16672">
              <w:rPr>
                <w:rFonts w:ascii="Times New Roman" w:hAnsi="Times New Roman"/>
                <w:sz w:val="16"/>
                <w:szCs w:val="16"/>
              </w:rPr>
              <w:t xml:space="preserve"> </w:t>
            </w:r>
            <w:proofErr w:type="spellStart"/>
            <w:r w:rsidR="00CF0FBF" w:rsidRPr="00E16672">
              <w:rPr>
                <w:rFonts w:ascii="Times New Roman" w:hAnsi="Times New Roman"/>
                <w:sz w:val="16"/>
                <w:szCs w:val="16"/>
              </w:rPr>
              <w:t>and</w:t>
            </w:r>
            <w:proofErr w:type="spellEnd"/>
            <w:r w:rsidR="00CF0FBF" w:rsidRPr="00E16672">
              <w:rPr>
                <w:rFonts w:ascii="Times New Roman" w:hAnsi="Times New Roman"/>
                <w:sz w:val="16"/>
                <w:szCs w:val="16"/>
              </w:rPr>
              <w:t xml:space="preserve"> </w:t>
            </w:r>
            <w:proofErr w:type="spellStart"/>
            <w:r w:rsidRPr="00E16672">
              <w:rPr>
                <w:rFonts w:ascii="Times New Roman" w:hAnsi="Times New Roman"/>
                <w:color w:val="000000"/>
                <w:sz w:val="16"/>
                <w:szCs w:val="16"/>
              </w:rPr>
              <w:t>internal</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documents</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of</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Depository</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institution</w:t>
            </w:r>
            <w:proofErr w:type="spellEnd"/>
            <w:r w:rsidRPr="00E16672">
              <w:rPr>
                <w:rFonts w:ascii="Times New Roman" w:hAnsi="Times New Roman"/>
                <w:color w:val="000000"/>
                <w:sz w:val="16"/>
                <w:szCs w:val="16"/>
              </w:rPr>
              <w:t>.</w:t>
            </w:r>
          </w:p>
          <w:p w14:paraId="3D37C7C7" w14:textId="77777777" w:rsidR="00933C25" w:rsidRPr="00E16672" w:rsidRDefault="00933C25" w:rsidP="00746617">
            <w:pPr>
              <w:ind w:left="175" w:right="138" w:firstLine="7"/>
              <w:rPr>
                <w:rFonts w:ascii="Times New Roman" w:hAnsi="Times New Roman"/>
                <w:color w:val="000000"/>
                <w:sz w:val="16"/>
                <w:szCs w:val="16"/>
                <w:lang w:val="en-US"/>
              </w:rPr>
            </w:pPr>
          </w:p>
        </w:tc>
      </w:tr>
      <w:tr w:rsidR="00933C25" w:rsidRPr="00F23413" w14:paraId="4A5734DE" w14:textId="77777777" w:rsidTr="00D77858">
        <w:tblPrEx>
          <w:tblCellMar>
            <w:left w:w="0" w:type="dxa"/>
            <w:right w:w="0" w:type="dxa"/>
          </w:tblCellMar>
        </w:tblPrEx>
        <w:trPr>
          <w:trHeight w:val="962"/>
        </w:trPr>
        <w:tc>
          <w:tcPr>
            <w:tcW w:w="5696" w:type="dxa"/>
            <w:gridSpan w:val="6"/>
            <w:shd w:val="clear" w:color="auto" w:fill="auto"/>
          </w:tcPr>
          <w:p w14:paraId="05947341" w14:textId="77777777" w:rsidR="00933C25" w:rsidRPr="00E16672" w:rsidRDefault="00933C25" w:rsidP="00746617">
            <w:pPr>
              <w:ind w:left="175" w:right="138" w:firstLine="7"/>
              <w:rPr>
                <w:rFonts w:ascii="Times New Roman" w:hAnsi="Times New Roman"/>
                <w:sz w:val="16"/>
                <w:szCs w:val="16"/>
                <w:lang w:val="uk-UA"/>
              </w:rPr>
            </w:pPr>
            <w:r w:rsidRPr="00E16672">
              <w:rPr>
                <w:rFonts w:ascii="Times New Roman" w:hAnsi="Times New Roman"/>
                <w:sz w:val="16"/>
                <w:szCs w:val="16"/>
                <w:lang w:val="uk-UA"/>
              </w:rPr>
              <w:t xml:space="preserve">3.9. </w:t>
            </w:r>
            <w:r w:rsidR="00B524FF" w:rsidRPr="00E16672">
              <w:rPr>
                <w:rFonts w:ascii="Times New Roman" w:hAnsi="Times New Roman"/>
                <w:color w:val="000000"/>
                <w:sz w:val="16"/>
                <w:szCs w:val="16"/>
              </w:rPr>
              <w:t xml:space="preserve">Депонент </w:t>
            </w:r>
            <w:proofErr w:type="spellStart"/>
            <w:r w:rsidR="00B524FF" w:rsidRPr="00E16672">
              <w:rPr>
                <w:rFonts w:ascii="Times New Roman" w:hAnsi="Times New Roman"/>
                <w:color w:val="000000"/>
                <w:sz w:val="16"/>
                <w:szCs w:val="16"/>
              </w:rPr>
              <w:t>бере</w:t>
            </w:r>
            <w:proofErr w:type="spellEnd"/>
            <w:r w:rsidR="00B524FF" w:rsidRPr="00E16672">
              <w:rPr>
                <w:rFonts w:ascii="Times New Roman" w:hAnsi="Times New Roman"/>
                <w:color w:val="000000"/>
                <w:sz w:val="16"/>
                <w:szCs w:val="16"/>
              </w:rPr>
              <w:t xml:space="preserve"> на себе </w:t>
            </w:r>
            <w:proofErr w:type="spellStart"/>
            <w:r w:rsidR="00B524FF" w:rsidRPr="00E16672">
              <w:rPr>
                <w:rFonts w:ascii="Times New Roman" w:hAnsi="Times New Roman"/>
                <w:color w:val="000000"/>
                <w:sz w:val="16"/>
                <w:szCs w:val="16"/>
              </w:rPr>
              <w:t>відповідальність</w:t>
            </w:r>
            <w:proofErr w:type="spellEnd"/>
            <w:r w:rsidR="00B524FF" w:rsidRPr="00E16672">
              <w:rPr>
                <w:rFonts w:ascii="Times New Roman" w:hAnsi="Times New Roman"/>
                <w:color w:val="000000"/>
                <w:sz w:val="16"/>
                <w:szCs w:val="16"/>
              </w:rPr>
              <w:t xml:space="preserve"> за </w:t>
            </w:r>
            <w:proofErr w:type="spellStart"/>
            <w:r w:rsidR="00B524FF" w:rsidRPr="00E16672">
              <w:rPr>
                <w:rFonts w:ascii="Times New Roman" w:hAnsi="Times New Roman"/>
                <w:color w:val="000000"/>
                <w:sz w:val="16"/>
                <w:szCs w:val="16"/>
              </w:rPr>
              <w:t>достовірність</w:t>
            </w:r>
            <w:proofErr w:type="spellEnd"/>
            <w:r w:rsidR="00B524FF" w:rsidRPr="00E16672">
              <w:rPr>
                <w:rFonts w:ascii="Times New Roman" w:hAnsi="Times New Roman"/>
                <w:color w:val="000000"/>
                <w:sz w:val="16"/>
                <w:szCs w:val="16"/>
              </w:rPr>
              <w:t xml:space="preserve"> </w:t>
            </w:r>
            <w:proofErr w:type="spellStart"/>
            <w:r w:rsidR="00B524FF" w:rsidRPr="00E16672">
              <w:rPr>
                <w:rFonts w:ascii="Times New Roman" w:hAnsi="Times New Roman"/>
                <w:color w:val="000000"/>
                <w:sz w:val="16"/>
                <w:szCs w:val="16"/>
              </w:rPr>
              <w:t>інформації</w:t>
            </w:r>
            <w:proofErr w:type="spellEnd"/>
            <w:r w:rsidR="00B524FF" w:rsidRPr="00E16672">
              <w:rPr>
                <w:rFonts w:ascii="Times New Roman" w:hAnsi="Times New Roman"/>
                <w:color w:val="000000"/>
                <w:sz w:val="16"/>
                <w:szCs w:val="16"/>
              </w:rPr>
              <w:t xml:space="preserve">, яка </w:t>
            </w:r>
            <w:proofErr w:type="spellStart"/>
            <w:r w:rsidR="00B524FF" w:rsidRPr="00E16672">
              <w:rPr>
                <w:rFonts w:ascii="Times New Roman" w:hAnsi="Times New Roman"/>
                <w:color w:val="000000"/>
                <w:sz w:val="16"/>
                <w:szCs w:val="16"/>
              </w:rPr>
              <w:t>міститься</w:t>
            </w:r>
            <w:proofErr w:type="spellEnd"/>
            <w:r w:rsidR="00B524FF" w:rsidRPr="00E16672">
              <w:rPr>
                <w:rFonts w:ascii="Times New Roman" w:hAnsi="Times New Roman"/>
                <w:color w:val="000000"/>
                <w:sz w:val="16"/>
                <w:szCs w:val="16"/>
              </w:rPr>
              <w:t xml:space="preserve"> в документах, </w:t>
            </w:r>
            <w:proofErr w:type="spellStart"/>
            <w:r w:rsidR="00B524FF" w:rsidRPr="00E16672">
              <w:rPr>
                <w:rFonts w:ascii="Times New Roman" w:hAnsi="Times New Roman"/>
                <w:color w:val="000000"/>
                <w:sz w:val="16"/>
                <w:szCs w:val="16"/>
              </w:rPr>
              <w:t>які</w:t>
            </w:r>
            <w:proofErr w:type="spellEnd"/>
            <w:r w:rsidR="00B524FF" w:rsidRPr="00E16672">
              <w:rPr>
                <w:rFonts w:ascii="Times New Roman" w:hAnsi="Times New Roman"/>
                <w:color w:val="000000"/>
                <w:sz w:val="16"/>
                <w:szCs w:val="16"/>
              </w:rPr>
              <w:t xml:space="preserve"> </w:t>
            </w:r>
            <w:proofErr w:type="spellStart"/>
            <w:r w:rsidR="00B524FF" w:rsidRPr="00E16672">
              <w:rPr>
                <w:rFonts w:ascii="Times New Roman" w:hAnsi="Times New Roman"/>
                <w:color w:val="000000"/>
                <w:sz w:val="16"/>
                <w:szCs w:val="16"/>
              </w:rPr>
              <w:t>надаються</w:t>
            </w:r>
            <w:proofErr w:type="spellEnd"/>
            <w:r w:rsidR="00B524FF" w:rsidRPr="00E16672">
              <w:rPr>
                <w:rFonts w:ascii="Times New Roman" w:hAnsi="Times New Roman"/>
                <w:color w:val="000000"/>
                <w:sz w:val="16"/>
                <w:szCs w:val="16"/>
              </w:rPr>
              <w:t xml:space="preserve"> Депонентом, </w:t>
            </w:r>
            <w:proofErr w:type="spellStart"/>
            <w:r w:rsidR="00B524FF" w:rsidRPr="00E16672">
              <w:rPr>
                <w:rFonts w:ascii="Times New Roman" w:hAnsi="Times New Roman"/>
                <w:color w:val="000000"/>
                <w:sz w:val="16"/>
                <w:szCs w:val="16"/>
              </w:rPr>
              <w:t>розпорядником</w:t>
            </w:r>
            <w:proofErr w:type="spellEnd"/>
            <w:r w:rsidR="00B524FF" w:rsidRPr="00E16672">
              <w:rPr>
                <w:rFonts w:ascii="Times New Roman" w:hAnsi="Times New Roman"/>
                <w:color w:val="000000"/>
                <w:sz w:val="16"/>
                <w:szCs w:val="16"/>
              </w:rPr>
              <w:t xml:space="preserve"> </w:t>
            </w:r>
            <w:proofErr w:type="spellStart"/>
            <w:r w:rsidR="00B524FF" w:rsidRPr="00E16672">
              <w:rPr>
                <w:rFonts w:ascii="Times New Roman" w:hAnsi="Times New Roman"/>
                <w:color w:val="000000"/>
                <w:sz w:val="16"/>
                <w:szCs w:val="16"/>
              </w:rPr>
              <w:t>рахунку</w:t>
            </w:r>
            <w:proofErr w:type="spellEnd"/>
            <w:r w:rsidR="00B524FF" w:rsidRPr="00E16672">
              <w:rPr>
                <w:rFonts w:ascii="Times New Roman" w:hAnsi="Times New Roman"/>
                <w:color w:val="000000"/>
                <w:sz w:val="16"/>
                <w:szCs w:val="16"/>
              </w:rPr>
              <w:t xml:space="preserve">, </w:t>
            </w:r>
            <w:proofErr w:type="spellStart"/>
            <w:r w:rsidR="00B524FF" w:rsidRPr="00E16672">
              <w:rPr>
                <w:rFonts w:ascii="Times New Roman" w:hAnsi="Times New Roman"/>
                <w:color w:val="000000"/>
                <w:sz w:val="16"/>
                <w:szCs w:val="16"/>
              </w:rPr>
              <w:t>керуючим</w:t>
            </w:r>
            <w:proofErr w:type="spellEnd"/>
            <w:r w:rsidR="00B524FF" w:rsidRPr="00E16672">
              <w:rPr>
                <w:rFonts w:ascii="Times New Roman" w:hAnsi="Times New Roman"/>
                <w:color w:val="000000"/>
                <w:sz w:val="16"/>
                <w:szCs w:val="16"/>
              </w:rPr>
              <w:t xml:space="preserve"> </w:t>
            </w:r>
            <w:proofErr w:type="spellStart"/>
            <w:proofErr w:type="gramStart"/>
            <w:r w:rsidR="00B524FF" w:rsidRPr="00E16672">
              <w:rPr>
                <w:rFonts w:ascii="Times New Roman" w:hAnsi="Times New Roman"/>
                <w:color w:val="000000"/>
                <w:sz w:val="16"/>
                <w:szCs w:val="16"/>
              </w:rPr>
              <w:t>рахунком</w:t>
            </w:r>
            <w:proofErr w:type="spellEnd"/>
            <w:r w:rsidR="00B524FF" w:rsidRPr="00E16672">
              <w:rPr>
                <w:rFonts w:ascii="Times New Roman" w:hAnsi="Times New Roman"/>
                <w:color w:val="000000"/>
                <w:sz w:val="16"/>
                <w:szCs w:val="16"/>
              </w:rPr>
              <w:t xml:space="preserve">  </w:t>
            </w:r>
            <w:proofErr w:type="spellStart"/>
            <w:r w:rsidR="00B524FF" w:rsidRPr="00E16672">
              <w:rPr>
                <w:rFonts w:ascii="Times New Roman" w:hAnsi="Times New Roman"/>
                <w:color w:val="000000"/>
                <w:sz w:val="16"/>
                <w:szCs w:val="16"/>
              </w:rPr>
              <w:t>Депозитарній</w:t>
            </w:r>
            <w:proofErr w:type="spellEnd"/>
            <w:proofErr w:type="gramEnd"/>
            <w:r w:rsidR="00B524FF" w:rsidRPr="00E16672">
              <w:rPr>
                <w:rFonts w:ascii="Times New Roman" w:hAnsi="Times New Roman"/>
                <w:color w:val="000000"/>
                <w:sz w:val="16"/>
                <w:szCs w:val="16"/>
              </w:rPr>
              <w:t xml:space="preserve"> </w:t>
            </w:r>
            <w:proofErr w:type="spellStart"/>
            <w:r w:rsidR="00B524FF" w:rsidRPr="00E16672">
              <w:rPr>
                <w:rFonts w:ascii="Times New Roman" w:hAnsi="Times New Roman"/>
                <w:color w:val="000000"/>
                <w:sz w:val="16"/>
                <w:szCs w:val="16"/>
              </w:rPr>
              <w:t>установі</w:t>
            </w:r>
            <w:proofErr w:type="spellEnd"/>
            <w:r w:rsidR="00B524FF" w:rsidRPr="00E16672">
              <w:rPr>
                <w:rFonts w:ascii="Times New Roman" w:hAnsi="Times New Roman"/>
                <w:color w:val="000000"/>
                <w:sz w:val="16"/>
                <w:szCs w:val="16"/>
              </w:rPr>
              <w:t xml:space="preserve">, у тому </w:t>
            </w:r>
            <w:proofErr w:type="spellStart"/>
            <w:r w:rsidR="00B524FF" w:rsidRPr="00E16672">
              <w:rPr>
                <w:rFonts w:ascii="Times New Roman" w:hAnsi="Times New Roman"/>
                <w:color w:val="000000"/>
                <w:sz w:val="16"/>
                <w:szCs w:val="16"/>
              </w:rPr>
              <w:t>числі</w:t>
            </w:r>
            <w:proofErr w:type="spellEnd"/>
            <w:r w:rsidR="00B524FF" w:rsidRPr="00E16672">
              <w:rPr>
                <w:rFonts w:ascii="Times New Roman" w:hAnsi="Times New Roman"/>
                <w:color w:val="000000"/>
                <w:sz w:val="16"/>
                <w:szCs w:val="16"/>
              </w:rPr>
              <w:t xml:space="preserve"> таких, за </w:t>
            </w:r>
            <w:proofErr w:type="spellStart"/>
            <w:r w:rsidR="00B524FF" w:rsidRPr="00E16672">
              <w:rPr>
                <w:rFonts w:ascii="Times New Roman" w:hAnsi="Times New Roman"/>
                <w:color w:val="000000"/>
                <w:sz w:val="16"/>
                <w:szCs w:val="16"/>
              </w:rPr>
              <w:t>якими</w:t>
            </w:r>
            <w:proofErr w:type="spellEnd"/>
            <w:r w:rsidR="00B524FF" w:rsidRPr="00E16672">
              <w:rPr>
                <w:rFonts w:ascii="Times New Roman" w:hAnsi="Times New Roman"/>
                <w:color w:val="000000"/>
                <w:sz w:val="16"/>
                <w:szCs w:val="16"/>
              </w:rPr>
              <w:t xml:space="preserve"> </w:t>
            </w:r>
            <w:proofErr w:type="spellStart"/>
            <w:r w:rsidR="00B524FF" w:rsidRPr="00E16672">
              <w:rPr>
                <w:rFonts w:ascii="Times New Roman" w:hAnsi="Times New Roman"/>
                <w:color w:val="000000"/>
                <w:sz w:val="16"/>
                <w:szCs w:val="16"/>
              </w:rPr>
              <w:t>Депозитарній</w:t>
            </w:r>
            <w:proofErr w:type="spellEnd"/>
            <w:r w:rsidR="00B524FF" w:rsidRPr="00E16672">
              <w:rPr>
                <w:rFonts w:ascii="Times New Roman" w:hAnsi="Times New Roman"/>
                <w:color w:val="000000"/>
                <w:sz w:val="16"/>
                <w:szCs w:val="16"/>
              </w:rPr>
              <w:t xml:space="preserve"> </w:t>
            </w:r>
            <w:proofErr w:type="spellStart"/>
            <w:r w:rsidR="00B524FF" w:rsidRPr="00E16672">
              <w:rPr>
                <w:rFonts w:ascii="Times New Roman" w:hAnsi="Times New Roman"/>
                <w:color w:val="000000"/>
                <w:sz w:val="16"/>
                <w:szCs w:val="16"/>
              </w:rPr>
              <w:t>установі</w:t>
            </w:r>
            <w:proofErr w:type="spellEnd"/>
            <w:r w:rsidR="00B524FF" w:rsidRPr="00E16672">
              <w:rPr>
                <w:rFonts w:ascii="Times New Roman" w:hAnsi="Times New Roman"/>
                <w:color w:val="000000"/>
                <w:sz w:val="16"/>
                <w:szCs w:val="16"/>
              </w:rPr>
              <w:t xml:space="preserve"> </w:t>
            </w:r>
            <w:proofErr w:type="spellStart"/>
            <w:r w:rsidR="00B524FF" w:rsidRPr="00E16672">
              <w:rPr>
                <w:rFonts w:ascii="Times New Roman" w:hAnsi="Times New Roman"/>
                <w:color w:val="000000"/>
                <w:sz w:val="16"/>
                <w:szCs w:val="16"/>
              </w:rPr>
              <w:t>доручається</w:t>
            </w:r>
            <w:proofErr w:type="spellEnd"/>
            <w:r w:rsidR="00B524FF" w:rsidRPr="00E16672">
              <w:rPr>
                <w:rFonts w:ascii="Times New Roman" w:hAnsi="Times New Roman"/>
                <w:color w:val="000000"/>
                <w:sz w:val="16"/>
                <w:szCs w:val="16"/>
              </w:rPr>
              <w:t xml:space="preserve"> </w:t>
            </w:r>
            <w:proofErr w:type="spellStart"/>
            <w:r w:rsidR="00B524FF" w:rsidRPr="00E16672">
              <w:rPr>
                <w:rFonts w:ascii="Times New Roman" w:hAnsi="Times New Roman"/>
                <w:color w:val="000000"/>
                <w:sz w:val="16"/>
                <w:szCs w:val="16"/>
              </w:rPr>
              <w:t>проведення</w:t>
            </w:r>
            <w:proofErr w:type="spellEnd"/>
            <w:r w:rsidR="00B524FF" w:rsidRPr="00E16672">
              <w:rPr>
                <w:rFonts w:ascii="Times New Roman" w:hAnsi="Times New Roman"/>
                <w:color w:val="000000"/>
                <w:sz w:val="16"/>
                <w:szCs w:val="16"/>
              </w:rPr>
              <w:t xml:space="preserve"> </w:t>
            </w:r>
            <w:proofErr w:type="spellStart"/>
            <w:r w:rsidR="00B524FF" w:rsidRPr="00E16672">
              <w:rPr>
                <w:rFonts w:ascii="Times New Roman" w:hAnsi="Times New Roman"/>
                <w:color w:val="000000"/>
                <w:sz w:val="16"/>
                <w:szCs w:val="16"/>
              </w:rPr>
              <w:t>депозитарних</w:t>
            </w:r>
            <w:proofErr w:type="spellEnd"/>
            <w:r w:rsidR="00B524FF" w:rsidRPr="00E16672">
              <w:rPr>
                <w:rFonts w:ascii="Times New Roman" w:hAnsi="Times New Roman"/>
                <w:color w:val="000000"/>
                <w:sz w:val="16"/>
                <w:szCs w:val="16"/>
              </w:rPr>
              <w:t xml:space="preserve"> </w:t>
            </w:r>
            <w:proofErr w:type="spellStart"/>
            <w:r w:rsidR="00B524FF" w:rsidRPr="00E16672">
              <w:rPr>
                <w:rFonts w:ascii="Times New Roman" w:hAnsi="Times New Roman"/>
                <w:color w:val="000000"/>
                <w:sz w:val="16"/>
                <w:szCs w:val="16"/>
              </w:rPr>
              <w:t>операцій</w:t>
            </w:r>
            <w:proofErr w:type="spellEnd"/>
            <w:r w:rsidR="00B524FF" w:rsidRPr="00E16672">
              <w:rPr>
                <w:rFonts w:ascii="Times New Roman" w:hAnsi="Times New Roman"/>
                <w:color w:val="000000"/>
                <w:sz w:val="16"/>
                <w:szCs w:val="16"/>
              </w:rPr>
              <w:t xml:space="preserve"> на </w:t>
            </w:r>
            <w:proofErr w:type="spellStart"/>
            <w:r w:rsidR="00B524FF" w:rsidRPr="00E16672">
              <w:rPr>
                <w:rFonts w:ascii="Times New Roman" w:hAnsi="Times New Roman"/>
                <w:color w:val="000000"/>
                <w:sz w:val="16"/>
                <w:szCs w:val="16"/>
              </w:rPr>
              <w:t>рахунку</w:t>
            </w:r>
            <w:proofErr w:type="spellEnd"/>
            <w:r w:rsidR="00B524FF" w:rsidRPr="00E16672">
              <w:rPr>
                <w:rFonts w:ascii="Times New Roman" w:hAnsi="Times New Roman"/>
                <w:color w:val="000000"/>
                <w:sz w:val="16"/>
                <w:szCs w:val="16"/>
              </w:rPr>
              <w:t xml:space="preserve"> Депонента.</w:t>
            </w:r>
          </w:p>
        </w:tc>
        <w:tc>
          <w:tcPr>
            <w:tcW w:w="5494" w:type="dxa"/>
            <w:gridSpan w:val="7"/>
            <w:shd w:val="clear" w:color="auto" w:fill="auto"/>
          </w:tcPr>
          <w:p w14:paraId="2B163099" w14:textId="77777777" w:rsidR="00933C25" w:rsidRPr="00E16672" w:rsidRDefault="00933C25" w:rsidP="00746617">
            <w:pPr>
              <w:tabs>
                <w:tab w:val="left" w:pos="287"/>
              </w:tabs>
              <w:ind w:left="175" w:right="100" w:firstLine="7"/>
              <w:rPr>
                <w:rFonts w:ascii="Times New Roman" w:hAnsi="Times New Roman"/>
                <w:sz w:val="16"/>
                <w:szCs w:val="16"/>
                <w:lang w:val="en-GB"/>
              </w:rPr>
            </w:pPr>
            <w:r w:rsidRPr="00E16672">
              <w:rPr>
                <w:rFonts w:ascii="Times New Roman" w:hAnsi="Times New Roman"/>
                <w:sz w:val="16"/>
                <w:szCs w:val="16"/>
                <w:lang w:val="en-GB"/>
              </w:rPr>
              <w:t xml:space="preserve">3.9. </w:t>
            </w:r>
            <w:r w:rsidR="00B524FF" w:rsidRPr="00F23413">
              <w:rPr>
                <w:rFonts w:ascii="Times New Roman" w:hAnsi="Times New Roman"/>
                <w:sz w:val="16"/>
                <w:lang w:val="en-US"/>
              </w:rPr>
              <w:t>The Depositor assumes responsibility for the accuracy of the information contained in the documents provided by the Depositor</w:t>
            </w:r>
            <w:r w:rsidR="00E0386A" w:rsidRPr="00E16672">
              <w:rPr>
                <w:rFonts w:ascii="Times New Roman" w:hAnsi="Times New Roman"/>
                <w:sz w:val="16"/>
                <w:lang w:val="uk-UA"/>
              </w:rPr>
              <w:t>,</w:t>
            </w:r>
            <w:r w:rsidR="00E0386A" w:rsidRPr="00E16672">
              <w:rPr>
                <w:rFonts w:ascii="Times New Roman" w:hAnsi="Times New Roman"/>
                <w:b/>
                <w:sz w:val="16"/>
                <w:szCs w:val="16"/>
                <w:lang w:val="en-GB"/>
              </w:rPr>
              <w:t xml:space="preserve"> </w:t>
            </w:r>
            <w:r w:rsidR="00E0386A" w:rsidRPr="00E16672">
              <w:rPr>
                <w:rFonts w:ascii="Times New Roman" w:hAnsi="Times New Roman"/>
                <w:sz w:val="16"/>
                <w:szCs w:val="16"/>
                <w:lang w:val="en-GB"/>
              </w:rPr>
              <w:t xml:space="preserve">manager </w:t>
            </w:r>
            <w:r w:rsidR="00E0386A" w:rsidRPr="00F23413">
              <w:rPr>
                <w:rFonts w:ascii="Times New Roman" w:hAnsi="Times New Roman"/>
                <w:sz w:val="16"/>
                <w:szCs w:val="16"/>
                <w:lang w:val="en-US"/>
              </w:rPr>
              <w:t xml:space="preserve">/ </w:t>
            </w:r>
            <w:r w:rsidR="00E0386A" w:rsidRPr="00E16672">
              <w:rPr>
                <w:rFonts w:ascii="Times New Roman" w:hAnsi="Times New Roman"/>
                <w:sz w:val="16"/>
                <w:szCs w:val="22"/>
              </w:rPr>
              <w:t>а</w:t>
            </w:r>
            <w:proofErr w:type="spellStart"/>
            <w:proofErr w:type="gramStart"/>
            <w:r w:rsidR="00E0386A" w:rsidRPr="00E16672">
              <w:rPr>
                <w:rFonts w:ascii="Times New Roman" w:hAnsi="Times New Roman"/>
                <w:sz w:val="16"/>
                <w:szCs w:val="22"/>
                <w:lang w:val="en-US"/>
              </w:rPr>
              <w:t>dministrator</w:t>
            </w:r>
            <w:proofErr w:type="spellEnd"/>
            <w:r w:rsidR="00E0386A" w:rsidRPr="00E16672">
              <w:rPr>
                <w:rFonts w:ascii="Times New Roman" w:hAnsi="Times New Roman"/>
                <w:b/>
                <w:sz w:val="16"/>
                <w:szCs w:val="22"/>
                <w:lang w:val="en-US"/>
              </w:rPr>
              <w:t xml:space="preserve">  </w:t>
            </w:r>
            <w:r w:rsidR="00B524FF" w:rsidRPr="00F23413">
              <w:rPr>
                <w:rFonts w:ascii="Times New Roman" w:hAnsi="Times New Roman"/>
                <w:sz w:val="16"/>
                <w:lang w:val="en-US"/>
              </w:rPr>
              <w:t>of</w:t>
            </w:r>
            <w:proofErr w:type="gramEnd"/>
            <w:r w:rsidR="00B524FF" w:rsidRPr="00F23413">
              <w:rPr>
                <w:rFonts w:ascii="Times New Roman" w:hAnsi="Times New Roman"/>
                <w:sz w:val="16"/>
                <w:lang w:val="en-US"/>
              </w:rPr>
              <w:t xml:space="preserve"> the account of the Depository institution, including those by which the Depository institution is entrusted with depositary transactions in the account of the Depositor.</w:t>
            </w:r>
          </w:p>
          <w:p w14:paraId="0D5328F7" w14:textId="77777777" w:rsidR="00933C25" w:rsidRPr="00E16672" w:rsidRDefault="00933C25" w:rsidP="00746617">
            <w:pPr>
              <w:tabs>
                <w:tab w:val="left" w:pos="287"/>
              </w:tabs>
              <w:ind w:left="175" w:right="100" w:firstLine="7"/>
              <w:rPr>
                <w:rFonts w:ascii="Times New Roman" w:hAnsi="Times New Roman"/>
                <w:sz w:val="16"/>
                <w:szCs w:val="16"/>
                <w:lang w:val="en-GB"/>
              </w:rPr>
            </w:pPr>
          </w:p>
        </w:tc>
      </w:tr>
      <w:tr w:rsidR="00933C25" w:rsidRPr="00F23413" w14:paraId="5269230C" w14:textId="77777777" w:rsidTr="00D77858">
        <w:tblPrEx>
          <w:tblCellMar>
            <w:left w:w="0" w:type="dxa"/>
            <w:right w:w="0" w:type="dxa"/>
          </w:tblCellMar>
        </w:tblPrEx>
        <w:trPr>
          <w:trHeight w:val="275"/>
        </w:trPr>
        <w:tc>
          <w:tcPr>
            <w:tcW w:w="5696" w:type="dxa"/>
            <w:gridSpan w:val="6"/>
            <w:shd w:val="clear" w:color="auto" w:fill="auto"/>
          </w:tcPr>
          <w:p w14:paraId="0E93F7C7" w14:textId="77777777" w:rsidR="00933C25" w:rsidRPr="00E16672" w:rsidRDefault="00933C25" w:rsidP="00746617">
            <w:pPr>
              <w:pStyle w:val="af"/>
              <w:snapToGrid w:val="0"/>
              <w:ind w:left="175" w:right="138" w:firstLine="7"/>
              <w:rPr>
                <w:rFonts w:ascii="Times New Roman" w:eastAsia="Times New Roman" w:hAnsi="Times New Roman" w:cs="Times New Roman"/>
                <w:sz w:val="16"/>
                <w:szCs w:val="16"/>
              </w:rPr>
            </w:pPr>
            <w:r w:rsidRPr="00E16672">
              <w:rPr>
                <w:rFonts w:ascii="Times New Roman" w:eastAsia="Times New Roman" w:hAnsi="Times New Roman" w:cs="Times New Roman"/>
                <w:sz w:val="16"/>
                <w:szCs w:val="16"/>
              </w:rPr>
              <w:t xml:space="preserve">3.10. Облікові операції, які були ініційовані Депозитарною установою у депозитарії, але не були завершені протягом </w:t>
            </w:r>
            <w:r w:rsidRPr="00E16672">
              <w:rPr>
                <w:rFonts w:ascii="Times New Roman" w:eastAsia="Times New Roman" w:hAnsi="Times New Roman" w:cs="Times New Roman"/>
                <w:i/>
                <w:sz w:val="16"/>
                <w:szCs w:val="16"/>
              </w:rPr>
              <w:t>трьох робочих днів</w:t>
            </w:r>
            <w:r w:rsidRPr="00E16672">
              <w:rPr>
                <w:rFonts w:ascii="Times New Roman" w:eastAsia="Times New Roman" w:hAnsi="Times New Roman" w:cs="Times New Roman"/>
                <w:sz w:val="16"/>
                <w:szCs w:val="16"/>
              </w:rPr>
              <w:t xml:space="preserve"> за підстав, які не залежать від Депозитарної установи (розпорядження Депозитарної установи не було відповідно до внутрішніх документів Центрального депозитарію занесене Центральним депозитарієм до відомості </w:t>
            </w:r>
            <w:proofErr w:type="spellStart"/>
            <w:r w:rsidRPr="00E16672">
              <w:rPr>
                <w:rFonts w:ascii="Times New Roman" w:eastAsia="Times New Roman" w:hAnsi="Times New Roman" w:cs="Times New Roman"/>
                <w:sz w:val="16"/>
                <w:szCs w:val="16"/>
              </w:rPr>
              <w:t>сквитованих</w:t>
            </w:r>
            <w:proofErr w:type="spellEnd"/>
            <w:r w:rsidRPr="00E16672">
              <w:rPr>
                <w:rFonts w:ascii="Times New Roman" w:eastAsia="Times New Roman" w:hAnsi="Times New Roman" w:cs="Times New Roman"/>
                <w:sz w:val="16"/>
                <w:szCs w:val="16"/>
              </w:rPr>
              <w:t xml:space="preserve"> розпоряджень на поставку/одержання цінних паперів), можуть бути відмінені ним у випадку отримання від Депонента відповідного розпорядження відміни (анулювання) його попереднього розпорядження.</w:t>
            </w:r>
          </w:p>
          <w:p w14:paraId="5D953993" w14:textId="77777777" w:rsidR="006562C7" w:rsidRPr="00E16672" w:rsidRDefault="006562C7" w:rsidP="00746617">
            <w:pPr>
              <w:pStyle w:val="af"/>
              <w:snapToGrid w:val="0"/>
              <w:ind w:left="175" w:right="138" w:firstLine="7"/>
              <w:rPr>
                <w:rFonts w:ascii="Times New Roman" w:eastAsia="Times New Roman" w:hAnsi="Times New Roman" w:cs="Times New Roman"/>
                <w:sz w:val="16"/>
                <w:szCs w:val="16"/>
              </w:rPr>
            </w:pPr>
          </w:p>
        </w:tc>
        <w:tc>
          <w:tcPr>
            <w:tcW w:w="5494" w:type="dxa"/>
            <w:gridSpan w:val="7"/>
            <w:shd w:val="clear" w:color="auto" w:fill="auto"/>
          </w:tcPr>
          <w:p w14:paraId="40CEA3A7" w14:textId="77777777" w:rsidR="00933C25" w:rsidRPr="00E16672" w:rsidRDefault="00933C25" w:rsidP="00746617">
            <w:pPr>
              <w:tabs>
                <w:tab w:val="left" w:pos="287"/>
              </w:tabs>
              <w:snapToGrid w:val="0"/>
              <w:ind w:left="175" w:right="100" w:firstLine="7"/>
              <w:rPr>
                <w:rFonts w:ascii="Times New Roman" w:hAnsi="Times New Roman"/>
                <w:sz w:val="16"/>
                <w:szCs w:val="16"/>
                <w:lang w:val="en-GB"/>
              </w:rPr>
            </w:pPr>
            <w:r w:rsidRPr="00E16672">
              <w:rPr>
                <w:rFonts w:ascii="Times New Roman" w:hAnsi="Times New Roman"/>
                <w:sz w:val="16"/>
                <w:szCs w:val="16"/>
                <w:lang w:val="en-GB"/>
              </w:rPr>
              <w:t xml:space="preserve">3.10. Accounting operations initiated by the Depository institution </w:t>
            </w:r>
            <w:r w:rsidRPr="00E16672">
              <w:rPr>
                <w:rFonts w:ascii="Times New Roman" w:hAnsi="Times New Roman"/>
                <w:sz w:val="16"/>
                <w:szCs w:val="16"/>
                <w:lang w:val="en-US"/>
              </w:rPr>
              <w:t xml:space="preserve">in </w:t>
            </w:r>
            <w:r w:rsidRPr="00E16672">
              <w:rPr>
                <w:rFonts w:ascii="Times New Roman" w:hAnsi="Times New Roman"/>
                <w:sz w:val="16"/>
                <w:szCs w:val="16"/>
                <w:lang w:val="en-GB"/>
              </w:rPr>
              <w:t xml:space="preserve">depositary, but were not completed </w:t>
            </w:r>
            <w:r w:rsidRPr="00E16672">
              <w:rPr>
                <w:rFonts w:ascii="Times New Roman" w:hAnsi="Times New Roman"/>
                <w:i/>
                <w:sz w:val="16"/>
                <w:szCs w:val="16"/>
                <w:lang w:val="en-GB"/>
              </w:rPr>
              <w:t xml:space="preserve">within three </w:t>
            </w:r>
            <w:r w:rsidR="00B524FF" w:rsidRPr="00F23413">
              <w:rPr>
                <w:rStyle w:val="shorttext"/>
                <w:rFonts w:ascii="Times New Roman" w:hAnsi="Times New Roman"/>
                <w:sz w:val="16"/>
                <w:szCs w:val="16"/>
                <w:lang w:val="en-US"/>
              </w:rPr>
              <w:t>business</w:t>
            </w:r>
            <w:r w:rsidR="0079010F" w:rsidRPr="00E16672">
              <w:rPr>
                <w:rStyle w:val="shorttext"/>
                <w:rFonts w:ascii="Times New Roman" w:hAnsi="Times New Roman"/>
                <w:sz w:val="16"/>
                <w:szCs w:val="16"/>
                <w:lang w:val="uk-UA"/>
              </w:rPr>
              <w:t xml:space="preserve"> </w:t>
            </w:r>
            <w:r w:rsidRPr="00E16672">
              <w:rPr>
                <w:rFonts w:ascii="Times New Roman" w:hAnsi="Times New Roman"/>
                <w:i/>
                <w:sz w:val="16"/>
                <w:szCs w:val="16"/>
                <w:lang w:val="en-GB"/>
              </w:rPr>
              <w:t>days</w:t>
            </w:r>
            <w:r w:rsidRPr="00E16672">
              <w:rPr>
                <w:rFonts w:ascii="Times New Roman" w:hAnsi="Times New Roman"/>
                <w:sz w:val="16"/>
                <w:szCs w:val="16"/>
                <w:lang w:val="en-GB"/>
              </w:rPr>
              <w:t xml:space="preserve"> for reasons beyond the control of the Depository institution (Depository institution order was not in accordance with the internal </w:t>
            </w:r>
            <w:proofErr w:type="spellStart"/>
            <w:r w:rsidRPr="00E16672">
              <w:rPr>
                <w:rFonts w:ascii="Times New Roman" w:hAnsi="Times New Roman"/>
                <w:sz w:val="16"/>
                <w:szCs w:val="16"/>
                <w:lang w:val="en-GB"/>
              </w:rPr>
              <w:t>doccuments</w:t>
            </w:r>
            <w:proofErr w:type="spellEnd"/>
            <w:r w:rsidRPr="00E16672">
              <w:rPr>
                <w:rFonts w:ascii="Times New Roman" w:hAnsi="Times New Roman"/>
                <w:sz w:val="16"/>
                <w:szCs w:val="16"/>
                <w:lang w:val="en-GB"/>
              </w:rPr>
              <w:t xml:space="preserve"> of Central Depository </w:t>
            </w:r>
            <w:r w:rsidRPr="00E16672">
              <w:rPr>
                <w:rFonts w:ascii="Times New Roman" w:hAnsi="Times New Roman"/>
                <w:sz w:val="16"/>
                <w:szCs w:val="16"/>
                <w:lang w:val="en-US"/>
              </w:rPr>
              <w:t xml:space="preserve"> </w:t>
            </w:r>
            <w:r w:rsidRPr="00E16672">
              <w:rPr>
                <w:rFonts w:ascii="Times New Roman" w:hAnsi="Times New Roman"/>
                <w:sz w:val="16"/>
                <w:szCs w:val="16"/>
                <w:lang w:val="en-GB"/>
              </w:rPr>
              <w:t xml:space="preserve">entered by Central Depository </w:t>
            </w:r>
            <w:r w:rsidRPr="00E16672">
              <w:rPr>
                <w:rFonts w:ascii="Times New Roman" w:hAnsi="Times New Roman"/>
                <w:sz w:val="16"/>
                <w:szCs w:val="16"/>
                <w:lang w:val="en-US"/>
              </w:rPr>
              <w:t xml:space="preserve"> </w:t>
            </w:r>
            <w:r w:rsidRPr="00E16672">
              <w:rPr>
                <w:rFonts w:ascii="Times New Roman" w:hAnsi="Times New Roman"/>
                <w:sz w:val="16"/>
                <w:szCs w:val="16"/>
                <w:lang w:val="en-GB"/>
              </w:rPr>
              <w:t xml:space="preserve">to information </w:t>
            </w:r>
            <w:r w:rsidR="004F69E6" w:rsidRPr="00E16672">
              <w:rPr>
                <w:rFonts w:ascii="Times New Roman" w:hAnsi="Times New Roman"/>
                <w:sz w:val="16"/>
                <w:szCs w:val="16"/>
                <w:lang w:val="en-GB"/>
              </w:rPr>
              <w:t>of issued</w:t>
            </w:r>
            <w:r w:rsidRPr="00E16672">
              <w:rPr>
                <w:rFonts w:ascii="Times New Roman" w:hAnsi="Times New Roman"/>
                <w:sz w:val="16"/>
                <w:szCs w:val="16"/>
                <w:lang w:val="en-GB"/>
              </w:rPr>
              <w:t xml:space="preserve"> orders for delivery / receipt of securities) can be cancelled in case it received from the Depositor of order cancellation (revocation) of its previous orders.</w:t>
            </w:r>
          </w:p>
        </w:tc>
      </w:tr>
      <w:tr w:rsidR="00933C25" w:rsidRPr="00F23413" w14:paraId="587D87DA" w14:textId="77777777" w:rsidTr="00D77858">
        <w:tblPrEx>
          <w:tblCellMar>
            <w:left w:w="0" w:type="dxa"/>
            <w:right w:w="0" w:type="dxa"/>
          </w:tblCellMar>
        </w:tblPrEx>
        <w:trPr>
          <w:trHeight w:val="192"/>
        </w:trPr>
        <w:tc>
          <w:tcPr>
            <w:tcW w:w="5696" w:type="dxa"/>
            <w:gridSpan w:val="6"/>
            <w:shd w:val="clear" w:color="auto" w:fill="auto"/>
          </w:tcPr>
          <w:p w14:paraId="267253FC" w14:textId="77777777" w:rsidR="00933C25" w:rsidRPr="00E16672" w:rsidRDefault="00933C25" w:rsidP="00746617">
            <w:pPr>
              <w:tabs>
                <w:tab w:val="left" w:pos="182"/>
              </w:tabs>
              <w:snapToGrid w:val="0"/>
              <w:ind w:left="175" w:right="138" w:firstLine="7"/>
              <w:jc w:val="center"/>
              <w:rPr>
                <w:rFonts w:ascii="Times New Roman" w:hAnsi="Times New Roman"/>
                <w:b/>
                <w:caps/>
                <w:kern w:val="1"/>
                <w:sz w:val="16"/>
                <w:szCs w:val="16"/>
              </w:rPr>
            </w:pPr>
            <w:r w:rsidRPr="00E16672">
              <w:rPr>
                <w:rFonts w:ascii="Times New Roman" w:hAnsi="Times New Roman"/>
                <w:b/>
                <w:caps/>
                <w:sz w:val="16"/>
                <w:szCs w:val="16"/>
              </w:rPr>
              <w:t xml:space="preserve">4. </w:t>
            </w:r>
            <w:r w:rsidRPr="00E16672">
              <w:rPr>
                <w:rFonts w:ascii="Times New Roman" w:hAnsi="Times New Roman"/>
                <w:b/>
                <w:caps/>
                <w:kern w:val="1"/>
                <w:sz w:val="16"/>
                <w:szCs w:val="16"/>
              </w:rPr>
              <w:t xml:space="preserve">Тарифи на послуги та порядок розрахунків </w:t>
            </w:r>
          </w:p>
          <w:p w14:paraId="0B0CAF1C" w14:textId="77777777" w:rsidR="00933C25" w:rsidRPr="00E16672" w:rsidRDefault="00933C25" w:rsidP="00746617">
            <w:pPr>
              <w:tabs>
                <w:tab w:val="left" w:pos="182"/>
              </w:tabs>
              <w:snapToGrid w:val="0"/>
              <w:ind w:left="175" w:right="138" w:firstLine="7"/>
              <w:jc w:val="center"/>
              <w:rPr>
                <w:rFonts w:ascii="Times New Roman" w:hAnsi="Times New Roman"/>
                <w:b/>
                <w:caps/>
                <w:kern w:val="1"/>
                <w:sz w:val="16"/>
                <w:szCs w:val="16"/>
              </w:rPr>
            </w:pPr>
            <w:r w:rsidRPr="00E16672">
              <w:rPr>
                <w:rFonts w:ascii="Times New Roman" w:hAnsi="Times New Roman"/>
                <w:b/>
                <w:caps/>
                <w:kern w:val="1"/>
                <w:sz w:val="16"/>
                <w:szCs w:val="16"/>
              </w:rPr>
              <w:t>за надані послуги</w:t>
            </w:r>
          </w:p>
          <w:p w14:paraId="00A6805F" w14:textId="77777777" w:rsidR="00933C25" w:rsidRPr="00E16672" w:rsidRDefault="00933C25" w:rsidP="00746617">
            <w:pPr>
              <w:tabs>
                <w:tab w:val="left" w:pos="182"/>
              </w:tabs>
              <w:ind w:left="175" w:right="138" w:firstLine="7"/>
              <w:jc w:val="center"/>
              <w:rPr>
                <w:rFonts w:ascii="Times New Roman" w:hAnsi="Times New Roman"/>
                <w:sz w:val="16"/>
                <w:szCs w:val="16"/>
              </w:rPr>
            </w:pPr>
          </w:p>
          <w:p w14:paraId="0E975CA9" w14:textId="77777777" w:rsidR="00933C25" w:rsidRPr="00E16672" w:rsidRDefault="00933C25" w:rsidP="00746617">
            <w:pPr>
              <w:tabs>
                <w:tab w:val="left" w:pos="182"/>
              </w:tabs>
              <w:ind w:left="175" w:right="138" w:firstLine="7"/>
              <w:rPr>
                <w:rFonts w:ascii="Times New Roman" w:hAnsi="Times New Roman"/>
                <w:color w:val="0000FF"/>
                <w:sz w:val="16"/>
                <w:szCs w:val="16"/>
                <w:lang w:val="uk-UA"/>
              </w:rPr>
            </w:pPr>
            <w:r w:rsidRPr="00E16672">
              <w:rPr>
                <w:rFonts w:ascii="Times New Roman" w:hAnsi="Times New Roman"/>
                <w:sz w:val="16"/>
                <w:szCs w:val="16"/>
              </w:rPr>
              <w:t xml:space="preserve">4.1. </w:t>
            </w:r>
            <w:r w:rsidRPr="00E16672">
              <w:rPr>
                <w:rFonts w:ascii="Times New Roman" w:hAnsi="Times New Roman"/>
                <w:sz w:val="16"/>
                <w:szCs w:val="16"/>
                <w:lang w:val="uk-UA"/>
              </w:rPr>
              <w:t xml:space="preserve">Тарифи на </w:t>
            </w:r>
            <w:proofErr w:type="spellStart"/>
            <w:r w:rsidR="002309DA" w:rsidRPr="00E16672">
              <w:rPr>
                <w:rFonts w:ascii="Times New Roman" w:hAnsi="Times New Roman"/>
                <w:bCs/>
                <w:sz w:val="16"/>
                <w:szCs w:val="16"/>
              </w:rPr>
              <w:t>операції</w:t>
            </w:r>
            <w:proofErr w:type="spellEnd"/>
            <w:r w:rsidR="002309DA" w:rsidRPr="00E16672">
              <w:rPr>
                <w:rFonts w:ascii="Times New Roman" w:hAnsi="Times New Roman"/>
                <w:bCs/>
                <w:sz w:val="16"/>
                <w:szCs w:val="16"/>
              </w:rPr>
              <w:t xml:space="preserve"> з </w:t>
            </w:r>
            <w:proofErr w:type="spellStart"/>
            <w:r w:rsidR="002309DA" w:rsidRPr="00E16672">
              <w:rPr>
                <w:rFonts w:ascii="Times New Roman" w:hAnsi="Times New Roman"/>
                <w:bCs/>
                <w:sz w:val="16"/>
                <w:szCs w:val="16"/>
              </w:rPr>
              <w:t>цінними</w:t>
            </w:r>
            <w:proofErr w:type="spellEnd"/>
            <w:r w:rsidR="002309DA" w:rsidRPr="00E16672">
              <w:rPr>
                <w:rFonts w:ascii="Times New Roman" w:hAnsi="Times New Roman"/>
                <w:bCs/>
                <w:sz w:val="16"/>
                <w:szCs w:val="16"/>
              </w:rPr>
              <w:t xml:space="preserve"> </w:t>
            </w:r>
            <w:proofErr w:type="spellStart"/>
            <w:r w:rsidR="002309DA" w:rsidRPr="00E16672">
              <w:rPr>
                <w:rFonts w:ascii="Times New Roman" w:hAnsi="Times New Roman"/>
                <w:bCs/>
                <w:sz w:val="16"/>
                <w:szCs w:val="16"/>
              </w:rPr>
              <w:t>паперами</w:t>
            </w:r>
            <w:proofErr w:type="spellEnd"/>
            <w:r w:rsidRPr="00E16672">
              <w:rPr>
                <w:rFonts w:ascii="Times New Roman" w:hAnsi="Times New Roman"/>
                <w:sz w:val="16"/>
                <w:szCs w:val="16"/>
                <w:lang w:val="uk-UA"/>
              </w:rPr>
              <w:t xml:space="preserve"> Депозитарної установи встановлюються Депозитарною установою самостійно. Підписавши цей Договір, депонент погоджується з тарифами</w:t>
            </w:r>
            <w:r w:rsidR="00084CAE" w:rsidRPr="00E16672">
              <w:rPr>
                <w:rFonts w:ascii="Times New Roman" w:hAnsi="Times New Roman"/>
                <w:sz w:val="16"/>
                <w:szCs w:val="16"/>
              </w:rPr>
              <w:t xml:space="preserve"> </w:t>
            </w:r>
            <w:r w:rsidR="00084CAE" w:rsidRPr="00E16672">
              <w:rPr>
                <w:rFonts w:ascii="Times New Roman" w:hAnsi="Times New Roman"/>
                <w:sz w:val="16"/>
                <w:szCs w:val="16"/>
                <w:lang w:val="uk-UA"/>
              </w:rPr>
              <w:t>Депозитарної установи</w:t>
            </w:r>
            <w:r w:rsidR="00676EEA" w:rsidRPr="00E16672">
              <w:rPr>
                <w:rFonts w:ascii="Times New Roman" w:hAnsi="Times New Roman"/>
                <w:sz w:val="16"/>
                <w:szCs w:val="16"/>
                <w:lang w:val="uk-UA"/>
              </w:rPr>
              <w:t xml:space="preserve"> </w:t>
            </w:r>
            <w:r w:rsidR="00676EEA" w:rsidRPr="00E16672">
              <w:rPr>
                <w:rFonts w:ascii="Times New Roman" w:hAnsi="Times New Roman"/>
                <w:color w:val="000000"/>
                <w:sz w:val="16"/>
                <w:szCs w:val="16"/>
              </w:rPr>
              <w:t xml:space="preserve">на </w:t>
            </w:r>
            <w:proofErr w:type="spellStart"/>
            <w:r w:rsidR="00676EEA" w:rsidRPr="00E16672">
              <w:rPr>
                <w:rFonts w:ascii="Times New Roman" w:hAnsi="Times New Roman"/>
                <w:color w:val="000000"/>
                <w:sz w:val="16"/>
                <w:szCs w:val="16"/>
              </w:rPr>
              <w:t>умовах</w:t>
            </w:r>
            <w:proofErr w:type="spellEnd"/>
            <w:r w:rsidR="00676EEA" w:rsidRPr="00E16672">
              <w:rPr>
                <w:rFonts w:ascii="Times New Roman" w:hAnsi="Times New Roman"/>
                <w:color w:val="000000"/>
                <w:sz w:val="16"/>
                <w:szCs w:val="16"/>
              </w:rPr>
              <w:t xml:space="preserve"> </w:t>
            </w:r>
            <w:proofErr w:type="spellStart"/>
            <w:r w:rsidR="00676EEA" w:rsidRPr="00E16672">
              <w:rPr>
                <w:rFonts w:ascii="Times New Roman" w:hAnsi="Times New Roman"/>
                <w:color w:val="000000"/>
                <w:sz w:val="16"/>
                <w:szCs w:val="16"/>
              </w:rPr>
              <w:t>щомісячної</w:t>
            </w:r>
            <w:proofErr w:type="spellEnd"/>
            <w:r w:rsidR="00676EEA" w:rsidRPr="00E16672">
              <w:rPr>
                <w:rFonts w:ascii="Times New Roman" w:hAnsi="Times New Roman"/>
                <w:color w:val="000000"/>
                <w:sz w:val="16"/>
                <w:szCs w:val="16"/>
              </w:rPr>
              <w:t xml:space="preserve"> оплати</w:t>
            </w:r>
            <w:r w:rsidRPr="00E16672">
              <w:rPr>
                <w:rFonts w:ascii="Times New Roman" w:hAnsi="Times New Roman"/>
                <w:sz w:val="16"/>
                <w:szCs w:val="16"/>
                <w:lang w:val="uk-UA"/>
              </w:rPr>
              <w:t xml:space="preserve">, встановленими Депозитарною установою на дату укладення Договору, які оприлюднені на </w:t>
            </w:r>
            <w:r w:rsidRPr="00E16672">
              <w:rPr>
                <w:rFonts w:ascii="Times New Roman" w:hAnsi="Times New Roman"/>
                <w:bCs/>
                <w:sz w:val="16"/>
                <w:szCs w:val="16"/>
                <w:lang w:val="uk-UA"/>
              </w:rPr>
              <w:t xml:space="preserve">веб-сторінці Депозитарної установи </w:t>
            </w:r>
            <w:hyperlink r:id="rId17" w:history="1">
              <w:r w:rsidR="00E16672">
                <w:rPr>
                  <w:rFonts w:ascii="Times New Roman" w:hAnsi="Times New Roman"/>
                  <w:bCs/>
                  <w:sz w:val="16"/>
                  <w:szCs w:val="16"/>
                  <w:lang w:val="en-US"/>
                </w:rPr>
                <w:t>http</w:t>
              </w:r>
              <w:r w:rsidR="00E16672" w:rsidRPr="00E16672">
                <w:rPr>
                  <w:rFonts w:ascii="Times New Roman" w:hAnsi="Times New Roman"/>
                  <w:bCs/>
                  <w:sz w:val="16"/>
                  <w:szCs w:val="16"/>
                </w:rPr>
                <w:t>://</w:t>
              </w:r>
              <w:proofErr w:type="spellStart"/>
              <w:r w:rsidR="00E16672">
                <w:rPr>
                  <w:rFonts w:ascii="Times New Roman" w:hAnsi="Times New Roman"/>
                  <w:bCs/>
                  <w:sz w:val="16"/>
                  <w:szCs w:val="16"/>
                  <w:lang w:val="en-US"/>
                </w:rPr>
                <w:t>comex</w:t>
              </w:r>
              <w:proofErr w:type="spellEnd"/>
              <w:r w:rsidR="00E16672" w:rsidRPr="00E16672">
                <w:rPr>
                  <w:rFonts w:ascii="Times New Roman" w:hAnsi="Times New Roman"/>
                  <w:bCs/>
                  <w:sz w:val="16"/>
                  <w:szCs w:val="16"/>
                </w:rPr>
                <w:t>.</w:t>
              </w:r>
              <w:proofErr w:type="spellStart"/>
              <w:r w:rsidR="00E16672">
                <w:rPr>
                  <w:rFonts w:ascii="Times New Roman" w:hAnsi="Times New Roman"/>
                  <w:bCs/>
                  <w:sz w:val="16"/>
                  <w:szCs w:val="16"/>
                  <w:lang w:val="en-US"/>
                </w:rPr>
                <w:t>uafin</w:t>
              </w:r>
              <w:proofErr w:type="spellEnd"/>
              <w:r w:rsidR="00E16672" w:rsidRPr="00E16672">
                <w:rPr>
                  <w:rFonts w:ascii="Times New Roman" w:hAnsi="Times New Roman"/>
                  <w:bCs/>
                  <w:sz w:val="16"/>
                  <w:szCs w:val="16"/>
                </w:rPr>
                <w:t>.</w:t>
              </w:r>
              <w:r w:rsidR="00E16672">
                <w:rPr>
                  <w:rFonts w:ascii="Times New Roman" w:hAnsi="Times New Roman"/>
                  <w:bCs/>
                  <w:sz w:val="16"/>
                  <w:szCs w:val="16"/>
                  <w:lang w:val="en-US"/>
                </w:rPr>
                <w:t>net</w:t>
              </w:r>
            </w:hyperlink>
            <w:r w:rsidRPr="00E16672">
              <w:rPr>
                <w:rFonts w:ascii="Times New Roman" w:hAnsi="Times New Roman"/>
                <w:color w:val="0000FF"/>
                <w:sz w:val="16"/>
                <w:szCs w:val="16"/>
                <w:lang w:val="uk-UA"/>
              </w:rPr>
              <w:t>.</w:t>
            </w:r>
          </w:p>
          <w:p w14:paraId="5FCA6FF3" w14:textId="77777777" w:rsidR="00933C25" w:rsidRPr="00E16672" w:rsidRDefault="00933C25" w:rsidP="00746617">
            <w:pPr>
              <w:tabs>
                <w:tab w:val="left" w:pos="182"/>
              </w:tabs>
              <w:ind w:left="175" w:right="138" w:firstLine="7"/>
              <w:rPr>
                <w:rFonts w:ascii="Times New Roman" w:hAnsi="Times New Roman"/>
                <w:sz w:val="16"/>
                <w:szCs w:val="16"/>
                <w:lang w:val="uk-UA"/>
              </w:rPr>
            </w:pPr>
            <w:r w:rsidRPr="00E16672">
              <w:rPr>
                <w:rFonts w:ascii="Times New Roman" w:hAnsi="Times New Roman"/>
                <w:sz w:val="16"/>
                <w:szCs w:val="16"/>
                <w:lang w:val="uk-UA"/>
              </w:rPr>
              <w:t xml:space="preserve">Депозитарна установа  повідомляє про зміни до тарифів на послуги  шляхом розміщення змінених тарифів </w:t>
            </w:r>
            <w:r w:rsidR="001D1BB3" w:rsidRPr="00E16672">
              <w:rPr>
                <w:rFonts w:ascii="Times New Roman" w:hAnsi="Times New Roman"/>
                <w:sz w:val="16"/>
                <w:szCs w:val="16"/>
                <w:lang w:val="uk-UA"/>
              </w:rPr>
              <w:t xml:space="preserve">Депозитарної установи </w:t>
            </w:r>
            <w:r w:rsidRPr="00E16672">
              <w:rPr>
                <w:rFonts w:ascii="Times New Roman" w:hAnsi="Times New Roman"/>
                <w:sz w:val="16"/>
                <w:szCs w:val="16"/>
                <w:lang w:val="uk-UA"/>
              </w:rPr>
              <w:t xml:space="preserve">на </w:t>
            </w:r>
            <w:r w:rsidRPr="00E16672">
              <w:rPr>
                <w:rFonts w:ascii="Times New Roman" w:hAnsi="Times New Roman"/>
                <w:bCs/>
                <w:sz w:val="16"/>
                <w:szCs w:val="16"/>
                <w:lang w:val="uk-UA"/>
              </w:rPr>
              <w:t>веб-сторінці Депозитарної у</w:t>
            </w:r>
            <w:r w:rsidR="00350DB1" w:rsidRPr="00E16672">
              <w:rPr>
                <w:rFonts w:ascii="Times New Roman" w:hAnsi="Times New Roman"/>
                <w:bCs/>
                <w:sz w:val="16"/>
                <w:szCs w:val="16"/>
                <w:lang w:val="uk-UA"/>
              </w:rPr>
              <w:t xml:space="preserve">станови </w:t>
            </w:r>
            <w:hyperlink r:id="rId18" w:history="1">
              <w:r w:rsidR="00E16672">
                <w:rPr>
                  <w:rFonts w:ascii="Times New Roman" w:hAnsi="Times New Roman"/>
                  <w:bCs/>
                  <w:sz w:val="16"/>
                  <w:szCs w:val="16"/>
                  <w:lang w:val="en-US"/>
                </w:rPr>
                <w:t>http</w:t>
              </w:r>
              <w:r w:rsidR="00E16672" w:rsidRPr="00E16672">
                <w:rPr>
                  <w:rFonts w:ascii="Times New Roman" w:hAnsi="Times New Roman"/>
                  <w:bCs/>
                  <w:sz w:val="16"/>
                  <w:szCs w:val="16"/>
                  <w:lang w:val="uk-UA"/>
                </w:rPr>
                <w:t>://</w:t>
              </w:r>
              <w:proofErr w:type="spellStart"/>
              <w:r w:rsidR="00E16672">
                <w:rPr>
                  <w:rFonts w:ascii="Times New Roman" w:hAnsi="Times New Roman"/>
                  <w:bCs/>
                  <w:sz w:val="16"/>
                  <w:szCs w:val="16"/>
                  <w:lang w:val="en-US"/>
                </w:rPr>
                <w:t>comex</w:t>
              </w:r>
              <w:proofErr w:type="spellEnd"/>
              <w:r w:rsidR="00E16672" w:rsidRPr="00E16672">
                <w:rPr>
                  <w:rFonts w:ascii="Times New Roman" w:hAnsi="Times New Roman"/>
                  <w:bCs/>
                  <w:sz w:val="16"/>
                  <w:szCs w:val="16"/>
                  <w:lang w:val="uk-UA"/>
                </w:rPr>
                <w:t>.</w:t>
              </w:r>
              <w:proofErr w:type="spellStart"/>
              <w:r w:rsidR="00E16672">
                <w:rPr>
                  <w:rFonts w:ascii="Times New Roman" w:hAnsi="Times New Roman"/>
                  <w:bCs/>
                  <w:sz w:val="16"/>
                  <w:szCs w:val="16"/>
                  <w:lang w:val="en-US"/>
                </w:rPr>
                <w:t>uafin</w:t>
              </w:r>
              <w:proofErr w:type="spellEnd"/>
              <w:r w:rsidR="00E16672" w:rsidRPr="00E16672">
                <w:rPr>
                  <w:rFonts w:ascii="Times New Roman" w:hAnsi="Times New Roman"/>
                  <w:bCs/>
                  <w:sz w:val="16"/>
                  <w:szCs w:val="16"/>
                  <w:lang w:val="uk-UA"/>
                </w:rPr>
                <w:t>.</w:t>
              </w:r>
              <w:r w:rsidR="00E16672">
                <w:rPr>
                  <w:rFonts w:ascii="Times New Roman" w:hAnsi="Times New Roman"/>
                  <w:bCs/>
                  <w:sz w:val="16"/>
                  <w:szCs w:val="16"/>
                  <w:lang w:val="en-US"/>
                </w:rPr>
                <w:t>net</w:t>
              </w:r>
            </w:hyperlink>
            <w:r w:rsidRPr="00E16672">
              <w:rPr>
                <w:rFonts w:ascii="Times New Roman" w:hAnsi="Times New Roman"/>
                <w:bCs/>
                <w:sz w:val="16"/>
                <w:szCs w:val="16"/>
                <w:lang w:val="uk-UA"/>
              </w:rPr>
              <w:t xml:space="preserve"> </w:t>
            </w:r>
            <w:r w:rsidRPr="00E16672">
              <w:rPr>
                <w:rFonts w:ascii="Times New Roman" w:hAnsi="Times New Roman"/>
                <w:sz w:val="16"/>
                <w:szCs w:val="16"/>
                <w:lang w:val="uk-UA"/>
              </w:rPr>
              <w:t xml:space="preserve">протягом </w:t>
            </w:r>
            <w:r w:rsidRPr="00E16672">
              <w:rPr>
                <w:rFonts w:ascii="Times New Roman" w:hAnsi="Times New Roman"/>
                <w:i/>
                <w:sz w:val="16"/>
                <w:szCs w:val="16"/>
                <w:lang w:val="uk-UA"/>
              </w:rPr>
              <w:t>п'яти</w:t>
            </w:r>
            <w:r w:rsidRPr="00E16672">
              <w:rPr>
                <w:rFonts w:ascii="Times New Roman" w:hAnsi="Times New Roman"/>
                <w:sz w:val="16"/>
                <w:szCs w:val="16"/>
                <w:lang w:val="uk-UA"/>
              </w:rPr>
              <w:t xml:space="preserve"> робочих днів після затвердження відповідних змін. Змінені тарифи </w:t>
            </w:r>
            <w:r w:rsidR="001D1BB3" w:rsidRPr="00E16672">
              <w:rPr>
                <w:rFonts w:ascii="Times New Roman" w:hAnsi="Times New Roman"/>
                <w:sz w:val="16"/>
                <w:szCs w:val="16"/>
                <w:lang w:val="uk-UA"/>
              </w:rPr>
              <w:t xml:space="preserve">Депозитарної установи </w:t>
            </w:r>
            <w:r w:rsidRPr="00E16672">
              <w:rPr>
                <w:rFonts w:ascii="Times New Roman" w:hAnsi="Times New Roman"/>
                <w:sz w:val="16"/>
                <w:szCs w:val="16"/>
                <w:lang w:val="uk-UA"/>
              </w:rPr>
              <w:t>використовуються Сторонами для визначення вартості операцій на дату надання послуг.</w:t>
            </w:r>
          </w:p>
          <w:p w14:paraId="7435973A" w14:textId="77777777" w:rsidR="00933C25" w:rsidRPr="00E16672" w:rsidRDefault="00933C25" w:rsidP="00746617">
            <w:pPr>
              <w:tabs>
                <w:tab w:val="left" w:pos="182"/>
              </w:tabs>
              <w:ind w:left="175" w:right="138" w:firstLine="7"/>
              <w:rPr>
                <w:rFonts w:ascii="Times New Roman" w:hAnsi="Times New Roman"/>
                <w:sz w:val="16"/>
                <w:szCs w:val="16"/>
                <w:lang w:val="uk-UA"/>
              </w:rPr>
            </w:pPr>
            <w:r w:rsidRPr="00E16672">
              <w:rPr>
                <w:rFonts w:ascii="Times New Roman" w:hAnsi="Times New Roman"/>
                <w:sz w:val="16"/>
                <w:szCs w:val="16"/>
                <w:lang w:val="uk-UA"/>
              </w:rPr>
              <w:t>Депонент оплачує послуги Депозитарної установи відповідно до цього Договору та затверджених тарифів Депозитарної установи</w:t>
            </w:r>
            <w:r w:rsidR="00676EEA" w:rsidRPr="00E16672">
              <w:rPr>
                <w:rFonts w:ascii="Times New Roman" w:hAnsi="Times New Roman"/>
                <w:sz w:val="16"/>
                <w:szCs w:val="16"/>
                <w:lang w:val="uk-UA"/>
              </w:rPr>
              <w:t xml:space="preserve"> на умовах щомісячної оплати</w:t>
            </w:r>
            <w:r w:rsidRPr="00E16672">
              <w:rPr>
                <w:rFonts w:ascii="Times New Roman" w:hAnsi="Times New Roman"/>
                <w:sz w:val="16"/>
                <w:szCs w:val="16"/>
                <w:lang w:val="uk-UA"/>
              </w:rPr>
              <w:t>, що є чинними на дату надання послуг.</w:t>
            </w:r>
          </w:p>
          <w:p w14:paraId="46F77B6A" w14:textId="77777777" w:rsidR="00933C25" w:rsidRPr="00E16672" w:rsidRDefault="00933C25" w:rsidP="00746617">
            <w:pPr>
              <w:tabs>
                <w:tab w:val="left" w:pos="182"/>
              </w:tabs>
              <w:ind w:left="175" w:right="138" w:firstLine="7"/>
              <w:rPr>
                <w:rFonts w:ascii="Times New Roman" w:hAnsi="Times New Roman"/>
                <w:sz w:val="16"/>
                <w:szCs w:val="16"/>
                <w:lang w:val="uk-UA"/>
              </w:rPr>
            </w:pPr>
          </w:p>
        </w:tc>
        <w:tc>
          <w:tcPr>
            <w:tcW w:w="5494" w:type="dxa"/>
            <w:gridSpan w:val="7"/>
            <w:shd w:val="clear" w:color="auto" w:fill="auto"/>
          </w:tcPr>
          <w:p w14:paraId="1F46685A" w14:textId="77777777" w:rsidR="00933C25" w:rsidRPr="00E16672" w:rsidRDefault="00933C25" w:rsidP="00746617">
            <w:pPr>
              <w:pStyle w:val="1"/>
              <w:tabs>
                <w:tab w:val="left" w:pos="182"/>
                <w:tab w:val="left" w:pos="287"/>
              </w:tabs>
              <w:snapToGrid w:val="0"/>
              <w:ind w:left="145" w:right="100" w:firstLine="7"/>
              <w:rPr>
                <w:rFonts w:ascii="Times New Roman" w:hAnsi="Times New Roman" w:cs="Times New Roman"/>
                <w:caps/>
                <w:sz w:val="16"/>
                <w:szCs w:val="16"/>
                <w:lang w:val="uk-UA"/>
              </w:rPr>
            </w:pPr>
            <w:r w:rsidRPr="00E16672">
              <w:rPr>
                <w:rFonts w:ascii="Times New Roman" w:hAnsi="Times New Roman" w:cs="Times New Roman"/>
                <w:caps/>
                <w:sz w:val="16"/>
                <w:szCs w:val="16"/>
                <w:lang w:val="uk-UA"/>
              </w:rPr>
              <w:t>4</w:t>
            </w:r>
            <w:r w:rsidRPr="00E16672">
              <w:rPr>
                <w:rFonts w:ascii="Times New Roman" w:hAnsi="Times New Roman" w:cs="Times New Roman"/>
                <w:caps/>
                <w:sz w:val="16"/>
                <w:szCs w:val="16"/>
                <w:lang w:val="en-US"/>
              </w:rPr>
              <w:t>.</w:t>
            </w:r>
            <w:r w:rsidRPr="00E16672">
              <w:rPr>
                <w:rFonts w:ascii="Times New Roman" w:hAnsi="Times New Roman" w:cs="Times New Roman"/>
                <w:caps/>
                <w:sz w:val="16"/>
                <w:szCs w:val="16"/>
                <w:lang w:val="uk-UA"/>
              </w:rPr>
              <w:t xml:space="preserve">  TARIFFS FOR SERVICES AND PAYMENT</w:t>
            </w:r>
          </w:p>
          <w:p w14:paraId="6B1E0C2D" w14:textId="77777777" w:rsidR="00933C25" w:rsidRPr="00E16672" w:rsidRDefault="00933C25" w:rsidP="00746617">
            <w:pPr>
              <w:pStyle w:val="1"/>
              <w:tabs>
                <w:tab w:val="left" w:pos="182"/>
                <w:tab w:val="left" w:pos="287"/>
              </w:tabs>
              <w:snapToGrid w:val="0"/>
              <w:ind w:left="145" w:right="100" w:firstLine="7"/>
              <w:rPr>
                <w:rFonts w:ascii="Times New Roman" w:hAnsi="Times New Roman" w:cs="Times New Roman"/>
                <w:caps/>
                <w:sz w:val="16"/>
                <w:szCs w:val="16"/>
                <w:lang w:val="uk-UA"/>
              </w:rPr>
            </w:pPr>
            <w:r w:rsidRPr="00E16672">
              <w:rPr>
                <w:rFonts w:ascii="Times New Roman" w:hAnsi="Times New Roman" w:cs="Times New Roman"/>
                <w:caps/>
                <w:sz w:val="16"/>
                <w:szCs w:val="16"/>
                <w:lang w:val="uk-UA"/>
              </w:rPr>
              <w:t>For services</w:t>
            </w:r>
          </w:p>
          <w:p w14:paraId="7AC5FF1F" w14:textId="77777777" w:rsidR="00933C25" w:rsidRPr="00E16672" w:rsidRDefault="00933C25" w:rsidP="00746617">
            <w:pPr>
              <w:tabs>
                <w:tab w:val="left" w:pos="182"/>
                <w:tab w:val="left" w:pos="287"/>
              </w:tabs>
              <w:ind w:left="145" w:right="100" w:firstLine="7"/>
              <w:rPr>
                <w:rFonts w:ascii="Times New Roman" w:hAnsi="Times New Roman"/>
                <w:sz w:val="10"/>
                <w:szCs w:val="10"/>
                <w:lang w:val="en-US"/>
              </w:rPr>
            </w:pPr>
          </w:p>
          <w:p w14:paraId="18D9544E" w14:textId="77777777" w:rsidR="00933C25" w:rsidRPr="00E16672" w:rsidRDefault="00933C25" w:rsidP="00746617">
            <w:pPr>
              <w:tabs>
                <w:tab w:val="left" w:pos="182"/>
              </w:tabs>
              <w:spacing w:before="57" w:after="57"/>
              <w:ind w:left="57" w:right="100" w:firstLine="7"/>
              <w:rPr>
                <w:rFonts w:ascii="Times New Roman" w:hAnsi="Times New Roman"/>
                <w:sz w:val="16"/>
                <w:szCs w:val="16"/>
                <w:lang w:val="en-GB"/>
              </w:rPr>
            </w:pPr>
            <w:r w:rsidRPr="00E16672">
              <w:rPr>
                <w:rFonts w:ascii="Times New Roman" w:hAnsi="Times New Roman"/>
                <w:sz w:val="16"/>
                <w:szCs w:val="16"/>
                <w:lang w:val="en-GB"/>
              </w:rPr>
              <w:t xml:space="preserve">4.1. Tariffs on depositary </w:t>
            </w:r>
            <w:r w:rsidR="002309DA" w:rsidRPr="00F23413">
              <w:rPr>
                <w:rFonts w:ascii="Times New Roman" w:hAnsi="Times New Roman"/>
                <w:sz w:val="16"/>
                <w:szCs w:val="16"/>
                <w:lang w:val="en-US"/>
              </w:rPr>
              <w:t xml:space="preserve">transactions </w:t>
            </w:r>
            <w:r w:rsidRPr="00E16672">
              <w:rPr>
                <w:rFonts w:ascii="Times New Roman" w:hAnsi="Times New Roman"/>
                <w:sz w:val="16"/>
                <w:szCs w:val="16"/>
                <w:lang w:val="en-GB"/>
              </w:rPr>
              <w:t xml:space="preserve">of Depository institution are set </w:t>
            </w:r>
            <w:proofErr w:type="gramStart"/>
            <w:r w:rsidRPr="00E16672">
              <w:rPr>
                <w:rFonts w:ascii="Times New Roman" w:hAnsi="Times New Roman"/>
                <w:sz w:val="16"/>
                <w:szCs w:val="16"/>
                <w:lang w:val="en-GB"/>
              </w:rPr>
              <w:t>by  Depository</w:t>
            </w:r>
            <w:proofErr w:type="gramEnd"/>
            <w:r w:rsidRPr="00E16672">
              <w:rPr>
                <w:rFonts w:ascii="Times New Roman" w:hAnsi="Times New Roman"/>
                <w:sz w:val="16"/>
                <w:szCs w:val="16"/>
                <w:lang w:val="en-GB"/>
              </w:rPr>
              <w:t xml:space="preserve"> institution independently. By signing this </w:t>
            </w:r>
            <w:r w:rsidRPr="00E16672">
              <w:rPr>
                <w:rFonts w:ascii="Times New Roman" w:hAnsi="Times New Roman"/>
                <w:sz w:val="16"/>
                <w:szCs w:val="16"/>
              </w:rPr>
              <w:t>А</w:t>
            </w:r>
            <w:proofErr w:type="spellStart"/>
            <w:r w:rsidRPr="00E16672">
              <w:rPr>
                <w:rFonts w:ascii="Times New Roman" w:hAnsi="Times New Roman"/>
                <w:sz w:val="16"/>
                <w:szCs w:val="16"/>
                <w:lang w:val="en-GB"/>
              </w:rPr>
              <w:t>greement</w:t>
            </w:r>
            <w:proofErr w:type="spellEnd"/>
            <w:r w:rsidRPr="00E16672">
              <w:rPr>
                <w:rFonts w:ascii="Times New Roman" w:hAnsi="Times New Roman"/>
                <w:sz w:val="16"/>
                <w:szCs w:val="16"/>
                <w:lang w:val="en-GB"/>
              </w:rPr>
              <w:t>, the depositor agrees to tariff</w:t>
            </w:r>
            <w:r w:rsidRPr="00E16672">
              <w:rPr>
                <w:rFonts w:ascii="Times New Roman" w:hAnsi="Times New Roman"/>
                <w:sz w:val="16"/>
                <w:szCs w:val="16"/>
                <w:lang w:val="uk-UA"/>
              </w:rPr>
              <w:t xml:space="preserve"> </w:t>
            </w:r>
            <w:proofErr w:type="spellStart"/>
            <w:r w:rsidRPr="00E16672">
              <w:rPr>
                <w:rFonts w:ascii="Times New Roman" w:hAnsi="Times New Roman"/>
                <w:sz w:val="16"/>
                <w:szCs w:val="16"/>
                <w:lang w:val="uk-UA"/>
              </w:rPr>
              <w:t>for</w:t>
            </w:r>
            <w:proofErr w:type="spellEnd"/>
            <w:r w:rsidRPr="00E16672">
              <w:rPr>
                <w:rFonts w:ascii="Times New Roman" w:hAnsi="Times New Roman"/>
                <w:sz w:val="16"/>
                <w:szCs w:val="16"/>
                <w:lang w:val="uk-UA"/>
              </w:rPr>
              <w:t xml:space="preserve"> </w:t>
            </w:r>
            <w:proofErr w:type="spellStart"/>
            <w:r w:rsidRPr="00E16672">
              <w:rPr>
                <w:rFonts w:ascii="Times New Roman" w:hAnsi="Times New Roman"/>
                <w:sz w:val="16"/>
                <w:szCs w:val="16"/>
                <w:lang w:val="uk-UA"/>
              </w:rPr>
              <w:t>legal</w:t>
            </w:r>
            <w:proofErr w:type="spellEnd"/>
            <w:r w:rsidRPr="00E16672">
              <w:rPr>
                <w:rFonts w:ascii="Times New Roman" w:hAnsi="Times New Roman"/>
                <w:sz w:val="16"/>
                <w:szCs w:val="16"/>
                <w:lang w:val="uk-UA"/>
              </w:rPr>
              <w:t xml:space="preserve"> </w:t>
            </w:r>
            <w:proofErr w:type="spellStart"/>
            <w:r w:rsidRPr="00E16672">
              <w:rPr>
                <w:rFonts w:ascii="Times New Roman" w:hAnsi="Times New Roman"/>
                <w:sz w:val="16"/>
                <w:szCs w:val="16"/>
                <w:lang w:val="uk-UA"/>
              </w:rPr>
              <w:t>entities</w:t>
            </w:r>
            <w:proofErr w:type="spellEnd"/>
            <w:r w:rsidRPr="00E16672">
              <w:rPr>
                <w:rFonts w:ascii="Times New Roman" w:hAnsi="Times New Roman"/>
                <w:sz w:val="16"/>
                <w:szCs w:val="16"/>
                <w:lang w:val="uk-UA"/>
              </w:rPr>
              <w:t xml:space="preserve"> </w:t>
            </w:r>
            <w:proofErr w:type="spellStart"/>
            <w:r w:rsidRPr="00E16672">
              <w:rPr>
                <w:rFonts w:ascii="Times New Roman" w:hAnsi="Times New Roman"/>
                <w:sz w:val="16"/>
                <w:szCs w:val="16"/>
                <w:lang w:val="uk-UA"/>
              </w:rPr>
              <w:t>nonresidents</w:t>
            </w:r>
            <w:proofErr w:type="spellEnd"/>
            <w:r w:rsidRPr="00E16672">
              <w:rPr>
                <w:rFonts w:ascii="Times New Roman" w:hAnsi="Times New Roman"/>
                <w:sz w:val="16"/>
                <w:szCs w:val="16"/>
                <w:lang w:val="uk-UA"/>
              </w:rPr>
              <w:t xml:space="preserve"> </w:t>
            </w:r>
            <w:proofErr w:type="spellStart"/>
            <w:r w:rsidRPr="00E16672">
              <w:rPr>
                <w:rFonts w:ascii="Times New Roman" w:hAnsi="Times New Roman"/>
                <w:sz w:val="16"/>
                <w:szCs w:val="16"/>
                <w:lang w:val="uk-UA"/>
              </w:rPr>
              <w:t>for</w:t>
            </w:r>
            <w:proofErr w:type="spellEnd"/>
            <w:r w:rsidRPr="00E16672">
              <w:rPr>
                <w:rFonts w:ascii="Times New Roman" w:hAnsi="Times New Roman"/>
                <w:sz w:val="16"/>
                <w:szCs w:val="16"/>
                <w:lang w:val="uk-UA"/>
              </w:rPr>
              <w:t xml:space="preserve"> a </w:t>
            </w:r>
            <w:proofErr w:type="spellStart"/>
            <w:r w:rsidRPr="00E16672">
              <w:rPr>
                <w:rFonts w:ascii="Times New Roman" w:hAnsi="Times New Roman"/>
                <w:sz w:val="16"/>
                <w:szCs w:val="16"/>
                <w:lang w:val="uk-UA"/>
              </w:rPr>
              <w:t>monthly</w:t>
            </w:r>
            <w:proofErr w:type="spellEnd"/>
            <w:r w:rsidRPr="00E16672">
              <w:rPr>
                <w:rFonts w:ascii="Times New Roman" w:hAnsi="Times New Roman"/>
                <w:sz w:val="16"/>
                <w:szCs w:val="16"/>
                <w:lang w:val="uk-UA"/>
              </w:rPr>
              <w:t xml:space="preserve"> </w:t>
            </w:r>
            <w:proofErr w:type="spellStart"/>
            <w:r w:rsidRPr="00E16672">
              <w:rPr>
                <w:rFonts w:ascii="Times New Roman" w:hAnsi="Times New Roman"/>
                <w:sz w:val="16"/>
                <w:szCs w:val="16"/>
                <w:lang w:val="uk-UA"/>
              </w:rPr>
              <w:t>payment</w:t>
            </w:r>
            <w:proofErr w:type="spellEnd"/>
            <w:r w:rsidRPr="00E16672">
              <w:rPr>
                <w:rFonts w:ascii="Times New Roman" w:hAnsi="Times New Roman"/>
                <w:sz w:val="16"/>
                <w:szCs w:val="16"/>
                <w:lang w:val="en-GB"/>
              </w:rPr>
              <w:t xml:space="preserve"> set by the Depository institution on the date of conclusion the Agreement, placed</w:t>
            </w:r>
            <w:r w:rsidRPr="00E16672">
              <w:rPr>
                <w:rFonts w:ascii="Times New Roman" w:eastAsia="Arial" w:hAnsi="Times New Roman"/>
                <w:sz w:val="16"/>
                <w:szCs w:val="16"/>
                <w:lang w:val="uk-UA"/>
              </w:rPr>
              <w:t xml:space="preserve"> </w:t>
            </w:r>
            <w:proofErr w:type="spellStart"/>
            <w:r w:rsidRPr="00E16672">
              <w:rPr>
                <w:rFonts w:ascii="Times New Roman" w:eastAsia="Arial" w:hAnsi="Times New Roman"/>
                <w:sz w:val="16"/>
                <w:szCs w:val="16"/>
                <w:lang w:val="uk-UA"/>
              </w:rPr>
              <w:t>on</w:t>
            </w:r>
            <w:proofErr w:type="spellEnd"/>
            <w:r w:rsidRPr="00E16672">
              <w:rPr>
                <w:rFonts w:ascii="Times New Roman" w:eastAsia="Arial" w:hAnsi="Times New Roman"/>
                <w:sz w:val="16"/>
                <w:szCs w:val="16"/>
                <w:lang w:val="uk-UA"/>
              </w:rPr>
              <w:t xml:space="preserve"> a </w:t>
            </w:r>
            <w:proofErr w:type="spellStart"/>
            <w:r w:rsidRPr="00E16672">
              <w:rPr>
                <w:rFonts w:ascii="Times New Roman" w:eastAsia="Arial" w:hAnsi="Times New Roman"/>
                <w:sz w:val="16"/>
                <w:szCs w:val="16"/>
                <w:lang w:val="uk-UA"/>
              </w:rPr>
              <w:t>website</w:t>
            </w:r>
            <w:proofErr w:type="spellEnd"/>
            <w:r w:rsidRPr="00E16672">
              <w:rPr>
                <w:rFonts w:ascii="Times New Roman" w:eastAsia="Arial" w:hAnsi="Times New Roman"/>
                <w:sz w:val="16"/>
                <w:szCs w:val="16"/>
                <w:lang w:val="uk-UA"/>
              </w:rPr>
              <w:t xml:space="preserve"> </w:t>
            </w:r>
            <w:proofErr w:type="spellStart"/>
            <w:r w:rsidRPr="00E16672">
              <w:rPr>
                <w:rFonts w:ascii="Times New Roman" w:eastAsia="Arial" w:hAnsi="Times New Roman"/>
                <w:sz w:val="16"/>
                <w:szCs w:val="16"/>
                <w:lang w:val="uk-UA"/>
              </w:rPr>
              <w:t>of</w:t>
            </w:r>
            <w:proofErr w:type="spellEnd"/>
            <w:r w:rsidRPr="00E16672">
              <w:rPr>
                <w:rFonts w:ascii="Times New Roman" w:eastAsia="Arial" w:hAnsi="Times New Roman"/>
                <w:sz w:val="16"/>
                <w:szCs w:val="16"/>
                <w:lang w:val="uk-UA"/>
              </w:rPr>
              <w:t xml:space="preserve"> </w:t>
            </w:r>
            <w:proofErr w:type="spellStart"/>
            <w:r w:rsidRPr="00E16672">
              <w:rPr>
                <w:rFonts w:ascii="Times New Roman" w:eastAsia="Arial" w:hAnsi="Times New Roman"/>
                <w:sz w:val="16"/>
                <w:szCs w:val="16"/>
                <w:lang w:val="uk-UA"/>
              </w:rPr>
              <w:t>Depository</w:t>
            </w:r>
            <w:proofErr w:type="spellEnd"/>
            <w:r w:rsidRPr="00E16672">
              <w:rPr>
                <w:rFonts w:ascii="Times New Roman" w:eastAsia="Arial" w:hAnsi="Times New Roman"/>
                <w:sz w:val="16"/>
                <w:szCs w:val="16"/>
                <w:lang w:val="uk-UA"/>
              </w:rPr>
              <w:t xml:space="preserve"> </w:t>
            </w:r>
            <w:proofErr w:type="spellStart"/>
            <w:r w:rsidRPr="00E16672">
              <w:rPr>
                <w:rFonts w:ascii="Times New Roman" w:eastAsia="Arial" w:hAnsi="Times New Roman"/>
                <w:sz w:val="16"/>
                <w:szCs w:val="16"/>
                <w:lang w:val="uk-UA"/>
              </w:rPr>
              <w:t>institution</w:t>
            </w:r>
            <w:proofErr w:type="spellEnd"/>
            <w:r w:rsidRPr="00E16672">
              <w:rPr>
                <w:rFonts w:ascii="Times New Roman" w:eastAsia="Arial" w:hAnsi="Times New Roman"/>
                <w:sz w:val="16"/>
                <w:szCs w:val="16"/>
                <w:lang w:val="uk-UA"/>
              </w:rPr>
              <w:t xml:space="preserve"> </w:t>
            </w:r>
            <w:hyperlink r:id="rId19" w:history="1">
              <w:r w:rsidR="00E16672">
                <w:rPr>
                  <w:rFonts w:ascii="Times New Roman" w:hAnsi="Times New Roman"/>
                  <w:bCs/>
                  <w:sz w:val="16"/>
                  <w:szCs w:val="16"/>
                  <w:lang w:val="en-US"/>
                </w:rPr>
                <w:t>http://comex.uafin.net</w:t>
              </w:r>
            </w:hyperlink>
            <w:r w:rsidRPr="00E16672">
              <w:rPr>
                <w:rFonts w:ascii="Times New Roman" w:hAnsi="Times New Roman"/>
                <w:sz w:val="16"/>
                <w:szCs w:val="16"/>
                <w:lang w:val="en-GB"/>
              </w:rPr>
              <w:t>.</w:t>
            </w:r>
          </w:p>
          <w:p w14:paraId="6483FA8B" w14:textId="77777777" w:rsidR="00933C25" w:rsidRPr="00E16672" w:rsidRDefault="00933C25" w:rsidP="00755BAD">
            <w:pPr>
              <w:tabs>
                <w:tab w:val="left" w:pos="182"/>
              </w:tabs>
              <w:ind w:left="57" w:right="102" w:firstLine="6"/>
              <w:rPr>
                <w:rFonts w:ascii="Times New Roman" w:hAnsi="Times New Roman"/>
                <w:sz w:val="16"/>
                <w:szCs w:val="16"/>
                <w:lang w:val="en-GB"/>
              </w:rPr>
            </w:pPr>
            <w:r w:rsidRPr="00E16672">
              <w:rPr>
                <w:rFonts w:ascii="Times New Roman" w:hAnsi="Times New Roman"/>
                <w:sz w:val="16"/>
                <w:szCs w:val="16"/>
                <w:lang w:val="en-GB"/>
              </w:rPr>
              <w:t>Depository institution reports</w:t>
            </w:r>
            <w:r w:rsidRPr="00E16672">
              <w:rPr>
                <w:rFonts w:ascii="Times New Roman" w:hAnsi="Times New Roman"/>
                <w:sz w:val="16"/>
                <w:szCs w:val="16"/>
                <w:lang w:val="en-US"/>
              </w:rPr>
              <w:t xml:space="preserve"> about </w:t>
            </w:r>
            <w:r w:rsidRPr="00E16672">
              <w:rPr>
                <w:rFonts w:ascii="Times New Roman" w:hAnsi="Times New Roman"/>
                <w:sz w:val="16"/>
                <w:szCs w:val="16"/>
                <w:lang w:val="en-GB"/>
              </w:rPr>
              <w:t xml:space="preserve">changes to tariffs </w:t>
            </w:r>
            <w:r w:rsidRPr="00E16672">
              <w:rPr>
                <w:rFonts w:ascii="Times New Roman" w:hAnsi="Times New Roman"/>
                <w:sz w:val="16"/>
                <w:szCs w:val="16"/>
                <w:lang w:val="en-US"/>
              </w:rPr>
              <w:t>for services by placing changed</w:t>
            </w:r>
            <w:r w:rsidRPr="00E16672">
              <w:rPr>
                <w:rFonts w:ascii="Times New Roman" w:hAnsi="Times New Roman"/>
                <w:sz w:val="16"/>
                <w:szCs w:val="16"/>
                <w:lang w:val="en-GB"/>
              </w:rPr>
              <w:t xml:space="preserve"> tariffs</w:t>
            </w:r>
            <w:r w:rsidRPr="00E16672">
              <w:rPr>
                <w:rFonts w:ascii="Times New Roman" w:hAnsi="Times New Roman"/>
                <w:sz w:val="16"/>
                <w:szCs w:val="16"/>
                <w:lang w:val="en-US"/>
              </w:rPr>
              <w:t xml:space="preserve"> </w:t>
            </w:r>
            <w:r w:rsidR="001D1BB3" w:rsidRPr="00E16672">
              <w:rPr>
                <w:rFonts w:ascii="Times New Roman" w:hAnsi="Times New Roman"/>
                <w:sz w:val="16"/>
                <w:szCs w:val="16"/>
                <w:lang w:val="en-GB"/>
              </w:rPr>
              <w:t xml:space="preserve">of Depository institution </w:t>
            </w:r>
            <w:r w:rsidRPr="00E16672">
              <w:rPr>
                <w:rFonts w:ascii="Times New Roman" w:hAnsi="Times New Roman"/>
                <w:sz w:val="16"/>
                <w:szCs w:val="16"/>
                <w:lang w:val="en-US"/>
              </w:rPr>
              <w:t xml:space="preserve">on </w:t>
            </w:r>
            <w:r w:rsidRPr="00E16672">
              <w:rPr>
                <w:rFonts w:ascii="Times New Roman" w:hAnsi="Times New Roman"/>
                <w:sz w:val="16"/>
                <w:szCs w:val="16"/>
                <w:lang w:val="en-GB"/>
              </w:rPr>
              <w:t>website</w:t>
            </w:r>
            <w:r w:rsidRPr="00E16672">
              <w:rPr>
                <w:rFonts w:ascii="Times New Roman" w:hAnsi="Times New Roman"/>
                <w:sz w:val="16"/>
                <w:szCs w:val="16"/>
                <w:lang w:val="en-US"/>
              </w:rPr>
              <w:t xml:space="preserve"> of D</w:t>
            </w:r>
            <w:proofErr w:type="spellStart"/>
            <w:r w:rsidRPr="00E16672">
              <w:rPr>
                <w:rFonts w:ascii="Times New Roman" w:hAnsi="Times New Roman"/>
                <w:sz w:val="16"/>
                <w:szCs w:val="16"/>
                <w:lang w:val="en-GB"/>
              </w:rPr>
              <w:t>epository</w:t>
            </w:r>
            <w:proofErr w:type="spellEnd"/>
            <w:r w:rsidRPr="00E16672">
              <w:rPr>
                <w:rFonts w:ascii="Times New Roman" w:hAnsi="Times New Roman"/>
                <w:sz w:val="16"/>
                <w:szCs w:val="16"/>
                <w:lang w:val="en-GB"/>
              </w:rPr>
              <w:t xml:space="preserve"> institution </w:t>
            </w:r>
            <w:hyperlink r:id="rId20" w:history="1">
              <w:r w:rsidR="00E16672">
                <w:rPr>
                  <w:rFonts w:ascii="Times New Roman" w:hAnsi="Times New Roman"/>
                  <w:bCs/>
                  <w:sz w:val="16"/>
                  <w:szCs w:val="16"/>
                  <w:lang w:val="en-US"/>
                </w:rPr>
                <w:t>http://comex.uafin.net</w:t>
              </w:r>
            </w:hyperlink>
            <w:r w:rsidRPr="00E16672">
              <w:rPr>
                <w:rFonts w:ascii="Times New Roman" w:hAnsi="Times New Roman"/>
                <w:bCs/>
                <w:sz w:val="16"/>
                <w:szCs w:val="16"/>
                <w:lang w:val="uk-UA"/>
              </w:rPr>
              <w:t xml:space="preserve"> </w:t>
            </w:r>
            <w:r w:rsidRPr="00E16672">
              <w:rPr>
                <w:rFonts w:ascii="Times New Roman" w:hAnsi="Times New Roman"/>
                <w:sz w:val="16"/>
                <w:szCs w:val="16"/>
                <w:lang w:val="en-GB"/>
              </w:rPr>
              <w:t xml:space="preserve">within </w:t>
            </w:r>
            <w:r w:rsidRPr="00E16672">
              <w:rPr>
                <w:rFonts w:ascii="Times New Roman" w:hAnsi="Times New Roman"/>
                <w:i/>
                <w:sz w:val="16"/>
                <w:szCs w:val="16"/>
                <w:lang w:val="en-GB"/>
              </w:rPr>
              <w:t xml:space="preserve">five </w:t>
            </w:r>
            <w:r w:rsidR="0087028D" w:rsidRPr="00F23413">
              <w:rPr>
                <w:rStyle w:val="shorttext"/>
                <w:rFonts w:ascii="Times New Roman" w:hAnsi="Times New Roman"/>
                <w:i/>
                <w:sz w:val="16"/>
                <w:szCs w:val="16"/>
                <w:lang w:val="en-US"/>
              </w:rPr>
              <w:t>business</w:t>
            </w:r>
            <w:r w:rsidRPr="00E16672">
              <w:rPr>
                <w:rFonts w:ascii="Times New Roman" w:hAnsi="Times New Roman"/>
                <w:i/>
                <w:sz w:val="16"/>
                <w:szCs w:val="16"/>
                <w:lang w:val="en-GB"/>
              </w:rPr>
              <w:t>days</w:t>
            </w:r>
            <w:r w:rsidRPr="00E16672">
              <w:rPr>
                <w:rFonts w:ascii="Times New Roman" w:hAnsi="Times New Roman"/>
                <w:sz w:val="16"/>
                <w:szCs w:val="16"/>
                <w:lang w:val="en-GB"/>
              </w:rPr>
              <w:t xml:space="preserve"> after approval of the relevant changes. Changed tariffs </w:t>
            </w:r>
            <w:r w:rsidR="001D1BB3" w:rsidRPr="00E16672">
              <w:rPr>
                <w:rFonts w:ascii="Times New Roman" w:hAnsi="Times New Roman"/>
                <w:sz w:val="16"/>
                <w:szCs w:val="16"/>
                <w:lang w:val="en-GB"/>
              </w:rPr>
              <w:t xml:space="preserve">of Depository institution </w:t>
            </w:r>
            <w:r w:rsidRPr="00E16672">
              <w:rPr>
                <w:rFonts w:ascii="Times New Roman" w:hAnsi="Times New Roman"/>
                <w:sz w:val="16"/>
                <w:szCs w:val="16"/>
                <w:lang w:val="en-GB"/>
              </w:rPr>
              <w:t xml:space="preserve">used by the Parties to determine the value of </w:t>
            </w:r>
            <w:r w:rsidRPr="00E16672">
              <w:rPr>
                <w:rFonts w:ascii="Times New Roman" w:hAnsi="Times New Roman"/>
                <w:sz w:val="16"/>
                <w:szCs w:val="16"/>
                <w:lang w:val="en-US"/>
              </w:rPr>
              <w:t>operations</w:t>
            </w:r>
            <w:r w:rsidRPr="00E16672">
              <w:rPr>
                <w:rFonts w:ascii="Times New Roman" w:hAnsi="Times New Roman"/>
                <w:sz w:val="16"/>
                <w:szCs w:val="16"/>
                <w:lang w:val="en-GB"/>
              </w:rPr>
              <w:t xml:space="preserve"> on the date of service.</w:t>
            </w:r>
          </w:p>
          <w:p w14:paraId="362F87E7" w14:textId="77777777" w:rsidR="00933C25" w:rsidRPr="00E16672" w:rsidRDefault="00933C25" w:rsidP="00755BAD">
            <w:pPr>
              <w:tabs>
                <w:tab w:val="left" w:pos="182"/>
                <w:tab w:val="left" w:pos="287"/>
              </w:tabs>
              <w:ind w:left="145" w:right="102" w:firstLine="6"/>
              <w:rPr>
                <w:rFonts w:ascii="Times New Roman" w:hAnsi="Times New Roman"/>
                <w:sz w:val="16"/>
                <w:szCs w:val="16"/>
                <w:lang w:val="en-GB"/>
              </w:rPr>
            </w:pPr>
            <w:r w:rsidRPr="00E16672">
              <w:rPr>
                <w:rFonts w:ascii="Times New Roman" w:hAnsi="Times New Roman"/>
                <w:sz w:val="16"/>
                <w:szCs w:val="16"/>
                <w:lang w:val="en-GB"/>
              </w:rPr>
              <w:t>A depositor pays services of Depository institution in accordance with this Agreement and ratified tariffs of Depository institution</w:t>
            </w:r>
            <w:r w:rsidR="00676EEA" w:rsidRPr="00E16672">
              <w:rPr>
                <w:rFonts w:ascii="Times New Roman" w:hAnsi="Times New Roman"/>
                <w:sz w:val="16"/>
                <w:szCs w:val="16"/>
                <w:lang w:val="uk-UA"/>
              </w:rPr>
              <w:t xml:space="preserve"> </w:t>
            </w:r>
            <w:proofErr w:type="spellStart"/>
            <w:r w:rsidR="00676EEA" w:rsidRPr="00E16672">
              <w:rPr>
                <w:rFonts w:ascii="Times New Roman" w:hAnsi="Times New Roman"/>
                <w:sz w:val="16"/>
                <w:szCs w:val="16"/>
                <w:lang w:val="uk-UA"/>
              </w:rPr>
              <w:t>for</w:t>
            </w:r>
            <w:proofErr w:type="spellEnd"/>
            <w:r w:rsidR="00676EEA" w:rsidRPr="00E16672">
              <w:rPr>
                <w:rFonts w:ascii="Times New Roman" w:hAnsi="Times New Roman"/>
                <w:sz w:val="16"/>
                <w:szCs w:val="16"/>
                <w:lang w:val="uk-UA"/>
              </w:rPr>
              <w:t xml:space="preserve"> a </w:t>
            </w:r>
            <w:proofErr w:type="spellStart"/>
            <w:r w:rsidR="00676EEA" w:rsidRPr="00E16672">
              <w:rPr>
                <w:rFonts w:ascii="Times New Roman" w:hAnsi="Times New Roman"/>
                <w:sz w:val="16"/>
                <w:szCs w:val="16"/>
                <w:lang w:val="uk-UA"/>
              </w:rPr>
              <w:t>monthly</w:t>
            </w:r>
            <w:proofErr w:type="spellEnd"/>
            <w:r w:rsidR="00676EEA" w:rsidRPr="00E16672">
              <w:rPr>
                <w:rFonts w:ascii="Times New Roman" w:hAnsi="Times New Roman"/>
                <w:sz w:val="16"/>
                <w:szCs w:val="16"/>
                <w:lang w:val="uk-UA"/>
              </w:rPr>
              <w:t xml:space="preserve"> </w:t>
            </w:r>
            <w:proofErr w:type="spellStart"/>
            <w:r w:rsidR="00676EEA" w:rsidRPr="00E16672">
              <w:rPr>
                <w:rFonts w:ascii="Times New Roman" w:hAnsi="Times New Roman"/>
                <w:sz w:val="16"/>
                <w:szCs w:val="16"/>
                <w:lang w:val="uk-UA"/>
              </w:rPr>
              <w:t>payment</w:t>
            </w:r>
            <w:proofErr w:type="spellEnd"/>
            <w:r w:rsidRPr="00E16672">
              <w:rPr>
                <w:rFonts w:ascii="Times New Roman" w:hAnsi="Times New Roman"/>
                <w:sz w:val="16"/>
                <w:szCs w:val="16"/>
                <w:lang w:val="en-GB"/>
              </w:rPr>
              <w:t>, in force on the date of service.</w:t>
            </w:r>
          </w:p>
        </w:tc>
      </w:tr>
      <w:tr w:rsidR="00933C25" w:rsidRPr="00F23413" w14:paraId="5142C4BC" w14:textId="77777777" w:rsidTr="00D77858">
        <w:tblPrEx>
          <w:tblCellMar>
            <w:left w:w="0" w:type="dxa"/>
            <w:right w:w="0" w:type="dxa"/>
          </w:tblCellMar>
        </w:tblPrEx>
        <w:trPr>
          <w:trHeight w:val="192"/>
        </w:trPr>
        <w:tc>
          <w:tcPr>
            <w:tcW w:w="5696" w:type="dxa"/>
            <w:gridSpan w:val="6"/>
            <w:shd w:val="clear" w:color="auto" w:fill="auto"/>
          </w:tcPr>
          <w:p w14:paraId="62D1955A" w14:textId="77777777" w:rsidR="00933C25" w:rsidRPr="00E16672" w:rsidRDefault="00933C25" w:rsidP="00746617">
            <w:pPr>
              <w:pStyle w:val="310"/>
              <w:tabs>
                <w:tab w:val="left" w:pos="182"/>
              </w:tabs>
              <w:snapToGrid w:val="0"/>
              <w:ind w:left="175" w:right="138" w:firstLine="7"/>
              <w:rPr>
                <w:rFonts w:ascii="Times New Roman" w:hAnsi="Times New Roman"/>
                <w:sz w:val="16"/>
                <w:szCs w:val="16"/>
              </w:rPr>
            </w:pPr>
            <w:r w:rsidRPr="00E16672">
              <w:rPr>
                <w:rFonts w:ascii="Times New Roman" w:hAnsi="Times New Roman"/>
                <w:sz w:val="16"/>
                <w:szCs w:val="16"/>
              </w:rPr>
              <w:t xml:space="preserve">4.2.Оплата за послуги Депозитарної установи здійснюється на підставі </w:t>
            </w:r>
            <w:r w:rsidRPr="00E16672">
              <w:rPr>
                <w:rFonts w:ascii="Times New Roman" w:hAnsi="Times New Roman"/>
                <w:sz w:val="16"/>
                <w:szCs w:val="16"/>
                <w:lang w:val="ru-RU"/>
              </w:rPr>
              <w:t xml:space="preserve">акту </w:t>
            </w:r>
            <w:r w:rsidRPr="00E16672">
              <w:rPr>
                <w:rFonts w:ascii="Times New Roman" w:hAnsi="Times New Roman"/>
                <w:sz w:val="16"/>
                <w:szCs w:val="16"/>
              </w:rPr>
              <w:t xml:space="preserve">виконаних операцій Депозитарної установи або рахунку по реквізитах, вказаних в </w:t>
            </w:r>
            <w:r w:rsidRPr="00E16672">
              <w:rPr>
                <w:rFonts w:ascii="Times New Roman" w:hAnsi="Times New Roman"/>
                <w:sz w:val="16"/>
                <w:szCs w:val="16"/>
                <w:lang w:val="ru-RU"/>
              </w:rPr>
              <w:t>а</w:t>
            </w:r>
            <w:proofErr w:type="spellStart"/>
            <w:r w:rsidRPr="00E16672">
              <w:rPr>
                <w:rFonts w:ascii="Times New Roman" w:hAnsi="Times New Roman"/>
                <w:sz w:val="16"/>
                <w:szCs w:val="16"/>
              </w:rPr>
              <w:t>кті</w:t>
            </w:r>
            <w:proofErr w:type="spellEnd"/>
            <w:r w:rsidRPr="00E16672">
              <w:rPr>
                <w:rFonts w:ascii="Times New Roman" w:hAnsi="Times New Roman"/>
                <w:sz w:val="16"/>
                <w:szCs w:val="16"/>
              </w:rPr>
              <w:t xml:space="preserve"> або рахунку.</w:t>
            </w:r>
          </w:p>
          <w:p w14:paraId="1D5B91C3" w14:textId="77777777" w:rsidR="00933C25" w:rsidRPr="00E16672" w:rsidRDefault="00933C25" w:rsidP="00746617">
            <w:pPr>
              <w:pStyle w:val="310"/>
              <w:tabs>
                <w:tab w:val="left" w:pos="182"/>
              </w:tabs>
              <w:ind w:left="175" w:right="138" w:firstLine="7"/>
              <w:rPr>
                <w:rFonts w:ascii="Times New Roman" w:hAnsi="Times New Roman"/>
                <w:sz w:val="16"/>
                <w:szCs w:val="16"/>
                <w:lang w:val="ru-RU"/>
              </w:rPr>
            </w:pPr>
          </w:p>
          <w:p w14:paraId="5CF3A72D" w14:textId="77777777" w:rsidR="00933C25" w:rsidRPr="00E16672" w:rsidRDefault="00933C25" w:rsidP="00746617">
            <w:pPr>
              <w:pStyle w:val="310"/>
              <w:tabs>
                <w:tab w:val="left" w:pos="182"/>
              </w:tabs>
              <w:ind w:left="175" w:right="138" w:firstLine="7"/>
              <w:rPr>
                <w:rFonts w:ascii="Times New Roman" w:hAnsi="Times New Roman"/>
                <w:bCs/>
                <w:sz w:val="16"/>
                <w:szCs w:val="16"/>
              </w:rPr>
            </w:pPr>
            <w:r w:rsidRPr="00E16672">
              <w:rPr>
                <w:rFonts w:ascii="Times New Roman" w:hAnsi="Times New Roman"/>
                <w:bCs/>
                <w:sz w:val="16"/>
                <w:szCs w:val="16"/>
              </w:rPr>
              <w:t xml:space="preserve">Оплата послуг </w:t>
            </w:r>
            <w:r w:rsidRPr="00E16672">
              <w:rPr>
                <w:rFonts w:ascii="Times New Roman" w:hAnsi="Times New Roman"/>
                <w:sz w:val="16"/>
                <w:szCs w:val="16"/>
              </w:rPr>
              <w:t>Депозитарної установи</w:t>
            </w:r>
            <w:r w:rsidRPr="00E16672">
              <w:rPr>
                <w:rFonts w:ascii="Times New Roman" w:hAnsi="Times New Roman"/>
                <w:bCs/>
                <w:sz w:val="16"/>
                <w:szCs w:val="16"/>
              </w:rPr>
              <w:t xml:space="preserve"> згідно з цим Договором та відповідно до затверджених тарифів </w:t>
            </w:r>
            <w:r w:rsidRPr="00E16672">
              <w:rPr>
                <w:rFonts w:ascii="Times New Roman" w:hAnsi="Times New Roman"/>
                <w:sz w:val="16"/>
                <w:szCs w:val="16"/>
              </w:rPr>
              <w:t xml:space="preserve">Депозитарної установи </w:t>
            </w:r>
            <w:r w:rsidRPr="00E16672">
              <w:rPr>
                <w:rFonts w:ascii="Times New Roman" w:hAnsi="Times New Roman"/>
                <w:bCs/>
                <w:sz w:val="16"/>
                <w:szCs w:val="16"/>
              </w:rPr>
              <w:t xml:space="preserve"> здійснюється в ___________________(</w:t>
            </w:r>
            <w:r w:rsidRPr="00E16672">
              <w:rPr>
                <w:rFonts w:ascii="Times New Roman" w:hAnsi="Times New Roman"/>
                <w:bCs/>
                <w:i/>
                <w:sz w:val="16"/>
                <w:szCs w:val="16"/>
              </w:rPr>
              <w:t>доларах США</w:t>
            </w:r>
            <w:r w:rsidRPr="00E16672">
              <w:rPr>
                <w:rFonts w:ascii="Times New Roman" w:hAnsi="Times New Roman"/>
                <w:bCs/>
                <w:i/>
                <w:sz w:val="16"/>
                <w:szCs w:val="16"/>
                <w:lang w:val="ru-RU"/>
              </w:rPr>
              <w:t>/</w:t>
            </w:r>
            <w:r w:rsidRPr="00E16672">
              <w:rPr>
                <w:rFonts w:ascii="Times New Roman" w:hAnsi="Times New Roman"/>
                <w:bCs/>
                <w:i/>
                <w:sz w:val="16"/>
                <w:szCs w:val="16"/>
              </w:rPr>
              <w:t>Є</w:t>
            </w:r>
            <w:r w:rsidRPr="00E16672">
              <w:rPr>
                <w:rFonts w:ascii="Times New Roman" w:hAnsi="Times New Roman"/>
                <w:bCs/>
                <w:i/>
                <w:sz w:val="16"/>
                <w:szCs w:val="16"/>
                <w:lang w:val="ru-RU"/>
              </w:rPr>
              <w:t>ВРО/</w:t>
            </w:r>
            <w:proofErr w:type="spellStart"/>
            <w:r w:rsidRPr="00E16672">
              <w:rPr>
                <w:rFonts w:ascii="Times New Roman" w:hAnsi="Times New Roman"/>
                <w:bCs/>
                <w:i/>
                <w:sz w:val="16"/>
                <w:szCs w:val="16"/>
                <w:lang w:val="ru-RU"/>
              </w:rPr>
              <w:t>інша</w:t>
            </w:r>
            <w:proofErr w:type="spellEnd"/>
            <w:r w:rsidRPr="00E16672">
              <w:rPr>
                <w:rFonts w:ascii="Times New Roman" w:hAnsi="Times New Roman"/>
                <w:bCs/>
                <w:i/>
                <w:sz w:val="16"/>
                <w:szCs w:val="16"/>
                <w:lang w:val="ru-RU"/>
              </w:rPr>
              <w:t xml:space="preserve"> валюта</w:t>
            </w:r>
            <w:r w:rsidRPr="00E16672">
              <w:rPr>
                <w:rFonts w:ascii="Times New Roman" w:hAnsi="Times New Roman"/>
                <w:bCs/>
                <w:sz w:val="16"/>
                <w:szCs w:val="16"/>
                <w:lang w:val="ru-RU"/>
              </w:rPr>
              <w:t>)</w:t>
            </w:r>
            <w:r w:rsidRPr="00E16672">
              <w:rPr>
                <w:rFonts w:ascii="Times New Roman" w:hAnsi="Times New Roman"/>
                <w:bCs/>
                <w:sz w:val="16"/>
                <w:szCs w:val="16"/>
              </w:rPr>
              <w:t xml:space="preserve"> по курсу НБУ на дату складання акту</w:t>
            </w:r>
            <w:r w:rsidRPr="00E16672">
              <w:rPr>
                <w:rFonts w:ascii="Times New Roman" w:hAnsi="Times New Roman"/>
                <w:bCs/>
                <w:sz w:val="16"/>
                <w:szCs w:val="16"/>
                <w:lang w:val="ru-RU"/>
              </w:rPr>
              <w:t xml:space="preserve"> </w:t>
            </w:r>
            <w:r w:rsidRPr="00E16672">
              <w:rPr>
                <w:rFonts w:ascii="Times New Roman" w:hAnsi="Times New Roman"/>
                <w:bCs/>
                <w:sz w:val="16"/>
                <w:szCs w:val="16"/>
              </w:rPr>
              <w:t>або рахунку.</w:t>
            </w:r>
          </w:p>
          <w:p w14:paraId="0A61522D" w14:textId="77777777" w:rsidR="00933C25" w:rsidRPr="00E16672" w:rsidRDefault="00933C25" w:rsidP="00746617">
            <w:pPr>
              <w:pStyle w:val="310"/>
              <w:tabs>
                <w:tab w:val="left" w:pos="182"/>
              </w:tabs>
              <w:ind w:left="175" w:right="138" w:firstLine="7"/>
              <w:rPr>
                <w:rFonts w:ascii="Times New Roman" w:hAnsi="Times New Roman"/>
                <w:sz w:val="16"/>
                <w:szCs w:val="16"/>
                <w:lang w:val="ru-RU"/>
              </w:rPr>
            </w:pPr>
          </w:p>
        </w:tc>
        <w:tc>
          <w:tcPr>
            <w:tcW w:w="5494" w:type="dxa"/>
            <w:gridSpan w:val="7"/>
            <w:shd w:val="clear" w:color="auto" w:fill="auto"/>
          </w:tcPr>
          <w:p w14:paraId="529A403E" w14:textId="77777777" w:rsidR="00933C25" w:rsidRPr="00E16672" w:rsidRDefault="00933C25" w:rsidP="00746617">
            <w:pPr>
              <w:pStyle w:val="210"/>
              <w:tabs>
                <w:tab w:val="left" w:pos="182"/>
                <w:tab w:val="left" w:pos="287"/>
                <w:tab w:val="left" w:pos="1191"/>
              </w:tabs>
              <w:snapToGrid w:val="0"/>
              <w:ind w:left="145" w:right="100" w:firstLine="7"/>
              <w:rPr>
                <w:rFonts w:ascii="Times New Roman" w:hAnsi="Times New Roman"/>
                <w:sz w:val="16"/>
                <w:szCs w:val="16"/>
              </w:rPr>
            </w:pPr>
            <w:r w:rsidRPr="00E16672">
              <w:rPr>
                <w:rFonts w:ascii="Times New Roman" w:hAnsi="Times New Roman"/>
                <w:sz w:val="16"/>
                <w:szCs w:val="16"/>
              </w:rPr>
              <w:t xml:space="preserve">4.2. </w:t>
            </w:r>
            <w:proofErr w:type="spellStart"/>
            <w:r w:rsidRPr="00E16672">
              <w:rPr>
                <w:rFonts w:ascii="Times New Roman" w:hAnsi="Times New Roman"/>
                <w:sz w:val="16"/>
                <w:szCs w:val="16"/>
              </w:rPr>
              <w:t>Payment</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for</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services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of</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Depository</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institution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is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carried</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out</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basis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of</w:t>
            </w:r>
            <w:proofErr w:type="spellEnd"/>
            <w:r w:rsidRPr="00E16672">
              <w:rPr>
                <w:rFonts w:ascii="Times New Roman" w:hAnsi="Times New Roman"/>
                <w:sz w:val="16"/>
                <w:szCs w:val="16"/>
              </w:rPr>
              <w:t xml:space="preserve"> </w:t>
            </w:r>
            <w:r w:rsidRPr="00E16672">
              <w:rPr>
                <w:rFonts w:ascii="Times New Roman" w:hAnsi="Times New Roman"/>
                <w:sz w:val="16"/>
                <w:szCs w:val="16"/>
                <w:lang w:val="en-US"/>
              </w:rPr>
              <w:t>s</w:t>
            </w:r>
            <w:proofErr w:type="spellStart"/>
            <w:r w:rsidRPr="00E16672">
              <w:rPr>
                <w:rFonts w:ascii="Times New Roman" w:hAnsi="Times New Roman"/>
                <w:sz w:val="16"/>
                <w:szCs w:val="16"/>
              </w:rPr>
              <w:t>tatement</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of</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executed</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operations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of</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Depository</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institution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or</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Invoice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essential</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elements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indicated</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in</w:t>
            </w:r>
            <w:proofErr w:type="spellEnd"/>
            <w:r w:rsidRPr="00E16672">
              <w:rPr>
                <w:rFonts w:ascii="Times New Roman" w:hAnsi="Times New Roman"/>
                <w:sz w:val="16"/>
                <w:szCs w:val="16"/>
              </w:rPr>
              <w:t xml:space="preserve"> </w:t>
            </w:r>
            <w:r w:rsidRPr="00E16672">
              <w:rPr>
                <w:rFonts w:ascii="Times New Roman" w:hAnsi="Times New Roman"/>
                <w:sz w:val="16"/>
                <w:szCs w:val="16"/>
                <w:lang w:val="en-US"/>
              </w:rPr>
              <w:t>s</w:t>
            </w:r>
            <w:proofErr w:type="spellStart"/>
            <w:r w:rsidRPr="00E16672">
              <w:rPr>
                <w:rFonts w:ascii="Times New Roman" w:hAnsi="Times New Roman"/>
                <w:sz w:val="16"/>
                <w:szCs w:val="16"/>
              </w:rPr>
              <w:t>tatement</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or</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lang w:val="en-US"/>
              </w:rPr>
              <w:t>i</w:t>
            </w:r>
            <w:r w:rsidRPr="00E16672">
              <w:rPr>
                <w:rFonts w:ascii="Times New Roman" w:hAnsi="Times New Roman"/>
                <w:sz w:val="16"/>
                <w:szCs w:val="16"/>
              </w:rPr>
              <w:t>nvoice</w:t>
            </w:r>
            <w:proofErr w:type="spellEnd"/>
            <w:r w:rsidRPr="00E16672">
              <w:rPr>
                <w:rFonts w:ascii="Times New Roman" w:hAnsi="Times New Roman"/>
                <w:sz w:val="16"/>
                <w:szCs w:val="16"/>
              </w:rPr>
              <w:t xml:space="preserve">. </w:t>
            </w:r>
          </w:p>
          <w:p w14:paraId="029F77B3" w14:textId="77777777" w:rsidR="00933C25" w:rsidRPr="00E16672" w:rsidRDefault="00933C25" w:rsidP="00746617">
            <w:pPr>
              <w:tabs>
                <w:tab w:val="left" w:pos="182"/>
                <w:tab w:val="left" w:pos="287"/>
              </w:tabs>
              <w:ind w:left="145" w:right="100" w:firstLine="7"/>
              <w:rPr>
                <w:rFonts w:ascii="Times New Roman" w:hAnsi="Times New Roman"/>
                <w:sz w:val="16"/>
                <w:szCs w:val="16"/>
                <w:lang w:val="en-US"/>
              </w:rPr>
            </w:pPr>
          </w:p>
          <w:p w14:paraId="3ABFB417" w14:textId="77777777" w:rsidR="00933C25" w:rsidRPr="00E16672" w:rsidRDefault="00933C25" w:rsidP="00746617">
            <w:pPr>
              <w:tabs>
                <w:tab w:val="left" w:pos="182"/>
                <w:tab w:val="left" w:pos="287"/>
              </w:tabs>
              <w:ind w:left="145" w:right="100" w:firstLine="7"/>
              <w:rPr>
                <w:rFonts w:ascii="Times New Roman" w:hAnsi="Times New Roman"/>
                <w:sz w:val="16"/>
                <w:szCs w:val="16"/>
                <w:lang w:val="en-GB"/>
              </w:rPr>
            </w:pPr>
            <w:r w:rsidRPr="00E16672">
              <w:rPr>
                <w:rFonts w:ascii="Times New Roman" w:hAnsi="Times New Roman"/>
                <w:sz w:val="16"/>
                <w:szCs w:val="16"/>
                <w:lang w:val="en-GB"/>
              </w:rPr>
              <w:t xml:space="preserve">Payment for the Depository institution services according to this Agreement and the tariffs of the Depository </w:t>
            </w:r>
            <w:proofErr w:type="gramStart"/>
            <w:r w:rsidRPr="00E16672">
              <w:rPr>
                <w:rFonts w:ascii="Times New Roman" w:hAnsi="Times New Roman"/>
                <w:sz w:val="16"/>
                <w:szCs w:val="16"/>
                <w:lang w:val="en-GB"/>
              </w:rPr>
              <w:t>institution  is</w:t>
            </w:r>
            <w:proofErr w:type="gramEnd"/>
            <w:r w:rsidRPr="00E16672">
              <w:rPr>
                <w:rFonts w:ascii="Times New Roman" w:hAnsi="Times New Roman"/>
                <w:sz w:val="16"/>
                <w:szCs w:val="16"/>
                <w:lang w:val="en-GB"/>
              </w:rPr>
              <w:t xml:space="preserve"> made in _____________(</w:t>
            </w:r>
            <w:r w:rsidRPr="00E16672">
              <w:rPr>
                <w:rFonts w:ascii="Times New Roman" w:hAnsi="Times New Roman"/>
                <w:i/>
                <w:sz w:val="16"/>
                <w:szCs w:val="16"/>
                <w:lang w:val="en-GB"/>
              </w:rPr>
              <w:t>USD/EUR/ other currency</w:t>
            </w:r>
            <w:r w:rsidRPr="00E16672">
              <w:rPr>
                <w:rFonts w:ascii="Times New Roman" w:hAnsi="Times New Roman"/>
                <w:sz w:val="16"/>
                <w:szCs w:val="16"/>
                <w:lang w:val="en-GB"/>
              </w:rPr>
              <w:t xml:space="preserve">) on the basis of NBU rate on </w:t>
            </w:r>
            <w:r w:rsidRPr="00E16672">
              <w:rPr>
                <w:rFonts w:ascii="Times New Roman" w:hAnsi="Times New Roman"/>
                <w:sz w:val="16"/>
                <w:szCs w:val="16"/>
                <w:lang w:val="en-US"/>
              </w:rPr>
              <w:t>s</w:t>
            </w:r>
            <w:proofErr w:type="spellStart"/>
            <w:r w:rsidRPr="00E16672">
              <w:rPr>
                <w:rFonts w:ascii="Times New Roman" w:hAnsi="Times New Roman"/>
                <w:sz w:val="16"/>
                <w:szCs w:val="16"/>
                <w:lang w:val="en-GB"/>
              </w:rPr>
              <w:t>tatement</w:t>
            </w:r>
            <w:proofErr w:type="spellEnd"/>
            <w:r w:rsidRPr="00E16672">
              <w:rPr>
                <w:rFonts w:ascii="Times New Roman" w:hAnsi="Times New Roman"/>
                <w:sz w:val="16"/>
                <w:szCs w:val="16"/>
                <w:lang w:val="en-GB"/>
              </w:rPr>
              <w:t>’ date</w:t>
            </w:r>
            <w:r w:rsidRPr="00E16672">
              <w:rPr>
                <w:rFonts w:ascii="Times New Roman" w:hAnsi="Times New Roman"/>
                <w:sz w:val="16"/>
                <w:szCs w:val="16"/>
                <w:lang w:val="en-US"/>
              </w:rPr>
              <w:t xml:space="preserve"> or invoice’s date</w:t>
            </w:r>
            <w:r w:rsidRPr="00E16672">
              <w:rPr>
                <w:rFonts w:ascii="Times New Roman" w:hAnsi="Times New Roman"/>
                <w:sz w:val="16"/>
                <w:szCs w:val="16"/>
                <w:lang w:val="en-GB"/>
              </w:rPr>
              <w:t>.</w:t>
            </w:r>
          </w:p>
          <w:p w14:paraId="676CBAAF" w14:textId="77777777" w:rsidR="00933C25" w:rsidRPr="00E16672" w:rsidRDefault="00933C25" w:rsidP="00746617">
            <w:pPr>
              <w:pStyle w:val="210"/>
              <w:tabs>
                <w:tab w:val="left" w:pos="182"/>
                <w:tab w:val="left" w:pos="287"/>
                <w:tab w:val="left" w:pos="1191"/>
              </w:tabs>
              <w:snapToGrid w:val="0"/>
              <w:ind w:left="145" w:right="100" w:firstLine="7"/>
              <w:rPr>
                <w:rFonts w:ascii="Times New Roman" w:hAnsi="Times New Roman"/>
                <w:sz w:val="16"/>
                <w:szCs w:val="16"/>
                <w:lang w:val="en-GB"/>
              </w:rPr>
            </w:pPr>
          </w:p>
        </w:tc>
      </w:tr>
      <w:tr w:rsidR="00933C25" w:rsidRPr="00F23413" w14:paraId="6D2AA87A" w14:textId="77777777" w:rsidTr="00D77858">
        <w:tblPrEx>
          <w:tblCellMar>
            <w:left w:w="0" w:type="dxa"/>
            <w:right w:w="0" w:type="dxa"/>
          </w:tblCellMar>
        </w:tblPrEx>
        <w:trPr>
          <w:trHeight w:val="192"/>
        </w:trPr>
        <w:tc>
          <w:tcPr>
            <w:tcW w:w="5696" w:type="dxa"/>
            <w:gridSpan w:val="6"/>
            <w:shd w:val="clear" w:color="auto" w:fill="auto"/>
          </w:tcPr>
          <w:p w14:paraId="09822F20" w14:textId="77777777" w:rsidR="00933C25" w:rsidRPr="00E16672" w:rsidRDefault="00933C25" w:rsidP="00746617">
            <w:pPr>
              <w:pStyle w:val="310"/>
              <w:tabs>
                <w:tab w:val="left" w:pos="182"/>
              </w:tabs>
              <w:ind w:left="175" w:right="138" w:firstLine="7"/>
              <w:rPr>
                <w:rFonts w:ascii="Times New Roman" w:hAnsi="Times New Roman"/>
                <w:sz w:val="16"/>
                <w:szCs w:val="16"/>
              </w:rPr>
            </w:pPr>
            <w:r w:rsidRPr="00E16672">
              <w:rPr>
                <w:rFonts w:ascii="Times New Roman" w:hAnsi="Times New Roman"/>
                <w:sz w:val="16"/>
                <w:szCs w:val="16"/>
              </w:rPr>
              <w:t>4.3. Підтвердженням виконання послуг Депозитарної установи є акт виконаних Депозитарною установою операцій, який складається:</w:t>
            </w:r>
          </w:p>
          <w:p w14:paraId="62569565" w14:textId="77777777" w:rsidR="00933C25" w:rsidRPr="00E16672" w:rsidRDefault="00933C25" w:rsidP="00746617">
            <w:pPr>
              <w:pStyle w:val="310"/>
              <w:tabs>
                <w:tab w:val="left" w:pos="182"/>
              </w:tabs>
              <w:snapToGrid w:val="0"/>
              <w:ind w:left="175" w:right="138" w:firstLine="7"/>
              <w:rPr>
                <w:rFonts w:ascii="Times New Roman" w:hAnsi="Times New Roman"/>
                <w:sz w:val="16"/>
                <w:szCs w:val="16"/>
              </w:rPr>
            </w:pPr>
          </w:p>
        </w:tc>
        <w:tc>
          <w:tcPr>
            <w:tcW w:w="5494" w:type="dxa"/>
            <w:gridSpan w:val="7"/>
            <w:shd w:val="clear" w:color="auto" w:fill="auto"/>
          </w:tcPr>
          <w:p w14:paraId="2EAE3B6E" w14:textId="77777777" w:rsidR="00933C25" w:rsidRPr="00E16672" w:rsidRDefault="00933C25" w:rsidP="00746617">
            <w:pPr>
              <w:tabs>
                <w:tab w:val="left" w:pos="182"/>
                <w:tab w:val="left" w:pos="287"/>
              </w:tabs>
              <w:snapToGrid w:val="0"/>
              <w:ind w:left="145" w:right="100" w:firstLine="7"/>
              <w:rPr>
                <w:rFonts w:ascii="Times New Roman" w:hAnsi="Times New Roman"/>
                <w:sz w:val="16"/>
                <w:szCs w:val="16"/>
                <w:lang w:val="en-US"/>
              </w:rPr>
            </w:pPr>
            <w:r w:rsidRPr="00E16672">
              <w:rPr>
                <w:rFonts w:ascii="Times New Roman" w:hAnsi="Times New Roman"/>
                <w:sz w:val="16"/>
                <w:szCs w:val="16"/>
                <w:lang w:val="en-GB"/>
              </w:rPr>
              <w:t xml:space="preserve">4.3. </w:t>
            </w:r>
            <w:r w:rsidRPr="00E16672">
              <w:rPr>
                <w:rFonts w:ascii="Times New Roman" w:hAnsi="Times New Roman"/>
                <w:sz w:val="16"/>
                <w:szCs w:val="16"/>
                <w:shd w:val="clear" w:color="auto" w:fill="FFFFFF"/>
                <w:lang w:val="en-GB"/>
              </w:rPr>
              <w:t xml:space="preserve">Confirmation of implementation of services of </w:t>
            </w:r>
            <w:r w:rsidRPr="00E16672">
              <w:rPr>
                <w:rFonts w:ascii="Times New Roman" w:hAnsi="Times New Roman"/>
                <w:sz w:val="16"/>
                <w:szCs w:val="16"/>
                <w:lang w:val="en-GB"/>
              </w:rPr>
              <w:t xml:space="preserve">Depository </w:t>
            </w:r>
            <w:proofErr w:type="gramStart"/>
            <w:r w:rsidRPr="00E16672">
              <w:rPr>
                <w:rFonts w:ascii="Times New Roman" w:hAnsi="Times New Roman"/>
                <w:sz w:val="16"/>
                <w:szCs w:val="16"/>
                <w:lang w:val="en-GB"/>
              </w:rPr>
              <w:t xml:space="preserve">institution  </w:t>
            </w:r>
            <w:r w:rsidRPr="00E16672">
              <w:rPr>
                <w:rFonts w:ascii="Times New Roman" w:hAnsi="Times New Roman"/>
                <w:sz w:val="16"/>
                <w:szCs w:val="16"/>
                <w:shd w:val="clear" w:color="auto" w:fill="FFFFFF"/>
                <w:lang w:val="en-GB"/>
              </w:rPr>
              <w:t>is</w:t>
            </w:r>
            <w:proofErr w:type="gramEnd"/>
            <w:r w:rsidRPr="00E16672">
              <w:rPr>
                <w:rFonts w:ascii="Times New Roman" w:hAnsi="Times New Roman"/>
                <w:sz w:val="16"/>
                <w:szCs w:val="16"/>
                <w:shd w:val="clear" w:color="auto" w:fill="FFFFFF"/>
                <w:lang w:val="en-GB"/>
              </w:rPr>
              <w:t xml:space="preserve"> a Statement of executed by Depository institution of operations, which is folded:</w:t>
            </w:r>
          </w:p>
        </w:tc>
      </w:tr>
      <w:tr w:rsidR="00933C25" w:rsidRPr="00F23413" w14:paraId="540BCEF5" w14:textId="77777777" w:rsidTr="00D77858">
        <w:tblPrEx>
          <w:tblCellMar>
            <w:left w:w="0" w:type="dxa"/>
            <w:right w:w="0" w:type="dxa"/>
          </w:tblCellMar>
        </w:tblPrEx>
        <w:trPr>
          <w:trHeight w:val="192"/>
        </w:trPr>
        <w:tc>
          <w:tcPr>
            <w:tcW w:w="5696" w:type="dxa"/>
            <w:gridSpan w:val="6"/>
            <w:shd w:val="clear" w:color="auto" w:fill="auto"/>
          </w:tcPr>
          <w:p w14:paraId="188E2F08" w14:textId="77777777" w:rsidR="00933C25" w:rsidRPr="00E16672" w:rsidRDefault="00933C25" w:rsidP="00746617">
            <w:pPr>
              <w:pStyle w:val="310"/>
              <w:tabs>
                <w:tab w:val="left" w:pos="182"/>
              </w:tabs>
              <w:ind w:left="175" w:right="138" w:firstLine="7"/>
              <w:rPr>
                <w:rFonts w:ascii="Times New Roman" w:hAnsi="Times New Roman"/>
                <w:color w:val="000000"/>
                <w:sz w:val="16"/>
                <w:szCs w:val="16"/>
              </w:rPr>
            </w:pPr>
            <w:r w:rsidRPr="00E16672">
              <w:rPr>
                <w:rFonts w:ascii="Times New Roman" w:hAnsi="Times New Roman"/>
                <w:color w:val="000000"/>
                <w:sz w:val="16"/>
                <w:szCs w:val="16"/>
              </w:rPr>
              <w:t xml:space="preserve">- по виконаним Депозитарною установою адміністративним, обліковим, інформаційним та іншим операціям по рахунку </w:t>
            </w:r>
            <w:r w:rsidR="00C22309" w:rsidRPr="00E16672">
              <w:rPr>
                <w:rFonts w:ascii="Times New Roman" w:hAnsi="Times New Roman"/>
                <w:color w:val="000000"/>
                <w:sz w:val="16"/>
                <w:szCs w:val="16"/>
              </w:rPr>
              <w:t>в цін</w:t>
            </w:r>
            <w:r w:rsidRPr="00E16672">
              <w:rPr>
                <w:rFonts w:ascii="Times New Roman" w:hAnsi="Times New Roman"/>
                <w:color w:val="000000"/>
                <w:sz w:val="16"/>
                <w:szCs w:val="16"/>
              </w:rPr>
              <w:t xml:space="preserve">них паперах - у день проведення операцій або на останній день місяця, в якому їх виконано, підписується Депозитарною установою у двох оригіналах та подається Депоненту для підписання особисто або направляється поштою в адресу Депонента (або іншим способом за домовленістю з Депонентом) протягом не більш як </w:t>
            </w:r>
            <w:r w:rsidRPr="00E16672">
              <w:rPr>
                <w:rFonts w:ascii="Times New Roman" w:hAnsi="Times New Roman"/>
                <w:i/>
                <w:color w:val="000000"/>
                <w:sz w:val="16"/>
                <w:szCs w:val="16"/>
              </w:rPr>
              <w:t>п’ять</w:t>
            </w:r>
            <w:r w:rsidRPr="00E16672">
              <w:rPr>
                <w:rFonts w:ascii="Times New Roman" w:hAnsi="Times New Roman"/>
                <w:color w:val="000000"/>
                <w:sz w:val="16"/>
                <w:szCs w:val="16"/>
              </w:rPr>
              <w:t xml:space="preserve"> робочих днів з моменту підписання;</w:t>
            </w:r>
          </w:p>
        </w:tc>
        <w:tc>
          <w:tcPr>
            <w:tcW w:w="5494" w:type="dxa"/>
            <w:gridSpan w:val="7"/>
            <w:shd w:val="clear" w:color="auto" w:fill="auto"/>
          </w:tcPr>
          <w:p w14:paraId="21AF102A" w14:textId="77777777" w:rsidR="00933C25" w:rsidRPr="00E16672" w:rsidRDefault="00933C25" w:rsidP="009B1116">
            <w:pPr>
              <w:pStyle w:val="210"/>
              <w:tabs>
                <w:tab w:val="left" w:pos="182"/>
                <w:tab w:val="left" w:pos="287"/>
                <w:tab w:val="left" w:pos="1191"/>
              </w:tabs>
              <w:snapToGrid w:val="0"/>
              <w:ind w:left="145" w:right="100" w:firstLine="7"/>
              <w:rPr>
                <w:rFonts w:ascii="Times New Roman" w:hAnsi="Times New Roman"/>
                <w:color w:val="000000"/>
                <w:sz w:val="16"/>
                <w:szCs w:val="16"/>
              </w:rPr>
            </w:pPr>
            <w:r w:rsidRPr="00E16672">
              <w:rPr>
                <w:rFonts w:ascii="Times New Roman" w:hAnsi="Times New Roman"/>
                <w:color w:val="000000"/>
                <w:sz w:val="16"/>
                <w:szCs w:val="16"/>
                <w:shd w:val="clear" w:color="auto" w:fill="FFFFFF"/>
                <w:lang w:val="en-GB"/>
              </w:rPr>
              <w:t xml:space="preserve">- performed by the </w:t>
            </w:r>
            <w:r w:rsidRPr="00E16672">
              <w:rPr>
                <w:rFonts w:ascii="Times New Roman" w:hAnsi="Times New Roman"/>
                <w:color w:val="000000"/>
                <w:sz w:val="16"/>
                <w:szCs w:val="16"/>
                <w:lang w:val="en-GB"/>
              </w:rPr>
              <w:t xml:space="preserve">Depository </w:t>
            </w:r>
            <w:proofErr w:type="gramStart"/>
            <w:r w:rsidRPr="00E16672">
              <w:rPr>
                <w:rFonts w:ascii="Times New Roman" w:hAnsi="Times New Roman"/>
                <w:color w:val="000000"/>
                <w:sz w:val="16"/>
                <w:szCs w:val="16"/>
                <w:lang w:val="en-GB"/>
              </w:rPr>
              <w:t xml:space="preserve">institution  </w:t>
            </w:r>
            <w:r w:rsidRPr="00E16672">
              <w:rPr>
                <w:rFonts w:ascii="Times New Roman" w:hAnsi="Times New Roman"/>
                <w:color w:val="000000"/>
                <w:sz w:val="16"/>
                <w:szCs w:val="16"/>
                <w:shd w:val="clear" w:color="auto" w:fill="FFFFFF"/>
                <w:lang w:val="en-GB"/>
              </w:rPr>
              <w:t>of</w:t>
            </w:r>
            <w:proofErr w:type="gramEnd"/>
            <w:r w:rsidRPr="00E16672">
              <w:rPr>
                <w:rFonts w:ascii="Times New Roman" w:hAnsi="Times New Roman"/>
                <w:color w:val="000000"/>
                <w:sz w:val="16"/>
                <w:szCs w:val="16"/>
                <w:shd w:val="clear" w:color="auto" w:fill="FFFFFF"/>
                <w:lang w:val="en-GB"/>
              </w:rPr>
              <w:t xml:space="preserve"> the administrative, accounting, information and other operations on the securities account – on the day of the operation or the last day of the month in which they are performed, </w:t>
            </w:r>
            <w:proofErr w:type="spellStart"/>
            <w:r w:rsidRPr="00E16672">
              <w:rPr>
                <w:rFonts w:ascii="Times New Roman" w:hAnsi="Times New Roman"/>
                <w:color w:val="000000"/>
                <w:sz w:val="16"/>
                <w:szCs w:val="16"/>
              </w:rPr>
              <w:t>signed</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by</w:t>
            </w:r>
            <w:proofErr w:type="spellEnd"/>
            <w:r w:rsidRPr="00E16672">
              <w:rPr>
                <w:rFonts w:ascii="Times New Roman" w:hAnsi="Times New Roman"/>
                <w:color w:val="000000"/>
                <w:sz w:val="16"/>
                <w:szCs w:val="16"/>
              </w:rPr>
              <w:t xml:space="preserve"> </w:t>
            </w:r>
            <w:r w:rsidRPr="00E16672">
              <w:rPr>
                <w:rFonts w:ascii="Times New Roman" w:hAnsi="Times New Roman"/>
                <w:color w:val="000000"/>
                <w:sz w:val="16"/>
                <w:szCs w:val="16"/>
                <w:lang w:val="en-US"/>
              </w:rPr>
              <w:t>D</w:t>
            </w:r>
            <w:proofErr w:type="spellStart"/>
            <w:r w:rsidRPr="00E16672">
              <w:rPr>
                <w:rFonts w:ascii="Times New Roman" w:hAnsi="Times New Roman"/>
                <w:color w:val="000000"/>
                <w:sz w:val="16"/>
                <w:szCs w:val="16"/>
              </w:rPr>
              <w:t>epository</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institutions</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in</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two</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originals</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and</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submitted</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for</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signature</w:t>
            </w:r>
            <w:proofErr w:type="spellEnd"/>
            <w:r w:rsidRPr="00E16672">
              <w:rPr>
                <w:rFonts w:ascii="Times New Roman" w:hAnsi="Times New Roman"/>
                <w:color w:val="000000"/>
                <w:sz w:val="16"/>
                <w:szCs w:val="16"/>
              </w:rPr>
              <w:t xml:space="preserve"> </w:t>
            </w:r>
            <w:r w:rsidRPr="00E16672">
              <w:rPr>
                <w:rFonts w:ascii="Times New Roman" w:hAnsi="Times New Roman"/>
                <w:color w:val="000000"/>
                <w:sz w:val="16"/>
                <w:szCs w:val="16"/>
                <w:lang w:val="en-US"/>
              </w:rPr>
              <w:t>to</w:t>
            </w:r>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Depositor</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in</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person</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or</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sent</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by</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post</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to</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the</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address</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of</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the</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Depositor</w:t>
            </w:r>
            <w:proofErr w:type="spellEnd"/>
            <w:r w:rsidRPr="00E16672">
              <w:rPr>
                <w:rFonts w:ascii="Times New Roman" w:hAnsi="Times New Roman"/>
                <w:color w:val="000000"/>
                <w:sz w:val="16"/>
                <w:szCs w:val="16"/>
                <w:lang w:val="en-US"/>
              </w:rPr>
              <w:t xml:space="preserve"> </w:t>
            </w:r>
            <w:r w:rsidRPr="00E16672">
              <w:rPr>
                <w:rStyle w:val="hps"/>
                <w:rFonts w:ascii="Times New Roman" w:hAnsi="Times New Roman"/>
                <w:color w:val="000000"/>
                <w:sz w:val="16"/>
                <w:szCs w:val="16"/>
              </w:rPr>
              <w:t>(</w:t>
            </w:r>
            <w:proofErr w:type="spellStart"/>
            <w:r w:rsidRPr="00E16672">
              <w:rPr>
                <w:rStyle w:val="hps"/>
                <w:rFonts w:ascii="Times New Roman" w:hAnsi="Times New Roman"/>
                <w:color w:val="000000"/>
                <w:sz w:val="16"/>
                <w:szCs w:val="16"/>
              </w:rPr>
              <w:t>or</w:t>
            </w:r>
            <w:proofErr w:type="spellEnd"/>
            <w:r w:rsidRPr="00E16672">
              <w:rPr>
                <w:rStyle w:val="shorttext"/>
                <w:rFonts w:ascii="Times New Roman" w:hAnsi="Times New Roman"/>
                <w:color w:val="000000"/>
                <w:sz w:val="16"/>
                <w:szCs w:val="16"/>
              </w:rPr>
              <w:t xml:space="preserve"> </w:t>
            </w:r>
            <w:proofErr w:type="spellStart"/>
            <w:r w:rsidRPr="00E16672">
              <w:rPr>
                <w:rStyle w:val="hpsalt-edited"/>
                <w:rFonts w:ascii="Times New Roman" w:hAnsi="Times New Roman"/>
                <w:color w:val="000000"/>
                <w:sz w:val="16"/>
                <w:szCs w:val="16"/>
              </w:rPr>
              <w:t>another</w:t>
            </w:r>
            <w:proofErr w:type="spellEnd"/>
            <w:r w:rsidRPr="00E16672">
              <w:rPr>
                <w:rStyle w:val="hpsalt-edited"/>
                <w:rFonts w:ascii="Times New Roman" w:hAnsi="Times New Roman"/>
                <w:color w:val="000000"/>
                <w:sz w:val="16"/>
                <w:szCs w:val="16"/>
              </w:rPr>
              <w:t xml:space="preserve"> </w:t>
            </w:r>
            <w:proofErr w:type="spellStart"/>
            <w:r w:rsidRPr="00E16672">
              <w:rPr>
                <w:rStyle w:val="hpsalt-edited"/>
                <w:rFonts w:ascii="Times New Roman" w:hAnsi="Times New Roman"/>
                <w:color w:val="000000"/>
                <w:sz w:val="16"/>
                <w:szCs w:val="16"/>
              </w:rPr>
              <w:t>way</w:t>
            </w:r>
            <w:proofErr w:type="spellEnd"/>
            <w:r w:rsidRPr="00E16672">
              <w:rPr>
                <w:rStyle w:val="shorttext"/>
                <w:rFonts w:ascii="Times New Roman" w:hAnsi="Times New Roman"/>
                <w:color w:val="000000"/>
                <w:sz w:val="16"/>
                <w:szCs w:val="16"/>
              </w:rPr>
              <w:t xml:space="preserve"> </w:t>
            </w:r>
            <w:proofErr w:type="spellStart"/>
            <w:r w:rsidRPr="00E16672">
              <w:rPr>
                <w:rStyle w:val="hps"/>
                <w:rFonts w:ascii="Times New Roman" w:hAnsi="Times New Roman"/>
                <w:color w:val="000000"/>
                <w:sz w:val="16"/>
                <w:szCs w:val="16"/>
              </w:rPr>
              <w:t>by</w:t>
            </w:r>
            <w:proofErr w:type="spellEnd"/>
            <w:r w:rsidRPr="00E16672">
              <w:rPr>
                <w:rStyle w:val="hps"/>
                <w:rFonts w:ascii="Times New Roman" w:hAnsi="Times New Roman"/>
                <w:color w:val="000000"/>
                <w:sz w:val="16"/>
                <w:szCs w:val="16"/>
              </w:rPr>
              <w:t xml:space="preserve"> </w:t>
            </w:r>
            <w:proofErr w:type="spellStart"/>
            <w:r w:rsidRPr="00E16672">
              <w:rPr>
                <w:rStyle w:val="hpsalt-edited"/>
                <w:rFonts w:ascii="Times New Roman" w:hAnsi="Times New Roman"/>
                <w:color w:val="000000"/>
                <w:sz w:val="16"/>
                <w:szCs w:val="16"/>
              </w:rPr>
              <w:t>understanding</w:t>
            </w:r>
            <w:proofErr w:type="spellEnd"/>
            <w:r w:rsidRPr="00E16672">
              <w:rPr>
                <w:rStyle w:val="hpsalt-edited"/>
                <w:rFonts w:ascii="Times New Roman" w:hAnsi="Times New Roman"/>
                <w:color w:val="000000"/>
                <w:sz w:val="16"/>
                <w:szCs w:val="16"/>
              </w:rPr>
              <w:t xml:space="preserve"> </w:t>
            </w:r>
            <w:proofErr w:type="spellStart"/>
            <w:r w:rsidRPr="00E16672">
              <w:rPr>
                <w:rStyle w:val="hps"/>
                <w:rFonts w:ascii="Times New Roman" w:hAnsi="Times New Roman"/>
                <w:color w:val="000000"/>
                <w:sz w:val="16"/>
                <w:szCs w:val="16"/>
              </w:rPr>
              <w:t>with</w:t>
            </w:r>
            <w:proofErr w:type="spellEnd"/>
            <w:r w:rsidRPr="00E16672">
              <w:rPr>
                <w:rStyle w:val="hps"/>
                <w:rFonts w:ascii="Times New Roman" w:hAnsi="Times New Roman"/>
                <w:color w:val="000000"/>
                <w:sz w:val="16"/>
                <w:szCs w:val="16"/>
              </w:rPr>
              <w:t xml:space="preserve"> </w:t>
            </w:r>
            <w:proofErr w:type="spellStart"/>
            <w:r w:rsidRPr="00E16672">
              <w:rPr>
                <w:rStyle w:val="hps"/>
                <w:rFonts w:ascii="Times New Roman" w:hAnsi="Times New Roman"/>
                <w:color w:val="000000"/>
                <w:sz w:val="16"/>
                <w:szCs w:val="16"/>
              </w:rPr>
              <w:t>the</w:t>
            </w:r>
            <w:proofErr w:type="spellEnd"/>
            <w:r w:rsidRPr="00E16672">
              <w:rPr>
                <w:rStyle w:val="shorttext"/>
                <w:rFonts w:ascii="Times New Roman" w:hAnsi="Times New Roman"/>
                <w:color w:val="000000"/>
                <w:sz w:val="16"/>
                <w:szCs w:val="16"/>
              </w:rPr>
              <w:t xml:space="preserve"> </w:t>
            </w:r>
            <w:proofErr w:type="spellStart"/>
            <w:r w:rsidRPr="00E16672">
              <w:rPr>
                <w:rStyle w:val="hps"/>
                <w:rFonts w:ascii="Times New Roman" w:hAnsi="Times New Roman"/>
                <w:color w:val="000000"/>
                <w:sz w:val="16"/>
                <w:szCs w:val="16"/>
              </w:rPr>
              <w:t>Depositor</w:t>
            </w:r>
            <w:proofErr w:type="spellEnd"/>
            <w:r w:rsidRPr="00E16672">
              <w:rPr>
                <w:rStyle w:val="shorttext"/>
                <w:rFonts w:ascii="Times New Roman" w:hAnsi="Times New Roman"/>
                <w:color w:val="000000"/>
                <w:sz w:val="16"/>
                <w:szCs w:val="16"/>
              </w:rPr>
              <w:t>)</w:t>
            </w:r>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for</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no</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more</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than</w:t>
            </w:r>
            <w:proofErr w:type="spellEnd"/>
            <w:r w:rsidRPr="00E16672">
              <w:rPr>
                <w:rFonts w:ascii="Times New Roman" w:hAnsi="Times New Roman"/>
                <w:color w:val="000000"/>
                <w:sz w:val="16"/>
                <w:szCs w:val="16"/>
              </w:rPr>
              <w:t xml:space="preserve"> 5 </w:t>
            </w:r>
            <w:proofErr w:type="spellStart"/>
            <w:r w:rsidRPr="00E16672">
              <w:rPr>
                <w:rFonts w:ascii="Times New Roman" w:hAnsi="Times New Roman"/>
                <w:color w:val="000000"/>
                <w:sz w:val="16"/>
                <w:szCs w:val="16"/>
              </w:rPr>
              <w:t>business</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days</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from</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the</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date</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of</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signing</w:t>
            </w:r>
            <w:proofErr w:type="spellEnd"/>
            <w:r w:rsidRPr="00E16672">
              <w:rPr>
                <w:rFonts w:ascii="Times New Roman" w:hAnsi="Times New Roman"/>
                <w:color w:val="000000"/>
                <w:sz w:val="16"/>
                <w:szCs w:val="16"/>
              </w:rPr>
              <w:t>;</w:t>
            </w:r>
          </w:p>
        </w:tc>
      </w:tr>
      <w:tr w:rsidR="00933C25" w:rsidRPr="00F23413" w14:paraId="72C415E1" w14:textId="77777777" w:rsidTr="00D77858">
        <w:tblPrEx>
          <w:tblCellMar>
            <w:left w:w="0" w:type="dxa"/>
            <w:right w:w="0" w:type="dxa"/>
          </w:tblCellMar>
        </w:tblPrEx>
        <w:trPr>
          <w:trHeight w:val="192"/>
        </w:trPr>
        <w:tc>
          <w:tcPr>
            <w:tcW w:w="5696" w:type="dxa"/>
            <w:gridSpan w:val="6"/>
            <w:shd w:val="clear" w:color="auto" w:fill="auto"/>
          </w:tcPr>
          <w:p w14:paraId="640F7394" w14:textId="77777777" w:rsidR="00933C25" w:rsidRPr="00E16672" w:rsidRDefault="00933C25" w:rsidP="00746617">
            <w:pPr>
              <w:pStyle w:val="310"/>
              <w:tabs>
                <w:tab w:val="left" w:pos="182"/>
              </w:tabs>
              <w:ind w:left="175" w:right="138" w:firstLine="7"/>
              <w:rPr>
                <w:rFonts w:ascii="Times New Roman" w:hAnsi="Times New Roman"/>
                <w:color w:val="000000"/>
                <w:sz w:val="16"/>
                <w:szCs w:val="16"/>
              </w:rPr>
            </w:pPr>
            <w:r w:rsidRPr="00E16672">
              <w:rPr>
                <w:rFonts w:ascii="Times New Roman" w:hAnsi="Times New Roman"/>
                <w:color w:val="000000"/>
                <w:sz w:val="16"/>
                <w:szCs w:val="16"/>
              </w:rPr>
              <w:t xml:space="preserve">-за облік ЦП на рахунку у ЦП - на останній день кварталу, в якому їх виконано, підписується Депозитарною установою у двох оригіналах та подається Депоненту для підписання особисто або направляється поштою в адресу Депонента (або іншим способом за домовленістю з Депонентом) протягом не більше </w:t>
            </w:r>
            <w:r w:rsidRPr="00E16672">
              <w:rPr>
                <w:rFonts w:ascii="Times New Roman" w:hAnsi="Times New Roman"/>
                <w:i/>
                <w:color w:val="000000"/>
                <w:sz w:val="16"/>
                <w:szCs w:val="16"/>
              </w:rPr>
              <w:t>двадцяти</w:t>
            </w:r>
            <w:r w:rsidRPr="00E16672">
              <w:rPr>
                <w:rFonts w:ascii="Times New Roman" w:hAnsi="Times New Roman"/>
                <w:color w:val="000000"/>
                <w:sz w:val="16"/>
                <w:szCs w:val="16"/>
              </w:rPr>
              <w:t xml:space="preserve"> робочих днів з моменту підписання. </w:t>
            </w:r>
          </w:p>
        </w:tc>
        <w:tc>
          <w:tcPr>
            <w:tcW w:w="5494" w:type="dxa"/>
            <w:gridSpan w:val="7"/>
            <w:shd w:val="clear" w:color="auto" w:fill="auto"/>
          </w:tcPr>
          <w:p w14:paraId="3FD1E828" w14:textId="77777777" w:rsidR="00933C25" w:rsidRPr="00E16672" w:rsidRDefault="00933C25" w:rsidP="00746617">
            <w:pPr>
              <w:tabs>
                <w:tab w:val="left" w:pos="182"/>
                <w:tab w:val="left" w:pos="287"/>
              </w:tabs>
              <w:ind w:left="175" w:right="138" w:firstLine="7"/>
              <w:rPr>
                <w:rFonts w:ascii="Times New Roman" w:hAnsi="Times New Roman"/>
                <w:color w:val="000000"/>
                <w:sz w:val="16"/>
                <w:szCs w:val="16"/>
                <w:lang w:val="en-US"/>
              </w:rPr>
            </w:pPr>
            <w:r w:rsidRPr="00E16672">
              <w:rPr>
                <w:rFonts w:ascii="Times New Roman" w:hAnsi="Times New Roman"/>
                <w:color w:val="000000"/>
                <w:sz w:val="16"/>
                <w:szCs w:val="16"/>
                <w:shd w:val="clear" w:color="auto" w:fill="FFFFFF"/>
                <w:lang w:val="en-GB"/>
              </w:rPr>
              <w:t xml:space="preserve">- for accounting securities in </w:t>
            </w:r>
            <w:proofErr w:type="gramStart"/>
            <w:r w:rsidRPr="00E16672">
              <w:rPr>
                <w:rFonts w:ascii="Times New Roman" w:hAnsi="Times New Roman"/>
                <w:color w:val="000000"/>
                <w:sz w:val="16"/>
                <w:szCs w:val="16"/>
                <w:shd w:val="clear" w:color="auto" w:fill="FFFFFF"/>
                <w:lang w:val="en-GB"/>
              </w:rPr>
              <w:t>account  in</w:t>
            </w:r>
            <w:proofErr w:type="gramEnd"/>
            <w:r w:rsidRPr="00E16672">
              <w:rPr>
                <w:rFonts w:ascii="Times New Roman" w:hAnsi="Times New Roman"/>
                <w:color w:val="000000"/>
                <w:sz w:val="16"/>
                <w:szCs w:val="16"/>
                <w:shd w:val="clear" w:color="auto" w:fill="FFFFFF"/>
                <w:lang w:val="en-GB"/>
              </w:rPr>
              <w:t xml:space="preserve"> securities  - on the last day of the quarter in which they made, </w:t>
            </w:r>
            <w:proofErr w:type="spellStart"/>
            <w:r w:rsidRPr="00E16672">
              <w:rPr>
                <w:rFonts w:ascii="Times New Roman" w:hAnsi="Times New Roman"/>
                <w:color w:val="000000"/>
                <w:sz w:val="16"/>
                <w:szCs w:val="16"/>
                <w:lang w:val="uk-UA"/>
              </w:rPr>
              <w:t>signed</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by</w:t>
            </w:r>
            <w:proofErr w:type="spellEnd"/>
            <w:r w:rsidRPr="00E16672">
              <w:rPr>
                <w:rFonts w:ascii="Times New Roman" w:hAnsi="Times New Roman"/>
                <w:color w:val="000000"/>
                <w:sz w:val="16"/>
                <w:szCs w:val="16"/>
                <w:lang w:val="uk-UA"/>
              </w:rPr>
              <w:t xml:space="preserve"> </w:t>
            </w:r>
            <w:r w:rsidRPr="00E16672">
              <w:rPr>
                <w:rFonts w:ascii="Times New Roman" w:hAnsi="Times New Roman"/>
                <w:color w:val="000000"/>
                <w:sz w:val="16"/>
                <w:szCs w:val="16"/>
                <w:lang w:val="en-US"/>
              </w:rPr>
              <w:t>D</w:t>
            </w:r>
            <w:proofErr w:type="spellStart"/>
            <w:r w:rsidRPr="00E16672">
              <w:rPr>
                <w:rFonts w:ascii="Times New Roman" w:hAnsi="Times New Roman"/>
                <w:color w:val="000000"/>
                <w:sz w:val="16"/>
                <w:szCs w:val="16"/>
                <w:lang w:val="uk-UA"/>
              </w:rPr>
              <w:t>epository</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institutions</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in</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two</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originals</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and</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submitted</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for</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signature</w:t>
            </w:r>
            <w:proofErr w:type="spellEnd"/>
            <w:r w:rsidRPr="00E16672">
              <w:rPr>
                <w:rFonts w:ascii="Times New Roman" w:hAnsi="Times New Roman"/>
                <w:color w:val="000000"/>
                <w:sz w:val="16"/>
                <w:szCs w:val="16"/>
                <w:lang w:val="uk-UA"/>
              </w:rPr>
              <w:t xml:space="preserve"> </w:t>
            </w:r>
            <w:r w:rsidRPr="00E16672">
              <w:rPr>
                <w:rFonts w:ascii="Times New Roman" w:hAnsi="Times New Roman"/>
                <w:color w:val="000000"/>
                <w:sz w:val="16"/>
                <w:szCs w:val="16"/>
                <w:lang w:val="en-US"/>
              </w:rPr>
              <w:t>to</w:t>
            </w:r>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Depositor</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in</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person</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or</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sent</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by</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post</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to</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the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address</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of</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the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Depositor</w:t>
            </w:r>
            <w:proofErr w:type="spellEnd"/>
            <w:r w:rsidRPr="00E16672">
              <w:rPr>
                <w:rFonts w:ascii="Times New Roman" w:hAnsi="Times New Roman"/>
                <w:color w:val="000000"/>
                <w:sz w:val="16"/>
                <w:szCs w:val="16"/>
                <w:lang w:val="en-US"/>
              </w:rPr>
              <w:t xml:space="preserve"> </w:t>
            </w:r>
            <w:r w:rsidRPr="00F23413">
              <w:rPr>
                <w:rStyle w:val="hps"/>
                <w:rFonts w:ascii="Times New Roman" w:hAnsi="Times New Roman"/>
                <w:color w:val="000000"/>
                <w:sz w:val="16"/>
                <w:szCs w:val="16"/>
                <w:lang w:val="en-US"/>
              </w:rPr>
              <w:t>(or</w:t>
            </w:r>
            <w:r w:rsidRPr="00F23413">
              <w:rPr>
                <w:rStyle w:val="shorttext"/>
                <w:rFonts w:ascii="Times New Roman" w:hAnsi="Times New Roman"/>
                <w:color w:val="000000"/>
                <w:sz w:val="16"/>
                <w:szCs w:val="16"/>
                <w:lang w:val="en-US"/>
              </w:rPr>
              <w:t xml:space="preserve"> </w:t>
            </w:r>
            <w:r w:rsidRPr="00F23413">
              <w:rPr>
                <w:rStyle w:val="hpsalt-edited"/>
                <w:rFonts w:ascii="Times New Roman" w:hAnsi="Times New Roman"/>
                <w:color w:val="000000"/>
                <w:sz w:val="16"/>
                <w:szCs w:val="16"/>
                <w:lang w:val="en-US"/>
              </w:rPr>
              <w:t>another way</w:t>
            </w:r>
            <w:r w:rsidRPr="00F23413">
              <w:rPr>
                <w:rStyle w:val="shorttext"/>
                <w:rFonts w:ascii="Times New Roman" w:hAnsi="Times New Roman"/>
                <w:color w:val="000000"/>
                <w:sz w:val="16"/>
                <w:szCs w:val="16"/>
                <w:lang w:val="en-US"/>
              </w:rPr>
              <w:t xml:space="preserve"> </w:t>
            </w:r>
            <w:r w:rsidRPr="00F23413">
              <w:rPr>
                <w:rStyle w:val="hps"/>
                <w:rFonts w:ascii="Times New Roman" w:hAnsi="Times New Roman"/>
                <w:color w:val="000000"/>
                <w:sz w:val="16"/>
                <w:szCs w:val="16"/>
                <w:lang w:val="en-US"/>
              </w:rPr>
              <w:t xml:space="preserve">by </w:t>
            </w:r>
            <w:r w:rsidRPr="00F23413">
              <w:rPr>
                <w:rStyle w:val="hpsalt-edited"/>
                <w:rFonts w:ascii="Times New Roman" w:hAnsi="Times New Roman"/>
                <w:color w:val="000000"/>
                <w:sz w:val="16"/>
                <w:szCs w:val="16"/>
                <w:lang w:val="en-US"/>
              </w:rPr>
              <w:t xml:space="preserve">understanding </w:t>
            </w:r>
            <w:r w:rsidRPr="00F23413">
              <w:rPr>
                <w:rStyle w:val="hps"/>
                <w:rFonts w:ascii="Times New Roman" w:hAnsi="Times New Roman"/>
                <w:color w:val="000000"/>
                <w:sz w:val="16"/>
                <w:szCs w:val="16"/>
                <w:lang w:val="en-US"/>
              </w:rPr>
              <w:t>with the</w:t>
            </w:r>
            <w:r w:rsidRPr="00F23413">
              <w:rPr>
                <w:rStyle w:val="shorttext"/>
                <w:rFonts w:ascii="Times New Roman" w:hAnsi="Times New Roman"/>
                <w:color w:val="000000"/>
                <w:sz w:val="16"/>
                <w:szCs w:val="16"/>
                <w:lang w:val="en-US"/>
              </w:rPr>
              <w:t xml:space="preserve"> </w:t>
            </w:r>
            <w:r w:rsidRPr="00F23413">
              <w:rPr>
                <w:rStyle w:val="hps"/>
                <w:rFonts w:ascii="Times New Roman" w:hAnsi="Times New Roman"/>
                <w:color w:val="000000"/>
                <w:sz w:val="16"/>
                <w:szCs w:val="16"/>
                <w:lang w:val="en-US"/>
              </w:rPr>
              <w:t>Depositor</w:t>
            </w:r>
            <w:r w:rsidRPr="00F23413">
              <w:rPr>
                <w:rStyle w:val="shorttext"/>
                <w:rFonts w:ascii="Times New Roman" w:hAnsi="Times New Roman"/>
                <w:color w:val="000000"/>
                <w:sz w:val="16"/>
                <w:szCs w:val="16"/>
                <w:lang w:val="en-US"/>
              </w:rPr>
              <w:t>)</w:t>
            </w:r>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for</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not</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more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than</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twenty</w:t>
            </w:r>
            <w:proofErr w:type="spellEnd"/>
            <w:r w:rsidRPr="00E16672">
              <w:rPr>
                <w:rFonts w:ascii="Times New Roman" w:hAnsi="Times New Roman"/>
                <w:color w:val="000000"/>
                <w:sz w:val="16"/>
                <w:szCs w:val="16"/>
                <w:lang w:val="uk-UA"/>
              </w:rPr>
              <w:t xml:space="preserve"> (20) </w:t>
            </w:r>
            <w:proofErr w:type="spellStart"/>
            <w:r w:rsidRPr="00E16672">
              <w:rPr>
                <w:rFonts w:ascii="Times New Roman" w:hAnsi="Times New Roman"/>
                <w:color w:val="000000"/>
                <w:sz w:val="16"/>
                <w:szCs w:val="16"/>
                <w:lang w:val="uk-UA"/>
              </w:rPr>
              <w:t>working</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days</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from</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the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date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of</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signing</w:t>
            </w:r>
            <w:proofErr w:type="spellEnd"/>
            <w:r w:rsidRPr="00E16672">
              <w:rPr>
                <w:rFonts w:ascii="Times New Roman" w:hAnsi="Times New Roman"/>
                <w:color w:val="000000"/>
                <w:sz w:val="16"/>
                <w:szCs w:val="16"/>
                <w:lang w:val="en-US"/>
              </w:rPr>
              <w:t>.</w:t>
            </w:r>
          </w:p>
        </w:tc>
      </w:tr>
      <w:tr w:rsidR="00933C25" w:rsidRPr="00F23413" w14:paraId="21E2F8D0" w14:textId="77777777" w:rsidTr="00D77858">
        <w:tblPrEx>
          <w:tblCellMar>
            <w:left w:w="0" w:type="dxa"/>
            <w:right w:w="0" w:type="dxa"/>
          </w:tblCellMar>
        </w:tblPrEx>
        <w:trPr>
          <w:trHeight w:val="192"/>
        </w:trPr>
        <w:tc>
          <w:tcPr>
            <w:tcW w:w="5696" w:type="dxa"/>
            <w:gridSpan w:val="6"/>
            <w:shd w:val="clear" w:color="auto" w:fill="auto"/>
          </w:tcPr>
          <w:p w14:paraId="67884049" w14:textId="77777777" w:rsidR="00933C25" w:rsidRPr="00E16672" w:rsidRDefault="00933C25" w:rsidP="00746617">
            <w:pPr>
              <w:pStyle w:val="310"/>
              <w:tabs>
                <w:tab w:val="left" w:pos="182"/>
              </w:tabs>
              <w:snapToGrid w:val="0"/>
              <w:ind w:left="175" w:right="138" w:firstLine="7"/>
              <w:rPr>
                <w:rFonts w:ascii="Times New Roman" w:hAnsi="Times New Roman"/>
                <w:color w:val="000000"/>
                <w:sz w:val="16"/>
                <w:szCs w:val="16"/>
              </w:rPr>
            </w:pPr>
            <w:r w:rsidRPr="00E16672">
              <w:rPr>
                <w:rFonts w:ascii="Times New Roman" w:hAnsi="Times New Roman"/>
                <w:color w:val="000000"/>
                <w:sz w:val="16"/>
                <w:szCs w:val="16"/>
              </w:rPr>
              <w:t xml:space="preserve">Депонент має підписати та повернути Депозитарній установі один оригінал </w:t>
            </w:r>
            <w:r w:rsidR="00D16151" w:rsidRPr="00E16672">
              <w:rPr>
                <w:rFonts w:ascii="Times New Roman" w:hAnsi="Times New Roman"/>
                <w:color w:val="000000"/>
                <w:sz w:val="16"/>
                <w:szCs w:val="16"/>
              </w:rPr>
              <w:t xml:space="preserve">протягом </w:t>
            </w:r>
            <w:r w:rsidRPr="00E16672">
              <w:rPr>
                <w:rFonts w:ascii="Times New Roman" w:hAnsi="Times New Roman"/>
                <w:i/>
                <w:color w:val="000000"/>
                <w:sz w:val="16"/>
                <w:szCs w:val="16"/>
              </w:rPr>
              <w:t>тридцяти</w:t>
            </w:r>
            <w:r w:rsidRPr="00E16672">
              <w:rPr>
                <w:rFonts w:ascii="Times New Roman" w:hAnsi="Times New Roman"/>
                <w:i/>
                <w:color w:val="000000"/>
                <w:sz w:val="16"/>
                <w:szCs w:val="16"/>
                <w:lang w:val="ru-RU"/>
              </w:rPr>
              <w:t xml:space="preserve"> </w:t>
            </w:r>
            <w:proofErr w:type="spellStart"/>
            <w:r w:rsidRPr="00E16672">
              <w:rPr>
                <w:rFonts w:ascii="Times New Roman" w:hAnsi="Times New Roman"/>
                <w:i/>
                <w:color w:val="000000"/>
                <w:sz w:val="16"/>
                <w:szCs w:val="16"/>
                <w:lang w:val="ru-RU"/>
              </w:rPr>
              <w:t>календарних</w:t>
            </w:r>
            <w:proofErr w:type="spellEnd"/>
            <w:r w:rsidRPr="00E16672">
              <w:rPr>
                <w:rFonts w:ascii="Times New Roman" w:hAnsi="Times New Roman"/>
                <w:i/>
                <w:color w:val="000000"/>
                <w:sz w:val="16"/>
                <w:szCs w:val="16"/>
              </w:rPr>
              <w:t xml:space="preserve"> днів</w:t>
            </w:r>
            <w:r w:rsidRPr="00E16672">
              <w:rPr>
                <w:rFonts w:ascii="Times New Roman" w:hAnsi="Times New Roman"/>
                <w:color w:val="000000"/>
                <w:sz w:val="16"/>
                <w:szCs w:val="16"/>
              </w:rPr>
              <w:t xml:space="preserve"> </w:t>
            </w:r>
            <w:r w:rsidRPr="00E16672">
              <w:rPr>
                <w:rFonts w:ascii="Times New Roman" w:hAnsi="Times New Roman"/>
                <w:color w:val="000000"/>
                <w:sz w:val="16"/>
                <w:szCs w:val="16"/>
                <w:lang w:val="ru-RU"/>
              </w:rPr>
              <w:t>з</w:t>
            </w:r>
            <w:r w:rsidRPr="00E16672">
              <w:rPr>
                <w:rFonts w:ascii="Times New Roman" w:hAnsi="Times New Roman"/>
                <w:color w:val="000000"/>
                <w:sz w:val="16"/>
                <w:szCs w:val="16"/>
              </w:rPr>
              <w:t xml:space="preserve"> дня підписання акту Депозитарною установою. У разі неповернення акту послуги вважаються наданими без заперечень.</w:t>
            </w:r>
          </w:p>
        </w:tc>
        <w:tc>
          <w:tcPr>
            <w:tcW w:w="5494" w:type="dxa"/>
            <w:gridSpan w:val="7"/>
            <w:shd w:val="clear" w:color="auto" w:fill="auto"/>
          </w:tcPr>
          <w:p w14:paraId="711731EB" w14:textId="77777777" w:rsidR="00933C25" w:rsidRPr="00E16672" w:rsidRDefault="00933C25" w:rsidP="00746617">
            <w:pPr>
              <w:pStyle w:val="210"/>
              <w:tabs>
                <w:tab w:val="left" w:pos="182"/>
                <w:tab w:val="left" w:pos="287"/>
                <w:tab w:val="left" w:pos="1191"/>
              </w:tabs>
              <w:snapToGrid w:val="0"/>
              <w:ind w:left="175" w:right="138" w:firstLine="7"/>
              <w:rPr>
                <w:rFonts w:ascii="Times New Roman" w:hAnsi="Times New Roman"/>
                <w:color w:val="000000"/>
                <w:sz w:val="16"/>
                <w:szCs w:val="16"/>
              </w:rPr>
            </w:pPr>
            <w:r w:rsidRPr="00E16672">
              <w:rPr>
                <w:rFonts w:ascii="Times New Roman" w:hAnsi="Times New Roman"/>
                <w:color w:val="000000"/>
                <w:sz w:val="16"/>
                <w:szCs w:val="16"/>
                <w:shd w:val="clear" w:color="auto" w:fill="FFFFFF"/>
                <w:lang w:val="en-GB"/>
              </w:rPr>
              <w:t xml:space="preserve">A depositor must sign and return to </w:t>
            </w:r>
            <w:r w:rsidRPr="00E16672">
              <w:rPr>
                <w:rFonts w:ascii="Times New Roman" w:hAnsi="Times New Roman"/>
                <w:color w:val="000000"/>
                <w:sz w:val="16"/>
                <w:szCs w:val="16"/>
                <w:lang w:val="en-GB"/>
              </w:rPr>
              <w:t xml:space="preserve">Depository </w:t>
            </w:r>
            <w:proofErr w:type="gramStart"/>
            <w:r w:rsidRPr="00E16672">
              <w:rPr>
                <w:rFonts w:ascii="Times New Roman" w:hAnsi="Times New Roman"/>
                <w:color w:val="000000"/>
                <w:sz w:val="16"/>
                <w:szCs w:val="16"/>
                <w:lang w:val="en-GB"/>
              </w:rPr>
              <w:t xml:space="preserve">institution  </w:t>
            </w:r>
            <w:r w:rsidRPr="00E16672">
              <w:rPr>
                <w:rFonts w:ascii="Times New Roman" w:hAnsi="Times New Roman"/>
                <w:color w:val="000000"/>
                <w:sz w:val="16"/>
                <w:szCs w:val="16"/>
                <w:shd w:val="clear" w:color="auto" w:fill="FFFFFF"/>
                <w:lang w:val="en-GB"/>
              </w:rPr>
              <w:t>one</w:t>
            </w:r>
            <w:proofErr w:type="gramEnd"/>
            <w:r w:rsidRPr="00E16672">
              <w:rPr>
                <w:rFonts w:ascii="Times New Roman" w:hAnsi="Times New Roman"/>
                <w:color w:val="000000"/>
                <w:sz w:val="16"/>
                <w:szCs w:val="16"/>
                <w:shd w:val="clear" w:color="auto" w:fill="FFFFFF"/>
                <w:lang w:val="en-GB"/>
              </w:rPr>
              <w:t xml:space="preserve"> original within </w:t>
            </w:r>
            <w:proofErr w:type="spellStart"/>
            <w:r w:rsidRPr="00E16672">
              <w:rPr>
                <w:rFonts w:ascii="Times New Roman" w:hAnsi="Times New Roman"/>
                <w:i/>
                <w:color w:val="000000"/>
                <w:sz w:val="16"/>
                <w:szCs w:val="16"/>
              </w:rPr>
              <w:t>thirty</w:t>
            </w:r>
            <w:proofErr w:type="spellEnd"/>
            <w:r w:rsidRPr="00E16672">
              <w:rPr>
                <w:rFonts w:ascii="Times New Roman" w:hAnsi="Times New Roman"/>
                <w:i/>
                <w:color w:val="000000"/>
                <w:sz w:val="16"/>
                <w:szCs w:val="16"/>
              </w:rPr>
              <w:t xml:space="preserve"> </w:t>
            </w:r>
            <w:proofErr w:type="spellStart"/>
            <w:r w:rsidRPr="00E16672">
              <w:rPr>
                <w:rFonts w:ascii="Times New Roman" w:hAnsi="Times New Roman"/>
                <w:i/>
                <w:color w:val="000000"/>
                <w:sz w:val="16"/>
                <w:szCs w:val="16"/>
              </w:rPr>
              <w:t>calendar</w:t>
            </w:r>
            <w:proofErr w:type="spellEnd"/>
            <w:r w:rsidRPr="00E16672">
              <w:rPr>
                <w:rFonts w:ascii="Times New Roman" w:hAnsi="Times New Roman"/>
                <w:i/>
                <w:color w:val="000000"/>
                <w:sz w:val="16"/>
                <w:szCs w:val="16"/>
              </w:rPr>
              <w:t xml:space="preserve"> </w:t>
            </w:r>
            <w:proofErr w:type="spellStart"/>
            <w:r w:rsidRPr="00E16672">
              <w:rPr>
                <w:rFonts w:ascii="Times New Roman" w:hAnsi="Times New Roman"/>
                <w:i/>
                <w:color w:val="000000"/>
                <w:sz w:val="16"/>
                <w:szCs w:val="16"/>
              </w:rPr>
              <w:t>days</w:t>
            </w:r>
            <w:proofErr w:type="spellEnd"/>
            <w:r w:rsidRPr="00E16672">
              <w:rPr>
                <w:rFonts w:ascii="Times New Roman" w:hAnsi="Times New Roman"/>
                <w:i/>
                <w:color w:val="000000"/>
                <w:sz w:val="16"/>
                <w:szCs w:val="16"/>
              </w:rPr>
              <w:t xml:space="preserve"> </w:t>
            </w:r>
            <w:proofErr w:type="spellStart"/>
            <w:r w:rsidRPr="00E16672">
              <w:rPr>
                <w:rFonts w:ascii="Times New Roman" w:hAnsi="Times New Roman"/>
                <w:color w:val="000000"/>
                <w:sz w:val="16"/>
                <w:szCs w:val="16"/>
              </w:rPr>
              <w:t>from</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the</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day</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of</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signing</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the</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Statement</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by</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Depositary</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institution</w:t>
            </w:r>
            <w:proofErr w:type="spellEnd"/>
            <w:r w:rsidRPr="00E16672">
              <w:rPr>
                <w:rFonts w:ascii="Times New Roman" w:hAnsi="Times New Roman"/>
                <w:color w:val="000000"/>
                <w:sz w:val="16"/>
                <w:szCs w:val="16"/>
                <w:shd w:val="clear" w:color="auto" w:fill="FFFFFF"/>
                <w:lang w:val="en-GB"/>
              </w:rPr>
              <w:t>. In the case of failure to return of statement services are considered given without denials.</w:t>
            </w:r>
          </w:p>
        </w:tc>
      </w:tr>
      <w:tr w:rsidR="00755BAD" w:rsidRPr="00F23413" w14:paraId="5B17CE6B" w14:textId="77777777" w:rsidTr="00D77858">
        <w:tblPrEx>
          <w:tblCellMar>
            <w:left w:w="0" w:type="dxa"/>
            <w:right w:w="0" w:type="dxa"/>
          </w:tblCellMar>
        </w:tblPrEx>
        <w:trPr>
          <w:trHeight w:val="748"/>
        </w:trPr>
        <w:tc>
          <w:tcPr>
            <w:tcW w:w="5696" w:type="dxa"/>
            <w:gridSpan w:val="6"/>
            <w:shd w:val="clear" w:color="auto" w:fill="auto"/>
          </w:tcPr>
          <w:p w14:paraId="1B700188" w14:textId="77777777" w:rsidR="00755BAD" w:rsidRPr="00E16672" w:rsidRDefault="00755BAD" w:rsidP="00755BAD">
            <w:pPr>
              <w:tabs>
                <w:tab w:val="left" w:pos="182"/>
                <w:tab w:val="left" w:pos="654"/>
              </w:tabs>
              <w:snapToGrid w:val="0"/>
              <w:spacing w:before="57" w:after="57"/>
              <w:ind w:left="175" w:right="138" w:firstLine="7"/>
              <w:rPr>
                <w:rFonts w:ascii="Times New Roman" w:hAnsi="Times New Roman"/>
                <w:color w:val="000000"/>
                <w:sz w:val="16"/>
                <w:szCs w:val="16"/>
              </w:rPr>
            </w:pPr>
            <w:r w:rsidRPr="00E16672">
              <w:rPr>
                <w:rFonts w:ascii="Times New Roman" w:hAnsi="Times New Roman"/>
                <w:color w:val="000000"/>
                <w:sz w:val="16"/>
                <w:szCs w:val="16"/>
              </w:rPr>
              <w:t xml:space="preserve">Акт </w:t>
            </w:r>
            <w:proofErr w:type="spellStart"/>
            <w:r w:rsidRPr="00E16672">
              <w:rPr>
                <w:rFonts w:ascii="Times New Roman" w:hAnsi="Times New Roman"/>
                <w:color w:val="000000"/>
                <w:sz w:val="16"/>
                <w:szCs w:val="16"/>
              </w:rPr>
              <w:t>виконаних</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операцій</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може</w:t>
            </w:r>
            <w:proofErr w:type="spellEnd"/>
            <w:r w:rsidRPr="00E16672">
              <w:rPr>
                <w:rFonts w:ascii="Times New Roman" w:hAnsi="Times New Roman"/>
                <w:color w:val="000000"/>
                <w:sz w:val="16"/>
                <w:szCs w:val="16"/>
              </w:rPr>
              <w:t xml:space="preserve"> бути </w:t>
            </w:r>
            <w:proofErr w:type="spellStart"/>
            <w:r w:rsidRPr="00E16672">
              <w:rPr>
                <w:rFonts w:ascii="Times New Roman" w:hAnsi="Times New Roman"/>
                <w:color w:val="000000"/>
                <w:sz w:val="16"/>
                <w:szCs w:val="16"/>
              </w:rPr>
              <w:t>підписаний</w:t>
            </w:r>
            <w:proofErr w:type="spellEnd"/>
            <w:r w:rsidRPr="00E16672">
              <w:rPr>
                <w:rFonts w:ascii="Times New Roman" w:hAnsi="Times New Roman"/>
                <w:color w:val="000000"/>
                <w:sz w:val="16"/>
                <w:szCs w:val="16"/>
              </w:rPr>
              <w:t xml:space="preserve"> Депозитарною </w:t>
            </w:r>
            <w:proofErr w:type="spellStart"/>
            <w:r w:rsidRPr="00E16672">
              <w:rPr>
                <w:rFonts w:ascii="Times New Roman" w:hAnsi="Times New Roman"/>
                <w:color w:val="000000"/>
                <w:sz w:val="16"/>
                <w:szCs w:val="16"/>
              </w:rPr>
              <w:t>установою</w:t>
            </w:r>
            <w:proofErr w:type="spellEnd"/>
            <w:r w:rsidRPr="00E16672">
              <w:rPr>
                <w:rFonts w:ascii="Times New Roman" w:hAnsi="Times New Roman"/>
                <w:color w:val="000000"/>
                <w:sz w:val="16"/>
                <w:szCs w:val="16"/>
              </w:rPr>
              <w:t xml:space="preserve"> та Депонентом за </w:t>
            </w:r>
            <w:proofErr w:type="spellStart"/>
            <w:r w:rsidRPr="00E16672">
              <w:rPr>
                <w:rFonts w:ascii="Times New Roman" w:hAnsi="Times New Roman"/>
                <w:color w:val="000000"/>
                <w:sz w:val="16"/>
                <w:szCs w:val="16"/>
              </w:rPr>
              <w:t>допомогою</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кваліфікованого</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 w:val="16"/>
                <w:szCs w:val="16"/>
              </w:rPr>
              <w:t>електронного</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підпису</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Рахунок</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також</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може</w:t>
            </w:r>
            <w:proofErr w:type="spellEnd"/>
            <w:r w:rsidRPr="00E16672">
              <w:rPr>
                <w:rFonts w:ascii="Times New Roman" w:hAnsi="Times New Roman"/>
                <w:color w:val="000000"/>
                <w:sz w:val="16"/>
                <w:szCs w:val="16"/>
              </w:rPr>
              <w:t xml:space="preserve"> бути </w:t>
            </w:r>
            <w:proofErr w:type="spellStart"/>
            <w:r w:rsidRPr="00E16672">
              <w:rPr>
                <w:rFonts w:ascii="Times New Roman" w:hAnsi="Times New Roman"/>
                <w:color w:val="000000"/>
                <w:sz w:val="16"/>
                <w:szCs w:val="16"/>
              </w:rPr>
              <w:t>підписаний</w:t>
            </w:r>
            <w:proofErr w:type="spellEnd"/>
            <w:r w:rsidRPr="00E16672">
              <w:rPr>
                <w:rFonts w:ascii="Times New Roman" w:hAnsi="Times New Roman"/>
                <w:color w:val="000000"/>
                <w:sz w:val="16"/>
                <w:szCs w:val="16"/>
              </w:rPr>
              <w:t xml:space="preserve"> за </w:t>
            </w:r>
            <w:proofErr w:type="spellStart"/>
            <w:r w:rsidRPr="00E16672">
              <w:rPr>
                <w:rFonts w:ascii="Times New Roman" w:hAnsi="Times New Roman"/>
                <w:color w:val="000000"/>
                <w:sz w:val="16"/>
                <w:szCs w:val="16"/>
              </w:rPr>
              <w:t>допомогою</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rPr>
              <w:t>кваліфікованого</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електронного</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підпису</w:t>
            </w:r>
            <w:proofErr w:type="spellEnd"/>
            <w:r w:rsidRPr="00E16672">
              <w:rPr>
                <w:rFonts w:ascii="Times New Roman" w:hAnsi="Times New Roman"/>
                <w:color w:val="000000"/>
                <w:sz w:val="16"/>
                <w:szCs w:val="16"/>
              </w:rPr>
              <w:t>.</w:t>
            </w:r>
          </w:p>
        </w:tc>
        <w:tc>
          <w:tcPr>
            <w:tcW w:w="5494" w:type="dxa"/>
            <w:gridSpan w:val="7"/>
            <w:shd w:val="clear" w:color="auto" w:fill="auto"/>
          </w:tcPr>
          <w:p w14:paraId="32F77A33" w14:textId="77777777" w:rsidR="00755BAD" w:rsidRPr="00E16672" w:rsidRDefault="00755BAD" w:rsidP="00755BAD">
            <w:pPr>
              <w:tabs>
                <w:tab w:val="left" w:pos="182"/>
              </w:tabs>
              <w:snapToGrid w:val="0"/>
              <w:spacing w:before="57" w:after="57"/>
              <w:ind w:left="175" w:right="138" w:firstLine="7"/>
              <w:rPr>
                <w:rFonts w:ascii="Times New Roman" w:hAnsi="Times New Roman"/>
                <w:color w:val="000000"/>
                <w:sz w:val="16"/>
                <w:szCs w:val="16"/>
                <w:lang w:val="en-GB"/>
              </w:rPr>
            </w:pPr>
            <w:r w:rsidRPr="00E16672">
              <w:rPr>
                <w:rFonts w:ascii="Times New Roman" w:hAnsi="Times New Roman"/>
                <w:color w:val="000000"/>
                <w:sz w:val="16"/>
                <w:szCs w:val="16"/>
                <w:shd w:val="clear" w:color="auto" w:fill="FFFFFF"/>
                <w:lang w:val="en-GB"/>
              </w:rPr>
              <w:t xml:space="preserve">Statement of fulfilled operations can be signed by the Depository </w:t>
            </w:r>
            <w:proofErr w:type="gramStart"/>
            <w:r w:rsidRPr="00E16672">
              <w:rPr>
                <w:rFonts w:ascii="Times New Roman" w:hAnsi="Times New Roman"/>
                <w:color w:val="000000"/>
                <w:sz w:val="16"/>
                <w:szCs w:val="16"/>
                <w:shd w:val="clear" w:color="auto" w:fill="FFFFFF"/>
                <w:lang w:val="en-GB"/>
              </w:rPr>
              <w:t>institution  and</w:t>
            </w:r>
            <w:proofErr w:type="gramEnd"/>
            <w:r w:rsidRPr="00E16672">
              <w:rPr>
                <w:rFonts w:ascii="Times New Roman" w:hAnsi="Times New Roman"/>
                <w:color w:val="000000"/>
                <w:sz w:val="16"/>
                <w:szCs w:val="16"/>
                <w:shd w:val="clear" w:color="auto" w:fill="FFFFFF"/>
                <w:lang w:val="en-GB"/>
              </w:rPr>
              <w:t xml:space="preserve"> the Depositor with an</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 xml:space="preserve">qualified electronic signature. </w:t>
            </w:r>
            <w:r w:rsidRPr="00E16672">
              <w:rPr>
                <w:rFonts w:ascii="Times New Roman" w:hAnsi="Times New Roman"/>
                <w:color w:val="000000"/>
                <w:sz w:val="16"/>
                <w:szCs w:val="16"/>
                <w:lang w:val="en-GB"/>
              </w:rPr>
              <w:t>Invoice also could be signed using the</w:t>
            </w:r>
            <w:r w:rsidRPr="00E16672">
              <w:rPr>
                <w:rFonts w:ascii="Times New Roman" w:hAnsi="Times New Roman"/>
                <w:color w:val="000000"/>
                <w:sz w:val="16"/>
                <w:szCs w:val="16"/>
                <w:shd w:val="clear" w:color="auto" w:fill="FFFFFF"/>
                <w:lang w:val="en-GB"/>
              </w:rPr>
              <w:t xml:space="preserve"> qualified</w:t>
            </w:r>
            <w:r w:rsidRPr="00E16672">
              <w:rPr>
                <w:rFonts w:ascii="Times New Roman" w:hAnsi="Times New Roman"/>
                <w:color w:val="000000"/>
                <w:sz w:val="16"/>
                <w:szCs w:val="16"/>
                <w:lang w:val="en-GB"/>
              </w:rPr>
              <w:t xml:space="preserve"> electronic signature.</w:t>
            </w:r>
          </w:p>
        </w:tc>
      </w:tr>
      <w:tr w:rsidR="00933C25" w:rsidRPr="00F23413" w14:paraId="52EE1876" w14:textId="77777777" w:rsidTr="00D77858">
        <w:tblPrEx>
          <w:tblCellMar>
            <w:left w:w="0" w:type="dxa"/>
            <w:right w:w="0" w:type="dxa"/>
          </w:tblCellMar>
        </w:tblPrEx>
        <w:trPr>
          <w:trHeight w:val="192"/>
        </w:trPr>
        <w:tc>
          <w:tcPr>
            <w:tcW w:w="5696" w:type="dxa"/>
            <w:gridSpan w:val="6"/>
            <w:shd w:val="clear" w:color="auto" w:fill="auto"/>
          </w:tcPr>
          <w:p w14:paraId="3B56BB2F" w14:textId="77777777" w:rsidR="00933C25" w:rsidRPr="00E16672" w:rsidRDefault="00933C25" w:rsidP="00746617">
            <w:pPr>
              <w:tabs>
                <w:tab w:val="left" w:pos="182"/>
              </w:tabs>
              <w:snapToGrid w:val="0"/>
              <w:ind w:left="175" w:right="138" w:firstLine="7"/>
              <w:rPr>
                <w:rFonts w:ascii="Times New Roman" w:hAnsi="Times New Roman"/>
                <w:color w:val="000000"/>
                <w:sz w:val="16"/>
                <w:szCs w:val="16"/>
              </w:rPr>
            </w:pPr>
            <w:r w:rsidRPr="00E16672">
              <w:rPr>
                <w:rFonts w:ascii="Times New Roman" w:hAnsi="Times New Roman"/>
                <w:color w:val="000000"/>
                <w:sz w:val="16"/>
                <w:szCs w:val="16"/>
              </w:rPr>
              <w:t xml:space="preserve">4.4. Плата вноситься Депонентом у </w:t>
            </w:r>
            <w:proofErr w:type="spellStart"/>
            <w:r w:rsidRPr="00E16672">
              <w:rPr>
                <w:rFonts w:ascii="Times New Roman" w:hAnsi="Times New Roman"/>
                <w:color w:val="000000"/>
                <w:sz w:val="16"/>
                <w:szCs w:val="16"/>
              </w:rPr>
              <w:t>безготівковій</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формі</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протягом</w:t>
            </w:r>
            <w:proofErr w:type="spellEnd"/>
            <w:r w:rsidRPr="00E16672">
              <w:rPr>
                <w:rFonts w:ascii="Times New Roman" w:hAnsi="Times New Roman"/>
                <w:color w:val="000000"/>
                <w:sz w:val="16"/>
                <w:szCs w:val="16"/>
              </w:rPr>
              <w:t xml:space="preserve"> </w:t>
            </w:r>
            <w:proofErr w:type="spellStart"/>
            <w:r w:rsidR="00982AE9" w:rsidRPr="00E16672">
              <w:rPr>
                <w:rFonts w:ascii="Times New Roman" w:hAnsi="Times New Roman"/>
                <w:i/>
                <w:color w:val="000000"/>
                <w:sz w:val="16"/>
                <w:szCs w:val="16"/>
              </w:rPr>
              <w:t>вісімдесяти</w:t>
            </w:r>
            <w:proofErr w:type="spellEnd"/>
            <w:r w:rsidRPr="00E16672">
              <w:rPr>
                <w:rFonts w:ascii="Times New Roman" w:hAnsi="Times New Roman"/>
                <w:i/>
                <w:color w:val="000000"/>
                <w:sz w:val="16"/>
                <w:szCs w:val="16"/>
              </w:rPr>
              <w:t xml:space="preserve"> </w:t>
            </w:r>
            <w:proofErr w:type="spellStart"/>
            <w:r w:rsidRPr="00E16672">
              <w:rPr>
                <w:rFonts w:ascii="Times New Roman" w:hAnsi="Times New Roman"/>
                <w:i/>
                <w:color w:val="000000"/>
                <w:sz w:val="16"/>
                <w:szCs w:val="16"/>
              </w:rPr>
              <w:t>календарних</w:t>
            </w:r>
            <w:proofErr w:type="spellEnd"/>
            <w:r w:rsidRPr="00E16672">
              <w:rPr>
                <w:rFonts w:ascii="Times New Roman" w:hAnsi="Times New Roman"/>
                <w:i/>
                <w:color w:val="000000"/>
                <w:sz w:val="16"/>
                <w:szCs w:val="16"/>
              </w:rPr>
              <w:t xml:space="preserve"> </w:t>
            </w:r>
            <w:proofErr w:type="spellStart"/>
            <w:r w:rsidRPr="00E16672">
              <w:rPr>
                <w:rFonts w:ascii="Times New Roman" w:hAnsi="Times New Roman"/>
                <w:i/>
                <w:color w:val="000000"/>
                <w:sz w:val="16"/>
                <w:szCs w:val="16"/>
              </w:rPr>
              <w:t>днів</w:t>
            </w:r>
            <w:proofErr w:type="spellEnd"/>
            <w:r w:rsidRPr="00E16672">
              <w:rPr>
                <w:rFonts w:ascii="Times New Roman" w:hAnsi="Times New Roman"/>
                <w:color w:val="000000"/>
                <w:sz w:val="16"/>
                <w:szCs w:val="16"/>
              </w:rPr>
              <w:t xml:space="preserve"> з дня </w:t>
            </w:r>
            <w:proofErr w:type="spellStart"/>
            <w:r w:rsidRPr="00E16672">
              <w:rPr>
                <w:rFonts w:ascii="Times New Roman" w:hAnsi="Times New Roman"/>
                <w:color w:val="000000"/>
                <w:sz w:val="16"/>
                <w:szCs w:val="16"/>
              </w:rPr>
              <w:t>підписання</w:t>
            </w:r>
            <w:proofErr w:type="spellEnd"/>
            <w:r w:rsidRPr="00E16672">
              <w:rPr>
                <w:rFonts w:ascii="Times New Roman" w:hAnsi="Times New Roman"/>
                <w:color w:val="000000"/>
                <w:sz w:val="16"/>
                <w:szCs w:val="16"/>
              </w:rPr>
              <w:t xml:space="preserve"> акту Депозитарною </w:t>
            </w:r>
            <w:proofErr w:type="spellStart"/>
            <w:r w:rsidRPr="00E16672">
              <w:rPr>
                <w:rFonts w:ascii="Times New Roman" w:hAnsi="Times New Roman"/>
                <w:color w:val="000000"/>
                <w:sz w:val="16"/>
                <w:szCs w:val="16"/>
              </w:rPr>
              <w:t>установою</w:t>
            </w:r>
            <w:proofErr w:type="spellEnd"/>
            <w:r w:rsidRPr="00E16672">
              <w:rPr>
                <w:rFonts w:ascii="Times New Roman" w:hAnsi="Times New Roman"/>
                <w:color w:val="000000"/>
                <w:sz w:val="16"/>
                <w:szCs w:val="16"/>
              </w:rPr>
              <w:t xml:space="preserve"> шляхом </w:t>
            </w:r>
            <w:proofErr w:type="spellStart"/>
            <w:r w:rsidRPr="00E16672">
              <w:rPr>
                <w:rFonts w:ascii="Times New Roman" w:hAnsi="Times New Roman"/>
                <w:color w:val="000000"/>
                <w:sz w:val="16"/>
                <w:szCs w:val="16"/>
              </w:rPr>
              <w:t>перерахування</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грошових</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коштів</w:t>
            </w:r>
            <w:proofErr w:type="spellEnd"/>
            <w:r w:rsidRPr="00E16672">
              <w:rPr>
                <w:rFonts w:ascii="Times New Roman" w:hAnsi="Times New Roman"/>
                <w:color w:val="000000"/>
                <w:sz w:val="16"/>
                <w:szCs w:val="16"/>
              </w:rPr>
              <w:t xml:space="preserve"> на </w:t>
            </w:r>
            <w:proofErr w:type="spellStart"/>
            <w:r w:rsidRPr="00E16672">
              <w:rPr>
                <w:rFonts w:ascii="Times New Roman" w:hAnsi="Times New Roman"/>
                <w:color w:val="000000"/>
                <w:sz w:val="16"/>
                <w:szCs w:val="16"/>
              </w:rPr>
              <w:t>рахунок</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Депозитарної</w:t>
            </w:r>
            <w:proofErr w:type="spellEnd"/>
            <w:r w:rsidRPr="00E16672">
              <w:rPr>
                <w:rFonts w:ascii="Times New Roman" w:hAnsi="Times New Roman"/>
                <w:color w:val="000000"/>
                <w:sz w:val="16"/>
                <w:szCs w:val="16"/>
              </w:rPr>
              <w:t xml:space="preserve"> установи за </w:t>
            </w:r>
            <w:proofErr w:type="spellStart"/>
            <w:r w:rsidRPr="00E16672">
              <w:rPr>
                <w:rFonts w:ascii="Times New Roman" w:hAnsi="Times New Roman"/>
                <w:color w:val="000000"/>
                <w:sz w:val="16"/>
                <w:szCs w:val="16"/>
              </w:rPr>
              <w:lastRenderedPageBreak/>
              <w:t>реквізитами</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вказаними</w:t>
            </w:r>
            <w:proofErr w:type="spellEnd"/>
            <w:r w:rsidRPr="00E16672">
              <w:rPr>
                <w:rFonts w:ascii="Times New Roman" w:hAnsi="Times New Roman"/>
                <w:color w:val="000000"/>
                <w:sz w:val="16"/>
                <w:szCs w:val="16"/>
              </w:rPr>
              <w:t xml:space="preserve"> Депозитарною </w:t>
            </w:r>
            <w:proofErr w:type="spellStart"/>
            <w:r w:rsidRPr="00E16672">
              <w:rPr>
                <w:rFonts w:ascii="Times New Roman" w:hAnsi="Times New Roman"/>
                <w:color w:val="000000"/>
                <w:sz w:val="16"/>
                <w:szCs w:val="16"/>
              </w:rPr>
              <w:t>установою</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Операція</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закриття</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рахунку</w:t>
            </w:r>
            <w:proofErr w:type="spellEnd"/>
            <w:r w:rsidRPr="00E16672">
              <w:rPr>
                <w:rFonts w:ascii="Times New Roman" w:hAnsi="Times New Roman"/>
                <w:color w:val="000000"/>
                <w:sz w:val="16"/>
                <w:szCs w:val="16"/>
              </w:rPr>
              <w:t xml:space="preserve"> </w:t>
            </w:r>
            <w:r w:rsidR="00C22309" w:rsidRPr="00E16672">
              <w:rPr>
                <w:rFonts w:ascii="Times New Roman" w:hAnsi="Times New Roman"/>
                <w:color w:val="000000"/>
                <w:sz w:val="16"/>
                <w:szCs w:val="16"/>
              </w:rPr>
              <w:t xml:space="preserve">в </w:t>
            </w:r>
            <w:proofErr w:type="spellStart"/>
            <w:r w:rsidR="00C22309" w:rsidRPr="00E16672">
              <w:rPr>
                <w:rFonts w:ascii="Times New Roman" w:hAnsi="Times New Roman"/>
                <w:color w:val="000000"/>
                <w:sz w:val="16"/>
                <w:szCs w:val="16"/>
              </w:rPr>
              <w:t>цін</w:t>
            </w:r>
            <w:r w:rsidRPr="00E16672">
              <w:rPr>
                <w:rFonts w:ascii="Times New Roman" w:hAnsi="Times New Roman"/>
                <w:color w:val="000000"/>
                <w:sz w:val="16"/>
                <w:szCs w:val="16"/>
              </w:rPr>
              <w:t>них</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паперах</w:t>
            </w:r>
            <w:proofErr w:type="spellEnd"/>
            <w:r w:rsidRPr="00E16672">
              <w:rPr>
                <w:rFonts w:ascii="Times New Roman" w:hAnsi="Times New Roman"/>
                <w:color w:val="000000"/>
                <w:sz w:val="16"/>
                <w:szCs w:val="16"/>
              </w:rPr>
              <w:t xml:space="preserve"> повинна бути оплачена до </w:t>
            </w:r>
            <w:proofErr w:type="spellStart"/>
            <w:r w:rsidRPr="00E16672">
              <w:rPr>
                <w:rFonts w:ascii="Times New Roman" w:hAnsi="Times New Roman"/>
                <w:color w:val="000000"/>
                <w:sz w:val="16"/>
                <w:szCs w:val="16"/>
              </w:rPr>
              <w:t>виконання</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цієї</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послуги</w:t>
            </w:r>
            <w:proofErr w:type="spellEnd"/>
            <w:r w:rsidRPr="00E16672">
              <w:rPr>
                <w:rFonts w:ascii="Times New Roman" w:hAnsi="Times New Roman"/>
                <w:color w:val="000000"/>
                <w:sz w:val="16"/>
                <w:szCs w:val="16"/>
              </w:rPr>
              <w:t xml:space="preserve">.  </w:t>
            </w:r>
          </w:p>
          <w:p w14:paraId="0957CB86" w14:textId="77777777" w:rsidR="00933C25" w:rsidRPr="00E16672" w:rsidRDefault="00933C25" w:rsidP="00746617">
            <w:pPr>
              <w:pStyle w:val="310"/>
              <w:tabs>
                <w:tab w:val="left" w:pos="182"/>
              </w:tabs>
              <w:ind w:left="175" w:right="138" w:firstLine="7"/>
              <w:rPr>
                <w:rFonts w:ascii="Times New Roman" w:hAnsi="Times New Roman"/>
                <w:color w:val="000000"/>
                <w:sz w:val="16"/>
                <w:szCs w:val="16"/>
              </w:rPr>
            </w:pPr>
          </w:p>
        </w:tc>
        <w:tc>
          <w:tcPr>
            <w:tcW w:w="5494" w:type="dxa"/>
            <w:gridSpan w:val="7"/>
            <w:shd w:val="clear" w:color="auto" w:fill="auto"/>
          </w:tcPr>
          <w:p w14:paraId="0827982B" w14:textId="77777777" w:rsidR="00933C25" w:rsidRPr="00E16672" w:rsidRDefault="00933C25" w:rsidP="00746617">
            <w:pPr>
              <w:tabs>
                <w:tab w:val="left" w:pos="182"/>
                <w:tab w:val="left" w:pos="287"/>
              </w:tabs>
              <w:snapToGrid w:val="0"/>
              <w:ind w:left="175" w:right="138" w:firstLine="7"/>
              <w:rPr>
                <w:rFonts w:ascii="Times New Roman" w:hAnsi="Times New Roman"/>
                <w:color w:val="000000"/>
                <w:sz w:val="16"/>
                <w:szCs w:val="16"/>
                <w:lang w:val="en-GB"/>
              </w:rPr>
            </w:pPr>
            <w:r w:rsidRPr="00E16672">
              <w:rPr>
                <w:rFonts w:ascii="Times New Roman" w:hAnsi="Times New Roman"/>
                <w:color w:val="000000"/>
                <w:sz w:val="16"/>
                <w:szCs w:val="16"/>
                <w:lang w:val="en-GB"/>
              </w:rPr>
              <w:lastRenderedPageBreak/>
              <w:t xml:space="preserve">4.4. A pay is brought by Depositor in cashless form till </w:t>
            </w:r>
            <w:r w:rsidRPr="00E16672">
              <w:rPr>
                <w:rFonts w:ascii="Times New Roman" w:hAnsi="Times New Roman"/>
                <w:i/>
                <w:color w:val="000000"/>
                <w:sz w:val="16"/>
                <w:szCs w:val="16"/>
                <w:lang w:val="en-US"/>
              </w:rPr>
              <w:t xml:space="preserve">eighty </w:t>
            </w:r>
            <w:r w:rsidRPr="00E16672">
              <w:rPr>
                <w:rFonts w:ascii="Times New Roman" w:hAnsi="Times New Roman"/>
                <w:i/>
                <w:color w:val="000000"/>
                <w:sz w:val="16"/>
                <w:szCs w:val="16"/>
                <w:lang w:val="en-GB"/>
              </w:rPr>
              <w:t>calendar days</w:t>
            </w:r>
            <w:r w:rsidRPr="00E16672">
              <w:rPr>
                <w:rFonts w:ascii="Times New Roman" w:hAnsi="Times New Roman"/>
                <w:color w:val="000000"/>
                <w:sz w:val="16"/>
                <w:szCs w:val="16"/>
                <w:lang w:val="en-GB"/>
              </w:rPr>
              <w:t xml:space="preserve"> from the day of </w:t>
            </w:r>
            <w:proofErr w:type="gramStart"/>
            <w:r w:rsidRPr="00E16672">
              <w:rPr>
                <w:rFonts w:ascii="Times New Roman" w:hAnsi="Times New Roman"/>
                <w:color w:val="000000"/>
                <w:sz w:val="16"/>
                <w:szCs w:val="16"/>
                <w:lang w:val="en-GB"/>
              </w:rPr>
              <w:t>signing  the</w:t>
            </w:r>
            <w:proofErr w:type="gramEnd"/>
            <w:r w:rsidRPr="00E16672">
              <w:rPr>
                <w:rFonts w:ascii="Times New Roman" w:hAnsi="Times New Roman"/>
                <w:color w:val="000000"/>
                <w:sz w:val="16"/>
                <w:szCs w:val="16"/>
                <w:lang w:val="en-GB"/>
              </w:rPr>
              <w:t xml:space="preserve">  Statement by Depositary institution by transfer funds  on the account of the Depository institution after for details, indicated by </w:t>
            </w:r>
            <w:r w:rsidRPr="00E16672">
              <w:rPr>
                <w:rFonts w:ascii="Times New Roman" w:hAnsi="Times New Roman"/>
                <w:color w:val="000000"/>
                <w:sz w:val="16"/>
                <w:szCs w:val="16"/>
                <w:lang w:val="en-GB"/>
              </w:rPr>
              <w:lastRenderedPageBreak/>
              <w:t xml:space="preserve">Depository institution.  Operation </w:t>
            </w:r>
            <w:proofErr w:type="gramStart"/>
            <w:r w:rsidRPr="00E16672">
              <w:rPr>
                <w:rFonts w:ascii="Times New Roman" w:hAnsi="Times New Roman"/>
                <w:color w:val="000000"/>
                <w:sz w:val="16"/>
                <w:szCs w:val="16"/>
                <w:lang w:val="en-GB"/>
              </w:rPr>
              <w:t>of  closing</w:t>
            </w:r>
            <w:proofErr w:type="gramEnd"/>
            <w:r w:rsidRPr="00E16672">
              <w:rPr>
                <w:rFonts w:ascii="Times New Roman" w:hAnsi="Times New Roman"/>
                <w:color w:val="000000"/>
                <w:sz w:val="16"/>
                <w:szCs w:val="16"/>
                <w:lang w:val="en-GB"/>
              </w:rPr>
              <w:t xml:space="preserve">  an account in securities has to be paid till  the fulfilling this service.</w:t>
            </w:r>
          </w:p>
          <w:p w14:paraId="72055DD8" w14:textId="77777777" w:rsidR="00933C25" w:rsidRPr="00E16672" w:rsidRDefault="00933C25" w:rsidP="00746617">
            <w:pPr>
              <w:tabs>
                <w:tab w:val="left" w:pos="182"/>
                <w:tab w:val="left" w:pos="287"/>
              </w:tabs>
              <w:snapToGrid w:val="0"/>
              <w:ind w:left="175" w:right="138" w:firstLine="7"/>
              <w:rPr>
                <w:rFonts w:ascii="Times New Roman" w:hAnsi="Times New Roman"/>
                <w:bCs/>
                <w:color w:val="000000"/>
                <w:sz w:val="16"/>
                <w:szCs w:val="16"/>
                <w:lang w:val="en-GB"/>
              </w:rPr>
            </w:pPr>
          </w:p>
        </w:tc>
      </w:tr>
      <w:tr w:rsidR="00933C25" w:rsidRPr="00F23413" w14:paraId="42C9F13B" w14:textId="77777777" w:rsidTr="00D77858">
        <w:tblPrEx>
          <w:tblCellMar>
            <w:left w:w="0" w:type="dxa"/>
            <w:right w:w="0" w:type="dxa"/>
          </w:tblCellMar>
        </w:tblPrEx>
        <w:trPr>
          <w:trHeight w:val="192"/>
        </w:trPr>
        <w:tc>
          <w:tcPr>
            <w:tcW w:w="5696" w:type="dxa"/>
            <w:gridSpan w:val="6"/>
            <w:shd w:val="clear" w:color="auto" w:fill="auto"/>
          </w:tcPr>
          <w:p w14:paraId="132D3D6A" w14:textId="77777777" w:rsidR="00933C25" w:rsidRPr="00E16672" w:rsidRDefault="00933C25" w:rsidP="00746617">
            <w:pPr>
              <w:tabs>
                <w:tab w:val="left" w:pos="182"/>
              </w:tabs>
              <w:snapToGrid w:val="0"/>
              <w:ind w:left="175" w:right="138" w:firstLine="7"/>
              <w:rPr>
                <w:rFonts w:ascii="Times New Roman" w:hAnsi="Times New Roman"/>
                <w:sz w:val="16"/>
                <w:szCs w:val="16"/>
              </w:rPr>
            </w:pPr>
            <w:r w:rsidRPr="00E16672">
              <w:rPr>
                <w:rFonts w:ascii="Times New Roman" w:hAnsi="Times New Roman"/>
                <w:sz w:val="16"/>
                <w:szCs w:val="16"/>
              </w:rPr>
              <w:lastRenderedPageBreak/>
              <w:t xml:space="preserve">4.5. У </w:t>
            </w:r>
            <w:proofErr w:type="spellStart"/>
            <w:r w:rsidRPr="00E16672">
              <w:rPr>
                <w:rFonts w:ascii="Times New Roman" w:hAnsi="Times New Roman"/>
                <w:sz w:val="16"/>
                <w:szCs w:val="16"/>
              </w:rPr>
              <w:t>разі</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припинення</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дії</w:t>
            </w:r>
            <w:proofErr w:type="spellEnd"/>
            <w:r w:rsidRPr="00E16672">
              <w:rPr>
                <w:rFonts w:ascii="Times New Roman" w:hAnsi="Times New Roman"/>
                <w:sz w:val="16"/>
                <w:szCs w:val="16"/>
              </w:rPr>
              <w:t xml:space="preserve"> Договору Депонент </w:t>
            </w:r>
            <w:proofErr w:type="spellStart"/>
            <w:r w:rsidRPr="00E16672">
              <w:rPr>
                <w:rFonts w:ascii="Times New Roman" w:hAnsi="Times New Roman"/>
                <w:sz w:val="16"/>
                <w:szCs w:val="16"/>
              </w:rPr>
              <w:t>зобов’язаний</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сплатити</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фактично</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надані</w:t>
            </w:r>
            <w:proofErr w:type="spellEnd"/>
            <w:r w:rsidRPr="00E16672">
              <w:rPr>
                <w:rFonts w:ascii="Times New Roman" w:hAnsi="Times New Roman"/>
                <w:sz w:val="16"/>
                <w:szCs w:val="16"/>
              </w:rPr>
              <w:t xml:space="preserve"> Депозитарною </w:t>
            </w:r>
            <w:proofErr w:type="spellStart"/>
            <w:r w:rsidRPr="00E16672">
              <w:rPr>
                <w:rFonts w:ascii="Times New Roman" w:hAnsi="Times New Roman"/>
                <w:sz w:val="16"/>
                <w:szCs w:val="16"/>
              </w:rPr>
              <w:t>установою</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послуги</w:t>
            </w:r>
            <w:proofErr w:type="spellEnd"/>
            <w:r w:rsidRPr="00E16672">
              <w:rPr>
                <w:rFonts w:ascii="Times New Roman" w:hAnsi="Times New Roman"/>
                <w:sz w:val="16"/>
                <w:szCs w:val="16"/>
              </w:rPr>
              <w:t xml:space="preserve"> </w:t>
            </w:r>
            <w:proofErr w:type="gramStart"/>
            <w:r w:rsidRPr="00E16672">
              <w:rPr>
                <w:rFonts w:ascii="Times New Roman" w:hAnsi="Times New Roman"/>
                <w:sz w:val="16"/>
                <w:szCs w:val="16"/>
              </w:rPr>
              <w:t>до моменту</w:t>
            </w:r>
            <w:proofErr w:type="gramEnd"/>
            <w:r w:rsidRPr="00E16672">
              <w:rPr>
                <w:rFonts w:ascii="Times New Roman" w:hAnsi="Times New Roman"/>
                <w:sz w:val="16"/>
                <w:szCs w:val="16"/>
              </w:rPr>
              <w:t xml:space="preserve"> </w:t>
            </w:r>
            <w:proofErr w:type="spellStart"/>
            <w:r w:rsidRPr="00E16672">
              <w:rPr>
                <w:rFonts w:ascii="Times New Roman" w:hAnsi="Times New Roman"/>
                <w:sz w:val="16"/>
                <w:szCs w:val="16"/>
              </w:rPr>
              <w:t>припинення</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дії</w:t>
            </w:r>
            <w:proofErr w:type="spellEnd"/>
            <w:r w:rsidRPr="00E16672">
              <w:rPr>
                <w:rFonts w:ascii="Times New Roman" w:hAnsi="Times New Roman"/>
                <w:sz w:val="16"/>
                <w:szCs w:val="16"/>
              </w:rPr>
              <w:t xml:space="preserve"> Договору.</w:t>
            </w:r>
          </w:p>
          <w:p w14:paraId="4999B71E" w14:textId="77777777" w:rsidR="00933C25" w:rsidRPr="00E16672" w:rsidRDefault="00933C25" w:rsidP="00746617">
            <w:pPr>
              <w:pStyle w:val="310"/>
              <w:tabs>
                <w:tab w:val="left" w:pos="182"/>
              </w:tabs>
              <w:ind w:left="175" w:right="138" w:firstLine="7"/>
              <w:rPr>
                <w:rFonts w:ascii="Times New Roman" w:hAnsi="Times New Roman"/>
                <w:sz w:val="16"/>
                <w:szCs w:val="16"/>
              </w:rPr>
            </w:pPr>
          </w:p>
        </w:tc>
        <w:tc>
          <w:tcPr>
            <w:tcW w:w="5494" w:type="dxa"/>
            <w:gridSpan w:val="7"/>
            <w:shd w:val="clear" w:color="auto" w:fill="auto"/>
          </w:tcPr>
          <w:p w14:paraId="2912C8CD" w14:textId="77777777" w:rsidR="00933C25" w:rsidRPr="00E16672" w:rsidRDefault="00933C25" w:rsidP="00746617">
            <w:pPr>
              <w:tabs>
                <w:tab w:val="left" w:pos="182"/>
                <w:tab w:val="left" w:pos="287"/>
              </w:tabs>
              <w:snapToGrid w:val="0"/>
              <w:ind w:left="145" w:right="100" w:firstLine="7"/>
              <w:rPr>
                <w:rFonts w:ascii="Times New Roman" w:hAnsi="Times New Roman"/>
                <w:sz w:val="16"/>
                <w:szCs w:val="16"/>
                <w:lang w:val="en-GB"/>
              </w:rPr>
            </w:pPr>
            <w:r w:rsidRPr="00E16672">
              <w:rPr>
                <w:rFonts w:ascii="Times New Roman" w:hAnsi="Times New Roman"/>
                <w:sz w:val="16"/>
                <w:szCs w:val="16"/>
                <w:lang w:val="en-GB"/>
              </w:rPr>
              <w:t>4.5.  In the event of termination of the Agreement Depositor shall pay the actual services provided by Depository institutions at the time of termination of the Agreement.</w:t>
            </w:r>
          </w:p>
          <w:p w14:paraId="50AE1E36" w14:textId="77777777" w:rsidR="00933C25" w:rsidRPr="00E16672" w:rsidRDefault="00933C25" w:rsidP="00746617">
            <w:pPr>
              <w:tabs>
                <w:tab w:val="left" w:pos="182"/>
                <w:tab w:val="left" w:pos="287"/>
              </w:tabs>
              <w:ind w:left="145" w:right="100" w:firstLine="7"/>
              <w:rPr>
                <w:rFonts w:ascii="Times New Roman" w:hAnsi="Times New Roman"/>
                <w:sz w:val="16"/>
                <w:szCs w:val="16"/>
                <w:shd w:val="clear" w:color="auto" w:fill="FFFFFF"/>
                <w:lang w:val="en-GB"/>
              </w:rPr>
            </w:pPr>
          </w:p>
        </w:tc>
      </w:tr>
      <w:tr w:rsidR="00933C25" w:rsidRPr="00F23413" w14:paraId="660EAF27" w14:textId="77777777" w:rsidTr="00D77858">
        <w:tblPrEx>
          <w:tblCellMar>
            <w:left w:w="0" w:type="dxa"/>
            <w:right w:w="0" w:type="dxa"/>
          </w:tblCellMar>
        </w:tblPrEx>
        <w:trPr>
          <w:trHeight w:val="192"/>
        </w:trPr>
        <w:tc>
          <w:tcPr>
            <w:tcW w:w="5696" w:type="dxa"/>
            <w:gridSpan w:val="6"/>
            <w:shd w:val="clear" w:color="auto" w:fill="auto"/>
          </w:tcPr>
          <w:p w14:paraId="583848B0" w14:textId="77777777" w:rsidR="00933C25" w:rsidRPr="00E16672" w:rsidRDefault="00933C25" w:rsidP="00746617">
            <w:pPr>
              <w:tabs>
                <w:tab w:val="left" w:pos="182"/>
              </w:tabs>
              <w:snapToGrid w:val="0"/>
              <w:ind w:left="175" w:right="138" w:firstLine="7"/>
              <w:rPr>
                <w:rFonts w:ascii="Times New Roman" w:hAnsi="Times New Roman"/>
                <w:color w:val="000000"/>
                <w:sz w:val="16"/>
                <w:szCs w:val="16"/>
                <w:lang w:val="uk-UA"/>
              </w:rPr>
            </w:pPr>
            <w:r w:rsidRPr="00E16672">
              <w:rPr>
                <w:rFonts w:ascii="Times New Roman" w:hAnsi="Times New Roman"/>
                <w:color w:val="000000"/>
                <w:sz w:val="16"/>
                <w:szCs w:val="16"/>
                <w:lang w:val="uk-UA"/>
              </w:rPr>
              <w:t>4.</w:t>
            </w:r>
            <w:r w:rsidR="00EA4515" w:rsidRPr="00E16672">
              <w:rPr>
                <w:rFonts w:ascii="Times New Roman" w:hAnsi="Times New Roman"/>
                <w:color w:val="000000"/>
                <w:sz w:val="16"/>
                <w:szCs w:val="16"/>
                <w:lang w:val="uk-UA"/>
              </w:rPr>
              <w:t>6</w:t>
            </w:r>
            <w:r w:rsidRPr="00E16672">
              <w:rPr>
                <w:rFonts w:ascii="Times New Roman" w:hAnsi="Times New Roman"/>
                <w:color w:val="000000"/>
                <w:sz w:val="16"/>
                <w:szCs w:val="16"/>
                <w:lang w:val="uk-UA"/>
              </w:rPr>
              <w:t>. Надання депозитарних послуг Депоненту може бути призупинено Депозитарною установою у разі відсутності належної оплати послуг Депозитарної установи з боку Депонента до повного погашення заборгованості.</w:t>
            </w:r>
          </w:p>
          <w:p w14:paraId="02496321" w14:textId="77777777" w:rsidR="006562C7" w:rsidRPr="00E16672" w:rsidRDefault="006562C7" w:rsidP="00746617">
            <w:pPr>
              <w:tabs>
                <w:tab w:val="left" w:pos="182"/>
              </w:tabs>
              <w:snapToGrid w:val="0"/>
              <w:ind w:left="175" w:right="138" w:firstLine="7"/>
              <w:rPr>
                <w:rFonts w:ascii="Times New Roman" w:hAnsi="Times New Roman"/>
                <w:color w:val="000000"/>
                <w:sz w:val="16"/>
                <w:szCs w:val="16"/>
              </w:rPr>
            </w:pPr>
          </w:p>
        </w:tc>
        <w:tc>
          <w:tcPr>
            <w:tcW w:w="5494" w:type="dxa"/>
            <w:gridSpan w:val="7"/>
            <w:shd w:val="clear" w:color="auto" w:fill="auto"/>
          </w:tcPr>
          <w:p w14:paraId="546C9EA3" w14:textId="77777777" w:rsidR="00933C25" w:rsidRPr="00E16672" w:rsidRDefault="00933C25" w:rsidP="00746617">
            <w:pPr>
              <w:tabs>
                <w:tab w:val="left" w:pos="182"/>
                <w:tab w:val="left" w:pos="287"/>
              </w:tabs>
              <w:snapToGrid w:val="0"/>
              <w:ind w:left="145" w:right="100" w:firstLine="7"/>
              <w:rPr>
                <w:rFonts w:ascii="Times New Roman" w:hAnsi="Times New Roman"/>
                <w:color w:val="000000"/>
                <w:sz w:val="16"/>
                <w:szCs w:val="16"/>
                <w:lang w:val="en-US"/>
              </w:rPr>
            </w:pPr>
            <w:r w:rsidRPr="00E16672">
              <w:rPr>
                <w:rFonts w:ascii="Times New Roman" w:hAnsi="Times New Roman"/>
                <w:color w:val="000000"/>
                <w:sz w:val="16"/>
                <w:szCs w:val="16"/>
                <w:lang w:val="uk-UA"/>
              </w:rPr>
              <w:t>4.</w:t>
            </w:r>
            <w:r w:rsidR="00EA4515" w:rsidRPr="00E16672">
              <w:rPr>
                <w:rFonts w:ascii="Times New Roman" w:hAnsi="Times New Roman"/>
                <w:color w:val="000000"/>
                <w:sz w:val="16"/>
                <w:szCs w:val="16"/>
                <w:lang w:val="uk-UA"/>
              </w:rPr>
              <w:t>6</w:t>
            </w:r>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Providing</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depositary</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services</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to</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Depositor</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may</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be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suspended</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by</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Depository</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institution</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in</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the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absence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of</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proper</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payment</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to</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the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Depository</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institution</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by</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the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Depositor</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to</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the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full</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repayment</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of</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debt</w:t>
            </w:r>
            <w:proofErr w:type="spellEnd"/>
            <w:r w:rsidRPr="00E16672">
              <w:rPr>
                <w:rFonts w:ascii="Times New Roman" w:hAnsi="Times New Roman"/>
                <w:color w:val="000000"/>
                <w:sz w:val="16"/>
                <w:szCs w:val="16"/>
                <w:lang w:val="uk-UA"/>
              </w:rPr>
              <w:t>.</w:t>
            </w:r>
          </w:p>
        </w:tc>
      </w:tr>
      <w:tr w:rsidR="00933C25" w:rsidRPr="00F23413" w14:paraId="3943ED63" w14:textId="77777777" w:rsidTr="00D77858">
        <w:tblPrEx>
          <w:tblCellMar>
            <w:left w:w="0" w:type="dxa"/>
            <w:right w:w="0" w:type="dxa"/>
          </w:tblCellMar>
        </w:tblPrEx>
        <w:trPr>
          <w:trHeight w:val="192"/>
        </w:trPr>
        <w:tc>
          <w:tcPr>
            <w:tcW w:w="5696" w:type="dxa"/>
            <w:gridSpan w:val="6"/>
            <w:shd w:val="clear" w:color="auto" w:fill="auto"/>
          </w:tcPr>
          <w:p w14:paraId="5C625723" w14:textId="77777777" w:rsidR="00933C25" w:rsidRPr="00E16672" w:rsidRDefault="00933C25" w:rsidP="00E27FD1">
            <w:pPr>
              <w:snapToGrid w:val="0"/>
              <w:ind w:left="175" w:right="138"/>
              <w:jc w:val="center"/>
              <w:rPr>
                <w:rFonts w:ascii="Times New Roman" w:hAnsi="Times New Roman"/>
                <w:b/>
                <w:caps/>
                <w:sz w:val="16"/>
                <w:szCs w:val="16"/>
              </w:rPr>
            </w:pPr>
            <w:r w:rsidRPr="00E16672">
              <w:rPr>
                <w:rFonts w:ascii="Times New Roman" w:hAnsi="Times New Roman"/>
                <w:b/>
                <w:caps/>
                <w:sz w:val="16"/>
                <w:szCs w:val="16"/>
              </w:rPr>
              <w:t>5. Відповідальність Сторін</w:t>
            </w:r>
          </w:p>
          <w:p w14:paraId="43B5D01A" w14:textId="77777777" w:rsidR="00933C25" w:rsidRPr="00E16672" w:rsidRDefault="00933C25" w:rsidP="00E27FD1">
            <w:pPr>
              <w:ind w:left="175" w:right="138"/>
              <w:jc w:val="center"/>
              <w:rPr>
                <w:rFonts w:ascii="Times New Roman" w:hAnsi="Times New Roman"/>
                <w:b/>
                <w:caps/>
                <w:sz w:val="16"/>
                <w:szCs w:val="16"/>
              </w:rPr>
            </w:pPr>
            <w:r w:rsidRPr="00E16672">
              <w:rPr>
                <w:rFonts w:ascii="Times New Roman" w:hAnsi="Times New Roman"/>
                <w:b/>
                <w:caps/>
                <w:sz w:val="16"/>
                <w:szCs w:val="16"/>
              </w:rPr>
              <w:t>Порядок розгляду спорів, що можуть виникнути між сторонами в процесі виконання, зміни чи розірвання Договору.</w:t>
            </w:r>
          </w:p>
          <w:p w14:paraId="30FD4EFC" w14:textId="77777777" w:rsidR="00933C25" w:rsidRPr="00E16672" w:rsidRDefault="00933C25" w:rsidP="00E27FD1">
            <w:pPr>
              <w:ind w:left="175" w:right="138"/>
              <w:jc w:val="center"/>
              <w:rPr>
                <w:rFonts w:ascii="Times New Roman" w:hAnsi="Times New Roman"/>
                <w:b/>
                <w:caps/>
                <w:sz w:val="16"/>
                <w:szCs w:val="16"/>
              </w:rPr>
            </w:pPr>
          </w:p>
          <w:p w14:paraId="00CBF5B6" w14:textId="77777777" w:rsidR="00933C25" w:rsidRPr="00E16672" w:rsidRDefault="00933C25" w:rsidP="00746617">
            <w:pPr>
              <w:ind w:left="175" w:right="138" w:firstLine="0"/>
              <w:rPr>
                <w:rFonts w:ascii="Times New Roman" w:hAnsi="Times New Roman"/>
                <w:sz w:val="16"/>
                <w:szCs w:val="16"/>
              </w:rPr>
            </w:pPr>
            <w:r w:rsidRPr="00E16672">
              <w:rPr>
                <w:rFonts w:ascii="Times New Roman" w:hAnsi="Times New Roman"/>
                <w:sz w:val="16"/>
                <w:szCs w:val="16"/>
              </w:rPr>
              <w:t xml:space="preserve">5.1. </w:t>
            </w:r>
            <w:proofErr w:type="spellStart"/>
            <w:r w:rsidRPr="00E16672">
              <w:rPr>
                <w:rFonts w:ascii="Times New Roman" w:hAnsi="Times New Roman"/>
                <w:sz w:val="16"/>
                <w:szCs w:val="16"/>
              </w:rPr>
              <w:t>Кожна</w:t>
            </w:r>
            <w:proofErr w:type="spellEnd"/>
            <w:r w:rsidRPr="00E16672">
              <w:rPr>
                <w:rFonts w:ascii="Times New Roman" w:hAnsi="Times New Roman"/>
                <w:sz w:val="16"/>
                <w:szCs w:val="16"/>
              </w:rPr>
              <w:t xml:space="preserve"> сторона </w:t>
            </w:r>
            <w:proofErr w:type="spellStart"/>
            <w:r w:rsidRPr="00E16672">
              <w:rPr>
                <w:rFonts w:ascii="Times New Roman" w:hAnsi="Times New Roman"/>
                <w:sz w:val="16"/>
                <w:szCs w:val="16"/>
              </w:rPr>
              <w:t>зобов’язується</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виконувати</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свої</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обов’язки</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належним</w:t>
            </w:r>
            <w:proofErr w:type="spellEnd"/>
            <w:r w:rsidRPr="00E16672">
              <w:rPr>
                <w:rFonts w:ascii="Times New Roman" w:hAnsi="Times New Roman"/>
                <w:sz w:val="16"/>
                <w:szCs w:val="16"/>
              </w:rPr>
              <w:t xml:space="preserve"> чином та </w:t>
            </w:r>
            <w:proofErr w:type="spellStart"/>
            <w:r w:rsidRPr="00E16672">
              <w:rPr>
                <w:rFonts w:ascii="Times New Roman" w:hAnsi="Times New Roman"/>
                <w:sz w:val="16"/>
                <w:szCs w:val="16"/>
              </w:rPr>
              <w:t>сприяти</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іншій</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стороні</w:t>
            </w:r>
            <w:proofErr w:type="spellEnd"/>
            <w:r w:rsidRPr="00E16672">
              <w:rPr>
                <w:rFonts w:ascii="Times New Roman" w:hAnsi="Times New Roman"/>
                <w:sz w:val="16"/>
                <w:szCs w:val="16"/>
              </w:rPr>
              <w:t xml:space="preserve"> у </w:t>
            </w:r>
            <w:proofErr w:type="spellStart"/>
            <w:r w:rsidRPr="00E16672">
              <w:rPr>
                <w:rFonts w:ascii="Times New Roman" w:hAnsi="Times New Roman"/>
                <w:sz w:val="16"/>
                <w:szCs w:val="16"/>
              </w:rPr>
              <w:t>виконанні</w:t>
            </w:r>
            <w:proofErr w:type="spellEnd"/>
            <w:r w:rsidRPr="00E16672">
              <w:rPr>
                <w:rFonts w:ascii="Times New Roman" w:hAnsi="Times New Roman"/>
                <w:sz w:val="16"/>
                <w:szCs w:val="16"/>
              </w:rPr>
              <w:t>.</w:t>
            </w:r>
          </w:p>
          <w:p w14:paraId="2B9E0AA1" w14:textId="77777777" w:rsidR="00933C25" w:rsidRPr="00E16672" w:rsidRDefault="00933C25" w:rsidP="00E27FD1">
            <w:pPr>
              <w:ind w:left="175" w:right="138"/>
              <w:rPr>
                <w:rFonts w:ascii="Times New Roman" w:hAnsi="Times New Roman"/>
                <w:sz w:val="16"/>
                <w:szCs w:val="16"/>
              </w:rPr>
            </w:pPr>
          </w:p>
        </w:tc>
        <w:tc>
          <w:tcPr>
            <w:tcW w:w="5494" w:type="dxa"/>
            <w:gridSpan w:val="7"/>
            <w:shd w:val="clear" w:color="auto" w:fill="auto"/>
          </w:tcPr>
          <w:p w14:paraId="690A8F37" w14:textId="77777777" w:rsidR="00933C25" w:rsidRPr="00E16672" w:rsidRDefault="00933C25" w:rsidP="00E27FD1">
            <w:pPr>
              <w:pStyle w:val="210"/>
              <w:tabs>
                <w:tab w:val="left" w:pos="287"/>
                <w:tab w:val="left" w:pos="1191"/>
              </w:tabs>
              <w:snapToGrid w:val="0"/>
              <w:ind w:left="145" w:right="100" w:firstLine="0"/>
              <w:jc w:val="center"/>
              <w:rPr>
                <w:rFonts w:ascii="Times New Roman" w:hAnsi="Times New Roman"/>
                <w:b/>
                <w:caps/>
                <w:sz w:val="16"/>
                <w:szCs w:val="16"/>
              </w:rPr>
            </w:pPr>
            <w:r w:rsidRPr="00E16672">
              <w:rPr>
                <w:rFonts w:ascii="Times New Roman" w:hAnsi="Times New Roman"/>
                <w:b/>
                <w:caps/>
                <w:sz w:val="16"/>
                <w:szCs w:val="16"/>
              </w:rPr>
              <w:t xml:space="preserve">5. RESPONSIBILITIES OF THE PARTIES </w:t>
            </w:r>
          </w:p>
          <w:p w14:paraId="55251652" w14:textId="77777777" w:rsidR="00933C25" w:rsidRPr="00E16672" w:rsidRDefault="00933C25" w:rsidP="00E27FD1">
            <w:pPr>
              <w:pStyle w:val="210"/>
              <w:tabs>
                <w:tab w:val="left" w:pos="287"/>
                <w:tab w:val="left" w:pos="1191"/>
              </w:tabs>
              <w:ind w:left="145" w:right="100" w:firstLine="0"/>
              <w:jc w:val="center"/>
              <w:rPr>
                <w:rFonts w:ascii="Times New Roman" w:hAnsi="Times New Roman"/>
                <w:b/>
                <w:caps/>
                <w:sz w:val="16"/>
                <w:szCs w:val="16"/>
              </w:rPr>
            </w:pPr>
            <w:r w:rsidRPr="00E16672">
              <w:rPr>
                <w:rFonts w:ascii="Times New Roman" w:hAnsi="Times New Roman"/>
                <w:b/>
                <w:caps/>
                <w:sz w:val="16"/>
                <w:szCs w:val="16"/>
              </w:rPr>
              <w:t xml:space="preserve">PROCEDURE hear disputes that may arise between the parties in the process, change or </w:t>
            </w:r>
            <w:r w:rsidRPr="00E16672">
              <w:rPr>
                <w:rFonts w:ascii="Times New Roman" w:hAnsi="Times New Roman"/>
                <w:b/>
                <w:caps/>
                <w:sz w:val="16"/>
                <w:szCs w:val="16"/>
                <w:lang w:val="en-US"/>
              </w:rPr>
              <w:t>agreement</w:t>
            </w:r>
            <w:r w:rsidRPr="00E16672">
              <w:rPr>
                <w:rFonts w:ascii="Times New Roman" w:hAnsi="Times New Roman"/>
                <w:b/>
                <w:caps/>
                <w:sz w:val="16"/>
                <w:szCs w:val="16"/>
              </w:rPr>
              <w:t xml:space="preserve"> termination.</w:t>
            </w:r>
          </w:p>
          <w:p w14:paraId="0AD62827" w14:textId="77777777" w:rsidR="00933C25" w:rsidRPr="00E16672" w:rsidRDefault="00933C25" w:rsidP="00E27FD1">
            <w:pPr>
              <w:pStyle w:val="210"/>
              <w:tabs>
                <w:tab w:val="left" w:pos="287"/>
                <w:tab w:val="left" w:pos="1191"/>
              </w:tabs>
              <w:ind w:left="145" w:right="100" w:firstLine="0"/>
              <w:jc w:val="center"/>
              <w:rPr>
                <w:rFonts w:ascii="Times New Roman" w:hAnsi="Times New Roman"/>
                <w:b/>
                <w:caps/>
                <w:sz w:val="16"/>
                <w:szCs w:val="16"/>
                <w:lang w:val="en-US"/>
              </w:rPr>
            </w:pPr>
          </w:p>
          <w:p w14:paraId="54CF03E8" w14:textId="77777777" w:rsidR="00933C25" w:rsidRPr="00E16672" w:rsidRDefault="00933C25" w:rsidP="00804E84">
            <w:pPr>
              <w:tabs>
                <w:tab w:val="left" w:pos="287"/>
              </w:tabs>
              <w:ind w:left="145" w:right="100" w:firstLine="0"/>
              <w:rPr>
                <w:rFonts w:ascii="Times New Roman" w:hAnsi="Times New Roman"/>
                <w:sz w:val="16"/>
                <w:szCs w:val="16"/>
                <w:lang w:val="en-GB"/>
              </w:rPr>
            </w:pPr>
            <w:r w:rsidRPr="00E16672">
              <w:rPr>
                <w:rFonts w:ascii="Times New Roman" w:hAnsi="Times New Roman"/>
                <w:sz w:val="16"/>
                <w:szCs w:val="16"/>
                <w:lang w:val="en-GB"/>
              </w:rPr>
              <w:t xml:space="preserve">5.1. The parties are obliged to </w:t>
            </w:r>
            <w:proofErr w:type="spellStart"/>
            <w:r w:rsidRPr="00E16672">
              <w:rPr>
                <w:rFonts w:ascii="Times New Roman" w:hAnsi="Times New Roman"/>
                <w:sz w:val="16"/>
                <w:szCs w:val="16"/>
                <w:lang w:val="en-GB"/>
              </w:rPr>
              <w:t>fulfill</w:t>
            </w:r>
            <w:proofErr w:type="spellEnd"/>
            <w:r w:rsidRPr="00E16672">
              <w:rPr>
                <w:rFonts w:ascii="Times New Roman" w:hAnsi="Times New Roman"/>
                <w:sz w:val="16"/>
                <w:szCs w:val="16"/>
                <w:lang w:val="en-GB"/>
              </w:rPr>
              <w:t xml:space="preserve"> the responsibilities properly and to promote one another in their realization.</w:t>
            </w:r>
          </w:p>
          <w:p w14:paraId="24D5CDC6" w14:textId="77777777" w:rsidR="00933C25" w:rsidRPr="00E16672" w:rsidRDefault="00933C25" w:rsidP="00E27FD1">
            <w:pPr>
              <w:tabs>
                <w:tab w:val="left" w:pos="287"/>
              </w:tabs>
              <w:ind w:left="145" w:right="100"/>
              <w:jc w:val="center"/>
              <w:rPr>
                <w:rFonts w:ascii="Times New Roman" w:hAnsi="Times New Roman"/>
                <w:b/>
                <w:bCs/>
                <w:sz w:val="16"/>
                <w:szCs w:val="16"/>
                <w:lang w:val="en-GB"/>
              </w:rPr>
            </w:pPr>
          </w:p>
        </w:tc>
      </w:tr>
      <w:tr w:rsidR="00933C25" w:rsidRPr="00F23413" w14:paraId="50EA24DA" w14:textId="77777777" w:rsidTr="00D77858">
        <w:tblPrEx>
          <w:tblCellMar>
            <w:left w:w="0" w:type="dxa"/>
            <w:right w:w="0" w:type="dxa"/>
          </w:tblCellMar>
        </w:tblPrEx>
        <w:trPr>
          <w:trHeight w:val="192"/>
        </w:trPr>
        <w:tc>
          <w:tcPr>
            <w:tcW w:w="5696" w:type="dxa"/>
            <w:gridSpan w:val="6"/>
            <w:shd w:val="clear" w:color="auto" w:fill="auto"/>
          </w:tcPr>
          <w:p w14:paraId="7DF6BB3D" w14:textId="77777777" w:rsidR="006562C7" w:rsidRPr="00E16672" w:rsidRDefault="00933C25" w:rsidP="00804E84">
            <w:pPr>
              <w:snapToGrid w:val="0"/>
              <w:ind w:left="175" w:right="138" w:firstLine="7"/>
              <w:rPr>
                <w:rFonts w:ascii="Times New Roman" w:hAnsi="Times New Roman"/>
                <w:sz w:val="16"/>
                <w:szCs w:val="16"/>
              </w:rPr>
            </w:pPr>
            <w:r w:rsidRPr="00E16672">
              <w:rPr>
                <w:rFonts w:ascii="Times New Roman" w:hAnsi="Times New Roman"/>
                <w:sz w:val="16"/>
                <w:szCs w:val="16"/>
              </w:rPr>
              <w:t xml:space="preserve">5.2. </w:t>
            </w:r>
            <w:proofErr w:type="spellStart"/>
            <w:r w:rsidRPr="00E16672">
              <w:rPr>
                <w:rFonts w:ascii="Times New Roman" w:hAnsi="Times New Roman"/>
                <w:sz w:val="16"/>
                <w:szCs w:val="16"/>
              </w:rPr>
              <w:t>Обмін</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розпорядженнями</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повідомленнями</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інформацією</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що</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надається</w:t>
            </w:r>
            <w:proofErr w:type="spellEnd"/>
            <w:r w:rsidRPr="00E16672">
              <w:rPr>
                <w:rFonts w:ascii="Times New Roman" w:hAnsi="Times New Roman"/>
                <w:sz w:val="16"/>
                <w:szCs w:val="16"/>
              </w:rPr>
              <w:t xml:space="preserve"> у </w:t>
            </w:r>
            <w:proofErr w:type="spellStart"/>
            <w:r w:rsidRPr="00E16672">
              <w:rPr>
                <w:rFonts w:ascii="Times New Roman" w:hAnsi="Times New Roman"/>
                <w:sz w:val="16"/>
                <w:szCs w:val="16"/>
              </w:rPr>
              <w:t>зв’язку</w:t>
            </w:r>
            <w:proofErr w:type="spellEnd"/>
            <w:r w:rsidRPr="00E16672">
              <w:rPr>
                <w:rFonts w:ascii="Times New Roman" w:hAnsi="Times New Roman"/>
                <w:sz w:val="16"/>
                <w:szCs w:val="16"/>
              </w:rPr>
              <w:t xml:space="preserve"> з </w:t>
            </w:r>
            <w:proofErr w:type="spellStart"/>
            <w:r w:rsidRPr="00E16672">
              <w:rPr>
                <w:rFonts w:ascii="Times New Roman" w:hAnsi="Times New Roman"/>
                <w:sz w:val="16"/>
                <w:szCs w:val="16"/>
              </w:rPr>
              <w:t>виконанням</w:t>
            </w:r>
            <w:proofErr w:type="spellEnd"/>
            <w:r w:rsidRPr="00E16672">
              <w:rPr>
                <w:rFonts w:ascii="Times New Roman" w:hAnsi="Times New Roman"/>
                <w:sz w:val="16"/>
                <w:szCs w:val="16"/>
              </w:rPr>
              <w:t xml:space="preserve"> Сторонами Договору</w:t>
            </w:r>
            <w:r w:rsidR="002744AA" w:rsidRPr="00E16672">
              <w:rPr>
                <w:rFonts w:ascii="Times New Roman" w:hAnsi="Times New Roman"/>
                <w:sz w:val="16"/>
                <w:szCs w:val="16"/>
                <w:lang w:val="uk-UA"/>
              </w:rPr>
              <w:t xml:space="preserve">, здійснюється </w:t>
            </w:r>
            <w:proofErr w:type="gramStart"/>
            <w:r w:rsidR="002744AA" w:rsidRPr="00E16672">
              <w:rPr>
                <w:rFonts w:ascii="Times New Roman" w:hAnsi="Times New Roman"/>
                <w:sz w:val="16"/>
                <w:szCs w:val="16"/>
                <w:lang w:val="uk-UA"/>
              </w:rPr>
              <w:t>в порядку</w:t>
            </w:r>
            <w:proofErr w:type="gramEnd"/>
            <w:r w:rsidR="002744AA" w:rsidRPr="00E16672">
              <w:rPr>
                <w:rFonts w:ascii="Times New Roman" w:hAnsi="Times New Roman"/>
                <w:sz w:val="16"/>
                <w:szCs w:val="16"/>
                <w:lang w:val="uk-UA"/>
              </w:rPr>
              <w:t>, визначеному Договором, внутрішніми документами Депозитарної установи та законодавством.</w:t>
            </w:r>
          </w:p>
          <w:p w14:paraId="7D7A0FEA" w14:textId="77777777" w:rsidR="00933C25" w:rsidRPr="00E16672" w:rsidRDefault="00933C25" w:rsidP="00804E84">
            <w:pPr>
              <w:snapToGrid w:val="0"/>
              <w:ind w:left="175" w:right="138" w:firstLine="7"/>
              <w:rPr>
                <w:rFonts w:ascii="Times New Roman" w:hAnsi="Times New Roman"/>
                <w:sz w:val="16"/>
                <w:szCs w:val="16"/>
              </w:rPr>
            </w:pPr>
            <w:r w:rsidRPr="00E16672">
              <w:rPr>
                <w:rFonts w:ascii="Times New Roman" w:hAnsi="Times New Roman"/>
                <w:sz w:val="16"/>
                <w:szCs w:val="16"/>
              </w:rPr>
              <w:t xml:space="preserve"> </w:t>
            </w:r>
          </w:p>
        </w:tc>
        <w:tc>
          <w:tcPr>
            <w:tcW w:w="5494" w:type="dxa"/>
            <w:gridSpan w:val="7"/>
            <w:shd w:val="clear" w:color="auto" w:fill="auto"/>
          </w:tcPr>
          <w:p w14:paraId="4EC16E7B" w14:textId="77777777" w:rsidR="00933C25" w:rsidRPr="00E16672" w:rsidRDefault="00933C25" w:rsidP="00804E84">
            <w:pPr>
              <w:pStyle w:val="210"/>
              <w:tabs>
                <w:tab w:val="left" w:pos="287"/>
                <w:tab w:val="left" w:pos="1362"/>
              </w:tabs>
              <w:snapToGrid w:val="0"/>
              <w:ind w:left="175" w:right="100" w:firstLine="7"/>
              <w:rPr>
                <w:rFonts w:ascii="Times New Roman" w:hAnsi="Times New Roman"/>
                <w:sz w:val="16"/>
                <w:szCs w:val="16"/>
                <w:lang w:val="en-GB"/>
              </w:rPr>
            </w:pPr>
            <w:r w:rsidRPr="00E16672">
              <w:rPr>
                <w:rFonts w:ascii="Times New Roman" w:hAnsi="Times New Roman"/>
                <w:sz w:val="16"/>
                <w:szCs w:val="16"/>
                <w:lang w:val="en-GB"/>
              </w:rPr>
              <w:t xml:space="preserve">5.2. An exchange orders, </w:t>
            </w:r>
            <w:proofErr w:type="gramStart"/>
            <w:r w:rsidRPr="00E16672">
              <w:rPr>
                <w:rFonts w:ascii="Times New Roman" w:hAnsi="Times New Roman"/>
                <w:sz w:val="16"/>
                <w:szCs w:val="16"/>
                <w:lang w:val="en-GB"/>
              </w:rPr>
              <w:t>messages,  information</w:t>
            </w:r>
            <w:proofErr w:type="gramEnd"/>
            <w:r w:rsidRPr="00E16672">
              <w:rPr>
                <w:rFonts w:ascii="Times New Roman" w:hAnsi="Times New Roman"/>
                <w:sz w:val="16"/>
                <w:szCs w:val="16"/>
                <w:lang w:val="en-GB"/>
              </w:rPr>
              <w:t xml:space="preserve"> between Parties provided </w:t>
            </w:r>
            <w:proofErr w:type="spellStart"/>
            <w:r w:rsidR="003E2F8C" w:rsidRPr="00E16672">
              <w:rPr>
                <w:rFonts w:ascii="Times New Roman" w:hAnsi="Times New Roman"/>
                <w:sz w:val="16"/>
                <w:szCs w:val="16"/>
              </w:rPr>
              <w:t>in</w:t>
            </w:r>
            <w:proofErr w:type="spellEnd"/>
            <w:r w:rsidR="003E2F8C" w:rsidRPr="00E16672">
              <w:rPr>
                <w:rFonts w:ascii="Times New Roman" w:hAnsi="Times New Roman"/>
                <w:sz w:val="16"/>
                <w:szCs w:val="16"/>
              </w:rPr>
              <w:t xml:space="preserve"> </w:t>
            </w:r>
            <w:proofErr w:type="spellStart"/>
            <w:r w:rsidR="003E2F8C" w:rsidRPr="00E16672">
              <w:rPr>
                <w:rFonts w:ascii="Times New Roman" w:hAnsi="Times New Roman"/>
                <w:sz w:val="16"/>
                <w:szCs w:val="16"/>
              </w:rPr>
              <w:t>accordance</w:t>
            </w:r>
            <w:proofErr w:type="spellEnd"/>
            <w:r w:rsidR="003E2F8C" w:rsidRPr="00E16672">
              <w:rPr>
                <w:rFonts w:ascii="Times New Roman" w:hAnsi="Times New Roman"/>
                <w:sz w:val="16"/>
                <w:szCs w:val="16"/>
              </w:rPr>
              <w:t xml:space="preserve"> </w:t>
            </w:r>
            <w:proofErr w:type="spellStart"/>
            <w:r w:rsidR="003E2F8C" w:rsidRPr="00E16672">
              <w:rPr>
                <w:rFonts w:ascii="Times New Roman" w:hAnsi="Times New Roman"/>
                <w:sz w:val="16"/>
                <w:szCs w:val="16"/>
              </w:rPr>
              <w:t>with</w:t>
            </w:r>
            <w:proofErr w:type="spellEnd"/>
            <w:r w:rsidR="003E2F8C" w:rsidRPr="00E16672">
              <w:rPr>
                <w:rFonts w:ascii="Times New Roman" w:hAnsi="Times New Roman"/>
                <w:sz w:val="16"/>
                <w:szCs w:val="16"/>
              </w:rPr>
              <w:t xml:space="preserve"> </w:t>
            </w:r>
            <w:proofErr w:type="spellStart"/>
            <w:r w:rsidR="003E2F8C" w:rsidRPr="00E16672">
              <w:rPr>
                <w:rFonts w:ascii="Times New Roman" w:hAnsi="Times New Roman"/>
                <w:sz w:val="16"/>
                <w:szCs w:val="16"/>
              </w:rPr>
              <w:t>the</w:t>
            </w:r>
            <w:proofErr w:type="spellEnd"/>
            <w:r w:rsidR="003E2F8C" w:rsidRPr="00E16672">
              <w:rPr>
                <w:rFonts w:ascii="Times New Roman" w:hAnsi="Times New Roman"/>
                <w:sz w:val="16"/>
                <w:szCs w:val="16"/>
              </w:rPr>
              <w:t xml:space="preserve"> </w:t>
            </w:r>
            <w:proofErr w:type="spellStart"/>
            <w:r w:rsidR="003E2F8C" w:rsidRPr="00E16672">
              <w:rPr>
                <w:rFonts w:ascii="Times New Roman" w:hAnsi="Times New Roman"/>
                <w:sz w:val="16"/>
                <w:szCs w:val="16"/>
              </w:rPr>
              <w:t>procedure</w:t>
            </w:r>
            <w:proofErr w:type="spellEnd"/>
            <w:r w:rsidR="003E2F8C" w:rsidRPr="00E16672">
              <w:rPr>
                <w:rFonts w:ascii="Times New Roman" w:hAnsi="Times New Roman"/>
                <w:sz w:val="16"/>
                <w:szCs w:val="16"/>
              </w:rPr>
              <w:t xml:space="preserve"> </w:t>
            </w:r>
            <w:proofErr w:type="spellStart"/>
            <w:r w:rsidR="003E2F8C" w:rsidRPr="00E16672">
              <w:rPr>
                <w:rFonts w:ascii="Times New Roman" w:hAnsi="Times New Roman"/>
                <w:sz w:val="16"/>
                <w:szCs w:val="16"/>
              </w:rPr>
              <w:t>established</w:t>
            </w:r>
            <w:proofErr w:type="spellEnd"/>
            <w:r w:rsidR="003E2F8C" w:rsidRPr="00E16672">
              <w:rPr>
                <w:rFonts w:ascii="Times New Roman" w:hAnsi="Times New Roman"/>
                <w:sz w:val="16"/>
                <w:szCs w:val="16"/>
              </w:rPr>
              <w:t xml:space="preserve"> </w:t>
            </w:r>
            <w:proofErr w:type="spellStart"/>
            <w:r w:rsidR="003E2F8C" w:rsidRPr="00E16672">
              <w:rPr>
                <w:rFonts w:ascii="Times New Roman" w:hAnsi="Times New Roman"/>
                <w:sz w:val="16"/>
                <w:szCs w:val="16"/>
              </w:rPr>
              <w:t>by</w:t>
            </w:r>
            <w:proofErr w:type="spellEnd"/>
            <w:r w:rsidR="003E2F8C" w:rsidRPr="00E16672">
              <w:rPr>
                <w:rFonts w:ascii="Times New Roman" w:hAnsi="Times New Roman"/>
                <w:sz w:val="16"/>
                <w:szCs w:val="16"/>
              </w:rPr>
              <w:t xml:space="preserve"> </w:t>
            </w:r>
            <w:proofErr w:type="spellStart"/>
            <w:r w:rsidR="003E2F8C" w:rsidRPr="00E16672">
              <w:rPr>
                <w:rFonts w:ascii="Times New Roman" w:hAnsi="Times New Roman"/>
                <w:sz w:val="16"/>
                <w:szCs w:val="16"/>
              </w:rPr>
              <w:t>the</w:t>
            </w:r>
            <w:proofErr w:type="spellEnd"/>
            <w:r w:rsidR="003E2F8C" w:rsidRPr="00E16672">
              <w:rPr>
                <w:rFonts w:ascii="Times New Roman" w:hAnsi="Times New Roman"/>
                <w:sz w:val="16"/>
                <w:szCs w:val="16"/>
              </w:rPr>
              <w:t xml:space="preserve"> </w:t>
            </w:r>
            <w:proofErr w:type="spellStart"/>
            <w:r w:rsidR="003E2F8C" w:rsidRPr="00E16672">
              <w:rPr>
                <w:rFonts w:ascii="Times New Roman" w:hAnsi="Times New Roman"/>
                <w:sz w:val="16"/>
                <w:szCs w:val="16"/>
              </w:rPr>
              <w:t>Agreement</w:t>
            </w:r>
            <w:proofErr w:type="spellEnd"/>
            <w:r w:rsidR="003E2F8C" w:rsidRPr="00E16672">
              <w:rPr>
                <w:rFonts w:ascii="Times New Roman" w:hAnsi="Times New Roman"/>
                <w:sz w:val="16"/>
                <w:szCs w:val="16"/>
              </w:rPr>
              <w:t xml:space="preserve">, </w:t>
            </w:r>
            <w:proofErr w:type="spellStart"/>
            <w:r w:rsidR="003E2F8C" w:rsidRPr="00E16672">
              <w:rPr>
                <w:rFonts w:ascii="Times New Roman" w:hAnsi="Times New Roman"/>
                <w:sz w:val="16"/>
                <w:szCs w:val="16"/>
              </w:rPr>
              <w:t>the</w:t>
            </w:r>
            <w:proofErr w:type="spellEnd"/>
            <w:r w:rsidR="003E2F8C" w:rsidRPr="00E16672">
              <w:rPr>
                <w:rFonts w:ascii="Times New Roman" w:hAnsi="Times New Roman"/>
                <w:sz w:val="16"/>
                <w:szCs w:val="16"/>
              </w:rPr>
              <w:t xml:space="preserve"> </w:t>
            </w:r>
            <w:proofErr w:type="spellStart"/>
            <w:r w:rsidR="003E2F8C" w:rsidRPr="00E16672">
              <w:rPr>
                <w:rFonts w:ascii="Times New Roman" w:hAnsi="Times New Roman"/>
                <w:sz w:val="16"/>
                <w:szCs w:val="16"/>
              </w:rPr>
              <w:t>internal</w:t>
            </w:r>
            <w:proofErr w:type="spellEnd"/>
            <w:r w:rsidR="003E2F8C" w:rsidRPr="00E16672">
              <w:rPr>
                <w:rFonts w:ascii="Times New Roman" w:hAnsi="Times New Roman"/>
                <w:sz w:val="16"/>
                <w:szCs w:val="16"/>
              </w:rPr>
              <w:t xml:space="preserve"> </w:t>
            </w:r>
            <w:proofErr w:type="spellStart"/>
            <w:r w:rsidR="003E2F8C" w:rsidRPr="00E16672">
              <w:rPr>
                <w:rFonts w:ascii="Times New Roman" w:hAnsi="Times New Roman"/>
                <w:sz w:val="16"/>
                <w:szCs w:val="16"/>
              </w:rPr>
              <w:t>documents</w:t>
            </w:r>
            <w:proofErr w:type="spellEnd"/>
            <w:r w:rsidR="003E2F8C" w:rsidRPr="00E16672">
              <w:rPr>
                <w:rFonts w:ascii="Times New Roman" w:hAnsi="Times New Roman"/>
                <w:sz w:val="16"/>
                <w:szCs w:val="16"/>
              </w:rPr>
              <w:t xml:space="preserve"> </w:t>
            </w:r>
            <w:proofErr w:type="spellStart"/>
            <w:r w:rsidR="003E2F8C" w:rsidRPr="00E16672">
              <w:rPr>
                <w:rFonts w:ascii="Times New Roman" w:hAnsi="Times New Roman"/>
                <w:sz w:val="16"/>
                <w:szCs w:val="16"/>
              </w:rPr>
              <w:t>of</w:t>
            </w:r>
            <w:proofErr w:type="spellEnd"/>
            <w:r w:rsidR="003E2F8C" w:rsidRPr="00E16672">
              <w:rPr>
                <w:rFonts w:ascii="Times New Roman" w:hAnsi="Times New Roman"/>
                <w:sz w:val="16"/>
                <w:szCs w:val="16"/>
              </w:rPr>
              <w:t xml:space="preserve"> </w:t>
            </w:r>
            <w:proofErr w:type="spellStart"/>
            <w:r w:rsidR="003E2F8C" w:rsidRPr="00E16672">
              <w:rPr>
                <w:rFonts w:ascii="Times New Roman" w:hAnsi="Times New Roman"/>
                <w:sz w:val="16"/>
                <w:szCs w:val="16"/>
              </w:rPr>
              <w:t>the</w:t>
            </w:r>
            <w:proofErr w:type="spellEnd"/>
            <w:r w:rsidR="003E2F8C" w:rsidRPr="00E16672">
              <w:rPr>
                <w:rFonts w:ascii="Times New Roman" w:hAnsi="Times New Roman"/>
                <w:sz w:val="16"/>
                <w:szCs w:val="16"/>
              </w:rPr>
              <w:t xml:space="preserve"> </w:t>
            </w:r>
            <w:proofErr w:type="spellStart"/>
            <w:r w:rsidR="003E2F8C" w:rsidRPr="00E16672">
              <w:rPr>
                <w:rFonts w:ascii="Times New Roman" w:hAnsi="Times New Roman"/>
                <w:sz w:val="16"/>
                <w:szCs w:val="16"/>
              </w:rPr>
              <w:t>Depository</w:t>
            </w:r>
            <w:proofErr w:type="spellEnd"/>
            <w:r w:rsidR="003E2F8C" w:rsidRPr="00E16672">
              <w:rPr>
                <w:rFonts w:ascii="Times New Roman" w:hAnsi="Times New Roman"/>
                <w:sz w:val="16"/>
                <w:szCs w:val="16"/>
              </w:rPr>
              <w:t xml:space="preserve"> </w:t>
            </w:r>
            <w:proofErr w:type="spellStart"/>
            <w:r w:rsidR="003E2F8C" w:rsidRPr="00E16672">
              <w:rPr>
                <w:rFonts w:ascii="Times New Roman" w:hAnsi="Times New Roman"/>
                <w:sz w:val="16"/>
                <w:szCs w:val="16"/>
              </w:rPr>
              <w:t>and</w:t>
            </w:r>
            <w:proofErr w:type="spellEnd"/>
            <w:r w:rsidR="003E2F8C" w:rsidRPr="00E16672">
              <w:rPr>
                <w:rFonts w:ascii="Times New Roman" w:hAnsi="Times New Roman"/>
                <w:sz w:val="16"/>
                <w:szCs w:val="16"/>
              </w:rPr>
              <w:t xml:space="preserve"> </w:t>
            </w:r>
            <w:proofErr w:type="spellStart"/>
            <w:r w:rsidR="003E2F8C" w:rsidRPr="00E16672">
              <w:rPr>
                <w:rFonts w:ascii="Times New Roman" w:hAnsi="Times New Roman"/>
                <w:sz w:val="16"/>
                <w:szCs w:val="16"/>
              </w:rPr>
              <w:t>the</w:t>
            </w:r>
            <w:proofErr w:type="spellEnd"/>
            <w:r w:rsidR="003E2F8C" w:rsidRPr="00E16672">
              <w:rPr>
                <w:rFonts w:ascii="Times New Roman" w:hAnsi="Times New Roman"/>
                <w:sz w:val="16"/>
                <w:szCs w:val="16"/>
              </w:rPr>
              <w:t xml:space="preserve"> </w:t>
            </w:r>
            <w:proofErr w:type="spellStart"/>
            <w:r w:rsidR="003E2F8C" w:rsidRPr="00E16672">
              <w:rPr>
                <w:rFonts w:ascii="Times New Roman" w:hAnsi="Times New Roman"/>
                <w:sz w:val="16"/>
                <w:szCs w:val="16"/>
              </w:rPr>
              <w:t>law</w:t>
            </w:r>
            <w:proofErr w:type="spellEnd"/>
            <w:r w:rsidR="003E2F8C" w:rsidRPr="00E16672">
              <w:rPr>
                <w:rFonts w:ascii="Times New Roman" w:hAnsi="Times New Roman"/>
                <w:sz w:val="16"/>
                <w:szCs w:val="16"/>
              </w:rPr>
              <w:t>.</w:t>
            </w:r>
          </w:p>
          <w:p w14:paraId="6DB842DE" w14:textId="77777777" w:rsidR="00933C25" w:rsidRPr="00E16672" w:rsidRDefault="00933C25" w:rsidP="00804E84">
            <w:pPr>
              <w:pStyle w:val="210"/>
              <w:tabs>
                <w:tab w:val="left" w:pos="287"/>
                <w:tab w:val="left" w:pos="1362"/>
              </w:tabs>
              <w:snapToGrid w:val="0"/>
              <w:ind w:left="175" w:right="100" w:firstLine="7"/>
              <w:rPr>
                <w:rFonts w:ascii="Times New Roman" w:hAnsi="Times New Roman"/>
                <w:sz w:val="16"/>
                <w:szCs w:val="16"/>
                <w:lang w:val="en-US"/>
              </w:rPr>
            </w:pPr>
          </w:p>
        </w:tc>
      </w:tr>
      <w:tr w:rsidR="00933C25" w:rsidRPr="00F23413" w14:paraId="3BF26C3C" w14:textId="77777777" w:rsidTr="00D77858">
        <w:tblPrEx>
          <w:tblCellMar>
            <w:left w:w="0" w:type="dxa"/>
            <w:right w:w="0" w:type="dxa"/>
          </w:tblCellMar>
        </w:tblPrEx>
        <w:trPr>
          <w:trHeight w:val="192"/>
        </w:trPr>
        <w:tc>
          <w:tcPr>
            <w:tcW w:w="5696" w:type="dxa"/>
            <w:gridSpan w:val="6"/>
            <w:shd w:val="clear" w:color="auto" w:fill="auto"/>
          </w:tcPr>
          <w:p w14:paraId="41948FBE" w14:textId="77777777" w:rsidR="00933C25" w:rsidRPr="00E16672" w:rsidRDefault="00933C25" w:rsidP="00804E84">
            <w:pPr>
              <w:snapToGrid w:val="0"/>
              <w:ind w:left="175" w:right="138" w:firstLine="7"/>
              <w:rPr>
                <w:rFonts w:ascii="Times New Roman" w:hAnsi="Times New Roman"/>
                <w:sz w:val="16"/>
                <w:szCs w:val="16"/>
              </w:rPr>
            </w:pPr>
            <w:r w:rsidRPr="00E16672">
              <w:rPr>
                <w:rFonts w:ascii="Times New Roman" w:hAnsi="Times New Roman"/>
                <w:sz w:val="16"/>
                <w:szCs w:val="16"/>
              </w:rPr>
              <w:t xml:space="preserve">5.3. </w:t>
            </w:r>
            <w:proofErr w:type="spellStart"/>
            <w:r w:rsidRPr="00E16672">
              <w:rPr>
                <w:rFonts w:ascii="Times New Roman" w:hAnsi="Times New Roman"/>
                <w:sz w:val="16"/>
                <w:szCs w:val="16"/>
              </w:rPr>
              <w:t>Сторони</w:t>
            </w:r>
            <w:proofErr w:type="spellEnd"/>
            <w:r w:rsidRPr="00E16672">
              <w:rPr>
                <w:rFonts w:ascii="Times New Roman" w:hAnsi="Times New Roman"/>
                <w:sz w:val="16"/>
                <w:szCs w:val="16"/>
              </w:rPr>
              <w:t xml:space="preserve"> </w:t>
            </w:r>
            <w:proofErr w:type="spellStart"/>
            <w:r w:rsidR="00982AE9" w:rsidRPr="00E16672">
              <w:rPr>
                <w:rFonts w:ascii="Times New Roman" w:hAnsi="Times New Roman"/>
                <w:sz w:val="16"/>
                <w:szCs w:val="16"/>
              </w:rPr>
              <w:t>підтверджують</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достовірність</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підписів</w:t>
            </w:r>
            <w:proofErr w:type="spellEnd"/>
            <w:r w:rsidRPr="00E16672">
              <w:rPr>
                <w:rFonts w:ascii="Times New Roman" w:hAnsi="Times New Roman"/>
                <w:sz w:val="16"/>
                <w:szCs w:val="16"/>
              </w:rPr>
              <w:t xml:space="preserve"> на </w:t>
            </w:r>
            <w:proofErr w:type="spellStart"/>
            <w:r w:rsidRPr="00E16672">
              <w:rPr>
                <w:rFonts w:ascii="Times New Roman" w:hAnsi="Times New Roman"/>
                <w:sz w:val="16"/>
                <w:szCs w:val="16"/>
              </w:rPr>
              <w:t>розпорядженнях</w:t>
            </w:r>
            <w:proofErr w:type="spellEnd"/>
            <w:r w:rsidRPr="00E16672">
              <w:rPr>
                <w:rFonts w:ascii="Times New Roman" w:hAnsi="Times New Roman"/>
                <w:sz w:val="16"/>
                <w:szCs w:val="16"/>
              </w:rPr>
              <w:t xml:space="preserve"> Депонента способом, </w:t>
            </w:r>
            <w:proofErr w:type="spellStart"/>
            <w:r w:rsidRPr="00E16672">
              <w:rPr>
                <w:rFonts w:ascii="Times New Roman" w:hAnsi="Times New Roman"/>
                <w:sz w:val="16"/>
                <w:szCs w:val="16"/>
              </w:rPr>
              <w:t>визначеним</w:t>
            </w:r>
            <w:proofErr w:type="spellEnd"/>
            <w:r w:rsidRPr="00E16672">
              <w:rPr>
                <w:rFonts w:ascii="Times New Roman" w:hAnsi="Times New Roman"/>
                <w:sz w:val="16"/>
                <w:szCs w:val="16"/>
              </w:rPr>
              <w:t xml:space="preserve"> у </w:t>
            </w:r>
            <w:proofErr w:type="spellStart"/>
            <w:r w:rsidRPr="00E16672">
              <w:rPr>
                <w:rFonts w:ascii="Times New Roman" w:hAnsi="Times New Roman"/>
                <w:sz w:val="16"/>
                <w:szCs w:val="16"/>
              </w:rPr>
              <w:t>розділі</w:t>
            </w:r>
            <w:proofErr w:type="spellEnd"/>
            <w:r w:rsidRPr="00E16672">
              <w:rPr>
                <w:rFonts w:ascii="Times New Roman" w:hAnsi="Times New Roman"/>
                <w:sz w:val="16"/>
                <w:szCs w:val="16"/>
              </w:rPr>
              <w:t xml:space="preserve"> 3 </w:t>
            </w:r>
            <w:proofErr w:type="spellStart"/>
            <w:r w:rsidRPr="00E16672">
              <w:rPr>
                <w:rFonts w:ascii="Times New Roman" w:hAnsi="Times New Roman"/>
                <w:sz w:val="16"/>
                <w:szCs w:val="16"/>
              </w:rPr>
              <w:t>цього</w:t>
            </w:r>
            <w:proofErr w:type="spellEnd"/>
            <w:r w:rsidRPr="00E16672">
              <w:rPr>
                <w:rFonts w:ascii="Times New Roman" w:hAnsi="Times New Roman"/>
                <w:sz w:val="16"/>
                <w:szCs w:val="16"/>
              </w:rPr>
              <w:t xml:space="preserve"> Договору.</w:t>
            </w:r>
          </w:p>
          <w:p w14:paraId="7B5B4FF9" w14:textId="77777777" w:rsidR="00933C25" w:rsidRPr="00E16672" w:rsidRDefault="00933C25" w:rsidP="00804E84">
            <w:pPr>
              <w:ind w:left="175" w:right="138" w:firstLine="7"/>
              <w:rPr>
                <w:rFonts w:ascii="Times New Roman" w:hAnsi="Times New Roman"/>
                <w:sz w:val="16"/>
                <w:szCs w:val="16"/>
              </w:rPr>
            </w:pPr>
          </w:p>
        </w:tc>
        <w:tc>
          <w:tcPr>
            <w:tcW w:w="5494" w:type="dxa"/>
            <w:gridSpan w:val="7"/>
            <w:shd w:val="clear" w:color="auto" w:fill="auto"/>
          </w:tcPr>
          <w:p w14:paraId="79180F7F" w14:textId="77777777" w:rsidR="00933C25" w:rsidRPr="00E16672" w:rsidRDefault="00933C25" w:rsidP="00804E84">
            <w:pPr>
              <w:pStyle w:val="210"/>
              <w:tabs>
                <w:tab w:val="left" w:pos="287"/>
                <w:tab w:val="left" w:pos="1362"/>
              </w:tabs>
              <w:snapToGrid w:val="0"/>
              <w:ind w:left="175" w:right="100" w:firstLine="7"/>
              <w:rPr>
                <w:rFonts w:ascii="Times New Roman" w:hAnsi="Times New Roman"/>
                <w:sz w:val="16"/>
                <w:szCs w:val="16"/>
                <w:lang w:val="en-US"/>
              </w:rPr>
            </w:pPr>
            <w:r w:rsidRPr="00E16672">
              <w:rPr>
                <w:rFonts w:ascii="Times New Roman" w:hAnsi="Times New Roman"/>
                <w:sz w:val="16"/>
                <w:szCs w:val="16"/>
                <w:lang w:val="en-US"/>
              </w:rPr>
              <w:t xml:space="preserve">5.3. Parties are </w:t>
            </w:r>
            <w:r w:rsidRPr="00E16672">
              <w:rPr>
                <w:rFonts w:ascii="Times New Roman" w:hAnsi="Times New Roman"/>
                <w:sz w:val="16"/>
                <w:szCs w:val="16"/>
                <w:lang w:val="en-GB"/>
              </w:rPr>
              <w:t xml:space="preserve">confirmed </w:t>
            </w:r>
            <w:r w:rsidRPr="00E16672">
              <w:rPr>
                <w:rFonts w:ascii="Times New Roman" w:hAnsi="Times New Roman"/>
                <w:sz w:val="16"/>
                <w:szCs w:val="16"/>
                <w:lang w:val="en-US"/>
              </w:rPr>
              <w:t>authenticity of signatures on the orders of Depositor by a method, certain in a section 3 of this Agreement.</w:t>
            </w:r>
          </w:p>
          <w:p w14:paraId="2B1767B6" w14:textId="77777777" w:rsidR="00933C25" w:rsidRPr="00E16672" w:rsidRDefault="00933C25" w:rsidP="00804E84">
            <w:pPr>
              <w:pStyle w:val="210"/>
              <w:tabs>
                <w:tab w:val="left" w:pos="287"/>
                <w:tab w:val="left" w:pos="1362"/>
              </w:tabs>
              <w:snapToGrid w:val="0"/>
              <w:ind w:left="175" w:right="100" w:firstLine="7"/>
              <w:rPr>
                <w:rFonts w:ascii="Times New Roman" w:hAnsi="Times New Roman"/>
                <w:sz w:val="16"/>
                <w:szCs w:val="16"/>
                <w:lang w:val="en-US"/>
              </w:rPr>
            </w:pPr>
          </w:p>
        </w:tc>
      </w:tr>
      <w:tr w:rsidR="00933C25" w:rsidRPr="00F23413" w14:paraId="2EB15E2F" w14:textId="77777777" w:rsidTr="00D77858">
        <w:tblPrEx>
          <w:tblCellMar>
            <w:left w:w="0" w:type="dxa"/>
            <w:right w:w="0" w:type="dxa"/>
          </w:tblCellMar>
        </w:tblPrEx>
        <w:trPr>
          <w:trHeight w:val="846"/>
        </w:trPr>
        <w:tc>
          <w:tcPr>
            <w:tcW w:w="5696" w:type="dxa"/>
            <w:gridSpan w:val="6"/>
            <w:shd w:val="clear" w:color="auto" w:fill="auto"/>
          </w:tcPr>
          <w:p w14:paraId="5E2F1FB3" w14:textId="77777777" w:rsidR="00933C25" w:rsidRPr="00E16672" w:rsidRDefault="00933C25" w:rsidP="00804E84">
            <w:pPr>
              <w:snapToGrid w:val="0"/>
              <w:ind w:left="175" w:right="138" w:firstLine="7"/>
              <w:rPr>
                <w:rFonts w:ascii="Times New Roman" w:hAnsi="Times New Roman"/>
                <w:sz w:val="16"/>
                <w:szCs w:val="16"/>
              </w:rPr>
            </w:pPr>
            <w:r w:rsidRPr="00E16672">
              <w:rPr>
                <w:rFonts w:ascii="Times New Roman" w:hAnsi="Times New Roman"/>
                <w:sz w:val="16"/>
                <w:szCs w:val="16"/>
              </w:rPr>
              <w:t xml:space="preserve">5.4. </w:t>
            </w:r>
            <w:proofErr w:type="spellStart"/>
            <w:r w:rsidRPr="00E16672">
              <w:rPr>
                <w:rFonts w:ascii="Times New Roman" w:hAnsi="Times New Roman"/>
                <w:sz w:val="16"/>
                <w:szCs w:val="16"/>
              </w:rPr>
              <w:t>Сторони</w:t>
            </w:r>
            <w:proofErr w:type="spellEnd"/>
            <w:r w:rsidRPr="00E16672">
              <w:rPr>
                <w:rFonts w:ascii="Times New Roman" w:hAnsi="Times New Roman"/>
                <w:sz w:val="16"/>
                <w:szCs w:val="16"/>
              </w:rPr>
              <w:t xml:space="preserve"> </w:t>
            </w:r>
            <w:proofErr w:type="spellStart"/>
            <w:proofErr w:type="gramStart"/>
            <w:r w:rsidRPr="00E16672">
              <w:rPr>
                <w:rFonts w:ascii="Times New Roman" w:hAnsi="Times New Roman"/>
                <w:sz w:val="16"/>
                <w:szCs w:val="16"/>
              </w:rPr>
              <w:t>несуть</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відповідальність</w:t>
            </w:r>
            <w:proofErr w:type="spellEnd"/>
            <w:proofErr w:type="gramEnd"/>
            <w:r w:rsidRPr="00E16672">
              <w:rPr>
                <w:rFonts w:ascii="Times New Roman" w:hAnsi="Times New Roman"/>
                <w:sz w:val="16"/>
                <w:szCs w:val="16"/>
              </w:rPr>
              <w:t xml:space="preserve"> за </w:t>
            </w:r>
            <w:proofErr w:type="spellStart"/>
            <w:r w:rsidRPr="00E16672">
              <w:rPr>
                <w:rFonts w:ascii="Times New Roman" w:hAnsi="Times New Roman"/>
                <w:sz w:val="16"/>
                <w:szCs w:val="16"/>
              </w:rPr>
              <w:t>невиконання</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або</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неналежне</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виконання</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своїх</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зобов’язань</w:t>
            </w:r>
            <w:proofErr w:type="spellEnd"/>
            <w:r w:rsidRPr="00E16672">
              <w:rPr>
                <w:rFonts w:ascii="Times New Roman" w:hAnsi="Times New Roman"/>
                <w:sz w:val="16"/>
                <w:szCs w:val="16"/>
              </w:rPr>
              <w:t xml:space="preserve"> за </w:t>
            </w:r>
            <w:proofErr w:type="spellStart"/>
            <w:r w:rsidRPr="00E16672">
              <w:rPr>
                <w:rFonts w:ascii="Times New Roman" w:hAnsi="Times New Roman"/>
                <w:sz w:val="16"/>
                <w:szCs w:val="16"/>
              </w:rPr>
              <w:t>цим</w:t>
            </w:r>
            <w:proofErr w:type="spellEnd"/>
            <w:r w:rsidRPr="00E16672">
              <w:rPr>
                <w:rFonts w:ascii="Times New Roman" w:hAnsi="Times New Roman"/>
                <w:sz w:val="16"/>
                <w:szCs w:val="16"/>
              </w:rPr>
              <w:t xml:space="preserve"> Договором </w:t>
            </w:r>
            <w:proofErr w:type="spellStart"/>
            <w:r w:rsidRPr="00E16672">
              <w:rPr>
                <w:rFonts w:ascii="Times New Roman" w:hAnsi="Times New Roman"/>
                <w:sz w:val="16"/>
                <w:szCs w:val="16"/>
              </w:rPr>
              <w:t>відповідно</w:t>
            </w:r>
            <w:proofErr w:type="spellEnd"/>
            <w:r w:rsidRPr="00E16672">
              <w:rPr>
                <w:rFonts w:ascii="Times New Roman" w:hAnsi="Times New Roman"/>
                <w:sz w:val="16"/>
                <w:szCs w:val="16"/>
              </w:rPr>
              <w:t xml:space="preserve"> до </w:t>
            </w:r>
            <w:proofErr w:type="spellStart"/>
            <w:r w:rsidRPr="00E16672">
              <w:rPr>
                <w:rFonts w:ascii="Times New Roman" w:hAnsi="Times New Roman"/>
                <w:sz w:val="16"/>
                <w:szCs w:val="16"/>
              </w:rPr>
              <w:t>законодавства</w:t>
            </w:r>
            <w:proofErr w:type="spellEnd"/>
            <w:r w:rsidRPr="00E16672">
              <w:rPr>
                <w:rFonts w:ascii="Times New Roman" w:hAnsi="Times New Roman"/>
                <w:sz w:val="16"/>
                <w:szCs w:val="16"/>
              </w:rPr>
              <w:t xml:space="preserve">, у тому </w:t>
            </w:r>
            <w:proofErr w:type="spellStart"/>
            <w:r w:rsidRPr="00E16672">
              <w:rPr>
                <w:rFonts w:ascii="Times New Roman" w:hAnsi="Times New Roman"/>
                <w:sz w:val="16"/>
                <w:szCs w:val="16"/>
              </w:rPr>
              <w:t>числі</w:t>
            </w:r>
            <w:proofErr w:type="spellEnd"/>
            <w:r w:rsidRPr="00E16672">
              <w:rPr>
                <w:rFonts w:ascii="Times New Roman" w:hAnsi="Times New Roman"/>
                <w:sz w:val="16"/>
                <w:szCs w:val="16"/>
              </w:rPr>
              <w:t xml:space="preserve"> нормативно-</w:t>
            </w:r>
            <w:proofErr w:type="spellStart"/>
            <w:r w:rsidRPr="00E16672">
              <w:rPr>
                <w:rFonts w:ascii="Times New Roman" w:hAnsi="Times New Roman"/>
                <w:sz w:val="16"/>
                <w:szCs w:val="16"/>
              </w:rPr>
              <w:t>правових</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актів</w:t>
            </w:r>
            <w:proofErr w:type="spellEnd"/>
            <w:r w:rsidRPr="00E16672">
              <w:rPr>
                <w:rFonts w:ascii="Times New Roman" w:hAnsi="Times New Roman"/>
                <w:sz w:val="16"/>
                <w:szCs w:val="16"/>
              </w:rPr>
              <w:t xml:space="preserve"> НКЦПФР.</w:t>
            </w:r>
          </w:p>
          <w:p w14:paraId="50DFF111" w14:textId="77777777" w:rsidR="00933C25" w:rsidRPr="00E16672" w:rsidRDefault="00933C25" w:rsidP="00804E84">
            <w:pPr>
              <w:ind w:left="175" w:right="138" w:firstLine="7"/>
              <w:rPr>
                <w:rFonts w:ascii="Times New Roman" w:hAnsi="Times New Roman"/>
                <w:sz w:val="16"/>
                <w:szCs w:val="16"/>
              </w:rPr>
            </w:pPr>
          </w:p>
        </w:tc>
        <w:tc>
          <w:tcPr>
            <w:tcW w:w="5494" w:type="dxa"/>
            <w:gridSpan w:val="7"/>
            <w:shd w:val="clear" w:color="auto" w:fill="auto"/>
          </w:tcPr>
          <w:p w14:paraId="3A2FE740" w14:textId="77777777" w:rsidR="00933C25" w:rsidRPr="00E16672" w:rsidRDefault="00933C25" w:rsidP="00804E84">
            <w:pPr>
              <w:pStyle w:val="210"/>
              <w:tabs>
                <w:tab w:val="left" w:pos="287"/>
                <w:tab w:val="left" w:pos="1191"/>
              </w:tabs>
              <w:snapToGrid w:val="0"/>
              <w:ind w:left="175" w:right="100" w:firstLine="7"/>
              <w:rPr>
                <w:rFonts w:ascii="Times New Roman" w:hAnsi="Times New Roman"/>
                <w:sz w:val="16"/>
                <w:szCs w:val="16"/>
              </w:rPr>
            </w:pPr>
            <w:r w:rsidRPr="00E16672">
              <w:rPr>
                <w:rFonts w:ascii="Times New Roman" w:hAnsi="Times New Roman"/>
                <w:sz w:val="16"/>
                <w:szCs w:val="16"/>
              </w:rPr>
              <w:t xml:space="preserve">5.4. </w:t>
            </w:r>
            <w:proofErr w:type="spellStart"/>
            <w:r w:rsidRPr="00E16672">
              <w:rPr>
                <w:rFonts w:ascii="Times New Roman" w:hAnsi="Times New Roman"/>
                <w:sz w:val="16"/>
                <w:szCs w:val="16"/>
              </w:rPr>
              <w:t>Parties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are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responsible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for</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non-performance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or</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improper</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performance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of</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its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obligations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under</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this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Agreement</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in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accordance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with</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law</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including</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regulations</w:t>
            </w:r>
            <w:proofErr w:type="spellEnd"/>
            <w:r w:rsidRPr="00E16672">
              <w:rPr>
                <w:rFonts w:ascii="Times New Roman" w:hAnsi="Times New Roman"/>
                <w:sz w:val="16"/>
                <w:szCs w:val="16"/>
              </w:rPr>
              <w:t xml:space="preserve"> NCSSM.</w:t>
            </w:r>
          </w:p>
          <w:p w14:paraId="5AC7666E" w14:textId="77777777" w:rsidR="00933C25" w:rsidRPr="00E16672" w:rsidRDefault="00933C25" w:rsidP="00804E84">
            <w:pPr>
              <w:pStyle w:val="210"/>
              <w:tabs>
                <w:tab w:val="left" w:pos="287"/>
                <w:tab w:val="left" w:pos="1191"/>
              </w:tabs>
              <w:snapToGrid w:val="0"/>
              <w:ind w:left="175" w:right="100" w:firstLine="7"/>
              <w:rPr>
                <w:rFonts w:ascii="Times New Roman" w:hAnsi="Times New Roman"/>
                <w:sz w:val="16"/>
                <w:szCs w:val="16"/>
                <w:lang w:val="en-GB"/>
              </w:rPr>
            </w:pPr>
          </w:p>
        </w:tc>
      </w:tr>
      <w:tr w:rsidR="00933C25" w:rsidRPr="00F23413" w14:paraId="3C37D766" w14:textId="77777777" w:rsidTr="00D77858">
        <w:tblPrEx>
          <w:tblCellMar>
            <w:left w:w="0" w:type="dxa"/>
            <w:right w:w="0" w:type="dxa"/>
          </w:tblCellMar>
        </w:tblPrEx>
        <w:trPr>
          <w:trHeight w:val="192"/>
        </w:trPr>
        <w:tc>
          <w:tcPr>
            <w:tcW w:w="5696" w:type="dxa"/>
            <w:gridSpan w:val="6"/>
            <w:shd w:val="clear" w:color="auto" w:fill="auto"/>
          </w:tcPr>
          <w:p w14:paraId="6576EAD8" w14:textId="77777777" w:rsidR="00933C25" w:rsidRPr="00E16672" w:rsidRDefault="00933C25" w:rsidP="00804E84">
            <w:pPr>
              <w:snapToGrid w:val="0"/>
              <w:ind w:left="175" w:right="138" w:firstLine="7"/>
              <w:rPr>
                <w:rFonts w:ascii="Times New Roman" w:hAnsi="Times New Roman"/>
                <w:sz w:val="16"/>
                <w:szCs w:val="16"/>
              </w:rPr>
            </w:pPr>
            <w:r w:rsidRPr="00E16672">
              <w:rPr>
                <w:rFonts w:ascii="Times New Roman" w:hAnsi="Times New Roman"/>
                <w:sz w:val="16"/>
                <w:szCs w:val="16"/>
              </w:rPr>
              <w:t xml:space="preserve">5.5. Сторона, яка порушила </w:t>
            </w:r>
            <w:proofErr w:type="spellStart"/>
            <w:r w:rsidRPr="00E16672">
              <w:rPr>
                <w:rFonts w:ascii="Times New Roman" w:hAnsi="Times New Roman"/>
                <w:sz w:val="16"/>
                <w:szCs w:val="16"/>
              </w:rPr>
              <w:t>зобов’язання</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відповідно</w:t>
            </w:r>
            <w:proofErr w:type="spellEnd"/>
            <w:r w:rsidRPr="00E16672">
              <w:rPr>
                <w:rFonts w:ascii="Times New Roman" w:hAnsi="Times New Roman"/>
                <w:sz w:val="16"/>
                <w:szCs w:val="16"/>
              </w:rPr>
              <w:t xml:space="preserve"> до </w:t>
            </w:r>
            <w:proofErr w:type="spellStart"/>
            <w:r w:rsidRPr="00E16672">
              <w:rPr>
                <w:rFonts w:ascii="Times New Roman" w:hAnsi="Times New Roman"/>
                <w:sz w:val="16"/>
                <w:szCs w:val="16"/>
              </w:rPr>
              <w:t>цього</w:t>
            </w:r>
            <w:proofErr w:type="spellEnd"/>
            <w:r w:rsidRPr="00E16672">
              <w:rPr>
                <w:rFonts w:ascii="Times New Roman" w:hAnsi="Times New Roman"/>
                <w:sz w:val="16"/>
                <w:szCs w:val="16"/>
              </w:rPr>
              <w:t xml:space="preserve"> Договору, повинна </w:t>
            </w:r>
            <w:proofErr w:type="spellStart"/>
            <w:r w:rsidRPr="00E16672">
              <w:rPr>
                <w:rFonts w:ascii="Times New Roman" w:hAnsi="Times New Roman"/>
                <w:sz w:val="16"/>
                <w:szCs w:val="16"/>
              </w:rPr>
              <w:t>усунути</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ці</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порушення</w:t>
            </w:r>
            <w:proofErr w:type="spellEnd"/>
            <w:r w:rsidRPr="00E16672">
              <w:rPr>
                <w:rFonts w:ascii="Times New Roman" w:hAnsi="Times New Roman"/>
                <w:sz w:val="16"/>
                <w:szCs w:val="16"/>
              </w:rPr>
              <w:t xml:space="preserve"> в </w:t>
            </w:r>
            <w:proofErr w:type="spellStart"/>
            <w:r w:rsidRPr="00E16672">
              <w:rPr>
                <w:rFonts w:ascii="Times New Roman" w:hAnsi="Times New Roman"/>
                <w:sz w:val="16"/>
                <w:szCs w:val="16"/>
              </w:rPr>
              <w:t>найкоротший</w:t>
            </w:r>
            <w:proofErr w:type="spellEnd"/>
            <w:r w:rsidRPr="00E16672">
              <w:rPr>
                <w:rFonts w:ascii="Times New Roman" w:hAnsi="Times New Roman"/>
                <w:sz w:val="16"/>
                <w:szCs w:val="16"/>
              </w:rPr>
              <w:t xml:space="preserve"> строк.</w:t>
            </w:r>
          </w:p>
        </w:tc>
        <w:tc>
          <w:tcPr>
            <w:tcW w:w="5494" w:type="dxa"/>
            <w:gridSpan w:val="7"/>
            <w:shd w:val="clear" w:color="auto" w:fill="auto"/>
          </w:tcPr>
          <w:p w14:paraId="1E1C3C09" w14:textId="77777777" w:rsidR="00933C25" w:rsidRPr="00E16672" w:rsidRDefault="00933C25" w:rsidP="00804E84">
            <w:pPr>
              <w:pStyle w:val="210"/>
              <w:tabs>
                <w:tab w:val="left" w:pos="287"/>
                <w:tab w:val="left" w:pos="1191"/>
              </w:tabs>
              <w:snapToGrid w:val="0"/>
              <w:ind w:left="175" w:right="100" w:firstLine="7"/>
              <w:rPr>
                <w:rFonts w:ascii="Times New Roman" w:hAnsi="Times New Roman"/>
                <w:sz w:val="16"/>
                <w:szCs w:val="16"/>
              </w:rPr>
            </w:pPr>
            <w:r w:rsidRPr="00E16672">
              <w:rPr>
                <w:rFonts w:ascii="Times New Roman" w:hAnsi="Times New Roman"/>
                <w:sz w:val="16"/>
                <w:szCs w:val="16"/>
              </w:rPr>
              <w:t xml:space="preserve">5.5.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party</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that</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violated</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obligations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of</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this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Agreement</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should</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remove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violations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in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shortest</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period</w:t>
            </w:r>
            <w:proofErr w:type="spellEnd"/>
            <w:r w:rsidRPr="00E16672">
              <w:rPr>
                <w:rFonts w:ascii="Times New Roman" w:hAnsi="Times New Roman"/>
                <w:sz w:val="16"/>
                <w:szCs w:val="16"/>
              </w:rPr>
              <w:t>.</w:t>
            </w:r>
          </w:p>
        </w:tc>
      </w:tr>
      <w:tr w:rsidR="00933C25" w:rsidRPr="00F23413" w14:paraId="726DE868" w14:textId="77777777" w:rsidTr="00D77858">
        <w:tblPrEx>
          <w:tblCellMar>
            <w:left w:w="0" w:type="dxa"/>
            <w:right w:w="0" w:type="dxa"/>
          </w:tblCellMar>
        </w:tblPrEx>
        <w:trPr>
          <w:trHeight w:val="192"/>
        </w:trPr>
        <w:tc>
          <w:tcPr>
            <w:tcW w:w="5696" w:type="dxa"/>
            <w:gridSpan w:val="6"/>
            <w:shd w:val="clear" w:color="auto" w:fill="auto"/>
          </w:tcPr>
          <w:p w14:paraId="454F2B63" w14:textId="77777777" w:rsidR="00933C25" w:rsidRPr="00E16672" w:rsidRDefault="00933C25" w:rsidP="00804E84">
            <w:pPr>
              <w:ind w:left="175" w:right="138" w:firstLine="7"/>
              <w:rPr>
                <w:rFonts w:ascii="Times New Roman" w:hAnsi="Times New Roman"/>
                <w:color w:val="000000"/>
                <w:sz w:val="16"/>
                <w:szCs w:val="16"/>
                <w:lang w:val="uk-UA"/>
              </w:rPr>
            </w:pPr>
          </w:p>
          <w:p w14:paraId="09404BCF" w14:textId="77777777" w:rsidR="00933C25" w:rsidRPr="00E16672" w:rsidRDefault="00933C25" w:rsidP="00804E84">
            <w:pPr>
              <w:ind w:left="175" w:right="138" w:firstLine="7"/>
              <w:rPr>
                <w:rFonts w:ascii="Times New Roman" w:hAnsi="Times New Roman"/>
                <w:color w:val="000000"/>
                <w:sz w:val="16"/>
                <w:szCs w:val="16"/>
                <w:lang w:val="uk-UA"/>
              </w:rPr>
            </w:pPr>
            <w:r w:rsidRPr="00E16672">
              <w:rPr>
                <w:rFonts w:ascii="Times New Roman" w:hAnsi="Times New Roman"/>
                <w:color w:val="000000"/>
                <w:sz w:val="16"/>
                <w:szCs w:val="16"/>
              </w:rPr>
              <w:t xml:space="preserve">5.6. </w:t>
            </w:r>
            <w:r w:rsidRPr="00E16672">
              <w:rPr>
                <w:rFonts w:ascii="Times New Roman" w:hAnsi="Times New Roman"/>
                <w:color w:val="000000"/>
                <w:sz w:val="16"/>
                <w:szCs w:val="16"/>
                <w:lang w:val="uk-UA"/>
              </w:rPr>
              <w:t xml:space="preserve">Депозитарна установа несе </w:t>
            </w:r>
            <w:proofErr w:type="spellStart"/>
            <w:r w:rsidRPr="00E16672">
              <w:rPr>
                <w:rFonts w:ascii="Times New Roman" w:hAnsi="Times New Roman"/>
                <w:color w:val="000000"/>
                <w:sz w:val="16"/>
                <w:szCs w:val="16"/>
                <w:lang w:val="uk-UA"/>
              </w:rPr>
              <w:t>вiдповiдальнiсть</w:t>
            </w:r>
            <w:proofErr w:type="spellEnd"/>
            <w:r w:rsidR="003E2F8C" w:rsidRPr="00E16672">
              <w:rPr>
                <w:rFonts w:ascii="Times New Roman" w:hAnsi="Times New Roman"/>
                <w:color w:val="000000"/>
                <w:sz w:val="16"/>
                <w:szCs w:val="16"/>
              </w:rPr>
              <w:t xml:space="preserve"> </w:t>
            </w:r>
            <w:r w:rsidR="003E2F8C" w:rsidRPr="00E16672">
              <w:rPr>
                <w:rFonts w:ascii="Times New Roman" w:hAnsi="Times New Roman"/>
                <w:color w:val="000000"/>
                <w:sz w:val="16"/>
                <w:szCs w:val="16"/>
                <w:lang w:val="uk-UA"/>
              </w:rPr>
              <w:t>за</w:t>
            </w:r>
            <w:r w:rsidRPr="00E16672">
              <w:rPr>
                <w:rFonts w:ascii="Times New Roman" w:hAnsi="Times New Roman"/>
                <w:color w:val="000000"/>
                <w:sz w:val="16"/>
                <w:szCs w:val="16"/>
                <w:lang w:val="uk-UA"/>
              </w:rPr>
              <w:t>:</w:t>
            </w:r>
          </w:p>
          <w:p w14:paraId="02A90BAF" w14:textId="77777777" w:rsidR="00933C25" w:rsidRPr="00E16672" w:rsidRDefault="00933C25" w:rsidP="00804E84">
            <w:pPr>
              <w:ind w:left="175" w:right="138" w:firstLine="7"/>
              <w:rPr>
                <w:rFonts w:ascii="Times New Roman" w:hAnsi="Times New Roman"/>
                <w:color w:val="000000"/>
                <w:sz w:val="16"/>
                <w:szCs w:val="16"/>
                <w:lang w:val="uk-UA"/>
              </w:rPr>
            </w:pPr>
            <w:r w:rsidRPr="00E16672">
              <w:rPr>
                <w:rFonts w:ascii="Times New Roman" w:hAnsi="Times New Roman"/>
                <w:color w:val="000000"/>
                <w:sz w:val="16"/>
                <w:szCs w:val="16"/>
                <w:lang w:val="uk-UA"/>
              </w:rPr>
              <w:t xml:space="preserve">- забезпечення режиму конфіденційності щодо Депонента та належних </w:t>
            </w:r>
            <w:proofErr w:type="spellStart"/>
            <w:r w:rsidRPr="00E16672">
              <w:rPr>
                <w:rFonts w:ascii="Times New Roman" w:hAnsi="Times New Roman"/>
                <w:color w:val="000000"/>
                <w:sz w:val="16"/>
                <w:szCs w:val="16"/>
                <w:lang w:val="uk-UA"/>
              </w:rPr>
              <w:t>йом</w:t>
            </w:r>
            <w:r w:rsidR="00C22309" w:rsidRPr="00E16672">
              <w:rPr>
                <w:rFonts w:ascii="Times New Roman" w:hAnsi="Times New Roman"/>
                <w:color w:val="000000"/>
                <w:sz w:val="16"/>
                <w:szCs w:val="16"/>
                <w:lang w:val="uk-UA"/>
              </w:rPr>
              <w:t>в</w:t>
            </w:r>
            <w:proofErr w:type="spellEnd"/>
            <w:r w:rsidR="00C22309" w:rsidRPr="00E16672">
              <w:rPr>
                <w:rFonts w:ascii="Times New Roman" w:hAnsi="Times New Roman"/>
                <w:color w:val="000000"/>
                <w:sz w:val="16"/>
                <w:szCs w:val="16"/>
                <w:lang w:val="uk-UA"/>
              </w:rPr>
              <w:t xml:space="preserve"> цін</w:t>
            </w:r>
            <w:r w:rsidRPr="00E16672">
              <w:rPr>
                <w:rFonts w:ascii="Times New Roman" w:hAnsi="Times New Roman"/>
                <w:color w:val="000000"/>
                <w:sz w:val="16"/>
                <w:szCs w:val="16"/>
                <w:lang w:val="uk-UA"/>
              </w:rPr>
              <w:t>них паперів;</w:t>
            </w:r>
          </w:p>
          <w:p w14:paraId="2A31F6FE" w14:textId="77777777" w:rsidR="00933C25" w:rsidRPr="00E16672" w:rsidRDefault="00933C25" w:rsidP="00804E84">
            <w:pPr>
              <w:ind w:left="175" w:right="138" w:firstLine="7"/>
              <w:rPr>
                <w:rFonts w:ascii="Times New Roman" w:hAnsi="Times New Roman"/>
                <w:color w:val="000000"/>
                <w:sz w:val="16"/>
                <w:szCs w:val="16"/>
                <w:lang w:val="uk-UA"/>
              </w:rPr>
            </w:pPr>
            <w:r w:rsidRPr="00E16672">
              <w:rPr>
                <w:rFonts w:ascii="Times New Roman" w:hAnsi="Times New Roman"/>
                <w:color w:val="000000"/>
                <w:sz w:val="16"/>
                <w:szCs w:val="16"/>
                <w:lang w:val="uk-UA"/>
              </w:rPr>
              <w:t xml:space="preserve">- підтвердження достовірності підписів Депонента на </w:t>
            </w:r>
            <w:r w:rsidR="002549F2" w:rsidRPr="00E16672">
              <w:rPr>
                <w:rFonts w:ascii="Times New Roman" w:hAnsi="Times New Roman"/>
                <w:color w:val="000000"/>
                <w:sz w:val="16"/>
                <w:szCs w:val="16"/>
                <w:lang w:val="uk-UA"/>
              </w:rPr>
              <w:t xml:space="preserve">його </w:t>
            </w:r>
            <w:r w:rsidRPr="00E16672">
              <w:rPr>
                <w:rFonts w:ascii="Times New Roman" w:hAnsi="Times New Roman"/>
                <w:color w:val="000000"/>
                <w:sz w:val="16"/>
                <w:szCs w:val="16"/>
                <w:lang w:val="uk-UA"/>
              </w:rPr>
              <w:t>розпорядженнях;</w:t>
            </w:r>
          </w:p>
          <w:p w14:paraId="59DD2D84" w14:textId="77777777" w:rsidR="00933C25" w:rsidRPr="00E16672" w:rsidRDefault="00933C25" w:rsidP="00804E84">
            <w:pPr>
              <w:ind w:left="175" w:right="138" w:firstLine="7"/>
              <w:rPr>
                <w:rFonts w:ascii="Times New Roman" w:hAnsi="Times New Roman"/>
                <w:color w:val="000000"/>
                <w:sz w:val="16"/>
                <w:szCs w:val="16"/>
                <w:lang w:val="uk-UA"/>
              </w:rPr>
            </w:pPr>
            <w:r w:rsidRPr="00E16672">
              <w:rPr>
                <w:rFonts w:ascii="Times New Roman" w:hAnsi="Times New Roman"/>
                <w:color w:val="000000"/>
                <w:sz w:val="16"/>
                <w:szCs w:val="16"/>
                <w:lang w:val="uk-UA"/>
              </w:rPr>
              <w:t xml:space="preserve">- перевірку </w:t>
            </w:r>
            <w:r w:rsidR="003E2F8C" w:rsidRPr="00E16672">
              <w:rPr>
                <w:rFonts w:ascii="Times New Roman" w:hAnsi="Times New Roman"/>
                <w:color w:val="000000"/>
                <w:sz w:val="16"/>
                <w:szCs w:val="16"/>
                <w:lang w:val="uk-UA"/>
              </w:rPr>
              <w:t xml:space="preserve">розпоряджень </w:t>
            </w:r>
            <w:r w:rsidRPr="00E16672">
              <w:rPr>
                <w:rFonts w:ascii="Times New Roman" w:hAnsi="Times New Roman"/>
                <w:color w:val="000000"/>
                <w:sz w:val="16"/>
                <w:szCs w:val="16"/>
                <w:lang w:val="uk-UA"/>
              </w:rPr>
              <w:t>на правильність складання та інші перевірки, передбачені чинним законодавством України та внутрішніми документами Депозитарної установи;</w:t>
            </w:r>
          </w:p>
          <w:p w14:paraId="1527F720" w14:textId="77777777" w:rsidR="00933C25" w:rsidRPr="00E16672" w:rsidRDefault="00933C25" w:rsidP="00804E84">
            <w:pPr>
              <w:ind w:left="175" w:right="138" w:firstLine="7"/>
              <w:rPr>
                <w:rFonts w:ascii="Times New Roman" w:hAnsi="Times New Roman"/>
                <w:color w:val="000000"/>
                <w:sz w:val="16"/>
                <w:szCs w:val="16"/>
                <w:lang w:val="uk-UA"/>
              </w:rPr>
            </w:pPr>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rPr>
              <w:t>правильне</w:t>
            </w:r>
            <w:proofErr w:type="spellEnd"/>
            <w:r w:rsidRPr="00E16672">
              <w:rPr>
                <w:rFonts w:ascii="Times New Roman" w:hAnsi="Times New Roman"/>
                <w:color w:val="000000"/>
                <w:sz w:val="16"/>
                <w:szCs w:val="16"/>
                <w:lang w:val="uk-UA"/>
              </w:rPr>
              <w:t xml:space="preserve"> виконання розпоряджень Депонента</w:t>
            </w:r>
            <w:r w:rsidR="003E2F8C" w:rsidRPr="00E16672">
              <w:rPr>
                <w:rFonts w:ascii="Times New Roman" w:hAnsi="Times New Roman"/>
                <w:color w:val="000000"/>
                <w:sz w:val="16"/>
                <w:szCs w:val="16"/>
                <w:lang w:val="uk-UA"/>
              </w:rPr>
              <w:t xml:space="preserve"> відповідно до </w:t>
            </w:r>
            <w:r w:rsidRPr="00E16672">
              <w:rPr>
                <w:rFonts w:ascii="Times New Roman" w:hAnsi="Times New Roman"/>
                <w:color w:val="000000"/>
                <w:sz w:val="16"/>
                <w:szCs w:val="16"/>
                <w:lang w:val="uk-UA"/>
              </w:rPr>
              <w:t>вимог чинного законодавства України;</w:t>
            </w:r>
          </w:p>
          <w:p w14:paraId="394035C1" w14:textId="77777777" w:rsidR="00933C25" w:rsidRPr="00E16672" w:rsidRDefault="00933C25" w:rsidP="00804E84">
            <w:pPr>
              <w:ind w:left="175" w:right="138" w:firstLine="7"/>
              <w:rPr>
                <w:rFonts w:ascii="Times New Roman" w:hAnsi="Times New Roman"/>
                <w:color w:val="000000"/>
                <w:sz w:val="16"/>
                <w:szCs w:val="16"/>
                <w:lang w:val="uk-UA"/>
              </w:rPr>
            </w:pPr>
            <w:r w:rsidRPr="00E16672">
              <w:rPr>
                <w:rFonts w:ascii="Times New Roman" w:hAnsi="Times New Roman"/>
                <w:color w:val="000000"/>
                <w:sz w:val="16"/>
                <w:szCs w:val="16"/>
                <w:lang w:val="uk-UA"/>
              </w:rPr>
              <w:t xml:space="preserve">- дотримання правил обліку при виконанні своїх обов’язків, за </w:t>
            </w:r>
            <w:proofErr w:type="spellStart"/>
            <w:r w:rsidRPr="00E16672">
              <w:rPr>
                <w:rFonts w:ascii="Times New Roman" w:hAnsi="Times New Roman"/>
                <w:color w:val="000000"/>
                <w:sz w:val="16"/>
                <w:szCs w:val="16"/>
              </w:rPr>
              <w:t>правильність</w:t>
            </w:r>
            <w:proofErr w:type="spellEnd"/>
            <w:r w:rsidRPr="00E16672">
              <w:rPr>
                <w:rFonts w:ascii="Times New Roman" w:hAnsi="Times New Roman"/>
                <w:color w:val="000000"/>
                <w:sz w:val="16"/>
                <w:szCs w:val="16"/>
                <w:lang w:val="uk-UA"/>
              </w:rPr>
              <w:t xml:space="preserve"> ведення записів по рахунку </w:t>
            </w:r>
            <w:r w:rsidR="00C22309" w:rsidRPr="00E16672">
              <w:rPr>
                <w:rFonts w:ascii="Times New Roman" w:hAnsi="Times New Roman"/>
                <w:color w:val="000000"/>
                <w:sz w:val="16"/>
                <w:szCs w:val="16"/>
                <w:lang w:val="uk-UA"/>
              </w:rPr>
              <w:t>в цін</w:t>
            </w:r>
            <w:r w:rsidRPr="00E16672">
              <w:rPr>
                <w:rFonts w:ascii="Times New Roman" w:hAnsi="Times New Roman"/>
                <w:color w:val="000000"/>
                <w:sz w:val="16"/>
                <w:szCs w:val="16"/>
                <w:lang w:val="uk-UA"/>
              </w:rPr>
              <w:t>них паперах;</w:t>
            </w:r>
          </w:p>
          <w:p w14:paraId="6F5B109E" w14:textId="77777777" w:rsidR="00933C25" w:rsidRPr="00E16672" w:rsidRDefault="00933C25" w:rsidP="00804E84">
            <w:pPr>
              <w:ind w:left="175" w:right="138" w:firstLine="7"/>
              <w:rPr>
                <w:rFonts w:ascii="Times New Roman" w:hAnsi="Times New Roman"/>
                <w:color w:val="000000"/>
                <w:sz w:val="16"/>
                <w:szCs w:val="16"/>
                <w:lang w:val="uk-UA"/>
              </w:rPr>
            </w:pPr>
            <w:r w:rsidRPr="00E16672">
              <w:rPr>
                <w:rFonts w:ascii="Times New Roman" w:hAnsi="Times New Roman"/>
                <w:color w:val="000000"/>
                <w:sz w:val="16"/>
                <w:szCs w:val="16"/>
                <w:lang w:val="uk-UA"/>
              </w:rPr>
              <w:t xml:space="preserve">- </w:t>
            </w:r>
            <w:r w:rsidR="003E2F8C" w:rsidRPr="00E16672">
              <w:rPr>
                <w:rFonts w:ascii="Times New Roman" w:hAnsi="Times New Roman"/>
                <w:color w:val="000000"/>
                <w:sz w:val="16"/>
                <w:szCs w:val="16"/>
                <w:lang w:val="uk-UA"/>
              </w:rPr>
              <w:t xml:space="preserve">облік </w:t>
            </w:r>
            <w:r w:rsidRPr="00E16672">
              <w:rPr>
                <w:rFonts w:ascii="Times New Roman" w:hAnsi="Times New Roman"/>
                <w:color w:val="000000"/>
                <w:sz w:val="16"/>
                <w:szCs w:val="16"/>
                <w:lang w:val="uk-UA"/>
              </w:rPr>
              <w:t>цінних паперів Депонента</w:t>
            </w:r>
            <w:r w:rsidR="003E2F8C" w:rsidRPr="00E16672">
              <w:rPr>
                <w:rFonts w:ascii="Times New Roman" w:hAnsi="Times New Roman"/>
                <w:color w:val="000000"/>
                <w:sz w:val="16"/>
                <w:szCs w:val="16"/>
                <w:lang w:val="uk-UA"/>
              </w:rPr>
              <w:t xml:space="preserve"> та прав за цінними паперами</w:t>
            </w:r>
            <w:r w:rsidRPr="00E16672">
              <w:rPr>
                <w:rFonts w:ascii="Times New Roman" w:hAnsi="Times New Roman"/>
                <w:color w:val="000000"/>
                <w:sz w:val="16"/>
                <w:szCs w:val="16"/>
                <w:lang w:val="uk-UA"/>
              </w:rPr>
              <w:t xml:space="preserve"> у Депозитарній установі на рахунку </w:t>
            </w:r>
            <w:r w:rsidR="00C22309" w:rsidRPr="00E16672">
              <w:rPr>
                <w:rFonts w:ascii="Times New Roman" w:hAnsi="Times New Roman"/>
                <w:color w:val="000000"/>
                <w:sz w:val="16"/>
                <w:szCs w:val="16"/>
                <w:lang w:val="uk-UA"/>
              </w:rPr>
              <w:t>в цін</w:t>
            </w:r>
            <w:r w:rsidRPr="00E16672">
              <w:rPr>
                <w:rFonts w:ascii="Times New Roman" w:hAnsi="Times New Roman"/>
                <w:color w:val="000000"/>
                <w:sz w:val="16"/>
                <w:szCs w:val="16"/>
                <w:lang w:val="uk-UA"/>
              </w:rPr>
              <w:t>них паперах Депонента.</w:t>
            </w:r>
          </w:p>
          <w:p w14:paraId="13995FA2" w14:textId="77777777" w:rsidR="00933C25" w:rsidRPr="00E16672" w:rsidRDefault="00933C25" w:rsidP="00804E84">
            <w:pPr>
              <w:numPr>
                <w:ilvl w:val="0"/>
                <w:numId w:val="4"/>
              </w:numPr>
              <w:tabs>
                <w:tab w:val="left" w:pos="57"/>
                <w:tab w:val="left" w:pos="417"/>
                <w:tab w:val="left" w:pos="809"/>
              </w:tabs>
              <w:autoSpaceDE w:val="0"/>
              <w:ind w:left="175" w:right="138" w:firstLine="7"/>
              <w:rPr>
                <w:rFonts w:ascii="Times New Roman" w:hAnsi="Times New Roman"/>
                <w:color w:val="000000"/>
                <w:sz w:val="16"/>
                <w:szCs w:val="16"/>
              </w:rPr>
            </w:pPr>
          </w:p>
        </w:tc>
        <w:tc>
          <w:tcPr>
            <w:tcW w:w="5494" w:type="dxa"/>
            <w:gridSpan w:val="7"/>
            <w:shd w:val="clear" w:color="auto" w:fill="auto"/>
          </w:tcPr>
          <w:p w14:paraId="7DF6826B" w14:textId="77777777" w:rsidR="00933C25" w:rsidRPr="00E16672" w:rsidRDefault="00933C25" w:rsidP="00804E84">
            <w:pPr>
              <w:pStyle w:val="210"/>
              <w:tabs>
                <w:tab w:val="left" w:pos="365"/>
              </w:tabs>
              <w:snapToGrid w:val="0"/>
              <w:ind w:left="175" w:right="138" w:firstLine="7"/>
              <w:rPr>
                <w:rFonts w:ascii="Times New Roman" w:hAnsi="Times New Roman"/>
                <w:color w:val="000000"/>
                <w:sz w:val="16"/>
                <w:szCs w:val="16"/>
                <w:lang w:val="ru-RU"/>
              </w:rPr>
            </w:pPr>
          </w:p>
          <w:p w14:paraId="74F64864" w14:textId="77777777" w:rsidR="00933C25" w:rsidRPr="00E16672" w:rsidRDefault="00933C25" w:rsidP="00804E84">
            <w:pPr>
              <w:pStyle w:val="210"/>
              <w:tabs>
                <w:tab w:val="left" w:pos="365"/>
              </w:tabs>
              <w:snapToGrid w:val="0"/>
              <w:ind w:left="175" w:right="100" w:firstLine="7"/>
              <w:rPr>
                <w:rFonts w:ascii="Times New Roman" w:hAnsi="Times New Roman"/>
                <w:color w:val="000000"/>
                <w:sz w:val="16"/>
                <w:szCs w:val="16"/>
                <w:lang w:val="en-GB"/>
              </w:rPr>
            </w:pPr>
            <w:r w:rsidRPr="00E16672">
              <w:rPr>
                <w:rFonts w:ascii="Times New Roman" w:hAnsi="Times New Roman"/>
                <w:color w:val="000000"/>
                <w:sz w:val="16"/>
                <w:szCs w:val="16"/>
                <w:lang w:val="en-GB"/>
              </w:rPr>
              <w:t>5.6. Depository institution shall be liable</w:t>
            </w:r>
            <w:r w:rsidR="003E2F8C" w:rsidRPr="00E16672">
              <w:rPr>
                <w:rFonts w:ascii="Times New Roman" w:hAnsi="Times New Roman"/>
                <w:color w:val="000000"/>
                <w:sz w:val="16"/>
                <w:szCs w:val="16"/>
              </w:rPr>
              <w:t xml:space="preserve"> </w:t>
            </w:r>
            <w:r w:rsidR="003E2F8C" w:rsidRPr="00E16672">
              <w:rPr>
                <w:rFonts w:ascii="Times New Roman" w:hAnsi="Times New Roman"/>
                <w:color w:val="000000"/>
                <w:sz w:val="16"/>
                <w:szCs w:val="16"/>
                <w:lang w:val="en-GB"/>
              </w:rPr>
              <w:t>for</w:t>
            </w:r>
            <w:r w:rsidRPr="00E16672">
              <w:rPr>
                <w:rFonts w:ascii="Times New Roman" w:hAnsi="Times New Roman"/>
                <w:color w:val="000000"/>
                <w:sz w:val="16"/>
                <w:szCs w:val="16"/>
                <w:lang w:val="en-GB"/>
              </w:rPr>
              <w:t>:</w:t>
            </w:r>
          </w:p>
          <w:p w14:paraId="2744188B" w14:textId="77777777" w:rsidR="00933C25" w:rsidRPr="00E16672" w:rsidRDefault="00933C25" w:rsidP="00804E84">
            <w:pPr>
              <w:tabs>
                <w:tab w:val="left" w:pos="0"/>
                <w:tab w:val="left" w:pos="57"/>
                <w:tab w:val="left" w:pos="417"/>
              </w:tabs>
              <w:autoSpaceDE w:val="0"/>
              <w:ind w:left="175" w:right="100" w:firstLine="7"/>
              <w:rPr>
                <w:rFonts w:ascii="Times New Roman" w:hAnsi="Times New Roman"/>
                <w:color w:val="000000"/>
                <w:sz w:val="16"/>
                <w:szCs w:val="16"/>
                <w:lang w:val="en-GB"/>
              </w:rPr>
            </w:pPr>
            <w:r w:rsidRPr="00E16672">
              <w:rPr>
                <w:rFonts w:ascii="Times New Roman" w:hAnsi="Times New Roman"/>
                <w:color w:val="000000"/>
                <w:sz w:val="16"/>
                <w:szCs w:val="16"/>
                <w:lang w:val="en-GB"/>
              </w:rPr>
              <w:t>- providing the confidentiality of the Depositor and of its own securities;</w:t>
            </w:r>
          </w:p>
          <w:p w14:paraId="7A6E5BD8" w14:textId="77777777" w:rsidR="006562C7" w:rsidRPr="00E16672" w:rsidRDefault="006562C7" w:rsidP="00804E84">
            <w:pPr>
              <w:tabs>
                <w:tab w:val="left" w:pos="0"/>
                <w:tab w:val="left" w:pos="57"/>
                <w:tab w:val="left" w:pos="417"/>
              </w:tabs>
              <w:autoSpaceDE w:val="0"/>
              <w:ind w:left="175" w:right="100" w:firstLine="7"/>
              <w:rPr>
                <w:rFonts w:ascii="Times New Roman" w:hAnsi="Times New Roman"/>
                <w:color w:val="000000"/>
                <w:sz w:val="16"/>
                <w:szCs w:val="16"/>
                <w:lang w:val="en-GB"/>
              </w:rPr>
            </w:pPr>
          </w:p>
          <w:p w14:paraId="76C65504" w14:textId="77777777" w:rsidR="00933C25" w:rsidRPr="00E16672" w:rsidRDefault="00933C25" w:rsidP="00804E84">
            <w:pPr>
              <w:tabs>
                <w:tab w:val="left" w:pos="0"/>
                <w:tab w:val="left" w:pos="57"/>
                <w:tab w:val="left" w:pos="417"/>
              </w:tabs>
              <w:autoSpaceDE w:val="0"/>
              <w:ind w:left="175" w:right="100" w:firstLine="7"/>
              <w:rPr>
                <w:rFonts w:ascii="Times New Roman" w:hAnsi="Times New Roman"/>
                <w:color w:val="000000"/>
                <w:sz w:val="16"/>
                <w:szCs w:val="16"/>
                <w:lang w:val="en-GB"/>
              </w:rPr>
            </w:pPr>
            <w:r w:rsidRPr="00E16672">
              <w:rPr>
                <w:rFonts w:ascii="Times New Roman" w:hAnsi="Times New Roman"/>
                <w:color w:val="000000"/>
                <w:sz w:val="16"/>
                <w:szCs w:val="16"/>
                <w:lang w:val="en-GB"/>
              </w:rPr>
              <w:t xml:space="preserve"> - proving the Depositor’s signatures on his orders;</w:t>
            </w:r>
          </w:p>
          <w:p w14:paraId="31B87BDB" w14:textId="77777777" w:rsidR="006562C7" w:rsidRPr="00E16672" w:rsidRDefault="006562C7" w:rsidP="00804E84">
            <w:pPr>
              <w:tabs>
                <w:tab w:val="left" w:pos="0"/>
                <w:tab w:val="left" w:pos="57"/>
                <w:tab w:val="left" w:pos="417"/>
              </w:tabs>
              <w:autoSpaceDE w:val="0"/>
              <w:ind w:left="175" w:right="100" w:firstLine="7"/>
              <w:rPr>
                <w:rFonts w:ascii="Times New Roman" w:hAnsi="Times New Roman"/>
                <w:color w:val="000000"/>
                <w:sz w:val="16"/>
                <w:szCs w:val="16"/>
                <w:lang w:val="en-GB"/>
              </w:rPr>
            </w:pPr>
          </w:p>
          <w:p w14:paraId="0D744EB6" w14:textId="77777777" w:rsidR="00933C25" w:rsidRPr="00E16672" w:rsidRDefault="00933C25" w:rsidP="00804E84">
            <w:pPr>
              <w:tabs>
                <w:tab w:val="left" w:pos="107"/>
                <w:tab w:val="left" w:pos="467"/>
              </w:tabs>
              <w:autoSpaceDE w:val="0"/>
              <w:snapToGrid w:val="0"/>
              <w:ind w:left="175" w:right="100" w:firstLine="7"/>
              <w:rPr>
                <w:rFonts w:ascii="Times New Roman" w:hAnsi="Times New Roman"/>
                <w:color w:val="000000"/>
                <w:sz w:val="16"/>
                <w:szCs w:val="16"/>
                <w:lang w:val="en-GB"/>
              </w:rPr>
            </w:pPr>
            <w:r w:rsidRPr="00E16672">
              <w:rPr>
                <w:rFonts w:ascii="Times New Roman" w:hAnsi="Times New Roman"/>
                <w:color w:val="000000"/>
                <w:sz w:val="16"/>
                <w:szCs w:val="16"/>
                <w:lang w:val="en-GB"/>
              </w:rPr>
              <w:t>-  checking the orders on the validation of filling the written instruction and for another checking according to the current legislation of Ukraine and internal documents of the Depository institution;</w:t>
            </w:r>
          </w:p>
          <w:p w14:paraId="41FC60E7" w14:textId="77777777" w:rsidR="00933C25" w:rsidRPr="00E16672" w:rsidRDefault="00933C25" w:rsidP="00804E84">
            <w:pPr>
              <w:tabs>
                <w:tab w:val="left" w:pos="0"/>
                <w:tab w:val="left" w:pos="57"/>
                <w:tab w:val="left" w:pos="417"/>
              </w:tabs>
              <w:autoSpaceDE w:val="0"/>
              <w:ind w:left="175" w:right="100" w:firstLine="7"/>
              <w:rPr>
                <w:rFonts w:ascii="Times New Roman" w:hAnsi="Times New Roman"/>
                <w:color w:val="000000"/>
                <w:sz w:val="16"/>
                <w:szCs w:val="16"/>
                <w:lang w:val="en-GB"/>
              </w:rPr>
            </w:pPr>
            <w:r w:rsidRPr="00E16672">
              <w:rPr>
                <w:rFonts w:ascii="Times New Roman" w:hAnsi="Times New Roman"/>
                <w:color w:val="000000"/>
                <w:sz w:val="16"/>
                <w:szCs w:val="16"/>
                <w:lang w:val="en-GB"/>
              </w:rPr>
              <w:t xml:space="preserve">-  correct execution of the Depositor’s orders </w:t>
            </w:r>
            <w:r w:rsidR="003E2F8C" w:rsidRPr="00F23413">
              <w:rPr>
                <w:rFonts w:ascii="Times New Roman" w:hAnsi="Times New Roman"/>
                <w:sz w:val="16"/>
                <w:szCs w:val="16"/>
                <w:lang w:val="en-US"/>
              </w:rPr>
              <w:t>in accordance with</w:t>
            </w:r>
            <w:r w:rsidR="003E2F8C" w:rsidRPr="00E16672">
              <w:rPr>
                <w:rFonts w:ascii="Times New Roman" w:hAnsi="Times New Roman"/>
                <w:color w:val="000000"/>
                <w:sz w:val="16"/>
                <w:szCs w:val="16"/>
                <w:lang w:val="en-GB"/>
              </w:rPr>
              <w:t xml:space="preserve"> </w:t>
            </w:r>
            <w:r w:rsidRPr="00E16672">
              <w:rPr>
                <w:rFonts w:ascii="Times New Roman" w:hAnsi="Times New Roman"/>
                <w:color w:val="000000"/>
                <w:sz w:val="16"/>
                <w:szCs w:val="16"/>
                <w:lang w:val="en-GB"/>
              </w:rPr>
              <w:t>the current legislation of Ukraine;</w:t>
            </w:r>
          </w:p>
          <w:p w14:paraId="0A1E4E05" w14:textId="77777777" w:rsidR="00933C25" w:rsidRPr="00E16672" w:rsidRDefault="00933C25" w:rsidP="00804E84">
            <w:pPr>
              <w:ind w:left="175" w:right="100" w:firstLine="7"/>
              <w:rPr>
                <w:rFonts w:ascii="Times New Roman" w:hAnsi="Times New Roman"/>
                <w:color w:val="000000"/>
                <w:sz w:val="16"/>
                <w:szCs w:val="16"/>
                <w:lang w:val="en-US"/>
              </w:rPr>
            </w:pPr>
            <w:r w:rsidRPr="00E16672">
              <w:rPr>
                <w:rFonts w:ascii="Times New Roman" w:hAnsi="Times New Roman"/>
                <w:color w:val="000000"/>
                <w:sz w:val="16"/>
                <w:szCs w:val="16"/>
                <w:lang w:val="en-GB"/>
              </w:rPr>
              <w:t xml:space="preserve">- compliance with accounting rules in carrying out their duties, </w:t>
            </w:r>
            <w:r w:rsidRPr="00E16672">
              <w:rPr>
                <w:rFonts w:ascii="Times New Roman" w:hAnsi="Times New Roman"/>
                <w:color w:val="000000"/>
                <w:sz w:val="16"/>
                <w:szCs w:val="16"/>
                <w:lang w:val="en-US"/>
              </w:rPr>
              <w:t xml:space="preserve">correctness of </w:t>
            </w:r>
            <w:r w:rsidRPr="00E16672">
              <w:rPr>
                <w:rFonts w:ascii="Times New Roman" w:hAnsi="Times New Roman"/>
                <w:color w:val="000000"/>
                <w:sz w:val="16"/>
                <w:szCs w:val="16"/>
                <w:lang w:val="en-GB"/>
              </w:rPr>
              <w:t>recording on a securities account;</w:t>
            </w:r>
          </w:p>
          <w:p w14:paraId="47A3CFF6" w14:textId="77777777" w:rsidR="00933C25" w:rsidRPr="00E16672" w:rsidRDefault="00933C25" w:rsidP="00804E84">
            <w:pPr>
              <w:tabs>
                <w:tab w:val="left" w:pos="148"/>
                <w:tab w:val="left" w:pos="417"/>
              </w:tabs>
              <w:autoSpaceDE w:val="0"/>
              <w:ind w:left="175" w:right="100" w:firstLine="7"/>
              <w:rPr>
                <w:rFonts w:ascii="Times New Roman" w:hAnsi="Times New Roman"/>
                <w:color w:val="000000"/>
                <w:sz w:val="16"/>
                <w:szCs w:val="16"/>
                <w:lang w:val="en-GB"/>
              </w:rPr>
            </w:pPr>
            <w:r w:rsidRPr="00E16672">
              <w:rPr>
                <w:rFonts w:ascii="Times New Roman" w:hAnsi="Times New Roman"/>
                <w:color w:val="000000"/>
                <w:sz w:val="16"/>
                <w:szCs w:val="16"/>
                <w:lang w:val="en-GB"/>
              </w:rPr>
              <w:t xml:space="preserve">- </w:t>
            </w:r>
            <w:r w:rsidR="003E2F8C" w:rsidRPr="00F23413">
              <w:rPr>
                <w:rStyle w:val="shorttext"/>
                <w:rFonts w:ascii="Times New Roman" w:hAnsi="Times New Roman"/>
                <w:sz w:val="16"/>
                <w:szCs w:val="16"/>
                <w:lang w:val="en-US"/>
              </w:rPr>
              <w:t>accounting</w:t>
            </w:r>
            <w:r w:rsidR="003E2F8C" w:rsidRPr="00E16672" w:rsidDel="003E2F8C">
              <w:rPr>
                <w:rFonts w:ascii="Times New Roman" w:hAnsi="Times New Roman"/>
                <w:color w:val="000000"/>
                <w:sz w:val="16"/>
                <w:szCs w:val="16"/>
                <w:lang w:val="en-GB"/>
              </w:rPr>
              <w:t xml:space="preserve"> </w:t>
            </w:r>
            <w:r w:rsidR="00D534B0" w:rsidRPr="00E16672">
              <w:rPr>
                <w:rFonts w:ascii="Times New Roman" w:hAnsi="Times New Roman"/>
                <w:color w:val="000000"/>
                <w:sz w:val="16"/>
                <w:szCs w:val="16"/>
                <w:lang w:val="en-GB"/>
              </w:rPr>
              <w:t xml:space="preserve">the Depositor’s securities </w:t>
            </w:r>
            <w:r w:rsidR="003E2F8C" w:rsidRPr="00F23413">
              <w:rPr>
                <w:rStyle w:val="shorttext"/>
                <w:rFonts w:ascii="Times New Roman" w:hAnsi="Times New Roman"/>
                <w:sz w:val="16"/>
                <w:szCs w:val="16"/>
                <w:lang w:val="en-US"/>
              </w:rPr>
              <w:t>and securities rights</w:t>
            </w:r>
            <w:r w:rsidR="00D534B0" w:rsidRPr="00E16672">
              <w:rPr>
                <w:rFonts w:ascii="Times New Roman" w:hAnsi="Times New Roman"/>
                <w:color w:val="000000"/>
                <w:sz w:val="16"/>
                <w:szCs w:val="16"/>
                <w:lang w:val="en-GB"/>
              </w:rPr>
              <w:t xml:space="preserve"> in Depository institution on Depositor’s account in securities</w:t>
            </w:r>
            <w:r w:rsidRPr="00E16672">
              <w:rPr>
                <w:rFonts w:ascii="Times New Roman" w:hAnsi="Times New Roman"/>
                <w:color w:val="000000"/>
                <w:sz w:val="16"/>
                <w:szCs w:val="16"/>
                <w:lang w:val="en-GB"/>
              </w:rPr>
              <w:t>.</w:t>
            </w:r>
          </w:p>
        </w:tc>
      </w:tr>
      <w:tr w:rsidR="00933C25" w:rsidRPr="00F23413" w14:paraId="0A791726" w14:textId="77777777" w:rsidTr="00D77858">
        <w:tblPrEx>
          <w:tblCellMar>
            <w:left w:w="0" w:type="dxa"/>
            <w:right w:w="0" w:type="dxa"/>
          </w:tblCellMar>
        </w:tblPrEx>
        <w:trPr>
          <w:trHeight w:val="192"/>
        </w:trPr>
        <w:tc>
          <w:tcPr>
            <w:tcW w:w="5696" w:type="dxa"/>
            <w:gridSpan w:val="6"/>
            <w:shd w:val="clear" w:color="auto" w:fill="auto"/>
          </w:tcPr>
          <w:p w14:paraId="7D79C807" w14:textId="77777777" w:rsidR="003E2F8C" w:rsidRPr="00E16672" w:rsidRDefault="00933C25" w:rsidP="00804E84">
            <w:pPr>
              <w:widowControl w:val="0"/>
              <w:snapToGrid w:val="0"/>
              <w:ind w:left="175" w:right="138" w:firstLine="7"/>
              <w:rPr>
                <w:rFonts w:ascii="Times New Roman" w:hAnsi="Times New Roman"/>
                <w:sz w:val="16"/>
                <w:szCs w:val="16"/>
                <w:lang w:val="uk-UA"/>
              </w:rPr>
            </w:pPr>
            <w:r w:rsidRPr="00E16672">
              <w:rPr>
                <w:rFonts w:ascii="Times New Roman" w:hAnsi="Times New Roman"/>
                <w:sz w:val="16"/>
                <w:szCs w:val="16"/>
              </w:rPr>
              <w:t xml:space="preserve">5.7. </w:t>
            </w:r>
            <w:proofErr w:type="spellStart"/>
            <w:r w:rsidRPr="00E16672">
              <w:rPr>
                <w:rFonts w:ascii="Times New Roman" w:hAnsi="Times New Roman"/>
                <w:sz w:val="16"/>
                <w:szCs w:val="16"/>
              </w:rPr>
              <w:t>Депозитарна</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установа</w:t>
            </w:r>
            <w:proofErr w:type="spellEnd"/>
            <w:r w:rsidRPr="00E16672">
              <w:rPr>
                <w:rFonts w:ascii="Times New Roman" w:hAnsi="Times New Roman"/>
                <w:sz w:val="16"/>
                <w:szCs w:val="16"/>
              </w:rPr>
              <w:t xml:space="preserve"> не </w:t>
            </w:r>
            <w:proofErr w:type="spellStart"/>
            <w:r w:rsidRPr="00E16672">
              <w:rPr>
                <w:rFonts w:ascii="Times New Roman" w:hAnsi="Times New Roman"/>
                <w:sz w:val="16"/>
                <w:szCs w:val="16"/>
              </w:rPr>
              <w:t>несе</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відповідальності</w:t>
            </w:r>
            <w:proofErr w:type="spellEnd"/>
            <w:r w:rsidRPr="00E16672">
              <w:rPr>
                <w:rFonts w:ascii="Times New Roman" w:hAnsi="Times New Roman"/>
                <w:sz w:val="16"/>
                <w:szCs w:val="16"/>
              </w:rPr>
              <w:t xml:space="preserve"> перед Депонентом за</w:t>
            </w:r>
            <w:r w:rsidR="003E2F8C" w:rsidRPr="00E16672">
              <w:rPr>
                <w:rFonts w:ascii="Times New Roman" w:hAnsi="Times New Roman"/>
                <w:sz w:val="16"/>
                <w:szCs w:val="16"/>
                <w:lang w:val="uk-UA"/>
              </w:rPr>
              <w:t>:</w:t>
            </w:r>
          </w:p>
          <w:p w14:paraId="43FBA443" w14:textId="77777777" w:rsidR="00933C25" w:rsidRPr="00E16672" w:rsidRDefault="00933C25" w:rsidP="000D0438">
            <w:pPr>
              <w:widowControl w:val="0"/>
              <w:numPr>
                <w:ilvl w:val="0"/>
                <w:numId w:val="14"/>
              </w:numPr>
              <w:snapToGrid w:val="0"/>
              <w:ind w:left="175" w:right="138" w:firstLine="7"/>
              <w:rPr>
                <w:rFonts w:ascii="Times New Roman" w:hAnsi="Times New Roman"/>
                <w:sz w:val="16"/>
                <w:szCs w:val="16"/>
                <w:lang w:val="uk-UA"/>
              </w:rPr>
            </w:pPr>
            <w:r w:rsidRPr="00E16672">
              <w:rPr>
                <w:rFonts w:ascii="Times New Roman" w:hAnsi="Times New Roman"/>
                <w:sz w:val="16"/>
                <w:szCs w:val="16"/>
                <w:lang w:val="uk-UA"/>
              </w:rPr>
              <w:t>шкоду, заподіяну діями або бездіяльністю Депозитарної установи, якщо ці дії (бездіяльність) здійснювались Депозитарною установою за письмовими розпорядженнями Депонента, виникли внаслідок дій (бездіяльності) інших учасників депозитарної системи</w:t>
            </w:r>
            <w:r w:rsidR="003E2F8C" w:rsidRPr="00E16672">
              <w:rPr>
                <w:rFonts w:ascii="Times New Roman" w:hAnsi="Times New Roman"/>
                <w:sz w:val="16"/>
                <w:szCs w:val="16"/>
                <w:lang w:val="uk-UA"/>
              </w:rPr>
              <w:t>;</w:t>
            </w:r>
          </w:p>
          <w:p w14:paraId="27D97196" w14:textId="77777777" w:rsidR="003E2F8C" w:rsidRPr="00E16672" w:rsidRDefault="003E2F8C" w:rsidP="000D0438">
            <w:pPr>
              <w:numPr>
                <w:ilvl w:val="0"/>
                <w:numId w:val="14"/>
              </w:numPr>
              <w:ind w:left="175" w:firstLine="7"/>
              <w:rPr>
                <w:rStyle w:val="rvts0"/>
                <w:rFonts w:ascii="Times New Roman" w:hAnsi="Times New Roman"/>
                <w:color w:val="000000"/>
                <w:sz w:val="16"/>
                <w:szCs w:val="16"/>
                <w:lang w:val="uk-UA"/>
              </w:rPr>
            </w:pPr>
            <w:r w:rsidRPr="00E16672">
              <w:rPr>
                <w:rFonts w:ascii="Times New Roman" w:hAnsi="Times New Roman"/>
                <w:color w:val="000000"/>
                <w:sz w:val="16"/>
                <w:szCs w:val="16"/>
                <w:lang w:val="uk-UA"/>
              </w:rPr>
              <w:t xml:space="preserve">суми та порядок нарахування емітентом </w:t>
            </w:r>
            <w:r w:rsidRPr="00E16672">
              <w:rPr>
                <w:rStyle w:val="rvts0"/>
                <w:rFonts w:ascii="Times New Roman" w:hAnsi="Times New Roman"/>
                <w:sz w:val="16"/>
                <w:szCs w:val="16"/>
                <w:lang w:val="uk-UA"/>
              </w:rPr>
              <w:t>виплат доходу та інших виплат, що здійснюються (здійснювалися) відповідно до закону, за цінними паперами, права на які обліковуються на рахунку в цінних паперах Депонента, що надаються Депозитарній установі для виплат Депоненту;</w:t>
            </w:r>
          </w:p>
          <w:p w14:paraId="5BE759C3" w14:textId="77777777" w:rsidR="003E2F8C" w:rsidRPr="00E16672" w:rsidRDefault="003E2F8C" w:rsidP="000D0438">
            <w:pPr>
              <w:numPr>
                <w:ilvl w:val="0"/>
                <w:numId w:val="14"/>
              </w:numPr>
              <w:ind w:left="175" w:firstLine="7"/>
              <w:rPr>
                <w:rFonts w:ascii="Times New Roman" w:hAnsi="Times New Roman"/>
                <w:sz w:val="16"/>
                <w:szCs w:val="16"/>
                <w:lang w:val="uk-UA"/>
              </w:rPr>
            </w:pPr>
            <w:r w:rsidRPr="00E16672">
              <w:rPr>
                <w:rFonts w:ascii="Times New Roman" w:hAnsi="Times New Roman"/>
                <w:color w:val="000000"/>
                <w:sz w:val="16"/>
                <w:szCs w:val="16"/>
                <w:lang w:val="uk-UA"/>
              </w:rPr>
              <w:t xml:space="preserve">неможливість перерахувати, не перерахування, несвоєчасне перерахування </w:t>
            </w:r>
            <w:r w:rsidRPr="00E16672">
              <w:rPr>
                <w:rStyle w:val="rvts0"/>
                <w:rFonts w:ascii="Times New Roman" w:hAnsi="Times New Roman"/>
                <w:sz w:val="16"/>
                <w:szCs w:val="16"/>
                <w:lang w:val="uk-UA"/>
              </w:rPr>
              <w:t>виплат доходу та інших виплат, що здійснюються (здійснювалися) відповідно до закону, за цінними паперами, права на які обліковуються на рахунку в цінних паперах Депонента, на банківський рахунок Депонента або поштовим переказом на поштову адресу Депонента – у разі відсутності на рахунку в цінних паперах інформації, необхідної для здійснення перерахування зазначених коштів, або недостовірності такої інформації.</w:t>
            </w:r>
          </w:p>
        </w:tc>
        <w:tc>
          <w:tcPr>
            <w:tcW w:w="5494" w:type="dxa"/>
            <w:gridSpan w:val="7"/>
            <w:shd w:val="clear" w:color="auto" w:fill="auto"/>
          </w:tcPr>
          <w:p w14:paraId="556B789D" w14:textId="77777777" w:rsidR="003E2F8C" w:rsidRPr="00E16672" w:rsidRDefault="00933C25" w:rsidP="00804E84">
            <w:pPr>
              <w:tabs>
                <w:tab w:val="left" w:pos="0"/>
                <w:tab w:val="left" w:pos="574"/>
              </w:tabs>
              <w:autoSpaceDE w:val="0"/>
              <w:snapToGrid w:val="0"/>
              <w:ind w:left="175" w:right="138" w:firstLine="7"/>
              <w:rPr>
                <w:rFonts w:ascii="Times New Roman" w:hAnsi="Times New Roman"/>
                <w:sz w:val="16"/>
                <w:szCs w:val="16"/>
                <w:lang w:val="uk-UA"/>
              </w:rPr>
            </w:pPr>
            <w:r w:rsidRPr="00E16672">
              <w:rPr>
                <w:rFonts w:ascii="Times New Roman" w:hAnsi="Times New Roman"/>
                <w:sz w:val="16"/>
                <w:szCs w:val="16"/>
                <w:lang w:val="uk-UA"/>
              </w:rPr>
              <w:t xml:space="preserve"> </w:t>
            </w:r>
            <w:r w:rsidRPr="00E16672">
              <w:rPr>
                <w:rFonts w:ascii="Times New Roman" w:hAnsi="Times New Roman"/>
                <w:sz w:val="16"/>
                <w:szCs w:val="16"/>
                <w:lang w:val="en-GB"/>
              </w:rPr>
              <w:t xml:space="preserve">5.7. Depository institution is not liable to the </w:t>
            </w:r>
            <w:r w:rsidRPr="00E16672">
              <w:rPr>
                <w:rFonts w:ascii="Times New Roman" w:hAnsi="Times New Roman"/>
                <w:sz w:val="16"/>
                <w:szCs w:val="16"/>
                <w:lang w:val="en-US"/>
              </w:rPr>
              <w:t>D</w:t>
            </w:r>
            <w:proofErr w:type="spellStart"/>
            <w:r w:rsidRPr="00E16672">
              <w:rPr>
                <w:rFonts w:ascii="Times New Roman" w:hAnsi="Times New Roman"/>
                <w:sz w:val="16"/>
                <w:szCs w:val="16"/>
                <w:lang w:val="en-GB"/>
              </w:rPr>
              <w:t>epositor</w:t>
            </w:r>
            <w:proofErr w:type="spellEnd"/>
            <w:r w:rsidRPr="00E16672">
              <w:rPr>
                <w:rFonts w:ascii="Times New Roman" w:hAnsi="Times New Roman"/>
                <w:sz w:val="16"/>
                <w:szCs w:val="16"/>
                <w:lang w:val="en-GB"/>
              </w:rPr>
              <w:t xml:space="preserve"> for</w:t>
            </w:r>
            <w:r w:rsidR="003E2F8C" w:rsidRPr="00E16672">
              <w:rPr>
                <w:rFonts w:ascii="Times New Roman" w:hAnsi="Times New Roman"/>
                <w:sz w:val="16"/>
                <w:szCs w:val="16"/>
                <w:lang w:val="uk-UA"/>
              </w:rPr>
              <w:t>:</w:t>
            </w:r>
          </w:p>
          <w:p w14:paraId="16FEF2A8" w14:textId="77777777" w:rsidR="00933C25" w:rsidRPr="00E16672" w:rsidRDefault="00933C25" w:rsidP="000D0438">
            <w:pPr>
              <w:numPr>
                <w:ilvl w:val="0"/>
                <w:numId w:val="15"/>
              </w:numPr>
              <w:tabs>
                <w:tab w:val="left" w:pos="148"/>
                <w:tab w:val="left" w:pos="574"/>
              </w:tabs>
              <w:autoSpaceDE w:val="0"/>
              <w:snapToGrid w:val="0"/>
              <w:ind w:left="175" w:right="138" w:firstLine="7"/>
              <w:rPr>
                <w:rFonts w:ascii="Times New Roman" w:hAnsi="Times New Roman"/>
                <w:sz w:val="16"/>
                <w:szCs w:val="16"/>
                <w:lang w:val="en-GB"/>
              </w:rPr>
            </w:pPr>
            <w:r w:rsidRPr="00E16672">
              <w:rPr>
                <w:rFonts w:ascii="Times New Roman" w:hAnsi="Times New Roman"/>
                <w:sz w:val="16"/>
                <w:szCs w:val="16"/>
                <w:lang w:val="en-GB"/>
              </w:rPr>
              <w:t xml:space="preserve">damages caused by acts or omissions of the </w:t>
            </w:r>
            <w:r w:rsidRPr="00E16672">
              <w:rPr>
                <w:rFonts w:ascii="Times New Roman" w:hAnsi="Times New Roman"/>
                <w:sz w:val="16"/>
                <w:szCs w:val="16"/>
                <w:lang w:val="en-US"/>
              </w:rPr>
              <w:t>D</w:t>
            </w:r>
            <w:proofErr w:type="spellStart"/>
            <w:r w:rsidRPr="00E16672">
              <w:rPr>
                <w:rFonts w:ascii="Times New Roman" w:hAnsi="Times New Roman"/>
                <w:sz w:val="16"/>
                <w:szCs w:val="16"/>
                <w:lang w:val="en-GB"/>
              </w:rPr>
              <w:t>epository</w:t>
            </w:r>
            <w:proofErr w:type="spellEnd"/>
            <w:r w:rsidRPr="00E16672">
              <w:rPr>
                <w:rFonts w:ascii="Times New Roman" w:hAnsi="Times New Roman"/>
                <w:sz w:val="16"/>
                <w:szCs w:val="16"/>
                <w:lang w:val="en-GB"/>
              </w:rPr>
              <w:t xml:space="preserve"> institution, if such actions (omissions) were made </w:t>
            </w:r>
            <w:r w:rsidRPr="00E16672">
              <w:rPr>
                <w:rFonts w:ascii="Times New Roman" w:hAnsi="Times New Roman"/>
                <w:sz w:val="16"/>
                <w:szCs w:val="16"/>
                <w:lang w:val="en-US"/>
              </w:rPr>
              <w:t>D</w:t>
            </w:r>
            <w:proofErr w:type="spellStart"/>
            <w:r w:rsidRPr="00E16672">
              <w:rPr>
                <w:rFonts w:ascii="Times New Roman" w:hAnsi="Times New Roman"/>
                <w:sz w:val="16"/>
                <w:szCs w:val="16"/>
                <w:lang w:val="en-GB"/>
              </w:rPr>
              <w:t>epository</w:t>
            </w:r>
            <w:proofErr w:type="spellEnd"/>
            <w:r w:rsidRPr="00E16672">
              <w:rPr>
                <w:rFonts w:ascii="Times New Roman" w:hAnsi="Times New Roman"/>
                <w:sz w:val="16"/>
                <w:szCs w:val="16"/>
                <w:lang w:val="en-GB"/>
              </w:rPr>
              <w:t xml:space="preserve"> </w:t>
            </w:r>
            <w:proofErr w:type="gramStart"/>
            <w:r w:rsidRPr="00E16672">
              <w:rPr>
                <w:rFonts w:ascii="Times New Roman" w:hAnsi="Times New Roman"/>
                <w:sz w:val="16"/>
                <w:szCs w:val="16"/>
                <w:lang w:val="en-GB"/>
              </w:rPr>
              <w:t xml:space="preserve">institution </w:t>
            </w:r>
            <w:r w:rsidRPr="00E16672">
              <w:rPr>
                <w:rFonts w:ascii="Times New Roman" w:hAnsi="Times New Roman"/>
                <w:sz w:val="16"/>
                <w:szCs w:val="16"/>
                <w:lang w:val="en-US"/>
              </w:rPr>
              <w:t xml:space="preserve"> by</w:t>
            </w:r>
            <w:proofErr w:type="gramEnd"/>
            <w:r w:rsidRPr="00E16672">
              <w:rPr>
                <w:rFonts w:ascii="Times New Roman" w:hAnsi="Times New Roman"/>
                <w:sz w:val="16"/>
                <w:szCs w:val="16"/>
                <w:lang w:val="en-US"/>
              </w:rPr>
              <w:t xml:space="preserve"> </w:t>
            </w:r>
            <w:r w:rsidRPr="00E16672">
              <w:rPr>
                <w:rFonts w:ascii="Times New Roman" w:hAnsi="Times New Roman"/>
                <w:sz w:val="16"/>
                <w:szCs w:val="16"/>
                <w:lang w:val="en-GB"/>
              </w:rPr>
              <w:t>the written order of the Depositor, resulting from actions (inaction) of other participants in the depository system</w:t>
            </w:r>
            <w:r w:rsidR="0096550B" w:rsidRPr="00E16672">
              <w:rPr>
                <w:rFonts w:ascii="Times New Roman" w:hAnsi="Times New Roman"/>
                <w:sz w:val="16"/>
                <w:szCs w:val="16"/>
                <w:lang w:val="uk-UA"/>
              </w:rPr>
              <w:t>;</w:t>
            </w:r>
          </w:p>
          <w:p w14:paraId="4DAFE5C8" w14:textId="77777777" w:rsidR="00900457" w:rsidRPr="00E16672" w:rsidRDefault="00900457" w:rsidP="000D0438">
            <w:pPr>
              <w:numPr>
                <w:ilvl w:val="0"/>
                <w:numId w:val="15"/>
              </w:numPr>
              <w:tabs>
                <w:tab w:val="left" w:pos="148"/>
                <w:tab w:val="left" w:pos="574"/>
              </w:tabs>
              <w:autoSpaceDE w:val="0"/>
              <w:snapToGrid w:val="0"/>
              <w:ind w:left="175" w:right="138" w:firstLine="7"/>
              <w:rPr>
                <w:rFonts w:ascii="Times New Roman" w:hAnsi="Times New Roman"/>
                <w:sz w:val="16"/>
                <w:szCs w:val="16"/>
                <w:lang w:val="en-GB"/>
              </w:rPr>
            </w:pPr>
            <w:r w:rsidRPr="00F23413">
              <w:rPr>
                <w:rFonts w:ascii="Times New Roman" w:hAnsi="Times New Roman"/>
                <w:sz w:val="16"/>
                <w:szCs w:val="16"/>
                <w:lang w:val="en-US"/>
              </w:rPr>
              <w:t>amounts and procedure for accrual by the issuer of payments of income and other payments made (carried out) in accordance with the law, for securities registered in the Securities account of the Depositor to be provided to the Depositary institution for payment to the Depositor;</w:t>
            </w:r>
          </w:p>
          <w:p w14:paraId="700EFFD2" w14:textId="77777777" w:rsidR="0096550B" w:rsidRPr="00E16672" w:rsidRDefault="00900457" w:rsidP="00804E84">
            <w:pPr>
              <w:tabs>
                <w:tab w:val="left" w:pos="148"/>
                <w:tab w:val="left" w:pos="574"/>
              </w:tabs>
              <w:autoSpaceDE w:val="0"/>
              <w:snapToGrid w:val="0"/>
              <w:ind w:left="175" w:right="138" w:firstLine="7"/>
              <w:rPr>
                <w:rFonts w:ascii="Times New Roman" w:hAnsi="Times New Roman"/>
                <w:sz w:val="16"/>
                <w:szCs w:val="16"/>
                <w:lang w:val="en-GB"/>
              </w:rPr>
            </w:pPr>
            <w:r w:rsidRPr="00E16672">
              <w:rPr>
                <w:rFonts w:ascii="Times New Roman" w:hAnsi="Times New Roman"/>
                <w:sz w:val="16"/>
                <w:szCs w:val="16"/>
              </w:rPr>
              <w:sym w:font="Symbol" w:char="F02D"/>
            </w:r>
            <w:r w:rsidRPr="00F23413">
              <w:rPr>
                <w:rFonts w:ascii="Times New Roman" w:hAnsi="Times New Roman"/>
                <w:sz w:val="16"/>
                <w:szCs w:val="16"/>
                <w:lang w:val="en-US"/>
              </w:rPr>
              <w:t xml:space="preserve"> impossibility to transfer, not transfer, untimely transfer of payment of income and other payments made (carried out) in accordance with the law, for securities registered in the securities account of the Depositor, to the Depositor's bank account or by postal transfer to the Depositor's mailing address - in the absence of the information in the securities account necessary for the transfer of these funds, or the unreliability of such information.</w:t>
            </w:r>
          </w:p>
        </w:tc>
      </w:tr>
      <w:tr w:rsidR="00933C25" w:rsidRPr="00F23413" w14:paraId="1640C9FC" w14:textId="77777777" w:rsidTr="00D77858">
        <w:tblPrEx>
          <w:tblCellMar>
            <w:left w:w="0" w:type="dxa"/>
            <w:right w:w="0" w:type="dxa"/>
          </w:tblCellMar>
        </w:tblPrEx>
        <w:trPr>
          <w:trHeight w:val="966"/>
        </w:trPr>
        <w:tc>
          <w:tcPr>
            <w:tcW w:w="5696" w:type="dxa"/>
            <w:gridSpan w:val="6"/>
            <w:shd w:val="clear" w:color="auto" w:fill="auto"/>
          </w:tcPr>
          <w:p w14:paraId="6279CA05" w14:textId="77777777" w:rsidR="00933C25" w:rsidRPr="00E16672" w:rsidRDefault="00933C25" w:rsidP="00804E84">
            <w:pPr>
              <w:snapToGrid w:val="0"/>
              <w:ind w:left="175" w:right="138" w:firstLine="7"/>
              <w:rPr>
                <w:rFonts w:ascii="Times New Roman" w:hAnsi="Times New Roman"/>
                <w:sz w:val="16"/>
                <w:szCs w:val="16"/>
                <w:lang w:val="en-US"/>
              </w:rPr>
            </w:pPr>
          </w:p>
          <w:p w14:paraId="75480B03" w14:textId="77777777" w:rsidR="001A2A82" w:rsidRPr="00E16672" w:rsidRDefault="00933C25" w:rsidP="00804E84">
            <w:pPr>
              <w:ind w:left="175" w:right="138" w:firstLine="7"/>
              <w:rPr>
                <w:rFonts w:ascii="Times New Roman" w:hAnsi="Times New Roman"/>
                <w:sz w:val="16"/>
                <w:szCs w:val="16"/>
                <w:lang w:val="uk-UA"/>
              </w:rPr>
            </w:pPr>
            <w:r w:rsidRPr="00E16672">
              <w:rPr>
                <w:rFonts w:ascii="Times New Roman" w:hAnsi="Times New Roman"/>
                <w:sz w:val="16"/>
                <w:szCs w:val="16"/>
              </w:rPr>
              <w:t xml:space="preserve">5.8. Депонент </w:t>
            </w:r>
            <w:proofErr w:type="spellStart"/>
            <w:r w:rsidRPr="00E16672">
              <w:rPr>
                <w:rFonts w:ascii="Times New Roman" w:hAnsi="Times New Roman"/>
                <w:sz w:val="16"/>
                <w:szCs w:val="16"/>
              </w:rPr>
              <w:t>несе</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вiдповiдальнiсть</w:t>
            </w:r>
            <w:proofErr w:type="spellEnd"/>
            <w:r w:rsidRPr="00E16672">
              <w:rPr>
                <w:rFonts w:ascii="Times New Roman" w:hAnsi="Times New Roman"/>
                <w:sz w:val="16"/>
                <w:szCs w:val="16"/>
              </w:rPr>
              <w:t xml:space="preserve"> за</w:t>
            </w:r>
            <w:r w:rsidR="001A2A82" w:rsidRPr="00E16672">
              <w:rPr>
                <w:rFonts w:ascii="Times New Roman" w:hAnsi="Times New Roman"/>
                <w:sz w:val="16"/>
                <w:szCs w:val="16"/>
                <w:lang w:val="uk-UA"/>
              </w:rPr>
              <w:t>:</w:t>
            </w:r>
          </w:p>
          <w:p w14:paraId="67DB7330" w14:textId="77777777" w:rsidR="001A2A82" w:rsidRPr="00E16672" w:rsidRDefault="00933C25" w:rsidP="000D0438">
            <w:pPr>
              <w:numPr>
                <w:ilvl w:val="0"/>
                <w:numId w:val="15"/>
              </w:numPr>
              <w:tabs>
                <w:tab w:val="left" w:pos="319"/>
              </w:tabs>
              <w:ind w:left="175" w:right="138" w:firstLine="7"/>
              <w:rPr>
                <w:rFonts w:ascii="Times New Roman" w:hAnsi="Times New Roman"/>
                <w:sz w:val="16"/>
                <w:szCs w:val="16"/>
              </w:rPr>
            </w:pPr>
            <w:proofErr w:type="spellStart"/>
            <w:r w:rsidRPr="00E16672">
              <w:rPr>
                <w:rFonts w:ascii="Times New Roman" w:hAnsi="Times New Roman"/>
                <w:sz w:val="16"/>
                <w:szCs w:val="16"/>
              </w:rPr>
              <w:t>власні</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дії</w:t>
            </w:r>
            <w:proofErr w:type="spellEnd"/>
            <w:r w:rsidRPr="00E16672">
              <w:rPr>
                <w:rFonts w:ascii="Times New Roman" w:hAnsi="Times New Roman"/>
                <w:sz w:val="16"/>
                <w:szCs w:val="16"/>
              </w:rPr>
              <w:t xml:space="preserve">, за </w:t>
            </w:r>
            <w:proofErr w:type="spellStart"/>
            <w:r w:rsidRPr="00E16672">
              <w:rPr>
                <w:rFonts w:ascii="Times New Roman" w:hAnsi="Times New Roman"/>
                <w:sz w:val="16"/>
                <w:szCs w:val="16"/>
              </w:rPr>
              <w:t>всі</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дії</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його</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уповноважених</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осіб</w:t>
            </w:r>
            <w:proofErr w:type="spellEnd"/>
            <w:r w:rsidRPr="00E16672">
              <w:rPr>
                <w:rFonts w:ascii="Times New Roman" w:hAnsi="Times New Roman"/>
                <w:sz w:val="16"/>
                <w:szCs w:val="16"/>
              </w:rPr>
              <w:t xml:space="preserve"> та </w:t>
            </w:r>
            <w:proofErr w:type="spellStart"/>
            <w:r w:rsidRPr="00E16672">
              <w:rPr>
                <w:rFonts w:ascii="Times New Roman" w:hAnsi="Times New Roman"/>
                <w:sz w:val="16"/>
                <w:szCs w:val="16"/>
              </w:rPr>
              <w:t>розпорядників</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рахунків</w:t>
            </w:r>
            <w:proofErr w:type="spellEnd"/>
            <w:r w:rsidRPr="00E16672">
              <w:rPr>
                <w:rFonts w:ascii="Times New Roman" w:hAnsi="Times New Roman"/>
                <w:sz w:val="16"/>
                <w:szCs w:val="16"/>
              </w:rPr>
              <w:t xml:space="preserve">, а </w:t>
            </w:r>
            <w:proofErr w:type="spellStart"/>
            <w:r w:rsidRPr="00E16672">
              <w:rPr>
                <w:rFonts w:ascii="Times New Roman" w:hAnsi="Times New Roman"/>
                <w:sz w:val="16"/>
                <w:szCs w:val="16"/>
              </w:rPr>
              <w:t>також</w:t>
            </w:r>
            <w:proofErr w:type="spellEnd"/>
            <w:r w:rsidRPr="00E16672">
              <w:rPr>
                <w:rFonts w:ascii="Times New Roman" w:hAnsi="Times New Roman"/>
                <w:sz w:val="16"/>
                <w:szCs w:val="16"/>
              </w:rPr>
              <w:t xml:space="preserve"> за </w:t>
            </w:r>
            <w:proofErr w:type="spellStart"/>
            <w:r w:rsidRPr="00E16672">
              <w:rPr>
                <w:rFonts w:ascii="Times New Roman" w:hAnsi="Times New Roman"/>
                <w:sz w:val="16"/>
                <w:szCs w:val="16"/>
              </w:rPr>
              <w:t>наслідки</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виданих</w:t>
            </w:r>
            <w:proofErr w:type="spellEnd"/>
            <w:r w:rsidRPr="00E16672">
              <w:rPr>
                <w:rFonts w:ascii="Times New Roman" w:hAnsi="Times New Roman"/>
                <w:sz w:val="16"/>
                <w:szCs w:val="16"/>
              </w:rPr>
              <w:t xml:space="preserve"> ним </w:t>
            </w:r>
            <w:proofErr w:type="spellStart"/>
            <w:r w:rsidRPr="00E16672">
              <w:rPr>
                <w:rFonts w:ascii="Times New Roman" w:hAnsi="Times New Roman"/>
                <w:sz w:val="16"/>
                <w:szCs w:val="16"/>
              </w:rPr>
              <w:t>розпоряджень</w:t>
            </w:r>
            <w:proofErr w:type="spellEnd"/>
            <w:r w:rsidR="001A2A82" w:rsidRPr="00E16672">
              <w:rPr>
                <w:rFonts w:ascii="Times New Roman" w:hAnsi="Times New Roman"/>
                <w:sz w:val="16"/>
                <w:szCs w:val="16"/>
                <w:lang w:val="uk-UA"/>
              </w:rPr>
              <w:t>;</w:t>
            </w:r>
          </w:p>
          <w:p w14:paraId="68DEF770" w14:textId="77777777" w:rsidR="006F04CB" w:rsidRPr="00E16672" w:rsidRDefault="006F04CB" w:rsidP="00804E84">
            <w:pPr>
              <w:ind w:left="175" w:right="138" w:firstLine="7"/>
              <w:rPr>
                <w:rFonts w:ascii="Times New Roman" w:hAnsi="Times New Roman"/>
                <w:sz w:val="16"/>
                <w:szCs w:val="16"/>
              </w:rPr>
            </w:pPr>
          </w:p>
          <w:p w14:paraId="4CC77F52" w14:textId="77777777" w:rsidR="001A2A82" w:rsidRPr="00E16672" w:rsidRDefault="001A2A82" w:rsidP="000D0438">
            <w:pPr>
              <w:numPr>
                <w:ilvl w:val="0"/>
                <w:numId w:val="15"/>
              </w:numPr>
              <w:tabs>
                <w:tab w:val="left" w:pos="319"/>
              </w:tabs>
              <w:ind w:left="175" w:firstLine="7"/>
              <w:rPr>
                <w:rFonts w:ascii="Times New Roman" w:hAnsi="Times New Roman"/>
                <w:color w:val="000000"/>
                <w:sz w:val="16"/>
                <w:szCs w:val="16"/>
                <w:lang w:val="uk-UA"/>
              </w:rPr>
            </w:pPr>
            <w:r w:rsidRPr="00E16672">
              <w:rPr>
                <w:rFonts w:ascii="Times New Roman" w:hAnsi="Times New Roman"/>
                <w:color w:val="000000"/>
                <w:sz w:val="16"/>
                <w:szCs w:val="16"/>
                <w:lang w:val="uk-UA"/>
              </w:rPr>
              <w:t>повноту та достовірність інформації, що надається Депозитарній установі на виконання цього Договору, в тому числі її своєчасну актуалізацію.</w:t>
            </w:r>
          </w:p>
          <w:p w14:paraId="1C6C3B64" w14:textId="77777777" w:rsidR="00933C25" w:rsidRPr="00E16672" w:rsidRDefault="001A2A82" w:rsidP="00804E84">
            <w:pPr>
              <w:ind w:left="175" w:right="138" w:firstLine="7"/>
              <w:rPr>
                <w:rFonts w:ascii="Times New Roman" w:hAnsi="Times New Roman"/>
                <w:sz w:val="16"/>
                <w:szCs w:val="16"/>
              </w:rPr>
            </w:pPr>
            <w:r w:rsidRPr="00E16672">
              <w:rPr>
                <w:rFonts w:ascii="Times New Roman" w:hAnsi="Times New Roman"/>
                <w:sz w:val="16"/>
                <w:szCs w:val="16"/>
              </w:rPr>
              <w:t xml:space="preserve"> </w:t>
            </w:r>
          </w:p>
        </w:tc>
        <w:tc>
          <w:tcPr>
            <w:tcW w:w="5494" w:type="dxa"/>
            <w:gridSpan w:val="7"/>
            <w:shd w:val="clear" w:color="auto" w:fill="auto"/>
          </w:tcPr>
          <w:p w14:paraId="7F2F338E" w14:textId="77777777" w:rsidR="00933C25" w:rsidRPr="00E16672" w:rsidRDefault="00933C25" w:rsidP="00804E84">
            <w:pPr>
              <w:tabs>
                <w:tab w:val="left" w:pos="574"/>
              </w:tabs>
              <w:autoSpaceDE w:val="0"/>
              <w:snapToGrid w:val="0"/>
              <w:ind w:left="175" w:right="138" w:firstLine="7"/>
              <w:rPr>
                <w:rFonts w:ascii="Times New Roman" w:hAnsi="Times New Roman"/>
                <w:sz w:val="16"/>
                <w:szCs w:val="16"/>
              </w:rPr>
            </w:pPr>
          </w:p>
          <w:p w14:paraId="50D9D2AF" w14:textId="77777777" w:rsidR="006F04CB" w:rsidRPr="00E16672" w:rsidRDefault="00933C25" w:rsidP="00804E84">
            <w:pPr>
              <w:tabs>
                <w:tab w:val="left" w:pos="574"/>
              </w:tabs>
              <w:autoSpaceDE w:val="0"/>
              <w:ind w:left="175" w:right="138" w:firstLine="7"/>
              <w:rPr>
                <w:rFonts w:ascii="Times New Roman" w:hAnsi="Times New Roman"/>
                <w:sz w:val="16"/>
                <w:szCs w:val="16"/>
                <w:lang w:val="uk-UA"/>
              </w:rPr>
            </w:pPr>
            <w:r w:rsidRPr="00E16672">
              <w:rPr>
                <w:rFonts w:ascii="Times New Roman" w:hAnsi="Times New Roman"/>
                <w:sz w:val="16"/>
                <w:szCs w:val="16"/>
                <w:lang w:val="en-GB"/>
              </w:rPr>
              <w:t>5.8. Depositor is responsible for</w:t>
            </w:r>
            <w:r w:rsidR="006F04CB" w:rsidRPr="00E16672">
              <w:rPr>
                <w:rFonts w:ascii="Times New Roman" w:hAnsi="Times New Roman"/>
                <w:sz w:val="16"/>
                <w:szCs w:val="16"/>
                <w:lang w:val="uk-UA"/>
              </w:rPr>
              <w:t>:</w:t>
            </w:r>
          </w:p>
          <w:p w14:paraId="4F746667" w14:textId="77777777" w:rsidR="00964E4D" w:rsidRPr="00E16672" w:rsidRDefault="00933C25" w:rsidP="000D0438">
            <w:pPr>
              <w:numPr>
                <w:ilvl w:val="0"/>
                <w:numId w:val="16"/>
              </w:numPr>
              <w:tabs>
                <w:tab w:val="left" w:pos="574"/>
              </w:tabs>
              <w:autoSpaceDE w:val="0"/>
              <w:ind w:left="175" w:right="138" w:firstLine="7"/>
              <w:rPr>
                <w:rFonts w:ascii="Times New Roman" w:hAnsi="Times New Roman"/>
                <w:sz w:val="16"/>
                <w:szCs w:val="16"/>
                <w:lang w:val="en-US"/>
              </w:rPr>
            </w:pPr>
            <w:r w:rsidRPr="00E16672">
              <w:rPr>
                <w:rFonts w:ascii="Times New Roman" w:hAnsi="Times New Roman"/>
                <w:sz w:val="16"/>
                <w:szCs w:val="16"/>
                <w:lang w:val="en-GB"/>
              </w:rPr>
              <w:t>all of his own activities, all of the activities of his authorized persons and managers of the account and consequences of the orders they gave</w:t>
            </w:r>
            <w:r w:rsidR="006F04CB" w:rsidRPr="00E16672">
              <w:rPr>
                <w:rFonts w:ascii="Times New Roman" w:hAnsi="Times New Roman"/>
                <w:sz w:val="16"/>
                <w:szCs w:val="16"/>
                <w:lang w:val="uk-UA"/>
              </w:rPr>
              <w:t>;</w:t>
            </w:r>
          </w:p>
          <w:p w14:paraId="3F896DA9" w14:textId="77777777" w:rsidR="006F04CB" w:rsidRPr="00E16672" w:rsidRDefault="006F04CB" w:rsidP="000D0438">
            <w:pPr>
              <w:numPr>
                <w:ilvl w:val="0"/>
                <w:numId w:val="16"/>
              </w:numPr>
              <w:tabs>
                <w:tab w:val="left" w:pos="574"/>
              </w:tabs>
              <w:autoSpaceDE w:val="0"/>
              <w:ind w:left="175" w:right="138" w:firstLine="7"/>
              <w:rPr>
                <w:rFonts w:ascii="Times New Roman" w:hAnsi="Times New Roman"/>
                <w:sz w:val="16"/>
                <w:szCs w:val="16"/>
                <w:lang w:val="en-US"/>
              </w:rPr>
            </w:pPr>
            <w:r w:rsidRPr="00F23413">
              <w:rPr>
                <w:rFonts w:ascii="Times New Roman" w:hAnsi="Times New Roman"/>
                <w:sz w:val="16"/>
                <w:szCs w:val="16"/>
                <w:lang w:val="en-US"/>
              </w:rPr>
              <w:t>completeness and authenticity of the information provided to the depositary institution for the implementation of this Agreement, including its timely updating.</w:t>
            </w:r>
          </w:p>
        </w:tc>
      </w:tr>
      <w:tr w:rsidR="00933C25" w:rsidRPr="00F23413" w14:paraId="0FF4AFBF" w14:textId="77777777" w:rsidTr="00D77858">
        <w:tblPrEx>
          <w:tblCellMar>
            <w:left w:w="0" w:type="dxa"/>
            <w:right w:w="0" w:type="dxa"/>
          </w:tblCellMar>
        </w:tblPrEx>
        <w:trPr>
          <w:trHeight w:val="192"/>
        </w:trPr>
        <w:tc>
          <w:tcPr>
            <w:tcW w:w="5696" w:type="dxa"/>
            <w:gridSpan w:val="6"/>
            <w:shd w:val="clear" w:color="auto" w:fill="auto"/>
          </w:tcPr>
          <w:p w14:paraId="4E917700" w14:textId="77777777" w:rsidR="00933C25" w:rsidRPr="00E16672" w:rsidRDefault="00933C25" w:rsidP="00804E84">
            <w:pPr>
              <w:snapToGrid w:val="0"/>
              <w:ind w:left="175" w:right="138" w:firstLine="7"/>
              <w:rPr>
                <w:rFonts w:ascii="Times New Roman" w:hAnsi="Times New Roman"/>
                <w:color w:val="000000"/>
                <w:sz w:val="16"/>
                <w:szCs w:val="16"/>
              </w:rPr>
            </w:pPr>
            <w:r w:rsidRPr="00E16672">
              <w:rPr>
                <w:rFonts w:ascii="Times New Roman" w:hAnsi="Times New Roman"/>
                <w:color w:val="000000"/>
                <w:sz w:val="16"/>
                <w:szCs w:val="16"/>
              </w:rPr>
              <w:t xml:space="preserve">5.9. </w:t>
            </w:r>
            <w:r w:rsidRPr="00E16672">
              <w:rPr>
                <w:rFonts w:ascii="Times New Roman" w:hAnsi="Times New Roman"/>
                <w:color w:val="000000"/>
                <w:sz w:val="16"/>
                <w:szCs w:val="16"/>
                <w:lang w:val="uk-UA"/>
              </w:rPr>
              <w:t xml:space="preserve">Депозитарна установа має право за порушення термінів </w:t>
            </w:r>
            <w:r w:rsidR="00713C8B" w:rsidRPr="00E16672">
              <w:rPr>
                <w:rFonts w:ascii="Times New Roman" w:hAnsi="Times New Roman"/>
                <w:color w:val="000000"/>
                <w:sz w:val="16"/>
                <w:szCs w:val="16"/>
                <w:lang w:val="uk-UA"/>
              </w:rPr>
              <w:t xml:space="preserve">оплати </w:t>
            </w:r>
            <w:r w:rsidRPr="00E16672">
              <w:rPr>
                <w:rFonts w:ascii="Times New Roman" w:hAnsi="Times New Roman"/>
                <w:color w:val="000000"/>
                <w:sz w:val="16"/>
                <w:szCs w:val="16"/>
                <w:lang w:val="uk-UA"/>
              </w:rPr>
              <w:t xml:space="preserve">нарахувати та стягнути з іншої Сторони пеню у розмірі </w:t>
            </w:r>
            <w:r w:rsidRPr="00E16672">
              <w:rPr>
                <w:rFonts w:ascii="Times New Roman" w:hAnsi="Times New Roman"/>
                <w:i/>
                <w:iCs/>
                <w:color w:val="000000"/>
                <w:sz w:val="16"/>
                <w:szCs w:val="16"/>
                <w:lang w:val="uk-UA"/>
              </w:rPr>
              <w:t>подвійної облікової ставки</w:t>
            </w:r>
            <w:r w:rsidRPr="00E16672">
              <w:rPr>
                <w:rFonts w:ascii="Times New Roman" w:hAnsi="Times New Roman"/>
                <w:color w:val="000000"/>
                <w:sz w:val="16"/>
                <w:szCs w:val="16"/>
                <w:lang w:val="uk-UA"/>
              </w:rPr>
              <w:t xml:space="preserve"> Національного банку України, що діяла у період </w:t>
            </w:r>
            <w:r w:rsidR="00713C8B" w:rsidRPr="00E16672">
              <w:rPr>
                <w:rFonts w:ascii="Times New Roman" w:hAnsi="Times New Roman"/>
                <w:color w:val="000000"/>
                <w:sz w:val="16"/>
                <w:szCs w:val="16"/>
                <w:lang w:val="uk-UA"/>
              </w:rPr>
              <w:t>прострочення</w:t>
            </w:r>
            <w:r w:rsidRPr="00E16672">
              <w:rPr>
                <w:rFonts w:ascii="Times New Roman" w:hAnsi="Times New Roman"/>
                <w:color w:val="000000"/>
                <w:sz w:val="16"/>
                <w:szCs w:val="16"/>
                <w:lang w:val="uk-UA"/>
              </w:rPr>
              <w:t>,</w:t>
            </w:r>
            <w:r w:rsidRPr="00E16672">
              <w:rPr>
                <w:rFonts w:ascii="Times New Roman" w:hAnsi="Times New Roman"/>
                <w:color w:val="000000"/>
                <w:sz w:val="16"/>
                <w:szCs w:val="16"/>
                <w:lang w:eastAsia="hi-IN" w:bidi="hi-IN"/>
              </w:rPr>
              <w:t xml:space="preserve"> </w:t>
            </w:r>
            <w:proofErr w:type="spellStart"/>
            <w:r w:rsidRPr="00E16672">
              <w:rPr>
                <w:rFonts w:ascii="Times New Roman" w:hAnsi="Times New Roman"/>
                <w:color w:val="000000"/>
                <w:sz w:val="16"/>
                <w:szCs w:val="16"/>
                <w:lang w:eastAsia="hi-IN" w:bidi="hi-IN"/>
              </w:rPr>
              <w:t>від</w:t>
            </w:r>
            <w:proofErr w:type="spellEnd"/>
            <w:r w:rsidRPr="00E16672">
              <w:rPr>
                <w:rFonts w:ascii="Times New Roman" w:hAnsi="Times New Roman"/>
                <w:color w:val="000000"/>
                <w:sz w:val="16"/>
                <w:szCs w:val="16"/>
                <w:lang w:eastAsia="hi-IN" w:bidi="hi-IN"/>
              </w:rPr>
              <w:t xml:space="preserve"> </w:t>
            </w:r>
            <w:proofErr w:type="spellStart"/>
            <w:r w:rsidRPr="00E16672">
              <w:rPr>
                <w:rFonts w:ascii="Times New Roman" w:hAnsi="Times New Roman"/>
                <w:color w:val="000000"/>
                <w:sz w:val="16"/>
                <w:szCs w:val="16"/>
                <w:lang w:eastAsia="hi-IN" w:bidi="hi-IN"/>
              </w:rPr>
              <w:t>суми</w:t>
            </w:r>
            <w:proofErr w:type="spellEnd"/>
            <w:r w:rsidRPr="00E16672">
              <w:rPr>
                <w:rFonts w:ascii="Times New Roman" w:hAnsi="Times New Roman"/>
                <w:color w:val="000000"/>
                <w:sz w:val="16"/>
                <w:szCs w:val="16"/>
                <w:lang w:eastAsia="hi-IN" w:bidi="hi-IN"/>
              </w:rPr>
              <w:t xml:space="preserve"> </w:t>
            </w:r>
            <w:proofErr w:type="spellStart"/>
            <w:r w:rsidRPr="00E16672">
              <w:rPr>
                <w:rFonts w:ascii="Times New Roman" w:hAnsi="Times New Roman"/>
                <w:color w:val="000000"/>
                <w:sz w:val="16"/>
                <w:szCs w:val="16"/>
                <w:lang w:eastAsia="hi-IN" w:bidi="hi-IN"/>
              </w:rPr>
              <w:t>простроченого</w:t>
            </w:r>
            <w:proofErr w:type="spellEnd"/>
            <w:r w:rsidRPr="00E16672">
              <w:rPr>
                <w:rFonts w:ascii="Times New Roman" w:hAnsi="Times New Roman"/>
                <w:color w:val="000000"/>
                <w:sz w:val="16"/>
                <w:szCs w:val="16"/>
                <w:lang w:eastAsia="hi-IN" w:bidi="hi-IN"/>
              </w:rPr>
              <w:t xml:space="preserve"> платежу за </w:t>
            </w:r>
            <w:proofErr w:type="spellStart"/>
            <w:r w:rsidRPr="00E16672">
              <w:rPr>
                <w:rFonts w:ascii="Times New Roman" w:hAnsi="Times New Roman"/>
                <w:color w:val="000000"/>
                <w:sz w:val="16"/>
                <w:szCs w:val="16"/>
                <w:lang w:eastAsia="hi-IN" w:bidi="hi-IN"/>
              </w:rPr>
              <w:t>кожен</w:t>
            </w:r>
            <w:proofErr w:type="spellEnd"/>
            <w:r w:rsidRPr="00E16672">
              <w:rPr>
                <w:rFonts w:ascii="Times New Roman" w:hAnsi="Times New Roman"/>
                <w:color w:val="000000"/>
                <w:sz w:val="16"/>
                <w:szCs w:val="16"/>
                <w:lang w:eastAsia="hi-IN" w:bidi="hi-IN"/>
              </w:rPr>
              <w:t xml:space="preserve"> день </w:t>
            </w:r>
            <w:proofErr w:type="spellStart"/>
            <w:r w:rsidRPr="00E16672">
              <w:rPr>
                <w:rFonts w:ascii="Times New Roman" w:hAnsi="Times New Roman"/>
                <w:color w:val="000000"/>
                <w:sz w:val="16"/>
                <w:szCs w:val="16"/>
                <w:lang w:eastAsia="hi-IN" w:bidi="hi-IN"/>
              </w:rPr>
              <w:t>прострочення</w:t>
            </w:r>
            <w:proofErr w:type="spellEnd"/>
            <w:r w:rsidRPr="00E16672">
              <w:rPr>
                <w:rFonts w:ascii="Times New Roman" w:hAnsi="Times New Roman"/>
                <w:color w:val="000000"/>
                <w:sz w:val="16"/>
                <w:szCs w:val="16"/>
                <w:lang w:val="uk-UA"/>
              </w:rPr>
              <w:t xml:space="preserve">. </w:t>
            </w:r>
          </w:p>
          <w:p w14:paraId="3D8F2C84" w14:textId="77777777" w:rsidR="00933C25" w:rsidRPr="00E16672" w:rsidRDefault="00933C25" w:rsidP="00804E84">
            <w:pPr>
              <w:ind w:left="175" w:right="138" w:firstLine="7"/>
              <w:rPr>
                <w:rFonts w:ascii="Times New Roman" w:hAnsi="Times New Roman"/>
                <w:color w:val="000000"/>
                <w:sz w:val="16"/>
                <w:szCs w:val="16"/>
              </w:rPr>
            </w:pPr>
          </w:p>
          <w:p w14:paraId="38ABA4E9" w14:textId="77777777" w:rsidR="00933C25" w:rsidRPr="00E16672" w:rsidRDefault="00933C25" w:rsidP="00804E84">
            <w:pPr>
              <w:ind w:left="175" w:right="138" w:firstLine="7"/>
              <w:rPr>
                <w:rFonts w:ascii="Times New Roman" w:hAnsi="Times New Roman"/>
                <w:color w:val="000000"/>
                <w:sz w:val="16"/>
                <w:szCs w:val="16"/>
              </w:rPr>
            </w:pPr>
            <w:r w:rsidRPr="00E16672">
              <w:rPr>
                <w:rFonts w:ascii="Times New Roman" w:hAnsi="Times New Roman"/>
                <w:color w:val="000000"/>
                <w:sz w:val="16"/>
                <w:szCs w:val="16"/>
              </w:rPr>
              <w:t xml:space="preserve">5.9.1. Формула, за </w:t>
            </w:r>
            <w:proofErr w:type="spellStart"/>
            <w:r w:rsidRPr="00E16672">
              <w:rPr>
                <w:rFonts w:ascii="Times New Roman" w:hAnsi="Times New Roman"/>
                <w:color w:val="000000"/>
                <w:sz w:val="16"/>
                <w:szCs w:val="16"/>
              </w:rPr>
              <w:t>якою</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розраховується</w:t>
            </w:r>
            <w:proofErr w:type="spellEnd"/>
            <w:r w:rsidRPr="00E16672">
              <w:rPr>
                <w:rFonts w:ascii="Times New Roman" w:hAnsi="Times New Roman"/>
                <w:color w:val="000000"/>
                <w:sz w:val="16"/>
                <w:szCs w:val="16"/>
              </w:rPr>
              <w:t xml:space="preserve"> пеня: </w:t>
            </w:r>
          </w:p>
          <w:p w14:paraId="2BE25A22" w14:textId="77777777" w:rsidR="00933C25" w:rsidRPr="00E16672" w:rsidRDefault="00933C25" w:rsidP="00804E84">
            <w:pPr>
              <w:ind w:left="175" w:right="138" w:firstLine="7"/>
              <w:rPr>
                <w:rFonts w:ascii="Times New Roman" w:hAnsi="Times New Roman"/>
                <w:color w:val="000000"/>
                <w:sz w:val="16"/>
                <w:szCs w:val="16"/>
              </w:rPr>
            </w:pPr>
          </w:p>
        </w:tc>
        <w:tc>
          <w:tcPr>
            <w:tcW w:w="5494" w:type="dxa"/>
            <w:gridSpan w:val="7"/>
            <w:shd w:val="clear" w:color="auto" w:fill="auto"/>
          </w:tcPr>
          <w:p w14:paraId="25A89BE0" w14:textId="77777777" w:rsidR="00933C25" w:rsidRPr="00E16672" w:rsidRDefault="00933C25" w:rsidP="00804E84">
            <w:pPr>
              <w:snapToGrid w:val="0"/>
              <w:ind w:left="175" w:right="138" w:firstLine="7"/>
              <w:rPr>
                <w:rFonts w:ascii="Times New Roman" w:hAnsi="Times New Roman"/>
                <w:color w:val="000000"/>
                <w:sz w:val="16"/>
                <w:szCs w:val="16"/>
                <w:lang w:val="en-US"/>
              </w:rPr>
            </w:pPr>
            <w:r w:rsidRPr="00E16672">
              <w:rPr>
                <w:rFonts w:ascii="Times New Roman" w:hAnsi="Times New Roman"/>
                <w:color w:val="000000"/>
                <w:sz w:val="16"/>
                <w:szCs w:val="16"/>
                <w:lang w:val="en-GB"/>
              </w:rPr>
              <w:t xml:space="preserve">5.9. </w:t>
            </w:r>
            <w:r w:rsidR="00BA0ACC" w:rsidRPr="00E16672">
              <w:rPr>
                <w:rFonts w:ascii="Times New Roman" w:hAnsi="Times New Roman"/>
                <w:color w:val="000000"/>
                <w:sz w:val="16"/>
                <w:szCs w:val="16"/>
                <w:lang w:val="en-GB"/>
              </w:rPr>
              <w:t xml:space="preserve">Depository institution has the right to charge a violation of the terms of payment and collect from other Party a fine in size of </w:t>
            </w:r>
            <w:r w:rsidR="00BA0ACC" w:rsidRPr="00E16672">
              <w:rPr>
                <w:rFonts w:ascii="Times New Roman" w:hAnsi="Times New Roman"/>
                <w:i/>
                <w:color w:val="000000"/>
                <w:sz w:val="16"/>
                <w:szCs w:val="16"/>
                <w:lang w:val="en-GB"/>
              </w:rPr>
              <w:t>double registration rate</w:t>
            </w:r>
            <w:r w:rsidR="00BA0ACC" w:rsidRPr="00E16672">
              <w:rPr>
                <w:rFonts w:ascii="Times New Roman" w:hAnsi="Times New Roman"/>
                <w:color w:val="000000"/>
                <w:sz w:val="16"/>
                <w:szCs w:val="16"/>
                <w:lang w:val="en-GB"/>
              </w:rPr>
              <w:t xml:space="preserve"> of the National bank of Ukraine which operated in a </w:t>
            </w:r>
            <w:r w:rsidR="00713C8B" w:rsidRPr="00F23413">
              <w:rPr>
                <w:rStyle w:val="shorttext"/>
                <w:rFonts w:ascii="Times New Roman" w:hAnsi="Times New Roman"/>
                <w:sz w:val="16"/>
                <w:szCs w:val="16"/>
                <w:lang w:val="en-US"/>
              </w:rPr>
              <w:t>delay</w:t>
            </w:r>
            <w:r w:rsidR="00713C8B" w:rsidRPr="00F23413">
              <w:rPr>
                <w:rStyle w:val="shorttext"/>
                <w:rFonts w:ascii="Times New Roman" w:hAnsi="Times New Roman"/>
                <w:lang w:val="en-US"/>
              </w:rPr>
              <w:t xml:space="preserve"> </w:t>
            </w:r>
            <w:proofErr w:type="gramStart"/>
            <w:r w:rsidR="00BA0ACC" w:rsidRPr="00E16672">
              <w:rPr>
                <w:rFonts w:ascii="Times New Roman" w:hAnsi="Times New Roman"/>
                <w:color w:val="000000"/>
                <w:sz w:val="16"/>
                <w:szCs w:val="16"/>
                <w:lang w:val="en-GB"/>
              </w:rPr>
              <w:t>period ,</w:t>
            </w:r>
            <w:proofErr w:type="gramEnd"/>
            <w:r w:rsidR="00BA0ACC" w:rsidRPr="00E16672">
              <w:rPr>
                <w:rFonts w:ascii="Times New Roman" w:hAnsi="Times New Roman"/>
                <w:color w:val="000000"/>
                <w:sz w:val="16"/>
                <w:szCs w:val="16"/>
                <w:lang w:val="en-GB"/>
              </w:rPr>
              <w:t xml:space="preserve"> of the amount of overdue payment for each day of delay</w:t>
            </w:r>
            <w:r w:rsidR="00BA0ACC" w:rsidRPr="00E16672">
              <w:rPr>
                <w:rFonts w:ascii="Times New Roman" w:hAnsi="Times New Roman"/>
                <w:color w:val="000000"/>
                <w:sz w:val="16"/>
                <w:szCs w:val="16"/>
                <w:lang w:val="en-US"/>
              </w:rPr>
              <w:t>.</w:t>
            </w:r>
          </w:p>
          <w:p w14:paraId="5070ABD4" w14:textId="77777777" w:rsidR="003A05A3" w:rsidRPr="00E16672" w:rsidRDefault="003A05A3" w:rsidP="00804E84">
            <w:pPr>
              <w:snapToGrid w:val="0"/>
              <w:ind w:left="175" w:right="138" w:firstLine="7"/>
              <w:rPr>
                <w:rFonts w:ascii="Times New Roman" w:hAnsi="Times New Roman"/>
                <w:color w:val="000000"/>
                <w:sz w:val="16"/>
                <w:szCs w:val="16"/>
                <w:lang w:val="en-US"/>
              </w:rPr>
            </w:pPr>
          </w:p>
          <w:p w14:paraId="0D7CBA7C" w14:textId="77777777" w:rsidR="00933C25" w:rsidRPr="00E16672" w:rsidRDefault="00933C25" w:rsidP="00804E84">
            <w:pPr>
              <w:snapToGrid w:val="0"/>
              <w:ind w:left="175" w:right="138" w:firstLine="7"/>
              <w:rPr>
                <w:rFonts w:ascii="Times New Roman" w:hAnsi="Times New Roman"/>
                <w:color w:val="000000"/>
                <w:sz w:val="16"/>
                <w:szCs w:val="16"/>
                <w:lang w:val="en-GB"/>
              </w:rPr>
            </w:pPr>
          </w:p>
          <w:p w14:paraId="050AF20E" w14:textId="77777777" w:rsidR="00933C25" w:rsidRPr="00E16672" w:rsidRDefault="00933C25" w:rsidP="00804E84">
            <w:pPr>
              <w:snapToGrid w:val="0"/>
              <w:ind w:left="175" w:right="138" w:firstLine="7"/>
              <w:rPr>
                <w:rFonts w:ascii="Times New Roman" w:hAnsi="Times New Roman"/>
                <w:color w:val="000000"/>
                <w:sz w:val="16"/>
                <w:szCs w:val="16"/>
                <w:lang w:val="en-GB"/>
              </w:rPr>
            </w:pPr>
            <w:r w:rsidRPr="00E16672">
              <w:rPr>
                <w:rFonts w:ascii="Times New Roman" w:hAnsi="Times New Roman"/>
                <w:color w:val="000000"/>
                <w:sz w:val="16"/>
                <w:szCs w:val="16"/>
                <w:lang w:val="en-GB"/>
              </w:rPr>
              <w:t xml:space="preserve">5.9.1. Formula, which a </w:t>
            </w:r>
            <w:proofErr w:type="gramStart"/>
            <w:r w:rsidRPr="00E16672">
              <w:rPr>
                <w:rFonts w:ascii="Times New Roman" w:hAnsi="Times New Roman"/>
                <w:color w:val="000000"/>
                <w:sz w:val="16"/>
                <w:szCs w:val="16"/>
                <w:lang w:val="en-GB"/>
              </w:rPr>
              <w:t>fine settles accounts</w:t>
            </w:r>
            <w:proofErr w:type="gramEnd"/>
            <w:r w:rsidRPr="00E16672">
              <w:rPr>
                <w:rFonts w:ascii="Times New Roman" w:hAnsi="Times New Roman"/>
                <w:color w:val="000000"/>
                <w:sz w:val="16"/>
                <w:szCs w:val="16"/>
                <w:lang w:val="en-GB"/>
              </w:rPr>
              <w:t xml:space="preserve"> after:</w:t>
            </w:r>
          </w:p>
        </w:tc>
      </w:tr>
      <w:tr w:rsidR="00933C25" w:rsidRPr="00F23413" w14:paraId="1236A3FE" w14:textId="77777777" w:rsidTr="00D77858">
        <w:tblPrEx>
          <w:tblCellMar>
            <w:left w:w="0" w:type="dxa"/>
            <w:right w:w="0" w:type="dxa"/>
          </w:tblCellMar>
        </w:tblPrEx>
        <w:trPr>
          <w:trHeight w:val="192"/>
        </w:trPr>
        <w:tc>
          <w:tcPr>
            <w:tcW w:w="5696" w:type="dxa"/>
            <w:gridSpan w:val="6"/>
            <w:shd w:val="clear" w:color="auto" w:fill="auto"/>
          </w:tcPr>
          <w:p w14:paraId="3906EFC1" w14:textId="77777777" w:rsidR="00933C25" w:rsidRPr="00E16672" w:rsidRDefault="00933C25" w:rsidP="00804E84">
            <w:pPr>
              <w:snapToGrid w:val="0"/>
              <w:ind w:left="175" w:right="138" w:firstLine="7"/>
              <w:rPr>
                <w:rFonts w:ascii="Times New Roman" w:hAnsi="Times New Roman"/>
                <w:sz w:val="16"/>
                <w:szCs w:val="16"/>
              </w:rPr>
            </w:pPr>
            <w:r w:rsidRPr="00E16672">
              <w:rPr>
                <w:rFonts w:ascii="Times New Roman" w:hAnsi="Times New Roman"/>
                <w:sz w:val="16"/>
                <w:szCs w:val="16"/>
              </w:rPr>
              <w:t>П=</w:t>
            </w:r>
            <w:proofErr w:type="spellStart"/>
            <w:r w:rsidRPr="00E16672">
              <w:rPr>
                <w:rFonts w:ascii="Times New Roman" w:hAnsi="Times New Roman"/>
                <w:sz w:val="16"/>
                <w:szCs w:val="16"/>
              </w:rPr>
              <w:t>Т</w:t>
            </w:r>
            <w:r w:rsidRPr="00E16672">
              <w:rPr>
                <w:rFonts w:ascii="Times New Roman" w:hAnsi="Times New Roman"/>
                <w:sz w:val="16"/>
                <w:szCs w:val="16"/>
                <w:vertAlign w:val="subscript"/>
              </w:rPr>
              <w:t>неоплачений</w:t>
            </w:r>
            <w:proofErr w:type="spellEnd"/>
            <w:r w:rsidRPr="00E16672">
              <w:rPr>
                <w:rFonts w:ascii="Times New Roman" w:hAnsi="Times New Roman"/>
                <w:sz w:val="16"/>
                <w:szCs w:val="16"/>
              </w:rPr>
              <w:t>*2НБУ/</w:t>
            </w:r>
            <w:proofErr w:type="spellStart"/>
            <w:r w:rsidRPr="00E16672">
              <w:rPr>
                <w:rFonts w:ascii="Times New Roman" w:hAnsi="Times New Roman"/>
                <w:sz w:val="16"/>
                <w:szCs w:val="16"/>
              </w:rPr>
              <w:t>Д</w:t>
            </w:r>
            <w:r w:rsidRPr="00E16672">
              <w:rPr>
                <w:rFonts w:ascii="Times New Roman" w:hAnsi="Times New Roman"/>
                <w:sz w:val="16"/>
                <w:szCs w:val="16"/>
                <w:vertAlign w:val="subscript"/>
              </w:rPr>
              <w:t>рік</w:t>
            </w:r>
            <w:proofErr w:type="spellEnd"/>
            <w:r w:rsidRPr="00E16672">
              <w:rPr>
                <w:rFonts w:ascii="Times New Roman" w:hAnsi="Times New Roman"/>
                <w:sz w:val="16"/>
                <w:szCs w:val="16"/>
              </w:rPr>
              <w:t>*</w:t>
            </w:r>
            <w:proofErr w:type="spellStart"/>
            <w:r w:rsidRPr="00E16672">
              <w:rPr>
                <w:rFonts w:ascii="Times New Roman" w:hAnsi="Times New Roman"/>
                <w:sz w:val="16"/>
                <w:szCs w:val="16"/>
              </w:rPr>
              <w:t>Д</w:t>
            </w:r>
            <w:r w:rsidRPr="00E16672">
              <w:rPr>
                <w:rFonts w:ascii="Times New Roman" w:hAnsi="Times New Roman"/>
                <w:sz w:val="16"/>
                <w:szCs w:val="16"/>
                <w:vertAlign w:val="subscript"/>
              </w:rPr>
              <w:t>нарахування</w:t>
            </w:r>
            <w:proofErr w:type="spellEnd"/>
            <w:r w:rsidRPr="00E16672">
              <w:rPr>
                <w:rFonts w:ascii="Times New Roman" w:hAnsi="Times New Roman"/>
                <w:sz w:val="16"/>
                <w:szCs w:val="16"/>
              </w:rPr>
              <w:t xml:space="preserve">, </w:t>
            </w:r>
          </w:p>
          <w:p w14:paraId="5A288FE2" w14:textId="77777777" w:rsidR="00933C25" w:rsidRPr="00E16672" w:rsidRDefault="00933C25" w:rsidP="00804E84">
            <w:pPr>
              <w:ind w:left="175" w:right="138" w:firstLine="7"/>
              <w:rPr>
                <w:rFonts w:ascii="Times New Roman" w:hAnsi="Times New Roman"/>
                <w:sz w:val="16"/>
                <w:szCs w:val="16"/>
              </w:rPr>
            </w:pPr>
            <w:r w:rsidRPr="00E16672">
              <w:rPr>
                <w:rFonts w:ascii="Times New Roman" w:hAnsi="Times New Roman"/>
                <w:sz w:val="16"/>
                <w:szCs w:val="16"/>
              </w:rPr>
              <w:t xml:space="preserve"> де:</w:t>
            </w:r>
          </w:p>
          <w:p w14:paraId="6124C9F6" w14:textId="77777777" w:rsidR="00907FFB" w:rsidRPr="00E16672" w:rsidRDefault="00933C25" w:rsidP="00804E84">
            <w:pPr>
              <w:ind w:left="175" w:right="138" w:firstLine="7"/>
              <w:rPr>
                <w:rFonts w:ascii="Times New Roman" w:hAnsi="Times New Roman"/>
                <w:sz w:val="16"/>
                <w:szCs w:val="16"/>
              </w:rPr>
            </w:pPr>
            <w:r w:rsidRPr="00E16672">
              <w:rPr>
                <w:rFonts w:ascii="Times New Roman" w:hAnsi="Times New Roman"/>
                <w:sz w:val="16"/>
                <w:szCs w:val="16"/>
              </w:rPr>
              <w:lastRenderedPageBreak/>
              <w:t>П – пеня;</w:t>
            </w:r>
          </w:p>
          <w:p w14:paraId="5B64BBAE" w14:textId="77777777" w:rsidR="00933C25" w:rsidRPr="00E16672" w:rsidRDefault="00933C25" w:rsidP="00804E84">
            <w:pPr>
              <w:ind w:left="175" w:right="138" w:firstLine="7"/>
              <w:rPr>
                <w:rFonts w:ascii="Times New Roman" w:hAnsi="Times New Roman"/>
                <w:sz w:val="16"/>
                <w:szCs w:val="16"/>
              </w:rPr>
            </w:pPr>
            <w:proofErr w:type="spellStart"/>
            <w:r w:rsidRPr="00E16672">
              <w:rPr>
                <w:rFonts w:ascii="Times New Roman" w:hAnsi="Times New Roman"/>
                <w:sz w:val="16"/>
                <w:szCs w:val="16"/>
              </w:rPr>
              <w:t>Т</w:t>
            </w:r>
            <w:r w:rsidRPr="00E16672">
              <w:rPr>
                <w:rFonts w:ascii="Times New Roman" w:hAnsi="Times New Roman"/>
                <w:sz w:val="16"/>
                <w:szCs w:val="16"/>
                <w:vertAlign w:val="subscript"/>
              </w:rPr>
              <w:t>неоплачений</w:t>
            </w:r>
            <w:proofErr w:type="spellEnd"/>
            <w:r w:rsidRPr="00E16672">
              <w:rPr>
                <w:rFonts w:ascii="Times New Roman" w:hAnsi="Times New Roman"/>
                <w:sz w:val="16"/>
                <w:szCs w:val="16"/>
              </w:rPr>
              <w:t xml:space="preserve"> – </w:t>
            </w:r>
            <w:proofErr w:type="spellStart"/>
            <w:r w:rsidRPr="00E16672">
              <w:rPr>
                <w:rFonts w:ascii="Times New Roman" w:hAnsi="Times New Roman"/>
                <w:sz w:val="16"/>
                <w:szCs w:val="16"/>
              </w:rPr>
              <w:t>вартість</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неоплаченої</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послуги</w:t>
            </w:r>
            <w:proofErr w:type="spellEnd"/>
            <w:r w:rsidR="00713C8B" w:rsidRPr="00E16672">
              <w:rPr>
                <w:rFonts w:ascii="Times New Roman" w:hAnsi="Times New Roman"/>
                <w:sz w:val="16"/>
                <w:szCs w:val="16"/>
                <w:lang w:val="uk-UA"/>
              </w:rPr>
              <w:t xml:space="preserve"> (неоплачених послуг)</w:t>
            </w:r>
            <w:r w:rsidRPr="00E16672">
              <w:rPr>
                <w:rFonts w:ascii="Times New Roman" w:hAnsi="Times New Roman"/>
                <w:sz w:val="16"/>
                <w:szCs w:val="16"/>
              </w:rPr>
              <w:t>;</w:t>
            </w:r>
          </w:p>
          <w:p w14:paraId="4280EFD5" w14:textId="77777777" w:rsidR="00933C25" w:rsidRPr="00E16672" w:rsidRDefault="00933C25" w:rsidP="00804E84">
            <w:pPr>
              <w:ind w:left="175" w:right="138" w:firstLine="7"/>
              <w:rPr>
                <w:rFonts w:ascii="Times New Roman" w:hAnsi="Times New Roman"/>
                <w:sz w:val="16"/>
                <w:szCs w:val="16"/>
              </w:rPr>
            </w:pPr>
            <w:r w:rsidRPr="00E16672">
              <w:rPr>
                <w:rFonts w:ascii="Times New Roman" w:hAnsi="Times New Roman"/>
                <w:sz w:val="16"/>
                <w:szCs w:val="16"/>
              </w:rPr>
              <w:t xml:space="preserve">2НБУ – </w:t>
            </w:r>
            <w:proofErr w:type="spellStart"/>
            <w:r w:rsidRPr="00E16672">
              <w:rPr>
                <w:rFonts w:ascii="Times New Roman" w:hAnsi="Times New Roman"/>
                <w:sz w:val="16"/>
                <w:szCs w:val="16"/>
              </w:rPr>
              <w:t>подвійна</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облікова</w:t>
            </w:r>
            <w:proofErr w:type="spellEnd"/>
            <w:r w:rsidRPr="00E16672">
              <w:rPr>
                <w:rFonts w:ascii="Times New Roman" w:hAnsi="Times New Roman"/>
                <w:sz w:val="16"/>
                <w:szCs w:val="16"/>
              </w:rPr>
              <w:t xml:space="preserve"> ставка </w:t>
            </w:r>
            <w:proofErr w:type="spellStart"/>
            <w:r w:rsidRPr="00E16672">
              <w:rPr>
                <w:rFonts w:ascii="Times New Roman" w:hAnsi="Times New Roman"/>
                <w:sz w:val="16"/>
                <w:szCs w:val="16"/>
              </w:rPr>
              <w:t>Національного</w:t>
            </w:r>
            <w:proofErr w:type="spellEnd"/>
            <w:r w:rsidRPr="00E16672">
              <w:rPr>
                <w:rFonts w:ascii="Times New Roman" w:hAnsi="Times New Roman"/>
                <w:sz w:val="16"/>
                <w:szCs w:val="16"/>
              </w:rPr>
              <w:t xml:space="preserve"> Банку </w:t>
            </w:r>
            <w:proofErr w:type="spellStart"/>
            <w:r w:rsidRPr="00E16672">
              <w:rPr>
                <w:rFonts w:ascii="Times New Roman" w:hAnsi="Times New Roman"/>
                <w:sz w:val="16"/>
                <w:szCs w:val="16"/>
              </w:rPr>
              <w:t>України</w:t>
            </w:r>
            <w:proofErr w:type="spellEnd"/>
            <w:r w:rsidRPr="00E16672">
              <w:rPr>
                <w:rFonts w:ascii="Times New Roman" w:hAnsi="Times New Roman"/>
                <w:sz w:val="16"/>
                <w:szCs w:val="16"/>
              </w:rPr>
              <w:t>;</w:t>
            </w:r>
          </w:p>
          <w:p w14:paraId="677D8E40" w14:textId="77777777" w:rsidR="00933C25" w:rsidRPr="00E16672" w:rsidRDefault="00933C25" w:rsidP="00804E84">
            <w:pPr>
              <w:ind w:left="175" w:right="138" w:firstLine="7"/>
              <w:rPr>
                <w:rFonts w:ascii="Times New Roman" w:hAnsi="Times New Roman"/>
                <w:sz w:val="16"/>
                <w:szCs w:val="16"/>
              </w:rPr>
            </w:pPr>
            <w:proofErr w:type="spellStart"/>
            <w:r w:rsidRPr="00E16672">
              <w:rPr>
                <w:rFonts w:ascii="Times New Roman" w:hAnsi="Times New Roman"/>
                <w:sz w:val="16"/>
                <w:szCs w:val="16"/>
              </w:rPr>
              <w:t>Д</w:t>
            </w:r>
            <w:r w:rsidRPr="00E16672">
              <w:rPr>
                <w:rFonts w:ascii="Times New Roman" w:hAnsi="Times New Roman"/>
                <w:sz w:val="16"/>
                <w:szCs w:val="16"/>
                <w:vertAlign w:val="subscript"/>
              </w:rPr>
              <w:t>рік</w:t>
            </w:r>
            <w:proofErr w:type="spellEnd"/>
            <w:r w:rsidRPr="00E16672">
              <w:rPr>
                <w:rFonts w:ascii="Times New Roman" w:hAnsi="Times New Roman"/>
                <w:sz w:val="16"/>
                <w:szCs w:val="16"/>
              </w:rPr>
              <w:t xml:space="preserve"> – </w:t>
            </w:r>
            <w:proofErr w:type="spellStart"/>
            <w:r w:rsidRPr="00E16672">
              <w:rPr>
                <w:rFonts w:ascii="Times New Roman" w:hAnsi="Times New Roman"/>
                <w:sz w:val="16"/>
                <w:szCs w:val="16"/>
              </w:rPr>
              <w:t>кількість</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днів</w:t>
            </w:r>
            <w:proofErr w:type="spellEnd"/>
            <w:r w:rsidRPr="00E16672">
              <w:rPr>
                <w:rFonts w:ascii="Times New Roman" w:hAnsi="Times New Roman"/>
                <w:sz w:val="16"/>
                <w:szCs w:val="16"/>
              </w:rPr>
              <w:t xml:space="preserve"> у </w:t>
            </w:r>
            <w:proofErr w:type="spellStart"/>
            <w:r w:rsidRPr="00E16672">
              <w:rPr>
                <w:rFonts w:ascii="Times New Roman" w:hAnsi="Times New Roman"/>
                <w:sz w:val="16"/>
                <w:szCs w:val="16"/>
              </w:rPr>
              <w:t>році</w:t>
            </w:r>
            <w:proofErr w:type="spellEnd"/>
            <w:r w:rsidRPr="00E16672">
              <w:rPr>
                <w:rFonts w:ascii="Times New Roman" w:hAnsi="Times New Roman"/>
                <w:sz w:val="16"/>
                <w:szCs w:val="16"/>
              </w:rPr>
              <w:t>;</w:t>
            </w:r>
          </w:p>
          <w:p w14:paraId="56C71F37" w14:textId="77777777" w:rsidR="009928B3" w:rsidRPr="00E16672" w:rsidRDefault="00933C25" w:rsidP="00804E84">
            <w:pPr>
              <w:ind w:left="175" w:right="138" w:firstLine="7"/>
              <w:rPr>
                <w:rFonts w:ascii="Times New Roman" w:hAnsi="Times New Roman"/>
                <w:sz w:val="16"/>
                <w:szCs w:val="16"/>
                <w:lang w:val="uk-UA"/>
              </w:rPr>
            </w:pPr>
            <w:proofErr w:type="spellStart"/>
            <w:r w:rsidRPr="00E16672">
              <w:rPr>
                <w:rFonts w:ascii="Times New Roman" w:hAnsi="Times New Roman"/>
                <w:sz w:val="16"/>
                <w:szCs w:val="16"/>
              </w:rPr>
              <w:t>Д</w:t>
            </w:r>
            <w:r w:rsidRPr="00E16672">
              <w:rPr>
                <w:rFonts w:ascii="Times New Roman" w:hAnsi="Times New Roman"/>
                <w:sz w:val="16"/>
                <w:szCs w:val="16"/>
                <w:vertAlign w:val="subscript"/>
              </w:rPr>
              <w:t>нарахування</w:t>
            </w:r>
            <w:proofErr w:type="spellEnd"/>
            <w:r w:rsidRPr="00E16672">
              <w:rPr>
                <w:rFonts w:ascii="Times New Roman" w:hAnsi="Times New Roman"/>
                <w:sz w:val="16"/>
                <w:szCs w:val="16"/>
              </w:rPr>
              <w:t xml:space="preserve"> – </w:t>
            </w:r>
            <w:proofErr w:type="spellStart"/>
            <w:r w:rsidRPr="00E16672">
              <w:rPr>
                <w:rFonts w:ascii="Times New Roman" w:hAnsi="Times New Roman"/>
                <w:sz w:val="16"/>
                <w:szCs w:val="16"/>
              </w:rPr>
              <w:t>кількість</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днів</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нарахування</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пені</w:t>
            </w:r>
            <w:proofErr w:type="spellEnd"/>
            <w:r w:rsidR="009928B3" w:rsidRPr="00E16672">
              <w:rPr>
                <w:rFonts w:ascii="Times New Roman" w:hAnsi="Times New Roman"/>
                <w:sz w:val="16"/>
                <w:szCs w:val="16"/>
                <w:lang w:val="uk-UA"/>
              </w:rPr>
              <w:t>.</w:t>
            </w:r>
          </w:p>
          <w:p w14:paraId="30056563" w14:textId="77777777" w:rsidR="00933C25" w:rsidRPr="00E16672" w:rsidRDefault="009928B3" w:rsidP="00804E84">
            <w:pPr>
              <w:ind w:left="175" w:firstLine="7"/>
              <w:rPr>
                <w:rFonts w:ascii="Times New Roman" w:hAnsi="Times New Roman"/>
                <w:sz w:val="16"/>
                <w:szCs w:val="16"/>
                <w:lang w:val="uk-UA"/>
              </w:rPr>
            </w:pPr>
            <w:r w:rsidRPr="00E16672">
              <w:rPr>
                <w:rFonts w:ascii="Times New Roman" w:hAnsi="Times New Roman"/>
                <w:sz w:val="16"/>
                <w:szCs w:val="20"/>
                <w:lang w:val="uk-UA"/>
              </w:rPr>
              <w:t xml:space="preserve">Якщо протягом періоду прострочення розмір облікової ставки  Національного Банку України змінювався, пеня розраховується окремо для кожного періоду з відповідним значенням 2НБУ, після чого значення </w:t>
            </w:r>
            <w:proofErr w:type="spellStart"/>
            <w:r w:rsidRPr="00E16672">
              <w:rPr>
                <w:rFonts w:ascii="Times New Roman" w:hAnsi="Times New Roman"/>
                <w:sz w:val="16"/>
                <w:szCs w:val="20"/>
                <w:lang w:val="uk-UA"/>
              </w:rPr>
              <w:t>сумуються</w:t>
            </w:r>
            <w:proofErr w:type="spellEnd"/>
            <w:r w:rsidRPr="00E16672">
              <w:rPr>
                <w:rFonts w:ascii="Times New Roman" w:hAnsi="Times New Roman"/>
                <w:sz w:val="16"/>
                <w:szCs w:val="20"/>
                <w:lang w:val="uk-UA"/>
              </w:rPr>
              <w:t xml:space="preserve">. </w:t>
            </w:r>
            <w:r w:rsidR="00933C25" w:rsidRPr="00E16672">
              <w:rPr>
                <w:rFonts w:ascii="Times New Roman" w:hAnsi="Times New Roman"/>
                <w:sz w:val="16"/>
                <w:szCs w:val="16"/>
                <w:lang w:val="uk-UA"/>
              </w:rPr>
              <w:t xml:space="preserve"> </w:t>
            </w:r>
          </w:p>
        </w:tc>
        <w:tc>
          <w:tcPr>
            <w:tcW w:w="5494" w:type="dxa"/>
            <w:gridSpan w:val="7"/>
            <w:shd w:val="clear" w:color="auto" w:fill="auto"/>
          </w:tcPr>
          <w:p w14:paraId="5A0F49BA" w14:textId="77777777" w:rsidR="00933C25" w:rsidRPr="00E16672" w:rsidRDefault="00933C25" w:rsidP="00804E84">
            <w:pPr>
              <w:tabs>
                <w:tab w:val="left" w:pos="287"/>
              </w:tabs>
              <w:snapToGrid w:val="0"/>
              <w:ind w:left="175" w:right="100" w:firstLine="7"/>
              <w:rPr>
                <w:rFonts w:ascii="Times New Roman" w:hAnsi="Times New Roman"/>
                <w:sz w:val="16"/>
                <w:szCs w:val="16"/>
                <w:lang w:val="en-GB"/>
              </w:rPr>
            </w:pPr>
            <w:r w:rsidRPr="00E16672">
              <w:rPr>
                <w:rFonts w:ascii="Times New Roman" w:hAnsi="Times New Roman"/>
                <w:sz w:val="16"/>
                <w:szCs w:val="16"/>
                <w:lang w:val="en-GB"/>
              </w:rPr>
              <w:lastRenderedPageBreak/>
              <w:t>F=</w:t>
            </w:r>
            <w:proofErr w:type="spellStart"/>
            <w:r w:rsidRPr="00E16672">
              <w:rPr>
                <w:rFonts w:ascii="Times New Roman" w:hAnsi="Times New Roman"/>
                <w:sz w:val="16"/>
                <w:szCs w:val="16"/>
                <w:lang w:val="en-GB"/>
              </w:rPr>
              <w:t>Т</w:t>
            </w:r>
            <w:r w:rsidRPr="00E16672">
              <w:rPr>
                <w:rFonts w:ascii="Times New Roman" w:hAnsi="Times New Roman"/>
                <w:sz w:val="16"/>
                <w:szCs w:val="16"/>
                <w:vertAlign w:val="subscript"/>
                <w:lang w:val="en-GB"/>
              </w:rPr>
              <w:t>notpayment</w:t>
            </w:r>
            <w:proofErr w:type="spellEnd"/>
            <w:r w:rsidRPr="00E16672">
              <w:rPr>
                <w:rFonts w:ascii="Times New Roman" w:hAnsi="Times New Roman"/>
                <w:sz w:val="16"/>
                <w:szCs w:val="16"/>
                <w:lang w:val="en-GB"/>
              </w:rPr>
              <w:t>*2NBU/</w:t>
            </w:r>
            <w:proofErr w:type="spellStart"/>
            <w:r w:rsidRPr="00E16672">
              <w:rPr>
                <w:rFonts w:ascii="Times New Roman" w:hAnsi="Times New Roman"/>
                <w:sz w:val="16"/>
                <w:szCs w:val="16"/>
                <w:lang w:val="en-GB"/>
              </w:rPr>
              <w:t>D</w:t>
            </w:r>
            <w:r w:rsidRPr="00E16672">
              <w:rPr>
                <w:rFonts w:ascii="Times New Roman" w:hAnsi="Times New Roman"/>
                <w:sz w:val="16"/>
                <w:szCs w:val="16"/>
                <w:vertAlign w:val="subscript"/>
                <w:lang w:val="en-GB"/>
              </w:rPr>
              <w:t>year</w:t>
            </w:r>
            <w:proofErr w:type="spellEnd"/>
            <w:r w:rsidRPr="00E16672">
              <w:rPr>
                <w:rFonts w:ascii="Times New Roman" w:hAnsi="Times New Roman"/>
                <w:sz w:val="16"/>
                <w:szCs w:val="16"/>
                <w:lang w:val="en-GB"/>
              </w:rPr>
              <w:t>*</w:t>
            </w:r>
            <w:proofErr w:type="spellStart"/>
            <w:r w:rsidRPr="00E16672">
              <w:rPr>
                <w:rFonts w:ascii="Times New Roman" w:hAnsi="Times New Roman"/>
                <w:sz w:val="16"/>
                <w:szCs w:val="16"/>
                <w:lang w:val="en-GB"/>
              </w:rPr>
              <w:t>D</w:t>
            </w:r>
            <w:r w:rsidRPr="00E16672">
              <w:rPr>
                <w:rFonts w:ascii="Times New Roman" w:hAnsi="Times New Roman"/>
                <w:sz w:val="16"/>
                <w:szCs w:val="16"/>
                <w:vertAlign w:val="subscript"/>
                <w:lang w:val="en-GB"/>
              </w:rPr>
              <w:t>extracharge</w:t>
            </w:r>
            <w:proofErr w:type="spellEnd"/>
            <w:r w:rsidRPr="00E16672">
              <w:rPr>
                <w:rFonts w:ascii="Times New Roman" w:hAnsi="Times New Roman"/>
                <w:sz w:val="16"/>
                <w:szCs w:val="16"/>
                <w:lang w:val="en-GB"/>
              </w:rPr>
              <w:t xml:space="preserve">, </w:t>
            </w:r>
          </w:p>
          <w:p w14:paraId="178C3858" w14:textId="77777777" w:rsidR="00907FFB" w:rsidRPr="00E16672" w:rsidRDefault="00933C25" w:rsidP="00804E84">
            <w:pPr>
              <w:tabs>
                <w:tab w:val="left" w:pos="287"/>
              </w:tabs>
              <w:snapToGrid w:val="0"/>
              <w:ind w:left="175" w:right="100" w:firstLine="7"/>
              <w:rPr>
                <w:rFonts w:ascii="Times New Roman" w:hAnsi="Times New Roman"/>
                <w:sz w:val="16"/>
                <w:szCs w:val="16"/>
                <w:lang w:val="en-GB"/>
              </w:rPr>
            </w:pPr>
            <w:r w:rsidRPr="00E16672">
              <w:rPr>
                <w:rFonts w:ascii="Times New Roman" w:hAnsi="Times New Roman"/>
                <w:sz w:val="16"/>
                <w:szCs w:val="16"/>
                <w:lang w:val="en-GB"/>
              </w:rPr>
              <w:t>where:</w:t>
            </w:r>
            <w:r w:rsidRPr="00E16672">
              <w:rPr>
                <w:rFonts w:ascii="Times New Roman" w:hAnsi="Times New Roman"/>
                <w:sz w:val="16"/>
                <w:szCs w:val="16"/>
                <w:lang w:val="en-GB"/>
              </w:rPr>
              <w:br/>
            </w:r>
            <w:r w:rsidRPr="00E16672">
              <w:rPr>
                <w:rFonts w:ascii="Times New Roman" w:hAnsi="Times New Roman"/>
                <w:sz w:val="16"/>
                <w:szCs w:val="16"/>
                <w:lang w:val="en-GB"/>
              </w:rPr>
              <w:lastRenderedPageBreak/>
              <w:t>F – fine;</w:t>
            </w:r>
          </w:p>
          <w:p w14:paraId="795A3E4A" w14:textId="77777777" w:rsidR="00933C25" w:rsidRPr="00E16672" w:rsidRDefault="00933C25" w:rsidP="00804E84">
            <w:pPr>
              <w:tabs>
                <w:tab w:val="left" w:pos="287"/>
              </w:tabs>
              <w:snapToGrid w:val="0"/>
              <w:ind w:left="175" w:right="100" w:firstLine="7"/>
              <w:rPr>
                <w:rFonts w:ascii="Times New Roman" w:hAnsi="Times New Roman"/>
                <w:sz w:val="16"/>
                <w:szCs w:val="16"/>
                <w:lang w:val="en-GB"/>
              </w:rPr>
            </w:pPr>
            <w:proofErr w:type="spellStart"/>
            <w:r w:rsidRPr="00E16672">
              <w:rPr>
                <w:rFonts w:ascii="Times New Roman" w:hAnsi="Times New Roman"/>
                <w:sz w:val="16"/>
                <w:szCs w:val="16"/>
                <w:lang w:val="en-GB"/>
              </w:rPr>
              <w:t>Т</w:t>
            </w:r>
            <w:r w:rsidRPr="00E16672">
              <w:rPr>
                <w:rFonts w:ascii="Times New Roman" w:hAnsi="Times New Roman"/>
                <w:sz w:val="16"/>
                <w:szCs w:val="16"/>
                <w:vertAlign w:val="subscript"/>
                <w:lang w:val="en-GB"/>
              </w:rPr>
              <w:t>notpayment</w:t>
            </w:r>
            <w:proofErr w:type="spellEnd"/>
            <w:r w:rsidRPr="00E16672">
              <w:rPr>
                <w:rFonts w:ascii="Times New Roman" w:hAnsi="Times New Roman"/>
                <w:sz w:val="16"/>
                <w:szCs w:val="16"/>
                <w:lang w:val="en-GB"/>
              </w:rPr>
              <w:t xml:space="preserve"> – cost of not payment service</w:t>
            </w:r>
            <w:r w:rsidR="00713C8B" w:rsidRPr="00E16672">
              <w:rPr>
                <w:rFonts w:ascii="Times New Roman" w:hAnsi="Times New Roman"/>
                <w:sz w:val="16"/>
                <w:szCs w:val="16"/>
                <w:lang w:val="uk-UA"/>
              </w:rPr>
              <w:t xml:space="preserve"> (</w:t>
            </w:r>
            <w:r w:rsidR="00713C8B" w:rsidRPr="00E16672">
              <w:rPr>
                <w:rFonts w:ascii="Times New Roman" w:hAnsi="Times New Roman"/>
                <w:sz w:val="16"/>
                <w:szCs w:val="16"/>
                <w:lang w:val="en-GB"/>
              </w:rPr>
              <w:t>not payment services</w:t>
            </w:r>
            <w:r w:rsidR="00713C8B" w:rsidRPr="00E16672">
              <w:rPr>
                <w:rFonts w:ascii="Times New Roman" w:hAnsi="Times New Roman"/>
                <w:sz w:val="16"/>
                <w:szCs w:val="16"/>
                <w:lang w:val="uk-UA"/>
              </w:rPr>
              <w:t>)</w:t>
            </w:r>
            <w:r w:rsidRPr="00E16672">
              <w:rPr>
                <w:rFonts w:ascii="Times New Roman" w:hAnsi="Times New Roman"/>
                <w:sz w:val="16"/>
                <w:szCs w:val="16"/>
                <w:lang w:val="en-GB"/>
              </w:rPr>
              <w:t>;</w:t>
            </w:r>
          </w:p>
          <w:p w14:paraId="1614912D" w14:textId="77777777" w:rsidR="00933C25" w:rsidRPr="00E16672" w:rsidRDefault="00933C25" w:rsidP="00804E84">
            <w:pPr>
              <w:tabs>
                <w:tab w:val="left" w:pos="287"/>
              </w:tabs>
              <w:ind w:left="175" w:right="100" w:firstLine="7"/>
              <w:rPr>
                <w:rFonts w:ascii="Times New Roman" w:hAnsi="Times New Roman"/>
                <w:sz w:val="16"/>
                <w:szCs w:val="16"/>
                <w:lang w:val="en-GB"/>
              </w:rPr>
            </w:pPr>
            <w:r w:rsidRPr="00E16672">
              <w:rPr>
                <w:rFonts w:ascii="Times New Roman" w:hAnsi="Times New Roman"/>
                <w:sz w:val="16"/>
                <w:szCs w:val="16"/>
                <w:lang w:val="en-GB"/>
              </w:rPr>
              <w:t>2NBU – double registration rate of the National bank of Ukraine;</w:t>
            </w:r>
          </w:p>
          <w:p w14:paraId="2E121B3A" w14:textId="77777777" w:rsidR="00933C25" w:rsidRPr="00E16672" w:rsidRDefault="00933C25" w:rsidP="00804E84">
            <w:pPr>
              <w:tabs>
                <w:tab w:val="left" w:pos="287"/>
              </w:tabs>
              <w:ind w:left="175" w:right="100" w:firstLine="7"/>
              <w:rPr>
                <w:rFonts w:ascii="Times New Roman" w:hAnsi="Times New Roman"/>
                <w:sz w:val="16"/>
                <w:szCs w:val="16"/>
                <w:lang w:val="en-GB"/>
              </w:rPr>
            </w:pPr>
            <w:proofErr w:type="spellStart"/>
            <w:r w:rsidRPr="00E16672">
              <w:rPr>
                <w:rFonts w:ascii="Times New Roman" w:hAnsi="Times New Roman"/>
                <w:sz w:val="16"/>
                <w:szCs w:val="16"/>
                <w:lang w:val="en-GB"/>
              </w:rPr>
              <w:t>D</w:t>
            </w:r>
            <w:r w:rsidRPr="00E16672">
              <w:rPr>
                <w:rFonts w:ascii="Times New Roman" w:hAnsi="Times New Roman"/>
                <w:sz w:val="16"/>
                <w:szCs w:val="16"/>
                <w:vertAlign w:val="subscript"/>
                <w:lang w:val="en-GB"/>
              </w:rPr>
              <w:t>year</w:t>
            </w:r>
            <w:proofErr w:type="spellEnd"/>
            <w:r w:rsidRPr="00E16672">
              <w:rPr>
                <w:rFonts w:ascii="Times New Roman" w:hAnsi="Times New Roman"/>
                <w:sz w:val="16"/>
                <w:szCs w:val="16"/>
                <w:lang w:val="en-GB"/>
              </w:rPr>
              <w:t xml:space="preserve"> – an </w:t>
            </w:r>
            <w:proofErr w:type="gramStart"/>
            <w:r w:rsidRPr="00E16672">
              <w:rPr>
                <w:rFonts w:ascii="Times New Roman" w:hAnsi="Times New Roman"/>
                <w:sz w:val="16"/>
                <w:szCs w:val="16"/>
                <w:lang w:val="en-GB"/>
              </w:rPr>
              <w:t>amount</w:t>
            </w:r>
            <w:proofErr w:type="gramEnd"/>
            <w:r w:rsidRPr="00E16672">
              <w:rPr>
                <w:rFonts w:ascii="Times New Roman" w:hAnsi="Times New Roman"/>
                <w:sz w:val="16"/>
                <w:szCs w:val="16"/>
                <w:lang w:val="en-GB"/>
              </w:rPr>
              <w:t xml:space="preserve"> of days is in a year;</w:t>
            </w:r>
          </w:p>
          <w:p w14:paraId="07AB5C89" w14:textId="77777777" w:rsidR="00933C25" w:rsidRPr="00E16672" w:rsidRDefault="00933C25" w:rsidP="00804E84">
            <w:pPr>
              <w:tabs>
                <w:tab w:val="left" w:pos="287"/>
              </w:tabs>
              <w:snapToGrid w:val="0"/>
              <w:ind w:left="175" w:right="100" w:firstLine="7"/>
              <w:rPr>
                <w:rFonts w:ascii="Times New Roman" w:hAnsi="Times New Roman"/>
                <w:sz w:val="16"/>
                <w:szCs w:val="16"/>
                <w:lang w:val="en-GB"/>
              </w:rPr>
            </w:pPr>
            <w:proofErr w:type="spellStart"/>
            <w:r w:rsidRPr="00E16672">
              <w:rPr>
                <w:rFonts w:ascii="Times New Roman" w:hAnsi="Times New Roman"/>
                <w:sz w:val="16"/>
                <w:szCs w:val="16"/>
                <w:lang w:val="en-GB"/>
              </w:rPr>
              <w:t>D</w:t>
            </w:r>
            <w:r w:rsidRPr="00E16672">
              <w:rPr>
                <w:rFonts w:ascii="Times New Roman" w:hAnsi="Times New Roman"/>
                <w:sz w:val="16"/>
                <w:szCs w:val="16"/>
                <w:vertAlign w:val="subscript"/>
                <w:lang w:val="en-GB"/>
              </w:rPr>
              <w:t>extracharge</w:t>
            </w:r>
            <w:proofErr w:type="spellEnd"/>
            <w:r w:rsidRPr="00E16672">
              <w:rPr>
                <w:rFonts w:ascii="Times New Roman" w:hAnsi="Times New Roman"/>
                <w:sz w:val="16"/>
                <w:szCs w:val="16"/>
                <w:lang w:val="en-GB"/>
              </w:rPr>
              <w:t xml:space="preserve"> – an </w:t>
            </w:r>
            <w:proofErr w:type="gramStart"/>
            <w:r w:rsidRPr="00E16672">
              <w:rPr>
                <w:rFonts w:ascii="Times New Roman" w:hAnsi="Times New Roman"/>
                <w:sz w:val="16"/>
                <w:szCs w:val="16"/>
                <w:lang w:val="en-GB"/>
              </w:rPr>
              <w:t>amount</w:t>
            </w:r>
            <w:proofErr w:type="gramEnd"/>
            <w:r w:rsidRPr="00E16672">
              <w:rPr>
                <w:rFonts w:ascii="Times New Roman" w:hAnsi="Times New Roman"/>
                <w:sz w:val="16"/>
                <w:szCs w:val="16"/>
                <w:lang w:val="en-GB"/>
              </w:rPr>
              <w:t xml:space="preserve"> of days of extra charge of fine.</w:t>
            </w:r>
          </w:p>
          <w:p w14:paraId="5409ACCA" w14:textId="77777777" w:rsidR="009928B3" w:rsidRPr="00E16672" w:rsidRDefault="009928B3" w:rsidP="00804E84">
            <w:pPr>
              <w:tabs>
                <w:tab w:val="left" w:pos="287"/>
              </w:tabs>
              <w:snapToGrid w:val="0"/>
              <w:ind w:left="175" w:right="100" w:firstLine="7"/>
              <w:rPr>
                <w:rFonts w:ascii="Times New Roman" w:hAnsi="Times New Roman"/>
                <w:sz w:val="16"/>
                <w:szCs w:val="16"/>
                <w:lang w:val="en-GB"/>
              </w:rPr>
            </w:pPr>
            <w:r w:rsidRPr="00F23413">
              <w:rPr>
                <w:rFonts w:ascii="Times New Roman" w:hAnsi="Times New Roman"/>
                <w:sz w:val="16"/>
                <w:szCs w:val="16"/>
                <w:lang w:val="en-US"/>
              </w:rPr>
              <w:t>If, during the period of delay, the size of the discount rate of the National Bank of Ukraine has changed, the interest is calculated separately for each period with the corresponding value of 2NBU, after which the values are summed up.</w:t>
            </w:r>
          </w:p>
        </w:tc>
      </w:tr>
      <w:tr w:rsidR="00933C25" w:rsidRPr="00F23413" w14:paraId="225F52E3" w14:textId="77777777" w:rsidTr="00D77858">
        <w:tblPrEx>
          <w:tblCellMar>
            <w:left w:w="0" w:type="dxa"/>
            <w:right w:w="0" w:type="dxa"/>
          </w:tblCellMar>
        </w:tblPrEx>
        <w:trPr>
          <w:trHeight w:val="192"/>
        </w:trPr>
        <w:tc>
          <w:tcPr>
            <w:tcW w:w="5696" w:type="dxa"/>
            <w:gridSpan w:val="6"/>
            <w:shd w:val="clear" w:color="auto" w:fill="auto"/>
          </w:tcPr>
          <w:p w14:paraId="553DFC3F" w14:textId="77777777" w:rsidR="00933C25" w:rsidRPr="00E16672" w:rsidRDefault="00933C25" w:rsidP="00804E84">
            <w:pPr>
              <w:snapToGrid w:val="0"/>
              <w:ind w:left="175" w:right="138" w:firstLine="7"/>
              <w:rPr>
                <w:rFonts w:ascii="Times New Roman" w:hAnsi="Times New Roman"/>
                <w:sz w:val="16"/>
                <w:szCs w:val="16"/>
                <w:lang w:val="en-US"/>
              </w:rPr>
            </w:pPr>
          </w:p>
          <w:p w14:paraId="4602E6D6" w14:textId="77777777" w:rsidR="00933C25" w:rsidRPr="00E16672" w:rsidRDefault="00933C25" w:rsidP="00804E84">
            <w:pPr>
              <w:ind w:left="175" w:right="138" w:firstLine="7"/>
              <w:rPr>
                <w:rFonts w:ascii="Times New Roman" w:hAnsi="Times New Roman"/>
                <w:sz w:val="16"/>
                <w:szCs w:val="16"/>
              </w:rPr>
            </w:pPr>
            <w:r w:rsidRPr="00E16672">
              <w:rPr>
                <w:rFonts w:ascii="Times New Roman" w:hAnsi="Times New Roman"/>
                <w:sz w:val="16"/>
                <w:szCs w:val="16"/>
              </w:rPr>
              <w:t xml:space="preserve">5.9.2. </w:t>
            </w:r>
            <w:proofErr w:type="spellStart"/>
            <w:r w:rsidRPr="00E16672">
              <w:rPr>
                <w:rFonts w:ascii="Times New Roman" w:hAnsi="Times New Roman"/>
                <w:sz w:val="16"/>
                <w:szCs w:val="16"/>
              </w:rPr>
              <w:t>Депозитарна</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установа</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може</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пред'являти</w:t>
            </w:r>
            <w:proofErr w:type="spellEnd"/>
            <w:r w:rsidRPr="00E16672">
              <w:rPr>
                <w:rFonts w:ascii="Times New Roman" w:hAnsi="Times New Roman"/>
                <w:sz w:val="16"/>
                <w:szCs w:val="16"/>
              </w:rPr>
              <w:t xml:space="preserve"> Депоненту </w:t>
            </w:r>
            <w:proofErr w:type="spellStart"/>
            <w:r w:rsidRPr="00E16672">
              <w:rPr>
                <w:rFonts w:ascii="Times New Roman" w:hAnsi="Times New Roman"/>
                <w:sz w:val="16"/>
                <w:szCs w:val="16"/>
              </w:rPr>
              <w:t>вимоги</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стосовно</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сплати</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пені</w:t>
            </w:r>
            <w:proofErr w:type="spellEnd"/>
            <w:r w:rsidRPr="00E16672">
              <w:rPr>
                <w:rFonts w:ascii="Times New Roman" w:hAnsi="Times New Roman"/>
                <w:sz w:val="16"/>
                <w:szCs w:val="16"/>
              </w:rPr>
              <w:t xml:space="preserve">, як шляхом </w:t>
            </w:r>
            <w:proofErr w:type="spellStart"/>
            <w:r w:rsidRPr="00E16672">
              <w:rPr>
                <w:rFonts w:ascii="Times New Roman" w:hAnsi="Times New Roman"/>
                <w:sz w:val="16"/>
                <w:szCs w:val="16"/>
              </w:rPr>
              <w:t>надіслання</w:t>
            </w:r>
            <w:proofErr w:type="spellEnd"/>
            <w:r w:rsidRPr="00E16672">
              <w:rPr>
                <w:rFonts w:ascii="Times New Roman" w:hAnsi="Times New Roman"/>
                <w:sz w:val="16"/>
                <w:szCs w:val="16"/>
              </w:rPr>
              <w:t xml:space="preserve"> </w:t>
            </w:r>
            <w:proofErr w:type="spellStart"/>
            <w:r w:rsidR="000371EA" w:rsidRPr="00E16672">
              <w:rPr>
                <w:rFonts w:ascii="Times New Roman" w:hAnsi="Times New Roman"/>
                <w:sz w:val="16"/>
                <w:szCs w:val="16"/>
              </w:rPr>
              <w:t>рахунк</w:t>
            </w:r>
            <w:proofErr w:type="spellEnd"/>
            <w:r w:rsidR="000371EA" w:rsidRPr="00E16672">
              <w:rPr>
                <w:rFonts w:ascii="Times New Roman" w:hAnsi="Times New Roman"/>
                <w:sz w:val="16"/>
                <w:szCs w:val="16"/>
                <w:lang w:val="uk-UA"/>
              </w:rPr>
              <w:t>у</w:t>
            </w:r>
            <w:r w:rsidRPr="00E16672">
              <w:rPr>
                <w:rFonts w:ascii="Times New Roman" w:hAnsi="Times New Roman"/>
                <w:sz w:val="16"/>
                <w:szCs w:val="16"/>
              </w:rPr>
              <w:t xml:space="preserve">, так і шляхом </w:t>
            </w:r>
            <w:proofErr w:type="spellStart"/>
            <w:r w:rsidRPr="00E16672">
              <w:rPr>
                <w:rFonts w:ascii="Times New Roman" w:hAnsi="Times New Roman"/>
                <w:sz w:val="16"/>
                <w:szCs w:val="16"/>
              </w:rPr>
              <w:t>звернення</w:t>
            </w:r>
            <w:proofErr w:type="spellEnd"/>
            <w:r w:rsidRPr="00E16672">
              <w:rPr>
                <w:rFonts w:ascii="Times New Roman" w:hAnsi="Times New Roman"/>
                <w:sz w:val="16"/>
                <w:szCs w:val="16"/>
              </w:rPr>
              <w:t xml:space="preserve"> до Депонента з листом, </w:t>
            </w:r>
            <w:proofErr w:type="spellStart"/>
            <w:r w:rsidRPr="00E16672">
              <w:rPr>
                <w:rFonts w:ascii="Times New Roman" w:hAnsi="Times New Roman"/>
                <w:sz w:val="16"/>
                <w:szCs w:val="16"/>
              </w:rPr>
              <w:t>телеграмою</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тощо</w:t>
            </w:r>
            <w:proofErr w:type="spellEnd"/>
            <w:r w:rsidRPr="00E16672">
              <w:rPr>
                <w:rFonts w:ascii="Times New Roman" w:hAnsi="Times New Roman"/>
                <w:sz w:val="16"/>
                <w:szCs w:val="16"/>
              </w:rPr>
              <w:t>.</w:t>
            </w:r>
          </w:p>
        </w:tc>
        <w:tc>
          <w:tcPr>
            <w:tcW w:w="5494" w:type="dxa"/>
            <w:gridSpan w:val="7"/>
            <w:shd w:val="clear" w:color="auto" w:fill="auto"/>
          </w:tcPr>
          <w:p w14:paraId="785E736F" w14:textId="77777777" w:rsidR="00933C25" w:rsidRPr="00E16672" w:rsidRDefault="00933C25" w:rsidP="00804E84">
            <w:pPr>
              <w:tabs>
                <w:tab w:val="left" w:pos="287"/>
              </w:tabs>
              <w:snapToGrid w:val="0"/>
              <w:ind w:left="175" w:right="100" w:firstLine="7"/>
              <w:rPr>
                <w:rFonts w:ascii="Times New Roman" w:hAnsi="Times New Roman"/>
                <w:sz w:val="16"/>
                <w:szCs w:val="16"/>
              </w:rPr>
            </w:pPr>
          </w:p>
          <w:p w14:paraId="5A7F6567" w14:textId="77777777" w:rsidR="00933C25" w:rsidRPr="00E16672" w:rsidRDefault="00933C25" w:rsidP="00804E84">
            <w:pPr>
              <w:tabs>
                <w:tab w:val="left" w:pos="287"/>
              </w:tabs>
              <w:snapToGrid w:val="0"/>
              <w:ind w:left="175" w:right="100" w:firstLine="7"/>
              <w:rPr>
                <w:rFonts w:ascii="Times New Roman" w:hAnsi="Times New Roman"/>
                <w:sz w:val="16"/>
                <w:szCs w:val="16"/>
                <w:lang w:val="en-GB"/>
              </w:rPr>
            </w:pPr>
            <w:r w:rsidRPr="00E16672">
              <w:rPr>
                <w:rFonts w:ascii="Times New Roman" w:hAnsi="Times New Roman"/>
                <w:sz w:val="16"/>
                <w:szCs w:val="16"/>
                <w:lang w:val="en-GB"/>
              </w:rPr>
              <w:t xml:space="preserve">5.9.2. Depository institution can to make from </w:t>
            </w:r>
            <w:proofErr w:type="gramStart"/>
            <w:r w:rsidRPr="00E16672">
              <w:rPr>
                <w:rFonts w:ascii="Times New Roman" w:hAnsi="Times New Roman"/>
                <w:sz w:val="16"/>
                <w:szCs w:val="16"/>
                <w:lang w:val="en-GB"/>
              </w:rPr>
              <w:t>Depositor  requirement</w:t>
            </w:r>
            <w:proofErr w:type="gramEnd"/>
            <w:r w:rsidRPr="00E16672">
              <w:rPr>
                <w:rFonts w:ascii="Times New Roman" w:hAnsi="Times New Roman"/>
                <w:sz w:val="16"/>
                <w:szCs w:val="16"/>
                <w:lang w:val="en-GB"/>
              </w:rPr>
              <w:t xml:space="preserve"> concerning of payment of fine, both as by the message of invoice and by an address to Depositor with a letter, by a telegram and others like that.</w:t>
            </w:r>
          </w:p>
          <w:p w14:paraId="646218D3" w14:textId="77777777" w:rsidR="00933C25" w:rsidRPr="00E16672" w:rsidRDefault="00933C25" w:rsidP="00804E84">
            <w:pPr>
              <w:tabs>
                <w:tab w:val="left" w:pos="287"/>
              </w:tabs>
              <w:snapToGrid w:val="0"/>
              <w:ind w:left="175" w:right="100" w:firstLine="7"/>
              <w:rPr>
                <w:rFonts w:ascii="Times New Roman" w:hAnsi="Times New Roman"/>
                <w:sz w:val="16"/>
                <w:szCs w:val="16"/>
                <w:lang w:val="en-GB"/>
              </w:rPr>
            </w:pPr>
          </w:p>
        </w:tc>
      </w:tr>
      <w:tr w:rsidR="00933C25" w:rsidRPr="00F23413" w14:paraId="7DAFBE01" w14:textId="77777777" w:rsidTr="00D77858">
        <w:tblPrEx>
          <w:tblCellMar>
            <w:left w:w="0" w:type="dxa"/>
            <w:right w:w="0" w:type="dxa"/>
          </w:tblCellMar>
        </w:tblPrEx>
        <w:trPr>
          <w:trHeight w:val="192"/>
        </w:trPr>
        <w:tc>
          <w:tcPr>
            <w:tcW w:w="5696" w:type="dxa"/>
            <w:gridSpan w:val="6"/>
            <w:shd w:val="clear" w:color="auto" w:fill="auto"/>
          </w:tcPr>
          <w:p w14:paraId="3DFB8816" w14:textId="77777777" w:rsidR="00933C25" w:rsidRPr="00E16672" w:rsidRDefault="00933C25" w:rsidP="00804E84">
            <w:pPr>
              <w:snapToGrid w:val="0"/>
              <w:ind w:left="175" w:right="138" w:firstLine="7"/>
              <w:rPr>
                <w:rFonts w:ascii="Times New Roman" w:hAnsi="Times New Roman"/>
                <w:sz w:val="16"/>
                <w:szCs w:val="16"/>
              </w:rPr>
            </w:pPr>
            <w:r w:rsidRPr="00E16672">
              <w:rPr>
                <w:rFonts w:ascii="Times New Roman" w:hAnsi="Times New Roman"/>
                <w:sz w:val="16"/>
                <w:szCs w:val="16"/>
              </w:rPr>
              <w:t xml:space="preserve">5.9.3. Депонент повинен </w:t>
            </w:r>
            <w:proofErr w:type="spellStart"/>
            <w:r w:rsidRPr="00E16672">
              <w:rPr>
                <w:rFonts w:ascii="Times New Roman" w:hAnsi="Times New Roman"/>
                <w:sz w:val="16"/>
                <w:szCs w:val="16"/>
              </w:rPr>
              <w:t>виконати</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зобов'язання</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визначене</w:t>
            </w:r>
            <w:proofErr w:type="spellEnd"/>
            <w:r w:rsidRPr="00E16672">
              <w:rPr>
                <w:rFonts w:ascii="Times New Roman" w:hAnsi="Times New Roman"/>
                <w:sz w:val="16"/>
                <w:szCs w:val="16"/>
              </w:rPr>
              <w:t xml:space="preserve"> п. 5.9., у </w:t>
            </w:r>
            <w:proofErr w:type="spellStart"/>
            <w:r w:rsidRPr="00E16672">
              <w:rPr>
                <w:rFonts w:ascii="Times New Roman" w:hAnsi="Times New Roman"/>
                <w:sz w:val="16"/>
                <w:szCs w:val="16"/>
              </w:rPr>
              <w:t>п’ятиденний</w:t>
            </w:r>
            <w:proofErr w:type="spellEnd"/>
            <w:r w:rsidRPr="00E16672">
              <w:rPr>
                <w:rFonts w:ascii="Times New Roman" w:hAnsi="Times New Roman"/>
                <w:sz w:val="16"/>
                <w:szCs w:val="16"/>
              </w:rPr>
              <w:t xml:space="preserve"> строк з дня </w:t>
            </w:r>
            <w:proofErr w:type="spellStart"/>
            <w:r w:rsidRPr="00E16672">
              <w:rPr>
                <w:rFonts w:ascii="Times New Roman" w:hAnsi="Times New Roman"/>
                <w:sz w:val="16"/>
                <w:szCs w:val="16"/>
              </w:rPr>
              <w:t>пред'явлення</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вимоги</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Депозитарної</w:t>
            </w:r>
            <w:proofErr w:type="spellEnd"/>
            <w:r w:rsidRPr="00E16672">
              <w:rPr>
                <w:rFonts w:ascii="Times New Roman" w:hAnsi="Times New Roman"/>
                <w:sz w:val="16"/>
                <w:szCs w:val="16"/>
              </w:rPr>
              <w:t xml:space="preserve"> установи </w:t>
            </w:r>
            <w:proofErr w:type="spellStart"/>
            <w:r w:rsidRPr="00E16672">
              <w:rPr>
                <w:rFonts w:ascii="Times New Roman" w:hAnsi="Times New Roman"/>
                <w:sz w:val="16"/>
                <w:szCs w:val="16"/>
              </w:rPr>
              <w:t>згідно</w:t>
            </w:r>
            <w:proofErr w:type="spellEnd"/>
            <w:r w:rsidRPr="00E16672">
              <w:rPr>
                <w:rFonts w:ascii="Times New Roman" w:hAnsi="Times New Roman"/>
                <w:sz w:val="16"/>
                <w:szCs w:val="16"/>
              </w:rPr>
              <w:t xml:space="preserve"> з п. 5.9. Таким днем </w:t>
            </w:r>
            <w:proofErr w:type="spellStart"/>
            <w:r w:rsidRPr="00E16672">
              <w:rPr>
                <w:rFonts w:ascii="Times New Roman" w:hAnsi="Times New Roman"/>
                <w:sz w:val="16"/>
                <w:szCs w:val="16"/>
              </w:rPr>
              <w:t>слід</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вважати</w:t>
            </w:r>
            <w:proofErr w:type="spellEnd"/>
            <w:r w:rsidRPr="00E16672">
              <w:rPr>
                <w:rFonts w:ascii="Times New Roman" w:hAnsi="Times New Roman"/>
                <w:sz w:val="16"/>
                <w:szCs w:val="16"/>
              </w:rPr>
              <w:t xml:space="preserve"> дату </w:t>
            </w:r>
            <w:proofErr w:type="spellStart"/>
            <w:r w:rsidRPr="00E16672">
              <w:rPr>
                <w:rFonts w:ascii="Times New Roman" w:hAnsi="Times New Roman"/>
                <w:sz w:val="16"/>
                <w:szCs w:val="16"/>
              </w:rPr>
              <w:t>одержання</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вимоги</w:t>
            </w:r>
            <w:proofErr w:type="spellEnd"/>
            <w:r w:rsidRPr="00E16672">
              <w:rPr>
                <w:rFonts w:ascii="Times New Roman" w:hAnsi="Times New Roman"/>
                <w:sz w:val="16"/>
                <w:szCs w:val="16"/>
              </w:rPr>
              <w:t xml:space="preserve"> Депонентом.</w:t>
            </w:r>
          </w:p>
        </w:tc>
        <w:tc>
          <w:tcPr>
            <w:tcW w:w="5494" w:type="dxa"/>
            <w:gridSpan w:val="7"/>
            <w:shd w:val="clear" w:color="auto" w:fill="auto"/>
          </w:tcPr>
          <w:p w14:paraId="75A0819D" w14:textId="77777777" w:rsidR="00933C25" w:rsidRPr="00E16672" w:rsidRDefault="00933C25" w:rsidP="00804E84">
            <w:pPr>
              <w:tabs>
                <w:tab w:val="left" w:pos="287"/>
              </w:tabs>
              <w:snapToGrid w:val="0"/>
              <w:ind w:left="175" w:right="100" w:firstLine="7"/>
              <w:rPr>
                <w:rFonts w:ascii="Times New Roman" w:hAnsi="Times New Roman"/>
                <w:sz w:val="16"/>
                <w:szCs w:val="16"/>
                <w:lang w:val="en-GB"/>
              </w:rPr>
            </w:pPr>
            <w:r w:rsidRPr="00E16672">
              <w:rPr>
                <w:rFonts w:ascii="Times New Roman" w:hAnsi="Times New Roman"/>
                <w:sz w:val="16"/>
                <w:szCs w:val="16"/>
                <w:lang w:val="en-GB"/>
              </w:rPr>
              <w:t>5.9.3. A depositor must execute obligations, certain item 5.9., in a five-day term from the day of making requirement by Depository institution in accordance to item 5.9. It follows to consider the date of receipt of requirement Depositor such day.</w:t>
            </w:r>
          </w:p>
          <w:p w14:paraId="29996B22" w14:textId="77777777" w:rsidR="00933C25" w:rsidRPr="00E16672" w:rsidRDefault="00933C25" w:rsidP="00804E84">
            <w:pPr>
              <w:tabs>
                <w:tab w:val="left" w:pos="287"/>
              </w:tabs>
              <w:snapToGrid w:val="0"/>
              <w:ind w:left="175" w:right="100" w:firstLine="7"/>
              <w:rPr>
                <w:rFonts w:ascii="Times New Roman" w:hAnsi="Times New Roman"/>
                <w:sz w:val="16"/>
                <w:szCs w:val="16"/>
                <w:lang w:val="en-GB"/>
              </w:rPr>
            </w:pPr>
          </w:p>
        </w:tc>
      </w:tr>
      <w:tr w:rsidR="00933C25" w:rsidRPr="00F23413" w14:paraId="176453BA" w14:textId="77777777" w:rsidTr="00D77858">
        <w:tblPrEx>
          <w:tblCellMar>
            <w:left w:w="0" w:type="dxa"/>
            <w:right w:w="0" w:type="dxa"/>
          </w:tblCellMar>
        </w:tblPrEx>
        <w:trPr>
          <w:trHeight w:val="192"/>
        </w:trPr>
        <w:tc>
          <w:tcPr>
            <w:tcW w:w="5696" w:type="dxa"/>
            <w:gridSpan w:val="6"/>
            <w:shd w:val="clear" w:color="auto" w:fill="auto"/>
          </w:tcPr>
          <w:p w14:paraId="5A193794" w14:textId="77777777" w:rsidR="00933C25" w:rsidRPr="00E16672" w:rsidRDefault="00933C25" w:rsidP="00804E84">
            <w:pPr>
              <w:snapToGrid w:val="0"/>
              <w:ind w:left="175" w:right="138" w:firstLine="7"/>
              <w:rPr>
                <w:rFonts w:ascii="Times New Roman" w:hAnsi="Times New Roman"/>
                <w:color w:val="000000"/>
                <w:sz w:val="16"/>
                <w:szCs w:val="16"/>
              </w:rPr>
            </w:pPr>
            <w:r w:rsidRPr="00E16672">
              <w:rPr>
                <w:rFonts w:ascii="Times New Roman" w:hAnsi="Times New Roman"/>
                <w:color w:val="000000"/>
                <w:sz w:val="16"/>
                <w:szCs w:val="16"/>
              </w:rPr>
              <w:t xml:space="preserve">5.9.4. При </w:t>
            </w:r>
            <w:proofErr w:type="spellStart"/>
            <w:r w:rsidRPr="00E16672">
              <w:rPr>
                <w:rFonts w:ascii="Times New Roman" w:hAnsi="Times New Roman"/>
                <w:color w:val="000000"/>
                <w:sz w:val="16"/>
                <w:szCs w:val="16"/>
              </w:rPr>
              <w:t>цьому</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визнання</w:t>
            </w:r>
            <w:proofErr w:type="spellEnd"/>
            <w:r w:rsidRPr="00E16672">
              <w:rPr>
                <w:rFonts w:ascii="Times New Roman" w:hAnsi="Times New Roman"/>
                <w:color w:val="000000"/>
                <w:sz w:val="16"/>
                <w:szCs w:val="16"/>
              </w:rPr>
              <w:t xml:space="preserve"> Депонентом </w:t>
            </w:r>
            <w:proofErr w:type="spellStart"/>
            <w:r w:rsidRPr="00E16672">
              <w:rPr>
                <w:rFonts w:ascii="Times New Roman" w:hAnsi="Times New Roman"/>
                <w:color w:val="000000"/>
                <w:sz w:val="16"/>
                <w:szCs w:val="16"/>
              </w:rPr>
              <w:t>претензії</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Депозитарної</w:t>
            </w:r>
            <w:proofErr w:type="spellEnd"/>
            <w:r w:rsidRPr="00E16672">
              <w:rPr>
                <w:rFonts w:ascii="Times New Roman" w:hAnsi="Times New Roman"/>
                <w:color w:val="000000"/>
                <w:sz w:val="16"/>
                <w:szCs w:val="16"/>
              </w:rPr>
              <w:t xml:space="preserve"> установи про оплату </w:t>
            </w:r>
            <w:proofErr w:type="spellStart"/>
            <w:r w:rsidRPr="00E16672">
              <w:rPr>
                <w:rFonts w:ascii="Times New Roman" w:hAnsi="Times New Roman"/>
                <w:color w:val="000000"/>
                <w:sz w:val="16"/>
                <w:szCs w:val="16"/>
              </w:rPr>
              <w:t>послуг</w:t>
            </w:r>
            <w:proofErr w:type="spellEnd"/>
            <w:r w:rsidRPr="00E16672">
              <w:rPr>
                <w:rFonts w:ascii="Times New Roman" w:hAnsi="Times New Roman"/>
                <w:color w:val="000000"/>
                <w:sz w:val="16"/>
                <w:szCs w:val="16"/>
              </w:rPr>
              <w:t xml:space="preserve"> без </w:t>
            </w:r>
            <w:proofErr w:type="spellStart"/>
            <w:r w:rsidRPr="00E16672">
              <w:rPr>
                <w:rFonts w:ascii="Times New Roman" w:hAnsi="Times New Roman"/>
                <w:color w:val="000000"/>
                <w:sz w:val="16"/>
                <w:szCs w:val="16"/>
              </w:rPr>
              <w:t>перерахування</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заборгованості</w:t>
            </w:r>
            <w:proofErr w:type="spellEnd"/>
            <w:r w:rsidRPr="00E16672">
              <w:rPr>
                <w:rFonts w:ascii="Times New Roman" w:hAnsi="Times New Roman"/>
                <w:color w:val="000000"/>
                <w:sz w:val="16"/>
                <w:szCs w:val="16"/>
              </w:rPr>
              <w:t xml:space="preserve"> не </w:t>
            </w:r>
            <w:proofErr w:type="spellStart"/>
            <w:r w:rsidRPr="00E16672">
              <w:rPr>
                <w:rFonts w:ascii="Times New Roman" w:hAnsi="Times New Roman"/>
                <w:color w:val="000000"/>
                <w:sz w:val="16"/>
                <w:szCs w:val="16"/>
              </w:rPr>
              <w:t>може</w:t>
            </w:r>
            <w:proofErr w:type="spellEnd"/>
            <w:r w:rsidRPr="00E16672">
              <w:rPr>
                <w:rFonts w:ascii="Times New Roman" w:hAnsi="Times New Roman"/>
                <w:color w:val="000000"/>
                <w:sz w:val="16"/>
                <w:szCs w:val="16"/>
              </w:rPr>
              <w:t xml:space="preserve"> бути </w:t>
            </w:r>
            <w:proofErr w:type="spellStart"/>
            <w:r w:rsidRPr="00E16672">
              <w:rPr>
                <w:rFonts w:ascii="Times New Roman" w:hAnsi="Times New Roman"/>
                <w:color w:val="000000"/>
                <w:sz w:val="16"/>
                <w:szCs w:val="16"/>
              </w:rPr>
              <w:t>підставою</w:t>
            </w:r>
            <w:proofErr w:type="spellEnd"/>
            <w:r w:rsidRPr="00E16672">
              <w:rPr>
                <w:rFonts w:ascii="Times New Roman" w:hAnsi="Times New Roman"/>
                <w:color w:val="000000"/>
                <w:sz w:val="16"/>
                <w:szCs w:val="16"/>
              </w:rPr>
              <w:t xml:space="preserve"> для </w:t>
            </w:r>
            <w:proofErr w:type="spellStart"/>
            <w:r w:rsidRPr="00E16672">
              <w:rPr>
                <w:rFonts w:ascii="Times New Roman" w:hAnsi="Times New Roman"/>
                <w:color w:val="000000"/>
                <w:sz w:val="16"/>
                <w:szCs w:val="16"/>
              </w:rPr>
              <w:t>припинення</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нарахування</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пені</w:t>
            </w:r>
            <w:proofErr w:type="spellEnd"/>
            <w:r w:rsidRPr="00E16672">
              <w:rPr>
                <w:rFonts w:ascii="Times New Roman" w:hAnsi="Times New Roman"/>
                <w:color w:val="000000"/>
                <w:sz w:val="16"/>
                <w:szCs w:val="16"/>
              </w:rPr>
              <w:t xml:space="preserve"> за </w:t>
            </w:r>
            <w:r w:rsidR="00FA12BD" w:rsidRPr="00E16672">
              <w:rPr>
                <w:rFonts w:ascii="Times New Roman" w:hAnsi="Times New Roman"/>
                <w:color w:val="000000"/>
                <w:sz w:val="16"/>
                <w:szCs w:val="16"/>
                <w:lang w:val="uk-UA"/>
              </w:rPr>
              <w:t>прострочення</w:t>
            </w:r>
            <w:r w:rsidRPr="00E16672">
              <w:rPr>
                <w:rFonts w:ascii="Times New Roman" w:hAnsi="Times New Roman"/>
                <w:color w:val="000000"/>
                <w:sz w:val="16"/>
                <w:szCs w:val="16"/>
              </w:rPr>
              <w:t xml:space="preserve"> платежу.</w:t>
            </w:r>
          </w:p>
          <w:p w14:paraId="1476157D" w14:textId="77777777" w:rsidR="00933C25" w:rsidRPr="00E16672" w:rsidRDefault="00933C25" w:rsidP="00804E84">
            <w:pPr>
              <w:ind w:left="175" w:right="138" w:firstLine="7"/>
              <w:rPr>
                <w:rFonts w:ascii="Times New Roman" w:hAnsi="Times New Roman"/>
                <w:color w:val="000000"/>
                <w:sz w:val="16"/>
                <w:szCs w:val="16"/>
              </w:rPr>
            </w:pPr>
          </w:p>
        </w:tc>
        <w:tc>
          <w:tcPr>
            <w:tcW w:w="5494" w:type="dxa"/>
            <w:gridSpan w:val="7"/>
            <w:shd w:val="clear" w:color="auto" w:fill="auto"/>
          </w:tcPr>
          <w:p w14:paraId="11232565" w14:textId="77777777" w:rsidR="00933C25" w:rsidRPr="00E16672" w:rsidRDefault="00933C25" w:rsidP="00141B39">
            <w:pPr>
              <w:tabs>
                <w:tab w:val="left" w:pos="287"/>
              </w:tabs>
              <w:snapToGrid w:val="0"/>
              <w:ind w:left="175" w:right="100" w:firstLine="7"/>
              <w:rPr>
                <w:rFonts w:ascii="Times New Roman" w:hAnsi="Times New Roman"/>
                <w:color w:val="000000"/>
                <w:sz w:val="16"/>
                <w:szCs w:val="16"/>
                <w:lang w:val="en-GB"/>
              </w:rPr>
            </w:pPr>
            <w:r w:rsidRPr="00E16672">
              <w:rPr>
                <w:rFonts w:ascii="Times New Roman" w:hAnsi="Times New Roman"/>
                <w:color w:val="000000"/>
                <w:sz w:val="16"/>
                <w:szCs w:val="16"/>
                <w:lang w:val="en-GB"/>
              </w:rPr>
              <w:t xml:space="preserve">5.9.4. </w:t>
            </w:r>
            <w:proofErr w:type="gramStart"/>
            <w:r w:rsidR="00F26B6A" w:rsidRPr="00E16672">
              <w:rPr>
                <w:rFonts w:ascii="Times New Roman" w:hAnsi="Times New Roman"/>
                <w:color w:val="000000"/>
                <w:sz w:val="16"/>
                <w:szCs w:val="16"/>
                <w:lang w:val="en-GB"/>
              </w:rPr>
              <w:t>Thus</w:t>
            </w:r>
            <w:proofErr w:type="gramEnd"/>
            <w:r w:rsidR="00F26B6A" w:rsidRPr="00E16672">
              <w:rPr>
                <w:rFonts w:ascii="Times New Roman" w:hAnsi="Times New Roman"/>
                <w:color w:val="000000"/>
                <w:sz w:val="16"/>
                <w:szCs w:val="16"/>
                <w:lang w:val="en-GB"/>
              </w:rPr>
              <w:t xml:space="preserve"> confession of claim of Depository institution Depositor about payment of services without enumeration of debt </w:t>
            </w:r>
            <w:proofErr w:type="spellStart"/>
            <w:r w:rsidR="00F26B6A" w:rsidRPr="00E16672">
              <w:rPr>
                <w:rFonts w:ascii="Times New Roman" w:hAnsi="Times New Roman"/>
                <w:color w:val="000000"/>
                <w:sz w:val="16"/>
                <w:szCs w:val="16"/>
                <w:lang w:val="en-GB"/>
              </w:rPr>
              <w:t>can not</w:t>
            </w:r>
            <w:proofErr w:type="spellEnd"/>
            <w:r w:rsidR="00F26B6A" w:rsidRPr="00E16672">
              <w:rPr>
                <w:rFonts w:ascii="Times New Roman" w:hAnsi="Times New Roman"/>
                <w:color w:val="000000"/>
                <w:sz w:val="16"/>
                <w:szCs w:val="16"/>
                <w:lang w:val="en-GB"/>
              </w:rPr>
              <w:t xml:space="preserve"> be foundation for stopping of extra charge of fine for overdue payment.</w:t>
            </w:r>
          </w:p>
          <w:p w14:paraId="0C5E4406" w14:textId="77777777" w:rsidR="00933C25" w:rsidRPr="00E16672" w:rsidRDefault="00933C25" w:rsidP="00141B39">
            <w:pPr>
              <w:tabs>
                <w:tab w:val="left" w:pos="287"/>
              </w:tabs>
              <w:snapToGrid w:val="0"/>
              <w:ind w:left="175" w:right="100" w:firstLine="7"/>
              <w:rPr>
                <w:rFonts w:ascii="Times New Roman" w:hAnsi="Times New Roman"/>
                <w:color w:val="000000"/>
                <w:sz w:val="16"/>
                <w:szCs w:val="16"/>
                <w:lang w:val="en-GB"/>
              </w:rPr>
            </w:pPr>
          </w:p>
        </w:tc>
      </w:tr>
      <w:tr w:rsidR="00933C25" w:rsidRPr="00F23413" w14:paraId="635738BD" w14:textId="77777777" w:rsidTr="00D77858">
        <w:tblPrEx>
          <w:tblCellMar>
            <w:left w:w="0" w:type="dxa"/>
            <w:right w:w="0" w:type="dxa"/>
          </w:tblCellMar>
        </w:tblPrEx>
        <w:trPr>
          <w:trHeight w:val="192"/>
        </w:trPr>
        <w:tc>
          <w:tcPr>
            <w:tcW w:w="5696" w:type="dxa"/>
            <w:gridSpan w:val="6"/>
            <w:shd w:val="clear" w:color="auto" w:fill="auto"/>
          </w:tcPr>
          <w:p w14:paraId="7EECCD39" w14:textId="77777777" w:rsidR="00933C25" w:rsidRPr="00E16672" w:rsidRDefault="00933C25" w:rsidP="00804E84">
            <w:pPr>
              <w:snapToGrid w:val="0"/>
              <w:ind w:left="175" w:right="138" w:firstLine="7"/>
              <w:rPr>
                <w:rFonts w:ascii="Times New Roman" w:hAnsi="Times New Roman"/>
                <w:sz w:val="16"/>
                <w:szCs w:val="16"/>
                <w:lang w:val="en-US"/>
              </w:rPr>
            </w:pPr>
            <w:r w:rsidRPr="00E16672">
              <w:rPr>
                <w:rFonts w:ascii="Times New Roman" w:hAnsi="Times New Roman"/>
                <w:sz w:val="16"/>
                <w:szCs w:val="16"/>
                <w:lang w:val="en-US"/>
              </w:rPr>
              <w:t xml:space="preserve">5.10. </w:t>
            </w:r>
            <w:proofErr w:type="spellStart"/>
            <w:r w:rsidRPr="00E16672">
              <w:rPr>
                <w:rFonts w:ascii="Times New Roman" w:hAnsi="Times New Roman"/>
                <w:sz w:val="16"/>
                <w:szCs w:val="16"/>
              </w:rPr>
              <w:t>Прострочення</w:t>
            </w:r>
            <w:proofErr w:type="spellEnd"/>
            <w:r w:rsidRPr="00E16672">
              <w:rPr>
                <w:rFonts w:ascii="Times New Roman" w:hAnsi="Times New Roman"/>
                <w:sz w:val="16"/>
                <w:szCs w:val="16"/>
                <w:lang w:val="en-US"/>
              </w:rPr>
              <w:t xml:space="preserve"> </w:t>
            </w:r>
            <w:r w:rsidRPr="00E16672">
              <w:rPr>
                <w:rFonts w:ascii="Times New Roman" w:hAnsi="Times New Roman"/>
                <w:sz w:val="16"/>
                <w:szCs w:val="16"/>
              </w:rPr>
              <w:t>платежу</w:t>
            </w:r>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більш</w:t>
            </w:r>
            <w:proofErr w:type="spellEnd"/>
            <w:r w:rsidRPr="00E16672">
              <w:rPr>
                <w:rFonts w:ascii="Times New Roman" w:hAnsi="Times New Roman"/>
                <w:sz w:val="16"/>
                <w:szCs w:val="16"/>
                <w:lang w:val="en-US"/>
              </w:rPr>
              <w:t xml:space="preserve"> </w:t>
            </w:r>
            <w:r w:rsidRPr="00E16672">
              <w:rPr>
                <w:rFonts w:ascii="Times New Roman" w:hAnsi="Times New Roman"/>
                <w:sz w:val="16"/>
                <w:szCs w:val="16"/>
              </w:rPr>
              <w:t>як</w:t>
            </w:r>
            <w:r w:rsidRPr="00E16672">
              <w:rPr>
                <w:rFonts w:ascii="Times New Roman" w:hAnsi="Times New Roman"/>
                <w:sz w:val="16"/>
                <w:szCs w:val="16"/>
                <w:lang w:val="en-US"/>
              </w:rPr>
              <w:t xml:space="preserve"> </w:t>
            </w:r>
            <w:r w:rsidRPr="00E16672">
              <w:rPr>
                <w:rFonts w:ascii="Times New Roman" w:hAnsi="Times New Roman"/>
                <w:sz w:val="16"/>
                <w:szCs w:val="16"/>
              </w:rPr>
              <w:t>на</w:t>
            </w:r>
            <w:r w:rsidRPr="00E16672">
              <w:rPr>
                <w:rFonts w:ascii="Times New Roman" w:hAnsi="Times New Roman"/>
                <w:sz w:val="16"/>
                <w:szCs w:val="16"/>
                <w:lang w:val="en-US"/>
              </w:rPr>
              <w:t xml:space="preserve"> 180 </w:t>
            </w:r>
            <w:proofErr w:type="spellStart"/>
            <w:r w:rsidRPr="00E16672">
              <w:rPr>
                <w:rFonts w:ascii="Times New Roman" w:hAnsi="Times New Roman"/>
                <w:sz w:val="16"/>
                <w:szCs w:val="16"/>
              </w:rPr>
              <w:t>днів</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вважається</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відмовою</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від</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виконання</w:t>
            </w:r>
            <w:proofErr w:type="spellEnd"/>
            <w:r w:rsidRPr="00E16672">
              <w:rPr>
                <w:rFonts w:ascii="Times New Roman" w:hAnsi="Times New Roman"/>
                <w:sz w:val="16"/>
                <w:szCs w:val="16"/>
                <w:lang w:val="en-US"/>
              </w:rPr>
              <w:t xml:space="preserve"> </w:t>
            </w:r>
            <w:r w:rsidRPr="00E16672">
              <w:rPr>
                <w:rFonts w:ascii="Times New Roman" w:hAnsi="Times New Roman"/>
                <w:sz w:val="16"/>
                <w:szCs w:val="16"/>
              </w:rPr>
              <w:t>умов</w:t>
            </w:r>
            <w:r w:rsidRPr="00E16672">
              <w:rPr>
                <w:rFonts w:ascii="Times New Roman" w:hAnsi="Times New Roman"/>
                <w:sz w:val="16"/>
                <w:szCs w:val="16"/>
                <w:lang w:val="en-US"/>
              </w:rPr>
              <w:t xml:space="preserve"> </w:t>
            </w:r>
            <w:r w:rsidRPr="00E16672">
              <w:rPr>
                <w:rFonts w:ascii="Times New Roman" w:hAnsi="Times New Roman"/>
                <w:sz w:val="16"/>
                <w:szCs w:val="16"/>
              </w:rPr>
              <w:t>Договору</w:t>
            </w:r>
            <w:r w:rsidRPr="00E16672">
              <w:rPr>
                <w:rFonts w:ascii="Times New Roman" w:hAnsi="Times New Roman"/>
                <w:sz w:val="16"/>
                <w:szCs w:val="16"/>
                <w:lang w:val="en-US"/>
              </w:rPr>
              <w:t xml:space="preserve">, </w:t>
            </w:r>
            <w:r w:rsidRPr="00E16672">
              <w:rPr>
                <w:rFonts w:ascii="Times New Roman" w:hAnsi="Times New Roman"/>
                <w:sz w:val="16"/>
                <w:szCs w:val="16"/>
              </w:rPr>
              <w:t>у</w:t>
            </w:r>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зв</w:t>
            </w:r>
            <w:proofErr w:type="spellEnd"/>
            <w:r w:rsidRPr="00E16672">
              <w:rPr>
                <w:rFonts w:ascii="Times New Roman" w:hAnsi="Times New Roman"/>
                <w:sz w:val="16"/>
                <w:szCs w:val="16"/>
                <w:lang w:val="en-US"/>
              </w:rPr>
              <w:t>'</w:t>
            </w:r>
            <w:proofErr w:type="spellStart"/>
            <w:r w:rsidRPr="00E16672">
              <w:rPr>
                <w:rFonts w:ascii="Times New Roman" w:hAnsi="Times New Roman"/>
                <w:sz w:val="16"/>
                <w:szCs w:val="16"/>
              </w:rPr>
              <w:t>язку</w:t>
            </w:r>
            <w:proofErr w:type="spellEnd"/>
            <w:r w:rsidRPr="00E16672">
              <w:rPr>
                <w:rFonts w:ascii="Times New Roman" w:hAnsi="Times New Roman"/>
                <w:sz w:val="16"/>
                <w:szCs w:val="16"/>
                <w:lang w:val="en-US"/>
              </w:rPr>
              <w:t xml:space="preserve"> </w:t>
            </w:r>
            <w:r w:rsidRPr="00E16672">
              <w:rPr>
                <w:rFonts w:ascii="Times New Roman" w:hAnsi="Times New Roman"/>
                <w:sz w:val="16"/>
                <w:szCs w:val="16"/>
              </w:rPr>
              <w:t>з</w:t>
            </w:r>
            <w:r w:rsidRPr="00E16672">
              <w:rPr>
                <w:rFonts w:ascii="Times New Roman" w:hAnsi="Times New Roman"/>
                <w:sz w:val="16"/>
                <w:szCs w:val="16"/>
                <w:lang w:val="en-US"/>
              </w:rPr>
              <w:t xml:space="preserve"> </w:t>
            </w:r>
            <w:proofErr w:type="spellStart"/>
            <w:proofErr w:type="gramStart"/>
            <w:r w:rsidRPr="00E16672">
              <w:rPr>
                <w:rFonts w:ascii="Times New Roman" w:hAnsi="Times New Roman"/>
                <w:sz w:val="16"/>
                <w:szCs w:val="16"/>
              </w:rPr>
              <w:t>чим</w:t>
            </w:r>
            <w:proofErr w:type="spellEnd"/>
            <w:r w:rsidRPr="00E16672">
              <w:rPr>
                <w:rFonts w:ascii="Times New Roman" w:hAnsi="Times New Roman"/>
                <w:sz w:val="16"/>
                <w:szCs w:val="16"/>
                <w:lang w:val="en-US"/>
              </w:rPr>
              <w:t xml:space="preserve"> ,</w:t>
            </w:r>
            <w:proofErr w:type="gram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Депозитарна</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установа</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має</w:t>
            </w:r>
            <w:proofErr w:type="spellEnd"/>
            <w:r w:rsidRPr="00E16672">
              <w:rPr>
                <w:rFonts w:ascii="Times New Roman" w:hAnsi="Times New Roman"/>
                <w:sz w:val="16"/>
                <w:szCs w:val="16"/>
                <w:lang w:val="en-US"/>
              </w:rPr>
              <w:t xml:space="preserve"> </w:t>
            </w:r>
            <w:r w:rsidRPr="00E16672">
              <w:rPr>
                <w:rFonts w:ascii="Times New Roman" w:hAnsi="Times New Roman"/>
                <w:sz w:val="16"/>
                <w:szCs w:val="16"/>
              </w:rPr>
              <w:t>право</w:t>
            </w:r>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нарахувати</w:t>
            </w:r>
            <w:proofErr w:type="spellEnd"/>
            <w:r w:rsidRPr="00E16672">
              <w:rPr>
                <w:rFonts w:ascii="Times New Roman" w:hAnsi="Times New Roman"/>
                <w:sz w:val="16"/>
                <w:szCs w:val="16"/>
                <w:lang w:val="en-US"/>
              </w:rPr>
              <w:t xml:space="preserve"> </w:t>
            </w:r>
            <w:r w:rsidRPr="00E16672">
              <w:rPr>
                <w:rFonts w:ascii="Times New Roman" w:hAnsi="Times New Roman"/>
                <w:sz w:val="16"/>
                <w:szCs w:val="16"/>
              </w:rPr>
              <w:t>та</w:t>
            </w:r>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стягнути</w:t>
            </w:r>
            <w:proofErr w:type="spellEnd"/>
            <w:r w:rsidRPr="00E16672">
              <w:rPr>
                <w:rFonts w:ascii="Times New Roman" w:hAnsi="Times New Roman"/>
                <w:sz w:val="16"/>
                <w:szCs w:val="16"/>
                <w:lang w:val="en-US"/>
              </w:rPr>
              <w:t xml:space="preserve"> </w:t>
            </w:r>
            <w:r w:rsidRPr="00E16672">
              <w:rPr>
                <w:rFonts w:ascii="Times New Roman" w:hAnsi="Times New Roman"/>
                <w:sz w:val="16"/>
                <w:szCs w:val="16"/>
              </w:rPr>
              <w:t>з</w:t>
            </w:r>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іншої</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Сторони</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крім</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пені</w:t>
            </w:r>
            <w:proofErr w:type="spellEnd"/>
            <w:r w:rsidRPr="00E16672">
              <w:rPr>
                <w:rFonts w:ascii="Times New Roman" w:hAnsi="Times New Roman"/>
                <w:sz w:val="16"/>
                <w:szCs w:val="16"/>
                <w:lang w:val="en-US"/>
              </w:rPr>
              <w:t xml:space="preserve">,  </w:t>
            </w:r>
            <w:r w:rsidRPr="00E16672">
              <w:rPr>
                <w:rFonts w:ascii="Times New Roman" w:hAnsi="Times New Roman"/>
                <w:sz w:val="16"/>
                <w:szCs w:val="16"/>
              </w:rPr>
              <w:t>штраф</w:t>
            </w:r>
            <w:r w:rsidRPr="00E16672">
              <w:rPr>
                <w:rFonts w:ascii="Times New Roman" w:hAnsi="Times New Roman"/>
                <w:sz w:val="16"/>
                <w:szCs w:val="16"/>
                <w:lang w:val="en-US"/>
              </w:rPr>
              <w:t xml:space="preserve"> </w:t>
            </w:r>
            <w:r w:rsidRPr="00E16672">
              <w:rPr>
                <w:rFonts w:ascii="Times New Roman" w:hAnsi="Times New Roman"/>
                <w:sz w:val="16"/>
                <w:szCs w:val="16"/>
              </w:rPr>
              <w:t>у</w:t>
            </w:r>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розмірі</w:t>
            </w:r>
            <w:proofErr w:type="spellEnd"/>
            <w:r w:rsidRPr="00E16672">
              <w:rPr>
                <w:rFonts w:ascii="Times New Roman" w:hAnsi="Times New Roman"/>
                <w:sz w:val="16"/>
                <w:szCs w:val="16"/>
                <w:lang w:val="en-US"/>
              </w:rPr>
              <w:t xml:space="preserve"> 20% </w:t>
            </w:r>
            <w:proofErr w:type="spellStart"/>
            <w:r w:rsidRPr="00E16672">
              <w:rPr>
                <w:rFonts w:ascii="Times New Roman" w:hAnsi="Times New Roman"/>
                <w:sz w:val="16"/>
                <w:szCs w:val="16"/>
              </w:rPr>
              <w:t>від</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суми</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невиконаного</w:t>
            </w:r>
            <w:proofErr w:type="spellEnd"/>
            <w:r w:rsidRPr="00E16672">
              <w:rPr>
                <w:rFonts w:ascii="Times New Roman" w:hAnsi="Times New Roman"/>
                <w:sz w:val="16"/>
                <w:szCs w:val="16"/>
                <w:lang w:val="en-US"/>
              </w:rPr>
              <w:t xml:space="preserve"> </w:t>
            </w:r>
            <w:r w:rsidRPr="00E16672">
              <w:rPr>
                <w:rFonts w:ascii="Times New Roman" w:hAnsi="Times New Roman"/>
                <w:sz w:val="16"/>
                <w:szCs w:val="16"/>
              </w:rPr>
              <w:t>зобов</w:t>
            </w:r>
            <w:r w:rsidRPr="00E16672">
              <w:rPr>
                <w:rFonts w:ascii="Times New Roman" w:hAnsi="Times New Roman"/>
                <w:sz w:val="16"/>
                <w:szCs w:val="16"/>
                <w:lang w:val="en-US"/>
              </w:rPr>
              <w:t>'</w:t>
            </w:r>
            <w:proofErr w:type="spellStart"/>
            <w:r w:rsidRPr="00E16672">
              <w:rPr>
                <w:rFonts w:ascii="Times New Roman" w:hAnsi="Times New Roman"/>
                <w:sz w:val="16"/>
                <w:szCs w:val="16"/>
              </w:rPr>
              <w:t>язання</w:t>
            </w:r>
            <w:proofErr w:type="spellEnd"/>
            <w:r w:rsidRPr="00E16672">
              <w:rPr>
                <w:rFonts w:ascii="Times New Roman" w:hAnsi="Times New Roman"/>
                <w:sz w:val="16"/>
                <w:szCs w:val="16"/>
                <w:lang w:val="en-US"/>
              </w:rPr>
              <w:t>.</w:t>
            </w:r>
          </w:p>
          <w:p w14:paraId="5D8A0EEC" w14:textId="77777777" w:rsidR="00933C25" w:rsidRPr="00E16672" w:rsidRDefault="00933C25" w:rsidP="00804E84">
            <w:pPr>
              <w:ind w:left="175" w:right="138" w:firstLine="7"/>
              <w:rPr>
                <w:rFonts w:ascii="Times New Roman" w:hAnsi="Times New Roman"/>
                <w:sz w:val="16"/>
                <w:szCs w:val="16"/>
                <w:lang w:val="en-US"/>
              </w:rPr>
            </w:pPr>
          </w:p>
        </w:tc>
        <w:tc>
          <w:tcPr>
            <w:tcW w:w="5494" w:type="dxa"/>
            <w:gridSpan w:val="7"/>
            <w:shd w:val="clear" w:color="auto" w:fill="auto"/>
          </w:tcPr>
          <w:p w14:paraId="146B6075" w14:textId="77777777" w:rsidR="00933C25" w:rsidRPr="00E16672" w:rsidRDefault="00933C25" w:rsidP="00804E84">
            <w:pPr>
              <w:tabs>
                <w:tab w:val="left" w:pos="287"/>
              </w:tabs>
              <w:snapToGrid w:val="0"/>
              <w:ind w:left="175" w:right="100" w:firstLine="7"/>
              <w:rPr>
                <w:rFonts w:ascii="Times New Roman" w:hAnsi="Times New Roman"/>
                <w:sz w:val="16"/>
                <w:szCs w:val="16"/>
                <w:lang w:val="en-GB"/>
              </w:rPr>
            </w:pPr>
            <w:r w:rsidRPr="00E16672">
              <w:rPr>
                <w:rFonts w:ascii="Times New Roman" w:hAnsi="Times New Roman"/>
                <w:sz w:val="16"/>
                <w:szCs w:val="16"/>
                <w:lang w:val="en-GB"/>
              </w:rPr>
              <w:t>5.10. The extension of payments more than on 180 days is considered the waiver of implementation of conditions of the Agreement, so, Depository institution has the right to charge and collect from other Party,</w:t>
            </w:r>
            <w:r w:rsidRPr="00E16672">
              <w:rPr>
                <w:rStyle w:val="WW8Num2z1"/>
                <w:rFonts w:ascii="Times New Roman" w:hAnsi="Times New Roman" w:cs="Times New Roman"/>
                <w:lang w:val="en-GB"/>
              </w:rPr>
              <w:t xml:space="preserve"> </w:t>
            </w:r>
            <w:r w:rsidRPr="00E16672">
              <w:rPr>
                <w:rFonts w:ascii="Times New Roman" w:hAnsi="Times New Roman"/>
                <w:sz w:val="16"/>
                <w:szCs w:val="16"/>
                <w:lang w:val="en-GB"/>
              </w:rPr>
              <w:t>except fine, a penalty of 20% from the sum of unfulfilled obligation.</w:t>
            </w:r>
          </w:p>
          <w:p w14:paraId="7660317B" w14:textId="77777777" w:rsidR="00933C25" w:rsidRPr="00E16672" w:rsidRDefault="00933C25" w:rsidP="00804E84">
            <w:pPr>
              <w:tabs>
                <w:tab w:val="left" w:pos="287"/>
              </w:tabs>
              <w:snapToGrid w:val="0"/>
              <w:ind w:left="175" w:right="100" w:firstLine="7"/>
              <w:rPr>
                <w:rFonts w:ascii="Times New Roman" w:hAnsi="Times New Roman"/>
                <w:sz w:val="16"/>
                <w:szCs w:val="16"/>
                <w:lang w:val="en-GB"/>
              </w:rPr>
            </w:pPr>
          </w:p>
        </w:tc>
      </w:tr>
      <w:tr w:rsidR="00933C25" w:rsidRPr="00F23413" w14:paraId="766D82B9" w14:textId="77777777" w:rsidTr="00D77858">
        <w:tblPrEx>
          <w:tblCellMar>
            <w:left w:w="0" w:type="dxa"/>
            <w:right w:w="0" w:type="dxa"/>
          </w:tblCellMar>
        </w:tblPrEx>
        <w:trPr>
          <w:trHeight w:val="192"/>
        </w:trPr>
        <w:tc>
          <w:tcPr>
            <w:tcW w:w="5696" w:type="dxa"/>
            <w:gridSpan w:val="6"/>
            <w:shd w:val="clear" w:color="auto" w:fill="auto"/>
          </w:tcPr>
          <w:p w14:paraId="24288AA5" w14:textId="77777777" w:rsidR="00933C25" w:rsidRPr="00E16672" w:rsidRDefault="00933C25" w:rsidP="00804E84">
            <w:pPr>
              <w:snapToGrid w:val="0"/>
              <w:ind w:left="175" w:right="138" w:firstLine="7"/>
              <w:rPr>
                <w:rFonts w:ascii="Times New Roman" w:hAnsi="Times New Roman"/>
                <w:sz w:val="16"/>
                <w:szCs w:val="16"/>
              </w:rPr>
            </w:pPr>
            <w:r w:rsidRPr="00E16672">
              <w:rPr>
                <w:rFonts w:ascii="Times New Roman" w:hAnsi="Times New Roman"/>
                <w:sz w:val="16"/>
                <w:szCs w:val="16"/>
              </w:rPr>
              <w:t xml:space="preserve">5.10.1. </w:t>
            </w:r>
            <w:proofErr w:type="spellStart"/>
            <w:r w:rsidRPr="00E16672">
              <w:rPr>
                <w:rFonts w:ascii="Times New Roman" w:hAnsi="Times New Roman"/>
                <w:sz w:val="16"/>
                <w:szCs w:val="16"/>
              </w:rPr>
              <w:t>Депозитарна</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установа</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може</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пред'являти</w:t>
            </w:r>
            <w:proofErr w:type="spellEnd"/>
            <w:r w:rsidRPr="00E16672">
              <w:rPr>
                <w:rFonts w:ascii="Times New Roman" w:hAnsi="Times New Roman"/>
                <w:sz w:val="16"/>
                <w:szCs w:val="16"/>
              </w:rPr>
              <w:t xml:space="preserve"> Депоненту </w:t>
            </w:r>
            <w:proofErr w:type="spellStart"/>
            <w:r w:rsidRPr="00E16672">
              <w:rPr>
                <w:rFonts w:ascii="Times New Roman" w:hAnsi="Times New Roman"/>
                <w:sz w:val="16"/>
                <w:szCs w:val="16"/>
              </w:rPr>
              <w:t>вимоги</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стосовно</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сплати</w:t>
            </w:r>
            <w:proofErr w:type="spellEnd"/>
            <w:r w:rsidRPr="00E16672">
              <w:rPr>
                <w:rFonts w:ascii="Times New Roman" w:hAnsi="Times New Roman"/>
                <w:sz w:val="16"/>
                <w:szCs w:val="16"/>
              </w:rPr>
              <w:t xml:space="preserve"> штрафу, як шляхом </w:t>
            </w:r>
            <w:proofErr w:type="spellStart"/>
            <w:r w:rsidRPr="00E16672">
              <w:rPr>
                <w:rFonts w:ascii="Times New Roman" w:hAnsi="Times New Roman"/>
                <w:sz w:val="16"/>
                <w:szCs w:val="16"/>
              </w:rPr>
              <w:t>надіслання</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рахунка</w:t>
            </w:r>
            <w:proofErr w:type="spellEnd"/>
            <w:r w:rsidRPr="00E16672">
              <w:rPr>
                <w:rFonts w:ascii="Times New Roman" w:hAnsi="Times New Roman"/>
                <w:sz w:val="16"/>
                <w:szCs w:val="16"/>
              </w:rPr>
              <w:t xml:space="preserve">, так і шляхом </w:t>
            </w:r>
            <w:proofErr w:type="spellStart"/>
            <w:r w:rsidRPr="00E16672">
              <w:rPr>
                <w:rFonts w:ascii="Times New Roman" w:hAnsi="Times New Roman"/>
                <w:sz w:val="16"/>
                <w:szCs w:val="16"/>
              </w:rPr>
              <w:t>звернення</w:t>
            </w:r>
            <w:proofErr w:type="spellEnd"/>
            <w:r w:rsidRPr="00E16672">
              <w:rPr>
                <w:rFonts w:ascii="Times New Roman" w:hAnsi="Times New Roman"/>
                <w:sz w:val="16"/>
                <w:szCs w:val="16"/>
              </w:rPr>
              <w:t xml:space="preserve"> до Депонента з листом, </w:t>
            </w:r>
            <w:proofErr w:type="spellStart"/>
            <w:r w:rsidRPr="00E16672">
              <w:rPr>
                <w:rFonts w:ascii="Times New Roman" w:hAnsi="Times New Roman"/>
                <w:sz w:val="16"/>
                <w:szCs w:val="16"/>
              </w:rPr>
              <w:t>телеграмою</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тощо</w:t>
            </w:r>
            <w:proofErr w:type="spellEnd"/>
            <w:r w:rsidRPr="00E16672">
              <w:rPr>
                <w:rFonts w:ascii="Times New Roman" w:hAnsi="Times New Roman"/>
                <w:sz w:val="16"/>
                <w:szCs w:val="16"/>
              </w:rPr>
              <w:t>.</w:t>
            </w:r>
          </w:p>
        </w:tc>
        <w:tc>
          <w:tcPr>
            <w:tcW w:w="5494" w:type="dxa"/>
            <w:gridSpan w:val="7"/>
            <w:shd w:val="clear" w:color="auto" w:fill="auto"/>
          </w:tcPr>
          <w:p w14:paraId="425BA991" w14:textId="77777777" w:rsidR="00933C25" w:rsidRPr="00E16672" w:rsidRDefault="00933C25" w:rsidP="00141B39">
            <w:pPr>
              <w:tabs>
                <w:tab w:val="left" w:pos="287"/>
              </w:tabs>
              <w:snapToGrid w:val="0"/>
              <w:ind w:left="175" w:right="100" w:firstLine="7"/>
              <w:rPr>
                <w:rFonts w:ascii="Times New Roman" w:hAnsi="Times New Roman"/>
                <w:sz w:val="16"/>
                <w:szCs w:val="16"/>
                <w:lang w:val="en-GB"/>
              </w:rPr>
            </w:pPr>
            <w:r w:rsidRPr="00E16672">
              <w:rPr>
                <w:rFonts w:ascii="Times New Roman" w:hAnsi="Times New Roman"/>
                <w:sz w:val="16"/>
                <w:szCs w:val="16"/>
                <w:lang w:val="en-GB"/>
              </w:rPr>
              <w:t>5.10.</w:t>
            </w:r>
            <w:proofErr w:type="gramStart"/>
            <w:r w:rsidRPr="00E16672">
              <w:rPr>
                <w:rFonts w:ascii="Times New Roman" w:hAnsi="Times New Roman"/>
                <w:sz w:val="16"/>
                <w:szCs w:val="16"/>
                <w:lang w:val="en-GB"/>
              </w:rPr>
              <w:t>1.Depository</w:t>
            </w:r>
            <w:proofErr w:type="gramEnd"/>
            <w:r w:rsidRPr="00E16672">
              <w:rPr>
                <w:rFonts w:ascii="Times New Roman" w:hAnsi="Times New Roman"/>
                <w:sz w:val="16"/>
                <w:szCs w:val="16"/>
                <w:lang w:val="en-GB"/>
              </w:rPr>
              <w:t xml:space="preserve"> institution can make requirements to Depositor, concerning of payment of penalty, both by the message of invoice and by an address to Depositor with a letter, by a telegram and others like that.</w:t>
            </w:r>
          </w:p>
          <w:p w14:paraId="51850068" w14:textId="77777777" w:rsidR="00933C25" w:rsidRPr="00E16672" w:rsidRDefault="00933C25" w:rsidP="00141B39">
            <w:pPr>
              <w:tabs>
                <w:tab w:val="left" w:pos="287"/>
              </w:tabs>
              <w:snapToGrid w:val="0"/>
              <w:ind w:left="175" w:right="100" w:firstLine="7"/>
              <w:rPr>
                <w:rFonts w:ascii="Times New Roman" w:hAnsi="Times New Roman"/>
                <w:sz w:val="16"/>
                <w:szCs w:val="16"/>
                <w:lang w:val="en-GB"/>
              </w:rPr>
            </w:pPr>
          </w:p>
        </w:tc>
      </w:tr>
      <w:tr w:rsidR="00933C25" w:rsidRPr="00F23413" w14:paraId="0B72597F" w14:textId="77777777" w:rsidTr="00D77858">
        <w:tblPrEx>
          <w:tblCellMar>
            <w:left w:w="0" w:type="dxa"/>
            <w:right w:w="0" w:type="dxa"/>
          </w:tblCellMar>
        </w:tblPrEx>
        <w:trPr>
          <w:trHeight w:val="192"/>
        </w:trPr>
        <w:tc>
          <w:tcPr>
            <w:tcW w:w="5696" w:type="dxa"/>
            <w:gridSpan w:val="6"/>
            <w:shd w:val="clear" w:color="auto" w:fill="auto"/>
          </w:tcPr>
          <w:p w14:paraId="623CF774" w14:textId="77777777" w:rsidR="00933C25" w:rsidRPr="00E16672" w:rsidRDefault="00933C25" w:rsidP="00141B39">
            <w:pPr>
              <w:snapToGrid w:val="0"/>
              <w:ind w:left="175" w:right="138" w:firstLine="7"/>
              <w:rPr>
                <w:rFonts w:ascii="Times New Roman" w:hAnsi="Times New Roman"/>
                <w:sz w:val="16"/>
                <w:szCs w:val="16"/>
              </w:rPr>
            </w:pPr>
            <w:r w:rsidRPr="00E16672">
              <w:rPr>
                <w:rFonts w:ascii="Times New Roman" w:hAnsi="Times New Roman"/>
                <w:sz w:val="16"/>
                <w:szCs w:val="16"/>
              </w:rPr>
              <w:t xml:space="preserve">5.10.2. Депонент повинен </w:t>
            </w:r>
            <w:proofErr w:type="spellStart"/>
            <w:r w:rsidRPr="00E16672">
              <w:rPr>
                <w:rFonts w:ascii="Times New Roman" w:hAnsi="Times New Roman"/>
                <w:sz w:val="16"/>
                <w:szCs w:val="16"/>
              </w:rPr>
              <w:t>виконати</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зобов'язання</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визначене</w:t>
            </w:r>
            <w:proofErr w:type="spellEnd"/>
            <w:r w:rsidRPr="00E16672">
              <w:rPr>
                <w:rFonts w:ascii="Times New Roman" w:hAnsi="Times New Roman"/>
                <w:sz w:val="16"/>
                <w:szCs w:val="16"/>
              </w:rPr>
              <w:t xml:space="preserve"> п.5.10., у </w:t>
            </w:r>
            <w:proofErr w:type="spellStart"/>
            <w:r w:rsidRPr="00E16672">
              <w:rPr>
                <w:rFonts w:ascii="Times New Roman" w:hAnsi="Times New Roman"/>
                <w:sz w:val="16"/>
                <w:szCs w:val="16"/>
              </w:rPr>
              <w:t>п’ятиденний</w:t>
            </w:r>
            <w:proofErr w:type="spellEnd"/>
            <w:r w:rsidRPr="00E16672">
              <w:rPr>
                <w:rFonts w:ascii="Times New Roman" w:hAnsi="Times New Roman"/>
                <w:sz w:val="16"/>
                <w:szCs w:val="16"/>
              </w:rPr>
              <w:t xml:space="preserve"> строк з дня </w:t>
            </w:r>
            <w:proofErr w:type="spellStart"/>
            <w:r w:rsidRPr="00E16672">
              <w:rPr>
                <w:rFonts w:ascii="Times New Roman" w:hAnsi="Times New Roman"/>
                <w:sz w:val="16"/>
                <w:szCs w:val="16"/>
              </w:rPr>
              <w:t>пред'явлення</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вимоги</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Депозитарної</w:t>
            </w:r>
            <w:proofErr w:type="spellEnd"/>
            <w:r w:rsidRPr="00E16672">
              <w:rPr>
                <w:rFonts w:ascii="Times New Roman" w:hAnsi="Times New Roman"/>
                <w:sz w:val="16"/>
                <w:szCs w:val="16"/>
              </w:rPr>
              <w:t xml:space="preserve"> установи </w:t>
            </w:r>
            <w:proofErr w:type="spellStart"/>
            <w:r w:rsidRPr="00E16672">
              <w:rPr>
                <w:rFonts w:ascii="Times New Roman" w:hAnsi="Times New Roman"/>
                <w:sz w:val="16"/>
                <w:szCs w:val="16"/>
              </w:rPr>
              <w:t>згідно</w:t>
            </w:r>
            <w:proofErr w:type="spellEnd"/>
            <w:r w:rsidRPr="00E16672">
              <w:rPr>
                <w:rFonts w:ascii="Times New Roman" w:hAnsi="Times New Roman"/>
                <w:sz w:val="16"/>
                <w:szCs w:val="16"/>
              </w:rPr>
              <w:t xml:space="preserve"> з пп.5.10. Таким днем </w:t>
            </w:r>
            <w:proofErr w:type="spellStart"/>
            <w:r w:rsidRPr="00E16672">
              <w:rPr>
                <w:rFonts w:ascii="Times New Roman" w:hAnsi="Times New Roman"/>
                <w:sz w:val="16"/>
                <w:szCs w:val="16"/>
              </w:rPr>
              <w:t>слід</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вважати</w:t>
            </w:r>
            <w:proofErr w:type="spellEnd"/>
            <w:r w:rsidRPr="00E16672">
              <w:rPr>
                <w:rFonts w:ascii="Times New Roman" w:hAnsi="Times New Roman"/>
                <w:sz w:val="16"/>
                <w:szCs w:val="16"/>
              </w:rPr>
              <w:t xml:space="preserve"> дату </w:t>
            </w:r>
            <w:proofErr w:type="spellStart"/>
            <w:r w:rsidRPr="00E16672">
              <w:rPr>
                <w:rFonts w:ascii="Times New Roman" w:hAnsi="Times New Roman"/>
                <w:sz w:val="16"/>
                <w:szCs w:val="16"/>
              </w:rPr>
              <w:t>одержання</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вимоги</w:t>
            </w:r>
            <w:proofErr w:type="spellEnd"/>
            <w:r w:rsidRPr="00E16672">
              <w:rPr>
                <w:rFonts w:ascii="Times New Roman" w:hAnsi="Times New Roman"/>
                <w:sz w:val="16"/>
                <w:szCs w:val="16"/>
              </w:rPr>
              <w:t xml:space="preserve"> Депонентом.</w:t>
            </w:r>
          </w:p>
        </w:tc>
        <w:tc>
          <w:tcPr>
            <w:tcW w:w="5494" w:type="dxa"/>
            <w:gridSpan w:val="7"/>
            <w:shd w:val="clear" w:color="auto" w:fill="auto"/>
          </w:tcPr>
          <w:p w14:paraId="57EE0DE8" w14:textId="77777777" w:rsidR="00933C25" w:rsidRPr="00E16672" w:rsidRDefault="00933C25" w:rsidP="00141B39">
            <w:pPr>
              <w:tabs>
                <w:tab w:val="left" w:pos="287"/>
              </w:tabs>
              <w:snapToGrid w:val="0"/>
              <w:ind w:left="175" w:right="100" w:firstLine="7"/>
              <w:rPr>
                <w:rFonts w:ascii="Times New Roman" w:hAnsi="Times New Roman"/>
                <w:sz w:val="16"/>
                <w:szCs w:val="16"/>
                <w:lang w:val="en-GB"/>
              </w:rPr>
            </w:pPr>
            <w:r w:rsidRPr="00E16672">
              <w:rPr>
                <w:rFonts w:ascii="Times New Roman" w:hAnsi="Times New Roman"/>
                <w:sz w:val="16"/>
                <w:szCs w:val="16"/>
                <w:lang w:val="en-GB"/>
              </w:rPr>
              <w:t>5.10.2. A depositor must execute obligations, certain by item 5.10., in a five-day term from the day of make requirement by Depository institution in obedience to item 5.10.1. It follows to consider the date of receipt of requirement Depositor such day.</w:t>
            </w:r>
          </w:p>
          <w:p w14:paraId="62986548" w14:textId="77777777" w:rsidR="00933C25" w:rsidRPr="00E16672" w:rsidRDefault="00933C25" w:rsidP="00141B39">
            <w:pPr>
              <w:tabs>
                <w:tab w:val="left" w:pos="287"/>
              </w:tabs>
              <w:snapToGrid w:val="0"/>
              <w:ind w:left="175" w:right="100" w:firstLine="7"/>
              <w:rPr>
                <w:rFonts w:ascii="Times New Roman" w:hAnsi="Times New Roman"/>
                <w:sz w:val="16"/>
                <w:szCs w:val="16"/>
                <w:lang w:val="en-GB"/>
              </w:rPr>
            </w:pPr>
          </w:p>
        </w:tc>
      </w:tr>
      <w:tr w:rsidR="00933C25" w:rsidRPr="00F23413" w14:paraId="0DF0C606" w14:textId="77777777" w:rsidTr="00D77858">
        <w:tblPrEx>
          <w:tblCellMar>
            <w:left w:w="0" w:type="dxa"/>
            <w:right w:w="0" w:type="dxa"/>
          </w:tblCellMar>
        </w:tblPrEx>
        <w:trPr>
          <w:trHeight w:val="192"/>
        </w:trPr>
        <w:tc>
          <w:tcPr>
            <w:tcW w:w="5696" w:type="dxa"/>
            <w:gridSpan w:val="6"/>
            <w:shd w:val="clear" w:color="auto" w:fill="auto"/>
          </w:tcPr>
          <w:p w14:paraId="3CE0048D" w14:textId="77777777" w:rsidR="00933C25" w:rsidRPr="00E16672" w:rsidRDefault="00933C25" w:rsidP="00141B39">
            <w:pPr>
              <w:snapToGrid w:val="0"/>
              <w:ind w:left="175" w:right="138" w:firstLine="7"/>
              <w:rPr>
                <w:rFonts w:ascii="Times New Roman" w:hAnsi="Times New Roman"/>
                <w:sz w:val="16"/>
                <w:szCs w:val="16"/>
              </w:rPr>
            </w:pPr>
            <w:r w:rsidRPr="00E16672">
              <w:rPr>
                <w:rFonts w:ascii="Times New Roman" w:hAnsi="Times New Roman"/>
                <w:sz w:val="16"/>
                <w:szCs w:val="16"/>
              </w:rPr>
              <w:t xml:space="preserve">5.10.3. </w:t>
            </w:r>
            <w:proofErr w:type="spellStart"/>
            <w:r w:rsidRPr="00E16672">
              <w:rPr>
                <w:rFonts w:ascii="Times New Roman" w:hAnsi="Times New Roman"/>
                <w:sz w:val="16"/>
                <w:szCs w:val="16"/>
              </w:rPr>
              <w:t>Виплата</w:t>
            </w:r>
            <w:proofErr w:type="spellEnd"/>
            <w:r w:rsidRPr="00E16672">
              <w:rPr>
                <w:rFonts w:ascii="Times New Roman" w:hAnsi="Times New Roman"/>
                <w:sz w:val="16"/>
                <w:szCs w:val="16"/>
              </w:rPr>
              <w:t xml:space="preserve"> </w:t>
            </w:r>
            <w:proofErr w:type="spellStart"/>
            <w:proofErr w:type="gramStart"/>
            <w:r w:rsidRPr="00E16672">
              <w:rPr>
                <w:rFonts w:ascii="Times New Roman" w:hAnsi="Times New Roman"/>
                <w:sz w:val="16"/>
                <w:szCs w:val="16"/>
              </w:rPr>
              <w:t>пені</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або</w:t>
            </w:r>
            <w:proofErr w:type="spellEnd"/>
            <w:proofErr w:type="gramEnd"/>
            <w:r w:rsidRPr="00E16672">
              <w:rPr>
                <w:rFonts w:ascii="Times New Roman" w:hAnsi="Times New Roman"/>
                <w:sz w:val="16"/>
                <w:szCs w:val="16"/>
              </w:rPr>
              <w:t xml:space="preserve"> штрафу не </w:t>
            </w:r>
            <w:proofErr w:type="spellStart"/>
            <w:r w:rsidRPr="00E16672">
              <w:rPr>
                <w:rFonts w:ascii="Times New Roman" w:hAnsi="Times New Roman"/>
                <w:sz w:val="16"/>
                <w:szCs w:val="16"/>
              </w:rPr>
              <w:t>звільняє</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Сторони</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від</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виконання</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обов’язків</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згідно</w:t>
            </w:r>
            <w:proofErr w:type="spellEnd"/>
            <w:r w:rsidRPr="00E16672">
              <w:rPr>
                <w:rFonts w:ascii="Times New Roman" w:hAnsi="Times New Roman"/>
                <w:sz w:val="16"/>
                <w:szCs w:val="16"/>
              </w:rPr>
              <w:t xml:space="preserve"> з </w:t>
            </w:r>
            <w:proofErr w:type="spellStart"/>
            <w:r w:rsidRPr="00E16672">
              <w:rPr>
                <w:rFonts w:ascii="Times New Roman" w:hAnsi="Times New Roman"/>
                <w:sz w:val="16"/>
                <w:szCs w:val="16"/>
              </w:rPr>
              <w:t>умовами</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цього</w:t>
            </w:r>
            <w:proofErr w:type="spellEnd"/>
            <w:r w:rsidRPr="00E16672">
              <w:rPr>
                <w:rFonts w:ascii="Times New Roman" w:hAnsi="Times New Roman"/>
                <w:sz w:val="16"/>
                <w:szCs w:val="16"/>
              </w:rPr>
              <w:t xml:space="preserve"> Договору.</w:t>
            </w:r>
          </w:p>
          <w:p w14:paraId="791B5D86" w14:textId="77777777" w:rsidR="00933C25" w:rsidRPr="00E16672" w:rsidRDefault="00933C25" w:rsidP="00141B39">
            <w:pPr>
              <w:ind w:left="175" w:right="138" w:firstLine="7"/>
              <w:rPr>
                <w:rFonts w:ascii="Times New Roman" w:hAnsi="Times New Roman"/>
                <w:sz w:val="16"/>
                <w:szCs w:val="16"/>
              </w:rPr>
            </w:pPr>
          </w:p>
        </w:tc>
        <w:tc>
          <w:tcPr>
            <w:tcW w:w="5494" w:type="dxa"/>
            <w:gridSpan w:val="7"/>
            <w:shd w:val="clear" w:color="auto" w:fill="auto"/>
          </w:tcPr>
          <w:p w14:paraId="29DFE8C0" w14:textId="77777777" w:rsidR="00933C25" w:rsidRPr="00E16672" w:rsidRDefault="00933C25" w:rsidP="00141B39">
            <w:pPr>
              <w:tabs>
                <w:tab w:val="left" w:pos="287"/>
              </w:tabs>
              <w:snapToGrid w:val="0"/>
              <w:ind w:left="175" w:right="100" w:firstLine="7"/>
              <w:rPr>
                <w:rFonts w:ascii="Times New Roman" w:hAnsi="Times New Roman"/>
                <w:sz w:val="16"/>
                <w:szCs w:val="16"/>
                <w:lang w:val="en-GB"/>
              </w:rPr>
            </w:pPr>
            <w:r w:rsidRPr="00E16672">
              <w:rPr>
                <w:rFonts w:ascii="Times New Roman" w:hAnsi="Times New Roman"/>
                <w:sz w:val="16"/>
                <w:szCs w:val="16"/>
                <w:lang w:val="en-GB"/>
              </w:rPr>
              <w:t xml:space="preserve">5.10.3. Payment of fine and penalty shall not release the Parties from the execution of their obligations </w:t>
            </w:r>
            <w:proofErr w:type="spellStart"/>
            <w:r w:rsidRPr="00E16672">
              <w:rPr>
                <w:rFonts w:ascii="Times New Roman" w:hAnsi="Times New Roman"/>
                <w:sz w:val="16"/>
                <w:szCs w:val="16"/>
                <w:lang w:val="en-GB"/>
              </w:rPr>
              <w:t>nder</w:t>
            </w:r>
            <w:proofErr w:type="spellEnd"/>
            <w:r w:rsidRPr="00E16672">
              <w:rPr>
                <w:rFonts w:ascii="Times New Roman" w:hAnsi="Times New Roman"/>
                <w:sz w:val="16"/>
                <w:szCs w:val="16"/>
                <w:lang w:val="en-GB"/>
              </w:rPr>
              <w:t xml:space="preserve"> the conditions of this Agreement.</w:t>
            </w:r>
          </w:p>
        </w:tc>
      </w:tr>
      <w:tr w:rsidR="00933C25" w:rsidRPr="00F23413" w14:paraId="3C163CAA" w14:textId="77777777" w:rsidTr="00D77858">
        <w:tblPrEx>
          <w:tblCellMar>
            <w:left w:w="0" w:type="dxa"/>
            <w:right w:w="0" w:type="dxa"/>
          </w:tblCellMar>
        </w:tblPrEx>
        <w:trPr>
          <w:trHeight w:val="192"/>
        </w:trPr>
        <w:tc>
          <w:tcPr>
            <w:tcW w:w="5696" w:type="dxa"/>
            <w:gridSpan w:val="6"/>
            <w:shd w:val="clear" w:color="auto" w:fill="auto"/>
          </w:tcPr>
          <w:p w14:paraId="68E99777" w14:textId="77777777" w:rsidR="00933C25" w:rsidRPr="00E16672" w:rsidRDefault="00933C25" w:rsidP="00141B39">
            <w:pPr>
              <w:pStyle w:val="23"/>
              <w:snapToGrid w:val="0"/>
              <w:ind w:left="175" w:right="138" w:firstLine="7"/>
              <w:rPr>
                <w:rFonts w:ascii="Times New Roman" w:hAnsi="Times New Roman"/>
                <w:sz w:val="16"/>
                <w:szCs w:val="16"/>
              </w:rPr>
            </w:pPr>
            <w:r w:rsidRPr="00E16672">
              <w:rPr>
                <w:rFonts w:ascii="Times New Roman" w:hAnsi="Times New Roman"/>
                <w:sz w:val="16"/>
                <w:szCs w:val="16"/>
              </w:rPr>
              <w:t>5.11. Сторона, яка порушила Договір під час виконання своїх зобов'язань, несе відповідальність, якщо не доведе, що належне виконання зобов'язання унеможлив</w:t>
            </w:r>
            <w:r w:rsidR="000371EA" w:rsidRPr="00E16672">
              <w:rPr>
                <w:rFonts w:ascii="Times New Roman" w:hAnsi="Times New Roman"/>
                <w:sz w:val="16"/>
                <w:szCs w:val="16"/>
              </w:rPr>
              <w:t>лено</w:t>
            </w:r>
            <w:r w:rsidRPr="00E16672">
              <w:rPr>
                <w:rFonts w:ascii="Times New Roman" w:hAnsi="Times New Roman"/>
                <w:sz w:val="16"/>
                <w:szCs w:val="16"/>
              </w:rPr>
              <w:t xml:space="preserve"> вплив</w:t>
            </w:r>
            <w:r w:rsidR="000371EA" w:rsidRPr="00E16672">
              <w:rPr>
                <w:rFonts w:ascii="Times New Roman" w:hAnsi="Times New Roman"/>
                <w:sz w:val="16"/>
                <w:szCs w:val="16"/>
              </w:rPr>
              <w:t>ом</w:t>
            </w:r>
            <w:r w:rsidRPr="00E16672">
              <w:rPr>
                <w:rFonts w:ascii="Times New Roman" w:hAnsi="Times New Roman"/>
                <w:sz w:val="16"/>
                <w:szCs w:val="16"/>
              </w:rPr>
              <w:t xml:space="preserve"> обставин непереборної сили, тобто надзвичайних і невідворотних за даних умов подій: стихійного лиха, аварії, пожежі, масових порушень правопорядку, страйків, військових дій, протиправних дій третіх осіб (крім дій працівників Сторони) чи інших обставин, що виникли після підписання Договору та не залежать від волевиявлення Сторін. Не є непереборною силою недодержання своїх обов'язків іншими контрагентами однієї зі Сторін чи відсутність у Сторони достатніх коштів.</w:t>
            </w:r>
          </w:p>
        </w:tc>
        <w:tc>
          <w:tcPr>
            <w:tcW w:w="5494" w:type="dxa"/>
            <w:gridSpan w:val="7"/>
            <w:shd w:val="clear" w:color="auto" w:fill="auto"/>
          </w:tcPr>
          <w:p w14:paraId="64648E6A" w14:textId="77777777" w:rsidR="00933C25" w:rsidRPr="00E16672" w:rsidRDefault="00933C25" w:rsidP="00141B39">
            <w:pPr>
              <w:tabs>
                <w:tab w:val="left" w:pos="287"/>
              </w:tabs>
              <w:snapToGrid w:val="0"/>
              <w:ind w:left="175" w:right="100" w:firstLine="7"/>
              <w:rPr>
                <w:rFonts w:ascii="Times New Roman" w:hAnsi="Times New Roman"/>
                <w:sz w:val="16"/>
                <w:szCs w:val="16"/>
                <w:lang w:val="en-GB"/>
              </w:rPr>
            </w:pPr>
            <w:r w:rsidRPr="00E16672">
              <w:rPr>
                <w:rFonts w:ascii="Times New Roman" w:hAnsi="Times New Roman"/>
                <w:sz w:val="16"/>
                <w:szCs w:val="16"/>
                <w:lang w:val="en-GB"/>
              </w:rPr>
              <w:t xml:space="preserve">5.11. A Party, which violated Agreement  during implementation of the </w:t>
            </w:r>
            <w:r w:rsidRPr="00E16672">
              <w:rPr>
                <w:rFonts w:ascii="Times New Roman" w:hAnsi="Times New Roman"/>
                <w:sz w:val="16"/>
                <w:szCs w:val="16"/>
                <w:lang w:val="en-US"/>
              </w:rPr>
              <w:t>liabilities</w:t>
            </w:r>
            <w:r w:rsidRPr="00E16672">
              <w:rPr>
                <w:rFonts w:ascii="Times New Roman" w:hAnsi="Times New Roman"/>
                <w:sz w:val="16"/>
                <w:szCs w:val="16"/>
                <w:lang w:val="en-GB"/>
              </w:rPr>
              <w:t xml:space="preserve"> carries responsibility, if will not prove that the proper implementation of </w:t>
            </w:r>
            <w:r w:rsidRPr="00E16672">
              <w:rPr>
                <w:rFonts w:ascii="Times New Roman" w:hAnsi="Times New Roman"/>
                <w:sz w:val="16"/>
                <w:szCs w:val="16"/>
                <w:lang w:val="en-US"/>
              </w:rPr>
              <w:t>liabilities</w:t>
            </w:r>
            <w:r w:rsidRPr="00E16672">
              <w:rPr>
                <w:rFonts w:ascii="Times New Roman" w:hAnsi="Times New Roman"/>
                <w:sz w:val="16"/>
                <w:szCs w:val="16"/>
                <w:lang w:val="en-GB"/>
              </w:rPr>
              <w:t xml:space="preserve"> was done impossible by influence of circumstances of act of providence, that extraordinary and inevitable under the conditions events: natural calamity, failure, fire, mass violations of law and order, strikes, military operations, illegal actions of the third persons (except for the actions of workers of Parties) or other circumstances which arose up after signing of Agreement and does not depend on will of parties. It is not the act of providence of non- inhibition of the </w:t>
            </w:r>
            <w:r w:rsidRPr="00E16672">
              <w:rPr>
                <w:rFonts w:ascii="Times New Roman" w:hAnsi="Times New Roman"/>
                <w:sz w:val="16"/>
                <w:szCs w:val="16"/>
                <w:lang w:val="en-US"/>
              </w:rPr>
              <w:t>liabilities</w:t>
            </w:r>
            <w:r w:rsidRPr="00E16672">
              <w:rPr>
                <w:rFonts w:ascii="Times New Roman" w:hAnsi="Times New Roman"/>
                <w:sz w:val="16"/>
                <w:szCs w:val="16"/>
                <w:lang w:val="en-GB"/>
              </w:rPr>
              <w:t xml:space="preserve"> by other contractors of one of Parties or absence in Parties of sufficient money.</w:t>
            </w:r>
          </w:p>
          <w:p w14:paraId="00B85EB7" w14:textId="77777777" w:rsidR="00933C25" w:rsidRPr="00E16672" w:rsidRDefault="00933C25" w:rsidP="00141B39">
            <w:pPr>
              <w:tabs>
                <w:tab w:val="left" w:pos="287"/>
              </w:tabs>
              <w:snapToGrid w:val="0"/>
              <w:ind w:left="175" w:right="100" w:firstLine="7"/>
              <w:rPr>
                <w:rFonts w:ascii="Times New Roman" w:hAnsi="Times New Roman"/>
                <w:sz w:val="16"/>
                <w:szCs w:val="16"/>
                <w:lang w:val="en-GB"/>
              </w:rPr>
            </w:pPr>
          </w:p>
        </w:tc>
      </w:tr>
      <w:tr w:rsidR="00933C25" w:rsidRPr="00F23413" w14:paraId="01F42B73" w14:textId="77777777" w:rsidTr="00D77858">
        <w:tblPrEx>
          <w:tblCellMar>
            <w:left w:w="0" w:type="dxa"/>
            <w:right w:w="0" w:type="dxa"/>
          </w:tblCellMar>
        </w:tblPrEx>
        <w:trPr>
          <w:trHeight w:val="192"/>
        </w:trPr>
        <w:tc>
          <w:tcPr>
            <w:tcW w:w="5696" w:type="dxa"/>
            <w:gridSpan w:val="6"/>
            <w:shd w:val="clear" w:color="auto" w:fill="auto"/>
          </w:tcPr>
          <w:p w14:paraId="3C2229B7" w14:textId="77777777" w:rsidR="00933C25" w:rsidRPr="00E16672" w:rsidRDefault="00933C25" w:rsidP="00141B39">
            <w:pPr>
              <w:pStyle w:val="23"/>
              <w:tabs>
                <w:tab w:val="left" w:pos="1080"/>
              </w:tabs>
              <w:snapToGrid w:val="0"/>
              <w:ind w:left="175" w:right="138" w:firstLine="7"/>
              <w:rPr>
                <w:rFonts w:ascii="Times New Roman" w:hAnsi="Times New Roman"/>
                <w:sz w:val="16"/>
                <w:szCs w:val="16"/>
              </w:rPr>
            </w:pPr>
            <w:r w:rsidRPr="00E16672">
              <w:rPr>
                <w:rFonts w:ascii="Times New Roman" w:hAnsi="Times New Roman"/>
                <w:sz w:val="16"/>
                <w:szCs w:val="16"/>
              </w:rPr>
              <w:t xml:space="preserve">5.12. Жодна із Сторін не несе відповідальності за невиконання або неналежне виконання своїх </w:t>
            </w:r>
            <w:r w:rsidR="00982AE9" w:rsidRPr="00E16672">
              <w:rPr>
                <w:rFonts w:ascii="Times New Roman" w:hAnsi="Times New Roman"/>
                <w:sz w:val="16"/>
                <w:szCs w:val="16"/>
              </w:rPr>
              <w:t>зобов’язань</w:t>
            </w:r>
            <w:r w:rsidRPr="00E16672">
              <w:rPr>
                <w:rFonts w:ascii="Times New Roman" w:hAnsi="Times New Roman"/>
                <w:sz w:val="16"/>
                <w:szCs w:val="16"/>
              </w:rPr>
              <w:t xml:space="preserve"> за цим Договором, якщо це невиконання або неналежне виконання зумовлено дією обставин непереборної сили (форс-мажорних обставин)</w:t>
            </w:r>
            <w:r w:rsidR="000371EA" w:rsidRPr="00E16672">
              <w:rPr>
                <w:rFonts w:ascii="Times New Roman" w:hAnsi="Times New Roman"/>
                <w:sz w:val="16"/>
                <w:szCs w:val="16"/>
              </w:rPr>
              <w:t xml:space="preserve"> відповідно до розділу 9 цього Договору</w:t>
            </w:r>
            <w:r w:rsidRPr="00E16672">
              <w:rPr>
                <w:rFonts w:ascii="Times New Roman" w:hAnsi="Times New Roman"/>
                <w:sz w:val="16"/>
                <w:szCs w:val="16"/>
              </w:rPr>
              <w:t xml:space="preserve">. </w:t>
            </w:r>
          </w:p>
          <w:p w14:paraId="05A71C43" w14:textId="77777777" w:rsidR="00933C25" w:rsidRPr="00E16672" w:rsidRDefault="00933C25" w:rsidP="00141B39">
            <w:pPr>
              <w:pStyle w:val="23"/>
              <w:numPr>
                <w:ilvl w:val="1"/>
                <w:numId w:val="4"/>
              </w:numPr>
              <w:tabs>
                <w:tab w:val="left" w:pos="1080"/>
              </w:tabs>
              <w:ind w:left="175" w:right="138" w:firstLine="7"/>
              <w:rPr>
                <w:rFonts w:ascii="Times New Roman" w:hAnsi="Times New Roman"/>
                <w:sz w:val="16"/>
                <w:szCs w:val="16"/>
              </w:rPr>
            </w:pPr>
          </w:p>
        </w:tc>
        <w:tc>
          <w:tcPr>
            <w:tcW w:w="5494" w:type="dxa"/>
            <w:gridSpan w:val="7"/>
            <w:shd w:val="clear" w:color="auto" w:fill="auto"/>
          </w:tcPr>
          <w:p w14:paraId="76F3F474" w14:textId="77777777" w:rsidR="00933C25" w:rsidRPr="00E16672" w:rsidRDefault="00933C25" w:rsidP="00141B39">
            <w:pPr>
              <w:tabs>
                <w:tab w:val="left" w:pos="287"/>
              </w:tabs>
              <w:snapToGrid w:val="0"/>
              <w:ind w:left="175" w:right="100" w:firstLine="7"/>
              <w:rPr>
                <w:rFonts w:ascii="Times New Roman" w:hAnsi="Times New Roman"/>
                <w:sz w:val="16"/>
                <w:szCs w:val="16"/>
                <w:lang w:val="en-GB"/>
              </w:rPr>
            </w:pPr>
            <w:r w:rsidRPr="00E16672">
              <w:rPr>
                <w:rFonts w:ascii="Times New Roman" w:hAnsi="Times New Roman"/>
                <w:sz w:val="16"/>
                <w:szCs w:val="16"/>
                <w:lang w:val="en-GB"/>
              </w:rPr>
              <w:t>5.12. Neither Party shall be liable for non-performance or improper performance of its obligations under this Agreement if the failure or improper performance is due to the action of force majeure (force majeure)</w:t>
            </w:r>
            <w:r w:rsidR="000371EA" w:rsidRPr="00E16672">
              <w:rPr>
                <w:rFonts w:ascii="Times New Roman" w:hAnsi="Times New Roman"/>
                <w:sz w:val="16"/>
                <w:szCs w:val="16"/>
                <w:lang w:val="uk-UA"/>
              </w:rPr>
              <w:t xml:space="preserve"> </w:t>
            </w:r>
            <w:r w:rsidR="000371EA" w:rsidRPr="00F23413">
              <w:rPr>
                <w:rStyle w:val="shorttext"/>
                <w:rFonts w:ascii="Times New Roman" w:hAnsi="Times New Roman"/>
                <w:sz w:val="16"/>
                <w:szCs w:val="16"/>
                <w:lang w:val="en-US"/>
              </w:rPr>
              <w:t>in accordance with Section 9 of this Agreement</w:t>
            </w:r>
            <w:r w:rsidRPr="00E16672">
              <w:rPr>
                <w:rFonts w:ascii="Times New Roman" w:hAnsi="Times New Roman"/>
                <w:sz w:val="16"/>
                <w:szCs w:val="16"/>
                <w:lang w:val="en-GB"/>
              </w:rPr>
              <w:t>.</w:t>
            </w:r>
          </w:p>
          <w:p w14:paraId="07F5F63D" w14:textId="77777777" w:rsidR="00933C25" w:rsidRPr="00E16672" w:rsidRDefault="00933C25" w:rsidP="00141B39">
            <w:pPr>
              <w:tabs>
                <w:tab w:val="left" w:pos="287"/>
              </w:tabs>
              <w:snapToGrid w:val="0"/>
              <w:ind w:left="175" w:right="100" w:firstLine="7"/>
              <w:rPr>
                <w:rFonts w:ascii="Times New Roman" w:hAnsi="Times New Roman"/>
                <w:sz w:val="16"/>
                <w:szCs w:val="16"/>
                <w:lang w:val="en-GB"/>
              </w:rPr>
            </w:pPr>
          </w:p>
        </w:tc>
      </w:tr>
      <w:tr w:rsidR="00933C25" w:rsidRPr="00F23413" w14:paraId="5E944984" w14:textId="77777777" w:rsidTr="00D77858">
        <w:tblPrEx>
          <w:tblCellMar>
            <w:left w:w="0" w:type="dxa"/>
            <w:right w:w="0" w:type="dxa"/>
          </w:tblCellMar>
        </w:tblPrEx>
        <w:trPr>
          <w:trHeight w:val="192"/>
        </w:trPr>
        <w:tc>
          <w:tcPr>
            <w:tcW w:w="5696" w:type="dxa"/>
            <w:gridSpan w:val="6"/>
            <w:shd w:val="clear" w:color="auto" w:fill="auto"/>
          </w:tcPr>
          <w:p w14:paraId="0F33917A" w14:textId="77777777" w:rsidR="00933C25" w:rsidRPr="00E16672" w:rsidRDefault="00933C25" w:rsidP="00141B39">
            <w:pPr>
              <w:pStyle w:val="23"/>
              <w:tabs>
                <w:tab w:val="left" w:pos="1080"/>
              </w:tabs>
              <w:snapToGrid w:val="0"/>
              <w:ind w:left="175" w:right="138" w:firstLine="7"/>
              <w:rPr>
                <w:rFonts w:ascii="Times New Roman" w:hAnsi="Times New Roman"/>
                <w:sz w:val="16"/>
                <w:szCs w:val="16"/>
              </w:rPr>
            </w:pPr>
            <w:r w:rsidRPr="00E16672">
              <w:rPr>
                <w:rFonts w:ascii="Times New Roman" w:hAnsi="Times New Roman"/>
                <w:sz w:val="16"/>
                <w:szCs w:val="16"/>
              </w:rPr>
              <w:t xml:space="preserve">5.13. Усі спори, що виникають з цього Договору або пов'язані із ним, вирішуються шляхом переговорів або у порядку, встановленому чинним законодавством України,  шляхом вирішення у судовому порядку. </w:t>
            </w:r>
          </w:p>
          <w:p w14:paraId="4860BFBA" w14:textId="77777777" w:rsidR="00933C25" w:rsidRPr="00E16672" w:rsidRDefault="00933C25" w:rsidP="00141B39">
            <w:pPr>
              <w:pStyle w:val="23"/>
              <w:ind w:left="175" w:right="138" w:firstLine="7"/>
              <w:rPr>
                <w:rFonts w:ascii="Times New Roman" w:hAnsi="Times New Roman"/>
                <w:sz w:val="16"/>
                <w:szCs w:val="16"/>
              </w:rPr>
            </w:pPr>
            <w:r w:rsidRPr="00E16672">
              <w:rPr>
                <w:rFonts w:ascii="Times New Roman" w:hAnsi="Times New Roman"/>
                <w:sz w:val="16"/>
                <w:szCs w:val="16"/>
              </w:rPr>
              <w:t xml:space="preserve">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законодавства України або у постійно діючому Третейському суді </w:t>
            </w:r>
            <w:proofErr w:type="spellStart"/>
            <w:r w:rsidRPr="00E16672">
              <w:rPr>
                <w:rFonts w:ascii="Times New Roman" w:hAnsi="Times New Roman"/>
                <w:sz w:val="16"/>
                <w:szCs w:val="16"/>
              </w:rPr>
              <w:t>саморегулівної</w:t>
            </w:r>
            <w:proofErr w:type="spellEnd"/>
            <w:r w:rsidRPr="00E16672">
              <w:rPr>
                <w:rFonts w:ascii="Times New Roman" w:hAnsi="Times New Roman"/>
                <w:sz w:val="16"/>
                <w:szCs w:val="16"/>
              </w:rPr>
              <w:t xml:space="preserve"> організації Професійна асоціація реєстраторів і депозитаріїв.</w:t>
            </w:r>
          </w:p>
          <w:p w14:paraId="42A81B36" w14:textId="77777777" w:rsidR="00933C25" w:rsidRPr="00E16672" w:rsidRDefault="00933C25" w:rsidP="00141B39">
            <w:pPr>
              <w:pStyle w:val="23"/>
              <w:numPr>
                <w:ilvl w:val="1"/>
                <w:numId w:val="4"/>
              </w:numPr>
              <w:tabs>
                <w:tab w:val="left" w:pos="1080"/>
              </w:tabs>
              <w:ind w:left="175" w:right="138" w:firstLine="7"/>
              <w:rPr>
                <w:rFonts w:ascii="Times New Roman" w:hAnsi="Times New Roman"/>
                <w:sz w:val="16"/>
                <w:szCs w:val="16"/>
              </w:rPr>
            </w:pPr>
          </w:p>
        </w:tc>
        <w:tc>
          <w:tcPr>
            <w:tcW w:w="5494" w:type="dxa"/>
            <w:gridSpan w:val="7"/>
            <w:shd w:val="clear" w:color="auto" w:fill="auto"/>
          </w:tcPr>
          <w:p w14:paraId="4628BBE3" w14:textId="77777777" w:rsidR="00933C25" w:rsidRPr="00E16672" w:rsidRDefault="00933C25" w:rsidP="00141B39">
            <w:pPr>
              <w:tabs>
                <w:tab w:val="left" w:pos="287"/>
              </w:tabs>
              <w:snapToGrid w:val="0"/>
              <w:ind w:left="175" w:right="100" w:firstLine="7"/>
              <w:rPr>
                <w:rFonts w:ascii="Times New Roman" w:hAnsi="Times New Roman"/>
                <w:sz w:val="16"/>
                <w:szCs w:val="16"/>
                <w:lang w:val="uk-UA"/>
              </w:rPr>
            </w:pPr>
            <w:r w:rsidRPr="00E16672">
              <w:rPr>
                <w:rFonts w:ascii="Times New Roman" w:hAnsi="Times New Roman"/>
                <w:sz w:val="16"/>
                <w:szCs w:val="16"/>
                <w:lang w:val="en-GB"/>
              </w:rPr>
              <w:t>5.13. All disputes arising out of this Agreement or related to it shall be decided by negotiation or by the procedure established by the legislation of Ukraine, by the decision of the courts.</w:t>
            </w:r>
          </w:p>
          <w:p w14:paraId="23BCC211" w14:textId="77777777" w:rsidR="00933C25" w:rsidRPr="00E16672" w:rsidRDefault="00933C25" w:rsidP="00141B39">
            <w:pPr>
              <w:tabs>
                <w:tab w:val="left" w:pos="287"/>
              </w:tabs>
              <w:snapToGrid w:val="0"/>
              <w:ind w:left="175" w:right="100" w:firstLine="7"/>
              <w:rPr>
                <w:rFonts w:ascii="Times New Roman" w:hAnsi="Times New Roman"/>
                <w:sz w:val="16"/>
                <w:szCs w:val="16"/>
                <w:lang w:val="en-GB"/>
              </w:rPr>
            </w:pPr>
            <w:r w:rsidRPr="00E16672">
              <w:rPr>
                <w:rFonts w:ascii="Times New Roman" w:hAnsi="Times New Roman"/>
                <w:sz w:val="16"/>
                <w:szCs w:val="16"/>
                <w:lang w:val="en-GB"/>
              </w:rPr>
              <w:t xml:space="preserve">If a dispute </w:t>
            </w:r>
            <w:proofErr w:type="spellStart"/>
            <w:r w:rsidRPr="00E16672">
              <w:rPr>
                <w:rFonts w:ascii="Times New Roman" w:hAnsi="Times New Roman"/>
                <w:sz w:val="16"/>
                <w:szCs w:val="16"/>
                <w:lang w:val="en-GB"/>
              </w:rPr>
              <w:t>can not</w:t>
            </w:r>
            <w:proofErr w:type="spellEnd"/>
            <w:r w:rsidRPr="00E16672">
              <w:rPr>
                <w:rFonts w:ascii="Times New Roman" w:hAnsi="Times New Roman"/>
                <w:sz w:val="16"/>
                <w:szCs w:val="16"/>
                <w:lang w:val="en-GB"/>
              </w:rPr>
              <w:t xml:space="preserve"> be resolved through negotiations, he settled in court with proper jurisdiction of the dispute in accordance with the legislation of Ukraine or the Arbitration Court of the self-regulatory organization of the Professional Association of Registrars and Depositories.</w:t>
            </w:r>
          </w:p>
          <w:p w14:paraId="1B6DCE69" w14:textId="77777777" w:rsidR="00933C25" w:rsidRPr="00E16672" w:rsidRDefault="00933C25" w:rsidP="00141B39">
            <w:pPr>
              <w:tabs>
                <w:tab w:val="left" w:pos="287"/>
              </w:tabs>
              <w:snapToGrid w:val="0"/>
              <w:ind w:left="175" w:right="100" w:firstLine="7"/>
              <w:rPr>
                <w:rFonts w:ascii="Times New Roman" w:hAnsi="Times New Roman"/>
                <w:sz w:val="16"/>
                <w:szCs w:val="16"/>
                <w:lang w:val="en-GB"/>
              </w:rPr>
            </w:pPr>
          </w:p>
        </w:tc>
      </w:tr>
      <w:tr w:rsidR="00933C25" w:rsidRPr="00F23413" w14:paraId="23DF453A" w14:textId="77777777" w:rsidTr="00D77858">
        <w:tblPrEx>
          <w:tblCellMar>
            <w:left w:w="0" w:type="dxa"/>
            <w:right w:w="0" w:type="dxa"/>
          </w:tblCellMar>
        </w:tblPrEx>
        <w:trPr>
          <w:trHeight w:val="192"/>
        </w:trPr>
        <w:tc>
          <w:tcPr>
            <w:tcW w:w="5696" w:type="dxa"/>
            <w:gridSpan w:val="6"/>
            <w:shd w:val="clear" w:color="auto" w:fill="auto"/>
          </w:tcPr>
          <w:p w14:paraId="79D52FB5" w14:textId="77777777" w:rsidR="00933C25" w:rsidRPr="00E16672" w:rsidRDefault="00933C25" w:rsidP="00141B39">
            <w:pPr>
              <w:snapToGrid w:val="0"/>
              <w:ind w:left="175" w:right="138" w:firstLine="7"/>
              <w:rPr>
                <w:rFonts w:ascii="Times New Roman" w:hAnsi="Times New Roman"/>
                <w:color w:val="000000"/>
                <w:sz w:val="16"/>
                <w:szCs w:val="16"/>
              </w:rPr>
            </w:pPr>
            <w:r w:rsidRPr="00E16672">
              <w:rPr>
                <w:rFonts w:ascii="Times New Roman" w:hAnsi="Times New Roman"/>
                <w:color w:val="000000"/>
                <w:sz w:val="16"/>
                <w:szCs w:val="16"/>
              </w:rPr>
              <w:t xml:space="preserve">5.14. </w:t>
            </w:r>
            <w:r w:rsidR="00853090" w:rsidRPr="00E16672">
              <w:rPr>
                <w:rFonts w:ascii="Times New Roman" w:hAnsi="Times New Roman"/>
                <w:color w:val="000000"/>
                <w:sz w:val="16"/>
                <w:szCs w:val="16"/>
              </w:rPr>
              <w:t xml:space="preserve">Строк </w:t>
            </w:r>
            <w:proofErr w:type="spellStart"/>
            <w:r w:rsidR="00853090" w:rsidRPr="00E16672">
              <w:rPr>
                <w:rFonts w:ascii="Times New Roman" w:hAnsi="Times New Roman"/>
                <w:color w:val="000000"/>
                <w:sz w:val="16"/>
                <w:szCs w:val="16"/>
              </w:rPr>
              <w:t>позовної</w:t>
            </w:r>
            <w:proofErr w:type="spellEnd"/>
            <w:r w:rsidR="00853090" w:rsidRPr="00E16672">
              <w:rPr>
                <w:rFonts w:ascii="Times New Roman" w:hAnsi="Times New Roman"/>
                <w:color w:val="000000"/>
                <w:sz w:val="16"/>
                <w:szCs w:val="16"/>
              </w:rPr>
              <w:t xml:space="preserve"> </w:t>
            </w:r>
            <w:proofErr w:type="spellStart"/>
            <w:r w:rsidR="00853090" w:rsidRPr="00E16672">
              <w:rPr>
                <w:rFonts w:ascii="Times New Roman" w:hAnsi="Times New Roman"/>
                <w:color w:val="000000"/>
                <w:sz w:val="16"/>
                <w:szCs w:val="16"/>
              </w:rPr>
              <w:t>давності</w:t>
            </w:r>
            <w:proofErr w:type="spellEnd"/>
            <w:r w:rsidR="00853090" w:rsidRPr="00E16672">
              <w:rPr>
                <w:rFonts w:ascii="Times New Roman" w:hAnsi="Times New Roman"/>
                <w:color w:val="000000"/>
                <w:sz w:val="16"/>
                <w:szCs w:val="16"/>
              </w:rPr>
              <w:t xml:space="preserve">, </w:t>
            </w:r>
            <w:proofErr w:type="gramStart"/>
            <w:r w:rsidR="00853090" w:rsidRPr="00E16672">
              <w:rPr>
                <w:rFonts w:ascii="Times New Roman" w:hAnsi="Times New Roman"/>
                <w:color w:val="000000"/>
                <w:sz w:val="16"/>
                <w:szCs w:val="16"/>
              </w:rPr>
              <w:t>у межах</w:t>
            </w:r>
            <w:proofErr w:type="gramEnd"/>
            <w:r w:rsidR="00853090" w:rsidRPr="00E16672">
              <w:rPr>
                <w:rFonts w:ascii="Times New Roman" w:hAnsi="Times New Roman"/>
                <w:color w:val="000000"/>
                <w:sz w:val="16"/>
                <w:szCs w:val="16"/>
              </w:rPr>
              <w:t xml:space="preserve"> </w:t>
            </w:r>
            <w:proofErr w:type="spellStart"/>
            <w:r w:rsidR="00853090" w:rsidRPr="00E16672">
              <w:rPr>
                <w:rFonts w:ascii="Times New Roman" w:hAnsi="Times New Roman"/>
                <w:color w:val="000000"/>
                <w:sz w:val="16"/>
                <w:szCs w:val="16"/>
              </w:rPr>
              <w:t>якого</w:t>
            </w:r>
            <w:proofErr w:type="spellEnd"/>
            <w:r w:rsidR="00853090" w:rsidRPr="00E16672">
              <w:rPr>
                <w:rFonts w:ascii="Times New Roman" w:hAnsi="Times New Roman"/>
                <w:color w:val="000000"/>
                <w:sz w:val="16"/>
                <w:szCs w:val="16"/>
              </w:rPr>
              <w:t xml:space="preserve"> одна </w:t>
            </w:r>
            <w:proofErr w:type="spellStart"/>
            <w:r w:rsidR="00853090" w:rsidRPr="00E16672">
              <w:rPr>
                <w:rFonts w:ascii="Times New Roman" w:hAnsi="Times New Roman"/>
                <w:color w:val="000000"/>
                <w:sz w:val="16"/>
                <w:szCs w:val="16"/>
              </w:rPr>
              <w:t>із</w:t>
            </w:r>
            <w:proofErr w:type="spellEnd"/>
            <w:r w:rsidR="00853090" w:rsidRPr="00E16672">
              <w:rPr>
                <w:rFonts w:ascii="Times New Roman" w:hAnsi="Times New Roman"/>
                <w:color w:val="000000"/>
                <w:sz w:val="16"/>
                <w:szCs w:val="16"/>
              </w:rPr>
              <w:t xml:space="preserve"> </w:t>
            </w:r>
            <w:proofErr w:type="spellStart"/>
            <w:r w:rsidR="00853090" w:rsidRPr="00E16672">
              <w:rPr>
                <w:rFonts w:ascii="Times New Roman" w:hAnsi="Times New Roman"/>
                <w:color w:val="000000"/>
                <w:sz w:val="16"/>
                <w:szCs w:val="16"/>
              </w:rPr>
              <w:t>Сторін</w:t>
            </w:r>
            <w:proofErr w:type="spellEnd"/>
            <w:r w:rsidR="00853090" w:rsidRPr="00E16672">
              <w:rPr>
                <w:rFonts w:ascii="Times New Roman" w:hAnsi="Times New Roman"/>
                <w:color w:val="000000"/>
                <w:sz w:val="16"/>
                <w:szCs w:val="16"/>
              </w:rPr>
              <w:t xml:space="preserve"> </w:t>
            </w:r>
            <w:proofErr w:type="spellStart"/>
            <w:r w:rsidR="00853090" w:rsidRPr="00E16672">
              <w:rPr>
                <w:rFonts w:ascii="Times New Roman" w:hAnsi="Times New Roman"/>
                <w:color w:val="000000"/>
                <w:sz w:val="16"/>
                <w:szCs w:val="16"/>
              </w:rPr>
              <w:t>може</w:t>
            </w:r>
            <w:proofErr w:type="spellEnd"/>
            <w:r w:rsidR="00853090" w:rsidRPr="00E16672">
              <w:rPr>
                <w:rFonts w:ascii="Times New Roman" w:hAnsi="Times New Roman"/>
                <w:color w:val="000000"/>
                <w:sz w:val="16"/>
                <w:szCs w:val="16"/>
              </w:rPr>
              <w:t xml:space="preserve"> </w:t>
            </w:r>
            <w:proofErr w:type="spellStart"/>
            <w:r w:rsidR="00853090" w:rsidRPr="00E16672">
              <w:rPr>
                <w:rFonts w:ascii="Times New Roman" w:hAnsi="Times New Roman"/>
                <w:color w:val="000000"/>
                <w:sz w:val="16"/>
                <w:szCs w:val="16"/>
              </w:rPr>
              <w:t>звернутися</w:t>
            </w:r>
            <w:proofErr w:type="spellEnd"/>
            <w:r w:rsidR="00853090" w:rsidRPr="00E16672">
              <w:rPr>
                <w:rFonts w:ascii="Times New Roman" w:hAnsi="Times New Roman"/>
                <w:color w:val="000000"/>
                <w:sz w:val="16"/>
                <w:szCs w:val="16"/>
              </w:rPr>
              <w:t xml:space="preserve"> до суду з </w:t>
            </w:r>
            <w:proofErr w:type="spellStart"/>
            <w:r w:rsidR="00853090" w:rsidRPr="00E16672">
              <w:rPr>
                <w:rFonts w:ascii="Times New Roman" w:hAnsi="Times New Roman"/>
                <w:color w:val="000000"/>
                <w:sz w:val="16"/>
                <w:szCs w:val="16"/>
              </w:rPr>
              <w:t>вимогою</w:t>
            </w:r>
            <w:proofErr w:type="spellEnd"/>
            <w:r w:rsidR="00853090" w:rsidRPr="00E16672">
              <w:rPr>
                <w:rFonts w:ascii="Times New Roman" w:hAnsi="Times New Roman"/>
                <w:color w:val="000000"/>
                <w:sz w:val="16"/>
                <w:szCs w:val="16"/>
              </w:rPr>
              <w:t xml:space="preserve"> про </w:t>
            </w:r>
            <w:proofErr w:type="spellStart"/>
            <w:r w:rsidR="00853090" w:rsidRPr="00E16672">
              <w:rPr>
                <w:rFonts w:ascii="Times New Roman" w:hAnsi="Times New Roman"/>
                <w:color w:val="000000"/>
                <w:sz w:val="16"/>
                <w:szCs w:val="16"/>
              </w:rPr>
              <w:t>захист</w:t>
            </w:r>
            <w:proofErr w:type="spellEnd"/>
            <w:r w:rsidR="00853090" w:rsidRPr="00E16672">
              <w:rPr>
                <w:rFonts w:ascii="Times New Roman" w:hAnsi="Times New Roman"/>
                <w:color w:val="000000"/>
                <w:sz w:val="16"/>
                <w:szCs w:val="16"/>
              </w:rPr>
              <w:t xml:space="preserve"> </w:t>
            </w:r>
            <w:proofErr w:type="spellStart"/>
            <w:r w:rsidR="00853090" w:rsidRPr="00E16672">
              <w:rPr>
                <w:rFonts w:ascii="Times New Roman" w:hAnsi="Times New Roman"/>
                <w:i/>
                <w:iCs/>
                <w:color w:val="000000"/>
                <w:sz w:val="16"/>
                <w:szCs w:val="16"/>
              </w:rPr>
              <w:t>основних</w:t>
            </w:r>
            <w:proofErr w:type="spellEnd"/>
            <w:r w:rsidR="00853090" w:rsidRPr="00E16672">
              <w:rPr>
                <w:rFonts w:ascii="Times New Roman" w:hAnsi="Times New Roman"/>
                <w:color w:val="000000"/>
                <w:sz w:val="16"/>
                <w:szCs w:val="16"/>
              </w:rPr>
              <w:t xml:space="preserve"> прав та </w:t>
            </w:r>
            <w:proofErr w:type="spellStart"/>
            <w:r w:rsidR="00853090" w:rsidRPr="00E16672">
              <w:rPr>
                <w:rFonts w:ascii="Times New Roman" w:hAnsi="Times New Roman"/>
                <w:color w:val="000000"/>
                <w:sz w:val="16"/>
                <w:szCs w:val="16"/>
              </w:rPr>
              <w:t>інтересів</w:t>
            </w:r>
            <w:proofErr w:type="spellEnd"/>
            <w:r w:rsidR="00853090" w:rsidRPr="00E16672">
              <w:rPr>
                <w:rFonts w:ascii="Times New Roman" w:hAnsi="Times New Roman"/>
                <w:color w:val="000000"/>
                <w:sz w:val="16"/>
                <w:szCs w:val="16"/>
              </w:rPr>
              <w:t xml:space="preserve"> </w:t>
            </w:r>
            <w:proofErr w:type="spellStart"/>
            <w:r w:rsidR="00853090" w:rsidRPr="00E16672">
              <w:rPr>
                <w:rFonts w:ascii="Times New Roman" w:hAnsi="Times New Roman"/>
                <w:color w:val="000000"/>
                <w:sz w:val="16"/>
                <w:szCs w:val="16"/>
              </w:rPr>
              <w:t>встановлюється</w:t>
            </w:r>
            <w:proofErr w:type="spellEnd"/>
            <w:r w:rsidR="00853090" w:rsidRPr="00E16672">
              <w:rPr>
                <w:rFonts w:ascii="Times New Roman" w:hAnsi="Times New Roman"/>
                <w:color w:val="000000"/>
                <w:sz w:val="16"/>
                <w:szCs w:val="16"/>
              </w:rPr>
              <w:t xml:space="preserve"> </w:t>
            </w:r>
            <w:proofErr w:type="spellStart"/>
            <w:r w:rsidR="00853090" w:rsidRPr="00E16672">
              <w:rPr>
                <w:rFonts w:ascii="Times New Roman" w:hAnsi="Times New Roman"/>
                <w:color w:val="000000"/>
                <w:sz w:val="16"/>
                <w:szCs w:val="16"/>
              </w:rPr>
              <w:t>тривалістю</w:t>
            </w:r>
            <w:proofErr w:type="spellEnd"/>
            <w:r w:rsidR="00853090" w:rsidRPr="00E16672">
              <w:rPr>
                <w:rFonts w:ascii="Times New Roman" w:hAnsi="Times New Roman"/>
                <w:color w:val="000000"/>
                <w:sz w:val="16"/>
                <w:szCs w:val="16"/>
              </w:rPr>
              <w:t xml:space="preserve"> у </w:t>
            </w:r>
            <w:proofErr w:type="spellStart"/>
            <w:r w:rsidR="00853090" w:rsidRPr="00E16672">
              <w:rPr>
                <w:rFonts w:ascii="Times New Roman" w:hAnsi="Times New Roman"/>
                <w:i/>
                <w:iCs/>
                <w:color w:val="000000"/>
                <w:sz w:val="16"/>
                <w:szCs w:val="16"/>
              </w:rPr>
              <w:t>п’ятдесят</w:t>
            </w:r>
            <w:proofErr w:type="spellEnd"/>
            <w:r w:rsidR="00853090" w:rsidRPr="00E16672">
              <w:rPr>
                <w:rFonts w:ascii="Times New Roman" w:hAnsi="Times New Roman"/>
                <w:color w:val="000000"/>
                <w:sz w:val="16"/>
                <w:szCs w:val="16"/>
              </w:rPr>
              <w:t xml:space="preserve"> </w:t>
            </w:r>
            <w:proofErr w:type="spellStart"/>
            <w:r w:rsidR="00853090" w:rsidRPr="00E16672">
              <w:rPr>
                <w:rFonts w:ascii="Times New Roman" w:hAnsi="Times New Roman"/>
                <w:color w:val="000000"/>
                <w:sz w:val="16"/>
                <w:szCs w:val="16"/>
              </w:rPr>
              <w:t>років</w:t>
            </w:r>
            <w:proofErr w:type="spellEnd"/>
            <w:r w:rsidR="00853090" w:rsidRPr="00E16672">
              <w:rPr>
                <w:rFonts w:ascii="Times New Roman" w:hAnsi="Times New Roman"/>
                <w:color w:val="000000"/>
                <w:sz w:val="16"/>
                <w:szCs w:val="16"/>
              </w:rPr>
              <w:t xml:space="preserve">. </w:t>
            </w:r>
            <w:proofErr w:type="spellStart"/>
            <w:r w:rsidR="00853090" w:rsidRPr="00E16672">
              <w:rPr>
                <w:rFonts w:ascii="Times New Roman" w:hAnsi="Times New Roman"/>
                <w:color w:val="000000"/>
                <w:sz w:val="16"/>
                <w:szCs w:val="16"/>
              </w:rPr>
              <w:t>Позовна</w:t>
            </w:r>
            <w:proofErr w:type="spellEnd"/>
            <w:r w:rsidR="00853090" w:rsidRPr="00E16672">
              <w:rPr>
                <w:rFonts w:ascii="Times New Roman" w:hAnsi="Times New Roman"/>
                <w:color w:val="000000"/>
                <w:sz w:val="16"/>
                <w:szCs w:val="16"/>
              </w:rPr>
              <w:t xml:space="preserve"> </w:t>
            </w:r>
            <w:proofErr w:type="spellStart"/>
            <w:r w:rsidR="00853090" w:rsidRPr="00E16672">
              <w:rPr>
                <w:rFonts w:ascii="Times New Roman" w:hAnsi="Times New Roman"/>
                <w:color w:val="000000"/>
                <w:sz w:val="16"/>
                <w:szCs w:val="16"/>
              </w:rPr>
              <w:t>давність</w:t>
            </w:r>
            <w:proofErr w:type="spellEnd"/>
            <w:r w:rsidR="00853090" w:rsidRPr="00E16672">
              <w:rPr>
                <w:rFonts w:ascii="Times New Roman" w:hAnsi="Times New Roman"/>
                <w:color w:val="000000"/>
                <w:sz w:val="16"/>
                <w:szCs w:val="16"/>
              </w:rPr>
              <w:t xml:space="preserve"> в </w:t>
            </w:r>
            <w:proofErr w:type="spellStart"/>
            <w:r w:rsidR="00853090" w:rsidRPr="00E16672">
              <w:rPr>
                <w:rFonts w:ascii="Times New Roman" w:hAnsi="Times New Roman"/>
                <w:i/>
                <w:iCs/>
                <w:color w:val="000000"/>
                <w:sz w:val="16"/>
                <w:szCs w:val="16"/>
              </w:rPr>
              <w:t>п'ятдесят</w:t>
            </w:r>
            <w:proofErr w:type="spellEnd"/>
            <w:r w:rsidR="00853090" w:rsidRPr="00E16672">
              <w:rPr>
                <w:rFonts w:ascii="Times New Roman" w:hAnsi="Times New Roman"/>
                <w:color w:val="000000"/>
                <w:sz w:val="16"/>
                <w:szCs w:val="16"/>
              </w:rPr>
              <w:t xml:space="preserve"> </w:t>
            </w:r>
            <w:proofErr w:type="spellStart"/>
            <w:r w:rsidR="00853090" w:rsidRPr="00E16672">
              <w:rPr>
                <w:rFonts w:ascii="Times New Roman" w:hAnsi="Times New Roman"/>
                <w:color w:val="000000"/>
                <w:sz w:val="16"/>
                <w:szCs w:val="16"/>
              </w:rPr>
              <w:t>років</w:t>
            </w:r>
            <w:proofErr w:type="spellEnd"/>
            <w:r w:rsidR="00853090" w:rsidRPr="00E16672">
              <w:rPr>
                <w:rFonts w:ascii="Times New Roman" w:hAnsi="Times New Roman"/>
                <w:color w:val="000000"/>
                <w:sz w:val="16"/>
                <w:szCs w:val="16"/>
              </w:rPr>
              <w:t xml:space="preserve"> </w:t>
            </w:r>
            <w:proofErr w:type="spellStart"/>
            <w:r w:rsidR="00853090" w:rsidRPr="00E16672">
              <w:rPr>
                <w:rFonts w:ascii="Times New Roman" w:hAnsi="Times New Roman"/>
                <w:color w:val="000000"/>
                <w:sz w:val="16"/>
                <w:szCs w:val="16"/>
              </w:rPr>
              <w:t>застосовується</w:t>
            </w:r>
            <w:proofErr w:type="spellEnd"/>
            <w:r w:rsidR="00853090" w:rsidRPr="00E16672">
              <w:rPr>
                <w:rFonts w:ascii="Times New Roman" w:hAnsi="Times New Roman"/>
                <w:color w:val="000000"/>
                <w:sz w:val="16"/>
                <w:szCs w:val="16"/>
              </w:rPr>
              <w:t xml:space="preserve"> </w:t>
            </w:r>
            <w:proofErr w:type="spellStart"/>
            <w:r w:rsidR="00853090" w:rsidRPr="00E16672">
              <w:rPr>
                <w:rFonts w:ascii="Times New Roman" w:hAnsi="Times New Roman"/>
                <w:color w:val="000000"/>
                <w:sz w:val="16"/>
                <w:szCs w:val="16"/>
              </w:rPr>
              <w:t>також</w:t>
            </w:r>
            <w:proofErr w:type="spellEnd"/>
            <w:r w:rsidR="00853090" w:rsidRPr="00E16672">
              <w:rPr>
                <w:rFonts w:ascii="Times New Roman" w:hAnsi="Times New Roman"/>
                <w:color w:val="000000"/>
                <w:sz w:val="16"/>
                <w:szCs w:val="16"/>
              </w:rPr>
              <w:t xml:space="preserve"> до </w:t>
            </w:r>
            <w:proofErr w:type="spellStart"/>
            <w:r w:rsidR="00853090" w:rsidRPr="00E16672">
              <w:rPr>
                <w:rFonts w:ascii="Times New Roman" w:hAnsi="Times New Roman"/>
                <w:color w:val="000000"/>
                <w:sz w:val="16"/>
                <w:szCs w:val="16"/>
              </w:rPr>
              <w:t>вимог</w:t>
            </w:r>
            <w:proofErr w:type="spellEnd"/>
            <w:r w:rsidR="00853090" w:rsidRPr="00E16672">
              <w:rPr>
                <w:rFonts w:ascii="Times New Roman" w:hAnsi="Times New Roman"/>
                <w:color w:val="000000"/>
                <w:sz w:val="16"/>
                <w:szCs w:val="16"/>
              </w:rPr>
              <w:t xml:space="preserve"> про </w:t>
            </w:r>
            <w:proofErr w:type="spellStart"/>
            <w:r w:rsidR="00853090" w:rsidRPr="00E16672">
              <w:rPr>
                <w:rFonts w:ascii="Times New Roman" w:hAnsi="Times New Roman"/>
                <w:color w:val="000000"/>
                <w:sz w:val="16"/>
                <w:szCs w:val="16"/>
              </w:rPr>
              <w:t>стягнення</w:t>
            </w:r>
            <w:proofErr w:type="spellEnd"/>
            <w:r w:rsidR="00853090" w:rsidRPr="00E16672">
              <w:rPr>
                <w:rFonts w:ascii="Times New Roman" w:hAnsi="Times New Roman"/>
                <w:color w:val="000000"/>
                <w:sz w:val="16"/>
                <w:szCs w:val="16"/>
              </w:rPr>
              <w:t xml:space="preserve"> </w:t>
            </w:r>
            <w:r w:rsidR="00853090" w:rsidRPr="00E16672">
              <w:rPr>
                <w:rFonts w:ascii="Times New Roman" w:hAnsi="Times New Roman"/>
                <w:i/>
                <w:iCs/>
                <w:color w:val="000000"/>
                <w:sz w:val="16"/>
                <w:szCs w:val="16"/>
              </w:rPr>
              <w:t>неустойки</w:t>
            </w:r>
            <w:r w:rsidR="00853090" w:rsidRPr="00E16672">
              <w:rPr>
                <w:rFonts w:ascii="Times New Roman" w:hAnsi="Times New Roman"/>
                <w:color w:val="000000"/>
                <w:sz w:val="16"/>
                <w:szCs w:val="16"/>
              </w:rPr>
              <w:t xml:space="preserve"> (</w:t>
            </w:r>
            <w:proofErr w:type="spellStart"/>
            <w:r w:rsidR="00853090" w:rsidRPr="00E16672">
              <w:rPr>
                <w:rFonts w:ascii="Times New Roman" w:hAnsi="Times New Roman"/>
                <w:color w:val="000000"/>
                <w:sz w:val="16"/>
                <w:szCs w:val="16"/>
              </w:rPr>
              <w:t>пені</w:t>
            </w:r>
            <w:proofErr w:type="spellEnd"/>
            <w:r w:rsidR="00853090" w:rsidRPr="00E16672">
              <w:rPr>
                <w:rFonts w:ascii="Times New Roman" w:hAnsi="Times New Roman"/>
                <w:color w:val="000000"/>
                <w:sz w:val="16"/>
                <w:szCs w:val="16"/>
              </w:rPr>
              <w:t>).</w:t>
            </w:r>
          </w:p>
          <w:p w14:paraId="02941C08" w14:textId="77777777" w:rsidR="00933C25" w:rsidRPr="00E16672" w:rsidRDefault="00933C25" w:rsidP="00141B39">
            <w:pPr>
              <w:ind w:left="175" w:right="138" w:firstLine="7"/>
              <w:rPr>
                <w:rFonts w:ascii="Times New Roman" w:hAnsi="Times New Roman"/>
                <w:color w:val="000000"/>
                <w:sz w:val="16"/>
                <w:szCs w:val="16"/>
              </w:rPr>
            </w:pPr>
          </w:p>
        </w:tc>
        <w:tc>
          <w:tcPr>
            <w:tcW w:w="5494" w:type="dxa"/>
            <w:gridSpan w:val="7"/>
            <w:shd w:val="clear" w:color="auto" w:fill="auto"/>
          </w:tcPr>
          <w:p w14:paraId="07041A54" w14:textId="77777777" w:rsidR="00FA12BD" w:rsidRPr="00E16672" w:rsidRDefault="00933C25" w:rsidP="00141B39">
            <w:pPr>
              <w:snapToGrid w:val="0"/>
              <w:ind w:left="175" w:right="138" w:firstLine="7"/>
              <w:rPr>
                <w:rFonts w:ascii="Times New Roman" w:hAnsi="Times New Roman"/>
                <w:color w:val="000000"/>
                <w:sz w:val="16"/>
                <w:szCs w:val="16"/>
                <w:lang w:val="en-GB"/>
              </w:rPr>
            </w:pPr>
            <w:r w:rsidRPr="00E16672">
              <w:rPr>
                <w:rFonts w:ascii="Times New Roman" w:hAnsi="Times New Roman"/>
                <w:color w:val="000000"/>
                <w:sz w:val="16"/>
                <w:szCs w:val="16"/>
                <w:lang w:val="en-GB"/>
              </w:rPr>
              <w:t xml:space="preserve">5.14. </w:t>
            </w:r>
            <w:r w:rsidR="00FA12BD" w:rsidRPr="00E16672">
              <w:rPr>
                <w:rFonts w:ascii="Times New Roman" w:hAnsi="Times New Roman"/>
                <w:color w:val="000000"/>
                <w:sz w:val="16"/>
                <w:szCs w:val="16"/>
                <w:lang w:val="en-GB"/>
              </w:rPr>
              <w:t xml:space="preserve">The limitation period within which a Party may request the court to demand the protection of fundamental </w:t>
            </w:r>
            <w:r w:rsidR="00FA12BD" w:rsidRPr="00E16672">
              <w:rPr>
                <w:rFonts w:ascii="Times New Roman" w:hAnsi="Times New Roman"/>
                <w:color w:val="000000"/>
                <w:sz w:val="16"/>
                <w:szCs w:val="16"/>
                <w:lang w:val="en-US"/>
              </w:rPr>
              <w:t xml:space="preserve">rights and </w:t>
            </w:r>
            <w:proofErr w:type="gramStart"/>
            <w:r w:rsidR="00FA12BD" w:rsidRPr="00E16672">
              <w:rPr>
                <w:rFonts w:ascii="Times New Roman" w:hAnsi="Times New Roman"/>
                <w:color w:val="000000"/>
                <w:sz w:val="16"/>
                <w:szCs w:val="16"/>
                <w:lang w:val="en-US"/>
              </w:rPr>
              <w:t xml:space="preserve">interests </w:t>
            </w:r>
            <w:r w:rsidR="00FA12BD" w:rsidRPr="00E16672">
              <w:rPr>
                <w:rFonts w:ascii="Times New Roman" w:hAnsi="Times New Roman"/>
                <w:color w:val="000000"/>
                <w:sz w:val="16"/>
                <w:szCs w:val="16"/>
                <w:lang w:val="en-GB"/>
              </w:rPr>
              <w:t xml:space="preserve"> set</w:t>
            </w:r>
            <w:proofErr w:type="gramEnd"/>
            <w:r w:rsidR="00FA12BD" w:rsidRPr="00E16672">
              <w:rPr>
                <w:rFonts w:ascii="Times New Roman" w:hAnsi="Times New Roman"/>
                <w:color w:val="000000"/>
                <w:sz w:val="16"/>
                <w:szCs w:val="16"/>
                <w:lang w:val="en-GB"/>
              </w:rPr>
              <w:t xml:space="preserve"> duration of fifty years. Limitation of </w:t>
            </w:r>
            <w:r w:rsidR="00FA12BD" w:rsidRPr="00E16672">
              <w:rPr>
                <w:rFonts w:ascii="Times New Roman" w:hAnsi="Times New Roman"/>
                <w:i/>
                <w:color w:val="000000"/>
                <w:sz w:val="16"/>
                <w:szCs w:val="16"/>
                <w:lang w:val="en-GB"/>
              </w:rPr>
              <w:t>fifty years</w:t>
            </w:r>
            <w:r w:rsidR="00FA12BD" w:rsidRPr="00E16672">
              <w:rPr>
                <w:rFonts w:ascii="Times New Roman" w:hAnsi="Times New Roman"/>
                <w:color w:val="000000"/>
                <w:sz w:val="16"/>
                <w:szCs w:val="16"/>
                <w:lang w:val="en-GB"/>
              </w:rPr>
              <w:t xml:space="preserve"> shall also apply to claims for a penalty (fine).</w:t>
            </w:r>
          </w:p>
          <w:p w14:paraId="4372BD91" w14:textId="77777777" w:rsidR="00933C25" w:rsidRPr="00E16672" w:rsidRDefault="00933C25" w:rsidP="00141B39">
            <w:pPr>
              <w:tabs>
                <w:tab w:val="left" w:pos="287"/>
              </w:tabs>
              <w:snapToGrid w:val="0"/>
              <w:ind w:left="175" w:right="138" w:firstLine="7"/>
              <w:rPr>
                <w:rFonts w:ascii="Times New Roman" w:hAnsi="Times New Roman"/>
                <w:color w:val="000000"/>
                <w:sz w:val="16"/>
                <w:szCs w:val="16"/>
                <w:lang w:val="en-GB"/>
              </w:rPr>
            </w:pPr>
          </w:p>
        </w:tc>
      </w:tr>
      <w:tr w:rsidR="00933C25" w:rsidRPr="00F23413" w14:paraId="7A25933B" w14:textId="77777777" w:rsidTr="00D77858">
        <w:tblPrEx>
          <w:tblCellMar>
            <w:left w:w="0" w:type="dxa"/>
            <w:right w:w="0" w:type="dxa"/>
          </w:tblCellMar>
        </w:tblPrEx>
        <w:trPr>
          <w:trHeight w:val="192"/>
        </w:trPr>
        <w:tc>
          <w:tcPr>
            <w:tcW w:w="5696" w:type="dxa"/>
            <w:gridSpan w:val="6"/>
            <w:shd w:val="clear" w:color="auto" w:fill="auto"/>
          </w:tcPr>
          <w:p w14:paraId="476F794B" w14:textId="77777777" w:rsidR="00933C25" w:rsidRPr="00E16672" w:rsidRDefault="00933C25" w:rsidP="00141B39">
            <w:pPr>
              <w:snapToGrid w:val="0"/>
              <w:ind w:left="175" w:right="138" w:firstLine="7"/>
              <w:jc w:val="center"/>
              <w:rPr>
                <w:rFonts w:ascii="Times New Roman" w:hAnsi="Times New Roman"/>
                <w:b/>
                <w:caps/>
                <w:sz w:val="16"/>
                <w:szCs w:val="16"/>
              </w:rPr>
            </w:pPr>
            <w:r w:rsidRPr="00E16672">
              <w:rPr>
                <w:rFonts w:ascii="Times New Roman" w:hAnsi="Times New Roman"/>
                <w:b/>
                <w:caps/>
                <w:sz w:val="16"/>
                <w:szCs w:val="16"/>
              </w:rPr>
              <w:t xml:space="preserve">6. Строк дії Договору, порядок внесення змін до нього, умови розіврвання </w:t>
            </w:r>
            <w:proofErr w:type="gramStart"/>
            <w:r w:rsidRPr="00E16672">
              <w:rPr>
                <w:rFonts w:ascii="Times New Roman" w:hAnsi="Times New Roman"/>
                <w:b/>
                <w:caps/>
                <w:sz w:val="16"/>
                <w:szCs w:val="16"/>
              </w:rPr>
              <w:t>договору  та</w:t>
            </w:r>
            <w:proofErr w:type="gramEnd"/>
            <w:r w:rsidRPr="00E16672">
              <w:rPr>
                <w:rFonts w:ascii="Times New Roman" w:hAnsi="Times New Roman"/>
                <w:b/>
                <w:caps/>
                <w:sz w:val="16"/>
                <w:szCs w:val="16"/>
              </w:rPr>
              <w:t xml:space="preserve"> припинення  його дії</w:t>
            </w:r>
          </w:p>
          <w:p w14:paraId="1A8D0711" w14:textId="77777777" w:rsidR="00933C25" w:rsidRPr="00E16672" w:rsidRDefault="00933C25" w:rsidP="00141B39">
            <w:pPr>
              <w:ind w:left="175" w:right="138" w:firstLine="7"/>
              <w:jc w:val="center"/>
              <w:rPr>
                <w:rFonts w:ascii="Times New Roman" w:hAnsi="Times New Roman"/>
                <w:b/>
                <w:caps/>
                <w:sz w:val="16"/>
                <w:szCs w:val="16"/>
              </w:rPr>
            </w:pPr>
          </w:p>
          <w:p w14:paraId="2F54E255" w14:textId="77777777" w:rsidR="00933C25" w:rsidRPr="00E16672" w:rsidRDefault="00933C25" w:rsidP="00141B39">
            <w:pPr>
              <w:ind w:left="175" w:right="138" w:firstLine="7"/>
              <w:rPr>
                <w:rFonts w:ascii="Times New Roman" w:hAnsi="Times New Roman"/>
                <w:sz w:val="16"/>
                <w:szCs w:val="16"/>
              </w:rPr>
            </w:pPr>
            <w:r w:rsidRPr="00E16672">
              <w:rPr>
                <w:rFonts w:ascii="Times New Roman" w:hAnsi="Times New Roman"/>
                <w:sz w:val="16"/>
                <w:szCs w:val="16"/>
              </w:rPr>
              <w:t xml:space="preserve">6.1. </w:t>
            </w:r>
            <w:proofErr w:type="spellStart"/>
            <w:r w:rsidRPr="00E16672">
              <w:rPr>
                <w:rFonts w:ascii="Times New Roman" w:hAnsi="Times New Roman"/>
                <w:sz w:val="16"/>
                <w:szCs w:val="16"/>
              </w:rPr>
              <w:t>Цей</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Договір</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набирає</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чинності</w:t>
            </w:r>
            <w:proofErr w:type="spellEnd"/>
            <w:r w:rsidRPr="00E16672">
              <w:rPr>
                <w:rFonts w:ascii="Times New Roman" w:hAnsi="Times New Roman"/>
                <w:sz w:val="16"/>
                <w:szCs w:val="16"/>
              </w:rPr>
              <w:t xml:space="preserve"> з моменту </w:t>
            </w:r>
            <w:proofErr w:type="spellStart"/>
            <w:r w:rsidRPr="00E16672">
              <w:rPr>
                <w:rFonts w:ascii="Times New Roman" w:hAnsi="Times New Roman"/>
                <w:sz w:val="16"/>
                <w:szCs w:val="16"/>
              </w:rPr>
              <w:t>його</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підписання</w:t>
            </w:r>
            <w:proofErr w:type="spellEnd"/>
            <w:r w:rsidRPr="00E16672">
              <w:rPr>
                <w:rFonts w:ascii="Times New Roman" w:hAnsi="Times New Roman"/>
                <w:sz w:val="16"/>
                <w:szCs w:val="16"/>
              </w:rPr>
              <w:t xml:space="preserve"> Сторонами і </w:t>
            </w:r>
            <w:proofErr w:type="spellStart"/>
            <w:r w:rsidRPr="00E16672">
              <w:rPr>
                <w:rFonts w:ascii="Times New Roman" w:hAnsi="Times New Roman"/>
                <w:sz w:val="16"/>
                <w:szCs w:val="16"/>
              </w:rPr>
              <w:t>скріплення</w:t>
            </w:r>
            <w:proofErr w:type="spellEnd"/>
            <w:r w:rsidRPr="00E16672">
              <w:rPr>
                <w:rFonts w:ascii="Times New Roman" w:hAnsi="Times New Roman"/>
                <w:sz w:val="16"/>
                <w:szCs w:val="16"/>
              </w:rPr>
              <w:t xml:space="preserve"> печатками (</w:t>
            </w:r>
            <w:r w:rsidR="003352AE" w:rsidRPr="00E16672">
              <w:rPr>
                <w:rFonts w:ascii="Times New Roman" w:hAnsi="Times New Roman"/>
                <w:sz w:val="16"/>
                <w:szCs w:val="16"/>
              </w:rPr>
              <w:t xml:space="preserve">у </w:t>
            </w:r>
            <w:proofErr w:type="spellStart"/>
            <w:r w:rsidR="003352AE" w:rsidRPr="00E16672">
              <w:rPr>
                <w:rFonts w:ascii="Times New Roman" w:hAnsi="Times New Roman"/>
                <w:sz w:val="16"/>
                <w:szCs w:val="16"/>
              </w:rPr>
              <w:t>разі</w:t>
            </w:r>
            <w:proofErr w:type="spellEnd"/>
            <w:r w:rsidR="003352AE" w:rsidRPr="00E16672">
              <w:rPr>
                <w:rFonts w:ascii="Times New Roman" w:hAnsi="Times New Roman"/>
                <w:sz w:val="16"/>
                <w:szCs w:val="16"/>
              </w:rPr>
              <w:t xml:space="preserve"> </w:t>
            </w:r>
            <w:proofErr w:type="spellStart"/>
            <w:r w:rsidR="003352AE" w:rsidRPr="00E16672">
              <w:rPr>
                <w:rFonts w:ascii="Times New Roman" w:hAnsi="Times New Roman"/>
                <w:sz w:val="16"/>
                <w:szCs w:val="16"/>
              </w:rPr>
              <w:t>використання</w:t>
            </w:r>
            <w:proofErr w:type="spellEnd"/>
            <w:r w:rsidRPr="00E16672">
              <w:rPr>
                <w:rFonts w:ascii="Times New Roman" w:hAnsi="Times New Roman"/>
                <w:sz w:val="16"/>
                <w:szCs w:val="16"/>
              </w:rPr>
              <w:t xml:space="preserve">) та </w:t>
            </w:r>
            <w:proofErr w:type="spellStart"/>
            <w:r w:rsidRPr="00E16672">
              <w:rPr>
                <w:rFonts w:ascii="Times New Roman" w:hAnsi="Times New Roman"/>
                <w:sz w:val="16"/>
                <w:szCs w:val="16"/>
              </w:rPr>
              <w:t>діє</w:t>
            </w:r>
            <w:proofErr w:type="spellEnd"/>
            <w:r w:rsidRPr="00E16672">
              <w:rPr>
                <w:rFonts w:ascii="Times New Roman" w:hAnsi="Times New Roman"/>
                <w:sz w:val="16"/>
                <w:szCs w:val="16"/>
              </w:rPr>
              <w:t xml:space="preserve"> до </w:t>
            </w:r>
            <w:proofErr w:type="spellStart"/>
            <w:r w:rsidRPr="00E16672">
              <w:rPr>
                <w:rFonts w:ascii="Times New Roman" w:hAnsi="Times New Roman"/>
                <w:sz w:val="16"/>
                <w:szCs w:val="16"/>
              </w:rPr>
              <w:t>повного</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виконання</w:t>
            </w:r>
            <w:proofErr w:type="spellEnd"/>
            <w:r w:rsidRPr="00E16672">
              <w:rPr>
                <w:rFonts w:ascii="Times New Roman" w:hAnsi="Times New Roman"/>
                <w:sz w:val="16"/>
                <w:szCs w:val="16"/>
              </w:rPr>
              <w:t xml:space="preserve"> Договору. </w:t>
            </w:r>
          </w:p>
          <w:p w14:paraId="667B9179" w14:textId="77777777" w:rsidR="00933C25" w:rsidRPr="00E16672" w:rsidRDefault="00933C25" w:rsidP="00141B39">
            <w:pPr>
              <w:snapToGrid w:val="0"/>
              <w:ind w:left="175" w:right="138" w:firstLine="7"/>
              <w:rPr>
                <w:rFonts w:ascii="Times New Roman" w:hAnsi="Times New Roman"/>
                <w:sz w:val="16"/>
                <w:szCs w:val="16"/>
              </w:rPr>
            </w:pPr>
          </w:p>
        </w:tc>
        <w:tc>
          <w:tcPr>
            <w:tcW w:w="5494" w:type="dxa"/>
            <w:gridSpan w:val="7"/>
            <w:shd w:val="clear" w:color="auto" w:fill="auto"/>
          </w:tcPr>
          <w:p w14:paraId="2D88AA72" w14:textId="77777777" w:rsidR="00933C25" w:rsidRPr="00E16672" w:rsidRDefault="00933C25" w:rsidP="00141B39">
            <w:pPr>
              <w:tabs>
                <w:tab w:val="left" w:pos="287"/>
              </w:tabs>
              <w:snapToGrid w:val="0"/>
              <w:ind w:left="175" w:right="100" w:firstLine="7"/>
              <w:jc w:val="center"/>
              <w:rPr>
                <w:rFonts w:ascii="Times New Roman" w:hAnsi="Times New Roman"/>
                <w:b/>
                <w:caps/>
                <w:sz w:val="16"/>
                <w:szCs w:val="16"/>
                <w:lang w:val="en-GB"/>
              </w:rPr>
            </w:pPr>
            <w:r w:rsidRPr="00E16672">
              <w:rPr>
                <w:rFonts w:ascii="Times New Roman" w:hAnsi="Times New Roman"/>
                <w:b/>
                <w:caps/>
                <w:sz w:val="16"/>
                <w:szCs w:val="16"/>
                <w:lang w:val="en-GB"/>
              </w:rPr>
              <w:t xml:space="preserve">6. TERM OF ACTIONS OF AGREEMENT, ORDER CHANGES TO </w:t>
            </w:r>
            <w:r w:rsidRPr="00E16672">
              <w:rPr>
                <w:rFonts w:ascii="Times New Roman" w:hAnsi="Times New Roman"/>
                <w:b/>
                <w:caps/>
                <w:sz w:val="16"/>
                <w:szCs w:val="16"/>
                <w:lang w:val="en-US"/>
              </w:rPr>
              <w:t>it</w:t>
            </w:r>
            <w:r w:rsidRPr="00E16672">
              <w:rPr>
                <w:rFonts w:ascii="Times New Roman" w:hAnsi="Times New Roman"/>
                <w:b/>
                <w:caps/>
                <w:sz w:val="16"/>
                <w:szCs w:val="16"/>
                <w:lang w:val="en-GB"/>
              </w:rPr>
              <w:t xml:space="preserve">, conditions for terminating of </w:t>
            </w:r>
            <w:proofErr w:type="gramStart"/>
            <w:r w:rsidRPr="00E16672">
              <w:rPr>
                <w:rFonts w:ascii="Times New Roman" w:hAnsi="Times New Roman"/>
                <w:b/>
                <w:caps/>
                <w:sz w:val="16"/>
                <w:szCs w:val="16"/>
                <w:lang w:val="en-GB"/>
              </w:rPr>
              <w:t>Agreement</w:t>
            </w:r>
            <w:r w:rsidRPr="00F23413">
              <w:rPr>
                <w:rStyle w:val="hps"/>
                <w:rFonts w:ascii="Times New Roman" w:hAnsi="Times New Roman"/>
                <w:lang w:val="en-US"/>
              </w:rPr>
              <w:t xml:space="preserve"> </w:t>
            </w:r>
            <w:r w:rsidRPr="00E16672">
              <w:rPr>
                <w:rFonts w:ascii="Times New Roman" w:hAnsi="Times New Roman"/>
                <w:b/>
                <w:caps/>
                <w:sz w:val="16"/>
                <w:szCs w:val="16"/>
                <w:lang w:val="en-GB"/>
              </w:rPr>
              <w:t xml:space="preserve"> AND</w:t>
            </w:r>
            <w:proofErr w:type="gramEnd"/>
            <w:r w:rsidRPr="00E16672">
              <w:rPr>
                <w:rFonts w:ascii="Times New Roman" w:hAnsi="Times New Roman"/>
                <w:b/>
                <w:caps/>
                <w:sz w:val="16"/>
                <w:szCs w:val="16"/>
                <w:lang w:val="en-GB"/>
              </w:rPr>
              <w:t xml:space="preserve"> TERMINATION OF its</w:t>
            </w:r>
            <w:r w:rsidRPr="00E16672">
              <w:rPr>
                <w:rFonts w:ascii="Times New Roman" w:hAnsi="Times New Roman"/>
                <w:b/>
                <w:caps/>
                <w:sz w:val="16"/>
                <w:szCs w:val="16"/>
                <w:lang w:val="en-US"/>
              </w:rPr>
              <w:t xml:space="preserve"> </w:t>
            </w:r>
            <w:r w:rsidRPr="00E16672">
              <w:rPr>
                <w:rFonts w:ascii="Times New Roman" w:hAnsi="Times New Roman"/>
                <w:b/>
                <w:caps/>
                <w:sz w:val="16"/>
                <w:szCs w:val="16"/>
                <w:lang w:val="en-GB"/>
              </w:rPr>
              <w:t>VALIDITY</w:t>
            </w:r>
          </w:p>
          <w:p w14:paraId="6EFFA8EF" w14:textId="77777777" w:rsidR="00933C25" w:rsidRPr="00E16672" w:rsidRDefault="00933C25" w:rsidP="00141B39">
            <w:pPr>
              <w:tabs>
                <w:tab w:val="left" w:pos="287"/>
              </w:tabs>
              <w:snapToGrid w:val="0"/>
              <w:ind w:left="175" w:right="100" w:firstLine="7"/>
              <w:jc w:val="center"/>
              <w:rPr>
                <w:rFonts w:ascii="Times New Roman" w:hAnsi="Times New Roman"/>
                <w:b/>
                <w:bCs/>
                <w:sz w:val="16"/>
                <w:szCs w:val="16"/>
                <w:lang w:val="en-US"/>
              </w:rPr>
            </w:pPr>
          </w:p>
          <w:p w14:paraId="6100CAA3" w14:textId="77777777" w:rsidR="00933C25" w:rsidRPr="00E16672" w:rsidRDefault="00933C25" w:rsidP="00141B39">
            <w:pPr>
              <w:tabs>
                <w:tab w:val="left" w:pos="287"/>
              </w:tabs>
              <w:ind w:left="175" w:right="100" w:firstLine="7"/>
              <w:rPr>
                <w:rFonts w:ascii="Times New Roman" w:hAnsi="Times New Roman"/>
                <w:sz w:val="16"/>
                <w:szCs w:val="16"/>
                <w:lang w:val="en-GB"/>
              </w:rPr>
            </w:pPr>
            <w:r w:rsidRPr="00E16672">
              <w:rPr>
                <w:rFonts w:ascii="Times New Roman" w:hAnsi="Times New Roman"/>
                <w:sz w:val="16"/>
                <w:szCs w:val="16"/>
                <w:lang w:val="en-GB"/>
              </w:rPr>
              <w:t>6.1. This Agreement shall enter into force upon signature by the Parties and sealed (</w:t>
            </w:r>
            <w:proofErr w:type="spellStart"/>
            <w:r w:rsidR="00305518" w:rsidRPr="00E16672">
              <w:rPr>
                <w:rFonts w:ascii="Times New Roman" w:hAnsi="Times New Roman"/>
                <w:sz w:val="16"/>
                <w:szCs w:val="16"/>
                <w:lang w:val="uk-UA"/>
              </w:rPr>
              <w:t>in</w:t>
            </w:r>
            <w:proofErr w:type="spellEnd"/>
            <w:r w:rsidR="00305518" w:rsidRPr="00E16672">
              <w:rPr>
                <w:rFonts w:ascii="Times New Roman" w:hAnsi="Times New Roman"/>
                <w:sz w:val="16"/>
                <w:szCs w:val="16"/>
                <w:lang w:val="uk-UA"/>
              </w:rPr>
              <w:t xml:space="preserve"> </w:t>
            </w:r>
            <w:proofErr w:type="spellStart"/>
            <w:r w:rsidR="00305518" w:rsidRPr="00E16672">
              <w:rPr>
                <w:rFonts w:ascii="Times New Roman" w:hAnsi="Times New Roman"/>
                <w:sz w:val="16"/>
                <w:szCs w:val="16"/>
                <w:lang w:val="uk-UA"/>
              </w:rPr>
              <w:t>case</w:t>
            </w:r>
            <w:proofErr w:type="spellEnd"/>
            <w:r w:rsidR="00305518" w:rsidRPr="00E16672">
              <w:rPr>
                <w:rFonts w:ascii="Times New Roman" w:hAnsi="Times New Roman"/>
                <w:sz w:val="16"/>
                <w:szCs w:val="16"/>
                <w:lang w:val="uk-UA"/>
              </w:rPr>
              <w:t xml:space="preserve"> </w:t>
            </w:r>
            <w:proofErr w:type="spellStart"/>
            <w:r w:rsidR="00305518" w:rsidRPr="00E16672">
              <w:rPr>
                <w:rFonts w:ascii="Times New Roman" w:hAnsi="Times New Roman"/>
                <w:sz w:val="16"/>
                <w:szCs w:val="16"/>
                <w:lang w:val="uk-UA"/>
              </w:rPr>
              <w:t>of</w:t>
            </w:r>
            <w:proofErr w:type="spellEnd"/>
            <w:r w:rsidR="00305518" w:rsidRPr="00E16672">
              <w:rPr>
                <w:rFonts w:ascii="Times New Roman" w:hAnsi="Times New Roman"/>
                <w:sz w:val="16"/>
                <w:szCs w:val="16"/>
                <w:lang w:val="uk-UA"/>
              </w:rPr>
              <w:t xml:space="preserve"> </w:t>
            </w:r>
            <w:proofErr w:type="spellStart"/>
            <w:r w:rsidR="00305518" w:rsidRPr="00E16672">
              <w:rPr>
                <w:rFonts w:ascii="Times New Roman" w:hAnsi="Times New Roman"/>
                <w:sz w:val="16"/>
                <w:szCs w:val="16"/>
                <w:lang w:val="uk-UA"/>
              </w:rPr>
              <w:t>use</w:t>
            </w:r>
            <w:proofErr w:type="spellEnd"/>
            <w:r w:rsidRPr="00E16672">
              <w:rPr>
                <w:rFonts w:ascii="Times New Roman" w:hAnsi="Times New Roman"/>
                <w:sz w:val="16"/>
                <w:szCs w:val="16"/>
                <w:lang w:val="en-GB"/>
              </w:rPr>
              <w:t xml:space="preserve">) and valid </w:t>
            </w:r>
            <w:proofErr w:type="gramStart"/>
            <w:r w:rsidRPr="00E16672">
              <w:rPr>
                <w:rFonts w:ascii="Times New Roman" w:hAnsi="Times New Roman"/>
                <w:sz w:val="16"/>
                <w:szCs w:val="16"/>
                <w:lang w:val="en-GB"/>
              </w:rPr>
              <w:t xml:space="preserve">until </w:t>
            </w:r>
            <w:r w:rsidRPr="00E16672">
              <w:rPr>
                <w:rFonts w:ascii="Times New Roman" w:hAnsi="Times New Roman"/>
                <w:sz w:val="16"/>
                <w:szCs w:val="16"/>
                <w:lang w:val="en-US"/>
              </w:rPr>
              <w:t xml:space="preserve"> full</w:t>
            </w:r>
            <w:proofErr w:type="gramEnd"/>
            <w:r w:rsidRPr="00E16672">
              <w:rPr>
                <w:rFonts w:ascii="Times New Roman" w:hAnsi="Times New Roman"/>
                <w:sz w:val="16"/>
                <w:szCs w:val="16"/>
                <w:lang w:val="en-US"/>
              </w:rPr>
              <w:t xml:space="preserve"> </w:t>
            </w:r>
            <w:r w:rsidRPr="00E16672">
              <w:rPr>
                <w:rFonts w:ascii="Times New Roman" w:hAnsi="Times New Roman"/>
                <w:sz w:val="16"/>
                <w:szCs w:val="16"/>
                <w:lang w:val="en-GB"/>
              </w:rPr>
              <w:t>execution of the Agreement</w:t>
            </w:r>
            <w:r w:rsidRPr="00E16672">
              <w:rPr>
                <w:rFonts w:ascii="Times New Roman" w:hAnsi="Times New Roman"/>
                <w:sz w:val="16"/>
                <w:szCs w:val="16"/>
                <w:lang w:val="en-US"/>
              </w:rPr>
              <w:t>.</w:t>
            </w:r>
            <w:r w:rsidRPr="00E16672">
              <w:rPr>
                <w:rFonts w:ascii="Times New Roman" w:hAnsi="Times New Roman"/>
                <w:sz w:val="16"/>
                <w:szCs w:val="16"/>
                <w:lang w:val="en-GB"/>
              </w:rPr>
              <w:t xml:space="preserve"> </w:t>
            </w:r>
          </w:p>
          <w:p w14:paraId="766ACC1E" w14:textId="77777777" w:rsidR="00933C25" w:rsidRPr="00E16672" w:rsidRDefault="00933C25" w:rsidP="00141B39">
            <w:pPr>
              <w:tabs>
                <w:tab w:val="left" w:pos="287"/>
              </w:tabs>
              <w:snapToGrid w:val="0"/>
              <w:ind w:left="175" w:right="100" w:firstLine="7"/>
              <w:rPr>
                <w:rFonts w:ascii="Times New Roman" w:hAnsi="Times New Roman"/>
                <w:bCs/>
                <w:sz w:val="16"/>
                <w:szCs w:val="16"/>
                <w:lang w:val="en-US"/>
              </w:rPr>
            </w:pPr>
          </w:p>
        </w:tc>
      </w:tr>
      <w:tr w:rsidR="00933C25" w:rsidRPr="00F23413" w14:paraId="1796197B" w14:textId="77777777" w:rsidTr="00D77858">
        <w:tblPrEx>
          <w:tblCellMar>
            <w:left w:w="0" w:type="dxa"/>
            <w:right w:w="0" w:type="dxa"/>
          </w:tblCellMar>
        </w:tblPrEx>
        <w:trPr>
          <w:trHeight w:val="192"/>
        </w:trPr>
        <w:tc>
          <w:tcPr>
            <w:tcW w:w="5696" w:type="dxa"/>
            <w:gridSpan w:val="6"/>
            <w:shd w:val="clear" w:color="auto" w:fill="auto"/>
          </w:tcPr>
          <w:p w14:paraId="0E8E33D9" w14:textId="77777777" w:rsidR="00933C25" w:rsidRPr="00E16672" w:rsidRDefault="00933C25" w:rsidP="00141B39">
            <w:pPr>
              <w:snapToGrid w:val="0"/>
              <w:ind w:left="175" w:right="138" w:firstLine="7"/>
              <w:rPr>
                <w:rFonts w:ascii="Times New Roman" w:hAnsi="Times New Roman"/>
                <w:sz w:val="16"/>
                <w:szCs w:val="16"/>
                <w:lang w:val="uk-UA"/>
              </w:rPr>
            </w:pPr>
            <w:r w:rsidRPr="00E16672">
              <w:rPr>
                <w:rFonts w:ascii="Times New Roman" w:hAnsi="Times New Roman"/>
                <w:sz w:val="16"/>
                <w:szCs w:val="16"/>
              </w:rPr>
              <w:t xml:space="preserve">6.2. </w:t>
            </w:r>
            <w:proofErr w:type="spellStart"/>
            <w:r w:rsidRPr="00E16672">
              <w:rPr>
                <w:rFonts w:ascii="Times New Roman" w:hAnsi="Times New Roman"/>
                <w:sz w:val="16"/>
                <w:szCs w:val="16"/>
              </w:rPr>
              <w:t>Зміни</w:t>
            </w:r>
            <w:proofErr w:type="spellEnd"/>
            <w:r w:rsidRPr="00E16672">
              <w:rPr>
                <w:rFonts w:ascii="Times New Roman" w:hAnsi="Times New Roman"/>
                <w:sz w:val="16"/>
                <w:szCs w:val="16"/>
              </w:rPr>
              <w:t xml:space="preserve"> до умов </w:t>
            </w:r>
            <w:proofErr w:type="spellStart"/>
            <w:r w:rsidRPr="00E16672">
              <w:rPr>
                <w:rFonts w:ascii="Times New Roman" w:hAnsi="Times New Roman"/>
                <w:sz w:val="16"/>
                <w:szCs w:val="16"/>
              </w:rPr>
              <w:t>цього</w:t>
            </w:r>
            <w:proofErr w:type="spellEnd"/>
            <w:r w:rsidRPr="00E16672">
              <w:rPr>
                <w:rFonts w:ascii="Times New Roman" w:hAnsi="Times New Roman"/>
                <w:sz w:val="16"/>
                <w:szCs w:val="16"/>
              </w:rPr>
              <w:t xml:space="preserve"> Договору </w:t>
            </w:r>
            <w:proofErr w:type="spellStart"/>
            <w:r w:rsidRPr="00E16672">
              <w:rPr>
                <w:rFonts w:ascii="Times New Roman" w:hAnsi="Times New Roman"/>
                <w:sz w:val="16"/>
                <w:szCs w:val="16"/>
              </w:rPr>
              <w:t>вносяться</w:t>
            </w:r>
            <w:proofErr w:type="spellEnd"/>
            <w:r w:rsidRPr="00E16672">
              <w:rPr>
                <w:rFonts w:ascii="Times New Roman" w:hAnsi="Times New Roman"/>
                <w:sz w:val="16"/>
                <w:szCs w:val="16"/>
              </w:rPr>
              <w:t xml:space="preserve"> за </w:t>
            </w:r>
            <w:proofErr w:type="spellStart"/>
            <w:r w:rsidRPr="00E16672">
              <w:rPr>
                <w:rFonts w:ascii="Times New Roman" w:hAnsi="Times New Roman"/>
                <w:sz w:val="16"/>
                <w:szCs w:val="16"/>
              </w:rPr>
              <w:t>взаємною</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згодою</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Сторін</w:t>
            </w:r>
            <w:proofErr w:type="spellEnd"/>
            <w:r w:rsidRPr="00E16672">
              <w:rPr>
                <w:rFonts w:ascii="Times New Roman" w:hAnsi="Times New Roman"/>
                <w:sz w:val="16"/>
                <w:szCs w:val="16"/>
              </w:rPr>
              <w:t xml:space="preserve">, </w:t>
            </w:r>
            <w:proofErr w:type="spellStart"/>
            <w:proofErr w:type="gramStart"/>
            <w:r w:rsidRPr="00E16672">
              <w:rPr>
                <w:rFonts w:ascii="Times New Roman" w:hAnsi="Times New Roman"/>
                <w:sz w:val="16"/>
                <w:szCs w:val="16"/>
              </w:rPr>
              <w:t>оформленою</w:t>
            </w:r>
            <w:proofErr w:type="spellEnd"/>
            <w:r w:rsidRPr="00E16672">
              <w:rPr>
                <w:rFonts w:ascii="Times New Roman" w:hAnsi="Times New Roman"/>
                <w:sz w:val="16"/>
                <w:szCs w:val="16"/>
              </w:rPr>
              <w:t xml:space="preserve">  в</w:t>
            </w:r>
            <w:proofErr w:type="gramEnd"/>
            <w:r w:rsidRPr="00E16672">
              <w:rPr>
                <w:rFonts w:ascii="Times New Roman" w:hAnsi="Times New Roman"/>
                <w:sz w:val="16"/>
                <w:szCs w:val="16"/>
              </w:rPr>
              <w:t xml:space="preserve"> </w:t>
            </w:r>
            <w:proofErr w:type="spellStart"/>
            <w:r w:rsidRPr="00E16672">
              <w:rPr>
                <w:rFonts w:ascii="Times New Roman" w:hAnsi="Times New Roman"/>
                <w:sz w:val="16"/>
                <w:szCs w:val="16"/>
              </w:rPr>
              <w:t>письмовій</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формі</w:t>
            </w:r>
            <w:proofErr w:type="spellEnd"/>
            <w:r w:rsidRPr="00E16672">
              <w:rPr>
                <w:rFonts w:ascii="Times New Roman" w:hAnsi="Times New Roman"/>
                <w:sz w:val="16"/>
                <w:szCs w:val="16"/>
              </w:rPr>
              <w:t>.</w:t>
            </w:r>
            <w:r w:rsidR="00BE2296" w:rsidRPr="00E16672">
              <w:rPr>
                <w:rFonts w:ascii="Times New Roman" w:hAnsi="Times New Roman"/>
                <w:sz w:val="16"/>
                <w:szCs w:val="16"/>
                <w:lang w:val="uk-UA"/>
              </w:rPr>
              <w:t xml:space="preserve"> Одностороння відмова кожної із Сторін від виконання Договору або зміна його умов є неприпустимою, крім випадків, встановлених законодавством або цим Договором.</w:t>
            </w:r>
          </w:p>
          <w:p w14:paraId="0067D797" w14:textId="77777777" w:rsidR="00933C25" w:rsidRPr="00E16672" w:rsidRDefault="00933C25" w:rsidP="00141B39">
            <w:pPr>
              <w:ind w:left="175" w:right="138" w:firstLine="7"/>
              <w:rPr>
                <w:rFonts w:ascii="Times New Roman" w:hAnsi="Times New Roman"/>
                <w:sz w:val="16"/>
                <w:szCs w:val="16"/>
              </w:rPr>
            </w:pPr>
          </w:p>
        </w:tc>
        <w:tc>
          <w:tcPr>
            <w:tcW w:w="5494" w:type="dxa"/>
            <w:gridSpan w:val="7"/>
            <w:shd w:val="clear" w:color="auto" w:fill="auto"/>
          </w:tcPr>
          <w:p w14:paraId="2AC66179" w14:textId="77777777" w:rsidR="00933C25" w:rsidRPr="00E16672" w:rsidRDefault="00933C25" w:rsidP="00141B39">
            <w:pPr>
              <w:tabs>
                <w:tab w:val="left" w:pos="287"/>
              </w:tabs>
              <w:snapToGrid w:val="0"/>
              <w:ind w:left="175" w:right="100" w:firstLine="7"/>
              <w:rPr>
                <w:rFonts w:ascii="Times New Roman" w:hAnsi="Times New Roman"/>
                <w:sz w:val="16"/>
                <w:szCs w:val="16"/>
                <w:lang w:val="uk-UA"/>
              </w:rPr>
            </w:pPr>
            <w:r w:rsidRPr="00E16672">
              <w:rPr>
                <w:rFonts w:ascii="Times New Roman" w:hAnsi="Times New Roman"/>
                <w:sz w:val="16"/>
                <w:szCs w:val="16"/>
                <w:lang w:val="en-GB"/>
              </w:rPr>
              <w:t>6.</w:t>
            </w:r>
            <w:r w:rsidRPr="00E16672">
              <w:rPr>
                <w:rFonts w:ascii="Times New Roman" w:hAnsi="Times New Roman"/>
                <w:sz w:val="16"/>
                <w:szCs w:val="16"/>
                <w:lang w:val="en-US"/>
              </w:rPr>
              <w:t>2</w:t>
            </w:r>
            <w:r w:rsidRPr="00E16672">
              <w:rPr>
                <w:rFonts w:ascii="Times New Roman" w:hAnsi="Times New Roman"/>
                <w:sz w:val="16"/>
                <w:szCs w:val="16"/>
                <w:lang w:val="en-GB"/>
              </w:rPr>
              <w:t>. Changes to the conditions of this Agreement shall be made by mutual consent</w:t>
            </w:r>
            <w:r w:rsidRPr="00E16672">
              <w:rPr>
                <w:rFonts w:ascii="Times New Roman" w:hAnsi="Times New Roman"/>
                <w:sz w:val="16"/>
                <w:szCs w:val="16"/>
                <w:lang w:val="en-US"/>
              </w:rPr>
              <w:t xml:space="preserve"> of the Parties</w:t>
            </w:r>
            <w:r w:rsidRPr="00E16672">
              <w:rPr>
                <w:rFonts w:ascii="Times New Roman" w:hAnsi="Times New Roman"/>
                <w:sz w:val="16"/>
                <w:szCs w:val="16"/>
                <w:lang w:val="en-GB"/>
              </w:rPr>
              <w:t>, in writing.</w:t>
            </w:r>
            <w:r w:rsidR="00BE2296" w:rsidRPr="00E16672">
              <w:rPr>
                <w:rFonts w:ascii="Times New Roman" w:hAnsi="Times New Roman"/>
                <w:sz w:val="16"/>
                <w:szCs w:val="16"/>
                <w:lang w:val="uk-UA"/>
              </w:rPr>
              <w:t xml:space="preserve"> </w:t>
            </w:r>
            <w:r w:rsidR="00BE2296" w:rsidRPr="00F23413">
              <w:rPr>
                <w:rFonts w:ascii="Times New Roman" w:hAnsi="Times New Roman"/>
                <w:sz w:val="16"/>
                <w:szCs w:val="16"/>
                <w:lang w:val="en-US"/>
              </w:rPr>
              <w:t>Unilateral refusal by either Party to perform the Contract or modification of its terms is inadmissible except in cases established by law or this Agreement.</w:t>
            </w:r>
          </w:p>
        </w:tc>
      </w:tr>
      <w:tr w:rsidR="00933C25" w:rsidRPr="00F23413" w14:paraId="18F21FCF" w14:textId="77777777" w:rsidTr="00D77858">
        <w:tblPrEx>
          <w:tblCellMar>
            <w:left w:w="0" w:type="dxa"/>
            <w:right w:w="0" w:type="dxa"/>
          </w:tblCellMar>
        </w:tblPrEx>
        <w:trPr>
          <w:trHeight w:val="192"/>
        </w:trPr>
        <w:tc>
          <w:tcPr>
            <w:tcW w:w="5696" w:type="dxa"/>
            <w:gridSpan w:val="6"/>
            <w:shd w:val="clear" w:color="auto" w:fill="auto"/>
          </w:tcPr>
          <w:p w14:paraId="745C4039" w14:textId="77777777" w:rsidR="00933C25" w:rsidRPr="00E16672" w:rsidRDefault="00933C25" w:rsidP="00141B39">
            <w:pPr>
              <w:snapToGrid w:val="0"/>
              <w:ind w:left="175" w:right="138" w:firstLine="7"/>
              <w:rPr>
                <w:rFonts w:ascii="Times New Roman" w:hAnsi="Times New Roman"/>
                <w:sz w:val="16"/>
                <w:szCs w:val="16"/>
              </w:rPr>
            </w:pPr>
            <w:r w:rsidRPr="00E16672">
              <w:rPr>
                <w:rFonts w:ascii="Times New Roman" w:hAnsi="Times New Roman"/>
                <w:sz w:val="16"/>
                <w:szCs w:val="16"/>
              </w:rPr>
              <w:t xml:space="preserve">6.3. </w:t>
            </w:r>
            <w:proofErr w:type="spellStart"/>
            <w:r w:rsidRPr="00E16672">
              <w:rPr>
                <w:rFonts w:ascii="Times New Roman" w:hAnsi="Times New Roman"/>
                <w:sz w:val="16"/>
                <w:szCs w:val="16"/>
              </w:rPr>
              <w:t>Цей</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Договір</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може</w:t>
            </w:r>
            <w:proofErr w:type="spellEnd"/>
            <w:r w:rsidRPr="00E16672">
              <w:rPr>
                <w:rFonts w:ascii="Times New Roman" w:hAnsi="Times New Roman"/>
                <w:sz w:val="16"/>
                <w:szCs w:val="16"/>
              </w:rPr>
              <w:t xml:space="preserve"> бути </w:t>
            </w:r>
            <w:proofErr w:type="spellStart"/>
            <w:r w:rsidRPr="00E16672">
              <w:rPr>
                <w:rFonts w:ascii="Times New Roman" w:hAnsi="Times New Roman"/>
                <w:sz w:val="16"/>
                <w:szCs w:val="16"/>
              </w:rPr>
              <w:t>достроково</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розірваний</w:t>
            </w:r>
            <w:proofErr w:type="spellEnd"/>
            <w:r w:rsidRPr="00E16672">
              <w:rPr>
                <w:rFonts w:ascii="Times New Roman" w:hAnsi="Times New Roman"/>
                <w:sz w:val="16"/>
                <w:szCs w:val="16"/>
              </w:rPr>
              <w:t>:</w:t>
            </w:r>
          </w:p>
          <w:p w14:paraId="1218C1EC" w14:textId="77777777" w:rsidR="00933C25" w:rsidRPr="00E16672" w:rsidRDefault="00933C25" w:rsidP="00141B39">
            <w:pPr>
              <w:snapToGrid w:val="0"/>
              <w:ind w:left="175" w:right="138" w:firstLine="7"/>
              <w:rPr>
                <w:rFonts w:ascii="Times New Roman" w:hAnsi="Times New Roman"/>
                <w:sz w:val="16"/>
                <w:szCs w:val="16"/>
              </w:rPr>
            </w:pPr>
          </w:p>
        </w:tc>
        <w:tc>
          <w:tcPr>
            <w:tcW w:w="5494" w:type="dxa"/>
            <w:gridSpan w:val="7"/>
            <w:shd w:val="clear" w:color="auto" w:fill="auto"/>
          </w:tcPr>
          <w:p w14:paraId="5AD42DE9" w14:textId="77777777" w:rsidR="00933C25" w:rsidRPr="00E16672" w:rsidRDefault="00933C25" w:rsidP="00141B39">
            <w:pPr>
              <w:tabs>
                <w:tab w:val="left" w:pos="107"/>
                <w:tab w:val="left" w:pos="287"/>
                <w:tab w:val="left" w:pos="872"/>
              </w:tabs>
              <w:autoSpaceDE w:val="0"/>
              <w:snapToGrid w:val="0"/>
              <w:ind w:left="175" w:right="100" w:firstLine="7"/>
              <w:rPr>
                <w:rFonts w:ascii="Times New Roman" w:hAnsi="Times New Roman"/>
                <w:sz w:val="16"/>
                <w:szCs w:val="16"/>
                <w:lang w:val="en-GB"/>
              </w:rPr>
            </w:pPr>
            <w:r w:rsidRPr="00E16672">
              <w:rPr>
                <w:rFonts w:ascii="Times New Roman" w:hAnsi="Times New Roman"/>
                <w:sz w:val="16"/>
                <w:szCs w:val="16"/>
                <w:lang w:val="en-GB"/>
              </w:rPr>
              <w:t>6.</w:t>
            </w:r>
            <w:r w:rsidRPr="00E16672">
              <w:rPr>
                <w:rFonts w:ascii="Times New Roman" w:hAnsi="Times New Roman"/>
                <w:sz w:val="16"/>
                <w:szCs w:val="16"/>
                <w:lang w:val="en-US"/>
              </w:rPr>
              <w:t>3</w:t>
            </w:r>
            <w:r w:rsidRPr="00E16672">
              <w:rPr>
                <w:rFonts w:ascii="Times New Roman" w:hAnsi="Times New Roman"/>
                <w:sz w:val="16"/>
                <w:szCs w:val="16"/>
                <w:lang w:val="en-GB"/>
              </w:rPr>
              <w:t>. This Agreement may be terminated earlier:</w:t>
            </w:r>
          </w:p>
        </w:tc>
      </w:tr>
      <w:tr w:rsidR="00933C25" w:rsidRPr="00F23413" w14:paraId="0DD54ADA" w14:textId="77777777" w:rsidTr="00D77858">
        <w:tblPrEx>
          <w:tblCellMar>
            <w:left w:w="0" w:type="dxa"/>
            <w:right w:w="0" w:type="dxa"/>
          </w:tblCellMar>
        </w:tblPrEx>
        <w:trPr>
          <w:trHeight w:val="192"/>
        </w:trPr>
        <w:tc>
          <w:tcPr>
            <w:tcW w:w="5696" w:type="dxa"/>
            <w:gridSpan w:val="6"/>
            <w:shd w:val="clear" w:color="auto" w:fill="auto"/>
          </w:tcPr>
          <w:p w14:paraId="1BBB0BB6" w14:textId="77777777" w:rsidR="00933C25" w:rsidRPr="00E16672" w:rsidRDefault="00933C25" w:rsidP="00141B39">
            <w:pPr>
              <w:snapToGrid w:val="0"/>
              <w:ind w:left="175" w:right="138" w:firstLine="7"/>
              <w:rPr>
                <w:rFonts w:ascii="Times New Roman" w:hAnsi="Times New Roman"/>
                <w:sz w:val="16"/>
                <w:szCs w:val="16"/>
              </w:rPr>
            </w:pPr>
            <w:r w:rsidRPr="00E16672">
              <w:rPr>
                <w:rFonts w:ascii="Times New Roman" w:hAnsi="Times New Roman"/>
                <w:sz w:val="16"/>
                <w:szCs w:val="16"/>
              </w:rPr>
              <w:lastRenderedPageBreak/>
              <w:t xml:space="preserve">6.3.1. Кожною </w:t>
            </w:r>
            <w:proofErr w:type="spellStart"/>
            <w:r w:rsidRPr="00E16672">
              <w:rPr>
                <w:rFonts w:ascii="Times New Roman" w:hAnsi="Times New Roman"/>
                <w:sz w:val="16"/>
                <w:szCs w:val="16"/>
              </w:rPr>
              <w:t>із</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Сторін</w:t>
            </w:r>
            <w:proofErr w:type="spellEnd"/>
            <w:r w:rsidRPr="00E16672">
              <w:rPr>
                <w:rFonts w:ascii="Times New Roman" w:hAnsi="Times New Roman"/>
                <w:sz w:val="16"/>
                <w:szCs w:val="16"/>
              </w:rPr>
              <w:t xml:space="preserve"> в </w:t>
            </w:r>
            <w:proofErr w:type="spellStart"/>
            <w:r w:rsidRPr="00E16672">
              <w:rPr>
                <w:rFonts w:ascii="Times New Roman" w:hAnsi="Times New Roman"/>
                <w:sz w:val="16"/>
                <w:szCs w:val="16"/>
              </w:rPr>
              <w:t>односторонньому</w:t>
            </w:r>
            <w:proofErr w:type="spellEnd"/>
            <w:r w:rsidRPr="00E16672">
              <w:rPr>
                <w:rFonts w:ascii="Times New Roman" w:hAnsi="Times New Roman"/>
                <w:sz w:val="16"/>
                <w:szCs w:val="16"/>
              </w:rPr>
              <w:t xml:space="preserve"> порядку. Про </w:t>
            </w:r>
            <w:proofErr w:type="spellStart"/>
            <w:r w:rsidRPr="00E16672">
              <w:rPr>
                <w:rFonts w:ascii="Times New Roman" w:hAnsi="Times New Roman"/>
                <w:sz w:val="16"/>
                <w:szCs w:val="16"/>
              </w:rPr>
              <w:t>дострокове</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розірвання</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цього</w:t>
            </w:r>
            <w:proofErr w:type="spellEnd"/>
            <w:r w:rsidRPr="00E16672">
              <w:rPr>
                <w:rFonts w:ascii="Times New Roman" w:hAnsi="Times New Roman"/>
                <w:sz w:val="16"/>
                <w:szCs w:val="16"/>
              </w:rPr>
              <w:t xml:space="preserve"> Договору в </w:t>
            </w:r>
            <w:proofErr w:type="spellStart"/>
            <w:r w:rsidRPr="00E16672">
              <w:rPr>
                <w:rFonts w:ascii="Times New Roman" w:hAnsi="Times New Roman"/>
                <w:sz w:val="16"/>
                <w:szCs w:val="16"/>
              </w:rPr>
              <w:t>односторонньому</w:t>
            </w:r>
            <w:proofErr w:type="spellEnd"/>
            <w:r w:rsidRPr="00E16672">
              <w:rPr>
                <w:rFonts w:ascii="Times New Roman" w:hAnsi="Times New Roman"/>
                <w:sz w:val="16"/>
                <w:szCs w:val="16"/>
              </w:rPr>
              <w:t xml:space="preserve"> порядку Сторона, яка </w:t>
            </w:r>
            <w:proofErr w:type="spellStart"/>
            <w:r w:rsidRPr="00E16672">
              <w:rPr>
                <w:rFonts w:ascii="Times New Roman" w:hAnsi="Times New Roman"/>
                <w:sz w:val="16"/>
                <w:szCs w:val="16"/>
              </w:rPr>
              <w:t>прийняла</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таке</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рішення</w:t>
            </w:r>
            <w:proofErr w:type="spellEnd"/>
            <w:r w:rsidRPr="00E16672">
              <w:rPr>
                <w:rFonts w:ascii="Times New Roman" w:hAnsi="Times New Roman"/>
                <w:sz w:val="16"/>
                <w:szCs w:val="16"/>
              </w:rPr>
              <w:t xml:space="preserve">, повинна </w:t>
            </w:r>
            <w:proofErr w:type="spellStart"/>
            <w:r w:rsidRPr="00E16672">
              <w:rPr>
                <w:rFonts w:ascii="Times New Roman" w:hAnsi="Times New Roman"/>
                <w:sz w:val="16"/>
                <w:szCs w:val="16"/>
              </w:rPr>
              <w:t>повідомити</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надіславши</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відповідне</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письмове</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повідомлення</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іншій</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Стороні</w:t>
            </w:r>
            <w:proofErr w:type="spellEnd"/>
            <w:r w:rsidRPr="00E16672">
              <w:rPr>
                <w:rFonts w:ascii="Times New Roman" w:hAnsi="Times New Roman"/>
                <w:sz w:val="16"/>
                <w:szCs w:val="16"/>
              </w:rPr>
              <w:t xml:space="preserve"> за </w:t>
            </w:r>
            <w:proofErr w:type="spellStart"/>
            <w:r w:rsidRPr="00E16672">
              <w:rPr>
                <w:rFonts w:ascii="Times New Roman" w:hAnsi="Times New Roman"/>
                <w:sz w:val="16"/>
                <w:szCs w:val="16"/>
              </w:rPr>
              <w:t>її</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місцезнаходженням</w:t>
            </w:r>
            <w:proofErr w:type="spellEnd"/>
            <w:r w:rsidRPr="00E16672">
              <w:rPr>
                <w:rFonts w:ascii="Times New Roman" w:hAnsi="Times New Roman"/>
                <w:sz w:val="16"/>
                <w:szCs w:val="16"/>
              </w:rPr>
              <w:t xml:space="preserve"> </w:t>
            </w:r>
            <w:proofErr w:type="spellStart"/>
            <w:r w:rsidRPr="00E16672">
              <w:rPr>
                <w:rFonts w:ascii="Times New Roman" w:hAnsi="Times New Roman"/>
                <w:i/>
                <w:sz w:val="16"/>
                <w:szCs w:val="16"/>
              </w:rPr>
              <w:t>менше</w:t>
            </w:r>
            <w:proofErr w:type="spellEnd"/>
            <w:r w:rsidRPr="00E16672">
              <w:rPr>
                <w:rFonts w:ascii="Times New Roman" w:hAnsi="Times New Roman"/>
                <w:i/>
                <w:sz w:val="16"/>
                <w:szCs w:val="16"/>
              </w:rPr>
              <w:t xml:space="preserve"> </w:t>
            </w:r>
            <w:proofErr w:type="spellStart"/>
            <w:r w:rsidRPr="00E16672">
              <w:rPr>
                <w:rFonts w:ascii="Times New Roman" w:hAnsi="Times New Roman"/>
                <w:i/>
                <w:sz w:val="16"/>
                <w:szCs w:val="16"/>
              </w:rPr>
              <w:t>ніж</w:t>
            </w:r>
            <w:proofErr w:type="spellEnd"/>
            <w:r w:rsidRPr="00E16672">
              <w:rPr>
                <w:rFonts w:ascii="Times New Roman" w:hAnsi="Times New Roman"/>
                <w:i/>
                <w:sz w:val="16"/>
                <w:szCs w:val="16"/>
              </w:rPr>
              <w:t xml:space="preserve"> за </w:t>
            </w:r>
            <w:proofErr w:type="spellStart"/>
            <w:r w:rsidRPr="00E16672">
              <w:rPr>
                <w:rFonts w:ascii="Times New Roman" w:hAnsi="Times New Roman"/>
                <w:i/>
                <w:sz w:val="16"/>
                <w:szCs w:val="16"/>
              </w:rPr>
              <w:t>тридцять</w:t>
            </w:r>
            <w:proofErr w:type="spellEnd"/>
            <w:r w:rsidRPr="00E16672">
              <w:rPr>
                <w:rFonts w:ascii="Times New Roman" w:hAnsi="Times New Roman"/>
                <w:i/>
                <w:sz w:val="16"/>
                <w:szCs w:val="16"/>
              </w:rPr>
              <w:t xml:space="preserve"> </w:t>
            </w:r>
            <w:proofErr w:type="spellStart"/>
            <w:r w:rsidRPr="00E16672">
              <w:rPr>
                <w:rFonts w:ascii="Times New Roman" w:hAnsi="Times New Roman"/>
                <w:i/>
                <w:sz w:val="16"/>
                <w:szCs w:val="16"/>
              </w:rPr>
              <w:t>календарних</w:t>
            </w:r>
            <w:proofErr w:type="spellEnd"/>
            <w:r w:rsidRPr="00E16672">
              <w:rPr>
                <w:rFonts w:ascii="Times New Roman" w:hAnsi="Times New Roman"/>
                <w:i/>
                <w:sz w:val="16"/>
                <w:szCs w:val="16"/>
              </w:rPr>
              <w:t xml:space="preserve"> </w:t>
            </w:r>
            <w:proofErr w:type="spellStart"/>
            <w:r w:rsidRPr="00E16672">
              <w:rPr>
                <w:rFonts w:ascii="Times New Roman" w:hAnsi="Times New Roman"/>
                <w:i/>
                <w:sz w:val="16"/>
                <w:szCs w:val="16"/>
              </w:rPr>
              <w:t>днів</w:t>
            </w:r>
            <w:proofErr w:type="spellEnd"/>
            <w:r w:rsidRPr="00E16672">
              <w:rPr>
                <w:rFonts w:ascii="Times New Roman" w:hAnsi="Times New Roman"/>
                <w:sz w:val="16"/>
                <w:szCs w:val="16"/>
              </w:rPr>
              <w:t xml:space="preserve"> до </w:t>
            </w:r>
            <w:proofErr w:type="spellStart"/>
            <w:r w:rsidRPr="00E16672">
              <w:rPr>
                <w:rFonts w:ascii="Times New Roman" w:hAnsi="Times New Roman"/>
                <w:sz w:val="16"/>
                <w:szCs w:val="16"/>
              </w:rPr>
              <w:t>дати</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припинення</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дії</w:t>
            </w:r>
            <w:proofErr w:type="spellEnd"/>
            <w:r w:rsidRPr="00E16672">
              <w:rPr>
                <w:rFonts w:ascii="Times New Roman" w:hAnsi="Times New Roman"/>
                <w:sz w:val="16"/>
                <w:szCs w:val="16"/>
              </w:rPr>
              <w:t xml:space="preserve"> Договору </w:t>
            </w:r>
            <w:proofErr w:type="spellStart"/>
            <w:r w:rsidRPr="00E16672">
              <w:rPr>
                <w:rFonts w:ascii="Times New Roman" w:hAnsi="Times New Roman"/>
                <w:sz w:val="16"/>
                <w:szCs w:val="16"/>
              </w:rPr>
              <w:t>внаслідок</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розірвання</w:t>
            </w:r>
            <w:proofErr w:type="spellEnd"/>
            <w:r w:rsidRPr="00E16672">
              <w:rPr>
                <w:rFonts w:ascii="Times New Roman" w:hAnsi="Times New Roman"/>
                <w:sz w:val="16"/>
                <w:szCs w:val="16"/>
              </w:rPr>
              <w:t xml:space="preserve">. </w:t>
            </w:r>
          </w:p>
          <w:p w14:paraId="71BD11D7" w14:textId="77777777" w:rsidR="00933C25" w:rsidRPr="00E16672" w:rsidRDefault="00FA12BD" w:rsidP="00141B39">
            <w:pPr>
              <w:snapToGrid w:val="0"/>
              <w:ind w:left="175" w:right="138" w:firstLine="7"/>
              <w:rPr>
                <w:rFonts w:ascii="Times New Roman" w:hAnsi="Times New Roman"/>
                <w:sz w:val="16"/>
                <w:szCs w:val="16"/>
              </w:rPr>
            </w:pPr>
            <w:proofErr w:type="spellStart"/>
            <w:r w:rsidRPr="00E16672">
              <w:rPr>
                <w:rFonts w:ascii="Times New Roman" w:hAnsi="Times New Roman"/>
                <w:sz w:val="16"/>
                <w:szCs w:val="16"/>
              </w:rPr>
              <w:t>Депозитарна</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установа</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надсилає</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вказане</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письмове</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повідомлення</w:t>
            </w:r>
            <w:proofErr w:type="spellEnd"/>
            <w:r w:rsidRPr="00E16672">
              <w:rPr>
                <w:rFonts w:ascii="Times New Roman" w:hAnsi="Times New Roman"/>
                <w:sz w:val="16"/>
                <w:szCs w:val="16"/>
              </w:rPr>
              <w:t xml:space="preserve"> про </w:t>
            </w:r>
            <w:proofErr w:type="spellStart"/>
            <w:r w:rsidRPr="00E16672">
              <w:rPr>
                <w:rFonts w:ascii="Times New Roman" w:hAnsi="Times New Roman"/>
                <w:sz w:val="16"/>
                <w:szCs w:val="16"/>
              </w:rPr>
              <w:t>розірвання</w:t>
            </w:r>
            <w:proofErr w:type="spellEnd"/>
            <w:r w:rsidRPr="00E16672">
              <w:rPr>
                <w:rFonts w:ascii="Times New Roman" w:hAnsi="Times New Roman"/>
                <w:sz w:val="16"/>
                <w:szCs w:val="16"/>
              </w:rPr>
              <w:t xml:space="preserve"> договору в </w:t>
            </w:r>
            <w:proofErr w:type="spellStart"/>
            <w:r w:rsidRPr="00E16672">
              <w:rPr>
                <w:rFonts w:ascii="Times New Roman" w:hAnsi="Times New Roman"/>
                <w:sz w:val="16"/>
                <w:szCs w:val="16"/>
              </w:rPr>
              <w:t>односторонньому</w:t>
            </w:r>
            <w:proofErr w:type="spellEnd"/>
            <w:r w:rsidRPr="00E16672">
              <w:rPr>
                <w:rFonts w:ascii="Times New Roman" w:hAnsi="Times New Roman"/>
                <w:sz w:val="16"/>
                <w:szCs w:val="16"/>
              </w:rPr>
              <w:t xml:space="preserve"> порядку за </w:t>
            </w:r>
            <w:proofErr w:type="spellStart"/>
            <w:r w:rsidRPr="00E16672">
              <w:rPr>
                <w:rFonts w:ascii="Times New Roman" w:hAnsi="Times New Roman"/>
                <w:sz w:val="16"/>
                <w:szCs w:val="16"/>
              </w:rPr>
              <w:t>місцем</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проживання</w:t>
            </w:r>
            <w:proofErr w:type="spellEnd"/>
            <w:r w:rsidRPr="00E16672">
              <w:rPr>
                <w:rFonts w:ascii="Times New Roman" w:hAnsi="Times New Roman"/>
                <w:sz w:val="16"/>
                <w:szCs w:val="16"/>
              </w:rPr>
              <w:t xml:space="preserve"> Депонента, </w:t>
            </w:r>
            <w:proofErr w:type="spellStart"/>
            <w:r w:rsidRPr="00E16672">
              <w:rPr>
                <w:rFonts w:ascii="Times New Roman" w:hAnsi="Times New Roman"/>
                <w:sz w:val="16"/>
                <w:szCs w:val="16"/>
              </w:rPr>
              <w:t>що</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зазначене</w:t>
            </w:r>
            <w:proofErr w:type="spellEnd"/>
            <w:r w:rsidRPr="00E16672">
              <w:rPr>
                <w:rFonts w:ascii="Times New Roman" w:hAnsi="Times New Roman"/>
                <w:sz w:val="16"/>
                <w:szCs w:val="16"/>
              </w:rPr>
              <w:t xml:space="preserve"> в </w:t>
            </w:r>
            <w:proofErr w:type="spellStart"/>
            <w:r w:rsidRPr="00E16672">
              <w:rPr>
                <w:rFonts w:ascii="Times New Roman" w:hAnsi="Times New Roman"/>
                <w:sz w:val="16"/>
                <w:szCs w:val="16"/>
              </w:rPr>
              <w:t>анкеті</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рахунку</w:t>
            </w:r>
            <w:proofErr w:type="spellEnd"/>
            <w:r w:rsidRPr="00E16672">
              <w:rPr>
                <w:rFonts w:ascii="Times New Roman" w:hAnsi="Times New Roman"/>
                <w:sz w:val="16"/>
                <w:szCs w:val="16"/>
              </w:rPr>
              <w:t xml:space="preserve"> в </w:t>
            </w:r>
            <w:proofErr w:type="spellStart"/>
            <w:r w:rsidRPr="00E16672">
              <w:rPr>
                <w:rFonts w:ascii="Times New Roman" w:hAnsi="Times New Roman"/>
                <w:sz w:val="16"/>
                <w:szCs w:val="16"/>
              </w:rPr>
              <w:t>цінних</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паперах</w:t>
            </w:r>
            <w:proofErr w:type="spellEnd"/>
            <w:r w:rsidRPr="00E16672">
              <w:rPr>
                <w:rFonts w:ascii="Times New Roman" w:hAnsi="Times New Roman"/>
                <w:sz w:val="16"/>
                <w:szCs w:val="16"/>
              </w:rPr>
              <w:t>.</w:t>
            </w:r>
          </w:p>
        </w:tc>
        <w:tc>
          <w:tcPr>
            <w:tcW w:w="5494" w:type="dxa"/>
            <w:gridSpan w:val="7"/>
            <w:shd w:val="clear" w:color="auto" w:fill="auto"/>
          </w:tcPr>
          <w:p w14:paraId="7D62654E" w14:textId="77777777" w:rsidR="00933C25" w:rsidRPr="00E16672" w:rsidRDefault="00933C25" w:rsidP="00141B39">
            <w:pPr>
              <w:tabs>
                <w:tab w:val="left" w:pos="107"/>
                <w:tab w:val="left" w:pos="287"/>
                <w:tab w:val="left" w:pos="390"/>
              </w:tabs>
              <w:snapToGrid w:val="0"/>
              <w:ind w:left="175" w:right="100" w:firstLine="7"/>
              <w:rPr>
                <w:rFonts w:ascii="Times New Roman" w:hAnsi="Times New Roman"/>
                <w:sz w:val="16"/>
                <w:szCs w:val="16"/>
                <w:lang w:val="en-US"/>
              </w:rPr>
            </w:pPr>
            <w:r w:rsidRPr="00E16672">
              <w:rPr>
                <w:rFonts w:ascii="Times New Roman" w:hAnsi="Times New Roman"/>
                <w:sz w:val="16"/>
                <w:szCs w:val="16"/>
                <w:lang w:val="en-GB"/>
              </w:rPr>
              <w:t>6.</w:t>
            </w:r>
            <w:r w:rsidRPr="00E16672">
              <w:rPr>
                <w:rFonts w:ascii="Times New Roman" w:hAnsi="Times New Roman"/>
                <w:sz w:val="16"/>
                <w:szCs w:val="16"/>
                <w:lang w:val="en-US"/>
              </w:rPr>
              <w:t>3</w:t>
            </w:r>
            <w:r w:rsidRPr="00E16672">
              <w:rPr>
                <w:rFonts w:ascii="Times New Roman" w:hAnsi="Times New Roman"/>
                <w:sz w:val="16"/>
                <w:szCs w:val="16"/>
                <w:lang w:val="en-GB"/>
              </w:rPr>
              <w:t xml:space="preserve">.1. Each Party shall unilaterally. On early termination of this Agreement unilaterally Party which took the decision, shall notify the sending written notification to the other Party by its location </w:t>
            </w:r>
            <w:r w:rsidRPr="00E16672">
              <w:rPr>
                <w:rFonts w:ascii="Times New Roman" w:hAnsi="Times New Roman"/>
                <w:i/>
                <w:sz w:val="16"/>
                <w:szCs w:val="16"/>
                <w:lang w:val="en-GB"/>
              </w:rPr>
              <w:t>less than thirty calendar days</w:t>
            </w:r>
            <w:r w:rsidRPr="00E16672">
              <w:rPr>
                <w:rFonts w:ascii="Times New Roman" w:hAnsi="Times New Roman"/>
                <w:sz w:val="16"/>
                <w:szCs w:val="16"/>
                <w:lang w:val="en-GB"/>
              </w:rPr>
              <w:t xml:space="preserve"> before the date of </w:t>
            </w:r>
            <w:proofErr w:type="spellStart"/>
            <w:r w:rsidRPr="00E16672">
              <w:rPr>
                <w:rFonts w:ascii="Times New Roman" w:hAnsi="Times New Roman"/>
                <w:sz w:val="16"/>
                <w:szCs w:val="16"/>
                <w:lang w:val="en-GB"/>
              </w:rPr>
              <w:t>of</w:t>
            </w:r>
            <w:proofErr w:type="spellEnd"/>
            <w:r w:rsidRPr="00E16672">
              <w:rPr>
                <w:rFonts w:ascii="Times New Roman" w:hAnsi="Times New Roman"/>
                <w:sz w:val="16"/>
                <w:szCs w:val="16"/>
                <w:lang w:val="en-GB"/>
              </w:rPr>
              <w:t xml:space="preserve"> Agreement cancellation as a result dissolution.</w:t>
            </w:r>
            <w:r w:rsidRPr="00E16672">
              <w:rPr>
                <w:rFonts w:ascii="Times New Roman" w:hAnsi="Times New Roman"/>
                <w:sz w:val="16"/>
                <w:szCs w:val="16"/>
                <w:lang w:val="en-GB"/>
              </w:rPr>
              <w:br/>
            </w:r>
            <w:r w:rsidRPr="00E16672">
              <w:rPr>
                <w:rFonts w:ascii="Times New Roman" w:hAnsi="Times New Roman"/>
                <w:sz w:val="16"/>
                <w:szCs w:val="16"/>
                <w:lang w:val="en-US"/>
              </w:rPr>
              <w:t xml:space="preserve">          </w:t>
            </w:r>
          </w:p>
          <w:p w14:paraId="42D55972" w14:textId="77777777" w:rsidR="00933C25" w:rsidRPr="00E16672" w:rsidRDefault="00FA12BD" w:rsidP="00141B39">
            <w:pPr>
              <w:tabs>
                <w:tab w:val="left" w:pos="107"/>
                <w:tab w:val="left" w:pos="287"/>
                <w:tab w:val="left" w:pos="390"/>
              </w:tabs>
              <w:snapToGrid w:val="0"/>
              <w:ind w:left="175" w:right="100" w:firstLine="7"/>
              <w:rPr>
                <w:rFonts w:ascii="Times New Roman" w:hAnsi="Times New Roman"/>
                <w:sz w:val="16"/>
                <w:szCs w:val="16"/>
                <w:lang w:val="en-GB"/>
              </w:rPr>
            </w:pPr>
            <w:r w:rsidRPr="00E16672">
              <w:rPr>
                <w:rFonts w:ascii="Times New Roman" w:hAnsi="Times New Roman"/>
                <w:sz w:val="16"/>
                <w:szCs w:val="16"/>
                <w:lang w:val="en-GB"/>
              </w:rPr>
              <w:t xml:space="preserve">Depository institution sends the specified written notice of cancellation of the </w:t>
            </w:r>
            <w:r w:rsidRPr="00E16672">
              <w:rPr>
                <w:rFonts w:ascii="Times New Roman" w:hAnsi="Times New Roman"/>
                <w:sz w:val="16"/>
                <w:szCs w:val="16"/>
                <w:lang w:val="en-US"/>
              </w:rPr>
              <w:t>Agreement</w:t>
            </w:r>
            <w:r w:rsidRPr="00E16672">
              <w:rPr>
                <w:rFonts w:ascii="Times New Roman" w:hAnsi="Times New Roman"/>
                <w:sz w:val="16"/>
                <w:szCs w:val="16"/>
                <w:lang w:val="en-GB"/>
              </w:rPr>
              <w:t xml:space="preserve"> unilaterally at the place of residence of Depositor that indicated in the form of </w:t>
            </w:r>
            <w:r w:rsidRPr="00E16672">
              <w:rPr>
                <w:rFonts w:ascii="Times New Roman" w:hAnsi="Times New Roman"/>
                <w:sz w:val="16"/>
                <w:szCs w:val="16"/>
                <w:lang w:val="en-US"/>
              </w:rPr>
              <w:t xml:space="preserve">the </w:t>
            </w:r>
            <w:r w:rsidRPr="00E16672">
              <w:rPr>
                <w:rFonts w:ascii="Times New Roman" w:hAnsi="Times New Roman"/>
                <w:sz w:val="16"/>
                <w:szCs w:val="16"/>
                <w:lang w:val="en-GB"/>
              </w:rPr>
              <w:t xml:space="preserve">account </w:t>
            </w:r>
            <w:r w:rsidRPr="00E16672">
              <w:rPr>
                <w:rFonts w:ascii="Times New Roman" w:hAnsi="Times New Roman"/>
                <w:sz w:val="16"/>
                <w:szCs w:val="16"/>
                <w:lang w:val="en-US"/>
              </w:rPr>
              <w:t>in</w:t>
            </w:r>
            <w:r w:rsidRPr="00E16672">
              <w:rPr>
                <w:rFonts w:ascii="Times New Roman" w:hAnsi="Times New Roman"/>
                <w:sz w:val="16"/>
                <w:szCs w:val="16"/>
                <w:lang w:val="en-GB"/>
              </w:rPr>
              <w:t xml:space="preserve"> securities.</w:t>
            </w:r>
          </w:p>
        </w:tc>
      </w:tr>
      <w:tr w:rsidR="00933C25" w:rsidRPr="00F23413" w14:paraId="41D1373C" w14:textId="77777777" w:rsidTr="00D77858">
        <w:tblPrEx>
          <w:tblCellMar>
            <w:left w:w="0" w:type="dxa"/>
            <w:right w:w="0" w:type="dxa"/>
          </w:tblCellMar>
        </w:tblPrEx>
        <w:trPr>
          <w:trHeight w:val="192"/>
        </w:trPr>
        <w:tc>
          <w:tcPr>
            <w:tcW w:w="5696" w:type="dxa"/>
            <w:gridSpan w:val="6"/>
            <w:shd w:val="clear" w:color="auto" w:fill="auto"/>
          </w:tcPr>
          <w:p w14:paraId="4AA537E7" w14:textId="77777777" w:rsidR="00933C25" w:rsidRPr="00E16672" w:rsidRDefault="00933C25" w:rsidP="00141B39">
            <w:pPr>
              <w:snapToGrid w:val="0"/>
              <w:ind w:left="175" w:right="138" w:firstLine="7"/>
              <w:rPr>
                <w:rFonts w:ascii="Times New Roman" w:hAnsi="Times New Roman"/>
                <w:sz w:val="16"/>
                <w:szCs w:val="16"/>
              </w:rPr>
            </w:pPr>
            <w:r w:rsidRPr="00E16672">
              <w:rPr>
                <w:rFonts w:ascii="Times New Roman" w:hAnsi="Times New Roman"/>
                <w:sz w:val="16"/>
                <w:szCs w:val="16"/>
                <w:lang w:val="en-US"/>
              </w:rPr>
              <w:t xml:space="preserve"> </w:t>
            </w:r>
            <w:r w:rsidRPr="00E16672">
              <w:rPr>
                <w:rFonts w:ascii="Times New Roman" w:hAnsi="Times New Roman"/>
                <w:sz w:val="16"/>
                <w:szCs w:val="16"/>
              </w:rPr>
              <w:t>6.</w:t>
            </w:r>
            <w:r w:rsidRPr="00E16672">
              <w:rPr>
                <w:rFonts w:ascii="Times New Roman" w:hAnsi="Times New Roman"/>
                <w:sz w:val="16"/>
                <w:szCs w:val="16"/>
                <w:lang w:val="en-US"/>
              </w:rPr>
              <w:t>3</w:t>
            </w:r>
            <w:r w:rsidRPr="00E16672">
              <w:rPr>
                <w:rFonts w:ascii="Times New Roman" w:hAnsi="Times New Roman"/>
                <w:sz w:val="16"/>
                <w:szCs w:val="16"/>
              </w:rPr>
              <w:t xml:space="preserve">.2. За </w:t>
            </w:r>
            <w:proofErr w:type="spellStart"/>
            <w:r w:rsidRPr="00E16672">
              <w:rPr>
                <w:rFonts w:ascii="Times New Roman" w:hAnsi="Times New Roman"/>
                <w:sz w:val="16"/>
                <w:szCs w:val="16"/>
              </w:rPr>
              <w:t>згодою</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Сторін</w:t>
            </w:r>
            <w:proofErr w:type="spellEnd"/>
            <w:r w:rsidRPr="00E16672">
              <w:rPr>
                <w:rFonts w:ascii="Times New Roman" w:hAnsi="Times New Roman"/>
                <w:sz w:val="16"/>
                <w:szCs w:val="16"/>
              </w:rPr>
              <w:t>.</w:t>
            </w:r>
          </w:p>
          <w:p w14:paraId="3F5E874A" w14:textId="77777777" w:rsidR="00933C25" w:rsidRPr="00E16672" w:rsidRDefault="00933C25" w:rsidP="00141B39">
            <w:pPr>
              <w:snapToGrid w:val="0"/>
              <w:ind w:left="175" w:right="138" w:firstLine="7"/>
              <w:rPr>
                <w:rFonts w:ascii="Times New Roman" w:hAnsi="Times New Roman"/>
                <w:sz w:val="16"/>
                <w:szCs w:val="16"/>
              </w:rPr>
            </w:pPr>
          </w:p>
        </w:tc>
        <w:tc>
          <w:tcPr>
            <w:tcW w:w="5494" w:type="dxa"/>
            <w:gridSpan w:val="7"/>
            <w:shd w:val="clear" w:color="auto" w:fill="auto"/>
          </w:tcPr>
          <w:p w14:paraId="2878EAB7" w14:textId="77777777" w:rsidR="00933C25" w:rsidRPr="00E16672" w:rsidRDefault="00933C25" w:rsidP="00141B39">
            <w:pPr>
              <w:tabs>
                <w:tab w:val="left" w:pos="287"/>
                <w:tab w:val="left" w:pos="536"/>
                <w:tab w:val="left" w:pos="819"/>
              </w:tabs>
              <w:autoSpaceDE w:val="0"/>
              <w:snapToGrid w:val="0"/>
              <w:ind w:left="175" w:right="100" w:firstLine="7"/>
              <w:rPr>
                <w:rFonts w:ascii="Times New Roman" w:hAnsi="Times New Roman"/>
                <w:sz w:val="16"/>
                <w:szCs w:val="16"/>
                <w:lang w:val="en-GB"/>
              </w:rPr>
            </w:pPr>
            <w:r w:rsidRPr="00E16672">
              <w:rPr>
                <w:rFonts w:ascii="Times New Roman" w:hAnsi="Times New Roman"/>
                <w:sz w:val="16"/>
                <w:szCs w:val="16"/>
                <w:lang w:val="en-GB"/>
              </w:rPr>
              <w:t>6.</w:t>
            </w:r>
            <w:r w:rsidRPr="00E16672">
              <w:rPr>
                <w:rFonts w:ascii="Times New Roman" w:hAnsi="Times New Roman"/>
                <w:sz w:val="16"/>
                <w:szCs w:val="16"/>
                <w:lang w:val="en-US"/>
              </w:rPr>
              <w:t>3</w:t>
            </w:r>
            <w:r w:rsidRPr="00E16672">
              <w:rPr>
                <w:rFonts w:ascii="Times New Roman" w:hAnsi="Times New Roman"/>
                <w:sz w:val="16"/>
                <w:szCs w:val="16"/>
                <w:lang w:val="en-GB"/>
              </w:rPr>
              <w:t>.2. With the consent the Parties.</w:t>
            </w:r>
          </w:p>
        </w:tc>
      </w:tr>
      <w:tr w:rsidR="00933C25" w:rsidRPr="00F23413" w14:paraId="0C498784" w14:textId="77777777" w:rsidTr="00D77858">
        <w:tblPrEx>
          <w:tblCellMar>
            <w:left w:w="0" w:type="dxa"/>
            <w:right w:w="0" w:type="dxa"/>
          </w:tblCellMar>
        </w:tblPrEx>
        <w:trPr>
          <w:trHeight w:val="192"/>
        </w:trPr>
        <w:tc>
          <w:tcPr>
            <w:tcW w:w="5696" w:type="dxa"/>
            <w:gridSpan w:val="6"/>
            <w:shd w:val="clear" w:color="auto" w:fill="auto"/>
          </w:tcPr>
          <w:p w14:paraId="1240E0F3" w14:textId="77777777" w:rsidR="00933C25" w:rsidRPr="00E16672" w:rsidRDefault="00933C25" w:rsidP="00141B39">
            <w:pPr>
              <w:snapToGrid w:val="0"/>
              <w:ind w:left="175" w:right="138" w:firstLine="7"/>
              <w:rPr>
                <w:rFonts w:ascii="Times New Roman" w:hAnsi="Times New Roman"/>
                <w:sz w:val="16"/>
                <w:szCs w:val="16"/>
              </w:rPr>
            </w:pPr>
            <w:r w:rsidRPr="00E16672">
              <w:rPr>
                <w:rFonts w:ascii="Times New Roman" w:hAnsi="Times New Roman"/>
                <w:sz w:val="16"/>
                <w:szCs w:val="16"/>
                <w:lang w:val="en-US"/>
              </w:rPr>
              <w:t xml:space="preserve"> </w:t>
            </w:r>
            <w:r w:rsidRPr="00E16672">
              <w:rPr>
                <w:rFonts w:ascii="Times New Roman" w:hAnsi="Times New Roman"/>
                <w:sz w:val="16"/>
                <w:szCs w:val="16"/>
              </w:rPr>
              <w:t>6.</w:t>
            </w:r>
            <w:r w:rsidRPr="00E16672">
              <w:rPr>
                <w:rFonts w:ascii="Times New Roman" w:hAnsi="Times New Roman"/>
                <w:sz w:val="16"/>
                <w:szCs w:val="16"/>
                <w:lang w:val="en-US"/>
              </w:rPr>
              <w:t>3</w:t>
            </w:r>
            <w:r w:rsidRPr="00E16672">
              <w:rPr>
                <w:rFonts w:ascii="Times New Roman" w:hAnsi="Times New Roman"/>
                <w:sz w:val="16"/>
                <w:szCs w:val="16"/>
              </w:rPr>
              <w:t xml:space="preserve">.3. За </w:t>
            </w:r>
            <w:proofErr w:type="spellStart"/>
            <w:r w:rsidRPr="00E16672">
              <w:rPr>
                <w:rFonts w:ascii="Times New Roman" w:hAnsi="Times New Roman"/>
                <w:sz w:val="16"/>
                <w:szCs w:val="16"/>
              </w:rPr>
              <w:t>відповідним</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рішенням</w:t>
            </w:r>
            <w:proofErr w:type="spellEnd"/>
            <w:r w:rsidRPr="00E16672">
              <w:rPr>
                <w:rFonts w:ascii="Times New Roman" w:hAnsi="Times New Roman"/>
                <w:sz w:val="16"/>
                <w:szCs w:val="16"/>
              </w:rPr>
              <w:t xml:space="preserve"> суду.</w:t>
            </w:r>
          </w:p>
          <w:p w14:paraId="5E02902F" w14:textId="77777777" w:rsidR="00933C25" w:rsidRPr="00E16672" w:rsidRDefault="00933C25" w:rsidP="00141B39">
            <w:pPr>
              <w:snapToGrid w:val="0"/>
              <w:ind w:left="175" w:right="138" w:firstLine="7"/>
              <w:rPr>
                <w:rFonts w:ascii="Times New Roman" w:hAnsi="Times New Roman"/>
                <w:sz w:val="10"/>
                <w:szCs w:val="10"/>
              </w:rPr>
            </w:pPr>
          </w:p>
        </w:tc>
        <w:tc>
          <w:tcPr>
            <w:tcW w:w="5494" w:type="dxa"/>
            <w:gridSpan w:val="7"/>
            <w:shd w:val="clear" w:color="auto" w:fill="auto"/>
          </w:tcPr>
          <w:p w14:paraId="236246F9" w14:textId="77777777" w:rsidR="00933C25" w:rsidRPr="00E16672" w:rsidRDefault="00933C25" w:rsidP="00141B39">
            <w:pPr>
              <w:tabs>
                <w:tab w:val="left" w:pos="107"/>
                <w:tab w:val="left" w:pos="287"/>
                <w:tab w:val="left" w:pos="390"/>
              </w:tabs>
              <w:snapToGrid w:val="0"/>
              <w:ind w:left="175" w:right="100" w:firstLine="7"/>
              <w:rPr>
                <w:rFonts w:ascii="Times New Roman" w:hAnsi="Times New Roman"/>
                <w:sz w:val="16"/>
                <w:szCs w:val="16"/>
                <w:lang w:val="en-GB"/>
              </w:rPr>
            </w:pPr>
            <w:r w:rsidRPr="00E16672">
              <w:rPr>
                <w:rFonts w:ascii="Times New Roman" w:hAnsi="Times New Roman"/>
                <w:sz w:val="16"/>
                <w:szCs w:val="16"/>
                <w:lang w:val="en-GB"/>
              </w:rPr>
              <w:t>6.</w:t>
            </w:r>
            <w:r w:rsidRPr="00E16672">
              <w:rPr>
                <w:rFonts w:ascii="Times New Roman" w:hAnsi="Times New Roman"/>
                <w:sz w:val="16"/>
                <w:szCs w:val="16"/>
                <w:lang w:val="en-US"/>
              </w:rPr>
              <w:t>3</w:t>
            </w:r>
            <w:r w:rsidRPr="00E16672">
              <w:rPr>
                <w:rFonts w:ascii="Times New Roman" w:hAnsi="Times New Roman"/>
                <w:sz w:val="16"/>
                <w:szCs w:val="16"/>
                <w:lang w:val="en-GB"/>
              </w:rPr>
              <w:t>.3. According to the relevant decision of the court.</w:t>
            </w:r>
          </w:p>
        </w:tc>
      </w:tr>
      <w:tr w:rsidR="00933C25" w:rsidRPr="00F23413" w14:paraId="4776A609" w14:textId="77777777" w:rsidTr="00D77858">
        <w:tblPrEx>
          <w:tblCellMar>
            <w:left w:w="0" w:type="dxa"/>
            <w:right w:w="0" w:type="dxa"/>
          </w:tblCellMar>
        </w:tblPrEx>
        <w:trPr>
          <w:trHeight w:val="637"/>
        </w:trPr>
        <w:tc>
          <w:tcPr>
            <w:tcW w:w="5696" w:type="dxa"/>
            <w:gridSpan w:val="6"/>
            <w:shd w:val="clear" w:color="auto" w:fill="auto"/>
          </w:tcPr>
          <w:p w14:paraId="7BE08A3F" w14:textId="77777777" w:rsidR="00933C25" w:rsidRPr="00E16672" w:rsidRDefault="00933C25" w:rsidP="00141B39">
            <w:pPr>
              <w:snapToGrid w:val="0"/>
              <w:ind w:left="175" w:right="138" w:firstLine="7"/>
              <w:rPr>
                <w:rFonts w:ascii="Times New Roman" w:hAnsi="Times New Roman"/>
                <w:sz w:val="16"/>
                <w:szCs w:val="16"/>
              </w:rPr>
            </w:pPr>
            <w:r w:rsidRPr="00E16672">
              <w:rPr>
                <w:rFonts w:ascii="Times New Roman" w:hAnsi="Times New Roman"/>
                <w:sz w:val="16"/>
                <w:szCs w:val="16"/>
              </w:rPr>
              <w:t xml:space="preserve">6.4. </w:t>
            </w:r>
            <w:proofErr w:type="spellStart"/>
            <w:r w:rsidRPr="00E16672">
              <w:rPr>
                <w:rFonts w:ascii="Times New Roman" w:hAnsi="Times New Roman"/>
                <w:sz w:val="16"/>
                <w:szCs w:val="16"/>
              </w:rPr>
              <w:t>Договір</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може</w:t>
            </w:r>
            <w:proofErr w:type="spellEnd"/>
            <w:r w:rsidRPr="00E16672">
              <w:rPr>
                <w:rFonts w:ascii="Times New Roman" w:hAnsi="Times New Roman"/>
                <w:sz w:val="16"/>
                <w:szCs w:val="16"/>
              </w:rPr>
              <w:t xml:space="preserve"> бути </w:t>
            </w:r>
            <w:proofErr w:type="spellStart"/>
            <w:r w:rsidRPr="00E16672">
              <w:rPr>
                <w:rFonts w:ascii="Times New Roman" w:hAnsi="Times New Roman"/>
                <w:sz w:val="16"/>
                <w:szCs w:val="16"/>
              </w:rPr>
              <w:t>розірваний</w:t>
            </w:r>
            <w:proofErr w:type="spellEnd"/>
            <w:r w:rsidRPr="00E16672">
              <w:rPr>
                <w:rFonts w:ascii="Times New Roman" w:hAnsi="Times New Roman"/>
                <w:sz w:val="16"/>
                <w:szCs w:val="16"/>
              </w:rPr>
              <w:t xml:space="preserve"> за </w:t>
            </w:r>
            <w:proofErr w:type="spellStart"/>
            <w:r w:rsidRPr="00E16672">
              <w:rPr>
                <w:rFonts w:ascii="Times New Roman" w:hAnsi="Times New Roman"/>
                <w:sz w:val="16"/>
                <w:szCs w:val="16"/>
              </w:rPr>
              <w:t>умови</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відсутності</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цінних</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паперів</w:t>
            </w:r>
            <w:proofErr w:type="spellEnd"/>
            <w:r w:rsidRPr="00E16672">
              <w:rPr>
                <w:rFonts w:ascii="Times New Roman" w:hAnsi="Times New Roman"/>
                <w:sz w:val="16"/>
                <w:szCs w:val="16"/>
              </w:rPr>
              <w:t xml:space="preserve">, прав на </w:t>
            </w:r>
            <w:proofErr w:type="spellStart"/>
            <w:r w:rsidRPr="00E16672">
              <w:rPr>
                <w:rFonts w:ascii="Times New Roman" w:hAnsi="Times New Roman"/>
                <w:sz w:val="16"/>
                <w:szCs w:val="16"/>
              </w:rPr>
              <w:t>цінні</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папери</w:t>
            </w:r>
            <w:proofErr w:type="spellEnd"/>
            <w:r w:rsidRPr="00E16672">
              <w:rPr>
                <w:rFonts w:ascii="Times New Roman" w:hAnsi="Times New Roman"/>
                <w:sz w:val="16"/>
                <w:szCs w:val="16"/>
              </w:rPr>
              <w:t xml:space="preserve"> на </w:t>
            </w:r>
            <w:proofErr w:type="spellStart"/>
            <w:r w:rsidRPr="00E16672">
              <w:rPr>
                <w:rFonts w:ascii="Times New Roman" w:hAnsi="Times New Roman"/>
                <w:sz w:val="16"/>
                <w:szCs w:val="16"/>
              </w:rPr>
              <w:t>рахунку</w:t>
            </w:r>
            <w:proofErr w:type="spellEnd"/>
            <w:r w:rsidRPr="00E16672">
              <w:rPr>
                <w:rFonts w:ascii="Times New Roman" w:hAnsi="Times New Roman"/>
                <w:sz w:val="16"/>
                <w:szCs w:val="16"/>
              </w:rPr>
              <w:t xml:space="preserve"> </w:t>
            </w:r>
            <w:r w:rsidR="00C22309" w:rsidRPr="00E16672">
              <w:rPr>
                <w:rFonts w:ascii="Times New Roman" w:hAnsi="Times New Roman"/>
                <w:sz w:val="16"/>
                <w:szCs w:val="16"/>
              </w:rPr>
              <w:t xml:space="preserve">в </w:t>
            </w:r>
            <w:proofErr w:type="spellStart"/>
            <w:r w:rsidR="00C22309" w:rsidRPr="00E16672">
              <w:rPr>
                <w:rFonts w:ascii="Times New Roman" w:hAnsi="Times New Roman"/>
                <w:sz w:val="16"/>
                <w:szCs w:val="16"/>
              </w:rPr>
              <w:t>цін</w:t>
            </w:r>
            <w:r w:rsidRPr="00E16672">
              <w:rPr>
                <w:rFonts w:ascii="Times New Roman" w:hAnsi="Times New Roman"/>
                <w:sz w:val="16"/>
                <w:szCs w:val="16"/>
              </w:rPr>
              <w:t>них</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паперах</w:t>
            </w:r>
            <w:proofErr w:type="spellEnd"/>
            <w:r w:rsidRPr="00E16672">
              <w:rPr>
                <w:rFonts w:ascii="Times New Roman" w:hAnsi="Times New Roman"/>
                <w:sz w:val="16"/>
                <w:szCs w:val="16"/>
              </w:rPr>
              <w:t xml:space="preserve"> Депонента.</w:t>
            </w:r>
          </w:p>
          <w:p w14:paraId="70249509" w14:textId="77777777" w:rsidR="00933C25" w:rsidRPr="00E16672" w:rsidRDefault="00933C25" w:rsidP="00141B39">
            <w:pPr>
              <w:ind w:left="175" w:right="138" w:firstLine="7"/>
              <w:rPr>
                <w:rFonts w:ascii="Times New Roman" w:hAnsi="Times New Roman"/>
                <w:sz w:val="16"/>
                <w:szCs w:val="16"/>
              </w:rPr>
            </w:pPr>
          </w:p>
        </w:tc>
        <w:tc>
          <w:tcPr>
            <w:tcW w:w="5494" w:type="dxa"/>
            <w:gridSpan w:val="7"/>
            <w:shd w:val="clear" w:color="auto" w:fill="auto"/>
          </w:tcPr>
          <w:p w14:paraId="467667BD" w14:textId="77777777" w:rsidR="00933C25" w:rsidRPr="00E16672" w:rsidRDefault="00933C25" w:rsidP="00141B39">
            <w:pPr>
              <w:tabs>
                <w:tab w:val="left" w:pos="287"/>
              </w:tabs>
              <w:snapToGrid w:val="0"/>
              <w:ind w:left="175" w:right="100" w:firstLine="7"/>
              <w:rPr>
                <w:rFonts w:ascii="Times New Roman" w:hAnsi="Times New Roman"/>
                <w:lang w:val="en-US"/>
              </w:rPr>
            </w:pPr>
            <w:r w:rsidRPr="00E16672">
              <w:rPr>
                <w:rFonts w:ascii="Times New Roman" w:hAnsi="Times New Roman"/>
                <w:sz w:val="16"/>
                <w:szCs w:val="16"/>
                <w:lang w:val="en-GB"/>
              </w:rPr>
              <w:t>6.</w:t>
            </w:r>
            <w:r w:rsidRPr="00E16672">
              <w:rPr>
                <w:rFonts w:ascii="Times New Roman" w:hAnsi="Times New Roman"/>
                <w:sz w:val="16"/>
                <w:szCs w:val="16"/>
                <w:lang w:val="en-US"/>
              </w:rPr>
              <w:t>4</w:t>
            </w:r>
            <w:r w:rsidRPr="00E16672">
              <w:rPr>
                <w:rFonts w:ascii="Times New Roman" w:hAnsi="Times New Roman"/>
                <w:sz w:val="16"/>
                <w:szCs w:val="16"/>
                <w:lang w:val="en-GB"/>
              </w:rPr>
              <w:t xml:space="preserve">. Agreement can be </w:t>
            </w:r>
            <w:proofErr w:type="spellStart"/>
            <w:r w:rsidRPr="00E16672">
              <w:rPr>
                <w:rFonts w:ascii="Times New Roman" w:hAnsi="Times New Roman"/>
                <w:sz w:val="16"/>
                <w:szCs w:val="16"/>
                <w:lang w:val="en-GB"/>
              </w:rPr>
              <w:t>canceled</w:t>
            </w:r>
            <w:proofErr w:type="spellEnd"/>
            <w:r w:rsidRPr="00E16672">
              <w:rPr>
                <w:rFonts w:ascii="Times New Roman" w:hAnsi="Times New Roman"/>
                <w:sz w:val="16"/>
                <w:szCs w:val="16"/>
                <w:lang w:val="en-GB"/>
              </w:rPr>
              <w:t xml:space="preserve"> in the absence of </w:t>
            </w:r>
            <w:proofErr w:type="gramStart"/>
            <w:r w:rsidRPr="00E16672">
              <w:rPr>
                <w:rFonts w:ascii="Times New Roman" w:hAnsi="Times New Roman"/>
                <w:sz w:val="16"/>
                <w:szCs w:val="16"/>
                <w:lang w:val="en-GB"/>
              </w:rPr>
              <w:t>securities,  rights</w:t>
            </w:r>
            <w:proofErr w:type="gramEnd"/>
            <w:r w:rsidRPr="00E16672">
              <w:rPr>
                <w:rFonts w:ascii="Times New Roman" w:hAnsi="Times New Roman"/>
                <w:sz w:val="16"/>
                <w:szCs w:val="16"/>
                <w:lang w:val="en-GB"/>
              </w:rPr>
              <w:t xml:space="preserve"> on securities at the Depositor’s account in securities.</w:t>
            </w:r>
          </w:p>
        </w:tc>
      </w:tr>
      <w:tr w:rsidR="00933C25" w:rsidRPr="00F23413" w14:paraId="64FDB3C8" w14:textId="77777777" w:rsidTr="00D77858">
        <w:tblPrEx>
          <w:tblCellMar>
            <w:left w:w="0" w:type="dxa"/>
            <w:right w:w="0" w:type="dxa"/>
          </w:tblCellMar>
        </w:tblPrEx>
        <w:trPr>
          <w:trHeight w:val="637"/>
        </w:trPr>
        <w:tc>
          <w:tcPr>
            <w:tcW w:w="5696" w:type="dxa"/>
            <w:gridSpan w:val="6"/>
            <w:shd w:val="clear" w:color="auto" w:fill="auto"/>
          </w:tcPr>
          <w:p w14:paraId="2DCC8216" w14:textId="77777777" w:rsidR="00933C25" w:rsidRPr="00E16672" w:rsidRDefault="00933C25" w:rsidP="00141B39">
            <w:pPr>
              <w:ind w:left="175" w:right="138" w:firstLine="7"/>
              <w:rPr>
                <w:rFonts w:ascii="Times New Roman" w:hAnsi="Times New Roman"/>
                <w:color w:val="000000"/>
                <w:sz w:val="16"/>
                <w:szCs w:val="16"/>
              </w:rPr>
            </w:pPr>
            <w:r w:rsidRPr="00E16672">
              <w:rPr>
                <w:rFonts w:ascii="Times New Roman" w:hAnsi="Times New Roman"/>
                <w:color w:val="000000"/>
                <w:sz w:val="16"/>
                <w:szCs w:val="16"/>
              </w:rPr>
              <w:t>6.</w:t>
            </w:r>
            <w:r w:rsidRPr="00E16672">
              <w:rPr>
                <w:rFonts w:ascii="Times New Roman" w:hAnsi="Times New Roman"/>
                <w:color w:val="000000"/>
                <w:sz w:val="16"/>
                <w:szCs w:val="16"/>
                <w:lang w:val="uk-UA"/>
              </w:rPr>
              <w:t>5</w:t>
            </w:r>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Цей</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Договір</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припиняється</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зокрема</w:t>
            </w:r>
            <w:proofErr w:type="spellEnd"/>
            <w:r w:rsidRPr="00E16672">
              <w:rPr>
                <w:rFonts w:ascii="Times New Roman" w:hAnsi="Times New Roman"/>
                <w:color w:val="000000"/>
                <w:sz w:val="16"/>
                <w:szCs w:val="16"/>
              </w:rPr>
              <w:t xml:space="preserve">, у </w:t>
            </w:r>
            <w:proofErr w:type="spellStart"/>
            <w:r w:rsidRPr="00E16672">
              <w:rPr>
                <w:rFonts w:ascii="Times New Roman" w:hAnsi="Times New Roman"/>
                <w:color w:val="000000"/>
                <w:sz w:val="16"/>
                <w:szCs w:val="16"/>
              </w:rPr>
              <w:t>разі</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закриття</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рахунку</w:t>
            </w:r>
            <w:proofErr w:type="spellEnd"/>
            <w:r w:rsidRPr="00E16672">
              <w:rPr>
                <w:rFonts w:ascii="Times New Roman" w:hAnsi="Times New Roman"/>
                <w:color w:val="000000"/>
                <w:sz w:val="16"/>
                <w:szCs w:val="16"/>
              </w:rPr>
              <w:t xml:space="preserve"> </w:t>
            </w:r>
            <w:r w:rsidR="00C22309" w:rsidRPr="00E16672">
              <w:rPr>
                <w:rFonts w:ascii="Times New Roman" w:hAnsi="Times New Roman"/>
                <w:color w:val="000000"/>
                <w:sz w:val="16"/>
                <w:szCs w:val="16"/>
              </w:rPr>
              <w:t xml:space="preserve">в </w:t>
            </w:r>
            <w:proofErr w:type="spellStart"/>
            <w:r w:rsidR="00C22309" w:rsidRPr="00E16672">
              <w:rPr>
                <w:rFonts w:ascii="Times New Roman" w:hAnsi="Times New Roman"/>
                <w:color w:val="000000"/>
                <w:sz w:val="16"/>
                <w:szCs w:val="16"/>
              </w:rPr>
              <w:t>цін</w:t>
            </w:r>
            <w:r w:rsidRPr="00E16672">
              <w:rPr>
                <w:rFonts w:ascii="Times New Roman" w:hAnsi="Times New Roman"/>
                <w:color w:val="000000"/>
                <w:sz w:val="16"/>
                <w:szCs w:val="16"/>
              </w:rPr>
              <w:t>них</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паперах</w:t>
            </w:r>
            <w:proofErr w:type="spellEnd"/>
            <w:r w:rsidRPr="00E16672">
              <w:rPr>
                <w:rFonts w:ascii="Times New Roman" w:hAnsi="Times New Roman"/>
                <w:color w:val="000000"/>
                <w:sz w:val="16"/>
                <w:szCs w:val="16"/>
              </w:rPr>
              <w:t xml:space="preserve"> за </w:t>
            </w:r>
            <w:proofErr w:type="spellStart"/>
            <w:r w:rsidRPr="00E16672">
              <w:rPr>
                <w:rFonts w:ascii="Times New Roman" w:hAnsi="Times New Roman"/>
                <w:color w:val="000000"/>
                <w:sz w:val="16"/>
                <w:szCs w:val="16"/>
              </w:rPr>
              <w:t>розпорядженням</w:t>
            </w:r>
            <w:proofErr w:type="spellEnd"/>
            <w:r w:rsidRPr="00E16672">
              <w:rPr>
                <w:rFonts w:ascii="Times New Roman" w:hAnsi="Times New Roman"/>
                <w:color w:val="000000"/>
                <w:sz w:val="16"/>
                <w:szCs w:val="16"/>
              </w:rPr>
              <w:t xml:space="preserve"> Депонента. У </w:t>
            </w:r>
            <w:proofErr w:type="spellStart"/>
            <w:r w:rsidRPr="00E16672">
              <w:rPr>
                <w:rFonts w:ascii="Times New Roman" w:hAnsi="Times New Roman"/>
                <w:color w:val="000000"/>
                <w:sz w:val="16"/>
                <w:szCs w:val="16"/>
              </w:rPr>
              <w:t>цьому</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випадку</w:t>
            </w:r>
            <w:proofErr w:type="spellEnd"/>
            <w:r w:rsidRPr="00E16672">
              <w:rPr>
                <w:rFonts w:ascii="Times New Roman" w:hAnsi="Times New Roman"/>
                <w:color w:val="000000"/>
                <w:sz w:val="16"/>
                <w:szCs w:val="16"/>
              </w:rPr>
              <w:t xml:space="preserve"> дата </w:t>
            </w:r>
            <w:proofErr w:type="spellStart"/>
            <w:r w:rsidRPr="00E16672">
              <w:rPr>
                <w:rFonts w:ascii="Times New Roman" w:hAnsi="Times New Roman"/>
                <w:color w:val="000000"/>
                <w:sz w:val="16"/>
                <w:szCs w:val="16"/>
              </w:rPr>
              <w:t>закриття</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рахунку</w:t>
            </w:r>
            <w:proofErr w:type="spellEnd"/>
            <w:r w:rsidRPr="00E16672">
              <w:rPr>
                <w:rFonts w:ascii="Times New Roman" w:hAnsi="Times New Roman"/>
                <w:color w:val="000000"/>
                <w:sz w:val="16"/>
                <w:szCs w:val="16"/>
              </w:rPr>
              <w:t xml:space="preserve"> </w:t>
            </w:r>
            <w:r w:rsidR="00C22309" w:rsidRPr="00E16672">
              <w:rPr>
                <w:rFonts w:ascii="Times New Roman" w:hAnsi="Times New Roman"/>
                <w:color w:val="000000"/>
                <w:sz w:val="16"/>
                <w:szCs w:val="16"/>
              </w:rPr>
              <w:t xml:space="preserve">в </w:t>
            </w:r>
            <w:proofErr w:type="spellStart"/>
            <w:r w:rsidR="00C22309" w:rsidRPr="00E16672">
              <w:rPr>
                <w:rFonts w:ascii="Times New Roman" w:hAnsi="Times New Roman"/>
                <w:color w:val="000000"/>
                <w:sz w:val="16"/>
                <w:szCs w:val="16"/>
              </w:rPr>
              <w:t>цін</w:t>
            </w:r>
            <w:r w:rsidRPr="00E16672">
              <w:rPr>
                <w:rFonts w:ascii="Times New Roman" w:hAnsi="Times New Roman"/>
                <w:color w:val="000000"/>
                <w:sz w:val="16"/>
                <w:szCs w:val="16"/>
              </w:rPr>
              <w:t>них</w:t>
            </w:r>
            <w:proofErr w:type="spellEnd"/>
            <w:r w:rsidRPr="00E16672">
              <w:rPr>
                <w:rFonts w:ascii="Times New Roman" w:hAnsi="Times New Roman"/>
                <w:color w:val="000000"/>
                <w:sz w:val="16"/>
                <w:szCs w:val="16"/>
              </w:rPr>
              <w:t xml:space="preserve"> </w:t>
            </w:r>
            <w:proofErr w:type="spellStart"/>
            <w:proofErr w:type="gramStart"/>
            <w:r w:rsidRPr="00E16672">
              <w:rPr>
                <w:rFonts w:ascii="Times New Roman" w:hAnsi="Times New Roman"/>
                <w:color w:val="000000"/>
                <w:sz w:val="16"/>
                <w:szCs w:val="16"/>
              </w:rPr>
              <w:t>паперах</w:t>
            </w:r>
            <w:proofErr w:type="spellEnd"/>
            <w:r w:rsidRPr="00E16672">
              <w:rPr>
                <w:rFonts w:ascii="Times New Roman" w:hAnsi="Times New Roman"/>
                <w:color w:val="000000"/>
                <w:sz w:val="16"/>
                <w:szCs w:val="16"/>
              </w:rPr>
              <w:t xml:space="preserve">  є</w:t>
            </w:r>
            <w:proofErr w:type="gram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останньою</w:t>
            </w:r>
            <w:proofErr w:type="spellEnd"/>
            <w:r w:rsidRPr="00E16672">
              <w:rPr>
                <w:rFonts w:ascii="Times New Roman" w:hAnsi="Times New Roman"/>
                <w:color w:val="000000"/>
                <w:sz w:val="16"/>
                <w:szCs w:val="16"/>
              </w:rPr>
              <w:t xml:space="preserve"> датою </w:t>
            </w:r>
            <w:proofErr w:type="spellStart"/>
            <w:r w:rsidRPr="00E16672">
              <w:rPr>
                <w:rFonts w:ascii="Times New Roman" w:hAnsi="Times New Roman"/>
                <w:color w:val="000000"/>
                <w:sz w:val="16"/>
                <w:szCs w:val="16"/>
              </w:rPr>
              <w:t>чинності</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дії</w:t>
            </w:r>
            <w:proofErr w:type="spellEnd"/>
            <w:r w:rsidRPr="00E16672">
              <w:rPr>
                <w:rFonts w:ascii="Times New Roman" w:hAnsi="Times New Roman"/>
                <w:color w:val="000000"/>
                <w:sz w:val="16"/>
                <w:szCs w:val="16"/>
              </w:rPr>
              <w:t>) Договору.</w:t>
            </w:r>
          </w:p>
          <w:p w14:paraId="19A73F2A" w14:textId="77777777" w:rsidR="00933C25" w:rsidRPr="00E16672" w:rsidRDefault="00933C25" w:rsidP="00141B39">
            <w:pPr>
              <w:snapToGrid w:val="0"/>
              <w:ind w:left="175" w:right="138" w:firstLine="7"/>
              <w:rPr>
                <w:rFonts w:ascii="Times New Roman" w:hAnsi="Times New Roman"/>
                <w:color w:val="000000"/>
                <w:sz w:val="10"/>
                <w:szCs w:val="10"/>
              </w:rPr>
            </w:pPr>
          </w:p>
        </w:tc>
        <w:tc>
          <w:tcPr>
            <w:tcW w:w="5494" w:type="dxa"/>
            <w:gridSpan w:val="7"/>
            <w:shd w:val="clear" w:color="auto" w:fill="auto"/>
          </w:tcPr>
          <w:p w14:paraId="402EF870" w14:textId="77777777" w:rsidR="00933C25" w:rsidRPr="00E16672" w:rsidRDefault="00933C25" w:rsidP="00141B39">
            <w:pPr>
              <w:pStyle w:val="210"/>
              <w:tabs>
                <w:tab w:val="left" w:pos="287"/>
              </w:tabs>
              <w:snapToGrid w:val="0"/>
              <w:ind w:left="175" w:right="100" w:firstLine="7"/>
              <w:rPr>
                <w:rFonts w:ascii="Times New Roman" w:hAnsi="Times New Roman"/>
                <w:color w:val="000000"/>
                <w:sz w:val="16"/>
                <w:szCs w:val="16"/>
              </w:rPr>
            </w:pPr>
            <w:r w:rsidRPr="00E16672">
              <w:rPr>
                <w:rFonts w:ascii="Times New Roman" w:hAnsi="Times New Roman"/>
                <w:color w:val="000000"/>
                <w:sz w:val="16"/>
                <w:szCs w:val="16"/>
              </w:rPr>
              <w:t xml:space="preserve">6.5. </w:t>
            </w:r>
            <w:proofErr w:type="spellStart"/>
            <w:r w:rsidRPr="00E16672">
              <w:rPr>
                <w:rFonts w:ascii="Times New Roman" w:hAnsi="Times New Roman"/>
                <w:color w:val="000000"/>
                <w:sz w:val="16"/>
                <w:szCs w:val="16"/>
              </w:rPr>
              <w:t>This</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Agreement</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is</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terminated</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particularly</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in</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the</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case</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of</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closure</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of</w:t>
            </w:r>
            <w:proofErr w:type="spellEnd"/>
            <w:r w:rsidRPr="00E16672">
              <w:rPr>
                <w:rFonts w:ascii="Times New Roman" w:hAnsi="Times New Roman"/>
                <w:color w:val="000000"/>
                <w:sz w:val="16"/>
                <w:szCs w:val="16"/>
              </w:rPr>
              <w:t xml:space="preserve"> </w:t>
            </w:r>
            <w:r w:rsidRPr="00E16672">
              <w:rPr>
                <w:rFonts w:ascii="Times New Roman" w:hAnsi="Times New Roman"/>
                <w:color w:val="000000"/>
                <w:sz w:val="16"/>
                <w:szCs w:val="16"/>
                <w:lang w:val="en-US"/>
              </w:rPr>
              <w:t xml:space="preserve">the </w:t>
            </w:r>
            <w:proofErr w:type="spellStart"/>
            <w:r w:rsidRPr="00E16672">
              <w:rPr>
                <w:rFonts w:ascii="Times New Roman" w:hAnsi="Times New Roman"/>
                <w:color w:val="000000"/>
                <w:sz w:val="16"/>
                <w:szCs w:val="16"/>
              </w:rPr>
              <w:t>account</w:t>
            </w:r>
            <w:proofErr w:type="spellEnd"/>
            <w:r w:rsidRPr="00E16672">
              <w:rPr>
                <w:rFonts w:ascii="Times New Roman" w:hAnsi="Times New Roman"/>
                <w:color w:val="000000"/>
                <w:sz w:val="16"/>
                <w:szCs w:val="16"/>
                <w:lang w:val="en-US"/>
              </w:rPr>
              <w:t xml:space="preserve"> in </w:t>
            </w:r>
            <w:proofErr w:type="spellStart"/>
            <w:r w:rsidRPr="00E16672">
              <w:rPr>
                <w:rFonts w:ascii="Times New Roman" w:hAnsi="Times New Roman"/>
                <w:color w:val="000000"/>
                <w:sz w:val="16"/>
                <w:szCs w:val="16"/>
              </w:rPr>
              <w:t>securities</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by</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order</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of</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the</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Depositor</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In</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this</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case</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the</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closing</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date</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of</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the</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account</w:t>
            </w:r>
            <w:proofErr w:type="spellEnd"/>
            <w:r w:rsidRPr="00E16672">
              <w:rPr>
                <w:rFonts w:ascii="Times New Roman" w:hAnsi="Times New Roman"/>
                <w:color w:val="000000"/>
                <w:sz w:val="16"/>
                <w:szCs w:val="16"/>
                <w:lang w:val="en-US"/>
              </w:rPr>
              <w:t xml:space="preserve"> in</w:t>
            </w:r>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securities</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is</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the</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last</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date</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of</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force</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actions</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of</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the</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Agreement</w:t>
            </w:r>
            <w:proofErr w:type="spellEnd"/>
            <w:r w:rsidRPr="00E16672">
              <w:rPr>
                <w:rFonts w:ascii="Times New Roman" w:hAnsi="Times New Roman"/>
                <w:color w:val="000000"/>
                <w:sz w:val="16"/>
                <w:szCs w:val="16"/>
              </w:rPr>
              <w:t>.</w:t>
            </w:r>
          </w:p>
        </w:tc>
      </w:tr>
      <w:tr w:rsidR="00933C25" w:rsidRPr="00F23413" w14:paraId="115D10A7" w14:textId="77777777" w:rsidTr="00D77858">
        <w:tblPrEx>
          <w:tblCellMar>
            <w:left w:w="0" w:type="dxa"/>
            <w:right w:w="0" w:type="dxa"/>
          </w:tblCellMar>
        </w:tblPrEx>
        <w:trPr>
          <w:trHeight w:val="192"/>
        </w:trPr>
        <w:tc>
          <w:tcPr>
            <w:tcW w:w="5696" w:type="dxa"/>
            <w:gridSpan w:val="6"/>
            <w:shd w:val="clear" w:color="auto" w:fill="auto"/>
          </w:tcPr>
          <w:p w14:paraId="73E6EA5A" w14:textId="77777777" w:rsidR="00933C25" w:rsidRPr="00E16672" w:rsidRDefault="00933C25" w:rsidP="00141B39">
            <w:pPr>
              <w:snapToGrid w:val="0"/>
              <w:ind w:left="175" w:right="138" w:firstLine="7"/>
              <w:rPr>
                <w:rFonts w:ascii="Times New Roman" w:hAnsi="Times New Roman"/>
                <w:sz w:val="16"/>
                <w:szCs w:val="16"/>
              </w:rPr>
            </w:pPr>
            <w:r w:rsidRPr="00E16672">
              <w:rPr>
                <w:rFonts w:ascii="Times New Roman" w:hAnsi="Times New Roman"/>
                <w:sz w:val="16"/>
                <w:szCs w:val="16"/>
              </w:rPr>
              <w:t>6.</w:t>
            </w:r>
            <w:r w:rsidRPr="00E16672">
              <w:rPr>
                <w:rFonts w:ascii="Times New Roman" w:hAnsi="Times New Roman"/>
                <w:sz w:val="16"/>
                <w:szCs w:val="16"/>
                <w:lang w:val="uk-UA"/>
              </w:rPr>
              <w:t>6</w:t>
            </w:r>
            <w:r w:rsidRPr="00E16672">
              <w:rPr>
                <w:rFonts w:ascii="Times New Roman" w:hAnsi="Times New Roman"/>
                <w:sz w:val="16"/>
                <w:szCs w:val="16"/>
              </w:rPr>
              <w:t xml:space="preserve">. </w:t>
            </w:r>
            <w:proofErr w:type="spellStart"/>
            <w:r w:rsidRPr="00E16672">
              <w:rPr>
                <w:rFonts w:ascii="Times New Roman" w:hAnsi="Times New Roman"/>
                <w:sz w:val="16"/>
                <w:szCs w:val="16"/>
              </w:rPr>
              <w:t>Депозитарна</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установа</w:t>
            </w:r>
            <w:proofErr w:type="spellEnd"/>
            <w:r w:rsidRPr="00E16672">
              <w:rPr>
                <w:rFonts w:ascii="Times New Roman" w:hAnsi="Times New Roman"/>
                <w:sz w:val="16"/>
                <w:szCs w:val="16"/>
              </w:rPr>
              <w:t xml:space="preserve"> та Депонент </w:t>
            </w:r>
            <w:proofErr w:type="spellStart"/>
            <w:r w:rsidRPr="00E16672">
              <w:rPr>
                <w:rFonts w:ascii="Times New Roman" w:hAnsi="Times New Roman"/>
                <w:sz w:val="16"/>
                <w:szCs w:val="16"/>
              </w:rPr>
              <w:t>зобов’язані</w:t>
            </w:r>
            <w:proofErr w:type="spellEnd"/>
            <w:r w:rsidRPr="00E16672">
              <w:rPr>
                <w:rFonts w:ascii="Times New Roman" w:hAnsi="Times New Roman"/>
                <w:sz w:val="16"/>
                <w:szCs w:val="16"/>
              </w:rPr>
              <w:t xml:space="preserve"> у </w:t>
            </w:r>
            <w:proofErr w:type="spellStart"/>
            <w:r w:rsidRPr="00E16672">
              <w:rPr>
                <w:rFonts w:ascii="Times New Roman" w:hAnsi="Times New Roman"/>
                <w:sz w:val="16"/>
                <w:szCs w:val="16"/>
              </w:rPr>
              <w:t>разі</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розірвання</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цього</w:t>
            </w:r>
            <w:proofErr w:type="spellEnd"/>
            <w:r w:rsidRPr="00E16672">
              <w:rPr>
                <w:rFonts w:ascii="Times New Roman" w:hAnsi="Times New Roman"/>
                <w:sz w:val="16"/>
                <w:szCs w:val="16"/>
              </w:rPr>
              <w:t xml:space="preserve"> Договору (у тому </w:t>
            </w:r>
            <w:proofErr w:type="spellStart"/>
            <w:r w:rsidRPr="00E16672">
              <w:rPr>
                <w:rFonts w:ascii="Times New Roman" w:hAnsi="Times New Roman"/>
                <w:sz w:val="16"/>
                <w:szCs w:val="16"/>
              </w:rPr>
              <w:t>числі</w:t>
            </w:r>
            <w:proofErr w:type="spellEnd"/>
            <w:r w:rsidRPr="00E16672">
              <w:rPr>
                <w:rFonts w:ascii="Times New Roman" w:hAnsi="Times New Roman"/>
                <w:sz w:val="16"/>
                <w:szCs w:val="16"/>
              </w:rPr>
              <w:t xml:space="preserve"> у </w:t>
            </w:r>
            <w:proofErr w:type="spellStart"/>
            <w:r w:rsidRPr="00E16672">
              <w:rPr>
                <w:rFonts w:ascii="Times New Roman" w:hAnsi="Times New Roman"/>
                <w:sz w:val="16"/>
                <w:szCs w:val="16"/>
              </w:rPr>
              <w:t>зв’язку</w:t>
            </w:r>
            <w:proofErr w:type="spellEnd"/>
            <w:r w:rsidRPr="00E16672">
              <w:rPr>
                <w:rFonts w:ascii="Times New Roman" w:hAnsi="Times New Roman"/>
                <w:sz w:val="16"/>
                <w:szCs w:val="16"/>
              </w:rPr>
              <w:t xml:space="preserve"> з </w:t>
            </w:r>
            <w:proofErr w:type="spellStart"/>
            <w:r w:rsidRPr="00E16672">
              <w:rPr>
                <w:rFonts w:ascii="Times New Roman" w:hAnsi="Times New Roman"/>
                <w:sz w:val="16"/>
                <w:szCs w:val="16"/>
              </w:rPr>
              <w:t>припиненням</w:t>
            </w:r>
            <w:proofErr w:type="spellEnd"/>
            <w:r w:rsidRPr="00E16672">
              <w:rPr>
                <w:rFonts w:ascii="Times New Roman" w:hAnsi="Times New Roman"/>
                <w:sz w:val="16"/>
                <w:szCs w:val="16"/>
              </w:rPr>
              <w:t xml:space="preserve"> Депозитарною </w:t>
            </w:r>
            <w:proofErr w:type="spellStart"/>
            <w:r w:rsidRPr="00E16672">
              <w:rPr>
                <w:rFonts w:ascii="Times New Roman" w:hAnsi="Times New Roman"/>
                <w:sz w:val="16"/>
                <w:szCs w:val="16"/>
              </w:rPr>
              <w:t>установою</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провадження</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професійної</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діяльності</w:t>
            </w:r>
            <w:proofErr w:type="spellEnd"/>
            <w:r w:rsidRPr="00E16672">
              <w:rPr>
                <w:rFonts w:ascii="Times New Roman" w:hAnsi="Times New Roman"/>
                <w:sz w:val="16"/>
                <w:szCs w:val="16"/>
              </w:rPr>
              <w:t xml:space="preserve"> </w:t>
            </w:r>
            <w:proofErr w:type="gramStart"/>
            <w:r w:rsidRPr="00E16672">
              <w:rPr>
                <w:rFonts w:ascii="Times New Roman" w:hAnsi="Times New Roman"/>
                <w:sz w:val="16"/>
                <w:szCs w:val="16"/>
              </w:rPr>
              <w:t>на фондовому ринку</w:t>
            </w:r>
            <w:proofErr w:type="gramEnd"/>
            <w:r w:rsidRPr="00E16672">
              <w:rPr>
                <w:rFonts w:ascii="Times New Roman" w:hAnsi="Times New Roman"/>
                <w:sz w:val="16"/>
                <w:szCs w:val="16"/>
              </w:rPr>
              <w:t xml:space="preserve"> – </w:t>
            </w:r>
            <w:proofErr w:type="spellStart"/>
            <w:r w:rsidRPr="00E16672">
              <w:rPr>
                <w:rFonts w:ascii="Times New Roman" w:hAnsi="Times New Roman"/>
                <w:sz w:val="16"/>
                <w:szCs w:val="16"/>
              </w:rPr>
              <w:t>депозитарної</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діяльності</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діяти</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відповідно</w:t>
            </w:r>
            <w:proofErr w:type="spellEnd"/>
            <w:r w:rsidRPr="00E16672">
              <w:rPr>
                <w:rFonts w:ascii="Times New Roman" w:hAnsi="Times New Roman"/>
                <w:sz w:val="16"/>
                <w:szCs w:val="16"/>
              </w:rPr>
              <w:t xml:space="preserve"> до </w:t>
            </w:r>
            <w:proofErr w:type="spellStart"/>
            <w:r w:rsidRPr="00E16672">
              <w:rPr>
                <w:rFonts w:ascii="Times New Roman" w:hAnsi="Times New Roman"/>
                <w:sz w:val="16"/>
                <w:szCs w:val="16"/>
              </w:rPr>
              <w:t>вимог</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законодавства</w:t>
            </w:r>
            <w:proofErr w:type="spellEnd"/>
            <w:r w:rsidRPr="00E16672">
              <w:rPr>
                <w:rFonts w:ascii="Times New Roman" w:hAnsi="Times New Roman"/>
                <w:sz w:val="16"/>
                <w:szCs w:val="16"/>
              </w:rPr>
              <w:t xml:space="preserve"> та </w:t>
            </w:r>
            <w:proofErr w:type="spellStart"/>
            <w:r w:rsidRPr="00E16672">
              <w:rPr>
                <w:rFonts w:ascii="Times New Roman" w:hAnsi="Times New Roman"/>
                <w:sz w:val="16"/>
                <w:szCs w:val="16"/>
              </w:rPr>
              <w:t>цього</w:t>
            </w:r>
            <w:proofErr w:type="spellEnd"/>
            <w:r w:rsidRPr="00E16672">
              <w:rPr>
                <w:rFonts w:ascii="Times New Roman" w:hAnsi="Times New Roman"/>
                <w:sz w:val="16"/>
                <w:szCs w:val="16"/>
              </w:rPr>
              <w:t xml:space="preserve"> Договору.</w:t>
            </w:r>
          </w:p>
          <w:p w14:paraId="7CB971B5" w14:textId="77777777" w:rsidR="00933C25" w:rsidRPr="00E16672" w:rsidRDefault="00933C25" w:rsidP="00141B39">
            <w:pPr>
              <w:ind w:left="175" w:right="138" w:firstLine="7"/>
              <w:rPr>
                <w:rFonts w:ascii="Times New Roman" w:hAnsi="Times New Roman"/>
                <w:sz w:val="10"/>
                <w:szCs w:val="10"/>
              </w:rPr>
            </w:pPr>
          </w:p>
        </w:tc>
        <w:tc>
          <w:tcPr>
            <w:tcW w:w="5494" w:type="dxa"/>
            <w:gridSpan w:val="7"/>
            <w:shd w:val="clear" w:color="auto" w:fill="auto"/>
          </w:tcPr>
          <w:p w14:paraId="714C260F" w14:textId="77777777" w:rsidR="00933C25" w:rsidRPr="00E16672" w:rsidRDefault="00933C25" w:rsidP="00141B39">
            <w:pPr>
              <w:pStyle w:val="210"/>
              <w:tabs>
                <w:tab w:val="left" w:pos="287"/>
              </w:tabs>
              <w:snapToGrid w:val="0"/>
              <w:ind w:left="175" w:right="100" w:firstLine="7"/>
              <w:rPr>
                <w:rFonts w:ascii="Times New Roman" w:hAnsi="Times New Roman"/>
                <w:sz w:val="16"/>
                <w:szCs w:val="16"/>
              </w:rPr>
            </w:pPr>
            <w:r w:rsidRPr="00E16672">
              <w:rPr>
                <w:rFonts w:ascii="Times New Roman" w:hAnsi="Times New Roman"/>
                <w:sz w:val="16"/>
                <w:szCs w:val="16"/>
              </w:rPr>
              <w:t xml:space="preserve">6.6. </w:t>
            </w:r>
            <w:proofErr w:type="spellStart"/>
            <w:r w:rsidRPr="00E16672">
              <w:rPr>
                <w:rFonts w:ascii="Times New Roman" w:hAnsi="Times New Roman"/>
                <w:sz w:val="16"/>
                <w:szCs w:val="16"/>
              </w:rPr>
              <w:t>Depository</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institution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and</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Depositor</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shall</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in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event</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of</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termination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of</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this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Agreement</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including</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in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connection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with</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termination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of</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r w:rsidRPr="00E16672">
              <w:rPr>
                <w:rFonts w:ascii="Times New Roman" w:hAnsi="Times New Roman"/>
                <w:sz w:val="16"/>
                <w:szCs w:val="16"/>
                <w:lang w:val="en-US"/>
              </w:rPr>
              <w:t>D</w:t>
            </w:r>
            <w:proofErr w:type="spellStart"/>
            <w:r w:rsidRPr="00E16672">
              <w:rPr>
                <w:rFonts w:ascii="Times New Roman" w:hAnsi="Times New Roman"/>
                <w:sz w:val="16"/>
                <w:szCs w:val="16"/>
              </w:rPr>
              <w:t>epository</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institution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carrying</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out</w:t>
            </w:r>
            <w:proofErr w:type="spellEnd"/>
            <w:r w:rsidRPr="00E16672">
              <w:rPr>
                <w:rFonts w:ascii="Times New Roman" w:hAnsi="Times New Roman"/>
                <w:sz w:val="16"/>
                <w:szCs w:val="16"/>
              </w:rPr>
              <w:t xml:space="preserve"> a </w:t>
            </w:r>
            <w:proofErr w:type="spellStart"/>
            <w:r w:rsidRPr="00E16672">
              <w:rPr>
                <w:rFonts w:ascii="Times New Roman" w:hAnsi="Times New Roman"/>
                <w:sz w:val="16"/>
                <w:szCs w:val="16"/>
              </w:rPr>
              <w:t>professional</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activity</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stock</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market</w:t>
            </w:r>
            <w:proofErr w:type="spellEnd"/>
            <w:r w:rsidRPr="00E16672">
              <w:rPr>
                <w:rFonts w:ascii="Times New Roman" w:hAnsi="Times New Roman"/>
                <w:sz w:val="16"/>
                <w:szCs w:val="16"/>
              </w:rPr>
              <w:t xml:space="preserve"> - </w:t>
            </w:r>
            <w:proofErr w:type="spellStart"/>
            <w:r w:rsidRPr="00E16672">
              <w:rPr>
                <w:rFonts w:ascii="Times New Roman" w:hAnsi="Times New Roman"/>
                <w:sz w:val="16"/>
                <w:szCs w:val="16"/>
              </w:rPr>
              <w:t>depository</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activities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act</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in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accordance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with</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law</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and</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this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Agreement</w:t>
            </w:r>
            <w:proofErr w:type="spellEnd"/>
            <w:r w:rsidRPr="00E16672">
              <w:rPr>
                <w:rFonts w:ascii="Times New Roman" w:hAnsi="Times New Roman"/>
                <w:sz w:val="16"/>
                <w:szCs w:val="16"/>
              </w:rPr>
              <w:t>.</w:t>
            </w:r>
          </w:p>
        </w:tc>
      </w:tr>
      <w:tr w:rsidR="00933C25" w:rsidRPr="00F23413" w14:paraId="6680E9DC" w14:textId="77777777" w:rsidTr="00D77858">
        <w:tblPrEx>
          <w:tblCellMar>
            <w:left w:w="0" w:type="dxa"/>
            <w:right w:w="0" w:type="dxa"/>
          </w:tblCellMar>
        </w:tblPrEx>
        <w:trPr>
          <w:trHeight w:val="192"/>
        </w:trPr>
        <w:tc>
          <w:tcPr>
            <w:tcW w:w="5696" w:type="dxa"/>
            <w:gridSpan w:val="6"/>
            <w:shd w:val="clear" w:color="auto" w:fill="auto"/>
          </w:tcPr>
          <w:p w14:paraId="3A548C3E" w14:textId="77777777" w:rsidR="00933C25" w:rsidRPr="00E16672" w:rsidRDefault="00933C25" w:rsidP="00022F5F">
            <w:pPr>
              <w:snapToGrid w:val="0"/>
              <w:ind w:left="175" w:right="138" w:firstLine="7"/>
              <w:jc w:val="left"/>
              <w:rPr>
                <w:rFonts w:ascii="Times New Roman" w:hAnsi="Times New Roman"/>
                <w:sz w:val="16"/>
                <w:szCs w:val="16"/>
              </w:rPr>
            </w:pPr>
            <w:r w:rsidRPr="00E16672">
              <w:rPr>
                <w:rFonts w:ascii="Times New Roman" w:hAnsi="Times New Roman"/>
                <w:sz w:val="16"/>
                <w:szCs w:val="16"/>
              </w:rPr>
              <w:t>6.</w:t>
            </w:r>
            <w:r w:rsidRPr="00E16672">
              <w:rPr>
                <w:rFonts w:ascii="Times New Roman" w:hAnsi="Times New Roman"/>
                <w:sz w:val="16"/>
                <w:szCs w:val="16"/>
                <w:lang w:val="uk-UA"/>
              </w:rPr>
              <w:t>7</w:t>
            </w:r>
            <w:r w:rsidRPr="00E16672">
              <w:rPr>
                <w:rFonts w:ascii="Times New Roman" w:hAnsi="Times New Roman"/>
                <w:sz w:val="16"/>
                <w:szCs w:val="16"/>
              </w:rPr>
              <w:t xml:space="preserve">. </w:t>
            </w:r>
            <w:proofErr w:type="spellStart"/>
            <w:r w:rsidRPr="00E16672">
              <w:rPr>
                <w:rFonts w:ascii="Times New Roman" w:hAnsi="Times New Roman"/>
                <w:sz w:val="16"/>
                <w:szCs w:val="16"/>
              </w:rPr>
              <w:t>Питання</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що</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виникають</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під</w:t>
            </w:r>
            <w:proofErr w:type="spellEnd"/>
            <w:r w:rsidRPr="00E16672">
              <w:rPr>
                <w:rFonts w:ascii="Times New Roman" w:hAnsi="Times New Roman"/>
                <w:sz w:val="16"/>
                <w:szCs w:val="16"/>
              </w:rPr>
              <w:t xml:space="preserve"> час </w:t>
            </w:r>
            <w:proofErr w:type="spellStart"/>
            <w:r w:rsidRPr="00E16672">
              <w:rPr>
                <w:rFonts w:ascii="Times New Roman" w:hAnsi="Times New Roman"/>
                <w:sz w:val="16"/>
                <w:szCs w:val="16"/>
              </w:rPr>
              <w:t>укладення</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виконання</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зміни</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розірвання</w:t>
            </w:r>
            <w:proofErr w:type="spellEnd"/>
            <w:r w:rsidRPr="00E16672">
              <w:rPr>
                <w:rFonts w:ascii="Times New Roman" w:hAnsi="Times New Roman"/>
                <w:sz w:val="16"/>
                <w:szCs w:val="16"/>
              </w:rPr>
              <w:t xml:space="preserve"> Договору і не </w:t>
            </w:r>
            <w:proofErr w:type="spellStart"/>
            <w:r w:rsidRPr="00E16672">
              <w:rPr>
                <w:rFonts w:ascii="Times New Roman" w:hAnsi="Times New Roman"/>
                <w:sz w:val="16"/>
                <w:szCs w:val="16"/>
              </w:rPr>
              <w:t>врегульовані</w:t>
            </w:r>
            <w:proofErr w:type="spellEnd"/>
            <w:r w:rsidRPr="00E16672">
              <w:rPr>
                <w:rFonts w:ascii="Times New Roman" w:hAnsi="Times New Roman"/>
                <w:sz w:val="16"/>
                <w:szCs w:val="16"/>
              </w:rPr>
              <w:t xml:space="preserve"> ним, </w:t>
            </w:r>
            <w:proofErr w:type="spellStart"/>
            <w:r w:rsidRPr="00E16672">
              <w:rPr>
                <w:rFonts w:ascii="Times New Roman" w:hAnsi="Times New Roman"/>
                <w:sz w:val="16"/>
                <w:szCs w:val="16"/>
              </w:rPr>
              <w:t>регулюються</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Цивільним</w:t>
            </w:r>
            <w:proofErr w:type="spellEnd"/>
            <w:r w:rsidRPr="00E16672">
              <w:rPr>
                <w:rFonts w:ascii="Times New Roman" w:hAnsi="Times New Roman"/>
                <w:sz w:val="16"/>
                <w:szCs w:val="16"/>
              </w:rPr>
              <w:t xml:space="preserve"> кодексом </w:t>
            </w:r>
            <w:proofErr w:type="spellStart"/>
            <w:r w:rsidRPr="00E16672">
              <w:rPr>
                <w:rFonts w:ascii="Times New Roman" w:hAnsi="Times New Roman"/>
                <w:sz w:val="16"/>
                <w:szCs w:val="16"/>
              </w:rPr>
              <w:t>України</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Господарським</w:t>
            </w:r>
            <w:proofErr w:type="spellEnd"/>
            <w:r w:rsidRPr="00E16672">
              <w:rPr>
                <w:rFonts w:ascii="Times New Roman" w:hAnsi="Times New Roman"/>
                <w:sz w:val="16"/>
                <w:szCs w:val="16"/>
              </w:rPr>
              <w:t xml:space="preserve"> кодексом </w:t>
            </w:r>
            <w:proofErr w:type="spellStart"/>
            <w:r w:rsidRPr="00E16672">
              <w:rPr>
                <w:rFonts w:ascii="Times New Roman" w:hAnsi="Times New Roman"/>
                <w:sz w:val="16"/>
                <w:szCs w:val="16"/>
              </w:rPr>
              <w:t>України</w:t>
            </w:r>
            <w:proofErr w:type="spellEnd"/>
            <w:r w:rsidRPr="00E16672">
              <w:rPr>
                <w:rFonts w:ascii="Times New Roman" w:hAnsi="Times New Roman"/>
                <w:sz w:val="16"/>
                <w:szCs w:val="16"/>
              </w:rPr>
              <w:t xml:space="preserve">, Законом </w:t>
            </w:r>
            <w:proofErr w:type="spellStart"/>
            <w:r w:rsidRPr="00E16672">
              <w:rPr>
                <w:rFonts w:ascii="Times New Roman" w:hAnsi="Times New Roman"/>
                <w:sz w:val="16"/>
                <w:szCs w:val="16"/>
              </w:rPr>
              <w:t>України</w:t>
            </w:r>
            <w:proofErr w:type="spellEnd"/>
            <w:r w:rsidRPr="00E16672">
              <w:rPr>
                <w:rFonts w:ascii="Times New Roman" w:hAnsi="Times New Roman"/>
                <w:sz w:val="16"/>
                <w:szCs w:val="16"/>
              </w:rPr>
              <w:t xml:space="preserve"> </w:t>
            </w:r>
            <w:r w:rsidR="00022F5F">
              <w:rPr>
                <w:rFonts w:ascii="Times New Roman" w:hAnsi="Times New Roman"/>
                <w:sz w:val="16"/>
                <w:szCs w:val="16"/>
              </w:rPr>
              <w:t>"</w:t>
            </w:r>
            <w:r w:rsidRPr="00E16672">
              <w:rPr>
                <w:rFonts w:ascii="Times New Roman" w:hAnsi="Times New Roman"/>
                <w:sz w:val="16"/>
                <w:szCs w:val="16"/>
              </w:rPr>
              <w:t xml:space="preserve">Про </w:t>
            </w:r>
            <w:proofErr w:type="spellStart"/>
            <w:r w:rsidRPr="00E16672">
              <w:rPr>
                <w:rFonts w:ascii="Times New Roman" w:hAnsi="Times New Roman"/>
                <w:sz w:val="16"/>
                <w:szCs w:val="16"/>
              </w:rPr>
              <w:t>депозитарну</w:t>
            </w:r>
            <w:proofErr w:type="spellEnd"/>
            <w:r w:rsidRPr="00E16672">
              <w:rPr>
                <w:rFonts w:ascii="Times New Roman" w:hAnsi="Times New Roman"/>
                <w:sz w:val="16"/>
                <w:szCs w:val="16"/>
              </w:rPr>
              <w:t xml:space="preserve"> систему </w:t>
            </w:r>
            <w:proofErr w:type="spellStart"/>
            <w:r w:rsidRPr="00E16672">
              <w:rPr>
                <w:rFonts w:ascii="Times New Roman" w:hAnsi="Times New Roman"/>
                <w:sz w:val="16"/>
                <w:szCs w:val="16"/>
              </w:rPr>
              <w:t>України</w:t>
            </w:r>
            <w:proofErr w:type="spellEnd"/>
            <w:r w:rsidR="00022F5F">
              <w:rPr>
                <w:rFonts w:ascii="Times New Roman" w:hAnsi="Times New Roman"/>
                <w:sz w:val="16"/>
                <w:szCs w:val="16"/>
              </w:rPr>
              <w:t>"</w:t>
            </w:r>
            <w:r w:rsidRPr="00E16672">
              <w:rPr>
                <w:rFonts w:ascii="Times New Roman" w:hAnsi="Times New Roman"/>
                <w:sz w:val="16"/>
                <w:szCs w:val="16"/>
              </w:rPr>
              <w:t>, нормативно-</w:t>
            </w:r>
            <w:proofErr w:type="spellStart"/>
            <w:r w:rsidRPr="00E16672">
              <w:rPr>
                <w:rFonts w:ascii="Times New Roman" w:hAnsi="Times New Roman"/>
                <w:sz w:val="16"/>
                <w:szCs w:val="16"/>
              </w:rPr>
              <w:t>правовими</w:t>
            </w:r>
            <w:proofErr w:type="spellEnd"/>
            <w:r w:rsidRPr="00E16672">
              <w:rPr>
                <w:rFonts w:ascii="Times New Roman" w:hAnsi="Times New Roman"/>
                <w:sz w:val="16"/>
                <w:szCs w:val="16"/>
              </w:rPr>
              <w:t xml:space="preserve"> актами НКЦПФР.</w:t>
            </w:r>
          </w:p>
        </w:tc>
        <w:tc>
          <w:tcPr>
            <w:tcW w:w="5494" w:type="dxa"/>
            <w:gridSpan w:val="7"/>
            <w:shd w:val="clear" w:color="auto" w:fill="auto"/>
          </w:tcPr>
          <w:p w14:paraId="5894FB7E" w14:textId="77777777" w:rsidR="00933C25" w:rsidRPr="00E16672" w:rsidRDefault="00933C25" w:rsidP="00141B39">
            <w:pPr>
              <w:tabs>
                <w:tab w:val="left" w:pos="287"/>
              </w:tabs>
              <w:snapToGrid w:val="0"/>
              <w:ind w:left="175" w:right="100" w:firstLine="7"/>
              <w:rPr>
                <w:rFonts w:ascii="Times New Roman" w:hAnsi="Times New Roman"/>
                <w:sz w:val="16"/>
                <w:szCs w:val="16"/>
                <w:lang w:val="en-GB"/>
              </w:rPr>
            </w:pPr>
            <w:r w:rsidRPr="00E16672">
              <w:rPr>
                <w:rFonts w:ascii="Times New Roman" w:hAnsi="Times New Roman"/>
                <w:sz w:val="16"/>
                <w:szCs w:val="16"/>
                <w:lang w:val="en-GB"/>
              </w:rPr>
              <w:t>6.</w:t>
            </w:r>
            <w:r w:rsidRPr="00E16672">
              <w:rPr>
                <w:rFonts w:ascii="Times New Roman" w:hAnsi="Times New Roman"/>
                <w:sz w:val="16"/>
                <w:szCs w:val="16"/>
                <w:lang w:val="uk-UA"/>
              </w:rPr>
              <w:t>7</w:t>
            </w:r>
            <w:r w:rsidRPr="00E16672">
              <w:rPr>
                <w:rFonts w:ascii="Times New Roman" w:hAnsi="Times New Roman"/>
                <w:sz w:val="16"/>
                <w:szCs w:val="16"/>
                <w:lang w:val="en-GB"/>
              </w:rPr>
              <w:t>. Matters arising from the making, performance, modification, and termination of the Agreement not settled it shall be governed by the Civil Code of Ukraine, the Commercial Code of Ukraine, the Law of Ukraine "On the Depository System of Ukraine" regulations NCSSM.</w:t>
            </w:r>
          </w:p>
        </w:tc>
      </w:tr>
      <w:tr w:rsidR="00933C25" w:rsidRPr="00F23413" w14:paraId="79BBCBAA" w14:textId="77777777" w:rsidTr="00D77858">
        <w:tblPrEx>
          <w:tblCellMar>
            <w:left w:w="0" w:type="dxa"/>
            <w:right w:w="0" w:type="dxa"/>
          </w:tblCellMar>
        </w:tblPrEx>
        <w:trPr>
          <w:trHeight w:val="192"/>
        </w:trPr>
        <w:tc>
          <w:tcPr>
            <w:tcW w:w="5696" w:type="dxa"/>
            <w:gridSpan w:val="6"/>
            <w:shd w:val="clear" w:color="auto" w:fill="auto"/>
          </w:tcPr>
          <w:p w14:paraId="7A989BFF" w14:textId="77777777" w:rsidR="00933C25" w:rsidRPr="00E16672" w:rsidRDefault="00933C25" w:rsidP="00141B39">
            <w:pPr>
              <w:snapToGrid w:val="0"/>
              <w:ind w:left="175" w:right="138" w:firstLine="7"/>
              <w:rPr>
                <w:rFonts w:ascii="Times New Roman" w:hAnsi="Times New Roman"/>
                <w:b/>
                <w:caps/>
                <w:sz w:val="16"/>
                <w:szCs w:val="16"/>
                <w:lang w:val="en-US"/>
              </w:rPr>
            </w:pPr>
          </w:p>
          <w:p w14:paraId="4BA5883D" w14:textId="77777777" w:rsidR="00933C25" w:rsidRPr="00E16672" w:rsidRDefault="00933C25" w:rsidP="00141B39">
            <w:pPr>
              <w:snapToGrid w:val="0"/>
              <w:ind w:left="175" w:right="138" w:firstLine="7"/>
              <w:jc w:val="center"/>
              <w:rPr>
                <w:rFonts w:ascii="Times New Roman" w:hAnsi="Times New Roman"/>
                <w:b/>
                <w:caps/>
                <w:sz w:val="16"/>
                <w:szCs w:val="16"/>
              </w:rPr>
            </w:pPr>
            <w:r w:rsidRPr="00E16672">
              <w:rPr>
                <w:rFonts w:ascii="Times New Roman" w:hAnsi="Times New Roman"/>
                <w:b/>
                <w:caps/>
                <w:sz w:val="16"/>
                <w:szCs w:val="16"/>
              </w:rPr>
              <w:t>7. Порядок розкриття інформації, що належить</w:t>
            </w:r>
          </w:p>
          <w:p w14:paraId="286856B7" w14:textId="77777777" w:rsidR="00933C25" w:rsidRPr="00E16672" w:rsidRDefault="00933C25" w:rsidP="00141B39">
            <w:pPr>
              <w:ind w:left="175" w:right="138" w:firstLine="7"/>
              <w:jc w:val="center"/>
              <w:rPr>
                <w:rFonts w:ascii="Times New Roman" w:hAnsi="Times New Roman"/>
                <w:b/>
                <w:caps/>
                <w:sz w:val="16"/>
                <w:szCs w:val="16"/>
              </w:rPr>
            </w:pPr>
            <w:r w:rsidRPr="00E16672">
              <w:rPr>
                <w:rFonts w:ascii="Times New Roman" w:hAnsi="Times New Roman"/>
                <w:b/>
                <w:caps/>
                <w:sz w:val="16"/>
                <w:szCs w:val="16"/>
              </w:rPr>
              <w:t>до інформації з обмеженим доступоМ</w:t>
            </w:r>
          </w:p>
          <w:p w14:paraId="45D37A0E" w14:textId="77777777" w:rsidR="00933C25" w:rsidRPr="00E16672" w:rsidRDefault="00933C25" w:rsidP="00141B39">
            <w:pPr>
              <w:ind w:left="175" w:right="138" w:firstLine="7"/>
              <w:jc w:val="center"/>
              <w:rPr>
                <w:rFonts w:ascii="Times New Roman" w:hAnsi="Times New Roman"/>
                <w:b/>
                <w:caps/>
                <w:sz w:val="16"/>
                <w:szCs w:val="16"/>
              </w:rPr>
            </w:pPr>
          </w:p>
          <w:p w14:paraId="5CFE412D" w14:textId="77777777" w:rsidR="00933C25" w:rsidRPr="00E16672" w:rsidRDefault="00933C25" w:rsidP="00022F5F">
            <w:pPr>
              <w:ind w:left="175" w:right="138" w:firstLine="7"/>
              <w:jc w:val="left"/>
              <w:rPr>
                <w:rFonts w:ascii="Times New Roman" w:hAnsi="Times New Roman"/>
                <w:sz w:val="16"/>
                <w:szCs w:val="16"/>
              </w:rPr>
            </w:pPr>
            <w:r w:rsidRPr="00E16672">
              <w:rPr>
                <w:rFonts w:ascii="Times New Roman" w:hAnsi="Times New Roman"/>
                <w:sz w:val="16"/>
                <w:szCs w:val="16"/>
              </w:rPr>
              <w:t xml:space="preserve">7.1. </w:t>
            </w:r>
            <w:proofErr w:type="spellStart"/>
            <w:r w:rsidRPr="00E16672">
              <w:rPr>
                <w:rFonts w:ascii="Times New Roman" w:hAnsi="Times New Roman"/>
                <w:sz w:val="16"/>
                <w:szCs w:val="16"/>
              </w:rPr>
              <w:t>Інформація</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що</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міститься</w:t>
            </w:r>
            <w:proofErr w:type="spellEnd"/>
            <w:r w:rsidRPr="00E16672">
              <w:rPr>
                <w:rFonts w:ascii="Times New Roman" w:hAnsi="Times New Roman"/>
                <w:sz w:val="16"/>
                <w:szCs w:val="16"/>
              </w:rPr>
              <w:t xml:space="preserve"> у </w:t>
            </w:r>
            <w:proofErr w:type="spellStart"/>
            <w:r w:rsidRPr="00E16672">
              <w:rPr>
                <w:rFonts w:ascii="Times New Roman" w:hAnsi="Times New Roman"/>
                <w:sz w:val="16"/>
                <w:szCs w:val="16"/>
              </w:rPr>
              <w:t>системі</w:t>
            </w:r>
            <w:proofErr w:type="spellEnd"/>
            <w:r w:rsidRPr="00E16672">
              <w:rPr>
                <w:rFonts w:ascii="Times New Roman" w:hAnsi="Times New Roman"/>
                <w:sz w:val="16"/>
                <w:szCs w:val="16"/>
              </w:rPr>
              <w:t xml:space="preserve"> депозитарного </w:t>
            </w:r>
            <w:proofErr w:type="spellStart"/>
            <w:r w:rsidRPr="00E16672">
              <w:rPr>
                <w:rFonts w:ascii="Times New Roman" w:hAnsi="Times New Roman"/>
                <w:sz w:val="16"/>
                <w:szCs w:val="16"/>
              </w:rPr>
              <w:t>обліку</w:t>
            </w:r>
            <w:proofErr w:type="spellEnd"/>
            <w:r w:rsidRPr="00E16672">
              <w:rPr>
                <w:rFonts w:ascii="Times New Roman" w:hAnsi="Times New Roman"/>
                <w:sz w:val="16"/>
                <w:szCs w:val="16"/>
              </w:rPr>
              <w:t xml:space="preserve">, є </w:t>
            </w:r>
            <w:proofErr w:type="spellStart"/>
            <w:r w:rsidRPr="00E16672">
              <w:rPr>
                <w:rFonts w:ascii="Times New Roman" w:hAnsi="Times New Roman"/>
                <w:sz w:val="16"/>
                <w:szCs w:val="16"/>
              </w:rPr>
              <w:t>інформацією</w:t>
            </w:r>
            <w:proofErr w:type="spellEnd"/>
            <w:r w:rsidRPr="00E16672">
              <w:rPr>
                <w:rFonts w:ascii="Times New Roman" w:hAnsi="Times New Roman"/>
                <w:sz w:val="16"/>
                <w:szCs w:val="16"/>
              </w:rPr>
              <w:t xml:space="preserve"> з </w:t>
            </w:r>
            <w:proofErr w:type="spellStart"/>
            <w:r w:rsidRPr="00E16672">
              <w:rPr>
                <w:rFonts w:ascii="Times New Roman" w:hAnsi="Times New Roman"/>
                <w:sz w:val="16"/>
                <w:szCs w:val="16"/>
              </w:rPr>
              <w:t>обмеженим</w:t>
            </w:r>
            <w:proofErr w:type="spellEnd"/>
            <w:r w:rsidRPr="00E16672">
              <w:rPr>
                <w:rFonts w:ascii="Times New Roman" w:hAnsi="Times New Roman"/>
                <w:sz w:val="16"/>
                <w:szCs w:val="16"/>
              </w:rPr>
              <w:t xml:space="preserve"> доступом, </w:t>
            </w:r>
            <w:proofErr w:type="spellStart"/>
            <w:r w:rsidRPr="00E16672">
              <w:rPr>
                <w:rFonts w:ascii="Times New Roman" w:hAnsi="Times New Roman"/>
                <w:sz w:val="16"/>
                <w:szCs w:val="16"/>
              </w:rPr>
              <w:t>охороняється</w:t>
            </w:r>
            <w:proofErr w:type="spellEnd"/>
            <w:r w:rsidRPr="00E16672">
              <w:rPr>
                <w:rFonts w:ascii="Times New Roman" w:hAnsi="Times New Roman"/>
                <w:sz w:val="16"/>
                <w:szCs w:val="16"/>
              </w:rPr>
              <w:t xml:space="preserve"> законом та не </w:t>
            </w:r>
            <w:proofErr w:type="spellStart"/>
            <w:r w:rsidRPr="00E16672">
              <w:rPr>
                <w:rFonts w:ascii="Times New Roman" w:hAnsi="Times New Roman"/>
                <w:sz w:val="16"/>
                <w:szCs w:val="16"/>
              </w:rPr>
              <w:t>підлягає</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розголошенню</w:t>
            </w:r>
            <w:proofErr w:type="spellEnd"/>
            <w:r w:rsidRPr="00E16672">
              <w:rPr>
                <w:rFonts w:ascii="Times New Roman" w:hAnsi="Times New Roman"/>
                <w:sz w:val="16"/>
                <w:szCs w:val="16"/>
              </w:rPr>
              <w:t xml:space="preserve"> Депозитарною </w:t>
            </w:r>
            <w:proofErr w:type="spellStart"/>
            <w:r w:rsidRPr="00E16672">
              <w:rPr>
                <w:rFonts w:ascii="Times New Roman" w:hAnsi="Times New Roman"/>
                <w:sz w:val="16"/>
                <w:szCs w:val="16"/>
              </w:rPr>
              <w:t>установою</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крім</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випадків</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передбачених</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статтею</w:t>
            </w:r>
            <w:proofErr w:type="spellEnd"/>
            <w:r w:rsidRPr="00E16672">
              <w:rPr>
                <w:rFonts w:ascii="Times New Roman" w:hAnsi="Times New Roman"/>
                <w:sz w:val="16"/>
                <w:szCs w:val="16"/>
              </w:rPr>
              <w:t xml:space="preserve"> 25 Закону </w:t>
            </w:r>
            <w:proofErr w:type="spellStart"/>
            <w:r w:rsidRPr="00E16672">
              <w:rPr>
                <w:rFonts w:ascii="Times New Roman" w:hAnsi="Times New Roman"/>
                <w:sz w:val="16"/>
                <w:szCs w:val="16"/>
              </w:rPr>
              <w:t>України</w:t>
            </w:r>
            <w:proofErr w:type="spellEnd"/>
            <w:r w:rsidRPr="00E16672">
              <w:rPr>
                <w:rFonts w:ascii="Times New Roman" w:hAnsi="Times New Roman"/>
                <w:sz w:val="16"/>
                <w:szCs w:val="16"/>
              </w:rPr>
              <w:t xml:space="preserve"> </w:t>
            </w:r>
            <w:r w:rsidR="00022F5F">
              <w:rPr>
                <w:rFonts w:ascii="Times New Roman" w:hAnsi="Times New Roman"/>
                <w:sz w:val="16"/>
                <w:szCs w:val="16"/>
              </w:rPr>
              <w:t>"</w:t>
            </w:r>
            <w:r w:rsidRPr="00E16672">
              <w:rPr>
                <w:rFonts w:ascii="Times New Roman" w:hAnsi="Times New Roman"/>
                <w:sz w:val="16"/>
                <w:szCs w:val="16"/>
              </w:rPr>
              <w:t xml:space="preserve">Про </w:t>
            </w:r>
            <w:proofErr w:type="spellStart"/>
            <w:r w:rsidRPr="00E16672">
              <w:rPr>
                <w:rFonts w:ascii="Times New Roman" w:hAnsi="Times New Roman"/>
                <w:sz w:val="16"/>
                <w:szCs w:val="16"/>
              </w:rPr>
              <w:t>депозитарну</w:t>
            </w:r>
            <w:proofErr w:type="spellEnd"/>
            <w:r w:rsidRPr="00E16672">
              <w:rPr>
                <w:rFonts w:ascii="Times New Roman" w:hAnsi="Times New Roman"/>
                <w:sz w:val="16"/>
                <w:szCs w:val="16"/>
              </w:rPr>
              <w:t xml:space="preserve"> систему </w:t>
            </w:r>
            <w:proofErr w:type="spellStart"/>
            <w:r w:rsidRPr="00E16672">
              <w:rPr>
                <w:rFonts w:ascii="Times New Roman" w:hAnsi="Times New Roman"/>
                <w:sz w:val="16"/>
                <w:szCs w:val="16"/>
              </w:rPr>
              <w:t>України</w:t>
            </w:r>
            <w:proofErr w:type="spellEnd"/>
            <w:r w:rsidR="00022F5F">
              <w:rPr>
                <w:rFonts w:ascii="Times New Roman" w:hAnsi="Times New Roman"/>
                <w:sz w:val="16"/>
                <w:szCs w:val="16"/>
              </w:rPr>
              <w:t>"</w:t>
            </w:r>
            <w:r w:rsidRPr="00E16672">
              <w:rPr>
                <w:rFonts w:ascii="Times New Roman" w:hAnsi="Times New Roman"/>
                <w:sz w:val="16"/>
                <w:szCs w:val="16"/>
              </w:rPr>
              <w:t>.</w:t>
            </w:r>
          </w:p>
          <w:p w14:paraId="2117503D" w14:textId="77777777" w:rsidR="00933C25" w:rsidRPr="00E16672" w:rsidRDefault="00933C25" w:rsidP="00141B39">
            <w:pPr>
              <w:ind w:left="175" w:right="138" w:firstLine="7"/>
              <w:rPr>
                <w:rFonts w:ascii="Times New Roman" w:hAnsi="Times New Roman"/>
                <w:sz w:val="16"/>
                <w:szCs w:val="16"/>
              </w:rPr>
            </w:pPr>
          </w:p>
        </w:tc>
        <w:tc>
          <w:tcPr>
            <w:tcW w:w="5494" w:type="dxa"/>
            <w:gridSpan w:val="7"/>
            <w:shd w:val="clear" w:color="auto" w:fill="auto"/>
          </w:tcPr>
          <w:p w14:paraId="166DF56D" w14:textId="77777777" w:rsidR="00933C25" w:rsidRPr="00E16672" w:rsidRDefault="00933C25" w:rsidP="00141B39">
            <w:pPr>
              <w:tabs>
                <w:tab w:val="left" w:pos="287"/>
              </w:tabs>
              <w:snapToGrid w:val="0"/>
              <w:ind w:left="145" w:right="100" w:firstLine="7"/>
              <w:jc w:val="center"/>
              <w:rPr>
                <w:rFonts w:ascii="Times New Roman" w:hAnsi="Times New Roman"/>
              </w:rPr>
            </w:pPr>
          </w:p>
          <w:p w14:paraId="136D1218" w14:textId="77777777" w:rsidR="00933C25" w:rsidRPr="00E16672" w:rsidRDefault="00933C25" w:rsidP="00141B39">
            <w:pPr>
              <w:tabs>
                <w:tab w:val="left" w:pos="287"/>
              </w:tabs>
              <w:snapToGrid w:val="0"/>
              <w:ind w:left="145" w:right="100" w:firstLine="7"/>
              <w:jc w:val="center"/>
              <w:rPr>
                <w:rFonts w:ascii="Times New Roman" w:hAnsi="Times New Roman"/>
                <w:b/>
                <w:caps/>
                <w:sz w:val="16"/>
                <w:szCs w:val="16"/>
                <w:lang w:val="en-GB"/>
              </w:rPr>
            </w:pPr>
            <w:r w:rsidRPr="00E16672">
              <w:rPr>
                <w:rFonts w:ascii="Times New Roman" w:hAnsi="Times New Roman"/>
                <w:b/>
                <w:caps/>
                <w:sz w:val="16"/>
                <w:szCs w:val="16"/>
                <w:lang w:val="en-GB"/>
              </w:rPr>
              <w:t>7. DISCLOSURE PROCEDURE THAT IS</w:t>
            </w:r>
            <w:r w:rsidRPr="00E16672">
              <w:rPr>
                <w:rFonts w:ascii="Times New Roman" w:hAnsi="Times New Roman"/>
                <w:b/>
                <w:caps/>
                <w:sz w:val="16"/>
                <w:szCs w:val="16"/>
                <w:lang w:val="en-US"/>
              </w:rPr>
              <w:t>an</w:t>
            </w:r>
            <w:r w:rsidRPr="00E16672">
              <w:rPr>
                <w:rFonts w:ascii="Times New Roman" w:hAnsi="Times New Roman"/>
                <w:b/>
                <w:caps/>
                <w:sz w:val="16"/>
                <w:szCs w:val="16"/>
                <w:lang w:val="en-GB"/>
              </w:rPr>
              <w:t xml:space="preserve"> information with limited access</w:t>
            </w:r>
          </w:p>
          <w:p w14:paraId="5A5BDEBC" w14:textId="77777777" w:rsidR="00933C25" w:rsidRPr="00E16672" w:rsidRDefault="00933C25" w:rsidP="00141B39">
            <w:pPr>
              <w:tabs>
                <w:tab w:val="left" w:pos="287"/>
              </w:tabs>
              <w:ind w:left="145" w:right="100" w:firstLine="7"/>
              <w:jc w:val="center"/>
              <w:rPr>
                <w:rFonts w:ascii="Times New Roman" w:hAnsi="Times New Roman"/>
                <w:b/>
                <w:caps/>
                <w:sz w:val="16"/>
                <w:szCs w:val="16"/>
                <w:lang w:val="en-US"/>
              </w:rPr>
            </w:pPr>
          </w:p>
          <w:p w14:paraId="117CBF19" w14:textId="77777777" w:rsidR="00933C25" w:rsidRPr="00E16672" w:rsidRDefault="00933C25" w:rsidP="00141B39">
            <w:pPr>
              <w:tabs>
                <w:tab w:val="left" w:pos="287"/>
              </w:tabs>
              <w:ind w:left="145" w:right="100" w:firstLine="7"/>
              <w:rPr>
                <w:rFonts w:ascii="Times New Roman" w:hAnsi="Times New Roman"/>
                <w:sz w:val="16"/>
                <w:szCs w:val="16"/>
                <w:lang w:val="en-GB"/>
              </w:rPr>
            </w:pPr>
            <w:r w:rsidRPr="00E16672">
              <w:rPr>
                <w:rFonts w:ascii="Times New Roman" w:hAnsi="Times New Roman"/>
                <w:sz w:val="16"/>
                <w:szCs w:val="16"/>
                <w:lang w:val="en-GB"/>
              </w:rPr>
              <w:t>7.1. The information contained in the depository account</w:t>
            </w:r>
            <w:r w:rsidRPr="00E16672">
              <w:rPr>
                <w:rFonts w:ascii="Times New Roman" w:hAnsi="Times New Roman"/>
                <w:sz w:val="16"/>
                <w:szCs w:val="16"/>
                <w:lang w:val="en-US"/>
              </w:rPr>
              <w:t xml:space="preserve"> system</w:t>
            </w:r>
            <w:r w:rsidRPr="00E16672">
              <w:rPr>
                <w:rFonts w:ascii="Times New Roman" w:hAnsi="Times New Roman"/>
                <w:sz w:val="16"/>
                <w:szCs w:val="16"/>
                <w:lang w:val="en-GB"/>
              </w:rPr>
              <w:t xml:space="preserve"> is </w:t>
            </w:r>
            <w:r w:rsidRPr="00E16672">
              <w:rPr>
                <w:rFonts w:ascii="Times New Roman" w:hAnsi="Times New Roman"/>
                <w:sz w:val="16"/>
                <w:szCs w:val="16"/>
                <w:lang w:val="en-US"/>
              </w:rPr>
              <w:t>an</w:t>
            </w:r>
            <w:r w:rsidRPr="00E16672">
              <w:rPr>
                <w:rFonts w:ascii="Times New Roman" w:hAnsi="Times New Roman"/>
                <w:sz w:val="16"/>
                <w:szCs w:val="16"/>
                <w:lang w:val="en-GB"/>
              </w:rPr>
              <w:t xml:space="preserve"> information</w:t>
            </w:r>
            <w:r w:rsidRPr="00E16672">
              <w:rPr>
                <w:rFonts w:ascii="Times New Roman" w:hAnsi="Times New Roman"/>
                <w:sz w:val="16"/>
                <w:szCs w:val="16"/>
                <w:lang w:val="en-US"/>
              </w:rPr>
              <w:t xml:space="preserve"> with limited access</w:t>
            </w:r>
            <w:r w:rsidRPr="00E16672">
              <w:rPr>
                <w:rFonts w:ascii="Times New Roman" w:hAnsi="Times New Roman"/>
                <w:sz w:val="16"/>
                <w:szCs w:val="16"/>
                <w:lang w:val="en-GB"/>
              </w:rPr>
              <w:t xml:space="preserve">, protected by law, and will not be divulged by the </w:t>
            </w:r>
            <w:r w:rsidRPr="00E16672">
              <w:rPr>
                <w:rFonts w:ascii="Times New Roman" w:hAnsi="Times New Roman"/>
                <w:sz w:val="16"/>
                <w:szCs w:val="16"/>
                <w:lang w:val="en-US"/>
              </w:rPr>
              <w:t>D</w:t>
            </w:r>
            <w:proofErr w:type="spellStart"/>
            <w:r w:rsidRPr="00E16672">
              <w:rPr>
                <w:rFonts w:ascii="Times New Roman" w:hAnsi="Times New Roman"/>
                <w:sz w:val="16"/>
                <w:szCs w:val="16"/>
                <w:lang w:val="en-GB"/>
              </w:rPr>
              <w:t>epository</w:t>
            </w:r>
            <w:proofErr w:type="spellEnd"/>
            <w:r w:rsidRPr="00E16672">
              <w:rPr>
                <w:rFonts w:ascii="Times New Roman" w:hAnsi="Times New Roman"/>
                <w:sz w:val="16"/>
                <w:szCs w:val="16"/>
                <w:lang w:val="en-GB"/>
              </w:rPr>
              <w:t xml:space="preserve"> institution, except as provided in Article 25 of the Law of Ukraine "On the Depository System of Ukraine".</w:t>
            </w:r>
          </w:p>
        </w:tc>
      </w:tr>
      <w:tr w:rsidR="00933C25" w:rsidRPr="00F23413" w14:paraId="6897F884" w14:textId="77777777" w:rsidTr="00D77858">
        <w:tblPrEx>
          <w:tblCellMar>
            <w:left w:w="0" w:type="dxa"/>
            <w:right w:w="0" w:type="dxa"/>
          </w:tblCellMar>
        </w:tblPrEx>
        <w:trPr>
          <w:trHeight w:val="192"/>
        </w:trPr>
        <w:tc>
          <w:tcPr>
            <w:tcW w:w="5696" w:type="dxa"/>
            <w:gridSpan w:val="6"/>
            <w:shd w:val="clear" w:color="auto" w:fill="auto"/>
          </w:tcPr>
          <w:p w14:paraId="348131B1" w14:textId="77777777" w:rsidR="00933C25" w:rsidRPr="00E16672" w:rsidRDefault="00933C25" w:rsidP="00141B39">
            <w:pPr>
              <w:snapToGrid w:val="0"/>
              <w:ind w:left="175" w:right="138" w:firstLine="7"/>
              <w:rPr>
                <w:rFonts w:ascii="Times New Roman" w:hAnsi="Times New Roman"/>
                <w:sz w:val="16"/>
                <w:szCs w:val="16"/>
              </w:rPr>
            </w:pPr>
            <w:r w:rsidRPr="00E16672">
              <w:rPr>
                <w:rFonts w:ascii="Times New Roman" w:hAnsi="Times New Roman"/>
                <w:sz w:val="16"/>
                <w:szCs w:val="16"/>
              </w:rPr>
              <w:t xml:space="preserve">7.2. </w:t>
            </w:r>
            <w:proofErr w:type="spellStart"/>
            <w:r w:rsidRPr="00E16672">
              <w:rPr>
                <w:rFonts w:ascii="Times New Roman" w:hAnsi="Times New Roman"/>
                <w:sz w:val="16"/>
                <w:szCs w:val="16"/>
              </w:rPr>
              <w:t>Інформація</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що</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міститься</w:t>
            </w:r>
            <w:proofErr w:type="spellEnd"/>
            <w:r w:rsidRPr="00E16672">
              <w:rPr>
                <w:rFonts w:ascii="Times New Roman" w:hAnsi="Times New Roman"/>
                <w:sz w:val="16"/>
                <w:szCs w:val="16"/>
              </w:rPr>
              <w:t xml:space="preserve"> у </w:t>
            </w:r>
            <w:proofErr w:type="spellStart"/>
            <w:r w:rsidRPr="00E16672">
              <w:rPr>
                <w:rFonts w:ascii="Times New Roman" w:hAnsi="Times New Roman"/>
                <w:sz w:val="16"/>
                <w:szCs w:val="16"/>
              </w:rPr>
              <w:t>системі</w:t>
            </w:r>
            <w:proofErr w:type="spellEnd"/>
            <w:r w:rsidRPr="00E16672">
              <w:rPr>
                <w:rFonts w:ascii="Times New Roman" w:hAnsi="Times New Roman"/>
                <w:sz w:val="16"/>
                <w:szCs w:val="16"/>
              </w:rPr>
              <w:t xml:space="preserve"> депозитарного </w:t>
            </w:r>
            <w:proofErr w:type="spellStart"/>
            <w:r w:rsidRPr="00E16672">
              <w:rPr>
                <w:rFonts w:ascii="Times New Roman" w:hAnsi="Times New Roman"/>
                <w:sz w:val="16"/>
                <w:szCs w:val="16"/>
              </w:rPr>
              <w:t>обліку</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надається</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власнику</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інформації</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або</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його</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представникові</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відповідно</w:t>
            </w:r>
            <w:proofErr w:type="spellEnd"/>
            <w:r w:rsidRPr="00E16672">
              <w:rPr>
                <w:rFonts w:ascii="Times New Roman" w:hAnsi="Times New Roman"/>
                <w:sz w:val="16"/>
                <w:szCs w:val="16"/>
              </w:rPr>
              <w:t xml:space="preserve"> до умов Договору, </w:t>
            </w:r>
            <w:proofErr w:type="spellStart"/>
            <w:r w:rsidRPr="00E16672">
              <w:rPr>
                <w:rFonts w:ascii="Times New Roman" w:hAnsi="Times New Roman"/>
                <w:sz w:val="16"/>
                <w:szCs w:val="16"/>
              </w:rPr>
              <w:t>або</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іншим</w:t>
            </w:r>
            <w:proofErr w:type="spellEnd"/>
            <w:r w:rsidRPr="00E16672">
              <w:rPr>
                <w:rFonts w:ascii="Times New Roman" w:hAnsi="Times New Roman"/>
                <w:sz w:val="16"/>
                <w:szCs w:val="16"/>
              </w:rPr>
              <w:t xml:space="preserve"> особам у </w:t>
            </w:r>
            <w:proofErr w:type="spellStart"/>
            <w:r w:rsidRPr="00E16672">
              <w:rPr>
                <w:rFonts w:ascii="Times New Roman" w:hAnsi="Times New Roman"/>
                <w:sz w:val="16"/>
                <w:szCs w:val="16"/>
              </w:rPr>
              <w:t>передбачених</w:t>
            </w:r>
            <w:proofErr w:type="spellEnd"/>
            <w:r w:rsidRPr="00E16672">
              <w:rPr>
                <w:rFonts w:ascii="Times New Roman" w:hAnsi="Times New Roman"/>
                <w:sz w:val="16"/>
                <w:szCs w:val="16"/>
              </w:rPr>
              <w:t xml:space="preserve"> законом </w:t>
            </w:r>
            <w:proofErr w:type="spellStart"/>
            <w:r w:rsidRPr="00E16672">
              <w:rPr>
                <w:rFonts w:ascii="Times New Roman" w:hAnsi="Times New Roman"/>
                <w:sz w:val="16"/>
                <w:szCs w:val="16"/>
              </w:rPr>
              <w:t>випадках</w:t>
            </w:r>
            <w:proofErr w:type="spellEnd"/>
            <w:r w:rsidRPr="00E16672">
              <w:rPr>
                <w:rFonts w:ascii="Times New Roman" w:hAnsi="Times New Roman"/>
                <w:sz w:val="16"/>
                <w:szCs w:val="16"/>
              </w:rPr>
              <w:t>.</w:t>
            </w:r>
          </w:p>
          <w:p w14:paraId="5B5C33BB" w14:textId="77777777" w:rsidR="00933C25" w:rsidRPr="00E16672" w:rsidRDefault="00933C25" w:rsidP="00141B39">
            <w:pPr>
              <w:snapToGrid w:val="0"/>
              <w:ind w:left="175" w:right="138" w:firstLine="7"/>
              <w:rPr>
                <w:rFonts w:ascii="Times New Roman" w:hAnsi="Times New Roman"/>
                <w:sz w:val="16"/>
                <w:szCs w:val="16"/>
              </w:rPr>
            </w:pPr>
          </w:p>
        </w:tc>
        <w:tc>
          <w:tcPr>
            <w:tcW w:w="5494" w:type="dxa"/>
            <w:gridSpan w:val="7"/>
            <w:shd w:val="clear" w:color="auto" w:fill="auto"/>
          </w:tcPr>
          <w:p w14:paraId="7B39845E" w14:textId="77777777" w:rsidR="00933C25" w:rsidRPr="00E16672" w:rsidRDefault="00933C25" w:rsidP="00141B39">
            <w:pPr>
              <w:tabs>
                <w:tab w:val="left" w:pos="287"/>
              </w:tabs>
              <w:snapToGrid w:val="0"/>
              <w:ind w:left="145" w:right="100" w:firstLine="7"/>
              <w:rPr>
                <w:rFonts w:ascii="Times New Roman" w:hAnsi="Times New Roman"/>
                <w:sz w:val="16"/>
                <w:szCs w:val="16"/>
                <w:lang w:val="en-GB"/>
              </w:rPr>
            </w:pPr>
            <w:r w:rsidRPr="00E16672">
              <w:rPr>
                <w:rFonts w:ascii="Times New Roman" w:hAnsi="Times New Roman"/>
                <w:sz w:val="16"/>
                <w:szCs w:val="16"/>
                <w:lang w:val="en-GB"/>
              </w:rPr>
              <w:t>7.2. The information contained in the depository account</w:t>
            </w:r>
            <w:r w:rsidRPr="00E16672">
              <w:rPr>
                <w:rFonts w:ascii="Times New Roman" w:hAnsi="Times New Roman"/>
                <w:sz w:val="16"/>
                <w:szCs w:val="16"/>
                <w:lang w:val="en-US"/>
              </w:rPr>
              <w:t xml:space="preserve"> system</w:t>
            </w:r>
            <w:r w:rsidRPr="00E16672">
              <w:rPr>
                <w:rFonts w:ascii="Times New Roman" w:hAnsi="Times New Roman"/>
                <w:sz w:val="16"/>
                <w:szCs w:val="16"/>
                <w:lang w:val="en-GB"/>
              </w:rPr>
              <w:t xml:space="preserve"> </w:t>
            </w:r>
            <w:r w:rsidRPr="00E16672">
              <w:rPr>
                <w:rFonts w:ascii="Times New Roman" w:hAnsi="Times New Roman"/>
                <w:sz w:val="16"/>
                <w:szCs w:val="16"/>
                <w:lang w:val="en-US"/>
              </w:rPr>
              <w:t xml:space="preserve">  is </w:t>
            </w:r>
            <w:r w:rsidRPr="00E16672">
              <w:rPr>
                <w:rFonts w:ascii="Times New Roman" w:hAnsi="Times New Roman"/>
                <w:sz w:val="16"/>
                <w:szCs w:val="16"/>
                <w:lang w:val="en-GB"/>
              </w:rPr>
              <w:t>provided by the owner or his representative in accordance with the terms of the Agreement, or to other persons in accordance with the law.</w:t>
            </w:r>
          </w:p>
        </w:tc>
      </w:tr>
      <w:tr w:rsidR="00933C25" w:rsidRPr="00F23413" w14:paraId="774B2A3A" w14:textId="77777777" w:rsidTr="00D77858">
        <w:tblPrEx>
          <w:tblCellMar>
            <w:left w:w="0" w:type="dxa"/>
            <w:right w:w="0" w:type="dxa"/>
          </w:tblCellMar>
        </w:tblPrEx>
        <w:trPr>
          <w:trHeight w:val="192"/>
        </w:trPr>
        <w:tc>
          <w:tcPr>
            <w:tcW w:w="5696" w:type="dxa"/>
            <w:gridSpan w:val="6"/>
            <w:shd w:val="clear" w:color="auto" w:fill="auto"/>
          </w:tcPr>
          <w:p w14:paraId="2925CF39" w14:textId="77777777" w:rsidR="00933C25" w:rsidRPr="00E16672" w:rsidRDefault="00933C25" w:rsidP="00141B39">
            <w:pPr>
              <w:snapToGrid w:val="0"/>
              <w:ind w:left="175" w:right="138" w:firstLine="7"/>
              <w:rPr>
                <w:rFonts w:ascii="Times New Roman" w:hAnsi="Times New Roman"/>
                <w:sz w:val="16"/>
                <w:szCs w:val="16"/>
              </w:rPr>
            </w:pPr>
            <w:r w:rsidRPr="00E16672">
              <w:rPr>
                <w:rFonts w:ascii="Times New Roman" w:hAnsi="Times New Roman"/>
                <w:sz w:val="16"/>
                <w:szCs w:val="16"/>
              </w:rPr>
              <w:t xml:space="preserve">7.3. </w:t>
            </w:r>
            <w:proofErr w:type="spellStart"/>
            <w:r w:rsidRPr="00E16672">
              <w:rPr>
                <w:rFonts w:ascii="Times New Roman" w:hAnsi="Times New Roman"/>
                <w:sz w:val="16"/>
                <w:szCs w:val="16"/>
              </w:rPr>
              <w:t>Депозитарна</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установа</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забезпечує</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нерозголошення</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інформації</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що</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міститься</w:t>
            </w:r>
            <w:proofErr w:type="spellEnd"/>
            <w:r w:rsidRPr="00E16672">
              <w:rPr>
                <w:rFonts w:ascii="Times New Roman" w:hAnsi="Times New Roman"/>
                <w:sz w:val="16"/>
                <w:szCs w:val="16"/>
              </w:rPr>
              <w:t xml:space="preserve"> у </w:t>
            </w:r>
            <w:proofErr w:type="spellStart"/>
            <w:r w:rsidRPr="00E16672">
              <w:rPr>
                <w:rFonts w:ascii="Times New Roman" w:hAnsi="Times New Roman"/>
                <w:sz w:val="16"/>
                <w:szCs w:val="16"/>
              </w:rPr>
              <w:t>системі</w:t>
            </w:r>
            <w:proofErr w:type="spellEnd"/>
            <w:r w:rsidRPr="00E16672">
              <w:rPr>
                <w:rFonts w:ascii="Times New Roman" w:hAnsi="Times New Roman"/>
                <w:sz w:val="16"/>
                <w:szCs w:val="16"/>
              </w:rPr>
              <w:t xml:space="preserve"> депозитарного </w:t>
            </w:r>
            <w:proofErr w:type="spellStart"/>
            <w:r w:rsidRPr="00E16672">
              <w:rPr>
                <w:rFonts w:ascii="Times New Roman" w:hAnsi="Times New Roman"/>
                <w:sz w:val="16"/>
                <w:szCs w:val="16"/>
              </w:rPr>
              <w:t>обліку</w:t>
            </w:r>
            <w:proofErr w:type="spellEnd"/>
            <w:r w:rsidRPr="00E16672">
              <w:rPr>
                <w:rFonts w:ascii="Times New Roman" w:hAnsi="Times New Roman"/>
                <w:sz w:val="16"/>
                <w:szCs w:val="16"/>
              </w:rPr>
              <w:t>, шляхом:</w:t>
            </w:r>
          </w:p>
          <w:p w14:paraId="2A8B8D6F" w14:textId="77777777" w:rsidR="00933C25" w:rsidRPr="00E16672" w:rsidRDefault="00933C25" w:rsidP="00141B39">
            <w:pPr>
              <w:ind w:left="175" w:right="138" w:firstLine="7"/>
              <w:rPr>
                <w:rFonts w:ascii="Times New Roman" w:hAnsi="Times New Roman"/>
                <w:sz w:val="16"/>
                <w:szCs w:val="16"/>
              </w:rPr>
            </w:pPr>
            <w:r w:rsidRPr="00E16672">
              <w:rPr>
                <w:rFonts w:ascii="Times New Roman" w:hAnsi="Times New Roman"/>
                <w:sz w:val="16"/>
                <w:szCs w:val="16"/>
              </w:rPr>
              <w:t xml:space="preserve">1) </w:t>
            </w:r>
            <w:proofErr w:type="spellStart"/>
            <w:r w:rsidRPr="00E16672">
              <w:rPr>
                <w:rFonts w:ascii="Times New Roman" w:hAnsi="Times New Roman"/>
                <w:sz w:val="16"/>
                <w:szCs w:val="16"/>
              </w:rPr>
              <w:t>обмеження</w:t>
            </w:r>
            <w:proofErr w:type="spellEnd"/>
            <w:r w:rsidRPr="00E16672">
              <w:rPr>
                <w:rFonts w:ascii="Times New Roman" w:hAnsi="Times New Roman"/>
                <w:sz w:val="16"/>
                <w:szCs w:val="16"/>
              </w:rPr>
              <w:t xml:space="preserve"> кола </w:t>
            </w:r>
            <w:proofErr w:type="spellStart"/>
            <w:r w:rsidRPr="00E16672">
              <w:rPr>
                <w:rFonts w:ascii="Times New Roman" w:hAnsi="Times New Roman"/>
                <w:sz w:val="16"/>
                <w:szCs w:val="16"/>
              </w:rPr>
              <w:t>осіб</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які</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мають</w:t>
            </w:r>
            <w:proofErr w:type="spellEnd"/>
            <w:r w:rsidRPr="00E16672">
              <w:rPr>
                <w:rFonts w:ascii="Times New Roman" w:hAnsi="Times New Roman"/>
                <w:sz w:val="16"/>
                <w:szCs w:val="16"/>
              </w:rPr>
              <w:t xml:space="preserve"> доступ до </w:t>
            </w:r>
            <w:proofErr w:type="spellStart"/>
            <w:r w:rsidRPr="00E16672">
              <w:rPr>
                <w:rFonts w:ascii="Times New Roman" w:hAnsi="Times New Roman"/>
                <w:sz w:val="16"/>
                <w:szCs w:val="16"/>
              </w:rPr>
              <w:t>зазначеної</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інформації</w:t>
            </w:r>
            <w:proofErr w:type="spellEnd"/>
            <w:r w:rsidRPr="00E16672">
              <w:rPr>
                <w:rFonts w:ascii="Times New Roman" w:hAnsi="Times New Roman"/>
                <w:sz w:val="16"/>
                <w:szCs w:val="16"/>
              </w:rPr>
              <w:t>;</w:t>
            </w:r>
          </w:p>
          <w:p w14:paraId="46BD98FD" w14:textId="77777777" w:rsidR="00933C25" w:rsidRPr="00E16672" w:rsidRDefault="00933C25" w:rsidP="00141B39">
            <w:pPr>
              <w:ind w:left="175" w:right="138" w:firstLine="7"/>
              <w:rPr>
                <w:rFonts w:ascii="Times New Roman" w:hAnsi="Times New Roman"/>
                <w:sz w:val="16"/>
                <w:szCs w:val="16"/>
              </w:rPr>
            </w:pPr>
            <w:r w:rsidRPr="00E16672">
              <w:rPr>
                <w:rFonts w:ascii="Times New Roman" w:hAnsi="Times New Roman"/>
                <w:sz w:val="16"/>
                <w:szCs w:val="16"/>
              </w:rPr>
              <w:t xml:space="preserve">2) </w:t>
            </w:r>
            <w:proofErr w:type="spellStart"/>
            <w:r w:rsidRPr="00E16672">
              <w:rPr>
                <w:rFonts w:ascii="Times New Roman" w:hAnsi="Times New Roman"/>
                <w:sz w:val="16"/>
                <w:szCs w:val="16"/>
              </w:rPr>
              <w:t>організації</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спеціального</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діловодства</w:t>
            </w:r>
            <w:proofErr w:type="spellEnd"/>
            <w:r w:rsidRPr="00E16672">
              <w:rPr>
                <w:rFonts w:ascii="Times New Roman" w:hAnsi="Times New Roman"/>
                <w:sz w:val="16"/>
                <w:szCs w:val="16"/>
              </w:rPr>
              <w:t xml:space="preserve"> у </w:t>
            </w:r>
            <w:proofErr w:type="spellStart"/>
            <w:r w:rsidRPr="00E16672">
              <w:rPr>
                <w:rFonts w:ascii="Times New Roman" w:hAnsi="Times New Roman"/>
                <w:sz w:val="16"/>
                <w:szCs w:val="16"/>
              </w:rPr>
              <w:t>системі</w:t>
            </w:r>
            <w:proofErr w:type="spellEnd"/>
            <w:r w:rsidRPr="00E16672">
              <w:rPr>
                <w:rFonts w:ascii="Times New Roman" w:hAnsi="Times New Roman"/>
                <w:sz w:val="16"/>
                <w:szCs w:val="16"/>
              </w:rPr>
              <w:t xml:space="preserve"> депозитарного </w:t>
            </w:r>
            <w:proofErr w:type="spellStart"/>
            <w:r w:rsidRPr="00E16672">
              <w:rPr>
                <w:rFonts w:ascii="Times New Roman" w:hAnsi="Times New Roman"/>
                <w:sz w:val="16"/>
                <w:szCs w:val="16"/>
              </w:rPr>
              <w:t>обліку</w:t>
            </w:r>
            <w:proofErr w:type="spellEnd"/>
            <w:r w:rsidRPr="00E16672">
              <w:rPr>
                <w:rFonts w:ascii="Times New Roman" w:hAnsi="Times New Roman"/>
                <w:sz w:val="16"/>
                <w:szCs w:val="16"/>
              </w:rPr>
              <w:t>;</w:t>
            </w:r>
          </w:p>
          <w:p w14:paraId="72A30E8E" w14:textId="77777777" w:rsidR="00907FFB" w:rsidRPr="00E16672" w:rsidRDefault="00907FFB" w:rsidP="00141B39">
            <w:pPr>
              <w:ind w:left="175" w:right="138" w:firstLine="7"/>
              <w:rPr>
                <w:rFonts w:ascii="Times New Roman" w:hAnsi="Times New Roman"/>
                <w:sz w:val="16"/>
                <w:szCs w:val="16"/>
              </w:rPr>
            </w:pPr>
          </w:p>
          <w:p w14:paraId="747245F5" w14:textId="77777777" w:rsidR="00933C25" w:rsidRPr="00E16672" w:rsidRDefault="00933C25" w:rsidP="00141B39">
            <w:pPr>
              <w:ind w:left="175" w:right="138" w:firstLine="7"/>
              <w:rPr>
                <w:rFonts w:ascii="Times New Roman" w:hAnsi="Times New Roman"/>
                <w:sz w:val="16"/>
                <w:szCs w:val="16"/>
              </w:rPr>
            </w:pPr>
            <w:r w:rsidRPr="00E16672">
              <w:rPr>
                <w:rFonts w:ascii="Times New Roman" w:hAnsi="Times New Roman"/>
                <w:sz w:val="16"/>
                <w:szCs w:val="16"/>
              </w:rPr>
              <w:t xml:space="preserve">3) </w:t>
            </w:r>
            <w:proofErr w:type="spellStart"/>
            <w:r w:rsidRPr="00E16672">
              <w:rPr>
                <w:rFonts w:ascii="Times New Roman" w:hAnsi="Times New Roman"/>
                <w:sz w:val="16"/>
                <w:szCs w:val="16"/>
              </w:rPr>
              <w:t>застосування</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технічних</w:t>
            </w:r>
            <w:proofErr w:type="spellEnd"/>
            <w:r w:rsidRPr="00E16672">
              <w:rPr>
                <w:rFonts w:ascii="Times New Roman" w:hAnsi="Times New Roman"/>
                <w:sz w:val="16"/>
                <w:szCs w:val="16"/>
              </w:rPr>
              <w:t xml:space="preserve"> та </w:t>
            </w:r>
            <w:proofErr w:type="spellStart"/>
            <w:r w:rsidRPr="00E16672">
              <w:rPr>
                <w:rFonts w:ascii="Times New Roman" w:hAnsi="Times New Roman"/>
                <w:sz w:val="16"/>
                <w:szCs w:val="16"/>
              </w:rPr>
              <w:t>програмних</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засобів</w:t>
            </w:r>
            <w:proofErr w:type="spellEnd"/>
            <w:r w:rsidRPr="00E16672">
              <w:rPr>
                <w:rFonts w:ascii="Times New Roman" w:hAnsi="Times New Roman"/>
                <w:sz w:val="16"/>
                <w:szCs w:val="16"/>
              </w:rPr>
              <w:t xml:space="preserve"> для </w:t>
            </w:r>
            <w:proofErr w:type="spellStart"/>
            <w:r w:rsidRPr="00E16672">
              <w:rPr>
                <w:rFonts w:ascii="Times New Roman" w:hAnsi="Times New Roman"/>
                <w:sz w:val="16"/>
                <w:szCs w:val="16"/>
              </w:rPr>
              <w:t>запобігання</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несанкціонованому</w:t>
            </w:r>
            <w:proofErr w:type="spellEnd"/>
            <w:r w:rsidRPr="00E16672">
              <w:rPr>
                <w:rFonts w:ascii="Times New Roman" w:hAnsi="Times New Roman"/>
                <w:sz w:val="16"/>
                <w:szCs w:val="16"/>
              </w:rPr>
              <w:t xml:space="preserve"> доступу до </w:t>
            </w:r>
            <w:proofErr w:type="spellStart"/>
            <w:r w:rsidRPr="00E16672">
              <w:rPr>
                <w:rFonts w:ascii="Times New Roman" w:hAnsi="Times New Roman"/>
                <w:sz w:val="16"/>
                <w:szCs w:val="16"/>
              </w:rPr>
              <w:t>носіїв</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такої</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інформації</w:t>
            </w:r>
            <w:proofErr w:type="spellEnd"/>
            <w:r w:rsidRPr="00E16672">
              <w:rPr>
                <w:rFonts w:ascii="Times New Roman" w:hAnsi="Times New Roman"/>
                <w:sz w:val="16"/>
                <w:szCs w:val="16"/>
              </w:rPr>
              <w:t>.</w:t>
            </w:r>
          </w:p>
          <w:p w14:paraId="5EF2C941" w14:textId="77777777" w:rsidR="00933C25" w:rsidRPr="00E16672" w:rsidRDefault="00933C25" w:rsidP="00141B39">
            <w:pPr>
              <w:snapToGrid w:val="0"/>
              <w:ind w:left="175" w:right="138" w:firstLine="7"/>
              <w:rPr>
                <w:rFonts w:ascii="Times New Roman" w:hAnsi="Times New Roman"/>
                <w:sz w:val="16"/>
                <w:szCs w:val="16"/>
              </w:rPr>
            </w:pPr>
          </w:p>
        </w:tc>
        <w:tc>
          <w:tcPr>
            <w:tcW w:w="5494" w:type="dxa"/>
            <w:gridSpan w:val="7"/>
            <w:shd w:val="clear" w:color="auto" w:fill="auto"/>
          </w:tcPr>
          <w:p w14:paraId="231FA931" w14:textId="77777777" w:rsidR="00907FFB" w:rsidRPr="00E16672" w:rsidRDefault="00933C25" w:rsidP="00141B39">
            <w:pPr>
              <w:tabs>
                <w:tab w:val="left" w:pos="287"/>
              </w:tabs>
              <w:snapToGrid w:val="0"/>
              <w:ind w:left="145" w:right="100" w:firstLine="7"/>
              <w:rPr>
                <w:rFonts w:ascii="Times New Roman" w:hAnsi="Times New Roman"/>
                <w:sz w:val="16"/>
                <w:szCs w:val="16"/>
                <w:lang w:val="en-GB"/>
              </w:rPr>
            </w:pPr>
            <w:r w:rsidRPr="00E16672">
              <w:rPr>
                <w:rFonts w:ascii="Times New Roman" w:hAnsi="Times New Roman"/>
                <w:sz w:val="16"/>
                <w:szCs w:val="16"/>
                <w:lang w:val="en-GB"/>
              </w:rPr>
              <w:t>7.3. Depository institution provides nondisclosure of the information contained in the depository account</w:t>
            </w:r>
            <w:r w:rsidRPr="00E16672">
              <w:rPr>
                <w:rFonts w:ascii="Times New Roman" w:hAnsi="Times New Roman"/>
                <w:sz w:val="16"/>
                <w:szCs w:val="16"/>
                <w:lang w:val="en-US"/>
              </w:rPr>
              <w:t xml:space="preserve"> system</w:t>
            </w:r>
            <w:r w:rsidRPr="00E16672">
              <w:rPr>
                <w:rFonts w:ascii="Times New Roman" w:hAnsi="Times New Roman"/>
                <w:sz w:val="16"/>
                <w:szCs w:val="16"/>
                <w:lang w:val="en-GB"/>
              </w:rPr>
              <w:t xml:space="preserve"> by:</w:t>
            </w:r>
          </w:p>
          <w:p w14:paraId="10AA89D5" w14:textId="77777777" w:rsidR="00907FFB" w:rsidRPr="00E16672" w:rsidRDefault="00933C25" w:rsidP="00141B39">
            <w:pPr>
              <w:tabs>
                <w:tab w:val="left" w:pos="287"/>
              </w:tabs>
              <w:snapToGrid w:val="0"/>
              <w:ind w:left="145" w:right="100" w:firstLine="7"/>
              <w:rPr>
                <w:rFonts w:ascii="Times New Roman" w:hAnsi="Times New Roman"/>
                <w:sz w:val="16"/>
                <w:szCs w:val="16"/>
                <w:lang w:val="en-GB"/>
              </w:rPr>
            </w:pPr>
            <w:r w:rsidRPr="00E16672">
              <w:rPr>
                <w:rFonts w:ascii="Times New Roman" w:hAnsi="Times New Roman"/>
                <w:sz w:val="16"/>
                <w:szCs w:val="16"/>
                <w:lang w:val="en-GB"/>
              </w:rPr>
              <w:t>1) reduce the number of people who have access to such information;</w:t>
            </w:r>
          </w:p>
          <w:p w14:paraId="7976595D" w14:textId="77777777" w:rsidR="00907FFB" w:rsidRPr="00E16672" w:rsidRDefault="00933C25" w:rsidP="00141B39">
            <w:pPr>
              <w:tabs>
                <w:tab w:val="left" w:pos="287"/>
              </w:tabs>
              <w:snapToGrid w:val="0"/>
              <w:ind w:left="145" w:right="100" w:firstLine="7"/>
              <w:rPr>
                <w:rFonts w:ascii="Times New Roman" w:hAnsi="Times New Roman"/>
                <w:sz w:val="16"/>
                <w:szCs w:val="16"/>
                <w:lang w:val="en-GB"/>
              </w:rPr>
            </w:pPr>
            <w:r w:rsidRPr="00E16672">
              <w:rPr>
                <w:rFonts w:ascii="Times New Roman" w:hAnsi="Times New Roman"/>
                <w:sz w:val="16"/>
                <w:szCs w:val="16"/>
                <w:lang w:val="en-GB"/>
              </w:rPr>
              <w:t>2) the organization of a special case management in the depository account</w:t>
            </w:r>
            <w:r w:rsidRPr="00E16672">
              <w:rPr>
                <w:rFonts w:ascii="Times New Roman" w:hAnsi="Times New Roman"/>
                <w:sz w:val="16"/>
                <w:szCs w:val="16"/>
                <w:lang w:val="en-US"/>
              </w:rPr>
              <w:t xml:space="preserve"> system</w:t>
            </w:r>
            <w:r w:rsidRPr="00E16672">
              <w:rPr>
                <w:rFonts w:ascii="Times New Roman" w:hAnsi="Times New Roman"/>
                <w:sz w:val="16"/>
                <w:szCs w:val="16"/>
                <w:lang w:val="en-GB"/>
              </w:rPr>
              <w:t>;</w:t>
            </w:r>
          </w:p>
          <w:p w14:paraId="4C4F2C56" w14:textId="77777777" w:rsidR="00933C25" w:rsidRPr="00E16672" w:rsidRDefault="00933C25" w:rsidP="00141B39">
            <w:pPr>
              <w:tabs>
                <w:tab w:val="left" w:pos="287"/>
              </w:tabs>
              <w:snapToGrid w:val="0"/>
              <w:ind w:left="145" w:right="100" w:firstLine="7"/>
              <w:rPr>
                <w:rFonts w:ascii="Times New Roman" w:hAnsi="Times New Roman"/>
                <w:sz w:val="16"/>
                <w:szCs w:val="16"/>
                <w:lang w:val="en-GB"/>
              </w:rPr>
            </w:pPr>
            <w:r w:rsidRPr="00E16672">
              <w:rPr>
                <w:rFonts w:ascii="Times New Roman" w:hAnsi="Times New Roman"/>
                <w:sz w:val="16"/>
                <w:szCs w:val="16"/>
                <w:lang w:val="en-GB"/>
              </w:rPr>
              <w:t>3) the use of hardware and software tools to prevent unauthorized access to its carriers.</w:t>
            </w:r>
          </w:p>
          <w:p w14:paraId="1464BA48" w14:textId="77777777" w:rsidR="00933C25" w:rsidRPr="00E16672" w:rsidRDefault="00933C25" w:rsidP="00141B39">
            <w:pPr>
              <w:tabs>
                <w:tab w:val="left" w:pos="287"/>
              </w:tabs>
              <w:ind w:left="145" w:right="100" w:firstLine="7"/>
              <w:rPr>
                <w:rFonts w:ascii="Times New Roman" w:hAnsi="Times New Roman"/>
                <w:sz w:val="16"/>
                <w:szCs w:val="16"/>
                <w:lang w:val="en-US"/>
              </w:rPr>
            </w:pPr>
          </w:p>
        </w:tc>
      </w:tr>
      <w:tr w:rsidR="00907FFB" w:rsidRPr="00F23413" w14:paraId="5C37319E" w14:textId="77777777" w:rsidTr="00D77858">
        <w:tblPrEx>
          <w:tblCellMar>
            <w:left w:w="0" w:type="dxa"/>
            <w:right w:w="0" w:type="dxa"/>
          </w:tblCellMar>
        </w:tblPrEx>
        <w:trPr>
          <w:trHeight w:val="192"/>
        </w:trPr>
        <w:tc>
          <w:tcPr>
            <w:tcW w:w="5696" w:type="dxa"/>
            <w:gridSpan w:val="6"/>
            <w:shd w:val="clear" w:color="auto" w:fill="auto"/>
          </w:tcPr>
          <w:p w14:paraId="199FFD9E" w14:textId="77777777" w:rsidR="00907FFB" w:rsidRPr="00E16672" w:rsidRDefault="00907FFB" w:rsidP="00907FFB">
            <w:pPr>
              <w:snapToGrid w:val="0"/>
              <w:ind w:left="175" w:right="138" w:firstLine="7"/>
              <w:rPr>
                <w:rFonts w:ascii="Times New Roman" w:hAnsi="Times New Roman"/>
                <w:sz w:val="16"/>
                <w:szCs w:val="16"/>
                <w:lang w:val="en-US"/>
              </w:rPr>
            </w:pPr>
          </w:p>
        </w:tc>
        <w:tc>
          <w:tcPr>
            <w:tcW w:w="5494" w:type="dxa"/>
            <w:gridSpan w:val="7"/>
            <w:shd w:val="clear" w:color="auto" w:fill="auto"/>
          </w:tcPr>
          <w:p w14:paraId="29D14455" w14:textId="77777777" w:rsidR="00907FFB" w:rsidRPr="00E16672" w:rsidRDefault="00907FFB" w:rsidP="00907FFB">
            <w:pPr>
              <w:tabs>
                <w:tab w:val="left" w:pos="287"/>
              </w:tabs>
              <w:snapToGrid w:val="0"/>
              <w:ind w:left="145" w:right="100" w:firstLine="7"/>
              <w:rPr>
                <w:rFonts w:ascii="Times New Roman" w:hAnsi="Times New Roman"/>
                <w:sz w:val="16"/>
                <w:szCs w:val="16"/>
                <w:lang w:val="en-GB"/>
              </w:rPr>
            </w:pPr>
          </w:p>
        </w:tc>
      </w:tr>
      <w:tr w:rsidR="00933C25" w:rsidRPr="00F23413" w14:paraId="6F0E824D" w14:textId="77777777" w:rsidTr="00D77858">
        <w:tblPrEx>
          <w:tblCellMar>
            <w:left w:w="0" w:type="dxa"/>
            <w:right w:w="0" w:type="dxa"/>
          </w:tblCellMar>
        </w:tblPrEx>
        <w:trPr>
          <w:trHeight w:val="192"/>
        </w:trPr>
        <w:tc>
          <w:tcPr>
            <w:tcW w:w="5696" w:type="dxa"/>
            <w:gridSpan w:val="6"/>
            <w:shd w:val="clear" w:color="auto" w:fill="auto"/>
          </w:tcPr>
          <w:p w14:paraId="4C7751D7" w14:textId="77777777" w:rsidR="00933C25" w:rsidRPr="00E16672" w:rsidRDefault="00933C25" w:rsidP="00022F5F">
            <w:pPr>
              <w:snapToGrid w:val="0"/>
              <w:ind w:left="175" w:right="138" w:firstLine="7"/>
              <w:jc w:val="left"/>
              <w:rPr>
                <w:rFonts w:ascii="Times New Roman" w:hAnsi="Times New Roman"/>
                <w:sz w:val="16"/>
                <w:szCs w:val="16"/>
                <w:lang w:val="en-US"/>
              </w:rPr>
            </w:pPr>
            <w:r w:rsidRPr="00E16672">
              <w:rPr>
                <w:rFonts w:ascii="Times New Roman" w:hAnsi="Times New Roman"/>
                <w:sz w:val="16"/>
                <w:szCs w:val="16"/>
                <w:lang w:val="en-US"/>
              </w:rPr>
              <w:t xml:space="preserve">7.4. </w:t>
            </w:r>
            <w:proofErr w:type="spellStart"/>
            <w:r w:rsidRPr="00E16672">
              <w:rPr>
                <w:rFonts w:ascii="Times New Roman" w:hAnsi="Times New Roman"/>
                <w:sz w:val="16"/>
                <w:szCs w:val="16"/>
              </w:rPr>
              <w:t>Депозитарна</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установа</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надає</w:t>
            </w:r>
            <w:proofErr w:type="spellEnd"/>
            <w:r w:rsidRPr="00E16672">
              <w:rPr>
                <w:rFonts w:ascii="Times New Roman" w:hAnsi="Times New Roman"/>
                <w:sz w:val="16"/>
                <w:szCs w:val="16"/>
                <w:lang w:val="en-US"/>
              </w:rPr>
              <w:t xml:space="preserve"> </w:t>
            </w:r>
            <w:r w:rsidRPr="00E16672">
              <w:rPr>
                <w:rFonts w:ascii="Times New Roman" w:hAnsi="Times New Roman"/>
                <w:sz w:val="16"/>
                <w:szCs w:val="16"/>
              </w:rPr>
              <w:t>Центральному</w:t>
            </w:r>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депозитарію</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цінних</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паперів</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іншім</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учасникам</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депозитарної</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системи</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відповідно</w:t>
            </w:r>
            <w:proofErr w:type="spellEnd"/>
            <w:r w:rsidRPr="00E16672">
              <w:rPr>
                <w:rFonts w:ascii="Times New Roman" w:hAnsi="Times New Roman"/>
                <w:sz w:val="16"/>
                <w:szCs w:val="16"/>
                <w:lang w:val="en-US"/>
              </w:rPr>
              <w:t xml:space="preserve"> </w:t>
            </w:r>
            <w:r w:rsidRPr="00E16672">
              <w:rPr>
                <w:rFonts w:ascii="Times New Roman" w:hAnsi="Times New Roman"/>
                <w:sz w:val="16"/>
                <w:szCs w:val="16"/>
              </w:rPr>
              <w:t>до</w:t>
            </w:r>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вимог</w:t>
            </w:r>
            <w:proofErr w:type="spellEnd"/>
            <w:r w:rsidRPr="00E16672">
              <w:rPr>
                <w:rFonts w:ascii="Times New Roman" w:hAnsi="Times New Roman"/>
                <w:sz w:val="16"/>
                <w:szCs w:val="16"/>
                <w:lang w:val="en-US"/>
              </w:rPr>
              <w:t xml:space="preserve"> </w:t>
            </w:r>
            <w:r w:rsidRPr="00E16672">
              <w:rPr>
                <w:rFonts w:ascii="Times New Roman" w:hAnsi="Times New Roman"/>
                <w:sz w:val="16"/>
                <w:szCs w:val="16"/>
              </w:rPr>
              <w:t>чинного</w:t>
            </w:r>
            <w:r w:rsidRPr="00E16672">
              <w:rPr>
                <w:rFonts w:ascii="Times New Roman" w:hAnsi="Times New Roman"/>
                <w:sz w:val="16"/>
                <w:szCs w:val="16"/>
                <w:lang w:val="en-US"/>
              </w:rPr>
              <w:t xml:space="preserve"> </w:t>
            </w:r>
            <w:proofErr w:type="spellStart"/>
            <w:r w:rsidR="00982AE9" w:rsidRPr="00E16672">
              <w:rPr>
                <w:rFonts w:ascii="Times New Roman" w:hAnsi="Times New Roman"/>
                <w:sz w:val="16"/>
                <w:szCs w:val="16"/>
              </w:rPr>
              <w:t>законодавства</w:t>
            </w:r>
            <w:proofErr w:type="spellEnd"/>
            <w:r w:rsidRPr="00E16672">
              <w:rPr>
                <w:rFonts w:ascii="Times New Roman" w:hAnsi="Times New Roman"/>
                <w:sz w:val="16"/>
                <w:szCs w:val="16"/>
                <w:lang w:val="en-US"/>
              </w:rPr>
              <w:t>,</w:t>
            </w:r>
            <w:r w:rsidRPr="00E16672">
              <w:rPr>
                <w:rFonts w:ascii="Times New Roman" w:hAnsi="Times New Roman"/>
                <w:bCs/>
                <w:lang w:val="en-US"/>
              </w:rPr>
              <w:t xml:space="preserve">  </w:t>
            </w:r>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інформацію</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щодо</w:t>
            </w:r>
            <w:proofErr w:type="spellEnd"/>
            <w:r w:rsidRPr="00E16672">
              <w:rPr>
                <w:rFonts w:ascii="Times New Roman" w:hAnsi="Times New Roman"/>
                <w:sz w:val="16"/>
                <w:szCs w:val="16"/>
                <w:lang w:val="en-US"/>
              </w:rPr>
              <w:t xml:space="preserve"> </w:t>
            </w:r>
            <w:r w:rsidRPr="00E16672">
              <w:rPr>
                <w:rFonts w:ascii="Times New Roman" w:hAnsi="Times New Roman"/>
                <w:sz w:val="16"/>
                <w:szCs w:val="16"/>
              </w:rPr>
              <w:t>Депонента</w:t>
            </w:r>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керуючого</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рахунком</w:t>
            </w:r>
            <w:proofErr w:type="spellEnd"/>
            <w:r w:rsidRPr="00E16672">
              <w:rPr>
                <w:rFonts w:ascii="Times New Roman" w:hAnsi="Times New Roman"/>
                <w:sz w:val="16"/>
                <w:szCs w:val="16"/>
                <w:lang w:val="en-US"/>
              </w:rPr>
              <w:t xml:space="preserve"> </w:t>
            </w:r>
            <w:r w:rsidR="00C22309" w:rsidRPr="00E16672">
              <w:rPr>
                <w:rFonts w:ascii="Times New Roman" w:hAnsi="Times New Roman"/>
                <w:sz w:val="16"/>
                <w:szCs w:val="16"/>
              </w:rPr>
              <w:t>в</w:t>
            </w:r>
            <w:r w:rsidR="00C22309" w:rsidRPr="00E16672">
              <w:rPr>
                <w:rFonts w:ascii="Times New Roman" w:hAnsi="Times New Roman"/>
                <w:sz w:val="16"/>
                <w:szCs w:val="16"/>
                <w:lang w:val="en-US"/>
              </w:rPr>
              <w:t xml:space="preserve"> </w:t>
            </w:r>
            <w:proofErr w:type="spellStart"/>
            <w:r w:rsidR="00C22309" w:rsidRPr="00E16672">
              <w:rPr>
                <w:rFonts w:ascii="Times New Roman" w:hAnsi="Times New Roman"/>
                <w:sz w:val="16"/>
                <w:szCs w:val="16"/>
              </w:rPr>
              <w:t>цін</w:t>
            </w:r>
            <w:r w:rsidRPr="00E16672">
              <w:rPr>
                <w:rFonts w:ascii="Times New Roman" w:hAnsi="Times New Roman"/>
                <w:sz w:val="16"/>
                <w:szCs w:val="16"/>
              </w:rPr>
              <w:t>них</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паперах</w:t>
            </w:r>
            <w:proofErr w:type="spellEnd"/>
            <w:r w:rsidRPr="00E16672">
              <w:rPr>
                <w:rFonts w:ascii="Times New Roman" w:hAnsi="Times New Roman"/>
                <w:sz w:val="16"/>
                <w:szCs w:val="16"/>
                <w:lang w:val="en-US"/>
              </w:rPr>
              <w:t xml:space="preserve"> </w:t>
            </w:r>
            <w:r w:rsidRPr="00E16672">
              <w:rPr>
                <w:rFonts w:ascii="Times New Roman" w:hAnsi="Times New Roman"/>
                <w:sz w:val="16"/>
                <w:szCs w:val="16"/>
              </w:rPr>
              <w:t>Депонента</w:t>
            </w:r>
            <w:r w:rsidRPr="00E16672">
              <w:rPr>
                <w:rFonts w:ascii="Times New Roman" w:hAnsi="Times New Roman"/>
                <w:sz w:val="16"/>
                <w:szCs w:val="16"/>
                <w:lang w:val="en-US"/>
              </w:rPr>
              <w:t xml:space="preserve"> </w:t>
            </w:r>
            <w:r w:rsidRPr="00E16672">
              <w:rPr>
                <w:rFonts w:ascii="Times New Roman" w:hAnsi="Times New Roman"/>
                <w:sz w:val="16"/>
                <w:szCs w:val="16"/>
              </w:rPr>
              <w:t>та</w:t>
            </w:r>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цінних</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паперів</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що</w:t>
            </w:r>
            <w:proofErr w:type="spellEnd"/>
            <w:r w:rsidRPr="00E16672">
              <w:rPr>
                <w:rFonts w:ascii="Times New Roman" w:hAnsi="Times New Roman"/>
                <w:sz w:val="16"/>
                <w:szCs w:val="16"/>
                <w:lang w:val="en-US"/>
              </w:rPr>
              <w:t xml:space="preserve"> </w:t>
            </w:r>
            <w:r w:rsidRPr="00E16672">
              <w:rPr>
                <w:rFonts w:ascii="Times New Roman" w:hAnsi="Times New Roman"/>
                <w:sz w:val="16"/>
                <w:szCs w:val="16"/>
              </w:rPr>
              <w:t>належать</w:t>
            </w:r>
            <w:r w:rsidRPr="00E16672">
              <w:rPr>
                <w:rFonts w:ascii="Times New Roman" w:hAnsi="Times New Roman"/>
                <w:sz w:val="16"/>
                <w:szCs w:val="16"/>
                <w:lang w:val="en-US"/>
              </w:rPr>
              <w:t xml:space="preserve"> </w:t>
            </w:r>
            <w:r w:rsidRPr="00E16672">
              <w:rPr>
                <w:rFonts w:ascii="Times New Roman" w:hAnsi="Times New Roman"/>
                <w:sz w:val="16"/>
                <w:szCs w:val="16"/>
              </w:rPr>
              <w:t>Депоненту</w:t>
            </w:r>
            <w:r w:rsidRPr="00E16672">
              <w:rPr>
                <w:rFonts w:ascii="Times New Roman" w:hAnsi="Times New Roman"/>
                <w:sz w:val="16"/>
                <w:szCs w:val="16"/>
                <w:lang w:val="en-US"/>
              </w:rPr>
              <w:t xml:space="preserve">, </w:t>
            </w:r>
            <w:r w:rsidRPr="00E16672">
              <w:rPr>
                <w:rFonts w:ascii="Times New Roman" w:hAnsi="Times New Roman"/>
                <w:sz w:val="16"/>
                <w:szCs w:val="16"/>
              </w:rPr>
              <w:t>яка</w:t>
            </w:r>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необхідна</w:t>
            </w:r>
            <w:proofErr w:type="spellEnd"/>
            <w:r w:rsidRPr="00E16672">
              <w:rPr>
                <w:rFonts w:ascii="Times New Roman" w:hAnsi="Times New Roman"/>
                <w:sz w:val="16"/>
                <w:szCs w:val="16"/>
                <w:lang w:val="en-US"/>
              </w:rPr>
              <w:t xml:space="preserve"> </w:t>
            </w:r>
            <w:r w:rsidRPr="00E16672">
              <w:rPr>
                <w:rFonts w:ascii="Times New Roman" w:hAnsi="Times New Roman"/>
                <w:sz w:val="16"/>
                <w:szCs w:val="16"/>
              </w:rPr>
              <w:t>для</w:t>
            </w:r>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здійснення</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розрахунків</w:t>
            </w:r>
            <w:proofErr w:type="spellEnd"/>
            <w:r w:rsidRPr="00E16672">
              <w:rPr>
                <w:rFonts w:ascii="Times New Roman" w:hAnsi="Times New Roman"/>
                <w:sz w:val="16"/>
                <w:szCs w:val="16"/>
                <w:lang w:val="en-US"/>
              </w:rPr>
              <w:t xml:space="preserve"> </w:t>
            </w:r>
            <w:r w:rsidRPr="00E16672">
              <w:rPr>
                <w:rFonts w:ascii="Times New Roman" w:hAnsi="Times New Roman"/>
                <w:sz w:val="16"/>
                <w:szCs w:val="16"/>
              </w:rPr>
              <w:t>за</w:t>
            </w:r>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правочинами</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щодо</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цінних</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паперів</w:t>
            </w:r>
            <w:proofErr w:type="spellEnd"/>
            <w:r w:rsidRPr="00E16672">
              <w:rPr>
                <w:rFonts w:ascii="Times New Roman" w:hAnsi="Times New Roman"/>
                <w:sz w:val="16"/>
                <w:szCs w:val="16"/>
                <w:lang w:val="en-US"/>
              </w:rPr>
              <w:t xml:space="preserve"> </w:t>
            </w:r>
            <w:r w:rsidRPr="00E16672">
              <w:rPr>
                <w:rFonts w:ascii="Times New Roman" w:hAnsi="Times New Roman"/>
                <w:sz w:val="16"/>
                <w:szCs w:val="16"/>
              </w:rPr>
              <w:t>з</w:t>
            </w:r>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дотриманням</w:t>
            </w:r>
            <w:proofErr w:type="spellEnd"/>
            <w:r w:rsidRPr="00E16672">
              <w:rPr>
                <w:rFonts w:ascii="Times New Roman" w:hAnsi="Times New Roman"/>
                <w:sz w:val="16"/>
                <w:szCs w:val="16"/>
                <w:lang w:val="en-US"/>
              </w:rPr>
              <w:t xml:space="preserve"> </w:t>
            </w:r>
            <w:r w:rsidRPr="00E16672">
              <w:rPr>
                <w:rFonts w:ascii="Times New Roman" w:hAnsi="Times New Roman"/>
                <w:sz w:val="16"/>
                <w:szCs w:val="16"/>
              </w:rPr>
              <w:t>принципу</w:t>
            </w:r>
            <w:r w:rsidRPr="00E16672">
              <w:rPr>
                <w:rFonts w:ascii="Times New Roman" w:hAnsi="Times New Roman"/>
                <w:sz w:val="16"/>
                <w:szCs w:val="16"/>
                <w:lang w:val="en-US"/>
              </w:rPr>
              <w:t xml:space="preserve"> </w:t>
            </w:r>
            <w:r w:rsidR="00022F5F">
              <w:rPr>
                <w:rFonts w:ascii="Times New Roman" w:hAnsi="Times New Roman"/>
                <w:sz w:val="16"/>
                <w:szCs w:val="16"/>
                <w:lang w:val="en-US"/>
              </w:rPr>
              <w:t>"</w:t>
            </w:r>
            <w:r w:rsidRPr="00E16672">
              <w:rPr>
                <w:rFonts w:ascii="Times New Roman" w:hAnsi="Times New Roman"/>
                <w:sz w:val="16"/>
                <w:szCs w:val="16"/>
              </w:rPr>
              <w:t>поставка</w:t>
            </w:r>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цінних</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паперів</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проти</w:t>
            </w:r>
            <w:proofErr w:type="spellEnd"/>
            <w:r w:rsidRPr="00E16672">
              <w:rPr>
                <w:rFonts w:ascii="Times New Roman" w:hAnsi="Times New Roman"/>
                <w:sz w:val="16"/>
                <w:szCs w:val="16"/>
                <w:lang w:val="en-US"/>
              </w:rPr>
              <w:t xml:space="preserve"> </w:t>
            </w:r>
            <w:r w:rsidRPr="00E16672">
              <w:rPr>
                <w:rFonts w:ascii="Times New Roman" w:hAnsi="Times New Roman"/>
                <w:sz w:val="16"/>
                <w:szCs w:val="16"/>
              </w:rPr>
              <w:t>оплати</w:t>
            </w:r>
            <w:r w:rsidR="00022F5F">
              <w:rPr>
                <w:rFonts w:ascii="Times New Roman" w:hAnsi="Times New Roman"/>
                <w:sz w:val="16"/>
                <w:szCs w:val="16"/>
                <w:lang w:val="en-US"/>
              </w:rPr>
              <w:t>"</w:t>
            </w:r>
            <w:r w:rsidRPr="00E16672">
              <w:rPr>
                <w:rFonts w:ascii="Times New Roman" w:hAnsi="Times New Roman"/>
                <w:sz w:val="16"/>
                <w:szCs w:val="16"/>
                <w:lang w:val="en-US"/>
              </w:rPr>
              <w:t xml:space="preserve">, </w:t>
            </w:r>
            <w:r w:rsidRPr="00E16672">
              <w:rPr>
                <w:rFonts w:ascii="Times New Roman" w:hAnsi="Times New Roman"/>
                <w:sz w:val="16"/>
                <w:szCs w:val="16"/>
              </w:rPr>
              <w:t>з</w:t>
            </w:r>
            <w:r w:rsidRPr="00E16672">
              <w:rPr>
                <w:rFonts w:ascii="Times New Roman" w:hAnsi="Times New Roman"/>
                <w:sz w:val="16"/>
                <w:szCs w:val="16"/>
                <w:lang w:val="en-US"/>
              </w:rPr>
              <w:t xml:space="preserve"> </w:t>
            </w:r>
            <w:r w:rsidRPr="00E16672">
              <w:rPr>
                <w:rFonts w:ascii="Times New Roman" w:hAnsi="Times New Roman"/>
                <w:sz w:val="16"/>
                <w:szCs w:val="16"/>
              </w:rPr>
              <w:t>метою</w:t>
            </w:r>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подальшого</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надання</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такої</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інформації</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Розрахунковому</w:t>
            </w:r>
            <w:proofErr w:type="spellEnd"/>
            <w:r w:rsidRPr="00E16672">
              <w:rPr>
                <w:rFonts w:ascii="Times New Roman" w:hAnsi="Times New Roman"/>
                <w:sz w:val="16"/>
                <w:szCs w:val="16"/>
                <w:lang w:val="en-US"/>
              </w:rPr>
              <w:t xml:space="preserve"> </w:t>
            </w:r>
            <w:r w:rsidRPr="00E16672">
              <w:rPr>
                <w:rFonts w:ascii="Times New Roman" w:hAnsi="Times New Roman"/>
                <w:sz w:val="16"/>
                <w:szCs w:val="16"/>
              </w:rPr>
              <w:t>центру</w:t>
            </w:r>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чи</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кліринговій</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установі</w:t>
            </w:r>
            <w:proofErr w:type="spellEnd"/>
            <w:r w:rsidRPr="00E16672">
              <w:rPr>
                <w:rFonts w:ascii="Times New Roman" w:hAnsi="Times New Roman"/>
                <w:sz w:val="16"/>
                <w:szCs w:val="16"/>
                <w:lang w:val="en-US"/>
              </w:rPr>
              <w:t xml:space="preserve"> </w:t>
            </w:r>
            <w:r w:rsidRPr="00E16672">
              <w:rPr>
                <w:rFonts w:ascii="Times New Roman" w:hAnsi="Times New Roman"/>
                <w:sz w:val="16"/>
                <w:szCs w:val="16"/>
              </w:rPr>
              <w:t>для</w:t>
            </w:r>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її</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відображення</w:t>
            </w:r>
            <w:proofErr w:type="spellEnd"/>
            <w:r w:rsidRPr="00E16672">
              <w:rPr>
                <w:rFonts w:ascii="Times New Roman" w:hAnsi="Times New Roman"/>
                <w:sz w:val="16"/>
                <w:szCs w:val="16"/>
                <w:lang w:val="en-US"/>
              </w:rPr>
              <w:t xml:space="preserve"> </w:t>
            </w:r>
            <w:r w:rsidRPr="00E16672">
              <w:rPr>
                <w:rFonts w:ascii="Times New Roman" w:hAnsi="Times New Roman"/>
                <w:sz w:val="16"/>
                <w:szCs w:val="16"/>
              </w:rPr>
              <w:t>у</w:t>
            </w:r>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внутрішній</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системі</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обліку</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такої</w:t>
            </w:r>
            <w:proofErr w:type="spellEnd"/>
            <w:r w:rsidRPr="00E16672">
              <w:rPr>
                <w:rFonts w:ascii="Times New Roman" w:hAnsi="Times New Roman"/>
                <w:sz w:val="16"/>
                <w:szCs w:val="16"/>
                <w:lang w:val="en-US"/>
              </w:rPr>
              <w:t xml:space="preserve"> </w:t>
            </w:r>
            <w:r w:rsidRPr="00E16672">
              <w:rPr>
                <w:rFonts w:ascii="Times New Roman" w:hAnsi="Times New Roman"/>
                <w:sz w:val="16"/>
                <w:szCs w:val="16"/>
              </w:rPr>
              <w:t>особи</w:t>
            </w:r>
            <w:r w:rsidRPr="00E16672">
              <w:rPr>
                <w:rFonts w:ascii="Times New Roman" w:hAnsi="Times New Roman"/>
                <w:sz w:val="16"/>
                <w:szCs w:val="16"/>
                <w:lang w:val="en-US"/>
              </w:rPr>
              <w:t xml:space="preserve">, </w:t>
            </w:r>
            <w:r w:rsidRPr="00E16672">
              <w:rPr>
                <w:rFonts w:ascii="Times New Roman" w:hAnsi="Times New Roman"/>
                <w:sz w:val="16"/>
                <w:szCs w:val="16"/>
              </w:rPr>
              <w:t>про</w:t>
            </w:r>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що</w:t>
            </w:r>
            <w:proofErr w:type="spellEnd"/>
            <w:r w:rsidRPr="00E16672">
              <w:rPr>
                <w:rFonts w:ascii="Times New Roman" w:hAnsi="Times New Roman"/>
                <w:sz w:val="16"/>
                <w:szCs w:val="16"/>
                <w:lang w:val="en-US"/>
              </w:rPr>
              <w:t xml:space="preserve"> </w:t>
            </w:r>
            <w:r w:rsidRPr="00E16672">
              <w:rPr>
                <w:rFonts w:ascii="Times New Roman" w:hAnsi="Times New Roman"/>
                <w:sz w:val="16"/>
                <w:szCs w:val="16"/>
              </w:rPr>
              <w:t>Депонент</w:t>
            </w:r>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надає</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згоду</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підписавши</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цей</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Договір</w:t>
            </w:r>
            <w:proofErr w:type="spellEnd"/>
            <w:r w:rsidRPr="00E16672">
              <w:rPr>
                <w:rFonts w:ascii="Times New Roman" w:hAnsi="Times New Roman"/>
                <w:sz w:val="16"/>
                <w:szCs w:val="16"/>
                <w:lang w:val="en-US"/>
              </w:rPr>
              <w:t>.</w:t>
            </w:r>
          </w:p>
          <w:p w14:paraId="188B7DF9" w14:textId="77777777" w:rsidR="00933C25" w:rsidRPr="00E16672" w:rsidRDefault="00933C25" w:rsidP="00141B39">
            <w:pPr>
              <w:snapToGrid w:val="0"/>
              <w:ind w:left="175" w:right="138" w:firstLine="7"/>
              <w:rPr>
                <w:rFonts w:ascii="Times New Roman" w:hAnsi="Times New Roman"/>
                <w:lang w:val="en-US"/>
              </w:rPr>
            </w:pPr>
          </w:p>
        </w:tc>
        <w:tc>
          <w:tcPr>
            <w:tcW w:w="5494" w:type="dxa"/>
            <w:gridSpan w:val="7"/>
            <w:shd w:val="clear" w:color="auto" w:fill="auto"/>
          </w:tcPr>
          <w:p w14:paraId="3A6C7D45" w14:textId="77777777" w:rsidR="00933C25" w:rsidRPr="00E16672" w:rsidRDefault="00933C25" w:rsidP="00141B39">
            <w:pPr>
              <w:tabs>
                <w:tab w:val="left" w:pos="287"/>
              </w:tabs>
              <w:snapToGrid w:val="0"/>
              <w:ind w:left="145" w:right="100" w:firstLine="7"/>
              <w:rPr>
                <w:rFonts w:ascii="Times New Roman" w:hAnsi="Times New Roman"/>
                <w:sz w:val="16"/>
                <w:szCs w:val="16"/>
                <w:lang w:val="en-GB"/>
              </w:rPr>
            </w:pPr>
            <w:r w:rsidRPr="00E16672">
              <w:rPr>
                <w:rFonts w:ascii="Times New Roman" w:hAnsi="Times New Roman"/>
                <w:sz w:val="16"/>
                <w:szCs w:val="16"/>
                <w:lang w:val="en-GB"/>
              </w:rPr>
              <w:t xml:space="preserve">7.4. Depository institution provides </w:t>
            </w:r>
            <w:r w:rsidRPr="00E16672">
              <w:rPr>
                <w:rFonts w:ascii="Times New Roman" w:hAnsi="Times New Roman"/>
                <w:sz w:val="16"/>
                <w:szCs w:val="16"/>
                <w:lang w:val="en-US"/>
              </w:rPr>
              <w:t>C</w:t>
            </w:r>
            <w:proofErr w:type="spellStart"/>
            <w:r w:rsidRPr="00E16672">
              <w:rPr>
                <w:rFonts w:ascii="Times New Roman" w:hAnsi="Times New Roman"/>
                <w:sz w:val="16"/>
                <w:szCs w:val="16"/>
                <w:lang w:val="en-GB"/>
              </w:rPr>
              <w:t>entral</w:t>
            </w:r>
            <w:proofErr w:type="spellEnd"/>
            <w:r w:rsidRPr="00E16672">
              <w:rPr>
                <w:rFonts w:ascii="Times New Roman" w:hAnsi="Times New Roman"/>
                <w:sz w:val="16"/>
                <w:szCs w:val="16"/>
                <w:lang w:val="en-GB"/>
              </w:rPr>
              <w:t xml:space="preserve"> securities depository</w:t>
            </w:r>
            <w:r w:rsidRPr="00E16672">
              <w:rPr>
                <w:rFonts w:ascii="Times New Roman" w:hAnsi="Times New Roman"/>
                <w:bCs/>
                <w:sz w:val="16"/>
                <w:szCs w:val="16"/>
                <w:lang w:val="en-US"/>
              </w:rPr>
              <w:t>,</w:t>
            </w:r>
            <w:r w:rsidRPr="00F23413">
              <w:rPr>
                <w:rStyle w:val="WW8Num7z0"/>
                <w:rFonts w:ascii="Times New Roman" w:hAnsi="Times New Roman"/>
                <w:lang w:val="en-US"/>
              </w:rPr>
              <w:t xml:space="preserve"> </w:t>
            </w:r>
            <w:r w:rsidRPr="00E16672">
              <w:rPr>
                <w:rFonts w:ascii="Times New Roman" w:hAnsi="Times New Roman"/>
                <w:sz w:val="16"/>
                <w:szCs w:val="16"/>
                <w:lang w:val="en-GB"/>
              </w:rPr>
              <w:t>other participants in the depository system in accordance with current law,</w:t>
            </w:r>
            <w:r w:rsidRPr="00E16672">
              <w:rPr>
                <w:rFonts w:ascii="Times New Roman" w:hAnsi="Times New Roman"/>
                <w:bCs/>
                <w:sz w:val="16"/>
                <w:szCs w:val="16"/>
                <w:lang w:val="en-GB"/>
              </w:rPr>
              <w:t xml:space="preserve"> </w:t>
            </w:r>
            <w:r w:rsidRPr="00E16672">
              <w:rPr>
                <w:rFonts w:ascii="Times New Roman" w:hAnsi="Times New Roman"/>
                <w:sz w:val="16"/>
                <w:szCs w:val="16"/>
                <w:lang w:val="en-GB"/>
              </w:rPr>
              <w:t xml:space="preserve"> information about the Depositor, Depositor's</w:t>
            </w:r>
            <w:r w:rsidRPr="00E16672">
              <w:rPr>
                <w:rFonts w:ascii="Times New Roman" w:hAnsi="Times New Roman"/>
                <w:sz w:val="16"/>
                <w:szCs w:val="16"/>
                <w:lang w:val="en-US"/>
              </w:rPr>
              <w:t xml:space="preserve"> administrator</w:t>
            </w:r>
            <w:r w:rsidRPr="00E16672">
              <w:rPr>
                <w:rFonts w:ascii="Times New Roman" w:hAnsi="Times New Roman"/>
                <w:sz w:val="16"/>
                <w:szCs w:val="16"/>
                <w:lang w:val="en-GB"/>
              </w:rPr>
              <w:t xml:space="preserve"> </w:t>
            </w:r>
            <w:r w:rsidRPr="00E16672">
              <w:rPr>
                <w:rFonts w:ascii="Times New Roman" w:hAnsi="Times New Roman"/>
                <w:sz w:val="16"/>
                <w:szCs w:val="16"/>
                <w:lang w:val="en-US"/>
              </w:rPr>
              <w:t xml:space="preserve">of the </w:t>
            </w:r>
            <w:r w:rsidRPr="00E16672">
              <w:rPr>
                <w:rFonts w:ascii="Times New Roman" w:hAnsi="Times New Roman"/>
                <w:sz w:val="16"/>
                <w:szCs w:val="16"/>
                <w:lang w:val="en-GB"/>
              </w:rPr>
              <w:t>account</w:t>
            </w:r>
            <w:r w:rsidRPr="00E16672">
              <w:rPr>
                <w:rFonts w:ascii="Times New Roman" w:hAnsi="Times New Roman"/>
                <w:sz w:val="16"/>
                <w:szCs w:val="16"/>
                <w:lang w:val="en-US"/>
              </w:rPr>
              <w:t xml:space="preserve"> in</w:t>
            </w:r>
            <w:r w:rsidRPr="00E16672">
              <w:rPr>
                <w:rFonts w:ascii="Times New Roman" w:hAnsi="Times New Roman"/>
                <w:sz w:val="16"/>
                <w:szCs w:val="16"/>
                <w:lang w:val="en-GB"/>
              </w:rPr>
              <w:t xml:space="preserve">  securities and securities belonging to the </w:t>
            </w:r>
            <w:r w:rsidRPr="00E16672">
              <w:rPr>
                <w:rFonts w:ascii="Times New Roman" w:hAnsi="Times New Roman"/>
                <w:sz w:val="16"/>
                <w:szCs w:val="16"/>
                <w:lang w:val="en-US"/>
              </w:rPr>
              <w:t>D</w:t>
            </w:r>
            <w:proofErr w:type="spellStart"/>
            <w:r w:rsidRPr="00E16672">
              <w:rPr>
                <w:rFonts w:ascii="Times New Roman" w:hAnsi="Times New Roman"/>
                <w:sz w:val="16"/>
                <w:szCs w:val="16"/>
                <w:lang w:val="en-GB"/>
              </w:rPr>
              <w:t>epositor</w:t>
            </w:r>
            <w:proofErr w:type="spellEnd"/>
            <w:r w:rsidRPr="00E16672">
              <w:rPr>
                <w:rFonts w:ascii="Times New Roman" w:hAnsi="Times New Roman"/>
                <w:sz w:val="16"/>
                <w:szCs w:val="16"/>
                <w:lang w:val="en-GB"/>
              </w:rPr>
              <w:t xml:space="preserve"> is required to make payments for legal actions concerning securities in compliance with the principle of "delivery of securities against payment" in order to continue to provide such information </w:t>
            </w:r>
            <w:r w:rsidRPr="00E16672">
              <w:rPr>
                <w:rFonts w:ascii="Times New Roman" w:hAnsi="Times New Roman"/>
                <w:sz w:val="16"/>
                <w:szCs w:val="16"/>
                <w:lang w:val="en-US"/>
              </w:rPr>
              <w:t>Accounting</w:t>
            </w:r>
            <w:r w:rsidRPr="00E16672">
              <w:rPr>
                <w:rFonts w:ascii="Times New Roman" w:hAnsi="Times New Roman"/>
                <w:sz w:val="16"/>
                <w:szCs w:val="16"/>
                <w:lang w:val="en-GB"/>
              </w:rPr>
              <w:t xml:space="preserve"> </w:t>
            </w:r>
            <w:proofErr w:type="spellStart"/>
            <w:r w:rsidRPr="00E16672">
              <w:rPr>
                <w:rFonts w:ascii="Times New Roman" w:hAnsi="Times New Roman"/>
                <w:sz w:val="16"/>
                <w:szCs w:val="16"/>
                <w:lang w:val="en-GB"/>
              </w:rPr>
              <w:t>center</w:t>
            </w:r>
            <w:proofErr w:type="spellEnd"/>
            <w:r w:rsidRPr="00E16672">
              <w:rPr>
                <w:rFonts w:ascii="Times New Roman" w:hAnsi="Times New Roman"/>
                <w:sz w:val="16"/>
                <w:szCs w:val="16"/>
                <w:lang w:val="en-GB"/>
              </w:rPr>
              <w:t xml:space="preserve"> or clearing institution to display it in the internal accounting system of </w:t>
            </w:r>
            <w:r w:rsidRPr="00E16672">
              <w:rPr>
                <w:rFonts w:ascii="Times New Roman" w:hAnsi="Times New Roman"/>
                <w:sz w:val="16"/>
                <w:szCs w:val="16"/>
                <w:lang w:val="en-US"/>
              </w:rPr>
              <w:t>such</w:t>
            </w:r>
            <w:r w:rsidRPr="00E16672">
              <w:rPr>
                <w:rFonts w:ascii="Times New Roman" w:hAnsi="Times New Roman"/>
                <w:sz w:val="16"/>
                <w:szCs w:val="16"/>
                <w:lang w:val="en-GB"/>
              </w:rPr>
              <w:t xml:space="preserve"> person, as Depositor provides consent by signing this Agreement.</w:t>
            </w:r>
          </w:p>
        </w:tc>
      </w:tr>
      <w:tr w:rsidR="00933C25" w:rsidRPr="00F23413" w14:paraId="009963A1" w14:textId="77777777" w:rsidTr="00D77858">
        <w:tblPrEx>
          <w:tblCellMar>
            <w:left w:w="0" w:type="dxa"/>
            <w:right w:w="0" w:type="dxa"/>
          </w:tblCellMar>
        </w:tblPrEx>
        <w:trPr>
          <w:trHeight w:val="192"/>
        </w:trPr>
        <w:tc>
          <w:tcPr>
            <w:tcW w:w="5696" w:type="dxa"/>
            <w:gridSpan w:val="6"/>
            <w:shd w:val="clear" w:color="auto" w:fill="auto"/>
          </w:tcPr>
          <w:p w14:paraId="1AA9B3B1" w14:textId="77777777" w:rsidR="00EA74CB" w:rsidRPr="00E16672" w:rsidRDefault="00EA74CB" w:rsidP="00E27FD1">
            <w:pPr>
              <w:snapToGrid w:val="0"/>
              <w:ind w:left="175" w:right="138"/>
              <w:jc w:val="center"/>
              <w:rPr>
                <w:rFonts w:ascii="Times New Roman" w:hAnsi="Times New Roman"/>
                <w:b/>
                <w:caps/>
                <w:sz w:val="16"/>
                <w:szCs w:val="16"/>
                <w:lang w:val="en-US"/>
              </w:rPr>
            </w:pPr>
          </w:p>
          <w:p w14:paraId="7B5F608B" w14:textId="77777777" w:rsidR="00EA74CB" w:rsidRPr="00E16672" w:rsidRDefault="00EA74CB" w:rsidP="00E27FD1">
            <w:pPr>
              <w:snapToGrid w:val="0"/>
              <w:ind w:left="175" w:right="138"/>
              <w:jc w:val="center"/>
              <w:rPr>
                <w:rFonts w:ascii="Times New Roman" w:hAnsi="Times New Roman"/>
                <w:b/>
                <w:caps/>
                <w:sz w:val="16"/>
                <w:szCs w:val="16"/>
                <w:lang w:val="en-US"/>
              </w:rPr>
            </w:pPr>
          </w:p>
          <w:p w14:paraId="1507AD22" w14:textId="77777777" w:rsidR="00933C25" w:rsidRPr="00E16672" w:rsidRDefault="00933C25" w:rsidP="00E27FD1">
            <w:pPr>
              <w:snapToGrid w:val="0"/>
              <w:ind w:left="175" w:right="138"/>
              <w:jc w:val="center"/>
              <w:rPr>
                <w:rFonts w:ascii="Times New Roman" w:hAnsi="Times New Roman"/>
                <w:b/>
                <w:caps/>
                <w:sz w:val="16"/>
                <w:szCs w:val="16"/>
              </w:rPr>
            </w:pPr>
            <w:r w:rsidRPr="00E16672">
              <w:rPr>
                <w:rFonts w:ascii="Times New Roman" w:hAnsi="Times New Roman"/>
                <w:b/>
                <w:caps/>
                <w:sz w:val="16"/>
                <w:szCs w:val="16"/>
              </w:rPr>
              <w:t xml:space="preserve">8. Виконання умов договору. </w:t>
            </w:r>
          </w:p>
          <w:p w14:paraId="6289B5E9" w14:textId="77777777" w:rsidR="00933C25" w:rsidRPr="00E16672" w:rsidRDefault="00933C25" w:rsidP="00E27FD1">
            <w:pPr>
              <w:ind w:left="175" w:right="138"/>
              <w:jc w:val="center"/>
              <w:rPr>
                <w:rFonts w:ascii="Times New Roman" w:hAnsi="Times New Roman"/>
                <w:b/>
                <w:caps/>
                <w:sz w:val="16"/>
                <w:szCs w:val="16"/>
              </w:rPr>
            </w:pPr>
            <w:r w:rsidRPr="00E16672">
              <w:rPr>
                <w:rFonts w:ascii="Times New Roman" w:hAnsi="Times New Roman"/>
                <w:b/>
                <w:caps/>
                <w:sz w:val="16"/>
                <w:szCs w:val="16"/>
              </w:rPr>
              <w:t xml:space="preserve">Порядок закриття рахунку </w:t>
            </w:r>
            <w:r w:rsidR="00C22309" w:rsidRPr="00E16672">
              <w:rPr>
                <w:rFonts w:ascii="Times New Roman" w:hAnsi="Times New Roman"/>
                <w:b/>
                <w:caps/>
                <w:sz w:val="16"/>
                <w:szCs w:val="16"/>
              </w:rPr>
              <w:t>в цін</w:t>
            </w:r>
            <w:r w:rsidRPr="00E16672">
              <w:rPr>
                <w:rFonts w:ascii="Times New Roman" w:hAnsi="Times New Roman"/>
                <w:b/>
                <w:caps/>
                <w:sz w:val="16"/>
                <w:szCs w:val="16"/>
              </w:rPr>
              <w:t>них паперах. Особливі умови.</w:t>
            </w:r>
          </w:p>
          <w:p w14:paraId="58148D33" w14:textId="77777777" w:rsidR="00933C25" w:rsidRPr="00E16672" w:rsidRDefault="00933C25" w:rsidP="00E27FD1">
            <w:pPr>
              <w:ind w:left="175" w:right="138"/>
              <w:jc w:val="center"/>
              <w:rPr>
                <w:rFonts w:ascii="Times New Roman" w:hAnsi="Times New Roman"/>
                <w:sz w:val="16"/>
                <w:szCs w:val="16"/>
                <w:shd w:val="clear" w:color="auto" w:fill="FFFF00"/>
              </w:rPr>
            </w:pPr>
          </w:p>
          <w:p w14:paraId="2779CA66" w14:textId="77777777" w:rsidR="00933C25" w:rsidRPr="00E16672" w:rsidRDefault="00933C25" w:rsidP="00141B39">
            <w:pPr>
              <w:snapToGrid w:val="0"/>
              <w:ind w:left="175" w:right="138" w:firstLine="0"/>
              <w:rPr>
                <w:rFonts w:ascii="Times New Roman" w:hAnsi="Times New Roman"/>
                <w:sz w:val="16"/>
                <w:szCs w:val="16"/>
              </w:rPr>
            </w:pPr>
            <w:r w:rsidRPr="00E16672">
              <w:rPr>
                <w:rFonts w:ascii="Times New Roman" w:hAnsi="Times New Roman"/>
                <w:sz w:val="16"/>
                <w:szCs w:val="16"/>
              </w:rPr>
              <w:t xml:space="preserve">8.1. </w:t>
            </w:r>
            <w:proofErr w:type="spellStart"/>
            <w:r w:rsidRPr="00E16672">
              <w:rPr>
                <w:rFonts w:ascii="Times New Roman" w:hAnsi="Times New Roman"/>
                <w:sz w:val="16"/>
                <w:szCs w:val="16"/>
              </w:rPr>
              <w:t>Депозитарна</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установа</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має</w:t>
            </w:r>
            <w:proofErr w:type="spellEnd"/>
            <w:r w:rsidRPr="00E16672">
              <w:rPr>
                <w:rFonts w:ascii="Times New Roman" w:hAnsi="Times New Roman"/>
                <w:sz w:val="16"/>
                <w:szCs w:val="16"/>
              </w:rPr>
              <w:t xml:space="preserve"> статус </w:t>
            </w:r>
            <w:proofErr w:type="spellStart"/>
            <w:r w:rsidRPr="00E16672">
              <w:rPr>
                <w:rFonts w:ascii="Times New Roman" w:hAnsi="Times New Roman"/>
                <w:sz w:val="16"/>
                <w:szCs w:val="16"/>
              </w:rPr>
              <w:t>платника</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податку</w:t>
            </w:r>
            <w:proofErr w:type="spellEnd"/>
            <w:r w:rsidRPr="00E16672">
              <w:rPr>
                <w:rFonts w:ascii="Times New Roman" w:hAnsi="Times New Roman"/>
                <w:sz w:val="16"/>
                <w:szCs w:val="16"/>
              </w:rPr>
              <w:t xml:space="preserve"> на </w:t>
            </w:r>
            <w:proofErr w:type="spellStart"/>
            <w:r w:rsidRPr="00E16672">
              <w:rPr>
                <w:rFonts w:ascii="Times New Roman" w:hAnsi="Times New Roman"/>
                <w:sz w:val="16"/>
                <w:szCs w:val="16"/>
              </w:rPr>
              <w:t>прибуток</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підприємства</w:t>
            </w:r>
            <w:proofErr w:type="spellEnd"/>
            <w:r w:rsidRPr="00E16672">
              <w:rPr>
                <w:rFonts w:ascii="Times New Roman" w:hAnsi="Times New Roman"/>
                <w:sz w:val="16"/>
                <w:szCs w:val="16"/>
              </w:rPr>
              <w:t xml:space="preserve"> на </w:t>
            </w:r>
            <w:proofErr w:type="spellStart"/>
            <w:r w:rsidRPr="00E16672">
              <w:rPr>
                <w:rFonts w:ascii="Times New Roman" w:hAnsi="Times New Roman"/>
                <w:sz w:val="16"/>
                <w:szCs w:val="16"/>
              </w:rPr>
              <w:t>загальних</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умовах</w:t>
            </w:r>
            <w:proofErr w:type="spellEnd"/>
            <w:r w:rsidRPr="00E16672">
              <w:rPr>
                <w:rFonts w:ascii="Times New Roman" w:hAnsi="Times New Roman"/>
                <w:sz w:val="16"/>
                <w:szCs w:val="16"/>
              </w:rPr>
              <w:t>.</w:t>
            </w:r>
          </w:p>
        </w:tc>
        <w:tc>
          <w:tcPr>
            <w:tcW w:w="5494" w:type="dxa"/>
            <w:gridSpan w:val="7"/>
            <w:shd w:val="clear" w:color="auto" w:fill="auto"/>
          </w:tcPr>
          <w:p w14:paraId="065681FA" w14:textId="77777777" w:rsidR="00EA74CB" w:rsidRPr="00E16672" w:rsidRDefault="00EA74CB" w:rsidP="00E27FD1">
            <w:pPr>
              <w:tabs>
                <w:tab w:val="left" w:pos="287"/>
              </w:tabs>
              <w:snapToGrid w:val="0"/>
              <w:ind w:left="145" w:right="100"/>
              <w:jc w:val="center"/>
              <w:rPr>
                <w:rFonts w:ascii="Times New Roman" w:hAnsi="Times New Roman"/>
                <w:b/>
                <w:sz w:val="16"/>
                <w:szCs w:val="16"/>
              </w:rPr>
            </w:pPr>
          </w:p>
          <w:p w14:paraId="3FC4FBE8" w14:textId="77777777" w:rsidR="00EA74CB" w:rsidRPr="00E16672" w:rsidRDefault="00EA74CB" w:rsidP="00E27FD1">
            <w:pPr>
              <w:tabs>
                <w:tab w:val="left" w:pos="287"/>
              </w:tabs>
              <w:snapToGrid w:val="0"/>
              <w:ind w:left="145" w:right="100"/>
              <w:jc w:val="center"/>
              <w:rPr>
                <w:rFonts w:ascii="Times New Roman" w:hAnsi="Times New Roman"/>
                <w:b/>
                <w:sz w:val="16"/>
                <w:szCs w:val="16"/>
              </w:rPr>
            </w:pPr>
          </w:p>
          <w:p w14:paraId="0300D3F1" w14:textId="77777777" w:rsidR="00933C25" w:rsidRPr="00E16672" w:rsidRDefault="00933C25" w:rsidP="00E27FD1">
            <w:pPr>
              <w:tabs>
                <w:tab w:val="left" w:pos="287"/>
              </w:tabs>
              <w:snapToGrid w:val="0"/>
              <w:ind w:left="145" w:right="100"/>
              <w:jc w:val="center"/>
              <w:rPr>
                <w:rFonts w:ascii="Times New Roman" w:hAnsi="Times New Roman"/>
                <w:b/>
                <w:sz w:val="16"/>
                <w:szCs w:val="16"/>
                <w:lang w:val="en-GB"/>
              </w:rPr>
            </w:pPr>
            <w:r w:rsidRPr="00E16672">
              <w:rPr>
                <w:rFonts w:ascii="Times New Roman" w:hAnsi="Times New Roman"/>
                <w:b/>
                <w:sz w:val="16"/>
                <w:szCs w:val="16"/>
                <w:lang w:val="en-GB"/>
              </w:rPr>
              <w:t xml:space="preserve">8. EXECUTIONS THE CONDITIONSOF THE AGREEMENT. </w:t>
            </w:r>
          </w:p>
          <w:p w14:paraId="51CF842A" w14:textId="77777777" w:rsidR="00933C25" w:rsidRPr="00F23413" w:rsidRDefault="00933C25" w:rsidP="00E27FD1">
            <w:pPr>
              <w:tabs>
                <w:tab w:val="left" w:pos="287"/>
              </w:tabs>
              <w:snapToGrid w:val="0"/>
              <w:ind w:left="145" w:right="100"/>
              <w:jc w:val="center"/>
              <w:rPr>
                <w:rStyle w:val="shorttext"/>
                <w:rFonts w:ascii="Times New Roman" w:hAnsi="Times New Roman"/>
                <w:lang w:val="en-US"/>
              </w:rPr>
            </w:pPr>
            <w:r w:rsidRPr="00E16672">
              <w:rPr>
                <w:rFonts w:ascii="Times New Roman" w:hAnsi="Times New Roman"/>
                <w:b/>
                <w:caps/>
                <w:sz w:val="16"/>
                <w:szCs w:val="16"/>
                <w:lang w:val="en-GB"/>
              </w:rPr>
              <w:t>Procedure for closing a</w:t>
            </w:r>
            <w:r w:rsidRPr="00E16672">
              <w:rPr>
                <w:rFonts w:ascii="Times New Roman" w:hAnsi="Times New Roman"/>
                <w:b/>
                <w:caps/>
                <w:sz w:val="16"/>
                <w:szCs w:val="16"/>
                <w:lang w:val="en-US"/>
              </w:rPr>
              <w:t xml:space="preserve">n </w:t>
            </w:r>
            <w:proofErr w:type="gramStart"/>
            <w:r w:rsidRPr="00E16672">
              <w:rPr>
                <w:rFonts w:ascii="Times New Roman" w:hAnsi="Times New Roman"/>
                <w:b/>
                <w:caps/>
                <w:sz w:val="16"/>
                <w:szCs w:val="16"/>
                <w:lang w:val="en-GB"/>
              </w:rPr>
              <w:t xml:space="preserve">account </w:t>
            </w:r>
            <w:r w:rsidRPr="00E16672">
              <w:rPr>
                <w:rFonts w:ascii="Times New Roman" w:hAnsi="Times New Roman"/>
                <w:b/>
                <w:caps/>
                <w:sz w:val="16"/>
                <w:szCs w:val="16"/>
                <w:lang w:val="en-US"/>
              </w:rPr>
              <w:t xml:space="preserve"> in</w:t>
            </w:r>
            <w:proofErr w:type="gramEnd"/>
            <w:r w:rsidRPr="00E16672">
              <w:rPr>
                <w:rFonts w:ascii="Times New Roman" w:hAnsi="Times New Roman"/>
                <w:b/>
                <w:caps/>
                <w:sz w:val="16"/>
                <w:szCs w:val="16"/>
                <w:lang w:val="en-US"/>
              </w:rPr>
              <w:t xml:space="preserve"> </w:t>
            </w:r>
            <w:r w:rsidRPr="00E16672">
              <w:rPr>
                <w:rFonts w:ascii="Times New Roman" w:hAnsi="Times New Roman"/>
                <w:b/>
                <w:caps/>
                <w:sz w:val="16"/>
                <w:szCs w:val="16"/>
                <w:lang w:val="en-GB"/>
              </w:rPr>
              <w:t>securities</w:t>
            </w:r>
            <w:r w:rsidRPr="00F23413">
              <w:rPr>
                <w:rStyle w:val="shorttext"/>
                <w:rFonts w:ascii="Times New Roman" w:hAnsi="Times New Roman"/>
                <w:lang w:val="en-US"/>
              </w:rPr>
              <w:t>.</w:t>
            </w:r>
          </w:p>
          <w:p w14:paraId="210E2145" w14:textId="77777777" w:rsidR="00933C25" w:rsidRPr="00E16672" w:rsidRDefault="00933C25" w:rsidP="00E27FD1">
            <w:pPr>
              <w:tabs>
                <w:tab w:val="left" w:pos="287"/>
              </w:tabs>
              <w:snapToGrid w:val="0"/>
              <w:ind w:left="145" w:right="100"/>
              <w:jc w:val="center"/>
              <w:rPr>
                <w:rFonts w:ascii="Times New Roman" w:hAnsi="Times New Roman"/>
                <w:b/>
                <w:sz w:val="16"/>
                <w:szCs w:val="16"/>
                <w:lang w:val="en-GB"/>
              </w:rPr>
            </w:pPr>
            <w:r w:rsidRPr="00E16672">
              <w:rPr>
                <w:rFonts w:ascii="Times New Roman" w:hAnsi="Times New Roman"/>
                <w:b/>
                <w:sz w:val="16"/>
                <w:szCs w:val="16"/>
                <w:lang w:val="en-GB"/>
              </w:rPr>
              <w:t>SPECIAL CONDITIONS.</w:t>
            </w:r>
          </w:p>
          <w:p w14:paraId="361F0EA9" w14:textId="77777777" w:rsidR="00933C25" w:rsidRPr="00E16672" w:rsidRDefault="00933C25" w:rsidP="00E27FD1">
            <w:pPr>
              <w:tabs>
                <w:tab w:val="left" w:pos="287"/>
              </w:tabs>
              <w:snapToGrid w:val="0"/>
              <w:ind w:left="145" w:right="100"/>
              <w:jc w:val="center"/>
              <w:rPr>
                <w:rFonts w:ascii="Times New Roman" w:hAnsi="Times New Roman"/>
                <w:sz w:val="16"/>
                <w:szCs w:val="16"/>
                <w:shd w:val="clear" w:color="auto" w:fill="FFFF00"/>
                <w:lang w:val="en-GB"/>
              </w:rPr>
            </w:pPr>
          </w:p>
          <w:p w14:paraId="608244E1" w14:textId="77777777" w:rsidR="00933C25" w:rsidRPr="00E16672" w:rsidRDefault="00933C25" w:rsidP="00E27FD1">
            <w:pPr>
              <w:pStyle w:val="310"/>
              <w:tabs>
                <w:tab w:val="left" w:pos="287"/>
                <w:tab w:val="left" w:pos="1137"/>
                <w:tab w:val="left" w:pos="1191"/>
              </w:tabs>
              <w:snapToGrid w:val="0"/>
              <w:ind w:left="145" w:right="100" w:firstLine="0"/>
              <w:rPr>
                <w:rFonts w:ascii="Times New Roman" w:hAnsi="Times New Roman"/>
                <w:sz w:val="16"/>
                <w:szCs w:val="16"/>
              </w:rPr>
            </w:pPr>
            <w:r w:rsidRPr="00E16672">
              <w:rPr>
                <w:rFonts w:ascii="Times New Roman" w:hAnsi="Times New Roman"/>
                <w:sz w:val="16"/>
                <w:szCs w:val="16"/>
              </w:rPr>
              <w:t xml:space="preserve">8.1. </w:t>
            </w:r>
            <w:proofErr w:type="spellStart"/>
            <w:r w:rsidRPr="00E16672">
              <w:rPr>
                <w:rFonts w:ascii="Times New Roman" w:hAnsi="Times New Roman"/>
                <w:sz w:val="16"/>
                <w:szCs w:val="16"/>
              </w:rPr>
              <w:t>Depository</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institution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has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status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of</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payer</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of</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company</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income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tax</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general</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conditions</w:t>
            </w:r>
            <w:proofErr w:type="spellEnd"/>
            <w:r w:rsidRPr="00E16672">
              <w:rPr>
                <w:rFonts w:ascii="Times New Roman" w:hAnsi="Times New Roman"/>
                <w:sz w:val="16"/>
                <w:szCs w:val="16"/>
              </w:rPr>
              <w:t>.</w:t>
            </w:r>
          </w:p>
        </w:tc>
      </w:tr>
      <w:tr w:rsidR="00933C25" w:rsidRPr="00F23413" w14:paraId="60596918" w14:textId="77777777" w:rsidTr="00D77858">
        <w:tblPrEx>
          <w:tblCellMar>
            <w:left w:w="0" w:type="dxa"/>
            <w:right w:w="0" w:type="dxa"/>
          </w:tblCellMar>
        </w:tblPrEx>
        <w:trPr>
          <w:trHeight w:val="192"/>
        </w:trPr>
        <w:tc>
          <w:tcPr>
            <w:tcW w:w="5696" w:type="dxa"/>
            <w:gridSpan w:val="6"/>
            <w:shd w:val="clear" w:color="auto" w:fill="auto"/>
          </w:tcPr>
          <w:p w14:paraId="178FBC95" w14:textId="77777777" w:rsidR="00907FFB" w:rsidRPr="00E16672" w:rsidRDefault="00907FFB" w:rsidP="00141B39">
            <w:pPr>
              <w:snapToGrid w:val="0"/>
              <w:ind w:left="175" w:right="138" w:firstLine="0"/>
              <w:rPr>
                <w:rFonts w:ascii="Times New Roman" w:hAnsi="Times New Roman"/>
                <w:color w:val="000000"/>
                <w:sz w:val="16"/>
                <w:szCs w:val="16"/>
                <w:lang w:val="uk-UA"/>
              </w:rPr>
            </w:pPr>
          </w:p>
          <w:p w14:paraId="0042503D" w14:textId="77777777" w:rsidR="00933C25" w:rsidRPr="00E16672" w:rsidRDefault="00933C25" w:rsidP="00141B39">
            <w:pPr>
              <w:snapToGrid w:val="0"/>
              <w:ind w:left="175" w:right="138" w:firstLine="0"/>
              <w:rPr>
                <w:rFonts w:ascii="Times New Roman" w:hAnsi="Times New Roman"/>
                <w:b/>
                <w:caps/>
                <w:color w:val="000000"/>
                <w:sz w:val="16"/>
                <w:szCs w:val="16"/>
              </w:rPr>
            </w:pPr>
            <w:r w:rsidRPr="00E16672">
              <w:rPr>
                <w:rFonts w:ascii="Times New Roman" w:hAnsi="Times New Roman"/>
                <w:color w:val="000000"/>
                <w:sz w:val="16"/>
                <w:szCs w:val="16"/>
                <w:lang w:val="uk-UA"/>
              </w:rPr>
              <w:t xml:space="preserve">8.2. </w:t>
            </w:r>
            <w:proofErr w:type="spellStart"/>
            <w:r w:rsidRPr="00E16672">
              <w:rPr>
                <w:rFonts w:ascii="Times New Roman" w:hAnsi="Times New Roman"/>
                <w:color w:val="000000"/>
                <w:sz w:val="16"/>
                <w:szCs w:val="16"/>
              </w:rPr>
              <w:t>Підписанням</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цього</w:t>
            </w:r>
            <w:proofErr w:type="spellEnd"/>
            <w:r w:rsidRPr="00E16672">
              <w:rPr>
                <w:rFonts w:ascii="Times New Roman" w:hAnsi="Times New Roman"/>
                <w:color w:val="000000"/>
                <w:sz w:val="16"/>
                <w:szCs w:val="16"/>
              </w:rPr>
              <w:t xml:space="preserve"> Договору Депонент </w:t>
            </w:r>
            <w:proofErr w:type="spellStart"/>
            <w:r w:rsidRPr="00E16672">
              <w:rPr>
                <w:rFonts w:ascii="Times New Roman" w:hAnsi="Times New Roman"/>
                <w:color w:val="000000"/>
                <w:sz w:val="16"/>
                <w:szCs w:val="16"/>
              </w:rPr>
              <w:t>підтверджує</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що</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ознайомлений</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із</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внутрішніми</w:t>
            </w:r>
            <w:proofErr w:type="spellEnd"/>
            <w:r w:rsidRPr="00E16672">
              <w:rPr>
                <w:rFonts w:ascii="Times New Roman" w:hAnsi="Times New Roman"/>
                <w:color w:val="000000"/>
                <w:sz w:val="16"/>
                <w:szCs w:val="16"/>
              </w:rPr>
              <w:t xml:space="preserve"> документами </w:t>
            </w:r>
            <w:proofErr w:type="spellStart"/>
            <w:r w:rsidRPr="00E16672">
              <w:rPr>
                <w:rFonts w:ascii="Times New Roman" w:hAnsi="Times New Roman"/>
                <w:color w:val="000000"/>
                <w:sz w:val="16"/>
                <w:szCs w:val="16"/>
              </w:rPr>
              <w:t>Депозитарної</w:t>
            </w:r>
            <w:proofErr w:type="spellEnd"/>
            <w:r w:rsidRPr="00E16672">
              <w:rPr>
                <w:rFonts w:ascii="Times New Roman" w:hAnsi="Times New Roman"/>
                <w:color w:val="000000"/>
                <w:sz w:val="16"/>
                <w:szCs w:val="16"/>
              </w:rPr>
              <w:t xml:space="preserve"> установи, тарифами </w:t>
            </w:r>
            <w:proofErr w:type="spellStart"/>
            <w:r w:rsidRPr="00E16672">
              <w:rPr>
                <w:rFonts w:ascii="Times New Roman" w:hAnsi="Times New Roman"/>
                <w:color w:val="000000"/>
                <w:sz w:val="16"/>
                <w:szCs w:val="16"/>
              </w:rPr>
              <w:t>Депозитарної</w:t>
            </w:r>
            <w:proofErr w:type="spellEnd"/>
            <w:r w:rsidRPr="00E16672">
              <w:rPr>
                <w:rFonts w:ascii="Times New Roman" w:hAnsi="Times New Roman"/>
                <w:color w:val="000000"/>
                <w:sz w:val="16"/>
                <w:szCs w:val="16"/>
              </w:rPr>
              <w:t xml:space="preserve"> установи.</w:t>
            </w:r>
          </w:p>
        </w:tc>
        <w:tc>
          <w:tcPr>
            <w:tcW w:w="5494" w:type="dxa"/>
            <w:gridSpan w:val="7"/>
            <w:shd w:val="clear" w:color="auto" w:fill="auto"/>
          </w:tcPr>
          <w:p w14:paraId="0B0CE44E" w14:textId="77777777" w:rsidR="00907FFB" w:rsidRPr="00E16672" w:rsidRDefault="00907FFB" w:rsidP="00141B39">
            <w:pPr>
              <w:snapToGrid w:val="0"/>
              <w:ind w:left="175" w:right="138" w:firstLine="0"/>
              <w:rPr>
                <w:rFonts w:ascii="Times New Roman" w:hAnsi="Times New Roman"/>
                <w:color w:val="000000"/>
                <w:sz w:val="16"/>
                <w:szCs w:val="16"/>
                <w:lang w:val="uk-UA"/>
              </w:rPr>
            </w:pPr>
          </w:p>
          <w:p w14:paraId="089F3FA6" w14:textId="77777777" w:rsidR="00933C25" w:rsidRPr="00E16672" w:rsidRDefault="00933C25" w:rsidP="00141B39">
            <w:pPr>
              <w:snapToGrid w:val="0"/>
              <w:ind w:left="175" w:right="138" w:firstLine="0"/>
              <w:rPr>
                <w:rFonts w:ascii="Times New Roman" w:hAnsi="Times New Roman"/>
                <w:b/>
                <w:color w:val="000000"/>
                <w:sz w:val="16"/>
                <w:szCs w:val="16"/>
                <w:lang w:val="uk-UA"/>
              </w:rPr>
            </w:pPr>
            <w:r w:rsidRPr="00E16672">
              <w:rPr>
                <w:rFonts w:ascii="Times New Roman" w:hAnsi="Times New Roman"/>
                <w:color w:val="000000"/>
                <w:sz w:val="16"/>
                <w:szCs w:val="16"/>
                <w:lang w:val="uk-UA"/>
              </w:rPr>
              <w:t xml:space="preserve">8.2. </w:t>
            </w:r>
            <w:r w:rsidRPr="00E16672">
              <w:rPr>
                <w:rFonts w:ascii="Times New Roman" w:hAnsi="Times New Roman"/>
                <w:color w:val="000000"/>
                <w:sz w:val="16"/>
                <w:szCs w:val="16"/>
                <w:lang w:val="en-US"/>
              </w:rPr>
              <w:t xml:space="preserve">By signing </w:t>
            </w:r>
            <w:proofErr w:type="gramStart"/>
            <w:r w:rsidRPr="00E16672">
              <w:rPr>
                <w:rFonts w:ascii="Times New Roman" w:hAnsi="Times New Roman"/>
                <w:color w:val="000000"/>
                <w:sz w:val="16"/>
                <w:szCs w:val="16"/>
                <w:lang w:val="en-US"/>
              </w:rPr>
              <w:t>of  this</w:t>
            </w:r>
            <w:proofErr w:type="gramEnd"/>
            <w:r w:rsidRPr="00E16672">
              <w:rPr>
                <w:rFonts w:ascii="Times New Roman" w:hAnsi="Times New Roman"/>
                <w:color w:val="000000"/>
                <w:sz w:val="16"/>
                <w:szCs w:val="16"/>
                <w:lang w:val="en-US"/>
              </w:rPr>
              <w:t xml:space="preserve"> Agreement the Depositor confirms that was familiarized with the internal documents of Depositary institution, tariffs of Depository institution</w:t>
            </w:r>
            <w:r w:rsidRPr="00E16672">
              <w:rPr>
                <w:rFonts w:ascii="Times New Roman" w:hAnsi="Times New Roman"/>
                <w:color w:val="000000"/>
                <w:sz w:val="16"/>
                <w:szCs w:val="16"/>
                <w:lang w:val="uk-UA"/>
              </w:rPr>
              <w:t>.</w:t>
            </w:r>
          </w:p>
        </w:tc>
      </w:tr>
      <w:tr w:rsidR="00933C25" w:rsidRPr="00F23413" w14:paraId="2AD31CAE" w14:textId="77777777" w:rsidTr="00D77858">
        <w:tblPrEx>
          <w:tblCellMar>
            <w:left w:w="0" w:type="dxa"/>
            <w:right w:w="0" w:type="dxa"/>
          </w:tblCellMar>
        </w:tblPrEx>
        <w:trPr>
          <w:trHeight w:val="1548"/>
        </w:trPr>
        <w:tc>
          <w:tcPr>
            <w:tcW w:w="5696" w:type="dxa"/>
            <w:gridSpan w:val="6"/>
            <w:shd w:val="clear" w:color="auto" w:fill="auto"/>
          </w:tcPr>
          <w:p w14:paraId="6121B3F2" w14:textId="77777777" w:rsidR="00933C25" w:rsidRPr="00E16672" w:rsidRDefault="00933C25" w:rsidP="00022F5F">
            <w:pPr>
              <w:pStyle w:val="ae"/>
              <w:tabs>
                <w:tab w:val="left" w:pos="1080"/>
                <w:tab w:val="left" w:pos="1134"/>
              </w:tabs>
              <w:ind w:left="175" w:right="138" w:firstLine="0"/>
              <w:jc w:val="left"/>
              <w:rPr>
                <w:rFonts w:ascii="Times New Roman" w:hAnsi="Times New Roman"/>
                <w:sz w:val="16"/>
                <w:szCs w:val="16"/>
              </w:rPr>
            </w:pPr>
            <w:r w:rsidRPr="00E16672">
              <w:rPr>
                <w:rFonts w:ascii="Times New Roman" w:hAnsi="Times New Roman"/>
                <w:sz w:val="16"/>
                <w:szCs w:val="16"/>
              </w:rPr>
              <w:t xml:space="preserve">Депонент підтверджує, що Депозитарній установі </w:t>
            </w:r>
            <w:r w:rsidR="002634C8" w:rsidRPr="00E16672">
              <w:rPr>
                <w:rFonts w:ascii="Times New Roman" w:hAnsi="Times New Roman"/>
                <w:sz w:val="16"/>
                <w:szCs w:val="16"/>
              </w:rPr>
              <w:t xml:space="preserve">йому </w:t>
            </w:r>
            <w:r w:rsidRPr="00E16672">
              <w:rPr>
                <w:rFonts w:ascii="Times New Roman" w:hAnsi="Times New Roman"/>
                <w:sz w:val="16"/>
                <w:szCs w:val="16"/>
              </w:rPr>
              <w:t xml:space="preserve">надана інформація, зазначена в частині другій статті 12 Закону України </w:t>
            </w:r>
            <w:r w:rsidR="00022F5F">
              <w:rPr>
                <w:rFonts w:ascii="Times New Roman" w:hAnsi="Times New Roman"/>
                <w:sz w:val="16"/>
                <w:szCs w:val="16"/>
              </w:rPr>
              <w:t>"</w:t>
            </w:r>
            <w:r w:rsidRPr="00E16672">
              <w:rPr>
                <w:rFonts w:ascii="Times New Roman" w:hAnsi="Times New Roman"/>
                <w:sz w:val="16"/>
                <w:szCs w:val="16"/>
              </w:rPr>
              <w:t>Про фінансові послуги та державне регулювання ринків фінансових послуг</w:t>
            </w:r>
            <w:r w:rsidR="00022F5F">
              <w:rPr>
                <w:rFonts w:ascii="Times New Roman" w:hAnsi="Times New Roman"/>
                <w:sz w:val="16"/>
                <w:szCs w:val="16"/>
              </w:rPr>
              <w:t>"</w:t>
            </w:r>
            <w:r w:rsidRPr="00E16672">
              <w:rPr>
                <w:rFonts w:ascii="Times New Roman" w:hAnsi="Times New Roman"/>
                <w:sz w:val="16"/>
                <w:szCs w:val="16"/>
              </w:rPr>
              <w:t>.</w:t>
            </w:r>
          </w:p>
          <w:p w14:paraId="65012D98" w14:textId="77777777" w:rsidR="00933C25" w:rsidRPr="00E16672" w:rsidRDefault="00933C25" w:rsidP="00141B39">
            <w:pPr>
              <w:pStyle w:val="ae"/>
              <w:tabs>
                <w:tab w:val="left" w:pos="1080"/>
                <w:tab w:val="left" w:pos="1134"/>
              </w:tabs>
              <w:ind w:left="175" w:right="138" w:firstLine="0"/>
              <w:rPr>
                <w:rFonts w:ascii="Times New Roman" w:hAnsi="Times New Roman"/>
                <w:sz w:val="16"/>
                <w:szCs w:val="16"/>
              </w:rPr>
            </w:pPr>
            <w:r w:rsidRPr="00E16672">
              <w:rPr>
                <w:rFonts w:ascii="Times New Roman" w:hAnsi="Times New Roman"/>
                <w:sz w:val="16"/>
                <w:szCs w:val="16"/>
              </w:rPr>
              <w:t>Інформація, що була надана Депоненту, забезпечила правильне розуміння Депонентом  суті фінансової послуги, що має надаватись, без нав'язування її придбання.</w:t>
            </w:r>
          </w:p>
          <w:p w14:paraId="793F0286" w14:textId="77777777" w:rsidR="00933C25" w:rsidRPr="00E16672" w:rsidRDefault="00933C25" w:rsidP="00E27FD1">
            <w:pPr>
              <w:pStyle w:val="1b"/>
              <w:spacing w:before="0" w:after="0"/>
              <w:ind w:left="175" w:right="138"/>
              <w:rPr>
                <w:rFonts w:ascii="Times New Roman" w:eastAsia="Times New Roman" w:hAnsi="Times New Roman" w:cs="Times New Roman"/>
                <w:sz w:val="16"/>
                <w:szCs w:val="16"/>
                <w:shd w:val="clear" w:color="auto" w:fill="FFFF00"/>
                <w:lang w:val="ru-RU"/>
              </w:rPr>
            </w:pPr>
          </w:p>
        </w:tc>
        <w:tc>
          <w:tcPr>
            <w:tcW w:w="5494" w:type="dxa"/>
            <w:gridSpan w:val="7"/>
            <w:shd w:val="clear" w:color="auto" w:fill="auto"/>
          </w:tcPr>
          <w:p w14:paraId="0150B483" w14:textId="77777777" w:rsidR="00933C25" w:rsidRPr="00E16672" w:rsidRDefault="00933C25" w:rsidP="00E27FD1">
            <w:pPr>
              <w:pStyle w:val="310"/>
              <w:tabs>
                <w:tab w:val="left" w:pos="287"/>
                <w:tab w:val="left" w:pos="1137"/>
                <w:tab w:val="left" w:pos="1191"/>
              </w:tabs>
              <w:ind w:left="145" w:right="100" w:firstLine="0"/>
              <w:rPr>
                <w:rFonts w:ascii="Times New Roman" w:hAnsi="Times New Roman"/>
                <w:sz w:val="16"/>
                <w:szCs w:val="16"/>
                <w:lang w:val="en-US"/>
              </w:rPr>
            </w:pPr>
            <w:proofErr w:type="spellStart"/>
            <w:r w:rsidRPr="00E16672">
              <w:rPr>
                <w:rFonts w:ascii="Times New Roman" w:hAnsi="Times New Roman"/>
                <w:sz w:val="16"/>
                <w:szCs w:val="16"/>
              </w:rPr>
              <w:t>Depositor</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confirms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that</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r w:rsidRPr="00E16672">
              <w:rPr>
                <w:rFonts w:ascii="Times New Roman" w:hAnsi="Times New Roman"/>
                <w:sz w:val="16"/>
                <w:szCs w:val="16"/>
                <w:lang w:val="en-US"/>
              </w:rPr>
              <w:t>D</w:t>
            </w:r>
            <w:proofErr w:type="spellStart"/>
            <w:r w:rsidRPr="00E16672">
              <w:rPr>
                <w:rFonts w:ascii="Times New Roman" w:hAnsi="Times New Roman"/>
                <w:sz w:val="16"/>
                <w:szCs w:val="16"/>
              </w:rPr>
              <w:t>epository</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institution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provided</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him</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information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referred</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to</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in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Article</w:t>
            </w:r>
            <w:proofErr w:type="spellEnd"/>
            <w:r w:rsidRPr="00E16672">
              <w:rPr>
                <w:rFonts w:ascii="Times New Roman" w:hAnsi="Times New Roman"/>
                <w:sz w:val="16"/>
                <w:szCs w:val="16"/>
              </w:rPr>
              <w:t xml:space="preserve"> 12 </w:t>
            </w:r>
            <w:proofErr w:type="spellStart"/>
            <w:r w:rsidRPr="00E16672">
              <w:rPr>
                <w:rFonts w:ascii="Times New Roman" w:hAnsi="Times New Roman"/>
                <w:sz w:val="16"/>
                <w:szCs w:val="16"/>
              </w:rPr>
              <w:t>of</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Law</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of</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Ukraine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Financial</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Services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and</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State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Regulation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of</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Financial</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Services</w:t>
            </w:r>
            <w:proofErr w:type="spellEnd"/>
            <w:r w:rsidRPr="00E16672">
              <w:rPr>
                <w:rFonts w:ascii="Times New Roman" w:hAnsi="Times New Roman"/>
                <w:sz w:val="16"/>
                <w:szCs w:val="16"/>
              </w:rPr>
              <w:t>."</w:t>
            </w:r>
            <w:r w:rsidRPr="00E16672">
              <w:rPr>
                <w:rFonts w:ascii="Times New Roman" w:hAnsi="Times New Roman"/>
                <w:sz w:val="16"/>
                <w:szCs w:val="16"/>
                <w:lang w:val="en-US"/>
              </w:rPr>
              <w:t xml:space="preserve">    </w:t>
            </w:r>
          </w:p>
          <w:p w14:paraId="1029B360" w14:textId="77777777" w:rsidR="00933C25" w:rsidRPr="00E16672" w:rsidRDefault="00933C25" w:rsidP="00E27FD1">
            <w:pPr>
              <w:pStyle w:val="310"/>
              <w:tabs>
                <w:tab w:val="left" w:pos="287"/>
                <w:tab w:val="left" w:pos="1137"/>
                <w:tab w:val="left" w:pos="1191"/>
              </w:tabs>
              <w:ind w:left="145" w:right="100" w:firstLine="0"/>
              <w:rPr>
                <w:rFonts w:ascii="Times New Roman" w:hAnsi="Times New Roman"/>
                <w:sz w:val="16"/>
                <w:szCs w:val="16"/>
              </w:rPr>
            </w:pPr>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Information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was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provided</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by</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Depositor</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Depositor</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has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provided</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proper</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understanding</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of</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financial</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services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should</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be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provided</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without</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imposing</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its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acquisition</w:t>
            </w:r>
            <w:proofErr w:type="spellEnd"/>
            <w:r w:rsidRPr="00E16672">
              <w:rPr>
                <w:rFonts w:ascii="Times New Roman" w:hAnsi="Times New Roman"/>
                <w:sz w:val="16"/>
                <w:szCs w:val="16"/>
              </w:rPr>
              <w:t>.</w:t>
            </w:r>
          </w:p>
        </w:tc>
      </w:tr>
      <w:tr w:rsidR="00933C25" w:rsidRPr="00F23413" w14:paraId="4971EA83" w14:textId="77777777" w:rsidTr="00D77858">
        <w:tblPrEx>
          <w:tblCellMar>
            <w:left w:w="0" w:type="dxa"/>
            <w:right w:w="0" w:type="dxa"/>
          </w:tblCellMar>
        </w:tblPrEx>
        <w:trPr>
          <w:trHeight w:val="951"/>
        </w:trPr>
        <w:tc>
          <w:tcPr>
            <w:tcW w:w="5696" w:type="dxa"/>
            <w:gridSpan w:val="6"/>
            <w:shd w:val="clear" w:color="auto" w:fill="auto"/>
          </w:tcPr>
          <w:p w14:paraId="00000409" w14:textId="77777777" w:rsidR="00907FFB" w:rsidRPr="00E16672" w:rsidRDefault="00933C25" w:rsidP="00022F5F">
            <w:pPr>
              <w:pStyle w:val="ae"/>
              <w:tabs>
                <w:tab w:val="left" w:pos="426"/>
              </w:tabs>
              <w:snapToGrid w:val="0"/>
              <w:ind w:left="175" w:right="138" w:firstLine="0"/>
              <w:jc w:val="left"/>
              <w:rPr>
                <w:rFonts w:ascii="Times New Roman" w:hAnsi="Times New Roman"/>
                <w:sz w:val="16"/>
                <w:szCs w:val="16"/>
              </w:rPr>
            </w:pPr>
            <w:r w:rsidRPr="00E16672">
              <w:rPr>
                <w:rFonts w:ascii="Times New Roman" w:hAnsi="Times New Roman"/>
                <w:sz w:val="16"/>
                <w:szCs w:val="16"/>
              </w:rPr>
              <w:lastRenderedPageBreak/>
              <w:t>8.</w:t>
            </w:r>
            <w:r w:rsidRPr="00E16672">
              <w:rPr>
                <w:rFonts w:ascii="Times New Roman" w:hAnsi="Times New Roman"/>
                <w:sz w:val="16"/>
                <w:szCs w:val="16"/>
                <w:lang w:val="ru-RU"/>
              </w:rPr>
              <w:t>3.</w:t>
            </w:r>
            <w:r w:rsidRPr="00E16672">
              <w:rPr>
                <w:rFonts w:ascii="Times New Roman" w:hAnsi="Times New Roman"/>
                <w:sz w:val="16"/>
                <w:szCs w:val="16"/>
              </w:rPr>
              <w:t xml:space="preserve"> На виконання вимог Закону України </w:t>
            </w:r>
            <w:r w:rsidR="00022F5F">
              <w:rPr>
                <w:rFonts w:ascii="Times New Roman" w:hAnsi="Times New Roman"/>
                <w:sz w:val="16"/>
                <w:szCs w:val="16"/>
              </w:rPr>
              <w:t>"</w:t>
            </w:r>
            <w:r w:rsidRPr="00E16672">
              <w:rPr>
                <w:rFonts w:ascii="Times New Roman" w:hAnsi="Times New Roman"/>
                <w:sz w:val="16"/>
                <w:szCs w:val="16"/>
              </w:rPr>
              <w:t>Про захист персональних даних</w:t>
            </w:r>
            <w:r w:rsidR="00022F5F">
              <w:rPr>
                <w:rFonts w:ascii="Times New Roman" w:hAnsi="Times New Roman"/>
                <w:sz w:val="16"/>
                <w:szCs w:val="16"/>
              </w:rPr>
              <w:t>"</w:t>
            </w:r>
            <w:r w:rsidRPr="00E16672">
              <w:rPr>
                <w:rFonts w:ascii="Times New Roman" w:hAnsi="Times New Roman"/>
                <w:sz w:val="16"/>
                <w:szCs w:val="16"/>
              </w:rPr>
              <w:t xml:space="preserve"> у разі отримання Депозитарною установою інформації, яка стосується персональних даних фізичних осіб, Сторона, що надала такі дані підписанням цього Договору підтверджує легітимність їх отримання, та право на передання Депозитарній установі таких даних для використання (обробки) Депозитарною установою у випадках, передбачених законодавством, а також – передання Депозитарною установою таких даних третім особам у випадках встановлених чинним законодавством України. </w:t>
            </w:r>
          </w:p>
          <w:p w14:paraId="1BA78DAC" w14:textId="77777777" w:rsidR="00933C25" w:rsidRPr="00E16672" w:rsidRDefault="00933C25" w:rsidP="00141B39">
            <w:pPr>
              <w:pStyle w:val="ae"/>
              <w:tabs>
                <w:tab w:val="left" w:pos="426"/>
              </w:tabs>
              <w:snapToGrid w:val="0"/>
              <w:ind w:left="175" w:right="138" w:firstLine="0"/>
              <w:rPr>
                <w:rFonts w:ascii="Times New Roman" w:hAnsi="Times New Roman"/>
                <w:sz w:val="16"/>
                <w:szCs w:val="16"/>
              </w:rPr>
            </w:pPr>
          </w:p>
        </w:tc>
        <w:tc>
          <w:tcPr>
            <w:tcW w:w="5494" w:type="dxa"/>
            <w:gridSpan w:val="7"/>
            <w:shd w:val="clear" w:color="auto" w:fill="auto"/>
          </w:tcPr>
          <w:p w14:paraId="05F2CAC1" w14:textId="77777777" w:rsidR="00933C25" w:rsidRPr="00E16672" w:rsidRDefault="00933C25" w:rsidP="00022F5F">
            <w:pPr>
              <w:pStyle w:val="310"/>
              <w:tabs>
                <w:tab w:val="left" w:pos="287"/>
                <w:tab w:val="left" w:pos="1137"/>
                <w:tab w:val="left" w:pos="1191"/>
              </w:tabs>
              <w:snapToGrid w:val="0"/>
              <w:ind w:left="145" w:right="100" w:firstLine="0"/>
              <w:jc w:val="left"/>
              <w:rPr>
                <w:rFonts w:ascii="Times New Roman" w:hAnsi="Times New Roman"/>
                <w:sz w:val="16"/>
                <w:szCs w:val="16"/>
              </w:rPr>
            </w:pPr>
            <w:r w:rsidRPr="00E16672">
              <w:rPr>
                <w:rFonts w:ascii="Times New Roman" w:hAnsi="Times New Roman"/>
                <w:sz w:val="16"/>
                <w:szCs w:val="16"/>
                <w:lang w:val="en-US"/>
              </w:rPr>
              <w:t>8</w:t>
            </w:r>
            <w:r w:rsidRPr="00E16672">
              <w:rPr>
                <w:rFonts w:ascii="Times New Roman" w:hAnsi="Times New Roman"/>
                <w:sz w:val="16"/>
                <w:szCs w:val="16"/>
              </w:rPr>
              <w:t>.</w:t>
            </w:r>
            <w:r w:rsidRPr="00E16672">
              <w:rPr>
                <w:rFonts w:ascii="Times New Roman" w:hAnsi="Times New Roman"/>
                <w:sz w:val="16"/>
                <w:szCs w:val="16"/>
                <w:lang w:val="en-US"/>
              </w:rPr>
              <w:t>3</w:t>
            </w:r>
            <w:r w:rsidRPr="00E16672">
              <w:rPr>
                <w:rFonts w:ascii="Times New Roman" w:hAnsi="Times New Roman"/>
                <w:sz w:val="16"/>
                <w:szCs w:val="16"/>
                <w:lang w:val="en-GB"/>
              </w:rPr>
              <w:t xml:space="preserve">. </w:t>
            </w:r>
            <w:proofErr w:type="spellStart"/>
            <w:r w:rsidRPr="00E16672">
              <w:rPr>
                <w:rFonts w:ascii="Times New Roman" w:hAnsi="Times New Roman"/>
                <w:sz w:val="16"/>
                <w:szCs w:val="16"/>
              </w:rPr>
              <w:t>Pursuant</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to</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requirements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of</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Law</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of</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Ukraine</w:t>
            </w:r>
            <w:proofErr w:type="spellEnd"/>
            <w:r w:rsidRPr="00E16672">
              <w:rPr>
                <w:rFonts w:ascii="Times New Roman" w:hAnsi="Times New Roman"/>
                <w:sz w:val="16"/>
                <w:szCs w:val="16"/>
              </w:rPr>
              <w:t xml:space="preserve"> </w:t>
            </w:r>
            <w:r w:rsidR="00022F5F">
              <w:rPr>
                <w:rFonts w:ascii="Times New Roman" w:hAnsi="Times New Roman"/>
                <w:sz w:val="16"/>
                <w:szCs w:val="16"/>
              </w:rPr>
              <w:t>"</w:t>
            </w:r>
            <w:proofErr w:type="spellStart"/>
            <w:r w:rsidRPr="00E16672">
              <w:rPr>
                <w:rFonts w:ascii="Times New Roman" w:hAnsi="Times New Roman"/>
                <w:sz w:val="16"/>
                <w:szCs w:val="16"/>
              </w:rPr>
              <w:t>On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Personal</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Data</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Protection</w:t>
            </w:r>
            <w:proofErr w:type="spellEnd"/>
            <w:r w:rsidR="00022F5F">
              <w:rPr>
                <w:rFonts w:ascii="Times New Roman" w:hAnsi="Times New Roman"/>
                <w:sz w:val="16"/>
                <w:szCs w:val="16"/>
              </w:rPr>
              <w:t>"</w:t>
            </w:r>
            <w:r w:rsidR="006C6D35" w:rsidRPr="00E16672">
              <w:rPr>
                <w:rFonts w:ascii="Times New Roman" w:hAnsi="Times New Roman"/>
                <w:strike/>
                <w:color w:val="FF00FF"/>
                <w:sz w:val="16"/>
                <w:szCs w:val="16"/>
              </w:rPr>
              <w:t xml:space="preserve"> </w:t>
            </w:r>
            <w:proofErr w:type="spellStart"/>
            <w:r w:rsidRPr="00E16672">
              <w:rPr>
                <w:rFonts w:ascii="Times New Roman" w:hAnsi="Times New Roman"/>
                <w:sz w:val="16"/>
                <w:szCs w:val="16"/>
              </w:rPr>
              <w:t>in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case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of</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Depository</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institution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information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regarding</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personal</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data</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of</w:t>
            </w:r>
            <w:proofErr w:type="spellEnd"/>
            <w:r w:rsidRPr="00E16672">
              <w:rPr>
                <w:rFonts w:ascii="Times New Roman" w:hAnsi="Times New Roman"/>
                <w:sz w:val="16"/>
                <w:szCs w:val="16"/>
              </w:rPr>
              <w:t xml:space="preserve"> </w:t>
            </w:r>
            <w:r w:rsidRPr="00E16672">
              <w:rPr>
                <w:rFonts w:ascii="Times New Roman" w:hAnsi="Times New Roman"/>
                <w:sz w:val="16"/>
                <w:szCs w:val="16"/>
                <w:lang w:val="en-US"/>
              </w:rPr>
              <w:t>physical persons</w:t>
            </w:r>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Party</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that</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supplied</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data</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by</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signature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of</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Agreement</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confirms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legitimacy</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of</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their</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production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and</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right</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to</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transfer</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to</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Depository</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institution</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of</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data</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to</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use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processing</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by</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Depository</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institution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in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cases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required</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by</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law</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and</w:t>
            </w:r>
            <w:proofErr w:type="spellEnd"/>
            <w:r w:rsidRPr="00E16672">
              <w:rPr>
                <w:rFonts w:ascii="Times New Roman" w:hAnsi="Times New Roman"/>
                <w:sz w:val="16"/>
                <w:szCs w:val="16"/>
              </w:rPr>
              <w:t xml:space="preserve"> - </w:t>
            </w:r>
            <w:proofErr w:type="spellStart"/>
            <w:r w:rsidRPr="00E16672">
              <w:rPr>
                <w:rFonts w:ascii="Times New Roman" w:hAnsi="Times New Roman"/>
                <w:sz w:val="16"/>
                <w:szCs w:val="16"/>
              </w:rPr>
              <w:t>Depository</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institution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transfer</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such</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data</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to</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third</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parties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in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cases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stipulated</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by</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current</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legislation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of</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Ukraine</w:t>
            </w:r>
            <w:proofErr w:type="spellEnd"/>
            <w:r w:rsidRPr="00E16672">
              <w:rPr>
                <w:rFonts w:ascii="Times New Roman" w:hAnsi="Times New Roman"/>
                <w:sz w:val="16"/>
                <w:szCs w:val="16"/>
              </w:rPr>
              <w:t>.</w:t>
            </w:r>
          </w:p>
          <w:p w14:paraId="4E590DC4" w14:textId="77777777" w:rsidR="00933C25" w:rsidRPr="00E16672" w:rsidRDefault="00933C25" w:rsidP="00E27FD1">
            <w:pPr>
              <w:pStyle w:val="210"/>
              <w:tabs>
                <w:tab w:val="left" w:pos="287"/>
              </w:tabs>
              <w:ind w:left="145" w:right="100" w:firstLine="0"/>
              <w:rPr>
                <w:rFonts w:ascii="Times New Roman" w:hAnsi="Times New Roman"/>
                <w:b/>
                <w:bCs/>
                <w:sz w:val="16"/>
                <w:szCs w:val="16"/>
                <w:lang w:val="en-GB"/>
              </w:rPr>
            </w:pPr>
          </w:p>
        </w:tc>
      </w:tr>
      <w:tr w:rsidR="00933C25" w:rsidRPr="00F23413" w14:paraId="793E4661" w14:textId="77777777" w:rsidTr="00D77858">
        <w:tblPrEx>
          <w:tblCellMar>
            <w:left w:w="0" w:type="dxa"/>
            <w:right w:w="0" w:type="dxa"/>
          </w:tblCellMar>
        </w:tblPrEx>
        <w:trPr>
          <w:trHeight w:val="707"/>
        </w:trPr>
        <w:tc>
          <w:tcPr>
            <w:tcW w:w="5696" w:type="dxa"/>
            <w:gridSpan w:val="6"/>
            <w:shd w:val="clear" w:color="auto" w:fill="auto"/>
          </w:tcPr>
          <w:p w14:paraId="323E7EB4" w14:textId="77777777" w:rsidR="00933C25" w:rsidRPr="00E16672" w:rsidRDefault="00933C25" w:rsidP="00141B39">
            <w:pPr>
              <w:snapToGrid w:val="0"/>
              <w:ind w:left="175" w:right="138" w:firstLine="0"/>
              <w:rPr>
                <w:rFonts w:ascii="Times New Roman" w:hAnsi="Times New Roman"/>
                <w:sz w:val="16"/>
                <w:szCs w:val="16"/>
              </w:rPr>
            </w:pPr>
            <w:r w:rsidRPr="00E16672">
              <w:rPr>
                <w:rFonts w:ascii="Times New Roman" w:hAnsi="Times New Roman"/>
                <w:sz w:val="16"/>
                <w:szCs w:val="16"/>
              </w:rPr>
              <w:t>8.</w:t>
            </w:r>
            <w:r w:rsidR="002634C8" w:rsidRPr="00E16672">
              <w:rPr>
                <w:rFonts w:ascii="Times New Roman" w:hAnsi="Times New Roman"/>
                <w:sz w:val="16"/>
                <w:szCs w:val="16"/>
                <w:lang w:val="uk-UA"/>
              </w:rPr>
              <w:t>4</w:t>
            </w:r>
            <w:r w:rsidRPr="00E16672">
              <w:rPr>
                <w:rFonts w:ascii="Times New Roman" w:hAnsi="Times New Roman"/>
                <w:sz w:val="16"/>
                <w:szCs w:val="16"/>
              </w:rPr>
              <w:t xml:space="preserve">. </w:t>
            </w:r>
            <w:proofErr w:type="spellStart"/>
            <w:r w:rsidRPr="00E16672">
              <w:rPr>
                <w:rFonts w:ascii="Times New Roman" w:hAnsi="Times New Roman"/>
                <w:sz w:val="16"/>
                <w:szCs w:val="16"/>
              </w:rPr>
              <w:t>Додаткові</w:t>
            </w:r>
            <w:proofErr w:type="spellEnd"/>
            <w:r w:rsidRPr="00E16672">
              <w:rPr>
                <w:rFonts w:ascii="Times New Roman" w:hAnsi="Times New Roman"/>
                <w:sz w:val="16"/>
                <w:szCs w:val="16"/>
              </w:rPr>
              <w:t xml:space="preserve"> угоди </w:t>
            </w:r>
            <w:proofErr w:type="spellStart"/>
            <w:r w:rsidRPr="00E16672">
              <w:rPr>
                <w:rFonts w:ascii="Times New Roman" w:hAnsi="Times New Roman"/>
                <w:sz w:val="16"/>
                <w:szCs w:val="16"/>
              </w:rPr>
              <w:t>набирають</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чинності</w:t>
            </w:r>
            <w:proofErr w:type="spellEnd"/>
            <w:r w:rsidRPr="00E16672">
              <w:rPr>
                <w:rFonts w:ascii="Times New Roman" w:hAnsi="Times New Roman"/>
                <w:sz w:val="16"/>
                <w:szCs w:val="16"/>
              </w:rPr>
              <w:t xml:space="preserve"> з моменту </w:t>
            </w:r>
            <w:proofErr w:type="spellStart"/>
            <w:r w:rsidRPr="00E16672">
              <w:rPr>
                <w:rFonts w:ascii="Times New Roman" w:hAnsi="Times New Roman"/>
                <w:sz w:val="16"/>
                <w:szCs w:val="16"/>
              </w:rPr>
              <w:t>їх</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підписання</w:t>
            </w:r>
            <w:proofErr w:type="spellEnd"/>
            <w:r w:rsidRPr="00E16672">
              <w:rPr>
                <w:rFonts w:ascii="Times New Roman" w:hAnsi="Times New Roman"/>
                <w:sz w:val="16"/>
                <w:szCs w:val="16"/>
              </w:rPr>
              <w:t xml:space="preserve"> та є </w:t>
            </w:r>
            <w:proofErr w:type="spellStart"/>
            <w:r w:rsidRPr="00E16672">
              <w:rPr>
                <w:rFonts w:ascii="Times New Roman" w:hAnsi="Times New Roman"/>
                <w:sz w:val="16"/>
                <w:szCs w:val="16"/>
              </w:rPr>
              <w:t>невід’ємною</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частиною</w:t>
            </w:r>
            <w:proofErr w:type="spellEnd"/>
            <w:r w:rsidRPr="00E16672">
              <w:rPr>
                <w:rFonts w:ascii="Times New Roman" w:hAnsi="Times New Roman"/>
                <w:sz w:val="16"/>
                <w:szCs w:val="16"/>
              </w:rPr>
              <w:t xml:space="preserve"> Договору.</w:t>
            </w:r>
          </w:p>
        </w:tc>
        <w:tc>
          <w:tcPr>
            <w:tcW w:w="5494" w:type="dxa"/>
            <w:gridSpan w:val="7"/>
            <w:shd w:val="clear" w:color="auto" w:fill="auto"/>
          </w:tcPr>
          <w:p w14:paraId="228F9470" w14:textId="77777777" w:rsidR="00933C25" w:rsidRPr="00E16672" w:rsidRDefault="00933C25" w:rsidP="00141B39">
            <w:pPr>
              <w:pStyle w:val="310"/>
              <w:tabs>
                <w:tab w:val="left" w:pos="1137"/>
                <w:tab w:val="left" w:pos="1191"/>
              </w:tabs>
              <w:snapToGrid w:val="0"/>
              <w:ind w:left="175" w:right="138" w:firstLine="0"/>
              <w:rPr>
                <w:rFonts w:ascii="Times New Roman" w:hAnsi="Times New Roman"/>
                <w:sz w:val="16"/>
                <w:szCs w:val="16"/>
                <w:lang w:val="en-US"/>
              </w:rPr>
            </w:pPr>
            <w:r w:rsidRPr="00E16672">
              <w:rPr>
                <w:rFonts w:ascii="Times New Roman" w:hAnsi="Times New Roman"/>
                <w:sz w:val="16"/>
                <w:szCs w:val="16"/>
              </w:rPr>
              <w:t>8.</w:t>
            </w:r>
            <w:r w:rsidR="002634C8" w:rsidRPr="00E16672">
              <w:rPr>
                <w:rFonts w:ascii="Times New Roman" w:hAnsi="Times New Roman"/>
                <w:sz w:val="16"/>
                <w:szCs w:val="16"/>
              </w:rPr>
              <w:t>4</w:t>
            </w:r>
            <w:r w:rsidRPr="00E16672">
              <w:rPr>
                <w:rFonts w:ascii="Times New Roman" w:hAnsi="Times New Roman"/>
                <w:sz w:val="16"/>
                <w:szCs w:val="16"/>
              </w:rPr>
              <w:t xml:space="preserve">. </w:t>
            </w:r>
            <w:proofErr w:type="spellStart"/>
            <w:r w:rsidRPr="00E16672">
              <w:rPr>
                <w:rFonts w:ascii="Times New Roman" w:hAnsi="Times New Roman"/>
                <w:sz w:val="16"/>
                <w:szCs w:val="16"/>
              </w:rPr>
              <w:t>Additional</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agreements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inures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since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day</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when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it</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were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been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signed</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and</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become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an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integral</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part</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of</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Agreement</w:t>
            </w:r>
            <w:proofErr w:type="spellEnd"/>
            <w:r w:rsidRPr="00E16672">
              <w:rPr>
                <w:rFonts w:ascii="Times New Roman" w:hAnsi="Times New Roman"/>
                <w:sz w:val="16"/>
                <w:szCs w:val="16"/>
              </w:rPr>
              <w:t>.</w:t>
            </w:r>
          </w:p>
        </w:tc>
      </w:tr>
      <w:tr w:rsidR="00933C25" w:rsidRPr="00F23413" w14:paraId="161C3554" w14:textId="77777777" w:rsidTr="00D77858">
        <w:tblPrEx>
          <w:tblCellMar>
            <w:left w:w="0" w:type="dxa"/>
            <w:right w:w="0" w:type="dxa"/>
          </w:tblCellMar>
        </w:tblPrEx>
        <w:trPr>
          <w:trHeight w:val="558"/>
        </w:trPr>
        <w:tc>
          <w:tcPr>
            <w:tcW w:w="5696" w:type="dxa"/>
            <w:gridSpan w:val="6"/>
            <w:shd w:val="clear" w:color="auto" w:fill="auto"/>
          </w:tcPr>
          <w:p w14:paraId="651EF232" w14:textId="77777777" w:rsidR="00933C25" w:rsidRPr="00E16672" w:rsidRDefault="00933C25" w:rsidP="00141B39">
            <w:pPr>
              <w:ind w:left="175" w:right="138" w:firstLine="0"/>
              <w:rPr>
                <w:rFonts w:ascii="Times New Roman" w:hAnsi="Times New Roman"/>
                <w:color w:val="000000"/>
                <w:sz w:val="16"/>
                <w:szCs w:val="16"/>
                <w:lang w:val="uk-UA"/>
              </w:rPr>
            </w:pPr>
            <w:r w:rsidRPr="00E16672">
              <w:rPr>
                <w:rFonts w:ascii="Times New Roman" w:hAnsi="Times New Roman"/>
                <w:color w:val="000000"/>
                <w:sz w:val="16"/>
                <w:szCs w:val="16"/>
              </w:rPr>
              <w:t>8.</w:t>
            </w:r>
            <w:r w:rsidR="002634C8" w:rsidRPr="00E16672">
              <w:rPr>
                <w:rFonts w:ascii="Times New Roman" w:hAnsi="Times New Roman"/>
                <w:color w:val="000000"/>
                <w:sz w:val="16"/>
                <w:szCs w:val="16"/>
                <w:lang w:val="uk-UA"/>
              </w:rPr>
              <w:t>5</w:t>
            </w:r>
            <w:r w:rsidRPr="00E16672">
              <w:rPr>
                <w:rFonts w:ascii="Times New Roman" w:hAnsi="Times New Roman"/>
                <w:color w:val="000000"/>
                <w:sz w:val="16"/>
                <w:szCs w:val="16"/>
              </w:rPr>
              <w:t xml:space="preserve">. </w:t>
            </w:r>
            <w:r w:rsidRPr="00E16672">
              <w:rPr>
                <w:rFonts w:ascii="Times New Roman" w:hAnsi="Times New Roman"/>
                <w:color w:val="000000"/>
                <w:sz w:val="16"/>
                <w:szCs w:val="16"/>
                <w:lang w:val="uk-UA"/>
              </w:rPr>
              <w:t>При виконанні даного Договору Сторони керуються умовами Договору</w:t>
            </w:r>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внутрішніх</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документів</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Депозитарної</w:t>
            </w:r>
            <w:proofErr w:type="spellEnd"/>
            <w:r w:rsidRPr="00E16672">
              <w:rPr>
                <w:rFonts w:ascii="Times New Roman" w:hAnsi="Times New Roman"/>
                <w:color w:val="000000"/>
                <w:sz w:val="16"/>
                <w:szCs w:val="16"/>
              </w:rPr>
              <w:t xml:space="preserve"> установи </w:t>
            </w:r>
            <w:r w:rsidRPr="00E16672">
              <w:rPr>
                <w:rFonts w:ascii="Times New Roman" w:hAnsi="Times New Roman"/>
                <w:color w:val="000000"/>
                <w:sz w:val="16"/>
                <w:szCs w:val="16"/>
                <w:lang w:val="uk-UA"/>
              </w:rPr>
              <w:t>та законодавством України.</w:t>
            </w:r>
          </w:p>
          <w:p w14:paraId="6F3E44D9" w14:textId="77777777" w:rsidR="00933C25" w:rsidRPr="00E16672" w:rsidRDefault="00933C25" w:rsidP="00AB3C26">
            <w:pPr>
              <w:snapToGrid w:val="0"/>
              <w:ind w:left="175" w:right="138"/>
              <w:rPr>
                <w:rFonts w:ascii="Times New Roman" w:hAnsi="Times New Roman"/>
                <w:color w:val="000000"/>
                <w:sz w:val="16"/>
                <w:szCs w:val="16"/>
              </w:rPr>
            </w:pPr>
            <w:r w:rsidRPr="00E16672">
              <w:rPr>
                <w:rFonts w:ascii="Times New Roman" w:hAnsi="Times New Roman"/>
                <w:color w:val="000000"/>
                <w:sz w:val="16"/>
                <w:szCs w:val="16"/>
              </w:rPr>
              <w:t>.</w:t>
            </w:r>
          </w:p>
        </w:tc>
        <w:tc>
          <w:tcPr>
            <w:tcW w:w="5494" w:type="dxa"/>
            <w:gridSpan w:val="7"/>
            <w:shd w:val="clear" w:color="auto" w:fill="auto"/>
          </w:tcPr>
          <w:p w14:paraId="42E42D1F" w14:textId="77777777" w:rsidR="00933C25" w:rsidRPr="00E16672" w:rsidRDefault="00933C25" w:rsidP="00141B39">
            <w:pPr>
              <w:snapToGrid w:val="0"/>
              <w:ind w:left="145" w:right="100" w:firstLine="0"/>
              <w:rPr>
                <w:rFonts w:ascii="Times New Roman" w:hAnsi="Times New Roman"/>
                <w:color w:val="000000"/>
                <w:sz w:val="16"/>
                <w:szCs w:val="16"/>
                <w:lang w:val="en-GB"/>
              </w:rPr>
            </w:pPr>
            <w:r w:rsidRPr="00E16672">
              <w:rPr>
                <w:rFonts w:ascii="Times New Roman" w:hAnsi="Times New Roman"/>
                <w:color w:val="000000"/>
                <w:sz w:val="16"/>
                <w:szCs w:val="16"/>
                <w:lang w:val="en-GB"/>
              </w:rPr>
              <w:t>8.</w:t>
            </w:r>
            <w:r w:rsidR="002634C8" w:rsidRPr="00E16672">
              <w:rPr>
                <w:rFonts w:ascii="Times New Roman" w:hAnsi="Times New Roman"/>
                <w:color w:val="000000"/>
                <w:sz w:val="16"/>
                <w:szCs w:val="16"/>
                <w:lang w:val="uk-UA"/>
              </w:rPr>
              <w:t xml:space="preserve">5. </w:t>
            </w:r>
            <w:r w:rsidR="002634C8" w:rsidRPr="00E16672">
              <w:rPr>
                <w:rFonts w:ascii="Times New Roman" w:hAnsi="Times New Roman"/>
                <w:color w:val="000000"/>
                <w:sz w:val="16"/>
                <w:szCs w:val="16"/>
                <w:lang w:val="en-GB"/>
              </w:rPr>
              <w:t xml:space="preserve">In </w:t>
            </w:r>
            <w:r w:rsidRPr="00E16672">
              <w:rPr>
                <w:rFonts w:ascii="Times New Roman" w:hAnsi="Times New Roman"/>
                <w:color w:val="000000"/>
                <w:sz w:val="16"/>
                <w:szCs w:val="16"/>
                <w:lang w:val="en-GB"/>
              </w:rPr>
              <w:t xml:space="preserve">the performance of this Agreement, Parties shall be guided by the Agreement, </w:t>
            </w:r>
            <w:r w:rsidRPr="00E16672">
              <w:rPr>
                <w:rFonts w:ascii="Times New Roman" w:hAnsi="Times New Roman"/>
                <w:iCs/>
                <w:color w:val="000000"/>
                <w:sz w:val="16"/>
                <w:szCs w:val="16"/>
                <w:lang w:val="en-US"/>
              </w:rPr>
              <w:t>internal documents of the Depository institution</w:t>
            </w:r>
            <w:r w:rsidRPr="00E16672">
              <w:rPr>
                <w:rFonts w:ascii="Times New Roman" w:hAnsi="Times New Roman"/>
                <w:color w:val="000000"/>
                <w:sz w:val="16"/>
                <w:szCs w:val="16"/>
                <w:lang w:val="en-GB"/>
              </w:rPr>
              <w:t xml:space="preserve"> and the legislation of Ukraine.</w:t>
            </w:r>
          </w:p>
          <w:p w14:paraId="46A3D481" w14:textId="77777777" w:rsidR="00933C25" w:rsidRPr="00E16672" w:rsidRDefault="00933C25" w:rsidP="00AB3C26">
            <w:pPr>
              <w:pStyle w:val="210"/>
              <w:ind w:left="175" w:right="138" w:firstLine="0"/>
              <w:rPr>
                <w:rFonts w:ascii="Times New Roman" w:hAnsi="Times New Roman"/>
                <w:color w:val="000000"/>
                <w:sz w:val="16"/>
                <w:szCs w:val="16"/>
                <w:lang w:val="en-GB"/>
              </w:rPr>
            </w:pPr>
          </w:p>
        </w:tc>
      </w:tr>
      <w:tr w:rsidR="00933C25" w:rsidRPr="00F23413" w14:paraId="1B091B52" w14:textId="77777777" w:rsidTr="00D77858">
        <w:tblPrEx>
          <w:tblCellMar>
            <w:left w:w="0" w:type="dxa"/>
            <w:right w:w="0" w:type="dxa"/>
          </w:tblCellMar>
        </w:tblPrEx>
        <w:trPr>
          <w:trHeight w:val="977"/>
        </w:trPr>
        <w:tc>
          <w:tcPr>
            <w:tcW w:w="5696" w:type="dxa"/>
            <w:gridSpan w:val="6"/>
            <w:shd w:val="clear" w:color="auto" w:fill="auto"/>
          </w:tcPr>
          <w:p w14:paraId="53369089" w14:textId="77777777" w:rsidR="00933C25" w:rsidRPr="00E16672" w:rsidRDefault="00933C25" w:rsidP="00141B39">
            <w:pPr>
              <w:snapToGrid w:val="0"/>
              <w:ind w:left="175" w:right="138" w:firstLine="0"/>
              <w:rPr>
                <w:rFonts w:ascii="Times New Roman" w:hAnsi="Times New Roman"/>
                <w:sz w:val="16"/>
                <w:szCs w:val="16"/>
              </w:rPr>
            </w:pPr>
            <w:r w:rsidRPr="00E16672">
              <w:rPr>
                <w:rFonts w:ascii="Times New Roman" w:hAnsi="Times New Roman"/>
                <w:sz w:val="16"/>
                <w:szCs w:val="16"/>
              </w:rPr>
              <w:t>8.</w:t>
            </w:r>
            <w:r w:rsidR="002634C8" w:rsidRPr="00E16672">
              <w:rPr>
                <w:rFonts w:ascii="Times New Roman" w:hAnsi="Times New Roman"/>
                <w:sz w:val="16"/>
                <w:szCs w:val="16"/>
                <w:lang w:val="uk-UA"/>
              </w:rPr>
              <w:t>6</w:t>
            </w:r>
            <w:r w:rsidRPr="00E16672">
              <w:rPr>
                <w:rFonts w:ascii="Times New Roman" w:hAnsi="Times New Roman"/>
                <w:sz w:val="16"/>
                <w:szCs w:val="16"/>
              </w:rPr>
              <w:t xml:space="preserve">. Депонент </w:t>
            </w:r>
            <w:proofErr w:type="spellStart"/>
            <w:r w:rsidRPr="00E16672">
              <w:rPr>
                <w:rFonts w:ascii="Times New Roman" w:hAnsi="Times New Roman"/>
                <w:sz w:val="16"/>
                <w:szCs w:val="16"/>
              </w:rPr>
              <w:t>бере</w:t>
            </w:r>
            <w:proofErr w:type="spellEnd"/>
            <w:r w:rsidRPr="00E16672">
              <w:rPr>
                <w:rFonts w:ascii="Times New Roman" w:hAnsi="Times New Roman"/>
                <w:sz w:val="16"/>
                <w:szCs w:val="16"/>
              </w:rPr>
              <w:t xml:space="preserve"> на себе </w:t>
            </w:r>
            <w:proofErr w:type="spellStart"/>
            <w:r w:rsidRPr="00E16672">
              <w:rPr>
                <w:rFonts w:ascii="Times New Roman" w:hAnsi="Times New Roman"/>
                <w:sz w:val="16"/>
                <w:szCs w:val="16"/>
              </w:rPr>
              <w:t>відповідальність</w:t>
            </w:r>
            <w:proofErr w:type="spellEnd"/>
            <w:r w:rsidRPr="00E16672">
              <w:rPr>
                <w:rFonts w:ascii="Times New Roman" w:hAnsi="Times New Roman"/>
                <w:sz w:val="16"/>
                <w:szCs w:val="16"/>
              </w:rPr>
              <w:t xml:space="preserve"> за </w:t>
            </w:r>
            <w:proofErr w:type="spellStart"/>
            <w:r w:rsidRPr="00E16672">
              <w:rPr>
                <w:rFonts w:ascii="Times New Roman" w:hAnsi="Times New Roman"/>
                <w:sz w:val="16"/>
                <w:szCs w:val="16"/>
              </w:rPr>
              <w:t>достовірність</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інформації</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що</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міститься</w:t>
            </w:r>
            <w:proofErr w:type="spellEnd"/>
            <w:r w:rsidRPr="00E16672">
              <w:rPr>
                <w:rFonts w:ascii="Times New Roman" w:hAnsi="Times New Roman"/>
                <w:sz w:val="16"/>
                <w:szCs w:val="16"/>
              </w:rPr>
              <w:t xml:space="preserve"> в документах, </w:t>
            </w:r>
            <w:proofErr w:type="spellStart"/>
            <w:r w:rsidRPr="00E16672">
              <w:rPr>
                <w:rFonts w:ascii="Times New Roman" w:hAnsi="Times New Roman"/>
                <w:sz w:val="16"/>
                <w:szCs w:val="16"/>
              </w:rPr>
              <w:t>які</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подаються</w:t>
            </w:r>
            <w:proofErr w:type="spellEnd"/>
            <w:r w:rsidRPr="00E16672">
              <w:rPr>
                <w:rFonts w:ascii="Times New Roman" w:hAnsi="Times New Roman"/>
                <w:sz w:val="16"/>
                <w:szCs w:val="16"/>
              </w:rPr>
              <w:t xml:space="preserve"> Депонентом </w:t>
            </w:r>
            <w:proofErr w:type="spellStart"/>
            <w:r w:rsidRPr="00E16672">
              <w:rPr>
                <w:rFonts w:ascii="Times New Roman" w:hAnsi="Times New Roman"/>
                <w:sz w:val="16"/>
                <w:szCs w:val="16"/>
              </w:rPr>
              <w:t>Депозитарній</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установі</w:t>
            </w:r>
            <w:proofErr w:type="spellEnd"/>
            <w:r w:rsidRPr="00E16672">
              <w:rPr>
                <w:rFonts w:ascii="Times New Roman" w:hAnsi="Times New Roman"/>
                <w:sz w:val="16"/>
                <w:szCs w:val="16"/>
              </w:rPr>
              <w:t xml:space="preserve">, у тому </w:t>
            </w:r>
            <w:proofErr w:type="spellStart"/>
            <w:r w:rsidRPr="00E16672">
              <w:rPr>
                <w:rFonts w:ascii="Times New Roman" w:hAnsi="Times New Roman"/>
                <w:sz w:val="16"/>
                <w:szCs w:val="16"/>
              </w:rPr>
              <w:t>числі</w:t>
            </w:r>
            <w:proofErr w:type="spellEnd"/>
            <w:r w:rsidRPr="00E16672">
              <w:rPr>
                <w:rFonts w:ascii="Times New Roman" w:hAnsi="Times New Roman"/>
                <w:sz w:val="16"/>
                <w:szCs w:val="16"/>
              </w:rPr>
              <w:t xml:space="preserve"> документах, за </w:t>
            </w:r>
            <w:proofErr w:type="spellStart"/>
            <w:r w:rsidRPr="00E16672">
              <w:rPr>
                <w:rFonts w:ascii="Times New Roman" w:hAnsi="Times New Roman"/>
                <w:sz w:val="16"/>
                <w:szCs w:val="16"/>
              </w:rPr>
              <w:t>якими</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Депозитарній</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установі</w:t>
            </w:r>
            <w:proofErr w:type="spellEnd"/>
            <w:r w:rsidRPr="00E16672">
              <w:rPr>
                <w:rFonts w:ascii="Times New Roman" w:hAnsi="Times New Roman"/>
                <w:sz w:val="16"/>
                <w:szCs w:val="16"/>
              </w:rPr>
              <w:t xml:space="preserve"> Депонентом </w:t>
            </w:r>
            <w:proofErr w:type="spellStart"/>
            <w:r w:rsidRPr="00E16672">
              <w:rPr>
                <w:rFonts w:ascii="Times New Roman" w:hAnsi="Times New Roman"/>
                <w:sz w:val="16"/>
                <w:szCs w:val="16"/>
              </w:rPr>
              <w:t>доручається</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проведення</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депозитарних</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операцій</w:t>
            </w:r>
            <w:proofErr w:type="spellEnd"/>
            <w:r w:rsidRPr="00E16672">
              <w:rPr>
                <w:rFonts w:ascii="Times New Roman" w:hAnsi="Times New Roman"/>
                <w:sz w:val="16"/>
                <w:szCs w:val="16"/>
              </w:rPr>
              <w:t xml:space="preserve"> на </w:t>
            </w:r>
            <w:proofErr w:type="spellStart"/>
            <w:r w:rsidRPr="00E16672">
              <w:rPr>
                <w:rFonts w:ascii="Times New Roman" w:hAnsi="Times New Roman"/>
                <w:sz w:val="16"/>
                <w:szCs w:val="16"/>
              </w:rPr>
              <w:t>рахунку</w:t>
            </w:r>
            <w:proofErr w:type="spellEnd"/>
            <w:r w:rsidRPr="00E16672">
              <w:rPr>
                <w:rFonts w:ascii="Times New Roman" w:hAnsi="Times New Roman"/>
                <w:sz w:val="16"/>
                <w:szCs w:val="16"/>
              </w:rPr>
              <w:t xml:space="preserve"> Депонента.</w:t>
            </w:r>
          </w:p>
          <w:p w14:paraId="6F53BA5F" w14:textId="77777777" w:rsidR="00933C25" w:rsidRPr="00E16672" w:rsidRDefault="00933C25" w:rsidP="00AB3C26">
            <w:pPr>
              <w:ind w:left="175" w:right="138"/>
              <w:rPr>
                <w:rFonts w:ascii="Times New Roman" w:hAnsi="Times New Roman"/>
                <w:sz w:val="16"/>
                <w:szCs w:val="16"/>
              </w:rPr>
            </w:pPr>
          </w:p>
        </w:tc>
        <w:tc>
          <w:tcPr>
            <w:tcW w:w="5494" w:type="dxa"/>
            <w:gridSpan w:val="7"/>
            <w:shd w:val="clear" w:color="auto" w:fill="auto"/>
          </w:tcPr>
          <w:p w14:paraId="7A21D036" w14:textId="77777777" w:rsidR="00933C25" w:rsidRPr="00E16672" w:rsidRDefault="00933C25" w:rsidP="00141B39">
            <w:pPr>
              <w:snapToGrid w:val="0"/>
              <w:ind w:left="175" w:right="138" w:firstLine="0"/>
              <w:rPr>
                <w:rFonts w:ascii="Times New Roman" w:hAnsi="Times New Roman"/>
                <w:sz w:val="16"/>
                <w:szCs w:val="16"/>
                <w:lang w:val="en-GB"/>
              </w:rPr>
            </w:pPr>
            <w:r w:rsidRPr="00E16672">
              <w:rPr>
                <w:rFonts w:ascii="Times New Roman" w:hAnsi="Times New Roman"/>
                <w:sz w:val="16"/>
                <w:szCs w:val="16"/>
                <w:lang w:val="en-GB"/>
              </w:rPr>
              <w:t>8.</w:t>
            </w:r>
            <w:r w:rsidR="002634C8" w:rsidRPr="00E16672">
              <w:rPr>
                <w:rFonts w:ascii="Times New Roman" w:hAnsi="Times New Roman"/>
                <w:sz w:val="16"/>
                <w:szCs w:val="16"/>
                <w:lang w:val="uk-UA"/>
              </w:rPr>
              <w:t>6</w:t>
            </w:r>
            <w:r w:rsidRPr="00E16672">
              <w:rPr>
                <w:rFonts w:ascii="Times New Roman" w:hAnsi="Times New Roman"/>
                <w:sz w:val="16"/>
                <w:szCs w:val="16"/>
                <w:lang w:val="en-GB"/>
              </w:rPr>
              <w:t>. Depositor assumes responsibility for the accuracy of the information contained in the documents submitted by the Depositor</w:t>
            </w:r>
            <w:r w:rsidRPr="00E16672">
              <w:rPr>
                <w:rFonts w:ascii="Times New Roman" w:hAnsi="Times New Roman"/>
                <w:sz w:val="16"/>
                <w:szCs w:val="16"/>
                <w:lang w:val="en-US"/>
              </w:rPr>
              <w:t xml:space="preserve"> to D</w:t>
            </w:r>
            <w:proofErr w:type="spellStart"/>
            <w:r w:rsidRPr="00E16672">
              <w:rPr>
                <w:rFonts w:ascii="Times New Roman" w:hAnsi="Times New Roman"/>
                <w:sz w:val="16"/>
                <w:szCs w:val="16"/>
                <w:lang w:val="en-GB"/>
              </w:rPr>
              <w:t>epository</w:t>
            </w:r>
            <w:proofErr w:type="spellEnd"/>
            <w:r w:rsidRPr="00E16672">
              <w:rPr>
                <w:rFonts w:ascii="Times New Roman" w:hAnsi="Times New Roman"/>
                <w:sz w:val="16"/>
                <w:szCs w:val="16"/>
                <w:lang w:val="en-GB"/>
              </w:rPr>
              <w:t xml:space="preserve"> institution, including documents on which the Depository institution </w:t>
            </w:r>
            <w:proofErr w:type="gramStart"/>
            <w:r w:rsidRPr="00E16672">
              <w:rPr>
                <w:rFonts w:ascii="Times New Roman" w:hAnsi="Times New Roman"/>
                <w:sz w:val="16"/>
                <w:szCs w:val="16"/>
                <w:lang w:val="en-GB"/>
              </w:rPr>
              <w:t>is  entrusted</w:t>
            </w:r>
            <w:proofErr w:type="gramEnd"/>
            <w:r w:rsidRPr="00E16672">
              <w:rPr>
                <w:rFonts w:ascii="Times New Roman" w:hAnsi="Times New Roman"/>
                <w:sz w:val="16"/>
                <w:szCs w:val="16"/>
                <w:lang w:val="en-GB"/>
              </w:rPr>
              <w:t xml:space="preserve">  to conduct depository operations on account of the Depositor.</w:t>
            </w:r>
          </w:p>
          <w:p w14:paraId="7E3D91A3" w14:textId="77777777" w:rsidR="00933C25" w:rsidRPr="00E16672" w:rsidRDefault="00933C25" w:rsidP="00AB3C26">
            <w:pPr>
              <w:pStyle w:val="210"/>
              <w:ind w:left="175" w:right="138" w:firstLine="0"/>
              <w:rPr>
                <w:rFonts w:ascii="Times New Roman" w:hAnsi="Times New Roman"/>
                <w:sz w:val="16"/>
                <w:szCs w:val="16"/>
              </w:rPr>
            </w:pPr>
          </w:p>
        </w:tc>
      </w:tr>
      <w:tr w:rsidR="00933C25" w:rsidRPr="00F23413" w14:paraId="3A1A55AF" w14:textId="77777777" w:rsidTr="00D77858">
        <w:tblPrEx>
          <w:tblCellMar>
            <w:left w:w="0" w:type="dxa"/>
            <w:right w:w="0" w:type="dxa"/>
          </w:tblCellMar>
        </w:tblPrEx>
        <w:trPr>
          <w:trHeight w:val="724"/>
        </w:trPr>
        <w:tc>
          <w:tcPr>
            <w:tcW w:w="5696" w:type="dxa"/>
            <w:gridSpan w:val="6"/>
            <w:shd w:val="clear" w:color="auto" w:fill="auto"/>
          </w:tcPr>
          <w:p w14:paraId="4769CB11" w14:textId="77777777" w:rsidR="00933C25" w:rsidRPr="00E16672" w:rsidRDefault="00933C25" w:rsidP="00141B39">
            <w:pPr>
              <w:widowControl w:val="0"/>
              <w:tabs>
                <w:tab w:val="left" w:pos="5954"/>
              </w:tabs>
              <w:snapToGrid w:val="0"/>
              <w:ind w:left="175" w:right="138" w:firstLine="0"/>
              <w:rPr>
                <w:rFonts w:ascii="Times New Roman" w:hAnsi="Times New Roman"/>
                <w:sz w:val="16"/>
                <w:szCs w:val="16"/>
              </w:rPr>
            </w:pPr>
            <w:r w:rsidRPr="00E16672">
              <w:rPr>
                <w:rFonts w:ascii="Times New Roman" w:hAnsi="Times New Roman"/>
                <w:sz w:val="16"/>
                <w:szCs w:val="16"/>
              </w:rPr>
              <w:t>8.</w:t>
            </w:r>
            <w:r w:rsidR="002634C8" w:rsidRPr="00E16672">
              <w:rPr>
                <w:rFonts w:ascii="Times New Roman" w:hAnsi="Times New Roman"/>
                <w:sz w:val="16"/>
                <w:szCs w:val="16"/>
                <w:lang w:val="uk-UA"/>
              </w:rPr>
              <w:t>7</w:t>
            </w:r>
            <w:r w:rsidRPr="00E16672">
              <w:rPr>
                <w:rFonts w:ascii="Times New Roman" w:hAnsi="Times New Roman"/>
                <w:sz w:val="16"/>
                <w:szCs w:val="16"/>
              </w:rPr>
              <w:t xml:space="preserve">. </w:t>
            </w:r>
            <w:proofErr w:type="spellStart"/>
            <w:r w:rsidRPr="00E16672">
              <w:rPr>
                <w:rFonts w:ascii="Times New Roman" w:hAnsi="Times New Roman"/>
                <w:sz w:val="16"/>
                <w:szCs w:val="16"/>
              </w:rPr>
              <w:t>Укладення</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цього</w:t>
            </w:r>
            <w:proofErr w:type="spellEnd"/>
            <w:r w:rsidRPr="00E16672">
              <w:rPr>
                <w:rFonts w:ascii="Times New Roman" w:hAnsi="Times New Roman"/>
                <w:sz w:val="16"/>
                <w:szCs w:val="16"/>
              </w:rPr>
              <w:t xml:space="preserve"> Договору не </w:t>
            </w:r>
            <w:proofErr w:type="spellStart"/>
            <w:r w:rsidRPr="00E16672">
              <w:rPr>
                <w:rFonts w:ascii="Times New Roman" w:hAnsi="Times New Roman"/>
                <w:sz w:val="16"/>
                <w:szCs w:val="16"/>
              </w:rPr>
              <w:t>тягне</w:t>
            </w:r>
            <w:proofErr w:type="spellEnd"/>
            <w:r w:rsidRPr="00E16672">
              <w:rPr>
                <w:rFonts w:ascii="Times New Roman" w:hAnsi="Times New Roman"/>
                <w:sz w:val="16"/>
                <w:szCs w:val="16"/>
              </w:rPr>
              <w:t xml:space="preserve"> за собою переходу прав на </w:t>
            </w:r>
            <w:proofErr w:type="spellStart"/>
            <w:r w:rsidRPr="00E16672">
              <w:rPr>
                <w:rFonts w:ascii="Times New Roman" w:hAnsi="Times New Roman"/>
                <w:sz w:val="16"/>
                <w:szCs w:val="16"/>
              </w:rPr>
              <w:t>цінні</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папери</w:t>
            </w:r>
            <w:proofErr w:type="spellEnd"/>
            <w:r w:rsidRPr="00E16672">
              <w:rPr>
                <w:rFonts w:ascii="Times New Roman" w:hAnsi="Times New Roman"/>
                <w:sz w:val="16"/>
                <w:szCs w:val="16"/>
              </w:rPr>
              <w:t xml:space="preserve"> та прав за </w:t>
            </w:r>
            <w:proofErr w:type="spellStart"/>
            <w:r w:rsidRPr="00E16672">
              <w:rPr>
                <w:rFonts w:ascii="Times New Roman" w:hAnsi="Times New Roman"/>
                <w:sz w:val="16"/>
                <w:szCs w:val="16"/>
              </w:rPr>
              <w:t>цінними</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паперами</w:t>
            </w:r>
            <w:proofErr w:type="spellEnd"/>
            <w:r w:rsidRPr="00E16672">
              <w:rPr>
                <w:rFonts w:ascii="Times New Roman" w:hAnsi="Times New Roman"/>
                <w:sz w:val="16"/>
                <w:szCs w:val="16"/>
              </w:rPr>
              <w:t xml:space="preserve"> Депонента до </w:t>
            </w:r>
            <w:proofErr w:type="spellStart"/>
            <w:r w:rsidRPr="00E16672">
              <w:rPr>
                <w:rFonts w:ascii="Times New Roman" w:hAnsi="Times New Roman"/>
                <w:sz w:val="16"/>
                <w:szCs w:val="16"/>
              </w:rPr>
              <w:t>Депозитарної</w:t>
            </w:r>
            <w:proofErr w:type="spellEnd"/>
            <w:r w:rsidRPr="00E16672">
              <w:rPr>
                <w:rFonts w:ascii="Times New Roman" w:hAnsi="Times New Roman"/>
                <w:sz w:val="16"/>
                <w:szCs w:val="16"/>
              </w:rPr>
              <w:t xml:space="preserve"> установи.</w:t>
            </w:r>
          </w:p>
        </w:tc>
        <w:tc>
          <w:tcPr>
            <w:tcW w:w="5494" w:type="dxa"/>
            <w:gridSpan w:val="7"/>
            <w:shd w:val="clear" w:color="auto" w:fill="auto"/>
          </w:tcPr>
          <w:p w14:paraId="40A02072" w14:textId="77777777" w:rsidR="00933C25" w:rsidRPr="00E16672" w:rsidRDefault="00933C25" w:rsidP="00141B39">
            <w:pPr>
              <w:snapToGrid w:val="0"/>
              <w:ind w:left="175" w:right="138" w:firstLine="0"/>
              <w:rPr>
                <w:rFonts w:ascii="Times New Roman" w:hAnsi="Times New Roman"/>
                <w:sz w:val="16"/>
                <w:szCs w:val="16"/>
                <w:lang w:val="en-GB"/>
              </w:rPr>
            </w:pPr>
            <w:r w:rsidRPr="00E16672">
              <w:rPr>
                <w:rFonts w:ascii="Times New Roman" w:hAnsi="Times New Roman"/>
                <w:sz w:val="16"/>
                <w:szCs w:val="16"/>
                <w:lang w:val="en-GB"/>
              </w:rPr>
              <w:t>8.</w:t>
            </w:r>
            <w:r w:rsidR="002634C8" w:rsidRPr="00E16672">
              <w:rPr>
                <w:rFonts w:ascii="Times New Roman" w:hAnsi="Times New Roman"/>
                <w:sz w:val="16"/>
                <w:szCs w:val="16"/>
                <w:lang w:val="uk-UA"/>
              </w:rPr>
              <w:t>7</w:t>
            </w:r>
            <w:r w:rsidRPr="00E16672">
              <w:rPr>
                <w:rFonts w:ascii="Times New Roman" w:hAnsi="Times New Roman"/>
                <w:sz w:val="16"/>
                <w:szCs w:val="16"/>
                <w:lang w:val="en-GB"/>
              </w:rPr>
              <w:t xml:space="preserve">. Signing this Agreement does not entail the transfer </w:t>
            </w:r>
            <w:r w:rsidRPr="00E16672">
              <w:rPr>
                <w:rFonts w:ascii="Times New Roman" w:hAnsi="Times New Roman"/>
                <w:sz w:val="16"/>
                <w:szCs w:val="16"/>
                <w:lang w:val="en-US"/>
              </w:rPr>
              <w:t>D</w:t>
            </w:r>
            <w:proofErr w:type="spellStart"/>
            <w:r w:rsidRPr="00E16672">
              <w:rPr>
                <w:rFonts w:ascii="Times New Roman" w:hAnsi="Times New Roman"/>
                <w:sz w:val="16"/>
                <w:szCs w:val="16"/>
                <w:lang w:val="en-GB"/>
              </w:rPr>
              <w:t>epositor</w:t>
            </w:r>
            <w:proofErr w:type="spellEnd"/>
            <w:r w:rsidRPr="00E16672">
              <w:rPr>
                <w:rFonts w:ascii="Times New Roman" w:hAnsi="Times New Roman"/>
                <w:sz w:val="16"/>
                <w:szCs w:val="16"/>
                <w:lang w:val="en-US"/>
              </w:rPr>
              <w:t>’s</w:t>
            </w:r>
            <w:r w:rsidRPr="00E16672">
              <w:rPr>
                <w:rFonts w:ascii="Times New Roman" w:hAnsi="Times New Roman"/>
                <w:sz w:val="16"/>
                <w:szCs w:val="16"/>
                <w:lang w:val="en-GB"/>
              </w:rPr>
              <w:t xml:space="preserve"> </w:t>
            </w:r>
            <w:r w:rsidR="00982AE9" w:rsidRPr="00E16672">
              <w:rPr>
                <w:rFonts w:ascii="Times New Roman" w:hAnsi="Times New Roman"/>
                <w:sz w:val="16"/>
                <w:szCs w:val="16"/>
                <w:lang w:val="en-US"/>
              </w:rPr>
              <w:t>rights</w:t>
            </w:r>
            <w:r w:rsidRPr="00E16672">
              <w:rPr>
                <w:rFonts w:ascii="Times New Roman" w:hAnsi="Times New Roman"/>
                <w:sz w:val="16"/>
                <w:szCs w:val="16"/>
                <w:lang w:val="en-US"/>
              </w:rPr>
              <w:t xml:space="preserve"> on </w:t>
            </w:r>
            <w:r w:rsidRPr="00E16672">
              <w:rPr>
                <w:rFonts w:ascii="Times New Roman" w:hAnsi="Times New Roman"/>
                <w:sz w:val="16"/>
                <w:szCs w:val="16"/>
                <w:lang w:val="en-GB"/>
              </w:rPr>
              <w:t>securities and rights under securities</w:t>
            </w:r>
            <w:r w:rsidRPr="00E16672">
              <w:rPr>
                <w:rFonts w:ascii="Times New Roman" w:hAnsi="Times New Roman"/>
                <w:sz w:val="16"/>
                <w:szCs w:val="16"/>
                <w:lang w:val="en-US"/>
              </w:rPr>
              <w:t xml:space="preserve"> </w:t>
            </w:r>
            <w:r w:rsidRPr="00E16672">
              <w:rPr>
                <w:rFonts w:ascii="Times New Roman" w:hAnsi="Times New Roman"/>
                <w:sz w:val="16"/>
                <w:szCs w:val="16"/>
                <w:lang w:val="en-GB"/>
              </w:rPr>
              <w:t xml:space="preserve">to the </w:t>
            </w:r>
            <w:r w:rsidRPr="00E16672">
              <w:rPr>
                <w:rFonts w:ascii="Times New Roman" w:hAnsi="Times New Roman"/>
                <w:sz w:val="16"/>
                <w:szCs w:val="16"/>
                <w:lang w:val="en-US"/>
              </w:rPr>
              <w:t>D</w:t>
            </w:r>
            <w:proofErr w:type="spellStart"/>
            <w:r w:rsidRPr="00E16672">
              <w:rPr>
                <w:rFonts w:ascii="Times New Roman" w:hAnsi="Times New Roman"/>
                <w:sz w:val="16"/>
                <w:szCs w:val="16"/>
                <w:lang w:val="en-GB"/>
              </w:rPr>
              <w:t>epository</w:t>
            </w:r>
            <w:proofErr w:type="spellEnd"/>
            <w:r w:rsidRPr="00E16672">
              <w:rPr>
                <w:rFonts w:ascii="Times New Roman" w:hAnsi="Times New Roman"/>
                <w:sz w:val="16"/>
                <w:szCs w:val="16"/>
                <w:lang w:val="en-GB"/>
              </w:rPr>
              <w:t xml:space="preserve"> institution.</w:t>
            </w:r>
          </w:p>
          <w:p w14:paraId="5A098403" w14:textId="77777777" w:rsidR="00933C25" w:rsidRPr="00E16672" w:rsidRDefault="00933C25" w:rsidP="00AB3C26">
            <w:pPr>
              <w:pStyle w:val="210"/>
              <w:ind w:left="175" w:right="138" w:firstLine="0"/>
              <w:rPr>
                <w:rFonts w:ascii="Times New Roman" w:hAnsi="Times New Roman"/>
                <w:b/>
                <w:bCs/>
                <w:sz w:val="16"/>
                <w:szCs w:val="16"/>
                <w:lang w:val="en-GB"/>
              </w:rPr>
            </w:pPr>
          </w:p>
        </w:tc>
      </w:tr>
      <w:tr w:rsidR="00933C25" w:rsidRPr="00F23413" w14:paraId="3E3EAA46" w14:textId="77777777" w:rsidTr="00D77858">
        <w:tblPrEx>
          <w:tblCellMar>
            <w:left w:w="0" w:type="dxa"/>
            <w:right w:w="0" w:type="dxa"/>
          </w:tblCellMar>
        </w:tblPrEx>
        <w:trPr>
          <w:trHeight w:val="268"/>
        </w:trPr>
        <w:tc>
          <w:tcPr>
            <w:tcW w:w="5696" w:type="dxa"/>
            <w:gridSpan w:val="6"/>
            <w:shd w:val="clear" w:color="auto" w:fill="auto"/>
          </w:tcPr>
          <w:p w14:paraId="1F55F850" w14:textId="77777777" w:rsidR="00933C25" w:rsidRPr="00E16672" w:rsidRDefault="008B667A" w:rsidP="00141B39">
            <w:pPr>
              <w:tabs>
                <w:tab w:val="left" w:pos="1137"/>
                <w:tab w:val="left" w:pos="6011"/>
              </w:tabs>
              <w:snapToGrid w:val="0"/>
              <w:spacing w:before="57" w:after="57"/>
              <w:ind w:left="175" w:right="138" w:firstLine="0"/>
              <w:rPr>
                <w:rFonts w:ascii="Times New Roman" w:hAnsi="Times New Roman"/>
                <w:strike/>
                <w:color w:val="000000"/>
                <w:sz w:val="16"/>
                <w:szCs w:val="16"/>
                <w:lang w:val="uk-UA"/>
              </w:rPr>
            </w:pPr>
            <w:r w:rsidRPr="00E16672">
              <w:rPr>
                <w:rFonts w:ascii="Times New Roman" w:hAnsi="Times New Roman"/>
                <w:color w:val="000000"/>
                <w:sz w:val="16"/>
                <w:szCs w:val="16"/>
              </w:rPr>
              <w:t>8.</w:t>
            </w:r>
            <w:r w:rsidR="002634C8" w:rsidRPr="00E16672">
              <w:rPr>
                <w:rFonts w:ascii="Times New Roman" w:hAnsi="Times New Roman"/>
                <w:color w:val="000000"/>
                <w:sz w:val="16"/>
                <w:szCs w:val="16"/>
                <w:lang w:val="uk-UA"/>
              </w:rPr>
              <w:t>8</w:t>
            </w:r>
            <w:r w:rsidR="00933C25" w:rsidRPr="00E16672">
              <w:rPr>
                <w:rFonts w:ascii="Times New Roman" w:hAnsi="Times New Roman"/>
                <w:color w:val="000000"/>
                <w:sz w:val="16"/>
                <w:szCs w:val="16"/>
              </w:rPr>
              <w:t xml:space="preserve">. </w:t>
            </w:r>
            <w:proofErr w:type="spellStart"/>
            <w:r w:rsidR="00933C25" w:rsidRPr="00E16672">
              <w:rPr>
                <w:rFonts w:ascii="Times New Roman" w:hAnsi="Times New Roman"/>
                <w:color w:val="000000"/>
                <w:sz w:val="16"/>
                <w:szCs w:val="16"/>
              </w:rPr>
              <w:t>Закриття</w:t>
            </w:r>
            <w:proofErr w:type="spellEnd"/>
            <w:r w:rsidR="00933C25" w:rsidRPr="00E16672">
              <w:rPr>
                <w:rFonts w:ascii="Times New Roman" w:hAnsi="Times New Roman"/>
                <w:color w:val="000000"/>
                <w:sz w:val="16"/>
                <w:szCs w:val="16"/>
              </w:rPr>
              <w:t xml:space="preserve"> </w:t>
            </w:r>
            <w:proofErr w:type="spellStart"/>
            <w:r w:rsidR="00933C25" w:rsidRPr="00E16672">
              <w:rPr>
                <w:rFonts w:ascii="Times New Roman" w:hAnsi="Times New Roman"/>
                <w:color w:val="000000"/>
                <w:sz w:val="16"/>
                <w:szCs w:val="16"/>
              </w:rPr>
              <w:t>рахунків</w:t>
            </w:r>
            <w:proofErr w:type="spellEnd"/>
            <w:r w:rsidR="00933C25" w:rsidRPr="00E16672">
              <w:rPr>
                <w:rFonts w:ascii="Times New Roman" w:hAnsi="Times New Roman"/>
                <w:color w:val="000000"/>
                <w:sz w:val="16"/>
                <w:szCs w:val="16"/>
              </w:rPr>
              <w:t xml:space="preserve"> </w:t>
            </w:r>
            <w:r w:rsidR="00C22309" w:rsidRPr="00E16672">
              <w:rPr>
                <w:rFonts w:ascii="Times New Roman" w:hAnsi="Times New Roman"/>
                <w:color w:val="000000"/>
                <w:sz w:val="16"/>
                <w:szCs w:val="16"/>
              </w:rPr>
              <w:t xml:space="preserve">в </w:t>
            </w:r>
            <w:proofErr w:type="spellStart"/>
            <w:r w:rsidR="00C22309" w:rsidRPr="00E16672">
              <w:rPr>
                <w:rFonts w:ascii="Times New Roman" w:hAnsi="Times New Roman"/>
                <w:color w:val="000000"/>
                <w:sz w:val="16"/>
                <w:szCs w:val="16"/>
              </w:rPr>
              <w:t>цін</w:t>
            </w:r>
            <w:r w:rsidR="00933C25" w:rsidRPr="00E16672">
              <w:rPr>
                <w:rFonts w:ascii="Times New Roman" w:hAnsi="Times New Roman"/>
                <w:color w:val="000000"/>
                <w:sz w:val="16"/>
                <w:szCs w:val="16"/>
              </w:rPr>
              <w:t>них</w:t>
            </w:r>
            <w:proofErr w:type="spellEnd"/>
            <w:r w:rsidR="00933C25" w:rsidRPr="00E16672">
              <w:rPr>
                <w:rFonts w:ascii="Times New Roman" w:hAnsi="Times New Roman"/>
                <w:color w:val="000000"/>
                <w:sz w:val="16"/>
                <w:szCs w:val="16"/>
              </w:rPr>
              <w:t xml:space="preserve"> </w:t>
            </w:r>
            <w:proofErr w:type="spellStart"/>
            <w:r w:rsidR="00933C25" w:rsidRPr="00E16672">
              <w:rPr>
                <w:rFonts w:ascii="Times New Roman" w:hAnsi="Times New Roman"/>
                <w:color w:val="000000"/>
                <w:sz w:val="16"/>
                <w:szCs w:val="16"/>
              </w:rPr>
              <w:t>паперах</w:t>
            </w:r>
            <w:proofErr w:type="spellEnd"/>
            <w:r w:rsidR="00933C25" w:rsidRPr="00E16672">
              <w:rPr>
                <w:rFonts w:ascii="Times New Roman" w:hAnsi="Times New Roman"/>
                <w:color w:val="000000"/>
                <w:sz w:val="16"/>
                <w:szCs w:val="16"/>
              </w:rPr>
              <w:t xml:space="preserve"> </w:t>
            </w:r>
            <w:proofErr w:type="spellStart"/>
            <w:r w:rsidR="00933C25" w:rsidRPr="00E16672">
              <w:rPr>
                <w:rFonts w:ascii="Times New Roman" w:hAnsi="Times New Roman"/>
                <w:color w:val="000000"/>
                <w:sz w:val="16"/>
                <w:szCs w:val="16"/>
              </w:rPr>
              <w:t>відбувається</w:t>
            </w:r>
            <w:proofErr w:type="spellEnd"/>
            <w:r w:rsidR="00933C25" w:rsidRPr="00E16672">
              <w:rPr>
                <w:rFonts w:ascii="Times New Roman" w:hAnsi="Times New Roman"/>
                <w:color w:val="000000"/>
                <w:sz w:val="16"/>
                <w:szCs w:val="16"/>
              </w:rPr>
              <w:t xml:space="preserve"> за </w:t>
            </w:r>
            <w:proofErr w:type="spellStart"/>
            <w:r w:rsidR="00933C25" w:rsidRPr="00E16672">
              <w:rPr>
                <w:rFonts w:ascii="Times New Roman" w:hAnsi="Times New Roman"/>
                <w:color w:val="000000"/>
                <w:sz w:val="16"/>
                <w:szCs w:val="16"/>
              </w:rPr>
              <w:t>розпорядженням</w:t>
            </w:r>
            <w:proofErr w:type="spellEnd"/>
            <w:r w:rsidR="00933C25" w:rsidRPr="00E16672">
              <w:rPr>
                <w:rFonts w:ascii="Times New Roman" w:hAnsi="Times New Roman"/>
                <w:color w:val="000000"/>
                <w:sz w:val="16"/>
                <w:szCs w:val="16"/>
              </w:rPr>
              <w:t xml:space="preserve"> </w:t>
            </w:r>
            <w:proofErr w:type="spellStart"/>
            <w:r w:rsidR="00933C25" w:rsidRPr="00E16672">
              <w:rPr>
                <w:rFonts w:ascii="Times New Roman" w:hAnsi="Times New Roman"/>
                <w:color w:val="000000"/>
                <w:sz w:val="16"/>
                <w:szCs w:val="16"/>
              </w:rPr>
              <w:t>ініціатора</w:t>
            </w:r>
            <w:proofErr w:type="spellEnd"/>
            <w:r w:rsidR="00933C25" w:rsidRPr="00E16672">
              <w:rPr>
                <w:rFonts w:ascii="Times New Roman" w:hAnsi="Times New Roman"/>
                <w:color w:val="000000"/>
                <w:sz w:val="16"/>
                <w:szCs w:val="16"/>
              </w:rPr>
              <w:t xml:space="preserve"> </w:t>
            </w:r>
            <w:proofErr w:type="spellStart"/>
            <w:r w:rsidR="00933C25" w:rsidRPr="00E16672">
              <w:rPr>
                <w:rFonts w:ascii="Times New Roman" w:hAnsi="Times New Roman"/>
                <w:color w:val="000000"/>
                <w:sz w:val="16"/>
                <w:szCs w:val="16"/>
              </w:rPr>
              <w:t>депозитарної</w:t>
            </w:r>
            <w:proofErr w:type="spellEnd"/>
            <w:r w:rsidR="00933C25" w:rsidRPr="00E16672">
              <w:rPr>
                <w:rFonts w:ascii="Times New Roman" w:hAnsi="Times New Roman"/>
                <w:color w:val="000000"/>
                <w:sz w:val="16"/>
                <w:szCs w:val="16"/>
              </w:rPr>
              <w:t xml:space="preserve"> </w:t>
            </w:r>
            <w:proofErr w:type="spellStart"/>
            <w:r w:rsidR="00933C25" w:rsidRPr="00E16672">
              <w:rPr>
                <w:rFonts w:ascii="Times New Roman" w:hAnsi="Times New Roman"/>
                <w:color w:val="000000"/>
                <w:sz w:val="16"/>
                <w:szCs w:val="16"/>
              </w:rPr>
              <w:t>операції</w:t>
            </w:r>
            <w:proofErr w:type="spellEnd"/>
            <w:r w:rsidR="002634C8" w:rsidRPr="00E16672">
              <w:rPr>
                <w:rFonts w:ascii="Times New Roman" w:hAnsi="Times New Roman"/>
                <w:color w:val="000000"/>
                <w:sz w:val="16"/>
                <w:szCs w:val="16"/>
                <w:lang w:val="uk-UA"/>
              </w:rPr>
              <w:t xml:space="preserve"> </w:t>
            </w:r>
            <w:r w:rsidR="002634C8" w:rsidRPr="00E16672">
              <w:rPr>
                <w:rFonts w:ascii="Times New Roman" w:hAnsi="Times New Roman"/>
                <w:sz w:val="16"/>
                <w:szCs w:val="16"/>
                <w:lang w:val="uk-UA"/>
              </w:rPr>
              <w:t>крім випадків, встановлених цим Договором та законом</w:t>
            </w:r>
            <w:r w:rsidR="00EA023C" w:rsidRPr="00E16672">
              <w:rPr>
                <w:rFonts w:ascii="Times New Roman" w:hAnsi="Times New Roman"/>
                <w:color w:val="000000"/>
                <w:sz w:val="16"/>
                <w:szCs w:val="16"/>
                <w:lang w:val="uk-UA"/>
              </w:rPr>
              <w:t>.</w:t>
            </w:r>
          </w:p>
          <w:p w14:paraId="4023D174" w14:textId="77777777" w:rsidR="00F941E2" w:rsidRPr="00E16672" w:rsidRDefault="00933C25" w:rsidP="003B3EC1">
            <w:pPr>
              <w:tabs>
                <w:tab w:val="left" w:pos="1137"/>
                <w:tab w:val="left" w:pos="6011"/>
              </w:tabs>
              <w:snapToGrid w:val="0"/>
              <w:spacing w:before="57" w:after="57"/>
              <w:ind w:left="175" w:right="138" w:firstLine="0"/>
              <w:rPr>
                <w:rFonts w:ascii="Times New Roman" w:hAnsi="Times New Roman"/>
                <w:color w:val="000000"/>
                <w:sz w:val="16"/>
                <w:szCs w:val="16"/>
                <w:lang w:val="uk-UA"/>
              </w:rPr>
            </w:pPr>
            <w:r w:rsidRPr="00E16672">
              <w:rPr>
                <w:rFonts w:ascii="Times New Roman" w:hAnsi="Times New Roman"/>
                <w:color w:val="000000"/>
                <w:sz w:val="16"/>
                <w:szCs w:val="16"/>
                <w:lang w:val="uk-UA"/>
              </w:rPr>
              <w:t xml:space="preserve">Обов’язковою умовою закриття рахунку в цінних паперах має бути відсутність в </w:t>
            </w:r>
            <w:proofErr w:type="spellStart"/>
            <w:r w:rsidRPr="00E16672">
              <w:rPr>
                <w:rFonts w:ascii="Times New Roman" w:hAnsi="Times New Roman"/>
                <w:color w:val="000000"/>
                <w:sz w:val="16"/>
                <w:szCs w:val="16"/>
                <w:lang w:val="uk-UA"/>
              </w:rPr>
              <w:t>облік</w:t>
            </w:r>
            <w:r w:rsidR="00C22309" w:rsidRPr="00E16672">
              <w:rPr>
                <w:rFonts w:ascii="Times New Roman" w:hAnsi="Times New Roman"/>
                <w:color w:val="000000"/>
                <w:sz w:val="16"/>
                <w:szCs w:val="16"/>
                <w:lang w:val="uk-UA"/>
              </w:rPr>
              <w:t>в</w:t>
            </w:r>
            <w:proofErr w:type="spellEnd"/>
            <w:r w:rsidR="00C22309" w:rsidRPr="00E16672">
              <w:rPr>
                <w:rFonts w:ascii="Times New Roman" w:hAnsi="Times New Roman"/>
                <w:color w:val="000000"/>
                <w:sz w:val="16"/>
                <w:szCs w:val="16"/>
                <w:lang w:val="uk-UA"/>
              </w:rPr>
              <w:t xml:space="preserve"> цін</w:t>
            </w:r>
            <w:r w:rsidRPr="00E16672">
              <w:rPr>
                <w:rFonts w:ascii="Times New Roman" w:hAnsi="Times New Roman"/>
                <w:color w:val="000000"/>
                <w:sz w:val="16"/>
                <w:szCs w:val="16"/>
                <w:lang w:val="uk-UA"/>
              </w:rPr>
              <w:t>них паперів, прав на цінні папери</w:t>
            </w:r>
            <w:r w:rsidR="003B3EC1">
              <w:rPr>
                <w:rFonts w:ascii="Times New Roman" w:hAnsi="Times New Roman"/>
                <w:color w:val="000000"/>
                <w:sz w:val="16"/>
                <w:szCs w:val="16"/>
                <w:lang w:val="uk-UA"/>
              </w:rPr>
              <w:t>.</w:t>
            </w:r>
          </w:p>
        </w:tc>
        <w:tc>
          <w:tcPr>
            <w:tcW w:w="5494" w:type="dxa"/>
            <w:gridSpan w:val="7"/>
            <w:shd w:val="clear" w:color="auto" w:fill="auto"/>
          </w:tcPr>
          <w:p w14:paraId="3927386A" w14:textId="77777777" w:rsidR="00933C25" w:rsidRPr="00E16672" w:rsidRDefault="008B667A" w:rsidP="00141B39">
            <w:pPr>
              <w:tabs>
                <w:tab w:val="left" w:pos="1137"/>
                <w:tab w:val="left" w:pos="6011"/>
              </w:tabs>
              <w:snapToGrid w:val="0"/>
              <w:spacing w:before="57" w:after="57"/>
              <w:ind w:left="145" w:right="100" w:firstLine="0"/>
              <w:rPr>
                <w:rFonts w:ascii="Times New Roman" w:hAnsi="Times New Roman"/>
                <w:strike/>
                <w:color w:val="000000"/>
                <w:sz w:val="16"/>
                <w:szCs w:val="16"/>
                <w:lang w:val="uk-UA"/>
              </w:rPr>
            </w:pPr>
            <w:r w:rsidRPr="00E16672">
              <w:rPr>
                <w:rFonts w:ascii="Times New Roman" w:hAnsi="Times New Roman"/>
                <w:color w:val="000000"/>
                <w:sz w:val="16"/>
                <w:szCs w:val="16"/>
                <w:lang w:val="en-GB"/>
              </w:rPr>
              <w:t>8.</w:t>
            </w:r>
            <w:r w:rsidR="002634C8" w:rsidRPr="00E16672">
              <w:rPr>
                <w:rFonts w:ascii="Times New Roman" w:hAnsi="Times New Roman"/>
                <w:color w:val="000000"/>
                <w:sz w:val="16"/>
                <w:szCs w:val="16"/>
                <w:lang w:val="uk-UA"/>
              </w:rPr>
              <w:t>8</w:t>
            </w:r>
            <w:r w:rsidR="00933C25" w:rsidRPr="00E16672">
              <w:rPr>
                <w:rFonts w:ascii="Times New Roman" w:hAnsi="Times New Roman"/>
                <w:color w:val="000000"/>
                <w:sz w:val="16"/>
                <w:szCs w:val="16"/>
                <w:lang w:val="en-GB"/>
              </w:rPr>
              <w:t xml:space="preserve">. Closing accounts in securities is on the order of </w:t>
            </w:r>
            <w:proofErr w:type="gramStart"/>
            <w:r w:rsidR="00933C25" w:rsidRPr="00E16672">
              <w:rPr>
                <w:rFonts w:ascii="Times New Roman" w:hAnsi="Times New Roman"/>
                <w:color w:val="000000"/>
                <w:sz w:val="16"/>
                <w:szCs w:val="16"/>
                <w:lang w:val="en-GB"/>
              </w:rPr>
              <w:t>initiator  of</w:t>
            </w:r>
            <w:proofErr w:type="gramEnd"/>
            <w:r w:rsidR="00933C25" w:rsidRPr="00E16672">
              <w:rPr>
                <w:rFonts w:ascii="Times New Roman" w:hAnsi="Times New Roman"/>
                <w:color w:val="000000"/>
                <w:sz w:val="16"/>
                <w:szCs w:val="16"/>
                <w:lang w:val="en-GB"/>
              </w:rPr>
              <w:t xml:space="preserve"> depository operation</w:t>
            </w:r>
            <w:r w:rsidR="00F941E2" w:rsidRPr="00E16672">
              <w:rPr>
                <w:rFonts w:ascii="Times New Roman" w:hAnsi="Times New Roman"/>
                <w:color w:val="000000"/>
                <w:sz w:val="16"/>
                <w:szCs w:val="16"/>
                <w:lang w:val="uk-UA"/>
              </w:rPr>
              <w:t xml:space="preserve"> </w:t>
            </w:r>
            <w:r w:rsidR="00F941E2" w:rsidRPr="00F23413">
              <w:rPr>
                <w:rFonts w:ascii="Times New Roman" w:hAnsi="Times New Roman"/>
                <w:sz w:val="16"/>
                <w:szCs w:val="16"/>
                <w:lang w:val="en-US"/>
              </w:rPr>
              <w:t>except in cases established by this Agreement and by law</w:t>
            </w:r>
            <w:r w:rsidR="00EA023C" w:rsidRPr="00E16672">
              <w:rPr>
                <w:rFonts w:ascii="Times New Roman" w:hAnsi="Times New Roman"/>
                <w:color w:val="000000"/>
                <w:sz w:val="16"/>
                <w:szCs w:val="16"/>
                <w:lang w:val="uk-UA"/>
              </w:rPr>
              <w:t>.</w:t>
            </w:r>
          </w:p>
          <w:p w14:paraId="30AC1C37" w14:textId="77777777" w:rsidR="003B3EC1" w:rsidRDefault="003B3EC1" w:rsidP="00141B39">
            <w:pPr>
              <w:tabs>
                <w:tab w:val="left" w:pos="1137"/>
                <w:tab w:val="left" w:pos="6011"/>
              </w:tabs>
              <w:snapToGrid w:val="0"/>
              <w:spacing w:before="57" w:after="57"/>
              <w:ind w:left="145" w:right="100" w:firstLine="0"/>
              <w:rPr>
                <w:rFonts w:ascii="Times New Roman" w:hAnsi="Times New Roman"/>
                <w:color w:val="000000"/>
                <w:sz w:val="16"/>
                <w:szCs w:val="16"/>
                <w:lang w:val="uk-UA"/>
              </w:rPr>
            </w:pPr>
          </w:p>
          <w:p w14:paraId="55C33E6C" w14:textId="77777777" w:rsidR="00933C25" w:rsidRPr="00F23413" w:rsidRDefault="00933C25" w:rsidP="00141B39">
            <w:pPr>
              <w:tabs>
                <w:tab w:val="left" w:pos="1137"/>
                <w:tab w:val="left" w:pos="6011"/>
              </w:tabs>
              <w:snapToGrid w:val="0"/>
              <w:spacing w:before="57" w:after="57"/>
              <w:ind w:left="145" w:right="100" w:firstLine="0"/>
              <w:rPr>
                <w:rFonts w:ascii="Times New Roman" w:hAnsi="Times New Roman"/>
                <w:color w:val="000000"/>
                <w:sz w:val="16"/>
                <w:szCs w:val="16"/>
                <w:lang w:val="en-US"/>
              </w:rPr>
            </w:pPr>
            <w:proofErr w:type="spellStart"/>
            <w:r w:rsidRPr="00E16672">
              <w:rPr>
                <w:rFonts w:ascii="Times New Roman" w:hAnsi="Times New Roman"/>
                <w:color w:val="000000"/>
                <w:sz w:val="16"/>
                <w:szCs w:val="16"/>
                <w:lang w:val="uk-UA"/>
              </w:rPr>
              <w:t>Obligatory</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condition</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of</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closing</w:t>
            </w:r>
            <w:proofErr w:type="spellEnd"/>
            <w:r w:rsidRPr="00E16672">
              <w:rPr>
                <w:rFonts w:ascii="Times New Roman" w:hAnsi="Times New Roman"/>
                <w:color w:val="000000"/>
                <w:sz w:val="16"/>
                <w:szCs w:val="16"/>
                <w:lang w:val="uk-UA"/>
              </w:rPr>
              <w:t xml:space="preserve"> a </w:t>
            </w:r>
            <w:proofErr w:type="spellStart"/>
            <w:r w:rsidRPr="00E16672">
              <w:rPr>
                <w:rFonts w:ascii="Times New Roman" w:hAnsi="Times New Roman"/>
                <w:color w:val="000000"/>
                <w:sz w:val="16"/>
                <w:szCs w:val="16"/>
                <w:lang w:val="uk-UA"/>
              </w:rPr>
              <w:t>securities</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account</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must</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be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absence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of</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securities</w:t>
            </w:r>
            <w:proofErr w:type="spellEnd"/>
            <w:r w:rsidRPr="00E16672">
              <w:rPr>
                <w:rFonts w:ascii="Times New Roman" w:hAnsi="Times New Roman"/>
                <w:color w:val="000000"/>
                <w:sz w:val="16"/>
                <w:szCs w:val="16"/>
                <w:lang w:val="uk-UA"/>
              </w:rPr>
              <w:t xml:space="preserve"> </w:t>
            </w:r>
            <w:r w:rsidRPr="00E16672">
              <w:rPr>
                <w:rFonts w:ascii="Times New Roman" w:hAnsi="Times New Roman"/>
                <w:color w:val="000000"/>
                <w:sz w:val="16"/>
                <w:szCs w:val="16"/>
                <w:lang w:val="en-US"/>
              </w:rPr>
              <w:t xml:space="preserve"> in </w:t>
            </w:r>
            <w:proofErr w:type="spellStart"/>
            <w:r w:rsidRPr="00E16672">
              <w:rPr>
                <w:rFonts w:ascii="Times New Roman" w:hAnsi="Times New Roman"/>
                <w:color w:val="000000"/>
                <w:sz w:val="16"/>
                <w:szCs w:val="16"/>
                <w:lang w:val="uk-UA"/>
              </w:rPr>
              <w:t>accounting</w:t>
            </w:r>
            <w:proofErr w:type="spellEnd"/>
            <w:r w:rsidRPr="00E16672">
              <w:rPr>
                <w:rFonts w:ascii="Times New Roman" w:hAnsi="Times New Roman"/>
                <w:color w:val="000000"/>
                <w:sz w:val="16"/>
                <w:szCs w:val="16"/>
                <w:lang w:val="en-US"/>
              </w:rPr>
              <w:t xml:space="preserve">, rights for </w:t>
            </w:r>
            <w:proofErr w:type="spellStart"/>
            <w:r w:rsidRPr="00E16672">
              <w:rPr>
                <w:rFonts w:ascii="Times New Roman" w:hAnsi="Times New Roman"/>
                <w:color w:val="000000"/>
                <w:sz w:val="16"/>
                <w:szCs w:val="16"/>
                <w:lang w:val="uk-UA"/>
              </w:rPr>
              <w:t>securities</w:t>
            </w:r>
            <w:proofErr w:type="spellEnd"/>
            <w:r w:rsidRPr="00F23413">
              <w:rPr>
                <w:rFonts w:ascii="Times New Roman" w:hAnsi="Times New Roman"/>
                <w:color w:val="000000"/>
                <w:sz w:val="16"/>
                <w:szCs w:val="16"/>
                <w:lang w:val="en-US"/>
              </w:rPr>
              <w:t>.</w:t>
            </w:r>
          </w:p>
        </w:tc>
      </w:tr>
      <w:tr w:rsidR="00933C25" w:rsidRPr="00F23413" w14:paraId="6B0B9893" w14:textId="77777777" w:rsidTr="00D77858">
        <w:tblPrEx>
          <w:tblCellMar>
            <w:left w:w="0" w:type="dxa"/>
            <w:right w:w="0" w:type="dxa"/>
          </w:tblCellMar>
        </w:tblPrEx>
        <w:trPr>
          <w:trHeight w:val="573"/>
        </w:trPr>
        <w:tc>
          <w:tcPr>
            <w:tcW w:w="5696" w:type="dxa"/>
            <w:gridSpan w:val="6"/>
            <w:shd w:val="clear" w:color="auto" w:fill="auto"/>
          </w:tcPr>
          <w:p w14:paraId="05170EA2" w14:textId="77777777" w:rsidR="00933C25" w:rsidRPr="00E16672" w:rsidRDefault="00933C25" w:rsidP="003B3EC1">
            <w:pPr>
              <w:pStyle w:val="32"/>
              <w:snapToGrid w:val="0"/>
              <w:ind w:left="175" w:right="138" w:firstLine="0"/>
              <w:rPr>
                <w:rFonts w:ascii="Times New Roman" w:hAnsi="Times New Roman"/>
                <w:color w:val="000000"/>
                <w:sz w:val="16"/>
                <w:szCs w:val="16"/>
                <w:lang w:val="uk-UA"/>
              </w:rPr>
            </w:pPr>
            <w:r w:rsidRPr="00E16672">
              <w:rPr>
                <w:rFonts w:ascii="Times New Roman" w:hAnsi="Times New Roman"/>
                <w:color w:val="000000"/>
                <w:sz w:val="16"/>
                <w:szCs w:val="16"/>
                <w:lang w:val="uk-UA"/>
              </w:rPr>
              <w:t>8.</w:t>
            </w:r>
            <w:r w:rsidR="003B3EC1">
              <w:rPr>
                <w:rFonts w:ascii="Times New Roman" w:hAnsi="Times New Roman"/>
                <w:color w:val="000000"/>
                <w:sz w:val="16"/>
                <w:szCs w:val="16"/>
                <w:lang w:val="uk-UA"/>
              </w:rPr>
              <w:t>9</w:t>
            </w:r>
            <w:r w:rsidRPr="00E16672">
              <w:rPr>
                <w:rFonts w:ascii="Times New Roman" w:hAnsi="Times New Roman"/>
                <w:color w:val="000000"/>
                <w:sz w:val="16"/>
                <w:szCs w:val="16"/>
                <w:lang w:val="uk-UA"/>
              </w:rPr>
              <w:t>. Інші питання, які не регулюються положеннями цього Договору, регулюються чинним законодавством України</w:t>
            </w:r>
            <w:r w:rsidR="00F941E2" w:rsidRPr="00E16672">
              <w:rPr>
                <w:rFonts w:ascii="Times New Roman" w:hAnsi="Times New Roman"/>
                <w:color w:val="000000"/>
                <w:sz w:val="16"/>
                <w:szCs w:val="16"/>
                <w:lang w:val="uk-UA"/>
              </w:rPr>
              <w:t xml:space="preserve"> </w:t>
            </w:r>
            <w:r w:rsidR="00F941E2" w:rsidRPr="00E16672">
              <w:rPr>
                <w:rFonts w:ascii="Times New Roman" w:hAnsi="Times New Roman"/>
                <w:sz w:val="16"/>
                <w:szCs w:val="16"/>
                <w:lang w:val="uk-UA"/>
              </w:rPr>
              <w:t>та внутрішніми документами Депозитарної установи</w:t>
            </w:r>
            <w:r w:rsidRPr="00E16672">
              <w:rPr>
                <w:rFonts w:ascii="Times New Roman" w:hAnsi="Times New Roman"/>
                <w:color w:val="000000"/>
                <w:sz w:val="16"/>
                <w:szCs w:val="16"/>
                <w:lang w:val="uk-UA"/>
              </w:rPr>
              <w:t>.</w:t>
            </w:r>
          </w:p>
        </w:tc>
        <w:tc>
          <w:tcPr>
            <w:tcW w:w="5494" w:type="dxa"/>
            <w:gridSpan w:val="7"/>
            <w:shd w:val="clear" w:color="auto" w:fill="auto"/>
          </w:tcPr>
          <w:p w14:paraId="6099101A" w14:textId="77777777" w:rsidR="00933C25" w:rsidRPr="00E16672" w:rsidRDefault="00933C25" w:rsidP="003B3EC1">
            <w:pPr>
              <w:pStyle w:val="210"/>
              <w:tabs>
                <w:tab w:val="left" w:pos="287"/>
              </w:tabs>
              <w:snapToGrid w:val="0"/>
              <w:ind w:left="145" w:right="100" w:firstLine="0"/>
              <w:rPr>
                <w:rFonts w:ascii="Times New Roman" w:hAnsi="Times New Roman"/>
                <w:color w:val="000000"/>
                <w:sz w:val="16"/>
                <w:szCs w:val="16"/>
                <w:lang w:val="en-GB"/>
              </w:rPr>
            </w:pPr>
            <w:r w:rsidRPr="00E16672">
              <w:rPr>
                <w:rFonts w:ascii="Times New Roman" w:hAnsi="Times New Roman"/>
                <w:color w:val="000000"/>
                <w:sz w:val="16"/>
                <w:szCs w:val="16"/>
                <w:lang w:val="en-US"/>
              </w:rPr>
              <w:t>8</w:t>
            </w:r>
            <w:r w:rsidRPr="00E16672">
              <w:rPr>
                <w:rFonts w:ascii="Times New Roman" w:hAnsi="Times New Roman"/>
                <w:color w:val="000000"/>
                <w:sz w:val="16"/>
                <w:szCs w:val="16"/>
              </w:rPr>
              <w:t>.</w:t>
            </w:r>
            <w:r w:rsidR="003B3EC1">
              <w:rPr>
                <w:rFonts w:ascii="Times New Roman" w:hAnsi="Times New Roman"/>
                <w:color w:val="000000"/>
                <w:sz w:val="16"/>
                <w:szCs w:val="16"/>
              </w:rPr>
              <w:t>9</w:t>
            </w:r>
            <w:r w:rsidRPr="00E16672">
              <w:rPr>
                <w:rFonts w:ascii="Times New Roman" w:hAnsi="Times New Roman"/>
                <w:color w:val="000000"/>
                <w:sz w:val="16"/>
                <w:szCs w:val="16"/>
              </w:rPr>
              <w:t>.</w:t>
            </w:r>
            <w:r w:rsidRPr="00E16672">
              <w:rPr>
                <w:rFonts w:ascii="Times New Roman" w:hAnsi="Times New Roman"/>
                <w:color w:val="000000"/>
                <w:sz w:val="16"/>
                <w:szCs w:val="16"/>
                <w:lang w:val="en-GB"/>
              </w:rPr>
              <w:t xml:space="preserve"> Other questions, which are not regulated by the conditions of the present Agreement, shall be regulated by the current legislation of Ukraine</w:t>
            </w:r>
            <w:r w:rsidR="00F941E2" w:rsidRPr="00E16672">
              <w:rPr>
                <w:rFonts w:ascii="Times New Roman" w:hAnsi="Times New Roman"/>
                <w:color w:val="000000"/>
                <w:sz w:val="16"/>
                <w:szCs w:val="16"/>
              </w:rPr>
              <w:t xml:space="preserve"> </w:t>
            </w:r>
            <w:proofErr w:type="spellStart"/>
            <w:r w:rsidR="00F941E2" w:rsidRPr="00E16672">
              <w:rPr>
                <w:rStyle w:val="shorttext"/>
                <w:rFonts w:ascii="Times New Roman" w:hAnsi="Times New Roman"/>
                <w:sz w:val="16"/>
                <w:szCs w:val="16"/>
              </w:rPr>
              <w:t>and</w:t>
            </w:r>
            <w:proofErr w:type="spellEnd"/>
            <w:r w:rsidR="00F941E2" w:rsidRPr="00E16672">
              <w:rPr>
                <w:rStyle w:val="shorttext"/>
                <w:rFonts w:ascii="Times New Roman" w:hAnsi="Times New Roman"/>
                <w:sz w:val="16"/>
                <w:szCs w:val="16"/>
              </w:rPr>
              <w:t xml:space="preserve"> </w:t>
            </w:r>
            <w:proofErr w:type="spellStart"/>
            <w:r w:rsidR="00F941E2" w:rsidRPr="00E16672">
              <w:rPr>
                <w:rStyle w:val="shorttext"/>
                <w:rFonts w:ascii="Times New Roman" w:hAnsi="Times New Roman"/>
                <w:sz w:val="16"/>
                <w:szCs w:val="16"/>
              </w:rPr>
              <w:t>the</w:t>
            </w:r>
            <w:proofErr w:type="spellEnd"/>
            <w:r w:rsidR="00F941E2" w:rsidRPr="00E16672">
              <w:rPr>
                <w:rStyle w:val="shorttext"/>
                <w:rFonts w:ascii="Times New Roman" w:hAnsi="Times New Roman"/>
                <w:sz w:val="16"/>
                <w:szCs w:val="16"/>
              </w:rPr>
              <w:t xml:space="preserve"> </w:t>
            </w:r>
            <w:proofErr w:type="spellStart"/>
            <w:r w:rsidR="00F941E2" w:rsidRPr="00E16672">
              <w:rPr>
                <w:rStyle w:val="shorttext"/>
                <w:rFonts w:ascii="Times New Roman" w:hAnsi="Times New Roman"/>
                <w:sz w:val="16"/>
                <w:szCs w:val="16"/>
              </w:rPr>
              <w:t>internal</w:t>
            </w:r>
            <w:proofErr w:type="spellEnd"/>
            <w:r w:rsidR="00F941E2" w:rsidRPr="00E16672">
              <w:rPr>
                <w:rStyle w:val="shorttext"/>
                <w:rFonts w:ascii="Times New Roman" w:hAnsi="Times New Roman"/>
                <w:sz w:val="16"/>
                <w:szCs w:val="16"/>
              </w:rPr>
              <w:t xml:space="preserve"> </w:t>
            </w:r>
            <w:proofErr w:type="spellStart"/>
            <w:r w:rsidR="00F941E2" w:rsidRPr="00E16672">
              <w:rPr>
                <w:rStyle w:val="shorttext"/>
                <w:rFonts w:ascii="Times New Roman" w:hAnsi="Times New Roman"/>
                <w:sz w:val="16"/>
                <w:szCs w:val="16"/>
              </w:rPr>
              <w:t>documents</w:t>
            </w:r>
            <w:proofErr w:type="spellEnd"/>
            <w:r w:rsidR="00F941E2" w:rsidRPr="00E16672">
              <w:rPr>
                <w:rStyle w:val="shorttext"/>
                <w:rFonts w:ascii="Times New Roman" w:hAnsi="Times New Roman"/>
                <w:sz w:val="16"/>
                <w:szCs w:val="16"/>
              </w:rPr>
              <w:t xml:space="preserve"> </w:t>
            </w:r>
            <w:proofErr w:type="spellStart"/>
            <w:r w:rsidR="00F941E2" w:rsidRPr="00E16672">
              <w:rPr>
                <w:rStyle w:val="shorttext"/>
                <w:rFonts w:ascii="Times New Roman" w:hAnsi="Times New Roman"/>
                <w:sz w:val="16"/>
                <w:szCs w:val="16"/>
              </w:rPr>
              <w:t>of</w:t>
            </w:r>
            <w:proofErr w:type="spellEnd"/>
            <w:r w:rsidR="00F941E2" w:rsidRPr="00E16672">
              <w:rPr>
                <w:rStyle w:val="shorttext"/>
                <w:rFonts w:ascii="Times New Roman" w:hAnsi="Times New Roman"/>
                <w:sz w:val="16"/>
                <w:szCs w:val="16"/>
              </w:rPr>
              <w:t xml:space="preserve"> </w:t>
            </w:r>
            <w:proofErr w:type="spellStart"/>
            <w:r w:rsidR="00F941E2" w:rsidRPr="00E16672">
              <w:rPr>
                <w:rStyle w:val="shorttext"/>
                <w:rFonts w:ascii="Times New Roman" w:hAnsi="Times New Roman"/>
                <w:sz w:val="16"/>
                <w:szCs w:val="16"/>
              </w:rPr>
              <w:t>the</w:t>
            </w:r>
            <w:proofErr w:type="spellEnd"/>
            <w:r w:rsidR="00F941E2" w:rsidRPr="00E16672">
              <w:rPr>
                <w:rStyle w:val="shorttext"/>
                <w:rFonts w:ascii="Times New Roman" w:hAnsi="Times New Roman"/>
                <w:sz w:val="16"/>
                <w:szCs w:val="16"/>
              </w:rPr>
              <w:t xml:space="preserve"> </w:t>
            </w:r>
            <w:proofErr w:type="spellStart"/>
            <w:r w:rsidR="00F941E2" w:rsidRPr="00E16672">
              <w:rPr>
                <w:rStyle w:val="shorttext"/>
                <w:rFonts w:ascii="Times New Roman" w:hAnsi="Times New Roman"/>
                <w:sz w:val="16"/>
                <w:szCs w:val="16"/>
              </w:rPr>
              <w:t>Depositary</w:t>
            </w:r>
            <w:proofErr w:type="spellEnd"/>
            <w:r w:rsidR="00F941E2" w:rsidRPr="00E16672">
              <w:rPr>
                <w:rStyle w:val="shorttext"/>
                <w:rFonts w:ascii="Times New Roman" w:hAnsi="Times New Roman"/>
                <w:sz w:val="16"/>
                <w:szCs w:val="16"/>
              </w:rPr>
              <w:t xml:space="preserve"> </w:t>
            </w:r>
            <w:r w:rsidR="00F941E2" w:rsidRPr="00E16672">
              <w:rPr>
                <w:rFonts w:ascii="Times New Roman" w:hAnsi="Times New Roman"/>
                <w:iCs/>
                <w:color w:val="000000"/>
                <w:sz w:val="16"/>
                <w:szCs w:val="16"/>
                <w:lang w:val="en-US"/>
              </w:rPr>
              <w:t>institution</w:t>
            </w:r>
            <w:r w:rsidRPr="00E16672">
              <w:rPr>
                <w:rFonts w:ascii="Times New Roman" w:hAnsi="Times New Roman"/>
                <w:color w:val="000000"/>
                <w:sz w:val="16"/>
                <w:szCs w:val="16"/>
                <w:lang w:val="en-GB"/>
              </w:rPr>
              <w:t>.</w:t>
            </w:r>
          </w:p>
        </w:tc>
      </w:tr>
      <w:tr w:rsidR="00933C25" w:rsidRPr="00F23413" w14:paraId="30A65328" w14:textId="77777777" w:rsidTr="00D77858">
        <w:tblPrEx>
          <w:tblCellMar>
            <w:left w:w="0" w:type="dxa"/>
            <w:right w:w="0" w:type="dxa"/>
          </w:tblCellMar>
        </w:tblPrEx>
        <w:trPr>
          <w:trHeight w:val="192"/>
        </w:trPr>
        <w:tc>
          <w:tcPr>
            <w:tcW w:w="5696" w:type="dxa"/>
            <w:gridSpan w:val="6"/>
            <w:shd w:val="clear" w:color="auto" w:fill="auto"/>
          </w:tcPr>
          <w:p w14:paraId="36E92528" w14:textId="77777777" w:rsidR="00933C25" w:rsidRPr="00E16672" w:rsidRDefault="00933C25" w:rsidP="00E27FD1">
            <w:pPr>
              <w:snapToGrid w:val="0"/>
              <w:ind w:left="175" w:right="138"/>
              <w:rPr>
                <w:rFonts w:ascii="Times New Roman" w:hAnsi="Times New Roman"/>
                <w:sz w:val="16"/>
                <w:szCs w:val="16"/>
                <w:lang w:val="en-US"/>
              </w:rPr>
            </w:pPr>
          </w:p>
          <w:p w14:paraId="29433CC9" w14:textId="77777777" w:rsidR="00933C25" w:rsidRPr="00E16672" w:rsidRDefault="00933C25" w:rsidP="00E27FD1">
            <w:pPr>
              <w:ind w:left="175" w:right="138"/>
              <w:jc w:val="center"/>
              <w:rPr>
                <w:rFonts w:ascii="Times New Roman" w:hAnsi="Times New Roman"/>
                <w:b/>
                <w:caps/>
                <w:sz w:val="16"/>
                <w:szCs w:val="16"/>
                <w:lang w:val="en-US"/>
              </w:rPr>
            </w:pPr>
            <w:r w:rsidRPr="00E16672">
              <w:rPr>
                <w:rFonts w:ascii="Times New Roman" w:hAnsi="Times New Roman"/>
                <w:b/>
                <w:caps/>
                <w:sz w:val="16"/>
                <w:szCs w:val="16"/>
                <w:lang w:val="en-US"/>
              </w:rPr>
              <w:t xml:space="preserve">9. </w:t>
            </w:r>
            <w:r w:rsidRPr="00E16672">
              <w:rPr>
                <w:rFonts w:ascii="Times New Roman" w:hAnsi="Times New Roman"/>
                <w:b/>
                <w:caps/>
                <w:sz w:val="16"/>
                <w:szCs w:val="16"/>
              </w:rPr>
              <w:t>Форс</w:t>
            </w:r>
            <w:r w:rsidRPr="00E16672">
              <w:rPr>
                <w:rFonts w:ascii="Times New Roman" w:hAnsi="Times New Roman"/>
                <w:b/>
                <w:caps/>
                <w:sz w:val="16"/>
                <w:szCs w:val="16"/>
                <w:lang w:val="en-US"/>
              </w:rPr>
              <w:t>-</w:t>
            </w:r>
            <w:r w:rsidRPr="00E16672">
              <w:rPr>
                <w:rFonts w:ascii="Times New Roman" w:hAnsi="Times New Roman"/>
                <w:b/>
                <w:caps/>
                <w:sz w:val="16"/>
                <w:szCs w:val="16"/>
              </w:rPr>
              <w:t>мажор</w:t>
            </w:r>
          </w:p>
          <w:p w14:paraId="137FA8EA" w14:textId="77777777" w:rsidR="00933C25" w:rsidRPr="00E16672" w:rsidRDefault="00933C25" w:rsidP="00E27FD1">
            <w:pPr>
              <w:ind w:left="175" w:right="138"/>
              <w:rPr>
                <w:rFonts w:ascii="Times New Roman" w:hAnsi="Times New Roman"/>
                <w:sz w:val="16"/>
                <w:szCs w:val="16"/>
                <w:lang w:val="en-US"/>
              </w:rPr>
            </w:pPr>
          </w:p>
          <w:p w14:paraId="237FCDD6" w14:textId="77777777" w:rsidR="00933C25" w:rsidRPr="00E16672" w:rsidRDefault="00933C25" w:rsidP="00141B39">
            <w:pPr>
              <w:ind w:left="175" w:right="138" w:firstLine="0"/>
              <w:rPr>
                <w:rFonts w:ascii="Times New Roman" w:hAnsi="Times New Roman"/>
                <w:sz w:val="16"/>
                <w:szCs w:val="16"/>
              </w:rPr>
            </w:pPr>
            <w:r w:rsidRPr="00E16672">
              <w:rPr>
                <w:rFonts w:ascii="Times New Roman" w:hAnsi="Times New Roman"/>
                <w:sz w:val="16"/>
                <w:szCs w:val="16"/>
                <w:lang w:val="en-US"/>
              </w:rPr>
              <w:t xml:space="preserve">9.1. </w:t>
            </w:r>
            <w:proofErr w:type="spellStart"/>
            <w:r w:rsidRPr="00E16672">
              <w:rPr>
                <w:rFonts w:ascii="Times New Roman" w:hAnsi="Times New Roman"/>
                <w:sz w:val="16"/>
                <w:szCs w:val="16"/>
              </w:rPr>
              <w:t>Сторони</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звільняються</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від</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відповідальності</w:t>
            </w:r>
            <w:proofErr w:type="spellEnd"/>
            <w:r w:rsidRPr="00E16672">
              <w:rPr>
                <w:rFonts w:ascii="Times New Roman" w:hAnsi="Times New Roman"/>
                <w:sz w:val="16"/>
                <w:szCs w:val="16"/>
                <w:lang w:val="en-US"/>
              </w:rPr>
              <w:t xml:space="preserve"> </w:t>
            </w:r>
            <w:r w:rsidRPr="00E16672">
              <w:rPr>
                <w:rFonts w:ascii="Times New Roman" w:hAnsi="Times New Roman"/>
                <w:sz w:val="16"/>
                <w:szCs w:val="16"/>
              </w:rPr>
              <w:t>за</w:t>
            </w:r>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часткове</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або</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повне</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невиконання</w:t>
            </w:r>
            <w:proofErr w:type="spellEnd"/>
            <w:r w:rsidRPr="00E16672">
              <w:rPr>
                <w:rFonts w:ascii="Times New Roman" w:hAnsi="Times New Roman"/>
                <w:sz w:val="16"/>
                <w:szCs w:val="16"/>
                <w:lang w:val="en-US"/>
              </w:rPr>
              <w:t xml:space="preserve"> </w:t>
            </w:r>
            <w:r w:rsidRPr="00E16672">
              <w:rPr>
                <w:rFonts w:ascii="Times New Roman" w:hAnsi="Times New Roman"/>
                <w:sz w:val="16"/>
                <w:szCs w:val="16"/>
              </w:rPr>
              <w:t>зобов</w:t>
            </w:r>
            <w:r w:rsidRPr="00E16672">
              <w:rPr>
                <w:rFonts w:ascii="Times New Roman" w:hAnsi="Times New Roman"/>
                <w:sz w:val="16"/>
                <w:szCs w:val="16"/>
                <w:lang w:val="en-US"/>
              </w:rPr>
              <w:t>’</w:t>
            </w:r>
            <w:proofErr w:type="spellStart"/>
            <w:r w:rsidRPr="00E16672">
              <w:rPr>
                <w:rFonts w:ascii="Times New Roman" w:hAnsi="Times New Roman"/>
                <w:sz w:val="16"/>
                <w:szCs w:val="16"/>
              </w:rPr>
              <w:t>язань</w:t>
            </w:r>
            <w:proofErr w:type="spellEnd"/>
            <w:r w:rsidRPr="00E16672">
              <w:rPr>
                <w:rFonts w:ascii="Times New Roman" w:hAnsi="Times New Roman"/>
                <w:sz w:val="16"/>
                <w:szCs w:val="16"/>
                <w:lang w:val="en-US"/>
              </w:rPr>
              <w:t xml:space="preserve"> </w:t>
            </w:r>
            <w:r w:rsidRPr="00E16672">
              <w:rPr>
                <w:rFonts w:ascii="Times New Roman" w:hAnsi="Times New Roman"/>
                <w:sz w:val="16"/>
                <w:szCs w:val="16"/>
              </w:rPr>
              <w:t>по</w:t>
            </w:r>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цьому</w:t>
            </w:r>
            <w:proofErr w:type="spellEnd"/>
            <w:r w:rsidRPr="00E16672">
              <w:rPr>
                <w:rFonts w:ascii="Times New Roman" w:hAnsi="Times New Roman"/>
                <w:sz w:val="16"/>
                <w:szCs w:val="16"/>
                <w:lang w:val="en-US"/>
              </w:rPr>
              <w:t xml:space="preserve"> </w:t>
            </w:r>
            <w:r w:rsidRPr="00E16672">
              <w:rPr>
                <w:rFonts w:ascii="Times New Roman" w:hAnsi="Times New Roman"/>
                <w:sz w:val="16"/>
                <w:szCs w:val="16"/>
              </w:rPr>
              <w:t>Договору</w:t>
            </w:r>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якщо</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це</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виконання</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унеможливив</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вплив</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обставин</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непереборної</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сили</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тобто</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надзвичайних</w:t>
            </w:r>
            <w:proofErr w:type="spellEnd"/>
            <w:r w:rsidRPr="00E16672">
              <w:rPr>
                <w:rFonts w:ascii="Times New Roman" w:hAnsi="Times New Roman"/>
                <w:sz w:val="16"/>
                <w:szCs w:val="16"/>
                <w:lang w:val="en-US"/>
              </w:rPr>
              <w:t xml:space="preserve"> </w:t>
            </w:r>
            <w:r w:rsidRPr="00E16672">
              <w:rPr>
                <w:rFonts w:ascii="Times New Roman" w:hAnsi="Times New Roman"/>
                <w:sz w:val="16"/>
                <w:szCs w:val="16"/>
              </w:rPr>
              <w:t>і</w:t>
            </w:r>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невідворотних</w:t>
            </w:r>
            <w:proofErr w:type="spellEnd"/>
            <w:r w:rsidRPr="00E16672">
              <w:rPr>
                <w:rFonts w:ascii="Times New Roman" w:hAnsi="Times New Roman"/>
                <w:sz w:val="16"/>
                <w:szCs w:val="16"/>
                <w:lang w:val="en-US"/>
              </w:rPr>
              <w:t xml:space="preserve"> </w:t>
            </w:r>
            <w:r w:rsidRPr="00E16672">
              <w:rPr>
                <w:rFonts w:ascii="Times New Roman" w:hAnsi="Times New Roman"/>
                <w:sz w:val="16"/>
                <w:szCs w:val="16"/>
              </w:rPr>
              <w:t>за</w:t>
            </w:r>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даних</w:t>
            </w:r>
            <w:proofErr w:type="spellEnd"/>
            <w:r w:rsidRPr="00E16672">
              <w:rPr>
                <w:rFonts w:ascii="Times New Roman" w:hAnsi="Times New Roman"/>
                <w:sz w:val="16"/>
                <w:szCs w:val="16"/>
                <w:lang w:val="en-US"/>
              </w:rPr>
              <w:t xml:space="preserve"> </w:t>
            </w:r>
            <w:r w:rsidRPr="00E16672">
              <w:rPr>
                <w:rFonts w:ascii="Times New Roman" w:hAnsi="Times New Roman"/>
                <w:sz w:val="16"/>
                <w:szCs w:val="16"/>
              </w:rPr>
              <w:t>умов</w:t>
            </w:r>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подій</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стихійного</w:t>
            </w:r>
            <w:proofErr w:type="spellEnd"/>
            <w:r w:rsidRPr="00E16672">
              <w:rPr>
                <w:rFonts w:ascii="Times New Roman" w:hAnsi="Times New Roman"/>
                <w:sz w:val="16"/>
                <w:szCs w:val="16"/>
                <w:lang w:val="en-US"/>
              </w:rPr>
              <w:t xml:space="preserve"> </w:t>
            </w:r>
            <w:r w:rsidRPr="00E16672">
              <w:rPr>
                <w:rFonts w:ascii="Times New Roman" w:hAnsi="Times New Roman"/>
                <w:sz w:val="16"/>
                <w:szCs w:val="16"/>
              </w:rPr>
              <w:t>лиха</w:t>
            </w:r>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аварії</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пожежі</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вихід</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із</w:t>
            </w:r>
            <w:proofErr w:type="spellEnd"/>
            <w:r w:rsidRPr="00E16672">
              <w:rPr>
                <w:rFonts w:ascii="Times New Roman" w:hAnsi="Times New Roman"/>
                <w:sz w:val="16"/>
                <w:szCs w:val="16"/>
                <w:lang w:val="en-US"/>
              </w:rPr>
              <w:t xml:space="preserve"> </w:t>
            </w:r>
            <w:r w:rsidRPr="00E16672">
              <w:rPr>
                <w:rFonts w:ascii="Times New Roman" w:hAnsi="Times New Roman"/>
                <w:sz w:val="16"/>
                <w:szCs w:val="16"/>
              </w:rPr>
              <w:t>ладу</w:t>
            </w:r>
            <w:r w:rsidRPr="00E16672">
              <w:rPr>
                <w:rFonts w:ascii="Times New Roman" w:hAnsi="Times New Roman"/>
                <w:sz w:val="16"/>
                <w:szCs w:val="16"/>
                <w:lang w:val="en-US"/>
              </w:rPr>
              <w:t xml:space="preserve"> </w:t>
            </w:r>
            <w:r w:rsidRPr="00E16672">
              <w:rPr>
                <w:rFonts w:ascii="Times New Roman" w:hAnsi="Times New Roman"/>
                <w:sz w:val="16"/>
                <w:szCs w:val="16"/>
              </w:rPr>
              <w:t>мереж</w:t>
            </w:r>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зв</w:t>
            </w:r>
            <w:proofErr w:type="spellEnd"/>
            <w:r w:rsidRPr="00E16672">
              <w:rPr>
                <w:rFonts w:ascii="Times New Roman" w:hAnsi="Times New Roman"/>
                <w:sz w:val="16"/>
                <w:szCs w:val="16"/>
                <w:lang w:val="en-US"/>
              </w:rPr>
              <w:t>’</w:t>
            </w:r>
            <w:proofErr w:type="spellStart"/>
            <w:r w:rsidRPr="00E16672">
              <w:rPr>
                <w:rFonts w:ascii="Times New Roman" w:hAnsi="Times New Roman"/>
                <w:sz w:val="16"/>
                <w:szCs w:val="16"/>
              </w:rPr>
              <w:t>язку</w:t>
            </w:r>
            <w:proofErr w:type="spellEnd"/>
            <w:r w:rsidRPr="00E16672">
              <w:rPr>
                <w:rFonts w:ascii="Times New Roman" w:hAnsi="Times New Roman"/>
                <w:sz w:val="16"/>
                <w:szCs w:val="16"/>
                <w:lang w:val="en-US"/>
              </w:rPr>
              <w:t xml:space="preserve"> </w:t>
            </w:r>
            <w:r w:rsidRPr="00E16672">
              <w:rPr>
                <w:rFonts w:ascii="Times New Roman" w:hAnsi="Times New Roman"/>
                <w:sz w:val="16"/>
                <w:szCs w:val="16"/>
              </w:rPr>
              <w:t>та</w:t>
            </w:r>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системи</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електропостачання</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масових</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порушень</w:t>
            </w:r>
            <w:proofErr w:type="spellEnd"/>
            <w:r w:rsidRPr="00E16672">
              <w:rPr>
                <w:rFonts w:ascii="Times New Roman" w:hAnsi="Times New Roman"/>
                <w:sz w:val="16"/>
                <w:szCs w:val="16"/>
                <w:lang w:val="en-US"/>
              </w:rPr>
              <w:t xml:space="preserve"> </w:t>
            </w:r>
            <w:r w:rsidRPr="00E16672">
              <w:rPr>
                <w:rFonts w:ascii="Times New Roman" w:hAnsi="Times New Roman"/>
                <w:sz w:val="16"/>
                <w:szCs w:val="16"/>
              </w:rPr>
              <w:t>правопорядку</w:t>
            </w:r>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страйків</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військових</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дій</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протиправних</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дій</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третіх</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осіб</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крім</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дій</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працівників</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Сторони</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чи</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інших</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обставин</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що</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виникли</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після</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підписання</w:t>
            </w:r>
            <w:proofErr w:type="spellEnd"/>
            <w:r w:rsidRPr="00E16672">
              <w:rPr>
                <w:rFonts w:ascii="Times New Roman" w:hAnsi="Times New Roman"/>
                <w:sz w:val="16"/>
                <w:szCs w:val="16"/>
                <w:lang w:val="en-US"/>
              </w:rPr>
              <w:t xml:space="preserve"> </w:t>
            </w:r>
            <w:r w:rsidRPr="00E16672">
              <w:rPr>
                <w:rFonts w:ascii="Times New Roman" w:hAnsi="Times New Roman"/>
                <w:sz w:val="16"/>
                <w:szCs w:val="16"/>
              </w:rPr>
              <w:t>Договору</w:t>
            </w:r>
            <w:r w:rsidRPr="00E16672">
              <w:rPr>
                <w:rFonts w:ascii="Times New Roman" w:hAnsi="Times New Roman"/>
                <w:sz w:val="16"/>
                <w:szCs w:val="16"/>
                <w:lang w:val="en-US"/>
              </w:rPr>
              <w:t xml:space="preserve"> </w:t>
            </w:r>
            <w:r w:rsidRPr="00E16672">
              <w:rPr>
                <w:rFonts w:ascii="Times New Roman" w:hAnsi="Times New Roman"/>
                <w:sz w:val="16"/>
                <w:szCs w:val="16"/>
              </w:rPr>
              <w:t>та</w:t>
            </w:r>
            <w:r w:rsidRPr="00E16672">
              <w:rPr>
                <w:rFonts w:ascii="Times New Roman" w:hAnsi="Times New Roman"/>
                <w:sz w:val="16"/>
                <w:szCs w:val="16"/>
                <w:lang w:val="en-US"/>
              </w:rPr>
              <w:t xml:space="preserve"> </w:t>
            </w:r>
            <w:r w:rsidRPr="00E16672">
              <w:rPr>
                <w:rFonts w:ascii="Times New Roman" w:hAnsi="Times New Roman"/>
                <w:sz w:val="16"/>
                <w:szCs w:val="16"/>
              </w:rPr>
              <w:t>не</w:t>
            </w:r>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залежать</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від</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волевиявлення</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Сторін</w:t>
            </w:r>
            <w:proofErr w:type="spellEnd"/>
            <w:r w:rsidRPr="00E16672">
              <w:rPr>
                <w:rFonts w:ascii="Times New Roman" w:hAnsi="Times New Roman"/>
                <w:sz w:val="16"/>
                <w:szCs w:val="16"/>
                <w:lang w:val="en-US"/>
              </w:rPr>
              <w:t xml:space="preserve">. </w:t>
            </w:r>
            <w:r w:rsidRPr="00E16672">
              <w:rPr>
                <w:rFonts w:ascii="Times New Roman" w:hAnsi="Times New Roman"/>
                <w:sz w:val="16"/>
                <w:szCs w:val="16"/>
              </w:rPr>
              <w:t xml:space="preserve">Не є </w:t>
            </w:r>
            <w:proofErr w:type="spellStart"/>
            <w:r w:rsidRPr="00E16672">
              <w:rPr>
                <w:rFonts w:ascii="Times New Roman" w:hAnsi="Times New Roman"/>
                <w:sz w:val="16"/>
                <w:szCs w:val="16"/>
              </w:rPr>
              <w:t>непереборною</w:t>
            </w:r>
            <w:proofErr w:type="spellEnd"/>
            <w:r w:rsidRPr="00E16672">
              <w:rPr>
                <w:rFonts w:ascii="Times New Roman" w:hAnsi="Times New Roman"/>
                <w:sz w:val="16"/>
                <w:szCs w:val="16"/>
              </w:rPr>
              <w:t xml:space="preserve"> силою </w:t>
            </w:r>
            <w:proofErr w:type="spellStart"/>
            <w:r w:rsidRPr="00E16672">
              <w:rPr>
                <w:rFonts w:ascii="Times New Roman" w:hAnsi="Times New Roman"/>
                <w:sz w:val="16"/>
                <w:szCs w:val="16"/>
              </w:rPr>
              <w:t>недодержання</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своїх</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обов’язків</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іншими</w:t>
            </w:r>
            <w:proofErr w:type="spellEnd"/>
            <w:r w:rsidRPr="00E16672">
              <w:rPr>
                <w:rFonts w:ascii="Times New Roman" w:hAnsi="Times New Roman"/>
                <w:sz w:val="16"/>
                <w:szCs w:val="16"/>
              </w:rPr>
              <w:t xml:space="preserve"> контрагентами </w:t>
            </w:r>
            <w:proofErr w:type="spellStart"/>
            <w:r w:rsidRPr="00E16672">
              <w:rPr>
                <w:rFonts w:ascii="Times New Roman" w:hAnsi="Times New Roman"/>
                <w:sz w:val="16"/>
                <w:szCs w:val="16"/>
              </w:rPr>
              <w:t>однієї</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зі</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Сторін</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чи</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відсутність</w:t>
            </w:r>
            <w:proofErr w:type="spellEnd"/>
            <w:r w:rsidRPr="00E16672">
              <w:rPr>
                <w:rFonts w:ascii="Times New Roman" w:hAnsi="Times New Roman"/>
                <w:sz w:val="16"/>
                <w:szCs w:val="16"/>
              </w:rPr>
              <w:t xml:space="preserve"> у </w:t>
            </w:r>
            <w:proofErr w:type="spellStart"/>
            <w:r w:rsidRPr="00E16672">
              <w:rPr>
                <w:rFonts w:ascii="Times New Roman" w:hAnsi="Times New Roman"/>
                <w:sz w:val="16"/>
                <w:szCs w:val="16"/>
              </w:rPr>
              <w:t>Сторони</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достатніх</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коштів</w:t>
            </w:r>
            <w:proofErr w:type="spellEnd"/>
            <w:r w:rsidRPr="00E16672">
              <w:rPr>
                <w:rFonts w:ascii="Times New Roman" w:hAnsi="Times New Roman"/>
                <w:sz w:val="16"/>
                <w:szCs w:val="16"/>
              </w:rPr>
              <w:t>.</w:t>
            </w:r>
          </w:p>
          <w:p w14:paraId="79084063" w14:textId="77777777" w:rsidR="00933C25" w:rsidRPr="00E16672" w:rsidRDefault="00933C25" w:rsidP="00E27FD1">
            <w:pPr>
              <w:pStyle w:val="1b"/>
              <w:spacing w:before="0" w:after="0"/>
              <w:ind w:left="175" w:right="138"/>
              <w:rPr>
                <w:rFonts w:ascii="Times New Roman" w:eastAsia="Times New Roman" w:hAnsi="Times New Roman" w:cs="Times New Roman"/>
                <w:sz w:val="16"/>
                <w:szCs w:val="16"/>
              </w:rPr>
            </w:pPr>
          </w:p>
        </w:tc>
        <w:tc>
          <w:tcPr>
            <w:tcW w:w="5494" w:type="dxa"/>
            <w:gridSpan w:val="7"/>
            <w:shd w:val="clear" w:color="auto" w:fill="auto"/>
          </w:tcPr>
          <w:p w14:paraId="4C9B1844" w14:textId="77777777" w:rsidR="00933C25" w:rsidRPr="00E16672" w:rsidRDefault="00933C25" w:rsidP="00E27FD1">
            <w:pPr>
              <w:tabs>
                <w:tab w:val="left" w:pos="287"/>
              </w:tabs>
              <w:snapToGrid w:val="0"/>
              <w:ind w:left="145" w:right="100"/>
              <w:jc w:val="center"/>
              <w:rPr>
                <w:rFonts w:ascii="Times New Roman" w:hAnsi="Times New Roman"/>
                <w:b/>
                <w:bCs/>
                <w:sz w:val="16"/>
                <w:szCs w:val="16"/>
              </w:rPr>
            </w:pPr>
          </w:p>
          <w:p w14:paraId="74FEBDBE" w14:textId="77777777" w:rsidR="00933C25" w:rsidRPr="00E16672" w:rsidRDefault="00933C25" w:rsidP="00E27FD1">
            <w:pPr>
              <w:tabs>
                <w:tab w:val="left" w:pos="287"/>
              </w:tabs>
              <w:ind w:left="145" w:right="100"/>
              <w:jc w:val="center"/>
              <w:rPr>
                <w:rFonts w:ascii="Times New Roman" w:hAnsi="Times New Roman"/>
                <w:b/>
                <w:caps/>
                <w:sz w:val="16"/>
                <w:szCs w:val="16"/>
                <w:lang w:val="en-GB"/>
              </w:rPr>
            </w:pPr>
            <w:r w:rsidRPr="00E16672">
              <w:rPr>
                <w:rFonts w:ascii="Times New Roman" w:hAnsi="Times New Roman"/>
                <w:b/>
                <w:caps/>
                <w:sz w:val="16"/>
                <w:szCs w:val="16"/>
                <w:lang w:val="en-US"/>
              </w:rPr>
              <w:t>9</w:t>
            </w:r>
            <w:r w:rsidRPr="00E16672">
              <w:rPr>
                <w:rFonts w:ascii="Times New Roman" w:hAnsi="Times New Roman"/>
                <w:b/>
                <w:caps/>
                <w:sz w:val="16"/>
                <w:szCs w:val="16"/>
                <w:lang w:val="en-GB"/>
              </w:rPr>
              <w:t>. FORCE MAJEURE</w:t>
            </w:r>
          </w:p>
          <w:p w14:paraId="6BC22871" w14:textId="77777777" w:rsidR="00933C25" w:rsidRPr="00E16672" w:rsidRDefault="00933C25" w:rsidP="00E27FD1">
            <w:pPr>
              <w:tabs>
                <w:tab w:val="left" w:pos="287"/>
              </w:tabs>
              <w:ind w:left="145" w:right="100"/>
              <w:jc w:val="center"/>
              <w:rPr>
                <w:rFonts w:ascii="Times New Roman" w:hAnsi="Times New Roman"/>
                <w:b/>
                <w:bCs/>
                <w:sz w:val="16"/>
                <w:szCs w:val="16"/>
                <w:lang w:val="en-GB"/>
              </w:rPr>
            </w:pPr>
          </w:p>
          <w:p w14:paraId="12967229" w14:textId="77777777" w:rsidR="00933C25" w:rsidRPr="00E16672" w:rsidRDefault="00933C25" w:rsidP="00DC56EF">
            <w:pPr>
              <w:pStyle w:val="210"/>
              <w:tabs>
                <w:tab w:val="left" w:pos="287"/>
              </w:tabs>
              <w:ind w:left="145" w:right="100" w:firstLine="0"/>
              <w:rPr>
                <w:rFonts w:ascii="Times New Roman" w:hAnsi="Times New Roman"/>
                <w:sz w:val="16"/>
                <w:szCs w:val="16"/>
              </w:rPr>
            </w:pPr>
            <w:r w:rsidRPr="00E16672">
              <w:rPr>
                <w:rFonts w:ascii="Times New Roman" w:hAnsi="Times New Roman"/>
                <w:sz w:val="16"/>
                <w:szCs w:val="16"/>
              </w:rPr>
              <w:t xml:space="preserve">9.1.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Parties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shall</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not</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be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liable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for</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partial</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or</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full</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default</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under</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this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Agreement</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if</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this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is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impossible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performance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impact</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of</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force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majeure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ie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extraordinary</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and</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unavoidable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in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circumstances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of</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events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acts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of</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nature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accidents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fires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failure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of</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communication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circuits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and</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electrification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circuits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mass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disorders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strikes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military</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operations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illegal</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operations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except</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actions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of</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staff</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of</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parties</w:t>
            </w:r>
            <w:proofErr w:type="spellEnd"/>
            <w:r w:rsidRPr="00E16672">
              <w:rPr>
                <w:rFonts w:ascii="Times New Roman" w:hAnsi="Times New Roman"/>
                <w:sz w:val="16"/>
                <w:szCs w:val="16"/>
              </w:rPr>
              <w:t xml:space="preserve">) – </w:t>
            </w:r>
            <w:proofErr w:type="spellStart"/>
            <w:r w:rsidRPr="00E16672">
              <w:rPr>
                <w:rFonts w:ascii="Times New Roman" w:hAnsi="Times New Roman"/>
                <w:sz w:val="16"/>
                <w:szCs w:val="16"/>
              </w:rPr>
              <w:t>or</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either</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circumstances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arising</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after</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conclusion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of</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this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Agreement</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and</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does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not</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depend</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will</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of</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parties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Not</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an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insurmountable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force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noncompliance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with</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duties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other</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contractors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from</w:t>
            </w:r>
            <w:proofErr w:type="spellEnd"/>
            <w:r w:rsidRPr="00E16672">
              <w:rPr>
                <w:rFonts w:ascii="Times New Roman" w:hAnsi="Times New Roman"/>
                <w:sz w:val="16"/>
                <w:szCs w:val="16"/>
              </w:rPr>
              <w:t xml:space="preserve"> a </w:t>
            </w:r>
            <w:proofErr w:type="spellStart"/>
            <w:r w:rsidRPr="00E16672">
              <w:rPr>
                <w:rFonts w:ascii="Times New Roman" w:hAnsi="Times New Roman"/>
                <w:sz w:val="16"/>
                <w:szCs w:val="16"/>
              </w:rPr>
              <w:t>Party</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or</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Parties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to</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lack</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of</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sufficient</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funds</w:t>
            </w:r>
            <w:proofErr w:type="spellEnd"/>
            <w:r w:rsidRPr="00E16672">
              <w:rPr>
                <w:rFonts w:ascii="Times New Roman" w:hAnsi="Times New Roman"/>
                <w:sz w:val="16"/>
                <w:szCs w:val="16"/>
              </w:rPr>
              <w:t>.</w:t>
            </w:r>
          </w:p>
        </w:tc>
      </w:tr>
      <w:tr w:rsidR="00933C25" w:rsidRPr="00F23413" w14:paraId="6CE409C8" w14:textId="77777777" w:rsidTr="00D77858">
        <w:tblPrEx>
          <w:tblCellMar>
            <w:left w:w="0" w:type="dxa"/>
            <w:right w:w="0" w:type="dxa"/>
          </w:tblCellMar>
        </w:tblPrEx>
        <w:trPr>
          <w:trHeight w:val="192"/>
        </w:trPr>
        <w:tc>
          <w:tcPr>
            <w:tcW w:w="5696" w:type="dxa"/>
            <w:gridSpan w:val="6"/>
            <w:shd w:val="clear" w:color="auto" w:fill="auto"/>
          </w:tcPr>
          <w:p w14:paraId="77D0EB36" w14:textId="77777777" w:rsidR="00933C25" w:rsidRPr="00E16672" w:rsidRDefault="00933C25" w:rsidP="00141B39">
            <w:pPr>
              <w:snapToGrid w:val="0"/>
              <w:ind w:left="175" w:right="138" w:firstLine="0"/>
              <w:rPr>
                <w:rFonts w:ascii="Times New Roman" w:hAnsi="Times New Roman"/>
                <w:sz w:val="16"/>
                <w:szCs w:val="16"/>
              </w:rPr>
            </w:pPr>
            <w:r w:rsidRPr="00E16672">
              <w:rPr>
                <w:rFonts w:ascii="Times New Roman" w:hAnsi="Times New Roman"/>
                <w:sz w:val="16"/>
                <w:szCs w:val="16"/>
              </w:rPr>
              <w:t xml:space="preserve">9.2. У </w:t>
            </w:r>
            <w:proofErr w:type="spellStart"/>
            <w:r w:rsidRPr="00E16672">
              <w:rPr>
                <w:rFonts w:ascii="Times New Roman" w:hAnsi="Times New Roman"/>
                <w:sz w:val="16"/>
                <w:szCs w:val="16"/>
              </w:rPr>
              <w:t>випадку</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виникнення</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обставин</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непереборної</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сили</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термін</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виконання</w:t>
            </w:r>
            <w:proofErr w:type="spellEnd"/>
            <w:r w:rsidRPr="00E16672">
              <w:rPr>
                <w:rFonts w:ascii="Times New Roman" w:hAnsi="Times New Roman"/>
                <w:sz w:val="16"/>
                <w:szCs w:val="16"/>
              </w:rPr>
              <w:t xml:space="preserve"> Сторонами </w:t>
            </w:r>
            <w:proofErr w:type="spellStart"/>
            <w:r w:rsidRPr="00E16672">
              <w:rPr>
                <w:rFonts w:ascii="Times New Roman" w:hAnsi="Times New Roman"/>
                <w:sz w:val="16"/>
                <w:szCs w:val="16"/>
              </w:rPr>
              <w:t>обов`язків</w:t>
            </w:r>
            <w:proofErr w:type="spellEnd"/>
            <w:r w:rsidRPr="00E16672">
              <w:rPr>
                <w:rFonts w:ascii="Times New Roman" w:hAnsi="Times New Roman"/>
                <w:sz w:val="16"/>
                <w:szCs w:val="16"/>
              </w:rPr>
              <w:t xml:space="preserve"> по </w:t>
            </w:r>
            <w:proofErr w:type="spellStart"/>
            <w:r w:rsidRPr="00E16672">
              <w:rPr>
                <w:rFonts w:ascii="Times New Roman" w:hAnsi="Times New Roman"/>
                <w:sz w:val="16"/>
                <w:szCs w:val="16"/>
              </w:rPr>
              <w:t>цьому</w:t>
            </w:r>
            <w:proofErr w:type="spellEnd"/>
            <w:r w:rsidRPr="00E16672">
              <w:rPr>
                <w:rFonts w:ascii="Times New Roman" w:hAnsi="Times New Roman"/>
                <w:sz w:val="16"/>
                <w:szCs w:val="16"/>
              </w:rPr>
              <w:t xml:space="preserve"> Договору </w:t>
            </w:r>
            <w:proofErr w:type="spellStart"/>
            <w:r w:rsidRPr="00E16672">
              <w:rPr>
                <w:rFonts w:ascii="Times New Roman" w:hAnsi="Times New Roman"/>
                <w:sz w:val="16"/>
                <w:szCs w:val="16"/>
              </w:rPr>
              <w:t>відкладається</w:t>
            </w:r>
            <w:proofErr w:type="spellEnd"/>
            <w:r w:rsidRPr="00E16672">
              <w:rPr>
                <w:rFonts w:ascii="Times New Roman" w:hAnsi="Times New Roman"/>
                <w:sz w:val="16"/>
                <w:szCs w:val="16"/>
              </w:rPr>
              <w:t xml:space="preserve"> на </w:t>
            </w:r>
            <w:proofErr w:type="spellStart"/>
            <w:r w:rsidRPr="00E16672">
              <w:rPr>
                <w:rFonts w:ascii="Times New Roman" w:hAnsi="Times New Roman"/>
                <w:sz w:val="16"/>
                <w:szCs w:val="16"/>
              </w:rPr>
              <w:t>термін</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протягом</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якого</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діють</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такі</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обставини</w:t>
            </w:r>
            <w:proofErr w:type="spellEnd"/>
            <w:r w:rsidRPr="00E16672">
              <w:rPr>
                <w:rFonts w:ascii="Times New Roman" w:hAnsi="Times New Roman"/>
                <w:sz w:val="16"/>
                <w:szCs w:val="16"/>
              </w:rPr>
              <w:t xml:space="preserve"> та </w:t>
            </w:r>
            <w:proofErr w:type="spellStart"/>
            <w:r w:rsidRPr="00E16672">
              <w:rPr>
                <w:rFonts w:ascii="Times New Roman" w:hAnsi="Times New Roman"/>
                <w:sz w:val="16"/>
                <w:szCs w:val="16"/>
              </w:rPr>
              <w:t>їх</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наслідки</w:t>
            </w:r>
            <w:proofErr w:type="spellEnd"/>
            <w:r w:rsidRPr="00E16672">
              <w:rPr>
                <w:rFonts w:ascii="Times New Roman" w:hAnsi="Times New Roman"/>
                <w:sz w:val="16"/>
                <w:szCs w:val="16"/>
              </w:rPr>
              <w:t>.</w:t>
            </w:r>
          </w:p>
        </w:tc>
        <w:tc>
          <w:tcPr>
            <w:tcW w:w="5494" w:type="dxa"/>
            <w:gridSpan w:val="7"/>
            <w:shd w:val="clear" w:color="auto" w:fill="auto"/>
          </w:tcPr>
          <w:p w14:paraId="24DC73F9" w14:textId="77777777" w:rsidR="00933C25" w:rsidRPr="00E16672" w:rsidRDefault="00933C25" w:rsidP="00E27FD1">
            <w:pPr>
              <w:pStyle w:val="210"/>
              <w:tabs>
                <w:tab w:val="left" w:pos="287"/>
              </w:tabs>
              <w:snapToGrid w:val="0"/>
              <w:ind w:left="145" w:right="100" w:firstLine="0"/>
              <w:rPr>
                <w:rFonts w:ascii="Times New Roman" w:hAnsi="Times New Roman"/>
                <w:sz w:val="16"/>
                <w:szCs w:val="16"/>
              </w:rPr>
            </w:pPr>
            <w:r w:rsidRPr="00E16672">
              <w:rPr>
                <w:rFonts w:ascii="Times New Roman" w:hAnsi="Times New Roman"/>
                <w:sz w:val="16"/>
                <w:szCs w:val="16"/>
              </w:rPr>
              <w:t xml:space="preserve">9.2. </w:t>
            </w:r>
            <w:proofErr w:type="spellStart"/>
            <w:r w:rsidRPr="00E16672">
              <w:rPr>
                <w:rFonts w:ascii="Times New Roman" w:hAnsi="Times New Roman"/>
                <w:sz w:val="16"/>
                <w:szCs w:val="16"/>
              </w:rPr>
              <w:t>In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case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of</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arising</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of</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force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majeure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circumstances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terms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of</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00982AE9" w:rsidRPr="00E16672">
              <w:rPr>
                <w:rFonts w:ascii="Times New Roman" w:hAnsi="Times New Roman"/>
                <w:sz w:val="16"/>
                <w:szCs w:val="16"/>
              </w:rPr>
              <w:t>fulfilment</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by</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Parties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of</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any</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obligation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under</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this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Agreement</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shall</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be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postponed</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on</w:t>
            </w:r>
            <w:proofErr w:type="spellEnd"/>
            <w:r w:rsidRPr="00E16672">
              <w:rPr>
                <w:rFonts w:ascii="Times New Roman" w:hAnsi="Times New Roman"/>
                <w:sz w:val="16"/>
                <w:szCs w:val="16"/>
              </w:rPr>
              <w:t xml:space="preserve"> a </w:t>
            </w:r>
            <w:proofErr w:type="spellStart"/>
            <w:r w:rsidRPr="00E16672">
              <w:rPr>
                <w:rFonts w:ascii="Times New Roman" w:hAnsi="Times New Roman"/>
                <w:sz w:val="16"/>
                <w:szCs w:val="16"/>
              </w:rPr>
              <w:t>certain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period</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of</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time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during</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which</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these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circumstances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and</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their</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consequences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are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in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effect</w:t>
            </w:r>
            <w:proofErr w:type="spellEnd"/>
            <w:r w:rsidRPr="00E16672">
              <w:rPr>
                <w:rFonts w:ascii="Times New Roman" w:hAnsi="Times New Roman"/>
                <w:sz w:val="16"/>
                <w:szCs w:val="16"/>
              </w:rPr>
              <w:t>.</w:t>
            </w:r>
          </w:p>
          <w:p w14:paraId="3859ECF3" w14:textId="77777777" w:rsidR="00933C25" w:rsidRPr="00E16672" w:rsidRDefault="00933C25" w:rsidP="00E27FD1">
            <w:pPr>
              <w:tabs>
                <w:tab w:val="left" w:pos="287"/>
              </w:tabs>
              <w:ind w:left="145" w:right="100"/>
              <w:jc w:val="center"/>
              <w:rPr>
                <w:rFonts w:ascii="Times New Roman" w:hAnsi="Times New Roman"/>
                <w:b/>
                <w:bCs/>
                <w:sz w:val="16"/>
                <w:szCs w:val="16"/>
                <w:lang w:val="en-GB"/>
              </w:rPr>
            </w:pPr>
          </w:p>
        </w:tc>
      </w:tr>
      <w:tr w:rsidR="00933C25" w:rsidRPr="00F23413" w14:paraId="6A9769AE" w14:textId="77777777" w:rsidTr="00D77858">
        <w:tblPrEx>
          <w:tblCellMar>
            <w:left w:w="0" w:type="dxa"/>
            <w:right w:w="0" w:type="dxa"/>
          </w:tblCellMar>
        </w:tblPrEx>
        <w:trPr>
          <w:trHeight w:val="192"/>
        </w:trPr>
        <w:tc>
          <w:tcPr>
            <w:tcW w:w="5696" w:type="dxa"/>
            <w:gridSpan w:val="6"/>
            <w:shd w:val="clear" w:color="auto" w:fill="auto"/>
          </w:tcPr>
          <w:p w14:paraId="03581FE4" w14:textId="77777777" w:rsidR="00933C25" w:rsidRPr="00E16672" w:rsidRDefault="00933C25" w:rsidP="00141B39">
            <w:pPr>
              <w:snapToGrid w:val="0"/>
              <w:ind w:left="175" w:right="138" w:firstLine="0"/>
              <w:rPr>
                <w:rFonts w:ascii="Times New Roman" w:hAnsi="Times New Roman"/>
                <w:sz w:val="16"/>
                <w:szCs w:val="16"/>
              </w:rPr>
            </w:pPr>
            <w:r w:rsidRPr="00E16672">
              <w:rPr>
                <w:rFonts w:ascii="Times New Roman" w:hAnsi="Times New Roman"/>
                <w:sz w:val="16"/>
                <w:szCs w:val="16"/>
              </w:rPr>
              <w:t xml:space="preserve">9.3. </w:t>
            </w:r>
            <w:proofErr w:type="spellStart"/>
            <w:r w:rsidRPr="00E16672">
              <w:rPr>
                <w:rFonts w:ascii="Times New Roman" w:hAnsi="Times New Roman"/>
                <w:sz w:val="16"/>
                <w:szCs w:val="16"/>
              </w:rPr>
              <w:t>Сторони</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зобов`язуються</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після</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настання</w:t>
            </w:r>
            <w:proofErr w:type="spellEnd"/>
            <w:r w:rsidRPr="00E16672">
              <w:rPr>
                <w:rFonts w:ascii="Times New Roman" w:hAnsi="Times New Roman"/>
                <w:sz w:val="16"/>
                <w:szCs w:val="16"/>
              </w:rPr>
              <w:t xml:space="preserve"> форс-</w:t>
            </w:r>
            <w:proofErr w:type="spellStart"/>
            <w:r w:rsidRPr="00E16672">
              <w:rPr>
                <w:rFonts w:ascii="Times New Roman" w:hAnsi="Times New Roman"/>
                <w:sz w:val="16"/>
                <w:szCs w:val="16"/>
              </w:rPr>
              <w:t>мажорних</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обставин</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вжити</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всі</w:t>
            </w:r>
            <w:proofErr w:type="spellEnd"/>
            <w:r w:rsidRPr="00E16672">
              <w:rPr>
                <w:rFonts w:ascii="Times New Roman" w:hAnsi="Times New Roman"/>
                <w:sz w:val="16"/>
                <w:szCs w:val="16"/>
              </w:rPr>
              <w:t xml:space="preserve"> заходи для </w:t>
            </w:r>
            <w:proofErr w:type="spellStart"/>
            <w:r w:rsidRPr="00E16672">
              <w:rPr>
                <w:rFonts w:ascii="Times New Roman" w:hAnsi="Times New Roman"/>
                <w:sz w:val="16"/>
                <w:szCs w:val="16"/>
              </w:rPr>
              <w:t>ліквідації</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наслідків</w:t>
            </w:r>
            <w:proofErr w:type="spellEnd"/>
            <w:r w:rsidRPr="00E16672">
              <w:rPr>
                <w:rFonts w:ascii="Times New Roman" w:hAnsi="Times New Roman"/>
                <w:sz w:val="16"/>
                <w:szCs w:val="16"/>
              </w:rPr>
              <w:t xml:space="preserve"> та </w:t>
            </w:r>
            <w:proofErr w:type="spellStart"/>
            <w:r w:rsidRPr="00E16672">
              <w:rPr>
                <w:rFonts w:ascii="Times New Roman" w:hAnsi="Times New Roman"/>
                <w:sz w:val="16"/>
                <w:szCs w:val="16"/>
              </w:rPr>
              <w:t>виконання</w:t>
            </w:r>
            <w:proofErr w:type="spellEnd"/>
            <w:r w:rsidRPr="00E16672">
              <w:rPr>
                <w:rFonts w:ascii="Times New Roman" w:hAnsi="Times New Roman"/>
                <w:sz w:val="16"/>
                <w:szCs w:val="16"/>
              </w:rPr>
              <w:t xml:space="preserve"> умов Договору. </w:t>
            </w:r>
          </w:p>
        </w:tc>
        <w:tc>
          <w:tcPr>
            <w:tcW w:w="5494" w:type="dxa"/>
            <w:gridSpan w:val="7"/>
            <w:shd w:val="clear" w:color="auto" w:fill="auto"/>
          </w:tcPr>
          <w:p w14:paraId="66CC2666" w14:textId="77777777" w:rsidR="00933C25" w:rsidRPr="00E16672" w:rsidRDefault="00933C25" w:rsidP="00141B39">
            <w:pPr>
              <w:tabs>
                <w:tab w:val="left" w:pos="287"/>
              </w:tabs>
              <w:snapToGrid w:val="0"/>
              <w:ind w:left="145" w:right="100" w:firstLine="0"/>
              <w:rPr>
                <w:rFonts w:ascii="Times New Roman" w:hAnsi="Times New Roman"/>
                <w:sz w:val="16"/>
                <w:szCs w:val="16"/>
                <w:lang w:val="en-GB"/>
              </w:rPr>
            </w:pPr>
            <w:r w:rsidRPr="00E16672">
              <w:rPr>
                <w:rFonts w:ascii="Times New Roman" w:hAnsi="Times New Roman"/>
                <w:sz w:val="16"/>
                <w:szCs w:val="16"/>
                <w:lang w:val="en-GB"/>
              </w:rPr>
              <w:t>9.3. The Parties undertake after the force majeure to take all measures to eliminate the consequences and conditions of the Agreement.</w:t>
            </w:r>
          </w:p>
          <w:p w14:paraId="40E9F637" w14:textId="77777777" w:rsidR="00933C25" w:rsidRPr="00E16672" w:rsidRDefault="00933C25" w:rsidP="00E27FD1">
            <w:pPr>
              <w:tabs>
                <w:tab w:val="left" w:pos="287"/>
              </w:tabs>
              <w:ind w:left="145" w:right="100"/>
              <w:jc w:val="center"/>
              <w:rPr>
                <w:rFonts w:ascii="Times New Roman" w:hAnsi="Times New Roman"/>
                <w:sz w:val="16"/>
                <w:szCs w:val="16"/>
                <w:lang w:val="en-US"/>
              </w:rPr>
            </w:pPr>
          </w:p>
        </w:tc>
      </w:tr>
      <w:tr w:rsidR="00933C25" w:rsidRPr="00F23413" w14:paraId="37DAB35E" w14:textId="77777777" w:rsidTr="00D77858">
        <w:tblPrEx>
          <w:tblCellMar>
            <w:left w:w="0" w:type="dxa"/>
            <w:right w:w="0" w:type="dxa"/>
          </w:tblCellMar>
        </w:tblPrEx>
        <w:trPr>
          <w:trHeight w:val="192"/>
        </w:trPr>
        <w:tc>
          <w:tcPr>
            <w:tcW w:w="5696" w:type="dxa"/>
            <w:gridSpan w:val="6"/>
            <w:shd w:val="clear" w:color="auto" w:fill="auto"/>
          </w:tcPr>
          <w:p w14:paraId="4DBE1FE9" w14:textId="77777777" w:rsidR="00933C25" w:rsidRPr="00E16672" w:rsidRDefault="00933C25" w:rsidP="00AB3C26">
            <w:pPr>
              <w:pStyle w:val="210"/>
              <w:snapToGrid w:val="0"/>
              <w:ind w:left="175" w:right="138" w:firstLine="0"/>
              <w:rPr>
                <w:rFonts w:ascii="Times New Roman" w:hAnsi="Times New Roman"/>
                <w:color w:val="000000"/>
                <w:sz w:val="16"/>
                <w:szCs w:val="16"/>
              </w:rPr>
            </w:pPr>
            <w:r w:rsidRPr="00E16672">
              <w:rPr>
                <w:rFonts w:ascii="Times New Roman" w:hAnsi="Times New Roman"/>
                <w:color w:val="000000"/>
                <w:sz w:val="16"/>
                <w:szCs w:val="16"/>
              </w:rPr>
              <w:t xml:space="preserve">9.4. Кожна Сторона зобов’язана письмово підтвердити факт виникнення Форс-мажорних обставин іншій </w:t>
            </w:r>
            <w:r w:rsidR="008229CB" w:rsidRPr="00E16672">
              <w:rPr>
                <w:rFonts w:ascii="Times New Roman" w:hAnsi="Times New Roman"/>
                <w:color w:val="000000"/>
                <w:sz w:val="16"/>
                <w:szCs w:val="16"/>
              </w:rPr>
              <w:t>С</w:t>
            </w:r>
            <w:r w:rsidRPr="00E16672">
              <w:rPr>
                <w:rFonts w:ascii="Times New Roman" w:hAnsi="Times New Roman"/>
                <w:color w:val="000000"/>
                <w:sz w:val="16"/>
                <w:szCs w:val="16"/>
              </w:rPr>
              <w:t xml:space="preserve">тороні протягом </w:t>
            </w:r>
            <w:r w:rsidRPr="00E16672">
              <w:rPr>
                <w:rFonts w:ascii="Times New Roman" w:hAnsi="Times New Roman"/>
                <w:i/>
                <w:iCs/>
                <w:color w:val="000000"/>
                <w:sz w:val="16"/>
                <w:szCs w:val="16"/>
                <w:lang w:val="ru-RU"/>
              </w:rPr>
              <w:t>десяти</w:t>
            </w:r>
            <w:r w:rsidRPr="00E16672">
              <w:rPr>
                <w:rFonts w:ascii="Times New Roman" w:hAnsi="Times New Roman"/>
                <w:color w:val="000000"/>
                <w:sz w:val="16"/>
                <w:szCs w:val="16"/>
              </w:rPr>
              <w:t xml:space="preserve"> днів після їх виникнення.</w:t>
            </w:r>
          </w:p>
          <w:p w14:paraId="11DB1679" w14:textId="77777777" w:rsidR="00933C25" w:rsidRPr="00E16672" w:rsidRDefault="00933C25" w:rsidP="00AB3C26">
            <w:pPr>
              <w:pStyle w:val="210"/>
              <w:snapToGrid w:val="0"/>
              <w:ind w:left="175" w:right="138" w:firstLine="0"/>
              <w:rPr>
                <w:rFonts w:ascii="Times New Roman" w:hAnsi="Times New Roman"/>
                <w:color w:val="000000"/>
                <w:sz w:val="16"/>
                <w:szCs w:val="16"/>
                <w:lang w:val="ru-RU"/>
              </w:rPr>
            </w:pPr>
          </w:p>
        </w:tc>
        <w:tc>
          <w:tcPr>
            <w:tcW w:w="5494" w:type="dxa"/>
            <w:gridSpan w:val="7"/>
            <w:shd w:val="clear" w:color="auto" w:fill="auto"/>
          </w:tcPr>
          <w:p w14:paraId="1CF9D7DB" w14:textId="77777777" w:rsidR="00933C25" w:rsidRPr="00E16672" w:rsidRDefault="00933C25" w:rsidP="00141B39">
            <w:pPr>
              <w:ind w:left="145" w:right="100" w:firstLine="0"/>
              <w:rPr>
                <w:rFonts w:ascii="Times New Roman" w:hAnsi="Times New Roman"/>
                <w:b/>
                <w:bCs/>
                <w:color w:val="000000"/>
                <w:sz w:val="16"/>
                <w:szCs w:val="16"/>
                <w:lang w:val="en-GB"/>
              </w:rPr>
            </w:pPr>
            <w:r w:rsidRPr="00E16672">
              <w:rPr>
                <w:rFonts w:ascii="Times New Roman" w:hAnsi="Times New Roman"/>
                <w:color w:val="000000"/>
                <w:sz w:val="16"/>
                <w:szCs w:val="16"/>
                <w:lang w:val="en-GB"/>
              </w:rPr>
              <w:t xml:space="preserve">9.4. Each of the parties should </w:t>
            </w:r>
            <w:r w:rsidRPr="00E16672">
              <w:rPr>
                <w:rFonts w:ascii="Times New Roman" w:hAnsi="Times New Roman"/>
                <w:color w:val="000000"/>
                <w:sz w:val="16"/>
                <w:szCs w:val="16"/>
                <w:lang w:val="en-US"/>
              </w:rPr>
              <w:t>in writing confirm</w:t>
            </w:r>
            <w:r w:rsidRPr="00E16672">
              <w:rPr>
                <w:rFonts w:ascii="Times New Roman" w:hAnsi="Times New Roman"/>
                <w:color w:val="000000"/>
                <w:sz w:val="16"/>
                <w:szCs w:val="16"/>
                <w:lang w:val="en-GB"/>
              </w:rPr>
              <w:t xml:space="preserve"> the fact </w:t>
            </w:r>
            <w:proofErr w:type="gramStart"/>
            <w:r w:rsidRPr="00E16672">
              <w:rPr>
                <w:rFonts w:ascii="Times New Roman" w:hAnsi="Times New Roman"/>
                <w:color w:val="000000"/>
                <w:sz w:val="16"/>
                <w:szCs w:val="16"/>
                <w:lang w:val="en-GB"/>
              </w:rPr>
              <w:t>of  force</w:t>
            </w:r>
            <w:proofErr w:type="gramEnd"/>
            <w:r w:rsidRPr="00E16672">
              <w:rPr>
                <w:rFonts w:ascii="Times New Roman" w:hAnsi="Times New Roman"/>
                <w:color w:val="000000"/>
                <w:sz w:val="16"/>
                <w:szCs w:val="16"/>
                <w:lang w:val="en-GB"/>
              </w:rPr>
              <w:t xml:space="preserve"> – majeure to another  </w:t>
            </w:r>
            <w:r w:rsidR="008229CB" w:rsidRPr="00E16672">
              <w:rPr>
                <w:rFonts w:ascii="Times New Roman" w:hAnsi="Times New Roman"/>
                <w:color w:val="000000"/>
                <w:sz w:val="16"/>
                <w:szCs w:val="16"/>
                <w:lang w:val="en-GB"/>
              </w:rPr>
              <w:t>S</w:t>
            </w:r>
            <w:r w:rsidRPr="00E16672">
              <w:rPr>
                <w:rFonts w:ascii="Times New Roman" w:hAnsi="Times New Roman"/>
                <w:color w:val="000000"/>
                <w:sz w:val="16"/>
                <w:szCs w:val="16"/>
                <w:lang w:val="en-GB"/>
              </w:rPr>
              <w:t>ide during</w:t>
            </w:r>
            <w:r w:rsidRPr="00F23413">
              <w:rPr>
                <w:rStyle w:val="WW8Num3z0"/>
                <w:rFonts w:ascii="Times New Roman" w:hAnsi="Times New Roman"/>
                <w:color w:val="000000"/>
                <w:sz w:val="16"/>
                <w:szCs w:val="16"/>
                <w:lang w:val="en-US"/>
              </w:rPr>
              <w:t xml:space="preserve"> </w:t>
            </w:r>
            <w:r w:rsidRPr="00F23413">
              <w:rPr>
                <w:rStyle w:val="hps"/>
                <w:rFonts w:ascii="Times New Roman" w:hAnsi="Times New Roman"/>
                <w:color w:val="000000"/>
                <w:sz w:val="16"/>
                <w:szCs w:val="16"/>
                <w:lang w:val="en-US"/>
              </w:rPr>
              <w:t>ten working</w:t>
            </w:r>
            <w:r w:rsidRPr="00E16672">
              <w:rPr>
                <w:rFonts w:ascii="Times New Roman" w:hAnsi="Times New Roman"/>
                <w:color w:val="000000"/>
                <w:sz w:val="16"/>
                <w:szCs w:val="16"/>
                <w:lang w:val="en-GB"/>
              </w:rPr>
              <w:t xml:space="preserve"> days after it happened.</w:t>
            </w:r>
          </w:p>
        </w:tc>
      </w:tr>
      <w:tr w:rsidR="00933C25" w:rsidRPr="00F23413" w14:paraId="3BEDA23F" w14:textId="77777777" w:rsidTr="00D77858">
        <w:tblPrEx>
          <w:tblCellMar>
            <w:left w:w="0" w:type="dxa"/>
            <w:right w:w="0" w:type="dxa"/>
          </w:tblCellMar>
        </w:tblPrEx>
        <w:trPr>
          <w:trHeight w:val="192"/>
        </w:trPr>
        <w:tc>
          <w:tcPr>
            <w:tcW w:w="5696" w:type="dxa"/>
            <w:gridSpan w:val="6"/>
            <w:shd w:val="clear" w:color="auto" w:fill="auto"/>
          </w:tcPr>
          <w:p w14:paraId="5C1FE993" w14:textId="77777777" w:rsidR="00933C25" w:rsidRPr="00E16672" w:rsidRDefault="00933C25" w:rsidP="00141B39">
            <w:pPr>
              <w:snapToGrid w:val="0"/>
              <w:ind w:left="175" w:right="138" w:firstLine="0"/>
              <w:rPr>
                <w:rFonts w:ascii="Times New Roman" w:hAnsi="Times New Roman"/>
                <w:sz w:val="16"/>
                <w:szCs w:val="16"/>
              </w:rPr>
            </w:pPr>
            <w:r w:rsidRPr="00E16672">
              <w:rPr>
                <w:rFonts w:ascii="Times New Roman" w:hAnsi="Times New Roman"/>
                <w:sz w:val="16"/>
                <w:szCs w:val="16"/>
              </w:rPr>
              <w:t xml:space="preserve">9.5. Форс-мажорна </w:t>
            </w:r>
            <w:proofErr w:type="spellStart"/>
            <w:r w:rsidRPr="00E16672">
              <w:rPr>
                <w:rFonts w:ascii="Times New Roman" w:hAnsi="Times New Roman"/>
                <w:sz w:val="16"/>
                <w:szCs w:val="16"/>
              </w:rPr>
              <w:t>ситуація</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між</w:t>
            </w:r>
            <w:proofErr w:type="spellEnd"/>
            <w:r w:rsidRPr="00E16672">
              <w:rPr>
                <w:rFonts w:ascii="Times New Roman" w:hAnsi="Times New Roman"/>
                <w:sz w:val="16"/>
                <w:szCs w:val="16"/>
              </w:rPr>
              <w:t xml:space="preserve"> Сторонами </w:t>
            </w:r>
            <w:proofErr w:type="spellStart"/>
            <w:r w:rsidRPr="00E16672">
              <w:rPr>
                <w:rFonts w:ascii="Times New Roman" w:hAnsi="Times New Roman"/>
                <w:sz w:val="16"/>
                <w:szCs w:val="16"/>
              </w:rPr>
              <w:t>розглядається</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тільки</w:t>
            </w:r>
            <w:proofErr w:type="spellEnd"/>
            <w:r w:rsidRPr="00E16672">
              <w:rPr>
                <w:rFonts w:ascii="Times New Roman" w:hAnsi="Times New Roman"/>
                <w:sz w:val="16"/>
                <w:szCs w:val="16"/>
              </w:rPr>
              <w:t xml:space="preserve"> за </w:t>
            </w:r>
            <w:proofErr w:type="spellStart"/>
            <w:r w:rsidRPr="00E16672">
              <w:rPr>
                <w:rFonts w:ascii="Times New Roman" w:hAnsi="Times New Roman"/>
                <w:sz w:val="16"/>
                <w:szCs w:val="16"/>
              </w:rPr>
              <w:t>умови</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сповіщення</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протилежної</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сторони</w:t>
            </w:r>
            <w:proofErr w:type="spellEnd"/>
            <w:r w:rsidRPr="00E16672">
              <w:rPr>
                <w:rFonts w:ascii="Times New Roman" w:hAnsi="Times New Roman"/>
                <w:sz w:val="16"/>
                <w:szCs w:val="16"/>
              </w:rPr>
              <w:t xml:space="preserve"> в </w:t>
            </w:r>
            <w:proofErr w:type="spellStart"/>
            <w:r w:rsidRPr="00E16672">
              <w:rPr>
                <w:rFonts w:ascii="Times New Roman" w:hAnsi="Times New Roman"/>
                <w:sz w:val="16"/>
                <w:szCs w:val="16"/>
              </w:rPr>
              <w:t>письмовій</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формі</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із</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зазначенням</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обставин</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що</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виникли</w:t>
            </w:r>
            <w:proofErr w:type="spellEnd"/>
            <w:r w:rsidRPr="00E16672">
              <w:rPr>
                <w:rFonts w:ascii="Times New Roman" w:hAnsi="Times New Roman"/>
                <w:sz w:val="16"/>
                <w:szCs w:val="16"/>
              </w:rPr>
              <w:t xml:space="preserve">. </w:t>
            </w:r>
          </w:p>
        </w:tc>
        <w:tc>
          <w:tcPr>
            <w:tcW w:w="5494" w:type="dxa"/>
            <w:gridSpan w:val="7"/>
            <w:shd w:val="clear" w:color="auto" w:fill="auto"/>
          </w:tcPr>
          <w:p w14:paraId="4F5090BB" w14:textId="77777777" w:rsidR="00933C25" w:rsidRPr="00E16672" w:rsidRDefault="00933C25" w:rsidP="00E27FD1">
            <w:pPr>
              <w:pStyle w:val="210"/>
              <w:tabs>
                <w:tab w:val="left" w:pos="287"/>
              </w:tabs>
              <w:snapToGrid w:val="0"/>
              <w:ind w:left="145" w:right="100" w:firstLine="0"/>
              <w:rPr>
                <w:rFonts w:ascii="Times New Roman" w:hAnsi="Times New Roman"/>
                <w:sz w:val="16"/>
                <w:szCs w:val="16"/>
              </w:rPr>
            </w:pPr>
            <w:r w:rsidRPr="00E16672">
              <w:rPr>
                <w:rFonts w:ascii="Times New Roman" w:hAnsi="Times New Roman"/>
                <w:sz w:val="16"/>
                <w:szCs w:val="16"/>
              </w:rPr>
              <w:t xml:space="preserve">9.5. </w:t>
            </w:r>
            <w:proofErr w:type="spellStart"/>
            <w:r w:rsidRPr="00E16672">
              <w:rPr>
                <w:rFonts w:ascii="Times New Roman" w:hAnsi="Times New Roman"/>
                <w:sz w:val="16"/>
                <w:szCs w:val="16"/>
              </w:rPr>
              <w:t>Force</w:t>
            </w:r>
            <w:proofErr w:type="spellEnd"/>
            <w:r w:rsidRPr="00E16672">
              <w:rPr>
                <w:rFonts w:ascii="Times New Roman" w:hAnsi="Times New Roman"/>
                <w:sz w:val="16"/>
                <w:szCs w:val="16"/>
              </w:rPr>
              <w:t xml:space="preserve"> – </w:t>
            </w:r>
            <w:proofErr w:type="spellStart"/>
            <w:r w:rsidRPr="00E16672">
              <w:rPr>
                <w:rFonts w:ascii="Times New Roman" w:hAnsi="Times New Roman"/>
                <w:sz w:val="16"/>
                <w:szCs w:val="16"/>
              </w:rPr>
              <w:t>majeure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between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Parties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is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to</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be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taken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to</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account</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only</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provided</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that</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another</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part</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had</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been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informed</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in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written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form</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with</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pointing</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circumstances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of</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Incident</w:t>
            </w:r>
            <w:proofErr w:type="spellEnd"/>
            <w:r w:rsidRPr="00E16672">
              <w:rPr>
                <w:rFonts w:ascii="Times New Roman" w:hAnsi="Times New Roman"/>
                <w:sz w:val="16"/>
                <w:szCs w:val="16"/>
              </w:rPr>
              <w:t>.</w:t>
            </w:r>
          </w:p>
          <w:p w14:paraId="60CD3817" w14:textId="77777777" w:rsidR="00933C25" w:rsidRPr="00E16672" w:rsidRDefault="00933C25" w:rsidP="00E27FD1">
            <w:pPr>
              <w:tabs>
                <w:tab w:val="left" w:pos="287"/>
              </w:tabs>
              <w:ind w:left="145" w:right="100"/>
              <w:jc w:val="center"/>
              <w:rPr>
                <w:rFonts w:ascii="Times New Roman" w:hAnsi="Times New Roman"/>
                <w:b/>
                <w:bCs/>
                <w:sz w:val="16"/>
                <w:szCs w:val="16"/>
                <w:lang w:val="en-GB"/>
              </w:rPr>
            </w:pPr>
          </w:p>
        </w:tc>
      </w:tr>
      <w:tr w:rsidR="00E22279" w:rsidRPr="00F23413" w14:paraId="3A90C6A4" w14:textId="77777777" w:rsidTr="00D77858">
        <w:tblPrEx>
          <w:tblCellMar>
            <w:left w:w="0" w:type="dxa"/>
            <w:right w:w="0" w:type="dxa"/>
          </w:tblCellMar>
        </w:tblPrEx>
        <w:trPr>
          <w:trHeight w:val="192"/>
        </w:trPr>
        <w:tc>
          <w:tcPr>
            <w:tcW w:w="5696" w:type="dxa"/>
            <w:gridSpan w:val="6"/>
            <w:shd w:val="clear" w:color="auto" w:fill="auto"/>
          </w:tcPr>
          <w:p w14:paraId="26762733" w14:textId="77777777" w:rsidR="00E22279" w:rsidRPr="00E16672" w:rsidRDefault="00E22279" w:rsidP="00E22279">
            <w:pPr>
              <w:pStyle w:val="33"/>
              <w:tabs>
                <w:tab w:val="left" w:pos="851"/>
              </w:tabs>
              <w:snapToGrid w:val="0"/>
              <w:ind w:left="175" w:right="138"/>
              <w:jc w:val="center"/>
              <w:rPr>
                <w:rFonts w:ascii="Times New Roman" w:hAnsi="Times New Roman" w:cs="Times New Roman"/>
                <w:b/>
                <w:caps/>
                <w:color w:val="000000"/>
                <w:sz w:val="16"/>
                <w:szCs w:val="16"/>
                <w:lang w:val="uk-UA"/>
              </w:rPr>
            </w:pPr>
            <w:r w:rsidRPr="00E16672">
              <w:rPr>
                <w:rFonts w:ascii="Times New Roman" w:hAnsi="Times New Roman" w:cs="Times New Roman"/>
                <w:b/>
                <w:caps/>
                <w:color w:val="000000"/>
                <w:sz w:val="16"/>
                <w:szCs w:val="16"/>
                <w:lang w:val="uk-UA"/>
              </w:rPr>
              <w:t>10. Згода-повідомлення</w:t>
            </w:r>
          </w:p>
          <w:p w14:paraId="1DCAA0FA" w14:textId="77777777" w:rsidR="00E22279" w:rsidRPr="00E16672" w:rsidRDefault="00E22279" w:rsidP="00E22279">
            <w:pPr>
              <w:pStyle w:val="33"/>
              <w:tabs>
                <w:tab w:val="left" w:pos="851"/>
              </w:tabs>
              <w:ind w:left="175" w:right="138"/>
              <w:rPr>
                <w:rFonts w:ascii="Times New Roman" w:hAnsi="Times New Roman" w:cs="Times New Roman"/>
                <w:color w:val="000000"/>
                <w:sz w:val="16"/>
                <w:szCs w:val="16"/>
              </w:rPr>
            </w:pPr>
          </w:p>
          <w:p w14:paraId="018E5B4F" w14:textId="77777777" w:rsidR="00E22279" w:rsidRPr="00E16672" w:rsidRDefault="00E22279" w:rsidP="00022F5F">
            <w:pPr>
              <w:ind w:left="175" w:right="138" w:firstLine="0"/>
              <w:jc w:val="left"/>
              <w:rPr>
                <w:rFonts w:ascii="Times New Roman" w:hAnsi="Times New Roman"/>
                <w:color w:val="000000"/>
                <w:sz w:val="16"/>
                <w:szCs w:val="16"/>
                <w:lang w:val="uk-UA"/>
              </w:rPr>
            </w:pPr>
            <w:r w:rsidRPr="00E16672">
              <w:rPr>
                <w:rFonts w:ascii="Times New Roman" w:hAnsi="Times New Roman"/>
                <w:color w:val="000000"/>
                <w:sz w:val="16"/>
                <w:szCs w:val="16"/>
              </w:rPr>
              <w:t xml:space="preserve">10.1. </w:t>
            </w:r>
            <w:r w:rsidRPr="00E16672">
              <w:rPr>
                <w:rFonts w:ascii="Times New Roman" w:hAnsi="Times New Roman"/>
                <w:color w:val="000000"/>
                <w:sz w:val="16"/>
                <w:szCs w:val="16"/>
                <w:lang w:val="uk-UA"/>
              </w:rPr>
              <w:t xml:space="preserve">Даним договором Депонент, як суб’єкт персональних даних, на виконання вимог частини 2 статті 12 Закону України </w:t>
            </w:r>
            <w:r w:rsidR="00022F5F">
              <w:rPr>
                <w:rFonts w:ascii="Times New Roman" w:hAnsi="Times New Roman"/>
                <w:color w:val="000000"/>
                <w:sz w:val="16"/>
                <w:szCs w:val="16"/>
                <w:lang w:val="uk-UA"/>
              </w:rPr>
              <w:t>"</w:t>
            </w:r>
            <w:r w:rsidRPr="00E16672">
              <w:rPr>
                <w:rFonts w:ascii="Times New Roman" w:hAnsi="Times New Roman"/>
                <w:color w:val="000000"/>
                <w:sz w:val="16"/>
                <w:szCs w:val="16"/>
                <w:lang w:val="uk-UA"/>
              </w:rPr>
              <w:t>Про захист персональних даних</w:t>
            </w:r>
            <w:r w:rsidR="00022F5F">
              <w:rPr>
                <w:rFonts w:ascii="Times New Roman" w:hAnsi="Times New Roman"/>
                <w:color w:val="000000"/>
                <w:sz w:val="16"/>
                <w:szCs w:val="16"/>
                <w:lang w:val="uk-UA"/>
              </w:rPr>
              <w:t>"</w:t>
            </w:r>
            <w:r w:rsidRPr="00E16672">
              <w:rPr>
                <w:rFonts w:ascii="Times New Roman" w:hAnsi="Times New Roman"/>
                <w:color w:val="000000"/>
                <w:sz w:val="16"/>
                <w:szCs w:val="16"/>
                <w:lang w:val="uk-UA"/>
              </w:rPr>
              <w:t xml:space="preserve"> повідомляється про включення добровільно наданих ним Депозитарній установі власних персональних даних до бази персональних даних “Система депозитарного обліку Депозитарної установи </w:t>
            </w:r>
            <w:r w:rsidR="00397741" w:rsidRPr="00E16672">
              <w:rPr>
                <w:rFonts w:ascii="Times New Roman" w:hAnsi="Times New Roman"/>
                <w:color w:val="000000"/>
                <w:sz w:val="16"/>
                <w:szCs w:val="16"/>
                <w:lang w:val="uk-UA"/>
              </w:rPr>
              <w:t xml:space="preserve">ТОВ </w:t>
            </w:r>
            <w:r w:rsidR="00022F5F">
              <w:rPr>
                <w:rFonts w:ascii="Times New Roman" w:hAnsi="Times New Roman"/>
                <w:color w:val="000000"/>
                <w:sz w:val="16"/>
                <w:szCs w:val="16"/>
                <w:lang w:val="uk-UA"/>
              </w:rPr>
              <w:t>"</w:t>
            </w:r>
            <w:r w:rsidR="00E16672" w:rsidRPr="00E16672">
              <w:rPr>
                <w:rFonts w:ascii="Times New Roman" w:hAnsi="Times New Roman"/>
                <w:color w:val="000000"/>
                <w:sz w:val="16"/>
                <w:szCs w:val="16"/>
                <w:lang w:val="uk-UA"/>
              </w:rPr>
              <w:t>КОМЕКС ЦІННІ ПАПЕРИ</w:t>
            </w:r>
            <w:r w:rsidR="00022F5F">
              <w:rPr>
                <w:rFonts w:ascii="Times New Roman" w:hAnsi="Times New Roman"/>
                <w:color w:val="000000"/>
                <w:sz w:val="16"/>
                <w:szCs w:val="16"/>
                <w:lang w:val="uk-UA"/>
              </w:rPr>
              <w:t>"</w:t>
            </w:r>
            <w:r w:rsidRPr="00E16672">
              <w:rPr>
                <w:rFonts w:ascii="Times New Roman" w:hAnsi="Times New Roman"/>
                <w:color w:val="000000"/>
                <w:sz w:val="16"/>
                <w:szCs w:val="16"/>
                <w:lang w:val="uk-UA"/>
              </w:rPr>
              <w:t>, яка розташована за місцезнаходженням Депозитарної установи.</w:t>
            </w:r>
          </w:p>
          <w:p w14:paraId="4D5199EC" w14:textId="77777777" w:rsidR="00E22279" w:rsidRPr="00E16672" w:rsidRDefault="00E22279" w:rsidP="00022F5F">
            <w:pPr>
              <w:ind w:left="175" w:right="138" w:firstLine="0"/>
              <w:jc w:val="left"/>
              <w:rPr>
                <w:rFonts w:ascii="Times New Roman" w:hAnsi="Times New Roman"/>
                <w:color w:val="000000"/>
                <w:sz w:val="16"/>
                <w:szCs w:val="16"/>
                <w:lang w:val="uk-UA"/>
              </w:rPr>
            </w:pPr>
            <w:r w:rsidRPr="00E16672">
              <w:rPr>
                <w:rFonts w:ascii="Times New Roman" w:hAnsi="Times New Roman"/>
                <w:color w:val="000000"/>
                <w:sz w:val="16"/>
                <w:szCs w:val="16"/>
                <w:lang w:val="uk-UA"/>
              </w:rPr>
              <w:t xml:space="preserve">Підписуючи даний договір Депонент, як суб’єкт персональних даних, дає свій добровільний та однозначний дозвіл на  вчинення Депозитарною установою Депозитарною установою, як володільцем персональних даних всіх дій, які, відповідно до Закону України </w:t>
            </w:r>
            <w:r w:rsidR="00022F5F">
              <w:rPr>
                <w:rFonts w:ascii="Times New Roman" w:hAnsi="Times New Roman"/>
                <w:color w:val="000000"/>
                <w:sz w:val="16"/>
                <w:szCs w:val="16"/>
                <w:lang w:val="uk-UA"/>
              </w:rPr>
              <w:t>"</w:t>
            </w:r>
            <w:r w:rsidRPr="00E16672">
              <w:rPr>
                <w:rFonts w:ascii="Times New Roman" w:hAnsi="Times New Roman"/>
                <w:color w:val="000000"/>
                <w:sz w:val="16"/>
                <w:szCs w:val="16"/>
                <w:lang w:val="uk-UA"/>
              </w:rPr>
              <w:t>Про захист персональних даних</w:t>
            </w:r>
            <w:r w:rsidR="00022F5F">
              <w:rPr>
                <w:rFonts w:ascii="Times New Roman" w:hAnsi="Times New Roman"/>
                <w:color w:val="000000"/>
                <w:sz w:val="16"/>
                <w:szCs w:val="16"/>
                <w:lang w:val="uk-UA"/>
              </w:rPr>
              <w:t>"</w:t>
            </w:r>
            <w:r w:rsidRPr="00E16672">
              <w:rPr>
                <w:rFonts w:ascii="Times New Roman" w:hAnsi="Times New Roman"/>
                <w:color w:val="000000"/>
                <w:sz w:val="16"/>
                <w:szCs w:val="16"/>
                <w:lang w:val="uk-UA"/>
              </w:rPr>
              <w:t>, є обробкою його персональних даних у відповідності до сформульованої мети їх обробки.</w:t>
            </w:r>
          </w:p>
          <w:p w14:paraId="4E8AE3BA" w14:textId="77777777" w:rsidR="00E22279" w:rsidRPr="00E16672" w:rsidRDefault="00E22279" w:rsidP="00E22279">
            <w:pPr>
              <w:snapToGrid w:val="0"/>
              <w:ind w:left="175" w:right="138" w:firstLine="0"/>
              <w:rPr>
                <w:rFonts w:ascii="Times New Roman" w:hAnsi="Times New Roman"/>
                <w:sz w:val="16"/>
                <w:szCs w:val="16"/>
              </w:rPr>
            </w:pPr>
          </w:p>
        </w:tc>
        <w:tc>
          <w:tcPr>
            <w:tcW w:w="5494" w:type="dxa"/>
            <w:gridSpan w:val="7"/>
            <w:shd w:val="clear" w:color="auto" w:fill="auto"/>
          </w:tcPr>
          <w:p w14:paraId="414F3894" w14:textId="77777777" w:rsidR="00E22279" w:rsidRPr="00E16672" w:rsidRDefault="00E22279" w:rsidP="00E22279">
            <w:pPr>
              <w:tabs>
                <w:tab w:val="left" w:pos="287"/>
              </w:tabs>
              <w:snapToGrid w:val="0"/>
              <w:ind w:left="145" w:right="100"/>
              <w:jc w:val="center"/>
              <w:rPr>
                <w:rFonts w:ascii="Times New Roman" w:hAnsi="Times New Roman"/>
                <w:b/>
                <w:bCs/>
                <w:caps/>
                <w:color w:val="000000"/>
                <w:sz w:val="16"/>
                <w:szCs w:val="16"/>
                <w:lang w:val="en-GB"/>
              </w:rPr>
            </w:pPr>
            <w:r w:rsidRPr="00E16672">
              <w:rPr>
                <w:rFonts w:ascii="Times New Roman" w:hAnsi="Times New Roman"/>
                <w:b/>
                <w:bCs/>
                <w:caps/>
                <w:color w:val="000000"/>
                <w:sz w:val="16"/>
                <w:szCs w:val="16"/>
                <w:lang w:val="en-GB"/>
              </w:rPr>
              <w:t>10. The consent-message.</w:t>
            </w:r>
          </w:p>
          <w:p w14:paraId="173A4FB9" w14:textId="77777777" w:rsidR="00E22279" w:rsidRPr="00E16672" w:rsidRDefault="00E22279" w:rsidP="00E22279">
            <w:pPr>
              <w:tabs>
                <w:tab w:val="left" w:pos="287"/>
              </w:tabs>
              <w:ind w:left="145" w:right="100"/>
              <w:rPr>
                <w:rFonts w:ascii="Times New Roman" w:hAnsi="Times New Roman"/>
                <w:color w:val="000000"/>
                <w:sz w:val="16"/>
                <w:szCs w:val="16"/>
                <w:lang w:val="uk-UA"/>
              </w:rPr>
            </w:pPr>
          </w:p>
          <w:p w14:paraId="33112A66" w14:textId="77777777" w:rsidR="00E22279" w:rsidRPr="00E16672" w:rsidRDefault="00E22279" w:rsidP="00E22279">
            <w:pPr>
              <w:tabs>
                <w:tab w:val="left" w:pos="287"/>
              </w:tabs>
              <w:ind w:left="145" w:right="100" w:firstLine="0"/>
              <w:rPr>
                <w:rFonts w:ascii="Times New Roman" w:hAnsi="Times New Roman"/>
                <w:iCs/>
                <w:color w:val="000000"/>
                <w:sz w:val="16"/>
                <w:szCs w:val="16"/>
                <w:lang w:val="en-GB"/>
              </w:rPr>
            </w:pPr>
            <w:r w:rsidRPr="00E16672">
              <w:rPr>
                <w:rFonts w:ascii="Times New Roman" w:hAnsi="Times New Roman"/>
                <w:color w:val="000000"/>
                <w:sz w:val="16"/>
                <w:szCs w:val="16"/>
                <w:lang w:val="en-GB"/>
              </w:rPr>
              <w:t xml:space="preserve">10.1. </w:t>
            </w:r>
            <w:r w:rsidRPr="00E16672">
              <w:rPr>
                <w:rFonts w:ascii="Times New Roman" w:hAnsi="Times New Roman"/>
                <w:iCs/>
                <w:color w:val="000000"/>
                <w:sz w:val="16"/>
                <w:szCs w:val="16"/>
                <w:lang w:val="en-GB"/>
              </w:rPr>
              <w:t xml:space="preserve">This </w:t>
            </w:r>
            <w:r w:rsidRPr="00E16672">
              <w:rPr>
                <w:rFonts w:ascii="Times New Roman" w:hAnsi="Times New Roman"/>
                <w:iCs/>
                <w:color w:val="000000"/>
                <w:sz w:val="16"/>
                <w:szCs w:val="16"/>
                <w:lang w:val="en-US"/>
              </w:rPr>
              <w:t>agreement</w:t>
            </w:r>
            <w:r w:rsidRPr="00E16672">
              <w:rPr>
                <w:rFonts w:ascii="Times New Roman" w:hAnsi="Times New Roman"/>
                <w:iCs/>
                <w:color w:val="000000"/>
                <w:sz w:val="16"/>
                <w:szCs w:val="16"/>
                <w:lang w:val="en-GB"/>
              </w:rPr>
              <w:t xml:space="preserve"> Depositor, as the subject of personal data pursuant to the requirements of paragraph 2 of Article 12 of the Law of Ukraine "On protection of personal data" reported to include voluntarily submitted his own Depository institution of personal data to system depository account Depository institution </w:t>
            </w:r>
            <w:r w:rsidR="00565242">
              <w:rPr>
                <w:rFonts w:ascii="Times New Roman" w:hAnsi="Times New Roman"/>
                <w:color w:val="000000"/>
                <w:sz w:val="16"/>
                <w:lang w:val="en-GB"/>
              </w:rPr>
              <w:t>COMEX Securities Limited</w:t>
            </w:r>
            <w:r w:rsidR="00397741" w:rsidRPr="00E16672">
              <w:rPr>
                <w:rFonts w:ascii="Times New Roman" w:hAnsi="Times New Roman"/>
                <w:color w:val="000000"/>
                <w:sz w:val="16"/>
                <w:lang w:val="uk-UA"/>
              </w:rPr>
              <w:t xml:space="preserve"> </w:t>
            </w:r>
            <w:r w:rsidRPr="00E16672">
              <w:rPr>
                <w:rFonts w:ascii="Times New Roman" w:hAnsi="Times New Roman"/>
                <w:iCs/>
                <w:color w:val="000000"/>
                <w:sz w:val="16"/>
                <w:szCs w:val="16"/>
                <w:lang w:val="en-GB"/>
              </w:rPr>
              <w:t>located</w:t>
            </w:r>
            <w:r w:rsidRPr="00E16672">
              <w:rPr>
                <w:rFonts w:ascii="Times New Roman" w:hAnsi="Times New Roman"/>
                <w:iCs/>
                <w:color w:val="000000"/>
                <w:sz w:val="16"/>
                <w:szCs w:val="16"/>
                <w:lang w:val="en-US"/>
              </w:rPr>
              <w:t xml:space="preserve"> </w:t>
            </w:r>
            <w:r w:rsidRPr="00E16672">
              <w:rPr>
                <w:rFonts w:ascii="Times New Roman" w:hAnsi="Times New Roman"/>
                <w:iCs/>
                <w:color w:val="000000"/>
                <w:sz w:val="16"/>
                <w:szCs w:val="16"/>
                <w:lang w:val="en-GB"/>
              </w:rPr>
              <w:t>at the</w:t>
            </w:r>
            <w:r w:rsidRPr="00E16672">
              <w:rPr>
                <w:rFonts w:ascii="Times New Roman" w:hAnsi="Times New Roman"/>
                <w:iCs/>
                <w:color w:val="000000"/>
                <w:sz w:val="16"/>
                <w:szCs w:val="16"/>
                <w:lang w:val="en-US"/>
              </w:rPr>
              <w:t xml:space="preserve"> </w:t>
            </w:r>
            <w:r w:rsidRPr="00E16672">
              <w:rPr>
                <w:rFonts w:ascii="Times New Roman" w:hAnsi="Times New Roman"/>
                <w:iCs/>
                <w:color w:val="000000"/>
                <w:sz w:val="16"/>
                <w:szCs w:val="16"/>
                <w:lang w:val="en-GB"/>
              </w:rPr>
              <w:t>Location of</w:t>
            </w:r>
            <w:r w:rsidRPr="00E16672">
              <w:rPr>
                <w:rFonts w:ascii="Times New Roman" w:hAnsi="Times New Roman"/>
                <w:iCs/>
                <w:color w:val="000000"/>
                <w:sz w:val="16"/>
                <w:szCs w:val="16"/>
                <w:lang w:val="en-US"/>
              </w:rPr>
              <w:t xml:space="preserve"> </w:t>
            </w:r>
            <w:r w:rsidRPr="00E16672">
              <w:rPr>
                <w:rFonts w:ascii="Times New Roman" w:hAnsi="Times New Roman"/>
                <w:iCs/>
                <w:color w:val="000000"/>
                <w:sz w:val="16"/>
                <w:szCs w:val="16"/>
                <w:lang w:val="en-GB"/>
              </w:rPr>
              <w:t>the Depository institution.</w:t>
            </w:r>
          </w:p>
          <w:p w14:paraId="34945BC1" w14:textId="77777777" w:rsidR="00E22279" w:rsidRPr="00E16672" w:rsidRDefault="00E22279" w:rsidP="00022F5F">
            <w:pPr>
              <w:pStyle w:val="210"/>
              <w:tabs>
                <w:tab w:val="left" w:pos="287"/>
              </w:tabs>
              <w:snapToGrid w:val="0"/>
              <w:ind w:left="145" w:right="100" w:firstLine="0"/>
              <w:jc w:val="left"/>
              <w:rPr>
                <w:rFonts w:ascii="Times New Roman" w:hAnsi="Times New Roman"/>
                <w:sz w:val="16"/>
                <w:szCs w:val="16"/>
              </w:rPr>
            </w:pPr>
            <w:r w:rsidRPr="00E16672">
              <w:rPr>
                <w:rFonts w:ascii="Times New Roman" w:hAnsi="Times New Roman"/>
                <w:iCs/>
                <w:color w:val="000000"/>
                <w:sz w:val="16"/>
                <w:szCs w:val="16"/>
                <w:lang w:val="en-GB"/>
              </w:rPr>
              <w:t xml:space="preserve">By signing </w:t>
            </w:r>
            <w:proofErr w:type="gramStart"/>
            <w:r w:rsidRPr="00E16672">
              <w:rPr>
                <w:rFonts w:ascii="Times New Roman" w:hAnsi="Times New Roman"/>
                <w:iCs/>
                <w:color w:val="000000"/>
                <w:sz w:val="16"/>
                <w:szCs w:val="16"/>
                <w:lang w:val="en-GB"/>
              </w:rPr>
              <w:t xml:space="preserve">this </w:t>
            </w:r>
            <w:r w:rsidRPr="00E16672">
              <w:rPr>
                <w:rFonts w:ascii="Times New Roman" w:hAnsi="Times New Roman"/>
                <w:iCs/>
                <w:color w:val="000000"/>
                <w:sz w:val="16"/>
                <w:szCs w:val="16"/>
                <w:lang w:val="en-US"/>
              </w:rPr>
              <w:t xml:space="preserve"> agreement</w:t>
            </w:r>
            <w:proofErr w:type="gramEnd"/>
            <w:r w:rsidRPr="00E16672">
              <w:rPr>
                <w:rFonts w:ascii="Times New Roman" w:hAnsi="Times New Roman"/>
                <w:iCs/>
                <w:color w:val="000000"/>
                <w:sz w:val="16"/>
                <w:szCs w:val="16"/>
                <w:lang w:val="en-US"/>
              </w:rPr>
              <w:t xml:space="preserve"> </w:t>
            </w:r>
            <w:r w:rsidRPr="00E16672">
              <w:rPr>
                <w:rFonts w:ascii="Times New Roman" w:hAnsi="Times New Roman"/>
                <w:iCs/>
                <w:color w:val="000000"/>
                <w:sz w:val="16"/>
                <w:szCs w:val="16"/>
                <w:lang w:val="en-GB"/>
              </w:rPr>
              <w:t xml:space="preserve"> the Depositor, as the subject of personal data, gives her voluntary and explicit permission to commit the Depository institution as holder of the personal data of all actions that, according to the Law of Ukraine </w:t>
            </w:r>
            <w:r w:rsidR="00022F5F">
              <w:rPr>
                <w:rFonts w:ascii="Times New Roman" w:hAnsi="Times New Roman"/>
                <w:iCs/>
                <w:caps/>
                <w:color w:val="000000"/>
                <w:sz w:val="16"/>
                <w:szCs w:val="16"/>
                <w:lang w:val="en-GB"/>
              </w:rPr>
              <w:t>"</w:t>
            </w:r>
            <w:r w:rsidRPr="00E16672">
              <w:rPr>
                <w:rFonts w:ascii="Times New Roman" w:hAnsi="Times New Roman"/>
                <w:iCs/>
                <w:color w:val="000000"/>
                <w:sz w:val="16"/>
                <w:szCs w:val="16"/>
                <w:lang w:val="en-GB"/>
              </w:rPr>
              <w:t>On protection of personal data</w:t>
            </w:r>
            <w:r w:rsidR="00022F5F">
              <w:rPr>
                <w:rFonts w:ascii="Times New Roman" w:hAnsi="Times New Roman"/>
                <w:iCs/>
                <w:color w:val="000000"/>
                <w:sz w:val="16"/>
                <w:szCs w:val="16"/>
              </w:rPr>
              <w:t>"</w:t>
            </w:r>
            <w:r w:rsidRPr="00E16672">
              <w:rPr>
                <w:rFonts w:ascii="Times New Roman" w:hAnsi="Times New Roman"/>
                <w:iCs/>
                <w:color w:val="000000"/>
                <w:sz w:val="16"/>
                <w:szCs w:val="16"/>
              </w:rPr>
              <w:t xml:space="preserve"> </w:t>
            </w:r>
            <w:r w:rsidRPr="00E16672">
              <w:rPr>
                <w:rFonts w:ascii="Times New Roman" w:hAnsi="Times New Roman"/>
                <w:iCs/>
                <w:color w:val="000000"/>
                <w:sz w:val="16"/>
                <w:szCs w:val="16"/>
                <w:lang w:val="en-GB"/>
              </w:rPr>
              <w:t>is processing his personal data in accordance with the objectives set out their processing</w:t>
            </w:r>
          </w:p>
        </w:tc>
      </w:tr>
      <w:tr w:rsidR="00E22279" w:rsidRPr="00F23413" w14:paraId="3CBFA66C" w14:textId="77777777" w:rsidTr="00D77858">
        <w:tblPrEx>
          <w:tblCellMar>
            <w:left w:w="0" w:type="dxa"/>
            <w:right w:w="0" w:type="dxa"/>
          </w:tblCellMar>
        </w:tblPrEx>
        <w:trPr>
          <w:trHeight w:val="192"/>
        </w:trPr>
        <w:tc>
          <w:tcPr>
            <w:tcW w:w="5696" w:type="dxa"/>
            <w:gridSpan w:val="6"/>
            <w:shd w:val="clear" w:color="auto" w:fill="auto"/>
          </w:tcPr>
          <w:p w14:paraId="5F215F03" w14:textId="77777777" w:rsidR="00E22279" w:rsidRPr="00E16672" w:rsidRDefault="00E22279" w:rsidP="00022F5F">
            <w:pPr>
              <w:ind w:left="175" w:right="138" w:firstLine="0"/>
              <w:jc w:val="left"/>
              <w:rPr>
                <w:rFonts w:ascii="Times New Roman" w:hAnsi="Times New Roman"/>
                <w:color w:val="000000"/>
                <w:szCs w:val="20"/>
                <w:lang w:val="uk-UA"/>
              </w:rPr>
            </w:pPr>
            <w:r w:rsidRPr="00E16672">
              <w:rPr>
                <w:rFonts w:ascii="Times New Roman" w:hAnsi="Times New Roman"/>
                <w:color w:val="000000"/>
                <w:sz w:val="16"/>
                <w:szCs w:val="16"/>
              </w:rPr>
              <w:t xml:space="preserve">10.2. </w:t>
            </w:r>
            <w:r w:rsidRPr="00E16672">
              <w:rPr>
                <w:rFonts w:ascii="Times New Roman" w:hAnsi="Times New Roman"/>
                <w:color w:val="000000"/>
                <w:sz w:val="16"/>
                <w:szCs w:val="16"/>
                <w:lang w:val="uk-UA"/>
              </w:rPr>
              <w:t xml:space="preserve">Метою обробки добровільно наданих Депонентом персональних даних є, відповідно до ч. 1 ст. 5 та ч. 1 ст. 18 Закону України </w:t>
            </w:r>
            <w:r w:rsidR="00022F5F">
              <w:rPr>
                <w:rFonts w:ascii="Times New Roman" w:hAnsi="Times New Roman"/>
                <w:color w:val="000000"/>
                <w:sz w:val="16"/>
                <w:szCs w:val="16"/>
                <w:lang w:val="uk-UA"/>
              </w:rPr>
              <w:t>"</w:t>
            </w:r>
            <w:r w:rsidRPr="00E16672">
              <w:rPr>
                <w:rFonts w:ascii="Times New Roman" w:hAnsi="Times New Roman"/>
                <w:color w:val="000000"/>
                <w:sz w:val="16"/>
                <w:szCs w:val="16"/>
                <w:lang w:val="uk-UA"/>
              </w:rPr>
              <w:t>Про депозитарну систему України</w:t>
            </w:r>
            <w:r w:rsidR="00022F5F">
              <w:rPr>
                <w:rFonts w:ascii="Times New Roman" w:hAnsi="Times New Roman"/>
                <w:color w:val="000000"/>
                <w:sz w:val="16"/>
                <w:szCs w:val="16"/>
                <w:lang w:val="uk-UA"/>
              </w:rPr>
              <w:t>"</w:t>
            </w:r>
            <w:r w:rsidRPr="00E16672">
              <w:rPr>
                <w:rFonts w:ascii="Times New Roman" w:hAnsi="Times New Roman"/>
                <w:color w:val="000000"/>
                <w:sz w:val="16"/>
                <w:szCs w:val="16"/>
                <w:lang w:val="uk-UA"/>
              </w:rPr>
              <w:t xml:space="preserve"> є відкриття рахунку </w:t>
            </w:r>
            <w:r w:rsidR="00C22309" w:rsidRPr="00E16672">
              <w:rPr>
                <w:rFonts w:ascii="Times New Roman" w:hAnsi="Times New Roman"/>
                <w:color w:val="000000"/>
                <w:sz w:val="16"/>
                <w:szCs w:val="16"/>
                <w:lang w:val="uk-UA"/>
              </w:rPr>
              <w:t>в цін</w:t>
            </w:r>
            <w:r w:rsidRPr="00E16672">
              <w:rPr>
                <w:rFonts w:ascii="Times New Roman" w:hAnsi="Times New Roman"/>
                <w:color w:val="000000"/>
                <w:sz w:val="16"/>
                <w:szCs w:val="16"/>
                <w:lang w:val="uk-UA"/>
              </w:rPr>
              <w:t xml:space="preserve">них паперах та здійснення </w:t>
            </w:r>
            <w:r w:rsidRPr="00E16672">
              <w:rPr>
                <w:rFonts w:ascii="Times New Roman" w:hAnsi="Times New Roman"/>
                <w:color w:val="000000"/>
                <w:sz w:val="16"/>
                <w:szCs w:val="16"/>
                <w:lang w:val="uk-UA"/>
              </w:rPr>
              <w:lastRenderedPageBreak/>
              <w:t xml:space="preserve">депозитарного обліку та обслуговування </w:t>
            </w:r>
            <w:proofErr w:type="spellStart"/>
            <w:r w:rsidRPr="00E16672">
              <w:rPr>
                <w:rFonts w:ascii="Times New Roman" w:hAnsi="Times New Roman"/>
                <w:color w:val="000000"/>
                <w:sz w:val="16"/>
                <w:szCs w:val="16"/>
                <w:lang w:val="uk-UA"/>
              </w:rPr>
              <w:t>обіг</w:t>
            </w:r>
            <w:r w:rsidR="00C22309" w:rsidRPr="00E16672">
              <w:rPr>
                <w:rFonts w:ascii="Times New Roman" w:hAnsi="Times New Roman"/>
                <w:color w:val="000000"/>
                <w:sz w:val="16"/>
                <w:szCs w:val="16"/>
                <w:lang w:val="uk-UA"/>
              </w:rPr>
              <w:t>в</w:t>
            </w:r>
            <w:proofErr w:type="spellEnd"/>
            <w:r w:rsidR="00C22309" w:rsidRPr="00E16672">
              <w:rPr>
                <w:rFonts w:ascii="Times New Roman" w:hAnsi="Times New Roman"/>
                <w:color w:val="000000"/>
                <w:sz w:val="16"/>
                <w:szCs w:val="16"/>
                <w:lang w:val="uk-UA"/>
              </w:rPr>
              <w:t xml:space="preserve"> цін</w:t>
            </w:r>
            <w:r w:rsidRPr="00E16672">
              <w:rPr>
                <w:rFonts w:ascii="Times New Roman" w:hAnsi="Times New Roman"/>
                <w:color w:val="000000"/>
                <w:sz w:val="16"/>
                <w:szCs w:val="16"/>
                <w:lang w:val="uk-UA"/>
              </w:rPr>
              <w:t xml:space="preserve">них паперів і корпоративних операцій емітента на рахунках </w:t>
            </w:r>
            <w:r w:rsidR="00C22309" w:rsidRPr="00E16672">
              <w:rPr>
                <w:rFonts w:ascii="Times New Roman" w:hAnsi="Times New Roman"/>
                <w:color w:val="000000"/>
                <w:sz w:val="16"/>
                <w:szCs w:val="16"/>
                <w:lang w:val="uk-UA"/>
              </w:rPr>
              <w:t>в цін</w:t>
            </w:r>
            <w:r w:rsidRPr="00E16672">
              <w:rPr>
                <w:rFonts w:ascii="Times New Roman" w:hAnsi="Times New Roman"/>
                <w:color w:val="000000"/>
                <w:sz w:val="16"/>
                <w:szCs w:val="16"/>
                <w:lang w:val="uk-UA"/>
              </w:rPr>
              <w:t>них паперах депонентів, а також на власному рахунку в цінних паперах, на якому обліковуються цінні папери, права на цінні папери та обмеження прав на цінні папери, що належать депозитарній установі.</w:t>
            </w:r>
          </w:p>
          <w:p w14:paraId="1E46E356" w14:textId="77777777" w:rsidR="00E22279" w:rsidRPr="00E16672" w:rsidRDefault="00E22279" w:rsidP="00E22279">
            <w:pPr>
              <w:snapToGrid w:val="0"/>
              <w:ind w:left="175" w:right="138" w:firstLine="0"/>
              <w:rPr>
                <w:rFonts w:ascii="Times New Roman" w:hAnsi="Times New Roman"/>
                <w:sz w:val="16"/>
                <w:szCs w:val="16"/>
              </w:rPr>
            </w:pPr>
          </w:p>
        </w:tc>
        <w:tc>
          <w:tcPr>
            <w:tcW w:w="5494" w:type="dxa"/>
            <w:gridSpan w:val="7"/>
            <w:shd w:val="clear" w:color="auto" w:fill="auto"/>
          </w:tcPr>
          <w:p w14:paraId="208C2DA4" w14:textId="77777777" w:rsidR="00E22279" w:rsidRPr="00E16672" w:rsidRDefault="00E22279" w:rsidP="00022F5F">
            <w:pPr>
              <w:pStyle w:val="210"/>
              <w:tabs>
                <w:tab w:val="left" w:pos="287"/>
              </w:tabs>
              <w:snapToGrid w:val="0"/>
              <w:ind w:left="145" w:right="100" w:firstLine="0"/>
              <w:jc w:val="left"/>
              <w:rPr>
                <w:rFonts w:ascii="Times New Roman" w:hAnsi="Times New Roman"/>
                <w:sz w:val="16"/>
                <w:szCs w:val="16"/>
              </w:rPr>
            </w:pPr>
            <w:r w:rsidRPr="00E16672">
              <w:rPr>
                <w:rFonts w:ascii="Times New Roman" w:hAnsi="Times New Roman"/>
                <w:color w:val="000000"/>
                <w:sz w:val="16"/>
                <w:szCs w:val="16"/>
                <w:lang w:val="en-GB"/>
              </w:rPr>
              <w:lastRenderedPageBreak/>
              <w:t xml:space="preserve">10.2. The aim of processing voluntarily provided by the Depositor of personal data  </w:t>
            </w:r>
            <w:r w:rsidRPr="00E16672">
              <w:rPr>
                <w:rFonts w:ascii="Times New Roman" w:hAnsi="Times New Roman"/>
                <w:color w:val="000000"/>
                <w:sz w:val="16"/>
                <w:szCs w:val="16"/>
                <w:lang w:val="en-US"/>
              </w:rPr>
              <w:t xml:space="preserve">are </w:t>
            </w:r>
            <w:r w:rsidRPr="00E16672">
              <w:rPr>
                <w:rFonts w:ascii="Times New Roman" w:hAnsi="Times New Roman"/>
                <w:color w:val="000000"/>
                <w:sz w:val="16"/>
                <w:szCs w:val="16"/>
                <w:lang w:val="en-GB"/>
              </w:rPr>
              <w:t xml:space="preserve">accordance with paragraph 1 of Article 18 of the Law of Ukraine </w:t>
            </w:r>
            <w:r w:rsidR="00022F5F">
              <w:rPr>
                <w:rFonts w:ascii="Times New Roman" w:hAnsi="Times New Roman"/>
                <w:color w:val="000000"/>
                <w:sz w:val="16"/>
                <w:szCs w:val="16"/>
                <w:lang w:val="en-GB"/>
              </w:rPr>
              <w:t>"</w:t>
            </w:r>
            <w:r w:rsidRPr="00E16672">
              <w:rPr>
                <w:rFonts w:ascii="Times New Roman" w:hAnsi="Times New Roman"/>
                <w:color w:val="000000"/>
                <w:sz w:val="16"/>
                <w:szCs w:val="16"/>
                <w:lang w:val="en-GB"/>
              </w:rPr>
              <w:t>On the Depository System of Ukraine</w:t>
            </w:r>
            <w:r w:rsidR="00022F5F">
              <w:rPr>
                <w:rStyle w:val="hps"/>
                <w:rFonts w:ascii="Times New Roman" w:hAnsi="Times New Roman"/>
                <w:color w:val="000000"/>
                <w:sz w:val="16"/>
                <w:szCs w:val="16"/>
              </w:rPr>
              <w:t>"</w:t>
            </w:r>
            <w:r w:rsidRPr="00E16672">
              <w:rPr>
                <w:rStyle w:val="hps"/>
                <w:rFonts w:ascii="Times New Roman" w:hAnsi="Times New Roman"/>
                <w:color w:val="000000"/>
                <w:sz w:val="16"/>
                <w:szCs w:val="16"/>
              </w:rPr>
              <w:t xml:space="preserve"> </w:t>
            </w:r>
            <w:r w:rsidRPr="00E16672">
              <w:rPr>
                <w:rFonts w:ascii="Times New Roman" w:hAnsi="Times New Roman"/>
                <w:color w:val="000000"/>
                <w:sz w:val="16"/>
                <w:szCs w:val="16"/>
                <w:lang w:val="en-GB"/>
              </w:rPr>
              <w:t>opening a</w:t>
            </w:r>
            <w:r w:rsidRPr="00E16672">
              <w:rPr>
                <w:rFonts w:ascii="Times New Roman" w:hAnsi="Times New Roman"/>
                <w:color w:val="000000"/>
                <w:sz w:val="16"/>
                <w:szCs w:val="16"/>
                <w:lang w:val="en-US"/>
              </w:rPr>
              <w:t>n</w:t>
            </w:r>
            <w:r w:rsidRPr="00E16672">
              <w:rPr>
                <w:rFonts w:ascii="Times New Roman" w:hAnsi="Times New Roman"/>
                <w:color w:val="000000"/>
                <w:sz w:val="16"/>
                <w:szCs w:val="16"/>
                <w:lang w:val="en-GB"/>
              </w:rPr>
              <w:t xml:space="preserve"> account</w:t>
            </w:r>
            <w:r w:rsidRPr="00E16672">
              <w:rPr>
                <w:rFonts w:ascii="Times New Roman" w:hAnsi="Times New Roman"/>
                <w:color w:val="000000"/>
                <w:sz w:val="16"/>
                <w:szCs w:val="16"/>
                <w:lang w:val="en-US"/>
              </w:rPr>
              <w:t xml:space="preserve"> in </w:t>
            </w:r>
            <w:r w:rsidRPr="00E16672">
              <w:rPr>
                <w:rFonts w:ascii="Times New Roman" w:hAnsi="Times New Roman"/>
                <w:color w:val="000000"/>
                <w:sz w:val="16"/>
                <w:szCs w:val="16"/>
                <w:lang w:val="en-GB"/>
              </w:rPr>
              <w:t xml:space="preserve">securities and </w:t>
            </w:r>
            <w:r w:rsidRPr="00E16672">
              <w:rPr>
                <w:rFonts w:ascii="Times New Roman" w:hAnsi="Times New Roman"/>
                <w:color w:val="000000"/>
                <w:sz w:val="16"/>
                <w:szCs w:val="16"/>
                <w:lang w:val="en-GB"/>
              </w:rPr>
              <w:lastRenderedPageBreak/>
              <w:t xml:space="preserve">depository accounting and servicing of securities and corporate </w:t>
            </w:r>
            <w:proofErr w:type="spellStart"/>
            <w:r w:rsidRPr="00E16672">
              <w:rPr>
                <w:rFonts w:ascii="Times New Roman" w:hAnsi="Times New Roman"/>
                <w:color w:val="000000"/>
                <w:sz w:val="16"/>
                <w:szCs w:val="16"/>
                <w:lang w:val="en-US"/>
              </w:rPr>
              <w:t>operat</w:t>
            </w:r>
            <w:proofErr w:type="spellEnd"/>
            <w:r w:rsidRPr="00E16672">
              <w:rPr>
                <w:rFonts w:ascii="Times New Roman" w:hAnsi="Times New Roman"/>
                <w:color w:val="000000"/>
                <w:sz w:val="16"/>
                <w:szCs w:val="16"/>
                <w:lang w:val="en-GB"/>
              </w:rPr>
              <w:t xml:space="preserve">ions </w:t>
            </w:r>
            <w:r w:rsidRPr="00E16672">
              <w:rPr>
                <w:rFonts w:ascii="Times New Roman" w:hAnsi="Times New Roman"/>
                <w:color w:val="000000"/>
                <w:sz w:val="16"/>
                <w:szCs w:val="16"/>
                <w:lang w:val="en-US"/>
              </w:rPr>
              <w:t>of</w:t>
            </w:r>
            <w:r w:rsidRPr="00E16672">
              <w:rPr>
                <w:rFonts w:ascii="Times New Roman" w:hAnsi="Times New Roman"/>
                <w:color w:val="000000"/>
                <w:sz w:val="16"/>
                <w:szCs w:val="16"/>
                <w:lang w:val="en-GB"/>
              </w:rPr>
              <w:t xml:space="preserve"> the issuer</w:t>
            </w:r>
            <w:r w:rsidRPr="00E16672">
              <w:rPr>
                <w:rFonts w:ascii="Times New Roman" w:hAnsi="Times New Roman"/>
                <w:color w:val="000000"/>
                <w:sz w:val="16"/>
                <w:szCs w:val="16"/>
                <w:lang w:val="en-US"/>
              </w:rPr>
              <w:t xml:space="preserve"> on accounts in </w:t>
            </w:r>
            <w:r w:rsidRPr="00E16672">
              <w:rPr>
                <w:rFonts w:ascii="Times New Roman" w:hAnsi="Times New Roman"/>
                <w:color w:val="000000"/>
                <w:sz w:val="16"/>
                <w:szCs w:val="16"/>
                <w:lang w:val="en-GB"/>
              </w:rPr>
              <w:t xml:space="preserve">securities accounts of </w:t>
            </w:r>
            <w:r w:rsidRPr="00E16672">
              <w:rPr>
                <w:rFonts w:ascii="Times New Roman" w:hAnsi="Times New Roman"/>
                <w:color w:val="000000"/>
                <w:sz w:val="16"/>
                <w:szCs w:val="16"/>
                <w:lang w:val="en-US"/>
              </w:rPr>
              <w:t>D</w:t>
            </w:r>
            <w:proofErr w:type="spellStart"/>
            <w:r w:rsidRPr="00E16672">
              <w:rPr>
                <w:rFonts w:ascii="Times New Roman" w:hAnsi="Times New Roman"/>
                <w:color w:val="000000"/>
                <w:sz w:val="16"/>
                <w:szCs w:val="16"/>
                <w:lang w:val="en-GB"/>
              </w:rPr>
              <w:t>epositors</w:t>
            </w:r>
            <w:proofErr w:type="spellEnd"/>
            <w:r w:rsidRPr="00E16672">
              <w:rPr>
                <w:rFonts w:ascii="Times New Roman" w:hAnsi="Times New Roman"/>
                <w:color w:val="000000"/>
                <w:sz w:val="16"/>
                <w:szCs w:val="16"/>
                <w:lang w:val="en-GB"/>
              </w:rPr>
              <w:t xml:space="preserve"> </w:t>
            </w:r>
            <w:r w:rsidRPr="00E16672">
              <w:rPr>
                <w:rFonts w:ascii="Times New Roman" w:hAnsi="Times New Roman"/>
                <w:color w:val="000000"/>
                <w:sz w:val="16"/>
                <w:szCs w:val="16"/>
                <w:lang w:val="en-US"/>
              </w:rPr>
              <w:t xml:space="preserve">and also </w:t>
            </w:r>
            <w:r w:rsidRPr="00E16672">
              <w:rPr>
                <w:rFonts w:ascii="Times New Roman" w:hAnsi="Times New Roman"/>
                <w:color w:val="000000"/>
                <w:sz w:val="16"/>
                <w:szCs w:val="16"/>
                <w:lang w:val="en-GB"/>
              </w:rPr>
              <w:t xml:space="preserve">on their own account in securities, which accounted securities </w:t>
            </w:r>
            <w:r w:rsidRPr="00E16672">
              <w:rPr>
                <w:rFonts w:ascii="Times New Roman" w:hAnsi="Times New Roman"/>
                <w:color w:val="000000"/>
                <w:sz w:val="16"/>
                <w:szCs w:val="16"/>
                <w:lang w:val="en-US"/>
              </w:rPr>
              <w:t xml:space="preserve"> and rights on</w:t>
            </w:r>
            <w:r w:rsidRPr="00E16672">
              <w:rPr>
                <w:rFonts w:ascii="Times New Roman" w:hAnsi="Times New Roman"/>
                <w:color w:val="000000"/>
                <w:sz w:val="16"/>
                <w:szCs w:val="16"/>
                <w:lang w:val="en-GB"/>
              </w:rPr>
              <w:t xml:space="preserve"> securities and restrictions of</w:t>
            </w:r>
            <w:r w:rsidRPr="00E16672">
              <w:rPr>
                <w:rFonts w:ascii="Times New Roman" w:hAnsi="Times New Roman"/>
                <w:color w:val="000000"/>
                <w:sz w:val="16"/>
                <w:szCs w:val="16"/>
                <w:lang w:val="en-US"/>
              </w:rPr>
              <w:t xml:space="preserve"> rights on se</w:t>
            </w:r>
            <w:proofErr w:type="spellStart"/>
            <w:r w:rsidRPr="00E16672">
              <w:rPr>
                <w:rFonts w:ascii="Times New Roman" w:hAnsi="Times New Roman"/>
                <w:color w:val="000000"/>
                <w:sz w:val="16"/>
                <w:szCs w:val="16"/>
                <w:lang w:val="en-GB"/>
              </w:rPr>
              <w:t>curities</w:t>
            </w:r>
            <w:proofErr w:type="spellEnd"/>
            <w:r w:rsidRPr="00E16672">
              <w:rPr>
                <w:rFonts w:ascii="Times New Roman" w:hAnsi="Times New Roman"/>
                <w:color w:val="000000"/>
                <w:sz w:val="16"/>
                <w:szCs w:val="16"/>
                <w:lang w:val="en-GB"/>
              </w:rPr>
              <w:t xml:space="preserve"> belonging to the </w:t>
            </w:r>
            <w:r w:rsidRPr="00E16672">
              <w:rPr>
                <w:rFonts w:ascii="Times New Roman" w:hAnsi="Times New Roman"/>
                <w:color w:val="000000"/>
                <w:sz w:val="16"/>
                <w:szCs w:val="16"/>
                <w:lang w:val="en-US"/>
              </w:rPr>
              <w:t>D</w:t>
            </w:r>
            <w:proofErr w:type="spellStart"/>
            <w:r w:rsidRPr="00E16672">
              <w:rPr>
                <w:rFonts w:ascii="Times New Roman" w:hAnsi="Times New Roman"/>
                <w:color w:val="000000"/>
                <w:sz w:val="16"/>
                <w:szCs w:val="16"/>
                <w:lang w:val="en-GB"/>
              </w:rPr>
              <w:t>epository</w:t>
            </w:r>
            <w:proofErr w:type="spellEnd"/>
            <w:r w:rsidRPr="00E16672">
              <w:rPr>
                <w:rFonts w:ascii="Times New Roman" w:hAnsi="Times New Roman"/>
                <w:color w:val="000000"/>
                <w:sz w:val="16"/>
                <w:szCs w:val="16"/>
                <w:lang w:val="en-GB"/>
              </w:rPr>
              <w:t xml:space="preserve"> institution.</w:t>
            </w:r>
          </w:p>
        </w:tc>
      </w:tr>
      <w:tr w:rsidR="00E22279" w:rsidRPr="00F23413" w14:paraId="4048D2B0" w14:textId="77777777" w:rsidTr="00D77858">
        <w:tblPrEx>
          <w:tblCellMar>
            <w:left w:w="0" w:type="dxa"/>
            <w:right w:w="0" w:type="dxa"/>
          </w:tblCellMar>
        </w:tblPrEx>
        <w:trPr>
          <w:trHeight w:val="192"/>
        </w:trPr>
        <w:tc>
          <w:tcPr>
            <w:tcW w:w="5696" w:type="dxa"/>
            <w:gridSpan w:val="6"/>
            <w:shd w:val="clear" w:color="auto" w:fill="auto"/>
          </w:tcPr>
          <w:p w14:paraId="1F605FC4" w14:textId="77777777" w:rsidR="00E22279" w:rsidRPr="00E16672" w:rsidRDefault="00E22279" w:rsidP="004250A5">
            <w:pPr>
              <w:snapToGrid w:val="0"/>
              <w:ind w:left="175" w:right="138" w:firstLine="0"/>
              <w:rPr>
                <w:rFonts w:ascii="Times New Roman" w:hAnsi="Times New Roman"/>
                <w:color w:val="000000"/>
                <w:sz w:val="16"/>
                <w:szCs w:val="16"/>
              </w:rPr>
            </w:pPr>
            <w:r w:rsidRPr="00E16672">
              <w:rPr>
                <w:rFonts w:ascii="Times New Roman" w:hAnsi="Times New Roman"/>
                <w:color w:val="000000"/>
                <w:sz w:val="16"/>
                <w:szCs w:val="16"/>
              </w:rPr>
              <w:lastRenderedPageBreak/>
              <w:t xml:space="preserve">10.3. Для </w:t>
            </w:r>
            <w:proofErr w:type="spellStart"/>
            <w:r w:rsidRPr="00E16672">
              <w:rPr>
                <w:rFonts w:ascii="Times New Roman" w:hAnsi="Times New Roman"/>
                <w:color w:val="000000"/>
                <w:sz w:val="16"/>
                <w:szCs w:val="16"/>
              </w:rPr>
              <w:t>досягнення</w:t>
            </w:r>
            <w:proofErr w:type="spellEnd"/>
            <w:r w:rsidRPr="00E16672">
              <w:rPr>
                <w:rFonts w:ascii="Times New Roman" w:hAnsi="Times New Roman"/>
                <w:color w:val="000000"/>
                <w:sz w:val="16"/>
                <w:szCs w:val="16"/>
              </w:rPr>
              <w:t xml:space="preserve"> мети </w:t>
            </w:r>
            <w:proofErr w:type="spellStart"/>
            <w:r w:rsidRPr="00E16672">
              <w:rPr>
                <w:rFonts w:ascii="Times New Roman" w:hAnsi="Times New Roman"/>
                <w:color w:val="000000"/>
                <w:sz w:val="16"/>
                <w:szCs w:val="16"/>
              </w:rPr>
              <w:t>обробки</w:t>
            </w:r>
            <w:proofErr w:type="spellEnd"/>
            <w:r w:rsidRPr="00E16672">
              <w:rPr>
                <w:rFonts w:ascii="Times New Roman" w:hAnsi="Times New Roman"/>
                <w:color w:val="000000"/>
                <w:sz w:val="16"/>
                <w:szCs w:val="16"/>
              </w:rPr>
              <w:t xml:space="preserve"> до </w:t>
            </w:r>
            <w:proofErr w:type="spellStart"/>
            <w:r w:rsidRPr="00E16672">
              <w:rPr>
                <w:rFonts w:ascii="Times New Roman" w:hAnsi="Times New Roman"/>
                <w:color w:val="000000"/>
                <w:sz w:val="16"/>
                <w:szCs w:val="16"/>
              </w:rPr>
              <w:t>системи</w:t>
            </w:r>
            <w:proofErr w:type="spellEnd"/>
            <w:r w:rsidRPr="00E16672">
              <w:rPr>
                <w:rFonts w:ascii="Times New Roman" w:hAnsi="Times New Roman"/>
                <w:color w:val="000000"/>
                <w:sz w:val="16"/>
                <w:szCs w:val="16"/>
              </w:rPr>
              <w:t xml:space="preserve"> депозитарного </w:t>
            </w:r>
            <w:proofErr w:type="spellStart"/>
            <w:r w:rsidRPr="00E16672">
              <w:rPr>
                <w:rFonts w:ascii="Times New Roman" w:hAnsi="Times New Roman"/>
                <w:color w:val="000000"/>
                <w:sz w:val="16"/>
                <w:szCs w:val="16"/>
              </w:rPr>
              <w:t>обліку</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Депозитарної</w:t>
            </w:r>
            <w:proofErr w:type="spellEnd"/>
            <w:r w:rsidRPr="00E16672">
              <w:rPr>
                <w:rFonts w:ascii="Times New Roman" w:hAnsi="Times New Roman"/>
                <w:color w:val="000000"/>
                <w:sz w:val="16"/>
                <w:szCs w:val="16"/>
              </w:rPr>
              <w:t xml:space="preserve"> установи </w:t>
            </w:r>
            <w:proofErr w:type="spellStart"/>
            <w:r w:rsidRPr="00E16672">
              <w:rPr>
                <w:rFonts w:ascii="Times New Roman" w:hAnsi="Times New Roman"/>
                <w:color w:val="000000"/>
                <w:sz w:val="16"/>
                <w:szCs w:val="16"/>
              </w:rPr>
              <w:t>можуть</w:t>
            </w:r>
            <w:proofErr w:type="spellEnd"/>
            <w:r w:rsidRPr="00E16672">
              <w:rPr>
                <w:rFonts w:ascii="Times New Roman" w:hAnsi="Times New Roman"/>
                <w:color w:val="000000"/>
                <w:sz w:val="16"/>
                <w:szCs w:val="16"/>
              </w:rPr>
              <w:t xml:space="preserve"> бути </w:t>
            </w:r>
            <w:proofErr w:type="spellStart"/>
            <w:r w:rsidRPr="00E16672">
              <w:rPr>
                <w:rFonts w:ascii="Times New Roman" w:hAnsi="Times New Roman"/>
                <w:color w:val="000000"/>
                <w:sz w:val="16"/>
                <w:szCs w:val="16"/>
              </w:rPr>
              <w:t>включені</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наступні</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персональні</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дані</w:t>
            </w:r>
            <w:proofErr w:type="spellEnd"/>
            <w:r w:rsidRPr="00E16672">
              <w:rPr>
                <w:rFonts w:ascii="Times New Roman" w:hAnsi="Times New Roman"/>
                <w:color w:val="000000"/>
                <w:sz w:val="16"/>
                <w:szCs w:val="16"/>
              </w:rPr>
              <w:t>:</w:t>
            </w:r>
          </w:p>
          <w:p w14:paraId="4F46B692" w14:textId="77777777" w:rsidR="00E22279" w:rsidRPr="00E16672" w:rsidRDefault="00E22279" w:rsidP="004250A5">
            <w:pPr>
              <w:ind w:left="175" w:right="138" w:firstLine="0"/>
              <w:rPr>
                <w:rFonts w:ascii="Times New Roman" w:hAnsi="Times New Roman"/>
                <w:color w:val="000000"/>
                <w:sz w:val="16"/>
                <w:szCs w:val="16"/>
              </w:rPr>
            </w:pPr>
            <w:r w:rsidRPr="00E16672">
              <w:rPr>
                <w:rFonts w:ascii="Times New Roman" w:hAnsi="Times New Roman"/>
                <w:color w:val="000000"/>
                <w:sz w:val="16"/>
                <w:szCs w:val="16"/>
              </w:rPr>
              <w:t xml:space="preserve">- </w:t>
            </w:r>
            <w:r w:rsidRPr="00E16672">
              <w:rPr>
                <w:rFonts w:ascii="Times New Roman" w:hAnsi="Times New Roman"/>
                <w:color w:val="000000"/>
                <w:sz w:val="16"/>
                <w:szCs w:val="16"/>
                <w:lang w:val="uk-UA"/>
              </w:rPr>
              <w:t>прізвище, ім’я, по батькові (за наявності);</w:t>
            </w:r>
          </w:p>
          <w:p w14:paraId="66D6ED1B" w14:textId="77777777" w:rsidR="00E22279" w:rsidRPr="00E16672" w:rsidRDefault="00E22279" w:rsidP="004250A5">
            <w:pPr>
              <w:ind w:left="175" w:right="138" w:firstLine="0"/>
              <w:rPr>
                <w:rFonts w:ascii="Times New Roman" w:hAnsi="Times New Roman"/>
                <w:color w:val="000000"/>
                <w:sz w:val="16"/>
                <w:szCs w:val="16"/>
              </w:rPr>
            </w:pPr>
            <w:r w:rsidRPr="00E16672">
              <w:rPr>
                <w:rFonts w:ascii="Times New Roman" w:hAnsi="Times New Roman"/>
                <w:color w:val="000000"/>
                <w:sz w:val="16"/>
                <w:szCs w:val="16"/>
              </w:rPr>
              <w:t xml:space="preserve">- дата </w:t>
            </w:r>
            <w:proofErr w:type="spellStart"/>
            <w:r w:rsidRPr="00E16672">
              <w:rPr>
                <w:rFonts w:ascii="Times New Roman" w:hAnsi="Times New Roman"/>
                <w:color w:val="000000"/>
                <w:sz w:val="16"/>
                <w:szCs w:val="16"/>
              </w:rPr>
              <w:t>народження</w:t>
            </w:r>
            <w:proofErr w:type="spellEnd"/>
            <w:r w:rsidRPr="00E16672">
              <w:rPr>
                <w:rFonts w:ascii="Times New Roman" w:hAnsi="Times New Roman"/>
                <w:color w:val="000000"/>
                <w:sz w:val="16"/>
                <w:szCs w:val="16"/>
              </w:rPr>
              <w:t>;</w:t>
            </w:r>
          </w:p>
          <w:p w14:paraId="5E531E7E" w14:textId="77777777" w:rsidR="00E22279" w:rsidRPr="00E16672" w:rsidRDefault="00E22279" w:rsidP="004250A5">
            <w:pPr>
              <w:ind w:left="175" w:right="138" w:firstLine="0"/>
              <w:rPr>
                <w:rFonts w:ascii="Times New Roman" w:hAnsi="Times New Roman"/>
                <w:color w:val="000000"/>
                <w:sz w:val="16"/>
                <w:szCs w:val="16"/>
              </w:rPr>
            </w:pPr>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місце</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народження</w:t>
            </w:r>
            <w:proofErr w:type="spellEnd"/>
            <w:r w:rsidRPr="00E16672">
              <w:rPr>
                <w:rFonts w:ascii="Times New Roman" w:hAnsi="Times New Roman"/>
                <w:color w:val="000000"/>
                <w:sz w:val="16"/>
                <w:szCs w:val="16"/>
              </w:rPr>
              <w:t>;</w:t>
            </w:r>
          </w:p>
          <w:p w14:paraId="35C5A104" w14:textId="77777777" w:rsidR="00E22279" w:rsidRPr="00E16672" w:rsidRDefault="00E22279" w:rsidP="004250A5">
            <w:pPr>
              <w:ind w:left="175" w:right="138" w:firstLine="0"/>
              <w:rPr>
                <w:rFonts w:ascii="Times New Roman" w:hAnsi="Times New Roman"/>
                <w:color w:val="000000"/>
                <w:sz w:val="16"/>
                <w:szCs w:val="16"/>
              </w:rPr>
            </w:pPr>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місце</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проживання</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перебування</w:t>
            </w:r>
            <w:proofErr w:type="spellEnd"/>
            <w:r w:rsidRPr="00E16672">
              <w:rPr>
                <w:rFonts w:ascii="Times New Roman" w:hAnsi="Times New Roman"/>
                <w:color w:val="000000"/>
                <w:sz w:val="16"/>
                <w:szCs w:val="16"/>
              </w:rPr>
              <w:t>);</w:t>
            </w:r>
          </w:p>
          <w:p w14:paraId="79BED6BD" w14:textId="142F7CF5" w:rsidR="00E22279" w:rsidRPr="00E16672" w:rsidRDefault="00E22279" w:rsidP="004250A5">
            <w:pPr>
              <w:ind w:left="175" w:right="138" w:firstLine="0"/>
              <w:rPr>
                <w:rFonts w:ascii="Times New Roman" w:hAnsi="Times New Roman"/>
                <w:color w:val="000000"/>
                <w:sz w:val="16"/>
                <w:szCs w:val="16"/>
              </w:rPr>
            </w:pPr>
            <w:r w:rsidRPr="00E16672">
              <w:rPr>
                <w:rFonts w:ascii="Times New Roman" w:hAnsi="Times New Roman"/>
                <w:color w:val="000000"/>
                <w:sz w:val="16"/>
                <w:szCs w:val="16"/>
              </w:rPr>
              <w:t xml:space="preserve">- </w:t>
            </w:r>
            <w:r w:rsidR="00F87C5F" w:rsidRPr="00F87C5F">
              <w:rPr>
                <w:rFonts w:ascii="Times New Roman" w:hAnsi="Times New Roman"/>
                <w:color w:val="000000"/>
                <w:sz w:val="16"/>
                <w:szCs w:val="16"/>
              </w:rPr>
              <w:t xml:space="preserve">статус </w:t>
            </w:r>
            <w:proofErr w:type="spellStart"/>
            <w:r w:rsidR="00F87C5F" w:rsidRPr="00F87C5F">
              <w:rPr>
                <w:rFonts w:ascii="Times New Roman" w:hAnsi="Times New Roman"/>
                <w:color w:val="000000"/>
                <w:sz w:val="16"/>
                <w:szCs w:val="16"/>
              </w:rPr>
              <w:t>податкового</w:t>
            </w:r>
            <w:proofErr w:type="spellEnd"/>
            <w:r w:rsidR="00F87C5F" w:rsidRPr="00F87C5F">
              <w:rPr>
                <w:rFonts w:ascii="Times New Roman" w:hAnsi="Times New Roman"/>
                <w:color w:val="000000"/>
                <w:sz w:val="16"/>
                <w:szCs w:val="16"/>
              </w:rPr>
              <w:t xml:space="preserve"> резидентства</w:t>
            </w:r>
            <w:r w:rsidRPr="00E16672">
              <w:rPr>
                <w:rFonts w:ascii="Times New Roman" w:hAnsi="Times New Roman"/>
                <w:color w:val="000000"/>
                <w:sz w:val="16"/>
                <w:szCs w:val="16"/>
              </w:rPr>
              <w:t>;</w:t>
            </w:r>
          </w:p>
          <w:p w14:paraId="29410B05" w14:textId="77777777" w:rsidR="00E22279" w:rsidRPr="00E16672" w:rsidRDefault="00E22279" w:rsidP="004250A5">
            <w:pPr>
              <w:ind w:left="175" w:right="138" w:firstLine="0"/>
              <w:rPr>
                <w:rFonts w:ascii="Times New Roman" w:hAnsi="Times New Roman"/>
                <w:color w:val="000000"/>
                <w:sz w:val="16"/>
                <w:szCs w:val="16"/>
              </w:rPr>
            </w:pPr>
            <w:r w:rsidRPr="00E16672">
              <w:rPr>
                <w:rFonts w:ascii="Times New Roman" w:hAnsi="Times New Roman"/>
                <w:color w:val="000000"/>
                <w:sz w:val="16"/>
                <w:szCs w:val="16"/>
              </w:rPr>
              <w:t xml:space="preserve">- </w:t>
            </w:r>
            <w:proofErr w:type="spellStart"/>
            <w:r w:rsidR="00CD06D2" w:rsidRPr="00E16672">
              <w:rPr>
                <w:rFonts w:ascii="Times New Roman" w:hAnsi="Times New Roman"/>
                <w:sz w:val="16"/>
                <w:szCs w:val="16"/>
              </w:rPr>
              <w:t>реєстраційний</w:t>
            </w:r>
            <w:proofErr w:type="spellEnd"/>
            <w:r w:rsidR="00CD06D2" w:rsidRPr="00E16672">
              <w:rPr>
                <w:rFonts w:ascii="Times New Roman" w:hAnsi="Times New Roman"/>
                <w:sz w:val="16"/>
                <w:szCs w:val="16"/>
              </w:rPr>
              <w:t xml:space="preserve"> номер </w:t>
            </w:r>
            <w:proofErr w:type="spellStart"/>
            <w:r w:rsidR="00CD06D2" w:rsidRPr="00E16672">
              <w:rPr>
                <w:rFonts w:ascii="Times New Roman" w:hAnsi="Times New Roman"/>
                <w:sz w:val="16"/>
                <w:szCs w:val="16"/>
              </w:rPr>
              <w:t>облікової</w:t>
            </w:r>
            <w:proofErr w:type="spellEnd"/>
            <w:r w:rsidR="00CD06D2" w:rsidRPr="00E16672">
              <w:rPr>
                <w:rFonts w:ascii="Times New Roman" w:hAnsi="Times New Roman"/>
                <w:sz w:val="16"/>
                <w:szCs w:val="16"/>
              </w:rPr>
              <w:t xml:space="preserve"> </w:t>
            </w:r>
            <w:proofErr w:type="spellStart"/>
            <w:r w:rsidR="00CD06D2" w:rsidRPr="00E16672">
              <w:rPr>
                <w:rFonts w:ascii="Times New Roman" w:hAnsi="Times New Roman"/>
                <w:sz w:val="16"/>
                <w:szCs w:val="16"/>
              </w:rPr>
              <w:t>картки</w:t>
            </w:r>
            <w:proofErr w:type="spellEnd"/>
            <w:r w:rsidR="00CD06D2" w:rsidRPr="00E16672">
              <w:rPr>
                <w:rFonts w:ascii="Times New Roman" w:hAnsi="Times New Roman"/>
                <w:sz w:val="16"/>
                <w:szCs w:val="16"/>
              </w:rPr>
              <w:t xml:space="preserve"> </w:t>
            </w:r>
            <w:proofErr w:type="spellStart"/>
            <w:r w:rsidR="00CD06D2" w:rsidRPr="00E16672">
              <w:rPr>
                <w:rFonts w:ascii="Times New Roman" w:hAnsi="Times New Roman"/>
                <w:sz w:val="16"/>
                <w:szCs w:val="16"/>
              </w:rPr>
              <w:t>платника</w:t>
            </w:r>
            <w:proofErr w:type="spellEnd"/>
            <w:r w:rsidR="00CD06D2" w:rsidRPr="00E16672">
              <w:rPr>
                <w:rFonts w:ascii="Times New Roman" w:hAnsi="Times New Roman"/>
                <w:sz w:val="16"/>
                <w:szCs w:val="16"/>
              </w:rPr>
              <w:t xml:space="preserve"> </w:t>
            </w:r>
            <w:proofErr w:type="spellStart"/>
            <w:r w:rsidR="00CD06D2" w:rsidRPr="00E16672">
              <w:rPr>
                <w:rFonts w:ascii="Times New Roman" w:hAnsi="Times New Roman"/>
                <w:sz w:val="16"/>
                <w:szCs w:val="16"/>
              </w:rPr>
              <w:t>податків</w:t>
            </w:r>
            <w:proofErr w:type="spellEnd"/>
            <w:r w:rsidR="00CD06D2" w:rsidRPr="00E16672">
              <w:rPr>
                <w:rFonts w:ascii="Times New Roman" w:hAnsi="Times New Roman"/>
                <w:sz w:val="16"/>
                <w:szCs w:val="16"/>
              </w:rPr>
              <w:t xml:space="preserve">, номер (та за </w:t>
            </w:r>
            <w:proofErr w:type="spellStart"/>
            <w:r w:rsidR="00CD06D2" w:rsidRPr="00E16672">
              <w:rPr>
                <w:rFonts w:ascii="Times New Roman" w:hAnsi="Times New Roman"/>
                <w:sz w:val="16"/>
                <w:szCs w:val="16"/>
              </w:rPr>
              <w:t>наявності</w:t>
            </w:r>
            <w:proofErr w:type="spellEnd"/>
            <w:r w:rsidR="00CD06D2" w:rsidRPr="00E16672">
              <w:rPr>
                <w:rFonts w:ascii="Times New Roman" w:hAnsi="Times New Roman"/>
                <w:sz w:val="16"/>
                <w:szCs w:val="16"/>
              </w:rPr>
              <w:t xml:space="preserve"> - </w:t>
            </w:r>
            <w:proofErr w:type="spellStart"/>
            <w:r w:rsidR="00CD06D2" w:rsidRPr="00E16672">
              <w:rPr>
                <w:rFonts w:ascii="Times New Roman" w:hAnsi="Times New Roman"/>
                <w:sz w:val="16"/>
                <w:szCs w:val="16"/>
              </w:rPr>
              <w:t>серія</w:t>
            </w:r>
            <w:proofErr w:type="spellEnd"/>
            <w:r w:rsidR="00CD06D2" w:rsidRPr="00E16672">
              <w:rPr>
                <w:rFonts w:ascii="Times New Roman" w:hAnsi="Times New Roman"/>
                <w:sz w:val="16"/>
                <w:szCs w:val="16"/>
              </w:rPr>
              <w:t xml:space="preserve">) паспорта </w:t>
            </w:r>
            <w:proofErr w:type="spellStart"/>
            <w:r w:rsidR="00CD06D2" w:rsidRPr="00E16672">
              <w:rPr>
                <w:rFonts w:ascii="Times New Roman" w:hAnsi="Times New Roman"/>
                <w:sz w:val="16"/>
                <w:szCs w:val="16"/>
              </w:rPr>
              <w:t>громадянина</w:t>
            </w:r>
            <w:proofErr w:type="spellEnd"/>
            <w:r w:rsidR="00CD06D2" w:rsidRPr="00E16672">
              <w:rPr>
                <w:rFonts w:ascii="Times New Roman" w:hAnsi="Times New Roman"/>
                <w:sz w:val="16"/>
                <w:szCs w:val="16"/>
              </w:rPr>
              <w:t xml:space="preserve"> </w:t>
            </w:r>
            <w:proofErr w:type="spellStart"/>
            <w:r w:rsidR="00CD06D2" w:rsidRPr="00E16672">
              <w:rPr>
                <w:rFonts w:ascii="Times New Roman" w:hAnsi="Times New Roman"/>
                <w:sz w:val="16"/>
                <w:szCs w:val="16"/>
              </w:rPr>
              <w:t>України</w:t>
            </w:r>
            <w:proofErr w:type="spellEnd"/>
            <w:r w:rsidR="00CD06D2" w:rsidRPr="00E16672">
              <w:rPr>
                <w:rFonts w:ascii="Times New Roman" w:hAnsi="Times New Roman"/>
                <w:sz w:val="16"/>
                <w:szCs w:val="16"/>
              </w:rPr>
              <w:t xml:space="preserve">, в </w:t>
            </w:r>
            <w:proofErr w:type="spellStart"/>
            <w:r w:rsidR="00CD06D2" w:rsidRPr="00E16672">
              <w:rPr>
                <w:rFonts w:ascii="Times New Roman" w:hAnsi="Times New Roman"/>
                <w:sz w:val="16"/>
                <w:szCs w:val="16"/>
              </w:rPr>
              <w:t>якому</w:t>
            </w:r>
            <w:proofErr w:type="spellEnd"/>
            <w:r w:rsidR="00CD06D2" w:rsidRPr="00E16672">
              <w:rPr>
                <w:rFonts w:ascii="Times New Roman" w:hAnsi="Times New Roman"/>
                <w:sz w:val="16"/>
                <w:szCs w:val="16"/>
              </w:rPr>
              <w:t xml:space="preserve"> проставлено </w:t>
            </w:r>
            <w:proofErr w:type="spellStart"/>
            <w:r w:rsidR="00CD06D2" w:rsidRPr="00E16672">
              <w:rPr>
                <w:rFonts w:ascii="Times New Roman" w:hAnsi="Times New Roman"/>
                <w:sz w:val="16"/>
                <w:szCs w:val="16"/>
              </w:rPr>
              <w:t>відмітку</w:t>
            </w:r>
            <w:proofErr w:type="spellEnd"/>
            <w:r w:rsidR="00CD06D2" w:rsidRPr="00E16672">
              <w:rPr>
                <w:rFonts w:ascii="Times New Roman" w:hAnsi="Times New Roman"/>
                <w:sz w:val="16"/>
                <w:szCs w:val="16"/>
              </w:rPr>
              <w:t xml:space="preserve"> про </w:t>
            </w:r>
            <w:proofErr w:type="spellStart"/>
            <w:r w:rsidR="00CD06D2" w:rsidRPr="00E16672">
              <w:rPr>
                <w:rFonts w:ascii="Times New Roman" w:hAnsi="Times New Roman"/>
                <w:sz w:val="16"/>
                <w:szCs w:val="16"/>
              </w:rPr>
              <w:t>відмову</w:t>
            </w:r>
            <w:proofErr w:type="spellEnd"/>
            <w:r w:rsidR="00CD06D2" w:rsidRPr="00E16672">
              <w:rPr>
                <w:rFonts w:ascii="Times New Roman" w:hAnsi="Times New Roman"/>
                <w:sz w:val="16"/>
                <w:szCs w:val="16"/>
              </w:rPr>
              <w:t xml:space="preserve"> </w:t>
            </w:r>
            <w:proofErr w:type="spellStart"/>
            <w:r w:rsidR="00CD06D2" w:rsidRPr="00E16672">
              <w:rPr>
                <w:rFonts w:ascii="Times New Roman" w:hAnsi="Times New Roman"/>
                <w:sz w:val="16"/>
                <w:szCs w:val="16"/>
              </w:rPr>
              <w:t>від</w:t>
            </w:r>
            <w:proofErr w:type="spellEnd"/>
            <w:r w:rsidR="00CD06D2" w:rsidRPr="00E16672">
              <w:rPr>
                <w:rFonts w:ascii="Times New Roman" w:hAnsi="Times New Roman"/>
                <w:sz w:val="16"/>
                <w:szCs w:val="16"/>
              </w:rPr>
              <w:t xml:space="preserve"> </w:t>
            </w:r>
            <w:proofErr w:type="spellStart"/>
            <w:r w:rsidR="00CD06D2" w:rsidRPr="00E16672">
              <w:rPr>
                <w:rFonts w:ascii="Times New Roman" w:hAnsi="Times New Roman"/>
                <w:sz w:val="16"/>
                <w:szCs w:val="16"/>
              </w:rPr>
              <w:t>прийняття</w:t>
            </w:r>
            <w:proofErr w:type="spellEnd"/>
            <w:r w:rsidR="00CD06D2" w:rsidRPr="00E16672">
              <w:rPr>
                <w:rFonts w:ascii="Times New Roman" w:hAnsi="Times New Roman"/>
                <w:sz w:val="16"/>
                <w:szCs w:val="16"/>
              </w:rPr>
              <w:t xml:space="preserve"> </w:t>
            </w:r>
            <w:proofErr w:type="spellStart"/>
            <w:r w:rsidR="00CD06D2" w:rsidRPr="00E16672">
              <w:rPr>
                <w:rFonts w:ascii="Times New Roman" w:hAnsi="Times New Roman"/>
                <w:sz w:val="16"/>
                <w:szCs w:val="16"/>
              </w:rPr>
              <w:t>реєстраційного</w:t>
            </w:r>
            <w:proofErr w:type="spellEnd"/>
            <w:r w:rsidR="00CD06D2" w:rsidRPr="00E16672">
              <w:rPr>
                <w:rFonts w:ascii="Times New Roman" w:hAnsi="Times New Roman"/>
                <w:sz w:val="16"/>
                <w:szCs w:val="16"/>
              </w:rPr>
              <w:t xml:space="preserve"> номера </w:t>
            </w:r>
            <w:proofErr w:type="spellStart"/>
            <w:r w:rsidR="00CD06D2" w:rsidRPr="00E16672">
              <w:rPr>
                <w:rFonts w:ascii="Times New Roman" w:hAnsi="Times New Roman"/>
                <w:sz w:val="16"/>
                <w:szCs w:val="16"/>
              </w:rPr>
              <w:t>облікової</w:t>
            </w:r>
            <w:proofErr w:type="spellEnd"/>
            <w:r w:rsidR="00CD06D2" w:rsidRPr="00E16672">
              <w:rPr>
                <w:rFonts w:ascii="Times New Roman" w:hAnsi="Times New Roman"/>
                <w:sz w:val="16"/>
                <w:szCs w:val="16"/>
              </w:rPr>
              <w:t xml:space="preserve"> </w:t>
            </w:r>
            <w:proofErr w:type="spellStart"/>
            <w:r w:rsidR="00CD06D2" w:rsidRPr="00E16672">
              <w:rPr>
                <w:rFonts w:ascii="Times New Roman" w:hAnsi="Times New Roman"/>
                <w:sz w:val="16"/>
                <w:szCs w:val="16"/>
              </w:rPr>
              <w:t>картки</w:t>
            </w:r>
            <w:proofErr w:type="spellEnd"/>
            <w:r w:rsidR="00CD06D2" w:rsidRPr="00E16672">
              <w:rPr>
                <w:rFonts w:ascii="Times New Roman" w:hAnsi="Times New Roman"/>
                <w:sz w:val="16"/>
                <w:szCs w:val="16"/>
              </w:rPr>
              <w:t xml:space="preserve"> </w:t>
            </w:r>
            <w:proofErr w:type="spellStart"/>
            <w:r w:rsidR="00CD06D2" w:rsidRPr="00E16672">
              <w:rPr>
                <w:rFonts w:ascii="Times New Roman" w:hAnsi="Times New Roman"/>
                <w:sz w:val="16"/>
                <w:szCs w:val="16"/>
              </w:rPr>
              <w:t>платника</w:t>
            </w:r>
            <w:proofErr w:type="spellEnd"/>
            <w:r w:rsidR="00CD06D2" w:rsidRPr="00E16672">
              <w:rPr>
                <w:rFonts w:ascii="Times New Roman" w:hAnsi="Times New Roman"/>
                <w:sz w:val="16"/>
                <w:szCs w:val="16"/>
              </w:rPr>
              <w:t xml:space="preserve"> </w:t>
            </w:r>
            <w:proofErr w:type="spellStart"/>
            <w:r w:rsidR="00CD06D2" w:rsidRPr="00E16672">
              <w:rPr>
                <w:rFonts w:ascii="Times New Roman" w:hAnsi="Times New Roman"/>
                <w:sz w:val="16"/>
                <w:szCs w:val="16"/>
              </w:rPr>
              <w:t>податків</w:t>
            </w:r>
            <w:proofErr w:type="spellEnd"/>
            <w:r w:rsidR="00CD06D2" w:rsidRPr="00E16672">
              <w:rPr>
                <w:rFonts w:ascii="Times New Roman" w:hAnsi="Times New Roman"/>
                <w:sz w:val="16"/>
                <w:szCs w:val="16"/>
              </w:rPr>
              <w:t xml:space="preserve">, </w:t>
            </w:r>
            <w:proofErr w:type="spellStart"/>
            <w:r w:rsidR="00CD06D2" w:rsidRPr="00E16672">
              <w:rPr>
                <w:rFonts w:ascii="Times New Roman" w:hAnsi="Times New Roman"/>
                <w:sz w:val="16"/>
                <w:szCs w:val="16"/>
              </w:rPr>
              <w:t>чи</w:t>
            </w:r>
            <w:proofErr w:type="spellEnd"/>
            <w:r w:rsidR="00CD06D2" w:rsidRPr="00E16672">
              <w:rPr>
                <w:rFonts w:ascii="Times New Roman" w:hAnsi="Times New Roman"/>
                <w:sz w:val="16"/>
                <w:szCs w:val="16"/>
              </w:rPr>
              <w:t xml:space="preserve"> номер паспорта </w:t>
            </w:r>
            <w:proofErr w:type="spellStart"/>
            <w:r w:rsidR="00CD06D2" w:rsidRPr="00E16672">
              <w:rPr>
                <w:rFonts w:ascii="Times New Roman" w:hAnsi="Times New Roman"/>
                <w:sz w:val="16"/>
                <w:szCs w:val="16"/>
              </w:rPr>
              <w:t>із</w:t>
            </w:r>
            <w:proofErr w:type="spellEnd"/>
            <w:r w:rsidR="00CD06D2" w:rsidRPr="00E16672">
              <w:rPr>
                <w:rFonts w:ascii="Times New Roman" w:hAnsi="Times New Roman"/>
                <w:sz w:val="16"/>
                <w:szCs w:val="16"/>
              </w:rPr>
              <w:t xml:space="preserve"> </w:t>
            </w:r>
            <w:proofErr w:type="spellStart"/>
            <w:r w:rsidR="00CD06D2" w:rsidRPr="00E16672">
              <w:rPr>
                <w:rFonts w:ascii="Times New Roman" w:hAnsi="Times New Roman"/>
                <w:sz w:val="16"/>
                <w:szCs w:val="16"/>
              </w:rPr>
              <w:t>записом</w:t>
            </w:r>
            <w:proofErr w:type="spellEnd"/>
            <w:r w:rsidR="00CD06D2" w:rsidRPr="00E16672">
              <w:rPr>
                <w:rFonts w:ascii="Times New Roman" w:hAnsi="Times New Roman"/>
                <w:sz w:val="16"/>
                <w:szCs w:val="16"/>
              </w:rPr>
              <w:t xml:space="preserve"> про </w:t>
            </w:r>
            <w:proofErr w:type="spellStart"/>
            <w:r w:rsidR="00CD06D2" w:rsidRPr="00E16672">
              <w:rPr>
                <w:rFonts w:ascii="Times New Roman" w:hAnsi="Times New Roman"/>
                <w:sz w:val="16"/>
                <w:szCs w:val="16"/>
              </w:rPr>
              <w:t>відмову</w:t>
            </w:r>
            <w:proofErr w:type="spellEnd"/>
            <w:r w:rsidR="00CD06D2" w:rsidRPr="00E16672">
              <w:rPr>
                <w:rFonts w:ascii="Times New Roman" w:hAnsi="Times New Roman"/>
                <w:sz w:val="16"/>
                <w:szCs w:val="16"/>
              </w:rPr>
              <w:t xml:space="preserve"> </w:t>
            </w:r>
            <w:proofErr w:type="spellStart"/>
            <w:r w:rsidR="00CD06D2" w:rsidRPr="00E16672">
              <w:rPr>
                <w:rFonts w:ascii="Times New Roman" w:hAnsi="Times New Roman"/>
                <w:sz w:val="16"/>
                <w:szCs w:val="16"/>
              </w:rPr>
              <w:t>від</w:t>
            </w:r>
            <w:proofErr w:type="spellEnd"/>
            <w:r w:rsidR="00CD06D2" w:rsidRPr="00E16672">
              <w:rPr>
                <w:rFonts w:ascii="Times New Roman" w:hAnsi="Times New Roman"/>
                <w:sz w:val="16"/>
                <w:szCs w:val="16"/>
              </w:rPr>
              <w:t xml:space="preserve"> </w:t>
            </w:r>
            <w:proofErr w:type="spellStart"/>
            <w:r w:rsidR="00CD06D2" w:rsidRPr="00E16672">
              <w:rPr>
                <w:rFonts w:ascii="Times New Roman" w:hAnsi="Times New Roman"/>
                <w:sz w:val="16"/>
                <w:szCs w:val="16"/>
              </w:rPr>
              <w:t>прийняття</w:t>
            </w:r>
            <w:proofErr w:type="spellEnd"/>
            <w:r w:rsidR="00CD06D2" w:rsidRPr="00E16672">
              <w:rPr>
                <w:rFonts w:ascii="Times New Roman" w:hAnsi="Times New Roman"/>
                <w:sz w:val="16"/>
                <w:szCs w:val="16"/>
              </w:rPr>
              <w:t xml:space="preserve"> </w:t>
            </w:r>
            <w:proofErr w:type="spellStart"/>
            <w:r w:rsidR="00CD06D2" w:rsidRPr="00E16672">
              <w:rPr>
                <w:rFonts w:ascii="Times New Roman" w:hAnsi="Times New Roman"/>
                <w:sz w:val="16"/>
                <w:szCs w:val="16"/>
              </w:rPr>
              <w:t>реєстраційного</w:t>
            </w:r>
            <w:proofErr w:type="spellEnd"/>
            <w:r w:rsidR="00CD06D2" w:rsidRPr="00E16672">
              <w:rPr>
                <w:rFonts w:ascii="Times New Roman" w:hAnsi="Times New Roman"/>
                <w:sz w:val="16"/>
                <w:szCs w:val="16"/>
              </w:rPr>
              <w:t xml:space="preserve"> номера </w:t>
            </w:r>
            <w:proofErr w:type="spellStart"/>
            <w:r w:rsidR="00CD06D2" w:rsidRPr="00E16672">
              <w:rPr>
                <w:rFonts w:ascii="Times New Roman" w:hAnsi="Times New Roman"/>
                <w:sz w:val="16"/>
                <w:szCs w:val="16"/>
              </w:rPr>
              <w:t>облікової</w:t>
            </w:r>
            <w:proofErr w:type="spellEnd"/>
            <w:r w:rsidR="00CD06D2" w:rsidRPr="00E16672">
              <w:rPr>
                <w:rFonts w:ascii="Times New Roman" w:hAnsi="Times New Roman"/>
                <w:sz w:val="16"/>
                <w:szCs w:val="16"/>
              </w:rPr>
              <w:t xml:space="preserve"> </w:t>
            </w:r>
            <w:proofErr w:type="spellStart"/>
            <w:r w:rsidR="00CD06D2" w:rsidRPr="00E16672">
              <w:rPr>
                <w:rFonts w:ascii="Times New Roman" w:hAnsi="Times New Roman"/>
                <w:sz w:val="16"/>
                <w:szCs w:val="16"/>
              </w:rPr>
              <w:t>картки</w:t>
            </w:r>
            <w:proofErr w:type="spellEnd"/>
            <w:r w:rsidR="00CD06D2" w:rsidRPr="00E16672">
              <w:rPr>
                <w:rFonts w:ascii="Times New Roman" w:hAnsi="Times New Roman"/>
                <w:sz w:val="16"/>
                <w:szCs w:val="16"/>
              </w:rPr>
              <w:t xml:space="preserve"> </w:t>
            </w:r>
            <w:proofErr w:type="spellStart"/>
            <w:r w:rsidR="00CD06D2" w:rsidRPr="00E16672">
              <w:rPr>
                <w:rFonts w:ascii="Times New Roman" w:hAnsi="Times New Roman"/>
                <w:sz w:val="16"/>
                <w:szCs w:val="16"/>
              </w:rPr>
              <w:t>платника</w:t>
            </w:r>
            <w:proofErr w:type="spellEnd"/>
            <w:r w:rsidR="00CD06D2" w:rsidRPr="00E16672">
              <w:rPr>
                <w:rFonts w:ascii="Times New Roman" w:hAnsi="Times New Roman"/>
                <w:sz w:val="16"/>
                <w:szCs w:val="16"/>
              </w:rPr>
              <w:t xml:space="preserve"> </w:t>
            </w:r>
            <w:proofErr w:type="spellStart"/>
            <w:r w:rsidR="00CD06D2" w:rsidRPr="00E16672">
              <w:rPr>
                <w:rFonts w:ascii="Times New Roman" w:hAnsi="Times New Roman"/>
                <w:sz w:val="16"/>
                <w:szCs w:val="16"/>
              </w:rPr>
              <w:t>податків</w:t>
            </w:r>
            <w:proofErr w:type="spellEnd"/>
            <w:r w:rsidR="00CD06D2" w:rsidRPr="00E16672">
              <w:rPr>
                <w:rFonts w:ascii="Times New Roman" w:hAnsi="Times New Roman"/>
                <w:sz w:val="16"/>
                <w:szCs w:val="16"/>
              </w:rPr>
              <w:t xml:space="preserve"> в </w:t>
            </w:r>
            <w:proofErr w:type="spellStart"/>
            <w:r w:rsidR="00CD06D2" w:rsidRPr="00E16672">
              <w:rPr>
                <w:rFonts w:ascii="Times New Roman" w:hAnsi="Times New Roman"/>
                <w:sz w:val="16"/>
                <w:szCs w:val="16"/>
              </w:rPr>
              <w:t>електронному</w:t>
            </w:r>
            <w:proofErr w:type="spellEnd"/>
            <w:r w:rsidR="00CD06D2" w:rsidRPr="00E16672">
              <w:rPr>
                <w:rFonts w:ascii="Times New Roman" w:hAnsi="Times New Roman"/>
                <w:sz w:val="16"/>
                <w:szCs w:val="16"/>
              </w:rPr>
              <w:t xml:space="preserve"> </w:t>
            </w:r>
            <w:proofErr w:type="spellStart"/>
            <w:r w:rsidR="00CD06D2" w:rsidRPr="00E16672">
              <w:rPr>
                <w:rFonts w:ascii="Times New Roman" w:hAnsi="Times New Roman"/>
                <w:sz w:val="16"/>
                <w:szCs w:val="16"/>
              </w:rPr>
              <w:t>безконтактному</w:t>
            </w:r>
            <w:proofErr w:type="spellEnd"/>
            <w:r w:rsidR="00CD06D2" w:rsidRPr="00E16672">
              <w:rPr>
                <w:rFonts w:ascii="Times New Roman" w:hAnsi="Times New Roman"/>
                <w:sz w:val="16"/>
                <w:szCs w:val="16"/>
              </w:rPr>
              <w:t xml:space="preserve"> </w:t>
            </w:r>
            <w:proofErr w:type="spellStart"/>
            <w:r w:rsidR="00CD06D2" w:rsidRPr="00E16672">
              <w:rPr>
                <w:rFonts w:ascii="Times New Roman" w:hAnsi="Times New Roman"/>
                <w:sz w:val="16"/>
                <w:szCs w:val="16"/>
              </w:rPr>
              <w:t>носії</w:t>
            </w:r>
            <w:proofErr w:type="spellEnd"/>
            <w:r w:rsidR="00CD06D2" w:rsidRPr="00E16672">
              <w:rPr>
                <w:rFonts w:ascii="Times New Roman" w:hAnsi="Times New Roman"/>
                <w:sz w:val="16"/>
                <w:szCs w:val="16"/>
              </w:rPr>
              <w:t xml:space="preserve">, </w:t>
            </w:r>
            <w:proofErr w:type="spellStart"/>
            <w:r w:rsidR="00CD06D2" w:rsidRPr="00E16672">
              <w:rPr>
                <w:rFonts w:ascii="Times New Roman" w:hAnsi="Times New Roman"/>
                <w:sz w:val="16"/>
                <w:szCs w:val="16"/>
              </w:rPr>
              <w:t>унікальний</w:t>
            </w:r>
            <w:proofErr w:type="spellEnd"/>
            <w:r w:rsidR="00CD06D2" w:rsidRPr="00E16672">
              <w:rPr>
                <w:rFonts w:ascii="Times New Roman" w:hAnsi="Times New Roman"/>
                <w:sz w:val="16"/>
                <w:szCs w:val="16"/>
              </w:rPr>
              <w:t xml:space="preserve"> номер </w:t>
            </w:r>
            <w:proofErr w:type="spellStart"/>
            <w:r w:rsidR="00CD06D2" w:rsidRPr="00E16672">
              <w:rPr>
                <w:rFonts w:ascii="Times New Roman" w:hAnsi="Times New Roman"/>
                <w:sz w:val="16"/>
                <w:szCs w:val="16"/>
              </w:rPr>
              <w:t>запису</w:t>
            </w:r>
            <w:proofErr w:type="spellEnd"/>
            <w:r w:rsidR="00CD06D2" w:rsidRPr="00E16672">
              <w:rPr>
                <w:rFonts w:ascii="Times New Roman" w:hAnsi="Times New Roman"/>
                <w:sz w:val="16"/>
                <w:szCs w:val="16"/>
              </w:rPr>
              <w:t xml:space="preserve"> в </w:t>
            </w:r>
            <w:proofErr w:type="spellStart"/>
            <w:r w:rsidR="00CD06D2" w:rsidRPr="00E16672">
              <w:rPr>
                <w:rFonts w:ascii="Times New Roman" w:hAnsi="Times New Roman"/>
                <w:sz w:val="16"/>
                <w:szCs w:val="16"/>
              </w:rPr>
              <w:t>Єдиному</w:t>
            </w:r>
            <w:proofErr w:type="spellEnd"/>
            <w:r w:rsidR="00CD06D2" w:rsidRPr="00E16672">
              <w:rPr>
                <w:rFonts w:ascii="Times New Roman" w:hAnsi="Times New Roman"/>
                <w:sz w:val="16"/>
                <w:szCs w:val="16"/>
              </w:rPr>
              <w:t xml:space="preserve"> державному </w:t>
            </w:r>
            <w:proofErr w:type="spellStart"/>
            <w:r w:rsidR="00CD06D2" w:rsidRPr="00E16672">
              <w:rPr>
                <w:rFonts w:ascii="Times New Roman" w:hAnsi="Times New Roman"/>
                <w:sz w:val="16"/>
                <w:szCs w:val="16"/>
              </w:rPr>
              <w:t>демографічному</w:t>
            </w:r>
            <w:proofErr w:type="spellEnd"/>
            <w:r w:rsidR="00CD06D2" w:rsidRPr="00E16672">
              <w:rPr>
                <w:rFonts w:ascii="Times New Roman" w:hAnsi="Times New Roman"/>
                <w:sz w:val="16"/>
                <w:szCs w:val="16"/>
              </w:rPr>
              <w:t xml:space="preserve"> </w:t>
            </w:r>
            <w:proofErr w:type="spellStart"/>
            <w:r w:rsidR="00CD06D2" w:rsidRPr="00E16672">
              <w:rPr>
                <w:rFonts w:ascii="Times New Roman" w:hAnsi="Times New Roman"/>
                <w:sz w:val="16"/>
                <w:szCs w:val="16"/>
              </w:rPr>
              <w:t>реєстрі</w:t>
            </w:r>
            <w:proofErr w:type="spellEnd"/>
            <w:r w:rsidR="00CD06D2" w:rsidRPr="00E16672">
              <w:rPr>
                <w:rFonts w:ascii="Times New Roman" w:hAnsi="Times New Roman"/>
                <w:sz w:val="16"/>
                <w:szCs w:val="16"/>
              </w:rPr>
              <w:t xml:space="preserve"> (за </w:t>
            </w:r>
            <w:proofErr w:type="spellStart"/>
            <w:r w:rsidR="00CD06D2" w:rsidRPr="00E16672">
              <w:rPr>
                <w:rFonts w:ascii="Times New Roman" w:hAnsi="Times New Roman"/>
                <w:sz w:val="16"/>
                <w:szCs w:val="16"/>
              </w:rPr>
              <w:t>наявності</w:t>
            </w:r>
            <w:proofErr w:type="spellEnd"/>
            <w:r w:rsidR="00CD06D2" w:rsidRPr="00E16672">
              <w:rPr>
                <w:rFonts w:ascii="Times New Roman" w:hAnsi="Times New Roman"/>
                <w:sz w:val="16"/>
                <w:szCs w:val="16"/>
              </w:rPr>
              <w:t>)</w:t>
            </w:r>
            <w:r w:rsidRPr="00E16672">
              <w:rPr>
                <w:rFonts w:ascii="Times New Roman" w:hAnsi="Times New Roman"/>
                <w:color w:val="000000"/>
                <w:sz w:val="16"/>
                <w:szCs w:val="16"/>
              </w:rPr>
              <w:t>;</w:t>
            </w:r>
          </w:p>
          <w:p w14:paraId="3F508A1F" w14:textId="77777777" w:rsidR="00E22279" w:rsidRPr="00E16672" w:rsidRDefault="00E22279" w:rsidP="004250A5">
            <w:pPr>
              <w:ind w:left="175" w:right="138" w:firstLine="0"/>
              <w:rPr>
                <w:rFonts w:ascii="Times New Roman" w:hAnsi="Times New Roman"/>
                <w:color w:val="000000"/>
                <w:sz w:val="16"/>
                <w:szCs w:val="16"/>
              </w:rPr>
            </w:pPr>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серія</w:t>
            </w:r>
            <w:proofErr w:type="spellEnd"/>
            <w:r w:rsidRPr="00E16672">
              <w:rPr>
                <w:rFonts w:ascii="Times New Roman" w:hAnsi="Times New Roman"/>
                <w:color w:val="000000"/>
                <w:sz w:val="16"/>
                <w:szCs w:val="16"/>
              </w:rPr>
              <w:t xml:space="preserve"> і номер паспорта (</w:t>
            </w:r>
            <w:proofErr w:type="spellStart"/>
            <w:r w:rsidRPr="00E16672">
              <w:rPr>
                <w:rFonts w:ascii="Times New Roman" w:hAnsi="Times New Roman"/>
                <w:color w:val="000000"/>
                <w:sz w:val="16"/>
                <w:szCs w:val="16"/>
              </w:rPr>
              <w:t>або</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іншого</w:t>
            </w:r>
            <w:proofErr w:type="spellEnd"/>
            <w:r w:rsidRPr="00E16672">
              <w:rPr>
                <w:rFonts w:ascii="Times New Roman" w:hAnsi="Times New Roman"/>
                <w:color w:val="000000"/>
                <w:sz w:val="16"/>
                <w:szCs w:val="16"/>
              </w:rPr>
              <w:t xml:space="preserve"> документа, </w:t>
            </w:r>
            <w:proofErr w:type="spellStart"/>
            <w:r w:rsidRPr="00E16672">
              <w:rPr>
                <w:rFonts w:ascii="Times New Roman" w:hAnsi="Times New Roman"/>
                <w:color w:val="000000"/>
                <w:sz w:val="16"/>
                <w:szCs w:val="16"/>
              </w:rPr>
              <w:t>що</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посвідчує</w:t>
            </w:r>
            <w:proofErr w:type="spellEnd"/>
            <w:r w:rsidRPr="00E16672">
              <w:rPr>
                <w:rFonts w:ascii="Times New Roman" w:hAnsi="Times New Roman"/>
                <w:color w:val="000000"/>
                <w:sz w:val="16"/>
                <w:szCs w:val="16"/>
              </w:rPr>
              <w:t xml:space="preserve"> особу), </w:t>
            </w:r>
            <w:r w:rsidRPr="00E16672">
              <w:rPr>
                <w:rFonts w:ascii="Times New Roman" w:hAnsi="Times New Roman"/>
                <w:sz w:val="16"/>
                <w:szCs w:val="16"/>
              </w:rPr>
              <w:t>строк (</w:t>
            </w:r>
            <w:proofErr w:type="spellStart"/>
            <w:r w:rsidRPr="00E16672">
              <w:rPr>
                <w:rFonts w:ascii="Times New Roman" w:hAnsi="Times New Roman"/>
                <w:sz w:val="16"/>
                <w:szCs w:val="16"/>
              </w:rPr>
              <w:t>термін</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дії</w:t>
            </w:r>
            <w:proofErr w:type="spellEnd"/>
            <w:r w:rsidRPr="00E16672">
              <w:rPr>
                <w:rFonts w:ascii="Times New Roman" w:hAnsi="Times New Roman"/>
                <w:sz w:val="16"/>
                <w:szCs w:val="16"/>
              </w:rPr>
              <w:t xml:space="preserve"> (за </w:t>
            </w:r>
            <w:proofErr w:type="spellStart"/>
            <w:r w:rsidRPr="00E16672">
              <w:rPr>
                <w:rFonts w:ascii="Times New Roman" w:hAnsi="Times New Roman"/>
                <w:sz w:val="16"/>
                <w:szCs w:val="16"/>
              </w:rPr>
              <w:t>наявності</w:t>
            </w:r>
            <w:proofErr w:type="spellEnd"/>
            <w:r w:rsidRPr="00E16672">
              <w:rPr>
                <w:rFonts w:ascii="Times New Roman" w:hAnsi="Times New Roman"/>
                <w:sz w:val="16"/>
                <w:szCs w:val="16"/>
              </w:rPr>
              <w:t>)</w:t>
            </w:r>
            <w:r w:rsidRPr="00E16672">
              <w:rPr>
                <w:rFonts w:ascii="Times New Roman" w:hAnsi="Times New Roman"/>
                <w:color w:val="000000"/>
                <w:sz w:val="16"/>
                <w:szCs w:val="16"/>
                <w:lang w:val="uk-UA"/>
              </w:rPr>
              <w:t xml:space="preserve">, </w:t>
            </w:r>
            <w:r w:rsidRPr="00E16672">
              <w:rPr>
                <w:rFonts w:ascii="Times New Roman" w:hAnsi="Times New Roman"/>
                <w:color w:val="000000"/>
                <w:sz w:val="16"/>
                <w:szCs w:val="16"/>
              </w:rPr>
              <w:t xml:space="preserve">дату </w:t>
            </w:r>
            <w:proofErr w:type="spellStart"/>
            <w:r w:rsidRPr="00E16672">
              <w:rPr>
                <w:rFonts w:ascii="Times New Roman" w:hAnsi="Times New Roman"/>
                <w:color w:val="000000"/>
                <w:sz w:val="16"/>
                <w:szCs w:val="16"/>
              </w:rPr>
              <w:t>видачі</w:t>
            </w:r>
            <w:proofErr w:type="spellEnd"/>
            <w:r w:rsidRPr="00E16672">
              <w:rPr>
                <w:rFonts w:ascii="Times New Roman" w:hAnsi="Times New Roman"/>
                <w:color w:val="000000"/>
                <w:sz w:val="16"/>
                <w:szCs w:val="16"/>
              </w:rPr>
              <w:t xml:space="preserve"> та орган, </w:t>
            </w:r>
            <w:proofErr w:type="spellStart"/>
            <w:r w:rsidRPr="00E16672">
              <w:rPr>
                <w:rFonts w:ascii="Times New Roman" w:hAnsi="Times New Roman"/>
                <w:color w:val="000000"/>
                <w:sz w:val="16"/>
                <w:szCs w:val="16"/>
              </w:rPr>
              <w:t>що</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його</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видав</w:t>
            </w:r>
            <w:proofErr w:type="spellEnd"/>
            <w:r w:rsidRPr="00E16672">
              <w:rPr>
                <w:rFonts w:ascii="Times New Roman" w:hAnsi="Times New Roman"/>
                <w:color w:val="000000"/>
                <w:sz w:val="16"/>
                <w:szCs w:val="16"/>
              </w:rPr>
              <w:t>;</w:t>
            </w:r>
          </w:p>
          <w:p w14:paraId="0FCF8FCC" w14:textId="77777777" w:rsidR="00E22279" w:rsidRPr="00E16672" w:rsidRDefault="00E22279" w:rsidP="004250A5">
            <w:pPr>
              <w:ind w:left="175" w:right="138" w:firstLine="0"/>
              <w:rPr>
                <w:rFonts w:ascii="Times New Roman" w:hAnsi="Times New Roman"/>
                <w:color w:val="000000"/>
                <w:sz w:val="16"/>
                <w:szCs w:val="16"/>
              </w:rPr>
            </w:pPr>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реквізити</w:t>
            </w:r>
            <w:proofErr w:type="spellEnd"/>
            <w:r w:rsidRPr="00E16672">
              <w:rPr>
                <w:rFonts w:ascii="Times New Roman" w:hAnsi="Times New Roman"/>
                <w:color w:val="000000"/>
                <w:sz w:val="16"/>
                <w:szCs w:val="16"/>
              </w:rPr>
              <w:t xml:space="preserve"> банку, в </w:t>
            </w:r>
            <w:proofErr w:type="spellStart"/>
            <w:r w:rsidRPr="00E16672">
              <w:rPr>
                <w:rFonts w:ascii="Times New Roman" w:hAnsi="Times New Roman"/>
                <w:color w:val="000000"/>
                <w:sz w:val="16"/>
                <w:szCs w:val="16"/>
              </w:rPr>
              <w:t>якому</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відкрито</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рахунок</w:t>
            </w:r>
            <w:proofErr w:type="spellEnd"/>
            <w:r w:rsidRPr="00E16672">
              <w:rPr>
                <w:rFonts w:ascii="Times New Roman" w:hAnsi="Times New Roman"/>
                <w:color w:val="000000"/>
                <w:sz w:val="16"/>
                <w:szCs w:val="16"/>
              </w:rPr>
              <w:t xml:space="preserve">, і номер </w:t>
            </w:r>
            <w:proofErr w:type="spellStart"/>
            <w:r w:rsidRPr="00E16672">
              <w:rPr>
                <w:rFonts w:ascii="Times New Roman" w:hAnsi="Times New Roman"/>
                <w:color w:val="000000"/>
                <w:sz w:val="16"/>
                <w:szCs w:val="16"/>
              </w:rPr>
              <w:t>банківського</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рахунку</w:t>
            </w:r>
            <w:proofErr w:type="spellEnd"/>
            <w:r w:rsidRPr="00E16672">
              <w:rPr>
                <w:rFonts w:ascii="Times New Roman" w:hAnsi="Times New Roman"/>
                <w:color w:val="000000"/>
                <w:sz w:val="16"/>
                <w:szCs w:val="16"/>
              </w:rPr>
              <w:t xml:space="preserve"> (за </w:t>
            </w:r>
            <w:proofErr w:type="spellStart"/>
            <w:r w:rsidRPr="00E16672">
              <w:rPr>
                <w:rFonts w:ascii="Times New Roman" w:hAnsi="Times New Roman"/>
                <w:color w:val="000000"/>
                <w:sz w:val="16"/>
                <w:szCs w:val="16"/>
              </w:rPr>
              <w:t>наявності</w:t>
            </w:r>
            <w:proofErr w:type="spellEnd"/>
            <w:r w:rsidRPr="00E16672">
              <w:rPr>
                <w:rFonts w:ascii="Times New Roman" w:hAnsi="Times New Roman"/>
                <w:color w:val="000000"/>
                <w:sz w:val="16"/>
                <w:szCs w:val="16"/>
              </w:rPr>
              <w:t>);</w:t>
            </w:r>
          </w:p>
          <w:p w14:paraId="28CC31FE" w14:textId="6D52AD67" w:rsidR="00E22279" w:rsidRPr="00E16672" w:rsidRDefault="00E22279" w:rsidP="004250A5">
            <w:pPr>
              <w:ind w:left="175" w:right="138" w:firstLine="0"/>
              <w:rPr>
                <w:rFonts w:ascii="Times New Roman" w:hAnsi="Times New Roman"/>
                <w:color w:val="000000"/>
                <w:sz w:val="16"/>
                <w:szCs w:val="16"/>
              </w:rPr>
            </w:pPr>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контактн</w:t>
            </w:r>
            <w:proofErr w:type="spellEnd"/>
            <w:r w:rsidR="00F87C5F">
              <w:rPr>
                <w:rFonts w:ascii="Times New Roman" w:hAnsi="Times New Roman"/>
                <w:color w:val="000000"/>
                <w:sz w:val="16"/>
                <w:szCs w:val="16"/>
                <w:lang w:val="uk-UA"/>
              </w:rPr>
              <w:t>и</w:t>
            </w:r>
            <w:r w:rsidRPr="00E16672">
              <w:rPr>
                <w:rFonts w:ascii="Times New Roman" w:hAnsi="Times New Roman"/>
                <w:color w:val="000000"/>
                <w:sz w:val="16"/>
                <w:szCs w:val="16"/>
              </w:rPr>
              <w:t>й телефон;</w:t>
            </w:r>
          </w:p>
          <w:p w14:paraId="3CA6AF8C" w14:textId="77777777" w:rsidR="00E22279" w:rsidRPr="00E16672" w:rsidRDefault="00E22279" w:rsidP="004250A5">
            <w:pPr>
              <w:snapToGrid w:val="0"/>
              <w:ind w:left="175" w:right="138" w:firstLine="0"/>
              <w:rPr>
                <w:rFonts w:ascii="Times New Roman" w:hAnsi="Times New Roman"/>
                <w:sz w:val="16"/>
                <w:szCs w:val="16"/>
              </w:rPr>
            </w:pPr>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інші</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персональні</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дані</w:t>
            </w:r>
            <w:proofErr w:type="spellEnd"/>
            <w:r w:rsidRPr="00E16672">
              <w:rPr>
                <w:rFonts w:ascii="Times New Roman" w:hAnsi="Times New Roman"/>
                <w:color w:val="000000"/>
                <w:sz w:val="16"/>
                <w:szCs w:val="16"/>
              </w:rPr>
              <w:t xml:space="preserve"> Депонента, </w:t>
            </w:r>
            <w:proofErr w:type="spellStart"/>
            <w:r w:rsidRPr="00E16672">
              <w:rPr>
                <w:rFonts w:ascii="Times New Roman" w:hAnsi="Times New Roman"/>
                <w:color w:val="000000"/>
                <w:sz w:val="16"/>
                <w:szCs w:val="16"/>
              </w:rPr>
              <w:t>якими</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володіє</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Депозитарна</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установа</w:t>
            </w:r>
            <w:proofErr w:type="spellEnd"/>
            <w:r w:rsidRPr="00E16672">
              <w:rPr>
                <w:rFonts w:ascii="Times New Roman" w:hAnsi="Times New Roman"/>
                <w:color w:val="000000"/>
                <w:sz w:val="16"/>
                <w:szCs w:val="16"/>
              </w:rPr>
              <w:t>.</w:t>
            </w:r>
          </w:p>
        </w:tc>
        <w:tc>
          <w:tcPr>
            <w:tcW w:w="5494" w:type="dxa"/>
            <w:gridSpan w:val="7"/>
            <w:shd w:val="clear" w:color="auto" w:fill="auto"/>
          </w:tcPr>
          <w:p w14:paraId="61A95244" w14:textId="77777777" w:rsidR="00E22279" w:rsidRPr="00E16672" w:rsidRDefault="00E22279" w:rsidP="004250A5">
            <w:pPr>
              <w:tabs>
                <w:tab w:val="left" w:pos="145"/>
              </w:tabs>
              <w:snapToGrid w:val="0"/>
              <w:ind w:left="145" w:right="100" w:firstLine="0"/>
              <w:jc w:val="left"/>
              <w:rPr>
                <w:rFonts w:ascii="Times New Roman" w:hAnsi="Times New Roman"/>
                <w:color w:val="000000"/>
                <w:sz w:val="16"/>
                <w:szCs w:val="16"/>
                <w:lang w:val="en-GB"/>
              </w:rPr>
            </w:pPr>
            <w:r w:rsidRPr="00E16672">
              <w:rPr>
                <w:rFonts w:ascii="Times New Roman" w:hAnsi="Times New Roman"/>
                <w:color w:val="000000"/>
                <w:sz w:val="16"/>
                <w:szCs w:val="16"/>
                <w:lang w:val="en-GB"/>
              </w:rPr>
              <w:t xml:space="preserve">10.3. For the purposes of processing the system of depository account </w:t>
            </w:r>
            <w:r w:rsidRPr="00E16672">
              <w:rPr>
                <w:rFonts w:ascii="Times New Roman" w:hAnsi="Times New Roman"/>
                <w:color w:val="000000"/>
                <w:sz w:val="16"/>
                <w:szCs w:val="16"/>
                <w:lang w:val="en-US"/>
              </w:rPr>
              <w:t xml:space="preserve">of </w:t>
            </w:r>
            <w:r w:rsidRPr="00E16672">
              <w:rPr>
                <w:rFonts w:ascii="Times New Roman" w:hAnsi="Times New Roman"/>
                <w:color w:val="000000"/>
                <w:sz w:val="16"/>
                <w:szCs w:val="16"/>
                <w:lang w:val="en-GB"/>
              </w:rPr>
              <w:t>Depository institution may include the following personal data:</w:t>
            </w:r>
          </w:p>
          <w:p w14:paraId="37C5F4B0" w14:textId="114E3937" w:rsidR="00E22279" w:rsidRPr="00E16672" w:rsidRDefault="00E22279" w:rsidP="004250A5">
            <w:pPr>
              <w:pStyle w:val="210"/>
              <w:tabs>
                <w:tab w:val="left" w:pos="574"/>
              </w:tabs>
              <w:snapToGrid w:val="0"/>
              <w:ind w:left="145" w:right="100" w:firstLine="429"/>
              <w:jc w:val="left"/>
              <w:rPr>
                <w:rFonts w:ascii="Times New Roman" w:hAnsi="Times New Roman"/>
                <w:sz w:val="16"/>
                <w:szCs w:val="16"/>
              </w:rPr>
            </w:pPr>
            <w:r w:rsidRPr="00E16672">
              <w:rPr>
                <w:rFonts w:ascii="Times New Roman" w:hAnsi="Times New Roman"/>
                <w:color w:val="000000"/>
                <w:sz w:val="16"/>
                <w:szCs w:val="16"/>
                <w:lang w:val="en-GB"/>
              </w:rPr>
              <w:br/>
              <w:t xml:space="preserve">- </w:t>
            </w:r>
            <w:r w:rsidRPr="00E16672">
              <w:rPr>
                <w:rFonts w:ascii="Times New Roman" w:hAnsi="Times New Roman"/>
                <w:bCs/>
                <w:sz w:val="16"/>
                <w:szCs w:val="16"/>
                <w:lang w:val="en-US"/>
              </w:rPr>
              <w:t>surname, name, patronymic</w:t>
            </w:r>
            <w:r w:rsidRPr="00E16672">
              <w:rPr>
                <w:rFonts w:ascii="Times New Roman" w:hAnsi="Times New Roman"/>
                <w:sz w:val="16"/>
                <w:szCs w:val="16"/>
                <w:lang w:val="en-US"/>
              </w:rPr>
              <w:t xml:space="preserve"> (if any)</w:t>
            </w:r>
            <w:r w:rsidRPr="00E16672">
              <w:rPr>
                <w:rFonts w:ascii="Times New Roman" w:hAnsi="Times New Roman"/>
                <w:sz w:val="16"/>
                <w:szCs w:val="16"/>
              </w:rPr>
              <w:t>;</w:t>
            </w:r>
            <w:r w:rsidRPr="00E16672">
              <w:rPr>
                <w:rFonts w:ascii="Times New Roman" w:hAnsi="Times New Roman"/>
                <w:color w:val="000000"/>
                <w:sz w:val="16"/>
                <w:szCs w:val="16"/>
                <w:lang w:val="en-GB"/>
              </w:rPr>
              <w:br/>
              <w:t>- date of birth;</w:t>
            </w:r>
            <w:r w:rsidRPr="00E16672">
              <w:rPr>
                <w:rFonts w:ascii="Times New Roman" w:hAnsi="Times New Roman"/>
                <w:color w:val="000000"/>
                <w:sz w:val="16"/>
                <w:szCs w:val="16"/>
                <w:lang w:val="en-GB"/>
              </w:rPr>
              <w:br/>
              <w:t>- place of residence (stay);</w:t>
            </w:r>
            <w:r w:rsidRPr="00E16672">
              <w:rPr>
                <w:rFonts w:ascii="Times New Roman" w:hAnsi="Times New Roman"/>
                <w:color w:val="000000"/>
                <w:sz w:val="16"/>
                <w:szCs w:val="16"/>
                <w:lang w:val="en-GB"/>
              </w:rPr>
              <w:br/>
              <w:t xml:space="preserve">- </w:t>
            </w:r>
            <w:r w:rsidR="00F87C5F" w:rsidRPr="00F87C5F">
              <w:rPr>
                <w:rFonts w:ascii="Times New Roman" w:hAnsi="Times New Roman"/>
                <w:color w:val="000000"/>
                <w:sz w:val="16"/>
                <w:szCs w:val="16"/>
                <w:lang w:val="en-GB"/>
              </w:rPr>
              <w:t>tax residency status</w:t>
            </w:r>
            <w:r w:rsidRPr="00E16672">
              <w:rPr>
                <w:rFonts w:ascii="Times New Roman" w:hAnsi="Times New Roman"/>
                <w:color w:val="000000"/>
                <w:sz w:val="16"/>
                <w:szCs w:val="16"/>
                <w:lang w:val="en-GB"/>
              </w:rPr>
              <w:t>;</w:t>
            </w:r>
            <w:r w:rsidRPr="00E16672">
              <w:rPr>
                <w:rFonts w:ascii="Times New Roman" w:hAnsi="Times New Roman"/>
                <w:color w:val="000000"/>
                <w:sz w:val="16"/>
                <w:szCs w:val="16"/>
                <w:lang w:val="en-GB"/>
              </w:rPr>
              <w:br/>
              <w:t xml:space="preserve">- </w:t>
            </w:r>
            <w:r w:rsidR="00CD06D2" w:rsidRPr="00E16672">
              <w:rPr>
                <w:rFonts w:ascii="Times New Roman" w:hAnsi="Times New Roman"/>
                <w:sz w:val="16"/>
                <w:szCs w:val="16"/>
                <w:lang w:val="en-US"/>
              </w:rPr>
              <w:t>r</w:t>
            </w:r>
            <w:proofErr w:type="spellStart"/>
            <w:r w:rsidR="00CD06D2" w:rsidRPr="00E16672">
              <w:rPr>
                <w:rFonts w:ascii="Times New Roman" w:hAnsi="Times New Roman"/>
                <w:sz w:val="16"/>
                <w:szCs w:val="16"/>
              </w:rPr>
              <w:t>egistration</w:t>
            </w:r>
            <w:proofErr w:type="spellEnd"/>
            <w:r w:rsidR="00CD06D2" w:rsidRPr="00E16672">
              <w:rPr>
                <w:rFonts w:ascii="Times New Roman" w:hAnsi="Times New Roman"/>
                <w:sz w:val="16"/>
                <w:szCs w:val="16"/>
              </w:rPr>
              <w:t xml:space="preserve"> </w:t>
            </w:r>
            <w:proofErr w:type="spellStart"/>
            <w:r w:rsidR="00CD06D2" w:rsidRPr="00E16672">
              <w:rPr>
                <w:rFonts w:ascii="Times New Roman" w:hAnsi="Times New Roman"/>
                <w:sz w:val="16"/>
                <w:szCs w:val="16"/>
              </w:rPr>
              <w:t>number</w:t>
            </w:r>
            <w:proofErr w:type="spellEnd"/>
            <w:r w:rsidR="00CD06D2" w:rsidRPr="00E16672">
              <w:rPr>
                <w:rFonts w:ascii="Times New Roman" w:hAnsi="Times New Roman"/>
                <w:sz w:val="16"/>
                <w:szCs w:val="16"/>
              </w:rPr>
              <w:t xml:space="preserve"> </w:t>
            </w:r>
            <w:proofErr w:type="spellStart"/>
            <w:r w:rsidR="00CD06D2" w:rsidRPr="00E16672">
              <w:rPr>
                <w:rFonts w:ascii="Times New Roman" w:hAnsi="Times New Roman"/>
                <w:sz w:val="16"/>
                <w:szCs w:val="16"/>
              </w:rPr>
              <w:t>of</w:t>
            </w:r>
            <w:proofErr w:type="spellEnd"/>
            <w:r w:rsidR="00CD06D2" w:rsidRPr="00E16672">
              <w:rPr>
                <w:rFonts w:ascii="Times New Roman" w:hAnsi="Times New Roman"/>
                <w:sz w:val="16"/>
                <w:szCs w:val="16"/>
              </w:rPr>
              <w:t xml:space="preserve"> </w:t>
            </w:r>
            <w:proofErr w:type="spellStart"/>
            <w:r w:rsidR="00CD06D2" w:rsidRPr="00E16672">
              <w:rPr>
                <w:rFonts w:ascii="Times New Roman" w:hAnsi="Times New Roman"/>
                <w:sz w:val="16"/>
                <w:szCs w:val="16"/>
              </w:rPr>
              <w:t>the</w:t>
            </w:r>
            <w:proofErr w:type="spellEnd"/>
            <w:r w:rsidR="00CD06D2" w:rsidRPr="00E16672">
              <w:rPr>
                <w:rFonts w:ascii="Times New Roman" w:hAnsi="Times New Roman"/>
                <w:sz w:val="16"/>
                <w:szCs w:val="16"/>
              </w:rPr>
              <w:t xml:space="preserve"> </w:t>
            </w:r>
            <w:proofErr w:type="spellStart"/>
            <w:r w:rsidR="00CD06D2" w:rsidRPr="00E16672">
              <w:rPr>
                <w:rFonts w:ascii="Times New Roman" w:hAnsi="Times New Roman"/>
                <w:sz w:val="16"/>
                <w:szCs w:val="16"/>
              </w:rPr>
              <w:t>taxpayer's</w:t>
            </w:r>
            <w:proofErr w:type="spellEnd"/>
            <w:r w:rsidR="00CD06D2" w:rsidRPr="00E16672">
              <w:rPr>
                <w:rFonts w:ascii="Times New Roman" w:hAnsi="Times New Roman"/>
                <w:sz w:val="16"/>
                <w:szCs w:val="16"/>
              </w:rPr>
              <w:t xml:space="preserve"> </w:t>
            </w:r>
            <w:proofErr w:type="spellStart"/>
            <w:r w:rsidR="00CD06D2" w:rsidRPr="00E16672">
              <w:rPr>
                <w:rFonts w:ascii="Times New Roman" w:hAnsi="Times New Roman"/>
                <w:sz w:val="16"/>
                <w:szCs w:val="16"/>
              </w:rPr>
              <w:t>account</w:t>
            </w:r>
            <w:proofErr w:type="spellEnd"/>
            <w:r w:rsidR="00CD06D2" w:rsidRPr="00E16672">
              <w:rPr>
                <w:rFonts w:ascii="Times New Roman" w:hAnsi="Times New Roman"/>
                <w:sz w:val="16"/>
                <w:szCs w:val="16"/>
              </w:rPr>
              <w:t xml:space="preserve"> </w:t>
            </w:r>
            <w:proofErr w:type="spellStart"/>
            <w:r w:rsidR="00CD06D2" w:rsidRPr="00E16672">
              <w:rPr>
                <w:rFonts w:ascii="Times New Roman" w:hAnsi="Times New Roman"/>
                <w:sz w:val="16"/>
                <w:szCs w:val="16"/>
              </w:rPr>
              <w:t>card</w:t>
            </w:r>
            <w:proofErr w:type="spellEnd"/>
            <w:r w:rsidR="00CD06D2" w:rsidRPr="00E16672">
              <w:rPr>
                <w:rFonts w:ascii="Times New Roman" w:hAnsi="Times New Roman"/>
                <w:sz w:val="16"/>
                <w:szCs w:val="16"/>
              </w:rPr>
              <w:t xml:space="preserve">, </w:t>
            </w:r>
            <w:proofErr w:type="spellStart"/>
            <w:r w:rsidR="00CD06D2" w:rsidRPr="00E16672">
              <w:rPr>
                <w:rFonts w:ascii="Times New Roman" w:hAnsi="Times New Roman"/>
                <w:sz w:val="16"/>
                <w:szCs w:val="16"/>
              </w:rPr>
              <w:t>number</w:t>
            </w:r>
            <w:proofErr w:type="spellEnd"/>
            <w:r w:rsidR="00CD06D2" w:rsidRPr="00E16672">
              <w:rPr>
                <w:rFonts w:ascii="Times New Roman" w:hAnsi="Times New Roman"/>
                <w:sz w:val="16"/>
                <w:szCs w:val="16"/>
              </w:rPr>
              <w:t xml:space="preserve"> (</w:t>
            </w:r>
            <w:proofErr w:type="spellStart"/>
            <w:r w:rsidR="00CD06D2" w:rsidRPr="00E16672">
              <w:rPr>
                <w:rFonts w:ascii="Times New Roman" w:hAnsi="Times New Roman"/>
                <w:sz w:val="16"/>
                <w:szCs w:val="16"/>
              </w:rPr>
              <w:t>and</w:t>
            </w:r>
            <w:proofErr w:type="spellEnd"/>
            <w:r w:rsidR="00CD06D2" w:rsidRPr="00E16672">
              <w:rPr>
                <w:rFonts w:ascii="Times New Roman" w:hAnsi="Times New Roman"/>
                <w:sz w:val="16"/>
                <w:szCs w:val="16"/>
              </w:rPr>
              <w:t xml:space="preserve"> </w:t>
            </w:r>
            <w:proofErr w:type="spellStart"/>
            <w:r w:rsidR="00CD06D2" w:rsidRPr="00E16672">
              <w:rPr>
                <w:rFonts w:ascii="Times New Roman" w:hAnsi="Times New Roman"/>
                <w:sz w:val="16"/>
                <w:szCs w:val="16"/>
              </w:rPr>
              <w:t>if</w:t>
            </w:r>
            <w:proofErr w:type="spellEnd"/>
            <w:r w:rsidR="00CD06D2" w:rsidRPr="00E16672">
              <w:rPr>
                <w:rFonts w:ascii="Times New Roman" w:hAnsi="Times New Roman"/>
                <w:sz w:val="16"/>
                <w:szCs w:val="16"/>
              </w:rPr>
              <w:t xml:space="preserve"> </w:t>
            </w:r>
            <w:proofErr w:type="spellStart"/>
            <w:r w:rsidR="00CD06D2" w:rsidRPr="00E16672">
              <w:rPr>
                <w:rFonts w:ascii="Times New Roman" w:hAnsi="Times New Roman"/>
                <w:sz w:val="16"/>
                <w:szCs w:val="16"/>
              </w:rPr>
              <w:t>available</w:t>
            </w:r>
            <w:proofErr w:type="spellEnd"/>
            <w:r w:rsidR="00CD06D2" w:rsidRPr="00E16672">
              <w:rPr>
                <w:rFonts w:ascii="Times New Roman" w:hAnsi="Times New Roman"/>
                <w:sz w:val="16"/>
                <w:szCs w:val="16"/>
              </w:rPr>
              <w:t xml:space="preserve"> - </w:t>
            </w:r>
            <w:proofErr w:type="spellStart"/>
            <w:r w:rsidR="00CD06D2" w:rsidRPr="00E16672">
              <w:rPr>
                <w:rFonts w:ascii="Times New Roman" w:hAnsi="Times New Roman"/>
                <w:sz w:val="16"/>
                <w:szCs w:val="16"/>
              </w:rPr>
              <w:t>series</w:t>
            </w:r>
            <w:proofErr w:type="spellEnd"/>
            <w:r w:rsidR="00CD06D2" w:rsidRPr="00E16672">
              <w:rPr>
                <w:rFonts w:ascii="Times New Roman" w:hAnsi="Times New Roman"/>
                <w:sz w:val="16"/>
                <w:szCs w:val="16"/>
              </w:rPr>
              <w:t xml:space="preserve">) </w:t>
            </w:r>
            <w:proofErr w:type="spellStart"/>
            <w:r w:rsidR="00CD06D2" w:rsidRPr="00E16672">
              <w:rPr>
                <w:rFonts w:ascii="Times New Roman" w:hAnsi="Times New Roman"/>
                <w:sz w:val="16"/>
                <w:szCs w:val="16"/>
              </w:rPr>
              <w:t>of</w:t>
            </w:r>
            <w:proofErr w:type="spellEnd"/>
            <w:r w:rsidR="00CD06D2" w:rsidRPr="00E16672">
              <w:rPr>
                <w:rFonts w:ascii="Times New Roman" w:hAnsi="Times New Roman"/>
                <w:sz w:val="16"/>
                <w:szCs w:val="16"/>
              </w:rPr>
              <w:t xml:space="preserve"> </w:t>
            </w:r>
            <w:proofErr w:type="spellStart"/>
            <w:r w:rsidR="00CD06D2" w:rsidRPr="00E16672">
              <w:rPr>
                <w:rFonts w:ascii="Times New Roman" w:hAnsi="Times New Roman"/>
                <w:sz w:val="16"/>
                <w:szCs w:val="16"/>
              </w:rPr>
              <w:t>the</w:t>
            </w:r>
            <w:proofErr w:type="spellEnd"/>
            <w:r w:rsidR="00CD06D2" w:rsidRPr="00E16672">
              <w:rPr>
                <w:rFonts w:ascii="Times New Roman" w:hAnsi="Times New Roman"/>
                <w:sz w:val="16"/>
                <w:szCs w:val="16"/>
              </w:rPr>
              <w:t xml:space="preserve"> </w:t>
            </w:r>
            <w:proofErr w:type="spellStart"/>
            <w:r w:rsidR="00CD06D2" w:rsidRPr="00E16672">
              <w:rPr>
                <w:rFonts w:ascii="Times New Roman" w:hAnsi="Times New Roman"/>
                <w:sz w:val="16"/>
                <w:szCs w:val="16"/>
              </w:rPr>
              <w:t>passport</w:t>
            </w:r>
            <w:proofErr w:type="spellEnd"/>
            <w:r w:rsidR="00CD06D2" w:rsidRPr="00E16672">
              <w:rPr>
                <w:rFonts w:ascii="Times New Roman" w:hAnsi="Times New Roman"/>
                <w:sz w:val="16"/>
                <w:szCs w:val="16"/>
              </w:rPr>
              <w:t xml:space="preserve"> </w:t>
            </w:r>
            <w:proofErr w:type="spellStart"/>
            <w:r w:rsidR="00CD06D2" w:rsidRPr="00E16672">
              <w:rPr>
                <w:rFonts w:ascii="Times New Roman" w:hAnsi="Times New Roman"/>
                <w:sz w:val="16"/>
                <w:szCs w:val="16"/>
              </w:rPr>
              <w:t>of</w:t>
            </w:r>
            <w:proofErr w:type="spellEnd"/>
            <w:r w:rsidR="00CD06D2" w:rsidRPr="00E16672">
              <w:rPr>
                <w:rFonts w:ascii="Times New Roman" w:hAnsi="Times New Roman"/>
                <w:sz w:val="16"/>
                <w:szCs w:val="16"/>
              </w:rPr>
              <w:t xml:space="preserve"> </w:t>
            </w:r>
            <w:proofErr w:type="spellStart"/>
            <w:r w:rsidR="00CD06D2" w:rsidRPr="00E16672">
              <w:rPr>
                <w:rFonts w:ascii="Times New Roman" w:hAnsi="Times New Roman"/>
                <w:sz w:val="16"/>
                <w:szCs w:val="16"/>
              </w:rPr>
              <w:t>the</w:t>
            </w:r>
            <w:proofErr w:type="spellEnd"/>
            <w:r w:rsidR="00CD06D2" w:rsidRPr="00E16672">
              <w:rPr>
                <w:rFonts w:ascii="Times New Roman" w:hAnsi="Times New Roman"/>
                <w:sz w:val="16"/>
                <w:szCs w:val="16"/>
              </w:rPr>
              <w:t xml:space="preserve"> </w:t>
            </w:r>
            <w:proofErr w:type="spellStart"/>
            <w:r w:rsidR="00CD06D2" w:rsidRPr="00E16672">
              <w:rPr>
                <w:rFonts w:ascii="Times New Roman" w:hAnsi="Times New Roman"/>
                <w:sz w:val="16"/>
                <w:szCs w:val="16"/>
              </w:rPr>
              <w:t>citizen</w:t>
            </w:r>
            <w:proofErr w:type="spellEnd"/>
            <w:r w:rsidR="00CD06D2" w:rsidRPr="00E16672">
              <w:rPr>
                <w:rFonts w:ascii="Times New Roman" w:hAnsi="Times New Roman"/>
                <w:sz w:val="16"/>
                <w:szCs w:val="16"/>
              </w:rPr>
              <w:t xml:space="preserve"> </w:t>
            </w:r>
            <w:proofErr w:type="spellStart"/>
            <w:r w:rsidR="00CD06D2" w:rsidRPr="00E16672">
              <w:rPr>
                <w:rFonts w:ascii="Times New Roman" w:hAnsi="Times New Roman"/>
                <w:sz w:val="16"/>
                <w:szCs w:val="16"/>
              </w:rPr>
              <w:t>of</w:t>
            </w:r>
            <w:proofErr w:type="spellEnd"/>
            <w:r w:rsidR="00CD06D2" w:rsidRPr="00E16672">
              <w:rPr>
                <w:rFonts w:ascii="Times New Roman" w:hAnsi="Times New Roman"/>
                <w:sz w:val="16"/>
                <w:szCs w:val="16"/>
              </w:rPr>
              <w:t xml:space="preserve"> </w:t>
            </w:r>
            <w:proofErr w:type="spellStart"/>
            <w:r w:rsidR="00CD06D2" w:rsidRPr="00E16672">
              <w:rPr>
                <w:rFonts w:ascii="Times New Roman" w:hAnsi="Times New Roman"/>
                <w:sz w:val="16"/>
                <w:szCs w:val="16"/>
              </w:rPr>
              <w:t>Ukraine</w:t>
            </w:r>
            <w:proofErr w:type="spellEnd"/>
            <w:r w:rsidR="00CD06D2" w:rsidRPr="00E16672">
              <w:rPr>
                <w:rFonts w:ascii="Times New Roman" w:hAnsi="Times New Roman"/>
                <w:sz w:val="16"/>
                <w:szCs w:val="16"/>
              </w:rPr>
              <w:t xml:space="preserve"> </w:t>
            </w:r>
            <w:proofErr w:type="spellStart"/>
            <w:r w:rsidR="00CD06D2" w:rsidRPr="00E16672">
              <w:rPr>
                <w:rFonts w:ascii="Times New Roman" w:hAnsi="Times New Roman"/>
                <w:sz w:val="16"/>
                <w:szCs w:val="16"/>
              </w:rPr>
              <w:t>in</w:t>
            </w:r>
            <w:proofErr w:type="spellEnd"/>
            <w:r w:rsidR="00CD06D2" w:rsidRPr="00E16672">
              <w:rPr>
                <w:rFonts w:ascii="Times New Roman" w:hAnsi="Times New Roman"/>
                <w:sz w:val="16"/>
                <w:szCs w:val="16"/>
              </w:rPr>
              <w:t xml:space="preserve"> </w:t>
            </w:r>
            <w:proofErr w:type="spellStart"/>
            <w:r w:rsidR="00CD06D2" w:rsidRPr="00E16672">
              <w:rPr>
                <w:rFonts w:ascii="Times New Roman" w:hAnsi="Times New Roman"/>
                <w:sz w:val="16"/>
                <w:szCs w:val="16"/>
              </w:rPr>
              <w:t>which</w:t>
            </w:r>
            <w:proofErr w:type="spellEnd"/>
            <w:r w:rsidR="00CD06D2" w:rsidRPr="00E16672">
              <w:rPr>
                <w:rFonts w:ascii="Times New Roman" w:hAnsi="Times New Roman"/>
                <w:sz w:val="16"/>
                <w:szCs w:val="16"/>
              </w:rPr>
              <w:t xml:space="preserve"> </w:t>
            </w:r>
            <w:proofErr w:type="spellStart"/>
            <w:r w:rsidR="00CD06D2" w:rsidRPr="00E16672">
              <w:rPr>
                <w:rFonts w:ascii="Times New Roman" w:hAnsi="Times New Roman"/>
                <w:sz w:val="16"/>
                <w:szCs w:val="16"/>
              </w:rPr>
              <w:t>the</w:t>
            </w:r>
            <w:proofErr w:type="spellEnd"/>
            <w:r w:rsidR="00CD06D2" w:rsidRPr="00E16672">
              <w:rPr>
                <w:rFonts w:ascii="Times New Roman" w:hAnsi="Times New Roman"/>
                <w:sz w:val="16"/>
                <w:szCs w:val="16"/>
              </w:rPr>
              <w:t xml:space="preserve"> </w:t>
            </w:r>
            <w:proofErr w:type="spellStart"/>
            <w:r w:rsidR="00CD06D2" w:rsidRPr="00E16672">
              <w:rPr>
                <w:rFonts w:ascii="Times New Roman" w:hAnsi="Times New Roman"/>
                <w:sz w:val="16"/>
                <w:szCs w:val="16"/>
              </w:rPr>
              <w:t>mark</w:t>
            </w:r>
            <w:proofErr w:type="spellEnd"/>
            <w:r w:rsidR="00CD06D2" w:rsidRPr="00E16672">
              <w:rPr>
                <w:rFonts w:ascii="Times New Roman" w:hAnsi="Times New Roman"/>
                <w:sz w:val="16"/>
                <w:szCs w:val="16"/>
              </w:rPr>
              <w:t xml:space="preserve"> </w:t>
            </w:r>
            <w:proofErr w:type="spellStart"/>
            <w:r w:rsidR="00CD06D2" w:rsidRPr="00E16672">
              <w:rPr>
                <w:rFonts w:ascii="Times New Roman" w:hAnsi="Times New Roman"/>
                <w:sz w:val="16"/>
                <w:szCs w:val="16"/>
              </w:rPr>
              <w:t>on</w:t>
            </w:r>
            <w:proofErr w:type="spellEnd"/>
            <w:r w:rsidR="00CD06D2" w:rsidRPr="00E16672">
              <w:rPr>
                <w:rFonts w:ascii="Times New Roman" w:hAnsi="Times New Roman"/>
                <w:sz w:val="16"/>
                <w:szCs w:val="16"/>
              </w:rPr>
              <w:t xml:space="preserve"> </w:t>
            </w:r>
            <w:proofErr w:type="spellStart"/>
            <w:r w:rsidR="00CD06D2" w:rsidRPr="00E16672">
              <w:rPr>
                <w:rFonts w:ascii="Times New Roman" w:hAnsi="Times New Roman"/>
                <w:sz w:val="16"/>
                <w:szCs w:val="16"/>
              </w:rPr>
              <w:t>refusal</w:t>
            </w:r>
            <w:proofErr w:type="spellEnd"/>
            <w:r w:rsidR="00CD06D2" w:rsidRPr="00E16672">
              <w:rPr>
                <w:rFonts w:ascii="Times New Roman" w:hAnsi="Times New Roman"/>
                <w:sz w:val="16"/>
                <w:szCs w:val="16"/>
              </w:rPr>
              <w:t xml:space="preserve"> </w:t>
            </w:r>
            <w:proofErr w:type="spellStart"/>
            <w:r w:rsidR="00CD06D2" w:rsidRPr="00E16672">
              <w:rPr>
                <w:rFonts w:ascii="Times New Roman" w:hAnsi="Times New Roman"/>
                <w:sz w:val="16"/>
                <w:szCs w:val="16"/>
              </w:rPr>
              <w:t>of</w:t>
            </w:r>
            <w:proofErr w:type="spellEnd"/>
            <w:r w:rsidR="00CD06D2" w:rsidRPr="00E16672">
              <w:rPr>
                <w:rFonts w:ascii="Times New Roman" w:hAnsi="Times New Roman"/>
                <w:sz w:val="16"/>
                <w:szCs w:val="16"/>
              </w:rPr>
              <w:t xml:space="preserve"> </w:t>
            </w:r>
            <w:proofErr w:type="spellStart"/>
            <w:r w:rsidR="00CD06D2" w:rsidRPr="00E16672">
              <w:rPr>
                <w:rFonts w:ascii="Times New Roman" w:hAnsi="Times New Roman"/>
                <w:sz w:val="16"/>
                <w:szCs w:val="16"/>
              </w:rPr>
              <w:t>acceptance</w:t>
            </w:r>
            <w:proofErr w:type="spellEnd"/>
            <w:r w:rsidR="00CD06D2" w:rsidRPr="00E16672">
              <w:rPr>
                <w:rFonts w:ascii="Times New Roman" w:hAnsi="Times New Roman"/>
                <w:sz w:val="16"/>
                <w:szCs w:val="16"/>
              </w:rPr>
              <w:t xml:space="preserve"> </w:t>
            </w:r>
            <w:proofErr w:type="spellStart"/>
            <w:r w:rsidR="00CD06D2" w:rsidRPr="00E16672">
              <w:rPr>
                <w:rFonts w:ascii="Times New Roman" w:hAnsi="Times New Roman"/>
                <w:sz w:val="16"/>
                <w:szCs w:val="16"/>
              </w:rPr>
              <w:t>of</w:t>
            </w:r>
            <w:proofErr w:type="spellEnd"/>
            <w:r w:rsidR="00CD06D2" w:rsidRPr="00E16672">
              <w:rPr>
                <w:rFonts w:ascii="Times New Roman" w:hAnsi="Times New Roman"/>
                <w:sz w:val="16"/>
                <w:szCs w:val="16"/>
              </w:rPr>
              <w:t xml:space="preserve"> </w:t>
            </w:r>
            <w:proofErr w:type="spellStart"/>
            <w:r w:rsidR="00CD06D2" w:rsidRPr="00E16672">
              <w:rPr>
                <w:rFonts w:ascii="Times New Roman" w:hAnsi="Times New Roman"/>
                <w:sz w:val="16"/>
                <w:szCs w:val="16"/>
              </w:rPr>
              <w:t>registration</w:t>
            </w:r>
            <w:proofErr w:type="spellEnd"/>
            <w:r w:rsidR="00CD06D2" w:rsidRPr="00E16672">
              <w:rPr>
                <w:rFonts w:ascii="Times New Roman" w:hAnsi="Times New Roman"/>
                <w:sz w:val="16"/>
                <w:szCs w:val="16"/>
              </w:rPr>
              <w:t xml:space="preserve"> </w:t>
            </w:r>
            <w:proofErr w:type="spellStart"/>
            <w:r w:rsidR="00CD06D2" w:rsidRPr="00E16672">
              <w:rPr>
                <w:rFonts w:ascii="Times New Roman" w:hAnsi="Times New Roman"/>
                <w:sz w:val="16"/>
                <w:szCs w:val="16"/>
              </w:rPr>
              <w:t>number</w:t>
            </w:r>
            <w:proofErr w:type="spellEnd"/>
            <w:r w:rsidR="00CD06D2" w:rsidRPr="00E16672">
              <w:rPr>
                <w:rFonts w:ascii="Times New Roman" w:hAnsi="Times New Roman"/>
                <w:sz w:val="16"/>
                <w:szCs w:val="16"/>
              </w:rPr>
              <w:t xml:space="preserve"> </w:t>
            </w:r>
            <w:proofErr w:type="spellStart"/>
            <w:r w:rsidR="00CD06D2" w:rsidRPr="00E16672">
              <w:rPr>
                <w:rFonts w:ascii="Times New Roman" w:hAnsi="Times New Roman"/>
                <w:sz w:val="16"/>
                <w:szCs w:val="16"/>
              </w:rPr>
              <w:t>of</w:t>
            </w:r>
            <w:proofErr w:type="spellEnd"/>
            <w:r w:rsidR="00CD06D2" w:rsidRPr="00E16672">
              <w:rPr>
                <w:rFonts w:ascii="Times New Roman" w:hAnsi="Times New Roman"/>
                <w:sz w:val="16"/>
                <w:szCs w:val="16"/>
              </w:rPr>
              <w:t xml:space="preserve"> </w:t>
            </w:r>
            <w:proofErr w:type="spellStart"/>
            <w:r w:rsidR="00CD06D2" w:rsidRPr="00E16672">
              <w:rPr>
                <w:rFonts w:ascii="Times New Roman" w:hAnsi="Times New Roman"/>
                <w:sz w:val="16"/>
                <w:szCs w:val="16"/>
              </w:rPr>
              <w:t>the</w:t>
            </w:r>
            <w:proofErr w:type="spellEnd"/>
            <w:r w:rsidR="00CD06D2" w:rsidRPr="00E16672">
              <w:rPr>
                <w:rFonts w:ascii="Times New Roman" w:hAnsi="Times New Roman"/>
                <w:sz w:val="16"/>
                <w:szCs w:val="16"/>
              </w:rPr>
              <w:t xml:space="preserve"> </w:t>
            </w:r>
            <w:proofErr w:type="spellStart"/>
            <w:r w:rsidR="00CD06D2" w:rsidRPr="00E16672">
              <w:rPr>
                <w:rFonts w:ascii="Times New Roman" w:hAnsi="Times New Roman"/>
                <w:sz w:val="16"/>
                <w:szCs w:val="16"/>
              </w:rPr>
              <w:t>account</w:t>
            </w:r>
            <w:proofErr w:type="spellEnd"/>
            <w:r w:rsidR="00CD06D2" w:rsidRPr="00E16672">
              <w:rPr>
                <w:rFonts w:ascii="Times New Roman" w:hAnsi="Times New Roman"/>
                <w:sz w:val="16"/>
                <w:szCs w:val="16"/>
              </w:rPr>
              <w:t xml:space="preserve"> </w:t>
            </w:r>
            <w:proofErr w:type="spellStart"/>
            <w:r w:rsidR="00CD06D2" w:rsidRPr="00E16672">
              <w:rPr>
                <w:rFonts w:ascii="Times New Roman" w:hAnsi="Times New Roman"/>
                <w:sz w:val="16"/>
                <w:szCs w:val="16"/>
              </w:rPr>
              <w:t>card</w:t>
            </w:r>
            <w:proofErr w:type="spellEnd"/>
            <w:r w:rsidR="00CD06D2" w:rsidRPr="00E16672">
              <w:rPr>
                <w:rFonts w:ascii="Times New Roman" w:hAnsi="Times New Roman"/>
                <w:sz w:val="16"/>
                <w:szCs w:val="16"/>
              </w:rPr>
              <w:t xml:space="preserve"> </w:t>
            </w:r>
            <w:proofErr w:type="spellStart"/>
            <w:r w:rsidR="00CD06D2" w:rsidRPr="00E16672">
              <w:rPr>
                <w:rFonts w:ascii="Times New Roman" w:hAnsi="Times New Roman"/>
                <w:sz w:val="16"/>
                <w:szCs w:val="16"/>
              </w:rPr>
              <w:t>of</w:t>
            </w:r>
            <w:proofErr w:type="spellEnd"/>
            <w:r w:rsidR="00CD06D2" w:rsidRPr="00E16672">
              <w:rPr>
                <w:rFonts w:ascii="Times New Roman" w:hAnsi="Times New Roman"/>
                <w:sz w:val="16"/>
                <w:szCs w:val="16"/>
              </w:rPr>
              <w:t xml:space="preserve"> </w:t>
            </w:r>
            <w:proofErr w:type="spellStart"/>
            <w:r w:rsidR="00CD06D2" w:rsidRPr="00E16672">
              <w:rPr>
                <w:rFonts w:ascii="Times New Roman" w:hAnsi="Times New Roman"/>
                <w:sz w:val="16"/>
                <w:szCs w:val="16"/>
              </w:rPr>
              <w:t>the</w:t>
            </w:r>
            <w:proofErr w:type="spellEnd"/>
            <w:r w:rsidR="00CD06D2" w:rsidRPr="00E16672">
              <w:rPr>
                <w:rFonts w:ascii="Times New Roman" w:hAnsi="Times New Roman"/>
                <w:sz w:val="16"/>
                <w:szCs w:val="16"/>
              </w:rPr>
              <w:t xml:space="preserve"> </w:t>
            </w:r>
            <w:proofErr w:type="spellStart"/>
            <w:r w:rsidR="00CD06D2" w:rsidRPr="00E16672">
              <w:rPr>
                <w:rFonts w:ascii="Times New Roman" w:hAnsi="Times New Roman"/>
                <w:sz w:val="16"/>
                <w:szCs w:val="16"/>
              </w:rPr>
              <w:t>taxpayer</w:t>
            </w:r>
            <w:proofErr w:type="spellEnd"/>
            <w:r w:rsidR="00CD06D2" w:rsidRPr="00E16672">
              <w:rPr>
                <w:rFonts w:ascii="Times New Roman" w:hAnsi="Times New Roman"/>
                <w:sz w:val="16"/>
                <w:szCs w:val="16"/>
              </w:rPr>
              <w:t xml:space="preserve"> </w:t>
            </w:r>
            <w:proofErr w:type="spellStart"/>
            <w:r w:rsidR="00CD06D2" w:rsidRPr="00E16672">
              <w:rPr>
                <w:rFonts w:ascii="Times New Roman" w:hAnsi="Times New Roman"/>
                <w:sz w:val="16"/>
                <w:szCs w:val="16"/>
              </w:rPr>
              <w:t>is</w:t>
            </w:r>
            <w:proofErr w:type="spellEnd"/>
            <w:r w:rsidR="00CD06D2" w:rsidRPr="00E16672">
              <w:rPr>
                <w:rFonts w:ascii="Times New Roman" w:hAnsi="Times New Roman"/>
                <w:sz w:val="16"/>
                <w:szCs w:val="16"/>
              </w:rPr>
              <w:t xml:space="preserve"> </w:t>
            </w:r>
            <w:proofErr w:type="spellStart"/>
            <w:r w:rsidR="00CD06D2" w:rsidRPr="00E16672">
              <w:rPr>
                <w:rFonts w:ascii="Times New Roman" w:hAnsi="Times New Roman"/>
                <w:sz w:val="16"/>
                <w:szCs w:val="16"/>
              </w:rPr>
              <w:t>put</w:t>
            </w:r>
            <w:proofErr w:type="spellEnd"/>
            <w:r w:rsidR="00CD06D2" w:rsidRPr="00E16672">
              <w:rPr>
                <w:rFonts w:ascii="Times New Roman" w:hAnsi="Times New Roman"/>
                <w:sz w:val="16"/>
                <w:szCs w:val="16"/>
              </w:rPr>
              <w:t xml:space="preserve">, </w:t>
            </w:r>
            <w:proofErr w:type="spellStart"/>
            <w:r w:rsidR="00CD06D2" w:rsidRPr="00E16672">
              <w:rPr>
                <w:rFonts w:ascii="Times New Roman" w:hAnsi="Times New Roman"/>
                <w:sz w:val="16"/>
                <w:szCs w:val="16"/>
              </w:rPr>
              <w:t>or</w:t>
            </w:r>
            <w:proofErr w:type="spellEnd"/>
            <w:r w:rsidR="00CD06D2" w:rsidRPr="00E16672">
              <w:rPr>
                <w:rFonts w:ascii="Times New Roman" w:hAnsi="Times New Roman"/>
                <w:sz w:val="16"/>
                <w:szCs w:val="16"/>
              </w:rPr>
              <w:t xml:space="preserve"> </w:t>
            </w:r>
            <w:proofErr w:type="spellStart"/>
            <w:r w:rsidR="00CD06D2" w:rsidRPr="00E16672">
              <w:rPr>
                <w:rFonts w:ascii="Times New Roman" w:hAnsi="Times New Roman"/>
                <w:sz w:val="16"/>
                <w:szCs w:val="16"/>
              </w:rPr>
              <w:t>passport</w:t>
            </w:r>
            <w:proofErr w:type="spellEnd"/>
            <w:r w:rsidR="00CD06D2" w:rsidRPr="00E16672">
              <w:rPr>
                <w:rFonts w:ascii="Times New Roman" w:hAnsi="Times New Roman"/>
                <w:sz w:val="16"/>
                <w:szCs w:val="16"/>
              </w:rPr>
              <w:t xml:space="preserve"> </w:t>
            </w:r>
            <w:proofErr w:type="spellStart"/>
            <w:r w:rsidR="00CD06D2" w:rsidRPr="00E16672">
              <w:rPr>
                <w:rFonts w:ascii="Times New Roman" w:hAnsi="Times New Roman"/>
                <w:sz w:val="16"/>
                <w:szCs w:val="16"/>
              </w:rPr>
              <w:t>number</w:t>
            </w:r>
            <w:proofErr w:type="spellEnd"/>
            <w:r w:rsidR="00CD06D2" w:rsidRPr="00E16672">
              <w:rPr>
                <w:rFonts w:ascii="Times New Roman" w:hAnsi="Times New Roman"/>
                <w:sz w:val="16"/>
                <w:szCs w:val="16"/>
              </w:rPr>
              <w:t xml:space="preserve"> </w:t>
            </w:r>
            <w:proofErr w:type="spellStart"/>
            <w:r w:rsidR="00CD06D2" w:rsidRPr="00E16672">
              <w:rPr>
                <w:rFonts w:ascii="Times New Roman" w:hAnsi="Times New Roman"/>
                <w:sz w:val="16"/>
                <w:szCs w:val="16"/>
              </w:rPr>
              <w:t>with</w:t>
            </w:r>
            <w:proofErr w:type="spellEnd"/>
            <w:r w:rsidR="00CD06D2" w:rsidRPr="00E16672">
              <w:rPr>
                <w:rFonts w:ascii="Times New Roman" w:hAnsi="Times New Roman"/>
                <w:sz w:val="16"/>
                <w:szCs w:val="16"/>
              </w:rPr>
              <w:t xml:space="preserve"> </w:t>
            </w:r>
            <w:proofErr w:type="spellStart"/>
            <w:r w:rsidR="00CD06D2" w:rsidRPr="00E16672">
              <w:rPr>
                <w:rFonts w:ascii="Times New Roman" w:hAnsi="Times New Roman"/>
                <w:sz w:val="16"/>
                <w:szCs w:val="16"/>
              </w:rPr>
              <w:t>record</w:t>
            </w:r>
            <w:proofErr w:type="spellEnd"/>
            <w:r w:rsidR="00CD06D2" w:rsidRPr="00E16672">
              <w:rPr>
                <w:rFonts w:ascii="Times New Roman" w:hAnsi="Times New Roman"/>
                <w:sz w:val="16"/>
                <w:szCs w:val="16"/>
              </w:rPr>
              <w:t xml:space="preserve"> </w:t>
            </w:r>
            <w:proofErr w:type="spellStart"/>
            <w:r w:rsidR="00CD06D2" w:rsidRPr="00E16672">
              <w:rPr>
                <w:rFonts w:ascii="Times New Roman" w:hAnsi="Times New Roman"/>
                <w:sz w:val="16"/>
                <w:szCs w:val="16"/>
              </w:rPr>
              <w:t>on</w:t>
            </w:r>
            <w:proofErr w:type="spellEnd"/>
            <w:r w:rsidR="00CD06D2" w:rsidRPr="00E16672">
              <w:rPr>
                <w:rFonts w:ascii="Times New Roman" w:hAnsi="Times New Roman"/>
                <w:sz w:val="16"/>
                <w:szCs w:val="16"/>
              </w:rPr>
              <w:t xml:space="preserve"> </w:t>
            </w:r>
            <w:proofErr w:type="spellStart"/>
            <w:r w:rsidR="00CD06D2" w:rsidRPr="00E16672">
              <w:rPr>
                <w:rFonts w:ascii="Times New Roman" w:hAnsi="Times New Roman"/>
                <w:sz w:val="16"/>
                <w:szCs w:val="16"/>
              </w:rPr>
              <w:t>refusal</w:t>
            </w:r>
            <w:proofErr w:type="spellEnd"/>
            <w:r w:rsidR="00CD06D2" w:rsidRPr="00E16672">
              <w:rPr>
                <w:rFonts w:ascii="Times New Roman" w:hAnsi="Times New Roman"/>
                <w:sz w:val="16"/>
                <w:szCs w:val="16"/>
              </w:rPr>
              <w:t xml:space="preserve"> </w:t>
            </w:r>
            <w:proofErr w:type="spellStart"/>
            <w:r w:rsidR="00CD06D2" w:rsidRPr="00E16672">
              <w:rPr>
                <w:rFonts w:ascii="Times New Roman" w:hAnsi="Times New Roman"/>
                <w:sz w:val="16"/>
                <w:szCs w:val="16"/>
              </w:rPr>
              <w:t>of</w:t>
            </w:r>
            <w:proofErr w:type="spellEnd"/>
            <w:r w:rsidR="00CD06D2" w:rsidRPr="00E16672">
              <w:rPr>
                <w:rFonts w:ascii="Times New Roman" w:hAnsi="Times New Roman"/>
                <w:sz w:val="16"/>
                <w:szCs w:val="16"/>
              </w:rPr>
              <w:t xml:space="preserve"> </w:t>
            </w:r>
            <w:proofErr w:type="spellStart"/>
            <w:r w:rsidR="00CD06D2" w:rsidRPr="00E16672">
              <w:rPr>
                <w:rFonts w:ascii="Times New Roman" w:hAnsi="Times New Roman"/>
                <w:sz w:val="16"/>
                <w:szCs w:val="16"/>
              </w:rPr>
              <w:t>acceptance</w:t>
            </w:r>
            <w:proofErr w:type="spellEnd"/>
            <w:r w:rsidR="00CD06D2" w:rsidRPr="00E16672">
              <w:rPr>
                <w:rFonts w:ascii="Times New Roman" w:hAnsi="Times New Roman"/>
                <w:sz w:val="16"/>
                <w:szCs w:val="16"/>
              </w:rPr>
              <w:t xml:space="preserve"> </w:t>
            </w:r>
            <w:proofErr w:type="spellStart"/>
            <w:r w:rsidR="00CD06D2" w:rsidRPr="00E16672">
              <w:rPr>
                <w:rFonts w:ascii="Times New Roman" w:hAnsi="Times New Roman"/>
                <w:sz w:val="16"/>
                <w:szCs w:val="16"/>
              </w:rPr>
              <w:t>of</w:t>
            </w:r>
            <w:proofErr w:type="spellEnd"/>
            <w:r w:rsidR="00CD06D2" w:rsidRPr="00E16672">
              <w:rPr>
                <w:rFonts w:ascii="Times New Roman" w:hAnsi="Times New Roman"/>
                <w:sz w:val="16"/>
                <w:szCs w:val="16"/>
              </w:rPr>
              <w:t xml:space="preserve"> </w:t>
            </w:r>
            <w:proofErr w:type="spellStart"/>
            <w:r w:rsidR="00CD06D2" w:rsidRPr="00E16672">
              <w:rPr>
                <w:rFonts w:ascii="Times New Roman" w:hAnsi="Times New Roman"/>
                <w:sz w:val="16"/>
                <w:szCs w:val="16"/>
              </w:rPr>
              <w:t>registration</w:t>
            </w:r>
            <w:proofErr w:type="spellEnd"/>
            <w:r w:rsidR="00CD06D2" w:rsidRPr="00E16672">
              <w:rPr>
                <w:rFonts w:ascii="Times New Roman" w:hAnsi="Times New Roman"/>
                <w:sz w:val="16"/>
                <w:szCs w:val="16"/>
              </w:rPr>
              <w:t xml:space="preserve"> </w:t>
            </w:r>
            <w:proofErr w:type="spellStart"/>
            <w:r w:rsidR="00CD06D2" w:rsidRPr="00E16672">
              <w:rPr>
                <w:rFonts w:ascii="Times New Roman" w:hAnsi="Times New Roman"/>
                <w:sz w:val="16"/>
                <w:szCs w:val="16"/>
              </w:rPr>
              <w:t>number</w:t>
            </w:r>
            <w:proofErr w:type="spellEnd"/>
            <w:r w:rsidR="00CD06D2" w:rsidRPr="00E16672">
              <w:rPr>
                <w:rFonts w:ascii="Times New Roman" w:hAnsi="Times New Roman"/>
                <w:sz w:val="16"/>
                <w:szCs w:val="16"/>
              </w:rPr>
              <w:t xml:space="preserve"> </w:t>
            </w:r>
            <w:proofErr w:type="spellStart"/>
            <w:r w:rsidR="00CD06D2" w:rsidRPr="00E16672">
              <w:rPr>
                <w:rFonts w:ascii="Times New Roman" w:hAnsi="Times New Roman"/>
                <w:sz w:val="16"/>
                <w:szCs w:val="16"/>
              </w:rPr>
              <w:t>of</w:t>
            </w:r>
            <w:proofErr w:type="spellEnd"/>
            <w:r w:rsidR="00CD06D2" w:rsidRPr="00E16672">
              <w:rPr>
                <w:rFonts w:ascii="Times New Roman" w:hAnsi="Times New Roman"/>
                <w:sz w:val="16"/>
                <w:szCs w:val="16"/>
              </w:rPr>
              <w:t xml:space="preserve"> </w:t>
            </w:r>
            <w:proofErr w:type="spellStart"/>
            <w:r w:rsidR="00CD06D2" w:rsidRPr="00E16672">
              <w:rPr>
                <w:rFonts w:ascii="Times New Roman" w:hAnsi="Times New Roman"/>
                <w:sz w:val="16"/>
                <w:szCs w:val="16"/>
              </w:rPr>
              <w:t>the</w:t>
            </w:r>
            <w:proofErr w:type="spellEnd"/>
            <w:r w:rsidR="00CD06D2" w:rsidRPr="00E16672">
              <w:rPr>
                <w:rFonts w:ascii="Times New Roman" w:hAnsi="Times New Roman"/>
                <w:sz w:val="16"/>
                <w:szCs w:val="16"/>
              </w:rPr>
              <w:t xml:space="preserve"> </w:t>
            </w:r>
            <w:proofErr w:type="spellStart"/>
            <w:r w:rsidR="00CD06D2" w:rsidRPr="00E16672">
              <w:rPr>
                <w:rFonts w:ascii="Times New Roman" w:hAnsi="Times New Roman"/>
                <w:sz w:val="16"/>
                <w:szCs w:val="16"/>
              </w:rPr>
              <w:t>taxpayer's</w:t>
            </w:r>
            <w:proofErr w:type="spellEnd"/>
            <w:r w:rsidR="00CD06D2" w:rsidRPr="00E16672">
              <w:rPr>
                <w:rFonts w:ascii="Times New Roman" w:hAnsi="Times New Roman"/>
                <w:sz w:val="16"/>
                <w:szCs w:val="16"/>
              </w:rPr>
              <w:t xml:space="preserve"> </w:t>
            </w:r>
            <w:proofErr w:type="spellStart"/>
            <w:r w:rsidR="00CD06D2" w:rsidRPr="00E16672">
              <w:rPr>
                <w:rFonts w:ascii="Times New Roman" w:hAnsi="Times New Roman"/>
                <w:sz w:val="16"/>
                <w:szCs w:val="16"/>
              </w:rPr>
              <w:t>account</w:t>
            </w:r>
            <w:proofErr w:type="spellEnd"/>
            <w:r w:rsidR="00CD06D2" w:rsidRPr="00E16672">
              <w:rPr>
                <w:rFonts w:ascii="Times New Roman" w:hAnsi="Times New Roman"/>
                <w:sz w:val="16"/>
                <w:szCs w:val="16"/>
              </w:rPr>
              <w:t xml:space="preserve"> </w:t>
            </w:r>
            <w:proofErr w:type="spellStart"/>
            <w:r w:rsidR="00CD06D2" w:rsidRPr="00E16672">
              <w:rPr>
                <w:rFonts w:ascii="Times New Roman" w:hAnsi="Times New Roman"/>
                <w:sz w:val="16"/>
                <w:szCs w:val="16"/>
              </w:rPr>
              <w:t>electronic</w:t>
            </w:r>
            <w:proofErr w:type="spellEnd"/>
            <w:r w:rsidR="00CD06D2" w:rsidRPr="00E16672">
              <w:rPr>
                <w:rFonts w:ascii="Times New Roman" w:hAnsi="Times New Roman"/>
                <w:sz w:val="16"/>
                <w:szCs w:val="16"/>
              </w:rPr>
              <w:t xml:space="preserve"> </w:t>
            </w:r>
            <w:proofErr w:type="spellStart"/>
            <w:r w:rsidR="00CD06D2" w:rsidRPr="00E16672">
              <w:rPr>
                <w:rFonts w:ascii="Times New Roman" w:hAnsi="Times New Roman"/>
                <w:sz w:val="16"/>
                <w:szCs w:val="16"/>
              </w:rPr>
              <w:t>contactless</w:t>
            </w:r>
            <w:proofErr w:type="spellEnd"/>
            <w:r w:rsidR="00CD06D2" w:rsidRPr="00E16672">
              <w:rPr>
                <w:rFonts w:ascii="Times New Roman" w:hAnsi="Times New Roman"/>
                <w:sz w:val="16"/>
                <w:szCs w:val="16"/>
              </w:rPr>
              <w:t xml:space="preserve"> </w:t>
            </w:r>
            <w:proofErr w:type="spellStart"/>
            <w:r w:rsidR="00CD06D2" w:rsidRPr="00E16672">
              <w:rPr>
                <w:rFonts w:ascii="Times New Roman" w:hAnsi="Times New Roman"/>
                <w:sz w:val="16"/>
                <w:szCs w:val="16"/>
              </w:rPr>
              <w:t>media</w:t>
            </w:r>
            <w:proofErr w:type="spellEnd"/>
            <w:r w:rsidR="00CD06D2" w:rsidRPr="00E16672">
              <w:rPr>
                <w:rFonts w:ascii="Times New Roman" w:hAnsi="Times New Roman"/>
                <w:sz w:val="16"/>
                <w:szCs w:val="16"/>
              </w:rPr>
              <w:t xml:space="preserve">, a </w:t>
            </w:r>
            <w:proofErr w:type="spellStart"/>
            <w:r w:rsidR="00CD06D2" w:rsidRPr="00E16672">
              <w:rPr>
                <w:rFonts w:ascii="Times New Roman" w:hAnsi="Times New Roman"/>
                <w:sz w:val="16"/>
                <w:szCs w:val="16"/>
              </w:rPr>
              <w:t>unique</w:t>
            </w:r>
            <w:proofErr w:type="spellEnd"/>
            <w:r w:rsidR="00CD06D2" w:rsidRPr="00E16672">
              <w:rPr>
                <w:rFonts w:ascii="Times New Roman" w:hAnsi="Times New Roman"/>
                <w:sz w:val="16"/>
                <w:szCs w:val="16"/>
              </w:rPr>
              <w:t xml:space="preserve"> </w:t>
            </w:r>
            <w:proofErr w:type="spellStart"/>
            <w:r w:rsidR="00CD06D2" w:rsidRPr="00E16672">
              <w:rPr>
                <w:rFonts w:ascii="Times New Roman" w:hAnsi="Times New Roman"/>
                <w:sz w:val="16"/>
                <w:szCs w:val="16"/>
              </w:rPr>
              <w:t>record</w:t>
            </w:r>
            <w:proofErr w:type="spellEnd"/>
            <w:r w:rsidR="00CD06D2" w:rsidRPr="00E16672">
              <w:rPr>
                <w:rFonts w:ascii="Times New Roman" w:hAnsi="Times New Roman"/>
                <w:sz w:val="16"/>
                <w:szCs w:val="16"/>
              </w:rPr>
              <w:t xml:space="preserve"> </w:t>
            </w:r>
            <w:proofErr w:type="spellStart"/>
            <w:r w:rsidR="00CD06D2" w:rsidRPr="00E16672">
              <w:rPr>
                <w:rFonts w:ascii="Times New Roman" w:hAnsi="Times New Roman"/>
                <w:sz w:val="16"/>
                <w:szCs w:val="16"/>
              </w:rPr>
              <w:t>number</w:t>
            </w:r>
            <w:proofErr w:type="spellEnd"/>
            <w:r w:rsidR="00CD06D2" w:rsidRPr="00E16672">
              <w:rPr>
                <w:rFonts w:ascii="Times New Roman" w:hAnsi="Times New Roman"/>
                <w:sz w:val="16"/>
                <w:szCs w:val="16"/>
              </w:rPr>
              <w:t xml:space="preserve"> </w:t>
            </w:r>
            <w:proofErr w:type="spellStart"/>
            <w:r w:rsidR="00CD06D2" w:rsidRPr="00E16672">
              <w:rPr>
                <w:rFonts w:ascii="Times New Roman" w:hAnsi="Times New Roman"/>
                <w:sz w:val="16"/>
                <w:szCs w:val="16"/>
              </w:rPr>
              <w:t>in</w:t>
            </w:r>
            <w:proofErr w:type="spellEnd"/>
            <w:r w:rsidR="00CD06D2" w:rsidRPr="00E16672">
              <w:rPr>
                <w:rFonts w:ascii="Times New Roman" w:hAnsi="Times New Roman"/>
                <w:sz w:val="16"/>
                <w:szCs w:val="16"/>
              </w:rPr>
              <w:t xml:space="preserve"> </w:t>
            </w:r>
            <w:proofErr w:type="spellStart"/>
            <w:r w:rsidR="00CD06D2" w:rsidRPr="00E16672">
              <w:rPr>
                <w:rFonts w:ascii="Times New Roman" w:hAnsi="Times New Roman"/>
                <w:sz w:val="16"/>
                <w:szCs w:val="16"/>
              </w:rPr>
              <w:t>the</w:t>
            </w:r>
            <w:proofErr w:type="spellEnd"/>
            <w:r w:rsidR="00CD06D2" w:rsidRPr="00E16672">
              <w:rPr>
                <w:rFonts w:ascii="Times New Roman" w:hAnsi="Times New Roman"/>
                <w:sz w:val="16"/>
                <w:szCs w:val="16"/>
              </w:rPr>
              <w:t xml:space="preserve"> </w:t>
            </w:r>
            <w:proofErr w:type="spellStart"/>
            <w:r w:rsidR="00CD06D2" w:rsidRPr="00E16672">
              <w:rPr>
                <w:rFonts w:ascii="Times New Roman" w:hAnsi="Times New Roman"/>
                <w:sz w:val="16"/>
                <w:szCs w:val="16"/>
              </w:rPr>
              <w:t>Unified</w:t>
            </w:r>
            <w:proofErr w:type="spellEnd"/>
            <w:r w:rsidR="00CD06D2" w:rsidRPr="00E16672">
              <w:rPr>
                <w:rFonts w:ascii="Times New Roman" w:hAnsi="Times New Roman"/>
                <w:sz w:val="16"/>
                <w:szCs w:val="16"/>
              </w:rPr>
              <w:t xml:space="preserve"> </w:t>
            </w:r>
            <w:proofErr w:type="spellStart"/>
            <w:r w:rsidR="00CD06D2" w:rsidRPr="00E16672">
              <w:rPr>
                <w:rFonts w:ascii="Times New Roman" w:hAnsi="Times New Roman"/>
                <w:sz w:val="16"/>
                <w:szCs w:val="16"/>
              </w:rPr>
              <w:t>State</w:t>
            </w:r>
            <w:proofErr w:type="spellEnd"/>
            <w:r w:rsidR="00CD06D2" w:rsidRPr="00E16672">
              <w:rPr>
                <w:rFonts w:ascii="Times New Roman" w:hAnsi="Times New Roman"/>
                <w:sz w:val="16"/>
                <w:szCs w:val="16"/>
              </w:rPr>
              <w:t xml:space="preserve"> </w:t>
            </w:r>
            <w:proofErr w:type="spellStart"/>
            <w:r w:rsidR="00CD06D2" w:rsidRPr="00E16672">
              <w:rPr>
                <w:rFonts w:ascii="Times New Roman" w:hAnsi="Times New Roman"/>
                <w:sz w:val="16"/>
                <w:szCs w:val="16"/>
              </w:rPr>
              <w:t>Demographic</w:t>
            </w:r>
            <w:proofErr w:type="spellEnd"/>
            <w:r w:rsidR="00CD06D2" w:rsidRPr="00E16672">
              <w:rPr>
                <w:rFonts w:ascii="Times New Roman" w:hAnsi="Times New Roman"/>
                <w:sz w:val="16"/>
                <w:szCs w:val="16"/>
              </w:rPr>
              <w:t xml:space="preserve"> </w:t>
            </w:r>
            <w:proofErr w:type="spellStart"/>
            <w:r w:rsidR="00CD06D2" w:rsidRPr="00E16672">
              <w:rPr>
                <w:rFonts w:ascii="Times New Roman" w:hAnsi="Times New Roman"/>
                <w:sz w:val="16"/>
                <w:szCs w:val="16"/>
              </w:rPr>
              <w:t>Register</w:t>
            </w:r>
            <w:proofErr w:type="spellEnd"/>
            <w:r w:rsidR="00CD06D2" w:rsidRPr="00E16672">
              <w:rPr>
                <w:rFonts w:ascii="Times New Roman" w:hAnsi="Times New Roman"/>
                <w:sz w:val="16"/>
                <w:szCs w:val="16"/>
              </w:rPr>
              <w:t xml:space="preserve"> (</w:t>
            </w:r>
            <w:proofErr w:type="spellStart"/>
            <w:r w:rsidR="00CD06D2" w:rsidRPr="00E16672">
              <w:rPr>
                <w:rFonts w:ascii="Times New Roman" w:hAnsi="Times New Roman"/>
                <w:sz w:val="16"/>
                <w:szCs w:val="16"/>
              </w:rPr>
              <w:t>if</w:t>
            </w:r>
            <w:proofErr w:type="spellEnd"/>
            <w:r w:rsidR="00CD06D2" w:rsidRPr="00E16672">
              <w:rPr>
                <w:rFonts w:ascii="Times New Roman" w:hAnsi="Times New Roman"/>
                <w:sz w:val="16"/>
                <w:szCs w:val="16"/>
              </w:rPr>
              <w:t xml:space="preserve"> </w:t>
            </w:r>
            <w:proofErr w:type="spellStart"/>
            <w:r w:rsidR="00CD06D2" w:rsidRPr="00E16672">
              <w:rPr>
                <w:rFonts w:ascii="Times New Roman" w:hAnsi="Times New Roman"/>
                <w:sz w:val="16"/>
                <w:szCs w:val="16"/>
              </w:rPr>
              <w:t>any</w:t>
            </w:r>
            <w:proofErr w:type="spellEnd"/>
            <w:r w:rsidR="00CD06D2" w:rsidRPr="00E16672">
              <w:rPr>
                <w:rFonts w:ascii="Times New Roman" w:hAnsi="Times New Roman"/>
                <w:sz w:val="16"/>
                <w:szCs w:val="16"/>
              </w:rPr>
              <w:t>)</w:t>
            </w:r>
            <w:r w:rsidRPr="00E16672">
              <w:rPr>
                <w:rFonts w:ascii="Times New Roman" w:hAnsi="Times New Roman"/>
                <w:color w:val="000000"/>
                <w:sz w:val="16"/>
                <w:szCs w:val="16"/>
                <w:lang w:val="en-GB"/>
              </w:rPr>
              <w:t>;</w:t>
            </w:r>
            <w:r w:rsidRPr="00E16672">
              <w:rPr>
                <w:rFonts w:ascii="Times New Roman" w:hAnsi="Times New Roman"/>
                <w:color w:val="000000"/>
                <w:sz w:val="16"/>
                <w:szCs w:val="16"/>
                <w:lang w:val="en-GB"/>
              </w:rPr>
              <w:br/>
              <w:t xml:space="preserve">- series and passport number (or other document identification), </w:t>
            </w:r>
            <w:r w:rsidRPr="00E16672">
              <w:rPr>
                <w:rFonts w:ascii="Times New Roman" w:hAnsi="Times New Roman"/>
                <w:sz w:val="16"/>
                <w:szCs w:val="16"/>
                <w:lang w:val="en-US"/>
              </w:rPr>
              <w:t>term of the valid (if any)</w:t>
            </w:r>
            <w:r w:rsidRPr="00E16672">
              <w:rPr>
                <w:rFonts w:ascii="Times New Roman" w:hAnsi="Times New Roman"/>
                <w:color w:val="000000"/>
                <w:sz w:val="16"/>
                <w:szCs w:val="16"/>
              </w:rPr>
              <w:t xml:space="preserve">, </w:t>
            </w:r>
            <w:r w:rsidRPr="00E16672">
              <w:rPr>
                <w:rFonts w:ascii="Times New Roman" w:hAnsi="Times New Roman"/>
                <w:color w:val="000000"/>
                <w:sz w:val="16"/>
                <w:szCs w:val="16"/>
                <w:lang w:val="en-GB"/>
              </w:rPr>
              <w:t>date of issue and the authority that issued it;</w:t>
            </w:r>
            <w:r w:rsidRPr="00E16672">
              <w:rPr>
                <w:rFonts w:ascii="Times New Roman" w:hAnsi="Times New Roman"/>
                <w:color w:val="000000"/>
                <w:sz w:val="16"/>
                <w:szCs w:val="16"/>
                <w:lang w:val="en-GB"/>
              </w:rPr>
              <w:br/>
              <w:t xml:space="preserve">- details of the bank where the account and bank account number (if </w:t>
            </w:r>
            <w:r w:rsidRPr="00E16672">
              <w:rPr>
                <w:rFonts w:ascii="Times New Roman" w:hAnsi="Times New Roman"/>
                <w:color w:val="000000"/>
                <w:sz w:val="16"/>
                <w:szCs w:val="16"/>
                <w:lang w:val="en-US"/>
              </w:rPr>
              <w:t>exist</w:t>
            </w:r>
            <w:r w:rsidRPr="00E16672">
              <w:rPr>
                <w:rFonts w:ascii="Times New Roman" w:hAnsi="Times New Roman"/>
                <w:color w:val="000000"/>
                <w:sz w:val="16"/>
                <w:szCs w:val="16"/>
                <w:lang w:val="en-GB"/>
              </w:rPr>
              <w:t>);</w:t>
            </w:r>
            <w:r w:rsidRPr="00E16672">
              <w:rPr>
                <w:rFonts w:ascii="Times New Roman" w:hAnsi="Times New Roman"/>
                <w:color w:val="000000"/>
                <w:sz w:val="16"/>
                <w:szCs w:val="16"/>
                <w:lang w:val="en-GB"/>
              </w:rPr>
              <w:br/>
              <w:t>- contact phone number;</w:t>
            </w:r>
            <w:r w:rsidRPr="00E16672">
              <w:rPr>
                <w:rFonts w:ascii="Times New Roman" w:hAnsi="Times New Roman"/>
                <w:color w:val="000000"/>
                <w:sz w:val="16"/>
                <w:szCs w:val="16"/>
                <w:lang w:val="en-GB"/>
              </w:rPr>
              <w:br/>
              <w:t>- other personal data</w:t>
            </w:r>
            <w:r w:rsidRPr="00E16672">
              <w:rPr>
                <w:rFonts w:ascii="Times New Roman" w:hAnsi="Times New Roman"/>
                <w:color w:val="000000"/>
                <w:sz w:val="16"/>
                <w:szCs w:val="16"/>
                <w:lang w:val="en-US"/>
              </w:rPr>
              <w:t xml:space="preserve"> of </w:t>
            </w:r>
            <w:r w:rsidRPr="00E16672">
              <w:rPr>
                <w:rFonts w:ascii="Times New Roman" w:hAnsi="Times New Roman"/>
                <w:color w:val="000000"/>
                <w:sz w:val="16"/>
                <w:szCs w:val="16"/>
                <w:lang w:val="en-GB"/>
              </w:rPr>
              <w:t xml:space="preserve"> Depositor owned by the Depository institution.</w:t>
            </w:r>
          </w:p>
        </w:tc>
      </w:tr>
      <w:tr w:rsidR="00E22279" w:rsidRPr="00F23413" w14:paraId="4B8649D2" w14:textId="77777777" w:rsidTr="00D77858">
        <w:tblPrEx>
          <w:tblCellMar>
            <w:left w:w="0" w:type="dxa"/>
            <w:right w:w="0" w:type="dxa"/>
          </w:tblCellMar>
        </w:tblPrEx>
        <w:trPr>
          <w:trHeight w:val="192"/>
        </w:trPr>
        <w:tc>
          <w:tcPr>
            <w:tcW w:w="5696" w:type="dxa"/>
            <w:gridSpan w:val="6"/>
            <w:shd w:val="clear" w:color="auto" w:fill="auto"/>
          </w:tcPr>
          <w:p w14:paraId="44C7801B" w14:textId="77777777" w:rsidR="00E22279" w:rsidRPr="00E16672" w:rsidRDefault="00E22279" w:rsidP="00E22279">
            <w:pPr>
              <w:snapToGrid w:val="0"/>
              <w:ind w:right="138" w:firstLine="0"/>
              <w:rPr>
                <w:rFonts w:ascii="Times New Roman" w:hAnsi="Times New Roman"/>
                <w:color w:val="000000"/>
                <w:sz w:val="16"/>
                <w:szCs w:val="16"/>
                <w:lang w:val="en-US"/>
              </w:rPr>
            </w:pPr>
          </w:p>
          <w:p w14:paraId="348A614E" w14:textId="77777777" w:rsidR="00E22279" w:rsidRPr="00E16672" w:rsidRDefault="00E22279" w:rsidP="00022F5F">
            <w:pPr>
              <w:snapToGrid w:val="0"/>
              <w:ind w:left="175" w:right="138" w:firstLine="0"/>
              <w:jc w:val="left"/>
              <w:rPr>
                <w:rFonts w:ascii="Times New Roman" w:hAnsi="Times New Roman"/>
                <w:color w:val="000000"/>
                <w:sz w:val="16"/>
                <w:szCs w:val="16"/>
              </w:rPr>
            </w:pPr>
            <w:r w:rsidRPr="00E16672">
              <w:rPr>
                <w:rFonts w:ascii="Times New Roman" w:hAnsi="Times New Roman"/>
                <w:color w:val="000000"/>
                <w:sz w:val="16"/>
                <w:szCs w:val="16"/>
              </w:rPr>
              <w:t xml:space="preserve">10.4. У </w:t>
            </w:r>
            <w:proofErr w:type="spellStart"/>
            <w:r w:rsidRPr="00E16672">
              <w:rPr>
                <w:rFonts w:ascii="Times New Roman" w:hAnsi="Times New Roman"/>
                <w:color w:val="000000"/>
                <w:sz w:val="16"/>
                <w:szCs w:val="16"/>
              </w:rPr>
              <w:t>зв’язку</w:t>
            </w:r>
            <w:proofErr w:type="spellEnd"/>
            <w:r w:rsidRPr="00E16672">
              <w:rPr>
                <w:rFonts w:ascii="Times New Roman" w:hAnsi="Times New Roman"/>
                <w:color w:val="000000"/>
                <w:sz w:val="16"/>
                <w:szCs w:val="16"/>
              </w:rPr>
              <w:t xml:space="preserve"> з </w:t>
            </w:r>
            <w:proofErr w:type="spellStart"/>
            <w:r w:rsidRPr="00E16672">
              <w:rPr>
                <w:rFonts w:ascii="Times New Roman" w:hAnsi="Times New Roman"/>
                <w:color w:val="000000"/>
                <w:sz w:val="16"/>
                <w:szCs w:val="16"/>
              </w:rPr>
              <w:t>внесенням</w:t>
            </w:r>
            <w:proofErr w:type="spellEnd"/>
            <w:r w:rsidRPr="00E16672">
              <w:rPr>
                <w:rFonts w:ascii="Times New Roman" w:hAnsi="Times New Roman"/>
                <w:color w:val="000000"/>
                <w:sz w:val="16"/>
                <w:szCs w:val="16"/>
              </w:rPr>
              <w:t xml:space="preserve"> до </w:t>
            </w:r>
            <w:proofErr w:type="spellStart"/>
            <w:r w:rsidRPr="00E16672">
              <w:rPr>
                <w:rFonts w:ascii="Times New Roman" w:hAnsi="Times New Roman"/>
                <w:color w:val="000000"/>
                <w:sz w:val="16"/>
                <w:szCs w:val="16"/>
              </w:rPr>
              <w:t>системи</w:t>
            </w:r>
            <w:proofErr w:type="spellEnd"/>
            <w:r w:rsidRPr="00E16672">
              <w:rPr>
                <w:rFonts w:ascii="Times New Roman" w:hAnsi="Times New Roman"/>
                <w:color w:val="000000"/>
                <w:sz w:val="16"/>
                <w:szCs w:val="16"/>
              </w:rPr>
              <w:t xml:space="preserve"> депозитарного </w:t>
            </w:r>
            <w:proofErr w:type="spellStart"/>
            <w:r w:rsidRPr="00E16672">
              <w:rPr>
                <w:rFonts w:ascii="Times New Roman" w:hAnsi="Times New Roman"/>
                <w:color w:val="000000"/>
                <w:sz w:val="16"/>
                <w:szCs w:val="16"/>
              </w:rPr>
              <w:t>обліку</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персональних</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даних</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відповідно</w:t>
            </w:r>
            <w:proofErr w:type="spellEnd"/>
            <w:r w:rsidRPr="00E16672">
              <w:rPr>
                <w:rFonts w:ascii="Times New Roman" w:hAnsi="Times New Roman"/>
                <w:color w:val="000000"/>
                <w:sz w:val="16"/>
                <w:szCs w:val="16"/>
              </w:rPr>
              <w:t xml:space="preserve"> до </w:t>
            </w:r>
            <w:proofErr w:type="spellStart"/>
            <w:r w:rsidRPr="00E16672">
              <w:rPr>
                <w:rFonts w:ascii="Times New Roman" w:hAnsi="Times New Roman"/>
                <w:color w:val="000000"/>
                <w:sz w:val="16"/>
                <w:szCs w:val="16"/>
              </w:rPr>
              <w:t>статті</w:t>
            </w:r>
            <w:proofErr w:type="spellEnd"/>
            <w:r w:rsidRPr="00E16672">
              <w:rPr>
                <w:rFonts w:ascii="Times New Roman" w:hAnsi="Times New Roman"/>
                <w:color w:val="000000"/>
                <w:sz w:val="16"/>
                <w:szCs w:val="16"/>
              </w:rPr>
              <w:t xml:space="preserve"> 8 Закону </w:t>
            </w:r>
            <w:proofErr w:type="spellStart"/>
            <w:r w:rsidRPr="00E16672">
              <w:rPr>
                <w:rFonts w:ascii="Times New Roman" w:hAnsi="Times New Roman"/>
                <w:color w:val="000000"/>
                <w:sz w:val="16"/>
                <w:szCs w:val="16"/>
              </w:rPr>
              <w:t>України</w:t>
            </w:r>
            <w:proofErr w:type="spellEnd"/>
            <w:r w:rsidRPr="00E16672">
              <w:rPr>
                <w:rFonts w:ascii="Times New Roman" w:hAnsi="Times New Roman"/>
                <w:color w:val="000000"/>
                <w:sz w:val="16"/>
                <w:szCs w:val="16"/>
              </w:rPr>
              <w:t xml:space="preserve"> </w:t>
            </w:r>
            <w:r w:rsidR="00022F5F">
              <w:rPr>
                <w:rFonts w:ascii="Times New Roman" w:hAnsi="Times New Roman"/>
                <w:color w:val="000000"/>
                <w:sz w:val="16"/>
                <w:szCs w:val="16"/>
              </w:rPr>
              <w:t>"</w:t>
            </w:r>
            <w:r w:rsidRPr="00E16672">
              <w:rPr>
                <w:rFonts w:ascii="Times New Roman" w:hAnsi="Times New Roman"/>
                <w:color w:val="000000"/>
                <w:sz w:val="16"/>
                <w:szCs w:val="16"/>
              </w:rPr>
              <w:t xml:space="preserve">Про </w:t>
            </w:r>
            <w:proofErr w:type="spellStart"/>
            <w:r w:rsidRPr="00E16672">
              <w:rPr>
                <w:rFonts w:ascii="Times New Roman" w:hAnsi="Times New Roman"/>
                <w:color w:val="000000"/>
                <w:sz w:val="16"/>
                <w:szCs w:val="16"/>
              </w:rPr>
              <w:t>захист</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персональних</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даних</w:t>
            </w:r>
            <w:proofErr w:type="spellEnd"/>
            <w:r w:rsidR="00022F5F">
              <w:rPr>
                <w:rFonts w:ascii="Times New Roman" w:hAnsi="Times New Roman"/>
                <w:color w:val="000000"/>
                <w:sz w:val="16"/>
                <w:szCs w:val="16"/>
              </w:rPr>
              <w:t>"</w:t>
            </w:r>
            <w:r w:rsidRPr="00E16672">
              <w:rPr>
                <w:rFonts w:ascii="Times New Roman" w:hAnsi="Times New Roman"/>
                <w:color w:val="000000"/>
                <w:sz w:val="16"/>
                <w:szCs w:val="16"/>
              </w:rPr>
              <w:t xml:space="preserve"> Депонент </w:t>
            </w:r>
            <w:proofErr w:type="spellStart"/>
            <w:r w:rsidRPr="00E16672">
              <w:rPr>
                <w:rFonts w:ascii="Times New Roman" w:hAnsi="Times New Roman"/>
                <w:color w:val="000000"/>
                <w:sz w:val="16"/>
                <w:szCs w:val="16"/>
              </w:rPr>
              <w:t>має</w:t>
            </w:r>
            <w:proofErr w:type="spellEnd"/>
            <w:r w:rsidRPr="00E16672">
              <w:rPr>
                <w:rFonts w:ascii="Times New Roman" w:hAnsi="Times New Roman"/>
                <w:color w:val="000000"/>
                <w:sz w:val="16"/>
                <w:szCs w:val="16"/>
              </w:rPr>
              <w:t xml:space="preserve"> право: </w:t>
            </w:r>
          </w:p>
          <w:p w14:paraId="3BC3AA7A" w14:textId="77777777" w:rsidR="00E22279" w:rsidRPr="00E16672" w:rsidRDefault="00E22279" w:rsidP="00E22279">
            <w:pPr>
              <w:snapToGrid w:val="0"/>
              <w:ind w:left="175" w:right="138" w:firstLine="0"/>
              <w:rPr>
                <w:rFonts w:ascii="Times New Roman" w:hAnsi="Times New Roman"/>
                <w:sz w:val="16"/>
                <w:szCs w:val="16"/>
              </w:rPr>
            </w:pPr>
          </w:p>
        </w:tc>
        <w:tc>
          <w:tcPr>
            <w:tcW w:w="5494" w:type="dxa"/>
            <w:gridSpan w:val="7"/>
            <w:shd w:val="clear" w:color="auto" w:fill="auto"/>
          </w:tcPr>
          <w:p w14:paraId="5C6FEC8D" w14:textId="77777777" w:rsidR="00E22279" w:rsidRPr="00E16672" w:rsidRDefault="00E22279" w:rsidP="00E22279">
            <w:pPr>
              <w:tabs>
                <w:tab w:val="left" w:pos="145"/>
              </w:tabs>
              <w:snapToGrid w:val="0"/>
              <w:ind w:left="145" w:right="100"/>
              <w:rPr>
                <w:rFonts w:ascii="Times New Roman" w:hAnsi="Times New Roman"/>
                <w:color w:val="000000"/>
                <w:sz w:val="16"/>
                <w:szCs w:val="16"/>
              </w:rPr>
            </w:pPr>
          </w:p>
          <w:p w14:paraId="4CD2BC15" w14:textId="77777777" w:rsidR="00E22279" w:rsidRPr="00E16672" w:rsidRDefault="00E22279" w:rsidP="00E22279">
            <w:pPr>
              <w:pStyle w:val="210"/>
              <w:tabs>
                <w:tab w:val="left" w:pos="287"/>
              </w:tabs>
              <w:snapToGrid w:val="0"/>
              <w:ind w:left="145" w:right="100" w:firstLine="0"/>
              <w:rPr>
                <w:rFonts w:ascii="Times New Roman" w:hAnsi="Times New Roman"/>
                <w:sz w:val="16"/>
                <w:szCs w:val="16"/>
              </w:rPr>
            </w:pPr>
            <w:r w:rsidRPr="00E16672">
              <w:rPr>
                <w:rFonts w:ascii="Times New Roman" w:hAnsi="Times New Roman"/>
                <w:color w:val="000000"/>
                <w:sz w:val="16"/>
                <w:szCs w:val="16"/>
                <w:lang w:val="en-GB"/>
              </w:rPr>
              <w:t>10.4. In connection with the submission to the depository account of personal data in accordance with Article 8 of the Law of Ukraine "On protection of personal data" Depositor has the right:</w:t>
            </w:r>
          </w:p>
        </w:tc>
      </w:tr>
      <w:tr w:rsidR="00E22279" w:rsidRPr="00F23413" w14:paraId="461B908F" w14:textId="77777777" w:rsidTr="00D77858">
        <w:tblPrEx>
          <w:tblCellMar>
            <w:left w:w="0" w:type="dxa"/>
            <w:right w:w="0" w:type="dxa"/>
          </w:tblCellMar>
        </w:tblPrEx>
        <w:trPr>
          <w:trHeight w:val="192"/>
        </w:trPr>
        <w:tc>
          <w:tcPr>
            <w:tcW w:w="5696" w:type="dxa"/>
            <w:gridSpan w:val="6"/>
            <w:shd w:val="clear" w:color="auto" w:fill="auto"/>
          </w:tcPr>
          <w:p w14:paraId="79CACF1C" w14:textId="77777777" w:rsidR="00E22279" w:rsidRPr="00E16672" w:rsidRDefault="00E22279" w:rsidP="00E22279">
            <w:pPr>
              <w:snapToGrid w:val="0"/>
              <w:ind w:left="175" w:right="138" w:firstLine="0"/>
              <w:rPr>
                <w:rFonts w:ascii="Times New Roman" w:hAnsi="Times New Roman"/>
                <w:sz w:val="16"/>
                <w:szCs w:val="16"/>
                <w:lang w:val="en-US"/>
              </w:rPr>
            </w:pPr>
            <w:r w:rsidRPr="00E16672">
              <w:rPr>
                <w:rFonts w:ascii="Times New Roman" w:hAnsi="Times New Roman"/>
                <w:color w:val="000000"/>
                <w:sz w:val="16"/>
                <w:szCs w:val="16"/>
                <w:lang w:val="uk-UA"/>
              </w:rPr>
              <w:t xml:space="preserve">1) знати про джерела збирання, місцезнаходження своїх персональних даних, мету їх обробки, місцезнаходження та/або місце проживання (перебування) володільця чи розпорядника персональних даних або дати відповідне доручення щодо отримання цієї інформації уповноваженим ним особам, крім випадків, встановлених законом; </w:t>
            </w:r>
          </w:p>
        </w:tc>
        <w:tc>
          <w:tcPr>
            <w:tcW w:w="5494" w:type="dxa"/>
            <w:gridSpan w:val="7"/>
            <w:shd w:val="clear" w:color="auto" w:fill="auto"/>
          </w:tcPr>
          <w:p w14:paraId="74784C7F" w14:textId="77777777" w:rsidR="00E22279" w:rsidRPr="00E16672" w:rsidRDefault="00E22279" w:rsidP="00E22279">
            <w:pPr>
              <w:pStyle w:val="210"/>
              <w:tabs>
                <w:tab w:val="left" w:pos="287"/>
              </w:tabs>
              <w:snapToGrid w:val="0"/>
              <w:ind w:left="145" w:right="100" w:firstLine="0"/>
              <w:rPr>
                <w:rFonts w:ascii="Times New Roman" w:hAnsi="Times New Roman"/>
                <w:sz w:val="16"/>
                <w:szCs w:val="16"/>
              </w:rPr>
            </w:pPr>
            <w:r w:rsidRPr="00E16672">
              <w:rPr>
                <w:rFonts w:ascii="Times New Roman" w:hAnsi="Times New Roman"/>
                <w:color w:val="000000"/>
                <w:sz w:val="16"/>
                <w:szCs w:val="16"/>
                <w:lang w:val="en-GB"/>
              </w:rPr>
              <w:t>1) to know about sources collection, the location of their personal data, the purpose of processing, location or place of residence (stay) or the holder manager personal data or give the appropriate instructions to receive this information, authorized persons, except as prescribed by law;</w:t>
            </w:r>
          </w:p>
        </w:tc>
      </w:tr>
      <w:tr w:rsidR="00E22279" w:rsidRPr="00F23413" w14:paraId="07D2B184" w14:textId="77777777" w:rsidTr="00D77858">
        <w:tblPrEx>
          <w:tblCellMar>
            <w:left w:w="0" w:type="dxa"/>
            <w:right w:w="0" w:type="dxa"/>
          </w:tblCellMar>
        </w:tblPrEx>
        <w:trPr>
          <w:trHeight w:val="192"/>
        </w:trPr>
        <w:tc>
          <w:tcPr>
            <w:tcW w:w="5696" w:type="dxa"/>
            <w:gridSpan w:val="6"/>
            <w:shd w:val="clear" w:color="auto" w:fill="auto"/>
          </w:tcPr>
          <w:p w14:paraId="2A85917F" w14:textId="77777777" w:rsidR="00E22279" w:rsidRPr="00E16672" w:rsidRDefault="00E22279" w:rsidP="00E22279">
            <w:pPr>
              <w:snapToGrid w:val="0"/>
              <w:spacing w:before="57" w:after="57"/>
              <w:ind w:left="175" w:right="138" w:firstLine="0"/>
              <w:rPr>
                <w:rFonts w:ascii="Times New Roman" w:hAnsi="Times New Roman"/>
                <w:color w:val="000000"/>
                <w:sz w:val="16"/>
                <w:szCs w:val="16"/>
                <w:lang w:val="uk-UA"/>
              </w:rPr>
            </w:pPr>
            <w:r w:rsidRPr="00E16672">
              <w:rPr>
                <w:rFonts w:ascii="Times New Roman" w:hAnsi="Times New Roman"/>
                <w:color w:val="000000"/>
                <w:sz w:val="16"/>
                <w:szCs w:val="16"/>
                <w:lang w:val="uk-UA"/>
              </w:rPr>
              <w:t xml:space="preserve">2) отримувати інформацію про умови надання доступу до персональних даних, зокрема інформацію про третіх осіб, яким передаються його персональні дані; </w:t>
            </w:r>
          </w:p>
          <w:p w14:paraId="612B7CEB" w14:textId="77777777" w:rsidR="00E22279" w:rsidRPr="00E16672" w:rsidRDefault="00E22279" w:rsidP="00E22279">
            <w:pPr>
              <w:snapToGrid w:val="0"/>
              <w:ind w:left="175" w:right="138" w:firstLine="0"/>
              <w:rPr>
                <w:rFonts w:ascii="Times New Roman" w:hAnsi="Times New Roman"/>
                <w:sz w:val="16"/>
                <w:szCs w:val="16"/>
              </w:rPr>
            </w:pPr>
          </w:p>
        </w:tc>
        <w:tc>
          <w:tcPr>
            <w:tcW w:w="5494" w:type="dxa"/>
            <w:gridSpan w:val="7"/>
            <w:shd w:val="clear" w:color="auto" w:fill="auto"/>
          </w:tcPr>
          <w:p w14:paraId="5C641DA9" w14:textId="77777777" w:rsidR="00E22279" w:rsidRPr="00E16672" w:rsidRDefault="00E22279" w:rsidP="00E22279">
            <w:pPr>
              <w:pStyle w:val="210"/>
              <w:tabs>
                <w:tab w:val="left" w:pos="287"/>
              </w:tabs>
              <w:snapToGrid w:val="0"/>
              <w:ind w:left="145" w:right="100" w:firstLine="0"/>
              <w:rPr>
                <w:rFonts w:ascii="Times New Roman" w:hAnsi="Times New Roman"/>
                <w:sz w:val="16"/>
                <w:szCs w:val="16"/>
              </w:rPr>
            </w:pPr>
            <w:r w:rsidRPr="00E16672">
              <w:rPr>
                <w:rFonts w:ascii="Times New Roman" w:hAnsi="Times New Roman"/>
                <w:color w:val="000000"/>
                <w:sz w:val="16"/>
                <w:szCs w:val="16"/>
                <w:lang w:val="en-GB"/>
              </w:rPr>
              <w:t>2) to obtain the information about providing access to personal data, including information about third parties which are transmitted to personal data;</w:t>
            </w:r>
          </w:p>
        </w:tc>
      </w:tr>
      <w:tr w:rsidR="00E22279" w:rsidRPr="00F23413" w14:paraId="2E983970" w14:textId="77777777" w:rsidTr="00D77858">
        <w:tblPrEx>
          <w:tblCellMar>
            <w:left w:w="0" w:type="dxa"/>
            <w:right w:w="0" w:type="dxa"/>
          </w:tblCellMar>
        </w:tblPrEx>
        <w:trPr>
          <w:trHeight w:val="192"/>
        </w:trPr>
        <w:tc>
          <w:tcPr>
            <w:tcW w:w="5696" w:type="dxa"/>
            <w:gridSpan w:val="6"/>
            <w:shd w:val="clear" w:color="auto" w:fill="auto"/>
          </w:tcPr>
          <w:p w14:paraId="38F0D59E" w14:textId="77777777" w:rsidR="00E22279" w:rsidRPr="00E16672" w:rsidRDefault="00E22279" w:rsidP="00E22279">
            <w:pPr>
              <w:snapToGrid w:val="0"/>
              <w:ind w:left="175" w:right="138" w:firstLine="0"/>
              <w:rPr>
                <w:rFonts w:ascii="Times New Roman" w:hAnsi="Times New Roman"/>
                <w:color w:val="000000"/>
                <w:sz w:val="16"/>
                <w:szCs w:val="16"/>
                <w:lang w:val="uk-UA"/>
              </w:rPr>
            </w:pPr>
            <w:r w:rsidRPr="00E16672">
              <w:rPr>
                <w:rFonts w:ascii="Times New Roman" w:hAnsi="Times New Roman"/>
                <w:color w:val="000000"/>
                <w:sz w:val="16"/>
                <w:szCs w:val="16"/>
              </w:rPr>
              <w:t xml:space="preserve">3) </w:t>
            </w:r>
            <w:r w:rsidRPr="00E16672">
              <w:rPr>
                <w:rFonts w:ascii="Times New Roman" w:hAnsi="Times New Roman"/>
                <w:color w:val="000000"/>
                <w:sz w:val="16"/>
                <w:szCs w:val="16"/>
                <w:lang w:val="uk-UA"/>
              </w:rPr>
              <w:t>на доступ до своїх персональних даних</w:t>
            </w:r>
            <w:r w:rsidRPr="00E16672">
              <w:rPr>
                <w:rFonts w:ascii="Times New Roman" w:hAnsi="Times New Roman"/>
                <w:color w:val="000000"/>
                <w:sz w:val="16"/>
                <w:szCs w:val="16"/>
              </w:rPr>
              <w:t xml:space="preserve">; </w:t>
            </w:r>
          </w:p>
          <w:p w14:paraId="0A3FDEE0" w14:textId="77777777" w:rsidR="00E22279" w:rsidRPr="00E16672" w:rsidRDefault="00E22279" w:rsidP="00E22279">
            <w:pPr>
              <w:snapToGrid w:val="0"/>
              <w:ind w:left="175" w:right="138" w:firstLine="0"/>
              <w:rPr>
                <w:rFonts w:ascii="Times New Roman" w:hAnsi="Times New Roman"/>
                <w:sz w:val="16"/>
                <w:szCs w:val="16"/>
              </w:rPr>
            </w:pPr>
          </w:p>
        </w:tc>
        <w:tc>
          <w:tcPr>
            <w:tcW w:w="5494" w:type="dxa"/>
            <w:gridSpan w:val="7"/>
            <w:shd w:val="clear" w:color="auto" w:fill="auto"/>
          </w:tcPr>
          <w:p w14:paraId="4F55EDFF" w14:textId="77777777" w:rsidR="00E22279" w:rsidRPr="00E16672" w:rsidRDefault="00E22279" w:rsidP="00E22279">
            <w:pPr>
              <w:pStyle w:val="210"/>
              <w:tabs>
                <w:tab w:val="left" w:pos="287"/>
              </w:tabs>
              <w:snapToGrid w:val="0"/>
              <w:ind w:left="145" w:right="100" w:firstLine="0"/>
              <w:rPr>
                <w:rFonts w:ascii="Times New Roman" w:hAnsi="Times New Roman"/>
                <w:sz w:val="16"/>
                <w:szCs w:val="16"/>
              </w:rPr>
            </w:pPr>
            <w:r w:rsidRPr="00E16672">
              <w:rPr>
                <w:rFonts w:ascii="Times New Roman" w:hAnsi="Times New Roman"/>
                <w:color w:val="000000"/>
                <w:sz w:val="16"/>
                <w:szCs w:val="16"/>
                <w:lang w:val="en-GB"/>
              </w:rPr>
              <w:t>3) to access their personal data;</w:t>
            </w:r>
          </w:p>
        </w:tc>
      </w:tr>
      <w:tr w:rsidR="00E22279" w:rsidRPr="00F23413" w14:paraId="435172E5" w14:textId="77777777" w:rsidTr="00D77858">
        <w:tblPrEx>
          <w:tblCellMar>
            <w:left w:w="0" w:type="dxa"/>
            <w:right w:w="0" w:type="dxa"/>
          </w:tblCellMar>
        </w:tblPrEx>
        <w:trPr>
          <w:trHeight w:val="192"/>
        </w:trPr>
        <w:tc>
          <w:tcPr>
            <w:tcW w:w="5696" w:type="dxa"/>
            <w:gridSpan w:val="6"/>
            <w:shd w:val="clear" w:color="auto" w:fill="auto"/>
          </w:tcPr>
          <w:p w14:paraId="20E04373" w14:textId="77777777" w:rsidR="00E22279" w:rsidRPr="00E16672" w:rsidRDefault="00E22279" w:rsidP="00E22279">
            <w:pPr>
              <w:snapToGrid w:val="0"/>
              <w:ind w:left="175" w:right="138" w:firstLine="0"/>
              <w:rPr>
                <w:rFonts w:ascii="Times New Roman" w:hAnsi="Times New Roman"/>
                <w:color w:val="000000"/>
                <w:sz w:val="16"/>
                <w:szCs w:val="16"/>
                <w:lang w:val="uk-UA"/>
              </w:rPr>
            </w:pPr>
            <w:r w:rsidRPr="00E16672">
              <w:rPr>
                <w:rFonts w:ascii="Times New Roman" w:hAnsi="Times New Roman"/>
                <w:color w:val="000000"/>
                <w:sz w:val="16"/>
                <w:szCs w:val="16"/>
                <w:lang w:val="uk-UA"/>
              </w:rPr>
              <w:t xml:space="preserve">4) отримувати не пізніш як за тридцять календарних днів з дня надходження запиту, крім випадків, передбачених законом, відповідь про те, чи обробляються його персональні дані, а також отримувати зміст персональних даних; </w:t>
            </w:r>
          </w:p>
          <w:p w14:paraId="56884A60" w14:textId="77777777" w:rsidR="00E22279" w:rsidRPr="00E16672" w:rsidRDefault="00E22279" w:rsidP="00E22279">
            <w:pPr>
              <w:snapToGrid w:val="0"/>
              <w:ind w:left="175" w:right="138" w:firstLine="0"/>
              <w:rPr>
                <w:rFonts w:ascii="Times New Roman" w:hAnsi="Times New Roman"/>
                <w:sz w:val="16"/>
                <w:szCs w:val="16"/>
              </w:rPr>
            </w:pPr>
          </w:p>
        </w:tc>
        <w:tc>
          <w:tcPr>
            <w:tcW w:w="5494" w:type="dxa"/>
            <w:gridSpan w:val="7"/>
            <w:shd w:val="clear" w:color="auto" w:fill="auto"/>
          </w:tcPr>
          <w:p w14:paraId="459A162C" w14:textId="77777777" w:rsidR="00E22279" w:rsidRPr="00E16672" w:rsidRDefault="00E22279" w:rsidP="00E22279">
            <w:pPr>
              <w:pStyle w:val="210"/>
              <w:tabs>
                <w:tab w:val="left" w:pos="287"/>
              </w:tabs>
              <w:snapToGrid w:val="0"/>
              <w:ind w:left="145" w:right="100" w:firstLine="0"/>
              <w:rPr>
                <w:rFonts w:ascii="Times New Roman" w:hAnsi="Times New Roman"/>
                <w:sz w:val="16"/>
                <w:szCs w:val="16"/>
              </w:rPr>
            </w:pPr>
            <w:r w:rsidRPr="00E16672">
              <w:rPr>
                <w:rFonts w:ascii="Times New Roman" w:hAnsi="Times New Roman"/>
                <w:color w:val="000000"/>
                <w:sz w:val="16"/>
                <w:szCs w:val="16"/>
                <w:lang w:val="en-GB"/>
              </w:rPr>
              <w:t>4) to receive no later than thirty calendar days after receipt of the request, except as provided by law, the answer to whether his personal data stored and receive the contents of such personal data;</w:t>
            </w:r>
          </w:p>
        </w:tc>
      </w:tr>
      <w:tr w:rsidR="00E22279" w:rsidRPr="00F23413" w14:paraId="1570FD17" w14:textId="77777777" w:rsidTr="00D77858">
        <w:tblPrEx>
          <w:tblCellMar>
            <w:left w:w="0" w:type="dxa"/>
            <w:right w:w="0" w:type="dxa"/>
          </w:tblCellMar>
        </w:tblPrEx>
        <w:trPr>
          <w:trHeight w:val="192"/>
        </w:trPr>
        <w:tc>
          <w:tcPr>
            <w:tcW w:w="5696" w:type="dxa"/>
            <w:gridSpan w:val="6"/>
            <w:shd w:val="clear" w:color="auto" w:fill="auto"/>
          </w:tcPr>
          <w:p w14:paraId="26B19E06" w14:textId="77777777" w:rsidR="00E22279" w:rsidRPr="00E16672" w:rsidRDefault="00E22279" w:rsidP="00E22279">
            <w:pPr>
              <w:snapToGrid w:val="0"/>
              <w:ind w:left="175" w:right="138" w:firstLine="0"/>
              <w:rPr>
                <w:rFonts w:ascii="Times New Roman" w:hAnsi="Times New Roman"/>
                <w:color w:val="000000"/>
                <w:sz w:val="16"/>
                <w:szCs w:val="16"/>
                <w:lang w:val="uk-UA"/>
              </w:rPr>
            </w:pPr>
            <w:r w:rsidRPr="00E16672">
              <w:rPr>
                <w:rFonts w:ascii="Times New Roman" w:hAnsi="Times New Roman"/>
                <w:color w:val="000000"/>
                <w:sz w:val="16"/>
                <w:szCs w:val="16"/>
              </w:rPr>
              <w:t xml:space="preserve">5) </w:t>
            </w:r>
            <w:r w:rsidRPr="00E16672">
              <w:rPr>
                <w:rFonts w:ascii="Times New Roman" w:hAnsi="Times New Roman"/>
                <w:color w:val="000000"/>
                <w:sz w:val="16"/>
                <w:szCs w:val="16"/>
                <w:lang w:val="uk-UA"/>
              </w:rPr>
              <w:t>пред'являти вмотивовану вимогу володільцю персональних даних</w:t>
            </w:r>
            <w:r w:rsidRPr="00E16672">
              <w:rPr>
                <w:rFonts w:ascii="Times New Roman" w:hAnsi="Times New Roman"/>
                <w:color w:val="000000"/>
                <w:sz w:val="16"/>
                <w:szCs w:val="16"/>
              </w:rPr>
              <w:t xml:space="preserve"> </w:t>
            </w:r>
            <w:r w:rsidRPr="00E16672">
              <w:rPr>
                <w:rFonts w:ascii="Times New Roman" w:hAnsi="Times New Roman"/>
                <w:color w:val="000000"/>
                <w:sz w:val="16"/>
                <w:szCs w:val="16"/>
                <w:lang w:val="uk-UA"/>
              </w:rPr>
              <w:t>із запереченням проти обробки своїх персональних даних;</w:t>
            </w:r>
          </w:p>
          <w:p w14:paraId="07081610" w14:textId="77777777" w:rsidR="00E22279" w:rsidRPr="00E16672" w:rsidRDefault="00E22279" w:rsidP="00E22279">
            <w:pPr>
              <w:snapToGrid w:val="0"/>
              <w:ind w:left="175" w:right="138" w:firstLine="0"/>
              <w:rPr>
                <w:rFonts w:ascii="Times New Roman" w:hAnsi="Times New Roman"/>
                <w:sz w:val="16"/>
                <w:szCs w:val="16"/>
              </w:rPr>
            </w:pPr>
          </w:p>
        </w:tc>
        <w:tc>
          <w:tcPr>
            <w:tcW w:w="5494" w:type="dxa"/>
            <w:gridSpan w:val="7"/>
            <w:shd w:val="clear" w:color="auto" w:fill="auto"/>
          </w:tcPr>
          <w:p w14:paraId="5C431B09" w14:textId="77777777" w:rsidR="00E22279" w:rsidRPr="00E16672" w:rsidRDefault="00E22279" w:rsidP="00E22279">
            <w:pPr>
              <w:pStyle w:val="210"/>
              <w:tabs>
                <w:tab w:val="left" w:pos="287"/>
              </w:tabs>
              <w:snapToGrid w:val="0"/>
              <w:ind w:left="145" w:right="100" w:firstLine="0"/>
              <w:rPr>
                <w:rFonts w:ascii="Times New Roman" w:hAnsi="Times New Roman"/>
                <w:sz w:val="16"/>
                <w:szCs w:val="16"/>
              </w:rPr>
            </w:pPr>
            <w:r w:rsidRPr="00E16672">
              <w:rPr>
                <w:rFonts w:ascii="Times New Roman" w:hAnsi="Times New Roman"/>
                <w:color w:val="000000"/>
                <w:sz w:val="16"/>
                <w:szCs w:val="16"/>
                <w:lang w:val="en-GB"/>
              </w:rPr>
              <w:t>5) to present a reasoned request to holder of the personal data of the objection to the processing of their personal data;</w:t>
            </w:r>
          </w:p>
        </w:tc>
      </w:tr>
      <w:tr w:rsidR="00E22279" w:rsidRPr="00F23413" w14:paraId="4ED7EDD5" w14:textId="77777777" w:rsidTr="00D77858">
        <w:tblPrEx>
          <w:tblCellMar>
            <w:left w:w="0" w:type="dxa"/>
            <w:right w:w="0" w:type="dxa"/>
          </w:tblCellMar>
        </w:tblPrEx>
        <w:trPr>
          <w:trHeight w:val="192"/>
        </w:trPr>
        <w:tc>
          <w:tcPr>
            <w:tcW w:w="5696" w:type="dxa"/>
            <w:gridSpan w:val="6"/>
            <w:shd w:val="clear" w:color="auto" w:fill="auto"/>
          </w:tcPr>
          <w:p w14:paraId="2AAA2683" w14:textId="77777777" w:rsidR="00E22279" w:rsidRPr="00E16672" w:rsidRDefault="00E22279" w:rsidP="00E22279">
            <w:pPr>
              <w:snapToGrid w:val="0"/>
              <w:ind w:left="175" w:right="138" w:firstLine="0"/>
              <w:rPr>
                <w:rFonts w:ascii="Times New Roman" w:hAnsi="Times New Roman"/>
                <w:sz w:val="16"/>
                <w:szCs w:val="16"/>
              </w:rPr>
            </w:pPr>
            <w:r w:rsidRPr="00E16672">
              <w:rPr>
                <w:rFonts w:ascii="Times New Roman" w:hAnsi="Times New Roman"/>
                <w:color w:val="000000"/>
                <w:sz w:val="16"/>
                <w:szCs w:val="16"/>
                <w:lang w:val="uk-UA"/>
              </w:rPr>
              <w:t xml:space="preserve">6) пред'являти вмотивовану вимогу щодо зміни або знищення своїх персональних даних будь-яким володільцем та розпорядником персональних даних, якщо ці дані обробляються незаконно чи є недостовірними; </w:t>
            </w:r>
          </w:p>
        </w:tc>
        <w:tc>
          <w:tcPr>
            <w:tcW w:w="5494" w:type="dxa"/>
            <w:gridSpan w:val="7"/>
            <w:shd w:val="clear" w:color="auto" w:fill="auto"/>
          </w:tcPr>
          <w:p w14:paraId="5C942A2F" w14:textId="77777777" w:rsidR="00E22279" w:rsidRPr="00E16672" w:rsidRDefault="00E22279" w:rsidP="00E22279">
            <w:pPr>
              <w:pStyle w:val="210"/>
              <w:tabs>
                <w:tab w:val="left" w:pos="287"/>
              </w:tabs>
              <w:snapToGrid w:val="0"/>
              <w:ind w:left="145" w:right="100" w:firstLine="0"/>
              <w:rPr>
                <w:rFonts w:ascii="Times New Roman" w:hAnsi="Times New Roman"/>
                <w:color w:val="000000"/>
                <w:sz w:val="16"/>
                <w:szCs w:val="16"/>
                <w:lang w:val="en-GB"/>
              </w:rPr>
            </w:pPr>
            <w:r w:rsidRPr="00E16672">
              <w:rPr>
                <w:rFonts w:ascii="Times New Roman" w:hAnsi="Times New Roman"/>
                <w:color w:val="000000"/>
                <w:sz w:val="16"/>
                <w:szCs w:val="16"/>
                <w:lang w:val="en-GB"/>
              </w:rPr>
              <w:t>6) to present a reasoned request for modification or destruction of their personal data by any holder and manager of the personal data if the data processed illegally or are unreliable;</w:t>
            </w:r>
          </w:p>
          <w:p w14:paraId="3B232890" w14:textId="77777777" w:rsidR="00E22279" w:rsidRPr="00E16672" w:rsidRDefault="00E22279" w:rsidP="00E22279">
            <w:pPr>
              <w:pStyle w:val="210"/>
              <w:tabs>
                <w:tab w:val="left" w:pos="287"/>
              </w:tabs>
              <w:snapToGrid w:val="0"/>
              <w:ind w:left="145" w:right="100"/>
              <w:rPr>
                <w:rFonts w:ascii="Times New Roman" w:hAnsi="Times New Roman"/>
                <w:sz w:val="16"/>
                <w:szCs w:val="16"/>
              </w:rPr>
            </w:pPr>
          </w:p>
        </w:tc>
      </w:tr>
      <w:tr w:rsidR="00E22279" w:rsidRPr="00F23413" w14:paraId="03509395" w14:textId="77777777" w:rsidTr="00D77858">
        <w:tblPrEx>
          <w:tblCellMar>
            <w:left w:w="0" w:type="dxa"/>
            <w:right w:w="0" w:type="dxa"/>
          </w:tblCellMar>
        </w:tblPrEx>
        <w:trPr>
          <w:trHeight w:val="192"/>
        </w:trPr>
        <w:tc>
          <w:tcPr>
            <w:tcW w:w="5696" w:type="dxa"/>
            <w:gridSpan w:val="6"/>
            <w:shd w:val="clear" w:color="auto" w:fill="auto"/>
          </w:tcPr>
          <w:p w14:paraId="4CCBF632" w14:textId="77777777" w:rsidR="00E22279" w:rsidRPr="00E16672" w:rsidRDefault="00E22279" w:rsidP="00E22279">
            <w:pPr>
              <w:snapToGrid w:val="0"/>
              <w:ind w:left="175" w:right="138" w:firstLine="0"/>
              <w:rPr>
                <w:rFonts w:ascii="Times New Roman" w:hAnsi="Times New Roman"/>
                <w:color w:val="000000"/>
                <w:sz w:val="16"/>
                <w:szCs w:val="16"/>
                <w:lang w:val="uk-UA"/>
              </w:rPr>
            </w:pPr>
            <w:r w:rsidRPr="00E16672">
              <w:rPr>
                <w:rFonts w:ascii="Times New Roman" w:hAnsi="Times New Roman"/>
                <w:color w:val="000000"/>
                <w:sz w:val="16"/>
                <w:szCs w:val="16"/>
                <w:lang w:val="uk-UA"/>
              </w:rPr>
              <w:t xml:space="preserve">7) на захист своїх персональних даних від незаконної обробки та випадкової втрати, знищення, пошкодження у зв'язку з умисним приховуванням, ненаданням чи несвоєчасним їх наданням, а також на захист від надання відомостей, що є недостовірними чи ганьблять честь, гідність та ділову репутацію фізичної особи; </w:t>
            </w:r>
          </w:p>
          <w:p w14:paraId="47B0B2A2" w14:textId="77777777" w:rsidR="00E22279" w:rsidRPr="00E16672" w:rsidRDefault="00E22279" w:rsidP="00E22279">
            <w:pPr>
              <w:snapToGrid w:val="0"/>
              <w:ind w:left="175" w:right="138" w:firstLine="0"/>
              <w:rPr>
                <w:rFonts w:ascii="Times New Roman" w:hAnsi="Times New Roman"/>
                <w:sz w:val="16"/>
                <w:szCs w:val="16"/>
                <w:lang w:val="en-US"/>
              </w:rPr>
            </w:pPr>
          </w:p>
        </w:tc>
        <w:tc>
          <w:tcPr>
            <w:tcW w:w="5494" w:type="dxa"/>
            <w:gridSpan w:val="7"/>
            <w:shd w:val="clear" w:color="auto" w:fill="auto"/>
          </w:tcPr>
          <w:p w14:paraId="60C1BBDA" w14:textId="77777777" w:rsidR="00E22279" w:rsidRPr="00E16672" w:rsidRDefault="00E22279" w:rsidP="00E22279">
            <w:pPr>
              <w:pStyle w:val="210"/>
              <w:tabs>
                <w:tab w:val="left" w:pos="287"/>
              </w:tabs>
              <w:snapToGrid w:val="0"/>
              <w:ind w:left="145" w:right="100" w:firstLine="0"/>
              <w:rPr>
                <w:rFonts w:ascii="Times New Roman" w:hAnsi="Times New Roman"/>
                <w:sz w:val="16"/>
                <w:szCs w:val="16"/>
              </w:rPr>
            </w:pPr>
            <w:r w:rsidRPr="00E16672">
              <w:rPr>
                <w:rFonts w:ascii="Times New Roman" w:hAnsi="Times New Roman"/>
                <w:color w:val="000000"/>
                <w:sz w:val="16"/>
                <w:szCs w:val="16"/>
                <w:lang w:val="en-GB"/>
              </w:rPr>
              <w:t xml:space="preserve">7) to protect your personal information from unlawful processing and accidental loss, destruction, damage due to </w:t>
            </w:r>
            <w:proofErr w:type="spellStart"/>
            <w:r w:rsidRPr="00E16672">
              <w:rPr>
                <w:rFonts w:ascii="Times New Roman" w:hAnsi="Times New Roman"/>
                <w:color w:val="000000"/>
                <w:sz w:val="16"/>
                <w:szCs w:val="16"/>
                <w:lang w:val="en-GB"/>
              </w:rPr>
              <w:t>willful</w:t>
            </w:r>
            <w:proofErr w:type="spellEnd"/>
            <w:r w:rsidRPr="00E16672">
              <w:rPr>
                <w:rFonts w:ascii="Times New Roman" w:hAnsi="Times New Roman"/>
                <w:color w:val="000000"/>
                <w:sz w:val="16"/>
                <w:szCs w:val="16"/>
                <w:lang w:val="en-GB"/>
              </w:rPr>
              <w:t xml:space="preserve"> concealment, failure or delayed their provision, as well as protection of information which is false or defaming the </w:t>
            </w:r>
            <w:proofErr w:type="spellStart"/>
            <w:r w:rsidRPr="00E16672">
              <w:rPr>
                <w:rFonts w:ascii="Times New Roman" w:hAnsi="Times New Roman"/>
                <w:color w:val="000000"/>
                <w:sz w:val="16"/>
                <w:szCs w:val="16"/>
                <w:lang w:val="en-GB"/>
              </w:rPr>
              <w:t>honor</w:t>
            </w:r>
            <w:proofErr w:type="spellEnd"/>
            <w:r w:rsidRPr="00E16672">
              <w:rPr>
                <w:rFonts w:ascii="Times New Roman" w:hAnsi="Times New Roman"/>
                <w:color w:val="000000"/>
                <w:sz w:val="16"/>
                <w:szCs w:val="16"/>
                <w:lang w:val="en-GB"/>
              </w:rPr>
              <w:t xml:space="preserve">, dignity and business reputation of physical person; </w:t>
            </w:r>
          </w:p>
        </w:tc>
      </w:tr>
      <w:tr w:rsidR="00E22279" w:rsidRPr="00F23413" w14:paraId="3D518425" w14:textId="77777777" w:rsidTr="00D77858">
        <w:tblPrEx>
          <w:tblCellMar>
            <w:left w:w="0" w:type="dxa"/>
            <w:right w:w="0" w:type="dxa"/>
          </w:tblCellMar>
        </w:tblPrEx>
        <w:trPr>
          <w:trHeight w:val="192"/>
        </w:trPr>
        <w:tc>
          <w:tcPr>
            <w:tcW w:w="5696" w:type="dxa"/>
            <w:gridSpan w:val="6"/>
            <w:shd w:val="clear" w:color="auto" w:fill="auto"/>
          </w:tcPr>
          <w:p w14:paraId="453A787F" w14:textId="77777777" w:rsidR="00E22279" w:rsidRPr="00E16672" w:rsidRDefault="00E22279" w:rsidP="00E22279">
            <w:pPr>
              <w:snapToGrid w:val="0"/>
              <w:ind w:left="175" w:right="138" w:firstLine="0"/>
              <w:rPr>
                <w:rFonts w:ascii="Times New Roman" w:hAnsi="Times New Roman"/>
                <w:sz w:val="16"/>
                <w:szCs w:val="16"/>
              </w:rPr>
            </w:pPr>
            <w:r w:rsidRPr="00E16672">
              <w:rPr>
                <w:rFonts w:ascii="Times New Roman" w:hAnsi="Times New Roman"/>
                <w:color w:val="000000"/>
                <w:sz w:val="16"/>
                <w:szCs w:val="16"/>
              </w:rPr>
              <w:t xml:space="preserve">8) </w:t>
            </w:r>
            <w:proofErr w:type="spellStart"/>
            <w:r w:rsidRPr="00E16672">
              <w:rPr>
                <w:rFonts w:ascii="Times New Roman" w:hAnsi="Times New Roman"/>
                <w:color w:val="000000"/>
                <w:sz w:val="16"/>
                <w:szCs w:val="16"/>
              </w:rPr>
              <w:t>звертатися</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із</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скаргами</w:t>
            </w:r>
            <w:proofErr w:type="spellEnd"/>
            <w:r w:rsidRPr="00E16672">
              <w:rPr>
                <w:rFonts w:ascii="Times New Roman" w:hAnsi="Times New Roman"/>
                <w:color w:val="000000"/>
                <w:sz w:val="16"/>
                <w:szCs w:val="16"/>
              </w:rPr>
              <w:t xml:space="preserve"> на </w:t>
            </w:r>
            <w:proofErr w:type="spellStart"/>
            <w:r w:rsidRPr="00E16672">
              <w:rPr>
                <w:rFonts w:ascii="Times New Roman" w:hAnsi="Times New Roman"/>
                <w:color w:val="000000"/>
                <w:sz w:val="16"/>
                <w:szCs w:val="16"/>
              </w:rPr>
              <w:t>обробку</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своїх</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персональних</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даних</w:t>
            </w:r>
            <w:proofErr w:type="spellEnd"/>
            <w:r w:rsidRPr="00E16672">
              <w:rPr>
                <w:rFonts w:ascii="Times New Roman" w:hAnsi="Times New Roman"/>
                <w:color w:val="000000"/>
                <w:sz w:val="16"/>
                <w:szCs w:val="16"/>
              </w:rPr>
              <w:t xml:space="preserve"> до </w:t>
            </w:r>
            <w:r w:rsidRPr="00E16672">
              <w:rPr>
                <w:rFonts w:ascii="Times New Roman" w:hAnsi="Times New Roman"/>
                <w:color w:val="000000"/>
                <w:sz w:val="16"/>
                <w:szCs w:val="16"/>
                <w:lang w:val="uk-UA"/>
              </w:rPr>
              <w:t xml:space="preserve">Уповноваженого </w:t>
            </w:r>
            <w:proofErr w:type="gramStart"/>
            <w:r w:rsidRPr="00E16672">
              <w:rPr>
                <w:rFonts w:ascii="Times New Roman" w:hAnsi="Times New Roman"/>
                <w:color w:val="000000"/>
                <w:sz w:val="16"/>
                <w:szCs w:val="16"/>
                <w:lang w:val="uk-UA"/>
              </w:rPr>
              <w:t>Верховної</w:t>
            </w:r>
            <w:proofErr w:type="gramEnd"/>
            <w:r w:rsidRPr="00E16672">
              <w:rPr>
                <w:rFonts w:ascii="Times New Roman" w:hAnsi="Times New Roman"/>
                <w:color w:val="000000"/>
                <w:sz w:val="16"/>
                <w:szCs w:val="16"/>
                <w:lang w:val="uk-UA"/>
              </w:rPr>
              <w:t xml:space="preserve"> Ради України з прав людини</w:t>
            </w:r>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або</w:t>
            </w:r>
            <w:proofErr w:type="spellEnd"/>
            <w:r w:rsidRPr="00E16672">
              <w:rPr>
                <w:rFonts w:ascii="Times New Roman" w:hAnsi="Times New Roman"/>
                <w:color w:val="000000"/>
                <w:sz w:val="16"/>
                <w:szCs w:val="16"/>
              </w:rPr>
              <w:t xml:space="preserve"> до суду</w:t>
            </w:r>
            <w:r w:rsidRPr="00E16672">
              <w:rPr>
                <w:rFonts w:ascii="Times New Roman" w:hAnsi="Times New Roman"/>
                <w:color w:val="000000"/>
                <w:sz w:val="16"/>
                <w:szCs w:val="16"/>
                <w:lang w:val="uk-UA"/>
              </w:rPr>
              <w:t xml:space="preserve">; </w:t>
            </w:r>
          </w:p>
        </w:tc>
        <w:tc>
          <w:tcPr>
            <w:tcW w:w="5494" w:type="dxa"/>
            <w:gridSpan w:val="7"/>
            <w:shd w:val="clear" w:color="auto" w:fill="auto"/>
          </w:tcPr>
          <w:p w14:paraId="6F2D70E9" w14:textId="77777777" w:rsidR="00E22279" w:rsidRPr="00E16672" w:rsidRDefault="00E22279" w:rsidP="00E22279">
            <w:pPr>
              <w:pStyle w:val="210"/>
              <w:tabs>
                <w:tab w:val="left" w:pos="287"/>
              </w:tabs>
              <w:snapToGrid w:val="0"/>
              <w:ind w:left="145" w:right="100" w:firstLine="0"/>
              <w:rPr>
                <w:rFonts w:ascii="Times New Roman" w:hAnsi="Times New Roman"/>
                <w:sz w:val="16"/>
                <w:szCs w:val="16"/>
              </w:rPr>
            </w:pPr>
            <w:r w:rsidRPr="00E16672">
              <w:rPr>
                <w:rFonts w:ascii="Times New Roman" w:hAnsi="Times New Roman"/>
                <w:color w:val="000000"/>
                <w:sz w:val="16"/>
                <w:szCs w:val="16"/>
                <w:lang w:val="en-GB"/>
              </w:rPr>
              <w:t xml:space="preserve">8) refer a complaint to the processing of their personal data to the Authorized </w:t>
            </w:r>
            <w:r w:rsidRPr="00E16672">
              <w:rPr>
                <w:rFonts w:ascii="Times New Roman" w:hAnsi="Times New Roman"/>
                <w:color w:val="000000"/>
                <w:sz w:val="16"/>
                <w:szCs w:val="16"/>
                <w:lang w:val="en-US"/>
              </w:rPr>
              <w:t xml:space="preserve">of </w:t>
            </w:r>
            <w:proofErr w:type="spellStart"/>
            <w:r w:rsidRPr="00E16672">
              <w:rPr>
                <w:rFonts w:ascii="Times New Roman" w:hAnsi="Times New Roman"/>
                <w:color w:val="000000"/>
                <w:sz w:val="16"/>
                <w:szCs w:val="16"/>
                <w:lang w:val="en-GB"/>
              </w:rPr>
              <w:t>Verkhovna</w:t>
            </w:r>
            <w:proofErr w:type="spellEnd"/>
            <w:r w:rsidRPr="00E16672">
              <w:rPr>
                <w:rFonts w:ascii="Times New Roman" w:hAnsi="Times New Roman"/>
                <w:color w:val="000000"/>
                <w:sz w:val="16"/>
                <w:szCs w:val="16"/>
                <w:lang w:val="en-GB"/>
              </w:rPr>
              <w:t xml:space="preserve"> Rada of Ukraine on Human Rights or the court;</w:t>
            </w:r>
          </w:p>
        </w:tc>
      </w:tr>
      <w:tr w:rsidR="00E22279" w:rsidRPr="00F23413" w14:paraId="4C87DFDE" w14:textId="77777777" w:rsidTr="00D77858">
        <w:tblPrEx>
          <w:tblCellMar>
            <w:left w:w="0" w:type="dxa"/>
            <w:right w:w="0" w:type="dxa"/>
          </w:tblCellMar>
        </w:tblPrEx>
        <w:trPr>
          <w:trHeight w:val="192"/>
        </w:trPr>
        <w:tc>
          <w:tcPr>
            <w:tcW w:w="5696" w:type="dxa"/>
            <w:gridSpan w:val="6"/>
            <w:shd w:val="clear" w:color="auto" w:fill="auto"/>
          </w:tcPr>
          <w:p w14:paraId="7B474FB0" w14:textId="77777777" w:rsidR="00E22279" w:rsidRPr="00E16672" w:rsidRDefault="00E22279" w:rsidP="00E22279">
            <w:pPr>
              <w:snapToGrid w:val="0"/>
              <w:ind w:left="175" w:right="138" w:firstLine="0"/>
              <w:rPr>
                <w:rFonts w:ascii="Times New Roman" w:hAnsi="Times New Roman"/>
                <w:color w:val="000000"/>
                <w:sz w:val="16"/>
                <w:szCs w:val="16"/>
                <w:lang w:val="uk-UA"/>
              </w:rPr>
            </w:pPr>
            <w:r w:rsidRPr="00E16672">
              <w:rPr>
                <w:rFonts w:ascii="Times New Roman" w:hAnsi="Times New Roman"/>
                <w:color w:val="000000"/>
                <w:sz w:val="16"/>
                <w:szCs w:val="16"/>
              </w:rPr>
              <w:t xml:space="preserve">9) </w:t>
            </w:r>
            <w:proofErr w:type="spellStart"/>
            <w:r w:rsidRPr="00E16672">
              <w:rPr>
                <w:rFonts w:ascii="Times New Roman" w:hAnsi="Times New Roman"/>
                <w:color w:val="000000"/>
                <w:sz w:val="16"/>
                <w:szCs w:val="16"/>
              </w:rPr>
              <w:t>застосовувати</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засоби</w:t>
            </w:r>
            <w:proofErr w:type="spellEnd"/>
            <w:r w:rsidRPr="00E16672">
              <w:rPr>
                <w:rFonts w:ascii="Times New Roman" w:hAnsi="Times New Roman"/>
                <w:color w:val="000000"/>
                <w:sz w:val="16"/>
                <w:szCs w:val="16"/>
              </w:rPr>
              <w:t xml:space="preserve"> правового </w:t>
            </w:r>
            <w:proofErr w:type="spellStart"/>
            <w:r w:rsidRPr="00E16672">
              <w:rPr>
                <w:rFonts w:ascii="Times New Roman" w:hAnsi="Times New Roman"/>
                <w:color w:val="000000"/>
                <w:sz w:val="16"/>
                <w:szCs w:val="16"/>
              </w:rPr>
              <w:t>захисту</w:t>
            </w:r>
            <w:proofErr w:type="spellEnd"/>
            <w:r w:rsidRPr="00E16672">
              <w:rPr>
                <w:rFonts w:ascii="Times New Roman" w:hAnsi="Times New Roman"/>
                <w:color w:val="000000"/>
                <w:sz w:val="16"/>
                <w:szCs w:val="16"/>
              </w:rPr>
              <w:t xml:space="preserve"> в </w:t>
            </w:r>
            <w:proofErr w:type="spellStart"/>
            <w:r w:rsidRPr="00E16672">
              <w:rPr>
                <w:rFonts w:ascii="Times New Roman" w:hAnsi="Times New Roman"/>
                <w:color w:val="000000"/>
                <w:sz w:val="16"/>
                <w:szCs w:val="16"/>
              </w:rPr>
              <w:t>разі</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порушення</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законодавства</w:t>
            </w:r>
            <w:proofErr w:type="spellEnd"/>
            <w:r w:rsidRPr="00E16672">
              <w:rPr>
                <w:rFonts w:ascii="Times New Roman" w:hAnsi="Times New Roman"/>
                <w:color w:val="000000"/>
                <w:sz w:val="16"/>
                <w:szCs w:val="16"/>
              </w:rPr>
              <w:t xml:space="preserve"> про </w:t>
            </w:r>
            <w:proofErr w:type="spellStart"/>
            <w:r w:rsidRPr="00E16672">
              <w:rPr>
                <w:rFonts w:ascii="Times New Roman" w:hAnsi="Times New Roman"/>
                <w:color w:val="000000"/>
                <w:sz w:val="16"/>
                <w:szCs w:val="16"/>
              </w:rPr>
              <w:t>захист</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персональних</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даних</w:t>
            </w:r>
            <w:proofErr w:type="spellEnd"/>
            <w:r w:rsidRPr="00E16672">
              <w:rPr>
                <w:rFonts w:ascii="Times New Roman" w:hAnsi="Times New Roman"/>
                <w:color w:val="000000"/>
                <w:sz w:val="16"/>
                <w:szCs w:val="16"/>
              </w:rPr>
              <w:t>.</w:t>
            </w:r>
          </w:p>
          <w:p w14:paraId="79C90161" w14:textId="77777777" w:rsidR="00E22279" w:rsidRPr="00E16672" w:rsidRDefault="00E22279" w:rsidP="00E22279">
            <w:pPr>
              <w:snapToGrid w:val="0"/>
              <w:ind w:left="175" w:right="138" w:firstLine="0"/>
              <w:rPr>
                <w:rFonts w:ascii="Times New Roman" w:hAnsi="Times New Roman"/>
                <w:sz w:val="16"/>
                <w:szCs w:val="16"/>
              </w:rPr>
            </w:pPr>
          </w:p>
        </w:tc>
        <w:tc>
          <w:tcPr>
            <w:tcW w:w="5494" w:type="dxa"/>
            <w:gridSpan w:val="7"/>
            <w:shd w:val="clear" w:color="auto" w:fill="auto"/>
          </w:tcPr>
          <w:p w14:paraId="2F46DC8D" w14:textId="77777777" w:rsidR="00E22279" w:rsidRPr="00E16672" w:rsidRDefault="00E22279" w:rsidP="00E22279">
            <w:pPr>
              <w:pStyle w:val="210"/>
              <w:tabs>
                <w:tab w:val="left" w:pos="287"/>
              </w:tabs>
              <w:snapToGrid w:val="0"/>
              <w:ind w:left="145" w:right="100" w:firstLine="0"/>
              <w:rPr>
                <w:rFonts w:ascii="Times New Roman" w:hAnsi="Times New Roman"/>
                <w:sz w:val="16"/>
                <w:szCs w:val="16"/>
              </w:rPr>
            </w:pPr>
            <w:r w:rsidRPr="00E16672">
              <w:rPr>
                <w:rFonts w:ascii="Times New Roman" w:hAnsi="Times New Roman"/>
                <w:color w:val="000000"/>
                <w:sz w:val="16"/>
                <w:szCs w:val="16"/>
                <w:lang w:val="en-GB"/>
              </w:rPr>
              <w:t>9) use legal remedies in case of violation of the legislation on protection of personal data;</w:t>
            </w:r>
          </w:p>
        </w:tc>
      </w:tr>
      <w:tr w:rsidR="00E22279" w:rsidRPr="00F23413" w14:paraId="36EE9F56" w14:textId="77777777" w:rsidTr="00D77858">
        <w:tblPrEx>
          <w:tblCellMar>
            <w:left w:w="0" w:type="dxa"/>
            <w:right w:w="0" w:type="dxa"/>
          </w:tblCellMar>
        </w:tblPrEx>
        <w:trPr>
          <w:trHeight w:val="192"/>
        </w:trPr>
        <w:tc>
          <w:tcPr>
            <w:tcW w:w="5696" w:type="dxa"/>
            <w:gridSpan w:val="6"/>
            <w:shd w:val="clear" w:color="auto" w:fill="auto"/>
          </w:tcPr>
          <w:p w14:paraId="13A42EE7" w14:textId="77777777" w:rsidR="00E22279" w:rsidRPr="00E16672" w:rsidRDefault="00E22279" w:rsidP="00E22279">
            <w:pPr>
              <w:ind w:left="175" w:right="138" w:firstLine="0"/>
              <w:rPr>
                <w:rFonts w:ascii="Times New Roman" w:hAnsi="Times New Roman"/>
                <w:color w:val="000000"/>
                <w:sz w:val="16"/>
                <w:szCs w:val="16"/>
                <w:lang w:val="uk-UA"/>
              </w:rPr>
            </w:pPr>
            <w:r w:rsidRPr="00E16672">
              <w:rPr>
                <w:rFonts w:ascii="Times New Roman" w:hAnsi="Times New Roman"/>
                <w:color w:val="000000"/>
                <w:sz w:val="16"/>
                <w:szCs w:val="16"/>
                <w:lang w:val="uk-UA"/>
              </w:rPr>
              <w:t>10) вносити застереження стосовно обмеження права на обробку своїх персональних даних під час надання згоди;</w:t>
            </w:r>
          </w:p>
          <w:p w14:paraId="1CA812EF" w14:textId="77777777" w:rsidR="00E22279" w:rsidRPr="00E16672" w:rsidRDefault="00E22279" w:rsidP="00E22279">
            <w:pPr>
              <w:snapToGrid w:val="0"/>
              <w:ind w:left="175" w:right="138" w:firstLine="0"/>
              <w:rPr>
                <w:rFonts w:ascii="Times New Roman" w:hAnsi="Times New Roman"/>
                <w:sz w:val="16"/>
                <w:szCs w:val="16"/>
              </w:rPr>
            </w:pPr>
          </w:p>
        </w:tc>
        <w:tc>
          <w:tcPr>
            <w:tcW w:w="5494" w:type="dxa"/>
            <w:gridSpan w:val="7"/>
            <w:shd w:val="clear" w:color="auto" w:fill="auto"/>
          </w:tcPr>
          <w:p w14:paraId="76EB2B72" w14:textId="77777777" w:rsidR="00E22279" w:rsidRPr="00E16672" w:rsidRDefault="00E22279" w:rsidP="00E22279">
            <w:pPr>
              <w:pStyle w:val="210"/>
              <w:tabs>
                <w:tab w:val="left" w:pos="287"/>
              </w:tabs>
              <w:snapToGrid w:val="0"/>
              <w:ind w:left="145" w:right="100" w:firstLine="0"/>
              <w:rPr>
                <w:rFonts w:ascii="Times New Roman" w:hAnsi="Times New Roman"/>
                <w:sz w:val="16"/>
                <w:szCs w:val="16"/>
              </w:rPr>
            </w:pPr>
            <w:r w:rsidRPr="00E16672">
              <w:rPr>
                <w:rFonts w:ascii="Times New Roman" w:hAnsi="Times New Roman"/>
                <w:color w:val="000000"/>
                <w:sz w:val="16"/>
                <w:szCs w:val="16"/>
                <w:lang w:val="en-GB"/>
              </w:rPr>
              <w:t>10) to make a reservation in respect of restrictions on the right to the processing of their personal data while providing consent;</w:t>
            </w:r>
          </w:p>
        </w:tc>
      </w:tr>
      <w:tr w:rsidR="00E22279" w:rsidRPr="00F23413" w14:paraId="5F8478D6" w14:textId="77777777" w:rsidTr="00D77858">
        <w:tblPrEx>
          <w:tblCellMar>
            <w:left w:w="0" w:type="dxa"/>
            <w:right w:w="0" w:type="dxa"/>
          </w:tblCellMar>
        </w:tblPrEx>
        <w:trPr>
          <w:trHeight w:val="192"/>
        </w:trPr>
        <w:tc>
          <w:tcPr>
            <w:tcW w:w="5696" w:type="dxa"/>
            <w:gridSpan w:val="6"/>
            <w:shd w:val="clear" w:color="auto" w:fill="auto"/>
          </w:tcPr>
          <w:p w14:paraId="7B6387DF" w14:textId="77777777" w:rsidR="00E22279" w:rsidRPr="00E16672" w:rsidRDefault="00E22279" w:rsidP="00E22279">
            <w:pPr>
              <w:ind w:left="175" w:right="138" w:firstLine="0"/>
              <w:rPr>
                <w:rFonts w:ascii="Times New Roman" w:hAnsi="Times New Roman"/>
                <w:color w:val="000000"/>
                <w:sz w:val="16"/>
                <w:szCs w:val="16"/>
                <w:lang w:val="uk-UA"/>
              </w:rPr>
            </w:pPr>
            <w:r w:rsidRPr="00E16672">
              <w:rPr>
                <w:rFonts w:ascii="Times New Roman" w:hAnsi="Times New Roman"/>
                <w:color w:val="000000"/>
                <w:sz w:val="16"/>
                <w:szCs w:val="16"/>
                <w:lang w:val="uk-UA"/>
              </w:rPr>
              <w:t>11) відкликати згоду на обробку персональних даних;</w:t>
            </w:r>
          </w:p>
          <w:p w14:paraId="346069DA" w14:textId="77777777" w:rsidR="00E22279" w:rsidRPr="00E16672" w:rsidRDefault="00E22279" w:rsidP="00E22279">
            <w:pPr>
              <w:snapToGrid w:val="0"/>
              <w:ind w:left="175" w:right="138" w:firstLine="0"/>
              <w:rPr>
                <w:rFonts w:ascii="Times New Roman" w:hAnsi="Times New Roman"/>
                <w:sz w:val="16"/>
                <w:szCs w:val="16"/>
              </w:rPr>
            </w:pPr>
          </w:p>
        </w:tc>
        <w:tc>
          <w:tcPr>
            <w:tcW w:w="5494" w:type="dxa"/>
            <w:gridSpan w:val="7"/>
            <w:shd w:val="clear" w:color="auto" w:fill="auto"/>
          </w:tcPr>
          <w:p w14:paraId="71C9A323" w14:textId="77777777" w:rsidR="00E22279" w:rsidRPr="00E16672" w:rsidRDefault="00E22279" w:rsidP="00E22279">
            <w:pPr>
              <w:pStyle w:val="210"/>
              <w:tabs>
                <w:tab w:val="left" w:pos="287"/>
              </w:tabs>
              <w:snapToGrid w:val="0"/>
              <w:ind w:left="145" w:right="100" w:firstLine="0"/>
              <w:rPr>
                <w:rFonts w:ascii="Times New Roman" w:hAnsi="Times New Roman"/>
                <w:sz w:val="16"/>
                <w:szCs w:val="16"/>
              </w:rPr>
            </w:pPr>
            <w:r w:rsidRPr="00E16672">
              <w:rPr>
                <w:rFonts w:ascii="Times New Roman" w:hAnsi="Times New Roman"/>
                <w:color w:val="000000"/>
                <w:sz w:val="16"/>
                <w:szCs w:val="16"/>
                <w:lang w:val="en-GB"/>
              </w:rPr>
              <w:t>11) to withdraw consent to the processing of personal data;</w:t>
            </w:r>
          </w:p>
        </w:tc>
      </w:tr>
      <w:tr w:rsidR="00E22279" w:rsidRPr="00F23413" w14:paraId="2AE9502B" w14:textId="77777777" w:rsidTr="00D77858">
        <w:tblPrEx>
          <w:tblCellMar>
            <w:left w:w="0" w:type="dxa"/>
            <w:right w:w="0" w:type="dxa"/>
          </w:tblCellMar>
        </w:tblPrEx>
        <w:trPr>
          <w:trHeight w:val="192"/>
        </w:trPr>
        <w:tc>
          <w:tcPr>
            <w:tcW w:w="5696" w:type="dxa"/>
            <w:gridSpan w:val="6"/>
            <w:shd w:val="clear" w:color="auto" w:fill="auto"/>
          </w:tcPr>
          <w:p w14:paraId="781CA525" w14:textId="77777777" w:rsidR="00E22279" w:rsidRPr="00E16672" w:rsidRDefault="00E22279" w:rsidP="00E22279">
            <w:pPr>
              <w:ind w:left="175" w:right="138" w:firstLine="0"/>
              <w:rPr>
                <w:rFonts w:ascii="Times New Roman" w:hAnsi="Times New Roman"/>
                <w:color w:val="000000"/>
                <w:sz w:val="16"/>
                <w:szCs w:val="16"/>
                <w:lang w:val="uk-UA"/>
              </w:rPr>
            </w:pPr>
            <w:r w:rsidRPr="00E16672">
              <w:rPr>
                <w:rFonts w:ascii="Times New Roman" w:hAnsi="Times New Roman"/>
                <w:color w:val="000000"/>
                <w:sz w:val="16"/>
                <w:szCs w:val="16"/>
                <w:lang w:val="uk-UA"/>
              </w:rPr>
              <w:t>12) знати механізм автоматичної обробки персональних даних;</w:t>
            </w:r>
          </w:p>
          <w:p w14:paraId="7DF882DC" w14:textId="77777777" w:rsidR="00E22279" w:rsidRPr="00E16672" w:rsidRDefault="00E22279" w:rsidP="00E22279">
            <w:pPr>
              <w:snapToGrid w:val="0"/>
              <w:ind w:left="175" w:right="138" w:firstLine="0"/>
              <w:rPr>
                <w:rFonts w:ascii="Times New Roman" w:hAnsi="Times New Roman"/>
                <w:sz w:val="16"/>
                <w:szCs w:val="16"/>
              </w:rPr>
            </w:pPr>
          </w:p>
        </w:tc>
        <w:tc>
          <w:tcPr>
            <w:tcW w:w="5494" w:type="dxa"/>
            <w:gridSpan w:val="7"/>
            <w:shd w:val="clear" w:color="auto" w:fill="auto"/>
          </w:tcPr>
          <w:p w14:paraId="41C12D07" w14:textId="77777777" w:rsidR="00E22279" w:rsidRPr="00E16672" w:rsidRDefault="00E22279" w:rsidP="00E22279">
            <w:pPr>
              <w:pStyle w:val="210"/>
              <w:tabs>
                <w:tab w:val="left" w:pos="287"/>
              </w:tabs>
              <w:snapToGrid w:val="0"/>
              <w:ind w:left="145" w:right="100" w:firstLine="0"/>
              <w:rPr>
                <w:rFonts w:ascii="Times New Roman" w:hAnsi="Times New Roman"/>
                <w:sz w:val="16"/>
                <w:szCs w:val="16"/>
              </w:rPr>
            </w:pPr>
            <w:r w:rsidRPr="00E16672">
              <w:rPr>
                <w:rFonts w:ascii="Times New Roman" w:hAnsi="Times New Roman"/>
                <w:color w:val="000000"/>
                <w:sz w:val="16"/>
                <w:szCs w:val="16"/>
                <w:lang w:val="en-GB"/>
              </w:rPr>
              <w:t>12) to know the automatic processing of personal data;</w:t>
            </w:r>
          </w:p>
        </w:tc>
      </w:tr>
      <w:tr w:rsidR="00E22279" w:rsidRPr="00F23413" w14:paraId="1B3DEE5D" w14:textId="77777777" w:rsidTr="00D77858">
        <w:tblPrEx>
          <w:tblCellMar>
            <w:left w:w="0" w:type="dxa"/>
            <w:right w:w="0" w:type="dxa"/>
          </w:tblCellMar>
        </w:tblPrEx>
        <w:trPr>
          <w:trHeight w:val="192"/>
        </w:trPr>
        <w:tc>
          <w:tcPr>
            <w:tcW w:w="5696" w:type="dxa"/>
            <w:gridSpan w:val="6"/>
            <w:shd w:val="clear" w:color="auto" w:fill="auto"/>
          </w:tcPr>
          <w:p w14:paraId="53B5474E" w14:textId="77777777" w:rsidR="00E22279" w:rsidRPr="00E16672" w:rsidRDefault="00E22279" w:rsidP="00E22279">
            <w:pPr>
              <w:ind w:left="175" w:right="138" w:firstLine="0"/>
              <w:rPr>
                <w:rFonts w:ascii="Times New Roman" w:hAnsi="Times New Roman"/>
                <w:color w:val="000000"/>
                <w:sz w:val="16"/>
                <w:szCs w:val="16"/>
                <w:lang w:val="uk-UA"/>
              </w:rPr>
            </w:pPr>
            <w:r w:rsidRPr="00E16672">
              <w:rPr>
                <w:rFonts w:ascii="Times New Roman" w:hAnsi="Times New Roman"/>
                <w:color w:val="000000"/>
                <w:sz w:val="16"/>
                <w:szCs w:val="16"/>
                <w:lang w:val="uk-UA"/>
              </w:rPr>
              <w:t>13) на захист від автоматизованого рішення, яке має для нього правові наслідки.</w:t>
            </w:r>
          </w:p>
          <w:p w14:paraId="6C7D5253" w14:textId="77777777" w:rsidR="00E22279" w:rsidRPr="00E16672" w:rsidRDefault="00E22279" w:rsidP="00E22279">
            <w:pPr>
              <w:snapToGrid w:val="0"/>
              <w:ind w:left="175" w:right="138" w:firstLine="0"/>
              <w:rPr>
                <w:rFonts w:ascii="Times New Roman" w:hAnsi="Times New Roman"/>
                <w:sz w:val="16"/>
                <w:szCs w:val="16"/>
              </w:rPr>
            </w:pPr>
          </w:p>
        </w:tc>
        <w:tc>
          <w:tcPr>
            <w:tcW w:w="5494" w:type="dxa"/>
            <w:gridSpan w:val="7"/>
            <w:shd w:val="clear" w:color="auto" w:fill="auto"/>
          </w:tcPr>
          <w:p w14:paraId="1ECC35F0" w14:textId="77777777" w:rsidR="00E22279" w:rsidRPr="00E16672" w:rsidRDefault="00E22279" w:rsidP="00E22279">
            <w:pPr>
              <w:pStyle w:val="210"/>
              <w:tabs>
                <w:tab w:val="left" w:pos="287"/>
              </w:tabs>
              <w:snapToGrid w:val="0"/>
              <w:ind w:left="145" w:right="100" w:firstLine="0"/>
              <w:rPr>
                <w:rFonts w:ascii="Times New Roman" w:hAnsi="Times New Roman"/>
                <w:sz w:val="16"/>
                <w:szCs w:val="16"/>
              </w:rPr>
            </w:pPr>
            <w:r w:rsidRPr="00E16672">
              <w:rPr>
                <w:rFonts w:ascii="Times New Roman" w:hAnsi="Times New Roman"/>
                <w:color w:val="000000"/>
                <w:sz w:val="16"/>
                <w:szCs w:val="16"/>
                <w:lang w:val="en-GB"/>
              </w:rPr>
              <w:t>13) the protection from automated solution that has legal consequences for him.</w:t>
            </w:r>
          </w:p>
        </w:tc>
      </w:tr>
      <w:tr w:rsidR="00E22279" w:rsidRPr="00F23413" w14:paraId="709163C5" w14:textId="77777777" w:rsidTr="00D77858">
        <w:tblPrEx>
          <w:tblCellMar>
            <w:left w:w="0" w:type="dxa"/>
            <w:right w:w="0" w:type="dxa"/>
          </w:tblCellMar>
        </w:tblPrEx>
        <w:trPr>
          <w:trHeight w:val="192"/>
        </w:trPr>
        <w:tc>
          <w:tcPr>
            <w:tcW w:w="5696" w:type="dxa"/>
            <w:gridSpan w:val="6"/>
            <w:shd w:val="clear" w:color="auto" w:fill="auto"/>
          </w:tcPr>
          <w:p w14:paraId="31EE25C6" w14:textId="77777777" w:rsidR="00E22279" w:rsidRPr="00E16672" w:rsidRDefault="00E22279" w:rsidP="00022F5F">
            <w:pPr>
              <w:pStyle w:val="HTML"/>
              <w:tabs>
                <w:tab w:val="clear" w:pos="916"/>
                <w:tab w:val="left" w:pos="555"/>
              </w:tabs>
              <w:snapToGrid w:val="0"/>
              <w:spacing w:before="57" w:after="57"/>
              <w:ind w:left="175" w:right="138" w:firstLine="0"/>
              <w:jc w:val="left"/>
              <w:rPr>
                <w:rFonts w:ascii="Times New Roman" w:hAnsi="Times New Roman" w:cs="Times New Roman"/>
                <w:iCs/>
                <w:color w:val="000000"/>
                <w:sz w:val="16"/>
                <w:szCs w:val="16"/>
                <w:lang w:val="uk-UA"/>
              </w:rPr>
            </w:pPr>
            <w:r w:rsidRPr="00E16672">
              <w:rPr>
                <w:rFonts w:ascii="Times New Roman" w:hAnsi="Times New Roman" w:cs="Times New Roman"/>
                <w:color w:val="000000"/>
                <w:sz w:val="16"/>
                <w:szCs w:val="16"/>
                <w:lang w:val="uk-UA"/>
              </w:rPr>
              <w:t xml:space="preserve">10.5. Депонент дає згоду на передачу (поширення) своїх персональних даних, що включені до системи депозитарного обліку, виключно з метою зберігання та обслуговування </w:t>
            </w:r>
            <w:proofErr w:type="spellStart"/>
            <w:r w:rsidRPr="00E16672">
              <w:rPr>
                <w:rFonts w:ascii="Times New Roman" w:hAnsi="Times New Roman" w:cs="Times New Roman"/>
                <w:color w:val="000000"/>
                <w:sz w:val="16"/>
                <w:szCs w:val="16"/>
                <w:lang w:val="uk-UA"/>
              </w:rPr>
              <w:t>обіг</w:t>
            </w:r>
            <w:r w:rsidR="00C22309" w:rsidRPr="00E16672">
              <w:rPr>
                <w:rFonts w:ascii="Times New Roman" w:hAnsi="Times New Roman" w:cs="Times New Roman"/>
                <w:color w:val="000000"/>
                <w:sz w:val="16"/>
                <w:szCs w:val="16"/>
                <w:lang w:val="uk-UA"/>
              </w:rPr>
              <w:t>в</w:t>
            </w:r>
            <w:proofErr w:type="spellEnd"/>
            <w:r w:rsidR="00C22309" w:rsidRPr="00E16672">
              <w:rPr>
                <w:rFonts w:ascii="Times New Roman" w:hAnsi="Times New Roman" w:cs="Times New Roman"/>
                <w:color w:val="000000"/>
                <w:sz w:val="16"/>
                <w:szCs w:val="16"/>
                <w:lang w:val="uk-UA"/>
              </w:rPr>
              <w:t xml:space="preserve"> цін</w:t>
            </w:r>
            <w:r w:rsidRPr="00E16672">
              <w:rPr>
                <w:rFonts w:ascii="Times New Roman" w:hAnsi="Times New Roman" w:cs="Times New Roman"/>
                <w:color w:val="000000"/>
                <w:sz w:val="16"/>
                <w:szCs w:val="16"/>
                <w:lang w:val="uk-UA"/>
              </w:rPr>
              <w:t xml:space="preserve">них паперів і операцій емітента з цінними паперами на рахунку </w:t>
            </w:r>
            <w:r w:rsidR="00C22309" w:rsidRPr="00E16672">
              <w:rPr>
                <w:rFonts w:ascii="Times New Roman" w:hAnsi="Times New Roman" w:cs="Times New Roman"/>
                <w:color w:val="000000"/>
                <w:sz w:val="16"/>
                <w:szCs w:val="16"/>
                <w:lang w:val="uk-UA"/>
              </w:rPr>
              <w:t>в цін</w:t>
            </w:r>
            <w:r w:rsidRPr="00E16672">
              <w:rPr>
                <w:rFonts w:ascii="Times New Roman" w:hAnsi="Times New Roman" w:cs="Times New Roman"/>
                <w:color w:val="000000"/>
                <w:sz w:val="16"/>
                <w:szCs w:val="16"/>
                <w:lang w:val="uk-UA"/>
              </w:rPr>
              <w:t xml:space="preserve">них паперах, який належить Депоненту, складання облікового реєстру власників цінних паперів у порядку і випадках, визначених </w:t>
            </w:r>
            <w:r w:rsidR="00022F5F">
              <w:rPr>
                <w:rFonts w:ascii="Times New Roman" w:hAnsi="Times New Roman" w:cs="Times New Roman"/>
                <w:sz w:val="16"/>
                <w:szCs w:val="16"/>
                <w:lang w:val="uk-UA"/>
              </w:rPr>
              <w:t>"</w:t>
            </w:r>
            <w:r w:rsidR="008A3236" w:rsidRPr="00E16672">
              <w:rPr>
                <w:rFonts w:ascii="Times New Roman" w:hAnsi="Times New Roman" w:cs="Times New Roman"/>
                <w:sz w:val="16"/>
                <w:szCs w:val="16"/>
                <w:lang w:val="uk-UA"/>
              </w:rPr>
              <w:t>Положенням про провадження депозитарної діяльності</w:t>
            </w:r>
            <w:r w:rsidR="00022F5F">
              <w:rPr>
                <w:rFonts w:ascii="Times New Roman" w:hAnsi="Times New Roman" w:cs="Times New Roman"/>
                <w:sz w:val="16"/>
                <w:szCs w:val="16"/>
                <w:lang w:val="uk-UA"/>
              </w:rPr>
              <w:t>"</w:t>
            </w:r>
            <w:r w:rsidR="008A3236" w:rsidRPr="00E16672">
              <w:rPr>
                <w:rFonts w:ascii="Times New Roman" w:hAnsi="Times New Roman" w:cs="Times New Roman"/>
                <w:sz w:val="16"/>
                <w:szCs w:val="16"/>
                <w:lang w:val="uk-UA"/>
              </w:rPr>
              <w:t xml:space="preserve">, затвердженим рішенням НКЦПФР від 23.04.2013 року № 735 </w:t>
            </w:r>
            <w:r w:rsidRPr="00E16672">
              <w:rPr>
                <w:rFonts w:ascii="Times New Roman" w:hAnsi="Times New Roman" w:cs="Times New Roman"/>
                <w:color w:val="000000"/>
                <w:sz w:val="16"/>
                <w:szCs w:val="16"/>
                <w:lang w:val="uk-UA"/>
              </w:rPr>
              <w:t xml:space="preserve"> та </w:t>
            </w:r>
            <w:r w:rsidRPr="00E16672">
              <w:rPr>
                <w:rFonts w:ascii="Times New Roman" w:hAnsi="Times New Roman" w:cs="Times New Roman"/>
                <w:iCs/>
                <w:color w:val="000000"/>
                <w:sz w:val="16"/>
                <w:szCs w:val="16"/>
                <w:lang w:val="uk-UA"/>
              </w:rPr>
              <w:t xml:space="preserve">у інших </w:t>
            </w:r>
            <w:r w:rsidRPr="00E16672">
              <w:rPr>
                <w:rFonts w:ascii="Times New Roman" w:hAnsi="Times New Roman" w:cs="Times New Roman"/>
                <w:iCs/>
                <w:color w:val="000000"/>
                <w:sz w:val="16"/>
                <w:szCs w:val="16"/>
                <w:lang w:val="uk-UA"/>
              </w:rPr>
              <w:lastRenderedPageBreak/>
              <w:t>випадках передбачених нормативно-правовими актами НКЦПФР та</w:t>
            </w:r>
            <w:r w:rsidRPr="00E16672">
              <w:rPr>
                <w:rFonts w:ascii="Times New Roman" w:hAnsi="Times New Roman" w:cs="Times New Roman"/>
                <w:color w:val="000000"/>
                <w:sz w:val="16"/>
                <w:szCs w:val="16"/>
                <w:lang w:val="uk-UA"/>
              </w:rPr>
              <w:t xml:space="preserve"> законами України.</w:t>
            </w:r>
            <w:r w:rsidRPr="00E16672">
              <w:rPr>
                <w:rFonts w:ascii="Times New Roman" w:hAnsi="Times New Roman" w:cs="Times New Roman"/>
                <w:iCs/>
                <w:color w:val="000000"/>
                <w:sz w:val="16"/>
                <w:szCs w:val="16"/>
                <w:lang w:val="uk-UA"/>
              </w:rPr>
              <w:t xml:space="preserve"> </w:t>
            </w:r>
          </w:p>
          <w:p w14:paraId="182BFB6B" w14:textId="77777777" w:rsidR="00E22279" w:rsidRPr="00E16672" w:rsidRDefault="00E22279" w:rsidP="00E22279">
            <w:pPr>
              <w:snapToGrid w:val="0"/>
              <w:ind w:left="175" w:right="138" w:firstLine="0"/>
              <w:rPr>
                <w:rFonts w:ascii="Times New Roman" w:hAnsi="Times New Roman"/>
                <w:sz w:val="16"/>
                <w:szCs w:val="16"/>
              </w:rPr>
            </w:pPr>
          </w:p>
        </w:tc>
        <w:tc>
          <w:tcPr>
            <w:tcW w:w="5494" w:type="dxa"/>
            <w:gridSpan w:val="7"/>
            <w:shd w:val="clear" w:color="auto" w:fill="auto"/>
          </w:tcPr>
          <w:p w14:paraId="6A58ED38" w14:textId="77777777" w:rsidR="00E22279" w:rsidRPr="00E16672" w:rsidRDefault="00E22279" w:rsidP="00022F5F">
            <w:pPr>
              <w:pStyle w:val="210"/>
              <w:tabs>
                <w:tab w:val="left" w:pos="287"/>
              </w:tabs>
              <w:snapToGrid w:val="0"/>
              <w:ind w:left="145" w:right="100" w:firstLine="0"/>
              <w:jc w:val="left"/>
              <w:rPr>
                <w:rFonts w:ascii="Times New Roman" w:hAnsi="Times New Roman"/>
                <w:sz w:val="16"/>
                <w:szCs w:val="16"/>
                <w:lang w:val="en-US"/>
              </w:rPr>
            </w:pPr>
            <w:r w:rsidRPr="00E16672">
              <w:rPr>
                <w:rFonts w:ascii="Times New Roman" w:hAnsi="Times New Roman"/>
                <w:color w:val="000000"/>
                <w:sz w:val="16"/>
                <w:szCs w:val="16"/>
                <w:lang w:val="en-GB"/>
              </w:rPr>
              <w:lastRenderedPageBreak/>
              <w:t xml:space="preserve">10.5. Depositor agrees to transfer (distribution) of their personal data included in the system of depository accounting solely for the purpose of storage and maintenance of securities and transactions of the issuer of the securities on a securities account, which belongs to the Depositor, compiling your register of holders of securities the procedure and cases defined by the </w:t>
            </w:r>
            <w:r w:rsidR="00022F5F">
              <w:rPr>
                <w:rFonts w:ascii="Times New Roman" w:hAnsi="Times New Roman"/>
                <w:sz w:val="16"/>
                <w:szCs w:val="16"/>
              </w:rPr>
              <w:t>"</w:t>
            </w:r>
            <w:r w:rsidR="008A3236" w:rsidRPr="00E16672">
              <w:rPr>
                <w:rFonts w:ascii="Times New Roman" w:hAnsi="Times New Roman"/>
                <w:sz w:val="16"/>
                <w:szCs w:val="16"/>
                <w:lang w:val="en-GB"/>
              </w:rPr>
              <w:t>Regulations on procedure depository activities</w:t>
            </w:r>
            <w:r w:rsidR="00022F5F">
              <w:rPr>
                <w:rFonts w:ascii="Times New Roman" w:hAnsi="Times New Roman"/>
                <w:sz w:val="16"/>
                <w:szCs w:val="16"/>
              </w:rPr>
              <w:t>"</w:t>
            </w:r>
            <w:r w:rsidR="008A3236" w:rsidRPr="00E16672">
              <w:rPr>
                <w:rFonts w:ascii="Times New Roman" w:hAnsi="Times New Roman"/>
                <w:sz w:val="16"/>
                <w:szCs w:val="16"/>
                <w:lang w:val="en-GB"/>
              </w:rPr>
              <w:t xml:space="preserve"> approved by the NCSSM from 23.04.2013, № 735</w:t>
            </w:r>
            <w:r w:rsidR="00D352F4" w:rsidRPr="00E16672">
              <w:rPr>
                <w:rFonts w:ascii="Times New Roman" w:hAnsi="Times New Roman"/>
                <w:sz w:val="16"/>
                <w:szCs w:val="16"/>
                <w:lang w:val="en-US"/>
              </w:rPr>
              <w:t xml:space="preserve"> </w:t>
            </w:r>
            <w:r w:rsidRPr="00E16672">
              <w:rPr>
                <w:rFonts w:ascii="Times New Roman" w:hAnsi="Times New Roman"/>
                <w:color w:val="000000"/>
                <w:sz w:val="16"/>
                <w:szCs w:val="16"/>
                <w:lang w:val="en-GB"/>
              </w:rPr>
              <w:t>and in other cases stipulated by regulations NCSSM and laws of Ukraine.</w:t>
            </w:r>
          </w:p>
        </w:tc>
      </w:tr>
      <w:tr w:rsidR="00E22279" w:rsidRPr="00F23413" w14:paraId="4EF80953" w14:textId="77777777" w:rsidTr="00D77858">
        <w:tblPrEx>
          <w:tblCellMar>
            <w:left w:w="0" w:type="dxa"/>
            <w:right w:w="0" w:type="dxa"/>
          </w:tblCellMar>
        </w:tblPrEx>
        <w:trPr>
          <w:trHeight w:val="192"/>
        </w:trPr>
        <w:tc>
          <w:tcPr>
            <w:tcW w:w="5696" w:type="dxa"/>
            <w:gridSpan w:val="6"/>
            <w:shd w:val="clear" w:color="auto" w:fill="auto"/>
          </w:tcPr>
          <w:p w14:paraId="14AD6206" w14:textId="77777777" w:rsidR="00E22279" w:rsidRPr="00E16672" w:rsidRDefault="00E22279" w:rsidP="00E22279">
            <w:pPr>
              <w:snapToGrid w:val="0"/>
              <w:ind w:left="175" w:right="138" w:firstLine="0"/>
              <w:rPr>
                <w:rFonts w:ascii="Times New Roman" w:hAnsi="Times New Roman"/>
                <w:sz w:val="16"/>
                <w:szCs w:val="16"/>
              </w:rPr>
            </w:pPr>
            <w:r w:rsidRPr="00E16672">
              <w:rPr>
                <w:rFonts w:ascii="Times New Roman" w:hAnsi="Times New Roman"/>
                <w:color w:val="000000"/>
                <w:sz w:val="16"/>
                <w:szCs w:val="16"/>
              </w:rPr>
              <w:t>10.6</w:t>
            </w:r>
            <w:r w:rsidRPr="00E16672">
              <w:rPr>
                <w:rFonts w:ascii="Times New Roman" w:hAnsi="Times New Roman"/>
                <w:color w:val="000000"/>
                <w:sz w:val="16"/>
                <w:szCs w:val="16"/>
                <w:lang w:val="uk-UA"/>
              </w:rPr>
              <w:t xml:space="preserve"> Депонент дає згоду на зберігання своїх персональних даних протягом строку, визначеного Положенням про провадження депозитарної діяльності.</w:t>
            </w:r>
          </w:p>
        </w:tc>
        <w:tc>
          <w:tcPr>
            <w:tcW w:w="5494" w:type="dxa"/>
            <w:gridSpan w:val="7"/>
            <w:shd w:val="clear" w:color="auto" w:fill="auto"/>
          </w:tcPr>
          <w:p w14:paraId="5A96318E" w14:textId="77777777" w:rsidR="00E22279" w:rsidRPr="00E16672" w:rsidRDefault="00E22279" w:rsidP="00E22279">
            <w:pPr>
              <w:pStyle w:val="210"/>
              <w:tabs>
                <w:tab w:val="left" w:pos="287"/>
              </w:tabs>
              <w:snapToGrid w:val="0"/>
              <w:ind w:left="145" w:right="100" w:firstLine="0"/>
              <w:rPr>
                <w:rFonts w:ascii="Times New Roman" w:hAnsi="Times New Roman"/>
                <w:sz w:val="16"/>
                <w:szCs w:val="16"/>
              </w:rPr>
            </w:pPr>
            <w:r w:rsidRPr="00E16672">
              <w:rPr>
                <w:rFonts w:ascii="Times New Roman" w:hAnsi="Times New Roman"/>
                <w:color w:val="000000"/>
                <w:sz w:val="16"/>
                <w:szCs w:val="16"/>
                <w:lang w:val="en-GB"/>
              </w:rPr>
              <w:t>10.6. Depositor agrees to store their personal data within the period prescribed by the Regulations on procedure depository activities.</w:t>
            </w:r>
          </w:p>
        </w:tc>
      </w:tr>
      <w:tr w:rsidR="00E22279" w:rsidRPr="00F23413" w14:paraId="287C5858" w14:textId="77777777" w:rsidTr="00D77858">
        <w:tblPrEx>
          <w:tblCellMar>
            <w:left w:w="0" w:type="dxa"/>
            <w:right w:w="0" w:type="dxa"/>
          </w:tblCellMar>
        </w:tblPrEx>
        <w:trPr>
          <w:trHeight w:val="192"/>
        </w:trPr>
        <w:tc>
          <w:tcPr>
            <w:tcW w:w="5696" w:type="dxa"/>
            <w:gridSpan w:val="6"/>
            <w:shd w:val="clear" w:color="auto" w:fill="auto"/>
          </w:tcPr>
          <w:p w14:paraId="1C8A8ED8" w14:textId="77777777" w:rsidR="00E22279" w:rsidRPr="00E16672" w:rsidRDefault="00E22279" w:rsidP="00E22279">
            <w:pPr>
              <w:snapToGrid w:val="0"/>
              <w:ind w:left="175" w:right="138" w:firstLine="0"/>
              <w:rPr>
                <w:rFonts w:ascii="Times New Roman" w:hAnsi="Times New Roman"/>
                <w:color w:val="000000"/>
                <w:sz w:val="16"/>
                <w:szCs w:val="16"/>
                <w:lang w:val="en-US"/>
              </w:rPr>
            </w:pPr>
          </w:p>
          <w:p w14:paraId="0A96B835" w14:textId="77777777" w:rsidR="00E22279" w:rsidRPr="00E16672" w:rsidRDefault="00E22279" w:rsidP="00E22279">
            <w:pPr>
              <w:snapToGrid w:val="0"/>
              <w:ind w:left="175" w:right="138" w:firstLine="0"/>
              <w:rPr>
                <w:rFonts w:ascii="Times New Roman" w:hAnsi="Times New Roman"/>
                <w:color w:val="000000"/>
                <w:sz w:val="16"/>
                <w:szCs w:val="16"/>
              </w:rPr>
            </w:pPr>
            <w:r w:rsidRPr="00E16672">
              <w:rPr>
                <w:rFonts w:ascii="Times New Roman" w:hAnsi="Times New Roman"/>
                <w:color w:val="000000"/>
                <w:sz w:val="16"/>
                <w:szCs w:val="16"/>
              </w:rPr>
              <w:t xml:space="preserve">10.7. Доступ до </w:t>
            </w:r>
            <w:proofErr w:type="spellStart"/>
            <w:r w:rsidRPr="00E16672">
              <w:rPr>
                <w:rFonts w:ascii="Times New Roman" w:hAnsi="Times New Roman"/>
                <w:color w:val="000000"/>
                <w:sz w:val="16"/>
                <w:szCs w:val="16"/>
              </w:rPr>
              <w:t>персональних</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даних</w:t>
            </w:r>
            <w:proofErr w:type="spellEnd"/>
            <w:r w:rsidRPr="00E16672">
              <w:rPr>
                <w:rFonts w:ascii="Times New Roman" w:hAnsi="Times New Roman"/>
                <w:color w:val="000000"/>
                <w:sz w:val="16"/>
                <w:szCs w:val="16"/>
              </w:rPr>
              <w:t xml:space="preserve"> Депонента, </w:t>
            </w:r>
            <w:proofErr w:type="spellStart"/>
            <w:r w:rsidRPr="00E16672">
              <w:rPr>
                <w:rFonts w:ascii="Times New Roman" w:hAnsi="Times New Roman"/>
                <w:color w:val="000000"/>
                <w:sz w:val="16"/>
                <w:szCs w:val="16"/>
              </w:rPr>
              <w:t>що</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включені</w:t>
            </w:r>
            <w:proofErr w:type="spellEnd"/>
            <w:r w:rsidRPr="00E16672">
              <w:rPr>
                <w:rFonts w:ascii="Times New Roman" w:hAnsi="Times New Roman"/>
                <w:color w:val="000000"/>
                <w:sz w:val="16"/>
                <w:szCs w:val="16"/>
              </w:rPr>
              <w:t xml:space="preserve"> до </w:t>
            </w:r>
            <w:proofErr w:type="spellStart"/>
            <w:r w:rsidRPr="00E16672">
              <w:rPr>
                <w:rFonts w:ascii="Times New Roman" w:hAnsi="Times New Roman"/>
                <w:color w:val="000000"/>
                <w:sz w:val="16"/>
                <w:szCs w:val="16"/>
              </w:rPr>
              <w:t>системи</w:t>
            </w:r>
            <w:proofErr w:type="spellEnd"/>
            <w:r w:rsidRPr="00E16672">
              <w:rPr>
                <w:rFonts w:ascii="Times New Roman" w:hAnsi="Times New Roman"/>
                <w:color w:val="000000"/>
                <w:sz w:val="16"/>
                <w:szCs w:val="16"/>
              </w:rPr>
              <w:t xml:space="preserve"> депозитарного </w:t>
            </w:r>
            <w:proofErr w:type="spellStart"/>
            <w:r w:rsidRPr="00E16672">
              <w:rPr>
                <w:rFonts w:ascii="Times New Roman" w:hAnsi="Times New Roman"/>
                <w:color w:val="000000"/>
                <w:sz w:val="16"/>
                <w:szCs w:val="16"/>
              </w:rPr>
              <w:t>обліку</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Депозитарної</w:t>
            </w:r>
            <w:proofErr w:type="spellEnd"/>
            <w:r w:rsidRPr="00E16672">
              <w:rPr>
                <w:rFonts w:ascii="Times New Roman" w:hAnsi="Times New Roman"/>
                <w:color w:val="000000"/>
                <w:sz w:val="16"/>
                <w:szCs w:val="16"/>
              </w:rPr>
              <w:t xml:space="preserve"> установи </w:t>
            </w:r>
            <w:proofErr w:type="spellStart"/>
            <w:r w:rsidRPr="00E16672">
              <w:rPr>
                <w:rFonts w:ascii="Times New Roman" w:hAnsi="Times New Roman"/>
                <w:color w:val="000000"/>
                <w:sz w:val="16"/>
                <w:szCs w:val="16"/>
              </w:rPr>
              <w:t>третіх</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осіб</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дозволяється</w:t>
            </w:r>
            <w:proofErr w:type="spellEnd"/>
            <w:r w:rsidRPr="00E16672">
              <w:rPr>
                <w:rFonts w:ascii="Times New Roman" w:hAnsi="Times New Roman"/>
                <w:color w:val="000000"/>
                <w:sz w:val="16"/>
                <w:szCs w:val="16"/>
              </w:rPr>
              <w:t xml:space="preserve"> у </w:t>
            </w:r>
            <w:proofErr w:type="spellStart"/>
            <w:r w:rsidRPr="00E16672">
              <w:rPr>
                <w:rFonts w:ascii="Times New Roman" w:hAnsi="Times New Roman"/>
                <w:color w:val="000000"/>
                <w:sz w:val="16"/>
                <w:szCs w:val="16"/>
              </w:rPr>
              <w:t>випадках</w:t>
            </w:r>
            <w:proofErr w:type="spellEnd"/>
            <w:r w:rsidRPr="00E16672">
              <w:rPr>
                <w:rFonts w:ascii="Times New Roman" w:hAnsi="Times New Roman"/>
                <w:color w:val="000000"/>
                <w:sz w:val="16"/>
                <w:szCs w:val="16"/>
              </w:rPr>
              <w:t xml:space="preserve"> та порядку, </w:t>
            </w:r>
            <w:proofErr w:type="spellStart"/>
            <w:r w:rsidRPr="00E16672">
              <w:rPr>
                <w:rFonts w:ascii="Times New Roman" w:hAnsi="Times New Roman"/>
                <w:color w:val="000000"/>
                <w:sz w:val="16"/>
                <w:szCs w:val="16"/>
              </w:rPr>
              <w:t>передбаченому</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законодавством</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України</w:t>
            </w:r>
            <w:proofErr w:type="spellEnd"/>
            <w:r w:rsidRPr="00E16672">
              <w:rPr>
                <w:rFonts w:ascii="Times New Roman" w:hAnsi="Times New Roman"/>
                <w:color w:val="000000"/>
                <w:sz w:val="16"/>
                <w:szCs w:val="16"/>
              </w:rPr>
              <w:t>.</w:t>
            </w:r>
          </w:p>
          <w:p w14:paraId="53258485" w14:textId="77777777" w:rsidR="00E22279" w:rsidRPr="00E16672" w:rsidRDefault="00E22279" w:rsidP="00E22279">
            <w:pPr>
              <w:snapToGrid w:val="0"/>
              <w:ind w:left="175" w:right="138" w:firstLine="0"/>
              <w:rPr>
                <w:rFonts w:ascii="Times New Roman" w:hAnsi="Times New Roman"/>
                <w:sz w:val="16"/>
                <w:szCs w:val="16"/>
              </w:rPr>
            </w:pPr>
          </w:p>
        </w:tc>
        <w:tc>
          <w:tcPr>
            <w:tcW w:w="5494" w:type="dxa"/>
            <w:gridSpan w:val="7"/>
            <w:shd w:val="clear" w:color="auto" w:fill="auto"/>
          </w:tcPr>
          <w:p w14:paraId="6159D627" w14:textId="77777777" w:rsidR="00E22279" w:rsidRPr="00E16672" w:rsidRDefault="00E22279" w:rsidP="00E22279">
            <w:pPr>
              <w:tabs>
                <w:tab w:val="left" w:pos="287"/>
              </w:tabs>
              <w:snapToGrid w:val="0"/>
              <w:ind w:left="145" w:right="100" w:firstLine="0"/>
              <w:rPr>
                <w:rFonts w:ascii="Times New Roman" w:hAnsi="Times New Roman"/>
                <w:color w:val="000000"/>
                <w:sz w:val="16"/>
                <w:szCs w:val="16"/>
              </w:rPr>
            </w:pPr>
          </w:p>
          <w:p w14:paraId="4E798F54" w14:textId="77777777" w:rsidR="00E22279" w:rsidRPr="00E16672" w:rsidRDefault="00E22279" w:rsidP="00E22279">
            <w:pPr>
              <w:pStyle w:val="210"/>
              <w:tabs>
                <w:tab w:val="left" w:pos="287"/>
              </w:tabs>
              <w:snapToGrid w:val="0"/>
              <w:ind w:left="145" w:right="100" w:firstLine="0"/>
              <w:rPr>
                <w:rFonts w:ascii="Times New Roman" w:hAnsi="Times New Roman"/>
                <w:sz w:val="16"/>
                <w:szCs w:val="16"/>
              </w:rPr>
            </w:pPr>
            <w:r w:rsidRPr="00E16672">
              <w:rPr>
                <w:rFonts w:ascii="Times New Roman" w:hAnsi="Times New Roman"/>
                <w:color w:val="000000"/>
                <w:sz w:val="16"/>
                <w:szCs w:val="16"/>
                <w:lang w:val="en-GB"/>
              </w:rPr>
              <w:t xml:space="preserve">10.7. Access to personal data of the Depositor, which </w:t>
            </w:r>
            <w:proofErr w:type="gramStart"/>
            <w:r w:rsidRPr="00E16672">
              <w:rPr>
                <w:rFonts w:ascii="Times New Roman" w:hAnsi="Times New Roman"/>
                <w:color w:val="000000"/>
                <w:sz w:val="16"/>
                <w:szCs w:val="16"/>
                <w:lang w:val="en-GB"/>
              </w:rPr>
              <w:t xml:space="preserve">included </w:t>
            </w:r>
            <w:r w:rsidRPr="00E16672">
              <w:rPr>
                <w:rFonts w:ascii="Times New Roman" w:hAnsi="Times New Roman"/>
                <w:color w:val="000000"/>
                <w:sz w:val="16"/>
                <w:szCs w:val="16"/>
                <w:lang w:val="en-US"/>
              </w:rPr>
              <w:t xml:space="preserve"> to</w:t>
            </w:r>
            <w:proofErr w:type="gramEnd"/>
            <w:r w:rsidRPr="00E16672">
              <w:rPr>
                <w:rFonts w:ascii="Times New Roman" w:hAnsi="Times New Roman"/>
                <w:color w:val="000000"/>
                <w:sz w:val="16"/>
                <w:szCs w:val="16"/>
                <w:lang w:val="en-US"/>
              </w:rPr>
              <w:t xml:space="preserve"> </w:t>
            </w:r>
            <w:r w:rsidRPr="00E16672">
              <w:rPr>
                <w:rFonts w:ascii="Times New Roman" w:hAnsi="Times New Roman"/>
                <w:color w:val="000000"/>
                <w:sz w:val="16"/>
                <w:szCs w:val="16"/>
                <w:lang w:val="en-GB"/>
              </w:rPr>
              <w:t>a system of depository account</w:t>
            </w:r>
            <w:r w:rsidRPr="00E16672">
              <w:rPr>
                <w:rFonts w:ascii="Times New Roman" w:hAnsi="Times New Roman"/>
                <w:color w:val="000000"/>
                <w:sz w:val="16"/>
                <w:szCs w:val="16"/>
                <w:lang w:val="en-US"/>
              </w:rPr>
              <w:t xml:space="preserve"> of </w:t>
            </w:r>
            <w:r w:rsidRPr="00E16672">
              <w:rPr>
                <w:rFonts w:ascii="Times New Roman" w:hAnsi="Times New Roman"/>
                <w:color w:val="000000"/>
                <w:sz w:val="16"/>
                <w:szCs w:val="16"/>
                <w:lang w:val="en-GB"/>
              </w:rPr>
              <w:t xml:space="preserve"> Depository institution of third parties are allowed in cases and order provided by legislation of Ukraine.</w:t>
            </w:r>
          </w:p>
        </w:tc>
      </w:tr>
      <w:tr w:rsidR="00E22279" w:rsidRPr="00F23413" w14:paraId="0C5F5DC0" w14:textId="77777777" w:rsidTr="00D77858">
        <w:tblPrEx>
          <w:tblCellMar>
            <w:left w:w="0" w:type="dxa"/>
            <w:right w:w="0" w:type="dxa"/>
          </w:tblCellMar>
        </w:tblPrEx>
        <w:trPr>
          <w:trHeight w:val="192"/>
        </w:trPr>
        <w:tc>
          <w:tcPr>
            <w:tcW w:w="5696" w:type="dxa"/>
            <w:gridSpan w:val="6"/>
            <w:shd w:val="clear" w:color="auto" w:fill="auto"/>
          </w:tcPr>
          <w:p w14:paraId="4555DEBE" w14:textId="77777777" w:rsidR="00E22279" w:rsidRPr="00E16672" w:rsidRDefault="00E22279" w:rsidP="00E22279">
            <w:pPr>
              <w:tabs>
                <w:tab w:val="left" w:pos="851"/>
              </w:tabs>
              <w:ind w:left="175" w:right="138" w:firstLine="0"/>
              <w:rPr>
                <w:rFonts w:ascii="Times New Roman" w:hAnsi="Times New Roman"/>
                <w:color w:val="000000"/>
                <w:sz w:val="16"/>
                <w:szCs w:val="16"/>
                <w:lang w:val="uk-UA"/>
              </w:rPr>
            </w:pPr>
            <w:r w:rsidRPr="00E16672">
              <w:rPr>
                <w:rFonts w:ascii="Times New Roman" w:hAnsi="Times New Roman"/>
                <w:color w:val="000000"/>
                <w:sz w:val="16"/>
                <w:szCs w:val="16"/>
                <w:lang w:val="en-US"/>
              </w:rPr>
              <w:t>10.8</w:t>
            </w:r>
            <w:r w:rsidRPr="00E16672">
              <w:rPr>
                <w:rFonts w:ascii="Times New Roman" w:hAnsi="Times New Roman"/>
                <w:color w:val="000000"/>
                <w:sz w:val="16"/>
                <w:szCs w:val="16"/>
                <w:lang w:val="uk-UA"/>
              </w:rPr>
              <w:t>.</w:t>
            </w:r>
            <w:r w:rsidRPr="00E16672">
              <w:rPr>
                <w:rFonts w:ascii="Times New Roman" w:hAnsi="Times New Roman"/>
                <w:color w:val="000000"/>
                <w:sz w:val="16"/>
                <w:szCs w:val="16"/>
                <w:lang w:val="en-US"/>
              </w:rPr>
              <w:t xml:space="preserve"> </w:t>
            </w:r>
            <w:r w:rsidRPr="00E16672">
              <w:rPr>
                <w:rFonts w:ascii="Times New Roman" w:hAnsi="Times New Roman"/>
                <w:color w:val="000000"/>
                <w:sz w:val="16"/>
                <w:szCs w:val="16"/>
                <w:lang w:val="uk-UA"/>
              </w:rPr>
              <w:t>Депонент не вимагає здійснення повідомлення про передачу (поширення) своїх персональних даних, що включені до системи депозитарного обліку, якщо така передача (поширення) відбувається виключно з метою, визначеною у відповідному пункті цієї Згоди-повідомлення.</w:t>
            </w:r>
          </w:p>
          <w:p w14:paraId="0A4EF066" w14:textId="77777777" w:rsidR="00E22279" w:rsidRPr="00E16672" w:rsidRDefault="00E22279" w:rsidP="00E22279">
            <w:pPr>
              <w:snapToGrid w:val="0"/>
              <w:ind w:left="175" w:right="138" w:firstLine="0"/>
              <w:rPr>
                <w:rFonts w:ascii="Times New Roman" w:hAnsi="Times New Roman"/>
                <w:sz w:val="16"/>
                <w:szCs w:val="16"/>
                <w:lang w:val="en-US"/>
              </w:rPr>
            </w:pPr>
          </w:p>
        </w:tc>
        <w:tc>
          <w:tcPr>
            <w:tcW w:w="5494" w:type="dxa"/>
            <w:gridSpan w:val="7"/>
            <w:shd w:val="clear" w:color="auto" w:fill="auto"/>
          </w:tcPr>
          <w:p w14:paraId="11693693" w14:textId="77777777" w:rsidR="00E22279" w:rsidRPr="00E16672" w:rsidRDefault="00E22279" w:rsidP="00E22279">
            <w:pPr>
              <w:pStyle w:val="210"/>
              <w:tabs>
                <w:tab w:val="left" w:pos="287"/>
              </w:tabs>
              <w:snapToGrid w:val="0"/>
              <w:ind w:left="145" w:right="100" w:firstLine="0"/>
              <w:rPr>
                <w:rFonts w:ascii="Times New Roman" w:hAnsi="Times New Roman"/>
                <w:sz w:val="16"/>
                <w:szCs w:val="16"/>
              </w:rPr>
            </w:pPr>
            <w:r w:rsidRPr="00E16672">
              <w:rPr>
                <w:rFonts w:ascii="Times New Roman" w:hAnsi="Times New Roman"/>
                <w:color w:val="000000"/>
                <w:sz w:val="16"/>
                <w:szCs w:val="16"/>
                <w:lang w:val="en-GB"/>
              </w:rPr>
              <w:t xml:space="preserve">10.8. </w:t>
            </w:r>
            <w:proofErr w:type="spellStart"/>
            <w:r w:rsidRPr="00E16672">
              <w:rPr>
                <w:rFonts w:ascii="Times New Roman" w:hAnsi="Times New Roman"/>
                <w:color w:val="000000"/>
                <w:sz w:val="16"/>
                <w:szCs w:val="16"/>
              </w:rPr>
              <w:t>Depositor</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does</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not</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require</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notification</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of</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the</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transfer</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spread</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of</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their</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personal</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data</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included</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in</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the</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depository</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accounting</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system</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if</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such</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transfer</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distribution</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is</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solely</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for</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the</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purpose</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specified</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in</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the</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relevant</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paragraph</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of</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this</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Consent</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message</w:t>
            </w:r>
            <w:proofErr w:type="spellEnd"/>
            <w:r w:rsidRPr="00E16672">
              <w:rPr>
                <w:rStyle w:val="hps"/>
                <w:rFonts w:ascii="Times New Roman" w:hAnsi="Times New Roman"/>
                <w:color w:val="000000"/>
              </w:rPr>
              <w:t>.</w:t>
            </w:r>
          </w:p>
        </w:tc>
      </w:tr>
      <w:tr w:rsidR="00E22279" w:rsidRPr="00F23413" w14:paraId="01BDEB9A" w14:textId="77777777" w:rsidTr="00D77858">
        <w:tblPrEx>
          <w:tblCellMar>
            <w:left w:w="0" w:type="dxa"/>
            <w:right w:w="0" w:type="dxa"/>
          </w:tblCellMar>
        </w:tblPrEx>
        <w:trPr>
          <w:trHeight w:val="1256"/>
        </w:trPr>
        <w:tc>
          <w:tcPr>
            <w:tcW w:w="5696" w:type="dxa"/>
            <w:gridSpan w:val="6"/>
            <w:shd w:val="clear" w:color="auto" w:fill="auto"/>
          </w:tcPr>
          <w:p w14:paraId="419C5901" w14:textId="77777777" w:rsidR="00E22279" w:rsidRPr="00E16672" w:rsidRDefault="00E22279" w:rsidP="00E22279">
            <w:pPr>
              <w:pStyle w:val="32"/>
              <w:snapToGrid w:val="0"/>
              <w:ind w:left="175" w:right="138" w:firstLine="0"/>
              <w:jc w:val="center"/>
              <w:rPr>
                <w:rFonts w:ascii="Times New Roman" w:hAnsi="Times New Roman"/>
                <w:b/>
                <w:caps/>
                <w:color w:val="000000"/>
                <w:sz w:val="16"/>
                <w:szCs w:val="16"/>
                <w:shd w:val="clear" w:color="auto" w:fill="FFFFFF"/>
              </w:rPr>
            </w:pPr>
            <w:r w:rsidRPr="00E16672">
              <w:rPr>
                <w:rFonts w:ascii="Times New Roman" w:hAnsi="Times New Roman"/>
                <w:b/>
                <w:caps/>
                <w:color w:val="000000"/>
                <w:sz w:val="16"/>
                <w:szCs w:val="16"/>
                <w:shd w:val="clear" w:color="auto" w:fill="FFFFFF"/>
              </w:rPr>
              <w:t xml:space="preserve">11. Про визнання </w:t>
            </w:r>
            <w:r w:rsidRPr="00E16672">
              <w:rPr>
                <w:rFonts w:ascii="Times New Roman" w:hAnsi="Times New Roman"/>
                <w:b/>
                <w:bCs/>
                <w:sz w:val="16"/>
                <w:szCs w:val="16"/>
                <w:lang w:val="uk-UA"/>
              </w:rPr>
              <w:t>КВАЛІФІКОВАНОГО</w:t>
            </w:r>
            <w:r w:rsidRPr="00E16672">
              <w:rPr>
                <w:rFonts w:ascii="Times New Roman" w:hAnsi="Times New Roman"/>
                <w:b/>
                <w:bCs/>
                <w:lang w:val="uk-UA"/>
              </w:rPr>
              <w:t xml:space="preserve"> </w:t>
            </w:r>
            <w:r w:rsidRPr="00E16672">
              <w:rPr>
                <w:rFonts w:ascii="Times New Roman" w:hAnsi="Times New Roman"/>
                <w:b/>
                <w:caps/>
                <w:color w:val="000000"/>
                <w:sz w:val="16"/>
                <w:szCs w:val="16"/>
                <w:shd w:val="clear" w:color="auto" w:fill="FFFFFF"/>
              </w:rPr>
              <w:t>електронного</w:t>
            </w:r>
          </w:p>
          <w:p w14:paraId="260F556E" w14:textId="77777777" w:rsidR="00E22279" w:rsidRPr="00E16672" w:rsidRDefault="00E22279" w:rsidP="00E22279">
            <w:pPr>
              <w:pStyle w:val="32"/>
              <w:ind w:left="175" w:right="138" w:firstLine="0"/>
              <w:jc w:val="center"/>
              <w:rPr>
                <w:rFonts w:ascii="Times New Roman" w:hAnsi="Times New Roman"/>
                <w:b/>
                <w:caps/>
                <w:color w:val="000000"/>
                <w:sz w:val="16"/>
                <w:szCs w:val="16"/>
                <w:shd w:val="clear" w:color="auto" w:fill="FFFFFF"/>
              </w:rPr>
            </w:pPr>
            <w:r w:rsidRPr="00E16672">
              <w:rPr>
                <w:rFonts w:ascii="Times New Roman" w:hAnsi="Times New Roman"/>
                <w:b/>
                <w:caps/>
                <w:color w:val="000000"/>
                <w:sz w:val="16"/>
                <w:szCs w:val="16"/>
                <w:shd w:val="clear" w:color="auto" w:fill="FFFFFF"/>
              </w:rPr>
              <w:t>підпису</w:t>
            </w:r>
          </w:p>
          <w:p w14:paraId="354D1D2D" w14:textId="77777777" w:rsidR="00E22279" w:rsidRPr="00E16672" w:rsidRDefault="00E22279" w:rsidP="00E22279">
            <w:pPr>
              <w:pStyle w:val="32"/>
              <w:ind w:left="175" w:right="138" w:firstLine="0"/>
              <w:rPr>
                <w:rFonts w:ascii="Times New Roman" w:hAnsi="Times New Roman"/>
                <w:b/>
                <w:caps/>
                <w:color w:val="000000"/>
                <w:sz w:val="16"/>
                <w:szCs w:val="16"/>
              </w:rPr>
            </w:pPr>
          </w:p>
          <w:p w14:paraId="6A65145F" w14:textId="77777777" w:rsidR="00E22279" w:rsidRPr="00E16672" w:rsidRDefault="00E22279" w:rsidP="00E22279">
            <w:pPr>
              <w:pStyle w:val="33"/>
              <w:tabs>
                <w:tab w:val="left" w:pos="851"/>
              </w:tabs>
              <w:ind w:left="175" w:right="138" w:firstLine="0"/>
              <w:rPr>
                <w:rFonts w:ascii="Times New Roman" w:hAnsi="Times New Roman" w:cs="Times New Roman"/>
                <w:color w:val="000000"/>
                <w:sz w:val="16"/>
                <w:szCs w:val="16"/>
                <w:lang w:val="uk-UA"/>
              </w:rPr>
            </w:pPr>
            <w:r w:rsidRPr="00E16672">
              <w:rPr>
                <w:rFonts w:ascii="Times New Roman" w:hAnsi="Times New Roman" w:cs="Times New Roman"/>
                <w:color w:val="000000"/>
                <w:sz w:val="16"/>
                <w:szCs w:val="16"/>
                <w:lang w:val="uk-UA"/>
              </w:rPr>
              <w:t>1</w:t>
            </w:r>
            <w:r w:rsidRPr="00E16672">
              <w:rPr>
                <w:rFonts w:ascii="Times New Roman" w:hAnsi="Times New Roman" w:cs="Times New Roman"/>
                <w:color w:val="000000"/>
                <w:sz w:val="16"/>
                <w:szCs w:val="16"/>
              </w:rPr>
              <w:t>1</w:t>
            </w:r>
            <w:r w:rsidRPr="00E16672">
              <w:rPr>
                <w:rFonts w:ascii="Times New Roman" w:hAnsi="Times New Roman" w:cs="Times New Roman"/>
                <w:color w:val="000000"/>
                <w:sz w:val="16"/>
                <w:szCs w:val="16"/>
                <w:lang w:val="uk-UA"/>
              </w:rPr>
              <w:t xml:space="preserve">.1. В ході виконання договору Сторони можуть обмінюватися електронними документами, які засвідчуються за допомогою </w:t>
            </w:r>
            <w:r w:rsidRPr="00E16672">
              <w:rPr>
                <w:rFonts w:ascii="Times New Roman" w:hAnsi="Times New Roman" w:cs="Times New Roman"/>
                <w:sz w:val="16"/>
                <w:lang w:val="uk-UA"/>
              </w:rPr>
              <w:t xml:space="preserve">кваліфікованого </w:t>
            </w:r>
            <w:r w:rsidRPr="00E16672">
              <w:rPr>
                <w:rFonts w:ascii="Times New Roman" w:hAnsi="Times New Roman" w:cs="Times New Roman"/>
                <w:color w:val="000000"/>
                <w:sz w:val="16"/>
                <w:szCs w:val="16"/>
                <w:lang w:val="uk-UA"/>
              </w:rPr>
              <w:t xml:space="preserve">електронного підпису </w:t>
            </w:r>
            <w:proofErr w:type="spellStart"/>
            <w:r w:rsidRPr="00E16672">
              <w:rPr>
                <w:rFonts w:ascii="Times New Roman" w:hAnsi="Times New Roman" w:cs="Times New Roman"/>
                <w:sz w:val="16"/>
                <w:szCs w:val="16"/>
                <w:lang w:eastAsia="ru-RU"/>
              </w:rPr>
              <w:t>відповідно</w:t>
            </w:r>
            <w:proofErr w:type="spellEnd"/>
            <w:r w:rsidRPr="00E16672">
              <w:rPr>
                <w:rFonts w:ascii="Times New Roman" w:hAnsi="Times New Roman" w:cs="Times New Roman"/>
                <w:sz w:val="16"/>
                <w:szCs w:val="16"/>
                <w:lang w:eastAsia="ru-RU"/>
              </w:rPr>
              <w:t xml:space="preserve"> до </w:t>
            </w:r>
            <w:proofErr w:type="spellStart"/>
            <w:r w:rsidRPr="00E16672">
              <w:rPr>
                <w:rFonts w:ascii="Times New Roman" w:hAnsi="Times New Roman" w:cs="Times New Roman"/>
                <w:sz w:val="16"/>
                <w:szCs w:val="16"/>
                <w:lang w:eastAsia="ru-RU"/>
              </w:rPr>
              <w:t>вимог</w:t>
            </w:r>
            <w:proofErr w:type="spellEnd"/>
            <w:r w:rsidRPr="00E16672">
              <w:rPr>
                <w:rFonts w:ascii="Times New Roman" w:hAnsi="Times New Roman" w:cs="Times New Roman"/>
                <w:sz w:val="16"/>
                <w:szCs w:val="16"/>
                <w:lang w:eastAsia="ru-RU"/>
              </w:rPr>
              <w:t xml:space="preserve"> </w:t>
            </w:r>
            <w:proofErr w:type="spellStart"/>
            <w:r w:rsidRPr="00E16672">
              <w:rPr>
                <w:rFonts w:ascii="Times New Roman" w:hAnsi="Times New Roman" w:cs="Times New Roman"/>
                <w:sz w:val="16"/>
                <w:szCs w:val="16"/>
                <w:lang w:eastAsia="ru-RU"/>
              </w:rPr>
              <w:t>законодавства</w:t>
            </w:r>
            <w:proofErr w:type="spellEnd"/>
            <w:r w:rsidRPr="00E16672">
              <w:rPr>
                <w:rFonts w:ascii="Times New Roman" w:hAnsi="Times New Roman" w:cs="Times New Roman"/>
                <w:sz w:val="16"/>
                <w:szCs w:val="16"/>
                <w:lang w:eastAsia="ru-RU"/>
              </w:rPr>
              <w:t xml:space="preserve"> у </w:t>
            </w:r>
            <w:proofErr w:type="spellStart"/>
            <w:r w:rsidRPr="00E16672">
              <w:rPr>
                <w:rFonts w:ascii="Times New Roman" w:hAnsi="Times New Roman" w:cs="Times New Roman"/>
                <w:sz w:val="16"/>
                <w:szCs w:val="16"/>
                <w:lang w:eastAsia="ru-RU"/>
              </w:rPr>
              <w:t>сфері</w:t>
            </w:r>
            <w:proofErr w:type="spellEnd"/>
            <w:r w:rsidRPr="00E16672">
              <w:rPr>
                <w:rFonts w:ascii="Times New Roman" w:hAnsi="Times New Roman" w:cs="Times New Roman"/>
                <w:sz w:val="16"/>
                <w:szCs w:val="16"/>
                <w:lang w:eastAsia="ru-RU"/>
              </w:rPr>
              <w:t xml:space="preserve"> </w:t>
            </w:r>
            <w:proofErr w:type="spellStart"/>
            <w:r w:rsidRPr="00E16672">
              <w:rPr>
                <w:rFonts w:ascii="Times New Roman" w:hAnsi="Times New Roman" w:cs="Times New Roman"/>
                <w:sz w:val="16"/>
                <w:szCs w:val="16"/>
                <w:lang w:eastAsia="ru-RU"/>
              </w:rPr>
              <w:t>електронного</w:t>
            </w:r>
            <w:proofErr w:type="spellEnd"/>
            <w:r w:rsidRPr="00E16672">
              <w:rPr>
                <w:rFonts w:ascii="Times New Roman" w:hAnsi="Times New Roman" w:cs="Times New Roman"/>
                <w:sz w:val="16"/>
                <w:szCs w:val="16"/>
                <w:lang w:eastAsia="ru-RU"/>
              </w:rPr>
              <w:t xml:space="preserve"> </w:t>
            </w:r>
            <w:proofErr w:type="spellStart"/>
            <w:r w:rsidRPr="00E16672">
              <w:rPr>
                <w:rFonts w:ascii="Times New Roman" w:hAnsi="Times New Roman" w:cs="Times New Roman"/>
                <w:sz w:val="16"/>
                <w:szCs w:val="16"/>
                <w:lang w:eastAsia="ru-RU"/>
              </w:rPr>
              <w:t>документообігу</w:t>
            </w:r>
            <w:proofErr w:type="spellEnd"/>
            <w:r w:rsidRPr="00E16672">
              <w:rPr>
                <w:rFonts w:ascii="Times New Roman" w:hAnsi="Times New Roman" w:cs="Times New Roman"/>
                <w:sz w:val="16"/>
                <w:szCs w:val="16"/>
                <w:lang w:eastAsia="ru-RU"/>
              </w:rPr>
              <w:t xml:space="preserve"> та </w:t>
            </w:r>
            <w:proofErr w:type="spellStart"/>
            <w:r w:rsidRPr="00E16672">
              <w:rPr>
                <w:rFonts w:ascii="Times New Roman" w:hAnsi="Times New Roman" w:cs="Times New Roman"/>
                <w:sz w:val="16"/>
                <w:szCs w:val="16"/>
                <w:lang w:eastAsia="ru-RU"/>
              </w:rPr>
              <w:t>електронних</w:t>
            </w:r>
            <w:proofErr w:type="spellEnd"/>
            <w:r w:rsidRPr="00E16672">
              <w:rPr>
                <w:rFonts w:ascii="Times New Roman" w:hAnsi="Times New Roman" w:cs="Times New Roman"/>
                <w:sz w:val="16"/>
                <w:szCs w:val="16"/>
                <w:lang w:eastAsia="ru-RU"/>
              </w:rPr>
              <w:t xml:space="preserve"> </w:t>
            </w:r>
            <w:proofErr w:type="spellStart"/>
            <w:r w:rsidRPr="00E16672">
              <w:rPr>
                <w:rFonts w:ascii="Times New Roman" w:hAnsi="Times New Roman" w:cs="Times New Roman"/>
                <w:sz w:val="16"/>
                <w:szCs w:val="16"/>
                <w:lang w:eastAsia="ru-RU"/>
              </w:rPr>
              <w:t>довірчих</w:t>
            </w:r>
            <w:proofErr w:type="spellEnd"/>
            <w:r w:rsidRPr="00E16672">
              <w:rPr>
                <w:rFonts w:ascii="Times New Roman" w:hAnsi="Times New Roman" w:cs="Times New Roman"/>
                <w:sz w:val="16"/>
                <w:szCs w:val="16"/>
                <w:lang w:eastAsia="ru-RU"/>
              </w:rPr>
              <w:t xml:space="preserve"> </w:t>
            </w:r>
            <w:proofErr w:type="spellStart"/>
            <w:r w:rsidRPr="00E16672">
              <w:rPr>
                <w:rFonts w:ascii="Times New Roman" w:hAnsi="Times New Roman" w:cs="Times New Roman"/>
                <w:sz w:val="16"/>
                <w:szCs w:val="16"/>
                <w:lang w:eastAsia="ru-RU"/>
              </w:rPr>
              <w:t>послуг</w:t>
            </w:r>
            <w:proofErr w:type="spellEnd"/>
            <w:r w:rsidRPr="00E16672">
              <w:rPr>
                <w:rFonts w:ascii="Times New Roman" w:hAnsi="Times New Roman" w:cs="Times New Roman"/>
                <w:color w:val="000000"/>
                <w:sz w:val="16"/>
                <w:szCs w:val="16"/>
                <w:lang w:val="uk-UA"/>
              </w:rPr>
              <w:t>.</w:t>
            </w:r>
          </w:p>
          <w:p w14:paraId="42CB7639" w14:textId="77777777" w:rsidR="00E22279" w:rsidRPr="00E16672" w:rsidRDefault="00E22279" w:rsidP="00E22279">
            <w:pPr>
              <w:pStyle w:val="33"/>
              <w:tabs>
                <w:tab w:val="left" w:pos="851"/>
              </w:tabs>
              <w:ind w:left="175" w:right="138"/>
              <w:rPr>
                <w:rFonts w:ascii="Times New Roman" w:hAnsi="Times New Roman" w:cs="Times New Roman"/>
                <w:color w:val="000000"/>
                <w:sz w:val="10"/>
                <w:szCs w:val="10"/>
              </w:rPr>
            </w:pPr>
          </w:p>
        </w:tc>
        <w:tc>
          <w:tcPr>
            <w:tcW w:w="5494" w:type="dxa"/>
            <w:gridSpan w:val="7"/>
            <w:shd w:val="clear" w:color="auto" w:fill="auto"/>
          </w:tcPr>
          <w:p w14:paraId="12835043" w14:textId="77777777" w:rsidR="00E22279" w:rsidRPr="00E16672" w:rsidRDefault="00E22279" w:rsidP="00E22279">
            <w:pPr>
              <w:tabs>
                <w:tab w:val="left" w:pos="287"/>
              </w:tabs>
              <w:snapToGrid w:val="0"/>
              <w:ind w:left="145" w:right="100"/>
              <w:jc w:val="center"/>
              <w:rPr>
                <w:rFonts w:ascii="Times New Roman" w:hAnsi="Times New Roman"/>
                <w:b/>
                <w:color w:val="000000"/>
                <w:sz w:val="16"/>
                <w:szCs w:val="16"/>
                <w:shd w:val="clear" w:color="auto" w:fill="FFFFFF"/>
                <w:lang w:val="en-US"/>
              </w:rPr>
            </w:pPr>
            <w:r w:rsidRPr="00E16672">
              <w:rPr>
                <w:rFonts w:ascii="Times New Roman" w:hAnsi="Times New Roman"/>
                <w:b/>
                <w:color w:val="000000"/>
                <w:sz w:val="16"/>
                <w:szCs w:val="16"/>
                <w:shd w:val="clear" w:color="auto" w:fill="FFFFFF"/>
                <w:lang w:val="en-US"/>
              </w:rPr>
              <w:t xml:space="preserve">11. </w:t>
            </w:r>
            <w:r w:rsidRPr="00E16672">
              <w:rPr>
                <w:rFonts w:ascii="Times New Roman" w:hAnsi="Times New Roman"/>
                <w:b/>
                <w:color w:val="000000"/>
                <w:sz w:val="16"/>
                <w:szCs w:val="16"/>
                <w:shd w:val="clear" w:color="auto" w:fill="FFFFFF"/>
                <w:lang w:val="en-GB"/>
              </w:rPr>
              <w:t>ABOUT</w:t>
            </w:r>
            <w:r w:rsidRPr="00E16672">
              <w:rPr>
                <w:rFonts w:ascii="Times New Roman" w:hAnsi="Times New Roman"/>
                <w:b/>
                <w:color w:val="000000"/>
                <w:sz w:val="16"/>
                <w:szCs w:val="16"/>
                <w:shd w:val="clear" w:color="auto" w:fill="FFFFFF"/>
                <w:lang w:val="en-US"/>
              </w:rPr>
              <w:t xml:space="preserve"> </w:t>
            </w:r>
            <w:r w:rsidRPr="00E16672">
              <w:rPr>
                <w:rFonts w:ascii="Times New Roman" w:hAnsi="Times New Roman"/>
                <w:b/>
                <w:color w:val="000000"/>
                <w:sz w:val="16"/>
                <w:szCs w:val="16"/>
                <w:shd w:val="clear" w:color="auto" w:fill="FFFFFF"/>
                <w:lang w:val="en-GB"/>
              </w:rPr>
              <w:t>THE</w:t>
            </w:r>
            <w:r w:rsidRPr="00E16672">
              <w:rPr>
                <w:rFonts w:ascii="Times New Roman" w:hAnsi="Times New Roman"/>
                <w:b/>
                <w:color w:val="000000"/>
                <w:sz w:val="16"/>
                <w:szCs w:val="16"/>
                <w:shd w:val="clear" w:color="auto" w:fill="FFFFFF"/>
                <w:lang w:val="en-US"/>
              </w:rPr>
              <w:t xml:space="preserve"> </w:t>
            </w:r>
            <w:r w:rsidRPr="00E16672">
              <w:rPr>
                <w:rFonts w:ascii="Times New Roman" w:hAnsi="Times New Roman"/>
                <w:b/>
                <w:color w:val="000000"/>
                <w:sz w:val="16"/>
                <w:szCs w:val="16"/>
                <w:shd w:val="clear" w:color="auto" w:fill="FFFFFF"/>
                <w:lang w:val="en-GB"/>
              </w:rPr>
              <w:t>RECOGNITION</w:t>
            </w:r>
            <w:r w:rsidRPr="00E16672">
              <w:rPr>
                <w:rFonts w:ascii="Times New Roman" w:hAnsi="Times New Roman"/>
                <w:b/>
                <w:color w:val="000000"/>
                <w:sz w:val="16"/>
                <w:szCs w:val="16"/>
                <w:shd w:val="clear" w:color="auto" w:fill="FFFFFF"/>
                <w:lang w:val="en-US"/>
              </w:rPr>
              <w:t xml:space="preserve"> </w:t>
            </w:r>
            <w:r w:rsidRPr="00E16672">
              <w:rPr>
                <w:rFonts w:ascii="Times New Roman" w:hAnsi="Times New Roman"/>
                <w:b/>
                <w:color w:val="000000"/>
                <w:sz w:val="16"/>
                <w:szCs w:val="16"/>
                <w:shd w:val="clear" w:color="auto" w:fill="FFFFFF"/>
                <w:lang w:val="en-GB"/>
              </w:rPr>
              <w:t>OF</w:t>
            </w:r>
            <w:r w:rsidRPr="00E16672">
              <w:rPr>
                <w:rFonts w:ascii="Times New Roman" w:hAnsi="Times New Roman"/>
                <w:b/>
                <w:color w:val="000000"/>
                <w:sz w:val="16"/>
                <w:szCs w:val="16"/>
                <w:shd w:val="clear" w:color="auto" w:fill="FFFFFF"/>
                <w:lang w:val="en-US"/>
              </w:rPr>
              <w:t xml:space="preserve"> </w:t>
            </w:r>
            <w:r w:rsidRPr="00F23413">
              <w:rPr>
                <w:rStyle w:val="shorttext"/>
                <w:rFonts w:ascii="Times New Roman" w:hAnsi="Times New Roman"/>
                <w:b/>
                <w:sz w:val="16"/>
                <w:szCs w:val="16"/>
                <w:lang w:val="en-US"/>
              </w:rPr>
              <w:t>QUALIFIED</w:t>
            </w:r>
            <w:r w:rsidRPr="00E16672">
              <w:rPr>
                <w:rFonts w:ascii="Times New Roman" w:hAnsi="Times New Roman"/>
                <w:b/>
                <w:color w:val="000000"/>
                <w:sz w:val="16"/>
                <w:szCs w:val="16"/>
                <w:shd w:val="clear" w:color="auto" w:fill="FFFFFF"/>
                <w:lang w:val="en-GB"/>
              </w:rPr>
              <w:t xml:space="preserve"> ELECTRONIC</w:t>
            </w:r>
            <w:r w:rsidRPr="00E16672">
              <w:rPr>
                <w:rFonts w:ascii="Times New Roman" w:hAnsi="Times New Roman"/>
                <w:b/>
                <w:color w:val="000000"/>
                <w:sz w:val="16"/>
                <w:szCs w:val="16"/>
                <w:shd w:val="clear" w:color="auto" w:fill="FFFFFF"/>
                <w:lang w:val="en-US"/>
              </w:rPr>
              <w:t xml:space="preserve"> </w:t>
            </w:r>
          </w:p>
          <w:p w14:paraId="52AACEDD" w14:textId="77777777" w:rsidR="00E22279" w:rsidRPr="00E16672" w:rsidRDefault="00E22279" w:rsidP="00E22279">
            <w:pPr>
              <w:tabs>
                <w:tab w:val="left" w:pos="287"/>
              </w:tabs>
              <w:snapToGrid w:val="0"/>
              <w:ind w:left="145" w:right="100"/>
              <w:jc w:val="center"/>
              <w:rPr>
                <w:rFonts w:ascii="Times New Roman" w:hAnsi="Times New Roman"/>
                <w:b/>
                <w:color w:val="000000"/>
                <w:sz w:val="16"/>
                <w:szCs w:val="16"/>
                <w:shd w:val="clear" w:color="auto" w:fill="FFFFFF"/>
                <w:lang w:val="en-US"/>
              </w:rPr>
            </w:pPr>
            <w:r w:rsidRPr="00E16672">
              <w:rPr>
                <w:rFonts w:ascii="Times New Roman" w:hAnsi="Times New Roman"/>
                <w:b/>
                <w:color w:val="000000"/>
                <w:sz w:val="16"/>
                <w:szCs w:val="16"/>
                <w:shd w:val="clear" w:color="auto" w:fill="FFFFFF"/>
                <w:lang w:val="en-GB"/>
              </w:rPr>
              <w:t>SIGNATURE</w:t>
            </w:r>
          </w:p>
          <w:p w14:paraId="7DCEDAC9" w14:textId="77777777" w:rsidR="00E22279" w:rsidRPr="00E16672" w:rsidRDefault="00E22279" w:rsidP="00E22279">
            <w:pPr>
              <w:tabs>
                <w:tab w:val="left" w:pos="287"/>
              </w:tabs>
              <w:snapToGrid w:val="0"/>
              <w:ind w:left="145" w:right="100"/>
              <w:jc w:val="center"/>
              <w:rPr>
                <w:rFonts w:ascii="Times New Roman" w:hAnsi="Times New Roman"/>
                <w:b/>
                <w:color w:val="000000"/>
                <w:sz w:val="16"/>
                <w:szCs w:val="16"/>
                <w:shd w:val="clear" w:color="auto" w:fill="FFFFFF"/>
                <w:lang w:val="en-US"/>
              </w:rPr>
            </w:pPr>
          </w:p>
          <w:p w14:paraId="03AC3D72" w14:textId="77777777" w:rsidR="00E22279" w:rsidRPr="00E16672" w:rsidRDefault="00E22279" w:rsidP="00E22279">
            <w:pPr>
              <w:tabs>
                <w:tab w:val="left" w:pos="287"/>
              </w:tabs>
              <w:snapToGrid w:val="0"/>
              <w:ind w:left="145" w:right="100" w:firstLine="0"/>
              <w:rPr>
                <w:rFonts w:ascii="Times New Roman" w:hAnsi="Times New Roman"/>
                <w:color w:val="000000"/>
                <w:sz w:val="16"/>
                <w:szCs w:val="16"/>
                <w:shd w:val="clear" w:color="auto" w:fill="FFFFFF"/>
                <w:lang w:val="uk-UA"/>
              </w:rPr>
            </w:pPr>
            <w:r w:rsidRPr="00E16672">
              <w:rPr>
                <w:rFonts w:ascii="Times New Roman" w:hAnsi="Times New Roman"/>
                <w:color w:val="000000"/>
                <w:sz w:val="16"/>
                <w:szCs w:val="16"/>
                <w:shd w:val="clear" w:color="auto" w:fill="FFFFFF"/>
                <w:lang w:val="en-US"/>
              </w:rPr>
              <w:t xml:space="preserve">11.1 </w:t>
            </w:r>
            <w:r w:rsidRPr="00E16672">
              <w:rPr>
                <w:rFonts w:ascii="Times New Roman" w:eastAsia="Lucida Sans Unicode" w:hAnsi="Times New Roman"/>
                <w:color w:val="000000"/>
                <w:kern w:val="1"/>
                <w:sz w:val="16"/>
                <w:szCs w:val="16"/>
                <w:lang w:val="en-US" w:eastAsia="hi-IN" w:bidi="hi-IN"/>
              </w:rPr>
              <w:t xml:space="preserve">During the execution of the Agreement Parties can exchange electronic documents that are certified by the electronic </w:t>
            </w:r>
            <w:r w:rsidR="00326563" w:rsidRPr="00E16672">
              <w:rPr>
                <w:rFonts w:ascii="Times New Roman" w:hAnsi="Times New Roman"/>
                <w:color w:val="000000"/>
                <w:sz w:val="16"/>
                <w:szCs w:val="16"/>
                <w:shd w:val="clear" w:color="auto" w:fill="FFFFFF"/>
                <w:lang w:val="en-GB"/>
              </w:rPr>
              <w:t xml:space="preserve">qualified </w:t>
            </w:r>
            <w:r w:rsidRPr="00E16672">
              <w:rPr>
                <w:rFonts w:ascii="Times New Roman" w:eastAsia="Lucida Sans Unicode" w:hAnsi="Times New Roman"/>
                <w:color w:val="000000"/>
                <w:kern w:val="1"/>
                <w:sz w:val="16"/>
                <w:szCs w:val="16"/>
                <w:lang w:val="en-US" w:eastAsia="hi-IN" w:bidi="hi-IN"/>
              </w:rPr>
              <w:t>signature</w:t>
            </w:r>
            <w:r w:rsidRPr="00E16672">
              <w:rPr>
                <w:rFonts w:ascii="Times New Roman" w:eastAsia="Lucida Sans Unicode" w:hAnsi="Times New Roman"/>
                <w:color w:val="000000"/>
                <w:kern w:val="1"/>
                <w:sz w:val="16"/>
                <w:szCs w:val="16"/>
                <w:lang w:val="uk-UA" w:eastAsia="hi-IN" w:bidi="hi-IN"/>
              </w:rPr>
              <w:t xml:space="preserve"> </w:t>
            </w:r>
            <w:r w:rsidRPr="00F23413">
              <w:rPr>
                <w:rFonts w:ascii="Times New Roman" w:hAnsi="Times New Roman"/>
                <w:sz w:val="16"/>
                <w:szCs w:val="16"/>
                <w:lang w:val="en-US"/>
              </w:rPr>
              <w:t>in accordance with the requirements of legislation in the area of electronic document circulation and electronic trust services</w:t>
            </w:r>
            <w:r w:rsidRPr="00E16672">
              <w:rPr>
                <w:rFonts w:ascii="Times New Roman" w:eastAsia="Lucida Sans Unicode" w:hAnsi="Times New Roman"/>
                <w:color w:val="000000"/>
                <w:kern w:val="1"/>
                <w:sz w:val="16"/>
                <w:szCs w:val="16"/>
                <w:lang w:val="uk-UA" w:eastAsia="hi-IN" w:bidi="hi-IN"/>
              </w:rPr>
              <w:t>.</w:t>
            </w:r>
          </w:p>
        </w:tc>
      </w:tr>
      <w:tr w:rsidR="00E22279" w:rsidRPr="00F23413" w14:paraId="5DE55323" w14:textId="77777777" w:rsidTr="00D77858">
        <w:tblPrEx>
          <w:tblCellMar>
            <w:left w:w="0" w:type="dxa"/>
            <w:right w:w="0" w:type="dxa"/>
          </w:tblCellMar>
        </w:tblPrEx>
        <w:trPr>
          <w:trHeight w:val="192"/>
        </w:trPr>
        <w:tc>
          <w:tcPr>
            <w:tcW w:w="5696" w:type="dxa"/>
            <w:gridSpan w:val="6"/>
            <w:shd w:val="clear" w:color="auto" w:fill="auto"/>
          </w:tcPr>
          <w:p w14:paraId="6E04145C" w14:textId="77777777" w:rsidR="00E22279" w:rsidRPr="00E16672" w:rsidRDefault="00E22279" w:rsidP="00E22279">
            <w:pPr>
              <w:pStyle w:val="33"/>
              <w:tabs>
                <w:tab w:val="left" w:pos="851"/>
              </w:tabs>
              <w:snapToGrid w:val="0"/>
              <w:ind w:left="175" w:right="138" w:firstLine="0"/>
              <w:rPr>
                <w:rFonts w:ascii="Times New Roman" w:hAnsi="Times New Roman" w:cs="Times New Roman"/>
                <w:color w:val="000000"/>
                <w:sz w:val="16"/>
                <w:szCs w:val="16"/>
                <w:lang w:val="uk-UA"/>
              </w:rPr>
            </w:pPr>
            <w:r w:rsidRPr="00E16672">
              <w:rPr>
                <w:rFonts w:ascii="Times New Roman" w:hAnsi="Times New Roman" w:cs="Times New Roman"/>
                <w:color w:val="000000"/>
                <w:sz w:val="16"/>
                <w:szCs w:val="16"/>
                <w:lang w:val="uk-UA"/>
              </w:rPr>
              <w:t>1</w:t>
            </w:r>
            <w:r w:rsidRPr="00E16672">
              <w:rPr>
                <w:rFonts w:ascii="Times New Roman" w:hAnsi="Times New Roman" w:cs="Times New Roman"/>
                <w:color w:val="000000"/>
                <w:sz w:val="16"/>
                <w:szCs w:val="16"/>
              </w:rPr>
              <w:t>1</w:t>
            </w:r>
            <w:r w:rsidRPr="00E16672">
              <w:rPr>
                <w:rFonts w:ascii="Times New Roman" w:hAnsi="Times New Roman" w:cs="Times New Roman"/>
                <w:color w:val="000000"/>
                <w:sz w:val="16"/>
                <w:szCs w:val="16"/>
                <w:lang w:val="uk-UA"/>
              </w:rPr>
              <w:t xml:space="preserve">.2. При виконанні цього Договору кожна Сторона може виступати як </w:t>
            </w:r>
            <w:proofErr w:type="spellStart"/>
            <w:r w:rsidRPr="00E16672">
              <w:rPr>
                <w:rFonts w:ascii="Times New Roman" w:hAnsi="Times New Roman" w:cs="Times New Roman"/>
                <w:color w:val="000000"/>
                <w:sz w:val="16"/>
                <w:szCs w:val="16"/>
                <w:lang w:val="uk-UA"/>
              </w:rPr>
              <w:t>підписувачем</w:t>
            </w:r>
            <w:proofErr w:type="spellEnd"/>
            <w:r w:rsidRPr="00E16672">
              <w:rPr>
                <w:rFonts w:ascii="Times New Roman" w:hAnsi="Times New Roman" w:cs="Times New Roman"/>
                <w:color w:val="000000"/>
                <w:sz w:val="16"/>
                <w:szCs w:val="16"/>
                <w:lang w:val="uk-UA"/>
              </w:rPr>
              <w:t>, так і адресатом електронних документів.</w:t>
            </w:r>
          </w:p>
        </w:tc>
        <w:tc>
          <w:tcPr>
            <w:tcW w:w="5494" w:type="dxa"/>
            <w:gridSpan w:val="7"/>
            <w:shd w:val="clear" w:color="auto" w:fill="auto"/>
          </w:tcPr>
          <w:p w14:paraId="2D8E0E14" w14:textId="77777777" w:rsidR="00E22279" w:rsidRPr="00E16672" w:rsidRDefault="00E22279" w:rsidP="00E22279">
            <w:pPr>
              <w:tabs>
                <w:tab w:val="left" w:pos="287"/>
              </w:tabs>
              <w:snapToGrid w:val="0"/>
              <w:ind w:left="145" w:right="100" w:firstLine="0"/>
              <w:rPr>
                <w:rFonts w:ascii="Times New Roman" w:hAnsi="Times New Roman"/>
                <w:color w:val="000000"/>
                <w:sz w:val="16"/>
                <w:szCs w:val="16"/>
                <w:shd w:val="clear" w:color="auto" w:fill="FFFFFF"/>
                <w:lang w:val="uk-UA"/>
              </w:rPr>
            </w:pPr>
            <w:r w:rsidRPr="00E16672">
              <w:rPr>
                <w:rFonts w:ascii="Times New Roman" w:hAnsi="Times New Roman"/>
                <w:color w:val="000000"/>
                <w:sz w:val="16"/>
                <w:szCs w:val="16"/>
                <w:shd w:val="clear" w:color="auto" w:fill="FFFFFF"/>
                <w:lang w:val="uk-UA"/>
              </w:rPr>
              <w:t>1</w:t>
            </w:r>
            <w:r w:rsidRPr="00E16672">
              <w:rPr>
                <w:rFonts w:ascii="Times New Roman" w:hAnsi="Times New Roman"/>
                <w:color w:val="000000"/>
                <w:sz w:val="16"/>
                <w:szCs w:val="16"/>
                <w:shd w:val="clear" w:color="auto" w:fill="FFFFFF"/>
                <w:lang w:val="en-US"/>
              </w:rPr>
              <w:t>1</w:t>
            </w:r>
            <w:r w:rsidRPr="00E16672">
              <w:rPr>
                <w:rFonts w:ascii="Times New Roman" w:hAnsi="Times New Roman"/>
                <w:color w:val="000000"/>
                <w:sz w:val="16"/>
                <w:szCs w:val="16"/>
                <w:shd w:val="clear" w:color="auto" w:fill="FFFFFF"/>
                <w:lang w:val="uk-UA"/>
              </w:rPr>
              <w:t xml:space="preserve">.2. </w:t>
            </w:r>
            <w:r w:rsidRPr="00E16672">
              <w:rPr>
                <w:rFonts w:ascii="Times New Roman" w:hAnsi="Times New Roman"/>
                <w:color w:val="000000"/>
                <w:sz w:val="16"/>
                <w:szCs w:val="16"/>
                <w:shd w:val="clear" w:color="auto" w:fill="FFFFFF"/>
                <w:lang w:val="en-GB"/>
              </w:rPr>
              <w:t>In</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the</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execution</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of</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this</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Agreement</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each</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Party</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may</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act</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as</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a</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signer</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and</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recipient</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of</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electronic</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documents</w:t>
            </w:r>
            <w:r w:rsidRPr="00E16672">
              <w:rPr>
                <w:rFonts w:ascii="Times New Roman" w:hAnsi="Times New Roman"/>
                <w:color w:val="000000"/>
                <w:sz w:val="16"/>
                <w:szCs w:val="16"/>
                <w:shd w:val="clear" w:color="auto" w:fill="FFFFFF"/>
                <w:lang w:val="uk-UA"/>
              </w:rPr>
              <w:t>.</w:t>
            </w:r>
          </w:p>
          <w:p w14:paraId="3DBEDB06" w14:textId="77777777" w:rsidR="00E22279" w:rsidRPr="00E16672" w:rsidRDefault="00E22279" w:rsidP="00E22279">
            <w:pPr>
              <w:tabs>
                <w:tab w:val="left" w:pos="287"/>
              </w:tabs>
              <w:snapToGrid w:val="0"/>
              <w:ind w:left="145" w:right="100"/>
              <w:rPr>
                <w:rFonts w:ascii="Times New Roman" w:hAnsi="Times New Roman"/>
                <w:color w:val="000000"/>
                <w:sz w:val="16"/>
                <w:szCs w:val="16"/>
                <w:shd w:val="clear" w:color="auto" w:fill="FFFFFF"/>
                <w:lang w:val="uk-UA"/>
              </w:rPr>
            </w:pPr>
          </w:p>
        </w:tc>
      </w:tr>
      <w:tr w:rsidR="00E22279" w:rsidRPr="00F23413" w14:paraId="53031A13" w14:textId="77777777" w:rsidTr="00D77858">
        <w:tblPrEx>
          <w:tblCellMar>
            <w:left w:w="0" w:type="dxa"/>
            <w:right w:w="0" w:type="dxa"/>
          </w:tblCellMar>
        </w:tblPrEx>
        <w:trPr>
          <w:trHeight w:val="192"/>
        </w:trPr>
        <w:tc>
          <w:tcPr>
            <w:tcW w:w="5696" w:type="dxa"/>
            <w:gridSpan w:val="6"/>
            <w:shd w:val="clear" w:color="auto" w:fill="auto"/>
          </w:tcPr>
          <w:p w14:paraId="41B35D60" w14:textId="77777777" w:rsidR="00E22279" w:rsidRPr="00E16672" w:rsidRDefault="00E22279" w:rsidP="00E22279">
            <w:pPr>
              <w:pStyle w:val="33"/>
              <w:tabs>
                <w:tab w:val="left" w:pos="851"/>
              </w:tabs>
              <w:snapToGrid w:val="0"/>
              <w:ind w:left="175" w:right="138" w:firstLine="0"/>
              <w:rPr>
                <w:rFonts w:ascii="Times New Roman" w:hAnsi="Times New Roman" w:cs="Times New Roman"/>
                <w:color w:val="000000"/>
                <w:sz w:val="16"/>
                <w:szCs w:val="16"/>
                <w:lang w:val="uk-UA"/>
              </w:rPr>
            </w:pPr>
            <w:r w:rsidRPr="00E16672">
              <w:rPr>
                <w:rFonts w:ascii="Times New Roman" w:hAnsi="Times New Roman" w:cs="Times New Roman"/>
                <w:color w:val="000000"/>
                <w:sz w:val="16"/>
                <w:szCs w:val="16"/>
                <w:lang w:val="uk-UA"/>
              </w:rPr>
              <w:t>1</w:t>
            </w:r>
            <w:r w:rsidRPr="00E16672">
              <w:rPr>
                <w:rFonts w:ascii="Times New Roman" w:hAnsi="Times New Roman" w:cs="Times New Roman"/>
                <w:color w:val="000000"/>
                <w:sz w:val="16"/>
                <w:szCs w:val="16"/>
              </w:rPr>
              <w:t>1</w:t>
            </w:r>
            <w:r w:rsidRPr="00E16672">
              <w:rPr>
                <w:rFonts w:ascii="Times New Roman" w:hAnsi="Times New Roman" w:cs="Times New Roman"/>
                <w:color w:val="000000"/>
                <w:sz w:val="16"/>
                <w:szCs w:val="16"/>
                <w:lang w:val="uk-UA"/>
              </w:rPr>
              <w:t>.3. Електронний документ - документ, інформація в якому зафіксована у вигляді електронних даних, включаючи обов'язкові реквізити документа, в тому числі кваліфікований електронний підпис.</w:t>
            </w:r>
          </w:p>
        </w:tc>
        <w:tc>
          <w:tcPr>
            <w:tcW w:w="5494" w:type="dxa"/>
            <w:gridSpan w:val="7"/>
            <w:shd w:val="clear" w:color="auto" w:fill="auto"/>
          </w:tcPr>
          <w:p w14:paraId="191208CA" w14:textId="77777777" w:rsidR="00E22279" w:rsidRPr="00E16672" w:rsidRDefault="00E22279" w:rsidP="00E22279">
            <w:pPr>
              <w:tabs>
                <w:tab w:val="left" w:pos="287"/>
              </w:tabs>
              <w:snapToGrid w:val="0"/>
              <w:ind w:left="145" w:right="100" w:firstLine="0"/>
              <w:rPr>
                <w:rFonts w:ascii="Times New Roman" w:hAnsi="Times New Roman"/>
                <w:color w:val="000000"/>
                <w:sz w:val="16"/>
                <w:szCs w:val="16"/>
                <w:shd w:val="clear" w:color="auto" w:fill="FFFFFF"/>
                <w:lang w:val="en-GB"/>
              </w:rPr>
            </w:pPr>
            <w:r w:rsidRPr="00E16672">
              <w:rPr>
                <w:rFonts w:ascii="Times New Roman" w:hAnsi="Times New Roman"/>
                <w:color w:val="000000"/>
                <w:sz w:val="16"/>
                <w:szCs w:val="16"/>
                <w:shd w:val="clear" w:color="auto" w:fill="FFFFFF"/>
                <w:lang w:val="uk-UA"/>
              </w:rPr>
              <w:t>1</w:t>
            </w:r>
            <w:r w:rsidRPr="00E16672">
              <w:rPr>
                <w:rFonts w:ascii="Times New Roman" w:hAnsi="Times New Roman"/>
                <w:color w:val="000000"/>
                <w:sz w:val="16"/>
                <w:szCs w:val="16"/>
                <w:shd w:val="clear" w:color="auto" w:fill="FFFFFF"/>
                <w:lang w:val="en-US"/>
              </w:rPr>
              <w:t>1</w:t>
            </w:r>
            <w:r w:rsidRPr="00E16672">
              <w:rPr>
                <w:rFonts w:ascii="Times New Roman" w:hAnsi="Times New Roman"/>
                <w:color w:val="000000"/>
                <w:sz w:val="16"/>
                <w:szCs w:val="16"/>
                <w:shd w:val="clear" w:color="auto" w:fill="FFFFFF"/>
                <w:lang w:val="uk-UA"/>
              </w:rPr>
              <w:t xml:space="preserve">.3. </w:t>
            </w:r>
            <w:r w:rsidRPr="00E16672">
              <w:rPr>
                <w:rFonts w:ascii="Times New Roman" w:hAnsi="Times New Roman"/>
                <w:color w:val="000000"/>
                <w:sz w:val="16"/>
                <w:szCs w:val="16"/>
                <w:shd w:val="clear" w:color="auto" w:fill="FFFFFF"/>
                <w:lang w:val="en-GB"/>
              </w:rPr>
              <w:t>Electronic</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document</w:t>
            </w:r>
            <w:r w:rsidRPr="00E16672">
              <w:rPr>
                <w:rFonts w:ascii="Times New Roman" w:hAnsi="Times New Roman"/>
                <w:color w:val="000000"/>
                <w:sz w:val="16"/>
                <w:szCs w:val="16"/>
                <w:shd w:val="clear" w:color="auto" w:fill="FFFFFF"/>
                <w:lang w:val="uk-UA"/>
              </w:rPr>
              <w:t xml:space="preserve"> - </w:t>
            </w:r>
            <w:r w:rsidRPr="00E16672">
              <w:rPr>
                <w:rFonts w:ascii="Times New Roman" w:hAnsi="Times New Roman"/>
                <w:color w:val="000000"/>
                <w:sz w:val="16"/>
                <w:szCs w:val="16"/>
                <w:shd w:val="clear" w:color="auto" w:fill="FFFFFF"/>
                <w:lang w:val="en-GB"/>
              </w:rPr>
              <w:t>a</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document</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in</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which</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the</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information</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recorded</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in</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the</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form</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of</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electronic</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data</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including</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the</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required</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 xml:space="preserve">details of the document, including </w:t>
            </w:r>
            <w:r w:rsidRPr="00F23413">
              <w:rPr>
                <w:rStyle w:val="shorttext"/>
                <w:rFonts w:ascii="Times New Roman" w:hAnsi="Times New Roman"/>
                <w:sz w:val="16"/>
                <w:szCs w:val="16"/>
                <w:lang w:val="en-US"/>
              </w:rPr>
              <w:t>qualified</w:t>
            </w:r>
            <w:r w:rsidRPr="00E16672">
              <w:rPr>
                <w:rFonts w:ascii="Times New Roman" w:hAnsi="Times New Roman"/>
                <w:color w:val="000000"/>
                <w:sz w:val="16"/>
                <w:szCs w:val="16"/>
                <w:shd w:val="clear" w:color="auto" w:fill="FFFFFF"/>
                <w:lang w:val="en-GB"/>
              </w:rPr>
              <w:t xml:space="preserve"> electronic signature.</w:t>
            </w:r>
          </w:p>
          <w:p w14:paraId="63E7E9D9" w14:textId="77777777" w:rsidR="00E22279" w:rsidRPr="00E16672" w:rsidRDefault="00E22279" w:rsidP="00E22279">
            <w:pPr>
              <w:tabs>
                <w:tab w:val="left" w:pos="287"/>
              </w:tabs>
              <w:snapToGrid w:val="0"/>
              <w:ind w:left="145" w:right="100"/>
              <w:rPr>
                <w:rFonts w:ascii="Times New Roman" w:hAnsi="Times New Roman"/>
                <w:color w:val="000000"/>
                <w:sz w:val="16"/>
                <w:szCs w:val="16"/>
                <w:shd w:val="clear" w:color="auto" w:fill="FFFFFF"/>
                <w:lang w:val="en-GB"/>
              </w:rPr>
            </w:pPr>
          </w:p>
        </w:tc>
      </w:tr>
      <w:tr w:rsidR="00E22279" w:rsidRPr="00F23413" w14:paraId="2830D044" w14:textId="77777777" w:rsidTr="00D77858">
        <w:tblPrEx>
          <w:tblCellMar>
            <w:left w:w="0" w:type="dxa"/>
            <w:right w:w="0" w:type="dxa"/>
          </w:tblCellMar>
        </w:tblPrEx>
        <w:trPr>
          <w:trHeight w:val="192"/>
        </w:trPr>
        <w:tc>
          <w:tcPr>
            <w:tcW w:w="5696" w:type="dxa"/>
            <w:gridSpan w:val="6"/>
            <w:shd w:val="clear" w:color="auto" w:fill="auto"/>
          </w:tcPr>
          <w:p w14:paraId="390C287D" w14:textId="77777777" w:rsidR="00E22279" w:rsidRPr="00E16672" w:rsidRDefault="00E22279" w:rsidP="00E22279">
            <w:pPr>
              <w:pStyle w:val="33"/>
              <w:tabs>
                <w:tab w:val="left" w:pos="851"/>
              </w:tabs>
              <w:snapToGrid w:val="0"/>
              <w:ind w:left="175" w:right="138" w:firstLine="0"/>
              <w:rPr>
                <w:rFonts w:ascii="Times New Roman" w:hAnsi="Times New Roman" w:cs="Times New Roman"/>
                <w:color w:val="000000"/>
                <w:sz w:val="16"/>
                <w:szCs w:val="16"/>
                <w:lang w:val="uk-UA"/>
              </w:rPr>
            </w:pPr>
            <w:r w:rsidRPr="00E16672">
              <w:rPr>
                <w:rFonts w:ascii="Times New Roman" w:hAnsi="Times New Roman" w:cs="Times New Roman"/>
                <w:color w:val="000000"/>
                <w:sz w:val="16"/>
                <w:szCs w:val="16"/>
                <w:lang w:val="uk-UA"/>
              </w:rPr>
              <w:t>1</w:t>
            </w:r>
            <w:r w:rsidRPr="00E16672">
              <w:rPr>
                <w:rFonts w:ascii="Times New Roman" w:hAnsi="Times New Roman" w:cs="Times New Roman"/>
                <w:color w:val="000000"/>
                <w:sz w:val="16"/>
                <w:szCs w:val="16"/>
              </w:rPr>
              <w:t>1</w:t>
            </w:r>
            <w:r w:rsidRPr="00E16672">
              <w:rPr>
                <w:rFonts w:ascii="Times New Roman" w:hAnsi="Times New Roman" w:cs="Times New Roman"/>
                <w:color w:val="000000"/>
                <w:sz w:val="16"/>
                <w:szCs w:val="16"/>
                <w:lang w:val="uk-UA"/>
              </w:rPr>
              <w:t xml:space="preserve">.4. </w:t>
            </w:r>
            <w:r w:rsidRPr="00E16672">
              <w:rPr>
                <w:rFonts w:ascii="Times New Roman" w:hAnsi="Times New Roman" w:cs="Times New Roman"/>
                <w:sz w:val="16"/>
                <w:lang w:val="uk-UA"/>
              </w:rPr>
              <w:t>Кваліфікований</w:t>
            </w:r>
            <w:r w:rsidRPr="00E16672" w:rsidDel="00047AE1">
              <w:rPr>
                <w:rFonts w:ascii="Times New Roman" w:hAnsi="Times New Roman" w:cs="Times New Roman"/>
                <w:sz w:val="16"/>
                <w:lang w:val="uk-UA"/>
              </w:rPr>
              <w:t xml:space="preserve"> </w:t>
            </w:r>
            <w:r w:rsidRPr="00E16672">
              <w:rPr>
                <w:rFonts w:ascii="Times New Roman" w:hAnsi="Times New Roman" w:cs="Times New Roman"/>
                <w:color w:val="000000"/>
                <w:sz w:val="16"/>
                <w:szCs w:val="16"/>
                <w:lang w:val="uk-UA"/>
              </w:rPr>
              <w:t xml:space="preserve">електронний підпис -  </w:t>
            </w:r>
            <w:r w:rsidRPr="00E16672">
              <w:rPr>
                <w:rStyle w:val="rvts0"/>
                <w:rFonts w:ascii="Times New Roman" w:hAnsi="Times New Roman" w:cs="Times New Roman"/>
                <w:sz w:val="16"/>
                <w:szCs w:val="16"/>
                <w:lang w:val="uk-UA"/>
              </w:rPr>
              <w:t xml:space="preserve">удосконалений електронний підпис, який створюється з використанням засобу кваліфікованого електронного підпису, а саме </w:t>
            </w:r>
            <w:r w:rsidRPr="00E16672">
              <w:rPr>
                <w:rFonts w:ascii="Times New Roman" w:hAnsi="Times New Roman" w:cs="Times New Roman"/>
                <w:sz w:val="16"/>
                <w:szCs w:val="16"/>
                <w:lang w:val="uk-UA"/>
              </w:rPr>
              <w:t>за допомогою системи криптографічного захисту інформації Акредитованого Центру Сертифікації ключів,</w:t>
            </w:r>
            <w:r w:rsidRPr="00E16672">
              <w:rPr>
                <w:rStyle w:val="rvts0"/>
                <w:rFonts w:ascii="Times New Roman" w:hAnsi="Times New Roman" w:cs="Times New Roman"/>
                <w:sz w:val="16"/>
                <w:szCs w:val="16"/>
                <w:lang w:val="uk-UA"/>
              </w:rPr>
              <w:t xml:space="preserve"> і базується на кваліфікованому сертифікаті відкритого ключа</w:t>
            </w:r>
            <w:r w:rsidRPr="00E16672">
              <w:rPr>
                <w:rFonts w:ascii="Times New Roman" w:hAnsi="Times New Roman" w:cs="Times New Roman"/>
                <w:sz w:val="16"/>
                <w:szCs w:val="16"/>
                <w:lang w:val="uk-UA"/>
              </w:rPr>
              <w:t>. Кваліфікований</w:t>
            </w:r>
            <w:r w:rsidRPr="00E16672" w:rsidDel="00047AE1">
              <w:rPr>
                <w:rFonts w:ascii="Times New Roman" w:hAnsi="Times New Roman" w:cs="Times New Roman"/>
                <w:sz w:val="16"/>
                <w:szCs w:val="16"/>
                <w:lang w:val="uk-UA"/>
              </w:rPr>
              <w:t xml:space="preserve"> </w:t>
            </w:r>
            <w:r w:rsidRPr="00E16672">
              <w:rPr>
                <w:rFonts w:ascii="Times New Roman" w:hAnsi="Times New Roman" w:cs="Times New Roman"/>
                <w:sz w:val="16"/>
                <w:szCs w:val="16"/>
                <w:lang w:val="uk-UA"/>
              </w:rPr>
              <w:t xml:space="preserve">електронний підпис є обов'язковим </w:t>
            </w:r>
            <w:r w:rsidRPr="00E16672">
              <w:rPr>
                <w:rFonts w:ascii="Times New Roman" w:hAnsi="Times New Roman" w:cs="Times New Roman"/>
                <w:color w:val="000000"/>
                <w:sz w:val="16"/>
                <w:szCs w:val="16"/>
                <w:lang w:val="uk-UA"/>
              </w:rPr>
              <w:t>реквізитом електронного документа, який використовується для ідентифікації адресатом</w:t>
            </w:r>
            <w:r w:rsidRPr="00E16672" w:rsidDel="00F11330">
              <w:rPr>
                <w:rFonts w:ascii="Times New Roman" w:hAnsi="Times New Roman" w:cs="Times New Roman"/>
                <w:color w:val="000000"/>
                <w:sz w:val="16"/>
                <w:szCs w:val="16"/>
                <w:lang w:val="uk-UA"/>
              </w:rPr>
              <w:t xml:space="preserve"> </w:t>
            </w:r>
            <w:proofErr w:type="spellStart"/>
            <w:r w:rsidRPr="00E16672">
              <w:rPr>
                <w:rFonts w:ascii="Times New Roman" w:hAnsi="Times New Roman" w:cs="Times New Roman"/>
                <w:color w:val="000000"/>
                <w:sz w:val="16"/>
                <w:szCs w:val="16"/>
                <w:lang w:val="uk-UA"/>
              </w:rPr>
              <w:t>підписувача</w:t>
            </w:r>
            <w:proofErr w:type="spellEnd"/>
            <w:r w:rsidRPr="00E16672">
              <w:rPr>
                <w:rFonts w:ascii="Times New Roman" w:hAnsi="Times New Roman" w:cs="Times New Roman"/>
                <w:color w:val="000000"/>
                <w:sz w:val="16"/>
                <w:szCs w:val="16"/>
                <w:lang w:val="uk-UA"/>
              </w:rPr>
              <w:t xml:space="preserve"> електронного документа та сформований за допомогою системи криптографічного захисту інформації Акредитованого Центру Сертифікації ключів.</w:t>
            </w:r>
          </w:p>
          <w:p w14:paraId="227A183B" w14:textId="77777777" w:rsidR="00E22279" w:rsidRPr="00E16672" w:rsidRDefault="00E22279" w:rsidP="00E22279">
            <w:pPr>
              <w:pStyle w:val="33"/>
              <w:tabs>
                <w:tab w:val="left" w:pos="851"/>
              </w:tabs>
              <w:ind w:left="175" w:right="138"/>
              <w:rPr>
                <w:rFonts w:ascii="Times New Roman" w:hAnsi="Times New Roman" w:cs="Times New Roman"/>
                <w:color w:val="000000"/>
                <w:sz w:val="10"/>
                <w:szCs w:val="10"/>
                <w:lang w:val="uk-UA"/>
              </w:rPr>
            </w:pPr>
          </w:p>
        </w:tc>
        <w:tc>
          <w:tcPr>
            <w:tcW w:w="5494" w:type="dxa"/>
            <w:gridSpan w:val="7"/>
            <w:shd w:val="clear" w:color="auto" w:fill="auto"/>
          </w:tcPr>
          <w:p w14:paraId="41005A96" w14:textId="77777777" w:rsidR="00E22279" w:rsidRPr="00E16672" w:rsidRDefault="00E22279" w:rsidP="00E22279">
            <w:pPr>
              <w:tabs>
                <w:tab w:val="left" w:pos="287"/>
              </w:tabs>
              <w:snapToGrid w:val="0"/>
              <w:ind w:left="145" w:right="100" w:firstLine="0"/>
              <w:rPr>
                <w:rFonts w:ascii="Times New Roman" w:hAnsi="Times New Roman"/>
                <w:color w:val="000000"/>
                <w:sz w:val="16"/>
                <w:szCs w:val="16"/>
                <w:shd w:val="clear" w:color="auto" w:fill="FFFFFF"/>
                <w:lang w:val="en-GB"/>
              </w:rPr>
            </w:pPr>
            <w:r w:rsidRPr="00E16672">
              <w:rPr>
                <w:rFonts w:ascii="Times New Roman" w:hAnsi="Times New Roman"/>
                <w:color w:val="000000"/>
                <w:sz w:val="16"/>
                <w:szCs w:val="16"/>
                <w:shd w:val="clear" w:color="auto" w:fill="FFFFFF"/>
                <w:lang w:val="uk-UA"/>
              </w:rPr>
              <w:t>1</w:t>
            </w:r>
            <w:r w:rsidRPr="00E16672">
              <w:rPr>
                <w:rFonts w:ascii="Times New Roman" w:hAnsi="Times New Roman"/>
                <w:color w:val="000000"/>
                <w:sz w:val="16"/>
                <w:szCs w:val="16"/>
                <w:shd w:val="clear" w:color="auto" w:fill="FFFFFF"/>
                <w:lang w:val="en-US"/>
              </w:rPr>
              <w:t>1</w:t>
            </w:r>
            <w:r w:rsidRPr="00E16672">
              <w:rPr>
                <w:rFonts w:ascii="Times New Roman" w:hAnsi="Times New Roman"/>
                <w:color w:val="000000"/>
                <w:sz w:val="16"/>
                <w:szCs w:val="16"/>
                <w:shd w:val="clear" w:color="auto" w:fill="FFFFFF"/>
                <w:lang w:val="uk-UA"/>
              </w:rPr>
              <w:t xml:space="preserve">.4. </w:t>
            </w:r>
            <w:r w:rsidRPr="00F23413">
              <w:rPr>
                <w:rStyle w:val="shorttext"/>
                <w:rFonts w:ascii="Times New Roman" w:hAnsi="Times New Roman"/>
                <w:sz w:val="16"/>
                <w:szCs w:val="16"/>
                <w:lang w:val="en-US"/>
              </w:rPr>
              <w:t>Qualified</w:t>
            </w:r>
            <w:r w:rsidRPr="00E16672">
              <w:rPr>
                <w:rStyle w:val="shorttext"/>
                <w:rFonts w:ascii="Times New Roman" w:hAnsi="Times New Roman"/>
                <w:sz w:val="16"/>
                <w:szCs w:val="16"/>
                <w:lang w:val="uk-UA"/>
              </w:rPr>
              <w:t xml:space="preserve"> </w:t>
            </w:r>
            <w:proofErr w:type="gramStart"/>
            <w:r w:rsidRPr="00E16672">
              <w:rPr>
                <w:rFonts w:ascii="Times New Roman" w:hAnsi="Times New Roman"/>
                <w:color w:val="000000"/>
                <w:sz w:val="16"/>
                <w:szCs w:val="16"/>
                <w:shd w:val="clear" w:color="auto" w:fill="FFFFFF"/>
                <w:lang w:val="en-US"/>
              </w:rPr>
              <w:t>e</w:t>
            </w:r>
            <w:proofErr w:type="spellStart"/>
            <w:r w:rsidRPr="00E16672">
              <w:rPr>
                <w:rFonts w:ascii="Times New Roman" w:hAnsi="Times New Roman"/>
                <w:color w:val="000000"/>
                <w:sz w:val="16"/>
                <w:szCs w:val="16"/>
                <w:shd w:val="clear" w:color="auto" w:fill="FFFFFF"/>
                <w:lang w:val="en-GB"/>
              </w:rPr>
              <w:t>lectronic</w:t>
            </w:r>
            <w:proofErr w:type="spellEnd"/>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signature</w:t>
            </w:r>
            <w:proofErr w:type="gramEnd"/>
            <w:r w:rsidRPr="00E16672">
              <w:rPr>
                <w:rFonts w:ascii="Times New Roman" w:hAnsi="Times New Roman"/>
                <w:color w:val="000000"/>
                <w:sz w:val="16"/>
                <w:szCs w:val="16"/>
                <w:shd w:val="clear" w:color="auto" w:fill="FFFFFF"/>
                <w:lang w:val="uk-UA"/>
              </w:rPr>
              <w:t xml:space="preserve"> – </w:t>
            </w:r>
            <w:r w:rsidRPr="00F23413">
              <w:rPr>
                <w:rFonts w:ascii="Times New Roman" w:hAnsi="Times New Roman"/>
                <w:sz w:val="16"/>
                <w:szCs w:val="16"/>
                <w:lang w:val="en-US"/>
              </w:rPr>
              <w:t>an</w:t>
            </w:r>
            <w:r w:rsidRPr="00E16672">
              <w:rPr>
                <w:rFonts w:ascii="Times New Roman" w:hAnsi="Times New Roman"/>
                <w:sz w:val="16"/>
                <w:szCs w:val="16"/>
                <w:lang w:val="uk-UA"/>
              </w:rPr>
              <w:t xml:space="preserve"> </w:t>
            </w:r>
            <w:r w:rsidRPr="00F23413">
              <w:rPr>
                <w:rFonts w:ascii="Times New Roman" w:hAnsi="Times New Roman"/>
                <w:sz w:val="16"/>
                <w:szCs w:val="16"/>
                <w:lang w:val="en-US"/>
              </w:rPr>
              <w:t>advanced</w:t>
            </w:r>
            <w:r w:rsidRPr="00E16672">
              <w:rPr>
                <w:rFonts w:ascii="Times New Roman" w:hAnsi="Times New Roman"/>
                <w:sz w:val="16"/>
                <w:szCs w:val="16"/>
                <w:lang w:val="uk-UA"/>
              </w:rPr>
              <w:t xml:space="preserve"> </w:t>
            </w:r>
            <w:r w:rsidRPr="00F23413">
              <w:rPr>
                <w:rFonts w:ascii="Times New Roman" w:hAnsi="Times New Roman"/>
                <w:sz w:val="16"/>
                <w:szCs w:val="16"/>
                <w:lang w:val="en-US"/>
              </w:rPr>
              <w:t>electronic</w:t>
            </w:r>
            <w:r w:rsidRPr="00E16672">
              <w:rPr>
                <w:rFonts w:ascii="Times New Roman" w:hAnsi="Times New Roman"/>
                <w:sz w:val="16"/>
                <w:szCs w:val="16"/>
                <w:lang w:val="uk-UA"/>
              </w:rPr>
              <w:t xml:space="preserve"> </w:t>
            </w:r>
            <w:r w:rsidRPr="00F23413">
              <w:rPr>
                <w:rFonts w:ascii="Times New Roman" w:hAnsi="Times New Roman"/>
                <w:sz w:val="16"/>
                <w:szCs w:val="16"/>
                <w:lang w:val="en-US"/>
              </w:rPr>
              <w:t>signature</w:t>
            </w:r>
            <w:r w:rsidRPr="00E16672">
              <w:rPr>
                <w:rFonts w:ascii="Times New Roman" w:hAnsi="Times New Roman"/>
                <w:sz w:val="16"/>
                <w:szCs w:val="16"/>
                <w:lang w:val="uk-UA"/>
              </w:rPr>
              <w:t xml:space="preserve"> </w:t>
            </w:r>
            <w:r w:rsidRPr="00F23413">
              <w:rPr>
                <w:rFonts w:ascii="Times New Roman" w:hAnsi="Times New Roman"/>
                <w:sz w:val="16"/>
                <w:szCs w:val="16"/>
                <w:lang w:val="en-US"/>
              </w:rPr>
              <w:t>created</w:t>
            </w:r>
            <w:r w:rsidRPr="00E16672">
              <w:rPr>
                <w:rFonts w:ascii="Times New Roman" w:hAnsi="Times New Roman"/>
                <w:sz w:val="16"/>
                <w:szCs w:val="16"/>
                <w:lang w:val="uk-UA"/>
              </w:rPr>
              <w:t xml:space="preserve"> </w:t>
            </w:r>
            <w:r w:rsidRPr="00F23413">
              <w:rPr>
                <w:rFonts w:ascii="Times New Roman" w:hAnsi="Times New Roman"/>
                <w:sz w:val="16"/>
                <w:szCs w:val="16"/>
                <w:lang w:val="en-US"/>
              </w:rPr>
              <w:t>using</w:t>
            </w:r>
            <w:r w:rsidRPr="00E16672">
              <w:rPr>
                <w:rFonts w:ascii="Times New Roman" w:hAnsi="Times New Roman"/>
                <w:sz w:val="16"/>
                <w:szCs w:val="16"/>
                <w:lang w:val="uk-UA"/>
              </w:rPr>
              <w:t xml:space="preserve"> </w:t>
            </w:r>
            <w:r w:rsidRPr="00F23413">
              <w:rPr>
                <w:rFonts w:ascii="Times New Roman" w:hAnsi="Times New Roman"/>
                <w:sz w:val="16"/>
                <w:szCs w:val="16"/>
                <w:lang w:val="en-US"/>
              </w:rPr>
              <w:t>a</w:t>
            </w:r>
            <w:r w:rsidRPr="00E16672">
              <w:rPr>
                <w:rFonts w:ascii="Times New Roman" w:hAnsi="Times New Roman"/>
                <w:sz w:val="16"/>
                <w:szCs w:val="16"/>
                <w:lang w:val="uk-UA"/>
              </w:rPr>
              <w:t xml:space="preserve"> </w:t>
            </w:r>
            <w:r w:rsidRPr="00F23413">
              <w:rPr>
                <w:rFonts w:ascii="Times New Roman" w:hAnsi="Times New Roman"/>
                <w:sz w:val="16"/>
                <w:szCs w:val="16"/>
                <w:lang w:val="en-US"/>
              </w:rPr>
              <w:t>qualified</w:t>
            </w:r>
            <w:r w:rsidRPr="00E16672">
              <w:rPr>
                <w:rFonts w:ascii="Times New Roman" w:hAnsi="Times New Roman"/>
                <w:sz w:val="16"/>
                <w:szCs w:val="16"/>
                <w:lang w:val="uk-UA"/>
              </w:rPr>
              <w:t xml:space="preserve"> </w:t>
            </w:r>
            <w:r w:rsidRPr="00F23413">
              <w:rPr>
                <w:rFonts w:ascii="Times New Roman" w:hAnsi="Times New Roman"/>
                <w:sz w:val="16"/>
                <w:szCs w:val="16"/>
                <w:lang w:val="en-US"/>
              </w:rPr>
              <w:t>electronic</w:t>
            </w:r>
            <w:r w:rsidRPr="00E16672">
              <w:rPr>
                <w:rFonts w:ascii="Times New Roman" w:hAnsi="Times New Roman"/>
                <w:sz w:val="16"/>
                <w:szCs w:val="16"/>
                <w:lang w:val="uk-UA"/>
              </w:rPr>
              <w:t xml:space="preserve"> </w:t>
            </w:r>
            <w:r w:rsidRPr="00F23413">
              <w:rPr>
                <w:rFonts w:ascii="Times New Roman" w:hAnsi="Times New Roman"/>
                <w:sz w:val="16"/>
                <w:szCs w:val="16"/>
                <w:lang w:val="en-US"/>
              </w:rPr>
              <w:t>signature tool, namely through the cryptographic information security system of the Accredited Key Certification Center, and is based on a qualified public key certificate. Qualified electronic signature is mandatory</w:t>
            </w:r>
            <w:r w:rsidRPr="00E16672">
              <w:rPr>
                <w:rFonts w:ascii="Times New Roman" w:hAnsi="Times New Roman"/>
                <w:color w:val="000000"/>
                <w:sz w:val="16"/>
                <w:szCs w:val="16"/>
                <w:shd w:val="clear" w:color="auto" w:fill="FFFFFF"/>
                <w:lang w:val="en-GB"/>
              </w:rPr>
              <w:t xml:space="preserve"> a required requisite of electronic document used to identify the recipient of an electronic document signer and is formed by means of cryptographic protection information system of Certification Authority.</w:t>
            </w:r>
          </w:p>
          <w:p w14:paraId="45A00D73" w14:textId="77777777" w:rsidR="00E22279" w:rsidRPr="00E16672" w:rsidRDefault="00E22279" w:rsidP="00E22279">
            <w:pPr>
              <w:tabs>
                <w:tab w:val="left" w:pos="287"/>
              </w:tabs>
              <w:snapToGrid w:val="0"/>
              <w:ind w:left="145" w:right="100"/>
              <w:rPr>
                <w:rFonts w:ascii="Times New Roman" w:hAnsi="Times New Roman"/>
                <w:b/>
                <w:bCs/>
                <w:color w:val="000000"/>
                <w:sz w:val="16"/>
                <w:szCs w:val="16"/>
                <w:lang w:val="en-GB"/>
              </w:rPr>
            </w:pPr>
          </w:p>
        </w:tc>
      </w:tr>
      <w:tr w:rsidR="00E22279" w:rsidRPr="00F23413" w14:paraId="1EBB6F1D" w14:textId="77777777" w:rsidTr="00D77858">
        <w:tblPrEx>
          <w:tblCellMar>
            <w:left w:w="0" w:type="dxa"/>
            <w:right w:w="0" w:type="dxa"/>
          </w:tblCellMar>
        </w:tblPrEx>
        <w:trPr>
          <w:trHeight w:val="192"/>
        </w:trPr>
        <w:tc>
          <w:tcPr>
            <w:tcW w:w="5696" w:type="dxa"/>
            <w:gridSpan w:val="6"/>
            <w:shd w:val="clear" w:color="auto" w:fill="auto"/>
          </w:tcPr>
          <w:p w14:paraId="73B29239" w14:textId="77777777" w:rsidR="00E22279" w:rsidRPr="00E16672" w:rsidRDefault="00E22279" w:rsidP="00E22279">
            <w:pPr>
              <w:pStyle w:val="33"/>
              <w:tabs>
                <w:tab w:val="left" w:pos="851"/>
              </w:tabs>
              <w:snapToGrid w:val="0"/>
              <w:ind w:left="175" w:right="138" w:firstLine="0"/>
              <w:rPr>
                <w:rFonts w:ascii="Times New Roman" w:hAnsi="Times New Roman" w:cs="Times New Roman"/>
                <w:color w:val="000000"/>
                <w:sz w:val="16"/>
                <w:szCs w:val="16"/>
                <w:lang w:val="uk-UA"/>
              </w:rPr>
            </w:pPr>
            <w:r w:rsidRPr="00E16672">
              <w:rPr>
                <w:rFonts w:ascii="Times New Roman" w:hAnsi="Times New Roman" w:cs="Times New Roman"/>
                <w:color w:val="000000"/>
                <w:sz w:val="16"/>
                <w:szCs w:val="16"/>
                <w:lang w:val="uk-UA"/>
              </w:rPr>
              <w:t>1</w:t>
            </w:r>
            <w:r w:rsidRPr="00E16672">
              <w:rPr>
                <w:rFonts w:ascii="Times New Roman" w:hAnsi="Times New Roman" w:cs="Times New Roman"/>
                <w:color w:val="000000"/>
                <w:sz w:val="16"/>
                <w:szCs w:val="16"/>
              </w:rPr>
              <w:t>1</w:t>
            </w:r>
            <w:r w:rsidRPr="00E16672">
              <w:rPr>
                <w:rFonts w:ascii="Times New Roman" w:hAnsi="Times New Roman" w:cs="Times New Roman"/>
                <w:color w:val="000000"/>
                <w:sz w:val="16"/>
                <w:szCs w:val="16"/>
                <w:lang w:val="uk-UA"/>
              </w:rPr>
              <w:t xml:space="preserve">.5. </w:t>
            </w:r>
            <w:r w:rsidRPr="00E16672">
              <w:rPr>
                <w:rFonts w:ascii="Times New Roman" w:hAnsi="Times New Roman" w:cs="Times New Roman"/>
                <w:sz w:val="16"/>
                <w:szCs w:val="16"/>
                <w:lang w:val="uk-UA"/>
              </w:rPr>
              <w:t>Кваліфікований</w:t>
            </w:r>
            <w:r w:rsidRPr="00E16672" w:rsidDel="00047AE1">
              <w:rPr>
                <w:rFonts w:ascii="Times New Roman" w:hAnsi="Times New Roman" w:cs="Times New Roman"/>
                <w:sz w:val="16"/>
                <w:szCs w:val="16"/>
                <w:lang w:val="uk-UA"/>
              </w:rPr>
              <w:t xml:space="preserve"> </w:t>
            </w:r>
            <w:proofErr w:type="spellStart"/>
            <w:r w:rsidRPr="00E16672">
              <w:rPr>
                <w:rFonts w:ascii="Times New Roman" w:hAnsi="Times New Roman" w:cs="Times New Roman"/>
                <w:color w:val="000000"/>
                <w:sz w:val="16"/>
                <w:szCs w:val="16"/>
                <w:lang w:val="uk-UA"/>
              </w:rPr>
              <w:t>кваліфікований</w:t>
            </w:r>
            <w:proofErr w:type="spellEnd"/>
            <w:r w:rsidRPr="00E16672">
              <w:rPr>
                <w:rFonts w:ascii="Times New Roman" w:hAnsi="Times New Roman" w:cs="Times New Roman"/>
                <w:color w:val="000000"/>
                <w:sz w:val="16"/>
                <w:szCs w:val="16"/>
                <w:lang w:val="uk-UA"/>
              </w:rPr>
              <w:t xml:space="preserve"> електронний підпис за правовим статусом прирівнюється до власноручного підпису (печатки) особи, яка його вчинила</w:t>
            </w:r>
            <w:r w:rsidRPr="00E16672">
              <w:rPr>
                <w:rFonts w:ascii="Times New Roman" w:hAnsi="Times New Roman" w:cs="Times New Roman"/>
                <w:sz w:val="16"/>
                <w:lang w:val="uk-UA"/>
              </w:rPr>
              <w:t>, згідно законодавства та цього Договору</w:t>
            </w:r>
            <w:r w:rsidRPr="00E16672">
              <w:rPr>
                <w:rFonts w:ascii="Times New Roman" w:hAnsi="Times New Roman" w:cs="Times New Roman"/>
                <w:color w:val="000000"/>
                <w:sz w:val="16"/>
                <w:szCs w:val="16"/>
                <w:lang w:val="uk-UA"/>
              </w:rPr>
              <w:t>. Юридична сила електронного документа не може бути заперечена виключно через те, що він має електронну форму.</w:t>
            </w:r>
          </w:p>
          <w:p w14:paraId="24A08686" w14:textId="77777777" w:rsidR="00E22279" w:rsidRPr="00E16672" w:rsidRDefault="00E22279" w:rsidP="00E22279">
            <w:pPr>
              <w:pStyle w:val="33"/>
              <w:tabs>
                <w:tab w:val="left" w:pos="851"/>
              </w:tabs>
              <w:snapToGrid w:val="0"/>
              <w:ind w:left="175" w:right="138"/>
              <w:rPr>
                <w:rFonts w:ascii="Times New Roman" w:hAnsi="Times New Roman" w:cs="Times New Roman"/>
                <w:color w:val="000000"/>
                <w:sz w:val="16"/>
                <w:szCs w:val="16"/>
                <w:lang w:val="uk-UA"/>
              </w:rPr>
            </w:pPr>
          </w:p>
        </w:tc>
        <w:tc>
          <w:tcPr>
            <w:tcW w:w="5494" w:type="dxa"/>
            <w:gridSpan w:val="7"/>
            <w:shd w:val="clear" w:color="auto" w:fill="auto"/>
          </w:tcPr>
          <w:p w14:paraId="3D559939" w14:textId="77777777" w:rsidR="00E22279" w:rsidRPr="00E16672" w:rsidRDefault="00E22279" w:rsidP="00E22279">
            <w:pPr>
              <w:tabs>
                <w:tab w:val="left" w:pos="287"/>
              </w:tabs>
              <w:snapToGrid w:val="0"/>
              <w:ind w:left="145" w:right="100" w:firstLine="0"/>
              <w:rPr>
                <w:rFonts w:ascii="Times New Roman" w:hAnsi="Times New Roman"/>
                <w:color w:val="000000"/>
                <w:sz w:val="16"/>
                <w:szCs w:val="16"/>
                <w:shd w:val="clear" w:color="auto" w:fill="FFFFFF"/>
                <w:lang w:val="en-GB"/>
              </w:rPr>
            </w:pPr>
            <w:r w:rsidRPr="00E16672">
              <w:rPr>
                <w:rFonts w:ascii="Times New Roman" w:hAnsi="Times New Roman"/>
                <w:color w:val="000000"/>
                <w:sz w:val="16"/>
                <w:szCs w:val="16"/>
                <w:shd w:val="clear" w:color="auto" w:fill="FFFFFF"/>
                <w:lang w:val="uk-UA"/>
              </w:rPr>
              <w:t>1</w:t>
            </w:r>
            <w:r w:rsidRPr="00E16672">
              <w:rPr>
                <w:rFonts w:ascii="Times New Roman" w:hAnsi="Times New Roman"/>
                <w:color w:val="000000"/>
                <w:sz w:val="16"/>
                <w:szCs w:val="16"/>
                <w:shd w:val="clear" w:color="auto" w:fill="FFFFFF"/>
                <w:lang w:val="en-US"/>
              </w:rPr>
              <w:t>1</w:t>
            </w:r>
            <w:r w:rsidRPr="00E16672">
              <w:rPr>
                <w:rFonts w:ascii="Times New Roman" w:hAnsi="Times New Roman"/>
                <w:color w:val="000000"/>
                <w:sz w:val="16"/>
                <w:szCs w:val="16"/>
                <w:shd w:val="clear" w:color="auto" w:fill="FFFFFF"/>
                <w:lang w:val="uk-UA"/>
              </w:rPr>
              <w:t xml:space="preserve">.5. </w:t>
            </w:r>
            <w:r w:rsidRPr="00F23413">
              <w:rPr>
                <w:rStyle w:val="shorttext"/>
                <w:rFonts w:ascii="Times New Roman" w:hAnsi="Times New Roman"/>
                <w:sz w:val="16"/>
                <w:szCs w:val="16"/>
                <w:lang w:val="en-US"/>
              </w:rPr>
              <w:t>Qualified</w:t>
            </w:r>
            <w:r w:rsidRPr="00E16672">
              <w:rPr>
                <w:rStyle w:val="shorttext"/>
                <w:rFonts w:ascii="Times New Roman" w:hAnsi="Times New Roman"/>
                <w:sz w:val="16"/>
                <w:szCs w:val="16"/>
                <w:lang w:val="uk-UA"/>
              </w:rPr>
              <w:t xml:space="preserve"> </w:t>
            </w:r>
            <w:r w:rsidRPr="00E16672">
              <w:rPr>
                <w:rFonts w:ascii="Times New Roman" w:hAnsi="Times New Roman"/>
                <w:color w:val="000000"/>
                <w:sz w:val="16"/>
                <w:szCs w:val="16"/>
                <w:shd w:val="clear" w:color="auto" w:fill="FFFFFF"/>
                <w:lang w:val="en-US"/>
              </w:rPr>
              <w:t>e</w:t>
            </w:r>
            <w:proofErr w:type="spellStart"/>
            <w:r w:rsidRPr="00E16672">
              <w:rPr>
                <w:rFonts w:ascii="Times New Roman" w:hAnsi="Times New Roman"/>
                <w:color w:val="000000"/>
                <w:sz w:val="16"/>
                <w:szCs w:val="16"/>
                <w:shd w:val="clear" w:color="auto" w:fill="FFFFFF"/>
                <w:lang w:val="en-GB"/>
              </w:rPr>
              <w:t>lectronic</w:t>
            </w:r>
            <w:proofErr w:type="spellEnd"/>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digital</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signature</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for</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legal</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status</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equivalent</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to</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a</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handwritten</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signature</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seal</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of</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the</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person</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who</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committed it</w:t>
            </w:r>
            <w:r w:rsidRPr="00E16672">
              <w:rPr>
                <w:rFonts w:ascii="Times New Roman" w:hAnsi="Times New Roman"/>
                <w:color w:val="000000"/>
                <w:sz w:val="16"/>
                <w:szCs w:val="16"/>
                <w:shd w:val="clear" w:color="auto" w:fill="FFFFFF"/>
                <w:lang w:val="uk-UA"/>
              </w:rPr>
              <w:t xml:space="preserve"> </w:t>
            </w:r>
            <w:r w:rsidRPr="00F23413">
              <w:rPr>
                <w:rStyle w:val="shorttext"/>
                <w:rFonts w:ascii="Times New Roman" w:hAnsi="Times New Roman"/>
                <w:sz w:val="16"/>
                <w:lang w:val="en-US"/>
              </w:rPr>
              <w:t>according to the law</w:t>
            </w:r>
            <w:r w:rsidRPr="00E16672">
              <w:rPr>
                <w:rStyle w:val="shorttext"/>
                <w:rFonts w:ascii="Times New Roman" w:hAnsi="Times New Roman"/>
                <w:sz w:val="16"/>
                <w:lang w:val="uk-UA"/>
              </w:rPr>
              <w:t xml:space="preserve"> </w:t>
            </w:r>
            <w:r w:rsidRPr="00F23413">
              <w:rPr>
                <w:rStyle w:val="shorttext"/>
                <w:rFonts w:ascii="Times New Roman" w:hAnsi="Times New Roman"/>
                <w:sz w:val="16"/>
                <w:szCs w:val="16"/>
                <w:lang w:val="en-US"/>
              </w:rPr>
              <w:t>and this Agreement</w:t>
            </w:r>
            <w:r w:rsidRPr="00E16672">
              <w:rPr>
                <w:rFonts w:ascii="Times New Roman" w:hAnsi="Times New Roman"/>
                <w:color w:val="000000"/>
                <w:sz w:val="16"/>
                <w:szCs w:val="16"/>
                <w:shd w:val="clear" w:color="auto" w:fill="FFFFFF"/>
                <w:lang w:val="en-GB"/>
              </w:rPr>
              <w:t>. Legal validity of electronic document may be objections solely because it has electronic form.</w:t>
            </w:r>
          </w:p>
          <w:p w14:paraId="17E3F1AE" w14:textId="77777777" w:rsidR="00E22279" w:rsidRPr="00E16672" w:rsidRDefault="00E22279" w:rsidP="00E22279">
            <w:pPr>
              <w:tabs>
                <w:tab w:val="left" w:pos="287"/>
              </w:tabs>
              <w:snapToGrid w:val="0"/>
              <w:ind w:left="145" w:right="100"/>
              <w:rPr>
                <w:rFonts w:ascii="Times New Roman" w:hAnsi="Times New Roman"/>
                <w:color w:val="000000"/>
                <w:sz w:val="16"/>
                <w:szCs w:val="16"/>
                <w:shd w:val="clear" w:color="auto" w:fill="FFFFFF"/>
                <w:lang w:val="en-GB"/>
              </w:rPr>
            </w:pPr>
          </w:p>
        </w:tc>
      </w:tr>
      <w:tr w:rsidR="00E22279" w:rsidRPr="00F23413" w14:paraId="761156B2" w14:textId="77777777" w:rsidTr="00D77858">
        <w:tblPrEx>
          <w:tblCellMar>
            <w:left w:w="0" w:type="dxa"/>
            <w:right w:w="0" w:type="dxa"/>
          </w:tblCellMar>
        </w:tblPrEx>
        <w:trPr>
          <w:trHeight w:val="192"/>
        </w:trPr>
        <w:tc>
          <w:tcPr>
            <w:tcW w:w="5696" w:type="dxa"/>
            <w:gridSpan w:val="6"/>
            <w:shd w:val="clear" w:color="auto" w:fill="auto"/>
          </w:tcPr>
          <w:p w14:paraId="17A26947" w14:textId="77777777" w:rsidR="00E22279" w:rsidRPr="00E16672" w:rsidRDefault="00E22279" w:rsidP="00E22279">
            <w:pPr>
              <w:pStyle w:val="33"/>
              <w:tabs>
                <w:tab w:val="left" w:pos="851"/>
              </w:tabs>
              <w:snapToGrid w:val="0"/>
              <w:ind w:left="175" w:right="138" w:firstLine="0"/>
              <w:rPr>
                <w:rFonts w:ascii="Times New Roman" w:hAnsi="Times New Roman" w:cs="Times New Roman"/>
                <w:color w:val="000000"/>
                <w:sz w:val="16"/>
                <w:szCs w:val="16"/>
                <w:lang w:val="uk-UA"/>
              </w:rPr>
            </w:pPr>
            <w:r w:rsidRPr="00E16672">
              <w:rPr>
                <w:rFonts w:ascii="Times New Roman" w:hAnsi="Times New Roman" w:cs="Times New Roman"/>
                <w:color w:val="000000"/>
                <w:sz w:val="16"/>
                <w:szCs w:val="16"/>
                <w:lang w:val="uk-UA"/>
              </w:rPr>
              <w:t>1</w:t>
            </w:r>
            <w:r w:rsidRPr="00E16672">
              <w:rPr>
                <w:rFonts w:ascii="Times New Roman" w:hAnsi="Times New Roman" w:cs="Times New Roman"/>
                <w:color w:val="000000"/>
                <w:sz w:val="16"/>
                <w:szCs w:val="16"/>
              </w:rPr>
              <w:t>1</w:t>
            </w:r>
            <w:r w:rsidRPr="00E16672">
              <w:rPr>
                <w:rFonts w:ascii="Times New Roman" w:hAnsi="Times New Roman" w:cs="Times New Roman"/>
                <w:color w:val="000000"/>
                <w:sz w:val="16"/>
                <w:szCs w:val="16"/>
                <w:lang w:val="uk-UA"/>
              </w:rPr>
              <w:t xml:space="preserve">.6. </w:t>
            </w:r>
            <w:proofErr w:type="spellStart"/>
            <w:r w:rsidRPr="00E16672">
              <w:rPr>
                <w:rFonts w:ascii="Times New Roman" w:hAnsi="Times New Roman" w:cs="Times New Roman"/>
                <w:color w:val="000000"/>
                <w:sz w:val="16"/>
                <w:szCs w:val="16"/>
                <w:lang w:val="uk-UA"/>
              </w:rPr>
              <w:t>Підписувач</w:t>
            </w:r>
            <w:proofErr w:type="spellEnd"/>
            <w:r w:rsidRPr="00E16672">
              <w:rPr>
                <w:rFonts w:ascii="Times New Roman" w:hAnsi="Times New Roman" w:cs="Times New Roman"/>
                <w:color w:val="000000"/>
                <w:sz w:val="16"/>
                <w:szCs w:val="16"/>
                <w:lang w:val="uk-UA"/>
              </w:rPr>
              <w:t xml:space="preserve"> - </w:t>
            </w:r>
            <w:proofErr w:type="spellStart"/>
            <w:r w:rsidRPr="00E16672">
              <w:rPr>
                <w:rStyle w:val="rvts0"/>
                <w:rFonts w:ascii="Times New Roman" w:hAnsi="Times New Roman" w:cs="Times New Roman"/>
                <w:sz w:val="16"/>
                <w:szCs w:val="16"/>
              </w:rPr>
              <w:t>фізична</w:t>
            </w:r>
            <w:proofErr w:type="spellEnd"/>
            <w:r w:rsidRPr="00E16672">
              <w:rPr>
                <w:rStyle w:val="rvts0"/>
                <w:rFonts w:ascii="Times New Roman" w:hAnsi="Times New Roman" w:cs="Times New Roman"/>
                <w:sz w:val="16"/>
                <w:szCs w:val="16"/>
              </w:rPr>
              <w:t xml:space="preserve"> особа, яка </w:t>
            </w:r>
            <w:proofErr w:type="spellStart"/>
            <w:r w:rsidRPr="00E16672">
              <w:rPr>
                <w:rStyle w:val="rvts0"/>
                <w:rFonts w:ascii="Times New Roman" w:hAnsi="Times New Roman" w:cs="Times New Roman"/>
                <w:sz w:val="16"/>
                <w:szCs w:val="16"/>
              </w:rPr>
              <w:t>створює</w:t>
            </w:r>
            <w:proofErr w:type="spellEnd"/>
            <w:r w:rsidRPr="00E16672">
              <w:rPr>
                <w:rStyle w:val="rvts0"/>
                <w:rFonts w:ascii="Times New Roman" w:hAnsi="Times New Roman" w:cs="Times New Roman"/>
                <w:sz w:val="16"/>
                <w:szCs w:val="16"/>
              </w:rPr>
              <w:t xml:space="preserve"> </w:t>
            </w:r>
            <w:proofErr w:type="spellStart"/>
            <w:r w:rsidRPr="00E16672">
              <w:rPr>
                <w:rStyle w:val="rvts0"/>
                <w:rFonts w:ascii="Times New Roman" w:hAnsi="Times New Roman" w:cs="Times New Roman"/>
                <w:sz w:val="16"/>
                <w:szCs w:val="16"/>
              </w:rPr>
              <w:t>електронний</w:t>
            </w:r>
            <w:proofErr w:type="spellEnd"/>
            <w:r w:rsidRPr="00E16672">
              <w:rPr>
                <w:rStyle w:val="rvts0"/>
                <w:rFonts w:ascii="Times New Roman" w:hAnsi="Times New Roman" w:cs="Times New Roman"/>
                <w:sz w:val="16"/>
                <w:szCs w:val="16"/>
              </w:rPr>
              <w:t xml:space="preserve"> </w:t>
            </w:r>
            <w:proofErr w:type="spellStart"/>
            <w:r w:rsidRPr="00E16672">
              <w:rPr>
                <w:rStyle w:val="rvts0"/>
                <w:rFonts w:ascii="Times New Roman" w:hAnsi="Times New Roman" w:cs="Times New Roman"/>
                <w:sz w:val="16"/>
                <w:szCs w:val="16"/>
              </w:rPr>
              <w:t>підпис</w:t>
            </w:r>
            <w:proofErr w:type="spellEnd"/>
            <w:r w:rsidRPr="00E16672">
              <w:rPr>
                <w:rFonts w:ascii="Times New Roman" w:hAnsi="Times New Roman" w:cs="Times New Roman"/>
                <w:color w:val="000000"/>
                <w:sz w:val="16"/>
                <w:szCs w:val="16"/>
                <w:lang w:val="uk-UA"/>
              </w:rPr>
              <w:t>.</w:t>
            </w:r>
          </w:p>
          <w:p w14:paraId="4CAD960B" w14:textId="77777777" w:rsidR="00E22279" w:rsidRPr="00E16672" w:rsidRDefault="00E22279" w:rsidP="00E22279">
            <w:pPr>
              <w:pStyle w:val="33"/>
              <w:tabs>
                <w:tab w:val="left" w:pos="851"/>
              </w:tabs>
              <w:snapToGrid w:val="0"/>
              <w:ind w:left="175" w:right="138"/>
              <w:rPr>
                <w:rFonts w:ascii="Times New Roman" w:hAnsi="Times New Roman" w:cs="Times New Roman"/>
                <w:color w:val="000000"/>
                <w:sz w:val="16"/>
                <w:szCs w:val="16"/>
                <w:lang w:val="uk-UA"/>
              </w:rPr>
            </w:pPr>
          </w:p>
        </w:tc>
        <w:tc>
          <w:tcPr>
            <w:tcW w:w="5494" w:type="dxa"/>
            <w:gridSpan w:val="7"/>
            <w:shd w:val="clear" w:color="auto" w:fill="auto"/>
          </w:tcPr>
          <w:p w14:paraId="3A620840" w14:textId="77777777" w:rsidR="00E22279" w:rsidRPr="00E16672" w:rsidRDefault="00E22279" w:rsidP="00E22279">
            <w:pPr>
              <w:tabs>
                <w:tab w:val="left" w:pos="287"/>
              </w:tabs>
              <w:snapToGrid w:val="0"/>
              <w:ind w:left="145" w:right="100" w:firstLine="0"/>
              <w:rPr>
                <w:rFonts w:ascii="Times New Roman" w:hAnsi="Times New Roman"/>
                <w:color w:val="000000"/>
                <w:sz w:val="16"/>
                <w:szCs w:val="16"/>
                <w:shd w:val="clear" w:color="auto" w:fill="FFFFFF"/>
                <w:lang w:val="uk-UA"/>
              </w:rPr>
            </w:pPr>
            <w:r w:rsidRPr="00E16672">
              <w:rPr>
                <w:rFonts w:ascii="Times New Roman" w:hAnsi="Times New Roman"/>
                <w:color w:val="000000"/>
                <w:sz w:val="16"/>
                <w:szCs w:val="16"/>
                <w:shd w:val="clear" w:color="auto" w:fill="FFFFFF"/>
                <w:lang w:val="uk-UA"/>
              </w:rPr>
              <w:t>1</w:t>
            </w:r>
            <w:r w:rsidRPr="00E16672">
              <w:rPr>
                <w:rFonts w:ascii="Times New Roman" w:hAnsi="Times New Roman"/>
                <w:color w:val="000000"/>
                <w:sz w:val="16"/>
                <w:szCs w:val="16"/>
                <w:shd w:val="clear" w:color="auto" w:fill="FFFFFF"/>
                <w:lang w:val="en-US"/>
              </w:rPr>
              <w:t>1</w:t>
            </w:r>
            <w:r w:rsidRPr="00E16672">
              <w:rPr>
                <w:rFonts w:ascii="Times New Roman" w:hAnsi="Times New Roman"/>
                <w:color w:val="000000"/>
                <w:sz w:val="16"/>
                <w:szCs w:val="16"/>
                <w:shd w:val="clear" w:color="auto" w:fill="FFFFFF"/>
                <w:lang w:val="uk-UA"/>
              </w:rPr>
              <w:t xml:space="preserve">.6. </w:t>
            </w:r>
            <w:r w:rsidRPr="00E16672">
              <w:rPr>
                <w:rFonts w:ascii="Times New Roman" w:hAnsi="Times New Roman"/>
                <w:color w:val="000000"/>
                <w:sz w:val="16"/>
                <w:szCs w:val="16"/>
                <w:shd w:val="clear" w:color="auto" w:fill="FFFFFF"/>
                <w:lang w:val="en-GB"/>
              </w:rPr>
              <w:t>Signer</w:t>
            </w:r>
            <w:r w:rsidRPr="00E16672">
              <w:rPr>
                <w:rFonts w:ascii="Times New Roman" w:hAnsi="Times New Roman"/>
                <w:color w:val="000000"/>
                <w:sz w:val="16"/>
                <w:szCs w:val="16"/>
                <w:shd w:val="clear" w:color="auto" w:fill="FFFFFF"/>
                <w:lang w:val="uk-UA"/>
              </w:rPr>
              <w:t xml:space="preserve"> - </w:t>
            </w:r>
            <w:r w:rsidRPr="00E16672">
              <w:rPr>
                <w:rFonts w:ascii="Times New Roman" w:hAnsi="Times New Roman"/>
                <w:color w:val="000000"/>
                <w:sz w:val="16"/>
                <w:szCs w:val="16"/>
                <w:shd w:val="clear" w:color="auto" w:fill="FFFFFF"/>
                <w:lang w:val="en-GB"/>
              </w:rPr>
              <w:t>a</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sz w:val="16"/>
                <w:szCs w:val="14"/>
                <w:lang w:val="en-US"/>
              </w:rPr>
              <w:t>physical</w:t>
            </w:r>
            <w:r w:rsidRPr="00E16672">
              <w:rPr>
                <w:rFonts w:ascii="Times New Roman" w:hAnsi="Times New Roman"/>
                <w:b/>
                <w:sz w:val="16"/>
                <w:szCs w:val="14"/>
                <w:lang w:val="uk-UA"/>
              </w:rPr>
              <w:t xml:space="preserve"> </w:t>
            </w:r>
            <w:r w:rsidRPr="00E16672">
              <w:rPr>
                <w:rFonts w:ascii="Times New Roman" w:hAnsi="Times New Roman"/>
                <w:color w:val="000000"/>
                <w:sz w:val="16"/>
                <w:szCs w:val="16"/>
                <w:shd w:val="clear" w:color="auto" w:fill="FFFFFF"/>
                <w:lang w:val="en-GB"/>
              </w:rPr>
              <w:t>person</w:t>
            </w:r>
            <w:r w:rsidRPr="00E16672">
              <w:rPr>
                <w:rFonts w:ascii="Times New Roman" w:hAnsi="Times New Roman"/>
                <w:color w:val="000000"/>
                <w:sz w:val="16"/>
                <w:szCs w:val="16"/>
                <w:shd w:val="clear" w:color="auto" w:fill="FFFFFF"/>
                <w:lang w:val="uk-UA"/>
              </w:rPr>
              <w:t xml:space="preserve"> </w:t>
            </w:r>
            <w:r w:rsidRPr="00F23413">
              <w:rPr>
                <w:rStyle w:val="shorttext"/>
                <w:rFonts w:ascii="Times New Roman" w:hAnsi="Times New Roman"/>
                <w:sz w:val="16"/>
                <w:szCs w:val="16"/>
                <w:lang w:val="en-US"/>
              </w:rPr>
              <w:t>who</w:t>
            </w:r>
            <w:r w:rsidRPr="00E16672">
              <w:rPr>
                <w:rStyle w:val="shorttext"/>
                <w:rFonts w:ascii="Times New Roman" w:hAnsi="Times New Roman"/>
                <w:sz w:val="16"/>
                <w:szCs w:val="16"/>
                <w:lang w:val="uk-UA"/>
              </w:rPr>
              <w:t xml:space="preserve"> </w:t>
            </w:r>
            <w:r w:rsidRPr="00F23413">
              <w:rPr>
                <w:rStyle w:val="shorttext"/>
                <w:rFonts w:ascii="Times New Roman" w:hAnsi="Times New Roman"/>
                <w:sz w:val="16"/>
                <w:szCs w:val="16"/>
                <w:lang w:val="en-US"/>
              </w:rPr>
              <w:t>creates</w:t>
            </w:r>
            <w:r w:rsidRPr="00E16672">
              <w:rPr>
                <w:rStyle w:val="shorttext"/>
                <w:rFonts w:ascii="Times New Roman" w:hAnsi="Times New Roman"/>
                <w:sz w:val="16"/>
                <w:szCs w:val="16"/>
                <w:lang w:val="uk-UA"/>
              </w:rPr>
              <w:t xml:space="preserve"> </w:t>
            </w:r>
            <w:r w:rsidRPr="00F23413">
              <w:rPr>
                <w:rStyle w:val="shorttext"/>
                <w:rFonts w:ascii="Times New Roman" w:hAnsi="Times New Roman"/>
                <w:sz w:val="16"/>
                <w:szCs w:val="16"/>
                <w:lang w:val="en-US"/>
              </w:rPr>
              <w:t>an</w:t>
            </w:r>
            <w:r w:rsidRPr="00E16672">
              <w:rPr>
                <w:rStyle w:val="shorttext"/>
                <w:rFonts w:ascii="Times New Roman" w:hAnsi="Times New Roman"/>
                <w:sz w:val="16"/>
                <w:szCs w:val="16"/>
                <w:lang w:val="uk-UA"/>
              </w:rPr>
              <w:t xml:space="preserve"> </w:t>
            </w:r>
            <w:r w:rsidRPr="00F23413">
              <w:rPr>
                <w:rStyle w:val="shorttext"/>
                <w:rFonts w:ascii="Times New Roman" w:hAnsi="Times New Roman"/>
                <w:sz w:val="16"/>
                <w:szCs w:val="16"/>
                <w:lang w:val="en-US"/>
              </w:rPr>
              <w:t>electronic</w:t>
            </w:r>
            <w:r w:rsidRPr="00E16672">
              <w:rPr>
                <w:rStyle w:val="shorttext"/>
                <w:rFonts w:ascii="Times New Roman" w:hAnsi="Times New Roman"/>
                <w:sz w:val="16"/>
                <w:szCs w:val="16"/>
                <w:lang w:val="uk-UA"/>
              </w:rPr>
              <w:t xml:space="preserve"> </w:t>
            </w:r>
            <w:r w:rsidRPr="00F23413">
              <w:rPr>
                <w:rStyle w:val="shorttext"/>
                <w:rFonts w:ascii="Times New Roman" w:hAnsi="Times New Roman"/>
                <w:sz w:val="16"/>
                <w:szCs w:val="16"/>
                <w:lang w:val="en-US"/>
              </w:rPr>
              <w:t>signature</w:t>
            </w:r>
            <w:r w:rsidRPr="00E16672">
              <w:rPr>
                <w:rFonts w:ascii="Times New Roman" w:hAnsi="Times New Roman"/>
                <w:color w:val="000000"/>
                <w:sz w:val="16"/>
                <w:szCs w:val="16"/>
                <w:shd w:val="clear" w:color="auto" w:fill="FFFFFF"/>
                <w:lang w:val="uk-UA"/>
              </w:rPr>
              <w:t>.</w:t>
            </w:r>
          </w:p>
          <w:p w14:paraId="5DE35A70" w14:textId="77777777" w:rsidR="00E22279" w:rsidRPr="00E16672" w:rsidRDefault="00E22279" w:rsidP="00E22279">
            <w:pPr>
              <w:tabs>
                <w:tab w:val="left" w:pos="287"/>
              </w:tabs>
              <w:snapToGrid w:val="0"/>
              <w:ind w:left="145" w:right="100"/>
              <w:rPr>
                <w:rFonts w:ascii="Times New Roman" w:hAnsi="Times New Roman"/>
                <w:color w:val="000000"/>
                <w:sz w:val="16"/>
                <w:szCs w:val="16"/>
                <w:shd w:val="clear" w:color="auto" w:fill="FFFFFF"/>
                <w:lang w:val="uk-UA"/>
              </w:rPr>
            </w:pPr>
          </w:p>
        </w:tc>
      </w:tr>
      <w:tr w:rsidR="00E22279" w:rsidRPr="00F23413" w14:paraId="571E3E79" w14:textId="77777777" w:rsidTr="00D77858">
        <w:tblPrEx>
          <w:tblCellMar>
            <w:left w:w="0" w:type="dxa"/>
            <w:right w:w="0" w:type="dxa"/>
          </w:tblCellMar>
        </w:tblPrEx>
        <w:trPr>
          <w:trHeight w:val="192"/>
        </w:trPr>
        <w:tc>
          <w:tcPr>
            <w:tcW w:w="5696" w:type="dxa"/>
            <w:gridSpan w:val="6"/>
            <w:shd w:val="clear" w:color="auto" w:fill="auto"/>
          </w:tcPr>
          <w:p w14:paraId="1237ECF8" w14:textId="77777777" w:rsidR="00E22279" w:rsidRPr="00E16672" w:rsidRDefault="00E22279" w:rsidP="00E22279">
            <w:pPr>
              <w:pStyle w:val="33"/>
              <w:tabs>
                <w:tab w:val="left" w:pos="851"/>
              </w:tabs>
              <w:snapToGrid w:val="0"/>
              <w:ind w:left="175" w:right="138" w:firstLine="0"/>
              <w:rPr>
                <w:rFonts w:ascii="Times New Roman" w:hAnsi="Times New Roman" w:cs="Times New Roman"/>
                <w:color w:val="000000"/>
                <w:sz w:val="16"/>
                <w:szCs w:val="16"/>
                <w:lang w:val="uk-UA"/>
              </w:rPr>
            </w:pPr>
            <w:r w:rsidRPr="00E16672">
              <w:rPr>
                <w:rFonts w:ascii="Times New Roman" w:hAnsi="Times New Roman" w:cs="Times New Roman"/>
                <w:color w:val="000000"/>
                <w:sz w:val="16"/>
                <w:szCs w:val="16"/>
                <w:lang w:val="uk-UA"/>
              </w:rPr>
              <w:t>1</w:t>
            </w:r>
            <w:r w:rsidRPr="00E16672">
              <w:rPr>
                <w:rFonts w:ascii="Times New Roman" w:hAnsi="Times New Roman" w:cs="Times New Roman"/>
                <w:color w:val="000000"/>
                <w:sz w:val="16"/>
                <w:szCs w:val="16"/>
              </w:rPr>
              <w:t>1</w:t>
            </w:r>
            <w:r w:rsidRPr="00E16672">
              <w:rPr>
                <w:rFonts w:ascii="Times New Roman" w:hAnsi="Times New Roman" w:cs="Times New Roman"/>
                <w:color w:val="000000"/>
                <w:sz w:val="16"/>
                <w:szCs w:val="16"/>
                <w:lang w:val="uk-UA"/>
              </w:rPr>
              <w:t xml:space="preserve">.7. Адресат - </w:t>
            </w:r>
            <w:r w:rsidRPr="00E16672">
              <w:rPr>
                <w:rFonts w:ascii="Times New Roman" w:hAnsi="Times New Roman" w:cs="Times New Roman"/>
                <w:sz w:val="16"/>
                <w:szCs w:val="16"/>
                <w:lang w:val="uk-UA"/>
              </w:rPr>
              <w:t>фізична  або  юридична  особа,  якій  адресується електронний документ</w:t>
            </w:r>
            <w:r w:rsidRPr="00E16672">
              <w:rPr>
                <w:rFonts w:ascii="Times New Roman" w:hAnsi="Times New Roman" w:cs="Times New Roman"/>
                <w:color w:val="000000"/>
                <w:sz w:val="16"/>
                <w:szCs w:val="16"/>
                <w:lang w:val="uk-UA"/>
              </w:rPr>
              <w:t>.</w:t>
            </w:r>
          </w:p>
          <w:p w14:paraId="068A94C7" w14:textId="77777777" w:rsidR="00E22279" w:rsidRPr="00E16672" w:rsidRDefault="00E22279" w:rsidP="00E22279">
            <w:pPr>
              <w:pStyle w:val="33"/>
              <w:tabs>
                <w:tab w:val="left" w:pos="851"/>
              </w:tabs>
              <w:snapToGrid w:val="0"/>
              <w:ind w:left="175" w:right="138"/>
              <w:rPr>
                <w:rFonts w:ascii="Times New Roman" w:hAnsi="Times New Roman" w:cs="Times New Roman"/>
                <w:color w:val="000000"/>
                <w:sz w:val="16"/>
                <w:szCs w:val="16"/>
                <w:lang w:val="uk-UA"/>
              </w:rPr>
            </w:pPr>
          </w:p>
        </w:tc>
        <w:tc>
          <w:tcPr>
            <w:tcW w:w="5494" w:type="dxa"/>
            <w:gridSpan w:val="7"/>
            <w:shd w:val="clear" w:color="auto" w:fill="auto"/>
          </w:tcPr>
          <w:p w14:paraId="0D7A4FFE" w14:textId="77777777" w:rsidR="00E22279" w:rsidRPr="00E16672" w:rsidRDefault="00E22279" w:rsidP="00E22279">
            <w:pPr>
              <w:tabs>
                <w:tab w:val="left" w:pos="287"/>
              </w:tabs>
              <w:snapToGrid w:val="0"/>
              <w:ind w:left="145" w:right="100" w:firstLine="0"/>
              <w:rPr>
                <w:rFonts w:ascii="Times New Roman" w:hAnsi="Times New Roman"/>
                <w:color w:val="000000"/>
                <w:sz w:val="16"/>
                <w:szCs w:val="16"/>
                <w:shd w:val="clear" w:color="auto" w:fill="FFFFFF"/>
                <w:lang w:val="uk-UA"/>
              </w:rPr>
            </w:pPr>
            <w:r w:rsidRPr="00E16672">
              <w:rPr>
                <w:rFonts w:ascii="Times New Roman" w:hAnsi="Times New Roman"/>
                <w:color w:val="000000"/>
                <w:sz w:val="16"/>
                <w:szCs w:val="16"/>
                <w:shd w:val="clear" w:color="auto" w:fill="FFFFFF"/>
                <w:lang w:val="uk-UA"/>
              </w:rPr>
              <w:t>1</w:t>
            </w:r>
            <w:r w:rsidRPr="00E16672">
              <w:rPr>
                <w:rFonts w:ascii="Times New Roman" w:hAnsi="Times New Roman"/>
                <w:color w:val="000000"/>
                <w:sz w:val="16"/>
                <w:szCs w:val="16"/>
                <w:shd w:val="clear" w:color="auto" w:fill="FFFFFF"/>
                <w:lang w:val="en-US"/>
              </w:rPr>
              <w:t>1</w:t>
            </w:r>
            <w:r w:rsidRPr="00E16672">
              <w:rPr>
                <w:rFonts w:ascii="Times New Roman" w:hAnsi="Times New Roman"/>
                <w:color w:val="000000"/>
                <w:sz w:val="16"/>
                <w:szCs w:val="16"/>
                <w:shd w:val="clear" w:color="auto" w:fill="FFFFFF"/>
                <w:lang w:val="uk-UA"/>
              </w:rPr>
              <w:t xml:space="preserve">.7. </w:t>
            </w:r>
            <w:r w:rsidRPr="00E16672">
              <w:rPr>
                <w:rFonts w:ascii="Times New Roman" w:hAnsi="Times New Roman"/>
                <w:color w:val="000000"/>
                <w:sz w:val="16"/>
                <w:szCs w:val="16"/>
                <w:shd w:val="clear" w:color="auto" w:fill="FFFFFF"/>
                <w:lang w:val="en-GB"/>
              </w:rPr>
              <w:t>Recipient</w:t>
            </w:r>
            <w:r w:rsidRPr="00E16672">
              <w:rPr>
                <w:rFonts w:ascii="Times New Roman" w:hAnsi="Times New Roman"/>
                <w:color w:val="000000"/>
                <w:sz w:val="16"/>
                <w:szCs w:val="16"/>
                <w:shd w:val="clear" w:color="auto" w:fill="FFFFFF"/>
                <w:lang w:val="uk-UA"/>
              </w:rPr>
              <w:t xml:space="preserve"> - </w:t>
            </w:r>
            <w:r w:rsidRPr="00F23413">
              <w:rPr>
                <w:rFonts w:ascii="Times New Roman" w:hAnsi="Times New Roman"/>
                <w:sz w:val="16"/>
                <w:szCs w:val="16"/>
                <w:lang w:val="en-US"/>
              </w:rPr>
              <w:t>the</w:t>
            </w:r>
            <w:r w:rsidRPr="00E16672">
              <w:rPr>
                <w:rFonts w:ascii="Times New Roman" w:hAnsi="Times New Roman"/>
                <w:sz w:val="16"/>
                <w:szCs w:val="16"/>
                <w:lang w:val="uk-UA"/>
              </w:rPr>
              <w:t xml:space="preserve"> </w:t>
            </w:r>
            <w:r w:rsidRPr="00F23413">
              <w:rPr>
                <w:rFonts w:ascii="Times New Roman" w:hAnsi="Times New Roman"/>
                <w:sz w:val="16"/>
                <w:szCs w:val="16"/>
                <w:lang w:val="en-US"/>
              </w:rPr>
              <w:t>physical</w:t>
            </w:r>
            <w:r w:rsidRPr="00E16672">
              <w:rPr>
                <w:rFonts w:ascii="Times New Roman" w:hAnsi="Times New Roman"/>
                <w:sz w:val="16"/>
                <w:szCs w:val="16"/>
                <w:lang w:val="uk-UA"/>
              </w:rPr>
              <w:t xml:space="preserve"> </w:t>
            </w:r>
            <w:r w:rsidRPr="00F23413">
              <w:rPr>
                <w:rFonts w:ascii="Times New Roman" w:hAnsi="Times New Roman"/>
                <w:sz w:val="16"/>
                <w:szCs w:val="16"/>
                <w:lang w:val="en-US"/>
              </w:rPr>
              <w:t>or</w:t>
            </w:r>
            <w:r w:rsidRPr="00E16672">
              <w:rPr>
                <w:rFonts w:ascii="Times New Roman" w:hAnsi="Times New Roman"/>
                <w:sz w:val="16"/>
                <w:szCs w:val="16"/>
                <w:lang w:val="uk-UA"/>
              </w:rPr>
              <w:t xml:space="preserve"> </w:t>
            </w:r>
            <w:r w:rsidRPr="00F23413">
              <w:rPr>
                <w:rFonts w:ascii="Times New Roman" w:hAnsi="Times New Roman"/>
                <w:sz w:val="16"/>
                <w:szCs w:val="16"/>
                <w:lang w:val="en-US"/>
              </w:rPr>
              <w:t>legal</w:t>
            </w:r>
            <w:r w:rsidRPr="00E16672">
              <w:rPr>
                <w:rFonts w:ascii="Times New Roman" w:hAnsi="Times New Roman"/>
                <w:sz w:val="16"/>
                <w:szCs w:val="16"/>
                <w:lang w:val="uk-UA"/>
              </w:rPr>
              <w:t xml:space="preserve"> </w:t>
            </w:r>
            <w:r w:rsidRPr="00F23413">
              <w:rPr>
                <w:rFonts w:ascii="Times New Roman" w:hAnsi="Times New Roman"/>
                <w:sz w:val="16"/>
                <w:szCs w:val="16"/>
                <w:lang w:val="en-US"/>
              </w:rPr>
              <w:t>person</w:t>
            </w:r>
            <w:r w:rsidRPr="00E16672">
              <w:rPr>
                <w:rFonts w:ascii="Times New Roman" w:hAnsi="Times New Roman"/>
                <w:sz w:val="16"/>
                <w:szCs w:val="16"/>
                <w:lang w:val="uk-UA"/>
              </w:rPr>
              <w:t xml:space="preserve"> </w:t>
            </w:r>
            <w:r w:rsidRPr="00F23413">
              <w:rPr>
                <w:rFonts w:ascii="Times New Roman" w:hAnsi="Times New Roman"/>
                <w:sz w:val="16"/>
                <w:szCs w:val="16"/>
                <w:lang w:val="en-US"/>
              </w:rPr>
              <w:t>to</w:t>
            </w:r>
            <w:r w:rsidRPr="00E16672">
              <w:rPr>
                <w:rFonts w:ascii="Times New Roman" w:hAnsi="Times New Roman"/>
                <w:sz w:val="16"/>
                <w:szCs w:val="16"/>
                <w:lang w:val="uk-UA"/>
              </w:rPr>
              <w:t xml:space="preserve"> </w:t>
            </w:r>
            <w:r w:rsidRPr="00F23413">
              <w:rPr>
                <w:rFonts w:ascii="Times New Roman" w:hAnsi="Times New Roman"/>
                <w:sz w:val="16"/>
                <w:szCs w:val="16"/>
                <w:lang w:val="en-US"/>
              </w:rPr>
              <w:t>whom</w:t>
            </w:r>
            <w:r w:rsidRPr="00E16672">
              <w:rPr>
                <w:rFonts w:ascii="Times New Roman" w:hAnsi="Times New Roman"/>
                <w:sz w:val="16"/>
                <w:szCs w:val="16"/>
                <w:lang w:val="uk-UA"/>
              </w:rPr>
              <w:t xml:space="preserve"> </w:t>
            </w:r>
            <w:r w:rsidRPr="00F23413">
              <w:rPr>
                <w:rFonts w:ascii="Times New Roman" w:hAnsi="Times New Roman"/>
                <w:sz w:val="16"/>
                <w:szCs w:val="16"/>
                <w:lang w:val="en-US"/>
              </w:rPr>
              <w:t>the</w:t>
            </w:r>
            <w:r w:rsidRPr="00E16672">
              <w:rPr>
                <w:rFonts w:ascii="Times New Roman" w:hAnsi="Times New Roman"/>
                <w:sz w:val="16"/>
                <w:szCs w:val="16"/>
                <w:lang w:val="uk-UA"/>
              </w:rPr>
              <w:t xml:space="preserve"> </w:t>
            </w:r>
            <w:r w:rsidRPr="00F23413">
              <w:rPr>
                <w:rFonts w:ascii="Times New Roman" w:hAnsi="Times New Roman"/>
                <w:sz w:val="16"/>
                <w:szCs w:val="16"/>
                <w:lang w:val="en-US"/>
              </w:rPr>
              <w:t>electronic</w:t>
            </w:r>
            <w:r w:rsidRPr="00E16672">
              <w:rPr>
                <w:rFonts w:ascii="Times New Roman" w:hAnsi="Times New Roman"/>
                <w:sz w:val="16"/>
                <w:szCs w:val="16"/>
                <w:lang w:val="uk-UA"/>
              </w:rPr>
              <w:t xml:space="preserve"> </w:t>
            </w:r>
            <w:r w:rsidRPr="00F23413">
              <w:rPr>
                <w:rFonts w:ascii="Times New Roman" w:hAnsi="Times New Roman"/>
                <w:sz w:val="16"/>
                <w:szCs w:val="16"/>
                <w:lang w:val="en-US"/>
              </w:rPr>
              <w:t>document</w:t>
            </w:r>
            <w:r w:rsidRPr="00E16672">
              <w:rPr>
                <w:rFonts w:ascii="Times New Roman" w:hAnsi="Times New Roman"/>
                <w:sz w:val="16"/>
                <w:szCs w:val="16"/>
                <w:lang w:val="uk-UA"/>
              </w:rPr>
              <w:t xml:space="preserve"> </w:t>
            </w:r>
            <w:r w:rsidRPr="00F23413">
              <w:rPr>
                <w:rFonts w:ascii="Times New Roman" w:hAnsi="Times New Roman"/>
                <w:sz w:val="16"/>
                <w:szCs w:val="16"/>
                <w:lang w:val="en-US"/>
              </w:rPr>
              <w:t>is</w:t>
            </w:r>
            <w:r w:rsidRPr="00E16672">
              <w:rPr>
                <w:rFonts w:ascii="Times New Roman" w:hAnsi="Times New Roman"/>
                <w:sz w:val="16"/>
                <w:szCs w:val="16"/>
                <w:lang w:val="uk-UA"/>
              </w:rPr>
              <w:t xml:space="preserve"> </w:t>
            </w:r>
            <w:r w:rsidRPr="00F23413">
              <w:rPr>
                <w:rFonts w:ascii="Times New Roman" w:hAnsi="Times New Roman"/>
                <w:sz w:val="16"/>
                <w:szCs w:val="16"/>
                <w:lang w:val="en-US"/>
              </w:rPr>
              <w:t>addressed</w:t>
            </w:r>
            <w:r w:rsidRPr="00E16672">
              <w:rPr>
                <w:rFonts w:ascii="Times New Roman" w:hAnsi="Times New Roman"/>
                <w:color w:val="000000"/>
                <w:sz w:val="16"/>
                <w:szCs w:val="16"/>
                <w:shd w:val="clear" w:color="auto" w:fill="FFFFFF"/>
                <w:lang w:val="uk-UA"/>
              </w:rPr>
              <w:t>.</w:t>
            </w:r>
          </w:p>
          <w:p w14:paraId="285B7182" w14:textId="77777777" w:rsidR="00E22279" w:rsidRPr="00E16672" w:rsidRDefault="00E22279" w:rsidP="00E22279">
            <w:pPr>
              <w:tabs>
                <w:tab w:val="left" w:pos="287"/>
              </w:tabs>
              <w:snapToGrid w:val="0"/>
              <w:ind w:left="145" w:right="100"/>
              <w:rPr>
                <w:rFonts w:ascii="Times New Roman" w:hAnsi="Times New Roman"/>
                <w:color w:val="000000"/>
                <w:sz w:val="16"/>
                <w:szCs w:val="16"/>
                <w:shd w:val="clear" w:color="auto" w:fill="FFFFFF"/>
                <w:lang w:val="uk-UA"/>
              </w:rPr>
            </w:pPr>
          </w:p>
        </w:tc>
      </w:tr>
      <w:tr w:rsidR="00E22279" w:rsidRPr="00F23413" w14:paraId="0FC7994F" w14:textId="77777777" w:rsidTr="00D77858">
        <w:tblPrEx>
          <w:tblCellMar>
            <w:left w:w="0" w:type="dxa"/>
            <w:right w:w="0" w:type="dxa"/>
          </w:tblCellMar>
        </w:tblPrEx>
        <w:trPr>
          <w:trHeight w:val="192"/>
        </w:trPr>
        <w:tc>
          <w:tcPr>
            <w:tcW w:w="5696" w:type="dxa"/>
            <w:gridSpan w:val="6"/>
            <w:shd w:val="clear" w:color="auto" w:fill="auto"/>
          </w:tcPr>
          <w:p w14:paraId="3E4F9547" w14:textId="77777777" w:rsidR="00E22279" w:rsidRPr="00E16672" w:rsidRDefault="00E22279" w:rsidP="00E22279">
            <w:pPr>
              <w:pStyle w:val="33"/>
              <w:tabs>
                <w:tab w:val="left" w:pos="851"/>
              </w:tabs>
              <w:snapToGrid w:val="0"/>
              <w:ind w:left="175" w:right="138" w:firstLine="0"/>
              <w:rPr>
                <w:rFonts w:ascii="Times New Roman" w:hAnsi="Times New Roman" w:cs="Times New Roman"/>
                <w:color w:val="000000"/>
                <w:sz w:val="16"/>
                <w:szCs w:val="16"/>
                <w:lang w:val="uk-UA"/>
              </w:rPr>
            </w:pPr>
            <w:r w:rsidRPr="00E16672">
              <w:rPr>
                <w:rFonts w:ascii="Times New Roman" w:hAnsi="Times New Roman" w:cs="Times New Roman"/>
                <w:color w:val="000000"/>
                <w:sz w:val="16"/>
                <w:szCs w:val="16"/>
                <w:lang w:val="uk-UA"/>
              </w:rPr>
              <w:t>1</w:t>
            </w:r>
            <w:r w:rsidRPr="00E16672">
              <w:rPr>
                <w:rFonts w:ascii="Times New Roman" w:hAnsi="Times New Roman" w:cs="Times New Roman"/>
                <w:color w:val="000000"/>
                <w:sz w:val="16"/>
                <w:szCs w:val="16"/>
                <w:lang w:val="en-US"/>
              </w:rPr>
              <w:t>1</w:t>
            </w:r>
            <w:r w:rsidRPr="00E16672">
              <w:rPr>
                <w:rFonts w:ascii="Times New Roman" w:hAnsi="Times New Roman" w:cs="Times New Roman"/>
                <w:color w:val="000000"/>
                <w:sz w:val="16"/>
                <w:szCs w:val="16"/>
                <w:lang w:val="uk-UA"/>
              </w:rPr>
              <w:t xml:space="preserve">.8. </w:t>
            </w:r>
            <w:r w:rsidRPr="00E16672">
              <w:rPr>
                <w:rFonts w:ascii="Times New Roman" w:hAnsi="Times New Roman" w:cs="Times New Roman"/>
                <w:sz w:val="16"/>
                <w:szCs w:val="16"/>
                <w:lang w:val="uk-UA"/>
              </w:rPr>
              <w:t>Кваліфікований</w:t>
            </w:r>
            <w:r w:rsidRPr="00E16672" w:rsidDel="00047AE1">
              <w:rPr>
                <w:rFonts w:ascii="Times New Roman" w:hAnsi="Times New Roman" w:cs="Times New Roman"/>
                <w:sz w:val="16"/>
                <w:szCs w:val="16"/>
                <w:lang w:val="uk-UA"/>
              </w:rPr>
              <w:t xml:space="preserve"> </w:t>
            </w:r>
            <w:r w:rsidRPr="00E16672">
              <w:rPr>
                <w:rFonts w:ascii="Times New Roman" w:hAnsi="Times New Roman" w:cs="Times New Roman"/>
                <w:color w:val="000000"/>
                <w:sz w:val="16"/>
                <w:szCs w:val="16"/>
                <w:lang w:val="uk-UA"/>
              </w:rPr>
              <w:t xml:space="preserve">електронний підпис вважається таким, що відповідає сертифікату відкритого ключа, якщо особистий ключ </w:t>
            </w:r>
            <w:proofErr w:type="spellStart"/>
            <w:r w:rsidRPr="00E16672">
              <w:rPr>
                <w:rFonts w:ascii="Times New Roman" w:hAnsi="Times New Roman" w:cs="Times New Roman"/>
                <w:color w:val="000000"/>
                <w:sz w:val="16"/>
                <w:szCs w:val="16"/>
                <w:lang w:val="uk-UA"/>
              </w:rPr>
              <w:t>підписувача</w:t>
            </w:r>
            <w:proofErr w:type="spellEnd"/>
            <w:r w:rsidRPr="00E16672">
              <w:rPr>
                <w:rFonts w:ascii="Times New Roman" w:hAnsi="Times New Roman" w:cs="Times New Roman"/>
                <w:color w:val="000000"/>
                <w:sz w:val="16"/>
                <w:szCs w:val="16"/>
                <w:lang w:val="uk-UA"/>
              </w:rPr>
              <w:t xml:space="preserve">, використаний при формуванні </w:t>
            </w:r>
            <w:r w:rsidRPr="00E16672">
              <w:rPr>
                <w:rFonts w:ascii="Times New Roman" w:hAnsi="Times New Roman" w:cs="Times New Roman"/>
                <w:sz w:val="16"/>
                <w:lang w:val="uk-UA"/>
              </w:rPr>
              <w:t>кваліфікованого</w:t>
            </w:r>
            <w:r w:rsidRPr="00E16672" w:rsidDel="00047AE1">
              <w:rPr>
                <w:rFonts w:ascii="Times New Roman" w:hAnsi="Times New Roman" w:cs="Times New Roman"/>
                <w:sz w:val="16"/>
                <w:lang w:val="uk-UA"/>
              </w:rPr>
              <w:t xml:space="preserve"> </w:t>
            </w:r>
            <w:r w:rsidRPr="00E16672">
              <w:rPr>
                <w:rFonts w:ascii="Times New Roman" w:hAnsi="Times New Roman" w:cs="Times New Roman"/>
                <w:color w:val="000000"/>
                <w:sz w:val="16"/>
                <w:szCs w:val="16"/>
                <w:lang w:val="uk-UA"/>
              </w:rPr>
              <w:t>електронного підпису, відповідає відкритому ключу, зазначеному у сертифікаті.</w:t>
            </w:r>
          </w:p>
          <w:p w14:paraId="0E1E9F29" w14:textId="77777777" w:rsidR="00E22279" w:rsidRPr="00E16672" w:rsidRDefault="00E22279" w:rsidP="00E22279">
            <w:pPr>
              <w:pStyle w:val="33"/>
              <w:tabs>
                <w:tab w:val="left" w:pos="851"/>
              </w:tabs>
              <w:ind w:left="175" w:right="138"/>
              <w:rPr>
                <w:rFonts w:ascii="Times New Roman" w:hAnsi="Times New Roman" w:cs="Times New Roman"/>
                <w:color w:val="000000"/>
                <w:sz w:val="16"/>
                <w:szCs w:val="16"/>
                <w:lang w:val="uk-UA"/>
              </w:rPr>
            </w:pPr>
          </w:p>
        </w:tc>
        <w:tc>
          <w:tcPr>
            <w:tcW w:w="5494" w:type="dxa"/>
            <w:gridSpan w:val="7"/>
            <w:shd w:val="clear" w:color="auto" w:fill="auto"/>
          </w:tcPr>
          <w:p w14:paraId="47CC9D9E" w14:textId="77777777" w:rsidR="00E22279" w:rsidRPr="00E16672" w:rsidRDefault="00E22279" w:rsidP="00326563">
            <w:pPr>
              <w:tabs>
                <w:tab w:val="left" w:pos="287"/>
              </w:tabs>
              <w:snapToGrid w:val="0"/>
              <w:ind w:left="145" w:right="100" w:firstLine="0"/>
              <w:rPr>
                <w:rFonts w:ascii="Times New Roman" w:hAnsi="Times New Roman"/>
                <w:color w:val="000000"/>
                <w:sz w:val="16"/>
                <w:szCs w:val="16"/>
                <w:shd w:val="clear" w:color="auto" w:fill="FFFFFF"/>
                <w:lang w:val="en-GB"/>
              </w:rPr>
            </w:pPr>
            <w:r w:rsidRPr="00E16672">
              <w:rPr>
                <w:rFonts w:ascii="Times New Roman" w:hAnsi="Times New Roman"/>
                <w:color w:val="000000"/>
                <w:sz w:val="16"/>
                <w:szCs w:val="16"/>
                <w:shd w:val="clear" w:color="auto" w:fill="FFFFFF"/>
                <w:lang w:val="uk-UA"/>
              </w:rPr>
              <w:t>1</w:t>
            </w:r>
            <w:r w:rsidRPr="00E16672">
              <w:rPr>
                <w:rFonts w:ascii="Times New Roman" w:hAnsi="Times New Roman"/>
                <w:color w:val="000000"/>
                <w:sz w:val="16"/>
                <w:szCs w:val="16"/>
                <w:shd w:val="clear" w:color="auto" w:fill="FFFFFF"/>
                <w:lang w:val="en-US"/>
              </w:rPr>
              <w:t>1</w:t>
            </w:r>
            <w:r w:rsidRPr="00E16672">
              <w:rPr>
                <w:rFonts w:ascii="Times New Roman" w:hAnsi="Times New Roman"/>
                <w:color w:val="000000"/>
                <w:sz w:val="16"/>
                <w:szCs w:val="16"/>
                <w:shd w:val="clear" w:color="auto" w:fill="FFFFFF"/>
                <w:lang w:val="uk-UA"/>
              </w:rPr>
              <w:t xml:space="preserve">.8. </w:t>
            </w:r>
            <w:r w:rsidRPr="00F23413">
              <w:rPr>
                <w:rStyle w:val="shorttext"/>
                <w:rFonts w:ascii="Times New Roman" w:hAnsi="Times New Roman"/>
                <w:sz w:val="16"/>
                <w:szCs w:val="16"/>
                <w:lang w:val="en-US"/>
              </w:rPr>
              <w:t>Qualified</w:t>
            </w:r>
            <w:r w:rsidRPr="00E16672">
              <w:rPr>
                <w:rStyle w:val="shorttext"/>
                <w:rFonts w:ascii="Times New Roman" w:hAnsi="Times New Roman"/>
                <w:sz w:val="16"/>
                <w:szCs w:val="16"/>
                <w:lang w:val="uk-UA"/>
              </w:rPr>
              <w:t xml:space="preserve"> </w:t>
            </w:r>
            <w:r w:rsidRPr="00E16672">
              <w:rPr>
                <w:rFonts w:ascii="Times New Roman" w:hAnsi="Times New Roman"/>
                <w:color w:val="000000"/>
                <w:sz w:val="16"/>
                <w:szCs w:val="16"/>
                <w:shd w:val="clear" w:color="auto" w:fill="FFFFFF"/>
                <w:lang w:val="en-GB"/>
              </w:rPr>
              <w:t>electronic</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Signature</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deemed</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to</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match</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certificate</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public</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key</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if</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private</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key</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of</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signer</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used</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 xml:space="preserve">when </w:t>
            </w:r>
            <w:proofErr w:type="gramStart"/>
            <w:r w:rsidRPr="00E16672">
              <w:rPr>
                <w:rFonts w:ascii="Times New Roman" w:hAnsi="Times New Roman"/>
                <w:color w:val="000000"/>
                <w:sz w:val="16"/>
                <w:szCs w:val="16"/>
                <w:shd w:val="clear" w:color="auto" w:fill="FFFFFF"/>
                <w:lang w:val="en-GB"/>
              </w:rPr>
              <w:t xml:space="preserve">forming  </w:t>
            </w:r>
            <w:r w:rsidRPr="00F23413">
              <w:rPr>
                <w:rStyle w:val="shorttext"/>
                <w:rFonts w:ascii="Times New Roman" w:hAnsi="Times New Roman"/>
                <w:sz w:val="16"/>
                <w:szCs w:val="16"/>
                <w:lang w:val="en-US"/>
              </w:rPr>
              <w:t>qualified</w:t>
            </w:r>
            <w:proofErr w:type="gramEnd"/>
            <w:r w:rsidRPr="00E16672">
              <w:rPr>
                <w:rStyle w:val="shorttext"/>
                <w:rFonts w:ascii="Times New Roman" w:hAnsi="Times New Roman"/>
                <w:sz w:val="16"/>
                <w:szCs w:val="16"/>
                <w:lang w:val="uk-UA"/>
              </w:rPr>
              <w:t xml:space="preserve"> </w:t>
            </w:r>
            <w:r w:rsidRPr="00E16672">
              <w:rPr>
                <w:rFonts w:ascii="Times New Roman" w:hAnsi="Times New Roman"/>
                <w:color w:val="000000"/>
                <w:sz w:val="16"/>
                <w:szCs w:val="16"/>
                <w:shd w:val="clear" w:color="auto" w:fill="FFFFFF"/>
                <w:lang w:val="en-GB"/>
              </w:rPr>
              <w:t>electronic signature matches the public key specified in the certificate.</w:t>
            </w:r>
          </w:p>
        </w:tc>
      </w:tr>
      <w:tr w:rsidR="00E22279" w:rsidRPr="00F23413" w14:paraId="4D7526F6" w14:textId="77777777" w:rsidTr="00D77858">
        <w:tblPrEx>
          <w:tblCellMar>
            <w:left w:w="0" w:type="dxa"/>
            <w:right w:w="0" w:type="dxa"/>
          </w:tblCellMar>
        </w:tblPrEx>
        <w:trPr>
          <w:trHeight w:val="192"/>
        </w:trPr>
        <w:tc>
          <w:tcPr>
            <w:tcW w:w="5696" w:type="dxa"/>
            <w:gridSpan w:val="6"/>
            <w:shd w:val="clear" w:color="auto" w:fill="auto"/>
          </w:tcPr>
          <w:p w14:paraId="7751162E" w14:textId="77777777" w:rsidR="00E22279" w:rsidRPr="00E16672" w:rsidRDefault="00E22279" w:rsidP="00E22279">
            <w:pPr>
              <w:pStyle w:val="33"/>
              <w:tabs>
                <w:tab w:val="left" w:pos="851"/>
              </w:tabs>
              <w:snapToGrid w:val="0"/>
              <w:ind w:left="175" w:right="138" w:firstLine="0"/>
              <w:rPr>
                <w:rFonts w:ascii="Times New Roman" w:hAnsi="Times New Roman" w:cs="Times New Roman"/>
                <w:color w:val="000000"/>
                <w:sz w:val="16"/>
                <w:szCs w:val="16"/>
                <w:lang w:val="uk-UA"/>
              </w:rPr>
            </w:pPr>
            <w:r w:rsidRPr="00E16672">
              <w:rPr>
                <w:rFonts w:ascii="Times New Roman" w:hAnsi="Times New Roman" w:cs="Times New Roman"/>
                <w:color w:val="000000"/>
                <w:sz w:val="16"/>
                <w:szCs w:val="16"/>
                <w:lang w:val="uk-UA"/>
              </w:rPr>
              <w:t xml:space="preserve">11.9. Відповідно до цього Договору Сторони зобов'язуються визнавати </w:t>
            </w:r>
            <w:proofErr w:type="spellStart"/>
            <w:r w:rsidRPr="00E16672">
              <w:rPr>
                <w:rFonts w:ascii="Times New Roman" w:hAnsi="Times New Roman" w:cs="Times New Roman"/>
                <w:sz w:val="16"/>
                <w:lang w:val="uk-UA"/>
              </w:rPr>
              <w:t>кваліфікованbq</w:t>
            </w:r>
            <w:proofErr w:type="spellEnd"/>
            <w:r w:rsidRPr="00E16672" w:rsidDel="00047AE1">
              <w:rPr>
                <w:rFonts w:ascii="Times New Roman" w:hAnsi="Times New Roman" w:cs="Times New Roman"/>
                <w:sz w:val="16"/>
                <w:lang w:val="uk-UA"/>
              </w:rPr>
              <w:t xml:space="preserve"> </w:t>
            </w:r>
            <w:r w:rsidRPr="00E16672">
              <w:rPr>
                <w:rFonts w:ascii="Times New Roman" w:hAnsi="Times New Roman" w:cs="Times New Roman"/>
                <w:color w:val="000000"/>
                <w:sz w:val="16"/>
                <w:szCs w:val="16"/>
                <w:lang w:val="uk-UA"/>
              </w:rPr>
              <w:t>електронний підпис як такий, що надає юридичної сили електронним документам, сформованим з його використанням.</w:t>
            </w:r>
          </w:p>
          <w:p w14:paraId="7CCCE289" w14:textId="77777777" w:rsidR="00E22279" w:rsidRPr="00E16672" w:rsidRDefault="00E22279" w:rsidP="00E22279">
            <w:pPr>
              <w:pStyle w:val="33"/>
              <w:tabs>
                <w:tab w:val="left" w:pos="851"/>
              </w:tabs>
              <w:ind w:left="175" w:right="138"/>
              <w:rPr>
                <w:rFonts w:ascii="Times New Roman" w:hAnsi="Times New Roman" w:cs="Times New Roman"/>
                <w:color w:val="000000"/>
                <w:sz w:val="16"/>
                <w:szCs w:val="16"/>
                <w:lang w:val="uk-UA"/>
              </w:rPr>
            </w:pPr>
          </w:p>
        </w:tc>
        <w:tc>
          <w:tcPr>
            <w:tcW w:w="5494" w:type="dxa"/>
            <w:gridSpan w:val="7"/>
            <w:shd w:val="clear" w:color="auto" w:fill="auto"/>
          </w:tcPr>
          <w:p w14:paraId="5B1B9D7A" w14:textId="77777777" w:rsidR="00E22279" w:rsidRPr="00E16672" w:rsidRDefault="00E22279" w:rsidP="00E22279">
            <w:pPr>
              <w:tabs>
                <w:tab w:val="left" w:pos="287"/>
              </w:tabs>
              <w:snapToGrid w:val="0"/>
              <w:ind w:left="145" w:right="100" w:firstLine="0"/>
              <w:rPr>
                <w:rFonts w:ascii="Times New Roman" w:hAnsi="Times New Roman"/>
                <w:color w:val="000000"/>
                <w:sz w:val="16"/>
                <w:szCs w:val="16"/>
                <w:shd w:val="clear" w:color="auto" w:fill="FFFFFF"/>
                <w:lang w:val="en-GB"/>
              </w:rPr>
            </w:pPr>
            <w:r w:rsidRPr="00E16672">
              <w:rPr>
                <w:rFonts w:ascii="Times New Roman" w:hAnsi="Times New Roman"/>
                <w:color w:val="000000"/>
                <w:sz w:val="16"/>
                <w:szCs w:val="16"/>
                <w:shd w:val="clear" w:color="auto" w:fill="FFFFFF"/>
                <w:lang w:val="uk-UA"/>
              </w:rPr>
              <w:t>1</w:t>
            </w:r>
            <w:r w:rsidRPr="00E16672">
              <w:rPr>
                <w:rFonts w:ascii="Times New Roman" w:hAnsi="Times New Roman"/>
                <w:color w:val="000000"/>
                <w:sz w:val="16"/>
                <w:szCs w:val="16"/>
                <w:shd w:val="clear" w:color="auto" w:fill="FFFFFF"/>
                <w:lang w:val="en-US"/>
              </w:rPr>
              <w:t>1</w:t>
            </w:r>
            <w:r w:rsidRPr="00E16672">
              <w:rPr>
                <w:rFonts w:ascii="Times New Roman" w:hAnsi="Times New Roman"/>
                <w:color w:val="000000"/>
                <w:sz w:val="16"/>
                <w:szCs w:val="16"/>
                <w:shd w:val="clear" w:color="auto" w:fill="FFFFFF"/>
                <w:lang w:val="uk-UA"/>
              </w:rPr>
              <w:t xml:space="preserve">.9.  </w:t>
            </w:r>
            <w:r w:rsidRPr="00E16672">
              <w:rPr>
                <w:rFonts w:ascii="Times New Roman" w:hAnsi="Times New Roman"/>
                <w:color w:val="000000"/>
                <w:sz w:val="16"/>
                <w:szCs w:val="16"/>
                <w:shd w:val="clear" w:color="auto" w:fill="FFFFFF"/>
                <w:lang w:val="en-GB"/>
              </w:rPr>
              <w:t>According</w:t>
            </w:r>
            <w:r w:rsidRPr="00E16672">
              <w:rPr>
                <w:rFonts w:ascii="Times New Roman" w:hAnsi="Times New Roman"/>
                <w:color w:val="000000"/>
                <w:sz w:val="16"/>
                <w:szCs w:val="16"/>
                <w:shd w:val="clear" w:color="auto" w:fill="FFFFFF"/>
                <w:lang w:val="uk-UA"/>
              </w:rPr>
              <w:t xml:space="preserve"> </w:t>
            </w:r>
            <w:proofErr w:type="spellStart"/>
            <w:r w:rsidRPr="00E16672">
              <w:rPr>
                <w:rFonts w:ascii="Times New Roman" w:hAnsi="Times New Roman"/>
                <w:color w:val="000000"/>
                <w:sz w:val="16"/>
                <w:szCs w:val="16"/>
                <w:shd w:val="clear" w:color="auto" w:fill="FFFFFF"/>
                <w:lang w:val="en-GB"/>
              </w:rPr>
              <w:t>tor</w:t>
            </w:r>
            <w:proofErr w:type="spellEnd"/>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this</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Agreement</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the</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Parties</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undertake</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to</w:t>
            </w:r>
            <w:r w:rsidRPr="00E16672">
              <w:rPr>
                <w:rFonts w:ascii="Times New Roman" w:hAnsi="Times New Roman"/>
                <w:color w:val="000000"/>
                <w:sz w:val="16"/>
                <w:szCs w:val="16"/>
                <w:shd w:val="clear" w:color="auto" w:fill="FFFFFF"/>
                <w:lang w:val="uk-UA"/>
              </w:rPr>
              <w:t xml:space="preserve"> </w:t>
            </w:r>
            <w:proofErr w:type="gramStart"/>
            <w:r w:rsidRPr="00E16672">
              <w:rPr>
                <w:rFonts w:ascii="Times New Roman" w:hAnsi="Times New Roman"/>
                <w:color w:val="000000"/>
                <w:sz w:val="16"/>
                <w:szCs w:val="16"/>
                <w:shd w:val="clear" w:color="auto" w:fill="FFFFFF"/>
                <w:lang w:val="en-GB"/>
              </w:rPr>
              <w:t>recognize</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the</w:t>
            </w:r>
            <w:proofErr w:type="gramEnd"/>
            <w:r w:rsidRPr="00E16672">
              <w:rPr>
                <w:rFonts w:ascii="Times New Roman" w:hAnsi="Times New Roman"/>
                <w:color w:val="000000"/>
                <w:sz w:val="16"/>
                <w:szCs w:val="16"/>
                <w:shd w:val="clear" w:color="auto" w:fill="FFFFFF"/>
                <w:lang w:val="uk-UA"/>
              </w:rPr>
              <w:t xml:space="preserve"> </w:t>
            </w:r>
            <w:r w:rsidRPr="00F23413">
              <w:rPr>
                <w:rStyle w:val="shorttext"/>
                <w:rFonts w:ascii="Times New Roman" w:hAnsi="Times New Roman"/>
                <w:sz w:val="16"/>
                <w:szCs w:val="16"/>
                <w:lang w:val="en-US"/>
              </w:rPr>
              <w:t>qualified</w:t>
            </w:r>
            <w:r w:rsidRPr="00E16672">
              <w:rPr>
                <w:rStyle w:val="shorttext"/>
                <w:rFonts w:ascii="Times New Roman" w:hAnsi="Times New Roman"/>
                <w:sz w:val="16"/>
                <w:szCs w:val="16"/>
                <w:lang w:val="uk-UA"/>
              </w:rPr>
              <w:t xml:space="preserve"> </w:t>
            </w:r>
            <w:r w:rsidRPr="00E16672">
              <w:rPr>
                <w:rFonts w:ascii="Times New Roman" w:hAnsi="Times New Roman"/>
                <w:color w:val="000000"/>
                <w:sz w:val="16"/>
                <w:szCs w:val="16"/>
                <w:shd w:val="clear" w:color="auto" w:fill="FFFFFF"/>
                <w:lang w:val="en-GB"/>
              </w:rPr>
              <w:t>electronic</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signature</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as</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the</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one</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that gives legal force of electronic documents, formed with it.</w:t>
            </w:r>
          </w:p>
        </w:tc>
      </w:tr>
      <w:tr w:rsidR="00E22279" w:rsidRPr="00F23413" w14:paraId="5FCAED81" w14:textId="77777777" w:rsidTr="00D77858">
        <w:tblPrEx>
          <w:tblCellMar>
            <w:left w:w="0" w:type="dxa"/>
            <w:right w:w="0" w:type="dxa"/>
          </w:tblCellMar>
        </w:tblPrEx>
        <w:trPr>
          <w:trHeight w:val="192"/>
        </w:trPr>
        <w:tc>
          <w:tcPr>
            <w:tcW w:w="5696" w:type="dxa"/>
            <w:gridSpan w:val="6"/>
            <w:shd w:val="clear" w:color="auto" w:fill="auto"/>
          </w:tcPr>
          <w:p w14:paraId="22649CD0" w14:textId="77777777" w:rsidR="00E22279" w:rsidRPr="00E16672" w:rsidRDefault="00E22279" w:rsidP="00E22279">
            <w:pPr>
              <w:pStyle w:val="33"/>
              <w:tabs>
                <w:tab w:val="left" w:pos="851"/>
              </w:tabs>
              <w:snapToGrid w:val="0"/>
              <w:ind w:left="175" w:right="138" w:firstLine="0"/>
              <w:rPr>
                <w:rFonts w:ascii="Times New Roman" w:hAnsi="Times New Roman" w:cs="Times New Roman"/>
                <w:color w:val="000000"/>
                <w:sz w:val="16"/>
                <w:szCs w:val="16"/>
                <w:lang w:val="uk-UA"/>
              </w:rPr>
            </w:pPr>
            <w:r w:rsidRPr="00E16672">
              <w:rPr>
                <w:rFonts w:ascii="Times New Roman" w:hAnsi="Times New Roman" w:cs="Times New Roman"/>
                <w:color w:val="000000"/>
                <w:sz w:val="16"/>
                <w:szCs w:val="16"/>
                <w:lang w:val="uk-UA"/>
              </w:rPr>
              <w:t>1</w:t>
            </w:r>
            <w:r w:rsidRPr="00E16672">
              <w:rPr>
                <w:rFonts w:ascii="Times New Roman" w:hAnsi="Times New Roman" w:cs="Times New Roman"/>
                <w:color w:val="000000"/>
                <w:sz w:val="16"/>
                <w:szCs w:val="16"/>
              </w:rPr>
              <w:t>1</w:t>
            </w:r>
            <w:r w:rsidRPr="00E16672">
              <w:rPr>
                <w:rFonts w:ascii="Times New Roman" w:hAnsi="Times New Roman" w:cs="Times New Roman"/>
                <w:color w:val="000000"/>
                <w:sz w:val="16"/>
                <w:szCs w:val="16"/>
                <w:lang w:val="uk-UA"/>
              </w:rPr>
              <w:t>.10. Визнання здійснюється адресатом</w:t>
            </w:r>
            <w:r w:rsidRPr="00E16672" w:rsidDel="00F11330">
              <w:rPr>
                <w:rFonts w:ascii="Times New Roman" w:hAnsi="Times New Roman" w:cs="Times New Roman"/>
                <w:color w:val="000000"/>
                <w:sz w:val="16"/>
                <w:szCs w:val="16"/>
                <w:lang w:val="uk-UA"/>
              </w:rPr>
              <w:t xml:space="preserve"> </w:t>
            </w:r>
            <w:r w:rsidRPr="00E16672">
              <w:rPr>
                <w:rFonts w:ascii="Times New Roman" w:hAnsi="Times New Roman" w:cs="Times New Roman"/>
                <w:color w:val="000000"/>
                <w:sz w:val="16"/>
                <w:szCs w:val="16"/>
                <w:lang w:val="uk-UA"/>
              </w:rPr>
              <w:t xml:space="preserve">щодо кожного окремого електронного документа, наданого </w:t>
            </w:r>
            <w:proofErr w:type="spellStart"/>
            <w:r w:rsidRPr="00E16672">
              <w:rPr>
                <w:rFonts w:ascii="Times New Roman" w:hAnsi="Times New Roman" w:cs="Times New Roman"/>
                <w:color w:val="000000"/>
                <w:sz w:val="16"/>
                <w:szCs w:val="16"/>
                <w:lang w:val="uk-UA"/>
              </w:rPr>
              <w:t>підписувачем</w:t>
            </w:r>
            <w:proofErr w:type="spellEnd"/>
            <w:r w:rsidRPr="00E16672">
              <w:rPr>
                <w:rFonts w:ascii="Times New Roman" w:hAnsi="Times New Roman" w:cs="Times New Roman"/>
                <w:color w:val="000000"/>
                <w:sz w:val="16"/>
                <w:szCs w:val="16"/>
                <w:lang w:val="uk-UA"/>
              </w:rPr>
              <w:t>.</w:t>
            </w:r>
          </w:p>
        </w:tc>
        <w:tc>
          <w:tcPr>
            <w:tcW w:w="5494" w:type="dxa"/>
            <w:gridSpan w:val="7"/>
            <w:shd w:val="clear" w:color="auto" w:fill="auto"/>
          </w:tcPr>
          <w:p w14:paraId="08E08B31" w14:textId="77777777" w:rsidR="00E22279" w:rsidRPr="00E16672" w:rsidRDefault="00E22279" w:rsidP="00E22279">
            <w:pPr>
              <w:tabs>
                <w:tab w:val="left" w:pos="287"/>
              </w:tabs>
              <w:snapToGrid w:val="0"/>
              <w:ind w:left="145" w:right="100" w:firstLine="0"/>
              <w:rPr>
                <w:rFonts w:ascii="Times New Roman" w:hAnsi="Times New Roman"/>
                <w:color w:val="000000"/>
                <w:sz w:val="16"/>
                <w:szCs w:val="16"/>
                <w:shd w:val="clear" w:color="auto" w:fill="FFFFFF"/>
                <w:lang w:val="uk-UA"/>
              </w:rPr>
            </w:pPr>
            <w:r w:rsidRPr="00E16672">
              <w:rPr>
                <w:rFonts w:ascii="Times New Roman" w:hAnsi="Times New Roman"/>
                <w:color w:val="000000"/>
                <w:sz w:val="16"/>
                <w:szCs w:val="16"/>
                <w:shd w:val="clear" w:color="auto" w:fill="FFFFFF"/>
                <w:lang w:val="uk-UA"/>
              </w:rPr>
              <w:t>1</w:t>
            </w:r>
            <w:r w:rsidRPr="00E16672">
              <w:rPr>
                <w:rFonts w:ascii="Times New Roman" w:hAnsi="Times New Roman"/>
                <w:color w:val="000000"/>
                <w:sz w:val="16"/>
                <w:szCs w:val="16"/>
                <w:shd w:val="clear" w:color="auto" w:fill="FFFFFF"/>
                <w:lang w:val="en-US"/>
              </w:rPr>
              <w:t>1</w:t>
            </w:r>
            <w:r w:rsidRPr="00E16672">
              <w:rPr>
                <w:rFonts w:ascii="Times New Roman" w:hAnsi="Times New Roman"/>
                <w:color w:val="000000"/>
                <w:sz w:val="16"/>
                <w:szCs w:val="16"/>
                <w:shd w:val="clear" w:color="auto" w:fill="FFFFFF"/>
                <w:lang w:val="uk-UA"/>
              </w:rPr>
              <w:t xml:space="preserve">.10. </w:t>
            </w:r>
            <w:proofErr w:type="gramStart"/>
            <w:r w:rsidRPr="00E16672">
              <w:rPr>
                <w:rFonts w:ascii="Times New Roman" w:hAnsi="Times New Roman"/>
                <w:color w:val="000000"/>
                <w:sz w:val="16"/>
                <w:szCs w:val="16"/>
                <w:shd w:val="clear" w:color="auto" w:fill="FFFFFF"/>
                <w:lang w:val="en-GB"/>
              </w:rPr>
              <w:t>Recognition</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is</w:t>
            </w:r>
            <w:proofErr w:type="gramEnd"/>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made</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by</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recipient</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on</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every</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single</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electronic</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document</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provided</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by</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the</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signer</w:t>
            </w:r>
            <w:r w:rsidRPr="00E16672">
              <w:rPr>
                <w:rFonts w:ascii="Times New Roman" w:hAnsi="Times New Roman"/>
                <w:color w:val="000000"/>
                <w:sz w:val="16"/>
                <w:szCs w:val="16"/>
                <w:shd w:val="clear" w:color="auto" w:fill="FFFFFF"/>
                <w:lang w:val="uk-UA"/>
              </w:rPr>
              <w:t>.</w:t>
            </w:r>
          </w:p>
          <w:p w14:paraId="2948900C" w14:textId="77777777" w:rsidR="00E22279" w:rsidRPr="00E16672" w:rsidRDefault="00E22279" w:rsidP="00E22279">
            <w:pPr>
              <w:tabs>
                <w:tab w:val="left" w:pos="287"/>
              </w:tabs>
              <w:snapToGrid w:val="0"/>
              <w:ind w:left="145" w:right="100"/>
              <w:rPr>
                <w:rFonts w:ascii="Times New Roman" w:hAnsi="Times New Roman"/>
                <w:color w:val="000000"/>
                <w:sz w:val="16"/>
                <w:szCs w:val="16"/>
                <w:shd w:val="clear" w:color="auto" w:fill="FFFFFF"/>
                <w:lang w:val="uk-UA"/>
              </w:rPr>
            </w:pPr>
          </w:p>
        </w:tc>
      </w:tr>
      <w:tr w:rsidR="00E22279" w:rsidRPr="00F23413" w14:paraId="16F08B14" w14:textId="77777777" w:rsidTr="00D77858">
        <w:tblPrEx>
          <w:tblCellMar>
            <w:left w:w="0" w:type="dxa"/>
            <w:right w:w="0" w:type="dxa"/>
          </w:tblCellMar>
        </w:tblPrEx>
        <w:trPr>
          <w:trHeight w:val="192"/>
        </w:trPr>
        <w:tc>
          <w:tcPr>
            <w:tcW w:w="5696" w:type="dxa"/>
            <w:gridSpan w:val="6"/>
            <w:shd w:val="clear" w:color="auto" w:fill="auto"/>
          </w:tcPr>
          <w:p w14:paraId="07066334" w14:textId="77777777" w:rsidR="00E22279" w:rsidRPr="00E16672" w:rsidRDefault="00E22279" w:rsidP="00E22279">
            <w:pPr>
              <w:pStyle w:val="33"/>
              <w:tabs>
                <w:tab w:val="left" w:pos="851"/>
              </w:tabs>
              <w:snapToGrid w:val="0"/>
              <w:ind w:left="175" w:right="138" w:firstLine="0"/>
              <w:rPr>
                <w:rFonts w:ascii="Times New Roman" w:hAnsi="Times New Roman" w:cs="Times New Roman"/>
                <w:color w:val="000000"/>
                <w:sz w:val="16"/>
                <w:szCs w:val="16"/>
                <w:lang w:val="uk-UA"/>
              </w:rPr>
            </w:pPr>
            <w:r w:rsidRPr="00E16672">
              <w:rPr>
                <w:rFonts w:ascii="Times New Roman" w:hAnsi="Times New Roman" w:cs="Times New Roman"/>
                <w:color w:val="000000"/>
                <w:sz w:val="16"/>
                <w:szCs w:val="16"/>
                <w:lang w:val="uk-UA"/>
              </w:rPr>
              <w:t>1</w:t>
            </w:r>
            <w:r w:rsidRPr="00E16672">
              <w:rPr>
                <w:rFonts w:ascii="Times New Roman" w:hAnsi="Times New Roman" w:cs="Times New Roman"/>
                <w:color w:val="000000"/>
                <w:sz w:val="16"/>
                <w:szCs w:val="16"/>
                <w:lang w:val="en-US"/>
              </w:rPr>
              <w:t>1</w:t>
            </w:r>
            <w:r w:rsidRPr="00E16672">
              <w:rPr>
                <w:rFonts w:ascii="Times New Roman" w:hAnsi="Times New Roman" w:cs="Times New Roman"/>
                <w:color w:val="000000"/>
                <w:sz w:val="16"/>
                <w:szCs w:val="16"/>
                <w:lang w:val="uk-UA"/>
              </w:rPr>
              <w:t xml:space="preserve">.11. Визнання </w:t>
            </w:r>
            <w:r w:rsidRPr="00E16672">
              <w:rPr>
                <w:rFonts w:ascii="Times New Roman" w:hAnsi="Times New Roman" w:cs="Times New Roman"/>
                <w:sz w:val="16"/>
                <w:szCs w:val="16"/>
                <w:lang w:val="uk-UA"/>
              </w:rPr>
              <w:t>кваліфікованого</w:t>
            </w:r>
            <w:r w:rsidRPr="00E16672" w:rsidDel="00047AE1">
              <w:rPr>
                <w:rFonts w:ascii="Times New Roman" w:hAnsi="Times New Roman" w:cs="Times New Roman"/>
                <w:lang w:val="uk-UA"/>
              </w:rPr>
              <w:t xml:space="preserve"> </w:t>
            </w:r>
            <w:r w:rsidRPr="00E16672">
              <w:rPr>
                <w:rFonts w:ascii="Times New Roman" w:hAnsi="Times New Roman" w:cs="Times New Roman"/>
                <w:color w:val="000000"/>
                <w:sz w:val="16"/>
                <w:szCs w:val="16"/>
                <w:lang w:val="uk-UA"/>
              </w:rPr>
              <w:t xml:space="preserve">електронного підпису - визначення відповідності </w:t>
            </w:r>
            <w:r w:rsidRPr="00E16672">
              <w:rPr>
                <w:rFonts w:ascii="Times New Roman" w:hAnsi="Times New Roman" w:cs="Times New Roman"/>
                <w:sz w:val="16"/>
                <w:szCs w:val="16"/>
                <w:lang w:val="uk-UA"/>
              </w:rPr>
              <w:t>кваліфікованого</w:t>
            </w:r>
            <w:r w:rsidRPr="00E16672" w:rsidDel="00047AE1">
              <w:rPr>
                <w:rFonts w:ascii="Times New Roman" w:hAnsi="Times New Roman" w:cs="Times New Roman"/>
                <w:lang w:val="uk-UA"/>
              </w:rPr>
              <w:t xml:space="preserve"> </w:t>
            </w:r>
            <w:r w:rsidRPr="00E16672">
              <w:rPr>
                <w:rFonts w:ascii="Times New Roman" w:hAnsi="Times New Roman" w:cs="Times New Roman"/>
                <w:color w:val="000000"/>
                <w:sz w:val="16"/>
                <w:szCs w:val="16"/>
                <w:lang w:val="uk-UA"/>
              </w:rPr>
              <w:t xml:space="preserve">електронного підпису сертифікату відкритого ключа </w:t>
            </w:r>
            <w:proofErr w:type="spellStart"/>
            <w:r w:rsidRPr="00E16672">
              <w:rPr>
                <w:rFonts w:ascii="Times New Roman" w:hAnsi="Times New Roman" w:cs="Times New Roman"/>
                <w:color w:val="000000"/>
                <w:sz w:val="16"/>
                <w:szCs w:val="16"/>
                <w:lang w:val="uk-UA"/>
              </w:rPr>
              <w:t>підписувача</w:t>
            </w:r>
            <w:proofErr w:type="spellEnd"/>
            <w:r w:rsidRPr="00E16672">
              <w:rPr>
                <w:rFonts w:ascii="Times New Roman" w:hAnsi="Times New Roman" w:cs="Times New Roman"/>
                <w:color w:val="000000"/>
                <w:sz w:val="16"/>
                <w:szCs w:val="16"/>
                <w:lang w:val="uk-UA"/>
              </w:rPr>
              <w:t>, який є чинним, та визнання підпису таким, що надає юридичної сили отриманим стороною електронним документам, сформованим з його використанням.</w:t>
            </w:r>
          </w:p>
        </w:tc>
        <w:tc>
          <w:tcPr>
            <w:tcW w:w="5494" w:type="dxa"/>
            <w:gridSpan w:val="7"/>
            <w:shd w:val="clear" w:color="auto" w:fill="auto"/>
          </w:tcPr>
          <w:p w14:paraId="1B18869A" w14:textId="77777777" w:rsidR="00E22279" w:rsidRPr="00E16672" w:rsidRDefault="00E22279" w:rsidP="00E22279">
            <w:pPr>
              <w:tabs>
                <w:tab w:val="left" w:pos="287"/>
              </w:tabs>
              <w:snapToGrid w:val="0"/>
              <w:ind w:left="145" w:right="100" w:firstLine="0"/>
              <w:rPr>
                <w:rFonts w:ascii="Times New Roman" w:hAnsi="Times New Roman"/>
                <w:color w:val="000000"/>
                <w:sz w:val="16"/>
                <w:szCs w:val="16"/>
                <w:shd w:val="clear" w:color="auto" w:fill="FFFFFF"/>
                <w:lang w:val="en-GB"/>
              </w:rPr>
            </w:pPr>
            <w:r w:rsidRPr="00E16672">
              <w:rPr>
                <w:rFonts w:ascii="Times New Roman" w:hAnsi="Times New Roman"/>
                <w:color w:val="000000"/>
                <w:sz w:val="16"/>
                <w:szCs w:val="16"/>
                <w:shd w:val="clear" w:color="auto" w:fill="FFFFFF"/>
                <w:lang w:val="uk-UA"/>
              </w:rPr>
              <w:t>1</w:t>
            </w:r>
            <w:r w:rsidRPr="00E16672">
              <w:rPr>
                <w:rFonts w:ascii="Times New Roman" w:hAnsi="Times New Roman"/>
                <w:color w:val="000000"/>
                <w:sz w:val="16"/>
                <w:szCs w:val="16"/>
                <w:shd w:val="clear" w:color="auto" w:fill="FFFFFF"/>
                <w:lang w:val="en-US"/>
              </w:rPr>
              <w:t>1</w:t>
            </w:r>
            <w:r w:rsidRPr="00E16672">
              <w:rPr>
                <w:rFonts w:ascii="Times New Roman" w:hAnsi="Times New Roman"/>
                <w:color w:val="000000"/>
                <w:sz w:val="16"/>
                <w:szCs w:val="16"/>
                <w:shd w:val="clear" w:color="auto" w:fill="FFFFFF"/>
                <w:lang w:val="uk-UA"/>
              </w:rPr>
              <w:t xml:space="preserve">.11. </w:t>
            </w:r>
            <w:r w:rsidRPr="00E16672">
              <w:rPr>
                <w:rFonts w:ascii="Times New Roman" w:hAnsi="Times New Roman"/>
                <w:color w:val="000000"/>
                <w:sz w:val="16"/>
                <w:szCs w:val="16"/>
                <w:shd w:val="clear" w:color="auto" w:fill="FFFFFF"/>
                <w:lang w:val="en-GB"/>
              </w:rPr>
              <w:t>The</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recognition</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of</w:t>
            </w:r>
            <w:r w:rsidRPr="00E16672">
              <w:rPr>
                <w:rFonts w:ascii="Times New Roman" w:hAnsi="Times New Roman"/>
                <w:color w:val="000000"/>
                <w:sz w:val="16"/>
                <w:szCs w:val="16"/>
                <w:shd w:val="clear" w:color="auto" w:fill="FFFFFF"/>
                <w:lang w:val="uk-UA"/>
              </w:rPr>
              <w:t xml:space="preserve"> </w:t>
            </w:r>
            <w:r w:rsidRPr="00F23413">
              <w:rPr>
                <w:rStyle w:val="shorttext"/>
                <w:rFonts w:ascii="Times New Roman" w:hAnsi="Times New Roman"/>
                <w:sz w:val="16"/>
                <w:szCs w:val="16"/>
                <w:lang w:val="en-US"/>
              </w:rPr>
              <w:t>qualified</w:t>
            </w:r>
            <w:r w:rsidRPr="00E16672">
              <w:rPr>
                <w:rStyle w:val="shorttext"/>
                <w:rFonts w:ascii="Times New Roman" w:hAnsi="Times New Roman"/>
                <w:sz w:val="16"/>
                <w:szCs w:val="16"/>
                <w:lang w:val="uk-UA"/>
              </w:rPr>
              <w:t xml:space="preserve"> </w:t>
            </w:r>
            <w:r w:rsidRPr="00E16672">
              <w:rPr>
                <w:rFonts w:ascii="Times New Roman" w:hAnsi="Times New Roman"/>
                <w:color w:val="000000"/>
                <w:sz w:val="16"/>
                <w:szCs w:val="16"/>
                <w:shd w:val="clear" w:color="auto" w:fill="FFFFFF"/>
                <w:lang w:val="en-GB"/>
              </w:rPr>
              <w:t>electronic</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signature</w:t>
            </w:r>
            <w:r w:rsidRPr="00E16672">
              <w:rPr>
                <w:rFonts w:ascii="Times New Roman" w:hAnsi="Times New Roman"/>
                <w:color w:val="000000"/>
                <w:sz w:val="16"/>
                <w:szCs w:val="16"/>
                <w:shd w:val="clear" w:color="auto" w:fill="FFFFFF"/>
                <w:lang w:val="uk-UA"/>
              </w:rPr>
              <w:t xml:space="preserve"> - </w:t>
            </w:r>
            <w:r w:rsidRPr="00E16672">
              <w:rPr>
                <w:rFonts w:ascii="Times New Roman" w:hAnsi="Times New Roman"/>
                <w:color w:val="000000"/>
                <w:sz w:val="16"/>
                <w:szCs w:val="16"/>
                <w:shd w:val="clear" w:color="auto" w:fill="FFFFFF"/>
                <w:lang w:val="en-GB"/>
              </w:rPr>
              <w:t>determine</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whether</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the</w:t>
            </w:r>
            <w:r w:rsidRPr="00E16672">
              <w:rPr>
                <w:rFonts w:ascii="Times New Roman" w:hAnsi="Times New Roman"/>
                <w:color w:val="000000"/>
                <w:sz w:val="16"/>
                <w:szCs w:val="16"/>
                <w:shd w:val="clear" w:color="auto" w:fill="FFFFFF"/>
                <w:lang w:val="uk-UA"/>
              </w:rPr>
              <w:t xml:space="preserve"> </w:t>
            </w:r>
            <w:r w:rsidRPr="00F23413">
              <w:rPr>
                <w:rStyle w:val="shorttext"/>
                <w:rFonts w:ascii="Times New Roman" w:hAnsi="Times New Roman"/>
                <w:sz w:val="16"/>
                <w:szCs w:val="16"/>
                <w:lang w:val="en-US"/>
              </w:rPr>
              <w:t>qualified</w:t>
            </w:r>
            <w:r w:rsidRPr="00E16672">
              <w:rPr>
                <w:rStyle w:val="shorttext"/>
                <w:rFonts w:ascii="Times New Roman" w:hAnsi="Times New Roman"/>
                <w:sz w:val="16"/>
                <w:szCs w:val="16"/>
                <w:lang w:val="uk-UA"/>
              </w:rPr>
              <w:t xml:space="preserve"> </w:t>
            </w:r>
            <w:r w:rsidRPr="00E16672">
              <w:rPr>
                <w:rFonts w:ascii="Times New Roman" w:hAnsi="Times New Roman"/>
                <w:color w:val="000000"/>
                <w:sz w:val="16"/>
                <w:szCs w:val="16"/>
                <w:shd w:val="clear" w:color="auto" w:fill="FFFFFF"/>
                <w:lang w:val="en-GB"/>
              </w:rPr>
              <w:t>electronic</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signature certificate signer's public key, which is in force and the recognition signature so that gives legal force side received electronic documents generated from its use.</w:t>
            </w:r>
          </w:p>
        </w:tc>
      </w:tr>
      <w:tr w:rsidR="00E22279" w:rsidRPr="00F23413" w14:paraId="31D072E9" w14:textId="77777777" w:rsidTr="00D77858">
        <w:tblPrEx>
          <w:tblCellMar>
            <w:left w:w="0" w:type="dxa"/>
            <w:right w:w="0" w:type="dxa"/>
          </w:tblCellMar>
        </w:tblPrEx>
        <w:trPr>
          <w:trHeight w:val="192"/>
        </w:trPr>
        <w:tc>
          <w:tcPr>
            <w:tcW w:w="5696" w:type="dxa"/>
            <w:gridSpan w:val="6"/>
            <w:shd w:val="clear" w:color="auto" w:fill="auto"/>
          </w:tcPr>
          <w:p w14:paraId="25143C88" w14:textId="77777777" w:rsidR="00E22279" w:rsidRPr="00E16672" w:rsidRDefault="00E22279" w:rsidP="00E22279">
            <w:pPr>
              <w:snapToGrid w:val="0"/>
              <w:spacing w:before="57" w:after="57"/>
              <w:ind w:left="175" w:right="138"/>
              <w:jc w:val="center"/>
              <w:rPr>
                <w:rFonts w:ascii="Times New Roman" w:hAnsi="Times New Roman"/>
                <w:b/>
                <w:color w:val="000000"/>
                <w:sz w:val="16"/>
                <w:szCs w:val="16"/>
                <w:lang w:val="uk-UA"/>
              </w:rPr>
            </w:pPr>
          </w:p>
          <w:p w14:paraId="14630513" w14:textId="77777777" w:rsidR="00E22279" w:rsidRPr="00E16672" w:rsidRDefault="00326563" w:rsidP="00E22279">
            <w:pPr>
              <w:snapToGrid w:val="0"/>
              <w:ind w:left="175" w:right="138"/>
              <w:jc w:val="center"/>
              <w:rPr>
                <w:rFonts w:ascii="Times New Roman" w:hAnsi="Times New Roman"/>
                <w:b/>
                <w:color w:val="000000"/>
                <w:sz w:val="16"/>
                <w:szCs w:val="16"/>
                <w:lang w:val="uk-UA"/>
              </w:rPr>
            </w:pPr>
            <w:r w:rsidRPr="00E16672">
              <w:rPr>
                <w:rFonts w:ascii="Times New Roman" w:hAnsi="Times New Roman"/>
                <w:b/>
                <w:color w:val="000000"/>
                <w:sz w:val="16"/>
                <w:szCs w:val="16"/>
              </w:rPr>
              <w:t>12</w:t>
            </w:r>
            <w:r w:rsidR="00E22279" w:rsidRPr="00E16672">
              <w:rPr>
                <w:rFonts w:ascii="Times New Roman" w:hAnsi="Times New Roman"/>
                <w:b/>
                <w:color w:val="000000"/>
                <w:sz w:val="16"/>
                <w:szCs w:val="16"/>
                <w:lang w:val="uk-UA"/>
              </w:rPr>
              <w:t>. Умови</w:t>
            </w:r>
            <w:r w:rsidR="00E22279" w:rsidRPr="00E16672">
              <w:rPr>
                <w:rFonts w:ascii="Times New Roman" w:hAnsi="Times New Roman"/>
                <w:b/>
                <w:color w:val="000000"/>
                <w:sz w:val="16"/>
                <w:szCs w:val="16"/>
              </w:rPr>
              <w:t xml:space="preserve"> </w:t>
            </w:r>
            <w:r w:rsidR="00E22279" w:rsidRPr="00E16672">
              <w:rPr>
                <w:rFonts w:ascii="Times New Roman" w:hAnsi="Times New Roman"/>
                <w:b/>
                <w:color w:val="000000"/>
                <w:sz w:val="16"/>
                <w:szCs w:val="16"/>
                <w:lang w:val="uk-UA"/>
              </w:rPr>
              <w:t>щодо порядку виплати доходів, отриманих депонентом за результатами проведених корпоративних операцій емітента.</w:t>
            </w:r>
          </w:p>
          <w:p w14:paraId="35C6714F" w14:textId="77777777" w:rsidR="00E22279" w:rsidRPr="00E16672" w:rsidRDefault="00E22279" w:rsidP="00E22279">
            <w:pPr>
              <w:ind w:left="175" w:right="138" w:firstLine="0"/>
              <w:jc w:val="center"/>
              <w:rPr>
                <w:rFonts w:ascii="Times New Roman" w:hAnsi="Times New Roman"/>
                <w:b/>
                <w:color w:val="000000"/>
                <w:sz w:val="16"/>
                <w:szCs w:val="16"/>
                <w:lang w:val="uk-UA"/>
              </w:rPr>
            </w:pPr>
          </w:p>
          <w:p w14:paraId="18F5C183" w14:textId="77777777" w:rsidR="00E22279" w:rsidRPr="00E16672" w:rsidRDefault="00E22279" w:rsidP="00326563">
            <w:pPr>
              <w:ind w:left="175" w:right="138" w:firstLine="0"/>
              <w:rPr>
                <w:rFonts w:ascii="Times New Roman" w:hAnsi="Times New Roman"/>
                <w:color w:val="000000"/>
                <w:sz w:val="16"/>
                <w:szCs w:val="16"/>
                <w:lang w:val="uk-UA"/>
              </w:rPr>
            </w:pPr>
            <w:r w:rsidRPr="00E16672">
              <w:rPr>
                <w:rFonts w:ascii="Times New Roman" w:hAnsi="Times New Roman"/>
                <w:color w:val="000000"/>
                <w:sz w:val="16"/>
                <w:szCs w:val="16"/>
                <w:lang w:val="uk-UA"/>
              </w:rPr>
              <w:t>1</w:t>
            </w:r>
            <w:r w:rsidR="00326563" w:rsidRPr="00E16672">
              <w:rPr>
                <w:rFonts w:ascii="Times New Roman" w:hAnsi="Times New Roman"/>
                <w:color w:val="000000"/>
                <w:sz w:val="16"/>
                <w:szCs w:val="16"/>
              </w:rPr>
              <w:t>2</w:t>
            </w:r>
            <w:r w:rsidRPr="00E16672">
              <w:rPr>
                <w:rFonts w:ascii="Times New Roman" w:hAnsi="Times New Roman"/>
                <w:color w:val="000000"/>
                <w:sz w:val="16"/>
                <w:szCs w:val="16"/>
                <w:lang w:val="uk-UA"/>
              </w:rPr>
              <w:t>.1. Щодо цінних паперів, облік яких здійснює Центральний депозитарій:</w:t>
            </w:r>
          </w:p>
        </w:tc>
        <w:tc>
          <w:tcPr>
            <w:tcW w:w="5494" w:type="dxa"/>
            <w:gridSpan w:val="7"/>
            <w:shd w:val="clear" w:color="auto" w:fill="auto"/>
          </w:tcPr>
          <w:p w14:paraId="270D81F4" w14:textId="77777777" w:rsidR="00E22279" w:rsidRPr="00E16672" w:rsidRDefault="00E22279" w:rsidP="00E22279">
            <w:pPr>
              <w:snapToGrid w:val="0"/>
              <w:ind w:left="175" w:right="138"/>
              <w:jc w:val="center"/>
              <w:rPr>
                <w:rFonts w:ascii="Times New Roman" w:hAnsi="Times New Roman"/>
                <w:color w:val="000000"/>
              </w:rPr>
            </w:pPr>
          </w:p>
          <w:p w14:paraId="4C3F2C6E" w14:textId="77777777" w:rsidR="00E22279" w:rsidRPr="00E16672" w:rsidRDefault="00E22279" w:rsidP="00E22279">
            <w:pPr>
              <w:snapToGrid w:val="0"/>
              <w:ind w:left="175" w:right="138"/>
              <w:jc w:val="center"/>
              <w:rPr>
                <w:rFonts w:ascii="Times New Roman" w:hAnsi="Times New Roman"/>
                <w:b/>
                <w:color w:val="000000"/>
                <w:sz w:val="16"/>
                <w:szCs w:val="16"/>
                <w:lang w:val="uk-UA"/>
              </w:rPr>
            </w:pPr>
            <w:r w:rsidRPr="00E16672">
              <w:rPr>
                <w:rFonts w:ascii="Times New Roman" w:hAnsi="Times New Roman"/>
                <w:b/>
                <w:color w:val="000000"/>
                <w:sz w:val="16"/>
                <w:szCs w:val="16"/>
                <w:lang w:val="uk-UA"/>
              </w:rPr>
              <w:t>1</w:t>
            </w:r>
            <w:r w:rsidR="00326563" w:rsidRPr="00E16672">
              <w:rPr>
                <w:rFonts w:ascii="Times New Roman" w:hAnsi="Times New Roman"/>
                <w:b/>
                <w:color w:val="000000"/>
                <w:sz w:val="16"/>
                <w:szCs w:val="16"/>
                <w:lang w:val="en-US"/>
              </w:rPr>
              <w:t>2</w:t>
            </w:r>
            <w:r w:rsidRPr="00E16672">
              <w:rPr>
                <w:rFonts w:ascii="Times New Roman" w:hAnsi="Times New Roman"/>
                <w:b/>
                <w:color w:val="000000"/>
                <w:sz w:val="16"/>
                <w:szCs w:val="16"/>
                <w:lang w:val="uk-UA"/>
              </w:rPr>
              <w:t xml:space="preserve">. </w:t>
            </w:r>
            <w:proofErr w:type="spellStart"/>
            <w:r w:rsidRPr="00E16672">
              <w:rPr>
                <w:rFonts w:ascii="Times New Roman" w:hAnsi="Times New Roman"/>
                <w:b/>
                <w:color w:val="000000"/>
                <w:sz w:val="16"/>
                <w:szCs w:val="16"/>
                <w:lang w:val="uk-UA"/>
              </w:rPr>
              <w:t>Terms</w:t>
            </w:r>
            <w:proofErr w:type="spellEnd"/>
            <w:r w:rsidRPr="00E16672">
              <w:rPr>
                <w:rFonts w:ascii="Times New Roman" w:hAnsi="Times New Roman"/>
                <w:b/>
                <w:color w:val="000000"/>
                <w:sz w:val="16"/>
                <w:szCs w:val="16"/>
                <w:lang w:val="uk-UA"/>
              </w:rPr>
              <w:t xml:space="preserve"> </w:t>
            </w:r>
            <w:proofErr w:type="spellStart"/>
            <w:r w:rsidRPr="00E16672">
              <w:rPr>
                <w:rFonts w:ascii="Times New Roman" w:hAnsi="Times New Roman"/>
                <w:b/>
                <w:color w:val="000000"/>
                <w:sz w:val="16"/>
                <w:szCs w:val="16"/>
                <w:lang w:val="uk-UA"/>
              </w:rPr>
              <w:t>of</w:t>
            </w:r>
            <w:proofErr w:type="spellEnd"/>
            <w:r w:rsidRPr="00E16672">
              <w:rPr>
                <w:rFonts w:ascii="Times New Roman" w:hAnsi="Times New Roman"/>
                <w:b/>
                <w:color w:val="000000"/>
                <w:sz w:val="16"/>
                <w:szCs w:val="16"/>
                <w:lang w:val="uk-UA"/>
              </w:rPr>
              <w:t xml:space="preserve"> </w:t>
            </w:r>
            <w:proofErr w:type="spellStart"/>
            <w:r w:rsidRPr="00E16672">
              <w:rPr>
                <w:rFonts w:ascii="Times New Roman" w:hAnsi="Times New Roman"/>
                <w:b/>
                <w:color w:val="000000"/>
                <w:sz w:val="16"/>
                <w:szCs w:val="16"/>
                <w:lang w:val="uk-UA"/>
              </w:rPr>
              <w:t>procedure</w:t>
            </w:r>
            <w:proofErr w:type="spellEnd"/>
            <w:r w:rsidRPr="00E16672">
              <w:rPr>
                <w:rFonts w:ascii="Times New Roman" w:hAnsi="Times New Roman"/>
                <w:b/>
                <w:color w:val="000000"/>
                <w:sz w:val="16"/>
                <w:szCs w:val="16"/>
                <w:lang w:val="uk-UA"/>
              </w:rPr>
              <w:t xml:space="preserve"> </w:t>
            </w:r>
            <w:proofErr w:type="spellStart"/>
            <w:r w:rsidRPr="00E16672">
              <w:rPr>
                <w:rFonts w:ascii="Times New Roman" w:hAnsi="Times New Roman"/>
                <w:b/>
                <w:color w:val="000000"/>
                <w:sz w:val="16"/>
                <w:szCs w:val="16"/>
                <w:lang w:val="uk-UA"/>
              </w:rPr>
              <w:t>for</w:t>
            </w:r>
            <w:proofErr w:type="spellEnd"/>
            <w:r w:rsidRPr="00E16672">
              <w:rPr>
                <w:rFonts w:ascii="Times New Roman" w:hAnsi="Times New Roman"/>
                <w:b/>
                <w:color w:val="000000"/>
                <w:sz w:val="16"/>
                <w:szCs w:val="16"/>
                <w:lang w:val="uk-UA"/>
              </w:rPr>
              <w:t xml:space="preserve"> </w:t>
            </w:r>
            <w:proofErr w:type="spellStart"/>
            <w:r w:rsidRPr="00E16672">
              <w:rPr>
                <w:rFonts w:ascii="Times New Roman" w:hAnsi="Times New Roman"/>
                <w:b/>
                <w:color w:val="000000"/>
                <w:sz w:val="16"/>
                <w:szCs w:val="16"/>
                <w:lang w:val="uk-UA"/>
              </w:rPr>
              <w:t>paying</w:t>
            </w:r>
            <w:proofErr w:type="spellEnd"/>
            <w:r w:rsidRPr="00E16672">
              <w:rPr>
                <w:rFonts w:ascii="Times New Roman" w:hAnsi="Times New Roman"/>
                <w:b/>
                <w:color w:val="000000"/>
                <w:sz w:val="16"/>
                <w:szCs w:val="16"/>
                <w:lang w:val="uk-UA"/>
              </w:rPr>
              <w:t xml:space="preserve"> </w:t>
            </w:r>
            <w:r w:rsidRPr="00E16672">
              <w:rPr>
                <w:rFonts w:ascii="Times New Roman" w:hAnsi="Times New Roman"/>
                <w:b/>
                <w:color w:val="000000"/>
                <w:sz w:val="16"/>
                <w:szCs w:val="16"/>
                <w:lang w:val="en-US"/>
              </w:rPr>
              <w:t>money</w:t>
            </w:r>
            <w:r w:rsidRPr="00E16672">
              <w:rPr>
                <w:rFonts w:ascii="Times New Roman" w:hAnsi="Times New Roman"/>
                <w:b/>
                <w:color w:val="000000"/>
                <w:sz w:val="16"/>
                <w:szCs w:val="16"/>
                <w:lang w:val="uk-UA"/>
              </w:rPr>
              <w:t xml:space="preserve">, </w:t>
            </w:r>
            <w:proofErr w:type="spellStart"/>
            <w:r w:rsidRPr="00E16672">
              <w:rPr>
                <w:rFonts w:ascii="Times New Roman" w:hAnsi="Times New Roman"/>
                <w:b/>
                <w:color w:val="000000"/>
                <w:sz w:val="16"/>
                <w:szCs w:val="16"/>
                <w:lang w:val="uk-UA"/>
              </w:rPr>
              <w:t>received</w:t>
            </w:r>
            <w:proofErr w:type="spellEnd"/>
            <w:r w:rsidRPr="00E16672">
              <w:rPr>
                <w:rFonts w:ascii="Times New Roman" w:hAnsi="Times New Roman"/>
                <w:b/>
                <w:color w:val="000000"/>
                <w:sz w:val="16"/>
                <w:szCs w:val="16"/>
                <w:lang w:val="uk-UA"/>
              </w:rPr>
              <w:t xml:space="preserve"> </w:t>
            </w:r>
            <w:proofErr w:type="spellStart"/>
            <w:r w:rsidRPr="00E16672">
              <w:rPr>
                <w:rFonts w:ascii="Times New Roman" w:hAnsi="Times New Roman"/>
                <w:b/>
                <w:color w:val="000000"/>
                <w:sz w:val="16"/>
                <w:szCs w:val="16"/>
                <w:lang w:val="uk-UA"/>
              </w:rPr>
              <w:t>by</w:t>
            </w:r>
            <w:proofErr w:type="spellEnd"/>
            <w:r w:rsidRPr="00E16672">
              <w:rPr>
                <w:rFonts w:ascii="Times New Roman" w:hAnsi="Times New Roman"/>
                <w:b/>
                <w:color w:val="000000"/>
                <w:sz w:val="16"/>
                <w:szCs w:val="16"/>
                <w:lang w:val="uk-UA"/>
              </w:rPr>
              <w:t xml:space="preserve">  </w:t>
            </w:r>
            <w:proofErr w:type="spellStart"/>
            <w:r w:rsidRPr="00E16672">
              <w:rPr>
                <w:rFonts w:ascii="Times New Roman" w:hAnsi="Times New Roman"/>
                <w:b/>
                <w:color w:val="000000"/>
                <w:sz w:val="16"/>
                <w:szCs w:val="16"/>
                <w:lang w:val="uk-UA"/>
              </w:rPr>
              <w:t>the</w:t>
            </w:r>
            <w:proofErr w:type="spellEnd"/>
            <w:r w:rsidRPr="00E16672">
              <w:rPr>
                <w:rFonts w:ascii="Times New Roman" w:hAnsi="Times New Roman"/>
                <w:b/>
                <w:color w:val="000000"/>
                <w:sz w:val="16"/>
                <w:szCs w:val="16"/>
                <w:lang w:val="uk-UA"/>
              </w:rPr>
              <w:t xml:space="preserve"> </w:t>
            </w:r>
            <w:proofErr w:type="spellStart"/>
            <w:r w:rsidRPr="00E16672">
              <w:rPr>
                <w:rFonts w:ascii="Times New Roman" w:hAnsi="Times New Roman"/>
                <w:b/>
                <w:color w:val="000000"/>
                <w:sz w:val="16"/>
                <w:szCs w:val="16"/>
                <w:lang w:val="uk-UA"/>
              </w:rPr>
              <w:t>Depositor</w:t>
            </w:r>
            <w:proofErr w:type="spellEnd"/>
            <w:r w:rsidRPr="00E16672">
              <w:rPr>
                <w:rFonts w:ascii="Times New Roman" w:hAnsi="Times New Roman"/>
                <w:b/>
                <w:color w:val="000000"/>
                <w:sz w:val="16"/>
                <w:szCs w:val="16"/>
                <w:lang w:val="uk-UA"/>
              </w:rPr>
              <w:t xml:space="preserve"> </w:t>
            </w:r>
            <w:proofErr w:type="spellStart"/>
            <w:r w:rsidRPr="00E16672">
              <w:rPr>
                <w:rFonts w:ascii="Times New Roman" w:hAnsi="Times New Roman"/>
                <w:b/>
                <w:color w:val="000000"/>
                <w:sz w:val="16"/>
                <w:szCs w:val="16"/>
                <w:lang w:val="uk-UA"/>
              </w:rPr>
              <w:t>on</w:t>
            </w:r>
            <w:proofErr w:type="spellEnd"/>
            <w:r w:rsidRPr="00E16672">
              <w:rPr>
                <w:rFonts w:ascii="Times New Roman" w:hAnsi="Times New Roman"/>
                <w:b/>
                <w:color w:val="000000"/>
                <w:sz w:val="16"/>
                <w:szCs w:val="16"/>
                <w:lang w:val="uk-UA"/>
              </w:rPr>
              <w:t xml:space="preserve"> </w:t>
            </w:r>
            <w:proofErr w:type="spellStart"/>
            <w:r w:rsidRPr="00E16672">
              <w:rPr>
                <w:rFonts w:ascii="Times New Roman" w:hAnsi="Times New Roman"/>
                <w:b/>
                <w:color w:val="000000"/>
                <w:sz w:val="16"/>
                <w:szCs w:val="16"/>
                <w:lang w:val="uk-UA"/>
              </w:rPr>
              <w:t>the</w:t>
            </w:r>
            <w:proofErr w:type="spellEnd"/>
            <w:r w:rsidRPr="00E16672">
              <w:rPr>
                <w:rFonts w:ascii="Times New Roman" w:hAnsi="Times New Roman"/>
                <w:b/>
                <w:color w:val="000000"/>
                <w:sz w:val="16"/>
                <w:szCs w:val="16"/>
                <w:lang w:val="uk-UA"/>
              </w:rPr>
              <w:t xml:space="preserve"> </w:t>
            </w:r>
            <w:proofErr w:type="spellStart"/>
            <w:r w:rsidRPr="00E16672">
              <w:rPr>
                <w:rFonts w:ascii="Times New Roman" w:hAnsi="Times New Roman"/>
                <w:b/>
                <w:color w:val="000000"/>
                <w:sz w:val="16"/>
                <w:szCs w:val="16"/>
                <w:lang w:val="uk-UA"/>
              </w:rPr>
              <w:t>results</w:t>
            </w:r>
            <w:proofErr w:type="spellEnd"/>
            <w:r w:rsidRPr="00E16672">
              <w:rPr>
                <w:rFonts w:ascii="Times New Roman" w:hAnsi="Times New Roman"/>
                <w:b/>
                <w:color w:val="000000"/>
                <w:sz w:val="16"/>
                <w:szCs w:val="16"/>
                <w:lang w:val="uk-UA"/>
              </w:rPr>
              <w:t xml:space="preserve"> </w:t>
            </w:r>
            <w:proofErr w:type="spellStart"/>
            <w:r w:rsidRPr="00E16672">
              <w:rPr>
                <w:rFonts w:ascii="Times New Roman" w:hAnsi="Times New Roman"/>
                <w:b/>
                <w:color w:val="000000"/>
                <w:sz w:val="16"/>
                <w:szCs w:val="16"/>
                <w:lang w:val="uk-UA"/>
              </w:rPr>
              <w:t>of</w:t>
            </w:r>
            <w:proofErr w:type="spellEnd"/>
            <w:r w:rsidRPr="00E16672">
              <w:rPr>
                <w:rFonts w:ascii="Times New Roman" w:hAnsi="Times New Roman"/>
                <w:b/>
                <w:color w:val="000000"/>
                <w:sz w:val="16"/>
                <w:szCs w:val="16"/>
                <w:lang w:val="uk-UA"/>
              </w:rPr>
              <w:t xml:space="preserve"> </w:t>
            </w:r>
            <w:proofErr w:type="spellStart"/>
            <w:r w:rsidRPr="00E16672">
              <w:rPr>
                <w:rFonts w:ascii="Times New Roman" w:hAnsi="Times New Roman"/>
                <w:b/>
                <w:color w:val="000000"/>
                <w:sz w:val="16"/>
                <w:szCs w:val="16"/>
                <w:lang w:val="uk-UA"/>
              </w:rPr>
              <w:t>corporate</w:t>
            </w:r>
            <w:proofErr w:type="spellEnd"/>
            <w:r w:rsidRPr="00E16672">
              <w:rPr>
                <w:rFonts w:ascii="Times New Roman" w:hAnsi="Times New Roman"/>
                <w:b/>
                <w:color w:val="000000"/>
                <w:sz w:val="16"/>
                <w:szCs w:val="16"/>
                <w:lang w:val="uk-UA"/>
              </w:rPr>
              <w:t xml:space="preserve"> </w:t>
            </w:r>
            <w:proofErr w:type="spellStart"/>
            <w:r w:rsidRPr="00E16672">
              <w:rPr>
                <w:rFonts w:ascii="Times New Roman" w:hAnsi="Times New Roman"/>
                <w:b/>
                <w:color w:val="000000"/>
                <w:sz w:val="16"/>
                <w:szCs w:val="16"/>
                <w:lang w:val="uk-UA"/>
              </w:rPr>
              <w:t>operations</w:t>
            </w:r>
            <w:proofErr w:type="spellEnd"/>
            <w:r w:rsidRPr="00E16672">
              <w:rPr>
                <w:rFonts w:ascii="Times New Roman" w:hAnsi="Times New Roman"/>
                <w:b/>
                <w:color w:val="000000"/>
                <w:sz w:val="16"/>
                <w:szCs w:val="16"/>
                <w:lang w:val="uk-UA"/>
              </w:rPr>
              <w:t xml:space="preserve"> </w:t>
            </w:r>
            <w:proofErr w:type="spellStart"/>
            <w:r w:rsidRPr="00E16672">
              <w:rPr>
                <w:rFonts w:ascii="Times New Roman" w:hAnsi="Times New Roman"/>
                <w:b/>
                <w:color w:val="000000"/>
                <w:sz w:val="16"/>
                <w:szCs w:val="16"/>
                <w:lang w:val="uk-UA"/>
              </w:rPr>
              <w:t>of</w:t>
            </w:r>
            <w:proofErr w:type="spellEnd"/>
            <w:r w:rsidRPr="00E16672">
              <w:rPr>
                <w:rFonts w:ascii="Times New Roman" w:hAnsi="Times New Roman"/>
                <w:b/>
                <w:color w:val="000000"/>
                <w:sz w:val="16"/>
                <w:szCs w:val="16"/>
                <w:lang w:val="uk-UA"/>
              </w:rPr>
              <w:t xml:space="preserve"> </w:t>
            </w:r>
            <w:proofErr w:type="spellStart"/>
            <w:r w:rsidRPr="00E16672">
              <w:rPr>
                <w:rFonts w:ascii="Times New Roman" w:hAnsi="Times New Roman"/>
                <w:b/>
                <w:color w:val="000000"/>
                <w:sz w:val="16"/>
                <w:szCs w:val="16"/>
                <w:lang w:val="uk-UA"/>
              </w:rPr>
              <w:t>the</w:t>
            </w:r>
            <w:proofErr w:type="spellEnd"/>
            <w:r w:rsidRPr="00E16672">
              <w:rPr>
                <w:rFonts w:ascii="Times New Roman" w:hAnsi="Times New Roman"/>
                <w:b/>
                <w:color w:val="000000"/>
                <w:sz w:val="16"/>
                <w:szCs w:val="16"/>
                <w:lang w:val="uk-UA"/>
              </w:rPr>
              <w:t xml:space="preserve"> </w:t>
            </w:r>
            <w:proofErr w:type="spellStart"/>
            <w:r w:rsidRPr="00E16672">
              <w:rPr>
                <w:rFonts w:ascii="Times New Roman" w:hAnsi="Times New Roman"/>
                <w:b/>
                <w:color w:val="000000"/>
                <w:sz w:val="16"/>
                <w:szCs w:val="16"/>
                <w:lang w:val="uk-UA"/>
              </w:rPr>
              <w:t>issuer</w:t>
            </w:r>
            <w:proofErr w:type="spellEnd"/>
            <w:r w:rsidRPr="00E16672">
              <w:rPr>
                <w:rFonts w:ascii="Times New Roman" w:hAnsi="Times New Roman"/>
                <w:b/>
                <w:color w:val="000000"/>
                <w:sz w:val="16"/>
                <w:szCs w:val="16"/>
                <w:lang w:val="uk-UA"/>
              </w:rPr>
              <w:t>.</w:t>
            </w:r>
          </w:p>
          <w:p w14:paraId="2E985A0B" w14:textId="77777777" w:rsidR="00E22279" w:rsidRPr="00E16672" w:rsidRDefault="00E22279" w:rsidP="00E22279">
            <w:pPr>
              <w:ind w:left="175" w:right="138"/>
              <w:rPr>
                <w:rFonts w:ascii="Times New Roman" w:hAnsi="Times New Roman"/>
                <w:color w:val="000000"/>
                <w:sz w:val="16"/>
                <w:szCs w:val="16"/>
                <w:lang w:val="uk-UA"/>
              </w:rPr>
            </w:pPr>
          </w:p>
          <w:p w14:paraId="25C328EC" w14:textId="77777777" w:rsidR="00E22279" w:rsidRPr="00E16672" w:rsidRDefault="00E22279" w:rsidP="00E22279">
            <w:pPr>
              <w:ind w:left="175" w:right="138"/>
              <w:rPr>
                <w:rFonts w:ascii="Times New Roman" w:hAnsi="Times New Roman"/>
                <w:color w:val="000000"/>
                <w:sz w:val="16"/>
                <w:szCs w:val="16"/>
                <w:lang w:val="uk-UA"/>
              </w:rPr>
            </w:pPr>
          </w:p>
          <w:p w14:paraId="4B059FCE" w14:textId="77777777" w:rsidR="00E22279" w:rsidRPr="00E16672" w:rsidRDefault="00E22279" w:rsidP="00326563">
            <w:pPr>
              <w:ind w:left="148" w:right="138" w:firstLine="0"/>
              <w:rPr>
                <w:rFonts w:ascii="Times New Roman" w:hAnsi="Times New Roman"/>
                <w:color w:val="000000"/>
                <w:sz w:val="16"/>
                <w:szCs w:val="16"/>
                <w:lang w:val="uk-UA"/>
              </w:rPr>
            </w:pPr>
            <w:r w:rsidRPr="00E16672">
              <w:rPr>
                <w:rFonts w:ascii="Times New Roman" w:hAnsi="Times New Roman"/>
                <w:color w:val="000000"/>
                <w:sz w:val="16"/>
                <w:szCs w:val="16"/>
                <w:lang w:val="uk-UA"/>
              </w:rPr>
              <w:t>1</w:t>
            </w:r>
            <w:r w:rsidR="00326563" w:rsidRPr="00E16672">
              <w:rPr>
                <w:rFonts w:ascii="Times New Roman" w:hAnsi="Times New Roman"/>
                <w:color w:val="000000"/>
                <w:sz w:val="16"/>
                <w:szCs w:val="16"/>
                <w:lang w:val="en-US"/>
              </w:rPr>
              <w:t>2</w:t>
            </w:r>
            <w:r w:rsidRPr="00E16672">
              <w:rPr>
                <w:rFonts w:ascii="Times New Roman" w:hAnsi="Times New Roman"/>
                <w:color w:val="000000"/>
                <w:sz w:val="16"/>
                <w:szCs w:val="16"/>
                <w:lang w:val="uk-UA"/>
              </w:rPr>
              <w:t xml:space="preserve">.1. </w:t>
            </w:r>
            <w:proofErr w:type="spellStart"/>
            <w:r w:rsidRPr="00E16672">
              <w:rPr>
                <w:rFonts w:ascii="Times New Roman" w:hAnsi="Times New Roman"/>
                <w:color w:val="000000"/>
                <w:sz w:val="16"/>
                <w:szCs w:val="16"/>
                <w:lang w:val="uk-UA"/>
              </w:rPr>
              <w:t>Regarding</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securities</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accounted</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by</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the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Central</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Depository</w:t>
            </w:r>
            <w:proofErr w:type="spellEnd"/>
            <w:r w:rsidRPr="00E16672">
              <w:rPr>
                <w:rFonts w:ascii="Times New Roman" w:hAnsi="Times New Roman"/>
                <w:color w:val="000000"/>
                <w:sz w:val="16"/>
                <w:szCs w:val="16"/>
                <w:lang w:val="uk-UA"/>
              </w:rPr>
              <w:t>:</w:t>
            </w:r>
          </w:p>
        </w:tc>
      </w:tr>
      <w:tr w:rsidR="00E22279" w:rsidRPr="00F23413" w14:paraId="39952642" w14:textId="77777777" w:rsidTr="00D77858">
        <w:tblPrEx>
          <w:tblCellMar>
            <w:left w:w="0" w:type="dxa"/>
            <w:right w:w="0" w:type="dxa"/>
          </w:tblCellMar>
        </w:tblPrEx>
        <w:trPr>
          <w:trHeight w:val="192"/>
        </w:trPr>
        <w:tc>
          <w:tcPr>
            <w:tcW w:w="5696" w:type="dxa"/>
            <w:gridSpan w:val="6"/>
            <w:shd w:val="clear" w:color="auto" w:fill="auto"/>
          </w:tcPr>
          <w:p w14:paraId="24D51CA7" w14:textId="77777777" w:rsidR="00E22279" w:rsidRPr="00E16672" w:rsidRDefault="00E22279" w:rsidP="00326563">
            <w:pPr>
              <w:ind w:left="175" w:right="138" w:firstLine="0"/>
              <w:rPr>
                <w:rFonts w:ascii="Times New Roman" w:hAnsi="Times New Roman"/>
                <w:color w:val="000000"/>
                <w:sz w:val="16"/>
                <w:szCs w:val="16"/>
                <w:lang w:val="uk-UA"/>
              </w:rPr>
            </w:pPr>
            <w:r w:rsidRPr="00E16672">
              <w:rPr>
                <w:rFonts w:ascii="Times New Roman" w:hAnsi="Times New Roman"/>
                <w:color w:val="000000"/>
                <w:sz w:val="16"/>
                <w:szCs w:val="16"/>
                <w:lang w:val="uk-UA"/>
              </w:rPr>
              <w:t>1</w:t>
            </w:r>
            <w:r w:rsidR="00326563" w:rsidRPr="00E16672">
              <w:rPr>
                <w:rFonts w:ascii="Times New Roman" w:hAnsi="Times New Roman"/>
                <w:color w:val="000000"/>
                <w:sz w:val="16"/>
                <w:szCs w:val="16"/>
              </w:rPr>
              <w:t>2</w:t>
            </w:r>
            <w:r w:rsidRPr="00E16672">
              <w:rPr>
                <w:rFonts w:ascii="Times New Roman" w:hAnsi="Times New Roman"/>
                <w:color w:val="000000"/>
                <w:sz w:val="16"/>
                <w:szCs w:val="16"/>
                <w:lang w:val="uk-UA"/>
              </w:rPr>
              <w:t xml:space="preserve">.1.1. У термін не пізніше десяти робочих днів  з моменту надходження відповідних коштів на грошовий рахунок Депозитарної установи, отримання розпорядження від Центрального депозитарію та інших документів, згідно чинного законодавства та регламенту Центрального депозитарію,  Депозитарна установа здійснює виплату доходу за цінними паперами – грошових коштів, отриманих Депонентом за результатами проведення корпоративних операцій емітента, шляхом перерахування грошових коштів на грошовий банківський рахунок Депонента, реквізити якого зазначені  в </w:t>
            </w:r>
            <w:r w:rsidRPr="00E16672">
              <w:rPr>
                <w:rFonts w:ascii="Times New Roman" w:hAnsi="Times New Roman"/>
                <w:color w:val="000000"/>
                <w:sz w:val="16"/>
                <w:szCs w:val="16"/>
                <w:lang w:val="uk-UA"/>
              </w:rPr>
              <w:lastRenderedPageBreak/>
              <w:t xml:space="preserve">анкеті рахунку </w:t>
            </w:r>
            <w:r w:rsidR="00C22309" w:rsidRPr="00E16672">
              <w:rPr>
                <w:rFonts w:ascii="Times New Roman" w:hAnsi="Times New Roman"/>
                <w:color w:val="000000"/>
                <w:sz w:val="16"/>
                <w:szCs w:val="16"/>
                <w:lang w:val="uk-UA"/>
              </w:rPr>
              <w:t>в цін</w:t>
            </w:r>
            <w:r w:rsidRPr="00E16672">
              <w:rPr>
                <w:rFonts w:ascii="Times New Roman" w:hAnsi="Times New Roman"/>
                <w:color w:val="000000"/>
                <w:sz w:val="16"/>
                <w:szCs w:val="16"/>
                <w:lang w:val="uk-UA"/>
              </w:rPr>
              <w:t>них паперах Депонента.</w:t>
            </w:r>
          </w:p>
        </w:tc>
        <w:tc>
          <w:tcPr>
            <w:tcW w:w="5494" w:type="dxa"/>
            <w:gridSpan w:val="7"/>
            <w:shd w:val="clear" w:color="auto" w:fill="auto"/>
          </w:tcPr>
          <w:p w14:paraId="1EB8FB80" w14:textId="77777777" w:rsidR="00E22279" w:rsidRPr="00E16672" w:rsidRDefault="00E22279" w:rsidP="00326563">
            <w:pPr>
              <w:ind w:left="148" w:right="138" w:firstLine="0"/>
              <w:rPr>
                <w:rFonts w:ascii="Times New Roman" w:hAnsi="Times New Roman"/>
                <w:color w:val="000000"/>
                <w:sz w:val="16"/>
                <w:szCs w:val="16"/>
                <w:lang w:val="uk-UA"/>
              </w:rPr>
            </w:pPr>
            <w:r w:rsidRPr="00E16672">
              <w:rPr>
                <w:rFonts w:ascii="Times New Roman" w:hAnsi="Times New Roman"/>
                <w:color w:val="000000"/>
                <w:sz w:val="16"/>
                <w:szCs w:val="16"/>
                <w:lang w:val="uk-UA"/>
              </w:rPr>
              <w:lastRenderedPageBreak/>
              <w:t>1</w:t>
            </w:r>
            <w:r w:rsidR="00326563" w:rsidRPr="00E16672">
              <w:rPr>
                <w:rFonts w:ascii="Times New Roman" w:hAnsi="Times New Roman"/>
                <w:color w:val="000000"/>
                <w:sz w:val="16"/>
                <w:szCs w:val="16"/>
                <w:lang w:val="en-US"/>
              </w:rPr>
              <w:t>2</w:t>
            </w:r>
            <w:r w:rsidRPr="00E16672">
              <w:rPr>
                <w:rFonts w:ascii="Times New Roman" w:hAnsi="Times New Roman"/>
                <w:color w:val="000000"/>
                <w:sz w:val="16"/>
                <w:szCs w:val="16"/>
                <w:lang w:val="uk-UA"/>
              </w:rPr>
              <w:t xml:space="preserve">.1.1. </w:t>
            </w:r>
            <w:proofErr w:type="spellStart"/>
            <w:r w:rsidRPr="00E16672">
              <w:rPr>
                <w:rFonts w:ascii="Times New Roman" w:hAnsi="Times New Roman"/>
                <w:color w:val="000000"/>
                <w:sz w:val="16"/>
                <w:szCs w:val="16"/>
                <w:lang w:val="uk-UA"/>
              </w:rPr>
              <w:t>In</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terms</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not</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later</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than</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ten</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working</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days</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after</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receipt</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of</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money</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on</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the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monetary</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account</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of</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Depository</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institution</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receiving</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order</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from</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the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Central</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Depository</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and</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other</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documents</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under</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the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law</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and</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Regulation</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of</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the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Central</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Depository</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Depository</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institution</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pays</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income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from</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securities</w:t>
            </w:r>
            <w:proofErr w:type="spellEnd"/>
            <w:r w:rsidRPr="00E16672">
              <w:rPr>
                <w:rFonts w:ascii="Times New Roman" w:hAnsi="Times New Roman"/>
                <w:color w:val="000000"/>
                <w:sz w:val="16"/>
                <w:szCs w:val="16"/>
                <w:lang w:val="uk-UA"/>
              </w:rPr>
              <w:t xml:space="preserve"> - </w:t>
            </w:r>
            <w:proofErr w:type="spellStart"/>
            <w:r w:rsidRPr="00E16672">
              <w:rPr>
                <w:rFonts w:ascii="Times New Roman" w:hAnsi="Times New Roman"/>
                <w:color w:val="000000"/>
                <w:sz w:val="16"/>
                <w:szCs w:val="16"/>
                <w:lang w:val="uk-UA"/>
              </w:rPr>
              <w:t>money</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received</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by</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the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Depositor</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on</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the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results</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of</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corporate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operations</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of</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the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issuer</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by</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transferring</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money</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to</w:t>
            </w:r>
            <w:proofErr w:type="spellEnd"/>
            <w:r w:rsidRPr="00E16672">
              <w:rPr>
                <w:rFonts w:ascii="Times New Roman" w:hAnsi="Times New Roman"/>
                <w:color w:val="000000"/>
                <w:sz w:val="16"/>
                <w:szCs w:val="16"/>
                <w:lang w:val="uk-UA"/>
              </w:rPr>
              <w:t xml:space="preserve"> a </w:t>
            </w:r>
            <w:proofErr w:type="spellStart"/>
            <w:r w:rsidRPr="00E16672">
              <w:rPr>
                <w:rFonts w:ascii="Times New Roman" w:hAnsi="Times New Roman"/>
                <w:color w:val="000000"/>
                <w:sz w:val="16"/>
                <w:szCs w:val="16"/>
                <w:lang w:val="uk-UA"/>
              </w:rPr>
              <w:t>bank</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monetary</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account</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of</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Depositor</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details</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of</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which</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indicated</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in</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the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Depositor’s</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form</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of</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the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account</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securities</w:t>
            </w:r>
            <w:proofErr w:type="spellEnd"/>
            <w:r w:rsidRPr="00E16672">
              <w:rPr>
                <w:rFonts w:ascii="Times New Roman" w:hAnsi="Times New Roman"/>
                <w:color w:val="000000"/>
                <w:sz w:val="16"/>
                <w:szCs w:val="16"/>
                <w:lang w:val="uk-UA"/>
              </w:rPr>
              <w:t>.</w:t>
            </w:r>
          </w:p>
        </w:tc>
      </w:tr>
      <w:tr w:rsidR="00E22279" w:rsidRPr="00F23413" w14:paraId="4A10DA11" w14:textId="77777777" w:rsidTr="00D77858">
        <w:tblPrEx>
          <w:tblCellMar>
            <w:left w:w="0" w:type="dxa"/>
            <w:right w:w="0" w:type="dxa"/>
          </w:tblCellMar>
        </w:tblPrEx>
        <w:trPr>
          <w:trHeight w:val="192"/>
        </w:trPr>
        <w:tc>
          <w:tcPr>
            <w:tcW w:w="5696" w:type="dxa"/>
            <w:gridSpan w:val="6"/>
            <w:shd w:val="clear" w:color="auto" w:fill="auto"/>
          </w:tcPr>
          <w:p w14:paraId="29E973C4" w14:textId="77777777" w:rsidR="00E22279" w:rsidRPr="00E16672" w:rsidRDefault="00E22279" w:rsidP="00E22279">
            <w:pPr>
              <w:ind w:left="175" w:right="138" w:firstLine="0"/>
              <w:rPr>
                <w:rFonts w:ascii="Times New Roman" w:hAnsi="Times New Roman"/>
                <w:color w:val="000000"/>
                <w:sz w:val="16"/>
                <w:szCs w:val="16"/>
                <w:lang w:val="uk-UA"/>
              </w:rPr>
            </w:pPr>
            <w:r w:rsidRPr="00E16672">
              <w:rPr>
                <w:rFonts w:ascii="Times New Roman" w:hAnsi="Times New Roman"/>
                <w:color w:val="000000"/>
                <w:sz w:val="16"/>
                <w:szCs w:val="16"/>
                <w:lang w:val="uk-UA"/>
              </w:rPr>
              <w:t xml:space="preserve">Якщо в анкеті Депонента відсутні реквізити діючого грошового банківського рахунку на дату надходження до Депозитарної установи відповідних коштів, виплата доходу за цінними паперами здійснюється не пізніше, ніж за десять робочих днів до закінчення шестимісячного терміну знаходження коштів у Депозитарній установі у разі внесення Депонентом до анкети рахунку </w:t>
            </w:r>
            <w:r w:rsidR="00C22309" w:rsidRPr="00E16672">
              <w:rPr>
                <w:rFonts w:ascii="Times New Roman" w:hAnsi="Times New Roman"/>
                <w:color w:val="000000"/>
                <w:sz w:val="16"/>
                <w:szCs w:val="16"/>
                <w:lang w:val="uk-UA"/>
              </w:rPr>
              <w:t>в цін</w:t>
            </w:r>
            <w:r w:rsidRPr="00E16672">
              <w:rPr>
                <w:rFonts w:ascii="Times New Roman" w:hAnsi="Times New Roman"/>
                <w:color w:val="000000"/>
                <w:sz w:val="16"/>
                <w:szCs w:val="16"/>
                <w:lang w:val="uk-UA"/>
              </w:rPr>
              <w:t xml:space="preserve">них паперах не пізніше ніж за п'ятнадцять робочих днів до закінчення зазначеного терміну інформації щодо діючого грошового банківського рахунку. </w:t>
            </w:r>
          </w:p>
        </w:tc>
        <w:tc>
          <w:tcPr>
            <w:tcW w:w="5494" w:type="dxa"/>
            <w:gridSpan w:val="7"/>
            <w:shd w:val="clear" w:color="auto" w:fill="auto"/>
          </w:tcPr>
          <w:p w14:paraId="7C0AEC1C" w14:textId="77777777" w:rsidR="00E22279" w:rsidRPr="00E16672" w:rsidRDefault="00E22279" w:rsidP="00E22279">
            <w:pPr>
              <w:ind w:left="175" w:right="138" w:firstLine="0"/>
              <w:rPr>
                <w:rFonts w:ascii="Times New Roman" w:hAnsi="Times New Roman"/>
                <w:color w:val="000000"/>
                <w:sz w:val="16"/>
                <w:szCs w:val="16"/>
                <w:lang w:val="uk-UA"/>
              </w:rPr>
            </w:pPr>
            <w:proofErr w:type="spellStart"/>
            <w:r w:rsidRPr="00E16672">
              <w:rPr>
                <w:rFonts w:ascii="Times New Roman" w:hAnsi="Times New Roman"/>
                <w:color w:val="000000"/>
                <w:sz w:val="16"/>
                <w:szCs w:val="16"/>
                <w:lang w:val="uk-UA"/>
              </w:rPr>
              <w:t>If</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in</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the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Depositor’s</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form</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of</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the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account</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securities</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there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are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no</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details</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of</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the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current</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monetary</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bank</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account</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on</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the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date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of</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receipt</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by</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the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Depository</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institution</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of</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money</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the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payment</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income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for</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securities</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carried</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out</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not</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later</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than</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ten</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working</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days</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before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the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expiry</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of</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six</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months</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of</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money</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which</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are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in</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the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Depository</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institution</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in</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case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of</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introduction</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information</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about</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current</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monetary</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bank</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account</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by</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Depositor</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to</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the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form</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of</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the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account</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in</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securities</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not</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later</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than</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fifteen</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days</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before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the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expiration</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of</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the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term</w:t>
            </w:r>
            <w:proofErr w:type="spellEnd"/>
            <w:r w:rsidRPr="00E16672">
              <w:rPr>
                <w:rFonts w:ascii="Times New Roman" w:hAnsi="Times New Roman"/>
                <w:color w:val="000000"/>
                <w:sz w:val="16"/>
                <w:szCs w:val="16"/>
                <w:lang w:val="uk-UA"/>
              </w:rPr>
              <w:t>.</w:t>
            </w:r>
          </w:p>
        </w:tc>
      </w:tr>
      <w:tr w:rsidR="00E22279" w:rsidRPr="00F23413" w14:paraId="7E13FC86" w14:textId="77777777" w:rsidTr="00D77858">
        <w:tblPrEx>
          <w:tblCellMar>
            <w:left w:w="0" w:type="dxa"/>
            <w:right w:w="0" w:type="dxa"/>
          </w:tblCellMar>
        </w:tblPrEx>
        <w:trPr>
          <w:trHeight w:val="192"/>
        </w:trPr>
        <w:tc>
          <w:tcPr>
            <w:tcW w:w="5696" w:type="dxa"/>
            <w:gridSpan w:val="6"/>
            <w:shd w:val="clear" w:color="auto" w:fill="auto"/>
          </w:tcPr>
          <w:p w14:paraId="038AAD99" w14:textId="77777777" w:rsidR="00E22279" w:rsidRPr="00E16672" w:rsidRDefault="00E22279" w:rsidP="00E22279">
            <w:pPr>
              <w:ind w:left="175" w:right="138" w:firstLine="0"/>
              <w:rPr>
                <w:rFonts w:ascii="Times New Roman" w:hAnsi="Times New Roman"/>
                <w:color w:val="000000"/>
                <w:sz w:val="16"/>
                <w:szCs w:val="16"/>
                <w:lang w:val="uk-UA"/>
              </w:rPr>
            </w:pPr>
            <w:r w:rsidRPr="00E16672">
              <w:rPr>
                <w:rFonts w:ascii="Times New Roman" w:hAnsi="Times New Roman"/>
                <w:color w:val="000000"/>
                <w:sz w:val="16"/>
                <w:szCs w:val="16"/>
                <w:lang w:val="uk-UA"/>
              </w:rPr>
              <w:t>Щодо коштів, які надійшли на грошовий рахунок Депозитарної установи з метою їх подальшого переказу та не були виплачені Депоненту через незалежні від Депозитарної установи обставини у разі не вчинення Депонентом необхідних дій для їх отримання, Депозитарною установою вчиняються дії у порядку, передбаченому законодавством та/або внутрішніми документами Депозитарної установи.</w:t>
            </w:r>
          </w:p>
        </w:tc>
        <w:tc>
          <w:tcPr>
            <w:tcW w:w="5494" w:type="dxa"/>
            <w:gridSpan w:val="7"/>
            <w:shd w:val="clear" w:color="auto" w:fill="auto"/>
          </w:tcPr>
          <w:p w14:paraId="7A327DE0" w14:textId="77777777" w:rsidR="00E22279" w:rsidRPr="00E16672" w:rsidRDefault="00E22279" w:rsidP="00E22279">
            <w:pPr>
              <w:ind w:left="175" w:right="138" w:firstLine="0"/>
              <w:rPr>
                <w:rFonts w:ascii="Times New Roman" w:hAnsi="Times New Roman"/>
                <w:color w:val="000000"/>
                <w:sz w:val="16"/>
                <w:szCs w:val="16"/>
                <w:lang w:val="uk-UA"/>
              </w:rPr>
            </w:pPr>
            <w:proofErr w:type="spellStart"/>
            <w:r w:rsidRPr="00E16672">
              <w:rPr>
                <w:rFonts w:ascii="Times New Roman" w:hAnsi="Times New Roman"/>
                <w:color w:val="000000"/>
                <w:sz w:val="16"/>
                <w:szCs w:val="16"/>
                <w:lang w:val="uk-UA"/>
              </w:rPr>
              <w:t>As</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for</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the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money</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received</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on</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monetary</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account</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of</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Depository</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institution</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for</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their</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further</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transfer</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and</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have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not</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been</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paid</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out</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to</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the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Depositor</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through</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independent</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of</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Depository</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institution</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circumstances</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in</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case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do</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not</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committing</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by</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the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Depositor</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necessary</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actions</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to</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obtain</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them</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Depository</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institution</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performs</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actions</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according</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with</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the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legislation</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and</w:t>
            </w:r>
            <w:proofErr w:type="spellEnd"/>
            <w:r w:rsidRPr="00E16672">
              <w:rPr>
                <w:rFonts w:ascii="Times New Roman" w:hAnsi="Times New Roman"/>
                <w:color w:val="000000"/>
                <w:sz w:val="16"/>
                <w:szCs w:val="16"/>
                <w:lang w:val="uk-UA"/>
              </w:rPr>
              <w:t>/</w:t>
            </w:r>
            <w:proofErr w:type="spellStart"/>
            <w:r w:rsidRPr="00E16672">
              <w:rPr>
                <w:rFonts w:ascii="Times New Roman" w:hAnsi="Times New Roman"/>
                <w:color w:val="000000"/>
                <w:sz w:val="16"/>
                <w:szCs w:val="16"/>
                <w:lang w:val="uk-UA"/>
              </w:rPr>
              <w:t>or</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internal</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documents</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of</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Depository</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institution</w:t>
            </w:r>
            <w:proofErr w:type="spellEnd"/>
            <w:r w:rsidRPr="00E16672">
              <w:rPr>
                <w:rFonts w:ascii="Times New Roman" w:hAnsi="Times New Roman"/>
                <w:color w:val="000000"/>
                <w:sz w:val="16"/>
                <w:szCs w:val="16"/>
                <w:lang w:val="uk-UA"/>
              </w:rPr>
              <w:t>.</w:t>
            </w:r>
          </w:p>
        </w:tc>
      </w:tr>
      <w:tr w:rsidR="00E22279" w:rsidRPr="00F23413" w14:paraId="245A2F87" w14:textId="77777777" w:rsidTr="00D77858">
        <w:tblPrEx>
          <w:tblCellMar>
            <w:left w:w="0" w:type="dxa"/>
            <w:right w:w="0" w:type="dxa"/>
          </w:tblCellMar>
        </w:tblPrEx>
        <w:trPr>
          <w:trHeight w:val="192"/>
        </w:trPr>
        <w:tc>
          <w:tcPr>
            <w:tcW w:w="5696" w:type="dxa"/>
            <w:gridSpan w:val="6"/>
            <w:shd w:val="clear" w:color="auto" w:fill="auto"/>
          </w:tcPr>
          <w:p w14:paraId="5FCB8E26" w14:textId="77777777" w:rsidR="00E22279" w:rsidRPr="00E16672" w:rsidRDefault="00E22279" w:rsidP="00305518">
            <w:pPr>
              <w:ind w:left="175" w:right="138" w:firstLine="0"/>
              <w:rPr>
                <w:rFonts w:ascii="Times New Roman" w:hAnsi="Times New Roman"/>
                <w:color w:val="000000"/>
                <w:sz w:val="16"/>
                <w:szCs w:val="16"/>
                <w:lang w:val="uk-UA"/>
              </w:rPr>
            </w:pPr>
            <w:r w:rsidRPr="00E16672">
              <w:rPr>
                <w:rFonts w:ascii="Times New Roman" w:hAnsi="Times New Roman"/>
                <w:color w:val="000000"/>
                <w:sz w:val="16"/>
                <w:szCs w:val="16"/>
                <w:lang w:val="uk-UA"/>
              </w:rPr>
              <w:t>1</w:t>
            </w:r>
            <w:r w:rsidR="00326563" w:rsidRPr="00E16672">
              <w:rPr>
                <w:rFonts w:ascii="Times New Roman" w:hAnsi="Times New Roman"/>
                <w:color w:val="000000"/>
                <w:sz w:val="16"/>
                <w:szCs w:val="16"/>
              </w:rPr>
              <w:t>2</w:t>
            </w:r>
            <w:r w:rsidRPr="00E16672">
              <w:rPr>
                <w:rFonts w:ascii="Times New Roman" w:hAnsi="Times New Roman"/>
                <w:color w:val="000000"/>
                <w:sz w:val="16"/>
                <w:szCs w:val="16"/>
                <w:lang w:val="uk-UA"/>
              </w:rPr>
              <w:t xml:space="preserve">.1.2. У термін не пізніше десяти робочих днів з моменту надходження відповідних коштів на грошовий рахунок Депозитарної установи Депозитарна установа здійснює виплату грошових коштів, отриманих Депонентом за результатами погашення цінних паперів емітента, шляхом перерахування грошових коштів на грошовий банківський рахунок Депонента, зазначений в анкеті рахунку в цінних паперах Депонента. Вищезазначені дії виконуються Депозитарною установою у разі наявності реквізитів діючого грошового банківського рахунку в анкеті рахунку </w:t>
            </w:r>
            <w:r w:rsidR="00C22309" w:rsidRPr="00E16672">
              <w:rPr>
                <w:rFonts w:ascii="Times New Roman" w:hAnsi="Times New Roman"/>
                <w:color w:val="000000"/>
                <w:sz w:val="16"/>
                <w:szCs w:val="16"/>
                <w:lang w:val="uk-UA"/>
              </w:rPr>
              <w:t>в цін</w:t>
            </w:r>
            <w:r w:rsidRPr="00E16672">
              <w:rPr>
                <w:rFonts w:ascii="Times New Roman" w:hAnsi="Times New Roman"/>
                <w:color w:val="000000"/>
                <w:sz w:val="16"/>
                <w:szCs w:val="16"/>
                <w:lang w:val="uk-UA"/>
              </w:rPr>
              <w:t>них паперах Депонента на момент надходження відповідних коштів на грошовий рахунок Депозитарної установи.</w:t>
            </w:r>
          </w:p>
        </w:tc>
        <w:tc>
          <w:tcPr>
            <w:tcW w:w="5494" w:type="dxa"/>
            <w:gridSpan w:val="7"/>
            <w:shd w:val="clear" w:color="auto" w:fill="auto"/>
          </w:tcPr>
          <w:p w14:paraId="1F19302F" w14:textId="77777777" w:rsidR="00E22279" w:rsidRPr="00E16672" w:rsidRDefault="00E22279" w:rsidP="00326563">
            <w:pPr>
              <w:ind w:left="175" w:right="138" w:firstLine="0"/>
              <w:rPr>
                <w:rFonts w:ascii="Times New Roman" w:hAnsi="Times New Roman"/>
                <w:color w:val="000000"/>
                <w:sz w:val="16"/>
                <w:szCs w:val="16"/>
                <w:lang w:val="uk-UA"/>
              </w:rPr>
            </w:pPr>
            <w:r w:rsidRPr="00E16672">
              <w:rPr>
                <w:rFonts w:ascii="Times New Roman" w:hAnsi="Times New Roman"/>
                <w:color w:val="000000"/>
                <w:sz w:val="16"/>
                <w:szCs w:val="16"/>
                <w:lang w:val="uk-UA"/>
              </w:rPr>
              <w:t>1</w:t>
            </w:r>
            <w:r w:rsidR="00326563" w:rsidRPr="00E16672">
              <w:rPr>
                <w:rFonts w:ascii="Times New Roman" w:hAnsi="Times New Roman"/>
                <w:color w:val="000000"/>
                <w:sz w:val="16"/>
                <w:szCs w:val="16"/>
                <w:lang w:val="en-US"/>
              </w:rPr>
              <w:t>2</w:t>
            </w:r>
            <w:r w:rsidRPr="00E16672">
              <w:rPr>
                <w:rFonts w:ascii="Times New Roman" w:hAnsi="Times New Roman"/>
                <w:color w:val="000000"/>
                <w:sz w:val="16"/>
                <w:szCs w:val="16"/>
                <w:lang w:val="uk-UA"/>
              </w:rPr>
              <w:t xml:space="preserve">.1.2. </w:t>
            </w:r>
            <w:proofErr w:type="spellStart"/>
            <w:r w:rsidRPr="00E16672">
              <w:rPr>
                <w:rFonts w:ascii="Times New Roman" w:hAnsi="Times New Roman"/>
                <w:color w:val="000000"/>
                <w:sz w:val="16"/>
                <w:szCs w:val="16"/>
                <w:lang w:val="uk-UA"/>
              </w:rPr>
              <w:t>In</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terms</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not</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later</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than</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ten</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working</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days</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after</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receipt</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of</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money</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on</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the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monetary</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account</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of</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Depository</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institution</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Depository</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institution</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pays</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money</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received</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by</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Depositor</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on</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the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results</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of</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redemption</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of</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securities</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of</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the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issuer</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by</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transferring</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money</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to</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the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Depositor’s</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bank</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monetary</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account</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indicated</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in</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the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Depositor’s</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form</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of</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the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account</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in</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securities</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The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above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actions</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Depository</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institution</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performs</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if</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there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are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details</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of</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the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current</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monetary</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bank</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account</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in</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Depositor’s</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form</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of</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the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account</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in</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securities</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at</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the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moment</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of</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receipt</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of</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the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money</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on</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the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monetary</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account</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of</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Depository</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institution</w:t>
            </w:r>
            <w:proofErr w:type="spellEnd"/>
            <w:r w:rsidRPr="00E16672">
              <w:rPr>
                <w:rFonts w:ascii="Times New Roman" w:hAnsi="Times New Roman"/>
                <w:color w:val="000000"/>
                <w:sz w:val="16"/>
                <w:szCs w:val="16"/>
                <w:lang w:val="uk-UA"/>
              </w:rPr>
              <w:t>.</w:t>
            </w:r>
          </w:p>
        </w:tc>
      </w:tr>
      <w:tr w:rsidR="00E22279" w:rsidRPr="00F23413" w14:paraId="3CF9FA9C" w14:textId="77777777" w:rsidTr="00D77858">
        <w:tblPrEx>
          <w:tblCellMar>
            <w:left w:w="0" w:type="dxa"/>
            <w:right w:w="0" w:type="dxa"/>
          </w:tblCellMar>
        </w:tblPrEx>
        <w:trPr>
          <w:trHeight w:val="192"/>
        </w:trPr>
        <w:tc>
          <w:tcPr>
            <w:tcW w:w="5696" w:type="dxa"/>
            <w:gridSpan w:val="6"/>
            <w:shd w:val="clear" w:color="auto" w:fill="auto"/>
          </w:tcPr>
          <w:p w14:paraId="32DE0737" w14:textId="77777777" w:rsidR="00E22279" w:rsidRPr="00E16672" w:rsidRDefault="00E22279" w:rsidP="00326563">
            <w:pPr>
              <w:ind w:left="175" w:right="138" w:firstLine="0"/>
              <w:rPr>
                <w:rFonts w:ascii="Times New Roman" w:hAnsi="Times New Roman"/>
                <w:color w:val="000000"/>
                <w:sz w:val="16"/>
                <w:szCs w:val="16"/>
                <w:lang w:val="uk-UA"/>
              </w:rPr>
            </w:pPr>
            <w:r w:rsidRPr="00E16672">
              <w:rPr>
                <w:rFonts w:ascii="Times New Roman" w:hAnsi="Times New Roman"/>
                <w:color w:val="000000"/>
                <w:sz w:val="16"/>
                <w:szCs w:val="16"/>
                <w:lang w:val="uk-UA"/>
              </w:rPr>
              <w:t>1</w:t>
            </w:r>
            <w:r w:rsidR="00326563" w:rsidRPr="00E16672">
              <w:rPr>
                <w:rFonts w:ascii="Times New Roman" w:hAnsi="Times New Roman"/>
                <w:color w:val="000000"/>
                <w:sz w:val="16"/>
                <w:szCs w:val="16"/>
              </w:rPr>
              <w:t>2</w:t>
            </w:r>
            <w:r w:rsidRPr="00E16672">
              <w:rPr>
                <w:rFonts w:ascii="Times New Roman" w:hAnsi="Times New Roman"/>
                <w:color w:val="000000"/>
                <w:sz w:val="16"/>
                <w:szCs w:val="16"/>
                <w:lang w:val="uk-UA"/>
              </w:rPr>
              <w:t xml:space="preserve">.1.3. Якщо виплата доходів здійснюється </w:t>
            </w:r>
            <w:r w:rsidR="00C22309" w:rsidRPr="00E16672">
              <w:rPr>
                <w:rFonts w:ascii="Times New Roman" w:hAnsi="Times New Roman"/>
                <w:color w:val="000000"/>
                <w:sz w:val="16"/>
                <w:szCs w:val="16"/>
                <w:lang w:val="uk-UA"/>
              </w:rPr>
              <w:t>в цін</w:t>
            </w:r>
            <w:r w:rsidRPr="00E16672">
              <w:rPr>
                <w:rFonts w:ascii="Times New Roman" w:hAnsi="Times New Roman"/>
                <w:color w:val="000000"/>
                <w:sz w:val="16"/>
                <w:szCs w:val="16"/>
                <w:lang w:val="uk-UA"/>
              </w:rPr>
              <w:t xml:space="preserve">них паперах, після надходження до Центрального депозитарію таких доходів (цінних паперів) Центральний депозитарій проводить операції щодо переказу цих цінних паперів з рахунку в цінних паперах емітента на рахунки </w:t>
            </w:r>
            <w:r w:rsidR="00C22309" w:rsidRPr="00E16672">
              <w:rPr>
                <w:rFonts w:ascii="Times New Roman" w:hAnsi="Times New Roman"/>
                <w:color w:val="000000"/>
                <w:sz w:val="16"/>
                <w:szCs w:val="16"/>
                <w:lang w:val="uk-UA"/>
              </w:rPr>
              <w:t>в цін</w:t>
            </w:r>
            <w:r w:rsidRPr="00E16672">
              <w:rPr>
                <w:rFonts w:ascii="Times New Roman" w:hAnsi="Times New Roman"/>
                <w:color w:val="000000"/>
                <w:sz w:val="16"/>
                <w:szCs w:val="16"/>
                <w:lang w:val="uk-UA"/>
              </w:rPr>
              <w:t xml:space="preserve">них паперах депозитарних установ, які обслуговують власників цінних паперів, які мають отримати цей дохід </w:t>
            </w:r>
            <w:r w:rsidR="00C22309" w:rsidRPr="00E16672">
              <w:rPr>
                <w:rFonts w:ascii="Times New Roman" w:hAnsi="Times New Roman"/>
                <w:color w:val="000000"/>
                <w:sz w:val="16"/>
                <w:szCs w:val="16"/>
                <w:lang w:val="uk-UA"/>
              </w:rPr>
              <w:t>в цін</w:t>
            </w:r>
            <w:r w:rsidRPr="00E16672">
              <w:rPr>
                <w:rFonts w:ascii="Times New Roman" w:hAnsi="Times New Roman"/>
                <w:color w:val="000000"/>
                <w:sz w:val="16"/>
                <w:szCs w:val="16"/>
                <w:lang w:val="uk-UA"/>
              </w:rPr>
              <w:t xml:space="preserve">них паперах. Депозитарна установа зобов'язана протягом десяти робочих днів з моменту надходження зарахувати зазначені доходи (права на цінні папери) на рахунок в цінних паперах Депонента </w:t>
            </w:r>
          </w:p>
        </w:tc>
        <w:tc>
          <w:tcPr>
            <w:tcW w:w="5494" w:type="dxa"/>
            <w:gridSpan w:val="7"/>
            <w:shd w:val="clear" w:color="auto" w:fill="auto"/>
          </w:tcPr>
          <w:p w14:paraId="0AC7932A" w14:textId="77777777" w:rsidR="00E22279" w:rsidRPr="00E16672" w:rsidRDefault="00E22279" w:rsidP="00E22279">
            <w:pPr>
              <w:ind w:left="175" w:right="138" w:firstLine="0"/>
              <w:rPr>
                <w:rFonts w:ascii="Times New Roman" w:hAnsi="Times New Roman"/>
                <w:color w:val="000000"/>
                <w:sz w:val="16"/>
                <w:szCs w:val="16"/>
                <w:lang w:val="uk-UA"/>
              </w:rPr>
            </w:pPr>
            <w:r w:rsidRPr="00E16672">
              <w:rPr>
                <w:rFonts w:ascii="Times New Roman" w:hAnsi="Times New Roman"/>
                <w:color w:val="000000"/>
                <w:sz w:val="16"/>
                <w:szCs w:val="16"/>
                <w:lang w:val="uk-UA"/>
              </w:rPr>
              <w:t>1</w:t>
            </w:r>
            <w:r w:rsidR="00326563" w:rsidRPr="00E16672">
              <w:rPr>
                <w:rFonts w:ascii="Times New Roman" w:hAnsi="Times New Roman"/>
                <w:color w:val="000000"/>
                <w:sz w:val="16"/>
                <w:szCs w:val="16"/>
                <w:lang w:val="en-US"/>
              </w:rPr>
              <w:t>2</w:t>
            </w:r>
            <w:r w:rsidRPr="00E16672">
              <w:rPr>
                <w:rFonts w:ascii="Times New Roman" w:hAnsi="Times New Roman"/>
                <w:color w:val="000000"/>
                <w:sz w:val="16"/>
                <w:szCs w:val="16"/>
                <w:lang w:val="uk-UA"/>
              </w:rPr>
              <w:t xml:space="preserve">.1.3. </w:t>
            </w:r>
            <w:proofErr w:type="spellStart"/>
            <w:r w:rsidRPr="00E16672">
              <w:rPr>
                <w:rFonts w:ascii="Times New Roman" w:hAnsi="Times New Roman"/>
                <w:color w:val="000000"/>
                <w:sz w:val="16"/>
                <w:szCs w:val="16"/>
                <w:lang w:val="uk-UA"/>
              </w:rPr>
              <w:t>If</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payment</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of</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income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is</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made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in</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securities</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after</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admission</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to</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Central</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Depository</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such</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income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securities</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the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Central</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Depository</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conducts</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operations</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on</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transfer</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of</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securities</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from</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the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account</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in</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securities</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of</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the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issuer</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for</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accounts</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in</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securities</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of</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depository</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institutions</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that</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serve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the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holders</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of</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securities</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who</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have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get</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this</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income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in</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securities</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The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Depository</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institution</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shall</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within</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ten</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working</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days</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from</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the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moment</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receipt</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credit</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these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incomes</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rights</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to</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securities</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to</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the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account</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in</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securities</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of</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the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Depositor</w:t>
            </w:r>
            <w:proofErr w:type="spellEnd"/>
            <w:r w:rsidRPr="00E16672">
              <w:rPr>
                <w:rFonts w:ascii="Times New Roman" w:hAnsi="Times New Roman"/>
                <w:color w:val="000000"/>
                <w:sz w:val="16"/>
                <w:szCs w:val="16"/>
                <w:lang w:val="uk-UA"/>
              </w:rPr>
              <w:t>.</w:t>
            </w:r>
          </w:p>
          <w:p w14:paraId="25655EFE" w14:textId="77777777" w:rsidR="00E22279" w:rsidRPr="00E16672" w:rsidRDefault="00E22279" w:rsidP="00E22279">
            <w:pPr>
              <w:snapToGrid w:val="0"/>
              <w:spacing w:before="57" w:after="57"/>
              <w:ind w:left="175" w:right="138" w:firstLine="0"/>
              <w:rPr>
                <w:rFonts w:ascii="Times New Roman" w:hAnsi="Times New Roman"/>
                <w:color w:val="000000"/>
                <w:sz w:val="16"/>
                <w:szCs w:val="16"/>
                <w:lang w:val="uk-UA"/>
              </w:rPr>
            </w:pPr>
          </w:p>
        </w:tc>
      </w:tr>
      <w:tr w:rsidR="00E22279" w:rsidRPr="00F23413" w14:paraId="1AC329B5" w14:textId="77777777" w:rsidTr="00D77858">
        <w:tblPrEx>
          <w:tblCellMar>
            <w:left w:w="0" w:type="dxa"/>
            <w:right w:w="0" w:type="dxa"/>
          </w:tblCellMar>
        </w:tblPrEx>
        <w:trPr>
          <w:trHeight w:val="192"/>
        </w:trPr>
        <w:tc>
          <w:tcPr>
            <w:tcW w:w="5696" w:type="dxa"/>
            <w:gridSpan w:val="6"/>
            <w:shd w:val="clear" w:color="auto" w:fill="auto"/>
          </w:tcPr>
          <w:p w14:paraId="5D0FFF52" w14:textId="77777777" w:rsidR="00E22279" w:rsidRPr="00E16672" w:rsidRDefault="00E22279" w:rsidP="00E22279">
            <w:pPr>
              <w:ind w:left="175" w:right="138" w:firstLine="0"/>
              <w:rPr>
                <w:rFonts w:ascii="Times New Roman" w:hAnsi="Times New Roman"/>
                <w:color w:val="000000"/>
                <w:sz w:val="16"/>
                <w:szCs w:val="16"/>
                <w:lang w:val="uk-UA"/>
              </w:rPr>
            </w:pPr>
            <w:r w:rsidRPr="00E16672">
              <w:rPr>
                <w:rFonts w:ascii="Times New Roman" w:hAnsi="Times New Roman"/>
                <w:color w:val="000000"/>
                <w:sz w:val="16"/>
                <w:szCs w:val="16"/>
                <w:lang w:val="uk-UA"/>
              </w:rPr>
              <w:t>1</w:t>
            </w:r>
            <w:r w:rsidR="00326563" w:rsidRPr="00E16672">
              <w:rPr>
                <w:rFonts w:ascii="Times New Roman" w:hAnsi="Times New Roman"/>
                <w:color w:val="000000"/>
                <w:sz w:val="16"/>
                <w:szCs w:val="16"/>
              </w:rPr>
              <w:t>2</w:t>
            </w:r>
            <w:r w:rsidRPr="00E16672">
              <w:rPr>
                <w:rFonts w:ascii="Times New Roman" w:hAnsi="Times New Roman"/>
                <w:color w:val="000000"/>
                <w:sz w:val="16"/>
                <w:szCs w:val="16"/>
                <w:lang w:val="uk-UA"/>
              </w:rPr>
              <w:t>.2. Щодо цінних паперів, облік яких здійснює Національний Банк України:</w:t>
            </w:r>
          </w:p>
          <w:p w14:paraId="49C2E606" w14:textId="77777777" w:rsidR="00E22279" w:rsidRPr="00E16672" w:rsidRDefault="00E22279" w:rsidP="00305518">
            <w:pPr>
              <w:snapToGrid w:val="0"/>
              <w:ind w:left="175" w:right="138" w:firstLine="0"/>
              <w:rPr>
                <w:rFonts w:ascii="Times New Roman" w:hAnsi="Times New Roman"/>
                <w:color w:val="000000"/>
                <w:sz w:val="16"/>
                <w:szCs w:val="16"/>
                <w:lang w:val="uk-UA"/>
              </w:rPr>
            </w:pPr>
            <w:r w:rsidRPr="00E16672">
              <w:rPr>
                <w:rFonts w:ascii="Times New Roman" w:hAnsi="Times New Roman"/>
                <w:color w:val="000000"/>
                <w:sz w:val="16"/>
                <w:szCs w:val="16"/>
                <w:lang w:val="uk-UA"/>
              </w:rPr>
              <w:t xml:space="preserve">У термін не пізніше десяти робочих днів з моменту надходження доходу за цінними паперами, грошових коштів, отриманих за результатами погашення цінних паперів на грошовий рахунок Депозитарної установи Депозитарна установа здійснює виплату доходу за цінними паперами, грошових коштів, отриманих Депонентом за результатами погашення цінних паперів емітента, шляхом перерахування грошових коштів на грошовий банківський рахунок Депонента, зазначений в анкеті рахунку в цінних паперах Депонента. Вищезазначені дії виконуються Депозитарною установою у разі наявності реквізитів діючого грошового банківського рахунку в анкеті рахунку </w:t>
            </w:r>
            <w:r w:rsidR="00C22309" w:rsidRPr="00E16672">
              <w:rPr>
                <w:rFonts w:ascii="Times New Roman" w:hAnsi="Times New Roman"/>
                <w:color w:val="000000"/>
                <w:sz w:val="16"/>
                <w:szCs w:val="16"/>
                <w:lang w:val="uk-UA"/>
              </w:rPr>
              <w:t>в цін</w:t>
            </w:r>
            <w:r w:rsidRPr="00E16672">
              <w:rPr>
                <w:rFonts w:ascii="Times New Roman" w:hAnsi="Times New Roman"/>
                <w:color w:val="000000"/>
                <w:sz w:val="16"/>
                <w:szCs w:val="16"/>
                <w:lang w:val="uk-UA"/>
              </w:rPr>
              <w:t>них паперах Депонента на момент надходження відповідних коштів на грошовий рахунок Депозитарної установи.</w:t>
            </w:r>
          </w:p>
        </w:tc>
        <w:tc>
          <w:tcPr>
            <w:tcW w:w="5494" w:type="dxa"/>
            <w:gridSpan w:val="7"/>
            <w:shd w:val="clear" w:color="auto" w:fill="auto"/>
          </w:tcPr>
          <w:p w14:paraId="54FF49F9" w14:textId="77777777" w:rsidR="00E22279" w:rsidRPr="00E16672" w:rsidRDefault="00E22279" w:rsidP="00E22279">
            <w:pPr>
              <w:ind w:left="175" w:right="138" w:firstLine="0"/>
              <w:rPr>
                <w:rFonts w:ascii="Times New Roman" w:hAnsi="Times New Roman"/>
                <w:color w:val="000000"/>
                <w:sz w:val="16"/>
                <w:szCs w:val="16"/>
                <w:lang w:val="uk-UA"/>
              </w:rPr>
            </w:pPr>
            <w:r w:rsidRPr="00E16672">
              <w:rPr>
                <w:rFonts w:ascii="Times New Roman" w:hAnsi="Times New Roman"/>
                <w:color w:val="000000"/>
                <w:sz w:val="16"/>
                <w:szCs w:val="16"/>
                <w:lang w:val="uk-UA"/>
              </w:rPr>
              <w:t>1</w:t>
            </w:r>
            <w:r w:rsidR="00326563" w:rsidRPr="00E16672">
              <w:rPr>
                <w:rFonts w:ascii="Times New Roman" w:hAnsi="Times New Roman"/>
                <w:color w:val="000000"/>
                <w:sz w:val="16"/>
                <w:szCs w:val="16"/>
                <w:lang w:val="en-US"/>
              </w:rPr>
              <w:t>2</w:t>
            </w:r>
            <w:r w:rsidRPr="00E16672">
              <w:rPr>
                <w:rFonts w:ascii="Times New Roman" w:hAnsi="Times New Roman"/>
                <w:color w:val="000000"/>
                <w:sz w:val="16"/>
                <w:szCs w:val="16"/>
                <w:lang w:val="uk-UA"/>
              </w:rPr>
              <w:t xml:space="preserve">.2. </w:t>
            </w:r>
            <w:proofErr w:type="spellStart"/>
            <w:r w:rsidRPr="00E16672">
              <w:rPr>
                <w:rFonts w:ascii="Times New Roman" w:hAnsi="Times New Roman"/>
                <w:color w:val="000000"/>
                <w:sz w:val="16"/>
                <w:szCs w:val="16"/>
                <w:lang w:val="uk-UA"/>
              </w:rPr>
              <w:t>Regarding</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securities</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accounted</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by</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the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National</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Bank</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of</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Ukraine</w:t>
            </w:r>
            <w:proofErr w:type="spellEnd"/>
            <w:r w:rsidRPr="00E16672">
              <w:rPr>
                <w:rFonts w:ascii="Times New Roman" w:hAnsi="Times New Roman"/>
                <w:color w:val="000000"/>
                <w:sz w:val="16"/>
                <w:szCs w:val="16"/>
                <w:lang w:val="uk-UA"/>
              </w:rPr>
              <w:t>:</w:t>
            </w:r>
          </w:p>
          <w:p w14:paraId="60C5AE78" w14:textId="77777777" w:rsidR="00E22279" w:rsidRPr="00E16672" w:rsidRDefault="00E22279" w:rsidP="00E22279">
            <w:pPr>
              <w:snapToGrid w:val="0"/>
              <w:ind w:left="175" w:right="138" w:firstLine="0"/>
              <w:rPr>
                <w:rFonts w:ascii="Times New Roman" w:hAnsi="Times New Roman"/>
                <w:color w:val="000000"/>
                <w:sz w:val="16"/>
                <w:szCs w:val="16"/>
                <w:lang w:val="uk-UA"/>
              </w:rPr>
            </w:pPr>
            <w:proofErr w:type="spellStart"/>
            <w:r w:rsidRPr="00E16672">
              <w:rPr>
                <w:rFonts w:ascii="Times New Roman" w:hAnsi="Times New Roman"/>
                <w:color w:val="000000"/>
                <w:sz w:val="16"/>
                <w:szCs w:val="16"/>
                <w:lang w:val="uk-UA"/>
              </w:rPr>
              <w:t>In</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terms</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not</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later</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than</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ten</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working</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days</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after</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receipt</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of</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income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on</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securities</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money</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received</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on</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the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results</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of</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redemption</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of</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securities</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on</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the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monetary</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account</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of</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Depository</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institution</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Depository</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institution</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pays</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income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from</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securities</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money</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received</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by</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Depositor</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on</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the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results</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of</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redemption</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of</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securities</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of</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issuer</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by</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transferring</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money</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to</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the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Depositor’s</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bank</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monetary</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account</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indicated</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in</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the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Depositor’s</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form</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of</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the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account</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in</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securities</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The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above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actions</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Depository</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institution</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performs</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if</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there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are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details</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of</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the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current</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monetary</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bank</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account</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in</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Depositor’s</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form</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of</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the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account</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in</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securities</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at</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the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moment</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of</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receipt</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of</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the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money</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on</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the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monetary</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account</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of</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Depository</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institution</w:t>
            </w:r>
            <w:proofErr w:type="spellEnd"/>
            <w:r w:rsidRPr="00E16672">
              <w:rPr>
                <w:rFonts w:ascii="Times New Roman" w:hAnsi="Times New Roman"/>
                <w:color w:val="000000"/>
                <w:sz w:val="16"/>
                <w:szCs w:val="16"/>
                <w:lang w:val="uk-UA"/>
              </w:rPr>
              <w:t>.</w:t>
            </w:r>
          </w:p>
        </w:tc>
      </w:tr>
      <w:tr w:rsidR="00E22279" w:rsidRPr="00F23413" w14:paraId="11D6BEB0" w14:textId="77777777" w:rsidTr="00D77858">
        <w:tblPrEx>
          <w:tblCellMar>
            <w:left w:w="0" w:type="dxa"/>
            <w:right w:w="0" w:type="dxa"/>
          </w:tblCellMar>
        </w:tblPrEx>
        <w:trPr>
          <w:trHeight w:val="192"/>
        </w:trPr>
        <w:tc>
          <w:tcPr>
            <w:tcW w:w="5696" w:type="dxa"/>
            <w:gridSpan w:val="6"/>
            <w:shd w:val="clear" w:color="auto" w:fill="auto"/>
          </w:tcPr>
          <w:p w14:paraId="1E28C966" w14:textId="77777777" w:rsidR="00F87C5F" w:rsidRDefault="00E22279" w:rsidP="00326563">
            <w:pPr>
              <w:ind w:left="175" w:right="138" w:firstLine="0"/>
              <w:rPr>
                <w:rFonts w:ascii="Times New Roman" w:hAnsi="Times New Roman"/>
                <w:color w:val="000000"/>
                <w:sz w:val="16"/>
                <w:szCs w:val="16"/>
                <w:lang w:val="uk-UA"/>
              </w:rPr>
            </w:pPr>
            <w:r w:rsidRPr="00E16672">
              <w:rPr>
                <w:rFonts w:ascii="Times New Roman" w:hAnsi="Times New Roman"/>
                <w:color w:val="000000"/>
                <w:sz w:val="16"/>
                <w:szCs w:val="16"/>
                <w:lang w:val="uk-UA"/>
              </w:rPr>
              <w:t>1</w:t>
            </w:r>
            <w:r w:rsidR="00326563" w:rsidRPr="00E16672">
              <w:rPr>
                <w:rFonts w:ascii="Times New Roman" w:hAnsi="Times New Roman"/>
                <w:color w:val="000000"/>
                <w:sz w:val="16"/>
                <w:szCs w:val="16"/>
              </w:rPr>
              <w:t>2</w:t>
            </w:r>
            <w:r w:rsidRPr="00E16672">
              <w:rPr>
                <w:rFonts w:ascii="Times New Roman" w:hAnsi="Times New Roman"/>
                <w:color w:val="000000"/>
                <w:sz w:val="16"/>
                <w:szCs w:val="16"/>
                <w:lang w:val="uk-UA"/>
              </w:rPr>
              <w:t>.3. Грошові кошти,</w:t>
            </w:r>
            <w:r w:rsidRPr="00E16672">
              <w:rPr>
                <w:rFonts w:ascii="Times New Roman" w:hAnsi="Times New Roman"/>
                <w:sz w:val="16"/>
                <w:szCs w:val="16"/>
              </w:rPr>
              <w:t xml:space="preserve"> </w:t>
            </w:r>
            <w:proofErr w:type="spellStart"/>
            <w:r w:rsidRPr="00E16672">
              <w:rPr>
                <w:rFonts w:ascii="Times New Roman" w:hAnsi="Times New Roman"/>
                <w:sz w:val="16"/>
                <w:szCs w:val="16"/>
              </w:rPr>
              <w:t>що</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надходять</w:t>
            </w:r>
            <w:proofErr w:type="spellEnd"/>
            <w:r w:rsidRPr="00E16672">
              <w:rPr>
                <w:rFonts w:ascii="Times New Roman" w:hAnsi="Times New Roman"/>
                <w:sz w:val="16"/>
                <w:szCs w:val="16"/>
              </w:rPr>
              <w:t xml:space="preserve"> на </w:t>
            </w:r>
            <w:proofErr w:type="spellStart"/>
            <w:r w:rsidRPr="00E16672">
              <w:rPr>
                <w:rFonts w:ascii="Times New Roman" w:hAnsi="Times New Roman"/>
                <w:sz w:val="16"/>
                <w:szCs w:val="16"/>
              </w:rPr>
              <w:t>поточний</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рахунок</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Депозитарної</w:t>
            </w:r>
            <w:proofErr w:type="spellEnd"/>
            <w:r w:rsidRPr="00E16672">
              <w:rPr>
                <w:rFonts w:ascii="Times New Roman" w:hAnsi="Times New Roman"/>
                <w:sz w:val="16"/>
                <w:szCs w:val="16"/>
              </w:rPr>
              <w:t xml:space="preserve"> установи </w:t>
            </w:r>
            <w:proofErr w:type="spellStart"/>
            <w:r w:rsidRPr="00E16672">
              <w:rPr>
                <w:rFonts w:ascii="Times New Roman" w:hAnsi="Times New Roman"/>
                <w:sz w:val="16"/>
                <w:szCs w:val="16"/>
              </w:rPr>
              <w:t>відповідно</w:t>
            </w:r>
            <w:proofErr w:type="spellEnd"/>
            <w:r w:rsidRPr="00E16672">
              <w:rPr>
                <w:rFonts w:ascii="Times New Roman" w:hAnsi="Times New Roman"/>
                <w:sz w:val="16"/>
                <w:szCs w:val="16"/>
              </w:rPr>
              <w:t xml:space="preserve"> до </w:t>
            </w:r>
            <w:proofErr w:type="spellStart"/>
            <w:r w:rsidRPr="00E16672">
              <w:rPr>
                <w:rFonts w:ascii="Times New Roman" w:hAnsi="Times New Roman"/>
                <w:sz w:val="16"/>
                <w:szCs w:val="16"/>
              </w:rPr>
              <w:t>законодавства</w:t>
            </w:r>
            <w:proofErr w:type="spellEnd"/>
            <w:r w:rsidRPr="00E16672">
              <w:rPr>
                <w:rFonts w:ascii="Times New Roman" w:hAnsi="Times New Roman"/>
                <w:sz w:val="16"/>
                <w:szCs w:val="16"/>
              </w:rPr>
              <w:t xml:space="preserve"> та умов </w:t>
            </w:r>
            <w:proofErr w:type="spellStart"/>
            <w:r w:rsidRPr="00E16672">
              <w:rPr>
                <w:rFonts w:ascii="Times New Roman" w:hAnsi="Times New Roman"/>
                <w:sz w:val="16"/>
                <w:szCs w:val="16"/>
              </w:rPr>
              <w:t>цього</w:t>
            </w:r>
            <w:proofErr w:type="spellEnd"/>
            <w:r w:rsidRPr="00E16672">
              <w:rPr>
                <w:rFonts w:ascii="Times New Roman" w:hAnsi="Times New Roman"/>
                <w:sz w:val="16"/>
                <w:szCs w:val="16"/>
              </w:rPr>
              <w:t xml:space="preserve"> Договору з метою </w:t>
            </w:r>
            <w:proofErr w:type="spellStart"/>
            <w:r w:rsidRPr="00E16672">
              <w:rPr>
                <w:rFonts w:ascii="Times New Roman" w:hAnsi="Times New Roman"/>
                <w:sz w:val="16"/>
                <w:szCs w:val="16"/>
              </w:rPr>
              <w:t>їх</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подальшого</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переказу</w:t>
            </w:r>
            <w:proofErr w:type="spellEnd"/>
            <w:r w:rsidRPr="00E16672">
              <w:rPr>
                <w:rFonts w:ascii="Times New Roman" w:hAnsi="Times New Roman"/>
                <w:sz w:val="16"/>
                <w:szCs w:val="16"/>
              </w:rPr>
              <w:t xml:space="preserve"> Депоненту,</w:t>
            </w:r>
            <w:r w:rsidRPr="00E16672">
              <w:rPr>
                <w:rFonts w:ascii="Times New Roman" w:hAnsi="Times New Roman"/>
                <w:color w:val="000000"/>
                <w:sz w:val="16"/>
                <w:szCs w:val="16"/>
                <w:lang w:val="uk-UA"/>
              </w:rPr>
              <w:t xml:space="preserve"> не є власністю Депозитарної установи.</w:t>
            </w:r>
          </w:p>
          <w:p w14:paraId="4C23BEBF" w14:textId="73C62150" w:rsidR="00E22279" w:rsidRPr="00E16672" w:rsidRDefault="00F87C5F" w:rsidP="00F87C5F">
            <w:pPr>
              <w:ind w:left="175" w:right="138" w:firstLine="431"/>
              <w:rPr>
                <w:rFonts w:ascii="Times New Roman" w:hAnsi="Times New Roman"/>
                <w:color w:val="000000"/>
                <w:sz w:val="16"/>
                <w:szCs w:val="16"/>
                <w:lang w:val="uk-UA"/>
              </w:rPr>
            </w:pPr>
            <w:r w:rsidRPr="00F87C5F">
              <w:rPr>
                <w:rFonts w:ascii="Times New Roman" w:hAnsi="Times New Roman"/>
                <w:color w:val="000000"/>
                <w:sz w:val="16"/>
                <w:szCs w:val="16"/>
                <w:lang w:val="uk-UA"/>
              </w:rPr>
              <w:t>Депозитарна установа повинна переказати кошти, що призначені для виплати за цінними паперами, права на які обліковувались у неї, та не були нею виплачені особам, які мають право на їх отримання, у встановленому законодавством порядку на грошовий рахунок Центрального депозитарію у Розрахунковому центрі з одночасним поданням Центральному депозитарію відповідного повідомлення щодо загальної суми коштів окремо за відповідним випуском цінних паперів та відповідного розпорядження у порядку, визначеному внутрішніми документами Центрального депозитарію.</w:t>
            </w:r>
            <w:r w:rsidR="00E22279" w:rsidRPr="00E16672">
              <w:rPr>
                <w:rFonts w:ascii="Times New Roman" w:hAnsi="Times New Roman"/>
                <w:color w:val="000000"/>
                <w:sz w:val="16"/>
                <w:szCs w:val="16"/>
                <w:lang w:val="uk-UA"/>
              </w:rPr>
              <w:t xml:space="preserve"> </w:t>
            </w:r>
          </w:p>
        </w:tc>
        <w:tc>
          <w:tcPr>
            <w:tcW w:w="5494" w:type="dxa"/>
            <w:gridSpan w:val="7"/>
            <w:shd w:val="clear" w:color="auto" w:fill="auto"/>
          </w:tcPr>
          <w:p w14:paraId="46CE78EE" w14:textId="77777777" w:rsidR="00E22279" w:rsidRDefault="00E22279" w:rsidP="00326563">
            <w:pPr>
              <w:ind w:left="175" w:right="138" w:firstLine="0"/>
              <w:rPr>
                <w:rFonts w:ascii="Times New Roman" w:hAnsi="Times New Roman"/>
                <w:color w:val="000000"/>
                <w:sz w:val="16"/>
                <w:szCs w:val="16"/>
                <w:lang w:val="uk-UA"/>
              </w:rPr>
            </w:pPr>
            <w:r w:rsidRPr="00E16672">
              <w:rPr>
                <w:rFonts w:ascii="Times New Roman" w:hAnsi="Times New Roman"/>
                <w:color w:val="000000"/>
                <w:sz w:val="16"/>
                <w:szCs w:val="16"/>
                <w:lang w:val="uk-UA"/>
              </w:rPr>
              <w:t>1</w:t>
            </w:r>
            <w:r w:rsidR="00326563" w:rsidRPr="00E16672">
              <w:rPr>
                <w:rFonts w:ascii="Times New Roman" w:hAnsi="Times New Roman"/>
                <w:color w:val="000000"/>
                <w:sz w:val="16"/>
                <w:szCs w:val="16"/>
                <w:lang w:val="en-US"/>
              </w:rPr>
              <w:t>2</w:t>
            </w:r>
            <w:r w:rsidRPr="00E16672">
              <w:rPr>
                <w:rFonts w:ascii="Times New Roman" w:hAnsi="Times New Roman"/>
                <w:color w:val="000000"/>
                <w:sz w:val="16"/>
                <w:szCs w:val="16"/>
                <w:lang w:val="uk-UA"/>
              </w:rPr>
              <w:t xml:space="preserve">.3. </w:t>
            </w:r>
            <w:proofErr w:type="spellStart"/>
            <w:r w:rsidRPr="00E16672">
              <w:rPr>
                <w:rFonts w:ascii="Times New Roman" w:hAnsi="Times New Roman"/>
                <w:color w:val="000000"/>
                <w:sz w:val="16"/>
                <w:szCs w:val="16"/>
                <w:lang w:val="uk-UA"/>
              </w:rPr>
              <w:t>The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money</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coming</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to</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the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current</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account</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of</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Depository</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institution</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according</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to</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the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laws</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and</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conditions</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of</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this</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Agreement</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for</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further</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transfer</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to</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the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Depositor</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not</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owned</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to</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Depository</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institution</w:t>
            </w:r>
            <w:proofErr w:type="spellEnd"/>
            <w:r w:rsidRPr="00E16672">
              <w:rPr>
                <w:rFonts w:ascii="Times New Roman" w:hAnsi="Times New Roman"/>
                <w:color w:val="000000"/>
                <w:sz w:val="16"/>
                <w:szCs w:val="16"/>
                <w:lang w:val="uk-UA"/>
              </w:rPr>
              <w:t>.</w:t>
            </w:r>
          </w:p>
          <w:p w14:paraId="125995DB" w14:textId="60105F81" w:rsidR="00F87C5F" w:rsidRPr="00E16672" w:rsidRDefault="00F87C5F" w:rsidP="00326563">
            <w:pPr>
              <w:ind w:left="175" w:right="138" w:firstLine="0"/>
              <w:rPr>
                <w:rFonts w:ascii="Times New Roman" w:hAnsi="Times New Roman"/>
                <w:color w:val="000000"/>
                <w:sz w:val="16"/>
                <w:szCs w:val="16"/>
                <w:lang w:val="uk-UA"/>
              </w:rPr>
            </w:pPr>
            <w:proofErr w:type="spellStart"/>
            <w:r w:rsidRPr="00F87C5F">
              <w:rPr>
                <w:rFonts w:ascii="Times New Roman" w:hAnsi="Times New Roman"/>
                <w:color w:val="000000"/>
                <w:sz w:val="16"/>
                <w:szCs w:val="16"/>
                <w:lang w:val="uk-UA"/>
              </w:rPr>
              <w:t>The</w:t>
            </w:r>
            <w:proofErr w:type="spellEnd"/>
            <w:r w:rsidRPr="00F87C5F">
              <w:rPr>
                <w:rFonts w:ascii="Times New Roman" w:hAnsi="Times New Roman"/>
                <w:color w:val="000000"/>
                <w:sz w:val="16"/>
                <w:szCs w:val="16"/>
                <w:lang w:val="uk-UA"/>
              </w:rPr>
              <w:t xml:space="preserve"> </w:t>
            </w:r>
            <w:proofErr w:type="spellStart"/>
            <w:r w:rsidRPr="00F87C5F">
              <w:rPr>
                <w:rFonts w:ascii="Times New Roman" w:hAnsi="Times New Roman"/>
                <w:color w:val="000000"/>
                <w:sz w:val="16"/>
                <w:szCs w:val="16"/>
                <w:lang w:val="uk-UA"/>
              </w:rPr>
              <w:t>Depository</w:t>
            </w:r>
            <w:proofErr w:type="spellEnd"/>
            <w:r w:rsidRPr="00F87C5F">
              <w:rPr>
                <w:rFonts w:ascii="Times New Roman" w:hAnsi="Times New Roman"/>
                <w:color w:val="000000"/>
                <w:sz w:val="16"/>
                <w:szCs w:val="16"/>
                <w:lang w:val="uk-UA"/>
              </w:rPr>
              <w:t xml:space="preserve"> </w:t>
            </w:r>
            <w:proofErr w:type="spellStart"/>
            <w:r w:rsidRPr="00F87C5F">
              <w:rPr>
                <w:rFonts w:ascii="Times New Roman" w:hAnsi="Times New Roman"/>
                <w:color w:val="000000"/>
                <w:sz w:val="16"/>
                <w:szCs w:val="16"/>
                <w:lang w:val="uk-UA"/>
              </w:rPr>
              <w:t>institution</w:t>
            </w:r>
            <w:proofErr w:type="spellEnd"/>
            <w:r w:rsidRPr="00F87C5F">
              <w:rPr>
                <w:rFonts w:ascii="Times New Roman" w:hAnsi="Times New Roman"/>
                <w:color w:val="000000"/>
                <w:sz w:val="16"/>
                <w:szCs w:val="16"/>
                <w:lang w:val="uk-UA"/>
              </w:rPr>
              <w:t xml:space="preserve"> </w:t>
            </w:r>
            <w:proofErr w:type="spellStart"/>
            <w:r w:rsidRPr="00F87C5F">
              <w:rPr>
                <w:rFonts w:ascii="Times New Roman" w:hAnsi="Times New Roman"/>
                <w:color w:val="000000"/>
                <w:sz w:val="16"/>
                <w:szCs w:val="16"/>
                <w:lang w:val="uk-UA"/>
              </w:rPr>
              <w:t>must</w:t>
            </w:r>
            <w:proofErr w:type="spellEnd"/>
            <w:r w:rsidRPr="00F87C5F">
              <w:rPr>
                <w:rFonts w:ascii="Times New Roman" w:hAnsi="Times New Roman"/>
                <w:color w:val="000000"/>
                <w:sz w:val="16"/>
                <w:szCs w:val="16"/>
                <w:lang w:val="uk-UA"/>
              </w:rPr>
              <w:t xml:space="preserve"> </w:t>
            </w:r>
            <w:proofErr w:type="spellStart"/>
            <w:r w:rsidRPr="00F87C5F">
              <w:rPr>
                <w:rFonts w:ascii="Times New Roman" w:hAnsi="Times New Roman"/>
                <w:color w:val="000000"/>
                <w:sz w:val="16"/>
                <w:szCs w:val="16"/>
                <w:lang w:val="uk-UA"/>
              </w:rPr>
              <w:t>transfer</w:t>
            </w:r>
            <w:proofErr w:type="spellEnd"/>
            <w:r w:rsidRPr="00F87C5F">
              <w:rPr>
                <w:rFonts w:ascii="Times New Roman" w:hAnsi="Times New Roman"/>
                <w:color w:val="000000"/>
                <w:sz w:val="16"/>
                <w:szCs w:val="16"/>
                <w:lang w:val="uk-UA"/>
              </w:rPr>
              <w:t xml:space="preserve"> </w:t>
            </w:r>
            <w:proofErr w:type="spellStart"/>
            <w:r w:rsidRPr="00F87C5F">
              <w:rPr>
                <w:rFonts w:ascii="Times New Roman" w:hAnsi="Times New Roman"/>
                <w:color w:val="000000"/>
                <w:sz w:val="16"/>
                <w:szCs w:val="16"/>
                <w:lang w:val="uk-UA"/>
              </w:rPr>
              <w:t>the</w:t>
            </w:r>
            <w:proofErr w:type="spellEnd"/>
            <w:r w:rsidRPr="00F87C5F">
              <w:rPr>
                <w:rFonts w:ascii="Times New Roman" w:hAnsi="Times New Roman"/>
                <w:color w:val="000000"/>
                <w:sz w:val="16"/>
                <w:szCs w:val="16"/>
                <w:lang w:val="uk-UA"/>
              </w:rPr>
              <w:t xml:space="preserve"> </w:t>
            </w:r>
            <w:proofErr w:type="spellStart"/>
            <w:r w:rsidRPr="00F87C5F">
              <w:rPr>
                <w:rFonts w:ascii="Times New Roman" w:hAnsi="Times New Roman"/>
                <w:color w:val="000000"/>
                <w:sz w:val="16"/>
                <w:szCs w:val="16"/>
                <w:lang w:val="uk-UA"/>
              </w:rPr>
              <w:t>funds</w:t>
            </w:r>
            <w:proofErr w:type="spellEnd"/>
            <w:r w:rsidRPr="00F87C5F">
              <w:rPr>
                <w:rFonts w:ascii="Times New Roman" w:hAnsi="Times New Roman"/>
                <w:color w:val="000000"/>
                <w:sz w:val="16"/>
                <w:szCs w:val="16"/>
                <w:lang w:val="uk-UA"/>
              </w:rPr>
              <w:t xml:space="preserve"> </w:t>
            </w:r>
            <w:proofErr w:type="spellStart"/>
            <w:r w:rsidRPr="00F87C5F">
              <w:rPr>
                <w:rFonts w:ascii="Times New Roman" w:hAnsi="Times New Roman"/>
                <w:color w:val="000000"/>
                <w:sz w:val="16"/>
                <w:szCs w:val="16"/>
                <w:lang w:val="uk-UA"/>
              </w:rPr>
              <w:t>intended</w:t>
            </w:r>
            <w:proofErr w:type="spellEnd"/>
            <w:r w:rsidRPr="00F87C5F">
              <w:rPr>
                <w:rFonts w:ascii="Times New Roman" w:hAnsi="Times New Roman"/>
                <w:color w:val="000000"/>
                <w:sz w:val="16"/>
                <w:szCs w:val="16"/>
                <w:lang w:val="uk-UA"/>
              </w:rPr>
              <w:t xml:space="preserve"> </w:t>
            </w:r>
            <w:proofErr w:type="spellStart"/>
            <w:r w:rsidRPr="00F87C5F">
              <w:rPr>
                <w:rFonts w:ascii="Times New Roman" w:hAnsi="Times New Roman"/>
                <w:color w:val="000000"/>
                <w:sz w:val="16"/>
                <w:szCs w:val="16"/>
                <w:lang w:val="uk-UA"/>
              </w:rPr>
              <w:t>for</w:t>
            </w:r>
            <w:proofErr w:type="spellEnd"/>
            <w:r w:rsidRPr="00F87C5F">
              <w:rPr>
                <w:rFonts w:ascii="Times New Roman" w:hAnsi="Times New Roman"/>
                <w:color w:val="000000"/>
                <w:sz w:val="16"/>
                <w:szCs w:val="16"/>
                <w:lang w:val="uk-UA"/>
              </w:rPr>
              <w:t xml:space="preserve"> </w:t>
            </w:r>
            <w:proofErr w:type="spellStart"/>
            <w:r w:rsidRPr="00F87C5F">
              <w:rPr>
                <w:rFonts w:ascii="Times New Roman" w:hAnsi="Times New Roman"/>
                <w:color w:val="000000"/>
                <w:sz w:val="16"/>
                <w:szCs w:val="16"/>
                <w:lang w:val="uk-UA"/>
              </w:rPr>
              <w:t>payment</w:t>
            </w:r>
            <w:proofErr w:type="spellEnd"/>
            <w:r w:rsidRPr="00F87C5F">
              <w:rPr>
                <w:rFonts w:ascii="Times New Roman" w:hAnsi="Times New Roman"/>
                <w:color w:val="000000"/>
                <w:sz w:val="16"/>
                <w:szCs w:val="16"/>
                <w:lang w:val="uk-UA"/>
              </w:rPr>
              <w:t xml:space="preserve"> </w:t>
            </w:r>
            <w:proofErr w:type="spellStart"/>
            <w:r w:rsidRPr="00F87C5F">
              <w:rPr>
                <w:rFonts w:ascii="Times New Roman" w:hAnsi="Times New Roman"/>
                <w:color w:val="000000"/>
                <w:sz w:val="16"/>
                <w:szCs w:val="16"/>
                <w:lang w:val="uk-UA"/>
              </w:rPr>
              <w:t>on</w:t>
            </w:r>
            <w:proofErr w:type="spellEnd"/>
            <w:r w:rsidRPr="00F87C5F">
              <w:rPr>
                <w:rFonts w:ascii="Times New Roman" w:hAnsi="Times New Roman"/>
                <w:color w:val="000000"/>
                <w:sz w:val="16"/>
                <w:szCs w:val="16"/>
                <w:lang w:val="uk-UA"/>
              </w:rPr>
              <w:t xml:space="preserve"> </w:t>
            </w:r>
            <w:proofErr w:type="spellStart"/>
            <w:r w:rsidRPr="00F87C5F">
              <w:rPr>
                <w:rFonts w:ascii="Times New Roman" w:hAnsi="Times New Roman"/>
                <w:color w:val="000000"/>
                <w:sz w:val="16"/>
                <w:szCs w:val="16"/>
                <w:lang w:val="uk-UA"/>
              </w:rPr>
              <w:t>securities</w:t>
            </w:r>
            <w:proofErr w:type="spellEnd"/>
            <w:r w:rsidRPr="00F87C5F">
              <w:rPr>
                <w:rFonts w:ascii="Times New Roman" w:hAnsi="Times New Roman"/>
                <w:color w:val="000000"/>
                <w:sz w:val="16"/>
                <w:szCs w:val="16"/>
                <w:lang w:val="uk-UA"/>
              </w:rPr>
              <w:t xml:space="preserve">, </w:t>
            </w:r>
            <w:proofErr w:type="spellStart"/>
            <w:r w:rsidRPr="00F87C5F">
              <w:rPr>
                <w:rFonts w:ascii="Times New Roman" w:hAnsi="Times New Roman"/>
                <w:color w:val="000000"/>
                <w:sz w:val="16"/>
                <w:szCs w:val="16"/>
                <w:lang w:val="uk-UA"/>
              </w:rPr>
              <w:t>the</w:t>
            </w:r>
            <w:proofErr w:type="spellEnd"/>
            <w:r w:rsidRPr="00F87C5F">
              <w:rPr>
                <w:rFonts w:ascii="Times New Roman" w:hAnsi="Times New Roman"/>
                <w:color w:val="000000"/>
                <w:sz w:val="16"/>
                <w:szCs w:val="16"/>
                <w:lang w:val="uk-UA"/>
              </w:rPr>
              <w:t xml:space="preserve"> </w:t>
            </w:r>
            <w:proofErr w:type="spellStart"/>
            <w:r w:rsidRPr="00F87C5F">
              <w:rPr>
                <w:rFonts w:ascii="Times New Roman" w:hAnsi="Times New Roman"/>
                <w:color w:val="000000"/>
                <w:sz w:val="16"/>
                <w:szCs w:val="16"/>
                <w:lang w:val="uk-UA"/>
              </w:rPr>
              <w:t>rights</w:t>
            </w:r>
            <w:proofErr w:type="spellEnd"/>
            <w:r w:rsidRPr="00F87C5F">
              <w:rPr>
                <w:rFonts w:ascii="Times New Roman" w:hAnsi="Times New Roman"/>
                <w:color w:val="000000"/>
                <w:sz w:val="16"/>
                <w:szCs w:val="16"/>
                <w:lang w:val="uk-UA"/>
              </w:rPr>
              <w:t xml:space="preserve"> </w:t>
            </w:r>
            <w:proofErr w:type="spellStart"/>
            <w:r w:rsidRPr="00F87C5F">
              <w:rPr>
                <w:rFonts w:ascii="Times New Roman" w:hAnsi="Times New Roman"/>
                <w:color w:val="000000"/>
                <w:sz w:val="16"/>
                <w:szCs w:val="16"/>
                <w:lang w:val="uk-UA"/>
              </w:rPr>
              <w:t>to</w:t>
            </w:r>
            <w:proofErr w:type="spellEnd"/>
            <w:r w:rsidRPr="00F87C5F">
              <w:rPr>
                <w:rFonts w:ascii="Times New Roman" w:hAnsi="Times New Roman"/>
                <w:color w:val="000000"/>
                <w:sz w:val="16"/>
                <w:szCs w:val="16"/>
                <w:lang w:val="uk-UA"/>
              </w:rPr>
              <w:t xml:space="preserve"> </w:t>
            </w:r>
            <w:proofErr w:type="spellStart"/>
            <w:r w:rsidRPr="00F87C5F">
              <w:rPr>
                <w:rFonts w:ascii="Times New Roman" w:hAnsi="Times New Roman"/>
                <w:color w:val="000000"/>
                <w:sz w:val="16"/>
                <w:szCs w:val="16"/>
                <w:lang w:val="uk-UA"/>
              </w:rPr>
              <w:t>which</w:t>
            </w:r>
            <w:proofErr w:type="spellEnd"/>
            <w:r w:rsidRPr="00F87C5F">
              <w:rPr>
                <w:rFonts w:ascii="Times New Roman" w:hAnsi="Times New Roman"/>
                <w:color w:val="000000"/>
                <w:sz w:val="16"/>
                <w:szCs w:val="16"/>
                <w:lang w:val="uk-UA"/>
              </w:rPr>
              <w:t xml:space="preserve"> </w:t>
            </w:r>
            <w:proofErr w:type="spellStart"/>
            <w:r w:rsidRPr="00F87C5F">
              <w:rPr>
                <w:rFonts w:ascii="Times New Roman" w:hAnsi="Times New Roman"/>
                <w:color w:val="000000"/>
                <w:sz w:val="16"/>
                <w:szCs w:val="16"/>
                <w:lang w:val="uk-UA"/>
              </w:rPr>
              <w:t>were</w:t>
            </w:r>
            <w:proofErr w:type="spellEnd"/>
            <w:r w:rsidRPr="00F87C5F">
              <w:rPr>
                <w:rFonts w:ascii="Times New Roman" w:hAnsi="Times New Roman"/>
                <w:color w:val="000000"/>
                <w:sz w:val="16"/>
                <w:szCs w:val="16"/>
                <w:lang w:val="uk-UA"/>
              </w:rPr>
              <w:t xml:space="preserve"> </w:t>
            </w:r>
            <w:proofErr w:type="spellStart"/>
            <w:r w:rsidRPr="00F87C5F">
              <w:rPr>
                <w:rFonts w:ascii="Times New Roman" w:hAnsi="Times New Roman"/>
                <w:color w:val="000000"/>
                <w:sz w:val="16"/>
                <w:szCs w:val="16"/>
                <w:lang w:val="uk-UA"/>
              </w:rPr>
              <w:t>registered</w:t>
            </w:r>
            <w:proofErr w:type="spellEnd"/>
            <w:r w:rsidRPr="00F87C5F">
              <w:rPr>
                <w:rFonts w:ascii="Times New Roman" w:hAnsi="Times New Roman"/>
                <w:color w:val="000000"/>
                <w:sz w:val="16"/>
                <w:szCs w:val="16"/>
                <w:lang w:val="uk-UA"/>
              </w:rPr>
              <w:t xml:space="preserve"> </w:t>
            </w:r>
            <w:proofErr w:type="spellStart"/>
            <w:r w:rsidRPr="00F87C5F">
              <w:rPr>
                <w:rFonts w:ascii="Times New Roman" w:hAnsi="Times New Roman"/>
                <w:color w:val="000000"/>
                <w:sz w:val="16"/>
                <w:szCs w:val="16"/>
                <w:lang w:val="uk-UA"/>
              </w:rPr>
              <w:t>in</w:t>
            </w:r>
            <w:proofErr w:type="spellEnd"/>
            <w:r w:rsidRPr="00F87C5F">
              <w:rPr>
                <w:rFonts w:ascii="Times New Roman" w:hAnsi="Times New Roman"/>
                <w:color w:val="000000"/>
                <w:sz w:val="16"/>
                <w:szCs w:val="16"/>
                <w:lang w:val="uk-UA"/>
              </w:rPr>
              <w:t xml:space="preserve"> </w:t>
            </w:r>
            <w:proofErr w:type="spellStart"/>
            <w:r w:rsidRPr="00F87C5F">
              <w:rPr>
                <w:rFonts w:ascii="Times New Roman" w:hAnsi="Times New Roman"/>
                <w:color w:val="000000"/>
                <w:sz w:val="16"/>
                <w:szCs w:val="16"/>
                <w:lang w:val="uk-UA"/>
              </w:rPr>
              <w:t>it</w:t>
            </w:r>
            <w:proofErr w:type="spellEnd"/>
            <w:r w:rsidRPr="00F87C5F">
              <w:rPr>
                <w:rFonts w:ascii="Times New Roman" w:hAnsi="Times New Roman"/>
                <w:color w:val="000000"/>
                <w:sz w:val="16"/>
                <w:szCs w:val="16"/>
                <w:lang w:val="uk-UA"/>
              </w:rPr>
              <w:t xml:space="preserve">, </w:t>
            </w:r>
            <w:proofErr w:type="spellStart"/>
            <w:r w:rsidRPr="00F87C5F">
              <w:rPr>
                <w:rFonts w:ascii="Times New Roman" w:hAnsi="Times New Roman"/>
                <w:color w:val="000000"/>
                <w:sz w:val="16"/>
                <w:szCs w:val="16"/>
                <w:lang w:val="uk-UA"/>
              </w:rPr>
              <w:t>but</w:t>
            </w:r>
            <w:proofErr w:type="spellEnd"/>
            <w:r w:rsidRPr="00F87C5F">
              <w:rPr>
                <w:rFonts w:ascii="Times New Roman" w:hAnsi="Times New Roman"/>
                <w:color w:val="000000"/>
                <w:sz w:val="16"/>
                <w:szCs w:val="16"/>
                <w:lang w:val="uk-UA"/>
              </w:rPr>
              <w:t xml:space="preserve"> </w:t>
            </w:r>
            <w:proofErr w:type="spellStart"/>
            <w:r w:rsidRPr="00F87C5F">
              <w:rPr>
                <w:rFonts w:ascii="Times New Roman" w:hAnsi="Times New Roman"/>
                <w:color w:val="000000"/>
                <w:sz w:val="16"/>
                <w:szCs w:val="16"/>
                <w:lang w:val="uk-UA"/>
              </w:rPr>
              <w:t>were</w:t>
            </w:r>
            <w:proofErr w:type="spellEnd"/>
            <w:r w:rsidRPr="00F87C5F">
              <w:rPr>
                <w:rFonts w:ascii="Times New Roman" w:hAnsi="Times New Roman"/>
                <w:color w:val="000000"/>
                <w:sz w:val="16"/>
                <w:szCs w:val="16"/>
                <w:lang w:val="uk-UA"/>
              </w:rPr>
              <w:t xml:space="preserve"> </w:t>
            </w:r>
            <w:proofErr w:type="spellStart"/>
            <w:r w:rsidRPr="00F87C5F">
              <w:rPr>
                <w:rFonts w:ascii="Times New Roman" w:hAnsi="Times New Roman"/>
                <w:color w:val="000000"/>
                <w:sz w:val="16"/>
                <w:szCs w:val="16"/>
                <w:lang w:val="uk-UA"/>
              </w:rPr>
              <w:t>not</w:t>
            </w:r>
            <w:proofErr w:type="spellEnd"/>
            <w:r w:rsidRPr="00F87C5F">
              <w:rPr>
                <w:rFonts w:ascii="Times New Roman" w:hAnsi="Times New Roman"/>
                <w:color w:val="000000"/>
                <w:sz w:val="16"/>
                <w:szCs w:val="16"/>
                <w:lang w:val="uk-UA"/>
              </w:rPr>
              <w:t xml:space="preserve"> </w:t>
            </w:r>
            <w:proofErr w:type="spellStart"/>
            <w:r w:rsidRPr="00F87C5F">
              <w:rPr>
                <w:rFonts w:ascii="Times New Roman" w:hAnsi="Times New Roman"/>
                <w:color w:val="000000"/>
                <w:sz w:val="16"/>
                <w:szCs w:val="16"/>
                <w:lang w:val="uk-UA"/>
              </w:rPr>
              <w:t>paid</w:t>
            </w:r>
            <w:proofErr w:type="spellEnd"/>
            <w:r w:rsidRPr="00F87C5F">
              <w:rPr>
                <w:rFonts w:ascii="Times New Roman" w:hAnsi="Times New Roman"/>
                <w:color w:val="000000"/>
                <w:sz w:val="16"/>
                <w:szCs w:val="16"/>
                <w:lang w:val="uk-UA"/>
              </w:rPr>
              <w:t xml:space="preserve"> </w:t>
            </w:r>
            <w:proofErr w:type="spellStart"/>
            <w:r w:rsidRPr="00F87C5F">
              <w:rPr>
                <w:rFonts w:ascii="Times New Roman" w:hAnsi="Times New Roman"/>
                <w:color w:val="000000"/>
                <w:sz w:val="16"/>
                <w:szCs w:val="16"/>
                <w:lang w:val="uk-UA"/>
              </w:rPr>
              <w:t>by</w:t>
            </w:r>
            <w:proofErr w:type="spellEnd"/>
            <w:r w:rsidRPr="00F87C5F">
              <w:rPr>
                <w:rFonts w:ascii="Times New Roman" w:hAnsi="Times New Roman"/>
                <w:color w:val="000000"/>
                <w:sz w:val="16"/>
                <w:szCs w:val="16"/>
                <w:lang w:val="uk-UA"/>
              </w:rPr>
              <w:t xml:space="preserve"> </w:t>
            </w:r>
            <w:proofErr w:type="spellStart"/>
            <w:r w:rsidRPr="00F87C5F">
              <w:rPr>
                <w:rFonts w:ascii="Times New Roman" w:hAnsi="Times New Roman"/>
                <w:color w:val="000000"/>
                <w:sz w:val="16"/>
                <w:szCs w:val="16"/>
                <w:lang w:val="uk-UA"/>
              </w:rPr>
              <w:t>it</w:t>
            </w:r>
            <w:proofErr w:type="spellEnd"/>
            <w:r w:rsidRPr="00F87C5F">
              <w:rPr>
                <w:rFonts w:ascii="Times New Roman" w:hAnsi="Times New Roman"/>
                <w:color w:val="000000"/>
                <w:sz w:val="16"/>
                <w:szCs w:val="16"/>
                <w:lang w:val="uk-UA"/>
              </w:rPr>
              <w:t xml:space="preserve"> </w:t>
            </w:r>
            <w:proofErr w:type="spellStart"/>
            <w:r w:rsidRPr="00F87C5F">
              <w:rPr>
                <w:rFonts w:ascii="Times New Roman" w:hAnsi="Times New Roman"/>
                <w:color w:val="000000"/>
                <w:sz w:val="16"/>
                <w:szCs w:val="16"/>
                <w:lang w:val="uk-UA"/>
              </w:rPr>
              <w:t>to</w:t>
            </w:r>
            <w:proofErr w:type="spellEnd"/>
            <w:r w:rsidRPr="00F87C5F">
              <w:rPr>
                <w:rFonts w:ascii="Times New Roman" w:hAnsi="Times New Roman"/>
                <w:color w:val="000000"/>
                <w:sz w:val="16"/>
                <w:szCs w:val="16"/>
                <w:lang w:val="uk-UA"/>
              </w:rPr>
              <w:t xml:space="preserve"> </w:t>
            </w:r>
            <w:proofErr w:type="spellStart"/>
            <w:r w:rsidRPr="00F87C5F">
              <w:rPr>
                <w:rFonts w:ascii="Times New Roman" w:hAnsi="Times New Roman"/>
                <w:color w:val="000000"/>
                <w:sz w:val="16"/>
                <w:szCs w:val="16"/>
                <w:lang w:val="uk-UA"/>
              </w:rPr>
              <w:t>the</w:t>
            </w:r>
            <w:proofErr w:type="spellEnd"/>
            <w:r w:rsidRPr="00F87C5F">
              <w:rPr>
                <w:rFonts w:ascii="Times New Roman" w:hAnsi="Times New Roman"/>
                <w:color w:val="000000"/>
                <w:sz w:val="16"/>
                <w:szCs w:val="16"/>
                <w:lang w:val="uk-UA"/>
              </w:rPr>
              <w:t xml:space="preserve"> </w:t>
            </w:r>
            <w:proofErr w:type="spellStart"/>
            <w:r w:rsidRPr="00F87C5F">
              <w:rPr>
                <w:rFonts w:ascii="Times New Roman" w:hAnsi="Times New Roman"/>
                <w:color w:val="000000"/>
                <w:sz w:val="16"/>
                <w:szCs w:val="16"/>
                <w:lang w:val="uk-UA"/>
              </w:rPr>
              <w:t>persons</w:t>
            </w:r>
            <w:proofErr w:type="spellEnd"/>
            <w:r w:rsidRPr="00F87C5F">
              <w:rPr>
                <w:rFonts w:ascii="Times New Roman" w:hAnsi="Times New Roman"/>
                <w:color w:val="000000"/>
                <w:sz w:val="16"/>
                <w:szCs w:val="16"/>
                <w:lang w:val="uk-UA"/>
              </w:rPr>
              <w:t xml:space="preserve"> </w:t>
            </w:r>
            <w:proofErr w:type="spellStart"/>
            <w:r w:rsidRPr="00F87C5F">
              <w:rPr>
                <w:rFonts w:ascii="Times New Roman" w:hAnsi="Times New Roman"/>
                <w:color w:val="000000"/>
                <w:sz w:val="16"/>
                <w:szCs w:val="16"/>
                <w:lang w:val="uk-UA"/>
              </w:rPr>
              <w:t>entitled</w:t>
            </w:r>
            <w:proofErr w:type="spellEnd"/>
            <w:r w:rsidRPr="00F87C5F">
              <w:rPr>
                <w:rFonts w:ascii="Times New Roman" w:hAnsi="Times New Roman"/>
                <w:color w:val="000000"/>
                <w:sz w:val="16"/>
                <w:szCs w:val="16"/>
                <w:lang w:val="uk-UA"/>
              </w:rPr>
              <w:t xml:space="preserve"> </w:t>
            </w:r>
            <w:proofErr w:type="spellStart"/>
            <w:r w:rsidRPr="00F87C5F">
              <w:rPr>
                <w:rFonts w:ascii="Times New Roman" w:hAnsi="Times New Roman"/>
                <w:color w:val="000000"/>
                <w:sz w:val="16"/>
                <w:szCs w:val="16"/>
                <w:lang w:val="uk-UA"/>
              </w:rPr>
              <w:t>to</w:t>
            </w:r>
            <w:proofErr w:type="spellEnd"/>
            <w:r w:rsidRPr="00F87C5F">
              <w:rPr>
                <w:rFonts w:ascii="Times New Roman" w:hAnsi="Times New Roman"/>
                <w:color w:val="000000"/>
                <w:sz w:val="16"/>
                <w:szCs w:val="16"/>
                <w:lang w:val="uk-UA"/>
              </w:rPr>
              <w:t xml:space="preserve"> </w:t>
            </w:r>
            <w:proofErr w:type="spellStart"/>
            <w:r w:rsidRPr="00F87C5F">
              <w:rPr>
                <w:rFonts w:ascii="Times New Roman" w:hAnsi="Times New Roman"/>
                <w:color w:val="000000"/>
                <w:sz w:val="16"/>
                <w:szCs w:val="16"/>
                <w:lang w:val="uk-UA"/>
              </w:rPr>
              <w:t>receive</w:t>
            </w:r>
            <w:proofErr w:type="spellEnd"/>
            <w:r w:rsidRPr="00F87C5F">
              <w:rPr>
                <w:rFonts w:ascii="Times New Roman" w:hAnsi="Times New Roman"/>
                <w:color w:val="000000"/>
                <w:sz w:val="16"/>
                <w:szCs w:val="16"/>
                <w:lang w:val="uk-UA"/>
              </w:rPr>
              <w:t xml:space="preserve"> </w:t>
            </w:r>
            <w:proofErr w:type="spellStart"/>
            <w:r w:rsidRPr="00F87C5F">
              <w:rPr>
                <w:rFonts w:ascii="Times New Roman" w:hAnsi="Times New Roman"/>
                <w:color w:val="000000"/>
                <w:sz w:val="16"/>
                <w:szCs w:val="16"/>
                <w:lang w:val="uk-UA"/>
              </w:rPr>
              <w:t>them</w:t>
            </w:r>
            <w:proofErr w:type="spellEnd"/>
            <w:r w:rsidRPr="00F87C5F">
              <w:rPr>
                <w:rFonts w:ascii="Times New Roman" w:hAnsi="Times New Roman"/>
                <w:color w:val="000000"/>
                <w:sz w:val="16"/>
                <w:szCs w:val="16"/>
                <w:lang w:val="uk-UA"/>
              </w:rPr>
              <w:t xml:space="preserve">, </w:t>
            </w:r>
            <w:proofErr w:type="spellStart"/>
            <w:r w:rsidRPr="00F87C5F">
              <w:rPr>
                <w:rFonts w:ascii="Times New Roman" w:hAnsi="Times New Roman"/>
                <w:color w:val="000000"/>
                <w:sz w:val="16"/>
                <w:szCs w:val="16"/>
                <w:lang w:val="uk-UA"/>
              </w:rPr>
              <w:t>in</w:t>
            </w:r>
            <w:proofErr w:type="spellEnd"/>
            <w:r w:rsidRPr="00F87C5F">
              <w:rPr>
                <w:rFonts w:ascii="Times New Roman" w:hAnsi="Times New Roman"/>
                <w:color w:val="000000"/>
                <w:sz w:val="16"/>
                <w:szCs w:val="16"/>
                <w:lang w:val="uk-UA"/>
              </w:rPr>
              <w:t xml:space="preserve"> </w:t>
            </w:r>
            <w:proofErr w:type="spellStart"/>
            <w:r w:rsidRPr="00F87C5F">
              <w:rPr>
                <w:rFonts w:ascii="Times New Roman" w:hAnsi="Times New Roman"/>
                <w:color w:val="000000"/>
                <w:sz w:val="16"/>
                <w:szCs w:val="16"/>
                <w:lang w:val="uk-UA"/>
              </w:rPr>
              <w:t>the</w:t>
            </w:r>
            <w:proofErr w:type="spellEnd"/>
            <w:r w:rsidRPr="00F87C5F">
              <w:rPr>
                <w:rFonts w:ascii="Times New Roman" w:hAnsi="Times New Roman"/>
                <w:color w:val="000000"/>
                <w:sz w:val="16"/>
                <w:szCs w:val="16"/>
                <w:lang w:val="uk-UA"/>
              </w:rPr>
              <w:t xml:space="preserve"> </w:t>
            </w:r>
            <w:proofErr w:type="spellStart"/>
            <w:r w:rsidRPr="00F87C5F">
              <w:rPr>
                <w:rFonts w:ascii="Times New Roman" w:hAnsi="Times New Roman"/>
                <w:color w:val="000000"/>
                <w:sz w:val="16"/>
                <w:szCs w:val="16"/>
                <w:lang w:val="uk-UA"/>
              </w:rPr>
              <w:t>manner</w:t>
            </w:r>
            <w:proofErr w:type="spellEnd"/>
            <w:r w:rsidRPr="00F87C5F">
              <w:rPr>
                <w:rFonts w:ascii="Times New Roman" w:hAnsi="Times New Roman"/>
                <w:color w:val="000000"/>
                <w:sz w:val="16"/>
                <w:szCs w:val="16"/>
                <w:lang w:val="uk-UA"/>
              </w:rPr>
              <w:t xml:space="preserve"> </w:t>
            </w:r>
            <w:proofErr w:type="spellStart"/>
            <w:r w:rsidRPr="00F87C5F">
              <w:rPr>
                <w:rFonts w:ascii="Times New Roman" w:hAnsi="Times New Roman"/>
                <w:color w:val="000000"/>
                <w:sz w:val="16"/>
                <w:szCs w:val="16"/>
                <w:lang w:val="uk-UA"/>
              </w:rPr>
              <w:t>prescribed</w:t>
            </w:r>
            <w:proofErr w:type="spellEnd"/>
            <w:r w:rsidRPr="00F87C5F">
              <w:rPr>
                <w:rFonts w:ascii="Times New Roman" w:hAnsi="Times New Roman"/>
                <w:color w:val="000000"/>
                <w:sz w:val="16"/>
                <w:szCs w:val="16"/>
                <w:lang w:val="uk-UA"/>
              </w:rPr>
              <w:t xml:space="preserve"> </w:t>
            </w:r>
            <w:proofErr w:type="spellStart"/>
            <w:r w:rsidRPr="00F87C5F">
              <w:rPr>
                <w:rFonts w:ascii="Times New Roman" w:hAnsi="Times New Roman"/>
                <w:color w:val="000000"/>
                <w:sz w:val="16"/>
                <w:szCs w:val="16"/>
                <w:lang w:val="uk-UA"/>
              </w:rPr>
              <w:t>by</w:t>
            </w:r>
            <w:proofErr w:type="spellEnd"/>
            <w:r w:rsidRPr="00F87C5F">
              <w:rPr>
                <w:rFonts w:ascii="Times New Roman" w:hAnsi="Times New Roman"/>
                <w:color w:val="000000"/>
                <w:sz w:val="16"/>
                <w:szCs w:val="16"/>
                <w:lang w:val="uk-UA"/>
              </w:rPr>
              <w:t xml:space="preserve"> </w:t>
            </w:r>
            <w:proofErr w:type="spellStart"/>
            <w:r w:rsidRPr="00F87C5F">
              <w:rPr>
                <w:rFonts w:ascii="Times New Roman" w:hAnsi="Times New Roman"/>
                <w:color w:val="000000"/>
                <w:sz w:val="16"/>
                <w:szCs w:val="16"/>
                <w:lang w:val="uk-UA"/>
              </w:rPr>
              <w:t>law</w:t>
            </w:r>
            <w:proofErr w:type="spellEnd"/>
            <w:r w:rsidRPr="00F87C5F">
              <w:rPr>
                <w:rFonts w:ascii="Times New Roman" w:hAnsi="Times New Roman"/>
                <w:color w:val="000000"/>
                <w:sz w:val="16"/>
                <w:szCs w:val="16"/>
                <w:lang w:val="uk-UA"/>
              </w:rPr>
              <w:t xml:space="preserve"> </w:t>
            </w:r>
            <w:proofErr w:type="spellStart"/>
            <w:r w:rsidRPr="00F87C5F">
              <w:rPr>
                <w:rFonts w:ascii="Times New Roman" w:hAnsi="Times New Roman"/>
                <w:color w:val="000000"/>
                <w:sz w:val="16"/>
                <w:szCs w:val="16"/>
                <w:lang w:val="uk-UA"/>
              </w:rPr>
              <w:t>to</w:t>
            </w:r>
            <w:proofErr w:type="spellEnd"/>
            <w:r w:rsidRPr="00F87C5F">
              <w:rPr>
                <w:rFonts w:ascii="Times New Roman" w:hAnsi="Times New Roman"/>
                <w:color w:val="000000"/>
                <w:sz w:val="16"/>
                <w:szCs w:val="16"/>
                <w:lang w:val="uk-UA"/>
              </w:rPr>
              <w:t xml:space="preserve"> </w:t>
            </w:r>
            <w:proofErr w:type="spellStart"/>
            <w:r w:rsidRPr="00F87C5F">
              <w:rPr>
                <w:rFonts w:ascii="Times New Roman" w:hAnsi="Times New Roman"/>
                <w:color w:val="000000"/>
                <w:sz w:val="16"/>
                <w:szCs w:val="16"/>
                <w:lang w:val="uk-UA"/>
              </w:rPr>
              <w:t>the</w:t>
            </w:r>
            <w:proofErr w:type="spellEnd"/>
            <w:r w:rsidRPr="00F87C5F">
              <w:rPr>
                <w:rFonts w:ascii="Times New Roman" w:hAnsi="Times New Roman"/>
                <w:color w:val="000000"/>
                <w:sz w:val="16"/>
                <w:szCs w:val="16"/>
                <w:lang w:val="uk-UA"/>
              </w:rPr>
              <w:t xml:space="preserve"> </w:t>
            </w:r>
            <w:proofErr w:type="spellStart"/>
            <w:r w:rsidRPr="00F87C5F">
              <w:rPr>
                <w:rFonts w:ascii="Times New Roman" w:hAnsi="Times New Roman"/>
                <w:color w:val="000000"/>
                <w:sz w:val="16"/>
                <w:szCs w:val="16"/>
                <w:lang w:val="uk-UA"/>
              </w:rPr>
              <w:t>money</w:t>
            </w:r>
            <w:proofErr w:type="spellEnd"/>
            <w:r w:rsidRPr="00F87C5F">
              <w:rPr>
                <w:rFonts w:ascii="Times New Roman" w:hAnsi="Times New Roman"/>
                <w:color w:val="000000"/>
                <w:sz w:val="16"/>
                <w:szCs w:val="16"/>
                <w:lang w:val="uk-UA"/>
              </w:rPr>
              <w:t xml:space="preserve"> </w:t>
            </w:r>
            <w:proofErr w:type="spellStart"/>
            <w:r w:rsidRPr="00F87C5F">
              <w:rPr>
                <w:rFonts w:ascii="Times New Roman" w:hAnsi="Times New Roman"/>
                <w:color w:val="000000"/>
                <w:sz w:val="16"/>
                <w:szCs w:val="16"/>
                <w:lang w:val="uk-UA"/>
              </w:rPr>
              <w:t>account</w:t>
            </w:r>
            <w:proofErr w:type="spellEnd"/>
            <w:r w:rsidRPr="00F87C5F">
              <w:rPr>
                <w:rFonts w:ascii="Times New Roman" w:hAnsi="Times New Roman"/>
                <w:color w:val="000000"/>
                <w:sz w:val="16"/>
                <w:szCs w:val="16"/>
                <w:lang w:val="uk-UA"/>
              </w:rPr>
              <w:t xml:space="preserve"> </w:t>
            </w:r>
            <w:proofErr w:type="spellStart"/>
            <w:r w:rsidRPr="00F87C5F">
              <w:rPr>
                <w:rFonts w:ascii="Times New Roman" w:hAnsi="Times New Roman"/>
                <w:color w:val="000000"/>
                <w:sz w:val="16"/>
                <w:szCs w:val="16"/>
                <w:lang w:val="uk-UA"/>
              </w:rPr>
              <w:t>of</w:t>
            </w:r>
            <w:proofErr w:type="spellEnd"/>
            <w:r w:rsidRPr="00F87C5F">
              <w:rPr>
                <w:rFonts w:ascii="Times New Roman" w:hAnsi="Times New Roman"/>
                <w:color w:val="000000"/>
                <w:sz w:val="16"/>
                <w:szCs w:val="16"/>
                <w:lang w:val="uk-UA"/>
              </w:rPr>
              <w:t xml:space="preserve"> </w:t>
            </w:r>
            <w:proofErr w:type="spellStart"/>
            <w:r w:rsidRPr="00F87C5F">
              <w:rPr>
                <w:rFonts w:ascii="Times New Roman" w:hAnsi="Times New Roman"/>
                <w:color w:val="000000"/>
                <w:sz w:val="16"/>
                <w:szCs w:val="16"/>
                <w:lang w:val="uk-UA"/>
              </w:rPr>
              <w:t>the</w:t>
            </w:r>
            <w:proofErr w:type="spellEnd"/>
            <w:r w:rsidRPr="00F87C5F">
              <w:rPr>
                <w:rFonts w:ascii="Times New Roman" w:hAnsi="Times New Roman"/>
                <w:color w:val="000000"/>
                <w:sz w:val="16"/>
                <w:szCs w:val="16"/>
                <w:lang w:val="uk-UA"/>
              </w:rPr>
              <w:t xml:space="preserve"> </w:t>
            </w:r>
            <w:proofErr w:type="spellStart"/>
            <w:r w:rsidRPr="00F87C5F">
              <w:rPr>
                <w:rFonts w:ascii="Times New Roman" w:hAnsi="Times New Roman"/>
                <w:color w:val="000000"/>
                <w:sz w:val="16"/>
                <w:szCs w:val="16"/>
                <w:lang w:val="uk-UA"/>
              </w:rPr>
              <w:t>Central</w:t>
            </w:r>
            <w:proofErr w:type="spellEnd"/>
            <w:r w:rsidRPr="00F87C5F">
              <w:rPr>
                <w:rFonts w:ascii="Times New Roman" w:hAnsi="Times New Roman"/>
                <w:color w:val="000000"/>
                <w:sz w:val="16"/>
                <w:szCs w:val="16"/>
                <w:lang w:val="uk-UA"/>
              </w:rPr>
              <w:t xml:space="preserve"> </w:t>
            </w:r>
            <w:proofErr w:type="spellStart"/>
            <w:r w:rsidRPr="00F87C5F">
              <w:rPr>
                <w:rFonts w:ascii="Times New Roman" w:hAnsi="Times New Roman"/>
                <w:color w:val="000000"/>
                <w:sz w:val="16"/>
                <w:szCs w:val="16"/>
                <w:lang w:val="uk-UA"/>
              </w:rPr>
              <w:t>Depository</w:t>
            </w:r>
            <w:proofErr w:type="spellEnd"/>
            <w:r w:rsidRPr="00F87C5F">
              <w:rPr>
                <w:rFonts w:ascii="Times New Roman" w:hAnsi="Times New Roman"/>
                <w:color w:val="000000"/>
                <w:sz w:val="16"/>
                <w:szCs w:val="16"/>
                <w:lang w:val="uk-UA"/>
              </w:rPr>
              <w:t xml:space="preserve"> </w:t>
            </w:r>
            <w:proofErr w:type="spellStart"/>
            <w:r w:rsidRPr="00F87C5F">
              <w:rPr>
                <w:rFonts w:ascii="Times New Roman" w:hAnsi="Times New Roman"/>
                <w:color w:val="000000"/>
                <w:sz w:val="16"/>
                <w:szCs w:val="16"/>
                <w:lang w:val="uk-UA"/>
              </w:rPr>
              <w:t>in</w:t>
            </w:r>
            <w:proofErr w:type="spellEnd"/>
            <w:r w:rsidRPr="00F87C5F">
              <w:rPr>
                <w:rFonts w:ascii="Times New Roman" w:hAnsi="Times New Roman"/>
                <w:color w:val="000000"/>
                <w:sz w:val="16"/>
                <w:szCs w:val="16"/>
                <w:lang w:val="uk-UA"/>
              </w:rPr>
              <w:t xml:space="preserve"> </w:t>
            </w:r>
            <w:proofErr w:type="spellStart"/>
            <w:r w:rsidRPr="00F87C5F">
              <w:rPr>
                <w:rFonts w:ascii="Times New Roman" w:hAnsi="Times New Roman"/>
                <w:color w:val="000000"/>
                <w:sz w:val="16"/>
                <w:szCs w:val="16"/>
                <w:lang w:val="uk-UA"/>
              </w:rPr>
              <w:t>the</w:t>
            </w:r>
            <w:proofErr w:type="spellEnd"/>
            <w:r w:rsidRPr="00F87C5F">
              <w:rPr>
                <w:rFonts w:ascii="Times New Roman" w:hAnsi="Times New Roman"/>
                <w:color w:val="000000"/>
                <w:sz w:val="16"/>
                <w:szCs w:val="16"/>
                <w:lang w:val="uk-UA"/>
              </w:rPr>
              <w:t xml:space="preserve"> </w:t>
            </w:r>
            <w:proofErr w:type="spellStart"/>
            <w:r w:rsidRPr="00F87C5F">
              <w:rPr>
                <w:rFonts w:ascii="Times New Roman" w:hAnsi="Times New Roman"/>
                <w:color w:val="000000"/>
                <w:sz w:val="16"/>
                <w:szCs w:val="16"/>
                <w:lang w:val="uk-UA"/>
              </w:rPr>
              <w:t>Settlement</w:t>
            </w:r>
            <w:proofErr w:type="spellEnd"/>
            <w:r w:rsidRPr="00F87C5F">
              <w:rPr>
                <w:rFonts w:ascii="Times New Roman" w:hAnsi="Times New Roman"/>
                <w:color w:val="000000"/>
                <w:sz w:val="16"/>
                <w:szCs w:val="16"/>
                <w:lang w:val="uk-UA"/>
              </w:rPr>
              <w:t xml:space="preserve"> </w:t>
            </w:r>
            <w:proofErr w:type="spellStart"/>
            <w:r w:rsidRPr="00F87C5F">
              <w:rPr>
                <w:rFonts w:ascii="Times New Roman" w:hAnsi="Times New Roman"/>
                <w:color w:val="000000"/>
                <w:sz w:val="16"/>
                <w:szCs w:val="16"/>
                <w:lang w:val="uk-UA"/>
              </w:rPr>
              <w:t>Center</w:t>
            </w:r>
            <w:proofErr w:type="spellEnd"/>
            <w:r w:rsidRPr="00F87C5F">
              <w:rPr>
                <w:rFonts w:ascii="Times New Roman" w:hAnsi="Times New Roman"/>
                <w:color w:val="000000"/>
                <w:sz w:val="16"/>
                <w:szCs w:val="16"/>
                <w:lang w:val="uk-UA"/>
              </w:rPr>
              <w:t xml:space="preserve">. </w:t>
            </w:r>
            <w:proofErr w:type="spellStart"/>
            <w:r w:rsidRPr="00F87C5F">
              <w:rPr>
                <w:rFonts w:ascii="Times New Roman" w:hAnsi="Times New Roman"/>
                <w:color w:val="000000"/>
                <w:sz w:val="16"/>
                <w:szCs w:val="16"/>
                <w:lang w:val="uk-UA"/>
              </w:rPr>
              <w:t>The</w:t>
            </w:r>
            <w:proofErr w:type="spellEnd"/>
            <w:r w:rsidRPr="00F87C5F">
              <w:rPr>
                <w:rFonts w:ascii="Times New Roman" w:hAnsi="Times New Roman"/>
                <w:color w:val="000000"/>
                <w:sz w:val="16"/>
                <w:szCs w:val="16"/>
                <w:lang w:val="uk-UA"/>
              </w:rPr>
              <w:t xml:space="preserve"> </w:t>
            </w:r>
            <w:proofErr w:type="spellStart"/>
            <w:r w:rsidRPr="00F87C5F">
              <w:rPr>
                <w:rFonts w:ascii="Times New Roman" w:hAnsi="Times New Roman"/>
                <w:color w:val="000000"/>
                <w:sz w:val="16"/>
                <w:szCs w:val="16"/>
                <w:lang w:val="uk-UA"/>
              </w:rPr>
              <w:t>Central</w:t>
            </w:r>
            <w:proofErr w:type="spellEnd"/>
            <w:r w:rsidRPr="00F87C5F">
              <w:rPr>
                <w:rFonts w:ascii="Times New Roman" w:hAnsi="Times New Roman"/>
                <w:color w:val="000000"/>
                <w:sz w:val="16"/>
                <w:szCs w:val="16"/>
                <w:lang w:val="uk-UA"/>
              </w:rPr>
              <w:t xml:space="preserve"> </w:t>
            </w:r>
            <w:proofErr w:type="spellStart"/>
            <w:r w:rsidRPr="00F87C5F">
              <w:rPr>
                <w:rFonts w:ascii="Times New Roman" w:hAnsi="Times New Roman"/>
                <w:color w:val="000000"/>
                <w:sz w:val="16"/>
                <w:szCs w:val="16"/>
                <w:lang w:val="uk-UA"/>
              </w:rPr>
              <w:t>Depository</w:t>
            </w:r>
            <w:proofErr w:type="spellEnd"/>
            <w:r w:rsidRPr="00F87C5F">
              <w:rPr>
                <w:rFonts w:ascii="Times New Roman" w:hAnsi="Times New Roman"/>
                <w:color w:val="000000"/>
                <w:sz w:val="16"/>
                <w:szCs w:val="16"/>
                <w:lang w:val="uk-UA"/>
              </w:rPr>
              <w:t xml:space="preserve"> </w:t>
            </w:r>
            <w:proofErr w:type="spellStart"/>
            <w:r w:rsidRPr="00F87C5F">
              <w:rPr>
                <w:rFonts w:ascii="Times New Roman" w:hAnsi="Times New Roman"/>
                <w:color w:val="000000"/>
                <w:sz w:val="16"/>
                <w:szCs w:val="16"/>
                <w:lang w:val="uk-UA"/>
              </w:rPr>
              <w:t>shall</w:t>
            </w:r>
            <w:proofErr w:type="spellEnd"/>
            <w:r w:rsidRPr="00F87C5F">
              <w:rPr>
                <w:rFonts w:ascii="Times New Roman" w:hAnsi="Times New Roman"/>
                <w:color w:val="000000"/>
                <w:sz w:val="16"/>
                <w:szCs w:val="16"/>
                <w:lang w:val="uk-UA"/>
              </w:rPr>
              <w:t xml:space="preserve"> </w:t>
            </w:r>
            <w:proofErr w:type="spellStart"/>
            <w:r w:rsidRPr="00F87C5F">
              <w:rPr>
                <w:rFonts w:ascii="Times New Roman" w:hAnsi="Times New Roman"/>
                <w:color w:val="000000"/>
                <w:sz w:val="16"/>
                <w:szCs w:val="16"/>
                <w:lang w:val="uk-UA"/>
              </w:rPr>
              <w:t>be</w:t>
            </w:r>
            <w:proofErr w:type="spellEnd"/>
            <w:r w:rsidRPr="00F87C5F">
              <w:rPr>
                <w:rFonts w:ascii="Times New Roman" w:hAnsi="Times New Roman"/>
                <w:color w:val="000000"/>
                <w:sz w:val="16"/>
                <w:szCs w:val="16"/>
                <w:lang w:val="uk-UA"/>
              </w:rPr>
              <w:t xml:space="preserve"> </w:t>
            </w:r>
            <w:proofErr w:type="spellStart"/>
            <w:r w:rsidRPr="00F87C5F">
              <w:rPr>
                <w:rFonts w:ascii="Times New Roman" w:hAnsi="Times New Roman"/>
                <w:color w:val="000000"/>
                <w:sz w:val="16"/>
                <w:szCs w:val="16"/>
                <w:lang w:val="uk-UA"/>
              </w:rPr>
              <w:t>notified</w:t>
            </w:r>
            <w:proofErr w:type="spellEnd"/>
            <w:r w:rsidRPr="00F87C5F">
              <w:rPr>
                <w:rFonts w:ascii="Times New Roman" w:hAnsi="Times New Roman"/>
                <w:color w:val="000000"/>
                <w:sz w:val="16"/>
                <w:szCs w:val="16"/>
                <w:lang w:val="uk-UA"/>
              </w:rPr>
              <w:t xml:space="preserve"> </w:t>
            </w:r>
            <w:proofErr w:type="spellStart"/>
            <w:r w:rsidRPr="00F87C5F">
              <w:rPr>
                <w:rFonts w:ascii="Times New Roman" w:hAnsi="Times New Roman"/>
                <w:color w:val="000000"/>
                <w:sz w:val="16"/>
                <w:szCs w:val="16"/>
                <w:lang w:val="uk-UA"/>
              </w:rPr>
              <w:t>of</w:t>
            </w:r>
            <w:proofErr w:type="spellEnd"/>
            <w:r w:rsidRPr="00F87C5F">
              <w:rPr>
                <w:rFonts w:ascii="Times New Roman" w:hAnsi="Times New Roman"/>
                <w:color w:val="000000"/>
                <w:sz w:val="16"/>
                <w:szCs w:val="16"/>
                <w:lang w:val="uk-UA"/>
              </w:rPr>
              <w:t xml:space="preserve"> </w:t>
            </w:r>
            <w:proofErr w:type="spellStart"/>
            <w:r w:rsidRPr="00F87C5F">
              <w:rPr>
                <w:rFonts w:ascii="Times New Roman" w:hAnsi="Times New Roman"/>
                <w:color w:val="000000"/>
                <w:sz w:val="16"/>
                <w:szCs w:val="16"/>
                <w:lang w:val="uk-UA"/>
              </w:rPr>
              <w:t>the</w:t>
            </w:r>
            <w:proofErr w:type="spellEnd"/>
            <w:r w:rsidRPr="00F87C5F">
              <w:rPr>
                <w:rFonts w:ascii="Times New Roman" w:hAnsi="Times New Roman"/>
                <w:color w:val="000000"/>
                <w:sz w:val="16"/>
                <w:szCs w:val="16"/>
                <w:lang w:val="uk-UA"/>
              </w:rPr>
              <w:t xml:space="preserve"> </w:t>
            </w:r>
            <w:proofErr w:type="spellStart"/>
            <w:r w:rsidRPr="00F87C5F">
              <w:rPr>
                <w:rFonts w:ascii="Times New Roman" w:hAnsi="Times New Roman"/>
                <w:color w:val="000000"/>
                <w:sz w:val="16"/>
                <w:szCs w:val="16"/>
                <w:lang w:val="uk-UA"/>
              </w:rPr>
              <w:t>total</w:t>
            </w:r>
            <w:proofErr w:type="spellEnd"/>
            <w:r w:rsidRPr="00F87C5F">
              <w:rPr>
                <w:rFonts w:ascii="Times New Roman" w:hAnsi="Times New Roman"/>
                <w:color w:val="000000"/>
                <w:sz w:val="16"/>
                <w:szCs w:val="16"/>
                <w:lang w:val="uk-UA"/>
              </w:rPr>
              <w:t xml:space="preserve"> </w:t>
            </w:r>
            <w:proofErr w:type="spellStart"/>
            <w:r w:rsidRPr="00F87C5F">
              <w:rPr>
                <w:rFonts w:ascii="Times New Roman" w:hAnsi="Times New Roman"/>
                <w:color w:val="000000"/>
                <w:sz w:val="16"/>
                <w:szCs w:val="16"/>
                <w:lang w:val="uk-UA"/>
              </w:rPr>
              <w:t>amount</w:t>
            </w:r>
            <w:proofErr w:type="spellEnd"/>
            <w:r w:rsidRPr="00F87C5F">
              <w:rPr>
                <w:rFonts w:ascii="Times New Roman" w:hAnsi="Times New Roman"/>
                <w:color w:val="000000"/>
                <w:sz w:val="16"/>
                <w:szCs w:val="16"/>
                <w:lang w:val="uk-UA"/>
              </w:rPr>
              <w:t xml:space="preserve"> </w:t>
            </w:r>
            <w:proofErr w:type="spellStart"/>
            <w:r w:rsidRPr="00F87C5F">
              <w:rPr>
                <w:rFonts w:ascii="Times New Roman" w:hAnsi="Times New Roman"/>
                <w:color w:val="000000"/>
                <w:sz w:val="16"/>
                <w:szCs w:val="16"/>
                <w:lang w:val="uk-UA"/>
              </w:rPr>
              <w:t>of</w:t>
            </w:r>
            <w:proofErr w:type="spellEnd"/>
            <w:r w:rsidRPr="00F87C5F">
              <w:rPr>
                <w:rFonts w:ascii="Times New Roman" w:hAnsi="Times New Roman"/>
                <w:color w:val="000000"/>
                <w:sz w:val="16"/>
                <w:szCs w:val="16"/>
                <w:lang w:val="uk-UA"/>
              </w:rPr>
              <w:t xml:space="preserve"> </w:t>
            </w:r>
            <w:proofErr w:type="spellStart"/>
            <w:r w:rsidRPr="00F87C5F">
              <w:rPr>
                <w:rFonts w:ascii="Times New Roman" w:hAnsi="Times New Roman"/>
                <w:color w:val="000000"/>
                <w:sz w:val="16"/>
                <w:szCs w:val="16"/>
                <w:lang w:val="uk-UA"/>
              </w:rPr>
              <w:t>funds</w:t>
            </w:r>
            <w:proofErr w:type="spellEnd"/>
            <w:r w:rsidRPr="00F87C5F">
              <w:rPr>
                <w:rFonts w:ascii="Times New Roman" w:hAnsi="Times New Roman"/>
                <w:color w:val="000000"/>
                <w:sz w:val="16"/>
                <w:szCs w:val="16"/>
                <w:lang w:val="uk-UA"/>
              </w:rPr>
              <w:t xml:space="preserve"> </w:t>
            </w:r>
            <w:proofErr w:type="spellStart"/>
            <w:r w:rsidRPr="00F87C5F">
              <w:rPr>
                <w:rFonts w:ascii="Times New Roman" w:hAnsi="Times New Roman"/>
                <w:color w:val="000000"/>
                <w:sz w:val="16"/>
                <w:szCs w:val="16"/>
                <w:lang w:val="uk-UA"/>
              </w:rPr>
              <w:t>separately</w:t>
            </w:r>
            <w:proofErr w:type="spellEnd"/>
            <w:r w:rsidRPr="00F87C5F">
              <w:rPr>
                <w:rFonts w:ascii="Times New Roman" w:hAnsi="Times New Roman"/>
                <w:color w:val="000000"/>
                <w:sz w:val="16"/>
                <w:szCs w:val="16"/>
                <w:lang w:val="uk-UA"/>
              </w:rPr>
              <w:t xml:space="preserve"> </w:t>
            </w:r>
            <w:proofErr w:type="spellStart"/>
            <w:r w:rsidRPr="00F87C5F">
              <w:rPr>
                <w:rFonts w:ascii="Times New Roman" w:hAnsi="Times New Roman"/>
                <w:color w:val="000000"/>
                <w:sz w:val="16"/>
                <w:szCs w:val="16"/>
                <w:lang w:val="uk-UA"/>
              </w:rPr>
              <w:t>for</w:t>
            </w:r>
            <w:proofErr w:type="spellEnd"/>
            <w:r w:rsidRPr="00F87C5F">
              <w:rPr>
                <w:rFonts w:ascii="Times New Roman" w:hAnsi="Times New Roman"/>
                <w:color w:val="000000"/>
                <w:sz w:val="16"/>
                <w:szCs w:val="16"/>
                <w:lang w:val="uk-UA"/>
              </w:rPr>
              <w:t xml:space="preserve"> </w:t>
            </w:r>
            <w:proofErr w:type="spellStart"/>
            <w:r w:rsidRPr="00F87C5F">
              <w:rPr>
                <w:rFonts w:ascii="Times New Roman" w:hAnsi="Times New Roman"/>
                <w:color w:val="000000"/>
                <w:sz w:val="16"/>
                <w:szCs w:val="16"/>
                <w:lang w:val="uk-UA"/>
              </w:rPr>
              <w:t>the</w:t>
            </w:r>
            <w:proofErr w:type="spellEnd"/>
            <w:r w:rsidRPr="00F87C5F">
              <w:rPr>
                <w:rFonts w:ascii="Times New Roman" w:hAnsi="Times New Roman"/>
                <w:color w:val="000000"/>
                <w:sz w:val="16"/>
                <w:szCs w:val="16"/>
                <w:lang w:val="uk-UA"/>
              </w:rPr>
              <w:t xml:space="preserve"> </w:t>
            </w:r>
            <w:proofErr w:type="spellStart"/>
            <w:r w:rsidRPr="00F87C5F">
              <w:rPr>
                <w:rFonts w:ascii="Times New Roman" w:hAnsi="Times New Roman"/>
                <w:color w:val="000000"/>
                <w:sz w:val="16"/>
                <w:szCs w:val="16"/>
                <w:lang w:val="uk-UA"/>
              </w:rPr>
              <w:t>relevant</w:t>
            </w:r>
            <w:proofErr w:type="spellEnd"/>
            <w:r w:rsidRPr="00F87C5F">
              <w:rPr>
                <w:rFonts w:ascii="Times New Roman" w:hAnsi="Times New Roman"/>
                <w:color w:val="000000"/>
                <w:sz w:val="16"/>
                <w:szCs w:val="16"/>
                <w:lang w:val="uk-UA"/>
              </w:rPr>
              <w:t xml:space="preserve"> </w:t>
            </w:r>
            <w:proofErr w:type="spellStart"/>
            <w:r w:rsidRPr="00F87C5F">
              <w:rPr>
                <w:rFonts w:ascii="Times New Roman" w:hAnsi="Times New Roman"/>
                <w:color w:val="000000"/>
                <w:sz w:val="16"/>
                <w:szCs w:val="16"/>
                <w:lang w:val="uk-UA"/>
              </w:rPr>
              <w:t>issue</w:t>
            </w:r>
            <w:proofErr w:type="spellEnd"/>
            <w:r w:rsidRPr="00F87C5F">
              <w:rPr>
                <w:rFonts w:ascii="Times New Roman" w:hAnsi="Times New Roman"/>
                <w:color w:val="000000"/>
                <w:sz w:val="16"/>
                <w:szCs w:val="16"/>
                <w:lang w:val="uk-UA"/>
              </w:rPr>
              <w:t xml:space="preserve"> </w:t>
            </w:r>
            <w:proofErr w:type="spellStart"/>
            <w:r w:rsidRPr="00F87C5F">
              <w:rPr>
                <w:rFonts w:ascii="Times New Roman" w:hAnsi="Times New Roman"/>
                <w:color w:val="000000"/>
                <w:sz w:val="16"/>
                <w:szCs w:val="16"/>
                <w:lang w:val="uk-UA"/>
              </w:rPr>
              <w:t>of</w:t>
            </w:r>
            <w:proofErr w:type="spellEnd"/>
            <w:r w:rsidRPr="00F87C5F">
              <w:rPr>
                <w:rFonts w:ascii="Times New Roman" w:hAnsi="Times New Roman"/>
                <w:color w:val="000000"/>
                <w:sz w:val="16"/>
                <w:szCs w:val="16"/>
                <w:lang w:val="uk-UA"/>
              </w:rPr>
              <w:t xml:space="preserve"> </w:t>
            </w:r>
            <w:proofErr w:type="spellStart"/>
            <w:r w:rsidRPr="00F87C5F">
              <w:rPr>
                <w:rFonts w:ascii="Times New Roman" w:hAnsi="Times New Roman"/>
                <w:color w:val="000000"/>
                <w:sz w:val="16"/>
                <w:szCs w:val="16"/>
                <w:lang w:val="uk-UA"/>
              </w:rPr>
              <w:t>securities</w:t>
            </w:r>
            <w:proofErr w:type="spellEnd"/>
            <w:r w:rsidRPr="00F87C5F">
              <w:rPr>
                <w:rFonts w:ascii="Times New Roman" w:hAnsi="Times New Roman"/>
                <w:color w:val="000000"/>
                <w:sz w:val="16"/>
                <w:szCs w:val="16"/>
                <w:lang w:val="uk-UA"/>
              </w:rPr>
              <w:t xml:space="preserve"> </w:t>
            </w:r>
            <w:proofErr w:type="spellStart"/>
            <w:r w:rsidRPr="00F87C5F">
              <w:rPr>
                <w:rFonts w:ascii="Times New Roman" w:hAnsi="Times New Roman"/>
                <w:color w:val="000000"/>
                <w:sz w:val="16"/>
                <w:szCs w:val="16"/>
                <w:lang w:val="uk-UA"/>
              </w:rPr>
              <w:t>and</w:t>
            </w:r>
            <w:proofErr w:type="spellEnd"/>
            <w:r w:rsidRPr="00F87C5F">
              <w:rPr>
                <w:rFonts w:ascii="Times New Roman" w:hAnsi="Times New Roman"/>
                <w:color w:val="000000"/>
                <w:sz w:val="16"/>
                <w:szCs w:val="16"/>
                <w:lang w:val="uk-UA"/>
              </w:rPr>
              <w:t xml:space="preserve"> </w:t>
            </w:r>
            <w:proofErr w:type="spellStart"/>
            <w:r w:rsidRPr="00F87C5F">
              <w:rPr>
                <w:rFonts w:ascii="Times New Roman" w:hAnsi="Times New Roman"/>
                <w:color w:val="000000"/>
                <w:sz w:val="16"/>
                <w:szCs w:val="16"/>
                <w:lang w:val="uk-UA"/>
              </w:rPr>
              <w:t>the</w:t>
            </w:r>
            <w:proofErr w:type="spellEnd"/>
            <w:r w:rsidRPr="00F87C5F">
              <w:rPr>
                <w:rFonts w:ascii="Times New Roman" w:hAnsi="Times New Roman"/>
                <w:color w:val="000000"/>
                <w:sz w:val="16"/>
                <w:szCs w:val="16"/>
                <w:lang w:val="uk-UA"/>
              </w:rPr>
              <w:t xml:space="preserve"> </w:t>
            </w:r>
            <w:proofErr w:type="spellStart"/>
            <w:r w:rsidRPr="00F87C5F">
              <w:rPr>
                <w:rFonts w:ascii="Times New Roman" w:hAnsi="Times New Roman"/>
                <w:color w:val="000000"/>
                <w:sz w:val="16"/>
                <w:szCs w:val="16"/>
                <w:lang w:val="uk-UA"/>
              </w:rPr>
              <w:t>relevant</w:t>
            </w:r>
            <w:proofErr w:type="spellEnd"/>
            <w:r w:rsidRPr="00F87C5F">
              <w:rPr>
                <w:rFonts w:ascii="Times New Roman" w:hAnsi="Times New Roman"/>
                <w:color w:val="000000"/>
                <w:sz w:val="16"/>
                <w:szCs w:val="16"/>
                <w:lang w:val="uk-UA"/>
              </w:rPr>
              <w:t xml:space="preserve"> </w:t>
            </w:r>
            <w:proofErr w:type="spellStart"/>
            <w:r w:rsidRPr="00F87C5F">
              <w:rPr>
                <w:rFonts w:ascii="Times New Roman" w:hAnsi="Times New Roman"/>
                <w:color w:val="000000"/>
                <w:sz w:val="16"/>
                <w:szCs w:val="16"/>
                <w:lang w:val="uk-UA"/>
              </w:rPr>
              <w:t>order</w:t>
            </w:r>
            <w:proofErr w:type="spellEnd"/>
            <w:r w:rsidRPr="00F87C5F">
              <w:rPr>
                <w:rFonts w:ascii="Times New Roman" w:hAnsi="Times New Roman"/>
                <w:color w:val="000000"/>
                <w:sz w:val="16"/>
                <w:szCs w:val="16"/>
                <w:lang w:val="uk-UA"/>
              </w:rPr>
              <w:t xml:space="preserve"> </w:t>
            </w:r>
            <w:proofErr w:type="spellStart"/>
            <w:r w:rsidRPr="00F87C5F">
              <w:rPr>
                <w:rFonts w:ascii="Times New Roman" w:hAnsi="Times New Roman"/>
                <w:color w:val="000000"/>
                <w:sz w:val="16"/>
                <w:szCs w:val="16"/>
                <w:lang w:val="uk-UA"/>
              </w:rPr>
              <w:t>in</w:t>
            </w:r>
            <w:proofErr w:type="spellEnd"/>
            <w:r w:rsidRPr="00F87C5F">
              <w:rPr>
                <w:rFonts w:ascii="Times New Roman" w:hAnsi="Times New Roman"/>
                <w:color w:val="000000"/>
                <w:sz w:val="16"/>
                <w:szCs w:val="16"/>
                <w:lang w:val="uk-UA"/>
              </w:rPr>
              <w:t xml:space="preserve"> </w:t>
            </w:r>
            <w:proofErr w:type="spellStart"/>
            <w:r w:rsidRPr="00F87C5F">
              <w:rPr>
                <w:rFonts w:ascii="Times New Roman" w:hAnsi="Times New Roman"/>
                <w:color w:val="000000"/>
                <w:sz w:val="16"/>
                <w:szCs w:val="16"/>
                <w:lang w:val="uk-UA"/>
              </w:rPr>
              <w:t>the</w:t>
            </w:r>
            <w:proofErr w:type="spellEnd"/>
            <w:r w:rsidRPr="00F87C5F">
              <w:rPr>
                <w:rFonts w:ascii="Times New Roman" w:hAnsi="Times New Roman"/>
                <w:color w:val="000000"/>
                <w:sz w:val="16"/>
                <w:szCs w:val="16"/>
                <w:lang w:val="uk-UA"/>
              </w:rPr>
              <w:t xml:space="preserve"> </w:t>
            </w:r>
            <w:proofErr w:type="spellStart"/>
            <w:r w:rsidRPr="00F87C5F">
              <w:rPr>
                <w:rFonts w:ascii="Times New Roman" w:hAnsi="Times New Roman"/>
                <w:color w:val="000000"/>
                <w:sz w:val="16"/>
                <w:szCs w:val="16"/>
                <w:lang w:val="uk-UA"/>
              </w:rPr>
              <w:t>manner</w:t>
            </w:r>
            <w:proofErr w:type="spellEnd"/>
            <w:r w:rsidRPr="00F87C5F">
              <w:rPr>
                <w:rFonts w:ascii="Times New Roman" w:hAnsi="Times New Roman"/>
                <w:color w:val="000000"/>
                <w:sz w:val="16"/>
                <w:szCs w:val="16"/>
                <w:lang w:val="uk-UA"/>
              </w:rPr>
              <w:t xml:space="preserve"> </w:t>
            </w:r>
            <w:proofErr w:type="spellStart"/>
            <w:r w:rsidRPr="00F87C5F">
              <w:rPr>
                <w:rFonts w:ascii="Times New Roman" w:hAnsi="Times New Roman"/>
                <w:color w:val="000000"/>
                <w:sz w:val="16"/>
                <w:szCs w:val="16"/>
                <w:lang w:val="uk-UA"/>
              </w:rPr>
              <w:t>prescribed</w:t>
            </w:r>
            <w:proofErr w:type="spellEnd"/>
            <w:r w:rsidRPr="00F87C5F">
              <w:rPr>
                <w:rFonts w:ascii="Times New Roman" w:hAnsi="Times New Roman"/>
                <w:color w:val="000000"/>
                <w:sz w:val="16"/>
                <w:szCs w:val="16"/>
                <w:lang w:val="uk-UA"/>
              </w:rPr>
              <w:t xml:space="preserve"> </w:t>
            </w:r>
            <w:proofErr w:type="spellStart"/>
            <w:r w:rsidRPr="00F87C5F">
              <w:rPr>
                <w:rFonts w:ascii="Times New Roman" w:hAnsi="Times New Roman"/>
                <w:color w:val="000000"/>
                <w:sz w:val="16"/>
                <w:szCs w:val="16"/>
                <w:lang w:val="uk-UA"/>
              </w:rPr>
              <w:t>by</w:t>
            </w:r>
            <w:proofErr w:type="spellEnd"/>
            <w:r w:rsidRPr="00F87C5F">
              <w:rPr>
                <w:rFonts w:ascii="Times New Roman" w:hAnsi="Times New Roman"/>
                <w:color w:val="000000"/>
                <w:sz w:val="16"/>
                <w:szCs w:val="16"/>
                <w:lang w:val="uk-UA"/>
              </w:rPr>
              <w:t xml:space="preserve"> </w:t>
            </w:r>
            <w:proofErr w:type="spellStart"/>
            <w:r w:rsidRPr="00F87C5F">
              <w:rPr>
                <w:rFonts w:ascii="Times New Roman" w:hAnsi="Times New Roman"/>
                <w:color w:val="000000"/>
                <w:sz w:val="16"/>
                <w:szCs w:val="16"/>
                <w:lang w:val="uk-UA"/>
              </w:rPr>
              <w:t>the</w:t>
            </w:r>
            <w:proofErr w:type="spellEnd"/>
            <w:r w:rsidRPr="00F87C5F">
              <w:rPr>
                <w:rFonts w:ascii="Times New Roman" w:hAnsi="Times New Roman"/>
                <w:color w:val="000000"/>
                <w:sz w:val="16"/>
                <w:szCs w:val="16"/>
                <w:lang w:val="uk-UA"/>
              </w:rPr>
              <w:t xml:space="preserve"> </w:t>
            </w:r>
            <w:proofErr w:type="spellStart"/>
            <w:r w:rsidRPr="00F87C5F">
              <w:rPr>
                <w:rFonts w:ascii="Times New Roman" w:hAnsi="Times New Roman"/>
                <w:color w:val="000000"/>
                <w:sz w:val="16"/>
                <w:szCs w:val="16"/>
                <w:lang w:val="uk-UA"/>
              </w:rPr>
              <w:t>internal</w:t>
            </w:r>
            <w:proofErr w:type="spellEnd"/>
            <w:r w:rsidRPr="00F87C5F">
              <w:rPr>
                <w:rFonts w:ascii="Times New Roman" w:hAnsi="Times New Roman"/>
                <w:color w:val="000000"/>
                <w:sz w:val="16"/>
                <w:szCs w:val="16"/>
                <w:lang w:val="uk-UA"/>
              </w:rPr>
              <w:t xml:space="preserve"> </w:t>
            </w:r>
            <w:proofErr w:type="spellStart"/>
            <w:r w:rsidRPr="00F87C5F">
              <w:rPr>
                <w:rFonts w:ascii="Times New Roman" w:hAnsi="Times New Roman"/>
                <w:color w:val="000000"/>
                <w:sz w:val="16"/>
                <w:szCs w:val="16"/>
                <w:lang w:val="uk-UA"/>
              </w:rPr>
              <w:t>documents</w:t>
            </w:r>
            <w:proofErr w:type="spellEnd"/>
            <w:r w:rsidRPr="00F87C5F">
              <w:rPr>
                <w:rFonts w:ascii="Times New Roman" w:hAnsi="Times New Roman"/>
                <w:color w:val="000000"/>
                <w:sz w:val="16"/>
                <w:szCs w:val="16"/>
                <w:lang w:val="uk-UA"/>
              </w:rPr>
              <w:t xml:space="preserve"> </w:t>
            </w:r>
            <w:proofErr w:type="spellStart"/>
            <w:r w:rsidRPr="00F87C5F">
              <w:rPr>
                <w:rFonts w:ascii="Times New Roman" w:hAnsi="Times New Roman"/>
                <w:color w:val="000000"/>
                <w:sz w:val="16"/>
                <w:szCs w:val="16"/>
                <w:lang w:val="uk-UA"/>
              </w:rPr>
              <w:t>of</w:t>
            </w:r>
            <w:proofErr w:type="spellEnd"/>
            <w:r w:rsidRPr="00F87C5F">
              <w:rPr>
                <w:rFonts w:ascii="Times New Roman" w:hAnsi="Times New Roman"/>
                <w:color w:val="000000"/>
                <w:sz w:val="16"/>
                <w:szCs w:val="16"/>
                <w:lang w:val="uk-UA"/>
              </w:rPr>
              <w:t xml:space="preserve"> </w:t>
            </w:r>
            <w:proofErr w:type="spellStart"/>
            <w:r w:rsidRPr="00F87C5F">
              <w:rPr>
                <w:rFonts w:ascii="Times New Roman" w:hAnsi="Times New Roman"/>
                <w:color w:val="000000"/>
                <w:sz w:val="16"/>
                <w:szCs w:val="16"/>
                <w:lang w:val="uk-UA"/>
              </w:rPr>
              <w:t>the</w:t>
            </w:r>
            <w:proofErr w:type="spellEnd"/>
            <w:r w:rsidRPr="00F87C5F">
              <w:rPr>
                <w:rFonts w:ascii="Times New Roman" w:hAnsi="Times New Roman"/>
                <w:color w:val="000000"/>
                <w:sz w:val="16"/>
                <w:szCs w:val="16"/>
                <w:lang w:val="uk-UA"/>
              </w:rPr>
              <w:t xml:space="preserve"> </w:t>
            </w:r>
            <w:proofErr w:type="spellStart"/>
            <w:r w:rsidRPr="00F87C5F">
              <w:rPr>
                <w:rFonts w:ascii="Times New Roman" w:hAnsi="Times New Roman"/>
                <w:color w:val="000000"/>
                <w:sz w:val="16"/>
                <w:szCs w:val="16"/>
                <w:lang w:val="uk-UA"/>
              </w:rPr>
              <w:t>Central</w:t>
            </w:r>
            <w:proofErr w:type="spellEnd"/>
            <w:r w:rsidRPr="00F87C5F">
              <w:rPr>
                <w:rFonts w:ascii="Times New Roman" w:hAnsi="Times New Roman"/>
                <w:color w:val="000000"/>
                <w:sz w:val="16"/>
                <w:szCs w:val="16"/>
                <w:lang w:val="uk-UA"/>
              </w:rPr>
              <w:t xml:space="preserve"> </w:t>
            </w:r>
            <w:proofErr w:type="spellStart"/>
            <w:r w:rsidRPr="00F87C5F">
              <w:rPr>
                <w:rFonts w:ascii="Times New Roman" w:hAnsi="Times New Roman"/>
                <w:color w:val="000000"/>
                <w:sz w:val="16"/>
                <w:szCs w:val="16"/>
                <w:lang w:val="uk-UA"/>
              </w:rPr>
              <w:t>Depository</w:t>
            </w:r>
            <w:proofErr w:type="spellEnd"/>
            <w:r w:rsidRPr="00F87C5F">
              <w:rPr>
                <w:rFonts w:ascii="Times New Roman" w:hAnsi="Times New Roman"/>
                <w:color w:val="000000"/>
                <w:sz w:val="16"/>
                <w:szCs w:val="16"/>
                <w:lang w:val="uk-UA"/>
              </w:rPr>
              <w:t>.</w:t>
            </w:r>
          </w:p>
        </w:tc>
      </w:tr>
      <w:tr w:rsidR="00E22279" w:rsidRPr="00F23413" w14:paraId="639394A2" w14:textId="77777777" w:rsidTr="00D77858">
        <w:tblPrEx>
          <w:tblCellMar>
            <w:left w:w="0" w:type="dxa"/>
            <w:right w:w="0" w:type="dxa"/>
          </w:tblCellMar>
        </w:tblPrEx>
        <w:trPr>
          <w:trHeight w:val="192"/>
        </w:trPr>
        <w:tc>
          <w:tcPr>
            <w:tcW w:w="5696" w:type="dxa"/>
            <w:gridSpan w:val="6"/>
            <w:shd w:val="clear" w:color="auto" w:fill="auto"/>
          </w:tcPr>
          <w:p w14:paraId="765E2E64" w14:textId="77777777" w:rsidR="00E22279" w:rsidRPr="00E16672" w:rsidRDefault="00E22279" w:rsidP="00305518">
            <w:pPr>
              <w:ind w:left="175" w:right="138" w:firstLine="0"/>
              <w:rPr>
                <w:rFonts w:ascii="Times New Roman" w:hAnsi="Times New Roman"/>
                <w:color w:val="000000"/>
                <w:sz w:val="16"/>
                <w:szCs w:val="16"/>
                <w:lang w:val="uk-UA"/>
              </w:rPr>
            </w:pPr>
            <w:r w:rsidRPr="00E16672">
              <w:rPr>
                <w:rFonts w:ascii="Times New Roman" w:hAnsi="Times New Roman"/>
                <w:color w:val="000000"/>
                <w:sz w:val="16"/>
                <w:szCs w:val="16"/>
                <w:lang w:val="uk-UA"/>
              </w:rPr>
              <w:t>1</w:t>
            </w:r>
            <w:r w:rsidR="00326563" w:rsidRPr="00E16672">
              <w:rPr>
                <w:rFonts w:ascii="Times New Roman" w:hAnsi="Times New Roman"/>
                <w:color w:val="000000"/>
                <w:sz w:val="16"/>
                <w:szCs w:val="16"/>
              </w:rPr>
              <w:t>2</w:t>
            </w:r>
            <w:r w:rsidRPr="00E16672">
              <w:rPr>
                <w:rFonts w:ascii="Times New Roman" w:hAnsi="Times New Roman"/>
                <w:color w:val="000000"/>
                <w:sz w:val="16"/>
                <w:szCs w:val="16"/>
                <w:lang w:val="uk-UA"/>
              </w:rPr>
              <w:t>.4. У разі наявності</w:t>
            </w:r>
            <w:r w:rsidR="00305518" w:rsidRPr="00E16672">
              <w:rPr>
                <w:rFonts w:ascii="Times New Roman" w:hAnsi="Times New Roman"/>
                <w:color w:val="000000"/>
                <w:sz w:val="16"/>
                <w:szCs w:val="16"/>
                <w:lang w:val="uk-UA"/>
              </w:rPr>
              <w:t xml:space="preserve"> </w:t>
            </w:r>
            <w:r w:rsidRPr="00E16672">
              <w:rPr>
                <w:rFonts w:ascii="Times New Roman" w:hAnsi="Times New Roman"/>
                <w:color w:val="000000"/>
                <w:sz w:val="16"/>
                <w:szCs w:val="16"/>
                <w:lang w:val="uk-UA"/>
              </w:rPr>
              <w:t>заборгованості з боку Депонента за послуги Депозитарної установи термін здійснення виплати доходу за цінними паперами, грошових коштів, отриманих за результатами погашення цінних паперів емітента, отриманих Депонентом за результатами проведення корпоративних операцій емітента, може бути збільшений до моменту сплати Депонентом заборгованості.</w:t>
            </w:r>
          </w:p>
        </w:tc>
        <w:tc>
          <w:tcPr>
            <w:tcW w:w="5494" w:type="dxa"/>
            <w:gridSpan w:val="7"/>
            <w:shd w:val="clear" w:color="auto" w:fill="auto"/>
          </w:tcPr>
          <w:p w14:paraId="1626A4F9" w14:textId="77777777" w:rsidR="00E22279" w:rsidRPr="00E16672" w:rsidRDefault="00E22279" w:rsidP="00326563">
            <w:pPr>
              <w:ind w:left="175" w:right="138" w:firstLine="0"/>
              <w:rPr>
                <w:rFonts w:ascii="Times New Roman" w:hAnsi="Times New Roman"/>
                <w:color w:val="000000"/>
                <w:sz w:val="16"/>
                <w:szCs w:val="16"/>
                <w:lang w:val="uk-UA"/>
              </w:rPr>
            </w:pPr>
            <w:r w:rsidRPr="00E16672">
              <w:rPr>
                <w:rFonts w:ascii="Times New Roman" w:hAnsi="Times New Roman"/>
                <w:color w:val="000000"/>
                <w:sz w:val="16"/>
                <w:szCs w:val="16"/>
                <w:lang w:val="uk-UA"/>
              </w:rPr>
              <w:t>1</w:t>
            </w:r>
            <w:r w:rsidR="00326563" w:rsidRPr="00E16672">
              <w:rPr>
                <w:rFonts w:ascii="Times New Roman" w:hAnsi="Times New Roman"/>
                <w:color w:val="000000"/>
                <w:sz w:val="16"/>
                <w:szCs w:val="16"/>
                <w:lang w:val="en-US"/>
              </w:rPr>
              <w:t>2</w:t>
            </w:r>
            <w:r w:rsidRPr="00E16672">
              <w:rPr>
                <w:rFonts w:ascii="Times New Roman" w:hAnsi="Times New Roman"/>
                <w:color w:val="000000"/>
                <w:sz w:val="16"/>
                <w:szCs w:val="16"/>
                <w:lang w:val="uk-UA"/>
              </w:rPr>
              <w:t xml:space="preserve">.4. </w:t>
            </w:r>
            <w:proofErr w:type="spellStart"/>
            <w:r w:rsidRPr="00E16672">
              <w:rPr>
                <w:rFonts w:ascii="Times New Roman" w:hAnsi="Times New Roman"/>
                <w:color w:val="000000"/>
                <w:sz w:val="16"/>
                <w:szCs w:val="16"/>
                <w:lang w:val="uk-UA"/>
              </w:rPr>
              <w:t>In</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the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case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of</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debt</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from</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Depositor</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for</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the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services</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of</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Depository</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institution</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timing</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of</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the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payment</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income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on</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securities</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money</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received</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by</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results</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redemption</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of</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securities</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of</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the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issuer</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received</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by</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the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Depositor</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on</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the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results</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of</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corporate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operations</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of</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the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issuer</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may</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be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increased</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until</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the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payment</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by</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the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Depositor</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of</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debt</w:t>
            </w:r>
            <w:proofErr w:type="spellEnd"/>
            <w:r w:rsidRPr="00E16672">
              <w:rPr>
                <w:rFonts w:ascii="Times New Roman" w:hAnsi="Times New Roman"/>
                <w:color w:val="000000"/>
                <w:sz w:val="16"/>
                <w:szCs w:val="16"/>
                <w:lang w:val="uk-UA"/>
              </w:rPr>
              <w:t>.</w:t>
            </w:r>
          </w:p>
        </w:tc>
      </w:tr>
      <w:tr w:rsidR="00E22279" w:rsidRPr="00F23413" w14:paraId="73A12258" w14:textId="77777777" w:rsidTr="00D77858">
        <w:tblPrEx>
          <w:tblCellMar>
            <w:left w:w="0" w:type="dxa"/>
            <w:right w:w="0" w:type="dxa"/>
          </w:tblCellMar>
        </w:tblPrEx>
        <w:trPr>
          <w:trHeight w:val="192"/>
        </w:trPr>
        <w:tc>
          <w:tcPr>
            <w:tcW w:w="5696" w:type="dxa"/>
            <w:gridSpan w:val="6"/>
            <w:shd w:val="clear" w:color="auto" w:fill="auto"/>
          </w:tcPr>
          <w:p w14:paraId="2FBA0330" w14:textId="77777777" w:rsidR="00E22279" w:rsidRPr="00E16672" w:rsidRDefault="00E22279" w:rsidP="00326563">
            <w:pPr>
              <w:ind w:left="175" w:right="138" w:firstLine="0"/>
              <w:rPr>
                <w:rFonts w:ascii="Times New Roman" w:hAnsi="Times New Roman"/>
                <w:color w:val="000000"/>
                <w:sz w:val="16"/>
                <w:szCs w:val="16"/>
                <w:lang w:val="uk-UA"/>
              </w:rPr>
            </w:pPr>
            <w:r w:rsidRPr="00E16672">
              <w:rPr>
                <w:rFonts w:ascii="Times New Roman" w:hAnsi="Times New Roman"/>
                <w:color w:val="000000"/>
                <w:sz w:val="16"/>
                <w:szCs w:val="16"/>
                <w:lang w:val="uk-UA"/>
              </w:rPr>
              <w:t>1</w:t>
            </w:r>
            <w:r w:rsidR="00326563" w:rsidRPr="00E16672">
              <w:rPr>
                <w:rFonts w:ascii="Times New Roman" w:hAnsi="Times New Roman"/>
                <w:color w:val="000000"/>
                <w:sz w:val="16"/>
                <w:szCs w:val="16"/>
                <w:lang w:val="en-US"/>
              </w:rPr>
              <w:t>2</w:t>
            </w:r>
            <w:r w:rsidRPr="00E16672">
              <w:rPr>
                <w:rFonts w:ascii="Times New Roman" w:hAnsi="Times New Roman"/>
                <w:color w:val="000000"/>
                <w:sz w:val="16"/>
                <w:szCs w:val="16"/>
                <w:lang w:val="uk-UA"/>
              </w:rPr>
              <w:t>.5. Виплата дивідендів (доходів) та інших виплат, що здійснюються (здійснювалися) відповідно до закону за цінними паперами, які розміщені за межами України, здійснюється в порядку, встановленому Положенням про провадження депозитарної діяльності та внутрішніми документами Депозитарної установи.</w:t>
            </w:r>
          </w:p>
        </w:tc>
        <w:tc>
          <w:tcPr>
            <w:tcW w:w="5494" w:type="dxa"/>
            <w:gridSpan w:val="7"/>
            <w:shd w:val="clear" w:color="auto" w:fill="auto"/>
          </w:tcPr>
          <w:p w14:paraId="0E191757" w14:textId="77777777" w:rsidR="00E22279" w:rsidRPr="00E16672" w:rsidRDefault="00E22279" w:rsidP="00326563">
            <w:pPr>
              <w:ind w:left="175" w:right="138" w:firstLine="0"/>
              <w:rPr>
                <w:rFonts w:ascii="Times New Roman" w:hAnsi="Times New Roman"/>
                <w:color w:val="000000"/>
                <w:sz w:val="16"/>
                <w:szCs w:val="16"/>
                <w:lang w:val="uk-UA"/>
              </w:rPr>
            </w:pPr>
            <w:r w:rsidRPr="00E16672">
              <w:rPr>
                <w:rFonts w:ascii="Times New Roman" w:hAnsi="Times New Roman"/>
                <w:color w:val="000000"/>
                <w:sz w:val="16"/>
                <w:szCs w:val="16"/>
                <w:lang w:val="uk-UA"/>
              </w:rPr>
              <w:t>1</w:t>
            </w:r>
            <w:r w:rsidR="00326563" w:rsidRPr="00E16672">
              <w:rPr>
                <w:rFonts w:ascii="Times New Roman" w:hAnsi="Times New Roman"/>
                <w:color w:val="000000"/>
                <w:sz w:val="16"/>
                <w:szCs w:val="16"/>
                <w:lang w:val="en-US"/>
              </w:rPr>
              <w:t>2</w:t>
            </w:r>
            <w:r w:rsidRPr="00E16672">
              <w:rPr>
                <w:rFonts w:ascii="Times New Roman" w:hAnsi="Times New Roman"/>
                <w:color w:val="000000"/>
                <w:sz w:val="16"/>
                <w:szCs w:val="16"/>
                <w:lang w:val="uk-UA"/>
              </w:rPr>
              <w:t xml:space="preserve">.5. </w:t>
            </w:r>
            <w:proofErr w:type="spellStart"/>
            <w:r w:rsidRPr="00E16672">
              <w:rPr>
                <w:rFonts w:ascii="Times New Roman" w:hAnsi="Times New Roman"/>
                <w:color w:val="000000"/>
                <w:sz w:val="16"/>
                <w:szCs w:val="16"/>
                <w:lang w:val="uk-UA"/>
              </w:rPr>
              <w:t>Payment</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of</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dividends</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income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and</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other</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payments</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made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carried</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out</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in</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accordance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with</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the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law</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on</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securities</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which</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are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located</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outside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the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Ukraine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made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in</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order</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established</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by</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the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Regulation</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on</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depository</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activities</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and</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internal</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documents</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of</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Depository</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institution</w:t>
            </w:r>
            <w:proofErr w:type="spellEnd"/>
            <w:r w:rsidRPr="00E16672">
              <w:rPr>
                <w:rFonts w:ascii="Times New Roman" w:hAnsi="Times New Roman"/>
                <w:color w:val="000000"/>
                <w:sz w:val="16"/>
                <w:szCs w:val="16"/>
                <w:lang w:val="uk-UA"/>
              </w:rPr>
              <w:t>.</w:t>
            </w:r>
          </w:p>
        </w:tc>
      </w:tr>
      <w:tr w:rsidR="00E22279" w:rsidRPr="00F23413" w14:paraId="2EE26737" w14:textId="77777777" w:rsidTr="00D77858">
        <w:tblPrEx>
          <w:tblCellMar>
            <w:left w:w="0" w:type="dxa"/>
            <w:right w:w="0" w:type="dxa"/>
          </w:tblCellMar>
        </w:tblPrEx>
        <w:trPr>
          <w:trHeight w:val="192"/>
        </w:trPr>
        <w:tc>
          <w:tcPr>
            <w:tcW w:w="5696" w:type="dxa"/>
            <w:gridSpan w:val="6"/>
            <w:shd w:val="clear" w:color="auto" w:fill="auto"/>
          </w:tcPr>
          <w:p w14:paraId="07AF7D96" w14:textId="77777777" w:rsidR="00E22279" w:rsidRPr="00E16672" w:rsidRDefault="00E22279" w:rsidP="00E22279">
            <w:pPr>
              <w:snapToGrid w:val="0"/>
              <w:ind w:left="175" w:right="138"/>
              <w:rPr>
                <w:rFonts w:ascii="Times New Roman" w:hAnsi="Times New Roman"/>
                <w:b/>
                <w:bCs/>
                <w:sz w:val="16"/>
                <w:szCs w:val="16"/>
                <w:shd w:val="clear" w:color="auto" w:fill="FFFFFF"/>
                <w:lang w:val="en-US"/>
              </w:rPr>
            </w:pPr>
          </w:p>
          <w:p w14:paraId="7271A175" w14:textId="77777777" w:rsidR="00E22279" w:rsidRPr="00E16672" w:rsidRDefault="00E22279" w:rsidP="00E22279">
            <w:pPr>
              <w:pStyle w:val="33"/>
              <w:tabs>
                <w:tab w:val="left" w:pos="851"/>
              </w:tabs>
              <w:ind w:left="175" w:right="138"/>
              <w:jc w:val="center"/>
              <w:rPr>
                <w:rFonts w:ascii="Times New Roman" w:hAnsi="Times New Roman" w:cs="Times New Roman"/>
                <w:b/>
                <w:sz w:val="16"/>
                <w:szCs w:val="16"/>
                <w:lang w:val="uk-UA"/>
              </w:rPr>
            </w:pPr>
            <w:r w:rsidRPr="00E16672">
              <w:rPr>
                <w:rFonts w:ascii="Times New Roman" w:hAnsi="Times New Roman" w:cs="Times New Roman"/>
                <w:b/>
                <w:sz w:val="16"/>
                <w:szCs w:val="16"/>
                <w:lang w:val="uk-UA"/>
              </w:rPr>
              <w:t>1</w:t>
            </w:r>
            <w:r w:rsidR="00326563" w:rsidRPr="00E16672">
              <w:rPr>
                <w:rFonts w:ascii="Times New Roman" w:hAnsi="Times New Roman" w:cs="Times New Roman"/>
                <w:b/>
                <w:sz w:val="16"/>
                <w:szCs w:val="16"/>
                <w:lang w:val="en-US"/>
              </w:rPr>
              <w:t>3</w:t>
            </w:r>
            <w:r w:rsidRPr="00E16672">
              <w:rPr>
                <w:rFonts w:ascii="Times New Roman" w:hAnsi="Times New Roman" w:cs="Times New Roman"/>
                <w:b/>
                <w:sz w:val="16"/>
                <w:szCs w:val="16"/>
                <w:lang w:val="uk-UA"/>
              </w:rPr>
              <w:t>. ЗАКЛЮЧНІ ПОЛОЖЕННЯ</w:t>
            </w:r>
          </w:p>
          <w:p w14:paraId="0C4BE7AA" w14:textId="77777777" w:rsidR="00E22279" w:rsidRPr="00E16672" w:rsidRDefault="00E22279" w:rsidP="00E22279">
            <w:pPr>
              <w:tabs>
                <w:tab w:val="left" w:pos="5954"/>
              </w:tabs>
              <w:ind w:left="175" w:right="138"/>
              <w:rPr>
                <w:rFonts w:ascii="Times New Roman" w:hAnsi="Times New Roman"/>
                <w:sz w:val="16"/>
                <w:szCs w:val="16"/>
                <w:lang w:val="uk-UA"/>
              </w:rPr>
            </w:pPr>
          </w:p>
          <w:p w14:paraId="5703166F" w14:textId="77777777" w:rsidR="00E22279" w:rsidRPr="00E16672" w:rsidRDefault="00E22279" w:rsidP="00E22279">
            <w:pPr>
              <w:tabs>
                <w:tab w:val="left" w:pos="5954"/>
              </w:tabs>
              <w:ind w:left="175" w:right="138" w:firstLine="0"/>
              <w:rPr>
                <w:rFonts w:ascii="Times New Roman" w:hAnsi="Times New Roman"/>
                <w:sz w:val="16"/>
                <w:szCs w:val="16"/>
                <w:lang w:val="uk-UA"/>
              </w:rPr>
            </w:pPr>
            <w:r w:rsidRPr="00E16672">
              <w:rPr>
                <w:rFonts w:ascii="Times New Roman" w:hAnsi="Times New Roman"/>
                <w:sz w:val="16"/>
                <w:szCs w:val="16"/>
                <w:lang w:val="uk-UA"/>
              </w:rPr>
              <w:t>1</w:t>
            </w:r>
            <w:r w:rsidR="00326563" w:rsidRPr="00E16672">
              <w:rPr>
                <w:rFonts w:ascii="Times New Roman" w:hAnsi="Times New Roman"/>
                <w:sz w:val="16"/>
                <w:szCs w:val="16"/>
                <w:lang w:val="en-US"/>
              </w:rPr>
              <w:t>3</w:t>
            </w:r>
            <w:r w:rsidRPr="00E16672">
              <w:rPr>
                <w:rFonts w:ascii="Times New Roman" w:hAnsi="Times New Roman"/>
                <w:sz w:val="16"/>
                <w:szCs w:val="16"/>
                <w:lang w:val="uk-UA"/>
              </w:rPr>
              <w:t>.1. Цей Договір було складено Українською та Англійською мовами (при цьому, договір українською мовою є офіційним, а переклад англійською наданий лише для зручності) у двох примірниках, як</w:t>
            </w:r>
            <w:proofErr w:type="spellStart"/>
            <w:r w:rsidRPr="00E16672">
              <w:rPr>
                <w:rFonts w:ascii="Times New Roman" w:hAnsi="Times New Roman"/>
                <w:sz w:val="16"/>
                <w:szCs w:val="16"/>
                <w:lang w:val="en-US"/>
              </w:rPr>
              <w:t>i</w:t>
            </w:r>
            <w:proofErr w:type="spellEnd"/>
            <w:r w:rsidRPr="00E16672">
              <w:rPr>
                <w:rFonts w:ascii="Times New Roman" w:hAnsi="Times New Roman"/>
                <w:sz w:val="16"/>
                <w:szCs w:val="16"/>
                <w:lang w:val="uk-UA"/>
              </w:rPr>
              <w:t xml:space="preserve"> мають однакову юридичну силу, по одному - Депонентові та Депозитарній установі. </w:t>
            </w:r>
          </w:p>
          <w:p w14:paraId="2C808A93" w14:textId="77777777" w:rsidR="00E22279" w:rsidRPr="00E16672" w:rsidRDefault="00E22279" w:rsidP="00E22279">
            <w:pPr>
              <w:tabs>
                <w:tab w:val="left" w:pos="5954"/>
              </w:tabs>
              <w:ind w:left="175" w:right="138" w:firstLine="0"/>
              <w:rPr>
                <w:rFonts w:ascii="Times New Roman" w:hAnsi="Times New Roman"/>
                <w:color w:val="000000"/>
                <w:sz w:val="16"/>
                <w:szCs w:val="20"/>
                <w:lang w:val="uk-UA"/>
              </w:rPr>
            </w:pPr>
            <w:r w:rsidRPr="00E16672">
              <w:rPr>
                <w:rFonts w:ascii="Times New Roman" w:hAnsi="Times New Roman"/>
                <w:sz w:val="16"/>
                <w:szCs w:val="16"/>
                <w:lang w:val="uk-UA"/>
              </w:rPr>
              <w:t>1</w:t>
            </w:r>
            <w:r w:rsidR="00326563" w:rsidRPr="00E16672">
              <w:rPr>
                <w:rFonts w:ascii="Times New Roman" w:hAnsi="Times New Roman"/>
                <w:sz w:val="16"/>
                <w:szCs w:val="16"/>
                <w:lang w:val="uk-UA"/>
              </w:rPr>
              <w:t>3</w:t>
            </w:r>
            <w:r w:rsidRPr="00E16672">
              <w:rPr>
                <w:rFonts w:ascii="Times New Roman" w:hAnsi="Times New Roman"/>
                <w:sz w:val="16"/>
                <w:szCs w:val="16"/>
                <w:lang w:val="uk-UA"/>
              </w:rPr>
              <w:t xml:space="preserve">.2. </w:t>
            </w:r>
            <w:r w:rsidRPr="00E16672">
              <w:rPr>
                <w:rFonts w:ascii="Times New Roman" w:hAnsi="Times New Roman"/>
                <w:color w:val="000000"/>
                <w:sz w:val="16"/>
                <w:szCs w:val="20"/>
                <w:lang w:val="uk-UA"/>
              </w:rPr>
              <w:t>Підписуючи цей Договір, Депонент засвідчує, що він ознайомлений з внутрішніми документами Депозитарної установи, що регламентують провадження депозитарної діяльності, та тарифами Депозитарної установи.</w:t>
            </w:r>
          </w:p>
          <w:p w14:paraId="5A50F29B" w14:textId="77777777" w:rsidR="00E22279" w:rsidRPr="00E16672" w:rsidRDefault="00E22279" w:rsidP="00E22279">
            <w:pPr>
              <w:tabs>
                <w:tab w:val="left" w:pos="5954"/>
              </w:tabs>
              <w:ind w:left="175" w:right="138"/>
              <w:rPr>
                <w:rFonts w:ascii="Times New Roman" w:hAnsi="Times New Roman"/>
                <w:sz w:val="16"/>
                <w:szCs w:val="16"/>
                <w:lang w:val="uk-UA"/>
              </w:rPr>
            </w:pPr>
          </w:p>
        </w:tc>
        <w:tc>
          <w:tcPr>
            <w:tcW w:w="5494" w:type="dxa"/>
            <w:gridSpan w:val="7"/>
            <w:shd w:val="clear" w:color="auto" w:fill="auto"/>
          </w:tcPr>
          <w:p w14:paraId="6E780FE7" w14:textId="77777777" w:rsidR="00E22279" w:rsidRPr="00E16672" w:rsidRDefault="00E22279" w:rsidP="00E22279">
            <w:pPr>
              <w:tabs>
                <w:tab w:val="left" w:pos="287"/>
              </w:tabs>
              <w:snapToGrid w:val="0"/>
              <w:ind w:left="145" w:right="100"/>
              <w:jc w:val="center"/>
              <w:rPr>
                <w:rFonts w:ascii="Times New Roman" w:hAnsi="Times New Roman"/>
                <w:b/>
                <w:sz w:val="16"/>
                <w:szCs w:val="16"/>
                <w:lang w:val="uk-UA"/>
              </w:rPr>
            </w:pPr>
          </w:p>
          <w:p w14:paraId="0F070AD4" w14:textId="77777777" w:rsidR="00E22279" w:rsidRPr="00E16672" w:rsidRDefault="00E22279" w:rsidP="00E22279">
            <w:pPr>
              <w:tabs>
                <w:tab w:val="left" w:pos="287"/>
              </w:tabs>
              <w:snapToGrid w:val="0"/>
              <w:ind w:left="145" w:right="100"/>
              <w:jc w:val="center"/>
              <w:rPr>
                <w:rFonts w:ascii="Times New Roman" w:hAnsi="Times New Roman"/>
                <w:b/>
                <w:sz w:val="16"/>
                <w:szCs w:val="16"/>
                <w:lang w:val="en-GB"/>
              </w:rPr>
            </w:pPr>
            <w:r w:rsidRPr="00E16672">
              <w:rPr>
                <w:rFonts w:ascii="Times New Roman" w:hAnsi="Times New Roman"/>
                <w:b/>
                <w:sz w:val="16"/>
                <w:szCs w:val="16"/>
                <w:lang w:val="uk-UA"/>
              </w:rPr>
              <w:t>1</w:t>
            </w:r>
            <w:r w:rsidR="00326563" w:rsidRPr="00E16672">
              <w:rPr>
                <w:rFonts w:ascii="Times New Roman" w:hAnsi="Times New Roman"/>
                <w:b/>
                <w:sz w:val="16"/>
                <w:szCs w:val="16"/>
                <w:lang w:val="en-US"/>
              </w:rPr>
              <w:t>3</w:t>
            </w:r>
            <w:r w:rsidRPr="00E16672">
              <w:rPr>
                <w:rFonts w:ascii="Times New Roman" w:hAnsi="Times New Roman"/>
                <w:b/>
                <w:sz w:val="16"/>
                <w:szCs w:val="16"/>
                <w:lang w:val="en-GB"/>
              </w:rPr>
              <w:t>. FINAL PROVISIONS</w:t>
            </w:r>
          </w:p>
          <w:p w14:paraId="1C372EE0" w14:textId="77777777" w:rsidR="00E22279" w:rsidRPr="00E16672" w:rsidRDefault="00E22279" w:rsidP="00E22279">
            <w:pPr>
              <w:tabs>
                <w:tab w:val="left" w:pos="287"/>
              </w:tabs>
              <w:snapToGrid w:val="0"/>
              <w:ind w:left="145" w:right="100"/>
              <w:rPr>
                <w:rFonts w:ascii="Times New Roman" w:hAnsi="Times New Roman"/>
                <w:sz w:val="16"/>
                <w:szCs w:val="16"/>
                <w:lang w:val="en-GB"/>
              </w:rPr>
            </w:pPr>
          </w:p>
          <w:p w14:paraId="0C0E0246" w14:textId="77777777" w:rsidR="00E22279" w:rsidRPr="00E16672" w:rsidRDefault="00E22279" w:rsidP="00E22279">
            <w:pPr>
              <w:tabs>
                <w:tab w:val="left" w:pos="287"/>
              </w:tabs>
              <w:snapToGrid w:val="0"/>
              <w:ind w:left="145" w:right="100" w:firstLine="3"/>
              <w:rPr>
                <w:rFonts w:ascii="Times New Roman" w:hAnsi="Times New Roman"/>
                <w:sz w:val="16"/>
                <w:szCs w:val="16"/>
                <w:lang w:val="en-GB"/>
              </w:rPr>
            </w:pPr>
            <w:r w:rsidRPr="00E16672">
              <w:rPr>
                <w:rFonts w:ascii="Times New Roman" w:hAnsi="Times New Roman"/>
                <w:sz w:val="16"/>
                <w:szCs w:val="16"/>
                <w:lang w:val="en-US"/>
              </w:rPr>
              <w:t>1</w:t>
            </w:r>
            <w:r w:rsidR="00326563" w:rsidRPr="00E16672">
              <w:rPr>
                <w:rFonts w:ascii="Times New Roman" w:hAnsi="Times New Roman"/>
                <w:sz w:val="16"/>
                <w:szCs w:val="16"/>
                <w:lang w:val="en-US"/>
              </w:rPr>
              <w:t>3</w:t>
            </w:r>
            <w:r w:rsidRPr="00E16672">
              <w:rPr>
                <w:rFonts w:ascii="Times New Roman" w:hAnsi="Times New Roman"/>
                <w:sz w:val="16"/>
                <w:szCs w:val="16"/>
                <w:lang w:val="en-US"/>
              </w:rPr>
              <w:t>.1. This Agreement has been made in Ukrainian and English language (</w:t>
            </w:r>
            <w:r w:rsidRPr="00F23413">
              <w:rPr>
                <w:rFonts w:ascii="Times New Roman" w:hAnsi="Times New Roman"/>
                <w:sz w:val="16"/>
                <w:szCs w:val="16"/>
                <w:lang w:val="en-US"/>
              </w:rPr>
              <w:t xml:space="preserve">thus, the </w:t>
            </w:r>
            <w:r w:rsidRPr="00E16672">
              <w:rPr>
                <w:rFonts w:ascii="Times New Roman" w:hAnsi="Times New Roman"/>
                <w:sz w:val="16"/>
                <w:szCs w:val="16"/>
                <w:lang w:val="en-US"/>
              </w:rPr>
              <w:t xml:space="preserve">Agreement in </w:t>
            </w:r>
            <w:r w:rsidRPr="00F23413">
              <w:rPr>
                <w:rFonts w:ascii="Times New Roman" w:hAnsi="Times New Roman"/>
                <w:sz w:val="16"/>
                <w:szCs w:val="16"/>
                <w:lang w:val="en-US"/>
              </w:rPr>
              <w:t>Ukrainian language</w:t>
            </w:r>
            <w:r w:rsidRPr="00E16672">
              <w:rPr>
                <w:rFonts w:ascii="Times New Roman" w:hAnsi="Times New Roman"/>
                <w:sz w:val="16"/>
                <w:szCs w:val="16"/>
                <w:lang w:val="en-US"/>
              </w:rPr>
              <w:t xml:space="preserve"> </w:t>
            </w:r>
            <w:r w:rsidRPr="00F23413">
              <w:rPr>
                <w:rFonts w:ascii="Times New Roman" w:hAnsi="Times New Roman"/>
                <w:sz w:val="16"/>
                <w:szCs w:val="16"/>
                <w:lang w:val="en-US"/>
              </w:rPr>
              <w:t>is the official and English translation provided for convenience only</w:t>
            </w:r>
            <w:r w:rsidRPr="00E16672">
              <w:rPr>
                <w:rFonts w:ascii="Times New Roman" w:hAnsi="Times New Roman"/>
                <w:sz w:val="16"/>
                <w:szCs w:val="16"/>
                <w:lang w:val="en-US"/>
              </w:rPr>
              <w:t xml:space="preserve">) in two </w:t>
            </w:r>
            <w:r w:rsidRPr="00E16672">
              <w:rPr>
                <w:rFonts w:ascii="Times New Roman" w:hAnsi="Times New Roman"/>
                <w:sz w:val="16"/>
                <w:szCs w:val="16"/>
                <w:lang w:val="en-GB"/>
              </w:rPr>
              <w:t xml:space="preserve">in </w:t>
            </w:r>
            <w:r w:rsidRPr="00E16672">
              <w:rPr>
                <w:rFonts w:ascii="Times New Roman" w:hAnsi="Times New Roman"/>
                <w:sz w:val="16"/>
                <w:szCs w:val="16"/>
                <w:lang w:val="en-US"/>
              </w:rPr>
              <w:t>specimens, which have equal legal force, one copy for Depositor, a</w:t>
            </w:r>
            <w:proofErr w:type="spellStart"/>
            <w:r w:rsidRPr="00E16672">
              <w:rPr>
                <w:rFonts w:ascii="Times New Roman" w:hAnsi="Times New Roman"/>
                <w:sz w:val="16"/>
                <w:szCs w:val="16"/>
                <w:lang w:val="en-GB"/>
              </w:rPr>
              <w:t>nd</w:t>
            </w:r>
            <w:proofErr w:type="spellEnd"/>
            <w:r w:rsidRPr="00E16672">
              <w:rPr>
                <w:rFonts w:ascii="Times New Roman" w:hAnsi="Times New Roman"/>
                <w:sz w:val="16"/>
                <w:szCs w:val="16"/>
                <w:lang w:val="en-GB"/>
              </w:rPr>
              <w:t xml:space="preserve"> another one for </w:t>
            </w:r>
            <w:r w:rsidRPr="00E16672">
              <w:rPr>
                <w:rFonts w:ascii="Times New Roman" w:hAnsi="Times New Roman"/>
                <w:sz w:val="16"/>
                <w:szCs w:val="16"/>
                <w:lang w:val="en-US"/>
              </w:rPr>
              <w:t>Depository institution</w:t>
            </w:r>
            <w:r w:rsidRPr="00E16672">
              <w:rPr>
                <w:rFonts w:ascii="Times New Roman" w:hAnsi="Times New Roman"/>
                <w:sz w:val="16"/>
                <w:szCs w:val="16"/>
                <w:lang w:val="en-GB"/>
              </w:rPr>
              <w:t xml:space="preserve">. </w:t>
            </w:r>
          </w:p>
          <w:p w14:paraId="1079E211" w14:textId="77777777" w:rsidR="00E22279" w:rsidRPr="00E16672" w:rsidRDefault="00E22279" w:rsidP="00326563">
            <w:pPr>
              <w:tabs>
                <w:tab w:val="left" w:pos="287"/>
              </w:tabs>
              <w:ind w:left="145" w:right="100" w:firstLine="3"/>
              <w:rPr>
                <w:rFonts w:ascii="Times New Roman" w:hAnsi="Times New Roman"/>
                <w:b/>
                <w:bCs/>
                <w:sz w:val="16"/>
                <w:szCs w:val="16"/>
                <w:lang w:val="en-GB"/>
              </w:rPr>
            </w:pPr>
            <w:r w:rsidRPr="00E16672">
              <w:rPr>
                <w:rFonts w:ascii="Times New Roman" w:hAnsi="Times New Roman"/>
                <w:bCs/>
                <w:sz w:val="16"/>
                <w:szCs w:val="16"/>
                <w:lang w:val="en-GB"/>
              </w:rPr>
              <w:t>1</w:t>
            </w:r>
            <w:r w:rsidR="00326563" w:rsidRPr="00E16672">
              <w:rPr>
                <w:rFonts w:ascii="Times New Roman" w:hAnsi="Times New Roman"/>
                <w:bCs/>
                <w:sz w:val="16"/>
                <w:szCs w:val="16"/>
                <w:lang w:val="en-US"/>
              </w:rPr>
              <w:t>3</w:t>
            </w:r>
            <w:r w:rsidRPr="00E16672">
              <w:rPr>
                <w:rFonts w:ascii="Times New Roman" w:hAnsi="Times New Roman"/>
                <w:bCs/>
                <w:sz w:val="16"/>
                <w:szCs w:val="16"/>
                <w:lang w:val="en-GB"/>
              </w:rPr>
              <w:t>.2.</w:t>
            </w:r>
            <w:r w:rsidRPr="00E16672">
              <w:rPr>
                <w:rFonts w:ascii="Times New Roman" w:hAnsi="Times New Roman"/>
                <w:b/>
                <w:bCs/>
                <w:sz w:val="16"/>
                <w:szCs w:val="16"/>
                <w:lang w:val="en-GB"/>
              </w:rPr>
              <w:t xml:space="preserve"> </w:t>
            </w:r>
            <w:r w:rsidRPr="00F23413">
              <w:rPr>
                <w:rFonts w:ascii="Times New Roman" w:hAnsi="Times New Roman"/>
                <w:sz w:val="16"/>
                <w:szCs w:val="16"/>
                <w:lang w:val="en-US"/>
              </w:rPr>
              <w:t>By signing this Agreement, the Depositor certifies that he is familiar with the internal documents of the Depository, regulating the conduct of depositary activity, and the fees of the Depository.</w:t>
            </w:r>
            <w:r w:rsidRPr="00E16672">
              <w:rPr>
                <w:rFonts w:ascii="Times New Roman" w:hAnsi="Times New Roman"/>
                <w:b/>
                <w:bCs/>
                <w:sz w:val="16"/>
                <w:szCs w:val="16"/>
                <w:lang w:val="en-GB"/>
              </w:rPr>
              <w:t xml:space="preserve"> </w:t>
            </w:r>
          </w:p>
        </w:tc>
      </w:tr>
      <w:tr w:rsidR="00E22279" w:rsidRPr="00E16672" w14:paraId="5949F6D3" w14:textId="77777777" w:rsidTr="00D77858">
        <w:tblPrEx>
          <w:tblCellMar>
            <w:left w:w="0" w:type="dxa"/>
            <w:right w:w="0" w:type="dxa"/>
          </w:tblCellMar>
        </w:tblPrEx>
        <w:tc>
          <w:tcPr>
            <w:tcW w:w="5246" w:type="dxa"/>
            <w:gridSpan w:val="3"/>
            <w:shd w:val="clear" w:color="auto" w:fill="auto"/>
          </w:tcPr>
          <w:p w14:paraId="3E9E75EF" w14:textId="77777777" w:rsidR="00E22279" w:rsidRPr="00E16672" w:rsidRDefault="00E22279" w:rsidP="00E22279">
            <w:pPr>
              <w:pStyle w:val="1e"/>
              <w:snapToGrid w:val="0"/>
              <w:jc w:val="center"/>
              <w:rPr>
                <w:rFonts w:ascii="Times New Roman" w:hAnsi="Times New Roman"/>
                <w:caps/>
                <w:sz w:val="16"/>
                <w:szCs w:val="16"/>
                <w:lang w:val="uk-UA"/>
              </w:rPr>
            </w:pPr>
            <w:r w:rsidRPr="00E16672">
              <w:rPr>
                <w:rFonts w:ascii="Times New Roman" w:hAnsi="Times New Roman"/>
                <w:caps/>
                <w:sz w:val="16"/>
                <w:szCs w:val="16"/>
                <w:lang w:val="uk-UA"/>
              </w:rPr>
              <w:t>1</w:t>
            </w:r>
            <w:r w:rsidR="00326563" w:rsidRPr="00E16672">
              <w:rPr>
                <w:rFonts w:ascii="Times New Roman" w:hAnsi="Times New Roman"/>
                <w:caps/>
                <w:sz w:val="16"/>
                <w:szCs w:val="16"/>
                <w:lang w:val="en-US"/>
              </w:rPr>
              <w:t>4</w:t>
            </w:r>
            <w:r w:rsidRPr="00E16672">
              <w:rPr>
                <w:rFonts w:ascii="Times New Roman" w:hAnsi="Times New Roman"/>
                <w:caps/>
                <w:sz w:val="16"/>
                <w:szCs w:val="16"/>
                <w:lang w:val="uk-UA"/>
              </w:rPr>
              <w:t>. Реквізити Сторін</w:t>
            </w:r>
          </w:p>
          <w:p w14:paraId="601F1A34" w14:textId="77777777" w:rsidR="00E22279" w:rsidRPr="00E16672" w:rsidRDefault="00E22279" w:rsidP="00E22279">
            <w:pPr>
              <w:snapToGrid w:val="0"/>
              <w:ind w:left="57" w:right="57"/>
              <w:jc w:val="center"/>
              <w:rPr>
                <w:rFonts w:ascii="Times New Roman" w:hAnsi="Times New Roman"/>
                <w:b/>
                <w:sz w:val="16"/>
                <w:szCs w:val="16"/>
              </w:rPr>
            </w:pPr>
          </w:p>
        </w:tc>
        <w:tc>
          <w:tcPr>
            <w:tcW w:w="5944" w:type="dxa"/>
            <w:gridSpan w:val="10"/>
            <w:shd w:val="clear" w:color="auto" w:fill="auto"/>
          </w:tcPr>
          <w:p w14:paraId="243D2891" w14:textId="77777777" w:rsidR="00E22279" w:rsidRPr="00E16672" w:rsidRDefault="00E22279" w:rsidP="00326563">
            <w:pPr>
              <w:snapToGrid w:val="0"/>
              <w:ind w:left="57" w:right="57"/>
              <w:jc w:val="center"/>
              <w:rPr>
                <w:rFonts w:ascii="Times New Roman" w:hAnsi="Times New Roman"/>
                <w:b/>
                <w:caps/>
                <w:sz w:val="16"/>
                <w:szCs w:val="16"/>
              </w:rPr>
            </w:pPr>
            <w:r w:rsidRPr="00E16672">
              <w:rPr>
                <w:rFonts w:ascii="Times New Roman" w:hAnsi="Times New Roman"/>
                <w:b/>
                <w:caps/>
                <w:sz w:val="16"/>
                <w:szCs w:val="16"/>
              </w:rPr>
              <w:t>1</w:t>
            </w:r>
            <w:r w:rsidR="00326563" w:rsidRPr="00E16672">
              <w:rPr>
                <w:rFonts w:ascii="Times New Roman" w:hAnsi="Times New Roman"/>
                <w:b/>
                <w:caps/>
                <w:sz w:val="16"/>
                <w:szCs w:val="16"/>
                <w:lang w:val="en-US"/>
              </w:rPr>
              <w:t>4</w:t>
            </w:r>
            <w:r w:rsidRPr="00E16672">
              <w:rPr>
                <w:rFonts w:ascii="Times New Roman" w:hAnsi="Times New Roman"/>
                <w:b/>
                <w:caps/>
                <w:sz w:val="16"/>
                <w:szCs w:val="16"/>
              </w:rPr>
              <w:t>. DETAILS OF THE PARTIES</w:t>
            </w:r>
          </w:p>
        </w:tc>
      </w:tr>
      <w:tr w:rsidR="00E22279" w:rsidRPr="00F23413" w14:paraId="18B3D545" w14:textId="77777777" w:rsidTr="00D77858">
        <w:tblPrEx>
          <w:tblCellMar>
            <w:left w:w="0" w:type="dxa"/>
            <w:right w:w="0" w:type="dxa"/>
          </w:tblCellMar>
        </w:tblPrEx>
        <w:tc>
          <w:tcPr>
            <w:tcW w:w="5246" w:type="dxa"/>
            <w:gridSpan w:val="3"/>
            <w:shd w:val="clear" w:color="auto" w:fill="auto"/>
          </w:tcPr>
          <w:p w14:paraId="058EE6AE" w14:textId="69BF7779" w:rsidR="00E22279" w:rsidRPr="00E16672" w:rsidRDefault="00E22279" w:rsidP="00E22279">
            <w:pPr>
              <w:tabs>
                <w:tab w:val="left" w:pos="5960"/>
              </w:tabs>
              <w:snapToGrid w:val="0"/>
              <w:ind w:left="57" w:right="57" w:hanging="57"/>
              <w:rPr>
                <w:rFonts w:ascii="Times New Roman" w:hAnsi="Times New Roman"/>
                <w:b/>
                <w:bCs/>
                <w:sz w:val="16"/>
                <w:szCs w:val="16"/>
              </w:rPr>
            </w:pPr>
            <w:r w:rsidRPr="00E16672">
              <w:rPr>
                <w:rFonts w:ascii="Times New Roman" w:hAnsi="Times New Roman"/>
                <w:b/>
                <w:bCs/>
                <w:sz w:val="16"/>
                <w:szCs w:val="16"/>
              </w:rPr>
              <w:t>Депонент:</w:t>
            </w:r>
          </w:p>
          <w:p w14:paraId="56345583" w14:textId="77777777" w:rsidR="00E22279" w:rsidRPr="00E16672" w:rsidRDefault="00E22279" w:rsidP="00E22279">
            <w:pPr>
              <w:snapToGrid w:val="0"/>
              <w:ind w:left="57" w:right="57"/>
              <w:jc w:val="center"/>
              <w:rPr>
                <w:rFonts w:ascii="Times New Roman" w:hAnsi="Times New Roman"/>
                <w:b/>
                <w:bCs/>
                <w:sz w:val="16"/>
                <w:szCs w:val="16"/>
                <w:u w:val="single"/>
              </w:rPr>
            </w:pPr>
          </w:p>
        </w:tc>
        <w:tc>
          <w:tcPr>
            <w:tcW w:w="5944" w:type="dxa"/>
            <w:gridSpan w:val="10"/>
            <w:shd w:val="clear" w:color="auto" w:fill="auto"/>
          </w:tcPr>
          <w:p w14:paraId="30C15430" w14:textId="71574A5A" w:rsidR="00E22279" w:rsidRPr="00E16672" w:rsidRDefault="00E22279" w:rsidP="00E22279">
            <w:pPr>
              <w:tabs>
                <w:tab w:val="left" w:pos="5960"/>
              </w:tabs>
              <w:snapToGrid w:val="0"/>
              <w:ind w:left="57" w:right="57" w:hanging="57"/>
              <w:rPr>
                <w:rFonts w:ascii="Times New Roman" w:hAnsi="Times New Roman"/>
                <w:b/>
                <w:bCs/>
                <w:sz w:val="16"/>
                <w:szCs w:val="16"/>
                <w:lang w:val="en-US"/>
              </w:rPr>
            </w:pPr>
            <w:r w:rsidRPr="00E16672">
              <w:rPr>
                <w:rFonts w:ascii="Times New Roman" w:hAnsi="Times New Roman"/>
                <w:b/>
                <w:bCs/>
                <w:sz w:val="16"/>
                <w:szCs w:val="16"/>
                <w:lang w:val="en-US"/>
              </w:rPr>
              <w:t>Depositor:</w:t>
            </w:r>
          </w:p>
          <w:p w14:paraId="03C787DD" w14:textId="77777777" w:rsidR="00E22279" w:rsidRPr="00E16672" w:rsidRDefault="00E22279" w:rsidP="00E22279">
            <w:pPr>
              <w:snapToGrid w:val="0"/>
              <w:ind w:right="57"/>
              <w:jc w:val="center"/>
              <w:rPr>
                <w:rFonts w:ascii="Times New Roman" w:hAnsi="Times New Roman"/>
                <w:b/>
                <w:bCs/>
                <w:sz w:val="16"/>
                <w:szCs w:val="16"/>
                <w:u w:val="single"/>
                <w:lang w:val="en-US"/>
              </w:rPr>
            </w:pPr>
          </w:p>
        </w:tc>
      </w:tr>
      <w:tr w:rsidR="00E22279" w:rsidRPr="00E16672" w14:paraId="2C31EA18" w14:textId="77777777" w:rsidTr="00D77858">
        <w:tblPrEx>
          <w:tblCellMar>
            <w:left w:w="0" w:type="dxa"/>
            <w:right w:w="0" w:type="dxa"/>
          </w:tblCellMar>
        </w:tblPrEx>
        <w:tc>
          <w:tcPr>
            <w:tcW w:w="1741" w:type="dxa"/>
            <w:gridSpan w:val="2"/>
            <w:shd w:val="clear" w:color="auto" w:fill="auto"/>
          </w:tcPr>
          <w:p w14:paraId="46098372" w14:textId="77777777" w:rsidR="00E22279" w:rsidRPr="00E16672" w:rsidRDefault="00E22279" w:rsidP="00E22279">
            <w:pPr>
              <w:pStyle w:val="4"/>
              <w:keepNext w:val="0"/>
              <w:tabs>
                <w:tab w:val="left" w:pos="57"/>
              </w:tabs>
              <w:snapToGrid w:val="0"/>
              <w:ind w:left="57" w:right="57" w:firstLine="0"/>
              <w:jc w:val="left"/>
              <w:rPr>
                <w:rFonts w:ascii="Times New Roman" w:hAnsi="Times New Roman"/>
                <w:b w:val="0"/>
                <w:iCs/>
                <w:sz w:val="16"/>
                <w:szCs w:val="16"/>
              </w:rPr>
            </w:pPr>
            <w:r w:rsidRPr="00E16672">
              <w:rPr>
                <w:rFonts w:ascii="Times New Roman" w:hAnsi="Times New Roman"/>
                <w:b w:val="0"/>
                <w:color w:val="000000"/>
                <w:sz w:val="16"/>
                <w:szCs w:val="16"/>
              </w:rPr>
              <w:lastRenderedPageBreak/>
              <w:t>Прізвище, ім’я, по батькові (за наявності)</w:t>
            </w:r>
            <w:r w:rsidRPr="00E16672">
              <w:rPr>
                <w:rFonts w:ascii="Times New Roman" w:hAnsi="Times New Roman"/>
                <w:b w:val="0"/>
                <w:color w:val="000000"/>
                <w:sz w:val="16"/>
                <w:szCs w:val="16"/>
                <w:lang w:val="ru-RU"/>
              </w:rPr>
              <w:t>:</w:t>
            </w:r>
          </w:p>
        </w:tc>
        <w:tc>
          <w:tcPr>
            <w:tcW w:w="3522" w:type="dxa"/>
            <w:gridSpan w:val="2"/>
            <w:shd w:val="clear" w:color="auto" w:fill="auto"/>
          </w:tcPr>
          <w:p w14:paraId="76047BE9" w14:textId="77777777" w:rsidR="00E22279" w:rsidRPr="00E16672" w:rsidRDefault="00E22279" w:rsidP="00E22279">
            <w:pPr>
              <w:pStyle w:val="4"/>
              <w:keepNext w:val="0"/>
              <w:tabs>
                <w:tab w:val="left" w:pos="1475"/>
              </w:tabs>
              <w:snapToGrid w:val="0"/>
              <w:ind w:left="57" w:right="57" w:firstLine="0"/>
              <w:jc w:val="left"/>
              <w:rPr>
                <w:rFonts w:ascii="Times New Roman" w:hAnsi="Times New Roman"/>
                <w:i/>
                <w:iCs/>
                <w:sz w:val="16"/>
                <w:szCs w:val="16"/>
              </w:rPr>
            </w:pPr>
          </w:p>
        </w:tc>
        <w:tc>
          <w:tcPr>
            <w:tcW w:w="2249" w:type="dxa"/>
            <w:gridSpan w:val="6"/>
            <w:shd w:val="clear" w:color="auto" w:fill="auto"/>
          </w:tcPr>
          <w:p w14:paraId="25128F22" w14:textId="77777777" w:rsidR="00E22279" w:rsidRPr="00E16672" w:rsidRDefault="00E22279" w:rsidP="00E22279">
            <w:pPr>
              <w:pStyle w:val="4"/>
              <w:keepNext w:val="0"/>
              <w:tabs>
                <w:tab w:val="left" w:pos="156"/>
              </w:tabs>
              <w:snapToGrid w:val="0"/>
              <w:ind w:left="57" w:right="57" w:firstLine="99"/>
              <w:jc w:val="left"/>
              <w:rPr>
                <w:rFonts w:ascii="Times New Roman" w:hAnsi="Times New Roman"/>
                <w:b w:val="0"/>
                <w:iCs/>
                <w:sz w:val="16"/>
                <w:szCs w:val="16"/>
              </w:rPr>
            </w:pPr>
            <w:proofErr w:type="spellStart"/>
            <w:r w:rsidRPr="00E16672">
              <w:rPr>
                <w:rFonts w:ascii="Times New Roman" w:hAnsi="Times New Roman"/>
                <w:b w:val="0"/>
                <w:iCs/>
                <w:sz w:val="16"/>
                <w:szCs w:val="16"/>
              </w:rPr>
              <w:t>Surname</w:t>
            </w:r>
            <w:proofErr w:type="spellEnd"/>
            <w:r w:rsidRPr="00E16672">
              <w:rPr>
                <w:rFonts w:ascii="Times New Roman" w:hAnsi="Times New Roman"/>
                <w:b w:val="0"/>
                <w:iCs/>
                <w:sz w:val="16"/>
                <w:szCs w:val="16"/>
              </w:rPr>
              <w:t xml:space="preserve">, </w:t>
            </w:r>
            <w:proofErr w:type="spellStart"/>
            <w:r w:rsidRPr="00E16672">
              <w:rPr>
                <w:rFonts w:ascii="Times New Roman" w:hAnsi="Times New Roman"/>
                <w:b w:val="0"/>
                <w:iCs/>
                <w:sz w:val="16"/>
                <w:szCs w:val="16"/>
              </w:rPr>
              <w:t>Name</w:t>
            </w:r>
            <w:proofErr w:type="spellEnd"/>
            <w:r w:rsidRPr="00E16672">
              <w:rPr>
                <w:rFonts w:ascii="Times New Roman" w:hAnsi="Times New Roman"/>
                <w:b w:val="0"/>
                <w:iCs/>
                <w:sz w:val="16"/>
                <w:szCs w:val="16"/>
              </w:rPr>
              <w:t xml:space="preserve">, </w:t>
            </w:r>
            <w:r w:rsidRPr="00E16672">
              <w:rPr>
                <w:rFonts w:ascii="Times New Roman" w:hAnsi="Times New Roman"/>
                <w:b w:val="0"/>
                <w:iCs/>
                <w:sz w:val="16"/>
                <w:szCs w:val="16"/>
                <w:lang w:val="en-US"/>
              </w:rPr>
              <w:t xml:space="preserve">  </w:t>
            </w:r>
          </w:p>
          <w:p w14:paraId="5409DDFF" w14:textId="77777777" w:rsidR="00E22279" w:rsidRPr="00E16672" w:rsidRDefault="00E22279" w:rsidP="00E22279">
            <w:pPr>
              <w:pStyle w:val="4"/>
              <w:keepNext w:val="0"/>
              <w:tabs>
                <w:tab w:val="left" w:pos="156"/>
              </w:tabs>
              <w:snapToGrid w:val="0"/>
              <w:ind w:left="57" w:right="57" w:firstLine="99"/>
              <w:jc w:val="left"/>
              <w:rPr>
                <w:rFonts w:ascii="Times New Roman" w:hAnsi="Times New Roman"/>
                <w:b w:val="0"/>
                <w:iCs/>
                <w:sz w:val="16"/>
                <w:szCs w:val="16"/>
              </w:rPr>
            </w:pPr>
            <w:proofErr w:type="spellStart"/>
            <w:r w:rsidRPr="00E16672">
              <w:rPr>
                <w:rFonts w:ascii="Times New Roman" w:hAnsi="Times New Roman"/>
                <w:b w:val="0"/>
                <w:iCs/>
                <w:sz w:val="16"/>
                <w:szCs w:val="16"/>
              </w:rPr>
              <w:t>Patronymic</w:t>
            </w:r>
            <w:proofErr w:type="spellEnd"/>
            <w:r w:rsidRPr="00E16672">
              <w:rPr>
                <w:rFonts w:ascii="Times New Roman" w:hAnsi="Times New Roman"/>
                <w:b w:val="0"/>
                <w:iCs/>
                <w:sz w:val="16"/>
                <w:szCs w:val="16"/>
                <w:lang w:val="en-US"/>
              </w:rPr>
              <w:t xml:space="preserve"> (if any)</w:t>
            </w:r>
            <w:r w:rsidRPr="00E16672">
              <w:rPr>
                <w:rFonts w:ascii="Times New Roman" w:hAnsi="Times New Roman"/>
                <w:b w:val="0"/>
                <w:iCs/>
                <w:sz w:val="16"/>
                <w:szCs w:val="16"/>
              </w:rPr>
              <w:t>:</w:t>
            </w:r>
          </w:p>
        </w:tc>
        <w:tc>
          <w:tcPr>
            <w:tcW w:w="3313" w:type="dxa"/>
            <w:shd w:val="clear" w:color="auto" w:fill="auto"/>
          </w:tcPr>
          <w:p w14:paraId="199666E4" w14:textId="77777777" w:rsidR="00E22279" w:rsidRPr="00E16672" w:rsidRDefault="00E22279" w:rsidP="00E22279">
            <w:pPr>
              <w:pStyle w:val="4"/>
              <w:keepNext w:val="0"/>
              <w:tabs>
                <w:tab w:val="left" w:pos="1475"/>
              </w:tabs>
              <w:snapToGrid w:val="0"/>
              <w:ind w:left="57" w:right="57" w:firstLine="0"/>
              <w:jc w:val="left"/>
              <w:rPr>
                <w:rFonts w:ascii="Times New Roman" w:hAnsi="Times New Roman"/>
                <w:i/>
                <w:iCs/>
                <w:sz w:val="16"/>
                <w:szCs w:val="16"/>
              </w:rPr>
            </w:pPr>
          </w:p>
        </w:tc>
        <w:tc>
          <w:tcPr>
            <w:tcW w:w="365" w:type="dxa"/>
            <w:gridSpan w:val="2"/>
            <w:shd w:val="clear" w:color="auto" w:fill="auto"/>
          </w:tcPr>
          <w:p w14:paraId="39F5F7D8" w14:textId="77777777" w:rsidR="00E22279" w:rsidRPr="00E16672" w:rsidRDefault="00E22279" w:rsidP="00E22279">
            <w:pPr>
              <w:snapToGrid w:val="0"/>
              <w:rPr>
                <w:rFonts w:ascii="Times New Roman" w:hAnsi="Times New Roman"/>
                <w:lang w:val="en-US"/>
              </w:rPr>
            </w:pPr>
          </w:p>
        </w:tc>
      </w:tr>
      <w:tr w:rsidR="00E22279" w:rsidRPr="00E16672" w14:paraId="4D2E742D" w14:textId="77777777" w:rsidTr="00D77858">
        <w:tblPrEx>
          <w:tblCellMar>
            <w:left w:w="0" w:type="dxa"/>
            <w:right w:w="0" w:type="dxa"/>
          </w:tblCellMar>
        </w:tblPrEx>
        <w:tc>
          <w:tcPr>
            <w:tcW w:w="1741" w:type="dxa"/>
            <w:gridSpan w:val="2"/>
            <w:shd w:val="clear" w:color="auto" w:fill="auto"/>
          </w:tcPr>
          <w:p w14:paraId="11EE5F48" w14:textId="77777777" w:rsidR="00E22279" w:rsidRPr="00E16672" w:rsidRDefault="00E22279" w:rsidP="00E22279">
            <w:pPr>
              <w:pStyle w:val="4"/>
              <w:keepNext w:val="0"/>
              <w:tabs>
                <w:tab w:val="left" w:pos="57"/>
              </w:tabs>
              <w:snapToGrid w:val="0"/>
              <w:ind w:left="57" w:right="57" w:hanging="14"/>
              <w:jc w:val="left"/>
              <w:rPr>
                <w:rFonts w:ascii="Times New Roman" w:hAnsi="Times New Roman"/>
                <w:lang w:val="ru-RU"/>
              </w:rPr>
            </w:pPr>
          </w:p>
        </w:tc>
        <w:tc>
          <w:tcPr>
            <w:tcW w:w="3522" w:type="dxa"/>
            <w:gridSpan w:val="2"/>
            <w:shd w:val="clear" w:color="auto" w:fill="auto"/>
          </w:tcPr>
          <w:p w14:paraId="00CA085B" w14:textId="77777777" w:rsidR="00E22279" w:rsidRPr="00E16672" w:rsidRDefault="00E22279" w:rsidP="00E22279">
            <w:pPr>
              <w:pStyle w:val="4"/>
              <w:keepNext w:val="0"/>
              <w:tabs>
                <w:tab w:val="left" w:pos="1475"/>
              </w:tabs>
              <w:snapToGrid w:val="0"/>
              <w:ind w:left="57" w:right="57" w:firstLine="0"/>
              <w:jc w:val="left"/>
              <w:rPr>
                <w:rFonts w:ascii="Times New Roman" w:hAnsi="Times New Roman"/>
                <w:i/>
                <w:iCs/>
                <w:color w:val="000000"/>
                <w:sz w:val="16"/>
                <w:szCs w:val="16"/>
              </w:rPr>
            </w:pPr>
          </w:p>
        </w:tc>
        <w:tc>
          <w:tcPr>
            <w:tcW w:w="2249" w:type="dxa"/>
            <w:gridSpan w:val="6"/>
            <w:shd w:val="clear" w:color="auto" w:fill="auto"/>
          </w:tcPr>
          <w:p w14:paraId="61AF2B33" w14:textId="77777777" w:rsidR="00E22279" w:rsidRPr="00E16672" w:rsidRDefault="00E22279" w:rsidP="00E22279">
            <w:pPr>
              <w:pStyle w:val="4"/>
              <w:keepNext w:val="0"/>
              <w:tabs>
                <w:tab w:val="left" w:pos="156"/>
              </w:tabs>
              <w:snapToGrid w:val="0"/>
              <w:ind w:left="57" w:right="57" w:firstLine="99"/>
              <w:jc w:val="left"/>
              <w:rPr>
                <w:rFonts w:ascii="Times New Roman" w:hAnsi="Times New Roman"/>
                <w:b w:val="0"/>
                <w:iCs/>
                <w:color w:val="000000"/>
                <w:sz w:val="16"/>
                <w:szCs w:val="16"/>
              </w:rPr>
            </w:pPr>
          </w:p>
        </w:tc>
        <w:tc>
          <w:tcPr>
            <w:tcW w:w="3313" w:type="dxa"/>
            <w:shd w:val="clear" w:color="auto" w:fill="auto"/>
          </w:tcPr>
          <w:p w14:paraId="181940D0" w14:textId="77777777" w:rsidR="00E22279" w:rsidRPr="00E16672" w:rsidRDefault="00E22279" w:rsidP="00E22279">
            <w:pPr>
              <w:pStyle w:val="4"/>
              <w:keepNext w:val="0"/>
              <w:tabs>
                <w:tab w:val="left" w:pos="1475"/>
              </w:tabs>
              <w:snapToGrid w:val="0"/>
              <w:ind w:left="57" w:right="57" w:firstLine="0"/>
              <w:jc w:val="left"/>
              <w:rPr>
                <w:rFonts w:ascii="Times New Roman" w:hAnsi="Times New Roman"/>
                <w:i/>
                <w:iCs/>
                <w:sz w:val="16"/>
                <w:szCs w:val="16"/>
              </w:rPr>
            </w:pPr>
          </w:p>
        </w:tc>
        <w:tc>
          <w:tcPr>
            <w:tcW w:w="365" w:type="dxa"/>
            <w:gridSpan w:val="2"/>
            <w:shd w:val="clear" w:color="auto" w:fill="auto"/>
          </w:tcPr>
          <w:p w14:paraId="1BD81F1E" w14:textId="77777777" w:rsidR="00E22279" w:rsidRPr="00E16672" w:rsidRDefault="00E22279" w:rsidP="00E22279">
            <w:pPr>
              <w:snapToGrid w:val="0"/>
              <w:rPr>
                <w:rFonts w:ascii="Times New Roman" w:hAnsi="Times New Roman"/>
              </w:rPr>
            </w:pPr>
          </w:p>
        </w:tc>
      </w:tr>
      <w:tr w:rsidR="00E22279" w:rsidRPr="00E16672" w14:paraId="3E4E7C26" w14:textId="77777777" w:rsidTr="00D77858">
        <w:tblPrEx>
          <w:tblCellMar>
            <w:left w:w="0" w:type="dxa"/>
            <w:right w:w="0" w:type="dxa"/>
          </w:tblCellMar>
        </w:tblPrEx>
        <w:tc>
          <w:tcPr>
            <w:tcW w:w="1741" w:type="dxa"/>
            <w:gridSpan w:val="2"/>
            <w:shd w:val="clear" w:color="auto" w:fill="auto"/>
          </w:tcPr>
          <w:p w14:paraId="0A2BB79F" w14:textId="3CCC4007" w:rsidR="00E22279" w:rsidRPr="00E16672" w:rsidRDefault="00E22279" w:rsidP="00E22279">
            <w:pPr>
              <w:pStyle w:val="4"/>
              <w:keepNext w:val="0"/>
              <w:tabs>
                <w:tab w:val="left" w:pos="57"/>
              </w:tabs>
              <w:snapToGrid w:val="0"/>
              <w:ind w:left="57" w:right="57" w:hanging="14"/>
              <w:jc w:val="left"/>
              <w:rPr>
                <w:rFonts w:ascii="Times New Roman" w:hAnsi="Times New Roman"/>
                <w:b w:val="0"/>
                <w:iCs/>
                <w:color w:val="000000"/>
                <w:sz w:val="16"/>
                <w:szCs w:val="16"/>
              </w:rPr>
            </w:pPr>
            <w:r w:rsidRPr="00E16672">
              <w:rPr>
                <w:rFonts w:ascii="Times New Roman" w:hAnsi="Times New Roman"/>
                <w:b w:val="0"/>
                <w:iCs/>
                <w:color w:val="000000"/>
                <w:sz w:val="16"/>
                <w:szCs w:val="16"/>
              </w:rPr>
              <w:t xml:space="preserve">Місце проживання </w:t>
            </w:r>
          </w:p>
        </w:tc>
        <w:tc>
          <w:tcPr>
            <w:tcW w:w="3522" w:type="dxa"/>
            <w:gridSpan w:val="2"/>
            <w:shd w:val="clear" w:color="auto" w:fill="auto"/>
          </w:tcPr>
          <w:p w14:paraId="4A2FF6FF" w14:textId="77777777" w:rsidR="00E22279" w:rsidRPr="00E16672" w:rsidRDefault="00E22279" w:rsidP="00E22279">
            <w:pPr>
              <w:pStyle w:val="4"/>
              <w:keepNext w:val="0"/>
              <w:tabs>
                <w:tab w:val="left" w:pos="1475"/>
              </w:tabs>
              <w:snapToGrid w:val="0"/>
              <w:ind w:left="57" w:right="57" w:firstLine="0"/>
              <w:jc w:val="left"/>
              <w:rPr>
                <w:rFonts w:ascii="Times New Roman" w:hAnsi="Times New Roman"/>
                <w:i/>
                <w:iCs/>
                <w:color w:val="000000"/>
                <w:sz w:val="16"/>
                <w:szCs w:val="16"/>
              </w:rPr>
            </w:pPr>
          </w:p>
        </w:tc>
        <w:tc>
          <w:tcPr>
            <w:tcW w:w="2249" w:type="dxa"/>
            <w:gridSpan w:val="6"/>
            <w:shd w:val="clear" w:color="auto" w:fill="auto"/>
          </w:tcPr>
          <w:p w14:paraId="2D23833B" w14:textId="7356AC5F" w:rsidR="00E22279" w:rsidRPr="00E16672" w:rsidRDefault="00E22279" w:rsidP="00E22279">
            <w:pPr>
              <w:pStyle w:val="4"/>
              <w:keepNext w:val="0"/>
              <w:tabs>
                <w:tab w:val="left" w:pos="156"/>
                <w:tab w:val="num" w:pos="200"/>
              </w:tabs>
              <w:snapToGrid w:val="0"/>
              <w:ind w:left="57" w:right="57" w:firstLine="99"/>
              <w:jc w:val="left"/>
              <w:rPr>
                <w:rFonts w:ascii="Times New Roman" w:hAnsi="Times New Roman"/>
                <w:b w:val="0"/>
                <w:iCs/>
                <w:color w:val="000000"/>
                <w:sz w:val="16"/>
                <w:szCs w:val="16"/>
              </w:rPr>
            </w:pPr>
            <w:proofErr w:type="spellStart"/>
            <w:r w:rsidRPr="00E16672">
              <w:rPr>
                <w:rFonts w:ascii="Times New Roman" w:hAnsi="Times New Roman"/>
                <w:b w:val="0"/>
                <w:iCs/>
                <w:color w:val="000000"/>
                <w:sz w:val="16"/>
                <w:szCs w:val="16"/>
              </w:rPr>
              <w:t>Address</w:t>
            </w:r>
            <w:proofErr w:type="spellEnd"/>
            <w:r w:rsidRPr="00E16672">
              <w:rPr>
                <w:rFonts w:ascii="Times New Roman" w:hAnsi="Times New Roman"/>
                <w:b w:val="0"/>
                <w:iCs/>
                <w:color w:val="000000"/>
                <w:sz w:val="16"/>
                <w:szCs w:val="16"/>
              </w:rPr>
              <w:t xml:space="preserve"> </w:t>
            </w:r>
          </w:p>
        </w:tc>
        <w:tc>
          <w:tcPr>
            <w:tcW w:w="3313" w:type="dxa"/>
            <w:shd w:val="clear" w:color="auto" w:fill="auto"/>
          </w:tcPr>
          <w:p w14:paraId="466E4C2B" w14:textId="77777777" w:rsidR="00E22279" w:rsidRPr="00E16672" w:rsidRDefault="00E22279" w:rsidP="00E22279">
            <w:pPr>
              <w:pStyle w:val="4"/>
              <w:keepNext w:val="0"/>
              <w:tabs>
                <w:tab w:val="left" w:pos="1475"/>
              </w:tabs>
              <w:snapToGrid w:val="0"/>
              <w:ind w:left="57" w:right="57" w:firstLine="0"/>
              <w:jc w:val="left"/>
              <w:rPr>
                <w:rFonts w:ascii="Times New Roman" w:hAnsi="Times New Roman"/>
                <w:i/>
                <w:iCs/>
                <w:sz w:val="16"/>
                <w:szCs w:val="16"/>
              </w:rPr>
            </w:pPr>
          </w:p>
        </w:tc>
        <w:tc>
          <w:tcPr>
            <w:tcW w:w="365" w:type="dxa"/>
            <w:gridSpan w:val="2"/>
            <w:shd w:val="clear" w:color="auto" w:fill="auto"/>
          </w:tcPr>
          <w:p w14:paraId="106CF061" w14:textId="77777777" w:rsidR="00E22279" w:rsidRPr="00E16672" w:rsidRDefault="00E22279" w:rsidP="00E22279">
            <w:pPr>
              <w:snapToGrid w:val="0"/>
              <w:rPr>
                <w:rFonts w:ascii="Times New Roman" w:hAnsi="Times New Roman"/>
              </w:rPr>
            </w:pPr>
          </w:p>
        </w:tc>
      </w:tr>
      <w:tr w:rsidR="00E22279" w:rsidRPr="00E16672" w14:paraId="5395F5EF" w14:textId="77777777" w:rsidTr="00D77858">
        <w:tblPrEx>
          <w:tblCellMar>
            <w:left w:w="0" w:type="dxa"/>
            <w:right w:w="0" w:type="dxa"/>
          </w:tblCellMar>
        </w:tblPrEx>
        <w:tc>
          <w:tcPr>
            <w:tcW w:w="1741" w:type="dxa"/>
            <w:gridSpan w:val="2"/>
            <w:shd w:val="clear" w:color="auto" w:fill="auto"/>
          </w:tcPr>
          <w:p w14:paraId="63FD9F82" w14:textId="77777777" w:rsidR="00E22279" w:rsidRPr="00E16672" w:rsidRDefault="00E22279" w:rsidP="00E22279">
            <w:pPr>
              <w:pStyle w:val="4"/>
              <w:keepNext w:val="0"/>
              <w:tabs>
                <w:tab w:val="left" w:pos="57"/>
              </w:tabs>
              <w:snapToGrid w:val="0"/>
              <w:ind w:left="57" w:right="57" w:hanging="14"/>
              <w:jc w:val="left"/>
              <w:rPr>
                <w:rFonts w:ascii="Times New Roman" w:hAnsi="Times New Roman"/>
                <w:b w:val="0"/>
                <w:iCs/>
                <w:color w:val="000000"/>
                <w:sz w:val="16"/>
                <w:szCs w:val="16"/>
              </w:rPr>
            </w:pPr>
            <w:r w:rsidRPr="00E16672">
              <w:rPr>
                <w:rFonts w:ascii="Times New Roman" w:hAnsi="Times New Roman"/>
                <w:b w:val="0"/>
                <w:iCs/>
                <w:color w:val="000000"/>
                <w:sz w:val="16"/>
                <w:szCs w:val="16"/>
              </w:rPr>
              <w:t>Адреса для листування</w:t>
            </w:r>
          </w:p>
        </w:tc>
        <w:tc>
          <w:tcPr>
            <w:tcW w:w="3522" w:type="dxa"/>
            <w:gridSpan w:val="2"/>
            <w:shd w:val="clear" w:color="auto" w:fill="auto"/>
          </w:tcPr>
          <w:p w14:paraId="13DD3909" w14:textId="77777777" w:rsidR="00E22279" w:rsidRPr="00E16672" w:rsidRDefault="00E22279" w:rsidP="00E22279">
            <w:pPr>
              <w:pStyle w:val="4"/>
              <w:keepNext w:val="0"/>
              <w:tabs>
                <w:tab w:val="left" w:pos="1475"/>
              </w:tabs>
              <w:snapToGrid w:val="0"/>
              <w:ind w:left="57" w:right="57" w:firstLine="0"/>
              <w:jc w:val="left"/>
              <w:rPr>
                <w:rFonts w:ascii="Times New Roman" w:hAnsi="Times New Roman"/>
                <w:i/>
                <w:iCs/>
                <w:color w:val="000000"/>
                <w:sz w:val="16"/>
                <w:szCs w:val="16"/>
              </w:rPr>
            </w:pPr>
          </w:p>
        </w:tc>
        <w:tc>
          <w:tcPr>
            <w:tcW w:w="2249" w:type="dxa"/>
            <w:gridSpan w:val="6"/>
            <w:shd w:val="clear" w:color="auto" w:fill="auto"/>
          </w:tcPr>
          <w:p w14:paraId="28E1DCF2" w14:textId="77777777" w:rsidR="00E22279" w:rsidRPr="00E16672" w:rsidRDefault="00E22279" w:rsidP="00E22279">
            <w:pPr>
              <w:pStyle w:val="4"/>
              <w:keepNext w:val="0"/>
              <w:tabs>
                <w:tab w:val="left" w:pos="156"/>
                <w:tab w:val="num" w:pos="200"/>
              </w:tabs>
              <w:snapToGrid w:val="0"/>
              <w:ind w:left="57" w:right="57" w:firstLine="99"/>
              <w:jc w:val="left"/>
              <w:rPr>
                <w:rFonts w:ascii="Times New Roman" w:hAnsi="Times New Roman"/>
                <w:b w:val="0"/>
                <w:iCs/>
                <w:color w:val="000000"/>
                <w:sz w:val="16"/>
                <w:szCs w:val="16"/>
              </w:rPr>
            </w:pPr>
            <w:r w:rsidRPr="00E16672">
              <w:rPr>
                <w:rFonts w:ascii="Times New Roman" w:hAnsi="Times New Roman"/>
                <w:b w:val="0"/>
                <w:iCs/>
                <w:color w:val="000000"/>
                <w:sz w:val="16"/>
                <w:szCs w:val="16"/>
                <w:lang w:val="en-US"/>
              </w:rPr>
              <w:t>Correspondence address</w:t>
            </w:r>
          </w:p>
        </w:tc>
        <w:tc>
          <w:tcPr>
            <w:tcW w:w="3313" w:type="dxa"/>
            <w:shd w:val="clear" w:color="auto" w:fill="auto"/>
          </w:tcPr>
          <w:p w14:paraId="7BE5FF1C" w14:textId="77777777" w:rsidR="00E22279" w:rsidRPr="00E16672" w:rsidRDefault="00E22279" w:rsidP="00E22279">
            <w:pPr>
              <w:pStyle w:val="4"/>
              <w:keepNext w:val="0"/>
              <w:tabs>
                <w:tab w:val="left" w:pos="1475"/>
              </w:tabs>
              <w:snapToGrid w:val="0"/>
              <w:ind w:left="57" w:right="57" w:firstLine="0"/>
              <w:jc w:val="left"/>
              <w:rPr>
                <w:rFonts w:ascii="Times New Roman" w:hAnsi="Times New Roman"/>
                <w:i/>
                <w:iCs/>
                <w:sz w:val="16"/>
                <w:szCs w:val="16"/>
              </w:rPr>
            </w:pPr>
          </w:p>
        </w:tc>
        <w:tc>
          <w:tcPr>
            <w:tcW w:w="365" w:type="dxa"/>
            <w:gridSpan w:val="2"/>
            <w:shd w:val="clear" w:color="auto" w:fill="auto"/>
          </w:tcPr>
          <w:p w14:paraId="4178D526" w14:textId="77777777" w:rsidR="00E22279" w:rsidRPr="00E16672" w:rsidRDefault="00E22279" w:rsidP="00E22279">
            <w:pPr>
              <w:snapToGrid w:val="0"/>
              <w:rPr>
                <w:rFonts w:ascii="Times New Roman" w:hAnsi="Times New Roman"/>
              </w:rPr>
            </w:pPr>
          </w:p>
        </w:tc>
      </w:tr>
      <w:tr w:rsidR="00E22279" w:rsidRPr="00E16672" w14:paraId="31862762" w14:textId="77777777" w:rsidTr="00D77858">
        <w:tblPrEx>
          <w:tblCellMar>
            <w:left w:w="0" w:type="dxa"/>
            <w:right w:w="0" w:type="dxa"/>
          </w:tblCellMar>
        </w:tblPrEx>
        <w:tc>
          <w:tcPr>
            <w:tcW w:w="1741" w:type="dxa"/>
            <w:gridSpan w:val="2"/>
            <w:shd w:val="clear" w:color="auto" w:fill="auto"/>
          </w:tcPr>
          <w:p w14:paraId="3B08B794" w14:textId="77777777" w:rsidR="00E22279" w:rsidRPr="00E16672" w:rsidRDefault="00E22279" w:rsidP="00E22279">
            <w:pPr>
              <w:pStyle w:val="4"/>
              <w:keepNext w:val="0"/>
              <w:tabs>
                <w:tab w:val="left" w:pos="57"/>
              </w:tabs>
              <w:snapToGrid w:val="0"/>
              <w:ind w:left="57" w:right="57" w:hanging="14"/>
              <w:jc w:val="left"/>
              <w:rPr>
                <w:rFonts w:ascii="Times New Roman" w:hAnsi="Times New Roman"/>
                <w:b w:val="0"/>
                <w:iCs/>
                <w:color w:val="000000"/>
                <w:sz w:val="16"/>
                <w:szCs w:val="16"/>
              </w:rPr>
            </w:pPr>
            <w:r w:rsidRPr="00E16672">
              <w:rPr>
                <w:rFonts w:ascii="Times New Roman" w:hAnsi="Times New Roman"/>
                <w:b w:val="0"/>
                <w:iCs/>
                <w:color w:val="000000"/>
                <w:sz w:val="16"/>
                <w:szCs w:val="16"/>
              </w:rPr>
              <w:t>Банківські реквізити</w:t>
            </w:r>
          </w:p>
        </w:tc>
        <w:tc>
          <w:tcPr>
            <w:tcW w:w="3522" w:type="dxa"/>
            <w:gridSpan w:val="2"/>
            <w:shd w:val="clear" w:color="auto" w:fill="auto"/>
          </w:tcPr>
          <w:p w14:paraId="587775DE" w14:textId="77777777" w:rsidR="00E22279" w:rsidRPr="00E16672" w:rsidRDefault="00E22279" w:rsidP="00E22279">
            <w:pPr>
              <w:pStyle w:val="4"/>
              <w:keepNext w:val="0"/>
              <w:tabs>
                <w:tab w:val="left" w:pos="1475"/>
              </w:tabs>
              <w:snapToGrid w:val="0"/>
              <w:ind w:left="57" w:right="57" w:firstLine="0"/>
              <w:jc w:val="left"/>
              <w:rPr>
                <w:rFonts w:ascii="Times New Roman" w:hAnsi="Times New Roman"/>
                <w:i/>
                <w:iCs/>
                <w:color w:val="000000"/>
                <w:sz w:val="16"/>
                <w:szCs w:val="16"/>
              </w:rPr>
            </w:pPr>
          </w:p>
        </w:tc>
        <w:tc>
          <w:tcPr>
            <w:tcW w:w="2249" w:type="dxa"/>
            <w:gridSpan w:val="6"/>
            <w:shd w:val="clear" w:color="auto" w:fill="auto"/>
          </w:tcPr>
          <w:p w14:paraId="79F19BF6" w14:textId="77777777" w:rsidR="00E22279" w:rsidRPr="00E16672" w:rsidRDefault="00E22279" w:rsidP="00E22279">
            <w:pPr>
              <w:pStyle w:val="4"/>
              <w:keepNext w:val="0"/>
              <w:tabs>
                <w:tab w:val="left" w:pos="156"/>
                <w:tab w:val="num" w:pos="200"/>
              </w:tabs>
              <w:snapToGrid w:val="0"/>
              <w:ind w:left="57" w:right="57" w:firstLine="99"/>
              <w:jc w:val="left"/>
              <w:rPr>
                <w:rFonts w:ascii="Times New Roman" w:hAnsi="Times New Roman"/>
                <w:b w:val="0"/>
                <w:iCs/>
                <w:color w:val="000000"/>
                <w:sz w:val="16"/>
                <w:szCs w:val="16"/>
                <w:lang w:val="en-US"/>
              </w:rPr>
            </w:pPr>
            <w:r w:rsidRPr="00E16672">
              <w:rPr>
                <w:rFonts w:ascii="Times New Roman" w:hAnsi="Times New Roman"/>
                <w:b w:val="0"/>
                <w:iCs/>
                <w:color w:val="000000"/>
                <w:sz w:val="16"/>
                <w:szCs w:val="16"/>
                <w:lang w:val="en-US"/>
              </w:rPr>
              <w:t>Bank details</w:t>
            </w:r>
          </w:p>
        </w:tc>
        <w:tc>
          <w:tcPr>
            <w:tcW w:w="3313" w:type="dxa"/>
            <w:shd w:val="clear" w:color="auto" w:fill="auto"/>
          </w:tcPr>
          <w:p w14:paraId="44F93629" w14:textId="77777777" w:rsidR="00E22279" w:rsidRPr="00E16672" w:rsidRDefault="00E22279" w:rsidP="00E22279">
            <w:pPr>
              <w:pStyle w:val="4"/>
              <w:keepNext w:val="0"/>
              <w:tabs>
                <w:tab w:val="left" w:pos="1475"/>
              </w:tabs>
              <w:snapToGrid w:val="0"/>
              <w:ind w:left="57" w:right="57" w:firstLine="0"/>
              <w:jc w:val="left"/>
              <w:rPr>
                <w:rFonts w:ascii="Times New Roman" w:hAnsi="Times New Roman"/>
                <w:i/>
                <w:iCs/>
                <w:sz w:val="16"/>
                <w:szCs w:val="16"/>
              </w:rPr>
            </w:pPr>
          </w:p>
        </w:tc>
        <w:tc>
          <w:tcPr>
            <w:tcW w:w="365" w:type="dxa"/>
            <w:gridSpan w:val="2"/>
            <w:shd w:val="clear" w:color="auto" w:fill="auto"/>
          </w:tcPr>
          <w:p w14:paraId="279F9E3C" w14:textId="77777777" w:rsidR="00E22279" w:rsidRPr="00E16672" w:rsidRDefault="00E22279" w:rsidP="00E22279">
            <w:pPr>
              <w:snapToGrid w:val="0"/>
              <w:rPr>
                <w:rFonts w:ascii="Times New Roman" w:hAnsi="Times New Roman"/>
              </w:rPr>
            </w:pPr>
          </w:p>
        </w:tc>
      </w:tr>
      <w:tr w:rsidR="00E22279" w:rsidRPr="00E16672" w14:paraId="71108BB8" w14:textId="77777777" w:rsidTr="00D77858">
        <w:tblPrEx>
          <w:tblCellMar>
            <w:left w:w="0" w:type="dxa"/>
            <w:right w:w="0" w:type="dxa"/>
          </w:tblCellMar>
        </w:tblPrEx>
        <w:tc>
          <w:tcPr>
            <w:tcW w:w="1741" w:type="dxa"/>
            <w:gridSpan w:val="2"/>
            <w:shd w:val="clear" w:color="auto" w:fill="auto"/>
          </w:tcPr>
          <w:p w14:paraId="02A1AE4D" w14:textId="77777777" w:rsidR="00E22279" w:rsidRPr="00E16672" w:rsidRDefault="00E22279" w:rsidP="00E22279">
            <w:pPr>
              <w:pStyle w:val="4"/>
              <w:keepNext w:val="0"/>
              <w:tabs>
                <w:tab w:val="left" w:pos="57"/>
              </w:tabs>
              <w:snapToGrid w:val="0"/>
              <w:ind w:left="57" w:right="57" w:hanging="14"/>
              <w:jc w:val="left"/>
              <w:rPr>
                <w:rFonts w:ascii="Times New Roman" w:hAnsi="Times New Roman"/>
                <w:b w:val="0"/>
                <w:iCs/>
                <w:color w:val="000000"/>
                <w:sz w:val="16"/>
                <w:szCs w:val="16"/>
              </w:rPr>
            </w:pPr>
            <w:r w:rsidRPr="00E16672">
              <w:rPr>
                <w:rFonts w:ascii="Times New Roman" w:hAnsi="Times New Roman"/>
                <w:b w:val="0"/>
                <w:iCs/>
                <w:color w:val="000000"/>
                <w:sz w:val="16"/>
                <w:szCs w:val="16"/>
              </w:rPr>
              <w:t>Телефон</w:t>
            </w:r>
          </w:p>
        </w:tc>
        <w:tc>
          <w:tcPr>
            <w:tcW w:w="3522" w:type="dxa"/>
            <w:gridSpan w:val="2"/>
            <w:shd w:val="clear" w:color="auto" w:fill="auto"/>
          </w:tcPr>
          <w:p w14:paraId="0FA86F55" w14:textId="77777777" w:rsidR="00E22279" w:rsidRPr="00E16672" w:rsidRDefault="00E22279" w:rsidP="00E22279">
            <w:pPr>
              <w:pStyle w:val="4"/>
              <w:keepNext w:val="0"/>
              <w:tabs>
                <w:tab w:val="left" w:pos="1475"/>
              </w:tabs>
              <w:snapToGrid w:val="0"/>
              <w:ind w:left="57" w:right="57" w:firstLine="0"/>
              <w:jc w:val="left"/>
              <w:rPr>
                <w:rFonts w:ascii="Times New Roman" w:hAnsi="Times New Roman"/>
                <w:i/>
                <w:iCs/>
                <w:color w:val="000000"/>
                <w:sz w:val="16"/>
                <w:szCs w:val="16"/>
              </w:rPr>
            </w:pPr>
          </w:p>
        </w:tc>
        <w:tc>
          <w:tcPr>
            <w:tcW w:w="2249" w:type="dxa"/>
            <w:gridSpan w:val="6"/>
            <w:shd w:val="clear" w:color="auto" w:fill="auto"/>
          </w:tcPr>
          <w:p w14:paraId="4BC3BB90" w14:textId="77777777" w:rsidR="00E22279" w:rsidRPr="00E16672" w:rsidRDefault="00E22279" w:rsidP="00E22279">
            <w:pPr>
              <w:pStyle w:val="4"/>
              <w:keepNext w:val="0"/>
              <w:tabs>
                <w:tab w:val="left" w:pos="156"/>
                <w:tab w:val="num" w:pos="200"/>
              </w:tabs>
              <w:snapToGrid w:val="0"/>
              <w:ind w:left="57" w:right="57" w:firstLine="99"/>
              <w:jc w:val="left"/>
              <w:rPr>
                <w:rFonts w:ascii="Times New Roman" w:hAnsi="Times New Roman"/>
                <w:b w:val="0"/>
                <w:iCs/>
                <w:color w:val="000000"/>
                <w:sz w:val="16"/>
                <w:szCs w:val="16"/>
              </w:rPr>
            </w:pPr>
            <w:proofErr w:type="spellStart"/>
            <w:r w:rsidRPr="00E16672">
              <w:rPr>
                <w:rFonts w:ascii="Times New Roman" w:hAnsi="Times New Roman"/>
                <w:b w:val="0"/>
                <w:iCs/>
                <w:color w:val="000000"/>
                <w:sz w:val="16"/>
                <w:szCs w:val="16"/>
              </w:rPr>
              <w:t>Tel</w:t>
            </w:r>
            <w:proofErr w:type="spellEnd"/>
            <w:r w:rsidRPr="00E16672">
              <w:rPr>
                <w:rFonts w:ascii="Times New Roman" w:hAnsi="Times New Roman"/>
                <w:b w:val="0"/>
                <w:iCs/>
                <w:color w:val="000000"/>
                <w:sz w:val="16"/>
                <w:szCs w:val="16"/>
              </w:rPr>
              <w:t>.</w:t>
            </w:r>
          </w:p>
        </w:tc>
        <w:tc>
          <w:tcPr>
            <w:tcW w:w="3313" w:type="dxa"/>
            <w:shd w:val="clear" w:color="auto" w:fill="auto"/>
          </w:tcPr>
          <w:p w14:paraId="2EFF702F" w14:textId="77777777" w:rsidR="00E22279" w:rsidRPr="00E16672" w:rsidRDefault="00E22279" w:rsidP="00E22279">
            <w:pPr>
              <w:pStyle w:val="4"/>
              <w:keepNext w:val="0"/>
              <w:tabs>
                <w:tab w:val="left" w:pos="1475"/>
              </w:tabs>
              <w:snapToGrid w:val="0"/>
              <w:ind w:left="57" w:right="57" w:firstLine="0"/>
              <w:jc w:val="left"/>
              <w:rPr>
                <w:rFonts w:ascii="Times New Roman" w:hAnsi="Times New Roman"/>
                <w:i/>
                <w:iCs/>
                <w:sz w:val="16"/>
                <w:szCs w:val="16"/>
              </w:rPr>
            </w:pPr>
          </w:p>
        </w:tc>
        <w:tc>
          <w:tcPr>
            <w:tcW w:w="365" w:type="dxa"/>
            <w:gridSpan w:val="2"/>
            <w:shd w:val="clear" w:color="auto" w:fill="auto"/>
          </w:tcPr>
          <w:p w14:paraId="187F91FE" w14:textId="77777777" w:rsidR="00E22279" w:rsidRPr="00E16672" w:rsidRDefault="00E22279" w:rsidP="00E22279">
            <w:pPr>
              <w:snapToGrid w:val="0"/>
              <w:rPr>
                <w:rFonts w:ascii="Times New Roman" w:hAnsi="Times New Roman"/>
              </w:rPr>
            </w:pPr>
          </w:p>
        </w:tc>
      </w:tr>
      <w:tr w:rsidR="00E22279" w:rsidRPr="00E16672" w14:paraId="483CD135" w14:textId="77777777" w:rsidTr="00D77858">
        <w:tblPrEx>
          <w:tblCellMar>
            <w:left w:w="0" w:type="dxa"/>
            <w:right w:w="0" w:type="dxa"/>
          </w:tblCellMar>
        </w:tblPrEx>
        <w:tc>
          <w:tcPr>
            <w:tcW w:w="1741" w:type="dxa"/>
            <w:gridSpan w:val="2"/>
            <w:shd w:val="clear" w:color="auto" w:fill="auto"/>
          </w:tcPr>
          <w:p w14:paraId="22CD18DE" w14:textId="1DB30625" w:rsidR="00E22279" w:rsidRPr="00E16672" w:rsidRDefault="00E22279" w:rsidP="00E22279">
            <w:pPr>
              <w:pStyle w:val="4"/>
              <w:keepNext w:val="0"/>
              <w:tabs>
                <w:tab w:val="left" w:pos="57"/>
              </w:tabs>
              <w:snapToGrid w:val="0"/>
              <w:ind w:left="57" w:right="57" w:hanging="14"/>
              <w:jc w:val="left"/>
              <w:rPr>
                <w:rFonts w:ascii="Times New Roman" w:hAnsi="Times New Roman"/>
                <w:b w:val="0"/>
                <w:iCs/>
                <w:color w:val="000000"/>
                <w:sz w:val="16"/>
                <w:szCs w:val="16"/>
              </w:rPr>
            </w:pPr>
          </w:p>
        </w:tc>
        <w:tc>
          <w:tcPr>
            <w:tcW w:w="3522" w:type="dxa"/>
            <w:gridSpan w:val="2"/>
            <w:shd w:val="clear" w:color="auto" w:fill="auto"/>
          </w:tcPr>
          <w:p w14:paraId="313FBC6A" w14:textId="77777777" w:rsidR="00E22279" w:rsidRPr="00E16672" w:rsidRDefault="00E22279" w:rsidP="00E22279">
            <w:pPr>
              <w:pStyle w:val="4"/>
              <w:keepNext w:val="0"/>
              <w:tabs>
                <w:tab w:val="left" w:pos="1475"/>
              </w:tabs>
              <w:snapToGrid w:val="0"/>
              <w:ind w:left="57" w:right="57" w:firstLine="0"/>
              <w:jc w:val="left"/>
              <w:rPr>
                <w:rFonts w:ascii="Times New Roman" w:hAnsi="Times New Roman"/>
                <w:i/>
                <w:iCs/>
                <w:color w:val="000000"/>
                <w:sz w:val="16"/>
                <w:szCs w:val="16"/>
              </w:rPr>
            </w:pPr>
          </w:p>
        </w:tc>
        <w:tc>
          <w:tcPr>
            <w:tcW w:w="2249" w:type="dxa"/>
            <w:gridSpan w:val="6"/>
            <w:shd w:val="clear" w:color="auto" w:fill="auto"/>
          </w:tcPr>
          <w:p w14:paraId="752BF816" w14:textId="5DE462E6" w:rsidR="00E22279" w:rsidRPr="00E16672" w:rsidRDefault="00E22279" w:rsidP="00E22279">
            <w:pPr>
              <w:pStyle w:val="4"/>
              <w:keepNext w:val="0"/>
              <w:tabs>
                <w:tab w:val="left" w:pos="156"/>
                <w:tab w:val="num" w:pos="200"/>
              </w:tabs>
              <w:snapToGrid w:val="0"/>
              <w:ind w:left="57" w:right="57" w:firstLine="99"/>
              <w:jc w:val="left"/>
              <w:rPr>
                <w:rFonts w:ascii="Times New Roman" w:hAnsi="Times New Roman"/>
                <w:b w:val="0"/>
                <w:iCs/>
                <w:color w:val="000000"/>
                <w:sz w:val="16"/>
                <w:szCs w:val="16"/>
              </w:rPr>
            </w:pPr>
          </w:p>
        </w:tc>
        <w:tc>
          <w:tcPr>
            <w:tcW w:w="3313" w:type="dxa"/>
            <w:shd w:val="clear" w:color="auto" w:fill="auto"/>
          </w:tcPr>
          <w:p w14:paraId="32D94C12" w14:textId="77777777" w:rsidR="00E22279" w:rsidRPr="00E16672" w:rsidRDefault="00E22279" w:rsidP="00E22279">
            <w:pPr>
              <w:pStyle w:val="4"/>
              <w:keepNext w:val="0"/>
              <w:tabs>
                <w:tab w:val="left" w:pos="1475"/>
              </w:tabs>
              <w:snapToGrid w:val="0"/>
              <w:ind w:left="57" w:right="57" w:firstLine="0"/>
              <w:jc w:val="left"/>
              <w:rPr>
                <w:rFonts w:ascii="Times New Roman" w:hAnsi="Times New Roman"/>
                <w:i/>
                <w:iCs/>
                <w:sz w:val="16"/>
                <w:szCs w:val="16"/>
              </w:rPr>
            </w:pPr>
          </w:p>
        </w:tc>
        <w:tc>
          <w:tcPr>
            <w:tcW w:w="365" w:type="dxa"/>
            <w:gridSpan w:val="2"/>
            <w:shd w:val="clear" w:color="auto" w:fill="auto"/>
          </w:tcPr>
          <w:p w14:paraId="55480D8E" w14:textId="77777777" w:rsidR="00E22279" w:rsidRPr="00E16672" w:rsidRDefault="00E22279" w:rsidP="00E22279">
            <w:pPr>
              <w:snapToGrid w:val="0"/>
              <w:rPr>
                <w:rFonts w:ascii="Times New Roman" w:hAnsi="Times New Roman"/>
              </w:rPr>
            </w:pPr>
          </w:p>
        </w:tc>
      </w:tr>
      <w:tr w:rsidR="00E22279" w:rsidRPr="00E16672" w14:paraId="5EE599E4" w14:textId="77777777" w:rsidTr="00D77858">
        <w:tblPrEx>
          <w:tblCellMar>
            <w:left w:w="0" w:type="dxa"/>
            <w:right w:w="0" w:type="dxa"/>
          </w:tblCellMar>
        </w:tblPrEx>
        <w:tc>
          <w:tcPr>
            <w:tcW w:w="1741" w:type="dxa"/>
            <w:gridSpan w:val="2"/>
            <w:shd w:val="clear" w:color="auto" w:fill="auto"/>
          </w:tcPr>
          <w:p w14:paraId="6032C92D" w14:textId="77777777" w:rsidR="00E22279" w:rsidRPr="00E16672" w:rsidRDefault="00E22279" w:rsidP="00E22279">
            <w:pPr>
              <w:pStyle w:val="4"/>
              <w:keepNext w:val="0"/>
              <w:tabs>
                <w:tab w:val="left" w:pos="57"/>
              </w:tabs>
              <w:snapToGrid w:val="0"/>
              <w:ind w:left="57" w:right="57" w:hanging="14"/>
              <w:jc w:val="left"/>
              <w:rPr>
                <w:rFonts w:ascii="Times New Roman" w:hAnsi="Times New Roman"/>
                <w:b w:val="0"/>
                <w:iCs/>
                <w:color w:val="000000"/>
                <w:sz w:val="16"/>
                <w:szCs w:val="16"/>
                <w:lang w:val="en-US"/>
              </w:rPr>
            </w:pPr>
            <w:r w:rsidRPr="00E16672">
              <w:rPr>
                <w:rFonts w:ascii="Times New Roman" w:hAnsi="Times New Roman"/>
                <w:b w:val="0"/>
                <w:iCs/>
                <w:color w:val="000000"/>
                <w:sz w:val="16"/>
                <w:szCs w:val="16"/>
                <w:lang w:val="en-US"/>
              </w:rPr>
              <w:t>E-mail</w:t>
            </w:r>
          </w:p>
        </w:tc>
        <w:tc>
          <w:tcPr>
            <w:tcW w:w="3522" w:type="dxa"/>
            <w:gridSpan w:val="2"/>
            <w:shd w:val="clear" w:color="auto" w:fill="auto"/>
          </w:tcPr>
          <w:p w14:paraId="175CA4E8" w14:textId="77777777" w:rsidR="00E22279" w:rsidRPr="00E16672" w:rsidRDefault="00E22279" w:rsidP="00E22279">
            <w:pPr>
              <w:snapToGrid w:val="0"/>
              <w:ind w:left="57" w:right="57"/>
              <w:rPr>
                <w:rFonts w:ascii="Times New Roman" w:hAnsi="Times New Roman"/>
                <w:b/>
                <w:bCs/>
                <w:color w:val="000000"/>
                <w:sz w:val="16"/>
                <w:szCs w:val="16"/>
                <w:lang w:val="en-US"/>
              </w:rPr>
            </w:pPr>
          </w:p>
        </w:tc>
        <w:tc>
          <w:tcPr>
            <w:tcW w:w="2249" w:type="dxa"/>
            <w:gridSpan w:val="6"/>
            <w:shd w:val="clear" w:color="auto" w:fill="auto"/>
          </w:tcPr>
          <w:p w14:paraId="582F1ECA" w14:textId="77777777" w:rsidR="00E22279" w:rsidRPr="00E16672" w:rsidRDefault="00E22279" w:rsidP="00E22279">
            <w:pPr>
              <w:pStyle w:val="4"/>
              <w:keepNext w:val="0"/>
              <w:tabs>
                <w:tab w:val="left" w:pos="156"/>
                <w:tab w:val="num" w:pos="200"/>
              </w:tabs>
              <w:snapToGrid w:val="0"/>
              <w:ind w:left="57" w:right="57" w:firstLine="99"/>
              <w:jc w:val="left"/>
              <w:rPr>
                <w:rFonts w:ascii="Times New Roman" w:hAnsi="Times New Roman"/>
                <w:b w:val="0"/>
                <w:iCs/>
                <w:color w:val="000000"/>
                <w:sz w:val="16"/>
                <w:szCs w:val="16"/>
                <w:lang w:val="en-US"/>
              </w:rPr>
            </w:pPr>
            <w:r w:rsidRPr="00E16672">
              <w:rPr>
                <w:rFonts w:ascii="Times New Roman" w:hAnsi="Times New Roman"/>
                <w:b w:val="0"/>
                <w:iCs/>
                <w:color w:val="000000"/>
                <w:sz w:val="16"/>
                <w:szCs w:val="16"/>
                <w:lang w:val="en-US"/>
              </w:rPr>
              <w:t>E-mail</w:t>
            </w:r>
          </w:p>
        </w:tc>
        <w:tc>
          <w:tcPr>
            <w:tcW w:w="3313" w:type="dxa"/>
            <w:shd w:val="clear" w:color="auto" w:fill="auto"/>
          </w:tcPr>
          <w:p w14:paraId="22BD024D" w14:textId="77777777" w:rsidR="00E22279" w:rsidRPr="00E16672" w:rsidRDefault="00E22279" w:rsidP="00E22279">
            <w:pPr>
              <w:snapToGrid w:val="0"/>
              <w:ind w:left="57" w:right="57"/>
              <w:rPr>
                <w:rFonts w:ascii="Times New Roman" w:hAnsi="Times New Roman"/>
                <w:b/>
                <w:bCs/>
                <w:sz w:val="16"/>
                <w:szCs w:val="16"/>
                <w:lang w:val="en-US"/>
              </w:rPr>
            </w:pPr>
          </w:p>
        </w:tc>
        <w:tc>
          <w:tcPr>
            <w:tcW w:w="365" w:type="dxa"/>
            <w:gridSpan w:val="2"/>
            <w:shd w:val="clear" w:color="auto" w:fill="auto"/>
          </w:tcPr>
          <w:p w14:paraId="480E126C" w14:textId="77777777" w:rsidR="00E22279" w:rsidRPr="00E16672" w:rsidRDefault="00E22279" w:rsidP="00E22279">
            <w:pPr>
              <w:snapToGrid w:val="0"/>
              <w:rPr>
                <w:rFonts w:ascii="Times New Roman" w:hAnsi="Times New Roman"/>
              </w:rPr>
            </w:pPr>
          </w:p>
        </w:tc>
      </w:tr>
      <w:tr w:rsidR="00E22279" w:rsidRPr="00F23413" w:rsidDel="00D16973" w14:paraId="562ADA14" w14:textId="77777777" w:rsidTr="00D77858">
        <w:tblPrEx>
          <w:tblCellMar>
            <w:left w:w="0" w:type="dxa"/>
            <w:right w:w="0" w:type="dxa"/>
          </w:tblCellMar>
        </w:tblPrEx>
        <w:trPr>
          <w:trHeight w:val="582"/>
        </w:trPr>
        <w:tc>
          <w:tcPr>
            <w:tcW w:w="1741" w:type="dxa"/>
            <w:gridSpan w:val="2"/>
            <w:shd w:val="clear" w:color="auto" w:fill="auto"/>
          </w:tcPr>
          <w:p w14:paraId="294DA5CF" w14:textId="7CB35CD9" w:rsidR="00E22279" w:rsidRPr="00E16672" w:rsidRDefault="00E22279" w:rsidP="00E22279">
            <w:pPr>
              <w:pStyle w:val="4"/>
              <w:numPr>
                <w:ilvl w:val="3"/>
                <w:numId w:val="0"/>
              </w:numPr>
              <w:tabs>
                <w:tab w:val="num" w:pos="864"/>
              </w:tabs>
              <w:ind w:left="57" w:right="57"/>
              <w:jc w:val="left"/>
              <w:rPr>
                <w:rFonts w:ascii="Times New Roman" w:hAnsi="Times New Roman"/>
                <w:sz w:val="16"/>
              </w:rPr>
            </w:pPr>
            <w:r w:rsidRPr="00E16672">
              <w:rPr>
                <w:rFonts w:ascii="Times New Roman" w:hAnsi="Times New Roman"/>
                <w:b w:val="0"/>
                <w:sz w:val="16"/>
              </w:rPr>
              <w:t>Документ, що підтверджує повноваження особи, яка підписує договір</w:t>
            </w:r>
            <w:r w:rsidRPr="00E16672">
              <w:rPr>
                <w:rFonts w:ascii="Times New Roman" w:hAnsi="Times New Roman"/>
                <w:sz w:val="16"/>
              </w:rPr>
              <w:t xml:space="preserve"> </w:t>
            </w:r>
            <w:r w:rsidRPr="00E16672">
              <w:rPr>
                <w:rFonts w:ascii="Times New Roman" w:hAnsi="Times New Roman"/>
                <w:b w:val="0"/>
                <w:i/>
                <w:sz w:val="16"/>
              </w:rPr>
              <w:t xml:space="preserve">(у разі підписання </w:t>
            </w:r>
            <w:r w:rsidR="00654396" w:rsidRPr="00654396">
              <w:rPr>
                <w:rFonts w:ascii="Times New Roman" w:hAnsi="Times New Roman"/>
                <w:b w:val="0"/>
                <w:i/>
                <w:sz w:val="16"/>
              </w:rPr>
              <w:t>уповноваженою особою</w:t>
            </w:r>
            <w:r w:rsidRPr="00E16672">
              <w:rPr>
                <w:rFonts w:ascii="Times New Roman" w:hAnsi="Times New Roman"/>
                <w:b w:val="0"/>
                <w:i/>
                <w:sz w:val="16"/>
              </w:rPr>
              <w:t>)</w:t>
            </w:r>
          </w:p>
        </w:tc>
        <w:tc>
          <w:tcPr>
            <w:tcW w:w="3622" w:type="dxa"/>
            <w:gridSpan w:val="3"/>
            <w:shd w:val="clear" w:color="auto" w:fill="auto"/>
          </w:tcPr>
          <w:p w14:paraId="22DEB1D8" w14:textId="77777777" w:rsidR="00E22279" w:rsidRPr="00E16672" w:rsidRDefault="00E22279" w:rsidP="00E22279">
            <w:pPr>
              <w:pStyle w:val="1f2"/>
              <w:tabs>
                <w:tab w:val="num" w:pos="200"/>
              </w:tabs>
              <w:ind w:left="57" w:right="-200" w:hanging="15"/>
              <w:rPr>
                <w:rFonts w:ascii="Times New Roman" w:hAnsi="Times New Roman" w:cs="Times New Roman"/>
                <w:b/>
                <w:color w:val="0000FF"/>
                <w:sz w:val="16"/>
                <w:szCs w:val="16"/>
                <w:lang w:val="ru-RU"/>
              </w:rPr>
            </w:pPr>
          </w:p>
        </w:tc>
        <w:tc>
          <w:tcPr>
            <w:tcW w:w="2106" w:type="dxa"/>
            <w:gridSpan w:val="4"/>
            <w:shd w:val="clear" w:color="auto" w:fill="auto"/>
          </w:tcPr>
          <w:p w14:paraId="5459756C" w14:textId="63624385" w:rsidR="00E22279" w:rsidRPr="00E16672" w:rsidRDefault="00E22279" w:rsidP="00E22279">
            <w:pPr>
              <w:pStyle w:val="4"/>
              <w:widowControl w:val="0"/>
              <w:numPr>
                <w:ilvl w:val="3"/>
                <w:numId w:val="0"/>
              </w:numPr>
              <w:tabs>
                <w:tab w:val="num" w:pos="200"/>
              </w:tabs>
              <w:ind w:left="58" w:right="-200" w:hanging="15"/>
              <w:jc w:val="left"/>
              <w:rPr>
                <w:rFonts w:ascii="Times New Roman" w:hAnsi="Times New Roman"/>
                <w:b w:val="0"/>
                <w:iCs/>
                <w:sz w:val="16"/>
                <w:szCs w:val="16"/>
                <w:lang w:val="en-US"/>
              </w:rPr>
            </w:pPr>
            <w:proofErr w:type="spellStart"/>
            <w:r w:rsidRPr="00E16672">
              <w:rPr>
                <w:rFonts w:ascii="Times New Roman" w:hAnsi="Times New Roman"/>
                <w:b w:val="0"/>
                <w:sz w:val="16"/>
                <w:szCs w:val="16"/>
              </w:rPr>
              <w:t>Document</w:t>
            </w:r>
            <w:proofErr w:type="spellEnd"/>
            <w:r w:rsidRPr="00E16672">
              <w:rPr>
                <w:rFonts w:ascii="Times New Roman" w:hAnsi="Times New Roman"/>
                <w:b w:val="0"/>
                <w:sz w:val="16"/>
                <w:szCs w:val="16"/>
              </w:rPr>
              <w:t xml:space="preserve"> </w:t>
            </w:r>
            <w:proofErr w:type="spellStart"/>
            <w:r w:rsidRPr="00E16672">
              <w:rPr>
                <w:rFonts w:ascii="Times New Roman" w:hAnsi="Times New Roman"/>
                <w:b w:val="0"/>
                <w:sz w:val="16"/>
                <w:szCs w:val="16"/>
              </w:rPr>
              <w:t>confirming</w:t>
            </w:r>
            <w:proofErr w:type="spellEnd"/>
            <w:r w:rsidRPr="00E16672">
              <w:rPr>
                <w:rFonts w:ascii="Times New Roman" w:hAnsi="Times New Roman"/>
                <w:b w:val="0"/>
                <w:sz w:val="16"/>
                <w:szCs w:val="16"/>
              </w:rPr>
              <w:t xml:space="preserve"> </w:t>
            </w:r>
            <w:proofErr w:type="spellStart"/>
            <w:r w:rsidRPr="00E16672">
              <w:rPr>
                <w:rFonts w:ascii="Times New Roman" w:hAnsi="Times New Roman"/>
                <w:b w:val="0"/>
                <w:sz w:val="16"/>
                <w:szCs w:val="16"/>
              </w:rPr>
              <w:t>the</w:t>
            </w:r>
            <w:proofErr w:type="spellEnd"/>
            <w:r w:rsidRPr="00E16672">
              <w:rPr>
                <w:rFonts w:ascii="Times New Roman" w:hAnsi="Times New Roman"/>
                <w:b w:val="0"/>
                <w:sz w:val="16"/>
                <w:szCs w:val="16"/>
              </w:rPr>
              <w:t xml:space="preserve"> </w:t>
            </w:r>
            <w:proofErr w:type="spellStart"/>
            <w:r w:rsidRPr="00E16672">
              <w:rPr>
                <w:rFonts w:ascii="Times New Roman" w:hAnsi="Times New Roman"/>
                <w:b w:val="0"/>
                <w:sz w:val="16"/>
                <w:szCs w:val="16"/>
              </w:rPr>
              <w:t>authority</w:t>
            </w:r>
            <w:proofErr w:type="spellEnd"/>
            <w:r w:rsidRPr="00E16672">
              <w:rPr>
                <w:rFonts w:ascii="Times New Roman" w:hAnsi="Times New Roman"/>
                <w:b w:val="0"/>
                <w:sz w:val="16"/>
                <w:szCs w:val="16"/>
              </w:rPr>
              <w:t xml:space="preserve"> </w:t>
            </w:r>
            <w:proofErr w:type="spellStart"/>
            <w:r w:rsidRPr="00E16672">
              <w:rPr>
                <w:rFonts w:ascii="Times New Roman" w:hAnsi="Times New Roman"/>
                <w:b w:val="0"/>
                <w:sz w:val="16"/>
                <w:szCs w:val="16"/>
              </w:rPr>
              <w:t>of</w:t>
            </w:r>
            <w:proofErr w:type="spellEnd"/>
            <w:r w:rsidRPr="00E16672">
              <w:rPr>
                <w:rFonts w:ascii="Times New Roman" w:hAnsi="Times New Roman"/>
                <w:b w:val="0"/>
                <w:sz w:val="16"/>
                <w:szCs w:val="16"/>
              </w:rPr>
              <w:t xml:space="preserve"> </w:t>
            </w:r>
            <w:proofErr w:type="spellStart"/>
            <w:r w:rsidRPr="00E16672">
              <w:rPr>
                <w:rFonts w:ascii="Times New Roman" w:hAnsi="Times New Roman"/>
                <w:b w:val="0"/>
                <w:sz w:val="16"/>
                <w:szCs w:val="16"/>
              </w:rPr>
              <w:t>the</w:t>
            </w:r>
            <w:proofErr w:type="spellEnd"/>
            <w:r w:rsidRPr="00E16672">
              <w:rPr>
                <w:rFonts w:ascii="Times New Roman" w:hAnsi="Times New Roman"/>
                <w:b w:val="0"/>
                <w:sz w:val="16"/>
                <w:szCs w:val="16"/>
              </w:rPr>
              <w:t xml:space="preserve"> </w:t>
            </w:r>
            <w:proofErr w:type="spellStart"/>
            <w:r w:rsidRPr="00E16672">
              <w:rPr>
                <w:rFonts w:ascii="Times New Roman" w:hAnsi="Times New Roman"/>
                <w:b w:val="0"/>
                <w:sz w:val="16"/>
                <w:szCs w:val="16"/>
              </w:rPr>
              <w:t>person</w:t>
            </w:r>
            <w:proofErr w:type="spellEnd"/>
            <w:r w:rsidRPr="00E16672">
              <w:rPr>
                <w:rFonts w:ascii="Times New Roman" w:hAnsi="Times New Roman"/>
                <w:b w:val="0"/>
                <w:sz w:val="16"/>
                <w:szCs w:val="16"/>
              </w:rPr>
              <w:t xml:space="preserve"> </w:t>
            </w:r>
            <w:proofErr w:type="spellStart"/>
            <w:r w:rsidRPr="00E16672">
              <w:rPr>
                <w:rFonts w:ascii="Times New Roman" w:hAnsi="Times New Roman"/>
                <w:b w:val="0"/>
                <w:sz w:val="16"/>
                <w:szCs w:val="16"/>
              </w:rPr>
              <w:t>signing</w:t>
            </w:r>
            <w:proofErr w:type="spellEnd"/>
            <w:r w:rsidRPr="00E16672">
              <w:rPr>
                <w:rFonts w:ascii="Times New Roman" w:hAnsi="Times New Roman"/>
                <w:b w:val="0"/>
                <w:sz w:val="16"/>
                <w:szCs w:val="16"/>
              </w:rPr>
              <w:t xml:space="preserve"> </w:t>
            </w:r>
            <w:proofErr w:type="spellStart"/>
            <w:r w:rsidRPr="00E16672">
              <w:rPr>
                <w:rFonts w:ascii="Times New Roman" w:hAnsi="Times New Roman"/>
                <w:b w:val="0"/>
                <w:sz w:val="16"/>
                <w:szCs w:val="16"/>
              </w:rPr>
              <w:t>the</w:t>
            </w:r>
            <w:proofErr w:type="spellEnd"/>
            <w:r w:rsidRPr="00E16672">
              <w:rPr>
                <w:rFonts w:ascii="Times New Roman" w:hAnsi="Times New Roman"/>
                <w:b w:val="0"/>
                <w:sz w:val="16"/>
                <w:szCs w:val="16"/>
              </w:rPr>
              <w:t xml:space="preserve"> </w:t>
            </w:r>
            <w:proofErr w:type="spellStart"/>
            <w:r w:rsidRPr="00E16672">
              <w:rPr>
                <w:rFonts w:ascii="Times New Roman" w:hAnsi="Times New Roman"/>
                <w:b w:val="0"/>
                <w:sz w:val="16"/>
                <w:szCs w:val="16"/>
              </w:rPr>
              <w:t>contract</w:t>
            </w:r>
            <w:proofErr w:type="spellEnd"/>
            <w:r w:rsidRPr="00E16672">
              <w:rPr>
                <w:rFonts w:ascii="Times New Roman" w:hAnsi="Times New Roman"/>
                <w:b w:val="0"/>
                <w:sz w:val="16"/>
                <w:szCs w:val="16"/>
              </w:rPr>
              <w:t xml:space="preserve"> </w:t>
            </w:r>
            <w:r w:rsidRPr="00E16672">
              <w:rPr>
                <w:rFonts w:ascii="Times New Roman" w:hAnsi="Times New Roman"/>
                <w:b w:val="0"/>
                <w:i/>
                <w:sz w:val="16"/>
                <w:szCs w:val="16"/>
              </w:rPr>
              <w:t>(</w:t>
            </w:r>
            <w:proofErr w:type="spellStart"/>
            <w:r w:rsidRPr="00E16672">
              <w:rPr>
                <w:rFonts w:ascii="Times New Roman" w:hAnsi="Times New Roman"/>
                <w:b w:val="0"/>
                <w:i/>
                <w:sz w:val="16"/>
                <w:szCs w:val="16"/>
              </w:rPr>
              <w:t>if</w:t>
            </w:r>
            <w:proofErr w:type="spellEnd"/>
            <w:r w:rsidRPr="00E16672">
              <w:rPr>
                <w:rFonts w:ascii="Times New Roman" w:hAnsi="Times New Roman"/>
                <w:b w:val="0"/>
                <w:i/>
                <w:sz w:val="16"/>
                <w:szCs w:val="16"/>
              </w:rPr>
              <w:t xml:space="preserve"> </w:t>
            </w:r>
            <w:proofErr w:type="spellStart"/>
            <w:r w:rsidRPr="00E16672">
              <w:rPr>
                <w:rFonts w:ascii="Times New Roman" w:hAnsi="Times New Roman"/>
                <w:b w:val="0"/>
                <w:i/>
                <w:sz w:val="16"/>
                <w:szCs w:val="16"/>
              </w:rPr>
              <w:t>signed</w:t>
            </w:r>
            <w:proofErr w:type="spellEnd"/>
            <w:r w:rsidRPr="00E16672">
              <w:rPr>
                <w:rFonts w:ascii="Times New Roman" w:hAnsi="Times New Roman"/>
                <w:b w:val="0"/>
                <w:i/>
                <w:sz w:val="16"/>
                <w:szCs w:val="16"/>
              </w:rPr>
              <w:t xml:space="preserve"> </w:t>
            </w:r>
            <w:proofErr w:type="spellStart"/>
            <w:r w:rsidRPr="00E16672">
              <w:rPr>
                <w:rFonts w:ascii="Times New Roman" w:hAnsi="Times New Roman"/>
                <w:b w:val="0"/>
                <w:i/>
                <w:sz w:val="16"/>
                <w:szCs w:val="16"/>
              </w:rPr>
              <w:t>by</w:t>
            </w:r>
            <w:proofErr w:type="spellEnd"/>
            <w:r w:rsidRPr="00E16672">
              <w:rPr>
                <w:rFonts w:ascii="Times New Roman" w:hAnsi="Times New Roman"/>
                <w:b w:val="0"/>
                <w:i/>
                <w:sz w:val="16"/>
                <w:szCs w:val="16"/>
              </w:rPr>
              <w:t xml:space="preserve"> </w:t>
            </w:r>
            <w:proofErr w:type="spellStart"/>
            <w:r w:rsidRPr="00E16672">
              <w:rPr>
                <w:rFonts w:ascii="Times New Roman" w:hAnsi="Times New Roman"/>
                <w:b w:val="0"/>
                <w:i/>
                <w:sz w:val="16"/>
                <w:szCs w:val="16"/>
              </w:rPr>
              <w:t>the</w:t>
            </w:r>
            <w:proofErr w:type="spellEnd"/>
            <w:r w:rsidRPr="00E16672">
              <w:rPr>
                <w:rFonts w:ascii="Times New Roman" w:hAnsi="Times New Roman"/>
                <w:b w:val="0"/>
                <w:i/>
                <w:sz w:val="16"/>
                <w:szCs w:val="16"/>
              </w:rPr>
              <w:t xml:space="preserve"> </w:t>
            </w:r>
            <w:proofErr w:type="spellStart"/>
            <w:r w:rsidR="00654396" w:rsidRPr="00654396">
              <w:rPr>
                <w:rFonts w:ascii="Times New Roman" w:hAnsi="Times New Roman"/>
                <w:b w:val="0"/>
                <w:i/>
                <w:sz w:val="16"/>
                <w:szCs w:val="16"/>
              </w:rPr>
              <w:t>autorized</w:t>
            </w:r>
            <w:proofErr w:type="spellEnd"/>
            <w:r w:rsidR="00654396" w:rsidRPr="00654396">
              <w:rPr>
                <w:rFonts w:ascii="Times New Roman" w:hAnsi="Times New Roman"/>
                <w:b w:val="0"/>
                <w:i/>
                <w:sz w:val="16"/>
                <w:szCs w:val="16"/>
              </w:rPr>
              <w:t xml:space="preserve"> </w:t>
            </w:r>
            <w:proofErr w:type="spellStart"/>
            <w:r w:rsidR="00654396" w:rsidRPr="00654396">
              <w:rPr>
                <w:rFonts w:ascii="Times New Roman" w:hAnsi="Times New Roman"/>
                <w:b w:val="0"/>
                <w:i/>
                <w:sz w:val="16"/>
                <w:szCs w:val="16"/>
              </w:rPr>
              <w:t>person</w:t>
            </w:r>
            <w:proofErr w:type="spellEnd"/>
            <w:r w:rsidRPr="00E16672">
              <w:rPr>
                <w:rFonts w:ascii="Times New Roman" w:hAnsi="Times New Roman"/>
                <w:b w:val="0"/>
                <w:i/>
                <w:sz w:val="16"/>
                <w:szCs w:val="16"/>
              </w:rPr>
              <w:t>)</w:t>
            </w:r>
          </w:p>
        </w:tc>
        <w:tc>
          <w:tcPr>
            <w:tcW w:w="3721" w:type="dxa"/>
            <w:gridSpan w:val="4"/>
            <w:shd w:val="clear" w:color="auto" w:fill="auto"/>
          </w:tcPr>
          <w:p w14:paraId="06FA94CB" w14:textId="77777777" w:rsidR="00E22279" w:rsidRPr="00E16672" w:rsidDel="00D16973" w:rsidRDefault="00E22279" w:rsidP="00E22279">
            <w:pPr>
              <w:pStyle w:val="6"/>
              <w:widowControl w:val="0"/>
              <w:tabs>
                <w:tab w:val="num" w:pos="200"/>
              </w:tabs>
              <w:snapToGrid w:val="0"/>
              <w:ind w:left="0" w:firstLine="0"/>
              <w:jc w:val="left"/>
              <w:rPr>
                <w:rFonts w:ascii="Times New Roman" w:hAnsi="Times New Roman"/>
                <w:color w:val="0000FF"/>
                <w:sz w:val="24"/>
                <w:szCs w:val="24"/>
                <w:lang w:val="en-US"/>
              </w:rPr>
            </w:pPr>
          </w:p>
        </w:tc>
      </w:tr>
      <w:tr w:rsidR="00E22279" w:rsidRPr="00E16672" w14:paraId="18473FF1" w14:textId="77777777" w:rsidTr="00D77858">
        <w:tblPrEx>
          <w:tblCellMar>
            <w:left w:w="0" w:type="dxa"/>
            <w:right w:w="0" w:type="dxa"/>
          </w:tblCellMar>
        </w:tblPrEx>
        <w:tc>
          <w:tcPr>
            <w:tcW w:w="5263" w:type="dxa"/>
            <w:gridSpan w:val="4"/>
            <w:shd w:val="clear" w:color="auto" w:fill="auto"/>
          </w:tcPr>
          <w:p w14:paraId="44FD2328" w14:textId="77777777" w:rsidR="00E22279" w:rsidRPr="00E16672" w:rsidRDefault="00E22279" w:rsidP="00E22279">
            <w:pPr>
              <w:snapToGrid w:val="0"/>
              <w:ind w:left="57" w:right="57"/>
              <w:jc w:val="center"/>
              <w:rPr>
                <w:rFonts w:ascii="Times New Roman" w:hAnsi="Times New Roman"/>
                <w:b/>
                <w:bCs/>
                <w:iCs/>
                <w:color w:val="000000"/>
                <w:sz w:val="16"/>
                <w:szCs w:val="16"/>
                <w:lang w:val="en-US"/>
              </w:rPr>
            </w:pPr>
          </w:p>
          <w:p w14:paraId="3E3A92F8" w14:textId="77777777" w:rsidR="00E22279" w:rsidRPr="00E16672" w:rsidRDefault="00E22279" w:rsidP="00E22279">
            <w:pPr>
              <w:ind w:left="57" w:right="57"/>
              <w:jc w:val="center"/>
              <w:rPr>
                <w:rFonts w:ascii="Times New Roman" w:hAnsi="Times New Roman"/>
                <w:b/>
                <w:bCs/>
                <w:color w:val="000000"/>
                <w:sz w:val="16"/>
                <w:szCs w:val="16"/>
              </w:rPr>
            </w:pPr>
            <w:proofErr w:type="spellStart"/>
            <w:r w:rsidRPr="00E16672">
              <w:rPr>
                <w:rFonts w:ascii="Times New Roman" w:hAnsi="Times New Roman"/>
                <w:b/>
                <w:bCs/>
                <w:color w:val="000000"/>
                <w:sz w:val="16"/>
                <w:szCs w:val="16"/>
              </w:rPr>
              <w:t>Депозитарна</w:t>
            </w:r>
            <w:proofErr w:type="spellEnd"/>
            <w:r w:rsidRPr="00E16672">
              <w:rPr>
                <w:rFonts w:ascii="Times New Roman" w:hAnsi="Times New Roman"/>
                <w:b/>
                <w:bCs/>
                <w:color w:val="000000"/>
                <w:sz w:val="16"/>
                <w:szCs w:val="16"/>
              </w:rPr>
              <w:t xml:space="preserve"> </w:t>
            </w:r>
            <w:proofErr w:type="spellStart"/>
            <w:r w:rsidRPr="00E16672">
              <w:rPr>
                <w:rFonts w:ascii="Times New Roman" w:hAnsi="Times New Roman"/>
                <w:b/>
                <w:bCs/>
                <w:color w:val="000000"/>
                <w:sz w:val="16"/>
                <w:szCs w:val="16"/>
              </w:rPr>
              <w:t>установа</w:t>
            </w:r>
            <w:proofErr w:type="spellEnd"/>
            <w:r w:rsidRPr="00E16672">
              <w:rPr>
                <w:rFonts w:ascii="Times New Roman" w:hAnsi="Times New Roman"/>
                <w:b/>
                <w:bCs/>
                <w:color w:val="000000"/>
                <w:sz w:val="16"/>
                <w:szCs w:val="16"/>
              </w:rPr>
              <w:t>:</w:t>
            </w:r>
          </w:p>
          <w:p w14:paraId="6824FAF9" w14:textId="77777777" w:rsidR="00E22279" w:rsidRPr="00E16672" w:rsidRDefault="00E22279" w:rsidP="00E22279">
            <w:pPr>
              <w:snapToGrid w:val="0"/>
              <w:ind w:left="57" w:right="57"/>
              <w:jc w:val="center"/>
              <w:rPr>
                <w:rFonts w:ascii="Times New Roman" w:hAnsi="Times New Roman"/>
                <w:color w:val="000000"/>
                <w:sz w:val="16"/>
                <w:szCs w:val="16"/>
                <w:lang w:val="en-US"/>
              </w:rPr>
            </w:pPr>
          </w:p>
        </w:tc>
        <w:tc>
          <w:tcPr>
            <w:tcW w:w="5562" w:type="dxa"/>
            <w:gridSpan w:val="7"/>
            <w:shd w:val="clear" w:color="auto" w:fill="auto"/>
          </w:tcPr>
          <w:p w14:paraId="6DBD1C37" w14:textId="77777777" w:rsidR="00E22279" w:rsidRPr="00E16672" w:rsidRDefault="00E22279" w:rsidP="00E22279">
            <w:pPr>
              <w:snapToGrid w:val="0"/>
              <w:ind w:left="57" w:right="57"/>
              <w:rPr>
                <w:rFonts w:ascii="Times New Roman" w:hAnsi="Times New Roman"/>
                <w:b/>
                <w:bCs/>
                <w:color w:val="000000"/>
                <w:sz w:val="16"/>
                <w:szCs w:val="16"/>
              </w:rPr>
            </w:pPr>
          </w:p>
          <w:p w14:paraId="0AF04A31" w14:textId="77777777" w:rsidR="00E22279" w:rsidRPr="00E16672" w:rsidRDefault="00E22279" w:rsidP="00E22279">
            <w:pPr>
              <w:ind w:left="57" w:right="57"/>
              <w:jc w:val="center"/>
              <w:rPr>
                <w:rFonts w:ascii="Times New Roman" w:hAnsi="Times New Roman"/>
                <w:b/>
                <w:bCs/>
                <w:color w:val="000000"/>
                <w:sz w:val="16"/>
                <w:szCs w:val="16"/>
              </w:rPr>
            </w:pPr>
            <w:r w:rsidRPr="00E16672">
              <w:rPr>
                <w:rFonts w:ascii="Times New Roman" w:hAnsi="Times New Roman"/>
                <w:b/>
                <w:color w:val="000000"/>
                <w:sz w:val="16"/>
                <w:szCs w:val="16"/>
                <w:lang w:val="en-US"/>
              </w:rPr>
              <w:t>Depository institution</w:t>
            </w:r>
            <w:r w:rsidRPr="00E16672">
              <w:rPr>
                <w:rFonts w:ascii="Times New Roman" w:hAnsi="Times New Roman"/>
                <w:b/>
                <w:bCs/>
                <w:color w:val="000000"/>
                <w:sz w:val="16"/>
                <w:szCs w:val="16"/>
              </w:rPr>
              <w:t>:</w:t>
            </w:r>
          </w:p>
          <w:p w14:paraId="3F5AF5F8" w14:textId="77777777" w:rsidR="00E22279" w:rsidRPr="00E16672" w:rsidRDefault="00E22279" w:rsidP="00E22279">
            <w:pPr>
              <w:snapToGrid w:val="0"/>
              <w:ind w:left="57" w:right="57"/>
              <w:rPr>
                <w:rFonts w:ascii="Times New Roman" w:hAnsi="Times New Roman"/>
                <w:color w:val="000000"/>
                <w:sz w:val="16"/>
                <w:szCs w:val="16"/>
                <w:lang w:val="en-US"/>
              </w:rPr>
            </w:pPr>
          </w:p>
        </w:tc>
        <w:tc>
          <w:tcPr>
            <w:tcW w:w="365" w:type="dxa"/>
            <w:gridSpan w:val="2"/>
            <w:tcBorders>
              <w:left w:val="nil"/>
            </w:tcBorders>
            <w:shd w:val="clear" w:color="auto" w:fill="auto"/>
          </w:tcPr>
          <w:p w14:paraId="1F9AFF77" w14:textId="77777777" w:rsidR="00E22279" w:rsidRPr="00E16672" w:rsidRDefault="00E22279" w:rsidP="00E22279">
            <w:pPr>
              <w:snapToGrid w:val="0"/>
              <w:rPr>
                <w:rFonts w:ascii="Times New Roman" w:hAnsi="Times New Roman"/>
              </w:rPr>
            </w:pPr>
          </w:p>
        </w:tc>
      </w:tr>
      <w:tr w:rsidR="00E22279" w:rsidRPr="00E16672" w14:paraId="074A4FE6" w14:textId="77777777" w:rsidTr="00D77858">
        <w:tblPrEx>
          <w:tblCellMar>
            <w:left w:w="0" w:type="dxa"/>
            <w:right w:w="0" w:type="dxa"/>
          </w:tblCellMar>
        </w:tblPrEx>
        <w:tc>
          <w:tcPr>
            <w:tcW w:w="1741" w:type="dxa"/>
            <w:gridSpan w:val="2"/>
            <w:shd w:val="clear" w:color="auto" w:fill="auto"/>
          </w:tcPr>
          <w:p w14:paraId="006CAD83" w14:textId="77777777" w:rsidR="00E22279" w:rsidRPr="00E16672" w:rsidRDefault="00E22279" w:rsidP="00E22279">
            <w:pPr>
              <w:pStyle w:val="4"/>
              <w:keepNext w:val="0"/>
              <w:tabs>
                <w:tab w:val="left" w:pos="57"/>
              </w:tabs>
              <w:snapToGrid w:val="0"/>
              <w:ind w:left="57" w:right="57" w:hanging="14"/>
              <w:jc w:val="left"/>
              <w:rPr>
                <w:rFonts w:ascii="Times New Roman" w:hAnsi="Times New Roman"/>
                <w:b w:val="0"/>
                <w:iCs/>
                <w:color w:val="000000"/>
                <w:sz w:val="16"/>
                <w:szCs w:val="16"/>
              </w:rPr>
            </w:pPr>
            <w:proofErr w:type="spellStart"/>
            <w:r w:rsidRPr="00E16672">
              <w:rPr>
                <w:rFonts w:ascii="Times New Roman" w:hAnsi="Times New Roman"/>
                <w:b w:val="0"/>
                <w:iCs/>
                <w:color w:val="000000"/>
                <w:sz w:val="16"/>
                <w:szCs w:val="16"/>
                <w:lang w:val="ru-RU"/>
              </w:rPr>
              <w:t>Повне</w:t>
            </w:r>
            <w:proofErr w:type="spellEnd"/>
            <w:r w:rsidRPr="00E16672">
              <w:rPr>
                <w:rFonts w:ascii="Times New Roman" w:hAnsi="Times New Roman"/>
                <w:b w:val="0"/>
                <w:iCs/>
                <w:color w:val="000000"/>
                <w:sz w:val="16"/>
                <w:szCs w:val="16"/>
                <w:lang w:val="ru-RU"/>
              </w:rPr>
              <w:t xml:space="preserve"> </w:t>
            </w:r>
            <w:r w:rsidRPr="00E16672">
              <w:rPr>
                <w:rFonts w:ascii="Times New Roman" w:hAnsi="Times New Roman"/>
                <w:b w:val="0"/>
                <w:iCs/>
                <w:color w:val="000000"/>
                <w:sz w:val="16"/>
                <w:szCs w:val="16"/>
              </w:rPr>
              <w:t>Найменування</w:t>
            </w:r>
          </w:p>
        </w:tc>
        <w:tc>
          <w:tcPr>
            <w:tcW w:w="3522" w:type="dxa"/>
            <w:gridSpan w:val="2"/>
            <w:shd w:val="clear" w:color="auto" w:fill="auto"/>
            <w:vAlign w:val="center"/>
          </w:tcPr>
          <w:p w14:paraId="64492D77" w14:textId="77777777" w:rsidR="00E22279" w:rsidRPr="00E16672" w:rsidRDefault="00E22279" w:rsidP="00022F5F">
            <w:pPr>
              <w:widowControl w:val="0"/>
              <w:snapToGrid w:val="0"/>
              <w:ind w:left="57" w:right="57" w:firstLine="0"/>
              <w:jc w:val="left"/>
              <w:rPr>
                <w:rFonts w:ascii="Times New Roman" w:hAnsi="Times New Roman"/>
                <w:caps/>
                <w:color w:val="000000"/>
                <w:sz w:val="16"/>
                <w:szCs w:val="16"/>
              </w:rPr>
            </w:pPr>
            <w:r w:rsidRPr="00E16672">
              <w:rPr>
                <w:rFonts w:ascii="Times New Roman" w:hAnsi="Times New Roman"/>
                <w:sz w:val="16"/>
                <w:szCs w:val="16"/>
              </w:rPr>
              <w:t xml:space="preserve">ТОВАРИСТВО З ОБМЕЖЕНОЮ ВІДПОВІДАЛЬНІСТЮ </w:t>
            </w:r>
            <w:r w:rsidR="00022F5F">
              <w:rPr>
                <w:rFonts w:ascii="Times New Roman" w:hAnsi="Times New Roman"/>
                <w:sz w:val="16"/>
                <w:szCs w:val="16"/>
              </w:rPr>
              <w:t>"</w:t>
            </w:r>
            <w:r w:rsidR="00E16672" w:rsidRPr="00E16672">
              <w:rPr>
                <w:rFonts w:ascii="Times New Roman" w:hAnsi="Times New Roman"/>
                <w:sz w:val="16"/>
                <w:szCs w:val="16"/>
              </w:rPr>
              <w:t>КОМЕКС ЦІННІ ПАПЕРИ</w:t>
            </w:r>
            <w:r w:rsidR="00022F5F">
              <w:rPr>
                <w:rFonts w:ascii="Times New Roman" w:hAnsi="Times New Roman"/>
                <w:sz w:val="16"/>
                <w:szCs w:val="16"/>
              </w:rPr>
              <w:t>"</w:t>
            </w:r>
          </w:p>
        </w:tc>
        <w:tc>
          <w:tcPr>
            <w:tcW w:w="2000" w:type="dxa"/>
            <w:gridSpan w:val="4"/>
            <w:shd w:val="clear" w:color="auto" w:fill="auto"/>
            <w:vAlign w:val="center"/>
          </w:tcPr>
          <w:p w14:paraId="666214E2" w14:textId="77777777" w:rsidR="00E22279" w:rsidRPr="00E16672" w:rsidRDefault="00E22279" w:rsidP="00E22279">
            <w:pPr>
              <w:pStyle w:val="4"/>
              <w:keepNext w:val="0"/>
              <w:tabs>
                <w:tab w:val="left" w:pos="57"/>
              </w:tabs>
              <w:snapToGrid w:val="0"/>
              <w:ind w:left="57" w:right="57" w:hanging="15"/>
              <w:jc w:val="left"/>
              <w:rPr>
                <w:rFonts w:ascii="Times New Roman" w:hAnsi="Times New Roman"/>
                <w:b w:val="0"/>
                <w:iCs/>
                <w:color w:val="000000"/>
                <w:sz w:val="16"/>
                <w:szCs w:val="16"/>
                <w:lang w:val="en-US"/>
              </w:rPr>
            </w:pPr>
            <w:r w:rsidRPr="00E16672">
              <w:rPr>
                <w:rFonts w:ascii="Times New Roman" w:hAnsi="Times New Roman"/>
                <w:b w:val="0"/>
                <w:iCs/>
                <w:color w:val="000000"/>
                <w:sz w:val="16"/>
                <w:szCs w:val="16"/>
                <w:lang w:val="en-US"/>
              </w:rPr>
              <w:t>Full name</w:t>
            </w:r>
          </w:p>
        </w:tc>
        <w:tc>
          <w:tcPr>
            <w:tcW w:w="3562" w:type="dxa"/>
            <w:gridSpan w:val="3"/>
            <w:shd w:val="clear" w:color="auto" w:fill="auto"/>
            <w:vAlign w:val="center"/>
          </w:tcPr>
          <w:p w14:paraId="5BC8018F" w14:textId="77777777" w:rsidR="00E22279" w:rsidRPr="00E16672" w:rsidRDefault="001E62BE" w:rsidP="00E22279">
            <w:pPr>
              <w:tabs>
                <w:tab w:val="left" w:pos="1475"/>
              </w:tabs>
              <w:snapToGrid w:val="0"/>
              <w:ind w:left="57" w:right="57" w:firstLine="0"/>
              <w:jc w:val="left"/>
              <w:rPr>
                <w:rFonts w:ascii="Times New Roman" w:hAnsi="Times New Roman"/>
                <w:caps/>
                <w:sz w:val="16"/>
                <w:szCs w:val="16"/>
                <w:lang w:val="en-GB"/>
              </w:rPr>
            </w:pPr>
            <w:r>
              <w:rPr>
                <w:rFonts w:ascii="Times New Roman" w:hAnsi="Times New Roman"/>
                <w:sz w:val="16"/>
                <w:szCs w:val="16"/>
                <w:lang w:val="en-GB"/>
              </w:rPr>
              <w:t>COMEX Securities Limited</w:t>
            </w:r>
          </w:p>
        </w:tc>
        <w:tc>
          <w:tcPr>
            <w:tcW w:w="365" w:type="dxa"/>
            <w:gridSpan w:val="2"/>
            <w:shd w:val="clear" w:color="auto" w:fill="auto"/>
          </w:tcPr>
          <w:p w14:paraId="22F0B486" w14:textId="77777777" w:rsidR="00E22279" w:rsidRPr="00E16672" w:rsidRDefault="00E22279" w:rsidP="00E22279">
            <w:pPr>
              <w:snapToGrid w:val="0"/>
              <w:rPr>
                <w:rFonts w:ascii="Times New Roman" w:hAnsi="Times New Roman"/>
                <w:lang w:val="en-US"/>
              </w:rPr>
            </w:pPr>
          </w:p>
        </w:tc>
      </w:tr>
      <w:tr w:rsidR="00E22279" w:rsidRPr="00F23413" w14:paraId="4C63E1D4" w14:textId="77777777" w:rsidTr="00D77858">
        <w:tblPrEx>
          <w:tblCellMar>
            <w:left w:w="0" w:type="dxa"/>
            <w:right w:w="0" w:type="dxa"/>
          </w:tblCellMar>
        </w:tblPrEx>
        <w:tc>
          <w:tcPr>
            <w:tcW w:w="1741" w:type="dxa"/>
            <w:gridSpan w:val="2"/>
            <w:shd w:val="clear" w:color="auto" w:fill="auto"/>
          </w:tcPr>
          <w:p w14:paraId="48E7EE84" w14:textId="77777777" w:rsidR="00E22279" w:rsidRPr="00E16672" w:rsidRDefault="00E22279" w:rsidP="00E22279">
            <w:pPr>
              <w:pStyle w:val="4"/>
              <w:keepNext w:val="0"/>
              <w:tabs>
                <w:tab w:val="left" w:pos="57"/>
              </w:tabs>
              <w:snapToGrid w:val="0"/>
              <w:ind w:left="57" w:right="57" w:hanging="14"/>
              <w:jc w:val="left"/>
              <w:rPr>
                <w:rFonts w:ascii="Times New Roman" w:hAnsi="Times New Roman"/>
                <w:b w:val="0"/>
                <w:iCs/>
                <w:color w:val="000000"/>
                <w:sz w:val="16"/>
                <w:szCs w:val="16"/>
              </w:rPr>
            </w:pPr>
            <w:r w:rsidRPr="00E16672">
              <w:rPr>
                <w:rFonts w:ascii="Times New Roman" w:hAnsi="Times New Roman"/>
                <w:b w:val="0"/>
                <w:iCs/>
                <w:color w:val="000000"/>
                <w:sz w:val="16"/>
                <w:szCs w:val="16"/>
              </w:rPr>
              <w:t>Місцезнаходження</w:t>
            </w:r>
          </w:p>
        </w:tc>
        <w:tc>
          <w:tcPr>
            <w:tcW w:w="3522" w:type="dxa"/>
            <w:gridSpan w:val="2"/>
            <w:shd w:val="clear" w:color="auto" w:fill="auto"/>
            <w:vAlign w:val="center"/>
          </w:tcPr>
          <w:p w14:paraId="04B60E21" w14:textId="77777777" w:rsidR="00E22279" w:rsidRPr="00E16672" w:rsidRDefault="001E62BE" w:rsidP="00E22279">
            <w:pPr>
              <w:widowControl w:val="0"/>
              <w:snapToGrid w:val="0"/>
              <w:ind w:left="57" w:right="57" w:firstLine="0"/>
              <w:jc w:val="left"/>
              <w:rPr>
                <w:rFonts w:ascii="Times New Roman" w:hAnsi="Times New Roman"/>
                <w:color w:val="0000FF"/>
                <w:sz w:val="16"/>
                <w:szCs w:val="16"/>
              </w:rPr>
            </w:pPr>
            <w:r>
              <w:rPr>
                <w:rFonts w:ascii="Times New Roman" w:hAnsi="Times New Roman"/>
                <w:bCs/>
                <w:sz w:val="16"/>
                <w:szCs w:val="16"/>
                <w:lang w:val="uk-UA"/>
              </w:rPr>
              <w:t xml:space="preserve">Україна, </w:t>
            </w:r>
            <w:proofErr w:type="spellStart"/>
            <w:r>
              <w:rPr>
                <w:rFonts w:ascii="Times New Roman" w:hAnsi="Times New Roman"/>
                <w:bCs/>
                <w:sz w:val="16"/>
                <w:szCs w:val="16"/>
                <w:lang w:val="uk-UA"/>
              </w:rPr>
              <w:t>м.Київ</w:t>
            </w:r>
            <w:proofErr w:type="spellEnd"/>
            <w:r>
              <w:rPr>
                <w:rFonts w:ascii="Times New Roman" w:hAnsi="Times New Roman"/>
                <w:bCs/>
                <w:sz w:val="16"/>
                <w:szCs w:val="16"/>
                <w:lang w:val="uk-UA"/>
              </w:rPr>
              <w:t>, Велика Васильківська (колишня Червоноармійська) вул., буд. 65</w:t>
            </w:r>
          </w:p>
        </w:tc>
        <w:tc>
          <w:tcPr>
            <w:tcW w:w="2000" w:type="dxa"/>
            <w:gridSpan w:val="4"/>
            <w:shd w:val="clear" w:color="auto" w:fill="auto"/>
            <w:vAlign w:val="center"/>
          </w:tcPr>
          <w:p w14:paraId="5748C91A" w14:textId="77777777" w:rsidR="00E22279" w:rsidRPr="00E16672" w:rsidRDefault="00E22279" w:rsidP="00E22279">
            <w:pPr>
              <w:pStyle w:val="4"/>
              <w:keepNext w:val="0"/>
              <w:tabs>
                <w:tab w:val="left" w:pos="57"/>
              </w:tabs>
              <w:snapToGrid w:val="0"/>
              <w:ind w:left="57" w:right="57" w:hanging="15"/>
              <w:jc w:val="left"/>
              <w:rPr>
                <w:rFonts w:ascii="Times New Roman" w:hAnsi="Times New Roman"/>
                <w:b w:val="0"/>
                <w:iCs/>
                <w:color w:val="000000"/>
                <w:sz w:val="16"/>
                <w:szCs w:val="16"/>
                <w:lang w:val="en-US"/>
              </w:rPr>
            </w:pPr>
            <w:r w:rsidRPr="00E16672">
              <w:rPr>
                <w:rFonts w:ascii="Times New Roman" w:hAnsi="Times New Roman"/>
                <w:b w:val="0"/>
                <w:iCs/>
                <w:color w:val="000000"/>
                <w:sz w:val="16"/>
                <w:szCs w:val="16"/>
                <w:lang w:val="en-US"/>
              </w:rPr>
              <w:t>Residential address</w:t>
            </w:r>
          </w:p>
        </w:tc>
        <w:tc>
          <w:tcPr>
            <w:tcW w:w="3562" w:type="dxa"/>
            <w:gridSpan w:val="3"/>
            <w:shd w:val="clear" w:color="auto" w:fill="auto"/>
            <w:vAlign w:val="center"/>
          </w:tcPr>
          <w:p w14:paraId="1E57BE5E" w14:textId="77777777" w:rsidR="00E22279" w:rsidRPr="00E16672" w:rsidRDefault="001E62BE" w:rsidP="00E22279">
            <w:pPr>
              <w:pStyle w:val="4"/>
              <w:keepNext w:val="0"/>
              <w:widowControl w:val="0"/>
              <w:numPr>
                <w:ilvl w:val="0"/>
                <w:numId w:val="0"/>
              </w:numPr>
              <w:snapToGrid w:val="0"/>
              <w:ind w:left="3" w:hanging="3"/>
              <w:jc w:val="left"/>
              <w:rPr>
                <w:rFonts w:ascii="Times New Roman" w:hAnsi="Times New Roman"/>
                <w:b w:val="0"/>
                <w:sz w:val="16"/>
                <w:szCs w:val="16"/>
                <w:lang w:val="en-GB"/>
              </w:rPr>
            </w:pPr>
            <w:r>
              <w:rPr>
                <w:rFonts w:ascii="Times New Roman" w:hAnsi="Times New Roman"/>
                <w:b w:val="0"/>
                <w:sz w:val="16"/>
                <w:szCs w:val="16"/>
                <w:lang w:val="en-GB"/>
              </w:rPr>
              <w:t xml:space="preserve">Ukraine, Kyiv, </w:t>
            </w:r>
            <w:proofErr w:type="spellStart"/>
            <w:r>
              <w:rPr>
                <w:rFonts w:ascii="Times New Roman" w:hAnsi="Times New Roman"/>
                <w:b w:val="0"/>
                <w:sz w:val="16"/>
                <w:szCs w:val="16"/>
                <w:lang w:val="en-GB"/>
              </w:rPr>
              <w:t>Velyka</w:t>
            </w:r>
            <w:proofErr w:type="spellEnd"/>
            <w:r>
              <w:rPr>
                <w:rFonts w:ascii="Times New Roman" w:hAnsi="Times New Roman"/>
                <w:b w:val="0"/>
                <w:sz w:val="16"/>
                <w:szCs w:val="16"/>
                <w:lang w:val="en-GB"/>
              </w:rPr>
              <w:t xml:space="preserve"> </w:t>
            </w:r>
            <w:proofErr w:type="spellStart"/>
            <w:r>
              <w:rPr>
                <w:rFonts w:ascii="Times New Roman" w:hAnsi="Times New Roman"/>
                <w:b w:val="0"/>
                <w:sz w:val="16"/>
                <w:szCs w:val="16"/>
                <w:lang w:val="en-GB"/>
              </w:rPr>
              <w:t>Vasilkivska</w:t>
            </w:r>
            <w:proofErr w:type="spellEnd"/>
            <w:r>
              <w:rPr>
                <w:rFonts w:ascii="Times New Roman" w:hAnsi="Times New Roman"/>
                <w:b w:val="0"/>
                <w:sz w:val="16"/>
                <w:szCs w:val="16"/>
                <w:lang w:val="en-GB"/>
              </w:rPr>
              <w:t xml:space="preserve"> (former </w:t>
            </w:r>
            <w:proofErr w:type="spellStart"/>
            <w:r>
              <w:rPr>
                <w:rFonts w:ascii="Times New Roman" w:hAnsi="Times New Roman"/>
                <w:b w:val="0"/>
                <w:sz w:val="16"/>
                <w:szCs w:val="16"/>
                <w:lang w:val="en-GB"/>
              </w:rPr>
              <w:t>Chervonoarmiyska</w:t>
            </w:r>
            <w:proofErr w:type="spellEnd"/>
            <w:r>
              <w:rPr>
                <w:rFonts w:ascii="Times New Roman" w:hAnsi="Times New Roman"/>
                <w:b w:val="0"/>
                <w:sz w:val="16"/>
                <w:szCs w:val="16"/>
                <w:lang w:val="en-GB"/>
              </w:rPr>
              <w:t>) str., 65</w:t>
            </w:r>
          </w:p>
        </w:tc>
        <w:tc>
          <w:tcPr>
            <w:tcW w:w="365" w:type="dxa"/>
            <w:gridSpan w:val="2"/>
            <w:shd w:val="clear" w:color="auto" w:fill="auto"/>
          </w:tcPr>
          <w:p w14:paraId="272EE069" w14:textId="77777777" w:rsidR="00E22279" w:rsidRPr="00E16672" w:rsidRDefault="00E22279" w:rsidP="00E22279">
            <w:pPr>
              <w:snapToGrid w:val="0"/>
              <w:rPr>
                <w:rFonts w:ascii="Times New Roman" w:hAnsi="Times New Roman"/>
                <w:lang w:val="en-US"/>
              </w:rPr>
            </w:pPr>
          </w:p>
        </w:tc>
      </w:tr>
      <w:tr w:rsidR="00E22279" w:rsidRPr="00F23413" w14:paraId="2090E44F" w14:textId="77777777" w:rsidTr="00D77858">
        <w:tblPrEx>
          <w:tblCellMar>
            <w:left w:w="0" w:type="dxa"/>
            <w:right w:w="0" w:type="dxa"/>
          </w:tblCellMar>
        </w:tblPrEx>
        <w:tc>
          <w:tcPr>
            <w:tcW w:w="1741" w:type="dxa"/>
            <w:gridSpan w:val="2"/>
            <w:shd w:val="clear" w:color="auto" w:fill="auto"/>
          </w:tcPr>
          <w:p w14:paraId="2EDB5902" w14:textId="77777777" w:rsidR="00E22279" w:rsidRPr="00E16672" w:rsidRDefault="00E22279" w:rsidP="00E22279">
            <w:pPr>
              <w:pStyle w:val="4"/>
              <w:keepNext w:val="0"/>
              <w:tabs>
                <w:tab w:val="left" w:pos="57"/>
              </w:tabs>
              <w:snapToGrid w:val="0"/>
              <w:ind w:left="57" w:right="57" w:hanging="14"/>
              <w:jc w:val="left"/>
              <w:rPr>
                <w:rFonts w:ascii="Times New Roman" w:hAnsi="Times New Roman"/>
                <w:iCs/>
                <w:color w:val="000000"/>
                <w:sz w:val="16"/>
                <w:szCs w:val="16"/>
              </w:rPr>
            </w:pPr>
            <w:r w:rsidRPr="00E16672">
              <w:rPr>
                <w:rFonts w:ascii="Times New Roman" w:hAnsi="Times New Roman"/>
                <w:iCs/>
                <w:color w:val="000000"/>
                <w:sz w:val="16"/>
                <w:szCs w:val="16"/>
              </w:rPr>
              <w:t>Адреса для листування а</w:t>
            </w:r>
          </w:p>
        </w:tc>
        <w:tc>
          <w:tcPr>
            <w:tcW w:w="3522" w:type="dxa"/>
            <w:gridSpan w:val="2"/>
            <w:shd w:val="clear" w:color="auto" w:fill="auto"/>
            <w:vAlign w:val="center"/>
          </w:tcPr>
          <w:p w14:paraId="2FF27725" w14:textId="77777777" w:rsidR="00E22279" w:rsidRPr="00E16672" w:rsidRDefault="001E62BE" w:rsidP="00E22279">
            <w:pPr>
              <w:widowControl w:val="0"/>
              <w:snapToGrid w:val="0"/>
              <w:ind w:left="57" w:right="57" w:firstLine="0"/>
              <w:jc w:val="left"/>
              <w:rPr>
                <w:rFonts w:ascii="Times New Roman" w:hAnsi="Times New Roman"/>
                <w:color w:val="0000FF"/>
                <w:sz w:val="16"/>
                <w:szCs w:val="16"/>
              </w:rPr>
            </w:pPr>
            <w:r>
              <w:rPr>
                <w:rFonts w:ascii="Times New Roman" w:hAnsi="Times New Roman"/>
                <w:bCs/>
                <w:sz w:val="16"/>
                <w:szCs w:val="16"/>
                <w:lang w:val="uk-UA"/>
              </w:rPr>
              <w:t xml:space="preserve">Україна, </w:t>
            </w:r>
            <w:proofErr w:type="spellStart"/>
            <w:r>
              <w:rPr>
                <w:rFonts w:ascii="Times New Roman" w:hAnsi="Times New Roman"/>
                <w:bCs/>
                <w:sz w:val="16"/>
                <w:szCs w:val="16"/>
                <w:lang w:val="uk-UA"/>
              </w:rPr>
              <w:t>м.Київ</w:t>
            </w:r>
            <w:proofErr w:type="spellEnd"/>
            <w:r>
              <w:rPr>
                <w:rFonts w:ascii="Times New Roman" w:hAnsi="Times New Roman"/>
                <w:bCs/>
                <w:sz w:val="16"/>
                <w:szCs w:val="16"/>
                <w:lang w:val="uk-UA"/>
              </w:rPr>
              <w:t>, Велика Васильківська (колишня Червоноармійська) вул., буд. 65, оф.409</w:t>
            </w:r>
          </w:p>
        </w:tc>
        <w:tc>
          <w:tcPr>
            <w:tcW w:w="2000" w:type="dxa"/>
            <w:gridSpan w:val="4"/>
            <w:shd w:val="clear" w:color="auto" w:fill="auto"/>
            <w:vAlign w:val="center"/>
          </w:tcPr>
          <w:p w14:paraId="03D1A2FB" w14:textId="77777777" w:rsidR="00E22279" w:rsidRPr="00E16672" w:rsidRDefault="00E22279" w:rsidP="00E22279">
            <w:pPr>
              <w:pStyle w:val="4"/>
              <w:keepNext w:val="0"/>
              <w:tabs>
                <w:tab w:val="left" w:pos="57"/>
              </w:tabs>
              <w:snapToGrid w:val="0"/>
              <w:ind w:left="57" w:right="57" w:hanging="15"/>
              <w:jc w:val="left"/>
              <w:rPr>
                <w:rFonts w:ascii="Times New Roman" w:hAnsi="Times New Roman"/>
                <w:b w:val="0"/>
                <w:iCs/>
                <w:color w:val="000000"/>
                <w:sz w:val="16"/>
                <w:szCs w:val="16"/>
                <w:lang w:val="en-US"/>
              </w:rPr>
            </w:pPr>
            <w:r w:rsidRPr="00E16672">
              <w:rPr>
                <w:rFonts w:ascii="Times New Roman" w:hAnsi="Times New Roman"/>
                <w:b w:val="0"/>
                <w:iCs/>
                <w:color w:val="000000"/>
                <w:sz w:val="16"/>
                <w:szCs w:val="16"/>
                <w:lang w:val="en-US"/>
              </w:rPr>
              <w:t>Correspondence address</w:t>
            </w:r>
          </w:p>
        </w:tc>
        <w:tc>
          <w:tcPr>
            <w:tcW w:w="3562" w:type="dxa"/>
            <w:gridSpan w:val="3"/>
            <w:shd w:val="clear" w:color="auto" w:fill="auto"/>
            <w:vAlign w:val="center"/>
          </w:tcPr>
          <w:p w14:paraId="1C66372D" w14:textId="77777777" w:rsidR="00E22279" w:rsidRPr="00E16672" w:rsidRDefault="001E62BE" w:rsidP="00E22279">
            <w:pPr>
              <w:pStyle w:val="4"/>
              <w:widowControl w:val="0"/>
              <w:numPr>
                <w:ilvl w:val="3"/>
                <w:numId w:val="4"/>
              </w:numPr>
              <w:snapToGrid w:val="0"/>
              <w:jc w:val="left"/>
              <w:rPr>
                <w:rFonts w:ascii="Times New Roman" w:hAnsi="Times New Roman"/>
                <w:b w:val="0"/>
                <w:sz w:val="16"/>
                <w:szCs w:val="16"/>
                <w:lang w:val="en-GB"/>
              </w:rPr>
            </w:pPr>
            <w:r>
              <w:rPr>
                <w:rFonts w:ascii="Times New Roman" w:hAnsi="Times New Roman"/>
                <w:b w:val="0"/>
                <w:sz w:val="16"/>
                <w:szCs w:val="16"/>
                <w:lang w:val="en-GB"/>
              </w:rPr>
              <w:t xml:space="preserve">Ukraine, Kyiv, </w:t>
            </w:r>
            <w:proofErr w:type="spellStart"/>
            <w:r>
              <w:rPr>
                <w:rFonts w:ascii="Times New Roman" w:hAnsi="Times New Roman"/>
                <w:b w:val="0"/>
                <w:sz w:val="16"/>
                <w:szCs w:val="16"/>
                <w:lang w:val="en-GB"/>
              </w:rPr>
              <w:t>Velyka</w:t>
            </w:r>
            <w:proofErr w:type="spellEnd"/>
            <w:r>
              <w:rPr>
                <w:rFonts w:ascii="Times New Roman" w:hAnsi="Times New Roman"/>
                <w:b w:val="0"/>
                <w:sz w:val="16"/>
                <w:szCs w:val="16"/>
                <w:lang w:val="en-GB"/>
              </w:rPr>
              <w:t xml:space="preserve"> </w:t>
            </w:r>
            <w:proofErr w:type="spellStart"/>
            <w:r>
              <w:rPr>
                <w:rFonts w:ascii="Times New Roman" w:hAnsi="Times New Roman"/>
                <w:b w:val="0"/>
                <w:sz w:val="16"/>
                <w:szCs w:val="16"/>
                <w:lang w:val="en-GB"/>
              </w:rPr>
              <w:t>Vasilkivska</w:t>
            </w:r>
            <w:proofErr w:type="spellEnd"/>
            <w:r>
              <w:rPr>
                <w:rFonts w:ascii="Times New Roman" w:hAnsi="Times New Roman"/>
                <w:b w:val="0"/>
                <w:sz w:val="16"/>
                <w:szCs w:val="16"/>
                <w:lang w:val="en-GB"/>
              </w:rPr>
              <w:t xml:space="preserve"> (former </w:t>
            </w:r>
            <w:proofErr w:type="spellStart"/>
            <w:r>
              <w:rPr>
                <w:rFonts w:ascii="Times New Roman" w:hAnsi="Times New Roman"/>
                <w:b w:val="0"/>
                <w:sz w:val="16"/>
                <w:szCs w:val="16"/>
                <w:lang w:val="en-GB"/>
              </w:rPr>
              <w:t>Chervonoarmiyska</w:t>
            </w:r>
            <w:proofErr w:type="spellEnd"/>
            <w:r>
              <w:rPr>
                <w:rFonts w:ascii="Times New Roman" w:hAnsi="Times New Roman"/>
                <w:b w:val="0"/>
                <w:sz w:val="16"/>
                <w:szCs w:val="16"/>
                <w:lang w:val="en-GB"/>
              </w:rPr>
              <w:t>) str., 65</w:t>
            </w:r>
          </w:p>
        </w:tc>
        <w:tc>
          <w:tcPr>
            <w:tcW w:w="365" w:type="dxa"/>
            <w:gridSpan w:val="2"/>
            <w:shd w:val="clear" w:color="auto" w:fill="auto"/>
          </w:tcPr>
          <w:p w14:paraId="185F7179" w14:textId="77777777" w:rsidR="00E22279" w:rsidRPr="00E16672" w:rsidRDefault="00E22279" w:rsidP="00E22279">
            <w:pPr>
              <w:snapToGrid w:val="0"/>
              <w:rPr>
                <w:rFonts w:ascii="Times New Roman" w:hAnsi="Times New Roman"/>
                <w:lang w:val="en-US"/>
              </w:rPr>
            </w:pPr>
          </w:p>
        </w:tc>
      </w:tr>
      <w:tr w:rsidR="00E22279" w:rsidRPr="00E16672" w14:paraId="353DB95A" w14:textId="77777777" w:rsidTr="00D77858">
        <w:tblPrEx>
          <w:tblCellMar>
            <w:left w:w="0" w:type="dxa"/>
            <w:right w:w="0" w:type="dxa"/>
          </w:tblCellMar>
        </w:tblPrEx>
        <w:tc>
          <w:tcPr>
            <w:tcW w:w="1741" w:type="dxa"/>
            <w:gridSpan w:val="2"/>
            <w:shd w:val="clear" w:color="auto" w:fill="auto"/>
          </w:tcPr>
          <w:p w14:paraId="71936AC3" w14:textId="77777777" w:rsidR="00E22279" w:rsidRPr="00E16672" w:rsidRDefault="00E22279" w:rsidP="00E22279">
            <w:pPr>
              <w:pStyle w:val="4"/>
              <w:keepNext w:val="0"/>
              <w:tabs>
                <w:tab w:val="left" w:pos="57"/>
              </w:tabs>
              <w:snapToGrid w:val="0"/>
              <w:ind w:left="57" w:right="57" w:hanging="14"/>
              <w:jc w:val="left"/>
              <w:rPr>
                <w:rFonts w:ascii="Times New Roman" w:hAnsi="Times New Roman"/>
                <w:iCs/>
                <w:color w:val="000000"/>
                <w:sz w:val="16"/>
                <w:szCs w:val="16"/>
              </w:rPr>
            </w:pPr>
            <w:r w:rsidRPr="00E16672">
              <w:rPr>
                <w:rFonts w:ascii="Times New Roman" w:hAnsi="Times New Roman"/>
                <w:iCs/>
                <w:color w:val="000000"/>
                <w:sz w:val="16"/>
                <w:szCs w:val="16"/>
              </w:rPr>
              <w:t>Ідентифікаційний код юридичної особи</w:t>
            </w:r>
            <w:r w:rsidRPr="00E16672">
              <w:rPr>
                <w:rFonts w:ascii="Times New Roman" w:hAnsi="Times New Roman"/>
                <w:iCs/>
                <w:color w:val="000000"/>
                <w:sz w:val="16"/>
                <w:szCs w:val="16"/>
                <w:lang w:val="ru-RU"/>
              </w:rPr>
              <w:t xml:space="preserve"> </w:t>
            </w:r>
            <w:r w:rsidRPr="00E16672">
              <w:rPr>
                <w:rFonts w:ascii="Times New Roman" w:hAnsi="Times New Roman"/>
                <w:iCs/>
                <w:color w:val="000000"/>
                <w:sz w:val="16"/>
                <w:szCs w:val="16"/>
              </w:rPr>
              <w:t>(код за ЄДРПОУ)</w:t>
            </w:r>
          </w:p>
        </w:tc>
        <w:tc>
          <w:tcPr>
            <w:tcW w:w="3522" w:type="dxa"/>
            <w:gridSpan w:val="2"/>
            <w:shd w:val="clear" w:color="auto" w:fill="auto"/>
            <w:vAlign w:val="center"/>
          </w:tcPr>
          <w:p w14:paraId="3F73A04B" w14:textId="77777777" w:rsidR="00E22279" w:rsidRPr="00E16672" w:rsidRDefault="00E16672" w:rsidP="00E22279">
            <w:pPr>
              <w:ind w:right="57" w:firstLine="0"/>
              <w:jc w:val="left"/>
              <w:rPr>
                <w:rFonts w:ascii="Times New Roman" w:hAnsi="Times New Roman"/>
                <w:color w:val="000000"/>
                <w:sz w:val="16"/>
                <w:szCs w:val="16"/>
              </w:rPr>
            </w:pPr>
            <w:r w:rsidRPr="00E16672">
              <w:rPr>
                <w:rFonts w:ascii="Times New Roman" w:hAnsi="Times New Roman"/>
                <w:sz w:val="16"/>
                <w:szCs w:val="16"/>
                <w:lang w:val="en-US"/>
              </w:rPr>
              <w:t>33153077</w:t>
            </w:r>
          </w:p>
        </w:tc>
        <w:tc>
          <w:tcPr>
            <w:tcW w:w="2000" w:type="dxa"/>
            <w:gridSpan w:val="4"/>
            <w:shd w:val="clear" w:color="auto" w:fill="auto"/>
            <w:vAlign w:val="center"/>
          </w:tcPr>
          <w:p w14:paraId="51D934FD" w14:textId="77777777" w:rsidR="00E22279" w:rsidRPr="00E16672" w:rsidRDefault="00E22279" w:rsidP="00E22279">
            <w:pPr>
              <w:pStyle w:val="4"/>
              <w:keepNext w:val="0"/>
              <w:tabs>
                <w:tab w:val="left" w:pos="57"/>
              </w:tabs>
              <w:snapToGrid w:val="0"/>
              <w:ind w:left="57" w:right="57" w:hanging="15"/>
              <w:jc w:val="left"/>
              <w:rPr>
                <w:rFonts w:ascii="Times New Roman" w:hAnsi="Times New Roman"/>
                <w:b w:val="0"/>
                <w:iCs/>
                <w:color w:val="000000"/>
                <w:sz w:val="16"/>
                <w:szCs w:val="16"/>
                <w:lang w:val="en-US"/>
              </w:rPr>
            </w:pPr>
            <w:r w:rsidRPr="00E16672">
              <w:rPr>
                <w:rFonts w:ascii="Times New Roman" w:hAnsi="Times New Roman"/>
                <w:b w:val="0"/>
                <w:iCs/>
                <w:color w:val="000000"/>
                <w:sz w:val="16"/>
                <w:szCs w:val="16"/>
                <w:lang w:val="en-US"/>
              </w:rPr>
              <w:t>Registration code of legal entity (in accordance with EDRPOU)</w:t>
            </w:r>
          </w:p>
        </w:tc>
        <w:tc>
          <w:tcPr>
            <w:tcW w:w="3562" w:type="dxa"/>
            <w:gridSpan w:val="3"/>
            <w:shd w:val="clear" w:color="auto" w:fill="auto"/>
            <w:vAlign w:val="center"/>
          </w:tcPr>
          <w:p w14:paraId="14D29C4A" w14:textId="77777777" w:rsidR="00E22279" w:rsidRPr="00E16672" w:rsidRDefault="00E16672" w:rsidP="000D0438">
            <w:pPr>
              <w:pStyle w:val="4"/>
              <w:widowControl w:val="0"/>
              <w:numPr>
                <w:ilvl w:val="3"/>
                <w:numId w:val="21"/>
              </w:numPr>
              <w:snapToGrid w:val="0"/>
              <w:jc w:val="left"/>
              <w:rPr>
                <w:rFonts w:ascii="Times New Roman" w:hAnsi="Times New Roman"/>
                <w:b w:val="0"/>
                <w:sz w:val="16"/>
                <w:szCs w:val="16"/>
                <w:lang w:val="en-GB"/>
              </w:rPr>
            </w:pPr>
            <w:r w:rsidRPr="00E16672">
              <w:rPr>
                <w:rFonts w:ascii="Times New Roman" w:hAnsi="Times New Roman"/>
                <w:b w:val="0"/>
                <w:sz w:val="16"/>
                <w:szCs w:val="16"/>
                <w:lang w:val="en-US"/>
              </w:rPr>
              <w:t>33153077</w:t>
            </w:r>
          </w:p>
        </w:tc>
        <w:tc>
          <w:tcPr>
            <w:tcW w:w="365" w:type="dxa"/>
            <w:gridSpan w:val="2"/>
            <w:shd w:val="clear" w:color="auto" w:fill="auto"/>
          </w:tcPr>
          <w:p w14:paraId="6EC27635" w14:textId="77777777" w:rsidR="00E22279" w:rsidRPr="00E16672" w:rsidRDefault="00E22279" w:rsidP="00E22279">
            <w:pPr>
              <w:snapToGrid w:val="0"/>
              <w:rPr>
                <w:rFonts w:ascii="Times New Roman" w:hAnsi="Times New Roman"/>
                <w:lang w:val="en-US"/>
              </w:rPr>
            </w:pPr>
          </w:p>
        </w:tc>
      </w:tr>
      <w:tr w:rsidR="00E22279" w:rsidRPr="00E16672" w14:paraId="464AED2E" w14:textId="77777777" w:rsidTr="00D77858">
        <w:tblPrEx>
          <w:tblCellMar>
            <w:left w:w="0" w:type="dxa"/>
            <w:right w:w="0" w:type="dxa"/>
          </w:tblCellMar>
        </w:tblPrEx>
        <w:tc>
          <w:tcPr>
            <w:tcW w:w="1741" w:type="dxa"/>
            <w:gridSpan w:val="2"/>
            <w:shd w:val="clear" w:color="auto" w:fill="auto"/>
          </w:tcPr>
          <w:p w14:paraId="1BFC9354" w14:textId="77777777" w:rsidR="00E22279" w:rsidRPr="00E16672" w:rsidRDefault="00E22279" w:rsidP="00E22279">
            <w:pPr>
              <w:pStyle w:val="4"/>
              <w:keepNext w:val="0"/>
              <w:tabs>
                <w:tab w:val="left" w:pos="57"/>
              </w:tabs>
              <w:snapToGrid w:val="0"/>
              <w:ind w:left="57" w:right="57" w:hanging="14"/>
              <w:jc w:val="left"/>
              <w:rPr>
                <w:rFonts w:ascii="Times New Roman" w:hAnsi="Times New Roman"/>
                <w:iCs/>
                <w:sz w:val="16"/>
                <w:szCs w:val="16"/>
              </w:rPr>
            </w:pPr>
            <w:r w:rsidRPr="00E16672">
              <w:rPr>
                <w:rFonts w:ascii="Times New Roman" w:hAnsi="Times New Roman"/>
                <w:iCs/>
                <w:sz w:val="16"/>
                <w:szCs w:val="16"/>
              </w:rPr>
              <w:t>Факс</w:t>
            </w:r>
            <w:r w:rsidRPr="00E16672">
              <w:rPr>
                <w:rFonts w:ascii="Times New Roman" w:hAnsi="Times New Roman"/>
                <w:iCs/>
                <w:sz w:val="16"/>
                <w:szCs w:val="16"/>
                <w:lang w:val="en-US"/>
              </w:rPr>
              <w:t xml:space="preserve"> </w:t>
            </w:r>
            <w:r w:rsidRPr="00E16672">
              <w:rPr>
                <w:rFonts w:ascii="Times New Roman" w:hAnsi="Times New Roman"/>
                <w:i/>
                <w:iCs/>
                <w:color w:val="000000"/>
                <w:sz w:val="16"/>
                <w:szCs w:val="16"/>
              </w:rPr>
              <w:t>(за наявності)</w:t>
            </w:r>
          </w:p>
        </w:tc>
        <w:tc>
          <w:tcPr>
            <w:tcW w:w="3522" w:type="dxa"/>
            <w:gridSpan w:val="2"/>
            <w:shd w:val="clear" w:color="auto" w:fill="auto"/>
            <w:vAlign w:val="center"/>
          </w:tcPr>
          <w:p w14:paraId="43ACCAFE" w14:textId="77777777" w:rsidR="00E22279" w:rsidRPr="00E16672" w:rsidRDefault="00E22279" w:rsidP="00E22279">
            <w:pPr>
              <w:snapToGrid w:val="0"/>
              <w:ind w:right="57" w:firstLine="0"/>
              <w:jc w:val="left"/>
              <w:rPr>
                <w:rFonts w:ascii="Times New Roman" w:hAnsi="Times New Roman"/>
                <w:sz w:val="16"/>
                <w:szCs w:val="16"/>
                <w:lang w:val="en-US"/>
              </w:rPr>
            </w:pPr>
            <w:r w:rsidRPr="00E16672">
              <w:rPr>
                <w:rFonts w:ascii="Times New Roman" w:hAnsi="Times New Roman"/>
                <w:sz w:val="16"/>
                <w:szCs w:val="16"/>
                <w:lang w:val="en-US"/>
              </w:rPr>
              <w:t>3-8-</w:t>
            </w:r>
            <w:r w:rsidR="00622BEB">
              <w:rPr>
                <w:rFonts w:ascii="Times New Roman" w:hAnsi="Times New Roman"/>
                <w:sz w:val="16"/>
                <w:szCs w:val="16"/>
                <w:lang w:val="en-US"/>
              </w:rPr>
              <w:t>044 502 65 73</w:t>
            </w:r>
          </w:p>
        </w:tc>
        <w:tc>
          <w:tcPr>
            <w:tcW w:w="2000" w:type="dxa"/>
            <w:gridSpan w:val="4"/>
            <w:shd w:val="clear" w:color="auto" w:fill="auto"/>
            <w:vAlign w:val="center"/>
          </w:tcPr>
          <w:p w14:paraId="56F44511" w14:textId="77777777" w:rsidR="00E22279" w:rsidRPr="00E16672" w:rsidRDefault="00E22279" w:rsidP="00E22279">
            <w:pPr>
              <w:pStyle w:val="4"/>
              <w:keepNext w:val="0"/>
              <w:tabs>
                <w:tab w:val="left" w:pos="57"/>
              </w:tabs>
              <w:snapToGrid w:val="0"/>
              <w:ind w:left="57" w:right="57" w:hanging="15"/>
              <w:jc w:val="left"/>
              <w:rPr>
                <w:rFonts w:ascii="Times New Roman" w:hAnsi="Times New Roman"/>
                <w:b w:val="0"/>
                <w:iCs/>
                <w:sz w:val="16"/>
                <w:szCs w:val="16"/>
                <w:lang w:val="en-US"/>
              </w:rPr>
            </w:pPr>
            <w:r w:rsidRPr="00E16672">
              <w:rPr>
                <w:rFonts w:ascii="Times New Roman" w:hAnsi="Times New Roman"/>
                <w:b w:val="0"/>
                <w:iCs/>
                <w:sz w:val="16"/>
                <w:szCs w:val="16"/>
                <w:lang w:val="en-US"/>
              </w:rPr>
              <w:t xml:space="preserve">Fax </w:t>
            </w:r>
            <w:r w:rsidRPr="00E16672">
              <w:rPr>
                <w:rFonts w:ascii="Times New Roman" w:hAnsi="Times New Roman"/>
                <w:b w:val="0"/>
                <w:i/>
                <w:iCs/>
                <w:color w:val="000000"/>
                <w:sz w:val="16"/>
                <w:szCs w:val="16"/>
              </w:rPr>
              <w:t>(</w:t>
            </w:r>
            <w:r w:rsidRPr="00E16672">
              <w:rPr>
                <w:rFonts w:ascii="Times New Roman" w:hAnsi="Times New Roman"/>
                <w:b w:val="0"/>
                <w:i/>
                <w:iCs/>
                <w:color w:val="000000"/>
                <w:sz w:val="16"/>
                <w:szCs w:val="16"/>
                <w:lang w:val="en-US"/>
              </w:rPr>
              <w:t>if any</w:t>
            </w:r>
            <w:r w:rsidRPr="00E16672">
              <w:rPr>
                <w:rFonts w:ascii="Times New Roman" w:hAnsi="Times New Roman"/>
                <w:b w:val="0"/>
                <w:i/>
                <w:iCs/>
                <w:color w:val="000000"/>
                <w:sz w:val="16"/>
                <w:szCs w:val="16"/>
              </w:rPr>
              <w:t>)</w:t>
            </w:r>
          </w:p>
        </w:tc>
        <w:tc>
          <w:tcPr>
            <w:tcW w:w="3562" w:type="dxa"/>
            <w:gridSpan w:val="3"/>
            <w:shd w:val="clear" w:color="auto" w:fill="auto"/>
            <w:vAlign w:val="center"/>
          </w:tcPr>
          <w:p w14:paraId="740A925C" w14:textId="77777777" w:rsidR="00E22279" w:rsidRPr="00E16672" w:rsidRDefault="00E22279" w:rsidP="00E22279">
            <w:pPr>
              <w:snapToGrid w:val="0"/>
              <w:ind w:right="57" w:firstLine="0"/>
              <w:jc w:val="left"/>
              <w:rPr>
                <w:rFonts w:ascii="Times New Roman" w:hAnsi="Times New Roman"/>
                <w:sz w:val="16"/>
                <w:szCs w:val="16"/>
                <w:lang w:val="en-US"/>
              </w:rPr>
            </w:pPr>
            <w:r w:rsidRPr="00E16672">
              <w:rPr>
                <w:rFonts w:ascii="Times New Roman" w:hAnsi="Times New Roman"/>
                <w:sz w:val="16"/>
                <w:szCs w:val="16"/>
                <w:lang w:val="en-US"/>
              </w:rPr>
              <w:t>3-8-</w:t>
            </w:r>
            <w:r w:rsidR="00622BEB">
              <w:rPr>
                <w:rFonts w:ascii="Times New Roman" w:hAnsi="Times New Roman"/>
                <w:sz w:val="16"/>
                <w:szCs w:val="16"/>
                <w:lang w:val="en-US"/>
              </w:rPr>
              <w:t>044 502 65 73</w:t>
            </w:r>
          </w:p>
        </w:tc>
        <w:tc>
          <w:tcPr>
            <w:tcW w:w="365" w:type="dxa"/>
            <w:gridSpan w:val="2"/>
            <w:shd w:val="clear" w:color="auto" w:fill="auto"/>
          </w:tcPr>
          <w:p w14:paraId="549DD6EC" w14:textId="77777777" w:rsidR="00E22279" w:rsidRPr="00E16672" w:rsidRDefault="00E22279" w:rsidP="00E22279">
            <w:pPr>
              <w:snapToGrid w:val="0"/>
              <w:rPr>
                <w:rFonts w:ascii="Times New Roman" w:hAnsi="Times New Roman"/>
              </w:rPr>
            </w:pPr>
          </w:p>
        </w:tc>
      </w:tr>
      <w:tr w:rsidR="00E22279" w:rsidRPr="00E16672" w14:paraId="50F7624D" w14:textId="77777777" w:rsidTr="00D77858">
        <w:tblPrEx>
          <w:tblCellMar>
            <w:left w:w="0" w:type="dxa"/>
            <w:right w:w="0" w:type="dxa"/>
          </w:tblCellMar>
        </w:tblPrEx>
        <w:trPr>
          <w:trHeight w:val="87"/>
        </w:trPr>
        <w:tc>
          <w:tcPr>
            <w:tcW w:w="1741" w:type="dxa"/>
            <w:gridSpan w:val="2"/>
            <w:shd w:val="clear" w:color="auto" w:fill="auto"/>
          </w:tcPr>
          <w:p w14:paraId="4379E88F" w14:textId="77777777" w:rsidR="00E22279" w:rsidRPr="00E16672" w:rsidRDefault="00E22279" w:rsidP="00E22279">
            <w:pPr>
              <w:pStyle w:val="4"/>
              <w:keepNext w:val="0"/>
              <w:tabs>
                <w:tab w:val="left" w:pos="57"/>
              </w:tabs>
              <w:snapToGrid w:val="0"/>
              <w:ind w:left="57" w:right="57" w:hanging="14"/>
              <w:jc w:val="left"/>
              <w:rPr>
                <w:rFonts w:ascii="Times New Roman" w:hAnsi="Times New Roman"/>
                <w:iCs/>
                <w:sz w:val="16"/>
                <w:szCs w:val="16"/>
              </w:rPr>
            </w:pPr>
            <w:r w:rsidRPr="00E16672">
              <w:rPr>
                <w:rFonts w:ascii="Times New Roman" w:hAnsi="Times New Roman"/>
                <w:iCs/>
                <w:sz w:val="16"/>
                <w:szCs w:val="16"/>
              </w:rPr>
              <w:t>Телефон</w:t>
            </w:r>
          </w:p>
        </w:tc>
        <w:tc>
          <w:tcPr>
            <w:tcW w:w="3522" w:type="dxa"/>
            <w:gridSpan w:val="2"/>
            <w:shd w:val="clear" w:color="auto" w:fill="auto"/>
            <w:vAlign w:val="center"/>
          </w:tcPr>
          <w:p w14:paraId="36DB908A" w14:textId="77777777" w:rsidR="00E22279" w:rsidRPr="00E16672" w:rsidRDefault="00E22279" w:rsidP="00E22279">
            <w:pPr>
              <w:snapToGrid w:val="0"/>
              <w:ind w:right="57" w:firstLine="0"/>
              <w:jc w:val="left"/>
              <w:rPr>
                <w:rFonts w:ascii="Times New Roman" w:hAnsi="Times New Roman"/>
                <w:sz w:val="16"/>
                <w:szCs w:val="16"/>
                <w:lang w:val="en-US"/>
              </w:rPr>
            </w:pPr>
            <w:r w:rsidRPr="00E16672">
              <w:rPr>
                <w:rFonts w:ascii="Times New Roman" w:hAnsi="Times New Roman"/>
                <w:sz w:val="16"/>
                <w:szCs w:val="16"/>
                <w:lang w:val="en-US"/>
              </w:rPr>
              <w:t>3-8-</w:t>
            </w:r>
            <w:r w:rsidR="00622BEB">
              <w:rPr>
                <w:rFonts w:ascii="Times New Roman" w:hAnsi="Times New Roman"/>
                <w:sz w:val="16"/>
                <w:szCs w:val="16"/>
                <w:lang w:val="en-US"/>
              </w:rPr>
              <w:t>044 502 65 73</w:t>
            </w:r>
          </w:p>
        </w:tc>
        <w:tc>
          <w:tcPr>
            <w:tcW w:w="2000" w:type="dxa"/>
            <w:gridSpan w:val="4"/>
            <w:shd w:val="clear" w:color="auto" w:fill="auto"/>
            <w:vAlign w:val="center"/>
          </w:tcPr>
          <w:p w14:paraId="2044C8C3" w14:textId="77777777" w:rsidR="00E22279" w:rsidRPr="00E16672" w:rsidRDefault="00E22279" w:rsidP="00E22279">
            <w:pPr>
              <w:pStyle w:val="4"/>
              <w:keepNext w:val="0"/>
              <w:tabs>
                <w:tab w:val="left" w:pos="57"/>
              </w:tabs>
              <w:snapToGrid w:val="0"/>
              <w:ind w:left="57" w:right="57" w:hanging="15"/>
              <w:jc w:val="left"/>
              <w:rPr>
                <w:rFonts w:ascii="Times New Roman" w:hAnsi="Times New Roman"/>
                <w:b w:val="0"/>
                <w:iCs/>
                <w:sz w:val="16"/>
                <w:szCs w:val="16"/>
                <w:lang w:val="en-US"/>
              </w:rPr>
            </w:pPr>
            <w:r w:rsidRPr="00E16672">
              <w:rPr>
                <w:rFonts w:ascii="Times New Roman" w:hAnsi="Times New Roman"/>
                <w:b w:val="0"/>
                <w:iCs/>
                <w:sz w:val="16"/>
                <w:szCs w:val="16"/>
                <w:lang w:val="en-US"/>
              </w:rPr>
              <w:t>Telephone</w:t>
            </w:r>
          </w:p>
        </w:tc>
        <w:tc>
          <w:tcPr>
            <w:tcW w:w="3562" w:type="dxa"/>
            <w:gridSpan w:val="3"/>
            <w:shd w:val="clear" w:color="auto" w:fill="auto"/>
            <w:vAlign w:val="center"/>
          </w:tcPr>
          <w:p w14:paraId="09D6B763" w14:textId="77777777" w:rsidR="00E22279" w:rsidRPr="00E16672" w:rsidRDefault="00E22279" w:rsidP="00E22279">
            <w:pPr>
              <w:snapToGrid w:val="0"/>
              <w:ind w:right="57" w:firstLine="0"/>
              <w:jc w:val="left"/>
              <w:rPr>
                <w:rFonts w:ascii="Times New Roman" w:hAnsi="Times New Roman"/>
                <w:sz w:val="16"/>
                <w:szCs w:val="16"/>
                <w:lang w:val="en-US"/>
              </w:rPr>
            </w:pPr>
            <w:r w:rsidRPr="00E16672">
              <w:rPr>
                <w:rFonts w:ascii="Times New Roman" w:hAnsi="Times New Roman"/>
                <w:sz w:val="16"/>
                <w:szCs w:val="16"/>
                <w:lang w:val="en-US"/>
              </w:rPr>
              <w:t>3-8-</w:t>
            </w:r>
            <w:r w:rsidR="00622BEB">
              <w:rPr>
                <w:rFonts w:ascii="Times New Roman" w:hAnsi="Times New Roman"/>
                <w:sz w:val="16"/>
                <w:szCs w:val="16"/>
                <w:lang w:val="en-US"/>
              </w:rPr>
              <w:t>044 502 65 73</w:t>
            </w:r>
          </w:p>
        </w:tc>
        <w:tc>
          <w:tcPr>
            <w:tcW w:w="365" w:type="dxa"/>
            <w:gridSpan w:val="2"/>
            <w:shd w:val="clear" w:color="auto" w:fill="auto"/>
          </w:tcPr>
          <w:p w14:paraId="0D45FC94" w14:textId="77777777" w:rsidR="00E22279" w:rsidRPr="00E16672" w:rsidRDefault="00E22279" w:rsidP="00E22279">
            <w:pPr>
              <w:snapToGrid w:val="0"/>
              <w:rPr>
                <w:rFonts w:ascii="Times New Roman" w:hAnsi="Times New Roman"/>
              </w:rPr>
            </w:pPr>
          </w:p>
        </w:tc>
      </w:tr>
      <w:tr w:rsidR="00E22279" w:rsidRPr="00E16672" w14:paraId="141F7CC1" w14:textId="77777777" w:rsidTr="00D77858">
        <w:tblPrEx>
          <w:tblCellMar>
            <w:left w:w="0" w:type="dxa"/>
            <w:right w:w="0" w:type="dxa"/>
          </w:tblCellMar>
        </w:tblPrEx>
        <w:tc>
          <w:tcPr>
            <w:tcW w:w="1741" w:type="dxa"/>
            <w:gridSpan w:val="2"/>
            <w:shd w:val="clear" w:color="auto" w:fill="auto"/>
          </w:tcPr>
          <w:p w14:paraId="3D830814" w14:textId="77777777" w:rsidR="00E22279" w:rsidRPr="00E16672" w:rsidRDefault="00E22279" w:rsidP="00E22279">
            <w:pPr>
              <w:pStyle w:val="4"/>
              <w:keepNext w:val="0"/>
              <w:tabs>
                <w:tab w:val="left" w:pos="57"/>
              </w:tabs>
              <w:snapToGrid w:val="0"/>
              <w:ind w:left="57" w:right="57" w:hanging="14"/>
              <w:jc w:val="left"/>
              <w:rPr>
                <w:rFonts w:ascii="Times New Roman" w:hAnsi="Times New Roman"/>
                <w:iCs/>
                <w:sz w:val="16"/>
                <w:szCs w:val="16"/>
                <w:lang w:val="en-US"/>
              </w:rPr>
            </w:pPr>
            <w:r w:rsidRPr="00E16672">
              <w:rPr>
                <w:rFonts w:ascii="Times New Roman" w:hAnsi="Times New Roman"/>
                <w:iCs/>
                <w:sz w:val="16"/>
                <w:szCs w:val="16"/>
                <w:lang w:val="en-US"/>
              </w:rPr>
              <w:t>E-mail</w:t>
            </w:r>
          </w:p>
        </w:tc>
        <w:tc>
          <w:tcPr>
            <w:tcW w:w="3522" w:type="dxa"/>
            <w:gridSpan w:val="2"/>
            <w:shd w:val="clear" w:color="auto" w:fill="auto"/>
            <w:vAlign w:val="center"/>
          </w:tcPr>
          <w:p w14:paraId="66D9B484" w14:textId="77777777" w:rsidR="00E22279" w:rsidRPr="00E16672" w:rsidRDefault="00622BEB" w:rsidP="00E22279">
            <w:pPr>
              <w:snapToGrid w:val="0"/>
              <w:ind w:right="57" w:firstLine="0"/>
              <w:jc w:val="left"/>
              <w:rPr>
                <w:rFonts w:ascii="Times New Roman" w:hAnsi="Times New Roman"/>
                <w:sz w:val="16"/>
                <w:szCs w:val="16"/>
                <w:lang w:val="en-US"/>
              </w:rPr>
            </w:pPr>
            <w:r>
              <w:rPr>
                <w:rFonts w:ascii="Times New Roman" w:hAnsi="Times New Roman"/>
                <w:sz w:val="16"/>
                <w:szCs w:val="16"/>
                <w:lang w:val="en-US"/>
              </w:rPr>
              <w:t>custody@comex.com.ua</w:t>
            </w:r>
          </w:p>
        </w:tc>
        <w:tc>
          <w:tcPr>
            <w:tcW w:w="2000" w:type="dxa"/>
            <w:gridSpan w:val="4"/>
            <w:shd w:val="clear" w:color="auto" w:fill="auto"/>
            <w:vAlign w:val="center"/>
          </w:tcPr>
          <w:p w14:paraId="48EF1035" w14:textId="77777777" w:rsidR="00E22279" w:rsidRPr="00E16672" w:rsidRDefault="00E22279" w:rsidP="00E22279">
            <w:pPr>
              <w:pStyle w:val="4"/>
              <w:keepNext w:val="0"/>
              <w:tabs>
                <w:tab w:val="left" w:pos="57"/>
              </w:tabs>
              <w:snapToGrid w:val="0"/>
              <w:ind w:left="57" w:right="57" w:hanging="15"/>
              <w:jc w:val="left"/>
              <w:rPr>
                <w:rFonts w:ascii="Times New Roman" w:hAnsi="Times New Roman"/>
                <w:b w:val="0"/>
                <w:iCs/>
                <w:sz w:val="16"/>
                <w:szCs w:val="16"/>
                <w:lang w:val="en-US"/>
              </w:rPr>
            </w:pPr>
            <w:r w:rsidRPr="00E16672">
              <w:rPr>
                <w:rFonts w:ascii="Times New Roman" w:hAnsi="Times New Roman"/>
                <w:b w:val="0"/>
                <w:iCs/>
                <w:sz w:val="16"/>
                <w:szCs w:val="16"/>
                <w:lang w:val="en-US"/>
              </w:rPr>
              <w:t>E-mail</w:t>
            </w:r>
          </w:p>
        </w:tc>
        <w:tc>
          <w:tcPr>
            <w:tcW w:w="3562" w:type="dxa"/>
            <w:gridSpan w:val="3"/>
            <w:shd w:val="clear" w:color="auto" w:fill="auto"/>
            <w:vAlign w:val="center"/>
          </w:tcPr>
          <w:p w14:paraId="164D9C72" w14:textId="77777777" w:rsidR="00E22279" w:rsidRPr="00E16672" w:rsidRDefault="00622BEB" w:rsidP="00E22279">
            <w:pPr>
              <w:snapToGrid w:val="0"/>
              <w:ind w:right="57" w:firstLine="0"/>
              <w:jc w:val="left"/>
              <w:rPr>
                <w:rFonts w:ascii="Times New Roman" w:hAnsi="Times New Roman"/>
                <w:sz w:val="16"/>
                <w:szCs w:val="16"/>
                <w:lang w:val="en-US"/>
              </w:rPr>
            </w:pPr>
            <w:r>
              <w:rPr>
                <w:rFonts w:ascii="Times New Roman" w:hAnsi="Times New Roman"/>
                <w:sz w:val="16"/>
                <w:szCs w:val="16"/>
                <w:lang w:val="en-US"/>
              </w:rPr>
              <w:t>custody@comex.com.ua</w:t>
            </w:r>
            <w:r w:rsidR="00E22279" w:rsidRPr="00E16672">
              <w:rPr>
                <w:rFonts w:ascii="Times New Roman" w:hAnsi="Times New Roman"/>
                <w:sz w:val="16"/>
                <w:szCs w:val="16"/>
                <w:lang w:val="en-US"/>
              </w:rPr>
              <w:t xml:space="preserve"> </w:t>
            </w:r>
          </w:p>
        </w:tc>
        <w:tc>
          <w:tcPr>
            <w:tcW w:w="365" w:type="dxa"/>
            <w:gridSpan w:val="2"/>
            <w:shd w:val="clear" w:color="auto" w:fill="auto"/>
          </w:tcPr>
          <w:p w14:paraId="3A777710" w14:textId="77777777" w:rsidR="00E22279" w:rsidRPr="00E16672" w:rsidRDefault="00E22279" w:rsidP="00E22279">
            <w:pPr>
              <w:snapToGrid w:val="0"/>
              <w:rPr>
                <w:rFonts w:ascii="Times New Roman" w:hAnsi="Times New Roman"/>
              </w:rPr>
            </w:pPr>
          </w:p>
        </w:tc>
      </w:tr>
      <w:tr w:rsidR="00E22279" w:rsidRPr="00E16672" w14:paraId="4C4476FD" w14:textId="77777777" w:rsidTr="00D77858">
        <w:tblPrEx>
          <w:tblCellMar>
            <w:left w:w="0" w:type="dxa"/>
            <w:right w:w="0" w:type="dxa"/>
          </w:tblCellMar>
        </w:tblPrEx>
        <w:tc>
          <w:tcPr>
            <w:tcW w:w="5263" w:type="dxa"/>
            <w:gridSpan w:val="4"/>
            <w:shd w:val="clear" w:color="auto" w:fill="auto"/>
          </w:tcPr>
          <w:p w14:paraId="1701A6B9" w14:textId="77777777" w:rsidR="00E22279" w:rsidRPr="00E16672" w:rsidRDefault="00E22279" w:rsidP="00E22279">
            <w:pPr>
              <w:pStyle w:val="4"/>
              <w:keepNext w:val="0"/>
              <w:tabs>
                <w:tab w:val="left" w:pos="57"/>
              </w:tabs>
              <w:snapToGrid w:val="0"/>
              <w:ind w:left="57" w:right="57" w:hanging="14"/>
              <w:rPr>
                <w:rFonts w:ascii="Times New Roman" w:hAnsi="Times New Roman"/>
                <w:bCs/>
                <w:iCs/>
                <w:sz w:val="16"/>
                <w:szCs w:val="16"/>
              </w:rPr>
            </w:pPr>
          </w:p>
          <w:p w14:paraId="3565B9EF" w14:textId="77777777" w:rsidR="00E22279" w:rsidRPr="00E16672" w:rsidRDefault="00E22279" w:rsidP="00E22279">
            <w:pPr>
              <w:pStyle w:val="4"/>
              <w:tabs>
                <w:tab w:val="left" w:pos="57"/>
              </w:tabs>
              <w:snapToGrid w:val="0"/>
              <w:ind w:left="57" w:right="57" w:hanging="14"/>
              <w:rPr>
                <w:rFonts w:ascii="Times New Roman" w:hAnsi="Times New Roman"/>
                <w:bCs/>
                <w:iCs/>
                <w:sz w:val="16"/>
                <w:szCs w:val="16"/>
              </w:rPr>
            </w:pPr>
            <w:r w:rsidRPr="00E16672">
              <w:rPr>
                <w:rFonts w:ascii="Times New Roman" w:hAnsi="Times New Roman"/>
                <w:bCs/>
                <w:iCs/>
                <w:sz w:val="16"/>
                <w:szCs w:val="16"/>
              </w:rPr>
              <w:t xml:space="preserve">       Банківські реквізити</w:t>
            </w:r>
          </w:p>
        </w:tc>
        <w:tc>
          <w:tcPr>
            <w:tcW w:w="5562" w:type="dxa"/>
            <w:gridSpan w:val="7"/>
            <w:shd w:val="clear" w:color="auto" w:fill="auto"/>
            <w:vAlign w:val="bottom"/>
          </w:tcPr>
          <w:p w14:paraId="1A9ADE8B" w14:textId="77777777" w:rsidR="00E22279" w:rsidRPr="00E16672" w:rsidRDefault="00E22279" w:rsidP="00E22279">
            <w:pPr>
              <w:pStyle w:val="4"/>
              <w:keepNext w:val="0"/>
              <w:tabs>
                <w:tab w:val="left" w:pos="57"/>
              </w:tabs>
              <w:snapToGrid w:val="0"/>
              <w:ind w:left="57" w:right="57" w:hanging="15"/>
              <w:rPr>
                <w:rFonts w:ascii="Times New Roman" w:hAnsi="Times New Roman"/>
                <w:bCs/>
                <w:iCs/>
                <w:sz w:val="16"/>
                <w:szCs w:val="16"/>
                <w:lang w:val="en-US"/>
              </w:rPr>
            </w:pPr>
            <w:r w:rsidRPr="00E16672">
              <w:rPr>
                <w:rFonts w:ascii="Times New Roman" w:hAnsi="Times New Roman"/>
                <w:bCs/>
                <w:iCs/>
                <w:sz w:val="16"/>
                <w:szCs w:val="16"/>
              </w:rPr>
              <w:t xml:space="preserve">        </w:t>
            </w:r>
            <w:r w:rsidRPr="00E16672">
              <w:rPr>
                <w:rFonts w:ascii="Times New Roman" w:hAnsi="Times New Roman"/>
                <w:bCs/>
                <w:iCs/>
                <w:sz w:val="16"/>
                <w:szCs w:val="16"/>
                <w:lang w:val="en-US"/>
              </w:rPr>
              <w:t>Bank Details</w:t>
            </w:r>
          </w:p>
        </w:tc>
        <w:tc>
          <w:tcPr>
            <w:tcW w:w="365" w:type="dxa"/>
            <w:gridSpan w:val="2"/>
            <w:shd w:val="clear" w:color="auto" w:fill="auto"/>
            <w:vAlign w:val="bottom"/>
          </w:tcPr>
          <w:p w14:paraId="4258305F" w14:textId="77777777" w:rsidR="00E22279" w:rsidRPr="00E16672" w:rsidRDefault="00E22279" w:rsidP="00E22279">
            <w:pPr>
              <w:snapToGrid w:val="0"/>
              <w:jc w:val="center"/>
              <w:rPr>
                <w:rFonts w:ascii="Times New Roman" w:hAnsi="Times New Roman"/>
              </w:rPr>
            </w:pPr>
          </w:p>
        </w:tc>
      </w:tr>
    </w:tbl>
    <w:p w14:paraId="7995B6E0" w14:textId="77777777" w:rsidR="00A9367B" w:rsidRPr="00E16672" w:rsidRDefault="00A9367B">
      <w:pPr>
        <w:rPr>
          <w:rFonts w:ascii="Times New Roman" w:hAnsi="Times New Roman"/>
          <w:lang w:val="uk-UA"/>
        </w:rPr>
      </w:pPr>
    </w:p>
    <w:tbl>
      <w:tblPr>
        <w:tblW w:w="11190" w:type="dxa"/>
        <w:tblInd w:w="-175" w:type="dxa"/>
        <w:tblLayout w:type="fixed"/>
        <w:tblCellMar>
          <w:left w:w="0" w:type="dxa"/>
          <w:right w:w="0" w:type="dxa"/>
        </w:tblCellMar>
        <w:tblLook w:val="0000" w:firstRow="0" w:lastRow="0" w:firstColumn="0" w:lastColumn="0" w:noHBand="0" w:noVBand="0"/>
      </w:tblPr>
      <w:tblGrid>
        <w:gridCol w:w="1741"/>
        <w:gridCol w:w="1264"/>
        <w:gridCol w:w="2359"/>
        <w:gridCol w:w="1899"/>
        <w:gridCol w:w="1276"/>
        <w:gridCol w:w="2651"/>
      </w:tblGrid>
      <w:tr w:rsidR="009E72B9" w:rsidRPr="00E16672" w14:paraId="5608E5B6" w14:textId="77777777" w:rsidTr="00162356">
        <w:trPr>
          <w:trHeight w:val="213"/>
        </w:trPr>
        <w:tc>
          <w:tcPr>
            <w:tcW w:w="1741" w:type="dxa"/>
            <w:vMerge w:val="restart"/>
            <w:shd w:val="clear" w:color="auto" w:fill="auto"/>
            <w:vAlign w:val="center"/>
          </w:tcPr>
          <w:p w14:paraId="7F95AFF3" w14:textId="77777777" w:rsidR="009E72B9" w:rsidRPr="00E16672" w:rsidRDefault="009E72B9" w:rsidP="00854786">
            <w:pPr>
              <w:pStyle w:val="4"/>
              <w:snapToGrid w:val="0"/>
              <w:ind w:left="57" w:right="57" w:firstLine="0"/>
              <w:jc w:val="left"/>
              <w:rPr>
                <w:rFonts w:ascii="Times New Roman" w:hAnsi="Times New Roman"/>
                <w:sz w:val="16"/>
              </w:rPr>
            </w:pPr>
            <w:r w:rsidRPr="00E16672">
              <w:rPr>
                <w:rFonts w:ascii="Times New Roman" w:hAnsi="Times New Roman"/>
                <w:sz w:val="16"/>
              </w:rPr>
              <w:t>Одержувач</w:t>
            </w:r>
          </w:p>
          <w:p w14:paraId="2C8BF1CB" w14:textId="77777777" w:rsidR="009E72B9" w:rsidRPr="00E16672" w:rsidRDefault="009E72B9" w:rsidP="00854786">
            <w:pPr>
              <w:pStyle w:val="4"/>
              <w:snapToGrid w:val="0"/>
              <w:ind w:left="57" w:right="57" w:firstLine="0"/>
              <w:jc w:val="left"/>
              <w:rPr>
                <w:rFonts w:ascii="Times New Roman" w:hAnsi="Times New Roman"/>
                <w:sz w:val="16"/>
              </w:rPr>
            </w:pPr>
            <w:r w:rsidRPr="00E16672">
              <w:rPr>
                <w:rFonts w:ascii="Times New Roman" w:hAnsi="Times New Roman"/>
                <w:sz w:val="16"/>
              </w:rPr>
              <w:t>Рахунок №</w:t>
            </w:r>
          </w:p>
        </w:tc>
        <w:tc>
          <w:tcPr>
            <w:tcW w:w="3623" w:type="dxa"/>
            <w:gridSpan w:val="2"/>
            <w:shd w:val="clear" w:color="auto" w:fill="auto"/>
            <w:vAlign w:val="center"/>
          </w:tcPr>
          <w:p w14:paraId="0FC7BD9C" w14:textId="77777777" w:rsidR="009E72B9" w:rsidRPr="00E16672" w:rsidRDefault="009E72B9" w:rsidP="00022F5F">
            <w:pPr>
              <w:pStyle w:val="af7"/>
              <w:snapToGrid w:val="0"/>
              <w:ind w:left="57" w:right="57" w:firstLine="0"/>
              <w:jc w:val="left"/>
              <w:rPr>
                <w:rFonts w:ascii="Times New Roman" w:hAnsi="Times New Roman"/>
                <w:sz w:val="16"/>
                <w:szCs w:val="16"/>
                <w:lang w:val="ru-RU"/>
              </w:rPr>
            </w:pPr>
            <w:r w:rsidRPr="00E16672">
              <w:rPr>
                <w:rFonts w:ascii="Times New Roman" w:hAnsi="Times New Roman"/>
                <w:color w:val="000000"/>
                <w:sz w:val="16"/>
                <w:szCs w:val="16"/>
                <w:lang w:val="en-GB"/>
              </w:rPr>
              <w:t xml:space="preserve">ТОВ </w:t>
            </w:r>
            <w:r w:rsidR="00022F5F">
              <w:rPr>
                <w:rFonts w:ascii="Times New Roman" w:hAnsi="Times New Roman"/>
                <w:color w:val="000000"/>
                <w:sz w:val="16"/>
                <w:szCs w:val="16"/>
                <w:lang w:val="en-GB"/>
              </w:rPr>
              <w:t>"</w:t>
            </w:r>
            <w:r w:rsidRPr="00E16672">
              <w:rPr>
                <w:rFonts w:ascii="Times New Roman" w:hAnsi="Times New Roman"/>
                <w:color w:val="000000"/>
                <w:sz w:val="16"/>
                <w:szCs w:val="16"/>
                <w:lang w:val="en-GB"/>
              </w:rPr>
              <w:t>КОМЕКС ЦІННІ ПАПЕРИ</w:t>
            </w:r>
            <w:r w:rsidR="00022F5F">
              <w:rPr>
                <w:rFonts w:ascii="Times New Roman" w:hAnsi="Times New Roman"/>
                <w:color w:val="000000"/>
                <w:sz w:val="16"/>
                <w:szCs w:val="16"/>
                <w:lang w:val="en-GB"/>
              </w:rPr>
              <w:t>"</w:t>
            </w:r>
          </w:p>
        </w:tc>
        <w:tc>
          <w:tcPr>
            <w:tcW w:w="1899" w:type="dxa"/>
            <w:vMerge w:val="restart"/>
            <w:shd w:val="clear" w:color="auto" w:fill="auto"/>
            <w:vAlign w:val="center"/>
          </w:tcPr>
          <w:p w14:paraId="7CC1BA5F" w14:textId="77777777" w:rsidR="009E72B9" w:rsidRPr="00E16672" w:rsidRDefault="009E72B9" w:rsidP="00854786">
            <w:pPr>
              <w:pStyle w:val="4"/>
              <w:tabs>
                <w:tab w:val="num" w:pos="58"/>
                <w:tab w:val="left" w:pos="210"/>
              </w:tabs>
              <w:snapToGrid w:val="0"/>
              <w:ind w:left="57" w:right="57" w:firstLine="0"/>
              <w:jc w:val="left"/>
              <w:rPr>
                <w:rFonts w:ascii="Times New Roman" w:hAnsi="Times New Roman"/>
                <w:sz w:val="16"/>
                <w:lang w:val="en-GB"/>
              </w:rPr>
            </w:pPr>
            <w:r w:rsidRPr="00E16672">
              <w:rPr>
                <w:rFonts w:ascii="Times New Roman" w:hAnsi="Times New Roman"/>
                <w:sz w:val="16"/>
                <w:lang w:val="en-GB"/>
              </w:rPr>
              <w:t>Beneficiary</w:t>
            </w:r>
          </w:p>
          <w:p w14:paraId="2F17D143" w14:textId="77777777" w:rsidR="009E72B9" w:rsidRPr="00E16672" w:rsidRDefault="009E72B9" w:rsidP="00854786">
            <w:pPr>
              <w:pStyle w:val="4"/>
              <w:tabs>
                <w:tab w:val="num" w:pos="58"/>
                <w:tab w:val="left" w:pos="210"/>
              </w:tabs>
              <w:snapToGrid w:val="0"/>
              <w:ind w:left="57" w:right="57" w:firstLine="0"/>
              <w:jc w:val="left"/>
              <w:rPr>
                <w:rFonts w:ascii="Times New Roman" w:hAnsi="Times New Roman"/>
                <w:sz w:val="16"/>
                <w:lang w:val="en-GB"/>
              </w:rPr>
            </w:pPr>
            <w:r w:rsidRPr="00E16672">
              <w:rPr>
                <w:rFonts w:ascii="Times New Roman" w:hAnsi="Times New Roman"/>
                <w:color w:val="000000" w:themeColor="text1"/>
                <w:sz w:val="16"/>
                <w:lang w:val="en-GB"/>
              </w:rPr>
              <w:t>Account No</w:t>
            </w:r>
          </w:p>
        </w:tc>
        <w:tc>
          <w:tcPr>
            <w:tcW w:w="3927" w:type="dxa"/>
            <w:gridSpan w:val="2"/>
            <w:shd w:val="clear" w:color="auto" w:fill="auto"/>
            <w:vAlign w:val="center"/>
          </w:tcPr>
          <w:p w14:paraId="3FC3CFD5" w14:textId="77777777" w:rsidR="009E72B9" w:rsidRPr="00E16672" w:rsidRDefault="009E72B9" w:rsidP="00854786">
            <w:pPr>
              <w:pStyle w:val="af7"/>
              <w:snapToGrid w:val="0"/>
              <w:ind w:right="57" w:firstLine="0"/>
              <w:jc w:val="left"/>
              <w:rPr>
                <w:rFonts w:ascii="Times New Roman" w:hAnsi="Times New Roman"/>
                <w:sz w:val="16"/>
                <w:szCs w:val="16"/>
                <w:lang w:val="en-GB"/>
              </w:rPr>
            </w:pPr>
            <w:r w:rsidRPr="003048F7">
              <w:rPr>
                <w:rFonts w:ascii="Times New Roman" w:hAnsi="Times New Roman"/>
                <w:caps/>
                <w:sz w:val="16"/>
                <w:szCs w:val="16"/>
                <w:lang w:val="en-US"/>
              </w:rPr>
              <w:t>COMEX Securities Limited</w:t>
            </w:r>
          </w:p>
        </w:tc>
      </w:tr>
      <w:tr w:rsidR="009E72B9" w:rsidRPr="00E16672" w14:paraId="2D5852F6" w14:textId="77777777" w:rsidTr="00162356">
        <w:trPr>
          <w:trHeight w:val="213"/>
        </w:trPr>
        <w:tc>
          <w:tcPr>
            <w:tcW w:w="1741" w:type="dxa"/>
            <w:vMerge/>
            <w:shd w:val="clear" w:color="auto" w:fill="auto"/>
            <w:vAlign w:val="center"/>
          </w:tcPr>
          <w:p w14:paraId="2E614DF6" w14:textId="77777777" w:rsidR="009E72B9" w:rsidRPr="00E16672" w:rsidRDefault="009E72B9" w:rsidP="00854786">
            <w:pPr>
              <w:pStyle w:val="4"/>
              <w:snapToGrid w:val="0"/>
              <w:ind w:left="57" w:right="57" w:firstLine="0"/>
              <w:jc w:val="left"/>
              <w:rPr>
                <w:rFonts w:ascii="Times New Roman" w:hAnsi="Times New Roman"/>
                <w:sz w:val="16"/>
              </w:rPr>
            </w:pPr>
          </w:p>
        </w:tc>
        <w:tc>
          <w:tcPr>
            <w:tcW w:w="3623" w:type="dxa"/>
            <w:gridSpan w:val="2"/>
            <w:shd w:val="clear" w:color="auto" w:fill="auto"/>
            <w:vAlign w:val="center"/>
          </w:tcPr>
          <w:p w14:paraId="65F89DD9" w14:textId="77777777" w:rsidR="009E72B9" w:rsidRPr="00E16672" w:rsidRDefault="009E72B9" w:rsidP="00854786">
            <w:pPr>
              <w:snapToGrid w:val="0"/>
              <w:ind w:right="57" w:firstLine="0"/>
              <w:jc w:val="left"/>
              <w:rPr>
                <w:rFonts w:ascii="Times New Roman" w:hAnsi="Times New Roman"/>
                <w:color w:val="000000" w:themeColor="text1"/>
                <w:sz w:val="16"/>
                <w:szCs w:val="16"/>
              </w:rPr>
            </w:pPr>
            <w:r>
              <w:rPr>
                <w:rFonts w:ascii="Times New Roman" w:hAnsi="Times New Roman"/>
                <w:color w:val="000000" w:themeColor="text1"/>
                <w:sz w:val="16"/>
                <w:szCs w:val="16"/>
                <w:lang w:val="uk-UA"/>
              </w:rPr>
              <w:t>UA743281680000000026503815351</w:t>
            </w:r>
            <w:r w:rsidRPr="00E16672">
              <w:rPr>
                <w:rFonts w:ascii="Times New Roman" w:hAnsi="Times New Roman"/>
                <w:color w:val="000000" w:themeColor="text1"/>
                <w:sz w:val="16"/>
                <w:szCs w:val="16"/>
                <w:lang w:val="uk-UA"/>
              </w:rPr>
              <w:t xml:space="preserve">          </w:t>
            </w:r>
          </w:p>
        </w:tc>
        <w:tc>
          <w:tcPr>
            <w:tcW w:w="1899" w:type="dxa"/>
            <w:vMerge/>
            <w:shd w:val="clear" w:color="auto" w:fill="auto"/>
            <w:vAlign w:val="center"/>
          </w:tcPr>
          <w:p w14:paraId="0DCC729D" w14:textId="77777777" w:rsidR="009E72B9" w:rsidRPr="00E16672" w:rsidRDefault="009E72B9" w:rsidP="00854786">
            <w:pPr>
              <w:pStyle w:val="4"/>
              <w:tabs>
                <w:tab w:val="num" w:pos="58"/>
                <w:tab w:val="left" w:pos="210"/>
              </w:tabs>
              <w:snapToGrid w:val="0"/>
              <w:ind w:left="57" w:right="57" w:firstLine="0"/>
              <w:jc w:val="left"/>
              <w:rPr>
                <w:rFonts w:ascii="Times New Roman" w:hAnsi="Times New Roman"/>
                <w:color w:val="000000" w:themeColor="text1"/>
                <w:sz w:val="16"/>
                <w:lang w:val="en-GB"/>
              </w:rPr>
            </w:pPr>
          </w:p>
        </w:tc>
        <w:tc>
          <w:tcPr>
            <w:tcW w:w="3927" w:type="dxa"/>
            <w:gridSpan w:val="2"/>
            <w:shd w:val="clear" w:color="auto" w:fill="auto"/>
            <w:vAlign w:val="center"/>
          </w:tcPr>
          <w:p w14:paraId="7755B046" w14:textId="77777777" w:rsidR="009E72B9" w:rsidRPr="00E16672" w:rsidRDefault="009E72B9" w:rsidP="00326563">
            <w:pPr>
              <w:pStyle w:val="af7"/>
              <w:snapToGrid w:val="0"/>
              <w:ind w:right="57" w:firstLine="0"/>
              <w:jc w:val="left"/>
              <w:rPr>
                <w:rFonts w:ascii="Times New Roman" w:hAnsi="Times New Roman"/>
                <w:color w:val="000000" w:themeColor="text1"/>
                <w:sz w:val="16"/>
                <w:szCs w:val="16"/>
                <w:lang w:val="en-GB"/>
              </w:rPr>
            </w:pPr>
            <w:r>
              <w:rPr>
                <w:rFonts w:ascii="Times New Roman" w:hAnsi="Times New Roman"/>
                <w:color w:val="000000" w:themeColor="text1"/>
                <w:sz w:val="16"/>
                <w:szCs w:val="16"/>
              </w:rPr>
              <w:t>UA743281680000000026503815351</w:t>
            </w:r>
            <w:r w:rsidRPr="00E16672">
              <w:rPr>
                <w:rFonts w:ascii="Times New Roman" w:hAnsi="Times New Roman"/>
                <w:color w:val="000000" w:themeColor="text1"/>
                <w:sz w:val="16"/>
                <w:szCs w:val="16"/>
              </w:rPr>
              <w:t xml:space="preserve"> </w:t>
            </w:r>
          </w:p>
        </w:tc>
      </w:tr>
      <w:tr w:rsidR="009E72B9" w:rsidRPr="00E16672" w14:paraId="45F133F2" w14:textId="77777777" w:rsidTr="00162356">
        <w:trPr>
          <w:trHeight w:val="1104"/>
        </w:trPr>
        <w:tc>
          <w:tcPr>
            <w:tcW w:w="1741" w:type="dxa"/>
            <w:vMerge/>
            <w:shd w:val="clear" w:color="auto" w:fill="auto"/>
            <w:vAlign w:val="center"/>
          </w:tcPr>
          <w:p w14:paraId="30735FA4" w14:textId="77777777" w:rsidR="009E72B9" w:rsidRPr="00E16672" w:rsidRDefault="009E72B9" w:rsidP="009E72B9">
            <w:pPr>
              <w:pStyle w:val="4"/>
              <w:tabs>
                <w:tab w:val="num" w:pos="864"/>
              </w:tabs>
              <w:snapToGrid w:val="0"/>
              <w:ind w:left="57" w:right="57" w:firstLine="0"/>
              <w:jc w:val="left"/>
              <w:rPr>
                <w:rFonts w:ascii="Times New Roman" w:hAnsi="Times New Roman"/>
                <w:sz w:val="16"/>
                <w:lang w:val="en-US"/>
              </w:rPr>
            </w:pPr>
          </w:p>
        </w:tc>
        <w:tc>
          <w:tcPr>
            <w:tcW w:w="3623" w:type="dxa"/>
            <w:gridSpan w:val="2"/>
            <w:shd w:val="clear" w:color="auto" w:fill="auto"/>
          </w:tcPr>
          <w:p w14:paraId="5528D9DD" w14:textId="77777777" w:rsidR="009E72B9" w:rsidRPr="003048F7" w:rsidRDefault="009E72B9" w:rsidP="009E72B9">
            <w:pPr>
              <w:snapToGrid w:val="0"/>
              <w:ind w:left="57" w:right="57" w:hanging="63"/>
              <w:jc w:val="left"/>
              <w:rPr>
                <w:rFonts w:ascii="Times New Roman" w:hAnsi="Times New Roman"/>
                <w:sz w:val="16"/>
                <w:lang w:val="en-US"/>
              </w:rPr>
            </w:pPr>
            <w:r w:rsidRPr="003048F7">
              <w:rPr>
                <w:rFonts w:ascii="Times New Roman" w:hAnsi="Times New Roman"/>
                <w:sz w:val="16"/>
                <w:lang w:val="en-US"/>
              </w:rPr>
              <w:t>UAH:</w:t>
            </w:r>
          </w:p>
          <w:p w14:paraId="1B3AD179" w14:textId="77777777" w:rsidR="009E72B9" w:rsidRPr="003048F7" w:rsidRDefault="009E72B9" w:rsidP="009E72B9">
            <w:pPr>
              <w:snapToGrid w:val="0"/>
              <w:ind w:left="57" w:right="57" w:hanging="63"/>
              <w:jc w:val="left"/>
              <w:rPr>
                <w:rFonts w:ascii="Times New Roman" w:hAnsi="Times New Roman"/>
                <w:sz w:val="16"/>
                <w:lang w:val="uk-UA"/>
              </w:rPr>
            </w:pPr>
            <w:r w:rsidRPr="003048F7">
              <w:rPr>
                <w:rFonts w:ascii="Times New Roman" w:hAnsi="Times New Roman"/>
                <w:sz w:val="16"/>
                <w:lang w:val="uk-UA"/>
              </w:rPr>
              <w:t>UA743281680000000026503815351</w:t>
            </w:r>
          </w:p>
          <w:p w14:paraId="3A82CECC" w14:textId="77777777" w:rsidR="009E72B9" w:rsidRPr="003048F7" w:rsidRDefault="009E72B9" w:rsidP="009E72B9">
            <w:pPr>
              <w:snapToGrid w:val="0"/>
              <w:ind w:left="57" w:right="57" w:hanging="63"/>
              <w:jc w:val="left"/>
              <w:rPr>
                <w:rFonts w:ascii="Times New Roman" w:hAnsi="Times New Roman"/>
                <w:sz w:val="16"/>
                <w:lang w:val="uk-UA"/>
              </w:rPr>
            </w:pPr>
            <w:r w:rsidRPr="003048F7">
              <w:rPr>
                <w:rFonts w:ascii="Times New Roman" w:hAnsi="Times New Roman"/>
                <w:sz w:val="16"/>
                <w:lang w:val="uk-UA"/>
              </w:rPr>
              <w:t>USA:</w:t>
            </w:r>
          </w:p>
          <w:p w14:paraId="474438A8" w14:textId="77777777" w:rsidR="009E72B9" w:rsidRPr="003048F7" w:rsidRDefault="009E72B9" w:rsidP="009E72B9">
            <w:pPr>
              <w:snapToGrid w:val="0"/>
              <w:ind w:left="57" w:right="57" w:hanging="63"/>
              <w:jc w:val="left"/>
              <w:rPr>
                <w:rFonts w:ascii="Times New Roman" w:hAnsi="Times New Roman"/>
                <w:sz w:val="16"/>
                <w:lang w:val="uk-UA"/>
              </w:rPr>
            </w:pPr>
            <w:r w:rsidRPr="009E72B9">
              <w:rPr>
                <w:rFonts w:ascii="Times New Roman" w:hAnsi="Times New Roman"/>
                <w:sz w:val="16"/>
                <w:lang w:val="en-US"/>
              </w:rPr>
              <w:t>IBAN - UA583281680000026506000000001</w:t>
            </w:r>
          </w:p>
          <w:p w14:paraId="1F3E68FD" w14:textId="77777777" w:rsidR="009E72B9" w:rsidRPr="003048F7" w:rsidRDefault="009E72B9" w:rsidP="009E72B9">
            <w:pPr>
              <w:snapToGrid w:val="0"/>
              <w:ind w:left="57" w:right="57" w:hanging="63"/>
              <w:jc w:val="left"/>
              <w:rPr>
                <w:rFonts w:ascii="Times New Roman" w:hAnsi="Times New Roman"/>
                <w:sz w:val="16"/>
                <w:lang w:val="uk-UA"/>
              </w:rPr>
            </w:pPr>
            <w:r w:rsidRPr="003048F7">
              <w:rPr>
                <w:rFonts w:ascii="Times New Roman" w:hAnsi="Times New Roman"/>
                <w:sz w:val="16"/>
                <w:lang w:val="uk-UA"/>
              </w:rPr>
              <w:t>EUR:</w:t>
            </w:r>
          </w:p>
          <w:p w14:paraId="384E713A" w14:textId="77777777" w:rsidR="009E72B9" w:rsidRPr="009E72B9" w:rsidRDefault="009E72B9" w:rsidP="009E72B9">
            <w:pPr>
              <w:snapToGrid w:val="0"/>
              <w:ind w:right="57" w:firstLine="0"/>
              <w:jc w:val="left"/>
              <w:rPr>
                <w:rFonts w:ascii="Times New Roman" w:hAnsi="Times New Roman"/>
                <w:color w:val="000000" w:themeColor="text1"/>
                <w:sz w:val="16"/>
                <w:szCs w:val="16"/>
                <w:lang w:val="en-US"/>
              </w:rPr>
            </w:pPr>
            <w:r w:rsidRPr="003048F7">
              <w:rPr>
                <w:rFonts w:ascii="Times New Roman" w:hAnsi="Times New Roman"/>
                <w:sz w:val="16"/>
                <w:lang w:val="uk-UA"/>
              </w:rPr>
              <w:t>IBAN - UA763281680000026505000000002</w:t>
            </w:r>
          </w:p>
        </w:tc>
        <w:tc>
          <w:tcPr>
            <w:tcW w:w="1899" w:type="dxa"/>
            <w:vMerge/>
            <w:shd w:val="clear" w:color="auto" w:fill="auto"/>
            <w:vAlign w:val="center"/>
          </w:tcPr>
          <w:p w14:paraId="345A8434" w14:textId="77777777" w:rsidR="009E72B9" w:rsidRPr="00E16672" w:rsidRDefault="009E72B9" w:rsidP="009E72B9">
            <w:pPr>
              <w:tabs>
                <w:tab w:val="num" w:pos="58"/>
                <w:tab w:val="left" w:pos="210"/>
              </w:tabs>
              <w:snapToGrid w:val="0"/>
              <w:ind w:left="57" w:right="57" w:firstLine="0"/>
              <w:jc w:val="left"/>
              <w:rPr>
                <w:rFonts w:ascii="Times New Roman" w:hAnsi="Times New Roman"/>
                <w:b/>
                <w:color w:val="000000" w:themeColor="text1"/>
                <w:sz w:val="16"/>
              </w:rPr>
            </w:pPr>
          </w:p>
        </w:tc>
        <w:tc>
          <w:tcPr>
            <w:tcW w:w="3927" w:type="dxa"/>
            <w:gridSpan w:val="2"/>
            <w:shd w:val="clear" w:color="auto" w:fill="auto"/>
          </w:tcPr>
          <w:p w14:paraId="0F8E9955" w14:textId="77777777" w:rsidR="009E72B9" w:rsidRPr="003048F7" w:rsidRDefault="009E72B9" w:rsidP="009E72B9">
            <w:pPr>
              <w:snapToGrid w:val="0"/>
              <w:ind w:left="57" w:right="57" w:hanging="63"/>
              <w:jc w:val="left"/>
              <w:rPr>
                <w:rFonts w:ascii="Times New Roman" w:hAnsi="Times New Roman"/>
                <w:sz w:val="16"/>
                <w:lang w:val="uk-UA"/>
              </w:rPr>
            </w:pPr>
            <w:r w:rsidRPr="003048F7">
              <w:rPr>
                <w:rFonts w:ascii="Times New Roman" w:hAnsi="Times New Roman"/>
                <w:sz w:val="16"/>
                <w:lang w:val="en-US"/>
              </w:rPr>
              <w:t>UAH:</w:t>
            </w:r>
          </w:p>
          <w:p w14:paraId="6C9D0E92" w14:textId="77777777" w:rsidR="009E72B9" w:rsidRPr="003048F7" w:rsidRDefault="009E72B9" w:rsidP="009E72B9">
            <w:pPr>
              <w:snapToGrid w:val="0"/>
              <w:ind w:left="57" w:right="57" w:hanging="63"/>
              <w:jc w:val="left"/>
              <w:rPr>
                <w:rFonts w:ascii="Times New Roman" w:hAnsi="Times New Roman"/>
                <w:sz w:val="16"/>
                <w:lang w:val="uk-UA"/>
              </w:rPr>
            </w:pPr>
            <w:r w:rsidRPr="003048F7">
              <w:rPr>
                <w:rFonts w:ascii="Times New Roman" w:hAnsi="Times New Roman"/>
                <w:sz w:val="16"/>
                <w:lang w:val="uk-UA"/>
              </w:rPr>
              <w:t>UA743281680000000026503815351</w:t>
            </w:r>
          </w:p>
          <w:p w14:paraId="6044D5D2" w14:textId="77777777" w:rsidR="009E72B9" w:rsidRPr="003048F7" w:rsidRDefault="009E72B9" w:rsidP="009E72B9">
            <w:pPr>
              <w:snapToGrid w:val="0"/>
              <w:ind w:left="57" w:right="57" w:hanging="63"/>
              <w:jc w:val="left"/>
              <w:rPr>
                <w:rFonts w:ascii="Times New Roman" w:hAnsi="Times New Roman"/>
                <w:sz w:val="16"/>
                <w:lang w:val="uk-UA"/>
              </w:rPr>
            </w:pPr>
            <w:r w:rsidRPr="003048F7">
              <w:rPr>
                <w:rFonts w:ascii="Times New Roman" w:hAnsi="Times New Roman"/>
                <w:sz w:val="16"/>
                <w:lang w:val="uk-UA"/>
              </w:rPr>
              <w:t>USA:</w:t>
            </w:r>
          </w:p>
          <w:p w14:paraId="4BCBD0F3" w14:textId="77777777" w:rsidR="009E72B9" w:rsidRPr="003048F7" w:rsidRDefault="009E72B9" w:rsidP="009E72B9">
            <w:pPr>
              <w:snapToGrid w:val="0"/>
              <w:ind w:left="57" w:right="57" w:hanging="63"/>
              <w:jc w:val="left"/>
              <w:rPr>
                <w:rFonts w:ascii="Times New Roman" w:hAnsi="Times New Roman"/>
                <w:sz w:val="16"/>
                <w:lang w:val="uk-UA"/>
              </w:rPr>
            </w:pPr>
            <w:r w:rsidRPr="009E72B9">
              <w:rPr>
                <w:rFonts w:ascii="Times New Roman" w:hAnsi="Times New Roman"/>
                <w:sz w:val="16"/>
                <w:lang w:val="en-US"/>
              </w:rPr>
              <w:t>IBAN - UA583281680000026506000000001</w:t>
            </w:r>
          </w:p>
          <w:p w14:paraId="651BD730" w14:textId="77777777" w:rsidR="009E72B9" w:rsidRPr="003048F7" w:rsidRDefault="009E72B9" w:rsidP="009E72B9">
            <w:pPr>
              <w:snapToGrid w:val="0"/>
              <w:ind w:left="57" w:right="57" w:hanging="63"/>
              <w:jc w:val="left"/>
              <w:rPr>
                <w:rFonts w:ascii="Times New Roman" w:hAnsi="Times New Roman"/>
                <w:sz w:val="16"/>
                <w:lang w:val="uk-UA"/>
              </w:rPr>
            </w:pPr>
            <w:r w:rsidRPr="003048F7">
              <w:rPr>
                <w:rFonts w:ascii="Times New Roman" w:hAnsi="Times New Roman"/>
                <w:sz w:val="16"/>
                <w:lang w:val="uk-UA"/>
              </w:rPr>
              <w:t>EUR:</w:t>
            </w:r>
          </w:p>
          <w:p w14:paraId="781B2F44" w14:textId="77777777" w:rsidR="009E72B9" w:rsidRPr="00E16672" w:rsidRDefault="009E72B9" w:rsidP="009E72B9">
            <w:pPr>
              <w:snapToGrid w:val="0"/>
              <w:ind w:right="57" w:firstLine="0"/>
              <w:jc w:val="left"/>
              <w:rPr>
                <w:rFonts w:ascii="Times New Roman" w:hAnsi="Times New Roman"/>
                <w:color w:val="000000" w:themeColor="text1"/>
                <w:sz w:val="16"/>
                <w:szCs w:val="16"/>
                <w:lang w:val="en-US"/>
              </w:rPr>
            </w:pPr>
            <w:r w:rsidRPr="003048F7">
              <w:rPr>
                <w:rFonts w:ascii="Times New Roman" w:hAnsi="Times New Roman"/>
                <w:sz w:val="16"/>
              </w:rPr>
              <w:t>IBAN - UA763281680000026505000000002</w:t>
            </w:r>
          </w:p>
        </w:tc>
      </w:tr>
      <w:tr w:rsidR="009E72B9" w:rsidRPr="00F23413" w14:paraId="28CE0583" w14:textId="77777777" w:rsidTr="00162356">
        <w:trPr>
          <w:trHeight w:val="882"/>
        </w:trPr>
        <w:tc>
          <w:tcPr>
            <w:tcW w:w="1741" w:type="dxa"/>
            <w:shd w:val="clear" w:color="auto" w:fill="auto"/>
            <w:vAlign w:val="center"/>
          </w:tcPr>
          <w:p w14:paraId="5162A8A6" w14:textId="77777777" w:rsidR="009E72B9" w:rsidRPr="00E16672" w:rsidRDefault="009E72B9" w:rsidP="009E72B9">
            <w:pPr>
              <w:pStyle w:val="4"/>
              <w:keepNext w:val="0"/>
              <w:widowControl w:val="0"/>
              <w:tabs>
                <w:tab w:val="num" w:pos="864"/>
                <w:tab w:val="left" w:pos="921"/>
              </w:tabs>
              <w:snapToGrid w:val="0"/>
              <w:ind w:left="57" w:right="57" w:firstLine="0"/>
              <w:jc w:val="left"/>
              <w:rPr>
                <w:rFonts w:ascii="Times New Roman" w:hAnsi="Times New Roman"/>
                <w:iCs/>
                <w:sz w:val="16"/>
                <w:szCs w:val="16"/>
              </w:rPr>
            </w:pPr>
            <w:r w:rsidRPr="00E16672">
              <w:rPr>
                <w:rFonts w:ascii="Times New Roman" w:hAnsi="Times New Roman"/>
                <w:sz w:val="16"/>
              </w:rPr>
              <w:t>Банк одержувача</w:t>
            </w:r>
            <w:r w:rsidRPr="00E16672">
              <w:rPr>
                <w:rFonts w:ascii="Times New Roman" w:hAnsi="Times New Roman"/>
                <w:sz w:val="16"/>
                <w:lang w:val="en-US"/>
              </w:rPr>
              <w:t>:</w:t>
            </w:r>
          </w:p>
        </w:tc>
        <w:tc>
          <w:tcPr>
            <w:tcW w:w="3623" w:type="dxa"/>
            <w:gridSpan w:val="2"/>
            <w:shd w:val="clear" w:color="auto" w:fill="auto"/>
            <w:vAlign w:val="center"/>
          </w:tcPr>
          <w:p w14:paraId="50ECCB0F" w14:textId="77777777" w:rsidR="009E72B9" w:rsidRPr="003048F7" w:rsidRDefault="009E72B9" w:rsidP="00022F5F">
            <w:pPr>
              <w:pStyle w:val="1f2"/>
              <w:ind w:left="-6" w:right="57" w:firstLine="0"/>
              <w:jc w:val="left"/>
              <w:rPr>
                <w:rFonts w:ascii="Times New Roman" w:hAnsi="Times New Roman" w:cs="Times New Roman"/>
                <w:sz w:val="16"/>
              </w:rPr>
            </w:pPr>
            <w:r w:rsidRPr="003048F7">
              <w:rPr>
                <w:rFonts w:ascii="Times New Roman" w:hAnsi="Times New Roman" w:cs="Times New Roman"/>
                <w:sz w:val="16"/>
              </w:rPr>
              <w:t xml:space="preserve">ПАТ </w:t>
            </w:r>
            <w:r w:rsidR="00022F5F">
              <w:rPr>
                <w:rFonts w:ascii="Times New Roman" w:hAnsi="Times New Roman" w:cs="Times New Roman"/>
                <w:sz w:val="16"/>
              </w:rPr>
              <w:t>"</w:t>
            </w:r>
            <w:r w:rsidRPr="003048F7">
              <w:rPr>
                <w:rFonts w:ascii="Times New Roman" w:hAnsi="Times New Roman" w:cs="Times New Roman"/>
                <w:sz w:val="16"/>
              </w:rPr>
              <w:t>МТБ БАНК</w:t>
            </w:r>
            <w:r w:rsidR="00022F5F">
              <w:rPr>
                <w:rFonts w:ascii="Times New Roman" w:hAnsi="Times New Roman" w:cs="Times New Roman"/>
                <w:sz w:val="16"/>
              </w:rPr>
              <w:t>"</w:t>
            </w:r>
          </w:p>
          <w:p w14:paraId="2736E7BA" w14:textId="77777777" w:rsidR="009E72B9" w:rsidRPr="00E16672" w:rsidRDefault="009E72B9" w:rsidP="009E72B9">
            <w:pPr>
              <w:snapToGrid w:val="0"/>
              <w:ind w:right="57" w:firstLine="0"/>
              <w:jc w:val="left"/>
              <w:rPr>
                <w:rFonts w:ascii="Times New Roman" w:hAnsi="Times New Roman"/>
                <w:bCs/>
                <w:color w:val="0000FF"/>
                <w:sz w:val="16"/>
                <w:szCs w:val="16"/>
                <w:lang w:val="uk-UA"/>
              </w:rPr>
            </w:pPr>
            <w:proofErr w:type="spellStart"/>
            <w:r w:rsidRPr="003048F7">
              <w:rPr>
                <w:rFonts w:ascii="Times New Roman" w:hAnsi="Times New Roman"/>
                <w:sz w:val="16"/>
              </w:rPr>
              <w:t>Україна</w:t>
            </w:r>
            <w:proofErr w:type="spellEnd"/>
            <w:r w:rsidRPr="001E0BFF">
              <w:rPr>
                <w:rFonts w:ascii="Times New Roman" w:hAnsi="Times New Roman"/>
                <w:sz w:val="16"/>
              </w:rPr>
              <w:t xml:space="preserve">, 68003, </w:t>
            </w:r>
            <w:proofErr w:type="spellStart"/>
            <w:r w:rsidRPr="003048F7">
              <w:rPr>
                <w:rFonts w:ascii="Times New Roman" w:hAnsi="Times New Roman"/>
                <w:sz w:val="16"/>
              </w:rPr>
              <w:t>Одеська</w:t>
            </w:r>
            <w:proofErr w:type="spellEnd"/>
            <w:r w:rsidRPr="003048F7">
              <w:rPr>
                <w:rFonts w:ascii="Times New Roman" w:hAnsi="Times New Roman"/>
                <w:sz w:val="16"/>
              </w:rPr>
              <w:t xml:space="preserve"> область</w:t>
            </w:r>
            <w:r w:rsidRPr="001E0BFF">
              <w:rPr>
                <w:rFonts w:ascii="Times New Roman" w:hAnsi="Times New Roman"/>
                <w:sz w:val="16"/>
              </w:rPr>
              <w:t xml:space="preserve">, </w:t>
            </w:r>
            <w:proofErr w:type="spellStart"/>
            <w:r w:rsidRPr="003048F7">
              <w:rPr>
                <w:rFonts w:ascii="Times New Roman" w:hAnsi="Times New Roman"/>
                <w:sz w:val="16"/>
              </w:rPr>
              <w:t>місто</w:t>
            </w:r>
            <w:proofErr w:type="spellEnd"/>
            <w:r w:rsidRPr="003048F7">
              <w:rPr>
                <w:rFonts w:ascii="Times New Roman" w:hAnsi="Times New Roman"/>
                <w:sz w:val="16"/>
              </w:rPr>
              <w:t xml:space="preserve"> </w:t>
            </w:r>
            <w:proofErr w:type="spellStart"/>
            <w:r w:rsidRPr="003048F7">
              <w:rPr>
                <w:rFonts w:ascii="Times New Roman" w:hAnsi="Times New Roman"/>
                <w:sz w:val="16"/>
              </w:rPr>
              <w:t>Чорноморськ</w:t>
            </w:r>
            <w:proofErr w:type="spellEnd"/>
            <w:r w:rsidRPr="001E0BFF">
              <w:rPr>
                <w:rFonts w:ascii="Times New Roman" w:hAnsi="Times New Roman"/>
                <w:sz w:val="16"/>
              </w:rPr>
              <w:t xml:space="preserve">, </w:t>
            </w:r>
            <w:r w:rsidRPr="003048F7">
              <w:rPr>
                <w:rFonts w:ascii="Times New Roman" w:hAnsi="Times New Roman"/>
                <w:sz w:val="16"/>
              </w:rPr>
              <w:t>пр. Миру</w:t>
            </w:r>
            <w:r w:rsidRPr="003048F7">
              <w:rPr>
                <w:rFonts w:ascii="Times New Roman" w:hAnsi="Times New Roman"/>
                <w:sz w:val="16"/>
                <w:lang w:val="en-US"/>
              </w:rPr>
              <w:t>, 28</w:t>
            </w:r>
          </w:p>
        </w:tc>
        <w:tc>
          <w:tcPr>
            <w:tcW w:w="1899" w:type="dxa"/>
            <w:shd w:val="clear" w:color="auto" w:fill="auto"/>
            <w:vAlign w:val="center"/>
          </w:tcPr>
          <w:p w14:paraId="006485EB" w14:textId="77777777" w:rsidR="009E72B9" w:rsidRPr="00E16672" w:rsidRDefault="009E72B9" w:rsidP="009E72B9">
            <w:pPr>
              <w:pStyle w:val="4"/>
              <w:keepNext w:val="0"/>
              <w:widowControl w:val="0"/>
              <w:tabs>
                <w:tab w:val="num" w:pos="58"/>
              </w:tabs>
              <w:snapToGrid w:val="0"/>
              <w:ind w:left="58" w:right="57" w:firstLine="0"/>
              <w:jc w:val="left"/>
              <w:rPr>
                <w:rFonts w:ascii="Times New Roman" w:hAnsi="Times New Roman"/>
                <w:iCs/>
                <w:sz w:val="16"/>
                <w:szCs w:val="16"/>
                <w:lang w:val="en-GB"/>
              </w:rPr>
            </w:pPr>
            <w:proofErr w:type="spellStart"/>
            <w:r w:rsidRPr="00E16672">
              <w:rPr>
                <w:rFonts w:ascii="Times New Roman" w:hAnsi="Times New Roman"/>
                <w:color w:val="000000" w:themeColor="text1"/>
                <w:sz w:val="16"/>
              </w:rPr>
              <w:t>Beneficiary's</w:t>
            </w:r>
            <w:proofErr w:type="spellEnd"/>
            <w:r w:rsidRPr="00E16672">
              <w:rPr>
                <w:rFonts w:ascii="Times New Roman" w:hAnsi="Times New Roman"/>
                <w:color w:val="000000" w:themeColor="text1"/>
                <w:sz w:val="16"/>
              </w:rPr>
              <w:t xml:space="preserve"> </w:t>
            </w:r>
            <w:proofErr w:type="spellStart"/>
            <w:r w:rsidRPr="00E16672">
              <w:rPr>
                <w:rFonts w:ascii="Times New Roman" w:hAnsi="Times New Roman"/>
                <w:color w:val="000000" w:themeColor="text1"/>
                <w:sz w:val="16"/>
              </w:rPr>
              <w:t>bank</w:t>
            </w:r>
            <w:proofErr w:type="spellEnd"/>
          </w:p>
        </w:tc>
        <w:tc>
          <w:tcPr>
            <w:tcW w:w="3927" w:type="dxa"/>
            <w:gridSpan w:val="2"/>
            <w:shd w:val="clear" w:color="auto" w:fill="auto"/>
            <w:vAlign w:val="center"/>
          </w:tcPr>
          <w:p w14:paraId="2B723674" w14:textId="77777777" w:rsidR="009E72B9" w:rsidRPr="003048F7" w:rsidRDefault="009E72B9" w:rsidP="009E72B9">
            <w:pPr>
              <w:snapToGrid w:val="0"/>
              <w:ind w:left="57" w:right="57" w:hanging="57"/>
              <w:rPr>
                <w:rFonts w:ascii="Times New Roman" w:hAnsi="Times New Roman"/>
                <w:sz w:val="16"/>
                <w:lang w:val="en-US"/>
              </w:rPr>
            </w:pPr>
            <w:r w:rsidRPr="003048F7">
              <w:rPr>
                <w:rFonts w:ascii="Times New Roman" w:hAnsi="Times New Roman"/>
                <w:sz w:val="16"/>
                <w:lang w:val="en-US"/>
              </w:rPr>
              <w:t>PJSC “MTB BANK”</w:t>
            </w:r>
          </w:p>
          <w:p w14:paraId="579FCED1" w14:textId="77777777" w:rsidR="009E72B9" w:rsidRPr="00E16672" w:rsidRDefault="009E72B9" w:rsidP="009E72B9">
            <w:pPr>
              <w:snapToGrid w:val="0"/>
              <w:ind w:right="57" w:firstLine="0"/>
              <w:jc w:val="left"/>
              <w:rPr>
                <w:rFonts w:ascii="Times New Roman" w:hAnsi="Times New Roman"/>
                <w:bCs/>
                <w:color w:val="0000FF"/>
                <w:sz w:val="16"/>
                <w:szCs w:val="16"/>
                <w:lang w:val="en-GB"/>
              </w:rPr>
            </w:pPr>
            <w:r w:rsidRPr="003048F7">
              <w:rPr>
                <w:rFonts w:ascii="Times New Roman" w:hAnsi="Times New Roman"/>
                <w:sz w:val="16"/>
                <w:lang w:val="en-US"/>
              </w:rPr>
              <w:t xml:space="preserve">Ukraine, 68003, Odessa region, </w:t>
            </w:r>
            <w:proofErr w:type="spellStart"/>
            <w:r w:rsidRPr="003048F7">
              <w:rPr>
                <w:rFonts w:ascii="Times New Roman" w:hAnsi="Times New Roman"/>
                <w:sz w:val="16"/>
                <w:lang w:val="en-US"/>
              </w:rPr>
              <w:t>Chornomorsk</w:t>
            </w:r>
            <w:proofErr w:type="spellEnd"/>
            <w:r w:rsidRPr="003048F7">
              <w:rPr>
                <w:rFonts w:ascii="Times New Roman" w:hAnsi="Times New Roman"/>
                <w:sz w:val="16"/>
                <w:lang w:val="en-US"/>
              </w:rPr>
              <w:t xml:space="preserve"> city, Mir Avenue, 28</w:t>
            </w:r>
          </w:p>
        </w:tc>
      </w:tr>
      <w:tr w:rsidR="009E72B9" w:rsidRPr="00E16672" w:rsidDel="00D16973" w14:paraId="0C031115" w14:textId="77777777" w:rsidTr="00162356">
        <w:trPr>
          <w:trHeight w:val="582"/>
        </w:trPr>
        <w:tc>
          <w:tcPr>
            <w:tcW w:w="3005" w:type="dxa"/>
            <w:gridSpan w:val="2"/>
            <w:shd w:val="clear" w:color="auto" w:fill="auto"/>
            <w:vAlign w:val="center"/>
          </w:tcPr>
          <w:p w14:paraId="02B6476A" w14:textId="1DA37733" w:rsidR="009E72B9" w:rsidRPr="00E16672" w:rsidRDefault="009E72B9" w:rsidP="009E72B9">
            <w:pPr>
              <w:pStyle w:val="4"/>
              <w:numPr>
                <w:ilvl w:val="3"/>
                <w:numId w:val="0"/>
              </w:numPr>
              <w:tabs>
                <w:tab w:val="num" w:pos="864"/>
              </w:tabs>
              <w:ind w:left="57" w:right="57"/>
              <w:jc w:val="left"/>
              <w:rPr>
                <w:rFonts w:ascii="Times New Roman" w:hAnsi="Times New Roman"/>
                <w:sz w:val="16"/>
              </w:rPr>
            </w:pPr>
            <w:r w:rsidRPr="00E16672">
              <w:rPr>
                <w:rFonts w:ascii="Times New Roman" w:hAnsi="Times New Roman"/>
                <w:sz w:val="16"/>
              </w:rPr>
              <w:t xml:space="preserve">Документ, що підтверджує повноваження особи, яка підписує договір </w:t>
            </w:r>
          </w:p>
        </w:tc>
        <w:tc>
          <w:tcPr>
            <w:tcW w:w="2359" w:type="dxa"/>
            <w:shd w:val="clear" w:color="auto" w:fill="auto"/>
            <w:vAlign w:val="center"/>
          </w:tcPr>
          <w:p w14:paraId="25DE524D" w14:textId="77777777" w:rsidR="009E72B9" w:rsidRPr="00E16672" w:rsidRDefault="009E72B9" w:rsidP="009E72B9">
            <w:pPr>
              <w:pStyle w:val="1f2"/>
              <w:ind w:right="57" w:firstLine="0"/>
              <w:jc w:val="left"/>
              <w:rPr>
                <w:rFonts w:ascii="Times New Roman" w:hAnsi="Times New Roman" w:cs="Times New Roman"/>
                <w:color w:val="0000FF"/>
                <w:sz w:val="16"/>
                <w:lang w:val="ru-RU"/>
              </w:rPr>
            </w:pPr>
            <w:r w:rsidRPr="00E16672">
              <w:rPr>
                <w:rFonts w:ascii="Times New Roman" w:hAnsi="Times New Roman" w:cs="Times New Roman"/>
                <w:sz w:val="16"/>
                <w:lang w:val="ru-RU"/>
              </w:rPr>
              <w:t xml:space="preserve"> Статут</w:t>
            </w:r>
          </w:p>
        </w:tc>
        <w:tc>
          <w:tcPr>
            <w:tcW w:w="3175" w:type="dxa"/>
            <w:gridSpan w:val="2"/>
            <w:shd w:val="clear" w:color="auto" w:fill="auto"/>
            <w:vAlign w:val="center"/>
          </w:tcPr>
          <w:p w14:paraId="5D080E91" w14:textId="2320ACC8" w:rsidR="009E72B9" w:rsidRPr="00E16672" w:rsidRDefault="009E72B9" w:rsidP="009E72B9">
            <w:pPr>
              <w:pStyle w:val="4"/>
              <w:numPr>
                <w:ilvl w:val="3"/>
                <w:numId w:val="0"/>
              </w:numPr>
              <w:tabs>
                <w:tab w:val="num" w:pos="864"/>
              </w:tabs>
              <w:ind w:left="57" w:right="57"/>
              <w:jc w:val="left"/>
              <w:rPr>
                <w:rFonts w:ascii="Times New Roman" w:hAnsi="Times New Roman"/>
                <w:sz w:val="16"/>
              </w:rPr>
            </w:pPr>
            <w:r w:rsidRPr="00E16672">
              <w:rPr>
                <w:rFonts w:ascii="Times New Roman" w:hAnsi="Times New Roman"/>
                <w:sz w:val="16"/>
              </w:rPr>
              <w:t xml:space="preserve">A </w:t>
            </w:r>
            <w:proofErr w:type="spellStart"/>
            <w:r w:rsidRPr="00E16672">
              <w:rPr>
                <w:rFonts w:ascii="Times New Roman" w:hAnsi="Times New Roman"/>
                <w:sz w:val="16"/>
              </w:rPr>
              <w:t>document</w:t>
            </w:r>
            <w:proofErr w:type="spellEnd"/>
            <w:r w:rsidRPr="00E16672">
              <w:rPr>
                <w:rFonts w:ascii="Times New Roman" w:hAnsi="Times New Roman"/>
                <w:sz w:val="16"/>
              </w:rPr>
              <w:t xml:space="preserve"> </w:t>
            </w:r>
            <w:proofErr w:type="spellStart"/>
            <w:r w:rsidRPr="00E16672">
              <w:rPr>
                <w:rFonts w:ascii="Times New Roman" w:hAnsi="Times New Roman"/>
                <w:sz w:val="16"/>
              </w:rPr>
              <w:t>confirming</w:t>
            </w:r>
            <w:proofErr w:type="spellEnd"/>
            <w:r w:rsidRPr="00E16672">
              <w:rPr>
                <w:rFonts w:ascii="Times New Roman" w:hAnsi="Times New Roman"/>
                <w:sz w:val="16"/>
              </w:rPr>
              <w:t xml:space="preserve"> </w:t>
            </w:r>
            <w:proofErr w:type="spellStart"/>
            <w:r w:rsidRPr="00E16672">
              <w:rPr>
                <w:rFonts w:ascii="Times New Roman" w:hAnsi="Times New Roman"/>
                <w:sz w:val="16"/>
              </w:rPr>
              <w:t>the</w:t>
            </w:r>
            <w:proofErr w:type="spellEnd"/>
            <w:r w:rsidRPr="00E16672">
              <w:rPr>
                <w:rFonts w:ascii="Times New Roman" w:hAnsi="Times New Roman"/>
                <w:sz w:val="16"/>
              </w:rPr>
              <w:t xml:space="preserve"> </w:t>
            </w:r>
            <w:proofErr w:type="spellStart"/>
            <w:r w:rsidRPr="00E16672">
              <w:rPr>
                <w:rFonts w:ascii="Times New Roman" w:hAnsi="Times New Roman"/>
                <w:sz w:val="16"/>
              </w:rPr>
              <w:t>authority</w:t>
            </w:r>
            <w:proofErr w:type="spellEnd"/>
            <w:r w:rsidRPr="00E16672">
              <w:rPr>
                <w:rFonts w:ascii="Times New Roman" w:hAnsi="Times New Roman"/>
                <w:sz w:val="16"/>
              </w:rPr>
              <w:t xml:space="preserve"> </w:t>
            </w:r>
            <w:proofErr w:type="spellStart"/>
            <w:r w:rsidRPr="00E16672">
              <w:rPr>
                <w:rFonts w:ascii="Times New Roman" w:hAnsi="Times New Roman"/>
                <w:sz w:val="16"/>
              </w:rPr>
              <w:t>of</w:t>
            </w:r>
            <w:proofErr w:type="spellEnd"/>
            <w:r w:rsidRPr="00E16672">
              <w:rPr>
                <w:rFonts w:ascii="Times New Roman" w:hAnsi="Times New Roman"/>
                <w:sz w:val="16"/>
              </w:rPr>
              <w:t xml:space="preserve"> </w:t>
            </w:r>
            <w:proofErr w:type="spellStart"/>
            <w:r w:rsidRPr="00E16672">
              <w:rPr>
                <w:rFonts w:ascii="Times New Roman" w:hAnsi="Times New Roman"/>
                <w:sz w:val="16"/>
              </w:rPr>
              <w:t>the</w:t>
            </w:r>
            <w:proofErr w:type="spellEnd"/>
            <w:r w:rsidRPr="00E16672">
              <w:rPr>
                <w:rFonts w:ascii="Times New Roman" w:hAnsi="Times New Roman"/>
                <w:sz w:val="16"/>
              </w:rPr>
              <w:t xml:space="preserve"> </w:t>
            </w:r>
            <w:proofErr w:type="spellStart"/>
            <w:r w:rsidRPr="00E16672">
              <w:rPr>
                <w:rFonts w:ascii="Times New Roman" w:hAnsi="Times New Roman"/>
                <w:sz w:val="16"/>
              </w:rPr>
              <w:t>person</w:t>
            </w:r>
            <w:proofErr w:type="spellEnd"/>
            <w:r w:rsidRPr="00E16672">
              <w:rPr>
                <w:rFonts w:ascii="Times New Roman" w:hAnsi="Times New Roman"/>
                <w:sz w:val="16"/>
              </w:rPr>
              <w:t xml:space="preserve"> </w:t>
            </w:r>
            <w:proofErr w:type="spellStart"/>
            <w:r w:rsidRPr="00E16672">
              <w:rPr>
                <w:rFonts w:ascii="Times New Roman" w:hAnsi="Times New Roman"/>
                <w:sz w:val="16"/>
              </w:rPr>
              <w:t>signing</w:t>
            </w:r>
            <w:proofErr w:type="spellEnd"/>
            <w:r w:rsidRPr="00E16672">
              <w:rPr>
                <w:rFonts w:ascii="Times New Roman" w:hAnsi="Times New Roman"/>
                <w:sz w:val="16"/>
              </w:rPr>
              <w:t xml:space="preserve"> </w:t>
            </w:r>
            <w:proofErr w:type="spellStart"/>
            <w:r w:rsidRPr="00E16672">
              <w:rPr>
                <w:rFonts w:ascii="Times New Roman" w:hAnsi="Times New Roman"/>
                <w:sz w:val="16"/>
              </w:rPr>
              <w:t>the</w:t>
            </w:r>
            <w:proofErr w:type="spellEnd"/>
            <w:r w:rsidRPr="00E16672">
              <w:rPr>
                <w:rFonts w:ascii="Times New Roman" w:hAnsi="Times New Roman"/>
                <w:sz w:val="16"/>
              </w:rPr>
              <w:t xml:space="preserve"> </w:t>
            </w:r>
            <w:proofErr w:type="spellStart"/>
            <w:r w:rsidRPr="00E16672">
              <w:rPr>
                <w:rFonts w:ascii="Times New Roman" w:hAnsi="Times New Roman"/>
                <w:sz w:val="16"/>
              </w:rPr>
              <w:t>contract</w:t>
            </w:r>
            <w:proofErr w:type="spellEnd"/>
            <w:r w:rsidRPr="00E16672">
              <w:rPr>
                <w:rFonts w:ascii="Times New Roman" w:hAnsi="Times New Roman"/>
                <w:sz w:val="16"/>
              </w:rPr>
              <w:t xml:space="preserve"> </w:t>
            </w:r>
          </w:p>
        </w:tc>
        <w:tc>
          <w:tcPr>
            <w:tcW w:w="2651" w:type="dxa"/>
            <w:shd w:val="clear" w:color="auto" w:fill="auto"/>
            <w:vAlign w:val="center"/>
          </w:tcPr>
          <w:p w14:paraId="1923C32B" w14:textId="77777777" w:rsidR="009E72B9" w:rsidRPr="00E16672" w:rsidDel="00D16973" w:rsidRDefault="009E72B9" w:rsidP="009E72B9">
            <w:pPr>
              <w:pStyle w:val="4"/>
              <w:numPr>
                <w:ilvl w:val="3"/>
                <w:numId w:val="0"/>
              </w:numPr>
              <w:tabs>
                <w:tab w:val="num" w:pos="864"/>
              </w:tabs>
              <w:ind w:left="57" w:right="57"/>
              <w:jc w:val="left"/>
              <w:rPr>
                <w:rFonts w:ascii="Times New Roman" w:hAnsi="Times New Roman"/>
                <w:b w:val="0"/>
                <w:sz w:val="16"/>
                <w:szCs w:val="16"/>
              </w:rPr>
            </w:pPr>
            <w:r w:rsidRPr="00E16672">
              <w:rPr>
                <w:rFonts w:ascii="Times New Roman" w:hAnsi="Times New Roman"/>
                <w:b w:val="0"/>
                <w:color w:val="000000"/>
                <w:sz w:val="16"/>
                <w:lang w:val="en-US"/>
              </w:rPr>
              <w:t>Statute</w:t>
            </w:r>
          </w:p>
        </w:tc>
      </w:tr>
      <w:tr w:rsidR="009E72B9" w:rsidRPr="00E16672" w:rsidDel="00D16973" w14:paraId="7D5F4BD7" w14:textId="77777777" w:rsidTr="00162356">
        <w:trPr>
          <w:trHeight w:val="582"/>
        </w:trPr>
        <w:tc>
          <w:tcPr>
            <w:tcW w:w="3005" w:type="dxa"/>
            <w:gridSpan w:val="2"/>
            <w:shd w:val="clear" w:color="auto" w:fill="auto"/>
            <w:vAlign w:val="center"/>
          </w:tcPr>
          <w:p w14:paraId="6CB2F88A" w14:textId="77777777" w:rsidR="009E72B9" w:rsidRPr="00E16672" w:rsidRDefault="009E72B9" w:rsidP="009E72B9">
            <w:pPr>
              <w:pStyle w:val="4"/>
              <w:numPr>
                <w:ilvl w:val="3"/>
                <w:numId w:val="0"/>
              </w:numPr>
              <w:tabs>
                <w:tab w:val="num" w:pos="864"/>
              </w:tabs>
              <w:ind w:left="57" w:right="57"/>
              <w:jc w:val="left"/>
              <w:rPr>
                <w:rFonts w:ascii="Times New Roman" w:hAnsi="Times New Roman"/>
                <w:sz w:val="16"/>
              </w:rPr>
            </w:pPr>
            <w:r w:rsidRPr="00E16672">
              <w:rPr>
                <w:rFonts w:ascii="Times New Roman" w:hAnsi="Times New Roman"/>
                <w:color w:val="000000"/>
                <w:sz w:val="16"/>
                <w:szCs w:val="18"/>
              </w:rPr>
              <w:t>Ліцензія депозитарної установи (серія, номер, дата видачі)</w:t>
            </w:r>
          </w:p>
        </w:tc>
        <w:tc>
          <w:tcPr>
            <w:tcW w:w="2359" w:type="dxa"/>
            <w:shd w:val="clear" w:color="auto" w:fill="auto"/>
            <w:vAlign w:val="center"/>
          </w:tcPr>
          <w:p w14:paraId="28F5C2E4" w14:textId="77777777" w:rsidR="009E72B9" w:rsidRPr="00E16672" w:rsidRDefault="009E72B9" w:rsidP="009E72B9">
            <w:pPr>
              <w:pStyle w:val="1f2"/>
              <w:ind w:right="57" w:firstLine="0"/>
              <w:rPr>
                <w:rFonts w:ascii="Times New Roman" w:hAnsi="Times New Roman" w:cs="Times New Roman"/>
                <w:color w:val="0000FF"/>
                <w:sz w:val="16"/>
                <w:lang w:val="ru-RU"/>
              </w:rPr>
            </w:pPr>
            <w:r w:rsidRPr="00E16672">
              <w:rPr>
                <w:rFonts w:ascii="Times New Roman" w:hAnsi="Times New Roman" w:cs="Times New Roman"/>
                <w:bCs/>
                <w:sz w:val="16"/>
                <w:szCs w:val="16"/>
              </w:rPr>
              <w:t xml:space="preserve"> АЕ 263429, 01.10.2013</w:t>
            </w:r>
          </w:p>
        </w:tc>
        <w:tc>
          <w:tcPr>
            <w:tcW w:w="3175" w:type="dxa"/>
            <w:gridSpan w:val="2"/>
            <w:shd w:val="clear" w:color="auto" w:fill="auto"/>
            <w:vAlign w:val="center"/>
          </w:tcPr>
          <w:p w14:paraId="774268EF" w14:textId="77777777" w:rsidR="009E72B9" w:rsidRPr="00E16672" w:rsidRDefault="009E72B9" w:rsidP="009E72B9">
            <w:pPr>
              <w:pStyle w:val="4"/>
              <w:numPr>
                <w:ilvl w:val="3"/>
                <w:numId w:val="0"/>
              </w:numPr>
              <w:tabs>
                <w:tab w:val="num" w:pos="864"/>
              </w:tabs>
              <w:ind w:left="57" w:right="57"/>
              <w:jc w:val="left"/>
              <w:rPr>
                <w:rFonts w:ascii="Times New Roman" w:hAnsi="Times New Roman"/>
                <w:color w:val="0000FF"/>
                <w:sz w:val="16"/>
                <w:szCs w:val="16"/>
              </w:rPr>
            </w:pPr>
            <w:proofErr w:type="spellStart"/>
            <w:r w:rsidRPr="00E16672">
              <w:rPr>
                <w:rFonts w:ascii="Times New Roman" w:hAnsi="Times New Roman"/>
                <w:color w:val="000000"/>
                <w:sz w:val="16"/>
                <w:szCs w:val="18"/>
              </w:rPr>
              <w:t>Depositary</w:t>
            </w:r>
            <w:proofErr w:type="spellEnd"/>
            <w:r w:rsidRPr="00E16672">
              <w:rPr>
                <w:rFonts w:ascii="Times New Roman" w:hAnsi="Times New Roman"/>
                <w:color w:val="000000"/>
                <w:sz w:val="16"/>
                <w:szCs w:val="18"/>
              </w:rPr>
              <w:t xml:space="preserve"> </w:t>
            </w:r>
            <w:proofErr w:type="spellStart"/>
            <w:r w:rsidRPr="00E16672">
              <w:rPr>
                <w:rFonts w:ascii="Times New Roman" w:hAnsi="Times New Roman"/>
                <w:color w:val="000000"/>
                <w:sz w:val="16"/>
                <w:szCs w:val="18"/>
              </w:rPr>
              <w:t>institution</w:t>
            </w:r>
            <w:proofErr w:type="spellEnd"/>
            <w:r w:rsidRPr="00E16672">
              <w:rPr>
                <w:rFonts w:ascii="Times New Roman" w:hAnsi="Times New Roman"/>
                <w:color w:val="000000"/>
                <w:sz w:val="16"/>
                <w:szCs w:val="18"/>
              </w:rPr>
              <w:t xml:space="preserve"> </w:t>
            </w:r>
            <w:proofErr w:type="spellStart"/>
            <w:r w:rsidRPr="00E16672">
              <w:rPr>
                <w:rFonts w:ascii="Times New Roman" w:hAnsi="Times New Roman"/>
                <w:color w:val="000000"/>
                <w:sz w:val="16"/>
                <w:szCs w:val="18"/>
              </w:rPr>
              <w:t>license</w:t>
            </w:r>
            <w:proofErr w:type="spellEnd"/>
            <w:r w:rsidRPr="00E16672">
              <w:rPr>
                <w:rFonts w:ascii="Times New Roman" w:hAnsi="Times New Roman"/>
                <w:color w:val="000000"/>
                <w:sz w:val="16"/>
                <w:szCs w:val="18"/>
              </w:rPr>
              <w:t xml:space="preserve"> (</w:t>
            </w:r>
            <w:proofErr w:type="spellStart"/>
            <w:r w:rsidRPr="00E16672">
              <w:rPr>
                <w:rFonts w:ascii="Times New Roman" w:hAnsi="Times New Roman"/>
                <w:color w:val="000000"/>
                <w:sz w:val="16"/>
                <w:szCs w:val="18"/>
              </w:rPr>
              <w:t>series</w:t>
            </w:r>
            <w:proofErr w:type="spellEnd"/>
            <w:r w:rsidRPr="00E16672">
              <w:rPr>
                <w:rFonts w:ascii="Times New Roman" w:hAnsi="Times New Roman"/>
                <w:color w:val="000000"/>
                <w:sz w:val="16"/>
                <w:szCs w:val="18"/>
              </w:rPr>
              <w:t xml:space="preserve">, </w:t>
            </w:r>
            <w:proofErr w:type="spellStart"/>
            <w:r w:rsidRPr="00E16672">
              <w:rPr>
                <w:rFonts w:ascii="Times New Roman" w:hAnsi="Times New Roman"/>
                <w:color w:val="000000"/>
                <w:sz w:val="16"/>
                <w:szCs w:val="18"/>
              </w:rPr>
              <w:t>number</w:t>
            </w:r>
            <w:proofErr w:type="spellEnd"/>
            <w:r w:rsidRPr="00E16672">
              <w:rPr>
                <w:rFonts w:ascii="Times New Roman" w:hAnsi="Times New Roman"/>
                <w:color w:val="000000"/>
                <w:sz w:val="16"/>
                <w:szCs w:val="18"/>
              </w:rPr>
              <w:t xml:space="preserve">, </w:t>
            </w:r>
            <w:proofErr w:type="spellStart"/>
            <w:r w:rsidRPr="00E16672">
              <w:rPr>
                <w:rFonts w:ascii="Times New Roman" w:hAnsi="Times New Roman"/>
                <w:color w:val="000000"/>
                <w:sz w:val="16"/>
                <w:szCs w:val="18"/>
              </w:rPr>
              <w:t>date</w:t>
            </w:r>
            <w:proofErr w:type="spellEnd"/>
            <w:r w:rsidRPr="00E16672">
              <w:rPr>
                <w:rFonts w:ascii="Times New Roman" w:hAnsi="Times New Roman"/>
                <w:color w:val="000000"/>
                <w:sz w:val="16"/>
                <w:szCs w:val="18"/>
              </w:rPr>
              <w:t xml:space="preserve"> </w:t>
            </w:r>
            <w:proofErr w:type="spellStart"/>
            <w:r w:rsidRPr="00E16672">
              <w:rPr>
                <w:rFonts w:ascii="Times New Roman" w:hAnsi="Times New Roman"/>
                <w:color w:val="000000"/>
                <w:sz w:val="16"/>
                <w:szCs w:val="18"/>
              </w:rPr>
              <w:t>of</w:t>
            </w:r>
            <w:proofErr w:type="spellEnd"/>
            <w:r w:rsidRPr="00E16672">
              <w:rPr>
                <w:rFonts w:ascii="Times New Roman" w:hAnsi="Times New Roman"/>
                <w:color w:val="000000"/>
                <w:sz w:val="16"/>
                <w:szCs w:val="18"/>
              </w:rPr>
              <w:t xml:space="preserve"> </w:t>
            </w:r>
            <w:proofErr w:type="spellStart"/>
            <w:r w:rsidRPr="00E16672">
              <w:rPr>
                <w:rFonts w:ascii="Times New Roman" w:hAnsi="Times New Roman"/>
                <w:color w:val="000000"/>
                <w:sz w:val="16"/>
                <w:szCs w:val="18"/>
              </w:rPr>
              <w:t>issue</w:t>
            </w:r>
            <w:proofErr w:type="spellEnd"/>
            <w:r w:rsidRPr="00E16672">
              <w:rPr>
                <w:rFonts w:ascii="Times New Roman" w:hAnsi="Times New Roman"/>
                <w:color w:val="000000"/>
                <w:sz w:val="16"/>
                <w:szCs w:val="18"/>
              </w:rPr>
              <w:t>)</w:t>
            </w:r>
          </w:p>
        </w:tc>
        <w:tc>
          <w:tcPr>
            <w:tcW w:w="2651" w:type="dxa"/>
            <w:shd w:val="clear" w:color="auto" w:fill="auto"/>
            <w:vAlign w:val="center"/>
          </w:tcPr>
          <w:p w14:paraId="49C09D4C" w14:textId="77777777" w:rsidR="009E72B9" w:rsidRPr="00E16672" w:rsidDel="00D16973" w:rsidRDefault="009E72B9" w:rsidP="009E72B9">
            <w:pPr>
              <w:pStyle w:val="6"/>
              <w:widowControl w:val="0"/>
              <w:snapToGrid w:val="0"/>
              <w:ind w:left="0" w:firstLine="0"/>
              <w:jc w:val="left"/>
              <w:rPr>
                <w:rFonts w:ascii="Times New Roman" w:hAnsi="Times New Roman"/>
                <w:color w:val="0000FF"/>
                <w:sz w:val="16"/>
                <w:szCs w:val="16"/>
                <w:lang w:val="en-US"/>
              </w:rPr>
            </w:pPr>
            <w:r w:rsidRPr="00E16672">
              <w:rPr>
                <w:rFonts w:ascii="Times New Roman" w:hAnsi="Times New Roman"/>
                <w:bCs/>
                <w:sz w:val="16"/>
                <w:szCs w:val="16"/>
                <w:lang w:val="uk-UA"/>
              </w:rPr>
              <w:t>АЕ 263429, 01.10.2013</w:t>
            </w:r>
          </w:p>
        </w:tc>
      </w:tr>
    </w:tbl>
    <w:p w14:paraId="4BED7223" w14:textId="77777777" w:rsidR="00716A4D" w:rsidRPr="00E16672" w:rsidRDefault="00716A4D" w:rsidP="00424A4A">
      <w:pPr>
        <w:rPr>
          <w:rFonts w:ascii="Times New Roman" w:hAnsi="Times New Roman"/>
          <w:lang w:val="uk-UA"/>
        </w:rPr>
      </w:pPr>
    </w:p>
    <w:tbl>
      <w:tblPr>
        <w:tblW w:w="0" w:type="auto"/>
        <w:tblInd w:w="168" w:type="dxa"/>
        <w:tblLayout w:type="fixed"/>
        <w:tblCellMar>
          <w:top w:w="55" w:type="dxa"/>
          <w:left w:w="55" w:type="dxa"/>
          <w:bottom w:w="55" w:type="dxa"/>
          <w:right w:w="55" w:type="dxa"/>
        </w:tblCellMar>
        <w:tblLook w:val="0000" w:firstRow="0" w:lastRow="0" w:firstColumn="0" w:lastColumn="0" w:noHBand="0" w:noVBand="0"/>
      </w:tblPr>
      <w:tblGrid>
        <w:gridCol w:w="5500"/>
        <w:gridCol w:w="5328"/>
      </w:tblGrid>
      <w:tr w:rsidR="00502AEC" w:rsidRPr="00F23413" w14:paraId="2C6664B8" w14:textId="77777777">
        <w:tc>
          <w:tcPr>
            <w:tcW w:w="5500" w:type="dxa"/>
            <w:shd w:val="clear" w:color="auto" w:fill="auto"/>
          </w:tcPr>
          <w:p w14:paraId="6F408C71" w14:textId="77777777" w:rsidR="00854786" w:rsidRPr="00E16672" w:rsidRDefault="00854786" w:rsidP="005C0881">
            <w:pPr>
              <w:tabs>
                <w:tab w:val="left" w:pos="5960"/>
              </w:tabs>
              <w:snapToGrid w:val="0"/>
              <w:ind w:left="57" w:right="57" w:hanging="57"/>
              <w:rPr>
                <w:rFonts w:ascii="Times New Roman" w:hAnsi="Times New Roman"/>
                <w:b/>
                <w:bCs/>
                <w:sz w:val="16"/>
                <w:szCs w:val="16"/>
              </w:rPr>
            </w:pPr>
          </w:p>
          <w:p w14:paraId="1A58C230" w14:textId="77777777" w:rsidR="00854786" w:rsidRPr="00E16672" w:rsidRDefault="00854786" w:rsidP="005C0881">
            <w:pPr>
              <w:tabs>
                <w:tab w:val="left" w:pos="5960"/>
              </w:tabs>
              <w:snapToGrid w:val="0"/>
              <w:ind w:left="57" w:right="57" w:hanging="57"/>
              <w:rPr>
                <w:rFonts w:ascii="Times New Roman" w:hAnsi="Times New Roman"/>
                <w:b/>
                <w:bCs/>
                <w:sz w:val="16"/>
                <w:szCs w:val="16"/>
              </w:rPr>
            </w:pPr>
          </w:p>
          <w:p w14:paraId="5A1E7E15" w14:textId="77777777" w:rsidR="00502AEC" w:rsidRPr="00E16672" w:rsidRDefault="00502AEC" w:rsidP="005C0881">
            <w:pPr>
              <w:tabs>
                <w:tab w:val="left" w:pos="5960"/>
              </w:tabs>
              <w:snapToGrid w:val="0"/>
              <w:ind w:left="57" w:right="57" w:hanging="57"/>
              <w:rPr>
                <w:rFonts w:ascii="Times New Roman" w:hAnsi="Times New Roman"/>
                <w:b/>
                <w:bCs/>
                <w:sz w:val="16"/>
                <w:szCs w:val="16"/>
              </w:rPr>
            </w:pPr>
            <w:proofErr w:type="spellStart"/>
            <w:r w:rsidRPr="00E16672">
              <w:rPr>
                <w:rFonts w:ascii="Times New Roman" w:hAnsi="Times New Roman"/>
                <w:b/>
                <w:bCs/>
                <w:sz w:val="16"/>
                <w:szCs w:val="16"/>
              </w:rPr>
              <w:t>Депозитарна</w:t>
            </w:r>
            <w:proofErr w:type="spellEnd"/>
            <w:r w:rsidRPr="00E16672">
              <w:rPr>
                <w:rFonts w:ascii="Times New Roman" w:hAnsi="Times New Roman"/>
                <w:b/>
                <w:bCs/>
                <w:sz w:val="16"/>
                <w:szCs w:val="16"/>
              </w:rPr>
              <w:t xml:space="preserve"> </w:t>
            </w:r>
            <w:proofErr w:type="spellStart"/>
            <w:r w:rsidRPr="00E16672">
              <w:rPr>
                <w:rFonts w:ascii="Times New Roman" w:hAnsi="Times New Roman"/>
                <w:b/>
                <w:bCs/>
                <w:sz w:val="16"/>
                <w:szCs w:val="16"/>
              </w:rPr>
              <w:t>установа</w:t>
            </w:r>
            <w:proofErr w:type="spellEnd"/>
            <w:r w:rsidRPr="00E16672">
              <w:rPr>
                <w:rFonts w:ascii="Times New Roman" w:hAnsi="Times New Roman"/>
                <w:b/>
                <w:bCs/>
                <w:sz w:val="16"/>
                <w:szCs w:val="16"/>
              </w:rPr>
              <w:t xml:space="preserve"> </w:t>
            </w:r>
            <w:r w:rsidRPr="00E16672">
              <w:rPr>
                <w:rFonts w:ascii="Times New Roman" w:hAnsi="Times New Roman"/>
                <w:b/>
                <w:bCs/>
                <w:sz w:val="16"/>
                <w:szCs w:val="16"/>
                <w:lang w:val="en-US"/>
              </w:rPr>
              <w:t>(</w:t>
            </w:r>
            <w:proofErr w:type="spellStart"/>
            <w:r w:rsidRPr="00E16672">
              <w:rPr>
                <w:rFonts w:ascii="Times New Roman" w:hAnsi="Times New Roman"/>
                <w:b/>
                <w:bCs/>
                <w:sz w:val="16"/>
                <w:szCs w:val="16"/>
              </w:rPr>
              <w:t>Depository</w:t>
            </w:r>
            <w:proofErr w:type="spellEnd"/>
            <w:r w:rsidRPr="00E16672">
              <w:rPr>
                <w:rFonts w:ascii="Times New Roman" w:hAnsi="Times New Roman"/>
                <w:b/>
                <w:bCs/>
                <w:sz w:val="16"/>
                <w:szCs w:val="16"/>
              </w:rPr>
              <w:t xml:space="preserve"> </w:t>
            </w:r>
            <w:proofErr w:type="spellStart"/>
            <w:r w:rsidRPr="00E16672">
              <w:rPr>
                <w:rFonts w:ascii="Times New Roman" w:hAnsi="Times New Roman"/>
                <w:b/>
                <w:bCs/>
                <w:sz w:val="16"/>
                <w:szCs w:val="16"/>
              </w:rPr>
              <w:t>institution</w:t>
            </w:r>
            <w:proofErr w:type="spellEnd"/>
            <w:r w:rsidRPr="00E16672">
              <w:rPr>
                <w:rFonts w:ascii="Times New Roman" w:hAnsi="Times New Roman"/>
                <w:b/>
                <w:bCs/>
                <w:sz w:val="16"/>
                <w:szCs w:val="16"/>
              </w:rPr>
              <w:t>):</w:t>
            </w:r>
          </w:p>
        </w:tc>
        <w:tc>
          <w:tcPr>
            <w:tcW w:w="5328" w:type="dxa"/>
            <w:shd w:val="clear" w:color="auto" w:fill="auto"/>
          </w:tcPr>
          <w:p w14:paraId="5ED7D2E1" w14:textId="77777777" w:rsidR="00854786" w:rsidRPr="00E16672" w:rsidRDefault="00854786" w:rsidP="00E5219A">
            <w:pPr>
              <w:tabs>
                <w:tab w:val="left" w:pos="5960"/>
              </w:tabs>
              <w:snapToGrid w:val="0"/>
              <w:ind w:left="57" w:right="57" w:hanging="57"/>
              <w:rPr>
                <w:rFonts w:ascii="Times New Roman" w:hAnsi="Times New Roman"/>
                <w:b/>
                <w:bCs/>
                <w:sz w:val="16"/>
                <w:szCs w:val="16"/>
              </w:rPr>
            </w:pPr>
          </w:p>
          <w:p w14:paraId="18C1E71E" w14:textId="77777777" w:rsidR="00854786" w:rsidRPr="00E16672" w:rsidRDefault="00854786" w:rsidP="00E5219A">
            <w:pPr>
              <w:tabs>
                <w:tab w:val="left" w:pos="5960"/>
              </w:tabs>
              <w:snapToGrid w:val="0"/>
              <w:ind w:left="57" w:right="57" w:hanging="57"/>
              <w:rPr>
                <w:rFonts w:ascii="Times New Roman" w:hAnsi="Times New Roman"/>
                <w:b/>
                <w:bCs/>
                <w:sz w:val="16"/>
                <w:szCs w:val="16"/>
              </w:rPr>
            </w:pPr>
          </w:p>
          <w:p w14:paraId="61CC3A85" w14:textId="17C48C7B" w:rsidR="00E5219A" w:rsidRPr="00E16672" w:rsidRDefault="00E5219A" w:rsidP="00E5219A">
            <w:pPr>
              <w:tabs>
                <w:tab w:val="left" w:pos="5960"/>
              </w:tabs>
              <w:snapToGrid w:val="0"/>
              <w:ind w:left="57" w:right="57" w:hanging="57"/>
              <w:rPr>
                <w:rFonts w:ascii="Times New Roman" w:hAnsi="Times New Roman"/>
                <w:b/>
                <w:bCs/>
                <w:sz w:val="16"/>
                <w:szCs w:val="16"/>
                <w:lang w:val="en-US"/>
              </w:rPr>
            </w:pPr>
            <w:r w:rsidRPr="00E16672">
              <w:rPr>
                <w:rFonts w:ascii="Times New Roman" w:hAnsi="Times New Roman"/>
                <w:b/>
                <w:bCs/>
                <w:sz w:val="16"/>
                <w:szCs w:val="16"/>
              </w:rPr>
              <w:t>Депонент</w:t>
            </w:r>
            <w:r w:rsidRPr="00E16672">
              <w:rPr>
                <w:rFonts w:ascii="Times New Roman" w:hAnsi="Times New Roman"/>
                <w:b/>
                <w:bCs/>
                <w:sz w:val="16"/>
                <w:szCs w:val="16"/>
                <w:lang w:val="en-US"/>
              </w:rPr>
              <w:t xml:space="preserve"> </w:t>
            </w:r>
            <w:r w:rsidR="002E7394">
              <w:rPr>
                <w:rFonts w:ascii="Times New Roman" w:hAnsi="Times New Roman"/>
                <w:b/>
                <w:bCs/>
                <w:sz w:val="16"/>
                <w:szCs w:val="16"/>
                <w:lang w:val="uk-UA"/>
              </w:rPr>
              <w:t xml:space="preserve">/ </w:t>
            </w:r>
            <w:r w:rsidR="002E7394" w:rsidRPr="002E7394">
              <w:rPr>
                <w:rFonts w:ascii="Times New Roman" w:hAnsi="Times New Roman"/>
                <w:b/>
                <w:bCs/>
                <w:sz w:val="16"/>
                <w:szCs w:val="16"/>
                <w:lang w:val="uk-UA"/>
              </w:rPr>
              <w:t>уповноважена особа</w:t>
            </w:r>
            <w:r w:rsidR="002E7394" w:rsidRPr="002E7394">
              <w:rPr>
                <w:rFonts w:ascii="Times New Roman" w:hAnsi="Times New Roman"/>
                <w:b/>
                <w:bCs/>
                <w:sz w:val="16"/>
                <w:szCs w:val="16"/>
                <w:lang w:val="uk-UA"/>
              </w:rPr>
              <w:t xml:space="preserve"> </w:t>
            </w:r>
            <w:r w:rsidRPr="00E16672">
              <w:rPr>
                <w:rFonts w:ascii="Times New Roman" w:hAnsi="Times New Roman"/>
                <w:b/>
                <w:bCs/>
                <w:sz w:val="16"/>
                <w:szCs w:val="16"/>
                <w:lang w:val="en-US"/>
              </w:rPr>
              <w:t xml:space="preserve">(Depositor / </w:t>
            </w:r>
            <w:r w:rsidR="002E7394" w:rsidRPr="002E7394">
              <w:rPr>
                <w:rFonts w:ascii="Times New Roman" w:hAnsi="Times New Roman"/>
                <w:b/>
                <w:sz w:val="16"/>
                <w:szCs w:val="16"/>
                <w:lang w:val="en-GB"/>
              </w:rPr>
              <w:t>authorized person</w:t>
            </w:r>
            <w:r w:rsidRPr="00E16672">
              <w:rPr>
                <w:rFonts w:ascii="Times New Roman" w:hAnsi="Times New Roman"/>
                <w:b/>
                <w:bCs/>
                <w:sz w:val="16"/>
                <w:szCs w:val="16"/>
                <w:lang w:val="en-US"/>
              </w:rPr>
              <w:t>):</w:t>
            </w:r>
          </w:p>
          <w:p w14:paraId="72EDEB3C" w14:textId="77777777" w:rsidR="001421ED" w:rsidRPr="00E16672" w:rsidRDefault="001421ED" w:rsidP="005C0881">
            <w:pPr>
              <w:tabs>
                <w:tab w:val="left" w:pos="5960"/>
              </w:tabs>
              <w:snapToGrid w:val="0"/>
              <w:ind w:left="57" w:right="57" w:hanging="57"/>
              <w:rPr>
                <w:rFonts w:ascii="Times New Roman" w:hAnsi="Times New Roman"/>
                <w:b/>
                <w:bCs/>
                <w:sz w:val="16"/>
                <w:szCs w:val="16"/>
                <w:lang w:val="en-US"/>
              </w:rPr>
            </w:pPr>
          </w:p>
        </w:tc>
      </w:tr>
      <w:tr w:rsidR="00502AEC" w:rsidRPr="00F23413" w14:paraId="18663245" w14:textId="77777777">
        <w:trPr>
          <w:trHeight w:val="919"/>
        </w:trPr>
        <w:tc>
          <w:tcPr>
            <w:tcW w:w="5500" w:type="dxa"/>
            <w:shd w:val="clear" w:color="auto" w:fill="auto"/>
          </w:tcPr>
          <w:p w14:paraId="6F32AD80" w14:textId="77777777" w:rsidR="00D2537D" w:rsidRPr="00457728" w:rsidRDefault="001421ED" w:rsidP="00F82710">
            <w:pPr>
              <w:tabs>
                <w:tab w:val="left" w:pos="1560"/>
              </w:tabs>
              <w:ind w:firstLine="102"/>
              <w:jc w:val="left"/>
              <w:rPr>
                <w:rFonts w:ascii="Times New Roman" w:hAnsi="Times New Roman"/>
                <w:color w:val="000000"/>
                <w:sz w:val="18"/>
                <w:szCs w:val="18"/>
                <w:lang w:val="en-US"/>
              </w:rPr>
            </w:pPr>
            <w:r w:rsidRPr="00457728">
              <w:rPr>
                <w:rFonts w:ascii="Times New Roman" w:hAnsi="Times New Roman"/>
                <w:color w:val="000000"/>
                <w:sz w:val="18"/>
                <w:szCs w:val="18"/>
                <w:lang w:val="en-US"/>
              </w:rPr>
              <w:t>_</w:t>
            </w:r>
            <w:r w:rsidRPr="00E16672">
              <w:rPr>
                <w:rFonts w:ascii="Times New Roman" w:hAnsi="Times New Roman"/>
                <w:color w:val="000000"/>
                <w:sz w:val="18"/>
                <w:szCs w:val="18"/>
                <w:lang w:val="uk-UA"/>
              </w:rPr>
              <w:t>__</w:t>
            </w:r>
            <w:r w:rsidRPr="00457728">
              <w:rPr>
                <w:rFonts w:ascii="Times New Roman" w:hAnsi="Times New Roman"/>
                <w:color w:val="000000"/>
                <w:sz w:val="18"/>
                <w:szCs w:val="18"/>
                <w:lang w:val="en-US"/>
              </w:rPr>
              <w:t>___________________</w:t>
            </w:r>
            <w:proofErr w:type="gramStart"/>
            <w:r w:rsidRPr="00457728">
              <w:rPr>
                <w:rFonts w:ascii="Times New Roman" w:hAnsi="Times New Roman"/>
                <w:color w:val="000000"/>
                <w:sz w:val="18"/>
                <w:szCs w:val="18"/>
                <w:lang w:val="en-US"/>
              </w:rPr>
              <w:t>_</w:t>
            </w:r>
            <w:r w:rsidRPr="00457728">
              <w:rPr>
                <w:rFonts w:ascii="Times New Roman" w:hAnsi="Times New Roman"/>
                <w:color w:val="000000"/>
                <w:sz w:val="16"/>
                <w:szCs w:val="16"/>
                <w:lang w:val="en-US"/>
              </w:rPr>
              <w:t>(</w:t>
            </w:r>
            <w:proofErr w:type="gramEnd"/>
            <w:r w:rsidR="00F82710">
              <w:rPr>
                <w:rFonts w:ascii="Times New Roman" w:hAnsi="Times New Roman"/>
                <w:bCs/>
                <w:sz w:val="16"/>
                <w:szCs w:val="16"/>
              </w:rPr>
              <w:t>Король</w:t>
            </w:r>
            <w:r w:rsidR="00E16672" w:rsidRPr="00457728">
              <w:rPr>
                <w:rFonts w:ascii="Times New Roman" w:hAnsi="Times New Roman"/>
                <w:bCs/>
                <w:sz w:val="16"/>
                <w:szCs w:val="16"/>
                <w:lang w:val="en-US"/>
              </w:rPr>
              <w:t xml:space="preserve"> </w:t>
            </w:r>
            <w:r w:rsidR="00E16672" w:rsidRPr="00E16672">
              <w:rPr>
                <w:rFonts w:ascii="Times New Roman" w:hAnsi="Times New Roman"/>
                <w:bCs/>
                <w:sz w:val="16"/>
                <w:szCs w:val="16"/>
              </w:rPr>
              <w:t>Оксана</w:t>
            </w:r>
            <w:r w:rsidR="00E16672" w:rsidRPr="00457728">
              <w:rPr>
                <w:rFonts w:ascii="Times New Roman" w:hAnsi="Times New Roman"/>
                <w:bCs/>
                <w:sz w:val="16"/>
                <w:szCs w:val="16"/>
                <w:lang w:val="en-US"/>
              </w:rPr>
              <w:t xml:space="preserve"> </w:t>
            </w:r>
            <w:proofErr w:type="spellStart"/>
            <w:r w:rsidR="00E16672" w:rsidRPr="00E16672">
              <w:rPr>
                <w:rFonts w:ascii="Times New Roman" w:hAnsi="Times New Roman"/>
                <w:bCs/>
                <w:sz w:val="16"/>
                <w:szCs w:val="16"/>
              </w:rPr>
              <w:t>Іванівна</w:t>
            </w:r>
            <w:proofErr w:type="spellEnd"/>
            <w:r w:rsidRPr="00457728">
              <w:rPr>
                <w:rFonts w:ascii="Times New Roman" w:hAnsi="Times New Roman"/>
                <w:color w:val="000000"/>
                <w:sz w:val="16"/>
                <w:szCs w:val="16"/>
                <w:lang w:val="en-US"/>
              </w:rPr>
              <w:t>)</w:t>
            </w:r>
            <w:r w:rsidRPr="00457728">
              <w:rPr>
                <w:rFonts w:ascii="Times New Roman" w:hAnsi="Times New Roman"/>
                <w:color w:val="000000"/>
                <w:sz w:val="18"/>
                <w:szCs w:val="18"/>
                <w:lang w:val="en-US"/>
              </w:rPr>
              <w:t xml:space="preserve"> </w:t>
            </w:r>
          </w:p>
          <w:p w14:paraId="0636EC5B" w14:textId="77777777" w:rsidR="001421ED" w:rsidRPr="00457728" w:rsidRDefault="00D2537D" w:rsidP="001421ED">
            <w:pPr>
              <w:tabs>
                <w:tab w:val="left" w:pos="1560"/>
              </w:tabs>
              <w:ind w:firstLine="102"/>
              <w:rPr>
                <w:rFonts w:ascii="Times New Roman" w:hAnsi="Times New Roman"/>
                <w:color w:val="000000"/>
                <w:sz w:val="16"/>
                <w:szCs w:val="16"/>
                <w:lang w:val="en-US"/>
              </w:rPr>
            </w:pPr>
            <w:r w:rsidRPr="00E16672">
              <w:rPr>
                <w:rFonts w:ascii="Times New Roman" w:hAnsi="Times New Roman"/>
                <w:color w:val="000000"/>
                <w:sz w:val="16"/>
                <w:szCs w:val="16"/>
                <w:lang w:val="uk-UA"/>
              </w:rPr>
              <w:t xml:space="preserve">                                                            </w:t>
            </w:r>
            <w:r w:rsidRPr="00457728">
              <w:rPr>
                <w:rFonts w:ascii="Times New Roman" w:hAnsi="Times New Roman"/>
                <w:bCs/>
                <w:color w:val="000000"/>
                <w:sz w:val="16"/>
                <w:szCs w:val="16"/>
                <w:lang w:val="en-US"/>
              </w:rPr>
              <w:t>(</w:t>
            </w:r>
            <w:proofErr w:type="spellStart"/>
            <w:r w:rsidR="00162356">
              <w:rPr>
                <w:rFonts w:ascii="Times New Roman" w:hAnsi="Times New Roman"/>
                <w:bCs/>
                <w:sz w:val="16"/>
                <w:szCs w:val="16"/>
                <w:lang w:val="en-US"/>
              </w:rPr>
              <w:t>Korol</w:t>
            </w:r>
            <w:proofErr w:type="spellEnd"/>
            <w:r w:rsidR="00162356" w:rsidRPr="00457728">
              <w:rPr>
                <w:rFonts w:ascii="Times New Roman" w:hAnsi="Times New Roman"/>
                <w:bCs/>
                <w:sz w:val="16"/>
                <w:szCs w:val="16"/>
                <w:lang w:val="en-US"/>
              </w:rPr>
              <w:t xml:space="preserve"> </w:t>
            </w:r>
            <w:r w:rsidR="00162356">
              <w:rPr>
                <w:rFonts w:ascii="Times New Roman" w:hAnsi="Times New Roman"/>
                <w:bCs/>
                <w:sz w:val="16"/>
                <w:szCs w:val="16"/>
                <w:lang w:val="en-US"/>
              </w:rPr>
              <w:t>Oxana</w:t>
            </w:r>
            <w:r w:rsidRPr="00457728">
              <w:rPr>
                <w:rFonts w:ascii="Times New Roman" w:hAnsi="Times New Roman"/>
                <w:bCs/>
                <w:color w:val="000000"/>
                <w:sz w:val="16"/>
                <w:szCs w:val="16"/>
                <w:lang w:val="en-US"/>
              </w:rPr>
              <w:t>)</w:t>
            </w:r>
            <w:r w:rsidR="001421ED" w:rsidRPr="00457728">
              <w:rPr>
                <w:rFonts w:ascii="Times New Roman" w:hAnsi="Times New Roman"/>
                <w:color w:val="000000"/>
                <w:sz w:val="16"/>
                <w:szCs w:val="16"/>
                <w:lang w:val="en-US"/>
              </w:rPr>
              <w:t xml:space="preserve">  </w:t>
            </w:r>
          </w:p>
          <w:p w14:paraId="0416256C" w14:textId="5565395E" w:rsidR="001421ED" w:rsidRPr="00E16672" w:rsidRDefault="00D2537D" w:rsidP="001421ED">
            <w:pPr>
              <w:tabs>
                <w:tab w:val="left" w:pos="1560"/>
              </w:tabs>
              <w:ind w:firstLine="244"/>
              <w:rPr>
                <w:rFonts w:ascii="Times New Roman" w:hAnsi="Times New Roman"/>
                <w:color w:val="000000"/>
                <w:sz w:val="14"/>
                <w:szCs w:val="14"/>
                <w:lang w:val="uk-UA"/>
              </w:rPr>
            </w:pPr>
            <w:r w:rsidRPr="00E16672">
              <w:rPr>
                <w:rFonts w:ascii="Times New Roman" w:hAnsi="Times New Roman"/>
                <w:color w:val="000000"/>
                <w:sz w:val="14"/>
                <w:szCs w:val="14"/>
                <w:lang w:val="uk-UA"/>
              </w:rPr>
              <w:t>В.П</w:t>
            </w:r>
            <w:r w:rsidR="002E7394">
              <w:rPr>
                <w:rFonts w:ascii="Times New Roman" w:hAnsi="Times New Roman"/>
                <w:color w:val="000000"/>
                <w:sz w:val="14"/>
                <w:szCs w:val="14"/>
                <w:lang w:val="uk-UA"/>
              </w:rPr>
              <w:t>*</w:t>
            </w:r>
            <w:r w:rsidRPr="00E16672">
              <w:rPr>
                <w:rFonts w:ascii="Times New Roman" w:hAnsi="Times New Roman"/>
                <w:color w:val="000000"/>
                <w:sz w:val="14"/>
                <w:szCs w:val="14"/>
                <w:lang w:val="uk-UA"/>
              </w:rPr>
              <w:t xml:space="preserve">., підпис/ </w:t>
            </w:r>
            <w:r w:rsidRPr="00E16672">
              <w:rPr>
                <w:rFonts w:ascii="Times New Roman" w:hAnsi="Times New Roman"/>
                <w:i/>
                <w:sz w:val="14"/>
                <w:szCs w:val="14"/>
                <w:lang w:val="en-US"/>
              </w:rPr>
              <w:t>Seal</w:t>
            </w:r>
            <w:r w:rsidRPr="00E16672">
              <w:rPr>
                <w:rFonts w:ascii="Times New Roman" w:hAnsi="Times New Roman"/>
                <w:i/>
                <w:sz w:val="14"/>
                <w:szCs w:val="14"/>
                <w:lang w:val="uk-UA"/>
              </w:rPr>
              <w:t xml:space="preserve">,  </w:t>
            </w:r>
            <w:r w:rsidRPr="00E16672">
              <w:rPr>
                <w:rFonts w:ascii="Times New Roman" w:hAnsi="Times New Roman"/>
                <w:i/>
                <w:sz w:val="14"/>
                <w:szCs w:val="14"/>
                <w:lang w:val="en-US"/>
              </w:rPr>
              <w:t>signature</w:t>
            </w:r>
            <w:r w:rsidRPr="00E16672">
              <w:rPr>
                <w:rFonts w:ascii="Times New Roman" w:hAnsi="Times New Roman"/>
                <w:color w:val="000000"/>
                <w:sz w:val="14"/>
                <w:szCs w:val="14"/>
                <w:lang w:val="uk-UA"/>
              </w:rPr>
              <w:t xml:space="preserve">            </w:t>
            </w:r>
            <w:r w:rsidR="001421ED" w:rsidRPr="00E16672">
              <w:rPr>
                <w:rFonts w:ascii="Times New Roman" w:hAnsi="Times New Roman"/>
                <w:color w:val="000000"/>
                <w:sz w:val="14"/>
                <w:szCs w:val="14"/>
                <w:lang w:val="uk-UA"/>
              </w:rPr>
              <w:t>Прізвище, ім’я, по батькові</w:t>
            </w:r>
            <w:r w:rsidRPr="00E16672">
              <w:rPr>
                <w:rFonts w:ascii="Times New Roman" w:hAnsi="Times New Roman"/>
                <w:color w:val="000000"/>
                <w:sz w:val="14"/>
                <w:szCs w:val="14"/>
                <w:lang w:val="uk-UA"/>
              </w:rPr>
              <w:t xml:space="preserve"> </w:t>
            </w:r>
            <w:r w:rsidRPr="00E16672">
              <w:rPr>
                <w:rFonts w:ascii="Times New Roman" w:hAnsi="Times New Roman"/>
                <w:i/>
                <w:color w:val="000000"/>
                <w:sz w:val="14"/>
                <w:szCs w:val="14"/>
                <w:lang w:val="uk-UA"/>
              </w:rPr>
              <w:t>(за наявності)</w:t>
            </w:r>
          </w:p>
          <w:p w14:paraId="60A642D9" w14:textId="77777777" w:rsidR="00502AEC" w:rsidRPr="00E16672" w:rsidRDefault="001421ED" w:rsidP="00D2537D">
            <w:pPr>
              <w:tabs>
                <w:tab w:val="left" w:pos="1560"/>
              </w:tabs>
              <w:ind w:firstLine="244"/>
              <w:rPr>
                <w:rFonts w:ascii="Times New Roman" w:hAnsi="Times New Roman"/>
                <w:b/>
                <w:bCs/>
                <w:sz w:val="18"/>
                <w:szCs w:val="18"/>
                <w:lang w:val="en-US"/>
              </w:rPr>
            </w:pPr>
            <w:r w:rsidRPr="00E16672">
              <w:rPr>
                <w:rFonts w:ascii="Times New Roman" w:hAnsi="Times New Roman"/>
                <w:color w:val="000000"/>
                <w:sz w:val="14"/>
                <w:szCs w:val="14"/>
                <w:lang w:val="uk-UA"/>
              </w:rPr>
              <w:t xml:space="preserve">                                              </w:t>
            </w:r>
            <w:r w:rsidR="00D2537D" w:rsidRPr="00E16672">
              <w:rPr>
                <w:rFonts w:ascii="Times New Roman" w:hAnsi="Times New Roman"/>
                <w:i/>
                <w:color w:val="000000"/>
                <w:sz w:val="14"/>
                <w:szCs w:val="14"/>
                <w:lang w:val="uk-UA"/>
              </w:rPr>
              <w:t xml:space="preserve">                  </w:t>
            </w:r>
            <w:r w:rsidR="00D2537D" w:rsidRPr="00E16672">
              <w:rPr>
                <w:rFonts w:ascii="Times New Roman" w:hAnsi="Times New Roman"/>
                <w:i/>
                <w:sz w:val="14"/>
                <w:szCs w:val="14"/>
                <w:lang w:val="en-US"/>
              </w:rPr>
              <w:t xml:space="preserve">surname, name, patronymic (if </w:t>
            </w:r>
            <w:proofErr w:type="gramStart"/>
            <w:r w:rsidR="00D2537D" w:rsidRPr="00E16672">
              <w:rPr>
                <w:rFonts w:ascii="Times New Roman" w:hAnsi="Times New Roman"/>
                <w:i/>
                <w:sz w:val="14"/>
                <w:szCs w:val="14"/>
                <w:lang w:val="en-US"/>
              </w:rPr>
              <w:t>any)</w:t>
            </w:r>
            <w:r w:rsidR="00D2537D" w:rsidRPr="00E16672">
              <w:rPr>
                <w:rFonts w:ascii="Times New Roman" w:hAnsi="Times New Roman"/>
                <w:i/>
                <w:color w:val="000000"/>
                <w:sz w:val="14"/>
                <w:szCs w:val="14"/>
                <w:lang w:val="uk-UA"/>
              </w:rPr>
              <w:t xml:space="preserve">   </w:t>
            </w:r>
            <w:proofErr w:type="gramEnd"/>
            <w:r w:rsidR="00D2537D" w:rsidRPr="00E16672">
              <w:rPr>
                <w:rFonts w:ascii="Times New Roman" w:hAnsi="Times New Roman"/>
                <w:i/>
                <w:color w:val="000000"/>
                <w:sz w:val="14"/>
                <w:szCs w:val="14"/>
                <w:lang w:val="uk-UA"/>
              </w:rPr>
              <w:t xml:space="preserve">                       </w:t>
            </w:r>
          </w:p>
        </w:tc>
        <w:tc>
          <w:tcPr>
            <w:tcW w:w="5328" w:type="dxa"/>
            <w:shd w:val="clear" w:color="auto" w:fill="auto"/>
          </w:tcPr>
          <w:p w14:paraId="655F7BE3" w14:textId="77777777" w:rsidR="001421ED" w:rsidRPr="00E16672" w:rsidRDefault="001421ED" w:rsidP="001421ED">
            <w:pPr>
              <w:tabs>
                <w:tab w:val="left" w:pos="1560"/>
              </w:tabs>
              <w:ind w:firstLine="102"/>
              <w:rPr>
                <w:rFonts w:ascii="Times New Roman" w:hAnsi="Times New Roman"/>
                <w:color w:val="000000"/>
                <w:sz w:val="18"/>
                <w:szCs w:val="18"/>
                <w:lang w:val="en-US"/>
              </w:rPr>
            </w:pPr>
            <w:r w:rsidRPr="00E16672">
              <w:rPr>
                <w:rFonts w:ascii="Times New Roman" w:hAnsi="Times New Roman"/>
                <w:color w:val="000000"/>
                <w:sz w:val="18"/>
                <w:szCs w:val="18"/>
                <w:lang w:val="en-US"/>
              </w:rPr>
              <w:t>_</w:t>
            </w:r>
            <w:r w:rsidRPr="00E16672">
              <w:rPr>
                <w:rFonts w:ascii="Times New Roman" w:hAnsi="Times New Roman"/>
                <w:color w:val="000000"/>
                <w:sz w:val="18"/>
                <w:szCs w:val="18"/>
                <w:lang w:val="uk-UA"/>
              </w:rPr>
              <w:t>__</w:t>
            </w:r>
            <w:r w:rsidRPr="00E16672">
              <w:rPr>
                <w:rFonts w:ascii="Times New Roman" w:hAnsi="Times New Roman"/>
                <w:color w:val="000000"/>
                <w:sz w:val="18"/>
                <w:szCs w:val="18"/>
                <w:lang w:val="en-US"/>
              </w:rPr>
              <w:t xml:space="preserve">____________________(__________________________)   </w:t>
            </w:r>
          </w:p>
          <w:p w14:paraId="1B209360" w14:textId="06E68ABD" w:rsidR="00D2537D" w:rsidRPr="00E16672" w:rsidRDefault="00D2537D" w:rsidP="00D2537D">
            <w:pPr>
              <w:tabs>
                <w:tab w:val="left" w:pos="1560"/>
              </w:tabs>
              <w:ind w:firstLine="244"/>
              <w:rPr>
                <w:rFonts w:ascii="Times New Roman" w:hAnsi="Times New Roman"/>
                <w:color w:val="000000"/>
                <w:sz w:val="14"/>
                <w:szCs w:val="14"/>
                <w:lang w:val="uk-UA"/>
              </w:rPr>
            </w:pPr>
            <w:r w:rsidRPr="00E16672">
              <w:rPr>
                <w:rFonts w:ascii="Times New Roman" w:hAnsi="Times New Roman"/>
                <w:color w:val="000000"/>
                <w:sz w:val="14"/>
                <w:szCs w:val="14"/>
                <w:lang w:val="uk-UA"/>
              </w:rPr>
              <w:t xml:space="preserve"> п</w:t>
            </w:r>
            <w:r w:rsidR="000D1FD2" w:rsidRPr="00E16672">
              <w:rPr>
                <w:rFonts w:ascii="Times New Roman" w:hAnsi="Times New Roman"/>
                <w:color w:val="000000"/>
                <w:sz w:val="14"/>
                <w:szCs w:val="14"/>
                <w:lang w:val="uk-UA"/>
              </w:rPr>
              <w:t>ідпис</w:t>
            </w:r>
            <w:r w:rsidRPr="00E16672">
              <w:rPr>
                <w:rFonts w:ascii="Times New Roman" w:hAnsi="Times New Roman"/>
                <w:color w:val="000000"/>
                <w:sz w:val="14"/>
                <w:szCs w:val="14"/>
                <w:lang w:val="uk-UA"/>
              </w:rPr>
              <w:t>/</w:t>
            </w:r>
            <w:r w:rsidRPr="00E16672">
              <w:rPr>
                <w:rFonts w:ascii="Times New Roman" w:hAnsi="Times New Roman"/>
                <w:i/>
                <w:sz w:val="14"/>
                <w:szCs w:val="14"/>
                <w:lang w:val="uk-UA"/>
              </w:rPr>
              <w:t xml:space="preserve">  </w:t>
            </w:r>
            <w:r w:rsidRPr="00E16672">
              <w:rPr>
                <w:rFonts w:ascii="Times New Roman" w:hAnsi="Times New Roman"/>
                <w:i/>
                <w:sz w:val="14"/>
                <w:szCs w:val="14"/>
                <w:lang w:val="en-US"/>
              </w:rPr>
              <w:t>signature</w:t>
            </w:r>
            <w:r w:rsidR="000D1FD2" w:rsidRPr="00E16672">
              <w:rPr>
                <w:rFonts w:ascii="Times New Roman" w:hAnsi="Times New Roman"/>
                <w:color w:val="000000"/>
                <w:sz w:val="14"/>
                <w:szCs w:val="14"/>
                <w:lang w:val="uk-UA"/>
              </w:rPr>
              <w:t xml:space="preserve">      </w:t>
            </w:r>
            <w:r w:rsidR="001421ED" w:rsidRPr="00E16672">
              <w:rPr>
                <w:rFonts w:ascii="Times New Roman" w:hAnsi="Times New Roman"/>
                <w:color w:val="000000"/>
                <w:sz w:val="14"/>
                <w:szCs w:val="14"/>
                <w:lang w:val="uk-UA"/>
              </w:rPr>
              <w:t>Прізвище, ім’я, по батькові</w:t>
            </w:r>
            <w:r w:rsidRPr="00E16672">
              <w:rPr>
                <w:rFonts w:ascii="Times New Roman" w:hAnsi="Times New Roman"/>
                <w:color w:val="000000"/>
                <w:sz w:val="14"/>
                <w:szCs w:val="14"/>
                <w:lang w:val="uk-UA"/>
              </w:rPr>
              <w:t xml:space="preserve"> </w:t>
            </w:r>
            <w:r w:rsidRPr="00E16672">
              <w:rPr>
                <w:rFonts w:ascii="Times New Roman" w:hAnsi="Times New Roman"/>
                <w:i/>
                <w:color w:val="000000"/>
                <w:sz w:val="14"/>
                <w:szCs w:val="14"/>
                <w:lang w:val="uk-UA"/>
              </w:rPr>
              <w:t>(за наявності</w:t>
            </w:r>
            <w:r w:rsidR="001421ED" w:rsidRPr="00E16672">
              <w:rPr>
                <w:rFonts w:ascii="Times New Roman" w:hAnsi="Times New Roman"/>
                <w:color w:val="000000"/>
                <w:sz w:val="14"/>
                <w:szCs w:val="14"/>
                <w:lang w:val="uk-UA"/>
              </w:rPr>
              <w:t xml:space="preserve"> </w:t>
            </w:r>
          </w:p>
          <w:p w14:paraId="4BC29088" w14:textId="77777777" w:rsidR="00D2537D" w:rsidRPr="00E16672" w:rsidRDefault="00D2537D" w:rsidP="00D2537D">
            <w:pPr>
              <w:tabs>
                <w:tab w:val="left" w:pos="1560"/>
              </w:tabs>
              <w:ind w:firstLine="244"/>
              <w:rPr>
                <w:rFonts w:ascii="Times New Roman" w:hAnsi="Times New Roman"/>
                <w:color w:val="000000"/>
                <w:sz w:val="14"/>
                <w:szCs w:val="14"/>
                <w:lang w:val="uk-UA"/>
              </w:rPr>
            </w:pPr>
            <w:r w:rsidRPr="00E16672">
              <w:rPr>
                <w:rFonts w:ascii="Times New Roman" w:hAnsi="Times New Roman"/>
                <w:i/>
                <w:sz w:val="14"/>
                <w:szCs w:val="14"/>
                <w:lang w:val="uk-UA"/>
              </w:rPr>
              <w:t xml:space="preserve">                                                              </w:t>
            </w:r>
            <w:r w:rsidRPr="00E16672">
              <w:rPr>
                <w:rFonts w:ascii="Times New Roman" w:hAnsi="Times New Roman"/>
                <w:i/>
                <w:sz w:val="14"/>
                <w:szCs w:val="14"/>
                <w:lang w:val="en-US"/>
              </w:rPr>
              <w:t>surname, name, patronymic (if any)</w:t>
            </w:r>
          </w:p>
          <w:p w14:paraId="022F9644" w14:textId="77777777" w:rsidR="001421ED" w:rsidRPr="00E16672" w:rsidRDefault="001421ED" w:rsidP="00D2537D">
            <w:pPr>
              <w:tabs>
                <w:tab w:val="left" w:pos="1560"/>
              </w:tabs>
              <w:ind w:firstLine="244"/>
              <w:rPr>
                <w:rFonts w:ascii="Times New Roman" w:hAnsi="Times New Roman"/>
                <w:color w:val="000000"/>
                <w:sz w:val="14"/>
                <w:szCs w:val="14"/>
                <w:lang w:val="uk-UA"/>
              </w:rPr>
            </w:pPr>
            <w:r w:rsidRPr="00E16672">
              <w:rPr>
                <w:rFonts w:ascii="Times New Roman" w:hAnsi="Times New Roman"/>
                <w:color w:val="000000"/>
                <w:sz w:val="14"/>
                <w:szCs w:val="14"/>
                <w:lang w:val="uk-UA"/>
              </w:rPr>
              <w:t xml:space="preserve">                      </w:t>
            </w:r>
            <w:r w:rsidR="000D1FD2" w:rsidRPr="00E16672">
              <w:rPr>
                <w:rFonts w:ascii="Times New Roman" w:hAnsi="Times New Roman"/>
                <w:color w:val="000000"/>
                <w:sz w:val="14"/>
                <w:szCs w:val="14"/>
                <w:lang w:val="uk-UA"/>
              </w:rPr>
              <w:t xml:space="preserve">       </w:t>
            </w:r>
            <w:r w:rsidRPr="00E16672">
              <w:rPr>
                <w:rFonts w:ascii="Times New Roman" w:hAnsi="Times New Roman"/>
                <w:color w:val="000000"/>
                <w:sz w:val="14"/>
                <w:szCs w:val="14"/>
                <w:lang w:val="uk-UA"/>
              </w:rPr>
              <w:t xml:space="preserve">  </w:t>
            </w:r>
            <w:r w:rsidR="000D1FD2" w:rsidRPr="00E16672">
              <w:rPr>
                <w:rFonts w:ascii="Times New Roman" w:hAnsi="Times New Roman"/>
                <w:color w:val="000000"/>
                <w:sz w:val="14"/>
                <w:szCs w:val="14"/>
                <w:lang w:val="uk-UA"/>
              </w:rPr>
              <w:t xml:space="preserve">    </w:t>
            </w:r>
            <w:r w:rsidRPr="00E16672">
              <w:rPr>
                <w:rFonts w:ascii="Times New Roman" w:hAnsi="Times New Roman"/>
                <w:color w:val="000000"/>
                <w:sz w:val="14"/>
                <w:szCs w:val="14"/>
                <w:lang w:val="uk-UA"/>
              </w:rPr>
              <w:t xml:space="preserve">                    </w:t>
            </w:r>
          </w:p>
          <w:p w14:paraId="76A44E8B" w14:textId="77777777" w:rsidR="00502AEC" w:rsidRPr="00E16672" w:rsidRDefault="00502AEC" w:rsidP="005C0881">
            <w:pPr>
              <w:tabs>
                <w:tab w:val="left" w:pos="5960"/>
              </w:tabs>
              <w:snapToGrid w:val="0"/>
              <w:ind w:left="57" w:right="57" w:hanging="57"/>
              <w:rPr>
                <w:rFonts w:ascii="Times New Roman" w:hAnsi="Times New Roman"/>
                <w:b/>
                <w:bCs/>
                <w:sz w:val="18"/>
                <w:szCs w:val="18"/>
                <w:lang w:val="uk-UA"/>
              </w:rPr>
            </w:pPr>
          </w:p>
        </w:tc>
      </w:tr>
    </w:tbl>
    <w:p w14:paraId="23A350B8" w14:textId="77777777" w:rsidR="00502AEC" w:rsidRPr="00E16672" w:rsidRDefault="00502AEC">
      <w:pPr>
        <w:ind w:right="57"/>
        <w:rPr>
          <w:rFonts w:ascii="Times New Roman" w:hAnsi="Times New Roman"/>
          <w:lang w:val="uk-UA"/>
        </w:rPr>
      </w:pPr>
    </w:p>
    <w:p w14:paraId="4B5C598B" w14:textId="77777777" w:rsidR="00502AEC" w:rsidRPr="00E16672" w:rsidRDefault="00502AEC">
      <w:pPr>
        <w:ind w:right="57"/>
        <w:rPr>
          <w:rFonts w:ascii="Times New Roman" w:hAnsi="Times New Roman"/>
          <w:color w:val="000000"/>
          <w:lang w:val="uk-UA"/>
        </w:rPr>
      </w:pPr>
    </w:p>
    <w:p w14:paraId="30E3F3E7" w14:textId="77777777" w:rsidR="00D2537D" w:rsidRPr="00E16672" w:rsidRDefault="00D2537D" w:rsidP="00D2537D">
      <w:pPr>
        <w:pStyle w:val="HTML"/>
        <w:shd w:val="clear" w:color="auto" w:fill="FFFFFF"/>
        <w:rPr>
          <w:rFonts w:ascii="Times New Roman" w:hAnsi="Times New Roman" w:cs="Times New Roman"/>
          <w:sz w:val="16"/>
          <w:szCs w:val="16"/>
          <w:lang w:val="en-US" w:eastAsia="uk-UA"/>
        </w:rPr>
      </w:pPr>
      <w:r w:rsidRPr="00E16672">
        <w:rPr>
          <w:rFonts w:ascii="Times New Roman" w:hAnsi="Times New Roman" w:cs="Times New Roman"/>
          <w:sz w:val="16"/>
          <w:szCs w:val="16"/>
          <w:lang w:val="en-US"/>
        </w:rPr>
        <w:t xml:space="preserve">*  - </w:t>
      </w:r>
      <w:r w:rsidRPr="00E16672">
        <w:rPr>
          <w:rFonts w:ascii="Times New Roman" w:hAnsi="Times New Roman" w:cs="Times New Roman"/>
          <w:sz w:val="16"/>
          <w:szCs w:val="16"/>
          <w:lang w:val="uk-UA"/>
        </w:rPr>
        <w:t>у разі використання</w:t>
      </w:r>
      <w:r w:rsidRPr="00E16672">
        <w:rPr>
          <w:rFonts w:ascii="Times New Roman" w:hAnsi="Times New Roman" w:cs="Times New Roman"/>
          <w:sz w:val="16"/>
          <w:szCs w:val="16"/>
          <w:lang w:val="en-US"/>
        </w:rPr>
        <w:t xml:space="preserve"> / </w:t>
      </w:r>
      <w:proofErr w:type="spellStart"/>
      <w:r w:rsidRPr="00E16672">
        <w:rPr>
          <w:rFonts w:ascii="Times New Roman" w:hAnsi="Times New Roman" w:cs="Times New Roman"/>
          <w:sz w:val="16"/>
          <w:szCs w:val="16"/>
          <w:lang w:val="uk-UA"/>
        </w:rPr>
        <w:t>in</w:t>
      </w:r>
      <w:proofErr w:type="spellEnd"/>
      <w:r w:rsidRPr="00E16672">
        <w:rPr>
          <w:rFonts w:ascii="Times New Roman" w:hAnsi="Times New Roman" w:cs="Times New Roman"/>
          <w:sz w:val="16"/>
          <w:szCs w:val="16"/>
          <w:lang w:val="uk-UA"/>
        </w:rPr>
        <w:t xml:space="preserve"> </w:t>
      </w:r>
      <w:proofErr w:type="spellStart"/>
      <w:r w:rsidRPr="00E16672">
        <w:rPr>
          <w:rFonts w:ascii="Times New Roman" w:hAnsi="Times New Roman" w:cs="Times New Roman"/>
          <w:sz w:val="16"/>
          <w:szCs w:val="16"/>
          <w:lang w:val="uk-UA"/>
        </w:rPr>
        <w:t>case</w:t>
      </w:r>
      <w:proofErr w:type="spellEnd"/>
      <w:r w:rsidRPr="00E16672">
        <w:rPr>
          <w:rFonts w:ascii="Times New Roman" w:hAnsi="Times New Roman" w:cs="Times New Roman"/>
          <w:sz w:val="16"/>
          <w:szCs w:val="16"/>
          <w:lang w:val="uk-UA"/>
        </w:rPr>
        <w:t xml:space="preserve"> </w:t>
      </w:r>
      <w:proofErr w:type="spellStart"/>
      <w:r w:rsidRPr="00E16672">
        <w:rPr>
          <w:rFonts w:ascii="Times New Roman" w:hAnsi="Times New Roman" w:cs="Times New Roman"/>
          <w:sz w:val="16"/>
          <w:szCs w:val="16"/>
          <w:lang w:val="uk-UA"/>
        </w:rPr>
        <w:t>of</w:t>
      </w:r>
      <w:proofErr w:type="spellEnd"/>
      <w:r w:rsidRPr="00E16672">
        <w:rPr>
          <w:rFonts w:ascii="Times New Roman" w:hAnsi="Times New Roman" w:cs="Times New Roman"/>
          <w:sz w:val="16"/>
          <w:szCs w:val="16"/>
          <w:lang w:val="uk-UA"/>
        </w:rPr>
        <w:t xml:space="preserve"> </w:t>
      </w:r>
      <w:proofErr w:type="spellStart"/>
      <w:r w:rsidRPr="00E16672">
        <w:rPr>
          <w:rFonts w:ascii="Times New Roman" w:hAnsi="Times New Roman" w:cs="Times New Roman"/>
          <w:sz w:val="16"/>
          <w:szCs w:val="16"/>
          <w:lang w:val="uk-UA"/>
        </w:rPr>
        <w:t>use</w:t>
      </w:r>
      <w:proofErr w:type="spellEnd"/>
      <w:r w:rsidRPr="00E16672">
        <w:rPr>
          <w:rFonts w:ascii="Times New Roman" w:hAnsi="Times New Roman" w:cs="Times New Roman"/>
          <w:sz w:val="16"/>
          <w:szCs w:val="16"/>
          <w:lang w:val="en-US"/>
        </w:rPr>
        <w:t xml:space="preserve"> </w:t>
      </w:r>
    </w:p>
    <w:p w14:paraId="3410A68E" w14:textId="77777777" w:rsidR="00502AEC" w:rsidRPr="00E16672" w:rsidRDefault="00502AEC">
      <w:pPr>
        <w:ind w:right="57"/>
        <w:rPr>
          <w:rFonts w:ascii="Times New Roman" w:hAnsi="Times New Roman"/>
          <w:color w:val="000000"/>
          <w:lang w:val="en-US"/>
        </w:rPr>
      </w:pPr>
    </w:p>
    <w:p w14:paraId="7DD273EB" w14:textId="77777777" w:rsidR="00502AEC" w:rsidRPr="00E16672" w:rsidRDefault="00502AEC">
      <w:pPr>
        <w:ind w:right="57"/>
        <w:rPr>
          <w:rFonts w:ascii="Times New Roman" w:hAnsi="Times New Roman"/>
          <w:color w:val="000000"/>
          <w:lang w:val="uk-UA"/>
        </w:rPr>
      </w:pPr>
    </w:p>
    <w:p w14:paraId="0DB5F283" w14:textId="77777777" w:rsidR="00502AEC" w:rsidRPr="00E16672" w:rsidRDefault="00502AEC">
      <w:pPr>
        <w:ind w:right="57"/>
        <w:rPr>
          <w:rFonts w:ascii="Times New Roman" w:hAnsi="Times New Roman"/>
          <w:color w:val="000000"/>
          <w:lang w:val="uk-UA"/>
        </w:rPr>
      </w:pPr>
    </w:p>
    <w:p w14:paraId="1825540C" w14:textId="77777777" w:rsidR="00502AEC" w:rsidRPr="00E16672" w:rsidRDefault="00502AEC">
      <w:pPr>
        <w:ind w:right="57"/>
        <w:rPr>
          <w:rFonts w:ascii="Times New Roman" w:hAnsi="Times New Roman"/>
          <w:color w:val="000000"/>
          <w:lang w:val="uk-UA"/>
        </w:rPr>
      </w:pPr>
    </w:p>
    <w:p w14:paraId="6B161CA2" w14:textId="77777777" w:rsidR="00502AEC" w:rsidRPr="00E16672" w:rsidRDefault="00502AEC">
      <w:pPr>
        <w:ind w:right="57"/>
        <w:rPr>
          <w:rFonts w:ascii="Times New Roman" w:hAnsi="Times New Roman"/>
          <w:color w:val="000000"/>
          <w:lang w:val="uk-UA"/>
        </w:rPr>
      </w:pPr>
    </w:p>
    <w:p w14:paraId="4A556F9B" w14:textId="77777777" w:rsidR="00502AEC" w:rsidRPr="00E16672" w:rsidRDefault="00502AEC">
      <w:pPr>
        <w:ind w:right="57"/>
        <w:rPr>
          <w:rFonts w:ascii="Times New Roman" w:hAnsi="Times New Roman"/>
          <w:color w:val="000000"/>
          <w:lang w:val="uk-UA"/>
        </w:rPr>
      </w:pPr>
    </w:p>
    <w:p w14:paraId="4AA777C8" w14:textId="77777777" w:rsidR="00502AEC" w:rsidRPr="00E16672" w:rsidRDefault="00502AEC">
      <w:pPr>
        <w:ind w:right="57"/>
        <w:rPr>
          <w:rFonts w:ascii="Times New Roman" w:hAnsi="Times New Roman"/>
          <w:color w:val="000000"/>
          <w:lang w:val="uk-UA"/>
        </w:rPr>
      </w:pPr>
    </w:p>
    <w:p w14:paraId="15AB11C5" w14:textId="77777777" w:rsidR="00502AEC" w:rsidRPr="00E16672" w:rsidRDefault="00502AEC">
      <w:pPr>
        <w:ind w:right="57"/>
        <w:rPr>
          <w:rFonts w:ascii="Times New Roman" w:hAnsi="Times New Roman"/>
          <w:color w:val="000000"/>
          <w:lang w:val="uk-UA"/>
        </w:rPr>
      </w:pPr>
    </w:p>
    <w:p w14:paraId="5ED56B6F" w14:textId="77777777" w:rsidR="00502AEC" w:rsidRPr="00E16672" w:rsidRDefault="00502AEC">
      <w:pPr>
        <w:ind w:right="57"/>
        <w:rPr>
          <w:rFonts w:ascii="Times New Roman" w:hAnsi="Times New Roman"/>
          <w:color w:val="000000"/>
          <w:lang w:val="uk-UA"/>
        </w:rPr>
      </w:pPr>
    </w:p>
    <w:p w14:paraId="3C877C5B" w14:textId="77777777" w:rsidR="00502AEC" w:rsidRPr="00E16672" w:rsidRDefault="00502AEC">
      <w:pPr>
        <w:rPr>
          <w:rFonts w:ascii="Times New Roman" w:hAnsi="Times New Roman"/>
          <w:lang w:val="uk-UA"/>
        </w:rPr>
        <w:sectPr w:rsidR="00502AEC" w:rsidRPr="00E16672">
          <w:pgSz w:w="11906" w:h="16838"/>
          <w:pgMar w:top="719" w:right="431" w:bottom="719" w:left="550" w:header="708" w:footer="708" w:gutter="0"/>
          <w:cols w:space="720"/>
          <w:docGrid w:linePitch="360"/>
        </w:sectPr>
      </w:pPr>
    </w:p>
    <w:tbl>
      <w:tblPr>
        <w:tblW w:w="11190" w:type="dxa"/>
        <w:tblInd w:w="-175" w:type="dxa"/>
        <w:tblLayout w:type="fixed"/>
        <w:tblCellMar>
          <w:left w:w="0" w:type="dxa"/>
          <w:right w:w="0" w:type="dxa"/>
        </w:tblCellMar>
        <w:tblLook w:val="0000" w:firstRow="0" w:lastRow="0" w:firstColumn="0" w:lastColumn="0" w:noHBand="0" w:noVBand="0"/>
      </w:tblPr>
      <w:tblGrid>
        <w:gridCol w:w="1741"/>
        <w:gridCol w:w="277"/>
        <w:gridCol w:w="987"/>
        <w:gridCol w:w="2241"/>
        <w:gridCol w:w="17"/>
        <w:gridCol w:w="15"/>
        <w:gridCol w:w="86"/>
        <w:gridCol w:w="332"/>
        <w:gridCol w:w="1567"/>
        <w:gridCol w:w="206"/>
        <w:gridCol w:w="43"/>
        <w:gridCol w:w="1027"/>
        <w:gridCol w:w="2286"/>
        <w:gridCol w:w="365"/>
      </w:tblGrid>
      <w:tr w:rsidR="003A05A3" w:rsidRPr="00F23413" w14:paraId="49E22CC1" w14:textId="77777777" w:rsidTr="00242F58">
        <w:trPr>
          <w:trHeight w:val="192"/>
        </w:trPr>
        <w:tc>
          <w:tcPr>
            <w:tcW w:w="5696" w:type="dxa"/>
            <w:gridSpan w:val="8"/>
            <w:shd w:val="clear" w:color="auto" w:fill="auto"/>
          </w:tcPr>
          <w:p w14:paraId="34BA92A4" w14:textId="77777777" w:rsidR="003A05A3" w:rsidRPr="00E16672" w:rsidRDefault="003A05A3" w:rsidP="00843027">
            <w:pPr>
              <w:snapToGrid w:val="0"/>
              <w:ind w:left="142"/>
              <w:jc w:val="center"/>
              <w:rPr>
                <w:rFonts w:ascii="Times New Roman" w:eastAsia="Arial" w:hAnsi="Times New Roman"/>
                <w:b/>
                <w:caps/>
                <w:sz w:val="16"/>
                <w:szCs w:val="16"/>
                <w:lang w:val="uk-UA"/>
              </w:rPr>
            </w:pPr>
            <w:r w:rsidRPr="00E16672">
              <w:rPr>
                <w:rFonts w:ascii="Times New Roman" w:eastAsia="Arial" w:hAnsi="Times New Roman"/>
                <w:b/>
                <w:caps/>
                <w:sz w:val="16"/>
                <w:szCs w:val="16"/>
                <w:lang w:val="uk-UA"/>
              </w:rPr>
              <w:lastRenderedPageBreak/>
              <w:t>Договір</w:t>
            </w:r>
          </w:p>
          <w:p w14:paraId="74986069" w14:textId="77777777" w:rsidR="003A05A3" w:rsidRPr="00E16672" w:rsidRDefault="003A05A3" w:rsidP="00843027">
            <w:pPr>
              <w:ind w:left="142"/>
              <w:jc w:val="center"/>
              <w:rPr>
                <w:rFonts w:ascii="Times New Roman" w:eastAsia="Arial" w:hAnsi="Times New Roman"/>
                <w:b/>
                <w:caps/>
                <w:sz w:val="16"/>
                <w:szCs w:val="16"/>
                <w:lang w:val="uk-UA"/>
              </w:rPr>
            </w:pPr>
            <w:r w:rsidRPr="00E16672">
              <w:rPr>
                <w:rFonts w:ascii="Times New Roman" w:eastAsia="Arial" w:hAnsi="Times New Roman"/>
                <w:b/>
                <w:caps/>
                <w:sz w:val="16"/>
                <w:szCs w:val="16"/>
                <w:lang w:val="uk-UA"/>
              </w:rPr>
              <w:t>про обслуговування рахункУ в цінних паперах</w:t>
            </w:r>
          </w:p>
          <w:p w14:paraId="14B79D40" w14:textId="77777777" w:rsidR="003A05A3" w:rsidRPr="0046169E" w:rsidRDefault="003A05A3" w:rsidP="00843027">
            <w:pPr>
              <w:ind w:left="142"/>
              <w:jc w:val="center"/>
              <w:rPr>
                <w:rFonts w:ascii="Times New Roman" w:eastAsia="Arial" w:hAnsi="Times New Roman"/>
                <w:b/>
                <w:sz w:val="16"/>
                <w:szCs w:val="16"/>
                <w:lang w:val="uk-UA"/>
              </w:rPr>
            </w:pPr>
            <w:r w:rsidRPr="00E16672">
              <w:rPr>
                <w:rFonts w:ascii="Times New Roman" w:eastAsia="Arial" w:hAnsi="Times New Roman"/>
                <w:b/>
                <w:sz w:val="16"/>
                <w:szCs w:val="16"/>
                <w:lang w:val="uk-UA"/>
              </w:rPr>
              <w:t>№  ______/____</w:t>
            </w:r>
            <w:r w:rsidR="0046169E" w:rsidRPr="00F23413">
              <w:rPr>
                <w:rFonts w:ascii="Times New Roman" w:eastAsia="Arial" w:hAnsi="Times New Roman"/>
                <w:b/>
                <w:sz w:val="16"/>
                <w:szCs w:val="16"/>
                <w:lang w:val="uk-UA"/>
              </w:rPr>
              <w:t>/</w:t>
            </w:r>
            <w:r w:rsidR="0046169E">
              <w:rPr>
                <w:rFonts w:ascii="Times New Roman" w:eastAsia="Arial" w:hAnsi="Times New Roman"/>
                <w:b/>
                <w:sz w:val="16"/>
                <w:szCs w:val="16"/>
                <w:lang w:val="uk-UA"/>
              </w:rPr>
              <w:t>ДУ</w:t>
            </w:r>
          </w:p>
          <w:p w14:paraId="63185286" w14:textId="77777777" w:rsidR="003A05A3" w:rsidRPr="00E16672" w:rsidRDefault="003A05A3" w:rsidP="00843027">
            <w:pPr>
              <w:ind w:left="142"/>
              <w:jc w:val="center"/>
              <w:rPr>
                <w:rFonts w:ascii="Times New Roman" w:eastAsia="Arial" w:hAnsi="Times New Roman"/>
                <w:b/>
                <w:sz w:val="16"/>
                <w:szCs w:val="16"/>
                <w:lang w:val="uk-UA"/>
              </w:rPr>
            </w:pPr>
          </w:p>
          <w:p w14:paraId="3722DA50" w14:textId="77777777" w:rsidR="00186785" w:rsidRDefault="00186785" w:rsidP="00186785">
            <w:pPr>
              <w:jc w:val="center"/>
              <w:rPr>
                <w:rFonts w:ascii="Times New Roman" w:hAnsi="Times New Roman"/>
                <w:szCs w:val="20"/>
                <w:lang w:val="uk-UA"/>
              </w:rPr>
            </w:pPr>
            <w:r w:rsidRPr="00E16672">
              <w:rPr>
                <w:rFonts w:ascii="Times New Roman" w:hAnsi="Times New Roman"/>
                <w:szCs w:val="20"/>
                <w:lang w:val="uk-UA"/>
              </w:rPr>
              <w:t>м. Київ</w:t>
            </w:r>
            <w:r>
              <w:rPr>
                <w:rFonts w:ascii="Times New Roman" w:hAnsi="Times New Roman"/>
                <w:szCs w:val="20"/>
                <w:lang w:val="uk-UA"/>
              </w:rPr>
              <w:t xml:space="preserve"> </w:t>
            </w:r>
            <w:r>
              <w:rPr>
                <w:rFonts w:ascii="Times New Roman" w:hAnsi="Times New Roman"/>
                <w:szCs w:val="20"/>
                <w:lang w:val="uk-UA"/>
              </w:rPr>
              <w:tab/>
            </w:r>
            <w:r>
              <w:rPr>
                <w:rFonts w:ascii="Times New Roman" w:hAnsi="Times New Roman"/>
                <w:szCs w:val="20"/>
                <w:lang w:val="uk-UA"/>
              </w:rPr>
              <w:tab/>
            </w:r>
            <w:r>
              <w:rPr>
                <w:rFonts w:ascii="Times New Roman" w:hAnsi="Times New Roman"/>
                <w:szCs w:val="20"/>
                <w:lang w:val="uk-UA"/>
              </w:rPr>
              <w:tab/>
            </w:r>
            <w:r w:rsidRPr="00E16672">
              <w:rPr>
                <w:rFonts w:ascii="Times New Roman" w:hAnsi="Times New Roman"/>
                <w:szCs w:val="20"/>
                <w:lang w:val="uk-UA"/>
              </w:rPr>
              <w:t>"</w:t>
            </w:r>
            <w:r>
              <w:rPr>
                <w:rFonts w:ascii="Times New Roman" w:hAnsi="Times New Roman"/>
                <w:szCs w:val="20"/>
                <w:lang w:val="uk-UA"/>
              </w:rPr>
              <w:t xml:space="preserve">       </w:t>
            </w:r>
            <w:r w:rsidRPr="00E16672">
              <w:rPr>
                <w:rFonts w:ascii="Times New Roman" w:hAnsi="Times New Roman"/>
                <w:szCs w:val="20"/>
                <w:lang w:val="uk-UA"/>
              </w:rPr>
              <w:t>" ____________ 20_</w:t>
            </w:r>
            <w:r>
              <w:rPr>
                <w:rFonts w:ascii="Times New Roman" w:hAnsi="Times New Roman"/>
                <w:szCs w:val="20"/>
                <w:lang w:val="uk-UA"/>
              </w:rPr>
              <w:t>__</w:t>
            </w:r>
            <w:r w:rsidRPr="00E16672">
              <w:rPr>
                <w:rFonts w:ascii="Times New Roman" w:hAnsi="Times New Roman"/>
                <w:szCs w:val="20"/>
                <w:lang w:val="uk-UA"/>
              </w:rPr>
              <w:t>_р.</w:t>
            </w:r>
          </w:p>
          <w:p w14:paraId="4F1DFDA9" w14:textId="77777777" w:rsidR="003A05A3" w:rsidRPr="00E16672" w:rsidRDefault="003A05A3" w:rsidP="00843027">
            <w:pPr>
              <w:ind w:left="142"/>
              <w:rPr>
                <w:rFonts w:ascii="Times New Roman" w:eastAsia="Arial" w:hAnsi="Times New Roman"/>
                <w:sz w:val="16"/>
                <w:szCs w:val="16"/>
                <w:lang w:val="uk-UA"/>
              </w:rPr>
            </w:pPr>
          </w:p>
          <w:p w14:paraId="4C992AFD" w14:textId="77777777" w:rsidR="003A05A3" w:rsidRPr="00E16672" w:rsidRDefault="00901A02" w:rsidP="006517E7">
            <w:pPr>
              <w:pStyle w:val="WW-1"/>
              <w:ind w:left="175" w:right="138" w:firstLine="284"/>
              <w:jc w:val="left"/>
              <w:rPr>
                <w:i w:val="0"/>
                <w:sz w:val="16"/>
                <w:szCs w:val="16"/>
                <w:lang w:val="uk-UA"/>
              </w:rPr>
            </w:pPr>
            <w:r w:rsidRPr="00E16672">
              <w:rPr>
                <w:b/>
                <w:i w:val="0"/>
                <w:color w:val="000000"/>
                <w:sz w:val="16"/>
                <w:lang w:val="uk-UA"/>
              </w:rPr>
              <w:t xml:space="preserve">ТОВАРИСТВО З ОБМЕЖЕНОЮ ВІДПОВІДАЛЬНІСТЮ </w:t>
            </w:r>
            <w:r w:rsidR="00022F5F">
              <w:rPr>
                <w:b/>
                <w:i w:val="0"/>
                <w:color w:val="000000"/>
                <w:sz w:val="16"/>
                <w:lang w:val="uk-UA"/>
              </w:rPr>
              <w:t>"</w:t>
            </w:r>
            <w:r w:rsidR="00E16672" w:rsidRPr="00E16672">
              <w:rPr>
                <w:b/>
                <w:i w:val="0"/>
                <w:color w:val="000000"/>
                <w:sz w:val="16"/>
                <w:lang w:val="uk-UA"/>
              </w:rPr>
              <w:t>КОМЕКС ЦІННІ ПАПЕРИ</w:t>
            </w:r>
            <w:r w:rsidR="00022F5F">
              <w:rPr>
                <w:b/>
                <w:i w:val="0"/>
                <w:color w:val="000000"/>
                <w:sz w:val="16"/>
                <w:lang w:val="uk-UA"/>
              </w:rPr>
              <w:t>"</w:t>
            </w:r>
            <w:r w:rsidRPr="00E16672">
              <w:rPr>
                <w:i w:val="0"/>
                <w:color w:val="000000"/>
                <w:sz w:val="16"/>
                <w:lang w:val="uk-UA"/>
              </w:rPr>
              <w:t xml:space="preserve">, код за ЄДРПОУ </w:t>
            </w:r>
            <w:r w:rsidR="00E16672" w:rsidRPr="00E16672">
              <w:rPr>
                <w:i w:val="0"/>
                <w:color w:val="000000"/>
                <w:sz w:val="16"/>
                <w:lang w:val="uk-UA"/>
              </w:rPr>
              <w:t>33153077</w:t>
            </w:r>
            <w:r w:rsidRPr="00E16672">
              <w:rPr>
                <w:color w:val="000000"/>
                <w:lang w:val="uk-UA"/>
              </w:rPr>
              <w:t xml:space="preserve"> </w:t>
            </w:r>
            <w:r w:rsidR="003A05A3" w:rsidRPr="00E16672">
              <w:rPr>
                <w:i w:val="0"/>
                <w:sz w:val="16"/>
                <w:szCs w:val="16"/>
                <w:lang w:val="uk-UA"/>
              </w:rPr>
              <w:t xml:space="preserve"> (надалі – Депозитарна установа), що здійснює депозитарну діяльність депозитарної установи на підставі ліцензії серія </w:t>
            </w:r>
            <w:r w:rsidRPr="00E16672">
              <w:rPr>
                <w:i w:val="0"/>
                <w:color w:val="000000"/>
                <w:sz w:val="16"/>
                <w:lang w:val="uk-UA"/>
              </w:rPr>
              <w:t xml:space="preserve">АЕ № </w:t>
            </w:r>
            <w:r w:rsidR="00E16672" w:rsidRPr="00E16672">
              <w:rPr>
                <w:i w:val="0"/>
                <w:color w:val="000000"/>
                <w:sz w:val="16"/>
                <w:lang w:val="uk-UA"/>
              </w:rPr>
              <w:t>263429</w:t>
            </w:r>
            <w:r w:rsidR="003A05A3" w:rsidRPr="00E16672">
              <w:rPr>
                <w:i w:val="0"/>
                <w:sz w:val="16"/>
                <w:szCs w:val="16"/>
                <w:lang w:val="uk-UA"/>
              </w:rPr>
              <w:t xml:space="preserve">, виданої Національною комісією з цінних паперів та фондового ринку </w:t>
            </w:r>
            <w:r w:rsidR="00E16672" w:rsidRPr="00E16672">
              <w:rPr>
                <w:i w:val="0"/>
                <w:color w:val="000000"/>
                <w:sz w:val="16"/>
                <w:lang w:val="uk-UA"/>
              </w:rPr>
              <w:t>01.10.2013</w:t>
            </w:r>
            <w:r w:rsidR="008061DA" w:rsidRPr="00E16672">
              <w:rPr>
                <w:i w:val="0"/>
                <w:color w:val="000000"/>
                <w:sz w:val="16"/>
                <w:lang w:val="uk-UA"/>
              </w:rPr>
              <w:t>р</w:t>
            </w:r>
            <w:r w:rsidR="003A05A3" w:rsidRPr="00E16672">
              <w:rPr>
                <w:i w:val="0"/>
                <w:sz w:val="16"/>
                <w:szCs w:val="16"/>
                <w:lang w:val="uk-UA"/>
              </w:rPr>
              <w:t xml:space="preserve"> (надалі – НКЦПФР), в особі </w:t>
            </w:r>
            <w:r w:rsidR="008061DA" w:rsidRPr="00E16672">
              <w:rPr>
                <w:i w:val="0"/>
                <w:color w:val="000000"/>
                <w:sz w:val="16"/>
                <w:lang w:val="uk-UA"/>
              </w:rPr>
              <w:t xml:space="preserve">директора </w:t>
            </w:r>
            <w:r w:rsidR="004D320D" w:rsidRPr="004D320D">
              <w:rPr>
                <w:i w:val="0"/>
                <w:color w:val="000000"/>
                <w:sz w:val="16"/>
                <w:lang w:val="uk-UA"/>
              </w:rPr>
              <w:t>Король Оксани Іванівни</w:t>
            </w:r>
            <w:r w:rsidR="008061DA" w:rsidRPr="00E16672">
              <w:rPr>
                <w:i w:val="0"/>
                <w:color w:val="000000"/>
                <w:sz w:val="16"/>
                <w:lang w:val="uk-UA"/>
              </w:rPr>
              <w:t>, що діє на підставі Статуту</w:t>
            </w:r>
            <w:r w:rsidR="003A05A3" w:rsidRPr="00E16672">
              <w:rPr>
                <w:i w:val="0"/>
                <w:sz w:val="16"/>
                <w:szCs w:val="16"/>
                <w:lang w:val="uk-UA"/>
              </w:rPr>
              <w:t>,  з одного боку, та ________________________________,</w:t>
            </w:r>
          </w:p>
          <w:p w14:paraId="2B1309A6" w14:textId="77777777" w:rsidR="003A05A3" w:rsidRPr="00E16672" w:rsidRDefault="003A05A3" w:rsidP="00843027">
            <w:pPr>
              <w:ind w:left="175" w:right="138" w:firstLine="284"/>
              <w:jc w:val="center"/>
              <w:rPr>
                <w:rFonts w:ascii="Times New Roman" w:eastAsia="Arial" w:hAnsi="Times New Roman"/>
                <w:i/>
                <w:sz w:val="16"/>
                <w:szCs w:val="16"/>
                <w:lang w:val="uk-UA"/>
              </w:rPr>
            </w:pPr>
            <w:r w:rsidRPr="00E16672">
              <w:rPr>
                <w:rFonts w:ascii="Times New Roman" w:hAnsi="Times New Roman"/>
                <w:i/>
                <w:sz w:val="16"/>
                <w:szCs w:val="20"/>
                <w:lang w:val="uk-UA"/>
              </w:rPr>
              <w:t>(</w:t>
            </w:r>
            <w:r w:rsidR="00316F36" w:rsidRPr="00E16672">
              <w:rPr>
                <w:rFonts w:ascii="Times New Roman" w:hAnsi="Times New Roman"/>
                <w:i/>
                <w:sz w:val="16"/>
                <w:szCs w:val="20"/>
                <w:lang w:val="uk-UA" w:eastAsia="uk-UA"/>
              </w:rPr>
              <w:t>повне найменування,</w:t>
            </w:r>
            <w:r w:rsidR="00D3086A" w:rsidRPr="00E16672" w:rsidDel="00D3086A">
              <w:rPr>
                <w:rFonts w:ascii="Times New Roman" w:hAnsi="Times New Roman"/>
                <w:i/>
                <w:sz w:val="16"/>
                <w:szCs w:val="20"/>
                <w:lang w:val="uk-UA" w:eastAsia="uk-UA"/>
              </w:rPr>
              <w:t xml:space="preserve"> </w:t>
            </w:r>
            <w:r w:rsidR="00316F36" w:rsidRPr="00E16672">
              <w:rPr>
                <w:rFonts w:ascii="Times New Roman" w:hAnsi="Times New Roman"/>
                <w:i/>
                <w:iCs/>
                <w:sz w:val="16"/>
                <w:szCs w:val="16"/>
                <w:lang w:val="uk-UA" w:eastAsia="uk-UA"/>
              </w:rPr>
              <w:t>номер реєстрації юридичної особи в країні її місцезнаходження</w:t>
            </w:r>
          </w:p>
          <w:p w14:paraId="1465E1B3" w14:textId="77777777" w:rsidR="003A05A3" w:rsidRPr="00E16672" w:rsidRDefault="003A05A3" w:rsidP="001216E2">
            <w:pPr>
              <w:pStyle w:val="WW-1"/>
              <w:ind w:left="175" w:right="138" w:firstLine="7"/>
              <w:jc w:val="both"/>
              <w:rPr>
                <w:i w:val="0"/>
                <w:sz w:val="16"/>
                <w:szCs w:val="16"/>
                <w:lang w:val="uk-UA"/>
              </w:rPr>
            </w:pPr>
            <w:r w:rsidRPr="00E16672">
              <w:rPr>
                <w:i w:val="0"/>
                <w:sz w:val="16"/>
                <w:szCs w:val="16"/>
                <w:lang w:val="uk-UA"/>
              </w:rPr>
              <w:t xml:space="preserve"> (надалі – Депонент) в особі _________________________________, що діє на підставі (довіреності №____ від ________</w:t>
            </w:r>
            <w:r w:rsidR="000A65D6" w:rsidRPr="00E16672">
              <w:rPr>
                <w:i w:val="0"/>
                <w:sz w:val="16"/>
                <w:szCs w:val="16"/>
                <w:lang w:val="uk-UA"/>
              </w:rPr>
              <w:t>, інше: _____________</w:t>
            </w:r>
            <w:r w:rsidRPr="00E16672">
              <w:rPr>
                <w:i w:val="0"/>
                <w:sz w:val="16"/>
                <w:szCs w:val="16"/>
                <w:lang w:val="uk-UA"/>
              </w:rPr>
              <w:t xml:space="preserve">) з другої сторони, а разом надалі іменовані Сторони, уклали цей Договір про обслуговування </w:t>
            </w:r>
            <w:r w:rsidR="001216E2" w:rsidRPr="00E16672">
              <w:rPr>
                <w:i w:val="0"/>
                <w:sz w:val="16"/>
                <w:szCs w:val="16"/>
                <w:lang w:val="uk-UA"/>
              </w:rPr>
              <w:t xml:space="preserve">рахунку </w:t>
            </w:r>
            <w:r w:rsidRPr="00E16672">
              <w:rPr>
                <w:i w:val="0"/>
                <w:sz w:val="16"/>
                <w:szCs w:val="16"/>
                <w:lang w:val="uk-UA"/>
              </w:rPr>
              <w:t>в цінних паперах (надалі – Договір) про наступне:</w:t>
            </w:r>
          </w:p>
        </w:tc>
        <w:tc>
          <w:tcPr>
            <w:tcW w:w="5494" w:type="dxa"/>
            <w:gridSpan w:val="6"/>
            <w:shd w:val="clear" w:color="auto" w:fill="auto"/>
          </w:tcPr>
          <w:p w14:paraId="239052F1" w14:textId="77777777" w:rsidR="003A05A3" w:rsidRPr="00E16672" w:rsidRDefault="003A05A3" w:rsidP="00843027">
            <w:pPr>
              <w:snapToGrid w:val="0"/>
              <w:ind w:left="57" w:right="57"/>
              <w:jc w:val="center"/>
              <w:rPr>
                <w:rFonts w:ascii="Times New Roman" w:hAnsi="Times New Roman"/>
                <w:b/>
                <w:bCs/>
                <w:sz w:val="16"/>
                <w:szCs w:val="16"/>
                <w:lang w:val="en-GB"/>
              </w:rPr>
            </w:pPr>
            <w:r w:rsidRPr="00E16672">
              <w:rPr>
                <w:rFonts w:ascii="Times New Roman" w:hAnsi="Times New Roman"/>
                <w:b/>
                <w:bCs/>
                <w:sz w:val="16"/>
                <w:szCs w:val="16"/>
                <w:lang w:val="en-US"/>
              </w:rPr>
              <w:t>AGREEMENT</w:t>
            </w:r>
            <w:r w:rsidRPr="00E16672">
              <w:rPr>
                <w:rFonts w:ascii="Times New Roman" w:hAnsi="Times New Roman"/>
                <w:b/>
                <w:bCs/>
                <w:sz w:val="16"/>
                <w:szCs w:val="16"/>
                <w:lang w:val="en-GB"/>
              </w:rPr>
              <w:t xml:space="preserve"> </w:t>
            </w:r>
          </w:p>
          <w:p w14:paraId="72CAA2E4" w14:textId="77777777" w:rsidR="003A05A3" w:rsidRPr="00E16672" w:rsidRDefault="003A05A3" w:rsidP="00843027">
            <w:pPr>
              <w:snapToGrid w:val="0"/>
              <w:ind w:left="57" w:right="57"/>
              <w:jc w:val="center"/>
              <w:rPr>
                <w:rFonts w:ascii="Times New Roman" w:hAnsi="Times New Roman"/>
                <w:b/>
                <w:bCs/>
                <w:sz w:val="16"/>
                <w:szCs w:val="16"/>
                <w:lang w:val="en-US"/>
              </w:rPr>
            </w:pPr>
            <w:r w:rsidRPr="00E16672">
              <w:rPr>
                <w:rFonts w:ascii="Times New Roman" w:hAnsi="Times New Roman"/>
                <w:b/>
                <w:bCs/>
                <w:caps/>
                <w:sz w:val="16"/>
                <w:szCs w:val="16"/>
                <w:lang w:val="en-US"/>
              </w:rPr>
              <w:t xml:space="preserve">on </w:t>
            </w:r>
            <w:proofErr w:type="gramStart"/>
            <w:r w:rsidRPr="00E16672">
              <w:rPr>
                <w:rFonts w:ascii="Times New Roman" w:hAnsi="Times New Roman"/>
                <w:b/>
                <w:bCs/>
                <w:caps/>
                <w:sz w:val="16"/>
                <w:szCs w:val="16"/>
                <w:lang w:val="en-US"/>
              </w:rPr>
              <w:t>servicing</w:t>
            </w:r>
            <w:r w:rsidRPr="00F23413">
              <w:rPr>
                <w:rStyle w:val="hpsalt-edited"/>
                <w:rFonts w:ascii="Times New Roman" w:hAnsi="Times New Roman"/>
                <w:sz w:val="16"/>
                <w:szCs w:val="16"/>
                <w:lang w:val="en-US"/>
              </w:rPr>
              <w:t xml:space="preserve"> </w:t>
            </w:r>
            <w:r w:rsidRPr="00E16672">
              <w:rPr>
                <w:rFonts w:ascii="Times New Roman" w:hAnsi="Times New Roman"/>
                <w:b/>
                <w:bCs/>
                <w:sz w:val="16"/>
                <w:szCs w:val="16"/>
                <w:lang w:val="en-GB"/>
              </w:rPr>
              <w:t xml:space="preserve"> </w:t>
            </w:r>
            <w:r w:rsidRPr="00E16672">
              <w:rPr>
                <w:rFonts w:ascii="Times New Roman" w:hAnsi="Times New Roman"/>
                <w:b/>
                <w:bCs/>
                <w:sz w:val="16"/>
                <w:szCs w:val="16"/>
                <w:lang w:val="en-US"/>
              </w:rPr>
              <w:t>THE</w:t>
            </w:r>
            <w:proofErr w:type="gramEnd"/>
            <w:r w:rsidRPr="00E16672">
              <w:rPr>
                <w:rFonts w:ascii="Times New Roman" w:hAnsi="Times New Roman"/>
                <w:b/>
                <w:bCs/>
                <w:sz w:val="16"/>
                <w:szCs w:val="16"/>
                <w:lang w:val="en-GB"/>
              </w:rPr>
              <w:t xml:space="preserve"> </w:t>
            </w:r>
            <w:r w:rsidRPr="00E16672">
              <w:rPr>
                <w:rFonts w:ascii="Times New Roman" w:hAnsi="Times New Roman"/>
                <w:b/>
                <w:bCs/>
                <w:sz w:val="16"/>
                <w:szCs w:val="16"/>
                <w:lang w:val="en-US"/>
              </w:rPr>
              <w:t>ACCOUNT</w:t>
            </w:r>
            <w:r w:rsidRPr="00E16672">
              <w:rPr>
                <w:rFonts w:ascii="Times New Roman" w:hAnsi="Times New Roman"/>
                <w:b/>
                <w:bCs/>
                <w:sz w:val="16"/>
                <w:szCs w:val="16"/>
                <w:lang w:val="en-GB"/>
              </w:rPr>
              <w:t xml:space="preserve"> </w:t>
            </w:r>
            <w:r w:rsidRPr="00E16672">
              <w:rPr>
                <w:rFonts w:ascii="Times New Roman" w:hAnsi="Times New Roman"/>
                <w:b/>
                <w:bCs/>
                <w:sz w:val="16"/>
                <w:szCs w:val="16"/>
                <w:lang w:val="en-US"/>
              </w:rPr>
              <w:t>IN</w:t>
            </w:r>
            <w:r w:rsidRPr="00E16672">
              <w:rPr>
                <w:rFonts w:ascii="Times New Roman" w:hAnsi="Times New Roman"/>
                <w:b/>
                <w:bCs/>
                <w:sz w:val="16"/>
                <w:szCs w:val="16"/>
                <w:lang w:val="en-GB"/>
              </w:rPr>
              <w:t xml:space="preserve"> </w:t>
            </w:r>
            <w:r w:rsidRPr="00E16672">
              <w:rPr>
                <w:rFonts w:ascii="Times New Roman" w:hAnsi="Times New Roman"/>
                <w:b/>
                <w:bCs/>
                <w:sz w:val="16"/>
                <w:szCs w:val="16"/>
                <w:lang w:val="en-US"/>
              </w:rPr>
              <w:t>SECURITIES</w:t>
            </w:r>
          </w:p>
          <w:p w14:paraId="62D7FFA2" w14:textId="77777777" w:rsidR="003A05A3" w:rsidRPr="00E16672" w:rsidRDefault="003A05A3" w:rsidP="00843027">
            <w:pPr>
              <w:ind w:left="57" w:right="57"/>
              <w:jc w:val="center"/>
              <w:rPr>
                <w:rFonts w:ascii="Times New Roman" w:hAnsi="Times New Roman"/>
                <w:b/>
                <w:bCs/>
                <w:sz w:val="16"/>
                <w:szCs w:val="16"/>
                <w:lang w:val="en-GB"/>
              </w:rPr>
            </w:pPr>
            <w:r w:rsidRPr="00E16672">
              <w:rPr>
                <w:rFonts w:ascii="Times New Roman" w:hAnsi="Times New Roman"/>
                <w:b/>
                <w:bCs/>
                <w:sz w:val="16"/>
                <w:szCs w:val="16"/>
                <w:lang w:val="en-GB"/>
              </w:rPr>
              <w:t xml:space="preserve"># </w:t>
            </w:r>
            <w:r w:rsidRPr="00E16672">
              <w:rPr>
                <w:rFonts w:ascii="Times New Roman" w:eastAsia="Arial" w:hAnsi="Times New Roman"/>
                <w:b/>
                <w:sz w:val="16"/>
                <w:szCs w:val="16"/>
                <w:lang w:val="en-GB"/>
              </w:rPr>
              <w:t>_</w:t>
            </w:r>
            <w:r w:rsidRPr="00E16672">
              <w:rPr>
                <w:rFonts w:ascii="Times New Roman" w:hAnsi="Times New Roman"/>
                <w:b/>
                <w:bCs/>
                <w:sz w:val="16"/>
                <w:szCs w:val="16"/>
                <w:lang w:val="en-GB"/>
              </w:rPr>
              <w:t>_</w:t>
            </w:r>
            <w:r w:rsidRPr="00E16672">
              <w:rPr>
                <w:rFonts w:ascii="Times New Roman" w:hAnsi="Times New Roman"/>
                <w:b/>
                <w:bCs/>
                <w:sz w:val="16"/>
                <w:szCs w:val="16"/>
                <w:lang w:val="en-US"/>
              </w:rPr>
              <w:t>___</w:t>
            </w:r>
            <w:r w:rsidRPr="00E16672">
              <w:rPr>
                <w:rFonts w:ascii="Times New Roman" w:hAnsi="Times New Roman"/>
                <w:b/>
                <w:bCs/>
                <w:sz w:val="16"/>
                <w:szCs w:val="16"/>
                <w:lang w:val="en-GB"/>
              </w:rPr>
              <w:t>/_____</w:t>
            </w:r>
            <w:r w:rsidR="0046169E">
              <w:rPr>
                <w:rFonts w:ascii="Times New Roman" w:hAnsi="Times New Roman"/>
                <w:b/>
                <w:bCs/>
                <w:sz w:val="16"/>
                <w:szCs w:val="16"/>
                <w:lang w:val="en-GB"/>
              </w:rPr>
              <w:t>/DU</w:t>
            </w:r>
          </w:p>
          <w:p w14:paraId="1376DEF8" w14:textId="77777777" w:rsidR="003A05A3" w:rsidRPr="00E16672" w:rsidRDefault="003A05A3" w:rsidP="00843027">
            <w:pPr>
              <w:ind w:right="57"/>
              <w:rPr>
                <w:rFonts w:ascii="Times New Roman" w:hAnsi="Times New Roman"/>
                <w:bCs/>
                <w:sz w:val="16"/>
                <w:szCs w:val="16"/>
                <w:lang w:val="en-GB"/>
              </w:rPr>
            </w:pPr>
          </w:p>
          <w:p w14:paraId="52547FE6" w14:textId="77777777" w:rsidR="003A05A3" w:rsidRPr="00E16672" w:rsidRDefault="00186785" w:rsidP="00843027">
            <w:pPr>
              <w:ind w:left="57" w:right="57"/>
              <w:jc w:val="center"/>
              <w:rPr>
                <w:rFonts w:ascii="Times New Roman" w:hAnsi="Times New Roman"/>
                <w:bCs/>
                <w:sz w:val="16"/>
                <w:szCs w:val="16"/>
                <w:lang w:val="en-US"/>
              </w:rPr>
            </w:pPr>
            <w:r>
              <w:rPr>
                <w:rFonts w:ascii="Times New Roman" w:hAnsi="Times New Roman"/>
                <w:bCs/>
                <w:sz w:val="16"/>
                <w:szCs w:val="16"/>
                <w:lang w:val="en-US"/>
              </w:rPr>
              <w:t>Kyiv</w:t>
            </w:r>
            <w:r w:rsidRPr="00E16672">
              <w:rPr>
                <w:rFonts w:ascii="Times New Roman" w:hAnsi="Times New Roman"/>
                <w:bCs/>
                <w:sz w:val="16"/>
                <w:szCs w:val="16"/>
                <w:lang w:val="en-GB"/>
              </w:rPr>
              <w:t xml:space="preserve"> </w:t>
            </w:r>
            <w:r>
              <w:rPr>
                <w:rFonts w:ascii="Times New Roman" w:hAnsi="Times New Roman"/>
                <w:bCs/>
                <w:sz w:val="16"/>
                <w:szCs w:val="16"/>
                <w:lang w:val="uk-UA"/>
              </w:rPr>
              <w:t xml:space="preserve">                                                    </w:t>
            </w:r>
            <w:r w:rsidR="003A05A3" w:rsidRPr="00E16672">
              <w:rPr>
                <w:rFonts w:ascii="Times New Roman" w:hAnsi="Times New Roman"/>
                <w:bCs/>
                <w:sz w:val="16"/>
                <w:szCs w:val="16"/>
                <w:lang w:val="en-GB"/>
              </w:rPr>
              <w:t xml:space="preserve">__________________, 20___.        </w:t>
            </w:r>
            <w:r w:rsidR="003A05A3" w:rsidRPr="00E16672">
              <w:rPr>
                <w:rFonts w:ascii="Times New Roman" w:hAnsi="Times New Roman"/>
                <w:bCs/>
                <w:sz w:val="16"/>
                <w:szCs w:val="16"/>
                <w:lang w:val="en-US"/>
              </w:rPr>
              <w:t xml:space="preserve">      </w:t>
            </w:r>
            <w:r w:rsidR="003A05A3" w:rsidRPr="00E16672">
              <w:rPr>
                <w:rFonts w:ascii="Times New Roman" w:hAnsi="Times New Roman"/>
                <w:bCs/>
                <w:sz w:val="16"/>
                <w:szCs w:val="16"/>
                <w:lang w:val="en-GB"/>
              </w:rPr>
              <w:t xml:space="preserve">   </w:t>
            </w:r>
            <w:r w:rsidR="003A05A3" w:rsidRPr="00E16672">
              <w:rPr>
                <w:rFonts w:ascii="Times New Roman" w:hAnsi="Times New Roman"/>
                <w:bCs/>
                <w:sz w:val="16"/>
                <w:szCs w:val="16"/>
                <w:lang w:val="uk-UA"/>
              </w:rPr>
              <w:t xml:space="preserve">    </w:t>
            </w:r>
          </w:p>
          <w:p w14:paraId="0EBB700D" w14:textId="77777777" w:rsidR="003A05A3" w:rsidRPr="00E16672" w:rsidRDefault="003A05A3" w:rsidP="00843027">
            <w:pPr>
              <w:ind w:left="57" w:right="57"/>
              <w:jc w:val="center"/>
              <w:rPr>
                <w:rFonts w:ascii="Times New Roman" w:hAnsi="Times New Roman"/>
                <w:b/>
                <w:bCs/>
                <w:sz w:val="16"/>
                <w:szCs w:val="16"/>
                <w:lang w:val="en-GB"/>
              </w:rPr>
            </w:pPr>
          </w:p>
          <w:p w14:paraId="47C65FDD" w14:textId="77777777" w:rsidR="003A05A3" w:rsidRPr="00E16672" w:rsidRDefault="001E62BE" w:rsidP="00843027">
            <w:pPr>
              <w:pStyle w:val="WW-0"/>
              <w:ind w:left="57" w:right="100" w:firstLine="376"/>
              <w:rPr>
                <w:rFonts w:ascii="Times New Roman" w:hAnsi="Times New Roman"/>
                <w:sz w:val="16"/>
                <w:szCs w:val="16"/>
                <w:lang w:val="en-GB"/>
              </w:rPr>
            </w:pPr>
            <w:r>
              <w:rPr>
                <w:rFonts w:ascii="Times New Roman" w:hAnsi="Times New Roman"/>
                <w:b/>
                <w:color w:val="000000"/>
                <w:sz w:val="16"/>
                <w:lang w:val="en-GB"/>
              </w:rPr>
              <w:t>COMEX Securities Limited</w:t>
            </w:r>
            <w:r w:rsidR="003A05A3" w:rsidRPr="00E16672">
              <w:rPr>
                <w:rFonts w:ascii="Times New Roman" w:hAnsi="Times New Roman"/>
                <w:sz w:val="16"/>
                <w:szCs w:val="16"/>
                <w:lang w:val="en-US"/>
              </w:rPr>
              <w:t xml:space="preserve">, code according to EDRPOU </w:t>
            </w:r>
            <w:r w:rsidR="00E16672" w:rsidRPr="00E16672">
              <w:rPr>
                <w:rFonts w:ascii="Times New Roman" w:hAnsi="Times New Roman"/>
                <w:color w:val="000000"/>
                <w:sz w:val="16"/>
              </w:rPr>
              <w:t>33153077</w:t>
            </w:r>
            <w:r w:rsidR="000A65D6" w:rsidRPr="00E16672">
              <w:rPr>
                <w:rFonts w:ascii="Times New Roman" w:hAnsi="Times New Roman"/>
                <w:sz w:val="16"/>
                <w:szCs w:val="16"/>
                <w:lang w:val="en-US"/>
              </w:rPr>
              <w:t xml:space="preserve"> </w:t>
            </w:r>
            <w:r w:rsidR="003A05A3" w:rsidRPr="00E16672">
              <w:rPr>
                <w:rFonts w:ascii="Times New Roman" w:hAnsi="Times New Roman"/>
                <w:sz w:val="16"/>
                <w:szCs w:val="16"/>
                <w:lang w:val="en-GB"/>
              </w:rPr>
              <w:t>(</w:t>
            </w:r>
            <w:r w:rsidR="003A05A3" w:rsidRPr="00E16672">
              <w:rPr>
                <w:rFonts w:ascii="Times New Roman" w:hAnsi="Times New Roman"/>
                <w:sz w:val="16"/>
                <w:szCs w:val="16"/>
                <w:lang w:val="en-US"/>
              </w:rPr>
              <w:t>hereinafter referred to as Depository institution</w:t>
            </w:r>
            <w:r w:rsidR="003A05A3" w:rsidRPr="00E16672">
              <w:rPr>
                <w:rFonts w:ascii="Times New Roman" w:hAnsi="Times New Roman"/>
                <w:sz w:val="16"/>
                <w:szCs w:val="16"/>
                <w:lang w:val="en-GB"/>
              </w:rPr>
              <w:t>)</w:t>
            </w:r>
            <w:r w:rsidR="003A05A3" w:rsidRPr="00E16672">
              <w:rPr>
                <w:rFonts w:ascii="Times New Roman" w:hAnsi="Times New Roman"/>
                <w:sz w:val="16"/>
                <w:szCs w:val="16"/>
                <w:lang w:val="en-US"/>
              </w:rPr>
              <w:t xml:space="preserve">, providing the depository activity of the Depository institution on the basis of License </w:t>
            </w:r>
            <w:r w:rsidR="008061DA" w:rsidRPr="00E16672">
              <w:rPr>
                <w:rFonts w:ascii="Times New Roman" w:hAnsi="Times New Roman"/>
                <w:color w:val="000000"/>
                <w:sz w:val="16"/>
              </w:rPr>
              <w:t xml:space="preserve">АЕ № </w:t>
            </w:r>
            <w:r w:rsidR="00E16672" w:rsidRPr="00E16672">
              <w:rPr>
                <w:rFonts w:ascii="Times New Roman" w:hAnsi="Times New Roman"/>
                <w:color w:val="000000"/>
                <w:sz w:val="16"/>
              </w:rPr>
              <w:t>263429</w:t>
            </w:r>
            <w:r w:rsidR="008061DA" w:rsidRPr="00E16672">
              <w:rPr>
                <w:rFonts w:ascii="Times New Roman" w:hAnsi="Times New Roman"/>
                <w:color w:val="000000"/>
                <w:sz w:val="16"/>
              </w:rPr>
              <w:t xml:space="preserve"> </w:t>
            </w:r>
            <w:r w:rsidR="003A05A3" w:rsidRPr="00E16672">
              <w:rPr>
                <w:rFonts w:ascii="Times New Roman" w:hAnsi="Times New Roman"/>
                <w:sz w:val="16"/>
                <w:szCs w:val="16"/>
                <w:lang w:val="en-US"/>
              </w:rPr>
              <w:t xml:space="preserve">issued by the National Commission on Securities and Stock Market on </w:t>
            </w:r>
            <w:r w:rsidR="00E16672" w:rsidRPr="00E16672">
              <w:rPr>
                <w:rFonts w:ascii="Times New Roman" w:hAnsi="Times New Roman"/>
                <w:color w:val="000000"/>
                <w:sz w:val="16"/>
              </w:rPr>
              <w:t>01.10.2013</w:t>
            </w:r>
            <w:r w:rsidR="003A05A3" w:rsidRPr="00E16672">
              <w:rPr>
                <w:rFonts w:ascii="Times New Roman" w:hAnsi="Times New Roman"/>
                <w:sz w:val="16"/>
                <w:szCs w:val="16"/>
                <w:lang w:val="en-US"/>
              </w:rPr>
              <w:t xml:space="preserve"> (hereinafter - NCSSM) represented </w:t>
            </w:r>
            <w:proofErr w:type="gramStart"/>
            <w:r w:rsidR="003A05A3" w:rsidRPr="00E16672">
              <w:rPr>
                <w:rFonts w:ascii="Times New Roman" w:hAnsi="Times New Roman"/>
                <w:sz w:val="16"/>
                <w:szCs w:val="16"/>
                <w:lang w:val="en-US"/>
              </w:rPr>
              <w:t>by  the</w:t>
            </w:r>
            <w:proofErr w:type="gramEnd"/>
            <w:r w:rsidR="008061DA" w:rsidRPr="00E16672">
              <w:rPr>
                <w:rFonts w:ascii="Times New Roman" w:hAnsi="Times New Roman"/>
                <w:color w:val="000000"/>
                <w:sz w:val="16"/>
                <w:lang w:val="en-US"/>
              </w:rPr>
              <w:t xml:space="preserve"> Director </w:t>
            </w:r>
            <w:r>
              <w:rPr>
                <w:rFonts w:ascii="Times New Roman" w:hAnsi="Times New Roman"/>
                <w:color w:val="000000"/>
                <w:sz w:val="16"/>
                <w:lang w:val="en-US"/>
              </w:rPr>
              <w:t xml:space="preserve">Ms. </w:t>
            </w:r>
            <w:proofErr w:type="spellStart"/>
            <w:r>
              <w:rPr>
                <w:rFonts w:ascii="Times New Roman" w:hAnsi="Times New Roman"/>
                <w:color w:val="000000"/>
                <w:sz w:val="16"/>
                <w:lang w:val="en-US"/>
              </w:rPr>
              <w:t>Korol</w:t>
            </w:r>
            <w:proofErr w:type="spellEnd"/>
            <w:r>
              <w:rPr>
                <w:rFonts w:ascii="Times New Roman" w:hAnsi="Times New Roman"/>
                <w:color w:val="000000"/>
                <w:sz w:val="16"/>
                <w:lang w:val="en-US"/>
              </w:rPr>
              <w:t xml:space="preserve"> Oxana</w:t>
            </w:r>
            <w:r w:rsidR="008061DA" w:rsidRPr="00E16672">
              <w:rPr>
                <w:rFonts w:ascii="Times New Roman" w:hAnsi="Times New Roman"/>
                <w:color w:val="000000"/>
                <w:sz w:val="16"/>
                <w:lang w:val="en-US"/>
              </w:rPr>
              <w:t xml:space="preserve">, acting on the basis of </w:t>
            </w:r>
            <w:r w:rsidR="008061DA" w:rsidRPr="00E16672">
              <w:rPr>
                <w:rFonts w:ascii="Times New Roman" w:hAnsi="Times New Roman"/>
                <w:color w:val="000000"/>
              </w:rPr>
              <w:t xml:space="preserve"> </w:t>
            </w:r>
            <w:r w:rsidR="008061DA" w:rsidRPr="00E16672">
              <w:rPr>
                <w:rFonts w:ascii="Times New Roman" w:hAnsi="Times New Roman"/>
                <w:color w:val="000000"/>
                <w:sz w:val="16"/>
                <w:lang w:val="en-US"/>
              </w:rPr>
              <w:t>Statute</w:t>
            </w:r>
            <w:r w:rsidR="003A05A3" w:rsidRPr="00E16672">
              <w:rPr>
                <w:rFonts w:ascii="Times New Roman" w:hAnsi="Times New Roman"/>
                <w:sz w:val="16"/>
                <w:szCs w:val="16"/>
                <w:lang w:val="en-US"/>
              </w:rPr>
              <w:t>, on the one hand, and</w:t>
            </w:r>
            <w:r w:rsidR="003A05A3" w:rsidRPr="00E16672">
              <w:rPr>
                <w:rFonts w:ascii="Times New Roman" w:hAnsi="Times New Roman"/>
                <w:sz w:val="16"/>
                <w:szCs w:val="16"/>
                <w:lang w:val="en-GB"/>
              </w:rPr>
              <w:t xml:space="preserve"> ______________________________________________________</w:t>
            </w:r>
          </w:p>
          <w:p w14:paraId="20588385" w14:textId="77777777" w:rsidR="000A65D6" w:rsidRPr="00E16672" w:rsidRDefault="003A05A3" w:rsidP="00843027">
            <w:pPr>
              <w:pStyle w:val="WW-0"/>
              <w:ind w:left="57" w:right="100"/>
              <w:rPr>
                <w:rFonts w:ascii="Times New Roman" w:hAnsi="Times New Roman"/>
                <w:i/>
                <w:sz w:val="16"/>
                <w:szCs w:val="16"/>
              </w:rPr>
            </w:pPr>
            <w:r w:rsidRPr="00E16672">
              <w:rPr>
                <w:rFonts w:ascii="Times New Roman" w:hAnsi="Times New Roman"/>
                <w:i/>
                <w:sz w:val="16"/>
                <w:szCs w:val="16"/>
                <w:lang w:val="en-US"/>
              </w:rPr>
              <w:t>(</w:t>
            </w:r>
            <w:proofErr w:type="spellStart"/>
            <w:r w:rsidR="000A65D6" w:rsidRPr="00E16672">
              <w:rPr>
                <w:rFonts w:ascii="Times New Roman" w:hAnsi="Times New Roman"/>
                <w:i/>
                <w:sz w:val="16"/>
              </w:rPr>
              <w:t>full</w:t>
            </w:r>
            <w:proofErr w:type="spellEnd"/>
            <w:r w:rsidR="000A65D6" w:rsidRPr="00E16672">
              <w:rPr>
                <w:rFonts w:ascii="Times New Roman" w:hAnsi="Times New Roman"/>
                <w:i/>
                <w:sz w:val="16"/>
              </w:rPr>
              <w:t xml:space="preserve"> </w:t>
            </w:r>
            <w:proofErr w:type="spellStart"/>
            <w:r w:rsidR="000A65D6" w:rsidRPr="00E16672">
              <w:rPr>
                <w:rFonts w:ascii="Times New Roman" w:hAnsi="Times New Roman"/>
                <w:i/>
                <w:sz w:val="16"/>
              </w:rPr>
              <w:t>name</w:t>
            </w:r>
            <w:proofErr w:type="spellEnd"/>
            <w:r w:rsidR="000A65D6" w:rsidRPr="00E16672">
              <w:rPr>
                <w:rFonts w:ascii="Times New Roman" w:hAnsi="Times New Roman"/>
                <w:i/>
                <w:sz w:val="16"/>
              </w:rPr>
              <w:t xml:space="preserve">, </w:t>
            </w:r>
            <w:proofErr w:type="spellStart"/>
            <w:r w:rsidR="000A65D6" w:rsidRPr="00E16672">
              <w:rPr>
                <w:rFonts w:ascii="Times New Roman" w:hAnsi="Times New Roman"/>
                <w:i/>
                <w:sz w:val="16"/>
              </w:rPr>
              <w:t>number</w:t>
            </w:r>
            <w:proofErr w:type="spellEnd"/>
            <w:r w:rsidR="000A65D6" w:rsidRPr="00E16672">
              <w:rPr>
                <w:rFonts w:ascii="Times New Roman" w:hAnsi="Times New Roman"/>
                <w:i/>
                <w:sz w:val="16"/>
              </w:rPr>
              <w:t xml:space="preserve"> </w:t>
            </w:r>
            <w:proofErr w:type="spellStart"/>
            <w:r w:rsidR="000A65D6" w:rsidRPr="00E16672">
              <w:rPr>
                <w:rFonts w:ascii="Times New Roman" w:hAnsi="Times New Roman"/>
                <w:i/>
                <w:sz w:val="16"/>
              </w:rPr>
              <w:t>of</w:t>
            </w:r>
            <w:proofErr w:type="spellEnd"/>
            <w:r w:rsidR="000A65D6" w:rsidRPr="00E16672">
              <w:rPr>
                <w:rFonts w:ascii="Times New Roman" w:hAnsi="Times New Roman"/>
                <w:i/>
                <w:sz w:val="16"/>
              </w:rPr>
              <w:t xml:space="preserve"> </w:t>
            </w:r>
            <w:proofErr w:type="spellStart"/>
            <w:proofErr w:type="gramStart"/>
            <w:r w:rsidR="000A65D6" w:rsidRPr="00E16672">
              <w:rPr>
                <w:rFonts w:ascii="Times New Roman" w:hAnsi="Times New Roman"/>
                <w:i/>
                <w:sz w:val="16"/>
              </w:rPr>
              <w:t>registration</w:t>
            </w:r>
            <w:proofErr w:type="spellEnd"/>
            <w:proofErr w:type="gramEnd"/>
            <w:r w:rsidR="000A65D6" w:rsidRPr="00E16672">
              <w:rPr>
                <w:rFonts w:ascii="Times New Roman" w:hAnsi="Times New Roman"/>
                <w:i/>
                <w:sz w:val="16"/>
              </w:rPr>
              <w:t xml:space="preserve"> </w:t>
            </w:r>
            <w:proofErr w:type="spellStart"/>
            <w:r w:rsidR="000A65D6" w:rsidRPr="00E16672">
              <w:rPr>
                <w:rFonts w:ascii="Times New Roman" w:hAnsi="Times New Roman"/>
                <w:i/>
                <w:sz w:val="16"/>
              </w:rPr>
              <w:t>of</w:t>
            </w:r>
            <w:proofErr w:type="spellEnd"/>
            <w:r w:rsidR="000A65D6" w:rsidRPr="00E16672">
              <w:rPr>
                <w:rFonts w:ascii="Times New Roman" w:hAnsi="Times New Roman"/>
                <w:i/>
                <w:sz w:val="16"/>
              </w:rPr>
              <w:t xml:space="preserve"> a </w:t>
            </w:r>
            <w:proofErr w:type="spellStart"/>
            <w:r w:rsidR="000A65D6" w:rsidRPr="00E16672">
              <w:rPr>
                <w:rFonts w:ascii="Times New Roman" w:hAnsi="Times New Roman"/>
                <w:i/>
                <w:sz w:val="16"/>
              </w:rPr>
              <w:t>legal</w:t>
            </w:r>
            <w:proofErr w:type="spellEnd"/>
            <w:r w:rsidR="000A65D6" w:rsidRPr="00E16672">
              <w:rPr>
                <w:rFonts w:ascii="Times New Roman" w:hAnsi="Times New Roman"/>
                <w:i/>
                <w:sz w:val="16"/>
              </w:rPr>
              <w:t xml:space="preserve"> </w:t>
            </w:r>
            <w:proofErr w:type="spellStart"/>
            <w:r w:rsidR="000A65D6" w:rsidRPr="00E16672">
              <w:rPr>
                <w:rFonts w:ascii="Times New Roman" w:hAnsi="Times New Roman"/>
                <w:i/>
                <w:sz w:val="16"/>
              </w:rPr>
              <w:t>entity</w:t>
            </w:r>
            <w:proofErr w:type="spellEnd"/>
            <w:r w:rsidR="000A65D6" w:rsidRPr="00E16672">
              <w:rPr>
                <w:rFonts w:ascii="Times New Roman" w:hAnsi="Times New Roman"/>
                <w:i/>
                <w:sz w:val="16"/>
              </w:rPr>
              <w:t xml:space="preserve"> </w:t>
            </w:r>
            <w:proofErr w:type="spellStart"/>
            <w:r w:rsidR="000A65D6" w:rsidRPr="00E16672">
              <w:rPr>
                <w:rFonts w:ascii="Times New Roman" w:hAnsi="Times New Roman"/>
                <w:i/>
                <w:sz w:val="16"/>
              </w:rPr>
              <w:t>in</w:t>
            </w:r>
            <w:proofErr w:type="spellEnd"/>
            <w:r w:rsidR="000A65D6" w:rsidRPr="00E16672">
              <w:rPr>
                <w:rFonts w:ascii="Times New Roman" w:hAnsi="Times New Roman"/>
                <w:i/>
                <w:sz w:val="16"/>
              </w:rPr>
              <w:t xml:space="preserve"> </w:t>
            </w:r>
            <w:proofErr w:type="spellStart"/>
            <w:r w:rsidR="000A65D6" w:rsidRPr="00E16672">
              <w:rPr>
                <w:rFonts w:ascii="Times New Roman" w:hAnsi="Times New Roman"/>
                <w:i/>
                <w:sz w:val="16"/>
              </w:rPr>
              <w:t>the</w:t>
            </w:r>
            <w:proofErr w:type="spellEnd"/>
            <w:r w:rsidR="000A65D6" w:rsidRPr="00E16672">
              <w:rPr>
                <w:rFonts w:ascii="Times New Roman" w:hAnsi="Times New Roman"/>
                <w:i/>
                <w:sz w:val="16"/>
              </w:rPr>
              <w:t xml:space="preserve"> </w:t>
            </w:r>
            <w:proofErr w:type="spellStart"/>
            <w:r w:rsidR="000A65D6" w:rsidRPr="00E16672">
              <w:rPr>
                <w:rFonts w:ascii="Times New Roman" w:hAnsi="Times New Roman"/>
                <w:i/>
                <w:sz w:val="16"/>
              </w:rPr>
              <w:t>country</w:t>
            </w:r>
            <w:proofErr w:type="spellEnd"/>
            <w:r w:rsidR="000A65D6" w:rsidRPr="00E16672">
              <w:rPr>
                <w:rFonts w:ascii="Times New Roman" w:hAnsi="Times New Roman"/>
                <w:i/>
                <w:sz w:val="16"/>
              </w:rPr>
              <w:t xml:space="preserve"> </w:t>
            </w:r>
            <w:proofErr w:type="spellStart"/>
            <w:r w:rsidR="000A65D6" w:rsidRPr="00E16672">
              <w:rPr>
                <w:rFonts w:ascii="Times New Roman" w:hAnsi="Times New Roman"/>
                <w:i/>
                <w:sz w:val="16"/>
              </w:rPr>
              <w:t>of</w:t>
            </w:r>
            <w:proofErr w:type="spellEnd"/>
            <w:r w:rsidR="000A65D6" w:rsidRPr="00E16672">
              <w:rPr>
                <w:rFonts w:ascii="Times New Roman" w:hAnsi="Times New Roman"/>
                <w:i/>
                <w:sz w:val="16"/>
              </w:rPr>
              <w:t xml:space="preserve"> </w:t>
            </w:r>
            <w:proofErr w:type="spellStart"/>
            <w:r w:rsidR="000A65D6" w:rsidRPr="00E16672">
              <w:rPr>
                <w:rFonts w:ascii="Times New Roman" w:hAnsi="Times New Roman"/>
                <w:i/>
                <w:sz w:val="16"/>
              </w:rPr>
              <w:t>its</w:t>
            </w:r>
            <w:proofErr w:type="spellEnd"/>
            <w:r w:rsidR="000A65D6" w:rsidRPr="00E16672">
              <w:rPr>
                <w:rFonts w:ascii="Times New Roman" w:hAnsi="Times New Roman"/>
                <w:i/>
                <w:sz w:val="16"/>
              </w:rPr>
              <w:t xml:space="preserve"> </w:t>
            </w:r>
            <w:proofErr w:type="spellStart"/>
            <w:r w:rsidR="000A65D6" w:rsidRPr="00E16672">
              <w:rPr>
                <w:rFonts w:ascii="Times New Roman" w:hAnsi="Times New Roman"/>
                <w:i/>
                <w:sz w:val="16"/>
              </w:rPr>
              <w:t>location</w:t>
            </w:r>
            <w:proofErr w:type="spellEnd"/>
            <w:r w:rsidRPr="00E16672">
              <w:rPr>
                <w:rFonts w:ascii="Times New Roman" w:hAnsi="Times New Roman"/>
                <w:i/>
                <w:sz w:val="16"/>
                <w:szCs w:val="16"/>
              </w:rPr>
              <w:t>)</w:t>
            </w:r>
          </w:p>
          <w:p w14:paraId="7EBA3DCF" w14:textId="77777777" w:rsidR="003A05A3" w:rsidRPr="00E16672" w:rsidRDefault="003A05A3" w:rsidP="006E6311">
            <w:pPr>
              <w:pStyle w:val="WW-0"/>
              <w:ind w:left="57" w:right="100"/>
              <w:rPr>
                <w:rFonts w:ascii="Times New Roman" w:hAnsi="Times New Roman"/>
                <w:sz w:val="16"/>
                <w:szCs w:val="16"/>
                <w:lang w:val="en-US"/>
              </w:rPr>
            </w:pPr>
            <w:r w:rsidRPr="00E16672">
              <w:rPr>
                <w:rFonts w:ascii="Times New Roman" w:hAnsi="Times New Roman"/>
                <w:sz w:val="16"/>
                <w:szCs w:val="16"/>
                <w:lang w:val="en-GB"/>
              </w:rPr>
              <w:t>hereinafter referred to as Depositor, represented by ______________________________, acting on the basis of (</w:t>
            </w:r>
            <w:r w:rsidRPr="00E16672">
              <w:rPr>
                <w:rFonts w:ascii="Times New Roman" w:hAnsi="Times New Roman"/>
                <w:sz w:val="16"/>
                <w:szCs w:val="16"/>
                <w:lang w:val="en-US"/>
              </w:rPr>
              <w:t>Power of Attorney No_______ dated ____________</w:t>
            </w:r>
            <w:r w:rsidR="000A65D6" w:rsidRPr="00E16672">
              <w:rPr>
                <w:rFonts w:ascii="Times New Roman" w:hAnsi="Times New Roman"/>
                <w:sz w:val="16"/>
                <w:szCs w:val="16"/>
              </w:rPr>
              <w:t xml:space="preserve">, </w:t>
            </w:r>
            <w:proofErr w:type="gramStart"/>
            <w:r w:rsidR="000A65D6" w:rsidRPr="00E16672">
              <w:rPr>
                <w:rFonts w:ascii="Times New Roman" w:hAnsi="Times New Roman"/>
                <w:sz w:val="16"/>
                <w:szCs w:val="16"/>
                <w:lang w:val="en-US"/>
              </w:rPr>
              <w:t>other</w:t>
            </w:r>
            <w:r w:rsidR="000A65D6" w:rsidRPr="00E16672">
              <w:rPr>
                <w:rFonts w:ascii="Times New Roman" w:hAnsi="Times New Roman"/>
                <w:sz w:val="16"/>
                <w:szCs w:val="16"/>
              </w:rPr>
              <w:t>:_</w:t>
            </w:r>
            <w:proofErr w:type="gramEnd"/>
            <w:r w:rsidR="000A65D6" w:rsidRPr="00E16672">
              <w:rPr>
                <w:rFonts w:ascii="Times New Roman" w:hAnsi="Times New Roman"/>
                <w:sz w:val="16"/>
                <w:szCs w:val="16"/>
              </w:rPr>
              <w:t>__________________</w:t>
            </w:r>
            <w:r w:rsidRPr="00E16672">
              <w:rPr>
                <w:rFonts w:ascii="Times New Roman" w:hAnsi="Times New Roman"/>
                <w:sz w:val="16"/>
                <w:szCs w:val="16"/>
                <w:lang w:val="en-GB"/>
              </w:rPr>
              <w:t>)</w:t>
            </w:r>
            <w:r w:rsidRPr="00E16672">
              <w:rPr>
                <w:rFonts w:ascii="Times New Roman" w:hAnsi="Times New Roman"/>
                <w:sz w:val="16"/>
                <w:szCs w:val="16"/>
                <w:lang w:val="en-US"/>
              </w:rPr>
              <w:t>, on the other hand, together referred to as Parties, have concluded this Agreement on servicing the account securities (hereinafter - Agreement) as follows:</w:t>
            </w:r>
          </w:p>
        </w:tc>
      </w:tr>
      <w:tr w:rsidR="003A05A3" w:rsidRPr="00F23413" w14:paraId="5CB085A8" w14:textId="77777777" w:rsidTr="00242F58">
        <w:trPr>
          <w:trHeight w:val="192"/>
        </w:trPr>
        <w:tc>
          <w:tcPr>
            <w:tcW w:w="5696" w:type="dxa"/>
            <w:gridSpan w:val="8"/>
            <w:shd w:val="clear" w:color="auto" w:fill="auto"/>
          </w:tcPr>
          <w:p w14:paraId="04DBBA04" w14:textId="77777777" w:rsidR="003A05A3" w:rsidRPr="00E16672" w:rsidRDefault="003A05A3" w:rsidP="00843027">
            <w:pPr>
              <w:snapToGrid w:val="0"/>
              <w:ind w:left="142" w:right="138"/>
              <w:jc w:val="center"/>
              <w:rPr>
                <w:rFonts w:ascii="Times New Roman" w:eastAsia="Arial" w:hAnsi="Times New Roman"/>
                <w:b/>
                <w:color w:val="000000"/>
                <w:sz w:val="16"/>
                <w:szCs w:val="16"/>
              </w:rPr>
            </w:pPr>
            <w:r w:rsidRPr="00E16672">
              <w:rPr>
                <w:rFonts w:ascii="Times New Roman" w:eastAsia="Arial" w:hAnsi="Times New Roman"/>
                <w:b/>
                <w:color w:val="000000"/>
                <w:sz w:val="16"/>
                <w:szCs w:val="16"/>
              </w:rPr>
              <w:t>1. ПРЕДМЕТ ДОГОВОРУ.</w:t>
            </w:r>
          </w:p>
          <w:p w14:paraId="7C7BCD05" w14:textId="77777777" w:rsidR="003A05A3" w:rsidRPr="00E16672" w:rsidRDefault="003A05A3" w:rsidP="00843027">
            <w:pPr>
              <w:pStyle w:val="WW-0"/>
              <w:spacing w:after="120"/>
              <w:ind w:left="142" w:right="138"/>
              <w:rPr>
                <w:rFonts w:ascii="Times New Roman" w:hAnsi="Times New Roman"/>
                <w:color w:val="000000"/>
                <w:sz w:val="10"/>
                <w:szCs w:val="10"/>
              </w:rPr>
            </w:pPr>
            <w:r w:rsidRPr="00E16672">
              <w:rPr>
                <w:rFonts w:ascii="Times New Roman" w:hAnsi="Times New Roman"/>
                <w:color w:val="000000"/>
                <w:sz w:val="16"/>
                <w:szCs w:val="16"/>
              </w:rPr>
              <w:t>1.1. Д</w:t>
            </w:r>
            <w:r w:rsidR="007F7C17" w:rsidRPr="00E16672">
              <w:rPr>
                <w:rFonts w:ascii="Times New Roman" w:hAnsi="Times New Roman"/>
                <w:color w:val="000000"/>
                <w:sz w:val="16"/>
                <w:szCs w:val="16"/>
              </w:rPr>
              <w:t>епонент доручає, а д</w:t>
            </w:r>
            <w:r w:rsidRPr="00E16672">
              <w:rPr>
                <w:rFonts w:ascii="Times New Roman" w:hAnsi="Times New Roman"/>
                <w:color w:val="000000"/>
                <w:sz w:val="16"/>
                <w:szCs w:val="16"/>
              </w:rPr>
              <w:t xml:space="preserve">епозитарна установа зобов’язується у порядку, передбаченому законодавством, внутрішніми документами Депозитарної установи та цим Договором, надавати послуги щодо відкриття та обслуговування рахунку </w:t>
            </w:r>
            <w:r w:rsidR="00C22309" w:rsidRPr="00E16672">
              <w:rPr>
                <w:rFonts w:ascii="Times New Roman" w:hAnsi="Times New Roman"/>
                <w:color w:val="000000"/>
                <w:sz w:val="16"/>
                <w:szCs w:val="16"/>
              </w:rPr>
              <w:t>в цін</w:t>
            </w:r>
            <w:r w:rsidRPr="00E16672">
              <w:rPr>
                <w:rFonts w:ascii="Times New Roman" w:hAnsi="Times New Roman"/>
                <w:color w:val="000000"/>
                <w:sz w:val="16"/>
                <w:szCs w:val="16"/>
              </w:rPr>
              <w:t xml:space="preserve">них паперах Депонента, та вести на ньому облік цінних паперів, що належать Депоненту, а також облік прав Депонента на цінні папери, що обліковуються на  рахунку </w:t>
            </w:r>
            <w:r w:rsidR="00C22309" w:rsidRPr="00E16672">
              <w:rPr>
                <w:rFonts w:ascii="Times New Roman" w:hAnsi="Times New Roman"/>
                <w:color w:val="000000"/>
                <w:sz w:val="16"/>
                <w:szCs w:val="16"/>
              </w:rPr>
              <w:t>в цін</w:t>
            </w:r>
            <w:r w:rsidRPr="00E16672">
              <w:rPr>
                <w:rFonts w:ascii="Times New Roman" w:hAnsi="Times New Roman"/>
                <w:color w:val="000000"/>
                <w:sz w:val="16"/>
                <w:szCs w:val="16"/>
              </w:rPr>
              <w:t xml:space="preserve">них паперах, та обмеження таких прав,  проводити депозитарні операції за рахунком </w:t>
            </w:r>
            <w:r w:rsidR="00C22309" w:rsidRPr="00E16672">
              <w:rPr>
                <w:rFonts w:ascii="Times New Roman" w:hAnsi="Times New Roman"/>
                <w:color w:val="000000"/>
                <w:sz w:val="16"/>
                <w:szCs w:val="16"/>
              </w:rPr>
              <w:t>в цін</w:t>
            </w:r>
            <w:r w:rsidRPr="00E16672">
              <w:rPr>
                <w:rFonts w:ascii="Times New Roman" w:hAnsi="Times New Roman"/>
                <w:color w:val="000000"/>
                <w:sz w:val="16"/>
                <w:szCs w:val="16"/>
              </w:rPr>
              <w:t xml:space="preserve">них паперах Депонента на підставі розпоряджень Депонента </w:t>
            </w:r>
            <w:r w:rsidRPr="00E16672">
              <w:rPr>
                <w:rStyle w:val="rvts0"/>
                <w:rFonts w:ascii="Times New Roman" w:hAnsi="Times New Roman"/>
                <w:sz w:val="16"/>
                <w:szCs w:val="16"/>
              </w:rPr>
              <w:t xml:space="preserve">(суб'єкта управління) </w:t>
            </w:r>
            <w:r w:rsidRPr="00E16672">
              <w:rPr>
                <w:rFonts w:ascii="Times New Roman" w:hAnsi="Times New Roman"/>
                <w:color w:val="000000"/>
                <w:sz w:val="16"/>
                <w:szCs w:val="16"/>
              </w:rPr>
              <w:t xml:space="preserve"> та в інший спосіб, передбачений законодавством, а також надавати інші послуги у процесі провадження депозитарної діяльності відповідно до “Положення про провадження депозитарної діяльності”, затвердженого рішенням НКЦПФР від 23.04.2013 року № 735, зареєстрованого в Міністерстві юстиції України 27.06.2013 року № 1084/23616 (далі – Положення</w:t>
            </w:r>
            <w:r w:rsidRPr="00E16672">
              <w:rPr>
                <w:rFonts w:ascii="Times New Roman" w:hAnsi="Times New Roman"/>
                <w:color w:val="000000"/>
                <w:sz w:val="18"/>
                <w:szCs w:val="18"/>
                <w:lang w:val="ru-RU"/>
              </w:rPr>
              <w:t xml:space="preserve"> </w:t>
            </w:r>
            <w:r w:rsidRPr="00E16672">
              <w:rPr>
                <w:rFonts w:ascii="Times New Roman" w:hAnsi="Times New Roman"/>
                <w:color w:val="000000"/>
                <w:sz w:val="16"/>
                <w:szCs w:val="16"/>
                <w:lang w:val="ru-RU"/>
              </w:rPr>
              <w:t xml:space="preserve">про </w:t>
            </w:r>
            <w:proofErr w:type="spellStart"/>
            <w:r w:rsidRPr="00E16672">
              <w:rPr>
                <w:rFonts w:ascii="Times New Roman" w:hAnsi="Times New Roman"/>
                <w:color w:val="000000"/>
                <w:sz w:val="16"/>
                <w:szCs w:val="16"/>
                <w:lang w:val="ru-RU"/>
              </w:rPr>
              <w:t>провадження</w:t>
            </w:r>
            <w:proofErr w:type="spellEnd"/>
            <w:r w:rsidRPr="00E16672">
              <w:rPr>
                <w:rFonts w:ascii="Times New Roman" w:hAnsi="Times New Roman"/>
                <w:color w:val="000000"/>
                <w:sz w:val="16"/>
                <w:szCs w:val="16"/>
                <w:lang w:val="ru-RU"/>
              </w:rPr>
              <w:t xml:space="preserve"> </w:t>
            </w:r>
            <w:proofErr w:type="spellStart"/>
            <w:r w:rsidRPr="00E16672">
              <w:rPr>
                <w:rFonts w:ascii="Times New Roman" w:hAnsi="Times New Roman"/>
                <w:color w:val="000000"/>
                <w:sz w:val="16"/>
                <w:szCs w:val="16"/>
                <w:lang w:val="ru-RU"/>
              </w:rPr>
              <w:t>депозитарно</w:t>
            </w:r>
            <w:proofErr w:type="spellEnd"/>
            <w:r w:rsidRPr="00E16672">
              <w:rPr>
                <w:rFonts w:ascii="Times New Roman" w:hAnsi="Times New Roman"/>
                <w:color w:val="000000"/>
                <w:sz w:val="16"/>
                <w:szCs w:val="16"/>
              </w:rPr>
              <w:t>ї діяльності), а Депонент зобов’язується оплатити послуги Депозитарної установи.</w:t>
            </w:r>
          </w:p>
        </w:tc>
        <w:tc>
          <w:tcPr>
            <w:tcW w:w="5494" w:type="dxa"/>
            <w:gridSpan w:val="6"/>
            <w:shd w:val="clear" w:color="auto" w:fill="auto"/>
          </w:tcPr>
          <w:p w14:paraId="3475210B" w14:textId="77777777" w:rsidR="003A05A3" w:rsidRPr="00E16672" w:rsidRDefault="003A05A3" w:rsidP="00843027">
            <w:pPr>
              <w:snapToGrid w:val="0"/>
              <w:ind w:left="145" w:right="100"/>
              <w:jc w:val="center"/>
              <w:rPr>
                <w:rFonts w:ascii="Times New Roman" w:hAnsi="Times New Roman"/>
                <w:b/>
                <w:bCs/>
                <w:color w:val="000000"/>
                <w:sz w:val="16"/>
                <w:szCs w:val="16"/>
                <w:lang w:val="en-GB"/>
              </w:rPr>
            </w:pPr>
            <w:r w:rsidRPr="00E16672">
              <w:rPr>
                <w:rFonts w:ascii="Times New Roman" w:hAnsi="Times New Roman"/>
                <w:b/>
                <w:bCs/>
                <w:color w:val="000000"/>
                <w:sz w:val="16"/>
                <w:szCs w:val="16"/>
                <w:lang w:val="en-GB"/>
              </w:rPr>
              <w:t xml:space="preserve">1. </w:t>
            </w:r>
            <w:r w:rsidRPr="00E16672">
              <w:rPr>
                <w:rFonts w:ascii="Times New Roman" w:hAnsi="Times New Roman"/>
                <w:b/>
                <w:bCs/>
                <w:caps/>
                <w:color w:val="000000"/>
                <w:sz w:val="16"/>
                <w:szCs w:val="16"/>
                <w:lang w:val="en-GB"/>
              </w:rPr>
              <w:t>SUBJECT of the AGREEMENT</w:t>
            </w:r>
            <w:r w:rsidRPr="00E16672">
              <w:rPr>
                <w:rFonts w:ascii="Times New Roman" w:hAnsi="Times New Roman"/>
                <w:b/>
                <w:bCs/>
                <w:color w:val="000000"/>
                <w:sz w:val="16"/>
                <w:szCs w:val="16"/>
                <w:lang w:val="en-GB"/>
              </w:rPr>
              <w:t>.</w:t>
            </w:r>
          </w:p>
          <w:p w14:paraId="0C816FF3" w14:textId="77777777" w:rsidR="003A05A3" w:rsidRPr="00E16672" w:rsidRDefault="003A05A3" w:rsidP="007F7C17">
            <w:pPr>
              <w:pStyle w:val="WW-0"/>
              <w:tabs>
                <w:tab w:val="left" w:pos="142"/>
                <w:tab w:val="left" w:pos="432"/>
                <w:tab w:val="left" w:pos="1080"/>
              </w:tabs>
              <w:ind w:left="145" w:right="100"/>
              <w:rPr>
                <w:rFonts w:ascii="Times New Roman" w:hAnsi="Times New Roman"/>
                <w:color w:val="000000"/>
                <w:sz w:val="16"/>
                <w:szCs w:val="16"/>
                <w:lang w:val="en-US"/>
              </w:rPr>
            </w:pPr>
            <w:r w:rsidRPr="00E16672">
              <w:rPr>
                <w:rFonts w:ascii="Times New Roman" w:hAnsi="Times New Roman"/>
                <w:color w:val="000000"/>
                <w:sz w:val="16"/>
                <w:szCs w:val="16"/>
              </w:rPr>
              <w:t xml:space="preserve">1.1.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007F7C17" w:rsidRPr="00E16672">
              <w:rPr>
                <w:rFonts w:ascii="Times New Roman" w:hAnsi="Times New Roman"/>
                <w:sz w:val="16"/>
                <w:szCs w:val="16"/>
              </w:rPr>
              <w:t>Depositоr</w:t>
            </w:r>
            <w:proofErr w:type="spellEnd"/>
            <w:r w:rsidR="007F7C17" w:rsidRPr="00E16672">
              <w:rPr>
                <w:rFonts w:ascii="Times New Roman" w:hAnsi="Times New Roman"/>
                <w:sz w:val="16"/>
                <w:szCs w:val="16"/>
              </w:rPr>
              <w:t xml:space="preserve"> </w:t>
            </w:r>
            <w:proofErr w:type="spellStart"/>
            <w:r w:rsidRPr="00E16672">
              <w:rPr>
                <w:rFonts w:ascii="Times New Roman" w:hAnsi="Times New Roman"/>
                <w:sz w:val="16"/>
                <w:szCs w:val="16"/>
              </w:rPr>
              <w:t>entrusts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and</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rPr>
              <w:t xml:space="preserve"> </w:t>
            </w:r>
            <w:r w:rsidRPr="00E16672">
              <w:rPr>
                <w:rFonts w:ascii="Times New Roman" w:hAnsi="Times New Roman"/>
                <w:color w:val="000000"/>
                <w:sz w:val="16"/>
                <w:szCs w:val="16"/>
                <w:lang w:val="en-US"/>
              </w:rPr>
              <w:t>Depository institution shall in the manner prescribed by law, internal documents of  Depository institution and this Agreement, provide for opening and servicing the account in securities of Depositor,</w:t>
            </w:r>
            <w:r w:rsidRPr="00E16672">
              <w:rPr>
                <w:rStyle w:val="WW8Num7z0"/>
                <w:rFonts w:ascii="Times New Roman" w:hAnsi="Times New Roman"/>
                <w:color w:val="000000"/>
              </w:rPr>
              <w:t xml:space="preserve"> </w:t>
            </w:r>
            <w:r w:rsidRPr="00E16672">
              <w:rPr>
                <w:rFonts w:ascii="Times New Roman" w:hAnsi="Times New Roman"/>
                <w:color w:val="000000"/>
                <w:sz w:val="16"/>
                <w:szCs w:val="16"/>
                <w:lang w:val="en-US"/>
              </w:rPr>
              <w:t xml:space="preserve">and keep it records the securities owned by the Depositor and the Depositor records of securities rights is accounted for on a securities account and limiting such rights, to conduct depository account transactions in securities on the basis of the orders of the Depositor </w:t>
            </w:r>
            <w:r w:rsidRPr="00E16672">
              <w:rPr>
                <w:rFonts w:ascii="Times New Roman" w:hAnsi="Times New Roman"/>
                <w:color w:val="000000"/>
                <w:sz w:val="16"/>
                <w:szCs w:val="16"/>
              </w:rPr>
              <w:t>(</w:t>
            </w:r>
            <w:proofErr w:type="spellStart"/>
            <w:r w:rsidRPr="00E16672">
              <w:rPr>
                <w:rStyle w:val="shorttext"/>
                <w:rFonts w:ascii="Times New Roman" w:hAnsi="Times New Roman"/>
                <w:sz w:val="16"/>
                <w:szCs w:val="16"/>
              </w:rPr>
              <w:t>subject</w:t>
            </w:r>
            <w:proofErr w:type="spellEnd"/>
            <w:r w:rsidRPr="00E16672">
              <w:rPr>
                <w:rStyle w:val="shorttext"/>
                <w:rFonts w:ascii="Times New Roman" w:hAnsi="Times New Roman"/>
                <w:sz w:val="16"/>
                <w:szCs w:val="16"/>
              </w:rPr>
              <w:t xml:space="preserve"> </w:t>
            </w:r>
            <w:proofErr w:type="spellStart"/>
            <w:r w:rsidRPr="00E16672">
              <w:rPr>
                <w:rStyle w:val="shorttext"/>
                <w:rFonts w:ascii="Times New Roman" w:hAnsi="Times New Roman"/>
                <w:sz w:val="16"/>
                <w:szCs w:val="16"/>
              </w:rPr>
              <w:t>of</w:t>
            </w:r>
            <w:proofErr w:type="spellEnd"/>
            <w:r w:rsidRPr="00E16672">
              <w:rPr>
                <w:rStyle w:val="shorttext"/>
                <w:rFonts w:ascii="Times New Roman" w:hAnsi="Times New Roman"/>
                <w:sz w:val="16"/>
                <w:szCs w:val="16"/>
              </w:rPr>
              <w:t xml:space="preserve"> </w:t>
            </w:r>
            <w:proofErr w:type="spellStart"/>
            <w:r w:rsidRPr="00E16672">
              <w:rPr>
                <w:rStyle w:val="shorttext"/>
                <w:rFonts w:ascii="Times New Roman" w:hAnsi="Times New Roman"/>
                <w:sz w:val="16"/>
                <w:szCs w:val="16"/>
              </w:rPr>
              <w:t>management</w:t>
            </w:r>
            <w:proofErr w:type="spellEnd"/>
            <w:r w:rsidRPr="00E16672">
              <w:rPr>
                <w:rFonts w:ascii="Times New Roman" w:hAnsi="Times New Roman"/>
                <w:color w:val="000000"/>
                <w:sz w:val="16"/>
                <w:szCs w:val="16"/>
              </w:rPr>
              <w:t xml:space="preserve">) </w:t>
            </w:r>
            <w:r w:rsidRPr="00E16672">
              <w:rPr>
                <w:rFonts w:ascii="Times New Roman" w:hAnsi="Times New Roman"/>
                <w:color w:val="000000"/>
                <w:sz w:val="16"/>
                <w:szCs w:val="16"/>
                <w:lang w:val="en-US"/>
              </w:rPr>
              <w:t xml:space="preserve">otherwise provided legislation and provide other services in the proceedings of the depositary in accordance with the provisions of the proceedings of the depository approved by the NCSSM on 04.23.2013, № 735, registered with the Ministry of Justice of Ukraine  on 06.27.2013, № 1084 / 23616 (hereinafter - </w:t>
            </w:r>
            <w:proofErr w:type="spellStart"/>
            <w:r w:rsidRPr="00E16672">
              <w:rPr>
                <w:rFonts w:ascii="Times New Roman" w:hAnsi="Times New Roman"/>
                <w:bCs/>
                <w:color w:val="000000"/>
                <w:sz w:val="16"/>
                <w:szCs w:val="16"/>
              </w:rPr>
              <w:t>Regulation</w:t>
            </w:r>
            <w:proofErr w:type="spellEnd"/>
            <w:r w:rsidRPr="00E16672">
              <w:rPr>
                <w:rFonts w:ascii="Times New Roman" w:hAnsi="Times New Roman"/>
                <w:bCs/>
                <w:color w:val="000000"/>
                <w:sz w:val="16"/>
                <w:szCs w:val="16"/>
              </w:rPr>
              <w:t xml:space="preserve"> </w:t>
            </w:r>
            <w:proofErr w:type="spellStart"/>
            <w:r w:rsidRPr="00E16672">
              <w:rPr>
                <w:rFonts w:ascii="Times New Roman" w:hAnsi="Times New Roman"/>
                <w:bCs/>
                <w:color w:val="000000"/>
                <w:sz w:val="16"/>
                <w:szCs w:val="16"/>
              </w:rPr>
              <w:t>on</w:t>
            </w:r>
            <w:proofErr w:type="spellEnd"/>
            <w:r w:rsidRPr="00E16672">
              <w:rPr>
                <w:rFonts w:ascii="Times New Roman" w:hAnsi="Times New Roman"/>
                <w:bCs/>
                <w:color w:val="000000"/>
                <w:sz w:val="16"/>
                <w:szCs w:val="16"/>
              </w:rPr>
              <w:t xml:space="preserve"> </w:t>
            </w:r>
            <w:proofErr w:type="spellStart"/>
            <w:r w:rsidRPr="00E16672">
              <w:rPr>
                <w:rFonts w:ascii="Times New Roman" w:hAnsi="Times New Roman"/>
                <w:bCs/>
                <w:color w:val="000000"/>
                <w:sz w:val="16"/>
                <w:szCs w:val="16"/>
              </w:rPr>
              <w:t>depository</w:t>
            </w:r>
            <w:proofErr w:type="spellEnd"/>
            <w:r w:rsidRPr="00E16672">
              <w:rPr>
                <w:rFonts w:ascii="Times New Roman" w:hAnsi="Times New Roman"/>
                <w:bCs/>
                <w:color w:val="000000"/>
                <w:sz w:val="16"/>
                <w:szCs w:val="16"/>
              </w:rPr>
              <w:t xml:space="preserve"> </w:t>
            </w:r>
            <w:proofErr w:type="spellStart"/>
            <w:r w:rsidRPr="00E16672">
              <w:rPr>
                <w:rFonts w:ascii="Times New Roman" w:hAnsi="Times New Roman"/>
                <w:bCs/>
                <w:color w:val="000000"/>
                <w:sz w:val="16"/>
                <w:szCs w:val="16"/>
              </w:rPr>
              <w:t>activities</w:t>
            </w:r>
            <w:proofErr w:type="spellEnd"/>
            <w:r w:rsidRPr="00E16672">
              <w:rPr>
                <w:rFonts w:ascii="Times New Roman" w:hAnsi="Times New Roman"/>
                <w:color w:val="000000"/>
                <w:sz w:val="16"/>
                <w:szCs w:val="16"/>
                <w:lang w:val="en-US"/>
              </w:rPr>
              <w:t>), and Depositor undertakes to pay depository institution services.</w:t>
            </w:r>
          </w:p>
        </w:tc>
      </w:tr>
      <w:tr w:rsidR="003A05A3" w:rsidRPr="00F23413" w14:paraId="13A8BB4B" w14:textId="77777777" w:rsidTr="00242F58">
        <w:trPr>
          <w:trHeight w:val="192"/>
        </w:trPr>
        <w:tc>
          <w:tcPr>
            <w:tcW w:w="5696" w:type="dxa"/>
            <w:gridSpan w:val="8"/>
            <w:shd w:val="clear" w:color="auto" w:fill="auto"/>
          </w:tcPr>
          <w:p w14:paraId="7B0469B3" w14:textId="77777777" w:rsidR="003A05A3" w:rsidRPr="00E16672" w:rsidRDefault="003A05A3" w:rsidP="00022F5F">
            <w:pPr>
              <w:pStyle w:val="WW-1"/>
              <w:snapToGrid w:val="0"/>
              <w:ind w:left="142" w:right="138"/>
              <w:jc w:val="left"/>
              <w:rPr>
                <w:i w:val="0"/>
                <w:sz w:val="16"/>
                <w:szCs w:val="16"/>
              </w:rPr>
            </w:pPr>
            <w:r w:rsidRPr="00E16672">
              <w:rPr>
                <w:i w:val="0"/>
                <w:sz w:val="16"/>
                <w:szCs w:val="16"/>
              </w:rPr>
              <w:t xml:space="preserve">1.2. </w:t>
            </w:r>
            <w:proofErr w:type="spellStart"/>
            <w:r w:rsidRPr="00E16672">
              <w:rPr>
                <w:i w:val="0"/>
                <w:sz w:val="16"/>
                <w:szCs w:val="16"/>
              </w:rPr>
              <w:t>Цінні</w:t>
            </w:r>
            <w:proofErr w:type="spellEnd"/>
            <w:r w:rsidRPr="00E16672">
              <w:rPr>
                <w:i w:val="0"/>
                <w:sz w:val="16"/>
                <w:szCs w:val="16"/>
              </w:rPr>
              <w:t xml:space="preserve"> </w:t>
            </w:r>
            <w:proofErr w:type="spellStart"/>
            <w:r w:rsidRPr="00E16672">
              <w:rPr>
                <w:i w:val="0"/>
                <w:sz w:val="16"/>
                <w:szCs w:val="16"/>
              </w:rPr>
              <w:t>папери</w:t>
            </w:r>
            <w:proofErr w:type="spellEnd"/>
            <w:r w:rsidRPr="00E16672">
              <w:rPr>
                <w:i w:val="0"/>
                <w:sz w:val="16"/>
                <w:szCs w:val="16"/>
              </w:rPr>
              <w:t xml:space="preserve"> (</w:t>
            </w:r>
            <w:proofErr w:type="spellStart"/>
            <w:r w:rsidRPr="00E16672">
              <w:rPr>
                <w:i w:val="0"/>
                <w:sz w:val="16"/>
                <w:szCs w:val="16"/>
              </w:rPr>
              <w:t>фінансовий</w:t>
            </w:r>
            <w:proofErr w:type="spellEnd"/>
            <w:r w:rsidRPr="00E16672">
              <w:rPr>
                <w:i w:val="0"/>
                <w:sz w:val="16"/>
                <w:szCs w:val="16"/>
              </w:rPr>
              <w:t xml:space="preserve"> актив) Депонента, права на </w:t>
            </w:r>
            <w:proofErr w:type="spellStart"/>
            <w:r w:rsidRPr="00E16672">
              <w:rPr>
                <w:i w:val="0"/>
                <w:sz w:val="16"/>
                <w:szCs w:val="16"/>
              </w:rPr>
              <w:t>які</w:t>
            </w:r>
            <w:proofErr w:type="spellEnd"/>
            <w:r w:rsidRPr="00E16672">
              <w:rPr>
                <w:i w:val="0"/>
                <w:sz w:val="16"/>
                <w:szCs w:val="16"/>
              </w:rPr>
              <w:t xml:space="preserve"> </w:t>
            </w:r>
            <w:proofErr w:type="spellStart"/>
            <w:r w:rsidRPr="00E16672">
              <w:rPr>
                <w:i w:val="0"/>
                <w:sz w:val="16"/>
                <w:szCs w:val="16"/>
              </w:rPr>
              <w:t>обліковуються</w:t>
            </w:r>
            <w:proofErr w:type="spellEnd"/>
            <w:r w:rsidRPr="00E16672">
              <w:rPr>
                <w:i w:val="0"/>
                <w:sz w:val="16"/>
                <w:szCs w:val="16"/>
              </w:rPr>
              <w:t xml:space="preserve"> Депозитарною </w:t>
            </w:r>
            <w:proofErr w:type="spellStart"/>
            <w:r w:rsidRPr="00E16672">
              <w:rPr>
                <w:i w:val="0"/>
                <w:sz w:val="16"/>
                <w:szCs w:val="16"/>
              </w:rPr>
              <w:t>установою</w:t>
            </w:r>
            <w:proofErr w:type="spellEnd"/>
            <w:r w:rsidRPr="00E16672">
              <w:rPr>
                <w:i w:val="0"/>
                <w:sz w:val="16"/>
                <w:szCs w:val="16"/>
              </w:rPr>
              <w:t xml:space="preserve"> </w:t>
            </w:r>
            <w:proofErr w:type="spellStart"/>
            <w:r w:rsidRPr="00E16672">
              <w:rPr>
                <w:i w:val="0"/>
                <w:sz w:val="16"/>
                <w:szCs w:val="16"/>
              </w:rPr>
              <w:t>відповідно</w:t>
            </w:r>
            <w:proofErr w:type="spellEnd"/>
            <w:r w:rsidRPr="00E16672">
              <w:rPr>
                <w:i w:val="0"/>
                <w:sz w:val="16"/>
                <w:szCs w:val="16"/>
              </w:rPr>
              <w:t xml:space="preserve"> до умов </w:t>
            </w:r>
            <w:proofErr w:type="spellStart"/>
            <w:r w:rsidRPr="00E16672">
              <w:rPr>
                <w:i w:val="0"/>
                <w:sz w:val="16"/>
                <w:szCs w:val="16"/>
              </w:rPr>
              <w:t>цього</w:t>
            </w:r>
            <w:proofErr w:type="spellEnd"/>
            <w:r w:rsidRPr="00E16672">
              <w:rPr>
                <w:i w:val="0"/>
                <w:sz w:val="16"/>
                <w:szCs w:val="16"/>
              </w:rPr>
              <w:t xml:space="preserve"> Договору, </w:t>
            </w:r>
            <w:proofErr w:type="spellStart"/>
            <w:r w:rsidRPr="00E16672">
              <w:rPr>
                <w:i w:val="0"/>
                <w:sz w:val="16"/>
                <w:szCs w:val="16"/>
              </w:rPr>
              <w:t>зберігаються</w:t>
            </w:r>
            <w:proofErr w:type="spellEnd"/>
            <w:r w:rsidRPr="00E16672">
              <w:rPr>
                <w:i w:val="0"/>
                <w:sz w:val="16"/>
                <w:szCs w:val="16"/>
              </w:rPr>
              <w:t xml:space="preserve"> </w:t>
            </w:r>
            <w:proofErr w:type="spellStart"/>
            <w:r w:rsidRPr="00E16672">
              <w:rPr>
                <w:i w:val="0"/>
                <w:sz w:val="16"/>
                <w:szCs w:val="16"/>
              </w:rPr>
              <w:t>Центральним</w:t>
            </w:r>
            <w:proofErr w:type="spellEnd"/>
            <w:r w:rsidRPr="00E16672">
              <w:rPr>
                <w:i w:val="0"/>
                <w:sz w:val="16"/>
                <w:szCs w:val="16"/>
              </w:rPr>
              <w:t xml:space="preserve"> </w:t>
            </w:r>
            <w:proofErr w:type="spellStart"/>
            <w:r w:rsidRPr="00E16672">
              <w:rPr>
                <w:i w:val="0"/>
                <w:sz w:val="16"/>
                <w:szCs w:val="16"/>
              </w:rPr>
              <w:t>депозитарієм</w:t>
            </w:r>
            <w:proofErr w:type="spellEnd"/>
            <w:r w:rsidRPr="00E16672">
              <w:rPr>
                <w:i w:val="0"/>
                <w:sz w:val="16"/>
                <w:szCs w:val="16"/>
              </w:rPr>
              <w:t xml:space="preserve"> </w:t>
            </w:r>
            <w:proofErr w:type="spellStart"/>
            <w:r w:rsidRPr="00E16672">
              <w:rPr>
                <w:i w:val="0"/>
                <w:sz w:val="16"/>
                <w:szCs w:val="16"/>
              </w:rPr>
              <w:t>цінних</w:t>
            </w:r>
            <w:proofErr w:type="spellEnd"/>
            <w:r w:rsidRPr="00E16672">
              <w:rPr>
                <w:i w:val="0"/>
                <w:sz w:val="16"/>
                <w:szCs w:val="16"/>
              </w:rPr>
              <w:t xml:space="preserve"> </w:t>
            </w:r>
            <w:proofErr w:type="spellStart"/>
            <w:r w:rsidRPr="00E16672">
              <w:rPr>
                <w:i w:val="0"/>
                <w:sz w:val="16"/>
                <w:szCs w:val="16"/>
              </w:rPr>
              <w:t>паперів</w:t>
            </w:r>
            <w:proofErr w:type="spellEnd"/>
            <w:r w:rsidRPr="00E16672">
              <w:rPr>
                <w:i w:val="0"/>
                <w:sz w:val="16"/>
                <w:szCs w:val="16"/>
              </w:rPr>
              <w:t xml:space="preserve"> </w:t>
            </w:r>
            <w:proofErr w:type="spellStart"/>
            <w:r w:rsidRPr="00E16672">
              <w:rPr>
                <w:i w:val="0"/>
                <w:sz w:val="16"/>
                <w:szCs w:val="16"/>
              </w:rPr>
              <w:t>відповідно</w:t>
            </w:r>
            <w:proofErr w:type="spellEnd"/>
            <w:r w:rsidRPr="00E16672">
              <w:rPr>
                <w:i w:val="0"/>
                <w:sz w:val="16"/>
                <w:szCs w:val="16"/>
              </w:rPr>
              <w:t xml:space="preserve"> до Закону </w:t>
            </w:r>
            <w:proofErr w:type="spellStart"/>
            <w:r w:rsidRPr="00E16672">
              <w:rPr>
                <w:i w:val="0"/>
                <w:sz w:val="16"/>
                <w:szCs w:val="16"/>
              </w:rPr>
              <w:t>України</w:t>
            </w:r>
            <w:proofErr w:type="spellEnd"/>
            <w:r w:rsidRPr="00E16672">
              <w:rPr>
                <w:i w:val="0"/>
                <w:sz w:val="16"/>
                <w:szCs w:val="16"/>
              </w:rPr>
              <w:t xml:space="preserve"> </w:t>
            </w:r>
            <w:r w:rsidR="00022F5F">
              <w:rPr>
                <w:i w:val="0"/>
                <w:sz w:val="16"/>
                <w:szCs w:val="16"/>
              </w:rPr>
              <w:t>"</w:t>
            </w:r>
            <w:r w:rsidRPr="00E16672">
              <w:rPr>
                <w:i w:val="0"/>
                <w:sz w:val="16"/>
                <w:szCs w:val="16"/>
              </w:rPr>
              <w:t xml:space="preserve">Про </w:t>
            </w:r>
            <w:proofErr w:type="spellStart"/>
            <w:r w:rsidRPr="00E16672">
              <w:rPr>
                <w:i w:val="0"/>
                <w:sz w:val="16"/>
                <w:szCs w:val="16"/>
              </w:rPr>
              <w:t>депозитарну</w:t>
            </w:r>
            <w:proofErr w:type="spellEnd"/>
            <w:r w:rsidRPr="00E16672">
              <w:rPr>
                <w:i w:val="0"/>
                <w:sz w:val="16"/>
                <w:szCs w:val="16"/>
              </w:rPr>
              <w:t xml:space="preserve"> систему </w:t>
            </w:r>
            <w:proofErr w:type="spellStart"/>
            <w:r w:rsidRPr="00E16672">
              <w:rPr>
                <w:i w:val="0"/>
                <w:sz w:val="16"/>
                <w:szCs w:val="16"/>
              </w:rPr>
              <w:t>України</w:t>
            </w:r>
            <w:proofErr w:type="spellEnd"/>
            <w:r w:rsidR="00022F5F">
              <w:rPr>
                <w:i w:val="0"/>
                <w:sz w:val="16"/>
                <w:szCs w:val="16"/>
              </w:rPr>
              <w:t>"</w:t>
            </w:r>
            <w:r w:rsidRPr="00E16672">
              <w:rPr>
                <w:i w:val="0"/>
                <w:sz w:val="16"/>
                <w:szCs w:val="16"/>
              </w:rPr>
              <w:t>.</w:t>
            </w:r>
          </w:p>
          <w:p w14:paraId="7357F8E7" w14:textId="77777777" w:rsidR="003A05A3" w:rsidRPr="00E16672" w:rsidRDefault="003A05A3" w:rsidP="00843027">
            <w:pPr>
              <w:pStyle w:val="WW-1"/>
              <w:ind w:left="142" w:right="138"/>
              <w:jc w:val="both"/>
              <w:rPr>
                <w:i w:val="0"/>
                <w:sz w:val="16"/>
                <w:szCs w:val="16"/>
              </w:rPr>
            </w:pPr>
          </w:p>
        </w:tc>
        <w:tc>
          <w:tcPr>
            <w:tcW w:w="5494" w:type="dxa"/>
            <w:gridSpan w:val="6"/>
            <w:shd w:val="clear" w:color="auto" w:fill="auto"/>
          </w:tcPr>
          <w:p w14:paraId="10F49FF2" w14:textId="77777777" w:rsidR="003A05A3" w:rsidRPr="00E16672" w:rsidRDefault="003A05A3" w:rsidP="00843027">
            <w:pPr>
              <w:pStyle w:val="WW-0"/>
              <w:snapToGrid w:val="0"/>
              <w:spacing w:after="120"/>
              <w:ind w:left="145" w:right="100"/>
              <w:rPr>
                <w:rFonts w:ascii="Times New Roman" w:hAnsi="Times New Roman"/>
                <w:sz w:val="16"/>
                <w:szCs w:val="16"/>
                <w:lang w:val="en-US"/>
              </w:rPr>
            </w:pPr>
            <w:r w:rsidRPr="00E16672">
              <w:rPr>
                <w:rFonts w:ascii="Times New Roman" w:hAnsi="Times New Roman"/>
                <w:sz w:val="16"/>
                <w:szCs w:val="16"/>
                <w:lang w:val="en-US"/>
              </w:rPr>
              <w:t>1.2. Securities (financial asset) Depositor, the rights to which are accounted for Depository institutions under this Agreement are saved by the Central Securities Depository in accordance with the Law of Ukraine "On the Depository System of Ukraine".</w:t>
            </w:r>
          </w:p>
        </w:tc>
      </w:tr>
      <w:tr w:rsidR="003A05A3" w:rsidRPr="00F23413" w14:paraId="3E1CCEC4" w14:textId="77777777" w:rsidTr="00242F58">
        <w:trPr>
          <w:trHeight w:val="192"/>
        </w:trPr>
        <w:tc>
          <w:tcPr>
            <w:tcW w:w="5696" w:type="dxa"/>
            <w:gridSpan w:val="8"/>
            <w:shd w:val="clear" w:color="auto" w:fill="auto"/>
          </w:tcPr>
          <w:p w14:paraId="4B25DE73" w14:textId="77777777" w:rsidR="003A05A3" w:rsidRPr="00E16672" w:rsidRDefault="003A05A3" w:rsidP="00843027">
            <w:pPr>
              <w:pStyle w:val="WW-1"/>
              <w:snapToGrid w:val="0"/>
              <w:ind w:left="142" w:right="138"/>
              <w:jc w:val="both"/>
              <w:rPr>
                <w:i w:val="0"/>
                <w:sz w:val="16"/>
                <w:szCs w:val="16"/>
              </w:rPr>
            </w:pPr>
            <w:r w:rsidRPr="00E16672">
              <w:rPr>
                <w:i w:val="0"/>
                <w:sz w:val="16"/>
                <w:szCs w:val="16"/>
              </w:rPr>
              <w:t xml:space="preserve">1.3. </w:t>
            </w:r>
            <w:proofErr w:type="spellStart"/>
            <w:r w:rsidRPr="00E16672">
              <w:rPr>
                <w:i w:val="0"/>
                <w:sz w:val="16"/>
                <w:szCs w:val="16"/>
              </w:rPr>
              <w:t>Виконання</w:t>
            </w:r>
            <w:proofErr w:type="spellEnd"/>
            <w:r w:rsidRPr="00E16672">
              <w:rPr>
                <w:i w:val="0"/>
                <w:sz w:val="16"/>
                <w:szCs w:val="16"/>
              </w:rPr>
              <w:t xml:space="preserve"> Депозитарною </w:t>
            </w:r>
            <w:proofErr w:type="spellStart"/>
            <w:r w:rsidRPr="00E16672">
              <w:rPr>
                <w:i w:val="0"/>
                <w:sz w:val="16"/>
                <w:szCs w:val="16"/>
              </w:rPr>
              <w:t>установою</w:t>
            </w:r>
            <w:proofErr w:type="spellEnd"/>
            <w:r w:rsidRPr="00E16672">
              <w:rPr>
                <w:i w:val="0"/>
                <w:sz w:val="16"/>
                <w:szCs w:val="16"/>
              </w:rPr>
              <w:t xml:space="preserve"> </w:t>
            </w:r>
            <w:proofErr w:type="spellStart"/>
            <w:r w:rsidRPr="00E16672">
              <w:rPr>
                <w:i w:val="0"/>
                <w:sz w:val="16"/>
                <w:szCs w:val="16"/>
              </w:rPr>
              <w:t>додаткових</w:t>
            </w:r>
            <w:proofErr w:type="spellEnd"/>
            <w:r w:rsidRPr="00E16672">
              <w:rPr>
                <w:i w:val="0"/>
                <w:sz w:val="16"/>
                <w:szCs w:val="16"/>
              </w:rPr>
              <w:t xml:space="preserve"> </w:t>
            </w:r>
            <w:proofErr w:type="spellStart"/>
            <w:r w:rsidRPr="00E16672">
              <w:rPr>
                <w:i w:val="0"/>
                <w:sz w:val="16"/>
                <w:szCs w:val="16"/>
              </w:rPr>
              <w:t>послуг</w:t>
            </w:r>
            <w:proofErr w:type="spellEnd"/>
            <w:r w:rsidRPr="00E16672">
              <w:rPr>
                <w:i w:val="0"/>
                <w:sz w:val="16"/>
                <w:szCs w:val="16"/>
              </w:rPr>
              <w:t xml:space="preserve"> та </w:t>
            </w:r>
            <w:proofErr w:type="spellStart"/>
            <w:r w:rsidRPr="00E16672">
              <w:rPr>
                <w:i w:val="0"/>
                <w:sz w:val="16"/>
                <w:szCs w:val="16"/>
              </w:rPr>
              <w:t>операцій</w:t>
            </w:r>
            <w:proofErr w:type="spellEnd"/>
            <w:r w:rsidRPr="00E16672">
              <w:rPr>
                <w:i w:val="0"/>
                <w:sz w:val="16"/>
                <w:szCs w:val="16"/>
              </w:rPr>
              <w:t xml:space="preserve">, </w:t>
            </w:r>
            <w:proofErr w:type="spellStart"/>
            <w:r w:rsidRPr="00E16672">
              <w:rPr>
                <w:i w:val="0"/>
                <w:sz w:val="16"/>
                <w:szCs w:val="16"/>
              </w:rPr>
              <w:t>що</w:t>
            </w:r>
            <w:proofErr w:type="spellEnd"/>
            <w:r w:rsidRPr="00E16672">
              <w:rPr>
                <w:i w:val="0"/>
                <w:sz w:val="16"/>
                <w:szCs w:val="16"/>
              </w:rPr>
              <w:t xml:space="preserve"> не </w:t>
            </w:r>
            <w:proofErr w:type="spellStart"/>
            <w:r w:rsidRPr="00E16672">
              <w:rPr>
                <w:i w:val="0"/>
                <w:sz w:val="16"/>
                <w:szCs w:val="16"/>
              </w:rPr>
              <w:t>суперечать</w:t>
            </w:r>
            <w:proofErr w:type="spellEnd"/>
            <w:r w:rsidRPr="00E16672">
              <w:rPr>
                <w:i w:val="0"/>
                <w:sz w:val="16"/>
                <w:szCs w:val="16"/>
              </w:rPr>
              <w:t xml:space="preserve"> чинному </w:t>
            </w:r>
            <w:proofErr w:type="spellStart"/>
            <w:r w:rsidRPr="00E16672">
              <w:rPr>
                <w:i w:val="0"/>
                <w:sz w:val="16"/>
                <w:szCs w:val="16"/>
              </w:rPr>
              <w:t>законодавству</w:t>
            </w:r>
            <w:proofErr w:type="spellEnd"/>
            <w:r w:rsidRPr="00E16672">
              <w:rPr>
                <w:i w:val="0"/>
                <w:sz w:val="16"/>
                <w:szCs w:val="16"/>
              </w:rPr>
              <w:t xml:space="preserve"> </w:t>
            </w:r>
            <w:proofErr w:type="spellStart"/>
            <w:r w:rsidRPr="00E16672">
              <w:rPr>
                <w:i w:val="0"/>
                <w:sz w:val="16"/>
                <w:szCs w:val="16"/>
              </w:rPr>
              <w:t>України</w:t>
            </w:r>
            <w:proofErr w:type="spellEnd"/>
            <w:r w:rsidRPr="00E16672">
              <w:rPr>
                <w:i w:val="0"/>
                <w:sz w:val="16"/>
                <w:szCs w:val="16"/>
              </w:rPr>
              <w:t xml:space="preserve">, </w:t>
            </w:r>
            <w:proofErr w:type="spellStart"/>
            <w:r w:rsidRPr="00E16672">
              <w:rPr>
                <w:i w:val="0"/>
                <w:sz w:val="16"/>
                <w:szCs w:val="16"/>
              </w:rPr>
              <w:t>оформлюється</w:t>
            </w:r>
            <w:proofErr w:type="spellEnd"/>
            <w:r w:rsidRPr="00E16672">
              <w:rPr>
                <w:i w:val="0"/>
                <w:sz w:val="16"/>
                <w:szCs w:val="16"/>
              </w:rPr>
              <w:t xml:space="preserve"> </w:t>
            </w:r>
            <w:proofErr w:type="spellStart"/>
            <w:r w:rsidRPr="00E16672">
              <w:rPr>
                <w:i w:val="0"/>
                <w:sz w:val="16"/>
                <w:szCs w:val="16"/>
              </w:rPr>
              <w:t>додатковими</w:t>
            </w:r>
            <w:proofErr w:type="spellEnd"/>
            <w:r w:rsidRPr="00E16672">
              <w:rPr>
                <w:i w:val="0"/>
                <w:sz w:val="16"/>
                <w:szCs w:val="16"/>
              </w:rPr>
              <w:t xml:space="preserve"> </w:t>
            </w:r>
            <w:proofErr w:type="spellStart"/>
            <w:r w:rsidRPr="00E16672">
              <w:rPr>
                <w:i w:val="0"/>
                <w:sz w:val="16"/>
                <w:szCs w:val="16"/>
              </w:rPr>
              <w:t>угодами</w:t>
            </w:r>
            <w:proofErr w:type="spellEnd"/>
            <w:r w:rsidRPr="00E16672">
              <w:rPr>
                <w:i w:val="0"/>
                <w:sz w:val="16"/>
                <w:szCs w:val="16"/>
              </w:rPr>
              <w:t xml:space="preserve">, </w:t>
            </w:r>
            <w:proofErr w:type="spellStart"/>
            <w:r w:rsidRPr="00E16672">
              <w:rPr>
                <w:i w:val="0"/>
                <w:sz w:val="16"/>
                <w:szCs w:val="16"/>
              </w:rPr>
              <w:t>які</w:t>
            </w:r>
            <w:proofErr w:type="spellEnd"/>
            <w:r w:rsidRPr="00E16672">
              <w:rPr>
                <w:i w:val="0"/>
                <w:sz w:val="16"/>
                <w:szCs w:val="16"/>
              </w:rPr>
              <w:t xml:space="preserve"> з моменту </w:t>
            </w:r>
            <w:proofErr w:type="spellStart"/>
            <w:r w:rsidRPr="00E16672">
              <w:rPr>
                <w:i w:val="0"/>
                <w:sz w:val="16"/>
                <w:szCs w:val="16"/>
              </w:rPr>
              <w:t>їх</w:t>
            </w:r>
            <w:proofErr w:type="spellEnd"/>
            <w:r w:rsidRPr="00E16672">
              <w:rPr>
                <w:i w:val="0"/>
                <w:sz w:val="16"/>
                <w:szCs w:val="16"/>
              </w:rPr>
              <w:t xml:space="preserve"> </w:t>
            </w:r>
            <w:proofErr w:type="spellStart"/>
            <w:r w:rsidRPr="00E16672">
              <w:rPr>
                <w:i w:val="0"/>
                <w:sz w:val="16"/>
                <w:szCs w:val="16"/>
              </w:rPr>
              <w:t>підписання</w:t>
            </w:r>
            <w:proofErr w:type="spellEnd"/>
            <w:r w:rsidRPr="00E16672">
              <w:rPr>
                <w:i w:val="0"/>
                <w:sz w:val="16"/>
                <w:szCs w:val="16"/>
              </w:rPr>
              <w:t xml:space="preserve"> </w:t>
            </w:r>
            <w:proofErr w:type="spellStart"/>
            <w:r w:rsidRPr="00E16672">
              <w:rPr>
                <w:i w:val="0"/>
                <w:sz w:val="16"/>
                <w:szCs w:val="16"/>
              </w:rPr>
              <w:t>стають</w:t>
            </w:r>
            <w:proofErr w:type="spellEnd"/>
            <w:r w:rsidRPr="00E16672">
              <w:rPr>
                <w:i w:val="0"/>
                <w:sz w:val="16"/>
                <w:szCs w:val="16"/>
              </w:rPr>
              <w:t xml:space="preserve"> </w:t>
            </w:r>
            <w:proofErr w:type="spellStart"/>
            <w:r w:rsidRPr="00E16672">
              <w:rPr>
                <w:i w:val="0"/>
                <w:sz w:val="16"/>
                <w:szCs w:val="16"/>
              </w:rPr>
              <w:t>невід’ємною</w:t>
            </w:r>
            <w:proofErr w:type="spellEnd"/>
            <w:r w:rsidRPr="00E16672">
              <w:rPr>
                <w:i w:val="0"/>
                <w:sz w:val="16"/>
                <w:szCs w:val="16"/>
              </w:rPr>
              <w:t xml:space="preserve"> </w:t>
            </w:r>
            <w:proofErr w:type="spellStart"/>
            <w:r w:rsidRPr="00E16672">
              <w:rPr>
                <w:i w:val="0"/>
                <w:sz w:val="16"/>
                <w:szCs w:val="16"/>
              </w:rPr>
              <w:t>частиною</w:t>
            </w:r>
            <w:proofErr w:type="spellEnd"/>
            <w:r w:rsidRPr="00E16672">
              <w:rPr>
                <w:i w:val="0"/>
                <w:sz w:val="16"/>
                <w:szCs w:val="16"/>
              </w:rPr>
              <w:t xml:space="preserve"> </w:t>
            </w:r>
            <w:proofErr w:type="spellStart"/>
            <w:r w:rsidRPr="00E16672">
              <w:rPr>
                <w:i w:val="0"/>
                <w:sz w:val="16"/>
                <w:szCs w:val="16"/>
              </w:rPr>
              <w:t>цього</w:t>
            </w:r>
            <w:proofErr w:type="spellEnd"/>
            <w:r w:rsidRPr="00E16672">
              <w:rPr>
                <w:i w:val="0"/>
                <w:sz w:val="16"/>
                <w:szCs w:val="16"/>
              </w:rPr>
              <w:t xml:space="preserve"> Договору. </w:t>
            </w:r>
          </w:p>
          <w:p w14:paraId="06D3B015" w14:textId="77777777" w:rsidR="003A05A3" w:rsidRPr="00E16672" w:rsidRDefault="003A05A3" w:rsidP="00843027">
            <w:pPr>
              <w:pStyle w:val="WW-1"/>
              <w:ind w:left="142" w:right="138"/>
              <w:jc w:val="both"/>
              <w:rPr>
                <w:i w:val="0"/>
                <w:sz w:val="16"/>
                <w:szCs w:val="16"/>
              </w:rPr>
            </w:pPr>
          </w:p>
        </w:tc>
        <w:tc>
          <w:tcPr>
            <w:tcW w:w="5494" w:type="dxa"/>
            <w:gridSpan w:val="6"/>
            <w:shd w:val="clear" w:color="auto" w:fill="auto"/>
          </w:tcPr>
          <w:p w14:paraId="0216C1FE" w14:textId="77777777" w:rsidR="003A05A3" w:rsidRPr="00E16672" w:rsidRDefault="003A05A3" w:rsidP="00843027">
            <w:pPr>
              <w:pStyle w:val="WW-0"/>
              <w:snapToGrid w:val="0"/>
              <w:spacing w:after="120"/>
              <w:ind w:left="145" w:right="100"/>
              <w:rPr>
                <w:rFonts w:ascii="Times New Roman" w:hAnsi="Times New Roman"/>
                <w:sz w:val="16"/>
                <w:szCs w:val="16"/>
                <w:lang w:val="en-GB"/>
              </w:rPr>
            </w:pPr>
            <w:r w:rsidRPr="00E16672">
              <w:rPr>
                <w:rFonts w:ascii="Times New Roman" w:hAnsi="Times New Roman"/>
                <w:sz w:val="16"/>
                <w:szCs w:val="16"/>
                <w:lang w:val="en-GB"/>
              </w:rPr>
              <w:t xml:space="preserve">1.3. Execution by </w:t>
            </w:r>
            <w:r w:rsidRPr="00E16672">
              <w:rPr>
                <w:rFonts w:ascii="Times New Roman" w:hAnsi="Times New Roman"/>
                <w:sz w:val="16"/>
                <w:szCs w:val="16"/>
                <w:lang w:val="en-US"/>
              </w:rPr>
              <w:t xml:space="preserve">Depository institution </w:t>
            </w:r>
            <w:r w:rsidRPr="00E16672">
              <w:rPr>
                <w:rFonts w:ascii="Times New Roman" w:hAnsi="Times New Roman"/>
                <w:sz w:val="16"/>
                <w:szCs w:val="16"/>
                <w:lang w:val="en-GB"/>
              </w:rPr>
              <w:t>of the additional services and operations, which are not prohibited by the current legislation of Ukraine, shall be executed as the additional agreements, that since the signing of becoming an integral part of this Agreement.</w:t>
            </w:r>
          </w:p>
        </w:tc>
      </w:tr>
      <w:tr w:rsidR="003A05A3" w:rsidRPr="00F23413" w14:paraId="40B036FA" w14:textId="77777777" w:rsidTr="00242F58">
        <w:trPr>
          <w:trHeight w:val="192"/>
        </w:trPr>
        <w:tc>
          <w:tcPr>
            <w:tcW w:w="5696" w:type="dxa"/>
            <w:gridSpan w:val="8"/>
            <w:shd w:val="clear" w:color="auto" w:fill="auto"/>
          </w:tcPr>
          <w:p w14:paraId="72351676" w14:textId="77777777" w:rsidR="003A05A3" w:rsidRPr="00E16672" w:rsidRDefault="003A05A3" w:rsidP="00843027">
            <w:pPr>
              <w:snapToGrid w:val="0"/>
              <w:ind w:left="142" w:right="138" w:firstLine="40"/>
              <w:jc w:val="center"/>
              <w:rPr>
                <w:rFonts w:ascii="Times New Roman" w:eastAsia="Arial" w:hAnsi="Times New Roman"/>
                <w:b/>
                <w:sz w:val="16"/>
                <w:szCs w:val="16"/>
              </w:rPr>
            </w:pPr>
            <w:r w:rsidRPr="00E16672">
              <w:rPr>
                <w:rFonts w:ascii="Times New Roman" w:eastAsia="Arial" w:hAnsi="Times New Roman"/>
                <w:b/>
                <w:sz w:val="16"/>
                <w:szCs w:val="16"/>
              </w:rPr>
              <w:t>2. ПРАВА ТА ОБОВ’ЯЗКИ СТОРІН.</w:t>
            </w:r>
          </w:p>
          <w:p w14:paraId="79AB94DD" w14:textId="77777777" w:rsidR="003A05A3" w:rsidRPr="00E16672" w:rsidRDefault="003A05A3" w:rsidP="00843027">
            <w:pPr>
              <w:ind w:left="142" w:right="138" w:firstLine="40"/>
              <w:rPr>
                <w:rFonts w:ascii="Times New Roman" w:eastAsia="Arial" w:hAnsi="Times New Roman"/>
                <w:sz w:val="16"/>
                <w:szCs w:val="16"/>
              </w:rPr>
            </w:pPr>
          </w:p>
          <w:p w14:paraId="467AE6FC" w14:textId="77777777" w:rsidR="003A05A3" w:rsidRPr="00E16672" w:rsidRDefault="003A05A3" w:rsidP="00843027">
            <w:pPr>
              <w:ind w:left="142" w:right="138" w:firstLine="40"/>
              <w:rPr>
                <w:rFonts w:ascii="Times New Roman" w:eastAsia="Arial" w:hAnsi="Times New Roman"/>
                <w:b/>
                <w:sz w:val="16"/>
                <w:szCs w:val="16"/>
              </w:rPr>
            </w:pPr>
            <w:r w:rsidRPr="00E16672">
              <w:rPr>
                <w:rFonts w:ascii="Times New Roman" w:eastAsia="Arial" w:hAnsi="Times New Roman"/>
                <w:b/>
                <w:sz w:val="16"/>
                <w:szCs w:val="16"/>
              </w:rPr>
              <w:t xml:space="preserve">2.1. </w:t>
            </w:r>
            <w:proofErr w:type="spellStart"/>
            <w:r w:rsidRPr="00E16672">
              <w:rPr>
                <w:rFonts w:ascii="Times New Roman" w:eastAsia="Arial" w:hAnsi="Times New Roman"/>
                <w:b/>
                <w:sz w:val="16"/>
                <w:szCs w:val="16"/>
              </w:rPr>
              <w:t>Депозитарна</w:t>
            </w:r>
            <w:proofErr w:type="spellEnd"/>
            <w:r w:rsidRPr="00E16672">
              <w:rPr>
                <w:rFonts w:ascii="Times New Roman" w:eastAsia="Arial" w:hAnsi="Times New Roman"/>
                <w:b/>
                <w:sz w:val="16"/>
                <w:szCs w:val="16"/>
              </w:rPr>
              <w:t xml:space="preserve"> </w:t>
            </w:r>
            <w:proofErr w:type="spellStart"/>
            <w:r w:rsidRPr="00E16672">
              <w:rPr>
                <w:rFonts w:ascii="Times New Roman" w:eastAsia="Arial" w:hAnsi="Times New Roman"/>
                <w:b/>
                <w:sz w:val="16"/>
                <w:szCs w:val="16"/>
              </w:rPr>
              <w:t>установа</w:t>
            </w:r>
            <w:proofErr w:type="spellEnd"/>
            <w:r w:rsidRPr="00E16672">
              <w:rPr>
                <w:rFonts w:ascii="Times New Roman" w:eastAsia="Arial" w:hAnsi="Times New Roman"/>
                <w:b/>
                <w:sz w:val="16"/>
                <w:szCs w:val="16"/>
              </w:rPr>
              <w:t xml:space="preserve"> </w:t>
            </w:r>
            <w:proofErr w:type="spellStart"/>
            <w:r w:rsidRPr="00E16672">
              <w:rPr>
                <w:rFonts w:ascii="Times New Roman" w:eastAsia="Arial" w:hAnsi="Times New Roman"/>
                <w:b/>
                <w:sz w:val="16"/>
                <w:szCs w:val="16"/>
              </w:rPr>
              <w:t>зобов’язана</w:t>
            </w:r>
            <w:proofErr w:type="spellEnd"/>
            <w:r w:rsidRPr="00E16672">
              <w:rPr>
                <w:rFonts w:ascii="Times New Roman" w:eastAsia="Arial" w:hAnsi="Times New Roman"/>
                <w:b/>
                <w:sz w:val="16"/>
                <w:szCs w:val="16"/>
              </w:rPr>
              <w:t>:</w:t>
            </w:r>
          </w:p>
          <w:p w14:paraId="73FC1F65" w14:textId="77777777" w:rsidR="003A05A3" w:rsidRPr="00E16672" w:rsidRDefault="003A05A3" w:rsidP="00843027">
            <w:pPr>
              <w:ind w:left="142" w:right="138" w:firstLine="40"/>
              <w:rPr>
                <w:rFonts w:ascii="Times New Roman" w:eastAsia="Arial" w:hAnsi="Times New Roman"/>
                <w:sz w:val="16"/>
                <w:szCs w:val="16"/>
              </w:rPr>
            </w:pPr>
          </w:p>
          <w:p w14:paraId="2A4D5B55" w14:textId="77777777" w:rsidR="003A05A3" w:rsidRPr="00E16672" w:rsidRDefault="003A05A3" w:rsidP="00843027">
            <w:pPr>
              <w:tabs>
                <w:tab w:val="left" w:pos="851"/>
              </w:tabs>
              <w:ind w:left="142" w:right="138" w:firstLine="40"/>
              <w:rPr>
                <w:rFonts w:ascii="Times New Roman" w:eastAsia="Arial" w:hAnsi="Times New Roman"/>
                <w:sz w:val="16"/>
                <w:szCs w:val="16"/>
              </w:rPr>
            </w:pPr>
            <w:r w:rsidRPr="00E16672">
              <w:rPr>
                <w:rFonts w:ascii="Times New Roman" w:eastAsia="Arial" w:hAnsi="Times New Roman"/>
                <w:sz w:val="16"/>
                <w:szCs w:val="16"/>
              </w:rPr>
              <w:t xml:space="preserve">2.1.1 </w:t>
            </w:r>
            <w:proofErr w:type="spellStart"/>
            <w:r w:rsidRPr="00E16672">
              <w:rPr>
                <w:rFonts w:ascii="Times New Roman" w:eastAsia="Arial" w:hAnsi="Times New Roman"/>
                <w:sz w:val="16"/>
                <w:szCs w:val="16"/>
              </w:rPr>
              <w:t>Відкрити</w:t>
            </w:r>
            <w:proofErr w:type="spellEnd"/>
            <w:r w:rsidRPr="00E16672">
              <w:rPr>
                <w:rFonts w:ascii="Times New Roman" w:eastAsia="Arial" w:hAnsi="Times New Roman"/>
                <w:sz w:val="16"/>
                <w:szCs w:val="16"/>
              </w:rPr>
              <w:t xml:space="preserve"> Депоненту </w:t>
            </w:r>
            <w:proofErr w:type="spellStart"/>
            <w:r w:rsidRPr="00E16672">
              <w:rPr>
                <w:rFonts w:ascii="Times New Roman" w:eastAsia="Arial" w:hAnsi="Times New Roman"/>
                <w:sz w:val="16"/>
                <w:szCs w:val="16"/>
              </w:rPr>
              <w:t>рахунок</w:t>
            </w:r>
            <w:proofErr w:type="spellEnd"/>
            <w:r w:rsidRPr="00E16672">
              <w:rPr>
                <w:rFonts w:ascii="Times New Roman" w:eastAsia="Arial" w:hAnsi="Times New Roman"/>
                <w:sz w:val="16"/>
                <w:szCs w:val="16"/>
              </w:rPr>
              <w:t xml:space="preserve"> </w:t>
            </w:r>
            <w:r w:rsidR="00C22309" w:rsidRPr="00E16672">
              <w:rPr>
                <w:rFonts w:ascii="Times New Roman" w:eastAsia="Arial" w:hAnsi="Times New Roman"/>
                <w:sz w:val="16"/>
                <w:szCs w:val="16"/>
              </w:rPr>
              <w:t xml:space="preserve">в </w:t>
            </w:r>
            <w:proofErr w:type="spellStart"/>
            <w:r w:rsidR="00C22309" w:rsidRPr="00E16672">
              <w:rPr>
                <w:rFonts w:ascii="Times New Roman" w:eastAsia="Arial" w:hAnsi="Times New Roman"/>
                <w:sz w:val="16"/>
                <w:szCs w:val="16"/>
              </w:rPr>
              <w:t>цін</w:t>
            </w:r>
            <w:r w:rsidRPr="00E16672">
              <w:rPr>
                <w:rFonts w:ascii="Times New Roman" w:eastAsia="Arial" w:hAnsi="Times New Roman"/>
                <w:sz w:val="16"/>
                <w:szCs w:val="16"/>
              </w:rPr>
              <w:t>них</w:t>
            </w:r>
            <w:proofErr w:type="spellEnd"/>
            <w:r w:rsidRPr="00E16672">
              <w:rPr>
                <w:rFonts w:ascii="Times New Roman" w:eastAsia="Arial" w:hAnsi="Times New Roman"/>
                <w:sz w:val="16"/>
                <w:szCs w:val="16"/>
              </w:rPr>
              <w:t xml:space="preserve"> </w:t>
            </w:r>
            <w:proofErr w:type="spellStart"/>
            <w:r w:rsidRPr="00E16672">
              <w:rPr>
                <w:rFonts w:ascii="Times New Roman" w:eastAsia="Arial" w:hAnsi="Times New Roman"/>
                <w:sz w:val="16"/>
                <w:szCs w:val="16"/>
              </w:rPr>
              <w:t>паперах</w:t>
            </w:r>
            <w:proofErr w:type="spellEnd"/>
            <w:r w:rsidRPr="00E16672">
              <w:rPr>
                <w:rFonts w:ascii="Times New Roman" w:eastAsia="Arial" w:hAnsi="Times New Roman"/>
                <w:sz w:val="16"/>
                <w:szCs w:val="16"/>
              </w:rPr>
              <w:t xml:space="preserve"> </w:t>
            </w:r>
            <w:proofErr w:type="spellStart"/>
            <w:r w:rsidRPr="00E16672">
              <w:rPr>
                <w:rFonts w:ascii="Times New Roman" w:eastAsia="Arial" w:hAnsi="Times New Roman"/>
                <w:i/>
                <w:sz w:val="16"/>
                <w:szCs w:val="16"/>
              </w:rPr>
              <w:t>протягом</w:t>
            </w:r>
            <w:proofErr w:type="spellEnd"/>
            <w:r w:rsidRPr="00E16672">
              <w:rPr>
                <w:rFonts w:ascii="Times New Roman" w:eastAsia="Arial" w:hAnsi="Times New Roman"/>
                <w:i/>
                <w:sz w:val="16"/>
                <w:szCs w:val="16"/>
              </w:rPr>
              <w:t xml:space="preserve"> </w:t>
            </w:r>
            <w:proofErr w:type="spellStart"/>
            <w:r w:rsidRPr="00E16672">
              <w:rPr>
                <w:rFonts w:ascii="Times New Roman" w:eastAsia="Arial" w:hAnsi="Times New Roman"/>
                <w:i/>
                <w:sz w:val="16"/>
                <w:szCs w:val="16"/>
              </w:rPr>
              <w:t>п'яти</w:t>
            </w:r>
            <w:proofErr w:type="spellEnd"/>
            <w:r w:rsidRPr="00E16672">
              <w:rPr>
                <w:rFonts w:ascii="Times New Roman" w:eastAsia="Arial" w:hAnsi="Times New Roman"/>
                <w:i/>
                <w:sz w:val="16"/>
                <w:szCs w:val="16"/>
              </w:rPr>
              <w:t xml:space="preserve"> </w:t>
            </w:r>
            <w:proofErr w:type="spellStart"/>
            <w:r w:rsidRPr="00E16672">
              <w:rPr>
                <w:rFonts w:ascii="Times New Roman" w:eastAsia="Arial" w:hAnsi="Times New Roman"/>
                <w:i/>
                <w:sz w:val="16"/>
                <w:szCs w:val="16"/>
              </w:rPr>
              <w:t>робочих</w:t>
            </w:r>
            <w:proofErr w:type="spellEnd"/>
            <w:r w:rsidRPr="00E16672">
              <w:rPr>
                <w:rFonts w:ascii="Times New Roman" w:eastAsia="Arial" w:hAnsi="Times New Roman"/>
                <w:i/>
                <w:sz w:val="16"/>
                <w:szCs w:val="16"/>
              </w:rPr>
              <w:t xml:space="preserve"> </w:t>
            </w:r>
            <w:proofErr w:type="spellStart"/>
            <w:r w:rsidRPr="00E16672">
              <w:rPr>
                <w:rFonts w:ascii="Times New Roman" w:eastAsia="Arial" w:hAnsi="Times New Roman"/>
                <w:i/>
                <w:sz w:val="16"/>
                <w:szCs w:val="16"/>
              </w:rPr>
              <w:t>днів</w:t>
            </w:r>
            <w:proofErr w:type="spellEnd"/>
            <w:r w:rsidRPr="00E16672">
              <w:rPr>
                <w:rFonts w:ascii="Times New Roman" w:eastAsia="Arial" w:hAnsi="Times New Roman"/>
                <w:sz w:val="16"/>
                <w:szCs w:val="16"/>
              </w:rPr>
              <w:t xml:space="preserve"> </w:t>
            </w:r>
            <w:proofErr w:type="spellStart"/>
            <w:r w:rsidRPr="00E16672">
              <w:rPr>
                <w:rFonts w:ascii="Times New Roman" w:eastAsia="Arial" w:hAnsi="Times New Roman"/>
                <w:sz w:val="16"/>
                <w:szCs w:val="16"/>
              </w:rPr>
              <w:t>після</w:t>
            </w:r>
            <w:proofErr w:type="spellEnd"/>
            <w:r w:rsidRPr="00E16672">
              <w:rPr>
                <w:rFonts w:ascii="Times New Roman" w:eastAsia="Arial" w:hAnsi="Times New Roman"/>
                <w:sz w:val="16"/>
                <w:szCs w:val="16"/>
              </w:rPr>
              <w:t xml:space="preserve"> </w:t>
            </w:r>
            <w:proofErr w:type="spellStart"/>
            <w:r w:rsidRPr="00E16672">
              <w:rPr>
                <w:rFonts w:ascii="Times New Roman" w:eastAsia="Arial" w:hAnsi="Times New Roman"/>
                <w:sz w:val="16"/>
                <w:szCs w:val="16"/>
              </w:rPr>
              <w:t>подання</w:t>
            </w:r>
            <w:proofErr w:type="spellEnd"/>
            <w:r w:rsidRPr="00E16672">
              <w:rPr>
                <w:rFonts w:ascii="Times New Roman" w:eastAsia="Arial" w:hAnsi="Times New Roman"/>
                <w:sz w:val="16"/>
                <w:szCs w:val="16"/>
              </w:rPr>
              <w:t xml:space="preserve"> Депонентом </w:t>
            </w:r>
            <w:proofErr w:type="spellStart"/>
            <w:r w:rsidRPr="00E16672">
              <w:rPr>
                <w:rFonts w:ascii="Times New Roman" w:eastAsia="Arial" w:hAnsi="Times New Roman"/>
                <w:sz w:val="16"/>
                <w:szCs w:val="16"/>
              </w:rPr>
              <w:t>визначених</w:t>
            </w:r>
            <w:proofErr w:type="spellEnd"/>
            <w:r w:rsidRPr="00E16672">
              <w:rPr>
                <w:rFonts w:ascii="Times New Roman" w:eastAsia="Arial" w:hAnsi="Times New Roman"/>
                <w:sz w:val="16"/>
                <w:szCs w:val="16"/>
              </w:rPr>
              <w:t xml:space="preserve"> </w:t>
            </w:r>
            <w:proofErr w:type="spellStart"/>
            <w:r w:rsidRPr="00E16672">
              <w:rPr>
                <w:rFonts w:ascii="Times New Roman" w:eastAsia="Arial" w:hAnsi="Times New Roman"/>
                <w:sz w:val="16"/>
                <w:szCs w:val="16"/>
              </w:rPr>
              <w:t>законодавством</w:t>
            </w:r>
            <w:proofErr w:type="spellEnd"/>
            <w:r w:rsidRPr="00E16672">
              <w:rPr>
                <w:rFonts w:ascii="Times New Roman" w:eastAsia="Arial" w:hAnsi="Times New Roman"/>
                <w:sz w:val="16"/>
                <w:szCs w:val="16"/>
              </w:rPr>
              <w:t xml:space="preserve"> </w:t>
            </w:r>
            <w:proofErr w:type="spellStart"/>
            <w:r w:rsidRPr="00E16672">
              <w:rPr>
                <w:rFonts w:ascii="Times New Roman" w:eastAsia="Arial" w:hAnsi="Times New Roman"/>
                <w:sz w:val="16"/>
                <w:szCs w:val="16"/>
              </w:rPr>
              <w:t>документів</w:t>
            </w:r>
            <w:proofErr w:type="spellEnd"/>
            <w:r w:rsidRPr="00E16672">
              <w:rPr>
                <w:rFonts w:ascii="Times New Roman" w:eastAsia="Arial" w:hAnsi="Times New Roman"/>
                <w:sz w:val="16"/>
                <w:szCs w:val="16"/>
              </w:rPr>
              <w:t xml:space="preserve"> для </w:t>
            </w:r>
            <w:proofErr w:type="spellStart"/>
            <w:r w:rsidRPr="00E16672">
              <w:rPr>
                <w:rFonts w:ascii="Times New Roman" w:eastAsia="Arial" w:hAnsi="Times New Roman"/>
                <w:sz w:val="16"/>
                <w:szCs w:val="16"/>
              </w:rPr>
              <w:t>відкриття</w:t>
            </w:r>
            <w:proofErr w:type="spellEnd"/>
            <w:r w:rsidRPr="00E16672">
              <w:rPr>
                <w:rFonts w:ascii="Times New Roman" w:eastAsia="Arial" w:hAnsi="Times New Roman"/>
                <w:sz w:val="16"/>
                <w:szCs w:val="16"/>
              </w:rPr>
              <w:t xml:space="preserve"> </w:t>
            </w:r>
            <w:proofErr w:type="spellStart"/>
            <w:r w:rsidRPr="00E16672">
              <w:rPr>
                <w:rFonts w:ascii="Times New Roman" w:eastAsia="Arial" w:hAnsi="Times New Roman"/>
                <w:sz w:val="16"/>
                <w:szCs w:val="16"/>
              </w:rPr>
              <w:t>рахунку</w:t>
            </w:r>
            <w:proofErr w:type="spellEnd"/>
            <w:r w:rsidRPr="00E16672">
              <w:rPr>
                <w:rFonts w:ascii="Times New Roman" w:eastAsia="Arial" w:hAnsi="Times New Roman"/>
                <w:sz w:val="16"/>
                <w:szCs w:val="16"/>
              </w:rPr>
              <w:t xml:space="preserve"> в </w:t>
            </w:r>
            <w:proofErr w:type="spellStart"/>
            <w:r w:rsidRPr="00E16672">
              <w:rPr>
                <w:rFonts w:ascii="Times New Roman" w:eastAsia="Arial" w:hAnsi="Times New Roman"/>
                <w:sz w:val="16"/>
                <w:szCs w:val="16"/>
              </w:rPr>
              <w:t>цінних</w:t>
            </w:r>
            <w:proofErr w:type="spellEnd"/>
            <w:r w:rsidRPr="00E16672">
              <w:rPr>
                <w:rFonts w:ascii="Times New Roman" w:eastAsia="Arial" w:hAnsi="Times New Roman"/>
                <w:sz w:val="16"/>
                <w:szCs w:val="16"/>
              </w:rPr>
              <w:t xml:space="preserve"> </w:t>
            </w:r>
            <w:proofErr w:type="spellStart"/>
            <w:r w:rsidRPr="00E16672">
              <w:rPr>
                <w:rFonts w:ascii="Times New Roman" w:eastAsia="Arial" w:hAnsi="Times New Roman"/>
                <w:sz w:val="16"/>
                <w:szCs w:val="16"/>
              </w:rPr>
              <w:t>паперах</w:t>
            </w:r>
            <w:proofErr w:type="spellEnd"/>
            <w:r w:rsidRPr="00E16672">
              <w:rPr>
                <w:rFonts w:ascii="Times New Roman" w:eastAsia="Arial" w:hAnsi="Times New Roman"/>
                <w:sz w:val="16"/>
                <w:szCs w:val="16"/>
              </w:rPr>
              <w:t xml:space="preserve">. </w:t>
            </w:r>
            <w:proofErr w:type="spellStart"/>
            <w:r w:rsidRPr="00E16672">
              <w:rPr>
                <w:rFonts w:ascii="Times New Roman" w:eastAsia="Arial" w:hAnsi="Times New Roman"/>
                <w:sz w:val="16"/>
                <w:szCs w:val="16"/>
              </w:rPr>
              <w:t>Якщо</w:t>
            </w:r>
            <w:proofErr w:type="spellEnd"/>
            <w:r w:rsidRPr="00E16672">
              <w:rPr>
                <w:rFonts w:ascii="Times New Roman" w:eastAsia="Arial" w:hAnsi="Times New Roman"/>
                <w:sz w:val="16"/>
                <w:szCs w:val="16"/>
              </w:rPr>
              <w:t xml:space="preserve"> Депонент є </w:t>
            </w:r>
            <w:proofErr w:type="spellStart"/>
            <w:r w:rsidRPr="00E16672">
              <w:rPr>
                <w:rFonts w:ascii="Times New Roman" w:eastAsia="Arial" w:hAnsi="Times New Roman"/>
                <w:sz w:val="16"/>
                <w:szCs w:val="16"/>
              </w:rPr>
              <w:t>платником</w:t>
            </w:r>
            <w:proofErr w:type="spellEnd"/>
            <w:r w:rsidRPr="00E16672">
              <w:rPr>
                <w:rFonts w:ascii="Times New Roman" w:eastAsia="Arial" w:hAnsi="Times New Roman"/>
                <w:sz w:val="16"/>
                <w:szCs w:val="16"/>
              </w:rPr>
              <w:t xml:space="preserve"> </w:t>
            </w:r>
            <w:proofErr w:type="spellStart"/>
            <w:r w:rsidRPr="00E16672">
              <w:rPr>
                <w:rFonts w:ascii="Times New Roman" w:eastAsia="Arial" w:hAnsi="Times New Roman"/>
                <w:sz w:val="16"/>
                <w:szCs w:val="16"/>
              </w:rPr>
              <w:t>податків</w:t>
            </w:r>
            <w:proofErr w:type="spellEnd"/>
            <w:r w:rsidRPr="00E16672">
              <w:rPr>
                <w:rFonts w:ascii="Times New Roman" w:eastAsia="Arial" w:hAnsi="Times New Roman"/>
                <w:sz w:val="16"/>
                <w:szCs w:val="16"/>
              </w:rPr>
              <w:t xml:space="preserve"> в </w:t>
            </w:r>
            <w:proofErr w:type="spellStart"/>
            <w:r w:rsidRPr="00E16672">
              <w:rPr>
                <w:rFonts w:ascii="Times New Roman" w:eastAsia="Arial" w:hAnsi="Times New Roman"/>
                <w:sz w:val="16"/>
                <w:szCs w:val="16"/>
              </w:rPr>
              <w:t>Україні</w:t>
            </w:r>
            <w:proofErr w:type="spellEnd"/>
            <w:r w:rsidRPr="00E16672">
              <w:rPr>
                <w:rFonts w:ascii="Times New Roman" w:eastAsia="Arial" w:hAnsi="Times New Roman"/>
                <w:sz w:val="16"/>
                <w:szCs w:val="16"/>
              </w:rPr>
              <w:t xml:space="preserve">, </w:t>
            </w:r>
            <w:proofErr w:type="spellStart"/>
            <w:r w:rsidRPr="00E16672">
              <w:rPr>
                <w:rFonts w:ascii="Times New Roman" w:eastAsia="Arial" w:hAnsi="Times New Roman"/>
                <w:sz w:val="16"/>
                <w:szCs w:val="16"/>
              </w:rPr>
              <w:t>видаткові</w:t>
            </w:r>
            <w:proofErr w:type="spellEnd"/>
            <w:r w:rsidRPr="00E16672">
              <w:rPr>
                <w:rFonts w:ascii="Times New Roman" w:eastAsia="Arial" w:hAnsi="Times New Roman"/>
                <w:sz w:val="16"/>
                <w:szCs w:val="16"/>
              </w:rPr>
              <w:t xml:space="preserve"> </w:t>
            </w:r>
            <w:proofErr w:type="spellStart"/>
            <w:r w:rsidRPr="00E16672">
              <w:rPr>
                <w:rFonts w:ascii="Times New Roman" w:eastAsia="Arial" w:hAnsi="Times New Roman"/>
                <w:sz w:val="16"/>
                <w:szCs w:val="16"/>
              </w:rPr>
              <w:t>операції</w:t>
            </w:r>
            <w:proofErr w:type="spellEnd"/>
            <w:r w:rsidRPr="00E16672">
              <w:rPr>
                <w:rFonts w:ascii="Times New Roman" w:eastAsia="Arial" w:hAnsi="Times New Roman"/>
                <w:sz w:val="16"/>
                <w:szCs w:val="16"/>
              </w:rPr>
              <w:t xml:space="preserve"> на </w:t>
            </w:r>
            <w:proofErr w:type="spellStart"/>
            <w:r w:rsidRPr="00E16672">
              <w:rPr>
                <w:rFonts w:ascii="Times New Roman" w:eastAsia="Arial" w:hAnsi="Times New Roman"/>
                <w:sz w:val="16"/>
                <w:szCs w:val="16"/>
              </w:rPr>
              <w:t>рахунку</w:t>
            </w:r>
            <w:proofErr w:type="spellEnd"/>
            <w:r w:rsidRPr="00E16672">
              <w:rPr>
                <w:rFonts w:ascii="Times New Roman" w:eastAsia="Arial" w:hAnsi="Times New Roman"/>
                <w:sz w:val="16"/>
                <w:szCs w:val="16"/>
              </w:rPr>
              <w:t xml:space="preserve"> </w:t>
            </w:r>
            <w:r w:rsidR="00C22309" w:rsidRPr="00E16672">
              <w:rPr>
                <w:rFonts w:ascii="Times New Roman" w:eastAsia="Arial" w:hAnsi="Times New Roman"/>
                <w:sz w:val="16"/>
                <w:szCs w:val="16"/>
              </w:rPr>
              <w:t xml:space="preserve">в </w:t>
            </w:r>
            <w:proofErr w:type="spellStart"/>
            <w:r w:rsidR="00C22309" w:rsidRPr="00E16672">
              <w:rPr>
                <w:rFonts w:ascii="Times New Roman" w:eastAsia="Arial" w:hAnsi="Times New Roman"/>
                <w:sz w:val="16"/>
                <w:szCs w:val="16"/>
              </w:rPr>
              <w:t>цін</w:t>
            </w:r>
            <w:r w:rsidRPr="00E16672">
              <w:rPr>
                <w:rFonts w:ascii="Times New Roman" w:eastAsia="Arial" w:hAnsi="Times New Roman"/>
                <w:sz w:val="16"/>
                <w:szCs w:val="16"/>
              </w:rPr>
              <w:t>них</w:t>
            </w:r>
            <w:proofErr w:type="spellEnd"/>
            <w:r w:rsidRPr="00E16672">
              <w:rPr>
                <w:rFonts w:ascii="Times New Roman" w:eastAsia="Arial" w:hAnsi="Times New Roman"/>
                <w:sz w:val="16"/>
                <w:szCs w:val="16"/>
              </w:rPr>
              <w:t xml:space="preserve"> </w:t>
            </w:r>
            <w:proofErr w:type="spellStart"/>
            <w:r w:rsidRPr="00E16672">
              <w:rPr>
                <w:rFonts w:ascii="Times New Roman" w:eastAsia="Arial" w:hAnsi="Times New Roman"/>
                <w:sz w:val="16"/>
                <w:szCs w:val="16"/>
              </w:rPr>
              <w:t>паперах</w:t>
            </w:r>
            <w:proofErr w:type="spellEnd"/>
            <w:r w:rsidRPr="00E16672">
              <w:rPr>
                <w:rFonts w:ascii="Times New Roman" w:eastAsia="Arial" w:hAnsi="Times New Roman"/>
                <w:sz w:val="16"/>
                <w:szCs w:val="16"/>
              </w:rPr>
              <w:t xml:space="preserve"> </w:t>
            </w:r>
            <w:proofErr w:type="spellStart"/>
            <w:r w:rsidRPr="00E16672">
              <w:rPr>
                <w:rFonts w:ascii="Times New Roman" w:eastAsia="Arial" w:hAnsi="Times New Roman"/>
                <w:sz w:val="16"/>
                <w:szCs w:val="16"/>
              </w:rPr>
              <w:t>здійснюються</w:t>
            </w:r>
            <w:proofErr w:type="spellEnd"/>
            <w:r w:rsidRPr="00E16672">
              <w:rPr>
                <w:rFonts w:ascii="Times New Roman" w:eastAsia="Arial" w:hAnsi="Times New Roman"/>
                <w:sz w:val="16"/>
                <w:szCs w:val="16"/>
              </w:rPr>
              <w:t xml:space="preserve"> </w:t>
            </w:r>
            <w:proofErr w:type="spellStart"/>
            <w:r w:rsidRPr="00E16672">
              <w:rPr>
                <w:rFonts w:ascii="Times New Roman" w:eastAsia="Arial" w:hAnsi="Times New Roman"/>
                <w:sz w:val="16"/>
                <w:szCs w:val="16"/>
              </w:rPr>
              <w:t>після</w:t>
            </w:r>
            <w:proofErr w:type="spellEnd"/>
            <w:r w:rsidRPr="00E16672">
              <w:rPr>
                <w:rFonts w:ascii="Times New Roman" w:eastAsia="Arial" w:hAnsi="Times New Roman"/>
                <w:sz w:val="16"/>
                <w:szCs w:val="16"/>
              </w:rPr>
              <w:t xml:space="preserve"> </w:t>
            </w:r>
            <w:proofErr w:type="spellStart"/>
            <w:r w:rsidRPr="00E16672">
              <w:rPr>
                <w:rFonts w:ascii="Times New Roman" w:eastAsia="Arial" w:hAnsi="Times New Roman"/>
                <w:sz w:val="16"/>
                <w:szCs w:val="16"/>
              </w:rPr>
              <w:t>узяття</w:t>
            </w:r>
            <w:proofErr w:type="spellEnd"/>
            <w:r w:rsidRPr="00E16672">
              <w:rPr>
                <w:rFonts w:ascii="Times New Roman" w:eastAsia="Arial" w:hAnsi="Times New Roman"/>
                <w:sz w:val="16"/>
                <w:szCs w:val="16"/>
              </w:rPr>
              <w:t xml:space="preserve"> </w:t>
            </w:r>
            <w:proofErr w:type="spellStart"/>
            <w:r w:rsidRPr="00E16672">
              <w:rPr>
                <w:rFonts w:ascii="Times New Roman" w:eastAsia="Arial" w:hAnsi="Times New Roman"/>
                <w:sz w:val="16"/>
                <w:szCs w:val="16"/>
              </w:rPr>
              <w:t>рахунку</w:t>
            </w:r>
            <w:proofErr w:type="spellEnd"/>
            <w:r w:rsidRPr="00E16672">
              <w:rPr>
                <w:rFonts w:ascii="Times New Roman" w:eastAsia="Arial" w:hAnsi="Times New Roman"/>
                <w:sz w:val="16"/>
                <w:szCs w:val="16"/>
              </w:rPr>
              <w:t xml:space="preserve"> на </w:t>
            </w:r>
            <w:proofErr w:type="spellStart"/>
            <w:r w:rsidRPr="00E16672">
              <w:rPr>
                <w:rFonts w:ascii="Times New Roman" w:eastAsia="Arial" w:hAnsi="Times New Roman"/>
                <w:sz w:val="16"/>
                <w:szCs w:val="16"/>
              </w:rPr>
              <w:t>облік</w:t>
            </w:r>
            <w:proofErr w:type="spellEnd"/>
            <w:r w:rsidRPr="00E16672">
              <w:rPr>
                <w:rFonts w:ascii="Times New Roman" w:eastAsia="Arial" w:hAnsi="Times New Roman"/>
                <w:sz w:val="16"/>
                <w:szCs w:val="16"/>
              </w:rPr>
              <w:t xml:space="preserve"> в органах </w:t>
            </w:r>
            <w:proofErr w:type="spellStart"/>
            <w:r w:rsidRPr="00E16672">
              <w:rPr>
                <w:rFonts w:ascii="Times New Roman" w:eastAsia="Arial" w:hAnsi="Times New Roman"/>
                <w:sz w:val="16"/>
                <w:szCs w:val="16"/>
              </w:rPr>
              <w:t>державної</w:t>
            </w:r>
            <w:proofErr w:type="spellEnd"/>
            <w:r w:rsidRPr="00E16672">
              <w:rPr>
                <w:rFonts w:ascii="Times New Roman" w:eastAsia="Arial" w:hAnsi="Times New Roman"/>
                <w:sz w:val="16"/>
                <w:szCs w:val="16"/>
              </w:rPr>
              <w:t xml:space="preserve"> </w:t>
            </w:r>
            <w:proofErr w:type="spellStart"/>
            <w:r w:rsidRPr="00E16672">
              <w:rPr>
                <w:rFonts w:ascii="Times New Roman" w:eastAsia="Arial" w:hAnsi="Times New Roman"/>
                <w:sz w:val="16"/>
                <w:szCs w:val="16"/>
              </w:rPr>
              <w:t>податкової</w:t>
            </w:r>
            <w:proofErr w:type="spellEnd"/>
            <w:r w:rsidRPr="00E16672">
              <w:rPr>
                <w:rFonts w:ascii="Times New Roman" w:eastAsia="Arial" w:hAnsi="Times New Roman"/>
                <w:sz w:val="16"/>
                <w:szCs w:val="16"/>
              </w:rPr>
              <w:t xml:space="preserve"> </w:t>
            </w:r>
            <w:proofErr w:type="spellStart"/>
            <w:r w:rsidRPr="00E16672">
              <w:rPr>
                <w:rFonts w:ascii="Times New Roman" w:eastAsia="Arial" w:hAnsi="Times New Roman"/>
                <w:sz w:val="16"/>
                <w:szCs w:val="16"/>
              </w:rPr>
              <w:t>служби</w:t>
            </w:r>
            <w:proofErr w:type="spellEnd"/>
            <w:r w:rsidRPr="00E16672">
              <w:rPr>
                <w:rFonts w:ascii="Times New Roman" w:eastAsia="Arial" w:hAnsi="Times New Roman"/>
                <w:sz w:val="16"/>
                <w:szCs w:val="16"/>
              </w:rPr>
              <w:t>.</w:t>
            </w:r>
          </w:p>
          <w:p w14:paraId="74B5863F" w14:textId="77777777" w:rsidR="003A05A3" w:rsidRPr="00E16672" w:rsidRDefault="003A05A3" w:rsidP="00843027">
            <w:pPr>
              <w:pStyle w:val="210"/>
              <w:ind w:left="142" w:right="138" w:firstLine="40"/>
              <w:rPr>
                <w:rFonts w:ascii="Times New Roman" w:eastAsia="Arial" w:hAnsi="Times New Roman"/>
                <w:sz w:val="16"/>
                <w:szCs w:val="16"/>
                <w:lang w:val="ru-RU"/>
              </w:rPr>
            </w:pPr>
          </w:p>
        </w:tc>
        <w:tc>
          <w:tcPr>
            <w:tcW w:w="5494" w:type="dxa"/>
            <w:gridSpan w:val="6"/>
            <w:shd w:val="clear" w:color="auto" w:fill="auto"/>
          </w:tcPr>
          <w:p w14:paraId="72EC0BD4" w14:textId="77777777" w:rsidR="003A05A3" w:rsidRPr="00E16672" w:rsidRDefault="003A05A3" w:rsidP="00843027">
            <w:pPr>
              <w:snapToGrid w:val="0"/>
              <w:ind w:left="145" w:right="100"/>
              <w:jc w:val="center"/>
              <w:rPr>
                <w:rFonts w:ascii="Times New Roman" w:hAnsi="Times New Roman"/>
                <w:b/>
                <w:bCs/>
                <w:caps/>
                <w:sz w:val="16"/>
                <w:szCs w:val="16"/>
                <w:lang w:val="en-US"/>
              </w:rPr>
            </w:pPr>
            <w:r w:rsidRPr="00E16672">
              <w:rPr>
                <w:rFonts w:ascii="Times New Roman" w:hAnsi="Times New Roman"/>
                <w:b/>
                <w:bCs/>
                <w:sz w:val="16"/>
                <w:szCs w:val="16"/>
                <w:lang w:val="en-GB"/>
              </w:rPr>
              <w:t>2</w:t>
            </w:r>
            <w:r w:rsidRPr="00E16672">
              <w:rPr>
                <w:rFonts w:ascii="Times New Roman" w:hAnsi="Times New Roman"/>
                <w:b/>
                <w:bCs/>
                <w:sz w:val="16"/>
                <w:szCs w:val="16"/>
                <w:lang w:val="en-US"/>
              </w:rPr>
              <w:t xml:space="preserve">. </w:t>
            </w:r>
            <w:r w:rsidRPr="00E16672">
              <w:rPr>
                <w:rFonts w:ascii="Times New Roman" w:hAnsi="Times New Roman"/>
                <w:b/>
                <w:bCs/>
                <w:caps/>
                <w:sz w:val="16"/>
                <w:szCs w:val="16"/>
                <w:lang w:val="en-US"/>
              </w:rPr>
              <w:t>RIGHTS and RESPONSIBILITIES of the Parties</w:t>
            </w:r>
          </w:p>
          <w:p w14:paraId="648EC869" w14:textId="77777777" w:rsidR="003A05A3" w:rsidRPr="00E16672" w:rsidRDefault="003A05A3" w:rsidP="00843027">
            <w:pPr>
              <w:ind w:left="145" w:right="100"/>
              <w:jc w:val="center"/>
              <w:rPr>
                <w:rFonts w:ascii="Times New Roman" w:hAnsi="Times New Roman"/>
                <w:b/>
                <w:bCs/>
                <w:sz w:val="16"/>
                <w:szCs w:val="16"/>
                <w:lang w:val="en-US"/>
              </w:rPr>
            </w:pPr>
          </w:p>
          <w:p w14:paraId="54AB62D9" w14:textId="77777777" w:rsidR="003A05A3" w:rsidRPr="00E16672" w:rsidRDefault="003A05A3" w:rsidP="00843027">
            <w:pPr>
              <w:ind w:left="145" w:right="100"/>
              <w:rPr>
                <w:rFonts w:ascii="Times New Roman" w:hAnsi="Times New Roman"/>
                <w:b/>
                <w:bCs/>
                <w:sz w:val="16"/>
                <w:szCs w:val="16"/>
                <w:lang w:val="en-US"/>
              </w:rPr>
            </w:pPr>
            <w:r w:rsidRPr="00E16672">
              <w:rPr>
                <w:rFonts w:ascii="Times New Roman" w:hAnsi="Times New Roman"/>
                <w:b/>
                <w:bCs/>
                <w:sz w:val="16"/>
                <w:szCs w:val="16"/>
                <w:lang w:val="en-US"/>
              </w:rPr>
              <w:t>2.1. Depository institution shall be obliged:</w:t>
            </w:r>
          </w:p>
          <w:p w14:paraId="4DFBFE97" w14:textId="77777777" w:rsidR="003A05A3" w:rsidRPr="00E16672" w:rsidRDefault="003A05A3" w:rsidP="00843027">
            <w:pPr>
              <w:ind w:left="145" w:right="100"/>
              <w:rPr>
                <w:rFonts w:ascii="Times New Roman" w:hAnsi="Times New Roman"/>
                <w:b/>
                <w:bCs/>
                <w:sz w:val="16"/>
                <w:szCs w:val="16"/>
                <w:lang w:val="en-US"/>
              </w:rPr>
            </w:pPr>
          </w:p>
          <w:p w14:paraId="5762C5F0" w14:textId="77777777" w:rsidR="003A05A3" w:rsidRPr="00E16672" w:rsidRDefault="003A05A3" w:rsidP="00843027">
            <w:pPr>
              <w:pStyle w:val="23"/>
              <w:ind w:left="145" w:right="100" w:firstLine="0"/>
              <w:rPr>
                <w:rFonts w:ascii="Times New Roman" w:eastAsia="Arial" w:hAnsi="Times New Roman"/>
                <w:sz w:val="16"/>
                <w:szCs w:val="16"/>
                <w:lang w:val="en-US"/>
              </w:rPr>
            </w:pPr>
            <w:r w:rsidRPr="00E16672">
              <w:rPr>
                <w:rFonts w:ascii="Times New Roman" w:eastAsia="Arial" w:hAnsi="Times New Roman"/>
                <w:sz w:val="16"/>
                <w:szCs w:val="16"/>
                <w:lang w:val="en-US"/>
              </w:rPr>
              <w:t xml:space="preserve">2.1.1. To open for Depositor the account in securities </w:t>
            </w:r>
            <w:r w:rsidRPr="00E16672">
              <w:rPr>
                <w:rFonts w:ascii="Times New Roman" w:eastAsia="Arial" w:hAnsi="Times New Roman"/>
                <w:i/>
                <w:sz w:val="16"/>
                <w:szCs w:val="16"/>
                <w:lang w:val="en-US"/>
              </w:rPr>
              <w:t>within five working days</w:t>
            </w:r>
            <w:r w:rsidRPr="00E16672">
              <w:rPr>
                <w:rFonts w:ascii="Times New Roman" w:eastAsia="Arial" w:hAnsi="Times New Roman"/>
                <w:sz w:val="16"/>
                <w:szCs w:val="16"/>
                <w:lang w:val="en-US"/>
              </w:rPr>
              <w:t xml:space="preserve"> after the receiving the documents, </w:t>
            </w:r>
            <w:proofErr w:type="spellStart"/>
            <w:r w:rsidRPr="00E16672">
              <w:rPr>
                <w:rFonts w:ascii="Times New Roman" w:eastAsia="Arial" w:hAnsi="Times New Roman"/>
                <w:sz w:val="16"/>
                <w:szCs w:val="16"/>
                <w:lang w:val="en-US"/>
              </w:rPr>
              <w:t>definited</w:t>
            </w:r>
            <w:proofErr w:type="spellEnd"/>
            <w:r w:rsidRPr="00E16672">
              <w:rPr>
                <w:rFonts w:ascii="Times New Roman" w:eastAsia="Arial" w:hAnsi="Times New Roman"/>
                <w:sz w:val="16"/>
                <w:szCs w:val="16"/>
                <w:lang w:val="en-US"/>
              </w:rPr>
              <w:t xml:space="preserve"> by the legislation documents for open account in securities. If the Depositor is a taxpayer in Ukraine, expenditure operations on a securities account made after taking account registered in the State Tax Service.</w:t>
            </w:r>
          </w:p>
          <w:p w14:paraId="0350754A" w14:textId="77777777" w:rsidR="003A05A3" w:rsidRPr="00E16672" w:rsidRDefault="003A05A3" w:rsidP="00843027">
            <w:pPr>
              <w:pStyle w:val="23"/>
              <w:ind w:left="145" w:right="100" w:firstLine="0"/>
              <w:rPr>
                <w:rFonts w:ascii="Times New Roman" w:hAnsi="Times New Roman"/>
                <w:sz w:val="16"/>
                <w:szCs w:val="16"/>
                <w:lang w:val="en-US"/>
              </w:rPr>
            </w:pPr>
          </w:p>
        </w:tc>
      </w:tr>
      <w:tr w:rsidR="003A05A3" w:rsidRPr="00F23413" w14:paraId="4BA000E0" w14:textId="77777777" w:rsidTr="00242F58">
        <w:trPr>
          <w:trHeight w:val="192"/>
        </w:trPr>
        <w:tc>
          <w:tcPr>
            <w:tcW w:w="5696" w:type="dxa"/>
            <w:gridSpan w:val="8"/>
            <w:shd w:val="clear" w:color="auto" w:fill="auto"/>
          </w:tcPr>
          <w:p w14:paraId="4339FD46" w14:textId="77777777" w:rsidR="003A05A3" w:rsidRPr="00E16672" w:rsidRDefault="003A05A3" w:rsidP="00843027">
            <w:pPr>
              <w:tabs>
                <w:tab w:val="left" w:pos="993"/>
              </w:tabs>
              <w:snapToGrid w:val="0"/>
              <w:ind w:left="142" w:right="138" w:firstLine="40"/>
              <w:rPr>
                <w:rFonts w:ascii="Times New Roman" w:eastAsia="Arial" w:hAnsi="Times New Roman"/>
                <w:strike/>
                <w:color w:val="FF0000"/>
                <w:sz w:val="16"/>
                <w:szCs w:val="16"/>
                <w:lang w:val="en-US"/>
              </w:rPr>
            </w:pPr>
            <w:r w:rsidRPr="00E16672">
              <w:rPr>
                <w:rFonts w:ascii="Times New Roman" w:eastAsia="Arial" w:hAnsi="Times New Roman"/>
                <w:sz w:val="16"/>
                <w:szCs w:val="16"/>
                <w:lang w:val="en-US"/>
              </w:rPr>
              <w:t xml:space="preserve">2.1.2. </w:t>
            </w:r>
            <w:r w:rsidRPr="00E16672">
              <w:rPr>
                <w:rFonts w:ascii="Times New Roman" w:hAnsi="Times New Roman"/>
                <w:sz w:val="16"/>
                <w:szCs w:val="16"/>
                <w:lang w:val="uk-UA"/>
              </w:rPr>
              <w:t>Ознайомити Депонента з внутрішніми документами (витягами з внутрішніх документів, діючими тарифами</w:t>
            </w:r>
            <w:r w:rsidRPr="00E16672">
              <w:rPr>
                <w:rFonts w:ascii="Times New Roman" w:hAnsi="Times New Roman"/>
                <w:bCs/>
                <w:sz w:val="16"/>
                <w:szCs w:val="16"/>
                <w:lang w:val="uk-UA"/>
              </w:rPr>
              <w:t xml:space="preserve"> на депозитарні операції з цінними паперами Депозитарної установи (далі – тарифи Депозитарної установи)</w:t>
            </w:r>
            <w:r w:rsidRPr="00E16672">
              <w:rPr>
                <w:rFonts w:ascii="Times New Roman" w:hAnsi="Times New Roman"/>
                <w:sz w:val="16"/>
                <w:szCs w:val="16"/>
                <w:lang w:val="uk-UA"/>
              </w:rPr>
              <w:t xml:space="preserve">, що є чинними на час підписання цього Договору) Депозитарної установи, які регламентують відносини Депонента та Депозитарної установи стосовно порядку виконання розпоряджень Депонента, отримання виписок про стан рахунку </w:t>
            </w:r>
            <w:r w:rsidR="00C22309" w:rsidRPr="00E16672">
              <w:rPr>
                <w:rFonts w:ascii="Times New Roman" w:hAnsi="Times New Roman"/>
                <w:sz w:val="16"/>
                <w:szCs w:val="16"/>
                <w:lang w:val="uk-UA"/>
              </w:rPr>
              <w:t>в цін</w:t>
            </w:r>
            <w:r w:rsidRPr="00E16672">
              <w:rPr>
                <w:rFonts w:ascii="Times New Roman" w:hAnsi="Times New Roman"/>
                <w:sz w:val="16"/>
                <w:szCs w:val="16"/>
                <w:lang w:val="uk-UA"/>
              </w:rPr>
              <w:t xml:space="preserve">них </w:t>
            </w:r>
            <w:r w:rsidRPr="00E16672">
              <w:rPr>
                <w:rFonts w:ascii="Times New Roman" w:hAnsi="Times New Roman"/>
                <w:color w:val="000000"/>
                <w:sz w:val="16"/>
                <w:szCs w:val="16"/>
                <w:lang w:val="uk-UA"/>
              </w:rPr>
              <w:t xml:space="preserve">паперах Депонента та про операції з цінними паперами, інформаційних довідок про незавершені операції з цінними паперами за рахунками в цінних паперах Депонента та інших інформаційних довідок, шляхом оприлюднення на </w:t>
            </w:r>
            <w:r w:rsidRPr="00E16672">
              <w:rPr>
                <w:rFonts w:ascii="Times New Roman" w:hAnsi="Times New Roman"/>
                <w:bCs/>
                <w:sz w:val="16"/>
                <w:szCs w:val="16"/>
                <w:lang w:val="uk-UA"/>
              </w:rPr>
              <w:t xml:space="preserve">веб-сторінці Депозитарної установи </w:t>
            </w:r>
            <w:r w:rsidR="00E16672">
              <w:rPr>
                <w:rFonts w:ascii="Times New Roman" w:hAnsi="Times New Roman"/>
                <w:color w:val="000000"/>
                <w:sz w:val="16"/>
                <w:szCs w:val="16"/>
                <w:lang w:val="uk-UA"/>
              </w:rPr>
              <w:t>http://comex.uafin.net</w:t>
            </w:r>
            <w:r w:rsidR="00676EEA" w:rsidRPr="00E16672">
              <w:rPr>
                <w:rFonts w:ascii="Times New Roman" w:hAnsi="Times New Roman"/>
                <w:color w:val="000000"/>
                <w:sz w:val="16"/>
                <w:szCs w:val="16"/>
                <w:lang w:val="uk-UA"/>
              </w:rPr>
              <w:t>/</w:t>
            </w:r>
            <w:r w:rsidRPr="00E16672">
              <w:rPr>
                <w:rFonts w:ascii="Times New Roman" w:hAnsi="Times New Roman"/>
                <w:bCs/>
                <w:sz w:val="16"/>
                <w:szCs w:val="16"/>
                <w:lang w:val="uk-UA"/>
              </w:rPr>
              <w:t xml:space="preserve">, та в подальшому ознайомлювати Депонента зі змінами та доповненнями до цих документів (витягів з внутрішніх документів, діючих тарифів Депозитарної установи) шляхом розміщення протягом </w:t>
            </w:r>
            <w:r w:rsidRPr="00E16672">
              <w:rPr>
                <w:rFonts w:ascii="Times New Roman" w:hAnsi="Times New Roman"/>
                <w:bCs/>
                <w:i/>
                <w:sz w:val="16"/>
                <w:szCs w:val="16"/>
                <w:lang w:val="uk-UA"/>
              </w:rPr>
              <w:t>п'яти</w:t>
            </w:r>
            <w:r w:rsidRPr="00E16672">
              <w:rPr>
                <w:rFonts w:ascii="Times New Roman" w:hAnsi="Times New Roman"/>
                <w:bCs/>
                <w:sz w:val="16"/>
                <w:szCs w:val="16"/>
                <w:lang w:val="uk-UA"/>
              </w:rPr>
              <w:t xml:space="preserve"> робочих днів після затвердження змін відповідної інформації та тексту внутрішніх документів (витягів з внутрішніх документів) на веб-сторінці Депозитарної установи </w:t>
            </w:r>
            <w:r w:rsidR="00E16672">
              <w:rPr>
                <w:rFonts w:ascii="Times New Roman" w:hAnsi="Times New Roman"/>
                <w:color w:val="000000"/>
                <w:sz w:val="16"/>
                <w:szCs w:val="16"/>
                <w:lang w:val="uk-UA"/>
              </w:rPr>
              <w:t>http://comex.uafin.net</w:t>
            </w:r>
            <w:r w:rsidR="00676EEA" w:rsidRPr="00E16672">
              <w:rPr>
                <w:rFonts w:ascii="Times New Roman" w:hAnsi="Times New Roman"/>
                <w:color w:val="000000"/>
                <w:sz w:val="16"/>
                <w:szCs w:val="16"/>
                <w:lang w:val="uk-UA"/>
              </w:rPr>
              <w:t>/</w:t>
            </w:r>
            <w:r w:rsidRPr="00E16672">
              <w:rPr>
                <w:rFonts w:ascii="Times New Roman" w:hAnsi="Times New Roman"/>
                <w:bCs/>
                <w:sz w:val="16"/>
                <w:szCs w:val="16"/>
                <w:lang w:val="en-US"/>
              </w:rPr>
              <w:t>.</w:t>
            </w:r>
          </w:p>
          <w:p w14:paraId="22B638DA" w14:textId="77777777" w:rsidR="003A05A3" w:rsidRPr="00E16672" w:rsidRDefault="003A05A3" w:rsidP="00843027">
            <w:pPr>
              <w:pStyle w:val="210"/>
              <w:snapToGrid w:val="0"/>
              <w:ind w:left="142" w:right="138" w:firstLine="40"/>
              <w:rPr>
                <w:rFonts w:ascii="Times New Roman" w:eastAsia="Arial" w:hAnsi="Times New Roman"/>
                <w:sz w:val="16"/>
                <w:szCs w:val="16"/>
              </w:rPr>
            </w:pPr>
          </w:p>
        </w:tc>
        <w:tc>
          <w:tcPr>
            <w:tcW w:w="5494" w:type="dxa"/>
            <w:gridSpan w:val="6"/>
            <w:shd w:val="clear" w:color="auto" w:fill="auto"/>
          </w:tcPr>
          <w:p w14:paraId="43AFD58B" w14:textId="77777777" w:rsidR="003A05A3" w:rsidRPr="00E16672" w:rsidRDefault="003A05A3" w:rsidP="00843027">
            <w:pPr>
              <w:pStyle w:val="23"/>
              <w:snapToGrid w:val="0"/>
              <w:ind w:left="145" w:right="100" w:firstLine="0"/>
              <w:rPr>
                <w:rFonts w:ascii="Times New Roman" w:eastAsia="Arial" w:hAnsi="Times New Roman"/>
                <w:sz w:val="16"/>
                <w:szCs w:val="16"/>
              </w:rPr>
            </w:pPr>
            <w:r w:rsidRPr="00E16672">
              <w:rPr>
                <w:rFonts w:ascii="Times New Roman" w:eastAsia="Arial" w:hAnsi="Times New Roman"/>
                <w:sz w:val="16"/>
                <w:szCs w:val="16"/>
                <w:lang w:val="en-US"/>
              </w:rPr>
              <w:t>2.1.2.</w:t>
            </w:r>
            <w:r w:rsidRPr="00E16672">
              <w:rPr>
                <w:rFonts w:ascii="Times New Roman" w:eastAsia="Arial" w:hAnsi="Times New Roman"/>
                <w:sz w:val="16"/>
                <w:szCs w:val="16"/>
                <w:lang w:val="en-GB"/>
              </w:rPr>
              <w:t xml:space="preserve"> </w:t>
            </w:r>
            <w:r w:rsidRPr="00E16672">
              <w:rPr>
                <w:rFonts w:ascii="Times New Roman" w:eastAsia="Arial" w:hAnsi="Times New Roman"/>
                <w:sz w:val="16"/>
                <w:szCs w:val="16"/>
                <w:lang w:val="en-US"/>
              </w:rPr>
              <w:t>To acquaint Depositor with internal documents (excerpts from internal documents, applicable tariffs</w:t>
            </w:r>
            <w:r w:rsidRPr="00E16672">
              <w:rPr>
                <w:rFonts w:ascii="Times New Roman" w:hAnsi="Times New Roman"/>
                <w:b/>
                <w:sz w:val="18"/>
                <w:szCs w:val="18"/>
                <w:lang w:val="en-US"/>
              </w:rPr>
              <w:t xml:space="preserve"> </w:t>
            </w:r>
            <w:r w:rsidRPr="00E16672">
              <w:rPr>
                <w:rFonts w:ascii="Times New Roman" w:hAnsi="Times New Roman"/>
                <w:sz w:val="16"/>
                <w:szCs w:val="18"/>
                <w:lang w:val="en-US"/>
              </w:rPr>
              <w:t>for depositary operations with securities</w:t>
            </w:r>
            <w:r w:rsidRPr="00E16672">
              <w:rPr>
                <w:rFonts w:ascii="Times New Roman" w:hAnsi="Times New Roman"/>
                <w:sz w:val="16"/>
                <w:szCs w:val="18"/>
              </w:rPr>
              <w:t xml:space="preserve"> (</w:t>
            </w:r>
            <w:r w:rsidRPr="00E16672">
              <w:rPr>
                <w:rFonts w:ascii="Times New Roman" w:hAnsi="Times New Roman"/>
                <w:sz w:val="16"/>
                <w:szCs w:val="18"/>
                <w:lang w:val="en-US"/>
              </w:rPr>
              <w:t xml:space="preserve">hereinafter - tariffs of </w:t>
            </w:r>
            <w:r w:rsidRPr="00E16672">
              <w:rPr>
                <w:rFonts w:ascii="Times New Roman" w:hAnsi="Times New Roman"/>
                <w:bCs/>
                <w:sz w:val="16"/>
                <w:szCs w:val="18"/>
                <w:lang w:val="en-US"/>
              </w:rPr>
              <w:t>Depository institution</w:t>
            </w:r>
            <w:r w:rsidRPr="00E16672">
              <w:rPr>
                <w:rFonts w:ascii="Times New Roman" w:hAnsi="Times New Roman"/>
                <w:sz w:val="16"/>
                <w:szCs w:val="18"/>
              </w:rPr>
              <w:t>)</w:t>
            </w:r>
            <w:r w:rsidRPr="00E16672">
              <w:rPr>
                <w:rFonts w:ascii="Times New Roman" w:eastAsia="Arial" w:hAnsi="Times New Roman"/>
                <w:sz w:val="14"/>
                <w:szCs w:val="16"/>
                <w:lang w:val="en-US"/>
              </w:rPr>
              <w:t xml:space="preserve"> </w:t>
            </w:r>
            <w:r w:rsidRPr="00E16672">
              <w:rPr>
                <w:rFonts w:ascii="Times New Roman" w:eastAsia="Arial" w:hAnsi="Times New Roman"/>
                <w:sz w:val="16"/>
                <w:szCs w:val="16"/>
                <w:lang w:val="en-US"/>
              </w:rPr>
              <w:t xml:space="preserve">in force at the time of signature of this Agreement) of Depository institutions that govern the relationship the Depositor and Depository institutions with regard to the order of execution of orders of Depositor, obtain extracts of account in securities of Depositor and the securities transactions, information sheets about unfinished transactions in securities on the securities account of the Depositor and other information sheets, by placement on a website of Depository institution </w:t>
            </w:r>
            <w:r w:rsidR="00E16672">
              <w:rPr>
                <w:rFonts w:ascii="Times New Roman" w:hAnsi="Times New Roman"/>
                <w:color w:val="000000"/>
                <w:sz w:val="16"/>
                <w:szCs w:val="16"/>
              </w:rPr>
              <w:t>http://comex.uafin.net</w:t>
            </w:r>
            <w:r w:rsidR="00676EEA" w:rsidRPr="00E16672">
              <w:rPr>
                <w:rFonts w:ascii="Times New Roman" w:hAnsi="Times New Roman"/>
                <w:color w:val="000000"/>
                <w:sz w:val="16"/>
                <w:szCs w:val="16"/>
              </w:rPr>
              <w:t>/</w:t>
            </w:r>
            <w:r w:rsidRPr="00E16672">
              <w:rPr>
                <w:rFonts w:ascii="Times New Roman" w:eastAsia="Arial" w:hAnsi="Times New Roman"/>
                <w:sz w:val="16"/>
                <w:szCs w:val="16"/>
                <w:lang w:val="en-US"/>
              </w:rPr>
              <w:t xml:space="preserve">, and further acquaint Depositor with changes and additions to these documents (excerpts from internal documents, current tariffs </w:t>
            </w:r>
            <w:r w:rsidRPr="00E16672">
              <w:rPr>
                <w:rFonts w:ascii="Times New Roman" w:hAnsi="Times New Roman"/>
                <w:sz w:val="16"/>
                <w:szCs w:val="18"/>
                <w:lang w:val="en-US"/>
              </w:rPr>
              <w:t xml:space="preserve">of </w:t>
            </w:r>
            <w:r w:rsidRPr="00E16672">
              <w:rPr>
                <w:rFonts w:ascii="Times New Roman" w:hAnsi="Times New Roman"/>
                <w:bCs/>
                <w:sz w:val="16"/>
                <w:szCs w:val="18"/>
                <w:lang w:val="en-US"/>
              </w:rPr>
              <w:t>Depository institution</w:t>
            </w:r>
            <w:r w:rsidRPr="00E16672">
              <w:rPr>
                <w:rFonts w:ascii="Times New Roman" w:eastAsia="Arial" w:hAnsi="Times New Roman"/>
                <w:sz w:val="16"/>
                <w:szCs w:val="16"/>
                <w:lang w:val="en-US"/>
              </w:rPr>
              <w:t>)</w:t>
            </w:r>
            <w:r w:rsidRPr="00E16672">
              <w:rPr>
                <w:rFonts w:ascii="Times New Roman" w:eastAsia="Arial" w:hAnsi="Times New Roman"/>
                <w:sz w:val="16"/>
                <w:szCs w:val="16"/>
                <w:lang w:val="en-GB"/>
              </w:rPr>
              <w:t xml:space="preserve"> </w:t>
            </w:r>
            <w:r w:rsidRPr="00E16672">
              <w:rPr>
                <w:rFonts w:ascii="Times New Roman" w:eastAsia="Arial" w:hAnsi="Times New Roman"/>
                <w:sz w:val="16"/>
                <w:szCs w:val="16"/>
                <w:lang w:val="en-US"/>
              </w:rPr>
              <w:t xml:space="preserve">by placing over </w:t>
            </w:r>
            <w:r w:rsidRPr="00E16672">
              <w:rPr>
                <w:rFonts w:ascii="Times New Roman" w:eastAsia="Arial" w:hAnsi="Times New Roman"/>
                <w:i/>
                <w:sz w:val="16"/>
                <w:szCs w:val="16"/>
                <w:lang w:val="en-US"/>
              </w:rPr>
              <w:t>five business days</w:t>
            </w:r>
            <w:r w:rsidRPr="00E16672">
              <w:rPr>
                <w:rFonts w:ascii="Times New Roman" w:eastAsia="Arial" w:hAnsi="Times New Roman"/>
                <w:sz w:val="16"/>
                <w:szCs w:val="16"/>
                <w:lang w:val="en-US"/>
              </w:rPr>
              <w:t xml:space="preserve"> after approval of changes relevant information and internal documents of text (excerpts from internal documents) on a website of Depository institution </w:t>
            </w:r>
            <w:r w:rsidR="00E16672">
              <w:rPr>
                <w:rFonts w:ascii="Times New Roman" w:hAnsi="Times New Roman"/>
                <w:color w:val="000000"/>
                <w:sz w:val="16"/>
                <w:szCs w:val="16"/>
              </w:rPr>
              <w:t>http://comex.uafin.net</w:t>
            </w:r>
            <w:r w:rsidR="00676EEA" w:rsidRPr="00E16672">
              <w:rPr>
                <w:rFonts w:ascii="Times New Roman" w:hAnsi="Times New Roman"/>
                <w:color w:val="000000"/>
                <w:sz w:val="16"/>
                <w:szCs w:val="16"/>
              </w:rPr>
              <w:t>/</w:t>
            </w:r>
            <w:r w:rsidRPr="00E16672">
              <w:rPr>
                <w:rFonts w:ascii="Times New Roman" w:eastAsia="Arial" w:hAnsi="Times New Roman"/>
                <w:sz w:val="16"/>
                <w:szCs w:val="16"/>
                <w:lang w:val="en-US"/>
              </w:rPr>
              <w:t>.</w:t>
            </w:r>
          </w:p>
        </w:tc>
      </w:tr>
      <w:tr w:rsidR="003A05A3" w:rsidRPr="00F23413" w14:paraId="1928DEAE" w14:textId="77777777" w:rsidTr="00242F58">
        <w:trPr>
          <w:trHeight w:val="192"/>
        </w:trPr>
        <w:tc>
          <w:tcPr>
            <w:tcW w:w="5696" w:type="dxa"/>
            <w:gridSpan w:val="8"/>
            <w:shd w:val="clear" w:color="auto" w:fill="auto"/>
          </w:tcPr>
          <w:p w14:paraId="544E60DF" w14:textId="77777777" w:rsidR="003A05A3" w:rsidRPr="00E16672" w:rsidRDefault="003A05A3" w:rsidP="00843027">
            <w:pPr>
              <w:tabs>
                <w:tab w:val="left" w:pos="851"/>
              </w:tabs>
              <w:snapToGrid w:val="0"/>
              <w:ind w:left="182" w:right="138" w:firstLine="0"/>
              <w:rPr>
                <w:rFonts w:ascii="Times New Roman" w:eastAsia="Arial" w:hAnsi="Times New Roman"/>
                <w:sz w:val="16"/>
                <w:szCs w:val="16"/>
              </w:rPr>
            </w:pPr>
            <w:r w:rsidRPr="00E16672">
              <w:rPr>
                <w:rFonts w:ascii="Times New Roman" w:eastAsia="Arial" w:hAnsi="Times New Roman"/>
                <w:sz w:val="16"/>
                <w:szCs w:val="16"/>
              </w:rPr>
              <w:t xml:space="preserve">2.1.3. </w:t>
            </w:r>
            <w:proofErr w:type="spellStart"/>
            <w:r w:rsidRPr="00E16672">
              <w:rPr>
                <w:rFonts w:ascii="Times New Roman" w:eastAsia="Arial" w:hAnsi="Times New Roman"/>
                <w:sz w:val="16"/>
                <w:szCs w:val="16"/>
              </w:rPr>
              <w:t>Здійснювати</w:t>
            </w:r>
            <w:proofErr w:type="spellEnd"/>
            <w:r w:rsidRPr="00E16672">
              <w:rPr>
                <w:rFonts w:ascii="Times New Roman" w:eastAsia="Arial" w:hAnsi="Times New Roman"/>
                <w:sz w:val="16"/>
                <w:szCs w:val="16"/>
              </w:rPr>
              <w:t xml:space="preserve"> </w:t>
            </w:r>
            <w:proofErr w:type="spellStart"/>
            <w:r w:rsidRPr="00E16672">
              <w:rPr>
                <w:rFonts w:ascii="Times New Roman" w:eastAsia="Arial" w:hAnsi="Times New Roman"/>
                <w:sz w:val="16"/>
                <w:szCs w:val="16"/>
              </w:rPr>
              <w:t>облік</w:t>
            </w:r>
            <w:proofErr w:type="spellEnd"/>
            <w:r w:rsidRPr="00E16672">
              <w:rPr>
                <w:rFonts w:ascii="Times New Roman" w:eastAsia="Arial" w:hAnsi="Times New Roman"/>
                <w:sz w:val="16"/>
                <w:szCs w:val="16"/>
              </w:rPr>
              <w:t xml:space="preserve"> </w:t>
            </w:r>
            <w:proofErr w:type="spellStart"/>
            <w:r w:rsidRPr="00E16672">
              <w:rPr>
                <w:rFonts w:ascii="Times New Roman" w:eastAsia="Arial" w:hAnsi="Times New Roman"/>
                <w:sz w:val="16"/>
                <w:szCs w:val="16"/>
              </w:rPr>
              <w:t>цінних</w:t>
            </w:r>
            <w:proofErr w:type="spellEnd"/>
            <w:r w:rsidRPr="00E16672">
              <w:rPr>
                <w:rFonts w:ascii="Times New Roman" w:eastAsia="Arial" w:hAnsi="Times New Roman"/>
                <w:sz w:val="16"/>
                <w:szCs w:val="16"/>
              </w:rPr>
              <w:t xml:space="preserve"> </w:t>
            </w:r>
            <w:proofErr w:type="spellStart"/>
            <w:r w:rsidRPr="00E16672">
              <w:rPr>
                <w:rFonts w:ascii="Times New Roman" w:eastAsia="Arial" w:hAnsi="Times New Roman"/>
                <w:sz w:val="16"/>
                <w:szCs w:val="16"/>
              </w:rPr>
              <w:t>паперів</w:t>
            </w:r>
            <w:proofErr w:type="spellEnd"/>
            <w:r w:rsidRPr="00E16672">
              <w:rPr>
                <w:rFonts w:ascii="Times New Roman" w:eastAsia="Arial" w:hAnsi="Times New Roman"/>
                <w:sz w:val="16"/>
                <w:szCs w:val="16"/>
              </w:rPr>
              <w:t xml:space="preserve">, </w:t>
            </w:r>
            <w:proofErr w:type="spellStart"/>
            <w:r w:rsidRPr="00E16672">
              <w:rPr>
                <w:rFonts w:ascii="Times New Roman" w:eastAsia="Arial" w:hAnsi="Times New Roman"/>
                <w:sz w:val="16"/>
                <w:szCs w:val="16"/>
              </w:rPr>
              <w:t>що</w:t>
            </w:r>
            <w:proofErr w:type="spellEnd"/>
            <w:r w:rsidRPr="00E16672">
              <w:rPr>
                <w:rFonts w:ascii="Times New Roman" w:eastAsia="Arial" w:hAnsi="Times New Roman"/>
                <w:sz w:val="16"/>
                <w:szCs w:val="16"/>
              </w:rPr>
              <w:t xml:space="preserve"> належать Депоненту, на </w:t>
            </w:r>
            <w:proofErr w:type="spellStart"/>
            <w:r w:rsidRPr="00E16672">
              <w:rPr>
                <w:rFonts w:ascii="Times New Roman" w:eastAsia="Arial" w:hAnsi="Times New Roman"/>
                <w:sz w:val="16"/>
                <w:szCs w:val="16"/>
              </w:rPr>
              <w:t>рахунку</w:t>
            </w:r>
            <w:proofErr w:type="spellEnd"/>
            <w:r w:rsidRPr="00E16672">
              <w:rPr>
                <w:rFonts w:ascii="Times New Roman" w:eastAsia="Arial" w:hAnsi="Times New Roman"/>
                <w:sz w:val="16"/>
                <w:szCs w:val="16"/>
              </w:rPr>
              <w:t xml:space="preserve"> </w:t>
            </w:r>
            <w:r w:rsidR="00C22309" w:rsidRPr="00E16672">
              <w:rPr>
                <w:rFonts w:ascii="Times New Roman" w:eastAsia="Arial" w:hAnsi="Times New Roman"/>
                <w:sz w:val="16"/>
                <w:szCs w:val="16"/>
              </w:rPr>
              <w:t xml:space="preserve">в </w:t>
            </w:r>
            <w:proofErr w:type="spellStart"/>
            <w:r w:rsidR="00C22309" w:rsidRPr="00E16672">
              <w:rPr>
                <w:rFonts w:ascii="Times New Roman" w:eastAsia="Arial" w:hAnsi="Times New Roman"/>
                <w:sz w:val="16"/>
                <w:szCs w:val="16"/>
              </w:rPr>
              <w:t>цін</w:t>
            </w:r>
            <w:r w:rsidRPr="00E16672">
              <w:rPr>
                <w:rFonts w:ascii="Times New Roman" w:eastAsia="Arial" w:hAnsi="Times New Roman"/>
                <w:sz w:val="16"/>
                <w:szCs w:val="16"/>
              </w:rPr>
              <w:t>них</w:t>
            </w:r>
            <w:proofErr w:type="spellEnd"/>
            <w:r w:rsidRPr="00E16672">
              <w:rPr>
                <w:rFonts w:ascii="Times New Roman" w:eastAsia="Arial" w:hAnsi="Times New Roman"/>
                <w:sz w:val="16"/>
                <w:szCs w:val="16"/>
              </w:rPr>
              <w:t xml:space="preserve"> </w:t>
            </w:r>
            <w:proofErr w:type="spellStart"/>
            <w:r w:rsidRPr="00E16672">
              <w:rPr>
                <w:rFonts w:ascii="Times New Roman" w:eastAsia="Arial" w:hAnsi="Times New Roman"/>
                <w:sz w:val="16"/>
                <w:szCs w:val="16"/>
              </w:rPr>
              <w:t>паперах</w:t>
            </w:r>
            <w:proofErr w:type="spellEnd"/>
            <w:r w:rsidRPr="00E16672">
              <w:rPr>
                <w:rFonts w:ascii="Times New Roman" w:eastAsia="Arial" w:hAnsi="Times New Roman"/>
                <w:sz w:val="16"/>
                <w:szCs w:val="16"/>
              </w:rPr>
              <w:t>.</w:t>
            </w:r>
          </w:p>
          <w:p w14:paraId="5DE7407F" w14:textId="77777777" w:rsidR="003A05A3" w:rsidRPr="00E16672" w:rsidRDefault="003A05A3" w:rsidP="00843027">
            <w:pPr>
              <w:pStyle w:val="22"/>
              <w:snapToGrid w:val="0"/>
              <w:ind w:left="182" w:right="138" w:firstLine="0"/>
              <w:rPr>
                <w:rFonts w:ascii="Times New Roman" w:eastAsia="Arial" w:hAnsi="Times New Roman"/>
                <w:sz w:val="16"/>
                <w:szCs w:val="16"/>
                <w:lang w:val="ru-RU"/>
              </w:rPr>
            </w:pPr>
          </w:p>
        </w:tc>
        <w:tc>
          <w:tcPr>
            <w:tcW w:w="5494" w:type="dxa"/>
            <w:gridSpan w:val="6"/>
            <w:shd w:val="clear" w:color="auto" w:fill="auto"/>
          </w:tcPr>
          <w:p w14:paraId="0BA24126" w14:textId="77777777" w:rsidR="003A05A3" w:rsidRPr="00E16672" w:rsidRDefault="003A05A3" w:rsidP="00843027">
            <w:pPr>
              <w:pStyle w:val="210"/>
              <w:snapToGrid w:val="0"/>
              <w:ind w:left="145" w:right="100" w:firstLine="0"/>
              <w:rPr>
                <w:rFonts w:ascii="Times New Roman" w:eastAsia="Arial" w:hAnsi="Times New Roman"/>
                <w:sz w:val="16"/>
                <w:szCs w:val="16"/>
                <w:lang w:val="en-US"/>
              </w:rPr>
            </w:pPr>
            <w:r w:rsidRPr="00E16672">
              <w:rPr>
                <w:rFonts w:ascii="Times New Roman" w:eastAsia="Arial" w:hAnsi="Times New Roman"/>
                <w:sz w:val="16"/>
                <w:szCs w:val="16"/>
                <w:lang w:val="en-US"/>
              </w:rPr>
              <w:t>2.1.3. To provide accounting of securities owned the Depositor</w:t>
            </w:r>
            <w:r w:rsidRPr="00E16672">
              <w:rPr>
                <w:rFonts w:ascii="Times New Roman" w:eastAsia="Arial" w:hAnsi="Times New Roman"/>
                <w:sz w:val="16"/>
                <w:szCs w:val="16"/>
                <w:lang w:val="en-GB"/>
              </w:rPr>
              <w:t xml:space="preserve"> </w:t>
            </w:r>
            <w:r w:rsidRPr="00E16672">
              <w:rPr>
                <w:rFonts w:ascii="Times New Roman" w:eastAsia="Arial" w:hAnsi="Times New Roman"/>
                <w:sz w:val="16"/>
                <w:szCs w:val="16"/>
                <w:lang w:val="en-US"/>
              </w:rPr>
              <w:t>on</w:t>
            </w:r>
            <w:r w:rsidRPr="00E16672">
              <w:rPr>
                <w:rFonts w:ascii="Times New Roman" w:eastAsia="Arial" w:hAnsi="Times New Roman"/>
                <w:sz w:val="16"/>
                <w:szCs w:val="16"/>
              </w:rPr>
              <w:t xml:space="preserve"> </w:t>
            </w:r>
            <w:r w:rsidRPr="00E16672">
              <w:rPr>
                <w:rFonts w:ascii="Times New Roman" w:eastAsia="Arial" w:hAnsi="Times New Roman"/>
                <w:sz w:val="16"/>
                <w:szCs w:val="16"/>
                <w:lang w:val="en-US"/>
              </w:rPr>
              <w:t xml:space="preserve">account ins </w:t>
            </w:r>
            <w:proofErr w:type="spellStart"/>
            <w:r w:rsidRPr="00E16672">
              <w:rPr>
                <w:rFonts w:ascii="Times New Roman" w:eastAsia="Arial" w:hAnsi="Times New Roman"/>
                <w:sz w:val="16"/>
                <w:szCs w:val="16"/>
                <w:lang w:val="en-US"/>
              </w:rPr>
              <w:t>ecurities</w:t>
            </w:r>
            <w:proofErr w:type="spellEnd"/>
            <w:r w:rsidRPr="00E16672">
              <w:rPr>
                <w:rFonts w:ascii="Times New Roman" w:eastAsia="Arial" w:hAnsi="Times New Roman"/>
                <w:sz w:val="16"/>
                <w:szCs w:val="16"/>
                <w:lang w:val="en-US"/>
              </w:rPr>
              <w:t>.</w:t>
            </w:r>
          </w:p>
          <w:p w14:paraId="6AAA0FB1" w14:textId="77777777" w:rsidR="003A05A3" w:rsidRPr="00E16672" w:rsidRDefault="003A05A3" w:rsidP="00843027">
            <w:pPr>
              <w:pStyle w:val="210"/>
              <w:snapToGrid w:val="0"/>
              <w:ind w:left="145" w:right="100" w:firstLine="0"/>
              <w:rPr>
                <w:rFonts w:ascii="Times New Roman" w:hAnsi="Times New Roman"/>
              </w:rPr>
            </w:pPr>
          </w:p>
        </w:tc>
      </w:tr>
      <w:tr w:rsidR="003A05A3" w:rsidRPr="00F23413" w14:paraId="6ADDB9E9" w14:textId="77777777" w:rsidTr="00242F58">
        <w:trPr>
          <w:trHeight w:val="192"/>
        </w:trPr>
        <w:tc>
          <w:tcPr>
            <w:tcW w:w="5696" w:type="dxa"/>
            <w:gridSpan w:val="8"/>
            <w:shd w:val="clear" w:color="auto" w:fill="auto"/>
          </w:tcPr>
          <w:p w14:paraId="4FF389D5" w14:textId="77777777" w:rsidR="003A05A3" w:rsidRPr="00E16672" w:rsidRDefault="003A05A3" w:rsidP="00022F5F">
            <w:pPr>
              <w:tabs>
                <w:tab w:val="left" w:pos="851"/>
              </w:tabs>
              <w:snapToGrid w:val="0"/>
              <w:ind w:left="182" w:right="138" w:firstLine="0"/>
              <w:jc w:val="left"/>
              <w:rPr>
                <w:rFonts w:ascii="Times New Roman" w:eastAsia="Arial" w:hAnsi="Times New Roman"/>
                <w:sz w:val="16"/>
                <w:szCs w:val="16"/>
              </w:rPr>
            </w:pPr>
            <w:r w:rsidRPr="00E16672">
              <w:rPr>
                <w:rFonts w:ascii="Times New Roman" w:eastAsia="Arial" w:hAnsi="Times New Roman"/>
                <w:sz w:val="16"/>
                <w:szCs w:val="16"/>
              </w:rPr>
              <w:t xml:space="preserve">2.1.4. </w:t>
            </w:r>
            <w:proofErr w:type="spellStart"/>
            <w:r w:rsidRPr="00E16672">
              <w:rPr>
                <w:rFonts w:ascii="Times New Roman" w:eastAsia="Arial" w:hAnsi="Times New Roman"/>
                <w:sz w:val="16"/>
                <w:szCs w:val="16"/>
              </w:rPr>
              <w:t>Здійснювати</w:t>
            </w:r>
            <w:proofErr w:type="spellEnd"/>
            <w:r w:rsidRPr="00E16672">
              <w:rPr>
                <w:rFonts w:ascii="Times New Roman" w:eastAsia="Arial" w:hAnsi="Times New Roman"/>
                <w:sz w:val="16"/>
                <w:szCs w:val="16"/>
              </w:rPr>
              <w:t xml:space="preserve"> </w:t>
            </w:r>
            <w:proofErr w:type="spellStart"/>
            <w:r w:rsidRPr="00E16672">
              <w:rPr>
                <w:rFonts w:ascii="Times New Roman" w:eastAsia="Arial" w:hAnsi="Times New Roman"/>
                <w:sz w:val="16"/>
                <w:szCs w:val="16"/>
              </w:rPr>
              <w:t>облік</w:t>
            </w:r>
            <w:proofErr w:type="spellEnd"/>
            <w:r w:rsidRPr="00E16672">
              <w:rPr>
                <w:rFonts w:ascii="Times New Roman" w:eastAsia="Arial" w:hAnsi="Times New Roman"/>
                <w:sz w:val="16"/>
                <w:szCs w:val="16"/>
              </w:rPr>
              <w:t xml:space="preserve"> прав Депонента на </w:t>
            </w:r>
            <w:proofErr w:type="spellStart"/>
            <w:r w:rsidRPr="00E16672">
              <w:rPr>
                <w:rFonts w:ascii="Times New Roman" w:eastAsia="Arial" w:hAnsi="Times New Roman"/>
                <w:sz w:val="16"/>
                <w:szCs w:val="16"/>
              </w:rPr>
              <w:t>цінні</w:t>
            </w:r>
            <w:proofErr w:type="spellEnd"/>
            <w:r w:rsidRPr="00E16672">
              <w:rPr>
                <w:rFonts w:ascii="Times New Roman" w:eastAsia="Arial" w:hAnsi="Times New Roman"/>
                <w:sz w:val="16"/>
                <w:szCs w:val="16"/>
              </w:rPr>
              <w:t xml:space="preserve"> </w:t>
            </w:r>
            <w:proofErr w:type="spellStart"/>
            <w:r w:rsidRPr="00E16672">
              <w:rPr>
                <w:rFonts w:ascii="Times New Roman" w:eastAsia="Arial" w:hAnsi="Times New Roman"/>
                <w:sz w:val="16"/>
                <w:szCs w:val="16"/>
              </w:rPr>
              <w:t>папери</w:t>
            </w:r>
            <w:proofErr w:type="spellEnd"/>
            <w:r w:rsidRPr="00E16672">
              <w:rPr>
                <w:rFonts w:ascii="Times New Roman" w:eastAsia="Arial" w:hAnsi="Times New Roman"/>
                <w:sz w:val="16"/>
                <w:szCs w:val="16"/>
              </w:rPr>
              <w:t xml:space="preserve">, </w:t>
            </w:r>
            <w:proofErr w:type="spellStart"/>
            <w:r w:rsidRPr="00E16672">
              <w:rPr>
                <w:rFonts w:ascii="Times New Roman" w:eastAsia="Arial" w:hAnsi="Times New Roman"/>
                <w:sz w:val="16"/>
                <w:szCs w:val="16"/>
              </w:rPr>
              <w:t>що</w:t>
            </w:r>
            <w:proofErr w:type="spellEnd"/>
            <w:r w:rsidRPr="00E16672">
              <w:rPr>
                <w:rFonts w:ascii="Times New Roman" w:eastAsia="Arial" w:hAnsi="Times New Roman"/>
                <w:sz w:val="16"/>
                <w:szCs w:val="16"/>
              </w:rPr>
              <w:t xml:space="preserve"> </w:t>
            </w:r>
            <w:proofErr w:type="spellStart"/>
            <w:r w:rsidRPr="00E16672">
              <w:rPr>
                <w:rFonts w:ascii="Times New Roman" w:eastAsia="Arial" w:hAnsi="Times New Roman"/>
                <w:sz w:val="16"/>
                <w:szCs w:val="16"/>
              </w:rPr>
              <w:t>обліковуються</w:t>
            </w:r>
            <w:proofErr w:type="spellEnd"/>
            <w:r w:rsidRPr="00E16672">
              <w:rPr>
                <w:rFonts w:ascii="Times New Roman" w:eastAsia="Arial" w:hAnsi="Times New Roman"/>
                <w:sz w:val="16"/>
                <w:szCs w:val="16"/>
              </w:rPr>
              <w:t xml:space="preserve"> на </w:t>
            </w:r>
            <w:r w:rsidRPr="00E16672">
              <w:rPr>
                <w:rFonts w:ascii="Times New Roman" w:eastAsia="Arial" w:hAnsi="Times New Roman"/>
                <w:sz w:val="16"/>
                <w:szCs w:val="16"/>
                <w:lang w:val="uk-UA"/>
              </w:rPr>
              <w:t>його</w:t>
            </w:r>
            <w:r w:rsidRPr="00E16672">
              <w:rPr>
                <w:rFonts w:ascii="Times New Roman" w:eastAsia="Arial" w:hAnsi="Times New Roman"/>
                <w:sz w:val="16"/>
                <w:szCs w:val="16"/>
              </w:rPr>
              <w:t xml:space="preserve"> </w:t>
            </w:r>
            <w:proofErr w:type="spellStart"/>
            <w:r w:rsidRPr="00E16672">
              <w:rPr>
                <w:rFonts w:ascii="Times New Roman" w:eastAsia="Arial" w:hAnsi="Times New Roman"/>
                <w:sz w:val="16"/>
                <w:szCs w:val="16"/>
              </w:rPr>
              <w:t>рахунку</w:t>
            </w:r>
            <w:proofErr w:type="spellEnd"/>
            <w:r w:rsidRPr="00E16672">
              <w:rPr>
                <w:rFonts w:ascii="Times New Roman" w:eastAsia="Arial" w:hAnsi="Times New Roman"/>
                <w:sz w:val="16"/>
                <w:szCs w:val="16"/>
              </w:rPr>
              <w:t xml:space="preserve"> </w:t>
            </w:r>
            <w:r w:rsidR="00C22309" w:rsidRPr="00E16672">
              <w:rPr>
                <w:rFonts w:ascii="Times New Roman" w:eastAsia="Arial" w:hAnsi="Times New Roman"/>
                <w:sz w:val="16"/>
                <w:szCs w:val="16"/>
              </w:rPr>
              <w:t xml:space="preserve">в </w:t>
            </w:r>
            <w:proofErr w:type="spellStart"/>
            <w:r w:rsidR="00C22309" w:rsidRPr="00E16672">
              <w:rPr>
                <w:rFonts w:ascii="Times New Roman" w:eastAsia="Arial" w:hAnsi="Times New Roman"/>
                <w:sz w:val="16"/>
                <w:szCs w:val="16"/>
              </w:rPr>
              <w:t>цін</w:t>
            </w:r>
            <w:r w:rsidRPr="00E16672">
              <w:rPr>
                <w:rFonts w:ascii="Times New Roman" w:eastAsia="Arial" w:hAnsi="Times New Roman"/>
                <w:sz w:val="16"/>
                <w:szCs w:val="16"/>
              </w:rPr>
              <w:t>них</w:t>
            </w:r>
            <w:proofErr w:type="spellEnd"/>
            <w:r w:rsidRPr="00E16672">
              <w:rPr>
                <w:rFonts w:ascii="Times New Roman" w:eastAsia="Arial" w:hAnsi="Times New Roman"/>
                <w:sz w:val="16"/>
                <w:szCs w:val="16"/>
              </w:rPr>
              <w:t xml:space="preserve"> </w:t>
            </w:r>
            <w:proofErr w:type="spellStart"/>
            <w:r w:rsidRPr="00E16672">
              <w:rPr>
                <w:rFonts w:ascii="Times New Roman" w:eastAsia="Arial" w:hAnsi="Times New Roman"/>
                <w:sz w:val="16"/>
                <w:szCs w:val="16"/>
              </w:rPr>
              <w:t>паперах</w:t>
            </w:r>
            <w:proofErr w:type="spellEnd"/>
            <w:r w:rsidRPr="00E16672">
              <w:rPr>
                <w:rFonts w:ascii="Times New Roman" w:eastAsia="Arial" w:hAnsi="Times New Roman"/>
                <w:sz w:val="16"/>
                <w:szCs w:val="16"/>
              </w:rPr>
              <w:t xml:space="preserve">, та </w:t>
            </w:r>
            <w:proofErr w:type="spellStart"/>
            <w:r w:rsidRPr="00E16672">
              <w:rPr>
                <w:rFonts w:ascii="Times New Roman" w:eastAsia="Arial" w:hAnsi="Times New Roman"/>
                <w:sz w:val="16"/>
                <w:szCs w:val="16"/>
              </w:rPr>
              <w:t>обмеження</w:t>
            </w:r>
            <w:proofErr w:type="spellEnd"/>
            <w:r w:rsidRPr="00E16672">
              <w:rPr>
                <w:rFonts w:ascii="Times New Roman" w:eastAsia="Arial" w:hAnsi="Times New Roman"/>
                <w:sz w:val="16"/>
                <w:szCs w:val="16"/>
              </w:rPr>
              <w:t xml:space="preserve"> таких прав, у тому </w:t>
            </w:r>
            <w:proofErr w:type="spellStart"/>
            <w:r w:rsidRPr="00E16672">
              <w:rPr>
                <w:rFonts w:ascii="Times New Roman" w:eastAsia="Arial" w:hAnsi="Times New Roman"/>
                <w:sz w:val="16"/>
                <w:szCs w:val="16"/>
              </w:rPr>
              <w:t>числі</w:t>
            </w:r>
            <w:proofErr w:type="spellEnd"/>
            <w:r w:rsidRPr="00E16672">
              <w:rPr>
                <w:rFonts w:ascii="Times New Roman" w:eastAsia="Arial" w:hAnsi="Times New Roman"/>
                <w:sz w:val="16"/>
                <w:szCs w:val="16"/>
              </w:rPr>
              <w:t xml:space="preserve"> </w:t>
            </w:r>
            <w:proofErr w:type="spellStart"/>
            <w:r w:rsidRPr="00E16672">
              <w:rPr>
                <w:rFonts w:ascii="Times New Roman" w:eastAsia="Arial" w:hAnsi="Times New Roman"/>
                <w:sz w:val="16"/>
                <w:szCs w:val="16"/>
              </w:rPr>
              <w:t>відокремлений</w:t>
            </w:r>
            <w:proofErr w:type="spellEnd"/>
            <w:r w:rsidRPr="00E16672">
              <w:rPr>
                <w:rFonts w:ascii="Times New Roman" w:eastAsia="Arial" w:hAnsi="Times New Roman"/>
                <w:sz w:val="16"/>
                <w:szCs w:val="16"/>
              </w:rPr>
              <w:t xml:space="preserve"> </w:t>
            </w:r>
            <w:proofErr w:type="spellStart"/>
            <w:r w:rsidRPr="00E16672">
              <w:rPr>
                <w:rFonts w:ascii="Times New Roman" w:eastAsia="Arial" w:hAnsi="Times New Roman"/>
                <w:sz w:val="16"/>
                <w:szCs w:val="16"/>
              </w:rPr>
              <w:t>облік</w:t>
            </w:r>
            <w:proofErr w:type="spellEnd"/>
            <w:r w:rsidRPr="00E16672">
              <w:rPr>
                <w:rFonts w:ascii="Times New Roman" w:eastAsia="Arial" w:hAnsi="Times New Roman"/>
                <w:sz w:val="16"/>
                <w:szCs w:val="16"/>
              </w:rPr>
              <w:t xml:space="preserve"> прав на </w:t>
            </w:r>
            <w:proofErr w:type="spellStart"/>
            <w:r w:rsidRPr="00E16672">
              <w:rPr>
                <w:rFonts w:ascii="Times New Roman" w:eastAsia="Arial" w:hAnsi="Times New Roman"/>
                <w:sz w:val="16"/>
                <w:szCs w:val="16"/>
              </w:rPr>
              <w:t>цінні</w:t>
            </w:r>
            <w:proofErr w:type="spellEnd"/>
            <w:r w:rsidRPr="00E16672">
              <w:rPr>
                <w:rFonts w:ascii="Times New Roman" w:eastAsia="Arial" w:hAnsi="Times New Roman"/>
                <w:sz w:val="16"/>
                <w:szCs w:val="16"/>
              </w:rPr>
              <w:t xml:space="preserve"> </w:t>
            </w:r>
            <w:proofErr w:type="spellStart"/>
            <w:r w:rsidRPr="00E16672">
              <w:rPr>
                <w:rFonts w:ascii="Times New Roman" w:eastAsia="Arial" w:hAnsi="Times New Roman"/>
                <w:sz w:val="16"/>
                <w:szCs w:val="16"/>
              </w:rPr>
              <w:t>папери</w:t>
            </w:r>
            <w:proofErr w:type="spellEnd"/>
            <w:r w:rsidRPr="00E16672">
              <w:rPr>
                <w:rFonts w:ascii="Times New Roman" w:eastAsia="Arial" w:hAnsi="Times New Roman"/>
                <w:sz w:val="16"/>
                <w:szCs w:val="16"/>
              </w:rPr>
              <w:t xml:space="preserve">, </w:t>
            </w:r>
            <w:proofErr w:type="spellStart"/>
            <w:r w:rsidRPr="00E16672">
              <w:rPr>
                <w:rFonts w:ascii="Times New Roman" w:eastAsia="Arial" w:hAnsi="Times New Roman"/>
                <w:sz w:val="16"/>
                <w:szCs w:val="16"/>
              </w:rPr>
              <w:t>які</w:t>
            </w:r>
            <w:proofErr w:type="spellEnd"/>
            <w:r w:rsidRPr="00E16672">
              <w:rPr>
                <w:rFonts w:ascii="Times New Roman" w:eastAsia="Arial" w:hAnsi="Times New Roman"/>
                <w:sz w:val="16"/>
                <w:szCs w:val="16"/>
              </w:rPr>
              <w:t xml:space="preserve"> </w:t>
            </w:r>
            <w:proofErr w:type="spellStart"/>
            <w:r w:rsidRPr="00E16672">
              <w:rPr>
                <w:rFonts w:ascii="Times New Roman" w:eastAsia="Arial" w:hAnsi="Times New Roman"/>
                <w:sz w:val="16"/>
                <w:szCs w:val="16"/>
              </w:rPr>
              <w:t>зарезервовані</w:t>
            </w:r>
            <w:proofErr w:type="spellEnd"/>
            <w:r w:rsidRPr="00E16672">
              <w:rPr>
                <w:rFonts w:ascii="Times New Roman" w:eastAsia="Arial" w:hAnsi="Times New Roman"/>
                <w:sz w:val="16"/>
                <w:szCs w:val="16"/>
              </w:rPr>
              <w:t xml:space="preserve"> для </w:t>
            </w:r>
            <w:proofErr w:type="spellStart"/>
            <w:r w:rsidRPr="00E16672">
              <w:rPr>
                <w:rFonts w:ascii="Times New Roman" w:eastAsia="Arial" w:hAnsi="Times New Roman"/>
                <w:sz w:val="16"/>
                <w:szCs w:val="16"/>
              </w:rPr>
              <w:t>здійснення</w:t>
            </w:r>
            <w:proofErr w:type="spellEnd"/>
            <w:r w:rsidRPr="00E16672">
              <w:rPr>
                <w:rFonts w:ascii="Times New Roman" w:eastAsia="Arial" w:hAnsi="Times New Roman"/>
                <w:sz w:val="16"/>
                <w:szCs w:val="16"/>
              </w:rPr>
              <w:t xml:space="preserve"> </w:t>
            </w:r>
            <w:proofErr w:type="spellStart"/>
            <w:r w:rsidRPr="00E16672">
              <w:rPr>
                <w:rFonts w:ascii="Times New Roman" w:eastAsia="Arial" w:hAnsi="Times New Roman"/>
                <w:sz w:val="16"/>
                <w:szCs w:val="16"/>
              </w:rPr>
              <w:t>розрахунків</w:t>
            </w:r>
            <w:proofErr w:type="spellEnd"/>
            <w:r w:rsidRPr="00E16672">
              <w:rPr>
                <w:rFonts w:ascii="Times New Roman" w:eastAsia="Arial" w:hAnsi="Times New Roman"/>
                <w:sz w:val="16"/>
                <w:szCs w:val="16"/>
              </w:rPr>
              <w:t xml:space="preserve"> за </w:t>
            </w:r>
            <w:proofErr w:type="spellStart"/>
            <w:r w:rsidRPr="00E16672">
              <w:rPr>
                <w:rFonts w:ascii="Times New Roman" w:eastAsia="Arial" w:hAnsi="Times New Roman"/>
                <w:sz w:val="16"/>
                <w:szCs w:val="16"/>
              </w:rPr>
              <w:t>правочинами</w:t>
            </w:r>
            <w:proofErr w:type="spellEnd"/>
            <w:r w:rsidRPr="00E16672">
              <w:rPr>
                <w:rFonts w:ascii="Times New Roman" w:eastAsia="Arial" w:hAnsi="Times New Roman"/>
                <w:sz w:val="16"/>
                <w:szCs w:val="16"/>
              </w:rPr>
              <w:t xml:space="preserve"> </w:t>
            </w:r>
            <w:proofErr w:type="spellStart"/>
            <w:r w:rsidRPr="00E16672">
              <w:rPr>
                <w:rFonts w:ascii="Times New Roman" w:eastAsia="Arial" w:hAnsi="Times New Roman"/>
                <w:sz w:val="16"/>
                <w:szCs w:val="16"/>
              </w:rPr>
              <w:t>щодо</w:t>
            </w:r>
            <w:proofErr w:type="spellEnd"/>
            <w:r w:rsidRPr="00E16672">
              <w:rPr>
                <w:rFonts w:ascii="Times New Roman" w:eastAsia="Arial" w:hAnsi="Times New Roman"/>
                <w:sz w:val="16"/>
                <w:szCs w:val="16"/>
              </w:rPr>
              <w:t xml:space="preserve"> </w:t>
            </w:r>
            <w:proofErr w:type="spellStart"/>
            <w:r w:rsidRPr="00E16672">
              <w:rPr>
                <w:rFonts w:ascii="Times New Roman" w:eastAsia="Arial" w:hAnsi="Times New Roman"/>
                <w:sz w:val="16"/>
                <w:szCs w:val="16"/>
              </w:rPr>
              <w:t>цінних</w:t>
            </w:r>
            <w:proofErr w:type="spellEnd"/>
            <w:r w:rsidRPr="00E16672">
              <w:rPr>
                <w:rFonts w:ascii="Times New Roman" w:eastAsia="Arial" w:hAnsi="Times New Roman"/>
                <w:sz w:val="16"/>
                <w:szCs w:val="16"/>
              </w:rPr>
              <w:t xml:space="preserve"> </w:t>
            </w:r>
            <w:proofErr w:type="spellStart"/>
            <w:r w:rsidRPr="00E16672">
              <w:rPr>
                <w:rFonts w:ascii="Times New Roman" w:eastAsia="Arial" w:hAnsi="Times New Roman"/>
                <w:sz w:val="16"/>
                <w:szCs w:val="16"/>
              </w:rPr>
              <w:t>паперів</w:t>
            </w:r>
            <w:proofErr w:type="spellEnd"/>
            <w:r w:rsidRPr="00E16672">
              <w:rPr>
                <w:rFonts w:ascii="Times New Roman" w:eastAsia="Arial" w:hAnsi="Times New Roman"/>
                <w:sz w:val="16"/>
                <w:szCs w:val="16"/>
              </w:rPr>
              <w:t xml:space="preserve"> з </w:t>
            </w:r>
            <w:proofErr w:type="spellStart"/>
            <w:r w:rsidRPr="00E16672">
              <w:rPr>
                <w:rFonts w:ascii="Times New Roman" w:eastAsia="Arial" w:hAnsi="Times New Roman"/>
                <w:sz w:val="16"/>
                <w:szCs w:val="16"/>
              </w:rPr>
              <w:t>дотриманням</w:t>
            </w:r>
            <w:proofErr w:type="spellEnd"/>
            <w:r w:rsidRPr="00E16672">
              <w:rPr>
                <w:rFonts w:ascii="Times New Roman" w:eastAsia="Arial" w:hAnsi="Times New Roman"/>
                <w:sz w:val="16"/>
                <w:szCs w:val="16"/>
              </w:rPr>
              <w:t xml:space="preserve"> принципу </w:t>
            </w:r>
            <w:r w:rsidR="00022F5F">
              <w:rPr>
                <w:rFonts w:ascii="Times New Roman" w:eastAsia="Arial" w:hAnsi="Times New Roman"/>
                <w:sz w:val="16"/>
                <w:szCs w:val="16"/>
              </w:rPr>
              <w:t>"</w:t>
            </w:r>
            <w:r w:rsidRPr="00E16672">
              <w:rPr>
                <w:rFonts w:ascii="Times New Roman" w:eastAsia="Arial" w:hAnsi="Times New Roman"/>
                <w:sz w:val="16"/>
                <w:szCs w:val="16"/>
              </w:rPr>
              <w:t xml:space="preserve">поставка </w:t>
            </w:r>
            <w:proofErr w:type="spellStart"/>
            <w:r w:rsidRPr="00E16672">
              <w:rPr>
                <w:rFonts w:ascii="Times New Roman" w:eastAsia="Arial" w:hAnsi="Times New Roman"/>
                <w:sz w:val="16"/>
                <w:szCs w:val="16"/>
              </w:rPr>
              <w:t>цінних</w:t>
            </w:r>
            <w:proofErr w:type="spellEnd"/>
            <w:r w:rsidRPr="00E16672">
              <w:rPr>
                <w:rFonts w:ascii="Times New Roman" w:eastAsia="Arial" w:hAnsi="Times New Roman"/>
                <w:sz w:val="16"/>
                <w:szCs w:val="16"/>
              </w:rPr>
              <w:t xml:space="preserve"> </w:t>
            </w:r>
            <w:proofErr w:type="spellStart"/>
            <w:r w:rsidRPr="00E16672">
              <w:rPr>
                <w:rFonts w:ascii="Times New Roman" w:eastAsia="Arial" w:hAnsi="Times New Roman"/>
                <w:sz w:val="16"/>
                <w:szCs w:val="16"/>
              </w:rPr>
              <w:t>паперів</w:t>
            </w:r>
            <w:proofErr w:type="spellEnd"/>
            <w:r w:rsidRPr="00E16672">
              <w:rPr>
                <w:rFonts w:ascii="Times New Roman" w:eastAsia="Arial" w:hAnsi="Times New Roman"/>
                <w:sz w:val="16"/>
                <w:szCs w:val="16"/>
              </w:rPr>
              <w:t xml:space="preserve"> </w:t>
            </w:r>
            <w:proofErr w:type="spellStart"/>
            <w:r w:rsidRPr="00E16672">
              <w:rPr>
                <w:rFonts w:ascii="Times New Roman" w:eastAsia="Arial" w:hAnsi="Times New Roman"/>
                <w:sz w:val="16"/>
                <w:szCs w:val="16"/>
              </w:rPr>
              <w:t>проти</w:t>
            </w:r>
            <w:proofErr w:type="spellEnd"/>
            <w:r w:rsidRPr="00E16672">
              <w:rPr>
                <w:rFonts w:ascii="Times New Roman" w:eastAsia="Arial" w:hAnsi="Times New Roman"/>
                <w:sz w:val="16"/>
                <w:szCs w:val="16"/>
              </w:rPr>
              <w:t xml:space="preserve"> оплати</w:t>
            </w:r>
            <w:r w:rsidR="00022F5F">
              <w:rPr>
                <w:rFonts w:ascii="Times New Roman" w:eastAsia="Arial" w:hAnsi="Times New Roman"/>
                <w:sz w:val="16"/>
                <w:szCs w:val="16"/>
              </w:rPr>
              <w:t>"</w:t>
            </w:r>
            <w:r w:rsidRPr="00E16672">
              <w:rPr>
                <w:rFonts w:ascii="Times New Roman" w:eastAsia="Arial" w:hAnsi="Times New Roman"/>
                <w:sz w:val="16"/>
                <w:szCs w:val="16"/>
              </w:rPr>
              <w:t>.</w:t>
            </w:r>
          </w:p>
          <w:p w14:paraId="4CFB9B4D" w14:textId="77777777" w:rsidR="003A05A3" w:rsidRPr="00E16672" w:rsidRDefault="003A05A3" w:rsidP="00843027">
            <w:pPr>
              <w:pStyle w:val="210"/>
              <w:snapToGrid w:val="0"/>
              <w:ind w:left="182" w:right="138" w:firstLine="0"/>
              <w:rPr>
                <w:rFonts w:ascii="Times New Roman" w:eastAsia="Arial" w:hAnsi="Times New Roman"/>
                <w:sz w:val="16"/>
                <w:szCs w:val="16"/>
                <w:lang w:val="ru-RU"/>
              </w:rPr>
            </w:pPr>
          </w:p>
        </w:tc>
        <w:tc>
          <w:tcPr>
            <w:tcW w:w="5494" w:type="dxa"/>
            <w:gridSpan w:val="6"/>
            <w:shd w:val="clear" w:color="auto" w:fill="auto"/>
          </w:tcPr>
          <w:p w14:paraId="6B81BA87" w14:textId="77777777" w:rsidR="003A05A3" w:rsidRPr="00E16672" w:rsidRDefault="003A05A3" w:rsidP="00843027">
            <w:pPr>
              <w:pStyle w:val="210"/>
              <w:snapToGrid w:val="0"/>
              <w:ind w:left="145" w:right="100" w:firstLine="0"/>
              <w:rPr>
                <w:rFonts w:ascii="Times New Roman" w:eastAsia="Arial" w:hAnsi="Times New Roman"/>
                <w:sz w:val="16"/>
                <w:szCs w:val="16"/>
                <w:lang w:val="en-US"/>
              </w:rPr>
            </w:pPr>
            <w:r w:rsidRPr="00E16672">
              <w:rPr>
                <w:rFonts w:ascii="Times New Roman" w:eastAsia="Arial" w:hAnsi="Times New Roman"/>
                <w:sz w:val="16"/>
                <w:szCs w:val="16"/>
                <w:lang w:val="en-US"/>
              </w:rPr>
              <w:t xml:space="preserve">2.1.4. To provide accounting of the rights of Depositor’s securities registered </w:t>
            </w:r>
            <w:proofErr w:type="gramStart"/>
            <w:r w:rsidRPr="00E16672">
              <w:rPr>
                <w:rFonts w:ascii="Times New Roman" w:eastAsia="Arial" w:hAnsi="Times New Roman"/>
                <w:sz w:val="16"/>
                <w:szCs w:val="16"/>
                <w:lang w:val="en-US"/>
              </w:rPr>
              <w:t>on  the</w:t>
            </w:r>
            <w:proofErr w:type="gramEnd"/>
            <w:r w:rsidRPr="00E16672">
              <w:rPr>
                <w:rFonts w:ascii="Times New Roman" w:eastAsia="Arial" w:hAnsi="Times New Roman"/>
                <w:sz w:val="16"/>
                <w:szCs w:val="16"/>
                <w:lang w:val="en-US"/>
              </w:rPr>
              <w:t xml:space="preserve"> account in securities, and restrictions of such rights, including separate accounting of securities that are reserved for settlement of legal actions in securities with the principle of "supply of securities against payment".</w:t>
            </w:r>
          </w:p>
        </w:tc>
      </w:tr>
      <w:tr w:rsidR="003A05A3" w:rsidRPr="00F23413" w14:paraId="6F28EB47" w14:textId="77777777" w:rsidTr="00242F58">
        <w:trPr>
          <w:trHeight w:val="988"/>
        </w:trPr>
        <w:tc>
          <w:tcPr>
            <w:tcW w:w="5696" w:type="dxa"/>
            <w:gridSpan w:val="8"/>
            <w:shd w:val="clear" w:color="auto" w:fill="auto"/>
          </w:tcPr>
          <w:p w14:paraId="57321D00" w14:textId="77777777" w:rsidR="003A05A3" w:rsidRPr="00E16672" w:rsidRDefault="003A05A3" w:rsidP="00843027">
            <w:pPr>
              <w:tabs>
                <w:tab w:val="left" w:pos="851"/>
              </w:tabs>
              <w:snapToGrid w:val="0"/>
              <w:ind w:left="182" w:firstLine="0"/>
              <w:rPr>
                <w:rFonts w:ascii="Times New Roman" w:eastAsia="Arial" w:hAnsi="Times New Roman"/>
                <w:color w:val="000000"/>
                <w:sz w:val="16"/>
                <w:szCs w:val="16"/>
              </w:rPr>
            </w:pPr>
            <w:r w:rsidRPr="00E16672">
              <w:rPr>
                <w:rFonts w:ascii="Times New Roman" w:hAnsi="Times New Roman"/>
                <w:color w:val="000000"/>
                <w:sz w:val="16"/>
                <w:szCs w:val="16"/>
              </w:rPr>
              <w:lastRenderedPageBreak/>
              <w:t xml:space="preserve">2.1.5. </w:t>
            </w:r>
            <w:proofErr w:type="spellStart"/>
            <w:r w:rsidRPr="00E16672">
              <w:rPr>
                <w:rFonts w:ascii="Times New Roman" w:hAnsi="Times New Roman"/>
                <w:color w:val="000000"/>
                <w:sz w:val="16"/>
                <w:szCs w:val="16"/>
              </w:rPr>
              <w:t>Здійснювати</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обслуговування</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обіг</w:t>
            </w:r>
            <w:r w:rsidR="00C22309" w:rsidRPr="00E16672">
              <w:rPr>
                <w:rFonts w:ascii="Times New Roman" w:hAnsi="Times New Roman"/>
                <w:color w:val="000000"/>
                <w:sz w:val="16"/>
                <w:szCs w:val="16"/>
              </w:rPr>
              <w:t>в</w:t>
            </w:r>
            <w:proofErr w:type="spellEnd"/>
            <w:r w:rsidR="00C22309" w:rsidRPr="00E16672">
              <w:rPr>
                <w:rFonts w:ascii="Times New Roman" w:hAnsi="Times New Roman"/>
                <w:color w:val="000000"/>
                <w:sz w:val="16"/>
                <w:szCs w:val="16"/>
              </w:rPr>
              <w:t xml:space="preserve"> </w:t>
            </w:r>
            <w:proofErr w:type="spellStart"/>
            <w:r w:rsidR="00C22309" w:rsidRPr="00E16672">
              <w:rPr>
                <w:rFonts w:ascii="Times New Roman" w:hAnsi="Times New Roman"/>
                <w:color w:val="000000"/>
                <w:sz w:val="16"/>
                <w:szCs w:val="16"/>
              </w:rPr>
              <w:t>цін</w:t>
            </w:r>
            <w:r w:rsidRPr="00E16672">
              <w:rPr>
                <w:rFonts w:ascii="Times New Roman" w:hAnsi="Times New Roman"/>
                <w:color w:val="000000"/>
                <w:sz w:val="16"/>
                <w:szCs w:val="16"/>
              </w:rPr>
              <w:t>них</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паперів</w:t>
            </w:r>
            <w:proofErr w:type="spellEnd"/>
            <w:r w:rsidRPr="00E16672">
              <w:rPr>
                <w:rFonts w:ascii="Times New Roman" w:hAnsi="Times New Roman"/>
                <w:color w:val="000000"/>
                <w:sz w:val="16"/>
                <w:szCs w:val="16"/>
              </w:rPr>
              <w:t xml:space="preserve"> на </w:t>
            </w:r>
            <w:proofErr w:type="spellStart"/>
            <w:r w:rsidRPr="00E16672">
              <w:rPr>
                <w:rFonts w:ascii="Times New Roman" w:hAnsi="Times New Roman"/>
                <w:color w:val="000000"/>
                <w:sz w:val="16"/>
                <w:szCs w:val="16"/>
              </w:rPr>
              <w:t>рахунку</w:t>
            </w:r>
            <w:proofErr w:type="spellEnd"/>
            <w:r w:rsidRPr="00E16672">
              <w:rPr>
                <w:rFonts w:ascii="Times New Roman" w:hAnsi="Times New Roman"/>
                <w:color w:val="000000"/>
                <w:sz w:val="16"/>
                <w:szCs w:val="16"/>
              </w:rPr>
              <w:t xml:space="preserve"> </w:t>
            </w:r>
            <w:r w:rsidR="00C22309" w:rsidRPr="00E16672">
              <w:rPr>
                <w:rFonts w:ascii="Times New Roman" w:hAnsi="Times New Roman"/>
                <w:color w:val="000000"/>
                <w:sz w:val="16"/>
                <w:szCs w:val="16"/>
              </w:rPr>
              <w:t xml:space="preserve">в </w:t>
            </w:r>
            <w:proofErr w:type="spellStart"/>
            <w:r w:rsidR="00C22309" w:rsidRPr="00E16672">
              <w:rPr>
                <w:rFonts w:ascii="Times New Roman" w:hAnsi="Times New Roman"/>
                <w:color w:val="000000"/>
                <w:sz w:val="16"/>
                <w:szCs w:val="16"/>
              </w:rPr>
              <w:t>цін</w:t>
            </w:r>
            <w:r w:rsidRPr="00E16672">
              <w:rPr>
                <w:rFonts w:ascii="Times New Roman" w:hAnsi="Times New Roman"/>
                <w:color w:val="000000"/>
                <w:sz w:val="16"/>
                <w:szCs w:val="16"/>
              </w:rPr>
              <w:t>них</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паперах</w:t>
            </w:r>
            <w:proofErr w:type="spellEnd"/>
            <w:r w:rsidRPr="00E16672">
              <w:rPr>
                <w:rFonts w:ascii="Times New Roman" w:hAnsi="Times New Roman"/>
                <w:color w:val="000000"/>
                <w:sz w:val="16"/>
                <w:szCs w:val="16"/>
              </w:rPr>
              <w:t xml:space="preserve"> Депонента шляхом </w:t>
            </w:r>
            <w:proofErr w:type="spellStart"/>
            <w:r w:rsidRPr="00E16672">
              <w:rPr>
                <w:rFonts w:ascii="Times New Roman" w:hAnsi="Times New Roman"/>
                <w:color w:val="000000"/>
                <w:sz w:val="16"/>
                <w:szCs w:val="16"/>
              </w:rPr>
              <w:t>проведення</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депозитарних</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операцій</w:t>
            </w:r>
            <w:proofErr w:type="spellEnd"/>
            <w:r w:rsidRPr="00E16672">
              <w:rPr>
                <w:rFonts w:ascii="Times New Roman" w:hAnsi="Times New Roman"/>
                <w:color w:val="000000"/>
                <w:sz w:val="16"/>
                <w:szCs w:val="16"/>
              </w:rPr>
              <w:t xml:space="preserve"> за </w:t>
            </w:r>
            <w:proofErr w:type="spellStart"/>
            <w:r w:rsidRPr="00E16672">
              <w:rPr>
                <w:rFonts w:ascii="Times New Roman" w:hAnsi="Times New Roman"/>
                <w:color w:val="000000"/>
                <w:sz w:val="16"/>
                <w:szCs w:val="16"/>
              </w:rPr>
              <w:t>рахунком</w:t>
            </w:r>
            <w:proofErr w:type="spellEnd"/>
            <w:r w:rsidRPr="00E16672">
              <w:rPr>
                <w:rFonts w:ascii="Times New Roman" w:hAnsi="Times New Roman"/>
                <w:color w:val="000000"/>
                <w:sz w:val="16"/>
                <w:szCs w:val="16"/>
              </w:rPr>
              <w:t xml:space="preserve"> </w:t>
            </w:r>
            <w:r w:rsidR="00C22309" w:rsidRPr="00E16672">
              <w:rPr>
                <w:rFonts w:ascii="Times New Roman" w:hAnsi="Times New Roman"/>
                <w:color w:val="000000"/>
                <w:sz w:val="16"/>
                <w:szCs w:val="16"/>
              </w:rPr>
              <w:t xml:space="preserve">в </w:t>
            </w:r>
            <w:proofErr w:type="spellStart"/>
            <w:r w:rsidR="00C22309" w:rsidRPr="00E16672">
              <w:rPr>
                <w:rFonts w:ascii="Times New Roman" w:hAnsi="Times New Roman"/>
                <w:color w:val="000000"/>
                <w:sz w:val="16"/>
                <w:szCs w:val="16"/>
              </w:rPr>
              <w:t>цін</w:t>
            </w:r>
            <w:r w:rsidRPr="00E16672">
              <w:rPr>
                <w:rFonts w:ascii="Times New Roman" w:hAnsi="Times New Roman"/>
                <w:color w:val="000000"/>
                <w:sz w:val="16"/>
                <w:szCs w:val="16"/>
              </w:rPr>
              <w:t>них</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паперах</w:t>
            </w:r>
            <w:proofErr w:type="spellEnd"/>
            <w:r w:rsidRPr="00E16672">
              <w:rPr>
                <w:rFonts w:ascii="Times New Roman" w:hAnsi="Times New Roman"/>
                <w:color w:val="000000"/>
                <w:sz w:val="16"/>
                <w:szCs w:val="16"/>
              </w:rPr>
              <w:t xml:space="preserve"> у порядку та строки, </w:t>
            </w:r>
            <w:proofErr w:type="spellStart"/>
            <w:r w:rsidRPr="00E16672">
              <w:rPr>
                <w:rFonts w:ascii="Times New Roman" w:hAnsi="Times New Roman"/>
                <w:color w:val="000000"/>
                <w:sz w:val="16"/>
                <w:szCs w:val="16"/>
              </w:rPr>
              <w:t>визначені</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законодавством</w:t>
            </w:r>
            <w:proofErr w:type="spellEnd"/>
            <w:r w:rsidRPr="00E16672">
              <w:rPr>
                <w:rFonts w:ascii="Times New Roman" w:hAnsi="Times New Roman"/>
                <w:color w:val="000000"/>
                <w:sz w:val="16"/>
                <w:szCs w:val="16"/>
              </w:rPr>
              <w:t xml:space="preserve"> та/</w:t>
            </w:r>
            <w:proofErr w:type="spellStart"/>
            <w:r w:rsidRPr="00E16672">
              <w:rPr>
                <w:rFonts w:ascii="Times New Roman" w:hAnsi="Times New Roman"/>
                <w:color w:val="000000"/>
                <w:sz w:val="16"/>
                <w:szCs w:val="16"/>
              </w:rPr>
              <w:t>або</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внутрішніми</w:t>
            </w:r>
            <w:proofErr w:type="spellEnd"/>
            <w:r w:rsidRPr="00E16672">
              <w:rPr>
                <w:rFonts w:ascii="Times New Roman" w:hAnsi="Times New Roman"/>
                <w:color w:val="000000"/>
                <w:sz w:val="16"/>
                <w:szCs w:val="16"/>
              </w:rPr>
              <w:t xml:space="preserve"> документами </w:t>
            </w:r>
            <w:proofErr w:type="spellStart"/>
            <w:r w:rsidRPr="00E16672">
              <w:rPr>
                <w:rFonts w:ascii="Times New Roman" w:hAnsi="Times New Roman"/>
                <w:color w:val="000000"/>
                <w:sz w:val="16"/>
                <w:szCs w:val="16"/>
              </w:rPr>
              <w:t>Депозитарної</w:t>
            </w:r>
            <w:proofErr w:type="spellEnd"/>
            <w:r w:rsidRPr="00E16672">
              <w:rPr>
                <w:rFonts w:ascii="Times New Roman" w:hAnsi="Times New Roman"/>
                <w:color w:val="000000"/>
                <w:sz w:val="16"/>
                <w:szCs w:val="16"/>
              </w:rPr>
              <w:t xml:space="preserve"> </w:t>
            </w:r>
            <w:proofErr w:type="gramStart"/>
            <w:r w:rsidRPr="00E16672">
              <w:rPr>
                <w:rFonts w:ascii="Times New Roman" w:hAnsi="Times New Roman"/>
                <w:color w:val="000000"/>
                <w:sz w:val="16"/>
                <w:szCs w:val="16"/>
              </w:rPr>
              <w:t>установи.</w:t>
            </w:r>
            <w:r w:rsidRPr="00E16672">
              <w:rPr>
                <w:rFonts w:ascii="Times New Roman" w:eastAsia="Arial" w:hAnsi="Times New Roman"/>
                <w:color w:val="000000"/>
                <w:sz w:val="16"/>
                <w:szCs w:val="16"/>
              </w:rPr>
              <w:t>.</w:t>
            </w:r>
            <w:proofErr w:type="gramEnd"/>
          </w:p>
        </w:tc>
        <w:tc>
          <w:tcPr>
            <w:tcW w:w="5494" w:type="dxa"/>
            <w:gridSpan w:val="6"/>
            <w:shd w:val="clear" w:color="auto" w:fill="auto"/>
          </w:tcPr>
          <w:p w14:paraId="388F5E7E" w14:textId="77777777" w:rsidR="003A05A3" w:rsidRPr="00E16672" w:rsidRDefault="003A05A3" w:rsidP="00860EC8">
            <w:pPr>
              <w:pStyle w:val="ab"/>
              <w:snapToGrid w:val="0"/>
              <w:ind w:left="142" w:right="57" w:firstLine="8"/>
              <w:jc w:val="both"/>
              <w:rPr>
                <w:rFonts w:ascii="Times New Roman" w:eastAsia="Arial" w:hAnsi="Times New Roman"/>
                <w:b w:val="0"/>
                <w:color w:val="000000"/>
                <w:sz w:val="16"/>
                <w:szCs w:val="16"/>
                <w:lang w:val="en-US"/>
              </w:rPr>
            </w:pPr>
            <w:r w:rsidRPr="00E16672">
              <w:rPr>
                <w:rFonts w:ascii="Times New Roman" w:hAnsi="Times New Roman"/>
                <w:b w:val="0"/>
                <w:color w:val="000000"/>
                <w:sz w:val="16"/>
                <w:szCs w:val="16"/>
              </w:rPr>
              <w:t xml:space="preserve">2.1.5. </w:t>
            </w:r>
            <w:r w:rsidRPr="00E16672">
              <w:rPr>
                <w:rFonts w:ascii="Times New Roman" w:hAnsi="Times New Roman"/>
                <w:b w:val="0"/>
                <w:color w:val="000000"/>
                <w:sz w:val="16"/>
                <w:szCs w:val="16"/>
                <w:lang w:val="en-US"/>
              </w:rPr>
              <w:t xml:space="preserve"> </w:t>
            </w:r>
            <w:r w:rsidRPr="00E16672">
              <w:rPr>
                <w:rFonts w:ascii="Times New Roman" w:eastAsia="Arial" w:hAnsi="Times New Roman"/>
                <w:b w:val="0"/>
                <w:color w:val="000000"/>
                <w:sz w:val="16"/>
                <w:szCs w:val="16"/>
                <w:lang w:val="en-US"/>
              </w:rPr>
              <w:t xml:space="preserve">To manage servicing </w:t>
            </w:r>
            <w:proofErr w:type="gramStart"/>
            <w:r w:rsidRPr="00E16672">
              <w:rPr>
                <w:rFonts w:ascii="Times New Roman" w:eastAsia="Arial" w:hAnsi="Times New Roman"/>
                <w:b w:val="0"/>
                <w:color w:val="000000"/>
                <w:sz w:val="16"/>
                <w:szCs w:val="16"/>
                <w:lang w:val="en-US"/>
              </w:rPr>
              <w:t>of  securities</w:t>
            </w:r>
            <w:proofErr w:type="gramEnd"/>
            <w:r w:rsidRPr="00E16672">
              <w:rPr>
                <w:rFonts w:ascii="Times New Roman" w:eastAsia="Arial" w:hAnsi="Times New Roman"/>
                <w:b w:val="0"/>
                <w:color w:val="000000"/>
                <w:sz w:val="16"/>
                <w:szCs w:val="16"/>
                <w:lang w:val="en-US"/>
              </w:rPr>
              <w:t xml:space="preserve"> </w:t>
            </w:r>
            <w:proofErr w:type="spellStart"/>
            <w:r w:rsidRPr="00E16672">
              <w:rPr>
                <w:rFonts w:ascii="Times New Roman" w:eastAsia="Arial" w:hAnsi="Times New Roman"/>
                <w:b w:val="0"/>
                <w:color w:val="000000"/>
                <w:sz w:val="16"/>
                <w:szCs w:val="16"/>
                <w:lang w:val="en-US"/>
              </w:rPr>
              <w:t>onthe</w:t>
            </w:r>
            <w:proofErr w:type="spellEnd"/>
            <w:r w:rsidRPr="00E16672">
              <w:rPr>
                <w:rFonts w:ascii="Times New Roman" w:eastAsia="Arial" w:hAnsi="Times New Roman"/>
                <w:b w:val="0"/>
                <w:color w:val="000000"/>
                <w:sz w:val="16"/>
                <w:szCs w:val="16"/>
                <w:lang w:val="en-US"/>
              </w:rPr>
              <w:t xml:space="preserve"> account in securities of Depositor by implementation of depositary operations after this account  in the procedure and time limits set by law and/or internal documents of the Depository institution.</w:t>
            </w:r>
          </w:p>
        </w:tc>
      </w:tr>
      <w:tr w:rsidR="003A05A3" w:rsidRPr="00F23413" w14:paraId="7CB4801A" w14:textId="77777777" w:rsidTr="00242F58">
        <w:trPr>
          <w:trHeight w:val="192"/>
        </w:trPr>
        <w:tc>
          <w:tcPr>
            <w:tcW w:w="5696" w:type="dxa"/>
            <w:gridSpan w:val="8"/>
            <w:shd w:val="clear" w:color="auto" w:fill="auto"/>
          </w:tcPr>
          <w:p w14:paraId="0FD6E507" w14:textId="77777777" w:rsidR="003A05A3" w:rsidRPr="00E16672" w:rsidRDefault="003A05A3" w:rsidP="00843027">
            <w:pPr>
              <w:tabs>
                <w:tab w:val="left" w:pos="851"/>
              </w:tabs>
              <w:ind w:left="182" w:right="138" w:firstLine="0"/>
              <w:rPr>
                <w:rFonts w:ascii="Times New Roman" w:hAnsi="Times New Roman"/>
                <w:color w:val="000000"/>
                <w:sz w:val="16"/>
                <w:szCs w:val="16"/>
              </w:rPr>
            </w:pPr>
            <w:r w:rsidRPr="00E16672">
              <w:rPr>
                <w:rFonts w:ascii="Times New Roman" w:eastAsia="Arial" w:hAnsi="Times New Roman"/>
                <w:color w:val="000000"/>
                <w:sz w:val="16"/>
                <w:szCs w:val="16"/>
              </w:rPr>
              <w:t>2.1.6.</w:t>
            </w:r>
            <w:r w:rsidRPr="00E16672">
              <w:rPr>
                <w:rFonts w:ascii="Times New Roman" w:hAnsi="Times New Roman"/>
                <w:color w:val="000000"/>
                <w:sz w:val="16"/>
                <w:szCs w:val="16"/>
                <w:lang w:val="uk-UA"/>
              </w:rPr>
              <w:t xml:space="preserve"> </w:t>
            </w:r>
            <w:proofErr w:type="spellStart"/>
            <w:r w:rsidRPr="00E16672">
              <w:rPr>
                <w:rFonts w:ascii="Times New Roman" w:eastAsia="Arial" w:hAnsi="Times New Roman"/>
                <w:color w:val="000000"/>
                <w:sz w:val="16"/>
                <w:szCs w:val="16"/>
              </w:rPr>
              <w:t>Складати</w:t>
            </w:r>
            <w:proofErr w:type="spellEnd"/>
            <w:r w:rsidRPr="00E16672">
              <w:rPr>
                <w:rFonts w:ascii="Times New Roman" w:eastAsia="Arial" w:hAnsi="Times New Roman"/>
                <w:color w:val="000000"/>
                <w:sz w:val="16"/>
                <w:szCs w:val="16"/>
              </w:rPr>
              <w:t xml:space="preserve"> та </w:t>
            </w:r>
            <w:proofErr w:type="spellStart"/>
            <w:r w:rsidRPr="00E16672">
              <w:rPr>
                <w:rFonts w:ascii="Times New Roman" w:eastAsia="Arial" w:hAnsi="Times New Roman"/>
                <w:color w:val="000000"/>
                <w:sz w:val="16"/>
                <w:szCs w:val="16"/>
              </w:rPr>
              <w:t>видавати</w:t>
            </w:r>
            <w:proofErr w:type="spellEnd"/>
            <w:r w:rsidRPr="00E16672">
              <w:rPr>
                <w:rFonts w:ascii="Times New Roman" w:eastAsia="Arial" w:hAnsi="Times New Roman"/>
                <w:color w:val="000000"/>
                <w:sz w:val="16"/>
                <w:szCs w:val="16"/>
              </w:rPr>
              <w:t xml:space="preserve"> </w:t>
            </w:r>
            <w:proofErr w:type="spellStart"/>
            <w:r w:rsidRPr="00E16672">
              <w:rPr>
                <w:rFonts w:ascii="Times New Roman" w:eastAsia="Arial" w:hAnsi="Times New Roman"/>
                <w:color w:val="000000"/>
                <w:sz w:val="16"/>
                <w:szCs w:val="16"/>
              </w:rPr>
              <w:t>Виписку</w:t>
            </w:r>
            <w:proofErr w:type="spellEnd"/>
            <w:r w:rsidRPr="00E16672">
              <w:rPr>
                <w:rFonts w:ascii="Times New Roman" w:eastAsia="Arial" w:hAnsi="Times New Roman"/>
                <w:color w:val="000000"/>
                <w:sz w:val="16"/>
                <w:szCs w:val="16"/>
              </w:rPr>
              <w:t xml:space="preserve"> з </w:t>
            </w:r>
            <w:proofErr w:type="spellStart"/>
            <w:r w:rsidRPr="00E16672">
              <w:rPr>
                <w:rFonts w:ascii="Times New Roman" w:eastAsia="Arial" w:hAnsi="Times New Roman"/>
                <w:color w:val="000000"/>
                <w:sz w:val="16"/>
                <w:szCs w:val="16"/>
              </w:rPr>
              <w:t>рахунк</w:t>
            </w:r>
            <w:proofErr w:type="spellEnd"/>
            <w:r w:rsidRPr="00E16672">
              <w:rPr>
                <w:rFonts w:ascii="Times New Roman" w:eastAsia="Arial" w:hAnsi="Times New Roman"/>
                <w:color w:val="000000"/>
                <w:sz w:val="16"/>
                <w:szCs w:val="16"/>
                <w:lang w:val="uk-UA"/>
              </w:rPr>
              <w:t>у</w:t>
            </w:r>
            <w:r w:rsidRPr="00E16672">
              <w:rPr>
                <w:rFonts w:ascii="Times New Roman" w:eastAsia="Arial" w:hAnsi="Times New Roman"/>
                <w:color w:val="000000"/>
                <w:sz w:val="16"/>
                <w:szCs w:val="16"/>
              </w:rPr>
              <w:t xml:space="preserve"> в </w:t>
            </w:r>
            <w:proofErr w:type="spellStart"/>
            <w:r w:rsidRPr="00E16672">
              <w:rPr>
                <w:rFonts w:ascii="Times New Roman" w:eastAsia="Arial" w:hAnsi="Times New Roman"/>
                <w:color w:val="000000"/>
                <w:sz w:val="16"/>
                <w:szCs w:val="16"/>
              </w:rPr>
              <w:t>цінних</w:t>
            </w:r>
            <w:proofErr w:type="spellEnd"/>
            <w:r w:rsidRPr="00E16672">
              <w:rPr>
                <w:rFonts w:ascii="Times New Roman" w:eastAsia="Arial" w:hAnsi="Times New Roman"/>
                <w:color w:val="000000"/>
                <w:sz w:val="16"/>
                <w:szCs w:val="16"/>
              </w:rPr>
              <w:t xml:space="preserve"> </w:t>
            </w:r>
            <w:proofErr w:type="spellStart"/>
            <w:r w:rsidRPr="00E16672">
              <w:rPr>
                <w:rFonts w:ascii="Times New Roman" w:eastAsia="Arial" w:hAnsi="Times New Roman"/>
                <w:color w:val="000000"/>
                <w:sz w:val="16"/>
                <w:szCs w:val="16"/>
              </w:rPr>
              <w:t>паперах</w:t>
            </w:r>
            <w:proofErr w:type="spellEnd"/>
            <w:r w:rsidRPr="00E16672">
              <w:rPr>
                <w:rFonts w:ascii="Times New Roman" w:eastAsia="Arial" w:hAnsi="Times New Roman"/>
                <w:color w:val="000000"/>
                <w:sz w:val="16"/>
                <w:szCs w:val="16"/>
              </w:rPr>
              <w:t xml:space="preserve"> Депонента та </w:t>
            </w:r>
            <w:proofErr w:type="spellStart"/>
            <w:r w:rsidRPr="00E16672">
              <w:rPr>
                <w:rFonts w:ascii="Times New Roman" w:eastAsia="Arial" w:hAnsi="Times New Roman"/>
                <w:color w:val="000000"/>
                <w:sz w:val="16"/>
                <w:szCs w:val="16"/>
              </w:rPr>
              <w:t>Виписку</w:t>
            </w:r>
            <w:proofErr w:type="spellEnd"/>
            <w:r w:rsidRPr="00E16672">
              <w:rPr>
                <w:rFonts w:ascii="Times New Roman" w:eastAsia="Arial" w:hAnsi="Times New Roman"/>
                <w:color w:val="000000"/>
                <w:sz w:val="16"/>
                <w:szCs w:val="16"/>
              </w:rPr>
              <w:t xml:space="preserve"> про </w:t>
            </w:r>
            <w:proofErr w:type="spellStart"/>
            <w:r w:rsidRPr="00E16672">
              <w:rPr>
                <w:rFonts w:ascii="Times New Roman" w:eastAsia="Arial" w:hAnsi="Times New Roman"/>
                <w:color w:val="000000"/>
                <w:sz w:val="16"/>
                <w:szCs w:val="16"/>
              </w:rPr>
              <w:t>операції</w:t>
            </w:r>
            <w:proofErr w:type="spellEnd"/>
            <w:r w:rsidRPr="00E16672">
              <w:rPr>
                <w:rFonts w:ascii="Times New Roman" w:eastAsia="Arial" w:hAnsi="Times New Roman"/>
                <w:color w:val="000000"/>
                <w:sz w:val="16"/>
                <w:szCs w:val="16"/>
              </w:rPr>
              <w:t xml:space="preserve"> з </w:t>
            </w:r>
            <w:proofErr w:type="spellStart"/>
            <w:r w:rsidRPr="00E16672">
              <w:rPr>
                <w:rFonts w:ascii="Times New Roman" w:eastAsia="Arial" w:hAnsi="Times New Roman"/>
                <w:color w:val="000000"/>
                <w:sz w:val="16"/>
                <w:szCs w:val="16"/>
              </w:rPr>
              <w:t>цінними</w:t>
            </w:r>
            <w:proofErr w:type="spellEnd"/>
            <w:r w:rsidRPr="00E16672">
              <w:rPr>
                <w:rFonts w:ascii="Times New Roman" w:eastAsia="Arial" w:hAnsi="Times New Roman"/>
                <w:color w:val="000000"/>
                <w:sz w:val="16"/>
                <w:szCs w:val="16"/>
              </w:rPr>
              <w:t xml:space="preserve"> </w:t>
            </w:r>
            <w:proofErr w:type="spellStart"/>
            <w:r w:rsidRPr="00E16672">
              <w:rPr>
                <w:rFonts w:ascii="Times New Roman" w:eastAsia="Arial" w:hAnsi="Times New Roman"/>
                <w:color w:val="000000"/>
                <w:sz w:val="16"/>
                <w:szCs w:val="16"/>
              </w:rPr>
              <w:t>паперами</w:t>
            </w:r>
            <w:proofErr w:type="spellEnd"/>
            <w:r w:rsidRPr="00E16672">
              <w:rPr>
                <w:rFonts w:ascii="Times New Roman" w:eastAsia="Arial" w:hAnsi="Times New Roman"/>
                <w:color w:val="000000"/>
                <w:sz w:val="16"/>
                <w:szCs w:val="16"/>
              </w:rPr>
              <w:t xml:space="preserve"> на </w:t>
            </w:r>
            <w:proofErr w:type="spellStart"/>
            <w:r w:rsidRPr="00E16672">
              <w:rPr>
                <w:rFonts w:ascii="Times New Roman" w:eastAsia="Arial" w:hAnsi="Times New Roman"/>
                <w:color w:val="000000"/>
                <w:sz w:val="16"/>
                <w:szCs w:val="16"/>
              </w:rPr>
              <w:t>вимогу</w:t>
            </w:r>
            <w:proofErr w:type="spellEnd"/>
            <w:r w:rsidRPr="00E16672">
              <w:rPr>
                <w:rFonts w:ascii="Times New Roman" w:eastAsia="Arial" w:hAnsi="Times New Roman"/>
                <w:color w:val="000000"/>
                <w:sz w:val="16"/>
                <w:szCs w:val="16"/>
              </w:rPr>
              <w:t xml:space="preserve"> Депонента </w:t>
            </w:r>
            <w:proofErr w:type="gramStart"/>
            <w:r w:rsidRPr="00E16672">
              <w:rPr>
                <w:rFonts w:ascii="Times New Roman" w:eastAsia="Arial" w:hAnsi="Times New Roman"/>
                <w:color w:val="000000"/>
                <w:sz w:val="16"/>
                <w:szCs w:val="20"/>
                <w:lang w:val="uk-UA"/>
              </w:rPr>
              <w:t>періодично  -</w:t>
            </w:r>
            <w:proofErr w:type="gramEnd"/>
            <w:r w:rsidRPr="00E16672">
              <w:rPr>
                <w:rFonts w:ascii="Times New Roman" w:eastAsia="Arial" w:hAnsi="Times New Roman"/>
                <w:color w:val="000000"/>
                <w:sz w:val="16"/>
                <w:szCs w:val="20"/>
                <w:lang w:val="uk-UA"/>
              </w:rPr>
              <w:t xml:space="preserve"> один раз на рік за відповідним розпорядженням Депонента, або на запит Депонента </w:t>
            </w:r>
            <w:r w:rsidRPr="00E16672">
              <w:rPr>
                <w:rFonts w:ascii="Times New Roman" w:hAnsi="Times New Roman"/>
                <w:color w:val="000000"/>
                <w:sz w:val="16"/>
                <w:szCs w:val="16"/>
              </w:rPr>
              <w:t xml:space="preserve">не </w:t>
            </w:r>
            <w:proofErr w:type="spellStart"/>
            <w:r w:rsidRPr="00E16672">
              <w:rPr>
                <w:rFonts w:ascii="Times New Roman" w:hAnsi="Times New Roman"/>
                <w:color w:val="000000"/>
                <w:sz w:val="16"/>
                <w:szCs w:val="16"/>
              </w:rPr>
              <w:t>пізніше</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наступного</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робочого</w:t>
            </w:r>
            <w:proofErr w:type="spellEnd"/>
            <w:r w:rsidRPr="00E16672">
              <w:rPr>
                <w:rFonts w:ascii="Times New Roman" w:hAnsi="Times New Roman"/>
                <w:color w:val="000000"/>
                <w:sz w:val="16"/>
                <w:szCs w:val="16"/>
              </w:rPr>
              <w:t xml:space="preserve"> дня з </w:t>
            </w:r>
            <w:proofErr w:type="spellStart"/>
            <w:r w:rsidRPr="00E16672">
              <w:rPr>
                <w:rFonts w:ascii="Times New Roman" w:hAnsi="Times New Roman"/>
                <w:color w:val="000000"/>
                <w:sz w:val="16"/>
                <w:szCs w:val="16"/>
              </w:rPr>
              <w:t>дати</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отримання</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відповідного</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розпорядження</w:t>
            </w:r>
            <w:proofErr w:type="spellEnd"/>
            <w:r w:rsidRPr="00E16672">
              <w:rPr>
                <w:rFonts w:ascii="Times New Roman" w:hAnsi="Times New Roman"/>
                <w:color w:val="000000"/>
                <w:sz w:val="16"/>
                <w:szCs w:val="16"/>
              </w:rPr>
              <w:t xml:space="preserve"> у </w:t>
            </w:r>
            <w:proofErr w:type="spellStart"/>
            <w:r w:rsidRPr="00E16672">
              <w:rPr>
                <w:rFonts w:ascii="Times New Roman" w:hAnsi="Times New Roman"/>
                <w:color w:val="000000"/>
                <w:sz w:val="16"/>
                <w:szCs w:val="16"/>
              </w:rPr>
              <w:t>спосіб</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визначений</w:t>
            </w:r>
            <w:proofErr w:type="spellEnd"/>
            <w:r w:rsidRPr="00E16672">
              <w:rPr>
                <w:rFonts w:ascii="Times New Roman" w:hAnsi="Times New Roman"/>
                <w:color w:val="000000"/>
                <w:sz w:val="16"/>
                <w:szCs w:val="16"/>
              </w:rPr>
              <w:t xml:space="preserve"> у </w:t>
            </w:r>
            <w:proofErr w:type="spellStart"/>
            <w:r w:rsidRPr="00E16672">
              <w:rPr>
                <w:rFonts w:ascii="Times New Roman" w:hAnsi="Times New Roman"/>
                <w:color w:val="000000"/>
                <w:sz w:val="16"/>
                <w:szCs w:val="16"/>
              </w:rPr>
              <w:t>розпорядженні</w:t>
            </w:r>
            <w:proofErr w:type="spellEnd"/>
            <w:r w:rsidRPr="00E16672">
              <w:rPr>
                <w:rFonts w:ascii="Times New Roman" w:hAnsi="Times New Roman"/>
                <w:color w:val="000000"/>
                <w:sz w:val="16"/>
                <w:szCs w:val="16"/>
              </w:rPr>
              <w:t>.</w:t>
            </w:r>
          </w:p>
          <w:p w14:paraId="421CF61D" w14:textId="77777777" w:rsidR="003A05A3" w:rsidRPr="00E16672" w:rsidRDefault="003A05A3" w:rsidP="00843027">
            <w:pPr>
              <w:pStyle w:val="23"/>
              <w:ind w:left="182" w:right="138" w:firstLine="0"/>
              <w:rPr>
                <w:rFonts w:ascii="Times New Roman" w:eastAsia="Arial" w:hAnsi="Times New Roman"/>
                <w:color w:val="000000"/>
                <w:sz w:val="16"/>
                <w:szCs w:val="16"/>
              </w:rPr>
            </w:pPr>
            <w:r w:rsidRPr="00E16672">
              <w:rPr>
                <w:rFonts w:ascii="Times New Roman" w:hAnsi="Times New Roman"/>
                <w:color w:val="000000"/>
                <w:sz w:val="16"/>
                <w:szCs w:val="16"/>
              </w:rPr>
              <w:t xml:space="preserve">Виписка з рахунку </w:t>
            </w:r>
            <w:r w:rsidR="00C22309" w:rsidRPr="00E16672">
              <w:rPr>
                <w:rFonts w:ascii="Times New Roman" w:hAnsi="Times New Roman"/>
                <w:color w:val="000000"/>
                <w:spacing w:val="-9"/>
                <w:sz w:val="16"/>
                <w:szCs w:val="16"/>
                <w:shd w:val="clear" w:color="auto" w:fill="FFFFFF"/>
              </w:rPr>
              <w:t>в цін</w:t>
            </w:r>
            <w:r w:rsidRPr="00E16672">
              <w:rPr>
                <w:rFonts w:ascii="Times New Roman" w:hAnsi="Times New Roman"/>
                <w:color w:val="000000"/>
                <w:spacing w:val="-9"/>
                <w:sz w:val="16"/>
                <w:szCs w:val="16"/>
                <w:shd w:val="clear" w:color="auto" w:fill="FFFFFF"/>
              </w:rPr>
              <w:t xml:space="preserve">них паперах може надаватися </w:t>
            </w:r>
            <w:r w:rsidRPr="00E16672">
              <w:rPr>
                <w:rFonts w:ascii="Times New Roman" w:hAnsi="Times New Roman"/>
                <w:color w:val="000000"/>
                <w:sz w:val="16"/>
                <w:szCs w:val="16"/>
              </w:rPr>
              <w:t xml:space="preserve">Депоненту у вигляді </w:t>
            </w:r>
            <w:r w:rsidRPr="00E16672">
              <w:rPr>
                <w:rFonts w:ascii="Times New Roman" w:hAnsi="Times New Roman"/>
                <w:color w:val="000000"/>
                <w:spacing w:val="-9"/>
                <w:sz w:val="16"/>
                <w:szCs w:val="16"/>
              </w:rPr>
              <w:t>електронного документу з використанням</w:t>
            </w:r>
            <w:r w:rsidRPr="00E16672">
              <w:rPr>
                <w:rFonts w:ascii="Times New Roman" w:hAnsi="Times New Roman"/>
                <w:color w:val="000000"/>
                <w:spacing w:val="-9"/>
                <w:sz w:val="12"/>
                <w:szCs w:val="16"/>
              </w:rPr>
              <w:t xml:space="preserve"> </w:t>
            </w:r>
            <w:proofErr w:type="spellStart"/>
            <w:r w:rsidRPr="00E16672">
              <w:rPr>
                <w:rFonts w:ascii="Times New Roman" w:hAnsi="Times New Roman"/>
                <w:color w:val="000000"/>
                <w:spacing w:val="-9"/>
                <w:sz w:val="16"/>
                <w:lang w:val="ru-RU"/>
              </w:rPr>
              <w:t>кваліф</w:t>
            </w:r>
            <w:proofErr w:type="spellEnd"/>
            <w:r w:rsidRPr="00E16672">
              <w:rPr>
                <w:rFonts w:ascii="Times New Roman" w:hAnsi="Times New Roman"/>
                <w:color w:val="000000"/>
                <w:spacing w:val="-9"/>
                <w:sz w:val="16"/>
              </w:rPr>
              <w:t>і</w:t>
            </w:r>
            <w:r w:rsidRPr="00E16672">
              <w:rPr>
                <w:rFonts w:ascii="Times New Roman" w:hAnsi="Times New Roman"/>
                <w:color w:val="000000"/>
                <w:spacing w:val="-9"/>
                <w:sz w:val="16"/>
                <w:lang w:val="ru-RU"/>
              </w:rPr>
              <w:t>кованого</w:t>
            </w:r>
            <w:r w:rsidRPr="00E16672">
              <w:rPr>
                <w:rFonts w:ascii="Times New Roman" w:hAnsi="Times New Roman"/>
                <w:color w:val="000000"/>
                <w:spacing w:val="-9"/>
                <w:sz w:val="16"/>
              </w:rPr>
              <w:t xml:space="preserve"> </w:t>
            </w:r>
            <w:r w:rsidRPr="00E16672">
              <w:rPr>
                <w:rFonts w:ascii="Times New Roman" w:hAnsi="Times New Roman"/>
                <w:color w:val="000000"/>
                <w:spacing w:val="-9"/>
                <w:sz w:val="16"/>
                <w:szCs w:val="16"/>
              </w:rPr>
              <w:t xml:space="preserve">електронного підпису </w:t>
            </w:r>
            <w:r w:rsidRPr="00E16672">
              <w:rPr>
                <w:rFonts w:ascii="Times New Roman" w:eastAsia="Arial" w:hAnsi="Times New Roman"/>
                <w:color w:val="000000"/>
                <w:sz w:val="16"/>
                <w:szCs w:val="16"/>
              </w:rPr>
              <w:t xml:space="preserve">та </w:t>
            </w:r>
            <w:proofErr w:type="spellStart"/>
            <w:r w:rsidRPr="00E16672">
              <w:rPr>
                <w:rFonts w:ascii="Times New Roman" w:hAnsi="Times New Roman"/>
                <w:color w:val="000000"/>
                <w:spacing w:val="-9"/>
                <w:sz w:val="16"/>
                <w:lang w:val="ru-RU"/>
              </w:rPr>
              <w:t>кваліф</w:t>
            </w:r>
            <w:proofErr w:type="spellEnd"/>
            <w:r w:rsidRPr="00E16672">
              <w:rPr>
                <w:rFonts w:ascii="Times New Roman" w:hAnsi="Times New Roman"/>
                <w:color w:val="000000"/>
                <w:spacing w:val="-9"/>
                <w:sz w:val="16"/>
              </w:rPr>
              <w:t>і</w:t>
            </w:r>
            <w:proofErr w:type="spellStart"/>
            <w:r w:rsidRPr="00E16672">
              <w:rPr>
                <w:rFonts w:ascii="Times New Roman" w:hAnsi="Times New Roman"/>
                <w:color w:val="000000"/>
                <w:spacing w:val="-9"/>
                <w:sz w:val="16"/>
                <w:lang w:val="ru-RU"/>
              </w:rPr>
              <w:t>кованим</w:t>
            </w:r>
            <w:proofErr w:type="spellEnd"/>
            <w:r w:rsidRPr="00E16672">
              <w:rPr>
                <w:rFonts w:ascii="Times New Roman" w:eastAsia="Arial" w:hAnsi="Times New Roman"/>
                <w:color w:val="000000"/>
                <w:sz w:val="16"/>
                <w:szCs w:val="16"/>
              </w:rPr>
              <w:t xml:space="preserve"> електронним підписом, що за правовим статусом прирівнюється до  печатки  юридичної  особи</w:t>
            </w:r>
            <w:r w:rsidRPr="00E16672">
              <w:rPr>
                <w:rFonts w:ascii="Times New Roman" w:eastAsia="Arial" w:hAnsi="Times New Roman"/>
                <w:color w:val="000000"/>
                <w:sz w:val="16"/>
                <w:szCs w:val="16"/>
                <w:lang w:val="ru-RU"/>
              </w:rPr>
              <w:t xml:space="preserve"> (</w:t>
            </w:r>
            <w:r w:rsidRPr="00E16672">
              <w:rPr>
                <w:rFonts w:ascii="Times New Roman" w:eastAsia="Arial" w:hAnsi="Times New Roman"/>
                <w:color w:val="000000"/>
                <w:sz w:val="16"/>
                <w:szCs w:val="16"/>
              </w:rPr>
              <w:t>у разі використання</w:t>
            </w:r>
            <w:r w:rsidRPr="00E16672">
              <w:rPr>
                <w:rFonts w:ascii="Times New Roman" w:eastAsia="Arial" w:hAnsi="Times New Roman"/>
                <w:color w:val="000000"/>
                <w:sz w:val="16"/>
                <w:szCs w:val="16"/>
                <w:lang w:val="ru-RU"/>
              </w:rPr>
              <w:t>)</w:t>
            </w:r>
            <w:r w:rsidRPr="00E16672">
              <w:rPr>
                <w:rFonts w:ascii="Times New Roman" w:eastAsia="Arial" w:hAnsi="Times New Roman"/>
                <w:color w:val="000000"/>
                <w:sz w:val="16"/>
                <w:szCs w:val="16"/>
              </w:rPr>
              <w:t>.</w:t>
            </w:r>
          </w:p>
          <w:p w14:paraId="6C1A95B1" w14:textId="77777777" w:rsidR="003A05A3" w:rsidRPr="00E16672" w:rsidRDefault="003A05A3" w:rsidP="00843027">
            <w:pPr>
              <w:tabs>
                <w:tab w:val="left" w:pos="867"/>
              </w:tabs>
              <w:snapToGrid w:val="0"/>
              <w:ind w:left="182" w:right="138" w:firstLine="0"/>
              <w:rPr>
                <w:rFonts w:ascii="Times New Roman" w:eastAsia="Arial" w:hAnsi="Times New Roman"/>
                <w:color w:val="000000"/>
                <w:spacing w:val="-9"/>
                <w:sz w:val="16"/>
                <w:szCs w:val="16"/>
                <w:lang w:val="uk-UA"/>
              </w:rPr>
            </w:pPr>
            <w:r w:rsidRPr="00E16672">
              <w:rPr>
                <w:rFonts w:ascii="Times New Roman" w:eastAsia="Arial" w:hAnsi="Times New Roman"/>
                <w:color w:val="000000"/>
                <w:spacing w:val="-9"/>
                <w:sz w:val="16"/>
                <w:szCs w:val="16"/>
                <w:lang w:val="uk-UA"/>
              </w:rPr>
              <w:t xml:space="preserve">У якості звіту надавати Депоненту виписку про стан рахунку в цінних паперах або виписку про операції з цінними паперами після здійснення хоча б однієї облікової операції </w:t>
            </w:r>
            <w:r w:rsidRPr="00E16672">
              <w:rPr>
                <w:rFonts w:ascii="Times New Roman" w:eastAsia="Arial" w:hAnsi="Times New Roman"/>
                <w:i/>
                <w:iCs/>
                <w:color w:val="000000"/>
                <w:spacing w:val="-9"/>
                <w:sz w:val="16"/>
                <w:szCs w:val="16"/>
                <w:lang w:val="uk-UA"/>
              </w:rPr>
              <w:t>не пізніше трьох</w:t>
            </w:r>
            <w:r w:rsidRPr="00E16672">
              <w:rPr>
                <w:rFonts w:ascii="Times New Roman" w:eastAsia="Arial" w:hAnsi="Times New Roman"/>
                <w:color w:val="000000"/>
                <w:spacing w:val="-9"/>
                <w:sz w:val="16"/>
                <w:szCs w:val="16"/>
                <w:lang w:val="uk-UA"/>
              </w:rPr>
              <w:t xml:space="preserve"> </w:t>
            </w:r>
            <w:r w:rsidRPr="00E16672">
              <w:rPr>
                <w:rFonts w:ascii="Times New Roman" w:eastAsia="Arial" w:hAnsi="Times New Roman"/>
                <w:i/>
                <w:color w:val="000000"/>
                <w:spacing w:val="-9"/>
                <w:sz w:val="16"/>
                <w:szCs w:val="16"/>
                <w:lang w:val="uk-UA"/>
              </w:rPr>
              <w:t>робочих</w:t>
            </w:r>
            <w:r w:rsidRPr="00E16672">
              <w:rPr>
                <w:rFonts w:ascii="Times New Roman" w:eastAsia="Arial" w:hAnsi="Times New Roman"/>
                <w:color w:val="000000"/>
                <w:spacing w:val="-9"/>
                <w:sz w:val="16"/>
                <w:szCs w:val="16"/>
                <w:lang w:val="uk-UA"/>
              </w:rPr>
              <w:t xml:space="preserve"> днів з дня здійснення такої операції.</w:t>
            </w:r>
          </w:p>
          <w:p w14:paraId="52ED9B5D" w14:textId="77777777" w:rsidR="003A05A3" w:rsidRPr="00E16672" w:rsidRDefault="003A05A3" w:rsidP="00843027">
            <w:pPr>
              <w:pStyle w:val="23"/>
              <w:ind w:left="182" w:right="138" w:firstLine="0"/>
              <w:rPr>
                <w:rFonts w:ascii="Times New Roman" w:eastAsia="Arial" w:hAnsi="Times New Roman"/>
                <w:color w:val="000000"/>
                <w:sz w:val="16"/>
                <w:szCs w:val="16"/>
              </w:rPr>
            </w:pPr>
          </w:p>
        </w:tc>
        <w:tc>
          <w:tcPr>
            <w:tcW w:w="5494" w:type="dxa"/>
            <w:gridSpan w:val="6"/>
            <w:shd w:val="clear" w:color="auto" w:fill="auto"/>
          </w:tcPr>
          <w:p w14:paraId="006E2691" w14:textId="77777777" w:rsidR="003A05A3" w:rsidRPr="00E16672" w:rsidRDefault="003A05A3" w:rsidP="00843027">
            <w:pPr>
              <w:pStyle w:val="23"/>
              <w:snapToGrid w:val="0"/>
              <w:spacing w:before="57" w:after="57"/>
              <w:ind w:left="175" w:right="138" w:firstLine="0"/>
              <w:rPr>
                <w:rFonts w:ascii="Times New Roman" w:eastAsia="Arial" w:hAnsi="Times New Roman"/>
                <w:color w:val="000000"/>
                <w:sz w:val="16"/>
                <w:szCs w:val="16"/>
                <w:lang w:val="en-US"/>
              </w:rPr>
            </w:pPr>
            <w:r w:rsidRPr="00E16672">
              <w:rPr>
                <w:rFonts w:ascii="Times New Roman" w:eastAsia="Arial" w:hAnsi="Times New Roman"/>
                <w:color w:val="000000"/>
                <w:sz w:val="16"/>
                <w:szCs w:val="16"/>
              </w:rPr>
              <w:t xml:space="preserve">2.1.6. </w:t>
            </w:r>
            <w:r w:rsidRPr="00E16672">
              <w:rPr>
                <w:rFonts w:ascii="Times New Roman" w:eastAsia="Arial" w:hAnsi="Times New Roman"/>
                <w:color w:val="000000"/>
                <w:sz w:val="16"/>
                <w:szCs w:val="16"/>
                <w:lang w:val="en-US"/>
              </w:rPr>
              <w:t xml:space="preserve">To prepare and </w:t>
            </w:r>
            <w:proofErr w:type="gramStart"/>
            <w:r w:rsidRPr="00E16672">
              <w:rPr>
                <w:rFonts w:ascii="Times New Roman" w:eastAsia="Arial" w:hAnsi="Times New Roman"/>
                <w:color w:val="000000"/>
                <w:sz w:val="16"/>
                <w:szCs w:val="16"/>
                <w:lang w:val="en-US"/>
              </w:rPr>
              <w:t>give  an</w:t>
            </w:r>
            <w:proofErr w:type="gramEnd"/>
            <w:r w:rsidRPr="00E16672">
              <w:rPr>
                <w:rFonts w:ascii="Times New Roman" w:eastAsia="Arial" w:hAnsi="Times New Roman"/>
                <w:color w:val="000000"/>
                <w:sz w:val="16"/>
                <w:szCs w:val="16"/>
                <w:lang w:val="en-US"/>
              </w:rPr>
              <w:t xml:space="preserve"> extract  from account in securities of  Depositor and the  extract  of the securities transactions at the request of the Depositor </w:t>
            </w:r>
            <w:proofErr w:type="spellStart"/>
            <w:r w:rsidRPr="00E16672">
              <w:rPr>
                <w:rFonts w:ascii="Times New Roman" w:hAnsi="Times New Roman"/>
                <w:sz w:val="16"/>
                <w:szCs w:val="16"/>
              </w:rPr>
              <w:t>periodically</w:t>
            </w:r>
            <w:proofErr w:type="spellEnd"/>
            <w:r w:rsidRPr="00E16672">
              <w:rPr>
                <w:rFonts w:ascii="Times New Roman" w:hAnsi="Times New Roman"/>
                <w:sz w:val="16"/>
                <w:szCs w:val="16"/>
              </w:rPr>
              <w:t xml:space="preserve"> - </w:t>
            </w:r>
            <w:proofErr w:type="spellStart"/>
            <w:r w:rsidRPr="00E16672">
              <w:rPr>
                <w:rFonts w:ascii="Times New Roman" w:hAnsi="Times New Roman"/>
                <w:sz w:val="16"/>
                <w:szCs w:val="16"/>
              </w:rPr>
              <w:t>once</w:t>
            </w:r>
            <w:proofErr w:type="spellEnd"/>
            <w:r w:rsidRPr="00E16672">
              <w:rPr>
                <w:rFonts w:ascii="Times New Roman" w:hAnsi="Times New Roman"/>
                <w:sz w:val="16"/>
                <w:szCs w:val="16"/>
              </w:rPr>
              <w:t xml:space="preserve"> a </w:t>
            </w:r>
            <w:proofErr w:type="spellStart"/>
            <w:r w:rsidRPr="00E16672">
              <w:rPr>
                <w:rFonts w:ascii="Times New Roman" w:hAnsi="Times New Roman"/>
                <w:sz w:val="16"/>
                <w:szCs w:val="16"/>
              </w:rPr>
              <w:t>year</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according</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to</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relevant</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order</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of</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Depositor</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or</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at</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request</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of</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Depositor</w:t>
            </w:r>
            <w:proofErr w:type="spellEnd"/>
            <w:r w:rsidRPr="00E16672">
              <w:rPr>
                <w:rFonts w:ascii="Times New Roman" w:eastAsia="Arial" w:hAnsi="Times New Roman"/>
                <w:color w:val="000000"/>
                <w:sz w:val="16"/>
                <w:szCs w:val="16"/>
                <w:lang w:val="en-US"/>
              </w:rPr>
              <w:t xml:space="preserve"> no later</w:t>
            </w:r>
            <w:r w:rsidRPr="00E16672">
              <w:rPr>
                <w:rFonts w:ascii="Times New Roman" w:eastAsia="Arial" w:hAnsi="Times New Roman"/>
                <w:i/>
                <w:color w:val="000000"/>
                <w:sz w:val="16"/>
                <w:szCs w:val="16"/>
                <w:lang w:val="en-US"/>
              </w:rPr>
              <w:t xml:space="preserve"> </w:t>
            </w:r>
            <w:r w:rsidRPr="00E16672">
              <w:rPr>
                <w:rFonts w:ascii="Times New Roman" w:eastAsia="Arial" w:hAnsi="Times New Roman"/>
                <w:color w:val="000000"/>
                <w:sz w:val="16"/>
                <w:szCs w:val="16"/>
                <w:lang w:val="en-US"/>
              </w:rPr>
              <w:t>the next working day</w:t>
            </w:r>
            <w:r w:rsidRPr="00E16672">
              <w:rPr>
                <w:rFonts w:ascii="Times New Roman" w:eastAsia="Arial" w:hAnsi="Times New Roman"/>
                <w:color w:val="000000"/>
                <w:sz w:val="16"/>
                <w:szCs w:val="16"/>
              </w:rPr>
              <w:t xml:space="preserve"> </w:t>
            </w:r>
            <w:proofErr w:type="spellStart"/>
            <w:r w:rsidRPr="00E16672">
              <w:rPr>
                <w:rFonts w:ascii="Times New Roman" w:eastAsia="Arial" w:hAnsi="Times New Roman"/>
                <w:color w:val="000000"/>
                <w:sz w:val="16"/>
                <w:szCs w:val="16"/>
              </w:rPr>
              <w:t>from</w:t>
            </w:r>
            <w:proofErr w:type="spellEnd"/>
            <w:r w:rsidRPr="00E16672">
              <w:rPr>
                <w:rFonts w:ascii="Times New Roman" w:eastAsia="Arial" w:hAnsi="Times New Roman"/>
                <w:color w:val="000000"/>
                <w:sz w:val="16"/>
                <w:szCs w:val="16"/>
              </w:rPr>
              <w:t xml:space="preserve"> </w:t>
            </w:r>
            <w:proofErr w:type="spellStart"/>
            <w:r w:rsidRPr="00E16672">
              <w:rPr>
                <w:rFonts w:ascii="Times New Roman" w:eastAsia="Arial" w:hAnsi="Times New Roman"/>
                <w:color w:val="000000"/>
                <w:sz w:val="16"/>
                <w:szCs w:val="16"/>
              </w:rPr>
              <w:t>the</w:t>
            </w:r>
            <w:proofErr w:type="spellEnd"/>
            <w:r w:rsidRPr="00E16672">
              <w:rPr>
                <w:rFonts w:ascii="Times New Roman" w:eastAsia="Arial" w:hAnsi="Times New Roman"/>
                <w:color w:val="000000"/>
                <w:sz w:val="16"/>
                <w:szCs w:val="16"/>
              </w:rPr>
              <w:t xml:space="preserve"> </w:t>
            </w:r>
            <w:proofErr w:type="spellStart"/>
            <w:r w:rsidRPr="00E16672">
              <w:rPr>
                <w:rFonts w:ascii="Times New Roman" w:eastAsia="Arial" w:hAnsi="Times New Roman"/>
                <w:color w:val="000000"/>
                <w:sz w:val="16"/>
                <w:szCs w:val="16"/>
              </w:rPr>
              <w:t>date</w:t>
            </w:r>
            <w:proofErr w:type="spellEnd"/>
            <w:r w:rsidRPr="00E16672">
              <w:rPr>
                <w:rFonts w:ascii="Times New Roman" w:eastAsia="Arial" w:hAnsi="Times New Roman"/>
                <w:color w:val="000000"/>
                <w:sz w:val="16"/>
                <w:szCs w:val="16"/>
              </w:rPr>
              <w:t xml:space="preserve"> </w:t>
            </w:r>
            <w:proofErr w:type="spellStart"/>
            <w:r w:rsidRPr="00E16672">
              <w:rPr>
                <w:rFonts w:ascii="Times New Roman" w:eastAsia="Arial" w:hAnsi="Times New Roman"/>
                <w:color w:val="000000"/>
                <w:sz w:val="16"/>
                <w:szCs w:val="16"/>
              </w:rPr>
              <w:t>of</w:t>
            </w:r>
            <w:proofErr w:type="spellEnd"/>
            <w:r w:rsidRPr="00E16672">
              <w:rPr>
                <w:rFonts w:ascii="Times New Roman" w:eastAsia="Arial" w:hAnsi="Times New Roman"/>
                <w:color w:val="000000"/>
                <w:sz w:val="16"/>
                <w:szCs w:val="16"/>
              </w:rPr>
              <w:t xml:space="preserve"> </w:t>
            </w:r>
            <w:proofErr w:type="spellStart"/>
            <w:r w:rsidRPr="00E16672">
              <w:rPr>
                <w:rFonts w:ascii="Times New Roman" w:eastAsia="Arial" w:hAnsi="Times New Roman"/>
                <w:color w:val="000000"/>
                <w:sz w:val="16"/>
                <w:szCs w:val="16"/>
              </w:rPr>
              <w:t>receipt</w:t>
            </w:r>
            <w:proofErr w:type="spellEnd"/>
            <w:r w:rsidRPr="00E16672">
              <w:rPr>
                <w:rFonts w:ascii="Times New Roman" w:eastAsia="Arial" w:hAnsi="Times New Roman"/>
                <w:color w:val="000000"/>
                <w:sz w:val="16"/>
                <w:szCs w:val="16"/>
              </w:rPr>
              <w:t xml:space="preserve"> </w:t>
            </w:r>
            <w:proofErr w:type="spellStart"/>
            <w:r w:rsidRPr="00E16672">
              <w:rPr>
                <w:rFonts w:ascii="Times New Roman" w:eastAsia="Arial" w:hAnsi="Times New Roman"/>
                <w:color w:val="000000"/>
                <w:sz w:val="16"/>
                <w:szCs w:val="16"/>
              </w:rPr>
              <w:t>of</w:t>
            </w:r>
            <w:proofErr w:type="spellEnd"/>
            <w:r w:rsidRPr="00E16672">
              <w:rPr>
                <w:rFonts w:ascii="Times New Roman" w:eastAsia="Arial" w:hAnsi="Times New Roman"/>
                <w:color w:val="000000"/>
                <w:sz w:val="16"/>
                <w:szCs w:val="16"/>
              </w:rPr>
              <w:t xml:space="preserve"> </w:t>
            </w:r>
            <w:r w:rsidRPr="00E16672">
              <w:rPr>
                <w:rFonts w:ascii="Times New Roman" w:eastAsia="Arial" w:hAnsi="Times New Roman"/>
                <w:color w:val="000000"/>
                <w:sz w:val="16"/>
                <w:szCs w:val="16"/>
                <w:lang w:val="en-US"/>
              </w:rPr>
              <w:t xml:space="preserve">such order </w:t>
            </w:r>
            <w:r w:rsidRPr="00E16672">
              <w:rPr>
                <w:rFonts w:ascii="Times New Roman" w:eastAsia="Arial" w:hAnsi="Times New Roman"/>
                <w:color w:val="000000"/>
                <w:sz w:val="16"/>
                <w:szCs w:val="16"/>
              </w:rPr>
              <w:t xml:space="preserve"> </w:t>
            </w:r>
            <w:r w:rsidRPr="00E16672">
              <w:rPr>
                <w:rFonts w:ascii="Times New Roman" w:eastAsia="Arial" w:hAnsi="Times New Roman"/>
                <w:color w:val="000000"/>
                <w:sz w:val="16"/>
                <w:szCs w:val="16"/>
                <w:lang w:val="en-US"/>
              </w:rPr>
              <w:t>in the manner specified in the order.</w:t>
            </w:r>
          </w:p>
          <w:p w14:paraId="1CCA2BBF" w14:textId="77777777" w:rsidR="003A05A3" w:rsidRPr="00E16672" w:rsidRDefault="003A05A3" w:rsidP="00843027">
            <w:pPr>
              <w:pStyle w:val="23"/>
              <w:ind w:left="175" w:right="138" w:firstLine="0"/>
              <w:rPr>
                <w:rFonts w:ascii="Times New Roman" w:eastAsia="Arial" w:hAnsi="Times New Roman"/>
                <w:color w:val="000000"/>
                <w:sz w:val="16"/>
                <w:szCs w:val="16"/>
              </w:rPr>
            </w:pPr>
            <w:r w:rsidRPr="00E16672">
              <w:rPr>
                <w:rFonts w:ascii="Times New Roman" w:eastAsia="Arial" w:hAnsi="Times New Roman"/>
                <w:color w:val="000000"/>
                <w:sz w:val="16"/>
                <w:szCs w:val="16"/>
                <w:lang w:val="en-US"/>
              </w:rPr>
              <w:t xml:space="preserve">Extract from the securities account </w:t>
            </w:r>
            <w:proofErr w:type="gramStart"/>
            <w:r w:rsidRPr="00E16672">
              <w:rPr>
                <w:rFonts w:ascii="Times New Roman" w:eastAsia="Arial" w:hAnsi="Times New Roman"/>
                <w:color w:val="000000"/>
                <w:sz w:val="16"/>
                <w:szCs w:val="16"/>
                <w:lang w:val="en-US"/>
              </w:rPr>
              <w:t>of  Depositor</w:t>
            </w:r>
            <w:proofErr w:type="gramEnd"/>
            <w:r w:rsidRPr="00E16672">
              <w:rPr>
                <w:rFonts w:ascii="Times New Roman" w:eastAsia="Arial" w:hAnsi="Times New Roman"/>
                <w:color w:val="000000"/>
                <w:sz w:val="16"/>
                <w:szCs w:val="16"/>
                <w:lang w:val="en-US"/>
              </w:rPr>
              <w:t xml:space="preserve"> may be provided as an electronic document using a </w:t>
            </w:r>
            <w:proofErr w:type="spellStart"/>
            <w:r w:rsidRPr="00E16672">
              <w:rPr>
                <w:rStyle w:val="shorttext"/>
                <w:rFonts w:ascii="Times New Roman" w:hAnsi="Times New Roman"/>
                <w:sz w:val="16"/>
              </w:rPr>
              <w:t>qualified</w:t>
            </w:r>
            <w:proofErr w:type="spellEnd"/>
            <w:r w:rsidRPr="00E16672">
              <w:rPr>
                <w:rFonts w:ascii="Times New Roman" w:eastAsia="Arial" w:hAnsi="Times New Roman"/>
                <w:color w:val="000000"/>
                <w:sz w:val="8"/>
                <w:szCs w:val="16"/>
                <w:lang w:val="en-US"/>
              </w:rPr>
              <w:t xml:space="preserve"> </w:t>
            </w:r>
            <w:proofErr w:type="spellStart"/>
            <w:r w:rsidRPr="00E16672">
              <w:rPr>
                <w:rFonts w:ascii="Times New Roman" w:hAnsi="Times New Roman"/>
                <w:color w:val="000000"/>
                <w:spacing w:val="-9"/>
                <w:sz w:val="16"/>
                <w:szCs w:val="16"/>
                <w:shd w:val="clear" w:color="auto" w:fill="FFFFFF"/>
              </w:rPr>
              <w:t>electronic</w:t>
            </w:r>
            <w:proofErr w:type="spellEnd"/>
            <w:r w:rsidRPr="00E16672" w:rsidDel="00910781">
              <w:rPr>
                <w:rFonts w:ascii="Times New Roman" w:eastAsia="Arial" w:hAnsi="Times New Roman"/>
                <w:color w:val="000000"/>
                <w:sz w:val="16"/>
                <w:szCs w:val="16"/>
                <w:lang w:val="en-US"/>
              </w:rPr>
              <w:t xml:space="preserve"> </w:t>
            </w:r>
            <w:r w:rsidRPr="00E16672">
              <w:rPr>
                <w:rFonts w:ascii="Times New Roman" w:eastAsia="Arial" w:hAnsi="Times New Roman"/>
                <w:color w:val="000000"/>
                <w:sz w:val="16"/>
                <w:szCs w:val="16"/>
                <w:lang w:val="en-US"/>
              </w:rPr>
              <w:t xml:space="preserve">signature and </w:t>
            </w:r>
            <w:proofErr w:type="spellStart"/>
            <w:r w:rsidRPr="00E16672">
              <w:rPr>
                <w:rFonts w:ascii="Times New Roman" w:hAnsi="Times New Roman"/>
                <w:color w:val="000000"/>
                <w:spacing w:val="-9"/>
                <w:sz w:val="16"/>
                <w:szCs w:val="16"/>
                <w:shd w:val="clear" w:color="auto" w:fill="FFFFFF"/>
              </w:rPr>
              <w:t>with</w:t>
            </w:r>
            <w:proofErr w:type="spellEnd"/>
            <w:r w:rsidRPr="00E16672">
              <w:rPr>
                <w:rFonts w:ascii="Times New Roman" w:hAnsi="Times New Roman"/>
                <w:color w:val="000000"/>
                <w:spacing w:val="-9"/>
                <w:sz w:val="16"/>
                <w:szCs w:val="16"/>
                <w:shd w:val="clear" w:color="auto" w:fill="FFFFFF"/>
              </w:rPr>
              <w:t xml:space="preserve"> </w:t>
            </w:r>
            <w:proofErr w:type="spellStart"/>
            <w:r w:rsidRPr="00E16672">
              <w:rPr>
                <w:rFonts w:ascii="Times New Roman" w:hAnsi="Times New Roman"/>
                <w:color w:val="000000"/>
                <w:spacing w:val="-9"/>
                <w:sz w:val="16"/>
                <w:szCs w:val="16"/>
                <w:shd w:val="clear" w:color="auto" w:fill="FFFFFF"/>
              </w:rPr>
              <w:t>an</w:t>
            </w:r>
            <w:proofErr w:type="spellEnd"/>
            <w:r w:rsidRPr="00E16672">
              <w:rPr>
                <w:rFonts w:ascii="Times New Roman" w:hAnsi="Times New Roman"/>
                <w:color w:val="000000"/>
                <w:spacing w:val="-9"/>
                <w:sz w:val="16"/>
                <w:szCs w:val="16"/>
                <w:shd w:val="clear" w:color="auto" w:fill="FFFFFF"/>
              </w:rPr>
              <w:t xml:space="preserve"> </w:t>
            </w:r>
            <w:proofErr w:type="spellStart"/>
            <w:r w:rsidRPr="00E16672">
              <w:rPr>
                <w:rStyle w:val="shorttext"/>
                <w:rFonts w:ascii="Times New Roman" w:hAnsi="Times New Roman"/>
                <w:sz w:val="16"/>
              </w:rPr>
              <w:t>qualified</w:t>
            </w:r>
            <w:proofErr w:type="spellEnd"/>
            <w:r w:rsidRPr="00E16672">
              <w:rPr>
                <w:rFonts w:ascii="Times New Roman" w:eastAsia="Arial" w:hAnsi="Times New Roman"/>
                <w:color w:val="000000"/>
                <w:sz w:val="8"/>
                <w:szCs w:val="16"/>
                <w:lang w:val="en-US"/>
              </w:rPr>
              <w:t xml:space="preserve"> </w:t>
            </w:r>
            <w:proofErr w:type="spellStart"/>
            <w:r w:rsidRPr="00E16672">
              <w:rPr>
                <w:rFonts w:ascii="Times New Roman" w:hAnsi="Times New Roman"/>
                <w:color w:val="000000"/>
                <w:spacing w:val="-9"/>
                <w:sz w:val="16"/>
                <w:szCs w:val="16"/>
                <w:shd w:val="clear" w:color="auto" w:fill="FFFFFF"/>
              </w:rPr>
              <w:t>electronic</w:t>
            </w:r>
            <w:proofErr w:type="spellEnd"/>
            <w:r w:rsidRPr="00E16672">
              <w:rPr>
                <w:rFonts w:ascii="Times New Roman" w:hAnsi="Times New Roman"/>
                <w:color w:val="000000"/>
                <w:spacing w:val="-9"/>
                <w:sz w:val="16"/>
                <w:szCs w:val="16"/>
                <w:shd w:val="clear" w:color="auto" w:fill="FFFFFF"/>
              </w:rPr>
              <w:t xml:space="preserve"> </w:t>
            </w:r>
            <w:proofErr w:type="spellStart"/>
            <w:r w:rsidRPr="00E16672">
              <w:rPr>
                <w:rFonts w:ascii="Times New Roman" w:hAnsi="Times New Roman"/>
                <w:color w:val="000000"/>
                <w:spacing w:val="-9"/>
                <w:sz w:val="16"/>
                <w:szCs w:val="16"/>
                <w:shd w:val="clear" w:color="auto" w:fill="FFFFFF"/>
              </w:rPr>
              <w:t>signature</w:t>
            </w:r>
            <w:proofErr w:type="spellEnd"/>
            <w:r w:rsidRPr="00E16672">
              <w:rPr>
                <w:rFonts w:ascii="Times New Roman" w:hAnsi="Times New Roman"/>
                <w:color w:val="000000"/>
                <w:spacing w:val="-9"/>
                <w:sz w:val="16"/>
                <w:szCs w:val="16"/>
                <w:shd w:val="clear" w:color="auto" w:fill="FFFFFF"/>
              </w:rPr>
              <w:t xml:space="preserve">,  </w:t>
            </w:r>
            <w:proofErr w:type="spellStart"/>
            <w:r w:rsidRPr="00E16672">
              <w:rPr>
                <w:rFonts w:ascii="Times New Roman" w:hAnsi="Times New Roman"/>
                <w:color w:val="000000"/>
                <w:spacing w:val="-9"/>
                <w:sz w:val="16"/>
                <w:szCs w:val="16"/>
                <w:shd w:val="clear" w:color="auto" w:fill="FFFFFF"/>
              </w:rPr>
              <w:t>that</w:t>
            </w:r>
            <w:proofErr w:type="spellEnd"/>
            <w:r w:rsidRPr="00E16672">
              <w:rPr>
                <w:rFonts w:ascii="Times New Roman" w:hAnsi="Times New Roman"/>
                <w:color w:val="000000"/>
                <w:spacing w:val="-9"/>
                <w:sz w:val="16"/>
                <w:szCs w:val="16"/>
                <w:shd w:val="clear" w:color="auto" w:fill="FFFFFF"/>
              </w:rPr>
              <w:t xml:space="preserve"> </w:t>
            </w:r>
            <w:proofErr w:type="spellStart"/>
            <w:r w:rsidRPr="00E16672">
              <w:rPr>
                <w:rFonts w:ascii="Times New Roman" w:hAnsi="Times New Roman"/>
                <w:color w:val="000000"/>
                <w:spacing w:val="-9"/>
                <w:sz w:val="16"/>
                <w:szCs w:val="16"/>
                <w:shd w:val="clear" w:color="auto" w:fill="FFFFFF"/>
              </w:rPr>
              <w:t>the</w:t>
            </w:r>
            <w:proofErr w:type="spellEnd"/>
            <w:r w:rsidRPr="00E16672">
              <w:rPr>
                <w:rFonts w:ascii="Times New Roman" w:hAnsi="Times New Roman"/>
                <w:color w:val="000000"/>
                <w:spacing w:val="-9"/>
                <w:sz w:val="16"/>
                <w:szCs w:val="16"/>
                <w:shd w:val="clear" w:color="auto" w:fill="FFFFFF"/>
              </w:rPr>
              <w:t xml:space="preserve"> </w:t>
            </w:r>
            <w:proofErr w:type="spellStart"/>
            <w:r w:rsidRPr="00E16672">
              <w:rPr>
                <w:rFonts w:ascii="Times New Roman" w:hAnsi="Times New Roman"/>
                <w:color w:val="000000"/>
                <w:spacing w:val="-9"/>
                <w:sz w:val="16"/>
                <w:szCs w:val="16"/>
                <w:shd w:val="clear" w:color="auto" w:fill="FFFFFF"/>
              </w:rPr>
              <w:t>legal</w:t>
            </w:r>
            <w:proofErr w:type="spellEnd"/>
            <w:r w:rsidRPr="00E16672">
              <w:rPr>
                <w:rFonts w:ascii="Times New Roman" w:hAnsi="Times New Roman"/>
                <w:color w:val="000000"/>
                <w:spacing w:val="-9"/>
                <w:sz w:val="16"/>
                <w:szCs w:val="16"/>
                <w:shd w:val="clear" w:color="auto" w:fill="FFFFFF"/>
              </w:rPr>
              <w:t xml:space="preserve"> </w:t>
            </w:r>
            <w:proofErr w:type="spellStart"/>
            <w:r w:rsidRPr="00E16672">
              <w:rPr>
                <w:rFonts w:ascii="Times New Roman" w:hAnsi="Times New Roman"/>
                <w:color w:val="000000"/>
                <w:spacing w:val="-9"/>
                <w:sz w:val="16"/>
                <w:szCs w:val="16"/>
                <w:shd w:val="clear" w:color="auto" w:fill="FFFFFF"/>
              </w:rPr>
              <w:t>status</w:t>
            </w:r>
            <w:proofErr w:type="spellEnd"/>
            <w:r w:rsidRPr="00E16672">
              <w:rPr>
                <w:rFonts w:ascii="Times New Roman" w:hAnsi="Times New Roman"/>
                <w:color w:val="000000"/>
                <w:spacing w:val="-9"/>
                <w:sz w:val="16"/>
                <w:szCs w:val="16"/>
                <w:shd w:val="clear" w:color="auto" w:fill="FFFFFF"/>
              </w:rPr>
              <w:t xml:space="preserve"> </w:t>
            </w:r>
            <w:proofErr w:type="spellStart"/>
            <w:r w:rsidRPr="00E16672">
              <w:rPr>
                <w:rFonts w:ascii="Times New Roman" w:hAnsi="Times New Roman"/>
                <w:color w:val="000000"/>
                <w:spacing w:val="-9"/>
                <w:sz w:val="16"/>
                <w:szCs w:val="16"/>
                <w:shd w:val="clear" w:color="auto" w:fill="FFFFFF"/>
              </w:rPr>
              <w:t>equivalent</w:t>
            </w:r>
            <w:proofErr w:type="spellEnd"/>
            <w:r w:rsidRPr="00E16672">
              <w:rPr>
                <w:rFonts w:ascii="Times New Roman" w:hAnsi="Times New Roman"/>
                <w:color w:val="000000"/>
                <w:spacing w:val="-9"/>
                <w:sz w:val="16"/>
                <w:szCs w:val="16"/>
                <w:shd w:val="clear" w:color="auto" w:fill="FFFFFF"/>
              </w:rPr>
              <w:t xml:space="preserve"> </w:t>
            </w:r>
            <w:proofErr w:type="spellStart"/>
            <w:r w:rsidRPr="00E16672">
              <w:rPr>
                <w:rFonts w:ascii="Times New Roman" w:hAnsi="Times New Roman"/>
                <w:color w:val="000000"/>
                <w:spacing w:val="-9"/>
                <w:sz w:val="16"/>
                <w:szCs w:val="16"/>
                <w:shd w:val="clear" w:color="auto" w:fill="FFFFFF"/>
              </w:rPr>
              <w:t>to</w:t>
            </w:r>
            <w:proofErr w:type="spellEnd"/>
            <w:r w:rsidRPr="00E16672">
              <w:rPr>
                <w:rFonts w:ascii="Times New Roman" w:hAnsi="Times New Roman"/>
                <w:color w:val="000000"/>
                <w:spacing w:val="-9"/>
                <w:sz w:val="16"/>
                <w:szCs w:val="16"/>
                <w:shd w:val="clear" w:color="auto" w:fill="FFFFFF"/>
              </w:rPr>
              <w:t xml:space="preserve"> </w:t>
            </w:r>
            <w:proofErr w:type="spellStart"/>
            <w:r w:rsidRPr="00E16672">
              <w:rPr>
                <w:rFonts w:ascii="Times New Roman" w:hAnsi="Times New Roman"/>
                <w:color w:val="000000"/>
                <w:spacing w:val="-9"/>
                <w:sz w:val="16"/>
                <w:szCs w:val="16"/>
                <w:shd w:val="clear" w:color="auto" w:fill="FFFFFF"/>
              </w:rPr>
              <w:t>the</w:t>
            </w:r>
            <w:proofErr w:type="spellEnd"/>
            <w:r w:rsidRPr="00E16672">
              <w:rPr>
                <w:rFonts w:ascii="Times New Roman" w:hAnsi="Times New Roman"/>
                <w:color w:val="000000"/>
                <w:spacing w:val="-9"/>
                <w:sz w:val="16"/>
                <w:szCs w:val="16"/>
                <w:shd w:val="clear" w:color="auto" w:fill="FFFFFF"/>
              </w:rPr>
              <w:t xml:space="preserve"> </w:t>
            </w:r>
            <w:proofErr w:type="spellStart"/>
            <w:r w:rsidRPr="00E16672">
              <w:rPr>
                <w:rFonts w:ascii="Times New Roman" w:hAnsi="Times New Roman"/>
                <w:color w:val="000000"/>
                <w:spacing w:val="-9"/>
                <w:sz w:val="16"/>
                <w:szCs w:val="16"/>
                <w:shd w:val="clear" w:color="auto" w:fill="FFFFFF"/>
              </w:rPr>
              <w:t>seal</w:t>
            </w:r>
            <w:proofErr w:type="spellEnd"/>
            <w:r w:rsidRPr="00E16672">
              <w:rPr>
                <w:rFonts w:ascii="Times New Roman" w:hAnsi="Times New Roman"/>
                <w:color w:val="000000"/>
                <w:spacing w:val="-9"/>
                <w:sz w:val="16"/>
                <w:szCs w:val="16"/>
                <w:shd w:val="clear" w:color="auto" w:fill="FFFFFF"/>
              </w:rPr>
              <w:t xml:space="preserve"> </w:t>
            </w:r>
            <w:proofErr w:type="spellStart"/>
            <w:r w:rsidRPr="00E16672">
              <w:rPr>
                <w:rFonts w:ascii="Times New Roman" w:hAnsi="Times New Roman"/>
                <w:color w:val="000000"/>
                <w:spacing w:val="-9"/>
                <w:sz w:val="16"/>
                <w:szCs w:val="16"/>
                <w:shd w:val="clear" w:color="auto" w:fill="FFFFFF"/>
              </w:rPr>
              <w:t>of</w:t>
            </w:r>
            <w:proofErr w:type="spellEnd"/>
            <w:r w:rsidRPr="00E16672">
              <w:rPr>
                <w:rFonts w:ascii="Times New Roman" w:hAnsi="Times New Roman"/>
                <w:color w:val="000000"/>
                <w:spacing w:val="-9"/>
                <w:sz w:val="16"/>
                <w:szCs w:val="16"/>
                <w:shd w:val="clear" w:color="auto" w:fill="FFFFFF"/>
              </w:rPr>
              <w:t xml:space="preserve"> </w:t>
            </w:r>
            <w:proofErr w:type="spellStart"/>
            <w:r w:rsidRPr="00E16672">
              <w:rPr>
                <w:rFonts w:ascii="Times New Roman" w:hAnsi="Times New Roman"/>
                <w:color w:val="000000"/>
                <w:spacing w:val="-9"/>
                <w:sz w:val="16"/>
                <w:szCs w:val="16"/>
                <w:shd w:val="clear" w:color="auto" w:fill="FFFFFF"/>
              </w:rPr>
              <w:t>the</w:t>
            </w:r>
            <w:proofErr w:type="spellEnd"/>
            <w:r w:rsidRPr="00E16672">
              <w:rPr>
                <w:rFonts w:ascii="Times New Roman" w:hAnsi="Times New Roman"/>
                <w:color w:val="000000"/>
                <w:spacing w:val="-9"/>
                <w:sz w:val="16"/>
                <w:szCs w:val="16"/>
                <w:shd w:val="clear" w:color="auto" w:fill="FFFFFF"/>
              </w:rPr>
              <w:t xml:space="preserve"> </w:t>
            </w:r>
            <w:proofErr w:type="spellStart"/>
            <w:r w:rsidRPr="00E16672">
              <w:rPr>
                <w:rFonts w:ascii="Times New Roman" w:hAnsi="Times New Roman"/>
                <w:color w:val="000000"/>
                <w:spacing w:val="-9"/>
                <w:sz w:val="16"/>
                <w:szCs w:val="16"/>
                <w:shd w:val="clear" w:color="auto" w:fill="FFFFFF"/>
              </w:rPr>
              <w:t>legal</w:t>
            </w:r>
            <w:proofErr w:type="spellEnd"/>
            <w:r w:rsidRPr="00E16672">
              <w:rPr>
                <w:rFonts w:ascii="Times New Roman" w:hAnsi="Times New Roman"/>
                <w:color w:val="000000"/>
                <w:spacing w:val="-9"/>
                <w:sz w:val="16"/>
                <w:szCs w:val="16"/>
                <w:shd w:val="clear" w:color="auto" w:fill="FFFFFF"/>
              </w:rPr>
              <w:t xml:space="preserve"> </w:t>
            </w:r>
            <w:proofErr w:type="spellStart"/>
            <w:r w:rsidRPr="00E16672">
              <w:rPr>
                <w:rFonts w:ascii="Times New Roman" w:hAnsi="Times New Roman"/>
                <w:color w:val="000000"/>
                <w:spacing w:val="-9"/>
                <w:sz w:val="16"/>
                <w:szCs w:val="16"/>
                <w:shd w:val="clear" w:color="auto" w:fill="FFFFFF"/>
              </w:rPr>
              <w:t>entity</w:t>
            </w:r>
            <w:proofErr w:type="spellEnd"/>
            <w:r w:rsidRPr="00E16672">
              <w:rPr>
                <w:rFonts w:ascii="Times New Roman" w:hAnsi="Times New Roman"/>
                <w:color w:val="000000"/>
                <w:spacing w:val="-9"/>
                <w:sz w:val="16"/>
                <w:szCs w:val="16"/>
                <w:shd w:val="clear" w:color="auto" w:fill="FFFFFF"/>
              </w:rPr>
              <w:t xml:space="preserve"> (</w:t>
            </w:r>
            <w:r w:rsidRPr="00E16672">
              <w:rPr>
                <w:rFonts w:ascii="Times New Roman" w:hAnsi="Times New Roman"/>
                <w:color w:val="000000"/>
                <w:spacing w:val="-9"/>
                <w:sz w:val="16"/>
                <w:szCs w:val="16"/>
                <w:shd w:val="clear" w:color="auto" w:fill="FFFFFF"/>
                <w:lang w:val="en-US"/>
              </w:rPr>
              <w:t>in case of use</w:t>
            </w:r>
            <w:r w:rsidRPr="00E16672">
              <w:rPr>
                <w:rFonts w:ascii="Times New Roman" w:hAnsi="Times New Roman"/>
                <w:color w:val="000000"/>
                <w:spacing w:val="-9"/>
                <w:sz w:val="16"/>
                <w:szCs w:val="16"/>
                <w:shd w:val="clear" w:color="auto" w:fill="FFFFFF"/>
              </w:rPr>
              <w:t>)</w:t>
            </w:r>
            <w:r w:rsidRPr="00E16672">
              <w:rPr>
                <w:rFonts w:ascii="Times New Roman" w:eastAsia="Arial" w:hAnsi="Times New Roman"/>
                <w:color w:val="000000"/>
                <w:sz w:val="16"/>
                <w:szCs w:val="16"/>
                <w:lang w:val="en-US"/>
              </w:rPr>
              <w:t>.</w:t>
            </w:r>
            <w:r w:rsidRPr="00E16672">
              <w:rPr>
                <w:rFonts w:ascii="Times New Roman" w:eastAsia="Arial" w:hAnsi="Times New Roman"/>
                <w:color w:val="000000"/>
                <w:sz w:val="16"/>
                <w:szCs w:val="16"/>
              </w:rPr>
              <w:t xml:space="preserve"> </w:t>
            </w:r>
          </w:p>
          <w:p w14:paraId="12FCF22B" w14:textId="77777777" w:rsidR="003A05A3" w:rsidRPr="00E16672" w:rsidRDefault="003A05A3" w:rsidP="00843027">
            <w:pPr>
              <w:pStyle w:val="23"/>
              <w:ind w:left="175" w:right="138" w:firstLine="0"/>
              <w:rPr>
                <w:rFonts w:ascii="Times New Roman" w:eastAsia="Arial" w:hAnsi="Times New Roman"/>
                <w:color w:val="000000"/>
                <w:sz w:val="16"/>
                <w:szCs w:val="16"/>
              </w:rPr>
            </w:pPr>
            <w:r w:rsidRPr="00E16672">
              <w:rPr>
                <w:rFonts w:ascii="Times New Roman" w:eastAsia="Arial" w:hAnsi="Times New Roman"/>
                <w:color w:val="000000"/>
                <w:spacing w:val="-9"/>
                <w:sz w:val="16"/>
                <w:szCs w:val="16"/>
                <w:lang w:val="en-US"/>
              </w:rPr>
              <w:t>As the report provide the Depositor with extract of account in securities or extract of securities operations after the at least one accounting operation within three business days from the date of such operation.</w:t>
            </w:r>
          </w:p>
          <w:p w14:paraId="0CE307F2" w14:textId="77777777" w:rsidR="003A05A3" w:rsidRPr="00E16672" w:rsidRDefault="003A05A3" w:rsidP="00843027">
            <w:pPr>
              <w:pStyle w:val="23"/>
              <w:ind w:left="175" w:right="138" w:firstLine="0"/>
              <w:rPr>
                <w:rFonts w:ascii="Times New Roman" w:eastAsia="Arial" w:hAnsi="Times New Roman"/>
                <w:color w:val="000000"/>
                <w:sz w:val="16"/>
                <w:szCs w:val="16"/>
              </w:rPr>
            </w:pPr>
          </w:p>
        </w:tc>
      </w:tr>
      <w:tr w:rsidR="003A05A3" w:rsidRPr="00F23413" w14:paraId="5BA28A87" w14:textId="77777777" w:rsidTr="00242F58">
        <w:trPr>
          <w:trHeight w:val="192"/>
        </w:trPr>
        <w:tc>
          <w:tcPr>
            <w:tcW w:w="5696" w:type="dxa"/>
            <w:gridSpan w:val="8"/>
            <w:shd w:val="clear" w:color="auto" w:fill="auto"/>
          </w:tcPr>
          <w:p w14:paraId="33A35BF2" w14:textId="77777777" w:rsidR="003A05A3" w:rsidRPr="00E16672" w:rsidRDefault="003A05A3" w:rsidP="00843027">
            <w:pPr>
              <w:pStyle w:val="210"/>
              <w:snapToGrid w:val="0"/>
              <w:ind w:left="182" w:right="138" w:firstLine="0"/>
              <w:rPr>
                <w:rFonts w:ascii="Times New Roman" w:hAnsi="Times New Roman"/>
                <w:color w:val="000000"/>
                <w:sz w:val="16"/>
                <w:szCs w:val="16"/>
              </w:rPr>
            </w:pPr>
            <w:r w:rsidRPr="00E16672">
              <w:rPr>
                <w:rFonts w:ascii="Times New Roman" w:hAnsi="Times New Roman"/>
                <w:color w:val="000000"/>
                <w:sz w:val="16"/>
                <w:szCs w:val="16"/>
              </w:rPr>
              <w:t>2.1.7. Надавати Депоненту інформаційні довідки про незавершені операції з цінними паперами за рахунком в цінних паперах Депонента</w:t>
            </w:r>
            <w:r w:rsidRPr="00E16672">
              <w:rPr>
                <w:rFonts w:ascii="Times New Roman" w:hAnsi="Times New Roman"/>
                <w:color w:val="000000"/>
                <w:sz w:val="16"/>
                <w:szCs w:val="20"/>
              </w:rPr>
              <w:t>, інші інформаційні довідки згідно вимог законодавства та внутрішніх документів Депозитарної установи,</w:t>
            </w:r>
            <w:r w:rsidRPr="00E16672">
              <w:rPr>
                <w:rFonts w:ascii="Times New Roman" w:hAnsi="Times New Roman"/>
                <w:color w:val="000000"/>
                <w:sz w:val="12"/>
                <w:szCs w:val="16"/>
              </w:rPr>
              <w:t xml:space="preserve"> </w:t>
            </w:r>
            <w:r w:rsidRPr="00E16672">
              <w:rPr>
                <w:rFonts w:ascii="Times New Roman" w:hAnsi="Times New Roman"/>
                <w:color w:val="000000"/>
                <w:sz w:val="16"/>
                <w:szCs w:val="16"/>
              </w:rPr>
              <w:t xml:space="preserve">на запит Депонента не пізніше </w:t>
            </w:r>
            <w:r w:rsidRPr="00E16672">
              <w:rPr>
                <w:rFonts w:ascii="Times New Roman" w:hAnsi="Times New Roman"/>
                <w:i/>
                <w:color w:val="000000"/>
                <w:sz w:val="16"/>
                <w:szCs w:val="16"/>
              </w:rPr>
              <w:t xml:space="preserve">трьох </w:t>
            </w:r>
            <w:r w:rsidRPr="00E16672">
              <w:rPr>
                <w:rFonts w:ascii="Times New Roman" w:hAnsi="Times New Roman"/>
                <w:color w:val="000000"/>
                <w:sz w:val="16"/>
                <w:szCs w:val="16"/>
              </w:rPr>
              <w:t xml:space="preserve">робочих днів з дня отримання відповідного запиту (розпорядження). </w:t>
            </w:r>
            <w:r w:rsidRPr="00E16672">
              <w:rPr>
                <w:rFonts w:ascii="Times New Roman" w:hAnsi="Times New Roman"/>
                <w:color w:val="000000"/>
                <w:spacing w:val="-9"/>
                <w:sz w:val="16"/>
                <w:szCs w:val="16"/>
              </w:rPr>
              <w:t>Інформаційна довідка надається Депоненту у спосіб</w:t>
            </w:r>
            <w:r w:rsidRPr="00E16672">
              <w:rPr>
                <w:rFonts w:ascii="Times New Roman" w:hAnsi="Times New Roman"/>
                <w:color w:val="000000"/>
                <w:sz w:val="16"/>
                <w:szCs w:val="16"/>
              </w:rPr>
              <w:t xml:space="preserve">, визначений у запиті  (розпорядженні)  про надання відповідної інформаційної довідки. </w:t>
            </w:r>
          </w:p>
          <w:p w14:paraId="1D0B23C4" w14:textId="77777777" w:rsidR="003A05A3" w:rsidRPr="00E16672" w:rsidRDefault="003A05A3" w:rsidP="00843027">
            <w:pPr>
              <w:pStyle w:val="210"/>
              <w:snapToGrid w:val="0"/>
              <w:ind w:left="182" w:right="138" w:firstLine="0"/>
              <w:rPr>
                <w:rFonts w:ascii="Times New Roman" w:hAnsi="Times New Roman"/>
                <w:color w:val="000000"/>
                <w:sz w:val="16"/>
                <w:szCs w:val="16"/>
              </w:rPr>
            </w:pPr>
          </w:p>
        </w:tc>
        <w:tc>
          <w:tcPr>
            <w:tcW w:w="5494" w:type="dxa"/>
            <w:gridSpan w:val="6"/>
            <w:shd w:val="clear" w:color="auto" w:fill="auto"/>
          </w:tcPr>
          <w:p w14:paraId="4F67C94E" w14:textId="77777777" w:rsidR="003A05A3" w:rsidRPr="00E16672" w:rsidRDefault="003A05A3" w:rsidP="00F92811">
            <w:pPr>
              <w:pStyle w:val="210"/>
              <w:snapToGrid w:val="0"/>
              <w:ind w:left="142" w:right="100" w:firstLine="0"/>
              <w:rPr>
                <w:rFonts w:ascii="Times New Roman" w:hAnsi="Times New Roman"/>
                <w:color w:val="000000"/>
                <w:sz w:val="16"/>
                <w:szCs w:val="16"/>
              </w:rPr>
            </w:pPr>
            <w:r w:rsidRPr="00E16672">
              <w:rPr>
                <w:rFonts w:ascii="Times New Roman" w:hAnsi="Times New Roman"/>
                <w:color w:val="000000"/>
                <w:sz w:val="16"/>
                <w:szCs w:val="16"/>
              </w:rPr>
              <w:t xml:space="preserve">2.1.7. </w:t>
            </w:r>
            <w:proofErr w:type="spellStart"/>
            <w:r w:rsidRPr="00E16672">
              <w:rPr>
                <w:rFonts w:ascii="Times New Roman" w:hAnsi="Times New Roman"/>
                <w:color w:val="000000"/>
                <w:sz w:val="16"/>
                <w:szCs w:val="16"/>
              </w:rPr>
              <w:t>To</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provide</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Depositor</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with</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information</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sheet</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about</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the</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unfinished</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transactions</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in</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securities</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on</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the</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Depositor’s</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account</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in</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se</w:t>
            </w:r>
            <w:r w:rsidR="00F92811" w:rsidRPr="00E16672">
              <w:rPr>
                <w:rFonts w:ascii="Times New Roman" w:hAnsi="Times New Roman"/>
                <w:color w:val="000000"/>
                <w:sz w:val="16"/>
                <w:szCs w:val="16"/>
              </w:rPr>
              <w:t>curities</w:t>
            </w:r>
            <w:proofErr w:type="spellEnd"/>
            <w:r w:rsidR="00F92811" w:rsidRPr="00E16672">
              <w:rPr>
                <w:rFonts w:ascii="Times New Roman" w:hAnsi="Times New Roman"/>
                <w:color w:val="000000"/>
                <w:sz w:val="16"/>
                <w:szCs w:val="16"/>
              </w:rPr>
              <w:t xml:space="preserve"> </w:t>
            </w:r>
            <w:proofErr w:type="spellStart"/>
            <w:r w:rsidR="00F92811" w:rsidRPr="00E16672">
              <w:rPr>
                <w:rFonts w:ascii="Times New Roman" w:hAnsi="Times New Roman"/>
                <w:color w:val="000000"/>
                <w:sz w:val="16"/>
                <w:szCs w:val="16"/>
              </w:rPr>
              <w:t>at</w:t>
            </w:r>
            <w:proofErr w:type="spellEnd"/>
            <w:r w:rsidR="00F92811" w:rsidRPr="00E16672">
              <w:rPr>
                <w:rFonts w:ascii="Times New Roman" w:hAnsi="Times New Roman"/>
                <w:color w:val="000000"/>
                <w:sz w:val="16"/>
                <w:szCs w:val="16"/>
              </w:rPr>
              <w:t xml:space="preserve"> </w:t>
            </w:r>
            <w:proofErr w:type="spellStart"/>
            <w:r w:rsidR="00F92811" w:rsidRPr="00E16672">
              <w:rPr>
                <w:rFonts w:ascii="Times New Roman" w:hAnsi="Times New Roman"/>
                <w:color w:val="000000"/>
                <w:sz w:val="16"/>
                <w:szCs w:val="16"/>
              </w:rPr>
              <w:t>the</w:t>
            </w:r>
            <w:proofErr w:type="spellEnd"/>
            <w:r w:rsidR="00F92811" w:rsidRPr="00E16672">
              <w:rPr>
                <w:rFonts w:ascii="Times New Roman" w:hAnsi="Times New Roman"/>
                <w:color w:val="000000"/>
                <w:sz w:val="16"/>
                <w:szCs w:val="16"/>
              </w:rPr>
              <w:t xml:space="preserve"> </w:t>
            </w:r>
            <w:proofErr w:type="spellStart"/>
            <w:r w:rsidR="00F92811" w:rsidRPr="00E16672">
              <w:rPr>
                <w:rFonts w:ascii="Times New Roman" w:hAnsi="Times New Roman"/>
                <w:color w:val="000000"/>
                <w:sz w:val="16"/>
                <w:szCs w:val="16"/>
              </w:rPr>
              <w:t>request</w:t>
            </w:r>
            <w:proofErr w:type="spellEnd"/>
            <w:r w:rsidR="00F92811" w:rsidRPr="00E16672">
              <w:rPr>
                <w:rFonts w:ascii="Times New Roman" w:hAnsi="Times New Roman"/>
                <w:color w:val="000000"/>
                <w:sz w:val="16"/>
                <w:szCs w:val="16"/>
              </w:rPr>
              <w:t xml:space="preserve"> </w:t>
            </w:r>
            <w:proofErr w:type="spellStart"/>
            <w:r w:rsidR="00F92811" w:rsidRPr="00E16672">
              <w:rPr>
                <w:rFonts w:ascii="Times New Roman" w:hAnsi="Times New Roman"/>
                <w:color w:val="000000"/>
                <w:sz w:val="16"/>
                <w:szCs w:val="16"/>
              </w:rPr>
              <w:t>of</w:t>
            </w:r>
            <w:proofErr w:type="spellEnd"/>
            <w:r w:rsidR="00F92811" w:rsidRPr="00E16672">
              <w:rPr>
                <w:rFonts w:ascii="Times New Roman" w:hAnsi="Times New Roman"/>
                <w:color w:val="000000"/>
                <w:sz w:val="16"/>
                <w:szCs w:val="16"/>
              </w:rPr>
              <w:t xml:space="preserve"> </w:t>
            </w:r>
            <w:proofErr w:type="spellStart"/>
            <w:r w:rsidR="00F92811" w:rsidRPr="00E16672">
              <w:rPr>
                <w:rFonts w:ascii="Times New Roman" w:hAnsi="Times New Roman"/>
                <w:color w:val="000000"/>
                <w:sz w:val="16"/>
                <w:szCs w:val="16"/>
              </w:rPr>
              <w:t>the</w:t>
            </w:r>
            <w:proofErr w:type="spellEnd"/>
            <w:r w:rsidR="00F92811"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Depositor</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i/>
                <w:color w:val="000000"/>
                <w:sz w:val="16"/>
                <w:szCs w:val="16"/>
              </w:rPr>
              <w:t>no</w:t>
            </w:r>
            <w:proofErr w:type="spellEnd"/>
            <w:r w:rsidRPr="00E16672">
              <w:rPr>
                <w:rFonts w:ascii="Times New Roman" w:hAnsi="Times New Roman"/>
                <w:i/>
                <w:color w:val="000000"/>
                <w:sz w:val="16"/>
                <w:szCs w:val="16"/>
              </w:rPr>
              <w:t xml:space="preserve"> </w:t>
            </w:r>
            <w:proofErr w:type="spellStart"/>
            <w:r w:rsidRPr="00E16672">
              <w:rPr>
                <w:rFonts w:ascii="Times New Roman" w:hAnsi="Times New Roman"/>
                <w:i/>
                <w:color w:val="000000"/>
                <w:sz w:val="16"/>
                <w:szCs w:val="16"/>
              </w:rPr>
              <w:t>later</w:t>
            </w:r>
            <w:proofErr w:type="spellEnd"/>
            <w:r w:rsidRPr="00E16672">
              <w:rPr>
                <w:rFonts w:ascii="Times New Roman" w:hAnsi="Times New Roman"/>
                <w:i/>
                <w:color w:val="000000"/>
                <w:sz w:val="16"/>
                <w:szCs w:val="16"/>
              </w:rPr>
              <w:t xml:space="preserve"> </w:t>
            </w:r>
            <w:proofErr w:type="spellStart"/>
            <w:r w:rsidRPr="00E16672">
              <w:rPr>
                <w:rFonts w:ascii="Times New Roman" w:hAnsi="Times New Roman"/>
                <w:i/>
                <w:color w:val="000000"/>
                <w:sz w:val="16"/>
                <w:szCs w:val="16"/>
              </w:rPr>
              <w:t>than</w:t>
            </w:r>
            <w:proofErr w:type="spellEnd"/>
            <w:r w:rsidRPr="00E16672">
              <w:rPr>
                <w:rFonts w:ascii="Times New Roman" w:hAnsi="Times New Roman"/>
                <w:i/>
                <w:color w:val="000000"/>
                <w:sz w:val="16"/>
                <w:szCs w:val="16"/>
              </w:rPr>
              <w:t xml:space="preserve"> </w:t>
            </w:r>
            <w:proofErr w:type="spellStart"/>
            <w:r w:rsidRPr="00E16672">
              <w:rPr>
                <w:rFonts w:ascii="Times New Roman" w:hAnsi="Times New Roman"/>
                <w:i/>
                <w:color w:val="000000"/>
                <w:sz w:val="16"/>
                <w:szCs w:val="16"/>
              </w:rPr>
              <w:t>three</w:t>
            </w:r>
            <w:proofErr w:type="spellEnd"/>
            <w:r w:rsidRPr="00E16672">
              <w:rPr>
                <w:rFonts w:ascii="Times New Roman" w:hAnsi="Times New Roman"/>
                <w:i/>
                <w:color w:val="000000"/>
                <w:sz w:val="16"/>
                <w:szCs w:val="16"/>
              </w:rPr>
              <w:t xml:space="preserve"> </w:t>
            </w:r>
            <w:proofErr w:type="spellStart"/>
            <w:r w:rsidRPr="00E16672">
              <w:rPr>
                <w:rFonts w:ascii="Times New Roman" w:hAnsi="Times New Roman"/>
                <w:i/>
                <w:color w:val="000000"/>
                <w:sz w:val="16"/>
                <w:szCs w:val="16"/>
              </w:rPr>
              <w:t>working</w:t>
            </w:r>
            <w:proofErr w:type="spellEnd"/>
            <w:r w:rsidRPr="00E16672">
              <w:rPr>
                <w:rFonts w:ascii="Times New Roman" w:hAnsi="Times New Roman"/>
                <w:i/>
                <w:color w:val="000000"/>
                <w:sz w:val="16"/>
                <w:szCs w:val="16"/>
              </w:rPr>
              <w:t xml:space="preserve"> </w:t>
            </w:r>
            <w:proofErr w:type="spellStart"/>
            <w:r w:rsidRPr="00E16672">
              <w:rPr>
                <w:rFonts w:ascii="Times New Roman" w:hAnsi="Times New Roman"/>
                <w:i/>
                <w:color w:val="000000"/>
                <w:sz w:val="16"/>
                <w:szCs w:val="16"/>
              </w:rPr>
              <w:t>days</w:t>
            </w:r>
            <w:proofErr w:type="spellEnd"/>
            <w:r w:rsidRPr="00E16672">
              <w:rPr>
                <w:rFonts w:ascii="Times New Roman" w:hAnsi="Times New Roman"/>
                <w:i/>
                <w:color w:val="000000"/>
                <w:sz w:val="16"/>
                <w:szCs w:val="16"/>
              </w:rPr>
              <w:t xml:space="preserve"> </w:t>
            </w:r>
            <w:proofErr w:type="spellStart"/>
            <w:r w:rsidRPr="00E16672">
              <w:rPr>
                <w:rFonts w:ascii="Times New Roman" w:eastAsia="Arial" w:hAnsi="Times New Roman"/>
                <w:color w:val="000000"/>
                <w:spacing w:val="-9"/>
                <w:sz w:val="16"/>
                <w:szCs w:val="16"/>
              </w:rPr>
              <w:t>after</w:t>
            </w:r>
            <w:proofErr w:type="spellEnd"/>
            <w:r w:rsidRPr="00E16672">
              <w:rPr>
                <w:rFonts w:ascii="Times New Roman" w:eastAsia="Arial" w:hAnsi="Times New Roman"/>
                <w:color w:val="000000"/>
                <w:spacing w:val="-9"/>
                <w:sz w:val="16"/>
                <w:szCs w:val="16"/>
              </w:rPr>
              <w:t xml:space="preserve"> </w:t>
            </w:r>
            <w:proofErr w:type="spellStart"/>
            <w:r w:rsidRPr="00E16672">
              <w:rPr>
                <w:rFonts w:ascii="Times New Roman" w:eastAsia="Arial" w:hAnsi="Times New Roman"/>
                <w:color w:val="000000"/>
                <w:spacing w:val="-9"/>
                <w:sz w:val="16"/>
                <w:szCs w:val="16"/>
              </w:rPr>
              <w:t>receipt</w:t>
            </w:r>
            <w:proofErr w:type="spellEnd"/>
            <w:r w:rsidRPr="00E16672">
              <w:rPr>
                <w:rFonts w:ascii="Times New Roman" w:eastAsia="Arial" w:hAnsi="Times New Roman"/>
                <w:color w:val="000000"/>
                <w:spacing w:val="-9"/>
                <w:sz w:val="16"/>
                <w:szCs w:val="16"/>
              </w:rPr>
              <w:t xml:space="preserve"> </w:t>
            </w:r>
            <w:proofErr w:type="spellStart"/>
            <w:r w:rsidRPr="00E16672">
              <w:rPr>
                <w:rFonts w:ascii="Times New Roman" w:eastAsia="Arial" w:hAnsi="Times New Roman"/>
                <w:color w:val="000000"/>
                <w:spacing w:val="-9"/>
                <w:sz w:val="16"/>
                <w:szCs w:val="16"/>
              </w:rPr>
              <w:t>of</w:t>
            </w:r>
            <w:proofErr w:type="spellEnd"/>
            <w:r w:rsidRPr="00E16672">
              <w:rPr>
                <w:rFonts w:ascii="Times New Roman" w:eastAsia="Arial" w:hAnsi="Times New Roman"/>
                <w:color w:val="000000"/>
                <w:spacing w:val="-9"/>
                <w:sz w:val="16"/>
                <w:szCs w:val="16"/>
              </w:rPr>
              <w:t xml:space="preserve"> </w:t>
            </w:r>
            <w:proofErr w:type="spellStart"/>
            <w:r w:rsidRPr="00E16672">
              <w:rPr>
                <w:rFonts w:ascii="Times New Roman" w:eastAsia="Arial" w:hAnsi="Times New Roman"/>
                <w:color w:val="000000"/>
                <w:spacing w:val="-9"/>
                <w:sz w:val="16"/>
                <w:szCs w:val="16"/>
              </w:rPr>
              <w:t>such</w:t>
            </w:r>
            <w:proofErr w:type="spellEnd"/>
            <w:r w:rsidRPr="00E16672">
              <w:rPr>
                <w:rFonts w:ascii="Times New Roman" w:eastAsia="Arial" w:hAnsi="Times New Roman"/>
                <w:color w:val="000000"/>
                <w:spacing w:val="-9"/>
                <w:sz w:val="16"/>
                <w:szCs w:val="16"/>
              </w:rPr>
              <w:t xml:space="preserve"> </w:t>
            </w:r>
            <w:proofErr w:type="spellStart"/>
            <w:r w:rsidRPr="00E16672">
              <w:rPr>
                <w:rFonts w:ascii="Times New Roman" w:eastAsia="Arial" w:hAnsi="Times New Roman"/>
                <w:color w:val="000000"/>
                <w:spacing w:val="-9"/>
                <w:sz w:val="16"/>
                <w:szCs w:val="16"/>
              </w:rPr>
              <w:t>request</w:t>
            </w:r>
            <w:proofErr w:type="spellEnd"/>
            <w:r w:rsidRPr="00E16672">
              <w:rPr>
                <w:rFonts w:ascii="Times New Roman" w:eastAsia="Arial" w:hAnsi="Times New Roman"/>
                <w:color w:val="000000"/>
                <w:spacing w:val="-9"/>
                <w:sz w:val="16"/>
                <w:szCs w:val="16"/>
              </w:rPr>
              <w:t xml:space="preserve"> </w:t>
            </w:r>
            <w:r w:rsidRPr="00E16672">
              <w:rPr>
                <w:rStyle w:val="shorttext"/>
                <w:rFonts w:ascii="Times New Roman" w:hAnsi="Times New Roman"/>
                <w:sz w:val="16"/>
              </w:rPr>
              <w:t>(</w:t>
            </w:r>
            <w:proofErr w:type="spellStart"/>
            <w:r w:rsidRPr="00E16672">
              <w:rPr>
                <w:rStyle w:val="shorttext"/>
                <w:rFonts w:ascii="Times New Roman" w:hAnsi="Times New Roman"/>
                <w:sz w:val="16"/>
              </w:rPr>
              <w:t>order</w:t>
            </w:r>
            <w:proofErr w:type="spellEnd"/>
            <w:r w:rsidRPr="00E16672">
              <w:rPr>
                <w:rStyle w:val="shorttext"/>
                <w:rFonts w:ascii="Times New Roman" w:hAnsi="Times New Roman"/>
                <w:sz w:val="16"/>
              </w:rPr>
              <w:t>)</w:t>
            </w:r>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Information</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sheet</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is</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provided</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to</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Depositor</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in</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the</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manner</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specified</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in</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the</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request</w:t>
            </w:r>
            <w:proofErr w:type="spellEnd"/>
            <w:r w:rsidRPr="00E16672">
              <w:rPr>
                <w:rFonts w:ascii="Times New Roman" w:hAnsi="Times New Roman"/>
                <w:color w:val="000000"/>
                <w:sz w:val="16"/>
                <w:szCs w:val="16"/>
              </w:rPr>
              <w:t xml:space="preserve"> </w:t>
            </w:r>
            <w:r w:rsidRPr="00E16672">
              <w:rPr>
                <w:rStyle w:val="shorttext"/>
                <w:rFonts w:ascii="Times New Roman" w:hAnsi="Times New Roman"/>
                <w:sz w:val="16"/>
              </w:rPr>
              <w:t>(</w:t>
            </w:r>
            <w:proofErr w:type="spellStart"/>
            <w:r w:rsidRPr="00E16672">
              <w:rPr>
                <w:rStyle w:val="shorttext"/>
                <w:rFonts w:ascii="Times New Roman" w:hAnsi="Times New Roman"/>
                <w:sz w:val="16"/>
              </w:rPr>
              <w:t>order</w:t>
            </w:r>
            <w:proofErr w:type="spellEnd"/>
            <w:r w:rsidRPr="00E16672">
              <w:rPr>
                <w:rStyle w:val="shorttext"/>
                <w:rFonts w:ascii="Times New Roman" w:hAnsi="Times New Roman"/>
                <w:sz w:val="16"/>
              </w:rPr>
              <w:t>)</w:t>
            </w:r>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for</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relevant</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information</w:t>
            </w:r>
            <w:proofErr w:type="spellEnd"/>
            <w:r w:rsidRPr="00E16672">
              <w:rPr>
                <w:rFonts w:ascii="Times New Roman" w:hAnsi="Times New Roman"/>
                <w:color w:val="000000"/>
                <w:sz w:val="16"/>
                <w:szCs w:val="16"/>
              </w:rPr>
              <w:t>.</w:t>
            </w:r>
          </w:p>
        </w:tc>
      </w:tr>
      <w:tr w:rsidR="003A05A3" w:rsidRPr="00F23413" w14:paraId="70D2248E" w14:textId="77777777" w:rsidTr="00242F58">
        <w:trPr>
          <w:trHeight w:val="192"/>
        </w:trPr>
        <w:tc>
          <w:tcPr>
            <w:tcW w:w="5696" w:type="dxa"/>
            <w:gridSpan w:val="8"/>
            <w:shd w:val="clear" w:color="auto" w:fill="auto"/>
          </w:tcPr>
          <w:p w14:paraId="05A94B0B" w14:textId="77777777" w:rsidR="003A05A3" w:rsidRPr="00E16672" w:rsidRDefault="003A05A3" w:rsidP="00843027">
            <w:pPr>
              <w:pStyle w:val="23"/>
              <w:tabs>
                <w:tab w:val="left" w:pos="576"/>
                <w:tab w:val="left" w:pos="588"/>
              </w:tabs>
              <w:ind w:left="182" w:right="138" w:firstLine="0"/>
              <w:rPr>
                <w:rFonts w:ascii="Times New Roman" w:hAnsi="Times New Roman"/>
                <w:color w:val="000000"/>
                <w:sz w:val="16"/>
                <w:szCs w:val="16"/>
              </w:rPr>
            </w:pPr>
            <w:r w:rsidRPr="00E16672">
              <w:rPr>
                <w:rFonts w:ascii="Times New Roman" w:hAnsi="Times New Roman"/>
                <w:color w:val="000000"/>
                <w:sz w:val="16"/>
                <w:szCs w:val="16"/>
              </w:rPr>
              <w:t xml:space="preserve">2.1.8. </w:t>
            </w:r>
            <w:r w:rsidRPr="00E16672">
              <w:rPr>
                <w:rFonts w:ascii="Times New Roman" w:hAnsi="Times New Roman"/>
                <w:sz w:val="16"/>
                <w:szCs w:val="16"/>
              </w:rPr>
              <w:t xml:space="preserve">Повідомляти Депонента про проведення коригувальної операції у разі виявлення технічної помилки, допущеної при виконанні депозитарної операції, протягом </w:t>
            </w:r>
            <w:r w:rsidRPr="00E16672">
              <w:rPr>
                <w:rFonts w:ascii="Times New Roman" w:hAnsi="Times New Roman"/>
                <w:i/>
                <w:iCs/>
                <w:sz w:val="16"/>
                <w:szCs w:val="16"/>
              </w:rPr>
              <w:t xml:space="preserve">трьох </w:t>
            </w:r>
            <w:r w:rsidRPr="00E16672">
              <w:rPr>
                <w:rFonts w:ascii="Times New Roman" w:hAnsi="Times New Roman"/>
                <w:sz w:val="16"/>
                <w:szCs w:val="16"/>
              </w:rPr>
              <w:t xml:space="preserve">робочих днів </w:t>
            </w:r>
            <w:r w:rsidRPr="00E16672">
              <w:rPr>
                <w:rFonts w:ascii="Times New Roman" w:hAnsi="Times New Roman"/>
                <w:color w:val="000000"/>
                <w:sz w:val="16"/>
                <w:szCs w:val="16"/>
              </w:rPr>
              <w:t>з дня проведення коригувальної операції шляхом направлення листа із відповідним повідомленням в адресу Депонента, визначену в анкеті рахунку в цінних паперах Депонента.</w:t>
            </w:r>
          </w:p>
          <w:p w14:paraId="4AB08AFC" w14:textId="77777777" w:rsidR="003A05A3" w:rsidRPr="00E16672" w:rsidRDefault="003A05A3" w:rsidP="00843027">
            <w:pPr>
              <w:pStyle w:val="23"/>
              <w:tabs>
                <w:tab w:val="left" w:pos="576"/>
                <w:tab w:val="left" w:pos="588"/>
              </w:tabs>
              <w:ind w:left="182" w:right="138" w:firstLine="0"/>
              <w:rPr>
                <w:rFonts w:ascii="Times New Roman" w:hAnsi="Times New Roman"/>
                <w:color w:val="000000"/>
                <w:spacing w:val="-9"/>
                <w:sz w:val="16"/>
                <w:szCs w:val="16"/>
                <w:shd w:val="clear" w:color="auto" w:fill="FFFFFF"/>
              </w:rPr>
            </w:pPr>
          </w:p>
        </w:tc>
        <w:tc>
          <w:tcPr>
            <w:tcW w:w="5494" w:type="dxa"/>
            <w:gridSpan w:val="6"/>
            <w:shd w:val="clear" w:color="auto" w:fill="auto"/>
          </w:tcPr>
          <w:p w14:paraId="71D0C2E8" w14:textId="77777777" w:rsidR="003A05A3" w:rsidRPr="00E16672" w:rsidRDefault="003A05A3" w:rsidP="00F92811">
            <w:pPr>
              <w:pStyle w:val="210"/>
              <w:snapToGrid w:val="0"/>
              <w:ind w:left="142" w:right="100" w:firstLine="0"/>
              <w:rPr>
                <w:rFonts w:ascii="Times New Roman" w:hAnsi="Times New Roman"/>
                <w:color w:val="000000"/>
                <w:sz w:val="16"/>
                <w:szCs w:val="16"/>
              </w:rPr>
            </w:pPr>
            <w:r w:rsidRPr="00E16672">
              <w:rPr>
                <w:rFonts w:ascii="Times New Roman" w:hAnsi="Times New Roman"/>
                <w:color w:val="000000"/>
                <w:sz w:val="16"/>
                <w:szCs w:val="16"/>
              </w:rPr>
              <w:t>2.1.</w:t>
            </w:r>
            <w:r w:rsidRPr="00E16672">
              <w:rPr>
                <w:rFonts w:ascii="Times New Roman" w:hAnsi="Times New Roman"/>
                <w:color w:val="000000"/>
                <w:sz w:val="16"/>
                <w:szCs w:val="16"/>
                <w:lang w:val="en-GB"/>
              </w:rPr>
              <w:t>8</w:t>
            </w:r>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Notify</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the</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Depositor</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of</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corrective</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operation</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in</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case</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of</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technical</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error</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made</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in</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the</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performance</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of</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depository</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operation</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within</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i/>
                <w:color w:val="000000"/>
                <w:sz w:val="16"/>
                <w:szCs w:val="16"/>
              </w:rPr>
              <w:t>three</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working</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days</w:t>
            </w:r>
            <w:proofErr w:type="spellEnd"/>
            <w:r w:rsidRPr="00E16672">
              <w:rPr>
                <w:rFonts w:ascii="Times New Roman" w:hAnsi="Times New Roman"/>
                <w:i/>
                <w:color w:val="000000"/>
                <w:sz w:val="16"/>
                <w:szCs w:val="16"/>
              </w:rPr>
              <w:t xml:space="preserve"> </w:t>
            </w:r>
            <w:r w:rsidRPr="00E16672">
              <w:rPr>
                <w:rFonts w:ascii="Times New Roman" w:hAnsi="Times New Roman"/>
                <w:i/>
                <w:color w:val="000000"/>
                <w:sz w:val="16"/>
                <w:szCs w:val="16"/>
                <w:lang w:val="en-GB"/>
              </w:rPr>
              <w:t xml:space="preserve"> </w:t>
            </w:r>
            <w:proofErr w:type="spellStart"/>
            <w:r w:rsidRPr="00E16672">
              <w:rPr>
                <w:rFonts w:ascii="Times New Roman" w:eastAsia="Arial" w:hAnsi="Times New Roman"/>
                <w:color w:val="000000"/>
                <w:spacing w:val="-9"/>
                <w:sz w:val="16"/>
                <w:szCs w:val="16"/>
              </w:rPr>
              <w:t>from</w:t>
            </w:r>
            <w:proofErr w:type="spellEnd"/>
            <w:r w:rsidRPr="00E16672">
              <w:rPr>
                <w:rFonts w:ascii="Times New Roman" w:eastAsia="Arial" w:hAnsi="Times New Roman"/>
                <w:color w:val="000000"/>
                <w:spacing w:val="-9"/>
                <w:sz w:val="16"/>
                <w:szCs w:val="16"/>
              </w:rPr>
              <w:t xml:space="preserve"> </w:t>
            </w:r>
            <w:proofErr w:type="spellStart"/>
            <w:r w:rsidRPr="00E16672">
              <w:rPr>
                <w:rFonts w:ascii="Times New Roman" w:eastAsia="Arial" w:hAnsi="Times New Roman"/>
                <w:color w:val="000000"/>
                <w:spacing w:val="-9"/>
                <w:sz w:val="16"/>
                <w:szCs w:val="16"/>
              </w:rPr>
              <w:t>the</w:t>
            </w:r>
            <w:proofErr w:type="spellEnd"/>
            <w:r w:rsidRPr="00E16672">
              <w:rPr>
                <w:rFonts w:ascii="Times New Roman" w:eastAsia="Arial" w:hAnsi="Times New Roman"/>
                <w:color w:val="000000"/>
                <w:spacing w:val="-9"/>
                <w:sz w:val="16"/>
                <w:szCs w:val="16"/>
              </w:rPr>
              <w:t xml:space="preserve"> </w:t>
            </w:r>
            <w:proofErr w:type="spellStart"/>
            <w:r w:rsidRPr="00E16672">
              <w:rPr>
                <w:rFonts w:ascii="Times New Roman" w:eastAsia="Arial" w:hAnsi="Times New Roman"/>
                <w:color w:val="000000"/>
                <w:spacing w:val="-9"/>
                <w:sz w:val="16"/>
                <w:szCs w:val="16"/>
              </w:rPr>
              <w:t>date</w:t>
            </w:r>
            <w:proofErr w:type="spellEnd"/>
            <w:r w:rsidRPr="00E16672">
              <w:rPr>
                <w:rFonts w:ascii="Times New Roman" w:eastAsia="Arial" w:hAnsi="Times New Roman"/>
                <w:color w:val="000000"/>
                <w:spacing w:val="-9"/>
                <w:sz w:val="16"/>
                <w:szCs w:val="16"/>
              </w:rPr>
              <w:t xml:space="preserve"> </w:t>
            </w:r>
            <w:proofErr w:type="spellStart"/>
            <w:r w:rsidRPr="00E16672">
              <w:rPr>
                <w:rFonts w:ascii="Times New Roman" w:eastAsia="Arial" w:hAnsi="Times New Roman"/>
                <w:color w:val="000000"/>
                <w:spacing w:val="-9"/>
                <w:sz w:val="16"/>
                <w:szCs w:val="16"/>
              </w:rPr>
              <w:t>of</w:t>
            </w:r>
            <w:proofErr w:type="spellEnd"/>
            <w:r w:rsidRPr="00E16672">
              <w:rPr>
                <w:rFonts w:ascii="Times New Roman" w:eastAsia="Arial" w:hAnsi="Times New Roman"/>
                <w:color w:val="000000"/>
                <w:spacing w:val="-9"/>
                <w:sz w:val="16"/>
                <w:szCs w:val="16"/>
              </w:rPr>
              <w:t xml:space="preserve"> </w:t>
            </w:r>
            <w:proofErr w:type="spellStart"/>
            <w:r w:rsidRPr="00E16672">
              <w:rPr>
                <w:rFonts w:ascii="Times New Roman" w:eastAsia="Arial" w:hAnsi="Times New Roman"/>
                <w:color w:val="000000"/>
                <w:spacing w:val="-9"/>
                <w:sz w:val="16"/>
                <w:szCs w:val="16"/>
              </w:rPr>
              <w:t>corrective</w:t>
            </w:r>
            <w:proofErr w:type="spellEnd"/>
            <w:r w:rsidRPr="00E16672">
              <w:rPr>
                <w:rFonts w:ascii="Times New Roman" w:eastAsia="Arial" w:hAnsi="Times New Roman"/>
                <w:color w:val="000000"/>
                <w:spacing w:val="-9"/>
                <w:sz w:val="16"/>
                <w:szCs w:val="16"/>
              </w:rPr>
              <w:t xml:space="preserve"> </w:t>
            </w:r>
            <w:proofErr w:type="spellStart"/>
            <w:r w:rsidRPr="00E16672">
              <w:rPr>
                <w:rFonts w:ascii="Times New Roman" w:eastAsia="Arial" w:hAnsi="Times New Roman"/>
                <w:color w:val="000000"/>
                <w:spacing w:val="-9"/>
                <w:sz w:val="16"/>
                <w:szCs w:val="16"/>
              </w:rPr>
              <w:t>operation</w:t>
            </w:r>
            <w:proofErr w:type="spellEnd"/>
            <w:r w:rsidRPr="00E16672">
              <w:rPr>
                <w:rFonts w:ascii="Times New Roman" w:eastAsia="Arial" w:hAnsi="Times New Roman"/>
                <w:color w:val="000000"/>
                <w:spacing w:val="-9"/>
                <w:sz w:val="16"/>
                <w:szCs w:val="16"/>
              </w:rPr>
              <w:t xml:space="preserve"> </w:t>
            </w:r>
            <w:proofErr w:type="spellStart"/>
            <w:r w:rsidRPr="00E16672">
              <w:rPr>
                <w:rFonts w:ascii="Times New Roman" w:hAnsi="Times New Roman"/>
                <w:color w:val="000000"/>
                <w:sz w:val="16"/>
                <w:szCs w:val="16"/>
              </w:rPr>
              <w:t>by</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sending</w:t>
            </w:r>
            <w:proofErr w:type="spellEnd"/>
            <w:r w:rsidRPr="00E16672">
              <w:rPr>
                <w:rFonts w:ascii="Times New Roman" w:hAnsi="Times New Roman"/>
                <w:color w:val="000000"/>
                <w:sz w:val="16"/>
                <w:szCs w:val="16"/>
              </w:rPr>
              <w:t xml:space="preserve"> a </w:t>
            </w:r>
            <w:proofErr w:type="spellStart"/>
            <w:r w:rsidRPr="00E16672">
              <w:rPr>
                <w:rFonts w:ascii="Times New Roman" w:hAnsi="Times New Roman"/>
                <w:color w:val="000000"/>
                <w:sz w:val="16"/>
                <w:szCs w:val="16"/>
              </w:rPr>
              <w:t>letter</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of</w:t>
            </w:r>
            <w:proofErr w:type="spellEnd"/>
            <w:r w:rsidRPr="00E16672">
              <w:rPr>
                <w:rFonts w:ascii="Times New Roman" w:hAnsi="Times New Roman"/>
                <w:color w:val="000000"/>
                <w:sz w:val="16"/>
                <w:szCs w:val="16"/>
              </w:rPr>
              <w:t xml:space="preserve"> a </w:t>
            </w:r>
            <w:proofErr w:type="spellStart"/>
            <w:r w:rsidRPr="00E16672">
              <w:rPr>
                <w:rFonts w:ascii="Times New Roman" w:hAnsi="Times New Roman"/>
                <w:color w:val="000000"/>
                <w:sz w:val="16"/>
                <w:szCs w:val="16"/>
              </w:rPr>
              <w:t>notification</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to</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the</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Depositor’s</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address</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as</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determined</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in</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the</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Depositor’s</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form</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of</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the</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account</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in</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securities</w:t>
            </w:r>
            <w:proofErr w:type="spellEnd"/>
            <w:r w:rsidRPr="00E16672">
              <w:rPr>
                <w:rFonts w:ascii="Times New Roman" w:hAnsi="Times New Roman"/>
                <w:color w:val="000000"/>
                <w:sz w:val="16"/>
                <w:szCs w:val="16"/>
              </w:rPr>
              <w:t>.</w:t>
            </w:r>
          </w:p>
        </w:tc>
      </w:tr>
      <w:tr w:rsidR="003A05A3" w:rsidRPr="00F23413" w14:paraId="7CCCDA5A" w14:textId="77777777" w:rsidTr="00242F58">
        <w:trPr>
          <w:trHeight w:val="192"/>
        </w:trPr>
        <w:tc>
          <w:tcPr>
            <w:tcW w:w="5696" w:type="dxa"/>
            <w:gridSpan w:val="8"/>
            <w:shd w:val="clear" w:color="auto" w:fill="auto"/>
          </w:tcPr>
          <w:p w14:paraId="48D1598A" w14:textId="77777777" w:rsidR="003A05A3" w:rsidRPr="00E16672" w:rsidRDefault="003A05A3" w:rsidP="00843027">
            <w:pPr>
              <w:pStyle w:val="af5"/>
              <w:spacing w:after="60"/>
              <w:ind w:left="182" w:right="138" w:firstLine="0"/>
              <w:jc w:val="both"/>
              <w:rPr>
                <w:rFonts w:ascii="Times New Roman" w:hAnsi="Times New Roman" w:cs="Times New Roman"/>
                <w:b w:val="0"/>
                <w:sz w:val="16"/>
                <w:szCs w:val="16"/>
              </w:rPr>
            </w:pPr>
            <w:r w:rsidRPr="00E16672">
              <w:rPr>
                <w:rFonts w:ascii="Times New Roman" w:hAnsi="Times New Roman" w:cs="Times New Roman"/>
                <w:b w:val="0"/>
                <w:sz w:val="16"/>
                <w:szCs w:val="16"/>
              </w:rPr>
              <w:t xml:space="preserve">2.1.9. Не виконувати дії та не надавати інформацію щодо цінних паперів, що належать Депоненту, або інформацію щодо Депонента без відповідних розпоряджень Депонента або </w:t>
            </w:r>
            <w:r w:rsidR="009D3206" w:rsidRPr="00E16672">
              <w:rPr>
                <w:rFonts w:ascii="Times New Roman" w:hAnsi="Times New Roman" w:cs="Times New Roman"/>
                <w:b w:val="0"/>
                <w:sz w:val="16"/>
                <w:szCs w:val="16"/>
              </w:rPr>
              <w:t>розпорядника/</w:t>
            </w:r>
            <w:r w:rsidRPr="00E16672">
              <w:rPr>
                <w:rFonts w:ascii="Times New Roman" w:hAnsi="Times New Roman" w:cs="Times New Roman"/>
                <w:b w:val="0"/>
                <w:sz w:val="16"/>
                <w:szCs w:val="16"/>
              </w:rPr>
              <w:t xml:space="preserve">керуючого рахунком </w:t>
            </w:r>
            <w:r w:rsidR="00C22309" w:rsidRPr="00E16672">
              <w:rPr>
                <w:rFonts w:ascii="Times New Roman" w:hAnsi="Times New Roman" w:cs="Times New Roman"/>
                <w:b w:val="0"/>
                <w:sz w:val="16"/>
                <w:szCs w:val="16"/>
              </w:rPr>
              <w:t>в цін</w:t>
            </w:r>
            <w:r w:rsidRPr="00E16672">
              <w:rPr>
                <w:rFonts w:ascii="Times New Roman" w:hAnsi="Times New Roman" w:cs="Times New Roman"/>
                <w:b w:val="0"/>
                <w:sz w:val="16"/>
                <w:szCs w:val="16"/>
              </w:rPr>
              <w:t>них паперах Депонента, крім випадків, передбачених законодавством та Договором.</w:t>
            </w:r>
          </w:p>
          <w:p w14:paraId="2264EA03" w14:textId="77777777" w:rsidR="003A05A3" w:rsidRPr="00E16672" w:rsidRDefault="003A05A3" w:rsidP="00843027">
            <w:pPr>
              <w:pStyle w:val="ab"/>
              <w:ind w:left="182" w:firstLine="0"/>
              <w:rPr>
                <w:rFonts w:ascii="Times New Roman" w:hAnsi="Times New Roman"/>
              </w:rPr>
            </w:pPr>
          </w:p>
        </w:tc>
        <w:tc>
          <w:tcPr>
            <w:tcW w:w="5494" w:type="dxa"/>
            <w:gridSpan w:val="6"/>
            <w:shd w:val="clear" w:color="auto" w:fill="auto"/>
          </w:tcPr>
          <w:p w14:paraId="147237A1" w14:textId="77777777" w:rsidR="003A05A3" w:rsidRPr="00E16672" w:rsidRDefault="003A05A3" w:rsidP="00843027">
            <w:pPr>
              <w:pStyle w:val="210"/>
              <w:snapToGrid w:val="0"/>
              <w:ind w:left="142" w:right="100" w:firstLine="0"/>
              <w:rPr>
                <w:rFonts w:ascii="Times New Roman" w:hAnsi="Times New Roman"/>
                <w:sz w:val="16"/>
                <w:szCs w:val="16"/>
                <w:lang w:val="en-GB"/>
              </w:rPr>
            </w:pPr>
            <w:r w:rsidRPr="00E16672">
              <w:rPr>
                <w:rFonts w:ascii="Times New Roman" w:hAnsi="Times New Roman"/>
                <w:sz w:val="16"/>
                <w:szCs w:val="16"/>
                <w:lang w:val="en-GB"/>
              </w:rPr>
              <w:t>2.1.9. Not to execute of any activities and not to provide with any information about the Depositor’s securities or information about the Depositor without the appropriate orders of Depositor or manager</w:t>
            </w:r>
            <w:r w:rsidR="009D3206" w:rsidRPr="00E16672">
              <w:rPr>
                <w:rFonts w:ascii="Times New Roman" w:hAnsi="Times New Roman"/>
                <w:sz w:val="16"/>
                <w:szCs w:val="16"/>
              </w:rPr>
              <w:t>/</w:t>
            </w:r>
            <w:r w:rsidR="009D3206" w:rsidRPr="00E16672">
              <w:rPr>
                <w:rFonts w:ascii="Times New Roman" w:hAnsi="Times New Roman"/>
                <w:sz w:val="16"/>
              </w:rPr>
              <w:t xml:space="preserve"> а</w:t>
            </w:r>
            <w:proofErr w:type="spellStart"/>
            <w:proofErr w:type="gramStart"/>
            <w:r w:rsidR="009D3206" w:rsidRPr="00E16672">
              <w:rPr>
                <w:rFonts w:ascii="Times New Roman" w:hAnsi="Times New Roman"/>
                <w:sz w:val="16"/>
                <w:lang w:val="en-US"/>
              </w:rPr>
              <w:t>dministrator</w:t>
            </w:r>
            <w:proofErr w:type="spellEnd"/>
            <w:r w:rsidR="009D3206" w:rsidRPr="00E16672">
              <w:rPr>
                <w:rFonts w:ascii="Times New Roman" w:hAnsi="Times New Roman"/>
                <w:b/>
                <w:sz w:val="16"/>
                <w:lang w:val="en-US"/>
              </w:rPr>
              <w:t xml:space="preserve">  </w:t>
            </w:r>
            <w:r w:rsidRPr="00E16672">
              <w:rPr>
                <w:rFonts w:ascii="Times New Roman" w:hAnsi="Times New Roman"/>
                <w:sz w:val="16"/>
                <w:szCs w:val="16"/>
                <w:lang w:val="en-GB"/>
              </w:rPr>
              <w:t>of</w:t>
            </w:r>
            <w:proofErr w:type="gramEnd"/>
            <w:r w:rsidRPr="00E16672">
              <w:rPr>
                <w:rFonts w:ascii="Times New Roman" w:hAnsi="Times New Roman"/>
                <w:sz w:val="16"/>
                <w:szCs w:val="16"/>
                <w:lang w:val="en-GB"/>
              </w:rPr>
              <w:t xml:space="preserve"> the account in securities of Depositor, except the cases, provided by the legislation  and Agreement.</w:t>
            </w:r>
          </w:p>
        </w:tc>
      </w:tr>
      <w:tr w:rsidR="003A05A3" w:rsidRPr="00F23413" w14:paraId="66C89CFC" w14:textId="77777777" w:rsidTr="00242F58">
        <w:trPr>
          <w:trHeight w:val="192"/>
        </w:trPr>
        <w:tc>
          <w:tcPr>
            <w:tcW w:w="5696" w:type="dxa"/>
            <w:gridSpan w:val="8"/>
            <w:shd w:val="clear" w:color="auto" w:fill="auto"/>
          </w:tcPr>
          <w:p w14:paraId="59E197BE" w14:textId="77777777" w:rsidR="003A05A3" w:rsidRPr="00E16672" w:rsidRDefault="003A05A3" w:rsidP="00022F5F">
            <w:pPr>
              <w:pStyle w:val="1b"/>
              <w:snapToGrid w:val="0"/>
              <w:spacing w:before="0" w:after="0"/>
              <w:ind w:left="182" w:right="138" w:firstLine="0"/>
              <w:jc w:val="left"/>
              <w:rPr>
                <w:rFonts w:ascii="Times New Roman" w:eastAsia="Times New Roman" w:hAnsi="Times New Roman" w:cs="Times New Roman"/>
                <w:bCs/>
                <w:color w:val="000000"/>
                <w:sz w:val="16"/>
                <w:szCs w:val="16"/>
                <w:shd w:val="clear" w:color="auto" w:fill="FFFFFF"/>
              </w:rPr>
            </w:pPr>
            <w:r w:rsidRPr="00E16672">
              <w:rPr>
                <w:rFonts w:ascii="Times New Roman" w:hAnsi="Times New Roman" w:cs="Times New Roman"/>
                <w:bCs/>
                <w:color w:val="000000"/>
                <w:sz w:val="16"/>
                <w:szCs w:val="16"/>
                <w:lang w:val="en-US"/>
              </w:rPr>
              <w:t xml:space="preserve">2.1.10. </w:t>
            </w:r>
            <w:r w:rsidRPr="00E16672">
              <w:rPr>
                <w:rFonts w:ascii="Times New Roman" w:hAnsi="Times New Roman" w:cs="Times New Roman"/>
                <w:bCs/>
                <w:color w:val="000000"/>
                <w:sz w:val="16"/>
                <w:szCs w:val="16"/>
              </w:rPr>
              <w:t>Надавати Центральному депозитарію</w:t>
            </w:r>
            <w:r w:rsidRPr="00E16672">
              <w:rPr>
                <w:rFonts w:ascii="Times New Roman" w:hAnsi="Times New Roman" w:cs="Times New Roman"/>
                <w:bCs/>
                <w:color w:val="000000"/>
                <w:sz w:val="20"/>
                <w:szCs w:val="20"/>
              </w:rPr>
              <w:t xml:space="preserve"> </w:t>
            </w:r>
            <w:r w:rsidRPr="00E16672">
              <w:rPr>
                <w:rFonts w:ascii="Times New Roman" w:hAnsi="Times New Roman" w:cs="Times New Roman"/>
                <w:bCs/>
                <w:color w:val="000000"/>
                <w:sz w:val="16"/>
                <w:szCs w:val="16"/>
              </w:rPr>
              <w:t>цінних паперів (далі – Центральний депозитарій) інформацію щодо Депонента,</w:t>
            </w:r>
            <w:r w:rsidRPr="00E16672">
              <w:rPr>
                <w:rFonts w:ascii="Times New Roman" w:hAnsi="Times New Roman" w:cs="Times New Roman"/>
                <w:bCs/>
                <w:color w:val="000000"/>
                <w:sz w:val="20"/>
                <w:szCs w:val="20"/>
              </w:rPr>
              <w:t xml:space="preserve"> </w:t>
            </w:r>
            <w:r w:rsidRPr="00E16672">
              <w:rPr>
                <w:rFonts w:ascii="Times New Roman" w:hAnsi="Times New Roman" w:cs="Times New Roman"/>
                <w:bCs/>
                <w:color w:val="000000"/>
                <w:sz w:val="16"/>
                <w:szCs w:val="16"/>
              </w:rPr>
              <w:t xml:space="preserve"> торговця цінними паперами, якому Депонентом надані повноваження на вчинення правочинів щодо цінних паперів в інтересах Депонента та цінних паперів, що належать Депоненту, яка необхідна для здійснення розрахунків за правочинами щодо цінних паперів з дотриманням принципу </w:t>
            </w:r>
            <w:r w:rsidR="00022F5F">
              <w:rPr>
                <w:rFonts w:ascii="Times New Roman" w:hAnsi="Times New Roman" w:cs="Times New Roman"/>
                <w:bCs/>
                <w:color w:val="000000"/>
                <w:sz w:val="16"/>
                <w:szCs w:val="16"/>
              </w:rPr>
              <w:t>"</w:t>
            </w:r>
            <w:r w:rsidRPr="00E16672">
              <w:rPr>
                <w:rFonts w:ascii="Times New Roman" w:hAnsi="Times New Roman" w:cs="Times New Roman"/>
                <w:bCs/>
                <w:color w:val="000000"/>
                <w:sz w:val="16"/>
                <w:szCs w:val="16"/>
              </w:rPr>
              <w:t>поставка цінних паперів проти оплати</w:t>
            </w:r>
            <w:r w:rsidR="00022F5F">
              <w:rPr>
                <w:rFonts w:ascii="Times New Roman" w:hAnsi="Times New Roman" w:cs="Times New Roman"/>
                <w:bCs/>
                <w:color w:val="000000"/>
                <w:sz w:val="16"/>
                <w:szCs w:val="16"/>
              </w:rPr>
              <w:t>"</w:t>
            </w:r>
            <w:r w:rsidRPr="00E16672">
              <w:rPr>
                <w:rFonts w:ascii="Times New Roman" w:hAnsi="Times New Roman" w:cs="Times New Roman"/>
                <w:bCs/>
                <w:color w:val="000000"/>
                <w:sz w:val="16"/>
                <w:szCs w:val="16"/>
              </w:rPr>
              <w:t>, з метою подальшого надання такої інформації Розрахунковому центру з обслуговування договорів на фінансових ринках (далі – Розрахунковий центр) чи кліринговій установі для її відображення у внутрішній системі обліку такої особи.</w:t>
            </w:r>
            <w:r w:rsidRPr="00E16672">
              <w:rPr>
                <w:rFonts w:ascii="Times New Roman" w:eastAsia="Times New Roman" w:hAnsi="Times New Roman" w:cs="Times New Roman"/>
                <w:bCs/>
                <w:color w:val="000000"/>
                <w:sz w:val="16"/>
                <w:szCs w:val="16"/>
                <w:shd w:val="clear" w:color="auto" w:fill="FFFFFF"/>
              </w:rPr>
              <w:t xml:space="preserve"> </w:t>
            </w:r>
          </w:p>
        </w:tc>
        <w:tc>
          <w:tcPr>
            <w:tcW w:w="5494" w:type="dxa"/>
            <w:gridSpan w:val="6"/>
            <w:shd w:val="clear" w:color="auto" w:fill="auto"/>
          </w:tcPr>
          <w:p w14:paraId="3E874757" w14:textId="77777777" w:rsidR="003A05A3" w:rsidRPr="00E16672" w:rsidRDefault="003A05A3" w:rsidP="00022F5F">
            <w:pPr>
              <w:ind w:left="142" w:right="100" w:firstLine="6"/>
              <w:jc w:val="left"/>
              <w:rPr>
                <w:rFonts w:ascii="Times New Roman" w:hAnsi="Times New Roman"/>
                <w:b/>
                <w:bCs/>
                <w:color w:val="000000"/>
                <w:sz w:val="16"/>
                <w:szCs w:val="16"/>
                <w:lang w:val="en-GB"/>
              </w:rPr>
            </w:pPr>
            <w:r w:rsidRPr="00E16672">
              <w:rPr>
                <w:rFonts w:ascii="Times New Roman" w:hAnsi="Times New Roman"/>
                <w:bCs/>
                <w:color w:val="000000"/>
                <w:sz w:val="16"/>
                <w:szCs w:val="16"/>
                <w:lang w:val="en-GB"/>
              </w:rPr>
              <w:t>2.1.10. Provide the Central Depository</w:t>
            </w:r>
            <w:r w:rsidRPr="00E16672">
              <w:rPr>
                <w:rFonts w:ascii="Times New Roman" w:hAnsi="Times New Roman"/>
                <w:bCs/>
                <w:color w:val="000000"/>
                <w:sz w:val="16"/>
                <w:szCs w:val="16"/>
                <w:lang w:val="en-US"/>
              </w:rPr>
              <w:t xml:space="preserve"> with an </w:t>
            </w:r>
            <w:r w:rsidRPr="00E16672">
              <w:rPr>
                <w:rFonts w:ascii="Times New Roman" w:hAnsi="Times New Roman"/>
                <w:bCs/>
                <w:color w:val="000000"/>
                <w:sz w:val="16"/>
                <w:szCs w:val="16"/>
                <w:lang w:val="en-GB"/>
              </w:rPr>
              <w:t xml:space="preserve">information </w:t>
            </w:r>
            <w:r w:rsidRPr="00E16672">
              <w:rPr>
                <w:rFonts w:ascii="Times New Roman" w:hAnsi="Times New Roman"/>
                <w:bCs/>
                <w:color w:val="000000"/>
                <w:sz w:val="16"/>
                <w:szCs w:val="16"/>
                <w:lang w:val="en-US"/>
              </w:rPr>
              <w:t>of</w:t>
            </w:r>
            <w:r w:rsidRPr="00E16672">
              <w:rPr>
                <w:rFonts w:ascii="Times New Roman" w:hAnsi="Times New Roman"/>
                <w:bCs/>
                <w:color w:val="000000"/>
                <w:sz w:val="16"/>
                <w:szCs w:val="16"/>
                <w:lang w:val="en-GB"/>
              </w:rPr>
              <w:t xml:space="preserve"> Depositor, securities trader, which the Depositor empowered to commit transactions in securities for the benefit of the Depositor and securities owned by the Depositor, which is necessary for settlement of legal actions in securities with the principle of </w:t>
            </w:r>
            <w:r w:rsidR="00022F5F">
              <w:rPr>
                <w:rFonts w:ascii="Times New Roman" w:hAnsi="Times New Roman"/>
                <w:color w:val="000000"/>
                <w:sz w:val="16"/>
                <w:szCs w:val="16"/>
                <w:lang w:val="en-GB"/>
              </w:rPr>
              <w:t>"</w:t>
            </w:r>
            <w:r w:rsidRPr="00E16672">
              <w:rPr>
                <w:rFonts w:ascii="Times New Roman" w:hAnsi="Times New Roman"/>
                <w:bCs/>
                <w:color w:val="000000"/>
                <w:sz w:val="16"/>
                <w:szCs w:val="16"/>
                <w:lang w:val="en-GB"/>
              </w:rPr>
              <w:t xml:space="preserve">supply of securities </w:t>
            </w:r>
            <w:r w:rsidRPr="00E16672">
              <w:rPr>
                <w:rFonts w:ascii="Times New Roman" w:eastAsia="Arial" w:hAnsi="Times New Roman"/>
                <w:color w:val="000000"/>
                <w:sz w:val="16"/>
                <w:szCs w:val="16"/>
                <w:lang w:val="en-US"/>
              </w:rPr>
              <w:t xml:space="preserve">against </w:t>
            </w:r>
            <w:r w:rsidRPr="00E16672">
              <w:rPr>
                <w:rFonts w:ascii="Times New Roman" w:hAnsi="Times New Roman"/>
                <w:bCs/>
                <w:color w:val="000000"/>
                <w:sz w:val="16"/>
                <w:szCs w:val="16"/>
                <w:lang w:val="en-GB"/>
              </w:rPr>
              <w:t>payment</w:t>
            </w:r>
            <w:r w:rsidR="00022F5F">
              <w:rPr>
                <w:rFonts w:ascii="Times New Roman" w:hAnsi="Times New Roman"/>
                <w:color w:val="000000"/>
                <w:sz w:val="16"/>
                <w:szCs w:val="16"/>
                <w:lang w:val="en-GB"/>
              </w:rPr>
              <w:t>"</w:t>
            </w:r>
            <w:r w:rsidRPr="00E16672">
              <w:rPr>
                <w:rFonts w:ascii="Times New Roman" w:hAnsi="Times New Roman"/>
                <w:bCs/>
                <w:color w:val="000000"/>
                <w:sz w:val="16"/>
                <w:szCs w:val="16"/>
                <w:lang w:val="en-GB"/>
              </w:rPr>
              <w:t xml:space="preserve"> for further disclosure of such information, to the Accounting </w:t>
            </w:r>
            <w:proofErr w:type="spellStart"/>
            <w:r w:rsidRPr="00E16672">
              <w:rPr>
                <w:rFonts w:ascii="Times New Roman" w:hAnsi="Times New Roman"/>
                <w:bCs/>
                <w:color w:val="000000"/>
                <w:sz w:val="16"/>
                <w:szCs w:val="16"/>
                <w:lang w:val="en-GB"/>
              </w:rPr>
              <w:t>Center</w:t>
            </w:r>
            <w:proofErr w:type="spellEnd"/>
            <w:r w:rsidRPr="00E16672">
              <w:rPr>
                <w:rFonts w:ascii="Times New Roman" w:hAnsi="Times New Roman"/>
                <w:bCs/>
                <w:color w:val="000000"/>
                <w:sz w:val="16"/>
                <w:szCs w:val="16"/>
                <w:lang w:val="en-GB"/>
              </w:rPr>
              <w:t xml:space="preserve"> of servicing contracts in the financial markets (hereinafter - Accounting </w:t>
            </w:r>
            <w:proofErr w:type="spellStart"/>
            <w:r w:rsidRPr="00E16672">
              <w:rPr>
                <w:rFonts w:ascii="Times New Roman" w:hAnsi="Times New Roman"/>
                <w:bCs/>
                <w:color w:val="000000"/>
                <w:sz w:val="16"/>
                <w:szCs w:val="16"/>
                <w:lang w:val="en-GB"/>
              </w:rPr>
              <w:t>Center</w:t>
            </w:r>
            <w:proofErr w:type="spellEnd"/>
            <w:r w:rsidRPr="00E16672">
              <w:rPr>
                <w:rFonts w:ascii="Times New Roman" w:hAnsi="Times New Roman"/>
                <w:bCs/>
                <w:color w:val="000000"/>
                <w:sz w:val="16"/>
                <w:szCs w:val="16"/>
                <w:lang w:val="en-GB"/>
              </w:rPr>
              <w:t xml:space="preserve">) or clearing institution to display it in the internal accounting system of such  </w:t>
            </w:r>
            <w:r w:rsidR="009D3206" w:rsidRPr="00E16672">
              <w:rPr>
                <w:rFonts w:ascii="Times New Roman" w:hAnsi="Times New Roman"/>
                <w:color w:val="000000"/>
                <w:sz w:val="16"/>
                <w:szCs w:val="16"/>
                <w:lang w:val="en-US"/>
              </w:rPr>
              <w:t>Depositor</w:t>
            </w:r>
            <w:r w:rsidRPr="00E16672">
              <w:rPr>
                <w:rFonts w:ascii="Times New Roman" w:hAnsi="Times New Roman"/>
                <w:bCs/>
                <w:color w:val="000000"/>
                <w:sz w:val="16"/>
                <w:szCs w:val="16"/>
                <w:lang w:val="en-GB"/>
              </w:rPr>
              <w:t>.</w:t>
            </w:r>
          </w:p>
        </w:tc>
      </w:tr>
      <w:tr w:rsidR="003A05A3" w:rsidRPr="00F23413" w14:paraId="5FFA278B" w14:textId="77777777" w:rsidTr="00242F58">
        <w:trPr>
          <w:trHeight w:val="192"/>
        </w:trPr>
        <w:tc>
          <w:tcPr>
            <w:tcW w:w="5696" w:type="dxa"/>
            <w:gridSpan w:val="8"/>
            <w:shd w:val="clear" w:color="auto" w:fill="auto"/>
          </w:tcPr>
          <w:p w14:paraId="393B5B38" w14:textId="77777777" w:rsidR="00F0600D" w:rsidRPr="00E16672" w:rsidRDefault="00F0600D" w:rsidP="00843027">
            <w:pPr>
              <w:pStyle w:val="1b"/>
              <w:spacing w:before="0" w:after="0"/>
              <w:ind w:left="182" w:right="138" w:firstLine="40"/>
              <w:rPr>
                <w:rFonts w:ascii="Times New Roman" w:hAnsi="Times New Roman" w:cs="Times New Roman"/>
                <w:color w:val="000000"/>
                <w:sz w:val="16"/>
                <w:szCs w:val="16"/>
              </w:rPr>
            </w:pPr>
          </w:p>
          <w:p w14:paraId="35274DDC" w14:textId="77777777" w:rsidR="003A05A3" w:rsidRPr="00E16672" w:rsidRDefault="003A05A3" w:rsidP="00843027">
            <w:pPr>
              <w:pStyle w:val="1b"/>
              <w:spacing w:before="0" w:after="0"/>
              <w:ind w:left="182" w:right="138" w:firstLine="40"/>
              <w:rPr>
                <w:rFonts w:ascii="Times New Roman" w:hAnsi="Times New Roman" w:cs="Times New Roman"/>
                <w:color w:val="000000"/>
                <w:sz w:val="16"/>
                <w:szCs w:val="16"/>
              </w:rPr>
            </w:pPr>
            <w:r w:rsidRPr="00E16672">
              <w:rPr>
                <w:rFonts w:ascii="Times New Roman" w:hAnsi="Times New Roman" w:cs="Times New Roman"/>
                <w:color w:val="000000"/>
                <w:sz w:val="16"/>
                <w:szCs w:val="16"/>
              </w:rPr>
              <w:t xml:space="preserve">2.1.11. Виконувати за рахунком </w:t>
            </w:r>
            <w:r w:rsidR="00C22309" w:rsidRPr="00E16672">
              <w:rPr>
                <w:rFonts w:ascii="Times New Roman" w:hAnsi="Times New Roman" w:cs="Times New Roman"/>
                <w:color w:val="000000"/>
                <w:sz w:val="16"/>
                <w:szCs w:val="16"/>
              </w:rPr>
              <w:t>в цін</w:t>
            </w:r>
            <w:r w:rsidRPr="00E16672">
              <w:rPr>
                <w:rFonts w:ascii="Times New Roman" w:hAnsi="Times New Roman" w:cs="Times New Roman"/>
                <w:color w:val="000000"/>
                <w:sz w:val="16"/>
                <w:szCs w:val="16"/>
              </w:rPr>
              <w:t xml:space="preserve">них паперах Депонента, </w:t>
            </w:r>
            <w:r w:rsidRPr="00E16672">
              <w:rPr>
                <w:rFonts w:ascii="Times New Roman" w:hAnsi="Times New Roman" w:cs="Times New Roman"/>
                <w:bCs/>
                <w:color w:val="000000"/>
                <w:sz w:val="16"/>
                <w:szCs w:val="16"/>
              </w:rPr>
              <w:t>якщо Депонент</w:t>
            </w:r>
            <w:r w:rsidRPr="00E16672">
              <w:rPr>
                <w:rFonts w:ascii="Times New Roman" w:hAnsi="Times New Roman" w:cs="Times New Roman"/>
                <w:b/>
                <w:bCs/>
                <w:color w:val="000000"/>
                <w:sz w:val="16"/>
                <w:szCs w:val="16"/>
              </w:rPr>
              <w:t xml:space="preserve"> </w:t>
            </w:r>
            <w:r w:rsidRPr="00E16672">
              <w:rPr>
                <w:rFonts w:ascii="Times New Roman" w:hAnsi="Times New Roman" w:cs="Times New Roman"/>
                <w:color w:val="000000"/>
                <w:sz w:val="16"/>
                <w:szCs w:val="16"/>
              </w:rPr>
              <w:t xml:space="preserve">був узятий на облік Розрахунковим центром чи кліринговою установою, адміністративні операції, які визначені Регламентом Центрального депозитарію як такі, що можуть призвести до неможливості здійснення розрахунків </w:t>
            </w:r>
            <w:r w:rsidR="00C22309" w:rsidRPr="00E16672">
              <w:rPr>
                <w:rFonts w:ascii="Times New Roman" w:hAnsi="Times New Roman" w:cs="Times New Roman"/>
                <w:color w:val="000000"/>
                <w:sz w:val="16"/>
                <w:szCs w:val="16"/>
              </w:rPr>
              <w:t>в цін</w:t>
            </w:r>
            <w:r w:rsidRPr="00E16672">
              <w:rPr>
                <w:rFonts w:ascii="Times New Roman" w:hAnsi="Times New Roman" w:cs="Times New Roman"/>
                <w:color w:val="000000"/>
                <w:sz w:val="16"/>
                <w:szCs w:val="16"/>
              </w:rPr>
              <w:t>них паперах за результатами правочинів, тільки після отримання від Центрального депозитарію інформації про внесення до внутрішньої системи обліку Розрахункового центру чи клірингової установи відповідних змін щодо такого Депонента.</w:t>
            </w:r>
          </w:p>
          <w:p w14:paraId="3FE2B495" w14:textId="77777777" w:rsidR="003A05A3" w:rsidRPr="00E16672" w:rsidRDefault="003A05A3" w:rsidP="00843027">
            <w:pPr>
              <w:pStyle w:val="ab"/>
              <w:rPr>
                <w:rFonts w:ascii="Times New Roman" w:hAnsi="Times New Roman"/>
                <w:lang w:eastAsia="hi-IN" w:bidi="hi-IN"/>
              </w:rPr>
            </w:pPr>
          </w:p>
        </w:tc>
        <w:tc>
          <w:tcPr>
            <w:tcW w:w="5494" w:type="dxa"/>
            <w:gridSpan w:val="6"/>
            <w:shd w:val="clear" w:color="auto" w:fill="auto"/>
          </w:tcPr>
          <w:p w14:paraId="773692CA" w14:textId="77777777" w:rsidR="00F0600D" w:rsidRPr="00E16672" w:rsidRDefault="00F0600D" w:rsidP="00843027">
            <w:pPr>
              <w:pStyle w:val="210"/>
              <w:snapToGrid w:val="0"/>
              <w:ind w:left="142" w:right="138" w:firstLine="0"/>
              <w:rPr>
                <w:rFonts w:ascii="Times New Roman" w:hAnsi="Times New Roman"/>
                <w:color w:val="000000"/>
                <w:sz w:val="16"/>
                <w:szCs w:val="16"/>
              </w:rPr>
            </w:pPr>
          </w:p>
          <w:p w14:paraId="03AA4759" w14:textId="77777777" w:rsidR="003A05A3" w:rsidRPr="00E16672" w:rsidRDefault="003A05A3" w:rsidP="00843027">
            <w:pPr>
              <w:pStyle w:val="210"/>
              <w:snapToGrid w:val="0"/>
              <w:ind w:left="142" w:right="138" w:firstLine="0"/>
              <w:rPr>
                <w:rFonts w:ascii="Times New Roman" w:hAnsi="Times New Roman"/>
                <w:color w:val="000000"/>
                <w:sz w:val="16"/>
                <w:szCs w:val="16"/>
              </w:rPr>
            </w:pPr>
            <w:r w:rsidRPr="00E16672">
              <w:rPr>
                <w:rFonts w:ascii="Times New Roman" w:hAnsi="Times New Roman"/>
                <w:color w:val="000000"/>
                <w:sz w:val="16"/>
                <w:szCs w:val="16"/>
              </w:rPr>
              <w:t xml:space="preserve">2.1.11. </w:t>
            </w:r>
            <w:proofErr w:type="spellStart"/>
            <w:r w:rsidRPr="00E16672">
              <w:rPr>
                <w:rFonts w:ascii="Times New Roman" w:hAnsi="Times New Roman"/>
                <w:color w:val="000000"/>
                <w:sz w:val="16"/>
                <w:szCs w:val="16"/>
              </w:rPr>
              <w:t>To</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execute</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for</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the</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account</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in</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securities</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of</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the</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Depositor</w:t>
            </w:r>
            <w:proofErr w:type="spellEnd"/>
            <w:r w:rsidRPr="00E16672">
              <w:rPr>
                <w:rFonts w:ascii="Times New Roman" w:hAnsi="Times New Roman"/>
                <w:color w:val="000000"/>
                <w:sz w:val="16"/>
                <w:szCs w:val="16"/>
              </w:rPr>
              <w:t xml:space="preserve">, </w:t>
            </w:r>
            <w:r w:rsidRPr="00E16672">
              <w:rPr>
                <w:rFonts w:ascii="Times New Roman" w:hAnsi="Times New Roman"/>
                <w:color w:val="000000"/>
                <w:sz w:val="16"/>
                <w:szCs w:val="16"/>
                <w:lang w:val="en-US"/>
              </w:rPr>
              <w:t xml:space="preserve">if </w:t>
            </w:r>
            <w:proofErr w:type="spellStart"/>
            <w:r w:rsidRPr="00E16672">
              <w:rPr>
                <w:rFonts w:ascii="Times New Roman" w:hAnsi="Times New Roman"/>
                <w:color w:val="000000"/>
                <w:sz w:val="16"/>
                <w:szCs w:val="16"/>
              </w:rPr>
              <w:t>Depositor</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was</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taken</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on</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account</w:t>
            </w:r>
            <w:proofErr w:type="spellEnd"/>
            <w:r w:rsidRPr="00E16672">
              <w:rPr>
                <w:rFonts w:ascii="Times New Roman" w:hAnsi="Times New Roman"/>
                <w:color w:val="000000"/>
                <w:sz w:val="16"/>
                <w:szCs w:val="16"/>
              </w:rPr>
              <w:t xml:space="preserve"> </w:t>
            </w:r>
            <w:r w:rsidRPr="00E16672">
              <w:rPr>
                <w:rFonts w:ascii="Times New Roman" w:hAnsi="Times New Roman"/>
                <w:color w:val="000000"/>
                <w:sz w:val="16"/>
                <w:szCs w:val="16"/>
                <w:lang w:val="en-US"/>
              </w:rPr>
              <w:t>Accounting</w:t>
            </w:r>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center</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or</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clearing</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institution</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administrative</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operations</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as</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defined</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by</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Regulation</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of</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the</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Central</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Depository</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as</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that</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could</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lead</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to</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the</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impossibility</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of</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making</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payments</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on</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securities</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transactions</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on</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the</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results</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only</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after</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receiving</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information</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from</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the</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Central</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Depository</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of</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entry</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in</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the</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internal</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accounting</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system</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Accounting</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center</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or</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clearing</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institution</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appropriate</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changes</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for</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such</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Depositor</w:t>
            </w:r>
            <w:proofErr w:type="spellEnd"/>
            <w:r w:rsidRPr="00E16672">
              <w:rPr>
                <w:rFonts w:ascii="Times New Roman" w:hAnsi="Times New Roman"/>
                <w:color w:val="000000"/>
                <w:sz w:val="16"/>
                <w:szCs w:val="16"/>
              </w:rPr>
              <w:t>.</w:t>
            </w:r>
          </w:p>
          <w:p w14:paraId="367FCD77" w14:textId="77777777" w:rsidR="003A05A3" w:rsidRPr="00E16672" w:rsidRDefault="003A05A3" w:rsidP="00843027">
            <w:pPr>
              <w:ind w:left="142" w:right="138"/>
              <w:jc w:val="center"/>
              <w:rPr>
                <w:rFonts w:ascii="Times New Roman" w:hAnsi="Times New Roman"/>
                <w:b/>
                <w:bCs/>
                <w:color w:val="000000"/>
                <w:sz w:val="16"/>
                <w:szCs w:val="16"/>
                <w:lang w:val="en-GB"/>
              </w:rPr>
            </w:pPr>
          </w:p>
        </w:tc>
      </w:tr>
      <w:tr w:rsidR="003A05A3" w:rsidRPr="00F23413" w14:paraId="2E885FD0" w14:textId="77777777" w:rsidTr="00242F58">
        <w:trPr>
          <w:trHeight w:val="192"/>
        </w:trPr>
        <w:tc>
          <w:tcPr>
            <w:tcW w:w="5696" w:type="dxa"/>
            <w:gridSpan w:val="8"/>
            <w:shd w:val="clear" w:color="auto" w:fill="auto"/>
          </w:tcPr>
          <w:p w14:paraId="1ACBED1E" w14:textId="77777777" w:rsidR="003A05A3" w:rsidRPr="00E16672" w:rsidRDefault="003A05A3" w:rsidP="00843027">
            <w:pPr>
              <w:pStyle w:val="1b"/>
              <w:snapToGrid w:val="0"/>
              <w:spacing w:before="0" w:after="0"/>
              <w:ind w:left="182" w:right="138" w:firstLine="40"/>
              <w:rPr>
                <w:rFonts w:ascii="Times New Roman" w:hAnsi="Times New Roman" w:cs="Times New Roman"/>
                <w:color w:val="000000"/>
                <w:sz w:val="16"/>
                <w:szCs w:val="16"/>
                <w:shd w:val="clear" w:color="auto" w:fill="FFFFFF"/>
              </w:rPr>
            </w:pPr>
            <w:r w:rsidRPr="00E16672">
              <w:rPr>
                <w:rFonts w:ascii="Times New Roman" w:hAnsi="Times New Roman" w:cs="Times New Roman"/>
                <w:color w:val="000000"/>
                <w:sz w:val="16"/>
                <w:szCs w:val="16"/>
              </w:rPr>
              <w:t xml:space="preserve">2.1.12. Не здійснювати депозитарних операцій за рахунком </w:t>
            </w:r>
            <w:r w:rsidR="00C22309" w:rsidRPr="00E16672">
              <w:rPr>
                <w:rFonts w:ascii="Times New Roman" w:hAnsi="Times New Roman" w:cs="Times New Roman"/>
                <w:color w:val="000000"/>
                <w:sz w:val="16"/>
                <w:szCs w:val="16"/>
              </w:rPr>
              <w:t>в цін</w:t>
            </w:r>
            <w:r w:rsidRPr="00E16672">
              <w:rPr>
                <w:rFonts w:ascii="Times New Roman" w:hAnsi="Times New Roman" w:cs="Times New Roman"/>
                <w:color w:val="000000"/>
                <w:sz w:val="16"/>
                <w:szCs w:val="16"/>
              </w:rPr>
              <w:t xml:space="preserve">них паперах у випадку виявлення порушень вимог подання, заповнення розпорядження та захисту інформації, яка потрібна для здійснення цих операцій Депозитарною установою, або якщо виконання цього розпорядження буде суперечити законодавству </w:t>
            </w:r>
            <w:r w:rsidRPr="00E16672">
              <w:rPr>
                <w:rFonts w:ascii="Times New Roman" w:hAnsi="Times New Roman" w:cs="Times New Roman"/>
                <w:color w:val="000000"/>
                <w:sz w:val="16"/>
                <w:szCs w:val="16"/>
                <w:shd w:val="clear" w:color="auto" w:fill="FFFFFF"/>
              </w:rPr>
              <w:t>України, або законодавству країн, в яких укладені угоди, на підставі яких здійснюється розпорядження.</w:t>
            </w:r>
          </w:p>
          <w:p w14:paraId="1C5467C6" w14:textId="77777777" w:rsidR="003A05A3" w:rsidRPr="00E16672" w:rsidRDefault="003A05A3" w:rsidP="00843027">
            <w:pPr>
              <w:pStyle w:val="WW-"/>
              <w:ind w:left="182" w:right="138" w:firstLine="40"/>
              <w:jc w:val="both"/>
              <w:rPr>
                <w:color w:val="000000"/>
                <w:sz w:val="10"/>
                <w:szCs w:val="10"/>
                <w:lang w:val="en-US"/>
              </w:rPr>
            </w:pPr>
          </w:p>
        </w:tc>
        <w:tc>
          <w:tcPr>
            <w:tcW w:w="5494" w:type="dxa"/>
            <w:gridSpan w:val="6"/>
            <w:shd w:val="clear" w:color="auto" w:fill="auto"/>
          </w:tcPr>
          <w:p w14:paraId="6D1DE288" w14:textId="77777777" w:rsidR="003A05A3" w:rsidRPr="00E16672" w:rsidRDefault="003A05A3" w:rsidP="00843027">
            <w:pPr>
              <w:pStyle w:val="210"/>
              <w:snapToGrid w:val="0"/>
              <w:ind w:left="142" w:right="138" w:firstLine="0"/>
              <w:rPr>
                <w:rFonts w:ascii="Times New Roman" w:hAnsi="Times New Roman"/>
                <w:color w:val="000000"/>
                <w:sz w:val="16"/>
                <w:szCs w:val="16"/>
                <w:lang w:val="en-GB"/>
              </w:rPr>
            </w:pPr>
            <w:r w:rsidRPr="00E16672">
              <w:rPr>
                <w:rFonts w:ascii="Times New Roman" w:hAnsi="Times New Roman"/>
                <w:color w:val="000000"/>
                <w:sz w:val="16"/>
                <w:szCs w:val="16"/>
              </w:rPr>
              <w:t>2.1.12</w:t>
            </w:r>
            <w:r w:rsidRPr="00E16672">
              <w:rPr>
                <w:rFonts w:ascii="Times New Roman" w:hAnsi="Times New Roman"/>
                <w:color w:val="000000"/>
                <w:sz w:val="16"/>
                <w:szCs w:val="16"/>
                <w:lang w:val="en-GB"/>
              </w:rPr>
              <w:t>. Not to carry out any depository operation with the account on securities in the case of exposure of violations of requirements of presentation, filling of order and defence of an information, which is needed for realization of these operations of Depository institution, or if implementation of this order will conflict with the current legislation of Ukraine, or legislation of countries, which the celled agreements which an order is carried out on the basis of are in.</w:t>
            </w:r>
          </w:p>
        </w:tc>
      </w:tr>
      <w:tr w:rsidR="003A05A3" w:rsidRPr="00F23413" w14:paraId="6051FE23" w14:textId="77777777" w:rsidTr="00242F58">
        <w:trPr>
          <w:trHeight w:val="192"/>
        </w:trPr>
        <w:tc>
          <w:tcPr>
            <w:tcW w:w="5696" w:type="dxa"/>
            <w:gridSpan w:val="8"/>
            <w:shd w:val="clear" w:color="auto" w:fill="auto"/>
          </w:tcPr>
          <w:p w14:paraId="40D07153" w14:textId="77777777" w:rsidR="003A05A3" w:rsidRPr="00E16672" w:rsidRDefault="003A05A3" w:rsidP="00843027">
            <w:pPr>
              <w:pStyle w:val="ab"/>
              <w:ind w:left="182" w:right="138" w:firstLine="40"/>
              <w:jc w:val="both"/>
              <w:rPr>
                <w:rFonts w:ascii="Times New Roman" w:hAnsi="Times New Roman"/>
                <w:b w:val="0"/>
                <w:color w:val="000000"/>
                <w:lang w:eastAsia="hi-IN" w:bidi="hi-IN"/>
              </w:rPr>
            </w:pPr>
            <w:r w:rsidRPr="00E16672">
              <w:rPr>
                <w:rFonts w:ascii="Times New Roman" w:hAnsi="Times New Roman"/>
                <w:b w:val="0"/>
                <w:color w:val="000000"/>
                <w:sz w:val="16"/>
                <w:szCs w:val="16"/>
                <w:shd w:val="clear" w:color="auto" w:fill="FFFFFF"/>
              </w:rPr>
              <w:t xml:space="preserve">2.1.13. Забезпечувати збереження та конфіденційність інформації, що міститься у системі депозитарного обліку, стосовно цінних паперів на рахунку </w:t>
            </w:r>
            <w:r w:rsidR="00C22309" w:rsidRPr="00E16672">
              <w:rPr>
                <w:rFonts w:ascii="Times New Roman" w:hAnsi="Times New Roman"/>
                <w:b w:val="0"/>
                <w:color w:val="000000"/>
                <w:sz w:val="16"/>
                <w:szCs w:val="16"/>
                <w:shd w:val="clear" w:color="auto" w:fill="FFFFFF"/>
              </w:rPr>
              <w:t>в цін</w:t>
            </w:r>
            <w:r w:rsidRPr="00E16672">
              <w:rPr>
                <w:rFonts w:ascii="Times New Roman" w:hAnsi="Times New Roman"/>
                <w:b w:val="0"/>
                <w:color w:val="000000"/>
                <w:sz w:val="16"/>
                <w:szCs w:val="16"/>
                <w:shd w:val="clear" w:color="auto" w:fill="FFFFFF"/>
              </w:rPr>
              <w:t xml:space="preserve">них паперах Депонента, а також будь-якої іншої інформації, що може завдати шкоду Депоненту. Обов’язки щодо зберігання конфіденційності інформації не виникають у випадках, якщо розголошування подібної інформації мало місце внаслідок дій судових або інших уповноважених чинним законодавством органів </w:t>
            </w:r>
            <w:r w:rsidRPr="00E16672">
              <w:rPr>
                <w:rFonts w:ascii="Times New Roman" w:hAnsi="Times New Roman"/>
                <w:b w:val="0"/>
                <w:color w:val="000000"/>
                <w:sz w:val="16"/>
                <w:szCs w:val="16"/>
              </w:rPr>
              <w:t>або в інших випадках відповідно до вимог чинного законодавства.</w:t>
            </w:r>
          </w:p>
        </w:tc>
        <w:tc>
          <w:tcPr>
            <w:tcW w:w="5494" w:type="dxa"/>
            <w:gridSpan w:val="6"/>
            <w:shd w:val="clear" w:color="auto" w:fill="auto"/>
          </w:tcPr>
          <w:p w14:paraId="179850ED" w14:textId="77777777" w:rsidR="003A05A3" w:rsidRPr="00E16672" w:rsidRDefault="003A05A3" w:rsidP="00843027">
            <w:pPr>
              <w:pStyle w:val="210"/>
              <w:snapToGrid w:val="0"/>
              <w:ind w:left="142" w:right="138" w:firstLine="0"/>
              <w:rPr>
                <w:rFonts w:ascii="Times New Roman" w:eastAsia="Lucida Sans Unicode" w:hAnsi="Times New Roman"/>
                <w:color w:val="000000"/>
                <w:sz w:val="16"/>
                <w:szCs w:val="16"/>
                <w:shd w:val="clear" w:color="auto" w:fill="FFFFFF"/>
              </w:rPr>
            </w:pPr>
            <w:r w:rsidRPr="00E16672">
              <w:rPr>
                <w:rFonts w:ascii="Times New Roman" w:eastAsia="Lucida Sans Unicode" w:hAnsi="Times New Roman"/>
                <w:color w:val="000000"/>
                <w:sz w:val="16"/>
                <w:szCs w:val="16"/>
                <w:shd w:val="clear" w:color="auto" w:fill="FFFFFF"/>
                <w:lang w:val="en-US"/>
              </w:rPr>
              <w:t>2</w:t>
            </w:r>
            <w:r w:rsidRPr="00E16672">
              <w:rPr>
                <w:rFonts w:ascii="Times New Roman" w:eastAsia="Lucida Sans Unicode" w:hAnsi="Times New Roman"/>
                <w:color w:val="000000"/>
                <w:sz w:val="16"/>
                <w:szCs w:val="16"/>
                <w:shd w:val="clear" w:color="auto" w:fill="FFFFFF"/>
              </w:rPr>
              <w:t>.1.</w:t>
            </w:r>
            <w:r w:rsidRPr="00E16672">
              <w:rPr>
                <w:rFonts w:ascii="Times New Roman" w:eastAsia="Lucida Sans Unicode" w:hAnsi="Times New Roman"/>
                <w:color w:val="000000"/>
                <w:sz w:val="16"/>
                <w:szCs w:val="16"/>
                <w:shd w:val="clear" w:color="auto" w:fill="FFFFFF"/>
                <w:lang w:val="en-US"/>
              </w:rPr>
              <w:t>1</w:t>
            </w:r>
            <w:r w:rsidRPr="00E16672">
              <w:rPr>
                <w:rFonts w:ascii="Times New Roman" w:eastAsia="Lucida Sans Unicode" w:hAnsi="Times New Roman"/>
                <w:color w:val="000000"/>
                <w:sz w:val="16"/>
                <w:szCs w:val="16"/>
                <w:shd w:val="clear" w:color="auto" w:fill="FFFFFF"/>
              </w:rPr>
              <w:t xml:space="preserve">3. </w:t>
            </w:r>
            <w:proofErr w:type="spellStart"/>
            <w:r w:rsidRPr="00E16672">
              <w:rPr>
                <w:rFonts w:ascii="Times New Roman" w:eastAsia="Lucida Sans Unicode" w:hAnsi="Times New Roman"/>
                <w:color w:val="000000"/>
                <w:sz w:val="16"/>
                <w:szCs w:val="16"/>
                <w:shd w:val="clear" w:color="auto" w:fill="FFFFFF"/>
              </w:rPr>
              <w:t>To</w:t>
            </w:r>
            <w:proofErr w:type="spellEnd"/>
            <w:r w:rsidRPr="00E16672">
              <w:rPr>
                <w:rFonts w:ascii="Times New Roman" w:eastAsia="Lucida Sans Unicode" w:hAnsi="Times New Roman"/>
                <w:color w:val="000000"/>
                <w:sz w:val="16"/>
                <w:szCs w:val="16"/>
                <w:shd w:val="clear" w:color="auto" w:fill="FFFFFF"/>
              </w:rPr>
              <w:t xml:space="preserve"> </w:t>
            </w:r>
            <w:proofErr w:type="spellStart"/>
            <w:r w:rsidRPr="00E16672">
              <w:rPr>
                <w:rFonts w:ascii="Times New Roman" w:eastAsia="Lucida Sans Unicode" w:hAnsi="Times New Roman"/>
                <w:color w:val="000000"/>
                <w:sz w:val="16"/>
                <w:szCs w:val="16"/>
                <w:shd w:val="clear" w:color="auto" w:fill="FFFFFF"/>
              </w:rPr>
              <w:t>ensure</w:t>
            </w:r>
            <w:proofErr w:type="spellEnd"/>
            <w:r w:rsidRPr="00E16672">
              <w:rPr>
                <w:rFonts w:ascii="Times New Roman" w:eastAsia="Lucida Sans Unicode" w:hAnsi="Times New Roman"/>
                <w:color w:val="000000"/>
                <w:sz w:val="16"/>
                <w:szCs w:val="16"/>
                <w:shd w:val="clear" w:color="auto" w:fill="FFFFFF"/>
              </w:rPr>
              <w:t xml:space="preserve"> </w:t>
            </w:r>
            <w:proofErr w:type="spellStart"/>
            <w:r w:rsidRPr="00E16672">
              <w:rPr>
                <w:rFonts w:ascii="Times New Roman" w:eastAsia="Lucida Sans Unicode" w:hAnsi="Times New Roman"/>
                <w:color w:val="000000"/>
                <w:sz w:val="16"/>
                <w:szCs w:val="16"/>
                <w:shd w:val="clear" w:color="auto" w:fill="FFFFFF"/>
              </w:rPr>
              <w:t>custody</w:t>
            </w:r>
            <w:proofErr w:type="spellEnd"/>
            <w:r w:rsidRPr="00E16672">
              <w:rPr>
                <w:rFonts w:ascii="Times New Roman" w:eastAsia="Lucida Sans Unicode" w:hAnsi="Times New Roman"/>
                <w:color w:val="000000"/>
                <w:sz w:val="16"/>
                <w:szCs w:val="16"/>
                <w:shd w:val="clear" w:color="auto" w:fill="FFFFFF"/>
              </w:rPr>
              <w:t xml:space="preserve"> </w:t>
            </w:r>
            <w:proofErr w:type="spellStart"/>
            <w:r w:rsidRPr="00E16672">
              <w:rPr>
                <w:rFonts w:ascii="Times New Roman" w:eastAsia="Lucida Sans Unicode" w:hAnsi="Times New Roman"/>
                <w:color w:val="000000"/>
                <w:sz w:val="16"/>
                <w:szCs w:val="16"/>
                <w:shd w:val="clear" w:color="auto" w:fill="FFFFFF"/>
              </w:rPr>
              <w:t>and</w:t>
            </w:r>
            <w:proofErr w:type="spellEnd"/>
            <w:r w:rsidRPr="00E16672">
              <w:rPr>
                <w:rFonts w:ascii="Times New Roman" w:eastAsia="Lucida Sans Unicode" w:hAnsi="Times New Roman"/>
                <w:color w:val="000000"/>
                <w:sz w:val="16"/>
                <w:szCs w:val="16"/>
                <w:shd w:val="clear" w:color="auto" w:fill="FFFFFF"/>
              </w:rPr>
              <w:t xml:space="preserve"> </w:t>
            </w:r>
            <w:proofErr w:type="spellStart"/>
            <w:r w:rsidRPr="00E16672">
              <w:rPr>
                <w:rFonts w:ascii="Times New Roman" w:eastAsia="Lucida Sans Unicode" w:hAnsi="Times New Roman"/>
                <w:color w:val="000000"/>
                <w:sz w:val="16"/>
                <w:szCs w:val="16"/>
                <w:shd w:val="clear" w:color="auto" w:fill="FFFFFF"/>
              </w:rPr>
              <w:t>confidentiality</w:t>
            </w:r>
            <w:proofErr w:type="spellEnd"/>
            <w:r w:rsidRPr="00E16672">
              <w:rPr>
                <w:rFonts w:ascii="Times New Roman" w:eastAsia="Lucida Sans Unicode" w:hAnsi="Times New Roman"/>
                <w:color w:val="000000"/>
                <w:sz w:val="16"/>
                <w:szCs w:val="16"/>
                <w:shd w:val="clear" w:color="auto" w:fill="FFFFFF"/>
              </w:rPr>
              <w:t xml:space="preserve"> </w:t>
            </w:r>
            <w:proofErr w:type="spellStart"/>
            <w:r w:rsidRPr="00E16672">
              <w:rPr>
                <w:rFonts w:ascii="Times New Roman" w:eastAsia="Lucida Sans Unicode" w:hAnsi="Times New Roman"/>
                <w:color w:val="000000"/>
                <w:sz w:val="16"/>
                <w:szCs w:val="16"/>
                <w:shd w:val="clear" w:color="auto" w:fill="FFFFFF"/>
              </w:rPr>
              <w:t>of</w:t>
            </w:r>
            <w:proofErr w:type="spellEnd"/>
            <w:r w:rsidRPr="00E16672">
              <w:rPr>
                <w:rFonts w:ascii="Times New Roman" w:eastAsia="Lucida Sans Unicode" w:hAnsi="Times New Roman"/>
                <w:color w:val="000000"/>
                <w:sz w:val="16"/>
                <w:szCs w:val="16"/>
                <w:shd w:val="clear" w:color="auto" w:fill="FFFFFF"/>
              </w:rPr>
              <w:t xml:space="preserve"> </w:t>
            </w:r>
            <w:proofErr w:type="spellStart"/>
            <w:r w:rsidRPr="00E16672">
              <w:rPr>
                <w:rFonts w:ascii="Times New Roman" w:eastAsia="Lucida Sans Unicode" w:hAnsi="Times New Roman"/>
                <w:color w:val="000000"/>
                <w:sz w:val="16"/>
                <w:szCs w:val="16"/>
                <w:shd w:val="clear" w:color="auto" w:fill="FFFFFF"/>
              </w:rPr>
              <w:t>information</w:t>
            </w:r>
            <w:proofErr w:type="spellEnd"/>
            <w:r w:rsidRPr="00E16672">
              <w:rPr>
                <w:rFonts w:ascii="Times New Roman" w:eastAsia="Lucida Sans Unicode" w:hAnsi="Times New Roman"/>
                <w:color w:val="000000"/>
                <w:sz w:val="16"/>
                <w:szCs w:val="16"/>
                <w:shd w:val="clear" w:color="auto" w:fill="FFFFFF"/>
              </w:rPr>
              <w:t xml:space="preserve">, </w:t>
            </w:r>
            <w:proofErr w:type="spellStart"/>
            <w:r w:rsidRPr="00E16672">
              <w:rPr>
                <w:rFonts w:ascii="Times New Roman" w:eastAsia="Lucida Sans Unicode" w:hAnsi="Times New Roman"/>
                <w:color w:val="000000"/>
                <w:sz w:val="16"/>
                <w:szCs w:val="16"/>
                <w:shd w:val="clear" w:color="auto" w:fill="FFFFFF"/>
              </w:rPr>
              <w:t>contained</w:t>
            </w:r>
            <w:proofErr w:type="spellEnd"/>
            <w:r w:rsidRPr="00E16672">
              <w:rPr>
                <w:rFonts w:ascii="Times New Roman" w:eastAsia="Lucida Sans Unicode" w:hAnsi="Times New Roman"/>
                <w:color w:val="000000"/>
                <w:sz w:val="16"/>
                <w:szCs w:val="16"/>
                <w:shd w:val="clear" w:color="auto" w:fill="FFFFFF"/>
              </w:rPr>
              <w:t xml:space="preserve"> </w:t>
            </w:r>
            <w:proofErr w:type="spellStart"/>
            <w:r w:rsidRPr="00E16672">
              <w:rPr>
                <w:rFonts w:ascii="Times New Roman" w:eastAsia="Lucida Sans Unicode" w:hAnsi="Times New Roman"/>
                <w:color w:val="000000"/>
                <w:sz w:val="16"/>
                <w:szCs w:val="16"/>
                <w:shd w:val="clear" w:color="auto" w:fill="FFFFFF"/>
              </w:rPr>
              <w:t>in</w:t>
            </w:r>
            <w:proofErr w:type="spellEnd"/>
            <w:r w:rsidRPr="00E16672">
              <w:rPr>
                <w:rFonts w:ascii="Times New Roman" w:eastAsia="Lucida Sans Unicode" w:hAnsi="Times New Roman"/>
                <w:color w:val="000000"/>
                <w:sz w:val="16"/>
                <w:szCs w:val="16"/>
                <w:shd w:val="clear" w:color="auto" w:fill="FFFFFF"/>
              </w:rPr>
              <w:t xml:space="preserve"> </w:t>
            </w:r>
            <w:proofErr w:type="spellStart"/>
            <w:r w:rsidRPr="00E16672">
              <w:rPr>
                <w:rFonts w:ascii="Times New Roman" w:eastAsia="Lucida Sans Unicode" w:hAnsi="Times New Roman"/>
                <w:color w:val="000000"/>
                <w:sz w:val="16"/>
                <w:szCs w:val="16"/>
                <w:shd w:val="clear" w:color="auto" w:fill="FFFFFF"/>
              </w:rPr>
              <w:t>the</w:t>
            </w:r>
            <w:proofErr w:type="spellEnd"/>
            <w:r w:rsidRPr="00E16672">
              <w:rPr>
                <w:rFonts w:ascii="Times New Roman" w:eastAsia="Lucida Sans Unicode" w:hAnsi="Times New Roman"/>
                <w:color w:val="000000"/>
                <w:sz w:val="16"/>
                <w:szCs w:val="16"/>
                <w:shd w:val="clear" w:color="auto" w:fill="FFFFFF"/>
              </w:rPr>
              <w:t xml:space="preserve"> </w:t>
            </w:r>
            <w:proofErr w:type="spellStart"/>
            <w:r w:rsidRPr="00E16672">
              <w:rPr>
                <w:rFonts w:ascii="Times New Roman" w:eastAsia="Lucida Sans Unicode" w:hAnsi="Times New Roman"/>
                <w:color w:val="000000"/>
                <w:sz w:val="16"/>
                <w:szCs w:val="16"/>
                <w:shd w:val="clear" w:color="auto" w:fill="FFFFFF"/>
              </w:rPr>
              <w:t>system</w:t>
            </w:r>
            <w:proofErr w:type="spellEnd"/>
            <w:r w:rsidRPr="00E16672">
              <w:rPr>
                <w:rFonts w:ascii="Times New Roman" w:eastAsia="Lucida Sans Unicode" w:hAnsi="Times New Roman"/>
                <w:color w:val="000000"/>
                <w:sz w:val="16"/>
                <w:szCs w:val="16"/>
                <w:shd w:val="clear" w:color="auto" w:fill="FFFFFF"/>
              </w:rPr>
              <w:t xml:space="preserve"> </w:t>
            </w:r>
            <w:proofErr w:type="spellStart"/>
            <w:r w:rsidRPr="00E16672">
              <w:rPr>
                <w:rFonts w:ascii="Times New Roman" w:eastAsia="Lucida Sans Unicode" w:hAnsi="Times New Roman"/>
                <w:color w:val="000000"/>
                <w:sz w:val="16"/>
                <w:szCs w:val="16"/>
                <w:shd w:val="clear" w:color="auto" w:fill="FFFFFF"/>
              </w:rPr>
              <w:t>of</w:t>
            </w:r>
            <w:proofErr w:type="spellEnd"/>
            <w:r w:rsidRPr="00E16672">
              <w:rPr>
                <w:rFonts w:ascii="Times New Roman" w:eastAsia="Lucida Sans Unicode" w:hAnsi="Times New Roman"/>
                <w:color w:val="000000"/>
                <w:sz w:val="16"/>
                <w:szCs w:val="16"/>
                <w:shd w:val="clear" w:color="auto" w:fill="FFFFFF"/>
              </w:rPr>
              <w:t xml:space="preserve"> </w:t>
            </w:r>
            <w:proofErr w:type="spellStart"/>
            <w:r w:rsidRPr="00E16672">
              <w:rPr>
                <w:rFonts w:ascii="Times New Roman" w:eastAsia="Lucida Sans Unicode" w:hAnsi="Times New Roman"/>
                <w:color w:val="000000"/>
                <w:sz w:val="16"/>
                <w:szCs w:val="16"/>
                <w:shd w:val="clear" w:color="auto" w:fill="FFFFFF"/>
              </w:rPr>
              <w:t>depository</w:t>
            </w:r>
            <w:proofErr w:type="spellEnd"/>
            <w:r w:rsidRPr="00E16672">
              <w:rPr>
                <w:rFonts w:ascii="Times New Roman" w:eastAsia="Lucida Sans Unicode" w:hAnsi="Times New Roman"/>
                <w:color w:val="000000"/>
                <w:sz w:val="16"/>
                <w:szCs w:val="16"/>
                <w:shd w:val="clear" w:color="auto" w:fill="FFFFFF"/>
              </w:rPr>
              <w:t xml:space="preserve"> </w:t>
            </w:r>
            <w:proofErr w:type="spellStart"/>
            <w:r w:rsidRPr="00E16672">
              <w:rPr>
                <w:rFonts w:ascii="Times New Roman" w:eastAsia="Lucida Sans Unicode" w:hAnsi="Times New Roman"/>
                <w:color w:val="000000"/>
                <w:sz w:val="16"/>
                <w:szCs w:val="16"/>
                <w:shd w:val="clear" w:color="auto" w:fill="FFFFFF"/>
              </w:rPr>
              <w:t>account</w:t>
            </w:r>
            <w:proofErr w:type="spellEnd"/>
            <w:r w:rsidRPr="00E16672">
              <w:rPr>
                <w:rFonts w:ascii="Times New Roman" w:eastAsia="Lucida Sans Unicode" w:hAnsi="Times New Roman"/>
                <w:color w:val="000000"/>
                <w:sz w:val="16"/>
                <w:szCs w:val="16"/>
                <w:shd w:val="clear" w:color="auto" w:fill="FFFFFF"/>
              </w:rPr>
              <w:t xml:space="preserve">, </w:t>
            </w:r>
            <w:proofErr w:type="spellStart"/>
            <w:r w:rsidRPr="00E16672">
              <w:rPr>
                <w:rFonts w:ascii="Times New Roman" w:eastAsia="Lucida Sans Unicode" w:hAnsi="Times New Roman"/>
                <w:color w:val="000000"/>
                <w:sz w:val="16"/>
                <w:szCs w:val="16"/>
                <w:shd w:val="clear" w:color="auto" w:fill="FFFFFF"/>
              </w:rPr>
              <w:t>concerning</w:t>
            </w:r>
            <w:proofErr w:type="spellEnd"/>
            <w:r w:rsidRPr="00E16672">
              <w:rPr>
                <w:rFonts w:ascii="Times New Roman" w:eastAsia="Lucida Sans Unicode" w:hAnsi="Times New Roman"/>
                <w:color w:val="000000"/>
                <w:sz w:val="16"/>
                <w:szCs w:val="16"/>
                <w:shd w:val="clear" w:color="auto" w:fill="FFFFFF"/>
              </w:rPr>
              <w:t xml:space="preserve"> </w:t>
            </w:r>
            <w:proofErr w:type="spellStart"/>
            <w:r w:rsidRPr="00E16672">
              <w:rPr>
                <w:rFonts w:ascii="Times New Roman" w:eastAsia="Lucida Sans Unicode" w:hAnsi="Times New Roman"/>
                <w:color w:val="000000"/>
                <w:sz w:val="16"/>
                <w:szCs w:val="16"/>
                <w:shd w:val="clear" w:color="auto" w:fill="FFFFFF"/>
              </w:rPr>
              <w:t>the</w:t>
            </w:r>
            <w:proofErr w:type="spellEnd"/>
            <w:r w:rsidRPr="00E16672">
              <w:rPr>
                <w:rFonts w:ascii="Times New Roman" w:eastAsia="Lucida Sans Unicode" w:hAnsi="Times New Roman"/>
                <w:color w:val="000000"/>
                <w:sz w:val="16"/>
                <w:szCs w:val="16"/>
                <w:shd w:val="clear" w:color="auto" w:fill="FFFFFF"/>
              </w:rPr>
              <w:t xml:space="preserve"> </w:t>
            </w:r>
            <w:proofErr w:type="spellStart"/>
            <w:r w:rsidRPr="00E16672">
              <w:rPr>
                <w:rFonts w:ascii="Times New Roman" w:eastAsia="Lucida Sans Unicode" w:hAnsi="Times New Roman"/>
                <w:color w:val="000000"/>
                <w:sz w:val="16"/>
                <w:szCs w:val="16"/>
                <w:shd w:val="clear" w:color="auto" w:fill="FFFFFF"/>
              </w:rPr>
              <w:t>securities</w:t>
            </w:r>
            <w:proofErr w:type="spellEnd"/>
            <w:r w:rsidRPr="00E16672">
              <w:rPr>
                <w:rFonts w:ascii="Times New Roman" w:eastAsia="Lucida Sans Unicode" w:hAnsi="Times New Roman"/>
                <w:color w:val="000000"/>
                <w:sz w:val="16"/>
                <w:szCs w:val="16"/>
                <w:shd w:val="clear" w:color="auto" w:fill="FFFFFF"/>
              </w:rPr>
              <w:t xml:space="preserve"> </w:t>
            </w:r>
            <w:proofErr w:type="spellStart"/>
            <w:r w:rsidRPr="00E16672">
              <w:rPr>
                <w:rFonts w:ascii="Times New Roman" w:eastAsia="Lucida Sans Unicode" w:hAnsi="Times New Roman"/>
                <w:color w:val="000000"/>
                <w:sz w:val="16"/>
                <w:szCs w:val="16"/>
                <w:shd w:val="clear" w:color="auto" w:fill="FFFFFF"/>
              </w:rPr>
              <w:t>accounted</w:t>
            </w:r>
            <w:proofErr w:type="spellEnd"/>
            <w:r w:rsidRPr="00E16672">
              <w:rPr>
                <w:rFonts w:ascii="Times New Roman" w:eastAsia="Lucida Sans Unicode" w:hAnsi="Times New Roman"/>
                <w:color w:val="000000"/>
                <w:sz w:val="16"/>
                <w:szCs w:val="16"/>
                <w:shd w:val="clear" w:color="auto" w:fill="FFFFFF"/>
              </w:rPr>
              <w:t xml:space="preserve"> </w:t>
            </w:r>
            <w:proofErr w:type="spellStart"/>
            <w:r w:rsidRPr="00E16672">
              <w:rPr>
                <w:rFonts w:ascii="Times New Roman" w:eastAsia="Lucida Sans Unicode" w:hAnsi="Times New Roman"/>
                <w:color w:val="000000"/>
                <w:sz w:val="16"/>
                <w:szCs w:val="16"/>
                <w:shd w:val="clear" w:color="auto" w:fill="FFFFFF"/>
              </w:rPr>
              <w:t>on</w:t>
            </w:r>
            <w:proofErr w:type="spellEnd"/>
            <w:r w:rsidRPr="00E16672">
              <w:rPr>
                <w:rFonts w:ascii="Times New Roman" w:eastAsia="Lucida Sans Unicode" w:hAnsi="Times New Roman"/>
                <w:color w:val="000000"/>
                <w:sz w:val="16"/>
                <w:szCs w:val="16"/>
                <w:shd w:val="clear" w:color="auto" w:fill="FFFFFF"/>
              </w:rPr>
              <w:t xml:space="preserve"> </w:t>
            </w:r>
            <w:proofErr w:type="spellStart"/>
            <w:r w:rsidRPr="00E16672">
              <w:rPr>
                <w:rFonts w:ascii="Times New Roman" w:eastAsia="Lucida Sans Unicode" w:hAnsi="Times New Roman"/>
                <w:color w:val="000000"/>
                <w:sz w:val="16"/>
                <w:szCs w:val="16"/>
                <w:shd w:val="clear" w:color="auto" w:fill="FFFFFF"/>
              </w:rPr>
              <w:t>the</w:t>
            </w:r>
            <w:proofErr w:type="spellEnd"/>
            <w:r w:rsidRPr="00E16672">
              <w:rPr>
                <w:rFonts w:ascii="Times New Roman" w:eastAsia="Lucida Sans Unicode" w:hAnsi="Times New Roman"/>
                <w:color w:val="000000"/>
                <w:sz w:val="16"/>
                <w:szCs w:val="16"/>
                <w:shd w:val="clear" w:color="auto" w:fill="FFFFFF"/>
              </w:rPr>
              <w:t xml:space="preserve"> </w:t>
            </w:r>
            <w:proofErr w:type="spellStart"/>
            <w:r w:rsidRPr="00E16672">
              <w:rPr>
                <w:rFonts w:ascii="Times New Roman" w:eastAsia="Lucida Sans Unicode" w:hAnsi="Times New Roman"/>
                <w:color w:val="000000"/>
                <w:sz w:val="16"/>
                <w:szCs w:val="16"/>
                <w:shd w:val="clear" w:color="auto" w:fill="FFFFFF"/>
              </w:rPr>
              <w:t>Depositor’s</w:t>
            </w:r>
            <w:proofErr w:type="spellEnd"/>
            <w:r w:rsidRPr="00E16672">
              <w:rPr>
                <w:rFonts w:ascii="Times New Roman" w:eastAsia="Lucida Sans Unicode" w:hAnsi="Times New Roman"/>
                <w:color w:val="000000"/>
                <w:sz w:val="16"/>
                <w:szCs w:val="16"/>
                <w:shd w:val="clear" w:color="auto" w:fill="FFFFFF"/>
              </w:rPr>
              <w:t xml:space="preserve"> </w:t>
            </w:r>
            <w:proofErr w:type="spellStart"/>
            <w:r w:rsidRPr="00E16672">
              <w:rPr>
                <w:rFonts w:ascii="Times New Roman" w:eastAsia="Lucida Sans Unicode" w:hAnsi="Times New Roman"/>
                <w:color w:val="000000"/>
                <w:sz w:val="16"/>
                <w:szCs w:val="16"/>
                <w:shd w:val="clear" w:color="auto" w:fill="FFFFFF"/>
              </w:rPr>
              <w:t>account</w:t>
            </w:r>
            <w:proofErr w:type="spellEnd"/>
            <w:r w:rsidRPr="00E16672">
              <w:rPr>
                <w:rFonts w:ascii="Times New Roman" w:eastAsia="Lucida Sans Unicode" w:hAnsi="Times New Roman"/>
                <w:color w:val="000000"/>
                <w:sz w:val="16"/>
                <w:szCs w:val="16"/>
                <w:shd w:val="clear" w:color="auto" w:fill="FFFFFF"/>
              </w:rPr>
              <w:t xml:space="preserve"> </w:t>
            </w:r>
            <w:proofErr w:type="spellStart"/>
            <w:r w:rsidRPr="00E16672">
              <w:rPr>
                <w:rFonts w:ascii="Times New Roman" w:eastAsia="Lucida Sans Unicode" w:hAnsi="Times New Roman"/>
                <w:color w:val="000000"/>
                <w:sz w:val="16"/>
                <w:szCs w:val="16"/>
                <w:shd w:val="clear" w:color="auto" w:fill="FFFFFF"/>
              </w:rPr>
              <w:t>in</w:t>
            </w:r>
            <w:proofErr w:type="spellEnd"/>
            <w:r w:rsidRPr="00E16672">
              <w:rPr>
                <w:rFonts w:ascii="Times New Roman" w:eastAsia="Lucida Sans Unicode" w:hAnsi="Times New Roman"/>
                <w:color w:val="000000"/>
                <w:sz w:val="16"/>
                <w:szCs w:val="16"/>
                <w:shd w:val="clear" w:color="auto" w:fill="FFFFFF"/>
              </w:rPr>
              <w:t xml:space="preserve"> </w:t>
            </w:r>
            <w:proofErr w:type="spellStart"/>
            <w:r w:rsidRPr="00E16672">
              <w:rPr>
                <w:rFonts w:ascii="Times New Roman" w:eastAsia="Lucida Sans Unicode" w:hAnsi="Times New Roman"/>
                <w:color w:val="000000"/>
                <w:sz w:val="16"/>
                <w:szCs w:val="16"/>
                <w:shd w:val="clear" w:color="auto" w:fill="FFFFFF"/>
              </w:rPr>
              <w:t>securities</w:t>
            </w:r>
            <w:proofErr w:type="spellEnd"/>
            <w:r w:rsidRPr="00E16672">
              <w:rPr>
                <w:rFonts w:ascii="Times New Roman" w:eastAsia="Lucida Sans Unicode" w:hAnsi="Times New Roman"/>
                <w:color w:val="000000"/>
                <w:sz w:val="16"/>
                <w:szCs w:val="16"/>
                <w:shd w:val="clear" w:color="auto" w:fill="FFFFFF"/>
              </w:rPr>
              <w:t xml:space="preserve"> </w:t>
            </w:r>
            <w:proofErr w:type="spellStart"/>
            <w:r w:rsidRPr="00E16672">
              <w:rPr>
                <w:rFonts w:ascii="Times New Roman" w:eastAsia="Lucida Sans Unicode" w:hAnsi="Times New Roman"/>
                <w:color w:val="000000"/>
                <w:sz w:val="16"/>
                <w:szCs w:val="16"/>
                <w:shd w:val="clear" w:color="auto" w:fill="FFFFFF"/>
              </w:rPr>
              <w:t>and</w:t>
            </w:r>
            <w:proofErr w:type="spellEnd"/>
            <w:r w:rsidRPr="00E16672">
              <w:rPr>
                <w:rFonts w:ascii="Times New Roman" w:eastAsia="Lucida Sans Unicode" w:hAnsi="Times New Roman"/>
                <w:color w:val="000000"/>
                <w:sz w:val="16"/>
                <w:szCs w:val="16"/>
                <w:shd w:val="clear" w:color="auto" w:fill="FFFFFF"/>
              </w:rPr>
              <w:t xml:space="preserve"> </w:t>
            </w:r>
            <w:proofErr w:type="spellStart"/>
            <w:r w:rsidRPr="00E16672">
              <w:rPr>
                <w:rFonts w:ascii="Times New Roman" w:eastAsia="Lucida Sans Unicode" w:hAnsi="Times New Roman"/>
                <w:color w:val="000000"/>
                <w:sz w:val="16"/>
                <w:szCs w:val="16"/>
                <w:shd w:val="clear" w:color="auto" w:fill="FFFFFF"/>
              </w:rPr>
              <w:t>of</w:t>
            </w:r>
            <w:proofErr w:type="spellEnd"/>
            <w:r w:rsidRPr="00E16672">
              <w:rPr>
                <w:rFonts w:ascii="Times New Roman" w:eastAsia="Lucida Sans Unicode" w:hAnsi="Times New Roman"/>
                <w:color w:val="000000"/>
                <w:sz w:val="16"/>
                <w:szCs w:val="16"/>
                <w:shd w:val="clear" w:color="auto" w:fill="FFFFFF"/>
              </w:rPr>
              <w:t xml:space="preserve"> </w:t>
            </w:r>
            <w:proofErr w:type="spellStart"/>
            <w:r w:rsidRPr="00E16672">
              <w:rPr>
                <w:rFonts w:ascii="Times New Roman" w:eastAsia="Lucida Sans Unicode" w:hAnsi="Times New Roman"/>
                <w:color w:val="000000"/>
                <w:sz w:val="16"/>
                <w:szCs w:val="16"/>
                <w:shd w:val="clear" w:color="auto" w:fill="FFFFFF"/>
              </w:rPr>
              <w:t>any</w:t>
            </w:r>
            <w:proofErr w:type="spellEnd"/>
            <w:r w:rsidRPr="00E16672">
              <w:rPr>
                <w:rFonts w:ascii="Times New Roman" w:eastAsia="Lucida Sans Unicode" w:hAnsi="Times New Roman"/>
                <w:color w:val="000000"/>
                <w:sz w:val="16"/>
                <w:szCs w:val="16"/>
                <w:shd w:val="clear" w:color="auto" w:fill="FFFFFF"/>
              </w:rPr>
              <w:t xml:space="preserve"> </w:t>
            </w:r>
            <w:proofErr w:type="spellStart"/>
            <w:r w:rsidRPr="00E16672">
              <w:rPr>
                <w:rFonts w:ascii="Times New Roman" w:eastAsia="Lucida Sans Unicode" w:hAnsi="Times New Roman"/>
                <w:color w:val="000000"/>
                <w:sz w:val="16"/>
                <w:szCs w:val="16"/>
                <w:shd w:val="clear" w:color="auto" w:fill="FFFFFF"/>
              </w:rPr>
              <w:t>information</w:t>
            </w:r>
            <w:proofErr w:type="spellEnd"/>
            <w:r w:rsidRPr="00E16672">
              <w:rPr>
                <w:rFonts w:ascii="Times New Roman" w:eastAsia="Lucida Sans Unicode" w:hAnsi="Times New Roman"/>
                <w:color w:val="000000"/>
                <w:sz w:val="16"/>
                <w:szCs w:val="16"/>
                <w:shd w:val="clear" w:color="auto" w:fill="FFFFFF"/>
              </w:rPr>
              <w:t xml:space="preserve">, </w:t>
            </w:r>
            <w:proofErr w:type="spellStart"/>
            <w:r w:rsidRPr="00E16672">
              <w:rPr>
                <w:rFonts w:ascii="Times New Roman" w:eastAsia="Lucida Sans Unicode" w:hAnsi="Times New Roman"/>
                <w:color w:val="000000"/>
                <w:sz w:val="16"/>
                <w:szCs w:val="16"/>
                <w:shd w:val="clear" w:color="auto" w:fill="FFFFFF"/>
              </w:rPr>
              <w:t>which</w:t>
            </w:r>
            <w:proofErr w:type="spellEnd"/>
            <w:r w:rsidRPr="00E16672">
              <w:rPr>
                <w:rFonts w:ascii="Times New Roman" w:eastAsia="Lucida Sans Unicode" w:hAnsi="Times New Roman"/>
                <w:color w:val="000000"/>
                <w:sz w:val="16"/>
                <w:szCs w:val="16"/>
                <w:shd w:val="clear" w:color="auto" w:fill="FFFFFF"/>
              </w:rPr>
              <w:t xml:space="preserve"> </w:t>
            </w:r>
            <w:proofErr w:type="spellStart"/>
            <w:r w:rsidRPr="00E16672">
              <w:rPr>
                <w:rFonts w:ascii="Times New Roman" w:eastAsia="Lucida Sans Unicode" w:hAnsi="Times New Roman"/>
                <w:color w:val="000000"/>
                <w:sz w:val="16"/>
                <w:szCs w:val="16"/>
                <w:shd w:val="clear" w:color="auto" w:fill="FFFFFF"/>
              </w:rPr>
              <w:t>can</w:t>
            </w:r>
            <w:proofErr w:type="spellEnd"/>
            <w:r w:rsidRPr="00E16672">
              <w:rPr>
                <w:rFonts w:ascii="Times New Roman" w:eastAsia="Lucida Sans Unicode" w:hAnsi="Times New Roman"/>
                <w:color w:val="000000"/>
                <w:sz w:val="16"/>
                <w:szCs w:val="16"/>
                <w:shd w:val="clear" w:color="auto" w:fill="FFFFFF"/>
              </w:rPr>
              <w:t xml:space="preserve"> </w:t>
            </w:r>
            <w:proofErr w:type="spellStart"/>
            <w:r w:rsidRPr="00E16672">
              <w:rPr>
                <w:rFonts w:ascii="Times New Roman" w:eastAsia="Lucida Sans Unicode" w:hAnsi="Times New Roman"/>
                <w:color w:val="000000"/>
                <w:sz w:val="16"/>
                <w:szCs w:val="16"/>
                <w:shd w:val="clear" w:color="auto" w:fill="FFFFFF"/>
              </w:rPr>
              <w:t>make</w:t>
            </w:r>
            <w:proofErr w:type="spellEnd"/>
            <w:r w:rsidRPr="00E16672">
              <w:rPr>
                <w:rFonts w:ascii="Times New Roman" w:eastAsia="Lucida Sans Unicode" w:hAnsi="Times New Roman"/>
                <w:color w:val="000000"/>
                <w:sz w:val="16"/>
                <w:szCs w:val="16"/>
                <w:shd w:val="clear" w:color="auto" w:fill="FFFFFF"/>
              </w:rPr>
              <w:t xml:space="preserve"> </w:t>
            </w:r>
            <w:proofErr w:type="spellStart"/>
            <w:r w:rsidRPr="00E16672">
              <w:rPr>
                <w:rFonts w:ascii="Times New Roman" w:eastAsia="Lucida Sans Unicode" w:hAnsi="Times New Roman"/>
                <w:color w:val="000000"/>
                <w:sz w:val="16"/>
                <w:szCs w:val="16"/>
                <w:shd w:val="clear" w:color="auto" w:fill="FFFFFF"/>
              </w:rPr>
              <w:t>any</w:t>
            </w:r>
            <w:proofErr w:type="spellEnd"/>
            <w:r w:rsidRPr="00E16672">
              <w:rPr>
                <w:rFonts w:ascii="Times New Roman" w:eastAsia="Lucida Sans Unicode" w:hAnsi="Times New Roman"/>
                <w:color w:val="000000"/>
                <w:sz w:val="16"/>
                <w:szCs w:val="16"/>
                <w:shd w:val="clear" w:color="auto" w:fill="FFFFFF"/>
              </w:rPr>
              <w:t xml:space="preserve"> </w:t>
            </w:r>
            <w:proofErr w:type="spellStart"/>
            <w:r w:rsidRPr="00E16672">
              <w:rPr>
                <w:rFonts w:ascii="Times New Roman" w:eastAsia="Lucida Sans Unicode" w:hAnsi="Times New Roman"/>
                <w:color w:val="000000"/>
                <w:sz w:val="16"/>
                <w:szCs w:val="16"/>
                <w:shd w:val="clear" w:color="auto" w:fill="FFFFFF"/>
              </w:rPr>
              <w:t>damage</w:t>
            </w:r>
            <w:proofErr w:type="spellEnd"/>
            <w:r w:rsidRPr="00E16672">
              <w:rPr>
                <w:rFonts w:ascii="Times New Roman" w:eastAsia="Lucida Sans Unicode" w:hAnsi="Times New Roman"/>
                <w:color w:val="000000"/>
                <w:sz w:val="16"/>
                <w:szCs w:val="16"/>
                <w:shd w:val="clear" w:color="auto" w:fill="FFFFFF"/>
              </w:rPr>
              <w:t xml:space="preserve"> </w:t>
            </w:r>
            <w:proofErr w:type="spellStart"/>
            <w:r w:rsidRPr="00E16672">
              <w:rPr>
                <w:rFonts w:ascii="Times New Roman" w:eastAsia="Lucida Sans Unicode" w:hAnsi="Times New Roman"/>
                <w:color w:val="000000"/>
                <w:sz w:val="16"/>
                <w:szCs w:val="16"/>
                <w:shd w:val="clear" w:color="auto" w:fill="FFFFFF"/>
              </w:rPr>
              <w:t>to</w:t>
            </w:r>
            <w:proofErr w:type="spellEnd"/>
            <w:r w:rsidRPr="00E16672">
              <w:rPr>
                <w:rFonts w:ascii="Times New Roman" w:eastAsia="Lucida Sans Unicode" w:hAnsi="Times New Roman"/>
                <w:color w:val="000000"/>
                <w:sz w:val="16"/>
                <w:szCs w:val="16"/>
                <w:shd w:val="clear" w:color="auto" w:fill="FFFFFF"/>
              </w:rPr>
              <w:t xml:space="preserve"> </w:t>
            </w:r>
            <w:proofErr w:type="spellStart"/>
            <w:r w:rsidRPr="00E16672">
              <w:rPr>
                <w:rFonts w:ascii="Times New Roman" w:eastAsia="Lucida Sans Unicode" w:hAnsi="Times New Roman"/>
                <w:color w:val="000000"/>
                <w:sz w:val="16"/>
                <w:szCs w:val="16"/>
                <w:shd w:val="clear" w:color="auto" w:fill="FFFFFF"/>
              </w:rPr>
              <w:t>Depositor</w:t>
            </w:r>
            <w:proofErr w:type="spellEnd"/>
            <w:r w:rsidRPr="00E16672">
              <w:rPr>
                <w:rFonts w:ascii="Times New Roman" w:eastAsia="Lucida Sans Unicode" w:hAnsi="Times New Roman"/>
                <w:color w:val="000000"/>
                <w:sz w:val="16"/>
                <w:szCs w:val="16"/>
                <w:shd w:val="clear" w:color="auto" w:fill="FFFFFF"/>
              </w:rPr>
              <w:t xml:space="preserve">. </w:t>
            </w:r>
            <w:proofErr w:type="spellStart"/>
            <w:r w:rsidRPr="00E16672">
              <w:rPr>
                <w:rFonts w:ascii="Times New Roman" w:eastAsia="Lucida Sans Unicode" w:hAnsi="Times New Roman"/>
                <w:color w:val="000000"/>
                <w:sz w:val="16"/>
                <w:szCs w:val="16"/>
                <w:shd w:val="clear" w:color="auto" w:fill="FFFFFF"/>
              </w:rPr>
              <w:t>Responsibility</w:t>
            </w:r>
            <w:proofErr w:type="spellEnd"/>
            <w:r w:rsidRPr="00E16672">
              <w:rPr>
                <w:rFonts w:ascii="Times New Roman" w:eastAsia="Lucida Sans Unicode" w:hAnsi="Times New Roman"/>
                <w:color w:val="000000"/>
                <w:sz w:val="16"/>
                <w:szCs w:val="16"/>
                <w:shd w:val="clear" w:color="auto" w:fill="FFFFFF"/>
              </w:rPr>
              <w:t xml:space="preserve"> </w:t>
            </w:r>
            <w:proofErr w:type="spellStart"/>
            <w:r w:rsidRPr="00E16672">
              <w:rPr>
                <w:rFonts w:ascii="Times New Roman" w:eastAsia="Lucida Sans Unicode" w:hAnsi="Times New Roman"/>
                <w:color w:val="000000"/>
                <w:sz w:val="16"/>
                <w:szCs w:val="16"/>
                <w:shd w:val="clear" w:color="auto" w:fill="FFFFFF"/>
              </w:rPr>
              <w:t>for</w:t>
            </w:r>
            <w:proofErr w:type="spellEnd"/>
            <w:r w:rsidRPr="00E16672">
              <w:rPr>
                <w:rFonts w:ascii="Times New Roman" w:eastAsia="Lucida Sans Unicode" w:hAnsi="Times New Roman"/>
                <w:color w:val="000000"/>
                <w:sz w:val="16"/>
                <w:szCs w:val="16"/>
                <w:shd w:val="clear" w:color="auto" w:fill="FFFFFF"/>
              </w:rPr>
              <w:t xml:space="preserve"> </w:t>
            </w:r>
            <w:proofErr w:type="spellStart"/>
            <w:r w:rsidRPr="00E16672">
              <w:rPr>
                <w:rFonts w:ascii="Times New Roman" w:eastAsia="Lucida Sans Unicode" w:hAnsi="Times New Roman"/>
                <w:color w:val="000000"/>
                <w:sz w:val="16"/>
                <w:szCs w:val="16"/>
                <w:shd w:val="clear" w:color="auto" w:fill="FFFFFF"/>
              </w:rPr>
              <w:t>keeping</w:t>
            </w:r>
            <w:proofErr w:type="spellEnd"/>
            <w:r w:rsidRPr="00E16672">
              <w:rPr>
                <w:rFonts w:ascii="Times New Roman" w:eastAsia="Lucida Sans Unicode" w:hAnsi="Times New Roman"/>
                <w:color w:val="000000"/>
                <w:sz w:val="16"/>
                <w:szCs w:val="16"/>
                <w:shd w:val="clear" w:color="auto" w:fill="FFFFFF"/>
              </w:rPr>
              <w:t xml:space="preserve"> </w:t>
            </w:r>
            <w:proofErr w:type="spellStart"/>
            <w:r w:rsidRPr="00E16672">
              <w:rPr>
                <w:rFonts w:ascii="Times New Roman" w:eastAsia="Lucida Sans Unicode" w:hAnsi="Times New Roman"/>
                <w:color w:val="000000"/>
                <w:sz w:val="16"/>
                <w:szCs w:val="16"/>
                <w:shd w:val="clear" w:color="auto" w:fill="FFFFFF"/>
              </w:rPr>
              <w:t>confidentiality</w:t>
            </w:r>
            <w:proofErr w:type="spellEnd"/>
            <w:r w:rsidRPr="00E16672">
              <w:rPr>
                <w:rFonts w:ascii="Times New Roman" w:eastAsia="Lucida Sans Unicode" w:hAnsi="Times New Roman"/>
                <w:color w:val="000000"/>
                <w:sz w:val="16"/>
                <w:szCs w:val="16"/>
                <w:shd w:val="clear" w:color="auto" w:fill="FFFFFF"/>
              </w:rPr>
              <w:t xml:space="preserve"> </w:t>
            </w:r>
            <w:proofErr w:type="spellStart"/>
            <w:r w:rsidRPr="00E16672">
              <w:rPr>
                <w:rFonts w:ascii="Times New Roman" w:eastAsia="Lucida Sans Unicode" w:hAnsi="Times New Roman"/>
                <w:color w:val="000000"/>
                <w:sz w:val="16"/>
                <w:szCs w:val="16"/>
                <w:shd w:val="clear" w:color="auto" w:fill="FFFFFF"/>
              </w:rPr>
              <w:t>do</w:t>
            </w:r>
            <w:proofErr w:type="spellEnd"/>
            <w:r w:rsidRPr="00E16672">
              <w:rPr>
                <w:rFonts w:ascii="Times New Roman" w:eastAsia="Lucida Sans Unicode" w:hAnsi="Times New Roman"/>
                <w:color w:val="000000"/>
                <w:sz w:val="16"/>
                <w:szCs w:val="16"/>
                <w:shd w:val="clear" w:color="auto" w:fill="FFFFFF"/>
              </w:rPr>
              <w:t xml:space="preserve"> </w:t>
            </w:r>
            <w:proofErr w:type="spellStart"/>
            <w:r w:rsidRPr="00E16672">
              <w:rPr>
                <w:rFonts w:ascii="Times New Roman" w:eastAsia="Lucida Sans Unicode" w:hAnsi="Times New Roman"/>
                <w:color w:val="000000"/>
                <w:sz w:val="16"/>
                <w:szCs w:val="16"/>
                <w:shd w:val="clear" w:color="auto" w:fill="FFFFFF"/>
              </w:rPr>
              <w:t>not</w:t>
            </w:r>
            <w:proofErr w:type="spellEnd"/>
            <w:r w:rsidRPr="00E16672">
              <w:rPr>
                <w:rFonts w:ascii="Times New Roman" w:eastAsia="Lucida Sans Unicode" w:hAnsi="Times New Roman"/>
                <w:color w:val="000000"/>
                <w:sz w:val="16"/>
                <w:szCs w:val="16"/>
                <w:shd w:val="clear" w:color="auto" w:fill="FFFFFF"/>
              </w:rPr>
              <w:t xml:space="preserve"> </w:t>
            </w:r>
            <w:proofErr w:type="spellStart"/>
            <w:r w:rsidRPr="00E16672">
              <w:rPr>
                <w:rFonts w:ascii="Times New Roman" w:eastAsia="Lucida Sans Unicode" w:hAnsi="Times New Roman"/>
                <w:color w:val="000000"/>
                <w:sz w:val="16"/>
                <w:szCs w:val="16"/>
                <w:shd w:val="clear" w:color="auto" w:fill="FFFFFF"/>
              </w:rPr>
              <w:t>arise</w:t>
            </w:r>
            <w:proofErr w:type="spellEnd"/>
            <w:r w:rsidRPr="00E16672">
              <w:rPr>
                <w:rFonts w:ascii="Times New Roman" w:eastAsia="Lucida Sans Unicode" w:hAnsi="Times New Roman"/>
                <w:color w:val="000000"/>
                <w:sz w:val="16"/>
                <w:szCs w:val="16"/>
                <w:shd w:val="clear" w:color="auto" w:fill="FFFFFF"/>
              </w:rPr>
              <w:t xml:space="preserve"> </w:t>
            </w:r>
            <w:proofErr w:type="spellStart"/>
            <w:r w:rsidRPr="00E16672">
              <w:rPr>
                <w:rFonts w:ascii="Times New Roman" w:eastAsia="Lucida Sans Unicode" w:hAnsi="Times New Roman"/>
                <w:color w:val="000000"/>
                <w:sz w:val="16"/>
                <w:szCs w:val="16"/>
                <w:shd w:val="clear" w:color="auto" w:fill="FFFFFF"/>
              </w:rPr>
              <w:t>in</w:t>
            </w:r>
            <w:proofErr w:type="spellEnd"/>
            <w:r w:rsidRPr="00E16672">
              <w:rPr>
                <w:rFonts w:ascii="Times New Roman" w:eastAsia="Lucida Sans Unicode" w:hAnsi="Times New Roman"/>
                <w:color w:val="000000"/>
                <w:sz w:val="16"/>
                <w:szCs w:val="16"/>
                <w:shd w:val="clear" w:color="auto" w:fill="FFFFFF"/>
              </w:rPr>
              <w:t xml:space="preserve"> </w:t>
            </w:r>
            <w:proofErr w:type="spellStart"/>
            <w:r w:rsidRPr="00E16672">
              <w:rPr>
                <w:rFonts w:ascii="Times New Roman" w:eastAsia="Lucida Sans Unicode" w:hAnsi="Times New Roman"/>
                <w:color w:val="000000"/>
                <w:sz w:val="16"/>
                <w:szCs w:val="16"/>
                <w:shd w:val="clear" w:color="auto" w:fill="FFFFFF"/>
              </w:rPr>
              <w:t>cases</w:t>
            </w:r>
            <w:proofErr w:type="spellEnd"/>
            <w:r w:rsidRPr="00E16672">
              <w:rPr>
                <w:rFonts w:ascii="Times New Roman" w:eastAsia="Lucida Sans Unicode" w:hAnsi="Times New Roman"/>
                <w:color w:val="000000"/>
                <w:sz w:val="16"/>
                <w:szCs w:val="16"/>
                <w:shd w:val="clear" w:color="auto" w:fill="FFFFFF"/>
              </w:rPr>
              <w:t xml:space="preserve"> </w:t>
            </w:r>
            <w:proofErr w:type="spellStart"/>
            <w:r w:rsidRPr="00E16672">
              <w:rPr>
                <w:rFonts w:ascii="Times New Roman" w:eastAsia="Lucida Sans Unicode" w:hAnsi="Times New Roman"/>
                <w:color w:val="000000"/>
                <w:sz w:val="16"/>
                <w:szCs w:val="16"/>
                <w:shd w:val="clear" w:color="auto" w:fill="FFFFFF"/>
              </w:rPr>
              <w:t>where</w:t>
            </w:r>
            <w:proofErr w:type="spellEnd"/>
            <w:r w:rsidRPr="00E16672">
              <w:rPr>
                <w:rFonts w:ascii="Times New Roman" w:eastAsia="Lucida Sans Unicode" w:hAnsi="Times New Roman"/>
                <w:color w:val="000000"/>
                <w:sz w:val="16"/>
                <w:szCs w:val="16"/>
                <w:shd w:val="clear" w:color="auto" w:fill="FFFFFF"/>
              </w:rPr>
              <w:t xml:space="preserve"> </w:t>
            </w:r>
            <w:proofErr w:type="spellStart"/>
            <w:r w:rsidRPr="00E16672">
              <w:rPr>
                <w:rFonts w:ascii="Times New Roman" w:eastAsia="Lucida Sans Unicode" w:hAnsi="Times New Roman"/>
                <w:color w:val="000000"/>
                <w:sz w:val="16"/>
                <w:szCs w:val="16"/>
                <w:shd w:val="clear" w:color="auto" w:fill="FFFFFF"/>
              </w:rPr>
              <w:t>disclosure</w:t>
            </w:r>
            <w:proofErr w:type="spellEnd"/>
            <w:r w:rsidRPr="00E16672">
              <w:rPr>
                <w:rFonts w:ascii="Times New Roman" w:eastAsia="Lucida Sans Unicode" w:hAnsi="Times New Roman"/>
                <w:color w:val="000000"/>
                <w:sz w:val="16"/>
                <w:szCs w:val="16"/>
                <w:shd w:val="clear" w:color="auto" w:fill="FFFFFF"/>
              </w:rPr>
              <w:t xml:space="preserve"> </w:t>
            </w:r>
            <w:proofErr w:type="spellStart"/>
            <w:r w:rsidRPr="00E16672">
              <w:rPr>
                <w:rFonts w:ascii="Times New Roman" w:eastAsia="Lucida Sans Unicode" w:hAnsi="Times New Roman"/>
                <w:color w:val="000000"/>
                <w:sz w:val="16"/>
                <w:szCs w:val="16"/>
                <w:shd w:val="clear" w:color="auto" w:fill="FFFFFF"/>
              </w:rPr>
              <w:t>of</w:t>
            </w:r>
            <w:proofErr w:type="spellEnd"/>
            <w:r w:rsidRPr="00E16672">
              <w:rPr>
                <w:rFonts w:ascii="Times New Roman" w:eastAsia="Lucida Sans Unicode" w:hAnsi="Times New Roman"/>
                <w:color w:val="000000"/>
                <w:sz w:val="16"/>
                <w:szCs w:val="16"/>
                <w:shd w:val="clear" w:color="auto" w:fill="FFFFFF"/>
              </w:rPr>
              <w:t xml:space="preserve"> </w:t>
            </w:r>
            <w:proofErr w:type="spellStart"/>
            <w:r w:rsidRPr="00E16672">
              <w:rPr>
                <w:rFonts w:ascii="Times New Roman" w:eastAsia="Lucida Sans Unicode" w:hAnsi="Times New Roman"/>
                <w:color w:val="000000"/>
                <w:sz w:val="16"/>
                <w:szCs w:val="16"/>
                <w:shd w:val="clear" w:color="auto" w:fill="FFFFFF"/>
              </w:rPr>
              <w:t>such</w:t>
            </w:r>
            <w:proofErr w:type="spellEnd"/>
            <w:r w:rsidRPr="00E16672">
              <w:rPr>
                <w:rFonts w:ascii="Times New Roman" w:eastAsia="Lucida Sans Unicode" w:hAnsi="Times New Roman"/>
                <w:color w:val="000000"/>
                <w:sz w:val="16"/>
                <w:szCs w:val="16"/>
                <w:shd w:val="clear" w:color="auto" w:fill="FFFFFF"/>
              </w:rPr>
              <w:t xml:space="preserve"> </w:t>
            </w:r>
            <w:proofErr w:type="spellStart"/>
            <w:r w:rsidRPr="00E16672">
              <w:rPr>
                <w:rFonts w:ascii="Times New Roman" w:eastAsia="Lucida Sans Unicode" w:hAnsi="Times New Roman"/>
                <w:color w:val="000000"/>
                <w:sz w:val="16"/>
                <w:szCs w:val="16"/>
                <w:shd w:val="clear" w:color="auto" w:fill="FFFFFF"/>
              </w:rPr>
              <w:t>information</w:t>
            </w:r>
            <w:proofErr w:type="spellEnd"/>
            <w:r w:rsidRPr="00E16672">
              <w:rPr>
                <w:rFonts w:ascii="Times New Roman" w:eastAsia="Lucida Sans Unicode" w:hAnsi="Times New Roman"/>
                <w:color w:val="000000"/>
                <w:sz w:val="16"/>
                <w:szCs w:val="16"/>
                <w:shd w:val="clear" w:color="auto" w:fill="FFFFFF"/>
              </w:rPr>
              <w:t xml:space="preserve"> </w:t>
            </w:r>
            <w:proofErr w:type="spellStart"/>
            <w:r w:rsidRPr="00E16672">
              <w:rPr>
                <w:rFonts w:ascii="Times New Roman" w:eastAsia="Lucida Sans Unicode" w:hAnsi="Times New Roman"/>
                <w:color w:val="000000"/>
                <w:sz w:val="16"/>
                <w:szCs w:val="16"/>
                <w:shd w:val="clear" w:color="auto" w:fill="FFFFFF"/>
              </w:rPr>
              <w:t>has</w:t>
            </w:r>
            <w:proofErr w:type="spellEnd"/>
            <w:r w:rsidRPr="00E16672">
              <w:rPr>
                <w:rFonts w:ascii="Times New Roman" w:eastAsia="Lucida Sans Unicode" w:hAnsi="Times New Roman"/>
                <w:color w:val="000000"/>
                <w:sz w:val="16"/>
                <w:szCs w:val="16"/>
                <w:shd w:val="clear" w:color="auto" w:fill="FFFFFF"/>
              </w:rPr>
              <w:t xml:space="preserve"> </w:t>
            </w:r>
            <w:proofErr w:type="spellStart"/>
            <w:r w:rsidRPr="00E16672">
              <w:rPr>
                <w:rFonts w:ascii="Times New Roman" w:eastAsia="Lucida Sans Unicode" w:hAnsi="Times New Roman"/>
                <w:color w:val="000000"/>
                <w:sz w:val="16"/>
                <w:szCs w:val="16"/>
                <w:shd w:val="clear" w:color="auto" w:fill="FFFFFF"/>
              </w:rPr>
              <w:t>been</w:t>
            </w:r>
            <w:proofErr w:type="spellEnd"/>
            <w:r w:rsidRPr="00E16672">
              <w:rPr>
                <w:rFonts w:ascii="Times New Roman" w:eastAsia="Lucida Sans Unicode" w:hAnsi="Times New Roman"/>
                <w:color w:val="000000"/>
                <w:sz w:val="16"/>
                <w:szCs w:val="16"/>
                <w:shd w:val="clear" w:color="auto" w:fill="FFFFFF"/>
              </w:rPr>
              <w:t xml:space="preserve"> a </w:t>
            </w:r>
            <w:proofErr w:type="spellStart"/>
            <w:r w:rsidRPr="00E16672">
              <w:rPr>
                <w:rFonts w:ascii="Times New Roman" w:eastAsia="Lucida Sans Unicode" w:hAnsi="Times New Roman"/>
                <w:color w:val="000000"/>
                <w:sz w:val="16"/>
                <w:szCs w:val="16"/>
                <w:shd w:val="clear" w:color="auto" w:fill="FFFFFF"/>
              </w:rPr>
              <w:t>result</w:t>
            </w:r>
            <w:proofErr w:type="spellEnd"/>
            <w:r w:rsidRPr="00E16672">
              <w:rPr>
                <w:rFonts w:ascii="Times New Roman" w:eastAsia="Lucida Sans Unicode" w:hAnsi="Times New Roman"/>
                <w:color w:val="000000"/>
                <w:sz w:val="16"/>
                <w:szCs w:val="16"/>
                <w:shd w:val="clear" w:color="auto" w:fill="FFFFFF"/>
              </w:rPr>
              <w:t xml:space="preserve"> </w:t>
            </w:r>
            <w:proofErr w:type="spellStart"/>
            <w:r w:rsidRPr="00E16672">
              <w:rPr>
                <w:rFonts w:ascii="Times New Roman" w:eastAsia="Lucida Sans Unicode" w:hAnsi="Times New Roman"/>
                <w:color w:val="000000"/>
                <w:sz w:val="16"/>
                <w:szCs w:val="16"/>
                <w:shd w:val="clear" w:color="auto" w:fill="FFFFFF"/>
              </w:rPr>
              <w:t>of</w:t>
            </w:r>
            <w:proofErr w:type="spellEnd"/>
            <w:r w:rsidRPr="00E16672">
              <w:rPr>
                <w:rFonts w:ascii="Times New Roman" w:eastAsia="Lucida Sans Unicode" w:hAnsi="Times New Roman"/>
                <w:color w:val="000000"/>
                <w:sz w:val="16"/>
                <w:szCs w:val="16"/>
                <w:shd w:val="clear" w:color="auto" w:fill="FFFFFF"/>
              </w:rPr>
              <w:t xml:space="preserve"> </w:t>
            </w:r>
            <w:proofErr w:type="spellStart"/>
            <w:r w:rsidRPr="00E16672">
              <w:rPr>
                <w:rFonts w:ascii="Times New Roman" w:eastAsia="Lucida Sans Unicode" w:hAnsi="Times New Roman"/>
                <w:color w:val="000000"/>
                <w:sz w:val="16"/>
                <w:szCs w:val="16"/>
                <w:shd w:val="clear" w:color="auto" w:fill="FFFFFF"/>
              </w:rPr>
              <w:t>the</w:t>
            </w:r>
            <w:proofErr w:type="spellEnd"/>
            <w:r w:rsidRPr="00E16672">
              <w:rPr>
                <w:rFonts w:ascii="Times New Roman" w:eastAsia="Lucida Sans Unicode" w:hAnsi="Times New Roman"/>
                <w:color w:val="000000"/>
                <w:sz w:val="16"/>
                <w:szCs w:val="16"/>
                <w:shd w:val="clear" w:color="auto" w:fill="FFFFFF"/>
              </w:rPr>
              <w:t xml:space="preserve"> </w:t>
            </w:r>
            <w:proofErr w:type="spellStart"/>
            <w:r w:rsidRPr="00E16672">
              <w:rPr>
                <w:rFonts w:ascii="Times New Roman" w:eastAsia="Lucida Sans Unicode" w:hAnsi="Times New Roman"/>
                <w:color w:val="000000"/>
                <w:sz w:val="16"/>
                <w:szCs w:val="16"/>
                <w:shd w:val="clear" w:color="auto" w:fill="FFFFFF"/>
              </w:rPr>
              <w:t>actions</w:t>
            </w:r>
            <w:proofErr w:type="spellEnd"/>
            <w:r w:rsidRPr="00E16672">
              <w:rPr>
                <w:rFonts w:ascii="Times New Roman" w:eastAsia="Lucida Sans Unicode" w:hAnsi="Times New Roman"/>
                <w:color w:val="000000"/>
                <w:sz w:val="16"/>
                <w:szCs w:val="16"/>
                <w:shd w:val="clear" w:color="auto" w:fill="FFFFFF"/>
              </w:rPr>
              <w:t xml:space="preserve"> </w:t>
            </w:r>
            <w:proofErr w:type="spellStart"/>
            <w:r w:rsidRPr="00E16672">
              <w:rPr>
                <w:rFonts w:ascii="Times New Roman" w:eastAsia="Lucida Sans Unicode" w:hAnsi="Times New Roman"/>
                <w:color w:val="000000"/>
                <w:sz w:val="16"/>
                <w:szCs w:val="16"/>
                <w:shd w:val="clear" w:color="auto" w:fill="FFFFFF"/>
              </w:rPr>
              <w:t>of</w:t>
            </w:r>
            <w:proofErr w:type="spellEnd"/>
            <w:r w:rsidRPr="00E16672">
              <w:rPr>
                <w:rFonts w:ascii="Times New Roman" w:eastAsia="Lucida Sans Unicode" w:hAnsi="Times New Roman"/>
                <w:color w:val="000000"/>
                <w:sz w:val="16"/>
                <w:szCs w:val="16"/>
                <w:shd w:val="clear" w:color="auto" w:fill="FFFFFF"/>
              </w:rPr>
              <w:t xml:space="preserve"> </w:t>
            </w:r>
            <w:proofErr w:type="spellStart"/>
            <w:r w:rsidRPr="00E16672">
              <w:rPr>
                <w:rFonts w:ascii="Times New Roman" w:eastAsia="Lucida Sans Unicode" w:hAnsi="Times New Roman"/>
                <w:color w:val="000000"/>
                <w:sz w:val="16"/>
                <w:szCs w:val="16"/>
                <w:shd w:val="clear" w:color="auto" w:fill="FFFFFF"/>
              </w:rPr>
              <w:t>judicial</w:t>
            </w:r>
            <w:proofErr w:type="spellEnd"/>
            <w:r w:rsidRPr="00E16672">
              <w:rPr>
                <w:rFonts w:ascii="Times New Roman" w:eastAsia="Lucida Sans Unicode" w:hAnsi="Times New Roman"/>
                <w:color w:val="000000"/>
                <w:sz w:val="16"/>
                <w:szCs w:val="16"/>
                <w:shd w:val="clear" w:color="auto" w:fill="FFFFFF"/>
              </w:rPr>
              <w:t xml:space="preserve"> </w:t>
            </w:r>
            <w:proofErr w:type="spellStart"/>
            <w:r w:rsidRPr="00E16672">
              <w:rPr>
                <w:rFonts w:ascii="Times New Roman" w:eastAsia="Lucida Sans Unicode" w:hAnsi="Times New Roman"/>
                <w:color w:val="000000"/>
                <w:sz w:val="16"/>
                <w:szCs w:val="16"/>
                <w:shd w:val="clear" w:color="auto" w:fill="FFFFFF"/>
              </w:rPr>
              <w:t>or</w:t>
            </w:r>
            <w:proofErr w:type="spellEnd"/>
            <w:r w:rsidRPr="00E16672">
              <w:rPr>
                <w:rFonts w:ascii="Times New Roman" w:eastAsia="Lucida Sans Unicode" w:hAnsi="Times New Roman"/>
                <w:color w:val="000000"/>
                <w:sz w:val="16"/>
                <w:szCs w:val="16"/>
                <w:shd w:val="clear" w:color="auto" w:fill="FFFFFF"/>
              </w:rPr>
              <w:t xml:space="preserve"> </w:t>
            </w:r>
            <w:proofErr w:type="spellStart"/>
            <w:r w:rsidRPr="00E16672">
              <w:rPr>
                <w:rFonts w:ascii="Times New Roman" w:eastAsia="Lucida Sans Unicode" w:hAnsi="Times New Roman"/>
                <w:color w:val="000000"/>
                <w:sz w:val="16"/>
                <w:szCs w:val="16"/>
                <w:shd w:val="clear" w:color="auto" w:fill="FFFFFF"/>
              </w:rPr>
              <w:t>other</w:t>
            </w:r>
            <w:proofErr w:type="spellEnd"/>
            <w:r w:rsidRPr="00E16672">
              <w:rPr>
                <w:rFonts w:ascii="Times New Roman" w:eastAsia="Lucida Sans Unicode" w:hAnsi="Times New Roman"/>
                <w:color w:val="000000"/>
                <w:sz w:val="16"/>
                <w:szCs w:val="16"/>
                <w:shd w:val="clear" w:color="auto" w:fill="FFFFFF"/>
              </w:rPr>
              <w:t xml:space="preserve"> </w:t>
            </w:r>
            <w:proofErr w:type="spellStart"/>
            <w:r w:rsidRPr="00E16672">
              <w:rPr>
                <w:rFonts w:ascii="Times New Roman" w:eastAsia="Lucida Sans Unicode" w:hAnsi="Times New Roman"/>
                <w:color w:val="000000"/>
                <w:sz w:val="16"/>
                <w:szCs w:val="16"/>
                <w:shd w:val="clear" w:color="auto" w:fill="FFFFFF"/>
              </w:rPr>
              <w:t>competent</w:t>
            </w:r>
            <w:proofErr w:type="spellEnd"/>
            <w:r w:rsidRPr="00E16672">
              <w:rPr>
                <w:rFonts w:ascii="Times New Roman" w:eastAsia="Lucida Sans Unicode" w:hAnsi="Times New Roman"/>
                <w:color w:val="000000"/>
                <w:sz w:val="16"/>
                <w:szCs w:val="16"/>
                <w:shd w:val="clear" w:color="auto" w:fill="FFFFFF"/>
              </w:rPr>
              <w:t xml:space="preserve"> </w:t>
            </w:r>
            <w:proofErr w:type="spellStart"/>
            <w:r w:rsidRPr="00E16672">
              <w:rPr>
                <w:rFonts w:ascii="Times New Roman" w:eastAsia="Lucida Sans Unicode" w:hAnsi="Times New Roman"/>
                <w:color w:val="000000"/>
                <w:sz w:val="16"/>
                <w:szCs w:val="16"/>
                <w:shd w:val="clear" w:color="auto" w:fill="FFFFFF"/>
              </w:rPr>
              <w:t>bodies</w:t>
            </w:r>
            <w:proofErr w:type="spellEnd"/>
            <w:r w:rsidRPr="00E16672">
              <w:rPr>
                <w:rFonts w:ascii="Times New Roman" w:eastAsia="Lucida Sans Unicode" w:hAnsi="Times New Roman"/>
                <w:color w:val="000000"/>
                <w:sz w:val="16"/>
                <w:szCs w:val="16"/>
                <w:shd w:val="clear" w:color="auto" w:fill="FFFFFF"/>
              </w:rPr>
              <w:t xml:space="preserve"> </w:t>
            </w:r>
            <w:proofErr w:type="spellStart"/>
            <w:r w:rsidRPr="00E16672">
              <w:rPr>
                <w:rFonts w:ascii="Times New Roman" w:eastAsia="Lucida Sans Unicode" w:hAnsi="Times New Roman"/>
                <w:color w:val="000000"/>
                <w:sz w:val="16"/>
                <w:szCs w:val="16"/>
                <w:shd w:val="clear" w:color="auto" w:fill="FFFFFF"/>
              </w:rPr>
              <w:t>of</w:t>
            </w:r>
            <w:proofErr w:type="spellEnd"/>
            <w:r w:rsidRPr="00E16672">
              <w:rPr>
                <w:rFonts w:ascii="Times New Roman" w:eastAsia="Lucida Sans Unicode" w:hAnsi="Times New Roman"/>
                <w:color w:val="000000"/>
                <w:sz w:val="16"/>
                <w:szCs w:val="16"/>
                <w:shd w:val="clear" w:color="auto" w:fill="FFFFFF"/>
              </w:rPr>
              <w:t xml:space="preserve"> </w:t>
            </w:r>
            <w:proofErr w:type="spellStart"/>
            <w:r w:rsidRPr="00E16672">
              <w:rPr>
                <w:rFonts w:ascii="Times New Roman" w:eastAsia="Lucida Sans Unicode" w:hAnsi="Times New Roman"/>
                <w:color w:val="000000"/>
                <w:sz w:val="16"/>
                <w:szCs w:val="16"/>
                <w:shd w:val="clear" w:color="auto" w:fill="FFFFFF"/>
              </w:rPr>
              <w:t>legislation</w:t>
            </w:r>
            <w:proofErr w:type="spellEnd"/>
            <w:r w:rsidRPr="00E16672">
              <w:rPr>
                <w:rFonts w:ascii="Times New Roman" w:hAnsi="Times New Roman"/>
                <w:color w:val="000000"/>
                <w:sz w:val="18"/>
                <w:szCs w:val="18"/>
                <w:lang w:val="en-US"/>
              </w:rPr>
              <w:t xml:space="preserve"> </w:t>
            </w:r>
            <w:r w:rsidRPr="00E16672">
              <w:rPr>
                <w:rFonts w:ascii="Times New Roman" w:hAnsi="Times New Roman"/>
                <w:color w:val="000000"/>
                <w:sz w:val="16"/>
                <w:szCs w:val="16"/>
                <w:lang w:val="en-US"/>
              </w:rPr>
              <w:t>or in other cases in accordance to the current legislation</w:t>
            </w:r>
            <w:r w:rsidRPr="00E16672">
              <w:rPr>
                <w:rFonts w:ascii="Times New Roman" w:eastAsia="Lucida Sans Unicode" w:hAnsi="Times New Roman"/>
                <w:color w:val="000000"/>
                <w:sz w:val="16"/>
                <w:szCs w:val="16"/>
                <w:shd w:val="clear" w:color="auto" w:fill="FFFFFF"/>
              </w:rPr>
              <w:t>.</w:t>
            </w:r>
          </w:p>
          <w:p w14:paraId="49654A6C" w14:textId="77777777" w:rsidR="003A05A3" w:rsidRPr="00E16672" w:rsidRDefault="003A05A3" w:rsidP="00843027">
            <w:pPr>
              <w:pStyle w:val="210"/>
              <w:snapToGrid w:val="0"/>
              <w:ind w:left="142" w:right="138" w:firstLine="0"/>
              <w:rPr>
                <w:rFonts w:ascii="Times New Roman" w:eastAsia="Lucida Sans Unicode" w:hAnsi="Times New Roman"/>
                <w:color w:val="000000"/>
                <w:sz w:val="16"/>
                <w:szCs w:val="16"/>
                <w:shd w:val="clear" w:color="auto" w:fill="FFFFFF"/>
              </w:rPr>
            </w:pPr>
          </w:p>
          <w:p w14:paraId="4DE4DF29" w14:textId="77777777" w:rsidR="003A05A3" w:rsidRPr="00E16672" w:rsidRDefault="003A05A3" w:rsidP="00843027">
            <w:pPr>
              <w:ind w:left="142" w:right="138"/>
              <w:rPr>
                <w:rFonts w:ascii="Times New Roman" w:eastAsia="Lucida Sans Unicode" w:hAnsi="Times New Roman"/>
                <w:color w:val="000000"/>
                <w:sz w:val="16"/>
                <w:szCs w:val="16"/>
                <w:shd w:val="clear" w:color="auto" w:fill="FFFFFF"/>
                <w:lang w:val="en-GB"/>
              </w:rPr>
            </w:pPr>
          </w:p>
        </w:tc>
      </w:tr>
      <w:tr w:rsidR="003A05A3" w:rsidRPr="00F23413" w14:paraId="1929148C" w14:textId="77777777" w:rsidTr="00242F58">
        <w:trPr>
          <w:trHeight w:val="192"/>
        </w:trPr>
        <w:tc>
          <w:tcPr>
            <w:tcW w:w="5696" w:type="dxa"/>
            <w:gridSpan w:val="8"/>
            <w:shd w:val="clear" w:color="auto" w:fill="auto"/>
          </w:tcPr>
          <w:p w14:paraId="448F612D" w14:textId="77777777" w:rsidR="003A05A3" w:rsidRPr="00E16672" w:rsidRDefault="003A05A3" w:rsidP="00843027">
            <w:pPr>
              <w:tabs>
                <w:tab w:val="left" w:pos="0"/>
              </w:tabs>
              <w:snapToGrid w:val="0"/>
              <w:ind w:left="142" w:right="138" w:firstLine="0"/>
              <w:rPr>
                <w:rFonts w:ascii="Times New Roman" w:hAnsi="Times New Roman"/>
                <w:color w:val="000000"/>
                <w:sz w:val="16"/>
                <w:szCs w:val="16"/>
                <w:shd w:val="clear" w:color="auto" w:fill="FFFFFF"/>
              </w:rPr>
            </w:pPr>
            <w:r w:rsidRPr="00E16672">
              <w:rPr>
                <w:rFonts w:ascii="Times New Roman" w:hAnsi="Times New Roman"/>
                <w:color w:val="000000"/>
                <w:sz w:val="16"/>
                <w:szCs w:val="16"/>
                <w:shd w:val="clear" w:color="auto" w:fill="FFFFFF"/>
              </w:rPr>
              <w:t>2.1.1</w:t>
            </w:r>
            <w:r w:rsidRPr="00E16672">
              <w:rPr>
                <w:rFonts w:ascii="Times New Roman" w:hAnsi="Times New Roman"/>
                <w:color w:val="000000"/>
                <w:sz w:val="16"/>
                <w:szCs w:val="16"/>
                <w:shd w:val="clear" w:color="auto" w:fill="FFFFFF"/>
                <w:lang w:val="uk-UA"/>
              </w:rPr>
              <w:t>4</w:t>
            </w:r>
            <w:r w:rsidRPr="00E16672">
              <w:rPr>
                <w:rFonts w:ascii="Times New Roman" w:hAnsi="Times New Roman"/>
                <w:color w:val="000000"/>
                <w:sz w:val="16"/>
                <w:szCs w:val="16"/>
                <w:shd w:val="clear" w:color="auto" w:fill="FFFFFF"/>
              </w:rPr>
              <w:t xml:space="preserve">. </w:t>
            </w:r>
            <w:proofErr w:type="spellStart"/>
            <w:r w:rsidRPr="00E16672">
              <w:rPr>
                <w:rFonts w:ascii="Times New Roman" w:hAnsi="Times New Roman"/>
                <w:color w:val="000000"/>
                <w:sz w:val="16"/>
                <w:szCs w:val="16"/>
                <w:shd w:val="clear" w:color="auto" w:fill="FFFFFF"/>
              </w:rPr>
              <w:t>Дотримуватися</w:t>
            </w:r>
            <w:proofErr w:type="spellEnd"/>
            <w:r w:rsidRPr="00E16672">
              <w:rPr>
                <w:rFonts w:ascii="Times New Roman" w:hAnsi="Times New Roman"/>
                <w:color w:val="000000"/>
                <w:sz w:val="16"/>
                <w:szCs w:val="16"/>
                <w:shd w:val="clear" w:color="auto" w:fill="FFFFFF"/>
              </w:rPr>
              <w:t xml:space="preserve"> </w:t>
            </w:r>
            <w:proofErr w:type="spellStart"/>
            <w:r w:rsidRPr="00E16672">
              <w:rPr>
                <w:rFonts w:ascii="Times New Roman" w:hAnsi="Times New Roman"/>
                <w:color w:val="000000"/>
                <w:sz w:val="16"/>
                <w:szCs w:val="16"/>
                <w:shd w:val="clear" w:color="auto" w:fill="FFFFFF"/>
              </w:rPr>
              <w:t>встановлених</w:t>
            </w:r>
            <w:proofErr w:type="spellEnd"/>
            <w:r w:rsidRPr="00E16672">
              <w:rPr>
                <w:rFonts w:ascii="Times New Roman" w:hAnsi="Times New Roman"/>
                <w:color w:val="000000"/>
                <w:sz w:val="16"/>
                <w:szCs w:val="16"/>
                <w:shd w:val="clear" w:color="auto" w:fill="FFFFFF"/>
              </w:rPr>
              <w:t xml:space="preserve"> </w:t>
            </w:r>
            <w:proofErr w:type="spellStart"/>
            <w:r w:rsidRPr="00E16672">
              <w:rPr>
                <w:rFonts w:ascii="Times New Roman" w:hAnsi="Times New Roman"/>
                <w:color w:val="000000"/>
                <w:sz w:val="16"/>
                <w:szCs w:val="16"/>
                <w:shd w:val="clear" w:color="auto" w:fill="FFFFFF"/>
              </w:rPr>
              <w:t>вимог</w:t>
            </w:r>
            <w:proofErr w:type="spellEnd"/>
            <w:r w:rsidRPr="00E16672">
              <w:rPr>
                <w:rFonts w:ascii="Times New Roman" w:hAnsi="Times New Roman"/>
                <w:color w:val="000000"/>
                <w:sz w:val="16"/>
                <w:szCs w:val="16"/>
                <w:shd w:val="clear" w:color="auto" w:fill="FFFFFF"/>
              </w:rPr>
              <w:t xml:space="preserve"> </w:t>
            </w:r>
            <w:proofErr w:type="spellStart"/>
            <w:r w:rsidRPr="00E16672">
              <w:rPr>
                <w:rFonts w:ascii="Times New Roman" w:hAnsi="Times New Roman"/>
                <w:color w:val="000000"/>
                <w:sz w:val="16"/>
                <w:szCs w:val="16"/>
                <w:shd w:val="clear" w:color="auto" w:fill="FFFFFF"/>
              </w:rPr>
              <w:t>захисту</w:t>
            </w:r>
            <w:proofErr w:type="spellEnd"/>
            <w:r w:rsidRPr="00E16672">
              <w:rPr>
                <w:rFonts w:ascii="Times New Roman" w:hAnsi="Times New Roman"/>
                <w:color w:val="000000"/>
                <w:sz w:val="16"/>
                <w:szCs w:val="16"/>
                <w:shd w:val="clear" w:color="auto" w:fill="FFFFFF"/>
              </w:rPr>
              <w:t xml:space="preserve"> </w:t>
            </w:r>
            <w:proofErr w:type="spellStart"/>
            <w:r w:rsidRPr="00E16672">
              <w:rPr>
                <w:rFonts w:ascii="Times New Roman" w:hAnsi="Times New Roman"/>
                <w:color w:val="000000"/>
                <w:sz w:val="16"/>
                <w:szCs w:val="16"/>
                <w:shd w:val="clear" w:color="auto" w:fill="FFFFFF"/>
              </w:rPr>
              <w:t>інформації</w:t>
            </w:r>
            <w:proofErr w:type="spellEnd"/>
            <w:r w:rsidRPr="00E16672">
              <w:rPr>
                <w:rFonts w:ascii="Times New Roman" w:hAnsi="Times New Roman"/>
                <w:color w:val="000000"/>
                <w:sz w:val="16"/>
                <w:szCs w:val="16"/>
                <w:shd w:val="clear" w:color="auto" w:fill="FFFFFF"/>
              </w:rPr>
              <w:t xml:space="preserve"> </w:t>
            </w:r>
            <w:proofErr w:type="spellStart"/>
            <w:r w:rsidRPr="00E16672">
              <w:rPr>
                <w:rFonts w:ascii="Times New Roman" w:hAnsi="Times New Roman"/>
                <w:color w:val="000000"/>
                <w:sz w:val="16"/>
                <w:szCs w:val="16"/>
                <w:shd w:val="clear" w:color="auto" w:fill="FFFFFF"/>
              </w:rPr>
              <w:t>від</w:t>
            </w:r>
            <w:proofErr w:type="spellEnd"/>
            <w:r w:rsidRPr="00E16672">
              <w:rPr>
                <w:rFonts w:ascii="Times New Roman" w:hAnsi="Times New Roman"/>
                <w:color w:val="000000"/>
                <w:sz w:val="16"/>
                <w:szCs w:val="16"/>
                <w:shd w:val="clear" w:color="auto" w:fill="FFFFFF"/>
              </w:rPr>
              <w:t xml:space="preserve"> </w:t>
            </w:r>
            <w:proofErr w:type="spellStart"/>
            <w:r w:rsidRPr="00E16672">
              <w:rPr>
                <w:rFonts w:ascii="Times New Roman" w:hAnsi="Times New Roman"/>
                <w:color w:val="000000"/>
                <w:sz w:val="16"/>
                <w:szCs w:val="16"/>
                <w:shd w:val="clear" w:color="auto" w:fill="FFFFFF"/>
              </w:rPr>
              <w:t>несанкціонованого</w:t>
            </w:r>
            <w:proofErr w:type="spellEnd"/>
            <w:r w:rsidRPr="00E16672">
              <w:rPr>
                <w:rFonts w:ascii="Times New Roman" w:hAnsi="Times New Roman"/>
                <w:color w:val="000000"/>
                <w:sz w:val="16"/>
                <w:szCs w:val="16"/>
                <w:shd w:val="clear" w:color="auto" w:fill="FFFFFF"/>
              </w:rPr>
              <w:t xml:space="preserve"> доступу в </w:t>
            </w:r>
            <w:proofErr w:type="spellStart"/>
            <w:r w:rsidRPr="00E16672">
              <w:rPr>
                <w:rFonts w:ascii="Times New Roman" w:hAnsi="Times New Roman"/>
                <w:color w:val="000000"/>
                <w:sz w:val="16"/>
                <w:szCs w:val="16"/>
                <w:shd w:val="clear" w:color="auto" w:fill="FFFFFF"/>
              </w:rPr>
              <w:t>електронних</w:t>
            </w:r>
            <w:proofErr w:type="spellEnd"/>
            <w:r w:rsidRPr="00E16672">
              <w:rPr>
                <w:rFonts w:ascii="Times New Roman" w:hAnsi="Times New Roman"/>
                <w:color w:val="000000"/>
                <w:sz w:val="16"/>
                <w:szCs w:val="16"/>
                <w:shd w:val="clear" w:color="auto" w:fill="FFFFFF"/>
              </w:rPr>
              <w:t xml:space="preserve"> системах </w:t>
            </w:r>
            <w:proofErr w:type="spellStart"/>
            <w:r w:rsidRPr="00E16672">
              <w:rPr>
                <w:rFonts w:ascii="Times New Roman" w:hAnsi="Times New Roman"/>
                <w:color w:val="000000"/>
                <w:sz w:val="16"/>
                <w:szCs w:val="16"/>
                <w:shd w:val="clear" w:color="auto" w:fill="FFFFFF"/>
              </w:rPr>
              <w:t>обміну</w:t>
            </w:r>
            <w:proofErr w:type="spellEnd"/>
            <w:r w:rsidRPr="00E16672">
              <w:rPr>
                <w:rFonts w:ascii="Times New Roman" w:hAnsi="Times New Roman"/>
                <w:color w:val="000000"/>
                <w:sz w:val="16"/>
                <w:szCs w:val="16"/>
                <w:shd w:val="clear" w:color="auto" w:fill="FFFFFF"/>
              </w:rPr>
              <w:t xml:space="preserve"> </w:t>
            </w:r>
            <w:proofErr w:type="spellStart"/>
            <w:r w:rsidRPr="00E16672">
              <w:rPr>
                <w:rFonts w:ascii="Times New Roman" w:hAnsi="Times New Roman"/>
                <w:color w:val="000000"/>
                <w:sz w:val="16"/>
                <w:szCs w:val="16"/>
                <w:shd w:val="clear" w:color="auto" w:fill="FFFFFF"/>
              </w:rPr>
              <w:t>даними</w:t>
            </w:r>
            <w:proofErr w:type="spellEnd"/>
            <w:r w:rsidRPr="00E16672">
              <w:rPr>
                <w:rFonts w:ascii="Times New Roman" w:hAnsi="Times New Roman"/>
                <w:color w:val="000000"/>
                <w:sz w:val="16"/>
                <w:szCs w:val="16"/>
                <w:shd w:val="clear" w:color="auto" w:fill="FFFFFF"/>
              </w:rPr>
              <w:t>.</w:t>
            </w:r>
          </w:p>
          <w:p w14:paraId="4B8FDABB" w14:textId="77777777" w:rsidR="003A05A3" w:rsidRPr="00E16672" w:rsidRDefault="003A05A3" w:rsidP="00843027">
            <w:pPr>
              <w:pStyle w:val="1b"/>
              <w:spacing w:before="0" w:after="0"/>
              <w:ind w:left="142" w:right="138"/>
              <w:rPr>
                <w:rFonts w:ascii="Times New Roman" w:eastAsia="Times New Roman" w:hAnsi="Times New Roman" w:cs="Times New Roman"/>
                <w:b/>
                <w:color w:val="000000"/>
                <w:sz w:val="16"/>
                <w:szCs w:val="16"/>
              </w:rPr>
            </w:pPr>
          </w:p>
        </w:tc>
        <w:tc>
          <w:tcPr>
            <w:tcW w:w="5494" w:type="dxa"/>
            <w:gridSpan w:val="6"/>
            <w:shd w:val="clear" w:color="auto" w:fill="auto"/>
          </w:tcPr>
          <w:p w14:paraId="68C71A89" w14:textId="77777777" w:rsidR="003A05A3" w:rsidRPr="00E16672" w:rsidRDefault="003A05A3" w:rsidP="00843027">
            <w:pPr>
              <w:pStyle w:val="210"/>
              <w:snapToGrid w:val="0"/>
              <w:ind w:left="145" w:right="100" w:firstLine="0"/>
              <w:rPr>
                <w:rFonts w:ascii="Times New Roman" w:hAnsi="Times New Roman"/>
                <w:color w:val="000000"/>
                <w:sz w:val="16"/>
                <w:szCs w:val="16"/>
                <w:lang w:val="en-GB"/>
              </w:rPr>
            </w:pPr>
            <w:r w:rsidRPr="00E16672">
              <w:rPr>
                <w:rFonts w:ascii="Times New Roman" w:hAnsi="Times New Roman"/>
                <w:color w:val="000000"/>
                <w:sz w:val="16"/>
                <w:szCs w:val="16"/>
              </w:rPr>
              <w:t>2.1.</w:t>
            </w:r>
            <w:r w:rsidRPr="00E16672">
              <w:rPr>
                <w:rFonts w:ascii="Times New Roman" w:hAnsi="Times New Roman"/>
                <w:color w:val="000000"/>
                <w:sz w:val="16"/>
                <w:szCs w:val="16"/>
                <w:lang w:val="en-US"/>
              </w:rPr>
              <w:t>1</w:t>
            </w:r>
            <w:r w:rsidRPr="00E16672">
              <w:rPr>
                <w:rFonts w:ascii="Times New Roman" w:hAnsi="Times New Roman"/>
                <w:color w:val="000000"/>
                <w:sz w:val="16"/>
                <w:szCs w:val="16"/>
              </w:rPr>
              <w:t>4</w:t>
            </w:r>
            <w:r w:rsidRPr="00E16672">
              <w:rPr>
                <w:rFonts w:ascii="Times New Roman" w:hAnsi="Times New Roman"/>
                <w:color w:val="000000"/>
                <w:sz w:val="16"/>
                <w:szCs w:val="16"/>
                <w:lang w:val="en-GB"/>
              </w:rPr>
              <w:t>. To keep the settled demands of protection of the information from unauthorized access in electronic data exchange systems.</w:t>
            </w:r>
          </w:p>
          <w:p w14:paraId="3951FB79" w14:textId="77777777" w:rsidR="003A05A3" w:rsidRPr="00E16672" w:rsidRDefault="003A05A3" w:rsidP="00843027">
            <w:pPr>
              <w:ind w:left="145" w:right="100"/>
              <w:jc w:val="center"/>
              <w:rPr>
                <w:rFonts w:ascii="Times New Roman" w:hAnsi="Times New Roman"/>
                <w:b/>
                <w:bCs/>
                <w:color w:val="000000"/>
                <w:sz w:val="16"/>
                <w:szCs w:val="16"/>
                <w:lang w:val="en-GB"/>
              </w:rPr>
            </w:pPr>
          </w:p>
        </w:tc>
      </w:tr>
      <w:tr w:rsidR="003A05A3" w:rsidRPr="00F23413" w14:paraId="02CD800D" w14:textId="77777777" w:rsidTr="00242F58">
        <w:trPr>
          <w:trHeight w:val="192"/>
        </w:trPr>
        <w:tc>
          <w:tcPr>
            <w:tcW w:w="5696" w:type="dxa"/>
            <w:gridSpan w:val="8"/>
            <w:shd w:val="clear" w:color="auto" w:fill="auto"/>
          </w:tcPr>
          <w:p w14:paraId="5805EC31" w14:textId="77777777" w:rsidR="00F92811" w:rsidRPr="00F23413" w:rsidRDefault="003A05A3" w:rsidP="00F92811">
            <w:pPr>
              <w:tabs>
                <w:tab w:val="left" w:pos="851"/>
                <w:tab w:val="left" w:pos="7200"/>
              </w:tabs>
              <w:snapToGrid w:val="0"/>
              <w:ind w:left="142" w:right="138" w:firstLine="0"/>
              <w:rPr>
                <w:rFonts w:ascii="Times New Roman" w:hAnsi="Times New Roman"/>
                <w:color w:val="000000"/>
                <w:sz w:val="16"/>
                <w:szCs w:val="16"/>
                <w:lang w:val="en-US"/>
              </w:rPr>
            </w:pPr>
            <w:r w:rsidRPr="00F23413">
              <w:rPr>
                <w:rFonts w:ascii="Times New Roman" w:hAnsi="Times New Roman"/>
                <w:color w:val="000000"/>
                <w:sz w:val="16"/>
                <w:szCs w:val="16"/>
                <w:lang w:val="en-US"/>
              </w:rPr>
              <w:t>2.1.1</w:t>
            </w:r>
            <w:r w:rsidRPr="00E16672">
              <w:rPr>
                <w:rFonts w:ascii="Times New Roman" w:hAnsi="Times New Roman"/>
                <w:color w:val="000000"/>
                <w:sz w:val="16"/>
                <w:szCs w:val="16"/>
                <w:lang w:val="uk-UA"/>
              </w:rPr>
              <w:t>5</w:t>
            </w:r>
            <w:r w:rsidRPr="00F23413">
              <w:rPr>
                <w:rFonts w:ascii="Times New Roman" w:hAnsi="Times New Roman"/>
                <w:color w:val="000000"/>
                <w:sz w:val="16"/>
                <w:szCs w:val="16"/>
                <w:lang w:val="en-US"/>
              </w:rPr>
              <w:t xml:space="preserve">. </w:t>
            </w:r>
            <w:proofErr w:type="spellStart"/>
            <w:r w:rsidR="00F92811" w:rsidRPr="00E16672">
              <w:rPr>
                <w:rFonts w:ascii="Times New Roman" w:hAnsi="Times New Roman"/>
                <w:color w:val="000000"/>
                <w:sz w:val="16"/>
                <w:szCs w:val="16"/>
              </w:rPr>
              <w:t>Протягом</w:t>
            </w:r>
            <w:proofErr w:type="spellEnd"/>
            <w:r w:rsidR="00F92811" w:rsidRPr="00F23413">
              <w:rPr>
                <w:rFonts w:ascii="Times New Roman" w:hAnsi="Times New Roman"/>
                <w:color w:val="000000"/>
                <w:sz w:val="16"/>
                <w:szCs w:val="16"/>
                <w:lang w:val="en-US"/>
              </w:rPr>
              <w:t xml:space="preserve"> </w:t>
            </w:r>
            <w:r w:rsidR="00F92811" w:rsidRPr="00E16672">
              <w:rPr>
                <w:rFonts w:ascii="Times New Roman" w:hAnsi="Times New Roman"/>
                <w:i/>
                <w:color w:val="000000"/>
                <w:sz w:val="16"/>
                <w:szCs w:val="16"/>
                <w:lang w:val="uk-UA"/>
              </w:rPr>
              <w:t>п’яти</w:t>
            </w:r>
            <w:r w:rsidR="00F92811" w:rsidRPr="00F23413">
              <w:rPr>
                <w:rFonts w:ascii="Times New Roman" w:hAnsi="Times New Roman"/>
                <w:i/>
                <w:color w:val="000000"/>
                <w:sz w:val="16"/>
                <w:szCs w:val="16"/>
                <w:lang w:val="en-US"/>
              </w:rPr>
              <w:t xml:space="preserve"> </w:t>
            </w:r>
            <w:proofErr w:type="spellStart"/>
            <w:r w:rsidR="00F92811" w:rsidRPr="00E16672">
              <w:rPr>
                <w:rFonts w:ascii="Times New Roman" w:hAnsi="Times New Roman"/>
                <w:i/>
                <w:color w:val="000000"/>
                <w:sz w:val="16"/>
                <w:szCs w:val="16"/>
              </w:rPr>
              <w:t>робочих</w:t>
            </w:r>
            <w:proofErr w:type="spellEnd"/>
            <w:r w:rsidR="00F92811" w:rsidRPr="00F23413">
              <w:rPr>
                <w:rFonts w:ascii="Times New Roman" w:hAnsi="Times New Roman"/>
                <w:color w:val="000000"/>
                <w:sz w:val="16"/>
                <w:szCs w:val="16"/>
                <w:lang w:val="en-US"/>
              </w:rPr>
              <w:t xml:space="preserve"> </w:t>
            </w:r>
            <w:proofErr w:type="spellStart"/>
            <w:r w:rsidR="00F92811" w:rsidRPr="00E16672">
              <w:rPr>
                <w:rFonts w:ascii="Times New Roman" w:hAnsi="Times New Roman"/>
                <w:color w:val="000000"/>
                <w:sz w:val="16"/>
                <w:szCs w:val="16"/>
              </w:rPr>
              <w:t>днів</w:t>
            </w:r>
            <w:proofErr w:type="spellEnd"/>
            <w:r w:rsidR="00F92811" w:rsidRPr="00F23413">
              <w:rPr>
                <w:rFonts w:ascii="Times New Roman" w:hAnsi="Times New Roman"/>
                <w:color w:val="000000"/>
                <w:sz w:val="16"/>
                <w:szCs w:val="16"/>
                <w:lang w:val="en-US"/>
              </w:rPr>
              <w:t xml:space="preserve"> </w:t>
            </w:r>
            <w:r w:rsidR="00F92811" w:rsidRPr="00E16672">
              <w:rPr>
                <w:rFonts w:ascii="Times New Roman" w:hAnsi="Times New Roman"/>
                <w:color w:val="000000"/>
                <w:sz w:val="16"/>
                <w:szCs w:val="16"/>
              </w:rPr>
              <w:t>з</w:t>
            </w:r>
            <w:r w:rsidR="00F92811" w:rsidRPr="00F23413">
              <w:rPr>
                <w:rFonts w:ascii="Times New Roman" w:hAnsi="Times New Roman"/>
                <w:color w:val="000000"/>
                <w:sz w:val="16"/>
                <w:szCs w:val="16"/>
                <w:lang w:val="en-US"/>
              </w:rPr>
              <w:t xml:space="preserve"> </w:t>
            </w:r>
            <w:proofErr w:type="spellStart"/>
            <w:r w:rsidR="00F92811" w:rsidRPr="00E16672">
              <w:rPr>
                <w:rFonts w:ascii="Times New Roman" w:hAnsi="Times New Roman"/>
                <w:color w:val="000000"/>
                <w:sz w:val="16"/>
                <w:szCs w:val="16"/>
              </w:rPr>
              <w:t>дати</w:t>
            </w:r>
            <w:proofErr w:type="spellEnd"/>
            <w:r w:rsidR="00F92811" w:rsidRPr="00F23413">
              <w:rPr>
                <w:rFonts w:ascii="Times New Roman" w:hAnsi="Times New Roman"/>
                <w:color w:val="000000"/>
                <w:sz w:val="16"/>
                <w:szCs w:val="16"/>
                <w:lang w:val="en-US"/>
              </w:rPr>
              <w:t xml:space="preserve"> </w:t>
            </w:r>
            <w:r w:rsidR="00F92811" w:rsidRPr="00E16672">
              <w:rPr>
                <w:rFonts w:ascii="Times New Roman" w:hAnsi="Times New Roman"/>
                <w:color w:val="000000"/>
                <w:sz w:val="16"/>
                <w:szCs w:val="16"/>
              </w:rPr>
              <w:t>початку</w:t>
            </w:r>
            <w:r w:rsidR="00F92811" w:rsidRPr="00F23413">
              <w:rPr>
                <w:rFonts w:ascii="Times New Roman" w:hAnsi="Times New Roman"/>
                <w:color w:val="000000"/>
                <w:sz w:val="16"/>
                <w:szCs w:val="16"/>
                <w:lang w:val="en-US"/>
              </w:rPr>
              <w:t xml:space="preserve"> </w:t>
            </w:r>
            <w:r w:rsidR="00F92811" w:rsidRPr="00E16672">
              <w:rPr>
                <w:rFonts w:ascii="Times New Roman" w:hAnsi="Times New Roman"/>
                <w:color w:val="000000"/>
                <w:sz w:val="16"/>
                <w:szCs w:val="16"/>
              </w:rPr>
              <w:t>Депозитарною</w:t>
            </w:r>
            <w:r w:rsidR="00F92811" w:rsidRPr="00F23413">
              <w:rPr>
                <w:rFonts w:ascii="Times New Roman" w:hAnsi="Times New Roman"/>
                <w:color w:val="000000"/>
                <w:sz w:val="16"/>
                <w:szCs w:val="16"/>
                <w:lang w:val="en-US"/>
              </w:rPr>
              <w:t xml:space="preserve"> </w:t>
            </w:r>
            <w:proofErr w:type="spellStart"/>
            <w:r w:rsidR="00F92811" w:rsidRPr="00E16672">
              <w:rPr>
                <w:rFonts w:ascii="Times New Roman" w:hAnsi="Times New Roman"/>
                <w:color w:val="000000"/>
                <w:sz w:val="16"/>
                <w:szCs w:val="16"/>
              </w:rPr>
              <w:t>установою</w:t>
            </w:r>
            <w:proofErr w:type="spellEnd"/>
            <w:r w:rsidR="00F92811" w:rsidRPr="00F23413">
              <w:rPr>
                <w:rFonts w:ascii="Times New Roman" w:hAnsi="Times New Roman"/>
                <w:color w:val="000000"/>
                <w:sz w:val="16"/>
                <w:szCs w:val="16"/>
                <w:lang w:val="en-US"/>
              </w:rPr>
              <w:t xml:space="preserve"> </w:t>
            </w:r>
            <w:proofErr w:type="spellStart"/>
            <w:r w:rsidR="00F92811" w:rsidRPr="00E16672">
              <w:rPr>
                <w:rFonts w:ascii="Times New Roman" w:hAnsi="Times New Roman"/>
                <w:color w:val="000000"/>
                <w:sz w:val="16"/>
                <w:szCs w:val="16"/>
              </w:rPr>
              <w:t>процедури</w:t>
            </w:r>
            <w:proofErr w:type="spellEnd"/>
            <w:r w:rsidR="00F92811" w:rsidRPr="00F23413">
              <w:rPr>
                <w:rFonts w:ascii="Times New Roman" w:hAnsi="Times New Roman"/>
                <w:color w:val="000000"/>
                <w:sz w:val="16"/>
                <w:szCs w:val="16"/>
                <w:lang w:val="en-US"/>
              </w:rPr>
              <w:t xml:space="preserve"> </w:t>
            </w:r>
            <w:proofErr w:type="spellStart"/>
            <w:r w:rsidR="00F92811" w:rsidRPr="00E16672">
              <w:rPr>
                <w:rFonts w:ascii="Times New Roman" w:hAnsi="Times New Roman"/>
                <w:color w:val="000000"/>
                <w:sz w:val="16"/>
                <w:szCs w:val="16"/>
              </w:rPr>
              <w:t>припинення</w:t>
            </w:r>
            <w:proofErr w:type="spellEnd"/>
            <w:r w:rsidR="00F92811" w:rsidRPr="00F23413">
              <w:rPr>
                <w:rFonts w:ascii="Times New Roman" w:hAnsi="Times New Roman"/>
                <w:color w:val="000000"/>
                <w:sz w:val="16"/>
                <w:szCs w:val="16"/>
                <w:lang w:val="en-US"/>
              </w:rPr>
              <w:t xml:space="preserve"> </w:t>
            </w:r>
            <w:r w:rsidR="00F92811" w:rsidRPr="00E16672">
              <w:rPr>
                <w:rFonts w:ascii="Times New Roman" w:hAnsi="Times New Roman"/>
                <w:color w:val="000000"/>
                <w:sz w:val="16"/>
                <w:szCs w:val="16"/>
              </w:rPr>
              <w:t>нею</w:t>
            </w:r>
            <w:r w:rsidR="00F92811" w:rsidRPr="00F23413">
              <w:rPr>
                <w:rFonts w:ascii="Times New Roman" w:hAnsi="Times New Roman"/>
                <w:color w:val="000000"/>
                <w:sz w:val="16"/>
                <w:szCs w:val="16"/>
                <w:lang w:val="en-US"/>
              </w:rPr>
              <w:t xml:space="preserve"> </w:t>
            </w:r>
            <w:proofErr w:type="spellStart"/>
            <w:r w:rsidR="00F92811" w:rsidRPr="00E16672">
              <w:rPr>
                <w:rFonts w:ascii="Times New Roman" w:hAnsi="Times New Roman"/>
                <w:color w:val="000000"/>
                <w:sz w:val="16"/>
                <w:szCs w:val="16"/>
              </w:rPr>
              <w:t>провадження</w:t>
            </w:r>
            <w:proofErr w:type="spellEnd"/>
            <w:r w:rsidR="00F92811" w:rsidRPr="00F23413">
              <w:rPr>
                <w:rFonts w:ascii="Times New Roman" w:hAnsi="Times New Roman"/>
                <w:color w:val="000000"/>
                <w:sz w:val="16"/>
                <w:szCs w:val="16"/>
                <w:lang w:val="en-US"/>
              </w:rPr>
              <w:t xml:space="preserve"> </w:t>
            </w:r>
            <w:proofErr w:type="spellStart"/>
            <w:r w:rsidR="00F92811" w:rsidRPr="00E16672">
              <w:rPr>
                <w:rFonts w:ascii="Times New Roman" w:hAnsi="Times New Roman"/>
                <w:color w:val="000000"/>
                <w:sz w:val="16"/>
                <w:szCs w:val="16"/>
              </w:rPr>
              <w:t>професійної</w:t>
            </w:r>
            <w:proofErr w:type="spellEnd"/>
            <w:r w:rsidR="00F92811" w:rsidRPr="00F23413">
              <w:rPr>
                <w:rFonts w:ascii="Times New Roman" w:hAnsi="Times New Roman"/>
                <w:color w:val="000000"/>
                <w:sz w:val="16"/>
                <w:szCs w:val="16"/>
                <w:lang w:val="en-US"/>
              </w:rPr>
              <w:t xml:space="preserve"> </w:t>
            </w:r>
            <w:proofErr w:type="spellStart"/>
            <w:r w:rsidR="00F92811" w:rsidRPr="00E16672">
              <w:rPr>
                <w:rFonts w:ascii="Times New Roman" w:hAnsi="Times New Roman"/>
                <w:color w:val="000000"/>
                <w:sz w:val="16"/>
                <w:szCs w:val="16"/>
              </w:rPr>
              <w:t>діяльності</w:t>
            </w:r>
            <w:proofErr w:type="spellEnd"/>
            <w:r w:rsidR="00F92811" w:rsidRPr="00F23413">
              <w:rPr>
                <w:rFonts w:ascii="Times New Roman" w:hAnsi="Times New Roman"/>
                <w:color w:val="000000"/>
                <w:sz w:val="16"/>
                <w:szCs w:val="16"/>
                <w:lang w:val="en-US"/>
              </w:rPr>
              <w:t xml:space="preserve"> </w:t>
            </w:r>
            <w:proofErr w:type="gramStart"/>
            <w:r w:rsidR="00F92811" w:rsidRPr="00E16672">
              <w:rPr>
                <w:rFonts w:ascii="Times New Roman" w:hAnsi="Times New Roman"/>
                <w:color w:val="000000"/>
                <w:sz w:val="16"/>
                <w:szCs w:val="16"/>
              </w:rPr>
              <w:t>на</w:t>
            </w:r>
            <w:r w:rsidR="00F92811" w:rsidRPr="00F23413">
              <w:rPr>
                <w:rFonts w:ascii="Times New Roman" w:hAnsi="Times New Roman"/>
                <w:color w:val="000000"/>
                <w:sz w:val="16"/>
                <w:szCs w:val="16"/>
                <w:lang w:val="en-US"/>
              </w:rPr>
              <w:t xml:space="preserve"> </w:t>
            </w:r>
            <w:r w:rsidR="00F92811" w:rsidRPr="00E16672">
              <w:rPr>
                <w:rFonts w:ascii="Times New Roman" w:hAnsi="Times New Roman"/>
                <w:color w:val="000000"/>
                <w:sz w:val="16"/>
                <w:szCs w:val="16"/>
              </w:rPr>
              <w:t>фондовому</w:t>
            </w:r>
            <w:r w:rsidR="00F92811" w:rsidRPr="00F23413">
              <w:rPr>
                <w:rFonts w:ascii="Times New Roman" w:hAnsi="Times New Roman"/>
                <w:color w:val="000000"/>
                <w:sz w:val="16"/>
                <w:szCs w:val="16"/>
                <w:lang w:val="en-US"/>
              </w:rPr>
              <w:t xml:space="preserve"> </w:t>
            </w:r>
            <w:r w:rsidR="00F92811" w:rsidRPr="00E16672">
              <w:rPr>
                <w:rFonts w:ascii="Times New Roman" w:hAnsi="Times New Roman"/>
                <w:color w:val="000000"/>
                <w:sz w:val="16"/>
                <w:szCs w:val="16"/>
              </w:rPr>
              <w:t>ринку</w:t>
            </w:r>
            <w:proofErr w:type="gramEnd"/>
            <w:r w:rsidR="00F92811" w:rsidRPr="00F23413">
              <w:rPr>
                <w:rFonts w:ascii="Times New Roman" w:hAnsi="Times New Roman"/>
                <w:color w:val="000000"/>
                <w:sz w:val="16"/>
                <w:szCs w:val="16"/>
                <w:lang w:val="en-US"/>
              </w:rPr>
              <w:t xml:space="preserve"> - </w:t>
            </w:r>
            <w:proofErr w:type="spellStart"/>
            <w:r w:rsidR="00F92811" w:rsidRPr="00E16672">
              <w:rPr>
                <w:rFonts w:ascii="Times New Roman" w:hAnsi="Times New Roman"/>
                <w:color w:val="000000"/>
                <w:sz w:val="16"/>
                <w:szCs w:val="16"/>
              </w:rPr>
              <w:t>депозитарної</w:t>
            </w:r>
            <w:proofErr w:type="spellEnd"/>
            <w:r w:rsidR="00F92811" w:rsidRPr="00F23413">
              <w:rPr>
                <w:rFonts w:ascii="Times New Roman" w:hAnsi="Times New Roman"/>
                <w:color w:val="000000"/>
                <w:sz w:val="16"/>
                <w:szCs w:val="16"/>
                <w:lang w:val="en-US"/>
              </w:rPr>
              <w:t xml:space="preserve"> </w:t>
            </w:r>
            <w:proofErr w:type="spellStart"/>
            <w:r w:rsidR="00F92811" w:rsidRPr="00E16672">
              <w:rPr>
                <w:rFonts w:ascii="Times New Roman" w:hAnsi="Times New Roman"/>
                <w:color w:val="000000"/>
                <w:sz w:val="16"/>
                <w:szCs w:val="16"/>
              </w:rPr>
              <w:t>діяльності</w:t>
            </w:r>
            <w:proofErr w:type="spellEnd"/>
            <w:r w:rsidR="00F92811" w:rsidRPr="00F23413">
              <w:rPr>
                <w:rFonts w:ascii="Times New Roman" w:hAnsi="Times New Roman"/>
                <w:color w:val="000000"/>
                <w:sz w:val="16"/>
                <w:szCs w:val="16"/>
                <w:lang w:val="en-US"/>
              </w:rPr>
              <w:t xml:space="preserve"> </w:t>
            </w:r>
            <w:proofErr w:type="spellStart"/>
            <w:r w:rsidR="00F92811" w:rsidRPr="00E16672">
              <w:rPr>
                <w:rFonts w:ascii="Times New Roman" w:hAnsi="Times New Roman"/>
                <w:color w:val="000000"/>
                <w:sz w:val="16"/>
                <w:szCs w:val="16"/>
              </w:rPr>
              <w:t>депозитарної</w:t>
            </w:r>
            <w:proofErr w:type="spellEnd"/>
            <w:r w:rsidR="00F92811" w:rsidRPr="00F23413">
              <w:rPr>
                <w:rFonts w:ascii="Times New Roman" w:hAnsi="Times New Roman"/>
                <w:color w:val="000000"/>
                <w:sz w:val="16"/>
                <w:szCs w:val="16"/>
                <w:lang w:val="en-US"/>
              </w:rPr>
              <w:t xml:space="preserve"> </w:t>
            </w:r>
            <w:r w:rsidR="00F92811" w:rsidRPr="00E16672">
              <w:rPr>
                <w:rFonts w:ascii="Times New Roman" w:hAnsi="Times New Roman"/>
                <w:color w:val="000000"/>
                <w:sz w:val="16"/>
                <w:szCs w:val="16"/>
              </w:rPr>
              <w:t>установи</w:t>
            </w:r>
            <w:r w:rsidR="00F92811" w:rsidRPr="00F23413">
              <w:rPr>
                <w:rFonts w:ascii="Times New Roman" w:hAnsi="Times New Roman"/>
                <w:color w:val="000000"/>
                <w:sz w:val="16"/>
                <w:szCs w:val="16"/>
                <w:lang w:val="en-US"/>
              </w:rPr>
              <w:t xml:space="preserve"> </w:t>
            </w:r>
            <w:proofErr w:type="spellStart"/>
            <w:r w:rsidR="00F92811" w:rsidRPr="00E16672">
              <w:rPr>
                <w:rFonts w:ascii="Times New Roman" w:hAnsi="Times New Roman"/>
                <w:color w:val="000000"/>
                <w:sz w:val="16"/>
                <w:szCs w:val="16"/>
              </w:rPr>
              <w:t>відповідно</w:t>
            </w:r>
            <w:proofErr w:type="spellEnd"/>
            <w:r w:rsidR="00F92811" w:rsidRPr="00F23413">
              <w:rPr>
                <w:rFonts w:ascii="Times New Roman" w:hAnsi="Times New Roman"/>
                <w:color w:val="000000"/>
                <w:sz w:val="16"/>
                <w:szCs w:val="16"/>
                <w:lang w:val="en-US"/>
              </w:rPr>
              <w:t xml:space="preserve"> </w:t>
            </w:r>
            <w:r w:rsidR="00F92811" w:rsidRPr="00E16672">
              <w:rPr>
                <w:rFonts w:ascii="Times New Roman" w:hAnsi="Times New Roman"/>
                <w:color w:val="000000"/>
                <w:sz w:val="16"/>
                <w:szCs w:val="16"/>
              </w:rPr>
              <w:t>до</w:t>
            </w:r>
            <w:r w:rsidR="00F92811" w:rsidRPr="00F23413">
              <w:rPr>
                <w:rFonts w:ascii="Times New Roman" w:hAnsi="Times New Roman"/>
                <w:color w:val="000000"/>
                <w:sz w:val="16"/>
                <w:szCs w:val="16"/>
                <w:lang w:val="en-US"/>
              </w:rPr>
              <w:t xml:space="preserve"> </w:t>
            </w:r>
            <w:proofErr w:type="spellStart"/>
            <w:r w:rsidR="00F92811" w:rsidRPr="00E16672">
              <w:rPr>
                <w:rFonts w:ascii="Times New Roman" w:hAnsi="Times New Roman"/>
                <w:color w:val="000000"/>
                <w:sz w:val="16"/>
                <w:szCs w:val="16"/>
              </w:rPr>
              <w:t>вимог</w:t>
            </w:r>
            <w:proofErr w:type="spellEnd"/>
            <w:r w:rsidR="00F92811" w:rsidRPr="00F23413">
              <w:rPr>
                <w:rFonts w:ascii="Times New Roman" w:hAnsi="Times New Roman"/>
                <w:color w:val="000000"/>
                <w:sz w:val="16"/>
                <w:szCs w:val="16"/>
                <w:lang w:val="en-US"/>
              </w:rPr>
              <w:t xml:space="preserve"> </w:t>
            </w:r>
            <w:r w:rsidR="00F92811" w:rsidRPr="00E16672">
              <w:rPr>
                <w:rFonts w:ascii="Times New Roman" w:hAnsi="Times New Roman"/>
                <w:color w:val="000000"/>
                <w:sz w:val="16"/>
                <w:szCs w:val="16"/>
              </w:rPr>
              <w:t>нормативно</w:t>
            </w:r>
            <w:r w:rsidR="00F92811" w:rsidRPr="00F23413">
              <w:rPr>
                <w:rFonts w:ascii="Times New Roman" w:hAnsi="Times New Roman"/>
                <w:color w:val="000000"/>
                <w:sz w:val="16"/>
                <w:szCs w:val="16"/>
                <w:lang w:val="en-US"/>
              </w:rPr>
              <w:t>-</w:t>
            </w:r>
            <w:r w:rsidR="00F92811" w:rsidRPr="00E16672">
              <w:rPr>
                <w:rFonts w:ascii="Times New Roman" w:hAnsi="Times New Roman"/>
                <w:color w:val="000000"/>
                <w:sz w:val="16"/>
                <w:szCs w:val="16"/>
              </w:rPr>
              <w:t>правового</w:t>
            </w:r>
            <w:r w:rsidR="00F92811" w:rsidRPr="00F23413">
              <w:rPr>
                <w:rFonts w:ascii="Times New Roman" w:hAnsi="Times New Roman"/>
                <w:color w:val="000000"/>
                <w:sz w:val="16"/>
                <w:szCs w:val="16"/>
                <w:lang w:val="en-US"/>
              </w:rPr>
              <w:t xml:space="preserve"> </w:t>
            </w:r>
            <w:r w:rsidR="00F92811" w:rsidRPr="00E16672">
              <w:rPr>
                <w:rFonts w:ascii="Times New Roman" w:hAnsi="Times New Roman"/>
                <w:color w:val="000000"/>
                <w:sz w:val="16"/>
                <w:szCs w:val="16"/>
              </w:rPr>
              <w:t>акта</w:t>
            </w:r>
            <w:r w:rsidR="00F92811" w:rsidRPr="00F23413">
              <w:rPr>
                <w:rFonts w:ascii="Times New Roman" w:hAnsi="Times New Roman"/>
                <w:color w:val="000000"/>
                <w:sz w:val="16"/>
                <w:szCs w:val="16"/>
                <w:lang w:val="en-US"/>
              </w:rPr>
              <w:t xml:space="preserve"> </w:t>
            </w:r>
            <w:proofErr w:type="spellStart"/>
            <w:r w:rsidR="00F92811" w:rsidRPr="00E16672">
              <w:rPr>
                <w:rFonts w:ascii="Times New Roman" w:hAnsi="Times New Roman"/>
                <w:color w:val="000000"/>
                <w:sz w:val="16"/>
                <w:szCs w:val="16"/>
              </w:rPr>
              <w:t>щодо</w:t>
            </w:r>
            <w:proofErr w:type="spellEnd"/>
            <w:r w:rsidR="00F92811" w:rsidRPr="00F23413">
              <w:rPr>
                <w:rFonts w:ascii="Times New Roman" w:hAnsi="Times New Roman"/>
                <w:color w:val="000000"/>
                <w:sz w:val="16"/>
                <w:szCs w:val="16"/>
                <w:lang w:val="en-US"/>
              </w:rPr>
              <w:t xml:space="preserve"> </w:t>
            </w:r>
            <w:proofErr w:type="spellStart"/>
            <w:r w:rsidR="00F92811" w:rsidRPr="00E16672">
              <w:rPr>
                <w:rFonts w:ascii="Times New Roman" w:hAnsi="Times New Roman"/>
                <w:color w:val="000000"/>
                <w:sz w:val="16"/>
                <w:szCs w:val="16"/>
              </w:rPr>
              <w:t>припинення</w:t>
            </w:r>
            <w:proofErr w:type="spellEnd"/>
            <w:r w:rsidR="00F92811" w:rsidRPr="00F23413">
              <w:rPr>
                <w:rFonts w:ascii="Times New Roman" w:hAnsi="Times New Roman"/>
                <w:color w:val="000000"/>
                <w:sz w:val="16"/>
                <w:szCs w:val="16"/>
                <w:lang w:val="en-US"/>
              </w:rPr>
              <w:t xml:space="preserve"> </w:t>
            </w:r>
            <w:proofErr w:type="spellStart"/>
            <w:r w:rsidR="00F92811" w:rsidRPr="00E16672">
              <w:rPr>
                <w:rFonts w:ascii="Times New Roman" w:hAnsi="Times New Roman"/>
                <w:color w:val="000000"/>
                <w:sz w:val="16"/>
                <w:szCs w:val="16"/>
              </w:rPr>
              <w:t>депозитарної</w:t>
            </w:r>
            <w:proofErr w:type="spellEnd"/>
            <w:r w:rsidR="00F92811" w:rsidRPr="00F23413">
              <w:rPr>
                <w:rFonts w:ascii="Times New Roman" w:hAnsi="Times New Roman"/>
                <w:color w:val="000000"/>
                <w:sz w:val="16"/>
                <w:szCs w:val="16"/>
                <w:lang w:val="en-US"/>
              </w:rPr>
              <w:t xml:space="preserve"> </w:t>
            </w:r>
            <w:proofErr w:type="spellStart"/>
            <w:r w:rsidR="00F92811" w:rsidRPr="00E16672">
              <w:rPr>
                <w:rFonts w:ascii="Times New Roman" w:hAnsi="Times New Roman"/>
                <w:color w:val="000000"/>
                <w:sz w:val="16"/>
                <w:szCs w:val="16"/>
              </w:rPr>
              <w:t>діяльності</w:t>
            </w:r>
            <w:proofErr w:type="spellEnd"/>
            <w:r w:rsidR="00F92811" w:rsidRPr="00F23413">
              <w:rPr>
                <w:rFonts w:ascii="Times New Roman" w:hAnsi="Times New Roman"/>
                <w:color w:val="000000"/>
                <w:sz w:val="16"/>
                <w:szCs w:val="16"/>
                <w:lang w:val="en-US"/>
              </w:rPr>
              <w:t xml:space="preserve"> </w:t>
            </w:r>
            <w:proofErr w:type="spellStart"/>
            <w:r w:rsidR="00F92811" w:rsidRPr="00E16672">
              <w:rPr>
                <w:rFonts w:ascii="Times New Roman" w:hAnsi="Times New Roman"/>
                <w:color w:val="000000"/>
                <w:sz w:val="16"/>
                <w:szCs w:val="16"/>
              </w:rPr>
              <w:t>депозитарної</w:t>
            </w:r>
            <w:proofErr w:type="spellEnd"/>
            <w:r w:rsidR="00F92811" w:rsidRPr="00F23413">
              <w:rPr>
                <w:rFonts w:ascii="Times New Roman" w:hAnsi="Times New Roman"/>
                <w:color w:val="000000"/>
                <w:sz w:val="16"/>
                <w:szCs w:val="16"/>
                <w:lang w:val="en-US"/>
              </w:rPr>
              <w:t xml:space="preserve"> </w:t>
            </w:r>
            <w:r w:rsidR="00F92811" w:rsidRPr="00E16672">
              <w:rPr>
                <w:rFonts w:ascii="Times New Roman" w:hAnsi="Times New Roman"/>
                <w:color w:val="000000"/>
                <w:sz w:val="16"/>
                <w:szCs w:val="16"/>
              </w:rPr>
              <w:t>установи</w:t>
            </w:r>
            <w:r w:rsidR="00F92811" w:rsidRPr="00F23413">
              <w:rPr>
                <w:rFonts w:ascii="Times New Roman" w:hAnsi="Times New Roman"/>
                <w:color w:val="000000"/>
                <w:sz w:val="16"/>
                <w:szCs w:val="16"/>
                <w:lang w:val="en-US"/>
              </w:rPr>
              <w:t xml:space="preserve">, </w:t>
            </w:r>
            <w:proofErr w:type="spellStart"/>
            <w:r w:rsidR="00F92811" w:rsidRPr="00E16672">
              <w:rPr>
                <w:rFonts w:ascii="Times New Roman" w:hAnsi="Times New Roman"/>
                <w:color w:val="000000"/>
                <w:sz w:val="16"/>
                <w:szCs w:val="16"/>
              </w:rPr>
              <w:t>повідомити</w:t>
            </w:r>
            <w:proofErr w:type="spellEnd"/>
            <w:r w:rsidR="00F92811" w:rsidRPr="00F23413">
              <w:rPr>
                <w:rFonts w:ascii="Times New Roman" w:hAnsi="Times New Roman"/>
                <w:color w:val="000000"/>
                <w:sz w:val="16"/>
                <w:szCs w:val="16"/>
                <w:lang w:val="en-US"/>
              </w:rPr>
              <w:t xml:space="preserve"> </w:t>
            </w:r>
            <w:r w:rsidR="00F92811" w:rsidRPr="00E16672">
              <w:rPr>
                <w:rFonts w:ascii="Times New Roman" w:hAnsi="Times New Roman"/>
                <w:color w:val="000000"/>
                <w:sz w:val="16"/>
                <w:szCs w:val="16"/>
              </w:rPr>
              <w:t>Депонента</w:t>
            </w:r>
            <w:r w:rsidR="00F92811" w:rsidRPr="00F23413">
              <w:rPr>
                <w:rFonts w:ascii="Times New Roman" w:hAnsi="Times New Roman"/>
                <w:color w:val="000000"/>
                <w:sz w:val="16"/>
                <w:szCs w:val="16"/>
                <w:lang w:val="en-US"/>
              </w:rPr>
              <w:t xml:space="preserve"> </w:t>
            </w:r>
            <w:proofErr w:type="spellStart"/>
            <w:r w:rsidR="00F92811" w:rsidRPr="00E16672">
              <w:rPr>
                <w:rFonts w:ascii="Times New Roman" w:hAnsi="Times New Roman"/>
                <w:color w:val="000000"/>
                <w:sz w:val="16"/>
                <w:szCs w:val="16"/>
              </w:rPr>
              <w:t>щодо</w:t>
            </w:r>
            <w:proofErr w:type="spellEnd"/>
            <w:r w:rsidR="00F92811" w:rsidRPr="00F23413">
              <w:rPr>
                <w:rFonts w:ascii="Times New Roman" w:hAnsi="Times New Roman"/>
                <w:color w:val="000000"/>
                <w:sz w:val="16"/>
                <w:szCs w:val="16"/>
                <w:lang w:val="en-US"/>
              </w:rPr>
              <w:t xml:space="preserve"> </w:t>
            </w:r>
            <w:proofErr w:type="spellStart"/>
            <w:r w:rsidR="00F92811" w:rsidRPr="00E16672">
              <w:rPr>
                <w:rFonts w:ascii="Times New Roman" w:hAnsi="Times New Roman"/>
                <w:color w:val="000000"/>
                <w:sz w:val="16"/>
                <w:szCs w:val="16"/>
              </w:rPr>
              <w:t>необхідності</w:t>
            </w:r>
            <w:proofErr w:type="spellEnd"/>
            <w:r w:rsidR="00F92811" w:rsidRPr="00F23413">
              <w:rPr>
                <w:rFonts w:ascii="Times New Roman" w:hAnsi="Times New Roman"/>
                <w:color w:val="000000"/>
                <w:sz w:val="16"/>
                <w:szCs w:val="16"/>
                <w:lang w:val="en-US"/>
              </w:rPr>
              <w:t xml:space="preserve"> </w:t>
            </w:r>
            <w:proofErr w:type="spellStart"/>
            <w:r w:rsidR="00F92811" w:rsidRPr="00E16672">
              <w:rPr>
                <w:rFonts w:ascii="Times New Roman" w:hAnsi="Times New Roman"/>
                <w:color w:val="000000"/>
                <w:sz w:val="16"/>
                <w:szCs w:val="16"/>
              </w:rPr>
              <w:t>закриття</w:t>
            </w:r>
            <w:proofErr w:type="spellEnd"/>
            <w:r w:rsidR="00F92811" w:rsidRPr="00F23413">
              <w:rPr>
                <w:rFonts w:ascii="Times New Roman" w:hAnsi="Times New Roman"/>
                <w:color w:val="000000"/>
                <w:sz w:val="16"/>
                <w:szCs w:val="16"/>
                <w:lang w:val="en-US"/>
              </w:rPr>
              <w:t xml:space="preserve"> </w:t>
            </w:r>
            <w:proofErr w:type="spellStart"/>
            <w:r w:rsidR="00F92811" w:rsidRPr="00E16672">
              <w:rPr>
                <w:rFonts w:ascii="Times New Roman" w:hAnsi="Times New Roman"/>
                <w:color w:val="000000"/>
                <w:sz w:val="16"/>
                <w:szCs w:val="16"/>
              </w:rPr>
              <w:t>рахунк</w:t>
            </w:r>
            <w:proofErr w:type="spellEnd"/>
            <w:r w:rsidR="00F92811" w:rsidRPr="00E16672">
              <w:rPr>
                <w:rFonts w:ascii="Times New Roman" w:hAnsi="Times New Roman"/>
                <w:color w:val="000000"/>
                <w:sz w:val="16"/>
                <w:szCs w:val="16"/>
                <w:lang w:val="uk-UA"/>
              </w:rPr>
              <w:t>у</w:t>
            </w:r>
            <w:r w:rsidR="00F92811" w:rsidRPr="00F23413">
              <w:rPr>
                <w:rFonts w:ascii="Times New Roman" w:hAnsi="Times New Roman"/>
                <w:color w:val="000000"/>
                <w:sz w:val="16"/>
                <w:szCs w:val="16"/>
                <w:lang w:val="en-US"/>
              </w:rPr>
              <w:t xml:space="preserve"> </w:t>
            </w:r>
            <w:r w:rsidR="00F92811" w:rsidRPr="00E16672">
              <w:rPr>
                <w:rFonts w:ascii="Times New Roman" w:hAnsi="Times New Roman"/>
                <w:color w:val="000000"/>
                <w:sz w:val="16"/>
                <w:szCs w:val="16"/>
              </w:rPr>
              <w:t>в</w:t>
            </w:r>
            <w:r w:rsidR="00F92811" w:rsidRPr="00F23413">
              <w:rPr>
                <w:rFonts w:ascii="Times New Roman" w:hAnsi="Times New Roman"/>
                <w:color w:val="000000"/>
                <w:sz w:val="16"/>
                <w:szCs w:val="16"/>
                <w:lang w:val="en-US"/>
              </w:rPr>
              <w:t xml:space="preserve"> </w:t>
            </w:r>
            <w:proofErr w:type="spellStart"/>
            <w:r w:rsidR="00F92811" w:rsidRPr="00E16672">
              <w:rPr>
                <w:rFonts w:ascii="Times New Roman" w:hAnsi="Times New Roman"/>
                <w:color w:val="000000"/>
                <w:sz w:val="16"/>
                <w:szCs w:val="16"/>
              </w:rPr>
              <w:t>цінних</w:t>
            </w:r>
            <w:proofErr w:type="spellEnd"/>
            <w:r w:rsidR="00F92811" w:rsidRPr="00F23413">
              <w:rPr>
                <w:rFonts w:ascii="Times New Roman" w:hAnsi="Times New Roman"/>
                <w:color w:val="000000"/>
                <w:sz w:val="16"/>
                <w:szCs w:val="16"/>
                <w:lang w:val="en-US"/>
              </w:rPr>
              <w:t xml:space="preserve"> </w:t>
            </w:r>
            <w:proofErr w:type="spellStart"/>
            <w:r w:rsidR="00F92811" w:rsidRPr="00E16672">
              <w:rPr>
                <w:rFonts w:ascii="Times New Roman" w:hAnsi="Times New Roman"/>
                <w:color w:val="000000"/>
                <w:sz w:val="16"/>
                <w:szCs w:val="16"/>
              </w:rPr>
              <w:t>паперах</w:t>
            </w:r>
            <w:proofErr w:type="spellEnd"/>
            <w:r w:rsidR="00F92811" w:rsidRPr="00F23413">
              <w:rPr>
                <w:rFonts w:ascii="Times New Roman" w:hAnsi="Times New Roman"/>
                <w:color w:val="000000"/>
                <w:sz w:val="16"/>
                <w:szCs w:val="16"/>
                <w:lang w:val="en-US"/>
              </w:rPr>
              <w:t xml:space="preserve"> </w:t>
            </w:r>
            <w:proofErr w:type="spellStart"/>
            <w:r w:rsidR="00F92811" w:rsidRPr="00E16672">
              <w:rPr>
                <w:rFonts w:ascii="Times New Roman" w:hAnsi="Times New Roman"/>
                <w:color w:val="000000"/>
                <w:sz w:val="16"/>
                <w:szCs w:val="16"/>
              </w:rPr>
              <w:t>протягом</w:t>
            </w:r>
            <w:proofErr w:type="spellEnd"/>
            <w:r w:rsidR="00F92811" w:rsidRPr="00F23413">
              <w:rPr>
                <w:rFonts w:ascii="Times New Roman" w:hAnsi="Times New Roman"/>
                <w:color w:val="000000"/>
                <w:sz w:val="16"/>
                <w:szCs w:val="16"/>
                <w:lang w:val="en-US"/>
              </w:rPr>
              <w:t xml:space="preserve">  </w:t>
            </w:r>
            <w:r w:rsidR="00F92811" w:rsidRPr="00F23413">
              <w:rPr>
                <w:rFonts w:ascii="Times New Roman" w:hAnsi="Times New Roman"/>
                <w:i/>
                <w:color w:val="000000"/>
                <w:sz w:val="16"/>
                <w:szCs w:val="16"/>
                <w:lang w:val="en-US"/>
              </w:rPr>
              <w:t xml:space="preserve"> </w:t>
            </w:r>
            <w:proofErr w:type="spellStart"/>
            <w:r w:rsidR="00F92811" w:rsidRPr="00E16672">
              <w:rPr>
                <w:rFonts w:ascii="Times New Roman" w:hAnsi="Times New Roman"/>
                <w:i/>
                <w:color w:val="000000"/>
                <w:sz w:val="16"/>
                <w:szCs w:val="16"/>
              </w:rPr>
              <w:t>шістдесяти</w:t>
            </w:r>
            <w:proofErr w:type="spellEnd"/>
            <w:r w:rsidR="00F92811" w:rsidRPr="00F23413">
              <w:rPr>
                <w:rFonts w:ascii="Times New Roman" w:hAnsi="Times New Roman"/>
                <w:i/>
                <w:color w:val="000000"/>
                <w:sz w:val="16"/>
                <w:szCs w:val="16"/>
                <w:lang w:val="en-US"/>
              </w:rPr>
              <w:t xml:space="preserve"> </w:t>
            </w:r>
            <w:proofErr w:type="spellStart"/>
            <w:r w:rsidR="00F92811" w:rsidRPr="00E16672">
              <w:rPr>
                <w:rFonts w:ascii="Times New Roman" w:hAnsi="Times New Roman"/>
                <w:i/>
                <w:color w:val="000000"/>
                <w:sz w:val="16"/>
                <w:szCs w:val="16"/>
              </w:rPr>
              <w:t>календарних</w:t>
            </w:r>
            <w:proofErr w:type="spellEnd"/>
            <w:r w:rsidR="00F92811" w:rsidRPr="00F23413">
              <w:rPr>
                <w:rFonts w:ascii="Times New Roman" w:hAnsi="Times New Roman"/>
                <w:i/>
                <w:color w:val="000000"/>
                <w:sz w:val="16"/>
                <w:szCs w:val="16"/>
                <w:lang w:val="en-US"/>
              </w:rPr>
              <w:t xml:space="preserve"> </w:t>
            </w:r>
            <w:proofErr w:type="spellStart"/>
            <w:r w:rsidR="00F92811" w:rsidRPr="00E16672">
              <w:rPr>
                <w:rFonts w:ascii="Times New Roman" w:hAnsi="Times New Roman"/>
                <w:i/>
                <w:color w:val="000000"/>
                <w:sz w:val="16"/>
                <w:szCs w:val="16"/>
              </w:rPr>
              <w:t>днів</w:t>
            </w:r>
            <w:proofErr w:type="spellEnd"/>
            <w:r w:rsidR="00F92811" w:rsidRPr="00F23413">
              <w:rPr>
                <w:rFonts w:ascii="Times New Roman" w:hAnsi="Times New Roman"/>
                <w:i/>
                <w:color w:val="000000"/>
                <w:sz w:val="16"/>
                <w:szCs w:val="16"/>
                <w:lang w:val="en-US"/>
              </w:rPr>
              <w:t xml:space="preserve"> </w:t>
            </w:r>
            <w:r w:rsidR="00F92811" w:rsidRPr="00E16672">
              <w:rPr>
                <w:rFonts w:ascii="Times New Roman" w:hAnsi="Times New Roman"/>
                <w:color w:val="000000"/>
                <w:sz w:val="16"/>
                <w:szCs w:val="16"/>
              </w:rPr>
              <w:t>з</w:t>
            </w:r>
            <w:r w:rsidR="00F92811" w:rsidRPr="00F23413">
              <w:rPr>
                <w:rFonts w:ascii="Times New Roman" w:hAnsi="Times New Roman"/>
                <w:color w:val="000000"/>
                <w:sz w:val="16"/>
                <w:szCs w:val="16"/>
                <w:lang w:val="en-US"/>
              </w:rPr>
              <w:t xml:space="preserve"> </w:t>
            </w:r>
            <w:proofErr w:type="spellStart"/>
            <w:r w:rsidR="00F92811" w:rsidRPr="00E16672">
              <w:rPr>
                <w:rFonts w:ascii="Times New Roman" w:hAnsi="Times New Roman"/>
                <w:color w:val="000000"/>
                <w:sz w:val="16"/>
                <w:szCs w:val="16"/>
              </w:rPr>
              <w:lastRenderedPageBreak/>
              <w:t>дати</w:t>
            </w:r>
            <w:proofErr w:type="spellEnd"/>
            <w:r w:rsidR="00F92811" w:rsidRPr="00F23413">
              <w:rPr>
                <w:rFonts w:ascii="Times New Roman" w:hAnsi="Times New Roman"/>
                <w:color w:val="000000"/>
                <w:sz w:val="16"/>
                <w:szCs w:val="16"/>
                <w:lang w:val="en-US"/>
              </w:rPr>
              <w:t xml:space="preserve"> </w:t>
            </w:r>
            <w:r w:rsidR="00F92811" w:rsidRPr="00E16672">
              <w:rPr>
                <w:rFonts w:ascii="Times New Roman" w:hAnsi="Times New Roman"/>
                <w:color w:val="000000"/>
                <w:sz w:val="16"/>
                <w:szCs w:val="16"/>
              </w:rPr>
              <w:t>початку</w:t>
            </w:r>
            <w:r w:rsidR="00F92811" w:rsidRPr="00F23413">
              <w:rPr>
                <w:rFonts w:ascii="Times New Roman" w:hAnsi="Times New Roman"/>
                <w:color w:val="000000"/>
                <w:sz w:val="16"/>
                <w:szCs w:val="16"/>
                <w:lang w:val="en-US"/>
              </w:rPr>
              <w:t xml:space="preserve"> </w:t>
            </w:r>
            <w:proofErr w:type="spellStart"/>
            <w:r w:rsidR="00F92811" w:rsidRPr="00E16672">
              <w:rPr>
                <w:rFonts w:ascii="Times New Roman" w:hAnsi="Times New Roman"/>
                <w:color w:val="000000"/>
                <w:sz w:val="16"/>
                <w:szCs w:val="16"/>
              </w:rPr>
              <w:t>цієї</w:t>
            </w:r>
            <w:proofErr w:type="spellEnd"/>
            <w:r w:rsidR="00F92811" w:rsidRPr="00F23413">
              <w:rPr>
                <w:rFonts w:ascii="Times New Roman" w:hAnsi="Times New Roman"/>
                <w:color w:val="000000"/>
                <w:sz w:val="16"/>
                <w:szCs w:val="16"/>
                <w:lang w:val="en-US"/>
              </w:rPr>
              <w:t xml:space="preserve"> </w:t>
            </w:r>
            <w:proofErr w:type="spellStart"/>
            <w:r w:rsidR="00F92811" w:rsidRPr="00E16672">
              <w:rPr>
                <w:rFonts w:ascii="Times New Roman" w:hAnsi="Times New Roman"/>
                <w:color w:val="000000"/>
                <w:sz w:val="16"/>
                <w:szCs w:val="16"/>
              </w:rPr>
              <w:t>процедури</w:t>
            </w:r>
            <w:proofErr w:type="spellEnd"/>
            <w:r w:rsidR="00F92811" w:rsidRPr="00F23413">
              <w:rPr>
                <w:rFonts w:ascii="Times New Roman" w:hAnsi="Times New Roman"/>
                <w:color w:val="000000"/>
                <w:sz w:val="16"/>
                <w:szCs w:val="16"/>
                <w:lang w:val="en-US"/>
              </w:rPr>
              <w:t>.</w:t>
            </w:r>
          </w:p>
          <w:p w14:paraId="7642E984" w14:textId="77777777" w:rsidR="003A05A3" w:rsidRPr="00E16672" w:rsidRDefault="00F92811" w:rsidP="00F92811">
            <w:pPr>
              <w:tabs>
                <w:tab w:val="left" w:pos="851"/>
                <w:tab w:val="left" w:pos="7200"/>
              </w:tabs>
              <w:snapToGrid w:val="0"/>
              <w:ind w:left="142" w:right="138" w:firstLine="0"/>
              <w:rPr>
                <w:rFonts w:ascii="Times New Roman" w:hAnsi="Times New Roman"/>
                <w:b/>
                <w:color w:val="000000"/>
                <w:sz w:val="16"/>
                <w:szCs w:val="16"/>
              </w:rPr>
            </w:pPr>
            <w:r w:rsidRPr="00E16672">
              <w:rPr>
                <w:rFonts w:ascii="Times New Roman" w:hAnsi="Times New Roman"/>
                <w:bCs/>
                <w:color w:val="000000"/>
                <w:sz w:val="16"/>
                <w:szCs w:val="16"/>
                <w:lang w:val="uk-UA"/>
              </w:rPr>
              <w:t xml:space="preserve">Повідомлення надається шляхом розміщення на офіційному веб-сайті Депозитарної установи </w:t>
            </w:r>
            <w:r w:rsidR="00E16672">
              <w:rPr>
                <w:rFonts w:ascii="Times New Roman" w:hAnsi="Times New Roman"/>
                <w:bCs/>
                <w:color w:val="000000"/>
                <w:sz w:val="16"/>
                <w:szCs w:val="16"/>
                <w:lang w:val="uk-UA"/>
              </w:rPr>
              <w:t>http://comex.uafin.net</w:t>
            </w:r>
            <w:r w:rsidR="00676EEA" w:rsidRPr="00E16672">
              <w:rPr>
                <w:rFonts w:ascii="Times New Roman" w:hAnsi="Times New Roman"/>
                <w:bCs/>
                <w:color w:val="000000"/>
                <w:sz w:val="16"/>
                <w:szCs w:val="16"/>
                <w:lang w:val="uk-UA"/>
              </w:rPr>
              <w:t>/</w:t>
            </w:r>
            <w:r w:rsidR="003A05A3" w:rsidRPr="00E16672">
              <w:rPr>
                <w:rFonts w:ascii="Times New Roman" w:hAnsi="Times New Roman"/>
                <w:bCs/>
                <w:color w:val="000000"/>
                <w:sz w:val="16"/>
                <w:szCs w:val="16"/>
                <w:lang w:val="uk-UA"/>
              </w:rPr>
              <w:t>.</w:t>
            </w:r>
          </w:p>
        </w:tc>
        <w:tc>
          <w:tcPr>
            <w:tcW w:w="5494" w:type="dxa"/>
            <w:gridSpan w:val="6"/>
            <w:shd w:val="clear" w:color="auto" w:fill="auto"/>
          </w:tcPr>
          <w:p w14:paraId="0005655E" w14:textId="77777777" w:rsidR="003A05A3" w:rsidRPr="00E16672" w:rsidRDefault="003A05A3" w:rsidP="00843027">
            <w:pPr>
              <w:pStyle w:val="210"/>
              <w:snapToGrid w:val="0"/>
              <w:ind w:left="145" w:right="100" w:firstLine="0"/>
              <w:rPr>
                <w:rFonts w:ascii="Times New Roman" w:hAnsi="Times New Roman"/>
                <w:color w:val="000000"/>
                <w:sz w:val="16"/>
                <w:szCs w:val="16"/>
              </w:rPr>
            </w:pPr>
            <w:r w:rsidRPr="00E16672">
              <w:rPr>
                <w:rFonts w:ascii="Times New Roman" w:hAnsi="Times New Roman"/>
                <w:color w:val="000000"/>
                <w:sz w:val="16"/>
                <w:szCs w:val="16"/>
              </w:rPr>
              <w:lastRenderedPageBreak/>
              <w:t>2.1.15</w:t>
            </w:r>
            <w:r w:rsidRPr="00E16672">
              <w:rPr>
                <w:rFonts w:ascii="Times New Roman" w:hAnsi="Times New Roman"/>
                <w:color w:val="000000"/>
                <w:sz w:val="16"/>
                <w:szCs w:val="16"/>
                <w:lang w:val="en-GB"/>
              </w:rPr>
              <w:t xml:space="preserve">. </w:t>
            </w:r>
            <w:r w:rsidR="00F92811" w:rsidRPr="00E16672">
              <w:rPr>
                <w:rFonts w:ascii="Times New Roman" w:hAnsi="Times New Roman"/>
                <w:color w:val="000000"/>
                <w:sz w:val="16"/>
                <w:szCs w:val="16"/>
                <w:lang w:val="en-GB"/>
              </w:rPr>
              <w:t xml:space="preserve">During </w:t>
            </w:r>
            <w:proofErr w:type="spellStart"/>
            <w:r w:rsidR="00F92811" w:rsidRPr="00E16672">
              <w:rPr>
                <w:rStyle w:val="shorttext"/>
                <w:rFonts w:ascii="Times New Roman" w:hAnsi="Times New Roman"/>
                <w:sz w:val="16"/>
              </w:rPr>
              <w:t>five</w:t>
            </w:r>
            <w:proofErr w:type="spellEnd"/>
            <w:r w:rsidR="00F92811" w:rsidRPr="00E16672">
              <w:rPr>
                <w:rStyle w:val="shorttext"/>
                <w:rFonts w:ascii="Times New Roman" w:hAnsi="Times New Roman"/>
                <w:sz w:val="16"/>
              </w:rPr>
              <w:t xml:space="preserve"> </w:t>
            </w:r>
            <w:proofErr w:type="spellStart"/>
            <w:r w:rsidR="00F92811" w:rsidRPr="00E16672">
              <w:rPr>
                <w:rStyle w:val="shorttext"/>
                <w:rFonts w:ascii="Times New Roman" w:hAnsi="Times New Roman"/>
                <w:sz w:val="16"/>
              </w:rPr>
              <w:t>business</w:t>
            </w:r>
            <w:proofErr w:type="spellEnd"/>
            <w:r w:rsidR="00F92811" w:rsidRPr="00E16672">
              <w:rPr>
                <w:rStyle w:val="shorttext"/>
                <w:rFonts w:ascii="Times New Roman" w:hAnsi="Times New Roman"/>
                <w:sz w:val="16"/>
              </w:rPr>
              <w:t xml:space="preserve"> </w:t>
            </w:r>
            <w:r w:rsidR="00F92811" w:rsidRPr="00E16672">
              <w:rPr>
                <w:rFonts w:ascii="Times New Roman" w:hAnsi="Times New Roman"/>
                <w:i/>
                <w:color w:val="000000"/>
                <w:sz w:val="16"/>
                <w:szCs w:val="16"/>
                <w:lang w:val="en-GB"/>
              </w:rPr>
              <w:t>days</w:t>
            </w:r>
            <w:r w:rsidR="00F92811" w:rsidRPr="00E16672">
              <w:rPr>
                <w:rFonts w:ascii="Times New Roman" w:hAnsi="Times New Roman"/>
                <w:color w:val="000000"/>
                <w:sz w:val="16"/>
                <w:szCs w:val="16"/>
                <w:lang w:val="en-GB"/>
              </w:rPr>
              <w:t xml:space="preserve"> from the date of beginning by Depository institution of procedure of stopping them of realization of professional </w:t>
            </w:r>
            <w:proofErr w:type="spellStart"/>
            <w:r w:rsidR="00F92811" w:rsidRPr="00E16672">
              <w:rPr>
                <w:rFonts w:ascii="Times New Roman" w:hAnsi="Times New Roman"/>
                <w:color w:val="000000"/>
                <w:sz w:val="16"/>
                <w:szCs w:val="16"/>
              </w:rPr>
              <w:t>activity</w:t>
            </w:r>
            <w:proofErr w:type="spellEnd"/>
            <w:r w:rsidR="00F92811" w:rsidRPr="00E16672">
              <w:rPr>
                <w:rFonts w:ascii="Times New Roman" w:hAnsi="Times New Roman"/>
                <w:color w:val="000000"/>
                <w:sz w:val="16"/>
                <w:szCs w:val="16"/>
              </w:rPr>
              <w:t xml:space="preserve"> </w:t>
            </w:r>
            <w:proofErr w:type="spellStart"/>
            <w:r w:rsidR="00F92811" w:rsidRPr="00E16672">
              <w:rPr>
                <w:rFonts w:ascii="Times New Roman" w:hAnsi="Times New Roman"/>
                <w:color w:val="000000"/>
                <w:sz w:val="16"/>
                <w:szCs w:val="16"/>
              </w:rPr>
              <w:t>at</w:t>
            </w:r>
            <w:proofErr w:type="spellEnd"/>
            <w:r w:rsidR="00F92811" w:rsidRPr="00E16672">
              <w:rPr>
                <w:rFonts w:ascii="Times New Roman" w:hAnsi="Times New Roman"/>
                <w:color w:val="000000"/>
                <w:sz w:val="16"/>
                <w:szCs w:val="16"/>
              </w:rPr>
              <w:t xml:space="preserve"> </w:t>
            </w:r>
            <w:proofErr w:type="spellStart"/>
            <w:r w:rsidR="00F92811" w:rsidRPr="00E16672">
              <w:rPr>
                <w:rFonts w:ascii="Times New Roman" w:hAnsi="Times New Roman"/>
                <w:color w:val="000000"/>
                <w:sz w:val="16"/>
                <w:szCs w:val="16"/>
              </w:rPr>
              <w:t>the</w:t>
            </w:r>
            <w:proofErr w:type="spellEnd"/>
            <w:r w:rsidR="00F92811" w:rsidRPr="00E16672">
              <w:rPr>
                <w:rFonts w:ascii="Times New Roman" w:hAnsi="Times New Roman"/>
                <w:color w:val="000000"/>
                <w:sz w:val="16"/>
                <w:szCs w:val="16"/>
              </w:rPr>
              <w:t xml:space="preserve"> </w:t>
            </w:r>
            <w:proofErr w:type="spellStart"/>
            <w:r w:rsidR="00F92811" w:rsidRPr="00E16672">
              <w:rPr>
                <w:rFonts w:ascii="Times New Roman" w:hAnsi="Times New Roman"/>
                <w:color w:val="000000"/>
                <w:sz w:val="16"/>
                <w:szCs w:val="16"/>
              </w:rPr>
              <w:t>Stock</w:t>
            </w:r>
            <w:proofErr w:type="spellEnd"/>
            <w:r w:rsidR="00F92811" w:rsidRPr="00E16672">
              <w:rPr>
                <w:rFonts w:ascii="Times New Roman" w:hAnsi="Times New Roman"/>
                <w:color w:val="000000"/>
                <w:sz w:val="16"/>
                <w:szCs w:val="16"/>
              </w:rPr>
              <w:t xml:space="preserve"> </w:t>
            </w:r>
            <w:proofErr w:type="spellStart"/>
            <w:r w:rsidR="00F92811" w:rsidRPr="00E16672">
              <w:rPr>
                <w:rFonts w:ascii="Times New Roman" w:hAnsi="Times New Roman"/>
                <w:color w:val="000000"/>
                <w:sz w:val="16"/>
                <w:szCs w:val="16"/>
              </w:rPr>
              <w:t>Market</w:t>
            </w:r>
            <w:proofErr w:type="spellEnd"/>
            <w:r w:rsidR="00F92811" w:rsidRPr="00E16672">
              <w:rPr>
                <w:rFonts w:ascii="Times New Roman" w:hAnsi="Times New Roman"/>
                <w:color w:val="000000"/>
                <w:sz w:val="16"/>
                <w:szCs w:val="16"/>
              </w:rPr>
              <w:t xml:space="preserve"> - </w:t>
            </w:r>
            <w:proofErr w:type="spellStart"/>
            <w:r w:rsidR="00F92811" w:rsidRPr="00E16672">
              <w:rPr>
                <w:rFonts w:ascii="Times New Roman" w:hAnsi="Times New Roman"/>
                <w:color w:val="000000"/>
                <w:sz w:val="16"/>
                <w:szCs w:val="16"/>
              </w:rPr>
              <w:t>depositary</w:t>
            </w:r>
            <w:proofErr w:type="spellEnd"/>
            <w:r w:rsidR="00F92811" w:rsidRPr="00E16672">
              <w:rPr>
                <w:rFonts w:ascii="Times New Roman" w:hAnsi="Times New Roman"/>
                <w:color w:val="000000"/>
                <w:sz w:val="16"/>
                <w:szCs w:val="16"/>
              </w:rPr>
              <w:t xml:space="preserve"> </w:t>
            </w:r>
            <w:proofErr w:type="spellStart"/>
            <w:r w:rsidR="00F92811" w:rsidRPr="00E16672">
              <w:rPr>
                <w:rFonts w:ascii="Times New Roman" w:hAnsi="Times New Roman"/>
                <w:color w:val="000000"/>
                <w:sz w:val="16"/>
                <w:szCs w:val="16"/>
              </w:rPr>
              <w:t>activity</w:t>
            </w:r>
            <w:proofErr w:type="spellEnd"/>
            <w:r w:rsidR="00F92811" w:rsidRPr="00E16672">
              <w:rPr>
                <w:rFonts w:ascii="Times New Roman" w:hAnsi="Times New Roman"/>
                <w:color w:val="000000"/>
                <w:sz w:val="16"/>
                <w:szCs w:val="16"/>
              </w:rPr>
              <w:t xml:space="preserve">, </w:t>
            </w:r>
            <w:proofErr w:type="spellStart"/>
            <w:r w:rsidR="00F92811" w:rsidRPr="00E16672">
              <w:rPr>
                <w:rFonts w:ascii="Times New Roman" w:hAnsi="Times New Roman"/>
                <w:color w:val="000000"/>
                <w:sz w:val="16"/>
                <w:szCs w:val="16"/>
              </w:rPr>
              <w:t>namely</w:t>
            </w:r>
            <w:proofErr w:type="spellEnd"/>
            <w:r w:rsidR="00F92811" w:rsidRPr="00E16672">
              <w:rPr>
                <w:rFonts w:ascii="Times New Roman" w:hAnsi="Times New Roman"/>
                <w:color w:val="000000"/>
                <w:sz w:val="16"/>
                <w:szCs w:val="16"/>
              </w:rPr>
              <w:t xml:space="preserve"> </w:t>
            </w:r>
            <w:proofErr w:type="spellStart"/>
            <w:r w:rsidR="00F92811" w:rsidRPr="00E16672">
              <w:rPr>
                <w:rFonts w:ascii="Times New Roman" w:hAnsi="Times New Roman"/>
                <w:color w:val="000000"/>
                <w:sz w:val="16"/>
                <w:szCs w:val="16"/>
              </w:rPr>
              <w:t>depositary</w:t>
            </w:r>
            <w:proofErr w:type="spellEnd"/>
            <w:r w:rsidR="00F92811" w:rsidRPr="00E16672">
              <w:rPr>
                <w:rFonts w:ascii="Times New Roman" w:hAnsi="Times New Roman"/>
                <w:color w:val="000000"/>
                <w:sz w:val="16"/>
                <w:szCs w:val="16"/>
              </w:rPr>
              <w:t xml:space="preserve"> </w:t>
            </w:r>
            <w:proofErr w:type="spellStart"/>
            <w:r w:rsidR="00F92811" w:rsidRPr="00E16672">
              <w:rPr>
                <w:rFonts w:ascii="Times New Roman" w:hAnsi="Times New Roman"/>
                <w:color w:val="000000"/>
                <w:sz w:val="16"/>
                <w:szCs w:val="16"/>
              </w:rPr>
              <w:t>activity</w:t>
            </w:r>
            <w:proofErr w:type="spellEnd"/>
            <w:r w:rsidR="00F92811" w:rsidRPr="00E16672">
              <w:rPr>
                <w:rFonts w:ascii="Times New Roman" w:hAnsi="Times New Roman"/>
                <w:color w:val="000000"/>
                <w:sz w:val="16"/>
                <w:szCs w:val="16"/>
              </w:rPr>
              <w:t xml:space="preserve"> </w:t>
            </w:r>
            <w:proofErr w:type="spellStart"/>
            <w:r w:rsidR="00F92811" w:rsidRPr="00E16672">
              <w:rPr>
                <w:rFonts w:ascii="Times New Roman" w:hAnsi="Times New Roman"/>
                <w:color w:val="000000"/>
                <w:sz w:val="16"/>
                <w:szCs w:val="16"/>
              </w:rPr>
              <w:t>of</w:t>
            </w:r>
            <w:proofErr w:type="spellEnd"/>
            <w:r w:rsidR="00F92811" w:rsidRPr="00E16672">
              <w:rPr>
                <w:rFonts w:ascii="Times New Roman" w:hAnsi="Times New Roman"/>
                <w:color w:val="000000"/>
                <w:sz w:val="16"/>
                <w:szCs w:val="16"/>
              </w:rPr>
              <w:t xml:space="preserve"> </w:t>
            </w:r>
            <w:proofErr w:type="spellStart"/>
            <w:r w:rsidR="00F92811" w:rsidRPr="00E16672">
              <w:rPr>
                <w:rFonts w:ascii="Times New Roman" w:hAnsi="Times New Roman"/>
                <w:color w:val="000000"/>
                <w:sz w:val="16"/>
                <w:szCs w:val="16"/>
              </w:rPr>
              <w:t>Depository</w:t>
            </w:r>
            <w:proofErr w:type="spellEnd"/>
            <w:r w:rsidR="00F92811" w:rsidRPr="00E16672">
              <w:rPr>
                <w:rFonts w:ascii="Times New Roman" w:hAnsi="Times New Roman"/>
                <w:color w:val="000000"/>
                <w:sz w:val="16"/>
                <w:szCs w:val="16"/>
              </w:rPr>
              <w:t xml:space="preserve"> </w:t>
            </w:r>
            <w:proofErr w:type="spellStart"/>
            <w:r w:rsidR="00F92811" w:rsidRPr="00E16672">
              <w:rPr>
                <w:rFonts w:ascii="Times New Roman" w:hAnsi="Times New Roman"/>
                <w:color w:val="000000"/>
                <w:sz w:val="16"/>
                <w:szCs w:val="16"/>
              </w:rPr>
              <w:t>institution</w:t>
            </w:r>
            <w:proofErr w:type="spellEnd"/>
            <w:r w:rsidR="00F92811" w:rsidRPr="00E16672">
              <w:rPr>
                <w:rFonts w:ascii="Times New Roman" w:hAnsi="Times New Roman"/>
                <w:color w:val="000000"/>
                <w:sz w:val="16"/>
                <w:szCs w:val="16"/>
              </w:rPr>
              <w:t xml:space="preserve"> </w:t>
            </w:r>
            <w:proofErr w:type="spellStart"/>
            <w:r w:rsidR="00F92811" w:rsidRPr="00E16672">
              <w:rPr>
                <w:rFonts w:ascii="Times New Roman" w:hAnsi="Times New Roman"/>
                <w:color w:val="000000"/>
                <w:sz w:val="16"/>
                <w:szCs w:val="16"/>
              </w:rPr>
              <w:t>in</w:t>
            </w:r>
            <w:proofErr w:type="spellEnd"/>
            <w:r w:rsidR="00F92811" w:rsidRPr="00E16672">
              <w:rPr>
                <w:rFonts w:ascii="Times New Roman" w:hAnsi="Times New Roman"/>
                <w:color w:val="000000"/>
                <w:sz w:val="16"/>
                <w:szCs w:val="16"/>
              </w:rPr>
              <w:t xml:space="preserve"> </w:t>
            </w:r>
            <w:proofErr w:type="spellStart"/>
            <w:r w:rsidR="00F92811" w:rsidRPr="00E16672">
              <w:rPr>
                <w:rFonts w:ascii="Times New Roman" w:hAnsi="Times New Roman"/>
                <w:color w:val="000000"/>
                <w:sz w:val="16"/>
                <w:szCs w:val="16"/>
              </w:rPr>
              <w:t>accordance</w:t>
            </w:r>
            <w:proofErr w:type="spellEnd"/>
            <w:r w:rsidR="00F92811" w:rsidRPr="00E16672">
              <w:rPr>
                <w:rFonts w:ascii="Times New Roman" w:hAnsi="Times New Roman"/>
                <w:color w:val="000000"/>
                <w:sz w:val="16"/>
                <w:szCs w:val="16"/>
              </w:rPr>
              <w:t xml:space="preserve"> </w:t>
            </w:r>
            <w:proofErr w:type="spellStart"/>
            <w:r w:rsidR="00F92811" w:rsidRPr="00E16672">
              <w:rPr>
                <w:rFonts w:ascii="Times New Roman" w:hAnsi="Times New Roman"/>
                <w:color w:val="000000"/>
                <w:sz w:val="16"/>
                <w:szCs w:val="16"/>
              </w:rPr>
              <w:t>to</w:t>
            </w:r>
            <w:proofErr w:type="spellEnd"/>
            <w:r w:rsidR="00F92811" w:rsidRPr="00E16672">
              <w:rPr>
                <w:rFonts w:ascii="Times New Roman" w:hAnsi="Times New Roman"/>
                <w:color w:val="000000"/>
                <w:sz w:val="16"/>
                <w:szCs w:val="16"/>
              </w:rPr>
              <w:t xml:space="preserve"> </w:t>
            </w:r>
            <w:proofErr w:type="spellStart"/>
            <w:r w:rsidR="00F92811" w:rsidRPr="00E16672">
              <w:rPr>
                <w:rFonts w:ascii="Times New Roman" w:hAnsi="Times New Roman"/>
                <w:color w:val="000000"/>
                <w:sz w:val="16"/>
                <w:szCs w:val="16"/>
              </w:rPr>
              <w:t>the</w:t>
            </w:r>
            <w:proofErr w:type="spellEnd"/>
            <w:r w:rsidR="00F92811" w:rsidRPr="00E16672">
              <w:rPr>
                <w:rFonts w:ascii="Times New Roman" w:hAnsi="Times New Roman"/>
                <w:color w:val="000000"/>
                <w:sz w:val="16"/>
                <w:szCs w:val="16"/>
              </w:rPr>
              <w:t xml:space="preserve"> </w:t>
            </w:r>
            <w:proofErr w:type="spellStart"/>
            <w:r w:rsidR="00F92811" w:rsidRPr="00E16672">
              <w:rPr>
                <w:rFonts w:ascii="Times New Roman" w:hAnsi="Times New Roman"/>
                <w:color w:val="000000"/>
                <w:sz w:val="16"/>
                <w:szCs w:val="16"/>
              </w:rPr>
              <w:t>legal</w:t>
            </w:r>
            <w:proofErr w:type="spellEnd"/>
            <w:r w:rsidR="00F92811" w:rsidRPr="00E16672">
              <w:rPr>
                <w:rFonts w:ascii="Times New Roman" w:hAnsi="Times New Roman"/>
                <w:color w:val="000000"/>
                <w:sz w:val="16"/>
                <w:szCs w:val="16"/>
              </w:rPr>
              <w:t xml:space="preserve"> </w:t>
            </w:r>
            <w:proofErr w:type="spellStart"/>
            <w:r w:rsidR="00F92811" w:rsidRPr="00E16672">
              <w:rPr>
                <w:rFonts w:ascii="Times New Roman" w:hAnsi="Times New Roman"/>
                <w:color w:val="000000"/>
                <w:sz w:val="16"/>
                <w:szCs w:val="16"/>
              </w:rPr>
              <w:t>act</w:t>
            </w:r>
            <w:proofErr w:type="spellEnd"/>
            <w:r w:rsidR="00F92811" w:rsidRPr="00E16672">
              <w:rPr>
                <w:rFonts w:ascii="Times New Roman" w:hAnsi="Times New Roman"/>
                <w:color w:val="000000"/>
                <w:sz w:val="16"/>
                <w:szCs w:val="16"/>
              </w:rPr>
              <w:t xml:space="preserve"> </w:t>
            </w:r>
            <w:proofErr w:type="spellStart"/>
            <w:r w:rsidR="00F92811" w:rsidRPr="00E16672">
              <w:rPr>
                <w:rFonts w:ascii="Times New Roman" w:hAnsi="Times New Roman"/>
                <w:color w:val="000000"/>
                <w:sz w:val="16"/>
                <w:szCs w:val="16"/>
              </w:rPr>
              <w:t>to</w:t>
            </w:r>
            <w:proofErr w:type="spellEnd"/>
            <w:r w:rsidR="00F92811" w:rsidRPr="00E16672">
              <w:rPr>
                <w:rFonts w:ascii="Times New Roman" w:hAnsi="Times New Roman"/>
                <w:color w:val="000000"/>
                <w:sz w:val="16"/>
                <w:szCs w:val="16"/>
              </w:rPr>
              <w:t xml:space="preserve"> </w:t>
            </w:r>
            <w:proofErr w:type="spellStart"/>
            <w:r w:rsidR="00F92811" w:rsidRPr="00E16672">
              <w:rPr>
                <w:rFonts w:ascii="Times New Roman" w:hAnsi="Times New Roman"/>
                <w:color w:val="000000"/>
                <w:sz w:val="16"/>
                <w:szCs w:val="16"/>
              </w:rPr>
              <w:t>stopping</w:t>
            </w:r>
            <w:proofErr w:type="spellEnd"/>
            <w:r w:rsidR="00F92811" w:rsidRPr="00E16672">
              <w:rPr>
                <w:rFonts w:ascii="Times New Roman" w:hAnsi="Times New Roman"/>
                <w:color w:val="000000"/>
                <w:sz w:val="16"/>
                <w:szCs w:val="16"/>
              </w:rPr>
              <w:t xml:space="preserve"> </w:t>
            </w:r>
            <w:proofErr w:type="spellStart"/>
            <w:proofErr w:type="gramStart"/>
            <w:r w:rsidR="00F92811" w:rsidRPr="00E16672">
              <w:rPr>
                <w:rFonts w:ascii="Times New Roman" w:hAnsi="Times New Roman"/>
                <w:color w:val="000000"/>
                <w:sz w:val="16"/>
                <w:szCs w:val="16"/>
              </w:rPr>
              <w:t>the</w:t>
            </w:r>
            <w:proofErr w:type="spellEnd"/>
            <w:r w:rsidR="00F92811" w:rsidRPr="00E16672">
              <w:rPr>
                <w:rFonts w:ascii="Times New Roman" w:hAnsi="Times New Roman"/>
                <w:color w:val="000000"/>
                <w:sz w:val="16"/>
                <w:szCs w:val="16"/>
              </w:rPr>
              <w:t xml:space="preserve">  </w:t>
            </w:r>
            <w:proofErr w:type="spellStart"/>
            <w:r w:rsidR="00F92811" w:rsidRPr="00E16672">
              <w:rPr>
                <w:rFonts w:ascii="Times New Roman" w:hAnsi="Times New Roman"/>
                <w:color w:val="000000"/>
                <w:sz w:val="16"/>
                <w:szCs w:val="16"/>
              </w:rPr>
              <w:t>depository</w:t>
            </w:r>
            <w:proofErr w:type="spellEnd"/>
            <w:proofErr w:type="gramEnd"/>
            <w:r w:rsidR="00F92811" w:rsidRPr="00E16672">
              <w:rPr>
                <w:rFonts w:ascii="Times New Roman" w:hAnsi="Times New Roman"/>
                <w:color w:val="000000"/>
                <w:sz w:val="16"/>
                <w:szCs w:val="16"/>
              </w:rPr>
              <w:t xml:space="preserve"> </w:t>
            </w:r>
            <w:proofErr w:type="spellStart"/>
            <w:r w:rsidR="00F92811" w:rsidRPr="00E16672">
              <w:rPr>
                <w:rFonts w:ascii="Times New Roman" w:hAnsi="Times New Roman"/>
                <w:color w:val="000000"/>
                <w:sz w:val="16"/>
                <w:szCs w:val="16"/>
              </w:rPr>
              <w:t>activity</w:t>
            </w:r>
            <w:proofErr w:type="spellEnd"/>
            <w:r w:rsidR="00F92811" w:rsidRPr="00E16672">
              <w:rPr>
                <w:rFonts w:ascii="Times New Roman" w:hAnsi="Times New Roman"/>
                <w:color w:val="000000"/>
                <w:sz w:val="16"/>
                <w:szCs w:val="16"/>
              </w:rPr>
              <w:t xml:space="preserve"> </w:t>
            </w:r>
            <w:proofErr w:type="spellStart"/>
            <w:r w:rsidR="00F92811" w:rsidRPr="00E16672">
              <w:rPr>
                <w:rFonts w:ascii="Times New Roman" w:hAnsi="Times New Roman"/>
                <w:color w:val="000000"/>
                <w:sz w:val="16"/>
                <w:szCs w:val="16"/>
              </w:rPr>
              <w:t>of</w:t>
            </w:r>
            <w:proofErr w:type="spellEnd"/>
            <w:r w:rsidR="00F92811" w:rsidRPr="00E16672">
              <w:rPr>
                <w:rFonts w:ascii="Times New Roman" w:hAnsi="Times New Roman"/>
                <w:color w:val="000000"/>
                <w:sz w:val="16"/>
                <w:szCs w:val="16"/>
              </w:rPr>
              <w:t xml:space="preserve"> </w:t>
            </w:r>
            <w:proofErr w:type="spellStart"/>
            <w:r w:rsidR="00F92811" w:rsidRPr="00E16672">
              <w:rPr>
                <w:rFonts w:ascii="Times New Roman" w:hAnsi="Times New Roman"/>
                <w:color w:val="000000"/>
                <w:sz w:val="16"/>
                <w:szCs w:val="16"/>
              </w:rPr>
              <w:t>Depository</w:t>
            </w:r>
            <w:proofErr w:type="spellEnd"/>
            <w:r w:rsidR="00F92811" w:rsidRPr="00E16672">
              <w:rPr>
                <w:rFonts w:ascii="Times New Roman" w:hAnsi="Times New Roman"/>
                <w:color w:val="000000"/>
                <w:sz w:val="16"/>
                <w:szCs w:val="16"/>
              </w:rPr>
              <w:t xml:space="preserve"> </w:t>
            </w:r>
            <w:proofErr w:type="spellStart"/>
            <w:r w:rsidR="00F92811" w:rsidRPr="00E16672">
              <w:rPr>
                <w:rFonts w:ascii="Times New Roman" w:hAnsi="Times New Roman"/>
                <w:color w:val="000000"/>
                <w:sz w:val="16"/>
                <w:szCs w:val="16"/>
              </w:rPr>
              <w:t>institution</w:t>
            </w:r>
            <w:proofErr w:type="spellEnd"/>
            <w:r w:rsidR="00F92811" w:rsidRPr="00E16672">
              <w:rPr>
                <w:rFonts w:ascii="Times New Roman" w:hAnsi="Times New Roman"/>
                <w:color w:val="000000"/>
                <w:sz w:val="16"/>
                <w:szCs w:val="16"/>
              </w:rPr>
              <w:t xml:space="preserve"> </w:t>
            </w:r>
            <w:proofErr w:type="spellStart"/>
            <w:r w:rsidR="00F92811" w:rsidRPr="00E16672">
              <w:rPr>
                <w:rFonts w:ascii="Times New Roman" w:hAnsi="Times New Roman"/>
                <w:color w:val="000000"/>
                <w:sz w:val="16"/>
                <w:szCs w:val="16"/>
              </w:rPr>
              <w:t>to</w:t>
            </w:r>
            <w:proofErr w:type="spellEnd"/>
            <w:r w:rsidR="00F92811" w:rsidRPr="00E16672">
              <w:rPr>
                <w:rFonts w:ascii="Times New Roman" w:hAnsi="Times New Roman"/>
                <w:color w:val="000000"/>
                <w:sz w:val="16"/>
                <w:szCs w:val="16"/>
              </w:rPr>
              <w:t xml:space="preserve"> </w:t>
            </w:r>
            <w:proofErr w:type="spellStart"/>
            <w:r w:rsidR="00F92811" w:rsidRPr="00E16672">
              <w:rPr>
                <w:rFonts w:ascii="Times New Roman" w:hAnsi="Times New Roman"/>
                <w:color w:val="000000"/>
                <w:sz w:val="16"/>
                <w:szCs w:val="16"/>
              </w:rPr>
              <w:t>inform</w:t>
            </w:r>
            <w:proofErr w:type="spellEnd"/>
            <w:r w:rsidR="00F92811" w:rsidRPr="00E16672">
              <w:rPr>
                <w:rFonts w:ascii="Times New Roman" w:hAnsi="Times New Roman"/>
                <w:color w:val="000000"/>
                <w:sz w:val="16"/>
                <w:szCs w:val="16"/>
              </w:rPr>
              <w:t xml:space="preserve"> </w:t>
            </w:r>
            <w:proofErr w:type="spellStart"/>
            <w:r w:rsidR="00F92811" w:rsidRPr="00E16672">
              <w:rPr>
                <w:rFonts w:ascii="Times New Roman" w:hAnsi="Times New Roman"/>
                <w:color w:val="000000"/>
                <w:sz w:val="16"/>
                <w:szCs w:val="16"/>
              </w:rPr>
              <w:t>the</w:t>
            </w:r>
            <w:proofErr w:type="spellEnd"/>
            <w:r w:rsidR="00F92811" w:rsidRPr="00E16672">
              <w:rPr>
                <w:rFonts w:ascii="Times New Roman" w:hAnsi="Times New Roman"/>
                <w:color w:val="000000"/>
                <w:sz w:val="16"/>
                <w:szCs w:val="16"/>
              </w:rPr>
              <w:t xml:space="preserve">  </w:t>
            </w:r>
            <w:proofErr w:type="spellStart"/>
            <w:r w:rsidR="00F92811" w:rsidRPr="00E16672">
              <w:rPr>
                <w:rFonts w:ascii="Times New Roman" w:hAnsi="Times New Roman"/>
                <w:color w:val="000000"/>
                <w:sz w:val="16"/>
                <w:szCs w:val="16"/>
              </w:rPr>
              <w:t>Depositor</w:t>
            </w:r>
            <w:proofErr w:type="spellEnd"/>
            <w:r w:rsidR="00F92811" w:rsidRPr="00E16672">
              <w:rPr>
                <w:rFonts w:ascii="Times New Roman" w:hAnsi="Times New Roman"/>
                <w:color w:val="000000"/>
                <w:sz w:val="16"/>
                <w:szCs w:val="16"/>
              </w:rPr>
              <w:t xml:space="preserve"> </w:t>
            </w:r>
            <w:proofErr w:type="spellStart"/>
            <w:r w:rsidR="00F92811" w:rsidRPr="00E16672">
              <w:rPr>
                <w:rFonts w:ascii="Times New Roman" w:hAnsi="Times New Roman"/>
                <w:color w:val="000000"/>
                <w:sz w:val="16"/>
                <w:szCs w:val="16"/>
              </w:rPr>
              <w:t>as</w:t>
            </w:r>
            <w:proofErr w:type="spellEnd"/>
            <w:r w:rsidR="00F92811" w:rsidRPr="00E16672">
              <w:rPr>
                <w:rFonts w:ascii="Times New Roman" w:hAnsi="Times New Roman"/>
                <w:color w:val="000000"/>
                <w:sz w:val="16"/>
                <w:szCs w:val="16"/>
              </w:rPr>
              <w:t xml:space="preserve"> </w:t>
            </w:r>
            <w:proofErr w:type="spellStart"/>
            <w:r w:rsidR="00F92811" w:rsidRPr="00E16672">
              <w:rPr>
                <w:rFonts w:ascii="Times New Roman" w:hAnsi="Times New Roman"/>
                <w:color w:val="000000"/>
                <w:sz w:val="16"/>
                <w:szCs w:val="16"/>
              </w:rPr>
              <w:t>to</w:t>
            </w:r>
            <w:proofErr w:type="spellEnd"/>
            <w:r w:rsidR="00F92811" w:rsidRPr="00E16672">
              <w:rPr>
                <w:rFonts w:ascii="Times New Roman" w:hAnsi="Times New Roman"/>
                <w:color w:val="000000"/>
                <w:sz w:val="16"/>
                <w:szCs w:val="16"/>
              </w:rPr>
              <w:t xml:space="preserve"> </w:t>
            </w:r>
            <w:proofErr w:type="spellStart"/>
            <w:r w:rsidR="00F92811" w:rsidRPr="00E16672">
              <w:rPr>
                <w:rFonts w:ascii="Times New Roman" w:hAnsi="Times New Roman"/>
                <w:color w:val="000000"/>
                <w:sz w:val="16"/>
                <w:szCs w:val="16"/>
              </w:rPr>
              <w:t>necessary</w:t>
            </w:r>
            <w:proofErr w:type="spellEnd"/>
            <w:r w:rsidR="00F92811" w:rsidRPr="00E16672">
              <w:rPr>
                <w:rFonts w:ascii="Times New Roman" w:hAnsi="Times New Roman"/>
                <w:color w:val="000000"/>
                <w:sz w:val="16"/>
                <w:szCs w:val="16"/>
              </w:rPr>
              <w:t xml:space="preserve">  </w:t>
            </w:r>
            <w:proofErr w:type="spellStart"/>
            <w:r w:rsidR="00F92811" w:rsidRPr="00E16672">
              <w:rPr>
                <w:rFonts w:ascii="Times New Roman" w:hAnsi="Times New Roman"/>
                <w:color w:val="000000"/>
                <w:sz w:val="16"/>
                <w:szCs w:val="16"/>
              </w:rPr>
              <w:t>to</w:t>
            </w:r>
            <w:proofErr w:type="spellEnd"/>
            <w:r w:rsidR="00F92811" w:rsidRPr="00E16672">
              <w:rPr>
                <w:rFonts w:ascii="Times New Roman" w:hAnsi="Times New Roman"/>
                <w:color w:val="000000"/>
                <w:sz w:val="16"/>
                <w:szCs w:val="16"/>
              </w:rPr>
              <w:t xml:space="preserve">  </w:t>
            </w:r>
            <w:proofErr w:type="spellStart"/>
            <w:r w:rsidR="00F92811" w:rsidRPr="00E16672">
              <w:rPr>
                <w:rFonts w:ascii="Times New Roman" w:hAnsi="Times New Roman"/>
                <w:color w:val="000000"/>
                <w:sz w:val="16"/>
                <w:szCs w:val="16"/>
              </w:rPr>
              <w:t>close</w:t>
            </w:r>
            <w:proofErr w:type="spellEnd"/>
            <w:r w:rsidR="00F92811" w:rsidRPr="00E16672">
              <w:rPr>
                <w:rFonts w:ascii="Times New Roman" w:hAnsi="Times New Roman"/>
                <w:color w:val="000000"/>
                <w:sz w:val="16"/>
                <w:szCs w:val="16"/>
              </w:rPr>
              <w:t xml:space="preserve"> </w:t>
            </w:r>
            <w:proofErr w:type="spellStart"/>
            <w:r w:rsidR="00F92811" w:rsidRPr="00E16672">
              <w:rPr>
                <w:rFonts w:ascii="Times New Roman" w:hAnsi="Times New Roman"/>
                <w:color w:val="000000"/>
                <w:sz w:val="16"/>
                <w:szCs w:val="16"/>
              </w:rPr>
              <w:t>an</w:t>
            </w:r>
            <w:proofErr w:type="spellEnd"/>
            <w:r w:rsidR="00F92811" w:rsidRPr="00E16672">
              <w:rPr>
                <w:rFonts w:ascii="Times New Roman" w:hAnsi="Times New Roman"/>
                <w:color w:val="000000"/>
                <w:sz w:val="16"/>
                <w:szCs w:val="16"/>
              </w:rPr>
              <w:t xml:space="preserve"> </w:t>
            </w:r>
            <w:proofErr w:type="spellStart"/>
            <w:r w:rsidR="00F92811" w:rsidRPr="00E16672">
              <w:rPr>
                <w:rFonts w:ascii="Times New Roman" w:hAnsi="Times New Roman"/>
                <w:color w:val="000000"/>
                <w:sz w:val="16"/>
                <w:szCs w:val="16"/>
              </w:rPr>
              <w:t>account</w:t>
            </w:r>
            <w:proofErr w:type="spellEnd"/>
            <w:r w:rsidR="00F92811" w:rsidRPr="00E16672">
              <w:rPr>
                <w:rFonts w:ascii="Times New Roman" w:hAnsi="Times New Roman"/>
                <w:color w:val="000000"/>
                <w:sz w:val="16"/>
                <w:szCs w:val="16"/>
              </w:rPr>
              <w:t xml:space="preserve"> </w:t>
            </w:r>
            <w:proofErr w:type="spellStart"/>
            <w:r w:rsidR="00F92811" w:rsidRPr="00E16672">
              <w:rPr>
                <w:rFonts w:ascii="Times New Roman" w:hAnsi="Times New Roman"/>
                <w:color w:val="000000"/>
                <w:sz w:val="16"/>
                <w:szCs w:val="16"/>
              </w:rPr>
              <w:t>in</w:t>
            </w:r>
            <w:proofErr w:type="spellEnd"/>
            <w:r w:rsidR="00F92811" w:rsidRPr="00E16672">
              <w:rPr>
                <w:rFonts w:ascii="Times New Roman" w:hAnsi="Times New Roman"/>
                <w:color w:val="000000"/>
                <w:sz w:val="16"/>
                <w:szCs w:val="16"/>
              </w:rPr>
              <w:t xml:space="preserve"> </w:t>
            </w:r>
            <w:proofErr w:type="spellStart"/>
            <w:r w:rsidR="00F92811" w:rsidRPr="00E16672">
              <w:rPr>
                <w:rFonts w:ascii="Times New Roman" w:hAnsi="Times New Roman"/>
                <w:color w:val="000000"/>
                <w:sz w:val="16"/>
                <w:szCs w:val="16"/>
              </w:rPr>
              <w:t>securities</w:t>
            </w:r>
            <w:proofErr w:type="spellEnd"/>
            <w:r w:rsidR="00F92811" w:rsidRPr="00E16672">
              <w:rPr>
                <w:rFonts w:ascii="Times New Roman" w:hAnsi="Times New Roman"/>
                <w:color w:val="000000"/>
                <w:sz w:val="16"/>
                <w:szCs w:val="16"/>
              </w:rPr>
              <w:t xml:space="preserve"> </w:t>
            </w:r>
            <w:proofErr w:type="spellStart"/>
            <w:r w:rsidR="00F92811" w:rsidRPr="00E16672">
              <w:rPr>
                <w:rFonts w:ascii="Times New Roman" w:hAnsi="Times New Roman"/>
                <w:color w:val="000000"/>
                <w:sz w:val="16"/>
                <w:szCs w:val="16"/>
              </w:rPr>
              <w:t>within</w:t>
            </w:r>
            <w:proofErr w:type="spellEnd"/>
            <w:r w:rsidR="00F92811" w:rsidRPr="00E16672">
              <w:rPr>
                <w:rFonts w:ascii="Times New Roman" w:hAnsi="Times New Roman"/>
                <w:color w:val="000000"/>
                <w:sz w:val="16"/>
                <w:szCs w:val="16"/>
              </w:rPr>
              <w:t xml:space="preserve"> </w:t>
            </w:r>
            <w:r w:rsidR="00F92811" w:rsidRPr="00E16672">
              <w:rPr>
                <w:rFonts w:ascii="Times New Roman" w:hAnsi="Times New Roman"/>
                <w:i/>
                <w:color w:val="000000"/>
                <w:sz w:val="16"/>
                <w:szCs w:val="16"/>
                <w:lang w:val="en-US"/>
              </w:rPr>
              <w:t xml:space="preserve">sixty </w:t>
            </w:r>
            <w:r w:rsidR="00F92811" w:rsidRPr="00E16672">
              <w:rPr>
                <w:rFonts w:ascii="Times New Roman" w:hAnsi="Times New Roman"/>
                <w:i/>
                <w:color w:val="000000"/>
                <w:sz w:val="16"/>
                <w:szCs w:val="16"/>
              </w:rPr>
              <w:t xml:space="preserve"> </w:t>
            </w:r>
            <w:proofErr w:type="spellStart"/>
            <w:r w:rsidR="00F92811" w:rsidRPr="00E16672">
              <w:rPr>
                <w:rFonts w:ascii="Times New Roman" w:hAnsi="Times New Roman"/>
                <w:i/>
                <w:color w:val="000000"/>
                <w:sz w:val="16"/>
                <w:szCs w:val="16"/>
              </w:rPr>
              <w:t>calendar</w:t>
            </w:r>
            <w:proofErr w:type="spellEnd"/>
            <w:r w:rsidR="00F92811" w:rsidRPr="00E16672">
              <w:rPr>
                <w:rFonts w:ascii="Times New Roman" w:hAnsi="Times New Roman"/>
                <w:i/>
                <w:color w:val="000000"/>
                <w:sz w:val="16"/>
                <w:szCs w:val="16"/>
              </w:rPr>
              <w:t xml:space="preserve"> </w:t>
            </w:r>
            <w:proofErr w:type="spellStart"/>
            <w:r w:rsidR="00F92811" w:rsidRPr="00E16672">
              <w:rPr>
                <w:rFonts w:ascii="Times New Roman" w:hAnsi="Times New Roman"/>
                <w:i/>
                <w:color w:val="000000"/>
                <w:sz w:val="16"/>
                <w:szCs w:val="16"/>
              </w:rPr>
              <w:t>days</w:t>
            </w:r>
            <w:proofErr w:type="spellEnd"/>
            <w:r w:rsidR="00F92811" w:rsidRPr="00E16672">
              <w:rPr>
                <w:rFonts w:ascii="Times New Roman" w:hAnsi="Times New Roman"/>
                <w:color w:val="000000"/>
                <w:sz w:val="16"/>
                <w:szCs w:val="16"/>
              </w:rPr>
              <w:t xml:space="preserve"> </w:t>
            </w:r>
            <w:proofErr w:type="spellStart"/>
            <w:r w:rsidR="00F92811" w:rsidRPr="00E16672">
              <w:rPr>
                <w:rFonts w:ascii="Times New Roman" w:hAnsi="Times New Roman"/>
                <w:color w:val="000000"/>
                <w:sz w:val="16"/>
                <w:szCs w:val="16"/>
              </w:rPr>
              <w:t>from</w:t>
            </w:r>
            <w:proofErr w:type="spellEnd"/>
            <w:r w:rsidR="00F92811" w:rsidRPr="00E16672">
              <w:rPr>
                <w:rFonts w:ascii="Times New Roman" w:hAnsi="Times New Roman"/>
                <w:color w:val="000000"/>
                <w:sz w:val="16"/>
                <w:szCs w:val="16"/>
              </w:rPr>
              <w:t xml:space="preserve"> </w:t>
            </w:r>
            <w:proofErr w:type="spellStart"/>
            <w:r w:rsidR="00F92811" w:rsidRPr="00E16672">
              <w:rPr>
                <w:rFonts w:ascii="Times New Roman" w:hAnsi="Times New Roman"/>
                <w:color w:val="000000"/>
                <w:sz w:val="16"/>
                <w:szCs w:val="16"/>
              </w:rPr>
              <w:t>the</w:t>
            </w:r>
            <w:proofErr w:type="spellEnd"/>
            <w:r w:rsidR="00F92811" w:rsidRPr="00E16672">
              <w:rPr>
                <w:rFonts w:ascii="Times New Roman" w:hAnsi="Times New Roman"/>
                <w:color w:val="000000"/>
                <w:sz w:val="16"/>
                <w:szCs w:val="16"/>
              </w:rPr>
              <w:t xml:space="preserve"> </w:t>
            </w:r>
            <w:proofErr w:type="spellStart"/>
            <w:r w:rsidR="00F92811" w:rsidRPr="00E16672">
              <w:rPr>
                <w:rFonts w:ascii="Times New Roman" w:hAnsi="Times New Roman"/>
                <w:color w:val="000000"/>
                <w:sz w:val="16"/>
                <w:szCs w:val="16"/>
              </w:rPr>
              <w:t>date</w:t>
            </w:r>
            <w:proofErr w:type="spellEnd"/>
            <w:r w:rsidR="00F92811" w:rsidRPr="00E16672">
              <w:rPr>
                <w:rFonts w:ascii="Times New Roman" w:hAnsi="Times New Roman"/>
                <w:color w:val="000000"/>
                <w:sz w:val="16"/>
                <w:szCs w:val="16"/>
              </w:rPr>
              <w:t xml:space="preserve"> </w:t>
            </w:r>
            <w:proofErr w:type="spellStart"/>
            <w:r w:rsidR="00F92811" w:rsidRPr="00E16672">
              <w:rPr>
                <w:rFonts w:ascii="Times New Roman" w:hAnsi="Times New Roman"/>
                <w:color w:val="000000"/>
                <w:sz w:val="16"/>
                <w:szCs w:val="16"/>
              </w:rPr>
              <w:t>of</w:t>
            </w:r>
            <w:proofErr w:type="spellEnd"/>
            <w:r w:rsidR="00F92811" w:rsidRPr="00E16672">
              <w:rPr>
                <w:rFonts w:ascii="Times New Roman" w:hAnsi="Times New Roman"/>
                <w:color w:val="000000"/>
                <w:sz w:val="16"/>
                <w:szCs w:val="16"/>
              </w:rPr>
              <w:t xml:space="preserve"> </w:t>
            </w:r>
            <w:proofErr w:type="spellStart"/>
            <w:r w:rsidR="00F92811" w:rsidRPr="00E16672">
              <w:rPr>
                <w:rFonts w:ascii="Times New Roman" w:hAnsi="Times New Roman"/>
                <w:color w:val="000000"/>
                <w:sz w:val="16"/>
                <w:szCs w:val="16"/>
              </w:rPr>
              <w:t>beginning</w:t>
            </w:r>
            <w:proofErr w:type="spellEnd"/>
            <w:r w:rsidR="00F92811" w:rsidRPr="00E16672">
              <w:rPr>
                <w:rFonts w:ascii="Times New Roman" w:hAnsi="Times New Roman"/>
                <w:color w:val="000000"/>
                <w:sz w:val="16"/>
                <w:szCs w:val="16"/>
              </w:rPr>
              <w:t xml:space="preserve"> </w:t>
            </w:r>
            <w:proofErr w:type="spellStart"/>
            <w:r w:rsidR="00F92811" w:rsidRPr="00E16672">
              <w:rPr>
                <w:rFonts w:ascii="Times New Roman" w:hAnsi="Times New Roman"/>
                <w:color w:val="000000"/>
                <w:sz w:val="16"/>
                <w:szCs w:val="16"/>
              </w:rPr>
              <w:t>of</w:t>
            </w:r>
            <w:proofErr w:type="spellEnd"/>
            <w:r w:rsidR="00F92811" w:rsidRPr="00E16672">
              <w:rPr>
                <w:rFonts w:ascii="Times New Roman" w:hAnsi="Times New Roman"/>
                <w:color w:val="000000"/>
                <w:sz w:val="16"/>
                <w:szCs w:val="16"/>
              </w:rPr>
              <w:t xml:space="preserve"> </w:t>
            </w:r>
            <w:proofErr w:type="spellStart"/>
            <w:r w:rsidR="00F92811" w:rsidRPr="00E16672">
              <w:rPr>
                <w:rFonts w:ascii="Times New Roman" w:hAnsi="Times New Roman"/>
                <w:color w:val="000000"/>
                <w:sz w:val="16"/>
                <w:szCs w:val="16"/>
              </w:rPr>
              <w:t>the</w:t>
            </w:r>
            <w:proofErr w:type="spellEnd"/>
            <w:r w:rsidR="00F92811" w:rsidRPr="00E16672">
              <w:rPr>
                <w:rFonts w:ascii="Times New Roman" w:hAnsi="Times New Roman"/>
                <w:color w:val="000000"/>
                <w:sz w:val="16"/>
                <w:szCs w:val="16"/>
              </w:rPr>
              <w:t xml:space="preserve"> </w:t>
            </w:r>
            <w:proofErr w:type="spellStart"/>
            <w:r w:rsidR="00F92811" w:rsidRPr="00E16672">
              <w:rPr>
                <w:rFonts w:ascii="Times New Roman" w:hAnsi="Times New Roman"/>
                <w:color w:val="000000"/>
                <w:sz w:val="16"/>
                <w:szCs w:val="16"/>
              </w:rPr>
              <w:lastRenderedPageBreak/>
              <w:t>procedure</w:t>
            </w:r>
            <w:proofErr w:type="spellEnd"/>
            <w:r w:rsidR="00F92811" w:rsidRPr="00E16672">
              <w:rPr>
                <w:rFonts w:ascii="Times New Roman" w:hAnsi="Times New Roman"/>
                <w:color w:val="000000"/>
                <w:sz w:val="16"/>
                <w:szCs w:val="16"/>
              </w:rPr>
              <w:t>.</w:t>
            </w:r>
          </w:p>
          <w:p w14:paraId="6A0E76BA" w14:textId="77777777" w:rsidR="003A05A3" w:rsidRPr="00E16672" w:rsidRDefault="003A05A3" w:rsidP="00843027">
            <w:pPr>
              <w:tabs>
                <w:tab w:val="left" w:pos="851"/>
                <w:tab w:val="left" w:pos="7200"/>
              </w:tabs>
              <w:snapToGrid w:val="0"/>
              <w:ind w:left="142" w:right="138" w:firstLine="0"/>
              <w:rPr>
                <w:rFonts w:ascii="Times New Roman" w:hAnsi="Times New Roman"/>
                <w:color w:val="000000"/>
                <w:sz w:val="16"/>
                <w:szCs w:val="16"/>
                <w:lang w:val="en-US"/>
              </w:rPr>
            </w:pPr>
            <w:r w:rsidRPr="00F23413">
              <w:rPr>
                <w:rFonts w:ascii="Times New Roman" w:hAnsi="Times New Roman"/>
                <w:sz w:val="16"/>
                <w:szCs w:val="16"/>
                <w:lang w:val="en-US"/>
              </w:rPr>
              <w:t xml:space="preserve">The notice is given by placing on the official website of the Depository </w:t>
            </w:r>
            <w:r w:rsidR="00E16672">
              <w:rPr>
                <w:rFonts w:ascii="Times New Roman" w:hAnsi="Times New Roman"/>
                <w:bCs/>
                <w:color w:val="000000"/>
                <w:sz w:val="16"/>
                <w:szCs w:val="16"/>
                <w:lang w:val="uk-UA"/>
              </w:rPr>
              <w:t>http://comex.uafin.net</w:t>
            </w:r>
            <w:r w:rsidR="00676EEA" w:rsidRPr="00E16672">
              <w:rPr>
                <w:rFonts w:ascii="Times New Roman" w:hAnsi="Times New Roman"/>
                <w:bCs/>
                <w:color w:val="000000"/>
                <w:sz w:val="16"/>
                <w:szCs w:val="16"/>
                <w:lang w:val="uk-UA"/>
              </w:rPr>
              <w:t>/</w:t>
            </w:r>
            <w:r w:rsidRPr="00E16672">
              <w:rPr>
                <w:rFonts w:ascii="Times New Roman" w:hAnsi="Times New Roman"/>
                <w:bCs/>
                <w:color w:val="000000"/>
                <w:sz w:val="16"/>
                <w:szCs w:val="16"/>
                <w:lang w:val="uk-UA"/>
              </w:rPr>
              <w:t>.</w:t>
            </w:r>
          </w:p>
          <w:p w14:paraId="47EDA486" w14:textId="77777777" w:rsidR="003A05A3" w:rsidRPr="00E16672" w:rsidRDefault="003A05A3" w:rsidP="00843027">
            <w:pPr>
              <w:pStyle w:val="210"/>
              <w:ind w:left="145" w:right="100" w:firstLine="0"/>
              <w:rPr>
                <w:rFonts w:ascii="Times New Roman" w:hAnsi="Times New Roman"/>
                <w:color w:val="000000"/>
                <w:sz w:val="16"/>
                <w:szCs w:val="16"/>
                <w:lang w:val="en-GB"/>
              </w:rPr>
            </w:pPr>
            <w:r w:rsidRPr="00E16672">
              <w:rPr>
                <w:rFonts w:ascii="Times New Roman" w:hAnsi="Times New Roman"/>
                <w:color w:val="000000"/>
                <w:sz w:val="16"/>
                <w:szCs w:val="16"/>
                <w:lang w:val="en-GB"/>
              </w:rPr>
              <w:t xml:space="preserve"> </w:t>
            </w:r>
          </w:p>
        </w:tc>
      </w:tr>
      <w:tr w:rsidR="003A05A3" w:rsidRPr="00F23413" w14:paraId="4DE14063" w14:textId="77777777" w:rsidTr="00242F58">
        <w:trPr>
          <w:trHeight w:val="192"/>
        </w:trPr>
        <w:tc>
          <w:tcPr>
            <w:tcW w:w="5696" w:type="dxa"/>
            <w:gridSpan w:val="8"/>
            <w:shd w:val="clear" w:color="auto" w:fill="auto"/>
          </w:tcPr>
          <w:p w14:paraId="20B61E42" w14:textId="77777777" w:rsidR="003A05A3" w:rsidRPr="00E16672" w:rsidRDefault="003A05A3" w:rsidP="00843027">
            <w:pPr>
              <w:pStyle w:val="1b"/>
              <w:snapToGrid w:val="0"/>
              <w:spacing w:before="0" w:after="0"/>
              <w:ind w:left="142" w:right="138" w:firstLine="0"/>
              <w:rPr>
                <w:rFonts w:ascii="Times New Roman" w:hAnsi="Times New Roman" w:cs="Times New Roman"/>
                <w:color w:val="000000"/>
                <w:sz w:val="16"/>
                <w:szCs w:val="16"/>
              </w:rPr>
            </w:pPr>
          </w:p>
          <w:p w14:paraId="05B391EA" w14:textId="77777777" w:rsidR="003A05A3" w:rsidRPr="00E16672" w:rsidRDefault="003A05A3" w:rsidP="00843027">
            <w:pPr>
              <w:pStyle w:val="1b"/>
              <w:snapToGrid w:val="0"/>
              <w:spacing w:before="0" w:after="0"/>
              <w:ind w:left="142" w:right="138" w:firstLine="0"/>
              <w:rPr>
                <w:rFonts w:ascii="Times New Roman" w:hAnsi="Times New Roman" w:cs="Times New Roman"/>
                <w:color w:val="000000"/>
                <w:sz w:val="16"/>
                <w:szCs w:val="16"/>
              </w:rPr>
            </w:pPr>
            <w:r w:rsidRPr="00E16672">
              <w:rPr>
                <w:rFonts w:ascii="Times New Roman" w:hAnsi="Times New Roman" w:cs="Times New Roman"/>
                <w:color w:val="000000"/>
                <w:sz w:val="16"/>
                <w:szCs w:val="16"/>
              </w:rPr>
              <w:t>2.1.1</w:t>
            </w:r>
            <w:r w:rsidRPr="00E16672">
              <w:rPr>
                <w:rFonts w:ascii="Times New Roman" w:hAnsi="Times New Roman" w:cs="Times New Roman"/>
                <w:color w:val="000000"/>
                <w:sz w:val="16"/>
                <w:szCs w:val="16"/>
                <w:lang w:val="ru-RU"/>
              </w:rPr>
              <w:t>6</w:t>
            </w:r>
            <w:r w:rsidRPr="00E16672">
              <w:rPr>
                <w:rFonts w:ascii="Times New Roman" w:hAnsi="Times New Roman" w:cs="Times New Roman"/>
                <w:color w:val="000000"/>
                <w:sz w:val="16"/>
                <w:szCs w:val="16"/>
              </w:rPr>
              <w:t xml:space="preserve">. Закрити рахунок </w:t>
            </w:r>
            <w:r w:rsidR="00C22309" w:rsidRPr="00E16672">
              <w:rPr>
                <w:rFonts w:ascii="Times New Roman" w:hAnsi="Times New Roman" w:cs="Times New Roman"/>
                <w:color w:val="000000"/>
                <w:sz w:val="16"/>
                <w:szCs w:val="16"/>
              </w:rPr>
              <w:t>в цін</w:t>
            </w:r>
            <w:r w:rsidRPr="00E16672">
              <w:rPr>
                <w:rFonts w:ascii="Times New Roman" w:hAnsi="Times New Roman" w:cs="Times New Roman"/>
                <w:color w:val="000000"/>
                <w:sz w:val="16"/>
                <w:szCs w:val="16"/>
              </w:rPr>
              <w:t>них паперах Депонента у порядку, передбаченому</w:t>
            </w:r>
            <w:r w:rsidRPr="00E16672">
              <w:rPr>
                <w:rFonts w:ascii="Times New Roman" w:hAnsi="Times New Roman" w:cs="Times New Roman"/>
                <w:color w:val="000000"/>
              </w:rPr>
              <w:t xml:space="preserve"> </w:t>
            </w:r>
            <w:r w:rsidRPr="00E16672">
              <w:rPr>
                <w:rFonts w:ascii="Times New Roman" w:hAnsi="Times New Roman" w:cs="Times New Roman"/>
                <w:color w:val="000000"/>
                <w:sz w:val="16"/>
                <w:szCs w:val="16"/>
              </w:rPr>
              <w:t>цим Договором та законодавством, внутрішніми документами Депозитарної установи.</w:t>
            </w:r>
          </w:p>
          <w:p w14:paraId="54F17082" w14:textId="77777777" w:rsidR="003A05A3" w:rsidRPr="00E16672" w:rsidRDefault="003A05A3" w:rsidP="00843027">
            <w:pPr>
              <w:pStyle w:val="WW-"/>
              <w:ind w:right="138"/>
              <w:rPr>
                <w:color w:val="000000"/>
                <w:sz w:val="10"/>
                <w:szCs w:val="10"/>
              </w:rPr>
            </w:pPr>
          </w:p>
        </w:tc>
        <w:tc>
          <w:tcPr>
            <w:tcW w:w="5494" w:type="dxa"/>
            <w:gridSpan w:val="6"/>
            <w:shd w:val="clear" w:color="auto" w:fill="auto"/>
          </w:tcPr>
          <w:p w14:paraId="4D761566" w14:textId="77777777" w:rsidR="003A05A3" w:rsidRPr="00E16672" w:rsidRDefault="003A05A3" w:rsidP="00843027">
            <w:pPr>
              <w:pStyle w:val="210"/>
              <w:snapToGrid w:val="0"/>
              <w:ind w:left="145" w:right="100" w:firstLine="0"/>
              <w:rPr>
                <w:rFonts w:ascii="Times New Roman" w:hAnsi="Times New Roman"/>
                <w:color w:val="000000"/>
                <w:sz w:val="16"/>
                <w:szCs w:val="16"/>
              </w:rPr>
            </w:pPr>
            <w:r w:rsidRPr="00E16672">
              <w:rPr>
                <w:rFonts w:ascii="Times New Roman" w:hAnsi="Times New Roman"/>
                <w:color w:val="000000"/>
                <w:sz w:val="16"/>
                <w:szCs w:val="16"/>
              </w:rPr>
              <w:t xml:space="preserve">2.1.16. </w:t>
            </w:r>
            <w:proofErr w:type="spellStart"/>
            <w:r w:rsidRPr="00E16672">
              <w:rPr>
                <w:rFonts w:ascii="Times New Roman" w:hAnsi="Times New Roman"/>
                <w:color w:val="000000"/>
                <w:sz w:val="16"/>
                <w:szCs w:val="16"/>
              </w:rPr>
              <w:t>To</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close</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an</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account</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in</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securities</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of</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Depositor</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in</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the</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manner</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provided</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by</w:t>
            </w:r>
            <w:proofErr w:type="spellEnd"/>
            <w:r w:rsidRPr="00E16672">
              <w:rPr>
                <w:rFonts w:ascii="Times New Roman" w:hAnsi="Times New Roman"/>
                <w:color w:val="000000"/>
                <w:sz w:val="16"/>
                <w:szCs w:val="16"/>
              </w:rPr>
              <w:t xml:space="preserve"> </w:t>
            </w:r>
            <w:r w:rsidRPr="00E16672">
              <w:rPr>
                <w:rFonts w:ascii="Times New Roman" w:hAnsi="Times New Roman"/>
                <w:color w:val="000000"/>
                <w:sz w:val="16"/>
                <w:szCs w:val="16"/>
                <w:lang w:val="en-US"/>
              </w:rPr>
              <w:t xml:space="preserve"> this Agreement and </w:t>
            </w:r>
            <w:proofErr w:type="spellStart"/>
            <w:r w:rsidRPr="00E16672">
              <w:rPr>
                <w:rFonts w:ascii="Times New Roman" w:hAnsi="Times New Roman"/>
                <w:color w:val="000000"/>
                <w:sz w:val="16"/>
                <w:szCs w:val="16"/>
              </w:rPr>
              <w:t>legislation</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internal</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documents</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of</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Depository</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institution</w:t>
            </w:r>
            <w:proofErr w:type="spellEnd"/>
            <w:r w:rsidRPr="00E16672">
              <w:rPr>
                <w:rFonts w:ascii="Times New Roman" w:hAnsi="Times New Roman"/>
                <w:color w:val="000000"/>
                <w:sz w:val="16"/>
                <w:szCs w:val="16"/>
              </w:rPr>
              <w:t>.</w:t>
            </w:r>
          </w:p>
          <w:p w14:paraId="461FD2A8" w14:textId="77777777" w:rsidR="003A05A3" w:rsidRPr="00E16672" w:rsidRDefault="003A05A3" w:rsidP="00843027">
            <w:pPr>
              <w:ind w:left="145" w:right="100"/>
              <w:jc w:val="center"/>
              <w:rPr>
                <w:rFonts w:ascii="Times New Roman" w:hAnsi="Times New Roman"/>
                <w:b/>
                <w:bCs/>
                <w:color w:val="000000"/>
                <w:sz w:val="16"/>
                <w:szCs w:val="16"/>
                <w:lang w:val="en-GB"/>
              </w:rPr>
            </w:pPr>
          </w:p>
        </w:tc>
      </w:tr>
      <w:tr w:rsidR="003A05A3" w:rsidRPr="00F23413" w14:paraId="1DF7F894" w14:textId="77777777" w:rsidTr="00242F58">
        <w:trPr>
          <w:trHeight w:val="192"/>
        </w:trPr>
        <w:tc>
          <w:tcPr>
            <w:tcW w:w="5696" w:type="dxa"/>
            <w:gridSpan w:val="8"/>
            <w:shd w:val="clear" w:color="auto" w:fill="auto"/>
          </w:tcPr>
          <w:p w14:paraId="556FE922" w14:textId="77777777" w:rsidR="003A05A3" w:rsidRPr="00E16672" w:rsidRDefault="003A05A3" w:rsidP="00022F5F">
            <w:pPr>
              <w:tabs>
                <w:tab w:val="left" w:pos="851"/>
                <w:tab w:val="left" w:pos="7200"/>
              </w:tabs>
              <w:snapToGrid w:val="0"/>
              <w:ind w:left="142" w:right="138" w:firstLine="0"/>
              <w:jc w:val="left"/>
              <w:rPr>
                <w:rFonts w:ascii="Times New Roman" w:eastAsia="Lucida Sans Unicode" w:hAnsi="Times New Roman"/>
                <w:kern w:val="1"/>
                <w:sz w:val="16"/>
                <w:szCs w:val="16"/>
                <w:lang w:val="uk-UA" w:eastAsia="hi-IN" w:bidi="hi-IN"/>
              </w:rPr>
            </w:pPr>
            <w:r w:rsidRPr="00E16672">
              <w:rPr>
                <w:rFonts w:ascii="Times New Roman" w:eastAsia="Lucida Sans Unicode" w:hAnsi="Times New Roman"/>
                <w:sz w:val="16"/>
                <w:szCs w:val="16"/>
                <w:lang w:val="uk-UA"/>
              </w:rPr>
              <w:t xml:space="preserve">2.1.17. </w:t>
            </w:r>
            <w:r w:rsidRPr="00E16672">
              <w:rPr>
                <w:rFonts w:ascii="Times New Roman" w:eastAsia="Lucida Sans Unicode" w:hAnsi="Times New Roman"/>
                <w:kern w:val="1"/>
                <w:sz w:val="16"/>
                <w:szCs w:val="16"/>
                <w:lang w:val="uk-UA" w:eastAsia="hi-IN" w:bidi="hi-IN"/>
              </w:rPr>
              <w:t>Направляти у встановленому законодавством порядку депоненту, який є власником акцій акціонерного товариства на визначену відповідно до закону дату, повідомлення у разі направлення відповідним акціонерним товариством повідомлення акціонерам через депозитарну систему України відповідно до </w:t>
            </w:r>
            <w:hyperlink r:id="rId21" w:anchor="n3" w:tgtFrame="_blank" w:history="1">
              <w:r w:rsidRPr="00E16672">
                <w:rPr>
                  <w:rFonts w:ascii="Times New Roman" w:eastAsia="Lucida Sans Unicode" w:hAnsi="Times New Roman"/>
                  <w:kern w:val="1"/>
                  <w:sz w:val="16"/>
                  <w:szCs w:val="16"/>
                  <w:lang w:val="uk-UA" w:eastAsia="hi-IN" w:bidi="hi-IN"/>
                </w:rPr>
                <w:t>Закону України</w:t>
              </w:r>
            </w:hyperlink>
            <w:r w:rsidRPr="00E16672">
              <w:rPr>
                <w:rFonts w:ascii="Times New Roman" w:eastAsia="Lucida Sans Unicode" w:hAnsi="Times New Roman"/>
                <w:kern w:val="1"/>
                <w:sz w:val="16"/>
                <w:szCs w:val="16"/>
                <w:lang w:val="uk-UA" w:eastAsia="hi-IN" w:bidi="hi-IN"/>
              </w:rPr>
              <w:t> </w:t>
            </w:r>
            <w:r w:rsidR="00022F5F">
              <w:rPr>
                <w:rFonts w:ascii="Times New Roman" w:eastAsia="Lucida Sans Unicode" w:hAnsi="Times New Roman"/>
                <w:kern w:val="1"/>
                <w:sz w:val="16"/>
                <w:szCs w:val="16"/>
                <w:lang w:val="uk-UA" w:eastAsia="hi-IN" w:bidi="hi-IN"/>
              </w:rPr>
              <w:t>"</w:t>
            </w:r>
            <w:r w:rsidRPr="00E16672">
              <w:rPr>
                <w:rFonts w:ascii="Times New Roman" w:eastAsia="Lucida Sans Unicode" w:hAnsi="Times New Roman"/>
                <w:kern w:val="1"/>
                <w:sz w:val="16"/>
                <w:szCs w:val="16"/>
                <w:lang w:val="uk-UA" w:eastAsia="hi-IN" w:bidi="hi-IN"/>
              </w:rPr>
              <w:t>Про акціонерні товариства</w:t>
            </w:r>
            <w:r w:rsidR="00022F5F">
              <w:rPr>
                <w:rFonts w:ascii="Times New Roman" w:eastAsia="Lucida Sans Unicode" w:hAnsi="Times New Roman"/>
                <w:kern w:val="1"/>
                <w:sz w:val="16"/>
                <w:szCs w:val="16"/>
                <w:lang w:val="uk-UA" w:eastAsia="hi-IN" w:bidi="hi-IN"/>
              </w:rPr>
              <w:t>"</w:t>
            </w:r>
            <w:r w:rsidRPr="00E16672">
              <w:rPr>
                <w:rFonts w:ascii="Times New Roman" w:eastAsia="Lucida Sans Unicode" w:hAnsi="Times New Roman"/>
                <w:kern w:val="1"/>
                <w:sz w:val="16"/>
                <w:szCs w:val="16"/>
                <w:lang w:val="uk-UA" w:eastAsia="hi-IN" w:bidi="hi-IN"/>
              </w:rPr>
              <w:t>.</w:t>
            </w:r>
          </w:p>
          <w:p w14:paraId="414FAF05" w14:textId="77777777" w:rsidR="003A05A3" w:rsidRPr="00E16672" w:rsidRDefault="003A05A3" w:rsidP="00843027">
            <w:pPr>
              <w:tabs>
                <w:tab w:val="left" w:pos="851"/>
                <w:tab w:val="left" w:pos="7200"/>
              </w:tabs>
              <w:snapToGrid w:val="0"/>
              <w:ind w:left="142" w:right="138"/>
              <w:rPr>
                <w:rFonts w:ascii="Times New Roman" w:eastAsia="Lucida Sans Unicode" w:hAnsi="Times New Roman"/>
                <w:sz w:val="16"/>
                <w:szCs w:val="16"/>
                <w:lang w:val="uk-UA"/>
              </w:rPr>
            </w:pPr>
          </w:p>
        </w:tc>
        <w:tc>
          <w:tcPr>
            <w:tcW w:w="5494" w:type="dxa"/>
            <w:gridSpan w:val="6"/>
            <w:shd w:val="clear" w:color="auto" w:fill="auto"/>
          </w:tcPr>
          <w:p w14:paraId="28FA1B59" w14:textId="77777777" w:rsidR="003A05A3" w:rsidRPr="00E16672" w:rsidRDefault="003A05A3" w:rsidP="00843027">
            <w:pPr>
              <w:tabs>
                <w:tab w:val="left" w:pos="851"/>
                <w:tab w:val="left" w:pos="7200"/>
              </w:tabs>
              <w:snapToGrid w:val="0"/>
              <w:ind w:left="145" w:right="100" w:firstLine="0"/>
              <w:rPr>
                <w:rFonts w:ascii="Times New Roman" w:eastAsia="Lucida Sans Unicode" w:hAnsi="Times New Roman"/>
                <w:sz w:val="16"/>
                <w:szCs w:val="16"/>
                <w:lang w:val="uk-UA"/>
              </w:rPr>
            </w:pPr>
            <w:r w:rsidRPr="00E16672">
              <w:rPr>
                <w:rFonts w:ascii="Times New Roman" w:eastAsia="Lucida Sans Unicode" w:hAnsi="Times New Roman"/>
                <w:sz w:val="16"/>
                <w:szCs w:val="16"/>
                <w:lang w:val="uk-UA"/>
              </w:rPr>
              <w:t xml:space="preserve">2.1.17. </w:t>
            </w:r>
            <w:r w:rsidRPr="00E16672">
              <w:rPr>
                <w:rFonts w:ascii="Times New Roman" w:eastAsia="Lucida Sans Unicode" w:hAnsi="Times New Roman"/>
                <w:sz w:val="16"/>
                <w:szCs w:val="16"/>
                <w:lang w:val="en-GB"/>
              </w:rPr>
              <w:t>To send in the order established by law to the depositor who owns the shares of the joint-stock company for a date determined in accordance with the law, notification in case of sending to shareholders by the relevant joint-stock company through the depository system of Ukraine in accordance with the Law of Ukraine "On Joint Stock Companies".</w:t>
            </w:r>
          </w:p>
        </w:tc>
      </w:tr>
      <w:tr w:rsidR="003A05A3" w:rsidRPr="00F23413" w14:paraId="6B18A5F3" w14:textId="77777777" w:rsidTr="00242F58">
        <w:trPr>
          <w:trHeight w:val="192"/>
        </w:trPr>
        <w:tc>
          <w:tcPr>
            <w:tcW w:w="5696" w:type="dxa"/>
            <w:gridSpan w:val="8"/>
            <w:shd w:val="clear" w:color="auto" w:fill="auto"/>
          </w:tcPr>
          <w:p w14:paraId="4D081809" w14:textId="77777777" w:rsidR="003A05A3" w:rsidRPr="00E16672" w:rsidRDefault="003A05A3" w:rsidP="00843027">
            <w:pPr>
              <w:tabs>
                <w:tab w:val="left" w:pos="851"/>
                <w:tab w:val="left" w:pos="7200"/>
              </w:tabs>
              <w:snapToGrid w:val="0"/>
              <w:ind w:left="142" w:right="138" w:firstLine="40"/>
              <w:rPr>
                <w:rFonts w:ascii="Times New Roman" w:eastAsia="Lucida Sans Unicode" w:hAnsi="Times New Roman"/>
                <w:strike/>
                <w:color w:val="000000"/>
                <w:kern w:val="1"/>
                <w:sz w:val="16"/>
                <w:szCs w:val="16"/>
                <w:lang w:val="uk-UA" w:eastAsia="hi-IN" w:bidi="hi-IN"/>
              </w:rPr>
            </w:pPr>
            <w:r w:rsidRPr="00E16672">
              <w:rPr>
                <w:rFonts w:ascii="Times New Roman" w:eastAsia="Lucida Sans Unicode" w:hAnsi="Times New Roman"/>
                <w:color w:val="000000"/>
                <w:sz w:val="16"/>
                <w:szCs w:val="16"/>
              </w:rPr>
              <w:t>2.1.1</w:t>
            </w:r>
            <w:r w:rsidRPr="00E16672">
              <w:rPr>
                <w:rFonts w:ascii="Times New Roman" w:eastAsia="Lucida Sans Unicode" w:hAnsi="Times New Roman"/>
                <w:color w:val="000000"/>
                <w:sz w:val="16"/>
                <w:szCs w:val="16"/>
                <w:lang w:val="uk-UA"/>
              </w:rPr>
              <w:t>8</w:t>
            </w:r>
            <w:r w:rsidRPr="00E16672">
              <w:rPr>
                <w:rFonts w:ascii="Times New Roman" w:eastAsia="Lucida Sans Unicode" w:hAnsi="Times New Roman"/>
                <w:color w:val="000000"/>
                <w:sz w:val="16"/>
                <w:szCs w:val="16"/>
              </w:rPr>
              <w:t xml:space="preserve">. </w:t>
            </w:r>
            <w:proofErr w:type="spellStart"/>
            <w:r w:rsidRPr="00E16672">
              <w:rPr>
                <w:rFonts w:ascii="Times New Roman" w:eastAsia="Lucida Sans Unicode" w:hAnsi="Times New Roman"/>
                <w:color w:val="000000"/>
                <w:sz w:val="16"/>
                <w:szCs w:val="16"/>
              </w:rPr>
              <w:t>Ідентифікувати</w:t>
            </w:r>
            <w:proofErr w:type="spellEnd"/>
            <w:r w:rsidRPr="00E16672">
              <w:rPr>
                <w:rFonts w:ascii="Times New Roman" w:eastAsia="Lucida Sans Unicode" w:hAnsi="Times New Roman"/>
                <w:color w:val="000000"/>
                <w:sz w:val="16"/>
                <w:szCs w:val="16"/>
              </w:rPr>
              <w:t xml:space="preserve"> </w:t>
            </w:r>
            <w:r w:rsidRPr="00E16672">
              <w:rPr>
                <w:rFonts w:ascii="Times New Roman" w:hAnsi="Times New Roman"/>
                <w:color w:val="000000"/>
                <w:sz w:val="16"/>
                <w:szCs w:val="16"/>
              </w:rPr>
              <w:t xml:space="preserve">та </w:t>
            </w:r>
            <w:proofErr w:type="spellStart"/>
            <w:r w:rsidRPr="00E16672">
              <w:rPr>
                <w:rFonts w:ascii="Times New Roman" w:hAnsi="Times New Roman"/>
                <w:color w:val="000000"/>
                <w:sz w:val="16"/>
                <w:szCs w:val="16"/>
              </w:rPr>
              <w:t>верифікувати</w:t>
            </w:r>
            <w:proofErr w:type="spellEnd"/>
            <w:r w:rsidRPr="00E16672">
              <w:rPr>
                <w:rFonts w:ascii="Times New Roman" w:hAnsi="Times New Roman"/>
                <w:color w:val="000000"/>
                <w:sz w:val="16"/>
                <w:szCs w:val="16"/>
              </w:rPr>
              <w:t xml:space="preserve"> </w:t>
            </w:r>
            <w:proofErr w:type="spellStart"/>
            <w:r w:rsidRPr="00E16672">
              <w:rPr>
                <w:rFonts w:ascii="Times New Roman" w:eastAsia="Lucida Sans Unicode" w:hAnsi="Times New Roman"/>
                <w:color w:val="000000"/>
                <w:sz w:val="16"/>
                <w:szCs w:val="16"/>
              </w:rPr>
              <w:t>осіб</w:t>
            </w:r>
            <w:proofErr w:type="spellEnd"/>
            <w:r w:rsidRPr="00E16672">
              <w:rPr>
                <w:rFonts w:ascii="Times New Roman" w:eastAsia="Lucida Sans Unicode" w:hAnsi="Times New Roman"/>
                <w:color w:val="000000"/>
                <w:sz w:val="16"/>
                <w:szCs w:val="16"/>
              </w:rPr>
              <w:t xml:space="preserve">, </w:t>
            </w:r>
            <w:proofErr w:type="spellStart"/>
            <w:r w:rsidRPr="00E16672">
              <w:rPr>
                <w:rFonts w:ascii="Times New Roman" w:eastAsia="Lucida Sans Unicode" w:hAnsi="Times New Roman"/>
                <w:color w:val="000000"/>
                <w:sz w:val="16"/>
                <w:szCs w:val="16"/>
              </w:rPr>
              <w:t>яким</w:t>
            </w:r>
            <w:proofErr w:type="spellEnd"/>
            <w:r w:rsidRPr="00E16672">
              <w:rPr>
                <w:rFonts w:ascii="Times New Roman" w:eastAsia="Lucida Sans Unicode" w:hAnsi="Times New Roman"/>
                <w:color w:val="000000"/>
                <w:sz w:val="16"/>
                <w:szCs w:val="16"/>
              </w:rPr>
              <w:t xml:space="preserve"> на </w:t>
            </w:r>
            <w:proofErr w:type="spellStart"/>
            <w:r w:rsidRPr="00E16672">
              <w:rPr>
                <w:rFonts w:ascii="Times New Roman" w:eastAsia="Lucida Sans Unicode" w:hAnsi="Times New Roman"/>
                <w:color w:val="000000"/>
                <w:sz w:val="16"/>
                <w:szCs w:val="16"/>
              </w:rPr>
              <w:t>підставі</w:t>
            </w:r>
            <w:proofErr w:type="spellEnd"/>
            <w:r w:rsidRPr="00E16672">
              <w:rPr>
                <w:rFonts w:ascii="Times New Roman" w:eastAsia="Lucida Sans Unicode" w:hAnsi="Times New Roman"/>
                <w:color w:val="000000"/>
                <w:sz w:val="16"/>
                <w:szCs w:val="16"/>
              </w:rPr>
              <w:t xml:space="preserve"> Договору </w:t>
            </w:r>
            <w:proofErr w:type="spellStart"/>
            <w:r w:rsidRPr="00E16672">
              <w:rPr>
                <w:rFonts w:ascii="Times New Roman" w:eastAsia="Lucida Sans Unicode" w:hAnsi="Times New Roman"/>
                <w:color w:val="000000"/>
                <w:sz w:val="16"/>
                <w:szCs w:val="16"/>
              </w:rPr>
              <w:t>відкривається</w:t>
            </w:r>
            <w:proofErr w:type="spellEnd"/>
            <w:r w:rsidRPr="00E16672">
              <w:rPr>
                <w:rFonts w:ascii="Times New Roman" w:eastAsia="Lucida Sans Unicode" w:hAnsi="Times New Roman"/>
                <w:color w:val="000000"/>
                <w:sz w:val="16"/>
                <w:szCs w:val="16"/>
              </w:rPr>
              <w:t xml:space="preserve"> </w:t>
            </w:r>
            <w:proofErr w:type="spellStart"/>
            <w:r w:rsidRPr="00E16672">
              <w:rPr>
                <w:rFonts w:ascii="Times New Roman" w:eastAsia="Lucida Sans Unicode" w:hAnsi="Times New Roman"/>
                <w:color w:val="000000"/>
                <w:sz w:val="16"/>
                <w:szCs w:val="16"/>
              </w:rPr>
              <w:t>рахунок</w:t>
            </w:r>
            <w:proofErr w:type="spellEnd"/>
            <w:r w:rsidRPr="00E16672">
              <w:rPr>
                <w:rFonts w:ascii="Times New Roman" w:eastAsia="Lucida Sans Unicode" w:hAnsi="Times New Roman"/>
                <w:color w:val="000000"/>
                <w:sz w:val="16"/>
                <w:szCs w:val="16"/>
              </w:rPr>
              <w:t xml:space="preserve"> в </w:t>
            </w:r>
            <w:proofErr w:type="spellStart"/>
            <w:r w:rsidRPr="00E16672">
              <w:rPr>
                <w:rFonts w:ascii="Times New Roman" w:eastAsia="Lucida Sans Unicode" w:hAnsi="Times New Roman"/>
                <w:color w:val="000000"/>
                <w:sz w:val="16"/>
                <w:szCs w:val="16"/>
              </w:rPr>
              <w:t>цінних</w:t>
            </w:r>
            <w:proofErr w:type="spellEnd"/>
            <w:r w:rsidRPr="00E16672">
              <w:rPr>
                <w:rFonts w:ascii="Times New Roman" w:eastAsia="Lucida Sans Unicode" w:hAnsi="Times New Roman"/>
                <w:color w:val="000000"/>
                <w:sz w:val="16"/>
                <w:szCs w:val="16"/>
              </w:rPr>
              <w:t xml:space="preserve"> </w:t>
            </w:r>
            <w:proofErr w:type="spellStart"/>
            <w:r w:rsidRPr="00E16672">
              <w:rPr>
                <w:rFonts w:ascii="Times New Roman" w:eastAsia="Lucida Sans Unicode" w:hAnsi="Times New Roman"/>
                <w:color w:val="000000"/>
                <w:sz w:val="16"/>
                <w:szCs w:val="16"/>
              </w:rPr>
              <w:t>паперах</w:t>
            </w:r>
            <w:proofErr w:type="spellEnd"/>
            <w:r w:rsidRPr="00E16672">
              <w:rPr>
                <w:rFonts w:ascii="Times New Roman" w:eastAsia="Lucida Sans Unicode" w:hAnsi="Times New Roman"/>
                <w:color w:val="000000"/>
                <w:sz w:val="16"/>
                <w:szCs w:val="16"/>
              </w:rPr>
              <w:t xml:space="preserve">, а </w:t>
            </w:r>
            <w:proofErr w:type="spellStart"/>
            <w:r w:rsidRPr="00E16672">
              <w:rPr>
                <w:rFonts w:ascii="Times New Roman" w:eastAsia="Lucida Sans Unicode" w:hAnsi="Times New Roman"/>
                <w:color w:val="000000"/>
                <w:sz w:val="16"/>
                <w:szCs w:val="16"/>
              </w:rPr>
              <w:t>також</w:t>
            </w:r>
            <w:proofErr w:type="spellEnd"/>
            <w:r w:rsidRPr="00E16672">
              <w:rPr>
                <w:rFonts w:ascii="Times New Roman" w:eastAsia="Lucida Sans Unicode" w:hAnsi="Times New Roman"/>
                <w:color w:val="000000"/>
                <w:sz w:val="16"/>
                <w:szCs w:val="16"/>
              </w:rPr>
              <w:t xml:space="preserve"> </w:t>
            </w:r>
            <w:proofErr w:type="spellStart"/>
            <w:r w:rsidRPr="00E16672">
              <w:rPr>
                <w:rFonts w:ascii="Times New Roman" w:eastAsia="Lucida Sans Unicode" w:hAnsi="Times New Roman"/>
                <w:color w:val="000000"/>
                <w:sz w:val="16"/>
                <w:szCs w:val="16"/>
              </w:rPr>
              <w:t>осіб</w:t>
            </w:r>
            <w:proofErr w:type="spellEnd"/>
            <w:r w:rsidRPr="00E16672">
              <w:rPr>
                <w:rFonts w:ascii="Times New Roman" w:eastAsia="Lucida Sans Unicode" w:hAnsi="Times New Roman"/>
                <w:color w:val="000000"/>
                <w:sz w:val="16"/>
                <w:szCs w:val="16"/>
              </w:rPr>
              <w:t xml:space="preserve">, </w:t>
            </w:r>
            <w:proofErr w:type="spellStart"/>
            <w:r w:rsidRPr="00E16672">
              <w:rPr>
                <w:rFonts w:ascii="Times New Roman" w:eastAsia="Lucida Sans Unicode" w:hAnsi="Times New Roman"/>
                <w:color w:val="000000"/>
                <w:sz w:val="16"/>
                <w:szCs w:val="16"/>
              </w:rPr>
              <w:t>що</w:t>
            </w:r>
            <w:proofErr w:type="spellEnd"/>
            <w:r w:rsidRPr="00E16672">
              <w:rPr>
                <w:rFonts w:ascii="Times New Roman" w:eastAsia="Lucida Sans Unicode" w:hAnsi="Times New Roman"/>
                <w:color w:val="000000"/>
                <w:sz w:val="16"/>
                <w:szCs w:val="16"/>
              </w:rPr>
              <w:t xml:space="preserve"> </w:t>
            </w:r>
            <w:proofErr w:type="spellStart"/>
            <w:r w:rsidRPr="00E16672">
              <w:rPr>
                <w:rFonts w:ascii="Times New Roman" w:eastAsia="Lucida Sans Unicode" w:hAnsi="Times New Roman"/>
                <w:color w:val="000000"/>
                <w:sz w:val="16"/>
                <w:szCs w:val="16"/>
              </w:rPr>
              <w:t>мають</w:t>
            </w:r>
            <w:proofErr w:type="spellEnd"/>
            <w:r w:rsidRPr="00E16672">
              <w:rPr>
                <w:rFonts w:ascii="Times New Roman" w:eastAsia="Lucida Sans Unicode" w:hAnsi="Times New Roman"/>
                <w:color w:val="000000"/>
                <w:sz w:val="16"/>
                <w:szCs w:val="16"/>
              </w:rPr>
              <w:t xml:space="preserve"> </w:t>
            </w:r>
            <w:proofErr w:type="spellStart"/>
            <w:r w:rsidRPr="00E16672">
              <w:rPr>
                <w:rFonts w:ascii="Times New Roman" w:eastAsia="Lucida Sans Unicode" w:hAnsi="Times New Roman"/>
                <w:color w:val="000000"/>
                <w:sz w:val="16"/>
                <w:szCs w:val="16"/>
              </w:rPr>
              <w:t>повноваження</w:t>
            </w:r>
            <w:proofErr w:type="spellEnd"/>
            <w:r w:rsidRPr="00E16672">
              <w:rPr>
                <w:rFonts w:ascii="Times New Roman" w:eastAsia="Lucida Sans Unicode" w:hAnsi="Times New Roman"/>
                <w:color w:val="000000"/>
                <w:sz w:val="16"/>
                <w:szCs w:val="16"/>
              </w:rPr>
              <w:t xml:space="preserve"> </w:t>
            </w:r>
            <w:proofErr w:type="spellStart"/>
            <w:r w:rsidRPr="00E16672">
              <w:rPr>
                <w:rFonts w:ascii="Times New Roman" w:eastAsia="Lucida Sans Unicode" w:hAnsi="Times New Roman"/>
                <w:color w:val="000000"/>
                <w:sz w:val="16"/>
                <w:szCs w:val="16"/>
              </w:rPr>
              <w:t>діяти</w:t>
            </w:r>
            <w:proofErr w:type="spellEnd"/>
            <w:r w:rsidRPr="00E16672">
              <w:rPr>
                <w:rFonts w:ascii="Times New Roman" w:eastAsia="Lucida Sans Unicode" w:hAnsi="Times New Roman"/>
                <w:color w:val="000000"/>
                <w:sz w:val="16"/>
                <w:szCs w:val="16"/>
              </w:rPr>
              <w:t xml:space="preserve"> </w:t>
            </w:r>
            <w:proofErr w:type="spellStart"/>
            <w:r w:rsidRPr="00E16672">
              <w:rPr>
                <w:rFonts w:ascii="Times New Roman" w:eastAsia="Lucida Sans Unicode" w:hAnsi="Times New Roman"/>
                <w:color w:val="000000"/>
                <w:sz w:val="16"/>
                <w:szCs w:val="16"/>
              </w:rPr>
              <w:t>від</w:t>
            </w:r>
            <w:proofErr w:type="spellEnd"/>
            <w:r w:rsidRPr="00E16672">
              <w:rPr>
                <w:rFonts w:ascii="Times New Roman" w:eastAsia="Lucida Sans Unicode" w:hAnsi="Times New Roman"/>
                <w:color w:val="000000"/>
                <w:sz w:val="16"/>
                <w:szCs w:val="16"/>
              </w:rPr>
              <w:t xml:space="preserve"> </w:t>
            </w:r>
            <w:proofErr w:type="spellStart"/>
            <w:r w:rsidRPr="00E16672">
              <w:rPr>
                <w:rFonts w:ascii="Times New Roman" w:eastAsia="Lucida Sans Unicode" w:hAnsi="Times New Roman"/>
                <w:color w:val="000000"/>
                <w:sz w:val="16"/>
                <w:szCs w:val="16"/>
              </w:rPr>
              <w:t>їх</w:t>
            </w:r>
            <w:proofErr w:type="spellEnd"/>
            <w:r w:rsidRPr="00E16672">
              <w:rPr>
                <w:rFonts w:ascii="Times New Roman" w:eastAsia="Lucida Sans Unicode" w:hAnsi="Times New Roman"/>
                <w:color w:val="000000"/>
                <w:sz w:val="16"/>
                <w:szCs w:val="16"/>
              </w:rPr>
              <w:t xml:space="preserve"> </w:t>
            </w:r>
            <w:proofErr w:type="spellStart"/>
            <w:r w:rsidRPr="00E16672">
              <w:rPr>
                <w:rFonts w:ascii="Times New Roman" w:eastAsia="Lucida Sans Unicode" w:hAnsi="Times New Roman"/>
                <w:color w:val="000000"/>
                <w:sz w:val="16"/>
                <w:szCs w:val="16"/>
              </w:rPr>
              <w:t>імені</w:t>
            </w:r>
            <w:proofErr w:type="spellEnd"/>
            <w:r w:rsidRPr="00E16672">
              <w:rPr>
                <w:rFonts w:ascii="Times New Roman" w:eastAsia="Lucida Sans Unicode" w:hAnsi="Times New Roman"/>
                <w:color w:val="000000"/>
                <w:sz w:val="16"/>
                <w:szCs w:val="16"/>
              </w:rPr>
              <w:t xml:space="preserve">, </w:t>
            </w:r>
            <w:proofErr w:type="gramStart"/>
            <w:r w:rsidRPr="00E16672">
              <w:rPr>
                <w:rFonts w:ascii="Times New Roman" w:eastAsia="Lucida Sans Unicode" w:hAnsi="Times New Roman"/>
                <w:color w:val="000000"/>
                <w:sz w:val="16"/>
                <w:szCs w:val="16"/>
              </w:rPr>
              <w:t>у порядку</w:t>
            </w:r>
            <w:proofErr w:type="gramEnd"/>
            <w:r w:rsidRPr="00E16672">
              <w:rPr>
                <w:rFonts w:ascii="Times New Roman" w:eastAsia="Lucida Sans Unicode" w:hAnsi="Times New Roman"/>
                <w:color w:val="000000"/>
                <w:sz w:val="16"/>
                <w:szCs w:val="16"/>
              </w:rPr>
              <w:t xml:space="preserve">, </w:t>
            </w:r>
            <w:proofErr w:type="spellStart"/>
            <w:r w:rsidRPr="00E16672">
              <w:rPr>
                <w:rFonts w:ascii="Times New Roman" w:eastAsia="Lucida Sans Unicode" w:hAnsi="Times New Roman"/>
                <w:color w:val="000000"/>
                <w:sz w:val="16"/>
                <w:szCs w:val="16"/>
              </w:rPr>
              <w:t>установленому</w:t>
            </w:r>
            <w:proofErr w:type="spellEnd"/>
            <w:r w:rsidRPr="00E16672">
              <w:rPr>
                <w:rFonts w:ascii="Times New Roman" w:eastAsia="Lucida Sans Unicode" w:hAnsi="Times New Roman"/>
                <w:color w:val="000000"/>
                <w:sz w:val="16"/>
                <w:szCs w:val="16"/>
              </w:rPr>
              <w:t xml:space="preserve"> </w:t>
            </w:r>
            <w:proofErr w:type="spellStart"/>
            <w:r w:rsidRPr="00E16672">
              <w:rPr>
                <w:rFonts w:ascii="Times New Roman" w:eastAsia="Lucida Sans Unicode" w:hAnsi="Times New Roman"/>
                <w:color w:val="000000"/>
                <w:sz w:val="16"/>
                <w:szCs w:val="16"/>
              </w:rPr>
              <w:t>законодавством</w:t>
            </w:r>
            <w:proofErr w:type="spellEnd"/>
            <w:r w:rsidRPr="00E16672">
              <w:rPr>
                <w:rFonts w:ascii="Times New Roman" w:eastAsia="Lucida Sans Unicode" w:hAnsi="Times New Roman"/>
                <w:color w:val="000000"/>
                <w:sz w:val="16"/>
                <w:szCs w:val="16"/>
              </w:rPr>
              <w:t xml:space="preserve"> </w:t>
            </w:r>
            <w:proofErr w:type="spellStart"/>
            <w:r w:rsidRPr="00E16672">
              <w:rPr>
                <w:rFonts w:ascii="Times New Roman" w:eastAsia="Lucida Sans Unicode" w:hAnsi="Times New Roman"/>
                <w:color w:val="000000"/>
                <w:sz w:val="16"/>
                <w:szCs w:val="16"/>
              </w:rPr>
              <w:t>України</w:t>
            </w:r>
            <w:proofErr w:type="spellEnd"/>
            <w:r w:rsidRPr="00E16672">
              <w:rPr>
                <w:rFonts w:ascii="Times New Roman" w:eastAsia="Lucida Sans Unicode" w:hAnsi="Times New Roman"/>
                <w:color w:val="000000"/>
                <w:sz w:val="16"/>
                <w:szCs w:val="16"/>
              </w:rPr>
              <w:t xml:space="preserve">. </w:t>
            </w:r>
          </w:p>
          <w:p w14:paraId="4A8EFC0B" w14:textId="77777777" w:rsidR="003A05A3" w:rsidRPr="00E16672" w:rsidRDefault="003A05A3" w:rsidP="00843027">
            <w:pPr>
              <w:tabs>
                <w:tab w:val="left" w:pos="360"/>
              </w:tabs>
              <w:ind w:left="142" w:right="138" w:firstLine="40"/>
              <w:rPr>
                <w:rStyle w:val="rvts0"/>
                <w:rFonts w:ascii="Times New Roman" w:hAnsi="Times New Roman"/>
                <w:color w:val="000000"/>
                <w:sz w:val="16"/>
                <w:szCs w:val="16"/>
                <w:lang w:val="uk-UA"/>
              </w:rPr>
            </w:pPr>
            <w:r w:rsidRPr="00E16672">
              <w:rPr>
                <w:rStyle w:val="rvts0"/>
                <w:rFonts w:ascii="Times New Roman" w:hAnsi="Times New Roman"/>
                <w:color w:val="000000"/>
                <w:sz w:val="16"/>
                <w:szCs w:val="16"/>
                <w:lang w:val="uk-UA"/>
              </w:rPr>
              <w:t xml:space="preserve">Ідентифікація клієнта не є обов’язковою у разі проведення фінансової операції (відкриття рахунку) особами, які раніше були ідентифіковані або </w:t>
            </w:r>
            <w:proofErr w:type="spellStart"/>
            <w:r w:rsidRPr="00E16672">
              <w:rPr>
                <w:rStyle w:val="rvts0"/>
                <w:rFonts w:ascii="Times New Roman" w:hAnsi="Times New Roman"/>
                <w:color w:val="000000"/>
                <w:sz w:val="16"/>
                <w:szCs w:val="16"/>
                <w:lang w:val="uk-UA"/>
              </w:rPr>
              <w:t>верифіковані</w:t>
            </w:r>
            <w:proofErr w:type="spellEnd"/>
            <w:r w:rsidRPr="00E16672">
              <w:rPr>
                <w:rStyle w:val="rvts0"/>
                <w:rFonts w:ascii="Times New Roman" w:hAnsi="Times New Roman"/>
                <w:color w:val="000000"/>
                <w:sz w:val="16"/>
                <w:szCs w:val="16"/>
                <w:lang w:val="uk-UA"/>
              </w:rPr>
              <w:t xml:space="preserve"> Депозитарною установою згідно з вимогами закону.</w:t>
            </w:r>
          </w:p>
          <w:p w14:paraId="6A68059D" w14:textId="77777777" w:rsidR="003A05A3" w:rsidRPr="00E16672" w:rsidRDefault="003A05A3" w:rsidP="00843027">
            <w:pPr>
              <w:snapToGrid w:val="0"/>
              <w:ind w:left="142" w:right="138" w:firstLine="40"/>
              <w:rPr>
                <w:rFonts w:ascii="Times New Roman" w:hAnsi="Times New Roman"/>
                <w:color w:val="000000"/>
                <w:sz w:val="16"/>
                <w:szCs w:val="16"/>
                <w:shd w:val="clear" w:color="auto" w:fill="FFFFFF"/>
                <w:lang w:val="uk-UA"/>
              </w:rPr>
            </w:pPr>
          </w:p>
        </w:tc>
        <w:tc>
          <w:tcPr>
            <w:tcW w:w="5494" w:type="dxa"/>
            <w:gridSpan w:val="6"/>
            <w:shd w:val="clear" w:color="auto" w:fill="auto"/>
          </w:tcPr>
          <w:p w14:paraId="33AC4D26" w14:textId="77777777" w:rsidR="003A05A3" w:rsidRPr="00E16672" w:rsidRDefault="003A05A3" w:rsidP="00843027">
            <w:pPr>
              <w:tabs>
                <w:tab w:val="left" w:pos="851"/>
                <w:tab w:val="left" w:pos="7200"/>
              </w:tabs>
              <w:snapToGrid w:val="0"/>
              <w:ind w:left="145" w:right="100" w:firstLine="3"/>
              <w:rPr>
                <w:rFonts w:ascii="Times New Roman" w:hAnsi="Times New Roman"/>
                <w:strike/>
                <w:color w:val="000000"/>
                <w:sz w:val="16"/>
                <w:szCs w:val="16"/>
                <w:lang w:val="en-US"/>
              </w:rPr>
            </w:pPr>
            <w:r w:rsidRPr="00E16672">
              <w:rPr>
                <w:rFonts w:ascii="Times New Roman" w:eastAsia="Lucida Sans Unicode" w:hAnsi="Times New Roman"/>
                <w:color w:val="000000"/>
                <w:sz w:val="16"/>
                <w:szCs w:val="16"/>
                <w:lang w:val="en-GB"/>
              </w:rPr>
              <w:t>2.1.</w:t>
            </w:r>
            <w:r w:rsidRPr="00E16672">
              <w:rPr>
                <w:rFonts w:ascii="Times New Roman" w:eastAsia="Lucida Sans Unicode" w:hAnsi="Times New Roman"/>
                <w:color w:val="000000"/>
                <w:sz w:val="16"/>
                <w:szCs w:val="16"/>
                <w:lang w:val="en-US"/>
              </w:rPr>
              <w:t>1</w:t>
            </w:r>
            <w:r w:rsidRPr="00E16672">
              <w:rPr>
                <w:rFonts w:ascii="Times New Roman" w:eastAsia="Lucida Sans Unicode" w:hAnsi="Times New Roman"/>
                <w:color w:val="000000"/>
                <w:sz w:val="16"/>
                <w:szCs w:val="16"/>
                <w:lang w:val="uk-UA"/>
              </w:rPr>
              <w:t>8</w:t>
            </w:r>
            <w:r w:rsidRPr="00E16672">
              <w:rPr>
                <w:rFonts w:ascii="Times New Roman" w:eastAsia="Lucida Sans Unicode" w:hAnsi="Times New Roman"/>
                <w:color w:val="000000"/>
                <w:sz w:val="16"/>
                <w:szCs w:val="16"/>
                <w:lang w:val="en-GB"/>
              </w:rPr>
              <w:t xml:space="preserve">. To identify </w:t>
            </w:r>
            <w:r w:rsidRPr="00E16672">
              <w:rPr>
                <w:rStyle w:val="rvts0"/>
                <w:rFonts w:ascii="Times New Roman" w:hAnsi="Times New Roman"/>
                <w:color w:val="000000"/>
                <w:sz w:val="16"/>
                <w:szCs w:val="16"/>
                <w:lang w:val="en-US"/>
              </w:rPr>
              <w:t>and verify</w:t>
            </w:r>
            <w:r w:rsidRPr="00E16672">
              <w:rPr>
                <w:rFonts w:ascii="Times New Roman" w:eastAsia="Lucida Sans Unicode" w:hAnsi="Times New Roman"/>
                <w:color w:val="000000"/>
                <w:sz w:val="16"/>
                <w:szCs w:val="16"/>
                <w:lang w:val="en-GB"/>
              </w:rPr>
              <w:t xml:space="preserve"> the persons who under Agreement is opened an </w:t>
            </w:r>
            <w:proofErr w:type="gramStart"/>
            <w:r w:rsidRPr="00E16672">
              <w:rPr>
                <w:rFonts w:ascii="Times New Roman" w:eastAsia="Lucida Sans Unicode" w:hAnsi="Times New Roman"/>
                <w:color w:val="000000"/>
                <w:sz w:val="16"/>
                <w:szCs w:val="16"/>
                <w:lang w:val="en-GB"/>
              </w:rPr>
              <w:t>account securities</w:t>
            </w:r>
            <w:proofErr w:type="gramEnd"/>
            <w:r w:rsidRPr="00E16672">
              <w:rPr>
                <w:rFonts w:ascii="Times New Roman" w:eastAsia="Lucida Sans Unicode" w:hAnsi="Times New Roman"/>
                <w:color w:val="000000"/>
                <w:sz w:val="16"/>
                <w:szCs w:val="16"/>
                <w:lang w:val="en-GB"/>
              </w:rPr>
              <w:t>, and also persons who are authorized to act on their behalf in the manner established by the legislation of Ukraine.</w:t>
            </w:r>
            <w:r w:rsidRPr="00E16672">
              <w:rPr>
                <w:rFonts w:ascii="Times New Roman" w:eastAsia="Lucida Sans Unicode" w:hAnsi="Times New Roman"/>
                <w:color w:val="000000"/>
                <w:sz w:val="16"/>
                <w:szCs w:val="16"/>
                <w:lang w:val="en-US"/>
              </w:rPr>
              <w:t xml:space="preserve"> </w:t>
            </w:r>
          </w:p>
          <w:p w14:paraId="741880F8" w14:textId="77777777" w:rsidR="003A05A3" w:rsidRPr="00E16672" w:rsidRDefault="003A05A3" w:rsidP="00843027">
            <w:pPr>
              <w:pStyle w:val="210"/>
              <w:ind w:left="145" w:right="100" w:firstLine="3"/>
              <w:rPr>
                <w:rFonts w:ascii="Times New Roman" w:hAnsi="Times New Roman"/>
                <w:color w:val="000000"/>
                <w:sz w:val="16"/>
                <w:szCs w:val="16"/>
              </w:rPr>
            </w:pPr>
            <w:proofErr w:type="spellStart"/>
            <w:r w:rsidRPr="00E16672">
              <w:rPr>
                <w:rStyle w:val="rvts0"/>
                <w:rFonts w:ascii="Times New Roman" w:hAnsi="Times New Roman"/>
                <w:color w:val="000000"/>
                <w:sz w:val="16"/>
                <w:szCs w:val="16"/>
              </w:rPr>
              <w:t>Identification</w:t>
            </w:r>
            <w:proofErr w:type="spellEnd"/>
            <w:r w:rsidRPr="00E16672">
              <w:rPr>
                <w:rStyle w:val="rvts0"/>
                <w:rFonts w:ascii="Times New Roman" w:hAnsi="Times New Roman"/>
                <w:color w:val="000000"/>
                <w:sz w:val="16"/>
                <w:szCs w:val="16"/>
              </w:rPr>
              <w:t xml:space="preserve"> </w:t>
            </w:r>
            <w:proofErr w:type="spellStart"/>
            <w:r w:rsidRPr="00E16672">
              <w:rPr>
                <w:rStyle w:val="rvts0"/>
                <w:rFonts w:ascii="Times New Roman" w:hAnsi="Times New Roman"/>
                <w:color w:val="000000"/>
                <w:sz w:val="16"/>
                <w:szCs w:val="16"/>
              </w:rPr>
              <w:t>of</w:t>
            </w:r>
            <w:proofErr w:type="spellEnd"/>
            <w:r w:rsidRPr="00E16672">
              <w:rPr>
                <w:rStyle w:val="rvts0"/>
                <w:rFonts w:ascii="Times New Roman" w:hAnsi="Times New Roman"/>
                <w:color w:val="000000"/>
                <w:sz w:val="16"/>
                <w:szCs w:val="16"/>
              </w:rPr>
              <w:t xml:space="preserve"> </w:t>
            </w:r>
            <w:proofErr w:type="spellStart"/>
            <w:r w:rsidRPr="00E16672">
              <w:rPr>
                <w:rStyle w:val="rvts0"/>
                <w:rFonts w:ascii="Times New Roman" w:hAnsi="Times New Roman"/>
                <w:color w:val="000000"/>
                <w:sz w:val="16"/>
                <w:szCs w:val="16"/>
              </w:rPr>
              <w:t>the</w:t>
            </w:r>
            <w:proofErr w:type="spellEnd"/>
            <w:r w:rsidRPr="00E16672">
              <w:rPr>
                <w:rStyle w:val="rvts0"/>
                <w:rFonts w:ascii="Times New Roman" w:hAnsi="Times New Roman"/>
                <w:color w:val="000000"/>
                <w:sz w:val="16"/>
                <w:szCs w:val="16"/>
              </w:rPr>
              <w:t xml:space="preserve"> </w:t>
            </w:r>
            <w:proofErr w:type="spellStart"/>
            <w:r w:rsidRPr="00E16672">
              <w:rPr>
                <w:rStyle w:val="rvts0"/>
                <w:rFonts w:ascii="Times New Roman" w:hAnsi="Times New Roman"/>
                <w:color w:val="000000"/>
                <w:sz w:val="16"/>
                <w:szCs w:val="16"/>
              </w:rPr>
              <w:t>client</w:t>
            </w:r>
            <w:proofErr w:type="spellEnd"/>
            <w:r w:rsidRPr="00E16672">
              <w:rPr>
                <w:rStyle w:val="rvts0"/>
                <w:rFonts w:ascii="Times New Roman" w:hAnsi="Times New Roman"/>
                <w:color w:val="000000"/>
                <w:sz w:val="16"/>
                <w:szCs w:val="16"/>
              </w:rPr>
              <w:t xml:space="preserve"> </w:t>
            </w:r>
            <w:proofErr w:type="spellStart"/>
            <w:r w:rsidRPr="00E16672">
              <w:rPr>
                <w:rStyle w:val="rvts0"/>
                <w:rFonts w:ascii="Times New Roman" w:hAnsi="Times New Roman"/>
                <w:color w:val="000000"/>
                <w:sz w:val="16"/>
                <w:szCs w:val="16"/>
              </w:rPr>
              <w:t>is</w:t>
            </w:r>
            <w:proofErr w:type="spellEnd"/>
            <w:r w:rsidRPr="00E16672">
              <w:rPr>
                <w:rStyle w:val="rvts0"/>
                <w:rFonts w:ascii="Times New Roman" w:hAnsi="Times New Roman"/>
                <w:color w:val="000000"/>
                <w:sz w:val="16"/>
                <w:szCs w:val="16"/>
              </w:rPr>
              <w:t xml:space="preserve"> </w:t>
            </w:r>
            <w:proofErr w:type="spellStart"/>
            <w:r w:rsidRPr="00E16672">
              <w:rPr>
                <w:rStyle w:val="rvts0"/>
                <w:rFonts w:ascii="Times New Roman" w:hAnsi="Times New Roman"/>
                <w:color w:val="000000"/>
                <w:sz w:val="16"/>
                <w:szCs w:val="16"/>
              </w:rPr>
              <w:t>not</w:t>
            </w:r>
            <w:proofErr w:type="spellEnd"/>
            <w:r w:rsidRPr="00E16672">
              <w:rPr>
                <w:rStyle w:val="rvts0"/>
                <w:rFonts w:ascii="Times New Roman" w:hAnsi="Times New Roman"/>
                <w:color w:val="000000"/>
                <w:sz w:val="16"/>
                <w:szCs w:val="16"/>
              </w:rPr>
              <w:t xml:space="preserve"> </w:t>
            </w:r>
            <w:proofErr w:type="spellStart"/>
            <w:r w:rsidRPr="00E16672">
              <w:rPr>
                <w:rStyle w:val="rvts0"/>
                <w:rFonts w:ascii="Times New Roman" w:hAnsi="Times New Roman"/>
                <w:color w:val="000000"/>
                <w:sz w:val="16"/>
                <w:szCs w:val="16"/>
              </w:rPr>
              <w:t>obligatory</w:t>
            </w:r>
            <w:proofErr w:type="spellEnd"/>
            <w:r w:rsidRPr="00E16672">
              <w:rPr>
                <w:rStyle w:val="rvts0"/>
                <w:rFonts w:ascii="Times New Roman" w:hAnsi="Times New Roman"/>
                <w:color w:val="000000"/>
                <w:sz w:val="16"/>
                <w:szCs w:val="16"/>
              </w:rPr>
              <w:t xml:space="preserve"> </w:t>
            </w:r>
            <w:proofErr w:type="spellStart"/>
            <w:r w:rsidRPr="00E16672">
              <w:rPr>
                <w:rStyle w:val="rvts0"/>
                <w:rFonts w:ascii="Times New Roman" w:hAnsi="Times New Roman"/>
                <w:color w:val="000000"/>
                <w:sz w:val="16"/>
                <w:szCs w:val="16"/>
              </w:rPr>
              <w:t>in</w:t>
            </w:r>
            <w:proofErr w:type="spellEnd"/>
            <w:r w:rsidRPr="00E16672">
              <w:rPr>
                <w:rStyle w:val="rvts0"/>
                <w:rFonts w:ascii="Times New Roman" w:hAnsi="Times New Roman"/>
                <w:color w:val="000000"/>
                <w:sz w:val="16"/>
                <w:szCs w:val="16"/>
              </w:rPr>
              <w:t xml:space="preserve"> </w:t>
            </w:r>
            <w:proofErr w:type="spellStart"/>
            <w:r w:rsidRPr="00E16672">
              <w:rPr>
                <w:rStyle w:val="rvts0"/>
                <w:rFonts w:ascii="Times New Roman" w:hAnsi="Times New Roman"/>
                <w:color w:val="000000"/>
                <w:sz w:val="16"/>
                <w:szCs w:val="16"/>
              </w:rPr>
              <w:t>the</w:t>
            </w:r>
            <w:proofErr w:type="spellEnd"/>
            <w:r w:rsidRPr="00E16672">
              <w:rPr>
                <w:rStyle w:val="rvts0"/>
                <w:rFonts w:ascii="Times New Roman" w:hAnsi="Times New Roman"/>
                <w:color w:val="000000"/>
                <w:sz w:val="16"/>
                <w:szCs w:val="16"/>
              </w:rPr>
              <w:t xml:space="preserve"> </w:t>
            </w:r>
            <w:proofErr w:type="spellStart"/>
            <w:r w:rsidRPr="00E16672">
              <w:rPr>
                <w:rStyle w:val="rvts0"/>
                <w:rFonts w:ascii="Times New Roman" w:hAnsi="Times New Roman"/>
                <w:color w:val="000000"/>
                <w:sz w:val="16"/>
                <w:szCs w:val="16"/>
              </w:rPr>
              <w:t>case</w:t>
            </w:r>
            <w:proofErr w:type="spellEnd"/>
            <w:r w:rsidRPr="00E16672">
              <w:rPr>
                <w:rStyle w:val="rvts0"/>
                <w:rFonts w:ascii="Times New Roman" w:hAnsi="Times New Roman"/>
                <w:color w:val="000000"/>
                <w:sz w:val="16"/>
                <w:szCs w:val="16"/>
              </w:rPr>
              <w:t xml:space="preserve"> </w:t>
            </w:r>
            <w:proofErr w:type="spellStart"/>
            <w:r w:rsidRPr="00E16672">
              <w:rPr>
                <w:rStyle w:val="rvts0"/>
                <w:rFonts w:ascii="Times New Roman" w:hAnsi="Times New Roman"/>
                <w:color w:val="000000"/>
                <w:sz w:val="16"/>
                <w:szCs w:val="16"/>
              </w:rPr>
              <w:t>of</w:t>
            </w:r>
            <w:proofErr w:type="spellEnd"/>
            <w:r w:rsidRPr="00E16672">
              <w:rPr>
                <w:rStyle w:val="rvts0"/>
                <w:rFonts w:ascii="Times New Roman" w:hAnsi="Times New Roman"/>
                <w:color w:val="000000"/>
                <w:sz w:val="16"/>
                <w:szCs w:val="16"/>
              </w:rPr>
              <w:t xml:space="preserve"> </w:t>
            </w:r>
            <w:proofErr w:type="spellStart"/>
            <w:r w:rsidRPr="00E16672">
              <w:rPr>
                <w:rStyle w:val="rvts0"/>
                <w:rFonts w:ascii="Times New Roman" w:hAnsi="Times New Roman"/>
                <w:color w:val="000000"/>
                <w:sz w:val="16"/>
                <w:szCs w:val="16"/>
              </w:rPr>
              <w:t>conduct</w:t>
            </w:r>
            <w:proofErr w:type="spellEnd"/>
            <w:r w:rsidRPr="00E16672">
              <w:rPr>
                <w:rStyle w:val="rvts0"/>
                <w:rFonts w:ascii="Times New Roman" w:hAnsi="Times New Roman"/>
                <w:color w:val="000000"/>
                <w:sz w:val="16"/>
                <w:szCs w:val="16"/>
              </w:rPr>
              <w:t xml:space="preserve"> </w:t>
            </w:r>
            <w:proofErr w:type="spellStart"/>
            <w:r w:rsidRPr="00E16672">
              <w:rPr>
                <w:rStyle w:val="rvts0"/>
                <w:rFonts w:ascii="Times New Roman" w:hAnsi="Times New Roman"/>
                <w:color w:val="000000"/>
                <w:sz w:val="16"/>
                <w:szCs w:val="16"/>
              </w:rPr>
              <w:t>of</w:t>
            </w:r>
            <w:proofErr w:type="spellEnd"/>
            <w:r w:rsidRPr="00E16672">
              <w:rPr>
                <w:rStyle w:val="rvts0"/>
                <w:rFonts w:ascii="Times New Roman" w:hAnsi="Times New Roman"/>
                <w:color w:val="000000"/>
                <w:sz w:val="16"/>
                <w:szCs w:val="16"/>
              </w:rPr>
              <w:t xml:space="preserve"> </w:t>
            </w:r>
            <w:proofErr w:type="spellStart"/>
            <w:r w:rsidRPr="00E16672">
              <w:rPr>
                <w:rStyle w:val="rvts0"/>
                <w:rFonts w:ascii="Times New Roman" w:hAnsi="Times New Roman"/>
                <w:color w:val="000000"/>
                <w:sz w:val="16"/>
                <w:szCs w:val="16"/>
              </w:rPr>
              <w:t>financial</w:t>
            </w:r>
            <w:proofErr w:type="spellEnd"/>
            <w:r w:rsidRPr="00E16672">
              <w:rPr>
                <w:rStyle w:val="rvts0"/>
                <w:rFonts w:ascii="Times New Roman" w:hAnsi="Times New Roman"/>
                <w:color w:val="000000"/>
                <w:sz w:val="16"/>
                <w:szCs w:val="16"/>
              </w:rPr>
              <w:t xml:space="preserve"> </w:t>
            </w:r>
            <w:proofErr w:type="spellStart"/>
            <w:r w:rsidRPr="00E16672">
              <w:rPr>
                <w:rStyle w:val="rvts0"/>
                <w:rFonts w:ascii="Times New Roman" w:hAnsi="Times New Roman"/>
                <w:color w:val="000000"/>
                <w:sz w:val="16"/>
                <w:szCs w:val="16"/>
              </w:rPr>
              <w:t>operation</w:t>
            </w:r>
            <w:proofErr w:type="spellEnd"/>
            <w:r w:rsidRPr="00E16672">
              <w:rPr>
                <w:rStyle w:val="rvts0"/>
                <w:rFonts w:ascii="Times New Roman" w:hAnsi="Times New Roman"/>
                <w:color w:val="000000"/>
                <w:sz w:val="16"/>
                <w:szCs w:val="16"/>
              </w:rPr>
              <w:t xml:space="preserve"> </w:t>
            </w:r>
            <w:proofErr w:type="spellStart"/>
            <w:r w:rsidRPr="00E16672">
              <w:rPr>
                <w:rStyle w:val="rvts0"/>
                <w:rFonts w:ascii="Times New Roman" w:hAnsi="Times New Roman"/>
                <w:color w:val="000000"/>
                <w:sz w:val="16"/>
                <w:szCs w:val="16"/>
              </w:rPr>
              <w:t>by</w:t>
            </w:r>
            <w:proofErr w:type="spellEnd"/>
            <w:r w:rsidRPr="00E16672">
              <w:rPr>
                <w:rStyle w:val="rvts0"/>
                <w:rFonts w:ascii="Times New Roman" w:hAnsi="Times New Roman"/>
                <w:color w:val="000000"/>
                <w:sz w:val="16"/>
                <w:szCs w:val="16"/>
              </w:rPr>
              <w:t xml:space="preserve"> </w:t>
            </w:r>
            <w:proofErr w:type="spellStart"/>
            <w:r w:rsidRPr="00E16672">
              <w:rPr>
                <w:rStyle w:val="rvts0"/>
                <w:rFonts w:ascii="Times New Roman" w:hAnsi="Times New Roman"/>
                <w:color w:val="000000"/>
                <w:sz w:val="16"/>
                <w:szCs w:val="16"/>
              </w:rPr>
              <w:t>persons</w:t>
            </w:r>
            <w:proofErr w:type="spellEnd"/>
            <w:r w:rsidRPr="00E16672">
              <w:rPr>
                <w:rStyle w:val="rvts0"/>
                <w:rFonts w:ascii="Times New Roman" w:hAnsi="Times New Roman"/>
                <w:color w:val="000000"/>
                <w:sz w:val="16"/>
                <w:szCs w:val="16"/>
              </w:rPr>
              <w:t xml:space="preserve"> </w:t>
            </w:r>
            <w:proofErr w:type="spellStart"/>
            <w:r w:rsidRPr="00E16672">
              <w:rPr>
                <w:rStyle w:val="rvts0"/>
                <w:rFonts w:ascii="Times New Roman" w:hAnsi="Times New Roman"/>
                <w:color w:val="000000"/>
                <w:sz w:val="16"/>
                <w:szCs w:val="16"/>
              </w:rPr>
              <w:t>previously</w:t>
            </w:r>
            <w:proofErr w:type="spellEnd"/>
            <w:r w:rsidRPr="00E16672">
              <w:rPr>
                <w:rStyle w:val="rvts0"/>
                <w:rFonts w:ascii="Times New Roman" w:hAnsi="Times New Roman"/>
                <w:color w:val="000000"/>
                <w:sz w:val="16"/>
                <w:szCs w:val="16"/>
              </w:rPr>
              <w:t xml:space="preserve"> </w:t>
            </w:r>
            <w:proofErr w:type="spellStart"/>
            <w:r w:rsidRPr="00E16672">
              <w:rPr>
                <w:rStyle w:val="rvts0"/>
                <w:rFonts w:ascii="Times New Roman" w:hAnsi="Times New Roman"/>
                <w:color w:val="000000"/>
                <w:sz w:val="16"/>
                <w:szCs w:val="16"/>
              </w:rPr>
              <w:t>identified</w:t>
            </w:r>
            <w:proofErr w:type="spellEnd"/>
            <w:r w:rsidRPr="00E16672">
              <w:rPr>
                <w:rStyle w:val="rvts0"/>
                <w:rFonts w:ascii="Times New Roman" w:hAnsi="Times New Roman"/>
                <w:color w:val="000000"/>
                <w:sz w:val="16"/>
                <w:szCs w:val="16"/>
              </w:rPr>
              <w:t xml:space="preserve"> </w:t>
            </w:r>
            <w:proofErr w:type="spellStart"/>
            <w:r w:rsidRPr="00E16672">
              <w:rPr>
                <w:rStyle w:val="rvts0"/>
                <w:rFonts w:ascii="Times New Roman" w:hAnsi="Times New Roman"/>
                <w:color w:val="000000"/>
                <w:sz w:val="16"/>
                <w:szCs w:val="16"/>
              </w:rPr>
              <w:t>or</w:t>
            </w:r>
            <w:proofErr w:type="spellEnd"/>
            <w:r w:rsidRPr="00E16672">
              <w:rPr>
                <w:rStyle w:val="rvts0"/>
                <w:rFonts w:ascii="Times New Roman" w:hAnsi="Times New Roman"/>
                <w:color w:val="000000"/>
                <w:sz w:val="16"/>
                <w:szCs w:val="16"/>
              </w:rPr>
              <w:t xml:space="preserve"> </w:t>
            </w:r>
            <w:proofErr w:type="spellStart"/>
            <w:r w:rsidRPr="00E16672">
              <w:rPr>
                <w:rStyle w:val="rvts0"/>
                <w:rFonts w:ascii="Times New Roman" w:hAnsi="Times New Roman"/>
                <w:color w:val="000000"/>
                <w:sz w:val="16"/>
                <w:szCs w:val="16"/>
              </w:rPr>
              <w:t>verified</w:t>
            </w:r>
            <w:proofErr w:type="spellEnd"/>
            <w:r w:rsidRPr="00E16672">
              <w:rPr>
                <w:rStyle w:val="rvts0"/>
                <w:rFonts w:ascii="Times New Roman" w:hAnsi="Times New Roman"/>
                <w:color w:val="000000"/>
                <w:sz w:val="16"/>
                <w:szCs w:val="16"/>
              </w:rPr>
              <w:t xml:space="preserve"> </w:t>
            </w:r>
            <w:proofErr w:type="spellStart"/>
            <w:r w:rsidRPr="00E16672">
              <w:rPr>
                <w:rStyle w:val="rvts0"/>
                <w:rFonts w:ascii="Times New Roman" w:hAnsi="Times New Roman"/>
                <w:color w:val="000000"/>
                <w:sz w:val="16"/>
                <w:szCs w:val="16"/>
              </w:rPr>
              <w:t>in</w:t>
            </w:r>
            <w:proofErr w:type="spellEnd"/>
            <w:r w:rsidRPr="00E16672">
              <w:rPr>
                <w:rStyle w:val="rvts0"/>
                <w:rFonts w:ascii="Times New Roman" w:hAnsi="Times New Roman"/>
                <w:color w:val="000000"/>
                <w:sz w:val="16"/>
                <w:szCs w:val="16"/>
              </w:rPr>
              <w:t xml:space="preserve"> </w:t>
            </w:r>
            <w:proofErr w:type="spellStart"/>
            <w:r w:rsidRPr="00E16672">
              <w:rPr>
                <w:rStyle w:val="rvts0"/>
                <w:rFonts w:ascii="Times New Roman" w:hAnsi="Times New Roman"/>
                <w:color w:val="000000"/>
                <w:sz w:val="16"/>
                <w:szCs w:val="16"/>
              </w:rPr>
              <w:t>accordance</w:t>
            </w:r>
            <w:proofErr w:type="spellEnd"/>
            <w:r w:rsidRPr="00E16672">
              <w:rPr>
                <w:rStyle w:val="rvts0"/>
                <w:rFonts w:ascii="Times New Roman" w:hAnsi="Times New Roman"/>
                <w:color w:val="000000"/>
                <w:sz w:val="16"/>
                <w:szCs w:val="16"/>
              </w:rPr>
              <w:t xml:space="preserve"> </w:t>
            </w:r>
            <w:proofErr w:type="spellStart"/>
            <w:r w:rsidRPr="00E16672">
              <w:rPr>
                <w:rStyle w:val="rvts0"/>
                <w:rFonts w:ascii="Times New Roman" w:hAnsi="Times New Roman"/>
                <w:color w:val="000000"/>
                <w:sz w:val="16"/>
                <w:szCs w:val="16"/>
              </w:rPr>
              <w:t>with</w:t>
            </w:r>
            <w:proofErr w:type="spellEnd"/>
            <w:r w:rsidRPr="00E16672">
              <w:rPr>
                <w:rStyle w:val="rvts0"/>
                <w:rFonts w:ascii="Times New Roman" w:hAnsi="Times New Roman"/>
                <w:color w:val="000000"/>
                <w:sz w:val="16"/>
                <w:szCs w:val="16"/>
              </w:rPr>
              <w:t xml:space="preserve"> </w:t>
            </w:r>
            <w:proofErr w:type="spellStart"/>
            <w:r w:rsidRPr="00E16672">
              <w:rPr>
                <w:rStyle w:val="rvts0"/>
                <w:rFonts w:ascii="Times New Roman" w:hAnsi="Times New Roman"/>
                <w:color w:val="000000"/>
                <w:sz w:val="16"/>
                <w:szCs w:val="16"/>
              </w:rPr>
              <w:t>the</w:t>
            </w:r>
            <w:proofErr w:type="spellEnd"/>
            <w:r w:rsidRPr="00E16672">
              <w:rPr>
                <w:rStyle w:val="rvts0"/>
                <w:rFonts w:ascii="Times New Roman" w:hAnsi="Times New Roman"/>
                <w:color w:val="000000"/>
                <w:sz w:val="16"/>
                <w:szCs w:val="16"/>
              </w:rPr>
              <w:t xml:space="preserve"> </w:t>
            </w:r>
            <w:proofErr w:type="spellStart"/>
            <w:r w:rsidRPr="00E16672">
              <w:rPr>
                <w:rStyle w:val="rvts0"/>
                <w:rFonts w:ascii="Times New Roman" w:hAnsi="Times New Roman"/>
                <w:color w:val="000000"/>
                <w:sz w:val="16"/>
                <w:szCs w:val="16"/>
              </w:rPr>
              <w:t>law</w:t>
            </w:r>
            <w:proofErr w:type="spellEnd"/>
            <w:r w:rsidRPr="00E16672">
              <w:rPr>
                <w:rStyle w:val="rvts0"/>
                <w:rFonts w:ascii="Times New Roman" w:hAnsi="Times New Roman"/>
                <w:color w:val="000000"/>
                <w:sz w:val="16"/>
                <w:szCs w:val="16"/>
              </w:rPr>
              <w:t>.</w:t>
            </w:r>
          </w:p>
        </w:tc>
      </w:tr>
      <w:tr w:rsidR="003A05A3" w:rsidRPr="00F23413" w14:paraId="7C9DD96F" w14:textId="77777777" w:rsidTr="00242F58">
        <w:trPr>
          <w:trHeight w:val="192"/>
        </w:trPr>
        <w:tc>
          <w:tcPr>
            <w:tcW w:w="5696" w:type="dxa"/>
            <w:gridSpan w:val="8"/>
            <w:shd w:val="clear" w:color="auto" w:fill="auto"/>
          </w:tcPr>
          <w:p w14:paraId="2BA33EDC" w14:textId="77777777" w:rsidR="003A05A3" w:rsidRPr="00E16672" w:rsidRDefault="003A05A3" w:rsidP="00843027">
            <w:pPr>
              <w:pStyle w:val="WW-1"/>
              <w:tabs>
                <w:tab w:val="left" w:pos="851"/>
                <w:tab w:val="left" w:pos="7200"/>
              </w:tabs>
              <w:snapToGrid w:val="0"/>
              <w:ind w:left="142" w:right="141" w:firstLine="40"/>
              <w:jc w:val="both"/>
              <w:rPr>
                <w:i w:val="0"/>
                <w:color w:val="000000"/>
                <w:sz w:val="16"/>
                <w:szCs w:val="16"/>
                <w:lang w:val="uk-UA"/>
              </w:rPr>
            </w:pPr>
            <w:r w:rsidRPr="00E16672">
              <w:rPr>
                <w:i w:val="0"/>
                <w:color w:val="000000"/>
                <w:sz w:val="16"/>
                <w:szCs w:val="16"/>
                <w:lang w:val="uk-UA"/>
              </w:rPr>
              <w:t xml:space="preserve">2.1.19. Складати акт приймання-передавання документів, що були підставою для встановлення обмежень цінних паперів в обігу по рахунку </w:t>
            </w:r>
            <w:r w:rsidR="00C22309" w:rsidRPr="00E16672">
              <w:rPr>
                <w:i w:val="0"/>
                <w:color w:val="000000"/>
                <w:sz w:val="16"/>
                <w:szCs w:val="16"/>
                <w:lang w:val="uk-UA"/>
              </w:rPr>
              <w:t>в цін</w:t>
            </w:r>
            <w:r w:rsidRPr="00E16672">
              <w:rPr>
                <w:i w:val="0"/>
                <w:color w:val="000000"/>
                <w:sz w:val="16"/>
                <w:szCs w:val="16"/>
                <w:lang w:val="uk-UA"/>
              </w:rPr>
              <w:t>них паперах Депонента, з якого підлягають списанню права на цінні папери, що обмежені в обігу.</w:t>
            </w:r>
          </w:p>
          <w:p w14:paraId="30AF40D6" w14:textId="77777777" w:rsidR="003A05A3" w:rsidRPr="00E16672" w:rsidRDefault="003A05A3" w:rsidP="00843027">
            <w:pPr>
              <w:snapToGrid w:val="0"/>
              <w:ind w:left="142" w:right="141" w:firstLine="40"/>
              <w:rPr>
                <w:rFonts w:ascii="Times New Roman" w:hAnsi="Times New Roman"/>
                <w:color w:val="000000"/>
                <w:sz w:val="16"/>
                <w:szCs w:val="16"/>
              </w:rPr>
            </w:pPr>
          </w:p>
        </w:tc>
        <w:tc>
          <w:tcPr>
            <w:tcW w:w="5494" w:type="dxa"/>
            <w:gridSpan w:val="6"/>
            <w:shd w:val="clear" w:color="auto" w:fill="auto"/>
          </w:tcPr>
          <w:p w14:paraId="4E570D16" w14:textId="77777777" w:rsidR="003A05A3" w:rsidRPr="00E16672" w:rsidRDefault="003A05A3" w:rsidP="00843027">
            <w:pPr>
              <w:pStyle w:val="210"/>
              <w:snapToGrid w:val="0"/>
              <w:ind w:left="145" w:right="100" w:firstLine="3"/>
              <w:rPr>
                <w:rFonts w:ascii="Times New Roman" w:eastAsia="Arial" w:hAnsi="Times New Roman"/>
                <w:color w:val="000000"/>
                <w:sz w:val="16"/>
                <w:szCs w:val="16"/>
              </w:rPr>
            </w:pPr>
            <w:r w:rsidRPr="00E16672">
              <w:rPr>
                <w:rFonts w:ascii="Times New Roman" w:eastAsia="Arial" w:hAnsi="Times New Roman"/>
                <w:color w:val="000000"/>
                <w:sz w:val="16"/>
                <w:szCs w:val="16"/>
              </w:rPr>
              <w:t xml:space="preserve">2.1.19. </w:t>
            </w:r>
            <w:proofErr w:type="spellStart"/>
            <w:r w:rsidRPr="00E16672">
              <w:rPr>
                <w:rFonts w:ascii="Times New Roman" w:eastAsia="Arial" w:hAnsi="Times New Roman"/>
                <w:color w:val="000000"/>
                <w:sz w:val="16"/>
                <w:szCs w:val="16"/>
              </w:rPr>
              <w:t>Prepare</w:t>
            </w:r>
            <w:proofErr w:type="spellEnd"/>
            <w:r w:rsidRPr="00E16672">
              <w:rPr>
                <w:rFonts w:ascii="Times New Roman" w:eastAsia="Arial" w:hAnsi="Times New Roman"/>
                <w:color w:val="000000"/>
                <w:sz w:val="16"/>
                <w:szCs w:val="16"/>
              </w:rPr>
              <w:t xml:space="preserve"> </w:t>
            </w:r>
            <w:proofErr w:type="spellStart"/>
            <w:r w:rsidRPr="00E16672">
              <w:rPr>
                <w:rFonts w:ascii="Times New Roman" w:eastAsia="Arial" w:hAnsi="Times New Roman"/>
                <w:color w:val="000000"/>
                <w:sz w:val="16"/>
                <w:szCs w:val="16"/>
              </w:rPr>
              <w:t>an</w:t>
            </w:r>
            <w:proofErr w:type="spellEnd"/>
            <w:r w:rsidRPr="00E16672">
              <w:rPr>
                <w:rFonts w:ascii="Times New Roman" w:eastAsia="Arial" w:hAnsi="Times New Roman"/>
                <w:color w:val="000000"/>
                <w:sz w:val="16"/>
                <w:szCs w:val="16"/>
              </w:rPr>
              <w:t xml:space="preserve"> </w:t>
            </w:r>
            <w:proofErr w:type="spellStart"/>
            <w:r w:rsidRPr="00E16672">
              <w:rPr>
                <w:rFonts w:ascii="Times New Roman" w:eastAsia="Arial" w:hAnsi="Times New Roman"/>
                <w:color w:val="000000"/>
                <w:sz w:val="16"/>
                <w:szCs w:val="16"/>
              </w:rPr>
              <w:t>act</w:t>
            </w:r>
            <w:proofErr w:type="spellEnd"/>
            <w:r w:rsidRPr="00E16672">
              <w:rPr>
                <w:rFonts w:ascii="Times New Roman" w:eastAsia="Arial" w:hAnsi="Times New Roman"/>
                <w:color w:val="000000"/>
                <w:sz w:val="16"/>
                <w:szCs w:val="16"/>
              </w:rPr>
              <w:t xml:space="preserve"> </w:t>
            </w:r>
            <w:proofErr w:type="spellStart"/>
            <w:r w:rsidRPr="00E16672">
              <w:rPr>
                <w:rFonts w:ascii="Times New Roman" w:eastAsia="Arial" w:hAnsi="Times New Roman"/>
                <w:color w:val="000000"/>
                <w:sz w:val="16"/>
                <w:szCs w:val="16"/>
              </w:rPr>
              <w:t>of</w:t>
            </w:r>
            <w:proofErr w:type="spellEnd"/>
            <w:r w:rsidRPr="00E16672">
              <w:rPr>
                <w:rFonts w:ascii="Times New Roman" w:eastAsia="Arial" w:hAnsi="Times New Roman"/>
                <w:color w:val="000000"/>
                <w:sz w:val="16"/>
                <w:szCs w:val="16"/>
              </w:rPr>
              <w:t xml:space="preserve"> </w:t>
            </w:r>
            <w:proofErr w:type="spellStart"/>
            <w:r w:rsidRPr="00E16672">
              <w:rPr>
                <w:rFonts w:ascii="Times New Roman" w:eastAsia="Arial" w:hAnsi="Times New Roman"/>
                <w:color w:val="000000"/>
                <w:sz w:val="16"/>
                <w:szCs w:val="16"/>
              </w:rPr>
              <w:t>acceptance</w:t>
            </w:r>
            <w:proofErr w:type="spellEnd"/>
            <w:r w:rsidRPr="00E16672">
              <w:rPr>
                <w:rFonts w:ascii="Times New Roman" w:eastAsia="Arial" w:hAnsi="Times New Roman"/>
                <w:color w:val="000000"/>
                <w:sz w:val="16"/>
                <w:szCs w:val="16"/>
              </w:rPr>
              <w:t xml:space="preserve"> </w:t>
            </w:r>
            <w:proofErr w:type="spellStart"/>
            <w:r w:rsidRPr="00E16672">
              <w:rPr>
                <w:rFonts w:ascii="Times New Roman" w:eastAsia="Arial" w:hAnsi="Times New Roman"/>
                <w:color w:val="000000"/>
                <w:sz w:val="16"/>
                <w:szCs w:val="16"/>
              </w:rPr>
              <w:t>and</w:t>
            </w:r>
            <w:proofErr w:type="spellEnd"/>
            <w:r w:rsidRPr="00E16672">
              <w:rPr>
                <w:rFonts w:ascii="Times New Roman" w:eastAsia="Arial" w:hAnsi="Times New Roman"/>
                <w:color w:val="000000"/>
                <w:sz w:val="16"/>
                <w:szCs w:val="16"/>
              </w:rPr>
              <w:t xml:space="preserve"> </w:t>
            </w:r>
            <w:proofErr w:type="spellStart"/>
            <w:r w:rsidRPr="00E16672">
              <w:rPr>
                <w:rFonts w:ascii="Times New Roman" w:eastAsia="Arial" w:hAnsi="Times New Roman"/>
                <w:color w:val="000000"/>
                <w:sz w:val="16"/>
                <w:szCs w:val="16"/>
              </w:rPr>
              <w:t>transfer</w:t>
            </w:r>
            <w:proofErr w:type="spellEnd"/>
            <w:r w:rsidRPr="00E16672">
              <w:rPr>
                <w:rFonts w:ascii="Times New Roman" w:eastAsia="Arial" w:hAnsi="Times New Roman"/>
                <w:color w:val="000000"/>
                <w:sz w:val="16"/>
                <w:szCs w:val="16"/>
              </w:rPr>
              <w:t xml:space="preserve"> </w:t>
            </w:r>
            <w:proofErr w:type="spellStart"/>
            <w:r w:rsidRPr="00E16672">
              <w:rPr>
                <w:rFonts w:ascii="Times New Roman" w:eastAsia="Arial" w:hAnsi="Times New Roman"/>
                <w:color w:val="000000"/>
                <w:sz w:val="16"/>
                <w:szCs w:val="16"/>
              </w:rPr>
              <w:t>documents</w:t>
            </w:r>
            <w:proofErr w:type="spellEnd"/>
            <w:r w:rsidRPr="00E16672">
              <w:rPr>
                <w:rFonts w:ascii="Times New Roman" w:eastAsia="Arial" w:hAnsi="Times New Roman"/>
                <w:color w:val="000000"/>
                <w:sz w:val="16"/>
                <w:szCs w:val="16"/>
              </w:rPr>
              <w:t xml:space="preserve"> </w:t>
            </w:r>
            <w:proofErr w:type="spellStart"/>
            <w:r w:rsidRPr="00E16672">
              <w:rPr>
                <w:rFonts w:ascii="Times New Roman" w:eastAsia="Arial" w:hAnsi="Times New Roman"/>
                <w:color w:val="000000"/>
                <w:sz w:val="16"/>
                <w:szCs w:val="16"/>
              </w:rPr>
              <w:t>that</w:t>
            </w:r>
            <w:proofErr w:type="spellEnd"/>
            <w:r w:rsidRPr="00E16672">
              <w:rPr>
                <w:rFonts w:ascii="Times New Roman" w:eastAsia="Arial" w:hAnsi="Times New Roman"/>
                <w:color w:val="000000"/>
                <w:sz w:val="16"/>
                <w:szCs w:val="16"/>
              </w:rPr>
              <w:t xml:space="preserve"> </w:t>
            </w:r>
            <w:proofErr w:type="spellStart"/>
            <w:r w:rsidRPr="00E16672">
              <w:rPr>
                <w:rFonts w:ascii="Times New Roman" w:eastAsia="Arial" w:hAnsi="Times New Roman"/>
                <w:color w:val="000000"/>
                <w:sz w:val="16"/>
                <w:szCs w:val="16"/>
              </w:rPr>
              <w:t>were</w:t>
            </w:r>
            <w:proofErr w:type="spellEnd"/>
            <w:r w:rsidRPr="00E16672">
              <w:rPr>
                <w:rFonts w:ascii="Times New Roman" w:eastAsia="Arial" w:hAnsi="Times New Roman"/>
                <w:color w:val="000000"/>
                <w:sz w:val="16"/>
                <w:szCs w:val="16"/>
              </w:rPr>
              <w:t xml:space="preserve"> </w:t>
            </w:r>
            <w:proofErr w:type="spellStart"/>
            <w:r w:rsidRPr="00E16672">
              <w:rPr>
                <w:rFonts w:ascii="Times New Roman" w:eastAsia="Arial" w:hAnsi="Times New Roman"/>
                <w:color w:val="000000"/>
                <w:sz w:val="16"/>
                <w:szCs w:val="16"/>
              </w:rPr>
              <w:t>the</w:t>
            </w:r>
            <w:proofErr w:type="spellEnd"/>
            <w:r w:rsidRPr="00E16672">
              <w:rPr>
                <w:rFonts w:ascii="Times New Roman" w:eastAsia="Arial" w:hAnsi="Times New Roman"/>
                <w:color w:val="000000"/>
                <w:sz w:val="16"/>
                <w:szCs w:val="16"/>
              </w:rPr>
              <w:t xml:space="preserve"> </w:t>
            </w:r>
            <w:proofErr w:type="spellStart"/>
            <w:r w:rsidRPr="00E16672">
              <w:rPr>
                <w:rFonts w:ascii="Times New Roman" w:eastAsia="Arial" w:hAnsi="Times New Roman"/>
                <w:color w:val="000000"/>
                <w:sz w:val="16"/>
                <w:szCs w:val="16"/>
              </w:rPr>
              <w:t>basis</w:t>
            </w:r>
            <w:proofErr w:type="spellEnd"/>
            <w:r w:rsidRPr="00E16672">
              <w:rPr>
                <w:rFonts w:ascii="Times New Roman" w:eastAsia="Arial" w:hAnsi="Times New Roman"/>
                <w:color w:val="000000"/>
                <w:sz w:val="16"/>
                <w:szCs w:val="16"/>
              </w:rPr>
              <w:t xml:space="preserve"> </w:t>
            </w:r>
            <w:proofErr w:type="spellStart"/>
            <w:r w:rsidRPr="00E16672">
              <w:rPr>
                <w:rFonts w:ascii="Times New Roman" w:eastAsia="Arial" w:hAnsi="Times New Roman"/>
                <w:color w:val="000000"/>
                <w:sz w:val="16"/>
                <w:szCs w:val="16"/>
              </w:rPr>
              <w:t>for</w:t>
            </w:r>
            <w:proofErr w:type="spellEnd"/>
            <w:r w:rsidRPr="00E16672">
              <w:rPr>
                <w:rFonts w:ascii="Times New Roman" w:eastAsia="Arial" w:hAnsi="Times New Roman"/>
                <w:color w:val="000000"/>
                <w:sz w:val="16"/>
                <w:szCs w:val="16"/>
              </w:rPr>
              <w:t xml:space="preserve"> </w:t>
            </w:r>
            <w:proofErr w:type="spellStart"/>
            <w:r w:rsidRPr="00E16672">
              <w:rPr>
                <w:rFonts w:ascii="Times New Roman" w:eastAsia="Arial" w:hAnsi="Times New Roman"/>
                <w:color w:val="000000"/>
                <w:sz w:val="16"/>
                <w:szCs w:val="16"/>
              </w:rPr>
              <w:t>establishing</w:t>
            </w:r>
            <w:proofErr w:type="spellEnd"/>
            <w:r w:rsidRPr="00E16672">
              <w:rPr>
                <w:rFonts w:ascii="Times New Roman" w:eastAsia="Arial" w:hAnsi="Times New Roman"/>
                <w:color w:val="000000"/>
                <w:sz w:val="16"/>
                <w:szCs w:val="16"/>
              </w:rPr>
              <w:t xml:space="preserve"> </w:t>
            </w:r>
            <w:proofErr w:type="spellStart"/>
            <w:r w:rsidRPr="00E16672">
              <w:rPr>
                <w:rFonts w:ascii="Times New Roman" w:eastAsia="Arial" w:hAnsi="Times New Roman"/>
                <w:color w:val="000000"/>
                <w:sz w:val="16"/>
                <w:szCs w:val="16"/>
              </w:rPr>
              <w:t>limits</w:t>
            </w:r>
            <w:proofErr w:type="spellEnd"/>
            <w:r w:rsidRPr="00E16672">
              <w:rPr>
                <w:rFonts w:ascii="Times New Roman" w:eastAsia="Arial" w:hAnsi="Times New Roman"/>
                <w:color w:val="000000"/>
                <w:sz w:val="16"/>
                <w:szCs w:val="16"/>
              </w:rPr>
              <w:t xml:space="preserve"> </w:t>
            </w:r>
            <w:proofErr w:type="spellStart"/>
            <w:r w:rsidRPr="00E16672">
              <w:rPr>
                <w:rFonts w:ascii="Times New Roman" w:eastAsia="Arial" w:hAnsi="Times New Roman"/>
                <w:color w:val="000000"/>
                <w:sz w:val="16"/>
                <w:szCs w:val="16"/>
              </w:rPr>
              <w:t>on</w:t>
            </w:r>
            <w:proofErr w:type="spellEnd"/>
            <w:r w:rsidRPr="00E16672">
              <w:rPr>
                <w:rFonts w:ascii="Times New Roman" w:eastAsia="Arial" w:hAnsi="Times New Roman"/>
                <w:color w:val="000000"/>
                <w:sz w:val="16"/>
                <w:szCs w:val="16"/>
              </w:rPr>
              <w:t xml:space="preserve"> </w:t>
            </w:r>
            <w:proofErr w:type="spellStart"/>
            <w:r w:rsidRPr="00E16672">
              <w:rPr>
                <w:rFonts w:ascii="Times New Roman" w:eastAsia="Arial" w:hAnsi="Times New Roman"/>
                <w:color w:val="000000"/>
                <w:sz w:val="16"/>
                <w:szCs w:val="16"/>
              </w:rPr>
              <w:t>securities</w:t>
            </w:r>
            <w:proofErr w:type="spellEnd"/>
            <w:r w:rsidRPr="00E16672">
              <w:rPr>
                <w:rFonts w:ascii="Times New Roman" w:eastAsia="Arial" w:hAnsi="Times New Roman"/>
                <w:color w:val="000000"/>
                <w:sz w:val="16"/>
                <w:szCs w:val="16"/>
              </w:rPr>
              <w:t xml:space="preserve"> </w:t>
            </w:r>
            <w:proofErr w:type="spellStart"/>
            <w:r w:rsidRPr="00E16672">
              <w:rPr>
                <w:rFonts w:ascii="Times New Roman" w:eastAsia="Arial" w:hAnsi="Times New Roman"/>
                <w:color w:val="000000"/>
                <w:sz w:val="16"/>
                <w:szCs w:val="16"/>
              </w:rPr>
              <w:t>outstanding</w:t>
            </w:r>
            <w:proofErr w:type="spellEnd"/>
            <w:r w:rsidRPr="00E16672">
              <w:rPr>
                <w:rFonts w:ascii="Times New Roman" w:eastAsia="Arial" w:hAnsi="Times New Roman"/>
                <w:color w:val="000000"/>
                <w:sz w:val="16"/>
                <w:szCs w:val="16"/>
              </w:rPr>
              <w:t xml:space="preserve"> </w:t>
            </w:r>
            <w:proofErr w:type="spellStart"/>
            <w:r w:rsidRPr="00E16672">
              <w:rPr>
                <w:rFonts w:ascii="Times New Roman" w:eastAsia="Arial" w:hAnsi="Times New Roman"/>
                <w:color w:val="000000"/>
                <w:sz w:val="16"/>
                <w:szCs w:val="16"/>
              </w:rPr>
              <w:t>on</w:t>
            </w:r>
            <w:proofErr w:type="spellEnd"/>
            <w:r w:rsidRPr="00E16672">
              <w:rPr>
                <w:rFonts w:ascii="Times New Roman" w:eastAsia="Arial" w:hAnsi="Times New Roman"/>
                <w:color w:val="000000"/>
                <w:sz w:val="16"/>
                <w:szCs w:val="16"/>
              </w:rPr>
              <w:t xml:space="preserve"> </w:t>
            </w:r>
            <w:proofErr w:type="spellStart"/>
            <w:r w:rsidRPr="00E16672">
              <w:rPr>
                <w:rFonts w:ascii="Times New Roman" w:eastAsia="Arial" w:hAnsi="Times New Roman"/>
                <w:color w:val="000000"/>
                <w:sz w:val="16"/>
                <w:szCs w:val="16"/>
              </w:rPr>
              <w:t>the</w:t>
            </w:r>
            <w:proofErr w:type="spellEnd"/>
            <w:r w:rsidRPr="00E16672">
              <w:rPr>
                <w:rFonts w:ascii="Times New Roman" w:eastAsia="Arial" w:hAnsi="Times New Roman"/>
                <w:color w:val="000000"/>
                <w:sz w:val="16"/>
                <w:szCs w:val="16"/>
              </w:rPr>
              <w:t xml:space="preserve"> </w:t>
            </w:r>
            <w:proofErr w:type="spellStart"/>
            <w:r w:rsidRPr="00E16672">
              <w:rPr>
                <w:rFonts w:ascii="Times New Roman" w:eastAsia="Arial" w:hAnsi="Times New Roman"/>
                <w:color w:val="000000"/>
                <w:sz w:val="16"/>
                <w:szCs w:val="16"/>
              </w:rPr>
              <w:t>securities</w:t>
            </w:r>
            <w:proofErr w:type="spellEnd"/>
            <w:r w:rsidRPr="00E16672">
              <w:rPr>
                <w:rFonts w:ascii="Times New Roman" w:eastAsia="Arial" w:hAnsi="Times New Roman"/>
                <w:color w:val="000000"/>
                <w:sz w:val="16"/>
                <w:szCs w:val="16"/>
              </w:rPr>
              <w:t xml:space="preserve"> </w:t>
            </w:r>
            <w:proofErr w:type="spellStart"/>
            <w:r w:rsidRPr="00E16672">
              <w:rPr>
                <w:rFonts w:ascii="Times New Roman" w:eastAsia="Arial" w:hAnsi="Times New Roman"/>
                <w:color w:val="000000"/>
                <w:sz w:val="16"/>
                <w:szCs w:val="16"/>
              </w:rPr>
              <w:t>account</w:t>
            </w:r>
            <w:proofErr w:type="spellEnd"/>
            <w:r w:rsidRPr="00E16672">
              <w:rPr>
                <w:rFonts w:ascii="Times New Roman" w:eastAsia="Arial" w:hAnsi="Times New Roman"/>
                <w:color w:val="000000"/>
                <w:sz w:val="16"/>
                <w:szCs w:val="16"/>
              </w:rPr>
              <w:t xml:space="preserve"> </w:t>
            </w:r>
            <w:proofErr w:type="spellStart"/>
            <w:r w:rsidRPr="00E16672">
              <w:rPr>
                <w:rFonts w:ascii="Times New Roman" w:eastAsia="Arial" w:hAnsi="Times New Roman"/>
                <w:color w:val="000000"/>
                <w:sz w:val="16"/>
                <w:szCs w:val="16"/>
              </w:rPr>
              <w:t>the</w:t>
            </w:r>
            <w:proofErr w:type="spellEnd"/>
            <w:r w:rsidRPr="00E16672">
              <w:rPr>
                <w:rFonts w:ascii="Times New Roman" w:eastAsia="Arial" w:hAnsi="Times New Roman"/>
                <w:color w:val="000000"/>
                <w:sz w:val="16"/>
                <w:szCs w:val="16"/>
              </w:rPr>
              <w:t xml:space="preserve"> </w:t>
            </w:r>
            <w:proofErr w:type="spellStart"/>
            <w:r w:rsidRPr="00E16672">
              <w:rPr>
                <w:rFonts w:ascii="Times New Roman" w:eastAsia="Arial" w:hAnsi="Times New Roman"/>
                <w:color w:val="000000"/>
                <w:sz w:val="16"/>
                <w:szCs w:val="16"/>
              </w:rPr>
              <w:t>Depositor</w:t>
            </w:r>
            <w:proofErr w:type="spellEnd"/>
            <w:r w:rsidRPr="00E16672">
              <w:rPr>
                <w:rFonts w:ascii="Times New Roman" w:eastAsia="Arial" w:hAnsi="Times New Roman"/>
                <w:color w:val="000000"/>
                <w:sz w:val="16"/>
                <w:szCs w:val="16"/>
              </w:rPr>
              <w:t xml:space="preserve"> </w:t>
            </w:r>
            <w:proofErr w:type="spellStart"/>
            <w:r w:rsidRPr="00E16672">
              <w:rPr>
                <w:rFonts w:ascii="Times New Roman" w:eastAsia="Arial" w:hAnsi="Times New Roman"/>
                <w:color w:val="000000"/>
                <w:sz w:val="16"/>
                <w:szCs w:val="16"/>
              </w:rPr>
              <w:t>of</w:t>
            </w:r>
            <w:proofErr w:type="spellEnd"/>
            <w:r w:rsidRPr="00E16672">
              <w:rPr>
                <w:rFonts w:ascii="Times New Roman" w:eastAsia="Arial" w:hAnsi="Times New Roman"/>
                <w:color w:val="000000"/>
                <w:sz w:val="16"/>
                <w:szCs w:val="16"/>
              </w:rPr>
              <w:t xml:space="preserve"> </w:t>
            </w:r>
            <w:proofErr w:type="spellStart"/>
            <w:r w:rsidRPr="00E16672">
              <w:rPr>
                <w:rFonts w:ascii="Times New Roman" w:eastAsia="Arial" w:hAnsi="Times New Roman"/>
                <w:color w:val="000000"/>
                <w:sz w:val="16"/>
                <w:szCs w:val="16"/>
              </w:rPr>
              <w:t>which</w:t>
            </w:r>
            <w:proofErr w:type="spellEnd"/>
            <w:r w:rsidRPr="00E16672">
              <w:rPr>
                <w:rFonts w:ascii="Times New Roman" w:eastAsia="Arial" w:hAnsi="Times New Roman"/>
                <w:color w:val="000000"/>
                <w:sz w:val="16"/>
                <w:szCs w:val="16"/>
              </w:rPr>
              <w:t xml:space="preserve"> </w:t>
            </w:r>
            <w:proofErr w:type="spellStart"/>
            <w:r w:rsidRPr="00E16672">
              <w:rPr>
                <w:rFonts w:ascii="Times New Roman" w:eastAsia="Arial" w:hAnsi="Times New Roman"/>
                <w:color w:val="000000"/>
                <w:sz w:val="16"/>
                <w:szCs w:val="16"/>
              </w:rPr>
              <w:t>to</w:t>
            </w:r>
            <w:proofErr w:type="spellEnd"/>
            <w:r w:rsidRPr="00E16672">
              <w:rPr>
                <w:rFonts w:ascii="Times New Roman" w:eastAsia="Arial" w:hAnsi="Times New Roman"/>
                <w:color w:val="000000"/>
                <w:sz w:val="16"/>
                <w:szCs w:val="16"/>
              </w:rPr>
              <w:t xml:space="preserve"> </w:t>
            </w:r>
            <w:proofErr w:type="spellStart"/>
            <w:r w:rsidRPr="00E16672">
              <w:rPr>
                <w:rFonts w:ascii="Times New Roman" w:eastAsia="Arial" w:hAnsi="Times New Roman"/>
                <w:color w:val="000000"/>
                <w:sz w:val="16"/>
                <w:szCs w:val="16"/>
              </w:rPr>
              <w:t>be</w:t>
            </w:r>
            <w:proofErr w:type="spellEnd"/>
            <w:r w:rsidRPr="00E16672">
              <w:rPr>
                <w:rFonts w:ascii="Times New Roman" w:eastAsia="Arial" w:hAnsi="Times New Roman"/>
                <w:color w:val="000000"/>
                <w:sz w:val="16"/>
                <w:szCs w:val="16"/>
              </w:rPr>
              <w:t xml:space="preserve"> </w:t>
            </w:r>
            <w:proofErr w:type="spellStart"/>
            <w:r w:rsidRPr="00E16672">
              <w:rPr>
                <w:rFonts w:ascii="Times New Roman" w:eastAsia="Arial" w:hAnsi="Times New Roman"/>
                <w:color w:val="000000"/>
                <w:sz w:val="16"/>
                <w:szCs w:val="16"/>
              </w:rPr>
              <w:t>withdrawal</w:t>
            </w:r>
            <w:proofErr w:type="spellEnd"/>
            <w:r w:rsidRPr="00E16672">
              <w:rPr>
                <w:rFonts w:ascii="Times New Roman" w:eastAsia="Arial" w:hAnsi="Times New Roman"/>
                <w:color w:val="000000"/>
                <w:sz w:val="16"/>
                <w:szCs w:val="16"/>
              </w:rPr>
              <w:t xml:space="preserve"> </w:t>
            </w:r>
            <w:proofErr w:type="spellStart"/>
            <w:r w:rsidRPr="00E16672">
              <w:rPr>
                <w:rFonts w:ascii="Times New Roman" w:eastAsia="Arial" w:hAnsi="Times New Roman"/>
                <w:color w:val="000000"/>
                <w:sz w:val="16"/>
                <w:szCs w:val="16"/>
              </w:rPr>
              <w:t>securities</w:t>
            </w:r>
            <w:proofErr w:type="spellEnd"/>
            <w:r w:rsidRPr="00E16672">
              <w:rPr>
                <w:rFonts w:ascii="Times New Roman" w:eastAsia="Arial" w:hAnsi="Times New Roman"/>
                <w:color w:val="000000"/>
                <w:sz w:val="16"/>
                <w:szCs w:val="16"/>
              </w:rPr>
              <w:t xml:space="preserve"> </w:t>
            </w:r>
            <w:proofErr w:type="spellStart"/>
            <w:r w:rsidRPr="00E16672">
              <w:rPr>
                <w:rFonts w:ascii="Times New Roman" w:eastAsia="Arial" w:hAnsi="Times New Roman"/>
                <w:color w:val="000000"/>
                <w:sz w:val="16"/>
                <w:szCs w:val="16"/>
              </w:rPr>
              <w:t>that</w:t>
            </w:r>
            <w:proofErr w:type="spellEnd"/>
            <w:r w:rsidRPr="00E16672">
              <w:rPr>
                <w:rFonts w:ascii="Times New Roman" w:eastAsia="Arial" w:hAnsi="Times New Roman"/>
                <w:color w:val="000000"/>
                <w:sz w:val="16"/>
                <w:szCs w:val="16"/>
              </w:rPr>
              <w:t xml:space="preserve"> </w:t>
            </w:r>
            <w:proofErr w:type="spellStart"/>
            <w:r w:rsidRPr="00E16672">
              <w:rPr>
                <w:rFonts w:ascii="Times New Roman" w:eastAsia="Arial" w:hAnsi="Times New Roman"/>
                <w:color w:val="000000"/>
                <w:sz w:val="16"/>
                <w:szCs w:val="16"/>
              </w:rPr>
              <w:t>have</w:t>
            </w:r>
            <w:proofErr w:type="spellEnd"/>
            <w:r w:rsidRPr="00E16672">
              <w:rPr>
                <w:rFonts w:ascii="Times New Roman" w:eastAsia="Arial" w:hAnsi="Times New Roman"/>
                <w:color w:val="000000"/>
                <w:sz w:val="16"/>
                <w:szCs w:val="16"/>
              </w:rPr>
              <w:t xml:space="preserve"> </w:t>
            </w:r>
            <w:proofErr w:type="spellStart"/>
            <w:r w:rsidRPr="00E16672">
              <w:rPr>
                <w:rFonts w:ascii="Times New Roman" w:eastAsia="Arial" w:hAnsi="Times New Roman"/>
                <w:color w:val="000000"/>
                <w:sz w:val="16"/>
                <w:szCs w:val="16"/>
              </w:rPr>
              <w:t>limited</w:t>
            </w:r>
            <w:proofErr w:type="spellEnd"/>
            <w:r w:rsidRPr="00E16672">
              <w:rPr>
                <w:rFonts w:ascii="Times New Roman" w:eastAsia="Arial" w:hAnsi="Times New Roman"/>
                <w:color w:val="000000"/>
                <w:sz w:val="16"/>
                <w:szCs w:val="16"/>
              </w:rPr>
              <w:t xml:space="preserve"> </w:t>
            </w:r>
            <w:proofErr w:type="spellStart"/>
            <w:r w:rsidRPr="00E16672">
              <w:rPr>
                <w:rFonts w:ascii="Times New Roman" w:eastAsia="Arial" w:hAnsi="Times New Roman"/>
                <w:color w:val="000000"/>
                <w:sz w:val="16"/>
                <w:szCs w:val="16"/>
              </w:rPr>
              <w:t>turnover</w:t>
            </w:r>
            <w:proofErr w:type="spellEnd"/>
            <w:r w:rsidRPr="00E16672">
              <w:rPr>
                <w:rFonts w:ascii="Times New Roman" w:eastAsia="Arial" w:hAnsi="Times New Roman"/>
                <w:color w:val="000000"/>
                <w:sz w:val="16"/>
                <w:szCs w:val="16"/>
              </w:rPr>
              <w:t>.</w:t>
            </w:r>
          </w:p>
        </w:tc>
      </w:tr>
      <w:tr w:rsidR="003A05A3" w:rsidRPr="00F23413" w14:paraId="5EC37B56" w14:textId="77777777" w:rsidTr="00242F58">
        <w:trPr>
          <w:trHeight w:val="192"/>
        </w:trPr>
        <w:tc>
          <w:tcPr>
            <w:tcW w:w="5696" w:type="dxa"/>
            <w:gridSpan w:val="8"/>
            <w:shd w:val="clear" w:color="auto" w:fill="auto"/>
          </w:tcPr>
          <w:p w14:paraId="4EAB6C5D" w14:textId="77777777" w:rsidR="003A05A3" w:rsidRPr="00E16672" w:rsidRDefault="003A05A3" w:rsidP="00022F5F">
            <w:pPr>
              <w:tabs>
                <w:tab w:val="left" w:pos="851"/>
                <w:tab w:val="left" w:pos="7200"/>
              </w:tabs>
              <w:snapToGrid w:val="0"/>
              <w:ind w:left="142" w:right="141" w:firstLine="40"/>
              <w:jc w:val="left"/>
              <w:rPr>
                <w:rFonts w:ascii="Times New Roman" w:eastAsia="Arial" w:hAnsi="Times New Roman"/>
                <w:color w:val="000000"/>
                <w:sz w:val="16"/>
                <w:szCs w:val="16"/>
                <w:lang w:val="uk-UA"/>
              </w:rPr>
            </w:pPr>
            <w:r w:rsidRPr="00E16672">
              <w:rPr>
                <w:rFonts w:ascii="Times New Roman" w:eastAsia="Arial" w:hAnsi="Times New Roman"/>
                <w:color w:val="000000"/>
                <w:sz w:val="16"/>
                <w:szCs w:val="16"/>
                <w:lang w:val="en-US"/>
              </w:rPr>
              <w:t>2.1.2</w:t>
            </w:r>
            <w:r w:rsidRPr="00E16672">
              <w:rPr>
                <w:rFonts w:ascii="Times New Roman" w:eastAsia="Arial" w:hAnsi="Times New Roman"/>
                <w:color w:val="000000"/>
                <w:sz w:val="16"/>
                <w:szCs w:val="16"/>
                <w:lang w:val="uk-UA"/>
              </w:rPr>
              <w:t>0</w:t>
            </w:r>
            <w:r w:rsidRPr="00E16672">
              <w:rPr>
                <w:rFonts w:ascii="Times New Roman" w:eastAsia="Arial" w:hAnsi="Times New Roman"/>
                <w:color w:val="000000"/>
                <w:sz w:val="16"/>
                <w:szCs w:val="16"/>
                <w:lang w:val="en-US"/>
              </w:rPr>
              <w:t xml:space="preserve">. </w:t>
            </w:r>
            <w:r w:rsidR="00F04A24" w:rsidRPr="00E16672">
              <w:rPr>
                <w:rFonts w:ascii="Times New Roman" w:eastAsia="Arial" w:hAnsi="Times New Roman"/>
                <w:color w:val="000000"/>
                <w:sz w:val="16"/>
                <w:szCs w:val="16"/>
                <w:lang w:val="uk-UA"/>
              </w:rPr>
              <w:t xml:space="preserve">Розкривати депоненту інформацію про умови та порядок діяльності депозитарної установи з урахуванням вимог, встановлених частиною першою статті 12 Закону України </w:t>
            </w:r>
            <w:r w:rsidR="00022F5F">
              <w:rPr>
                <w:rFonts w:ascii="Times New Roman" w:eastAsia="Arial" w:hAnsi="Times New Roman"/>
                <w:color w:val="000000"/>
                <w:sz w:val="16"/>
                <w:szCs w:val="16"/>
                <w:lang w:val="uk-UA"/>
              </w:rPr>
              <w:t>"</w:t>
            </w:r>
            <w:r w:rsidR="00F04A24" w:rsidRPr="00E16672">
              <w:rPr>
                <w:rFonts w:ascii="Times New Roman" w:eastAsia="Arial" w:hAnsi="Times New Roman"/>
                <w:color w:val="000000"/>
                <w:sz w:val="16"/>
                <w:szCs w:val="16"/>
                <w:lang w:val="uk-UA"/>
              </w:rPr>
              <w:t>Про фінансові послуги та державне регулювання ринків фінансових послуг</w:t>
            </w:r>
            <w:r w:rsidR="00022F5F">
              <w:rPr>
                <w:rFonts w:ascii="Times New Roman" w:eastAsia="Arial" w:hAnsi="Times New Roman"/>
                <w:color w:val="000000"/>
                <w:sz w:val="16"/>
                <w:szCs w:val="16"/>
                <w:lang w:val="uk-UA"/>
              </w:rPr>
              <w:t>"</w:t>
            </w:r>
            <w:r w:rsidRPr="00E16672">
              <w:rPr>
                <w:rFonts w:ascii="Times New Roman" w:eastAsia="Arial" w:hAnsi="Times New Roman"/>
                <w:color w:val="000000"/>
                <w:sz w:val="16"/>
                <w:szCs w:val="16"/>
                <w:lang w:val="uk-UA"/>
              </w:rPr>
              <w:t>.</w:t>
            </w:r>
          </w:p>
          <w:p w14:paraId="2168FB23" w14:textId="77777777" w:rsidR="003A05A3" w:rsidRPr="00E16672" w:rsidRDefault="003A05A3" w:rsidP="00843027">
            <w:pPr>
              <w:tabs>
                <w:tab w:val="left" w:pos="851"/>
                <w:tab w:val="left" w:pos="7200"/>
              </w:tabs>
              <w:ind w:left="142" w:right="141" w:firstLine="40"/>
              <w:rPr>
                <w:rFonts w:ascii="Times New Roman" w:hAnsi="Times New Roman"/>
                <w:color w:val="000000"/>
                <w:sz w:val="16"/>
                <w:szCs w:val="16"/>
                <w:lang w:val="en-US"/>
              </w:rPr>
            </w:pPr>
          </w:p>
        </w:tc>
        <w:tc>
          <w:tcPr>
            <w:tcW w:w="5494" w:type="dxa"/>
            <w:gridSpan w:val="6"/>
            <w:shd w:val="clear" w:color="auto" w:fill="auto"/>
          </w:tcPr>
          <w:p w14:paraId="53772EE7" w14:textId="77777777" w:rsidR="003A05A3" w:rsidRPr="00E16672" w:rsidRDefault="003A05A3" w:rsidP="00022F5F">
            <w:pPr>
              <w:pStyle w:val="210"/>
              <w:snapToGrid w:val="0"/>
              <w:ind w:left="145" w:right="100" w:firstLine="3"/>
              <w:jc w:val="left"/>
              <w:rPr>
                <w:rFonts w:ascii="Times New Roman" w:eastAsia="Arial" w:hAnsi="Times New Roman"/>
                <w:color w:val="000000"/>
                <w:sz w:val="16"/>
                <w:szCs w:val="16"/>
              </w:rPr>
            </w:pPr>
            <w:r w:rsidRPr="00E16672">
              <w:rPr>
                <w:rFonts w:ascii="Times New Roman" w:eastAsia="Arial" w:hAnsi="Times New Roman"/>
                <w:color w:val="000000"/>
                <w:sz w:val="16"/>
                <w:szCs w:val="16"/>
              </w:rPr>
              <w:t xml:space="preserve">2.1.20. </w:t>
            </w:r>
            <w:proofErr w:type="spellStart"/>
            <w:r w:rsidR="00F04A24" w:rsidRPr="00E16672">
              <w:rPr>
                <w:rFonts w:ascii="Times New Roman" w:eastAsia="Arial" w:hAnsi="Times New Roman"/>
                <w:color w:val="000000"/>
                <w:sz w:val="16"/>
                <w:szCs w:val="16"/>
              </w:rPr>
              <w:t>To</w:t>
            </w:r>
            <w:proofErr w:type="spellEnd"/>
            <w:r w:rsidR="00F04A24" w:rsidRPr="00E16672">
              <w:rPr>
                <w:rFonts w:ascii="Times New Roman" w:eastAsia="Arial" w:hAnsi="Times New Roman"/>
                <w:color w:val="000000"/>
                <w:sz w:val="16"/>
                <w:szCs w:val="16"/>
              </w:rPr>
              <w:t xml:space="preserve"> </w:t>
            </w:r>
            <w:proofErr w:type="spellStart"/>
            <w:r w:rsidR="00F04A24" w:rsidRPr="00E16672">
              <w:rPr>
                <w:rFonts w:ascii="Times New Roman" w:eastAsia="Arial" w:hAnsi="Times New Roman"/>
                <w:color w:val="000000"/>
                <w:sz w:val="16"/>
                <w:szCs w:val="16"/>
              </w:rPr>
              <w:t>disclose</w:t>
            </w:r>
            <w:proofErr w:type="spellEnd"/>
            <w:r w:rsidR="00F04A24" w:rsidRPr="00E16672">
              <w:rPr>
                <w:rFonts w:ascii="Times New Roman" w:eastAsia="Arial" w:hAnsi="Times New Roman"/>
                <w:color w:val="000000"/>
                <w:sz w:val="16"/>
                <w:szCs w:val="16"/>
              </w:rPr>
              <w:t xml:space="preserve"> </w:t>
            </w:r>
            <w:proofErr w:type="spellStart"/>
            <w:r w:rsidR="00F04A24" w:rsidRPr="00E16672">
              <w:rPr>
                <w:rFonts w:ascii="Times New Roman" w:eastAsia="Arial" w:hAnsi="Times New Roman"/>
                <w:color w:val="000000"/>
                <w:sz w:val="16"/>
                <w:szCs w:val="16"/>
              </w:rPr>
              <w:t>to</w:t>
            </w:r>
            <w:proofErr w:type="spellEnd"/>
            <w:r w:rsidR="00F04A24" w:rsidRPr="00E16672">
              <w:rPr>
                <w:rFonts w:ascii="Times New Roman" w:eastAsia="Arial" w:hAnsi="Times New Roman"/>
                <w:color w:val="000000"/>
                <w:sz w:val="16"/>
                <w:szCs w:val="16"/>
              </w:rPr>
              <w:t xml:space="preserve"> </w:t>
            </w:r>
            <w:proofErr w:type="spellStart"/>
            <w:r w:rsidR="00F04A24" w:rsidRPr="00E16672">
              <w:rPr>
                <w:rFonts w:ascii="Times New Roman" w:eastAsia="Arial" w:hAnsi="Times New Roman"/>
                <w:color w:val="000000"/>
                <w:sz w:val="16"/>
                <w:szCs w:val="16"/>
              </w:rPr>
              <w:t>the</w:t>
            </w:r>
            <w:proofErr w:type="spellEnd"/>
            <w:r w:rsidR="00F04A24" w:rsidRPr="00E16672">
              <w:rPr>
                <w:rFonts w:ascii="Times New Roman" w:eastAsia="Arial" w:hAnsi="Times New Roman"/>
                <w:color w:val="000000"/>
                <w:sz w:val="16"/>
                <w:szCs w:val="16"/>
              </w:rPr>
              <w:t xml:space="preserve"> </w:t>
            </w:r>
            <w:proofErr w:type="spellStart"/>
            <w:r w:rsidR="00F04A24" w:rsidRPr="00E16672">
              <w:rPr>
                <w:rFonts w:ascii="Times New Roman" w:eastAsia="Arial" w:hAnsi="Times New Roman"/>
                <w:color w:val="000000"/>
                <w:sz w:val="16"/>
                <w:szCs w:val="16"/>
              </w:rPr>
              <w:t>depositor</w:t>
            </w:r>
            <w:proofErr w:type="spellEnd"/>
            <w:r w:rsidR="00F04A24" w:rsidRPr="00E16672">
              <w:rPr>
                <w:rFonts w:ascii="Times New Roman" w:eastAsia="Arial" w:hAnsi="Times New Roman"/>
                <w:color w:val="000000"/>
                <w:sz w:val="16"/>
                <w:szCs w:val="16"/>
              </w:rPr>
              <w:t xml:space="preserve"> </w:t>
            </w:r>
            <w:proofErr w:type="spellStart"/>
            <w:r w:rsidR="00F04A24" w:rsidRPr="00E16672">
              <w:rPr>
                <w:rFonts w:ascii="Times New Roman" w:eastAsia="Arial" w:hAnsi="Times New Roman"/>
                <w:color w:val="000000"/>
                <w:sz w:val="16"/>
                <w:szCs w:val="16"/>
              </w:rPr>
              <w:t>information</w:t>
            </w:r>
            <w:proofErr w:type="spellEnd"/>
            <w:r w:rsidR="00F04A24" w:rsidRPr="00E16672">
              <w:rPr>
                <w:rFonts w:ascii="Times New Roman" w:eastAsia="Arial" w:hAnsi="Times New Roman"/>
                <w:color w:val="000000"/>
                <w:sz w:val="16"/>
                <w:szCs w:val="16"/>
              </w:rPr>
              <w:t xml:space="preserve"> </w:t>
            </w:r>
            <w:proofErr w:type="spellStart"/>
            <w:r w:rsidR="00F04A24" w:rsidRPr="00E16672">
              <w:rPr>
                <w:rFonts w:ascii="Times New Roman" w:eastAsia="Arial" w:hAnsi="Times New Roman"/>
                <w:color w:val="000000"/>
                <w:sz w:val="16"/>
                <w:szCs w:val="16"/>
              </w:rPr>
              <w:t>on</w:t>
            </w:r>
            <w:proofErr w:type="spellEnd"/>
            <w:r w:rsidR="00F04A24" w:rsidRPr="00E16672">
              <w:rPr>
                <w:rFonts w:ascii="Times New Roman" w:eastAsia="Arial" w:hAnsi="Times New Roman"/>
                <w:color w:val="000000"/>
                <w:sz w:val="16"/>
                <w:szCs w:val="16"/>
              </w:rPr>
              <w:t xml:space="preserve"> </w:t>
            </w:r>
            <w:proofErr w:type="spellStart"/>
            <w:r w:rsidR="00F04A24" w:rsidRPr="00E16672">
              <w:rPr>
                <w:rFonts w:ascii="Times New Roman" w:eastAsia="Arial" w:hAnsi="Times New Roman"/>
                <w:color w:val="000000"/>
                <w:sz w:val="16"/>
                <w:szCs w:val="16"/>
              </w:rPr>
              <w:t>the</w:t>
            </w:r>
            <w:proofErr w:type="spellEnd"/>
            <w:r w:rsidR="00F04A24" w:rsidRPr="00E16672">
              <w:rPr>
                <w:rFonts w:ascii="Times New Roman" w:eastAsia="Arial" w:hAnsi="Times New Roman"/>
                <w:color w:val="000000"/>
                <w:sz w:val="16"/>
                <w:szCs w:val="16"/>
              </w:rPr>
              <w:t xml:space="preserve"> </w:t>
            </w:r>
            <w:proofErr w:type="spellStart"/>
            <w:r w:rsidR="00F04A24" w:rsidRPr="00E16672">
              <w:rPr>
                <w:rFonts w:ascii="Times New Roman" w:eastAsia="Arial" w:hAnsi="Times New Roman"/>
                <w:color w:val="000000"/>
                <w:sz w:val="16"/>
                <w:szCs w:val="16"/>
              </w:rPr>
              <w:t>conditions</w:t>
            </w:r>
            <w:proofErr w:type="spellEnd"/>
            <w:r w:rsidR="00F04A24" w:rsidRPr="00E16672">
              <w:rPr>
                <w:rFonts w:ascii="Times New Roman" w:eastAsia="Arial" w:hAnsi="Times New Roman"/>
                <w:color w:val="000000"/>
                <w:sz w:val="16"/>
                <w:szCs w:val="16"/>
              </w:rPr>
              <w:t xml:space="preserve"> </w:t>
            </w:r>
            <w:proofErr w:type="spellStart"/>
            <w:r w:rsidR="00F04A24" w:rsidRPr="00E16672">
              <w:rPr>
                <w:rFonts w:ascii="Times New Roman" w:eastAsia="Arial" w:hAnsi="Times New Roman"/>
                <w:color w:val="000000"/>
                <w:sz w:val="16"/>
                <w:szCs w:val="16"/>
              </w:rPr>
              <w:t>and</w:t>
            </w:r>
            <w:proofErr w:type="spellEnd"/>
            <w:r w:rsidR="00F04A24" w:rsidRPr="00E16672">
              <w:rPr>
                <w:rFonts w:ascii="Times New Roman" w:eastAsia="Arial" w:hAnsi="Times New Roman"/>
                <w:color w:val="000000"/>
                <w:sz w:val="16"/>
                <w:szCs w:val="16"/>
              </w:rPr>
              <w:t xml:space="preserve"> </w:t>
            </w:r>
            <w:proofErr w:type="spellStart"/>
            <w:r w:rsidR="00F04A24" w:rsidRPr="00E16672">
              <w:rPr>
                <w:rFonts w:ascii="Times New Roman" w:eastAsia="Arial" w:hAnsi="Times New Roman"/>
                <w:color w:val="000000"/>
                <w:sz w:val="16"/>
                <w:szCs w:val="16"/>
              </w:rPr>
              <w:t>procedure</w:t>
            </w:r>
            <w:proofErr w:type="spellEnd"/>
            <w:r w:rsidR="00F04A24" w:rsidRPr="00E16672">
              <w:rPr>
                <w:rFonts w:ascii="Times New Roman" w:eastAsia="Arial" w:hAnsi="Times New Roman"/>
                <w:color w:val="000000"/>
                <w:sz w:val="16"/>
                <w:szCs w:val="16"/>
              </w:rPr>
              <w:t xml:space="preserve"> </w:t>
            </w:r>
            <w:proofErr w:type="spellStart"/>
            <w:r w:rsidR="00F04A24" w:rsidRPr="00E16672">
              <w:rPr>
                <w:rFonts w:ascii="Times New Roman" w:eastAsia="Arial" w:hAnsi="Times New Roman"/>
                <w:color w:val="000000"/>
                <w:sz w:val="16"/>
                <w:szCs w:val="16"/>
              </w:rPr>
              <w:t>of</w:t>
            </w:r>
            <w:proofErr w:type="spellEnd"/>
            <w:r w:rsidR="00F04A24" w:rsidRPr="00E16672">
              <w:rPr>
                <w:rFonts w:ascii="Times New Roman" w:eastAsia="Arial" w:hAnsi="Times New Roman"/>
                <w:color w:val="000000"/>
                <w:sz w:val="16"/>
                <w:szCs w:val="16"/>
              </w:rPr>
              <w:t xml:space="preserve"> </w:t>
            </w:r>
            <w:proofErr w:type="spellStart"/>
            <w:r w:rsidR="00F04A24" w:rsidRPr="00E16672">
              <w:rPr>
                <w:rFonts w:ascii="Times New Roman" w:eastAsia="Arial" w:hAnsi="Times New Roman"/>
                <w:color w:val="000000"/>
                <w:sz w:val="16"/>
                <w:szCs w:val="16"/>
              </w:rPr>
              <w:t>the</w:t>
            </w:r>
            <w:proofErr w:type="spellEnd"/>
            <w:r w:rsidR="00F04A24" w:rsidRPr="00E16672">
              <w:rPr>
                <w:rFonts w:ascii="Times New Roman" w:eastAsia="Arial" w:hAnsi="Times New Roman"/>
                <w:color w:val="000000"/>
                <w:sz w:val="16"/>
                <w:szCs w:val="16"/>
              </w:rPr>
              <w:t xml:space="preserve"> </w:t>
            </w:r>
            <w:proofErr w:type="spellStart"/>
            <w:r w:rsidR="00F04A24" w:rsidRPr="00E16672">
              <w:rPr>
                <w:rFonts w:ascii="Times New Roman" w:eastAsia="Arial" w:hAnsi="Times New Roman"/>
                <w:color w:val="000000"/>
                <w:sz w:val="16"/>
                <w:szCs w:val="16"/>
              </w:rPr>
              <w:t>depository</w:t>
            </w:r>
            <w:proofErr w:type="spellEnd"/>
            <w:r w:rsidR="00F04A24" w:rsidRPr="00E16672">
              <w:rPr>
                <w:rFonts w:ascii="Times New Roman" w:eastAsia="Arial" w:hAnsi="Times New Roman"/>
                <w:color w:val="000000"/>
                <w:sz w:val="16"/>
                <w:szCs w:val="16"/>
              </w:rPr>
              <w:t xml:space="preserve"> </w:t>
            </w:r>
            <w:proofErr w:type="spellStart"/>
            <w:r w:rsidR="00F04A24" w:rsidRPr="00E16672">
              <w:rPr>
                <w:rFonts w:ascii="Times New Roman" w:eastAsia="Arial" w:hAnsi="Times New Roman"/>
                <w:color w:val="000000"/>
                <w:sz w:val="16"/>
                <w:szCs w:val="16"/>
              </w:rPr>
              <w:t>institution</w:t>
            </w:r>
            <w:proofErr w:type="spellEnd"/>
            <w:r w:rsidR="00F04A24" w:rsidRPr="00E16672">
              <w:rPr>
                <w:rFonts w:ascii="Times New Roman" w:eastAsia="Arial" w:hAnsi="Times New Roman"/>
                <w:color w:val="000000"/>
                <w:sz w:val="16"/>
                <w:szCs w:val="16"/>
              </w:rPr>
              <w:t xml:space="preserve"> </w:t>
            </w:r>
            <w:proofErr w:type="spellStart"/>
            <w:r w:rsidR="00F04A24" w:rsidRPr="00E16672">
              <w:rPr>
                <w:rFonts w:ascii="Times New Roman" w:eastAsia="Arial" w:hAnsi="Times New Roman"/>
                <w:color w:val="000000"/>
                <w:sz w:val="16"/>
                <w:szCs w:val="16"/>
              </w:rPr>
              <w:t>taking</w:t>
            </w:r>
            <w:proofErr w:type="spellEnd"/>
            <w:r w:rsidR="00F04A24" w:rsidRPr="00E16672">
              <w:rPr>
                <w:rFonts w:ascii="Times New Roman" w:eastAsia="Arial" w:hAnsi="Times New Roman"/>
                <w:color w:val="000000"/>
                <w:sz w:val="16"/>
                <w:szCs w:val="16"/>
              </w:rPr>
              <w:t xml:space="preserve"> </w:t>
            </w:r>
            <w:proofErr w:type="spellStart"/>
            <w:r w:rsidR="00F04A24" w:rsidRPr="00E16672">
              <w:rPr>
                <w:rFonts w:ascii="Times New Roman" w:eastAsia="Arial" w:hAnsi="Times New Roman"/>
                <w:color w:val="000000"/>
                <w:sz w:val="16"/>
                <w:szCs w:val="16"/>
              </w:rPr>
              <w:t>into</w:t>
            </w:r>
            <w:proofErr w:type="spellEnd"/>
            <w:r w:rsidR="00F04A24" w:rsidRPr="00E16672">
              <w:rPr>
                <w:rFonts w:ascii="Times New Roman" w:eastAsia="Arial" w:hAnsi="Times New Roman"/>
                <w:color w:val="000000"/>
                <w:sz w:val="16"/>
                <w:szCs w:val="16"/>
              </w:rPr>
              <w:t xml:space="preserve"> </w:t>
            </w:r>
            <w:proofErr w:type="spellStart"/>
            <w:r w:rsidR="00F04A24" w:rsidRPr="00E16672">
              <w:rPr>
                <w:rFonts w:ascii="Times New Roman" w:eastAsia="Arial" w:hAnsi="Times New Roman"/>
                <w:color w:val="000000"/>
                <w:sz w:val="16"/>
                <w:szCs w:val="16"/>
              </w:rPr>
              <w:t>account</w:t>
            </w:r>
            <w:proofErr w:type="spellEnd"/>
            <w:r w:rsidR="00F04A24" w:rsidRPr="00E16672">
              <w:rPr>
                <w:rFonts w:ascii="Times New Roman" w:eastAsia="Arial" w:hAnsi="Times New Roman"/>
                <w:color w:val="000000"/>
                <w:sz w:val="16"/>
                <w:szCs w:val="16"/>
              </w:rPr>
              <w:t xml:space="preserve"> </w:t>
            </w:r>
            <w:proofErr w:type="spellStart"/>
            <w:r w:rsidR="00F04A24" w:rsidRPr="00E16672">
              <w:rPr>
                <w:rFonts w:ascii="Times New Roman" w:eastAsia="Arial" w:hAnsi="Times New Roman"/>
                <w:color w:val="000000"/>
                <w:sz w:val="16"/>
                <w:szCs w:val="16"/>
              </w:rPr>
              <w:t>the</w:t>
            </w:r>
            <w:proofErr w:type="spellEnd"/>
            <w:r w:rsidR="00F04A24" w:rsidRPr="00E16672">
              <w:rPr>
                <w:rFonts w:ascii="Times New Roman" w:eastAsia="Arial" w:hAnsi="Times New Roman"/>
                <w:color w:val="000000"/>
                <w:sz w:val="16"/>
                <w:szCs w:val="16"/>
              </w:rPr>
              <w:t xml:space="preserve"> </w:t>
            </w:r>
            <w:proofErr w:type="spellStart"/>
            <w:r w:rsidR="00F04A24" w:rsidRPr="00E16672">
              <w:rPr>
                <w:rFonts w:ascii="Times New Roman" w:eastAsia="Arial" w:hAnsi="Times New Roman"/>
                <w:color w:val="000000"/>
                <w:sz w:val="16"/>
                <w:szCs w:val="16"/>
              </w:rPr>
              <w:t>requirements</w:t>
            </w:r>
            <w:proofErr w:type="spellEnd"/>
            <w:r w:rsidR="00F04A24" w:rsidRPr="00E16672">
              <w:rPr>
                <w:rFonts w:ascii="Times New Roman" w:eastAsia="Arial" w:hAnsi="Times New Roman"/>
                <w:color w:val="000000"/>
                <w:sz w:val="16"/>
                <w:szCs w:val="16"/>
              </w:rPr>
              <w:t xml:space="preserve"> </w:t>
            </w:r>
            <w:proofErr w:type="spellStart"/>
            <w:r w:rsidR="00F04A24" w:rsidRPr="00E16672">
              <w:rPr>
                <w:rFonts w:ascii="Times New Roman" w:eastAsia="Arial" w:hAnsi="Times New Roman"/>
                <w:color w:val="000000"/>
                <w:sz w:val="16"/>
                <w:szCs w:val="16"/>
              </w:rPr>
              <w:t>established</w:t>
            </w:r>
            <w:proofErr w:type="spellEnd"/>
            <w:r w:rsidR="00F04A24" w:rsidRPr="00E16672">
              <w:rPr>
                <w:rFonts w:ascii="Times New Roman" w:eastAsia="Arial" w:hAnsi="Times New Roman"/>
                <w:color w:val="000000"/>
                <w:sz w:val="16"/>
                <w:szCs w:val="16"/>
              </w:rPr>
              <w:t xml:space="preserve"> </w:t>
            </w:r>
            <w:proofErr w:type="spellStart"/>
            <w:r w:rsidR="00F04A24" w:rsidRPr="00E16672">
              <w:rPr>
                <w:rFonts w:ascii="Times New Roman" w:eastAsia="Arial" w:hAnsi="Times New Roman"/>
                <w:color w:val="000000"/>
                <w:sz w:val="16"/>
                <w:szCs w:val="16"/>
              </w:rPr>
              <w:t>by</w:t>
            </w:r>
            <w:proofErr w:type="spellEnd"/>
            <w:r w:rsidR="00F04A24" w:rsidRPr="00E16672">
              <w:rPr>
                <w:rFonts w:ascii="Times New Roman" w:eastAsia="Arial" w:hAnsi="Times New Roman"/>
                <w:color w:val="000000"/>
                <w:sz w:val="16"/>
                <w:szCs w:val="16"/>
              </w:rPr>
              <w:t xml:space="preserve"> </w:t>
            </w:r>
            <w:proofErr w:type="spellStart"/>
            <w:r w:rsidR="00F04A24" w:rsidRPr="00E16672">
              <w:rPr>
                <w:rFonts w:ascii="Times New Roman" w:eastAsia="Arial" w:hAnsi="Times New Roman"/>
                <w:color w:val="000000"/>
                <w:sz w:val="16"/>
                <w:szCs w:val="16"/>
              </w:rPr>
              <w:t>part</w:t>
            </w:r>
            <w:proofErr w:type="spellEnd"/>
            <w:r w:rsidR="00F04A24" w:rsidRPr="00E16672">
              <w:rPr>
                <w:rFonts w:ascii="Times New Roman" w:eastAsia="Arial" w:hAnsi="Times New Roman"/>
                <w:color w:val="000000"/>
                <w:sz w:val="16"/>
                <w:szCs w:val="16"/>
              </w:rPr>
              <w:t xml:space="preserve"> </w:t>
            </w:r>
            <w:proofErr w:type="spellStart"/>
            <w:r w:rsidR="00F04A24" w:rsidRPr="00E16672">
              <w:rPr>
                <w:rFonts w:ascii="Times New Roman" w:eastAsia="Arial" w:hAnsi="Times New Roman"/>
                <w:color w:val="000000"/>
                <w:sz w:val="16"/>
                <w:szCs w:val="16"/>
              </w:rPr>
              <w:t>one</w:t>
            </w:r>
            <w:proofErr w:type="spellEnd"/>
            <w:r w:rsidR="00F04A24" w:rsidRPr="00E16672">
              <w:rPr>
                <w:rFonts w:ascii="Times New Roman" w:eastAsia="Arial" w:hAnsi="Times New Roman"/>
                <w:color w:val="000000"/>
                <w:sz w:val="16"/>
                <w:szCs w:val="16"/>
              </w:rPr>
              <w:t xml:space="preserve"> </w:t>
            </w:r>
            <w:proofErr w:type="spellStart"/>
            <w:r w:rsidR="00F04A24" w:rsidRPr="00E16672">
              <w:rPr>
                <w:rFonts w:ascii="Times New Roman" w:eastAsia="Arial" w:hAnsi="Times New Roman"/>
                <w:color w:val="000000"/>
                <w:sz w:val="16"/>
                <w:szCs w:val="16"/>
              </w:rPr>
              <w:t>of</w:t>
            </w:r>
            <w:proofErr w:type="spellEnd"/>
            <w:r w:rsidR="00F04A24" w:rsidRPr="00E16672">
              <w:rPr>
                <w:rFonts w:ascii="Times New Roman" w:eastAsia="Arial" w:hAnsi="Times New Roman"/>
                <w:color w:val="000000"/>
                <w:sz w:val="16"/>
                <w:szCs w:val="16"/>
              </w:rPr>
              <w:t xml:space="preserve"> </w:t>
            </w:r>
            <w:proofErr w:type="spellStart"/>
            <w:r w:rsidR="00F04A24" w:rsidRPr="00E16672">
              <w:rPr>
                <w:rFonts w:ascii="Times New Roman" w:eastAsia="Arial" w:hAnsi="Times New Roman"/>
                <w:color w:val="000000"/>
                <w:sz w:val="16"/>
                <w:szCs w:val="16"/>
              </w:rPr>
              <w:t>Article</w:t>
            </w:r>
            <w:proofErr w:type="spellEnd"/>
            <w:r w:rsidR="00F04A24" w:rsidRPr="00E16672">
              <w:rPr>
                <w:rFonts w:ascii="Times New Roman" w:eastAsia="Arial" w:hAnsi="Times New Roman"/>
                <w:color w:val="000000"/>
                <w:sz w:val="16"/>
                <w:szCs w:val="16"/>
              </w:rPr>
              <w:t xml:space="preserve"> 12 </w:t>
            </w:r>
            <w:proofErr w:type="spellStart"/>
            <w:r w:rsidR="00F04A24" w:rsidRPr="00E16672">
              <w:rPr>
                <w:rFonts w:ascii="Times New Roman" w:eastAsia="Arial" w:hAnsi="Times New Roman"/>
                <w:color w:val="000000"/>
                <w:sz w:val="16"/>
                <w:szCs w:val="16"/>
              </w:rPr>
              <w:t>of</w:t>
            </w:r>
            <w:proofErr w:type="spellEnd"/>
            <w:r w:rsidR="00F04A24" w:rsidRPr="00E16672">
              <w:rPr>
                <w:rFonts w:ascii="Times New Roman" w:eastAsia="Arial" w:hAnsi="Times New Roman"/>
                <w:color w:val="000000"/>
                <w:sz w:val="16"/>
                <w:szCs w:val="16"/>
              </w:rPr>
              <w:t xml:space="preserve"> </w:t>
            </w:r>
            <w:proofErr w:type="spellStart"/>
            <w:r w:rsidR="00F04A24" w:rsidRPr="00E16672">
              <w:rPr>
                <w:rFonts w:ascii="Times New Roman" w:eastAsia="Arial" w:hAnsi="Times New Roman"/>
                <w:color w:val="000000"/>
                <w:sz w:val="16"/>
                <w:szCs w:val="16"/>
              </w:rPr>
              <w:t>the</w:t>
            </w:r>
            <w:proofErr w:type="spellEnd"/>
            <w:r w:rsidR="00F04A24" w:rsidRPr="00E16672">
              <w:rPr>
                <w:rFonts w:ascii="Times New Roman" w:eastAsia="Arial" w:hAnsi="Times New Roman"/>
                <w:color w:val="000000"/>
                <w:sz w:val="16"/>
                <w:szCs w:val="16"/>
              </w:rPr>
              <w:t xml:space="preserve"> </w:t>
            </w:r>
            <w:proofErr w:type="spellStart"/>
            <w:r w:rsidR="00F04A24" w:rsidRPr="00E16672">
              <w:rPr>
                <w:rFonts w:ascii="Times New Roman" w:eastAsia="Arial" w:hAnsi="Times New Roman"/>
                <w:color w:val="000000"/>
                <w:sz w:val="16"/>
                <w:szCs w:val="16"/>
              </w:rPr>
              <w:t>Law</w:t>
            </w:r>
            <w:proofErr w:type="spellEnd"/>
            <w:r w:rsidR="00F04A24" w:rsidRPr="00E16672">
              <w:rPr>
                <w:rFonts w:ascii="Times New Roman" w:eastAsia="Arial" w:hAnsi="Times New Roman"/>
                <w:color w:val="000000"/>
                <w:sz w:val="16"/>
                <w:szCs w:val="16"/>
              </w:rPr>
              <w:t xml:space="preserve"> </w:t>
            </w:r>
            <w:proofErr w:type="spellStart"/>
            <w:r w:rsidR="00F04A24" w:rsidRPr="00E16672">
              <w:rPr>
                <w:rFonts w:ascii="Times New Roman" w:eastAsia="Arial" w:hAnsi="Times New Roman"/>
                <w:color w:val="000000"/>
                <w:sz w:val="16"/>
                <w:szCs w:val="16"/>
              </w:rPr>
              <w:t>of</w:t>
            </w:r>
            <w:proofErr w:type="spellEnd"/>
            <w:r w:rsidR="00F04A24" w:rsidRPr="00E16672">
              <w:rPr>
                <w:rFonts w:ascii="Times New Roman" w:eastAsia="Arial" w:hAnsi="Times New Roman"/>
                <w:color w:val="000000"/>
                <w:sz w:val="16"/>
                <w:szCs w:val="16"/>
              </w:rPr>
              <w:t xml:space="preserve"> </w:t>
            </w:r>
            <w:proofErr w:type="spellStart"/>
            <w:r w:rsidR="00F04A24" w:rsidRPr="00E16672">
              <w:rPr>
                <w:rFonts w:ascii="Times New Roman" w:eastAsia="Arial" w:hAnsi="Times New Roman"/>
                <w:color w:val="000000"/>
                <w:sz w:val="16"/>
                <w:szCs w:val="16"/>
              </w:rPr>
              <w:t>Ukraine</w:t>
            </w:r>
            <w:proofErr w:type="spellEnd"/>
            <w:r w:rsidR="00F04A24" w:rsidRPr="00E16672">
              <w:rPr>
                <w:rFonts w:ascii="Times New Roman" w:eastAsia="Arial" w:hAnsi="Times New Roman"/>
                <w:color w:val="000000"/>
                <w:sz w:val="16"/>
                <w:szCs w:val="16"/>
              </w:rPr>
              <w:t xml:space="preserve"> </w:t>
            </w:r>
            <w:r w:rsidR="00022F5F">
              <w:rPr>
                <w:rFonts w:ascii="Times New Roman" w:eastAsia="Arial" w:hAnsi="Times New Roman"/>
                <w:color w:val="000000"/>
                <w:sz w:val="16"/>
                <w:szCs w:val="16"/>
                <w:lang w:val="en-US"/>
              </w:rPr>
              <w:t>"</w:t>
            </w:r>
            <w:proofErr w:type="spellStart"/>
            <w:r w:rsidR="00F04A24" w:rsidRPr="00E16672">
              <w:rPr>
                <w:rFonts w:ascii="Times New Roman" w:eastAsia="Arial" w:hAnsi="Times New Roman"/>
                <w:color w:val="000000"/>
                <w:sz w:val="16"/>
                <w:szCs w:val="16"/>
              </w:rPr>
              <w:t>On</w:t>
            </w:r>
            <w:proofErr w:type="spellEnd"/>
            <w:r w:rsidR="00F04A24" w:rsidRPr="00E16672">
              <w:rPr>
                <w:rFonts w:ascii="Times New Roman" w:eastAsia="Arial" w:hAnsi="Times New Roman"/>
                <w:color w:val="000000"/>
                <w:sz w:val="16"/>
                <w:szCs w:val="16"/>
              </w:rPr>
              <w:t xml:space="preserve"> </w:t>
            </w:r>
            <w:proofErr w:type="spellStart"/>
            <w:r w:rsidR="00F04A24" w:rsidRPr="00E16672">
              <w:rPr>
                <w:rFonts w:ascii="Times New Roman" w:eastAsia="Arial" w:hAnsi="Times New Roman"/>
                <w:color w:val="000000"/>
                <w:sz w:val="16"/>
                <w:szCs w:val="16"/>
              </w:rPr>
              <w:t>Financial</w:t>
            </w:r>
            <w:proofErr w:type="spellEnd"/>
            <w:r w:rsidR="00F04A24" w:rsidRPr="00E16672">
              <w:rPr>
                <w:rFonts w:ascii="Times New Roman" w:eastAsia="Arial" w:hAnsi="Times New Roman"/>
                <w:color w:val="000000"/>
                <w:sz w:val="16"/>
                <w:szCs w:val="16"/>
              </w:rPr>
              <w:t xml:space="preserve"> </w:t>
            </w:r>
            <w:proofErr w:type="spellStart"/>
            <w:r w:rsidR="00F04A24" w:rsidRPr="00E16672">
              <w:rPr>
                <w:rFonts w:ascii="Times New Roman" w:eastAsia="Arial" w:hAnsi="Times New Roman"/>
                <w:color w:val="000000"/>
                <w:sz w:val="16"/>
                <w:szCs w:val="16"/>
              </w:rPr>
              <w:t>Services</w:t>
            </w:r>
            <w:proofErr w:type="spellEnd"/>
            <w:r w:rsidR="00F04A24" w:rsidRPr="00E16672">
              <w:rPr>
                <w:rFonts w:ascii="Times New Roman" w:eastAsia="Arial" w:hAnsi="Times New Roman"/>
                <w:color w:val="000000"/>
                <w:sz w:val="16"/>
                <w:szCs w:val="16"/>
              </w:rPr>
              <w:t xml:space="preserve"> </w:t>
            </w:r>
            <w:proofErr w:type="spellStart"/>
            <w:r w:rsidR="00F04A24" w:rsidRPr="00E16672">
              <w:rPr>
                <w:rFonts w:ascii="Times New Roman" w:eastAsia="Arial" w:hAnsi="Times New Roman"/>
                <w:color w:val="000000"/>
                <w:sz w:val="16"/>
                <w:szCs w:val="16"/>
              </w:rPr>
              <w:t>and</w:t>
            </w:r>
            <w:proofErr w:type="spellEnd"/>
            <w:r w:rsidR="00F04A24" w:rsidRPr="00E16672">
              <w:rPr>
                <w:rFonts w:ascii="Times New Roman" w:eastAsia="Arial" w:hAnsi="Times New Roman"/>
                <w:color w:val="000000"/>
                <w:sz w:val="16"/>
                <w:szCs w:val="16"/>
              </w:rPr>
              <w:t xml:space="preserve"> </w:t>
            </w:r>
            <w:proofErr w:type="spellStart"/>
            <w:r w:rsidR="00F04A24" w:rsidRPr="00E16672">
              <w:rPr>
                <w:rFonts w:ascii="Times New Roman" w:eastAsia="Arial" w:hAnsi="Times New Roman"/>
                <w:color w:val="000000"/>
                <w:sz w:val="16"/>
                <w:szCs w:val="16"/>
              </w:rPr>
              <w:t>State</w:t>
            </w:r>
            <w:proofErr w:type="spellEnd"/>
            <w:r w:rsidR="00F04A24" w:rsidRPr="00E16672">
              <w:rPr>
                <w:rFonts w:ascii="Times New Roman" w:eastAsia="Arial" w:hAnsi="Times New Roman"/>
                <w:color w:val="000000"/>
                <w:sz w:val="16"/>
                <w:szCs w:val="16"/>
              </w:rPr>
              <w:t xml:space="preserve"> </w:t>
            </w:r>
            <w:proofErr w:type="spellStart"/>
            <w:r w:rsidR="00F04A24" w:rsidRPr="00E16672">
              <w:rPr>
                <w:rFonts w:ascii="Times New Roman" w:eastAsia="Arial" w:hAnsi="Times New Roman"/>
                <w:color w:val="000000"/>
                <w:sz w:val="16"/>
                <w:szCs w:val="16"/>
              </w:rPr>
              <w:t>Regulation</w:t>
            </w:r>
            <w:proofErr w:type="spellEnd"/>
            <w:r w:rsidR="00F04A24" w:rsidRPr="00E16672">
              <w:rPr>
                <w:rFonts w:ascii="Times New Roman" w:eastAsia="Arial" w:hAnsi="Times New Roman"/>
                <w:color w:val="000000"/>
                <w:sz w:val="16"/>
                <w:szCs w:val="16"/>
              </w:rPr>
              <w:t xml:space="preserve"> </w:t>
            </w:r>
            <w:proofErr w:type="spellStart"/>
            <w:r w:rsidR="00F04A24" w:rsidRPr="00E16672">
              <w:rPr>
                <w:rFonts w:ascii="Times New Roman" w:eastAsia="Arial" w:hAnsi="Times New Roman"/>
                <w:color w:val="000000"/>
                <w:sz w:val="16"/>
                <w:szCs w:val="16"/>
              </w:rPr>
              <w:t>of</w:t>
            </w:r>
            <w:proofErr w:type="spellEnd"/>
            <w:r w:rsidR="00F04A24" w:rsidRPr="00E16672">
              <w:rPr>
                <w:rFonts w:ascii="Times New Roman" w:eastAsia="Arial" w:hAnsi="Times New Roman"/>
                <w:color w:val="000000"/>
                <w:sz w:val="16"/>
                <w:szCs w:val="16"/>
              </w:rPr>
              <w:t xml:space="preserve"> </w:t>
            </w:r>
            <w:proofErr w:type="spellStart"/>
            <w:r w:rsidR="00F04A24" w:rsidRPr="00E16672">
              <w:rPr>
                <w:rFonts w:ascii="Times New Roman" w:eastAsia="Arial" w:hAnsi="Times New Roman"/>
                <w:color w:val="000000"/>
                <w:sz w:val="16"/>
                <w:szCs w:val="16"/>
              </w:rPr>
              <w:t>Financial</w:t>
            </w:r>
            <w:proofErr w:type="spellEnd"/>
            <w:r w:rsidR="00F04A24" w:rsidRPr="00E16672">
              <w:rPr>
                <w:rFonts w:ascii="Times New Roman" w:eastAsia="Arial" w:hAnsi="Times New Roman"/>
                <w:color w:val="000000"/>
                <w:sz w:val="16"/>
                <w:szCs w:val="16"/>
              </w:rPr>
              <w:t xml:space="preserve"> </w:t>
            </w:r>
            <w:proofErr w:type="spellStart"/>
            <w:r w:rsidR="00F04A24" w:rsidRPr="00E16672">
              <w:rPr>
                <w:rFonts w:ascii="Times New Roman" w:eastAsia="Arial" w:hAnsi="Times New Roman"/>
                <w:color w:val="000000"/>
                <w:sz w:val="16"/>
                <w:szCs w:val="16"/>
              </w:rPr>
              <w:t>Services</w:t>
            </w:r>
            <w:proofErr w:type="spellEnd"/>
            <w:r w:rsidR="00F04A24" w:rsidRPr="00E16672">
              <w:rPr>
                <w:rFonts w:ascii="Times New Roman" w:eastAsia="Arial" w:hAnsi="Times New Roman"/>
                <w:color w:val="000000"/>
                <w:sz w:val="16"/>
                <w:szCs w:val="16"/>
              </w:rPr>
              <w:t xml:space="preserve"> </w:t>
            </w:r>
            <w:proofErr w:type="spellStart"/>
            <w:r w:rsidR="00F04A24" w:rsidRPr="00E16672">
              <w:rPr>
                <w:rFonts w:ascii="Times New Roman" w:eastAsia="Arial" w:hAnsi="Times New Roman"/>
                <w:color w:val="000000"/>
                <w:sz w:val="16"/>
                <w:szCs w:val="16"/>
              </w:rPr>
              <w:t>Markets</w:t>
            </w:r>
            <w:proofErr w:type="spellEnd"/>
            <w:r w:rsidR="00022F5F">
              <w:rPr>
                <w:rFonts w:ascii="Times New Roman" w:eastAsia="Arial" w:hAnsi="Times New Roman"/>
                <w:color w:val="000000"/>
                <w:sz w:val="16"/>
                <w:szCs w:val="16"/>
                <w:lang w:val="en-US"/>
              </w:rPr>
              <w:t>"</w:t>
            </w:r>
            <w:r w:rsidRPr="00E16672">
              <w:rPr>
                <w:rFonts w:ascii="Times New Roman" w:eastAsia="Arial" w:hAnsi="Times New Roman"/>
                <w:color w:val="000000"/>
                <w:sz w:val="16"/>
                <w:szCs w:val="16"/>
              </w:rPr>
              <w:t>.</w:t>
            </w:r>
          </w:p>
          <w:p w14:paraId="1E4F2ECF" w14:textId="77777777" w:rsidR="003A05A3" w:rsidRPr="00E16672" w:rsidRDefault="003A05A3" w:rsidP="00843027">
            <w:pPr>
              <w:pStyle w:val="210"/>
              <w:snapToGrid w:val="0"/>
              <w:ind w:left="145" w:right="100" w:firstLine="3"/>
              <w:rPr>
                <w:rFonts w:ascii="Times New Roman" w:eastAsia="Arial" w:hAnsi="Times New Roman"/>
                <w:color w:val="000000"/>
                <w:sz w:val="16"/>
                <w:szCs w:val="16"/>
              </w:rPr>
            </w:pPr>
          </w:p>
        </w:tc>
      </w:tr>
      <w:tr w:rsidR="003A05A3" w:rsidRPr="00F23413" w14:paraId="63B7724B" w14:textId="77777777" w:rsidTr="00242F58">
        <w:trPr>
          <w:trHeight w:val="192"/>
        </w:trPr>
        <w:tc>
          <w:tcPr>
            <w:tcW w:w="5696" w:type="dxa"/>
            <w:gridSpan w:val="8"/>
            <w:shd w:val="clear" w:color="auto" w:fill="auto"/>
          </w:tcPr>
          <w:p w14:paraId="0C5F7EAB" w14:textId="77777777" w:rsidR="003A05A3" w:rsidRPr="00E16672" w:rsidRDefault="003A05A3" w:rsidP="00843027">
            <w:pPr>
              <w:tabs>
                <w:tab w:val="left" w:pos="851"/>
                <w:tab w:val="left" w:pos="7200"/>
              </w:tabs>
              <w:ind w:left="142" w:right="138" w:firstLine="40"/>
              <w:rPr>
                <w:rFonts w:ascii="Times New Roman" w:hAnsi="Times New Roman"/>
                <w:color w:val="000000"/>
                <w:sz w:val="16"/>
                <w:szCs w:val="16"/>
              </w:rPr>
            </w:pPr>
            <w:r w:rsidRPr="00E16672">
              <w:rPr>
                <w:rFonts w:ascii="Times New Roman" w:hAnsi="Times New Roman"/>
                <w:color w:val="000000"/>
                <w:sz w:val="16"/>
                <w:szCs w:val="16"/>
              </w:rPr>
              <w:t>2.1.2</w:t>
            </w:r>
            <w:r w:rsidRPr="00E16672">
              <w:rPr>
                <w:rFonts w:ascii="Times New Roman" w:hAnsi="Times New Roman"/>
                <w:color w:val="000000"/>
                <w:sz w:val="16"/>
                <w:szCs w:val="16"/>
                <w:lang w:val="uk-UA"/>
              </w:rPr>
              <w:t>1</w:t>
            </w:r>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Отримавши</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від</w:t>
            </w:r>
            <w:proofErr w:type="spellEnd"/>
            <w:r w:rsidRPr="00E16672">
              <w:rPr>
                <w:rFonts w:ascii="Times New Roman" w:hAnsi="Times New Roman"/>
                <w:color w:val="000000"/>
                <w:sz w:val="16"/>
                <w:szCs w:val="16"/>
              </w:rPr>
              <w:t xml:space="preserve"> Центрального </w:t>
            </w:r>
            <w:proofErr w:type="spellStart"/>
            <w:r w:rsidRPr="00E16672">
              <w:rPr>
                <w:rFonts w:ascii="Times New Roman" w:hAnsi="Times New Roman"/>
                <w:color w:val="000000"/>
                <w:sz w:val="16"/>
                <w:szCs w:val="16"/>
              </w:rPr>
              <w:t>депозитарію</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повідомлення</w:t>
            </w:r>
            <w:proofErr w:type="spellEnd"/>
            <w:r w:rsidRPr="00E16672">
              <w:rPr>
                <w:rFonts w:ascii="Times New Roman" w:hAnsi="Times New Roman"/>
                <w:color w:val="000000"/>
                <w:sz w:val="16"/>
                <w:szCs w:val="16"/>
              </w:rPr>
              <w:t xml:space="preserve"> про </w:t>
            </w:r>
            <w:proofErr w:type="spellStart"/>
            <w:r w:rsidRPr="00E16672">
              <w:rPr>
                <w:rFonts w:ascii="Times New Roman" w:hAnsi="Times New Roman"/>
                <w:color w:val="000000"/>
                <w:sz w:val="16"/>
                <w:szCs w:val="16"/>
              </w:rPr>
              <w:t>завершення</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процедури</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переведення</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іменних</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цінних</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паперів</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певного</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випуску</w:t>
            </w:r>
            <w:proofErr w:type="spellEnd"/>
            <w:r w:rsidRPr="00E16672">
              <w:rPr>
                <w:rFonts w:ascii="Times New Roman" w:hAnsi="Times New Roman"/>
                <w:color w:val="000000"/>
                <w:sz w:val="16"/>
                <w:szCs w:val="16"/>
              </w:rPr>
              <w:t xml:space="preserve"> у </w:t>
            </w:r>
            <w:proofErr w:type="spellStart"/>
            <w:r w:rsidRPr="00E16672">
              <w:rPr>
                <w:rFonts w:ascii="Times New Roman" w:hAnsi="Times New Roman"/>
                <w:color w:val="000000"/>
                <w:sz w:val="16"/>
                <w:szCs w:val="16"/>
              </w:rPr>
              <w:t>бездокументарну</w:t>
            </w:r>
            <w:proofErr w:type="spellEnd"/>
            <w:r w:rsidRPr="00E16672">
              <w:rPr>
                <w:rFonts w:ascii="Times New Roman" w:hAnsi="Times New Roman"/>
                <w:color w:val="000000"/>
                <w:sz w:val="16"/>
                <w:szCs w:val="16"/>
              </w:rPr>
              <w:t xml:space="preserve"> форму </w:t>
            </w:r>
            <w:proofErr w:type="spellStart"/>
            <w:r w:rsidRPr="00E16672">
              <w:rPr>
                <w:rFonts w:ascii="Times New Roman" w:hAnsi="Times New Roman"/>
                <w:color w:val="000000"/>
                <w:sz w:val="16"/>
                <w:szCs w:val="16"/>
              </w:rPr>
              <w:t>існування</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протягом</w:t>
            </w:r>
            <w:proofErr w:type="spellEnd"/>
            <w:r w:rsidRPr="00E16672">
              <w:rPr>
                <w:rFonts w:ascii="Times New Roman" w:hAnsi="Times New Roman"/>
                <w:color w:val="000000"/>
                <w:sz w:val="16"/>
                <w:szCs w:val="16"/>
              </w:rPr>
              <w:t xml:space="preserve"> </w:t>
            </w:r>
            <w:r w:rsidRPr="00E16672">
              <w:rPr>
                <w:rFonts w:ascii="Times New Roman" w:hAnsi="Times New Roman"/>
                <w:i/>
                <w:iCs/>
                <w:color w:val="000000"/>
                <w:sz w:val="16"/>
                <w:szCs w:val="16"/>
                <w:lang w:val="uk-UA"/>
              </w:rPr>
              <w:t>трьох</w:t>
            </w:r>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rPr>
              <w:t>днів</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повідомити</w:t>
            </w:r>
            <w:proofErr w:type="spellEnd"/>
            <w:r w:rsidRPr="00E16672">
              <w:rPr>
                <w:rFonts w:ascii="Times New Roman" w:hAnsi="Times New Roman"/>
                <w:color w:val="000000"/>
                <w:sz w:val="16"/>
                <w:szCs w:val="16"/>
              </w:rPr>
              <w:t xml:space="preserve"> про </w:t>
            </w:r>
            <w:proofErr w:type="spellStart"/>
            <w:r w:rsidRPr="00E16672">
              <w:rPr>
                <w:rFonts w:ascii="Times New Roman" w:hAnsi="Times New Roman"/>
                <w:color w:val="000000"/>
                <w:sz w:val="16"/>
                <w:szCs w:val="16"/>
              </w:rPr>
              <w:t>її</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завершення</w:t>
            </w:r>
            <w:proofErr w:type="spellEnd"/>
            <w:r w:rsidRPr="00E16672">
              <w:rPr>
                <w:rFonts w:ascii="Times New Roman" w:hAnsi="Times New Roman"/>
                <w:color w:val="000000"/>
                <w:sz w:val="16"/>
                <w:szCs w:val="16"/>
              </w:rPr>
              <w:t xml:space="preserve"> Депонента, </w:t>
            </w:r>
            <w:proofErr w:type="spellStart"/>
            <w:r w:rsidRPr="00E16672">
              <w:rPr>
                <w:rFonts w:ascii="Times New Roman" w:hAnsi="Times New Roman"/>
                <w:color w:val="000000"/>
                <w:sz w:val="16"/>
                <w:szCs w:val="16"/>
              </w:rPr>
              <w:t>якщо</w:t>
            </w:r>
            <w:proofErr w:type="spellEnd"/>
            <w:r w:rsidRPr="00E16672">
              <w:rPr>
                <w:rFonts w:ascii="Times New Roman" w:hAnsi="Times New Roman"/>
                <w:color w:val="000000"/>
                <w:sz w:val="16"/>
                <w:szCs w:val="16"/>
              </w:rPr>
              <w:t xml:space="preserve"> на </w:t>
            </w:r>
            <w:proofErr w:type="spellStart"/>
            <w:r w:rsidRPr="00E16672">
              <w:rPr>
                <w:rFonts w:ascii="Times New Roman" w:hAnsi="Times New Roman"/>
                <w:color w:val="000000"/>
                <w:sz w:val="16"/>
                <w:szCs w:val="16"/>
              </w:rPr>
              <w:t>його</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рахунку</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обліковуються</w:t>
            </w:r>
            <w:proofErr w:type="spellEnd"/>
            <w:r w:rsidRPr="00E16672">
              <w:rPr>
                <w:rFonts w:ascii="Times New Roman" w:hAnsi="Times New Roman"/>
                <w:color w:val="000000"/>
                <w:sz w:val="16"/>
                <w:szCs w:val="16"/>
              </w:rPr>
              <w:t xml:space="preserve"> права на </w:t>
            </w:r>
            <w:proofErr w:type="spellStart"/>
            <w:r w:rsidRPr="00E16672">
              <w:rPr>
                <w:rFonts w:ascii="Times New Roman" w:hAnsi="Times New Roman"/>
                <w:color w:val="000000"/>
                <w:sz w:val="16"/>
                <w:szCs w:val="16"/>
              </w:rPr>
              <w:t>цінні</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папери</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цього</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випуску</w:t>
            </w:r>
            <w:proofErr w:type="spellEnd"/>
            <w:r w:rsidRPr="00E16672">
              <w:rPr>
                <w:rFonts w:ascii="Times New Roman" w:hAnsi="Times New Roman"/>
                <w:color w:val="000000"/>
                <w:sz w:val="16"/>
                <w:szCs w:val="16"/>
              </w:rPr>
              <w:t xml:space="preserve">, шляхом </w:t>
            </w:r>
            <w:proofErr w:type="spellStart"/>
            <w:r w:rsidRPr="00E16672">
              <w:rPr>
                <w:rFonts w:ascii="Times New Roman" w:hAnsi="Times New Roman"/>
                <w:color w:val="000000"/>
                <w:sz w:val="16"/>
                <w:szCs w:val="16"/>
              </w:rPr>
              <w:t>направлення</w:t>
            </w:r>
            <w:proofErr w:type="spellEnd"/>
            <w:r w:rsidRPr="00E16672">
              <w:rPr>
                <w:rFonts w:ascii="Times New Roman" w:hAnsi="Times New Roman"/>
                <w:color w:val="000000"/>
                <w:sz w:val="16"/>
                <w:szCs w:val="16"/>
              </w:rPr>
              <w:t xml:space="preserve"> на </w:t>
            </w:r>
            <w:proofErr w:type="spellStart"/>
            <w:proofErr w:type="gramStart"/>
            <w:r w:rsidRPr="00E16672">
              <w:rPr>
                <w:rFonts w:ascii="Times New Roman" w:hAnsi="Times New Roman"/>
                <w:color w:val="000000"/>
                <w:sz w:val="16"/>
                <w:szCs w:val="16"/>
              </w:rPr>
              <w:t>електронну</w:t>
            </w:r>
            <w:proofErr w:type="spellEnd"/>
            <w:r w:rsidRPr="00E16672">
              <w:rPr>
                <w:rFonts w:ascii="Times New Roman" w:hAnsi="Times New Roman"/>
                <w:color w:val="000000"/>
                <w:sz w:val="16"/>
                <w:szCs w:val="16"/>
              </w:rPr>
              <w:t xml:space="preserve">  адресу</w:t>
            </w:r>
            <w:proofErr w:type="gramEnd"/>
            <w:r w:rsidRPr="00E16672">
              <w:rPr>
                <w:rFonts w:ascii="Times New Roman" w:hAnsi="Times New Roman"/>
                <w:color w:val="000000"/>
                <w:sz w:val="16"/>
                <w:szCs w:val="16"/>
              </w:rPr>
              <w:t xml:space="preserve"> Депонента </w:t>
            </w:r>
            <w:proofErr w:type="spellStart"/>
            <w:r w:rsidRPr="00E16672">
              <w:rPr>
                <w:rFonts w:ascii="Times New Roman" w:hAnsi="Times New Roman"/>
                <w:color w:val="000000"/>
                <w:sz w:val="16"/>
                <w:szCs w:val="16"/>
              </w:rPr>
              <w:t>відповідного</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повідомлення</w:t>
            </w:r>
            <w:proofErr w:type="spellEnd"/>
            <w:r w:rsidRPr="00E16672">
              <w:rPr>
                <w:rFonts w:ascii="Times New Roman" w:hAnsi="Times New Roman"/>
                <w:color w:val="000000"/>
                <w:sz w:val="16"/>
                <w:szCs w:val="16"/>
              </w:rPr>
              <w:t>.</w:t>
            </w:r>
          </w:p>
          <w:p w14:paraId="468B133A" w14:textId="77777777" w:rsidR="003A05A3" w:rsidRPr="00E16672" w:rsidRDefault="003A05A3" w:rsidP="00843027">
            <w:pPr>
              <w:tabs>
                <w:tab w:val="left" w:pos="851"/>
                <w:tab w:val="left" w:pos="7200"/>
              </w:tabs>
              <w:snapToGrid w:val="0"/>
              <w:ind w:left="142" w:right="141" w:firstLine="40"/>
              <w:rPr>
                <w:rFonts w:ascii="Times New Roman" w:eastAsia="Arial" w:hAnsi="Times New Roman"/>
                <w:color w:val="000000"/>
                <w:sz w:val="16"/>
                <w:szCs w:val="16"/>
                <w:lang w:val="uk-UA"/>
              </w:rPr>
            </w:pPr>
          </w:p>
        </w:tc>
        <w:tc>
          <w:tcPr>
            <w:tcW w:w="5494" w:type="dxa"/>
            <w:gridSpan w:val="6"/>
            <w:shd w:val="clear" w:color="auto" w:fill="auto"/>
          </w:tcPr>
          <w:p w14:paraId="606D7F3F" w14:textId="77777777" w:rsidR="003A05A3" w:rsidRPr="00E16672" w:rsidRDefault="003A05A3" w:rsidP="00843027">
            <w:pPr>
              <w:pStyle w:val="210"/>
              <w:snapToGrid w:val="0"/>
              <w:ind w:left="145" w:right="100" w:firstLine="3"/>
              <w:rPr>
                <w:rFonts w:ascii="Times New Roman" w:eastAsia="Arial" w:hAnsi="Times New Roman"/>
                <w:color w:val="000000"/>
                <w:sz w:val="16"/>
                <w:szCs w:val="16"/>
              </w:rPr>
            </w:pPr>
            <w:r w:rsidRPr="00E16672">
              <w:rPr>
                <w:rFonts w:ascii="Times New Roman" w:eastAsia="Arial" w:hAnsi="Times New Roman"/>
                <w:color w:val="000000"/>
                <w:sz w:val="16"/>
                <w:szCs w:val="16"/>
              </w:rPr>
              <w:t xml:space="preserve">2.1.21. </w:t>
            </w:r>
            <w:proofErr w:type="spellStart"/>
            <w:r w:rsidRPr="00E16672">
              <w:rPr>
                <w:rFonts w:ascii="Times New Roman" w:hAnsi="Times New Roman"/>
                <w:color w:val="000000"/>
                <w:sz w:val="16"/>
                <w:szCs w:val="16"/>
              </w:rPr>
              <w:t>Received</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from</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the</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Central</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Depository</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notice</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of</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completion</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of</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the</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transfer</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of</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registered</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securities</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of</w:t>
            </w:r>
            <w:proofErr w:type="spellEnd"/>
            <w:r w:rsidRPr="00E16672">
              <w:rPr>
                <w:rFonts w:ascii="Times New Roman" w:hAnsi="Times New Roman"/>
                <w:color w:val="000000"/>
                <w:sz w:val="16"/>
                <w:szCs w:val="16"/>
              </w:rPr>
              <w:t xml:space="preserve"> a </w:t>
            </w:r>
            <w:proofErr w:type="spellStart"/>
            <w:r w:rsidRPr="00E16672">
              <w:rPr>
                <w:rFonts w:ascii="Times New Roman" w:hAnsi="Times New Roman"/>
                <w:color w:val="000000"/>
                <w:sz w:val="16"/>
                <w:szCs w:val="16"/>
              </w:rPr>
              <w:t>particular</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issue</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in</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book-entry</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form</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within</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i/>
                <w:iCs/>
                <w:color w:val="000000"/>
                <w:sz w:val="16"/>
                <w:szCs w:val="16"/>
              </w:rPr>
              <w:t>three</w:t>
            </w:r>
            <w:proofErr w:type="spellEnd"/>
            <w:r w:rsidRPr="00E16672">
              <w:rPr>
                <w:rFonts w:ascii="Times New Roman" w:hAnsi="Times New Roman"/>
                <w:i/>
                <w:iCs/>
                <w:color w:val="000000"/>
                <w:sz w:val="16"/>
                <w:szCs w:val="16"/>
              </w:rPr>
              <w:t xml:space="preserve"> </w:t>
            </w:r>
            <w:proofErr w:type="spellStart"/>
            <w:r w:rsidRPr="00E16672">
              <w:rPr>
                <w:rFonts w:ascii="Times New Roman" w:hAnsi="Times New Roman"/>
                <w:color w:val="000000"/>
                <w:sz w:val="16"/>
                <w:szCs w:val="16"/>
              </w:rPr>
              <w:t>days</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to</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announce</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the</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completion</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of</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the</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Depositor</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if</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carried</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to</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its</w:t>
            </w:r>
            <w:proofErr w:type="spellEnd"/>
            <w:r w:rsidRPr="00E16672">
              <w:rPr>
                <w:rFonts w:ascii="Times New Roman" w:hAnsi="Times New Roman"/>
                <w:color w:val="000000"/>
                <w:sz w:val="16"/>
                <w:szCs w:val="16"/>
              </w:rPr>
              <w:t xml:space="preserve"> </w:t>
            </w:r>
            <w:r w:rsidRPr="00E16672">
              <w:rPr>
                <w:rFonts w:ascii="Times New Roman" w:hAnsi="Times New Roman"/>
                <w:color w:val="000000"/>
                <w:sz w:val="16"/>
                <w:szCs w:val="16"/>
                <w:lang w:val="en-US"/>
              </w:rPr>
              <w:t>account</w:t>
            </w:r>
            <w:r w:rsidRPr="00E16672">
              <w:rPr>
                <w:rFonts w:ascii="Times New Roman" w:hAnsi="Times New Roman"/>
                <w:color w:val="000000"/>
                <w:sz w:val="16"/>
                <w:szCs w:val="16"/>
              </w:rPr>
              <w:t xml:space="preserve"> </w:t>
            </w:r>
            <w:r w:rsidRPr="00E16672">
              <w:rPr>
                <w:rFonts w:ascii="Times New Roman" w:hAnsi="Times New Roman"/>
                <w:color w:val="000000"/>
                <w:sz w:val="16"/>
                <w:szCs w:val="16"/>
                <w:lang w:val="en-US"/>
              </w:rPr>
              <w:t>in</w:t>
            </w:r>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securities</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of</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this</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issue</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by</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sending</w:t>
            </w:r>
            <w:proofErr w:type="spellEnd"/>
            <w:r w:rsidRPr="00E16672">
              <w:rPr>
                <w:rFonts w:ascii="Times New Roman" w:hAnsi="Times New Roman"/>
                <w:color w:val="000000"/>
                <w:sz w:val="16"/>
                <w:szCs w:val="16"/>
                <w:lang w:val="en-US"/>
              </w:rPr>
              <w:t xml:space="preserve"> </w:t>
            </w:r>
            <w:proofErr w:type="spellStart"/>
            <w:r w:rsidRPr="00E16672">
              <w:rPr>
                <w:rFonts w:ascii="Times New Roman" w:hAnsi="Times New Roman"/>
                <w:color w:val="000000"/>
                <w:sz w:val="16"/>
                <w:szCs w:val="16"/>
              </w:rPr>
              <w:t>appropriate</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message</w:t>
            </w:r>
            <w:proofErr w:type="spellEnd"/>
            <w:r w:rsidRPr="00E16672">
              <w:rPr>
                <w:rFonts w:ascii="Times New Roman" w:hAnsi="Times New Roman"/>
                <w:color w:val="000000"/>
                <w:sz w:val="16"/>
                <w:szCs w:val="16"/>
              </w:rPr>
              <w:t xml:space="preserve"> </w:t>
            </w:r>
            <w:r w:rsidRPr="00E16672">
              <w:rPr>
                <w:rFonts w:ascii="Times New Roman" w:hAnsi="Times New Roman"/>
                <w:color w:val="000000"/>
                <w:sz w:val="16"/>
                <w:szCs w:val="16"/>
                <w:lang w:val="en-US"/>
              </w:rPr>
              <w:t>to e-</w:t>
            </w:r>
            <w:proofErr w:type="spellStart"/>
            <w:r w:rsidRPr="00E16672">
              <w:rPr>
                <w:rFonts w:ascii="Times New Roman" w:hAnsi="Times New Roman"/>
                <w:color w:val="000000"/>
                <w:sz w:val="16"/>
                <w:szCs w:val="16"/>
              </w:rPr>
              <w:t>mail</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of</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Depositor</w:t>
            </w:r>
            <w:proofErr w:type="spellEnd"/>
            <w:r w:rsidRPr="00E16672">
              <w:rPr>
                <w:rFonts w:ascii="Times New Roman" w:hAnsi="Times New Roman"/>
                <w:color w:val="000000"/>
                <w:sz w:val="16"/>
                <w:szCs w:val="16"/>
              </w:rPr>
              <w:t>.</w:t>
            </w:r>
          </w:p>
        </w:tc>
      </w:tr>
      <w:tr w:rsidR="00EA5D70" w:rsidRPr="00EA5D70" w14:paraId="653B7068" w14:textId="77777777" w:rsidTr="00242F58">
        <w:trPr>
          <w:trHeight w:val="192"/>
        </w:trPr>
        <w:tc>
          <w:tcPr>
            <w:tcW w:w="5696" w:type="dxa"/>
            <w:gridSpan w:val="8"/>
            <w:shd w:val="clear" w:color="auto" w:fill="auto"/>
          </w:tcPr>
          <w:p w14:paraId="29930A32" w14:textId="77777777" w:rsidR="00EA5D70" w:rsidRDefault="00EA5D70" w:rsidP="00843027">
            <w:pPr>
              <w:tabs>
                <w:tab w:val="left" w:pos="851"/>
                <w:tab w:val="left" w:pos="7200"/>
              </w:tabs>
              <w:ind w:left="142" w:right="138" w:firstLine="40"/>
              <w:rPr>
                <w:rFonts w:ascii="Times New Roman" w:hAnsi="Times New Roman"/>
                <w:color w:val="000000"/>
                <w:sz w:val="16"/>
                <w:szCs w:val="16"/>
              </w:rPr>
            </w:pPr>
            <w:r w:rsidRPr="00EA5D70">
              <w:rPr>
                <w:rFonts w:ascii="Times New Roman" w:hAnsi="Times New Roman"/>
                <w:color w:val="000000"/>
                <w:sz w:val="16"/>
                <w:szCs w:val="16"/>
              </w:rPr>
              <w:t xml:space="preserve">2.1.22. За </w:t>
            </w:r>
            <w:proofErr w:type="spellStart"/>
            <w:r w:rsidRPr="00EA5D70">
              <w:rPr>
                <w:rFonts w:ascii="Times New Roman" w:hAnsi="Times New Roman"/>
                <w:color w:val="000000"/>
                <w:sz w:val="16"/>
                <w:szCs w:val="16"/>
              </w:rPr>
              <w:t>наявності</w:t>
            </w:r>
            <w:proofErr w:type="spellEnd"/>
            <w:r w:rsidRPr="00EA5D70">
              <w:rPr>
                <w:rFonts w:ascii="Times New Roman" w:hAnsi="Times New Roman"/>
                <w:color w:val="000000"/>
                <w:sz w:val="16"/>
                <w:szCs w:val="16"/>
              </w:rPr>
              <w:t xml:space="preserve"> у </w:t>
            </w:r>
            <w:proofErr w:type="spellStart"/>
            <w:r w:rsidRPr="00EA5D70">
              <w:rPr>
                <w:rFonts w:ascii="Times New Roman" w:hAnsi="Times New Roman"/>
                <w:color w:val="000000"/>
                <w:sz w:val="16"/>
                <w:szCs w:val="16"/>
              </w:rPr>
              <w:t>Депозитарної</w:t>
            </w:r>
            <w:proofErr w:type="spellEnd"/>
            <w:r w:rsidRPr="00EA5D70">
              <w:rPr>
                <w:rFonts w:ascii="Times New Roman" w:hAnsi="Times New Roman"/>
                <w:color w:val="000000"/>
                <w:sz w:val="16"/>
                <w:szCs w:val="16"/>
              </w:rPr>
              <w:t xml:space="preserve"> установи </w:t>
            </w:r>
            <w:proofErr w:type="spellStart"/>
            <w:r w:rsidRPr="00EA5D70">
              <w:rPr>
                <w:rFonts w:ascii="Times New Roman" w:hAnsi="Times New Roman"/>
                <w:color w:val="000000"/>
                <w:sz w:val="16"/>
                <w:szCs w:val="16"/>
              </w:rPr>
              <w:t>обґрунтованої</w:t>
            </w:r>
            <w:proofErr w:type="spellEnd"/>
            <w:r w:rsidRPr="00EA5D70">
              <w:rPr>
                <w:rFonts w:ascii="Times New Roman" w:hAnsi="Times New Roman"/>
                <w:color w:val="000000"/>
                <w:sz w:val="16"/>
                <w:szCs w:val="16"/>
              </w:rPr>
              <w:t xml:space="preserve">, документально </w:t>
            </w:r>
            <w:proofErr w:type="spellStart"/>
            <w:r w:rsidRPr="00EA5D70">
              <w:rPr>
                <w:rFonts w:ascii="Times New Roman" w:hAnsi="Times New Roman"/>
                <w:color w:val="000000"/>
                <w:sz w:val="16"/>
                <w:szCs w:val="16"/>
              </w:rPr>
              <w:t>підтвердженої</w:t>
            </w:r>
            <w:proofErr w:type="spellEnd"/>
            <w:r w:rsidRPr="00EA5D70">
              <w:rPr>
                <w:rFonts w:ascii="Times New Roman" w:hAnsi="Times New Roman"/>
                <w:color w:val="000000"/>
                <w:sz w:val="16"/>
                <w:szCs w:val="16"/>
              </w:rPr>
              <w:t xml:space="preserve"> </w:t>
            </w:r>
            <w:proofErr w:type="spellStart"/>
            <w:r w:rsidRPr="00EA5D70">
              <w:rPr>
                <w:rFonts w:ascii="Times New Roman" w:hAnsi="Times New Roman"/>
                <w:color w:val="000000"/>
                <w:sz w:val="16"/>
                <w:szCs w:val="16"/>
              </w:rPr>
              <w:t>підозри</w:t>
            </w:r>
            <w:proofErr w:type="spellEnd"/>
            <w:r w:rsidRPr="00EA5D70">
              <w:rPr>
                <w:rFonts w:ascii="Times New Roman" w:hAnsi="Times New Roman"/>
                <w:color w:val="000000"/>
                <w:sz w:val="16"/>
                <w:szCs w:val="16"/>
              </w:rPr>
              <w:t xml:space="preserve">, </w:t>
            </w:r>
            <w:proofErr w:type="spellStart"/>
            <w:r w:rsidRPr="00EA5D70">
              <w:rPr>
                <w:rFonts w:ascii="Times New Roman" w:hAnsi="Times New Roman"/>
                <w:color w:val="000000"/>
                <w:sz w:val="16"/>
                <w:szCs w:val="16"/>
              </w:rPr>
              <w:t>що</w:t>
            </w:r>
            <w:proofErr w:type="spellEnd"/>
            <w:r w:rsidRPr="00EA5D70">
              <w:rPr>
                <w:rFonts w:ascii="Times New Roman" w:hAnsi="Times New Roman"/>
                <w:color w:val="000000"/>
                <w:sz w:val="16"/>
                <w:szCs w:val="16"/>
              </w:rPr>
              <w:t xml:space="preserve"> </w:t>
            </w:r>
            <w:proofErr w:type="spellStart"/>
            <w:r w:rsidRPr="00EA5D70">
              <w:rPr>
                <w:rFonts w:ascii="Times New Roman" w:hAnsi="Times New Roman"/>
                <w:color w:val="000000"/>
                <w:sz w:val="16"/>
                <w:szCs w:val="16"/>
              </w:rPr>
              <w:t>рахунок</w:t>
            </w:r>
            <w:proofErr w:type="spellEnd"/>
            <w:r w:rsidRPr="00EA5D70">
              <w:rPr>
                <w:rFonts w:ascii="Times New Roman" w:hAnsi="Times New Roman"/>
                <w:color w:val="000000"/>
                <w:sz w:val="16"/>
                <w:szCs w:val="16"/>
              </w:rPr>
              <w:t xml:space="preserve"> у </w:t>
            </w:r>
            <w:proofErr w:type="spellStart"/>
            <w:r w:rsidRPr="00EA5D70">
              <w:rPr>
                <w:rFonts w:ascii="Times New Roman" w:hAnsi="Times New Roman"/>
                <w:color w:val="000000"/>
                <w:sz w:val="16"/>
                <w:szCs w:val="16"/>
              </w:rPr>
              <w:t>цінних</w:t>
            </w:r>
            <w:proofErr w:type="spellEnd"/>
            <w:r w:rsidRPr="00EA5D70">
              <w:rPr>
                <w:rFonts w:ascii="Times New Roman" w:hAnsi="Times New Roman"/>
                <w:color w:val="000000"/>
                <w:sz w:val="16"/>
                <w:szCs w:val="16"/>
              </w:rPr>
              <w:t xml:space="preserve"> </w:t>
            </w:r>
            <w:proofErr w:type="spellStart"/>
            <w:r w:rsidRPr="00EA5D70">
              <w:rPr>
                <w:rFonts w:ascii="Times New Roman" w:hAnsi="Times New Roman"/>
                <w:color w:val="000000"/>
                <w:sz w:val="16"/>
                <w:szCs w:val="16"/>
              </w:rPr>
              <w:t>паперах</w:t>
            </w:r>
            <w:proofErr w:type="spellEnd"/>
            <w:r w:rsidRPr="00EA5D70">
              <w:rPr>
                <w:rFonts w:ascii="Times New Roman" w:hAnsi="Times New Roman"/>
                <w:color w:val="000000"/>
                <w:sz w:val="16"/>
                <w:szCs w:val="16"/>
              </w:rPr>
              <w:t xml:space="preserve"> Депонента </w:t>
            </w:r>
            <w:proofErr w:type="spellStart"/>
            <w:r w:rsidRPr="00EA5D70">
              <w:rPr>
                <w:rFonts w:ascii="Times New Roman" w:hAnsi="Times New Roman"/>
                <w:color w:val="000000"/>
                <w:sz w:val="16"/>
                <w:szCs w:val="16"/>
              </w:rPr>
              <w:t>належить</w:t>
            </w:r>
            <w:proofErr w:type="spellEnd"/>
            <w:r w:rsidRPr="00EA5D70">
              <w:rPr>
                <w:rFonts w:ascii="Times New Roman" w:hAnsi="Times New Roman"/>
                <w:color w:val="000000"/>
                <w:sz w:val="16"/>
                <w:szCs w:val="16"/>
              </w:rPr>
              <w:t xml:space="preserve"> до </w:t>
            </w:r>
            <w:proofErr w:type="spellStart"/>
            <w:r w:rsidRPr="00EA5D70">
              <w:rPr>
                <w:rFonts w:ascii="Times New Roman" w:hAnsi="Times New Roman"/>
                <w:color w:val="000000"/>
                <w:sz w:val="16"/>
                <w:szCs w:val="16"/>
              </w:rPr>
              <w:t>підзвітних</w:t>
            </w:r>
            <w:proofErr w:type="spellEnd"/>
            <w:r w:rsidRPr="00EA5D70">
              <w:rPr>
                <w:rFonts w:ascii="Times New Roman" w:hAnsi="Times New Roman"/>
                <w:color w:val="000000"/>
                <w:sz w:val="16"/>
                <w:szCs w:val="16"/>
              </w:rPr>
              <w:t xml:space="preserve">, </w:t>
            </w:r>
            <w:proofErr w:type="spellStart"/>
            <w:r w:rsidRPr="00EA5D70">
              <w:rPr>
                <w:rFonts w:ascii="Times New Roman" w:hAnsi="Times New Roman"/>
                <w:color w:val="000000"/>
                <w:sz w:val="16"/>
                <w:szCs w:val="16"/>
              </w:rPr>
              <w:t>Депозитарна</w:t>
            </w:r>
            <w:proofErr w:type="spellEnd"/>
            <w:r w:rsidRPr="00EA5D70">
              <w:rPr>
                <w:rFonts w:ascii="Times New Roman" w:hAnsi="Times New Roman"/>
                <w:color w:val="000000"/>
                <w:sz w:val="16"/>
                <w:szCs w:val="16"/>
              </w:rPr>
              <w:t xml:space="preserve"> </w:t>
            </w:r>
            <w:proofErr w:type="spellStart"/>
            <w:r w:rsidRPr="00EA5D70">
              <w:rPr>
                <w:rFonts w:ascii="Times New Roman" w:hAnsi="Times New Roman"/>
                <w:color w:val="000000"/>
                <w:sz w:val="16"/>
                <w:szCs w:val="16"/>
              </w:rPr>
              <w:t>установа</w:t>
            </w:r>
            <w:proofErr w:type="spellEnd"/>
            <w:r w:rsidRPr="00EA5D70">
              <w:rPr>
                <w:rFonts w:ascii="Times New Roman" w:hAnsi="Times New Roman"/>
                <w:color w:val="000000"/>
                <w:sz w:val="16"/>
                <w:szCs w:val="16"/>
              </w:rPr>
              <w:t xml:space="preserve"> </w:t>
            </w:r>
            <w:proofErr w:type="gramStart"/>
            <w:r w:rsidRPr="00EA5D70">
              <w:rPr>
                <w:rFonts w:ascii="Times New Roman" w:hAnsi="Times New Roman"/>
                <w:color w:val="000000"/>
                <w:sz w:val="16"/>
                <w:szCs w:val="16"/>
              </w:rPr>
              <w:t>в порядку</w:t>
            </w:r>
            <w:proofErr w:type="gramEnd"/>
            <w:r w:rsidRPr="00EA5D70">
              <w:rPr>
                <w:rFonts w:ascii="Times New Roman" w:hAnsi="Times New Roman"/>
                <w:color w:val="000000"/>
                <w:sz w:val="16"/>
                <w:szCs w:val="16"/>
              </w:rPr>
              <w:t xml:space="preserve">, </w:t>
            </w:r>
            <w:proofErr w:type="spellStart"/>
            <w:r w:rsidRPr="00EA5D70">
              <w:rPr>
                <w:rFonts w:ascii="Times New Roman" w:hAnsi="Times New Roman"/>
                <w:color w:val="000000"/>
                <w:sz w:val="16"/>
                <w:szCs w:val="16"/>
              </w:rPr>
              <w:t>встановленому</w:t>
            </w:r>
            <w:proofErr w:type="spellEnd"/>
            <w:r w:rsidRPr="00EA5D70">
              <w:rPr>
                <w:rFonts w:ascii="Times New Roman" w:hAnsi="Times New Roman"/>
                <w:color w:val="000000"/>
                <w:sz w:val="16"/>
                <w:szCs w:val="16"/>
              </w:rPr>
              <w:t xml:space="preserve"> </w:t>
            </w:r>
            <w:proofErr w:type="spellStart"/>
            <w:r w:rsidRPr="00EA5D70">
              <w:rPr>
                <w:rFonts w:ascii="Times New Roman" w:hAnsi="Times New Roman"/>
                <w:color w:val="000000"/>
                <w:sz w:val="16"/>
                <w:szCs w:val="16"/>
              </w:rPr>
              <w:t>її</w:t>
            </w:r>
            <w:proofErr w:type="spellEnd"/>
            <w:r w:rsidRPr="00EA5D70">
              <w:rPr>
                <w:rFonts w:ascii="Times New Roman" w:hAnsi="Times New Roman"/>
                <w:color w:val="000000"/>
                <w:sz w:val="16"/>
                <w:szCs w:val="16"/>
              </w:rPr>
              <w:t xml:space="preserve"> </w:t>
            </w:r>
            <w:proofErr w:type="spellStart"/>
            <w:r w:rsidRPr="00EA5D70">
              <w:rPr>
                <w:rFonts w:ascii="Times New Roman" w:hAnsi="Times New Roman"/>
                <w:color w:val="000000"/>
                <w:sz w:val="16"/>
                <w:szCs w:val="16"/>
              </w:rPr>
              <w:t>внутрішніми</w:t>
            </w:r>
            <w:proofErr w:type="spellEnd"/>
            <w:r w:rsidRPr="00EA5D70">
              <w:rPr>
                <w:rFonts w:ascii="Times New Roman" w:hAnsi="Times New Roman"/>
                <w:color w:val="000000"/>
                <w:sz w:val="16"/>
                <w:szCs w:val="16"/>
              </w:rPr>
              <w:t xml:space="preserve"> документами, та </w:t>
            </w:r>
            <w:proofErr w:type="spellStart"/>
            <w:r w:rsidRPr="00EA5D70">
              <w:rPr>
                <w:rFonts w:ascii="Times New Roman" w:hAnsi="Times New Roman"/>
                <w:color w:val="000000"/>
                <w:sz w:val="16"/>
                <w:szCs w:val="16"/>
              </w:rPr>
              <w:t>відповідно</w:t>
            </w:r>
            <w:proofErr w:type="spellEnd"/>
            <w:r w:rsidRPr="00EA5D70">
              <w:rPr>
                <w:rFonts w:ascii="Times New Roman" w:hAnsi="Times New Roman"/>
                <w:color w:val="000000"/>
                <w:sz w:val="16"/>
                <w:szCs w:val="16"/>
              </w:rPr>
              <w:t xml:space="preserve"> до </w:t>
            </w:r>
            <w:proofErr w:type="spellStart"/>
            <w:r w:rsidRPr="00EA5D70">
              <w:rPr>
                <w:rFonts w:ascii="Times New Roman" w:hAnsi="Times New Roman"/>
                <w:color w:val="000000"/>
                <w:sz w:val="16"/>
                <w:szCs w:val="16"/>
              </w:rPr>
              <w:t>цього</w:t>
            </w:r>
            <w:proofErr w:type="spellEnd"/>
            <w:r w:rsidRPr="00EA5D70">
              <w:rPr>
                <w:rFonts w:ascii="Times New Roman" w:hAnsi="Times New Roman"/>
                <w:color w:val="000000"/>
                <w:sz w:val="16"/>
                <w:szCs w:val="16"/>
              </w:rPr>
              <w:t xml:space="preserve"> Договору </w:t>
            </w:r>
            <w:proofErr w:type="spellStart"/>
            <w:r w:rsidRPr="00EA5D70">
              <w:rPr>
                <w:rFonts w:ascii="Times New Roman" w:hAnsi="Times New Roman"/>
                <w:color w:val="000000"/>
                <w:sz w:val="16"/>
                <w:szCs w:val="16"/>
              </w:rPr>
              <w:t>надсилає</w:t>
            </w:r>
            <w:proofErr w:type="spellEnd"/>
            <w:r w:rsidRPr="00EA5D70">
              <w:rPr>
                <w:rFonts w:ascii="Times New Roman" w:hAnsi="Times New Roman"/>
                <w:color w:val="000000"/>
                <w:sz w:val="16"/>
                <w:szCs w:val="16"/>
              </w:rPr>
              <w:t xml:space="preserve"> на адресу </w:t>
            </w:r>
            <w:proofErr w:type="spellStart"/>
            <w:r w:rsidRPr="00EA5D70">
              <w:rPr>
                <w:rFonts w:ascii="Times New Roman" w:hAnsi="Times New Roman"/>
                <w:color w:val="000000"/>
                <w:sz w:val="16"/>
                <w:szCs w:val="16"/>
              </w:rPr>
              <w:t>відповідного</w:t>
            </w:r>
            <w:proofErr w:type="spellEnd"/>
            <w:r w:rsidRPr="00EA5D70">
              <w:rPr>
                <w:rFonts w:ascii="Times New Roman" w:hAnsi="Times New Roman"/>
                <w:color w:val="000000"/>
                <w:sz w:val="16"/>
                <w:szCs w:val="16"/>
              </w:rPr>
              <w:t xml:space="preserve"> Депонента запит з </w:t>
            </w:r>
            <w:proofErr w:type="spellStart"/>
            <w:r w:rsidRPr="00EA5D70">
              <w:rPr>
                <w:rFonts w:ascii="Times New Roman" w:hAnsi="Times New Roman"/>
                <w:color w:val="000000"/>
                <w:sz w:val="16"/>
                <w:szCs w:val="16"/>
              </w:rPr>
              <w:t>вимогою</w:t>
            </w:r>
            <w:proofErr w:type="spellEnd"/>
            <w:r w:rsidRPr="00EA5D70">
              <w:rPr>
                <w:rFonts w:ascii="Times New Roman" w:hAnsi="Times New Roman"/>
                <w:color w:val="000000"/>
                <w:sz w:val="16"/>
                <w:szCs w:val="16"/>
              </w:rPr>
              <w:t xml:space="preserve"> про </w:t>
            </w:r>
            <w:proofErr w:type="spellStart"/>
            <w:r w:rsidRPr="00EA5D70">
              <w:rPr>
                <w:rFonts w:ascii="Times New Roman" w:hAnsi="Times New Roman"/>
                <w:color w:val="000000"/>
                <w:sz w:val="16"/>
                <w:szCs w:val="16"/>
              </w:rPr>
              <w:t>надання</w:t>
            </w:r>
            <w:proofErr w:type="spellEnd"/>
            <w:r w:rsidRPr="00EA5D70">
              <w:rPr>
                <w:rFonts w:ascii="Times New Roman" w:hAnsi="Times New Roman"/>
                <w:color w:val="000000"/>
                <w:sz w:val="16"/>
                <w:szCs w:val="16"/>
              </w:rPr>
              <w:t xml:space="preserve"> </w:t>
            </w:r>
            <w:proofErr w:type="spellStart"/>
            <w:r w:rsidRPr="00EA5D70">
              <w:rPr>
                <w:rFonts w:ascii="Times New Roman" w:hAnsi="Times New Roman"/>
                <w:color w:val="000000"/>
                <w:sz w:val="16"/>
                <w:szCs w:val="16"/>
              </w:rPr>
              <w:t>пояснень</w:t>
            </w:r>
            <w:proofErr w:type="spellEnd"/>
            <w:r w:rsidRPr="00EA5D70">
              <w:rPr>
                <w:rFonts w:ascii="Times New Roman" w:hAnsi="Times New Roman"/>
                <w:color w:val="000000"/>
                <w:sz w:val="16"/>
                <w:szCs w:val="16"/>
              </w:rPr>
              <w:t xml:space="preserve"> та </w:t>
            </w:r>
            <w:proofErr w:type="spellStart"/>
            <w:r w:rsidRPr="00EA5D70">
              <w:rPr>
                <w:rFonts w:ascii="Times New Roman" w:hAnsi="Times New Roman"/>
                <w:color w:val="000000"/>
                <w:sz w:val="16"/>
                <w:szCs w:val="16"/>
              </w:rPr>
              <w:t>інформації</w:t>
            </w:r>
            <w:proofErr w:type="spellEnd"/>
            <w:r w:rsidRPr="00EA5D70">
              <w:rPr>
                <w:rFonts w:ascii="Times New Roman" w:hAnsi="Times New Roman"/>
                <w:color w:val="000000"/>
                <w:sz w:val="16"/>
                <w:szCs w:val="16"/>
              </w:rPr>
              <w:t xml:space="preserve">, </w:t>
            </w:r>
            <w:proofErr w:type="spellStart"/>
            <w:r w:rsidRPr="00EA5D70">
              <w:rPr>
                <w:rFonts w:ascii="Times New Roman" w:hAnsi="Times New Roman"/>
                <w:color w:val="000000"/>
                <w:sz w:val="16"/>
                <w:szCs w:val="16"/>
              </w:rPr>
              <w:t>що</w:t>
            </w:r>
            <w:proofErr w:type="spellEnd"/>
            <w:r w:rsidRPr="00EA5D70">
              <w:rPr>
                <w:rFonts w:ascii="Times New Roman" w:hAnsi="Times New Roman"/>
                <w:color w:val="000000"/>
                <w:sz w:val="16"/>
                <w:szCs w:val="16"/>
              </w:rPr>
              <w:t xml:space="preserve"> </w:t>
            </w:r>
            <w:proofErr w:type="spellStart"/>
            <w:r w:rsidRPr="00EA5D70">
              <w:rPr>
                <w:rFonts w:ascii="Times New Roman" w:hAnsi="Times New Roman"/>
                <w:color w:val="000000"/>
                <w:sz w:val="16"/>
                <w:szCs w:val="16"/>
              </w:rPr>
              <w:t>стосуються</w:t>
            </w:r>
            <w:proofErr w:type="spellEnd"/>
            <w:r w:rsidRPr="00EA5D70">
              <w:rPr>
                <w:rFonts w:ascii="Times New Roman" w:hAnsi="Times New Roman"/>
                <w:color w:val="000000"/>
                <w:sz w:val="16"/>
                <w:szCs w:val="16"/>
              </w:rPr>
              <w:t xml:space="preserve"> </w:t>
            </w:r>
            <w:proofErr w:type="spellStart"/>
            <w:r w:rsidRPr="00EA5D70">
              <w:rPr>
                <w:rFonts w:ascii="Times New Roman" w:hAnsi="Times New Roman"/>
                <w:color w:val="000000"/>
                <w:sz w:val="16"/>
                <w:szCs w:val="16"/>
              </w:rPr>
              <w:t>підозри</w:t>
            </w:r>
            <w:proofErr w:type="spellEnd"/>
            <w:r w:rsidRPr="00EA5D70">
              <w:rPr>
                <w:rFonts w:ascii="Times New Roman" w:hAnsi="Times New Roman"/>
                <w:color w:val="000000"/>
                <w:sz w:val="16"/>
                <w:szCs w:val="16"/>
              </w:rPr>
              <w:t>.</w:t>
            </w:r>
          </w:p>
          <w:p w14:paraId="6A40ACCA" w14:textId="46619B63" w:rsidR="00EA5D70" w:rsidRPr="00E16672" w:rsidRDefault="00EA5D70" w:rsidP="00843027">
            <w:pPr>
              <w:tabs>
                <w:tab w:val="left" w:pos="851"/>
                <w:tab w:val="left" w:pos="7200"/>
              </w:tabs>
              <w:ind w:left="142" w:right="138" w:firstLine="40"/>
              <w:rPr>
                <w:rFonts w:ascii="Times New Roman" w:hAnsi="Times New Roman"/>
                <w:color w:val="000000"/>
                <w:sz w:val="16"/>
                <w:szCs w:val="16"/>
              </w:rPr>
            </w:pPr>
          </w:p>
        </w:tc>
        <w:tc>
          <w:tcPr>
            <w:tcW w:w="5494" w:type="dxa"/>
            <w:gridSpan w:val="6"/>
            <w:shd w:val="clear" w:color="auto" w:fill="auto"/>
          </w:tcPr>
          <w:p w14:paraId="4E31BD63" w14:textId="04954436" w:rsidR="00EA5D70" w:rsidRPr="00E16672" w:rsidRDefault="00EA5D70" w:rsidP="00843027">
            <w:pPr>
              <w:pStyle w:val="210"/>
              <w:snapToGrid w:val="0"/>
              <w:ind w:left="145" w:right="100" w:firstLine="3"/>
              <w:rPr>
                <w:rFonts w:ascii="Times New Roman" w:eastAsia="Arial" w:hAnsi="Times New Roman"/>
                <w:color w:val="000000"/>
                <w:sz w:val="16"/>
                <w:szCs w:val="16"/>
              </w:rPr>
            </w:pPr>
            <w:r w:rsidRPr="00EA5D70">
              <w:rPr>
                <w:rFonts w:ascii="Times New Roman" w:eastAsia="Arial" w:hAnsi="Times New Roman"/>
                <w:color w:val="000000"/>
                <w:sz w:val="16"/>
                <w:szCs w:val="16"/>
              </w:rPr>
              <w:t xml:space="preserve">2.1.22. </w:t>
            </w:r>
            <w:proofErr w:type="spellStart"/>
            <w:r w:rsidRPr="00EA5D70">
              <w:rPr>
                <w:rFonts w:ascii="Times New Roman" w:eastAsia="Arial" w:hAnsi="Times New Roman"/>
                <w:color w:val="000000"/>
                <w:sz w:val="16"/>
                <w:szCs w:val="16"/>
              </w:rPr>
              <w:t>If</w:t>
            </w:r>
            <w:proofErr w:type="spellEnd"/>
            <w:r w:rsidRPr="00EA5D70">
              <w:rPr>
                <w:rFonts w:ascii="Times New Roman" w:eastAsia="Arial" w:hAnsi="Times New Roman"/>
                <w:color w:val="000000"/>
                <w:sz w:val="16"/>
                <w:szCs w:val="16"/>
              </w:rPr>
              <w:t xml:space="preserve"> </w:t>
            </w:r>
            <w:proofErr w:type="spellStart"/>
            <w:r w:rsidRPr="00EA5D70">
              <w:rPr>
                <w:rFonts w:ascii="Times New Roman" w:eastAsia="Arial" w:hAnsi="Times New Roman"/>
                <w:color w:val="000000"/>
                <w:sz w:val="16"/>
                <w:szCs w:val="16"/>
              </w:rPr>
              <w:t>the</w:t>
            </w:r>
            <w:proofErr w:type="spellEnd"/>
            <w:r w:rsidRPr="00EA5D70">
              <w:rPr>
                <w:rFonts w:ascii="Times New Roman" w:eastAsia="Arial" w:hAnsi="Times New Roman"/>
                <w:color w:val="000000"/>
                <w:sz w:val="16"/>
                <w:szCs w:val="16"/>
              </w:rPr>
              <w:t xml:space="preserve"> </w:t>
            </w:r>
            <w:proofErr w:type="spellStart"/>
            <w:r w:rsidRPr="00EA5D70">
              <w:rPr>
                <w:rFonts w:ascii="Times New Roman" w:eastAsia="Arial" w:hAnsi="Times New Roman"/>
                <w:color w:val="000000"/>
                <w:sz w:val="16"/>
                <w:szCs w:val="16"/>
              </w:rPr>
              <w:t>Depository</w:t>
            </w:r>
            <w:proofErr w:type="spellEnd"/>
            <w:r w:rsidRPr="00EA5D70">
              <w:rPr>
                <w:rFonts w:ascii="Times New Roman" w:eastAsia="Arial" w:hAnsi="Times New Roman"/>
                <w:color w:val="000000"/>
                <w:sz w:val="16"/>
                <w:szCs w:val="16"/>
              </w:rPr>
              <w:t xml:space="preserve"> </w:t>
            </w:r>
            <w:proofErr w:type="spellStart"/>
            <w:r w:rsidRPr="00EA5D70">
              <w:rPr>
                <w:rFonts w:ascii="Times New Roman" w:eastAsia="Arial" w:hAnsi="Times New Roman"/>
                <w:color w:val="000000"/>
                <w:sz w:val="16"/>
                <w:szCs w:val="16"/>
              </w:rPr>
              <w:t>has</w:t>
            </w:r>
            <w:proofErr w:type="spellEnd"/>
            <w:r w:rsidRPr="00EA5D70">
              <w:rPr>
                <w:rFonts w:ascii="Times New Roman" w:eastAsia="Arial" w:hAnsi="Times New Roman"/>
                <w:color w:val="000000"/>
                <w:sz w:val="16"/>
                <w:szCs w:val="16"/>
              </w:rPr>
              <w:t xml:space="preserve"> a </w:t>
            </w:r>
            <w:proofErr w:type="spellStart"/>
            <w:r w:rsidRPr="00EA5D70">
              <w:rPr>
                <w:rFonts w:ascii="Times New Roman" w:eastAsia="Arial" w:hAnsi="Times New Roman"/>
                <w:color w:val="000000"/>
                <w:sz w:val="16"/>
                <w:szCs w:val="16"/>
              </w:rPr>
              <w:t>reasonable</w:t>
            </w:r>
            <w:proofErr w:type="spellEnd"/>
            <w:r w:rsidRPr="00EA5D70">
              <w:rPr>
                <w:rFonts w:ascii="Times New Roman" w:eastAsia="Arial" w:hAnsi="Times New Roman"/>
                <w:color w:val="000000"/>
                <w:sz w:val="16"/>
                <w:szCs w:val="16"/>
              </w:rPr>
              <w:t xml:space="preserve">, </w:t>
            </w:r>
            <w:proofErr w:type="spellStart"/>
            <w:r w:rsidRPr="00EA5D70">
              <w:rPr>
                <w:rFonts w:ascii="Times New Roman" w:eastAsia="Arial" w:hAnsi="Times New Roman"/>
                <w:color w:val="000000"/>
                <w:sz w:val="16"/>
                <w:szCs w:val="16"/>
              </w:rPr>
              <w:t>documented</w:t>
            </w:r>
            <w:proofErr w:type="spellEnd"/>
            <w:r w:rsidRPr="00EA5D70">
              <w:rPr>
                <w:rFonts w:ascii="Times New Roman" w:eastAsia="Arial" w:hAnsi="Times New Roman"/>
                <w:color w:val="000000"/>
                <w:sz w:val="16"/>
                <w:szCs w:val="16"/>
              </w:rPr>
              <w:t xml:space="preserve"> </w:t>
            </w:r>
            <w:proofErr w:type="spellStart"/>
            <w:r w:rsidRPr="00EA5D70">
              <w:rPr>
                <w:rFonts w:ascii="Times New Roman" w:eastAsia="Arial" w:hAnsi="Times New Roman"/>
                <w:color w:val="000000"/>
                <w:sz w:val="16"/>
                <w:szCs w:val="16"/>
              </w:rPr>
              <w:t>suspicion</w:t>
            </w:r>
            <w:proofErr w:type="spellEnd"/>
            <w:r w:rsidRPr="00EA5D70">
              <w:rPr>
                <w:rFonts w:ascii="Times New Roman" w:eastAsia="Arial" w:hAnsi="Times New Roman"/>
                <w:color w:val="000000"/>
                <w:sz w:val="16"/>
                <w:szCs w:val="16"/>
              </w:rPr>
              <w:t xml:space="preserve"> </w:t>
            </w:r>
            <w:proofErr w:type="spellStart"/>
            <w:r w:rsidRPr="00EA5D70">
              <w:rPr>
                <w:rFonts w:ascii="Times New Roman" w:eastAsia="Arial" w:hAnsi="Times New Roman"/>
                <w:color w:val="000000"/>
                <w:sz w:val="16"/>
                <w:szCs w:val="16"/>
              </w:rPr>
              <w:t>that</w:t>
            </w:r>
            <w:proofErr w:type="spellEnd"/>
            <w:r w:rsidRPr="00EA5D70">
              <w:rPr>
                <w:rFonts w:ascii="Times New Roman" w:eastAsia="Arial" w:hAnsi="Times New Roman"/>
                <w:color w:val="000000"/>
                <w:sz w:val="16"/>
                <w:szCs w:val="16"/>
              </w:rPr>
              <w:t xml:space="preserve"> </w:t>
            </w:r>
            <w:proofErr w:type="spellStart"/>
            <w:r w:rsidRPr="00EA5D70">
              <w:rPr>
                <w:rFonts w:ascii="Times New Roman" w:eastAsia="Arial" w:hAnsi="Times New Roman"/>
                <w:color w:val="000000"/>
                <w:sz w:val="16"/>
                <w:szCs w:val="16"/>
              </w:rPr>
              <w:t>the</w:t>
            </w:r>
            <w:proofErr w:type="spellEnd"/>
            <w:r w:rsidRPr="00EA5D70">
              <w:rPr>
                <w:rFonts w:ascii="Times New Roman" w:eastAsia="Arial" w:hAnsi="Times New Roman"/>
                <w:color w:val="000000"/>
                <w:sz w:val="16"/>
                <w:szCs w:val="16"/>
              </w:rPr>
              <w:t xml:space="preserve"> </w:t>
            </w:r>
            <w:proofErr w:type="spellStart"/>
            <w:r w:rsidRPr="00EA5D70">
              <w:rPr>
                <w:rFonts w:ascii="Times New Roman" w:eastAsia="Arial" w:hAnsi="Times New Roman"/>
                <w:color w:val="000000"/>
                <w:sz w:val="16"/>
                <w:szCs w:val="16"/>
              </w:rPr>
              <w:t>Depositor's</w:t>
            </w:r>
            <w:proofErr w:type="spellEnd"/>
            <w:r w:rsidRPr="00EA5D70">
              <w:rPr>
                <w:rFonts w:ascii="Times New Roman" w:eastAsia="Arial" w:hAnsi="Times New Roman"/>
                <w:color w:val="000000"/>
                <w:sz w:val="16"/>
                <w:szCs w:val="16"/>
              </w:rPr>
              <w:t xml:space="preserve"> </w:t>
            </w:r>
            <w:proofErr w:type="spellStart"/>
            <w:r w:rsidRPr="00EA5D70">
              <w:rPr>
                <w:rFonts w:ascii="Times New Roman" w:eastAsia="Arial" w:hAnsi="Times New Roman"/>
                <w:color w:val="000000"/>
                <w:sz w:val="16"/>
                <w:szCs w:val="16"/>
              </w:rPr>
              <w:t>securities</w:t>
            </w:r>
            <w:proofErr w:type="spellEnd"/>
            <w:r w:rsidRPr="00EA5D70">
              <w:rPr>
                <w:rFonts w:ascii="Times New Roman" w:eastAsia="Arial" w:hAnsi="Times New Roman"/>
                <w:color w:val="000000"/>
                <w:sz w:val="16"/>
                <w:szCs w:val="16"/>
              </w:rPr>
              <w:t xml:space="preserve"> </w:t>
            </w:r>
            <w:proofErr w:type="spellStart"/>
            <w:r w:rsidRPr="00EA5D70">
              <w:rPr>
                <w:rFonts w:ascii="Times New Roman" w:eastAsia="Arial" w:hAnsi="Times New Roman"/>
                <w:color w:val="000000"/>
                <w:sz w:val="16"/>
                <w:szCs w:val="16"/>
              </w:rPr>
              <w:t>account</w:t>
            </w:r>
            <w:proofErr w:type="spellEnd"/>
            <w:r w:rsidRPr="00EA5D70">
              <w:rPr>
                <w:rFonts w:ascii="Times New Roman" w:eastAsia="Arial" w:hAnsi="Times New Roman"/>
                <w:color w:val="000000"/>
                <w:sz w:val="16"/>
                <w:szCs w:val="16"/>
              </w:rPr>
              <w:t xml:space="preserve"> </w:t>
            </w:r>
            <w:proofErr w:type="spellStart"/>
            <w:r w:rsidRPr="00EA5D70">
              <w:rPr>
                <w:rFonts w:ascii="Times New Roman" w:eastAsia="Arial" w:hAnsi="Times New Roman"/>
                <w:color w:val="000000"/>
                <w:sz w:val="16"/>
                <w:szCs w:val="16"/>
              </w:rPr>
              <w:t>belongs</w:t>
            </w:r>
            <w:proofErr w:type="spellEnd"/>
            <w:r w:rsidRPr="00EA5D70">
              <w:rPr>
                <w:rFonts w:ascii="Times New Roman" w:eastAsia="Arial" w:hAnsi="Times New Roman"/>
                <w:color w:val="000000"/>
                <w:sz w:val="16"/>
                <w:szCs w:val="16"/>
              </w:rPr>
              <w:t xml:space="preserve"> </w:t>
            </w:r>
            <w:proofErr w:type="spellStart"/>
            <w:r w:rsidRPr="00EA5D70">
              <w:rPr>
                <w:rFonts w:ascii="Times New Roman" w:eastAsia="Arial" w:hAnsi="Times New Roman"/>
                <w:color w:val="000000"/>
                <w:sz w:val="16"/>
                <w:szCs w:val="16"/>
              </w:rPr>
              <w:t>to</w:t>
            </w:r>
            <w:proofErr w:type="spellEnd"/>
            <w:r w:rsidRPr="00EA5D70">
              <w:rPr>
                <w:rFonts w:ascii="Times New Roman" w:eastAsia="Arial" w:hAnsi="Times New Roman"/>
                <w:color w:val="000000"/>
                <w:sz w:val="16"/>
                <w:szCs w:val="16"/>
              </w:rPr>
              <w:t xml:space="preserve"> </w:t>
            </w:r>
            <w:proofErr w:type="spellStart"/>
            <w:r w:rsidRPr="00EA5D70">
              <w:rPr>
                <w:rFonts w:ascii="Times New Roman" w:eastAsia="Arial" w:hAnsi="Times New Roman"/>
                <w:color w:val="000000"/>
                <w:sz w:val="16"/>
                <w:szCs w:val="16"/>
              </w:rPr>
              <w:t>the</w:t>
            </w:r>
            <w:proofErr w:type="spellEnd"/>
            <w:r w:rsidRPr="00EA5D70">
              <w:rPr>
                <w:rFonts w:ascii="Times New Roman" w:eastAsia="Arial" w:hAnsi="Times New Roman"/>
                <w:color w:val="000000"/>
                <w:sz w:val="16"/>
                <w:szCs w:val="16"/>
              </w:rPr>
              <w:t xml:space="preserve"> </w:t>
            </w:r>
            <w:proofErr w:type="spellStart"/>
            <w:r w:rsidRPr="00EA5D70">
              <w:rPr>
                <w:rFonts w:ascii="Times New Roman" w:eastAsia="Arial" w:hAnsi="Times New Roman"/>
                <w:color w:val="000000"/>
                <w:sz w:val="16"/>
                <w:szCs w:val="16"/>
              </w:rPr>
              <w:t>accountable</w:t>
            </w:r>
            <w:proofErr w:type="spellEnd"/>
            <w:r w:rsidRPr="00EA5D70">
              <w:rPr>
                <w:rFonts w:ascii="Times New Roman" w:eastAsia="Arial" w:hAnsi="Times New Roman"/>
                <w:color w:val="000000"/>
                <w:sz w:val="16"/>
                <w:szCs w:val="16"/>
              </w:rPr>
              <w:t xml:space="preserve">, </w:t>
            </w:r>
            <w:proofErr w:type="spellStart"/>
            <w:r w:rsidRPr="00EA5D70">
              <w:rPr>
                <w:rFonts w:ascii="Times New Roman" w:eastAsia="Arial" w:hAnsi="Times New Roman"/>
                <w:color w:val="000000"/>
                <w:sz w:val="16"/>
                <w:szCs w:val="16"/>
              </w:rPr>
              <w:t>the</w:t>
            </w:r>
            <w:proofErr w:type="spellEnd"/>
            <w:r w:rsidRPr="00EA5D70">
              <w:rPr>
                <w:rFonts w:ascii="Times New Roman" w:eastAsia="Arial" w:hAnsi="Times New Roman"/>
                <w:color w:val="000000"/>
                <w:sz w:val="16"/>
                <w:szCs w:val="16"/>
              </w:rPr>
              <w:t xml:space="preserve"> </w:t>
            </w:r>
            <w:proofErr w:type="spellStart"/>
            <w:r w:rsidRPr="00EA5D70">
              <w:rPr>
                <w:rFonts w:ascii="Times New Roman" w:eastAsia="Arial" w:hAnsi="Times New Roman"/>
                <w:color w:val="000000"/>
                <w:sz w:val="16"/>
                <w:szCs w:val="16"/>
              </w:rPr>
              <w:t>Depository</w:t>
            </w:r>
            <w:proofErr w:type="spellEnd"/>
            <w:r w:rsidRPr="00EA5D70">
              <w:rPr>
                <w:rFonts w:ascii="Times New Roman" w:eastAsia="Arial" w:hAnsi="Times New Roman"/>
                <w:color w:val="000000"/>
                <w:sz w:val="16"/>
                <w:szCs w:val="16"/>
              </w:rPr>
              <w:t xml:space="preserve"> </w:t>
            </w:r>
            <w:proofErr w:type="spellStart"/>
            <w:r w:rsidRPr="00EA5D70">
              <w:rPr>
                <w:rFonts w:ascii="Times New Roman" w:eastAsia="Arial" w:hAnsi="Times New Roman"/>
                <w:color w:val="000000"/>
                <w:sz w:val="16"/>
                <w:szCs w:val="16"/>
              </w:rPr>
              <w:t>in</w:t>
            </w:r>
            <w:proofErr w:type="spellEnd"/>
            <w:r w:rsidRPr="00EA5D70">
              <w:rPr>
                <w:rFonts w:ascii="Times New Roman" w:eastAsia="Arial" w:hAnsi="Times New Roman"/>
                <w:color w:val="000000"/>
                <w:sz w:val="16"/>
                <w:szCs w:val="16"/>
              </w:rPr>
              <w:t xml:space="preserve"> </w:t>
            </w:r>
            <w:proofErr w:type="spellStart"/>
            <w:r w:rsidRPr="00EA5D70">
              <w:rPr>
                <w:rFonts w:ascii="Times New Roman" w:eastAsia="Arial" w:hAnsi="Times New Roman"/>
                <w:color w:val="000000"/>
                <w:sz w:val="16"/>
                <w:szCs w:val="16"/>
              </w:rPr>
              <w:t>the</w:t>
            </w:r>
            <w:proofErr w:type="spellEnd"/>
            <w:r w:rsidRPr="00EA5D70">
              <w:rPr>
                <w:rFonts w:ascii="Times New Roman" w:eastAsia="Arial" w:hAnsi="Times New Roman"/>
                <w:color w:val="000000"/>
                <w:sz w:val="16"/>
                <w:szCs w:val="16"/>
              </w:rPr>
              <w:t xml:space="preserve"> </w:t>
            </w:r>
            <w:proofErr w:type="spellStart"/>
            <w:r w:rsidRPr="00EA5D70">
              <w:rPr>
                <w:rFonts w:ascii="Times New Roman" w:eastAsia="Arial" w:hAnsi="Times New Roman"/>
                <w:color w:val="000000"/>
                <w:sz w:val="16"/>
                <w:szCs w:val="16"/>
              </w:rPr>
              <w:t>manner</w:t>
            </w:r>
            <w:proofErr w:type="spellEnd"/>
            <w:r w:rsidRPr="00EA5D70">
              <w:rPr>
                <w:rFonts w:ascii="Times New Roman" w:eastAsia="Arial" w:hAnsi="Times New Roman"/>
                <w:color w:val="000000"/>
                <w:sz w:val="16"/>
                <w:szCs w:val="16"/>
              </w:rPr>
              <w:t xml:space="preserve"> </w:t>
            </w:r>
            <w:proofErr w:type="spellStart"/>
            <w:r w:rsidRPr="00EA5D70">
              <w:rPr>
                <w:rFonts w:ascii="Times New Roman" w:eastAsia="Arial" w:hAnsi="Times New Roman"/>
                <w:color w:val="000000"/>
                <w:sz w:val="16"/>
                <w:szCs w:val="16"/>
              </w:rPr>
              <w:t>prescribed</w:t>
            </w:r>
            <w:proofErr w:type="spellEnd"/>
            <w:r w:rsidRPr="00EA5D70">
              <w:rPr>
                <w:rFonts w:ascii="Times New Roman" w:eastAsia="Arial" w:hAnsi="Times New Roman"/>
                <w:color w:val="000000"/>
                <w:sz w:val="16"/>
                <w:szCs w:val="16"/>
              </w:rPr>
              <w:t xml:space="preserve"> </w:t>
            </w:r>
            <w:proofErr w:type="spellStart"/>
            <w:r w:rsidRPr="00EA5D70">
              <w:rPr>
                <w:rFonts w:ascii="Times New Roman" w:eastAsia="Arial" w:hAnsi="Times New Roman"/>
                <w:color w:val="000000"/>
                <w:sz w:val="16"/>
                <w:szCs w:val="16"/>
              </w:rPr>
              <w:t>by</w:t>
            </w:r>
            <w:proofErr w:type="spellEnd"/>
            <w:r w:rsidRPr="00EA5D70">
              <w:rPr>
                <w:rFonts w:ascii="Times New Roman" w:eastAsia="Arial" w:hAnsi="Times New Roman"/>
                <w:color w:val="000000"/>
                <w:sz w:val="16"/>
                <w:szCs w:val="16"/>
              </w:rPr>
              <w:t xml:space="preserve"> </w:t>
            </w:r>
            <w:proofErr w:type="spellStart"/>
            <w:r w:rsidRPr="00EA5D70">
              <w:rPr>
                <w:rFonts w:ascii="Times New Roman" w:eastAsia="Arial" w:hAnsi="Times New Roman"/>
                <w:color w:val="000000"/>
                <w:sz w:val="16"/>
                <w:szCs w:val="16"/>
              </w:rPr>
              <w:t>its</w:t>
            </w:r>
            <w:proofErr w:type="spellEnd"/>
            <w:r w:rsidRPr="00EA5D70">
              <w:rPr>
                <w:rFonts w:ascii="Times New Roman" w:eastAsia="Arial" w:hAnsi="Times New Roman"/>
                <w:color w:val="000000"/>
                <w:sz w:val="16"/>
                <w:szCs w:val="16"/>
              </w:rPr>
              <w:t xml:space="preserve"> </w:t>
            </w:r>
            <w:proofErr w:type="spellStart"/>
            <w:r w:rsidRPr="00EA5D70">
              <w:rPr>
                <w:rFonts w:ascii="Times New Roman" w:eastAsia="Arial" w:hAnsi="Times New Roman"/>
                <w:color w:val="000000"/>
                <w:sz w:val="16"/>
                <w:szCs w:val="16"/>
              </w:rPr>
              <w:t>internal</w:t>
            </w:r>
            <w:proofErr w:type="spellEnd"/>
            <w:r w:rsidRPr="00EA5D70">
              <w:rPr>
                <w:rFonts w:ascii="Times New Roman" w:eastAsia="Arial" w:hAnsi="Times New Roman"/>
                <w:color w:val="000000"/>
                <w:sz w:val="16"/>
                <w:szCs w:val="16"/>
              </w:rPr>
              <w:t xml:space="preserve"> </w:t>
            </w:r>
            <w:proofErr w:type="spellStart"/>
            <w:r w:rsidRPr="00EA5D70">
              <w:rPr>
                <w:rFonts w:ascii="Times New Roman" w:eastAsia="Arial" w:hAnsi="Times New Roman"/>
                <w:color w:val="000000"/>
                <w:sz w:val="16"/>
                <w:szCs w:val="16"/>
              </w:rPr>
              <w:t>documents</w:t>
            </w:r>
            <w:proofErr w:type="spellEnd"/>
            <w:r w:rsidRPr="00EA5D70">
              <w:rPr>
                <w:rFonts w:ascii="Times New Roman" w:eastAsia="Arial" w:hAnsi="Times New Roman"/>
                <w:color w:val="000000"/>
                <w:sz w:val="16"/>
                <w:szCs w:val="16"/>
              </w:rPr>
              <w:t xml:space="preserve">, </w:t>
            </w:r>
            <w:proofErr w:type="spellStart"/>
            <w:r w:rsidRPr="00EA5D70">
              <w:rPr>
                <w:rFonts w:ascii="Times New Roman" w:eastAsia="Arial" w:hAnsi="Times New Roman"/>
                <w:color w:val="000000"/>
                <w:sz w:val="16"/>
                <w:szCs w:val="16"/>
              </w:rPr>
              <w:t>and</w:t>
            </w:r>
            <w:proofErr w:type="spellEnd"/>
            <w:r w:rsidRPr="00EA5D70">
              <w:rPr>
                <w:rFonts w:ascii="Times New Roman" w:eastAsia="Arial" w:hAnsi="Times New Roman"/>
                <w:color w:val="000000"/>
                <w:sz w:val="16"/>
                <w:szCs w:val="16"/>
              </w:rPr>
              <w:t xml:space="preserve"> </w:t>
            </w:r>
            <w:proofErr w:type="spellStart"/>
            <w:r w:rsidRPr="00EA5D70">
              <w:rPr>
                <w:rFonts w:ascii="Times New Roman" w:eastAsia="Arial" w:hAnsi="Times New Roman"/>
                <w:color w:val="000000"/>
                <w:sz w:val="16"/>
                <w:szCs w:val="16"/>
              </w:rPr>
              <w:t>in</w:t>
            </w:r>
            <w:proofErr w:type="spellEnd"/>
            <w:r w:rsidRPr="00EA5D70">
              <w:rPr>
                <w:rFonts w:ascii="Times New Roman" w:eastAsia="Arial" w:hAnsi="Times New Roman"/>
                <w:color w:val="000000"/>
                <w:sz w:val="16"/>
                <w:szCs w:val="16"/>
              </w:rPr>
              <w:t xml:space="preserve"> </w:t>
            </w:r>
            <w:proofErr w:type="spellStart"/>
            <w:r w:rsidRPr="00EA5D70">
              <w:rPr>
                <w:rFonts w:ascii="Times New Roman" w:eastAsia="Arial" w:hAnsi="Times New Roman"/>
                <w:color w:val="000000"/>
                <w:sz w:val="16"/>
                <w:szCs w:val="16"/>
              </w:rPr>
              <w:t>accordance</w:t>
            </w:r>
            <w:proofErr w:type="spellEnd"/>
            <w:r w:rsidRPr="00EA5D70">
              <w:rPr>
                <w:rFonts w:ascii="Times New Roman" w:eastAsia="Arial" w:hAnsi="Times New Roman"/>
                <w:color w:val="000000"/>
                <w:sz w:val="16"/>
                <w:szCs w:val="16"/>
              </w:rPr>
              <w:t xml:space="preserve"> </w:t>
            </w:r>
            <w:proofErr w:type="spellStart"/>
            <w:r w:rsidRPr="00EA5D70">
              <w:rPr>
                <w:rFonts w:ascii="Times New Roman" w:eastAsia="Arial" w:hAnsi="Times New Roman"/>
                <w:color w:val="000000"/>
                <w:sz w:val="16"/>
                <w:szCs w:val="16"/>
              </w:rPr>
              <w:t>with</w:t>
            </w:r>
            <w:proofErr w:type="spellEnd"/>
            <w:r w:rsidRPr="00EA5D70">
              <w:rPr>
                <w:rFonts w:ascii="Times New Roman" w:eastAsia="Arial" w:hAnsi="Times New Roman"/>
                <w:color w:val="000000"/>
                <w:sz w:val="16"/>
                <w:szCs w:val="16"/>
              </w:rPr>
              <w:t xml:space="preserve"> </w:t>
            </w:r>
            <w:proofErr w:type="spellStart"/>
            <w:r w:rsidRPr="00EA5D70">
              <w:rPr>
                <w:rFonts w:ascii="Times New Roman" w:eastAsia="Arial" w:hAnsi="Times New Roman"/>
                <w:color w:val="000000"/>
                <w:sz w:val="16"/>
                <w:szCs w:val="16"/>
              </w:rPr>
              <w:t>this</w:t>
            </w:r>
            <w:proofErr w:type="spellEnd"/>
            <w:r w:rsidRPr="00EA5D70">
              <w:rPr>
                <w:rFonts w:ascii="Times New Roman" w:eastAsia="Arial" w:hAnsi="Times New Roman"/>
                <w:color w:val="000000"/>
                <w:sz w:val="16"/>
                <w:szCs w:val="16"/>
              </w:rPr>
              <w:t xml:space="preserve"> </w:t>
            </w:r>
            <w:proofErr w:type="spellStart"/>
            <w:r w:rsidRPr="00EA5D70">
              <w:rPr>
                <w:rFonts w:ascii="Times New Roman" w:eastAsia="Arial" w:hAnsi="Times New Roman"/>
                <w:color w:val="000000"/>
                <w:sz w:val="16"/>
                <w:szCs w:val="16"/>
              </w:rPr>
              <w:t>Agreement</w:t>
            </w:r>
            <w:proofErr w:type="spellEnd"/>
            <w:r w:rsidRPr="00EA5D70">
              <w:rPr>
                <w:rFonts w:ascii="Times New Roman" w:eastAsia="Arial" w:hAnsi="Times New Roman"/>
                <w:color w:val="000000"/>
                <w:sz w:val="16"/>
                <w:szCs w:val="16"/>
              </w:rPr>
              <w:t xml:space="preserve"> </w:t>
            </w:r>
            <w:proofErr w:type="spellStart"/>
            <w:r w:rsidRPr="00EA5D70">
              <w:rPr>
                <w:rFonts w:ascii="Times New Roman" w:eastAsia="Arial" w:hAnsi="Times New Roman"/>
                <w:color w:val="000000"/>
                <w:sz w:val="16"/>
                <w:szCs w:val="16"/>
              </w:rPr>
              <w:t>sends</w:t>
            </w:r>
            <w:proofErr w:type="spellEnd"/>
            <w:r w:rsidRPr="00EA5D70">
              <w:rPr>
                <w:rFonts w:ascii="Times New Roman" w:eastAsia="Arial" w:hAnsi="Times New Roman"/>
                <w:color w:val="000000"/>
                <w:sz w:val="16"/>
                <w:szCs w:val="16"/>
              </w:rPr>
              <w:t xml:space="preserve"> </w:t>
            </w:r>
            <w:proofErr w:type="spellStart"/>
            <w:r w:rsidRPr="00EA5D70">
              <w:rPr>
                <w:rFonts w:ascii="Times New Roman" w:eastAsia="Arial" w:hAnsi="Times New Roman"/>
                <w:color w:val="000000"/>
                <w:sz w:val="16"/>
                <w:szCs w:val="16"/>
              </w:rPr>
              <w:t>to</w:t>
            </w:r>
            <w:proofErr w:type="spellEnd"/>
            <w:r w:rsidRPr="00EA5D70">
              <w:rPr>
                <w:rFonts w:ascii="Times New Roman" w:eastAsia="Arial" w:hAnsi="Times New Roman"/>
                <w:color w:val="000000"/>
                <w:sz w:val="16"/>
                <w:szCs w:val="16"/>
              </w:rPr>
              <w:t xml:space="preserve"> </w:t>
            </w:r>
            <w:proofErr w:type="spellStart"/>
            <w:r w:rsidRPr="00EA5D70">
              <w:rPr>
                <w:rFonts w:ascii="Times New Roman" w:eastAsia="Arial" w:hAnsi="Times New Roman"/>
                <w:color w:val="000000"/>
                <w:sz w:val="16"/>
                <w:szCs w:val="16"/>
              </w:rPr>
              <w:t>the</w:t>
            </w:r>
            <w:proofErr w:type="spellEnd"/>
            <w:r w:rsidRPr="00EA5D70">
              <w:rPr>
                <w:rFonts w:ascii="Times New Roman" w:eastAsia="Arial" w:hAnsi="Times New Roman"/>
                <w:color w:val="000000"/>
                <w:sz w:val="16"/>
                <w:szCs w:val="16"/>
              </w:rPr>
              <w:t xml:space="preserve"> </w:t>
            </w:r>
            <w:proofErr w:type="spellStart"/>
            <w:r w:rsidRPr="00EA5D70">
              <w:rPr>
                <w:rFonts w:ascii="Times New Roman" w:eastAsia="Arial" w:hAnsi="Times New Roman"/>
                <w:color w:val="000000"/>
                <w:sz w:val="16"/>
                <w:szCs w:val="16"/>
              </w:rPr>
              <w:t>relevant</w:t>
            </w:r>
            <w:proofErr w:type="spellEnd"/>
            <w:r w:rsidRPr="00EA5D70">
              <w:rPr>
                <w:rFonts w:ascii="Times New Roman" w:eastAsia="Arial" w:hAnsi="Times New Roman"/>
                <w:color w:val="000000"/>
                <w:sz w:val="16"/>
                <w:szCs w:val="16"/>
              </w:rPr>
              <w:t xml:space="preserve"> </w:t>
            </w:r>
            <w:proofErr w:type="spellStart"/>
            <w:r w:rsidRPr="00EA5D70">
              <w:rPr>
                <w:rFonts w:ascii="Times New Roman" w:eastAsia="Arial" w:hAnsi="Times New Roman"/>
                <w:color w:val="000000"/>
                <w:sz w:val="16"/>
                <w:szCs w:val="16"/>
              </w:rPr>
              <w:t>Depositor</w:t>
            </w:r>
            <w:proofErr w:type="spellEnd"/>
            <w:r w:rsidRPr="00EA5D70">
              <w:rPr>
                <w:rFonts w:ascii="Times New Roman" w:eastAsia="Arial" w:hAnsi="Times New Roman"/>
                <w:color w:val="000000"/>
                <w:sz w:val="16"/>
                <w:szCs w:val="16"/>
              </w:rPr>
              <w:t xml:space="preserve"> a </w:t>
            </w:r>
            <w:proofErr w:type="spellStart"/>
            <w:r w:rsidRPr="00EA5D70">
              <w:rPr>
                <w:rFonts w:ascii="Times New Roman" w:eastAsia="Arial" w:hAnsi="Times New Roman"/>
                <w:color w:val="000000"/>
                <w:sz w:val="16"/>
                <w:szCs w:val="16"/>
              </w:rPr>
              <w:t>request</w:t>
            </w:r>
            <w:proofErr w:type="spellEnd"/>
            <w:r w:rsidRPr="00EA5D70">
              <w:rPr>
                <w:rFonts w:ascii="Times New Roman" w:eastAsia="Arial" w:hAnsi="Times New Roman"/>
                <w:color w:val="000000"/>
                <w:sz w:val="16"/>
                <w:szCs w:val="16"/>
              </w:rPr>
              <w:t xml:space="preserve"> </w:t>
            </w:r>
            <w:proofErr w:type="spellStart"/>
            <w:r w:rsidRPr="00EA5D70">
              <w:rPr>
                <w:rFonts w:ascii="Times New Roman" w:eastAsia="Arial" w:hAnsi="Times New Roman"/>
                <w:color w:val="000000"/>
                <w:sz w:val="16"/>
                <w:szCs w:val="16"/>
              </w:rPr>
              <w:t>for</w:t>
            </w:r>
            <w:proofErr w:type="spellEnd"/>
            <w:r w:rsidRPr="00EA5D70">
              <w:rPr>
                <w:rFonts w:ascii="Times New Roman" w:eastAsia="Arial" w:hAnsi="Times New Roman"/>
                <w:color w:val="000000"/>
                <w:sz w:val="16"/>
                <w:szCs w:val="16"/>
              </w:rPr>
              <w:t xml:space="preserve"> </w:t>
            </w:r>
            <w:proofErr w:type="spellStart"/>
            <w:r w:rsidRPr="00EA5D70">
              <w:rPr>
                <w:rFonts w:ascii="Times New Roman" w:eastAsia="Arial" w:hAnsi="Times New Roman"/>
                <w:color w:val="000000"/>
                <w:sz w:val="16"/>
                <w:szCs w:val="16"/>
              </w:rPr>
              <w:t>clarification</w:t>
            </w:r>
            <w:proofErr w:type="spellEnd"/>
            <w:r w:rsidRPr="00EA5D70">
              <w:rPr>
                <w:rFonts w:ascii="Times New Roman" w:eastAsia="Arial" w:hAnsi="Times New Roman"/>
                <w:color w:val="000000"/>
                <w:sz w:val="16"/>
                <w:szCs w:val="16"/>
              </w:rPr>
              <w:t xml:space="preserve"> </w:t>
            </w:r>
            <w:proofErr w:type="spellStart"/>
            <w:r w:rsidRPr="00EA5D70">
              <w:rPr>
                <w:rFonts w:ascii="Times New Roman" w:eastAsia="Arial" w:hAnsi="Times New Roman"/>
                <w:color w:val="000000"/>
                <w:sz w:val="16"/>
                <w:szCs w:val="16"/>
              </w:rPr>
              <w:t>and</w:t>
            </w:r>
            <w:proofErr w:type="spellEnd"/>
            <w:r w:rsidRPr="00EA5D70">
              <w:rPr>
                <w:rFonts w:ascii="Times New Roman" w:eastAsia="Arial" w:hAnsi="Times New Roman"/>
                <w:color w:val="000000"/>
                <w:sz w:val="16"/>
                <w:szCs w:val="16"/>
              </w:rPr>
              <w:t xml:space="preserve"> </w:t>
            </w:r>
            <w:proofErr w:type="spellStart"/>
            <w:r w:rsidRPr="00EA5D70">
              <w:rPr>
                <w:rFonts w:ascii="Times New Roman" w:eastAsia="Arial" w:hAnsi="Times New Roman"/>
                <w:color w:val="000000"/>
                <w:sz w:val="16"/>
                <w:szCs w:val="16"/>
              </w:rPr>
              <w:t>information</w:t>
            </w:r>
            <w:proofErr w:type="spellEnd"/>
            <w:r w:rsidRPr="00EA5D70">
              <w:rPr>
                <w:rFonts w:ascii="Times New Roman" w:eastAsia="Arial" w:hAnsi="Times New Roman"/>
                <w:color w:val="000000"/>
                <w:sz w:val="16"/>
                <w:szCs w:val="16"/>
              </w:rPr>
              <w:t xml:space="preserve">, </w:t>
            </w:r>
            <w:proofErr w:type="spellStart"/>
            <w:r w:rsidRPr="00EA5D70">
              <w:rPr>
                <w:rFonts w:ascii="Times New Roman" w:eastAsia="Arial" w:hAnsi="Times New Roman"/>
                <w:color w:val="000000"/>
                <w:sz w:val="16"/>
                <w:szCs w:val="16"/>
              </w:rPr>
              <w:t>concerning</w:t>
            </w:r>
            <w:proofErr w:type="spellEnd"/>
            <w:r w:rsidRPr="00EA5D70">
              <w:rPr>
                <w:rFonts w:ascii="Times New Roman" w:eastAsia="Arial" w:hAnsi="Times New Roman"/>
                <w:color w:val="000000"/>
                <w:sz w:val="16"/>
                <w:szCs w:val="16"/>
              </w:rPr>
              <w:t xml:space="preserve"> </w:t>
            </w:r>
            <w:proofErr w:type="spellStart"/>
            <w:r w:rsidRPr="00EA5D70">
              <w:rPr>
                <w:rFonts w:ascii="Times New Roman" w:eastAsia="Arial" w:hAnsi="Times New Roman"/>
                <w:color w:val="000000"/>
                <w:sz w:val="16"/>
                <w:szCs w:val="16"/>
              </w:rPr>
              <w:t>suspicion</w:t>
            </w:r>
            <w:proofErr w:type="spellEnd"/>
            <w:r w:rsidRPr="00EA5D70">
              <w:rPr>
                <w:rFonts w:ascii="Times New Roman" w:eastAsia="Arial" w:hAnsi="Times New Roman"/>
                <w:color w:val="000000"/>
                <w:sz w:val="16"/>
                <w:szCs w:val="16"/>
              </w:rPr>
              <w:t>.</w:t>
            </w:r>
          </w:p>
        </w:tc>
      </w:tr>
      <w:tr w:rsidR="003A05A3" w:rsidRPr="00F23413" w14:paraId="2C97A7EC" w14:textId="77777777" w:rsidTr="00242F58">
        <w:trPr>
          <w:trHeight w:val="192"/>
        </w:trPr>
        <w:tc>
          <w:tcPr>
            <w:tcW w:w="5696" w:type="dxa"/>
            <w:gridSpan w:val="8"/>
            <w:shd w:val="clear" w:color="auto" w:fill="auto"/>
          </w:tcPr>
          <w:p w14:paraId="0FA8A25B" w14:textId="77777777" w:rsidR="003A05A3" w:rsidRPr="00E16672" w:rsidRDefault="003A05A3" w:rsidP="00843027">
            <w:pPr>
              <w:pStyle w:val="1b"/>
              <w:snapToGrid w:val="0"/>
              <w:spacing w:before="0"/>
              <w:ind w:left="175" w:right="138" w:firstLine="7"/>
              <w:rPr>
                <w:rFonts w:ascii="Times New Roman" w:eastAsia="Times New Roman" w:hAnsi="Times New Roman" w:cs="Times New Roman"/>
                <w:b/>
                <w:color w:val="000000"/>
                <w:sz w:val="16"/>
                <w:szCs w:val="16"/>
              </w:rPr>
            </w:pPr>
            <w:r w:rsidRPr="00E16672">
              <w:rPr>
                <w:rFonts w:ascii="Times New Roman" w:eastAsia="Times New Roman" w:hAnsi="Times New Roman" w:cs="Times New Roman"/>
                <w:b/>
                <w:color w:val="000000"/>
                <w:sz w:val="16"/>
                <w:szCs w:val="16"/>
              </w:rPr>
              <w:t>2.2. Депозитарна установа має право:</w:t>
            </w:r>
          </w:p>
          <w:p w14:paraId="5369413E" w14:textId="77777777" w:rsidR="003A05A3" w:rsidRPr="00E16672" w:rsidRDefault="003A05A3" w:rsidP="00843027">
            <w:pPr>
              <w:tabs>
                <w:tab w:val="left" w:pos="709"/>
              </w:tabs>
              <w:ind w:left="175" w:right="138" w:firstLine="7"/>
              <w:rPr>
                <w:rFonts w:ascii="Times New Roman" w:eastAsia="Arial" w:hAnsi="Times New Roman"/>
                <w:color w:val="000000"/>
                <w:sz w:val="16"/>
                <w:szCs w:val="16"/>
              </w:rPr>
            </w:pPr>
            <w:r w:rsidRPr="00E16672">
              <w:rPr>
                <w:rFonts w:ascii="Times New Roman" w:eastAsia="Arial" w:hAnsi="Times New Roman"/>
                <w:color w:val="000000"/>
                <w:sz w:val="16"/>
                <w:szCs w:val="16"/>
              </w:rPr>
              <w:t xml:space="preserve">2.2.1. </w:t>
            </w:r>
            <w:r w:rsidRPr="00E16672">
              <w:rPr>
                <w:rFonts w:ascii="Times New Roman" w:hAnsi="Times New Roman"/>
                <w:color w:val="000000"/>
                <w:sz w:val="16"/>
                <w:szCs w:val="16"/>
                <w:lang w:val="uk-UA"/>
              </w:rPr>
              <w:t>Надавати письмову відмову у видачі виписки з рахунку в цінних паперах у разі невідповідності оформленого запиту вимогам законодавства та внутрішніх документів Депозитарної установи.</w:t>
            </w:r>
          </w:p>
          <w:p w14:paraId="07F8CC9B" w14:textId="77777777" w:rsidR="003A05A3" w:rsidRPr="00E16672" w:rsidRDefault="003A05A3" w:rsidP="00843027">
            <w:pPr>
              <w:tabs>
                <w:tab w:val="left" w:pos="709"/>
              </w:tabs>
              <w:ind w:left="175" w:right="138" w:firstLine="7"/>
              <w:rPr>
                <w:rFonts w:ascii="Times New Roman" w:hAnsi="Times New Roman"/>
                <w:color w:val="000000"/>
                <w:sz w:val="16"/>
                <w:szCs w:val="16"/>
              </w:rPr>
            </w:pPr>
          </w:p>
        </w:tc>
        <w:tc>
          <w:tcPr>
            <w:tcW w:w="5494" w:type="dxa"/>
            <w:gridSpan w:val="6"/>
            <w:shd w:val="clear" w:color="auto" w:fill="auto"/>
          </w:tcPr>
          <w:p w14:paraId="6ECE0B0E" w14:textId="77777777" w:rsidR="003A05A3" w:rsidRPr="00E16672" w:rsidRDefault="003A05A3" w:rsidP="00843027">
            <w:pPr>
              <w:tabs>
                <w:tab w:val="left" w:pos="287"/>
              </w:tabs>
              <w:snapToGrid w:val="0"/>
              <w:ind w:left="175" w:right="100" w:firstLine="7"/>
              <w:rPr>
                <w:rFonts w:ascii="Times New Roman" w:hAnsi="Times New Roman"/>
                <w:b/>
                <w:color w:val="000000"/>
                <w:sz w:val="16"/>
                <w:szCs w:val="16"/>
                <w:lang w:val="en-GB"/>
              </w:rPr>
            </w:pPr>
            <w:r w:rsidRPr="00E16672">
              <w:rPr>
                <w:rFonts w:ascii="Times New Roman" w:hAnsi="Times New Roman"/>
                <w:b/>
                <w:color w:val="000000"/>
                <w:sz w:val="16"/>
                <w:szCs w:val="16"/>
                <w:lang w:val="en-GB"/>
              </w:rPr>
              <w:t>2.2. Depository institutions may have rights:</w:t>
            </w:r>
          </w:p>
          <w:p w14:paraId="718B137D" w14:textId="77777777" w:rsidR="003A05A3" w:rsidRPr="00E16672" w:rsidRDefault="003A05A3" w:rsidP="00843027">
            <w:pPr>
              <w:pStyle w:val="210"/>
              <w:tabs>
                <w:tab w:val="left" w:pos="287"/>
              </w:tabs>
              <w:ind w:left="175" w:right="100" w:firstLine="7"/>
              <w:rPr>
                <w:rFonts w:ascii="Times New Roman" w:hAnsi="Times New Roman"/>
                <w:b/>
                <w:color w:val="000000"/>
                <w:sz w:val="16"/>
                <w:szCs w:val="16"/>
              </w:rPr>
            </w:pPr>
          </w:p>
          <w:p w14:paraId="7F77A8E7" w14:textId="77777777" w:rsidR="003A05A3" w:rsidRPr="00E16672" w:rsidRDefault="003A05A3" w:rsidP="00843027">
            <w:pPr>
              <w:tabs>
                <w:tab w:val="left" w:pos="287"/>
              </w:tabs>
              <w:ind w:left="175" w:right="100" w:firstLine="7"/>
              <w:rPr>
                <w:rFonts w:ascii="Times New Roman" w:hAnsi="Times New Roman"/>
                <w:b/>
                <w:color w:val="000000"/>
                <w:sz w:val="16"/>
                <w:szCs w:val="16"/>
                <w:lang w:val="en-GB"/>
              </w:rPr>
            </w:pPr>
            <w:proofErr w:type="gramStart"/>
            <w:r w:rsidRPr="00E16672">
              <w:rPr>
                <w:rFonts w:ascii="Times New Roman" w:hAnsi="Times New Roman"/>
                <w:color w:val="000000"/>
                <w:sz w:val="16"/>
                <w:szCs w:val="16"/>
                <w:lang w:val="en-GB"/>
              </w:rPr>
              <w:t>2.2.</w:t>
            </w:r>
            <w:r w:rsidRPr="00E16672">
              <w:rPr>
                <w:rFonts w:ascii="Times New Roman" w:eastAsia="Arial" w:hAnsi="Times New Roman"/>
                <w:color w:val="000000"/>
                <w:sz w:val="16"/>
                <w:szCs w:val="16"/>
                <w:lang w:val="en-GB"/>
              </w:rPr>
              <w:t xml:space="preserve">1  </w:t>
            </w:r>
            <w:r w:rsidRPr="00F23413">
              <w:rPr>
                <w:rFonts w:ascii="Times New Roman" w:hAnsi="Times New Roman"/>
                <w:sz w:val="16"/>
                <w:lang w:val="en-US"/>
              </w:rPr>
              <w:t>To</w:t>
            </w:r>
            <w:proofErr w:type="gramEnd"/>
            <w:r w:rsidRPr="00F23413">
              <w:rPr>
                <w:rFonts w:ascii="Times New Roman" w:hAnsi="Times New Roman"/>
                <w:sz w:val="16"/>
                <w:lang w:val="en-US"/>
              </w:rPr>
              <w:t xml:space="preserve"> provide a written refusal to issue an extract from the securities account in case of non-compliance of the completed request with the requirements of the legislation and internal documents of the Depository.</w:t>
            </w:r>
          </w:p>
        </w:tc>
      </w:tr>
      <w:tr w:rsidR="003A05A3" w:rsidRPr="00F23413" w14:paraId="1C08A0D4" w14:textId="77777777" w:rsidTr="00242F58">
        <w:trPr>
          <w:trHeight w:val="192"/>
        </w:trPr>
        <w:tc>
          <w:tcPr>
            <w:tcW w:w="5696" w:type="dxa"/>
            <w:gridSpan w:val="8"/>
            <w:shd w:val="clear" w:color="auto" w:fill="auto"/>
          </w:tcPr>
          <w:p w14:paraId="5111C1E7" w14:textId="77777777" w:rsidR="003A05A3" w:rsidRPr="00E16672" w:rsidRDefault="003A05A3" w:rsidP="00843027">
            <w:pPr>
              <w:tabs>
                <w:tab w:val="left" w:pos="709"/>
              </w:tabs>
              <w:snapToGrid w:val="0"/>
              <w:ind w:left="175" w:right="138" w:firstLine="7"/>
              <w:rPr>
                <w:rFonts w:ascii="Times New Roman" w:hAnsi="Times New Roman"/>
                <w:color w:val="000000"/>
                <w:sz w:val="16"/>
                <w:szCs w:val="16"/>
              </w:rPr>
            </w:pPr>
            <w:r w:rsidRPr="00E16672">
              <w:rPr>
                <w:rFonts w:ascii="Times New Roman" w:hAnsi="Times New Roman"/>
                <w:color w:val="000000"/>
                <w:sz w:val="16"/>
                <w:szCs w:val="16"/>
              </w:rPr>
              <w:t xml:space="preserve">2.2.2. </w:t>
            </w:r>
            <w:proofErr w:type="spellStart"/>
            <w:r w:rsidRPr="00E16672">
              <w:rPr>
                <w:rFonts w:ascii="Times New Roman" w:hAnsi="Times New Roman"/>
                <w:color w:val="000000"/>
                <w:sz w:val="16"/>
                <w:szCs w:val="16"/>
              </w:rPr>
              <w:t>Вимагати</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від</w:t>
            </w:r>
            <w:proofErr w:type="spellEnd"/>
            <w:r w:rsidRPr="00E16672">
              <w:rPr>
                <w:rFonts w:ascii="Times New Roman" w:hAnsi="Times New Roman"/>
                <w:color w:val="000000"/>
                <w:sz w:val="16"/>
                <w:szCs w:val="16"/>
              </w:rPr>
              <w:t xml:space="preserve"> Депонента, </w:t>
            </w:r>
            <w:proofErr w:type="spellStart"/>
            <w:r w:rsidRPr="00E16672">
              <w:rPr>
                <w:rFonts w:ascii="Times New Roman" w:hAnsi="Times New Roman"/>
                <w:color w:val="000000"/>
                <w:sz w:val="16"/>
                <w:szCs w:val="16"/>
              </w:rPr>
              <w:t>керуючого</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рахунком</w:t>
            </w:r>
            <w:proofErr w:type="spellEnd"/>
            <w:r w:rsidRPr="00E16672">
              <w:rPr>
                <w:rFonts w:ascii="Times New Roman" w:hAnsi="Times New Roman"/>
                <w:color w:val="000000"/>
                <w:sz w:val="16"/>
                <w:szCs w:val="16"/>
              </w:rPr>
              <w:t xml:space="preserve"> </w:t>
            </w:r>
            <w:r w:rsidR="00C22309" w:rsidRPr="00E16672">
              <w:rPr>
                <w:rFonts w:ascii="Times New Roman" w:hAnsi="Times New Roman"/>
                <w:color w:val="000000"/>
                <w:sz w:val="16"/>
                <w:szCs w:val="16"/>
              </w:rPr>
              <w:t xml:space="preserve">в </w:t>
            </w:r>
            <w:proofErr w:type="spellStart"/>
            <w:r w:rsidR="00C22309" w:rsidRPr="00E16672">
              <w:rPr>
                <w:rFonts w:ascii="Times New Roman" w:hAnsi="Times New Roman"/>
                <w:color w:val="000000"/>
                <w:sz w:val="16"/>
                <w:szCs w:val="16"/>
              </w:rPr>
              <w:t>цін</w:t>
            </w:r>
            <w:r w:rsidRPr="00E16672">
              <w:rPr>
                <w:rFonts w:ascii="Times New Roman" w:hAnsi="Times New Roman"/>
                <w:color w:val="000000"/>
                <w:sz w:val="16"/>
                <w:szCs w:val="16"/>
              </w:rPr>
              <w:t>них</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паперах</w:t>
            </w:r>
            <w:proofErr w:type="spellEnd"/>
            <w:r w:rsidRPr="00E16672">
              <w:rPr>
                <w:rFonts w:ascii="Times New Roman" w:hAnsi="Times New Roman"/>
                <w:color w:val="000000"/>
                <w:sz w:val="16"/>
                <w:szCs w:val="16"/>
              </w:rPr>
              <w:t xml:space="preserve"> Депонента</w:t>
            </w:r>
            <w:r w:rsidRPr="00E16672">
              <w:rPr>
                <w:rFonts w:ascii="Times New Roman" w:hAnsi="Times New Roman"/>
                <w:color w:val="000000"/>
                <w:sz w:val="16"/>
                <w:szCs w:val="16"/>
                <w:lang w:val="uk-UA"/>
              </w:rPr>
              <w:t>, розпорядника рахунку</w:t>
            </w:r>
            <w:r w:rsidRPr="00E16672">
              <w:rPr>
                <w:rFonts w:ascii="Times New Roman" w:hAnsi="Times New Roman"/>
                <w:color w:val="000000"/>
                <w:sz w:val="16"/>
                <w:szCs w:val="16"/>
              </w:rPr>
              <w:t xml:space="preserve">, </w:t>
            </w:r>
            <w:r w:rsidRPr="00E16672">
              <w:rPr>
                <w:rFonts w:ascii="Times New Roman" w:hAnsi="Times New Roman"/>
                <w:color w:val="000000"/>
                <w:sz w:val="16"/>
                <w:szCs w:val="16"/>
                <w:lang w:val="uk-UA"/>
              </w:rPr>
              <w:t>надання на виконання вимог законодавства та/або внутрішніх документів Депозитарної установи належним чином засвідчених документів та інформації, необхідних</w:t>
            </w:r>
            <w:r w:rsidRPr="00E16672">
              <w:rPr>
                <w:rFonts w:ascii="Times New Roman" w:hAnsi="Times New Roman"/>
                <w:color w:val="000000"/>
                <w:sz w:val="16"/>
                <w:szCs w:val="16"/>
              </w:rPr>
              <w:t xml:space="preserve"> для </w:t>
            </w:r>
            <w:proofErr w:type="spellStart"/>
            <w:r w:rsidRPr="00E16672">
              <w:rPr>
                <w:rFonts w:ascii="Times New Roman" w:hAnsi="Times New Roman"/>
                <w:color w:val="000000"/>
                <w:sz w:val="16"/>
                <w:szCs w:val="16"/>
              </w:rPr>
              <w:t>виконання</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своїх</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обов’язків</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згідно</w:t>
            </w:r>
            <w:proofErr w:type="spellEnd"/>
            <w:r w:rsidRPr="00E16672">
              <w:rPr>
                <w:rFonts w:ascii="Times New Roman" w:hAnsi="Times New Roman"/>
                <w:color w:val="000000"/>
                <w:sz w:val="16"/>
                <w:szCs w:val="16"/>
              </w:rPr>
              <w:t xml:space="preserve"> умов Договору та </w:t>
            </w:r>
            <w:proofErr w:type="spellStart"/>
            <w:r w:rsidRPr="00E16672">
              <w:rPr>
                <w:rFonts w:ascii="Times New Roman" w:hAnsi="Times New Roman"/>
                <w:color w:val="000000"/>
                <w:sz w:val="16"/>
                <w:szCs w:val="16"/>
              </w:rPr>
              <w:t>законодавства</w:t>
            </w:r>
            <w:proofErr w:type="spellEnd"/>
            <w:r w:rsidRPr="00E16672">
              <w:rPr>
                <w:rFonts w:ascii="Times New Roman" w:hAnsi="Times New Roman"/>
                <w:color w:val="000000"/>
                <w:sz w:val="16"/>
                <w:szCs w:val="16"/>
              </w:rPr>
              <w:t>.</w:t>
            </w:r>
          </w:p>
          <w:p w14:paraId="3148AB76" w14:textId="77777777" w:rsidR="003A05A3" w:rsidRPr="00E16672" w:rsidRDefault="003A05A3" w:rsidP="00843027">
            <w:pPr>
              <w:tabs>
                <w:tab w:val="left" w:pos="57"/>
              </w:tabs>
              <w:snapToGrid w:val="0"/>
              <w:ind w:left="175" w:right="138" w:firstLine="7"/>
              <w:rPr>
                <w:rFonts w:ascii="Times New Roman" w:hAnsi="Times New Roman"/>
                <w:color w:val="000000"/>
                <w:sz w:val="16"/>
                <w:szCs w:val="16"/>
              </w:rPr>
            </w:pPr>
          </w:p>
        </w:tc>
        <w:tc>
          <w:tcPr>
            <w:tcW w:w="5494" w:type="dxa"/>
            <w:gridSpan w:val="6"/>
            <w:shd w:val="clear" w:color="auto" w:fill="auto"/>
          </w:tcPr>
          <w:p w14:paraId="4BE6A0F6" w14:textId="77777777" w:rsidR="003A05A3" w:rsidRPr="00E16672" w:rsidRDefault="003A05A3" w:rsidP="00843027">
            <w:pPr>
              <w:tabs>
                <w:tab w:val="left" w:pos="287"/>
              </w:tabs>
              <w:snapToGrid w:val="0"/>
              <w:ind w:left="175" w:right="100" w:firstLine="7"/>
              <w:rPr>
                <w:rFonts w:ascii="Times New Roman" w:hAnsi="Times New Roman"/>
                <w:color w:val="000000"/>
                <w:sz w:val="16"/>
                <w:szCs w:val="16"/>
                <w:lang w:val="en-GB"/>
              </w:rPr>
            </w:pPr>
            <w:r w:rsidRPr="00E16672">
              <w:rPr>
                <w:rFonts w:ascii="Times New Roman" w:hAnsi="Times New Roman"/>
                <w:color w:val="000000"/>
                <w:sz w:val="16"/>
                <w:szCs w:val="16"/>
                <w:lang w:val="en-GB"/>
              </w:rPr>
              <w:t xml:space="preserve">2.2.2. To demand from Depositor, </w:t>
            </w:r>
            <w:r w:rsidRPr="00E16672">
              <w:rPr>
                <w:rFonts w:ascii="Times New Roman" w:hAnsi="Times New Roman"/>
                <w:sz w:val="16"/>
                <w:lang w:val="en-US"/>
              </w:rPr>
              <w:t>administrator of the account in securities,</w:t>
            </w:r>
            <w:r w:rsidRPr="00E16672">
              <w:rPr>
                <w:rFonts w:ascii="Times New Roman" w:hAnsi="Times New Roman"/>
                <w:color w:val="000000"/>
                <w:sz w:val="12"/>
                <w:szCs w:val="16"/>
                <w:lang w:val="en-GB"/>
              </w:rPr>
              <w:t xml:space="preserve"> </w:t>
            </w:r>
            <w:r w:rsidRPr="00E16672">
              <w:rPr>
                <w:rFonts w:ascii="Times New Roman" w:hAnsi="Times New Roman"/>
                <w:color w:val="000000"/>
                <w:sz w:val="16"/>
                <w:szCs w:val="16"/>
                <w:lang w:val="en-GB"/>
              </w:rPr>
              <w:t xml:space="preserve">manager of the account </w:t>
            </w:r>
            <w:r w:rsidRPr="00F23413">
              <w:rPr>
                <w:rFonts w:ascii="Times New Roman" w:hAnsi="Times New Roman"/>
                <w:sz w:val="16"/>
                <w:szCs w:val="16"/>
                <w:lang w:val="en-US"/>
              </w:rPr>
              <w:t>to provide of properly documented documents and information</w:t>
            </w:r>
            <w:r w:rsidRPr="00F23413">
              <w:rPr>
                <w:rFonts w:ascii="Times New Roman" w:hAnsi="Times New Roman"/>
                <w:lang w:val="en-US"/>
              </w:rPr>
              <w:t xml:space="preserve"> </w:t>
            </w:r>
            <w:r w:rsidRPr="00E16672">
              <w:rPr>
                <w:rFonts w:ascii="Times New Roman" w:hAnsi="Times New Roman"/>
                <w:color w:val="000000"/>
                <w:sz w:val="16"/>
                <w:szCs w:val="16"/>
                <w:lang w:val="en-GB"/>
              </w:rPr>
              <w:t>necessary to perform its obligations under the Agreement and legislation.</w:t>
            </w:r>
          </w:p>
          <w:p w14:paraId="69B9E810" w14:textId="77777777" w:rsidR="003A05A3" w:rsidRPr="00E16672" w:rsidRDefault="003A05A3" w:rsidP="00843027">
            <w:pPr>
              <w:tabs>
                <w:tab w:val="left" w:pos="287"/>
              </w:tabs>
              <w:snapToGrid w:val="0"/>
              <w:ind w:left="175" w:right="100" w:firstLine="7"/>
              <w:rPr>
                <w:rFonts w:ascii="Times New Roman" w:hAnsi="Times New Roman"/>
                <w:color w:val="000000"/>
                <w:sz w:val="16"/>
                <w:szCs w:val="16"/>
                <w:lang w:val="en-GB"/>
              </w:rPr>
            </w:pPr>
          </w:p>
        </w:tc>
      </w:tr>
      <w:tr w:rsidR="003A05A3" w:rsidRPr="00F23413" w14:paraId="1559EB06" w14:textId="77777777" w:rsidTr="00242F58">
        <w:trPr>
          <w:trHeight w:val="615"/>
        </w:trPr>
        <w:tc>
          <w:tcPr>
            <w:tcW w:w="5696" w:type="dxa"/>
            <w:gridSpan w:val="8"/>
            <w:shd w:val="clear" w:color="auto" w:fill="auto"/>
          </w:tcPr>
          <w:p w14:paraId="120EB7E4" w14:textId="77777777" w:rsidR="003A05A3" w:rsidRPr="00E16672" w:rsidRDefault="003A05A3" w:rsidP="00843027">
            <w:pPr>
              <w:tabs>
                <w:tab w:val="left" w:pos="709"/>
              </w:tabs>
              <w:snapToGrid w:val="0"/>
              <w:ind w:left="175" w:right="138" w:firstLine="7"/>
              <w:rPr>
                <w:rFonts w:ascii="Times New Roman" w:hAnsi="Times New Roman"/>
                <w:color w:val="000000"/>
                <w:sz w:val="16"/>
                <w:szCs w:val="16"/>
              </w:rPr>
            </w:pPr>
            <w:r w:rsidRPr="00E16672">
              <w:rPr>
                <w:rFonts w:ascii="Times New Roman" w:hAnsi="Times New Roman"/>
                <w:color w:val="000000"/>
                <w:sz w:val="16"/>
                <w:szCs w:val="16"/>
              </w:rPr>
              <w:t xml:space="preserve">2.2.3. </w:t>
            </w:r>
            <w:proofErr w:type="spellStart"/>
            <w:r w:rsidRPr="00E16672">
              <w:rPr>
                <w:rFonts w:ascii="Times New Roman" w:hAnsi="Times New Roman"/>
                <w:color w:val="000000"/>
                <w:sz w:val="16"/>
                <w:szCs w:val="16"/>
              </w:rPr>
              <w:t>Згідно</w:t>
            </w:r>
            <w:proofErr w:type="spellEnd"/>
            <w:r w:rsidRPr="00E16672">
              <w:rPr>
                <w:rFonts w:ascii="Times New Roman" w:hAnsi="Times New Roman"/>
                <w:color w:val="000000"/>
                <w:sz w:val="16"/>
                <w:szCs w:val="16"/>
              </w:rPr>
              <w:t xml:space="preserve"> з </w:t>
            </w:r>
            <w:proofErr w:type="spellStart"/>
            <w:r w:rsidRPr="00E16672">
              <w:rPr>
                <w:rFonts w:ascii="Times New Roman" w:hAnsi="Times New Roman"/>
                <w:color w:val="000000"/>
                <w:sz w:val="16"/>
                <w:szCs w:val="16"/>
              </w:rPr>
              <w:t>чинним</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законодавством</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України</w:t>
            </w:r>
            <w:proofErr w:type="spellEnd"/>
            <w:r w:rsidRPr="00E16672">
              <w:rPr>
                <w:rFonts w:ascii="Times New Roman" w:hAnsi="Times New Roman"/>
                <w:color w:val="000000"/>
                <w:sz w:val="16"/>
                <w:szCs w:val="16"/>
              </w:rPr>
              <w:t xml:space="preserve">, у </w:t>
            </w:r>
            <w:proofErr w:type="spellStart"/>
            <w:r w:rsidRPr="00E16672">
              <w:rPr>
                <w:rFonts w:ascii="Times New Roman" w:hAnsi="Times New Roman"/>
                <w:color w:val="000000"/>
                <w:sz w:val="16"/>
                <w:szCs w:val="16"/>
              </w:rPr>
              <w:t>випадку</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необхідності</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вимагати</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від</w:t>
            </w:r>
            <w:proofErr w:type="spellEnd"/>
            <w:r w:rsidRPr="00E16672">
              <w:rPr>
                <w:rFonts w:ascii="Times New Roman" w:hAnsi="Times New Roman"/>
                <w:color w:val="000000"/>
                <w:sz w:val="16"/>
                <w:szCs w:val="16"/>
              </w:rPr>
              <w:t xml:space="preserve"> Депонента </w:t>
            </w:r>
            <w:proofErr w:type="spellStart"/>
            <w:r w:rsidRPr="00E16672">
              <w:rPr>
                <w:rFonts w:ascii="Times New Roman" w:hAnsi="Times New Roman"/>
                <w:color w:val="000000"/>
                <w:sz w:val="16"/>
                <w:szCs w:val="16"/>
              </w:rPr>
              <w:t>надання</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додаткових</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документів</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відомостей</w:t>
            </w:r>
            <w:proofErr w:type="spellEnd"/>
            <w:r w:rsidRPr="00E16672">
              <w:rPr>
                <w:rFonts w:ascii="Times New Roman" w:hAnsi="Times New Roman"/>
                <w:color w:val="000000"/>
                <w:sz w:val="16"/>
                <w:szCs w:val="16"/>
              </w:rPr>
              <w:t xml:space="preserve"> та </w:t>
            </w:r>
            <w:proofErr w:type="spellStart"/>
            <w:r w:rsidRPr="00E16672">
              <w:rPr>
                <w:rFonts w:ascii="Times New Roman" w:hAnsi="Times New Roman"/>
                <w:color w:val="000000"/>
                <w:sz w:val="16"/>
                <w:szCs w:val="16"/>
              </w:rPr>
              <w:t>інформації</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засвідчених</w:t>
            </w:r>
            <w:proofErr w:type="spellEnd"/>
            <w:r w:rsidRPr="00E16672">
              <w:rPr>
                <w:rFonts w:ascii="Times New Roman" w:hAnsi="Times New Roman"/>
                <w:color w:val="000000"/>
                <w:sz w:val="16"/>
                <w:szCs w:val="16"/>
              </w:rPr>
              <w:t xml:space="preserve"> та </w:t>
            </w:r>
            <w:proofErr w:type="spellStart"/>
            <w:r w:rsidRPr="00E16672">
              <w:rPr>
                <w:rFonts w:ascii="Times New Roman" w:hAnsi="Times New Roman"/>
                <w:color w:val="000000"/>
                <w:sz w:val="16"/>
                <w:szCs w:val="16"/>
              </w:rPr>
              <w:t>погоджених</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належним</w:t>
            </w:r>
            <w:proofErr w:type="spellEnd"/>
            <w:r w:rsidRPr="00E16672">
              <w:rPr>
                <w:rFonts w:ascii="Times New Roman" w:hAnsi="Times New Roman"/>
                <w:color w:val="000000"/>
                <w:sz w:val="16"/>
                <w:szCs w:val="16"/>
              </w:rPr>
              <w:t xml:space="preserve"> чином.</w:t>
            </w:r>
          </w:p>
          <w:p w14:paraId="59B15542" w14:textId="77777777" w:rsidR="003A05A3" w:rsidRPr="00E16672" w:rsidRDefault="003A05A3" w:rsidP="00843027">
            <w:pPr>
              <w:tabs>
                <w:tab w:val="left" w:pos="709"/>
              </w:tabs>
              <w:snapToGrid w:val="0"/>
              <w:ind w:left="175" w:right="138" w:firstLine="7"/>
              <w:rPr>
                <w:rFonts w:ascii="Times New Roman" w:hAnsi="Times New Roman"/>
                <w:color w:val="000000"/>
              </w:rPr>
            </w:pPr>
          </w:p>
        </w:tc>
        <w:tc>
          <w:tcPr>
            <w:tcW w:w="5494" w:type="dxa"/>
            <w:gridSpan w:val="6"/>
            <w:shd w:val="clear" w:color="auto" w:fill="auto"/>
          </w:tcPr>
          <w:p w14:paraId="03209DFF" w14:textId="77777777" w:rsidR="003A05A3" w:rsidRPr="00E16672" w:rsidRDefault="003A05A3" w:rsidP="00F92811">
            <w:pPr>
              <w:tabs>
                <w:tab w:val="left" w:pos="287"/>
              </w:tabs>
              <w:snapToGrid w:val="0"/>
              <w:ind w:left="175" w:right="100" w:firstLine="7"/>
              <w:rPr>
                <w:rFonts w:ascii="Times New Roman" w:hAnsi="Times New Roman"/>
                <w:color w:val="000000"/>
                <w:sz w:val="16"/>
                <w:szCs w:val="16"/>
                <w:lang w:val="en-GB"/>
              </w:rPr>
            </w:pPr>
            <w:r w:rsidRPr="00E16672">
              <w:rPr>
                <w:rFonts w:ascii="Times New Roman" w:hAnsi="Times New Roman"/>
                <w:color w:val="000000"/>
                <w:sz w:val="16"/>
                <w:szCs w:val="16"/>
                <w:lang w:val="en-GB"/>
              </w:rPr>
              <w:t>2.2.3. In accordance with the current legislation of Ukraine</w:t>
            </w:r>
            <w:r w:rsidR="00F92811" w:rsidRPr="00E16672">
              <w:rPr>
                <w:rFonts w:ascii="Times New Roman" w:hAnsi="Times New Roman"/>
                <w:color w:val="000000"/>
                <w:sz w:val="16"/>
                <w:szCs w:val="16"/>
                <w:lang w:val="en-GB"/>
              </w:rPr>
              <w:t xml:space="preserve">, where necessary, require the </w:t>
            </w:r>
            <w:r w:rsidRPr="00E16672">
              <w:rPr>
                <w:rFonts w:ascii="Times New Roman" w:hAnsi="Times New Roman"/>
                <w:color w:val="000000"/>
                <w:sz w:val="16"/>
                <w:szCs w:val="16"/>
                <w:lang w:val="en-GB"/>
              </w:rPr>
              <w:t>Depositor to provide additional documents, data and information</w:t>
            </w:r>
            <w:r w:rsidRPr="00E16672">
              <w:rPr>
                <w:rFonts w:ascii="Times New Roman" w:hAnsi="Times New Roman"/>
                <w:color w:val="000000"/>
                <w:sz w:val="16"/>
                <w:szCs w:val="16"/>
                <w:lang w:val="en-US"/>
              </w:rPr>
              <w:t xml:space="preserve"> </w:t>
            </w:r>
            <w:r w:rsidRPr="00E16672">
              <w:rPr>
                <w:rFonts w:ascii="Times New Roman" w:hAnsi="Times New Roman"/>
                <w:color w:val="000000"/>
                <w:sz w:val="16"/>
                <w:szCs w:val="16"/>
                <w:lang w:val="en-GB"/>
              </w:rPr>
              <w:t>certified and coordinated properly.</w:t>
            </w:r>
          </w:p>
        </w:tc>
      </w:tr>
      <w:tr w:rsidR="003A05A3" w:rsidRPr="00F23413" w14:paraId="34442714" w14:textId="77777777" w:rsidTr="00242F58">
        <w:trPr>
          <w:trHeight w:val="192"/>
        </w:trPr>
        <w:tc>
          <w:tcPr>
            <w:tcW w:w="5696" w:type="dxa"/>
            <w:gridSpan w:val="8"/>
            <w:shd w:val="clear" w:color="auto" w:fill="auto"/>
          </w:tcPr>
          <w:p w14:paraId="3599FF2D" w14:textId="77777777" w:rsidR="003A05A3" w:rsidRPr="00E16672" w:rsidRDefault="003A05A3" w:rsidP="00843027">
            <w:pPr>
              <w:tabs>
                <w:tab w:val="left" w:pos="709"/>
              </w:tabs>
              <w:ind w:left="175" w:firstLine="7"/>
              <w:rPr>
                <w:rFonts w:ascii="Times New Roman" w:hAnsi="Times New Roman"/>
                <w:color w:val="000000"/>
                <w:sz w:val="16"/>
                <w:szCs w:val="16"/>
                <w:lang w:val="uk-UA"/>
              </w:rPr>
            </w:pPr>
            <w:r w:rsidRPr="00E16672">
              <w:rPr>
                <w:rFonts w:ascii="Times New Roman" w:hAnsi="Times New Roman"/>
                <w:color w:val="000000"/>
                <w:sz w:val="16"/>
                <w:szCs w:val="16"/>
              </w:rPr>
              <w:t xml:space="preserve">2.2.4. </w:t>
            </w:r>
            <w:r w:rsidRPr="00E16672">
              <w:rPr>
                <w:rFonts w:ascii="Times New Roman" w:hAnsi="Times New Roman"/>
                <w:color w:val="000000"/>
                <w:sz w:val="16"/>
                <w:szCs w:val="16"/>
                <w:lang w:val="uk-UA"/>
              </w:rPr>
              <w:t>Надавати Депоненту додаткові (інформаційні та консультаційні) послуги, іншу інформацію, яка необхідна Депоненту для реалізації прав за цінними паперами.</w:t>
            </w:r>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Надавати</w:t>
            </w:r>
            <w:proofErr w:type="spellEnd"/>
            <w:r w:rsidRPr="00E16672">
              <w:rPr>
                <w:rFonts w:ascii="Times New Roman" w:hAnsi="Times New Roman"/>
                <w:color w:val="000000"/>
                <w:sz w:val="16"/>
                <w:szCs w:val="16"/>
              </w:rPr>
              <w:t xml:space="preserve"> Депоненту </w:t>
            </w:r>
            <w:proofErr w:type="spellStart"/>
            <w:r w:rsidRPr="00E16672">
              <w:rPr>
                <w:rFonts w:ascii="Times New Roman" w:hAnsi="Times New Roman"/>
                <w:color w:val="000000"/>
                <w:sz w:val="16"/>
                <w:szCs w:val="16"/>
              </w:rPr>
              <w:t>виписки</w:t>
            </w:r>
            <w:proofErr w:type="spellEnd"/>
            <w:r w:rsidRPr="00E16672">
              <w:rPr>
                <w:rFonts w:ascii="Times New Roman" w:hAnsi="Times New Roman"/>
                <w:color w:val="000000"/>
                <w:sz w:val="16"/>
                <w:szCs w:val="16"/>
              </w:rPr>
              <w:t xml:space="preserve"> з </w:t>
            </w:r>
            <w:proofErr w:type="spellStart"/>
            <w:r w:rsidRPr="00E16672">
              <w:rPr>
                <w:rFonts w:ascii="Times New Roman" w:hAnsi="Times New Roman"/>
                <w:color w:val="000000"/>
                <w:sz w:val="16"/>
                <w:szCs w:val="16"/>
              </w:rPr>
              <w:t>рахунку</w:t>
            </w:r>
            <w:proofErr w:type="spellEnd"/>
            <w:r w:rsidRPr="00E16672">
              <w:rPr>
                <w:rFonts w:ascii="Times New Roman" w:hAnsi="Times New Roman"/>
                <w:color w:val="000000"/>
                <w:sz w:val="16"/>
                <w:szCs w:val="16"/>
              </w:rPr>
              <w:t xml:space="preserve"> </w:t>
            </w:r>
            <w:r w:rsidR="00C22309" w:rsidRPr="00E16672">
              <w:rPr>
                <w:rFonts w:ascii="Times New Roman" w:hAnsi="Times New Roman"/>
                <w:color w:val="000000"/>
                <w:sz w:val="16"/>
                <w:szCs w:val="16"/>
              </w:rPr>
              <w:t xml:space="preserve">в </w:t>
            </w:r>
            <w:proofErr w:type="spellStart"/>
            <w:r w:rsidR="00C22309" w:rsidRPr="00E16672">
              <w:rPr>
                <w:rFonts w:ascii="Times New Roman" w:hAnsi="Times New Roman"/>
                <w:color w:val="000000"/>
                <w:sz w:val="16"/>
                <w:szCs w:val="16"/>
              </w:rPr>
              <w:t>цін</w:t>
            </w:r>
            <w:r w:rsidRPr="00E16672">
              <w:rPr>
                <w:rFonts w:ascii="Times New Roman" w:hAnsi="Times New Roman"/>
                <w:color w:val="000000"/>
                <w:sz w:val="16"/>
                <w:szCs w:val="16"/>
              </w:rPr>
              <w:t>них</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паперах</w:t>
            </w:r>
            <w:proofErr w:type="spellEnd"/>
            <w:r w:rsidRPr="00E16672">
              <w:rPr>
                <w:rFonts w:ascii="Times New Roman" w:hAnsi="Times New Roman"/>
                <w:color w:val="000000"/>
                <w:sz w:val="16"/>
                <w:szCs w:val="16"/>
              </w:rPr>
              <w:t xml:space="preserve"> Депонента, </w:t>
            </w:r>
            <w:proofErr w:type="spellStart"/>
            <w:r w:rsidRPr="00E16672">
              <w:rPr>
                <w:rFonts w:ascii="Times New Roman" w:hAnsi="Times New Roman"/>
                <w:color w:val="000000"/>
                <w:sz w:val="16"/>
                <w:szCs w:val="16"/>
              </w:rPr>
              <w:t>довідки</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або</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інші</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звіти</w:t>
            </w:r>
            <w:proofErr w:type="spellEnd"/>
            <w:r w:rsidRPr="00E16672">
              <w:rPr>
                <w:rFonts w:ascii="Times New Roman" w:hAnsi="Times New Roman"/>
                <w:color w:val="000000"/>
                <w:sz w:val="16"/>
                <w:szCs w:val="16"/>
              </w:rPr>
              <w:t xml:space="preserve"> про </w:t>
            </w:r>
            <w:proofErr w:type="spellStart"/>
            <w:r w:rsidRPr="00E16672">
              <w:rPr>
                <w:rFonts w:ascii="Times New Roman" w:hAnsi="Times New Roman"/>
                <w:color w:val="000000"/>
                <w:sz w:val="16"/>
                <w:szCs w:val="16"/>
              </w:rPr>
              <w:t>виконання</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операцій</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які</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формуються</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програмним</w:t>
            </w:r>
            <w:proofErr w:type="spellEnd"/>
            <w:r w:rsidRPr="00E16672">
              <w:rPr>
                <w:rFonts w:ascii="Times New Roman" w:hAnsi="Times New Roman"/>
                <w:color w:val="000000"/>
                <w:sz w:val="16"/>
                <w:szCs w:val="16"/>
              </w:rPr>
              <w:t xml:space="preserve"> комплексом Центрального </w:t>
            </w:r>
            <w:proofErr w:type="spellStart"/>
            <w:r w:rsidRPr="00E16672">
              <w:rPr>
                <w:rFonts w:ascii="Times New Roman" w:hAnsi="Times New Roman"/>
                <w:color w:val="000000"/>
                <w:sz w:val="16"/>
                <w:szCs w:val="16"/>
              </w:rPr>
              <w:t>Депозитарію</w:t>
            </w:r>
            <w:proofErr w:type="spellEnd"/>
            <w:r w:rsidRPr="00E16672">
              <w:rPr>
                <w:rFonts w:ascii="Times New Roman" w:hAnsi="Times New Roman"/>
                <w:color w:val="000000"/>
                <w:sz w:val="16"/>
                <w:szCs w:val="16"/>
              </w:rPr>
              <w:t>.</w:t>
            </w:r>
          </w:p>
          <w:p w14:paraId="6FDF4274" w14:textId="77777777" w:rsidR="003A05A3" w:rsidRPr="00E16672" w:rsidRDefault="003A05A3" w:rsidP="00843027">
            <w:pPr>
              <w:snapToGrid w:val="0"/>
              <w:ind w:left="175" w:right="138" w:firstLine="7"/>
              <w:rPr>
                <w:rFonts w:ascii="Times New Roman" w:hAnsi="Times New Roman"/>
                <w:color w:val="000000"/>
                <w:sz w:val="16"/>
                <w:szCs w:val="16"/>
                <w:lang w:val="uk-UA"/>
              </w:rPr>
            </w:pPr>
          </w:p>
        </w:tc>
        <w:tc>
          <w:tcPr>
            <w:tcW w:w="5494" w:type="dxa"/>
            <w:gridSpan w:val="6"/>
            <w:shd w:val="clear" w:color="auto" w:fill="auto"/>
          </w:tcPr>
          <w:p w14:paraId="63054590" w14:textId="77777777" w:rsidR="003A05A3" w:rsidRPr="00E16672" w:rsidRDefault="003A05A3" w:rsidP="00843027">
            <w:pPr>
              <w:tabs>
                <w:tab w:val="left" w:pos="287"/>
              </w:tabs>
              <w:snapToGrid w:val="0"/>
              <w:ind w:left="175" w:right="100" w:firstLine="7"/>
              <w:rPr>
                <w:rFonts w:ascii="Times New Roman" w:hAnsi="Times New Roman"/>
                <w:color w:val="000000"/>
                <w:sz w:val="16"/>
                <w:szCs w:val="16"/>
                <w:lang w:val="en-US"/>
              </w:rPr>
            </w:pPr>
            <w:r w:rsidRPr="00E16672">
              <w:rPr>
                <w:rFonts w:ascii="Times New Roman" w:hAnsi="Times New Roman"/>
                <w:color w:val="000000"/>
                <w:sz w:val="16"/>
                <w:szCs w:val="16"/>
                <w:lang w:val="en-GB"/>
              </w:rPr>
              <w:t>2.2.4. To provide Depositor additional (information and consultation) services and other information which is necessary for Depositor the rights of the securities.</w:t>
            </w:r>
            <w:r w:rsidRPr="00E16672">
              <w:rPr>
                <w:rFonts w:ascii="Times New Roman" w:hAnsi="Times New Roman"/>
                <w:color w:val="000000"/>
                <w:sz w:val="18"/>
                <w:szCs w:val="18"/>
                <w:lang w:val="en-US"/>
              </w:rPr>
              <w:t xml:space="preserve"> </w:t>
            </w:r>
            <w:r w:rsidRPr="00E16672">
              <w:rPr>
                <w:rFonts w:ascii="Times New Roman" w:hAnsi="Times New Roman"/>
                <w:color w:val="000000"/>
                <w:sz w:val="16"/>
                <w:szCs w:val="16"/>
                <w:lang w:val="en-US"/>
              </w:rPr>
              <w:t>To provide Depositor extract from the securities account of the Depositor, information or other reports on the implementation of operations that form a complex program of the Central Depository.</w:t>
            </w:r>
          </w:p>
          <w:p w14:paraId="5C4A9507" w14:textId="77777777" w:rsidR="003A05A3" w:rsidRPr="00E16672" w:rsidRDefault="003A05A3" w:rsidP="00843027">
            <w:pPr>
              <w:tabs>
                <w:tab w:val="left" w:pos="287"/>
              </w:tabs>
              <w:ind w:left="175" w:right="100" w:firstLine="7"/>
              <w:jc w:val="center"/>
              <w:rPr>
                <w:rFonts w:ascii="Times New Roman" w:hAnsi="Times New Roman"/>
                <w:b/>
                <w:bCs/>
                <w:color w:val="000000"/>
                <w:sz w:val="16"/>
                <w:szCs w:val="16"/>
                <w:lang w:val="en-GB"/>
              </w:rPr>
            </w:pPr>
          </w:p>
        </w:tc>
      </w:tr>
      <w:tr w:rsidR="003A05A3" w:rsidRPr="00F23413" w14:paraId="6BDAA0CA" w14:textId="77777777" w:rsidTr="00242F58">
        <w:trPr>
          <w:trHeight w:val="1554"/>
        </w:trPr>
        <w:tc>
          <w:tcPr>
            <w:tcW w:w="5696" w:type="dxa"/>
            <w:gridSpan w:val="8"/>
            <w:shd w:val="clear" w:color="auto" w:fill="auto"/>
          </w:tcPr>
          <w:p w14:paraId="359BF592" w14:textId="77777777" w:rsidR="003A05A3" w:rsidRPr="00E16672" w:rsidRDefault="003A05A3" w:rsidP="00843027">
            <w:pPr>
              <w:tabs>
                <w:tab w:val="left" w:pos="709"/>
              </w:tabs>
              <w:snapToGrid w:val="0"/>
              <w:ind w:left="175" w:right="138" w:firstLine="7"/>
              <w:rPr>
                <w:rFonts w:ascii="Times New Roman" w:hAnsi="Times New Roman"/>
                <w:sz w:val="16"/>
                <w:szCs w:val="16"/>
              </w:rPr>
            </w:pPr>
            <w:r w:rsidRPr="00E16672">
              <w:rPr>
                <w:rFonts w:ascii="Times New Roman" w:hAnsi="Times New Roman"/>
                <w:sz w:val="16"/>
                <w:szCs w:val="16"/>
              </w:rPr>
              <w:t xml:space="preserve">2.2.5. У </w:t>
            </w:r>
            <w:proofErr w:type="spellStart"/>
            <w:r w:rsidRPr="00E16672">
              <w:rPr>
                <w:rFonts w:ascii="Times New Roman" w:hAnsi="Times New Roman"/>
                <w:sz w:val="16"/>
                <w:szCs w:val="16"/>
              </w:rPr>
              <w:t>випадку</w:t>
            </w:r>
            <w:proofErr w:type="spellEnd"/>
            <w:r w:rsidRPr="00E16672">
              <w:rPr>
                <w:rFonts w:ascii="Times New Roman" w:hAnsi="Times New Roman"/>
                <w:sz w:val="16"/>
                <w:szCs w:val="16"/>
              </w:rPr>
              <w:t xml:space="preserve"> початку Депозитарною </w:t>
            </w:r>
            <w:proofErr w:type="spellStart"/>
            <w:r w:rsidRPr="00E16672">
              <w:rPr>
                <w:rFonts w:ascii="Times New Roman" w:hAnsi="Times New Roman"/>
                <w:sz w:val="16"/>
                <w:szCs w:val="16"/>
              </w:rPr>
              <w:t>установою</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процедури</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припинення</w:t>
            </w:r>
            <w:proofErr w:type="spellEnd"/>
            <w:r w:rsidRPr="00E16672">
              <w:rPr>
                <w:rFonts w:ascii="Times New Roman" w:hAnsi="Times New Roman"/>
                <w:sz w:val="16"/>
                <w:szCs w:val="16"/>
              </w:rPr>
              <w:t xml:space="preserve"> нею </w:t>
            </w:r>
            <w:proofErr w:type="spellStart"/>
            <w:r w:rsidRPr="00E16672">
              <w:rPr>
                <w:rFonts w:ascii="Times New Roman" w:hAnsi="Times New Roman"/>
                <w:sz w:val="16"/>
                <w:szCs w:val="16"/>
              </w:rPr>
              <w:t>провадження</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професійної</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діяльності</w:t>
            </w:r>
            <w:proofErr w:type="spellEnd"/>
            <w:r w:rsidRPr="00E16672">
              <w:rPr>
                <w:rFonts w:ascii="Times New Roman" w:hAnsi="Times New Roman"/>
                <w:sz w:val="16"/>
                <w:szCs w:val="16"/>
              </w:rPr>
              <w:t xml:space="preserve"> </w:t>
            </w:r>
            <w:proofErr w:type="gramStart"/>
            <w:r w:rsidRPr="00E16672">
              <w:rPr>
                <w:rFonts w:ascii="Times New Roman" w:hAnsi="Times New Roman"/>
                <w:sz w:val="16"/>
                <w:szCs w:val="16"/>
              </w:rPr>
              <w:t>на фондовому ринку</w:t>
            </w:r>
            <w:proofErr w:type="gramEnd"/>
            <w:r w:rsidRPr="00E16672">
              <w:rPr>
                <w:rFonts w:ascii="Times New Roman" w:hAnsi="Times New Roman"/>
                <w:sz w:val="16"/>
                <w:szCs w:val="16"/>
              </w:rPr>
              <w:t xml:space="preserve"> - </w:t>
            </w:r>
            <w:proofErr w:type="spellStart"/>
            <w:r w:rsidRPr="00E16672">
              <w:rPr>
                <w:rFonts w:ascii="Times New Roman" w:hAnsi="Times New Roman"/>
                <w:sz w:val="16"/>
                <w:szCs w:val="16"/>
              </w:rPr>
              <w:t>депозитарної</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діяльності</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депозитарної</w:t>
            </w:r>
            <w:proofErr w:type="spellEnd"/>
            <w:r w:rsidRPr="00E16672">
              <w:rPr>
                <w:rFonts w:ascii="Times New Roman" w:hAnsi="Times New Roman"/>
                <w:sz w:val="16"/>
                <w:szCs w:val="16"/>
              </w:rPr>
              <w:t xml:space="preserve"> установи </w:t>
            </w:r>
            <w:proofErr w:type="spellStart"/>
            <w:r w:rsidRPr="00E16672">
              <w:rPr>
                <w:rFonts w:ascii="Times New Roman" w:hAnsi="Times New Roman"/>
                <w:sz w:val="16"/>
                <w:szCs w:val="16"/>
              </w:rPr>
              <w:t>відповідно</w:t>
            </w:r>
            <w:proofErr w:type="spellEnd"/>
            <w:r w:rsidRPr="00E16672">
              <w:rPr>
                <w:rFonts w:ascii="Times New Roman" w:hAnsi="Times New Roman"/>
                <w:sz w:val="16"/>
                <w:szCs w:val="16"/>
              </w:rPr>
              <w:t xml:space="preserve"> до </w:t>
            </w:r>
            <w:proofErr w:type="spellStart"/>
            <w:r w:rsidRPr="00E16672">
              <w:rPr>
                <w:rFonts w:ascii="Times New Roman" w:hAnsi="Times New Roman"/>
                <w:sz w:val="16"/>
                <w:szCs w:val="16"/>
              </w:rPr>
              <w:t>вимог</w:t>
            </w:r>
            <w:proofErr w:type="spellEnd"/>
            <w:r w:rsidRPr="00E16672">
              <w:rPr>
                <w:rFonts w:ascii="Times New Roman" w:hAnsi="Times New Roman"/>
                <w:sz w:val="16"/>
                <w:szCs w:val="16"/>
              </w:rPr>
              <w:t xml:space="preserve"> нормативно-правового акта </w:t>
            </w:r>
            <w:proofErr w:type="spellStart"/>
            <w:r w:rsidRPr="00E16672">
              <w:rPr>
                <w:rFonts w:ascii="Times New Roman" w:hAnsi="Times New Roman"/>
                <w:sz w:val="16"/>
                <w:szCs w:val="16"/>
              </w:rPr>
              <w:t>щодо</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припинення</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депозитарної</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діяльності</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депозитарної</w:t>
            </w:r>
            <w:proofErr w:type="spellEnd"/>
            <w:r w:rsidRPr="00E16672">
              <w:rPr>
                <w:rFonts w:ascii="Times New Roman" w:hAnsi="Times New Roman"/>
                <w:sz w:val="16"/>
                <w:szCs w:val="16"/>
              </w:rPr>
              <w:t xml:space="preserve"> установи </w:t>
            </w:r>
            <w:proofErr w:type="spellStart"/>
            <w:r w:rsidRPr="00E16672">
              <w:rPr>
                <w:rFonts w:ascii="Times New Roman" w:hAnsi="Times New Roman"/>
                <w:sz w:val="16"/>
                <w:szCs w:val="16"/>
              </w:rPr>
              <w:t>виконувати</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тільки</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ті</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розпорядження</w:t>
            </w:r>
            <w:proofErr w:type="spellEnd"/>
            <w:r w:rsidRPr="00E16672">
              <w:rPr>
                <w:rFonts w:ascii="Times New Roman" w:hAnsi="Times New Roman"/>
                <w:sz w:val="16"/>
                <w:szCs w:val="16"/>
              </w:rPr>
              <w:t xml:space="preserve"> Депонента, </w:t>
            </w:r>
            <w:proofErr w:type="spellStart"/>
            <w:r w:rsidR="00427E40" w:rsidRPr="00E16672">
              <w:rPr>
                <w:rFonts w:ascii="Times New Roman" w:hAnsi="Times New Roman"/>
                <w:sz w:val="16"/>
                <w:szCs w:val="16"/>
              </w:rPr>
              <w:t>розпорядника</w:t>
            </w:r>
            <w:proofErr w:type="spellEnd"/>
            <w:r w:rsidR="00427E40" w:rsidRPr="00E16672">
              <w:rPr>
                <w:rFonts w:ascii="Times New Roman" w:hAnsi="Times New Roman"/>
                <w:sz w:val="16"/>
                <w:szCs w:val="16"/>
              </w:rPr>
              <w:t>/</w:t>
            </w:r>
            <w:proofErr w:type="spellStart"/>
            <w:r w:rsidRPr="00E16672">
              <w:rPr>
                <w:rFonts w:ascii="Times New Roman" w:hAnsi="Times New Roman"/>
                <w:sz w:val="16"/>
                <w:szCs w:val="16"/>
              </w:rPr>
              <w:t>керуючого</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рахунком</w:t>
            </w:r>
            <w:proofErr w:type="spellEnd"/>
            <w:r w:rsidRPr="00E16672">
              <w:rPr>
                <w:rFonts w:ascii="Times New Roman" w:hAnsi="Times New Roman"/>
                <w:sz w:val="16"/>
                <w:szCs w:val="16"/>
              </w:rPr>
              <w:t xml:space="preserve"> в </w:t>
            </w:r>
            <w:proofErr w:type="spellStart"/>
            <w:r w:rsidRPr="00E16672">
              <w:rPr>
                <w:rFonts w:ascii="Times New Roman" w:hAnsi="Times New Roman"/>
                <w:sz w:val="16"/>
                <w:szCs w:val="16"/>
              </w:rPr>
              <w:t>цінних</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паперах</w:t>
            </w:r>
            <w:proofErr w:type="spellEnd"/>
            <w:r w:rsidRPr="00E16672">
              <w:rPr>
                <w:rFonts w:ascii="Times New Roman" w:hAnsi="Times New Roman"/>
                <w:sz w:val="16"/>
                <w:szCs w:val="16"/>
              </w:rPr>
              <w:t xml:space="preserve"> Депонента, </w:t>
            </w:r>
            <w:proofErr w:type="spellStart"/>
            <w:r w:rsidRPr="00E16672">
              <w:rPr>
                <w:rFonts w:ascii="Times New Roman" w:hAnsi="Times New Roman"/>
                <w:sz w:val="16"/>
                <w:szCs w:val="16"/>
              </w:rPr>
              <w:t>виконання</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яких</w:t>
            </w:r>
            <w:proofErr w:type="spellEnd"/>
            <w:r w:rsidRPr="00E16672">
              <w:rPr>
                <w:rFonts w:ascii="Times New Roman" w:hAnsi="Times New Roman"/>
                <w:sz w:val="16"/>
                <w:szCs w:val="16"/>
              </w:rPr>
              <w:t xml:space="preserve"> не заборонено </w:t>
            </w:r>
            <w:proofErr w:type="spellStart"/>
            <w:r w:rsidRPr="00E16672">
              <w:rPr>
                <w:rFonts w:ascii="Times New Roman" w:hAnsi="Times New Roman"/>
                <w:sz w:val="16"/>
                <w:szCs w:val="16"/>
              </w:rPr>
              <w:t>цим</w:t>
            </w:r>
            <w:proofErr w:type="spellEnd"/>
            <w:r w:rsidRPr="00E16672">
              <w:rPr>
                <w:rFonts w:ascii="Times New Roman" w:hAnsi="Times New Roman"/>
                <w:sz w:val="16"/>
                <w:szCs w:val="16"/>
              </w:rPr>
              <w:t xml:space="preserve"> нормативно-</w:t>
            </w:r>
            <w:proofErr w:type="spellStart"/>
            <w:r w:rsidRPr="00E16672">
              <w:rPr>
                <w:rFonts w:ascii="Times New Roman" w:hAnsi="Times New Roman"/>
                <w:sz w:val="16"/>
                <w:szCs w:val="16"/>
              </w:rPr>
              <w:t>правовим</w:t>
            </w:r>
            <w:proofErr w:type="spellEnd"/>
            <w:r w:rsidRPr="00E16672">
              <w:rPr>
                <w:rFonts w:ascii="Times New Roman" w:hAnsi="Times New Roman"/>
                <w:sz w:val="16"/>
                <w:szCs w:val="16"/>
              </w:rPr>
              <w:t xml:space="preserve"> актом. </w:t>
            </w:r>
          </w:p>
          <w:p w14:paraId="3B28AA92" w14:textId="77777777" w:rsidR="003A05A3" w:rsidRPr="00E16672" w:rsidRDefault="003A05A3" w:rsidP="00843027">
            <w:pPr>
              <w:snapToGrid w:val="0"/>
              <w:ind w:left="175" w:right="138" w:firstLine="7"/>
              <w:rPr>
                <w:rFonts w:ascii="Times New Roman" w:hAnsi="Times New Roman"/>
                <w:sz w:val="16"/>
                <w:szCs w:val="16"/>
              </w:rPr>
            </w:pPr>
          </w:p>
        </w:tc>
        <w:tc>
          <w:tcPr>
            <w:tcW w:w="5494" w:type="dxa"/>
            <w:gridSpan w:val="6"/>
            <w:shd w:val="clear" w:color="auto" w:fill="auto"/>
          </w:tcPr>
          <w:p w14:paraId="22247649" w14:textId="77777777" w:rsidR="003A05A3" w:rsidRPr="00E16672" w:rsidRDefault="003A05A3" w:rsidP="00843027">
            <w:pPr>
              <w:tabs>
                <w:tab w:val="left" w:pos="57"/>
              </w:tabs>
              <w:snapToGrid w:val="0"/>
              <w:ind w:left="175" w:right="138" w:firstLine="7"/>
              <w:rPr>
                <w:rFonts w:ascii="Times New Roman" w:hAnsi="Times New Roman"/>
                <w:sz w:val="16"/>
                <w:szCs w:val="16"/>
                <w:lang w:val="en-GB"/>
              </w:rPr>
            </w:pPr>
            <w:r w:rsidRPr="00E16672">
              <w:rPr>
                <w:rFonts w:ascii="Times New Roman" w:hAnsi="Times New Roman"/>
                <w:sz w:val="16"/>
                <w:szCs w:val="16"/>
                <w:lang w:val="en-GB"/>
              </w:rPr>
              <w:t xml:space="preserve">2.2.5. In the case beginning by Depository </w:t>
            </w:r>
            <w:proofErr w:type="gramStart"/>
            <w:r w:rsidRPr="00E16672">
              <w:rPr>
                <w:rFonts w:ascii="Times New Roman" w:hAnsi="Times New Roman"/>
                <w:sz w:val="16"/>
                <w:szCs w:val="16"/>
                <w:lang w:val="en-GB"/>
              </w:rPr>
              <w:t>institution  the</w:t>
            </w:r>
            <w:proofErr w:type="gramEnd"/>
            <w:r w:rsidRPr="00E16672">
              <w:rPr>
                <w:rFonts w:ascii="Times New Roman" w:hAnsi="Times New Roman"/>
                <w:sz w:val="16"/>
                <w:szCs w:val="16"/>
                <w:lang w:val="en-GB"/>
              </w:rPr>
              <w:t xml:space="preserve"> procedure of stopping the exercise of professional </w:t>
            </w:r>
            <w:r w:rsidR="00F92811" w:rsidRPr="00E16672">
              <w:rPr>
                <w:rFonts w:ascii="Times New Roman" w:hAnsi="Times New Roman"/>
                <w:sz w:val="16"/>
                <w:szCs w:val="16"/>
                <w:lang w:val="en-GB"/>
              </w:rPr>
              <w:t>activity</w:t>
            </w:r>
            <w:r w:rsidRPr="00E16672">
              <w:rPr>
                <w:rFonts w:ascii="Times New Roman" w:hAnsi="Times New Roman"/>
                <w:sz w:val="16"/>
                <w:szCs w:val="16"/>
                <w:lang w:val="en-GB"/>
              </w:rPr>
              <w:t xml:space="preserve"> on the stock market - depository activities of Depository institution in accordance with the legal act to </w:t>
            </w:r>
            <w:r w:rsidR="002B2E4C" w:rsidRPr="00E16672">
              <w:rPr>
                <w:rFonts w:ascii="Times New Roman" w:hAnsi="Times New Roman"/>
                <w:sz w:val="16"/>
                <w:szCs w:val="16"/>
                <w:lang w:val="en-GB"/>
              </w:rPr>
              <w:t>stopping the depository activit</w:t>
            </w:r>
            <w:r w:rsidRPr="00E16672">
              <w:rPr>
                <w:rFonts w:ascii="Times New Roman" w:hAnsi="Times New Roman"/>
                <w:sz w:val="16"/>
                <w:szCs w:val="16"/>
                <w:lang w:val="en-GB"/>
              </w:rPr>
              <w:t xml:space="preserve">y of Depository institution perform only those orders the Depositor, the </w:t>
            </w:r>
            <w:r w:rsidR="00427E40" w:rsidRPr="00E16672">
              <w:rPr>
                <w:rFonts w:ascii="Times New Roman" w:hAnsi="Times New Roman"/>
                <w:sz w:val="16"/>
                <w:szCs w:val="16"/>
                <w:lang w:val="en-GB"/>
              </w:rPr>
              <w:t>manager</w:t>
            </w:r>
            <w:r w:rsidR="00427E40" w:rsidRPr="00E16672">
              <w:rPr>
                <w:rFonts w:ascii="Times New Roman" w:hAnsi="Times New Roman"/>
                <w:sz w:val="16"/>
                <w:szCs w:val="16"/>
                <w:lang w:val="en-US"/>
              </w:rPr>
              <w:t>/</w:t>
            </w:r>
            <w:r w:rsidR="00427E40" w:rsidRPr="00E16672">
              <w:rPr>
                <w:rFonts w:ascii="Times New Roman" w:hAnsi="Times New Roman"/>
                <w:sz w:val="16"/>
                <w:szCs w:val="22"/>
              </w:rPr>
              <w:t>а</w:t>
            </w:r>
            <w:proofErr w:type="spellStart"/>
            <w:r w:rsidR="00427E40" w:rsidRPr="00E16672">
              <w:rPr>
                <w:rFonts w:ascii="Times New Roman" w:hAnsi="Times New Roman"/>
                <w:sz w:val="16"/>
                <w:szCs w:val="22"/>
                <w:lang w:val="en-US"/>
              </w:rPr>
              <w:t>dministrator</w:t>
            </w:r>
            <w:proofErr w:type="spellEnd"/>
            <w:r w:rsidR="00427E40" w:rsidRPr="00E16672">
              <w:rPr>
                <w:rFonts w:ascii="Times New Roman" w:hAnsi="Times New Roman"/>
                <w:sz w:val="16"/>
                <w:szCs w:val="16"/>
                <w:lang w:val="en-GB"/>
              </w:rPr>
              <w:t xml:space="preserve"> </w:t>
            </w:r>
            <w:r w:rsidRPr="00E16672">
              <w:rPr>
                <w:rFonts w:ascii="Times New Roman" w:hAnsi="Times New Roman"/>
                <w:sz w:val="16"/>
                <w:szCs w:val="16"/>
                <w:lang w:val="en-GB"/>
              </w:rPr>
              <w:t>of account in securities the Depositor, the implementation of which is not prohibited by this legal act.</w:t>
            </w:r>
          </w:p>
        </w:tc>
      </w:tr>
      <w:tr w:rsidR="003A05A3" w:rsidRPr="00F23413" w14:paraId="51E6376E" w14:textId="77777777" w:rsidTr="00242F58">
        <w:trPr>
          <w:trHeight w:val="529"/>
        </w:trPr>
        <w:tc>
          <w:tcPr>
            <w:tcW w:w="5696" w:type="dxa"/>
            <w:gridSpan w:val="8"/>
            <w:shd w:val="clear" w:color="auto" w:fill="auto"/>
          </w:tcPr>
          <w:p w14:paraId="3D575028" w14:textId="77777777" w:rsidR="003A05A3" w:rsidRPr="00E16672" w:rsidRDefault="003A05A3" w:rsidP="00843027">
            <w:pPr>
              <w:pStyle w:val="1b"/>
              <w:spacing w:before="0" w:after="0"/>
              <w:ind w:left="175" w:right="138" w:firstLine="7"/>
              <w:rPr>
                <w:rFonts w:ascii="Times New Roman" w:hAnsi="Times New Roman" w:cs="Times New Roman"/>
                <w:sz w:val="16"/>
                <w:szCs w:val="16"/>
              </w:rPr>
            </w:pPr>
            <w:r w:rsidRPr="00E16672">
              <w:rPr>
                <w:rFonts w:ascii="Times New Roman" w:hAnsi="Times New Roman" w:cs="Times New Roman"/>
                <w:sz w:val="16"/>
                <w:szCs w:val="16"/>
              </w:rPr>
              <w:t>2.2.6. Вносити зміни до внутрішніх документів Депозитарної установи та тарифів Депозитарної установи.</w:t>
            </w:r>
          </w:p>
          <w:p w14:paraId="59AAE23A" w14:textId="77777777" w:rsidR="003A05A3" w:rsidRPr="00E16672" w:rsidRDefault="003A05A3" w:rsidP="00843027">
            <w:pPr>
              <w:pStyle w:val="ab"/>
              <w:ind w:left="175" w:firstLine="7"/>
              <w:rPr>
                <w:rFonts w:ascii="Times New Roman" w:hAnsi="Times New Roman"/>
                <w:sz w:val="24"/>
                <w:lang w:eastAsia="hi-IN" w:bidi="hi-IN"/>
              </w:rPr>
            </w:pPr>
          </w:p>
        </w:tc>
        <w:tc>
          <w:tcPr>
            <w:tcW w:w="5494" w:type="dxa"/>
            <w:gridSpan w:val="6"/>
            <w:shd w:val="clear" w:color="auto" w:fill="auto"/>
          </w:tcPr>
          <w:p w14:paraId="0BB5A0CB" w14:textId="77777777" w:rsidR="003A05A3" w:rsidRPr="00E16672" w:rsidRDefault="003A05A3" w:rsidP="00843027">
            <w:pPr>
              <w:snapToGrid w:val="0"/>
              <w:ind w:left="175" w:right="138" w:firstLine="7"/>
              <w:rPr>
                <w:rFonts w:ascii="Times New Roman" w:hAnsi="Times New Roman"/>
                <w:sz w:val="16"/>
                <w:szCs w:val="16"/>
                <w:lang w:val="en-GB"/>
              </w:rPr>
            </w:pPr>
            <w:r w:rsidRPr="00E16672">
              <w:rPr>
                <w:rFonts w:ascii="Times New Roman" w:hAnsi="Times New Roman"/>
                <w:sz w:val="16"/>
                <w:szCs w:val="16"/>
                <w:lang w:val="en-GB"/>
              </w:rPr>
              <w:t xml:space="preserve">2.2.6.  To make changes to internal </w:t>
            </w:r>
            <w:proofErr w:type="gramStart"/>
            <w:r w:rsidRPr="00E16672">
              <w:rPr>
                <w:rFonts w:ascii="Times New Roman" w:hAnsi="Times New Roman"/>
                <w:sz w:val="16"/>
                <w:szCs w:val="16"/>
                <w:lang w:val="en-GB"/>
              </w:rPr>
              <w:t>documents  of</w:t>
            </w:r>
            <w:proofErr w:type="gramEnd"/>
            <w:r w:rsidRPr="00E16672">
              <w:rPr>
                <w:rFonts w:ascii="Times New Roman" w:hAnsi="Times New Roman"/>
                <w:sz w:val="16"/>
                <w:szCs w:val="16"/>
                <w:lang w:val="en-GB"/>
              </w:rPr>
              <w:t xml:space="preserve"> Depository institution and Tariffs of Depository institution.</w:t>
            </w:r>
            <w:r w:rsidRPr="00E16672">
              <w:rPr>
                <w:rFonts w:ascii="Times New Roman" w:hAnsi="Times New Roman"/>
                <w:lang w:val="en-GB"/>
              </w:rPr>
              <w:t xml:space="preserve"> </w:t>
            </w:r>
          </w:p>
        </w:tc>
      </w:tr>
      <w:tr w:rsidR="003A05A3" w:rsidRPr="00E16672" w14:paraId="02DC74C1" w14:textId="77777777" w:rsidTr="00242F58">
        <w:trPr>
          <w:trHeight w:val="192"/>
        </w:trPr>
        <w:tc>
          <w:tcPr>
            <w:tcW w:w="5696" w:type="dxa"/>
            <w:gridSpan w:val="8"/>
            <w:shd w:val="clear" w:color="auto" w:fill="auto"/>
          </w:tcPr>
          <w:p w14:paraId="07E94CD5" w14:textId="77777777" w:rsidR="003A05A3" w:rsidRPr="00E16672" w:rsidRDefault="003A05A3" w:rsidP="00843027">
            <w:pPr>
              <w:tabs>
                <w:tab w:val="left" w:pos="709"/>
              </w:tabs>
              <w:snapToGrid w:val="0"/>
              <w:ind w:left="175" w:right="138" w:firstLine="7"/>
              <w:rPr>
                <w:rFonts w:ascii="Times New Roman" w:hAnsi="Times New Roman"/>
                <w:sz w:val="16"/>
                <w:szCs w:val="16"/>
                <w:lang w:val="en-US"/>
              </w:rPr>
            </w:pPr>
            <w:r w:rsidRPr="00E16672">
              <w:rPr>
                <w:rFonts w:ascii="Times New Roman" w:hAnsi="Times New Roman"/>
                <w:sz w:val="16"/>
                <w:szCs w:val="16"/>
                <w:lang w:val="en-US"/>
              </w:rPr>
              <w:t xml:space="preserve">2.2.7. </w:t>
            </w:r>
            <w:proofErr w:type="spellStart"/>
            <w:r w:rsidR="00F92811" w:rsidRPr="00E16672">
              <w:rPr>
                <w:rFonts w:ascii="Times New Roman" w:hAnsi="Times New Roman"/>
                <w:sz w:val="16"/>
                <w:szCs w:val="16"/>
              </w:rPr>
              <w:t>Закрити</w:t>
            </w:r>
            <w:proofErr w:type="spellEnd"/>
            <w:r w:rsidR="00F92811" w:rsidRPr="00E16672">
              <w:rPr>
                <w:rFonts w:ascii="Times New Roman" w:hAnsi="Times New Roman"/>
                <w:sz w:val="16"/>
                <w:szCs w:val="16"/>
                <w:lang w:val="en-US"/>
              </w:rPr>
              <w:t xml:space="preserve"> </w:t>
            </w:r>
            <w:proofErr w:type="spellStart"/>
            <w:r w:rsidR="00F92811" w:rsidRPr="00E16672">
              <w:rPr>
                <w:rFonts w:ascii="Times New Roman" w:hAnsi="Times New Roman"/>
                <w:sz w:val="16"/>
                <w:szCs w:val="16"/>
              </w:rPr>
              <w:t>рахунок</w:t>
            </w:r>
            <w:proofErr w:type="spellEnd"/>
            <w:r w:rsidR="00F92811" w:rsidRPr="00E16672">
              <w:rPr>
                <w:rFonts w:ascii="Times New Roman" w:hAnsi="Times New Roman"/>
                <w:sz w:val="16"/>
                <w:szCs w:val="16"/>
                <w:lang w:val="en-US"/>
              </w:rPr>
              <w:t xml:space="preserve"> </w:t>
            </w:r>
            <w:r w:rsidR="00C22309" w:rsidRPr="00E16672">
              <w:rPr>
                <w:rFonts w:ascii="Times New Roman" w:hAnsi="Times New Roman"/>
                <w:sz w:val="16"/>
                <w:szCs w:val="16"/>
              </w:rPr>
              <w:t>в</w:t>
            </w:r>
            <w:r w:rsidR="00C22309" w:rsidRPr="00E16672">
              <w:rPr>
                <w:rFonts w:ascii="Times New Roman" w:hAnsi="Times New Roman"/>
                <w:sz w:val="16"/>
                <w:szCs w:val="16"/>
                <w:lang w:val="en-US"/>
              </w:rPr>
              <w:t xml:space="preserve"> </w:t>
            </w:r>
            <w:proofErr w:type="spellStart"/>
            <w:r w:rsidR="00C22309" w:rsidRPr="00E16672">
              <w:rPr>
                <w:rFonts w:ascii="Times New Roman" w:hAnsi="Times New Roman"/>
                <w:sz w:val="16"/>
                <w:szCs w:val="16"/>
              </w:rPr>
              <w:t>цін</w:t>
            </w:r>
            <w:r w:rsidR="00F92811" w:rsidRPr="00E16672">
              <w:rPr>
                <w:rFonts w:ascii="Times New Roman" w:hAnsi="Times New Roman"/>
                <w:sz w:val="16"/>
                <w:szCs w:val="16"/>
              </w:rPr>
              <w:t>них</w:t>
            </w:r>
            <w:proofErr w:type="spellEnd"/>
            <w:r w:rsidR="00F92811" w:rsidRPr="00E16672">
              <w:rPr>
                <w:rFonts w:ascii="Times New Roman" w:hAnsi="Times New Roman"/>
                <w:sz w:val="16"/>
                <w:szCs w:val="16"/>
                <w:lang w:val="en-US"/>
              </w:rPr>
              <w:t xml:space="preserve"> </w:t>
            </w:r>
            <w:proofErr w:type="spellStart"/>
            <w:r w:rsidR="00F92811" w:rsidRPr="00E16672">
              <w:rPr>
                <w:rFonts w:ascii="Times New Roman" w:hAnsi="Times New Roman"/>
                <w:sz w:val="16"/>
                <w:szCs w:val="16"/>
              </w:rPr>
              <w:t>паперах</w:t>
            </w:r>
            <w:proofErr w:type="spellEnd"/>
            <w:r w:rsidR="00F92811" w:rsidRPr="00E16672">
              <w:rPr>
                <w:rFonts w:ascii="Times New Roman" w:hAnsi="Times New Roman"/>
                <w:sz w:val="16"/>
                <w:szCs w:val="16"/>
                <w:lang w:val="en-US"/>
              </w:rPr>
              <w:t xml:space="preserve"> </w:t>
            </w:r>
            <w:r w:rsidR="00F92811" w:rsidRPr="00E16672">
              <w:rPr>
                <w:rFonts w:ascii="Times New Roman" w:hAnsi="Times New Roman"/>
                <w:sz w:val="16"/>
                <w:szCs w:val="16"/>
              </w:rPr>
              <w:t>Депонента</w:t>
            </w:r>
            <w:r w:rsidR="00F92811" w:rsidRPr="00E16672">
              <w:rPr>
                <w:rFonts w:ascii="Times New Roman" w:hAnsi="Times New Roman"/>
                <w:sz w:val="16"/>
                <w:szCs w:val="16"/>
                <w:lang w:val="en-US"/>
              </w:rPr>
              <w:t xml:space="preserve">, </w:t>
            </w:r>
            <w:r w:rsidR="00F92811" w:rsidRPr="00E16672">
              <w:rPr>
                <w:rFonts w:ascii="Times New Roman" w:hAnsi="Times New Roman"/>
                <w:sz w:val="16"/>
                <w:szCs w:val="16"/>
              </w:rPr>
              <w:t>на</w:t>
            </w:r>
            <w:r w:rsidR="00F92811" w:rsidRPr="00E16672">
              <w:rPr>
                <w:rFonts w:ascii="Times New Roman" w:hAnsi="Times New Roman"/>
                <w:sz w:val="16"/>
                <w:szCs w:val="16"/>
                <w:lang w:val="en-US"/>
              </w:rPr>
              <w:t xml:space="preserve"> </w:t>
            </w:r>
            <w:proofErr w:type="spellStart"/>
            <w:r w:rsidR="00F92811" w:rsidRPr="00E16672">
              <w:rPr>
                <w:rFonts w:ascii="Times New Roman" w:hAnsi="Times New Roman"/>
                <w:sz w:val="16"/>
                <w:szCs w:val="16"/>
              </w:rPr>
              <w:t>якому</w:t>
            </w:r>
            <w:proofErr w:type="spellEnd"/>
            <w:r w:rsidR="00F92811" w:rsidRPr="00E16672">
              <w:rPr>
                <w:rFonts w:ascii="Times New Roman" w:hAnsi="Times New Roman"/>
                <w:sz w:val="16"/>
                <w:szCs w:val="16"/>
                <w:lang w:val="en-US"/>
              </w:rPr>
              <w:t xml:space="preserve"> </w:t>
            </w:r>
            <w:r w:rsidR="00F92811" w:rsidRPr="00E16672">
              <w:rPr>
                <w:rFonts w:ascii="Times New Roman" w:hAnsi="Times New Roman"/>
                <w:sz w:val="16"/>
                <w:szCs w:val="16"/>
                <w:lang w:val="uk-UA"/>
              </w:rPr>
              <w:t>відсутні</w:t>
            </w:r>
            <w:r w:rsidR="00F92811" w:rsidRPr="00E16672">
              <w:rPr>
                <w:rFonts w:ascii="Times New Roman" w:hAnsi="Times New Roman"/>
                <w:sz w:val="16"/>
                <w:szCs w:val="16"/>
                <w:lang w:val="en-US"/>
              </w:rPr>
              <w:t xml:space="preserve"> </w:t>
            </w:r>
            <w:r w:rsidR="00F92811" w:rsidRPr="00E16672">
              <w:rPr>
                <w:rFonts w:ascii="Times New Roman" w:hAnsi="Times New Roman"/>
                <w:sz w:val="16"/>
                <w:szCs w:val="16"/>
              </w:rPr>
              <w:t>права</w:t>
            </w:r>
            <w:r w:rsidR="00F92811" w:rsidRPr="00E16672">
              <w:rPr>
                <w:rFonts w:ascii="Times New Roman" w:hAnsi="Times New Roman"/>
                <w:sz w:val="16"/>
                <w:szCs w:val="16"/>
                <w:lang w:val="en-US"/>
              </w:rPr>
              <w:t xml:space="preserve"> </w:t>
            </w:r>
            <w:r w:rsidR="00F92811" w:rsidRPr="00E16672">
              <w:rPr>
                <w:rFonts w:ascii="Times New Roman" w:hAnsi="Times New Roman"/>
                <w:sz w:val="16"/>
                <w:szCs w:val="16"/>
              </w:rPr>
              <w:t>на</w:t>
            </w:r>
            <w:r w:rsidR="00F92811" w:rsidRPr="00E16672">
              <w:rPr>
                <w:rFonts w:ascii="Times New Roman" w:hAnsi="Times New Roman"/>
                <w:sz w:val="16"/>
                <w:szCs w:val="16"/>
                <w:lang w:val="en-US"/>
              </w:rPr>
              <w:t xml:space="preserve"> </w:t>
            </w:r>
            <w:proofErr w:type="spellStart"/>
            <w:r w:rsidR="00F92811" w:rsidRPr="00E16672">
              <w:rPr>
                <w:rFonts w:ascii="Times New Roman" w:hAnsi="Times New Roman"/>
                <w:sz w:val="16"/>
                <w:szCs w:val="16"/>
              </w:rPr>
              <w:t>цінні</w:t>
            </w:r>
            <w:proofErr w:type="spellEnd"/>
            <w:r w:rsidR="00F92811" w:rsidRPr="00E16672">
              <w:rPr>
                <w:rFonts w:ascii="Times New Roman" w:hAnsi="Times New Roman"/>
                <w:sz w:val="16"/>
                <w:szCs w:val="16"/>
                <w:lang w:val="en-US"/>
              </w:rPr>
              <w:t xml:space="preserve"> </w:t>
            </w:r>
            <w:proofErr w:type="spellStart"/>
            <w:r w:rsidR="00F92811" w:rsidRPr="00E16672">
              <w:rPr>
                <w:rFonts w:ascii="Times New Roman" w:hAnsi="Times New Roman"/>
                <w:sz w:val="16"/>
                <w:szCs w:val="16"/>
              </w:rPr>
              <w:t>папери</w:t>
            </w:r>
            <w:proofErr w:type="spellEnd"/>
            <w:r w:rsidR="00F92811" w:rsidRPr="00E16672">
              <w:rPr>
                <w:rFonts w:ascii="Times New Roman" w:hAnsi="Times New Roman"/>
                <w:sz w:val="16"/>
                <w:szCs w:val="16"/>
                <w:lang w:val="en-US"/>
              </w:rPr>
              <w:t xml:space="preserve">, </w:t>
            </w:r>
            <w:r w:rsidR="00F92811" w:rsidRPr="00E16672">
              <w:rPr>
                <w:rFonts w:ascii="Times New Roman" w:hAnsi="Times New Roman"/>
                <w:sz w:val="16"/>
                <w:szCs w:val="16"/>
              </w:rPr>
              <w:t>без</w:t>
            </w:r>
            <w:r w:rsidR="00F92811" w:rsidRPr="00E16672">
              <w:rPr>
                <w:rFonts w:ascii="Times New Roman" w:hAnsi="Times New Roman"/>
                <w:sz w:val="16"/>
                <w:szCs w:val="16"/>
                <w:lang w:val="en-US"/>
              </w:rPr>
              <w:t xml:space="preserve"> </w:t>
            </w:r>
            <w:proofErr w:type="spellStart"/>
            <w:r w:rsidR="00F92811" w:rsidRPr="00E16672">
              <w:rPr>
                <w:rFonts w:ascii="Times New Roman" w:hAnsi="Times New Roman"/>
                <w:sz w:val="16"/>
                <w:szCs w:val="16"/>
              </w:rPr>
              <w:t>розпорядження</w:t>
            </w:r>
            <w:proofErr w:type="spellEnd"/>
            <w:r w:rsidR="00F92811" w:rsidRPr="00E16672">
              <w:rPr>
                <w:rFonts w:ascii="Times New Roman" w:hAnsi="Times New Roman"/>
                <w:sz w:val="16"/>
                <w:szCs w:val="16"/>
                <w:lang w:val="en-US"/>
              </w:rPr>
              <w:t xml:space="preserve"> </w:t>
            </w:r>
            <w:r w:rsidR="00F92811" w:rsidRPr="00E16672">
              <w:rPr>
                <w:rFonts w:ascii="Times New Roman" w:hAnsi="Times New Roman"/>
                <w:sz w:val="16"/>
                <w:szCs w:val="16"/>
              </w:rPr>
              <w:t>Депонента</w:t>
            </w:r>
            <w:r w:rsidR="00F92811" w:rsidRPr="00E16672">
              <w:rPr>
                <w:rFonts w:ascii="Times New Roman" w:hAnsi="Times New Roman"/>
                <w:sz w:val="16"/>
                <w:szCs w:val="16"/>
                <w:lang w:val="en-US"/>
              </w:rPr>
              <w:t xml:space="preserve"> </w:t>
            </w:r>
            <w:r w:rsidR="00F92811" w:rsidRPr="00E16672">
              <w:rPr>
                <w:rFonts w:ascii="Times New Roman" w:hAnsi="Times New Roman"/>
                <w:sz w:val="16"/>
                <w:szCs w:val="16"/>
              </w:rPr>
              <w:t>про</w:t>
            </w:r>
            <w:r w:rsidR="00F92811" w:rsidRPr="00E16672">
              <w:rPr>
                <w:rFonts w:ascii="Times New Roman" w:hAnsi="Times New Roman"/>
                <w:sz w:val="16"/>
                <w:szCs w:val="16"/>
                <w:lang w:val="en-US"/>
              </w:rPr>
              <w:t xml:space="preserve"> </w:t>
            </w:r>
            <w:proofErr w:type="spellStart"/>
            <w:r w:rsidR="00F92811" w:rsidRPr="00E16672">
              <w:rPr>
                <w:rFonts w:ascii="Times New Roman" w:hAnsi="Times New Roman"/>
                <w:sz w:val="16"/>
                <w:szCs w:val="16"/>
              </w:rPr>
              <w:t>закриття</w:t>
            </w:r>
            <w:proofErr w:type="spellEnd"/>
            <w:r w:rsidR="00F92811" w:rsidRPr="00E16672">
              <w:rPr>
                <w:rFonts w:ascii="Times New Roman" w:hAnsi="Times New Roman"/>
                <w:sz w:val="16"/>
                <w:szCs w:val="16"/>
                <w:lang w:val="en-US"/>
              </w:rPr>
              <w:t xml:space="preserve"> </w:t>
            </w:r>
            <w:proofErr w:type="spellStart"/>
            <w:r w:rsidR="00F92811" w:rsidRPr="00E16672">
              <w:rPr>
                <w:rFonts w:ascii="Times New Roman" w:hAnsi="Times New Roman"/>
                <w:sz w:val="16"/>
                <w:szCs w:val="16"/>
              </w:rPr>
              <w:t>рахунку</w:t>
            </w:r>
            <w:proofErr w:type="spellEnd"/>
            <w:r w:rsidR="00F92811" w:rsidRPr="00E16672">
              <w:rPr>
                <w:rFonts w:ascii="Times New Roman" w:hAnsi="Times New Roman"/>
                <w:sz w:val="16"/>
                <w:szCs w:val="16"/>
                <w:lang w:val="en-US"/>
              </w:rPr>
              <w:t xml:space="preserve"> </w:t>
            </w:r>
            <w:r w:rsidR="00F92811" w:rsidRPr="00E16672">
              <w:rPr>
                <w:rFonts w:ascii="Times New Roman" w:hAnsi="Times New Roman"/>
                <w:sz w:val="16"/>
                <w:szCs w:val="16"/>
              </w:rPr>
              <w:t>в</w:t>
            </w:r>
            <w:r w:rsidR="00F92811" w:rsidRPr="00E16672">
              <w:rPr>
                <w:rFonts w:ascii="Times New Roman" w:hAnsi="Times New Roman"/>
                <w:sz w:val="16"/>
                <w:szCs w:val="16"/>
                <w:lang w:val="en-US"/>
              </w:rPr>
              <w:t xml:space="preserve"> </w:t>
            </w:r>
            <w:proofErr w:type="spellStart"/>
            <w:r w:rsidR="00F92811" w:rsidRPr="00E16672">
              <w:rPr>
                <w:rFonts w:ascii="Times New Roman" w:hAnsi="Times New Roman"/>
                <w:sz w:val="16"/>
                <w:szCs w:val="16"/>
              </w:rPr>
              <w:t>цінних</w:t>
            </w:r>
            <w:proofErr w:type="spellEnd"/>
            <w:r w:rsidR="00F92811" w:rsidRPr="00E16672">
              <w:rPr>
                <w:rFonts w:ascii="Times New Roman" w:hAnsi="Times New Roman"/>
                <w:sz w:val="16"/>
                <w:szCs w:val="16"/>
                <w:lang w:val="en-US"/>
              </w:rPr>
              <w:t xml:space="preserve"> </w:t>
            </w:r>
            <w:proofErr w:type="spellStart"/>
            <w:r w:rsidR="00F92811" w:rsidRPr="00E16672">
              <w:rPr>
                <w:rFonts w:ascii="Times New Roman" w:hAnsi="Times New Roman"/>
                <w:sz w:val="16"/>
                <w:szCs w:val="16"/>
              </w:rPr>
              <w:t>паперах</w:t>
            </w:r>
            <w:proofErr w:type="spellEnd"/>
            <w:r w:rsidR="00F92811" w:rsidRPr="00E16672">
              <w:rPr>
                <w:rFonts w:ascii="Times New Roman" w:hAnsi="Times New Roman"/>
                <w:sz w:val="16"/>
                <w:szCs w:val="16"/>
                <w:lang w:val="en-US"/>
              </w:rPr>
              <w:t xml:space="preserve"> </w:t>
            </w:r>
            <w:r w:rsidR="00F92811" w:rsidRPr="00E16672">
              <w:rPr>
                <w:rFonts w:ascii="Times New Roman" w:hAnsi="Times New Roman"/>
                <w:sz w:val="16"/>
                <w:szCs w:val="20"/>
                <w:lang w:val="uk-UA"/>
              </w:rPr>
              <w:t>та</w:t>
            </w:r>
            <w:r w:rsidR="00F92811" w:rsidRPr="00E16672">
              <w:rPr>
                <w:rFonts w:ascii="Times New Roman" w:hAnsi="Times New Roman"/>
                <w:szCs w:val="20"/>
                <w:lang w:val="uk-UA"/>
              </w:rPr>
              <w:t xml:space="preserve"> </w:t>
            </w:r>
            <w:r w:rsidR="00F92811" w:rsidRPr="00E16672">
              <w:rPr>
                <w:rFonts w:ascii="Times New Roman" w:hAnsi="Times New Roman"/>
                <w:sz w:val="16"/>
                <w:szCs w:val="20"/>
                <w:lang w:val="uk-UA"/>
              </w:rPr>
              <w:t xml:space="preserve">розірвати Договір в </w:t>
            </w:r>
            <w:r w:rsidR="00F92811" w:rsidRPr="00E16672">
              <w:rPr>
                <w:rFonts w:ascii="Times New Roman" w:hAnsi="Times New Roman"/>
                <w:sz w:val="16"/>
                <w:szCs w:val="16"/>
                <w:lang w:val="uk-UA"/>
              </w:rPr>
              <w:t xml:space="preserve">односторонньому порядку </w:t>
            </w:r>
            <w:r w:rsidR="00F92811" w:rsidRPr="00E16672">
              <w:rPr>
                <w:rFonts w:ascii="Times New Roman" w:hAnsi="Times New Roman"/>
                <w:sz w:val="16"/>
                <w:szCs w:val="16"/>
              </w:rPr>
              <w:t>у</w:t>
            </w:r>
            <w:r w:rsidR="00F92811" w:rsidRPr="00E16672">
              <w:rPr>
                <w:rFonts w:ascii="Times New Roman" w:hAnsi="Times New Roman"/>
                <w:sz w:val="16"/>
                <w:szCs w:val="16"/>
                <w:lang w:val="en-US"/>
              </w:rPr>
              <w:t xml:space="preserve"> </w:t>
            </w:r>
            <w:r w:rsidR="00F92811" w:rsidRPr="00E16672">
              <w:rPr>
                <w:rFonts w:ascii="Times New Roman" w:hAnsi="Times New Roman"/>
                <w:sz w:val="16"/>
                <w:szCs w:val="16"/>
              </w:rPr>
              <w:t>раз</w:t>
            </w:r>
            <w:proofErr w:type="spellStart"/>
            <w:r w:rsidR="00F92811" w:rsidRPr="00E16672">
              <w:rPr>
                <w:rFonts w:ascii="Times New Roman" w:hAnsi="Times New Roman"/>
                <w:sz w:val="16"/>
                <w:szCs w:val="16"/>
                <w:lang w:val="en-US"/>
              </w:rPr>
              <w:t>i</w:t>
            </w:r>
            <w:proofErr w:type="spellEnd"/>
            <w:r w:rsidR="00F92811" w:rsidRPr="00E16672">
              <w:rPr>
                <w:rFonts w:ascii="Times New Roman" w:hAnsi="Times New Roman"/>
                <w:sz w:val="16"/>
                <w:szCs w:val="16"/>
                <w:lang w:val="en-US"/>
              </w:rPr>
              <w:t xml:space="preserve"> </w:t>
            </w:r>
            <w:proofErr w:type="spellStart"/>
            <w:r w:rsidR="00F92811" w:rsidRPr="00E16672">
              <w:rPr>
                <w:rFonts w:ascii="Times New Roman" w:hAnsi="Times New Roman"/>
                <w:sz w:val="16"/>
                <w:szCs w:val="16"/>
              </w:rPr>
              <w:t>припинення</w:t>
            </w:r>
            <w:proofErr w:type="spellEnd"/>
            <w:r w:rsidR="00F92811" w:rsidRPr="00E16672">
              <w:rPr>
                <w:rFonts w:ascii="Times New Roman" w:hAnsi="Times New Roman"/>
                <w:sz w:val="16"/>
                <w:szCs w:val="16"/>
                <w:lang w:val="en-US"/>
              </w:rPr>
              <w:t xml:space="preserve"> </w:t>
            </w:r>
            <w:proofErr w:type="spellStart"/>
            <w:r w:rsidR="00F92811" w:rsidRPr="00E16672">
              <w:rPr>
                <w:rFonts w:ascii="Times New Roman" w:hAnsi="Times New Roman"/>
                <w:sz w:val="16"/>
                <w:szCs w:val="16"/>
              </w:rPr>
              <w:t>здійснення</w:t>
            </w:r>
            <w:proofErr w:type="spellEnd"/>
            <w:r w:rsidR="00F92811" w:rsidRPr="00E16672">
              <w:rPr>
                <w:rFonts w:ascii="Times New Roman" w:hAnsi="Times New Roman"/>
                <w:sz w:val="16"/>
                <w:szCs w:val="16"/>
                <w:lang w:val="en-US"/>
              </w:rPr>
              <w:t xml:space="preserve"> </w:t>
            </w:r>
            <w:r w:rsidR="00F92811" w:rsidRPr="00E16672">
              <w:rPr>
                <w:rFonts w:ascii="Times New Roman" w:hAnsi="Times New Roman"/>
                <w:sz w:val="16"/>
                <w:szCs w:val="16"/>
              </w:rPr>
              <w:t>Депозитарною</w:t>
            </w:r>
            <w:r w:rsidR="00F92811" w:rsidRPr="00E16672">
              <w:rPr>
                <w:rFonts w:ascii="Times New Roman" w:hAnsi="Times New Roman"/>
                <w:sz w:val="16"/>
                <w:szCs w:val="16"/>
                <w:lang w:val="en-US"/>
              </w:rPr>
              <w:t xml:space="preserve"> </w:t>
            </w:r>
            <w:proofErr w:type="spellStart"/>
            <w:r w:rsidR="00F92811" w:rsidRPr="00E16672">
              <w:rPr>
                <w:rFonts w:ascii="Times New Roman" w:hAnsi="Times New Roman"/>
                <w:sz w:val="16"/>
                <w:szCs w:val="16"/>
              </w:rPr>
              <w:t>установою</w:t>
            </w:r>
            <w:proofErr w:type="spellEnd"/>
            <w:r w:rsidR="00F92811" w:rsidRPr="00E16672">
              <w:rPr>
                <w:rFonts w:ascii="Times New Roman" w:hAnsi="Times New Roman"/>
                <w:sz w:val="16"/>
                <w:szCs w:val="16"/>
                <w:lang w:val="en-US"/>
              </w:rPr>
              <w:t xml:space="preserve"> </w:t>
            </w:r>
            <w:r w:rsidR="00F92811" w:rsidRPr="00E16672">
              <w:rPr>
                <w:rFonts w:ascii="Times New Roman" w:hAnsi="Times New Roman"/>
                <w:sz w:val="16"/>
                <w:szCs w:val="16"/>
                <w:lang w:val="uk-UA" w:eastAsia="uk-UA"/>
              </w:rPr>
              <w:t xml:space="preserve">діяльності депозитарної установи </w:t>
            </w:r>
            <w:r w:rsidR="00F92811" w:rsidRPr="00E16672">
              <w:rPr>
                <w:rFonts w:ascii="Times New Roman" w:hAnsi="Times New Roman"/>
                <w:sz w:val="16"/>
                <w:szCs w:val="16"/>
                <w:lang w:val="uk-UA" w:eastAsia="uk-UA"/>
              </w:rPr>
              <w:lastRenderedPageBreak/>
              <w:t xml:space="preserve">відповідно до вимог нормативно-правового </w:t>
            </w:r>
            <w:proofErr w:type="spellStart"/>
            <w:r w:rsidR="00F92811" w:rsidRPr="00E16672">
              <w:rPr>
                <w:rFonts w:ascii="Times New Roman" w:hAnsi="Times New Roman"/>
                <w:sz w:val="16"/>
                <w:szCs w:val="16"/>
                <w:lang w:val="uk-UA" w:eastAsia="uk-UA"/>
              </w:rPr>
              <w:t>акта</w:t>
            </w:r>
            <w:proofErr w:type="spellEnd"/>
            <w:r w:rsidR="00F92811" w:rsidRPr="00E16672">
              <w:rPr>
                <w:rFonts w:ascii="Times New Roman" w:hAnsi="Times New Roman"/>
                <w:sz w:val="16"/>
                <w:szCs w:val="16"/>
                <w:lang w:val="uk-UA" w:eastAsia="uk-UA"/>
              </w:rPr>
              <w:t xml:space="preserve"> щодо припинення депозитарної діяльності депозитарної установи, у разі виконання безумовної операції списання цінних паперів у порядку спадкування (в тому числі на підставі рішення суду або документів виконавчого провадження), ліквідації юридичної особи, що підтверджується відомостями Єдиного державного реєстру юридичних осіб, фізичних осіб-підприємців та громадських формувань</w:t>
            </w:r>
            <w:r w:rsidR="00F92811" w:rsidRPr="00E16672">
              <w:rPr>
                <w:rFonts w:ascii="Times New Roman" w:hAnsi="Times New Roman"/>
                <w:sz w:val="16"/>
                <w:szCs w:val="16"/>
                <w:lang w:val="en-US"/>
              </w:rPr>
              <w:t xml:space="preserve">, </w:t>
            </w:r>
            <w:r w:rsidR="00F92811" w:rsidRPr="00E16672">
              <w:rPr>
                <w:rFonts w:ascii="Times New Roman" w:hAnsi="Times New Roman"/>
                <w:sz w:val="16"/>
                <w:szCs w:val="16"/>
              </w:rPr>
              <w:t>а</w:t>
            </w:r>
            <w:r w:rsidR="00F92811" w:rsidRPr="00E16672">
              <w:rPr>
                <w:rFonts w:ascii="Times New Roman" w:hAnsi="Times New Roman"/>
                <w:sz w:val="16"/>
                <w:szCs w:val="16"/>
                <w:lang w:val="en-US"/>
              </w:rPr>
              <w:t xml:space="preserve"> </w:t>
            </w:r>
            <w:proofErr w:type="spellStart"/>
            <w:r w:rsidR="00F92811" w:rsidRPr="00E16672">
              <w:rPr>
                <w:rFonts w:ascii="Times New Roman" w:hAnsi="Times New Roman"/>
                <w:sz w:val="16"/>
                <w:szCs w:val="16"/>
              </w:rPr>
              <w:t>також</w:t>
            </w:r>
            <w:proofErr w:type="spellEnd"/>
            <w:r w:rsidR="00F92811" w:rsidRPr="00E16672">
              <w:rPr>
                <w:rFonts w:ascii="Times New Roman" w:hAnsi="Times New Roman"/>
                <w:sz w:val="16"/>
                <w:szCs w:val="16"/>
                <w:lang w:val="en-US"/>
              </w:rPr>
              <w:t xml:space="preserve"> </w:t>
            </w:r>
            <w:r w:rsidR="00F92811" w:rsidRPr="00E16672">
              <w:rPr>
                <w:rFonts w:ascii="Times New Roman" w:hAnsi="Times New Roman"/>
                <w:sz w:val="16"/>
                <w:szCs w:val="16"/>
              </w:rPr>
              <w:t>у</w:t>
            </w:r>
            <w:r w:rsidR="00F92811" w:rsidRPr="00E16672">
              <w:rPr>
                <w:rFonts w:ascii="Times New Roman" w:hAnsi="Times New Roman"/>
                <w:sz w:val="16"/>
                <w:szCs w:val="16"/>
                <w:lang w:val="en-US"/>
              </w:rPr>
              <w:t xml:space="preserve"> </w:t>
            </w:r>
            <w:proofErr w:type="spellStart"/>
            <w:r w:rsidR="00F92811" w:rsidRPr="00E16672">
              <w:rPr>
                <w:rFonts w:ascii="Times New Roman" w:hAnsi="Times New Roman"/>
                <w:sz w:val="16"/>
                <w:szCs w:val="16"/>
              </w:rPr>
              <w:t>разі</w:t>
            </w:r>
            <w:proofErr w:type="spellEnd"/>
            <w:r w:rsidR="00F92811" w:rsidRPr="00E16672">
              <w:rPr>
                <w:rFonts w:ascii="Times New Roman" w:hAnsi="Times New Roman"/>
                <w:sz w:val="16"/>
                <w:szCs w:val="16"/>
                <w:lang w:val="en-US"/>
              </w:rPr>
              <w:t xml:space="preserve"> </w:t>
            </w:r>
            <w:proofErr w:type="spellStart"/>
            <w:r w:rsidR="00F92811" w:rsidRPr="00E16672">
              <w:rPr>
                <w:rFonts w:ascii="Times New Roman" w:hAnsi="Times New Roman"/>
                <w:sz w:val="16"/>
                <w:szCs w:val="16"/>
              </w:rPr>
              <w:t>розірвання</w:t>
            </w:r>
            <w:proofErr w:type="spellEnd"/>
            <w:r w:rsidR="00F92811" w:rsidRPr="00E16672">
              <w:rPr>
                <w:rFonts w:ascii="Times New Roman" w:hAnsi="Times New Roman"/>
                <w:sz w:val="16"/>
                <w:szCs w:val="16"/>
                <w:lang w:val="en-US"/>
              </w:rPr>
              <w:t xml:space="preserve"> </w:t>
            </w:r>
            <w:proofErr w:type="spellStart"/>
            <w:r w:rsidR="00F92811" w:rsidRPr="00E16672">
              <w:rPr>
                <w:rFonts w:ascii="Times New Roman" w:hAnsi="Times New Roman"/>
                <w:sz w:val="16"/>
                <w:szCs w:val="16"/>
              </w:rPr>
              <w:t>цього</w:t>
            </w:r>
            <w:proofErr w:type="spellEnd"/>
            <w:r w:rsidR="00F92811" w:rsidRPr="00E16672">
              <w:rPr>
                <w:rFonts w:ascii="Times New Roman" w:hAnsi="Times New Roman"/>
                <w:sz w:val="16"/>
                <w:szCs w:val="16"/>
                <w:lang w:val="en-US"/>
              </w:rPr>
              <w:t xml:space="preserve"> </w:t>
            </w:r>
            <w:r w:rsidR="00F92811" w:rsidRPr="00E16672">
              <w:rPr>
                <w:rFonts w:ascii="Times New Roman" w:hAnsi="Times New Roman"/>
                <w:sz w:val="16"/>
                <w:szCs w:val="16"/>
              </w:rPr>
              <w:t>Договору</w:t>
            </w:r>
            <w:r w:rsidRPr="00E16672">
              <w:rPr>
                <w:rFonts w:ascii="Times New Roman" w:hAnsi="Times New Roman"/>
                <w:sz w:val="16"/>
                <w:szCs w:val="16"/>
                <w:lang w:val="en-US"/>
              </w:rPr>
              <w:t>.</w:t>
            </w:r>
          </w:p>
          <w:p w14:paraId="1C354100" w14:textId="77777777" w:rsidR="003A05A3" w:rsidRPr="00E16672" w:rsidRDefault="003A05A3" w:rsidP="00843027">
            <w:pPr>
              <w:pStyle w:val="210"/>
              <w:snapToGrid w:val="0"/>
              <w:ind w:left="175" w:right="138" w:firstLine="7"/>
              <w:rPr>
                <w:rFonts w:ascii="Times New Roman" w:hAnsi="Times New Roman"/>
                <w:sz w:val="16"/>
                <w:szCs w:val="16"/>
              </w:rPr>
            </w:pPr>
          </w:p>
        </w:tc>
        <w:tc>
          <w:tcPr>
            <w:tcW w:w="5494" w:type="dxa"/>
            <w:gridSpan w:val="6"/>
            <w:shd w:val="clear" w:color="auto" w:fill="auto"/>
          </w:tcPr>
          <w:p w14:paraId="420B6AA0" w14:textId="77777777" w:rsidR="003A05A3" w:rsidRPr="00E16672" w:rsidRDefault="003A05A3" w:rsidP="00843027">
            <w:pPr>
              <w:pStyle w:val="210"/>
              <w:snapToGrid w:val="0"/>
              <w:ind w:left="175" w:right="138" w:firstLine="7"/>
              <w:rPr>
                <w:rFonts w:ascii="Times New Roman" w:hAnsi="Times New Roman"/>
                <w:color w:val="000000"/>
                <w:sz w:val="16"/>
                <w:szCs w:val="16"/>
              </w:rPr>
            </w:pPr>
            <w:r w:rsidRPr="00E16672">
              <w:rPr>
                <w:rFonts w:ascii="Times New Roman" w:hAnsi="Times New Roman"/>
                <w:sz w:val="16"/>
                <w:szCs w:val="16"/>
              </w:rPr>
              <w:lastRenderedPageBreak/>
              <w:t xml:space="preserve">2.2.7. </w:t>
            </w:r>
            <w:proofErr w:type="spellStart"/>
            <w:r w:rsidR="00F92811" w:rsidRPr="00E16672">
              <w:rPr>
                <w:rFonts w:ascii="Times New Roman" w:hAnsi="Times New Roman"/>
                <w:sz w:val="16"/>
                <w:szCs w:val="16"/>
              </w:rPr>
              <w:t>To</w:t>
            </w:r>
            <w:proofErr w:type="spellEnd"/>
            <w:r w:rsidR="00F92811" w:rsidRPr="00E16672">
              <w:rPr>
                <w:rFonts w:ascii="Times New Roman" w:hAnsi="Times New Roman"/>
                <w:sz w:val="16"/>
                <w:szCs w:val="16"/>
              </w:rPr>
              <w:t xml:space="preserve"> </w:t>
            </w:r>
            <w:proofErr w:type="spellStart"/>
            <w:r w:rsidR="00F92811" w:rsidRPr="00E16672">
              <w:rPr>
                <w:rFonts w:ascii="Times New Roman" w:hAnsi="Times New Roman"/>
                <w:color w:val="000000"/>
                <w:sz w:val="16"/>
                <w:szCs w:val="16"/>
              </w:rPr>
              <w:t>close</w:t>
            </w:r>
            <w:proofErr w:type="spellEnd"/>
            <w:r w:rsidR="00F92811" w:rsidRPr="00E16672">
              <w:rPr>
                <w:rFonts w:ascii="Times New Roman" w:hAnsi="Times New Roman"/>
                <w:color w:val="000000"/>
                <w:sz w:val="16"/>
                <w:szCs w:val="16"/>
              </w:rPr>
              <w:t xml:space="preserve">  </w:t>
            </w:r>
            <w:proofErr w:type="spellStart"/>
            <w:r w:rsidR="00F92811" w:rsidRPr="00E16672">
              <w:rPr>
                <w:rFonts w:ascii="Times New Roman" w:hAnsi="Times New Roman"/>
                <w:color w:val="000000"/>
                <w:sz w:val="16"/>
                <w:szCs w:val="16"/>
              </w:rPr>
              <w:t>an</w:t>
            </w:r>
            <w:proofErr w:type="spellEnd"/>
            <w:r w:rsidR="00F92811" w:rsidRPr="00E16672">
              <w:rPr>
                <w:rFonts w:ascii="Times New Roman" w:hAnsi="Times New Roman"/>
                <w:color w:val="000000"/>
                <w:sz w:val="16"/>
                <w:szCs w:val="16"/>
              </w:rPr>
              <w:t xml:space="preserve"> </w:t>
            </w:r>
            <w:proofErr w:type="spellStart"/>
            <w:r w:rsidR="00F92811" w:rsidRPr="00E16672">
              <w:rPr>
                <w:rFonts w:ascii="Times New Roman" w:hAnsi="Times New Roman"/>
                <w:color w:val="000000"/>
                <w:sz w:val="16"/>
                <w:szCs w:val="16"/>
              </w:rPr>
              <w:t>account</w:t>
            </w:r>
            <w:proofErr w:type="spellEnd"/>
            <w:r w:rsidR="00F92811" w:rsidRPr="00E16672">
              <w:rPr>
                <w:rFonts w:ascii="Times New Roman" w:hAnsi="Times New Roman"/>
                <w:color w:val="000000"/>
                <w:sz w:val="16"/>
                <w:szCs w:val="16"/>
              </w:rPr>
              <w:t xml:space="preserve"> </w:t>
            </w:r>
            <w:proofErr w:type="spellStart"/>
            <w:r w:rsidR="00F92811" w:rsidRPr="00E16672">
              <w:rPr>
                <w:rFonts w:ascii="Times New Roman" w:hAnsi="Times New Roman"/>
                <w:color w:val="000000"/>
                <w:sz w:val="16"/>
                <w:szCs w:val="16"/>
              </w:rPr>
              <w:t>in</w:t>
            </w:r>
            <w:proofErr w:type="spellEnd"/>
            <w:r w:rsidR="00F92811" w:rsidRPr="00E16672">
              <w:rPr>
                <w:rFonts w:ascii="Times New Roman" w:hAnsi="Times New Roman"/>
                <w:color w:val="000000"/>
                <w:sz w:val="16"/>
                <w:szCs w:val="16"/>
              </w:rPr>
              <w:t xml:space="preserve"> </w:t>
            </w:r>
            <w:proofErr w:type="spellStart"/>
            <w:r w:rsidR="00F92811" w:rsidRPr="00E16672">
              <w:rPr>
                <w:rFonts w:ascii="Times New Roman" w:hAnsi="Times New Roman"/>
                <w:color w:val="000000"/>
                <w:sz w:val="16"/>
                <w:szCs w:val="16"/>
              </w:rPr>
              <w:t>securities</w:t>
            </w:r>
            <w:proofErr w:type="spellEnd"/>
            <w:r w:rsidR="00F92811" w:rsidRPr="00E16672">
              <w:rPr>
                <w:rFonts w:ascii="Times New Roman" w:hAnsi="Times New Roman"/>
                <w:color w:val="000000"/>
                <w:sz w:val="16"/>
                <w:szCs w:val="16"/>
              </w:rPr>
              <w:t xml:space="preserve"> </w:t>
            </w:r>
            <w:proofErr w:type="spellStart"/>
            <w:r w:rsidR="00F92811" w:rsidRPr="00E16672">
              <w:rPr>
                <w:rFonts w:ascii="Times New Roman" w:hAnsi="Times New Roman"/>
                <w:color w:val="000000"/>
                <w:sz w:val="16"/>
                <w:szCs w:val="16"/>
              </w:rPr>
              <w:t>of</w:t>
            </w:r>
            <w:proofErr w:type="spellEnd"/>
            <w:r w:rsidR="00F92811" w:rsidRPr="00E16672">
              <w:rPr>
                <w:rFonts w:ascii="Times New Roman" w:hAnsi="Times New Roman"/>
                <w:color w:val="000000"/>
                <w:sz w:val="16"/>
                <w:szCs w:val="16"/>
              </w:rPr>
              <w:t xml:space="preserve"> </w:t>
            </w:r>
            <w:proofErr w:type="spellStart"/>
            <w:r w:rsidR="00F92811" w:rsidRPr="00E16672">
              <w:rPr>
                <w:rFonts w:ascii="Times New Roman" w:hAnsi="Times New Roman"/>
                <w:color w:val="000000"/>
                <w:sz w:val="16"/>
                <w:szCs w:val="16"/>
              </w:rPr>
              <w:t>the</w:t>
            </w:r>
            <w:proofErr w:type="spellEnd"/>
            <w:r w:rsidR="00F92811" w:rsidRPr="00E16672">
              <w:rPr>
                <w:rFonts w:ascii="Times New Roman" w:hAnsi="Times New Roman"/>
                <w:color w:val="000000"/>
                <w:sz w:val="16"/>
                <w:szCs w:val="16"/>
              </w:rPr>
              <w:t xml:space="preserve"> </w:t>
            </w:r>
            <w:proofErr w:type="spellStart"/>
            <w:r w:rsidR="00F92811" w:rsidRPr="00E16672">
              <w:rPr>
                <w:rFonts w:ascii="Times New Roman" w:hAnsi="Times New Roman"/>
                <w:color w:val="000000"/>
                <w:sz w:val="16"/>
                <w:szCs w:val="16"/>
              </w:rPr>
              <w:t>Depositor</w:t>
            </w:r>
            <w:proofErr w:type="spellEnd"/>
            <w:r w:rsidR="00F92811" w:rsidRPr="00E16672">
              <w:rPr>
                <w:rFonts w:ascii="Times New Roman" w:hAnsi="Times New Roman"/>
                <w:color w:val="000000"/>
                <w:sz w:val="16"/>
                <w:szCs w:val="16"/>
              </w:rPr>
              <w:t xml:space="preserve"> </w:t>
            </w:r>
            <w:proofErr w:type="spellStart"/>
            <w:r w:rsidR="00F92811" w:rsidRPr="00E16672">
              <w:rPr>
                <w:rStyle w:val="shorttext"/>
                <w:rFonts w:ascii="Times New Roman" w:hAnsi="Times New Roman"/>
                <w:sz w:val="16"/>
              </w:rPr>
              <w:t>with</w:t>
            </w:r>
            <w:proofErr w:type="spellEnd"/>
            <w:r w:rsidR="00F92811" w:rsidRPr="00E16672">
              <w:rPr>
                <w:rStyle w:val="shorttext"/>
                <w:rFonts w:ascii="Times New Roman" w:hAnsi="Times New Roman"/>
                <w:sz w:val="16"/>
              </w:rPr>
              <w:t xml:space="preserve"> </w:t>
            </w:r>
            <w:proofErr w:type="spellStart"/>
            <w:r w:rsidR="00F92811" w:rsidRPr="00E16672">
              <w:rPr>
                <w:rStyle w:val="shorttext"/>
                <w:rFonts w:ascii="Times New Roman" w:hAnsi="Times New Roman"/>
                <w:sz w:val="16"/>
              </w:rPr>
              <w:t>no</w:t>
            </w:r>
            <w:proofErr w:type="spellEnd"/>
            <w:r w:rsidR="00F92811" w:rsidRPr="00E16672">
              <w:rPr>
                <w:rStyle w:val="shorttext"/>
                <w:rFonts w:ascii="Times New Roman" w:hAnsi="Times New Roman"/>
              </w:rPr>
              <w:t xml:space="preserve"> </w:t>
            </w:r>
            <w:r w:rsidR="00F92811" w:rsidRPr="00E16672">
              <w:rPr>
                <w:rFonts w:ascii="Times New Roman" w:hAnsi="Times New Roman"/>
                <w:color w:val="000000"/>
                <w:sz w:val="16"/>
                <w:szCs w:val="16"/>
                <w:lang w:val="en-US"/>
              </w:rPr>
              <w:t xml:space="preserve">rights on </w:t>
            </w:r>
            <w:proofErr w:type="spellStart"/>
            <w:r w:rsidR="00F92811" w:rsidRPr="00E16672">
              <w:rPr>
                <w:rFonts w:ascii="Times New Roman" w:hAnsi="Times New Roman"/>
                <w:color w:val="000000"/>
                <w:sz w:val="16"/>
                <w:szCs w:val="16"/>
              </w:rPr>
              <w:t>securities</w:t>
            </w:r>
            <w:proofErr w:type="spellEnd"/>
            <w:r w:rsidR="00F92811" w:rsidRPr="00E16672">
              <w:rPr>
                <w:rFonts w:ascii="Times New Roman" w:hAnsi="Times New Roman"/>
                <w:color w:val="000000"/>
                <w:sz w:val="16"/>
                <w:szCs w:val="16"/>
                <w:lang w:val="en-US"/>
              </w:rPr>
              <w:t xml:space="preserve">, </w:t>
            </w:r>
            <w:r w:rsidR="00F92811" w:rsidRPr="00E16672">
              <w:rPr>
                <w:rFonts w:ascii="Times New Roman" w:hAnsi="Times New Roman"/>
                <w:color w:val="000000"/>
                <w:sz w:val="16"/>
                <w:szCs w:val="16"/>
              </w:rPr>
              <w:t xml:space="preserve"> </w:t>
            </w:r>
            <w:proofErr w:type="spellStart"/>
            <w:r w:rsidR="00F92811" w:rsidRPr="00E16672">
              <w:rPr>
                <w:rFonts w:ascii="Times New Roman" w:hAnsi="Times New Roman"/>
                <w:color w:val="000000"/>
                <w:sz w:val="16"/>
                <w:szCs w:val="16"/>
              </w:rPr>
              <w:t>with</w:t>
            </w:r>
            <w:proofErr w:type="spellEnd"/>
            <w:r w:rsidR="00F92811" w:rsidRPr="00E16672">
              <w:rPr>
                <w:rFonts w:ascii="Times New Roman" w:hAnsi="Times New Roman"/>
                <w:color w:val="000000"/>
                <w:sz w:val="16"/>
                <w:szCs w:val="16"/>
                <w:lang w:val="en-US"/>
              </w:rPr>
              <w:t>out</w:t>
            </w:r>
            <w:r w:rsidR="00F92811" w:rsidRPr="00E16672">
              <w:rPr>
                <w:rFonts w:ascii="Times New Roman" w:hAnsi="Times New Roman"/>
                <w:color w:val="000000"/>
                <w:sz w:val="16"/>
                <w:szCs w:val="16"/>
              </w:rPr>
              <w:t xml:space="preserve"> </w:t>
            </w:r>
            <w:proofErr w:type="spellStart"/>
            <w:r w:rsidR="00F92811" w:rsidRPr="00E16672">
              <w:rPr>
                <w:rFonts w:ascii="Times New Roman" w:hAnsi="Times New Roman"/>
                <w:color w:val="000000"/>
                <w:sz w:val="16"/>
                <w:szCs w:val="16"/>
              </w:rPr>
              <w:t>order</w:t>
            </w:r>
            <w:proofErr w:type="spellEnd"/>
            <w:r w:rsidR="00F92811" w:rsidRPr="00E16672">
              <w:rPr>
                <w:rFonts w:ascii="Times New Roman" w:hAnsi="Times New Roman"/>
                <w:color w:val="000000"/>
                <w:sz w:val="16"/>
                <w:szCs w:val="16"/>
              </w:rPr>
              <w:t xml:space="preserve"> </w:t>
            </w:r>
            <w:r w:rsidR="00F92811" w:rsidRPr="00E16672">
              <w:rPr>
                <w:rFonts w:ascii="Times New Roman" w:hAnsi="Times New Roman"/>
                <w:color w:val="000000"/>
                <w:sz w:val="16"/>
                <w:szCs w:val="16"/>
                <w:lang w:val="en-US"/>
              </w:rPr>
              <w:t xml:space="preserve"> of Depositor </w:t>
            </w:r>
            <w:proofErr w:type="spellStart"/>
            <w:r w:rsidR="00F92811" w:rsidRPr="00E16672">
              <w:rPr>
                <w:rFonts w:ascii="Times New Roman" w:hAnsi="Times New Roman"/>
                <w:color w:val="000000"/>
                <w:sz w:val="16"/>
                <w:szCs w:val="16"/>
              </w:rPr>
              <w:t>to</w:t>
            </w:r>
            <w:proofErr w:type="spellEnd"/>
            <w:r w:rsidR="00F92811" w:rsidRPr="00E16672">
              <w:rPr>
                <w:rFonts w:ascii="Times New Roman" w:hAnsi="Times New Roman"/>
                <w:color w:val="000000"/>
                <w:sz w:val="16"/>
                <w:szCs w:val="16"/>
              </w:rPr>
              <w:t xml:space="preserve"> </w:t>
            </w:r>
            <w:proofErr w:type="spellStart"/>
            <w:r w:rsidR="00F92811" w:rsidRPr="00E16672">
              <w:rPr>
                <w:rFonts w:ascii="Times New Roman" w:hAnsi="Times New Roman"/>
                <w:color w:val="000000"/>
                <w:sz w:val="16"/>
                <w:szCs w:val="16"/>
              </w:rPr>
              <w:t>close</w:t>
            </w:r>
            <w:proofErr w:type="spellEnd"/>
            <w:r w:rsidR="00F92811" w:rsidRPr="00E16672">
              <w:rPr>
                <w:rFonts w:ascii="Times New Roman" w:hAnsi="Times New Roman"/>
                <w:color w:val="000000"/>
                <w:sz w:val="16"/>
                <w:szCs w:val="16"/>
              </w:rPr>
              <w:t xml:space="preserve"> </w:t>
            </w:r>
            <w:proofErr w:type="spellStart"/>
            <w:r w:rsidR="00F92811" w:rsidRPr="00E16672">
              <w:rPr>
                <w:rFonts w:ascii="Times New Roman" w:hAnsi="Times New Roman"/>
                <w:color w:val="000000"/>
                <w:sz w:val="16"/>
                <w:szCs w:val="16"/>
              </w:rPr>
              <w:t>the</w:t>
            </w:r>
            <w:proofErr w:type="spellEnd"/>
            <w:r w:rsidR="00F92811" w:rsidRPr="00E16672">
              <w:rPr>
                <w:rFonts w:ascii="Times New Roman" w:hAnsi="Times New Roman"/>
                <w:color w:val="000000"/>
                <w:sz w:val="16"/>
                <w:szCs w:val="16"/>
              </w:rPr>
              <w:t xml:space="preserve">  </w:t>
            </w:r>
            <w:proofErr w:type="spellStart"/>
            <w:r w:rsidR="00F92811" w:rsidRPr="00E16672">
              <w:rPr>
                <w:rFonts w:ascii="Times New Roman" w:hAnsi="Times New Roman"/>
                <w:color w:val="000000"/>
                <w:sz w:val="16"/>
                <w:szCs w:val="16"/>
              </w:rPr>
              <w:t>Depositor's</w:t>
            </w:r>
            <w:proofErr w:type="spellEnd"/>
            <w:r w:rsidR="00F92811" w:rsidRPr="00E16672">
              <w:rPr>
                <w:rFonts w:ascii="Times New Roman" w:hAnsi="Times New Roman"/>
                <w:color w:val="000000"/>
                <w:sz w:val="16"/>
                <w:szCs w:val="16"/>
              </w:rPr>
              <w:t xml:space="preserve"> </w:t>
            </w:r>
            <w:proofErr w:type="spellStart"/>
            <w:r w:rsidR="00F92811" w:rsidRPr="00E16672">
              <w:rPr>
                <w:rFonts w:ascii="Times New Roman" w:hAnsi="Times New Roman"/>
                <w:color w:val="000000"/>
                <w:sz w:val="16"/>
                <w:szCs w:val="16"/>
              </w:rPr>
              <w:t>securities</w:t>
            </w:r>
            <w:proofErr w:type="spellEnd"/>
            <w:r w:rsidR="00F92811" w:rsidRPr="00E16672">
              <w:rPr>
                <w:rFonts w:ascii="Times New Roman" w:hAnsi="Times New Roman"/>
                <w:color w:val="000000"/>
                <w:sz w:val="16"/>
                <w:szCs w:val="16"/>
              </w:rPr>
              <w:t xml:space="preserve"> </w:t>
            </w:r>
            <w:proofErr w:type="spellStart"/>
            <w:r w:rsidR="00F92811" w:rsidRPr="00E16672">
              <w:rPr>
                <w:rFonts w:ascii="Times New Roman" w:hAnsi="Times New Roman"/>
                <w:color w:val="000000"/>
                <w:sz w:val="16"/>
                <w:szCs w:val="16"/>
              </w:rPr>
              <w:t>account</w:t>
            </w:r>
            <w:proofErr w:type="spellEnd"/>
            <w:r w:rsidR="00F92811" w:rsidRPr="00E16672">
              <w:rPr>
                <w:rFonts w:ascii="Times New Roman" w:hAnsi="Times New Roman"/>
                <w:color w:val="000000"/>
                <w:sz w:val="16"/>
                <w:szCs w:val="16"/>
              </w:rPr>
              <w:t xml:space="preserve"> </w:t>
            </w:r>
            <w:proofErr w:type="spellStart"/>
            <w:r w:rsidR="00F92811" w:rsidRPr="00E16672">
              <w:rPr>
                <w:rStyle w:val="shorttext"/>
                <w:rFonts w:ascii="Times New Roman" w:hAnsi="Times New Roman"/>
                <w:sz w:val="16"/>
              </w:rPr>
              <w:t>and</w:t>
            </w:r>
            <w:proofErr w:type="spellEnd"/>
            <w:r w:rsidR="00F92811" w:rsidRPr="00E16672">
              <w:rPr>
                <w:rStyle w:val="shorttext"/>
                <w:rFonts w:ascii="Times New Roman" w:hAnsi="Times New Roman"/>
                <w:sz w:val="16"/>
              </w:rPr>
              <w:t xml:space="preserve"> </w:t>
            </w:r>
            <w:proofErr w:type="spellStart"/>
            <w:r w:rsidR="00F92811" w:rsidRPr="00E16672">
              <w:rPr>
                <w:rStyle w:val="shorttext"/>
                <w:rFonts w:ascii="Times New Roman" w:hAnsi="Times New Roman"/>
                <w:sz w:val="16"/>
              </w:rPr>
              <w:t>to</w:t>
            </w:r>
            <w:proofErr w:type="spellEnd"/>
            <w:r w:rsidR="00F92811" w:rsidRPr="00E16672">
              <w:rPr>
                <w:rStyle w:val="shorttext"/>
                <w:rFonts w:ascii="Times New Roman" w:hAnsi="Times New Roman"/>
                <w:sz w:val="16"/>
              </w:rPr>
              <w:t xml:space="preserve"> </w:t>
            </w:r>
            <w:proofErr w:type="spellStart"/>
            <w:r w:rsidR="00F92811" w:rsidRPr="00E16672">
              <w:rPr>
                <w:rStyle w:val="shorttext"/>
                <w:rFonts w:ascii="Times New Roman" w:hAnsi="Times New Roman"/>
                <w:sz w:val="16"/>
              </w:rPr>
              <w:t>terminate</w:t>
            </w:r>
            <w:proofErr w:type="spellEnd"/>
            <w:r w:rsidR="00F92811" w:rsidRPr="00E16672">
              <w:rPr>
                <w:rStyle w:val="shorttext"/>
                <w:rFonts w:ascii="Times New Roman" w:hAnsi="Times New Roman"/>
                <w:sz w:val="16"/>
              </w:rPr>
              <w:t xml:space="preserve"> </w:t>
            </w:r>
            <w:proofErr w:type="spellStart"/>
            <w:r w:rsidR="00F92811" w:rsidRPr="00E16672">
              <w:rPr>
                <w:rStyle w:val="shorttext"/>
                <w:rFonts w:ascii="Times New Roman" w:hAnsi="Times New Roman"/>
                <w:sz w:val="16"/>
              </w:rPr>
              <w:t>the</w:t>
            </w:r>
            <w:proofErr w:type="spellEnd"/>
            <w:r w:rsidR="00F92811" w:rsidRPr="00E16672">
              <w:rPr>
                <w:rStyle w:val="shorttext"/>
                <w:rFonts w:ascii="Times New Roman" w:hAnsi="Times New Roman"/>
                <w:sz w:val="16"/>
              </w:rPr>
              <w:t xml:space="preserve"> </w:t>
            </w:r>
            <w:proofErr w:type="spellStart"/>
            <w:r w:rsidR="00F92811" w:rsidRPr="00E16672">
              <w:rPr>
                <w:rStyle w:val="shorttext"/>
                <w:rFonts w:ascii="Times New Roman" w:hAnsi="Times New Roman"/>
                <w:sz w:val="16"/>
              </w:rPr>
              <w:t>Agreement</w:t>
            </w:r>
            <w:proofErr w:type="spellEnd"/>
            <w:r w:rsidR="00F92811" w:rsidRPr="00E16672">
              <w:rPr>
                <w:rStyle w:val="shorttext"/>
                <w:rFonts w:ascii="Times New Roman" w:hAnsi="Times New Roman"/>
                <w:sz w:val="16"/>
              </w:rPr>
              <w:t xml:space="preserve"> </w:t>
            </w:r>
            <w:proofErr w:type="spellStart"/>
            <w:r w:rsidR="00F92811" w:rsidRPr="00E16672">
              <w:rPr>
                <w:rStyle w:val="shorttext"/>
                <w:rFonts w:ascii="Times New Roman" w:hAnsi="Times New Roman"/>
                <w:sz w:val="16"/>
              </w:rPr>
              <w:t>unilaterally</w:t>
            </w:r>
            <w:proofErr w:type="spellEnd"/>
            <w:r w:rsidR="00F92811" w:rsidRPr="00E16672">
              <w:rPr>
                <w:rFonts w:ascii="Times New Roman" w:hAnsi="Times New Roman"/>
                <w:color w:val="000000"/>
                <w:sz w:val="10"/>
                <w:szCs w:val="16"/>
              </w:rPr>
              <w:t xml:space="preserve"> </w:t>
            </w:r>
            <w:proofErr w:type="spellStart"/>
            <w:r w:rsidR="00F92811" w:rsidRPr="00E16672">
              <w:rPr>
                <w:rFonts w:ascii="Times New Roman" w:hAnsi="Times New Roman"/>
                <w:color w:val="000000"/>
                <w:sz w:val="16"/>
                <w:szCs w:val="16"/>
              </w:rPr>
              <w:t>in</w:t>
            </w:r>
            <w:proofErr w:type="spellEnd"/>
            <w:r w:rsidR="00F92811" w:rsidRPr="00E16672">
              <w:rPr>
                <w:rFonts w:ascii="Times New Roman" w:hAnsi="Times New Roman"/>
                <w:color w:val="000000"/>
                <w:sz w:val="16"/>
                <w:szCs w:val="16"/>
              </w:rPr>
              <w:t xml:space="preserve"> </w:t>
            </w:r>
            <w:r w:rsidR="00F92811" w:rsidRPr="00E16672">
              <w:rPr>
                <w:rFonts w:ascii="Times New Roman" w:hAnsi="Times New Roman"/>
                <w:color w:val="000000"/>
                <w:sz w:val="16"/>
                <w:szCs w:val="16"/>
                <w:lang w:val="en-US"/>
              </w:rPr>
              <w:t>case</w:t>
            </w:r>
            <w:r w:rsidR="00F92811" w:rsidRPr="00E16672">
              <w:rPr>
                <w:rFonts w:ascii="Times New Roman" w:hAnsi="Times New Roman"/>
                <w:color w:val="000000"/>
                <w:sz w:val="16"/>
                <w:szCs w:val="16"/>
              </w:rPr>
              <w:t xml:space="preserve"> </w:t>
            </w:r>
            <w:proofErr w:type="spellStart"/>
            <w:r w:rsidR="00F92811" w:rsidRPr="00E16672">
              <w:rPr>
                <w:rFonts w:ascii="Times New Roman" w:hAnsi="Times New Roman"/>
                <w:color w:val="000000"/>
                <w:sz w:val="16"/>
                <w:szCs w:val="16"/>
              </w:rPr>
              <w:t>of</w:t>
            </w:r>
            <w:proofErr w:type="spellEnd"/>
            <w:r w:rsidR="00F92811" w:rsidRPr="00E16672">
              <w:rPr>
                <w:rFonts w:ascii="Times New Roman" w:hAnsi="Times New Roman"/>
                <w:color w:val="000000"/>
                <w:sz w:val="16"/>
                <w:szCs w:val="16"/>
              </w:rPr>
              <w:t xml:space="preserve"> </w:t>
            </w:r>
            <w:r w:rsidR="00F92811" w:rsidRPr="00E16672">
              <w:rPr>
                <w:rFonts w:ascii="Times New Roman" w:hAnsi="Times New Roman"/>
                <w:color w:val="000000"/>
                <w:sz w:val="16"/>
                <w:szCs w:val="16"/>
                <w:lang w:val="en-US"/>
              </w:rPr>
              <w:t>stopped</w:t>
            </w:r>
            <w:r w:rsidR="00F92811" w:rsidRPr="00E16672">
              <w:rPr>
                <w:rFonts w:ascii="Times New Roman" w:hAnsi="Times New Roman"/>
                <w:color w:val="000000"/>
                <w:sz w:val="16"/>
                <w:szCs w:val="16"/>
              </w:rPr>
              <w:t xml:space="preserve"> </w:t>
            </w:r>
            <w:proofErr w:type="spellStart"/>
            <w:r w:rsidR="00F92811" w:rsidRPr="00E16672">
              <w:rPr>
                <w:rFonts w:ascii="Times New Roman" w:hAnsi="Times New Roman"/>
                <w:color w:val="000000"/>
                <w:sz w:val="16"/>
                <w:szCs w:val="16"/>
              </w:rPr>
              <w:t>of</w:t>
            </w:r>
            <w:proofErr w:type="spellEnd"/>
            <w:r w:rsidR="00F92811" w:rsidRPr="00E16672">
              <w:rPr>
                <w:rFonts w:ascii="Times New Roman" w:hAnsi="Times New Roman"/>
                <w:color w:val="000000"/>
                <w:sz w:val="16"/>
                <w:szCs w:val="16"/>
              </w:rPr>
              <w:t xml:space="preserve"> </w:t>
            </w:r>
            <w:r w:rsidR="00F92811" w:rsidRPr="00E16672">
              <w:rPr>
                <w:rFonts w:ascii="Times New Roman" w:hAnsi="Times New Roman"/>
                <w:color w:val="000000"/>
                <w:sz w:val="16"/>
                <w:szCs w:val="16"/>
                <w:lang w:val="en-US"/>
              </w:rPr>
              <w:t>D</w:t>
            </w:r>
            <w:proofErr w:type="spellStart"/>
            <w:r w:rsidR="00F92811" w:rsidRPr="00E16672">
              <w:rPr>
                <w:rFonts w:ascii="Times New Roman" w:hAnsi="Times New Roman"/>
                <w:color w:val="000000"/>
                <w:sz w:val="16"/>
                <w:szCs w:val="16"/>
              </w:rPr>
              <w:t>epository</w:t>
            </w:r>
            <w:proofErr w:type="spellEnd"/>
            <w:r w:rsidR="00F92811" w:rsidRPr="00E16672">
              <w:rPr>
                <w:rFonts w:ascii="Times New Roman" w:hAnsi="Times New Roman"/>
                <w:color w:val="000000"/>
                <w:sz w:val="16"/>
                <w:szCs w:val="16"/>
              </w:rPr>
              <w:t xml:space="preserve"> </w:t>
            </w:r>
            <w:proofErr w:type="spellStart"/>
            <w:r w:rsidR="00F92811" w:rsidRPr="00E16672">
              <w:rPr>
                <w:rFonts w:ascii="Times New Roman" w:hAnsi="Times New Roman"/>
                <w:color w:val="000000"/>
                <w:sz w:val="16"/>
                <w:szCs w:val="16"/>
              </w:rPr>
              <w:t>institution</w:t>
            </w:r>
            <w:proofErr w:type="spellEnd"/>
            <w:r w:rsidR="00F92811" w:rsidRPr="00E16672">
              <w:rPr>
                <w:rFonts w:ascii="Times New Roman" w:hAnsi="Times New Roman"/>
                <w:color w:val="000000"/>
                <w:sz w:val="16"/>
                <w:szCs w:val="16"/>
              </w:rPr>
              <w:t xml:space="preserve"> </w:t>
            </w:r>
            <w:proofErr w:type="spellStart"/>
            <w:r w:rsidR="00F92811" w:rsidRPr="00E16672">
              <w:rPr>
                <w:rFonts w:ascii="Times New Roman" w:hAnsi="Times New Roman"/>
                <w:sz w:val="16"/>
                <w:szCs w:val="16"/>
              </w:rPr>
              <w:t>activity</w:t>
            </w:r>
            <w:proofErr w:type="spellEnd"/>
            <w:r w:rsidR="00F92811" w:rsidRPr="00E16672">
              <w:rPr>
                <w:rFonts w:ascii="Times New Roman" w:hAnsi="Times New Roman"/>
                <w:sz w:val="16"/>
                <w:szCs w:val="16"/>
              </w:rPr>
              <w:t xml:space="preserve"> </w:t>
            </w:r>
            <w:proofErr w:type="spellStart"/>
            <w:r w:rsidR="00F92811" w:rsidRPr="00E16672">
              <w:rPr>
                <w:rFonts w:ascii="Times New Roman" w:hAnsi="Times New Roman"/>
                <w:sz w:val="16"/>
                <w:szCs w:val="16"/>
              </w:rPr>
              <w:t>in</w:t>
            </w:r>
            <w:proofErr w:type="spellEnd"/>
            <w:r w:rsidR="00F92811" w:rsidRPr="00E16672">
              <w:rPr>
                <w:rFonts w:ascii="Times New Roman" w:hAnsi="Times New Roman"/>
                <w:sz w:val="16"/>
                <w:szCs w:val="16"/>
              </w:rPr>
              <w:t xml:space="preserve"> </w:t>
            </w:r>
            <w:proofErr w:type="spellStart"/>
            <w:r w:rsidR="00F92811" w:rsidRPr="00E16672">
              <w:rPr>
                <w:rFonts w:ascii="Times New Roman" w:hAnsi="Times New Roman"/>
                <w:sz w:val="16"/>
                <w:szCs w:val="16"/>
              </w:rPr>
              <w:t>accordance</w:t>
            </w:r>
            <w:proofErr w:type="spellEnd"/>
            <w:r w:rsidR="00F92811" w:rsidRPr="00E16672">
              <w:rPr>
                <w:rFonts w:ascii="Times New Roman" w:hAnsi="Times New Roman"/>
                <w:sz w:val="16"/>
                <w:szCs w:val="16"/>
              </w:rPr>
              <w:t xml:space="preserve"> </w:t>
            </w:r>
            <w:proofErr w:type="spellStart"/>
            <w:r w:rsidR="00F92811" w:rsidRPr="00E16672">
              <w:rPr>
                <w:rFonts w:ascii="Times New Roman" w:hAnsi="Times New Roman"/>
                <w:sz w:val="16"/>
                <w:szCs w:val="16"/>
              </w:rPr>
              <w:t>with</w:t>
            </w:r>
            <w:proofErr w:type="spellEnd"/>
            <w:r w:rsidR="00F92811" w:rsidRPr="00E16672">
              <w:rPr>
                <w:rFonts w:ascii="Times New Roman" w:hAnsi="Times New Roman"/>
                <w:sz w:val="16"/>
                <w:szCs w:val="16"/>
              </w:rPr>
              <w:t xml:space="preserve"> </w:t>
            </w:r>
            <w:proofErr w:type="spellStart"/>
            <w:r w:rsidR="00F92811" w:rsidRPr="00E16672">
              <w:rPr>
                <w:rFonts w:ascii="Times New Roman" w:hAnsi="Times New Roman"/>
                <w:sz w:val="16"/>
                <w:szCs w:val="16"/>
              </w:rPr>
              <w:t>the</w:t>
            </w:r>
            <w:proofErr w:type="spellEnd"/>
            <w:r w:rsidR="00F92811" w:rsidRPr="00E16672">
              <w:rPr>
                <w:rFonts w:ascii="Times New Roman" w:hAnsi="Times New Roman"/>
                <w:sz w:val="16"/>
                <w:szCs w:val="16"/>
              </w:rPr>
              <w:t xml:space="preserve"> </w:t>
            </w:r>
            <w:proofErr w:type="spellStart"/>
            <w:r w:rsidR="00F92811" w:rsidRPr="00E16672">
              <w:rPr>
                <w:rFonts w:ascii="Times New Roman" w:hAnsi="Times New Roman"/>
                <w:sz w:val="16"/>
                <w:szCs w:val="16"/>
              </w:rPr>
              <w:t>requirements</w:t>
            </w:r>
            <w:proofErr w:type="spellEnd"/>
            <w:r w:rsidR="00F92811" w:rsidRPr="00E16672">
              <w:rPr>
                <w:rFonts w:ascii="Times New Roman" w:hAnsi="Times New Roman"/>
                <w:sz w:val="16"/>
                <w:szCs w:val="16"/>
              </w:rPr>
              <w:t xml:space="preserve"> </w:t>
            </w:r>
            <w:proofErr w:type="spellStart"/>
            <w:r w:rsidR="00F92811" w:rsidRPr="00E16672">
              <w:rPr>
                <w:rFonts w:ascii="Times New Roman" w:hAnsi="Times New Roman"/>
                <w:sz w:val="16"/>
                <w:szCs w:val="16"/>
              </w:rPr>
              <w:t>of</w:t>
            </w:r>
            <w:proofErr w:type="spellEnd"/>
            <w:r w:rsidR="00F92811" w:rsidRPr="00E16672">
              <w:rPr>
                <w:rFonts w:ascii="Times New Roman" w:hAnsi="Times New Roman"/>
                <w:sz w:val="16"/>
                <w:szCs w:val="16"/>
              </w:rPr>
              <w:t xml:space="preserve"> </w:t>
            </w:r>
            <w:proofErr w:type="spellStart"/>
            <w:r w:rsidR="00F92811" w:rsidRPr="00E16672">
              <w:rPr>
                <w:rFonts w:ascii="Times New Roman" w:hAnsi="Times New Roman"/>
                <w:sz w:val="16"/>
                <w:szCs w:val="16"/>
              </w:rPr>
              <w:t>the</w:t>
            </w:r>
            <w:proofErr w:type="spellEnd"/>
            <w:r w:rsidR="00F92811" w:rsidRPr="00E16672">
              <w:rPr>
                <w:rFonts w:ascii="Times New Roman" w:hAnsi="Times New Roman"/>
                <w:sz w:val="16"/>
                <w:szCs w:val="16"/>
              </w:rPr>
              <w:t xml:space="preserve"> </w:t>
            </w:r>
            <w:proofErr w:type="spellStart"/>
            <w:r w:rsidR="00F92811" w:rsidRPr="00E16672">
              <w:rPr>
                <w:rFonts w:ascii="Times New Roman" w:hAnsi="Times New Roman"/>
                <w:sz w:val="16"/>
                <w:szCs w:val="16"/>
              </w:rPr>
              <w:lastRenderedPageBreak/>
              <w:t>regulatory</w:t>
            </w:r>
            <w:proofErr w:type="spellEnd"/>
            <w:r w:rsidR="00F92811" w:rsidRPr="00E16672">
              <w:rPr>
                <w:rFonts w:ascii="Times New Roman" w:hAnsi="Times New Roman"/>
                <w:sz w:val="16"/>
                <w:szCs w:val="16"/>
              </w:rPr>
              <w:t xml:space="preserve"> </w:t>
            </w:r>
            <w:proofErr w:type="spellStart"/>
            <w:r w:rsidR="00F92811" w:rsidRPr="00E16672">
              <w:rPr>
                <w:rFonts w:ascii="Times New Roman" w:hAnsi="Times New Roman"/>
                <w:sz w:val="16"/>
                <w:szCs w:val="16"/>
              </w:rPr>
              <w:t>act</w:t>
            </w:r>
            <w:proofErr w:type="spellEnd"/>
            <w:r w:rsidR="00F92811" w:rsidRPr="00E16672">
              <w:rPr>
                <w:rFonts w:ascii="Times New Roman" w:hAnsi="Times New Roman"/>
                <w:sz w:val="16"/>
                <w:szCs w:val="16"/>
              </w:rPr>
              <w:t xml:space="preserve"> </w:t>
            </w:r>
            <w:proofErr w:type="spellStart"/>
            <w:r w:rsidR="00F92811" w:rsidRPr="00E16672">
              <w:rPr>
                <w:rFonts w:ascii="Times New Roman" w:hAnsi="Times New Roman"/>
                <w:sz w:val="16"/>
                <w:szCs w:val="16"/>
              </w:rPr>
              <w:t>on</w:t>
            </w:r>
            <w:proofErr w:type="spellEnd"/>
            <w:r w:rsidR="00F92811" w:rsidRPr="00E16672">
              <w:rPr>
                <w:rFonts w:ascii="Times New Roman" w:hAnsi="Times New Roman"/>
                <w:sz w:val="16"/>
                <w:szCs w:val="16"/>
              </w:rPr>
              <w:t xml:space="preserve"> </w:t>
            </w:r>
            <w:proofErr w:type="spellStart"/>
            <w:r w:rsidR="00F92811" w:rsidRPr="00E16672">
              <w:rPr>
                <w:rFonts w:ascii="Times New Roman" w:hAnsi="Times New Roman"/>
                <w:sz w:val="16"/>
                <w:szCs w:val="16"/>
              </w:rPr>
              <w:t>the</w:t>
            </w:r>
            <w:proofErr w:type="spellEnd"/>
            <w:r w:rsidR="00F92811" w:rsidRPr="00E16672">
              <w:rPr>
                <w:rFonts w:ascii="Times New Roman" w:hAnsi="Times New Roman"/>
                <w:sz w:val="16"/>
                <w:szCs w:val="16"/>
              </w:rPr>
              <w:t xml:space="preserve"> </w:t>
            </w:r>
            <w:proofErr w:type="spellStart"/>
            <w:r w:rsidR="00F92811" w:rsidRPr="00E16672">
              <w:rPr>
                <w:rFonts w:ascii="Times New Roman" w:hAnsi="Times New Roman"/>
                <w:sz w:val="16"/>
                <w:szCs w:val="16"/>
              </w:rPr>
              <w:t>cessation</w:t>
            </w:r>
            <w:proofErr w:type="spellEnd"/>
            <w:r w:rsidR="00F92811" w:rsidRPr="00E16672">
              <w:rPr>
                <w:rFonts w:ascii="Times New Roman" w:hAnsi="Times New Roman"/>
                <w:sz w:val="16"/>
                <w:szCs w:val="16"/>
              </w:rPr>
              <w:t xml:space="preserve"> </w:t>
            </w:r>
            <w:proofErr w:type="spellStart"/>
            <w:r w:rsidR="00F92811" w:rsidRPr="00E16672">
              <w:rPr>
                <w:rFonts w:ascii="Times New Roman" w:hAnsi="Times New Roman"/>
                <w:sz w:val="16"/>
                <w:szCs w:val="16"/>
              </w:rPr>
              <w:t>of</w:t>
            </w:r>
            <w:proofErr w:type="spellEnd"/>
            <w:r w:rsidR="00F92811" w:rsidRPr="00E16672">
              <w:rPr>
                <w:rFonts w:ascii="Times New Roman" w:hAnsi="Times New Roman"/>
                <w:sz w:val="16"/>
                <w:szCs w:val="16"/>
              </w:rPr>
              <w:t xml:space="preserve"> </w:t>
            </w:r>
            <w:proofErr w:type="spellStart"/>
            <w:r w:rsidR="00F92811" w:rsidRPr="00E16672">
              <w:rPr>
                <w:rFonts w:ascii="Times New Roman" w:hAnsi="Times New Roman"/>
                <w:sz w:val="16"/>
                <w:szCs w:val="16"/>
              </w:rPr>
              <w:t>the</w:t>
            </w:r>
            <w:proofErr w:type="spellEnd"/>
            <w:r w:rsidR="00F92811" w:rsidRPr="00E16672">
              <w:rPr>
                <w:rFonts w:ascii="Times New Roman" w:hAnsi="Times New Roman"/>
                <w:sz w:val="16"/>
                <w:szCs w:val="16"/>
              </w:rPr>
              <w:t xml:space="preserve"> </w:t>
            </w:r>
            <w:proofErr w:type="spellStart"/>
            <w:r w:rsidR="00F92811" w:rsidRPr="00E16672">
              <w:rPr>
                <w:rFonts w:ascii="Times New Roman" w:hAnsi="Times New Roman"/>
                <w:sz w:val="16"/>
                <w:szCs w:val="16"/>
              </w:rPr>
              <w:t>depositary</w:t>
            </w:r>
            <w:proofErr w:type="spellEnd"/>
            <w:r w:rsidR="00F92811" w:rsidRPr="00E16672">
              <w:rPr>
                <w:rFonts w:ascii="Times New Roman" w:hAnsi="Times New Roman"/>
                <w:sz w:val="16"/>
                <w:szCs w:val="16"/>
              </w:rPr>
              <w:t xml:space="preserve"> </w:t>
            </w:r>
            <w:proofErr w:type="spellStart"/>
            <w:r w:rsidR="00F92811" w:rsidRPr="00E16672">
              <w:rPr>
                <w:rFonts w:ascii="Times New Roman" w:hAnsi="Times New Roman"/>
                <w:sz w:val="16"/>
                <w:szCs w:val="16"/>
              </w:rPr>
              <w:t>activity</w:t>
            </w:r>
            <w:proofErr w:type="spellEnd"/>
            <w:r w:rsidR="00F92811" w:rsidRPr="00E16672">
              <w:rPr>
                <w:rFonts w:ascii="Times New Roman" w:hAnsi="Times New Roman"/>
                <w:sz w:val="16"/>
                <w:szCs w:val="16"/>
              </w:rPr>
              <w:t xml:space="preserve"> </w:t>
            </w:r>
            <w:proofErr w:type="spellStart"/>
            <w:r w:rsidR="00F92811" w:rsidRPr="00E16672">
              <w:rPr>
                <w:rFonts w:ascii="Times New Roman" w:hAnsi="Times New Roman"/>
                <w:sz w:val="16"/>
                <w:szCs w:val="16"/>
              </w:rPr>
              <w:t>of</w:t>
            </w:r>
            <w:proofErr w:type="spellEnd"/>
            <w:r w:rsidR="00F92811" w:rsidRPr="00E16672">
              <w:rPr>
                <w:rFonts w:ascii="Times New Roman" w:hAnsi="Times New Roman"/>
                <w:sz w:val="16"/>
                <w:szCs w:val="16"/>
              </w:rPr>
              <w:t xml:space="preserve"> </w:t>
            </w:r>
            <w:proofErr w:type="spellStart"/>
            <w:r w:rsidR="00F92811" w:rsidRPr="00E16672">
              <w:rPr>
                <w:rFonts w:ascii="Times New Roman" w:hAnsi="Times New Roman"/>
                <w:sz w:val="16"/>
                <w:szCs w:val="16"/>
              </w:rPr>
              <w:t>the</w:t>
            </w:r>
            <w:proofErr w:type="spellEnd"/>
            <w:r w:rsidR="00F92811" w:rsidRPr="00E16672">
              <w:rPr>
                <w:rFonts w:ascii="Times New Roman" w:hAnsi="Times New Roman"/>
                <w:sz w:val="16"/>
                <w:szCs w:val="16"/>
              </w:rPr>
              <w:t xml:space="preserve"> </w:t>
            </w:r>
            <w:proofErr w:type="spellStart"/>
            <w:r w:rsidR="00F92811" w:rsidRPr="00E16672">
              <w:rPr>
                <w:rFonts w:ascii="Times New Roman" w:hAnsi="Times New Roman"/>
                <w:sz w:val="16"/>
                <w:szCs w:val="16"/>
              </w:rPr>
              <w:t>depositary</w:t>
            </w:r>
            <w:proofErr w:type="spellEnd"/>
            <w:r w:rsidR="00F92811" w:rsidRPr="00E16672">
              <w:rPr>
                <w:rFonts w:ascii="Times New Roman" w:hAnsi="Times New Roman"/>
                <w:sz w:val="16"/>
                <w:szCs w:val="16"/>
              </w:rPr>
              <w:t xml:space="preserve"> </w:t>
            </w:r>
            <w:proofErr w:type="spellStart"/>
            <w:r w:rsidR="00F92811" w:rsidRPr="00E16672">
              <w:rPr>
                <w:rFonts w:ascii="Times New Roman" w:hAnsi="Times New Roman"/>
                <w:sz w:val="16"/>
                <w:szCs w:val="16"/>
              </w:rPr>
              <w:t>institution</w:t>
            </w:r>
            <w:proofErr w:type="spellEnd"/>
            <w:r w:rsidR="00F92811" w:rsidRPr="00E16672">
              <w:rPr>
                <w:rFonts w:ascii="Times New Roman" w:hAnsi="Times New Roman"/>
                <w:sz w:val="16"/>
                <w:szCs w:val="16"/>
              </w:rPr>
              <w:t xml:space="preserve">, </w:t>
            </w:r>
            <w:proofErr w:type="spellStart"/>
            <w:r w:rsidR="00F92811" w:rsidRPr="00E16672">
              <w:rPr>
                <w:rFonts w:ascii="Times New Roman" w:hAnsi="Times New Roman"/>
                <w:sz w:val="16"/>
                <w:szCs w:val="16"/>
              </w:rPr>
              <w:t>in</w:t>
            </w:r>
            <w:proofErr w:type="spellEnd"/>
            <w:r w:rsidR="00F92811" w:rsidRPr="00E16672">
              <w:rPr>
                <w:rFonts w:ascii="Times New Roman" w:hAnsi="Times New Roman"/>
                <w:sz w:val="16"/>
                <w:szCs w:val="16"/>
              </w:rPr>
              <w:t xml:space="preserve"> </w:t>
            </w:r>
            <w:proofErr w:type="spellStart"/>
            <w:r w:rsidR="00F92811" w:rsidRPr="00E16672">
              <w:rPr>
                <w:rFonts w:ascii="Times New Roman" w:hAnsi="Times New Roman"/>
                <w:sz w:val="16"/>
                <w:szCs w:val="16"/>
              </w:rPr>
              <w:t>case</w:t>
            </w:r>
            <w:proofErr w:type="spellEnd"/>
            <w:r w:rsidR="00F92811" w:rsidRPr="00E16672">
              <w:rPr>
                <w:rFonts w:ascii="Times New Roman" w:hAnsi="Times New Roman"/>
                <w:sz w:val="16"/>
                <w:szCs w:val="16"/>
              </w:rPr>
              <w:t xml:space="preserve"> </w:t>
            </w:r>
            <w:proofErr w:type="spellStart"/>
            <w:r w:rsidR="00F92811" w:rsidRPr="00E16672">
              <w:rPr>
                <w:rFonts w:ascii="Times New Roman" w:hAnsi="Times New Roman"/>
                <w:sz w:val="16"/>
                <w:szCs w:val="16"/>
              </w:rPr>
              <w:t>of</w:t>
            </w:r>
            <w:proofErr w:type="spellEnd"/>
            <w:r w:rsidR="00F92811" w:rsidRPr="00E16672">
              <w:rPr>
                <w:rFonts w:ascii="Times New Roman" w:hAnsi="Times New Roman"/>
                <w:sz w:val="16"/>
                <w:szCs w:val="16"/>
              </w:rPr>
              <w:t xml:space="preserve"> </w:t>
            </w:r>
            <w:proofErr w:type="spellStart"/>
            <w:r w:rsidR="00F92811" w:rsidRPr="00E16672">
              <w:rPr>
                <w:rFonts w:ascii="Times New Roman" w:hAnsi="Times New Roman"/>
                <w:sz w:val="16"/>
                <w:szCs w:val="16"/>
              </w:rPr>
              <w:t>an</w:t>
            </w:r>
            <w:proofErr w:type="spellEnd"/>
            <w:r w:rsidR="00F92811" w:rsidRPr="00E16672">
              <w:rPr>
                <w:rFonts w:ascii="Times New Roman" w:hAnsi="Times New Roman"/>
                <w:sz w:val="16"/>
                <w:szCs w:val="16"/>
              </w:rPr>
              <w:t xml:space="preserve"> </w:t>
            </w:r>
            <w:proofErr w:type="spellStart"/>
            <w:r w:rsidR="00F92811" w:rsidRPr="00E16672">
              <w:rPr>
                <w:rFonts w:ascii="Times New Roman" w:hAnsi="Times New Roman"/>
                <w:sz w:val="16"/>
                <w:szCs w:val="16"/>
              </w:rPr>
              <w:t>unconditional</w:t>
            </w:r>
            <w:proofErr w:type="spellEnd"/>
            <w:r w:rsidR="00F92811" w:rsidRPr="00E16672">
              <w:rPr>
                <w:rFonts w:ascii="Times New Roman" w:hAnsi="Times New Roman"/>
                <w:sz w:val="16"/>
                <w:szCs w:val="16"/>
              </w:rPr>
              <w:t xml:space="preserve"> </w:t>
            </w:r>
            <w:proofErr w:type="spellStart"/>
            <w:r w:rsidR="00F92811" w:rsidRPr="00E16672">
              <w:rPr>
                <w:rFonts w:ascii="Times New Roman" w:hAnsi="Times New Roman"/>
                <w:sz w:val="16"/>
                <w:szCs w:val="16"/>
              </w:rPr>
              <w:t>transaction</w:t>
            </w:r>
            <w:proofErr w:type="spellEnd"/>
            <w:r w:rsidR="00F92811" w:rsidRPr="00E16672">
              <w:rPr>
                <w:rFonts w:ascii="Times New Roman" w:hAnsi="Times New Roman"/>
                <w:sz w:val="16"/>
                <w:szCs w:val="16"/>
              </w:rPr>
              <w:t xml:space="preserve"> </w:t>
            </w:r>
            <w:proofErr w:type="spellStart"/>
            <w:r w:rsidR="00F92811" w:rsidRPr="00E16672">
              <w:rPr>
                <w:rFonts w:ascii="Times New Roman" w:hAnsi="Times New Roman"/>
                <w:sz w:val="16"/>
                <w:szCs w:val="16"/>
              </w:rPr>
              <w:t>of</w:t>
            </w:r>
            <w:proofErr w:type="spellEnd"/>
            <w:r w:rsidR="00F92811" w:rsidRPr="00E16672">
              <w:rPr>
                <w:rFonts w:ascii="Times New Roman" w:hAnsi="Times New Roman"/>
                <w:sz w:val="16"/>
                <w:szCs w:val="16"/>
              </w:rPr>
              <w:t xml:space="preserve"> </w:t>
            </w:r>
            <w:proofErr w:type="spellStart"/>
            <w:r w:rsidR="00F92811" w:rsidRPr="00E16672">
              <w:rPr>
                <w:rFonts w:ascii="Times New Roman" w:hAnsi="Times New Roman"/>
                <w:sz w:val="16"/>
                <w:szCs w:val="16"/>
              </w:rPr>
              <w:t>writing</w:t>
            </w:r>
            <w:proofErr w:type="spellEnd"/>
            <w:r w:rsidR="00F92811" w:rsidRPr="00E16672">
              <w:rPr>
                <w:rFonts w:ascii="Times New Roman" w:hAnsi="Times New Roman"/>
                <w:sz w:val="16"/>
                <w:szCs w:val="16"/>
              </w:rPr>
              <w:t xml:space="preserve"> </w:t>
            </w:r>
            <w:proofErr w:type="spellStart"/>
            <w:r w:rsidR="00F92811" w:rsidRPr="00E16672">
              <w:rPr>
                <w:rFonts w:ascii="Times New Roman" w:hAnsi="Times New Roman"/>
                <w:sz w:val="16"/>
                <w:szCs w:val="16"/>
              </w:rPr>
              <w:t>off</w:t>
            </w:r>
            <w:proofErr w:type="spellEnd"/>
            <w:r w:rsidR="00F92811" w:rsidRPr="00E16672">
              <w:rPr>
                <w:rFonts w:ascii="Times New Roman" w:hAnsi="Times New Roman"/>
                <w:sz w:val="16"/>
                <w:szCs w:val="16"/>
              </w:rPr>
              <w:t xml:space="preserve"> </w:t>
            </w:r>
            <w:proofErr w:type="spellStart"/>
            <w:r w:rsidR="00F92811" w:rsidRPr="00E16672">
              <w:rPr>
                <w:rFonts w:ascii="Times New Roman" w:hAnsi="Times New Roman"/>
                <w:sz w:val="16"/>
                <w:szCs w:val="16"/>
              </w:rPr>
              <w:t>securities</w:t>
            </w:r>
            <w:proofErr w:type="spellEnd"/>
            <w:r w:rsidR="00F92811" w:rsidRPr="00E16672">
              <w:rPr>
                <w:rFonts w:ascii="Times New Roman" w:hAnsi="Times New Roman"/>
                <w:sz w:val="16"/>
                <w:szCs w:val="16"/>
              </w:rPr>
              <w:t xml:space="preserve"> </w:t>
            </w:r>
            <w:proofErr w:type="spellStart"/>
            <w:r w:rsidR="00F92811" w:rsidRPr="00E16672">
              <w:rPr>
                <w:rFonts w:ascii="Times New Roman" w:hAnsi="Times New Roman"/>
                <w:sz w:val="16"/>
                <w:szCs w:val="16"/>
              </w:rPr>
              <w:t>in</w:t>
            </w:r>
            <w:proofErr w:type="spellEnd"/>
            <w:r w:rsidR="00F92811" w:rsidRPr="00E16672">
              <w:rPr>
                <w:rFonts w:ascii="Times New Roman" w:hAnsi="Times New Roman"/>
                <w:sz w:val="16"/>
                <w:szCs w:val="16"/>
              </w:rPr>
              <w:t xml:space="preserve"> </w:t>
            </w:r>
            <w:proofErr w:type="spellStart"/>
            <w:r w:rsidR="00F92811" w:rsidRPr="00E16672">
              <w:rPr>
                <w:rFonts w:ascii="Times New Roman" w:hAnsi="Times New Roman"/>
                <w:sz w:val="16"/>
                <w:szCs w:val="16"/>
              </w:rPr>
              <w:t>succession</w:t>
            </w:r>
            <w:proofErr w:type="spellEnd"/>
            <w:r w:rsidR="00F92811" w:rsidRPr="00E16672">
              <w:rPr>
                <w:rFonts w:ascii="Times New Roman" w:hAnsi="Times New Roman"/>
                <w:sz w:val="16"/>
                <w:szCs w:val="16"/>
              </w:rPr>
              <w:t xml:space="preserve"> (</w:t>
            </w:r>
            <w:proofErr w:type="spellStart"/>
            <w:r w:rsidR="00F92811" w:rsidRPr="00E16672">
              <w:rPr>
                <w:rFonts w:ascii="Times New Roman" w:hAnsi="Times New Roman"/>
                <w:sz w:val="16"/>
                <w:szCs w:val="16"/>
              </w:rPr>
              <w:t>including</w:t>
            </w:r>
            <w:proofErr w:type="spellEnd"/>
            <w:r w:rsidR="00F92811" w:rsidRPr="00E16672">
              <w:rPr>
                <w:rFonts w:ascii="Times New Roman" w:hAnsi="Times New Roman"/>
                <w:sz w:val="16"/>
                <w:szCs w:val="16"/>
              </w:rPr>
              <w:t xml:space="preserve"> </w:t>
            </w:r>
            <w:proofErr w:type="spellStart"/>
            <w:r w:rsidR="00F92811" w:rsidRPr="00E16672">
              <w:rPr>
                <w:rFonts w:ascii="Times New Roman" w:hAnsi="Times New Roman"/>
                <w:sz w:val="16"/>
                <w:szCs w:val="16"/>
              </w:rPr>
              <w:t>on</w:t>
            </w:r>
            <w:proofErr w:type="spellEnd"/>
            <w:r w:rsidR="00F92811" w:rsidRPr="00E16672">
              <w:rPr>
                <w:rFonts w:ascii="Times New Roman" w:hAnsi="Times New Roman"/>
                <w:sz w:val="16"/>
                <w:szCs w:val="16"/>
              </w:rPr>
              <w:t xml:space="preserve"> </w:t>
            </w:r>
            <w:proofErr w:type="spellStart"/>
            <w:r w:rsidR="00F92811" w:rsidRPr="00E16672">
              <w:rPr>
                <w:rFonts w:ascii="Times New Roman" w:hAnsi="Times New Roman"/>
                <w:sz w:val="16"/>
                <w:szCs w:val="16"/>
              </w:rPr>
              <w:t>the</w:t>
            </w:r>
            <w:proofErr w:type="spellEnd"/>
            <w:r w:rsidR="00F92811" w:rsidRPr="00E16672">
              <w:rPr>
                <w:rFonts w:ascii="Times New Roman" w:hAnsi="Times New Roman"/>
                <w:sz w:val="16"/>
                <w:szCs w:val="16"/>
              </w:rPr>
              <w:t xml:space="preserve"> </w:t>
            </w:r>
            <w:proofErr w:type="spellStart"/>
            <w:r w:rsidR="00F92811" w:rsidRPr="00E16672">
              <w:rPr>
                <w:rFonts w:ascii="Times New Roman" w:hAnsi="Times New Roman"/>
                <w:sz w:val="16"/>
                <w:szCs w:val="16"/>
              </w:rPr>
              <w:t>basis</w:t>
            </w:r>
            <w:proofErr w:type="spellEnd"/>
            <w:r w:rsidR="00F92811" w:rsidRPr="00E16672">
              <w:rPr>
                <w:rFonts w:ascii="Times New Roman" w:hAnsi="Times New Roman"/>
                <w:sz w:val="16"/>
                <w:szCs w:val="16"/>
              </w:rPr>
              <w:t xml:space="preserve"> </w:t>
            </w:r>
            <w:proofErr w:type="spellStart"/>
            <w:r w:rsidR="00F92811" w:rsidRPr="00E16672">
              <w:rPr>
                <w:rFonts w:ascii="Times New Roman" w:hAnsi="Times New Roman"/>
                <w:sz w:val="16"/>
                <w:szCs w:val="16"/>
              </w:rPr>
              <w:t>of</w:t>
            </w:r>
            <w:proofErr w:type="spellEnd"/>
            <w:r w:rsidR="00F92811" w:rsidRPr="00E16672">
              <w:rPr>
                <w:rFonts w:ascii="Times New Roman" w:hAnsi="Times New Roman"/>
                <w:sz w:val="16"/>
                <w:szCs w:val="16"/>
              </w:rPr>
              <w:t xml:space="preserve"> a </w:t>
            </w:r>
            <w:proofErr w:type="spellStart"/>
            <w:r w:rsidR="00F92811" w:rsidRPr="00E16672">
              <w:rPr>
                <w:rFonts w:ascii="Times New Roman" w:hAnsi="Times New Roman"/>
                <w:sz w:val="16"/>
                <w:szCs w:val="16"/>
              </w:rPr>
              <w:t>court</w:t>
            </w:r>
            <w:proofErr w:type="spellEnd"/>
            <w:r w:rsidR="00F92811" w:rsidRPr="00E16672">
              <w:rPr>
                <w:rFonts w:ascii="Times New Roman" w:hAnsi="Times New Roman"/>
                <w:sz w:val="16"/>
                <w:szCs w:val="16"/>
              </w:rPr>
              <w:t xml:space="preserve"> </w:t>
            </w:r>
            <w:proofErr w:type="spellStart"/>
            <w:r w:rsidR="00F92811" w:rsidRPr="00E16672">
              <w:rPr>
                <w:rFonts w:ascii="Times New Roman" w:hAnsi="Times New Roman"/>
                <w:sz w:val="16"/>
                <w:szCs w:val="16"/>
              </w:rPr>
              <w:t>decision</w:t>
            </w:r>
            <w:proofErr w:type="spellEnd"/>
            <w:r w:rsidR="00F92811" w:rsidRPr="00E16672">
              <w:rPr>
                <w:rFonts w:ascii="Times New Roman" w:hAnsi="Times New Roman"/>
                <w:sz w:val="16"/>
                <w:szCs w:val="16"/>
              </w:rPr>
              <w:t xml:space="preserve"> </w:t>
            </w:r>
            <w:proofErr w:type="spellStart"/>
            <w:r w:rsidR="00F92811" w:rsidRPr="00E16672">
              <w:rPr>
                <w:rFonts w:ascii="Times New Roman" w:hAnsi="Times New Roman"/>
                <w:sz w:val="16"/>
                <w:szCs w:val="16"/>
              </w:rPr>
              <w:t>or</w:t>
            </w:r>
            <w:proofErr w:type="spellEnd"/>
            <w:r w:rsidR="00F92811" w:rsidRPr="00E16672">
              <w:rPr>
                <w:rFonts w:ascii="Times New Roman" w:hAnsi="Times New Roman"/>
                <w:sz w:val="16"/>
                <w:szCs w:val="16"/>
              </w:rPr>
              <w:t xml:space="preserve"> </w:t>
            </w:r>
            <w:proofErr w:type="spellStart"/>
            <w:r w:rsidR="00F92811" w:rsidRPr="00E16672">
              <w:rPr>
                <w:rFonts w:ascii="Times New Roman" w:hAnsi="Times New Roman"/>
                <w:sz w:val="16"/>
                <w:szCs w:val="16"/>
              </w:rPr>
              <w:t>documents</w:t>
            </w:r>
            <w:proofErr w:type="spellEnd"/>
            <w:r w:rsidR="00F92811" w:rsidRPr="00E16672">
              <w:rPr>
                <w:rFonts w:ascii="Times New Roman" w:hAnsi="Times New Roman"/>
                <w:sz w:val="16"/>
                <w:szCs w:val="16"/>
              </w:rPr>
              <w:t xml:space="preserve"> </w:t>
            </w:r>
            <w:proofErr w:type="spellStart"/>
            <w:r w:rsidR="00F92811" w:rsidRPr="00E16672">
              <w:rPr>
                <w:rFonts w:ascii="Times New Roman" w:hAnsi="Times New Roman"/>
                <w:sz w:val="16"/>
                <w:szCs w:val="16"/>
              </w:rPr>
              <w:t>of</w:t>
            </w:r>
            <w:proofErr w:type="spellEnd"/>
            <w:r w:rsidR="00F92811" w:rsidRPr="00E16672">
              <w:rPr>
                <w:rFonts w:ascii="Times New Roman" w:hAnsi="Times New Roman"/>
                <w:sz w:val="16"/>
                <w:szCs w:val="16"/>
              </w:rPr>
              <w:t xml:space="preserve"> </w:t>
            </w:r>
            <w:proofErr w:type="spellStart"/>
            <w:r w:rsidR="00F92811" w:rsidRPr="00E16672">
              <w:rPr>
                <w:rFonts w:ascii="Times New Roman" w:hAnsi="Times New Roman"/>
                <w:sz w:val="16"/>
                <w:szCs w:val="16"/>
              </w:rPr>
              <w:t>enforcement</w:t>
            </w:r>
            <w:proofErr w:type="spellEnd"/>
            <w:r w:rsidR="00F92811" w:rsidRPr="00E16672">
              <w:rPr>
                <w:rFonts w:ascii="Times New Roman" w:hAnsi="Times New Roman"/>
                <w:sz w:val="16"/>
                <w:szCs w:val="16"/>
              </w:rPr>
              <w:t xml:space="preserve"> </w:t>
            </w:r>
            <w:proofErr w:type="spellStart"/>
            <w:r w:rsidR="00F92811" w:rsidRPr="00E16672">
              <w:rPr>
                <w:rFonts w:ascii="Times New Roman" w:hAnsi="Times New Roman"/>
                <w:sz w:val="16"/>
                <w:szCs w:val="16"/>
              </w:rPr>
              <w:t>proceedings</w:t>
            </w:r>
            <w:proofErr w:type="spellEnd"/>
            <w:r w:rsidR="00F92811" w:rsidRPr="00E16672">
              <w:rPr>
                <w:rFonts w:ascii="Times New Roman" w:hAnsi="Times New Roman"/>
                <w:sz w:val="16"/>
                <w:szCs w:val="16"/>
              </w:rPr>
              <w:t xml:space="preserve">), </w:t>
            </w:r>
            <w:proofErr w:type="spellStart"/>
            <w:r w:rsidR="00F92811" w:rsidRPr="00E16672">
              <w:rPr>
                <w:rFonts w:ascii="Times New Roman" w:hAnsi="Times New Roman"/>
                <w:sz w:val="16"/>
                <w:szCs w:val="16"/>
              </w:rPr>
              <w:t>the</w:t>
            </w:r>
            <w:proofErr w:type="spellEnd"/>
            <w:r w:rsidR="00F92811" w:rsidRPr="00E16672">
              <w:rPr>
                <w:rFonts w:ascii="Times New Roman" w:hAnsi="Times New Roman"/>
                <w:sz w:val="16"/>
                <w:szCs w:val="16"/>
              </w:rPr>
              <w:t xml:space="preserve"> </w:t>
            </w:r>
            <w:proofErr w:type="spellStart"/>
            <w:r w:rsidR="00F92811" w:rsidRPr="00E16672">
              <w:rPr>
                <w:rFonts w:ascii="Times New Roman" w:hAnsi="Times New Roman"/>
                <w:sz w:val="16"/>
                <w:szCs w:val="16"/>
              </w:rPr>
              <w:t>liquidation</w:t>
            </w:r>
            <w:proofErr w:type="spellEnd"/>
            <w:r w:rsidR="00F92811" w:rsidRPr="00E16672">
              <w:rPr>
                <w:rFonts w:ascii="Times New Roman" w:hAnsi="Times New Roman"/>
                <w:sz w:val="16"/>
                <w:szCs w:val="16"/>
              </w:rPr>
              <w:t xml:space="preserve"> </w:t>
            </w:r>
            <w:proofErr w:type="spellStart"/>
            <w:r w:rsidR="00F92811" w:rsidRPr="00E16672">
              <w:rPr>
                <w:rFonts w:ascii="Times New Roman" w:hAnsi="Times New Roman"/>
                <w:sz w:val="16"/>
                <w:szCs w:val="16"/>
              </w:rPr>
              <w:t>of</w:t>
            </w:r>
            <w:proofErr w:type="spellEnd"/>
            <w:r w:rsidR="00F92811" w:rsidRPr="00E16672">
              <w:rPr>
                <w:rFonts w:ascii="Times New Roman" w:hAnsi="Times New Roman"/>
                <w:sz w:val="16"/>
                <w:szCs w:val="16"/>
              </w:rPr>
              <w:t xml:space="preserve"> a </w:t>
            </w:r>
            <w:proofErr w:type="spellStart"/>
            <w:r w:rsidR="00F92811" w:rsidRPr="00E16672">
              <w:rPr>
                <w:rFonts w:ascii="Times New Roman" w:hAnsi="Times New Roman"/>
                <w:sz w:val="16"/>
                <w:szCs w:val="16"/>
              </w:rPr>
              <w:t>legal</w:t>
            </w:r>
            <w:proofErr w:type="spellEnd"/>
            <w:r w:rsidR="00F92811" w:rsidRPr="00E16672">
              <w:rPr>
                <w:rFonts w:ascii="Times New Roman" w:hAnsi="Times New Roman"/>
                <w:sz w:val="16"/>
                <w:szCs w:val="16"/>
              </w:rPr>
              <w:t xml:space="preserve"> </w:t>
            </w:r>
            <w:proofErr w:type="spellStart"/>
            <w:r w:rsidR="00F92811" w:rsidRPr="00E16672">
              <w:rPr>
                <w:rFonts w:ascii="Times New Roman" w:hAnsi="Times New Roman"/>
                <w:sz w:val="16"/>
                <w:szCs w:val="16"/>
              </w:rPr>
              <w:t>entity</w:t>
            </w:r>
            <w:proofErr w:type="spellEnd"/>
            <w:r w:rsidR="00F92811" w:rsidRPr="00E16672">
              <w:rPr>
                <w:rFonts w:ascii="Times New Roman" w:hAnsi="Times New Roman"/>
                <w:sz w:val="16"/>
                <w:szCs w:val="16"/>
              </w:rPr>
              <w:t xml:space="preserve">, </w:t>
            </w:r>
            <w:proofErr w:type="spellStart"/>
            <w:r w:rsidR="00F92811" w:rsidRPr="00E16672">
              <w:rPr>
                <w:rFonts w:ascii="Times New Roman" w:hAnsi="Times New Roman"/>
                <w:sz w:val="16"/>
                <w:szCs w:val="16"/>
              </w:rPr>
              <w:t>which</w:t>
            </w:r>
            <w:proofErr w:type="spellEnd"/>
            <w:r w:rsidR="00F92811" w:rsidRPr="00E16672">
              <w:rPr>
                <w:rFonts w:ascii="Times New Roman" w:hAnsi="Times New Roman"/>
                <w:sz w:val="16"/>
                <w:szCs w:val="16"/>
              </w:rPr>
              <w:t xml:space="preserve"> </w:t>
            </w:r>
            <w:proofErr w:type="spellStart"/>
            <w:r w:rsidR="00F92811" w:rsidRPr="00E16672">
              <w:rPr>
                <w:rFonts w:ascii="Times New Roman" w:hAnsi="Times New Roman"/>
                <w:sz w:val="16"/>
                <w:szCs w:val="16"/>
              </w:rPr>
              <w:t>is</w:t>
            </w:r>
            <w:proofErr w:type="spellEnd"/>
            <w:r w:rsidR="00F92811" w:rsidRPr="00E16672">
              <w:rPr>
                <w:rFonts w:ascii="Times New Roman" w:hAnsi="Times New Roman"/>
                <w:sz w:val="16"/>
                <w:szCs w:val="16"/>
              </w:rPr>
              <w:t xml:space="preserve"> </w:t>
            </w:r>
            <w:proofErr w:type="spellStart"/>
            <w:r w:rsidR="00F92811" w:rsidRPr="00E16672">
              <w:rPr>
                <w:rFonts w:ascii="Times New Roman" w:hAnsi="Times New Roman"/>
                <w:sz w:val="16"/>
                <w:szCs w:val="16"/>
              </w:rPr>
              <w:t>confirmed</w:t>
            </w:r>
            <w:proofErr w:type="spellEnd"/>
            <w:r w:rsidR="00F92811" w:rsidRPr="00E16672">
              <w:rPr>
                <w:rFonts w:ascii="Times New Roman" w:hAnsi="Times New Roman"/>
                <w:sz w:val="16"/>
                <w:szCs w:val="16"/>
              </w:rPr>
              <w:t xml:space="preserve"> </w:t>
            </w:r>
            <w:proofErr w:type="spellStart"/>
            <w:r w:rsidR="00F92811" w:rsidRPr="00E16672">
              <w:rPr>
                <w:rFonts w:ascii="Times New Roman" w:hAnsi="Times New Roman"/>
                <w:sz w:val="16"/>
                <w:szCs w:val="16"/>
              </w:rPr>
              <w:t>by</w:t>
            </w:r>
            <w:proofErr w:type="spellEnd"/>
            <w:r w:rsidR="00F92811" w:rsidRPr="00E16672">
              <w:rPr>
                <w:rFonts w:ascii="Times New Roman" w:hAnsi="Times New Roman"/>
                <w:sz w:val="16"/>
                <w:szCs w:val="16"/>
              </w:rPr>
              <w:t xml:space="preserve"> </w:t>
            </w:r>
            <w:proofErr w:type="spellStart"/>
            <w:r w:rsidR="00F92811" w:rsidRPr="00E16672">
              <w:rPr>
                <w:rFonts w:ascii="Times New Roman" w:hAnsi="Times New Roman"/>
                <w:sz w:val="16"/>
                <w:szCs w:val="16"/>
              </w:rPr>
              <w:t>information</w:t>
            </w:r>
            <w:proofErr w:type="spellEnd"/>
            <w:r w:rsidR="00F92811" w:rsidRPr="00E16672">
              <w:rPr>
                <w:rFonts w:ascii="Times New Roman" w:hAnsi="Times New Roman"/>
                <w:sz w:val="16"/>
                <w:szCs w:val="16"/>
              </w:rPr>
              <w:t xml:space="preserve"> </w:t>
            </w:r>
            <w:proofErr w:type="spellStart"/>
            <w:r w:rsidR="00F92811" w:rsidRPr="00E16672">
              <w:rPr>
                <w:rFonts w:ascii="Times New Roman" w:hAnsi="Times New Roman"/>
                <w:sz w:val="16"/>
                <w:szCs w:val="16"/>
              </w:rPr>
              <w:t>Unified</w:t>
            </w:r>
            <w:proofErr w:type="spellEnd"/>
            <w:r w:rsidR="00F92811" w:rsidRPr="00E16672">
              <w:rPr>
                <w:rFonts w:ascii="Times New Roman" w:hAnsi="Times New Roman"/>
                <w:sz w:val="16"/>
                <w:szCs w:val="16"/>
              </w:rPr>
              <w:t xml:space="preserve"> </w:t>
            </w:r>
            <w:proofErr w:type="spellStart"/>
            <w:r w:rsidR="00F92811" w:rsidRPr="00E16672">
              <w:rPr>
                <w:rFonts w:ascii="Times New Roman" w:hAnsi="Times New Roman"/>
                <w:sz w:val="16"/>
                <w:szCs w:val="16"/>
              </w:rPr>
              <w:t>State</w:t>
            </w:r>
            <w:proofErr w:type="spellEnd"/>
            <w:r w:rsidR="00F92811" w:rsidRPr="00E16672">
              <w:rPr>
                <w:rFonts w:ascii="Times New Roman" w:hAnsi="Times New Roman"/>
                <w:sz w:val="16"/>
                <w:szCs w:val="16"/>
              </w:rPr>
              <w:t xml:space="preserve"> </w:t>
            </w:r>
            <w:proofErr w:type="spellStart"/>
            <w:r w:rsidR="00F92811" w:rsidRPr="00E16672">
              <w:rPr>
                <w:rFonts w:ascii="Times New Roman" w:hAnsi="Times New Roman"/>
                <w:sz w:val="16"/>
                <w:szCs w:val="16"/>
              </w:rPr>
              <w:t>Register</w:t>
            </w:r>
            <w:proofErr w:type="spellEnd"/>
            <w:r w:rsidR="00F92811" w:rsidRPr="00E16672">
              <w:rPr>
                <w:rFonts w:ascii="Times New Roman" w:hAnsi="Times New Roman"/>
                <w:sz w:val="16"/>
                <w:szCs w:val="16"/>
              </w:rPr>
              <w:t xml:space="preserve"> </w:t>
            </w:r>
            <w:proofErr w:type="spellStart"/>
            <w:r w:rsidR="00F92811" w:rsidRPr="00E16672">
              <w:rPr>
                <w:rFonts w:ascii="Times New Roman" w:hAnsi="Times New Roman"/>
                <w:sz w:val="16"/>
                <w:szCs w:val="16"/>
              </w:rPr>
              <w:t>of</w:t>
            </w:r>
            <w:proofErr w:type="spellEnd"/>
            <w:r w:rsidR="00F92811" w:rsidRPr="00E16672">
              <w:rPr>
                <w:rFonts w:ascii="Times New Roman" w:hAnsi="Times New Roman"/>
                <w:sz w:val="16"/>
                <w:szCs w:val="16"/>
              </w:rPr>
              <w:t xml:space="preserve"> </w:t>
            </w:r>
            <w:proofErr w:type="spellStart"/>
            <w:r w:rsidR="00F92811" w:rsidRPr="00E16672">
              <w:rPr>
                <w:rFonts w:ascii="Times New Roman" w:hAnsi="Times New Roman"/>
                <w:sz w:val="16"/>
                <w:szCs w:val="16"/>
              </w:rPr>
              <w:t>Legal</w:t>
            </w:r>
            <w:proofErr w:type="spellEnd"/>
            <w:r w:rsidR="00F92811" w:rsidRPr="00E16672">
              <w:rPr>
                <w:rFonts w:ascii="Times New Roman" w:hAnsi="Times New Roman"/>
                <w:sz w:val="16"/>
                <w:szCs w:val="16"/>
              </w:rPr>
              <w:t xml:space="preserve"> </w:t>
            </w:r>
            <w:proofErr w:type="spellStart"/>
            <w:r w:rsidR="00F92811" w:rsidRPr="00E16672">
              <w:rPr>
                <w:rFonts w:ascii="Times New Roman" w:hAnsi="Times New Roman"/>
                <w:sz w:val="16"/>
                <w:szCs w:val="16"/>
              </w:rPr>
              <w:t>Entities</w:t>
            </w:r>
            <w:proofErr w:type="spellEnd"/>
            <w:r w:rsidR="00F92811" w:rsidRPr="00E16672">
              <w:rPr>
                <w:rFonts w:ascii="Times New Roman" w:hAnsi="Times New Roman"/>
                <w:sz w:val="16"/>
                <w:szCs w:val="16"/>
              </w:rPr>
              <w:t xml:space="preserve">, </w:t>
            </w:r>
            <w:proofErr w:type="spellStart"/>
            <w:r w:rsidR="00F92811" w:rsidRPr="00E16672">
              <w:rPr>
                <w:rFonts w:ascii="Times New Roman" w:hAnsi="Times New Roman"/>
                <w:sz w:val="16"/>
                <w:szCs w:val="16"/>
              </w:rPr>
              <w:t>Individual</w:t>
            </w:r>
            <w:proofErr w:type="spellEnd"/>
            <w:r w:rsidR="00F92811" w:rsidRPr="00E16672">
              <w:rPr>
                <w:rFonts w:ascii="Times New Roman" w:hAnsi="Times New Roman"/>
                <w:sz w:val="16"/>
                <w:szCs w:val="16"/>
              </w:rPr>
              <w:t xml:space="preserve"> </w:t>
            </w:r>
            <w:proofErr w:type="spellStart"/>
            <w:r w:rsidR="00F92811" w:rsidRPr="00E16672">
              <w:rPr>
                <w:rFonts w:ascii="Times New Roman" w:hAnsi="Times New Roman"/>
                <w:sz w:val="16"/>
                <w:szCs w:val="16"/>
              </w:rPr>
              <w:t>Entrepreneurs</w:t>
            </w:r>
            <w:proofErr w:type="spellEnd"/>
            <w:r w:rsidR="00F92811" w:rsidRPr="00E16672">
              <w:rPr>
                <w:rFonts w:ascii="Times New Roman" w:hAnsi="Times New Roman"/>
                <w:sz w:val="16"/>
                <w:szCs w:val="16"/>
              </w:rPr>
              <w:t xml:space="preserve"> </w:t>
            </w:r>
            <w:proofErr w:type="spellStart"/>
            <w:r w:rsidR="00F92811" w:rsidRPr="00E16672">
              <w:rPr>
                <w:rFonts w:ascii="Times New Roman" w:hAnsi="Times New Roman"/>
                <w:sz w:val="16"/>
                <w:szCs w:val="16"/>
              </w:rPr>
              <w:t>and</w:t>
            </w:r>
            <w:proofErr w:type="spellEnd"/>
            <w:r w:rsidR="00F92811" w:rsidRPr="00E16672">
              <w:rPr>
                <w:rFonts w:ascii="Times New Roman" w:hAnsi="Times New Roman"/>
                <w:sz w:val="16"/>
                <w:szCs w:val="16"/>
              </w:rPr>
              <w:t xml:space="preserve"> </w:t>
            </w:r>
            <w:proofErr w:type="spellStart"/>
            <w:r w:rsidR="00F92811" w:rsidRPr="00E16672">
              <w:rPr>
                <w:rFonts w:ascii="Times New Roman" w:hAnsi="Times New Roman"/>
                <w:sz w:val="16"/>
                <w:szCs w:val="16"/>
              </w:rPr>
              <w:t>Public</w:t>
            </w:r>
            <w:proofErr w:type="spellEnd"/>
            <w:r w:rsidR="00F92811" w:rsidRPr="00E16672">
              <w:rPr>
                <w:rFonts w:ascii="Times New Roman" w:hAnsi="Times New Roman"/>
                <w:sz w:val="16"/>
                <w:szCs w:val="16"/>
              </w:rPr>
              <w:t xml:space="preserve"> </w:t>
            </w:r>
            <w:proofErr w:type="spellStart"/>
            <w:r w:rsidR="00F92811" w:rsidRPr="00E16672">
              <w:rPr>
                <w:rFonts w:ascii="Times New Roman" w:hAnsi="Times New Roman"/>
                <w:sz w:val="16"/>
                <w:szCs w:val="16"/>
              </w:rPr>
              <w:t>Associations</w:t>
            </w:r>
            <w:proofErr w:type="spellEnd"/>
            <w:r w:rsidR="00F92811" w:rsidRPr="00E16672">
              <w:rPr>
                <w:rFonts w:ascii="Times New Roman" w:hAnsi="Times New Roman"/>
                <w:color w:val="000000"/>
                <w:sz w:val="16"/>
                <w:szCs w:val="16"/>
              </w:rPr>
              <w:t xml:space="preserve"> </w:t>
            </w:r>
            <w:proofErr w:type="spellStart"/>
            <w:r w:rsidR="00F92811" w:rsidRPr="00E16672">
              <w:rPr>
                <w:rFonts w:ascii="Times New Roman" w:hAnsi="Times New Roman"/>
                <w:color w:val="000000"/>
                <w:sz w:val="16"/>
                <w:szCs w:val="16"/>
              </w:rPr>
              <w:t>and</w:t>
            </w:r>
            <w:proofErr w:type="spellEnd"/>
            <w:r w:rsidR="00F92811" w:rsidRPr="00E16672">
              <w:rPr>
                <w:rFonts w:ascii="Times New Roman" w:hAnsi="Times New Roman"/>
                <w:color w:val="000000"/>
                <w:sz w:val="16"/>
                <w:szCs w:val="16"/>
              </w:rPr>
              <w:t xml:space="preserve"> </w:t>
            </w:r>
            <w:proofErr w:type="spellStart"/>
            <w:r w:rsidR="00F92811" w:rsidRPr="00E16672">
              <w:rPr>
                <w:rFonts w:ascii="Times New Roman" w:hAnsi="Times New Roman"/>
                <w:color w:val="000000"/>
                <w:sz w:val="16"/>
                <w:szCs w:val="16"/>
              </w:rPr>
              <w:t>in</w:t>
            </w:r>
            <w:proofErr w:type="spellEnd"/>
            <w:r w:rsidR="00F92811" w:rsidRPr="00E16672">
              <w:rPr>
                <w:rFonts w:ascii="Times New Roman" w:hAnsi="Times New Roman"/>
                <w:color w:val="000000"/>
                <w:sz w:val="16"/>
                <w:szCs w:val="16"/>
              </w:rPr>
              <w:t xml:space="preserve"> </w:t>
            </w:r>
            <w:proofErr w:type="spellStart"/>
            <w:r w:rsidR="00F92811" w:rsidRPr="00E16672">
              <w:rPr>
                <w:rFonts w:ascii="Times New Roman" w:hAnsi="Times New Roman"/>
                <w:sz w:val="16"/>
                <w:szCs w:val="16"/>
              </w:rPr>
              <w:t>case</w:t>
            </w:r>
            <w:proofErr w:type="spellEnd"/>
            <w:r w:rsidR="00F92811" w:rsidRPr="00E16672" w:rsidDel="002A0D0B">
              <w:rPr>
                <w:rFonts w:ascii="Times New Roman" w:hAnsi="Times New Roman"/>
                <w:color w:val="000000"/>
                <w:sz w:val="16"/>
                <w:szCs w:val="16"/>
              </w:rPr>
              <w:t xml:space="preserve"> </w:t>
            </w:r>
            <w:proofErr w:type="spellStart"/>
            <w:r w:rsidR="00F92811" w:rsidRPr="00E16672">
              <w:rPr>
                <w:rFonts w:ascii="Times New Roman" w:hAnsi="Times New Roman"/>
                <w:color w:val="000000"/>
                <w:sz w:val="16"/>
                <w:szCs w:val="16"/>
              </w:rPr>
              <w:t>of</w:t>
            </w:r>
            <w:proofErr w:type="spellEnd"/>
            <w:r w:rsidR="00F92811" w:rsidRPr="00E16672">
              <w:rPr>
                <w:rFonts w:ascii="Times New Roman" w:hAnsi="Times New Roman"/>
                <w:color w:val="000000"/>
                <w:sz w:val="16"/>
                <w:szCs w:val="16"/>
              </w:rPr>
              <w:t xml:space="preserve"> </w:t>
            </w:r>
            <w:proofErr w:type="spellStart"/>
            <w:r w:rsidR="00F92811" w:rsidRPr="00E16672">
              <w:rPr>
                <w:rFonts w:ascii="Times New Roman" w:hAnsi="Times New Roman"/>
                <w:color w:val="000000"/>
                <w:sz w:val="16"/>
                <w:szCs w:val="16"/>
              </w:rPr>
              <w:t>termination</w:t>
            </w:r>
            <w:proofErr w:type="spellEnd"/>
            <w:r w:rsidR="00F92811" w:rsidRPr="00E16672">
              <w:rPr>
                <w:rFonts w:ascii="Times New Roman" w:hAnsi="Times New Roman"/>
                <w:color w:val="000000"/>
                <w:sz w:val="16"/>
                <w:szCs w:val="16"/>
              </w:rPr>
              <w:t xml:space="preserve"> </w:t>
            </w:r>
            <w:proofErr w:type="spellStart"/>
            <w:r w:rsidR="00F92811" w:rsidRPr="00E16672">
              <w:rPr>
                <w:rFonts w:ascii="Times New Roman" w:hAnsi="Times New Roman"/>
                <w:color w:val="000000"/>
                <w:sz w:val="16"/>
                <w:szCs w:val="16"/>
              </w:rPr>
              <w:t>of</w:t>
            </w:r>
            <w:proofErr w:type="spellEnd"/>
            <w:r w:rsidR="00F92811" w:rsidRPr="00E16672">
              <w:rPr>
                <w:rFonts w:ascii="Times New Roman" w:hAnsi="Times New Roman"/>
                <w:color w:val="000000"/>
                <w:sz w:val="16"/>
                <w:szCs w:val="16"/>
              </w:rPr>
              <w:t xml:space="preserve"> </w:t>
            </w:r>
            <w:proofErr w:type="spellStart"/>
            <w:r w:rsidR="00F92811" w:rsidRPr="00E16672">
              <w:rPr>
                <w:rFonts w:ascii="Times New Roman" w:hAnsi="Times New Roman"/>
                <w:color w:val="000000"/>
                <w:sz w:val="16"/>
                <w:szCs w:val="16"/>
              </w:rPr>
              <w:t>this</w:t>
            </w:r>
            <w:proofErr w:type="spellEnd"/>
            <w:r w:rsidR="00F92811" w:rsidRPr="00E16672">
              <w:rPr>
                <w:rFonts w:ascii="Times New Roman" w:hAnsi="Times New Roman"/>
                <w:color w:val="000000"/>
                <w:sz w:val="16"/>
                <w:szCs w:val="16"/>
              </w:rPr>
              <w:t xml:space="preserve"> </w:t>
            </w:r>
            <w:proofErr w:type="spellStart"/>
            <w:r w:rsidR="00F92811" w:rsidRPr="00E16672">
              <w:rPr>
                <w:rFonts w:ascii="Times New Roman" w:hAnsi="Times New Roman"/>
                <w:color w:val="000000"/>
                <w:sz w:val="16"/>
                <w:szCs w:val="16"/>
              </w:rPr>
              <w:t>Agreement</w:t>
            </w:r>
            <w:proofErr w:type="spellEnd"/>
            <w:r w:rsidR="00F92811" w:rsidRPr="00E16672">
              <w:rPr>
                <w:rFonts w:ascii="Times New Roman" w:hAnsi="Times New Roman"/>
                <w:color w:val="000000"/>
                <w:sz w:val="16"/>
                <w:szCs w:val="16"/>
              </w:rPr>
              <w:t>.</w:t>
            </w:r>
          </w:p>
          <w:p w14:paraId="4B065CDB" w14:textId="77777777" w:rsidR="003A05A3" w:rsidRPr="00E16672" w:rsidRDefault="003A05A3" w:rsidP="00843027">
            <w:pPr>
              <w:snapToGrid w:val="0"/>
              <w:ind w:left="175" w:right="138" w:firstLine="7"/>
              <w:rPr>
                <w:rFonts w:ascii="Times New Roman" w:hAnsi="Times New Roman"/>
                <w:strike/>
                <w:color w:val="000000"/>
                <w:sz w:val="16"/>
                <w:szCs w:val="16"/>
                <w:lang w:val="en-GB"/>
              </w:rPr>
            </w:pPr>
            <w:r w:rsidRPr="00E16672">
              <w:rPr>
                <w:rFonts w:ascii="Times New Roman" w:hAnsi="Times New Roman"/>
                <w:color w:val="000000"/>
                <w:sz w:val="16"/>
                <w:szCs w:val="16"/>
                <w:lang w:val="uk-UA"/>
              </w:rPr>
              <w:t>.</w:t>
            </w:r>
          </w:p>
          <w:p w14:paraId="4E252A81" w14:textId="77777777" w:rsidR="003A05A3" w:rsidRPr="00E16672" w:rsidRDefault="003A05A3" w:rsidP="00843027">
            <w:pPr>
              <w:snapToGrid w:val="0"/>
              <w:ind w:left="175" w:right="138" w:firstLine="7"/>
              <w:rPr>
                <w:rFonts w:ascii="Times New Roman" w:hAnsi="Times New Roman"/>
                <w:sz w:val="16"/>
                <w:szCs w:val="16"/>
                <w:lang w:val="en-US"/>
              </w:rPr>
            </w:pPr>
          </w:p>
        </w:tc>
      </w:tr>
      <w:tr w:rsidR="003A05A3" w:rsidRPr="00F23413" w14:paraId="6184A3DF" w14:textId="77777777" w:rsidTr="00242F58">
        <w:trPr>
          <w:trHeight w:val="192"/>
        </w:trPr>
        <w:tc>
          <w:tcPr>
            <w:tcW w:w="5696" w:type="dxa"/>
            <w:gridSpan w:val="8"/>
            <w:shd w:val="clear" w:color="auto" w:fill="auto"/>
          </w:tcPr>
          <w:p w14:paraId="5E77B414" w14:textId="77777777" w:rsidR="003A05A3" w:rsidRPr="00E16672" w:rsidRDefault="003A05A3" w:rsidP="00022F5F">
            <w:pPr>
              <w:snapToGrid w:val="0"/>
              <w:ind w:left="175" w:right="138" w:firstLine="7"/>
              <w:jc w:val="left"/>
              <w:rPr>
                <w:rFonts w:ascii="Times New Roman" w:hAnsi="Times New Roman"/>
                <w:sz w:val="16"/>
                <w:szCs w:val="16"/>
              </w:rPr>
            </w:pPr>
            <w:r w:rsidRPr="00E16672">
              <w:rPr>
                <w:rFonts w:ascii="Times New Roman" w:hAnsi="Times New Roman"/>
                <w:sz w:val="16"/>
                <w:szCs w:val="16"/>
              </w:rPr>
              <w:lastRenderedPageBreak/>
              <w:t xml:space="preserve">2.2.8. При </w:t>
            </w:r>
            <w:proofErr w:type="spellStart"/>
            <w:r w:rsidRPr="00E16672">
              <w:rPr>
                <w:rFonts w:ascii="Times New Roman" w:hAnsi="Times New Roman"/>
                <w:sz w:val="16"/>
                <w:szCs w:val="16"/>
              </w:rPr>
              <w:t>здійсненні</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розрахунків</w:t>
            </w:r>
            <w:proofErr w:type="spellEnd"/>
            <w:r w:rsidRPr="00E16672">
              <w:rPr>
                <w:rFonts w:ascii="Times New Roman" w:hAnsi="Times New Roman"/>
                <w:sz w:val="16"/>
                <w:szCs w:val="16"/>
              </w:rPr>
              <w:t xml:space="preserve"> за </w:t>
            </w:r>
            <w:proofErr w:type="spellStart"/>
            <w:r w:rsidRPr="00E16672">
              <w:rPr>
                <w:rFonts w:ascii="Times New Roman" w:hAnsi="Times New Roman"/>
                <w:sz w:val="16"/>
                <w:szCs w:val="16"/>
              </w:rPr>
              <w:t>правочинами</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щодо</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цінних</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паперів</w:t>
            </w:r>
            <w:proofErr w:type="spellEnd"/>
            <w:r w:rsidRPr="00E16672">
              <w:rPr>
                <w:rFonts w:ascii="Times New Roman" w:hAnsi="Times New Roman"/>
                <w:sz w:val="16"/>
                <w:szCs w:val="16"/>
              </w:rPr>
              <w:t xml:space="preserve"> з </w:t>
            </w:r>
            <w:proofErr w:type="spellStart"/>
            <w:r w:rsidRPr="00E16672">
              <w:rPr>
                <w:rFonts w:ascii="Times New Roman" w:hAnsi="Times New Roman"/>
                <w:sz w:val="16"/>
                <w:szCs w:val="16"/>
              </w:rPr>
              <w:t>дотриманням</w:t>
            </w:r>
            <w:proofErr w:type="spellEnd"/>
            <w:r w:rsidRPr="00E16672">
              <w:rPr>
                <w:rFonts w:ascii="Times New Roman" w:hAnsi="Times New Roman"/>
                <w:sz w:val="16"/>
                <w:szCs w:val="16"/>
              </w:rPr>
              <w:t xml:space="preserve"> принципу </w:t>
            </w:r>
            <w:r w:rsidR="00022F5F">
              <w:rPr>
                <w:rFonts w:ascii="Times New Roman" w:hAnsi="Times New Roman"/>
                <w:sz w:val="16"/>
                <w:szCs w:val="16"/>
              </w:rPr>
              <w:t>"</w:t>
            </w:r>
            <w:r w:rsidRPr="00E16672">
              <w:rPr>
                <w:rFonts w:ascii="Times New Roman" w:hAnsi="Times New Roman"/>
                <w:sz w:val="16"/>
                <w:szCs w:val="16"/>
              </w:rPr>
              <w:t xml:space="preserve">поставка </w:t>
            </w:r>
            <w:proofErr w:type="spellStart"/>
            <w:r w:rsidRPr="00E16672">
              <w:rPr>
                <w:rFonts w:ascii="Times New Roman" w:hAnsi="Times New Roman"/>
                <w:sz w:val="16"/>
                <w:szCs w:val="16"/>
              </w:rPr>
              <w:t>цінних</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паперів</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проти</w:t>
            </w:r>
            <w:proofErr w:type="spellEnd"/>
            <w:r w:rsidRPr="00E16672">
              <w:rPr>
                <w:rFonts w:ascii="Times New Roman" w:hAnsi="Times New Roman"/>
                <w:sz w:val="16"/>
                <w:szCs w:val="16"/>
              </w:rPr>
              <w:t xml:space="preserve"> оплати</w:t>
            </w:r>
            <w:r w:rsidR="00022F5F">
              <w:rPr>
                <w:rFonts w:ascii="Times New Roman" w:hAnsi="Times New Roman"/>
                <w:sz w:val="16"/>
                <w:szCs w:val="16"/>
              </w:rPr>
              <w:t>"</w:t>
            </w:r>
            <w:r w:rsidRPr="00E16672">
              <w:rPr>
                <w:rFonts w:ascii="Times New Roman" w:hAnsi="Times New Roman"/>
                <w:sz w:val="16"/>
                <w:szCs w:val="16"/>
              </w:rPr>
              <w:t xml:space="preserve"> </w:t>
            </w:r>
            <w:proofErr w:type="spellStart"/>
            <w:r w:rsidRPr="00E16672">
              <w:rPr>
                <w:rFonts w:ascii="Times New Roman" w:hAnsi="Times New Roman"/>
                <w:sz w:val="16"/>
                <w:szCs w:val="16"/>
              </w:rPr>
              <w:t>виконувати</w:t>
            </w:r>
            <w:proofErr w:type="spellEnd"/>
            <w:r w:rsidRPr="00E16672">
              <w:rPr>
                <w:rFonts w:ascii="Times New Roman" w:hAnsi="Times New Roman"/>
                <w:sz w:val="16"/>
                <w:szCs w:val="16"/>
              </w:rPr>
              <w:t xml:space="preserve"> на </w:t>
            </w:r>
            <w:proofErr w:type="spellStart"/>
            <w:r w:rsidRPr="00E16672">
              <w:rPr>
                <w:rFonts w:ascii="Times New Roman" w:hAnsi="Times New Roman"/>
                <w:sz w:val="16"/>
                <w:szCs w:val="16"/>
              </w:rPr>
              <w:t>рахунку</w:t>
            </w:r>
            <w:proofErr w:type="spellEnd"/>
            <w:r w:rsidRPr="00E16672">
              <w:rPr>
                <w:rFonts w:ascii="Times New Roman" w:hAnsi="Times New Roman"/>
                <w:sz w:val="16"/>
                <w:szCs w:val="16"/>
              </w:rPr>
              <w:t xml:space="preserve"> в </w:t>
            </w:r>
            <w:proofErr w:type="spellStart"/>
            <w:r w:rsidRPr="00E16672">
              <w:rPr>
                <w:rFonts w:ascii="Times New Roman" w:hAnsi="Times New Roman"/>
                <w:sz w:val="16"/>
                <w:szCs w:val="16"/>
              </w:rPr>
              <w:t>цінних</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паперах</w:t>
            </w:r>
            <w:proofErr w:type="spellEnd"/>
            <w:r w:rsidRPr="00E16672">
              <w:rPr>
                <w:rFonts w:ascii="Times New Roman" w:hAnsi="Times New Roman"/>
                <w:sz w:val="16"/>
                <w:szCs w:val="16"/>
              </w:rPr>
              <w:t xml:space="preserve"> Депонента </w:t>
            </w:r>
            <w:proofErr w:type="spellStart"/>
            <w:r w:rsidRPr="00E16672">
              <w:rPr>
                <w:rFonts w:ascii="Times New Roman" w:hAnsi="Times New Roman"/>
                <w:sz w:val="16"/>
                <w:szCs w:val="16"/>
              </w:rPr>
              <w:t>депозитарні</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операції</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щодо</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цінних</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паперів</w:t>
            </w:r>
            <w:proofErr w:type="spellEnd"/>
            <w:r w:rsidRPr="00E16672">
              <w:rPr>
                <w:rFonts w:ascii="Times New Roman" w:hAnsi="Times New Roman"/>
                <w:sz w:val="16"/>
                <w:szCs w:val="16"/>
              </w:rPr>
              <w:t xml:space="preserve"> без </w:t>
            </w:r>
            <w:proofErr w:type="spellStart"/>
            <w:r w:rsidRPr="00E16672">
              <w:rPr>
                <w:rFonts w:ascii="Times New Roman" w:hAnsi="Times New Roman"/>
                <w:sz w:val="16"/>
                <w:szCs w:val="16"/>
              </w:rPr>
              <w:t>розпорядження</w:t>
            </w:r>
            <w:proofErr w:type="spellEnd"/>
            <w:r w:rsidRPr="00E16672">
              <w:rPr>
                <w:rFonts w:ascii="Times New Roman" w:hAnsi="Times New Roman"/>
                <w:sz w:val="16"/>
                <w:szCs w:val="16"/>
              </w:rPr>
              <w:t xml:space="preserve"> депонента </w:t>
            </w:r>
            <w:proofErr w:type="spellStart"/>
            <w:r w:rsidRPr="00E16672">
              <w:rPr>
                <w:rFonts w:ascii="Times New Roman" w:hAnsi="Times New Roman"/>
                <w:sz w:val="16"/>
                <w:szCs w:val="16"/>
              </w:rPr>
              <w:t>виключно</w:t>
            </w:r>
            <w:proofErr w:type="spellEnd"/>
            <w:r w:rsidRPr="00E16672">
              <w:rPr>
                <w:rFonts w:ascii="Times New Roman" w:hAnsi="Times New Roman"/>
                <w:sz w:val="16"/>
                <w:szCs w:val="16"/>
              </w:rPr>
              <w:t xml:space="preserve"> на </w:t>
            </w:r>
            <w:proofErr w:type="spellStart"/>
            <w:r w:rsidRPr="00E16672">
              <w:rPr>
                <w:rFonts w:ascii="Times New Roman" w:hAnsi="Times New Roman"/>
                <w:sz w:val="16"/>
                <w:szCs w:val="16"/>
              </w:rPr>
              <w:t>підставі</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розпоряджень</w:t>
            </w:r>
            <w:proofErr w:type="spellEnd"/>
            <w:r w:rsidRPr="00E16672">
              <w:rPr>
                <w:rFonts w:ascii="Times New Roman" w:hAnsi="Times New Roman"/>
                <w:sz w:val="16"/>
                <w:szCs w:val="16"/>
              </w:rPr>
              <w:t xml:space="preserve"> та </w:t>
            </w:r>
            <w:proofErr w:type="spellStart"/>
            <w:r w:rsidRPr="00E16672">
              <w:rPr>
                <w:rFonts w:ascii="Times New Roman" w:hAnsi="Times New Roman"/>
                <w:sz w:val="16"/>
                <w:szCs w:val="16"/>
              </w:rPr>
              <w:t>інформації</w:t>
            </w:r>
            <w:proofErr w:type="spellEnd"/>
            <w:r w:rsidRPr="00E16672">
              <w:rPr>
                <w:rFonts w:ascii="Times New Roman" w:hAnsi="Times New Roman"/>
                <w:sz w:val="16"/>
                <w:szCs w:val="16"/>
              </w:rPr>
              <w:t xml:space="preserve"> Центрального </w:t>
            </w:r>
            <w:proofErr w:type="spellStart"/>
            <w:r w:rsidRPr="00E16672">
              <w:rPr>
                <w:rFonts w:ascii="Times New Roman" w:hAnsi="Times New Roman"/>
                <w:sz w:val="16"/>
                <w:szCs w:val="16"/>
              </w:rPr>
              <w:t>депозитарію</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наданих</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Депозитарній</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установі</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згідно</w:t>
            </w:r>
            <w:proofErr w:type="spellEnd"/>
            <w:r w:rsidRPr="00E16672">
              <w:rPr>
                <w:rFonts w:ascii="Times New Roman" w:hAnsi="Times New Roman"/>
                <w:sz w:val="16"/>
                <w:szCs w:val="16"/>
              </w:rPr>
              <w:t xml:space="preserve"> з </w:t>
            </w:r>
            <w:proofErr w:type="spellStart"/>
            <w:r w:rsidRPr="00E16672">
              <w:rPr>
                <w:rFonts w:ascii="Times New Roman" w:hAnsi="Times New Roman"/>
                <w:sz w:val="16"/>
                <w:szCs w:val="16"/>
              </w:rPr>
              <w:t>інформацією</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отриманою</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Центральним</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депозитарієм</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від</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Розрахункового</w:t>
            </w:r>
            <w:proofErr w:type="spellEnd"/>
            <w:r w:rsidRPr="00E16672">
              <w:rPr>
                <w:rFonts w:ascii="Times New Roman" w:hAnsi="Times New Roman"/>
                <w:sz w:val="16"/>
                <w:szCs w:val="16"/>
              </w:rPr>
              <w:t xml:space="preserve"> центру </w:t>
            </w:r>
            <w:proofErr w:type="spellStart"/>
            <w:r w:rsidRPr="00E16672">
              <w:rPr>
                <w:rFonts w:ascii="Times New Roman" w:hAnsi="Times New Roman"/>
                <w:sz w:val="16"/>
                <w:szCs w:val="16"/>
              </w:rPr>
              <w:t>чи</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клірингової</w:t>
            </w:r>
            <w:proofErr w:type="spellEnd"/>
            <w:r w:rsidRPr="00E16672">
              <w:rPr>
                <w:rFonts w:ascii="Times New Roman" w:hAnsi="Times New Roman"/>
                <w:sz w:val="16"/>
                <w:szCs w:val="16"/>
              </w:rPr>
              <w:t xml:space="preserve"> установи.</w:t>
            </w:r>
          </w:p>
          <w:p w14:paraId="3144444D" w14:textId="77777777" w:rsidR="003A05A3" w:rsidRPr="00E16672" w:rsidRDefault="003A05A3" w:rsidP="00843027">
            <w:pPr>
              <w:pStyle w:val="210"/>
              <w:ind w:left="175" w:right="138" w:firstLine="7"/>
              <w:rPr>
                <w:rFonts w:ascii="Times New Roman" w:hAnsi="Times New Roman"/>
                <w:sz w:val="16"/>
                <w:szCs w:val="16"/>
              </w:rPr>
            </w:pPr>
          </w:p>
        </w:tc>
        <w:tc>
          <w:tcPr>
            <w:tcW w:w="5494" w:type="dxa"/>
            <w:gridSpan w:val="6"/>
            <w:shd w:val="clear" w:color="auto" w:fill="auto"/>
          </w:tcPr>
          <w:p w14:paraId="22FD1112" w14:textId="77777777" w:rsidR="003A05A3" w:rsidRPr="00E16672" w:rsidRDefault="003A05A3" w:rsidP="00843027">
            <w:pPr>
              <w:pStyle w:val="210"/>
              <w:snapToGrid w:val="0"/>
              <w:ind w:left="175" w:right="138" w:firstLine="7"/>
              <w:rPr>
                <w:rFonts w:ascii="Times New Roman" w:hAnsi="Times New Roman"/>
                <w:sz w:val="16"/>
                <w:szCs w:val="16"/>
              </w:rPr>
            </w:pPr>
            <w:r w:rsidRPr="00E16672">
              <w:rPr>
                <w:rFonts w:ascii="Times New Roman" w:hAnsi="Times New Roman"/>
                <w:sz w:val="16"/>
                <w:szCs w:val="16"/>
              </w:rPr>
              <w:t xml:space="preserve">2.2.8. </w:t>
            </w:r>
            <w:proofErr w:type="spellStart"/>
            <w:r w:rsidR="00F92811" w:rsidRPr="00E16672">
              <w:rPr>
                <w:rFonts w:ascii="Times New Roman" w:hAnsi="Times New Roman"/>
                <w:sz w:val="16"/>
                <w:szCs w:val="16"/>
              </w:rPr>
              <w:t>In</w:t>
            </w:r>
            <w:proofErr w:type="spellEnd"/>
            <w:r w:rsidR="00F92811" w:rsidRPr="00E16672">
              <w:rPr>
                <w:rFonts w:ascii="Times New Roman" w:hAnsi="Times New Roman"/>
                <w:sz w:val="16"/>
                <w:szCs w:val="16"/>
              </w:rPr>
              <w:t xml:space="preserve"> </w:t>
            </w:r>
            <w:proofErr w:type="spellStart"/>
            <w:r w:rsidR="00F92811" w:rsidRPr="00E16672">
              <w:rPr>
                <w:rFonts w:ascii="Times New Roman" w:hAnsi="Times New Roman"/>
                <w:sz w:val="16"/>
                <w:szCs w:val="16"/>
              </w:rPr>
              <w:t>carrying</w:t>
            </w:r>
            <w:proofErr w:type="spellEnd"/>
            <w:r w:rsidR="00F92811" w:rsidRPr="00E16672">
              <w:rPr>
                <w:rFonts w:ascii="Times New Roman" w:hAnsi="Times New Roman"/>
                <w:sz w:val="16"/>
                <w:szCs w:val="16"/>
              </w:rPr>
              <w:t xml:space="preserve"> </w:t>
            </w:r>
            <w:proofErr w:type="spellStart"/>
            <w:r w:rsidR="00F92811" w:rsidRPr="00E16672">
              <w:rPr>
                <w:rFonts w:ascii="Times New Roman" w:hAnsi="Times New Roman"/>
                <w:sz w:val="16"/>
                <w:szCs w:val="16"/>
              </w:rPr>
              <w:t>out</w:t>
            </w:r>
            <w:proofErr w:type="spellEnd"/>
            <w:r w:rsidR="00F92811" w:rsidRPr="00E16672">
              <w:rPr>
                <w:rFonts w:ascii="Times New Roman" w:hAnsi="Times New Roman"/>
                <w:sz w:val="16"/>
                <w:szCs w:val="16"/>
              </w:rPr>
              <w:t xml:space="preserve"> </w:t>
            </w:r>
            <w:proofErr w:type="spellStart"/>
            <w:r w:rsidR="00F92811" w:rsidRPr="00E16672">
              <w:rPr>
                <w:rFonts w:ascii="Times New Roman" w:hAnsi="Times New Roman"/>
                <w:sz w:val="16"/>
                <w:szCs w:val="16"/>
              </w:rPr>
              <w:t>calculations</w:t>
            </w:r>
            <w:proofErr w:type="spellEnd"/>
            <w:r w:rsidR="00F92811" w:rsidRPr="00E16672">
              <w:rPr>
                <w:rFonts w:ascii="Times New Roman" w:hAnsi="Times New Roman"/>
                <w:sz w:val="16"/>
                <w:szCs w:val="16"/>
              </w:rPr>
              <w:t xml:space="preserve"> </w:t>
            </w:r>
            <w:proofErr w:type="spellStart"/>
            <w:r w:rsidR="00F92811" w:rsidRPr="00E16672">
              <w:rPr>
                <w:rFonts w:ascii="Times New Roman" w:hAnsi="Times New Roman"/>
                <w:sz w:val="16"/>
                <w:szCs w:val="16"/>
              </w:rPr>
              <w:t>for</w:t>
            </w:r>
            <w:proofErr w:type="spellEnd"/>
            <w:r w:rsidR="00F92811" w:rsidRPr="00E16672">
              <w:rPr>
                <w:rFonts w:ascii="Times New Roman" w:hAnsi="Times New Roman"/>
                <w:sz w:val="16"/>
                <w:szCs w:val="16"/>
              </w:rPr>
              <w:t xml:space="preserve"> </w:t>
            </w:r>
            <w:proofErr w:type="spellStart"/>
            <w:r w:rsidR="00F92811" w:rsidRPr="00E16672">
              <w:rPr>
                <w:rFonts w:ascii="Times New Roman" w:hAnsi="Times New Roman"/>
                <w:sz w:val="16"/>
                <w:szCs w:val="16"/>
              </w:rPr>
              <w:t>Securities</w:t>
            </w:r>
            <w:proofErr w:type="spellEnd"/>
            <w:r w:rsidR="00F92811" w:rsidRPr="00E16672">
              <w:rPr>
                <w:rFonts w:ascii="Times New Roman" w:hAnsi="Times New Roman"/>
                <w:sz w:val="16"/>
                <w:szCs w:val="16"/>
              </w:rPr>
              <w:t xml:space="preserve"> </w:t>
            </w:r>
            <w:proofErr w:type="spellStart"/>
            <w:r w:rsidR="00F92811" w:rsidRPr="00E16672">
              <w:rPr>
                <w:rFonts w:ascii="Times New Roman" w:hAnsi="Times New Roman"/>
                <w:sz w:val="16"/>
                <w:szCs w:val="16"/>
              </w:rPr>
              <w:t>competence</w:t>
            </w:r>
            <w:proofErr w:type="spellEnd"/>
            <w:r w:rsidR="00F92811" w:rsidRPr="00E16672">
              <w:rPr>
                <w:rFonts w:ascii="Times New Roman" w:hAnsi="Times New Roman"/>
                <w:sz w:val="16"/>
                <w:szCs w:val="16"/>
              </w:rPr>
              <w:t xml:space="preserve"> </w:t>
            </w:r>
            <w:proofErr w:type="spellStart"/>
            <w:r w:rsidR="00F92811" w:rsidRPr="00E16672">
              <w:rPr>
                <w:rFonts w:ascii="Times New Roman" w:hAnsi="Times New Roman"/>
                <w:sz w:val="16"/>
                <w:szCs w:val="16"/>
              </w:rPr>
              <w:t>concerning</w:t>
            </w:r>
            <w:proofErr w:type="spellEnd"/>
            <w:r w:rsidR="00F92811" w:rsidRPr="00E16672">
              <w:rPr>
                <w:rFonts w:ascii="Times New Roman" w:hAnsi="Times New Roman"/>
                <w:sz w:val="16"/>
                <w:szCs w:val="16"/>
              </w:rPr>
              <w:t xml:space="preserve"> </w:t>
            </w:r>
            <w:proofErr w:type="spellStart"/>
            <w:r w:rsidR="00F92811" w:rsidRPr="00E16672">
              <w:rPr>
                <w:rFonts w:ascii="Times New Roman" w:hAnsi="Times New Roman"/>
                <w:sz w:val="16"/>
                <w:szCs w:val="16"/>
              </w:rPr>
              <w:t>with</w:t>
            </w:r>
            <w:proofErr w:type="spellEnd"/>
            <w:r w:rsidR="00F92811" w:rsidRPr="00E16672">
              <w:rPr>
                <w:rFonts w:ascii="Times New Roman" w:hAnsi="Times New Roman"/>
                <w:sz w:val="16"/>
                <w:szCs w:val="16"/>
              </w:rPr>
              <w:t xml:space="preserve"> </w:t>
            </w:r>
            <w:proofErr w:type="spellStart"/>
            <w:r w:rsidR="00F92811" w:rsidRPr="00E16672">
              <w:rPr>
                <w:rFonts w:ascii="Times New Roman" w:hAnsi="Times New Roman"/>
                <w:sz w:val="16"/>
                <w:szCs w:val="16"/>
              </w:rPr>
              <w:t>the</w:t>
            </w:r>
            <w:proofErr w:type="spellEnd"/>
            <w:r w:rsidR="00F92811" w:rsidRPr="00E16672">
              <w:rPr>
                <w:rFonts w:ascii="Times New Roman" w:hAnsi="Times New Roman"/>
                <w:sz w:val="16"/>
                <w:szCs w:val="16"/>
              </w:rPr>
              <w:t xml:space="preserve"> </w:t>
            </w:r>
            <w:proofErr w:type="spellStart"/>
            <w:r w:rsidR="00F92811" w:rsidRPr="00E16672">
              <w:rPr>
                <w:rFonts w:ascii="Times New Roman" w:hAnsi="Times New Roman"/>
                <w:sz w:val="16"/>
                <w:szCs w:val="16"/>
              </w:rPr>
              <w:t>principle</w:t>
            </w:r>
            <w:proofErr w:type="spellEnd"/>
            <w:r w:rsidR="00F92811" w:rsidRPr="00E16672">
              <w:rPr>
                <w:rFonts w:ascii="Times New Roman" w:hAnsi="Times New Roman"/>
                <w:sz w:val="16"/>
                <w:szCs w:val="16"/>
              </w:rPr>
              <w:t xml:space="preserve"> </w:t>
            </w:r>
            <w:proofErr w:type="spellStart"/>
            <w:r w:rsidR="00F92811" w:rsidRPr="00E16672">
              <w:rPr>
                <w:rFonts w:ascii="Times New Roman" w:hAnsi="Times New Roman"/>
                <w:sz w:val="16"/>
                <w:szCs w:val="16"/>
              </w:rPr>
              <w:t>of</w:t>
            </w:r>
            <w:proofErr w:type="spellEnd"/>
            <w:r w:rsidR="00F92811" w:rsidRPr="00E16672">
              <w:rPr>
                <w:rFonts w:ascii="Times New Roman" w:hAnsi="Times New Roman"/>
                <w:sz w:val="16"/>
                <w:szCs w:val="16"/>
              </w:rPr>
              <w:t xml:space="preserve"> "</w:t>
            </w:r>
            <w:proofErr w:type="spellStart"/>
            <w:r w:rsidR="00F92811" w:rsidRPr="00E16672">
              <w:rPr>
                <w:rFonts w:ascii="Times New Roman" w:hAnsi="Times New Roman"/>
                <w:sz w:val="16"/>
                <w:szCs w:val="16"/>
              </w:rPr>
              <w:t>supply</w:t>
            </w:r>
            <w:proofErr w:type="spellEnd"/>
            <w:r w:rsidR="00F92811" w:rsidRPr="00E16672">
              <w:rPr>
                <w:rFonts w:ascii="Times New Roman" w:hAnsi="Times New Roman"/>
                <w:sz w:val="16"/>
                <w:szCs w:val="16"/>
              </w:rPr>
              <w:t xml:space="preserve"> </w:t>
            </w:r>
            <w:proofErr w:type="spellStart"/>
            <w:r w:rsidR="00F92811" w:rsidRPr="00E16672">
              <w:rPr>
                <w:rFonts w:ascii="Times New Roman" w:hAnsi="Times New Roman"/>
                <w:sz w:val="16"/>
                <w:szCs w:val="16"/>
              </w:rPr>
              <w:t>of</w:t>
            </w:r>
            <w:proofErr w:type="spellEnd"/>
            <w:r w:rsidR="00F92811" w:rsidRPr="00E16672">
              <w:rPr>
                <w:rFonts w:ascii="Times New Roman" w:hAnsi="Times New Roman"/>
                <w:sz w:val="16"/>
                <w:szCs w:val="16"/>
              </w:rPr>
              <w:t xml:space="preserve"> </w:t>
            </w:r>
            <w:proofErr w:type="spellStart"/>
            <w:r w:rsidR="00F92811" w:rsidRPr="00E16672">
              <w:rPr>
                <w:rFonts w:ascii="Times New Roman" w:hAnsi="Times New Roman"/>
                <w:sz w:val="16"/>
                <w:szCs w:val="16"/>
              </w:rPr>
              <w:t>securities</w:t>
            </w:r>
            <w:proofErr w:type="spellEnd"/>
            <w:r w:rsidR="00F92811" w:rsidRPr="00E16672">
              <w:rPr>
                <w:rFonts w:ascii="Times New Roman" w:hAnsi="Times New Roman"/>
                <w:sz w:val="16"/>
                <w:szCs w:val="16"/>
              </w:rPr>
              <w:t xml:space="preserve"> </w:t>
            </w:r>
            <w:r w:rsidR="00F92811" w:rsidRPr="00E16672">
              <w:rPr>
                <w:rFonts w:ascii="Times New Roman" w:hAnsi="Times New Roman"/>
                <w:sz w:val="16"/>
                <w:szCs w:val="16"/>
                <w:lang w:val="en-US"/>
              </w:rPr>
              <w:t>against</w:t>
            </w:r>
            <w:r w:rsidR="00F92811" w:rsidRPr="00E16672">
              <w:rPr>
                <w:rFonts w:ascii="Times New Roman" w:hAnsi="Times New Roman"/>
                <w:sz w:val="16"/>
                <w:szCs w:val="16"/>
              </w:rPr>
              <w:t xml:space="preserve"> </w:t>
            </w:r>
            <w:proofErr w:type="spellStart"/>
            <w:r w:rsidR="00F92811" w:rsidRPr="00E16672">
              <w:rPr>
                <w:rFonts w:ascii="Times New Roman" w:hAnsi="Times New Roman"/>
                <w:sz w:val="16"/>
                <w:szCs w:val="16"/>
              </w:rPr>
              <w:t>payment</w:t>
            </w:r>
            <w:proofErr w:type="spellEnd"/>
            <w:r w:rsidR="00F92811" w:rsidRPr="00E16672">
              <w:rPr>
                <w:rFonts w:ascii="Times New Roman" w:hAnsi="Times New Roman"/>
                <w:sz w:val="16"/>
                <w:szCs w:val="16"/>
              </w:rPr>
              <w:t xml:space="preserve">" </w:t>
            </w:r>
            <w:proofErr w:type="spellStart"/>
            <w:r w:rsidR="00F92811" w:rsidRPr="00E16672">
              <w:rPr>
                <w:rFonts w:ascii="Times New Roman" w:hAnsi="Times New Roman"/>
                <w:sz w:val="16"/>
                <w:szCs w:val="16"/>
              </w:rPr>
              <w:t>to</w:t>
            </w:r>
            <w:proofErr w:type="spellEnd"/>
            <w:r w:rsidR="00F92811" w:rsidRPr="00E16672">
              <w:rPr>
                <w:rFonts w:ascii="Times New Roman" w:hAnsi="Times New Roman"/>
                <w:sz w:val="16"/>
                <w:szCs w:val="16"/>
              </w:rPr>
              <w:t xml:space="preserve"> </w:t>
            </w:r>
            <w:proofErr w:type="spellStart"/>
            <w:r w:rsidR="00F92811" w:rsidRPr="00E16672">
              <w:rPr>
                <w:rFonts w:ascii="Times New Roman" w:hAnsi="Times New Roman"/>
                <w:sz w:val="16"/>
                <w:szCs w:val="16"/>
              </w:rPr>
              <w:t>perform</w:t>
            </w:r>
            <w:proofErr w:type="spellEnd"/>
            <w:r w:rsidR="00F92811" w:rsidRPr="00E16672">
              <w:rPr>
                <w:rFonts w:ascii="Times New Roman" w:hAnsi="Times New Roman"/>
                <w:sz w:val="16"/>
                <w:szCs w:val="16"/>
              </w:rPr>
              <w:t xml:space="preserve"> </w:t>
            </w:r>
            <w:proofErr w:type="spellStart"/>
            <w:r w:rsidR="00F92811" w:rsidRPr="00E16672">
              <w:rPr>
                <w:rFonts w:ascii="Times New Roman" w:hAnsi="Times New Roman"/>
                <w:sz w:val="16"/>
                <w:szCs w:val="16"/>
              </w:rPr>
              <w:t>on</w:t>
            </w:r>
            <w:proofErr w:type="spellEnd"/>
            <w:r w:rsidR="00F92811" w:rsidRPr="00E16672">
              <w:rPr>
                <w:rFonts w:ascii="Times New Roman" w:hAnsi="Times New Roman"/>
                <w:sz w:val="16"/>
                <w:szCs w:val="16"/>
              </w:rPr>
              <w:t xml:space="preserve"> </w:t>
            </w:r>
            <w:proofErr w:type="spellStart"/>
            <w:r w:rsidR="00F92811" w:rsidRPr="00E16672">
              <w:rPr>
                <w:rFonts w:ascii="Times New Roman" w:hAnsi="Times New Roman"/>
                <w:sz w:val="16"/>
                <w:szCs w:val="16"/>
              </w:rPr>
              <w:t>account</w:t>
            </w:r>
            <w:proofErr w:type="spellEnd"/>
            <w:r w:rsidR="00F92811" w:rsidRPr="00E16672">
              <w:rPr>
                <w:rFonts w:ascii="Times New Roman" w:hAnsi="Times New Roman"/>
                <w:sz w:val="16"/>
                <w:szCs w:val="16"/>
              </w:rPr>
              <w:t xml:space="preserve"> </w:t>
            </w:r>
            <w:proofErr w:type="spellStart"/>
            <w:r w:rsidR="00F92811" w:rsidRPr="00E16672">
              <w:rPr>
                <w:rFonts w:ascii="Times New Roman" w:hAnsi="Times New Roman"/>
                <w:sz w:val="16"/>
                <w:szCs w:val="16"/>
              </w:rPr>
              <w:t>of</w:t>
            </w:r>
            <w:proofErr w:type="spellEnd"/>
            <w:r w:rsidR="00F92811" w:rsidRPr="00E16672">
              <w:rPr>
                <w:rFonts w:ascii="Times New Roman" w:hAnsi="Times New Roman"/>
                <w:sz w:val="16"/>
                <w:szCs w:val="16"/>
              </w:rPr>
              <w:t xml:space="preserve"> </w:t>
            </w:r>
            <w:proofErr w:type="spellStart"/>
            <w:r w:rsidR="00F92811" w:rsidRPr="00E16672">
              <w:rPr>
                <w:rFonts w:ascii="Times New Roman" w:hAnsi="Times New Roman"/>
                <w:sz w:val="16"/>
                <w:szCs w:val="16"/>
              </w:rPr>
              <w:t>the</w:t>
            </w:r>
            <w:proofErr w:type="spellEnd"/>
            <w:r w:rsidR="00F92811" w:rsidRPr="00E16672">
              <w:rPr>
                <w:rFonts w:ascii="Times New Roman" w:hAnsi="Times New Roman"/>
                <w:sz w:val="16"/>
                <w:szCs w:val="16"/>
              </w:rPr>
              <w:t xml:space="preserve"> </w:t>
            </w:r>
            <w:proofErr w:type="spellStart"/>
            <w:r w:rsidR="00F92811" w:rsidRPr="00E16672">
              <w:rPr>
                <w:rFonts w:ascii="Times New Roman" w:hAnsi="Times New Roman"/>
                <w:sz w:val="16"/>
                <w:szCs w:val="16"/>
              </w:rPr>
              <w:t>Depositor's</w:t>
            </w:r>
            <w:proofErr w:type="spellEnd"/>
            <w:r w:rsidR="00F92811" w:rsidRPr="00E16672">
              <w:rPr>
                <w:rFonts w:ascii="Times New Roman" w:hAnsi="Times New Roman"/>
                <w:sz w:val="16"/>
                <w:szCs w:val="16"/>
              </w:rPr>
              <w:t xml:space="preserve"> </w:t>
            </w:r>
            <w:proofErr w:type="spellStart"/>
            <w:r w:rsidR="00F92811" w:rsidRPr="00E16672">
              <w:rPr>
                <w:rFonts w:ascii="Times New Roman" w:hAnsi="Times New Roman"/>
                <w:sz w:val="16"/>
                <w:szCs w:val="16"/>
              </w:rPr>
              <w:t>securities</w:t>
            </w:r>
            <w:proofErr w:type="spellEnd"/>
            <w:r w:rsidR="00F92811" w:rsidRPr="00E16672">
              <w:rPr>
                <w:rFonts w:ascii="Times New Roman" w:hAnsi="Times New Roman"/>
                <w:sz w:val="16"/>
                <w:szCs w:val="16"/>
              </w:rPr>
              <w:t xml:space="preserve"> </w:t>
            </w:r>
            <w:proofErr w:type="spellStart"/>
            <w:r w:rsidR="00F92811" w:rsidRPr="00E16672">
              <w:rPr>
                <w:rFonts w:ascii="Times New Roman" w:hAnsi="Times New Roman"/>
                <w:sz w:val="16"/>
                <w:szCs w:val="16"/>
              </w:rPr>
              <w:t>depository</w:t>
            </w:r>
            <w:proofErr w:type="spellEnd"/>
            <w:r w:rsidR="00F92811" w:rsidRPr="00E16672">
              <w:rPr>
                <w:rFonts w:ascii="Times New Roman" w:hAnsi="Times New Roman"/>
                <w:sz w:val="16"/>
                <w:szCs w:val="16"/>
              </w:rPr>
              <w:t xml:space="preserve"> </w:t>
            </w:r>
            <w:proofErr w:type="spellStart"/>
            <w:r w:rsidR="00F92811" w:rsidRPr="00E16672">
              <w:rPr>
                <w:rFonts w:ascii="Times New Roman" w:hAnsi="Times New Roman"/>
                <w:sz w:val="16"/>
                <w:szCs w:val="16"/>
              </w:rPr>
              <w:t>transactions</w:t>
            </w:r>
            <w:proofErr w:type="spellEnd"/>
            <w:r w:rsidR="00F92811" w:rsidRPr="00E16672">
              <w:rPr>
                <w:rFonts w:ascii="Times New Roman" w:hAnsi="Times New Roman"/>
                <w:sz w:val="16"/>
                <w:szCs w:val="16"/>
              </w:rPr>
              <w:t xml:space="preserve"> </w:t>
            </w:r>
            <w:proofErr w:type="spellStart"/>
            <w:r w:rsidR="00F92811" w:rsidRPr="00E16672">
              <w:rPr>
                <w:rFonts w:ascii="Times New Roman" w:hAnsi="Times New Roman"/>
                <w:sz w:val="16"/>
                <w:szCs w:val="16"/>
              </w:rPr>
              <w:t>in</w:t>
            </w:r>
            <w:proofErr w:type="spellEnd"/>
            <w:r w:rsidR="00F92811" w:rsidRPr="00E16672">
              <w:rPr>
                <w:rFonts w:ascii="Times New Roman" w:hAnsi="Times New Roman"/>
                <w:sz w:val="16"/>
                <w:szCs w:val="16"/>
              </w:rPr>
              <w:t xml:space="preserve"> </w:t>
            </w:r>
            <w:proofErr w:type="spellStart"/>
            <w:r w:rsidR="00F92811" w:rsidRPr="00E16672">
              <w:rPr>
                <w:rFonts w:ascii="Times New Roman" w:hAnsi="Times New Roman"/>
                <w:sz w:val="16"/>
                <w:szCs w:val="16"/>
              </w:rPr>
              <w:t>securities</w:t>
            </w:r>
            <w:proofErr w:type="spellEnd"/>
            <w:r w:rsidR="00F92811" w:rsidRPr="00E16672">
              <w:rPr>
                <w:rFonts w:ascii="Times New Roman" w:hAnsi="Times New Roman"/>
                <w:sz w:val="16"/>
                <w:szCs w:val="16"/>
              </w:rPr>
              <w:t xml:space="preserve"> </w:t>
            </w:r>
            <w:proofErr w:type="spellStart"/>
            <w:r w:rsidR="00F92811" w:rsidRPr="00E16672">
              <w:rPr>
                <w:rFonts w:ascii="Times New Roman" w:hAnsi="Times New Roman"/>
                <w:sz w:val="16"/>
                <w:szCs w:val="16"/>
              </w:rPr>
              <w:t>without</w:t>
            </w:r>
            <w:proofErr w:type="spellEnd"/>
            <w:r w:rsidR="00F92811" w:rsidRPr="00E16672">
              <w:rPr>
                <w:rFonts w:ascii="Times New Roman" w:hAnsi="Times New Roman"/>
                <w:sz w:val="16"/>
                <w:szCs w:val="16"/>
              </w:rPr>
              <w:t xml:space="preserve"> </w:t>
            </w:r>
            <w:proofErr w:type="spellStart"/>
            <w:r w:rsidR="00F92811" w:rsidRPr="00E16672">
              <w:rPr>
                <w:rFonts w:ascii="Times New Roman" w:hAnsi="Times New Roman"/>
                <w:sz w:val="16"/>
                <w:szCs w:val="16"/>
              </w:rPr>
              <w:t>available</w:t>
            </w:r>
            <w:proofErr w:type="spellEnd"/>
            <w:r w:rsidR="00F92811" w:rsidRPr="00E16672">
              <w:rPr>
                <w:rFonts w:ascii="Times New Roman" w:hAnsi="Times New Roman"/>
                <w:sz w:val="16"/>
                <w:szCs w:val="16"/>
              </w:rPr>
              <w:t xml:space="preserve"> </w:t>
            </w:r>
            <w:r w:rsidR="00F92811" w:rsidRPr="00E16672">
              <w:rPr>
                <w:rFonts w:ascii="Times New Roman" w:hAnsi="Times New Roman"/>
                <w:sz w:val="16"/>
                <w:szCs w:val="16"/>
                <w:lang w:val="en-US"/>
              </w:rPr>
              <w:t>D</w:t>
            </w:r>
            <w:proofErr w:type="spellStart"/>
            <w:r w:rsidR="00F92811" w:rsidRPr="00E16672">
              <w:rPr>
                <w:rFonts w:ascii="Times New Roman" w:hAnsi="Times New Roman"/>
                <w:sz w:val="16"/>
                <w:szCs w:val="16"/>
              </w:rPr>
              <w:t>epositor</w:t>
            </w:r>
            <w:proofErr w:type="spellEnd"/>
            <w:r w:rsidR="00F92811" w:rsidRPr="00E16672">
              <w:rPr>
                <w:rFonts w:ascii="Times New Roman" w:hAnsi="Times New Roman"/>
                <w:sz w:val="16"/>
                <w:szCs w:val="16"/>
              </w:rPr>
              <w:t xml:space="preserve"> </w:t>
            </w:r>
            <w:proofErr w:type="spellStart"/>
            <w:r w:rsidR="00F92811" w:rsidRPr="00E16672">
              <w:rPr>
                <w:rFonts w:ascii="Times New Roman" w:hAnsi="Times New Roman"/>
                <w:sz w:val="16"/>
                <w:szCs w:val="16"/>
              </w:rPr>
              <w:t>solely</w:t>
            </w:r>
            <w:proofErr w:type="spellEnd"/>
            <w:r w:rsidR="00F92811" w:rsidRPr="00E16672">
              <w:rPr>
                <w:rFonts w:ascii="Times New Roman" w:hAnsi="Times New Roman"/>
                <w:sz w:val="16"/>
                <w:szCs w:val="16"/>
              </w:rPr>
              <w:t xml:space="preserve"> </w:t>
            </w:r>
            <w:proofErr w:type="spellStart"/>
            <w:r w:rsidR="00F92811" w:rsidRPr="00E16672">
              <w:rPr>
                <w:rFonts w:ascii="Times New Roman" w:hAnsi="Times New Roman"/>
                <w:sz w:val="16"/>
                <w:szCs w:val="16"/>
              </w:rPr>
              <w:t>on</w:t>
            </w:r>
            <w:proofErr w:type="spellEnd"/>
            <w:r w:rsidR="00F92811" w:rsidRPr="00E16672">
              <w:rPr>
                <w:rFonts w:ascii="Times New Roman" w:hAnsi="Times New Roman"/>
                <w:sz w:val="16"/>
                <w:szCs w:val="16"/>
              </w:rPr>
              <w:t xml:space="preserve"> </w:t>
            </w:r>
            <w:proofErr w:type="spellStart"/>
            <w:r w:rsidR="00F92811" w:rsidRPr="00E16672">
              <w:rPr>
                <w:rFonts w:ascii="Times New Roman" w:hAnsi="Times New Roman"/>
                <w:sz w:val="16"/>
                <w:szCs w:val="16"/>
              </w:rPr>
              <w:t>the</w:t>
            </w:r>
            <w:proofErr w:type="spellEnd"/>
            <w:r w:rsidR="00F92811" w:rsidRPr="00E16672">
              <w:rPr>
                <w:rFonts w:ascii="Times New Roman" w:hAnsi="Times New Roman"/>
                <w:sz w:val="16"/>
                <w:szCs w:val="16"/>
              </w:rPr>
              <w:t xml:space="preserve"> </w:t>
            </w:r>
            <w:proofErr w:type="spellStart"/>
            <w:r w:rsidR="00F92811" w:rsidRPr="00E16672">
              <w:rPr>
                <w:rFonts w:ascii="Times New Roman" w:hAnsi="Times New Roman"/>
                <w:sz w:val="16"/>
                <w:szCs w:val="16"/>
              </w:rPr>
              <w:t>orders</w:t>
            </w:r>
            <w:proofErr w:type="spellEnd"/>
            <w:r w:rsidR="00F92811" w:rsidRPr="00E16672">
              <w:rPr>
                <w:rFonts w:ascii="Times New Roman" w:hAnsi="Times New Roman"/>
                <w:sz w:val="16"/>
                <w:szCs w:val="16"/>
              </w:rPr>
              <w:t xml:space="preserve"> </w:t>
            </w:r>
            <w:proofErr w:type="spellStart"/>
            <w:r w:rsidR="00F92811" w:rsidRPr="00E16672">
              <w:rPr>
                <w:rFonts w:ascii="Times New Roman" w:hAnsi="Times New Roman"/>
                <w:sz w:val="16"/>
                <w:szCs w:val="16"/>
              </w:rPr>
              <w:t>of</w:t>
            </w:r>
            <w:proofErr w:type="spellEnd"/>
            <w:r w:rsidR="00F92811" w:rsidRPr="00E16672">
              <w:rPr>
                <w:rFonts w:ascii="Times New Roman" w:hAnsi="Times New Roman"/>
                <w:sz w:val="16"/>
                <w:szCs w:val="16"/>
              </w:rPr>
              <w:t xml:space="preserve"> </w:t>
            </w:r>
            <w:proofErr w:type="spellStart"/>
            <w:r w:rsidR="00F92811" w:rsidRPr="00E16672">
              <w:rPr>
                <w:rFonts w:ascii="Times New Roman" w:hAnsi="Times New Roman"/>
                <w:sz w:val="16"/>
                <w:szCs w:val="16"/>
              </w:rPr>
              <w:t>the</w:t>
            </w:r>
            <w:proofErr w:type="spellEnd"/>
            <w:r w:rsidR="00F92811" w:rsidRPr="00E16672">
              <w:rPr>
                <w:rFonts w:ascii="Times New Roman" w:hAnsi="Times New Roman"/>
                <w:sz w:val="16"/>
                <w:szCs w:val="16"/>
              </w:rPr>
              <w:t xml:space="preserve"> </w:t>
            </w:r>
            <w:proofErr w:type="spellStart"/>
            <w:r w:rsidR="00F92811" w:rsidRPr="00E16672">
              <w:rPr>
                <w:rFonts w:ascii="Times New Roman" w:hAnsi="Times New Roman"/>
                <w:sz w:val="16"/>
                <w:szCs w:val="16"/>
              </w:rPr>
              <w:t>Central</w:t>
            </w:r>
            <w:proofErr w:type="spellEnd"/>
            <w:r w:rsidR="00F92811" w:rsidRPr="00E16672">
              <w:rPr>
                <w:rFonts w:ascii="Times New Roman" w:hAnsi="Times New Roman"/>
                <w:sz w:val="16"/>
                <w:szCs w:val="16"/>
              </w:rPr>
              <w:t xml:space="preserve"> </w:t>
            </w:r>
            <w:proofErr w:type="spellStart"/>
            <w:r w:rsidR="00F92811" w:rsidRPr="00E16672">
              <w:rPr>
                <w:rFonts w:ascii="Times New Roman" w:hAnsi="Times New Roman"/>
                <w:sz w:val="16"/>
                <w:szCs w:val="16"/>
              </w:rPr>
              <w:t>Depository</w:t>
            </w:r>
            <w:proofErr w:type="spellEnd"/>
            <w:r w:rsidR="00F92811" w:rsidRPr="00E16672">
              <w:rPr>
                <w:rFonts w:ascii="Times New Roman" w:hAnsi="Times New Roman"/>
                <w:sz w:val="16"/>
                <w:szCs w:val="16"/>
              </w:rPr>
              <w:t xml:space="preserve"> </w:t>
            </w:r>
            <w:proofErr w:type="spellStart"/>
            <w:r w:rsidR="00F92811" w:rsidRPr="00E16672">
              <w:rPr>
                <w:rFonts w:ascii="Times New Roman" w:hAnsi="Times New Roman"/>
                <w:sz w:val="16"/>
                <w:szCs w:val="16"/>
              </w:rPr>
              <w:t>and</w:t>
            </w:r>
            <w:proofErr w:type="spellEnd"/>
            <w:r w:rsidR="00F92811" w:rsidRPr="00E16672">
              <w:rPr>
                <w:rFonts w:ascii="Times New Roman" w:hAnsi="Times New Roman"/>
                <w:sz w:val="16"/>
                <w:szCs w:val="16"/>
              </w:rPr>
              <w:t xml:space="preserve"> </w:t>
            </w:r>
            <w:proofErr w:type="spellStart"/>
            <w:r w:rsidR="00F92811" w:rsidRPr="00E16672">
              <w:rPr>
                <w:rFonts w:ascii="Times New Roman" w:hAnsi="Times New Roman"/>
                <w:sz w:val="16"/>
                <w:szCs w:val="16"/>
              </w:rPr>
              <w:t>information</w:t>
            </w:r>
            <w:proofErr w:type="spellEnd"/>
            <w:r w:rsidR="00F92811" w:rsidRPr="00E16672">
              <w:rPr>
                <w:rFonts w:ascii="Times New Roman" w:hAnsi="Times New Roman"/>
                <w:sz w:val="16"/>
                <w:szCs w:val="16"/>
              </w:rPr>
              <w:t xml:space="preserve"> </w:t>
            </w:r>
            <w:proofErr w:type="spellStart"/>
            <w:r w:rsidR="00F92811" w:rsidRPr="00E16672">
              <w:rPr>
                <w:rFonts w:ascii="Times New Roman" w:hAnsi="Times New Roman"/>
                <w:sz w:val="16"/>
                <w:szCs w:val="16"/>
              </w:rPr>
              <w:t>provided</w:t>
            </w:r>
            <w:proofErr w:type="spellEnd"/>
            <w:r w:rsidR="00F92811" w:rsidRPr="00E16672">
              <w:rPr>
                <w:rFonts w:ascii="Times New Roman" w:hAnsi="Times New Roman"/>
                <w:sz w:val="16"/>
                <w:szCs w:val="16"/>
              </w:rPr>
              <w:t xml:space="preserve"> </w:t>
            </w:r>
            <w:proofErr w:type="spellStart"/>
            <w:r w:rsidR="00F92811" w:rsidRPr="00E16672">
              <w:rPr>
                <w:rFonts w:ascii="Times New Roman" w:hAnsi="Times New Roman"/>
                <w:sz w:val="16"/>
                <w:szCs w:val="16"/>
              </w:rPr>
              <w:t>by</w:t>
            </w:r>
            <w:proofErr w:type="spellEnd"/>
            <w:r w:rsidR="00F92811" w:rsidRPr="00E16672">
              <w:rPr>
                <w:rFonts w:ascii="Times New Roman" w:hAnsi="Times New Roman"/>
                <w:sz w:val="16"/>
                <w:szCs w:val="16"/>
              </w:rPr>
              <w:t xml:space="preserve"> </w:t>
            </w:r>
            <w:proofErr w:type="spellStart"/>
            <w:r w:rsidR="00F92811" w:rsidRPr="00E16672">
              <w:rPr>
                <w:rFonts w:ascii="Times New Roman" w:hAnsi="Times New Roman"/>
                <w:sz w:val="16"/>
                <w:szCs w:val="16"/>
              </w:rPr>
              <w:t>the</w:t>
            </w:r>
            <w:proofErr w:type="spellEnd"/>
            <w:r w:rsidR="00F92811" w:rsidRPr="00E16672">
              <w:rPr>
                <w:rFonts w:ascii="Times New Roman" w:hAnsi="Times New Roman"/>
                <w:sz w:val="16"/>
                <w:szCs w:val="16"/>
              </w:rPr>
              <w:t xml:space="preserve"> </w:t>
            </w:r>
            <w:r w:rsidR="00F92811" w:rsidRPr="00E16672">
              <w:rPr>
                <w:rFonts w:ascii="Times New Roman" w:hAnsi="Times New Roman"/>
                <w:sz w:val="16"/>
                <w:szCs w:val="16"/>
                <w:lang w:val="en-US"/>
              </w:rPr>
              <w:t>D</w:t>
            </w:r>
            <w:proofErr w:type="spellStart"/>
            <w:r w:rsidR="00F92811" w:rsidRPr="00E16672">
              <w:rPr>
                <w:rFonts w:ascii="Times New Roman" w:hAnsi="Times New Roman"/>
                <w:sz w:val="16"/>
                <w:szCs w:val="16"/>
              </w:rPr>
              <w:t>epository</w:t>
            </w:r>
            <w:proofErr w:type="spellEnd"/>
            <w:r w:rsidR="00F92811" w:rsidRPr="00E16672">
              <w:rPr>
                <w:rFonts w:ascii="Times New Roman" w:hAnsi="Times New Roman"/>
                <w:sz w:val="16"/>
                <w:szCs w:val="16"/>
              </w:rPr>
              <w:t xml:space="preserve"> </w:t>
            </w:r>
            <w:proofErr w:type="spellStart"/>
            <w:r w:rsidR="00F92811" w:rsidRPr="00E16672">
              <w:rPr>
                <w:rFonts w:ascii="Times New Roman" w:hAnsi="Times New Roman"/>
                <w:sz w:val="16"/>
                <w:szCs w:val="16"/>
              </w:rPr>
              <w:t>institution</w:t>
            </w:r>
            <w:proofErr w:type="spellEnd"/>
            <w:r w:rsidR="00F92811" w:rsidRPr="00E16672">
              <w:rPr>
                <w:rFonts w:ascii="Times New Roman" w:hAnsi="Times New Roman"/>
                <w:sz w:val="16"/>
                <w:szCs w:val="16"/>
              </w:rPr>
              <w:t xml:space="preserve"> </w:t>
            </w:r>
            <w:proofErr w:type="spellStart"/>
            <w:r w:rsidR="00F92811" w:rsidRPr="00E16672">
              <w:rPr>
                <w:rFonts w:ascii="Times New Roman" w:hAnsi="Times New Roman"/>
                <w:sz w:val="16"/>
                <w:szCs w:val="16"/>
              </w:rPr>
              <w:t>in</w:t>
            </w:r>
            <w:proofErr w:type="spellEnd"/>
            <w:r w:rsidR="00F92811" w:rsidRPr="00E16672">
              <w:rPr>
                <w:rFonts w:ascii="Times New Roman" w:hAnsi="Times New Roman"/>
                <w:sz w:val="16"/>
                <w:szCs w:val="16"/>
              </w:rPr>
              <w:t xml:space="preserve"> </w:t>
            </w:r>
            <w:proofErr w:type="spellStart"/>
            <w:r w:rsidR="00F92811" w:rsidRPr="00E16672">
              <w:rPr>
                <w:rFonts w:ascii="Times New Roman" w:hAnsi="Times New Roman"/>
                <w:sz w:val="16"/>
                <w:szCs w:val="16"/>
              </w:rPr>
              <w:t>accordance</w:t>
            </w:r>
            <w:proofErr w:type="spellEnd"/>
            <w:r w:rsidR="00F92811" w:rsidRPr="00E16672">
              <w:rPr>
                <w:rFonts w:ascii="Times New Roman" w:hAnsi="Times New Roman"/>
                <w:sz w:val="16"/>
                <w:szCs w:val="16"/>
              </w:rPr>
              <w:t xml:space="preserve"> </w:t>
            </w:r>
            <w:proofErr w:type="spellStart"/>
            <w:r w:rsidR="00F92811" w:rsidRPr="00E16672">
              <w:rPr>
                <w:rFonts w:ascii="Times New Roman" w:hAnsi="Times New Roman"/>
                <w:sz w:val="16"/>
                <w:szCs w:val="16"/>
              </w:rPr>
              <w:t>with</w:t>
            </w:r>
            <w:proofErr w:type="spellEnd"/>
            <w:r w:rsidR="00F92811" w:rsidRPr="00E16672">
              <w:rPr>
                <w:rFonts w:ascii="Times New Roman" w:hAnsi="Times New Roman"/>
                <w:sz w:val="16"/>
                <w:szCs w:val="16"/>
              </w:rPr>
              <w:t xml:space="preserve"> </w:t>
            </w:r>
            <w:proofErr w:type="spellStart"/>
            <w:r w:rsidR="00F92811" w:rsidRPr="00E16672">
              <w:rPr>
                <w:rFonts w:ascii="Times New Roman" w:hAnsi="Times New Roman"/>
                <w:sz w:val="16"/>
                <w:szCs w:val="16"/>
              </w:rPr>
              <w:t>the</w:t>
            </w:r>
            <w:proofErr w:type="spellEnd"/>
            <w:r w:rsidR="00F92811" w:rsidRPr="00E16672">
              <w:rPr>
                <w:rFonts w:ascii="Times New Roman" w:hAnsi="Times New Roman"/>
                <w:sz w:val="16"/>
                <w:szCs w:val="16"/>
              </w:rPr>
              <w:t xml:space="preserve"> </w:t>
            </w:r>
            <w:proofErr w:type="spellStart"/>
            <w:r w:rsidR="00F92811" w:rsidRPr="00E16672">
              <w:rPr>
                <w:rFonts w:ascii="Times New Roman" w:hAnsi="Times New Roman"/>
                <w:sz w:val="16"/>
                <w:szCs w:val="16"/>
              </w:rPr>
              <w:t>information</w:t>
            </w:r>
            <w:proofErr w:type="spellEnd"/>
            <w:r w:rsidR="00F92811" w:rsidRPr="00E16672">
              <w:rPr>
                <w:rFonts w:ascii="Times New Roman" w:hAnsi="Times New Roman"/>
                <w:sz w:val="16"/>
                <w:szCs w:val="16"/>
              </w:rPr>
              <w:t xml:space="preserve"> </w:t>
            </w:r>
            <w:proofErr w:type="spellStart"/>
            <w:r w:rsidR="00F92811" w:rsidRPr="00E16672">
              <w:rPr>
                <w:rFonts w:ascii="Times New Roman" w:hAnsi="Times New Roman"/>
                <w:sz w:val="16"/>
                <w:szCs w:val="16"/>
              </w:rPr>
              <w:t>received</w:t>
            </w:r>
            <w:proofErr w:type="spellEnd"/>
            <w:r w:rsidR="00F92811" w:rsidRPr="00E16672">
              <w:rPr>
                <w:rFonts w:ascii="Times New Roman" w:hAnsi="Times New Roman"/>
                <w:sz w:val="16"/>
                <w:szCs w:val="16"/>
              </w:rPr>
              <w:t xml:space="preserve"> </w:t>
            </w:r>
            <w:r w:rsidR="00F92811" w:rsidRPr="00E16672">
              <w:rPr>
                <w:rFonts w:ascii="Times New Roman" w:hAnsi="Times New Roman"/>
                <w:sz w:val="16"/>
                <w:szCs w:val="16"/>
                <w:lang w:val="en-US"/>
              </w:rPr>
              <w:t xml:space="preserve"> by </w:t>
            </w:r>
            <w:proofErr w:type="spellStart"/>
            <w:r w:rsidR="00F92811" w:rsidRPr="00E16672">
              <w:rPr>
                <w:rFonts w:ascii="Times New Roman" w:hAnsi="Times New Roman"/>
                <w:sz w:val="16"/>
                <w:szCs w:val="16"/>
              </w:rPr>
              <w:t>Central</w:t>
            </w:r>
            <w:proofErr w:type="spellEnd"/>
            <w:r w:rsidR="00F92811" w:rsidRPr="00E16672">
              <w:rPr>
                <w:rFonts w:ascii="Times New Roman" w:hAnsi="Times New Roman"/>
                <w:sz w:val="16"/>
                <w:szCs w:val="16"/>
              </w:rPr>
              <w:t xml:space="preserve"> </w:t>
            </w:r>
            <w:proofErr w:type="spellStart"/>
            <w:r w:rsidR="00F92811" w:rsidRPr="00E16672">
              <w:rPr>
                <w:rFonts w:ascii="Times New Roman" w:hAnsi="Times New Roman"/>
                <w:sz w:val="16"/>
                <w:szCs w:val="16"/>
              </w:rPr>
              <w:t>Depository</w:t>
            </w:r>
            <w:proofErr w:type="spellEnd"/>
            <w:r w:rsidR="00F92811" w:rsidRPr="00E16672">
              <w:rPr>
                <w:rFonts w:ascii="Times New Roman" w:hAnsi="Times New Roman"/>
                <w:sz w:val="16"/>
                <w:szCs w:val="16"/>
              </w:rPr>
              <w:t xml:space="preserve"> </w:t>
            </w:r>
            <w:proofErr w:type="spellStart"/>
            <w:r w:rsidR="00F92811" w:rsidRPr="00E16672">
              <w:rPr>
                <w:rFonts w:ascii="Times New Roman" w:hAnsi="Times New Roman"/>
                <w:sz w:val="16"/>
                <w:szCs w:val="16"/>
              </w:rPr>
              <w:t>from</w:t>
            </w:r>
            <w:proofErr w:type="spellEnd"/>
            <w:r w:rsidR="00F92811" w:rsidRPr="00E16672">
              <w:rPr>
                <w:rFonts w:ascii="Times New Roman" w:hAnsi="Times New Roman"/>
                <w:sz w:val="16"/>
                <w:szCs w:val="16"/>
              </w:rPr>
              <w:t xml:space="preserve"> </w:t>
            </w:r>
            <w:proofErr w:type="spellStart"/>
            <w:r w:rsidR="00F92811" w:rsidRPr="00E16672">
              <w:rPr>
                <w:rFonts w:ascii="Times New Roman" w:hAnsi="Times New Roman"/>
                <w:sz w:val="16"/>
                <w:szCs w:val="16"/>
              </w:rPr>
              <w:t>the</w:t>
            </w:r>
            <w:proofErr w:type="spellEnd"/>
            <w:r w:rsidR="00F92811" w:rsidRPr="00E16672">
              <w:rPr>
                <w:rFonts w:ascii="Times New Roman" w:hAnsi="Times New Roman"/>
                <w:sz w:val="16"/>
                <w:szCs w:val="16"/>
              </w:rPr>
              <w:t xml:space="preserve"> </w:t>
            </w:r>
            <w:r w:rsidR="00F92811" w:rsidRPr="00E16672">
              <w:rPr>
                <w:rFonts w:ascii="Times New Roman" w:hAnsi="Times New Roman"/>
                <w:sz w:val="16"/>
                <w:szCs w:val="16"/>
                <w:lang w:val="en-US"/>
              </w:rPr>
              <w:t>Accounting</w:t>
            </w:r>
            <w:r w:rsidR="00F92811" w:rsidRPr="00E16672">
              <w:rPr>
                <w:rFonts w:ascii="Times New Roman" w:hAnsi="Times New Roman"/>
                <w:sz w:val="16"/>
                <w:szCs w:val="16"/>
              </w:rPr>
              <w:t xml:space="preserve"> </w:t>
            </w:r>
            <w:proofErr w:type="spellStart"/>
            <w:r w:rsidR="00F92811" w:rsidRPr="00E16672">
              <w:rPr>
                <w:rFonts w:ascii="Times New Roman" w:hAnsi="Times New Roman"/>
                <w:sz w:val="16"/>
                <w:szCs w:val="16"/>
              </w:rPr>
              <w:t>center</w:t>
            </w:r>
            <w:proofErr w:type="spellEnd"/>
            <w:r w:rsidR="00F92811" w:rsidRPr="00E16672">
              <w:rPr>
                <w:rFonts w:ascii="Times New Roman" w:hAnsi="Times New Roman"/>
                <w:sz w:val="16"/>
                <w:szCs w:val="16"/>
              </w:rPr>
              <w:t xml:space="preserve"> </w:t>
            </w:r>
            <w:proofErr w:type="spellStart"/>
            <w:r w:rsidR="00F92811" w:rsidRPr="00E16672">
              <w:rPr>
                <w:rFonts w:ascii="Times New Roman" w:hAnsi="Times New Roman"/>
                <w:sz w:val="16"/>
                <w:szCs w:val="16"/>
              </w:rPr>
              <w:t>or</w:t>
            </w:r>
            <w:proofErr w:type="spellEnd"/>
            <w:r w:rsidR="00F92811" w:rsidRPr="00E16672">
              <w:rPr>
                <w:rFonts w:ascii="Times New Roman" w:hAnsi="Times New Roman"/>
                <w:sz w:val="16"/>
                <w:szCs w:val="16"/>
              </w:rPr>
              <w:t xml:space="preserve"> </w:t>
            </w:r>
            <w:proofErr w:type="spellStart"/>
            <w:r w:rsidR="00F92811" w:rsidRPr="00E16672">
              <w:rPr>
                <w:rFonts w:ascii="Times New Roman" w:hAnsi="Times New Roman"/>
                <w:sz w:val="16"/>
                <w:szCs w:val="16"/>
              </w:rPr>
              <w:t>clearing</w:t>
            </w:r>
            <w:proofErr w:type="spellEnd"/>
            <w:r w:rsidR="00F92811" w:rsidRPr="00E16672">
              <w:rPr>
                <w:rFonts w:ascii="Times New Roman" w:hAnsi="Times New Roman"/>
                <w:sz w:val="16"/>
                <w:szCs w:val="16"/>
              </w:rPr>
              <w:t xml:space="preserve"> </w:t>
            </w:r>
            <w:proofErr w:type="spellStart"/>
            <w:r w:rsidR="00F92811" w:rsidRPr="00E16672">
              <w:rPr>
                <w:rFonts w:ascii="Times New Roman" w:hAnsi="Times New Roman"/>
                <w:sz w:val="16"/>
                <w:szCs w:val="16"/>
              </w:rPr>
              <w:t>institution</w:t>
            </w:r>
            <w:proofErr w:type="spellEnd"/>
            <w:r w:rsidRPr="00E16672">
              <w:rPr>
                <w:rFonts w:ascii="Times New Roman" w:hAnsi="Times New Roman"/>
                <w:sz w:val="16"/>
                <w:szCs w:val="16"/>
              </w:rPr>
              <w:t>.</w:t>
            </w:r>
          </w:p>
        </w:tc>
      </w:tr>
      <w:tr w:rsidR="00F92811" w:rsidRPr="00F23413" w14:paraId="13AAAD88" w14:textId="77777777" w:rsidTr="00242F58">
        <w:trPr>
          <w:trHeight w:val="192"/>
        </w:trPr>
        <w:tc>
          <w:tcPr>
            <w:tcW w:w="5696" w:type="dxa"/>
            <w:gridSpan w:val="8"/>
            <w:shd w:val="clear" w:color="auto" w:fill="auto"/>
          </w:tcPr>
          <w:p w14:paraId="388F9507" w14:textId="77777777" w:rsidR="00F92811" w:rsidRPr="00E16672" w:rsidRDefault="00F92811" w:rsidP="00F92811">
            <w:pPr>
              <w:tabs>
                <w:tab w:val="left" w:pos="540"/>
              </w:tabs>
              <w:snapToGrid w:val="0"/>
              <w:ind w:left="175" w:right="138" w:firstLine="7"/>
              <w:rPr>
                <w:rFonts w:ascii="Times New Roman" w:hAnsi="Times New Roman"/>
                <w:sz w:val="16"/>
                <w:szCs w:val="16"/>
                <w:lang w:val="en-US"/>
              </w:rPr>
            </w:pPr>
            <w:r w:rsidRPr="00E16672">
              <w:rPr>
                <w:rFonts w:ascii="Times New Roman" w:hAnsi="Times New Roman"/>
                <w:sz w:val="16"/>
                <w:szCs w:val="16"/>
                <w:lang w:val="en-US"/>
              </w:rPr>
              <w:t xml:space="preserve">2.2.9. </w:t>
            </w:r>
            <w:proofErr w:type="spellStart"/>
            <w:r w:rsidRPr="00E16672">
              <w:rPr>
                <w:rFonts w:ascii="Times New Roman" w:hAnsi="Times New Roman"/>
                <w:sz w:val="16"/>
                <w:szCs w:val="16"/>
              </w:rPr>
              <w:t>Відмінити</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облікові</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операції</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які</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були</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ініційовані</w:t>
            </w:r>
            <w:proofErr w:type="spellEnd"/>
            <w:r w:rsidRPr="00E16672">
              <w:rPr>
                <w:rFonts w:ascii="Times New Roman" w:hAnsi="Times New Roman"/>
                <w:sz w:val="16"/>
                <w:szCs w:val="16"/>
                <w:lang w:val="en-US"/>
              </w:rPr>
              <w:t xml:space="preserve"> </w:t>
            </w:r>
            <w:r w:rsidRPr="00E16672">
              <w:rPr>
                <w:rFonts w:ascii="Times New Roman" w:hAnsi="Times New Roman"/>
                <w:sz w:val="16"/>
                <w:szCs w:val="16"/>
              </w:rPr>
              <w:t>Депозитарною</w:t>
            </w:r>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установою</w:t>
            </w:r>
            <w:proofErr w:type="spellEnd"/>
            <w:r w:rsidRPr="00E16672">
              <w:rPr>
                <w:rFonts w:ascii="Times New Roman" w:hAnsi="Times New Roman"/>
                <w:sz w:val="16"/>
                <w:szCs w:val="16"/>
                <w:lang w:val="en-US"/>
              </w:rPr>
              <w:t xml:space="preserve"> </w:t>
            </w:r>
            <w:r w:rsidRPr="00E16672">
              <w:rPr>
                <w:rFonts w:ascii="Times New Roman" w:hAnsi="Times New Roman"/>
                <w:sz w:val="16"/>
                <w:szCs w:val="16"/>
              </w:rPr>
              <w:t>у</w:t>
            </w:r>
            <w:r w:rsidRPr="00E16672">
              <w:rPr>
                <w:rFonts w:ascii="Times New Roman" w:hAnsi="Times New Roman"/>
                <w:sz w:val="16"/>
                <w:szCs w:val="16"/>
                <w:lang w:val="en-US"/>
              </w:rPr>
              <w:t xml:space="preserve"> </w:t>
            </w:r>
            <w:r w:rsidRPr="00E16672">
              <w:rPr>
                <w:rFonts w:ascii="Times New Roman" w:hAnsi="Times New Roman"/>
                <w:sz w:val="16"/>
                <w:szCs w:val="16"/>
              </w:rPr>
              <w:t>Центральному</w:t>
            </w:r>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депозитарії</w:t>
            </w:r>
            <w:proofErr w:type="spellEnd"/>
            <w:r w:rsidRPr="00E16672">
              <w:rPr>
                <w:rFonts w:ascii="Times New Roman" w:hAnsi="Times New Roman"/>
                <w:sz w:val="16"/>
                <w:szCs w:val="16"/>
                <w:lang w:val="en-US"/>
              </w:rPr>
              <w:t xml:space="preserve">, </w:t>
            </w:r>
            <w:r w:rsidRPr="00E16672">
              <w:rPr>
                <w:rFonts w:ascii="Times New Roman" w:hAnsi="Times New Roman"/>
                <w:sz w:val="16"/>
                <w:szCs w:val="16"/>
              </w:rPr>
              <w:t>але</w:t>
            </w:r>
            <w:r w:rsidRPr="00E16672">
              <w:rPr>
                <w:rFonts w:ascii="Times New Roman" w:hAnsi="Times New Roman"/>
                <w:sz w:val="16"/>
                <w:szCs w:val="16"/>
                <w:lang w:val="en-US"/>
              </w:rPr>
              <w:t xml:space="preserve"> </w:t>
            </w:r>
            <w:r w:rsidRPr="00E16672">
              <w:rPr>
                <w:rFonts w:ascii="Times New Roman" w:hAnsi="Times New Roman"/>
                <w:sz w:val="16"/>
                <w:szCs w:val="16"/>
              </w:rPr>
              <w:t>не</w:t>
            </w:r>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були</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завершені</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протягом</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трьох</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робочих</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днів</w:t>
            </w:r>
            <w:proofErr w:type="spellEnd"/>
            <w:r w:rsidRPr="00E16672">
              <w:rPr>
                <w:rFonts w:ascii="Times New Roman" w:hAnsi="Times New Roman"/>
                <w:sz w:val="16"/>
                <w:szCs w:val="16"/>
                <w:lang w:val="en-US"/>
              </w:rPr>
              <w:t xml:space="preserve"> </w:t>
            </w:r>
            <w:r w:rsidRPr="00E16672">
              <w:rPr>
                <w:rFonts w:ascii="Times New Roman" w:hAnsi="Times New Roman"/>
                <w:sz w:val="16"/>
                <w:szCs w:val="16"/>
              </w:rPr>
              <w:t>за</w:t>
            </w:r>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підстав</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які</w:t>
            </w:r>
            <w:proofErr w:type="spellEnd"/>
            <w:r w:rsidRPr="00E16672">
              <w:rPr>
                <w:rFonts w:ascii="Times New Roman" w:hAnsi="Times New Roman"/>
                <w:sz w:val="16"/>
                <w:szCs w:val="16"/>
                <w:lang w:val="en-US"/>
              </w:rPr>
              <w:t xml:space="preserve"> </w:t>
            </w:r>
            <w:r w:rsidRPr="00E16672">
              <w:rPr>
                <w:rFonts w:ascii="Times New Roman" w:hAnsi="Times New Roman"/>
                <w:sz w:val="16"/>
                <w:szCs w:val="16"/>
              </w:rPr>
              <w:t>не</w:t>
            </w:r>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залежать</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від</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Депозитарної</w:t>
            </w:r>
            <w:proofErr w:type="spellEnd"/>
            <w:r w:rsidRPr="00E16672">
              <w:rPr>
                <w:rFonts w:ascii="Times New Roman" w:hAnsi="Times New Roman"/>
                <w:sz w:val="16"/>
                <w:szCs w:val="16"/>
                <w:lang w:val="en-US"/>
              </w:rPr>
              <w:t xml:space="preserve"> </w:t>
            </w:r>
            <w:r w:rsidRPr="00E16672">
              <w:rPr>
                <w:rFonts w:ascii="Times New Roman" w:hAnsi="Times New Roman"/>
                <w:sz w:val="16"/>
                <w:szCs w:val="16"/>
              </w:rPr>
              <w:t>установи</w:t>
            </w:r>
            <w:r w:rsidRPr="00E16672">
              <w:rPr>
                <w:rFonts w:ascii="Times New Roman" w:hAnsi="Times New Roman"/>
                <w:sz w:val="16"/>
                <w:szCs w:val="16"/>
                <w:lang w:val="en-US"/>
              </w:rPr>
              <w:t xml:space="preserve">, </w:t>
            </w:r>
            <w:r w:rsidRPr="00E16672">
              <w:rPr>
                <w:rFonts w:ascii="Times New Roman" w:hAnsi="Times New Roman"/>
                <w:sz w:val="16"/>
                <w:szCs w:val="16"/>
              </w:rPr>
              <w:t>у</w:t>
            </w:r>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випадку</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отримання</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від</w:t>
            </w:r>
            <w:proofErr w:type="spellEnd"/>
            <w:r w:rsidRPr="00E16672">
              <w:rPr>
                <w:rFonts w:ascii="Times New Roman" w:hAnsi="Times New Roman"/>
                <w:sz w:val="16"/>
                <w:szCs w:val="16"/>
                <w:lang w:val="en-US"/>
              </w:rPr>
              <w:t xml:space="preserve"> </w:t>
            </w:r>
            <w:r w:rsidRPr="00E16672">
              <w:rPr>
                <w:rFonts w:ascii="Times New Roman" w:hAnsi="Times New Roman"/>
                <w:sz w:val="16"/>
                <w:szCs w:val="16"/>
              </w:rPr>
              <w:t>Депонента</w:t>
            </w:r>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відповідного</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розпорядження</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відміни</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анулювання</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його</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попереднього</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розпорядження</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згідно</w:t>
            </w:r>
            <w:proofErr w:type="spellEnd"/>
            <w:r w:rsidRPr="00E16672">
              <w:rPr>
                <w:rFonts w:ascii="Times New Roman" w:hAnsi="Times New Roman"/>
                <w:sz w:val="16"/>
                <w:szCs w:val="16"/>
                <w:lang w:val="en-US"/>
              </w:rPr>
              <w:t xml:space="preserve"> </w:t>
            </w:r>
            <w:r w:rsidRPr="00E16672">
              <w:rPr>
                <w:rFonts w:ascii="Times New Roman" w:hAnsi="Times New Roman"/>
                <w:sz w:val="16"/>
                <w:szCs w:val="16"/>
              </w:rPr>
              <w:t>з</w:t>
            </w:r>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внутрішніми</w:t>
            </w:r>
            <w:proofErr w:type="spellEnd"/>
            <w:r w:rsidRPr="00E16672">
              <w:rPr>
                <w:rFonts w:ascii="Times New Roman" w:hAnsi="Times New Roman"/>
                <w:sz w:val="16"/>
                <w:szCs w:val="16"/>
                <w:lang w:val="en-US"/>
              </w:rPr>
              <w:t xml:space="preserve"> </w:t>
            </w:r>
            <w:r w:rsidRPr="00E16672">
              <w:rPr>
                <w:rFonts w:ascii="Times New Roman" w:hAnsi="Times New Roman"/>
                <w:sz w:val="16"/>
                <w:szCs w:val="16"/>
              </w:rPr>
              <w:t>документами</w:t>
            </w:r>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депозитарної</w:t>
            </w:r>
            <w:proofErr w:type="spellEnd"/>
            <w:r w:rsidRPr="00E16672">
              <w:rPr>
                <w:rFonts w:ascii="Times New Roman" w:hAnsi="Times New Roman"/>
                <w:sz w:val="16"/>
                <w:szCs w:val="16"/>
                <w:lang w:val="en-US"/>
              </w:rPr>
              <w:t xml:space="preserve"> </w:t>
            </w:r>
            <w:r w:rsidRPr="00E16672">
              <w:rPr>
                <w:rFonts w:ascii="Times New Roman" w:hAnsi="Times New Roman"/>
                <w:sz w:val="16"/>
                <w:szCs w:val="16"/>
              </w:rPr>
              <w:t>установи</w:t>
            </w:r>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відповідно</w:t>
            </w:r>
            <w:proofErr w:type="spellEnd"/>
            <w:r w:rsidRPr="00E16672">
              <w:rPr>
                <w:rFonts w:ascii="Times New Roman" w:hAnsi="Times New Roman"/>
                <w:sz w:val="16"/>
                <w:szCs w:val="16"/>
                <w:lang w:val="en-US"/>
              </w:rPr>
              <w:t xml:space="preserve"> </w:t>
            </w:r>
            <w:r w:rsidRPr="00E16672">
              <w:rPr>
                <w:rFonts w:ascii="Times New Roman" w:hAnsi="Times New Roman"/>
                <w:sz w:val="16"/>
                <w:szCs w:val="16"/>
              </w:rPr>
              <w:t>до</w:t>
            </w:r>
            <w:r w:rsidRPr="00E16672">
              <w:rPr>
                <w:rFonts w:ascii="Times New Roman" w:hAnsi="Times New Roman"/>
                <w:sz w:val="16"/>
                <w:szCs w:val="16"/>
                <w:lang w:val="en-US"/>
              </w:rPr>
              <w:t xml:space="preserve"> </w:t>
            </w:r>
            <w:r w:rsidRPr="00E16672">
              <w:rPr>
                <w:rFonts w:ascii="Times New Roman" w:hAnsi="Times New Roman"/>
                <w:sz w:val="16"/>
                <w:szCs w:val="16"/>
              </w:rPr>
              <w:t>Правил</w:t>
            </w:r>
            <w:r w:rsidRPr="00E16672">
              <w:rPr>
                <w:rFonts w:ascii="Times New Roman" w:hAnsi="Times New Roman"/>
                <w:sz w:val="16"/>
                <w:szCs w:val="16"/>
                <w:lang w:val="en-US"/>
              </w:rPr>
              <w:t xml:space="preserve"> </w:t>
            </w:r>
            <w:r w:rsidRPr="00E16672">
              <w:rPr>
                <w:rFonts w:ascii="Times New Roman" w:hAnsi="Times New Roman"/>
                <w:sz w:val="16"/>
                <w:szCs w:val="16"/>
              </w:rPr>
              <w:t>та</w:t>
            </w:r>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інших</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внутрішніх</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документів</w:t>
            </w:r>
            <w:proofErr w:type="spellEnd"/>
            <w:r w:rsidRPr="00E16672">
              <w:rPr>
                <w:rFonts w:ascii="Times New Roman" w:hAnsi="Times New Roman"/>
                <w:sz w:val="16"/>
                <w:szCs w:val="16"/>
                <w:lang w:val="en-US"/>
              </w:rPr>
              <w:t xml:space="preserve"> </w:t>
            </w:r>
            <w:r w:rsidRPr="00E16672">
              <w:rPr>
                <w:rFonts w:ascii="Times New Roman" w:hAnsi="Times New Roman"/>
                <w:sz w:val="16"/>
                <w:szCs w:val="16"/>
              </w:rPr>
              <w:t>Центрального</w:t>
            </w:r>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депозитарію</w:t>
            </w:r>
            <w:proofErr w:type="spellEnd"/>
            <w:r w:rsidRPr="00E16672">
              <w:rPr>
                <w:rFonts w:ascii="Times New Roman" w:hAnsi="Times New Roman"/>
                <w:sz w:val="16"/>
                <w:szCs w:val="16"/>
                <w:lang w:val="en-US"/>
              </w:rPr>
              <w:t>.</w:t>
            </w:r>
          </w:p>
          <w:p w14:paraId="77550069" w14:textId="77777777" w:rsidR="00F92811" w:rsidRPr="00E16672" w:rsidRDefault="00F92811" w:rsidP="00F92811">
            <w:pPr>
              <w:pStyle w:val="210"/>
              <w:ind w:left="175" w:right="138" w:firstLine="7"/>
              <w:rPr>
                <w:rFonts w:ascii="Times New Roman" w:hAnsi="Times New Roman"/>
                <w:sz w:val="16"/>
                <w:szCs w:val="16"/>
              </w:rPr>
            </w:pPr>
          </w:p>
        </w:tc>
        <w:tc>
          <w:tcPr>
            <w:tcW w:w="5494" w:type="dxa"/>
            <w:gridSpan w:val="6"/>
            <w:shd w:val="clear" w:color="auto" w:fill="auto"/>
          </w:tcPr>
          <w:p w14:paraId="12FDB84E" w14:textId="77777777" w:rsidR="00F92811" w:rsidRPr="00E16672" w:rsidRDefault="00F92811" w:rsidP="00F92811">
            <w:pPr>
              <w:snapToGrid w:val="0"/>
              <w:ind w:left="175" w:right="138" w:firstLine="7"/>
              <w:rPr>
                <w:rFonts w:ascii="Times New Roman" w:hAnsi="Times New Roman"/>
                <w:sz w:val="16"/>
                <w:szCs w:val="16"/>
                <w:lang w:val="en-GB"/>
              </w:rPr>
            </w:pPr>
            <w:r w:rsidRPr="00E16672">
              <w:rPr>
                <w:rFonts w:ascii="Times New Roman" w:hAnsi="Times New Roman"/>
                <w:sz w:val="16"/>
                <w:szCs w:val="16"/>
                <w:lang w:val="en-GB"/>
              </w:rPr>
              <w:t xml:space="preserve">2.2.9. Cancel accounting </w:t>
            </w:r>
            <w:r w:rsidRPr="00E16672">
              <w:rPr>
                <w:rFonts w:ascii="Times New Roman" w:hAnsi="Times New Roman"/>
                <w:sz w:val="16"/>
                <w:szCs w:val="16"/>
                <w:lang w:val="en-US"/>
              </w:rPr>
              <w:t>opera</w:t>
            </w:r>
            <w:proofErr w:type="spellStart"/>
            <w:r w:rsidRPr="00E16672">
              <w:rPr>
                <w:rFonts w:ascii="Times New Roman" w:hAnsi="Times New Roman"/>
                <w:sz w:val="16"/>
                <w:szCs w:val="16"/>
                <w:lang w:val="en-GB"/>
              </w:rPr>
              <w:t>tions</w:t>
            </w:r>
            <w:proofErr w:type="spellEnd"/>
            <w:r w:rsidRPr="00E16672">
              <w:rPr>
                <w:rFonts w:ascii="Times New Roman" w:hAnsi="Times New Roman"/>
                <w:sz w:val="16"/>
                <w:szCs w:val="16"/>
                <w:lang w:val="en-GB"/>
              </w:rPr>
              <w:t xml:space="preserve"> that were initiated by </w:t>
            </w:r>
            <w:r w:rsidRPr="00E16672">
              <w:rPr>
                <w:rFonts w:ascii="Times New Roman" w:hAnsi="Times New Roman"/>
                <w:sz w:val="16"/>
                <w:szCs w:val="16"/>
                <w:lang w:val="en-US"/>
              </w:rPr>
              <w:t>D</w:t>
            </w:r>
            <w:proofErr w:type="spellStart"/>
            <w:r w:rsidRPr="00E16672">
              <w:rPr>
                <w:rFonts w:ascii="Times New Roman" w:hAnsi="Times New Roman"/>
                <w:sz w:val="16"/>
                <w:szCs w:val="16"/>
                <w:lang w:val="en-GB"/>
              </w:rPr>
              <w:t>epository</w:t>
            </w:r>
            <w:proofErr w:type="spellEnd"/>
            <w:r w:rsidRPr="00E16672">
              <w:rPr>
                <w:rFonts w:ascii="Times New Roman" w:hAnsi="Times New Roman"/>
                <w:sz w:val="16"/>
                <w:szCs w:val="16"/>
                <w:lang w:val="en-GB"/>
              </w:rPr>
              <w:t xml:space="preserve"> institution in the Central Depository, but were not completed within three working days for reasons beyond the control of the </w:t>
            </w:r>
            <w:r w:rsidRPr="00E16672">
              <w:rPr>
                <w:rFonts w:ascii="Times New Roman" w:hAnsi="Times New Roman"/>
                <w:sz w:val="16"/>
                <w:szCs w:val="16"/>
                <w:lang w:val="en-US"/>
              </w:rPr>
              <w:t>D</w:t>
            </w:r>
            <w:proofErr w:type="spellStart"/>
            <w:r w:rsidRPr="00E16672">
              <w:rPr>
                <w:rFonts w:ascii="Times New Roman" w:hAnsi="Times New Roman"/>
                <w:sz w:val="16"/>
                <w:szCs w:val="16"/>
                <w:lang w:val="en-GB"/>
              </w:rPr>
              <w:t>epository</w:t>
            </w:r>
            <w:proofErr w:type="spellEnd"/>
            <w:r w:rsidRPr="00E16672">
              <w:rPr>
                <w:rFonts w:ascii="Times New Roman" w:hAnsi="Times New Roman"/>
                <w:sz w:val="16"/>
                <w:szCs w:val="16"/>
                <w:lang w:val="en-GB"/>
              </w:rPr>
              <w:t xml:space="preserve"> institution, in the case of a the Depositor of order cancellation of its previous order according to internal </w:t>
            </w:r>
            <w:proofErr w:type="gramStart"/>
            <w:r w:rsidRPr="00E16672">
              <w:rPr>
                <w:rFonts w:ascii="Times New Roman" w:hAnsi="Times New Roman"/>
                <w:sz w:val="16"/>
                <w:szCs w:val="16"/>
                <w:lang w:val="en-GB"/>
              </w:rPr>
              <w:t xml:space="preserve">documents </w:t>
            </w:r>
            <w:r w:rsidRPr="00E16672">
              <w:rPr>
                <w:rFonts w:ascii="Times New Roman" w:hAnsi="Times New Roman"/>
                <w:sz w:val="16"/>
                <w:szCs w:val="16"/>
                <w:lang w:val="en-US"/>
              </w:rPr>
              <w:t xml:space="preserve"> of</w:t>
            </w:r>
            <w:proofErr w:type="gramEnd"/>
            <w:r w:rsidRPr="00E16672">
              <w:rPr>
                <w:rFonts w:ascii="Times New Roman" w:hAnsi="Times New Roman"/>
                <w:sz w:val="16"/>
                <w:szCs w:val="16"/>
                <w:lang w:val="en-US"/>
              </w:rPr>
              <w:t xml:space="preserve"> D</w:t>
            </w:r>
            <w:proofErr w:type="spellStart"/>
            <w:r w:rsidRPr="00E16672">
              <w:rPr>
                <w:rFonts w:ascii="Times New Roman" w:hAnsi="Times New Roman"/>
                <w:sz w:val="16"/>
                <w:szCs w:val="16"/>
                <w:lang w:val="en-GB"/>
              </w:rPr>
              <w:t>epository</w:t>
            </w:r>
            <w:proofErr w:type="spellEnd"/>
            <w:r w:rsidRPr="00E16672">
              <w:rPr>
                <w:rFonts w:ascii="Times New Roman" w:hAnsi="Times New Roman"/>
                <w:sz w:val="16"/>
                <w:szCs w:val="16"/>
                <w:lang w:val="en-GB"/>
              </w:rPr>
              <w:t xml:space="preserve"> institution in accordance with the Rules and other internal documents of the Central Depository.</w:t>
            </w:r>
          </w:p>
          <w:p w14:paraId="2A943B10" w14:textId="77777777" w:rsidR="00F92811" w:rsidRPr="00E16672" w:rsidRDefault="00F92811" w:rsidP="00F92811">
            <w:pPr>
              <w:pStyle w:val="210"/>
              <w:snapToGrid w:val="0"/>
              <w:ind w:left="175" w:right="138" w:firstLine="7"/>
              <w:rPr>
                <w:rFonts w:ascii="Times New Roman" w:hAnsi="Times New Roman"/>
                <w:sz w:val="16"/>
                <w:szCs w:val="16"/>
                <w:lang w:val="en-GB"/>
              </w:rPr>
            </w:pPr>
          </w:p>
        </w:tc>
      </w:tr>
      <w:tr w:rsidR="003A05A3" w:rsidRPr="00F23413" w14:paraId="49265E03" w14:textId="77777777" w:rsidTr="00242F58">
        <w:trPr>
          <w:trHeight w:val="192"/>
        </w:trPr>
        <w:tc>
          <w:tcPr>
            <w:tcW w:w="5696" w:type="dxa"/>
            <w:gridSpan w:val="8"/>
            <w:shd w:val="clear" w:color="auto" w:fill="auto"/>
          </w:tcPr>
          <w:p w14:paraId="15CFF048" w14:textId="77777777" w:rsidR="003A05A3" w:rsidRPr="00E16672" w:rsidRDefault="003A05A3" w:rsidP="00843027">
            <w:pPr>
              <w:pStyle w:val="210"/>
              <w:snapToGrid w:val="0"/>
              <w:ind w:left="175" w:right="138" w:firstLine="7"/>
              <w:rPr>
                <w:rFonts w:ascii="Times New Roman" w:hAnsi="Times New Roman"/>
                <w:sz w:val="16"/>
                <w:szCs w:val="16"/>
              </w:rPr>
            </w:pPr>
            <w:r w:rsidRPr="00E16672">
              <w:rPr>
                <w:rFonts w:ascii="Times New Roman" w:hAnsi="Times New Roman"/>
                <w:sz w:val="16"/>
                <w:szCs w:val="16"/>
              </w:rPr>
              <w:t xml:space="preserve">2.2.10. </w:t>
            </w:r>
            <w:proofErr w:type="spellStart"/>
            <w:r w:rsidRPr="00E16672">
              <w:rPr>
                <w:rFonts w:ascii="Times New Roman" w:hAnsi="Times New Roman"/>
                <w:sz w:val="16"/>
                <w:szCs w:val="16"/>
              </w:rPr>
              <w:t>Знерухомити</w:t>
            </w:r>
            <w:proofErr w:type="spellEnd"/>
            <w:r w:rsidRPr="00E16672">
              <w:rPr>
                <w:rFonts w:ascii="Times New Roman" w:hAnsi="Times New Roman"/>
                <w:sz w:val="16"/>
                <w:szCs w:val="16"/>
              </w:rPr>
              <w:t xml:space="preserve"> належні </w:t>
            </w:r>
            <w:proofErr w:type="spellStart"/>
            <w:r w:rsidRPr="00E16672">
              <w:rPr>
                <w:rFonts w:ascii="Times New Roman" w:hAnsi="Times New Roman"/>
                <w:sz w:val="16"/>
                <w:szCs w:val="16"/>
              </w:rPr>
              <w:t>Депонент</w:t>
            </w:r>
            <w:r w:rsidR="00C22309" w:rsidRPr="00E16672">
              <w:rPr>
                <w:rFonts w:ascii="Times New Roman" w:hAnsi="Times New Roman"/>
                <w:sz w:val="16"/>
                <w:szCs w:val="16"/>
              </w:rPr>
              <w:t>в</w:t>
            </w:r>
            <w:proofErr w:type="spellEnd"/>
            <w:r w:rsidR="00C22309" w:rsidRPr="00E16672">
              <w:rPr>
                <w:rFonts w:ascii="Times New Roman" w:hAnsi="Times New Roman"/>
                <w:sz w:val="16"/>
                <w:szCs w:val="16"/>
              </w:rPr>
              <w:t xml:space="preserve"> цін</w:t>
            </w:r>
            <w:r w:rsidRPr="00E16672">
              <w:rPr>
                <w:rFonts w:ascii="Times New Roman" w:hAnsi="Times New Roman"/>
                <w:sz w:val="16"/>
                <w:szCs w:val="16"/>
              </w:rPr>
              <w:t xml:space="preserve">ні папери на пред`явника документарної форми існування, шляхом надання Депозитарній установі розпорядження про </w:t>
            </w:r>
            <w:proofErr w:type="spellStart"/>
            <w:r w:rsidRPr="00E16672">
              <w:rPr>
                <w:rFonts w:ascii="Times New Roman" w:hAnsi="Times New Roman"/>
                <w:sz w:val="16"/>
                <w:szCs w:val="16"/>
              </w:rPr>
              <w:t>знерухомлення</w:t>
            </w:r>
            <w:proofErr w:type="spellEnd"/>
            <w:r w:rsidRPr="00E16672">
              <w:rPr>
                <w:rFonts w:ascii="Times New Roman" w:hAnsi="Times New Roman"/>
                <w:sz w:val="16"/>
                <w:szCs w:val="16"/>
              </w:rPr>
              <w:t xml:space="preserve"> та зарахування цінних паперів (місце зберігання цінних паперів - Центральний депозитарій) та сертифікатів цінних паперів, приймання яких оформлюється складанням </w:t>
            </w:r>
            <w:proofErr w:type="spellStart"/>
            <w:r w:rsidRPr="00E16672">
              <w:rPr>
                <w:rFonts w:ascii="Times New Roman" w:hAnsi="Times New Roman"/>
                <w:sz w:val="16"/>
                <w:szCs w:val="16"/>
              </w:rPr>
              <w:t>акта</w:t>
            </w:r>
            <w:proofErr w:type="spellEnd"/>
            <w:r w:rsidRPr="00E16672">
              <w:rPr>
                <w:rFonts w:ascii="Times New Roman" w:hAnsi="Times New Roman"/>
                <w:sz w:val="16"/>
                <w:szCs w:val="16"/>
              </w:rPr>
              <w:t xml:space="preserve"> приймання-передавання.</w:t>
            </w:r>
          </w:p>
          <w:p w14:paraId="6541C4A2" w14:textId="77777777" w:rsidR="003A05A3" w:rsidRPr="00E16672" w:rsidRDefault="003A05A3" w:rsidP="00843027">
            <w:pPr>
              <w:pStyle w:val="210"/>
              <w:snapToGrid w:val="0"/>
              <w:ind w:left="175" w:right="138" w:firstLine="7"/>
              <w:rPr>
                <w:rFonts w:ascii="Times New Roman" w:hAnsi="Times New Roman"/>
                <w:sz w:val="16"/>
                <w:szCs w:val="16"/>
              </w:rPr>
            </w:pPr>
          </w:p>
        </w:tc>
        <w:tc>
          <w:tcPr>
            <w:tcW w:w="5494" w:type="dxa"/>
            <w:gridSpan w:val="6"/>
            <w:shd w:val="clear" w:color="auto" w:fill="auto"/>
          </w:tcPr>
          <w:p w14:paraId="272169D2" w14:textId="77777777" w:rsidR="003A05A3" w:rsidRPr="00E16672" w:rsidRDefault="003A05A3" w:rsidP="00843027">
            <w:pPr>
              <w:pStyle w:val="210"/>
              <w:snapToGrid w:val="0"/>
              <w:ind w:left="175" w:right="138" w:firstLine="7"/>
              <w:rPr>
                <w:rFonts w:ascii="Times New Roman" w:hAnsi="Times New Roman"/>
                <w:sz w:val="16"/>
                <w:szCs w:val="16"/>
                <w:lang w:val="en-US"/>
              </w:rPr>
            </w:pPr>
            <w:r w:rsidRPr="00E16672">
              <w:rPr>
                <w:rFonts w:ascii="Times New Roman" w:hAnsi="Times New Roman"/>
                <w:sz w:val="16"/>
                <w:szCs w:val="16"/>
                <w:lang w:val="en-US"/>
              </w:rPr>
              <w:t xml:space="preserve">2.2.10.  To make on operation of registrations as the </w:t>
            </w:r>
            <w:proofErr w:type="gramStart"/>
            <w:r w:rsidRPr="00E16672">
              <w:rPr>
                <w:rFonts w:ascii="Times New Roman" w:hAnsi="Times New Roman"/>
                <w:sz w:val="16"/>
                <w:szCs w:val="16"/>
                <w:lang w:val="en-US"/>
              </w:rPr>
              <w:t>nominee  Depositor’s</w:t>
            </w:r>
            <w:proofErr w:type="gramEnd"/>
            <w:r w:rsidRPr="00E16672">
              <w:rPr>
                <w:rFonts w:ascii="Times New Roman" w:hAnsi="Times New Roman"/>
                <w:sz w:val="16"/>
                <w:szCs w:val="16"/>
                <w:lang w:val="en-US"/>
              </w:rPr>
              <w:t xml:space="preserve"> securities resent applicant's documentary form by providing Depository institution order the operation of registrations as the nominee  of securities (place of safekeeping of securities – Central Depositary) and certificates of securities, receipt of which is made of act of acceptance and transfer.</w:t>
            </w:r>
          </w:p>
          <w:p w14:paraId="47E57781" w14:textId="77777777" w:rsidR="003A05A3" w:rsidRPr="00E16672" w:rsidRDefault="003A05A3" w:rsidP="00843027">
            <w:pPr>
              <w:pStyle w:val="210"/>
              <w:snapToGrid w:val="0"/>
              <w:ind w:left="175" w:right="138" w:firstLine="7"/>
              <w:rPr>
                <w:rFonts w:ascii="Times New Roman" w:hAnsi="Times New Roman"/>
                <w:sz w:val="16"/>
                <w:szCs w:val="16"/>
                <w:lang w:val="en-US"/>
              </w:rPr>
            </w:pPr>
          </w:p>
        </w:tc>
      </w:tr>
      <w:tr w:rsidR="003A05A3" w:rsidRPr="00F23413" w14:paraId="39933B3E" w14:textId="77777777" w:rsidTr="00242F58">
        <w:trPr>
          <w:trHeight w:val="192"/>
        </w:trPr>
        <w:tc>
          <w:tcPr>
            <w:tcW w:w="5696" w:type="dxa"/>
            <w:gridSpan w:val="8"/>
            <w:shd w:val="clear" w:color="auto" w:fill="auto"/>
          </w:tcPr>
          <w:p w14:paraId="5FF1843C" w14:textId="77777777" w:rsidR="003A05A3" w:rsidRPr="00E16672" w:rsidRDefault="003A05A3" w:rsidP="00843027">
            <w:pPr>
              <w:ind w:left="175" w:firstLine="7"/>
              <w:rPr>
                <w:rFonts w:ascii="Times New Roman" w:hAnsi="Times New Roman"/>
                <w:color w:val="000000"/>
                <w:sz w:val="16"/>
                <w:szCs w:val="16"/>
                <w:lang w:val="uk-UA"/>
              </w:rPr>
            </w:pPr>
            <w:r w:rsidRPr="00E16672">
              <w:rPr>
                <w:rFonts w:ascii="Times New Roman" w:hAnsi="Times New Roman"/>
                <w:color w:val="000000"/>
                <w:sz w:val="16"/>
                <w:szCs w:val="16"/>
                <w:lang w:val="en-US"/>
              </w:rPr>
              <w:t xml:space="preserve">2.2.11. </w:t>
            </w:r>
            <w:r w:rsidR="00F92811" w:rsidRPr="00E16672">
              <w:rPr>
                <w:rFonts w:ascii="Times New Roman" w:hAnsi="Times New Roman"/>
                <w:color w:val="000000"/>
                <w:sz w:val="16"/>
                <w:szCs w:val="16"/>
                <w:lang w:val="uk-UA"/>
              </w:rPr>
              <w:t xml:space="preserve">Надавати письмову відмову у видачі виписки з рахунку в цінних паперах у разі невідповідності оформлення </w:t>
            </w:r>
            <w:proofErr w:type="spellStart"/>
            <w:r w:rsidR="00F92811" w:rsidRPr="00E16672">
              <w:rPr>
                <w:rFonts w:ascii="Times New Roman" w:hAnsi="Times New Roman"/>
                <w:color w:val="000000"/>
                <w:sz w:val="16"/>
                <w:szCs w:val="16"/>
              </w:rPr>
              <w:t>розпорядження</w:t>
            </w:r>
            <w:proofErr w:type="spellEnd"/>
            <w:r w:rsidR="00F92811" w:rsidRPr="00E16672">
              <w:rPr>
                <w:rFonts w:ascii="Times New Roman" w:hAnsi="Times New Roman"/>
                <w:color w:val="000000"/>
                <w:sz w:val="16"/>
                <w:szCs w:val="16"/>
                <w:lang w:val="uk-UA"/>
              </w:rPr>
              <w:t xml:space="preserve"> вимогам </w:t>
            </w:r>
            <w:r w:rsidR="00F92811" w:rsidRPr="00E16672">
              <w:rPr>
                <w:rFonts w:ascii="Times New Roman" w:hAnsi="Times New Roman"/>
                <w:bCs/>
                <w:color w:val="000000"/>
                <w:sz w:val="16"/>
                <w:szCs w:val="16"/>
                <w:lang w:val="uk-UA"/>
              </w:rPr>
              <w:t xml:space="preserve">Положення </w:t>
            </w:r>
            <w:r w:rsidR="00F92811" w:rsidRPr="00E16672">
              <w:rPr>
                <w:rFonts w:ascii="Times New Roman" w:hAnsi="Times New Roman"/>
                <w:bCs/>
                <w:color w:val="000000"/>
                <w:sz w:val="16"/>
                <w:szCs w:val="16"/>
              </w:rPr>
              <w:t>про</w:t>
            </w:r>
            <w:r w:rsidR="00F92811" w:rsidRPr="00E16672">
              <w:rPr>
                <w:rFonts w:ascii="Times New Roman" w:hAnsi="Times New Roman"/>
                <w:bCs/>
                <w:color w:val="000000"/>
                <w:sz w:val="16"/>
                <w:szCs w:val="16"/>
                <w:lang w:val="en-US"/>
              </w:rPr>
              <w:t xml:space="preserve"> </w:t>
            </w:r>
            <w:proofErr w:type="spellStart"/>
            <w:r w:rsidR="00F92811" w:rsidRPr="00E16672">
              <w:rPr>
                <w:rFonts w:ascii="Times New Roman" w:hAnsi="Times New Roman"/>
                <w:bCs/>
                <w:color w:val="000000"/>
                <w:sz w:val="16"/>
                <w:szCs w:val="16"/>
              </w:rPr>
              <w:t>провадження</w:t>
            </w:r>
            <w:proofErr w:type="spellEnd"/>
            <w:r w:rsidR="00F92811" w:rsidRPr="00E16672">
              <w:rPr>
                <w:rFonts w:ascii="Times New Roman" w:hAnsi="Times New Roman"/>
                <w:bCs/>
                <w:color w:val="000000"/>
                <w:sz w:val="16"/>
                <w:szCs w:val="16"/>
                <w:lang w:val="en-US"/>
              </w:rPr>
              <w:t xml:space="preserve"> </w:t>
            </w:r>
            <w:proofErr w:type="spellStart"/>
            <w:r w:rsidR="00F92811" w:rsidRPr="00E16672">
              <w:rPr>
                <w:rFonts w:ascii="Times New Roman" w:hAnsi="Times New Roman"/>
                <w:bCs/>
                <w:color w:val="000000"/>
                <w:sz w:val="16"/>
                <w:szCs w:val="16"/>
              </w:rPr>
              <w:t>депозитарної</w:t>
            </w:r>
            <w:proofErr w:type="spellEnd"/>
            <w:r w:rsidR="00F92811" w:rsidRPr="00E16672">
              <w:rPr>
                <w:rFonts w:ascii="Times New Roman" w:hAnsi="Times New Roman"/>
                <w:bCs/>
                <w:color w:val="000000"/>
                <w:sz w:val="16"/>
                <w:szCs w:val="16"/>
                <w:lang w:val="en-US"/>
              </w:rPr>
              <w:t xml:space="preserve"> </w:t>
            </w:r>
            <w:proofErr w:type="spellStart"/>
            <w:r w:rsidR="00F92811" w:rsidRPr="00E16672">
              <w:rPr>
                <w:rFonts w:ascii="Times New Roman" w:hAnsi="Times New Roman"/>
                <w:bCs/>
                <w:color w:val="000000"/>
                <w:sz w:val="16"/>
                <w:szCs w:val="16"/>
              </w:rPr>
              <w:t>діяльності</w:t>
            </w:r>
            <w:proofErr w:type="spellEnd"/>
            <w:r w:rsidR="00F92811" w:rsidRPr="00E16672">
              <w:rPr>
                <w:rFonts w:ascii="Times New Roman" w:hAnsi="Times New Roman"/>
                <w:bCs/>
                <w:color w:val="000000"/>
                <w:sz w:val="16"/>
                <w:szCs w:val="16"/>
                <w:lang w:val="en-US"/>
              </w:rPr>
              <w:t xml:space="preserve"> </w:t>
            </w:r>
            <w:r w:rsidR="00F92811" w:rsidRPr="00E16672">
              <w:rPr>
                <w:rFonts w:ascii="Times New Roman" w:hAnsi="Times New Roman"/>
                <w:bCs/>
                <w:color w:val="000000"/>
                <w:sz w:val="16"/>
                <w:szCs w:val="16"/>
              </w:rPr>
              <w:t>та</w:t>
            </w:r>
            <w:r w:rsidR="00F92811" w:rsidRPr="00E16672">
              <w:rPr>
                <w:rFonts w:ascii="Times New Roman" w:hAnsi="Times New Roman"/>
                <w:bCs/>
                <w:color w:val="000000"/>
                <w:sz w:val="16"/>
                <w:szCs w:val="16"/>
                <w:lang w:val="en-US"/>
              </w:rPr>
              <w:t>/</w:t>
            </w:r>
            <w:proofErr w:type="spellStart"/>
            <w:r w:rsidR="00F92811" w:rsidRPr="00E16672">
              <w:rPr>
                <w:rFonts w:ascii="Times New Roman" w:hAnsi="Times New Roman"/>
                <w:bCs/>
                <w:color w:val="000000"/>
                <w:sz w:val="16"/>
                <w:szCs w:val="16"/>
              </w:rPr>
              <w:t>або</w:t>
            </w:r>
            <w:proofErr w:type="spellEnd"/>
            <w:r w:rsidR="00F92811" w:rsidRPr="00E16672">
              <w:rPr>
                <w:rFonts w:ascii="Times New Roman" w:hAnsi="Times New Roman"/>
                <w:bCs/>
                <w:color w:val="000000"/>
                <w:sz w:val="16"/>
                <w:szCs w:val="16"/>
                <w:lang w:val="en-US"/>
              </w:rPr>
              <w:t xml:space="preserve"> </w:t>
            </w:r>
            <w:r w:rsidR="00F92811" w:rsidRPr="00E16672">
              <w:rPr>
                <w:rFonts w:ascii="Times New Roman" w:hAnsi="Times New Roman"/>
                <w:bCs/>
                <w:color w:val="000000"/>
                <w:sz w:val="16"/>
                <w:szCs w:val="16"/>
                <w:lang w:val="uk-UA"/>
              </w:rPr>
              <w:t>внутрішніх документів Депозитарної установи</w:t>
            </w:r>
            <w:r w:rsidR="00F92811" w:rsidRPr="00E16672">
              <w:rPr>
                <w:rFonts w:ascii="Times New Roman" w:hAnsi="Times New Roman"/>
                <w:color w:val="000000"/>
                <w:sz w:val="16"/>
                <w:szCs w:val="16"/>
                <w:lang w:val="uk-UA"/>
              </w:rPr>
              <w:t xml:space="preserve">. </w:t>
            </w:r>
            <w:r w:rsidR="00F92811" w:rsidRPr="00E16672">
              <w:rPr>
                <w:rFonts w:ascii="Times New Roman" w:hAnsi="Times New Roman"/>
                <w:color w:val="000000"/>
                <w:sz w:val="16"/>
                <w:szCs w:val="20"/>
                <w:lang w:val="uk-UA"/>
              </w:rPr>
              <w:t>Відмовити Депоненту (розпоряднику рахунку, керуючому рахунком) у взятті до виконання розпорядження (запиту) у випадках, визначених законодавством та внутрішніми документами Депозитарної установи, в тому числі у разі відмови депонента у приведенні Договору у відповідність до вимог законодавства</w:t>
            </w:r>
            <w:r w:rsidRPr="00E16672">
              <w:rPr>
                <w:rFonts w:ascii="Times New Roman" w:hAnsi="Times New Roman"/>
                <w:color w:val="000000"/>
                <w:sz w:val="16"/>
                <w:szCs w:val="20"/>
                <w:lang w:val="uk-UA"/>
              </w:rPr>
              <w:t>.</w:t>
            </w:r>
          </w:p>
          <w:p w14:paraId="4F6AE842" w14:textId="77777777" w:rsidR="003A05A3" w:rsidRPr="00E16672" w:rsidRDefault="003A05A3" w:rsidP="00843027">
            <w:pPr>
              <w:pStyle w:val="210"/>
              <w:snapToGrid w:val="0"/>
              <w:ind w:left="175" w:right="62" w:firstLine="7"/>
              <w:rPr>
                <w:rFonts w:ascii="Times New Roman" w:hAnsi="Times New Roman"/>
                <w:color w:val="000000"/>
                <w:sz w:val="16"/>
                <w:szCs w:val="16"/>
              </w:rPr>
            </w:pPr>
          </w:p>
        </w:tc>
        <w:tc>
          <w:tcPr>
            <w:tcW w:w="5494" w:type="dxa"/>
            <w:gridSpan w:val="6"/>
            <w:shd w:val="clear" w:color="auto" w:fill="auto"/>
          </w:tcPr>
          <w:p w14:paraId="535D0C7C" w14:textId="77777777" w:rsidR="003A05A3" w:rsidRPr="00E16672" w:rsidRDefault="003A05A3" w:rsidP="00843027">
            <w:pPr>
              <w:pStyle w:val="HTML"/>
              <w:ind w:left="175" w:right="62" w:firstLine="7"/>
              <w:rPr>
                <w:rFonts w:ascii="Times New Roman" w:hAnsi="Times New Roman" w:cs="Times New Roman"/>
                <w:color w:val="000000"/>
                <w:sz w:val="16"/>
                <w:szCs w:val="16"/>
                <w:lang w:val="uk-UA"/>
              </w:rPr>
            </w:pPr>
            <w:r w:rsidRPr="00E16672">
              <w:rPr>
                <w:rFonts w:ascii="Times New Roman" w:hAnsi="Times New Roman" w:cs="Times New Roman"/>
                <w:color w:val="000000"/>
                <w:sz w:val="16"/>
                <w:szCs w:val="16"/>
                <w:lang w:val="en-US"/>
              </w:rPr>
              <w:t xml:space="preserve">2.2.11. Provide a written refusal of issuing a an extract from the account in securities in the event of non-compliance registration the order with requirements of the </w:t>
            </w:r>
            <w:r w:rsidRPr="00E16672">
              <w:rPr>
                <w:rFonts w:ascii="Times New Roman" w:hAnsi="Times New Roman" w:cs="Times New Roman"/>
                <w:bCs/>
                <w:color w:val="000000"/>
                <w:sz w:val="16"/>
                <w:szCs w:val="16"/>
                <w:lang w:val="en-US"/>
              </w:rPr>
              <w:t>Regulation on depository activities</w:t>
            </w:r>
            <w:r w:rsidRPr="00E16672">
              <w:rPr>
                <w:rFonts w:ascii="Times New Roman" w:hAnsi="Times New Roman" w:cs="Times New Roman"/>
                <w:color w:val="000000"/>
                <w:sz w:val="16"/>
                <w:szCs w:val="16"/>
                <w:lang w:val="en-US"/>
              </w:rPr>
              <w:t xml:space="preserve"> and internal documents </w:t>
            </w:r>
            <w:proofErr w:type="gramStart"/>
            <w:r w:rsidRPr="00E16672">
              <w:rPr>
                <w:rFonts w:ascii="Times New Roman" w:hAnsi="Times New Roman" w:cs="Times New Roman"/>
                <w:color w:val="000000"/>
                <w:sz w:val="16"/>
                <w:szCs w:val="16"/>
                <w:lang w:val="en-US"/>
              </w:rPr>
              <w:t>of  Depository</w:t>
            </w:r>
            <w:proofErr w:type="gramEnd"/>
            <w:r w:rsidRPr="00E16672">
              <w:rPr>
                <w:rFonts w:ascii="Times New Roman" w:hAnsi="Times New Roman" w:cs="Times New Roman"/>
                <w:color w:val="000000"/>
                <w:sz w:val="16"/>
                <w:szCs w:val="16"/>
                <w:lang w:val="en-US"/>
              </w:rPr>
              <w:t xml:space="preserve"> institution</w:t>
            </w:r>
            <w:r w:rsidRPr="00E16672">
              <w:rPr>
                <w:rFonts w:ascii="Times New Roman" w:hAnsi="Times New Roman" w:cs="Times New Roman"/>
                <w:color w:val="000000"/>
                <w:sz w:val="16"/>
                <w:szCs w:val="16"/>
                <w:lang w:val="uk-UA"/>
              </w:rPr>
              <w:t>.</w:t>
            </w:r>
          </w:p>
          <w:p w14:paraId="33B4C917" w14:textId="77777777" w:rsidR="003A05A3" w:rsidRPr="00E16672" w:rsidRDefault="003A05A3" w:rsidP="00843027">
            <w:pPr>
              <w:pStyle w:val="210"/>
              <w:tabs>
                <w:tab w:val="left" w:pos="287"/>
              </w:tabs>
              <w:snapToGrid w:val="0"/>
              <w:ind w:left="175" w:right="62" w:firstLine="7"/>
              <w:rPr>
                <w:rFonts w:ascii="Times New Roman" w:hAnsi="Times New Roman"/>
                <w:color w:val="000000"/>
                <w:sz w:val="16"/>
                <w:szCs w:val="16"/>
                <w:lang w:val="en-US"/>
              </w:rPr>
            </w:pPr>
            <w:proofErr w:type="spellStart"/>
            <w:r w:rsidRPr="00E16672">
              <w:rPr>
                <w:rFonts w:ascii="Times New Roman" w:hAnsi="Times New Roman"/>
                <w:sz w:val="16"/>
                <w:szCs w:val="16"/>
              </w:rPr>
              <w:t>To</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refuse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Depositor</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Manager</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of</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account</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Аdministrator</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of</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account</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in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taking</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orders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inquiries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in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cases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specified</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by</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legislation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and</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internal</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documents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of</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Depository</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including</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in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case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of</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refusal</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of</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depositor</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to</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bring</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Agreement</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into</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compliance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with</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requirements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of</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legislation</w:t>
            </w:r>
            <w:proofErr w:type="spellEnd"/>
            <w:r w:rsidRPr="00E16672">
              <w:rPr>
                <w:rFonts w:ascii="Times New Roman" w:hAnsi="Times New Roman"/>
                <w:sz w:val="16"/>
                <w:szCs w:val="16"/>
              </w:rPr>
              <w:t>.</w:t>
            </w:r>
          </w:p>
        </w:tc>
      </w:tr>
      <w:tr w:rsidR="003A05A3" w:rsidRPr="00F23413" w14:paraId="5642021B" w14:textId="77777777" w:rsidTr="00242F58">
        <w:trPr>
          <w:trHeight w:val="192"/>
        </w:trPr>
        <w:tc>
          <w:tcPr>
            <w:tcW w:w="5696" w:type="dxa"/>
            <w:gridSpan w:val="8"/>
            <w:shd w:val="clear" w:color="auto" w:fill="auto"/>
          </w:tcPr>
          <w:p w14:paraId="605482BA" w14:textId="77777777" w:rsidR="003A05A3" w:rsidRPr="00E16672" w:rsidRDefault="003A05A3" w:rsidP="00843027">
            <w:pPr>
              <w:widowControl w:val="0"/>
              <w:tabs>
                <w:tab w:val="left" w:pos="540"/>
              </w:tabs>
              <w:snapToGrid w:val="0"/>
              <w:ind w:left="175" w:right="138" w:firstLine="7"/>
              <w:rPr>
                <w:rFonts w:ascii="Times New Roman" w:hAnsi="Times New Roman"/>
                <w:color w:val="000000"/>
                <w:sz w:val="16"/>
                <w:szCs w:val="16"/>
                <w:lang w:val="uk-UA"/>
              </w:rPr>
            </w:pPr>
            <w:r w:rsidRPr="00E16672">
              <w:rPr>
                <w:rFonts w:ascii="Times New Roman" w:hAnsi="Times New Roman"/>
                <w:sz w:val="16"/>
                <w:szCs w:val="16"/>
              </w:rPr>
              <w:t xml:space="preserve">2.2.12. </w:t>
            </w:r>
            <w:r w:rsidRPr="00E16672">
              <w:rPr>
                <w:rFonts w:ascii="Times New Roman" w:hAnsi="Times New Roman"/>
                <w:sz w:val="16"/>
                <w:szCs w:val="20"/>
                <w:lang w:val="uk-UA"/>
              </w:rPr>
              <w:t xml:space="preserve">Вимагати від Депонента повної та своєчасної оплати своїх послуг згідно умов цього Договору та тарифів Депозитарної установи. </w:t>
            </w:r>
            <w:proofErr w:type="spellStart"/>
            <w:proofErr w:type="gramStart"/>
            <w:r w:rsidRPr="00E16672">
              <w:rPr>
                <w:rFonts w:ascii="Times New Roman" w:hAnsi="Times New Roman"/>
                <w:sz w:val="16"/>
                <w:szCs w:val="16"/>
              </w:rPr>
              <w:t>Відмовити</w:t>
            </w:r>
            <w:proofErr w:type="spellEnd"/>
            <w:r w:rsidRPr="00E16672">
              <w:rPr>
                <w:rFonts w:ascii="Times New Roman" w:hAnsi="Times New Roman"/>
                <w:sz w:val="16"/>
                <w:szCs w:val="16"/>
              </w:rPr>
              <w:t xml:space="preserve">  в</w:t>
            </w:r>
            <w:proofErr w:type="gramEnd"/>
            <w:r w:rsidRPr="00E16672">
              <w:rPr>
                <w:rFonts w:ascii="Times New Roman" w:hAnsi="Times New Roman"/>
                <w:sz w:val="16"/>
                <w:szCs w:val="16"/>
              </w:rPr>
              <w:t xml:space="preserve"> </w:t>
            </w:r>
            <w:proofErr w:type="spellStart"/>
            <w:r w:rsidRPr="00E16672">
              <w:rPr>
                <w:rFonts w:ascii="Times New Roman" w:hAnsi="Times New Roman"/>
                <w:sz w:val="16"/>
                <w:szCs w:val="16"/>
              </w:rPr>
              <w:t>узятті</w:t>
            </w:r>
            <w:proofErr w:type="spellEnd"/>
            <w:r w:rsidRPr="00E16672">
              <w:rPr>
                <w:rFonts w:ascii="Times New Roman" w:hAnsi="Times New Roman"/>
                <w:sz w:val="16"/>
                <w:szCs w:val="16"/>
              </w:rPr>
              <w:t xml:space="preserve"> до </w:t>
            </w:r>
            <w:proofErr w:type="spellStart"/>
            <w:r w:rsidRPr="00E16672">
              <w:rPr>
                <w:rFonts w:ascii="Times New Roman" w:hAnsi="Times New Roman"/>
                <w:sz w:val="16"/>
                <w:szCs w:val="16"/>
              </w:rPr>
              <w:t>виконання</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розпорядження</w:t>
            </w:r>
            <w:proofErr w:type="spellEnd"/>
            <w:r w:rsidRPr="00E16672">
              <w:rPr>
                <w:rFonts w:ascii="Times New Roman" w:hAnsi="Times New Roman"/>
                <w:sz w:val="16"/>
                <w:szCs w:val="16"/>
              </w:rPr>
              <w:t xml:space="preserve"> у </w:t>
            </w:r>
            <w:proofErr w:type="spellStart"/>
            <w:r w:rsidRPr="00E16672">
              <w:rPr>
                <w:rFonts w:ascii="Times New Roman" w:hAnsi="Times New Roman"/>
                <w:sz w:val="16"/>
                <w:szCs w:val="16"/>
              </w:rPr>
              <w:t>разі</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несплати</w:t>
            </w:r>
            <w:proofErr w:type="spellEnd"/>
            <w:r w:rsidRPr="00E16672">
              <w:rPr>
                <w:rFonts w:ascii="Times New Roman" w:hAnsi="Times New Roman"/>
                <w:sz w:val="16"/>
                <w:szCs w:val="16"/>
              </w:rPr>
              <w:t xml:space="preserve"> Депонентом  </w:t>
            </w:r>
            <w:proofErr w:type="spellStart"/>
            <w:r w:rsidRPr="00E16672">
              <w:rPr>
                <w:rFonts w:ascii="Times New Roman" w:hAnsi="Times New Roman"/>
                <w:sz w:val="16"/>
                <w:szCs w:val="16"/>
              </w:rPr>
              <w:t>депозитарних</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послуг</w:t>
            </w:r>
            <w:proofErr w:type="spellEnd"/>
            <w:r w:rsidRPr="00E16672">
              <w:rPr>
                <w:rFonts w:ascii="Times New Roman" w:hAnsi="Times New Roman"/>
                <w:sz w:val="16"/>
                <w:szCs w:val="16"/>
              </w:rPr>
              <w:t>.</w:t>
            </w:r>
            <w:r w:rsidRPr="00E16672">
              <w:rPr>
                <w:rFonts w:ascii="Times New Roman" w:hAnsi="Times New Roman"/>
                <w:sz w:val="16"/>
                <w:szCs w:val="16"/>
                <w:lang w:val="uk-UA"/>
              </w:rPr>
              <w:t xml:space="preserve"> П</w:t>
            </w:r>
            <w:r w:rsidRPr="00E16672">
              <w:rPr>
                <w:rFonts w:ascii="Times New Roman" w:hAnsi="Times New Roman"/>
                <w:color w:val="000000"/>
                <w:sz w:val="16"/>
                <w:szCs w:val="16"/>
                <w:lang w:val="uk-UA"/>
              </w:rPr>
              <w:t xml:space="preserve">ризупинити обслуговування рахунку </w:t>
            </w:r>
            <w:r w:rsidR="00C22309" w:rsidRPr="00E16672">
              <w:rPr>
                <w:rFonts w:ascii="Times New Roman" w:hAnsi="Times New Roman"/>
                <w:color w:val="000000"/>
                <w:sz w:val="16"/>
                <w:szCs w:val="16"/>
                <w:lang w:val="uk-UA"/>
              </w:rPr>
              <w:t>в цін</w:t>
            </w:r>
            <w:r w:rsidRPr="00E16672">
              <w:rPr>
                <w:rFonts w:ascii="Times New Roman" w:hAnsi="Times New Roman"/>
                <w:color w:val="000000"/>
                <w:sz w:val="16"/>
                <w:szCs w:val="16"/>
                <w:lang w:val="uk-UA"/>
              </w:rPr>
              <w:t>них паперах Депонента у разі порушення Депонентом цього Договору щодо оплати послуг Депозитарної установи.</w:t>
            </w:r>
          </w:p>
          <w:p w14:paraId="2528052B" w14:textId="77777777" w:rsidR="00774DF7" w:rsidRPr="00E16672" w:rsidRDefault="00774DF7" w:rsidP="00843027">
            <w:pPr>
              <w:widowControl w:val="0"/>
              <w:tabs>
                <w:tab w:val="left" w:pos="540"/>
              </w:tabs>
              <w:snapToGrid w:val="0"/>
              <w:ind w:left="175" w:right="138" w:firstLine="7"/>
              <w:rPr>
                <w:rFonts w:ascii="Times New Roman" w:hAnsi="Times New Roman"/>
                <w:color w:val="000000"/>
                <w:sz w:val="16"/>
                <w:szCs w:val="16"/>
                <w:lang w:val="uk-UA"/>
              </w:rPr>
            </w:pPr>
          </w:p>
          <w:p w14:paraId="0B5B162B" w14:textId="77777777" w:rsidR="00774DF7" w:rsidRPr="00E16672" w:rsidRDefault="00774DF7" w:rsidP="00BE65A3">
            <w:pPr>
              <w:widowControl w:val="0"/>
              <w:tabs>
                <w:tab w:val="left" w:pos="540"/>
              </w:tabs>
              <w:snapToGrid w:val="0"/>
              <w:ind w:left="175" w:right="138" w:firstLine="7"/>
              <w:rPr>
                <w:rFonts w:ascii="Times New Roman" w:hAnsi="Times New Roman"/>
                <w:sz w:val="16"/>
                <w:szCs w:val="16"/>
              </w:rPr>
            </w:pPr>
            <w:r w:rsidRPr="00E16672">
              <w:rPr>
                <w:rFonts w:ascii="Times New Roman" w:hAnsi="Times New Roman"/>
                <w:color w:val="000000"/>
                <w:sz w:val="16"/>
                <w:szCs w:val="16"/>
                <w:lang w:val="uk-UA"/>
              </w:rPr>
              <w:t xml:space="preserve">2.2.13. </w:t>
            </w:r>
            <w:r w:rsidR="00BE65A3" w:rsidRPr="00E16672">
              <w:rPr>
                <w:rFonts w:ascii="Times New Roman" w:hAnsi="Times New Roman"/>
                <w:color w:val="000000"/>
                <w:sz w:val="16"/>
                <w:szCs w:val="16"/>
                <w:lang w:val="uk-UA"/>
              </w:rPr>
              <w:t xml:space="preserve">Надавати Депоненту виписки з рахунку </w:t>
            </w:r>
            <w:r w:rsidR="00C22309" w:rsidRPr="00E16672">
              <w:rPr>
                <w:rFonts w:ascii="Times New Roman" w:hAnsi="Times New Roman"/>
                <w:color w:val="000000"/>
                <w:sz w:val="16"/>
                <w:szCs w:val="16"/>
                <w:lang w:val="uk-UA"/>
              </w:rPr>
              <w:t>в цін</w:t>
            </w:r>
            <w:r w:rsidR="00BE65A3" w:rsidRPr="00E16672">
              <w:rPr>
                <w:rFonts w:ascii="Times New Roman" w:hAnsi="Times New Roman"/>
                <w:color w:val="000000"/>
                <w:sz w:val="16"/>
                <w:szCs w:val="16"/>
                <w:lang w:val="uk-UA"/>
              </w:rPr>
              <w:t>них паперах Депонента (про стан рахунку в цінних паперах депонента станом на кінець попереднього року та про операції з цінними паперами за попередній рік) один раз на рік без запиту (розпорядження) Депонента.</w:t>
            </w:r>
          </w:p>
        </w:tc>
        <w:tc>
          <w:tcPr>
            <w:tcW w:w="5494" w:type="dxa"/>
            <w:gridSpan w:val="6"/>
            <w:shd w:val="clear" w:color="auto" w:fill="auto"/>
          </w:tcPr>
          <w:p w14:paraId="406E3767" w14:textId="77777777" w:rsidR="003A05A3" w:rsidRPr="00E16672" w:rsidRDefault="003A05A3" w:rsidP="00843027">
            <w:pPr>
              <w:pStyle w:val="210"/>
              <w:snapToGrid w:val="0"/>
              <w:ind w:left="175" w:right="138" w:firstLine="7"/>
              <w:rPr>
                <w:rFonts w:ascii="Times New Roman" w:hAnsi="Times New Roman"/>
                <w:sz w:val="16"/>
              </w:rPr>
            </w:pPr>
            <w:r w:rsidRPr="00E16672">
              <w:rPr>
                <w:rFonts w:ascii="Times New Roman" w:hAnsi="Times New Roman"/>
                <w:sz w:val="16"/>
                <w:szCs w:val="16"/>
              </w:rPr>
              <w:t xml:space="preserve">2.2.12 </w:t>
            </w:r>
            <w:proofErr w:type="spellStart"/>
            <w:r w:rsidRPr="00E16672">
              <w:rPr>
                <w:rFonts w:ascii="Times New Roman" w:hAnsi="Times New Roman"/>
                <w:sz w:val="16"/>
              </w:rPr>
              <w:t>To</w:t>
            </w:r>
            <w:proofErr w:type="spellEnd"/>
            <w:r w:rsidRPr="00E16672">
              <w:rPr>
                <w:rFonts w:ascii="Times New Roman" w:hAnsi="Times New Roman"/>
                <w:sz w:val="16"/>
              </w:rPr>
              <w:t xml:space="preserve"> </w:t>
            </w:r>
            <w:proofErr w:type="spellStart"/>
            <w:r w:rsidRPr="00E16672">
              <w:rPr>
                <w:rFonts w:ascii="Times New Roman" w:hAnsi="Times New Roman"/>
                <w:sz w:val="16"/>
              </w:rPr>
              <w:t>demand</w:t>
            </w:r>
            <w:proofErr w:type="spellEnd"/>
            <w:r w:rsidRPr="00E16672">
              <w:rPr>
                <w:rFonts w:ascii="Times New Roman" w:hAnsi="Times New Roman"/>
                <w:sz w:val="16"/>
              </w:rPr>
              <w:t xml:space="preserve"> </w:t>
            </w:r>
            <w:proofErr w:type="spellStart"/>
            <w:r w:rsidRPr="00E16672">
              <w:rPr>
                <w:rFonts w:ascii="Times New Roman" w:hAnsi="Times New Roman"/>
                <w:sz w:val="16"/>
              </w:rPr>
              <w:t>from</w:t>
            </w:r>
            <w:proofErr w:type="spellEnd"/>
            <w:r w:rsidRPr="00E16672">
              <w:rPr>
                <w:rFonts w:ascii="Times New Roman" w:hAnsi="Times New Roman"/>
                <w:sz w:val="16"/>
              </w:rPr>
              <w:t xml:space="preserve"> </w:t>
            </w:r>
            <w:proofErr w:type="spellStart"/>
            <w:r w:rsidRPr="00E16672">
              <w:rPr>
                <w:rFonts w:ascii="Times New Roman" w:hAnsi="Times New Roman"/>
                <w:sz w:val="16"/>
              </w:rPr>
              <w:t>the</w:t>
            </w:r>
            <w:proofErr w:type="spellEnd"/>
            <w:r w:rsidRPr="00E16672">
              <w:rPr>
                <w:rFonts w:ascii="Times New Roman" w:hAnsi="Times New Roman"/>
                <w:sz w:val="16"/>
              </w:rPr>
              <w:t xml:space="preserve"> </w:t>
            </w:r>
            <w:proofErr w:type="spellStart"/>
            <w:r w:rsidRPr="00E16672">
              <w:rPr>
                <w:rFonts w:ascii="Times New Roman" w:hAnsi="Times New Roman"/>
                <w:sz w:val="16"/>
              </w:rPr>
              <w:t>Depositor</w:t>
            </w:r>
            <w:proofErr w:type="spellEnd"/>
            <w:r w:rsidRPr="00E16672">
              <w:rPr>
                <w:rFonts w:ascii="Times New Roman" w:hAnsi="Times New Roman"/>
                <w:sz w:val="16"/>
              </w:rPr>
              <w:t xml:space="preserve"> </w:t>
            </w:r>
            <w:proofErr w:type="spellStart"/>
            <w:r w:rsidRPr="00E16672">
              <w:rPr>
                <w:rFonts w:ascii="Times New Roman" w:hAnsi="Times New Roman"/>
                <w:sz w:val="16"/>
              </w:rPr>
              <w:t>full</w:t>
            </w:r>
            <w:proofErr w:type="spellEnd"/>
            <w:r w:rsidRPr="00E16672">
              <w:rPr>
                <w:rFonts w:ascii="Times New Roman" w:hAnsi="Times New Roman"/>
                <w:sz w:val="16"/>
              </w:rPr>
              <w:t xml:space="preserve"> </w:t>
            </w:r>
            <w:proofErr w:type="spellStart"/>
            <w:r w:rsidRPr="00E16672">
              <w:rPr>
                <w:rFonts w:ascii="Times New Roman" w:hAnsi="Times New Roman"/>
                <w:sz w:val="16"/>
              </w:rPr>
              <w:t>and</w:t>
            </w:r>
            <w:proofErr w:type="spellEnd"/>
            <w:r w:rsidRPr="00E16672">
              <w:rPr>
                <w:rFonts w:ascii="Times New Roman" w:hAnsi="Times New Roman"/>
                <w:sz w:val="16"/>
              </w:rPr>
              <w:t xml:space="preserve"> </w:t>
            </w:r>
            <w:proofErr w:type="spellStart"/>
            <w:r w:rsidRPr="00E16672">
              <w:rPr>
                <w:rFonts w:ascii="Times New Roman" w:hAnsi="Times New Roman"/>
                <w:sz w:val="16"/>
              </w:rPr>
              <w:t>timely</w:t>
            </w:r>
            <w:proofErr w:type="spellEnd"/>
            <w:r w:rsidRPr="00E16672">
              <w:rPr>
                <w:rFonts w:ascii="Times New Roman" w:hAnsi="Times New Roman"/>
                <w:sz w:val="16"/>
              </w:rPr>
              <w:t xml:space="preserve"> </w:t>
            </w:r>
            <w:proofErr w:type="spellStart"/>
            <w:r w:rsidRPr="00E16672">
              <w:rPr>
                <w:rFonts w:ascii="Times New Roman" w:hAnsi="Times New Roman"/>
                <w:sz w:val="16"/>
              </w:rPr>
              <w:t>payment</w:t>
            </w:r>
            <w:proofErr w:type="spellEnd"/>
            <w:r w:rsidRPr="00E16672">
              <w:rPr>
                <w:rFonts w:ascii="Times New Roman" w:hAnsi="Times New Roman"/>
                <w:sz w:val="16"/>
              </w:rPr>
              <w:t xml:space="preserve"> </w:t>
            </w:r>
            <w:proofErr w:type="spellStart"/>
            <w:r w:rsidRPr="00E16672">
              <w:rPr>
                <w:rFonts w:ascii="Times New Roman" w:hAnsi="Times New Roman"/>
                <w:sz w:val="16"/>
              </w:rPr>
              <w:t>of</w:t>
            </w:r>
            <w:proofErr w:type="spellEnd"/>
            <w:r w:rsidRPr="00E16672">
              <w:rPr>
                <w:rFonts w:ascii="Times New Roman" w:hAnsi="Times New Roman"/>
                <w:sz w:val="16"/>
              </w:rPr>
              <w:t xml:space="preserve"> </w:t>
            </w:r>
            <w:proofErr w:type="spellStart"/>
            <w:r w:rsidRPr="00E16672">
              <w:rPr>
                <w:rFonts w:ascii="Times New Roman" w:hAnsi="Times New Roman"/>
                <w:sz w:val="16"/>
              </w:rPr>
              <w:t>his</w:t>
            </w:r>
            <w:proofErr w:type="spellEnd"/>
            <w:r w:rsidRPr="00E16672">
              <w:rPr>
                <w:rFonts w:ascii="Times New Roman" w:hAnsi="Times New Roman"/>
                <w:sz w:val="16"/>
              </w:rPr>
              <w:t xml:space="preserve"> </w:t>
            </w:r>
            <w:proofErr w:type="spellStart"/>
            <w:r w:rsidRPr="00E16672">
              <w:rPr>
                <w:rFonts w:ascii="Times New Roman" w:hAnsi="Times New Roman"/>
                <w:sz w:val="16"/>
              </w:rPr>
              <w:t>services</w:t>
            </w:r>
            <w:proofErr w:type="spellEnd"/>
            <w:r w:rsidRPr="00E16672">
              <w:rPr>
                <w:rFonts w:ascii="Times New Roman" w:hAnsi="Times New Roman"/>
                <w:sz w:val="16"/>
              </w:rPr>
              <w:t xml:space="preserve"> </w:t>
            </w:r>
            <w:proofErr w:type="spellStart"/>
            <w:r w:rsidRPr="00E16672">
              <w:rPr>
                <w:rFonts w:ascii="Times New Roman" w:hAnsi="Times New Roman"/>
                <w:sz w:val="16"/>
              </w:rPr>
              <w:t>in</w:t>
            </w:r>
            <w:proofErr w:type="spellEnd"/>
            <w:r w:rsidRPr="00E16672">
              <w:rPr>
                <w:rFonts w:ascii="Times New Roman" w:hAnsi="Times New Roman"/>
                <w:sz w:val="16"/>
              </w:rPr>
              <w:t xml:space="preserve"> </w:t>
            </w:r>
            <w:proofErr w:type="spellStart"/>
            <w:r w:rsidRPr="00E16672">
              <w:rPr>
                <w:rFonts w:ascii="Times New Roman" w:hAnsi="Times New Roman"/>
                <w:sz w:val="16"/>
              </w:rPr>
              <w:t>accordance</w:t>
            </w:r>
            <w:proofErr w:type="spellEnd"/>
            <w:r w:rsidRPr="00E16672">
              <w:rPr>
                <w:rFonts w:ascii="Times New Roman" w:hAnsi="Times New Roman"/>
                <w:sz w:val="16"/>
              </w:rPr>
              <w:t xml:space="preserve"> </w:t>
            </w:r>
            <w:proofErr w:type="spellStart"/>
            <w:r w:rsidRPr="00E16672">
              <w:rPr>
                <w:rFonts w:ascii="Times New Roman" w:hAnsi="Times New Roman"/>
                <w:sz w:val="16"/>
              </w:rPr>
              <w:t>with</w:t>
            </w:r>
            <w:proofErr w:type="spellEnd"/>
            <w:r w:rsidRPr="00E16672">
              <w:rPr>
                <w:rFonts w:ascii="Times New Roman" w:hAnsi="Times New Roman"/>
                <w:sz w:val="16"/>
              </w:rPr>
              <w:t xml:space="preserve"> </w:t>
            </w:r>
            <w:proofErr w:type="spellStart"/>
            <w:r w:rsidRPr="00E16672">
              <w:rPr>
                <w:rFonts w:ascii="Times New Roman" w:hAnsi="Times New Roman"/>
                <w:sz w:val="16"/>
              </w:rPr>
              <w:t>the</w:t>
            </w:r>
            <w:proofErr w:type="spellEnd"/>
            <w:r w:rsidRPr="00E16672">
              <w:rPr>
                <w:rFonts w:ascii="Times New Roman" w:hAnsi="Times New Roman"/>
                <w:sz w:val="16"/>
              </w:rPr>
              <w:t xml:space="preserve"> </w:t>
            </w:r>
            <w:proofErr w:type="spellStart"/>
            <w:r w:rsidRPr="00E16672">
              <w:rPr>
                <w:rFonts w:ascii="Times New Roman" w:hAnsi="Times New Roman"/>
                <w:sz w:val="16"/>
              </w:rPr>
              <w:t>terms</w:t>
            </w:r>
            <w:proofErr w:type="spellEnd"/>
            <w:r w:rsidRPr="00E16672">
              <w:rPr>
                <w:rFonts w:ascii="Times New Roman" w:hAnsi="Times New Roman"/>
                <w:sz w:val="16"/>
              </w:rPr>
              <w:t xml:space="preserve"> </w:t>
            </w:r>
            <w:proofErr w:type="spellStart"/>
            <w:r w:rsidRPr="00E16672">
              <w:rPr>
                <w:rFonts w:ascii="Times New Roman" w:hAnsi="Times New Roman"/>
                <w:sz w:val="16"/>
              </w:rPr>
              <w:t>of</w:t>
            </w:r>
            <w:proofErr w:type="spellEnd"/>
            <w:r w:rsidRPr="00E16672">
              <w:rPr>
                <w:rFonts w:ascii="Times New Roman" w:hAnsi="Times New Roman"/>
                <w:sz w:val="16"/>
              </w:rPr>
              <w:t xml:space="preserve"> </w:t>
            </w:r>
            <w:proofErr w:type="spellStart"/>
            <w:r w:rsidRPr="00E16672">
              <w:rPr>
                <w:rFonts w:ascii="Times New Roman" w:hAnsi="Times New Roman"/>
                <w:sz w:val="16"/>
              </w:rPr>
              <w:t>this</w:t>
            </w:r>
            <w:proofErr w:type="spellEnd"/>
            <w:r w:rsidRPr="00E16672">
              <w:rPr>
                <w:rFonts w:ascii="Times New Roman" w:hAnsi="Times New Roman"/>
                <w:sz w:val="16"/>
              </w:rPr>
              <w:t xml:space="preserve"> </w:t>
            </w:r>
            <w:proofErr w:type="spellStart"/>
            <w:r w:rsidRPr="00E16672">
              <w:rPr>
                <w:rFonts w:ascii="Times New Roman" w:hAnsi="Times New Roman"/>
                <w:sz w:val="16"/>
              </w:rPr>
              <w:t>Agreement</w:t>
            </w:r>
            <w:proofErr w:type="spellEnd"/>
            <w:r w:rsidRPr="00E16672">
              <w:rPr>
                <w:rFonts w:ascii="Times New Roman" w:hAnsi="Times New Roman"/>
                <w:sz w:val="16"/>
              </w:rPr>
              <w:t xml:space="preserve"> </w:t>
            </w:r>
            <w:proofErr w:type="spellStart"/>
            <w:r w:rsidRPr="00E16672">
              <w:rPr>
                <w:rFonts w:ascii="Times New Roman" w:hAnsi="Times New Roman"/>
                <w:sz w:val="16"/>
              </w:rPr>
              <w:t>and</w:t>
            </w:r>
            <w:proofErr w:type="spellEnd"/>
            <w:r w:rsidRPr="00E16672">
              <w:rPr>
                <w:rFonts w:ascii="Times New Roman" w:hAnsi="Times New Roman"/>
                <w:sz w:val="16"/>
              </w:rPr>
              <w:t xml:space="preserve"> </w:t>
            </w:r>
            <w:proofErr w:type="spellStart"/>
            <w:r w:rsidRPr="00E16672">
              <w:rPr>
                <w:rFonts w:ascii="Times New Roman" w:hAnsi="Times New Roman"/>
                <w:sz w:val="16"/>
              </w:rPr>
              <w:t>the</w:t>
            </w:r>
            <w:proofErr w:type="spellEnd"/>
            <w:r w:rsidRPr="00E16672">
              <w:rPr>
                <w:rFonts w:ascii="Times New Roman" w:hAnsi="Times New Roman"/>
                <w:sz w:val="16"/>
              </w:rPr>
              <w:t xml:space="preserve"> </w:t>
            </w:r>
            <w:proofErr w:type="spellStart"/>
            <w:r w:rsidRPr="00E16672">
              <w:rPr>
                <w:rFonts w:ascii="Times New Roman" w:hAnsi="Times New Roman"/>
                <w:sz w:val="16"/>
              </w:rPr>
              <w:t>fees</w:t>
            </w:r>
            <w:proofErr w:type="spellEnd"/>
            <w:r w:rsidRPr="00E16672">
              <w:rPr>
                <w:rFonts w:ascii="Times New Roman" w:hAnsi="Times New Roman"/>
                <w:sz w:val="16"/>
              </w:rPr>
              <w:t xml:space="preserve"> </w:t>
            </w:r>
            <w:proofErr w:type="spellStart"/>
            <w:r w:rsidRPr="00E16672">
              <w:rPr>
                <w:rFonts w:ascii="Times New Roman" w:hAnsi="Times New Roman"/>
                <w:sz w:val="16"/>
              </w:rPr>
              <w:t>of</w:t>
            </w:r>
            <w:proofErr w:type="spellEnd"/>
            <w:r w:rsidRPr="00E16672">
              <w:rPr>
                <w:rFonts w:ascii="Times New Roman" w:hAnsi="Times New Roman"/>
                <w:sz w:val="16"/>
              </w:rPr>
              <w:t xml:space="preserve"> </w:t>
            </w:r>
            <w:proofErr w:type="spellStart"/>
            <w:r w:rsidRPr="00E16672">
              <w:rPr>
                <w:rFonts w:ascii="Times New Roman" w:hAnsi="Times New Roman"/>
                <w:sz w:val="16"/>
              </w:rPr>
              <w:t>the</w:t>
            </w:r>
            <w:proofErr w:type="spellEnd"/>
            <w:r w:rsidRPr="00E16672">
              <w:rPr>
                <w:rFonts w:ascii="Times New Roman" w:hAnsi="Times New Roman"/>
                <w:sz w:val="16"/>
              </w:rPr>
              <w:t xml:space="preserve"> </w:t>
            </w:r>
            <w:proofErr w:type="spellStart"/>
            <w:r w:rsidRPr="00E16672">
              <w:rPr>
                <w:rFonts w:ascii="Times New Roman" w:hAnsi="Times New Roman"/>
                <w:sz w:val="16"/>
              </w:rPr>
              <w:t>Depositary</w:t>
            </w:r>
            <w:proofErr w:type="spellEnd"/>
            <w:r w:rsidRPr="00E16672">
              <w:rPr>
                <w:rFonts w:ascii="Times New Roman" w:hAnsi="Times New Roman"/>
                <w:sz w:val="16"/>
              </w:rPr>
              <w:t xml:space="preserve">. </w:t>
            </w:r>
            <w:proofErr w:type="spellStart"/>
            <w:r w:rsidRPr="00E16672">
              <w:rPr>
                <w:rFonts w:ascii="Times New Roman" w:hAnsi="Times New Roman"/>
                <w:sz w:val="16"/>
                <w:szCs w:val="16"/>
              </w:rPr>
              <w:t>Refuse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in</w:t>
            </w:r>
            <w:proofErr w:type="spellEnd"/>
            <w:r w:rsidRPr="00E16672">
              <w:rPr>
                <w:rFonts w:ascii="Times New Roman" w:hAnsi="Times New Roman"/>
                <w:sz w:val="16"/>
                <w:szCs w:val="16"/>
              </w:rPr>
              <w:t xml:space="preserve"> </w:t>
            </w:r>
            <w:r w:rsidRPr="00E16672">
              <w:rPr>
                <w:rFonts w:ascii="Times New Roman" w:hAnsi="Times New Roman"/>
                <w:sz w:val="16"/>
                <w:szCs w:val="16"/>
                <w:lang w:val="en-US"/>
              </w:rPr>
              <w:t>taking</w:t>
            </w:r>
            <w:r w:rsidRPr="00E16672">
              <w:rPr>
                <w:rFonts w:ascii="Times New Roman" w:hAnsi="Times New Roman"/>
                <w:sz w:val="16"/>
                <w:szCs w:val="16"/>
              </w:rPr>
              <w:t xml:space="preserve"> </w:t>
            </w:r>
            <w:proofErr w:type="spellStart"/>
            <w:r w:rsidRPr="00E16672">
              <w:rPr>
                <w:rFonts w:ascii="Times New Roman" w:hAnsi="Times New Roman"/>
                <w:sz w:val="16"/>
                <w:szCs w:val="16"/>
              </w:rPr>
              <w:t>to</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fulfill</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orders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in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event</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of</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non-payment</w:t>
            </w:r>
            <w:proofErr w:type="spellEnd"/>
            <w:r w:rsidRPr="00E16672">
              <w:rPr>
                <w:rStyle w:val="hps"/>
                <w:rFonts w:ascii="Times New Roman" w:hAnsi="Times New Roman"/>
              </w:rPr>
              <w:t xml:space="preserve"> </w:t>
            </w:r>
            <w:proofErr w:type="spellStart"/>
            <w:r w:rsidRPr="00E16672">
              <w:rPr>
                <w:rFonts w:ascii="Times New Roman" w:hAnsi="Times New Roman"/>
                <w:sz w:val="16"/>
                <w:szCs w:val="16"/>
              </w:rPr>
              <w:t>by</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Depositor</w:t>
            </w:r>
            <w:proofErr w:type="spellEnd"/>
            <w:r w:rsidRPr="00E16672">
              <w:rPr>
                <w:rFonts w:ascii="Times New Roman" w:hAnsi="Times New Roman"/>
                <w:sz w:val="16"/>
                <w:szCs w:val="16"/>
              </w:rPr>
              <w:t xml:space="preserve"> </w:t>
            </w:r>
            <w:r w:rsidRPr="00E16672">
              <w:rPr>
                <w:rFonts w:ascii="Times New Roman" w:hAnsi="Times New Roman"/>
                <w:sz w:val="16"/>
                <w:szCs w:val="16"/>
                <w:lang w:val="en-US"/>
              </w:rPr>
              <w:t>depositary</w:t>
            </w:r>
            <w:r w:rsidRPr="00E16672">
              <w:rPr>
                <w:rFonts w:ascii="Times New Roman" w:hAnsi="Times New Roman"/>
                <w:sz w:val="16"/>
                <w:szCs w:val="16"/>
              </w:rPr>
              <w:t xml:space="preserve"> </w:t>
            </w:r>
            <w:proofErr w:type="spellStart"/>
            <w:r w:rsidRPr="00E16672">
              <w:rPr>
                <w:rFonts w:ascii="Times New Roman" w:hAnsi="Times New Roman"/>
                <w:sz w:val="16"/>
                <w:szCs w:val="16"/>
              </w:rPr>
              <w:t>services</w:t>
            </w:r>
            <w:proofErr w:type="spellEnd"/>
            <w:r w:rsidRPr="00E16672">
              <w:rPr>
                <w:rFonts w:ascii="Times New Roman" w:hAnsi="Times New Roman"/>
                <w:sz w:val="16"/>
                <w:szCs w:val="16"/>
              </w:rPr>
              <w:t xml:space="preserve">. </w:t>
            </w:r>
            <w:proofErr w:type="spellStart"/>
            <w:r w:rsidRPr="00E16672">
              <w:rPr>
                <w:rFonts w:ascii="Times New Roman" w:hAnsi="Times New Roman"/>
                <w:sz w:val="16"/>
              </w:rPr>
              <w:t>Suspend</w:t>
            </w:r>
            <w:proofErr w:type="spellEnd"/>
            <w:r w:rsidRPr="00E16672">
              <w:rPr>
                <w:rFonts w:ascii="Times New Roman" w:hAnsi="Times New Roman"/>
                <w:sz w:val="16"/>
              </w:rPr>
              <w:t xml:space="preserve"> </w:t>
            </w:r>
            <w:proofErr w:type="spellStart"/>
            <w:r w:rsidRPr="00E16672">
              <w:rPr>
                <w:rFonts w:ascii="Times New Roman" w:hAnsi="Times New Roman"/>
                <w:sz w:val="16"/>
              </w:rPr>
              <w:t>servicing</w:t>
            </w:r>
            <w:proofErr w:type="spellEnd"/>
            <w:r w:rsidRPr="00E16672">
              <w:rPr>
                <w:rFonts w:ascii="Times New Roman" w:hAnsi="Times New Roman"/>
                <w:sz w:val="16"/>
              </w:rPr>
              <w:t xml:space="preserve"> </w:t>
            </w:r>
            <w:proofErr w:type="spellStart"/>
            <w:r w:rsidRPr="00E16672">
              <w:rPr>
                <w:rFonts w:ascii="Times New Roman" w:hAnsi="Times New Roman"/>
                <w:sz w:val="16"/>
              </w:rPr>
              <w:t>of</w:t>
            </w:r>
            <w:proofErr w:type="spellEnd"/>
            <w:r w:rsidRPr="00E16672">
              <w:rPr>
                <w:rFonts w:ascii="Times New Roman" w:hAnsi="Times New Roman"/>
                <w:sz w:val="16"/>
              </w:rPr>
              <w:t xml:space="preserve"> </w:t>
            </w:r>
            <w:proofErr w:type="spellStart"/>
            <w:r w:rsidRPr="00E16672">
              <w:rPr>
                <w:rFonts w:ascii="Times New Roman" w:hAnsi="Times New Roman"/>
                <w:sz w:val="16"/>
              </w:rPr>
              <w:t>the</w:t>
            </w:r>
            <w:proofErr w:type="spellEnd"/>
            <w:r w:rsidRPr="00E16672">
              <w:rPr>
                <w:rFonts w:ascii="Times New Roman" w:hAnsi="Times New Roman"/>
                <w:sz w:val="16"/>
              </w:rPr>
              <w:t xml:space="preserve"> </w:t>
            </w:r>
            <w:proofErr w:type="spellStart"/>
            <w:r w:rsidRPr="00E16672">
              <w:rPr>
                <w:rFonts w:ascii="Times New Roman" w:hAnsi="Times New Roman"/>
                <w:sz w:val="16"/>
              </w:rPr>
              <w:t>securities</w:t>
            </w:r>
            <w:proofErr w:type="spellEnd"/>
            <w:r w:rsidRPr="00E16672">
              <w:rPr>
                <w:rFonts w:ascii="Times New Roman" w:hAnsi="Times New Roman"/>
                <w:sz w:val="16"/>
              </w:rPr>
              <w:t xml:space="preserve"> </w:t>
            </w:r>
            <w:proofErr w:type="spellStart"/>
            <w:r w:rsidRPr="00E16672">
              <w:rPr>
                <w:rFonts w:ascii="Times New Roman" w:hAnsi="Times New Roman"/>
                <w:sz w:val="16"/>
              </w:rPr>
              <w:t>account</w:t>
            </w:r>
            <w:proofErr w:type="spellEnd"/>
            <w:r w:rsidRPr="00E16672">
              <w:rPr>
                <w:rFonts w:ascii="Times New Roman" w:hAnsi="Times New Roman"/>
                <w:sz w:val="16"/>
              </w:rPr>
              <w:t xml:space="preserve"> </w:t>
            </w:r>
            <w:proofErr w:type="spellStart"/>
            <w:r w:rsidRPr="00E16672">
              <w:rPr>
                <w:rFonts w:ascii="Times New Roman" w:hAnsi="Times New Roman"/>
                <w:sz w:val="16"/>
              </w:rPr>
              <w:t>of</w:t>
            </w:r>
            <w:proofErr w:type="spellEnd"/>
            <w:r w:rsidRPr="00E16672">
              <w:rPr>
                <w:rFonts w:ascii="Times New Roman" w:hAnsi="Times New Roman"/>
                <w:sz w:val="16"/>
              </w:rPr>
              <w:t xml:space="preserve"> </w:t>
            </w:r>
            <w:proofErr w:type="spellStart"/>
            <w:r w:rsidRPr="00E16672">
              <w:rPr>
                <w:rFonts w:ascii="Times New Roman" w:hAnsi="Times New Roman"/>
                <w:sz w:val="16"/>
              </w:rPr>
              <w:t>the</w:t>
            </w:r>
            <w:proofErr w:type="spellEnd"/>
            <w:r w:rsidRPr="00E16672">
              <w:rPr>
                <w:rFonts w:ascii="Times New Roman" w:hAnsi="Times New Roman"/>
                <w:sz w:val="16"/>
              </w:rPr>
              <w:t xml:space="preserve"> </w:t>
            </w:r>
            <w:proofErr w:type="spellStart"/>
            <w:r w:rsidRPr="00E16672">
              <w:rPr>
                <w:rFonts w:ascii="Times New Roman" w:hAnsi="Times New Roman"/>
                <w:sz w:val="16"/>
              </w:rPr>
              <w:t>Depositor</w:t>
            </w:r>
            <w:proofErr w:type="spellEnd"/>
            <w:r w:rsidRPr="00E16672">
              <w:rPr>
                <w:rFonts w:ascii="Times New Roman" w:hAnsi="Times New Roman"/>
                <w:sz w:val="16"/>
              </w:rPr>
              <w:t xml:space="preserve"> </w:t>
            </w:r>
            <w:proofErr w:type="spellStart"/>
            <w:r w:rsidRPr="00E16672">
              <w:rPr>
                <w:rFonts w:ascii="Times New Roman" w:hAnsi="Times New Roman"/>
                <w:sz w:val="16"/>
              </w:rPr>
              <w:t>in</w:t>
            </w:r>
            <w:proofErr w:type="spellEnd"/>
            <w:r w:rsidRPr="00E16672">
              <w:rPr>
                <w:rFonts w:ascii="Times New Roman" w:hAnsi="Times New Roman"/>
                <w:sz w:val="16"/>
              </w:rPr>
              <w:t xml:space="preserve"> </w:t>
            </w:r>
            <w:proofErr w:type="spellStart"/>
            <w:r w:rsidRPr="00E16672">
              <w:rPr>
                <w:rFonts w:ascii="Times New Roman" w:hAnsi="Times New Roman"/>
                <w:sz w:val="16"/>
              </w:rPr>
              <w:t>case</w:t>
            </w:r>
            <w:proofErr w:type="spellEnd"/>
            <w:r w:rsidRPr="00E16672">
              <w:rPr>
                <w:rFonts w:ascii="Times New Roman" w:hAnsi="Times New Roman"/>
                <w:sz w:val="16"/>
              </w:rPr>
              <w:t xml:space="preserve"> </w:t>
            </w:r>
            <w:proofErr w:type="spellStart"/>
            <w:r w:rsidRPr="00E16672">
              <w:rPr>
                <w:rFonts w:ascii="Times New Roman" w:hAnsi="Times New Roman"/>
                <w:sz w:val="16"/>
              </w:rPr>
              <w:t>of</w:t>
            </w:r>
            <w:proofErr w:type="spellEnd"/>
            <w:r w:rsidRPr="00E16672">
              <w:rPr>
                <w:rFonts w:ascii="Times New Roman" w:hAnsi="Times New Roman"/>
                <w:sz w:val="16"/>
              </w:rPr>
              <w:t xml:space="preserve"> </w:t>
            </w:r>
            <w:proofErr w:type="spellStart"/>
            <w:r w:rsidRPr="00E16672">
              <w:rPr>
                <w:rFonts w:ascii="Times New Roman" w:hAnsi="Times New Roman"/>
                <w:sz w:val="16"/>
              </w:rPr>
              <w:t>breach</w:t>
            </w:r>
            <w:proofErr w:type="spellEnd"/>
            <w:r w:rsidRPr="00E16672">
              <w:rPr>
                <w:rFonts w:ascii="Times New Roman" w:hAnsi="Times New Roman"/>
                <w:sz w:val="16"/>
              </w:rPr>
              <w:t xml:space="preserve"> </w:t>
            </w:r>
            <w:proofErr w:type="spellStart"/>
            <w:r w:rsidRPr="00E16672">
              <w:rPr>
                <w:rFonts w:ascii="Times New Roman" w:hAnsi="Times New Roman"/>
                <w:sz w:val="16"/>
              </w:rPr>
              <w:t>by</w:t>
            </w:r>
            <w:proofErr w:type="spellEnd"/>
            <w:r w:rsidRPr="00E16672">
              <w:rPr>
                <w:rFonts w:ascii="Times New Roman" w:hAnsi="Times New Roman"/>
                <w:sz w:val="16"/>
              </w:rPr>
              <w:t xml:space="preserve"> </w:t>
            </w:r>
            <w:proofErr w:type="spellStart"/>
            <w:r w:rsidRPr="00E16672">
              <w:rPr>
                <w:rFonts w:ascii="Times New Roman" w:hAnsi="Times New Roman"/>
                <w:sz w:val="16"/>
              </w:rPr>
              <w:t>the</w:t>
            </w:r>
            <w:proofErr w:type="spellEnd"/>
            <w:r w:rsidRPr="00E16672">
              <w:rPr>
                <w:rFonts w:ascii="Times New Roman" w:hAnsi="Times New Roman"/>
                <w:sz w:val="16"/>
              </w:rPr>
              <w:t xml:space="preserve"> </w:t>
            </w:r>
            <w:proofErr w:type="spellStart"/>
            <w:r w:rsidRPr="00E16672">
              <w:rPr>
                <w:rFonts w:ascii="Times New Roman" w:hAnsi="Times New Roman"/>
                <w:sz w:val="16"/>
              </w:rPr>
              <w:t>Depositor</w:t>
            </w:r>
            <w:proofErr w:type="spellEnd"/>
            <w:r w:rsidRPr="00E16672">
              <w:rPr>
                <w:rFonts w:ascii="Times New Roman" w:hAnsi="Times New Roman"/>
                <w:sz w:val="16"/>
              </w:rPr>
              <w:t xml:space="preserve"> </w:t>
            </w:r>
            <w:proofErr w:type="spellStart"/>
            <w:r w:rsidRPr="00E16672">
              <w:rPr>
                <w:rFonts w:ascii="Times New Roman" w:hAnsi="Times New Roman"/>
                <w:sz w:val="16"/>
              </w:rPr>
              <w:t>of</w:t>
            </w:r>
            <w:proofErr w:type="spellEnd"/>
            <w:r w:rsidRPr="00E16672">
              <w:rPr>
                <w:rFonts w:ascii="Times New Roman" w:hAnsi="Times New Roman"/>
                <w:sz w:val="16"/>
              </w:rPr>
              <w:t xml:space="preserve"> </w:t>
            </w:r>
            <w:proofErr w:type="spellStart"/>
            <w:r w:rsidRPr="00E16672">
              <w:rPr>
                <w:rFonts w:ascii="Times New Roman" w:hAnsi="Times New Roman"/>
                <w:sz w:val="16"/>
              </w:rPr>
              <w:t>this</w:t>
            </w:r>
            <w:proofErr w:type="spellEnd"/>
            <w:r w:rsidRPr="00E16672">
              <w:rPr>
                <w:rFonts w:ascii="Times New Roman" w:hAnsi="Times New Roman"/>
                <w:sz w:val="16"/>
              </w:rPr>
              <w:t xml:space="preserve"> </w:t>
            </w:r>
            <w:proofErr w:type="spellStart"/>
            <w:r w:rsidRPr="00E16672">
              <w:rPr>
                <w:rFonts w:ascii="Times New Roman" w:hAnsi="Times New Roman"/>
                <w:sz w:val="16"/>
              </w:rPr>
              <w:t>Agreement</w:t>
            </w:r>
            <w:proofErr w:type="spellEnd"/>
            <w:r w:rsidRPr="00E16672">
              <w:rPr>
                <w:rFonts w:ascii="Times New Roman" w:hAnsi="Times New Roman"/>
                <w:sz w:val="16"/>
              </w:rPr>
              <w:t xml:space="preserve"> </w:t>
            </w:r>
            <w:proofErr w:type="spellStart"/>
            <w:r w:rsidRPr="00E16672">
              <w:rPr>
                <w:rFonts w:ascii="Times New Roman" w:hAnsi="Times New Roman"/>
                <w:sz w:val="16"/>
              </w:rPr>
              <w:t>for</w:t>
            </w:r>
            <w:proofErr w:type="spellEnd"/>
            <w:r w:rsidRPr="00E16672">
              <w:rPr>
                <w:rFonts w:ascii="Times New Roman" w:hAnsi="Times New Roman"/>
                <w:sz w:val="16"/>
              </w:rPr>
              <w:t xml:space="preserve"> </w:t>
            </w:r>
            <w:proofErr w:type="spellStart"/>
            <w:r w:rsidRPr="00E16672">
              <w:rPr>
                <w:rFonts w:ascii="Times New Roman" w:hAnsi="Times New Roman"/>
                <w:sz w:val="16"/>
              </w:rPr>
              <w:t>the</w:t>
            </w:r>
            <w:proofErr w:type="spellEnd"/>
            <w:r w:rsidRPr="00E16672">
              <w:rPr>
                <w:rFonts w:ascii="Times New Roman" w:hAnsi="Times New Roman"/>
                <w:sz w:val="16"/>
              </w:rPr>
              <w:t xml:space="preserve"> </w:t>
            </w:r>
            <w:proofErr w:type="spellStart"/>
            <w:r w:rsidRPr="00E16672">
              <w:rPr>
                <w:rFonts w:ascii="Times New Roman" w:hAnsi="Times New Roman"/>
                <w:sz w:val="16"/>
              </w:rPr>
              <w:t>payment</w:t>
            </w:r>
            <w:proofErr w:type="spellEnd"/>
            <w:r w:rsidRPr="00E16672">
              <w:rPr>
                <w:rFonts w:ascii="Times New Roman" w:hAnsi="Times New Roman"/>
                <w:sz w:val="16"/>
              </w:rPr>
              <w:t xml:space="preserve"> </w:t>
            </w:r>
            <w:proofErr w:type="spellStart"/>
            <w:r w:rsidRPr="00E16672">
              <w:rPr>
                <w:rFonts w:ascii="Times New Roman" w:hAnsi="Times New Roman"/>
                <w:sz w:val="16"/>
              </w:rPr>
              <w:t>of</w:t>
            </w:r>
            <w:proofErr w:type="spellEnd"/>
            <w:r w:rsidRPr="00E16672">
              <w:rPr>
                <w:rFonts w:ascii="Times New Roman" w:hAnsi="Times New Roman"/>
                <w:sz w:val="16"/>
              </w:rPr>
              <w:t xml:space="preserve"> </w:t>
            </w:r>
            <w:proofErr w:type="spellStart"/>
            <w:r w:rsidRPr="00E16672">
              <w:rPr>
                <w:rFonts w:ascii="Times New Roman" w:hAnsi="Times New Roman"/>
                <w:sz w:val="16"/>
              </w:rPr>
              <w:t>the</w:t>
            </w:r>
            <w:proofErr w:type="spellEnd"/>
            <w:r w:rsidRPr="00E16672">
              <w:rPr>
                <w:rFonts w:ascii="Times New Roman" w:hAnsi="Times New Roman"/>
                <w:sz w:val="16"/>
              </w:rPr>
              <w:t xml:space="preserve"> </w:t>
            </w:r>
            <w:proofErr w:type="spellStart"/>
            <w:r w:rsidRPr="00E16672">
              <w:rPr>
                <w:rFonts w:ascii="Times New Roman" w:hAnsi="Times New Roman"/>
                <w:sz w:val="16"/>
              </w:rPr>
              <w:t>services</w:t>
            </w:r>
            <w:proofErr w:type="spellEnd"/>
            <w:r w:rsidRPr="00E16672">
              <w:rPr>
                <w:rFonts w:ascii="Times New Roman" w:hAnsi="Times New Roman"/>
                <w:sz w:val="16"/>
              </w:rPr>
              <w:t xml:space="preserve"> </w:t>
            </w:r>
            <w:proofErr w:type="spellStart"/>
            <w:r w:rsidRPr="00E16672">
              <w:rPr>
                <w:rFonts w:ascii="Times New Roman" w:hAnsi="Times New Roman"/>
                <w:sz w:val="16"/>
              </w:rPr>
              <w:t>of</w:t>
            </w:r>
            <w:proofErr w:type="spellEnd"/>
            <w:r w:rsidRPr="00E16672">
              <w:rPr>
                <w:rFonts w:ascii="Times New Roman" w:hAnsi="Times New Roman"/>
                <w:sz w:val="16"/>
              </w:rPr>
              <w:t xml:space="preserve"> </w:t>
            </w:r>
            <w:proofErr w:type="spellStart"/>
            <w:r w:rsidRPr="00E16672">
              <w:rPr>
                <w:rFonts w:ascii="Times New Roman" w:hAnsi="Times New Roman"/>
                <w:sz w:val="16"/>
              </w:rPr>
              <w:t>the</w:t>
            </w:r>
            <w:proofErr w:type="spellEnd"/>
            <w:r w:rsidRPr="00E16672">
              <w:rPr>
                <w:rFonts w:ascii="Times New Roman" w:hAnsi="Times New Roman"/>
                <w:sz w:val="16"/>
              </w:rPr>
              <w:t xml:space="preserve"> </w:t>
            </w:r>
            <w:proofErr w:type="spellStart"/>
            <w:r w:rsidRPr="00E16672">
              <w:rPr>
                <w:rFonts w:ascii="Times New Roman" w:hAnsi="Times New Roman"/>
                <w:sz w:val="16"/>
              </w:rPr>
              <w:t>Depositary</w:t>
            </w:r>
            <w:proofErr w:type="spellEnd"/>
            <w:r w:rsidRPr="00E16672">
              <w:rPr>
                <w:rFonts w:ascii="Times New Roman" w:hAnsi="Times New Roman"/>
                <w:sz w:val="16"/>
              </w:rPr>
              <w:t>.</w:t>
            </w:r>
          </w:p>
          <w:p w14:paraId="5F5044B4" w14:textId="77777777" w:rsidR="00F95913" w:rsidRPr="00E16672" w:rsidRDefault="00F95913" w:rsidP="00843027">
            <w:pPr>
              <w:pStyle w:val="210"/>
              <w:snapToGrid w:val="0"/>
              <w:ind w:left="175" w:right="138" w:firstLine="7"/>
              <w:rPr>
                <w:rFonts w:ascii="Times New Roman" w:hAnsi="Times New Roman"/>
                <w:sz w:val="16"/>
              </w:rPr>
            </w:pPr>
          </w:p>
          <w:p w14:paraId="2568A8E0" w14:textId="77777777" w:rsidR="00F95913" w:rsidRPr="00E16672" w:rsidRDefault="00F95913" w:rsidP="001456E9">
            <w:pPr>
              <w:widowControl w:val="0"/>
              <w:tabs>
                <w:tab w:val="left" w:pos="540"/>
              </w:tabs>
              <w:snapToGrid w:val="0"/>
              <w:ind w:left="175" w:right="138" w:firstLine="7"/>
              <w:rPr>
                <w:rFonts w:ascii="Times New Roman" w:hAnsi="Times New Roman"/>
                <w:color w:val="000000"/>
                <w:sz w:val="16"/>
                <w:szCs w:val="16"/>
                <w:lang w:val="uk-UA"/>
              </w:rPr>
            </w:pPr>
            <w:r w:rsidRPr="00E16672">
              <w:rPr>
                <w:rFonts w:ascii="Times New Roman" w:hAnsi="Times New Roman"/>
                <w:color w:val="000000"/>
                <w:sz w:val="16"/>
                <w:szCs w:val="16"/>
                <w:lang w:val="uk-UA"/>
              </w:rPr>
              <w:t xml:space="preserve">2.2.13. </w:t>
            </w:r>
            <w:proofErr w:type="spellStart"/>
            <w:r w:rsidRPr="00E16672">
              <w:rPr>
                <w:rFonts w:ascii="Times New Roman" w:hAnsi="Times New Roman"/>
                <w:color w:val="000000"/>
                <w:sz w:val="16"/>
                <w:szCs w:val="16"/>
                <w:lang w:val="uk-UA"/>
              </w:rPr>
              <w:t>To</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provide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the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Depositor</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with</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an</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extract</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from</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the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securities</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account</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of</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the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Depositor</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on</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the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state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of</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the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securities</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account</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of</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the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depositor</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by</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the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end</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of</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the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previous</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year</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and</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on</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operations</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with</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securities</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for</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the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previous</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year</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once</w:t>
            </w:r>
            <w:proofErr w:type="spellEnd"/>
            <w:r w:rsidRPr="00E16672">
              <w:rPr>
                <w:rFonts w:ascii="Times New Roman" w:hAnsi="Times New Roman"/>
                <w:color w:val="000000"/>
                <w:sz w:val="16"/>
                <w:szCs w:val="16"/>
                <w:lang w:val="uk-UA"/>
              </w:rPr>
              <w:t xml:space="preserve"> a </w:t>
            </w:r>
            <w:proofErr w:type="spellStart"/>
            <w:r w:rsidRPr="00E16672">
              <w:rPr>
                <w:rFonts w:ascii="Times New Roman" w:hAnsi="Times New Roman"/>
                <w:color w:val="000000"/>
                <w:sz w:val="16"/>
                <w:szCs w:val="16"/>
                <w:lang w:val="uk-UA"/>
              </w:rPr>
              <w:t>year</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without</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the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request</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instruction</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of</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the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Depositor</w:t>
            </w:r>
            <w:proofErr w:type="spellEnd"/>
            <w:r w:rsidRPr="00E16672">
              <w:rPr>
                <w:rFonts w:ascii="Times New Roman" w:hAnsi="Times New Roman"/>
                <w:color w:val="000000"/>
                <w:sz w:val="16"/>
                <w:szCs w:val="16"/>
                <w:lang w:val="uk-UA"/>
              </w:rPr>
              <w:t>.</w:t>
            </w:r>
          </w:p>
          <w:p w14:paraId="3B235A0A" w14:textId="77777777" w:rsidR="00F95913" w:rsidRPr="00E16672" w:rsidRDefault="00F95913" w:rsidP="00843027">
            <w:pPr>
              <w:pStyle w:val="210"/>
              <w:snapToGrid w:val="0"/>
              <w:ind w:left="175" w:right="138" w:firstLine="7"/>
              <w:rPr>
                <w:rFonts w:ascii="Times New Roman" w:hAnsi="Times New Roman"/>
                <w:sz w:val="16"/>
                <w:szCs w:val="16"/>
              </w:rPr>
            </w:pPr>
          </w:p>
        </w:tc>
      </w:tr>
      <w:tr w:rsidR="0065653B" w:rsidRPr="00F23413" w14:paraId="59E1EC0C" w14:textId="77777777" w:rsidTr="00242F58">
        <w:trPr>
          <w:trHeight w:val="192"/>
        </w:trPr>
        <w:tc>
          <w:tcPr>
            <w:tcW w:w="5696" w:type="dxa"/>
            <w:gridSpan w:val="8"/>
            <w:shd w:val="clear" w:color="auto" w:fill="auto"/>
          </w:tcPr>
          <w:p w14:paraId="62BBE7CC" w14:textId="77777777" w:rsidR="0065653B" w:rsidRDefault="0065653B" w:rsidP="00843027">
            <w:pPr>
              <w:widowControl w:val="0"/>
              <w:tabs>
                <w:tab w:val="left" w:pos="540"/>
              </w:tabs>
              <w:snapToGrid w:val="0"/>
              <w:ind w:left="175" w:right="138" w:firstLine="7"/>
              <w:rPr>
                <w:rFonts w:ascii="Times New Roman" w:hAnsi="Times New Roman"/>
                <w:sz w:val="16"/>
                <w:szCs w:val="16"/>
                <w:lang w:val="en-US"/>
              </w:rPr>
            </w:pPr>
            <w:r w:rsidRPr="0065653B">
              <w:rPr>
                <w:rFonts w:ascii="Times New Roman" w:hAnsi="Times New Roman"/>
                <w:sz w:val="16"/>
                <w:szCs w:val="16"/>
                <w:lang w:val="en-US"/>
              </w:rPr>
              <w:t xml:space="preserve">2.2.14. </w:t>
            </w:r>
            <w:proofErr w:type="spellStart"/>
            <w:r w:rsidRPr="0065653B">
              <w:rPr>
                <w:rFonts w:ascii="Times New Roman" w:hAnsi="Times New Roman"/>
                <w:sz w:val="16"/>
                <w:szCs w:val="16"/>
                <w:lang w:val="en-US"/>
              </w:rPr>
              <w:t>Вимагати</w:t>
            </w:r>
            <w:proofErr w:type="spellEnd"/>
            <w:r w:rsidRPr="0065653B">
              <w:rPr>
                <w:rFonts w:ascii="Times New Roman" w:hAnsi="Times New Roman"/>
                <w:sz w:val="16"/>
                <w:szCs w:val="16"/>
                <w:lang w:val="en-US"/>
              </w:rPr>
              <w:t xml:space="preserve"> </w:t>
            </w:r>
            <w:proofErr w:type="spellStart"/>
            <w:r w:rsidRPr="0065653B">
              <w:rPr>
                <w:rFonts w:ascii="Times New Roman" w:hAnsi="Times New Roman"/>
                <w:sz w:val="16"/>
                <w:szCs w:val="16"/>
                <w:lang w:val="en-US"/>
              </w:rPr>
              <w:t>від</w:t>
            </w:r>
            <w:proofErr w:type="spellEnd"/>
            <w:r w:rsidRPr="0065653B">
              <w:rPr>
                <w:rFonts w:ascii="Times New Roman" w:hAnsi="Times New Roman"/>
                <w:sz w:val="16"/>
                <w:szCs w:val="16"/>
                <w:lang w:val="en-US"/>
              </w:rPr>
              <w:t xml:space="preserve"> </w:t>
            </w:r>
            <w:proofErr w:type="spellStart"/>
            <w:r w:rsidRPr="0065653B">
              <w:rPr>
                <w:rFonts w:ascii="Times New Roman" w:hAnsi="Times New Roman"/>
                <w:sz w:val="16"/>
                <w:szCs w:val="16"/>
                <w:lang w:val="en-US"/>
              </w:rPr>
              <w:t>Депонента</w:t>
            </w:r>
            <w:proofErr w:type="spellEnd"/>
            <w:r w:rsidRPr="0065653B">
              <w:rPr>
                <w:rFonts w:ascii="Times New Roman" w:hAnsi="Times New Roman"/>
                <w:sz w:val="16"/>
                <w:szCs w:val="16"/>
                <w:lang w:val="en-US"/>
              </w:rPr>
              <w:t xml:space="preserve"> </w:t>
            </w:r>
            <w:proofErr w:type="spellStart"/>
            <w:r w:rsidRPr="0065653B">
              <w:rPr>
                <w:rFonts w:ascii="Times New Roman" w:hAnsi="Times New Roman"/>
                <w:sz w:val="16"/>
                <w:szCs w:val="16"/>
                <w:lang w:val="en-US"/>
              </w:rPr>
              <w:t>надання</w:t>
            </w:r>
            <w:proofErr w:type="spellEnd"/>
            <w:r w:rsidRPr="0065653B">
              <w:rPr>
                <w:rFonts w:ascii="Times New Roman" w:hAnsi="Times New Roman"/>
                <w:sz w:val="16"/>
                <w:szCs w:val="16"/>
                <w:lang w:val="en-US"/>
              </w:rPr>
              <w:t xml:space="preserve"> </w:t>
            </w:r>
            <w:proofErr w:type="spellStart"/>
            <w:r w:rsidRPr="0065653B">
              <w:rPr>
                <w:rFonts w:ascii="Times New Roman" w:hAnsi="Times New Roman"/>
                <w:sz w:val="16"/>
                <w:szCs w:val="16"/>
                <w:lang w:val="en-US"/>
              </w:rPr>
              <w:t>документів</w:t>
            </w:r>
            <w:proofErr w:type="spellEnd"/>
            <w:r w:rsidRPr="0065653B">
              <w:rPr>
                <w:rFonts w:ascii="Times New Roman" w:hAnsi="Times New Roman"/>
                <w:sz w:val="16"/>
                <w:szCs w:val="16"/>
                <w:lang w:val="en-US"/>
              </w:rPr>
              <w:t xml:space="preserve"> </w:t>
            </w:r>
            <w:proofErr w:type="spellStart"/>
            <w:r w:rsidRPr="0065653B">
              <w:rPr>
                <w:rFonts w:ascii="Times New Roman" w:hAnsi="Times New Roman"/>
                <w:sz w:val="16"/>
                <w:szCs w:val="16"/>
                <w:lang w:val="en-US"/>
              </w:rPr>
              <w:t>та</w:t>
            </w:r>
            <w:proofErr w:type="spellEnd"/>
            <w:r w:rsidRPr="0065653B">
              <w:rPr>
                <w:rFonts w:ascii="Times New Roman" w:hAnsi="Times New Roman"/>
                <w:sz w:val="16"/>
                <w:szCs w:val="16"/>
                <w:lang w:val="en-US"/>
              </w:rPr>
              <w:t xml:space="preserve"> </w:t>
            </w:r>
            <w:proofErr w:type="spellStart"/>
            <w:r w:rsidRPr="0065653B">
              <w:rPr>
                <w:rFonts w:ascii="Times New Roman" w:hAnsi="Times New Roman"/>
                <w:sz w:val="16"/>
                <w:szCs w:val="16"/>
                <w:lang w:val="en-US"/>
              </w:rPr>
              <w:t>іншої</w:t>
            </w:r>
            <w:proofErr w:type="spellEnd"/>
            <w:r w:rsidRPr="0065653B">
              <w:rPr>
                <w:rFonts w:ascii="Times New Roman" w:hAnsi="Times New Roman"/>
                <w:sz w:val="16"/>
                <w:szCs w:val="16"/>
                <w:lang w:val="en-US"/>
              </w:rPr>
              <w:t xml:space="preserve"> </w:t>
            </w:r>
            <w:proofErr w:type="spellStart"/>
            <w:r w:rsidRPr="0065653B">
              <w:rPr>
                <w:rFonts w:ascii="Times New Roman" w:hAnsi="Times New Roman"/>
                <w:sz w:val="16"/>
                <w:szCs w:val="16"/>
                <w:lang w:val="en-US"/>
              </w:rPr>
              <w:t>інформаціі</w:t>
            </w:r>
            <w:proofErr w:type="spellEnd"/>
            <w:r w:rsidRPr="0065653B">
              <w:rPr>
                <w:rFonts w:ascii="Times New Roman" w:hAnsi="Times New Roman"/>
                <w:sz w:val="16"/>
                <w:szCs w:val="16"/>
                <w:lang w:val="en-US"/>
              </w:rPr>
              <w:t xml:space="preserve">, </w:t>
            </w:r>
            <w:proofErr w:type="spellStart"/>
            <w:r w:rsidRPr="0065653B">
              <w:rPr>
                <w:rFonts w:ascii="Times New Roman" w:hAnsi="Times New Roman"/>
                <w:sz w:val="16"/>
                <w:szCs w:val="16"/>
                <w:lang w:val="en-US"/>
              </w:rPr>
              <w:t>необхідної</w:t>
            </w:r>
            <w:proofErr w:type="spellEnd"/>
            <w:r w:rsidRPr="0065653B">
              <w:rPr>
                <w:rFonts w:ascii="Times New Roman" w:hAnsi="Times New Roman"/>
                <w:sz w:val="16"/>
                <w:szCs w:val="16"/>
                <w:lang w:val="en-US"/>
              </w:rPr>
              <w:t xml:space="preserve"> </w:t>
            </w:r>
            <w:proofErr w:type="spellStart"/>
            <w:r w:rsidRPr="0065653B">
              <w:rPr>
                <w:rFonts w:ascii="Times New Roman" w:hAnsi="Times New Roman"/>
                <w:sz w:val="16"/>
                <w:szCs w:val="16"/>
                <w:lang w:val="en-US"/>
              </w:rPr>
              <w:t>для</w:t>
            </w:r>
            <w:proofErr w:type="spellEnd"/>
            <w:r w:rsidRPr="0065653B">
              <w:rPr>
                <w:rFonts w:ascii="Times New Roman" w:hAnsi="Times New Roman"/>
                <w:sz w:val="16"/>
                <w:szCs w:val="16"/>
                <w:lang w:val="en-US"/>
              </w:rPr>
              <w:t xml:space="preserve"> </w:t>
            </w:r>
            <w:proofErr w:type="spellStart"/>
            <w:r w:rsidRPr="0065653B">
              <w:rPr>
                <w:rFonts w:ascii="Times New Roman" w:hAnsi="Times New Roman"/>
                <w:sz w:val="16"/>
                <w:szCs w:val="16"/>
                <w:lang w:val="en-US"/>
              </w:rPr>
              <w:t>перевірки</w:t>
            </w:r>
            <w:proofErr w:type="spellEnd"/>
            <w:r w:rsidRPr="0065653B">
              <w:rPr>
                <w:rFonts w:ascii="Times New Roman" w:hAnsi="Times New Roman"/>
                <w:sz w:val="16"/>
                <w:szCs w:val="16"/>
                <w:lang w:val="en-US"/>
              </w:rPr>
              <w:t xml:space="preserve"> </w:t>
            </w:r>
            <w:proofErr w:type="spellStart"/>
            <w:r w:rsidRPr="0065653B">
              <w:rPr>
                <w:rFonts w:ascii="Times New Roman" w:hAnsi="Times New Roman"/>
                <w:sz w:val="16"/>
                <w:szCs w:val="16"/>
                <w:lang w:val="en-US"/>
              </w:rPr>
              <w:t>Депозитарною</w:t>
            </w:r>
            <w:proofErr w:type="spellEnd"/>
            <w:r w:rsidRPr="0065653B">
              <w:rPr>
                <w:rFonts w:ascii="Times New Roman" w:hAnsi="Times New Roman"/>
                <w:sz w:val="16"/>
                <w:szCs w:val="16"/>
                <w:lang w:val="en-US"/>
              </w:rPr>
              <w:t xml:space="preserve"> </w:t>
            </w:r>
            <w:proofErr w:type="spellStart"/>
            <w:r w:rsidRPr="0065653B">
              <w:rPr>
                <w:rFonts w:ascii="Times New Roman" w:hAnsi="Times New Roman"/>
                <w:sz w:val="16"/>
                <w:szCs w:val="16"/>
                <w:lang w:val="en-US"/>
              </w:rPr>
              <w:t>установою</w:t>
            </w:r>
            <w:proofErr w:type="spellEnd"/>
            <w:r w:rsidRPr="0065653B">
              <w:rPr>
                <w:rFonts w:ascii="Times New Roman" w:hAnsi="Times New Roman"/>
                <w:sz w:val="16"/>
                <w:szCs w:val="16"/>
                <w:lang w:val="en-US"/>
              </w:rPr>
              <w:t xml:space="preserve"> </w:t>
            </w:r>
            <w:proofErr w:type="spellStart"/>
            <w:r w:rsidRPr="0065653B">
              <w:rPr>
                <w:rFonts w:ascii="Times New Roman" w:hAnsi="Times New Roman"/>
                <w:sz w:val="16"/>
                <w:szCs w:val="16"/>
                <w:lang w:val="en-US"/>
              </w:rPr>
              <w:t>відповідно</w:t>
            </w:r>
            <w:proofErr w:type="spellEnd"/>
            <w:r w:rsidRPr="0065653B">
              <w:rPr>
                <w:rFonts w:ascii="Times New Roman" w:hAnsi="Times New Roman"/>
                <w:sz w:val="16"/>
                <w:szCs w:val="16"/>
                <w:lang w:val="en-US"/>
              </w:rPr>
              <w:t xml:space="preserve"> </w:t>
            </w:r>
            <w:proofErr w:type="spellStart"/>
            <w:r w:rsidRPr="0065653B">
              <w:rPr>
                <w:rFonts w:ascii="Times New Roman" w:hAnsi="Times New Roman"/>
                <w:sz w:val="16"/>
                <w:szCs w:val="16"/>
                <w:lang w:val="en-US"/>
              </w:rPr>
              <w:t>до</w:t>
            </w:r>
            <w:proofErr w:type="spellEnd"/>
            <w:r w:rsidRPr="0065653B">
              <w:rPr>
                <w:rFonts w:ascii="Times New Roman" w:hAnsi="Times New Roman"/>
                <w:sz w:val="16"/>
                <w:szCs w:val="16"/>
                <w:lang w:val="en-US"/>
              </w:rPr>
              <w:t xml:space="preserve"> </w:t>
            </w:r>
            <w:proofErr w:type="spellStart"/>
            <w:r w:rsidRPr="0065653B">
              <w:rPr>
                <w:rFonts w:ascii="Times New Roman" w:hAnsi="Times New Roman"/>
                <w:sz w:val="16"/>
                <w:szCs w:val="16"/>
                <w:lang w:val="en-US"/>
              </w:rPr>
              <w:t>вимог</w:t>
            </w:r>
            <w:proofErr w:type="spellEnd"/>
            <w:r w:rsidRPr="0065653B">
              <w:rPr>
                <w:rFonts w:ascii="Times New Roman" w:hAnsi="Times New Roman"/>
                <w:sz w:val="16"/>
                <w:szCs w:val="16"/>
                <w:lang w:val="en-US"/>
              </w:rPr>
              <w:t xml:space="preserve"> </w:t>
            </w:r>
            <w:proofErr w:type="spellStart"/>
            <w:r w:rsidRPr="0065653B">
              <w:rPr>
                <w:rFonts w:ascii="Times New Roman" w:hAnsi="Times New Roman"/>
                <w:sz w:val="16"/>
                <w:szCs w:val="16"/>
                <w:lang w:val="en-US"/>
              </w:rPr>
              <w:t>Податкового</w:t>
            </w:r>
            <w:proofErr w:type="spellEnd"/>
            <w:r w:rsidRPr="0065653B">
              <w:rPr>
                <w:rFonts w:ascii="Times New Roman" w:hAnsi="Times New Roman"/>
                <w:sz w:val="16"/>
                <w:szCs w:val="16"/>
                <w:lang w:val="en-US"/>
              </w:rPr>
              <w:t xml:space="preserve"> </w:t>
            </w:r>
            <w:proofErr w:type="spellStart"/>
            <w:r w:rsidRPr="0065653B">
              <w:rPr>
                <w:rFonts w:ascii="Times New Roman" w:hAnsi="Times New Roman"/>
                <w:sz w:val="16"/>
                <w:szCs w:val="16"/>
                <w:lang w:val="en-US"/>
              </w:rPr>
              <w:t>кодексу</w:t>
            </w:r>
            <w:proofErr w:type="spellEnd"/>
            <w:r w:rsidRPr="0065653B">
              <w:rPr>
                <w:rFonts w:ascii="Times New Roman" w:hAnsi="Times New Roman"/>
                <w:sz w:val="16"/>
                <w:szCs w:val="16"/>
                <w:lang w:val="en-US"/>
              </w:rPr>
              <w:t xml:space="preserve"> </w:t>
            </w:r>
            <w:proofErr w:type="spellStart"/>
            <w:r w:rsidRPr="0065653B">
              <w:rPr>
                <w:rFonts w:ascii="Times New Roman" w:hAnsi="Times New Roman"/>
                <w:sz w:val="16"/>
                <w:szCs w:val="16"/>
                <w:lang w:val="en-US"/>
              </w:rPr>
              <w:t>України</w:t>
            </w:r>
            <w:proofErr w:type="spellEnd"/>
            <w:r w:rsidRPr="0065653B">
              <w:rPr>
                <w:rFonts w:ascii="Times New Roman" w:hAnsi="Times New Roman"/>
                <w:sz w:val="16"/>
                <w:szCs w:val="16"/>
                <w:lang w:val="en-US"/>
              </w:rPr>
              <w:t xml:space="preserve"> </w:t>
            </w:r>
            <w:proofErr w:type="spellStart"/>
            <w:r w:rsidRPr="0065653B">
              <w:rPr>
                <w:rFonts w:ascii="Times New Roman" w:hAnsi="Times New Roman"/>
                <w:sz w:val="16"/>
                <w:szCs w:val="16"/>
                <w:lang w:val="en-US"/>
              </w:rPr>
              <w:t>статусу</w:t>
            </w:r>
            <w:proofErr w:type="spellEnd"/>
            <w:r w:rsidRPr="0065653B">
              <w:rPr>
                <w:rFonts w:ascii="Times New Roman" w:hAnsi="Times New Roman"/>
                <w:sz w:val="16"/>
                <w:szCs w:val="16"/>
                <w:lang w:val="en-US"/>
              </w:rPr>
              <w:t xml:space="preserve"> </w:t>
            </w:r>
            <w:proofErr w:type="spellStart"/>
            <w:r w:rsidRPr="0065653B">
              <w:rPr>
                <w:rFonts w:ascii="Times New Roman" w:hAnsi="Times New Roman"/>
                <w:sz w:val="16"/>
                <w:szCs w:val="16"/>
                <w:lang w:val="en-US"/>
              </w:rPr>
              <w:t>податкового</w:t>
            </w:r>
            <w:proofErr w:type="spellEnd"/>
            <w:r w:rsidRPr="0065653B">
              <w:rPr>
                <w:rFonts w:ascii="Times New Roman" w:hAnsi="Times New Roman"/>
                <w:sz w:val="16"/>
                <w:szCs w:val="16"/>
                <w:lang w:val="en-US"/>
              </w:rPr>
              <w:t xml:space="preserve"> </w:t>
            </w:r>
            <w:proofErr w:type="spellStart"/>
            <w:r w:rsidRPr="0065653B">
              <w:rPr>
                <w:rFonts w:ascii="Times New Roman" w:hAnsi="Times New Roman"/>
                <w:sz w:val="16"/>
                <w:szCs w:val="16"/>
                <w:lang w:val="en-US"/>
              </w:rPr>
              <w:t>резидентства</w:t>
            </w:r>
            <w:proofErr w:type="spellEnd"/>
            <w:r w:rsidRPr="0065653B">
              <w:rPr>
                <w:rFonts w:ascii="Times New Roman" w:hAnsi="Times New Roman"/>
                <w:sz w:val="16"/>
                <w:szCs w:val="16"/>
                <w:lang w:val="en-US"/>
              </w:rPr>
              <w:t xml:space="preserve"> </w:t>
            </w:r>
            <w:proofErr w:type="spellStart"/>
            <w:r w:rsidRPr="0065653B">
              <w:rPr>
                <w:rFonts w:ascii="Times New Roman" w:hAnsi="Times New Roman"/>
                <w:sz w:val="16"/>
                <w:szCs w:val="16"/>
                <w:lang w:val="en-US"/>
              </w:rPr>
              <w:t>Депонента</w:t>
            </w:r>
            <w:proofErr w:type="spellEnd"/>
            <w:r w:rsidRPr="0065653B">
              <w:rPr>
                <w:rFonts w:ascii="Times New Roman" w:hAnsi="Times New Roman"/>
                <w:sz w:val="16"/>
                <w:szCs w:val="16"/>
                <w:lang w:val="en-US"/>
              </w:rPr>
              <w:t xml:space="preserve"> </w:t>
            </w:r>
            <w:proofErr w:type="spellStart"/>
            <w:r w:rsidRPr="0065653B">
              <w:rPr>
                <w:rFonts w:ascii="Times New Roman" w:hAnsi="Times New Roman"/>
                <w:sz w:val="16"/>
                <w:szCs w:val="16"/>
                <w:lang w:val="en-US"/>
              </w:rPr>
              <w:t>та</w:t>
            </w:r>
            <w:proofErr w:type="spellEnd"/>
            <w:r w:rsidRPr="0065653B">
              <w:rPr>
                <w:rFonts w:ascii="Times New Roman" w:hAnsi="Times New Roman"/>
                <w:sz w:val="16"/>
                <w:szCs w:val="16"/>
                <w:lang w:val="en-US"/>
              </w:rPr>
              <w:t>/</w:t>
            </w:r>
            <w:proofErr w:type="spellStart"/>
            <w:r w:rsidRPr="0065653B">
              <w:rPr>
                <w:rFonts w:ascii="Times New Roman" w:hAnsi="Times New Roman"/>
                <w:sz w:val="16"/>
                <w:szCs w:val="16"/>
                <w:lang w:val="en-US"/>
              </w:rPr>
              <w:t>або</w:t>
            </w:r>
            <w:proofErr w:type="spellEnd"/>
            <w:r w:rsidRPr="0065653B">
              <w:rPr>
                <w:rFonts w:ascii="Times New Roman" w:hAnsi="Times New Roman"/>
                <w:sz w:val="16"/>
                <w:szCs w:val="16"/>
                <w:lang w:val="en-US"/>
              </w:rPr>
              <w:t xml:space="preserve"> </w:t>
            </w:r>
            <w:proofErr w:type="spellStart"/>
            <w:r w:rsidRPr="0065653B">
              <w:rPr>
                <w:rFonts w:ascii="Times New Roman" w:hAnsi="Times New Roman"/>
                <w:sz w:val="16"/>
                <w:szCs w:val="16"/>
                <w:lang w:val="en-US"/>
              </w:rPr>
              <w:t>його</w:t>
            </w:r>
            <w:proofErr w:type="spellEnd"/>
            <w:r w:rsidRPr="0065653B">
              <w:rPr>
                <w:rFonts w:ascii="Times New Roman" w:hAnsi="Times New Roman"/>
                <w:sz w:val="16"/>
                <w:szCs w:val="16"/>
                <w:lang w:val="en-US"/>
              </w:rPr>
              <w:t xml:space="preserve"> </w:t>
            </w:r>
            <w:proofErr w:type="spellStart"/>
            <w:r w:rsidRPr="0065653B">
              <w:rPr>
                <w:rFonts w:ascii="Times New Roman" w:hAnsi="Times New Roman"/>
                <w:sz w:val="16"/>
                <w:szCs w:val="16"/>
                <w:lang w:val="en-US"/>
              </w:rPr>
              <w:t>кінцевих</w:t>
            </w:r>
            <w:proofErr w:type="spellEnd"/>
            <w:r w:rsidRPr="0065653B">
              <w:rPr>
                <w:rFonts w:ascii="Times New Roman" w:hAnsi="Times New Roman"/>
                <w:sz w:val="16"/>
                <w:szCs w:val="16"/>
                <w:lang w:val="en-US"/>
              </w:rPr>
              <w:t xml:space="preserve"> </w:t>
            </w:r>
            <w:proofErr w:type="spellStart"/>
            <w:r w:rsidRPr="0065653B">
              <w:rPr>
                <w:rFonts w:ascii="Times New Roman" w:hAnsi="Times New Roman"/>
                <w:sz w:val="16"/>
                <w:szCs w:val="16"/>
                <w:lang w:val="en-US"/>
              </w:rPr>
              <w:t>бенефіціарних</w:t>
            </w:r>
            <w:proofErr w:type="spellEnd"/>
            <w:r w:rsidRPr="0065653B">
              <w:rPr>
                <w:rFonts w:ascii="Times New Roman" w:hAnsi="Times New Roman"/>
                <w:sz w:val="16"/>
                <w:szCs w:val="16"/>
                <w:lang w:val="en-US"/>
              </w:rPr>
              <w:t xml:space="preserve"> </w:t>
            </w:r>
            <w:proofErr w:type="spellStart"/>
            <w:r w:rsidRPr="0065653B">
              <w:rPr>
                <w:rFonts w:ascii="Times New Roman" w:hAnsi="Times New Roman"/>
                <w:sz w:val="16"/>
                <w:szCs w:val="16"/>
                <w:lang w:val="en-US"/>
              </w:rPr>
              <w:t>власників</w:t>
            </w:r>
            <w:proofErr w:type="spellEnd"/>
            <w:r w:rsidRPr="0065653B">
              <w:rPr>
                <w:rFonts w:ascii="Times New Roman" w:hAnsi="Times New Roman"/>
                <w:sz w:val="16"/>
                <w:szCs w:val="16"/>
                <w:lang w:val="en-US"/>
              </w:rPr>
              <w:t>.</w:t>
            </w:r>
          </w:p>
          <w:p w14:paraId="7015A7AE" w14:textId="404CF0BA" w:rsidR="0065653B" w:rsidRPr="0065653B" w:rsidRDefault="0065653B" w:rsidP="00843027">
            <w:pPr>
              <w:widowControl w:val="0"/>
              <w:tabs>
                <w:tab w:val="left" w:pos="540"/>
              </w:tabs>
              <w:snapToGrid w:val="0"/>
              <w:ind w:left="175" w:right="138" w:firstLine="7"/>
              <w:rPr>
                <w:rFonts w:ascii="Times New Roman" w:hAnsi="Times New Roman"/>
                <w:sz w:val="16"/>
                <w:szCs w:val="16"/>
                <w:lang w:val="en-US"/>
              </w:rPr>
            </w:pPr>
          </w:p>
        </w:tc>
        <w:tc>
          <w:tcPr>
            <w:tcW w:w="5494" w:type="dxa"/>
            <w:gridSpan w:val="6"/>
            <w:shd w:val="clear" w:color="auto" w:fill="auto"/>
          </w:tcPr>
          <w:p w14:paraId="09CEB427" w14:textId="6041CADB" w:rsidR="0065653B" w:rsidRPr="00E16672" w:rsidRDefault="0065653B" w:rsidP="00843027">
            <w:pPr>
              <w:pStyle w:val="210"/>
              <w:snapToGrid w:val="0"/>
              <w:ind w:left="175" w:right="138" w:firstLine="7"/>
              <w:rPr>
                <w:rFonts w:ascii="Times New Roman" w:hAnsi="Times New Roman"/>
                <w:sz w:val="16"/>
                <w:szCs w:val="16"/>
              </w:rPr>
            </w:pPr>
            <w:r w:rsidRPr="0065653B">
              <w:rPr>
                <w:rFonts w:ascii="Times New Roman" w:hAnsi="Times New Roman"/>
                <w:sz w:val="16"/>
                <w:szCs w:val="16"/>
              </w:rPr>
              <w:t xml:space="preserve">2.2.14 </w:t>
            </w:r>
            <w:proofErr w:type="spellStart"/>
            <w:r w:rsidRPr="0065653B">
              <w:rPr>
                <w:rFonts w:ascii="Times New Roman" w:hAnsi="Times New Roman"/>
                <w:sz w:val="16"/>
                <w:szCs w:val="16"/>
              </w:rPr>
              <w:t>To</w:t>
            </w:r>
            <w:proofErr w:type="spellEnd"/>
            <w:r w:rsidRPr="0065653B">
              <w:rPr>
                <w:rFonts w:ascii="Times New Roman" w:hAnsi="Times New Roman"/>
                <w:sz w:val="16"/>
                <w:szCs w:val="16"/>
              </w:rPr>
              <w:t xml:space="preserve"> </w:t>
            </w:r>
            <w:proofErr w:type="spellStart"/>
            <w:r w:rsidRPr="0065653B">
              <w:rPr>
                <w:rFonts w:ascii="Times New Roman" w:hAnsi="Times New Roman"/>
                <w:sz w:val="16"/>
                <w:szCs w:val="16"/>
              </w:rPr>
              <w:t>demand</w:t>
            </w:r>
            <w:proofErr w:type="spellEnd"/>
            <w:r w:rsidRPr="0065653B">
              <w:rPr>
                <w:rFonts w:ascii="Times New Roman" w:hAnsi="Times New Roman"/>
                <w:sz w:val="16"/>
                <w:szCs w:val="16"/>
              </w:rPr>
              <w:t xml:space="preserve"> </w:t>
            </w:r>
            <w:proofErr w:type="spellStart"/>
            <w:r w:rsidRPr="0065653B">
              <w:rPr>
                <w:rFonts w:ascii="Times New Roman" w:hAnsi="Times New Roman"/>
                <w:sz w:val="16"/>
                <w:szCs w:val="16"/>
              </w:rPr>
              <w:t>from</w:t>
            </w:r>
            <w:proofErr w:type="spellEnd"/>
            <w:r w:rsidRPr="0065653B">
              <w:rPr>
                <w:rFonts w:ascii="Times New Roman" w:hAnsi="Times New Roman"/>
                <w:sz w:val="16"/>
                <w:szCs w:val="16"/>
              </w:rPr>
              <w:t xml:space="preserve"> </w:t>
            </w:r>
            <w:proofErr w:type="spellStart"/>
            <w:r w:rsidRPr="0065653B">
              <w:rPr>
                <w:rFonts w:ascii="Times New Roman" w:hAnsi="Times New Roman"/>
                <w:sz w:val="16"/>
                <w:szCs w:val="16"/>
              </w:rPr>
              <w:t>the</w:t>
            </w:r>
            <w:proofErr w:type="spellEnd"/>
            <w:r w:rsidRPr="0065653B">
              <w:rPr>
                <w:rFonts w:ascii="Times New Roman" w:hAnsi="Times New Roman"/>
                <w:sz w:val="16"/>
                <w:szCs w:val="16"/>
              </w:rPr>
              <w:t xml:space="preserve"> </w:t>
            </w:r>
            <w:proofErr w:type="spellStart"/>
            <w:r w:rsidRPr="0065653B">
              <w:rPr>
                <w:rFonts w:ascii="Times New Roman" w:hAnsi="Times New Roman"/>
                <w:sz w:val="16"/>
                <w:szCs w:val="16"/>
              </w:rPr>
              <w:t>Depositor</w:t>
            </w:r>
            <w:proofErr w:type="spellEnd"/>
            <w:r w:rsidRPr="0065653B">
              <w:rPr>
                <w:rFonts w:ascii="Times New Roman" w:hAnsi="Times New Roman"/>
                <w:sz w:val="16"/>
                <w:szCs w:val="16"/>
              </w:rPr>
              <w:t xml:space="preserve"> </w:t>
            </w:r>
            <w:proofErr w:type="spellStart"/>
            <w:r w:rsidRPr="0065653B">
              <w:rPr>
                <w:rFonts w:ascii="Times New Roman" w:hAnsi="Times New Roman"/>
                <w:sz w:val="16"/>
                <w:szCs w:val="16"/>
              </w:rPr>
              <w:t>providштп</w:t>
            </w:r>
            <w:proofErr w:type="spellEnd"/>
            <w:r w:rsidRPr="0065653B">
              <w:rPr>
                <w:rFonts w:ascii="Times New Roman" w:hAnsi="Times New Roman"/>
                <w:sz w:val="16"/>
                <w:szCs w:val="16"/>
              </w:rPr>
              <w:t xml:space="preserve"> </w:t>
            </w:r>
            <w:proofErr w:type="spellStart"/>
            <w:r w:rsidRPr="0065653B">
              <w:rPr>
                <w:rFonts w:ascii="Times New Roman" w:hAnsi="Times New Roman"/>
                <w:sz w:val="16"/>
                <w:szCs w:val="16"/>
              </w:rPr>
              <w:t>documents</w:t>
            </w:r>
            <w:proofErr w:type="spellEnd"/>
            <w:r w:rsidRPr="0065653B">
              <w:rPr>
                <w:rFonts w:ascii="Times New Roman" w:hAnsi="Times New Roman"/>
                <w:sz w:val="16"/>
                <w:szCs w:val="16"/>
              </w:rPr>
              <w:t xml:space="preserve"> </w:t>
            </w:r>
            <w:proofErr w:type="spellStart"/>
            <w:r w:rsidRPr="0065653B">
              <w:rPr>
                <w:rFonts w:ascii="Times New Roman" w:hAnsi="Times New Roman"/>
                <w:sz w:val="16"/>
                <w:szCs w:val="16"/>
              </w:rPr>
              <w:t>and</w:t>
            </w:r>
            <w:proofErr w:type="spellEnd"/>
            <w:r w:rsidRPr="0065653B">
              <w:rPr>
                <w:rFonts w:ascii="Times New Roman" w:hAnsi="Times New Roman"/>
                <w:sz w:val="16"/>
                <w:szCs w:val="16"/>
              </w:rPr>
              <w:t xml:space="preserve"> </w:t>
            </w:r>
            <w:proofErr w:type="spellStart"/>
            <w:r w:rsidRPr="0065653B">
              <w:rPr>
                <w:rFonts w:ascii="Times New Roman" w:hAnsi="Times New Roman"/>
                <w:sz w:val="16"/>
                <w:szCs w:val="16"/>
              </w:rPr>
              <w:t>other</w:t>
            </w:r>
            <w:proofErr w:type="spellEnd"/>
            <w:r w:rsidRPr="0065653B">
              <w:rPr>
                <w:rFonts w:ascii="Times New Roman" w:hAnsi="Times New Roman"/>
                <w:sz w:val="16"/>
                <w:szCs w:val="16"/>
              </w:rPr>
              <w:t xml:space="preserve"> </w:t>
            </w:r>
            <w:proofErr w:type="spellStart"/>
            <w:r w:rsidRPr="0065653B">
              <w:rPr>
                <w:rFonts w:ascii="Times New Roman" w:hAnsi="Times New Roman"/>
                <w:sz w:val="16"/>
                <w:szCs w:val="16"/>
              </w:rPr>
              <w:t>information</w:t>
            </w:r>
            <w:proofErr w:type="spellEnd"/>
            <w:r w:rsidRPr="0065653B">
              <w:rPr>
                <w:rFonts w:ascii="Times New Roman" w:hAnsi="Times New Roman"/>
                <w:sz w:val="16"/>
                <w:szCs w:val="16"/>
              </w:rPr>
              <w:t xml:space="preserve"> </w:t>
            </w:r>
            <w:proofErr w:type="spellStart"/>
            <w:r w:rsidRPr="0065653B">
              <w:rPr>
                <w:rFonts w:ascii="Times New Roman" w:hAnsi="Times New Roman"/>
                <w:sz w:val="16"/>
                <w:szCs w:val="16"/>
              </w:rPr>
              <w:t>necessary</w:t>
            </w:r>
            <w:proofErr w:type="spellEnd"/>
            <w:r w:rsidRPr="0065653B">
              <w:rPr>
                <w:rFonts w:ascii="Times New Roman" w:hAnsi="Times New Roman"/>
                <w:sz w:val="16"/>
                <w:szCs w:val="16"/>
              </w:rPr>
              <w:t xml:space="preserve"> </w:t>
            </w:r>
            <w:proofErr w:type="spellStart"/>
            <w:r w:rsidRPr="0065653B">
              <w:rPr>
                <w:rFonts w:ascii="Times New Roman" w:hAnsi="Times New Roman"/>
                <w:sz w:val="16"/>
                <w:szCs w:val="16"/>
              </w:rPr>
              <w:t>to</w:t>
            </w:r>
            <w:proofErr w:type="spellEnd"/>
            <w:r w:rsidRPr="0065653B">
              <w:rPr>
                <w:rFonts w:ascii="Times New Roman" w:hAnsi="Times New Roman"/>
                <w:sz w:val="16"/>
                <w:szCs w:val="16"/>
              </w:rPr>
              <w:t xml:space="preserve"> </w:t>
            </w:r>
            <w:proofErr w:type="spellStart"/>
            <w:r w:rsidRPr="0065653B">
              <w:rPr>
                <w:rFonts w:ascii="Times New Roman" w:hAnsi="Times New Roman"/>
                <w:sz w:val="16"/>
                <w:szCs w:val="16"/>
              </w:rPr>
              <w:t>verificate</w:t>
            </w:r>
            <w:proofErr w:type="spellEnd"/>
            <w:r w:rsidRPr="0065653B">
              <w:rPr>
                <w:rFonts w:ascii="Times New Roman" w:hAnsi="Times New Roman"/>
                <w:sz w:val="16"/>
                <w:szCs w:val="16"/>
              </w:rPr>
              <w:t xml:space="preserve"> </w:t>
            </w:r>
            <w:proofErr w:type="spellStart"/>
            <w:r w:rsidRPr="0065653B">
              <w:rPr>
                <w:rFonts w:ascii="Times New Roman" w:hAnsi="Times New Roman"/>
                <w:sz w:val="16"/>
                <w:szCs w:val="16"/>
              </w:rPr>
              <w:t>by</w:t>
            </w:r>
            <w:proofErr w:type="spellEnd"/>
            <w:r w:rsidRPr="0065653B">
              <w:rPr>
                <w:rFonts w:ascii="Times New Roman" w:hAnsi="Times New Roman"/>
                <w:sz w:val="16"/>
                <w:szCs w:val="16"/>
              </w:rPr>
              <w:t xml:space="preserve"> </w:t>
            </w:r>
            <w:proofErr w:type="spellStart"/>
            <w:r w:rsidRPr="0065653B">
              <w:rPr>
                <w:rFonts w:ascii="Times New Roman" w:hAnsi="Times New Roman"/>
                <w:sz w:val="16"/>
                <w:szCs w:val="16"/>
              </w:rPr>
              <w:t>the</w:t>
            </w:r>
            <w:proofErr w:type="spellEnd"/>
            <w:r w:rsidRPr="0065653B">
              <w:rPr>
                <w:rFonts w:ascii="Times New Roman" w:hAnsi="Times New Roman"/>
                <w:sz w:val="16"/>
                <w:szCs w:val="16"/>
              </w:rPr>
              <w:t xml:space="preserve"> </w:t>
            </w:r>
            <w:proofErr w:type="spellStart"/>
            <w:r w:rsidRPr="0065653B">
              <w:rPr>
                <w:rFonts w:ascii="Times New Roman" w:hAnsi="Times New Roman"/>
                <w:sz w:val="16"/>
                <w:szCs w:val="16"/>
              </w:rPr>
              <w:t>Depository</w:t>
            </w:r>
            <w:proofErr w:type="spellEnd"/>
            <w:r w:rsidRPr="0065653B">
              <w:rPr>
                <w:rFonts w:ascii="Times New Roman" w:hAnsi="Times New Roman"/>
                <w:sz w:val="16"/>
                <w:szCs w:val="16"/>
              </w:rPr>
              <w:t xml:space="preserve"> </w:t>
            </w:r>
            <w:proofErr w:type="spellStart"/>
            <w:r w:rsidRPr="0065653B">
              <w:rPr>
                <w:rFonts w:ascii="Times New Roman" w:hAnsi="Times New Roman"/>
                <w:sz w:val="16"/>
                <w:szCs w:val="16"/>
              </w:rPr>
              <w:t>Institution</w:t>
            </w:r>
            <w:proofErr w:type="spellEnd"/>
            <w:r w:rsidRPr="0065653B">
              <w:rPr>
                <w:rFonts w:ascii="Times New Roman" w:hAnsi="Times New Roman"/>
                <w:sz w:val="16"/>
                <w:szCs w:val="16"/>
              </w:rPr>
              <w:t xml:space="preserve"> </w:t>
            </w:r>
            <w:proofErr w:type="spellStart"/>
            <w:r w:rsidRPr="0065653B">
              <w:rPr>
                <w:rFonts w:ascii="Times New Roman" w:hAnsi="Times New Roman"/>
                <w:sz w:val="16"/>
                <w:szCs w:val="16"/>
              </w:rPr>
              <w:t>in</w:t>
            </w:r>
            <w:proofErr w:type="spellEnd"/>
            <w:r w:rsidRPr="0065653B">
              <w:rPr>
                <w:rFonts w:ascii="Times New Roman" w:hAnsi="Times New Roman"/>
                <w:sz w:val="16"/>
                <w:szCs w:val="16"/>
              </w:rPr>
              <w:t xml:space="preserve"> </w:t>
            </w:r>
            <w:proofErr w:type="spellStart"/>
            <w:r w:rsidRPr="0065653B">
              <w:rPr>
                <w:rFonts w:ascii="Times New Roman" w:hAnsi="Times New Roman"/>
                <w:sz w:val="16"/>
                <w:szCs w:val="16"/>
              </w:rPr>
              <w:t>accordance</w:t>
            </w:r>
            <w:proofErr w:type="spellEnd"/>
            <w:r w:rsidRPr="0065653B">
              <w:rPr>
                <w:rFonts w:ascii="Times New Roman" w:hAnsi="Times New Roman"/>
                <w:sz w:val="16"/>
                <w:szCs w:val="16"/>
              </w:rPr>
              <w:t xml:space="preserve"> </w:t>
            </w:r>
            <w:proofErr w:type="spellStart"/>
            <w:r w:rsidRPr="0065653B">
              <w:rPr>
                <w:rFonts w:ascii="Times New Roman" w:hAnsi="Times New Roman"/>
                <w:sz w:val="16"/>
                <w:szCs w:val="16"/>
              </w:rPr>
              <w:t>with</w:t>
            </w:r>
            <w:proofErr w:type="spellEnd"/>
            <w:r w:rsidRPr="0065653B">
              <w:rPr>
                <w:rFonts w:ascii="Times New Roman" w:hAnsi="Times New Roman"/>
                <w:sz w:val="16"/>
                <w:szCs w:val="16"/>
              </w:rPr>
              <w:t xml:space="preserve"> </w:t>
            </w:r>
            <w:proofErr w:type="spellStart"/>
            <w:r w:rsidRPr="0065653B">
              <w:rPr>
                <w:rFonts w:ascii="Times New Roman" w:hAnsi="Times New Roman"/>
                <w:sz w:val="16"/>
                <w:szCs w:val="16"/>
              </w:rPr>
              <w:t>the</w:t>
            </w:r>
            <w:proofErr w:type="spellEnd"/>
            <w:r w:rsidRPr="0065653B">
              <w:rPr>
                <w:rFonts w:ascii="Times New Roman" w:hAnsi="Times New Roman"/>
                <w:sz w:val="16"/>
                <w:szCs w:val="16"/>
              </w:rPr>
              <w:t xml:space="preserve"> </w:t>
            </w:r>
            <w:proofErr w:type="spellStart"/>
            <w:r w:rsidRPr="0065653B">
              <w:rPr>
                <w:rFonts w:ascii="Times New Roman" w:hAnsi="Times New Roman"/>
                <w:sz w:val="16"/>
                <w:szCs w:val="16"/>
              </w:rPr>
              <w:t>requirements</w:t>
            </w:r>
            <w:proofErr w:type="spellEnd"/>
            <w:r w:rsidRPr="0065653B">
              <w:rPr>
                <w:rFonts w:ascii="Times New Roman" w:hAnsi="Times New Roman"/>
                <w:sz w:val="16"/>
                <w:szCs w:val="16"/>
              </w:rPr>
              <w:t xml:space="preserve"> </w:t>
            </w:r>
            <w:proofErr w:type="spellStart"/>
            <w:r w:rsidRPr="0065653B">
              <w:rPr>
                <w:rFonts w:ascii="Times New Roman" w:hAnsi="Times New Roman"/>
                <w:sz w:val="16"/>
                <w:szCs w:val="16"/>
              </w:rPr>
              <w:t>of</w:t>
            </w:r>
            <w:proofErr w:type="spellEnd"/>
            <w:r w:rsidRPr="0065653B">
              <w:rPr>
                <w:rFonts w:ascii="Times New Roman" w:hAnsi="Times New Roman"/>
                <w:sz w:val="16"/>
                <w:szCs w:val="16"/>
              </w:rPr>
              <w:t xml:space="preserve"> </w:t>
            </w:r>
            <w:proofErr w:type="spellStart"/>
            <w:r w:rsidRPr="0065653B">
              <w:rPr>
                <w:rFonts w:ascii="Times New Roman" w:hAnsi="Times New Roman"/>
                <w:sz w:val="16"/>
                <w:szCs w:val="16"/>
              </w:rPr>
              <w:t>the</w:t>
            </w:r>
            <w:proofErr w:type="spellEnd"/>
            <w:r w:rsidRPr="0065653B">
              <w:rPr>
                <w:rFonts w:ascii="Times New Roman" w:hAnsi="Times New Roman"/>
                <w:sz w:val="16"/>
                <w:szCs w:val="16"/>
              </w:rPr>
              <w:t xml:space="preserve"> </w:t>
            </w:r>
            <w:proofErr w:type="spellStart"/>
            <w:r w:rsidRPr="0065653B">
              <w:rPr>
                <w:rFonts w:ascii="Times New Roman" w:hAnsi="Times New Roman"/>
                <w:sz w:val="16"/>
                <w:szCs w:val="16"/>
              </w:rPr>
              <w:t>Tax</w:t>
            </w:r>
            <w:proofErr w:type="spellEnd"/>
            <w:r w:rsidRPr="0065653B">
              <w:rPr>
                <w:rFonts w:ascii="Times New Roman" w:hAnsi="Times New Roman"/>
                <w:sz w:val="16"/>
                <w:szCs w:val="16"/>
              </w:rPr>
              <w:t xml:space="preserve"> </w:t>
            </w:r>
            <w:proofErr w:type="spellStart"/>
            <w:r w:rsidRPr="0065653B">
              <w:rPr>
                <w:rFonts w:ascii="Times New Roman" w:hAnsi="Times New Roman"/>
                <w:sz w:val="16"/>
                <w:szCs w:val="16"/>
              </w:rPr>
              <w:t>Code</w:t>
            </w:r>
            <w:proofErr w:type="spellEnd"/>
            <w:r w:rsidRPr="0065653B">
              <w:rPr>
                <w:rFonts w:ascii="Times New Roman" w:hAnsi="Times New Roman"/>
                <w:sz w:val="16"/>
                <w:szCs w:val="16"/>
              </w:rPr>
              <w:t xml:space="preserve"> </w:t>
            </w:r>
            <w:proofErr w:type="spellStart"/>
            <w:r w:rsidRPr="0065653B">
              <w:rPr>
                <w:rFonts w:ascii="Times New Roman" w:hAnsi="Times New Roman"/>
                <w:sz w:val="16"/>
                <w:szCs w:val="16"/>
              </w:rPr>
              <w:t>of</w:t>
            </w:r>
            <w:proofErr w:type="spellEnd"/>
            <w:r w:rsidRPr="0065653B">
              <w:rPr>
                <w:rFonts w:ascii="Times New Roman" w:hAnsi="Times New Roman"/>
                <w:sz w:val="16"/>
                <w:szCs w:val="16"/>
              </w:rPr>
              <w:t xml:space="preserve"> </w:t>
            </w:r>
            <w:proofErr w:type="spellStart"/>
            <w:r w:rsidRPr="0065653B">
              <w:rPr>
                <w:rFonts w:ascii="Times New Roman" w:hAnsi="Times New Roman"/>
                <w:sz w:val="16"/>
                <w:szCs w:val="16"/>
              </w:rPr>
              <w:t>Ukraine</w:t>
            </w:r>
            <w:proofErr w:type="spellEnd"/>
            <w:r w:rsidRPr="0065653B">
              <w:rPr>
                <w:rFonts w:ascii="Times New Roman" w:hAnsi="Times New Roman"/>
                <w:sz w:val="16"/>
                <w:szCs w:val="16"/>
              </w:rPr>
              <w:t xml:space="preserve"> </w:t>
            </w:r>
            <w:proofErr w:type="spellStart"/>
            <w:r w:rsidRPr="0065653B">
              <w:rPr>
                <w:rFonts w:ascii="Times New Roman" w:hAnsi="Times New Roman"/>
                <w:sz w:val="16"/>
                <w:szCs w:val="16"/>
              </w:rPr>
              <w:t>of</w:t>
            </w:r>
            <w:proofErr w:type="spellEnd"/>
            <w:r w:rsidRPr="0065653B">
              <w:rPr>
                <w:rFonts w:ascii="Times New Roman" w:hAnsi="Times New Roman"/>
                <w:sz w:val="16"/>
                <w:szCs w:val="16"/>
              </w:rPr>
              <w:t xml:space="preserve"> </w:t>
            </w:r>
            <w:proofErr w:type="spellStart"/>
            <w:r w:rsidRPr="0065653B">
              <w:rPr>
                <w:rFonts w:ascii="Times New Roman" w:hAnsi="Times New Roman"/>
                <w:sz w:val="16"/>
                <w:szCs w:val="16"/>
              </w:rPr>
              <w:t>the</w:t>
            </w:r>
            <w:proofErr w:type="spellEnd"/>
            <w:r w:rsidRPr="0065653B">
              <w:rPr>
                <w:rFonts w:ascii="Times New Roman" w:hAnsi="Times New Roman"/>
                <w:sz w:val="16"/>
                <w:szCs w:val="16"/>
              </w:rPr>
              <w:t xml:space="preserve"> </w:t>
            </w:r>
            <w:proofErr w:type="spellStart"/>
            <w:r w:rsidRPr="0065653B">
              <w:rPr>
                <w:rFonts w:ascii="Times New Roman" w:hAnsi="Times New Roman"/>
                <w:sz w:val="16"/>
                <w:szCs w:val="16"/>
              </w:rPr>
              <w:t>status</w:t>
            </w:r>
            <w:proofErr w:type="spellEnd"/>
            <w:r w:rsidRPr="0065653B">
              <w:rPr>
                <w:rFonts w:ascii="Times New Roman" w:hAnsi="Times New Roman"/>
                <w:sz w:val="16"/>
                <w:szCs w:val="16"/>
              </w:rPr>
              <w:t xml:space="preserve"> </w:t>
            </w:r>
            <w:proofErr w:type="spellStart"/>
            <w:r w:rsidRPr="0065653B">
              <w:rPr>
                <w:rFonts w:ascii="Times New Roman" w:hAnsi="Times New Roman"/>
                <w:sz w:val="16"/>
                <w:szCs w:val="16"/>
              </w:rPr>
              <w:t>of</w:t>
            </w:r>
            <w:proofErr w:type="spellEnd"/>
            <w:r w:rsidRPr="0065653B">
              <w:rPr>
                <w:rFonts w:ascii="Times New Roman" w:hAnsi="Times New Roman"/>
                <w:sz w:val="16"/>
                <w:szCs w:val="16"/>
              </w:rPr>
              <w:t xml:space="preserve"> </w:t>
            </w:r>
            <w:proofErr w:type="spellStart"/>
            <w:r w:rsidRPr="0065653B">
              <w:rPr>
                <w:rFonts w:ascii="Times New Roman" w:hAnsi="Times New Roman"/>
                <w:sz w:val="16"/>
                <w:szCs w:val="16"/>
              </w:rPr>
              <w:t>taxpayer</w:t>
            </w:r>
            <w:proofErr w:type="spellEnd"/>
            <w:r w:rsidRPr="0065653B">
              <w:rPr>
                <w:rFonts w:ascii="Times New Roman" w:hAnsi="Times New Roman"/>
                <w:sz w:val="16"/>
                <w:szCs w:val="16"/>
              </w:rPr>
              <w:t xml:space="preserve"> </w:t>
            </w:r>
            <w:proofErr w:type="spellStart"/>
            <w:r w:rsidRPr="0065653B">
              <w:rPr>
                <w:rFonts w:ascii="Times New Roman" w:hAnsi="Times New Roman"/>
                <w:sz w:val="16"/>
                <w:szCs w:val="16"/>
              </w:rPr>
              <w:t>residence</w:t>
            </w:r>
            <w:proofErr w:type="spellEnd"/>
            <w:r w:rsidRPr="0065653B">
              <w:rPr>
                <w:rFonts w:ascii="Times New Roman" w:hAnsi="Times New Roman"/>
                <w:sz w:val="16"/>
                <w:szCs w:val="16"/>
              </w:rPr>
              <w:t xml:space="preserve"> </w:t>
            </w:r>
            <w:proofErr w:type="spellStart"/>
            <w:r w:rsidRPr="0065653B">
              <w:rPr>
                <w:rFonts w:ascii="Times New Roman" w:hAnsi="Times New Roman"/>
                <w:sz w:val="16"/>
                <w:szCs w:val="16"/>
              </w:rPr>
              <w:t>status</w:t>
            </w:r>
            <w:proofErr w:type="spellEnd"/>
            <w:r w:rsidRPr="0065653B">
              <w:rPr>
                <w:rFonts w:ascii="Times New Roman" w:hAnsi="Times New Roman"/>
                <w:sz w:val="16"/>
                <w:szCs w:val="16"/>
              </w:rPr>
              <w:t xml:space="preserve"> </w:t>
            </w:r>
            <w:proofErr w:type="spellStart"/>
            <w:r w:rsidRPr="0065653B">
              <w:rPr>
                <w:rFonts w:ascii="Times New Roman" w:hAnsi="Times New Roman"/>
                <w:sz w:val="16"/>
                <w:szCs w:val="16"/>
              </w:rPr>
              <w:t>of</w:t>
            </w:r>
            <w:proofErr w:type="spellEnd"/>
            <w:r w:rsidRPr="0065653B">
              <w:rPr>
                <w:rFonts w:ascii="Times New Roman" w:hAnsi="Times New Roman"/>
                <w:sz w:val="16"/>
                <w:szCs w:val="16"/>
              </w:rPr>
              <w:t xml:space="preserve"> </w:t>
            </w:r>
            <w:proofErr w:type="spellStart"/>
            <w:r w:rsidRPr="0065653B">
              <w:rPr>
                <w:rFonts w:ascii="Times New Roman" w:hAnsi="Times New Roman"/>
                <w:sz w:val="16"/>
                <w:szCs w:val="16"/>
              </w:rPr>
              <w:t>Depositor</w:t>
            </w:r>
            <w:proofErr w:type="spellEnd"/>
            <w:r w:rsidRPr="0065653B">
              <w:rPr>
                <w:rFonts w:ascii="Times New Roman" w:hAnsi="Times New Roman"/>
                <w:sz w:val="16"/>
                <w:szCs w:val="16"/>
              </w:rPr>
              <w:t xml:space="preserve"> </w:t>
            </w:r>
            <w:proofErr w:type="spellStart"/>
            <w:r w:rsidRPr="0065653B">
              <w:rPr>
                <w:rFonts w:ascii="Times New Roman" w:hAnsi="Times New Roman"/>
                <w:sz w:val="16"/>
                <w:szCs w:val="16"/>
              </w:rPr>
              <w:t>and</w:t>
            </w:r>
            <w:proofErr w:type="spellEnd"/>
            <w:r w:rsidRPr="0065653B">
              <w:rPr>
                <w:rFonts w:ascii="Times New Roman" w:hAnsi="Times New Roman"/>
                <w:sz w:val="16"/>
                <w:szCs w:val="16"/>
              </w:rPr>
              <w:t xml:space="preserve"> / </w:t>
            </w:r>
            <w:proofErr w:type="spellStart"/>
            <w:r w:rsidRPr="0065653B">
              <w:rPr>
                <w:rFonts w:ascii="Times New Roman" w:hAnsi="Times New Roman"/>
                <w:sz w:val="16"/>
                <w:szCs w:val="16"/>
              </w:rPr>
              <w:t>or</w:t>
            </w:r>
            <w:proofErr w:type="spellEnd"/>
            <w:r w:rsidRPr="0065653B">
              <w:rPr>
                <w:rFonts w:ascii="Times New Roman" w:hAnsi="Times New Roman"/>
                <w:sz w:val="16"/>
                <w:szCs w:val="16"/>
              </w:rPr>
              <w:t xml:space="preserve"> </w:t>
            </w:r>
            <w:proofErr w:type="spellStart"/>
            <w:r w:rsidRPr="0065653B">
              <w:rPr>
                <w:rFonts w:ascii="Times New Roman" w:hAnsi="Times New Roman"/>
                <w:sz w:val="16"/>
                <w:szCs w:val="16"/>
              </w:rPr>
              <w:t>its</w:t>
            </w:r>
            <w:proofErr w:type="spellEnd"/>
            <w:r w:rsidRPr="0065653B">
              <w:rPr>
                <w:rFonts w:ascii="Times New Roman" w:hAnsi="Times New Roman"/>
                <w:sz w:val="16"/>
                <w:szCs w:val="16"/>
              </w:rPr>
              <w:t xml:space="preserve"> </w:t>
            </w:r>
            <w:proofErr w:type="spellStart"/>
            <w:r w:rsidRPr="0065653B">
              <w:rPr>
                <w:rFonts w:ascii="Times New Roman" w:hAnsi="Times New Roman"/>
                <w:sz w:val="16"/>
                <w:szCs w:val="16"/>
              </w:rPr>
              <w:t>beneficial</w:t>
            </w:r>
            <w:proofErr w:type="spellEnd"/>
            <w:r w:rsidRPr="0065653B">
              <w:rPr>
                <w:rFonts w:ascii="Times New Roman" w:hAnsi="Times New Roman"/>
                <w:sz w:val="16"/>
                <w:szCs w:val="16"/>
              </w:rPr>
              <w:t xml:space="preserve"> </w:t>
            </w:r>
            <w:proofErr w:type="spellStart"/>
            <w:r w:rsidRPr="0065653B">
              <w:rPr>
                <w:rFonts w:ascii="Times New Roman" w:hAnsi="Times New Roman"/>
                <w:sz w:val="16"/>
                <w:szCs w:val="16"/>
              </w:rPr>
              <w:t>owners</w:t>
            </w:r>
            <w:proofErr w:type="spellEnd"/>
            <w:r w:rsidRPr="0065653B">
              <w:rPr>
                <w:rFonts w:ascii="Times New Roman" w:hAnsi="Times New Roman"/>
                <w:sz w:val="16"/>
                <w:szCs w:val="16"/>
              </w:rPr>
              <w:t>.</w:t>
            </w:r>
          </w:p>
        </w:tc>
      </w:tr>
      <w:tr w:rsidR="0065653B" w:rsidRPr="00F23413" w14:paraId="45A42DEB" w14:textId="77777777" w:rsidTr="00242F58">
        <w:trPr>
          <w:trHeight w:val="192"/>
        </w:trPr>
        <w:tc>
          <w:tcPr>
            <w:tcW w:w="5696" w:type="dxa"/>
            <w:gridSpan w:val="8"/>
            <w:shd w:val="clear" w:color="auto" w:fill="auto"/>
          </w:tcPr>
          <w:p w14:paraId="1FCAC0A3" w14:textId="77777777" w:rsidR="0065653B" w:rsidRDefault="0065653B" w:rsidP="00843027">
            <w:pPr>
              <w:widowControl w:val="0"/>
              <w:tabs>
                <w:tab w:val="left" w:pos="540"/>
              </w:tabs>
              <w:snapToGrid w:val="0"/>
              <w:ind w:left="175" w:right="138" w:firstLine="7"/>
              <w:rPr>
                <w:rFonts w:ascii="Times New Roman" w:hAnsi="Times New Roman"/>
                <w:sz w:val="16"/>
                <w:szCs w:val="16"/>
                <w:lang w:val="en-US"/>
              </w:rPr>
            </w:pPr>
            <w:r w:rsidRPr="0065653B">
              <w:rPr>
                <w:rFonts w:ascii="Times New Roman" w:hAnsi="Times New Roman"/>
                <w:sz w:val="16"/>
                <w:szCs w:val="16"/>
                <w:lang w:val="en-US"/>
              </w:rPr>
              <w:t xml:space="preserve">2.2.15. </w:t>
            </w:r>
            <w:proofErr w:type="spellStart"/>
            <w:r w:rsidRPr="0065653B">
              <w:rPr>
                <w:rFonts w:ascii="Times New Roman" w:hAnsi="Times New Roman"/>
                <w:sz w:val="16"/>
                <w:szCs w:val="16"/>
                <w:lang w:val="en-US"/>
              </w:rPr>
              <w:t>Ненадання</w:t>
            </w:r>
            <w:proofErr w:type="spellEnd"/>
            <w:r w:rsidRPr="0065653B">
              <w:rPr>
                <w:rFonts w:ascii="Times New Roman" w:hAnsi="Times New Roman"/>
                <w:sz w:val="16"/>
                <w:szCs w:val="16"/>
                <w:lang w:val="en-US"/>
              </w:rPr>
              <w:t xml:space="preserve"> </w:t>
            </w:r>
            <w:proofErr w:type="spellStart"/>
            <w:r w:rsidRPr="0065653B">
              <w:rPr>
                <w:rFonts w:ascii="Times New Roman" w:hAnsi="Times New Roman"/>
                <w:sz w:val="16"/>
                <w:szCs w:val="16"/>
                <w:lang w:val="en-US"/>
              </w:rPr>
              <w:t>Депонентом</w:t>
            </w:r>
            <w:proofErr w:type="spellEnd"/>
            <w:r w:rsidRPr="0065653B">
              <w:rPr>
                <w:rFonts w:ascii="Times New Roman" w:hAnsi="Times New Roman"/>
                <w:sz w:val="16"/>
                <w:szCs w:val="16"/>
                <w:lang w:val="en-US"/>
              </w:rPr>
              <w:t xml:space="preserve"> </w:t>
            </w:r>
            <w:proofErr w:type="spellStart"/>
            <w:r w:rsidRPr="0065653B">
              <w:rPr>
                <w:rFonts w:ascii="Times New Roman" w:hAnsi="Times New Roman"/>
                <w:sz w:val="16"/>
                <w:szCs w:val="16"/>
                <w:lang w:val="en-US"/>
              </w:rPr>
              <w:t>протягом</w:t>
            </w:r>
            <w:proofErr w:type="spellEnd"/>
            <w:r w:rsidRPr="0065653B">
              <w:rPr>
                <w:rFonts w:ascii="Times New Roman" w:hAnsi="Times New Roman"/>
                <w:sz w:val="16"/>
                <w:szCs w:val="16"/>
                <w:lang w:val="en-US"/>
              </w:rPr>
              <w:t xml:space="preserve"> </w:t>
            </w:r>
            <w:proofErr w:type="spellStart"/>
            <w:r w:rsidRPr="0065653B">
              <w:rPr>
                <w:rFonts w:ascii="Times New Roman" w:hAnsi="Times New Roman"/>
                <w:sz w:val="16"/>
                <w:szCs w:val="16"/>
                <w:lang w:val="en-US"/>
              </w:rPr>
              <w:t>п’ятнадцяти</w:t>
            </w:r>
            <w:proofErr w:type="spellEnd"/>
            <w:r w:rsidRPr="0065653B">
              <w:rPr>
                <w:rFonts w:ascii="Times New Roman" w:hAnsi="Times New Roman"/>
                <w:sz w:val="16"/>
                <w:szCs w:val="16"/>
                <w:lang w:val="en-US"/>
              </w:rPr>
              <w:t xml:space="preserve"> </w:t>
            </w:r>
            <w:proofErr w:type="spellStart"/>
            <w:r w:rsidRPr="0065653B">
              <w:rPr>
                <w:rFonts w:ascii="Times New Roman" w:hAnsi="Times New Roman"/>
                <w:sz w:val="16"/>
                <w:szCs w:val="16"/>
                <w:lang w:val="en-US"/>
              </w:rPr>
              <w:t>календарних</w:t>
            </w:r>
            <w:proofErr w:type="spellEnd"/>
            <w:r w:rsidRPr="0065653B">
              <w:rPr>
                <w:rFonts w:ascii="Times New Roman" w:hAnsi="Times New Roman"/>
                <w:sz w:val="16"/>
                <w:szCs w:val="16"/>
                <w:lang w:val="en-US"/>
              </w:rPr>
              <w:t xml:space="preserve"> </w:t>
            </w:r>
            <w:proofErr w:type="spellStart"/>
            <w:r w:rsidRPr="0065653B">
              <w:rPr>
                <w:rFonts w:ascii="Times New Roman" w:hAnsi="Times New Roman"/>
                <w:sz w:val="16"/>
                <w:szCs w:val="16"/>
                <w:lang w:val="en-US"/>
              </w:rPr>
              <w:t>днів</w:t>
            </w:r>
            <w:proofErr w:type="spellEnd"/>
            <w:r w:rsidRPr="0065653B">
              <w:rPr>
                <w:rFonts w:ascii="Times New Roman" w:hAnsi="Times New Roman"/>
                <w:sz w:val="16"/>
                <w:szCs w:val="16"/>
                <w:lang w:val="en-US"/>
              </w:rPr>
              <w:t xml:space="preserve"> з </w:t>
            </w:r>
            <w:proofErr w:type="spellStart"/>
            <w:r w:rsidRPr="0065653B">
              <w:rPr>
                <w:rFonts w:ascii="Times New Roman" w:hAnsi="Times New Roman"/>
                <w:sz w:val="16"/>
                <w:szCs w:val="16"/>
                <w:lang w:val="en-US"/>
              </w:rPr>
              <w:t>дня</w:t>
            </w:r>
            <w:proofErr w:type="spellEnd"/>
            <w:r w:rsidRPr="0065653B">
              <w:rPr>
                <w:rFonts w:ascii="Times New Roman" w:hAnsi="Times New Roman"/>
                <w:sz w:val="16"/>
                <w:szCs w:val="16"/>
                <w:lang w:val="en-US"/>
              </w:rPr>
              <w:t xml:space="preserve"> </w:t>
            </w:r>
            <w:proofErr w:type="spellStart"/>
            <w:r w:rsidRPr="0065653B">
              <w:rPr>
                <w:rFonts w:ascii="Times New Roman" w:hAnsi="Times New Roman"/>
                <w:sz w:val="16"/>
                <w:szCs w:val="16"/>
                <w:lang w:val="en-US"/>
              </w:rPr>
              <w:t>отримання</w:t>
            </w:r>
            <w:proofErr w:type="spellEnd"/>
            <w:r w:rsidRPr="0065653B">
              <w:rPr>
                <w:rFonts w:ascii="Times New Roman" w:hAnsi="Times New Roman"/>
                <w:sz w:val="16"/>
                <w:szCs w:val="16"/>
                <w:lang w:val="en-US"/>
              </w:rPr>
              <w:t xml:space="preserve"> </w:t>
            </w:r>
            <w:proofErr w:type="spellStart"/>
            <w:r w:rsidRPr="0065653B">
              <w:rPr>
                <w:rFonts w:ascii="Times New Roman" w:hAnsi="Times New Roman"/>
                <w:sz w:val="16"/>
                <w:szCs w:val="16"/>
                <w:lang w:val="en-US"/>
              </w:rPr>
              <w:t>запиту</w:t>
            </w:r>
            <w:proofErr w:type="spellEnd"/>
            <w:r w:rsidRPr="0065653B">
              <w:rPr>
                <w:rFonts w:ascii="Times New Roman" w:hAnsi="Times New Roman"/>
                <w:sz w:val="16"/>
                <w:szCs w:val="16"/>
                <w:lang w:val="en-US"/>
              </w:rPr>
              <w:t xml:space="preserve"> </w:t>
            </w:r>
            <w:proofErr w:type="spellStart"/>
            <w:r w:rsidRPr="0065653B">
              <w:rPr>
                <w:rFonts w:ascii="Times New Roman" w:hAnsi="Times New Roman"/>
                <w:sz w:val="16"/>
                <w:szCs w:val="16"/>
                <w:lang w:val="en-US"/>
              </w:rPr>
              <w:t>Депозитарної</w:t>
            </w:r>
            <w:proofErr w:type="spellEnd"/>
            <w:r w:rsidRPr="0065653B">
              <w:rPr>
                <w:rFonts w:ascii="Times New Roman" w:hAnsi="Times New Roman"/>
                <w:sz w:val="16"/>
                <w:szCs w:val="16"/>
                <w:lang w:val="en-US"/>
              </w:rPr>
              <w:t xml:space="preserve"> </w:t>
            </w:r>
            <w:proofErr w:type="spellStart"/>
            <w:r w:rsidRPr="0065653B">
              <w:rPr>
                <w:rFonts w:ascii="Times New Roman" w:hAnsi="Times New Roman"/>
                <w:sz w:val="16"/>
                <w:szCs w:val="16"/>
                <w:lang w:val="en-US"/>
              </w:rPr>
              <w:t>установи</w:t>
            </w:r>
            <w:proofErr w:type="spellEnd"/>
            <w:r w:rsidRPr="0065653B">
              <w:rPr>
                <w:rFonts w:ascii="Times New Roman" w:hAnsi="Times New Roman"/>
                <w:sz w:val="16"/>
                <w:szCs w:val="16"/>
                <w:lang w:val="en-US"/>
              </w:rPr>
              <w:t xml:space="preserve"> </w:t>
            </w:r>
            <w:proofErr w:type="spellStart"/>
            <w:r w:rsidRPr="0065653B">
              <w:rPr>
                <w:rFonts w:ascii="Times New Roman" w:hAnsi="Times New Roman"/>
                <w:sz w:val="16"/>
                <w:szCs w:val="16"/>
                <w:lang w:val="en-US"/>
              </w:rPr>
              <w:t>запитуваної</w:t>
            </w:r>
            <w:proofErr w:type="spellEnd"/>
            <w:r w:rsidRPr="0065653B">
              <w:rPr>
                <w:rFonts w:ascii="Times New Roman" w:hAnsi="Times New Roman"/>
                <w:sz w:val="16"/>
                <w:szCs w:val="16"/>
                <w:lang w:val="en-US"/>
              </w:rPr>
              <w:t xml:space="preserve"> </w:t>
            </w:r>
            <w:proofErr w:type="spellStart"/>
            <w:r w:rsidRPr="0065653B">
              <w:rPr>
                <w:rFonts w:ascii="Times New Roman" w:hAnsi="Times New Roman"/>
                <w:sz w:val="16"/>
                <w:szCs w:val="16"/>
                <w:lang w:val="en-US"/>
              </w:rPr>
              <w:t>інформації</w:t>
            </w:r>
            <w:proofErr w:type="spellEnd"/>
            <w:r w:rsidRPr="0065653B">
              <w:rPr>
                <w:rFonts w:ascii="Times New Roman" w:hAnsi="Times New Roman"/>
                <w:sz w:val="16"/>
                <w:szCs w:val="16"/>
                <w:lang w:val="en-US"/>
              </w:rPr>
              <w:t xml:space="preserve"> </w:t>
            </w:r>
            <w:proofErr w:type="spellStart"/>
            <w:r w:rsidRPr="0065653B">
              <w:rPr>
                <w:rFonts w:ascii="Times New Roman" w:hAnsi="Times New Roman"/>
                <w:sz w:val="16"/>
                <w:szCs w:val="16"/>
                <w:lang w:val="en-US"/>
              </w:rPr>
              <w:t>та</w:t>
            </w:r>
            <w:proofErr w:type="spellEnd"/>
            <w:r w:rsidRPr="0065653B">
              <w:rPr>
                <w:rFonts w:ascii="Times New Roman" w:hAnsi="Times New Roman"/>
                <w:sz w:val="16"/>
                <w:szCs w:val="16"/>
                <w:lang w:val="en-US"/>
              </w:rPr>
              <w:t>/</w:t>
            </w:r>
            <w:proofErr w:type="spellStart"/>
            <w:r w:rsidRPr="0065653B">
              <w:rPr>
                <w:rFonts w:ascii="Times New Roman" w:hAnsi="Times New Roman"/>
                <w:sz w:val="16"/>
                <w:szCs w:val="16"/>
                <w:lang w:val="en-US"/>
              </w:rPr>
              <w:t>або</w:t>
            </w:r>
            <w:proofErr w:type="spellEnd"/>
            <w:r w:rsidRPr="0065653B">
              <w:rPr>
                <w:rFonts w:ascii="Times New Roman" w:hAnsi="Times New Roman"/>
                <w:sz w:val="16"/>
                <w:szCs w:val="16"/>
                <w:lang w:val="en-US"/>
              </w:rPr>
              <w:t xml:space="preserve"> </w:t>
            </w:r>
            <w:proofErr w:type="spellStart"/>
            <w:r w:rsidRPr="0065653B">
              <w:rPr>
                <w:rFonts w:ascii="Times New Roman" w:hAnsi="Times New Roman"/>
                <w:sz w:val="16"/>
                <w:szCs w:val="16"/>
                <w:lang w:val="en-US"/>
              </w:rPr>
              <w:t>документів</w:t>
            </w:r>
            <w:proofErr w:type="spellEnd"/>
            <w:r w:rsidRPr="0065653B">
              <w:rPr>
                <w:rFonts w:ascii="Times New Roman" w:hAnsi="Times New Roman"/>
                <w:sz w:val="16"/>
                <w:szCs w:val="16"/>
                <w:lang w:val="en-US"/>
              </w:rPr>
              <w:t xml:space="preserve"> </w:t>
            </w:r>
            <w:proofErr w:type="spellStart"/>
            <w:r w:rsidRPr="0065653B">
              <w:rPr>
                <w:rFonts w:ascii="Times New Roman" w:hAnsi="Times New Roman"/>
                <w:sz w:val="16"/>
                <w:szCs w:val="16"/>
                <w:lang w:val="en-US"/>
              </w:rPr>
              <w:t>або</w:t>
            </w:r>
            <w:proofErr w:type="spellEnd"/>
            <w:r w:rsidRPr="0065653B">
              <w:rPr>
                <w:rFonts w:ascii="Times New Roman" w:hAnsi="Times New Roman"/>
                <w:sz w:val="16"/>
                <w:szCs w:val="16"/>
                <w:lang w:val="en-US"/>
              </w:rPr>
              <w:t xml:space="preserve"> </w:t>
            </w:r>
            <w:proofErr w:type="spellStart"/>
            <w:r w:rsidRPr="0065653B">
              <w:rPr>
                <w:rFonts w:ascii="Times New Roman" w:hAnsi="Times New Roman"/>
                <w:sz w:val="16"/>
                <w:szCs w:val="16"/>
                <w:lang w:val="en-US"/>
              </w:rPr>
              <w:t>надання</w:t>
            </w:r>
            <w:proofErr w:type="spellEnd"/>
            <w:r w:rsidRPr="0065653B">
              <w:rPr>
                <w:rFonts w:ascii="Times New Roman" w:hAnsi="Times New Roman"/>
                <w:sz w:val="16"/>
                <w:szCs w:val="16"/>
                <w:lang w:val="en-US"/>
              </w:rPr>
              <w:t xml:space="preserve"> </w:t>
            </w:r>
            <w:proofErr w:type="spellStart"/>
            <w:r w:rsidRPr="0065653B">
              <w:rPr>
                <w:rFonts w:ascii="Times New Roman" w:hAnsi="Times New Roman"/>
                <w:sz w:val="16"/>
                <w:szCs w:val="16"/>
                <w:lang w:val="en-US"/>
              </w:rPr>
              <w:t>інформації</w:t>
            </w:r>
            <w:proofErr w:type="spellEnd"/>
            <w:r w:rsidRPr="0065653B">
              <w:rPr>
                <w:rFonts w:ascii="Times New Roman" w:hAnsi="Times New Roman"/>
                <w:sz w:val="16"/>
                <w:szCs w:val="16"/>
                <w:lang w:val="en-US"/>
              </w:rPr>
              <w:t xml:space="preserve"> </w:t>
            </w:r>
            <w:proofErr w:type="spellStart"/>
            <w:r w:rsidRPr="0065653B">
              <w:rPr>
                <w:rFonts w:ascii="Times New Roman" w:hAnsi="Times New Roman"/>
                <w:sz w:val="16"/>
                <w:szCs w:val="16"/>
                <w:lang w:val="en-US"/>
              </w:rPr>
              <w:t>та</w:t>
            </w:r>
            <w:proofErr w:type="spellEnd"/>
            <w:r w:rsidRPr="0065653B">
              <w:rPr>
                <w:rFonts w:ascii="Times New Roman" w:hAnsi="Times New Roman"/>
                <w:sz w:val="16"/>
                <w:szCs w:val="16"/>
                <w:lang w:val="en-US"/>
              </w:rPr>
              <w:t>/</w:t>
            </w:r>
            <w:proofErr w:type="spellStart"/>
            <w:r w:rsidRPr="0065653B">
              <w:rPr>
                <w:rFonts w:ascii="Times New Roman" w:hAnsi="Times New Roman"/>
                <w:sz w:val="16"/>
                <w:szCs w:val="16"/>
                <w:lang w:val="en-US"/>
              </w:rPr>
              <w:t>або</w:t>
            </w:r>
            <w:proofErr w:type="spellEnd"/>
            <w:r w:rsidRPr="0065653B">
              <w:rPr>
                <w:rFonts w:ascii="Times New Roman" w:hAnsi="Times New Roman"/>
                <w:sz w:val="16"/>
                <w:szCs w:val="16"/>
                <w:lang w:val="en-US"/>
              </w:rPr>
              <w:t xml:space="preserve"> </w:t>
            </w:r>
            <w:proofErr w:type="spellStart"/>
            <w:r w:rsidRPr="0065653B">
              <w:rPr>
                <w:rFonts w:ascii="Times New Roman" w:hAnsi="Times New Roman"/>
                <w:sz w:val="16"/>
                <w:szCs w:val="16"/>
                <w:lang w:val="en-US"/>
              </w:rPr>
              <w:t>документів</w:t>
            </w:r>
            <w:proofErr w:type="spellEnd"/>
            <w:r w:rsidRPr="0065653B">
              <w:rPr>
                <w:rFonts w:ascii="Times New Roman" w:hAnsi="Times New Roman"/>
                <w:sz w:val="16"/>
                <w:szCs w:val="16"/>
                <w:lang w:val="en-US"/>
              </w:rPr>
              <w:t xml:space="preserve">, </w:t>
            </w:r>
            <w:proofErr w:type="spellStart"/>
            <w:r w:rsidRPr="0065653B">
              <w:rPr>
                <w:rFonts w:ascii="Times New Roman" w:hAnsi="Times New Roman"/>
                <w:sz w:val="16"/>
                <w:szCs w:val="16"/>
                <w:lang w:val="en-US"/>
              </w:rPr>
              <w:t>що</w:t>
            </w:r>
            <w:proofErr w:type="spellEnd"/>
            <w:r w:rsidRPr="0065653B">
              <w:rPr>
                <w:rFonts w:ascii="Times New Roman" w:hAnsi="Times New Roman"/>
                <w:sz w:val="16"/>
                <w:szCs w:val="16"/>
                <w:lang w:val="en-US"/>
              </w:rPr>
              <w:t xml:space="preserve"> </w:t>
            </w:r>
            <w:proofErr w:type="spellStart"/>
            <w:r w:rsidRPr="0065653B">
              <w:rPr>
                <w:rFonts w:ascii="Times New Roman" w:hAnsi="Times New Roman"/>
                <w:sz w:val="16"/>
                <w:szCs w:val="16"/>
                <w:lang w:val="en-US"/>
              </w:rPr>
              <w:t>не</w:t>
            </w:r>
            <w:proofErr w:type="spellEnd"/>
            <w:r w:rsidRPr="0065653B">
              <w:rPr>
                <w:rFonts w:ascii="Times New Roman" w:hAnsi="Times New Roman"/>
                <w:sz w:val="16"/>
                <w:szCs w:val="16"/>
                <w:lang w:val="en-US"/>
              </w:rPr>
              <w:t xml:space="preserve"> </w:t>
            </w:r>
            <w:proofErr w:type="spellStart"/>
            <w:r w:rsidRPr="0065653B">
              <w:rPr>
                <w:rFonts w:ascii="Times New Roman" w:hAnsi="Times New Roman"/>
                <w:sz w:val="16"/>
                <w:szCs w:val="16"/>
                <w:lang w:val="en-US"/>
              </w:rPr>
              <w:t>спростовують</w:t>
            </w:r>
            <w:proofErr w:type="spellEnd"/>
            <w:r w:rsidRPr="0065653B">
              <w:rPr>
                <w:rFonts w:ascii="Times New Roman" w:hAnsi="Times New Roman"/>
                <w:sz w:val="16"/>
                <w:szCs w:val="16"/>
                <w:lang w:val="en-US"/>
              </w:rPr>
              <w:t xml:space="preserve"> </w:t>
            </w:r>
            <w:proofErr w:type="spellStart"/>
            <w:r w:rsidRPr="0065653B">
              <w:rPr>
                <w:rFonts w:ascii="Times New Roman" w:hAnsi="Times New Roman"/>
                <w:sz w:val="16"/>
                <w:szCs w:val="16"/>
                <w:lang w:val="en-US"/>
              </w:rPr>
              <w:t>обґрунтованої</w:t>
            </w:r>
            <w:proofErr w:type="spellEnd"/>
            <w:r w:rsidRPr="0065653B">
              <w:rPr>
                <w:rFonts w:ascii="Times New Roman" w:hAnsi="Times New Roman"/>
                <w:sz w:val="16"/>
                <w:szCs w:val="16"/>
                <w:lang w:val="en-US"/>
              </w:rPr>
              <w:t xml:space="preserve"> </w:t>
            </w:r>
            <w:proofErr w:type="spellStart"/>
            <w:r w:rsidRPr="0065653B">
              <w:rPr>
                <w:rFonts w:ascii="Times New Roman" w:hAnsi="Times New Roman"/>
                <w:sz w:val="16"/>
                <w:szCs w:val="16"/>
                <w:lang w:val="en-US"/>
              </w:rPr>
              <w:t>підозри</w:t>
            </w:r>
            <w:proofErr w:type="spellEnd"/>
            <w:r w:rsidRPr="0065653B">
              <w:rPr>
                <w:rFonts w:ascii="Times New Roman" w:hAnsi="Times New Roman"/>
                <w:sz w:val="16"/>
                <w:szCs w:val="16"/>
                <w:lang w:val="en-US"/>
              </w:rPr>
              <w:t xml:space="preserve"> </w:t>
            </w:r>
            <w:proofErr w:type="spellStart"/>
            <w:r w:rsidRPr="0065653B">
              <w:rPr>
                <w:rFonts w:ascii="Times New Roman" w:hAnsi="Times New Roman"/>
                <w:sz w:val="16"/>
                <w:szCs w:val="16"/>
                <w:lang w:val="en-US"/>
              </w:rPr>
              <w:t>Депозитарної</w:t>
            </w:r>
            <w:proofErr w:type="spellEnd"/>
            <w:r w:rsidRPr="0065653B">
              <w:rPr>
                <w:rFonts w:ascii="Times New Roman" w:hAnsi="Times New Roman"/>
                <w:sz w:val="16"/>
                <w:szCs w:val="16"/>
                <w:lang w:val="en-US"/>
              </w:rPr>
              <w:t xml:space="preserve"> </w:t>
            </w:r>
            <w:proofErr w:type="spellStart"/>
            <w:r w:rsidRPr="0065653B">
              <w:rPr>
                <w:rFonts w:ascii="Times New Roman" w:hAnsi="Times New Roman"/>
                <w:sz w:val="16"/>
                <w:szCs w:val="16"/>
                <w:lang w:val="en-US"/>
              </w:rPr>
              <w:t>установи</w:t>
            </w:r>
            <w:proofErr w:type="spellEnd"/>
            <w:r w:rsidRPr="0065653B">
              <w:rPr>
                <w:rFonts w:ascii="Times New Roman" w:hAnsi="Times New Roman"/>
                <w:sz w:val="16"/>
                <w:szCs w:val="16"/>
                <w:lang w:val="en-US"/>
              </w:rPr>
              <w:t xml:space="preserve">, </w:t>
            </w:r>
            <w:proofErr w:type="spellStart"/>
            <w:r w:rsidRPr="0065653B">
              <w:rPr>
                <w:rFonts w:ascii="Times New Roman" w:hAnsi="Times New Roman"/>
                <w:sz w:val="16"/>
                <w:szCs w:val="16"/>
                <w:lang w:val="en-US"/>
              </w:rPr>
              <w:t>або</w:t>
            </w:r>
            <w:proofErr w:type="spellEnd"/>
            <w:r w:rsidRPr="0065653B">
              <w:rPr>
                <w:rFonts w:ascii="Times New Roman" w:hAnsi="Times New Roman"/>
                <w:sz w:val="16"/>
                <w:szCs w:val="16"/>
                <w:lang w:val="en-US"/>
              </w:rPr>
              <w:t xml:space="preserve"> </w:t>
            </w:r>
            <w:proofErr w:type="spellStart"/>
            <w:r w:rsidRPr="0065653B">
              <w:rPr>
                <w:rFonts w:ascii="Times New Roman" w:hAnsi="Times New Roman"/>
                <w:sz w:val="16"/>
                <w:szCs w:val="16"/>
                <w:lang w:val="en-US"/>
              </w:rPr>
              <w:t>надання</w:t>
            </w:r>
            <w:proofErr w:type="spellEnd"/>
            <w:r w:rsidRPr="0065653B">
              <w:rPr>
                <w:rFonts w:ascii="Times New Roman" w:hAnsi="Times New Roman"/>
                <w:sz w:val="16"/>
                <w:szCs w:val="16"/>
                <w:lang w:val="en-US"/>
              </w:rPr>
              <w:t xml:space="preserve"> </w:t>
            </w:r>
            <w:proofErr w:type="spellStart"/>
            <w:r w:rsidRPr="0065653B">
              <w:rPr>
                <w:rFonts w:ascii="Times New Roman" w:hAnsi="Times New Roman"/>
                <w:sz w:val="16"/>
                <w:szCs w:val="16"/>
                <w:lang w:val="en-US"/>
              </w:rPr>
              <w:t>Депонентом</w:t>
            </w:r>
            <w:proofErr w:type="spellEnd"/>
            <w:r w:rsidRPr="0065653B">
              <w:rPr>
                <w:rFonts w:ascii="Times New Roman" w:hAnsi="Times New Roman"/>
                <w:sz w:val="16"/>
                <w:szCs w:val="16"/>
                <w:lang w:val="en-US"/>
              </w:rPr>
              <w:t xml:space="preserve"> </w:t>
            </w:r>
            <w:proofErr w:type="spellStart"/>
            <w:r w:rsidRPr="0065653B">
              <w:rPr>
                <w:rFonts w:ascii="Times New Roman" w:hAnsi="Times New Roman"/>
                <w:sz w:val="16"/>
                <w:szCs w:val="16"/>
                <w:lang w:val="en-US"/>
              </w:rPr>
              <w:t>недостовірної</w:t>
            </w:r>
            <w:proofErr w:type="spellEnd"/>
            <w:r w:rsidRPr="0065653B">
              <w:rPr>
                <w:rFonts w:ascii="Times New Roman" w:hAnsi="Times New Roman"/>
                <w:sz w:val="16"/>
                <w:szCs w:val="16"/>
                <w:lang w:val="en-US"/>
              </w:rPr>
              <w:t xml:space="preserve"> </w:t>
            </w:r>
            <w:proofErr w:type="spellStart"/>
            <w:r w:rsidRPr="0065653B">
              <w:rPr>
                <w:rFonts w:ascii="Times New Roman" w:hAnsi="Times New Roman"/>
                <w:sz w:val="16"/>
                <w:szCs w:val="16"/>
                <w:lang w:val="en-US"/>
              </w:rPr>
              <w:t>інформації</w:t>
            </w:r>
            <w:proofErr w:type="spellEnd"/>
            <w:r w:rsidRPr="0065653B">
              <w:rPr>
                <w:rFonts w:ascii="Times New Roman" w:hAnsi="Times New Roman"/>
                <w:sz w:val="16"/>
                <w:szCs w:val="16"/>
                <w:lang w:val="en-US"/>
              </w:rPr>
              <w:t xml:space="preserve"> </w:t>
            </w:r>
            <w:proofErr w:type="spellStart"/>
            <w:r w:rsidRPr="0065653B">
              <w:rPr>
                <w:rFonts w:ascii="Times New Roman" w:hAnsi="Times New Roman"/>
                <w:sz w:val="16"/>
                <w:szCs w:val="16"/>
                <w:lang w:val="en-US"/>
              </w:rPr>
              <w:t>для</w:t>
            </w:r>
            <w:proofErr w:type="spellEnd"/>
            <w:r w:rsidRPr="0065653B">
              <w:rPr>
                <w:rFonts w:ascii="Times New Roman" w:hAnsi="Times New Roman"/>
                <w:sz w:val="16"/>
                <w:szCs w:val="16"/>
                <w:lang w:val="en-US"/>
              </w:rPr>
              <w:t xml:space="preserve"> </w:t>
            </w:r>
            <w:proofErr w:type="spellStart"/>
            <w:r w:rsidRPr="0065653B">
              <w:rPr>
                <w:rFonts w:ascii="Times New Roman" w:hAnsi="Times New Roman"/>
                <w:sz w:val="16"/>
                <w:szCs w:val="16"/>
                <w:lang w:val="en-US"/>
              </w:rPr>
              <w:t>встановлення</w:t>
            </w:r>
            <w:proofErr w:type="spellEnd"/>
            <w:r w:rsidRPr="0065653B">
              <w:rPr>
                <w:rFonts w:ascii="Times New Roman" w:hAnsi="Times New Roman"/>
                <w:sz w:val="16"/>
                <w:szCs w:val="16"/>
                <w:lang w:val="en-US"/>
              </w:rPr>
              <w:t xml:space="preserve"> </w:t>
            </w:r>
            <w:proofErr w:type="spellStart"/>
            <w:r w:rsidRPr="0065653B">
              <w:rPr>
                <w:rFonts w:ascii="Times New Roman" w:hAnsi="Times New Roman"/>
                <w:sz w:val="16"/>
                <w:szCs w:val="16"/>
                <w:lang w:val="en-US"/>
              </w:rPr>
              <w:t>підзвітності</w:t>
            </w:r>
            <w:proofErr w:type="spellEnd"/>
            <w:r w:rsidRPr="0065653B">
              <w:rPr>
                <w:rFonts w:ascii="Times New Roman" w:hAnsi="Times New Roman"/>
                <w:sz w:val="16"/>
                <w:szCs w:val="16"/>
                <w:lang w:val="en-US"/>
              </w:rPr>
              <w:t xml:space="preserve"> </w:t>
            </w:r>
            <w:proofErr w:type="spellStart"/>
            <w:r w:rsidRPr="0065653B">
              <w:rPr>
                <w:rFonts w:ascii="Times New Roman" w:hAnsi="Times New Roman"/>
                <w:sz w:val="16"/>
                <w:szCs w:val="16"/>
                <w:lang w:val="en-US"/>
              </w:rPr>
              <w:t>його</w:t>
            </w:r>
            <w:proofErr w:type="spellEnd"/>
            <w:r w:rsidRPr="0065653B">
              <w:rPr>
                <w:rFonts w:ascii="Times New Roman" w:hAnsi="Times New Roman"/>
                <w:sz w:val="16"/>
                <w:szCs w:val="16"/>
                <w:lang w:val="en-US"/>
              </w:rPr>
              <w:t xml:space="preserve"> є </w:t>
            </w:r>
            <w:proofErr w:type="spellStart"/>
            <w:r w:rsidRPr="0065653B">
              <w:rPr>
                <w:rFonts w:ascii="Times New Roman" w:hAnsi="Times New Roman"/>
                <w:sz w:val="16"/>
                <w:szCs w:val="16"/>
                <w:lang w:val="en-US"/>
              </w:rPr>
              <w:t>підставою</w:t>
            </w:r>
            <w:proofErr w:type="spellEnd"/>
            <w:r w:rsidRPr="0065653B">
              <w:rPr>
                <w:rFonts w:ascii="Times New Roman" w:hAnsi="Times New Roman"/>
                <w:sz w:val="16"/>
                <w:szCs w:val="16"/>
                <w:lang w:val="en-US"/>
              </w:rPr>
              <w:t xml:space="preserve"> </w:t>
            </w:r>
            <w:proofErr w:type="spellStart"/>
            <w:r w:rsidRPr="0065653B">
              <w:rPr>
                <w:rFonts w:ascii="Times New Roman" w:hAnsi="Times New Roman"/>
                <w:sz w:val="16"/>
                <w:szCs w:val="16"/>
                <w:lang w:val="en-US"/>
              </w:rPr>
              <w:t>для</w:t>
            </w:r>
            <w:proofErr w:type="spellEnd"/>
            <w:r w:rsidRPr="0065653B">
              <w:rPr>
                <w:rFonts w:ascii="Times New Roman" w:hAnsi="Times New Roman"/>
                <w:sz w:val="16"/>
                <w:szCs w:val="16"/>
                <w:lang w:val="en-US"/>
              </w:rPr>
              <w:t xml:space="preserve"> </w:t>
            </w:r>
            <w:proofErr w:type="spellStart"/>
            <w:r w:rsidRPr="0065653B">
              <w:rPr>
                <w:rFonts w:ascii="Times New Roman" w:hAnsi="Times New Roman"/>
                <w:sz w:val="16"/>
                <w:szCs w:val="16"/>
                <w:lang w:val="en-US"/>
              </w:rPr>
              <w:t>відмови</w:t>
            </w:r>
            <w:proofErr w:type="spellEnd"/>
            <w:r w:rsidRPr="0065653B">
              <w:rPr>
                <w:rFonts w:ascii="Times New Roman" w:hAnsi="Times New Roman"/>
                <w:sz w:val="16"/>
                <w:szCs w:val="16"/>
                <w:lang w:val="en-US"/>
              </w:rPr>
              <w:t xml:space="preserve"> </w:t>
            </w:r>
            <w:proofErr w:type="spellStart"/>
            <w:r w:rsidRPr="0065653B">
              <w:rPr>
                <w:rFonts w:ascii="Times New Roman" w:hAnsi="Times New Roman"/>
                <w:sz w:val="16"/>
                <w:szCs w:val="16"/>
                <w:lang w:val="en-US"/>
              </w:rPr>
              <w:t>такому</w:t>
            </w:r>
            <w:proofErr w:type="spellEnd"/>
            <w:r w:rsidRPr="0065653B">
              <w:rPr>
                <w:rFonts w:ascii="Times New Roman" w:hAnsi="Times New Roman"/>
                <w:sz w:val="16"/>
                <w:szCs w:val="16"/>
                <w:lang w:val="en-US"/>
              </w:rPr>
              <w:t xml:space="preserve"> </w:t>
            </w:r>
            <w:proofErr w:type="spellStart"/>
            <w:r w:rsidRPr="0065653B">
              <w:rPr>
                <w:rFonts w:ascii="Times New Roman" w:hAnsi="Times New Roman"/>
                <w:sz w:val="16"/>
                <w:szCs w:val="16"/>
                <w:lang w:val="en-US"/>
              </w:rPr>
              <w:t>Депоненту</w:t>
            </w:r>
            <w:proofErr w:type="spellEnd"/>
            <w:r w:rsidRPr="0065653B">
              <w:rPr>
                <w:rFonts w:ascii="Times New Roman" w:hAnsi="Times New Roman"/>
                <w:sz w:val="16"/>
                <w:szCs w:val="16"/>
                <w:lang w:val="en-US"/>
              </w:rPr>
              <w:t xml:space="preserve"> у </w:t>
            </w:r>
            <w:proofErr w:type="spellStart"/>
            <w:r w:rsidRPr="0065653B">
              <w:rPr>
                <w:rFonts w:ascii="Times New Roman" w:hAnsi="Times New Roman"/>
                <w:sz w:val="16"/>
                <w:szCs w:val="16"/>
                <w:lang w:val="en-US"/>
              </w:rPr>
              <w:t>виконанні</w:t>
            </w:r>
            <w:proofErr w:type="spellEnd"/>
            <w:r w:rsidRPr="0065653B">
              <w:rPr>
                <w:rFonts w:ascii="Times New Roman" w:hAnsi="Times New Roman"/>
                <w:sz w:val="16"/>
                <w:szCs w:val="16"/>
                <w:lang w:val="en-US"/>
              </w:rPr>
              <w:t xml:space="preserve"> </w:t>
            </w:r>
            <w:proofErr w:type="spellStart"/>
            <w:r w:rsidRPr="0065653B">
              <w:rPr>
                <w:rFonts w:ascii="Times New Roman" w:hAnsi="Times New Roman"/>
                <w:sz w:val="16"/>
                <w:szCs w:val="16"/>
                <w:lang w:val="en-US"/>
              </w:rPr>
              <w:t>розпоряджень</w:t>
            </w:r>
            <w:proofErr w:type="spellEnd"/>
            <w:r w:rsidRPr="0065653B">
              <w:rPr>
                <w:rFonts w:ascii="Times New Roman" w:hAnsi="Times New Roman"/>
                <w:sz w:val="16"/>
                <w:szCs w:val="16"/>
                <w:lang w:val="en-US"/>
              </w:rPr>
              <w:t xml:space="preserve"> </w:t>
            </w:r>
            <w:proofErr w:type="spellStart"/>
            <w:r w:rsidRPr="0065653B">
              <w:rPr>
                <w:rFonts w:ascii="Times New Roman" w:hAnsi="Times New Roman"/>
                <w:sz w:val="16"/>
                <w:szCs w:val="16"/>
                <w:lang w:val="en-US"/>
              </w:rPr>
              <w:t>щодо</w:t>
            </w:r>
            <w:proofErr w:type="spellEnd"/>
            <w:r w:rsidRPr="0065653B">
              <w:rPr>
                <w:rFonts w:ascii="Times New Roman" w:hAnsi="Times New Roman"/>
                <w:sz w:val="16"/>
                <w:szCs w:val="16"/>
                <w:lang w:val="en-US"/>
              </w:rPr>
              <w:t xml:space="preserve"> </w:t>
            </w:r>
            <w:proofErr w:type="spellStart"/>
            <w:r w:rsidRPr="0065653B">
              <w:rPr>
                <w:rFonts w:ascii="Times New Roman" w:hAnsi="Times New Roman"/>
                <w:sz w:val="16"/>
                <w:szCs w:val="16"/>
                <w:lang w:val="en-US"/>
              </w:rPr>
              <w:t>проведення</w:t>
            </w:r>
            <w:proofErr w:type="spellEnd"/>
            <w:r w:rsidRPr="0065653B">
              <w:rPr>
                <w:rFonts w:ascii="Times New Roman" w:hAnsi="Times New Roman"/>
                <w:sz w:val="16"/>
                <w:szCs w:val="16"/>
                <w:lang w:val="en-US"/>
              </w:rPr>
              <w:t xml:space="preserve"> </w:t>
            </w:r>
            <w:proofErr w:type="spellStart"/>
            <w:r w:rsidRPr="0065653B">
              <w:rPr>
                <w:rFonts w:ascii="Times New Roman" w:hAnsi="Times New Roman"/>
                <w:sz w:val="16"/>
                <w:szCs w:val="16"/>
                <w:lang w:val="en-US"/>
              </w:rPr>
              <w:t>операцій</w:t>
            </w:r>
            <w:proofErr w:type="spellEnd"/>
            <w:r w:rsidRPr="0065653B">
              <w:rPr>
                <w:rFonts w:ascii="Times New Roman" w:hAnsi="Times New Roman"/>
                <w:sz w:val="16"/>
                <w:szCs w:val="16"/>
                <w:lang w:val="en-US"/>
              </w:rPr>
              <w:t xml:space="preserve"> </w:t>
            </w:r>
            <w:proofErr w:type="spellStart"/>
            <w:r w:rsidRPr="0065653B">
              <w:rPr>
                <w:rFonts w:ascii="Times New Roman" w:hAnsi="Times New Roman"/>
                <w:sz w:val="16"/>
                <w:szCs w:val="16"/>
                <w:lang w:val="en-US"/>
              </w:rPr>
              <w:t>за</w:t>
            </w:r>
            <w:proofErr w:type="spellEnd"/>
            <w:r w:rsidRPr="0065653B">
              <w:rPr>
                <w:rFonts w:ascii="Times New Roman" w:hAnsi="Times New Roman"/>
                <w:sz w:val="16"/>
                <w:szCs w:val="16"/>
                <w:lang w:val="en-US"/>
              </w:rPr>
              <w:t xml:space="preserve"> </w:t>
            </w:r>
            <w:proofErr w:type="spellStart"/>
            <w:r w:rsidRPr="0065653B">
              <w:rPr>
                <w:rFonts w:ascii="Times New Roman" w:hAnsi="Times New Roman"/>
                <w:sz w:val="16"/>
                <w:szCs w:val="16"/>
                <w:lang w:val="en-US"/>
              </w:rPr>
              <w:t>його</w:t>
            </w:r>
            <w:proofErr w:type="spellEnd"/>
            <w:r w:rsidRPr="0065653B">
              <w:rPr>
                <w:rFonts w:ascii="Times New Roman" w:hAnsi="Times New Roman"/>
                <w:sz w:val="16"/>
                <w:szCs w:val="16"/>
                <w:lang w:val="en-US"/>
              </w:rPr>
              <w:t xml:space="preserve"> </w:t>
            </w:r>
            <w:proofErr w:type="spellStart"/>
            <w:r w:rsidRPr="0065653B">
              <w:rPr>
                <w:rFonts w:ascii="Times New Roman" w:hAnsi="Times New Roman"/>
                <w:sz w:val="16"/>
                <w:szCs w:val="16"/>
                <w:lang w:val="en-US"/>
              </w:rPr>
              <w:t>рахунком</w:t>
            </w:r>
            <w:proofErr w:type="spellEnd"/>
            <w:r w:rsidRPr="0065653B">
              <w:rPr>
                <w:rFonts w:ascii="Times New Roman" w:hAnsi="Times New Roman"/>
                <w:sz w:val="16"/>
                <w:szCs w:val="16"/>
                <w:lang w:val="en-US"/>
              </w:rPr>
              <w:t xml:space="preserve"> у </w:t>
            </w:r>
            <w:proofErr w:type="spellStart"/>
            <w:r w:rsidRPr="0065653B">
              <w:rPr>
                <w:rFonts w:ascii="Times New Roman" w:hAnsi="Times New Roman"/>
                <w:sz w:val="16"/>
                <w:szCs w:val="16"/>
                <w:lang w:val="en-US"/>
              </w:rPr>
              <w:t>цінних</w:t>
            </w:r>
            <w:proofErr w:type="spellEnd"/>
            <w:r w:rsidRPr="0065653B">
              <w:rPr>
                <w:rFonts w:ascii="Times New Roman" w:hAnsi="Times New Roman"/>
                <w:sz w:val="16"/>
                <w:szCs w:val="16"/>
                <w:lang w:val="en-US"/>
              </w:rPr>
              <w:t xml:space="preserve"> </w:t>
            </w:r>
            <w:proofErr w:type="spellStart"/>
            <w:r w:rsidRPr="0065653B">
              <w:rPr>
                <w:rFonts w:ascii="Times New Roman" w:hAnsi="Times New Roman"/>
                <w:sz w:val="16"/>
                <w:szCs w:val="16"/>
                <w:lang w:val="en-US"/>
              </w:rPr>
              <w:t>паперах</w:t>
            </w:r>
            <w:proofErr w:type="spellEnd"/>
            <w:r w:rsidRPr="0065653B">
              <w:rPr>
                <w:rFonts w:ascii="Times New Roman" w:hAnsi="Times New Roman"/>
                <w:sz w:val="16"/>
                <w:szCs w:val="16"/>
                <w:lang w:val="en-US"/>
              </w:rPr>
              <w:t xml:space="preserve"> </w:t>
            </w:r>
            <w:proofErr w:type="spellStart"/>
            <w:r w:rsidRPr="0065653B">
              <w:rPr>
                <w:rFonts w:ascii="Times New Roman" w:hAnsi="Times New Roman"/>
                <w:sz w:val="16"/>
                <w:szCs w:val="16"/>
                <w:lang w:val="en-US"/>
              </w:rPr>
              <w:t>відповідно</w:t>
            </w:r>
            <w:proofErr w:type="spellEnd"/>
            <w:r w:rsidRPr="0065653B">
              <w:rPr>
                <w:rFonts w:ascii="Times New Roman" w:hAnsi="Times New Roman"/>
                <w:sz w:val="16"/>
                <w:szCs w:val="16"/>
                <w:lang w:val="en-US"/>
              </w:rPr>
              <w:t xml:space="preserve"> </w:t>
            </w:r>
            <w:proofErr w:type="spellStart"/>
            <w:r w:rsidRPr="0065653B">
              <w:rPr>
                <w:rFonts w:ascii="Times New Roman" w:hAnsi="Times New Roman"/>
                <w:sz w:val="16"/>
                <w:szCs w:val="16"/>
                <w:lang w:val="en-US"/>
              </w:rPr>
              <w:t>до</w:t>
            </w:r>
            <w:proofErr w:type="spellEnd"/>
            <w:r w:rsidRPr="0065653B">
              <w:rPr>
                <w:rFonts w:ascii="Times New Roman" w:hAnsi="Times New Roman"/>
                <w:sz w:val="16"/>
                <w:szCs w:val="16"/>
                <w:lang w:val="en-US"/>
              </w:rPr>
              <w:t xml:space="preserve"> </w:t>
            </w:r>
            <w:proofErr w:type="spellStart"/>
            <w:r w:rsidRPr="0065653B">
              <w:rPr>
                <w:rFonts w:ascii="Times New Roman" w:hAnsi="Times New Roman"/>
                <w:sz w:val="16"/>
                <w:szCs w:val="16"/>
                <w:lang w:val="en-US"/>
              </w:rPr>
              <w:t>законодавства</w:t>
            </w:r>
            <w:proofErr w:type="spellEnd"/>
            <w:r w:rsidRPr="0065653B">
              <w:rPr>
                <w:rFonts w:ascii="Times New Roman" w:hAnsi="Times New Roman"/>
                <w:sz w:val="16"/>
                <w:szCs w:val="16"/>
                <w:lang w:val="en-US"/>
              </w:rPr>
              <w:t xml:space="preserve"> </w:t>
            </w:r>
            <w:proofErr w:type="spellStart"/>
            <w:r w:rsidRPr="0065653B">
              <w:rPr>
                <w:rFonts w:ascii="Times New Roman" w:hAnsi="Times New Roman"/>
                <w:sz w:val="16"/>
                <w:szCs w:val="16"/>
                <w:lang w:val="en-US"/>
              </w:rPr>
              <w:t>та</w:t>
            </w:r>
            <w:proofErr w:type="spellEnd"/>
            <w:r w:rsidRPr="0065653B">
              <w:rPr>
                <w:rFonts w:ascii="Times New Roman" w:hAnsi="Times New Roman"/>
                <w:sz w:val="16"/>
                <w:szCs w:val="16"/>
                <w:lang w:val="en-US"/>
              </w:rPr>
              <w:t xml:space="preserve"> </w:t>
            </w:r>
            <w:proofErr w:type="spellStart"/>
            <w:r w:rsidRPr="0065653B">
              <w:rPr>
                <w:rFonts w:ascii="Times New Roman" w:hAnsi="Times New Roman"/>
                <w:sz w:val="16"/>
                <w:szCs w:val="16"/>
                <w:lang w:val="en-US"/>
              </w:rPr>
              <w:t>внутрішніх</w:t>
            </w:r>
            <w:proofErr w:type="spellEnd"/>
            <w:r w:rsidRPr="0065653B">
              <w:rPr>
                <w:rFonts w:ascii="Times New Roman" w:hAnsi="Times New Roman"/>
                <w:sz w:val="16"/>
                <w:szCs w:val="16"/>
                <w:lang w:val="en-US"/>
              </w:rPr>
              <w:t xml:space="preserve"> </w:t>
            </w:r>
            <w:proofErr w:type="spellStart"/>
            <w:r w:rsidRPr="0065653B">
              <w:rPr>
                <w:rFonts w:ascii="Times New Roman" w:hAnsi="Times New Roman"/>
                <w:sz w:val="16"/>
                <w:szCs w:val="16"/>
                <w:lang w:val="en-US"/>
              </w:rPr>
              <w:t>документів</w:t>
            </w:r>
            <w:proofErr w:type="spellEnd"/>
            <w:r w:rsidRPr="0065653B">
              <w:rPr>
                <w:rFonts w:ascii="Times New Roman" w:hAnsi="Times New Roman"/>
                <w:sz w:val="16"/>
                <w:szCs w:val="16"/>
                <w:lang w:val="en-US"/>
              </w:rPr>
              <w:t xml:space="preserve"> </w:t>
            </w:r>
            <w:proofErr w:type="spellStart"/>
            <w:r w:rsidRPr="0065653B">
              <w:rPr>
                <w:rFonts w:ascii="Times New Roman" w:hAnsi="Times New Roman"/>
                <w:sz w:val="16"/>
                <w:szCs w:val="16"/>
                <w:lang w:val="en-US"/>
              </w:rPr>
              <w:t>Депозитарної</w:t>
            </w:r>
            <w:proofErr w:type="spellEnd"/>
            <w:r w:rsidRPr="0065653B">
              <w:rPr>
                <w:rFonts w:ascii="Times New Roman" w:hAnsi="Times New Roman"/>
                <w:sz w:val="16"/>
                <w:szCs w:val="16"/>
                <w:lang w:val="en-US"/>
              </w:rPr>
              <w:t xml:space="preserve"> </w:t>
            </w:r>
            <w:proofErr w:type="spellStart"/>
            <w:r w:rsidRPr="0065653B">
              <w:rPr>
                <w:rFonts w:ascii="Times New Roman" w:hAnsi="Times New Roman"/>
                <w:sz w:val="16"/>
                <w:szCs w:val="16"/>
                <w:lang w:val="en-US"/>
              </w:rPr>
              <w:t>установи</w:t>
            </w:r>
            <w:proofErr w:type="spellEnd"/>
            <w:r w:rsidRPr="0065653B">
              <w:rPr>
                <w:rFonts w:ascii="Times New Roman" w:hAnsi="Times New Roman"/>
                <w:sz w:val="16"/>
                <w:szCs w:val="16"/>
                <w:lang w:val="en-US"/>
              </w:rPr>
              <w:t>.</w:t>
            </w:r>
          </w:p>
          <w:p w14:paraId="07367BBF" w14:textId="01511CCE" w:rsidR="0065653B" w:rsidRPr="0065653B" w:rsidRDefault="0065653B" w:rsidP="00843027">
            <w:pPr>
              <w:widowControl w:val="0"/>
              <w:tabs>
                <w:tab w:val="left" w:pos="540"/>
              </w:tabs>
              <w:snapToGrid w:val="0"/>
              <w:ind w:left="175" w:right="138" w:firstLine="7"/>
              <w:rPr>
                <w:rFonts w:ascii="Times New Roman" w:hAnsi="Times New Roman"/>
                <w:sz w:val="16"/>
                <w:szCs w:val="16"/>
                <w:lang w:val="en-US"/>
              </w:rPr>
            </w:pPr>
          </w:p>
        </w:tc>
        <w:tc>
          <w:tcPr>
            <w:tcW w:w="5494" w:type="dxa"/>
            <w:gridSpan w:val="6"/>
            <w:shd w:val="clear" w:color="auto" w:fill="auto"/>
          </w:tcPr>
          <w:p w14:paraId="503613D8" w14:textId="5B9C5AF6" w:rsidR="0065653B" w:rsidRPr="00E16672" w:rsidRDefault="0065653B" w:rsidP="00843027">
            <w:pPr>
              <w:pStyle w:val="210"/>
              <w:snapToGrid w:val="0"/>
              <w:ind w:left="175" w:right="138" w:firstLine="7"/>
              <w:rPr>
                <w:rFonts w:ascii="Times New Roman" w:hAnsi="Times New Roman"/>
                <w:sz w:val="16"/>
                <w:szCs w:val="16"/>
              </w:rPr>
            </w:pPr>
            <w:r w:rsidRPr="0065653B">
              <w:rPr>
                <w:rFonts w:ascii="Times New Roman" w:hAnsi="Times New Roman"/>
                <w:sz w:val="16"/>
                <w:szCs w:val="16"/>
              </w:rPr>
              <w:t xml:space="preserve">2.2.15. </w:t>
            </w:r>
            <w:proofErr w:type="spellStart"/>
            <w:r w:rsidRPr="0065653B">
              <w:rPr>
                <w:rFonts w:ascii="Times New Roman" w:hAnsi="Times New Roman"/>
                <w:sz w:val="16"/>
                <w:szCs w:val="16"/>
              </w:rPr>
              <w:t>Failure</w:t>
            </w:r>
            <w:proofErr w:type="spellEnd"/>
            <w:r w:rsidRPr="0065653B">
              <w:rPr>
                <w:rFonts w:ascii="Times New Roman" w:hAnsi="Times New Roman"/>
                <w:sz w:val="16"/>
                <w:szCs w:val="16"/>
              </w:rPr>
              <w:t xml:space="preserve"> </w:t>
            </w:r>
            <w:proofErr w:type="spellStart"/>
            <w:r w:rsidRPr="0065653B">
              <w:rPr>
                <w:rFonts w:ascii="Times New Roman" w:hAnsi="Times New Roman"/>
                <w:sz w:val="16"/>
                <w:szCs w:val="16"/>
              </w:rPr>
              <w:t>by</w:t>
            </w:r>
            <w:proofErr w:type="spellEnd"/>
            <w:r w:rsidRPr="0065653B">
              <w:rPr>
                <w:rFonts w:ascii="Times New Roman" w:hAnsi="Times New Roman"/>
                <w:sz w:val="16"/>
                <w:szCs w:val="16"/>
              </w:rPr>
              <w:t xml:space="preserve"> </w:t>
            </w:r>
            <w:proofErr w:type="spellStart"/>
            <w:r w:rsidRPr="0065653B">
              <w:rPr>
                <w:rFonts w:ascii="Times New Roman" w:hAnsi="Times New Roman"/>
                <w:sz w:val="16"/>
                <w:szCs w:val="16"/>
              </w:rPr>
              <w:t>the</w:t>
            </w:r>
            <w:proofErr w:type="spellEnd"/>
            <w:r w:rsidRPr="0065653B">
              <w:rPr>
                <w:rFonts w:ascii="Times New Roman" w:hAnsi="Times New Roman"/>
                <w:sz w:val="16"/>
                <w:szCs w:val="16"/>
              </w:rPr>
              <w:t xml:space="preserve"> </w:t>
            </w:r>
            <w:proofErr w:type="spellStart"/>
            <w:r w:rsidRPr="0065653B">
              <w:rPr>
                <w:rFonts w:ascii="Times New Roman" w:hAnsi="Times New Roman"/>
                <w:sz w:val="16"/>
                <w:szCs w:val="16"/>
              </w:rPr>
              <w:t>Depositor</w:t>
            </w:r>
            <w:proofErr w:type="spellEnd"/>
            <w:r w:rsidRPr="0065653B">
              <w:rPr>
                <w:rFonts w:ascii="Times New Roman" w:hAnsi="Times New Roman"/>
                <w:sz w:val="16"/>
                <w:szCs w:val="16"/>
              </w:rPr>
              <w:t xml:space="preserve"> </w:t>
            </w:r>
            <w:proofErr w:type="spellStart"/>
            <w:r w:rsidRPr="0065653B">
              <w:rPr>
                <w:rFonts w:ascii="Times New Roman" w:hAnsi="Times New Roman"/>
                <w:sz w:val="16"/>
                <w:szCs w:val="16"/>
              </w:rPr>
              <w:t>within</w:t>
            </w:r>
            <w:proofErr w:type="spellEnd"/>
            <w:r w:rsidRPr="0065653B">
              <w:rPr>
                <w:rFonts w:ascii="Times New Roman" w:hAnsi="Times New Roman"/>
                <w:sz w:val="16"/>
                <w:szCs w:val="16"/>
              </w:rPr>
              <w:t xml:space="preserve"> </w:t>
            </w:r>
            <w:proofErr w:type="spellStart"/>
            <w:r w:rsidRPr="0065653B">
              <w:rPr>
                <w:rFonts w:ascii="Times New Roman" w:hAnsi="Times New Roman"/>
                <w:sz w:val="16"/>
                <w:szCs w:val="16"/>
              </w:rPr>
              <w:t>fifteen</w:t>
            </w:r>
            <w:proofErr w:type="spellEnd"/>
            <w:r w:rsidRPr="0065653B">
              <w:rPr>
                <w:rFonts w:ascii="Times New Roman" w:hAnsi="Times New Roman"/>
                <w:sz w:val="16"/>
                <w:szCs w:val="16"/>
              </w:rPr>
              <w:t xml:space="preserve"> </w:t>
            </w:r>
            <w:proofErr w:type="spellStart"/>
            <w:r w:rsidRPr="0065653B">
              <w:rPr>
                <w:rFonts w:ascii="Times New Roman" w:hAnsi="Times New Roman"/>
                <w:sz w:val="16"/>
                <w:szCs w:val="16"/>
              </w:rPr>
              <w:t>calendar</w:t>
            </w:r>
            <w:proofErr w:type="spellEnd"/>
            <w:r w:rsidRPr="0065653B">
              <w:rPr>
                <w:rFonts w:ascii="Times New Roman" w:hAnsi="Times New Roman"/>
                <w:sz w:val="16"/>
                <w:szCs w:val="16"/>
              </w:rPr>
              <w:t xml:space="preserve"> </w:t>
            </w:r>
            <w:proofErr w:type="spellStart"/>
            <w:r w:rsidRPr="0065653B">
              <w:rPr>
                <w:rFonts w:ascii="Times New Roman" w:hAnsi="Times New Roman"/>
                <w:sz w:val="16"/>
                <w:szCs w:val="16"/>
              </w:rPr>
              <w:t>days</w:t>
            </w:r>
            <w:proofErr w:type="spellEnd"/>
            <w:r w:rsidRPr="0065653B">
              <w:rPr>
                <w:rFonts w:ascii="Times New Roman" w:hAnsi="Times New Roman"/>
                <w:sz w:val="16"/>
                <w:szCs w:val="16"/>
              </w:rPr>
              <w:t xml:space="preserve"> </w:t>
            </w:r>
            <w:proofErr w:type="spellStart"/>
            <w:r w:rsidRPr="0065653B">
              <w:rPr>
                <w:rFonts w:ascii="Times New Roman" w:hAnsi="Times New Roman"/>
                <w:sz w:val="16"/>
                <w:szCs w:val="16"/>
              </w:rPr>
              <w:t>from</w:t>
            </w:r>
            <w:proofErr w:type="spellEnd"/>
            <w:r w:rsidRPr="0065653B">
              <w:rPr>
                <w:rFonts w:ascii="Times New Roman" w:hAnsi="Times New Roman"/>
                <w:sz w:val="16"/>
                <w:szCs w:val="16"/>
              </w:rPr>
              <w:t xml:space="preserve"> </w:t>
            </w:r>
            <w:proofErr w:type="spellStart"/>
            <w:r w:rsidRPr="0065653B">
              <w:rPr>
                <w:rFonts w:ascii="Times New Roman" w:hAnsi="Times New Roman"/>
                <w:sz w:val="16"/>
                <w:szCs w:val="16"/>
              </w:rPr>
              <w:t>the</w:t>
            </w:r>
            <w:proofErr w:type="spellEnd"/>
            <w:r w:rsidRPr="0065653B">
              <w:rPr>
                <w:rFonts w:ascii="Times New Roman" w:hAnsi="Times New Roman"/>
                <w:sz w:val="16"/>
                <w:szCs w:val="16"/>
              </w:rPr>
              <w:t xml:space="preserve"> </w:t>
            </w:r>
            <w:proofErr w:type="spellStart"/>
            <w:r w:rsidRPr="0065653B">
              <w:rPr>
                <w:rFonts w:ascii="Times New Roman" w:hAnsi="Times New Roman"/>
                <w:sz w:val="16"/>
                <w:szCs w:val="16"/>
              </w:rPr>
              <w:t>date</w:t>
            </w:r>
            <w:proofErr w:type="spellEnd"/>
            <w:r w:rsidRPr="0065653B">
              <w:rPr>
                <w:rFonts w:ascii="Times New Roman" w:hAnsi="Times New Roman"/>
                <w:sz w:val="16"/>
                <w:szCs w:val="16"/>
              </w:rPr>
              <w:t xml:space="preserve"> </w:t>
            </w:r>
            <w:proofErr w:type="spellStart"/>
            <w:r w:rsidRPr="0065653B">
              <w:rPr>
                <w:rFonts w:ascii="Times New Roman" w:hAnsi="Times New Roman"/>
                <w:sz w:val="16"/>
                <w:szCs w:val="16"/>
              </w:rPr>
              <w:t>of</w:t>
            </w:r>
            <w:proofErr w:type="spellEnd"/>
            <w:r w:rsidRPr="0065653B">
              <w:rPr>
                <w:rFonts w:ascii="Times New Roman" w:hAnsi="Times New Roman"/>
                <w:sz w:val="16"/>
                <w:szCs w:val="16"/>
              </w:rPr>
              <w:t xml:space="preserve"> </w:t>
            </w:r>
            <w:proofErr w:type="spellStart"/>
            <w:r w:rsidRPr="0065653B">
              <w:rPr>
                <w:rFonts w:ascii="Times New Roman" w:hAnsi="Times New Roman"/>
                <w:sz w:val="16"/>
                <w:szCs w:val="16"/>
              </w:rPr>
              <w:t>receipt</w:t>
            </w:r>
            <w:proofErr w:type="spellEnd"/>
            <w:r w:rsidRPr="0065653B">
              <w:rPr>
                <w:rFonts w:ascii="Times New Roman" w:hAnsi="Times New Roman"/>
                <w:sz w:val="16"/>
                <w:szCs w:val="16"/>
              </w:rPr>
              <w:t xml:space="preserve"> </w:t>
            </w:r>
            <w:proofErr w:type="spellStart"/>
            <w:r w:rsidRPr="0065653B">
              <w:rPr>
                <w:rFonts w:ascii="Times New Roman" w:hAnsi="Times New Roman"/>
                <w:sz w:val="16"/>
                <w:szCs w:val="16"/>
              </w:rPr>
              <w:t>of</w:t>
            </w:r>
            <w:proofErr w:type="spellEnd"/>
            <w:r w:rsidRPr="0065653B">
              <w:rPr>
                <w:rFonts w:ascii="Times New Roman" w:hAnsi="Times New Roman"/>
                <w:sz w:val="16"/>
                <w:szCs w:val="16"/>
              </w:rPr>
              <w:t xml:space="preserve"> </w:t>
            </w:r>
            <w:proofErr w:type="spellStart"/>
            <w:r w:rsidRPr="0065653B">
              <w:rPr>
                <w:rFonts w:ascii="Times New Roman" w:hAnsi="Times New Roman"/>
                <w:sz w:val="16"/>
                <w:szCs w:val="16"/>
              </w:rPr>
              <w:t>the</w:t>
            </w:r>
            <w:proofErr w:type="spellEnd"/>
            <w:r w:rsidRPr="0065653B">
              <w:rPr>
                <w:rFonts w:ascii="Times New Roman" w:hAnsi="Times New Roman"/>
                <w:sz w:val="16"/>
                <w:szCs w:val="16"/>
              </w:rPr>
              <w:t xml:space="preserve"> </w:t>
            </w:r>
            <w:proofErr w:type="spellStart"/>
            <w:r w:rsidRPr="0065653B">
              <w:rPr>
                <w:rFonts w:ascii="Times New Roman" w:hAnsi="Times New Roman"/>
                <w:sz w:val="16"/>
                <w:szCs w:val="16"/>
              </w:rPr>
              <w:t>request</w:t>
            </w:r>
            <w:proofErr w:type="spellEnd"/>
            <w:r w:rsidRPr="0065653B">
              <w:rPr>
                <w:rFonts w:ascii="Times New Roman" w:hAnsi="Times New Roman"/>
                <w:sz w:val="16"/>
                <w:szCs w:val="16"/>
              </w:rPr>
              <w:t xml:space="preserve"> </w:t>
            </w:r>
            <w:proofErr w:type="spellStart"/>
            <w:r w:rsidRPr="0065653B">
              <w:rPr>
                <w:rFonts w:ascii="Times New Roman" w:hAnsi="Times New Roman"/>
                <w:sz w:val="16"/>
                <w:szCs w:val="16"/>
              </w:rPr>
              <w:t>of</w:t>
            </w:r>
            <w:proofErr w:type="spellEnd"/>
            <w:r w:rsidRPr="0065653B">
              <w:rPr>
                <w:rFonts w:ascii="Times New Roman" w:hAnsi="Times New Roman"/>
                <w:sz w:val="16"/>
                <w:szCs w:val="16"/>
              </w:rPr>
              <w:t xml:space="preserve"> </w:t>
            </w:r>
            <w:proofErr w:type="spellStart"/>
            <w:r w:rsidRPr="0065653B">
              <w:rPr>
                <w:rFonts w:ascii="Times New Roman" w:hAnsi="Times New Roman"/>
                <w:sz w:val="16"/>
                <w:szCs w:val="16"/>
              </w:rPr>
              <w:t>the</w:t>
            </w:r>
            <w:proofErr w:type="spellEnd"/>
            <w:r w:rsidRPr="0065653B">
              <w:rPr>
                <w:rFonts w:ascii="Times New Roman" w:hAnsi="Times New Roman"/>
                <w:sz w:val="16"/>
                <w:szCs w:val="16"/>
              </w:rPr>
              <w:t xml:space="preserve"> </w:t>
            </w:r>
            <w:proofErr w:type="spellStart"/>
            <w:r w:rsidRPr="0065653B">
              <w:rPr>
                <w:rFonts w:ascii="Times New Roman" w:hAnsi="Times New Roman"/>
                <w:sz w:val="16"/>
                <w:szCs w:val="16"/>
              </w:rPr>
              <w:t>Depository</w:t>
            </w:r>
            <w:proofErr w:type="spellEnd"/>
            <w:r w:rsidRPr="0065653B">
              <w:rPr>
                <w:rFonts w:ascii="Times New Roman" w:hAnsi="Times New Roman"/>
                <w:sz w:val="16"/>
                <w:szCs w:val="16"/>
              </w:rPr>
              <w:t xml:space="preserve"> </w:t>
            </w:r>
            <w:proofErr w:type="spellStart"/>
            <w:r w:rsidRPr="0065653B">
              <w:rPr>
                <w:rFonts w:ascii="Times New Roman" w:hAnsi="Times New Roman"/>
                <w:sz w:val="16"/>
                <w:szCs w:val="16"/>
              </w:rPr>
              <w:t>to</w:t>
            </w:r>
            <w:proofErr w:type="spellEnd"/>
            <w:r w:rsidRPr="0065653B">
              <w:rPr>
                <w:rFonts w:ascii="Times New Roman" w:hAnsi="Times New Roman"/>
                <w:sz w:val="16"/>
                <w:szCs w:val="16"/>
              </w:rPr>
              <w:t xml:space="preserve"> </w:t>
            </w:r>
            <w:proofErr w:type="spellStart"/>
            <w:r w:rsidRPr="0065653B">
              <w:rPr>
                <w:rFonts w:ascii="Times New Roman" w:hAnsi="Times New Roman"/>
                <w:sz w:val="16"/>
                <w:szCs w:val="16"/>
              </w:rPr>
              <w:t>request</w:t>
            </w:r>
            <w:proofErr w:type="spellEnd"/>
            <w:r w:rsidRPr="0065653B">
              <w:rPr>
                <w:rFonts w:ascii="Times New Roman" w:hAnsi="Times New Roman"/>
                <w:sz w:val="16"/>
                <w:szCs w:val="16"/>
              </w:rPr>
              <w:t xml:space="preserve"> </w:t>
            </w:r>
            <w:proofErr w:type="spellStart"/>
            <w:r w:rsidRPr="0065653B">
              <w:rPr>
                <w:rFonts w:ascii="Times New Roman" w:hAnsi="Times New Roman"/>
                <w:sz w:val="16"/>
                <w:szCs w:val="16"/>
              </w:rPr>
              <w:t>the</w:t>
            </w:r>
            <w:proofErr w:type="spellEnd"/>
            <w:r w:rsidRPr="0065653B">
              <w:rPr>
                <w:rFonts w:ascii="Times New Roman" w:hAnsi="Times New Roman"/>
                <w:sz w:val="16"/>
                <w:szCs w:val="16"/>
              </w:rPr>
              <w:t xml:space="preserve"> </w:t>
            </w:r>
            <w:proofErr w:type="spellStart"/>
            <w:r w:rsidRPr="0065653B">
              <w:rPr>
                <w:rFonts w:ascii="Times New Roman" w:hAnsi="Times New Roman"/>
                <w:sz w:val="16"/>
                <w:szCs w:val="16"/>
              </w:rPr>
              <w:t>information</w:t>
            </w:r>
            <w:proofErr w:type="spellEnd"/>
            <w:r w:rsidRPr="0065653B">
              <w:rPr>
                <w:rFonts w:ascii="Times New Roman" w:hAnsi="Times New Roman"/>
                <w:sz w:val="16"/>
                <w:szCs w:val="16"/>
              </w:rPr>
              <w:t xml:space="preserve"> </w:t>
            </w:r>
            <w:proofErr w:type="spellStart"/>
            <w:r w:rsidRPr="0065653B">
              <w:rPr>
                <w:rFonts w:ascii="Times New Roman" w:hAnsi="Times New Roman"/>
                <w:sz w:val="16"/>
                <w:szCs w:val="16"/>
              </w:rPr>
              <w:t>and</w:t>
            </w:r>
            <w:proofErr w:type="spellEnd"/>
            <w:r w:rsidRPr="0065653B">
              <w:rPr>
                <w:rFonts w:ascii="Times New Roman" w:hAnsi="Times New Roman"/>
                <w:sz w:val="16"/>
                <w:szCs w:val="16"/>
              </w:rPr>
              <w:t xml:space="preserve"> / </w:t>
            </w:r>
            <w:proofErr w:type="spellStart"/>
            <w:r w:rsidRPr="0065653B">
              <w:rPr>
                <w:rFonts w:ascii="Times New Roman" w:hAnsi="Times New Roman"/>
                <w:sz w:val="16"/>
                <w:szCs w:val="16"/>
              </w:rPr>
              <w:t>or</w:t>
            </w:r>
            <w:proofErr w:type="spellEnd"/>
            <w:r w:rsidRPr="0065653B">
              <w:rPr>
                <w:rFonts w:ascii="Times New Roman" w:hAnsi="Times New Roman"/>
                <w:sz w:val="16"/>
                <w:szCs w:val="16"/>
              </w:rPr>
              <w:t xml:space="preserve"> </w:t>
            </w:r>
            <w:proofErr w:type="spellStart"/>
            <w:r w:rsidRPr="0065653B">
              <w:rPr>
                <w:rFonts w:ascii="Times New Roman" w:hAnsi="Times New Roman"/>
                <w:sz w:val="16"/>
                <w:szCs w:val="16"/>
              </w:rPr>
              <w:t>documents</w:t>
            </w:r>
            <w:proofErr w:type="spellEnd"/>
            <w:r w:rsidRPr="0065653B">
              <w:rPr>
                <w:rFonts w:ascii="Times New Roman" w:hAnsi="Times New Roman"/>
                <w:sz w:val="16"/>
                <w:szCs w:val="16"/>
              </w:rPr>
              <w:t xml:space="preserve"> </w:t>
            </w:r>
            <w:proofErr w:type="spellStart"/>
            <w:r w:rsidRPr="0065653B">
              <w:rPr>
                <w:rFonts w:ascii="Times New Roman" w:hAnsi="Times New Roman"/>
                <w:sz w:val="16"/>
                <w:szCs w:val="16"/>
              </w:rPr>
              <w:t>or</w:t>
            </w:r>
            <w:proofErr w:type="spellEnd"/>
            <w:r w:rsidRPr="0065653B">
              <w:rPr>
                <w:rFonts w:ascii="Times New Roman" w:hAnsi="Times New Roman"/>
                <w:sz w:val="16"/>
                <w:szCs w:val="16"/>
              </w:rPr>
              <w:t xml:space="preserve"> </w:t>
            </w:r>
            <w:proofErr w:type="spellStart"/>
            <w:r w:rsidRPr="0065653B">
              <w:rPr>
                <w:rFonts w:ascii="Times New Roman" w:hAnsi="Times New Roman"/>
                <w:sz w:val="16"/>
                <w:szCs w:val="16"/>
              </w:rPr>
              <w:t>provide</w:t>
            </w:r>
            <w:proofErr w:type="spellEnd"/>
            <w:r w:rsidRPr="0065653B">
              <w:rPr>
                <w:rFonts w:ascii="Times New Roman" w:hAnsi="Times New Roman"/>
                <w:sz w:val="16"/>
                <w:szCs w:val="16"/>
              </w:rPr>
              <w:t xml:space="preserve"> </w:t>
            </w:r>
            <w:proofErr w:type="spellStart"/>
            <w:r w:rsidRPr="0065653B">
              <w:rPr>
                <w:rFonts w:ascii="Times New Roman" w:hAnsi="Times New Roman"/>
                <w:sz w:val="16"/>
                <w:szCs w:val="16"/>
              </w:rPr>
              <w:t>information</w:t>
            </w:r>
            <w:proofErr w:type="spellEnd"/>
            <w:r w:rsidRPr="0065653B">
              <w:rPr>
                <w:rFonts w:ascii="Times New Roman" w:hAnsi="Times New Roman"/>
                <w:sz w:val="16"/>
                <w:szCs w:val="16"/>
              </w:rPr>
              <w:t xml:space="preserve"> </w:t>
            </w:r>
            <w:proofErr w:type="spellStart"/>
            <w:r w:rsidRPr="0065653B">
              <w:rPr>
                <w:rFonts w:ascii="Times New Roman" w:hAnsi="Times New Roman"/>
                <w:sz w:val="16"/>
                <w:szCs w:val="16"/>
              </w:rPr>
              <w:t>and</w:t>
            </w:r>
            <w:proofErr w:type="spellEnd"/>
            <w:r w:rsidRPr="0065653B">
              <w:rPr>
                <w:rFonts w:ascii="Times New Roman" w:hAnsi="Times New Roman"/>
                <w:sz w:val="16"/>
                <w:szCs w:val="16"/>
              </w:rPr>
              <w:t xml:space="preserve"> / </w:t>
            </w:r>
            <w:proofErr w:type="spellStart"/>
            <w:r w:rsidRPr="0065653B">
              <w:rPr>
                <w:rFonts w:ascii="Times New Roman" w:hAnsi="Times New Roman"/>
                <w:sz w:val="16"/>
                <w:szCs w:val="16"/>
              </w:rPr>
              <w:t>or</w:t>
            </w:r>
            <w:proofErr w:type="spellEnd"/>
            <w:r w:rsidRPr="0065653B">
              <w:rPr>
                <w:rFonts w:ascii="Times New Roman" w:hAnsi="Times New Roman"/>
                <w:sz w:val="16"/>
                <w:szCs w:val="16"/>
              </w:rPr>
              <w:t xml:space="preserve"> </w:t>
            </w:r>
            <w:proofErr w:type="spellStart"/>
            <w:r w:rsidRPr="0065653B">
              <w:rPr>
                <w:rFonts w:ascii="Times New Roman" w:hAnsi="Times New Roman"/>
                <w:sz w:val="16"/>
                <w:szCs w:val="16"/>
              </w:rPr>
              <w:t>documents</w:t>
            </w:r>
            <w:proofErr w:type="spellEnd"/>
            <w:r w:rsidRPr="0065653B">
              <w:rPr>
                <w:rFonts w:ascii="Times New Roman" w:hAnsi="Times New Roman"/>
                <w:sz w:val="16"/>
                <w:szCs w:val="16"/>
              </w:rPr>
              <w:t xml:space="preserve"> </w:t>
            </w:r>
            <w:proofErr w:type="spellStart"/>
            <w:r w:rsidRPr="0065653B">
              <w:rPr>
                <w:rFonts w:ascii="Times New Roman" w:hAnsi="Times New Roman"/>
                <w:sz w:val="16"/>
                <w:szCs w:val="16"/>
              </w:rPr>
              <w:t>that</w:t>
            </w:r>
            <w:proofErr w:type="spellEnd"/>
            <w:r w:rsidRPr="0065653B">
              <w:rPr>
                <w:rFonts w:ascii="Times New Roman" w:hAnsi="Times New Roman"/>
                <w:sz w:val="16"/>
                <w:szCs w:val="16"/>
              </w:rPr>
              <w:t xml:space="preserve"> </w:t>
            </w:r>
            <w:proofErr w:type="spellStart"/>
            <w:r w:rsidRPr="0065653B">
              <w:rPr>
                <w:rFonts w:ascii="Times New Roman" w:hAnsi="Times New Roman"/>
                <w:sz w:val="16"/>
                <w:szCs w:val="16"/>
              </w:rPr>
              <w:t>do</w:t>
            </w:r>
            <w:proofErr w:type="spellEnd"/>
            <w:r w:rsidRPr="0065653B">
              <w:rPr>
                <w:rFonts w:ascii="Times New Roman" w:hAnsi="Times New Roman"/>
                <w:sz w:val="16"/>
                <w:szCs w:val="16"/>
              </w:rPr>
              <w:t xml:space="preserve"> </w:t>
            </w:r>
            <w:proofErr w:type="spellStart"/>
            <w:r w:rsidRPr="0065653B">
              <w:rPr>
                <w:rFonts w:ascii="Times New Roman" w:hAnsi="Times New Roman"/>
                <w:sz w:val="16"/>
                <w:szCs w:val="16"/>
              </w:rPr>
              <w:t>not</w:t>
            </w:r>
            <w:proofErr w:type="spellEnd"/>
            <w:r w:rsidRPr="0065653B">
              <w:rPr>
                <w:rFonts w:ascii="Times New Roman" w:hAnsi="Times New Roman"/>
                <w:sz w:val="16"/>
                <w:szCs w:val="16"/>
              </w:rPr>
              <w:t xml:space="preserve"> </w:t>
            </w:r>
            <w:proofErr w:type="spellStart"/>
            <w:r w:rsidRPr="0065653B">
              <w:rPr>
                <w:rFonts w:ascii="Times New Roman" w:hAnsi="Times New Roman"/>
                <w:sz w:val="16"/>
                <w:szCs w:val="16"/>
              </w:rPr>
              <w:t>refute</w:t>
            </w:r>
            <w:proofErr w:type="spellEnd"/>
            <w:r w:rsidRPr="0065653B">
              <w:rPr>
                <w:rFonts w:ascii="Times New Roman" w:hAnsi="Times New Roman"/>
                <w:sz w:val="16"/>
                <w:szCs w:val="16"/>
              </w:rPr>
              <w:t xml:space="preserve"> </w:t>
            </w:r>
            <w:proofErr w:type="spellStart"/>
            <w:r w:rsidRPr="0065653B">
              <w:rPr>
                <w:rFonts w:ascii="Times New Roman" w:hAnsi="Times New Roman"/>
                <w:sz w:val="16"/>
                <w:szCs w:val="16"/>
              </w:rPr>
              <w:t>the</w:t>
            </w:r>
            <w:proofErr w:type="spellEnd"/>
            <w:r w:rsidRPr="0065653B">
              <w:rPr>
                <w:rFonts w:ascii="Times New Roman" w:hAnsi="Times New Roman"/>
                <w:sz w:val="16"/>
                <w:szCs w:val="16"/>
              </w:rPr>
              <w:t xml:space="preserve"> </w:t>
            </w:r>
            <w:proofErr w:type="spellStart"/>
            <w:r w:rsidRPr="0065653B">
              <w:rPr>
                <w:rFonts w:ascii="Times New Roman" w:hAnsi="Times New Roman"/>
                <w:sz w:val="16"/>
                <w:szCs w:val="16"/>
              </w:rPr>
              <w:t>reasonable</w:t>
            </w:r>
            <w:proofErr w:type="spellEnd"/>
            <w:r w:rsidRPr="0065653B">
              <w:rPr>
                <w:rFonts w:ascii="Times New Roman" w:hAnsi="Times New Roman"/>
                <w:sz w:val="16"/>
                <w:szCs w:val="16"/>
              </w:rPr>
              <w:t xml:space="preserve"> </w:t>
            </w:r>
            <w:proofErr w:type="spellStart"/>
            <w:r w:rsidRPr="0065653B">
              <w:rPr>
                <w:rFonts w:ascii="Times New Roman" w:hAnsi="Times New Roman"/>
                <w:sz w:val="16"/>
                <w:szCs w:val="16"/>
              </w:rPr>
              <w:t>suspicion</w:t>
            </w:r>
            <w:proofErr w:type="spellEnd"/>
            <w:r w:rsidRPr="0065653B">
              <w:rPr>
                <w:rFonts w:ascii="Times New Roman" w:hAnsi="Times New Roman"/>
                <w:sz w:val="16"/>
                <w:szCs w:val="16"/>
              </w:rPr>
              <w:t xml:space="preserve"> </w:t>
            </w:r>
            <w:proofErr w:type="spellStart"/>
            <w:r w:rsidRPr="0065653B">
              <w:rPr>
                <w:rFonts w:ascii="Times New Roman" w:hAnsi="Times New Roman"/>
                <w:sz w:val="16"/>
                <w:szCs w:val="16"/>
              </w:rPr>
              <w:t>of</w:t>
            </w:r>
            <w:proofErr w:type="spellEnd"/>
            <w:r w:rsidRPr="0065653B">
              <w:rPr>
                <w:rFonts w:ascii="Times New Roman" w:hAnsi="Times New Roman"/>
                <w:sz w:val="16"/>
                <w:szCs w:val="16"/>
              </w:rPr>
              <w:t xml:space="preserve"> </w:t>
            </w:r>
            <w:proofErr w:type="spellStart"/>
            <w:r w:rsidRPr="0065653B">
              <w:rPr>
                <w:rFonts w:ascii="Times New Roman" w:hAnsi="Times New Roman"/>
                <w:sz w:val="16"/>
                <w:szCs w:val="16"/>
              </w:rPr>
              <w:t>the</w:t>
            </w:r>
            <w:proofErr w:type="spellEnd"/>
            <w:r w:rsidRPr="0065653B">
              <w:rPr>
                <w:rFonts w:ascii="Times New Roman" w:hAnsi="Times New Roman"/>
                <w:sz w:val="16"/>
                <w:szCs w:val="16"/>
              </w:rPr>
              <w:t xml:space="preserve"> </w:t>
            </w:r>
            <w:proofErr w:type="spellStart"/>
            <w:r w:rsidRPr="0065653B">
              <w:rPr>
                <w:rFonts w:ascii="Times New Roman" w:hAnsi="Times New Roman"/>
                <w:sz w:val="16"/>
                <w:szCs w:val="16"/>
              </w:rPr>
              <w:t>Depository</w:t>
            </w:r>
            <w:proofErr w:type="spellEnd"/>
            <w:r w:rsidRPr="0065653B">
              <w:rPr>
                <w:rFonts w:ascii="Times New Roman" w:hAnsi="Times New Roman"/>
                <w:sz w:val="16"/>
                <w:szCs w:val="16"/>
              </w:rPr>
              <w:t xml:space="preserve">, </w:t>
            </w:r>
            <w:proofErr w:type="spellStart"/>
            <w:r w:rsidRPr="0065653B">
              <w:rPr>
                <w:rFonts w:ascii="Times New Roman" w:hAnsi="Times New Roman"/>
                <w:sz w:val="16"/>
                <w:szCs w:val="16"/>
              </w:rPr>
              <w:t>or</w:t>
            </w:r>
            <w:proofErr w:type="spellEnd"/>
            <w:r w:rsidRPr="0065653B">
              <w:rPr>
                <w:rFonts w:ascii="Times New Roman" w:hAnsi="Times New Roman"/>
                <w:sz w:val="16"/>
                <w:szCs w:val="16"/>
              </w:rPr>
              <w:t xml:space="preserve"> </w:t>
            </w:r>
            <w:proofErr w:type="spellStart"/>
            <w:r w:rsidRPr="0065653B">
              <w:rPr>
                <w:rFonts w:ascii="Times New Roman" w:hAnsi="Times New Roman"/>
                <w:sz w:val="16"/>
                <w:szCs w:val="16"/>
              </w:rPr>
              <w:t>provide</w:t>
            </w:r>
            <w:proofErr w:type="spellEnd"/>
            <w:r w:rsidRPr="0065653B">
              <w:rPr>
                <w:rFonts w:ascii="Times New Roman" w:hAnsi="Times New Roman"/>
                <w:sz w:val="16"/>
                <w:szCs w:val="16"/>
              </w:rPr>
              <w:t xml:space="preserve"> </w:t>
            </w:r>
            <w:proofErr w:type="spellStart"/>
            <w:r w:rsidRPr="0065653B">
              <w:rPr>
                <w:rFonts w:ascii="Times New Roman" w:hAnsi="Times New Roman"/>
                <w:sz w:val="16"/>
                <w:szCs w:val="16"/>
              </w:rPr>
              <w:t>the</w:t>
            </w:r>
            <w:proofErr w:type="spellEnd"/>
            <w:r w:rsidRPr="0065653B">
              <w:rPr>
                <w:rFonts w:ascii="Times New Roman" w:hAnsi="Times New Roman"/>
                <w:sz w:val="16"/>
                <w:szCs w:val="16"/>
              </w:rPr>
              <w:t xml:space="preserve"> </w:t>
            </w:r>
            <w:proofErr w:type="spellStart"/>
            <w:r w:rsidRPr="0065653B">
              <w:rPr>
                <w:rFonts w:ascii="Times New Roman" w:hAnsi="Times New Roman"/>
                <w:sz w:val="16"/>
                <w:szCs w:val="16"/>
              </w:rPr>
              <w:t>Depositor</w:t>
            </w:r>
            <w:proofErr w:type="spellEnd"/>
            <w:r w:rsidRPr="0065653B">
              <w:rPr>
                <w:rFonts w:ascii="Times New Roman" w:hAnsi="Times New Roman"/>
                <w:sz w:val="16"/>
                <w:szCs w:val="16"/>
              </w:rPr>
              <w:t xml:space="preserve"> </w:t>
            </w:r>
            <w:proofErr w:type="spellStart"/>
            <w:r w:rsidRPr="0065653B">
              <w:rPr>
                <w:rFonts w:ascii="Times New Roman" w:hAnsi="Times New Roman"/>
                <w:sz w:val="16"/>
                <w:szCs w:val="16"/>
              </w:rPr>
              <w:t>with</w:t>
            </w:r>
            <w:proofErr w:type="spellEnd"/>
            <w:r w:rsidRPr="0065653B">
              <w:rPr>
                <w:rFonts w:ascii="Times New Roman" w:hAnsi="Times New Roman"/>
                <w:sz w:val="16"/>
                <w:szCs w:val="16"/>
              </w:rPr>
              <w:t xml:space="preserve"> </w:t>
            </w:r>
            <w:proofErr w:type="spellStart"/>
            <w:r w:rsidRPr="0065653B">
              <w:rPr>
                <w:rFonts w:ascii="Times New Roman" w:hAnsi="Times New Roman"/>
                <w:sz w:val="16"/>
                <w:szCs w:val="16"/>
              </w:rPr>
              <w:t>inaccurate</w:t>
            </w:r>
            <w:proofErr w:type="spellEnd"/>
            <w:r w:rsidRPr="0065653B">
              <w:rPr>
                <w:rFonts w:ascii="Times New Roman" w:hAnsi="Times New Roman"/>
                <w:sz w:val="16"/>
                <w:szCs w:val="16"/>
              </w:rPr>
              <w:t xml:space="preserve"> </w:t>
            </w:r>
            <w:proofErr w:type="spellStart"/>
            <w:r w:rsidRPr="0065653B">
              <w:rPr>
                <w:rFonts w:ascii="Times New Roman" w:hAnsi="Times New Roman"/>
                <w:sz w:val="16"/>
                <w:szCs w:val="16"/>
              </w:rPr>
              <w:t>information</w:t>
            </w:r>
            <w:proofErr w:type="spellEnd"/>
            <w:r w:rsidRPr="0065653B">
              <w:rPr>
                <w:rFonts w:ascii="Times New Roman" w:hAnsi="Times New Roman"/>
                <w:sz w:val="16"/>
                <w:szCs w:val="16"/>
              </w:rPr>
              <w:t xml:space="preserve"> </w:t>
            </w:r>
            <w:proofErr w:type="spellStart"/>
            <w:r w:rsidRPr="0065653B">
              <w:rPr>
                <w:rFonts w:ascii="Times New Roman" w:hAnsi="Times New Roman"/>
                <w:sz w:val="16"/>
                <w:szCs w:val="16"/>
              </w:rPr>
              <w:t>to</w:t>
            </w:r>
            <w:proofErr w:type="spellEnd"/>
            <w:r w:rsidRPr="0065653B">
              <w:rPr>
                <w:rFonts w:ascii="Times New Roman" w:hAnsi="Times New Roman"/>
                <w:sz w:val="16"/>
                <w:szCs w:val="16"/>
              </w:rPr>
              <w:t xml:space="preserve"> </w:t>
            </w:r>
            <w:proofErr w:type="spellStart"/>
            <w:r w:rsidRPr="0065653B">
              <w:rPr>
                <w:rFonts w:ascii="Times New Roman" w:hAnsi="Times New Roman"/>
                <w:sz w:val="16"/>
                <w:szCs w:val="16"/>
              </w:rPr>
              <w:t>establish</w:t>
            </w:r>
            <w:proofErr w:type="spellEnd"/>
            <w:r w:rsidRPr="0065653B">
              <w:rPr>
                <w:rFonts w:ascii="Times New Roman" w:hAnsi="Times New Roman"/>
                <w:sz w:val="16"/>
                <w:szCs w:val="16"/>
              </w:rPr>
              <w:t xml:space="preserve"> </w:t>
            </w:r>
            <w:proofErr w:type="spellStart"/>
            <w:r w:rsidRPr="0065653B">
              <w:rPr>
                <w:rFonts w:ascii="Times New Roman" w:hAnsi="Times New Roman"/>
                <w:sz w:val="16"/>
                <w:szCs w:val="16"/>
              </w:rPr>
              <w:t>accountability</w:t>
            </w:r>
            <w:proofErr w:type="spellEnd"/>
            <w:r w:rsidRPr="0065653B">
              <w:rPr>
                <w:rFonts w:ascii="Times New Roman" w:hAnsi="Times New Roman"/>
                <w:sz w:val="16"/>
                <w:szCs w:val="16"/>
              </w:rPr>
              <w:t xml:space="preserve"> </w:t>
            </w:r>
            <w:proofErr w:type="spellStart"/>
            <w:r w:rsidRPr="0065653B">
              <w:rPr>
                <w:rFonts w:ascii="Times New Roman" w:hAnsi="Times New Roman"/>
                <w:sz w:val="16"/>
                <w:szCs w:val="16"/>
              </w:rPr>
              <w:t>is</w:t>
            </w:r>
            <w:proofErr w:type="spellEnd"/>
            <w:r w:rsidRPr="0065653B">
              <w:rPr>
                <w:rFonts w:ascii="Times New Roman" w:hAnsi="Times New Roman"/>
                <w:sz w:val="16"/>
                <w:szCs w:val="16"/>
              </w:rPr>
              <w:t xml:space="preserve"> </w:t>
            </w:r>
            <w:proofErr w:type="spellStart"/>
            <w:r w:rsidRPr="0065653B">
              <w:rPr>
                <w:rFonts w:ascii="Times New Roman" w:hAnsi="Times New Roman"/>
                <w:sz w:val="16"/>
                <w:szCs w:val="16"/>
              </w:rPr>
              <w:t>grounds</w:t>
            </w:r>
            <w:proofErr w:type="spellEnd"/>
            <w:r w:rsidRPr="0065653B">
              <w:rPr>
                <w:rFonts w:ascii="Times New Roman" w:hAnsi="Times New Roman"/>
                <w:sz w:val="16"/>
                <w:szCs w:val="16"/>
              </w:rPr>
              <w:t xml:space="preserve"> </w:t>
            </w:r>
            <w:proofErr w:type="spellStart"/>
            <w:r w:rsidRPr="0065653B">
              <w:rPr>
                <w:rFonts w:ascii="Times New Roman" w:hAnsi="Times New Roman"/>
                <w:sz w:val="16"/>
                <w:szCs w:val="16"/>
              </w:rPr>
              <w:t>The</w:t>
            </w:r>
            <w:proofErr w:type="spellEnd"/>
            <w:r w:rsidRPr="0065653B">
              <w:rPr>
                <w:rFonts w:ascii="Times New Roman" w:hAnsi="Times New Roman"/>
                <w:sz w:val="16"/>
                <w:szCs w:val="16"/>
              </w:rPr>
              <w:t xml:space="preserve"> </w:t>
            </w:r>
            <w:proofErr w:type="spellStart"/>
            <w:r w:rsidRPr="0065653B">
              <w:rPr>
                <w:rFonts w:ascii="Times New Roman" w:hAnsi="Times New Roman"/>
                <w:sz w:val="16"/>
                <w:szCs w:val="16"/>
              </w:rPr>
              <w:t>Depositor</w:t>
            </w:r>
            <w:proofErr w:type="spellEnd"/>
            <w:r w:rsidRPr="0065653B">
              <w:rPr>
                <w:rFonts w:ascii="Times New Roman" w:hAnsi="Times New Roman"/>
                <w:sz w:val="16"/>
                <w:szCs w:val="16"/>
              </w:rPr>
              <w:t xml:space="preserve"> </w:t>
            </w:r>
            <w:proofErr w:type="spellStart"/>
            <w:r w:rsidRPr="0065653B">
              <w:rPr>
                <w:rFonts w:ascii="Times New Roman" w:hAnsi="Times New Roman"/>
                <w:sz w:val="16"/>
                <w:szCs w:val="16"/>
              </w:rPr>
              <w:t>in</w:t>
            </w:r>
            <w:proofErr w:type="spellEnd"/>
            <w:r w:rsidRPr="0065653B">
              <w:rPr>
                <w:rFonts w:ascii="Times New Roman" w:hAnsi="Times New Roman"/>
                <w:sz w:val="16"/>
                <w:szCs w:val="16"/>
              </w:rPr>
              <w:t xml:space="preserve"> </w:t>
            </w:r>
            <w:proofErr w:type="spellStart"/>
            <w:r w:rsidRPr="0065653B">
              <w:rPr>
                <w:rFonts w:ascii="Times New Roman" w:hAnsi="Times New Roman"/>
                <w:sz w:val="16"/>
                <w:szCs w:val="16"/>
              </w:rPr>
              <w:t>execution</w:t>
            </w:r>
            <w:proofErr w:type="spellEnd"/>
            <w:r w:rsidRPr="0065653B">
              <w:rPr>
                <w:rFonts w:ascii="Times New Roman" w:hAnsi="Times New Roman"/>
                <w:sz w:val="16"/>
                <w:szCs w:val="16"/>
              </w:rPr>
              <w:t xml:space="preserve"> </w:t>
            </w:r>
            <w:proofErr w:type="spellStart"/>
            <w:r w:rsidRPr="0065653B">
              <w:rPr>
                <w:rFonts w:ascii="Times New Roman" w:hAnsi="Times New Roman"/>
                <w:sz w:val="16"/>
                <w:szCs w:val="16"/>
              </w:rPr>
              <w:t>of</w:t>
            </w:r>
            <w:proofErr w:type="spellEnd"/>
            <w:r w:rsidRPr="0065653B">
              <w:rPr>
                <w:rFonts w:ascii="Times New Roman" w:hAnsi="Times New Roman"/>
                <w:sz w:val="16"/>
                <w:szCs w:val="16"/>
              </w:rPr>
              <w:t xml:space="preserve"> </w:t>
            </w:r>
            <w:proofErr w:type="spellStart"/>
            <w:r w:rsidRPr="0065653B">
              <w:rPr>
                <w:rFonts w:ascii="Times New Roman" w:hAnsi="Times New Roman"/>
                <w:sz w:val="16"/>
                <w:szCs w:val="16"/>
              </w:rPr>
              <w:t>orders</w:t>
            </w:r>
            <w:proofErr w:type="spellEnd"/>
            <w:r w:rsidRPr="0065653B">
              <w:rPr>
                <w:rFonts w:ascii="Times New Roman" w:hAnsi="Times New Roman"/>
                <w:sz w:val="16"/>
                <w:szCs w:val="16"/>
              </w:rPr>
              <w:t xml:space="preserve"> </w:t>
            </w:r>
            <w:proofErr w:type="spellStart"/>
            <w:r w:rsidRPr="0065653B">
              <w:rPr>
                <w:rFonts w:ascii="Times New Roman" w:hAnsi="Times New Roman"/>
                <w:sz w:val="16"/>
                <w:szCs w:val="16"/>
              </w:rPr>
              <w:t>to</w:t>
            </w:r>
            <w:proofErr w:type="spellEnd"/>
            <w:r w:rsidRPr="0065653B">
              <w:rPr>
                <w:rFonts w:ascii="Times New Roman" w:hAnsi="Times New Roman"/>
                <w:sz w:val="16"/>
                <w:szCs w:val="16"/>
              </w:rPr>
              <w:t xml:space="preserve"> </w:t>
            </w:r>
            <w:proofErr w:type="spellStart"/>
            <w:r w:rsidRPr="0065653B">
              <w:rPr>
                <w:rFonts w:ascii="Times New Roman" w:hAnsi="Times New Roman"/>
                <w:sz w:val="16"/>
                <w:szCs w:val="16"/>
              </w:rPr>
              <w:t>conduct</w:t>
            </w:r>
            <w:proofErr w:type="spellEnd"/>
            <w:r w:rsidRPr="0065653B">
              <w:rPr>
                <w:rFonts w:ascii="Times New Roman" w:hAnsi="Times New Roman"/>
                <w:sz w:val="16"/>
                <w:szCs w:val="16"/>
              </w:rPr>
              <w:t xml:space="preserve"> </w:t>
            </w:r>
            <w:proofErr w:type="spellStart"/>
            <w:r w:rsidRPr="0065653B">
              <w:rPr>
                <w:rFonts w:ascii="Times New Roman" w:hAnsi="Times New Roman"/>
                <w:sz w:val="16"/>
                <w:szCs w:val="16"/>
              </w:rPr>
              <w:t>operations</w:t>
            </w:r>
            <w:proofErr w:type="spellEnd"/>
            <w:r w:rsidRPr="0065653B">
              <w:rPr>
                <w:rFonts w:ascii="Times New Roman" w:hAnsi="Times New Roman"/>
                <w:sz w:val="16"/>
                <w:szCs w:val="16"/>
              </w:rPr>
              <w:t xml:space="preserve"> </w:t>
            </w:r>
            <w:proofErr w:type="spellStart"/>
            <w:r w:rsidRPr="0065653B">
              <w:rPr>
                <w:rFonts w:ascii="Times New Roman" w:hAnsi="Times New Roman"/>
                <w:sz w:val="16"/>
                <w:szCs w:val="16"/>
              </w:rPr>
              <w:t>on</w:t>
            </w:r>
            <w:proofErr w:type="spellEnd"/>
            <w:r w:rsidRPr="0065653B">
              <w:rPr>
                <w:rFonts w:ascii="Times New Roman" w:hAnsi="Times New Roman"/>
                <w:sz w:val="16"/>
                <w:szCs w:val="16"/>
              </w:rPr>
              <w:t xml:space="preserve"> </w:t>
            </w:r>
            <w:proofErr w:type="spellStart"/>
            <w:r w:rsidRPr="0065653B">
              <w:rPr>
                <w:rFonts w:ascii="Times New Roman" w:hAnsi="Times New Roman"/>
                <w:sz w:val="16"/>
                <w:szCs w:val="16"/>
              </w:rPr>
              <w:t>his</w:t>
            </w:r>
            <w:proofErr w:type="spellEnd"/>
            <w:r w:rsidRPr="0065653B">
              <w:rPr>
                <w:rFonts w:ascii="Times New Roman" w:hAnsi="Times New Roman"/>
                <w:sz w:val="16"/>
                <w:szCs w:val="16"/>
              </w:rPr>
              <w:t xml:space="preserve"> </w:t>
            </w:r>
            <w:proofErr w:type="spellStart"/>
            <w:r w:rsidRPr="0065653B">
              <w:rPr>
                <w:rFonts w:ascii="Times New Roman" w:hAnsi="Times New Roman"/>
                <w:sz w:val="16"/>
                <w:szCs w:val="16"/>
              </w:rPr>
              <w:t>securities</w:t>
            </w:r>
            <w:proofErr w:type="spellEnd"/>
            <w:r w:rsidRPr="0065653B">
              <w:rPr>
                <w:rFonts w:ascii="Times New Roman" w:hAnsi="Times New Roman"/>
                <w:sz w:val="16"/>
                <w:szCs w:val="16"/>
              </w:rPr>
              <w:t xml:space="preserve"> </w:t>
            </w:r>
            <w:proofErr w:type="spellStart"/>
            <w:r w:rsidRPr="0065653B">
              <w:rPr>
                <w:rFonts w:ascii="Times New Roman" w:hAnsi="Times New Roman"/>
                <w:sz w:val="16"/>
                <w:szCs w:val="16"/>
              </w:rPr>
              <w:t>account</w:t>
            </w:r>
            <w:proofErr w:type="spellEnd"/>
            <w:r w:rsidRPr="0065653B">
              <w:rPr>
                <w:rFonts w:ascii="Times New Roman" w:hAnsi="Times New Roman"/>
                <w:sz w:val="16"/>
                <w:szCs w:val="16"/>
              </w:rPr>
              <w:t xml:space="preserve"> </w:t>
            </w:r>
            <w:proofErr w:type="spellStart"/>
            <w:r w:rsidRPr="0065653B">
              <w:rPr>
                <w:rFonts w:ascii="Times New Roman" w:hAnsi="Times New Roman"/>
                <w:sz w:val="16"/>
                <w:szCs w:val="16"/>
              </w:rPr>
              <w:t>in</w:t>
            </w:r>
            <w:proofErr w:type="spellEnd"/>
            <w:r w:rsidRPr="0065653B">
              <w:rPr>
                <w:rFonts w:ascii="Times New Roman" w:hAnsi="Times New Roman"/>
                <w:sz w:val="16"/>
                <w:szCs w:val="16"/>
              </w:rPr>
              <w:t xml:space="preserve"> </w:t>
            </w:r>
            <w:proofErr w:type="spellStart"/>
            <w:r w:rsidRPr="0065653B">
              <w:rPr>
                <w:rFonts w:ascii="Times New Roman" w:hAnsi="Times New Roman"/>
                <w:sz w:val="16"/>
                <w:szCs w:val="16"/>
              </w:rPr>
              <w:t>accordance</w:t>
            </w:r>
            <w:proofErr w:type="spellEnd"/>
            <w:r w:rsidRPr="0065653B">
              <w:rPr>
                <w:rFonts w:ascii="Times New Roman" w:hAnsi="Times New Roman"/>
                <w:sz w:val="16"/>
                <w:szCs w:val="16"/>
              </w:rPr>
              <w:t xml:space="preserve"> </w:t>
            </w:r>
            <w:proofErr w:type="spellStart"/>
            <w:r w:rsidRPr="0065653B">
              <w:rPr>
                <w:rFonts w:ascii="Times New Roman" w:hAnsi="Times New Roman"/>
                <w:sz w:val="16"/>
                <w:szCs w:val="16"/>
              </w:rPr>
              <w:t>with</w:t>
            </w:r>
            <w:proofErr w:type="spellEnd"/>
            <w:r w:rsidRPr="0065653B">
              <w:rPr>
                <w:rFonts w:ascii="Times New Roman" w:hAnsi="Times New Roman"/>
                <w:sz w:val="16"/>
                <w:szCs w:val="16"/>
              </w:rPr>
              <w:t xml:space="preserve"> </w:t>
            </w:r>
            <w:proofErr w:type="spellStart"/>
            <w:r w:rsidRPr="0065653B">
              <w:rPr>
                <w:rFonts w:ascii="Times New Roman" w:hAnsi="Times New Roman"/>
                <w:sz w:val="16"/>
                <w:szCs w:val="16"/>
              </w:rPr>
              <w:t>the</w:t>
            </w:r>
            <w:proofErr w:type="spellEnd"/>
            <w:r w:rsidRPr="0065653B">
              <w:rPr>
                <w:rFonts w:ascii="Times New Roman" w:hAnsi="Times New Roman"/>
                <w:sz w:val="16"/>
                <w:szCs w:val="16"/>
              </w:rPr>
              <w:t xml:space="preserve"> </w:t>
            </w:r>
            <w:proofErr w:type="spellStart"/>
            <w:r w:rsidRPr="0065653B">
              <w:rPr>
                <w:rFonts w:ascii="Times New Roman" w:hAnsi="Times New Roman"/>
                <w:sz w:val="16"/>
                <w:szCs w:val="16"/>
              </w:rPr>
              <w:t>legislation</w:t>
            </w:r>
            <w:proofErr w:type="spellEnd"/>
            <w:r w:rsidRPr="0065653B">
              <w:rPr>
                <w:rFonts w:ascii="Times New Roman" w:hAnsi="Times New Roman"/>
                <w:sz w:val="16"/>
                <w:szCs w:val="16"/>
              </w:rPr>
              <w:t xml:space="preserve"> </w:t>
            </w:r>
            <w:proofErr w:type="spellStart"/>
            <w:r w:rsidRPr="0065653B">
              <w:rPr>
                <w:rFonts w:ascii="Times New Roman" w:hAnsi="Times New Roman"/>
                <w:sz w:val="16"/>
                <w:szCs w:val="16"/>
              </w:rPr>
              <w:t>and</w:t>
            </w:r>
            <w:proofErr w:type="spellEnd"/>
            <w:r w:rsidRPr="0065653B">
              <w:rPr>
                <w:rFonts w:ascii="Times New Roman" w:hAnsi="Times New Roman"/>
                <w:sz w:val="16"/>
                <w:szCs w:val="16"/>
              </w:rPr>
              <w:t xml:space="preserve"> </w:t>
            </w:r>
            <w:proofErr w:type="spellStart"/>
            <w:r w:rsidRPr="0065653B">
              <w:rPr>
                <w:rFonts w:ascii="Times New Roman" w:hAnsi="Times New Roman"/>
                <w:sz w:val="16"/>
                <w:szCs w:val="16"/>
              </w:rPr>
              <w:t>internal</w:t>
            </w:r>
            <w:proofErr w:type="spellEnd"/>
            <w:r w:rsidRPr="0065653B">
              <w:rPr>
                <w:rFonts w:ascii="Times New Roman" w:hAnsi="Times New Roman"/>
                <w:sz w:val="16"/>
                <w:szCs w:val="16"/>
              </w:rPr>
              <w:t xml:space="preserve"> </w:t>
            </w:r>
            <w:proofErr w:type="spellStart"/>
            <w:r w:rsidRPr="0065653B">
              <w:rPr>
                <w:rFonts w:ascii="Times New Roman" w:hAnsi="Times New Roman"/>
                <w:sz w:val="16"/>
                <w:szCs w:val="16"/>
              </w:rPr>
              <w:t>documents</w:t>
            </w:r>
            <w:proofErr w:type="spellEnd"/>
            <w:r w:rsidRPr="0065653B">
              <w:rPr>
                <w:rFonts w:ascii="Times New Roman" w:hAnsi="Times New Roman"/>
                <w:sz w:val="16"/>
                <w:szCs w:val="16"/>
              </w:rPr>
              <w:t xml:space="preserve"> </w:t>
            </w:r>
            <w:proofErr w:type="spellStart"/>
            <w:r w:rsidRPr="0065653B">
              <w:rPr>
                <w:rFonts w:ascii="Times New Roman" w:hAnsi="Times New Roman"/>
                <w:sz w:val="16"/>
                <w:szCs w:val="16"/>
              </w:rPr>
              <w:t>of</w:t>
            </w:r>
            <w:proofErr w:type="spellEnd"/>
            <w:r w:rsidRPr="0065653B">
              <w:rPr>
                <w:rFonts w:ascii="Times New Roman" w:hAnsi="Times New Roman"/>
                <w:sz w:val="16"/>
                <w:szCs w:val="16"/>
              </w:rPr>
              <w:t xml:space="preserve"> </w:t>
            </w:r>
            <w:proofErr w:type="spellStart"/>
            <w:r w:rsidRPr="0065653B">
              <w:rPr>
                <w:rFonts w:ascii="Times New Roman" w:hAnsi="Times New Roman"/>
                <w:sz w:val="16"/>
                <w:szCs w:val="16"/>
              </w:rPr>
              <w:t>the</w:t>
            </w:r>
            <w:proofErr w:type="spellEnd"/>
            <w:r w:rsidRPr="0065653B">
              <w:rPr>
                <w:rFonts w:ascii="Times New Roman" w:hAnsi="Times New Roman"/>
                <w:sz w:val="16"/>
                <w:szCs w:val="16"/>
              </w:rPr>
              <w:t xml:space="preserve"> </w:t>
            </w:r>
            <w:proofErr w:type="spellStart"/>
            <w:r w:rsidRPr="0065653B">
              <w:rPr>
                <w:rFonts w:ascii="Times New Roman" w:hAnsi="Times New Roman"/>
                <w:sz w:val="16"/>
                <w:szCs w:val="16"/>
              </w:rPr>
              <w:t>Depository</w:t>
            </w:r>
            <w:proofErr w:type="spellEnd"/>
            <w:r w:rsidRPr="0065653B">
              <w:rPr>
                <w:rFonts w:ascii="Times New Roman" w:hAnsi="Times New Roman"/>
                <w:sz w:val="16"/>
                <w:szCs w:val="16"/>
              </w:rPr>
              <w:t xml:space="preserve"> </w:t>
            </w:r>
            <w:proofErr w:type="spellStart"/>
            <w:r w:rsidRPr="0065653B">
              <w:rPr>
                <w:rFonts w:ascii="Times New Roman" w:hAnsi="Times New Roman"/>
                <w:sz w:val="16"/>
                <w:szCs w:val="16"/>
              </w:rPr>
              <w:t>Institution</w:t>
            </w:r>
            <w:proofErr w:type="spellEnd"/>
            <w:r w:rsidRPr="0065653B">
              <w:rPr>
                <w:rFonts w:ascii="Times New Roman" w:hAnsi="Times New Roman"/>
                <w:sz w:val="16"/>
                <w:szCs w:val="16"/>
              </w:rPr>
              <w:t>.</w:t>
            </w:r>
          </w:p>
        </w:tc>
      </w:tr>
      <w:tr w:rsidR="003A05A3" w:rsidRPr="00F23413" w14:paraId="0ACDEF56" w14:textId="77777777" w:rsidTr="00242F58">
        <w:trPr>
          <w:trHeight w:val="192"/>
        </w:trPr>
        <w:tc>
          <w:tcPr>
            <w:tcW w:w="5696" w:type="dxa"/>
            <w:gridSpan w:val="8"/>
            <w:shd w:val="clear" w:color="auto" w:fill="auto"/>
          </w:tcPr>
          <w:p w14:paraId="3D57A2CC" w14:textId="77777777" w:rsidR="003A05A3" w:rsidRPr="00E16672" w:rsidRDefault="003A05A3" w:rsidP="00F0600D">
            <w:pPr>
              <w:tabs>
                <w:tab w:val="left" w:pos="709"/>
              </w:tabs>
              <w:ind w:left="40" w:right="138" w:hanging="3"/>
              <w:rPr>
                <w:rFonts w:ascii="Times New Roman" w:hAnsi="Times New Roman"/>
                <w:b/>
                <w:sz w:val="16"/>
                <w:szCs w:val="16"/>
              </w:rPr>
            </w:pPr>
            <w:r w:rsidRPr="00E16672">
              <w:rPr>
                <w:rFonts w:ascii="Times New Roman" w:hAnsi="Times New Roman"/>
                <w:b/>
                <w:sz w:val="16"/>
                <w:szCs w:val="16"/>
              </w:rPr>
              <w:t xml:space="preserve">2.3. Депонент </w:t>
            </w:r>
            <w:proofErr w:type="spellStart"/>
            <w:r w:rsidRPr="00E16672">
              <w:rPr>
                <w:rFonts w:ascii="Times New Roman" w:hAnsi="Times New Roman"/>
                <w:b/>
                <w:sz w:val="16"/>
                <w:szCs w:val="16"/>
              </w:rPr>
              <w:t>зобов’язаний</w:t>
            </w:r>
            <w:proofErr w:type="spellEnd"/>
            <w:r w:rsidRPr="00E16672">
              <w:rPr>
                <w:rFonts w:ascii="Times New Roman" w:hAnsi="Times New Roman"/>
                <w:b/>
                <w:sz w:val="16"/>
                <w:szCs w:val="16"/>
              </w:rPr>
              <w:t>:</w:t>
            </w:r>
          </w:p>
          <w:p w14:paraId="660D2F8B" w14:textId="77777777" w:rsidR="003A05A3" w:rsidRPr="00E16672" w:rsidRDefault="003A05A3" w:rsidP="00843027">
            <w:pPr>
              <w:tabs>
                <w:tab w:val="left" w:pos="709"/>
              </w:tabs>
              <w:ind w:left="40" w:right="138" w:firstLine="426"/>
              <w:rPr>
                <w:rFonts w:ascii="Times New Roman" w:hAnsi="Times New Roman"/>
                <w:sz w:val="16"/>
                <w:szCs w:val="16"/>
              </w:rPr>
            </w:pPr>
          </w:p>
          <w:p w14:paraId="22E5D39F" w14:textId="346FAC4B" w:rsidR="003A05A3" w:rsidRPr="00E16672" w:rsidRDefault="003A05A3" w:rsidP="00843027">
            <w:pPr>
              <w:tabs>
                <w:tab w:val="left" w:pos="709"/>
              </w:tabs>
              <w:ind w:left="40" w:right="138" w:firstLine="0"/>
              <w:rPr>
                <w:rFonts w:ascii="Times New Roman" w:hAnsi="Times New Roman"/>
                <w:sz w:val="16"/>
                <w:szCs w:val="16"/>
                <w:lang w:val="uk-UA"/>
              </w:rPr>
            </w:pPr>
            <w:r w:rsidRPr="00E16672">
              <w:rPr>
                <w:rFonts w:ascii="Times New Roman" w:hAnsi="Times New Roman"/>
                <w:sz w:val="16"/>
                <w:szCs w:val="16"/>
              </w:rPr>
              <w:t xml:space="preserve">2.3.1. </w:t>
            </w:r>
            <w:proofErr w:type="spellStart"/>
            <w:r w:rsidRPr="00E16672">
              <w:rPr>
                <w:rFonts w:ascii="Times New Roman" w:hAnsi="Times New Roman"/>
                <w:sz w:val="16"/>
                <w:szCs w:val="16"/>
              </w:rPr>
              <w:t>Надати</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Депозитарній</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установі</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належним</w:t>
            </w:r>
            <w:proofErr w:type="spellEnd"/>
            <w:r w:rsidRPr="00E16672">
              <w:rPr>
                <w:rFonts w:ascii="Times New Roman" w:hAnsi="Times New Roman"/>
                <w:sz w:val="16"/>
                <w:szCs w:val="16"/>
              </w:rPr>
              <w:t xml:space="preserve"> чином </w:t>
            </w:r>
            <w:proofErr w:type="spellStart"/>
            <w:r w:rsidRPr="00E16672">
              <w:rPr>
                <w:rFonts w:ascii="Times New Roman" w:hAnsi="Times New Roman"/>
                <w:sz w:val="16"/>
                <w:szCs w:val="16"/>
              </w:rPr>
              <w:t>оформлені</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документи</w:t>
            </w:r>
            <w:proofErr w:type="spellEnd"/>
            <w:r w:rsidR="0068139C">
              <w:rPr>
                <w:rFonts w:ascii="Times New Roman" w:hAnsi="Times New Roman"/>
                <w:sz w:val="16"/>
                <w:szCs w:val="16"/>
                <w:lang w:val="uk-UA"/>
              </w:rPr>
              <w:t xml:space="preserve"> </w:t>
            </w:r>
            <w:r w:rsidR="0068139C" w:rsidRPr="0068139C">
              <w:rPr>
                <w:rFonts w:ascii="Times New Roman" w:hAnsi="Times New Roman"/>
                <w:sz w:val="16"/>
                <w:szCs w:val="16"/>
                <w:lang w:val="uk-UA"/>
              </w:rPr>
              <w:t>та інформацію</w:t>
            </w:r>
            <w:r w:rsidRPr="00E16672">
              <w:rPr>
                <w:rFonts w:ascii="Times New Roman" w:hAnsi="Times New Roman"/>
                <w:sz w:val="16"/>
                <w:szCs w:val="16"/>
              </w:rPr>
              <w:t xml:space="preserve">, </w:t>
            </w:r>
            <w:proofErr w:type="spellStart"/>
            <w:r w:rsidRPr="00E16672">
              <w:rPr>
                <w:rFonts w:ascii="Times New Roman" w:hAnsi="Times New Roman"/>
                <w:sz w:val="16"/>
                <w:szCs w:val="16"/>
              </w:rPr>
              <w:t>визначені</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законодавством</w:t>
            </w:r>
            <w:proofErr w:type="spellEnd"/>
            <w:r w:rsidRPr="00E16672">
              <w:rPr>
                <w:rFonts w:ascii="Times New Roman" w:hAnsi="Times New Roman"/>
                <w:sz w:val="16"/>
                <w:szCs w:val="16"/>
              </w:rPr>
              <w:t xml:space="preserve"> та </w:t>
            </w:r>
            <w:proofErr w:type="spellStart"/>
            <w:r w:rsidRPr="00E16672">
              <w:rPr>
                <w:rFonts w:ascii="Times New Roman" w:hAnsi="Times New Roman"/>
                <w:sz w:val="16"/>
                <w:szCs w:val="16"/>
              </w:rPr>
              <w:t>внутрішніми</w:t>
            </w:r>
            <w:proofErr w:type="spellEnd"/>
            <w:r w:rsidRPr="00E16672">
              <w:rPr>
                <w:rFonts w:ascii="Times New Roman" w:hAnsi="Times New Roman"/>
                <w:sz w:val="16"/>
                <w:szCs w:val="16"/>
              </w:rPr>
              <w:t xml:space="preserve"> документами </w:t>
            </w:r>
            <w:proofErr w:type="spellStart"/>
            <w:r w:rsidRPr="00E16672">
              <w:rPr>
                <w:rFonts w:ascii="Times New Roman" w:hAnsi="Times New Roman"/>
                <w:sz w:val="16"/>
                <w:szCs w:val="16"/>
              </w:rPr>
              <w:t>Депозитарної</w:t>
            </w:r>
            <w:proofErr w:type="spellEnd"/>
            <w:r w:rsidRPr="00E16672">
              <w:rPr>
                <w:rFonts w:ascii="Times New Roman" w:hAnsi="Times New Roman"/>
                <w:sz w:val="16"/>
                <w:szCs w:val="16"/>
              </w:rPr>
              <w:t xml:space="preserve"> установи, </w:t>
            </w:r>
            <w:proofErr w:type="spellStart"/>
            <w:r w:rsidRPr="00E16672">
              <w:rPr>
                <w:rFonts w:ascii="Times New Roman" w:hAnsi="Times New Roman"/>
                <w:sz w:val="16"/>
                <w:szCs w:val="16"/>
              </w:rPr>
              <w:t>необхідні</w:t>
            </w:r>
            <w:proofErr w:type="spellEnd"/>
            <w:r w:rsidRPr="00E16672">
              <w:rPr>
                <w:rFonts w:ascii="Times New Roman" w:hAnsi="Times New Roman"/>
                <w:sz w:val="16"/>
                <w:szCs w:val="16"/>
              </w:rPr>
              <w:t xml:space="preserve"> для </w:t>
            </w:r>
            <w:proofErr w:type="spellStart"/>
            <w:r w:rsidRPr="00E16672">
              <w:rPr>
                <w:rFonts w:ascii="Times New Roman" w:hAnsi="Times New Roman"/>
                <w:sz w:val="16"/>
                <w:szCs w:val="16"/>
              </w:rPr>
              <w:t>відкриття</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рахунку</w:t>
            </w:r>
            <w:proofErr w:type="spellEnd"/>
            <w:r w:rsidRPr="00E16672">
              <w:rPr>
                <w:rFonts w:ascii="Times New Roman" w:hAnsi="Times New Roman"/>
                <w:sz w:val="16"/>
                <w:szCs w:val="16"/>
              </w:rPr>
              <w:t xml:space="preserve"> в </w:t>
            </w:r>
            <w:proofErr w:type="spellStart"/>
            <w:r w:rsidRPr="00E16672">
              <w:rPr>
                <w:rFonts w:ascii="Times New Roman" w:hAnsi="Times New Roman"/>
                <w:sz w:val="16"/>
                <w:szCs w:val="16"/>
              </w:rPr>
              <w:t>цінних</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паперах</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протягом</w:t>
            </w:r>
            <w:proofErr w:type="spellEnd"/>
            <w:r w:rsidRPr="00E16672">
              <w:rPr>
                <w:rFonts w:ascii="Times New Roman" w:hAnsi="Times New Roman"/>
                <w:sz w:val="16"/>
                <w:szCs w:val="16"/>
              </w:rPr>
              <w:t xml:space="preserve"> </w:t>
            </w:r>
            <w:proofErr w:type="spellStart"/>
            <w:r w:rsidRPr="00E16672">
              <w:rPr>
                <w:rFonts w:ascii="Times New Roman" w:hAnsi="Times New Roman"/>
                <w:i/>
                <w:sz w:val="16"/>
                <w:szCs w:val="16"/>
              </w:rPr>
              <w:t>п'яти</w:t>
            </w:r>
            <w:proofErr w:type="spellEnd"/>
            <w:r w:rsidRPr="00E16672">
              <w:rPr>
                <w:rFonts w:ascii="Times New Roman" w:hAnsi="Times New Roman"/>
                <w:i/>
                <w:sz w:val="16"/>
                <w:szCs w:val="16"/>
              </w:rPr>
              <w:t xml:space="preserve"> </w:t>
            </w:r>
            <w:proofErr w:type="spellStart"/>
            <w:r w:rsidRPr="00E16672">
              <w:rPr>
                <w:rFonts w:ascii="Times New Roman" w:hAnsi="Times New Roman"/>
                <w:i/>
                <w:sz w:val="16"/>
                <w:szCs w:val="16"/>
              </w:rPr>
              <w:t>робочих</w:t>
            </w:r>
            <w:proofErr w:type="spellEnd"/>
            <w:r w:rsidRPr="00E16672">
              <w:rPr>
                <w:rFonts w:ascii="Times New Roman" w:hAnsi="Times New Roman"/>
                <w:i/>
                <w:sz w:val="16"/>
                <w:szCs w:val="16"/>
              </w:rPr>
              <w:t xml:space="preserve"> </w:t>
            </w:r>
            <w:proofErr w:type="spellStart"/>
            <w:r w:rsidRPr="00E16672">
              <w:rPr>
                <w:rFonts w:ascii="Times New Roman" w:hAnsi="Times New Roman"/>
                <w:i/>
                <w:sz w:val="16"/>
                <w:szCs w:val="16"/>
              </w:rPr>
              <w:t>днів</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після</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укладення</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цього</w:t>
            </w:r>
            <w:proofErr w:type="spellEnd"/>
            <w:r w:rsidRPr="00E16672">
              <w:rPr>
                <w:rFonts w:ascii="Times New Roman" w:hAnsi="Times New Roman"/>
                <w:sz w:val="16"/>
                <w:szCs w:val="16"/>
              </w:rPr>
              <w:t xml:space="preserve"> Договору.</w:t>
            </w:r>
            <w:r w:rsidRPr="00E16672">
              <w:rPr>
                <w:rFonts w:ascii="Times New Roman" w:hAnsi="Times New Roman"/>
                <w:szCs w:val="20"/>
                <w:lang w:val="uk-UA"/>
              </w:rPr>
              <w:t xml:space="preserve"> </w:t>
            </w:r>
            <w:r w:rsidRPr="00E16672">
              <w:rPr>
                <w:rFonts w:ascii="Times New Roman" w:hAnsi="Times New Roman"/>
                <w:sz w:val="16"/>
                <w:szCs w:val="20"/>
                <w:lang w:val="uk-UA"/>
              </w:rPr>
              <w:t>Надавати повні та достовірні відомості, документи, передбачені законодавством як обов’язкові для надання, або згідно внутрішніх документів Депозитарної установи необхідні для виконання Депозитарною установою вимог цього  Договору, в тому числі щодо ідентифікації особи.</w:t>
            </w:r>
          </w:p>
          <w:p w14:paraId="65F4325B" w14:textId="77777777" w:rsidR="003A05A3" w:rsidRPr="00E16672" w:rsidRDefault="003A05A3" w:rsidP="00843027">
            <w:pPr>
              <w:pStyle w:val="1b"/>
              <w:spacing w:before="0" w:after="0"/>
              <w:ind w:left="40" w:right="138" w:firstLine="426"/>
              <w:rPr>
                <w:rFonts w:ascii="Times New Roman" w:eastAsia="Times New Roman" w:hAnsi="Times New Roman" w:cs="Times New Roman"/>
                <w:sz w:val="16"/>
                <w:szCs w:val="16"/>
              </w:rPr>
            </w:pPr>
          </w:p>
        </w:tc>
        <w:tc>
          <w:tcPr>
            <w:tcW w:w="5494" w:type="dxa"/>
            <w:gridSpan w:val="6"/>
            <w:shd w:val="clear" w:color="auto" w:fill="auto"/>
          </w:tcPr>
          <w:p w14:paraId="643CC4B8" w14:textId="77777777" w:rsidR="003A05A3" w:rsidRPr="00E16672" w:rsidRDefault="003A05A3" w:rsidP="00F0600D">
            <w:pPr>
              <w:tabs>
                <w:tab w:val="left" w:pos="287"/>
              </w:tabs>
              <w:ind w:left="145" w:right="100" w:firstLine="3"/>
              <w:rPr>
                <w:rFonts w:ascii="Times New Roman" w:hAnsi="Times New Roman"/>
                <w:b/>
                <w:bCs/>
                <w:sz w:val="16"/>
                <w:szCs w:val="16"/>
                <w:lang w:val="en-GB"/>
              </w:rPr>
            </w:pPr>
            <w:r w:rsidRPr="00E16672">
              <w:rPr>
                <w:rFonts w:ascii="Times New Roman" w:hAnsi="Times New Roman"/>
                <w:b/>
                <w:sz w:val="16"/>
                <w:szCs w:val="16"/>
                <w:lang w:val="en-US"/>
              </w:rPr>
              <w:t>2</w:t>
            </w:r>
            <w:r w:rsidRPr="00E16672">
              <w:rPr>
                <w:rFonts w:ascii="Times New Roman" w:hAnsi="Times New Roman"/>
                <w:b/>
                <w:sz w:val="16"/>
                <w:szCs w:val="16"/>
                <w:lang w:val="en-GB"/>
              </w:rPr>
              <w:t>.</w:t>
            </w:r>
            <w:r w:rsidRPr="00E16672">
              <w:rPr>
                <w:rFonts w:ascii="Times New Roman" w:hAnsi="Times New Roman"/>
                <w:b/>
                <w:sz w:val="16"/>
                <w:szCs w:val="16"/>
                <w:lang w:val="en-US"/>
              </w:rPr>
              <w:t>3</w:t>
            </w:r>
            <w:r w:rsidRPr="00E16672">
              <w:rPr>
                <w:rFonts w:ascii="Times New Roman" w:hAnsi="Times New Roman"/>
                <w:b/>
                <w:bCs/>
                <w:sz w:val="16"/>
                <w:szCs w:val="16"/>
                <w:lang w:val="en-GB"/>
              </w:rPr>
              <w:t>. Depositor shall be obliged:</w:t>
            </w:r>
          </w:p>
          <w:p w14:paraId="0A53A3C2" w14:textId="77777777" w:rsidR="003A05A3" w:rsidRPr="00E16672" w:rsidRDefault="003A05A3" w:rsidP="00843027">
            <w:pPr>
              <w:tabs>
                <w:tab w:val="left" w:pos="287"/>
              </w:tabs>
              <w:ind w:left="145" w:right="100"/>
              <w:rPr>
                <w:rFonts w:ascii="Times New Roman" w:hAnsi="Times New Roman"/>
                <w:b/>
                <w:bCs/>
                <w:sz w:val="16"/>
                <w:szCs w:val="16"/>
                <w:lang w:val="en-GB"/>
              </w:rPr>
            </w:pPr>
          </w:p>
          <w:p w14:paraId="45BE05F2" w14:textId="257ED28E" w:rsidR="003A05A3" w:rsidRPr="00E16672" w:rsidRDefault="003A05A3" w:rsidP="00843027">
            <w:pPr>
              <w:tabs>
                <w:tab w:val="left" w:pos="287"/>
              </w:tabs>
              <w:ind w:left="145" w:right="100" w:firstLine="0"/>
              <w:rPr>
                <w:rFonts w:ascii="Times New Roman" w:hAnsi="Times New Roman"/>
                <w:sz w:val="16"/>
                <w:szCs w:val="16"/>
                <w:lang w:val="en-GB"/>
              </w:rPr>
            </w:pPr>
            <w:r w:rsidRPr="00E16672">
              <w:rPr>
                <w:rFonts w:ascii="Times New Roman" w:hAnsi="Times New Roman"/>
                <w:sz w:val="16"/>
                <w:szCs w:val="16"/>
                <w:lang w:val="en-US"/>
              </w:rPr>
              <w:t>2</w:t>
            </w:r>
            <w:r w:rsidRPr="00E16672">
              <w:rPr>
                <w:rFonts w:ascii="Times New Roman" w:hAnsi="Times New Roman"/>
                <w:sz w:val="16"/>
                <w:szCs w:val="16"/>
                <w:lang w:val="en-GB"/>
              </w:rPr>
              <w:t>.</w:t>
            </w:r>
            <w:r w:rsidRPr="00E16672">
              <w:rPr>
                <w:rFonts w:ascii="Times New Roman" w:hAnsi="Times New Roman"/>
                <w:sz w:val="16"/>
                <w:szCs w:val="16"/>
                <w:lang w:val="en-US"/>
              </w:rPr>
              <w:t>3</w:t>
            </w:r>
            <w:r w:rsidRPr="00E16672">
              <w:rPr>
                <w:rFonts w:ascii="Times New Roman" w:hAnsi="Times New Roman"/>
                <w:sz w:val="16"/>
                <w:szCs w:val="16"/>
                <w:lang w:val="en-GB"/>
              </w:rPr>
              <w:t>.1.  To provide a Depository institution duly executed documents</w:t>
            </w:r>
            <w:r w:rsidR="0068139C">
              <w:rPr>
                <w:rFonts w:ascii="Times New Roman" w:hAnsi="Times New Roman"/>
                <w:sz w:val="16"/>
                <w:szCs w:val="16"/>
                <w:lang w:val="uk-UA"/>
              </w:rPr>
              <w:t xml:space="preserve"> </w:t>
            </w:r>
            <w:proofErr w:type="spellStart"/>
            <w:r w:rsidR="0068139C" w:rsidRPr="0068139C">
              <w:rPr>
                <w:rFonts w:ascii="Times New Roman" w:hAnsi="Times New Roman"/>
                <w:sz w:val="16"/>
                <w:szCs w:val="16"/>
                <w:lang w:val="uk-UA"/>
              </w:rPr>
              <w:t>and</w:t>
            </w:r>
            <w:proofErr w:type="spellEnd"/>
            <w:r w:rsidR="0068139C" w:rsidRPr="0068139C">
              <w:rPr>
                <w:rFonts w:ascii="Times New Roman" w:hAnsi="Times New Roman"/>
                <w:sz w:val="16"/>
                <w:szCs w:val="16"/>
                <w:lang w:val="uk-UA"/>
              </w:rPr>
              <w:t xml:space="preserve"> </w:t>
            </w:r>
            <w:proofErr w:type="spellStart"/>
            <w:r w:rsidR="0068139C" w:rsidRPr="0068139C">
              <w:rPr>
                <w:rFonts w:ascii="Times New Roman" w:hAnsi="Times New Roman"/>
                <w:sz w:val="16"/>
                <w:szCs w:val="16"/>
                <w:lang w:val="uk-UA"/>
              </w:rPr>
              <w:t>information</w:t>
            </w:r>
            <w:proofErr w:type="spellEnd"/>
            <w:r w:rsidRPr="00E16672">
              <w:rPr>
                <w:rFonts w:ascii="Times New Roman" w:hAnsi="Times New Roman"/>
                <w:sz w:val="16"/>
                <w:szCs w:val="16"/>
                <w:lang w:val="en-GB"/>
              </w:rPr>
              <w:t xml:space="preserve"> specified by law and internal </w:t>
            </w:r>
            <w:proofErr w:type="gramStart"/>
            <w:r w:rsidRPr="00E16672">
              <w:rPr>
                <w:rFonts w:ascii="Times New Roman" w:hAnsi="Times New Roman"/>
                <w:sz w:val="16"/>
                <w:szCs w:val="16"/>
                <w:lang w:val="en-GB"/>
              </w:rPr>
              <w:t>documents  of</w:t>
            </w:r>
            <w:proofErr w:type="gramEnd"/>
            <w:r w:rsidRPr="00E16672">
              <w:rPr>
                <w:rFonts w:ascii="Times New Roman" w:hAnsi="Times New Roman"/>
                <w:sz w:val="16"/>
                <w:szCs w:val="16"/>
                <w:lang w:val="en-GB"/>
              </w:rPr>
              <w:t xml:space="preserve"> Depository institution required for opening an account in securities </w:t>
            </w:r>
            <w:r w:rsidRPr="00E16672">
              <w:rPr>
                <w:rFonts w:ascii="Times New Roman" w:hAnsi="Times New Roman"/>
                <w:i/>
                <w:sz w:val="16"/>
                <w:szCs w:val="16"/>
                <w:lang w:val="en-GB"/>
              </w:rPr>
              <w:t>within five working days</w:t>
            </w:r>
            <w:r w:rsidRPr="00E16672">
              <w:rPr>
                <w:rFonts w:ascii="Times New Roman" w:hAnsi="Times New Roman"/>
                <w:sz w:val="16"/>
                <w:szCs w:val="16"/>
                <w:lang w:val="en-GB"/>
              </w:rPr>
              <w:t xml:space="preserve"> after the conclusion of the Agreement.</w:t>
            </w:r>
            <w:r w:rsidRPr="00F23413">
              <w:rPr>
                <w:rFonts w:ascii="Times New Roman" w:hAnsi="Times New Roman"/>
                <w:sz w:val="16"/>
                <w:szCs w:val="16"/>
                <w:lang w:val="en-US"/>
              </w:rPr>
              <w:t xml:space="preserve"> Provide complete and reliable information, documents stipulated by law as obligatory to provide, or in accordance with the internal documents of the Depository, necessary for the execution of the requirements of this Agreement by the Depository, including the identification of the person.</w:t>
            </w:r>
          </w:p>
          <w:p w14:paraId="25F6DECC" w14:textId="77777777" w:rsidR="003A05A3" w:rsidRPr="00E16672" w:rsidRDefault="003A05A3" w:rsidP="00843027">
            <w:pPr>
              <w:tabs>
                <w:tab w:val="left" w:pos="287"/>
              </w:tabs>
              <w:ind w:left="145" w:right="100"/>
              <w:rPr>
                <w:rFonts w:ascii="Times New Roman" w:hAnsi="Times New Roman"/>
                <w:b/>
                <w:bCs/>
                <w:sz w:val="16"/>
                <w:szCs w:val="16"/>
                <w:lang w:val="en-GB"/>
              </w:rPr>
            </w:pPr>
          </w:p>
        </w:tc>
      </w:tr>
      <w:tr w:rsidR="003A05A3" w:rsidRPr="00F23413" w14:paraId="65650E9B" w14:textId="77777777" w:rsidTr="00242F58">
        <w:trPr>
          <w:trHeight w:val="192"/>
        </w:trPr>
        <w:tc>
          <w:tcPr>
            <w:tcW w:w="5696" w:type="dxa"/>
            <w:gridSpan w:val="8"/>
            <w:shd w:val="clear" w:color="auto" w:fill="auto"/>
          </w:tcPr>
          <w:p w14:paraId="196364B3" w14:textId="77777777" w:rsidR="003A05A3" w:rsidRPr="00E16672" w:rsidRDefault="003A05A3" w:rsidP="00843027">
            <w:pPr>
              <w:tabs>
                <w:tab w:val="left" w:pos="709"/>
              </w:tabs>
              <w:snapToGrid w:val="0"/>
              <w:ind w:left="40" w:right="138" w:firstLine="0"/>
              <w:rPr>
                <w:rFonts w:ascii="Times New Roman" w:hAnsi="Times New Roman"/>
                <w:sz w:val="16"/>
                <w:szCs w:val="16"/>
              </w:rPr>
            </w:pPr>
            <w:r w:rsidRPr="00E16672">
              <w:rPr>
                <w:rFonts w:ascii="Times New Roman" w:hAnsi="Times New Roman"/>
                <w:sz w:val="16"/>
                <w:szCs w:val="16"/>
              </w:rPr>
              <w:t xml:space="preserve">2.3.2. </w:t>
            </w:r>
            <w:proofErr w:type="spellStart"/>
            <w:r w:rsidRPr="00E16672">
              <w:rPr>
                <w:rFonts w:ascii="Times New Roman" w:hAnsi="Times New Roman"/>
                <w:sz w:val="16"/>
                <w:szCs w:val="16"/>
              </w:rPr>
              <w:t>Призначити</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розпорядника</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рахунку</w:t>
            </w:r>
            <w:proofErr w:type="spellEnd"/>
            <w:r w:rsidRPr="00E16672">
              <w:rPr>
                <w:rFonts w:ascii="Times New Roman" w:hAnsi="Times New Roman"/>
                <w:sz w:val="16"/>
                <w:szCs w:val="16"/>
              </w:rPr>
              <w:t xml:space="preserve"> </w:t>
            </w:r>
            <w:r w:rsidR="00C22309" w:rsidRPr="00E16672">
              <w:rPr>
                <w:rFonts w:ascii="Times New Roman" w:hAnsi="Times New Roman"/>
                <w:sz w:val="16"/>
                <w:szCs w:val="16"/>
              </w:rPr>
              <w:t xml:space="preserve">в </w:t>
            </w:r>
            <w:proofErr w:type="spellStart"/>
            <w:r w:rsidR="00C22309" w:rsidRPr="00E16672">
              <w:rPr>
                <w:rFonts w:ascii="Times New Roman" w:hAnsi="Times New Roman"/>
                <w:sz w:val="16"/>
                <w:szCs w:val="16"/>
              </w:rPr>
              <w:t>цін</w:t>
            </w:r>
            <w:r w:rsidRPr="00E16672">
              <w:rPr>
                <w:rFonts w:ascii="Times New Roman" w:hAnsi="Times New Roman"/>
                <w:sz w:val="16"/>
                <w:szCs w:val="16"/>
              </w:rPr>
              <w:t>них</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паперах</w:t>
            </w:r>
            <w:proofErr w:type="spellEnd"/>
            <w:r w:rsidRPr="00E16672">
              <w:rPr>
                <w:rFonts w:ascii="Times New Roman" w:hAnsi="Times New Roman"/>
                <w:sz w:val="16"/>
                <w:szCs w:val="16"/>
              </w:rPr>
              <w:t>.</w:t>
            </w:r>
          </w:p>
          <w:p w14:paraId="151AF22F" w14:textId="77777777" w:rsidR="003A05A3" w:rsidRPr="00E16672" w:rsidRDefault="003A05A3" w:rsidP="00843027">
            <w:pPr>
              <w:pStyle w:val="WW-"/>
              <w:spacing w:after="120"/>
              <w:ind w:left="40" w:right="138"/>
              <w:rPr>
                <w:sz w:val="16"/>
                <w:szCs w:val="16"/>
              </w:rPr>
            </w:pPr>
          </w:p>
        </w:tc>
        <w:tc>
          <w:tcPr>
            <w:tcW w:w="5494" w:type="dxa"/>
            <w:gridSpan w:val="6"/>
            <w:shd w:val="clear" w:color="auto" w:fill="auto"/>
          </w:tcPr>
          <w:p w14:paraId="45C9AFAB" w14:textId="77777777" w:rsidR="003A05A3" w:rsidRPr="00E16672" w:rsidRDefault="003A05A3" w:rsidP="00843027">
            <w:pPr>
              <w:tabs>
                <w:tab w:val="left" w:pos="287"/>
              </w:tabs>
              <w:snapToGrid w:val="0"/>
              <w:ind w:left="145" w:right="100" w:firstLine="0"/>
              <w:rPr>
                <w:rFonts w:ascii="Times New Roman" w:hAnsi="Times New Roman"/>
                <w:sz w:val="16"/>
                <w:szCs w:val="16"/>
                <w:lang w:val="en-GB"/>
              </w:rPr>
            </w:pPr>
            <w:r w:rsidRPr="00E16672">
              <w:rPr>
                <w:rFonts w:ascii="Times New Roman" w:hAnsi="Times New Roman"/>
                <w:sz w:val="16"/>
                <w:szCs w:val="16"/>
                <w:lang w:val="en-US"/>
              </w:rPr>
              <w:t>2</w:t>
            </w:r>
            <w:r w:rsidRPr="00E16672">
              <w:rPr>
                <w:rFonts w:ascii="Times New Roman" w:hAnsi="Times New Roman"/>
                <w:sz w:val="16"/>
                <w:szCs w:val="16"/>
                <w:lang w:val="en-GB"/>
              </w:rPr>
              <w:t>.</w:t>
            </w:r>
            <w:r w:rsidRPr="00E16672">
              <w:rPr>
                <w:rFonts w:ascii="Times New Roman" w:hAnsi="Times New Roman"/>
                <w:sz w:val="16"/>
                <w:szCs w:val="16"/>
                <w:lang w:val="en-US"/>
              </w:rPr>
              <w:t>3</w:t>
            </w:r>
            <w:r w:rsidRPr="00E16672">
              <w:rPr>
                <w:rFonts w:ascii="Times New Roman" w:hAnsi="Times New Roman"/>
                <w:sz w:val="16"/>
                <w:szCs w:val="16"/>
                <w:lang w:val="en-GB"/>
              </w:rPr>
              <w:t xml:space="preserve">.2.  </w:t>
            </w:r>
            <w:proofErr w:type="gramStart"/>
            <w:r w:rsidRPr="00E16672">
              <w:rPr>
                <w:rFonts w:ascii="Times New Roman" w:hAnsi="Times New Roman"/>
                <w:sz w:val="16"/>
                <w:szCs w:val="16"/>
                <w:lang w:val="en-GB"/>
              </w:rPr>
              <w:t>Approve  a</w:t>
            </w:r>
            <w:proofErr w:type="gramEnd"/>
            <w:r w:rsidRPr="00E16672">
              <w:rPr>
                <w:rFonts w:ascii="Times New Roman" w:hAnsi="Times New Roman"/>
                <w:sz w:val="16"/>
                <w:szCs w:val="16"/>
                <w:lang w:val="en-GB"/>
              </w:rPr>
              <w:t xml:space="preserve">  manager of the account in securities.</w:t>
            </w:r>
          </w:p>
        </w:tc>
      </w:tr>
      <w:tr w:rsidR="003A05A3" w:rsidRPr="00F23413" w14:paraId="4BA03F86" w14:textId="77777777" w:rsidTr="00242F58">
        <w:trPr>
          <w:trHeight w:val="192"/>
        </w:trPr>
        <w:tc>
          <w:tcPr>
            <w:tcW w:w="5696" w:type="dxa"/>
            <w:gridSpan w:val="8"/>
            <w:shd w:val="clear" w:color="auto" w:fill="auto"/>
          </w:tcPr>
          <w:p w14:paraId="70EE4831" w14:textId="77777777" w:rsidR="003A05A3" w:rsidRPr="00E16672" w:rsidRDefault="003A05A3" w:rsidP="00843027">
            <w:pPr>
              <w:pStyle w:val="WW-"/>
              <w:snapToGrid w:val="0"/>
              <w:spacing w:after="120"/>
              <w:ind w:left="40" w:right="138"/>
              <w:jc w:val="both"/>
              <w:rPr>
                <w:i w:val="0"/>
                <w:sz w:val="16"/>
                <w:szCs w:val="16"/>
              </w:rPr>
            </w:pPr>
            <w:r w:rsidRPr="00E16672">
              <w:rPr>
                <w:i w:val="0"/>
                <w:sz w:val="16"/>
                <w:szCs w:val="16"/>
              </w:rPr>
              <w:t xml:space="preserve">2.3.3. </w:t>
            </w:r>
            <w:proofErr w:type="spellStart"/>
            <w:r w:rsidRPr="00E16672">
              <w:rPr>
                <w:i w:val="0"/>
                <w:sz w:val="16"/>
                <w:szCs w:val="16"/>
              </w:rPr>
              <w:t>Дотримуватись</w:t>
            </w:r>
            <w:proofErr w:type="spellEnd"/>
            <w:r w:rsidRPr="00E16672">
              <w:rPr>
                <w:i w:val="0"/>
                <w:sz w:val="16"/>
                <w:szCs w:val="16"/>
              </w:rPr>
              <w:t xml:space="preserve"> </w:t>
            </w:r>
            <w:proofErr w:type="spellStart"/>
            <w:r w:rsidRPr="00E16672">
              <w:rPr>
                <w:i w:val="0"/>
                <w:sz w:val="16"/>
                <w:szCs w:val="16"/>
              </w:rPr>
              <w:t>вимог</w:t>
            </w:r>
            <w:proofErr w:type="spellEnd"/>
            <w:r w:rsidRPr="00E16672">
              <w:rPr>
                <w:i w:val="0"/>
                <w:sz w:val="16"/>
                <w:szCs w:val="16"/>
              </w:rPr>
              <w:t xml:space="preserve"> </w:t>
            </w:r>
            <w:proofErr w:type="spellStart"/>
            <w:r w:rsidRPr="00E16672">
              <w:rPr>
                <w:i w:val="0"/>
                <w:sz w:val="16"/>
                <w:szCs w:val="16"/>
              </w:rPr>
              <w:t>внутрішніх</w:t>
            </w:r>
            <w:proofErr w:type="spellEnd"/>
            <w:r w:rsidRPr="00E16672">
              <w:rPr>
                <w:i w:val="0"/>
                <w:sz w:val="16"/>
                <w:szCs w:val="16"/>
              </w:rPr>
              <w:t xml:space="preserve"> </w:t>
            </w:r>
            <w:proofErr w:type="spellStart"/>
            <w:r w:rsidRPr="00E16672">
              <w:rPr>
                <w:i w:val="0"/>
                <w:sz w:val="16"/>
                <w:szCs w:val="16"/>
              </w:rPr>
              <w:t>документів</w:t>
            </w:r>
            <w:proofErr w:type="spellEnd"/>
            <w:r w:rsidRPr="00E16672">
              <w:rPr>
                <w:i w:val="0"/>
                <w:sz w:val="16"/>
                <w:szCs w:val="16"/>
              </w:rPr>
              <w:t xml:space="preserve"> </w:t>
            </w:r>
            <w:proofErr w:type="spellStart"/>
            <w:r w:rsidRPr="00E16672">
              <w:rPr>
                <w:i w:val="0"/>
                <w:sz w:val="16"/>
                <w:szCs w:val="16"/>
              </w:rPr>
              <w:t>Депозитарної</w:t>
            </w:r>
            <w:proofErr w:type="spellEnd"/>
            <w:r w:rsidRPr="00E16672">
              <w:rPr>
                <w:i w:val="0"/>
                <w:sz w:val="16"/>
                <w:szCs w:val="16"/>
              </w:rPr>
              <w:t xml:space="preserve"> установи, </w:t>
            </w:r>
            <w:proofErr w:type="spellStart"/>
            <w:r w:rsidRPr="00E16672">
              <w:rPr>
                <w:i w:val="0"/>
                <w:sz w:val="16"/>
                <w:szCs w:val="16"/>
              </w:rPr>
              <w:t>які</w:t>
            </w:r>
            <w:proofErr w:type="spellEnd"/>
            <w:r w:rsidRPr="00E16672">
              <w:rPr>
                <w:i w:val="0"/>
                <w:sz w:val="16"/>
                <w:szCs w:val="16"/>
              </w:rPr>
              <w:t xml:space="preserve"> </w:t>
            </w:r>
            <w:proofErr w:type="spellStart"/>
            <w:r w:rsidRPr="00E16672">
              <w:rPr>
                <w:i w:val="0"/>
                <w:sz w:val="16"/>
                <w:szCs w:val="16"/>
              </w:rPr>
              <w:t>регламентують</w:t>
            </w:r>
            <w:proofErr w:type="spellEnd"/>
            <w:r w:rsidRPr="00E16672">
              <w:rPr>
                <w:i w:val="0"/>
                <w:sz w:val="16"/>
                <w:szCs w:val="16"/>
              </w:rPr>
              <w:t xml:space="preserve"> </w:t>
            </w:r>
            <w:proofErr w:type="spellStart"/>
            <w:r w:rsidRPr="00E16672">
              <w:rPr>
                <w:i w:val="0"/>
                <w:sz w:val="16"/>
                <w:szCs w:val="16"/>
              </w:rPr>
              <w:t>відносини</w:t>
            </w:r>
            <w:proofErr w:type="spellEnd"/>
            <w:r w:rsidRPr="00E16672">
              <w:rPr>
                <w:i w:val="0"/>
                <w:sz w:val="16"/>
                <w:szCs w:val="16"/>
              </w:rPr>
              <w:t xml:space="preserve"> Депонента та </w:t>
            </w:r>
            <w:proofErr w:type="spellStart"/>
            <w:r w:rsidRPr="00E16672">
              <w:rPr>
                <w:i w:val="0"/>
                <w:sz w:val="16"/>
                <w:szCs w:val="16"/>
              </w:rPr>
              <w:t>Депозитарної</w:t>
            </w:r>
            <w:proofErr w:type="spellEnd"/>
            <w:r w:rsidRPr="00E16672">
              <w:rPr>
                <w:i w:val="0"/>
                <w:sz w:val="16"/>
                <w:szCs w:val="16"/>
              </w:rPr>
              <w:t xml:space="preserve"> установи.</w:t>
            </w:r>
          </w:p>
        </w:tc>
        <w:tc>
          <w:tcPr>
            <w:tcW w:w="5494" w:type="dxa"/>
            <w:gridSpan w:val="6"/>
            <w:shd w:val="clear" w:color="auto" w:fill="auto"/>
          </w:tcPr>
          <w:p w14:paraId="0054719F" w14:textId="77777777" w:rsidR="003A05A3" w:rsidRPr="00E16672" w:rsidRDefault="003A05A3" w:rsidP="00843027">
            <w:pPr>
              <w:tabs>
                <w:tab w:val="left" w:pos="287"/>
              </w:tabs>
              <w:snapToGrid w:val="0"/>
              <w:ind w:left="175" w:right="138" w:firstLine="0"/>
              <w:rPr>
                <w:rFonts w:ascii="Times New Roman" w:hAnsi="Times New Roman"/>
                <w:sz w:val="16"/>
                <w:szCs w:val="16"/>
                <w:lang w:val="en-GB"/>
              </w:rPr>
            </w:pPr>
            <w:r w:rsidRPr="00E16672">
              <w:rPr>
                <w:rFonts w:ascii="Times New Roman" w:hAnsi="Times New Roman"/>
                <w:sz w:val="16"/>
                <w:szCs w:val="16"/>
                <w:lang w:val="en-US"/>
              </w:rPr>
              <w:t>2</w:t>
            </w:r>
            <w:r w:rsidRPr="00E16672">
              <w:rPr>
                <w:rFonts w:ascii="Times New Roman" w:hAnsi="Times New Roman"/>
                <w:sz w:val="16"/>
                <w:szCs w:val="16"/>
                <w:lang w:val="en-GB"/>
              </w:rPr>
              <w:t>.</w:t>
            </w:r>
            <w:r w:rsidRPr="00E16672">
              <w:rPr>
                <w:rFonts w:ascii="Times New Roman" w:hAnsi="Times New Roman"/>
                <w:sz w:val="16"/>
                <w:szCs w:val="16"/>
                <w:lang w:val="en-US"/>
              </w:rPr>
              <w:t>3</w:t>
            </w:r>
            <w:r w:rsidRPr="00E16672">
              <w:rPr>
                <w:rFonts w:ascii="Times New Roman" w:hAnsi="Times New Roman"/>
                <w:sz w:val="16"/>
                <w:szCs w:val="16"/>
                <w:lang w:val="en-GB"/>
              </w:rPr>
              <w:t xml:space="preserve">.3. Comply with the requirements of internal </w:t>
            </w:r>
            <w:proofErr w:type="gramStart"/>
            <w:r w:rsidRPr="00E16672">
              <w:rPr>
                <w:rFonts w:ascii="Times New Roman" w:hAnsi="Times New Roman"/>
                <w:sz w:val="16"/>
                <w:szCs w:val="16"/>
                <w:lang w:val="en-GB"/>
              </w:rPr>
              <w:t>documents  of</w:t>
            </w:r>
            <w:proofErr w:type="gramEnd"/>
            <w:r w:rsidRPr="00E16672">
              <w:rPr>
                <w:rFonts w:ascii="Times New Roman" w:hAnsi="Times New Roman"/>
                <w:sz w:val="16"/>
                <w:szCs w:val="16"/>
                <w:lang w:val="en-GB"/>
              </w:rPr>
              <w:t xml:space="preserve"> Depository institution that govern the relationship between Depositor and Depository institution.</w:t>
            </w:r>
          </w:p>
          <w:p w14:paraId="429790F1" w14:textId="77777777" w:rsidR="003A05A3" w:rsidRPr="00E16672" w:rsidRDefault="003A05A3" w:rsidP="00843027">
            <w:pPr>
              <w:tabs>
                <w:tab w:val="left" w:pos="287"/>
              </w:tabs>
              <w:snapToGrid w:val="0"/>
              <w:ind w:left="175" w:right="138" w:firstLine="0"/>
              <w:rPr>
                <w:rFonts w:ascii="Times New Roman" w:hAnsi="Times New Roman"/>
                <w:iCs/>
                <w:sz w:val="16"/>
                <w:szCs w:val="16"/>
                <w:lang w:val="en-US"/>
              </w:rPr>
            </w:pPr>
          </w:p>
        </w:tc>
      </w:tr>
      <w:tr w:rsidR="003A05A3" w:rsidRPr="00F23413" w14:paraId="1AABA487" w14:textId="77777777" w:rsidTr="00242F58">
        <w:trPr>
          <w:trHeight w:val="192"/>
        </w:trPr>
        <w:tc>
          <w:tcPr>
            <w:tcW w:w="5696" w:type="dxa"/>
            <w:gridSpan w:val="8"/>
            <w:shd w:val="clear" w:color="auto" w:fill="auto"/>
          </w:tcPr>
          <w:p w14:paraId="5DB1D4F7" w14:textId="77777777" w:rsidR="003A05A3" w:rsidRPr="00E16672" w:rsidRDefault="003A05A3" w:rsidP="00843027">
            <w:pPr>
              <w:pStyle w:val="1b"/>
              <w:spacing w:before="0" w:after="0"/>
              <w:ind w:left="40" w:right="138" w:firstLine="0"/>
              <w:rPr>
                <w:rFonts w:ascii="Times New Roman" w:eastAsia="Times New Roman" w:hAnsi="Times New Roman" w:cs="Times New Roman"/>
                <w:sz w:val="16"/>
                <w:szCs w:val="16"/>
                <w:lang w:val="ru-RU"/>
              </w:rPr>
            </w:pPr>
            <w:r w:rsidRPr="00E16672">
              <w:rPr>
                <w:rFonts w:ascii="Times New Roman" w:hAnsi="Times New Roman" w:cs="Times New Roman"/>
                <w:sz w:val="16"/>
                <w:szCs w:val="16"/>
              </w:rPr>
              <w:lastRenderedPageBreak/>
              <w:t xml:space="preserve">2.3.4. Своєчасно та в повному обсязі сплачувати послуги Депозитарної установи згідно з умовами та строками, передбаченими Договором, та тарифами, </w:t>
            </w:r>
            <w:r w:rsidRPr="00E16672">
              <w:rPr>
                <w:rFonts w:ascii="Times New Roman" w:hAnsi="Times New Roman" w:cs="Times New Roman"/>
                <w:color w:val="000000"/>
                <w:sz w:val="16"/>
                <w:szCs w:val="16"/>
              </w:rPr>
              <w:t>встановленими Депозитарною установою на дату надання послуг (у тому числі послуги з надання інформації про корпоративні операції емітентів, іншої інформації, отриманої від Центрального депозитарію згідно вимог чинного законодавства) .</w:t>
            </w:r>
          </w:p>
        </w:tc>
        <w:tc>
          <w:tcPr>
            <w:tcW w:w="5494" w:type="dxa"/>
            <w:gridSpan w:val="6"/>
            <w:shd w:val="clear" w:color="auto" w:fill="auto"/>
          </w:tcPr>
          <w:p w14:paraId="0A43E70B" w14:textId="77777777" w:rsidR="003A05A3" w:rsidRPr="00E16672" w:rsidRDefault="003A05A3" w:rsidP="00843027">
            <w:pPr>
              <w:pStyle w:val="210"/>
              <w:tabs>
                <w:tab w:val="left" w:pos="287"/>
                <w:tab w:val="left" w:pos="1191"/>
              </w:tabs>
              <w:snapToGrid w:val="0"/>
              <w:ind w:left="175" w:right="138" w:firstLine="0"/>
              <w:rPr>
                <w:rFonts w:ascii="Times New Roman" w:hAnsi="Times New Roman"/>
                <w:sz w:val="16"/>
                <w:szCs w:val="16"/>
              </w:rPr>
            </w:pPr>
            <w:r w:rsidRPr="00E16672">
              <w:rPr>
                <w:rFonts w:ascii="Times New Roman" w:hAnsi="Times New Roman"/>
                <w:sz w:val="16"/>
                <w:szCs w:val="16"/>
                <w:lang w:val="en-US"/>
              </w:rPr>
              <w:t>2</w:t>
            </w:r>
            <w:r w:rsidRPr="00E16672">
              <w:rPr>
                <w:rFonts w:ascii="Times New Roman" w:hAnsi="Times New Roman"/>
                <w:sz w:val="16"/>
                <w:szCs w:val="16"/>
              </w:rPr>
              <w:t>.</w:t>
            </w:r>
            <w:r w:rsidRPr="00E16672">
              <w:rPr>
                <w:rFonts w:ascii="Times New Roman" w:hAnsi="Times New Roman"/>
                <w:sz w:val="16"/>
                <w:szCs w:val="16"/>
                <w:lang w:val="en-US"/>
              </w:rPr>
              <w:t>3</w:t>
            </w:r>
            <w:r w:rsidRPr="00E16672">
              <w:rPr>
                <w:rFonts w:ascii="Times New Roman" w:hAnsi="Times New Roman"/>
                <w:sz w:val="16"/>
                <w:szCs w:val="16"/>
              </w:rPr>
              <w:t xml:space="preserve">.4. </w:t>
            </w:r>
            <w:proofErr w:type="spellStart"/>
            <w:r w:rsidR="00F92811" w:rsidRPr="00E16672">
              <w:rPr>
                <w:rFonts w:ascii="Times New Roman" w:hAnsi="Times New Roman"/>
                <w:sz w:val="16"/>
                <w:szCs w:val="16"/>
              </w:rPr>
              <w:t>Timely</w:t>
            </w:r>
            <w:proofErr w:type="spellEnd"/>
            <w:r w:rsidR="00F92811" w:rsidRPr="00E16672">
              <w:rPr>
                <w:rFonts w:ascii="Times New Roman" w:hAnsi="Times New Roman"/>
                <w:sz w:val="16"/>
                <w:szCs w:val="16"/>
              </w:rPr>
              <w:t xml:space="preserve"> </w:t>
            </w:r>
            <w:proofErr w:type="spellStart"/>
            <w:r w:rsidR="00F92811" w:rsidRPr="00E16672">
              <w:rPr>
                <w:rFonts w:ascii="Times New Roman" w:hAnsi="Times New Roman"/>
                <w:sz w:val="16"/>
                <w:szCs w:val="16"/>
              </w:rPr>
              <w:t>and</w:t>
            </w:r>
            <w:proofErr w:type="spellEnd"/>
            <w:r w:rsidR="00F92811" w:rsidRPr="00E16672">
              <w:rPr>
                <w:rFonts w:ascii="Times New Roman" w:hAnsi="Times New Roman"/>
                <w:sz w:val="16"/>
                <w:szCs w:val="16"/>
              </w:rPr>
              <w:t xml:space="preserve"> </w:t>
            </w:r>
            <w:proofErr w:type="spellStart"/>
            <w:r w:rsidR="00F92811" w:rsidRPr="00E16672">
              <w:rPr>
                <w:rFonts w:ascii="Times New Roman" w:hAnsi="Times New Roman"/>
                <w:sz w:val="16"/>
                <w:szCs w:val="16"/>
              </w:rPr>
              <w:t>fully</w:t>
            </w:r>
            <w:proofErr w:type="spellEnd"/>
            <w:r w:rsidR="00F92811" w:rsidRPr="00E16672">
              <w:rPr>
                <w:rFonts w:ascii="Times New Roman" w:hAnsi="Times New Roman"/>
                <w:sz w:val="16"/>
                <w:szCs w:val="16"/>
              </w:rPr>
              <w:t xml:space="preserve"> </w:t>
            </w:r>
            <w:proofErr w:type="spellStart"/>
            <w:r w:rsidR="00F92811" w:rsidRPr="00E16672">
              <w:rPr>
                <w:rFonts w:ascii="Times New Roman" w:hAnsi="Times New Roman"/>
                <w:sz w:val="16"/>
                <w:szCs w:val="16"/>
              </w:rPr>
              <w:t>pay</w:t>
            </w:r>
            <w:proofErr w:type="spellEnd"/>
            <w:r w:rsidR="00F92811" w:rsidRPr="00E16672">
              <w:rPr>
                <w:rFonts w:ascii="Times New Roman" w:hAnsi="Times New Roman"/>
                <w:sz w:val="16"/>
                <w:szCs w:val="16"/>
              </w:rPr>
              <w:t xml:space="preserve"> </w:t>
            </w:r>
            <w:proofErr w:type="spellStart"/>
            <w:r w:rsidR="00F92811" w:rsidRPr="00E16672">
              <w:rPr>
                <w:rFonts w:ascii="Times New Roman" w:hAnsi="Times New Roman"/>
                <w:sz w:val="16"/>
                <w:szCs w:val="16"/>
              </w:rPr>
              <w:t>for</w:t>
            </w:r>
            <w:proofErr w:type="spellEnd"/>
            <w:r w:rsidR="00F92811" w:rsidRPr="00E16672">
              <w:rPr>
                <w:rFonts w:ascii="Times New Roman" w:hAnsi="Times New Roman"/>
                <w:sz w:val="16"/>
                <w:szCs w:val="16"/>
              </w:rPr>
              <w:t xml:space="preserve"> </w:t>
            </w:r>
            <w:proofErr w:type="spellStart"/>
            <w:r w:rsidR="00F92811" w:rsidRPr="00E16672">
              <w:rPr>
                <w:rFonts w:ascii="Times New Roman" w:hAnsi="Times New Roman"/>
                <w:sz w:val="16"/>
                <w:szCs w:val="16"/>
              </w:rPr>
              <w:t>services</w:t>
            </w:r>
            <w:proofErr w:type="spellEnd"/>
            <w:r w:rsidR="00F92811" w:rsidRPr="00E16672">
              <w:rPr>
                <w:rFonts w:ascii="Times New Roman" w:hAnsi="Times New Roman"/>
                <w:sz w:val="16"/>
                <w:szCs w:val="16"/>
              </w:rPr>
              <w:t xml:space="preserve">  </w:t>
            </w:r>
            <w:proofErr w:type="spellStart"/>
            <w:r w:rsidR="00F92811" w:rsidRPr="00E16672">
              <w:rPr>
                <w:rFonts w:ascii="Times New Roman" w:hAnsi="Times New Roman"/>
                <w:sz w:val="16"/>
                <w:szCs w:val="16"/>
              </w:rPr>
              <w:t>of</w:t>
            </w:r>
            <w:proofErr w:type="spellEnd"/>
            <w:r w:rsidR="00F92811" w:rsidRPr="00E16672">
              <w:rPr>
                <w:rFonts w:ascii="Times New Roman" w:hAnsi="Times New Roman"/>
                <w:sz w:val="16"/>
                <w:szCs w:val="16"/>
              </w:rPr>
              <w:t xml:space="preserve"> </w:t>
            </w:r>
            <w:proofErr w:type="spellStart"/>
            <w:r w:rsidR="00F92811" w:rsidRPr="00E16672">
              <w:rPr>
                <w:rFonts w:ascii="Times New Roman" w:hAnsi="Times New Roman"/>
                <w:sz w:val="16"/>
                <w:szCs w:val="16"/>
              </w:rPr>
              <w:t>Depository</w:t>
            </w:r>
            <w:proofErr w:type="spellEnd"/>
            <w:r w:rsidR="00F92811" w:rsidRPr="00E16672">
              <w:rPr>
                <w:rFonts w:ascii="Times New Roman" w:hAnsi="Times New Roman"/>
                <w:sz w:val="16"/>
                <w:szCs w:val="16"/>
              </w:rPr>
              <w:t xml:space="preserve"> </w:t>
            </w:r>
            <w:proofErr w:type="spellStart"/>
            <w:r w:rsidR="00F92811" w:rsidRPr="00E16672">
              <w:rPr>
                <w:rFonts w:ascii="Times New Roman" w:hAnsi="Times New Roman"/>
                <w:sz w:val="16"/>
                <w:szCs w:val="16"/>
              </w:rPr>
              <w:t>institution</w:t>
            </w:r>
            <w:proofErr w:type="spellEnd"/>
            <w:r w:rsidR="00F92811" w:rsidRPr="00E16672">
              <w:rPr>
                <w:rFonts w:ascii="Times New Roman" w:hAnsi="Times New Roman"/>
                <w:sz w:val="16"/>
                <w:szCs w:val="16"/>
              </w:rPr>
              <w:t xml:space="preserve"> </w:t>
            </w:r>
            <w:proofErr w:type="spellStart"/>
            <w:r w:rsidR="00F92811" w:rsidRPr="00E16672">
              <w:rPr>
                <w:rFonts w:ascii="Times New Roman" w:hAnsi="Times New Roman"/>
                <w:sz w:val="16"/>
                <w:szCs w:val="16"/>
              </w:rPr>
              <w:t>in</w:t>
            </w:r>
            <w:proofErr w:type="spellEnd"/>
            <w:r w:rsidR="00F92811" w:rsidRPr="00E16672">
              <w:rPr>
                <w:rFonts w:ascii="Times New Roman" w:hAnsi="Times New Roman"/>
                <w:sz w:val="16"/>
                <w:szCs w:val="16"/>
              </w:rPr>
              <w:t xml:space="preserve"> </w:t>
            </w:r>
            <w:proofErr w:type="spellStart"/>
            <w:r w:rsidR="00F92811" w:rsidRPr="00E16672">
              <w:rPr>
                <w:rFonts w:ascii="Times New Roman" w:hAnsi="Times New Roman"/>
                <w:sz w:val="16"/>
                <w:szCs w:val="16"/>
              </w:rPr>
              <w:t>accordance</w:t>
            </w:r>
            <w:proofErr w:type="spellEnd"/>
            <w:r w:rsidR="00F92811" w:rsidRPr="00E16672">
              <w:rPr>
                <w:rFonts w:ascii="Times New Roman" w:hAnsi="Times New Roman"/>
                <w:sz w:val="16"/>
                <w:szCs w:val="16"/>
              </w:rPr>
              <w:t xml:space="preserve"> </w:t>
            </w:r>
            <w:proofErr w:type="spellStart"/>
            <w:r w:rsidR="00F92811" w:rsidRPr="00E16672">
              <w:rPr>
                <w:rFonts w:ascii="Times New Roman" w:hAnsi="Times New Roman"/>
                <w:sz w:val="16"/>
                <w:szCs w:val="16"/>
              </w:rPr>
              <w:t>with</w:t>
            </w:r>
            <w:proofErr w:type="spellEnd"/>
            <w:r w:rsidR="00F92811" w:rsidRPr="00E16672">
              <w:rPr>
                <w:rFonts w:ascii="Times New Roman" w:hAnsi="Times New Roman"/>
                <w:sz w:val="16"/>
                <w:szCs w:val="16"/>
              </w:rPr>
              <w:t xml:space="preserve"> </w:t>
            </w:r>
            <w:proofErr w:type="spellStart"/>
            <w:r w:rsidR="00F92811" w:rsidRPr="00E16672">
              <w:rPr>
                <w:rFonts w:ascii="Times New Roman" w:hAnsi="Times New Roman"/>
                <w:sz w:val="16"/>
                <w:szCs w:val="16"/>
              </w:rPr>
              <w:t>the</w:t>
            </w:r>
            <w:proofErr w:type="spellEnd"/>
            <w:r w:rsidR="00F92811" w:rsidRPr="00E16672">
              <w:rPr>
                <w:rFonts w:ascii="Times New Roman" w:hAnsi="Times New Roman"/>
                <w:sz w:val="16"/>
                <w:szCs w:val="16"/>
              </w:rPr>
              <w:t xml:space="preserve"> </w:t>
            </w:r>
            <w:proofErr w:type="spellStart"/>
            <w:r w:rsidR="00F92811" w:rsidRPr="00E16672">
              <w:rPr>
                <w:rFonts w:ascii="Times New Roman" w:hAnsi="Times New Roman"/>
                <w:sz w:val="16"/>
                <w:szCs w:val="16"/>
              </w:rPr>
              <w:t>terms</w:t>
            </w:r>
            <w:proofErr w:type="spellEnd"/>
            <w:r w:rsidR="00F92811" w:rsidRPr="00E16672">
              <w:rPr>
                <w:rFonts w:ascii="Times New Roman" w:hAnsi="Times New Roman"/>
                <w:sz w:val="16"/>
                <w:szCs w:val="16"/>
              </w:rPr>
              <w:t xml:space="preserve"> </w:t>
            </w:r>
            <w:proofErr w:type="spellStart"/>
            <w:r w:rsidR="00F92811" w:rsidRPr="00E16672">
              <w:rPr>
                <w:rFonts w:ascii="Times New Roman" w:hAnsi="Times New Roman"/>
                <w:sz w:val="16"/>
                <w:szCs w:val="16"/>
              </w:rPr>
              <w:t>and</w:t>
            </w:r>
            <w:proofErr w:type="spellEnd"/>
            <w:r w:rsidR="00F92811" w:rsidRPr="00E16672">
              <w:rPr>
                <w:rFonts w:ascii="Times New Roman" w:hAnsi="Times New Roman"/>
                <w:sz w:val="16"/>
                <w:szCs w:val="16"/>
              </w:rPr>
              <w:t xml:space="preserve"> </w:t>
            </w:r>
            <w:proofErr w:type="spellStart"/>
            <w:r w:rsidR="00F92811" w:rsidRPr="00E16672">
              <w:rPr>
                <w:rFonts w:ascii="Times New Roman" w:hAnsi="Times New Roman"/>
                <w:sz w:val="16"/>
                <w:szCs w:val="16"/>
              </w:rPr>
              <w:t>conditions</w:t>
            </w:r>
            <w:proofErr w:type="spellEnd"/>
            <w:r w:rsidR="00F92811" w:rsidRPr="00E16672">
              <w:rPr>
                <w:rFonts w:ascii="Times New Roman" w:hAnsi="Times New Roman"/>
                <w:sz w:val="16"/>
                <w:szCs w:val="16"/>
              </w:rPr>
              <w:t xml:space="preserve"> </w:t>
            </w:r>
            <w:proofErr w:type="spellStart"/>
            <w:r w:rsidR="00F92811" w:rsidRPr="00E16672">
              <w:rPr>
                <w:rFonts w:ascii="Times New Roman" w:hAnsi="Times New Roman"/>
                <w:sz w:val="16"/>
                <w:szCs w:val="16"/>
              </w:rPr>
              <w:t>stipulated</w:t>
            </w:r>
            <w:proofErr w:type="spellEnd"/>
            <w:r w:rsidR="00F92811" w:rsidRPr="00E16672">
              <w:rPr>
                <w:rFonts w:ascii="Times New Roman" w:hAnsi="Times New Roman"/>
                <w:sz w:val="16"/>
                <w:szCs w:val="16"/>
              </w:rPr>
              <w:t xml:space="preserve"> </w:t>
            </w:r>
            <w:proofErr w:type="spellStart"/>
            <w:r w:rsidR="00F92811" w:rsidRPr="00E16672">
              <w:rPr>
                <w:rFonts w:ascii="Times New Roman" w:hAnsi="Times New Roman"/>
                <w:sz w:val="16"/>
                <w:szCs w:val="16"/>
              </w:rPr>
              <w:t>by</w:t>
            </w:r>
            <w:proofErr w:type="spellEnd"/>
            <w:r w:rsidR="00F92811" w:rsidRPr="00E16672">
              <w:rPr>
                <w:rFonts w:ascii="Times New Roman" w:hAnsi="Times New Roman"/>
                <w:sz w:val="16"/>
                <w:szCs w:val="16"/>
              </w:rPr>
              <w:t xml:space="preserve"> </w:t>
            </w:r>
            <w:proofErr w:type="spellStart"/>
            <w:r w:rsidR="00F92811" w:rsidRPr="00E16672">
              <w:rPr>
                <w:rFonts w:ascii="Times New Roman" w:hAnsi="Times New Roman"/>
                <w:sz w:val="16"/>
                <w:szCs w:val="16"/>
              </w:rPr>
              <w:t>the</w:t>
            </w:r>
            <w:proofErr w:type="spellEnd"/>
            <w:r w:rsidR="00F92811" w:rsidRPr="00E16672">
              <w:rPr>
                <w:rFonts w:ascii="Times New Roman" w:hAnsi="Times New Roman"/>
                <w:sz w:val="16"/>
                <w:szCs w:val="16"/>
              </w:rPr>
              <w:t xml:space="preserve"> </w:t>
            </w:r>
            <w:proofErr w:type="spellStart"/>
            <w:r w:rsidR="00F92811" w:rsidRPr="00E16672">
              <w:rPr>
                <w:rFonts w:ascii="Times New Roman" w:hAnsi="Times New Roman"/>
                <w:sz w:val="16"/>
                <w:szCs w:val="16"/>
              </w:rPr>
              <w:t>Agreement</w:t>
            </w:r>
            <w:proofErr w:type="spellEnd"/>
            <w:r w:rsidR="00F92811" w:rsidRPr="00E16672">
              <w:rPr>
                <w:rFonts w:ascii="Times New Roman" w:hAnsi="Times New Roman"/>
                <w:sz w:val="16"/>
                <w:szCs w:val="16"/>
              </w:rPr>
              <w:t xml:space="preserve">, </w:t>
            </w:r>
            <w:proofErr w:type="spellStart"/>
            <w:r w:rsidR="00F92811" w:rsidRPr="00E16672">
              <w:rPr>
                <w:rFonts w:ascii="Times New Roman" w:hAnsi="Times New Roman"/>
                <w:sz w:val="16"/>
                <w:szCs w:val="16"/>
              </w:rPr>
              <w:t>and</w:t>
            </w:r>
            <w:proofErr w:type="spellEnd"/>
            <w:r w:rsidR="00F92811" w:rsidRPr="00E16672">
              <w:rPr>
                <w:rFonts w:ascii="Times New Roman" w:hAnsi="Times New Roman"/>
                <w:sz w:val="16"/>
                <w:szCs w:val="16"/>
              </w:rPr>
              <w:t xml:space="preserve"> </w:t>
            </w:r>
            <w:proofErr w:type="spellStart"/>
            <w:r w:rsidR="00F92811" w:rsidRPr="00E16672">
              <w:rPr>
                <w:rFonts w:ascii="Times New Roman" w:hAnsi="Times New Roman"/>
                <w:sz w:val="16"/>
                <w:szCs w:val="16"/>
              </w:rPr>
              <w:t>the</w:t>
            </w:r>
            <w:proofErr w:type="spellEnd"/>
            <w:r w:rsidR="00F92811" w:rsidRPr="00E16672">
              <w:rPr>
                <w:rFonts w:ascii="Times New Roman" w:hAnsi="Times New Roman"/>
                <w:sz w:val="16"/>
                <w:szCs w:val="16"/>
              </w:rPr>
              <w:t xml:space="preserve"> </w:t>
            </w:r>
            <w:proofErr w:type="spellStart"/>
            <w:r w:rsidR="00F92811" w:rsidRPr="00E16672">
              <w:rPr>
                <w:rFonts w:ascii="Times New Roman" w:hAnsi="Times New Roman"/>
                <w:sz w:val="16"/>
                <w:szCs w:val="16"/>
              </w:rPr>
              <w:t>Tariffs</w:t>
            </w:r>
            <w:proofErr w:type="spellEnd"/>
            <w:r w:rsidR="00F92811" w:rsidRPr="00E16672">
              <w:rPr>
                <w:rFonts w:ascii="Times New Roman" w:hAnsi="Times New Roman"/>
                <w:sz w:val="16"/>
                <w:szCs w:val="16"/>
              </w:rPr>
              <w:t xml:space="preserve"> </w:t>
            </w:r>
            <w:proofErr w:type="spellStart"/>
            <w:r w:rsidR="00F92811" w:rsidRPr="00E16672">
              <w:rPr>
                <w:rFonts w:ascii="Times New Roman" w:hAnsi="Times New Roman"/>
                <w:sz w:val="16"/>
                <w:szCs w:val="16"/>
              </w:rPr>
              <w:t>established</w:t>
            </w:r>
            <w:proofErr w:type="spellEnd"/>
            <w:r w:rsidR="00F92811" w:rsidRPr="00E16672">
              <w:rPr>
                <w:rFonts w:ascii="Times New Roman" w:hAnsi="Times New Roman"/>
                <w:sz w:val="16"/>
                <w:szCs w:val="16"/>
              </w:rPr>
              <w:t xml:space="preserve"> </w:t>
            </w:r>
            <w:proofErr w:type="spellStart"/>
            <w:r w:rsidR="00F92811" w:rsidRPr="00E16672">
              <w:rPr>
                <w:rFonts w:ascii="Times New Roman" w:hAnsi="Times New Roman"/>
                <w:sz w:val="16"/>
                <w:szCs w:val="16"/>
              </w:rPr>
              <w:t>by</w:t>
            </w:r>
            <w:proofErr w:type="spellEnd"/>
            <w:r w:rsidR="00F92811" w:rsidRPr="00E16672">
              <w:rPr>
                <w:rFonts w:ascii="Times New Roman" w:hAnsi="Times New Roman"/>
                <w:sz w:val="16"/>
                <w:szCs w:val="16"/>
              </w:rPr>
              <w:t xml:space="preserve"> </w:t>
            </w:r>
            <w:proofErr w:type="spellStart"/>
            <w:r w:rsidR="00F92811" w:rsidRPr="00E16672">
              <w:rPr>
                <w:rFonts w:ascii="Times New Roman" w:hAnsi="Times New Roman"/>
                <w:sz w:val="16"/>
                <w:szCs w:val="16"/>
              </w:rPr>
              <w:t>the</w:t>
            </w:r>
            <w:proofErr w:type="spellEnd"/>
            <w:r w:rsidR="00F92811" w:rsidRPr="00E16672">
              <w:rPr>
                <w:rFonts w:ascii="Times New Roman" w:hAnsi="Times New Roman"/>
                <w:sz w:val="16"/>
                <w:szCs w:val="16"/>
              </w:rPr>
              <w:t xml:space="preserve"> </w:t>
            </w:r>
            <w:proofErr w:type="spellStart"/>
            <w:r w:rsidR="00F92811" w:rsidRPr="00E16672">
              <w:rPr>
                <w:rFonts w:ascii="Times New Roman" w:hAnsi="Times New Roman"/>
                <w:sz w:val="16"/>
                <w:szCs w:val="16"/>
              </w:rPr>
              <w:t>Depository</w:t>
            </w:r>
            <w:proofErr w:type="spellEnd"/>
            <w:r w:rsidR="00F92811" w:rsidRPr="00E16672">
              <w:rPr>
                <w:rFonts w:ascii="Times New Roman" w:hAnsi="Times New Roman"/>
                <w:sz w:val="16"/>
                <w:szCs w:val="16"/>
              </w:rPr>
              <w:t xml:space="preserve"> </w:t>
            </w:r>
            <w:proofErr w:type="spellStart"/>
            <w:r w:rsidR="00F92811" w:rsidRPr="00E16672">
              <w:rPr>
                <w:rFonts w:ascii="Times New Roman" w:hAnsi="Times New Roman"/>
                <w:sz w:val="16"/>
                <w:szCs w:val="16"/>
              </w:rPr>
              <w:t>institution</w:t>
            </w:r>
            <w:proofErr w:type="spellEnd"/>
            <w:r w:rsidR="00F92811" w:rsidRPr="00E16672">
              <w:rPr>
                <w:rFonts w:ascii="Times New Roman" w:hAnsi="Times New Roman"/>
                <w:sz w:val="16"/>
                <w:szCs w:val="16"/>
                <w:lang w:val="en-US"/>
              </w:rPr>
              <w:t xml:space="preserve"> on </w:t>
            </w:r>
            <w:proofErr w:type="spellStart"/>
            <w:r w:rsidR="00F92811" w:rsidRPr="00E16672">
              <w:rPr>
                <w:rFonts w:ascii="Times New Roman" w:hAnsi="Times New Roman"/>
                <w:sz w:val="16"/>
                <w:szCs w:val="16"/>
              </w:rPr>
              <w:t>the</w:t>
            </w:r>
            <w:proofErr w:type="spellEnd"/>
            <w:r w:rsidR="00F92811" w:rsidRPr="00E16672">
              <w:rPr>
                <w:rFonts w:ascii="Times New Roman" w:hAnsi="Times New Roman"/>
                <w:sz w:val="16"/>
                <w:szCs w:val="16"/>
              </w:rPr>
              <w:t xml:space="preserve"> </w:t>
            </w:r>
            <w:proofErr w:type="spellStart"/>
            <w:r w:rsidR="00F92811" w:rsidRPr="00E16672">
              <w:rPr>
                <w:rFonts w:ascii="Times New Roman" w:hAnsi="Times New Roman"/>
                <w:sz w:val="16"/>
                <w:szCs w:val="16"/>
              </w:rPr>
              <w:t>date</w:t>
            </w:r>
            <w:proofErr w:type="spellEnd"/>
            <w:r w:rsidR="00F92811" w:rsidRPr="00E16672">
              <w:rPr>
                <w:rFonts w:ascii="Times New Roman" w:hAnsi="Times New Roman"/>
                <w:sz w:val="16"/>
                <w:szCs w:val="16"/>
              </w:rPr>
              <w:t xml:space="preserve"> </w:t>
            </w:r>
            <w:proofErr w:type="spellStart"/>
            <w:r w:rsidR="00F92811" w:rsidRPr="00E16672">
              <w:rPr>
                <w:rFonts w:ascii="Times New Roman" w:hAnsi="Times New Roman"/>
                <w:sz w:val="16"/>
                <w:szCs w:val="16"/>
              </w:rPr>
              <w:t>of</w:t>
            </w:r>
            <w:proofErr w:type="spellEnd"/>
            <w:r w:rsidR="00F92811" w:rsidRPr="00E16672">
              <w:rPr>
                <w:rFonts w:ascii="Times New Roman" w:hAnsi="Times New Roman"/>
                <w:sz w:val="16"/>
                <w:szCs w:val="16"/>
              </w:rPr>
              <w:t xml:space="preserve"> </w:t>
            </w:r>
            <w:proofErr w:type="spellStart"/>
            <w:r w:rsidR="00F92811" w:rsidRPr="00E16672">
              <w:rPr>
                <w:rFonts w:ascii="Times New Roman" w:hAnsi="Times New Roman"/>
                <w:sz w:val="16"/>
                <w:szCs w:val="16"/>
              </w:rPr>
              <w:t>service</w:t>
            </w:r>
            <w:proofErr w:type="spellEnd"/>
            <w:r w:rsidR="00F92811" w:rsidRPr="00E16672">
              <w:rPr>
                <w:rFonts w:ascii="Times New Roman" w:hAnsi="Times New Roman"/>
                <w:sz w:val="16"/>
                <w:szCs w:val="16"/>
              </w:rPr>
              <w:t xml:space="preserve"> (</w:t>
            </w:r>
            <w:proofErr w:type="spellStart"/>
            <w:r w:rsidR="00F92811" w:rsidRPr="00E16672">
              <w:rPr>
                <w:rFonts w:ascii="Times New Roman" w:hAnsi="Times New Roman"/>
                <w:sz w:val="16"/>
                <w:szCs w:val="16"/>
              </w:rPr>
              <w:t>including</w:t>
            </w:r>
            <w:proofErr w:type="spellEnd"/>
            <w:r w:rsidR="00F92811" w:rsidRPr="00E16672">
              <w:rPr>
                <w:rFonts w:ascii="Times New Roman" w:hAnsi="Times New Roman"/>
                <w:sz w:val="16"/>
                <w:szCs w:val="16"/>
              </w:rPr>
              <w:t xml:space="preserve"> </w:t>
            </w:r>
            <w:proofErr w:type="spellStart"/>
            <w:r w:rsidR="00F92811" w:rsidRPr="00E16672">
              <w:rPr>
                <w:rFonts w:ascii="Times New Roman" w:hAnsi="Times New Roman"/>
                <w:sz w:val="16"/>
                <w:szCs w:val="16"/>
              </w:rPr>
              <w:t>services</w:t>
            </w:r>
            <w:proofErr w:type="spellEnd"/>
            <w:r w:rsidR="00F92811" w:rsidRPr="00E16672">
              <w:rPr>
                <w:rFonts w:ascii="Times New Roman" w:hAnsi="Times New Roman"/>
                <w:sz w:val="16"/>
                <w:szCs w:val="16"/>
              </w:rPr>
              <w:t xml:space="preserve"> </w:t>
            </w:r>
            <w:proofErr w:type="spellStart"/>
            <w:r w:rsidR="00F92811" w:rsidRPr="00E16672">
              <w:rPr>
                <w:rFonts w:ascii="Times New Roman" w:hAnsi="Times New Roman"/>
                <w:sz w:val="16"/>
                <w:szCs w:val="16"/>
              </w:rPr>
              <w:t>to</w:t>
            </w:r>
            <w:proofErr w:type="spellEnd"/>
            <w:r w:rsidR="00F92811" w:rsidRPr="00E16672">
              <w:rPr>
                <w:rFonts w:ascii="Times New Roman" w:hAnsi="Times New Roman"/>
                <w:sz w:val="16"/>
                <w:szCs w:val="16"/>
              </w:rPr>
              <w:t xml:space="preserve"> </w:t>
            </w:r>
            <w:proofErr w:type="spellStart"/>
            <w:r w:rsidR="00F92811" w:rsidRPr="00E16672">
              <w:rPr>
                <w:rFonts w:ascii="Times New Roman" w:hAnsi="Times New Roman"/>
                <w:sz w:val="16"/>
                <w:szCs w:val="16"/>
              </w:rPr>
              <w:t>provide</w:t>
            </w:r>
            <w:proofErr w:type="spellEnd"/>
            <w:r w:rsidR="00F92811" w:rsidRPr="00E16672">
              <w:rPr>
                <w:rFonts w:ascii="Times New Roman" w:hAnsi="Times New Roman"/>
                <w:sz w:val="16"/>
                <w:szCs w:val="16"/>
              </w:rPr>
              <w:t xml:space="preserve"> </w:t>
            </w:r>
            <w:proofErr w:type="spellStart"/>
            <w:r w:rsidR="00F92811" w:rsidRPr="00E16672">
              <w:rPr>
                <w:rFonts w:ascii="Times New Roman" w:hAnsi="Times New Roman"/>
                <w:sz w:val="16"/>
                <w:szCs w:val="16"/>
              </w:rPr>
              <w:t>information</w:t>
            </w:r>
            <w:proofErr w:type="spellEnd"/>
            <w:r w:rsidR="00F92811" w:rsidRPr="00E16672">
              <w:rPr>
                <w:rFonts w:ascii="Times New Roman" w:hAnsi="Times New Roman"/>
                <w:sz w:val="16"/>
                <w:szCs w:val="16"/>
              </w:rPr>
              <w:t xml:space="preserve"> </w:t>
            </w:r>
            <w:proofErr w:type="spellStart"/>
            <w:r w:rsidR="00F92811" w:rsidRPr="00E16672">
              <w:rPr>
                <w:rFonts w:ascii="Times New Roman" w:hAnsi="Times New Roman"/>
                <w:sz w:val="16"/>
                <w:szCs w:val="16"/>
              </w:rPr>
              <w:t>about</w:t>
            </w:r>
            <w:proofErr w:type="spellEnd"/>
            <w:r w:rsidR="00F92811" w:rsidRPr="00E16672">
              <w:rPr>
                <w:rFonts w:ascii="Times New Roman" w:hAnsi="Times New Roman"/>
                <w:sz w:val="16"/>
                <w:szCs w:val="16"/>
              </w:rPr>
              <w:t xml:space="preserve"> </w:t>
            </w:r>
            <w:proofErr w:type="spellStart"/>
            <w:r w:rsidR="00F92811" w:rsidRPr="00E16672">
              <w:rPr>
                <w:rFonts w:ascii="Times New Roman" w:hAnsi="Times New Roman"/>
                <w:sz w:val="16"/>
                <w:szCs w:val="16"/>
              </w:rPr>
              <w:t>corporate</w:t>
            </w:r>
            <w:proofErr w:type="spellEnd"/>
            <w:r w:rsidR="00F92811" w:rsidRPr="00E16672">
              <w:rPr>
                <w:rFonts w:ascii="Times New Roman" w:hAnsi="Times New Roman"/>
                <w:sz w:val="16"/>
                <w:szCs w:val="16"/>
              </w:rPr>
              <w:t xml:space="preserve"> </w:t>
            </w:r>
            <w:proofErr w:type="spellStart"/>
            <w:r w:rsidR="00F92811" w:rsidRPr="00E16672">
              <w:rPr>
                <w:rFonts w:ascii="Times New Roman" w:hAnsi="Times New Roman"/>
                <w:sz w:val="16"/>
                <w:szCs w:val="16"/>
              </w:rPr>
              <w:t>transactions</w:t>
            </w:r>
            <w:proofErr w:type="spellEnd"/>
            <w:r w:rsidR="00F92811" w:rsidRPr="00E16672">
              <w:rPr>
                <w:rFonts w:ascii="Times New Roman" w:hAnsi="Times New Roman"/>
                <w:sz w:val="16"/>
                <w:szCs w:val="16"/>
                <w:lang w:val="en-US"/>
              </w:rPr>
              <w:t xml:space="preserve"> of</w:t>
            </w:r>
            <w:r w:rsidR="00F92811" w:rsidRPr="00E16672">
              <w:rPr>
                <w:rFonts w:ascii="Times New Roman" w:hAnsi="Times New Roman"/>
                <w:sz w:val="16"/>
                <w:szCs w:val="16"/>
              </w:rPr>
              <w:t xml:space="preserve"> </w:t>
            </w:r>
            <w:proofErr w:type="spellStart"/>
            <w:r w:rsidR="00F92811" w:rsidRPr="00E16672">
              <w:rPr>
                <w:rFonts w:ascii="Times New Roman" w:hAnsi="Times New Roman"/>
                <w:sz w:val="16"/>
                <w:szCs w:val="16"/>
              </w:rPr>
              <w:t>issuers</w:t>
            </w:r>
            <w:proofErr w:type="spellEnd"/>
            <w:r w:rsidR="00F92811" w:rsidRPr="00E16672">
              <w:rPr>
                <w:rFonts w:ascii="Times New Roman" w:hAnsi="Times New Roman"/>
                <w:sz w:val="16"/>
                <w:szCs w:val="16"/>
              </w:rPr>
              <w:t xml:space="preserve">, </w:t>
            </w:r>
            <w:proofErr w:type="spellStart"/>
            <w:r w:rsidR="00F92811" w:rsidRPr="00E16672">
              <w:rPr>
                <w:rFonts w:ascii="Times New Roman" w:hAnsi="Times New Roman"/>
                <w:sz w:val="16"/>
                <w:szCs w:val="16"/>
              </w:rPr>
              <w:t>other</w:t>
            </w:r>
            <w:proofErr w:type="spellEnd"/>
            <w:r w:rsidR="00F92811" w:rsidRPr="00E16672">
              <w:rPr>
                <w:rFonts w:ascii="Times New Roman" w:hAnsi="Times New Roman"/>
                <w:sz w:val="16"/>
                <w:szCs w:val="16"/>
              </w:rPr>
              <w:t xml:space="preserve"> </w:t>
            </w:r>
            <w:proofErr w:type="spellStart"/>
            <w:r w:rsidR="00F92811" w:rsidRPr="00E16672">
              <w:rPr>
                <w:rFonts w:ascii="Times New Roman" w:hAnsi="Times New Roman"/>
                <w:sz w:val="16"/>
                <w:szCs w:val="16"/>
              </w:rPr>
              <w:t>information</w:t>
            </w:r>
            <w:proofErr w:type="spellEnd"/>
            <w:r w:rsidR="00F92811" w:rsidRPr="00E16672">
              <w:rPr>
                <w:rFonts w:ascii="Times New Roman" w:hAnsi="Times New Roman"/>
                <w:sz w:val="16"/>
                <w:szCs w:val="16"/>
              </w:rPr>
              <w:t xml:space="preserve"> </w:t>
            </w:r>
            <w:proofErr w:type="spellStart"/>
            <w:r w:rsidR="00F92811" w:rsidRPr="00E16672">
              <w:rPr>
                <w:rFonts w:ascii="Times New Roman" w:hAnsi="Times New Roman"/>
                <w:sz w:val="16"/>
                <w:szCs w:val="16"/>
              </w:rPr>
              <w:t>received</w:t>
            </w:r>
            <w:proofErr w:type="spellEnd"/>
            <w:r w:rsidR="00F92811" w:rsidRPr="00E16672">
              <w:rPr>
                <w:rFonts w:ascii="Times New Roman" w:hAnsi="Times New Roman"/>
                <w:sz w:val="16"/>
                <w:szCs w:val="16"/>
              </w:rPr>
              <w:t xml:space="preserve"> </w:t>
            </w:r>
            <w:proofErr w:type="spellStart"/>
            <w:r w:rsidR="00F92811" w:rsidRPr="00E16672">
              <w:rPr>
                <w:rFonts w:ascii="Times New Roman" w:hAnsi="Times New Roman"/>
                <w:sz w:val="16"/>
                <w:szCs w:val="16"/>
              </w:rPr>
              <w:t>from</w:t>
            </w:r>
            <w:proofErr w:type="spellEnd"/>
            <w:r w:rsidR="00F92811" w:rsidRPr="00E16672">
              <w:rPr>
                <w:rFonts w:ascii="Times New Roman" w:hAnsi="Times New Roman"/>
                <w:sz w:val="16"/>
                <w:szCs w:val="16"/>
              </w:rPr>
              <w:t xml:space="preserve"> </w:t>
            </w:r>
            <w:proofErr w:type="spellStart"/>
            <w:r w:rsidR="00F92811" w:rsidRPr="00E16672">
              <w:rPr>
                <w:rFonts w:ascii="Times New Roman" w:hAnsi="Times New Roman"/>
                <w:sz w:val="16"/>
                <w:szCs w:val="16"/>
              </w:rPr>
              <w:t>the</w:t>
            </w:r>
            <w:proofErr w:type="spellEnd"/>
            <w:r w:rsidR="00F92811" w:rsidRPr="00E16672">
              <w:rPr>
                <w:rFonts w:ascii="Times New Roman" w:hAnsi="Times New Roman"/>
                <w:sz w:val="16"/>
                <w:szCs w:val="16"/>
              </w:rPr>
              <w:t xml:space="preserve"> </w:t>
            </w:r>
            <w:proofErr w:type="spellStart"/>
            <w:r w:rsidR="00F92811" w:rsidRPr="00E16672">
              <w:rPr>
                <w:rFonts w:ascii="Times New Roman" w:hAnsi="Times New Roman"/>
                <w:sz w:val="16"/>
                <w:szCs w:val="16"/>
              </w:rPr>
              <w:t>Central</w:t>
            </w:r>
            <w:proofErr w:type="spellEnd"/>
            <w:r w:rsidR="00F92811" w:rsidRPr="00E16672">
              <w:rPr>
                <w:rFonts w:ascii="Times New Roman" w:hAnsi="Times New Roman"/>
                <w:sz w:val="16"/>
                <w:szCs w:val="16"/>
              </w:rPr>
              <w:t xml:space="preserve"> </w:t>
            </w:r>
            <w:proofErr w:type="spellStart"/>
            <w:r w:rsidR="00F92811" w:rsidRPr="00E16672">
              <w:rPr>
                <w:rFonts w:ascii="Times New Roman" w:hAnsi="Times New Roman"/>
                <w:sz w:val="16"/>
                <w:szCs w:val="16"/>
              </w:rPr>
              <w:t>Depository</w:t>
            </w:r>
            <w:proofErr w:type="spellEnd"/>
            <w:r w:rsidR="00F92811" w:rsidRPr="00E16672">
              <w:rPr>
                <w:rFonts w:ascii="Times New Roman" w:hAnsi="Times New Roman"/>
                <w:sz w:val="16"/>
                <w:szCs w:val="16"/>
              </w:rPr>
              <w:t xml:space="preserve"> </w:t>
            </w:r>
            <w:proofErr w:type="spellStart"/>
            <w:r w:rsidR="00F92811" w:rsidRPr="00E16672">
              <w:rPr>
                <w:rFonts w:ascii="Times New Roman" w:hAnsi="Times New Roman"/>
                <w:sz w:val="16"/>
                <w:szCs w:val="16"/>
              </w:rPr>
              <w:t>in</w:t>
            </w:r>
            <w:proofErr w:type="spellEnd"/>
            <w:r w:rsidR="00F92811" w:rsidRPr="00E16672">
              <w:rPr>
                <w:rFonts w:ascii="Times New Roman" w:hAnsi="Times New Roman"/>
                <w:sz w:val="16"/>
                <w:szCs w:val="16"/>
              </w:rPr>
              <w:t xml:space="preserve"> </w:t>
            </w:r>
            <w:proofErr w:type="spellStart"/>
            <w:r w:rsidR="00F92811" w:rsidRPr="00E16672">
              <w:rPr>
                <w:rFonts w:ascii="Times New Roman" w:hAnsi="Times New Roman"/>
                <w:sz w:val="16"/>
                <w:szCs w:val="16"/>
              </w:rPr>
              <w:t>accordance</w:t>
            </w:r>
            <w:proofErr w:type="spellEnd"/>
            <w:r w:rsidR="00F92811" w:rsidRPr="00E16672">
              <w:rPr>
                <w:rFonts w:ascii="Times New Roman" w:hAnsi="Times New Roman"/>
                <w:sz w:val="16"/>
                <w:szCs w:val="16"/>
              </w:rPr>
              <w:t xml:space="preserve"> </w:t>
            </w:r>
            <w:proofErr w:type="spellStart"/>
            <w:r w:rsidR="00F92811" w:rsidRPr="00E16672">
              <w:rPr>
                <w:rFonts w:ascii="Times New Roman" w:hAnsi="Times New Roman"/>
                <w:sz w:val="16"/>
                <w:szCs w:val="16"/>
              </w:rPr>
              <w:t>with</w:t>
            </w:r>
            <w:proofErr w:type="spellEnd"/>
            <w:r w:rsidR="00F92811" w:rsidRPr="00E16672">
              <w:rPr>
                <w:rFonts w:ascii="Times New Roman" w:hAnsi="Times New Roman"/>
                <w:sz w:val="16"/>
                <w:szCs w:val="16"/>
              </w:rPr>
              <w:t xml:space="preserve"> </w:t>
            </w:r>
            <w:proofErr w:type="spellStart"/>
            <w:r w:rsidR="00F92811" w:rsidRPr="00E16672">
              <w:rPr>
                <w:rFonts w:ascii="Times New Roman" w:hAnsi="Times New Roman"/>
                <w:sz w:val="16"/>
                <w:szCs w:val="16"/>
              </w:rPr>
              <w:t>current</w:t>
            </w:r>
            <w:proofErr w:type="spellEnd"/>
            <w:r w:rsidR="00F92811" w:rsidRPr="00E16672">
              <w:rPr>
                <w:rFonts w:ascii="Times New Roman" w:hAnsi="Times New Roman"/>
                <w:sz w:val="16"/>
                <w:szCs w:val="16"/>
              </w:rPr>
              <w:t xml:space="preserve"> </w:t>
            </w:r>
            <w:proofErr w:type="spellStart"/>
            <w:r w:rsidR="00F92811" w:rsidRPr="00E16672">
              <w:rPr>
                <w:rFonts w:ascii="Times New Roman" w:hAnsi="Times New Roman"/>
                <w:sz w:val="16"/>
                <w:szCs w:val="16"/>
              </w:rPr>
              <w:t>law</w:t>
            </w:r>
            <w:proofErr w:type="spellEnd"/>
            <w:r w:rsidR="00F92811" w:rsidRPr="00E16672">
              <w:rPr>
                <w:rFonts w:ascii="Times New Roman" w:hAnsi="Times New Roman"/>
                <w:sz w:val="16"/>
                <w:szCs w:val="16"/>
              </w:rPr>
              <w:t>)</w:t>
            </w:r>
            <w:r w:rsidRPr="00E16672">
              <w:rPr>
                <w:rFonts w:ascii="Times New Roman" w:hAnsi="Times New Roman"/>
                <w:sz w:val="16"/>
                <w:szCs w:val="16"/>
              </w:rPr>
              <w:t>.</w:t>
            </w:r>
          </w:p>
          <w:p w14:paraId="6A034645" w14:textId="77777777" w:rsidR="003A05A3" w:rsidRPr="00E16672" w:rsidRDefault="003A05A3" w:rsidP="00843027">
            <w:pPr>
              <w:tabs>
                <w:tab w:val="left" w:pos="287"/>
              </w:tabs>
              <w:snapToGrid w:val="0"/>
              <w:ind w:left="175" w:right="138" w:firstLine="0"/>
              <w:rPr>
                <w:rFonts w:ascii="Times New Roman" w:hAnsi="Times New Roman"/>
                <w:color w:val="000000"/>
                <w:sz w:val="16"/>
                <w:szCs w:val="16"/>
                <w:lang w:val="en-US"/>
              </w:rPr>
            </w:pPr>
          </w:p>
        </w:tc>
      </w:tr>
      <w:tr w:rsidR="003A05A3" w:rsidRPr="00F23413" w14:paraId="36960BC5" w14:textId="77777777" w:rsidTr="00242F58">
        <w:trPr>
          <w:trHeight w:val="192"/>
        </w:trPr>
        <w:tc>
          <w:tcPr>
            <w:tcW w:w="5696" w:type="dxa"/>
            <w:gridSpan w:val="8"/>
            <w:shd w:val="clear" w:color="auto" w:fill="auto"/>
          </w:tcPr>
          <w:p w14:paraId="45D39241" w14:textId="77777777" w:rsidR="003A05A3" w:rsidRPr="00E16672" w:rsidRDefault="003A05A3" w:rsidP="00843027">
            <w:pPr>
              <w:pStyle w:val="WW-1"/>
              <w:tabs>
                <w:tab w:val="left" w:pos="709"/>
              </w:tabs>
              <w:snapToGrid w:val="0"/>
              <w:ind w:left="40" w:right="138"/>
              <w:jc w:val="both"/>
              <w:rPr>
                <w:rFonts w:eastAsia="Times New Roman"/>
                <w:i w:val="0"/>
                <w:sz w:val="16"/>
                <w:szCs w:val="16"/>
                <w:lang w:val="uk-UA"/>
              </w:rPr>
            </w:pPr>
            <w:r w:rsidRPr="00E16672">
              <w:rPr>
                <w:i w:val="0"/>
                <w:sz w:val="16"/>
                <w:szCs w:val="16"/>
              </w:rPr>
              <w:t>2.3</w:t>
            </w:r>
            <w:r w:rsidRPr="00E16672">
              <w:rPr>
                <w:rFonts w:eastAsia="Times New Roman"/>
                <w:i w:val="0"/>
                <w:sz w:val="16"/>
                <w:szCs w:val="16"/>
                <w:lang w:val="uk-UA"/>
              </w:rPr>
              <w:t xml:space="preserve">.5. Сплатити Депозитарній установі повну вартість отриманих, але не сплачених послуг протягом </w:t>
            </w:r>
            <w:r w:rsidRPr="00E16672">
              <w:rPr>
                <w:rFonts w:eastAsia="Times New Roman"/>
                <w:sz w:val="16"/>
                <w:szCs w:val="16"/>
                <w:lang w:val="uk-UA"/>
              </w:rPr>
              <w:t>десяти банківських днів</w:t>
            </w:r>
            <w:r w:rsidRPr="00E16672">
              <w:rPr>
                <w:rFonts w:eastAsia="Times New Roman"/>
                <w:i w:val="0"/>
                <w:sz w:val="16"/>
                <w:szCs w:val="16"/>
                <w:lang w:val="uk-UA"/>
              </w:rPr>
              <w:t xml:space="preserve"> після отримання письмового повідомлення про розірвання цього Договору.</w:t>
            </w:r>
          </w:p>
          <w:p w14:paraId="609E9ED4" w14:textId="77777777" w:rsidR="003A05A3" w:rsidRPr="00E16672" w:rsidRDefault="003A05A3" w:rsidP="00843027">
            <w:pPr>
              <w:pStyle w:val="1b"/>
              <w:spacing w:before="0" w:after="0"/>
              <w:ind w:left="40" w:right="138" w:firstLine="0"/>
              <w:rPr>
                <w:rFonts w:ascii="Times New Roman" w:eastAsia="Times New Roman" w:hAnsi="Times New Roman" w:cs="Times New Roman"/>
                <w:sz w:val="16"/>
                <w:szCs w:val="16"/>
              </w:rPr>
            </w:pPr>
          </w:p>
        </w:tc>
        <w:tc>
          <w:tcPr>
            <w:tcW w:w="5494" w:type="dxa"/>
            <w:gridSpan w:val="6"/>
            <w:shd w:val="clear" w:color="auto" w:fill="auto"/>
          </w:tcPr>
          <w:p w14:paraId="40401557" w14:textId="77777777" w:rsidR="003A05A3" w:rsidRPr="00E16672" w:rsidRDefault="003A05A3" w:rsidP="00843027">
            <w:pPr>
              <w:pStyle w:val="210"/>
              <w:tabs>
                <w:tab w:val="left" w:pos="287"/>
                <w:tab w:val="left" w:pos="1191"/>
              </w:tabs>
              <w:snapToGrid w:val="0"/>
              <w:ind w:left="175" w:right="138" w:firstLine="0"/>
              <w:rPr>
                <w:rFonts w:ascii="Times New Roman" w:hAnsi="Times New Roman"/>
                <w:sz w:val="16"/>
                <w:szCs w:val="16"/>
              </w:rPr>
            </w:pPr>
            <w:r w:rsidRPr="00E16672">
              <w:rPr>
                <w:rFonts w:ascii="Times New Roman" w:hAnsi="Times New Roman"/>
                <w:sz w:val="16"/>
                <w:szCs w:val="16"/>
                <w:lang w:val="en-US"/>
              </w:rPr>
              <w:t>2</w:t>
            </w:r>
            <w:r w:rsidRPr="00E16672">
              <w:rPr>
                <w:rFonts w:ascii="Times New Roman" w:hAnsi="Times New Roman"/>
                <w:sz w:val="16"/>
                <w:szCs w:val="16"/>
              </w:rPr>
              <w:t>.</w:t>
            </w:r>
            <w:r w:rsidRPr="00E16672">
              <w:rPr>
                <w:rFonts w:ascii="Times New Roman" w:hAnsi="Times New Roman"/>
                <w:sz w:val="16"/>
                <w:szCs w:val="16"/>
                <w:lang w:val="en-US"/>
              </w:rPr>
              <w:t>3</w:t>
            </w:r>
            <w:r w:rsidRPr="00E16672">
              <w:rPr>
                <w:rFonts w:ascii="Times New Roman" w:hAnsi="Times New Roman"/>
                <w:sz w:val="16"/>
                <w:szCs w:val="16"/>
              </w:rPr>
              <w:t xml:space="preserve">.5. </w:t>
            </w:r>
            <w:proofErr w:type="spellStart"/>
            <w:r w:rsidRPr="00E16672">
              <w:rPr>
                <w:rFonts w:ascii="Times New Roman" w:hAnsi="Times New Roman"/>
                <w:sz w:val="16"/>
                <w:szCs w:val="16"/>
              </w:rPr>
              <w:t>To</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pay</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full</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price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to</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Depository</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institution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received</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but</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not</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paid</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services</w:t>
            </w:r>
            <w:proofErr w:type="spellEnd"/>
            <w:r w:rsidRPr="00E16672">
              <w:rPr>
                <w:rFonts w:ascii="Times New Roman" w:hAnsi="Times New Roman"/>
                <w:sz w:val="16"/>
                <w:szCs w:val="16"/>
              </w:rPr>
              <w:t xml:space="preserve"> </w:t>
            </w:r>
            <w:proofErr w:type="spellStart"/>
            <w:r w:rsidRPr="00E16672">
              <w:rPr>
                <w:rFonts w:ascii="Times New Roman" w:hAnsi="Times New Roman"/>
                <w:i/>
                <w:sz w:val="16"/>
                <w:szCs w:val="16"/>
              </w:rPr>
              <w:t>within</w:t>
            </w:r>
            <w:proofErr w:type="spellEnd"/>
            <w:r w:rsidRPr="00E16672">
              <w:rPr>
                <w:rFonts w:ascii="Times New Roman" w:hAnsi="Times New Roman"/>
                <w:i/>
                <w:sz w:val="16"/>
                <w:szCs w:val="16"/>
              </w:rPr>
              <w:t xml:space="preserve"> </w:t>
            </w:r>
            <w:proofErr w:type="spellStart"/>
            <w:r w:rsidRPr="00E16672">
              <w:rPr>
                <w:rFonts w:ascii="Times New Roman" w:hAnsi="Times New Roman"/>
                <w:i/>
                <w:sz w:val="16"/>
                <w:szCs w:val="16"/>
              </w:rPr>
              <w:t>ten</w:t>
            </w:r>
            <w:proofErr w:type="spellEnd"/>
            <w:r w:rsidRPr="00E16672">
              <w:rPr>
                <w:rFonts w:ascii="Times New Roman" w:hAnsi="Times New Roman"/>
                <w:i/>
                <w:sz w:val="16"/>
                <w:szCs w:val="16"/>
              </w:rPr>
              <w:t xml:space="preserve"> </w:t>
            </w:r>
            <w:proofErr w:type="spellStart"/>
            <w:r w:rsidRPr="00E16672">
              <w:rPr>
                <w:rFonts w:ascii="Times New Roman" w:hAnsi="Times New Roman"/>
                <w:i/>
                <w:sz w:val="16"/>
                <w:szCs w:val="16"/>
              </w:rPr>
              <w:t>banking</w:t>
            </w:r>
            <w:proofErr w:type="spellEnd"/>
            <w:r w:rsidRPr="00E16672">
              <w:rPr>
                <w:rFonts w:ascii="Times New Roman" w:hAnsi="Times New Roman"/>
                <w:i/>
                <w:sz w:val="16"/>
                <w:szCs w:val="16"/>
              </w:rPr>
              <w:t xml:space="preserve"> </w:t>
            </w:r>
            <w:proofErr w:type="spellStart"/>
            <w:r w:rsidRPr="00E16672">
              <w:rPr>
                <w:rFonts w:ascii="Times New Roman" w:hAnsi="Times New Roman"/>
                <w:i/>
                <w:sz w:val="16"/>
                <w:szCs w:val="16"/>
              </w:rPr>
              <w:t>days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after</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receipt</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of</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written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notice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of</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termination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of</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this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Agreement</w:t>
            </w:r>
            <w:proofErr w:type="spellEnd"/>
            <w:r w:rsidRPr="00E16672">
              <w:rPr>
                <w:rFonts w:ascii="Times New Roman" w:hAnsi="Times New Roman"/>
                <w:sz w:val="16"/>
                <w:szCs w:val="16"/>
              </w:rPr>
              <w:t>.</w:t>
            </w:r>
          </w:p>
          <w:p w14:paraId="757F7AC7" w14:textId="77777777" w:rsidR="003A05A3" w:rsidRPr="00E16672" w:rsidRDefault="003A05A3" w:rsidP="00843027">
            <w:pPr>
              <w:tabs>
                <w:tab w:val="left" w:pos="287"/>
              </w:tabs>
              <w:ind w:left="175" w:right="138" w:firstLine="0"/>
              <w:rPr>
                <w:rFonts w:ascii="Times New Roman" w:hAnsi="Times New Roman"/>
                <w:b/>
                <w:bCs/>
                <w:sz w:val="16"/>
                <w:szCs w:val="16"/>
                <w:lang w:val="en-GB"/>
              </w:rPr>
            </w:pPr>
          </w:p>
        </w:tc>
      </w:tr>
      <w:tr w:rsidR="003A05A3" w:rsidRPr="00F23413" w14:paraId="48EDE3D1" w14:textId="77777777" w:rsidTr="00242F58">
        <w:trPr>
          <w:trHeight w:val="192"/>
        </w:trPr>
        <w:tc>
          <w:tcPr>
            <w:tcW w:w="5696" w:type="dxa"/>
            <w:gridSpan w:val="8"/>
            <w:shd w:val="clear" w:color="auto" w:fill="auto"/>
          </w:tcPr>
          <w:p w14:paraId="354E5890" w14:textId="77777777" w:rsidR="003A05A3" w:rsidRPr="00E16672" w:rsidRDefault="003A05A3" w:rsidP="00843027">
            <w:pPr>
              <w:tabs>
                <w:tab w:val="left" w:pos="709"/>
              </w:tabs>
              <w:snapToGrid w:val="0"/>
              <w:ind w:left="40" w:right="138" w:firstLine="0"/>
              <w:rPr>
                <w:rFonts w:ascii="Times New Roman" w:hAnsi="Times New Roman"/>
                <w:color w:val="000000"/>
                <w:sz w:val="16"/>
                <w:szCs w:val="16"/>
              </w:rPr>
            </w:pPr>
            <w:r w:rsidRPr="00E16672">
              <w:rPr>
                <w:rFonts w:ascii="Times New Roman" w:hAnsi="Times New Roman"/>
                <w:color w:val="000000"/>
                <w:sz w:val="16"/>
                <w:szCs w:val="16"/>
              </w:rPr>
              <w:t xml:space="preserve">2.3.6. </w:t>
            </w:r>
            <w:r w:rsidRPr="00E16672">
              <w:rPr>
                <w:rFonts w:ascii="Times New Roman" w:hAnsi="Times New Roman"/>
                <w:color w:val="000000"/>
                <w:sz w:val="16"/>
                <w:szCs w:val="16"/>
                <w:lang w:val="uk-UA"/>
              </w:rPr>
              <w:t>Надавати Депозитарній установі документи, які передбачені законодавством України та внутрішніми документами Депозитарної установи як обов'язкові для подання або необхідні їй для виконання дій згідно з вимогами законодавства України та умовами Договору</w:t>
            </w:r>
            <w:r w:rsidRPr="00E16672">
              <w:rPr>
                <w:rFonts w:ascii="Times New Roman" w:hAnsi="Times New Roman"/>
                <w:color w:val="000000"/>
                <w:sz w:val="16"/>
                <w:szCs w:val="16"/>
              </w:rPr>
              <w:t>.</w:t>
            </w:r>
          </w:p>
          <w:p w14:paraId="19A8578B" w14:textId="77777777" w:rsidR="003A05A3" w:rsidRPr="00E16672" w:rsidRDefault="003A05A3" w:rsidP="00843027">
            <w:pPr>
              <w:tabs>
                <w:tab w:val="left" w:pos="709"/>
              </w:tabs>
              <w:ind w:left="40" w:right="138" w:firstLine="0"/>
              <w:rPr>
                <w:rFonts w:ascii="Times New Roman" w:hAnsi="Times New Roman"/>
                <w:color w:val="000000"/>
                <w:sz w:val="16"/>
                <w:szCs w:val="16"/>
              </w:rPr>
            </w:pPr>
          </w:p>
        </w:tc>
        <w:tc>
          <w:tcPr>
            <w:tcW w:w="5494" w:type="dxa"/>
            <w:gridSpan w:val="6"/>
            <w:shd w:val="clear" w:color="auto" w:fill="auto"/>
          </w:tcPr>
          <w:p w14:paraId="6A33310E" w14:textId="77777777" w:rsidR="003A05A3" w:rsidRPr="00E16672" w:rsidRDefault="003A05A3" w:rsidP="00843027">
            <w:pPr>
              <w:tabs>
                <w:tab w:val="left" w:pos="287"/>
              </w:tabs>
              <w:snapToGrid w:val="0"/>
              <w:ind w:left="145" w:right="100" w:firstLine="0"/>
              <w:rPr>
                <w:rFonts w:ascii="Times New Roman" w:hAnsi="Times New Roman"/>
                <w:color w:val="000000"/>
                <w:sz w:val="16"/>
                <w:szCs w:val="16"/>
                <w:lang w:val="en-US"/>
              </w:rPr>
            </w:pPr>
            <w:r w:rsidRPr="00E16672">
              <w:rPr>
                <w:rFonts w:ascii="Times New Roman" w:hAnsi="Times New Roman"/>
                <w:color w:val="000000"/>
                <w:sz w:val="16"/>
                <w:szCs w:val="16"/>
                <w:lang w:val="en-US"/>
              </w:rPr>
              <w:t>2</w:t>
            </w:r>
            <w:r w:rsidRPr="00E16672">
              <w:rPr>
                <w:rFonts w:ascii="Times New Roman" w:hAnsi="Times New Roman"/>
                <w:color w:val="000000"/>
                <w:sz w:val="16"/>
                <w:szCs w:val="16"/>
                <w:lang w:val="en-GB"/>
              </w:rPr>
              <w:t>.</w:t>
            </w:r>
            <w:r w:rsidRPr="00E16672">
              <w:rPr>
                <w:rFonts w:ascii="Times New Roman" w:hAnsi="Times New Roman"/>
                <w:color w:val="000000"/>
                <w:sz w:val="16"/>
                <w:szCs w:val="16"/>
                <w:lang w:val="en-US"/>
              </w:rPr>
              <w:t>3</w:t>
            </w:r>
            <w:r w:rsidRPr="00E16672">
              <w:rPr>
                <w:rFonts w:ascii="Times New Roman" w:hAnsi="Times New Roman"/>
                <w:color w:val="000000"/>
                <w:sz w:val="16"/>
                <w:szCs w:val="16"/>
                <w:lang w:val="en-GB"/>
              </w:rPr>
              <w:t xml:space="preserve">.6. Provide </w:t>
            </w:r>
            <w:r w:rsidRPr="00E16672">
              <w:rPr>
                <w:rFonts w:ascii="Times New Roman" w:hAnsi="Times New Roman"/>
                <w:color w:val="000000"/>
                <w:sz w:val="16"/>
                <w:szCs w:val="16"/>
                <w:lang w:val="en-US"/>
              </w:rPr>
              <w:t>D</w:t>
            </w:r>
            <w:proofErr w:type="spellStart"/>
            <w:r w:rsidRPr="00E16672">
              <w:rPr>
                <w:rFonts w:ascii="Times New Roman" w:hAnsi="Times New Roman"/>
                <w:color w:val="000000"/>
                <w:sz w:val="16"/>
                <w:szCs w:val="16"/>
                <w:lang w:val="en-GB"/>
              </w:rPr>
              <w:t>epository</w:t>
            </w:r>
            <w:proofErr w:type="spellEnd"/>
            <w:r w:rsidRPr="00E16672">
              <w:rPr>
                <w:rFonts w:ascii="Times New Roman" w:hAnsi="Times New Roman"/>
                <w:color w:val="000000"/>
                <w:sz w:val="16"/>
                <w:szCs w:val="16"/>
                <w:lang w:val="en-GB"/>
              </w:rPr>
              <w:t xml:space="preserve"> institution documents that provided by the law of Ukraine and internal </w:t>
            </w:r>
            <w:proofErr w:type="gramStart"/>
            <w:r w:rsidRPr="00E16672">
              <w:rPr>
                <w:rFonts w:ascii="Times New Roman" w:hAnsi="Times New Roman"/>
                <w:color w:val="000000"/>
                <w:sz w:val="16"/>
                <w:szCs w:val="16"/>
                <w:lang w:val="en-GB"/>
              </w:rPr>
              <w:t>documents  of</w:t>
            </w:r>
            <w:proofErr w:type="gramEnd"/>
            <w:r w:rsidRPr="00E16672">
              <w:rPr>
                <w:rFonts w:ascii="Times New Roman" w:hAnsi="Times New Roman"/>
                <w:color w:val="000000"/>
                <w:sz w:val="16"/>
                <w:szCs w:val="16"/>
                <w:lang w:val="en-GB"/>
              </w:rPr>
              <w:t xml:space="preserve"> Depository institution as required for submission or necessary for the performance of activities in accordance with law of Ukraine and the terms of the </w:t>
            </w:r>
            <w:r w:rsidRPr="00E16672">
              <w:rPr>
                <w:rFonts w:ascii="Times New Roman" w:hAnsi="Times New Roman"/>
                <w:color w:val="000000"/>
                <w:sz w:val="16"/>
                <w:szCs w:val="16"/>
                <w:lang w:val="en-US"/>
              </w:rPr>
              <w:t>Agreement.</w:t>
            </w:r>
          </w:p>
        </w:tc>
      </w:tr>
      <w:tr w:rsidR="003A05A3" w:rsidRPr="00F23413" w14:paraId="11D5DFC1" w14:textId="77777777" w:rsidTr="00242F58">
        <w:trPr>
          <w:trHeight w:val="192"/>
        </w:trPr>
        <w:tc>
          <w:tcPr>
            <w:tcW w:w="5696" w:type="dxa"/>
            <w:gridSpan w:val="8"/>
            <w:shd w:val="clear" w:color="auto" w:fill="auto"/>
          </w:tcPr>
          <w:p w14:paraId="69499AD2" w14:textId="77777777" w:rsidR="003A05A3" w:rsidRPr="00E16672" w:rsidRDefault="003A05A3" w:rsidP="00843027">
            <w:pPr>
              <w:tabs>
                <w:tab w:val="left" w:pos="709"/>
              </w:tabs>
              <w:snapToGrid w:val="0"/>
              <w:ind w:left="40" w:right="138" w:firstLine="0"/>
              <w:rPr>
                <w:rFonts w:ascii="Times New Roman" w:hAnsi="Times New Roman"/>
                <w:sz w:val="16"/>
                <w:szCs w:val="16"/>
              </w:rPr>
            </w:pPr>
            <w:r w:rsidRPr="00E16672">
              <w:rPr>
                <w:rFonts w:ascii="Times New Roman" w:hAnsi="Times New Roman"/>
                <w:sz w:val="16"/>
                <w:szCs w:val="16"/>
              </w:rPr>
              <w:t xml:space="preserve">2.3.7. </w:t>
            </w:r>
            <w:proofErr w:type="spellStart"/>
            <w:r w:rsidRPr="00E16672">
              <w:rPr>
                <w:rFonts w:ascii="Times New Roman" w:hAnsi="Times New Roman"/>
                <w:sz w:val="16"/>
                <w:szCs w:val="16"/>
              </w:rPr>
              <w:t>Протягом</w:t>
            </w:r>
            <w:proofErr w:type="spellEnd"/>
            <w:r w:rsidRPr="00E16672">
              <w:rPr>
                <w:rFonts w:ascii="Times New Roman" w:hAnsi="Times New Roman"/>
                <w:sz w:val="16"/>
                <w:szCs w:val="16"/>
              </w:rPr>
              <w:t xml:space="preserve"> </w:t>
            </w:r>
            <w:proofErr w:type="spellStart"/>
            <w:r w:rsidRPr="00E16672">
              <w:rPr>
                <w:rFonts w:ascii="Times New Roman" w:hAnsi="Times New Roman"/>
                <w:i/>
                <w:sz w:val="16"/>
                <w:szCs w:val="16"/>
              </w:rPr>
              <w:t>десят</w:t>
            </w:r>
            <w:proofErr w:type="spellEnd"/>
            <w:r w:rsidRPr="00E16672">
              <w:rPr>
                <w:rFonts w:ascii="Times New Roman" w:hAnsi="Times New Roman"/>
                <w:i/>
                <w:sz w:val="16"/>
                <w:szCs w:val="16"/>
                <w:lang w:val="uk-UA"/>
              </w:rPr>
              <w:t>и</w:t>
            </w:r>
            <w:r w:rsidRPr="00E16672">
              <w:rPr>
                <w:rFonts w:ascii="Times New Roman" w:hAnsi="Times New Roman"/>
                <w:i/>
                <w:sz w:val="16"/>
                <w:szCs w:val="16"/>
              </w:rPr>
              <w:t xml:space="preserve"> </w:t>
            </w:r>
            <w:proofErr w:type="spellStart"/>
            <w:r w:rsidRPr="00E16672">
              <w:rPr>
                <w:rFonts w:ascii="Times New Roman" w:hAnsi="Times New Roman"/>
                <w:i/>
                <w:sz w:val="16"/>
                <w:szCs w:val="16"/>
              </w:rPr>
              <w:t>робочих</w:t>
            </w:r>
            <w:proofErr w:type="spellEnd"/>
            <w:r w:rsidRPr="00E16672">
              <w:rPr>
                <w:rFonts w:ascii="Times New Roman" w:hAnsi="Times New Roman"/>
                <w:i/>
                <w:sz w:val="16"/>
                <w:szCs w:val="16"/>
              </w:rPr>
              <w:t xml:space="preserve"> </w:t>
            </w:r>
            <w:proofErr w:type="spellStart"/>
            <w:r w:rsidRPr="00E16672">
              <w:rPr>
                <w:rFonts w:ascii="Times New Roman" w:hAnsi="Times New Roman"/>
                <w:i/>
                <w:sz w:val="16"/>
                <w:szCs w:val="16"/>
              </w:rPr>
              <w:t>днів</w:t>
            </w:r>
            <w:proofErr w:type="spellEnd"/>
            <w:r w:rsidRPr="00E16672">
              <w:rPr>
                <w:rFonts w:ascii="Times New Roman" w:hAnsi="Times New Roman"/>
                <w:sz w:val="16"/>
                <w:szCs w:val="16"/>
              </w:rPr>
              <w:t xml:space="preserve"> з </w:t>
            </w:r>
            <w:proofErr w:type="spellStart"/>
            <w:r w:rsidRPr="00E16672">
              <w:rPr>
                <w:rFonts w:ascii="Times New Roman" w:hAnsi="Times New Roman"/>
                <w:sz w:val="16"/>
                <w:szCs w:val="16"/>
              </w:rPr>
              <w:t>дати</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внесення</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відповідних</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змін</w:t>
            </w:r>
            <w:proofErr w:type="spellEnd"/>
            <w:r w:rsidRPr="00E16672">
              <w:rPr>
                <w:rFonts w:ascii="Times New Roman" w:hAnsi="Times New Roman"/>
                <w:sz w:val="16"/>
                <w:szCs w:val="16"/>
              </w:rPr>
              <w:t xml:space="preserve"> до </w:t>
            </w:r>
            <w:proofErr w:type="spellStart"/>
            <w:r w:rsidRPr="00E16672">
              <w:rPr>
                <w:rFonts w:ascii="Times New Roman" w:hAnsi="Times New Roman"/>
                <w:sz w:val="16"/>
                <w:szCs w:val="16"/>
              </w:rPr>
              <w:t>своїх</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реквізитів</w:t>
            </w:r>
            <w:proofErr w:type="spellEnd"/>
            <w:r w:rsidRPr="00E16672">
              <w:rPr>
                <w:rFonts w:ascii="Times New Roman" w:hAnsi="Times New Roman"/>
                <w:sz w:val="16"/>
                <w:szCs w:val="16"/>
              </w:rPr>
              <w:t xml:space="preserve"> </w:t>
            </w:r>
            <w:r w:rsidRPr="00E16672">
              <w:rPr>
                <w:rFonts w:ascii="Times New Roman" w:hAnsi="Times New Roman"/>
                <w:color w:val="000000"/>
                <w:sz w:val="16"/>
                <w:szCs w:val="20"/>
                <w:lang w:val="uk-UA"/>
              </w:rPr>
              <w:t>(</w:t>
            </w:r>
            <w:r w:rsidRPr="00E16672">
              <w:rPr>
                <w:rFonts w:ascii="Times New Roman" w:hAnsi="Times New Roman"/>
                <w:sz w:val="16"/>
                <w:szCs w:val="20"/>
                <w:lang w:val="uk-UA"/>
              </w:rPr>
              <w:t>в тому числі адреси електронної пошти</w:t>
            </w:r>
            <w:r w:rsidRPr="00E16672">
              <w:rPr>
                <w:rFonts w:ascii="Times New Roman" w:hAnsi="Times New Roman"/>
                <w:color w:val="000000"/>
                <w:sz w:val="16"/>
                <w:szCs w:val="20"/>
                <w:lang w:val="uk-UA"/>
              </w:rPr>
              <w:t xml:space="preserve"> та номера телефону для направлення текстових повідомлень) </w:t>
            </w:r>
            <w:proofErr w:type="spellStart"/>
            <w:r w:rsidRPr="00E16672">
              <w:rPr>
                <w:rFonts w:ascii="Times New Roman" w:hAnsi="Times New Roman"/>
                <w:sz w:val="16"/>
                <w:szCs w:val="16"/>
              </w:rPr>
              <w:t>або</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документів</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що</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надавалися</w:t>
            </w:r>
            <w:proofErr w:type="spellEnd"/>
            <w:r w:rsidRPr="00E16672">
              <w:rPr>
                <w:rFonts w:ascii="Times New Roman" w:hAnsi="Times New Roman"/>
                <w:sz w:val="16"/>
                <w:szCs w:val="16"/>
              </w:rPr>
              <w:t xml:space="preserve"> для </w:t>
            </w:r>
            <w:proofErr w:type="spellStart"/>
            <w:r w:rsidRPr="00E16672">
              <w:rPr>
                <w:rFonts w:ascii="Times New Roman" w:hAnsi="Times New Roman"/>
                <w:sz w:val="16"/>
                <w:szCs w:val="16"/>
              </w:rPr>
              <w:t>відкриття</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рахунк</w:t>
            </w:r>
            <w:proofErr w:type="spellEnd"/>
            <w:r w:rsidRPr="00E16672">
              <w:rPr>
                <w:rFonts w:ascii="Times New Roman" w:hAnsi="Times New Roman"/>
                <w:sz w:val="16"/>
                <w:szCs w:val="16"/>
                <w:lang w:val="uk-UA"/>
              </w:rPr>
              <w:t>у</w:t>
            </w:r>
            <w:r w:rsidRPr="00E16672">
              <w:rPr>
                <w:rFonts w:ascii="Times New Roman" w:hAnsi="Times New Roman"/>
                <w:sz w:val="16"/>
                <w:szCs w:val="16"/>
              </w:rPr>
              <w:t xml:space="preserve"> в </w:t>
            </w:r>
            <w:proofErr w:type="spellStart"/>
            <w:r w:rsidRPr="00E16672">
              <w:rPr>
                <w:rFonts w:ascii="Times New Roman" w:hAnsi="Times New Roman"/>
                <w:sz w:val="16"/>
                <w:szCs w:val="16"/>
              </w:rPr>
              <w:t>цінних</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паперах</w:t>
            </w:r>
            <w:proofErr w:type="spellEnd"/>
            <w:r w:rsidRPr="00E16672">
              <w:rPr>
                <w:rFonts w:ascii="Times New Roman" w:hAnsi="Times New Roman"/>
                <w:sz w:val="16"/>
                <w:szCs w:val="16"/>
              </w:rPr>
              <w:t xml:space="preserve">, </w:t>
            </w:r>
            <w:proofErr w:type="spellStart"/>
            <w:proofErr w:type="gramStart"/>
            <w:r w:rsidRPr="00E16672">
              <w:rPr>
                <w:rFonts w:ascii="Times New Roman" w:hAnsi="Times New Roman"/>
                <w:sz w:val="16"/>
                <w:szCs w:val="16"/>
              </w:rPr>
              <w:t>надавати</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інформацію</w:t>
            </w:r>
            <w:proofErr w:type="spellEnd"/>
            <w:proofErr w:type="gramEnd"/>
            <w:r w:rsidRPr="00E16672">
              <w:rPr>
                <w:rFonts w:ascii="Times New Roman" w:hAnsi="Times New Roman"/>
                <w:sz w:val="16"/>
                <w:szCs w:val="16"/>
              </w:rPr>
              <w:t xml:space="preserve"> про </w:t>
            </w:r>
            <w:proofErr w:type="spellStart"/>
            <w:r w:rsidRPr="00E16672">
              <w:rPr>
                <w:rFonts w:ascii="Times New Roman" w:hAnsi="Times New Roman"/>
                <w:sz w:val="16"/>
                <w:szCs w:val="16"/>
              </w:rPr>
              <w:t>ці</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зміни</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Депозитарній</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установі</w:t>
            </w:r>
            <w:proofErr w:type="spellEnd"/>
            <w:r w:rsidRPr="00E16672">
              <w:rPr>
                <w:rFonts w:ascii="Times New Roman" w:hAnsi="Times New Roman"/>
                <w:sz w:val="16"/>
                <w:szCs w:val="16"/>
              </w:rPr>
              <w:t xml:space="preserve"> у порядку, </w:t>
            </w:r>
            <w:proofErr w:type="spellStart"/>
            <w:r w:rsidRPr="00E16672">
              <w:rPr>
                <w:rFonts w:ascii="Times New Roman" w:hAnsi="Times New Roman"/>
                <w:sz w:val="16"/>
                <w:szCs w:val="16"/>
              </w:rPr>
              <w:t>встановленому</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законодавством</w:t>
            </w:r>
            <w:proofErr w:type="spellEnd"/>
            <w:r w:rsidRPr="00E16672">
              <w:rPr>
                <w:rFonts w:ascii="Times New Roman" w:hAnsi="Times New Roman"/>
                <w:sz w:val="16"/>
                <w:szCs w:val="16"/>
              </w:rPr>
              <w:t xml:space="preserve"> та </w:t>
            </w:r>
            <w:proofErr w:type="spellStart"/>
            <w:r w:rsidRPr="00E16672">
              <w:rPr>
                <w:rFonts w:ascii="Times New Roman" w:hAnsi="Times New Roman"/>
                <w:sz w:val="16"/>
                <w:szCs w:val="16"/>
              </w:rPr>
              <w:t>внутрішніми</w:t>
            </w:r>
            <w:proofErr w:type="spellEnd"/>
            <w:r w:rsidRPr="00E16672">
              <w:rPr>
                <w:rFonts w:ascii="Times New Roman" w:hAnsi="Times New Roman"/>
                <w:sz w:val="16"/>
                <w:szCs w:val="16"/>
              </w:rPr>
              <w:t xml:space="preserve"> документами </w:t>
            </w:r>
            <w:proofErr w:type="spellStart"/>
            <w:r w:rsidRPr="00E16672">
              <w:rPr>
                <w:rFonts w:ascii="Times New Roman" w:hAnsi="Times New Roman"/>
                <w:sz w:val="16"/>
                <w:szCs w:val="16"/>
              </w:rPr>
              <w:t>Депозитарної</w:t>
            </w:r>
            <w:proofErr w:type="spellEnd"/>
            <w:r w:rsidRPr="00E16672">
              <w:rPr>
                <w:rFonts w:ascii="Times New Roman" w:hAnsi="Times New Roman"/>
                <w:sz w:val="16"/>
                <w:szCs w:val="16"/>
              </w:rPr>
              <w:t xml:space="preserve"> установи.</w:t>
            </w:r>
          </w:p>
          <w:p w14:paraId="47C55895" w14:textId="77777777" w:rsidR="003A05A3" w:rsidRPr="00E16672" w:rsidRDefault="003A05A3" w:rsidP="00843027">
            <w:pPr>
              <w:tabs>
                <w:tab w:val="left" w:pos="709"/>
              </w:tabs>
              <w:ind w:left="40" w:right="138" w:firstLine="0"/>
              <w:rPr>
                <w:rFonts w:ascii="Times New Roman" w:hAnsi="Times New Roman"/>
                <w:sz w:val="16"/>
                <w:szCs w:val="16"/>
              </w:rPr>
            </w:pPr>
          </w:p>
        </w:tc>
        <w:tc>
          <w:tcPr>
            <w:tcW w:w="5494" w:type="dxa"/>
            <w:gridSpan w:val="6"/>
            <w:shd w:val="clear" w:color="auto" w:fill="auto"/>
          </w:tcPr>
          <w:p w14:paraId="78E4345A" w14:textId="77777777" w:rsidR="003A05A3" w:rsidRPr="00E16672" w:rsidRDefault="003A05A3" w:rsidP="00843027">
            <w:pPr>
              <w:pStyle w:val="210"/>
              <w:tabs>
                <w:tab w:val="left" w:pos="287"/>
                <w:tab w:val="left" w:pos="1191"/>
              </w:tabs>
              <w:snapToGrid w:val="0"/>
              <w:ind w:left="145" w:right="100" w:firstLine="0"/>
              <w:rPr>
                <w:rFonts w:ascii="Times New Roman" w:hAnsi="Times New Roman"/>
                <w:sz w:val="16"/>
                <w:szCs w:val="16"/>
              </w:rPr>
            </w:pPr>
            <w:r w:rsidRPr="00E16672">
              <w:rPr>
                <w:rFonts w:ascii="Times New Roman" w:hAnsi="Times New Roman"/>
                <w:sz w:val="16"/>
                <w:szCs w:val="16"/>
                <w:lang w:val="en-US"/>
              </w:rPr>
              <w:t>2</w:t>
            </w:r>
            <w:r w:rsidRPr="00E16672">
              <w:rPr>
                <w:rFonts w:ascii="Times New Roman" w:hAnsi="Times New Roman"/>
                <w:sz w:val="16"/>
                <w:szCs w:val="16"/>
              </w:rPr>
              <w:t>.</w:t>
            </w:r>
            <w:r w:rsidRPr="00E16672">
              <w:rPr>
                <w:rFonts w:ascii="Times New Roman" w:hAnsi="Times New Roman"/>
                <w:sz w:val="16"/>
                <w:szCs w:val="16"/>
                <w:lang w:val="en-US"/>
              </w:rPr>
              <w:t>3</w:t>
            </w:r>
            <w:r w:rsidRPr="00E16672">
              <w:rPr>
                <w:rFonts w:ascii="Times New Roman" w:hAnsi="Times New Roman"/>
                <w:sz w:val="16"/>
                <w:szCs w:val="16"/>
              </w:rPr>
              <w:t xml:space="preserve">.7. </w:t>
            </w:r>
            <w:proofErr w:type="spellStart"/>
            <w:r w:rsidR="00F92811" w:rsidRPr="00E16672">
              <w:rPr>
                <w:rFonts w:ascii="Times New Roman" w:hAnsi="Times New Roman"/>
                <w:sz w:val="16"/>
                <w:szCs w:val="16"/>
              </w:rPr>
              <w:t>In</w:t>
            </w:r>
            <w:proofErr w:type="spellEnd"/>
            <w:r w:rsidR="00F92811" w:rsidRPr="00E16672">
              <w:rPr>
                <w:rFonts w:ascii="Times New Roman" w:hAnsi="Times New Roman"/>
                <w:sz w:val="16"/>
                <w:szCs w:val="16"/>
              </w:rPr>
              <w:t xml:space="preserve"> </w:t>
            </w:r>
            <w:r w:rsidR="00F92811" w:rsidRPr="00E16672">
              <w:rPr>
                <w:rFonts w:ascii="Times New Roman" w:hAnsi="Times New Roman"/>
                <w:i/>
                <w:sz w:val="16"/>
                <w:szCs w:val="16"/>
                <w:lang w:val="en-US"/>
              </w:rPr>
              <w:t>ten</w:t>
            </w:r>
            <w:r w:rsidR="00F92811" w:rsidRPr="00E16672">
              <w:rPr>
                <w:rFonts w:ascii="Times New Roman" w:hAnsi="Times New Roman"/>
                <w:sz w:val="16"/>
                <w:szCs w:val="16"/>
              </w:rPr>
              <w:t xml:space="preserve"> </w:t>
            </w:r>
            <w:proofErr w:type="spellStart"/>
            <w:r w:rsidR="00F92811" w:rsidRPr="00E16672">
              <w:rPr>
                <w:rFonts w:ascii="Times New Roman" w:hAnsi="Times New Roman"/>
                <w:i/>
                <w:sz w:val="16"/>
                <w:szCs w:val="16"/>
              </w:rPr>
              <w:t>working</w:t>
            </w:r>
            <w:proofErr w:type="spellEnd"/>
            <w:r w:rsidR="00F92811" w:rsidRPr="00E16672">
              <w:rPr>
                <w:rFonts w:ascii="Times New Roman" w:hAnsi="Times New Roman"/>
                <w:i/>
                <w:sz w:val="16"/>
                <w:szCs w:val="16"/>
              </w:rPr>
              <w:t xml:space="preserve"> </w:t>
            </w:r>
            <w:proofErr w:type="spellStart"/>
            <w:r w:rsidR="00F92811" w:rsidRPr="00E16672">
              <w:rPr>
                <w:rFonts w:ascii="Times New Roman" w:hAnsi="Times New Roman"/>
                <w:i/>
                <w:sz w:val="16"/>
                <w:szCs w:val="16"/>
              </w:rPr>
              <w:t>days</w:t>
            </w:r>
            <w:proofErr w:type="spellEnd"/>
            <w:r w:rsidR="00F92811" w:rsidRPr="00E16672">
              <w:rPr>
                <w:rFonts w:ascii="Times New Roman" w:hAnsi="Times New Roman"/>
                <w:sz w:val="16"/>
                <w:szCs w:val="16"/>
              </w:rPr>
              <w:t xml:space="preserve"> </w:t>
            </w:r>
            <w:proofErr w:type="spellStart"/>
            <w:r w:rsidR="00F92811" w:rsidRPr="00E16672">
              <w:rPr>
                <w:rFonts w:ascii="Times New Roman" w:hAnsi="Times New Roman"/>
                <w:sz w:val="16"/>
                <w:szCs w:val="16"/>
              </w:rPr>
              <w:t>after</w:t>
            </w:r>
            <w:proofErr w:type="spellEnd"/>
            <w:r w:rsidR="00F92811" w:rsidRPr="00E16672">
              <w:rPr>
                <w:rFonts w:ascii="Times New Roman" w:hAnsi="Times New Roman"/>
                <w:sz w:val="16"/>
                <w:szCs w:val="16"/>
              </w:rPr>
              <w:t xml:space="preserve"> </w:t>
            </w:r>
            <w:proofErr w:type="spellStart"/>
            <w:r w:rsidR="00F92811" w:rsidRPr="00E16672">
              <w:rPr>
                <w:rFonts w:ascii="Times New Roman" w:hAnsi="Times New Roman"/>
                <w:sz w:val="16"/>
                <w:szCs w:val="16"/>
              </w:rPr>
              <w:t>making</w:t>
            </w:r>
            <w:proofErr w:type="spellEnd"/>
            <w:r w:rsidR="00F92811" w:rsidRPr="00E16672">
              <w:rPr>
                <w:rFonts w:ascii="Times New Roman" w:hAnsi="Times New Roman"/>
                <w:sz w:val="16"/>
                <w:szCs w:val="16"/>
              </w:rPr>
              <w:t xml:space="preserve"> </w:t>
            </w:r>
            <w:proofErr w:type="spellStart"/>
            <w:r w:rsidR="00F92811" w:rsidRPr="00E16672">
              <w:rPr>
                <w:rFonts w:ascii="Times New Roman" w:hAnsi="Times New Roman"/>
                <w:sz w:val="16"/>
                <w:szCs w:val="16"/>
              </w:rPr>
              <w:t>the</w:t>
            </w:r>
            <w:proofErr w:type="spellEnd"/>
            <w:r w:rsidR="00F92811" w:rsidRPr="00E16672">
              <w:rPr>
                <w:rFonts w:ascii="Times New Roman" w:hAnsi="Times New Roman"/>
                <w:sz w:val="16"/>
                <w:szCs w:val="16"/>
              </w:rPr>
              <w:t xml:space="preserve"> </w:t>
            </w:r>
            <w:proofErr w:type="spellStart"/>
            <w:r w:rsidR="00F92811" w:rsidRPr="00E16672">
              <w:rPr>
                <w:rFonts w:ascii="Times New Roman" w:hAnsi="Times New Roman"/>
                <w:sz w:val="16"/>
                <w:szCs w:val="16"/>
              </w:rPr>
              <w:t>appropriate</w:t>
            </w:r>
            <w:proofErr w:type="spellEnd"/>
            <w:r w:rsidR="00F92811" w:rsidRPr="00E16672">
              <w:rPr>
                <w:rFonts w:ascii="Times New Roman" w:hAnsi="Times New Roman"/>
                <w:sz w:val="16"/>
                <w:szCs w:val="16"/>
              </w:rPr>
              <w:t xml:space="preserve"> </w:t>
            </w:r>
            <w:proofErr w:type="spellStart"/>
            <w:r w:rsidR="00F92811" w:rsidRPr="00E16672">
              <w:rPr>
                <w:rFonts w:ascii="Times New Roman" w:hAnsi="Times New Roman"/>
                <w:sz w:val="16"/>
                <w:szCs w:val="16"/>
              </w:rPr>
              <w:t>changes</w:t>
            </w:r>
            <w:proofErr w:type="spellEnd"/>
            <w:r w:rsidR="00F92811" w:rsidRPr="00E16672">
              <w:rPr>
                <w:rFonts w:ascii="Times New Roman" w:hAnsi="Times New Roman"/>
                <w:sz w:val="16"/>
                <w:szCs w:val="16"/>
              </w:rPr>
              <w:t xml:space="preserve"> </w:t>
            </w:r>
            <w:proofErr w:type="spellStart"/>
            <w:r w:rsidR="00F92811" w:rsidRPr="00E16672">
              <w:rPr>
                <w:rFonts w:ascii="Times New Roman" w:hAnsi="Times New Roman"/>
                <w:sz w:val="16"/>
                <w:szCs w:val="16"/>
              </w:rPr>
              <w:t>to</w:t>
            </w:r>
            <w:proofErr w:type="spellEnd"/>
            <w:r w:rsidR="00F92811" w:rsidRPr="00E16672">
              <w:rPr>
                <w:rFonts w:ascii="Times New Roman" w:hAnsi="Times New Roman"/>
                <w:sz w:val="16"/>
                <w:szCs w:val="16"/>
              </w:rPr>
              <w:t xml:space="preserve"> </w:t>
            </w:r>
            <w:proofErr w:type="spellStart"/>
            <w:r w:rsidR="00F92811" w:rsidRPr="00E16672">
              <w:rPr>
                <w:rFonts w:ascii="Times New Roman" w:hAnsi="Times New Roman"/>
                <w:sz w:val="16"/>
                <w:szCs w:val="16"/>
              </w:rPr>
              <w:t>their</w:t>
            </w:r>
            <w:proofErr w:type="spellEnd"/>
            <w:r w:rsidR="00F92811" w:rsidRPr="00E16672">
              <w:rPr>
                <w:rFonts w:ascii="Times New Roman" w:hAnsi="Times New Roman"/>
                <w:sz w:val="16"/>
                <w:szCs w:val="16"/>
              </w:rPr>
              <w:t xml:space="preserve"> </w:t>
            </w:r>
            <w:proofErr w:type="spellStart"/>
            <w:r w:rsidR="00F92811" w:rsidRPr="00E16672">
              <w:rPr>
                <w:rFonts w:ascii="Times New Roman" w:hAnsi="Times New Roman"/>
                <w:sz w:val="16"/>
                <w:szCs w:val="16"/>
              </w:rPr>
              <w:t>information</w:t>
            </w:r>
            <w:proofErr w:type="spellEnd"/>
            <w:r w:rsidR="00F92811" w:rsidRPr="00E16672">
              <w:rPr>
                <w:rFonts w:ascii="Times New Roman" w:hAnsi="Times New Roman"/>
                <w:sz w:val="16"/>
                <w:szCs w:val="16"/>
              </w:rPr>
              <w:t xml:space="preserve"> (</w:t>
            </w:r>
            <w:proofErr w:type="spellStart"/>
            <w:r w:rsidR="00F92811" w:rsidRPr="00E16672">
              <w:rPr>
                <w:rFonts w:ascii="Times New Roman" w:hAnsi="Times New Roman"/>
                <w:sz w:val="16"/>
                <w:szCs w:val="16"/>
              </w:rPr>
              <w:t>including</w:t>
            </w:r>
            <w:proofErr w:type="spellEnd"/>
            <w:r w:rsidR="00F92811" w:rsidRPr="00E16672">
              <w:rPr>
                <w:rFonts w:ascii="Times New Roman" w:hAnsi="Times New Roman"/>
                <w:sz w:val="16"/>
                <w:szCs w:val="16"/>
              </w:rPr>
              <w:t xml:space="preserve"> e-</w:t>
            </w:r>
            <w:proofErr w:type="spellStart"/>
            <w:r w:rsidR="00F92811" w:rsidRPr="00E16672">
              <w:rPr>
                <w:rFonts w:ascii="Times New Roman" w:hAnsi="Times New Roman"/>
                <w:sz w:val="16"/>
                <w:szCs w:val="16"/>
              </w:rPr>
              <w:t>mail</w:t>
            </w:r>
            <w:proofErr w:type="spellEnd"/>
            <w:r w:rsidR="00F92811" w:rsidRPr="00E16672">
              <w:rPr>
                <w:rFonts w:ascii="Times New Roman" w:hAnsi="Times New Roman"/>
                <w:sz w:val="16"/>
                <w:szCs w:val="16"/>
              </w:rPr>
              <w:t xml:space="preserve"> </w:t>
            </w:r>
            <w:proofErr w:type="spellStart"/>
            <w:r w:rsidR="00F92811" w:rsidRPr="00E16672">
              <w:rPr>
                <w:rFonts w:ascii="Times New Roman" w:hAnsi="Times New Roman"/>
                <w:sz w:val="16"/>
                <w:szCs w:val="16"/>
              </w:rPr>
              <w:t>addresses</w:t>
            </w:r>
            <w:proofErr w:type="spellEnd"/>
            <w:r w:rsidR="00F92811" w:rsidRPr="00E16672">
              <w:rPr>
                <w:rFonts w:ascii="Times New Roman" w:hAnsi="Times New Roman"/>
                <w:sz w:val="16"/>
                <w:szCs w:val="16"/>
              </w:rPr>
              <w:t xml:space="preserve"> </w:t>
            </w:r>
            <w:proofErr w:type="spellStart"/>
            <w:r w:rsidR="00F92811" w:rsidRPr="00E16672">
              <w:rPr>
                <w:rFonts w:ascii="Times New Roman" w:hAnsi="Times New Roman"/>
                <w:sz w:val="16"/>
                <w:szCs w:val="16"/>
              </w:rPr>
              <w:t>and</w:t>
            </w:r>
            <w:proofErr w:type="spellEnd"/>
            <w:r w:rsidR="00F92811" w:rsidRPr="00E16672">
              <w:rPr>
                <w:rFonts w:ascii="Times New Roman" w:hAnsi="Times New Roman"/>
                <w:sz w:val="16"/>
                <w:szCs w:val="16"/>
              </w:rPr>
              <w:t xml:space="preserve"> </w:t>
            </w:r>
            <w:proofErr w:type="spellStart"/>
            <w:r w:rsidR="00F92811" w:rsidRPr="00E16672">
              <w:rPr>
                <w:rFonts w:ascii="Times New Roman" w:hAnsi="Times New Roman"/>
                <w:sz w:val="16"/>
                <w:szCs w:val="16"/>
              </w:rPr>
              <w:t>phone</w:t>
            </w:r>
            <w:proofErr w:type="spellEnd"/>
            <w:r w:rsidR="00F92811" w:rsidRPr="00E16672">
              <w:rPr>
                <w:rFonts w:ascii="Times New Roman" w:hAnsi="Times New Roman"/>
                <w:sz w:val="16"/>
                <w:szCs w:val="16"/>
              </w:rPr>
              <w:t xml:space="preserve"> </w:t>
            </w:r>
            <w:proofErr w:type="spellStart"/>
            <w:r w:rsidR="00F92811" w:rsidRPr="00E16672">
              <w:rPr>
                <w:rFonts w:ascii="Times New Roman" w:hAnsi="Times New Roman"/>
                <w:sz w:val="16"/>
                <w:szCs w:val="16"/>
              </w:rPr>
              <w:t>numbers</w:t>
            </w:r>
            <w:proofErr w:type="spellEnd"/>
            <w:r w:rsidR="00F92811" w:rsidRPr="00E16672">
              <w:rPr>
                <w:rFonts w:ascii="Times New Roman" w:hAnsi="Times New Roman"/>
                <w:sz w:val="16"/>
                <w:szCs w:val="16"/>
              </w:rPr>
              <w:t xml:space="preserve"> </w:t>
            </w:r>
            <w:proofErr w:type="spellStart"/>
            <w:r w:rsidR="00F92811" w:rsidRPr="00E16672">
              <w:rPr>
                <w:rFonts w:ascii="Times New Roman" w:hAnsi="Times New Roman"/>
                <w:sz w:val="16"/>
                <w:szCs w:val="16"/>
              </w:rPr>
              <w:t>for</w:t>
            </w:r>
            <w:proofErr w:type="spellEnd"/>
            <w:r w:rsidR="00F92811" w:rsidRPr="00E16672">
              <w:rPr>
                <w:rFonts w:ascii="Times New Roman" w:hAnsi="Times New Roman"/>
                <w:sz w:val="16"/>
                <w:szCs w:val="16"/>
              </w:rPr>
              <w:t xml:space="preserve"> </w:t>
            </w:r>
            <w:proofErr w:type="spellStart"/>
            <w:r w:rsidR="00F92811" w:rsidRPr="00E16672">
              <w:rPr>
                <w:rFonts w:ascii="Times New Roman" w:hAnsi="Times New Roman"/>
                <w:sz w:val="16"/>
                <w:szCs w:val="16"/>
              </w:rPr>
              <w:t>sending</w:t>
            </w:r>
            <w:proofErr w:type="spellEnd"/>
            <w:r w:rsidR="00F92811" w:rsidRPr="00E16672">
              <w:rPr>
                <w:rFonts w:ascii="Times New Roman" w:hAnsi="Times New Roman"/>
                <w:sz w:val="16"/>
                <w:szCs w:val="16"/>
              </w:rPr>
              <w:t xml:space="preserve"> </w:t>
            </w:r>
            <w:proofErr w:type="spellStart"/>
            <w:r w:rsidR="00F92811" w:rsidRPr="00E16672">
              <w:rPr>
                <w:rFonts w:ascii="Times New Roman" w:hAnsi="Times New Roman"/>
                <w:sz w:val="16"/>
                <w:szCs w:val="16"/>
              </w:rPr>
              <w:t>text</w:t>
            </w:r>
            <w:proofErr w:type="spellEnd"/>
            <w:r w:rsidR="00F92811" w:rsidRPr="00E16672">
              <w:rPr>
                <w:rFonts w:ascii="Times New Roman" w:hAnsi="Times New Roman"/>
                <w:sz w:val="16"/>
                <w:szCs w:val="16"/>
              </w:rPr>
              <w:t xml:space="preserve"> </w:t>
            </w:r>
            <w:proofErr w:type="spellStart"/>
            <w:r w:rsidR="00F92811" w:rsidRPr="00E16672">
              <w:rPr>
                <w:rFonts w:ascii="Times New Roman" w:hAnsi="Times New Roman"/>
                <w:sz w:val="16"/>
                <w:szCs w:val="16"/>
              </w:rPr>
              <w:t>messages</w:t>
            </w:r>
            <w:proofErr w:type="spellEnd"/>
            <w:r w:rsidR="00F92811" w:rsidRPr="00E16672">
              <w:rPr>
                <w:rFonts w:ascii="Times New Roman" w:hAnsi="Times New Roman"/>
                <w:sz w:val="16"/>
                <w:szCs w:val="16"/>
              </w:rPr>
              <w:t>)</w:t>
            </w:r>
            <w:r w:rsidR="00F92811" w:rsidRPr="00E16672">
              <w:rPr>
                <w:rFonts w:ascii="Times New Roman" w:hAnsi="Times New Roman"/>
              </w:rPr>
              <w:t xml:space="preserve"> </w:t>
            </w:r>
            <w:proofErr w:type="spellStart"/>
            <w:r w:rsidR="00F92811" w:rsidRPr="00E16672">
              <w:rPr>
                <w:rFonts w:ascii="Times New Roman" w:hAnsi="Times New Roman"/>
                <w:sz w:val="16"/>
                <w:szCs w:val="16"/>
              </w:rPr>
              <w:t>or</w:t>
            </w:r>
            <w:proofErr w:type="spellEnd"/>
            <w:r w:rsidR="00F92811" w:rsidRPr="00E16672">
              <w:rPr>
                <w:rFonts w:ascii="Times New Roman" w:hAnsi="Times New Roman"/>
                <w:sz w:val="16"/>
                <w:szCs w:val="16"/>
              </w:rPr>
              <w:t xml:space="preserve"> </w:t>
            </w:r>
            <w:proofErr w:type="spellStart"/>
            <w:r w:rsidR="00F92811" w:rsidRPr="00E16672">
              <w:rPr>
                <w:rFonts w:ascii="Times New Roman" w:hAnsi="Times New Roman"/>
                <w:sz w:val="16"/>
                <w:szCs w:val="16"/>
              </w:rPr>
              <w:t>documents</w:t>
            </w:r>
            <w:proofErr w:type="spellEnd"/>
            <w:r w:rsidR="00F92811" w:rsidRPr="00E16672">
              <w:rPr>
                <w:rFonts w:ascii="Times New Roman" w:hAnsi="Times New Roman"/>
                <w:sz w:val="16"/>
                <w:szCs w:val="16"/>
              </w:rPr>
              <w:t xml:space="preserve"> </w:t>
            </w:r>
            <w:proofErr w:type="spellStart"/>
            <w:r w:rsidR="00F92811" w:rsidRPr="00E16672">
              <w:rPr>
                <w:rFonts w:ascii="Times New Roman" w:hAnsi="Times New Roman"/>
                <w:sz w:val="16"/>
                <w:szCs w:val="16"/>
              </w:rPr>
              <w:t>provided</w:t>
            </w:r>
            <w:proofErr w:type="spellEnd"/>
            <w:r w:rsidR="00F92811" w:rsidRPr="00E16672">
              <w:rPr>
                <w:rFonts w:ascii="Times New Roman" w:hAnsi="Times New Roman"/>
                <w:sz w:val="16"/>
                <w:szCs w:val="16"/>
              </w:rPr>
              <w:t xml:space="preserve"> </w:t>
            </w:r>
            <w:proofErr w:type="spellStart"/>
            <w:r w:rsidR="00F92811" w:rsidRPr="00E16672">
              <w:rPr>
                <w:rFonts w:ascii="Times New Roman" w:hAnsi="Times New Roman"/>
                <w:sz w:val="16"/>
                <w:szCs w:val="16"/>
              </w:rPr>
              <w:t>to</w:t>
            </w:r>
            <w:proofErr w:type="spellEnd"/>
            <w:r w:rsidR="00F92811" w:rsidRPr="00E16672">
              <w:rPr>
                <w:rFonts w:ascii="Times New Roman" w:hAnsi="Times New Roman"/>
                <w:sz w:val="16"/>
                <w:szCs w:val="16"/>
              </w:rPr>
              <w:t xml:space="preserve"> </w:t>
            </w:r>
            <w:proofErr w:type="spellStart"/>
            <w:r w:rsidR="00F92811" w:rsidRPr="00E16672">
              <w:rPr>
                <w:rFonts w:ascii="Times New Roman" w:hAnsi="Times New Roman"/>
                <w:sz w:val="16"/>
                <w:szCs w:val="16"/>
              </w:rPr>
              <w:t>open</w:t>
            </w:r>
            <w:proofErr w:type="spellEnd"/>
            <w:r w:rsidR="00F92811" w:rsidRPr="00E16672">
              <w:rPr>
                <w:rFonts w:ascii="Times New Roman" w:hAnsi="Times New Roman"/>
                <w:sz w:val="16"/>
                <w:szCs w:val="16"/>
              </w:rPr>
              <w:t xml:space="preserve"> </w:t>
            </w:r>
            <w:proofErr w:type="spellStart"/>
            <w:r w:rsidR="00F92811" w:rsidRPr="00E16672">
              <w:rPr>
                <w:rFonts w:ascii="Times New Roman" w:hAnsi="Times New Roman"/>
                <w:sz w:val="16"/>
                <w:szCs w:val="16"/>
              </w:rPr>
              <w:t>an</w:t>
            </w:r>
            <w:proofErr w:type="spellEnd"/>
            <w:r w:rsidR="00F92811" w:rsidRPr="00E16672">
              <w:rPr>
                <w:rFonts w:ascii="Times New Roman" w:hAnsi="Times New Roman"/>
                <w:sz w:val="16"/>
                <w:szCs w:val="16"/>
              </w:rPr>
              <w:t xml:space="preserve"> </w:t>
            </w:r>
            <w:proofErr w:type="spellStart"/>
            <w:r w:rsidR="00F92811" w:rsidRPr="00E16672">
              <w:rPr>
                <w:rFonts w:ascii="Times New Roman" w:hAnsi="Times New Roman"/>
                <w:sz w:val="16"/>
                <w:szCs w:val="16"/>
              </w:rPr>
              <w:t>account</w:t>
            </w:r>
            <w:proofErr w:type="spellEnd"/>
            <w:r w:rsidR="00F92811" w:rsidRPr="00E16672">
              <w:rPr>
                <w:rFonts w:ascii="Times New Roman" w:hAnsi="Times New Roman"/>
                <w:sz w:val="16"/>
                <w:szCs w:val="16"/>
              </w:rPr>
              <w:t xml:space="preserve"> </w:t>
            </w:r>
            <w:proofErr w:type="spellStart"/>
            <w:r w:rsidR="00F92811" w:rsidRPr="00E16672">
              <w:rPr>
                <w:rFonts w:ascii="Times New Roman" w:hAnsi="Times New Roman"/>
                <w:sz w:val="16"/>
                <w:szCs w:val="16"/>
              </w:rPr>
              <w:t>in</w:t>
            </w:r>
            <w:proofErr w:type="spellEnd"/>
            <w:r w:rsidR="00F92811" w:rsidRPr="00E16672">
              <w:rPr>
                <w:rFonts w:ascii="Times New Roman" w:hAnsi="Times New Roman"/>
                <w:sz w:val="16"/>
                <w:szCs w:val="16"/>
              </w:rPr>
              <w:t xml:space="preserve"> </w:t>
            </w:r>
            <w:proofErr w:type="spellStart"/>
            <w:r w:rsidR="00F92811" w:rsidRPr="00E16672">
              <w:rPr>
                <w:rFonts w:ascii="Times New Roman" w:hAnsi="Times New Roman"/>
                <w:sz w:val="16"/>
                <w:szCs w:val="16"/>
              </w:rPr>
              <w:t>securities</w:t>
            </w:r>
            <w:proofErr w:type="spellEnd"/>
            <w:r w:rsidR="00F92811" w:rsidRPr="00E16672">
              <w:rPr>
                <w:rFonts w:ascii="Times New Roman" w:hAnsi="Times New Roman"/>
                <w:sz w:val="16"/>
                <w:szCs w:val="16"/>
              </w:rPr>
              <w:t xml:space="preserve">, </w:t>
            </w:r>
            <w:proofErr w:type="spellStart"/>
            <w:r w:rsidR="00F92811" w:rsidRPr="00E16672">
              <w:rPr>
                <w:rFonts w:ascii="Times New Roman" w:hAnsi="Times New Roman"/>
                <w:sz w:val="16"/>
                <w:szCs w:val="16"/>
              </w:rPr>
              <w:t>provide</w:t>
            </w:r>
            <w:proofErr w:type="spellEnd"/>
            <w:r w:rsidR="00F92811" w:rsidRPr="00E16672">
              <w:rPr>
                <w:rFonts w:ascii="Times New Roman" w:hAnsi="Times New Roman"/>
                <w:sz w:val="16"/>
                <w:szCs w:val="16"/>
              </w:rPr>
              <w:t xml:space="preserve"> </w:t>
            </w:r>
            <w:proofErr w:type="spellStart"/>
            <w:r w:rsidR="00F92811" w:rsidRPr="00E16672">
              <w:rPr>
                <w:rFonts w:ascii="Times New Roman" w:hAnsi="Times New Roman"/>
                <w:sz w:val="16"/>
                <w:szCs w:val="16"/>
              </w:rPr>
              <w:t>information</w:t>
            </w:r>
            <w:proofErr w:type="spellEnd"/>
            <w:r w:rsidR="00F92811" w:rsidRPr="00E16672">
              <w:rPr>
                <w:rFonts w:ascii="Times New Roman" w:hAnsi="Times New Roman"/>
                <w:sz w:val="16"/>
                <w:szCs w:val="16"/>
              </w:rPr>
              <w:t xml:space="preserve"> </w:t>
            </w:r>
            <w:proofErr w:type="spellStart"/>
            <w:r w:rsidR="00F92811" w:rsidRPr="00E16672">
              <w:rPr>
                <w:rFonts w:ascii="Times New Roman" w:hAnsi="Times New Roman"/>
                <w:sz w:val="16"/>
                <w:szCs w:val="16"/>
              </w:rPr>
              <w:t>about</w:t>
            </w:r>
            <w:proofErr w:type="spellEnd"/>
            <w:r w:rsidR="00F92811" w:rsidRPr="00E16672">
              <w:rPr>
                <w:rFonts w:ascii="Times New Roman" w:hAnsi="Times New Roman"/>
                <w:sz w:val="16"/>
                <w:szCs w:val="16"/>
              </w:rPr>
              <w:t xml:space="preserve"> </w:t>
            </w:r>
            <w:proofErr w:type="spellStart"/>
            <w:r w:rsidR="00F92811" w:rsidRPr="00E16672">
              <w:rPr>
                <w:rFonts w:ascii="Times New Roman" w:hAnsi="Times New Roman"/>
                <w:sz w:val="16"/>
                <w:szCs w:val="16"/>
              </w:rPr>
              <w:t>these</w:t>
            </w:r>
            <w:proofErr w:type="spellEnd"/>
            <w:r w:rsidR="00F92811" w:rsidRPr="00E16672">
              <w:rPr>
                <w:rFonts w:ascii="Times New Roman" w:hAnsi="Times New Roman"/>
                <w:sz w:val="16"/>
                <w:szCs w:val="16"/>
              </w:rPr>
              <w:t xml:space="preserve"> </w:t>
            </w:r>
            <w:proofErr w:type="spellStart"/>
            <w:r w:rsidR="00F92811" w:rsidRPr="00E16672">
              <w:rPr>
                <w:rFonts w:ascii="Times New Roman" w:hAnsi="Times New Roman"/>
                <w:sz w:val="16"/>
                <w:szCs w:val="16"/>
              </w:rPr>
              <w:t>changes</w:t>
            </w:r>
            <w:proofErr w:type="spellEnd"/>
            <w:r w:rsidR="00F92811" w:rsidRPr="00E16672">
              <w:rPr>
                <w:rFonts w:ascii="Times New Roman" w:hAnsi="Times New Roman"/>
                <w:sz w:val="16"/>
                <w:szCs w:val="16"/>
              </w:rPr>
              <w:t xml:space="preserve"> </w:t>
            </w:r>
            <w:proofErr w:type="spellStart"/>
            <w:r w:rsidR="00F92811" w:rsidRPr="00E16672">
              <w:rPr>
                <w:rFonts w:ascii="Times New Roman" w:hAnsi="Times New Roman"/>
                <w:sz w:val="16"/>
                <w:szCs w:val="16"/>
              </w:rPr>
              <w:t>to</w:t>
            </w:r>
            <w:proofErr w:type="spellEnd"/>
            <w:r w:rsidR="00F92811" w:rsidRPr="00E16672">
              <w:rPr>
                <w:rFonts w:ascii="Times New Roman" w:hAnsi="Times New Roman"/>
                <w:sz w:val="16"/>
                <w:szCs w:val="16"/>
              </w:rPr>
              <w:t xml:space="preserve"> </w:t>
            </w:r>
            <w:proofErr w:type="spellStart"/>
            <w:r w:rsidR="00F92811" w:rsidRPr="00E16672">
              <w:rPr>
                <w:rFonts w:ascii="Times New Roman" w:hAnsi="Times New Roman"/>
                <w:sz w:val="16"/>
                <w:szCs w:val="16"/>
              </w:rPr>
              <w:t>Depository</w:t>
            </w:r>
            <w:proofErr w:type="spellEnd"/>
            <w:r w:rsidR="00F92811" w:rsidRPr="00E16672">
              <w:rPr>
                <w:rFonts w:ascii="Times New Roman" w:hAnsi="Times New Roman"/>
                <w:sz w:val="16"/>
                <w:szCs w:val="16"/>
              </w:rPr>
              <w:t xml:space="preserve"> </w:t>
            </w:r>
            <w:proofErr w:type="spellStart"/>
            <w:r w:rsidR="00F92811" w:rsidRPr="00E16672">
              <w:rPr>
                <w:rFonts w:ascii="Times New Roman" w:hAnsi="Times New Roman"/>
                <w:sz w:val="16"/>
                <w:szCs w:val="16"/>
              </w:rPr>
              <w:t>institution</w:t>
            </w:r>
            <w:proofErr w:type="spellEnd"/>
            <w:r w:rsidR="00F92811" w:rsidRPr="00E16672">
              <w:rPr>
                <w:rFonts w:ascii="Times New Roman" w:hAnsi="Times New Roman"/>
                <w:sz w:val="16"/>
                <w:szCs w:val="16"/>
              </w:rPr>
              <w:t xml:space="preserve"> </w:t>
            </w:r>
            <w:proofErr w:type="spellStart"/>
            <w:r w:rsidR="00F92811" w:rsidRPr="00E16672">
              <w:rPr>
                <w:rFonts w:ascii="Times New Roman" w:hAnsi="Times New Roman"/>
                <w:sz w:val="16"/>
                <w:szCs w:val="16"/>
              </w:rPr>
              <w:t>in</w:t>
            </w:r>
            <w:proofErr w:type="spellEnd"/>
            <w:r w:rsidR="00F92811" w:rsidRPr="00E16672">
              <w:rPr>
                <w:rFonts w:ascii="Times New Roman" w:hAnsi="Times New Roman"/>
                <w:sz w:val="16"/>
                <w:szCs w:val="16"/>
              </w:rPr>
              <w:t xml:space="preserve"> </w:t>
            </w:r>
            <w:proofErr w:type="spellStart"/>
            <w:r w:rsidR="00F92811" w:rsidRPr="00E16672">
              <w:rPr>
                <w:rFonts w:ascii="Times New Roman" w:hAnsi="Times New Roman"/>
                <w:sz w:val="16"/>
                <w:szCs w:val="16"/>
              </w:rPr>
              <w:t>accordance</w:t>
            </w:r>
            <w:proofErr w:type="spellEnd"/>
            <w:r w:rsidR="00F92811" w:rsidRPr="00E16672">
              <w:rPr>
                <w:rFonts w:ascii="Times New Roman" w:hAnsi="Times New Roman"/>
                <w:sz w:val="16"/>
                <w:szCs w:val="16"/>
              </w:rPr>
              <w:t xml:space="preserve"> </w:t>
            </w:r>
            <w:proofErr w:type="spellStart"/>
            <w:r w:rsidR="00F92811" w:rsidRPr="00E16672">
              <w:rPr>
                <w:rFonts w:ascii="Times New Roman" w:hAnsi="Times New Roman"/>
                <w:sz w:val="16"/>
                <w:szCs w:val="16"/>
              </w:rPr>
              <w:t>with</w:t>
            </w:r>
            <w:proofErr w:type="spellEnd"/>
            <w:r w:rsidR="00F92811" w:rsidRPr="00E16672">
              <w:rPr>
                <w:rFonts w:ascii="Times New Roman" w:hAnsi="Times New Roman"/>
                <w:sz w:val="16"/>
                <w:szCs w:val="16"/>
              </w:rPr>
              <w:t xml:space="preserve"> </w:t>
            </w:r>
            <w:proofErr w:type="spellStart"/>
            <w:r w:rsidR="00F92811" w:rsidRPr="00E16672">
              <w:rPr>
                <w:rFonts w:ascii="Times New Roman" w:hAnsi="Times New Roman"/>
                <w:sz w:val="16"/>
                <w:szCs w:val="16"/>
              </w:rPr>
              <w:t>the</w:t>
            </w:r>
            <w:proofErr w:type="spellEnd"/>
            <w:r w:rsidR="00F92811" w:rsidRPr="00E16672">
              <w:rPr>
                <w:rFonts w:ascii="Times New Roman" w:hAnsi="Times New Roman"/>
                <w:sz w:val="16"/>
                <w:szCs w:val="16"/>
              </w:rPr>
              <w:t xml:space="preserve"> </w:t>
            </w:r>
            <w:proofErr w:type="spellStart"/>
            <w:r w:rsidR="00F92811" w:rsidRPr="00E16672">
              <w:rPr>
                <w:rFonts w:ascii="Times New Roman" w:hAnsi="Times New Roman"/>
                <w:sz w:val="16"/>
                <w:szCs w:val="16"/>
              </w:rPr>
              <w:t>laws</w:t>
            </w:r>
            <w:proofErr w:type="spellEnd"/>
            <w:r w:rsidR="00F92811" w:rsidRPr="00E16672">
              <w:rPr>
                <w:rFonts w:ascii="Times New Roman" w:hAnsi="Times New Roman"/>
                <w:sz w:val="16"/>
                <w:szCs w:val="16"/>
              </w:rPr>
              <w:t xml:space="preserve"> </w:t>
            </w:r>
            <w:proofErr w:type="spellStart"/>
            <w:r w:rsidR="00F92811" w:rsidRPr="00E16672">
              <w:rPr>
                <w:rFonts w:ascii="Times New Roman" w:hAnsi="Times New Roman"/>
                <w:sz w:val="16"/>
                <w:szCs w:val="16"/>
              </w:rPr>
              <w:t>and</w:t>
            </w:r>
            <w:proofErr w:type="spellEnd"/>
            <w:r w:rsidR="00F92811" w:rsidRPr="00E16672">
              <w:rPr>
                <w:rFonts w:ascii="Times New Roman" w:hAnsi="Times New Roman"/>
                <w:sz w:val="16"/>
                <w:szCs w:val="16"/>
              </w:rPr>
              <w:t xml:space="preserve"> </w:t>
            </w:r>
            <w:proofErr w:type="spellStart"/>
            <w:r w:rsidR="00F92811" w:rsidRPr="00E16672">
              <w:rPr>
                <w:rFonts w:ascii="Times New Roman" w:hAnsi="Times New Roman"/>
                <w:sz w:val="16"/>
                <w:szCs w:val="16"/>
              </w:rPr>
              <w:t>internal</w:t>
            </w:r>
            <w:proofErr w:type="spellEnd"/>
            <w:r w:rsidR="00F92811" w:rsidRPr="00E16672">
              <w:rPr>
                <w:rFonts w:ascii="Times New Roman" w:hAnsi="Times New Roman"/>
                <w:sz w:val="16"/>
                <w:szCs w:val="16"/>
              </w:rPr>
              <w:t xml:space="preserve"> </w:t>
            </w:r>
            <w:proofErr w:type="spellStart"/>
            <w:r w:rsidR="00F92811" w:rsidRPr="00E16672">
              <w:rPr>
                <w:rFonts w:ascii="Times New Roman" w:hAnsi="Times New Roman"/>
                <w:sz w:val="16"/>
                <w:szCs w:val="16"/>
              </w:rPr>
              <w:t>documents</w:t>
            </w:r>
            <w:proofErr w:type="spellEnd"/>
            <w:r w:rsidR="00F92811" w:rsidRPr="00E16672">
              <w:rPr>
                <w:rFonts w:ascii="Times New Roman" w:hAnsi="Times New Roman"/>
                <w:sz w:val="16"/>
                <w:szCs w:val="16"/>
              </w:rPr>
              <w:t xml:space="preserve"> </w:t>
            </w:r>
            <w:proofErr w:type="spellStart"/>
            <w:r w:rsidR="00F92811" w:rsidRPr="00E16672">
              <w:rPr>
                <w:rFonts w:ascii="Times New Roman" w:hAnsi="Times New Roman"/>
                <w:sz w:val="16"/>
                <w:szCs w:val="16"/>
              </w:rPr>
              <w:t>of</w:t>
            </w:r>
            <w:proofErr w:type="spellEnd"/>
            <w:r w:rsidR="00F92811" w:rsidRPr="00E16672">
              <w:rPr>
                <w:rFonts w:ascii="Times New Roman" w:hAnsi="Times New Roman"/>
                <w:sz w:val="16"/>
                <w:szCs w:val="16"/>
              </w:rPr>
              <w:t xml:space="preserve"> </w:t>
            </w:r>
            <w:proofErr w:type="spellStart"/>
            <w:r w:rsidR="00F92811" w:rsidRPr="00E16672">
              <w:rPr>
                <w:rFonts w:ascii="Times New Roman" w:hAnsi="Times New Roman"/>
                <w:sz w:val="16"/>
                <w:szCs w:val="16"/>
              </w:rPr>
              <w:t>Depository</w:t>
            </w:r>
            <w:proofErr w:type="spellEnd"/>
            <w:r w:rsidR="00F92811" w:rsidRPr="00E16672">
              <w:rPr>
                <w:rFonts w:ascii="Times New Roman" w:hAnsi="Times New Roman"/>
                <w:sz w:val="16"/>
                <w:szCs w:val="16"/>
              </w:rPr>
              <w:t xml:space="preserve"> </w:t>
            </w:r>
            <w:proofErr w:type="spellStart"/>
            <w:r w:rsidR="00F92811" w:rsidRPr="00E16672">
              <w:rPr>
                <w:rFonts w:ascii="Times New Roman" w:hAnsi="Times New Roman"/>
                <w:sz w:val="16"/>
                <w:szCs w:val="16"/>
              </w:rPr>
              <w:t>institution</w:t>
            </w:r>
            <w:proofErr w:type="spellEnd"/>
            <w:r w:rsidRPr="00E16672">
              <w:rPr>
                <w:rFonts w:ascii="Times New Roman" w:hAnsi="Times New Roman"/>
                <w:sz w:val="16"/>
                <w:szCs w:val="16"/>
              </w:rPr>
              <w:t>.</w:t>
            </w:r>
          </w:p>
          <w:p w14:paraId="65B953EF" w14:textId="77777777" w:rsidR="003A05A3" w:rsidRPr="00E16672" w:rsidRDefault="003A05A3" w:rsidP="00843027">
            <w:pPr>
              <w:pStyle w:val="210"/>
              <w:tabs>
                <w:tab w:val="left" w:pos="287"/>
                <w:tab w:val="left" w:pos="1191"/>
              </w:tabs>
              <w:snapToGrid w:val="0"/>
              <w:ind w:left="145" w:right="100" w:firstLine="0"/>
              <w:rPr>
                <w:rFonts w:ascii="Times New Roman" w:hAnsi="Times New Roman"/>
                <w:sz w:val="16"/>
                <w:szCs w:val="16"/>
                <w:lang w:val="en-GB"/>
              </w:rPr>
            </w:pPr>
          </w:p>
        </w:tc>
      </w:tr>
      <w:tr w:rsidR="00F92811" w:rsidRPr="00F23413" w14:paraId="0F9E09DD" w14:textId="77777777" w:rsidTr="00242F58">
        <w:trPr>
          <w:trHeight w:val="192"/>
        </w:trPr>
        <w:tc>
          <w:tcPr>
            <w:tcW w:w="5696" w:type="dxa"/>
            <w:gridSpan w:val="8"/>
            <w:shd w:val="clear" w:color="auto" w:fill="auto"/>
          </w:tcPr>
          <w:p w14:paraId="54F5A01E" w14:textId="77777777" w:rsidR="00F92811" w:rsidRPr="00F23413" w:rsidRDefault="00F92811" w:rsidP="00F92811">
            <w:pPr>
              <w:tabs>
                <w:tab w:val="left" w:pos="709"/>
              </w:tabs>
              <w:snapToGrid w:val="0"/>
              <w:ind w:left="40" w:right="138" w:firstLine="0"/>
              <w:rPr>
                <w:rFonts w:ascii="Times New Roman" w:hAnsi="Times New Roman"/>
                <w:sz w:val="16"/>
                <w:szCs w:val="16"/>
                <w:lang w:val="en-US"/>
              </w:rPr>
            </w:pPr>
            <w:r w:rsidRPr="00F23413">
              <w:rPr>
                <w:rFonts w:ascii="Times New Roman" w:hAnsi="Times New Roman"/>
                <w:sz w:val="16"/>
                <w:szCs w:val="16"/>
                <w:lang w:val="en-US"/>
              </w:rPr>
              <w:t xml:space="preserve">2.3.8. </w:t>
            </w:r>
            <w:proofErr w:type="spellStart"/>
            <w:r w:rsidRPr="00E16672">
              <w:rPr>
                <w:rFonts w:ascii="Times New Roman" w:hAnsi="Times New Roman"/>
                <w:sz w:val="16"/>
                <w:szCs w:val="16"/>
              </w:rPr>
              <w:t>Протягом</w:t>
            </w:r>
            <w:proofErr w:type="spellEnd"/>
            <w:r w:rsidRPr="00F23413">
              <w:rPr>
                <w:rFonts w:ascii="Times New Roman" w:hAnsi="Times New Roman"/>
                <w:sz w:val="16"/>
                <w:szCs w:val="16"/>
                <w:lang w:val="en-US"/>
              </w:rPr>
              <w:t xml:space="preserve"> </w:t>
            </w:r>
            <w:proofErr w:type="spellStart"/>
            <w:r w:rsidRPr="00E16672">
              <w:rPr>
                <w:rFonts w:ascii="Times New Roman" w:hAnsi="Times New Roman"/>
                <w:i/>
                <w:sz w:val="16"/>
                <w:szCs w:val="16"/>
              </w:rPr>
              <w:t>шістдесяти</w:t>
            </w:r>
            <w:proofErr w:type="spellEnd"/>
            <w:r w:rsidRPr="00F23413">
              <w:rPr>
                <w:rFonts w:ascii="Times New Roman" w:hAnsi="Times New Roman"/>
                <w:i/>
                <w:sz w:val="16"/>
                <w:szCs w:val="16"/>
                <w:lang w:val="en-US"/>
              </w:rPr>
              <w:t xml:space="preserve"> </w:t>
            </w:r>
            <w:proofErr w:type="spellStart"/>
            <w:r w:rsidRPr="00E16672">
              <w:rPr>
                <w:rFonts w:ascii="Times New Roman" w:hAnsi="Times New Roman"/>
                <w:i/>
                <w:sz w:val="16"/>
                <w:szCs w:val="16"/>
              </w:rPr>
              <w:t>календарних</w:t>
            </w:r>
            <w:proofErr w:type="spellEnd"/>
            <w:r w:rsidRPr="00F23413">
              <w:rPr>
                <w:rFonts w:ascii="Times New Roman" w:hAnsi="Times New Roman"/>
                <w:i/>
                <w:sz w:val="16"/>
                <w:szCs w:val="16"/>
                <w:lang w:val="en-US"/>
              </w:rPr>
              <w:t xml:space="preserve"> </w:t>
            </w:r>
            <w:proofErr w:type="spellStart"/>
            <w:r w:rsidRPr="00E16672">
              <w:rPr>
                <w:rFonts w:ascii="Times New Roman" w:hAnsi="Times New Roman"/>
                <w:i/>
                <w:sz w:val="16"/>
                <w:szCs w:val="16"/>
              </w:rPr>
              <w:t>днів</w:t>
            </w:r>
            <w:proofErr w:type="spellEnd"/>
            <w:r w:rsidRPr="00F23413">
              <w:rPr>
                <w:rFonts w:ascii="Times New Roman" w:hAnsi="Times New Roman"/>
                <w:sz w:val="16"/>
                <w:szCs w:val="16"/>
                <w:lang w:val="en-US"/>
              </w:rPr>
              <w:t xml:space="preserve"> </w:t>
            </w:r>
            <w:r w:rsidRPr="00E16672">
              <w:rPr>
                <w:rFonts w:ascii="Times New Roman" w:hAnsi="Times New Roman"/>
                <w:sz w:val="16"/>
                <w:szCs w:val="16"/>
              </w:rPr>
              <w:t>з</w:t>
            </w:r>
            <w:r w:rsidRPr="00F23413">
              <w:rPr>
                <w:rFonts w:ascii="Times New Roman" w:hAnsi="Times New Roman"/>
                <w:sz w:val="16"/>
                <w:szCs w:val="16"/>
                <w:lang w:val="en-US"/>
              </w:rPr>
              <w:t xml:space="preserve"> </w:t>
            </w:r>
            <w:proofErr w:type="spellStart"/>
            <w:r w:rsidRPr="00E16672">
              <w:rPr>
                <w:rFonts w:ascii="Times New Roman" w:hAnsi="Times New Roman"/>
                <w:sz w:val="16"/>
                <w:szCs w:val="16"/>
              </w:rPr>
              <w:t>дати</w:t>
            </w:r>
            <w:proofErr w:type="spellEnd"/>
            <w:r w:rsidRPr="00F23413">
              <w:rPr>
                <w:rFonts w:ascii="Times New Roman" w:hAnsi="Times New Roman"/>
                <w:sz w:val="16"/>
                <w:szCs w:val="16"/>
                <w:lang w:val="en-US"/>
              </w:rPr>
              <w:t xml:space="preserve"> </w:t>
            </w:r>
            <w:r w:rsidRPr="00E16672">
              <w:rPr>
                <w:rFonts w:ascii="Times New Roman" w:hAnsi="Times New Roman"/>
                <w:sz w:val="16"/>
                <w:szCs w:val="16"/>
              </w:rPr>
              <w:t>початку</w:t>
            </w:r>
            <w:r w:rsidRPr="00F23413">
              <w:rPr>
                <w:rFonts w:ascii="Times New Roman" w:hAnsi="Times New Roman"/>
                <w:sz w:val="16"/>
                <w:szCs w:val="16"/>
                <w:lang w:val="en-US"/>
              </w:rPr>
              <w:t xml:space="preserve"> </w:t>
            </w:r>
            <w:r w:rsidRPr="00E16672">
              <w:rPr>
                <w:rFonts w:ascii="Times New Roman" w:hAnsi="Times New Roman"/>
                <w:sz w:val="16"/>
                <w:szCs w:val="16"/>
              </w:rPr>
              <w:t>Депозитарною</w:t>
            </w:r>
            <w:r w:rsidRPr="00F23413">
              <w:rPr>
                <w:rFonts w:ascii="Times New Roman" w:hAnsi="Times New Roman"/>
                <w:sz w:val="16"/>
                <w:szCs w:val="16"/>
                <w:lang w:val="en-US"/>
              </w:rPr>
              <w:t xml:space="preserve"> </w:t>
            </w:r>
            <w:proofErr w:type="spellStart"/>
            <w:r w:rsidRPr="00E16672">
              <w:rPr>
                <w:rFonts w:ascii="Times New Roman" w:hAnsi="Times New Roman"/>
                <w:sz w:val="16"/>
                <w:szCs w:val="16"/>
              </w:rPr>
              <w:t>установою</w:t>
            </w:r>
            <w:proofErr w:type="spellEnd"/>
            <w:r w:rsidRPr="00F23413">
              <w:rPr>
                <w:rFonts w:ascii="Times New Roman" w:hAnsi="Times New Roman"/>
                <w:sz w:val="16"/>
                <w:szCs w:val="16"/>
                <w:lang w:val="en-US"/>
              </w:rPr>
              <w:t xml:space="preserve"> </w:t>
            </w:r>
            <w:proofErr w:type="spellStart"/>
            <w:r w:rsidRPr="00E16672">
              <w:rPr>
                <w:rFonts w:ascii="Times New Roman" w:hAnsi="Times New Roman"/>
                <w:sz w:val="16"/>
                <w:szCs w:val="16"/>
              </w:rPr>
              <w:t>процедури</w:t>
            </w:r>
            <w:proofErr w:type="spellEnd"/>
            <w:r w:rsidRPr="00F23413">
              <w:rPr>
                <w:rFonts w:ascii="Times New Roman" w:hAnsi="Times New Roman"/>
                <w:sz w:val="16"/>
                <w:szCs w:val="16"/>
                <w:lang w:val="en-US"/>
              </w:rPr>
              <w:t xml:space="preserve"> </w:t>
            </w:r>
            <w:proofErr w:type="spellStart"/>
            <w:r w:rsidRPr="00E16672">
              <w:rPr>
                <w:rFonts w:ascii="Times New Roman" w:hAnsi="Times New Roman"/>
                <w:sz w:val="16"/>
                <w:szCs w:val="16"/>
              </w:rPr>
              <w:t>припинення</w:t>
            </w:r>
            <w:proofErr w:type="spellEnd"/>
            <w:r w:rsidRPr="00F23413">
              <w:rPr>
                <w:rFonts w:ascii="Times New Roman" w:hAnsi="Times New Roman"/>
                <w:sz w:val="16"/>
                <w:szCs w:val="16"/>
                <w:lang w:val="en-US"/>
              </w:rPr>
              <w:t xml:space="preserve"> </w:t>
            </w:r>
            <w:r w:rsidRPr="00E16672">
              <w:rPr>
                <w:rFonts w:ascii="Times New Roman" w:hAnsi="Times New Roman"/>
                <w:sz w:val="16"/>
                <w:szCs w:val="16"/>
              </w:rPr>
              <w:t>нею</w:t>
            </w:r>
            <w:r w:rsidRPr="00F23413">
              <w:rPr>
                <w:rFonts w:ascii="Times New Roman" w:hAnsi="Times New Roman"/>
                <w:sz w:val="16"/>
                <w:szCs w:val="16"/>
                <w:lang w:val="en-US"/>
              </w:rPr>
              <w:t xml:space="preserve"> </w:t>
            </w:r>
            <w:proofErr w:type="spellStart"/>
            <w:r w:rsidRPr="00E16672">
              <w:rPr>
                <w:rFonts w:ascii="Times New Roman" w:hAnsi="Times New Roman"/>
                <w:sz w:val="16"/>
                <w:szCs w:val="16"/>
              </w:rPr>
              <w:t>провадження</w:t>
            </w:r>
            <w:proofErr w:type="spellEnd"/>
            <w:r w:rsidRPr="00F23413">
              <w:rPr>
                <w:rFonts w:ascii="Times New Roman" w:hAnsi="Times New Roman"/>
                <w:sz w:val="16"/>
                <w:szCs w:val="16"/>
                <w:lang w:val="en-US"/>
              </w:rPr>
              <w:t xml:space="preserve"> </w:t>
            </w:r>
            <w:proofErr w:type="spellStart"/>
            <w:r w:rsidRPr="00E16672">
              <w:rPr>
                <w:rFonts w:ascii="Times New Roman" w:hAnsi="Times New Roman"/>
                <w:sz w:val="16"/>
                <w:szCs w:val="16"/>
              </w:rPr>
              <w:t>професійної</w:t>
            </w:r>
            <w:proofErr w:type="spellEnd"/>
            <w:r w:rsidRPr="00F23413">
              <w:rPr>
                <w:rFonts w:ascii="Times New Roman" w:hAnsi="Times New Roman"/>
                <w:sz w:val="16"/>
                <w:szCs w:val="16"/>
                <w:lang w:val="en-US"/>
              </w:rPr>
              <w:t xml:space="preserve"> </w:t>
            </w:r>
            <w:proofErr w:type="spellStart"/>
            <w:r w:rsidRPr="00E16672">
              <w:rPr>
                <w:rFonts w:ascii="Times New Roman" w:hAnsi="Times New Roman"/>
                <w:sz w:val="16"/>
                <w:szCs w:val="16"/>
              </w:rPr>
              <w:t>діяльності</w:t>
            </w:r>
            <w:proofErr w:type="spellEnd"/>
            <w:r w:rsidRPr="00F23413">
              <w:rPr>
                <w:rFonts w:ascii="Times New Roman" w:hAnsi="Times New Roman"/>
                <w:sz w:val="16"/>
                <w:szCs w:val="16"/>
                <w:lang w:val="en-US"/>
              </w:rPr>
              <w:t xml:space="preserve"> </w:t>
            </w:r>
            <w:proofErr w:type="gramStart"/>
            <w:r w:rsidRPr="00E16672">
              <w:rPr>
                <w:rFonts w:ascii="Times New Roman" w:hAnsi="Times New Roman"/>
                <w:sz w:val="16"/>
                <w:szCs w:val="16"/>
              </w:rPr>
              <w:t>на</w:t>
            </w:r>
            <w:r w:rsidRPr="00F23413">
              <w:rPr>
                <w:rFonts w:ascii="Times New Roman" w:hAnsi="Times New Roman"/>
                <w:sz w:val="16"/>
                <w:szCs w:val="16"/>
                <w:lang w:val="en-US"/>
              </w:rPr>
              <w:t xml:space="preserve"> </w:t>
            </w:r>
            <w:r w:rsidRPr="00E16672">
              <w:rPr>
                <w:rFonts w:ascii="Times New Roman" w:hAnsi="Times New Roman"/>
                <w:sz w:val="16"/>
                <w:szCs w:val="16"/>
              </w:rPr>
              <w:t>фондовому</w:t>
            </w:r>
            <w:r w:rsidRPr="00F23413">
              <w:rPr>
                <w:rFonts w:ascii="Times New Roman" w:hAnsi="Times New Roman"/>
                <w:sz w:val="16"/>
                <w:szCs w:val="16"/>
                <w:lang w:val="en-US"/>
              </w:rPr>
              <w:t xml:space="preserve"> </w:t>
            </w:r>
            <w:r w:rsidRPr="00E16672">
              <w:rPr>
                <w:rFonts w:ascii="Times New Roman" w:hAnsi="Times New Roman"/>
                <w:sz w:val="16"/>
                <w:szCs w:val="16"/>
              </w:rPr>
              <w:t>ринку</w:t>
            </w:r>
            <w:proofErr w:type="gramEnd"/>
            <w:r w:rsidRPr="00F23413">
              <w:rPr>
                <w:rFonts w:ascii="Times New Roman" w:hAnsi="Times New Roman"/>
                <w:sz w:val="16"/>
                <w:szCs w:val="16"/>
                <w:lang w:val="en-US"/>
              </w:rPr>
              <w:t xml:space="preserve"> - </w:t>
            </w:r>
            <w:proofErr w:type="spellStart"/>
            <w:r w:rsidRPr="00E16672">
              <w:rPr>
                <w:rFonts w:ascii="Times New Roman" w:hAnsi="Times New Roman"/>
                <w:sz w:val="16"/>
                <w:szCs w:val="16"/>
              </w:rPr>
              <w:t>депозитарної</w:t>
            </w:r>
            <w:proofErr w:type="spellEnd"/>
            <w:r w:rsidRPr="00F23413">
              <w:rPr>
                <w:rFonts w:ascii="Times New Roman" w:hAnsi="Times New Roman"/>
                <w:sz w:val="16"/>
                <w:szCs w:val="16"/>
                <w:lang w:val="en-US"/>
              </w:rPr>
              <w:t xml:space="preserve"> </w:t>
            </w:r>
            <w:proofErr w:type="spellStart"/>
            <w:r w:rsidRPr="00E16672">
              <w:rPr>
                <w:rFonts w:ascii="Times New Roman" w:hAnsi="Times New Roman"/>
                <w:sz w:val="16"/>
                <w:szCs w:val="16"/>
              </w:rPr>
              <w:t>діяльності</w:t>
            </w:r>
            <w:proofErr w:type="spellEnd"/>
            <w:r w:rsidRPr="00F23413">
              <w:rPr>
                <w:rFonts w:ascii="Times New Roman" w:hAnsi="Times New Roman"/>
                <w:sz w:val="16"/>
                <w:szCs w:val="16"/>
                <w:lang w:val="en-US"/>
              </w:rPr>
              <w:t xml:space="preserve"> </w:t>
            </w:r>
            <w:proofErr w:type="spellStart"/>
            <w:r w:rsidRPr="00E16672">
              <w:rPr>
                <w:rFonts w:ascii="Times New Roman" w:hAnsi="Times New Roman"/>
                <w:sz w:val="16"/>
                <w:szCs w:val="16"/>
              </w:rPr>
              <w:t>депозитарної</w:t>
            </w:r>
            <w:proofErr w:type="spellEnd"/>
            <w:r w:rsidRPr="00F23413">
              <w:rPr>
                <w:rFonts w:ascii="Times New Roman" w:hAnsi="Times New Roman"/>
                <w:sz w:val="16"/>
                <w:szCs w:val="16"/>
                <w:lang w:val="en-US"/>
              </w:rPr>
              <w:t xml:space="preserve"> </w:t>
            </w:r>
            <w:r w:rsidRPr="00E16672">
              <w:rPr>
                <w:rFonts w:ascii="Times New Roman" w:hAnsi="Times New Roman"/>
                <w:sz w:val="16"/>
                <w:szCs w:val="16"/>
              </w:rPr>
              <w:t>установи</w:t>
            </w:r>
            <w:r w:rsidRPr="00F23413">
              <w:rPr>
                <w:rFonts w:ascii="Times New Roman" w:hAnsi="Times New Roman"/>
                <w:sz w:val="16"/>
                <w:szCs w:val="16"/>
                <w:lang w:val="en-US"/>
              </w:rPr>
              <w:t xml:space="preserve"> </w:t>
            </w:r>
            <w:proofErr w:type="spellStart"/>
            <w:r w:rsidRPr="00E16672">
              <w:rPr>
                <w:rFonts w:ascii="Times New Roman" w:hAnsi="Times New Roman"/>
                <w:sz w:val="16"/>
                <w:szCs w:val="16"/>
              </w:rPr>
              <w:t>відповідно</w:t>
            </w:r>
            <w:proofErr w:type="spellEnd"/>
            <w:r w:rsidRPr="00F23413">
              <w:rPr>
                <w:rFonts w:ascii="Times New Roman" w:hAnsi="Times New Roman"/>
                <w:sz w:val="16"/>
                <w:szCs w:val="16"/>
                <w:lang w:val="en-US"/>
              </w:rPr>
              <w:t xml:space="preserve"> </w:t>
            </w:r>
            <w:r w:rsidRPr="00E16672">
              <w:rPr>
                <w:rFonts w:ascii="Times New Roman" w:hAnsi="Times New Roman"/>
                <w:sz w:val="16"/>
                <w:szCs w:val="16"/>
              </w:rPr>
              <w:t>до</w:t>
            </w:r>
            <w:r w:rsidRPr="00F23413">
              <w:rPr>
                <w:rFonts w:ascii="Times New Roman" w:hAnsi="Times New Roman"/>
                <w:sz w:val="16"/>
                <w:szCs w:val="16"/>
                <w:lang w:val="en-US"/>
              </w:rPr>
              <w:t xml:space="preserve"> </w:t>
            </w:r>
            <w:proofErr w:type="spellStart"/>
            <w:r w:rsidRPr="00E16672">
              <w:rPr>
                <w:rFonts w:ascii="Times New Roman" w:hAnsi="Times New Roman"/>
                <w:sz w:val="16"/>
                <w:szCs w:val="16"/>
              </w:rPr>
              <w:t>вимог</w:t>
            </w:r>
            <w:proofErr w:type="spellEnd"/>
            <w:r w:rsidRPr="00F23413">
              <w:rPr>
                <w:rFonts w:ascii="Times New Roman" w:hAnsi="Times New Roman"/>
                <w:sz w:val="16"/>
                <w:szCs w:val="16"/>
                <w:lang w:val="en-US"/>
              </w:rPr>
              <w:t xml:space="preserve"> </w:t>
            </w:r>
            <w:r w:rsidRPr="00E16672">
              <w:rPr>
                <w:rFonts w:ascii="Times New Roman" w:hAnsi="Times New Roman"/>
                <w:sz w:val="16"/>
                <w:szCs w:val="16"/>
              </w:rPr>
              <w:t>нормативно</w:t>
            </w:r>
            <w:r w:rsidRPr="00F23413">
              <w:rPr>
                <w:rFonts w:ascii="Times New Roman" w:hAnsi="Times New Roman"/>
                <w:sz w:val="16"/>
                <w:szCs w:val="16"/>
                <w:lang w:val="en-US"/>
              </w:rPr>
              <w:t>-</w:t>
            </w:r>
            <w:r w:rsidRPr="00E16672">
              <w:rPr>
                <w:rFonts w:ascii="Times New Roman" w:hAnsi="Times New Roman"/>
                <w:sz w:val="16"/>
                <w:szCs w:val="16"/>
              </w:rPr>
              <w:t>правового</w:t>
            </w:r>
            <w:r w:rsidRPr="00F23413">
              <w:rPr>
                <w:rFonts w:ascii="Times New Roman" w:hAnsi="Times New Roman"/>
                <w:sz w:val="16"/>
                <w:szCs w:val="16"/>
                <w:lang w:val="en-US"/>
              </w:rPr>
              <w:t xml:space="preserve"> </w:t>
            </w:r>
            <w:r w:rsidRPr="00E16672">
              <w:rPr>
                <w:rFonts w:ascii="Times New Roman" w:hAnsi="Times New Roman"/>
                <w:sz w:val="16"/>
                <w:szCs w:val="16"/>
              </w:rPr>
              <w:t>акта</w:t>
            </w:r>
            <w:r w:rsidRPr="00F23413">
              <w:rPr>
                <w:rFonts w:ascii="Times New Roman" w:hAnsi="Times New Roman"/>
                <w:sz w:val="16"/>
                <w:szCs w:val="16"/>
                <w:lang w:val="en-US"/>
              </w:rPr>
              <w:t xml:space="preserve"> </w:t>
            </w:r>
            <w:proofErr w:type="spellStart"/>
            <w:r w:rsidRPr="00E16672">
              <w:rPr>
                <w:rFonts w:ascii="Times New Roman" w:hAnsi="Times New Roman"/>
                <w:sz w:val="16"/>
                <w:szCs w:val="16"/>
              </w:rPr>
              <w:t>щодо</w:t>
            </w:r>
            <w:proofErr w:type="spellEnd"/>
            <w:r w:rsidRPr="00F23413">
              <w:rPr>
                <w:rFonts w:ascii="Times New Roman" w:hAnsi="Times New Roman"/>
                <w:sz w:val="16"/>
                <w:szCs w:val="16"/>
                <w:lang w:val="en-US"/>
              </w:rPr>
              <w:t xml:space="preserve"> </w:t>
            </w:r>
            <w:proofErr w:type="spellStart"/>
            <w:r w:rsidRPr="00E16672">
              <w:rPr>
                <w:rFonts w:ascii="Times New Roman" w:hAnsi="Times New Roman"/>
                <w:sz w:val="16"/>
                <w:szCs w:val="16"/>
              </w:rPr>
              <w:t>припинення</w:t>
            </w:r>
            <w:proofErr w:type="spellEnd"/>
            <w:r w:rsidRPr="00F23413">
              <w:rPr>
                <w:rFonts w:ascii="Times New Roman" w:hAnsi="Times New Roman"/>
                <w:sz w:val="16"/>
                <w:szCs w:val="16"/>
                <w:lang w:val="en-US"/>
              </w:rPr>
              <w:t xml:space="preserve"> </w:t>
            </w:r>
            <w:proofErr w:type="spellStart"/>
            <w:r w:rsidRPr="00E16672">
              <w:rPr>
                <w:rFonts w:ascii="Times New Roman" w:hAnsi="Times New Roman"/>
                <w:sz w:val="16"/>
                <w:szCs w:val="16"/>
              </w:rPr>
              <w:t>депозитарної</w:t>
            </w:r>
            <w:proofErr w:type="spellEnd"/>
            <w:r w:rsidRPr="00F23413">
              <w:rPr>
                <w:rFonts w:ascii="Times New Roman" w:hAnsi="Times New Roman"/>
                <w:sz w:val="16"/>
                <w:szCs w:val="16"/>
                <w:lang w:val="en-US"/>
              </w:rPr>
              <w:t xml:space="preserve"> </w:t>
            </w:r>
            <w:proofErr w:type="spellStart"/>
            <w:r w:rsidRPr="00E16672">
              <w:rPr>
                <w:rFonts w:ascii="Times New Roman" w:hAnsi="Times New Roman"/>
                <w:sz w:val="16"/>
                <w:szCs w:val="16"/>
              </w:rPr>
              <w:t>діяльності</w:t>
            </w:r>
            <w:proofErr w:type="spellEnd"/>
            <w:r w:rsidRPr="00F23413">
              <w:rPr>
                <w:rFonts w:ascii="Times New Roman" w:hAnsi="Times New Roman"/>
                <w:sz w:val="16"/>
                <w:szCs w:val="16"/>
                <w:lang w:val="en-US"/>
              </w:rPr>
              <w:t xml:space="preserve"> </w:t>
            </w:r>
            <w:proofErr w:type="spellStart"/>
            <w:r w:rsidRPr="00E16672">
              <w:rPr>
                <w:rFonts w:ascii="Times New Roman" w:hAnsi="Times New Roman"/>
                <w:sz w:val="16"/>
                <w:szCs w:val="16"/>
              </w:rPr>
              <w:t>депозитарної</w:t>
            </w:r>
            <w:proofErr w:type="spellEnd"/>
            <w:r w:rsidRPr="00F23413">
              <w:rPr>
                <w:rFonts w:ascii="Times New Roman" w:hAnsi="Times New Roman"/>
                <w:sz w:val="16"/>
                <w:szCs w:val="16"/>
                <w:lang w:val="en-US"/>
              </w:rPr>
              <w:t xml:space="preserve"> </w:t>
            </w:r>
            <w:r w:rsidRPr="00E16672">
              <w:rPr>
                <w:rFonts w:ascii="Times New Roman" w:hAnsi="Times New Roman"/>
                <w:sz w:val="16"/>
                <w:szCs w:val="16"/>
              </w:rPr>
              <w:t>установи</w:t>
            </w:r>
            <w:r w:rsidRPr="00F23413">
              <w:rPr>
                <w:rFonts w:ascii="Times New Roman" w:hAnsi="Times New Roman"/>
                <w:sz w:val="16"/>
                <w:szCs w:val="16"/>
                <w:lang w:val="en-US"/>
              </w:rPr>
              <w:t xml:space="preserve"> </w:t>
            </w:r>
            <w:proofErr w:type="spellStart"/>
            <w:r w:rsidRPr="00E16672">
              <w:rPr>
                <w:rFonts w:ascii="Times New Roman" w:hAnsi="Times New Roman"/>
                <w:sz w:val="16"/>
                <w:szCs w:val="16"/>
              </w:rPr>
              <w:t>здійснити</w:t>
            </w:r>
            <w:proofErr w:type="spellEnd"/>
            <w:r w:rsidRPr="00F23413">
              <w:rPr>
                <w:rFonts w:ascii="Times New Roman" w:hAnsi="Times New Roman"/>
                <w:sz w:val="16"/>
                <w:szCs w:val="16"/>
                <w:lang w:val="en-US"/>
              </w:rPr>
              <w:t xml:space="preserve"> </w:t>
            </w:r>
            <w:proofErr w:type="spellStart"/>
            <w:r w:rsidRPr="00E16672">
              <w:rPr>
                <w:rFonts w:ascii="Times New Roman" w:hAnsi="Times New Roman"/>
                <w:sz w:val="16"/>
                <w:szCs w:val="16"/>
              </w:rPr>
              <w:t>всі</w:t>
            </w:r>
            <w:proofErr w:type="spellEnd"/>
            <w:r w:rsidRPr="00F23413">
              <w:rPr>
                <w:rFonts w:ascii="Times New Roman" w:hAnsi="Times New Roman"/>
                <w:sz w:val="16"/>
                <w:szCs w:val="16"/>
                <w:lang w:val="en-US"/>
              </w:rPr>
              <w:t xml:space="preserve"> </w:t>
            </w:r>
            <w:proofErr w:type="spellStart"/>
            <w:r w:rsidRPr="00E16672">
              <w:rPr>
                <w:rFonts w:ascii="Times New Roman" w:hAnsi="Times New Roman"/>
                <w:sz w:val="16"/>
                <w:szCs w:val="16"/>
              </w:rPr>
              <w:t>необхідні</w:t>
            </w:r>
            <w:proofErr w:type="spellEnd"/>
            <w:r w:rsidRPr="00F23413">
              <w:rPr>
                <w:rFonts w:ascii="Times New Roman" w:hAnsi="Times New Roman"/>
                <w:sz w:val="16"/>
                <w:szCs w:val="16"/>
                <w:lang w:val="en-US"/>
              </w:rPr>
              <w:t xml:space="preserve"> </w:t>
            </w:r>
            <w:proofErr w:type="spellStart"/>
            <w:r w:rsidRPr="00E16672">
              <w:rPr>
                <w:rFonts w:ascii="Times New Roman" w:hAnsi="Times New Roman"/>
                <w:sz w:val="16"/>
                <w:szCs w:val="16"/>
              </w:rPr>
              <w:t>дії</w:t>
            </w:r>
            <w:proofErr w:type="spellEnd"/>
            <w:r w:rsidRPr="00F23413">
              <w:rPr>
                <w:rFonts w:ascii="Times New Roman" w:hAnsi="Times New Roman"/>
                <w:sz w:val="16"/>
                <w:szCs w:val="16"/>
                <w:lang w:val="en-US"/>
              </w:rPr>
              <w:t xml:space="preserve"> </w:t>
            </w:r>
            <w:proofErr w:type="spellStart"/>
            <w:r w:rsidRPr="00E16672">
              <w:rPr>
                <w:rFonts w:ascii="Times New Roman" w:hAnsi="Times New Roman"/>
                <w:sz w:val="16"/>
                <w:szCs w:val="16"/>
              </w:rPr>
              <w:t>щодо</w:t>
            </w:r>
            <w:proofErr w:type="spellEnd"/>
            <w:r w:rsidRPr="00F23413">
              <w:rPr>
                <w:rFonts w:ascii="Times New Roman" w:hAnsi="Times New Roman"/>
                <w:sz w:val="16"/>
                <w:szCs w:val="16"/>
                <w:lang w:val="en-US"/>
              </w:rPr>
              <w:t xml:space="preserve"> </w:t>
            </w:r>
            <w:proofErr w:type="spellStart"/>
            <w:r w:rsidRPr="00E16672">
              <w:rPr>
                <w:rFonts w:ascii="Times New Roman" w:hAnsi="Times New Roman"/>
                <w:sz w:val="16"/>
                <w:szCs w:val="16"/>
              </w:rPr>
              <w:t>закриття</w:t>
            </w:r>
            <w:proofErr w:type="spellEnd"/>
            <w:r w:rsidRPr="00F23413">
              <w:rPr>
                <w:rFonts w:ascii="Times New Roman" w:hAnsi="Times New Roman"/>
                <w:sz w:val="16"/>
                <w:szCs w:val="16"/>
                <w:lang w:val="en-US"/>
              </w:rPr>
              <w:t xml:space="preserve"> </w:t>
            </w:r>
            <w:proofErr w:type="spellStart"/>
            <w:r w:rsidRPr="00E16672">
              <w:rPr>
                <w:rFonts w:ascii="Times New Roman" w:hAnsi="Times New Roman"/>
                <w:sz w:val="16"/>
                <w:szCs w:val="16"/>
              </w:rPr>
              <w:t>рахунк</w:t>
            </w:r>
            <w:proofErr w:type="spellEnd"/>
            <w:r w:rsidRPr="00E16672">
              <w:rPr>
                <w:rFonts w:ascii="Times New Roman" w:hAnsi="Times New Roman"/>
                <w:sz w:val="16"/>
                <w:szCs w:val="16"/>
                <w:lang w:val="uk-UA"/>
              </w:rPr>
              <w:t>у</w:t>
            </w:r>
            <w:r w:rsidRPr="00F23413">
              <w:rPr>
                <w:rFonts w:ascii="Times New Roman" w:hAnsi="Times New Roman"/>
                <w:sz w:val="16"/>
                <w:szCs w:val="16"/>
                <w:lang w:val="en-US"/>
              </w:rPr>
              <w:t xml:space="preserve"> </w:t>
            </w:r>
            <w:r w:rsidRPr="00E16672">
              <w:rPr>
                <w:rFonts w:ascii="Times New Roman" w:hAnsi="Times New Roman"/>
                <w:sz w:val="16"/>
                <w:szCs w:val="16"/>
              </w:rPr>
              <w:t>в</w:t>
            </w:r>
            <w:r w:rsidRPr="00F23413">
              <w:rPr>
                <w:rFonts w:ascii="Times New Roman" w:hAnsi="Times New Roman"/>
                <w:sz w:val="16"/>
                <w:szCs w:val="16"/>
                <w:lang w:val="en-US"/>
              </w:rPr>
              <w:t xml:space="preserve"> </w:t>
            </w:r>
            <w:proofErr w:type="spellStart"/>
            <w:r w:rsidRPr="00E16672">
              <w:rPr>
                <w:rFonts w:ascii="Times New Roman" w:hAnsi="Times New Roman"/>
                <w:sz w:val="16"/>
                <w:szCs w:val="16"/>
              </w:rPr>
              <w:t>цінних</w:t>
            </w:r>
            <w:proofErr w:type="spellEnd"/>
            <w:r w:rsidRPr="00F23413">
              <w:rPr>
                <w:rFonts w:ascii="Times New Roman" w:hAnsi="Times New Roman"/>
                <w:sz w:val="16"/>
                <w:szCs w:val="16"/>
                <w:lang w:val="en-US"/>
              </w:rPr>
              <w:t xml:space="preserve"> </w:t>
            </w:r>
            <w:proofErr w:type="spellStart"/>
            <w:r w:rsidRPr="00E16672">
              <w:rPr>
                <w:rFonts w:ascii="Times New Roman" w:hAnsi="Times New Roman"/>
                <w:sz w:val="16"/>
                <w:szCs w:val="16"/>
              </w:rPr>
              <w:t>паперах</w:t>
            </w:r>
            <w:proofErr w:type="spellEnd"/>
            <w:r w:rsidRPr="00F23413">
              <w:rPr>
                <w:rFonts w:ascii="Times New Roman" w:hAnsi="Times New Roman"/>
                <w:sz w:val="16"/>
                <w:szCs w:val="16"/>
                <w:lang w:val="en-US"/>
              </w:rPr>
              <w:t>.</w:t>
            </w:r>
          </w:p>
          <w:p w14:paraId="6E0C70CB" w14:textId="77777777" w:rsidR="00F92811" w:rsidRPr="00F23413" w:rsidRDefault="00F92811" w:rsidP="00F92811">
            <w:pPr>
              <w:tabs>
                <w:tab w:val="left" w:pos="709"/>
              </w:tabs>
              <w:snapToGrid w:val="0"/>
              <w:ind w:left="40" w:right="138" w:firstLine="0"/>
              <w:rPr>
                <w:rFonts w:ascii="Times New Roman" w:hAnsi="Times New Roman"/>
                <w:sz w:val="16"/>
                <w:szCs w:val="16"/>
                <w:lang w:val="en-US"/>
              </w:rPr>
            </w:pPr>
          </w:p>
        </w:tc>
        <w:tc>
          <w:tcPr>
            <w:tcW w:w="5494" w:type="dxa"/>
            <w:gridSpan w:val="6"/>
            <w:shd w:val="clear" w:color="auto" w:fill="auto"/>
          </w:tcPr>
          <w:p w14:paraId="6E500A0A" w14:textId="77777777" w:rsidR="00F92811" w:rsidRPr="00E16672" w:rsidRDefault="00F92811" w:rsidP="00F92811">
            <w:pPr>
              <w:pStyle w:val="210"/>
              <w:tabs>
                <w:tab w:val="left" w:pos="287"/>
                <w:tab w:val="left" w:pos="1191"/>
              </w:tabs>
              <w:snapToGrid w:val="0"/>
              <w:ind w:left="145" w:right="100" w:firstLine="0"/>
              <w:rPr>
                <w:rFonts w:ascii="Times New Roman" w:hAnsi="Times New Roman"/>
                <w:sz w:val="16"/>
                <w:szCs w:val="16"/>
              </w:rPr>
            </w:pPr>
            <w:r w:rsidRPr="00E16672">
              <w:rPr>
                <w:rFonts w:ascii="Times New Roman" w:hAnsi="Times New Roman"/>
                <w:sz w:val="16"/>
                <w:szCs w:val="16"/>
                <w:lang w:val="en-US"/>
              </w:rPr>
              <w:t>2</w:t>
            </w:r>
            <w:r w:rsidRPr="00E16672">
              <w:rPr>
                <w:rFonts w:ascii="Times New Roman" w:hAnsi="Times New Roman"/>
                <w:sz w:val="16"/>
                <w:szCs w:val="16"/>
              </w:rPr>
              <w:t>.</w:t>
            </w:r>
            <w:r w:rsidRPr="00E16672">
              <w:rPr>
                <w:rFonts w:ascii="Times New Roman" w:hAnsi="Times New Roman"/>
                <w:sz w:val="16"/>
                <w:szCs w:val="16"/>
                <w:lang w:val="en-US"/>
              </w:rPr>
              <w:t>3</w:t>
            </w:r>
            <w:r w:rsidRPr="00E16672">
              <w:rPr>
                <w:rFonts w:ascii="Times New Roman" w:hAnsi="Times New Roman"/>
                <w:sz w:val="16"/>
                <w:szCs w:val="16"/>
              </w:rPr>
              <w:t xml:space="preserve">.8. </w:t>
            </w:r>
            <w:proofErr w:type="spellStart"/>
            <w:r w:rsidRPr="00E16672">
              <w:rPr>
                <w:rFonts w:ascii="Times New Roman" w:hAnsi="Times New Roman"/>
                <w:sz w:val="16"/>
                <w:szCs w:val="16"/>
              </w:rPr>
              <w:t>During</w:t>
            </w:r>
            <w:proofErr w:type="spellEnd"/>
            <w:r w:rsidRPr="00E16672">
              <w:rPr>
                <w:rFonts w:ascii="Times New Roman" w:hAnsi="Times New Roman"/>
                <w:sz w:val="16"/>
                <w:szCs w:val="16"/>
              </w:rPr>
              <w:t xml:space="preserve"> </w:t>
            </w:r>
            <w:proofErr w:type="spellStart"/>
            <w:r w:rsidRPr="00E16672">
              <w:rPr>
                <w:rFonts w:ascii="Times New Roman" w:hAnsi="Times New Roman"/>
                <w:i/>
                <w:sz w:val="16"/>
                <w:szCs w:val="16"/>
              </w:rPr>
              <w:t>sixty</w:t>
            </w:r>
            <w:proofErr w:type="spellEnd"/>
            <w:r w:rsidRPr="00E16672">
              <w:rPr>
                <w:rFonts w:ascii="Times New Roman" w:hAnsi="Times New Roman"/>
                <w:i/>
                <w:sz w:val="16"/>
                <w:szCs w:val="16"/>
              </w:rPr>
              <w:t xml:space="preserve"> </w:t>
            </w:r>
            <w:proofErr w:type="spellStart"/>
            <w:r w:rsidRPr="00E16672">
              <w:rPr>
                <w:rFonts w:ascii="Times New Roman" w:hAnsi="Times New Roman"/>
                <w:i/>
                <w:sz w:val="16"/>
                <w:szCs w:val="16"/>
              </w:rPr>
              <w:t>calendar</w:t>
            </w:r>
            <w:proofErr w:type="spellEnd"/>
            <w:r w:rsidRPr="00E16672">
              <w:rPr>
                <w:rFonts w:ascii="Times New Roman" w:hAnsi="Times New Roman"/>
                <w:i/>
                <w:sz w:val="16"/>
                <w:szCs w:val="16"/>
              </w:rPr>
              <w:t xml:space="preserve"> </w:t>
            </w:r>
            <w:proofErr w:type="spellStart"/>
            <w:r w:rsidRPr="00E16672">
              <w:rPr>
                <w:rFonts w:ascii="Times New Roman" w:hAnsi="Times New Roman"/>
                <w:i/>
                <w:sz w:val="16"/>
                <w:szCs w:val="16"/>
              </w:rPr>
              <w:t>days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from</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date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of</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beginning</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of</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procedure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of</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stopping</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by</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Depository</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institution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procedures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for</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stopping</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of</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professional</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activity</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stock</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market</w:t>
            </w:r>
            <w:proofErr w:type="spellEnd"/>
            <w:r w:rsidRPr="00E16672">
              <w:rPr>
                <w:rFonts w:ascii="Times New Roman" w:hAnsi="Times New Roman"/>
                <w:sz w:val="16"/>
                <w:szCs w:val="16"/>
              </w:rPr>
              <w:t xml:space="preserve"> - </w:t>
            </w:r>
            <w:proofErr w:type="spellStart"/>
            <w:r w:rsidRPr="00E16672">
              <w:rPr>
                <w:rFonts w:ascii="Times New Roman" w:hAnsi="Times New Roman"/>
                <w:sz w:val="16"/>
                <w:szCs w:val="16"/>
              </w:rPr>
              <w:t>depository</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activities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of</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Depository</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institution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in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accordance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with</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legal</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act</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to</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stopping</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depository</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activity</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of</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Depository</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institution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to</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take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all</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necessary</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steps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to</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close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an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account</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in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securities</w:t>
            </w:r>
            <w:proofErr w:type="spellEnd"/>
            <w:r w:rsidRPr="00E16672">
              <w:rPr>
                <w:rFonts w:ascii="Times New Roman" w:hAnsi="Times New Roman"/>
                <w:sz w:val="16"/>
                <w:szCs w:val="16"/>
              </w:rPr>
              <w:t>.</w:t>
            </w:r>
          </w:p>
        </w:tc>
      </w:tr>
      <w:tr w:rsidR="003A05A3" w:rsidRPr="00F23413" w14:paraId="700A229B" w14:textId="77777777" w:rsidTr="00242F58">
        <w:trPr>
          <w:trHeight w:val="192"/>
        </w:trPr>
        <w:tc>
          <w:tcPr>
            <w:tcW w:w="5696" w:type="dxa"/>
            <w:gridSpan w:val="8"/>
            <w:shd w:val="clear" w:color="auto" w:fill="auto"/>
          </w:tcPr>
          <w:p w14:paraId="3CED09E0" w14:textId="77777777" w:rsidR="003A05A3" w:rsidRPr="00E16672" w:rsidRDefault="003A05A3" w:rsidP="00022F5F">
            <w:pPr>
              <w:ind w:left="40" w:right="138" w:firstLine="0"/>
              <w:jc w:val="left"/>
              <w:rPr>
                <w:rFonts w:ascii="Times New Roman" w:hAnsi="Times New Roman"/>
                <w:color w:val="000000"/>
                <w:sz w:val="16"/>
                <w:szCs w:val="16"/>
                <w:lang w:val="uk-UA"/>
              </w:rPr>
            </w:pPr>
            <w:r w:rsidRPr="00E16672">
              <w:rPr>
                <w:rFonts w:ascii="Times New Roman" w:hAnsi="Times New Roman"/>
                <w:color w:val="000000"/>
                <w:sz w:val="16"/>
                <w:szCs w:val="16"/>
                <w:lang w:val="uk-UA"/>
              </w:rPr>
              <w:t xml:space="preserve">2.3.9. Надавати Депозитарній установі для здійснення розрахунків за правочинами щодо цінних паперів з дотриманням принципу </w:t>
            </w:r>
            <w:r w:rsidR="00022F5F">
              <w:rPr>
                <w:rFonts w:ascii="Times New Roman" w:hAnsi="Times New Roman"/>
                <w:color w:val="000000"/>
                <w:sz w:val="16"/>
                <w:szCs w:val="16"/>
                <w:lang w:val="uk-UA"/>
              </w:rPr>
              <w:t>"</w:t>
            </w:r>
            <w:r w:rsidRPr="00E16672">
              <w:rPr>
                <w:rFonts w:ascii="Times New Roman" w:hAnsi="Times New Roman"/>
                <w:color w:val="000000"/>
                <w:sz w:val="16"/>
                <w:szCs w:val="16"/>
                <w:lang w:val="uk-UA"/>
              </w:rPr>
              <w:t>поставка цінних паперів проти оплати</w:t>
            </w:r>
            <w:r w:rsidR="00022F5F">
              <w:rPr>
                <w:rFonts w:ascii="Times New Roman" w:hAnsi="Times New Roman"/>
                <w:color w:val="000000"/>
                <w:sz w:val="16"/>
                <w:szCs w:val="16"/>
                <w:lang w:val="uk-UA"/>
              </w:rPr>
              <w:t>"</w:t>
            </w:r>
            <w:r w:rsidRPr="00E16672">
              <w:rPr>
                <w:rFonts w:ascii="Times New Roman" w:hAnsi="Times New Roman"/>
                <w:color w:val="000000"/>
                <w:sz w:val="16"/>
                <w:szCs w:val="16"/>
                <w:lang w:val="uk-UA"/>
              </w:rPr>
              <w:t xml:space="preserve"> інформацію про торговця цінними паперами, якому Депонентом надані повноваження на вчинення правочинів щодо цінних паперів в інтересах Депонента, з метою подальшого надання такої інформації Центральному депозитарію та Розрахунковому центру чи кліринговій установі для її відображення у внутрішній системі обліку такої особи.</w:t>
            </w:r>
          </w:p>
          <w:p w14:paraId="6CA09EC1" w14:textId="77777777" w:rsidR="003A05A3" w:rsidRPr="00E16672" w:rsidRDefault="003A05A3" w:rsidP="00843027">
            <w:pPr>
              <w:tabs>
                <w:tab w:val="left" w:pos="709"/>
              </w:tabs>
              <w:snapToGrid w:val="0"/>
              <w:ind w:left="40" w:right="138" w:firstLine="0"/>
              <w:rPr>
                <w:rFonts w:ascii="Times New Roman" w:hAnsi="Times New Roman"/>
                <w:color w:val="000000"/>
                <w:sz w:val="16"/>
                <w:szCs w:val="16"/>
                <w:lang w:val="uk-UA"/>
              </w:rPr>
            </w:pPr>
          </w:p>
        </w:tc>
        <w:tc>
          <w:tcPr>
            <w:tcW w:w="5494" w:type="dxa"/>
            <w:gridSpan w:val="6"/>
            <w:shd w:val="clear" w:color="auto" w:fill="auto"/>
          </w:tcPr>
          <w:p w14:paraId="68F73DC8" w14:textId="77777777" w:rsidR="003A05A3" w:rsidRPr="00E16672" w:rsidRDefault="003A05A3" w:rsidP="00843027">
            <w:pPr>
              <w:pStyle w:val="210"/>
              <w:tabs>
                <w:tab w:val="left" w:pos="287"/>
                <w:tab w:val="left" w:pos="1191"/>
              </w:tabs>
              <w:snapToGrid w:val="0"/>
              <w:ind w:left="145" w:right="100" w:firstLine="0"/>
              <w:rPr>
                <w:rFonts w:ascii="Times New Roman" w:hAnsi="Times New Roman"/>
                <w:color w:val="000000"/>
                <w:sz w:val="16"/>
                <w:szCs w:val="16"/>
                <w:lang w:val="en-US"/>
              </w:rPr>
            </w:pPr>
            <w:r w:rsidRPr="00E16672">
              <w:rPr>
                <w:rFonts w:ascii="Times New Roman" w:hAnsi="Times New Roman"/>
                <w:color w:val="000000"/>
                <w:sz w:val="16"/>
                <w:szCs w:val="16"/>
                <w:lang w:val="en-US"/>
              </w:rPr>
              <w:t xml:space="preserve">2.3.9. </w:t>
            </w:r>
            <w:proofErr w:type="spellStart"/>
            <w:r w:rsidRPr="00E16672">
              <w:rPr>
                <w:rFonts w:ascii="Times New Roman" w:hAnsi="Times New Roman"/>
                <w:color w:val="000000"/>
                <w:sz w:val="16"/>
                <w:szCs w:val="16"/>
              </w:rPr>
              <w:t>Provide</w:t>
            </w:r>
            <w:proofErr w:type="spellEnd"/>
            <w:r w:rsidRPr="00E16672">
              <w:rPr>
                <w:rFonts w:ascii="Times New Roman" w:hAnsi="Times New Roman"/>
                <w:color w:val="000000"/>
                <w:sz w:val="16"/>
                <w:szCs w:val="16"/>
              </w:rPr>
              <w:t xml:space="preserve"> </w:t>
            </w:r>
            <w:r w:rsidRPr="00E16672">
              <w:rPr>
                <w:rFonts w:ascii="Times New Roman" w:hAnsi="Times New Roman"/>
                <w:color w:val="000000"/>
                <w:sz w:val="16"/>
                <w:szCs w:val="16"/>
                <w:lang w:val="en-US"/>
              </w:rPr>
              <w:t>D</w:t>
            </w:r>
            <w:proofErr w:type="spellStart"/>
            <w:r w:rsidRPr="00E16672">
              <w:rPr>
                <w:rFonts w:ascii="Times New Roman" w:hAnsi="Times New Roman"/>
                <w:color w:val="000000"/>
                <w:sz w:val="16"/>
                <w:szCs w:val="16"/>
              </w:rPr>
              <w:t>epository</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institution</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for</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making</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payments</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for</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transactions</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in</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securities</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compliance</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with</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principle</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of</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supply</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of</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securities</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against</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payment</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information</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on</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the</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securities</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trader</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which</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the</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Depositor</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empowered</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to</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commit</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transactions</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in</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securities</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for</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the</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benefit</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of</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the</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Depositor</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for</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further</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disclosure</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of</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such</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information</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to</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the</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Central</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Depository</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and</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Accounting</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Center</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or</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clearing</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institution</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to</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display</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it</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in</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the</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internal</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accounting</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system</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of</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such</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person</w:t>
            </w:r>
            <w:proofErr w:type="spellEnd"/>
            <w:r w:rsidRPr="00E16672">
              <w:rPr>
                <w:rFonts w:ascii="Times New Roman" w:hAnsi="Times New Roman"/>
                <w:color w:val="000000"/>
                <w:sz w:val="16"/>
                <w:szCs w:val="16"/>
              </w:rPr>
              <w:t>.</w:t>
            </w:r>
          </w:p>
        </w:tc>
      </w:tr>
      <w:tr w:rsidR="003A05A3" w:rsidRPr="00F23413" w14:paraId="3801E0FF" w14:textId="77777777" w:rsidTr="00242F58">
        <w:trPr>
          <w:trHeight w:val="192"/>
        </w:trPr>
        <w:tc>
          <w:tcPr>
            <w:tcW w:w="5696" w:type="dxa"/>
            <w:gridSpan w:val="8"/>
            <w:shd w:val="clear" w:color="auto" w:fill="auto"/>
          </w:tcPr>
          <w:p w14:paraId="4FDE854D" w14:textId="49166103" w:rsidR="003A05A3" w:rsidRPr="00E16672" w:rsidRDefault="00E92908" w:rsidP="00843027">
            <w:pPr>
              <w:suppressAutoHyphens w:val="0"/>
              <w:ind w:left="40" w:right="138" w:firstLine="0"/>
              <w:rPr>
                <w:rFonts w:ascii="Times New Roman" w:hAnsi="Times New Roman"/>
                <w:iCs/>
                <w:color w:val="000000"/>
                <w:sz w:val="16"/>
                <w:szCs w:val="16"/>
                <w:lang w:eastAsia="ru-RU"/>
              </w:rPr>
            </w:pPr>
            <w:r w:rsidRPr="00E92908">
              <w:rPr>
                <w:rFonts w:ascii="Times New Roman" w:hAnsi="Times New Roman"/>
                <w:iCs/>
                <w:color w:val="000000"/>
                <w:sz w:val="16"/>
                <w:szCs w:val="16"/>
                <w:lang w:val="uk-UA" w:eastAsia="ru-RU"/>
              </w:rPr>
              <w:t xml:space="preserve">2.3.10. Протягом трьох робочих днів з дня настання відповідної події письмово повідомити Депозитарну установу про зміни в інформації, що надавалася Депозитарній установі для здійснення ідентифікації (верифікації), у тому числі щодо кінцевих </w:t>
            </w:r>
            <w:proofErr w:type="spellStart"/>
            <w:r w:rsidRPr="00E92908">
              <w:rPr>
                <w:rFonts w:ascii="Times New Roman" w:hAnsi="Times New Roman"/>
                <w:iCs/>
                <w:color w:val="000000"/>
                <w:sz w:val="16"/>
                <w:szCs w:val="16"/>
                <w:lang w:val="uk-UA" w:eastAsia="ru-RU"/>
              </w:rPr>
              <w:t>бенефіціарних</w:t>
            </w:r>
            <w:proofErr w:type="spellEnd"/>
            <w:r w:rsidRPr="00E92908">
              <w:rPr>
                <w:rFonts w:ascii="Times New Roman" w:hAnsi="Times New Roman"/>
                <w:iCs/>
                <w:color w:val="000000"/>
                <w:sz w:val="16"/>
                <w:szCs w:val="16"/>
                <w:lang w:val="uk-UA" w:eastAsia="ru-RU"/>
              </w:rPr>
              <w:t xml:space="preserve"> власників (контролерів), та надати засвідчені належним чином копії підтверджуючих документів. Надавати інформацію про зміни відповідного власного статусу податкового </w:t>
            </w:r>
            <w:proofErr w:type="spellStart"/>
            <w:r w:rsidRPr="00E92908">
              <w:rPr>
                <w:rFonts w:ascii="Times New Roman" w:hAnsi="Times New Roman"/>
                <w:iCs/>
                <w:color w:val="000000"/>
                <w:sz w:val="16"/>
                <w:szCs w:val="16"/>
                <w:lang w:val="uk-UA" w:eastAsia="ru-RU"/>
              </w:rPr>
              <w:t>резидентства</w:t>
            </w:r>
            <w:proofErr w:type="spellEnd"/>
            <w:r w:rsidRPr="00E92908">
              <w:rPr>
                <w:rFonts w:ascii="Times New Roman" w:hAnsi="Times New Roman"/>
                <w:iCs/>
                <w:color w:val="000000"/>
                <w:sz w:val="16"/>
                <w:szCs w:val="16"/>
                <w:lang w:val="uk-UA" w:eastAsia="ru-RU"/>
              </w:rPr>
              <w:t xml:space="preserve"> протягом десяти робочих днів з дня настання відповідної зміни, у порядку, встановленому законодавством та внутрішніми документами Депозитарної установи. Повідомлення та документи можуть надаватися особисто, поштою, кур’єром.</w:t>
            </w:r>
          </w:p>
          <w:p w14:paraId="26ACB184" w14:textId="77777777" w:rsidR="003A05A3" w:rsidRPr="00E16672" w:rsidRDefault="003A05A3" w:rsidP="00843027">
            <w:pPr>
              <w:ind w:left="40" w:right="138" w:firstLine="0"/>
              <w:rPr>
                <w:rFonts w:ascii="Times New Roman" w:hAnsi="Times New Roman"/>
                <w:color w:val="000000"/>
                <w:sz w:val="16"/>
                <w:szCs w:val="16"/>
                <w:lang w:val="uk-UA"/>
              </w:rPr>
            </w:pPr>
          </w:p>
        </w:tc>
        <w:tc>
          <w:tcPr>
            <w:tcW w:w="5494" w:type="dxa"/>
            <w:gridSpan w:val="6"/>
            <w:shd w:val="clear" w:color="auto" w:fill="auto"/>
          </w:tcPr>
          <w:p w14:paraId="0F2285F6" w14:textId="77777777" w:rsidR="00E92908" w:rsidRPr="00E92908" w:rsidRDefault="00E92908" w:rsidP="00E92908">
            <w:pPr>
              <w:pStyle w:val="210"/>
              <w:tabs>
                <w:tab w:val="left" w:pos="287"/>
                <w:tab w:val="left" w:pos="1191"/>
              </w:tabs>
              <w:snapToGrid w:val="0"/>
              <w:ind w:left="145" w:right="100" w:firstLine="0"/>
              <w:rPr>
                <w:rFonts w:ascii="Times New Roman" w:hAnsi="Times New Roman"/>
                <w:iCs/>
                <w:color w:val="000000"/>
                <w:sz w:val="16"/>
                <w:szCs w:val="16"/>
              </w:rPr>
            </w:pPr>
            <w:r w:rsidRPr="00E92908">
              <w:rPr>
                <w:rFonts w:ascii="Times New Roman" w:hAnsi="Times New Roman"/>
                <w:iCs/>
                <w:color w:val="000000"/>
                <w:sz w:val="16"/>
                <w:szCs w:val="16"/>
              </w:rPr>
              <w:t xml:space="preserve">2.3.10. </w:t>
            </w:r>
            <w:proofErr w:type="spellStart"/>
            <w:r w:rsidRPr="00E92908">
              <w:rPr>
                <w:rFonts w:ascii="Times New Roman" w:hAnsi="Times New Roman"/>
                <w:iCs/>
                <w:color w:val="000000"/>
                <w:sz w:val="16"/>
                <w:szCs w:val="16"/>
              </w:rPr>
              <w:t>Within</w:t>
            </w:r>
            <w:proofErr w:type="spellEnd"/>
            <w:r w:rsidRPr="00E92908">
              <w:rPr>
                <w:rFonts w:ascii="Times New Roman" w:hAnsi="Times New Roman"/>
                <w:iCs/>
                <w:color w:val="000000"/>
                <w:sz w:val="16"/>
                <w:szCs w:val="16"/>
              </w:rPr>
              <w:t xml:space="preserve"> </w:t>
            </w:r>
            <w:proofErr w:type="spellStart"/>
            <w:r w:rsidRPr="00E92908">
              <w:rPr>
                <w:rFonts w:ascii="Times New Roman" w:hAnsi="Times New Roman"/>
                <w:iCs/>
                <w:color w:val="000000"/>
                <w:sz w:val="16"/>
                <w:szCs w:val="16"/>
              </w:rPr>
              <w:t>three</w:t>
            </w:r>
            <w:proofErr w:type="spellEnd"/>
            <w:r w:rsidRPr="00E92908">
              <w:rPr>
                <w:rFonts w:ascii="Times New Roman" w:hAnsi="Times New Roman"/>
                <w:iCs/>
                <w:color w:val="000000"/>
                <w:sz w:val="16"/>
                <w:szCs w:val="16"/>
              </w:rPr>
              <w:t xml:space="preserve"> </w:t>
            </w:r>
            <w:proofErr w:type="spellStart"/>
            <w:r w:rsidRPr="00E92908">
              <w:rPr>
                <w:rFonts w:ascii="Times New Roman" w:hAnsi="Times New Roman"/>
                <w:iCs/>
                <w:color w:val="000000"/>
                <w:sz w:val="16"/>
                <w:szCs w:val="16"/>
              </w:rPr>
              <w:t>working</w:t>
            </w:r>
            <w:proofErr w:type="spellEnd"/>
            <w:r w:rsidRPr="00E92908">
              <w:rPr>
                <w:rFonts w:ascii="Times New Roman" w:hAnsi="Times New Roman"/>
                <w:iCs/>
                <w:color w:val="000000"/>
                <w:sz w:val="16"/>
                <w:szCs w:val="16"/>
              </w:rPr>
              <w:t xml:space="preserve"> </w:t>
            </w:r>
            <w:proofErr w:type="spellStart"/>
            <w:r w:rsidRPr="00E92908">
              <w:rPr>
                <w:rFonts w:ascii="Times New Roman" w:hAnsi="Times New Roman"/>
                <w:iCs/>
                <w:color w:val="000000"/>
                <w:sz w:val="16"/>
                <w:szCs w:val="16"/>
              </w:rPr>
              <w:t>days</w:t>
            </w:r>
            <w:proofErr w:type="spellEnd"/>
            <w:r w:rsidRPr="00E92908">
              <w:rPr>
                <w:rFonts w:ascii="Times New Roman" w:hAnsi="Times New Roman"/>
                <w:iCs/>
                <w:color w:val="000000"/>
                <w:sz w:val="16"/>
                <w:szCs w:val="16"/>
              </w:rPr>
              <w:t xml:space="preserve"> </w:t>
            </w:r>
            <w:proofErr w:type="spellStart"/>
            <w:r w:rsidRPr="00E92908">
              <w:rPr>
                <w:rFonts w:ascii="Times New Roman" w:hAnsi="Times New Roman"/>
                <w:iCs/>
                <w:color w:val="000000"/>
                <w:sz w:val="16"/>
                <w:szCs w:val="16"/>
              </w:rPr>
              <w:t>from</w:t>
            </w:r>
            <w:proofErr w:type="spellEnd"/>
            <w:r w:rsidRPr="00E92908">
              <w:rPr>
                <w:rFonts w:ascii="Times New Roman" w:hAnsi="Times New Roman"/>
                <w:iCs/>
                <w:color w:val="000000"/>
                <w:sz w:val="16"/>
                <w:szCs w:val="16"/>
              </w:rPr>
              <w:t xml:space="preserve"> </w:t>
            </w:r>
            <w:proofErr w:type="spellStart"/>
            <w:r w:rsidRPr="00E92908">
              <w:rPr>
                <w:rFonts w:ascii="Times New Roman" w:hAnsi="Times New Roman"/>
                <w:iCs/>
                <w:color w:val="000000"/>
                <w:sz w:val="16"/>
                <w:szCs w:val="16"/>
              </w:rPr>
              <w:t>the</w:t>
            </w:r>
            <w:proofErr w:type="spellEnd"/>
            <w:r w:rsidRPr="00E92908">
              <w:rPr>
                <w:rFonts w:ascii="Times New Roman" w:hAnsi="Times New Roman"/>
                <w:iCs/>
                <w:color w:val="000000"/>
                <w:sz w:val="16"/>
                <w:szCs w:val="16"/>
              </w:rPr>
              <w:t xml:space="preserve"> </w:t>
            </w:r>
            <w:proofErr w:type="spellStart"/>
            <w:r w:rsidRPr="00E92908">
              <w:rPr>
                <w:rFonts w:ascii="Times New Roman" w:hAnsi="Times New Roman"/>
                <w:iCs/>
                <w:color w:val="000000"/>
                <w:sz w:val="16"/>
                <w:szCs w:val="16"/>
              </w:rPr>
              <w:t>day</w:t>
            </w:r>
            <w:proofErr w:type="spellEnd"/>
            <w:r w:rsidRPr="00E92908">
              <w:rPr>
                <w:rFonts w:ascii="Times New Roman" w:hAnsi="Times New Roman"/>
                <w:iCs/>
                <w:color w:val="000000"/>
                <w:sz w:val="16"/>
                <w:szCs w:val="16"/>
              </w:rPr>
              <w:t xml:space="preserve"> </w:t>
            </w:r>
            <w:proofErr w:type="spellStart"/>
            <w:r w:rsidRPr="00E92908">
              <w:rPr>
                <w:rFonts w:ascii="Times New Roman" w:hAnsi="Times New Roman"/>
                <w:iCs/>
                <w:color w:val="000000"/>
                <w:sz w:val="16"/>
                <w:szCs w:val="16"/>
              </w:rPr>
              <w:t>the</w:t>
            </w:r>
            <w:proofErr w:type="spellEnd"/>
            <w:r w:rsidRPr="00E92908">
              <w:rPr>
                <w:rFonts w:ascii="Times New Roman" w:hAnsi="Times New Roman"/>
                <w:iCs/>
                <w:color w:val="000000"/>
                <w:sz w:val="16"/>
                <w:szCs w:val="16"/>
              </w:rPr>
              <w:t xml:space="preserve"> </w:t>
            </w:r>
            <w:proofErr w:type="spellStart"/>
            <w:r w:rsidRPr="00E92908">
              <w:rPr>
                <w:rFonts w:ascii="Times New Roman" w:hAnsi="Times New Roman"/>
                <w:iCs/>
                <w:color w:val="000000"/>
                <w:sz w:val="16"/>
                <w:szCs w:val="16"/>
              </w:rPr>
              <w:t>respective</w:t>
            </w:r>
            <w:proofErr w:type="spellEnd"/>
            <w:r w:rsidRPr="00E92908">
              <w:rPr>
                <w:rFonts w:ascii="Times New Roman" w:hAnsi="Times New Roman"/>
                <w:iCs/>
                <w:color w:val="000000"/>
                <w:sz w:val="16"/>
                <w:szCs w:val="16"/>
              </w:rPr>
              <w:t xml:space="preserve"> </w:t>
            </w:r>
            <w:proofErr w:type="spellStart"/>
            <w:r w:rsidRPr="00E92908">
              <w:rPr>
                <w:rFonts w:ascii="Times New Roman" w:hAnsi="Times New Roman"/>
                <w:iCs/>
                <w:color w:val="000000"/>
                <w:sz w:val="16"/>
                <w:szCs w:val="16"/>
              </w:rPr>
              <w:t>event</w:t>
            </w:r>
            <w:proofErr w:type="spellEnd"/>
            <w:r w:rsidRPr="00E92908">
              <w:rPr>
                <w:rFonts w:ascii="Times New Roman" w:hAnsi="Times New Roman"/>
                <w:iCs/>
                <w:color w:val="000000"/>
                <w:sz w:val="16"/>
                <w:szCs w:val="16"/>
              </w:rPr>
              <w:t xml:space="preserve">  </w:t>
            </w:r>
            <w:proofErr w:type="spellStart"/>
            <w:r w:rsidRPr="00E92908">
              <w:rPr>
                <w:rFonts w:ascii="Times New Roman" w:hAnsi="Times New Roman"/>
                <w:iCs/>
                <w:color w:val="000000"/>
                <w:sz w:val="16"/>
                <w:szCs w:val="16"/>
              </w:rPr>
              <w:t>to</w:t>
            </w:r>
            <w:proofErr w:type="spellEnd"/>
            <w:r w:rsidRPr="00E92908">
              <w:rPr>
                <w:rFonts w:ascii="Times New Roman" w:hAnsi="Times New Roman"/>
                <w:iCs/>
                <w:color w:val="000000"/>
                <w:sz w:val="16"/>
                <w:szCs w:val="16"/>
              </w:rPr>
              <w:t xml:space="preserve"> </w:t>
            </w:r>
            <w:proofErr w:type="spellStart"/>
            <w:r w:rsidRPr="00E92908">
              <w:rPr>
                <w:rFonts w:ascii="Times New Roman" w:hAnsi="Times New Roman"/>
                <w:iCs/>
                <w:color w:val="000000"/>
                <w:sz w:val="16"/>
                <w:szCs w:val="16"/>
              </w:rPr>
              <w:t>notify</w:t>
            </w:r>
            <w:proofErr w:type="spellEnd"/>
            <w:r w:rsidRPr="00E92908">
              <w:rPr>
                <w:rFonts w:ascii="Times New Roman" w:hAnsi="Times New Roman"/>
                <w:iCs/>
                <w:color w:val="000000"/>
                <w:sz w:val="16"/>
                <w:szCs w:val="16"/>
              </w:rPr>
              <w:t xml:space="preserve"> </w:t>
            </w:r>
            <w:proofErr w:type="spellStart"/>
            <w:r w:rsidRPr="00E92908">
              <w:rPr>
                <w:rFonts w:ascii="Times New Roman" w:hAnsi="Times New Roman"/>
                <w:iCs/>
                <w:color w:val="000000"/>
                <w:sz w:val="16"/>
                <w:szCs w:val="16"/>
              </w:rPr>
              <w:t>Depository</w:t>
            </w:r>
            <w:proofErr w:type="spellEnd"/>
            <w:r w:rsidRPr="00E92908">
              <w:rPr>
                <w:rFonts w:ascii="Times New Roman" w:hAnsi="Times New Roman"/>
                <w:iCs/>
                <w:color w:val="000000"/>
                <w:sz w:val="16"/>
                <w:szCs w:val="16"/>
              </w:rPr>
              <w:t xml:space="preserve"> </w:t>
            </w:r>
            <w:proofErr w:type="spellStart"/>
            <w:r w:rsidRPr="00E92908">
              <w:rPr>
                <w:rFonts w:ascii="Times New Roman" w:hAnsi="Times New Roman"/>
                <w:iCs/>
                <w:color w:val="000000"/>
                <w:sz w:val="16"/>
                <w:szCs w:val="16"/>
              </w:rPr>
              <w:t>institution</w:t>
            </w:r>
            <w:proofErr w:type="spellEnd"/>
            <w:r w:rsidRPr="00E92908">
              <w:rPr>
                <w:rFonts w:ascii="Times New Roman" w:hAnsi="Times New Roman"/>
                <w:iCs/>
                <w:color w:val="000000"/>
                <w:sz w:val="16"/>
                <w:szCs w:val="16"/>
              </w:rPr>
              <w:t xml:space="preserve"> </w:t>
            </w:r>
            <w:proofErr w:type="spellStart"/>
            <w:r w:rsidRPr="00E92908">
              <w:rPr>
                <w:rFonts w:ascii="Times New Roman" w:hAnsi="Times New Roman"/>
                <w:iCs/>
                <w:color w:val="000000"/>
                <w:sz w:val="16"/>
                <w:szCs w:val="16"/>
              </w:rPr>
              <w:t>about</w:t>
            </w:r>
            <w:proofErr w:type="spellEnd"/>
            <w:r w:rsidRPr="00E92908">
              <w:rPr>
                <w:rFonts w:ascii="Times New Roman" w:hAnsi="Times New Roman"/>
                <w:iCs/>
                <w:color w:val="000000"/>
                <w:sz w:val="16"/>
                <w:szCs w:val="16"/>
              </w:rPr>
              <w:t xml:space="preserve"> </w:t>
            </w:r>
            <w:proofErr w:type="spellStart"/>
            <w:r w:rsidRPr="00E92908">
              <w:rPr>
                <w:rFonts w:ascii="Times New Roman" w:hAnsi="Times New Roman"/>
                <w:iCs/>
                <w:color w:val="000000"/>
                <w:sz w:val="16"/>
                <w:szCs w:val="16"/>
              </w:rPr>
              <w:t>changes</w:t>
            </w:r>
            <w:proofErr w:type="spellEnd"/>
            <w:r w:rsidRPr="00E92908">
              <w:rPr>
                <w:rFonts w:ascii="Times New Roman" w:hAnsi="Times New Roman"/>
                <w:iCs/>
                <w:color w:val="000000"/>
                <w:sz w:val="16"/>
                <w:szCs w:val="16"/>
              </w:rPr>
              <w:t xml:space="preserve"> </w:t>
            </w:r>
            <w:proofErr w:type="spellStart"/>
            <w:r w:rsidRPr="00E92908">
              <w:rPr>
                <w:rFonts w:ascii="Times New Roman" w:hAnsi="Times New Roman"/>
                <w:iCs/>
                <w:color w:val="000000"/>
                <w:sz w:val="16"/>
                <w:szCs w:val="16"/>
              </w:rPr>
              <w:t>in</w:t>
            </w:r>
            <w:proofErr w:type="spellEnd"/>
            <w:r w:rsidRPr="00E92908">
              <w:rPr>
                <w:rFonts w:ascii="Times New Roman" w:hAnsi="Times New Roman"/>
                <w:iCs/>
                <w:color w:val="000000"/>
                <w:sz w:val="16"/>
                <w:szCs w:val="16"/>
              </w:rPr>
              <w:t xml:space="preserve"> </w:t>
            </w:r>
            <w:proofErr w:type="spellStart"/>
            <w:r w:rsidRPr="00E92908">
              <w:rPr>
                <w:rFonts w:ascii="Times New Roman" w:hAnsi="Times New Roman"/>
                <w:iCs/>
                <w:color w:val="000000"/>
                <w:sz w:val="16"/>
                <w:szCs w:val="16"/>
              </w:rPr>
              <w:t>the</w:t>
            </w:r>
            <w:proofErr w:type="spellEnd"/>
            <w:r w:rsidRPr="00E92908">
              <w:rPr>
                <w:rFonts w:ascii="Times New Roman" w:hAnsi="Times New Roman"/>
                <w:iCs/>
                <w:color w:val="000000"/>
                <w:sz w:val="16"/>
                <w:szCs w:val="16"/>
              </w:rPr>
              <w:t xml:space="preserve"> </w:t>
            </w:r>
            <w:proofErr w:type="spellStart"/>
            <w:r w:rsidRPr="00E92908">
              <w:rPr>
                <w:rFonts w:ascii="Times New Roman" w:hAnsi="Times New Roman"/>
                <w:iCs/>
                <w:color w:val="000000"/>
                <w:sz w:val="16"/>
                <w:szCs w:val="16"/>
              </w:rPr>
              <w:t>information</w:t>
            </w:r>
            <w:proofErr w:type="spellEnd"/>
            <w:r w:rsidRPr="00E92908">
              <w:rPr>
                <w:rFonts w:ascii="Times New Roman" w:hAnsi="Times New Roman"/>
                <w:iCs/>
                <w:color w:val="000000"/>
                <w:sz w:val="16"/>
                <w:szCs w:val="16"/>
              </w:rPr>
              <w:t xml:space="preserve"> </w:t>
            </w:r>
            <w:proofErr w:type="spellStart"/>
            <w:r w:rsidRPr="00E92908">
              <w:rPr>
                <w:rFonts w:ascii="Times New Roman" w:hAnsi="Times New Roman"/>
                <w:iCs/>
                <w:color w:val="000000"/>
                <w:sz w:val="16"/>
                <w:szCs w:val="16"/>
              </w:rPr>
              <w:t>provided</w:t>
            </w:r>
            <w:proofErr w:type="spellEnd"/>
            <w:r w:rsidRPr="00E92908">
              <w:rPr>
                <w:rFonts w:ascii="Times New Roman" w:hAnsi="Times New Roman"/>
                <w:iCs/>
                <w:color w:val="000000"/>
                <w:sz w:val="16"/>
                <w:szCs w:val="16"/>
              </w:rPr>
              <w:t xml:space="preserve"> </w:t>
            </w:r>
            <w:proofErr w:type="spellStart"/>
            <w:r w:rsidRPr="00E92908">
              <w:rPr>
                <w:rFonts w:ascii="Times New Roman" w:hAnsi="Times New Roman"/>
                <w:iCs/>
                <w:color w:val="000000"/>
                <w:sz w:val="16"/>
                <w:szCs w:val="16"/>
              </w:rPr>
              <w:t>to</w:t>
            </w:r>
            <w:proofErr w:type="spellEnd"/>
            <w:r w:rsidRPr="00E92908">
              <w:rPr>
                <w:rFonts w:ascii="Times New Roman" w:hAnsi="Times New Roman"/>
                <w:iCs/>
                <w:color w:val="000000"/>
                <w:sz w:val="16"/>
                <w:szCs w:val="16"/>
              </w:rPr>
              <w:t xml:space="preserve"> </w:t>
            </w:r>
            <w:proofErr w:type="spellStart"/>
            <w:r w:rsidRPr="00E92908">
              <w:rPr>
                <w:rFonts w:ascii="Times New Roman" w:hAnsi="Times New Roman"/>
                <w:iCs/>
                <w:color w:val="000000"/>
                <w:sz w:val="16"/>
                <w:szCs w:val="16"/>
              </w:rPr>
              <w:t>Depository</w:t>
            </w:r>
            <w:proofErr w:type="spellEnd"/>
            <w:r w:rsidRPr="00E92908">
              <w:rPr>
                <w:rFonts w:ascii="Times New Roman" w:hAnsi="Times New Roman"/>
                <w:iCs/>
                <w:color w:val="000000"/>
                <w:sz w:val="16"/>
                <w:szCs w:val="16"/>
              </w:rPr>
              <w:t xml:space="preserve"> </w:t>
            </w:r>
            <w:proofErr w:type="spellStart"/>
            <w:r w:rsidRPr="00E92908">
              <w:rPr>
                <w:rFonts w:ascii="Times New Roman" w:hAnsi="Times New Roman"/>
                <w:iCs/>
                <w:color w:val="000000"/>
                <w:sz w:val="16"/>
                <w:szCs w:val="16"/>
              </w:rPr>
              <w:t>institution</w:t>
            </w:r>
            <w:proofErr w:type="spellEnd"/>
            <w:r w:rsidRPr="00E92908">
              <w:rPr>
                <w:rFonts w:ascii="Times New Roman" w:hAnsi="Times New Roman"/>
                <w:iCs/>
                <w:color w:val="000000"/>
                <w:sz w:val="16"/>
                <w:szCs w:val="16"/>
              </w:rPr>
              <w:t xml:space="preserve"> </w:t>
            </w:r>
            <w:proofErr w:type="spellStart"/>
            <w:r w:rsidRPr="00E92908">
              <w:rPr>
                <w:rFonts w:ascii="Times New Roman" w:hAnsi="Times New Roman"/>
                <w:iCs/>
                <w:color w:val="000000"/>
                <w:sz w:val="16"/>
                <w:szCs w:val="16"/>
              </w:rPr>
              <w:t>to</w:t>
            </w:r>
            <w:proofErr w:type="spellEnd"/>
            <w:r w:rsidRPr="00E92908">
              <w:rPr>
                <w:rFonts w:ascii="Times New Roman" w:hAnsi="Times New Roman"/>
                <w:iCs/>
                <w:color w:val="000000"/>
                <w:sz w:val="16"/>
                <w:szCs w:val="16"/>
              </w:rPr>
              <w:t xml:space="preserve"> </w:t>
            </w:r>
            <w:proofErr w:type="spellStart"/>
            <w:r w:rsidRPr="00E92908">
              <w:rPr>
                <w:rFonts w:ascii="Times New Roman" w:hAnsi="Times New Roman"/>
                <w:iCs/>
                <w:color w:val="000000"/>
                <w:sz w:val="16"/>
                <w:szCs w:val="16"/>
              </w:rPr>
              <w:t>carry</w:t>
            </w:r>
            <w:proofErr w:type="spellEnd"/>
            <w:r w:rsidRPr="00E92908">
              <w:rPr>
                <w:rFonts w:ascii="Times New Roman" w:hAnsi="Times New Roman"/>
                <w:iCs/>
                <w:color w:val="000000"/>
                <w:sz w:val="16"/>
                <w:szCs w:val="16"/>
              </w:rPr>
              <w:t xml:space="preserve"> </w:t>
            </w:r>
            <w:proofErr w:type="spellStart"/>
            <w:r w:rsidRPr="00E92908">
              <w:rPr>
                <w:rFonts w:ascii="Times New Roman" w:hAnsi="Times New Roman"/>
                <w:iCs/>
                <w:color w:val="000000"/>
                <w:sz w:val="16"/>
                <w:szCs w:val="16"/>
              </w:rPr>
              <w:t>identification</w:t>
            </w:r>
            <w:proofErr w:type="spellEnd"/>
            <w:r w:rsidRPr="00E92908">
              <w:rPr>
                <w:rFonts w:ascii="Times New Roman" w:hAnsi="Times New Roman"/>
                <w:iCs/>
                <w:color w:val="000000"/>
                <w:sz w:val="16"/>
                <w:szCs w:val="16"/>
              </w:rPr>
              <w:t xml:space="preserve"> (</w:t>
            </w:r>
            <w:proofErr w:type="spellStart"/>
            <w:r w:rsidRPr="00E92908">
              <w:rPr>
                <w:rFonts w:ascii="Times New Roman" w:hAnsi="Times New Roman"/>
                <w:iCs/>
                <w:color w:val="000000"/>
                <w:sz w:val="16"/>
                <w:szCs w:val="16"/>
              </w:rPr>
              <w:t>verification</w:t>
            </w:r>
            <w:proofErr w:type="spellEnd"/>
            <w:r w:rsidRPr="00E92908">
              <w:rPr>
                <w:rFonts w:ascii="Times New Roman" w:hAnsi="Times New Roman"/>
                <w:iCs/>
                <w:color w:val="000000"/>
                <w:sz w:val="16"/>
                <w:szCs w:val="16"/>
              </w:rPr>
              <w:t xml:space="preserve">), </w:t>
            </w:r>
            <w:proofErr w:type="spellStart"/>
            <w:r w:rsidRPr="00E92908">
              <w:rPr>
                <w:rFonts w:ascii="Times New Roman" w:hAnsi="Times New Roman"/>
                <w:iCs/>
                <w:color w:val="000000"/>
                <w:sz w:val="16"/>
                <w:szCs w:val="16"/>
              </w:rPr>
              <w:t>including</w:t>
            </w:r>
            <w:proofErr w:type="spellEnd"/>
            <w:r w:rsidRPr="00E92908">
              <w:rPr>
                <w:rFonts w:ascii="Times New Roman" w:hAnsi="Times New Roman"/>
                <w:iCs/>
                <w:color w:val="000000"/>
                <w:sz w:val="16"/>
                <w:szCs w:val="16"/>
              </w:rPr>
              <w:t xml:space="preserve"> </w:t>
            </w:r>
            <w:proofErr w:type="spellStart"/>
            <w:r w:rsidRPr="00E92908">
              <w:rPr>
                <w:rFonts w:ascii="Times New Roman" w:hAnsi="Times New Roman"/>
                <w:iCs/>
                <w:color w:val="000000"/>
                <w:sz w:val="16"/>
                <w:szCs w:val="16"/>
              </w:rPr>
              <w:t>the</w:t>
            </w:r>
            <w:proofErr w:type="spellEnd"/>
            <w:r w:rsidRPr="00E92908">
              <w:rPr>
                <w:rFonts w:ascii="Times New Roman" w:hAnsi="Times New Roman"/>
                <w:iCs/>
                <w:color w:val="000000"/>
                <w:sz w:val="16"/>
                <w:szCs w:val="16"/>
              </w:rPr>
              <w:t xml:space="preserve"> </w:t>
            </w:r>
            <w:proofErr w:type="spellStart"/>
            <w:r w:rsidRPr="00E92908">
              <w:rPr>
                <w:rFonts w:ascii="Times New Roman" w:hAnsi="Times New Roman"/>
                <w:iCs/>
                <w:color w:val="000000"/>
                <w:sz w:val="16"/>
                <w:szCs w:val="16"/>
              </w:rPr>
              <w:t>final</w:t>
            </w:r>
            <w:proofErr w:type="spellEnd"/>
            <w:r w:rsidRPr="00E92908">
              <w:rPr>
                <w:rFonts w:ascii="Times New Roman" w:hAnsi="Times New Roman"/>
                <w:iCs/>
                <w:color w:val="000000"/>
                <w:sz w:val="16"/>
                <w:szCs w:val="16"/>
              </w:rPr>
              <w:t xml:space="preserve"> </w:t>
            </w:r>
            <w:proofErr w:type="spellStart"/>
            <w:r w:rsidRPr="00E92908">
              <w:rPr>
                <w:rFonts w:ascii="Times New Roman" w:hAnsi="Times New Roman"/>
                <w:iCs/>
                <w:color w:val="000000"/>
                <w:sz w:val="16"/>
                <w:szCs w:val="16"/>
              </w:rPr>
              <w:t>beneficial</w:t>
            </w:r>
            <w:proofErr w:type="spellEnd"/>
            <w:r w:rsidRPr="00E92908">
              <w:rPr>
                <w:rFonts w:ascii="Times New Roman" w:hAnsi="Times New Roman"/>
                <w:iCs/>
                <w:color w:val="000000"/>
                <w:sz w:val="16"/>
                <w:szCs w:val="16"/>
              </w:rPr>
              <w:t xml:space="preserve"> </w:t>
            </w:r>
            <w:proofErr w:type="spellStart"/>
            <w:r w:rsidRPr="00E92908">
              <w:rPr>
                <w:rFonts w:ascii="Times New Roman" w:hAnsi="Times New Roman"/>
                <w:iCs/>
                <w:color w:val="000000"/>
                <w:sz w:val="16"/>
                <w:szCs w:val="16"/>
              </w:rPr>
              <w:t>owners</w:t>
            </w:r>
            <w:proofErr w:type="spellEnd"/>
            <w:r w:rsidRPr="00E92908">
              <w:rPr>
                <w:rFonts w:ascii="Times New Roman" w:hAnsi="Times New Roman"/>
                <w:iCs/>
                <w:color w:val="000000"/>
                <w:sz w:val="16"/>
                <w:szCs w:val="16"/>
              </w:rPr>
              <w:t xml:space="preserve"> (</w:t>
            </w:r>
            <w:proofErr w:type="spellStart"/>
            <w:r w:rsidRPr="00E92908">
              <w:rPr>
                <w:rFonts w:ascii="Times New Roman" w:hAnsi="Times New Roman"/>
                <w:iCs/>
                <w:color w:val="000000"/>
                <w:sz w:val="16"/>
                <w:szCs w:val="16"/>
              </w:rPr>
              <w:t>controllers</w:t>
            </w:r>
            <w:proofErr w:type="spellEnd"/>
            <w:r w:rsidRPr="00E92908">
              <w:rPr>
                <w:rFonts w:ascii="Times New Roman" w:hAnsi="Times New Roman"/>
                <w:iCs/>
                <w:color w:val="000000"/>
                <w:sz w:val="16"/>
                <w:szCs w:val="16"/>
              </w:rPr>
              <w:t xml:space="preserve">), </w:t>
            </w:r>
            <w:proofErr w:type="spellStart"/>
            <w:r w:rsidRPr="00E92908">
              <w:rPr>
                <w:rFonts w:ascii="Times New Roman" w:hAnsi="Times New Roman"/>
                <w:iCs/>
                <w:color w:val="000000"/>
                <w:sz w:val="16"/>
                <w:szCs w:val="16"/>
              </w:rPr>
              <w:t>and</w:t>
            </w:r>
            <w:proofErr w:type="spellEnd"/>
            <w:r w:rsidRPr="00E92908">
              <w:rPr>
                <w:rFonts w:ascii="Times New Roman" w:hAnsi="Times New Roman"/>
                <w:iCs/>
                <w:color w:val="000000"/>
                <w:sz w:val="16"/>
                <w:szCs w:val="16"/>
              </w:rPr>
              <w:t xml:space="preserve"> </w:t>
            </w:r>
            <w:proofErr w:type="spellStart"/>
            <w:r w:rsidRPr="00E92908">
              <w:rPr>
                <w:rFonts w:ascii="Times New Roman" w:hAnsi="Times New Roman"/>
                <w:iCs/>
                <w:color w:val="000000"/>
                <w:sz w:val="16"/>
                <w:szCs w:val="16"/>
              </w:rPr>
              <w:t>provide</w:t>
            </w:r>
            <w:proofErr w:type="spellEnd"/>
            <w:r w:rsidRPr="00E92908">
              <w:rPr>
                <w:rFonts w:ascii="Times New Roman" w:hAnsi="Times New Roman"/>
                <w:iCs/>
                <w:color w:val="000000"/>
                <w:sz w:val="16"/>
                <w:szCs w:val="16"/>
              </w:rPr>
              <w:t xml:space="preserve"> </w:t>
            </w:r>
            <w:proofErr w:type="spellStart"/>
            <w:r w:rsidRPr="00E92908">
              <w:rPr>
                <w:rFonts w:ascii="Times New Roman" w:hAnsi="Times New Roman"/>
                <w:iCs/>
                <w:color w:val="000000"/>
                <w:sz w:val="16"/>
                <w:szCs w:val="16"/>
              </w:rPr>
              <w:t>properly</w:t>
            </w:r>
            <w:proofErr w:type="spellEnd"/>
            <w:r w:rsidRPr="00E92908">
              <w:rPr>
                <w:rFonts w:ascii="Times New Roman" w:hAnsi="Times New Roman"/>
                <w:iCs/>
                <w:color w:val="000000"/>
                <w:sz w:val="16"/>
                <w:szCs w:val="16"/>
              </w:rPr>
              <w:t xml:space="preserve"> </w:t>
            </w:r>
            <w:proofErr w:type="spellStart"/>
            <w:r w:rsidRPr="00E92908">
              <w:rPr>
                <w:rFonts w:ascii="Times New Roman" w:hAnsi="Times New Roman"/>
                <w:iCs/>
                <w:color w:val="000000"/>
                <w:sz w:val="16"/>
                <w:szCs w:val="16"/>
              </w:rPr>
              <w:t>certified</w:t>
            </w:r>
            <w:proofErr w:type="spellEnd"/>
            <w:r w:rsidRPr="00E92908">
              <w:rPr>
                <w:rFonts w:ascii="Times New Roman" w:hAnsi="Times New Roman"/>
                <w:iCs/>
                <w:color w:val="000000"/>
                <w:sz w:val="16"/>
                <w:szCs w:val="16"/>
              </w:rPr>
              <w:t xml:space="preserve"> </w:t>
            </w:r>
            <w:proofErr w:type="spellStart"/>
            <w:r w:rsidRPr="00E92908">
              <w:rPr>
                <w:rFonts w:ascii="Times New Roman" w:hAnsi="Times New Roman"/>
                <w:iCs/>
                <w:color w:val="000000"/>
                <w:sz w:val="16"/>
                <w:szCs w:val="16"/>
              </w:rPr>
              <w:t>copies</w:t>
            </w:r>
            <w:proofErr w:type="spellEnd"/>
            <w:r w:rsidRPr="00E92908">
              <w:rPr>
                <w:rFonts w:ascii="Times New Roman" w:hAnsi="Times New Roman"/>
                <w:iCs/>
                <w:color w:val="000000"/>
                <w:sz w:val="16"/>
                <w:szCs w:val="16"/>
              </w:rPr>
              <w:t xml:space="preserve"> </w:t>
            </w:r>
            <w:proofErr w:type="spellStart"/>
            <w:r w:rsidRPr="00E92908">
              <w:rPr>
                <w:rFonts w:ascii="Times New Roman" w:hAnsi="Times New Roman"/>
                <w:iCs/>
                <w:color w:val="000000"/>
                <w:sz w:val="16"/>
                <w:szCs w:val="16"/>
              </w:rPr>
              <w:t>of</w:t>
            </w:r>
            <w:proofErr w:type="spellEnd"/>
            <w:r w:rsidRPr="00E92908">
              <w:rPr>
                <w:rFonts w:ascii="Times New Roman" w:hAnsi="Times New Roman"/>
                <w:iCs/>
                <w:color w:val="000000"/>
                <w:sz w:val="16"/>
                <w:szCs w:val="16"/>
              </w:rPr>
              <w:t xml:space="preserve"> </w:t>
            </w:r>
            <w:proofErr w:type="spellStart"/>
            <w:r w:rsidRPr="00E92908">
              <w:rPr>
                <w:rFonts w:ascii="Times New Roman" w:hAnsi="Times New Roman"/>
                <w:iCs/>
                <w:color w:val="000000"/>
                <w:sz w:val="16"/>
                <w:szCs w:val="16"/>
              </w:rPr>
              <w:t>supporting</w:t>
            </w:r>
            <w:proofErr w:type="spellEnd"/>
            <w:r w:rsidRPr="00E92908">
              <w:rPr>
                <w:rFonts w:ascii="Times New Roman" w:hAnsi="Times New Roman"/>
                <w:iCs/>
                <w:color w:val="000000"/>
                <w:sz w:val="16"/>
                <w:szCs w:val="16"/>
              </w:rPr>
              <w:t xml:space="preserve"> </w:t>
            </w:r>
            <w:proofErr w:type="spellStart"/>
            <w:r w:rsidRPr="00E92908">
              <w:rPr>
                <w:rFonts w:ascii="Times New Roman" w:hAnsi="Times New Roman"/>
                <w:iCs/>
                <w:color w:val="000000"/>
                <w:sz w:val="16"/>
                <w:szCs w:val="16"/>
              </w:rPr>
              <w:t>documents</w:t>
            </w:r>
            <w:proofErr w:type="spellEnd"/>
            <w:r w:rsidRPr="00E92908">
              <w:rPr>
                <w:rFonts w:ascii="Times New Roman" w:hAnsi="Times New Roman"/>
                <w:iCs/>
                <w:color w:val="000000"/>
                <w:sz w:val="16"/>
                <w:szCs w:val="16"/>
              </w:rPr>
              <w:t xml:space="preserve">. </w:t>
            </w:r>
            <w:proofErr w:type="spellStart"/>
            <w:r w:rsidRPr="00E92908">
              <w:rPr>
                <w:rFonts w:ascii="Times New Roman" w:hAnsi="Times New Roman"/>
                <w:iCs/>
                <w:color w:val="000000"/>
                <w:sz w:val="16"/>
                <w:szCs w:val="16"/>
              </w:rPr>
              <w:t>Provide</w:t>
            </w:r>
            <w:proofErr w:type="spellEnd"/>
            <w:r w:rsidRPr="00E92908">
              <w:rPr>
                <w:rFonts w:ascii="Times New Roman" w:hAnsi="Times New Roman"/>
                <w:iCs/>
                <w:color w:val="000000"/>
                <w:sz w:val="16"/>
                <w:szCs w:val="16"/>
              </w:rPr>
              <w:t xml:space="preserve"> </w:t>
            </w:r>
            <w:proofErr w:type="spellStart"/>
            <w:r w:rsidRPr="00E92908">
              <w:rPr>
                <w:rFonts w:ascii="Times New Roman" w:hAnsi="Times New Roman"/>
                <w:iCs/>
                <w:color w:val="000000"/>
                <w:sz w:val="16"/>
                <w:szCs w:val="16"/>
              </w:rPr>
              <w:t>information</w:t>
            </w:r>
            <w:proofErr w:type="spellEnd"/>
            <w:r w:rsidRPr="00E92908">
              <w:rPr>
                <w:rFonts w:ascii="Times New Roman" w:hAnsi="Times New Roman"/>
                <w:iCs/>
                <w:color w:val="000000"/>
                <w:sz w:val="16"/>
                <w:szCs w:val="16"/>
              </w:rPr>
              <w:t xml:space="preserve"> </w:t>
            </w:r>
            <w:proofErr w:type="spellStart"/>
            <w:r w:rsidRPr="00E92908">
              <w:rPr>
                <w:rFonts w:ascii="Times New Roman" w:hAnsi="Times New Roman"/>
                <w:iCs/>
                <w:color w:val="000000"/>
                <w:sz w:val="16"/>
                <w:szCs w:val="16"/>
              </w:rPr>
              <w:t>on</w:t>
            </w:r>
            <w:proofErr w:type="spellEnd"/>
            <w:r w:rsidRPr="00E92908">
              <w:rPr>
                <w:rFonts w:ascii="Times New Roman" w:hAnsi="Times New Roman"/>
                <w:iCs/>
                <w:color w:val="000000"/>
                <w:sz w:val="16"/>
                <w:szCs w:val="16"/>
              </w:rPr>
              <w:t xml:space="preserve"> </w:t>
            </w:r>
            <w:proofErr w:type="spellStart"/>
            <w:r w:rsidRPr="00E92908">
              <w:rPr>
                <w:rFonts w:ascii="Times New Roman" w:hAnsi="Times New Roman"/>
                <w:iCs/>
                <w:color w:val="000000"/>
                <w:sz w:val="16"/>
                <w:szCs w:val="16"/>
              </w:rPr>
              <w:t>changes</w:t>
            </w:r>
            <w:proofErr w:type="spellEnd"/>
            <w:r w:rsidRPr="00E92908">
              <w:rPr>
                <w:rFonts w:ascii="Times New Roman" w:hAnsi="Times New Roman"/>
                <w:iCs/>
                <w:color w:val="000000"/>
                <w:sz w:val="16"/>
                <w:szCs w:val="16"/>
              </w:rPr>
              <w:t xml:space="preserve"> </w:t>
            </w:r>
            <w:proofErr w:type="spellStart"/>
            <w:r w:rsidRPr="00E92908">
              <w:rPr>
                <w:rFonts w:ascii="Times New Roman" w:hAnsi="Times New Roman"/>
                <w:iCs/>
                <w:color w:val="000000"/>
                <w:sz w:val="16"/>
                <w:szCs w:val="16"/>
              </w:rPr>
              <w:t>in</w:t>
            </w:r>
            <w:proofErr w:type="spellEnd"/>
            <w:r w:rsidRPr="00E92908">
              <w:rPr>
                <w:rFonts w:ascii="Times New Roman" w:hAnsi="Times New Roman"/>
                <w:iCs/>
                <w:color w:val="000000"/>
                <w:sz w:val="16"/>
                <w:szCs w:val="16"/>
              </w:rPr>
              <w:t xml:space="preserve"> </w:t>
            </w:r>
            <w:proofErr w:type="spellStart"/>
            <w:r w:rsidRPr="00E92908">
              <w:rPr>
                <w:rFonts w:ascii="Times New Roman" w:hAnsi="Times New Roman"/>
                <w:iCs/>
                <w:color w:val="000000"/>
                <w:sz w:val="16"/>
                <w:szCs w:val="16"/>
              </w:rPr>
              <w:t>the</w:t>
            </w:r>
            <w:proofErr w:type="spellEnd"/>
            <w:r w:rsidRPr="00E92908">
              <w:rPr>
                <w:rFonts w:ascii="Times New Roman" w:hAnsi="Times New Roman"/>
                <w:iCs/>
                <w:color w:val="000000"/>
                <w:sz w:val="16"/>
                <w:szCs w:val="16"/>
              </w:rPr>
              <w:t xml:space="preserve"> </w:t>
            </w:r>
            <w:proofErr w:type="spellStart"/>
            <w:r w:rsidRPr="00E92908">
              <w:rPr>
                <w:rFonts w:ascii="Times New Roman" w:hAnsi="Times New Roman"/>
                <w:iCs/>
                <w:color w:val="000000"/>
                <w:sz w:val="16"/>
                <w:szCs w:val="16"/>
              </w:rPr>
              <w:t>relevant</w:t>
            </w:r>
            <w:proofErr w:type="spellEnd"/>
            <w:r w:rsidRPr="00E92908">
              <w:rPr>
                <w:rFonts w:ascii="Times New Roman" w:hAnsi="Times New Roman"/>
                <w:iCs/>
                <w:color w:val="000000"/>
                <w:sz w:val="16"/>
                <w:szCs w:val="16"/>
              </w:rPr>
              <w:t xml:space="preserve"> </w:t>
            </w:r>
            <w:proofErr w:type="spellStart"/>
            <w:r w:rsidRPr="00E92908">
              <w:rPr>
                <w:rFonts w:ascii="Times New Roman" w:hAnsi="Times New Roman"/>
                <w:iCs/>
                <w:color w:val="000000"/>
                <w:sz w:val="16"/>
                <w:szCs w:val="16"/>
              </w:rPr>
              <w:t>own</w:t>
            </w:r>
            <w:proofErr w:type="spellEnd"/>
            <w:r w:rsidRPr="00E92908">
              <w:rPr>
                <w:rFonts w:ascii="Times New Roman" w:hAnsi="Times New Roman"/>
                <w:iCs/>
                <w:color w:val="000000"/>
                <w:sz w:val="16"/>
                <w:szCs w:val="16"/>
              </w:rPr>
              <w:t xml:space="preserve"> </w:t>
            </w:r>
            <w:proofErr w:type="spellStart"/>
            <w:r w:rsidRPr="00E92908">
              <w:rPr>
                <w:rFonts w:ascii="Times New Roman" w:hAnsi="Times New Roman"/>
                <w:iCs/>
                <w:color w:val="000000"/>
                <w:sz w:val="16"/>
                <w:szCs w:val="16"/>
              </w:rPr>
              <w:t>status</w:t>
            </w:r>
            <w:proofErr w:type="spellEnd"/>
            <w:r w:rsidRPr="00E92908">
              <w:rPr>
                <w:rFonts w:ascii="Times New Roman" w:hAnsi="Times New Roman"/>
                <w:iCs/>
                <w:color w:val="000000"/>
                <w:sz w:val="16"/>
                <w:szCs w:val="16"/>
              </w:rPr>
              <w:t xml:space="preserve"> </w:t>
            </w:r>
            <w:proofErr w:type="spellStart"/>
            <w:r w:rsidRPr="00E92908">
              <w:rPr>
                <w:rFonts w:ascii="Times New Roman" w:hAnsi="Times New Roman"/>
                <w:iCs/>
                <w:color w:val="000000"/>
                <w:sz w:val="16"/>
                <w:szCs w:val="16"/>
              </w:rPr>
              <w:t>of</w:t>
            </w:r>
            <w:proofErr w:type="spellEnd"/>
            <w:r w:rsidRPr="00E92908">
              <w:rPr>
                <w:rFonts w:ascii="Times New Roman" w:hAnsi="Times New Roman"/>
                <w:iCs/>
                <w:color w:val="000000"/>
                <w:sz w:val="16"/>
                <w:szCs w:val="16"/>
              </w:rPr>
              <w:t xml:space="preserve"> </w:t>
            </w:r>
            <w:proofErr w:type="spellStart"/>
            <w:r w:rsidRPr="00E92908">
              <w:rPr>
                <w:rFonts w:ascii="Times New Roman" w:hAnsi="Times New Roman"/>
                <w:iCs/>
                <w:color w:val="000000"/>
                <w:sz w:val="16"/>
                <w:szCs w:val="16"/>
              </w:rPr>
              <w:t>the</w:t>
            </w:r>
            <w:proofErr w:type="spellEnd"/>
            <w:r w:rsidRPr="00E92908">
              <w:rPr>
                <w:rFonts w:ascii="Times New Roman" w:hAnsi="Times New Roman"/>
                <w:iCs/>
                <w:color w:val="000000"/>
                <w:sz w:val="16"/>
                <w:szCs w:val="16"/>
              </w:rPr>
              <w:t xml:space="preserve"> </w:t>
            </w:r>
            <w:proofErr w:type="spellStart"/>
            <w:r w:rsidRPr="00E92908">
              <w:rPr>
                <w:rFonts w:ascii="Times New Roman" w:hAnsi="Times New Roman"/>
                <w:iCs/>
                <w:color w:val="000000"/>
                <w:sz w:val="16"/>
                <w:szCs w:val="16"/>
              </w:rPr>
              <w:t>tax</w:t>
            </w:r>
            <w:proofErr w:type="spellEnd"/>
            <w:r w:rsidRPr="00E92908">
              <w:rPr>
                <w:rFonts w:ascii="Times New Roman" w:hAnsi="Times New Roman"/>
                <w:iCs/>
                <w:color w:val="000000"/>
                <w:sz w:val="16"/>
                <w:szCs w:val="16"/>
              </w:rPr>
              <w:t xml:space="preserve"> </w:t>
            </w:r>
            <w:proofErr w:type="spellStart"/>
            <w:r w:rsidRPr="00E92908">
              <w:rPr>
                <w:rFonts w:ascii="Times New Roman" w:hAnsi="Times New Roman"/>
                <w:iCs/>
                <w:color w:val="000000"/>
                <w:sz w:val="16"/>
                <w:szCs w:val="16"/>
              </w:rPr>
              <w:t>residence</w:t>
            </w:r>
            <w:proofErr w:type="spellEnd"/>
            <w:r w:rsidRPr="00E92908">
              <w:rPr>
                <w:rFonts w:ascii="Times New Roman" w:hAnsi="Times New Roman"/>
                <w:iCs/>
                <w:color w:val="000000"/>
                <w:sz w:val="16"/>
                <w:szCs w:val="16"/>
              </w:rPr>
              <w:t xml:space="preserve"> </w:t>
            </w:r>
            <w:proofErr w:type="spellStart"/>
            <w:r w:rsidRPr="00E92908">
              <w:rPr>
                <w:rFonts w:ascii="Times New Roman" w:hAnsi="Times New Roman"/>
                <w:iCs/>
                <w:color w:val="000000"/>
                <w:sz w:val="16"/>
                <w:szCs w:val="16"/>
              </w:rPr>
              <w:t>within</w:t>
            </w:r>
            <w:proofErr w:type="spellEnd"/>
            <w:r w:rsidRPr="00E92908">
              <w:rPr>
                <w:rFonts w:ascii="Times New Roman" w:hAnsi="Times New Roman"/>
                <w:iCs/>
                <w:color w:val="000000"/>
                <w:sz w:val="16"/>
                <w:szCs w:val="16"/>
              </w:rPr>
              <w:t xml:space="preserve"> </w:t>
            </w:r>
            <w:proofErr w:type="spellStart"/>
            <w:r w:rsidRPr="00E92908">
              <w:rPr>
                <w:rFonts w:ascii="Times New Roman" w:hAnsi="Times New Roman"/>
                <w:iCs/>
                <w:color w:val="000000"/>
                <w:sz w:val="16"/>
                <w:szCs w:val="16"/>
              </w:rPr>
              <w:t>ten</w:t>
            </w:r>
            <w:proofErr w:type="spellEnd"/>
            <w:r w:rsidRPr="00E92908">
              <w:rPr>
                <w:rFonts w:ascii="Times New Roman" w:hAnsi="Times New Roman"/>
                <w:iCs/>
                <w:color w:val="000000"/>
                <w:sz w:val="16"/>
                <w:szCs w:val="16"/>
              </w:rPr>
              <w:t xml:space="preserve"> </w:t>
            </w:r>
            <w:proofErr w:type="spellStart"/>
            <w:r w:rsidRPr="00E92908">
              <w:rPr>
                <w:rFonts w:ascii="Times New Roman" w:hAnsi="Times New Roman"/>
                <w:iCs/>
                <w:color w:val="000000"/>
                <w:sz w:val="16"/>
                <w:szCs w:val="16"/>
              </w:rPr>
              <w:t>working</w:t>
            </w:r>
            <w:proofErr w:type="spellEnd"/>
            <w:r w:rsidRPr="00E92908">
              <w:rPr>
                <w:rFonts w:ascii="Times New Roman" w:hAnsi="Times New Roman"/>
                <w:iCs/>
                <w:color w:val="000000"/>
                <w:sz w:val="16"/>
                <w:szCs w:val="16"/>
              </w:rPr>
              <w:t xml:space="preserve"> </w:t>
            </w:r>
            <w:proofErr w:type="spellStart"/>
            <w:r w:rsidRPr="00E92908">
              <w:rPr>
                <w:rFonts w:ascii="Times New Roman" w:hAnsi="Times New Roman"/>
                <w:iCs/>
                <w:color w:val="000000"/>
                <w:sz w:val="16"/>
                <w:szCs w:val="16"/>
              </w:rPr>
              <w:t>days</w:t>
            </w:r>
            <w:proofErr w:type="spellEnd"/>
            <w:r w:rsidRPr="00E92908">
              <w:rPr>
                <w:rFonts w:ascii="Times New Roman" w:hAnsi="Times New Roman"/>
                <w:iCs/>
                <w:color w:val="000000"/>
                <w:sz w:val="16"/>
                <w:szCs w:val="16"/>
              </w:rPr>
              <w:t xml:space="preserve"> </w:t>
            </w:r>
            <w:proofErr w:type="spellStart"/>
            <w:r w:rsidRPr="00E92908">
              <w:rPr>
                <w:rFonts w:ascii="Times New Roman" w:hAnsi="Times New Roman"/>
                <w:iCs/>
                <w:color w:val="000000"/>
                <w:sz w:val="16"/>
                <w:szCs w:val="16"/>
              </w:rPr>
              <w:t>from</w:t>
            </w:r>
            <w:proofErr w:type="spellEnd"/>
            <w:r w:rsidRPr="00E92908">
              <w:rPr>
                <w:rFonts w:ascii="Times New Roman" w:hAnsi="Times New Roman"/>
                <w:iCs/>
                <w:color w:val="000000"/>
                <w:sz w:val="16"/>
                <w:szCs w:val="16"/>
              </w:rPr>
              <w:t xml:space="preserve"> </w:t>
            </w:r>
            <w:proofErr w:type="spellStart"/>
            <w:r w:rsidRPr="00E92908">
              <w:rPr>
                <w:rFonts w:ascii="Times New Roman" w:hAnsi="Times New Roman"/>
                <w:iCs/>
                <w:color w:val="000000"/>
                <w:sz w:val="16"/>
                <w:szCs w:val="16"/>
              </w:rPr>
              <w:t>the</w:t>
            </w:r>
            <w:proofErr w:type="spellEnd"/>
            <w:r w:rsidRPr="00E92908">
              <w:rPr>
                <w:rFonts w:ascii="Times New Roman" w:hAnsi="Times New Roman"/>
                <w:iCs/>
                <w:color w:val="000000"/>
                <w:sz w:val="16"/>
                <w:szCs w:val="16"/>
              </w:rPr>
              <w:t xml:space="preserve"> </w:t>
            </w:r>
            <w:proofErr w:type="spellStart"/>
            <w:r w:rsidRPr="00E92908">
              <w:rPr>
                <w:rFonts w:ascii="Times New Roman" w:hAnsi="Times New Roman"/>
                <w:iCs/>
                <w:color w:val="000000"/>
                <w:sz w:val="16"/>
                <w:szCs w:val="16"/>
              </w:rPr>
              <w:t>date</w:t>
            </w:r>
            <w:proofErr w:type="spellEnd"/>
            <w:r w:rsidRPr="00E92908">
              <w:rPr>
                <w:rFonts w:ascii="Times New Roman" w:hAnsi="Times New Roman"/>
                <w:iCs/>
                <w:color w:val="000000"/>
                <w:sz w:val="16"/>
                <w:szCs w:val="16"/>
              </w:rPr>
              <w:t xml:space="preserve"> </w:t>
            </w:r>
            <w:proofErr w:type="spellStart"/>
            <w:r w:rsidRPr="00E92908">
              <w:rPr>
                <w:rFonts w:ascii="Times New Roman" w:hAnsi="Times New Roman"/>
                <w:iCs/>
                <w:color w:val="000000"/>
                <w:sz w:val="16"/>
                <w:szCs w:val="16"/>
              </w:rPr>
              <w:t>of</w:t>
            </w:r>
            <w:proofErr w:type="spellEnd"/>
            <w:r w:rsidRPr="00E92908">
              <w:rPr>
                <w:rFonts w:ascii="Times New Roman" w:hAnsi="Times New Roman"/>
                <w:iCs/>
                <w:color w:val="000000"/>
                <w:sz w:val="16"/>
                <w:szCs w:val="16"/>
              </w:rPr>
              <w:t xml:space="preserve"> </w:t>
            </w:r>
            <w:proofErr w:type="spellStart"/>
            <w:r w:rsidRPr="00E92908">
              <w:rPr>
                <w:rFonts w:ascii="Times New Roman" w:hAnsi="Times New Roman"/>
                <w:iCs/>
                <w:color w:val="000000"/>
                <w:sz w:val="16"/>
                <w:szCs w:val="16"/>
              </w:rPr>
              <w:t>the</w:t>
            </w:r>
            <w:proofErr w:type="spellEnd"/>
            <w:r w:rsidRPr="00E92908">
              <w:rPr>
                <w:rFonts w:ascii="Times New Roman" w:hAnsi="Times New Roman"/>
                <w:iCs/>
                <w:color w:val="000000"/>
                <w:sz w:val="16"/>
                <w:szCs w:val="16"/>
              </w:rPr>
              <w:t xml:space="preserve"> </w:t>
            </w:r>
            <w:proofErr w:type="spellStart"/>
            <w:r w:rsidRPr="00E92908">
              <w:rPr>
                <w:rFonts w:ascii="Times New Roman" w:hAnsi="Times New Roman"/>
                <w:iCs/>
                <w:color w:val="000000"/>
                <w:sz w:val="16"/>
                <w:szCs w:val="16"/>
              </w:rPr>
              <w:t>relevant</w:t>
            </w:r>
            <w:proofErr w:type="spellEnd"/>
            <w:r w:rsidRPr="00E92908">
              <w:rPr>
                <w:rFonts w:ascii="Times New Roman" w:hAnsi="Times New Roman"/>
                <w:iCs/>
                <w:color w:val="000000"/>
                <w:sz w:val="16"/>
                <w:szCs w:val="16"/>
              </w:rPr>
              <w:t xml:space="preserve"> </w:t>
            </w:r>
            <w:proofErr w:type="spellStart"/>
            <w:r w:rsidRPr="00E92908">
              <w:rPr>
                <w:rFonts w:ascii="Times New Roman" w:hAnsi="Times New Roman"/>
                <w:iCs/>
                <w:color w:val="000000"/>
                <w:sz w:val="16"/>
                <w:szCs w:val="16"/>
              </w:rPr>
              <w:t>change</w:t>
            </w:r>
            <w:proofErr w:type="spellEnd"/>
            <w:r w:rsidRPr="00E92908">
              <w:rPr>
                <w:rFonts w:ascii="Times New Roman" w:hAnsi="Times New Roman"/>
                <w:iCs/>
                <w:color w:val="000000"/>
                <w:sz w:val="16"/>
                <w:szCs w:val="16"/>
              </w:rPr>
              <w:t xml:space="preserve">, </w:t>
            </w:r>
            <w:proofErr w:type="spellStart"/>
            <w:r w:rsidRPr="00E92908">
              <w:rPr>
                <w:rFonts w:ascii="Times New Roman" w:hAnsi="Times New Roman"/>
                <w:iCs/>
                <w:color w:val="000000"/>
                <w:sz w:val="16"/>
                <w:szCs w:val="16"/>
              </w:rPr>
              <w:t>in</w:t>
            </w:r>
            <w:proofErr w:type="spellEnd"/>
            <w:r w:rsidRPr="00E92908">
              <w:rPr>
                <w:rFonts w:ascii="Times New Roman" w:hAnsi="Times New Roman"/>
                <w:iCs/>
                <w:color w:val="000000"/>
                <w:sz w:val="16"/>
                <w:szCs w:val="16"/>
              </w:rPr>
              <w:t xml:space="preserve"> </w:t>
            </w:r>
            <w:proofErr w:type="spellStart"/>
            <w:r w:rsidRPr="00E92908">
              <w:rPr>
                <w:rFonts w:ascii="Times New Roman" w:hAnsi="Times New Roman"/>
                <w:iCs/>
                <w:color w:val="000000"/>
                <w:sz w:val="16"/>
                <w:szCs w:val="16"/>
              </w:rPr>
              <w:t>the</w:t>
            </w:r>
            <w:proofErr w:type="spellEnd"/>
            <w:r w:rsidRPr="00E92908">
              <w:rPr>
                <w:rFonts w:ascii="Times New Roman" w:hAnsi="Times New Roman"/>
                <w:iCs/>
                <w:color w:val="000000"/>
                <w:sz w:val="16"/>
                <w:szCs w:val="16"/>
              </w:rPr>
              <w:t xml:space="preserve"> </w:t>
            </w:r>
            <w:proofErr w:type="spellStart"/>
            <w:r w:rsidRPr="00E92908">
              <w:rPr>
                <w:rFonts w:ascii="Times New Roman" w:hAnsi="Times New Roman"/>
                <w:iCs/>
                <w:color w:val="000000"/>
                <w:sz w:val="16"/>
                <w:szCs w:val="16"/>
              </w:rPr>
              <w:t>manner</w:t>
            </w:r>
            <w:proofErr w:type="spellEnd"/>
            <w:r w:rsidRPr="00E92908">
              <w:rPr>
                <w:rFonts w:ascii="Times New Roman" w:hAnsi="Times New Roman"/>
                <w:iCs/>
                <w:color w:val="000000"/>
                <w:sz w:val="16"/>
                <w:szCs w:val="16"/>
              </w:rPr>
              <w:t xml:space="preserve"> </w:t>
            </w:r>
            <w:proofErr w:type="spellStart"/>
            <w:r w:rsidRPr="00E92908">
              <w:rPr>
                <w:rFonts w:ascii="Times New Roman" w:hAnsi="Times New Roman"/>
                <w:iCs/>
                <w:color w:val="000000"/>
                <w:sz w:val="16"/>
                <w:szCs w:val="16"/>
              </w:rPr>
              <w:t>prescribed</w:t>
            </w:r>
            <w:proofErr w:type="spellEnd"/>
            <w:r w:rsidRPr="00E92908">
              <w:rPr>
                <w:rFonts w:ascii="Times New Roman" w:hAnsi="Times New Roman"/>
                <w:iCs/>
                <w:color w:val="000000"/>
                <w:sz w:val="16"/>
                <w:szCs w:val="16"/>
              </w:rPr>
              <w:t xml:space="preserve"> </w:t>
            </w:r>
            <w:proofErr w:type="spellStart"/>
            <w:r w:rsidRPr="00E92908">
              <w:rPr>
                <w:rFonts w:ascii="Times New Roman" w:hAnsi="Times New Roman"/>
                <w:iCs/>
                <w:color w:val="000000"/>
                <w:sz w:val="16"/>
                <w:szCs w:val="16"/>
              </w:rPr>
              <w:t>by</w:t>
            </w:r>
            <w:proofErr w:type="spellEnd"/>
            <w:r w:rsidRPr="00E92908">
              <w:rPr>
                <w:rFonts w:ascii="Times New Roman" w:hAnsi="Times New Roman"/>
                <w:iCs/>
                <w:color w:val="000000"/>
                <w:sz w:val="16"/>
                <w:szCs w:val="16"/>
              </w:rPr>
              <w:t xml:space="preserve"> </w:t>
            </w:r>
            <w:proofErr w:type="spellStart"/>
            <w:r w:rsidRPr="00E92908">
              <w:rPr>
                <w:rFonts w:ascii="Times New Roman" w:hAnsi="Times New Roman"/>
                <w:iCs/>
                <w:color w:val="000000"/>
                <w:sz w:val="16"/>
                <w:szCs w:val="16"/>
              </w:rPr>
              <w:t>law</w:t>
            </w:r>
            <w:proofErr w:type="spellEnd"/>
            <w:r w:rsidRPr="00E92908">
              <w:rPr>
                <w:rFonts w:ascii="Times New Roman" w:hAnsi="Times New Roman"/>
                <w:iCs/>
                <w:color w:val="000000"/>
                <w:sz w:val="16"/>
                <w:szCs w:val="16"/>
              </w:rPr>
              <w:t xml:space="preserve"> </w:t>
            </w:r>
            <w:proofErr w:type="spellStart"/>
            <w:r w:rsidRPr="00E92908">
              <w:rPr>
                <w:rFonts w:ascii="Times New Roman" w:hAnsi="Times New Roman"/>
                <w:iCs/>
                <w:color w:val="000000"/>
                <w:sz w:val="16"/>
                <w:szCs w:val="16"/>
              </w:rPr>
              <w:t>and</w:t>
            </w:r>
            <w:proofErr w:type="spellEnd"/>
            <w:r w:rsidRPr="00E92908">
              <w:rPr>
                <w:rFonts w:ascii="Times New Roman" w:hAnsi="Times New Roman"/>
                <w:iCs/>
                <w:color w:val="000000"/>
                <w:sz w:val="16"/>
                <w:szCs w:val="16"/>
              </w:rPr>
              <w:t xml:space="preserve"> </w:t>
            </w:r>
            <w:proofErr w:type="spellStart"/>
            <w:r w:rsidRPr="00E92908">
              <w:rPr>
                <w:rFonts w:ascii="Times New Roman" w:hAnsi="Times New Roman"/>
                <w:iCs/>
                <w:color w:val="000000"/>
                <w:sz w:val="16"/>
                <w:szCs w:val="16"/>
              </w:rPr>
              <w:t>internal</w:t>
            </w:r>
            <w:proofErr w:type="spellEnd"/>
            <w:r w:rsidRPr="00E92908">
              <w:rPr>
                <w:rFonts w:ascii="Times New Roman" w:hAnsi="Times New Roman"/>
                <w:iCs/>
                <w:color w:val="000000"/>
                <w:sz w:val="16"/>
                <w:szCs w:val="16"/>
              </w:rPr>
              <w:t xml:space="preserve"> </w:t>
            </w:r>
            <w:proofErr w:type="spellStart"/>
            <w:r w:rsidRPr="00E92908">
              <w:rPr>
                <w:rFonts w:ascii="Times New Roman" w:hAnsi="Times New Roman"/>
                <w:iCs/>
                <w:color w:val="000000"/>
                <w:sz w:val="16"/>
                <w:szCs w:val="16"/>
              </w:rPr>
              <w:t>documents</w:t>
            </w:r>
            <w:proofErr w:type="spellEnd"/>
            <w:r w:rsidRPr="00E92908">
              <w:rPr>
                <w:rFonts w:ascii="Times New Roman" w:hAnsi="Times New Roman"/>
                <w:iCs/>
                <w:color w:val="000000"/>
                <w:sz w:val="16"/>
                <w:szCs w:val="16"/>
              </w:rPr>
              <w:t xml:space="preserve"> </w:t>
            </w:r>
            <w:proofErr w:type="spellStart"/>
            <w:r w:rsidRPr="00E92908">
              <w:rPr>
                <w:rFonts w:ascii="Times New Roman" w:hAnsi="Times New Roman"/>
                <w:iCs/>
                <w:color w:val="000000"/>
                <w:sz w:val="16"/>
                <w:szCs w:val="16"/>
              </w:rPr>
              <w:t>of</w:t>
            </w:r>
            <w:proofErr w:type="spellEnd"/>
            <w:r w:rsidRPr="00E92908">
              <w:rPr>
                <w:rFonts w:ascii="Times New Roman" w:hAnsi="Times New Roman"/>
                <w:iCs/>
                <w:color w:val="000000"/>
                <w:sz w:val="16"/>
                <w:szCs w:val="16"/>
              </w:rPr>
              <w:t xml:space="preserve"> </w:t>
            </w:r>
            <w:proofErr w:type="spellStart"/>
            <w:r w:rsidRPr="00E92908">
              <w:rPr>
                <w:rFonts w:ascii="Times New Roman" w:hAnsi="Times New Roman"/>
                <w:iCs/>
                <w:color w:val="000000"/>
                <w:sz w:val="16"/>
                <w:szCs w:val="16"/>
              </w:rPr>
              <w:t>the</w:t>
            </w:r>
            <w:proofErr w:type="spellEnd"/>
            <w:r w:rsidRPr="00E92908">
              <w:rPr>
                <w:rFonts w:ascii="Times New Roman" w:hAnsi="Times New Roman"/>
                <w:iCs/>
                <w:color w:val="000000"/>
                <w:sz w:val="16"/>
                <w:szCs w:val="16"/>
              </w:rPr>
              <w:t xml:space="preserve"> </w:t>
            </w:r>
            <w:proofErr w:type="spellStart"/>
            <w:r w:rsidRPr="00E92908">
              <w:rPr>
                <w:rFonts w:ascii="Times New Roman" w:hAnsi="Times New Roman"/>
                <w:iCs/>
                <w:color w:val="000000"/>
                <w:sz w:val="16"/>
                <w:szCs w:val="16"/>
              </w:rPr>
              <w:t>Depository</w:t>
            </w:r>
            <w:proofErr w:type="spellEnd"/>
            <w:r w:rsidRPr="00E92908">
              <w:rPr>
                <w:rFonts w:ascii="Times New Roman" w:hAnsi="Times New Roman"/>
                <w:iCs/>
                <w:color w:val="000000"/>
                <w:sz w:val="16"/>
                <w:szCs w:val="16"/>
              </w:rPr>
              <w:t>.</w:t>
            </w:r>
          </w:p>
          <w:p w14:paraId="4A22E6ED" w14:textId="3A79DFF8" w:rsidR="003A05A3" w:rsidRPr="00E16672" w:rsidRDefault="00E92908" w:rsidP="00E92908">
            <w:pPr>
              <w:pStyle w:val="210"/>
              <w:tabs>
                <w:tab w:val="left" w:pos="287"/>
                <w:tab w:val="left" w:pos="1191"/>
              </w:tabs>
              <w:snapToGrid w:val="0"/>
              <w:ind w:left="145" w:right="100" w:firstLine="0"/>
              <w:rPr>
                <w:rFonts w:ascii="Times New Roman" w:hAnsi="Times New Roman"/>
                <w:color w:val="000000"/>
                <w:sz w:val="16"/>
                <w:szCs w:val="16"/>
                <w:lang w:val="en-US"/>
              </w:rPr>
            </w:pPr>
            <w:proofErr w:type="spellStart"/>
            <w:r w:rsidRPr="00E92908">
              <w:rPr>
                <w:rFonts w:ascii="Times New Roman" w:hAnsi="Times New Roman"/>
                <w:iCs/>
                <w:color w:val="000000"/>
                <w:sz w:val="16"/>
                <w:szCs w:val="16"/>
              </w:rPr>
              <w:t>Messages</w:t>
            </w:r>
            <w:proofErr w:type="spellEnd"/>
            <w:r w:rsidRPr="00E92908">
              <w:rPr>
                <w:rFonts w:ascii="Times New Roman" w:hAnsi="Times New Roman"/>
                <w:iCs/>
                <w:color w:val="000000"/>
                <w:sz w:val="16"/>
                <w:szCs w:val="16"/>
              </w:rPr>
              <w:t xml:space="preserve"> </w:t>
            </w:r>
            <w:proofErr w:type="spellStart"/>
            <w:r w:rsidRPr="00E92908">
              <w:rPr>
                <w:rFonts w:ascii="Times New Roman" w:hAnsi="Times New Roman"/>
                <w:iCs/>
                <w:color w:val="000000"/>
                <w:sz w:val="16"/>
                <w:szCs w:val="16"/>
              </w:rPr>
              <w:t>and</w:t>
            </w:r>
            <w:proofErr w:type="spellEnd"/>
            <w:r w:rsidRPr="00E92908">
              <w:rPr>
                <w:rFonts w:ascii="Times New Roman" w:hAnsi="Times New Roman"/>
                <w:iCs/>
                <w:color w:val="000000"/>
                <w:sz w:val="16"/>
                <w:szCs w:val="16"/>
              </w:rPr>
              <w:t xml:space="preserve"> </w:t>
            </w:r>
            <w:proofErr w:type="spellStart"/>
            <w:r w:rsidRPr="00E92908">
              <w:rPr>
                <w:rFonts w:ascii="Times New Roman" w:hAnsi="Times New Roman"/>
                <w:iCs/>
                <w:color w:val="000000"/>
                <w:sz w:val="16"/>
                <w:szCs w:val="16"/>
              </w:rPr>
              <w:t>documents</w:t>
            </w:r>
            <w:proofErr w:type="spellEnd"/>
            <w:r w:rsidRPr="00E92908">
              <w:rPr>
                <w:rFonts w:ascii="Times New Roman" w:hAnsi="Times New Roman"/>
                <w:iCs/>
                <w:color w:val="000000"/>
                <w:sz w:val="16"/>
                <w:szCs w:val="16"/>
              </w:rPr>
              <w:t xml:space="preserve"> </w:t>
            </w:r>
            <w:proofErr w:type="spellStart"/>
            <w:r w:rsidRPr="00E92908">
              <w:rPr>
                <w:rFonts w:ascii="Times New Roman" w:hAnsi="Times New Roman"/>
                <w:iCs/>
                <w:color w:val="000000"/>
                <w:sz w:val="16"/>
                <w:szCs w:val="16"/>
              </w:rPr>
              <w:t>can</w:t>
            </w:r>
            <w:proofErr w:type="spellEnd"/>
            <w:r w:rsidRPr="00E92908">
              <w:rPr>
                <w:rFonts w:ascii="Times New Roman" w:hAnsi="Times New Roman"/>
                <w:iCs/>
                <w:color w:val="000000"/>
                <w:sz w:val="16"/>
                <w:szCs w:val="16"/>
              </w:rPr>
              <w:t xml:space="preserve"> </w:t>
            </w:r>
            <w:proofErr w:type="spellStart"/>
            <w:r w:rsidRPr="00E92908">
              <w:rPr>
                <w:rFonts w:ascii="Times New Roman" w:hAnsi="Times New Roman"/>
                <w:iCs/>
                <w:color w:val="000000"/>
                <w:sz w:val="16"/>
                <w:szCs w:val="16"/>
              </w:rPr>
              <w:t>be</w:t>
            </w:r>
            <w:proofErr w:type="spellEnd"/>
            <w:r w:rsidRPr="00E92908">
              <w:rPr>
                <w:rFonts w:ascii="Times New Roman" w:hAnsi="Times New Roman"/>
                <w:iCs/>
                <w:color w:val="000000"/>
                <w:sz w:val="16"/>
                <w:szCs w:val="16"/>
              </w:rPr>
              <w:t xml:space="preserve"> </w:t>
            </w:r>
            <w:proofErr w:type="spellStart"/>
            <w:r w:rsidRPr="00E92908">
              <w:rPr>
                <w:rFonts w:ascii="Times New Roman" w:hAnsi="Times New Roman"/>
                <w:iCs/>
                <w:color w:val="000000"/>
                <w:sz w:val="16"/>
                <w:szCs w:val="16"/>
              </w:rPr>
              <w:t>provided</w:t>
            </w:r>
            <w:proofErr w:type="spellEnd"/>
            <w:r w:rsidRPr="00E92908">
              <w:rPr>
                <w:rFonts w:ascii="Times New Roman" w:hAnsi="Times New Roman"/>
                <w:iCs/>
                <w:color w:val="000000"/>
                <w:sz w:val="16"/>
                <w:szCs w:val="16"/>
              </w:rPr>
              <w:t xml:space="preserve"> </w:t>
            </w:r>
            <w:proofErr w:type="spellStart"/>
            <w:r w:rsidRPr="00E92908">
              <w:rPr>
                <w:rFonts w:ascii="Times New Roman" w:hAnsi="Times New Roman"/>
                <w:iCs/>
                <w:color w:val="000000"/>
                <w:sz w:val="16"/>
                <w:szCs w:val="16"/>
              </w:rPr>
              <w:t>in</w:t>
            </w:r>
            <w:proofErr w:type="spellEnd"/>
            <w:r w:rsidRPr="00E92908">
              <w:rPr>
                <w:rFonts w:ascii="Times New Roman" w:hAnsi="Times New Roman"/>
                <w:iCs/>
                <w:color w:val="000000"/>
                <w:sz w:val="16"/>
                <w:szCs w:val="16"/>
              </w:rPr>
              <w:t xml:space="preserve"> </w:t>
            </w:r>
            <w:proofErr w:type="spellStart"/>
            <w:r w:rsidRPr="00E92908">
              <w:rPr>
                <w:rFonts w:ascii="Times New Roman" w:hAnsi="Times New Roman"/>
                <w:iCs/>
                <w:color w:val="000000"/>
                <w:sz w:val="16"/>
                <w:szCs w:val="16"/>
              </w:rPr>
              <w:t>person</w:t>
            </w:r>
            <w:proofErr w:type="spellEnd"/>
            <w:r w:rsidRPr="00E92908">
              <w:rPr>
                <w:rFonts w:ascii="Times New Roman" w:hAnsi="Times New Roman"/>
                <w:iCs/>
                <w:color w:val="000000"/>
                <w:sz w:val="16"/>
                <w:szCs w:val="16"/>
              </w:rPr>
              <w:t xml:space="preserve">, </w:t>
            </w:r>
            <w:proofErr w:type="spellStart"/>
            <w:r w:rsidRPr="00E92908">
              <w:rPr>
                <w:rFonts w:ascii="Times New Roman" w:hAnsi="Times New Roman"/>
                <w:iCs/>
                <w:color w:val="000000"/>
                <w:sz w:val="16"/>
                <w:szCs w:val="16"/>
              </w:rPr>
              <w:t>by</w:t>
            </w:r>
            <w:proofErr w:type="spellEnd"/>
            <w:r w:rsidRPr="00E92908">
              <w:rPr>
                <w:rFonts w:ascii="Times New Roman" w:hAnsi="Times New Roman"/>
                <w:iCs/>
                <w:color w:val="000000"/>
                <w:sz w:val="16"/>
                <w:szCs w:val="16"/>
              </w:rPr>
              <w:t xml:space="preserve"> </w:t>
            </w:r>
            <w:proofErr w:type="spellStart"/>
            <w:r w:rsidRPr="00E92908">
              <w:rPr>
                <w:rFonts w:ascii="Times New Roman" w:hAnsi="Times New Roman"/>
                <w:iCs/>
                <w:color w:val="000000"/>
                <w:sz w:val="16"/>
                <w:szCs w:val="16"/>
              </w:rPr>
              <w:t>mail</w:t>
            </w:r>
            <w:proofErr w:type="spellEnd"/>
            <w:r w:rsidRPr="00E92908">
              <w:rPr>
                <w:rFonts w:ascii="Times New Roman" w:hAnsi="Times New Roman"/>
                <w:iCs/>
                <w:color w:val="000000"/>
                <w:sz w:val="16"/>
                <w:szCs w:val="16"/>
              </w:rPr>
              <w:t xml:space="preserve">, </w:t>
            </w:r>
            <w:proofErr w:type="spellStart"/>
            <w:r w:rsidRPr="00E92908">
              <w:rPr>
                <w:rFonts w:ascii="Times New Roman" w:hAnsi="Times New Roman"/>
                <w:iCs/>
                <w:color w:val="000000"/>
                <w:sz w:val="16"/>
                <w:szCs w:val="16"/>
              </w:rPr>
              <w:t>by</w:t>
            </w:r>
            <w:proofErr w:type="spellEnd"/>
            <w:r w:rsidRPr="00E92908">
              <w:rPr>
                <w:rFonts w:ascii="Times New Roman" w:hAnsi="Times New Roman"/>
                <w:iCs/>
                <w:color w:val="000000"/>
                <w:sz w:val="16"/>
                <w:szCs w:val="16"/>
              </w:rPr>
              <w:t xml:space="preserve"> </w:t>
            </w:r>
            <w:proofErr w:type="spellStart"/>
            <w:r w:rsidRPr="00E92908">
              <w:rPr>
                <w:rFonts w:ascii="Times New Roman" w:hAnsi="Times New Roman"/>
                <w:iCs/>
                <w:color w:val="000000"/>
                <w:sz w:val="16"/>
                <w:szCs w:val="16"/>
              </w:rPr>
              <w:t>courier</w:t>
            </w:r>
            <w:proofErr w:type="spellEnd"/>
            <w:r w:rsidRPr="00E92908">
              <w:rPr>
                <w:rFonts w:ascii="Times New Roman" w:hAnsi="Times New Roman"/>
                <w:iCs/>
                <w:color w:val="000000"/>
                <w:sz w:val="16"/>
                <w:szCs w:val="16"/>
              </w:rPr>
              <w:t>.</w:t>
            </w:r>
          </w:p>
        </w:tc>
      </w:tr>
      <w:tr w:rsidR="00E92908" w:rsidRPr="00E92908" w14:paraId="5E5993FA" w14:textId="77777777" w:rsidTr="00242F58">
        <w:trPr>
          <w:trHeight w:val="192"/>
        </w:trPr>
        <w:tc>
          <w:tcPr>
            <w:tcW w:w="5696" w:type="dxa"/>
            <w:gridSpan w:val="8"/>
            <w:shd w:val="clear" w:color="auto" w:fill="auto"/>
          </w:tcPr>
          <w:p w14:paraId="17AA6D3A" w14:textId="77777777" w:rsidR="00E92908" w:rsidRDefault="00E92908" w:rsidP="00843027">
            <w:pPr>
              <w:suppressAutoHyphens w:val="0"/>
              <w:ind w:left="40" w:right="138" w:firstLine="0"/>
              <w:rPr>
                <w:rFonts w:ascii="Times New Roman" w:hAnsi="Times New Roman"/>
                <w:iCs/>
                <w:color w:val="000000"/>
                <w:sz w:val="16"/>
                <w:szCs w:val="16"/>
                <w:lang w:val="uk-UA" w:eastAsia="ru-RU"/>
              </w:rPr>
            </w:pPr>
            <w:r w:rsidRPr="00E92908">
              <w:rPr>
                <w:rFonts w:ascii="Times New Roman" w:hAnsi="Times New Roman"/>
                <w:iCs/>
                <w:color w:val="000000"/>
                <w:sz w:val="16"/>
                <w:szCs w:val="16"/>
                <w:lang w:val="uk-UA" w:eastAsia="ru-RU"/>
              </w:rPr>
              <w:t xml:space="preserve">2.3.11. Надавати на запит депозитарної установи інформацію та документи про власний статус податкового </w:t>
            </w:r>
            <w:proofErr w:type="spellStart"/>
            <w:r w:rsidRPr="00E92908">
              <w:rPr>
                <w:rFonts w:ascii="Times New Roman" w:hAnsi="Times New Roman"/>
                <w:iCs/>
                <w:color w:val="000000"/>
                <w:sz w:val="16"/>
                <w:szCs w:val="16"/>
                <w:lang w:val="uk-UA" w:eastAsia="ru-RU"/>
              </w:rPr>
              <w:t>резидентства</w:t>
            </w:r>
            <w:proofErr w:type="spellEnd"/>
            <w:r w:rsidRPr="00E92908">
              <w:rPr>
                <w:rFonts w:ascii="Times New Roman" w:hAnsi="Times New Roman"/>
                <w:iCs/>
                <w:color w:val="000000"/>
                <w:sz w:val="16"/>
                <w:szCs w:val="16"/>
                <w:lang w:val="uk-UA" w:eastAsia="ru-RU"/>
              </w:rPr>
              <w:t xml:space="preserve"> та статус податкового </w:t>
            </w:r>
            <w:proofErr w:type="spellStart"/>
            <w:r w:rsidRPr="00E92908">
              <w:rPr>
                <w:rFonts w:ascii="Times New Roman" w:hAnsi="Times New Roman"/>
                <w:iCs/>
                <w:color w:val="000000"/>
                <w:sz w:val="16"/>
                <w:szCs w:val="16"/>
                <w:lang w:val="uk-UA" w:eastAsia="ru-RU"/>
              </w:rPr>
              <w:t>резидентства</w:t>
            </w:r>
            <w:proofErr w:type="spellEnd"/>
            <w:r w:rsidRPr="00E92908">
              <w:rPr>
                <w:rFonts w:ascii="Times New Roman" w:hAnsi="Times New Roman"/>
                <w:iCs/>
                <w:color w:val="000000"/>
                <w:sz w:val="16"/>
                <w:szCs w:val="16"/>
                <w:lang w:val="uk-UA" w:eastAsia="ru-RU"/>
              </w:rPr>
              <w:t xml:space="preserve"> своїх кінцевих </w:t>
            </w:r>
            <w:proofErr w:type="spellStart"/>
            <w:r w:rsidRPr="00E92908">
              <w:rPr>
                <w:rFonts w:ascii="Times New Roman" w:hAnsi="Times New Roman"/>
                <w:iCs/>
                <w:color w:val="000000"/>
                <w:sz w:val="16"/>
                <w:szCs w:val="16"/>
                <w:lang w:val="uk-UA" w:eastAsia="ru-RU"/>
              </w:rPr>
              <w:t>бенефіціарних</w:t>
            </w:r>
            <w:proofErr w:type="spellEnd"/>
            <w:r w:rsidRPr="00E92908">
              <w:rPr>
                <w:rFonts w:ascii="Times New Roman" w:hAnsi="Times New Roman"/>
                <w:iCs/>
                <w:color w:val="000000"/>
                <w:sz w:val="16"/>
                <w:szCs w:val="16"/>
                <w:lang w:val="uk-UA" w:eastAsia="ru-RU"/>
              </w:rPr>
              <w:t xml:space="preserve"> власників, а також іншу інформацію і документи, необхідні для звітності за підзвітними рахунками, у тому числі пояснення та інформацію, що стосуються наявної у депозитарної установи обґрунтованої, документально підтвердженої підозри, що рахунок у цінних паперах належить до підзвітних.</w:t>
            </w:r>
          </w:p>
          <w:p w14:paraId="7A105E57" w14:textId="098A3F48" w:rsidR="00E92908" w:rsidRPr="00E16672" w:rsidRDefault="00E92908" w:rsidP="00843027">
            <w:pPr>
              <w:suppressAutoHyphens w:val="0"/>
              <w:ind w:left="40" w:right="138" w:firstLine="0"/>
              <w:rPr>
                <w:rFonts w:ascii="Times New Roman" w:hAnsi="Times New Roman"/>
                <w:iCs/>
                <w:color w:val="000000"/>
                <w:sz w:val="16"/>
                <w:szCs w:val="16"/>
                <w:lang w:val="uk-UA" w:eastAsia="ru-RU"/>
              </w:rPr>
            </w:pPr>
          </w:p>
        </w:tc>
        <w:tc>
          <w:tcPr>
            <w:tcW w:w="5494" w:type="dxa"/>
            <w:gridSpan w:val="6"/>
            <w:shd w:val="clear" w:color="auto" w:fill="auto"/>
          </w:tcPr>
          <w:p w14:paraId="61002A09" w14:textId="2ECF4591" w:rsidR="00E92908" w:rsidRPr="00E16672" w:rsidRDefault="00E92908" w:rsidP="00843027">
            <w:pPr>
              <w:pStyle w:val="210"/>
              <w:tabs>
                <w:tab w:val="left" w:pos="287"/>
                <w:tab w:val="left" w:pos="1191"/>
              </w:tabs>
              <w:snapToGrid w:val="0"/>
              <w:ind w:left="145" w:right="100" w:firstLine="0"/>
              <w:rPr>
                <w:rFonts w:ascii="Times New Roman" w:hAnsi="Times New Roman"/>
                <w:iCs/>
                <w:color w:val="000000"/>
                <w:sz w:val="16"/>
                <w:szCs w:val="16"/>
              </w:rPr>
            </w:pPr>
            <w:r w:rsidRPr="00E92908">
              <w:rPr>
                <w:rFonts w:ascii="Times New Roman" w:hAnsi="Times New Roman"/>
                <w:iCs/>
                <w:color w:val="000000"/>
                <w:sz w:val="16"/>
                <w:szCs w:val="16"/>
              </w:rPr>
              <w:t xml:space="preserve">2.3.11. </w:t>
            </w:r>
            <w:proofErr w:type="spellStart"/>
            <w:r w:rsidRPr="00E92908">
              <w:rPr>
                <w:rFonts w:ascii="Times New Roman" w:hAnsi="Times New Roman"/>
                <w:iCs/>
                <w:color w:val="000000"/>
                <w:sz w:val="16"/>
                <w:szCs w:val="16"/>
              </w:rPr>
              <w:t>Provide</w:t>
            </w:r>
            <w:proofErr w:type="spellEnd"/>
            <w:r w:rsidRPr="00E92908">
              <w:rPr>
                <w:rFonts w:ascii="Times New Roman" w:hAnsi="Times New Roman"/>
                <w:iCs/>
                <w:color w:val="000000"/>
                <w:sz w:val="16"/>
                <w:szCs w:val="16"/>
              </w:rPr>
              <w:t xml:space="preserve">, </w:t>
            </w:r>
            <w:proofErr w:type="spellStart"/>
            <w:r w:rsidRPr="00E92908">
              <w:rPr>
                <w:rFonts w:ascii="Times New Roman" w:hAnsi="Times New Roman"/>
                <w:iCs/>
                <w:color w:val="000000"/>
                <w:sz w:val="16"/>
                <w:szCs w:val="16"/>
              </w:rPr>
              <w:t>at</w:t>
            </w:r>
            <w:proofErr w:type="spellEnd"/>
            <w:r w:rsidRPr="00E92908">
              <w:rPr>
                <w:rFonts w:ascii="Times New Roman" w:hAnsi="Times New Roman"/>
                <w:iCs/>
                <w:color w:val="000000"/>
                <w:sz w:val="16"/>
                <w:szCs w:val="16"/>
              </w:rPr>
              <w:t xml:space="preserve"> </w:t>
            </w:r>
            <w:proofErr w:type="spellStart"/>
            <w:r w:rsidRPr="00E92908">
              <w:rPr>
                <w:rFonts w:ascii="Times New Roman" w:hAnsi="Times New Roman"/>
                <w:iCs/>
                <w:color w:val="000000"/>
                <w:sz w:val="16"/>
                <w:szCs w:val="16"/>
              </w:rPr>
              <w:t>the</w:t>
            </w:r>
            <w:proofErr w:type="spellEnd"/>
            <w:r w:rsidRPr="00E92908">
              <w:rPr>
                <w:rFonts w:ascii="Times New Roman" w:hAnsi="Times New Roman"/>
                <w:iCs/>
                <w:color w:val="000000"/>
                <w:sz w:val="16"/>
                <w:szCs w:val="16"/>
              </w:rPr>
              <w:t xml:space="preserve"> </w:t>
            </w:r>
            <w:proofErr w:type="spellStart"/>
            <w:r w:rsidRPr="00E92908">
              <w:rPr>
                <w:rFonts w:ascii="Times New Roman" w:hAnsi="Times New Roman"/>
                <w:iCs/>
                <w:color w:val="000000"/>
                <w:sz w:val="16"/>
                <w:szCs w:val="16"/>
              </w:rPr>
              <w:t>request</w:t>
            </w:r>
            <w:proofErr w:type="spellEnd"/>
            <w:r w:rsidRPr="00E92908">
              <w:rPr>
                <w:rFonts w:ascii="Times New Roman" w:hAnsi="Times New Roman"/>
                <w:iCs/>
                <w:color w:val="000000"/>
                <w:sz w:val="16"/>
                <w:szCs w:val="16"/>
              </w:rPr>
              <w:t xml:space="preserve"> </w:t>
            </w:r>
            <w:proofErr w:type="spellStart"/>
            <w:r w:rsidRPr="00E92908">
              <w:rPr>
                <w:rFonts w:ascii="Times New Roman" w:hAnsi="Times New Roman"/>
                <w:iCs/>
                <w:color w:val="000000"/>
                <w:sz w:val="16"/>
                <w:szCs w:val="16"/>
              </w:rPr>
              <w:t>of</w:t>
            </w:r>
            <w:proofErr w:type="spellEnd"/>
            <w:r w:rsidRPr="00E92908">
              <w:rPr>
                <w:rFonts w:ascii="Times New Roman" w:hAnsi="Times New Roman"/>
                <w:iCs/>
                <w:color w:val="000000"/>
                <w:sz w:val="16"/>
                <w:szCs w:val="16"/>
              </w:rPr>
              <w:t xml:space="preserve"> </w:t>
            </w:r>
            <w:proofErr w:type="spellStart"/>
            <w:r w:rsidRPr="00E92908">
              <w:rPr>
                <w:rFonts w:ascii="Times New Roman" w:hAnsi="Times New Roman"/>
                <w:iCs/>
                <w:color w:val="000000"/>
                <w:sz w:val="16"/>
                <w:szCs w:val="16"/>
              </w:rPr>
              <w:t>the</w:t>
            </w:r>
            <w:proofErr w:type="spellEnd"/>
            <w:r w:rsidRPr="00E92908">
              <w:rPr>
                <w:rFonts w:ascii="Times New Roman" w:hAnsi="Times New Roman"/>
                <w:iCs/>
                <w:color w:val="000000"/>
                <w:sz w:val="16"/>
                <w:szCs w:val="16"/>
              </w:rPr>
              <w:t xml:space="preserve"> </w:t>
            </w:r>
            <w:proofErr w:type="spellStart"/>
            <w:r w:rsidRPr="00E92908">
              <w:rPr>
                <w:rFonts w:ascii="Times New Roman" w:hAnsi="Times New Roman"/>
                <w:iCs/>
                <w:color w:val="000000"/>
                <w:sz w:val="16"/>
                <w:szCs w:val="16"/>
              </w:rPr>
              <w:t>depository</w:t>
            </w:r>
            <w:proofErr w:type="spellEnd"/>
            <w:r w:rsidRPr="00E92908">
              <w:rPr>
                <w:rFonts w:ascii="Times New Roman" w:hAnsi="Times New Roman"/>
                <w:iCs/>
                <w:color w:val="000000"/>
                <w:sz w:val="16"/>
                <w:szCs w:val="16"/>
              </w:rPr>
              <w:t xml:space="preserve"> </w:t>
            </w:r>
            <w:proofErr w:type="spellStart"/>
            <w:r w:rsidRPr="00E92908">
              <w:rPr>
                <w:rFonts w:ascii="Times New Roman" w:hAnsi="Times New Roman"/>
                <w:iCs/>
                <w:color w:val="000000"/>
                <w:sz w:val="16"/>
                <w:szCs w:val="16"/>
              </w:rPr>
              <w:t>institution</w:t>
            </w:r>
            <w:proofErr w:type="spellEnd"/>
            <w:r w:rsidRPr="00E92908">
              <w:rPr>
                <w:rFonts w:ascii="Times New Roman" w:hAnsi="Times New Roman"/>
                <w:iCs/>
                <w:color w:val="000000"/>
                <w:sz w:val="16"/>
                <w:szCs w:val="16"/>
              </w:rPr>
              <w:t xml:space="preserve">, </w:t>
            </w:r>
            <w:proofErr w:type="spellStart"/>
            <w:r w:rsidRPr="00E92908">
              <w:rPr>
                <w:rFonts w:ascii="Times New Roman" w:hAnsi="Times New Roman"/>
                <w:iCs/>
                <w:color w:val="000000"/>
                <w:sz w:val="16"/>
                <w:szCs w:val="16"/>
              </w:rPr>
              <w:t>information</w:t>
            </w:r>
            <w:proofErr w:type="spellEnd"/>
            <w:r w:rsidRPr="00E92908">
              <w:rPr>
                <w:rFonts w:ascii="Times New Roman" w:hAnsi="Times New Roman"/>
                <w:iCs/>
                <w:color w:val="000000"/>
                <w:sz w:val="16"/>
                <w:szCs w:val="16"/>
              </w:rPr>
              <w:t xml:space="preserve"> </w:t>
            </w:r>
            <w:proofErr w:type="spellStart"/>
            <w:r w:rsidRPr="00E92908">
              <w:rPr>
                <w:rFonts w:ascii="Times New Roman" w:hAnsi="Times New Roman"/>
                <w:iCs/>
                <w:color w:val="000000"/>
                <w:sz w:val="16"/>
                <w:szCs w:val="16"/>
              </w:rPr>
              <w:t>and</w:t>
            </w:r>
            <w:proofErr w:type="spellEnd"/>
            <w:r w:rsidRPr="00E92908">
              <w:rPr>
                <w:rFonts w:ascii="Times New Roman" w:hAnsi="Times New Roman"/>
                <w:iCs/>
                <w:color w:val="000000"/>
                <w:sz w:val="16"/>
                <w:szCs w:val="16"/>
              </w:rPr>
              <w:t xml:space="preserve"> </w:t>
            </w:r>
            <w:proofErr w:type="spellStart"/>
            <w:r w:rsidRPr="00E92908">
              <w:rPr>
                <w:rFonts w:ascii="Times New Roman" w:hAnsi="Times New Roman"/>
                <w:iCs/>
                <w:color w:val="000000"/>
                <w:sz w:val="16"/>
                <w:szCs w:val="16"/>
              </w:rPr>
              <w:t>documents</w:t>
            </w:r>
            <w:proofErr w:type="spellEnd"/>
            <w:r w:rsidRPr="00E92908">
              <w:rPr>
                <w:rFonts w:ascii="Times New Roman" w:hAnsi="Times New Roman"/>
                <w:iCs/>
                <w:color w:val="000000"/>
                <w:sz w:val="16"/>
                <w:szCs w:val="16"/>
              </w:rPr>
              <w:t xml:space="preserve"> </w:t>
            </w:r>
            <w:proofErr w:type="spellStart"/>
            <w:r w:rsidRPr="00E92908">
              <w:rPr>
                <w:rFonts w:ascii="Times New Roman" w:hAnsi="Times New Roman"/>
                <w:iCs/>
                <w:color w:val="000000"/>
                <w:sz w:val="16"/>
                <w:szCs w:val="16"/>
              </w:rPr>
              <w:t>on</w:t>
            </w:r>
            <w:proofErr w:type="spellEnd"/>
            <w:r w:rsidRPr="00E92908">
              <w:rPr>
                <w:rFonts w:ascii="Times New Roman" w:hAnsi="Times New Roman"/>
                <w:iCs/>
                <w:color w:val="000000"/>
                <w:sz w:val="16"/>
                <w:szCs w:val="16"/>
              </w:rPr>
              <w:t xml:space="preserve"> </w:t>
            </w:r>
            <w:proofErr w:type="spellStart"/>
            <w:r w:rsidRPr="00E92908">
              <w:rPr>
                <w:rFonts w:ascii="Times New Roman" w:hAnsi="Times New Roman"/>
                <w:iCs/>
                <w:color w:val="000000"/>
                <w:sz w:val="16"/>
                <w:szCs w:val="16"/>
              </w:rPr>
              <w:t>its</w:t>
            </w:r>
            <w:proofErr w:type="spellEnd"/>
            <w:r w:rsidRPr="00E92908">
              <w:rPr>
                <w:rFonts w:ascii="Times New Roman" w:hAnsi="Times New Roman"/>
                <w:iCs/>
                <w:color w:val="000000"/>
                <w:sz w:val="16"/>
                <w:szCs w:val="16"/>
              </w:rPr>
              <w:t xml:space="preserve"> </w:t>
            </w:r>
            <w:proofErr w:type="spellStart"/>
            <w:r w:rsidRPr="00E92908">
              <w:rPr>
                <w:rFonts w:ascii="Times New Roman" w:hAnsi="Times New Roman"/>
                <w:iCs/>
                <w:color w:val="000000"/>
                <w:sz w:val="16"/>
                <w:szCs w:val="16"/>
              </w:rPr>
              <w:t>own</w:t>
            </w:r>
            <w:proofErr w:type="spellEnd"/>
            <w:r w:rsidRPr="00E92908">
              <w:rPr>
                <w:rFonts w:ascii="Times New Roman" w:hAnsi="Times New Roman"/>
                <w:iCs/>
                <w:color w:val="000000"/>
                <w:sz w:val="16"/>
                <w:szCs w:val="16"/>
              </w:rPr>
              <w:t xml:space="preserve"> </w:t>
            </w:r>
            <w:proofErr w:type="spellStart"/>
            <w:r w:rsidRPr="00E92908">
              <w:rPr>
                <w:rFonts w:ascii="Times New Roman" w:hAnsi="Times New Roman"/>
                <w:iCs/>
                <w:color w:val="000000"/>
                <w:sz w:val="16"/>
                <w:szCs w:val="16"/>
              </w:rPr>
              <w:t>tax</w:t>
            </w:r>
            <w:proofErr w:type="spellEnd"/>
            <w:r w:rsidRPr="00E92908">
              <w:rPr>
                <w:rFonts w:ascii="Times New Roman" w:hAnsi="Times New Roman"/>
                <w:iCs/>
                <w:color w:val="000000"/>
                <w:sz w:val="16"/>
                <w:szCs w:val="16"/>
              </w:rPr>
              <w:t xml:space="preserve"> </w:t>
            </w:r>
            <w:proofErr w:type="spellStart"/>
            <w:r w:rsidRPr="00E92908">
              <w:rPr>
                <w:rFonts w:ascii="Times New Roman" w:hAnsi="Times New Roman"/>
                <w:iCs/>
                <w:color w:val="000000"/>
                <w:sz w:val="16"/>
                <w:szCs w:val="16"/>
              </w:rPr>
              <w:t>residency</w:t>
            </w:r>
            <w:proofErr w:type="spellEnd"/>
            <w:r w:rsidRPr="00E92908">
              <w:rPr>
                <w:rFonts w:ascii="Times New Roman" w:hAnsi="Times New Roman"/>
                <w:iCs/>
                <w:color w:val="000000"/>
                <w:sz w:val="16"/>
                <w:szCs w:val="16"/>
              </w:rPr>
              <w:t xml:space="preserve"> </w:t>
            </w:r>
            <w:proofErr w:type="spellStart"/>
            <w:r w:rsidRPr="00E92908">
              <w:rPr>
                <w:rFonts w:ascii="Times New Roman" w:hAnsi="Times New Roman"/>
                <w:iCs/>
                <w:color w:val="000000"/>
                <w:sz w:val="16"/>
                <w:szCs w:val="16"/>
              </w:rPr>
              <w:t>status</w:t>
            </w:r>
            <w:proofErr w:type="spellEnd"/>
            <w:r w:rsidRPr="00E92908">
              <w:rPr>
                <w:rFonts w:ascii="Times New Roman" w:hAnsi="Times New Roman"/>
                <w:iCs/>
                <w:color w:val="000000"/>
                <w:sz w:val="16"/>
                <w:szCs w:val="16"/>
              </w:rPr>
              <w:t xml:space="preserve"> </w:t>
            </w:r>
            <w:proofErr w:type="spellStart"/>
            <w:r w:rsidRPr="00E92908">
              <w:rPr>
                <w:rFonts w:ascii="Times New Roman" w:hAnsi="Times New Roman"/>
                <w:iCs/>
                <w:color w:val="000000"/>
                <w:sz w:val="16"/>
                <w:szCs w:val="16"/>
              </w:rPr>
              <w:t>and</w:t>
            </w:r>
            <w:proofErr w:type="spellEnd"/>
            <w:r w:rsidRPr="00E92908">
              <w:rPr>
                <w:rFonts w:ascii="Times New Roman" w:hAnsi="Times New Roman"/>
                <w:iCs/>
                <w:color w:val="000000"/>
                <w:sz w:val="16"/>
                <w:szCs w:val="16"/>
              </w:rPr>
              <w:t xml:space="preserve"> </w:t>
            </w:r>
            <w:proofErr w:type="spellStart"/>
            <w:r w:rsidRPr="00E92908">
              <w:rPr>
                <w:rFonts w:ascii="Times New Roman" w:hAnsi="Times New Roman"/>
                <w:iCs/>
                <w:color w:val="000000"/>
                <w:sz w:val="16"/>
                <w:szCs w:val="16"/>
              </w:rPr>
              <w:t>the</w:t>
            </w:r>
            <w:proofErr w:type="spellEnd"/>
            <w:r w:rsidRPr="00E92908">
              <w:rPr>
                <w:rFonts w:ascii="Times New Roman" w:hAnsi="Times New Roman"/>
                <w:iCs/>
                <w:color w:val="000000"/>
                <w:sz w:val="16"/>
                <w:szCs w:val="16"/>
              </w:rPr>
              <w:t xml:space="preserve"> </w:t>
            </w:r>
            <w:proofErr w:type="spellStart"/>
            <w:r w:rsidRPr="00E92908">
              <w:rPr>
                <w:rFonts w:ascii="Times New Roman" w:hAnsi="Times New Roman"/>
                <w:iCs/>
                <w:color w:val="000000"/>
                <w:sz w:val="16"/>
                <w:szCs w:val="16"/>
              </w:rPr>
              <w:t>tax</w:t>
            </w:r>
            <w:proofErr w:type="spellEnd"/>
            <w:r w:rsidRPr="00E92908">
              <w:rPr>
                <w:rFonts w:ascii="Times New Roman" w:hAnsi="Times New Roman"/>
                <w:iCs/>
                <w:color w:val="000000"/>
                <w:sz w:val="16"/>
                <w:szCs w:val="16"/>
              </w:rPr>
              <w:t xml:space="preserve"> </w:t>
            </w:r>
            <w:proofErr w:type="spellStart"/>
            <w:r w:rsidRPr="00E92908">
              <w:rPr>
                <w:rFonts w:ascii="Times New Roman" w:hAnsi="Times New Roman"/>
                <w:iCs/>
                <w:color w:val="000000"/>
                <w:sz w:val="16"/>
                <w:szCs w:val="16"/>
              </w:rPr>
              <w:t>residency</w:t>
            </w:r>
            <w:proofErr w:type="spellEnd"/>
            <w:r w:rsidRPr="00E92908">
              <w:rPr>
                <w:rFonts w:ascii="Times New Roman" w:hAnsi="Times New Roman"/>
                <w:iCs/>
                <w:color w:val="000000"/>
                <w:sz w:val="16"/>
                <w:szCs w:val="16"/>
              </w:rPr>
              <w:t xml:space="preserve"> </w:t>
            </w:r>
            <w:proofErr w:type="spellStart"/>
            <w:r w:rsidRPr="00E92908">
              <w:rPr>
                <w:rFonts w:ascii="Times New Roman" w:hAnsi="Times New Roman"/>
                <w:iCs/>
                <w:color w:val="000000"/>
                <w:sz w:val="16"/>
                <w:szCs w:val="16"/>
              </w:rPr>
              <w:t>status</w:t>
            </w:r>
            <w:proofErr w:type="spellEnd"/>
            <w:r w:rsidRPr="00E92908">
              <w:rPr>
                <w:rFonts w:ascii="Times New Roman" w:hAnsi="Times New Roman"/>
                <w:iCs/>
                <w:color w:val="000000"/>
                <w:sz w:val="16"/>
                <w:szCs w:val="16"/>
              </w:rPr>
              <w:t xml:space="preserve"> </w:t>
            </w:r>
            <w:proofErr w:type="spellStart"/>
            <w:r w:rsidRPr="00E92908">
              <w:rPr>
                <w:rFonts w:ascii="Times New Roman" w:hAnsi="Times New Roman"/>
                <w:iCs/>
                <w:color w:val="000000"/>
                <w:sz w:val="16"/>
                <w:szCs w:val="16"/>
              </w:rPr>
              <w:t>of</w:t>
            </w:r>
            <w:proofErr w:type="spellEnd"/>
            <w:r w:rsidRPr="00E92908">
              <w:rPr>
                <w:rFonts w:ascii="Times New Roman" w:hAnsi="Times New Roman"/>
                <w:iCs/>
                <w:color w:val="000000"/>
                <w:sz w:val="16"/>
                <w:szCs w:val="16"/>
              </w:rPr>
              <w:t xml:space="preserve"> </w:t>
            </w:r>
            <w:proofErr w:type="spellStart"/>
            <w:r w:rsidRPr="00E92908">
              <w:rPr>
                <w:rFonts w:ascii="Times New Roman" w:hAnsi="Times New Roman"/>
                <w:iCs/>
                <w:color w:val="000000"/>
                <w:sz w:val="16"/>
                <w:szCs w:val="16"/>
              </w:rPr>
              <w:t>its</w:t>
            </w:r>
            <w:proofErr w:type="spellEnd"/>
            <w:r w:rsidRPr="00E92908">
              <w:rPr>
                <w:rFonts w:ascii="Times New Roman" w:hAnsi="Times New Roman"/>
                <w:iCs/>
                <w:color w:val="000000"/>
                <w:sz w:val="16"/>
                <w:szCs w:val="16"/>
              </w:rPr>
              <w:t xml:space="preserve"> </w:t>
            </w:r>
            <w:proofErr w:type="spellStart"/>
            <w:r w:rsidRPr="00E92908">
              <w:rPr>
                <w:rFonts w:ascii="Times New Roman" w:hAnsi="Times New Roman"/>
                <w:iCs/>
                <w:color w:val="000000"/>
                <w:sz w:val="16"/>
                <w:szCs w:val="16"/>
              </w:rPr>
              <w:t>ultimate</w:t>
            </w:r>
            <w:proofErr w:type="spellEnd"/>
            <w:r w:rsidRPr="00E92908">
              <w:rPr>
                <w:rFonts w:ascii="Times New Roman" w:hAnsi="Times New Roman"/>
                <w:iCs/>
                <w:color w:val="000000"/>
                <w:sz w:val="16"/>
                <w:szCs w:val="16"/>
              </w:rPr>
              <w:t xml:space="preserve"> </w:t>
            </w:r>
            <w:proofErr w:type="spellStart"/>
            <w:r w:rsidRPr="00E92908">
              <w:rPr>
                <w:rFonts w:ascii="Times New Roman" w:hAnsi="Times New Roman"/>
                <w:iCs/>
                <w:color w:val="000000"/>
                <w:sz w:val="16"/>
                <w:szCs w:val="16"/>
              </w:rPr>
              <w:t>beneficial</w:t>
            </w:r>
            <w:proofErr w:type="spellEnd"/>
            <w:r w:rsidRPr="00E92908">
              <w:rPr>
                <w:rFonts w:ascii="Times New Roman" w:hAnsi="Times New Roman"/>
                <w:iCs/>
                <w:color w:val="000000"/>
                <w:sz w:val="16"/>
                <w:szCs w:val="16"/>
              </w:rPr>
              <w:t xml:space="preserve"> </w:t>
            </w:r>
            <w:proofErr w:type="spellStart"/>
            <w:r w:rsidRPr="00E92908">
              <w:rPr>
                <w:rFonts w:ascii="Times New Roman" w:hAnsi="Times New Roman"/>
                <w:iCs/>
                <w:color w:val="000000"/>
                <w:sz w:val="16"/>
                <w:szCs w:val="16"/>
              </w:rPr>
              <w:t>owners</w:t>
            </w:r>
            <w:proofErr w:type="spellEnd"/>
            <w:r w:rsidRPr="00E92908">
              <w:rPr>
                <w:rFonts w:ascii="Times New Roman" w:hAnsi="Times New Roman"/>
                <w:iCs/>
                <w:color w:val="000000"/>
                <w:sz w:val="16"/>
                <w:szCs w:val="16"/>
              </w:rPr>
              <w:t xml:space="preserve">, </w:t>
            </w:r>
            <w:proofErr w:type="spellStart"/>
            <w:r w:rsidRPr="00E92908">
              <w:rPr>
                <w:rFonts w:ascii="Times New Roman" w:hAnsi="Times New Roman"/>
                <w:iCs/>
                <w:color w:val="000000"/>
                <w:sz w:val="16"/>
                <w:szCs w:val="16"/>
              </w:rPr>
              <w:t>as</w:t>
            </w:r>
            <w:proofErr w:type="spellEnd"/>
            <w:r w:rsidRPr="00E92908">
              <w:rPr>
                <w:rFonts w:ascii="Times New Roman" w:hAnsi="Times New Roman"/>
                <w:iCs/>
                <w:color w:val="000000"/>
                <w:sz w:val="16"/>
                <w:szCs w:val="16"/>
              </w:rPr>
              <w:t xml:space="preserve"> </w:t>
            </w:r>
            <w:proofErr w:type="spellStart"/>
            <w:r w:rsidRPr="00E92908">
              <w:rPr>
                <w:rFonts w:ascii="Times New Roman" w:hAnsi="Times New Roman"/>
                <w:iCs/>
                <w:color w:val="000000"/>
                <w:sz w:val="16"/>
                <w:szCs w:val="16"/>
              </w:rPr>
              <w:t>well</w:t>
            </w:r>
            <w:proofErr w:type="spellEnd"/>
            <w:r w:rsidRPr="00E92908">
              <w:rPr>
                <w:rFonts w:ascii="Times New Roman" w:hAnsi="Times New Roman"/>
                <w:iCs/>
                <w:color w:val="000000"/>
                <w:sz w:val="16"/>
                <w:szCs w:val="16"/>
              </w:rPr>
              <w:t xml:space="preserve"> </w:t>
            </w:r>
            <w:proofErr w:type="spellStart"/>
            <w:r w:rsidRPr="00E92908">
              <w:rPr>
                <w:rFonts w:ascii="Times New Roman" w:hAnsi="Times New Roman"/>
                <w:iCs/>
                <w:color w:val="000000"/>
                <w:sz w:val="16"/>
                <w:szCs w:val="16"/>
              </w:rPr>
              <w:t>as</w:t>
            </w:r>
            <w:proofErr w:type="spellEnd"/>
            <w:r w:rsidRPr="00E92908">
              <w:rPr>
                <w:rFonts w:ascii="Times New Roman" w:hAnsi="Times New Roman"/>
                <w:iCs/>
                <w:color w:val="000000"/>
                <w:sz w:val="16"/>
                <w:szCs w:val="16"/>
              </w:rPr>
              <w:t xml:space="preserve"> </w:t>
            </w:r>
            <w:proofErr w:type="spellStart"/>
            <w:r w:rsidRPr="00E92908">
              <w:rPr>
                <w:rFonts w:ascii="Times New Roman" w:hAnsi="Times New Roman"/>
                <w:iCs/>
                <w:color w:val="000000"/>
                <w:sz w:val="16"/>
                <w:szCs w:val="16"/>
              </w:rPr>
              <w:t>other</w:t>
            </w:r>
            <w:proofErr w:type="spellEnd"/>
            <w:r w:rsidRPr="00E92908">
              <w:rPr>
                <w:rFonts w:ascii="Times New Roman" w:hAnsi="Times New Roman"/>
                <w:iCs/>
                <w:color w:val="000000"/>
                <w:sz w:val="16"/>
                <w:szCs w:val="16"/>
              </w:rPr>
              <w:t xml:space="preserve"> </w:t>
            </w:r>
            <w:proofErr w:type="spellStart"/>
            <w:r w:rsidRPr="00E92908">
              <w:rPr>
                <w:rFonts w:ascii="Times New Roman" w:hAnsi="Times New Roman"/>
                <w:iCs/>
                <w:color w:val="000000"/>
                <w:sz w:val="16"/>
                <w:szCs w:val="16"/>
              </w:rPr>
              <w:t>information</w:t>
            </w:r>
            <w:proofErr w:type="spellEnd"/>
            <w:r w:rsidRPr="00E92908">
              <w:rPr>
                <w:rFonts w:ascii="Times New Roman" w:hAnsi="Times New Roman"/>
                <w:iCs/>
                <w:color w:val="000000"/>
                <w:sz w:val="16"/>
                <w:szCs w:val="16"/>
              </w:rPr>
              <w:t xml:space="preserve"> </w:t>
            </w:r>
            <w:proofErr w:type="spellStart"/>
            <w:r w:rsidRPr="00E92908">
              <w:rPr>
                <w:rFonts w:ascii="Times New Roman" w:hAnsi="Times New Roman"/>
                <w:iCs/>
                <w:color w:val="000000"/>
                <w:sz w:val="16"/>
                <w:szCs w:val="16"/>
              </w:rPr>
              <w:t>and</w:t>
            </w:r>
            <w:proofErr w:type="spellEnd"/>
            <w:r w:rsidRPr="00E92908">
              <w:rPr>
                <w:rFonts w:ascii="Times New Roman" w:hAnsi="Times New Roman"/>
                <w:iCs/>
                <w:color w:val="000000"/>
                <w:sz w:val="16"/>
                <w:szCs w:val="16"/>
              </w:rPr>
              <w:t xml:space="preserve"> </w:t>
            </w:r>
            <w:proofErr w:type="spellStart"/>
            <w:r w:rsidRPr="00E92908">
              <w:rPr>
                <w:rFonts w:ascii="Times New Roman" w:hAnsi="Times New Roman"/>
                <w:iCs/>
                <w:color w:val="000000"/>
                <w:sz w:val="16"/>
                <w:szCs w:val="16"/>
              </w:rPr>
              <w:t>documents</w:t>
            </w:r>
            <w:proofErr w:type="spellEnd"/>
            <w:r w:rsidRPr="00E92908">
              <w:rPr>
                <w:rFonts w:ascii="Times New Roman" w:hAnsi="Times New Roman"/>
                <w:iCs/>
                <w:color w:val="000000"/>
                <w:sz w:val="16"/>
                <w:szCs w:val="16"/>
              </w:rPr>
              <w:t xml:space="preserve"> </w:t>
            </w:r>
            <w:proofErr w:type="spellStart"/>
            <w:r w:rsidRPr="00E92908">
              <w:rPr>
                <w:rFonts w:ascii="Times New Roman" w:hAnsi="Times New Roman"/>
                <w:iCs/>
                <w:color w:val="000000"/>
                <w:sz w:val="16"/>
                <w:szCs w:val="16"/>
              </w:rPr>
              <w:t>required</w:t>
            </w:r>
            <w:proofErr w:type="spellEnd"/>
            <w:r w:rsidRPr="00E92908">
              <w:rPr>
                <w:rFonts w:ascii="Times New Roman" w:hAnsi="Times New Roman"/>
                <w:iCs/>
                <w:color w:val="000000"/>
                <w:sz w:val="16"/>
                <w:szCs w:val="16"/>
              </w:rPr>
              <w:t xml:space="preserve"> </w:t>
            </w:r>
            <w:proofErr w:type="spellStart"/>
            <w:r w:rsidRPr="00E92908">
              <w:rPr>
                <w:rFonts w:ascii="Times New Roman" w:hAnsi="Times New Roman"/>
                <w:iCs/>
                <w:color w:val="000000"/>
                <w:sz w:val="16"/>
                <w:szCs w:val="16"/>
              </w:rPr>
              <w:t>for</w:t>
            </w:r>
            <w:proofErr w:type="spellEnd"/>
            <w:r w:rsidRPr="00E92908">
              <w:rPr>
                <w:rFonts w:ascii="Times New Roman" w:hAnsi="Times New Roman"/>
                <w:iCs/>
                <w:color w:val="000000"/>
                <w:sz w:val="16"/>
                <w:szCs w:val="16"/>
              </w:rPr>
              <w:t xml:space="preserve"> </w:t>
            </w:r>
            <w:proofErr w:type="spellStart"/>
            <w:r w:rsidRPr="00E92908">
              <w:rPr>
                <w:rFonts w:ascii="Times New Roman" w:hAnsi="Times New Roman"/>
                <w:iCs/>
                <w:color w:val="000000"/>
                <w:sz w:val="16"/>
                <w:szCs w:val="16"/>
              </w:rPr>
              <w:t>reporting</w:t>
            </w:r>
            <w:proofErr w:type="spellEnd"/>
            <w:r w:rsidRPr="00E92908">
              <w:rPr>
                <w:rFonts w:ascii="Times New Roman" w:hAnsi="Times New Roman"/>
                <w:iCs/>
                <w:color w:val="000000"/>
                <w:sz w:val="16"/>
                <w:szCs w:val="16"/>
              </w:rPr>
              <w:t xml:space="preserve"> </w:t>
            </w:r>
            <w:proofErr w:type="spellStart"/>
            <w:r w:rsidRPr="00E92908">
              <w:rPr>
                <w:rFonts w:ascii="Times New Roman" w:hAnsi="Times New Roman"/>
                <w:iCs/>
                <w:color w:val="000000"/>
                <w:sz w:val="16"/>
                <w:szCs w:val="16"/>
              </w:rPr>
              <w:t>on</w:t>
            </w:r>
            <w:proofErr w:type="spellEnd"/>
            <w:r w:rsidRPr="00E92908">
              <w:rPr>
                <w:rFonts w:ascii="Times New Roman" w:hAnsi="Times New Roman"/>
                <w:iCs/>
                <w:color w:val="000000"/>
                <w:sz w:val="16"/>
                <w:szCs w:val="16"/>
              </w:rPr>
              <w:t xml:space="preserve"> </w:t>
            </w:r>
            <w:proofErr w:type="spellStart"/>
            <w:r w:rsidRPr="00E92908">
              <w:rPr>
                <w:rFonts w:ascii="Times New Roman" w:hAnsi="Times New Roman"/>
                <w:iCs/>
                <w:color w:val="000000"/>
                <w:sz w:val="16"/>
                <w:szCs w:val="16"/>
              </w:rPr>
              <w:t>accountable</w:t>
            </w:r>
            <w:proofErr w:type="spellEnd"/>
            <w:r w:rsidRPr="00E92908">
              <w:rPr>
                <w:rFonts w:ascii="Times New Roman" w:hAnsi="Times New Roman"/>
                <w:iCs/>
                <w:color w:val="000000"/>
                <w:sz w:val="16"/>
                <w:szCs w:val="16"/>
              </w:rPr>
              <w:t xml:space="preserve"> </w:t>
            </w:r>
            <w:proofErr w:type="spellStart"/>
            <w:r w:rsidRPr="00E92908">
              <w:rPr>
                <w:rFonts w:ascii="Times New Roman" w:hAnsi="Times New Roman"/>
                <w:iCs/>
                <w:color w:val="000000"/>
                <w:sz w:val="16"/>
                <w:szCs w:val="16"/>
              </w:rPr>
              <w:t>accounts</w:t>
            </w:r>
            <w:proofErr w:type="spellEnd"/>
            <w:r w:rsidRPr="00E92908">
              <w:rPr>
                <w:rFonts w:ascii="Times New Roman" w:hAnsi="Times New Roman"/>
                <w:iCs/>
                <w:color w:val="000000"/>
                <w:sz w:val="16"/>
                <w:szCs w:val="16"/>
              </w:rPr>
              <w:t xml:space="preserve">, </w:t>
            </w:r>
            <w:proofErr w:type="spellStart"/>
            <w:r w:rsidRPr="00E92908">
              <w:rPr>
                <w:rFonts w:ascii="Times New Roman" w:hAnsi="Times New Roman"/>
                <w:iCs/>
                <w:color w:val="000000"/>
                <w:sz w:val="16"/>
                <w:szCs w:val="16"/>
              </w:rPr>
              <w:t>including</w:t>
            </w:r>
            <w:proofErr w:type="spellEnd"/>
            <w:r w:rsidRPr="00E92908">
              <w:rPr>
                <w:rFonts w:ascii="Times New Roman" w:hAnsi="Times New Roman"/>
                <w:iCs/>
                <w:color w:val="000000"/>
                <w:sz w:val="16"/>
                <w:szCs w:val="16"/>
              </w:rPr>
              <w:t xml:space="preserve"> </w:t>
            </w:r>
            <w:proofErr w:type="spellStart"/>
            <w:r w:rsidRPr="00E92908">
              <w:rPr>
                <w:rFonts w:ascii="Times New Roman" w:hAnsi="Times New Roman"/>
                <w:iCs/>
                <w:color w:val="000000"/>
                <w:sz w:val="16"/>
                <w:szCs w:val="16"/>
              </w:rPr>
              <w:t>explanations</w:t>
            </w:r>
            <w:proofErr w:type="spellEnd"/>
            <w:r w:rsidRPr="00E92908">
              <w:rPr>
                <w:rFonts w:ascii="Times New Roman" w:hAnsi="Times New Roman"/>
                <w:iCs/>
                <w:color w:val="000000"/>
                <w:sz w:val="16"/>
                <w:szCs w:val="16"/>
              </w:rPr>
              <w:t xml:space="preserve"> </w:t>
            </w:r>
            <w:proofErr w:type="spellStart"/>
            <w:r w:rsidRPr="00E92908">
              <w:rPr>
                <w:rFonts w:ascii="Times New Roman" w:hAnsi="Times New Roman"/>
                <w:iCs/>
                <w:color w:val="000000"/>
                <w:sz w:val="16"/>
                <w:szCs w:val="16"/>
              </w:rPr>
              <w:t>and</w:t>
            </w:r>
            <w:proofErr w:type="spellEnd"/>
            <w:r w:rsidRPr="00E92908">
              <w:rPr>
                <w:rFonts w:ascii="Times New Roman" w:hAnsi="Times New Roman"/>
                <w:iCs/>
                <w:color w:val="000000"/>
                <w:sz w:val="16"/>
                <w:szCs w:val="16"/>
              </w:rPr>
              <w:t xml:space="preserve"> </w:t>
            </w:r>
            <w:proofErr w:type="spellStart"/>
            <w:r w:rsidRPr="00E92908">
              <w:rPr>
                <w:rFonts w:ascii="Times New Roman" w:hAnsi="Times New Roman"/>
                <w:iCs/>
                <w:color w:val="000000"/>
                <w:sz w:val="16"/>
                <w:szCs w:val="16"/>
              </w:rPr>
              <w:t>information</w:t>
            </w:r>
            <w:proofErr w:type="spellEnd"/>
            <w:r w:rsidRPr="00E92908">
              <w:rPr>
                <w:rFonts w:ascii="Times New Roman" w:hAnsi="Times New Roman"/>
                <w:iCs/>
                <w:color w:val="000000"/>
                <w:sz w:val="16"/>
                <w:szCs w:val="16"/>
              </w:rPr>
              <w:t xml:space="preserve"> </w:t>
            </w:r>
            <w:proofErr w:type="spellStart"/>
            <w:r w:rsidRPr="00E92908">
              <w:rPr>
                <w:rFonts w:ascii="Times New Roman" w:hAnsi="Times New Roman"/>
                <w:iCs/>
                <w:color w:val="000000"/>
                <w:sz w:val="16"/>
                <w:szCs w:val="16"/>
              </w:rPr>
              <w:t>there</w:t>
            </w:r>
            <w:proofErr w:type="spellEnd"/>
            <w:r w:rsidRPr="00E92908">
              <w:rPr>
                <w:rFonts w:ascii="Times New Roman" w:hAnsi="Times New Roman"/>
                <w:iCs/>
                <w:color w:val="000000"/>
                <w:sz w:val="16"/>
                <w:szCs w:val="16"/>
              </w:rPr>
              <w:t xml:space="preserve"> </w:t>
            </w:r>
            <w:proofErr w:type="spellStart"/>
            <w:r w:rsidRPr="00E92908">
              <w:rPr>
                <w:rFonts w:ascii="Times New Roman" w:hAnsi="Times New Roman"/>
                <w:iCs/>
                <w:color w:val="000000"/>
                <w:sz w:val="16"/>
                <w:szCs w:val="16"/>
              </w:rPr>
              <w:t>is</w:t>
            </w:r>
            <w:proofErr w:type="spellEnd"/>
            <w:r w:rsidRPr="00E92908">
              <w:rPr>
                <w:rFonts w:ascii="Times New Roman" w:hAnsi="Times New Roman"/>
                <w:iCs/>
                <w:color w:val="000000"/>
                <w:sz w:val="16"/>
                <w:szCs w:val="16"/>
              </w:rPr>
              <w:t xml:space="preserve"> a </w:t>
            </w:r>
            <w:proofErr w:type="spellStart"/>
            <w:r w:rsidRPr="00E92908">
              <w:rPr>
                <w:rFonts w:ascii="Times New Roman" w:hAnsi="Times New Roman"/>
                <w:iCs/>
                <w:color w:val="000000"/>
                <w:sz w:val="16"/>
                <w:szCs w:val="16"/>
              </w:rPr>
              <w:t>well-founded</w:t>
            </w:r>
            <w:proofErr w:type="spellEnd"/>
            <w:r w:rsidRPr="00E92908">
              <w:rPr>
                <w:rFonts w:ascii="Times New Roman" w:hAnsi="Times New Roman"/>
                <w:iCs/>
                <w:color w:val="000000"/>
                <w:sz w:val="16"/>
                <w:szCs w:val="16"/>
              </w:rPr>
              <w:t xml:space="preserve">, </w:t>
            </w:r>
            <w:proofErr w:type="spellStart"/>
            <w:r w:rsidRPr="00E92908">
              <w:rPr>
                <w:rFonts w:ascii="Times New Roman" w:hAnsi="Times New Roman"/>
                <w:iCs/>
                <w:color w:val="000000"/>
                <w:sz w:val="16"/>
                <w:szCs w:val="16"/>
              </w:rPr>
              <w:t>documented</w:t>
            </w:r>
            <w:proofErr w:type="spellEnd"/>
            <w:r w:rsidRPr="00E92908">
              <w:rPr>
                <w:rFonts w:ascii="Times New Roman" w:hAnsi="Times New Roman"/>
                <w:iCs/>
                <w:color w:val="000000"/>
                <w:sz w:val="16"/>
                <w:szCs w:val="16"/>
              </w:rPr>
              <w:t xml:space="preserve"> </w:t>
            </w:r>
            <w:proofErr w:type="spellStart"/>
            <w:r w:rsidRPr="00E92908">
              <w:rPr>
                <w:rFonts w:ascii="Times New Roman" w:hAnsi="Times New Roman"/>
                <w:iCs/>
                <w:color w:val="000000"/>
                <w:sz w:val="16"/>
                <w:szCs w:val="16"/>
              </w:rPr>
              <w:t>suspicion</w:t>
            </w:r>
            <w:proofErr w:type="spellEnd"/>
            <w:r w:rsidRPr="00E92908">
              <w:rPr>
                <w:rFonts w:ascii="Times New Roman" w:hAnsi="Times New Roman"/>
                <w:iCs/>
                <w:color w:val="000000"/>
                <w:sz w:val="16"/>
                <w:szCs w:val="16"/>
              </w:rPr>
              <w:t xml:space="preserve"> </w:t>
            </w:r>
            <w:proofErr w:type="spellStart"/>
            <w:r w:rsidRPr="00E92908">
              <w:rPr>
                <w:rFonts w:ascii="Times New Roman" w:hAnsi="Times New Roman"/>
                <w:iCs/>
                <w:color w:val="000000"/>
                <w:sz w:val="16"/>
                <w:szCs w:val="16"/>
              </w:rPr>
              <w:t>in</w:t>
            </w:r>
            <w:proofErr w:type="spellEnd"/>
            <w:r w:rsidRPr="00E92908">
              <w:rPr>
                <w:rFonts w:ascii="Times New Roman" w:hAnsi="Times New Roman"/>
                <w:iCs/>
                <w:color w:val="000000"/>
                <w:sz w:val="16"/>
                <w:szCs w:val="16"/>
              </w:rPr>
              <w:t xml:space="preserve"> </w:t>
            </w:r>
            <w:proofErr w:type="spellStart"/>
            <w:r w:rsidRPr="00E92908">
              <w:rPr>
                <w:rFonts w:ascii="Times New Roman" w:hAnsi="Times New Roman"/>
                <w:iCs/>
                <w:color w:val="000000"/>
                <w:sz w:val="16"/>
                <w:szCs w:val="16"/>
              </w:rPr>
              <w:t>the</w:t>
            </w:r>
            <w:proofErr w:type="spellEnd"/>
            <w:r w:rsidRPr="00E92908">
              <w:rPr>
                <w:rFonts w:ascii="Times New Roman" w:hAnsi="Times New Roman"/>
                <w:iCs/>
                <w:color w:val="000000"/>
                <w:sz w:val="16"/>
                <w:szCs w:val="16"/>
              </w:rPr>
              <w:t xml:space="preserve"> </w:t>
            </w:r>
            <w:proofErr w:type="spellStart"/>
            <w:r w:rsidRPr="00E92908">
              <w:rPr>
                <w:rFonts w:ascii="Times New Roman" w:hAnsi="Times New Roman"/>
                <w:iCs/>
                <w:color w:val="000000"/>
                <w:sz w:val="16"/>
                <w:szCs w:val="16"/>
              </w:rPr>
              <w:t>depository</w:t>
            </w:r>
            <w:proofErr w:type="spellEnd"/>
            <w:r w:rsidRPr="00E92908">
              <w:rPr>
                <w:rFonts w:ascii="Times New Roman" w:hAnsi="Times New Roman"/>
                <w:iCs/>
                <w:color w:val="000000"/>
                <w:sz w:val="16"/>
                <w:szCs w:val="16"/>
              </w:rPr>
              <w:t xml:space="preserve"> </w:t>
            </w:r>
            <w:proofErr w:type="spellStart"/>
            <w:r w:rsidRPr="00E92908">
              <w:rPr>
                <w:rFonts w:ascii="Times New Roman" w:hAnsi="Times New Roman"/>
                <w:iCs/>
                <w:color w:val="000000"/>
                <w:sz w:val="16"/>
                <w:szCs w:val="16"/>
              </w:rPr>
              <w:t>institution</w:t>
            </w:r>
            <w:proofErr w:type="spellEnd"/>
            <w:r w:rsidRPr="00E92908">
              <w:rPr>
                <w:rFonts w:ascii="Times New Roman" w:hAnsi="Times New Roman"/>
                <w:iCs/>
                <w:color w:val="000000"/>
                <w:sz w:val="16"/>
                <w:szCs w:val="16"/>
              </w:rPr>
              <w:t xml:space="preserve"> </w:t>
            </w:r>
            <w:proofErr w:type="spellStart"/>
            <w:r w:rsidRPr="00E92908">
              <w:rPr>
                <w:rFonts w:ascii="Times New Roman" w:hAnsi="Times New Roman"/>
                <w:iCs/>
                <w:color w:val="000000"/>
                <w:sz w:val="16"/>
                <w:szCs w:val="16"/>
              </w:rPr>
              <w:t>that</w:t>
            </w:r>
            <w:proofErr w:type="spellEnd"/>
            <w:r w:rsidRPr="00E92908">
              <w:rPr>
                <w:rFonts w:ascii="Times New Roman" w:hAnsi="Times New Roman"/>
                <w:iCs/>
                <w:color w:val="000000"/>
                <w:sz w:val="16"/>
                <w:szCs w:val="16"/>
              </w:rPr>
              <w:t xml:space="preserve"> </w:t>
            </w:r>
            <w:proofErr w:type="spellStart"/>
            <w:r w:rsidRPr="00E92908">
              <w:rPr>
                <w:rFonts w:ascii="Times New Roman" w:hAnsi="Times New Roman"/>
                <w:iCs/>
                <w:color w:val="000000"/>
                <w:sz w:val="16"/>
                <w:szCs w:val="16"/>
              </w:rPr>
              <w:t>the</w:t>
            </w:r>
            <w:proofErr w:type="spellEnd"/>
            <w:r w:rsidRPr="00E92908">
              <w:rPr>
                <w:rFonts w:ascii="Times New Roman" w:hAnsi="Times New Roman"/>
                <w:iCs/>
                <w:color w:val="000000"/>
                <w:sz w:val="16"/>
                <w:szCs w:val="16"/>
              </w:rPr>
              <w:t xml:space="preserve"> </w:t>
            </w:r>
            <w:proofErr w:type="spellStart"/>
            <w:r w:rsidRPr="00E92908">
              <w:rPr>
                <w:rFonts w:ascii="Times New Roman" w:hAnsi="Times New Roman"/>
                <w:iCs/>
                <w:color w:val="000000"/>
                <w:sz w:val="16"/>
                <w:szCs w:val="16"/>
              </w:rPr>
              <w:t>securities</w:t>
            </w:r>
            <w:proofErr w:type="spellEnd"/>
            <w:r w:rsidRPr="00E92908">
              <w:rPr>
                <w:rFonts w:ascii="Times New Roman" w:hAnsi="Times New Roman"/>
                <w:iCs/>
                <w:color w:val="000000"/>
                <w:sz w:val="16"/>
                <w:szCs w:val="16"/>
              </w:rPr>
              <w:t xml:space="preserve"> </w:t>
            </w:r>
            <w:proofErr w:type="spellStart"/>
            <w:r w:rsidRPr="00E92908">
              <w:rPr>
                <w:rFonts w:ascii="Times New Roman" w:hAnsi="Times New Roman"/>
                <w:iCs/>
                <w:color w:val="000000"/>
                <w:sz w:val="16"/>
                <w:szCs w:val="16"/>
              </w:rPr>
              <w:t>account</w:t>
            </w:r>
            <w:proofErr w:type="spellEnd"/>
            <w:r w:rsidRPr="00E92908">
              <w:rPr>
                <w:rFonts w:ascii="Times New Roman" w:hAnsi="Times New Roman"/>
                <w:iCs/>
                <w:color w:val="000000"/>
                <w:sz w:val="16"/>
                <w:szCs w:val="16"/>
              </w:rPr>
              <w:t xml:space="preserve"> </w:t>
            </w:r>
            <w:proofErr w:type="spellStart"/>
            <w:r w:rsidRPr="00E92908">
              <w:rPr>
                <w:rFonts w:ascii="Times New Roman" w:hAnsi="Times New Roman"/>
                <w:iCs/>
                <w:color w:val="000000"/>
                <w:sz w:val="16"/>
                <w:szCs w:val="16"/>
              </w:rPr>
              <w:t>belongs</w:t>
            </w:r>
            <w:proofErr w:type="spellEnd"/>
            <w:r w:rsidRPr="00E92908">
              <w:rPr>
                <w:rFonts w:ascii="Times New Roman" w:hAnsi="Times New Roman"/>
                <w:iCs/>
                <w:color w:val="000000"/>
                <w:sz w:val="16"/>
                <w:szCs w:val="16"/>
              </w:rPr>
              <w:t xml:space="preserve"> </w:t>
            </w:r>
            <w:proofErr w:type="spellStart"/>
            <w:r w:rsidRPr="00E92908">
              <w:rPr>
                <w:rFonts w:ascii="Times New Roman" w:hAnsi="Times New Roman"/>
                <w:iCs/>
                <w:color w:val="000000"/>
                <w:sz w:val="16"/>
                <w:szCs w:val="16"/>
              </w:rPr>
              <w:t>to</w:t>
            </w:r>
            <w:proofErr w:type="spellEnd"/>
            <w:r w:rsidRPr="00E92908">
              <w:rPr>
                <w:rFonts w:ascii="Times New Roman" w:hAnsi="Times New Roman"/>
                <w:iCs/>
                <w:color w:val="000000"/>
                <w:sz w:val="16"/>
                <w:szCs w:val="16"/>
              </w:rPr>
              <w:t xml:space="preserve"> </w:t>
            </w:r>
            <w:proofErr w:type="spellStart"/>
            <w:r w:rsidRPr="00E92908">
              <w:rPr>
                <w:rFonts w:ascii="Times New Roman" w:hAnsi="Times New Roman"/>
                <w:iCs/>
                <w:color w:val="000000"/>
                <w:sz w:val="16"/>
                <w:szCs w:val="16"/>
              </w:rPr>
              <w:t>the</w:t>
            </w:r>
            <w:proofErr w:type="spellEnd"/>
            <w:r w:rsidRPr="00E92908">
              <w:rPr>
                <w:rFonts w:ascii="Times New Roman" w:hAnsi="Times New Roman"/>
                <w:iCs/>
                <w:color w:val="000000"/>
                <w:sz w:val="16"/>
                <w:szCs w:val="16"/>
              </w:rPr>
              <w:t xml:space="preserve"> </w:t>
            </w:r>
            <w:proofErr w:type="spellStart"/>
            <w:r w:rsidRPr="00E92908">
              <w:rPr>
                <w:rFonts w:ascii="Times New Roman" w:hAnsi="Times New Roman"/>
                <w:iCs/>
                <w:color w:val="000000"/>
                <w:sz w:val="16"/>
                <w:szCs w:val="16"/>
              </w:rPr>
              <w:t>accountable</w:t>
            </w:r>
            <w:proofErr w:type="spellEnd"/>
            <w:r w:rsidRPr="00E92908">
              <w:rPr>
                <w:rFonts w:ascii="Times New Roman" w:hAnsi="Times New Roman"/>
                <w:iCs/>
                <w:color w:val="000000"/>
                <w:sz w:val="16"/>
                <w:szCs w:val="16"/>
              </w:rPr>
              <w:t xml:space="preserve"> </w:t>
            </w:r>
            <w:proofErr w:type="spellStart"/>
            <w:r w:rsidRPr="00E92908">
              <w:rPr>
                <w:rFonts w:ascii="Times New Roman" w:hAnsi="Times New Roman"/>
                <w:iCs/>
                <w:color w:val="000000"/>
                <w:sz w:val="16"/>
                <w:szCs w:val="16"/>
              </w:rPr>
              <w:t>ones</w:t>
            </w:r>
            <w:proofErr w:type="spellEnd"/>
            <w:r w:rsidRPr="00E92908">
              <w:rPr>
                <w:rFonts w:ascii="Times New Roman" w:hAnsi="Times New Roman"/>
                <w:iCs/>
                <w:color w:val="000000"/>
                <w:sz w:val="16"/>
                <w:szCs w:val="16"/>
              </w:rPr>
              <w:t>.</w:t>
            </w:r>
          </w:p>
        </w:tc>
      </w:tr>
      <w:tr w:rsidR="00F92811" w:rsidRPr="00F23413" w14:paraId="3F1A6B74" w14:textId="77777777" w:rsidTr="00242F58">
        <w:trPr>
          <w:trHeight w:val="192"/>
        </w:trPr>
        <w:tc>
          <w:tcPr>
            <w:tcW w:w="5696" w:type="dxa"/>
            <w:gridSpan w:val="8"/>
            <w:shd w:val="clear" w:color="auto" w:fill="auto"/>
          </w:tcPr>
          <w:p w14:paraId="3B217ABE" w14:textId="77777777" w:rsidR="00F92811" w:rsidRPr="00E16672" w:rsidRDefault="00F92811" w:rsidP="00F0600D">
            <w:pPr>
              <w:tabs>
                <w:tab w:val="left" w:pos="709"/>
              </w:tabs>
              <w:snapToGrid w:val="0"/>
              <w:ind w:left="175" w:right="138" w:firstLine="4"/>
              <w:rPr>
                <w:rFonts w:ascii="Times New Roman" w:hAnsi="Times New Roman"/>
                <w:b/>
                <w:sz w:val="16"/>
                <w:szCs w:val="16"/>
                <w:lang w:val="en-US"/>
              </w:rPr>
            </w:pPr>
            <w:r w:rsidRPr="00E16672">
              <w:rPr>
                <w:rFonts w:ascii="Times New Roman" w:hAnsi="Times New Roman"/>
                <w:b/>
                <w:sz w:val="16"/>
                <w:szCs w:val="16"/>
                <w:lang w:val="en-US"/>
              </w:rPr>
              <w:t xml:space="preserve">2.4. </w:t>
            </w:r>
            <w:r w:rsidRPr="00E16672">
              <w:rPr>
                <w:rFonts w:ascii="Times New Roman" w:hAnsi="Times New Roman"/>
                <w:b/>
                <w:sz w:val="16"/>
                <w:szCs w:val="16"/>
              </w:rPr>
              <w:t>Депонент</w:t>
            </w:r>
            <w:r w:rsidRPr="00E16672">
              <w:rPr>
                <w:rFonts w:ascii="Times New Roman" w:hAnsi="Times New Roman"/>
                <w:b/>
                <w:sz w:val="16"/>
                <w:szCs w:val="16"/>
                <w:lang w:val="en-US"/>
              </w:rPr>
              <w:t xml:space="preserve"> </w:t>
            </w:r>
            <w:proofErr w:type="spellStart"/>
            <w:r w:rsidRPr="00E16672">
              <w:rPr>
                <w:rFonts w:ascii="Times New Roman" w:hAnsi="Times New Roman"/>
                <w:b/>
                <w:sz w:val="16"/>
                <w:szCs w:val="16"/>
              </w:rPr>
              <w:t>має</w:t>
            </w:r>
            <w:proofErr w:type="spellEnd"/>
            <w:r w:rsidRPr="00E16672">
              <w:rPr>
                <w:rFonts w:ascii="Times New Roman" w:hAnsi="Times New Roman"/>
                <w:b/>
                <w:sz w:val="16"/>
                <w:szCs w:val="16"/>
                <w:lang w:val="en-US"/>
              </w:rPr>
              <w:t xml:space="preserve"> </w:t>
            </w:r>
            <w:r w:rsidRPr="00E16672">
              <w:rPr>
                <w:rFonts w:ascii="Times New Roman" w:hAnsi="Times New Roman"/>
                <w:b/>
                <w:sz w:val="16"/>
                <w:szCs w:val="16"/>
              </w:rPr>
              <w:t>право</w:t>
            </w:r>
            <w:r w:rsidRPr="00E16672">
              <w:rPr>
                <w:rFonts w:ascii="Times New Roman" w:hAnsi="Times New Roman"/>
                <w:b/>
                <w:sz w:val="16"/>
                <w:szCs w:val="16"/>
                <w:lang w:val="en-US"/>
              </w:rPr>
              <w:t>:</w:t>
            </w:r>
          </w:p>
          <w:p w14:paraId="0E6E9847" w14:textId="77777777" w:rsidR="00F92811" w:rsidRPr="00E16672" w:rsidRDefault="00F92811" w:rsidP="00F92811">
            <w:pPr>
              <w:tabs>
                <w:tab w:val="left" w:pos="709"/>
              </w:tabs>
              <w:ind w:left="175" w:right="138"/>
              <w:rPr>
                <w:rFonts w:ascii="Times New Roman" w:hAnsi="Times New Roman"/>
                <w:sz w:val="16"/>
                <w:szCs w:val="16"/>
                <w:lang w:val="en-US"/>
              </w:rPr>
            </w:pPr>
          </w:p>
          <w:p w14:paraId="43D499AF" w14:textId="77777777" w:rsidR="00F92811" w:rsidRPr="00E16672" w:rsidRDefault="00F92811" w:rsidP="00F92811">
            <w:pPr>
              <w:tabs>
                <w:tab w:val="left" w:pos="709"/>
              </w:tabs>
              <w:ind w:left="175" w:right="138" w:firstLine="0"/>
              <w:rPr>
                <w:rFonts w:ascii="Times New Roman" w:hAnsi="Times New Roman"/>
                <w:sz w:val="16"/>
                <w:szCs w:val="16"/>
                <w:lang w:val="en-US"/>
              </w:rPr>
            </w:pPr>
            <w:r w:rsidRPr="00E16672">
              <w:rPr>
                <w:rFonts w:ascii="Times New Roman" w:hAnsi="Times New Roman"/>
                <w:sz w:val="16"/>
                <w:szCs w:val="16"/>
                <w:lang w:val="en-US"/>
              </w:rPr>
              <w:t xml:space="preserve">2.4.1. </w:t>
            </w:r>
            <w:proofErr w:type="spellStart"/>
            <w:r w:rsidRPr="00E16672">
              <w:rPr>
                <w:rFonts w:ascii="Times New Roman" w:hAnsi="Times New Roman"/>
                <w:sz w:val="16"/>
                <w:szCs w:val="16"/>
              </w:rPr>
              <w:t>Передати</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власні</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повноваження</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щодо</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відкриття</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рахунку</w:t>
            </w:r>
            <w:proofErr w:type="spellEnd"/>
            <w:r w:rsidRPr="00E16672">
              <w:rPr>
                <w:rFonts w:ascii="Times New Roman" w:hAnsi="Times New Roman"/>
                <w:sz w:val="16"/>
                <w:szCs w:val="16"/>
                <w:lang w:val="en-US"/>
              </w:rPr>
              <w:t xml:space="preserve"> </w:t>
            </w:r>
            <w:r w:rsidRPr="00E16672">
              <w:rPr>
                <w:rFonts w:ascii="Times New Roman" w:hAnsi="Times New Roman"/>
                <w:sz w:val="16"/>
                <w:szCs w:val="16"/>
              </w:rPr>
              <w:t>в</w:t>
            </w:r>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цінних</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паперах</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іншій</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особі</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уповноваженій</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діяти</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від</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його</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імені</w:t>
            </w:r>
            <w:proofErr w:type="spellEnd"/>
            <w:r w:rsidRPr="00E16672">
              <w:rPr>
                <w:rFonts w:ascii="Times New Roman" w:hAnsi="Times New Roman"/>
                <w:sz w:val="16"/>
                <w:szCs w:val="16"/>
                <w:lang w:val="en-US"/>
              </w:rPr>
              <w:t xml:space="preserve"> </w:t>
            </w:r>
            <w:r w:rsidRPr="00E16672">
              <w:rPr>
                <w:rFonts w:ascii="Times New Roman" w:hAnsi="Times New Roman"/>
                <w:sz w:val="16"/>
                <w:szCs w:val="16"/>
              </w:rPr>
              <w:t>на</w:t>
            </w:r>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підставі</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визначеного</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законодавством</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правочину</w:t>
            </w:r>
            <w:proofErr w:type="spellEnd"/>
            <w:r w:rsidRPr="00E16672">
              <w:rPr>
                <w:rFonts w:ascii="Times New Roman" w:hAnsi="Times New Roman"/>
                <w:sz w:val="16"/>
                <w:szCs w:val="16"/>
                <w:lang w:val="en-US"/>
              </w:rPr>
              <w:t>.</w:t>
            </w:r>
          </w:p>
          <w:p w14:paraId="4E18A9C3" w14:textId="77777777" w:rsidR="00F92811" w:rsidRPr="00E16672" w:rsidRDefault="00F92811" w:rsidP="00F92811">
            <w:pPr>
              <w:tabs>
                <w:tab w:val="left" w:pos="709"/>
              </w:tabs>
              <w:ind w:left="175" w:right="138"/>
              <w:rPr>
                <w:rFonts w:ascii="Times New Roman" w:hAnsi="Times New Roman"/>
                <w:sz w:val="16"/>
                <w:szCs w:val="16"/>
                <w:lang w:val="en-US"/>
              </w:rPr>
            </w:pPr>
          </w:p>
        </w:tc>
        <w:tc>
          <w:tcPr>
            <w:tcW w:w="5494" w:type="dxa"/>
            <w:gridSpan w:val="6"/>
            <w:shd w:val="clear" w:color="auto" w:fill="auto"/>
          </w:tcPr>
          <w:p w14:paraId="233579DB" w14:textId="77777777" w:rsidR="00F92811" w:rsidRPr="00E16672" w:rsidRDefault="00F92811" w:rsidP="00F0600D">
            <w:pPr>
              <w:tabs>
                <w:tab w:val="left" w:pos="287"/>
              </w:tabs>
              <w:snapToGrid w:val="0"/>
              <w:ind w:left="145" w:right="100" w:firstLine="3"/>
              <w:rPr>
                <w:rFonts w:ascii="Times New Roman" w:hAnsi="Times New Roman"/>
                <w:b/>
                <w:bCs/>
                <w:sz w:val="16"/>
                <w:szCs w:val="16"/>
                <w:lang w:val="en-GB"/>
              </w:rPr>
            </w:pPr>
            <w:r w:rsidRPr="00E16672">
              <w:rPr>
                <w:rFonts w:ascii="Times New Roman" w:hAnsi="Times New Roman"/>
                <w:b/>
                <w:bCs/>
                <w:sz w:val="16"/>
                <w:szCs w:val="16"/>
                <w:lang w:val="en-US"/>
              </w:rPr>
              <w:t>2</w:t>
            </w:r>
            <w:r w:rsidRPr="00E16672">
              <w:rPr>
                <w:rFonts w:ascii="Times New Roman" w:hAnsi="Times New Roman"/>
                <w:b/>
                <w:bCs/>
                <w:sz w:val="16"/>
                <w:szCs w:val="16"/>
                <w:lang w:val="en-GB"/>
              </w:rPr>
              <w:t>.</w:t>
            </w:r>
            <w:r w:rsidRPr="00E16672">
              <w:rPr>
                <w:rFonts w:ascii="Times New Roman" w:hAnsi="Times New Roman"/>
                <w:b/>
                <w:bCs/>
                <w:sz w:val="16"/>
                <w:szCs w:val="16"/>
                <w:lang w:val="en-US"/>
              </w:rPr>
              <w:t>4.</w:t>
            </w:r>
            <w:r w:rsidRPr="00E16672">
              <w:rPr>
                <w:rFonts w:ascii="Times New Roman" w:hAnsi="Times New Roman"/>
                <w:b/>
                <w:bCs/>
                <w:sz w:val="16"/>
                <w:szCs w:val="16"/>
                <w:lang w:val="en-GB"/>
              </w:rPr>
              <w:t xml:space="preserve"> Depositor </w:t>
            </w:r>
            <w:r w:rsidRPr="00E16672">
              <w:rPr>
                <w:rFonts w:ascii="Times New Roman" w:hAnsi="Times New Roman"/>
                <w:b/>
                <w:bCs/>
                <w:sz w:val="16"/>
                <w:szCs w:val="16"/>
                <w:lang w:val="en-US"/>
              </w:rPr>
              <w:t>have right</w:t>
            </w:r>
            <w:r w:rsidRPr="00E16672">
              <w:rPr>
                <w:rFonts w:ascii="Times New Roman" w:hAnsi="Times New Roman"/>
                <w:b/>
                <w:bCs/>
                <w:sz w:val="16"/>
                <w:szCs w:val="16"/>
                <w:lang w:val="en-GB"/>
              </w:rPr>
              <w:t>:</w:t>
            </w:r>
          </w:p>
          <w:p w14:paraId="55907C22" w14:textId="77777777" w:rsidR="00F92811" w:rsidRPr="00E16672" w:rsidRDefault="00F92811" w:rsidP="00F92811">
            <w:pPr>
              <w:tabs>
                <w:tab w:val="left" w:pos="287"/>
              </w:tabs>
              <w:ind w:left="145" w:right="100"/>
              <w:rPr>
                <w:rFonts w:ascii="Times New Roman" w:hAnsi="Times New Roman"/>
                <w:bCs/>
                <w:sz w:val="16"/>
                <w:szCs w:val="16"/>
                <w:lang w:val="en-GB"/>
              </w:rPr>
            </w:pPr>
          </w:p>
          <w:p w14:paraId="22F6F953" w14:textId="77777777" w:rsidR="00F92811" w:rsidRPr="00E16672" w:rsidRDefault="00F92811" w:rsidP="00F92811">
            <w:pPr>
              <w:pStyle w:val="210"/>
              <w:tabs>
                <w:tab w:val="left" w:pos="287"/>
                <w:tab w:val="left" w:pos="1191"/>
              </w:tabs>
              <w:ind w:left="145" w:right="100" w:firstLine="0"/>
              <w:rPr>
                <w:rFonts w:ascii="Times New Roman" w:hAnsi="Times New Roman"/>
                <w:sz w:val="16"/>
                <w:szCs w:val="16"/>
              </w:rPr>
            </w:pPr>
            <w:r w:rsidRPr="00E16672">
              <w:rPr>
                <w:rFonts w:ascii="Times New Roman" w:hAnsi="Times New Roman"/>
                <w:sz w:val="16"/>
                <w:szCs w:val="16"/>
                <w:lang w:val="en-US"/>
              </w:rPr>
              <w:t>2.4</w:t>
            </w:r>
            <w:r w:rsidRPr="00E16672">
              <w:rPr>
                <w:rFonts w:ascii="Times New Roman" w:hAnsi="Times New Roman"/>
                <w:sz w:val="16"/>
                <w:szCs w:val="16"/>
              </w:rPr>
              <w:t xml:space="preserve">.1. </w:t>
            </w:r>
            <w:r w:rsidRPr="00E16672">
              <w:rPr>
                <w:rFonts w:ascii="Times New Roman" w:hAnsi="Times New Roman"/>
                <w:sz w:val="16"/>
                <w:szCs w:val="16"/>
                <w:lang w:val="en-US"/>
              </w:rPr>
              <w:t>Transfer</w:t>
            </w:r>
            <w:r w:rsidRPr="00E16672">
              <w:rPr>
                <w:rFonts w:ascii="Times New Roman" w:hAnsi="Times New Roman"/>
                <w:sz w:val="16"/>
                <w:szCs w:val="16"/>
              </w:rPr>
              <w:t xml:space="preserve"> </w:t>
            </w:r>
            <w:proofErr w:type="spellStart"/>
            <w:r w:rsidRPr="00E16672">
              <w:rPr>
                <w:rFonts w:ascii="Times New Roman" w:hAnsi="Times New Roman"/>
                <w:sz w:val="16"/>
                <w:szCs w:val="16"/>
              </w:rPr>
              <w:t>your</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own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power</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to</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open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an</w:t>
            </w:r>
            <w:proofErr w:type="spellEnd"/>
            <w:r w:rsidRPr="00E16672">
              <w:rPr>
                <w:rFonts w:ascii="Times New Roman" w:hAnsi="Times New Roman"/>
                <w:sz w:val="16"/>
                <w:szCs w:val="16"/>
              </w:rPr>
              <w:t xml:space="preserve"> </w:t>
            </w:r>
            <w:proofErr w:type="spellStart"/>
            <w:proofErr w:type="gramStart"/>
            <w:r w:rsidRPr="00E16672">
              <w:rPr>
                <w:rFonts w:ascii="Times New Roman" w:hAnsi="Times New Roman"/>
                <w:sz w:val="16"/>
                <w:szCs w:val="16"/>
              </w:rPr>
              <w:t>account</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in</w:t>
            </w:r>
            <w:proofErr w:type="spellEnd"/>
            <w:proofErr w:type="gramEnd"/>
            <w:r w:rsidRPr="00E16672">
              <w:rPr>
                <w:rFonts w:ascii="Times New Roman" w:hAnsi="Times New Roman"/>
                <w:sz w:val="16"/>
                <w:szCs w:val="16"/>
              </w:rPr>
              <w:t xml:space="preserve"> </w:t>
            </w:r>
            <w:proofErr w:type="spellStart"/>
            <w:r w:rsidRPr="00E16672">
              <w:rPr>
                <w:rFonts w:ascii="Times New Roman" w:hAnsi="Times New Roman"/>
                <w:sz w:val="16"/>
                <w:szCs w:val="16"/>
              </w:rPr>
              <w:t>securities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to</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another</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person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authorized</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to</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act</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his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behalf</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under</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legislation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specified</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competence</w:t>
            </w:r>
            <w:proofErr w:type="spellEnd"/>
            <w:r w:rsidRPr="00E16672">
              <w:rPr>
                <w:rFonts w:ascii="Times New Roman" w:hAnsi="Times New Roman"/>
                <w:sz w:val="16"/>
                <w:szCs w:val="16"/>
              </w:rPr>
              <w:t>.</w:t>
            </w:r>
          </w:p>
          <w:p w14:paraId="77C797E0" w14:textId="77777777" w:rsidR="00F92811" w:rsidRPr="00E16672" w:rsidRDefault="00F92811" w:rsidP="00F92811">
            <w:pPr>
              <w:tabs>
                <w:tab w:val="left" w:pos="287"/>
              </w:tabs>
              <w:ind w:left="145" w:right="100"/>
              <w:jc w:val="center"/>
              <w:rPr>
                <w:rFonts w:ascii="Times New Roman" w:hAnsi="Times New Roman"/>
                <w:bCs/>
                <w:sz w:val="16"/>
                <w:szCs w:val="16"/>
                <w:lang w:val="en-GB"/>
              </w:rPr>
            </w:pPr>
          </w:p>
        </w:tc>
      </w:tr>
      <w:tr w:rsidR="003A05A3" w:rsidRPr="00F23413" w14:paraId="2FB6125B" w14:textId="77777777" w:rsidTr="00242F58">
        <w:trPr>
          <w:trHeight w:val="192"/>
        </w:trPr>
        <w:tc>
          <w:tcPr>
            <w:tcW w:w="5696" w:type="dxa"/>
            <w:gridSpan w:val="8"/>
            <w:shd w:val="clear" w:color="auto" w:fill="auto"/>
          </w:tcPr>
          <w:p w14:paraId="73991D60" w14:textId="77777777" w:rsidR="003A05A3" w:rsidRPr="00E16672" w:rsidRDefault="003A05A3" w:rsidP="00843027">
            <w:pPr>
              <w:pStyle w:val="WW-1"/>
              <w:tabs>
                <w:tab w:val="left" w:pos="709"/>
              </w:tabs>
              <w:snapToGrid w:val="0"/>
              <w:ind w:left="175" w:right="138"/>
              <w:jc w:val="both"/>
              <w:rPr>
                <w:rFonts w:eastAsia="Times New Roman"/>
                <w:i w:val="0"/>
                <w:sz w:val="16"/>
                <w:szCs w:val="16"/>
                <w:lang w:val="uk-UA"/>
              </w:rPr>
            </w:pPr>
            <w:r w:rsidRPr="00E16672">
              <w:rPr>
                <w:i w:val="0"/>
                <w:sz w:val="16"/>
                <w:szCs w:val="16"/>
                <w:lang w:val="uk-UA"/>
              </w:rPr>
              <w:t>2.4.2</w:t>
            </w:r>
            <w:r w:rsidRPr="00E16672">
              <w:rPr>
                <w:rFonts w:eastAsia="Times New Roman"/>
                <w:i w:val="0"/>
                <w:sz w:val="16"/>
                <w:szCs w:val="16"/>
                <w:lang w:val="uk-UA"/>
              </w:rPr>
              <w:t>. Передати власні повноваження з розпорядження цінними паперами, що обліковуються на його рахунку в цінних паперах, повноваження щодо здійснення прав, що випливають з цінних паперів, керуючому рахунком.</w:t>
            </w:r>
          </w:p>
          <w:p w14:paraId="5408DCB7" w14:textId="77777777" w:rsidR="003A05A3" w:rsidRPr="00E16672" w:rsidRDefault="003A05A3" w:rsidP="00843027">
            <w:pPr>
              <w:pStyle w:val="WW-1"/>
              <w:tabs>
                <w:tab w:val="left" w:pos="709"/>
              </w:tabs>
              <w:ind w:left="175" w:right="138"/>
              <w:jc w:val="both"/>
              <w:rPr>
                <w:rFonts w:eastAsia="Times New Roman"/>
                <w:i w:val="0"/>
                <w:sz w:val="16"/>
                <w:szCs w:val="16"/>
                <w:lang w:val="uk-UA"/>
              </w:rPr>
            </w:pPr>
          </w:p>
        </w:tc>
        <w:tc>
          <w:tcPr>
            <w:tcW w:w="5494" w:type="dxa"/>
            <w:gridSpan w:val="6"/>
            <w:shd w:val="clear" w:color="auto" w:fill="auto"/>
          </w:tcPr>
          <w:p w14:paraId="73084799" w14:textId="77777777" w:rsidR="003A05A3" w:rsidRPr="00E16672" w:rsidRDefault="003A05A3" w:rsidP="00843027">
            <w:pPr>
              <w:pStyle w:val="210"/>
              <w:tabs>
                <w:tab w:val="left" w:pos="287"/>
                <w:tab w:val="left" w:pos="1191"/>
              </w:tabs>
              <w:snapToGrid w:val="0"/>
              <w:ind w:left="145" w:right="100" w:firstLine="0"/>
              <w:rPr>
                <w:rFonts w:ascii="Times New Roman" w:hAnsi="Times New Roman"/>
                <w:sz w:val="16"/>
                <w:szCs w:val="16"/>
              </w:rPr>
            </w:pPr>
            <w:r w:rsidRPr="00E16672">
              <w:rPr>
                <w:rFonts w:ascii="Times New Roman" w:hAnsi="Times New Roman"/>
                <w:sz w:val="16"/>
                <w:szCs w:val="16"/>
                <w:lang w:val="en-US"/>
              </w:rPr>
              <w:t>2.4</w:t>
            </w:r>
            <w:r w:rsidRPr="00E16672">
              <w:rPr>
                <w:rFonts w:ascii="Times New Roman" w:hAnsi="Times New Roman"/>
                <w:sz w:val="16"/>
                <w:szCs w:val="16"/>
              </w:rPr>
              <w:t xml:space="preserve">.2. </w:t>
            </w:r>
            <w:r w:rsidRPr="00E16672">
              <w:rPr>
                <w:rFonts w:ascii="Times New Roman" w:hAnsi="Times New Roman"/>
                <w:sz w:val="16"/>
                <w:szCs w:val="16"/>
                <w:lang w:val="en-US"/>
              </w:rPr>
              <w:t>Transfer</w:t>
            </w:r>
            <w:r w:rsidRPr="00E16672">
              <w:rPr>
                <w:rFonts w:ascii="Times New Roman" w:hAnsi="Times New Roman"/>
                <w:sz w:val="16"/>
                <w:szCs w:val="16"/>
              </w:rPr>
              <w:t xml:space="preserve"> </w:t>
            </w:r>
            <w:proofErr w:type="spellStart"/>
            <w:r w:rsidRPr="00E16672">
              <w:rPr>
                <w:rFonts w:ascii="Times New Roman" w:hAnsi="Times New Roman"/>
                <w:sz w:val="16"/>
                <w:szCs w:val="16"/>
              </w:rPr>
              <w:t>your</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own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powers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of</w:t>
            </w:r>
            <w:proofErr w:type="spellEnd"/>
            <w:r w:rsidRPr="00E16672">
              <w:rPr>
                <w:rFonts w:ascii="Times New Roman" w:hAnsi="Times New Roman"/>
                <w:sz w:val="16"/>
                <w:szCs w:val="16"/>
              </w:rPr>
              <w:t xml:space="preserve"> </w:t>
            </w:r>
            <w:r w:rsidRPr="00E16672">
              <w:rPr>
                <w:rFonts w:ascii="Times New Roman" w:hAnsi="Times New Roman"/>
                <w:sz w:val="16"/>
                <w:szCs w:val="16"/>
                <w:lang w:val="en-US"/>
              </w:rPr>
              <w:t>manage</w:t>
            </w:r>
            <w:r w:rsidRPr="00E16672">
              <w:rPr>
                <w:rFonts w:ascii="Times New Roman" w:hAnsi="Times New Roman"/>
                <w:sz w:val="16"/>
                <w:szCs w:val="16"/>
              </w:rPr>
              <w:t xml:space="preserve"> </w:t>
            </w:r>
            <w:r w:rsidRPr="00E16672">
              <w:rPr>
                <w:rFonts w:ascii="Times New Roman" w:hAnsi="Times New Roman"/>
                <w:sz w:val="16"/>
                <w:szCs w:val="16"/>
                <w:lang w:val="en-US"/>
              </w:rPr>
              <w:t>the</w:t>
            </w:r>
            <w:r w:rsidRPr="00E16672">
              <w:rPr>
                <w:rFonts w:ascii="Times New Roman" w:hAnsi="Times New Roman"/>
                <w:sz w:val="16"/>
                <w:szCs w:val="16"/>
              </w:rPr>
              <w:t xml:space="preserve"> </w:t>
            </w:r>
            <w:proofErr w:type="spellStart"/>
            <w:r w:rsidRPr="00E16672">
              <w:rPr>
                <w:rFonts w:ascii="Times New Roman" w:hAnsi="Times New Roman"/>
                <w:sz w:val="16"/>
                <w:szCs w:val="16"/>
              </w:rPr>
              <w:t>securities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is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accounted</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its</w:t>
            </w:r>
            <w:proofErr w:type="spellEnd"/>
            <w:r w:rsidRPr="00E16672">
              <w:rPr>
                <w:rFonts w:ascii="Times New Roman" w:hAnsi="Times New Roman"/>
                <w:sz w:val="16"/>
                <w:szCs w:val="16"/>
              </w:rPr>
              <w:t xml:space="preserve"> </w:t>
            </w:r>
            <w:proofErr w:type="spellStart"/>
            <w:proofErr w:type="gramStart"/>
            <w:r w:rsidRPr="00E16672">
              <w:rPr>
                <w:rFonts w:ascii="Times New Roman" w:hAnsi="Times New Roman"/>
                <w:sz w:val="16"/>
                <w:szCs w:val="16"/>
              </w:rPr>
              <w:t>account</w:t>
            </w:r>
            <w:proofErr w:type="spellEnd"/>
            <w:r w:rsidRPr="00E16672">
              <w:rPr>
                <w:rFonts w:ascii="Times New Roman" w:hAnsi="Times New Roman"/>
                <w:sz w:val="16"/>
                <w:szCs w:val="16"/>
              </w:rPr>
              <w:t xml:space="preserve"> </w:t>
            </w:r>
            <w:r w:rsidRPr="00E16672">
              <w:rPr>
                <w:rFonts w:ascii="Times New Roman" w:hAnsi="Times New Roman"/>
                <w:sz w:val="16"/>
                <w:szCs w:val="16"/>
                <w:lang w:val="en-US"/>
              </w:rPr>
              <w:t xml:space="preserve"> in</w:t>
            </w:r>
            <w:proofErr w:type="gram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securities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authority</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to</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exercise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rights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arising</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from</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securities</w:t>
            </w:r>
            <w:proofErr w:type="spellEnd"/>
            <w:r w:rsidRPr="00E16672">
              <w:rPr>
                <w:rFonts w:ascii="Times New Roman" w:hAnsi="Times New Roman"/>
                <w:sz w:val="16"/>
                <w:szCs w:val="16"/>
              </w:rPr>
              <w:t xml:space="preserve"> </w:t>
            </w:r>
            <w:r w:rsidRPr="00E16672">
              <w:rPr>
                <w:rFonts w:ascii="Times New Roman" w:hAnsi="Times New Roman"/>
                <w:sz w:val="16"/>
                <w:szCs w:val="16"/>
                <w:lang w:val="en-US"/>
              </w:rPr>
              <w:t xml:space="preserve">to </w:t>
            </w:r>
            <w:proofErr w:type="spellStart"/>
            <w:r w:rsidRPr="00E16672">
              <w:rPr>
                <w:rFonts w:ascii="Times New Roman" w:hAnsi="Times New Roman"/>
                <w:sz w:val="16"/>
                <w:szCs w:val="16"/>
              </w:rPr>
              <w:t>account</w:t>
            </w:r>
            <w:proofErr w:type="spellEnd"/>
            <w:r w:rsidRPr="00E16672">
              <w:rPr>
                <w:rFonts w:ascii="Times New Roman" w:hAnsi="Times New Roman"/>
                <w:sz w:val="16"/>
                <w:szCs w:val="16"/>
              </w:rPr>
              <w:t xml:space="preserve"> </w:t>
            </w:r>
            <w:r w:rsidR="00A85ABD" w:rsidRPr="00E16672">
              <w:rPr>
                <w:rFonts w:ascii="Times New Roman" w:hAnsi="Times New Roman"/>
                <w:sz w:val="16"/>
              </w:rPr>
              <w:t>а</w:t>
            </w:r>
            <w:proofErr w:type="spellStart"/>
            <w:r w:rsidR="00A85ABD" w:rsidRPr="00E16672">
              <w:rPr>
                <w:rFonts w:ascii="Times New Roman" w:hAnsi="Times New Roman"/>
                <w:sz w:val="16"/>
                <w:lang w:val="en-US"/>
              </w:rPr>
              <w:t>dministrator</w:t>
            </w:r>
            <w:proofErr w:type="spellEnd"/>
            <w:r w:rsidRPr="00E16672">
              <w:rPr>
                <w:rFonts w:ascii="Times New Roman" w:hAnsi="Times New Roman"/>
                <w:sz w:val="16"/>
                <w:szCs w:val="16"/>
              </w:rPr>
              <w:t>.</w:t>
            </w:r>
          </w:p>
          <w:p w14:paraId="1FAFA0BC" w14:textId="77777777" w:rsidR="003A05A3" w:rsidRPr="00E16672" w:rsidRDefault="003A05A3" w:rsidP="00843027">
            <w:pPr>
              <w:pStyle w:val="210"/>
              <w:tabs>
                <w:tab w:val="left" w:pos="287"/>
                <w:tab w:val="left" w:pos="1191"/>
              </w:tabs>
              <w:ind w:left="145" w:right="100" w:firstLine="0"/>
              <w:rPr>
                <w:rFonts w:ascii="Times New Roman" w:hAnsi="Times New Roman"/>
                <w:sz w:val="16"/>
                <w:szCs w:val="16"/>
                <w:lang w:val="en-GB"/>
              </w:rPr>
            </w:pPr>
          </w:p>
        </w:tc>
      </w:tr>
      <w:tr w:rsidR="00F92811" w:rsidRPr="00F23413" w14:paraId="25664CBB" w14:textId="77777777" w:rsidTr="00242F58">
        <w:trPr>
          <w:trHeight w:val="192"/>
        </w:trPr>
        <w:tc>
          <w:tcPr>
            <w:tcW w:w="5696" w:type="dxa"/>
            <w:gridSpan w:val="8"/>
            <w:shd w:val="clear" w:color="auto" w:fill="auto"/>
          </w:tcPr>
          <w:p w14:paraId="76EB0087" w14:textId="77777777" w:rsidR="00F92811" w:rsidRPr="00E16672" w:rsidRDefault="00F92811" w:rsidP="00F92811">
            <w:pPr>
              <w:pStyle w:val="WW-1"/>
              <w:snapToGrid w:val="0"/>
              <w:ind w:left="175" w:right="138"/>
              <w:jc w:val="both"/>
              <w:rPr>
                <w:rFonts w:eastAsia="Times New Roman"/>
                <w:i w:val="0"/>
                <w:sz w:val="16"/>
                <w:szCs w:val="16"/>
                <w:lang w:val="uk-UA"/>
              </w:rPr>
            </w:pPr>
            <w:r w:rsidRPr="00E16672">
              <w:rPr>
                <w:i w:val="0"/>
                <w:sz w:val="16"/>
                <w:szCs w:val="16"/>
              </w:rPr>
              <w:t>2.4</w:t>
            </w:r>
            <w:r w:rsidRPr="00E16672">
              <w:rPr>
                <w:rFonts w:eastAsia="Times New Roman"/>
                <w:i w:val="0"/>
                <w:sz w:val="16"/>
                <w:szCs w:val="16"/>
                <w:lang w:val="uk-UA"/>
              </w:rPr>
              <w:t xml:space="preserve">.3.  </w:t>
            </w:r>
            <w:proofErr w:type="spellStart"/>
            <w:r w:rsidRPr="00E16672">
              <w:rPr>
                <w:bCs/>
                <w:i w:val="0"/>
                <w:sz w:val="16"/>
              </w:rPr>
              <w:t>Призначити</w:t>
            </w:r>
            <w:proofErr w:type="spellEnd"/>
            <w:r w:rsidRPr="00E16672">
              <w:rPr>
                <w:bCs/>
                <w:i w:val="0"/>
                <w:sz w:val="16"/>
              </w:rPr>
              <w:t xml:space="preserve"> </w:t>
            </w:r>
            <w:proofErr w:type="spellStart"/>
            <w:r w:rsidRPr="00E16672">
              <w:rPr>
                <w:bCs/>
                <w:i w:val="0"/>
                <w:sz w:val="16"/>
              </w:rPr>
              <w:t>керуючого</w:t>
            </w:r>
            <w:proofErr w:type="spellEnd"/>
            <w:r w:rsidRPr="00E16672">
              <w:rPr>
                <w:bCs/>
                <w:i w:val="0"/>
                <w:sz w:val="16"/>
              </w:rPr>
              <w:t xml:space="preserve"> (</w:t>
            </w:r>
            <w:proofErr w:type="spellStart"/>
            <w:r w:rsidRPr="00E16672">
              <w:rPr>
                <w:bCs/>
                <w:i w:val="0"/>
                <w:sz w:val="16"/>
              </w:rPr>
              <w:t>керуючих</w:t>
            </w:r>
            <w:proofErr w:type="spellEnd"/>
            <w:r w:rsidRPr="00E16672">
              <w:rPr>
                <w:bCs/>
                <w:i w:val="0"/>
                <w:sz w:val="16"/>
              </w:rPr>
              <w:t xml:space="preserve">) </w:t>
            </w:r>
            <w:proofErr w:type="spellStart"/>
            <w:r w:rsidRPr="00E16672">
              <w:rPr>
                <w:bCs/>
                <w:i w:val="0"/>
                <w:sz w:val="16"/>
              </w:rPr>
              <w:t>рахунком</w:t>
            </w:r>
            <w:proofErr w:type="spellEnd"/>
            <w:r w:rsidRPr="00E16672">
              <w:rPr>
                <w:bCs/>
                <w:i w:val="0"/>
                <w:sz w:val="16"/>
              </w:rPr>
              <w:t xml:space="preserve"> </w:t>
            </w:r>
            <w:r w:rsidR="00C22309" w:rsidRPr="00E16672">
              <w:rPr>
                <w:bCs/>
                <w:i w:val="0"/>
                <w:sz w:val="16"/>
              </w:rPr>
              <w:t xml:space="preserve">в </w:t>
            </w:r>
            <w:proofErr w:type="spellStart"/>
            <w:r w:rsidR="00C22309" w:rsidRPr="00E16672">
              <w:rPr>
                <w:bCs/>
                <w:i w:val="0"/>
                <w:sz w:val="16"/>
              </w:rPr>
              <w:t>цін</w:t>
            </w:r>
            <w:r w:rsidRPr="00E16672">
              <w:rPr>
                <w:bCs/>
                <w:i w:val="0"/>
                <w:sz w:val="16"/>
              </w:rPr>
              <w:t>них</w:t>
            </w:r>
            <w:proofErr w:type="spellEnd"/>
            <w:r w:rsidRPr="00E16672">
              <w:rPr>
                <w:bCs/>
                <w:i w:val="0"/>
                <w:sz w:val="16"/>
              </w:rPr>
              <w:t xml:space="preserve"> </w:t>
            </w:r>
            <w:proofErr w:type="spellStart"/>
            <w:r w:rsidRPr="00E16672">
              <w:rPr>
                <w:bCs/>
                <w:i w:val="0"/>
                <w:sz w:val="16"/>
              </w:rPr>
              <w:t>паперах</w:t>
            </w:r>
            <w:proofErr w:type="spellEnd"/>
            <w:r w:rsidRPr="00E16672">
              <w:rPr>
                <w:bCs/>
                <w:i w:val="0"/>
                <w:sz w:val="16"/>
              </w:rPr>
              <w:t>.</w:t>
            </w:r>
            <w:r w:rsidRPr="00E16672">
              <w:rPr>
                <w:b/>
                <w:bCs/>
                <w:sz w:val="16"/>
              </w:rPr>
              <w:t xml:space="preserve"> </w:t>
            </w:r>
            <w:r w:rsidRPr="00E16672">
              <w:rPr>
                <w:rFonts w:eastAsia="Times New Roman"/>
                <w:i w:val="0"/>
                <w:sz w:val="16"/>
                <w:szCs w:val="16"/>
                <w:lang w:val="uk-UA"/>
              </w:rPr>
              <w:t xml:space="preserve">Власник має право розділити повноваження з управління рахунком </w:t>
            </w:r>
            <w:r w:rsidR="00C22309" w:rsidRPr="00E16672">
              <w:rPr>
                <w:rFonts w:eastAsia="Times New Roman"/>
                <w:i w:val="0"/>
                <w:sz w:val="16"/>
                <w:szCs w:val="16"/>
                <w:lang w:val="uk-UA"/>
              </w:rPr>
              <w:t>в цін</w:t>
            </w:r>
            <w:r w:rsidRPr="00E16672">
              <w:rPr>
                <w:rFonts w:eastAsia="Times New Roman"/>
                <w:i w:val="0"/>
                <w:sz w:val="16"/>
                <w:szCs w:val="16"/>
                <w:lang w:val="uk-UA"/>
              </w:rPr>
              <w:t>них паперах серед декількох керуючих рахунком. Різним керуючим рахунком - професійним учасникам фондового ринку не можуть делегуватися однакові повноваження. За певним випуском цінних паперів може бути визначений тільки один керуючий рахунком.</w:t>
            </w:r>
          </w:p>
          <w:p w14:paraId="30802238" w14:textId="77777777" w:rsidR="00F92811" w:rsidRPr="00E16672" w:rsidRDefault="00F92811" w:rsidP="00F92811">
            <w:pPr>
              <w:pStyle w:val="WW-1"/>
              <w:ind w:left="175" w:right="138"/>
              <w:jc w:val="both"/>
              <w:rPr>
                <w:rFonts w:eastAsia="Times New Roman"/>
                <w:i w:val="0"/>
                <w:sz w:val="16"/>
                <w:szCs w:val="16"/>
              </w:rPr>
            </w:pPr>
          </w:p>
        </w:tc>
        <w:tc>
          <w:tcPr>
            <w:tcW w:w="5494" w:type="dxa"/>
            <w:gridSpan w:val="6"/>
            <w:shd w:val="clear" w:color="auto" w:fill="auto"/>
          </w:tcPr>
          <w:p w14:paraId="3EAD9CD4" w14:textId="77777777" w:rsidR="00F92811" w:rsidRPr="00E16672" w:rsidRDefault="00F92811" w:rsidP="00F92811">
            <w:pPr>
              <w:tabs>
                <w:tab w:val="left" w:pos="287"/>
              </w:tabs>
              <w:snapToGrid w:val="0"/>
              <w:ind w:left="145" w:right="100" w:firstLine="0"/>
              <w:rPr>
                <w:rFonts w:ascii="Times New Roman" w:hAnsi="Times New Roman"/>
                <w:sz w:val="16"/>
                <w:szCs w:val="16"/>
                <w:lang w:val="en-GB"/>
              </w:rPr>
            </w:pPr>
            <w:r w:rsidRPr="00E16672">
              <w:rPr>
                <w:rFonts w:ascii="Times New Roman" w:hAnsi="Times New Roman"/>
                <w:sz w:val="16"/>
                <w:szCs w:val="16"/>
                <w:lang w:val="en-US"/>
              </w:rPr>
              <w:t>2.4</w:t>
            </w:r>
            <w:r w:rsidRPr="00E16672">
              <w:rPr>
                <w:rFonts w:ascii="Times New Roman" w:hAnsi="Times New Roman"/>
                <w:sz w:val="16"/>
                <w:szCs w:val="16"/>
                <w:lang w:val="en-GB"/>
              </w:rPr>
              <w:t xml:space="preserve">.3. </w:t>
            </w:r>
            <w:r w:rsidRPr="00F23413">
              <w:rPr>
                <w:rFonts w:ascii="Times New Roman" w:hAnsi="Times New Roman"/>
                <w:sz w:val="16"/>
                <w:szCs w:val="16"/>
                <w:lang w:val="en-US"/>
              </w:rPr>
              <w:t>Appoint a manager (manager</w:t>
            </w:r>
            <w:r w:rsidRPr="00E16672">
              <w:rPr>
                <w:rFonts w:ascii="Times New Roman" w:hAnsi="Times New Roman"/>
                <w:sz w:val="16"/>
                <w:szCs w:val="16"/>
                <w:lang w:val="en-US"/>
              </w:rPr>
              <w:t>s</w:t>
            </w:r>
            <w:r w:rsidRPr="00F23413">
              <w:rPr>
                <w:rFonts w:ascii="Times New Roman" w:hAnsi="Times New Roman"/>
                <w:sz w:val="16"/>
                <w:szCs w:val="16"/>
                <w:lang w:val="en-US"/>
              </w:rPr>
              <w:t xml:space="preserve">) </w:t>
            </w:r>
            <w:r w:rsidRPr="00E16672">
              <w:rPr>
                <w:rFonts w:ascii="Times New Roman" w:hAnsi="Times New Roman"/>
                <w:sz w:val="16"/>
                <w:lang w:val="en-US"/>
              </w:rPr>
              <w:t xml:space="preserve">of the account in </w:t>
            </w:r>
            <w:proofErr w:type="gramStart"/>
            <w:r w:rsidRPr="00E16672">
              <w:rPr>
                <w:rFonts w:ascii="Times New Roman" w:hAnsi="Times New Roman"/>
                <w:sz w:val="16"/>
                <w:lang w:val="en-US"/>
              </w:rPr>
              <w:t>securities</w:t>
            </w:r>
            <w:r w:rsidRPr="00F23413">
              <w:rPr>
                <w:rFonts w:ascii="Times New Roman" w:hAnsi="Times New Roman"/>
                <w:sz w:val="16"/>
                <w:szCs w:val="16"/>
                <w:lang w:val="en-US"/>
              </w:rPr>
              <w:t>.</w:t>
            </w:r>
            <w:r w:rsidRPr="00E16672">
              <w:rPr>
                <w:rFonts w:ascii="Times New Roman" w:hAnsi="Times New Roman"/>
                <w:sz w:val="16"/>
                <w:szCs w:val="16"/>
                <w:lang w:val="en-GB"/>
              </w:rPr>
              <w:t>The</w:t>
            </w:r>
            <w:proofErr w:type="gramEnd"/>
            <w:r w:rsidRPr="00E16672">
              <w:rPr>
                <w:rFonts w:ascii="Times New Roman" w:hAnsi="Times New Roman"/>
                <w:sz w:val="16"/>
                <w:szCs w:val="16"/>
                <w:lang w:val="en-GB"/>
              </w:rPr>
              <w:t xml:space="preserve"> owner has the right to  divide the rights of managing of the account in securities between some of the administrator of the account. Different administrator - professional participants of the stock market </w:t>
            </w:r>
            <w:proofErr w:type="spellStart"/>
            <w:r w:rsidRPr="00E16672">
              <w:rPr>
                <w:rFonts w:ascii="Times New Roman" w:hAnsi="Times New Roman"/>
                <w:sz w:val="16"/>
                <w:szCs w:val="16"/>
                <w:lang w:val="en-GB"/>
              </w:rPr>
              <w:t>can not</w:t>
            </w:r>
            <w:proofErr w:type="spellEnd"/>
            <w:r w:rsidRPr="00E16672">
              <w:rPr>
                <w:rFonts w:ascii="Times New Roman" w:hAnsi="Times New Roman"/>
                <w:sz w:val="16"/>
                <w:szCs w:val="16"/>
                <w:lang w:val="en-GB"/>
              </w:rPr>
              <w:t xml:space="preserve"> be delegated the same powers. In particular issue of securities may be </w:t>
            </w:r>
            <w:proofErr w:type="gramStart"/>
            <w:r w:rsidRPr="00E16672">
              <w:rPr>
                <w:rFonts w:ascii="Times New Roman" w:hAnsi="Times New Roman"/>
                <w:sz w:val="16"/>
                <w:szCs w:val="16"/>
                <w:lang w:val="en-GB"/>
              </w:rPr>
              <w:t>determined  only</w:t>
            </w:r>
            <w:proofErr w:type="gramEnd"/>
            <w:r w:rsidRPr="00E16672">
              <w:rPr>
                <w:rFonts w:ascii="Times New Roman" w:hAnsi="Times New Roman"/>
                <w:sz w:val="16"/>
                <w:szCs w:val="16"/>
                <w:lang w:val="en-GB"/>
              </w:rPr>
              <w:t xml:space="preserve"> one administrator account.</w:t>
            </w:r>
          </w:p>
        </w:tc>
      </w:tr>
      <w:tr w:rsidR="00F92811" w:rsidRPr="00F23413" w14:paraId="29DE9E6A" w14:textId="77777777" w:rsidTr="00242F58">
        <w:trPr>
          <w:trHeight w:val="192"/>
        </w:trPr>
        <w:tc>
          <w:tcPr>
            <w:tcW w:w="5696" w:type="dxa"/>
            <w:gridSpan w:val="8"/>
            <w:shd w:val="clear" w:color="auto" w:fill="auto"/>
          </w:tcPr>
          <w:p w14:paraId="609A61FF" w14:textId="77777777" w:rsidR="00F92811" w:rsidRPr="00E16672" w:rsidRDefault="00F92811" w:rsidP="00F92811">
            <w:pPr>
              <w:tabs>
                <w:tab w:val="left" w:pos="709"/>
              </w:tabs>
              <w:snapToGrid w:val="0"/>
              <w:ind w:left="175" w:right="138" w:firstLine="0"/>
              <w:rPr>
                <w:rFonts w:ascii="Times New Roman" w:hAnsi="Times New Roman"/>
                <w:sz w:val="16"/>
                <w:szCs w:val="16"/>
              </w:rPr>
            </w:pPr>
            <w:r w:rsidRPr="00E16672">
              <w:rPr>
                <w:rFonts w:ascii="Times New Roman" w:hAnsi="Times New Roman"/>
                <w:sz w:val="16"/>
                <w:szCs w:val="16"/>
              </w:rPr>
              <w:t xml:space="preserve">2.4.4. </w:t>
            </w:r>
            <w:proofErr w:type="spellStart"/>
            <w:r w:rsidRPr="00E16672">
              <w:rPr>
                <w:rFonts w:ascii="Times New Roman" w:hAnsi="Times New Roman"/>
                <w:sz w:val="16"/>
                <w:szCs w:val="16"/>
              </w:rPr>
              <w:t>Вимагати</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від</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Депозитарної</w:t>
            </w:r>
            <w:proofErr w:type="spellEnd"/>
            <w:r w:rsidRPr="00E16672">
              <w:rPr>
                <w:rFonts w:ascii="Times New Roman" w:hAnsi="Times New Roman"/>
                <w:sz w:val="16"/>
                <w:szCs w:val="16"/>
              </w:rPr>
              <w:t xml:space="preserve"> установи </w:t>
            </w:r>
            <w:proofErr w:type="spellStart"/>
            <w:r w:rsidRPr="00E16672">
              <w:rPr>
                <w:rFonts w:ascii="Times New Roman" w:hAnsi="Times New Roman"/>
                <w:sz w:val="16"/>
                <w:szCs w:val="16"/>
              </w:rPr>
              <w:t>своєчасного</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виконання</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своїх</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розпоряджень</w:t>
            </w:r>
            <w:proofErr w:type="spellEnd"/>
            <w:r w:rsidRPr="00E16672">
              <w:rPr>
                <w:rFonts w:ascii="Times New Roman" w:hAnsi="Times New Roman"/>
                <w:sz w:val="16"/>
                <w:szCs w:val="16"/>
              </w:rPr>
              <w:t xml:space="preserve"> на </w:t>
            </w:r>
            <w:proofErr w:type="spellStart"/>
            <w:r w:rsidRPr="00E16672">
              <w:rPr>
                <w:rFonts w:ascii="Times New Roman" w:hAnsi="Times New Roman"/>
                <w:sz w:val="16"/>
                <w:szCs w:val="16"/>
              </w:rPr>
              <w:t>рахунку</w:t>
            </w:r>
            <w:proofErr w:type="spellEnd"/>
            <w:r w:rsidRPr="00E16672">
              <w:rPr>
                <w:rFonts w:ascii="Times New Roman" w:hAnsi="Times New Roman"/>
                <w:sz w:val="16"/>
                <w:szCs w:val="16"/>
              </w:rPr>
              <w:t xml:space="preserve"> </w:t>
            </w:r>
            <w:r w:rsidR="00C22309" w:rsidRPr="00E16672">
              <w:rPr>
                <w:rFonts w:ascii="Times New Roman" w:hAnsi="Times New Roman"/>
                <w:sz w:val="16"/>
                <w:szCs w:val="16"/>
              </w:rPr>
              <w:t xml:space="preserve">в </w:t>
            </w:r>
            <w:proofErr w:type="spellStart"/>
            <w:r w:rsidR="00C22309" w:rsidRPr="00E16672">
              <w:rPr>
                <w:rFonts w:ascii="Times New Roman" w:hAnsi="Times New Roman"/>
                <w:sz w:val="16"/>
                <w:szCs w:val="16"/>
              </w:rPr>
              <w:t>цін</w:t>
            </w:r>
            <w:r w:rsidRPr="00E16672">
              <w:rPr>
                <w:rFonts w:ascii="Times New Roman" w:hAnsi="Times New Roman"/>
                <w:sz w:val="16"/>
                <w:szCs w:val="16"/>
              </w:rPr>
              <w:t>них</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паперах</w:t>
            </w:r>
            <w:proofErr w:type="spellEnd"/>
            <w:r w:rsidRPr="00E16672">
              <w:rPr>
                <w:rFonts w:ascii="Times New Roman" w:hAnsi="Times New Roman"/>
                <w:sz w:val="16"/>
                <w:szCs w:val="16"/>
              </w:rPr>
              <w:t xml:space="preserve"> та </w:t>
            </w:r>
            <w:proofErr w:type="spellStart"/>
            <w:r w:rsidRPr="00E16672">
              <w:rPr>
                <w:rFonts w:ascii="Times New Roman" w:hAnsi="Times New Roman"/>
                <w:sz w:val="16"/>
                <w:szCs w:val="16"/>
              </w:rPr>
              <w:t>отримувати</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відповідно</w:t>
            </w:r>
            <w:proofErr w:type="spellEnd"/>
            <w:r w:rsidRPr="00E16672">
              <w:rPr>
                <w:rFonts w:ascii="Times New Roman" w:hAnsi="Times New Roman"/>
                <w:sz w:val="16"/>
                <w:szCs w:val="16"/>
              </w:rPr>
              <w:t xml:space="preserve"> до умов Договору </w:t>
            </w:r>
            <w:proofErr w:type="spellStart"/>
            <w:r w:rsidRPr="00E16672">
              <w:rPr>
                <w:rFonts w:ascii="Times New Roman" w:hAnsi="Times New Roman"/>
                <w:sz w:val="16"/>
                <w:szCs w:val="16"/>
              </w:rPr>
              <w:t>повну</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інформацію</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щодо</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цінних</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паперів</w:t>
            </w:r>
            <w:proofErr w:type="spellEnd"/>
            <w:r w:rsidRPr="00E16672">
              <w:rPr>
                <w:rFonts w:ascii="Times New Roman" w:hAnsi="Times New Roman"/>
                <w:sz w:val="16"/>
                <w:szCs w:val="16"/>
              </w:rPr>
              <w:t xml:space="preserve">, прав на </w:t>
            </w:r>
            <w:proofErr w:type="spellStart"/>
            <w:r w:rsidRPr="00E16672">
              <w:rPr>
                <w:rFonts w:ascii="Times New Roman" w:hAnsi="Times New Roman"/>
                <w:sz w:val="16"/>
                <w:szCs w:val="16"/>
              </w:rPr>
              <w:t>цінні</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папери</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які</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обліковуються</w:t>
            </w:r>
            <w:proofErr w:type="spellEnd"/>
            <w:r w:rsidRPr="00E16672">
              <w:rPr>
                <w:rFonts w:ascii="Times New Roman" w:hAnsi="Times New Roman"/>
                <w:sz w:val="16"/>
                <w:szCs w:val="16"/>
              </w:rPr>
              <w:t xml:space="preserve"> на </w:t>
            </w:r>
            <w:proofErr w:type="spellStart"/>
            <w:r w:rsidRPr="00E16672">
              <w:rPr>
                <w:rFonts w:ascii="Times New Roman" w:hAnsi="Times New Roman"/>
                <w:sz w:val="16"/>
                <w:szCs w:val="16"/>
              </w:rPr>
              <w:t>рахунку</w:t>
            </w:r>
            <w:proofErr w:type="spellEnd"/>
            <w:r w:rsidRPr="00E16672">
              <w:rPr>
                <w:rFonts w:ascii="Times New Roman" w:hAnsi="Times New Roman"/>
                <w:sz w:val="16"/>
                <w:szCs w:val="16"/>
              </w:rPr>
              <w:t xml:space="preserve"> </w:t>
            </w:r>
            <w:r w:rsidR="00C22309" w:rsidRPr="00E16672">
              <w:rPr>
                <w:rFonts w:ascii="Times New Roman" w:hAnsi="Times New Roman"/>
                <w:sz w:val="16"/>
                <w:szCs w:val="16"/>
              </w:rPr>
              <w:t xml:space="preserve">в </w:t>
            </w:r>
            <w:proofErr w:type="spellStart"/>
            <w:r w:rsidR="00C22309" w:rsidRPr="00E16672">
              <w:rPr>
                <w:rFonts w:ascii="Times New Roman" w:hAnsi="Times New Roman"/>
                <w:sz w:val="16"/>
                <w:szCs w:val="16"/>
              </w:rPr>
              <w:t>цін</w:t>
            </w:r>
            <w:r w:rsidRPr="00E16672">
              <w:rPr>
                <w:rFonts w:ascii="Times New Roman" w:hAnsi="Times New Roman"/>
                <w:sz w:val="16"/>
                <w:szCs w:val="16"/>
              </w:rPr>
              <w:t>них</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паперах</w:t>
            </w:r>
            <w:proofErr w:type="spellEnd"/>
            <w:r w:rsidRPr="00E16672">
              <w:rPr>
                <w:rFonts w:ascii="Times New Roman" w:hAnsi="Times New Roman"/>
                <w:sz w:val="16"/>
                <w:szCs w:val="16"/>
              </w:rPr>
              <w:t xml:space="preserve"> </w:t>
            </w:r>
            <w:r w:rsidRPr="00E16672">
              <w:rPr>
                <w:rFonts w:ascii="Times New Roman" w:hAnsi="Times New Roman"/>
                <w:sz w:val="16"/>
                <w:szCs w:val="16"/>
                <w:lang w:val="uk-UA"/>
              </w:rPr>
              <w:t>Депонента</w:t>
            </w:r>
            <w:r w:rsidRPr="00E16672">
              <w:rPr>
                <w:rFonts w:ascii="Times New Roman" w:hAnsi="Times New Roman"/>
                <w:sz w:val="16"/>
                <w:szCs w:val="16"/>
              </w:rPr>
              <w:t>.</w:t>
            </w:r>
          </w:p>
          <w:p w14:paraId="1DAE5918" w14:textId="77777777" w:rsidR="00F92811" w:rsidRPr="00E16672" w:rsidRDefault="00F92811" w:rsidP="00F92811">
            <w:pPr>
              <w:tabs>
                <w:tab w:val="left" w:pos="709"/>
              </w:tabs>
              <w:ind w:left="175" w:right="138"/>
              <w:rPr>
                <w:rFonts w:ascii="Times New Roman" w:hAnsi="Times New Roman"/>
                <w:sz w:val="16"/>
                <w:szCs w:val="16"/>
              </w:rPr>
            </w:pPr>
          </w:p>
        </w:tc>
        <w:tc>
          <w:tcPr>
            <w:tcW w:w="5494" w:type="dxa"/>
            <w:gridSpan w:val="6"/>
            <w:shd w:val="clear" w:color="auto" w:fill="auto"/>
          </w:tcPr>
          <w:p w14:paraId="449C9EF2" w14:textId="77777777" w:rsidR="00F92811" w:rsidRPr="00E16672" w:rsidRDefault="00F92811" w:rsidP="00F92811">
            <w:pPr>
              <w:tabs>
                <w:tab w:val="left" w:pos="287"/>
              </w:tabs>
              <w:snapToGrid w:val="0"/>
              <w:ind w:left="145" w:right="100" w:firstLine="0"/>
              <w:rPr>
                <w:rFonts w:ascii="Times New Roman" w:hAnsi="Times New Roman"/>
                <w:sz w:val="16"/>
                <w:szCs w:val="16"/>
                <w:lang w:val="en-GB"/>
              </w:rPr>
            </w:pPr>
            <w:r w:rsidRPr="00E16672">
              <w:rPr>
                <w:rFonts w:ascii="Times New Roman" w:hAnsi="Times New Roman"/>
                <w:sz w:val="16"/>
                <w:szCs w:val="16"/>
                <w:lang w:val="en-US"/>
              </w:rPr>
              <w:t>2.4</w:t>
            </w:r>
            <w:r w:rsidRPr="00E16672">
              <w:rPr>
                <w:rFonts w:ascii="Times New Roman" w:hAnsi="Times New Roman"/>
                <w:sz w:val="16"/>
                <w:szCs w:val="16"/>
                <w:lang w:val="en-GB"/>
              </w:rPr>
              <w:t>.</w:t>
            </w:r>
            <w:r w:rsidRPr="00E16672">
              <w:rPr>
                <w:rFonts w:ascii="Times New Roman" w:hAnsi="Times New Roman"/>
                <w:sz w:val="16"/>
                <w:szCs w:val="16"/>
                <w:lang w:val="en-US"/>
              </w:rPr>
              <w:t>4</w:t>
            </w:r>
            <w:r w:rsidRPr="00E16672">
              <w:rPr>
                <w:rFonts w:ascii="Times New Roman" w:hAnsi="Times New Roman"/>
                <w:sz w:val="16"/>
                <w:szCs w:val="16"/>
                <w:lang w:val="en-GB"/>
              </w:rPr>
              <w:t xml:space="preserve">. To demand the Depository institution to keep the terms of execution of the orders on the account in </w:t>
            </w:r>
            <w:proofErr w:type="gramStart"/>
            <w:r w:rsidRPr="00E16672">
              <w:rPr>
                <w:rFonts w:ascii="Times New Roman" w:hAnsi="Times New Roman"/>
                <w:sz w:val="16"/>
                <w:szCs w:val="16"/>
                <w:lang w:val="en-GB"/>
              </w:rPr>
              <w:t>securities  and</w:t>
            </w:r>
            <w:proofErr w:type="gramEnd"/>
            <w:r w:rsidRPr="00E16672">
              <w:rPr>
                <w:rFonts w:ascii="Times New Roman" w:hAnsi="Times New Roman"/>
                <w:sz w:val="16"/>
                <w:szCs w:val="16"/>
                <w:lang w:val="en-GB"/>
              </w:rPr>
              <w:t xml:space="preserve"> receive pursuant to the terms of the Agreement full information concerning securities, rights on securities that are registered on  the account in securities of Depositor.</w:t>
            </w:r>
          </w:p>
          <w:p w14:paraId="478A90B7" w14:textId="77777777" w:rsidR="00F92811" w:rsidRPr="00E16672" w:rsidRDefault="00F92811" w:rsidP="00F92811">
            <w:pPr>
              <w:tabs>
                <w:tab w:val="left" w:pos="287"/>
              </w:tabs>
              <w:snapToGrid w:val="0"/>
              <w:ind w:left="145" w:right="100"/>
              <w:rPr>
                <w:rFonts w:ascii="Times New Roman" w:hAnsi="Times New Roman"/>
                <w:sz w:val="16"/>
                <w:szCs w:val="16"/>
                <w:lang w:val="en-US"/>
              </w:rPr>
            </w:pPr>
          </w:p>
        </w:tc>
      </w:tr>
      <w:tr w:rsidR="003A05A3" w:rsidRPr="00F23413" w14:paraId="1FB190D1" w14:textId="77777777" w:rsidTr="00242F58">
        <w:trPr>
          <w:trHeight w:val="192"/>
        </w:trPr>
        <w:tc>
          <w:tcPr>
            <w:tcW w:w="5696" w:type="dxa"/>
            <w:gridSpan w:val="8"/>
            <w:shd w:val="clear" w:color="auto" w:fill="auto"/>
          </w:tcPr>
          <w:p w14:paraId="5C700B7E" w14:textId="77777777" w:rsidR="003A05A3" w:rsidRPr="00E16672" w:rsidRDefault="003A05A3" w:rsidP="00843027">
            <w:pPr>
              <w:pStyle w:val="WW-1"/>
              <w:tabs>
                <w:tab w:val="left" w:pos="709"/>
              </w:tabs>
              <w:snapToGrid w:val="0"/>
              <w:ind w:left="175" w:right="138"/>
              <w:jc w:val="both"/>
              <w:rPr>
                <w:rFonts w:eastAsia="Times New Roman"/>
                <w:i w:val="0"/>
                <w:sz w:val="16"/>
                <w:szCs w:val="16"/>
                <w:lang w:val="uk-UA"/>
              </w:rPr>
            </w:pPr>
            <w:r w:rsidRPr="00E16672">
              <w:rPr>
                <w:i w:val="0"/>
                <w:sz w:val="16"/>
                <w:szCs w:val="16"/>
              </w:rPr>
              <w:t>2.4</w:t>
            </w:r>
            <w:r w:rsidRPr="00E16672">
              <w:rPr>
                <w:rFonts w:eastAsia="Times New Roman"/>
                <w:i w:val="0"/>
                <w:sz w:val="16"/>
                <w:szCs w:val="16"/>
                <w:lang w:val="uk-UA"/>
              </w:rPr>
              <w:t>.</w:t>
            </w:r>
            <w:r w:rsidRPr="00E16672">
              <w:rPr>
                <w:rFonts w:eastAsia="Times New Roman"/>
                <w:i w:val="0"/>
                <w:sz w:val="16"/>
                <w:szCs w:val="16"/>
              </w:rPr>
              <w:t>5</w:t>
            </w:r>
            <w:r w:rsidRPr="00E16672">
              <w:rPr>
                <w:rFonts w:eastAsia="Times New Roman"/>
                <w:i w:val="0"/>
                <w:sz w:val="16"/>
                <w:szCs w:val="16"/>
                <w:lang w:val="uk-UA"/>
              </w:rPr>
              <w:t xml:space="preserve">. Вимагати від Депозитарної установи виконання умов обслуговування </w:t>
            </w:r>
            <w:proofErr w:type="spellStart"/>
            <w:r w:rsidRPr="00E16672">
              <w:rPr>
                <w:rFonts w:eastAsia="Times New Roman"/>
                <w:i w:val="0"/>
                <w:sz w:val="16"/>
                <w:szCs w:val="16"/>
                <w:lang w:val="uk-UA"/>
              </w:rPr>
              <w:t>обіг</w:t>
            </w:r>
            <w:r w:rsidR="00C22309" w:rsidRPr="00E16672">
              <w:rPr>
                <w:rFonts w:eastAsia="Times New Roman"/>
                <w:i w:val="0"/>
                <w:sz w:val="16"/>
                <w:szCs w:val="16"/>
                <w:lang w:val="uk-UA"/>
              </w:rPr>
              <w:t>в</w:t>
            </w:r>
            <w:proofErr w:type="spellEnd"/>
            <w:r w:rsidR="00C22309" w:rsidRPr="00E16672">
              <w:rPr>
                <w:rFonts w:eastAsia="Times New Roman"/>
                <w:i w:val="0"/>
                <w:sz w:val="16"/>
                <w:szCs w:val="16"/>
                <w:lang w:val="uk-UA"/>
              </w:rPr>
              <w:t xml:space="preserve"> цін</w:t>
            </w:r>
            <w:r w:rsidRPr="00E16672">
              <w:rPr>
                <w:rFonts w:eastAsia="Times New Roman"/>
                <w:i w:val="0"/>
                <w:sz w:val="16"/>
                <w:szCs w:val="16"/>
                <w:lang w:val="uk-UA"/>
              </w:rPr>
              <w:t xml:space="preserve">них паперів на рахунку </w:t>
            </w:r>
            <w:r w:rsidR="00C22309" w:rsidRPr="00E16672">
              <w:rPr>
                <w:rFonts w:eastAsia="Times New Roman"/>
                <w:i w:val="0"/>
                <w:sz w:val="16"/>
                <w:szCs w:val="16"/>
                <w:lang w:val="uk-UA"/>
              </w:rPr>
              <w:t>в цін</w:t>
            </w:r>
            <w:r w:rsidRPr="00E16672">
              <w:rPr>
                <w:rFonts w:eastAsia="Times New Roman"/>
                <w:i w:val="0"/>
                <w:sz w:val="16"/>
                <w:szCs w:val="16"/>
                <w:lang w:val="uk-UA"/>
              </w:rPr>
              <w:t xml:space="preserve">них паперах Депонента, обліку прав на цінні папери та їх обмежень на рахунках </w:t>
            </w:r>
            <w:r w:rsidR="00C22309" w:rsidRPr="00E16672">
              <w:rPr>
                <w:rFonts w:eastAsia="Times New Roman"/>
                <w:i w:val="0"/>
                <w:sz w:val="16"/>
                <w:szCs w:val="16"/>
                <w:lang w:val="uk-UA"/>
              </w:rPr>
              <w:t>в цін</w:t>
            </w:r>
            <w:r w:rsidRPr="00E16672">
              <w:rPr>
                <w:rFonts w:eastAsia="Times New Roman"/>
                <w:i w:val="0"/>
                <w:sz w:val="16"/>
                <w:szCs w:val="16"/>
                <w:lang w:val="uk-UA"/>
              </w:rPr>
              <w:t>них паперах Депонент</w:t>
            </w:r>
            <w:r w:rsidRPr="00E16672">
              <w:rPr>
                <w:rFonts w:eastAsia="Times New Roman"/>
                <w:i w:val="0"/>
                <w:sz w:val="16"/>
                <w:szCs w:val="16"/>
                <w:lang w:val="en-US"/>
              </w:rPr>
              <w:t>a</w:t>
            </w:r>
            <w:r w:rsidRPr="00E16672">
              <w:rPr>
                <w:rFonts w:eastAsia="Times New Roman"/>
                <w:i w:val="0"/>
                <w:sz w:val="16"/>
                <w:szCs w:val="16"/>
                <w:lang w:val="uk-UA"/>
              </w:rPr>
              <w:t>.</w:t>
            </w:r>
          </w:p>
          <w:p w14:paraId="5175C973" w14:textId="77777777" w:rsidR="003A05A3" w:rsidRPr="00E16672" w:rsidRDefault="003A05A3" w:rsidP="00843027">
            <w:pPr>
              <w:pStyle w:val="WW-1"/>
              <w:tabs>
                <w:tab w:val="left" w:pos="709"/>
              </w:tabs>
              <w:ind w:left="175" w:right="138"/>
              <w:jc w:val="both"/>
              <w:rPr>
                <w:rFonts w:eastAsia="Times New Roman"/>
                <w:i w:val="0"/>
                <w:sz w:val="16"/>
                <w:szCs w:val="16"/>
              </w:rPr>
            </w:pPr>
          </w:p>
        </w:tc>
        <w:tc>
          <w:tcPr>
            <w:tcW w:w="5494" w:type="dxa"/>
            <w:gridSpan w:val="6"/>
            <w:shd w:val="clear" w:color="auto" w:fill="auto"/>
          </w:tcPr>
          <w:p w14:paraId="2EBE111A" w14:textId="77777777" w:rsidR="003A05A3" w:rsidRPr="00E16672" w:rsidRDefault="003A05A3" w:rsidP="00843027">
            <w:pPr>
              <w:pStyle w:val="210"/>
              <w:tabs>
                <w:tab w:val="left" w:pos="287"/>
                <w:tab w:val="left" w:pos="1191"/>
              </w:tabs>
              <w:snapToGrid w:val="0"/>
              <w:ind w:left="145" w:right="100" w:firstLine="0"/>
              <w:rPr>
                <w:rFonts w:ascii="Times New Roman" w:hAnsi="Times New Roman"/>
                <w:sz w:val="16"/>
                <w:szCs w:val="16"/>
                <w:lang w:val="en-GB"/>
              </w:rPr>
            </w:pPr>
            <w:r w:rsidRPr="00E16672">
              <w:rPr>
                <w:rFonts w:ascii="Times New Roman" w:hAnsi="Times New Roman"/>
                <w:sz w:val="16"/>
                <w:szCs w:val="16"/>
                <w:lang w:val="en-US"/>
              </w:rPr>
              <w:t>2.4</w:t>
            </w:r>
            <w:r w:rsidRPr="00E16672">
              <w:rPr>
                <w:rFonts w:ascii="Times New Roman" w:hAnsi="Times New Roman"/>
                <w:sz w:val="16"/>
                <w:szCs w:val="16"/>
                <w:lang w:val="en-GB"/>
              </w:rPr>
              <w:t xml:space="preserve">.5. To demand the Depository institution to keep the conditions of servicing of securities and </w:t>
            </w:r>
            <w:proofErr w:type="gramStart"/>
            <w:r w:rsidRPr="00E16672">
              <w:rPr>
                <w:rFonts w:ascii="Times New Roman" w:hAnsi="Times New Roman"/>
                <w:sz w:val="16"/>
                <w:szCs w:val="16"/>
                <w:lang w:val="en-GB"/>
              </w:rPr>
              <w:t>on  the</w:t>
            </w:r>
            <w:proofErr w:type="gramEnd"/>
            <w:r w:rsidRPr="00E16672">
              <w:rPr>
                <w:rFonts w:ascii="Times New Roman" w:hAnsi="Times New Roman"/>
                <w:sz w:val="16"/>
                <w:szCs w:val="16"/>
                <w:lang w:val="en-GB"/>
              </w:rPr>
              <w:t xml:space="preserve"> account in securities of Depositor, accounting of  rights on securities and restrictions on the accounts in securities of Depositor .</w:t>
            </w:r>
          </w:p>
          <w:p w14:paraId="4CA2E17F" w14:textId="77777777" w:rsidR="003A05A3" w:rsidRPr="00E16672" w:rsidRDefault="003A05A3" w:rsidP="00843027">
            <w:pPr>
              <w:tabs>
                <w:tab w:val="left" w:pos="287"/>
              </w:tabs>
              <w:ind w:left="145" w:right="100"/>
              <w:jc w:val="center"/>
              <w:rPr>
                <w:rFonts w:ascii="Times New Roman" w:hAnsi="Times New Roman"/>
                <w:b/>
                <w:bCs/>
                <w:sz w:val="16"/>
                <w:szCs w:val="16"/>
                <w:lang w:val="en-GB"/>
              </w:rPr>
            </w:pPr>
          </w:p>
        </w:tc>
      </w:tr>
      <w:tr w:rsidR="00F92811" w:rsidRPr="00F23413" w14:paraId="5ECEAE22" w14:textId="77777777" w:rsidTr="00242F58">
        <w:trPr>
          <w:trHeight w:val="192"/>
        </w:trPr>
        <w:tc>
          <w:tcPr>
            <w:tcW w:w="5696" w:type="dxa"/>
            <w:gridSpan w:val="8"/>
            <w:shd w:val="clear" w:color="auto" w:fill="auto"/>
          </w:tcPr>
          <w:p w14:paraId="7A0D66EE" w14:textId="77777777" w:rsidR="00F92811" w:rsidRPr="00E16672" w:rsidRDefault="00F92811" w:rsidP="00F92811">
            <w:pPr>
              <w:pStyle w:val="WW-1"/>
              <w:tabs>
                <w:tab w:val="left" w:pos="709"/>
              </w:tabs>
              <w:snapToGrid w:val="0"/>
              <w:ind w:left="175" w:right="138"/>
              <w:jc w:val="both"/>
              <w:rPr>
                <w:rFonts w:eastAsia="Times New Roman"/>
                <w:i w:val="0"/>
                <w:sz w:val="16"/>
                <w:szCs w:val="16"/>
                <w:lang w:val="uk-UA"/>
              </w:rPr>
            </w:pPr>
            <w:r w:rsidRPr="00E16672">
              <w:rPr>
                <w:i w:val="0"/>
                <w:sz w:val="16"/>
                <w:szCs w:val="16"/>
              </w:rPr>
              <w:t>2.4</w:t>
            </w:r>
            <w:r w:rsidRPr="00E16672">
              <w:rPr>
                <w:rFonts w:eastAsia="Times New Roman"/>
                <w:i w:val="0"/>
                <w:sz w:val="16"/>
                <w:szCs w:val="16"/>
                <w:lang w:val="uk-UA"/>
              </w:rPr>
              <w:t>.</w:t>
            </w:r>
            <w:r w:rsidRPr="00E16672">
              <w:rPr>
                <w:rFonts w:eastAsia="Times New Roman"/>
                <w:i w:val="0"/>
                <w:sz w:val="16"/>
                <w:szCs w:val="16"/>
              </w:rPr>
              <w:t>6</w:t>
            </w:r>
            <w:r w:rsidRPr="00E16672">
              <w:rPr>
                <w:rFonts w:eastAsia="Times New Roman"/>
                <w:i w:val="0"/>
                <w:sz w:val="16"/>
                <w:szCs w:val="16"/>
                <w:lang w:val="uk-UA"/>
              </w:rPr>
              <w:t xml:space="preserve">. У випадку початку Депозитарною установою  процедури припинення </w:t>
            </w:r>
            <w:r w:rsidRPr="00E16672">
              <w:rPr>
                <w:rFonts w:eastAsia="Times New Roman"/>
                <w:i w:val="0"/>
                <w:sz w:val="16"/>
                <w:szCs w:val="16"/>
                <w:lang w:val="uk-UA"/>
              </w:rPr>
              <w:lastRenderedPageBreak/>
              <w:t xml:space="preserve">ним провадження професійної діяльності на фондовому ринку - депозитарної діяльності, а саме депозитарної діяльності депозитарної установи відповідно до вимог  нормативно-правового </w:t>
            </w:r>
            <w:proofErr w:type="spellStart"/>
            <w:r w:rsidRPr="00E16672">
              <w:rPr>
                <w:rFonts w:eastAsia="Times New Roman"/>
                <w:i w:val="0"/>
                <w:sz w:val="16"/>
                <w:szCs w:val="16"/>
                <w:lang w:val="uk-UA"/>
              </w:rPr>
              <w:t>акта</w:t>
            </w:r>
            <w:proofErr w:type="spellEnd"/>
            <w:r w:rsidRPr="00E16672">
              <w:rPr>
                <w:rFonts w:eastAsia="Times New Roman"/>
                <w:i w:val="0"/>
                <w:sz w:val="16"/>
                <w:szCs w:val="16"/>
                <w:lang w:val="uk-UA"/>
              </w:rPr>
              <w:t xml:space="preserve"> щодо припинення депозитарної діяльності депозитарної установи, надавати тільки ті розпорядження щодо  цінних паперів, що належать йому, виконання яких не заборонено законодавством.</w:t>
            </w:r>
          </w:p>
          <w:p w14:paraId="6F32C3D3" w14:textId="77777777" w:rsidR="00F92811" w:rsidRPr="00E16672" w:rsidRDefault="00F92811" w:rsidP="00F92811">
            <w:pPr>
              <w:pStyle w:val="WW-1"/>
              <w:tabs>
                <w:tab w:val="left" w:pos="709"/>
              </w:tabs>
              <w:ind w:left="175" w:right="138"/>
              <w:jc w:val="both"/>
              <w:rPr>
                <w:rFonts w:eastAsia="Times New Roman"/>
                <w:i w:val="0"/>
                <w:sz w:val="16"/>
                <w:szCs w:val="16"/>
              </w:rPr>
            </w:pPr>
          </w:p>
        </w:tc>
        <w:tc>
          <w:tcPr>
            <w:tcW w:w="5494" w:type="dxa"/>
            <w:gridSpan w:val="6"/>
            <w:shd w:val="clear" w:color="auto" w:fill="auto"/>
          </w:tcPr>
          <w:p w14:paraId="098F702A" w14:textId="77777777" w:rsidR="00F92811" w:rsidRPr="00E16672" w:rsidRDefault="00F92811" w:rsidP="00F92811">
            <w:pPr>
              <w:pStyle w:val="210"/>
              <w:tabs>
                <w:tab w:val="left" w:pos="287"/>
                <w:tab w:val="left" w:pos="1191"/>
              </w:tabs>
              <w:snapToGrid w:val="0"/>
              <w:ind w:left="145" w:right="100" w:firstLine="0"/>
              <w:rPr>
                <w:rFonts w:ascii="Times New Roman" w:hAnsi="Times New Roman"/>
                <w:sz w:val="16"/>
                <w:szCs w:val="16"/>
              </w:rPr>
            </w:pPr>
            <w:r w:rsidRPr="00E16672">
              <w:rPr>
                <w:rFonts w:ascii="Times New Roman" w:hAnsi="Times New Roman"/>
                <w:sz w:val="16"/>
                <w:szCs w:val="16"/>
                <w:lang w:val="en-US"/>
              </w:rPr>
              <w:lastRenderedPageBreak/>
              <w:t>2.4</w:t>
            </w:r>
            <w:r w:rsidRPr="00E16672">
              <w:rPr>
                <w:rFonts w:ascii="Times New Roman" w:hAnsi="Times New Roman"/>
                <w:sz w:val="16"/>
                <w:szCs w:val="16"/>
              </w:rPr>
              <w:t>.</w:t>
            </w:r>
            <w:r w:rsidRPr="00E16672">
              <w:rPr>
                <w:rFonts w:ascii="Times New Roman" w:hAnsi="Times New Roman"/>
                <w:sz w:val="16"/>
                <w:szCs w:val="16"/>
                <w:lang w:val="en-US"/>
              </w:rPr>
              <w:t>6</w:t>
            </w:r>
            <w:r w:rsidRPr="00E16672">
              <w:rPr>
                <w:rFonts w:ascii="Times New Roman" w:hAnsi="Times New Roman"/>
                <w:sz w:val="16"/>
                <w:szCs w:val="16"/>
              </w:rPr>
              <w:t xml:space="preserve">. </w:t>
            </w:r>
            <w:proofErr w:type="spellStart"/>
            <w:r w:rsidRPr="00E16672">
              <w:rPr>
                <w:rFonts w:ascii="Times New Roman" w:hAnsi="Times New Roman"/>
                <w:sz w:val="16"/>
                <w:szCs w:val="16"/>
              </w:rPr>
              <w:t>In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case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beginning</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by</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Depository</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institution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procedure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of</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stopping</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lastRenderedPageBreak/>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exercise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of</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professional</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activity</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stock</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market</w:t>
            </w:r>
            <w:proofErr w:type="spellEnd"/>
            <w:r w:rsidRPr="00E16672">
              <w:rPr>
                <w:rFonts w:ascii="Times New Roman" w:hAnsi="Times New Roman"/>
                <w:sz w:val="16"/>
                <w:szCs w:val="16"/>
              </w:rPr>
              <w:t xml:space="preserve"> - </w:t>
            </w:r>
            <w:proofErr w:type="spellStart"/>
            <w:r w:rsidRPr="00E16672">
              <w:rPr>
                <w:rFonts w:ascii="Times New Roman" w:hAnsi="Times New Roman"/>
                <w:sz w:val="16"/>
                <w:szCs w:val="16"/>
              </w:rPr>
              <w:t>depository</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activities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of</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Depository</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institution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in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accordance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with</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legal</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act</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as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to</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stopping</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depository</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activity</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of</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Depository</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institution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provide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only</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orders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of</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securities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owned</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by</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him</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performance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of</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which</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is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not</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prohibited</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by</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law</w:t>
            </w:r>
            <w:proofErr w:type="spellEnd"/>
            <w:r w:rsidRPr="00E16672">
              <w:rPr>
                <w:rFonts w:ascii="Times New Roman" w:hAnsi="Times New Roman"/>
                <w:sz w:val="16"/>
                <w:szCs w:val="16"/>
              </w:rPr>
              <w:t>.</w:t>
            </w:r>
          </w:p>
        </w:tc>
      </w:tr>
      <w:tr w:rsidR="003A05A3" w:rsidRPr="00F23413" w14:paraId="4FD7DF3B" w14:textId="77777777" w:rsidTr="00242F58">
        <w:trPr>
          <w:trHeight w:val="192"/>
        </w:trPr>
        <w:tc>
          <w:tcPr>
            <w:tcW w:w="5696" w:type="dxa"/>
            <w:gridSpan w:val="8"/>
            <w:shd w:val="clear" w:color="auto" w:fill="auto"/>
          </w:tcPr>
          <w:p w14:paraId="39FB3501" w14:textId="77777777" w:rsidR="003A05A3" w:rsidRPr="00E16672" w:rsidRDefault="003A05A3" w:rsidP="00022F5F">
            <w:pPr>
              <w:ind w:left="175" w:right="138" w:firstLine="0"/>
              <w:jc w:val="left"/>
              <w:rPr>
                <w:rFonts w:ascii="Times New Roman" w:hAnsi="Times New Roman"/>
                <w:color w:val="000000"/>
                <w:sz w:val="16"/>
                <w:szCs w:val="16"/>
                <w:lang w:val="uk-UA"/>
              </w:rPr>
            </w:pPr>
            <w:r w:rsidRPr="00E16672">
              <w:rPr>
                <w:rFonts w:ascii="Times New Roman" w:hAnsi="Times New Roman"/>
                <w:color w:val="000000"/>
                <w:sz w:val="16"/>
                <w:szCs w:val="16"/>
                <w:lang w:val="uk-UA"/>
              </w:rPr>
              <w:lastRenderedPageBreak/>
              <w:t xml:space="preserve">2.4.7. </w:t>
            </w:r>
            <w:r w:rsidRPr="00E16672">
              <w:rPr>
                <w:rFonts w:ascii="Times New Roman" w:hAnsi="Times New Roman"/>
                <w:bCs/>
                <w:color w:val="000000"/>
                <w:sz w:val="16"/>
                <w:szCs w:val="16"/>
                <w:lang w:val="uk-UA"/>
              </w:rPr>
              <w:t>Н</w:t>
            </w:r>
            <w:r w:rsidRPr="00E16672">
              <w:rPr>
                <w:rFonts w:ascii="Times New Roman" w:hAnsi="Times New Roman"/>
                <w:color w:val="000000"/>
                <w:sz w:val="16"/>
                <w:szCs w:val="16"/>
                <w:lang w:val="uk-UA"/>
              </w:rPr>
              <w:t xml:space="preserve">адавати Депозитарній установі інформацію лише щодо одного торговця цінними паперами, якому Депонентом надані повноваження на вчинення правочинів щодо цінних паперів в інтересах Депонента, які виконуються із забезпеченням здійснення розрахунків за правочинами щодо цінних паперів з дотриманням принципу </w:t>
            </w:r>
            <w:r w:rsidR="00022F5F">
              <w:rPr>
                <w:rFonts w:ascii="Times New Roman" w:hAnsi="Times New Roman"/>
                <w:color w:val="000000"/>
                <w:sz w:val="16"/>
                <w:szCs w:val="16"/>
                <w:lang w:val="uk-UA"/>
              </w:rPr>
              <w:t>"</w:t>
            </w:r>
            <w:r w:rsidRPr="00E16672">
              <w:rPr>
                <w:rFonts w:ascii="Times New Roman" w:hAnsi="Times New Roman"/>
                <w:color w:val="000000"/>
                <w:sz w:val="16"/>
                <w:szCs w:val="16"/>
                <w:lang w:val="uk-UA"/>
              </w:rPr>
              <w:t>поставка цінних паперів проти оплати</w:t>
            </w:r>
            <w:r w:rsidR="00022F5F">
              <w:rPr>
                <w:rFonts w:ascii="Times New Roman" w:hAnsi="Times New Roman"/>
                <w:color w:val="000000"/>
                <w:sz w:val="16"/>
                <w:szCs w:val="16"/>
                <w:lang w:val="uk-UA"/>
              </w:rPr>
              <w:t>"</w:t>
            </w:r>
            <w:r w:rsidRPr="00E16672">
              <w:rPr>
                <w:rFonts w:ascii="Times New Roman" w:hAnsi="Times New Roman"/>
                <w:color w:val="000000"/>
                <w:sz w:val="16"/>
                <w:szCs w:val="16"/>
                <w:lang w:val="uk-UA"/>
              </w:rPr>
              <w:t>.</w:t>
            </w:r>
          </w:p>
          <w:p w14:paraId="752D3B5B" w14:textId="77777777" w:rsidR="003A05A3" w:rsidRPr="00E16672" w:rsidRDefault="003A05A3" w:rsidP="00843027">
            <w:pPr>
              <w:pStyle w:val="WW-1"/>
              <w:tabs>
                <w:tab w:val="left" w:pos="709"/>
              </w:tabs>
              <w:snapToGrid w:val="0"/>
              <w:ind w:left="175" w:right="138"/>
              <w:jc w:val="both"/>
              <w:rPr>
                <w:i w:val="0"/>
                <w:color w:val="000000"/>
                <w:sz w:val="16"/>
                <w:szCs w:val="16"/>
                <w:lang w:val="uk-UA"/>
              </w:rPr>
            </w:pPr>
          </w:p>
        </w:tc>
        <w:tc>
          <w:tcPr>
            <w:tcW w:w="5494" w:type="dxa"/>
            <w:gridSpan w:val="6"/>
            <w:shd w:val="clear" w:color="auto" w:fill="auto"/>
          </w:tcPr>
          <w:p w14:paraId="634B03A6" w14:textId="77777777" w:rsidR="003A05A3" w:rsidRPr="00E16672" w:rsidRDefault="003A05A3" w:rsidP="00022F5F">
            <w:pPr>
              <w:pStyle w:val="210"/>
              <w:tabs>
                <w:tab w:val="left" w:pos="287"/>
                <w:tab w:val="left" w:pos="1191"/>
              </w:tabs>
              <w:snapToGrid w:val="0"/>
              <w:ind w:left="145" w:right="100" w:firstLine="0"/>
              <w:jc w:val="left"/>
              <w:rPr>
                <w:rFonts w:ascii="Times New Roman" w:hAnsi="Times New Roman"/>
                <w:color w:val="000000"/>
                <w:sz w:val="16"/>
                <w:szCs w:val="16"/>
                <w:lang w:val="en-US"/>
              </w:rPr>
            </w:pPr>
            <w:r w:rsidRPr="00E16672">
              <w:rPr>
                <w:rFonts w:ascii="Times New Roman" w:hAnsi="Times New Roman"/>
                <w:color w:val="000000"/>
                <w:sz w:val="16"/>
                <w:szCs w:val="16"/>
              </w:rPr>
              <w:t>2.</w:t>
            </w:r>
            <w:r w:rsidRPr="00E16672">
              <w:rPr>
                <w:rFonts w:ascii="Times New Roman" w:hAnsi="Times New Roman"/>
                <w:color w:val="000000"/>
                <w:sz w:val="16"/>
                <w:szCs w:val="16"/>
                <w:lang w:val="en-US"/>
              </w:rPr>
              <w:t>4</w:t>
            </w:r>
            <w:r w:rsidRPr="00E16672">
              <w:rPr>
                <w:rFonts w:ascii="Times New Roman" w:hAnsi="Times New Roman"/>
                <w:color w:val="000000"/>
                <w:sz w:val="16"/>
                <w:szCs w:val="16"/>
              </w:rPr>
              <w:t>.</w:t>
            </w:r>
            <w:r w:rsidRPr="00E16672">
              <w:rPr>
                <w:rFonts w:ascii="Times New Roman" w:hAnsi="Times New Roman"/>
                <w:color w:val="000000"/>
                <w:sz w:val="16"/>
                <w:szCs w:val="16"/>
                <w:lang w:val="en-US"/>
              </w:rPr>
              <w:t>7</w:t>
            </w:r>
            <w:r w:rsidRPr="00E16672">
              <w:rPr>
                <w:rFonts w:ascii="Times New Roman" w:hAnsi="Times New Roman"/>
                <w:color w:val="000000"/>
                <w:sz w:val="16"/>
                <w:szCs w:val="16"/>
              </w:rPr>
              <w:t xml:space="preserve">. </w:t>
            </w:r>
            <w:r w:rsidRPr="00E16672">
              <w:rPr>
                <w:rFonts w:ascii="Times New Roman" w:hAnsi="Times New Roman"/>
                <w:color w:val="000000"/>
                <w:sz w:val="16"/>
                <w:szCs w:val="16"/>
                <w:lang w:val="en-US"/>
              </w:rPr>
              <w:t>P</w:t>
            </w:r>
            <w:proofErr w:type="spellStart"/>
            <w:r w:rsidRPr="00E16672">
              <w:rPr>
                <w:rFonts w:ascii="Times New Roman" w:hAnsi="Times New Roman"/>
                <w:color w:val="000000"/>
                <w:sz w:val="16"/>
                <w:szCs w:val="16"/>
              </w:rPr>
              <w:t>rovide</w:t>
            </w:r>
            <w:proofErr w:type="spellEnd"/>
            <w:r w:rsidRPr="00E16672">
              <w:rPr>
                <w:rFonts w:ascii="Times New Roman" w:hAnsi="Times New Roman"/>
                <w:color w:val="000000"/>
                <w:sz w:val="16"/>
                <w:szCs w:val="16"/>
              </w:rPr>
              <w:t xml:space="preserve"> </w:t>
            </w:r>
            <w:r w:rsidRPr="00E16672">
              <w:rPr>
                <w:rFonts w:ascii="Times New Roman" w:hAnsi="Times New Roman"/>
                <w:color w:val="000000"/>
                <w:sz w:val="16"/>
                <w:szCs w:val="16"/>
                <w:lang w:val="en-US"/>
              </w:rPr>
              <w:t>D</w:t>
            </w:r>
            <w:proofErr w:type="spellStart"/>
            <w:r w:rsidRPr="00E16672">
              <w:rPr>
                <w:rFonts w:ascii="Times New Roman" w:hAnsi="Times New Roman"/>
                <w:color w:val="000000"/>
                <w:sz w:val="16"/>
                <w:szCs w:val="16"/>
              </w:rPr>
              <w:t>epository</w:t>
            </w:r>
            <w:proofErr w:type="spellEnd"/>
            <w:r w:rsidRPr="00E16672">
              <w:rPr>
                <w:rFonts w:ascii="Times New Roman" w:hAnsi="Times New Roman"/>
                <w:color w:val="000000"/>
                <w:sz w:val="16"/>
                <w:szCs w:val="16"/>
              </w:rPr>
              <w:t xml:space="preserve"> </w:t>
            </w:r>
            <w:r w:rsidRPr="00E16672">
              <w:rPr>
                <w:rFonts w:ascii="Times New Roman" w:hAnsi="Times New Roman"/>
                <w:color w:val="000000"/>
                <w:sz w:val="16"/>
                <w:szCs w:val="16"/>
                <w:lang w:val="en-US"/>
              </w:rPr>
              <w:t xml:space="preserve">institution information only about one - securities </w:t>
            </w:r>
            <w:proofErr w:type="spellStart"/>
            <w:r w:rsidRPr="00E16672">
              <w:rPr>
                <w:rFonts w:ascii="Times New Roman" w:hAnsi="Times New Roman"/>
                <w:color w:val="000000"/>
                <w:sz w:val="16"/>
                <w:szCs w:val="16"/>
              </w:rPr>
              <w:t>trader</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which</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the</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Depositor</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empowered</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to</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commit</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transactions</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in</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securities</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for</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the</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benefit</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of</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the</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Depositor</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performed</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with</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providing</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making</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payments</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of</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transactions</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in</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securities</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compliance</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with</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principle</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of</w:t>
            </w:r>
            <w:proofErr w:type="spellEnd"/>
            <w:r w:rsidRPr="00E16672">
              <w:rPr>
                <w:rFonts w:ascii="Times New Roman" w:hAnsi="Times New Roman"/>
                <w:color w:val="000000"/>
                <w:sz w:val="16"/>
                <w:szCs w:val="16"/>
              </w:rPr>
              <w:t xml:space="preserve"> </w:t>
            </w:r>
            <w:r w:rsidR="00022F5F">
              <w:rPr>
                <w:rFonts w:ascii="Times New Roman" w:hAnsi="Times New Roman"/>
                <w:color w:val="000000"/>
                <w:sz w:val="16"/>
                <w:szCs w:val="16"/>
                <w:lang w:val="en-US"/>
              </w:rPr>
              <w:t>"</w:t>
            </w:r>
            <w:proofErr w:type="spellStart"/>
            <w:r w:rsidRPr="00E16672">
              <w:rPr>
                <w:rFonts w:ascii="Times New Roman" w:hAnsi="Times New Roman"/>
                <w:color w:val="000000"/>
                <w:sz w:val="16"/>
                <w:szCs w:val="16"/>
              </w:rPr>
              <w:t>supply</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of</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securities</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against</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payment</w:t>
            </w:r>
            <w:proofErr w:type="spellEnd"/>
            <w:r w:rsidRPr="00E16672">
              <w:rPr>
                <w:rFonts w:ascii="Times New Roman" w:hAnsi="Times New Roman"/>
                <w:color w:val="000000"/>
                <w:sz w:val="16"/>
                <w:szCs w:val="16"/>
              </w:rPr>
              <w:t>.</w:t>
            </w:r>
            <w:r w:rsidR="00022F5F">
              <w:rPr>
                <w:rFonts w:ascii="Times New Roman" w:hAnsi="Times New Roman"/>
                <w:color w:val="000000"/>
                <w:sz w:val="16"/>
                <w:szCs w:val="16"/>
                <w:lang w:val="en-US"/>
              </w:rPr>
              <w:t>"</w:t>
            </w:r>
            <w:r w:rsidRPr="00E16672">
              <w:rPr>
                <w:rFonts w:ascii="Times New Roman" w:hAnsi="Times New Roman"/>
                <w:color w:val="000000"/>
                <w:sz w:val="16"/>
                <w:szCs w:val="16"/>
                <w:lang w:val="en-US"/>
              </w:rPr>
              <w:t>.</w:t>
            </w:r>
          </w:p>
        </w:tc>
      </w:tr>
      <w:tr w:rsidR="00F04A24" w:rsidRPr="00F23413" w14:paraId="0A531F72" w14:textId="77777777" w:rsidTr="00242F58">
        <w:trPr>
          <w:trHeight w:val="192"/>
        </w:trPr>
        <w:tc>
          <w:tcPr>
            <w:tcW w:w="5696" w:type="dxa"/>
            <w:gridSpan w:val="8"/>
            <w:shd w:val="clear" w:color="auto" w:fill="auto"/>
          </w:tcPr>
          <w:p w14:paraId="279BB1CD" w14:textId="77777777" w:rsidR="00F04A24" w:rsidRPr="00E16672" w:rsidRDefault="00F04A24" w:rsidP="00022F5F">
            <w:pPr>
              <w:ind w:left="175" w:right="138" w:firstLine="0"/>
              <w:jc w:val="left"/>
              <w:rPr>
                <w:rFonts w:ascii="Times New Roman" w:hAnsi="Times New Roman"/>
                <w:color w:val="000000"/>
                <w:sz w:val="16"/>
                <w:szCs w:val="16"/>
                <w:lang w:val="uk-UA"/>
              </w:rPr>
            </w:pPr>
            <w:r w:rsidRPr="00E16672">
              <w:rPr>
                <w:rFonts w:ascii="Times New Roman" w:hAnsi="Times New Roman"/>
                <w:color w:val="000000"/>
                <w:sz w:val="16"/>
                <w:szCs w:val="16"/>
                <w:lang w:val="uk-UA"/>
              </w:rPr>
              <w:t xml:space="preserve">2.4.8. Отримувати інформацію про умови та порядок діяльності депозитарної установи з урахуванням вимог, встановлених частиною першою статті 12 Закону України </w:t>
            </w:r>
            <w:r w:rsidR="00022F5F">
              <w:rPr>
                <w:rFonts w:ascii="Times New Roman" w:hAnsi="Times New Roman"/>
                <w:color w:val="000000"/>
                <w:sz w:val="16"/>
                <w:szCs w:val="16"/>
                <w:lang w:val="uk-UA"/>
              </w:rPr>
              <w:t>"</w:t>
            </w:r>
            <w:r w:rsidRPr="00E16672">
              <w:rPr>
                <w:rFonts w:ascii="Times New Roman" w:hAnsi="Times New Roman"/>
                <w:color w:val="000000"/>
                <w:sz w:val="16"/>
                <w:szCs w:val="16"/>
                <w:lang w:val="uk-UA"/>
              </w:rPr>
              <w:t>Про фінансові послуги та державне регулювання ринків фінансових послуг</w:t>
            </w:r>
            <w:r w:rsidR="00022F5F">
              <w:rPr>
                <w:rFonts w:ascii="Times New Roman" w:hAnsi="Times New Roman"/>
                <w:color w:val="000000"/>
                <w:sz w:val="16"/>
                <w:szCs w:val="16"/>
                <w:lang w:val="uk-UA"/>
              </w:rPr>
              <w:t>"</w:t>
            </w:r>
            <w:r w:rsidRPr="00E16672">
              <w:rPr>
                <w:rFonts w:ascii="Times New Roman" w:hAnsi="Times New Roman"/>
                <w:color w:val="000000"/>
                <w:sz w:val="16"/>
                <w:szCs w:val="16"/>
                <w:lang w:val="uk-UA"/>
              </w:rPr>
              <w:t>.</w:t>
            </w:r>
          </w:p>
        </w:tc>
        <w:tc>
          <w:tcPr>
            <w:tcW w:w="5494" w:type="dxa"/>
            <w:gridSpan w:val="6"/>
            <w:shd w:val="clear" w:color="auto" w:fill="auto"/>
          </w:tcPr>
          <w:p w14:paraId="1B00D75F" w14:textId="77777777" w:rsidR="00F04A24" w:rsidRPr="00E16672" w:rsidRDefault="00F04A24" w:rsidP="00022F5F">
            <w:pPr>
              <w:pStyle w:val="210"/>
              <w:tabs>
                <w:tab w:val="left" w:pos="287"/>
                <w:tab w:val="left" w:pos="1191"/>
              </w:tabs>
              <w:snapToGrid w:val="0"/>
              <w:ind w:left="145" w:right="100" w:firstLine="0"/>
              <w:jc w:val="left"/>
              <w:rPr>
                <w:rFonts w:ascii="Times New Roman" w:hAnsi="Times New Roman"/>
                <w:color w:val="000000"/>
                <w:sz w:val="16"/>
                <w:szCs w:val="16"/>
              </w:rPr>
            </w:pPr>
            <w:r w:rsidRPr="00E16672">
              <w:rPr>
                <w:rFonts w:ascii="Times New Roman" w:hAnsi="Times New Roman"/>
                <w:color w:val="000000"/>
                <w:sz w:val="16"/>
                <w:szCs w:val="16"/>
              </w:rPr>
              <w:t>2.4.8.</w:t>
            </w:r>
            <w:r w:rsidRPr="00E16672">
              <w:rPr>
                <w:rFonts w:ascii="Times New Roman" w:hAnsi="Times New Roman"/>
                <w:color w:val="000000"/>
                <w:sz w:val="16"/>
                <w:szCs w:val="16"/>
                <w:lang w:val="en-US"/>
              </w:rPr>
              <w:t xml:space="preserve"> </w:t>
            </w:r>
            <w:proofErr w:type="spellStart"/>
            <w:r w:rsidRPr="00E16672">
              <w:rPr>
                <w:rFonts w:ascii="Times New Roman" w:eastAsia="Arial" w:hAnsi="Times New Roman"/>
                <w:color w:val="000000"/>
                <w:sz w:val="16"/>
                <w:szCs w:val="16"/>
              </w:rPr>
              <w:t>To</w:t>
            </w:r>
            <w:proofErr w:type="spellEnd"/>
            <w:r w:rsidRPr="00E16672">
              <w:rPr>
                <w:rFonts w:ascii="Times New Roman" w:eastAsia="Arial" w:hAnsi="Times New Roman"/>
                <w:color w:val="000000"/>
                <w:sz w:val="16"/>
                <w:szCs w:val="16"/>
              </w:rPr>
              <w:t xml:space="preserve"> </w:t>
            </w:r>
            <w:r w:rsidRPr="00E16672">
              <w:rPr>
                <w:rFonts w:ascii="Times New Roman" w:eastAsia="Arial" w:hAnsi="Times New Roman"/>
                <w:color w:val="000000"/>
                <w:sz w:val="16"/>
                <w:szCs w:val="16"/>
                <w:lang w:val="en-US"/>
              </w:rPr>
              <w:t xml:space="preserve">obtain </w:t>
            </w:r>
            <w:proofErr w:type="spellStart"/>
            <w:r w:rsidRPr="00E16672">
              <w:rPr>
                <w:rFonts w:ascii="Times New Roman" w:eastAsia="Arial" w:hAnsi="Times New Roman"/>
                <w:color w:val="000000"/>
                <w:sz w:val="16"/>
                <w:szCs w:val="16"/>
              </w:rPr>
              <w:t>information</w:t>
            </w:r>
            <w:proofErr w:type="spellEnd"/>
            <w:r w:rsidRPr="00E16672">
              <w:rPr>
                <w:rFonts w:ascii="Times New Roman" w:eastAsia="Arial" w:hAnsi="Times New Roman"/>
                <w:color w:val="000000"/>
                <w:sz w:val="16"/>
                <w:szCs w:val="16"/>
              </w:rPr>
              <w:t xml:space="preserve"> </w:t>
            </w:r>
            <w:proofErr w:type="spellStart"/>
            <w:r w:rsidRPr="00E16672">
              <w:rPr>
                <w:rFonts w:ascii="Times New Roman" w:eastAsia="Arial" w:hAnsi="Times New Roman"/>
                <w:color w:val="000000"/>
                <w:sz w:val="16"/>
                <w:szCs w:val="16"/>
              </w:rPr>
              <w:t>on</w:t>
            </w:r>
            <w:proofErr w:type="spellEnd"/>
            <w:r w:rsidRPr="00E16672">
              <w:rPr>
                <w:rFonts w:ascii="Times New Roman" w:eastAsia="Arial" w:hAnsi="Times New Roman"/>
                <w:color w:val="000000"/>
                <w:sz w:val="16"/>
                <w:szCs w:val="16"/>
              </w:rPr>
              <w:t xml:space="preserve"> </w:t>
            </w:r>
            <w:proofErr w:type="spellStart"/>
            <w:r w:rsidRPr="00E16672">
              <w:rPr>
                <w:rFonts w:ascii="Times New Roman" w:eastAsia="Arial" w:hAnsi="Times New Roman"/>
                <w:color w:val="000000"/>
                <w:sz w:val="16"/>
                <w:szCs w:val="16"/>
              </w:rPr>
              <w:t>the</w:t>
            </w:r>
            <w:proofErr w:type="spellEnd"/>
            <w:r w:rsidRPr="00E16672">
              <w:rPr>
                <w:rFonts w:ascii="Times New Roman" w:eastAsia="Arial" w:hAnsi="Times New Roman"/>
                <w:color w:val="000000"/>
                <w:sz w:val="16"/>
                <w:szCs w:val="16"/>
              </w:rPr>
              <w:t xml:space="preserve"> </w:t>
            </w:r>
            <w:proofErr w:type="spellStart"/>
            <w:r w:rsidRPr="00E16672">
              <w:rPr>
                <w:rFonts w:ascii="Times New Roman" w:eastAsia="Arial" w:hAnsi="Times New Roman"/>
                <w:color w:val="000000"/>
                <w:sz w:val="16"/>
                <w:szCs w:val="16"/>
              </w:rPr>
              <w:t>conditions</w:t>
            </w:r>
            <w:proofErr w:type="spellEnd"/>
            <w:r w:rsidRPr="00E16672">
              <w:rPr>
                <w:rFonts w:ascii="Times New Roman" w:eastAsia="Arial" w:hAnsi="Times New Roman"/>
                <w:color w:val="000000"/>
                <w:sz w:val="16"/>
                <w:szCs w:val="16"/>
              </w:rPr>
              <w:t xml:space="preserve"> </w:t>
            </w:r>
            <w:proofErr w:type="spellStart"/>
            <w:r w:rsidRPr="00E16672">
              <w:rPr>
                <w:rFonts w:ascii="Times New Roman" w:eastAsia="Arial" w:hAnsi="Times New Roman"/>
                <w:color w:val="000000"/>
                <w:sz w:val="16"/>
                <w:szCs w:val="16"/>
              </w:rPr>
              <w:t>and</w:t>
            </w:r>
            <w:proofErr w:type="spellEnd"/>
            <w:r w:rsidRPr="00E16672">
              <w:rPr>
                <w:rFonts w:ascii="Times New Roman" w:eastAsia="Arial" w:hAnsi="Times New Roman"/>
                <w:color w:val="000000"/>
                <w:sz w:val="16"/>
                <w:szCs w:val="16"/>
              </w:rPr>
              <w:t xml:space="preserve"> </w:t>
            </w:r>
            <w:proofErr w:type="spellStart"/>
            <w:r w:rsidRPr="00E16672">
              <w:rPr>
                <w:rFonts w:ascii="Times New Roman" w:eastAsia="Arial" w:hAnsi="Times New Roman"/>
                <w:color w:val="000000"/>
                <w:sz w:val="16"/>
                <w:szCs w:val="16"/>
              </w:rPr>
              <w:t>procedure</w:t>
            </w:r>
            <w:proofErr w:type="spellEnd"/>
            <w:r w:rsidRPr="00E16672">
              <w:rPr>
                <w:rFonts w:ascii="Times New Roman" w:eastAsia="Arial" w:hAnsi="Times New Roman"/>
                <w:color w:val="000000"/>
                <w:sz w:val="16"/>
                <w:szCs w:val="16"/>
              </w:rPr>
              <w:t xml:space="preserve"> </w:t>
            </w:r>
            <w:proofErr w:type="spellStart"/>
            <w:r w:rsidRPr="00E16672">
              <w:rPr>
                <w:rFonts w:ascii="Times New Roman" w:eastAsia="Arial" w:hAnsi="Times New Roman"/>
                <w:color w:val="000000"/>
                <w:sz w:val="16"/>
                <w:szCs w:val="16"/>
              </w:rPr>
              <w:t>of</w:t>
            </w:r>
            <w:proofErr w:type="spellEnd"/>
            <w:r w:rsidRPr="00E16672">
              <w:rPr>
                <w:rFonts w:ascii="Times New Roman" w:eastAsia="Arial" w:hAnsi="Times New Roman"/>
                <w:color w:val="000000"/>
                <w:sz w:val="16"/>
                <w:szCs w:val="16"/>
              </w:rPr>
              <w:t xml:space="preserve"> </w:t>
            </w:r>
            <w:proofErr w:type="spellStart"/>
            <w:r w:rsidRPr="00E16672">
              <w:rPr>
                <w:rFonts w:ascii="Times New Roman" w:eastAsia="Arial" w:hAnsi="Times New Roman"/>
                <w:color w:val="000000"/>
                <w:sz w:val="16"/>
                <w:szCs w:val="16"/>
              </w:rPr>
              <w:t>the</w:t>
            </w:r>
            <w:proofErr w:type="spellEnd"/>
            <w:r w:rsidRPr="00E16672">
              <w:rPr>
                <w:rFonts w:ascii="Times New Roman" w:eastAsia="Arial" w:hAnsi="Times New Roman"/>
                <w:color w:val="000000"/>
                <w:sz w:val="16"/>
                <w:szCs w:val="16"/>
              </w:rPr>
              <w:t xml:space="preserve"> </w:t>
            </w:r>
            <w:proofErr w:type="spellStart"/>
            <w:r w:rsidRPr="00E16672">
              <w:rPr>
                <w:rFonts w:ascii="Times New Roman" w:eastAsia="Arial" w:hAnsi="Times New Roman"/>
                <w:color w:val="000000"/>
                <w:sz w:val="16"/>
                <w:szCs w:val="16"/>
              </w:rPr>
              <w:t>depository</w:t>
            </w:r>
            <w:proofErr w:type="spellEnd"/>
            <w:r w:rsidRPr="00E16672">
              <w:rPr>
                <w:rFonts w:ascii="Times New Roman" w:eastAsia="Arial" w:hAnsi="Times New Roman"/>
                <w:color w:val="000000"/>
                <w:sz w:val="16"/>
                <w:szCs w:val="16"/>
              </w:rPr>
              <w:t xml:space="preserve"> </w:t>
            </w:r>
            <w:proofErr w:type="spellStart"/>
            <w:r w:rsidRPr="00E16672">
              <w:rPr>
                <w:rFonts w:ascii="Times New Roman" w:eastAsia="Arial" w:hAnsi="Times New Roman"/>
                <w:color w:val="000000"/>
                <w:sz w:val="16"/>
                <w:szCs w:val="16"/>
              </w:rPr>
              <w:t>institution</w:t>
            </w:r>
            <w:proofErr w:type="spellEnd"/>
            <w:r w:rsidRPr="00E16672">
              <w:rPr>
                <w:rFonts w:ascii="Times New Roman" w:eastAsia="Arial" w:hAnsi="Times New Roman"/>
                <w:color w:val="000000"/>
                <w:sz w:val="16"/>
                <w:szCs w:val="16"/>
              </w:rPr>
              <w:t xml:space="preserve"> </w:t>
            </w:r>
            <w:proofErr w:type="spellStart"/>
            <w:r w:rsidRPr="00E16672">
              <w:rPr>
                <w:rFonts w:ascii="Times New Roman" w:eastAsia="Arial" w:hAnsi="Times New Roman"/>
                <w:color w:val="000000"/>
                <w:sz w:val="16"/>
                <w:szCs w:val="16"/>
              </w:rPr>
              <w:t>taking</w:t>
            </w:r>
            <w:proofErr w:type="spellEnd"/>
            <w:r w:rsidRPr="00E16672">
              <w:rPr>
                <w:rFonts w:ascii="Times New Roman" w:eastAsia="Arial" w:hAnsi="Times New Roman"/>
                <w:color w:val="000000"/>
                <w:sz w:val="16"/>
                <w:szCs w:val="16"/>
              </w:rPr>
              <w:t xml:space="preserve"> </w:t>
            </w:r>
            <w:proofErr w:type="spellStart"/>
            <w:r w:rsidRPr="00E16672">
              <w:rPr>
                <w:rFonts w:ascii="Times New Roman" w:eastAsia="Arial" w:hAnsi="Times New Roman"/>
                <w:color w:val="000000"/>
                <w:sz w:val="16"/>
                <w:szCs w:val="16"/>
              </w:rPr>
              <w:t>into</w:t>
            </w:r>
            <w:proofErr w:type="spellEnd"/>
            <w:r w:rsidRPr="00E16672">
              <w:rPr>
                <w:rFonts w:ascii="Times New Roman" w:eastAsia="Arial" w:hAnsi="Times New Roman"/>
                <w:color w:val="000000"/>
                <w:sz w:val="16"/>
                <w:szCs w:val="16"/>
              </w:rPr>
              <w:t xml:space="preserve"> </w:t>
            </w:r>
            <w:proofErr w:type="spellStart"/>
            <w:r w:rsidRPr="00E16672">
              <w:rPr>
                <w:rFonts w:ascii="Times New Roman" w:eastAsia="Arial" w:hAnsi="Times New Roman"/>
                <w:color w:val="000000"/>
                <w:sz w:val="16"/>
                <w:szCs w:val="16"/>
              </w:rPr>
              <w:t>account</w:t>
            </w:r>
            <w:proofErr w:type="spellEnd"/>
            <w:r w:rsidRPr="00E16672">
              <w:rPr>
                <w:rFonts w:ascii="Times New Roman" w:eastAsia="Arial" w:hAnsi="Times New Roman"/>
                <w:color w:val="000000"/>
                <w:sz w:val="16"/>
                <w:szCs w:val="16"/>
              </w:rPr>
              <w:t xml:space="preserve"> </w:t>
            </w:r>
            <w:proofErr w:type="spellStart"/>
            <w:r w:rsidRPr="00E16672">
              <w:rPr>
                <w:rFonts w:ascii="Times New Roman" w:eastAsia="Arial" w:hAnsi="Times New Roman"/>
                <w:color w:val="000000"/>
                <w:sz w:val="16"/>
                <w:szCs w:val="16"/>
              </w:rPr>
              <w:t>the</w:t>
            </w:r>
            <w:proofErr w:type="spellEnd"/>
            <w:r w:rsidRPr="00E16672">
              <w:rPr>
                <w:rFonts w:ascii="Times New Roman" w:eastAsia="Arial" w:hAnsi="Times New Roman"/>
                <w:color w:val="000000"/>
                <w:sz w:val="16"/>
                <w:szCs w:val="16"/>
              </w:rPr>
              <w:t xml:space="preserve"> </w:t>
            </w:r>
            <w:proofErr w:type="spellStart"/>
            <w:r w:rsidRPr="00E16672">
              <w:rPr>
                <w:rFonts w:ascii="Times New Roman" w:eastAsia="Arial" w:hAnsi="Times New Roman"/>
                <w:color w:val="000000"/>
                <w:sz w:val="16"/>
                <w:szCs w:val="16"/>
              </w:rPr>
              <w:t>requirements</w:t>
            </w:r>
            <w:proofErr w:type="spellEnd"/>
            <w:r w:rsidRPr="00E16672">
              <w:rPr>
                <w:rFonts w:ascii="Times New Roman" w:eastAsia="Arial" w:hAnsi="Times New Roman"/>
                <w:color w:val="000000"/>
                <w:sz w:val="16"/>
                <w:szCs w:val="16"/>
              </w:rPr>
              <w:t xml:space="preserve"> </w:t>
            </w:r>
            <w:proofErr w:type="spellStart"/>
            <w:r w:rsidRPr="00E16672">
              <w:rPr>
                <w:rFonts w:ascii="Times New Roman" w:eastAsia="Arial" w:hAnsi="Times New Roman"/>
                <w:color w:val="000000"/>
                <w:sz w:val="16"/>
                <w:szCs w:val="16"/>
              </w:rPr>
              <w:t>established</w:t>
            </w:r>
            <w:proofErr w:type="spellEnd"/>
            <w:r w:rsidRPr="00E16672">
              <w:rPr>
                <w:rFonts w:ascii="Times New Roman" w:eastAsia="Arial" w:hAnsi="Times New Roman"/>
                <w:color w:val="000000"/>
                <w:sz w:val="16"/>
                <w:szCs w:val="16"/>
              </w:rPr>
              <w:t xml:space="preserve"> </w:t>
            </w:r>
            <w:proofErr w:type="spellStart"/>
            <w:r w:rsidRPr="00E16672">
              <w:rPr>
                <w:rFonts w:ascii="Times New Roman" w:eastAsia="Arial" w:hAnsi="Times New Roman"/>
                <w:color w:val="000000"/>
                <w:sz w:val="16"/>
                <w:szCs w:val="16"/>
              </w:rPr>
              <w:t>by</w:t>
            </w:r>
            <w:proofErr w:type="spellEnd"/>
            <w:r w:rsidRPr="00E16672">
              <w:rPr>
                <w:rFonts w:ascii="Times New Roman" w:eastAsia="Arial" w:hAnsi="Times New Roman"/>
                <w:color w:val="000000"/>
                <w:sz w:val="16"/>
                <w:szCs w:val="16"/>
              </w:rPr>
              <w:t xml:space="preserve"> </w:t>
            </w:r>
            <w:proofErr w:type="spellStart"/>
            <w:r w:rsidRPr="00E16672">
              <w:rPr>
                <w:rFonts w:ascii="Times New Roman" w:eastAsia="Arial" w:hAnsi="Times New Roman"/>
                <w:color w:val="000000"/>
                <w:sz w:val="16"/>
                <w:szCs w:val="16"/>
              </w:rPr>
              <w:t>part</w:t>
            </w:r>
            <w:proofErr w:type="spellEnd"/>
            <w:r w:rsidRPr="00E16672">
              <w:rPr>
                <w:rFonts w:ascii="Times New Roman" w:eastAsia="Arial" w:hAnsi="Times New Roman"/>
                <w:color w:val="000000"/>
                <w:sz w:val="16"/>
                <w:szCs w:val="16"/>
              </w:rPr>
              <w:t xml:space="preserve"> </w:t>
            </w:r>
            <w:proofErr w:type="spellStart"/>
            <w:r w:rsidRPr="00E16672">
              <w:rPr>
                <w:rFonts w:ascii="Times New Roman" w:eastAsia="Arial" w:hAnsi="Times New Roman"/>
                <w:color w:val="000000"/>
                <w:sz w:val="16"/>
                <w:szCs w:val="16"/>
              </w:rPr>
              <w:t>one</w:t>
            </w:r>
            <w:proofErr w:type="spellEnd"/>
            <w:r w:rsidRPr="00E16672">
              <w:rPr>
                <w:rFonts w:ascii="Times New Roman" w:eastAsia="Arial" w:hAnsi="Times New Roman"/>
                <w:color w:val="000000"/>
                <w:sz w:val="16"/>
                <w:szCs w:val="16"/>
              </w:rPr>
              <w:t xml:space="preserve"> </w:t>
            </w:r>
            <w:proofErr w:type="spellStart"/>
            <w:r w:rsidRPr="00E16672">
              <w:rPr>
                <w:rFonts w:ascii="Times New Roman" w:eastAsia="Arial" w:hAnsi="Times New Roman"/>
                <w:color w:val="000000"/>
                <w:sz w:val="16"/>
                <w:szCs w:val="16"/>
              </w:rPr>
              <w:t>of</w:t>
            </w:r>
            <w:proofErr w:type="spellEnd"/>
            <w:r w:rsidRPr="00E16672">
              <w:rPr>
                <w:rFonts w:ascii="Times New Roman" w:eastAsia="Arial" w:hAnsi="Times New Roman"/>
                <w:color w:val="000000"/>
                <w:sz w:val="16"/>
                <w:szCs w:val="16"/>
              </w:rPr>
              <w:t xml:space="preserve"> </w:t>
            </w:r>
            <w:proofErr w:type="spellStart"/>
            <w:r w:rsidRPr="00E16672">
              <w:rPr>
                <w:rFonts w:ascii="Times New Roman" w:eastAsia="Arial" w:hAnsi="Times New Roman"/>
                <w:color w:val="000000"/>
                <w:sz w:val="16"/>
                <w:szCs w:val="16"/>
              </w:rPr>
              <w:t>Article</w:t>
            </w:r>
            <w:proofErr w:type="spellEnd"/>
            <w:r w:rsidRPr="00E16672">
              <w:rPr>
                <w:rFonts w:ascii="Times New Roman" w:eastAsia="Arial" w:hAnsi="Times New Roman"/>
                <w:color w:val="000000"/>
                <w:sz w:val="16"/>
                <w:szCs w:val="16"/>
              </w:rPr>
              <w:t xml:space="preserve"> 12 </w:t>
            </w:r>
            <w:proofErr w:type="spellStart"/>
            <w:r w:rsidRPr="00E16672">
              <w:rPr>
                <w:rFonts w:ascii="Times New Roman" w:eastAsia="Arial" w:hAnsi="Times New Roman"/>
                <w:color w:val="000000"/>
                <w:sz w:val="16"/>
                <w:szCs w:val="16"/>
              </w:rPr>
              <w:t>of</w:t>
            </w:r>
            <w:proofErr w:type="spellEnd"/>
            <w:r w:rsidRPr="00E16672">
              <w:rPr>
                <w:rFonts w:ascii="Times New Roman" w:eastAsia="Arial" w:hAnsi="Times New Roman"/>
                <w:color w:val="000000"/>
                <w:sz w:val="16"/>
                <w:szCs w:val="16"/>
              </w:rPr>
              <w:t xml:space="preserve"> </w:t>
            </w:r>
            <w:proofErr w:type="spellStart"/>
            <w:r w:rsidRPr="00E16672">
              <w:rPr>
                <w:rFonts w:ascii="Times New Roman" w:eastAsia="Arial" w:hAnsi="Times New Roman"/>
                <w:color w:val="000000"/>
                <w:sz w:val="16"/>
                <w:szCs w:val="16"/>
              </w:rPr>
              <w:t>the</w:t>
            </w:r>
            <w:proofErr w:type="spellEnd"/>
            <w:r w:rsidRPr="00E16672">
              <w:rPr>
                <w:rFonts w:ascii="Times New Roman" w:eastAsia="Arial" w:hAnsi="Times New Roman"/>
                <w:color w:val="000000"/>
                <w:sz w:val="16"/>
                <w:szCs w:val="16"/>
              </w:rPr>
              <w:t xml:space="preserve"> </w:t>
            </w:r>
            <w:proofErr w:type="spellStart"/>
            <w:r w:rsidRPr="00E16672">
              <w:rPr>
                <w:rFonts w:ascii="Times New Roman" w:eastAsia="Arial" w:hAnsi="Times New Roman"/>
                <w:color w:val="000000"/>
                <w:sz w:val="16"/>
                <w:szCs w:val="16"/>
              </w:rPr>
              <w:t>Law</w:t>
            </w:r>
            <w:proofErr w:type="spellEnd"/>
            <w:r w:rsidRPr="00E16672">
              <w:rPr>
                <w:rFonts w:ascii="Times New Roman" w:eastAsia="Arial" w:hAnsi="Times New Roman"/>
                <w:color w:val="000000"/>
                <w:sz w:val="16"/>
                <w:szCs w:val="16"/>
              </w:rPr>
              <w:t xml:space="preserve"> </w:t>
            </w:r>
            <w:proofErr w:type="spellStart"/>
            <w:r w:rsidRPr="00E16672">
              <w:rPr>
                <w:rFonts w:ascii="Times New Roman" w:eastAsia="Arial" w:hAnsi="Times New Roman"/>
                <w:color w:val="000000"/>
                <w:sz w:val="16"/>
                <w:szCs w:val="16"/>
              </w:rPr>
              <w:t>of</w:t>
            </w:r>
            <w:proofErr w:type="spellEnd"/>
            <w:r w:rsidRPr="00E16672">
              <w:rPr>
                <w:rFonts w:ascii="Times New Roman" w:eastAsia="Arial" w:hAnsi="Times New Roman"/>
                <w:color w:val="000000"/>
                <w:sz w:val="16"/>
                <w:szCs w:val="16"/>
              </w:rPr>
              <w:t xml:space="preserve"> </w:t>
            </w:r>
            <w:proofErr w:type="spellStart"/>
            <w:r w:rsidRPr="00E16672">
              <w:rPr>
                <w:rFonts w:ascii="Times New Roman" w:eastAsia="Arial" w:hAnsi="Times New Roman"/>
                <w:color w:val="000000"/>
                <w:sz w:val="16"/>
                <w:szCs w:val="16"/>
              </w:rPr>
              <w:t>Ukraine</w:t>
            </w:r>
            <w:proofErr w:type="spellEnd"/>
            <w:r w:rsidRPr="00E16672">
              <w:rPr>
                <w:rFonts w:ascii="Times New Roman" w:eastAsia="Arial" w:hAnsi="Times New Roman"/>
                <w:color w:val="000000"/>
                <w:sz w:val="16"/>
                <w:szCs w:val="16"/>
              </w:rPr>
              <w:t xml:space="preserve"> </w:t>
            </w:r>
            <w:r w:rsidR="00022F5F">
              <w:rPr>
                <w:rFonts w:ascii="Times New Roman" w:eastAsia="Arial" w:hAnsi="Times New Roman"/>
                <w:color w:val="000000"/>
                <w:sz w:val="16"/>
                <w:szCs w:val="16"/>
              </w:rPr>
              <w:t>"</w:t>
            </w:r>
            <w:proofErr w:type="spellStart"/>
            <w:r w:rsidRPr="00E16672">
              <w:rPr>
                <w:rFonts w:ascii="Times New Roman" w:eastAsia="Arial" w:hAnsi="Times New Roman"/>
                <w:color w:val="000000"/>
                <w:sz w:val="16"/>
                <w:szCs w:val="16"/>
              </w:rPr>
              <w:t>On</w:t>
            </w:r>
            <w:proofErr w:type="spellEnd"/>
            <w:r w:rsidRPr="00E16672">
              <w:rPr>
                <w:rFonts w:ascii="Times New Roman" w:eastAsia="Arial" w:hAnsi="Times New Roman"/>
                <w:color w:val="000000"/>
                <w:sz w:val="16"/>
                <w:szCs w:val="16"/>
              </w:rPr>
              <w:t xml:space="preserve"> </w:t>
            </w:r>
            <w:proofErr w:type="spellStart"/>
            <w:r w:rsidRPr="00E16672">
              <w:rPr>
                <w:rFonts w:ascii="Times New Roman" w:eastAsia="Arial" w:hAnsi="Times New Roman"/>
                <w:color w:val="000000"/>
                <w:sz w:val="16"/>
                <w:szCs w:val="16"/>
              </w:rPr>
              <w:t>Financial</w:t>
            </w:r>
            <w:proofErr w:type="spellEnd"/>
            <w:r w:rsidRPr="00E16672">
              <w:rPr>
                <w:rFonts w:ascii="Times New Roman" w:eastAsia="Arial" w:hAnsi="Times New Roman"/>
                <w:color w:val="000000"/>
                <w:sz w:val="16"/>
                <w:szCs w:val="16"/>
              </w:rPr>
              <w:t xml:space="preserve"> </w:t>
            </w:r>
            <w:proofErr w:type="spellStart"/>
            <w:r w:rsidRPr="00E16672">
              <w:rPr>
                <w:rFonts w:ascii="Times New Roman" w:eastAsia="Arial" w:hAnsi="Times New Roman"/>
                <w:color w:val="000000"/>
                <w:sz w:val="16"/>
                <w:szCs w:val="16"/>
              </w:rPr>
              <w:t>Services</w:t>
            </w:r>
            <w:proofErr w:type="spellEnd"/>
            <w:r w:rsidRPr="00E16672">
              <w:rPr>
                <w:rFonts w:ascii="Times New Roman" w:eastAsia="Arial" w:hAnsi="Times New Roman"/>
                <w:color w:val="000000"/>
                <w:sz w:val="16"/>
                <w:szCs w:val="16"/>
              </w:rPr>
              <w:t xml:space="preserve"> </w:t>
            </w:r>
            <w:proofErr w:type="spellStart"/>
            <w:r w:rsidRPr="00E16672">
              <w:rPr>
                <w:rFonts w:ascii="Times New Roman" w:eastAsia="Arial" w:hAnsi="Times New Roman"/>
                <w:color w:val="000000"/>
                <w:sz w:val="16"/>
                <w:szCs w:val="16"/>
              </w:rPr>
              <w:t>and</w:t>
            </w:r>
            <w:proofErr w:type="spellEnd"/>
            <w:r w:rsidRPr="00E16672">
              <w:rPr>
                <w:rFonts w:ascii="Times New Roman" w:eastAsia="Arial" w:hAnsi="Times New Roman"/>
                <w:color w:val="000000"/>
                <w:sz w:val="16"/>
                <w:szCs w:val="16"/>
              </w:rPr>
              <w:t xml:space="preserve"> </w:t>
            </w:r>
            <w:proofErr w:type="spellStart"/>
            <w:r w:rsidRPr="00E16672">
              <w:rPr>
                <w:rFonts w:ascii="Times New Roman" w:eastAsia="Arial" w:hAnsi="Times New Roman"/>
                <w:color w:val="000000"/>
                <w:sz w:val="16"/>
                <w:szCs w:val="16"/>
              </w:rPr>
              <w:t>State</w:t>
            </w:r>
            <w:proofErr w:type="spellEnd"/>
            <w:r w:rsidRPr="00E16672">
              <w:rPr>
                <w:rFonts w:ascii="Times New Roman" w:eastAsia="Arial" w:hAnsi="Times New Roman"/>
                <w:color w:val="000000"/>
                <w:sz w:val="16"/>
                <w:szCs w:val="16"/>
              </w:rPr>
              <w:t xml:space="preserve"> </w:t>
            </w:r>
            <w:proofErr w:type="spellStart"/>
            <w:r w:rsidRPr="00E16672">
              <w:rPr>
                <w:rFonts w:ascii="Times New Roman" w:eastAsia="Arial" w:hAnsi="Times New Roman"/>
                <w:color w:val="000000"/>
                <w:sz w:val="16"/>
                <w:szCs w:val="16"/>
              </w:rPr>
              <w:t>Regulation</w:t>
            </w:r>
            <w:proofErr w:type="spellEnd"/>
            <w:r w:rsidRPr="00E16672">
              <w:rPr>
                <w:rFonts w:ascii="Times New Roman" w:eastAsia="Arial" w:hAnsi="Times New Roman"/>
                <w:color w:val="000000"/>
                <w:sz w:val="16"/>
                <w:szCs w:val="16"/>
              </w:rPr>
              <w:t xml:space="preserve"> </w:t>
            </w:r>
            <w:proofErr w:type="spellStart"/>
            <w:r w:rsidRPr="00E16672">
              <w:rPr>
                <w:rFonts w:ascii="Times New Roman" w:eastAsia="Arial" w:hAnsi="Times New Roman"/>
                <w:color w:val="000000"/>
                <w:sz w:val="16"/>
                <w:szCs w:val="16"/>
              </w:rPr>
              <w:t>of</w:t>
            </w:r>
            <w:proofErr w:type="spellEnd"/>
            <w:r w:rsidRPr="00E16672">
              <w:rPr>
                <w:rFonts w:ascii="Times New Roman" w:eastAsia="Arial" w:hAnsi="Times New Roman"/>
                <w:color w:val="000000"/>
                <w:sz w:val="16"/>
                <w:szCs w:val="16"/>
              </w:rPr>
              <w:t xml:space="preserve"> </w:t>
            </w:r>
            <w:proofErr w:type="spellStart"/>
            <w:r w:rsidRPr="00E16672">
              <w:rPr>
                <w:rFonts w:ascii="Times New Roman" w:eastAsia="Arial" w:hAnsi="Times New Roman"/>
                <w:color w:val="000000"/>
                <w:sz w:val="16"/>
                <w:szCs w:val="16"/>
              </w:rPr>
              <w:t>Financial</w:t>
            </w:r>
            <w:proofErr w:type="spellEnd"/>
            <w:r w:rsidRPr="00E16672">
              <w:rPr>
                <w:rFonts w:ascii="Times New Roman" w:eastAsia="Arial" w:hAnsi="Times New Roman"/>
                <w:color w:val="000000"/>
                <w:sz w:val="16"/>
                <w:szCs w:val="16"/>
              </w:rPr>
              <w:t xml:space="preserve"> </w:t>
            </w:r>
            <w:proofErr w:type="spellStart"/>
            <w:r w:rsidRPr="00E16672">
              <w:rPr>
                <w:rFonts w:ascii="Times New Roman" w:eastAsia="Arial" w:hAnsi="Times New Roman"/>
                <w:color w:val="000000"/>
                <w:sz w:val="16"/>
                <w:szCs w:val="16"/>
              </w:rPr>
              <w:t>Services</w:t>
            </w:r>
            <w:proofErr w:type="spellEnd"/>
            <w:r w:rsidRPr="00E16672">
              <w:rPr>
                <w:rFonts w:ascii="Times New Roman" w:eastAsia="Arial" w:hAnsi="Times New Roman"/>
                <w:color w:val="000000"/>
                <w:sz w:val="16"/>
                <w:szCs w:val="16"/>
              </w:rPr>
              <w:t xml:space="preserve"> </w:t>
            </w:r>
            <w:proofErr w:type="spellStart"/>
            <w:r w:rsidRPr="00E16672">
              <w:rPr>
                <w:rFonts w:ascii="Times New Roman" w:eastAsia="Arial" w:hAnsi="Times New Roman"/>
                <w:color w:val="000000"/>
                <w:sz w:val="16"/>
                <w:szCs w:val="16"/>
              </w:rPr>
              <w:t>Markets</w:t>
            </w:r>
            <w:proofErr w:type="spellEnd"/>
            <w:r w:rsidR="00022F5F">
              <w:rPr>
                <w:rFonts w:ascii="Times New Roman" w:eastAsia="Arial" w:hAnsi="Times New Roman"/>
                <w:color w:val="000000"/>
                <w:sz w:val="16"/>
                <w:szCs w:val="16"/>
              </w:rPr>
              <w:t>"</w:t>
            </w:r>
            <w:r w:rsidRPr="00E16672">
              <w:rPr>
                <w:rFonts w:ascii="Times New Roman" w:eastAsia="Arial" w:hAnsi="Times New Roman"/>
                <w:color w:val="000000"/>
                <w:sz w:val="16"/>
                <w:szCs w:val="16"/>
                <w:lang w:val="en-US"/>
              </w:rPr>
              <w:t>.</w:t>
            </w:r>
          </w:p>
        </w:tc>
      </w:tr>
      <w:tr w:rsidR="003A05A3" w:rsidRPr="00F23413" w14:paraId="162F9E71" w14:textId="77777777" w:rsidTr="00242F58">
        <w:trPr>
          <w:trHeight w:val="1334"/>
        </w:trPr>
        <w:tc>
          <w:tcPr>
            <w:tcW w:w="5696" w:type="dxa"/>
            <w:gridSpan w:val="8"/>
            <w:shd w:val="clear" w:color="auto" w:fill="auto"/>
          </w:tcPr>
          <w:p w14:paraId="31EA1A47" w14:textId="77777777" w:rsidR="00F04A24" w:rsidRPr="00E16672" w:rsidRDefault="00F04A24" w:rsidP="00843027">
            <w:pPr>
              <w:snapToGrid w:val="0"/>
              <w:ind w:left="175" w:right="138"/>
              <w:jc w:val="center"/>
              <w:rPr>
                <w:rFonts w:ascii="Times New Roman" w:hAnsi="Times New Roman"/>
                <w:b/>
                <w:caps/>
                <w:sz w:val="16"/>
                <w:szCs w:val="16"/>
                <w:lang w:val="en-US"/>
              </w:rPr>
            </w:pPr>
          </w:p>
          <w:p w14:paraId="7CFEE2AA" w14:textId="77777777" w:rsidR="003A05A3" w:rsidRPr="00E16672" w:rsidRDefault="003A05A3" w:rsidP="00843027">
            <w:pPr>
              <w:snapToGrid w:val="0"/>
              <w:ind w:left="175" w:right="138"/>
              <w:jc w:val="center"/>
              <w:rPr>
                <w:rFonts w:ascii="Times New Roman" w:hAnsi="Times New Roman"/>
                <w:b/>
                <w:caps/>
                <w:sz w:val="16"/>
                <w:szCs w:val="16"/>
              </w:rPr>
            </w:pPr>
            <w:r w:rsidRPr="00E16672">
              <w:rPr>
                <w:rFonts w:ascii="Times New Roman" w:hAnsi="Times New Roman"/>
                <w:b/>
                <w:caps/>
                <w:sz w:val="16"/>
                <w:szCs w:val="16"/>
              </w:rPr>
              <w:t>3. Порядок отримання розпоряджень</w:t>
            </w:r>
          </w:p>
          <w:p w14:paraId="594AA1E5" w14:textId="77777777" w:rsidR="00F04A24" w:rsidRPr="00E16672" w:rsidRDefault="00F04A24" w:rsidP="00843027">
            <w:pPr>
              <w:ind w:left="175" w:right="138"/>
              <w:jc w:val="center"/>
              <w:rPr>
                <w:rFonts w:ascii="Times New Roman" w:hAnsi="Times New Roman"/>
                <w:sz w:val="16"/>
                <w:szCs w:val="16"/>
              </w:rPr>
            </w:pPr>
          </w:p>
          <w:p w14:paraId="1F31BE10" w14:textId="77777777" w:rsidR="003A05A3" w:rsidRPr="00E16672" w:rsidRDefault="003A05A3" w:rsidP="00843027">
            <w:pPr>
              <w:ind w:left="175" w:right="138" w:firstLine="0"/>
              <w:rPr>
                <w:rFonts w:ascii="Times New Roman" w:hAnsi="Times New Roman"/>
                <w:sz w:val="16"/>
                <w:szCs w:val="16"/>
              </w:rPr>
            </w:pPr>
            <w:r w:rsidRPr="00E16672">
              <w:rPr>
                <w:rFonts w:ascii="Times New Roman" w:hAnsi="Times New Roman"/>
                <w:sz w:val="16"/>
                <w:szCs w:val="16"/>
              </w:rPr>
              <w:t xml:space="preserve">3.1. </w:t>
            </w:r>
            <w:proofErr w:type="spellStart"/>
            <w:r w:rsidRPr="00E16672">
              <w:rPr>
                <w:rFonts w:ascii="Times New Roman" w:hAnsi="Times New Roman"/>
                <w:sz w:val="16"/>
                <w:szCs w:val="16"/>
              </w:rPr>
              <w:t>Обслуговування</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операцій</w:t>
            </w:r>
            <w:proofErr w:type="spellEnd"/>
            <w:r w:rsidRPr="00E16672">
              <w:rPr>
                <w:rFonts w:ascii="Times New Roman" w:hAnsi="Times New Roman"/>
                <w:sz w:val="16"/>
                <w:szCs w:val="16"/>
              </w:rPr>
              <w:t xml:space="preserve"> з </w:t>
            </w:r>
            <w:proofErr w:type="spellStart"/>
            <w:r w:rsidRPr="00E16672">
              <w:rPr>
                <w:rFonts w:ascii="Times New Roman" w:hAnsi="Times New Roman"/>
                <w:sz w:val="16"/>
                <w:szCs w:val="16"/>
              </w:rPr>
              <w:t>цінними</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паперами</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здійснюються</w:t>
            </w:r>
            <w:proofErr w:type="spellEnd"/>
            <w:r w:rsidRPr="00E16672">
              <w:rPr>
                <w:rFonts w:ascii="Times New Roman" w:hAnsi="Times New Roman"/>
                <w:sz w:val="16"/>
                <w:szCs w:val="16"/>
              </w:rPr>
              <w:t xml:space="preserve"> Депозитарною </w:t>
            </w:r>
            <w:proofErr w:type="spellStart"/>
            <w:r w:rsidRPr="00E16672">
              <w:rPr>
                <w:rFonts w:ascii="Times New Roman" w:hAnsi="Times New Roman"/>
                <w:sz w:val="16"/>
                <w:szCs w:val="16"/>
              </w:rPr>
              <w:t>установою</w:t>
            </w:r>
            <w:proofErr w:type="spellEnd"/>
            <w:r w:rsidRPr="00E16672">
              <w:rPr>
                <w:rFonts w:ascii="Times New Roman" w:hAnsi="Times New Roman"/>
                <w:sz w:val="16"/>
                <w:szCs w:val="16"/>
              </w:rPr>
              <w:t xml:space="preserve"> за </w:t>
            </w:r>
            <w:proofErr w:type="spellStart"/>
            <w:proofErr w:type="gramStart"/>
            <w:r w:rsidRPr="00E16672">
              <w:rPr>
                <w:rFonts w:ascii="Times New Roman" w:hAnsi="Times New Roman"/>
                <w:sz w:val="16"/>
                <w:szCs w:val="16"/>
              </w:rPr>
              <w:t>розпорядженням</w:t>
            </w:r>
            <w:proofErr w:type="spellEnd"/>
            <w:r w:rsidRPr="00E16672">
              <w:rPr>
                <w:rFonts w:ascii="Times New Roman" w:hAnsi="Times New Roman"/>
                <w:sz w:val="16"/>
                <w:szCs w:val="16"/>
              </w:rPr>
              <w:t xml:space="preserve">  Депонента</w:t>
            </w:r>
            <w:proofErr w:type="gramEnd"/>
            <w:r w:rsidRPr="00E16672">
              <w:rPr>
                <w:rFonts w:ascii="Times New Roman" w:hAnsi="Times New Roman"/>
                <w:sz w:val="16"/>
                <w:szCs w:val="16"/>
              </w:rPr>
              <w:t xml:space="preserve">, </w:t>
            </w:r>
            <w:proofErr w:type="spellStart"/>
            <w:r w:rsidRPr="00E16672">
              <w:rPr>
                <w:rFonts w:ascii="Times New Roman" w:hAnsi="Times New Roman"/>
                <w:sz w:val="16"/>
                <w:szCs w:val="16"/>
              </w:rPr>
              <w:t>керуючого</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або</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розпорядника</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його</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рахунком</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уповноваженого</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представника</w:t>
            </w:r>
            <w:proofErr w:type="spellEnd"/>
            <w:r w:rsidRPr="00E16672">
              <w:rPr>
                <w:rFonts w:ascii="Times New Roman" w:hAnsi="Times New Roman"/>
                <w:sz w:val="16"/>
                <w:szCs w:val="16"/>
              </w:rPr>
              <w:t>).</w:t>
            </w:r>
          </w:p>
          <w:p w14:paraId="5255268E" w14:textId="77777777" w:rsidR="003A05A3" w:rsidRPr="00E16672" w:rsidRDefault="003A05A3" w:rsidP="00843027">
            <w:pPr>
              <w:ind w:left="175" w:right="138"/>
              <w:rPr>
                <w:rFonts w:ascii="Times New Roman" w:hAnsi="Times New Roman"/>
                <w:sz w:val="16"/>
                <w:szCs w:val="16"/>
              </w:rPr>
            </w:pPr>
          </w:p>
        </w:tc>
        <w:tc>
          <w:tcPr>
            <w:tcW w:w="5494" w:type="dxa"/>
            <w:gridSpan w:val="6"/>
            <w:shd w:val="clear" w:color="auto" w:fill="auto"/>
          </w:tcPr>
          <w:p w14:paraId="27B4FF03" w14:textId="77777777" w:rsidR="00F04A24" w:rsidRPr="00E16672" w:rsidRDefault="00F04A24" w:rsidP="00843027">
            <w:pPr>
              <w:tabs>
                <w:tab w:val="left" w:pos="287"/>
              </w:tabs>
              <w:snapToGrid w:val="0"/>
              <w:ind w:left="145" w:right="100"/>
              <w:jc w:val="center"/>
              <w:rPr>
                <w:rFonts w:ascii="Times New Roman" w:hAnsi="Times New Roman"/>
                <w:b/>
                <w:caps/>
                <w:sz w:val="16"/>
                <w:szCs w:val="16"/>
              </w:rPr>
            </w:pPr>
          </w:p>
          <w:p w14:paraId="65A7DF5E" w14:textId="77777777" w:rsidR="003A05A3" w:rsidRPr="00E16672" w:rsidRDefault="003A05A3" w:rsidP="00843027">
            <w:pPr>
              <w:tabs>
                <w:tab w:val="left" w:pos="287"/>
              </w:tabs>
              <w:snapToGrid w:val="0"/>
              <w:ind w:left="145" w:right="100"/>
              <w:jc w:val="center"/>
              <w:rPr>
                <w:rFonts w:ascii="Times New Roman" w:hAnsi="Times New Roman"/>
                <w:b/>
                <w:caps/>
                <w:sz w:val="16"/>
                <w:szCs w:val="16"/>
                <w:lang w:val="en-GB"/>
              </w:rPr>
            </w:pPr>
            <w:r w:rsidRPr="00E16672">
              <w:rPr>
                <w:rFonts w:ascii="Times New Roman" w:hAnsi="Times New Roman"/>
                <w:b/>
                <w:caps/>
                <w:sz w:val="16"/>
                <w:szCs w:val="16"/>
                <w:lang w:val="en-GB"/>
              </w:rPr>
              <w:t>3. Procedures of deriving of the orders</w:t>
            </w:r>
          </w:p>
          <w:p w14:paraId="74310BB6" w14:textId="77777777" w:rsidR="003A05A3" w:rsidRPr="00E16672" w:rsidRDefault="003A05A3" w:rsidP="00843027">
            <w:pPr>
              <w:tabs>
                <w:tab w:val="left" w:pos="287"/>
              </w:tabs>
              <w:ind w:left="145" w:right="100"/>
              <w:rPr>
                <w:rFonts w:ascii="Times New Roman" w:hAnsi="Times New Roman"/>
                <w:sz w:val="16"/>
                <w:szCs w:val="16"/>
                <w:lang w:val="en-GB"/>
              </w:rPr>
            </w:pPr>
          </w:p>
          <w:p w14:paraId="189B3AE8" w14:textId="77777777" w:rsidR="003A05A3" w:rsidRPr="00E16672" w:rsidRDefault="003A05A3" w:rsidP="00843027">
            <w:pPr>
              <w:tabs>
                <w:tab w:val="left" w:pos="287"/>
              </w:tabs>
              <w:ind w:left="145" w:right="100" w:firstLine="0"/>
              <w:rPr>
                <w:rFonts w:ascii="Times New Roman" w:hAnsi="Times New Roman"/>
                <w:sz w:val="16"/>
                <w:szCs w:val="16"/>
                <w:lang w:val="en-GB"/>
              </w:rPr>
            </w:pPr>
            <w:r w:rsidRPr="00E16672">
              <w:rPr>
                <w:rFonts w:ascii="Times New Roman" w:hAnsi="Times New Roman"/>
                <w:sz w:val="16"/>
                <w:szCs w:val="16"/>
                <w:lang w:val="en-GB"/>
              </w:rPr>
              <w:t xml:space="preserve">3.1. Service of all of the operations with securities is to be </w:t>
            </w:r>
            <w:proofErr w:type="gramStart"/>
            <w:r w:rsidRPr="00E16672">
              <w:rPr>
                <w:rFonts w:ascii="Times New Roman" w:hAnsi="Times New Roman"/>
                <w:sz w:val="16"/>
                <w:szCs w:val="16"/>
                <w:lang w:val="en-GB"/>
              </w:rPr>
              <w:t>done  by</w:t>
            </w:r>
            <w:proofErr w:type="gramEnd"/>
            <w:r w:rsidRPr="00E16672">
              <w:rPr>
                <w:rFonts w:ascii="Times New Roman" w:hAnsi="Times New Roman"/>
                <w:sz w:val="16"/>
                <w:szCs w:val="16"/>
                <w:lang w:val="en-GB"/>
              </w:rPr>
              <w:t xml:space="preserve"> Depository institution  only by written orders given by Depositor, his administrator or account manager of the account (authorized representative person).</w:t>
            </w:r>
          </w:p>
        </w:tc>
      </w:tr>
      <w:tr w:rsidR="003A05A3" w:rsidRPr="00F23413" w14:paraId="7CC80887" w14:textId="77777777" w:rsidTr="00242F58">
        <w:trPr>
          <w:trHeight w:val="962"/>
        </w:trPr>
        <w:tc>
          <w:tcPr>
            <w:tcW w:w="5696" w:type="dxa"/>
            <w:gridSpan w:val="8"/>
            <w:shd w:val="clear" w:color="auto" w:fill="auto"/>
          </w:tcPr>
          <w:p w14:paraId="3BDE0574" w14:textId="77777777" w:rsidR="003A05A3" w:rsidRPr="00E16672" w:rsidRDefault="003A05A3" w:rsidP="00843027">
            <w:pPr>
              <w:snapToGrid w:val="0"/>
              <w:ind w:left="175" w:right="138" w:firstLine="7"/>
              <w:rPr>
                <w:rFonts w:ascii="Times New Roman" w:hAnsi="Times New Roman"/>
                <w:color w:val="000000"/>
                <w:sz w:val="16"/>
                <w:szCs w:val="16"/>
              </w:rPr>
            </w:pPr>
            <w:r w:rsidRPr="00E16672">
              <w:rPr>
                <w:rFonts w:ascii="Times New Roman" w:hAnsi="Times New Roman"/>
                <w:sz w:val="16"/>
                <w:szCs w:val="16"/>
              </w:rPr>
              <w:t>3.2</w:t>
            </w:r>
            <w:r w:rsidRPr="00E16672">
              <w:rPr>
                <w:rFonts w:ascii="Times New Roman" w:hAnsi="Times New Roman"/>
                <w:color w:val="000000"/>
                <w:sz w:val="16"/>
                <w:szCs w:val="16"/>
              </w:rPr>
              <w:t xml:space="preserve">. </w:t>
            </w:r>
            <w:r w:rsidR="00F92811" w:rsidRPr="00E16672">
              <w:rPr>
                <w:rFonts w:ascii="Times New Roman" w:hAnsi="Times New Roman"/>
                <w:color w:val="000000"/>
                <w:sz w:val="16"/>
                <w:szCs w:val="16"/>
                <w:lang w:val="uk-UA"/>
              </w:rPr>
              <w:t>Особливості складання розпоряджень Депонентів встановлені</w:t>
            </w:r>
            <w:r w:rsidR="00F92811" w:rsidRPr="00E16672">
              <w:rPr>
                <w:rFonts w:ascii="Times New Roman" w:hAnsi="Times New Roman"/>
                <w:color w:val="000000"/>
                <w:sz w:val="16"/>
                <w:szCs w:val="16"/>
              </w:rPr>
              <w:t xml:space="preserve"> </w:t>
            </w:r>
            <w:r w:rsidR="00F92811" w:rsidRPr="00E16672">
              <w:rPr>
                <w:rFonts w:ascii="Times New Roman" w:hAnsi="Times New Roman"/>
                <w:color w:val="000000"/>
                <w:sz w:val="16"/>
                <w:szCs w:val="20"/>
                <w:lang w:val="uk-UA"/>
              </w:rPr>
              <w:t>законодавством та</w:t>
            </w:r>
            <w:r w:rsidR="00F92811" w:rsidRPr="00E16672">
              <w:rPr>
                <w:rFonts w:ascii="Times New Roman" w:hAnsi="Times New Roman"/>
                <w:color w:val="000000"/>
                <w:sz w:val="16"/>
                <w:szCs w:val="20"/>
              </w:rPr>
              <w:t xml:space="preserve"> </w:t>
            </w:r>
            <w:proofErr w:type="spellStart"/>
            <w:r w:rsidR="00F92811" w:rsidRPr="00E16672">
              <w:rPr>
                <w:rFonts w:ascii="Times New Roman" w:hAnsi="Times New Roman"/>
                <w:color w:val="000000"/>
                <w:sz w:val="16"/>
                <w:szCs w:val="16"/>
              </w:rPr>
              <w:t>внутрішніми</w:t>
            </w:r>
            <w:proofErr w:type="spellEnd"/>
            <w:r w:rsidR="00F92811" w:rsidRPr="00E16672">
              <w:rPr>
                <w:rFonts w:ascii="Times New Roman" w:hAnsi="Times New Roman"/>
                <w:color w:val="000000"/>
                <w:sz w:val="16"/>
                <w:szCs w:val="16"/>
              </w:rPr>
              <w:t xml:space="preserve"> документами </w:t>
            </w:r>
            <w:proofErr w:type="spellStart"/>
            <w:r w:rsidR="00F92811" w:rsidRPr="00E16672">
              <w:rPr>
                <w:rFonts w:ascii="Times New Roman" w:hAnsi="Times New Roman"/>
                <w:color w:val="000000"/>
                <w:sz w:val="16"/>
                <w:szCs w:val="16"/>
              </w:rPr>
              <w:t>Депозитарної</w:t>
            </w:r>
            <w:proofErr w:type="spellEnd"/>
            <w:r w:rsidR="00F92811" w:rsidRPr="00E16672">
              <w:rPr>
                <w:rFonts w:ascii="Times New Roman" w:hAnsi="Times New Roman"/>
                <w:color w:val="000000"/>
                <w:sz w:val="16"/>
                <w:szCs w:val="16"/>
              </w:rPr>
              <w:t xml:space="preserve"> установи</w:t>
            </w:r>
            <w:r w:rsidR="00F92811" w:rsidRPr="00E16672">
              <w:rPr>
                <w:rFonts w:ascii="Times New Roman" w:hAnsi="Times New Roman"/>
                <w:color w:val="000000"/>
                <w:sz w:val="16"/>
                <w:szCs w:val="16"/>
                <w:lang w:val="uk-UA"/>
              </w:rPr>
              <w:t xml:space="preserve">. </w:t>
            </w:r>
            <w:proofErr w:type="spellStart"/>
            <w:r w:rsidR="00F92811" w:rsidRPr="00E16672">
              <w:rPr>
                <w:rFonts w:ascii="Times New Roman" w:hAnsi="Times New Roman"/>
                <w:color w:val="000000"/>
                <w:sz w:val="16"/>
                <w:szCs w:val="16"/>
              </w:rPr>
              <w:t>Розпорядження</w:t>
            </w:r>
            <w:proofErr w:type="spellEnd"/>
            <w:r w:rsidR="00F92811" w:rsidRPr="00E16672">
              <w:rPr>
                <w:rFonts w:ascii="Times New Roman" w:hAnsi="Times New Roman"/>
                <w:color w:val="000000"/>
                <w:sz w:val="16"/>
                <w:szCs w:val="16"/>
              </w:rPr>
              <w:t xml:space="preserve"> </w:t>
            </w:r>
            <w:proofErr w:type="spellStart"/>
            <w:r w:rsidR="00F92811" w:rsidRPr="00E16672">
              <w:rPr>
                <w:rFonts w:ascii="Times New Roman" w:hAnsi="Times New Roman"/>
                <w:color w:val="000000"/>
                <w:sz w:val="16"/>
                <w:szCs w:val="16"/>
              </w:rPr>
              <w:t>можуть</w:t>
            </w:r>
            <w:proofErr w:type="spellEnd"/>
            <w:r w:rsidR="00F92811" w:rsidRPr="00E16672">
              <w:rPr>
                <w:rFonts w:ascii="Times New Roman" w:hAnsi="Times New Roman"/>
                <w:color w:val="000000"/>
                <w:sz w:val="16"/>
                <w:szCs w:val="16"/>
              </w:rPr>
              <w:t xml:space="preserve"> </w:t>
            </w:r>
            <w:proofErr w:type="spellStart"/>
            <w:r w:rsidR="00F92811" w:rsidRPr="00E16672">
              <w:rPr>
                <w:rFonts w:ascii="Times New Roman" w:hAnsi="Times New Roman"/>
                <w:color w:val="000000"/>
                <w:sz w:val="16"/>
                <w:szCs w:val="16"/>
              </w:rPr>
              <w:t>надаватися</w:t>
            </w:r>
            <w:proofErr w:type="spellEnd"/>
            <w:r w:rsidR="00F92811" w:rsidRPr="00E16672">
              <w:rPr>
                <w:rFonts w:ascii="Times New Roman" w:hAnsi="Times New Roman"/>
                <w:color w:val="000000"/>
                <w:sz w:val="16"/>
                <w:szCs w:val="16"/>
              </w:rPr>
              <w:t xml:space="preserve"> </w:t>
            </w:r>
            <w:proofErr w:type="spellStart"/>
            <w:r w:rsidR="00F92811" w:rsidRPr="00E16672">
              <w:rPr>
                <w:rFonts w:ascii="Times New Roman" w:hAnsi="Times New Roman"/>
                <w:color w:val="000000"/>
                <w:sz w:val="16"/>
                <w:szCs w:val="16"/>
              </w:rPr>
              <w:t>Депозитарній</w:t>
            </w:r>
            <w:proofErr w:type="spellEnd"/>
            <w:r w:rsidR="00F92811" w:rsidRPr="00E16672">
              <w:rPr>
                <w:rFonts w:ascii="Times New Roman" w:hAnsi="Times New Roman"/>
                <w:color w:val="000000"/>
                <w:sz w:val="16"/>
                <w:szCs w:val="16"/>
              </w:rPr>
              <w:t xml:space="preserve"> </w:t>
            </w:r>
            <w:proofErr w:type="spellStart"/>
            <w:r w:rsidR="00F92811" w:rsidRPr="00E16672">
              <w:rPr>
                <w:rFonts w:ascii="Times New Roman" w:hAnsi="Times New Roman"/>
                <w:color w:val="000000"/>
                <w:sz w:val="16"/>
                <w:szCs w:val="16"/>
              </w:rPr>
              <w:t>установі</w:t>
            </w:r>
            <w:proofErr w:type="spellEnd"/>
            <w:r w:rsidR="00F92811" w:rsidRPr="00E16672">
              <w:rPr>
                <w:rFonts w:ascii="Times New Roman" w:hAnsi="Times New Roman"/>
                <w:color w:val="000000"/>
                <w:sz w:val="16"/>
                <w:szCs w:val="16"/>
              </w:rPr>
              <w:t xml:space="preserve"> у </w:t>
            </w:r>
            <w:proofErr w:type="spellStart"/>
            <w:r w:rsidR="00F92811" w:rsidRPr="00E16672">
              <w:rPr>
                <w:rFonts w:ascii="Times New Roman" w:hAnsi="Times New Roman"/>
                <w:color w:val="000000"/>
                <w:sz w:val="16"/>
                <w:szCs w:val="16"/>
              </w:rPr>
              <w:t>формі</w:t>
            </w:r>
            <w:proofErr w:type="spellEnd"/>
            <w:r w:rsidR="00F92811" w:rsidRPr="00E16672">
              <w:rPr>
                <w:rFonts w:ascii="Times New Roman" w:hAnsi="Times New Roman"/>
                <w:color w:val="000000"/>
                <w:sz w:val="16"/>
                <w:szCs w:val="16"/>
              </w:rPr>
              <w:t>:</w:t>
            </w:r>
            <w:r w:rsidR="00F92811" w:rsidRPr="00E16672">
              <w:rPr>
                <w:rFonts w:ascii="Times New Roman" w:hAnsi="Times New Roman"/>
                <w:sz w:val="16"/>
                <w:szCs w:val="16"/>
              </w:rPr>
              <w:t xml:space="preserve"> </w:t>
            </w:r>
            <w:proofErr w:type="spellStart"/>
            <w:r w:rsidR="00F92811" w:rsidRPr="00E16672">
              <w:rPr>
                <w:rFonts w:ascii="Times New Roman" w:hAnsi="Times New Roman"/>
                <w:sz w:val="16"/>
                <w:szCs w:val="16"/>
              </w:rPr>
              <w:t>паперового</w:t>
            </w:r>
            <w:proofErr w:type="spellEnd"/>
            <w:r w:rsidR="00F92811" w:rsidRPr="00E16672">
              <w:rPr>
                <w:rFonts w:ascii="Times New Roman" w:hAnsi="Times New Roman"/>
                <w:sz w:val="16"/>
                <w:szCs w:val="16"/>
              </w:rPr>
              <w:t xml:space="preserve"> документу, </w:t>
            </w:r>
            <w:proofErr w:type="spellStart"/>
            <w:r w:rsidR="00F92811" w:rsidRPr="00E16672">
              <w:rPr>
                <w:rFonts w:ascii="Times New Roman" w:hAnsi="Times New Roman"/>
                <w:sz w:val="16"/>
                <w:szCs w:val="16"/>
              </w:rPr>
              <w:t>електронного</w:t>
            </w:r>
            <w:proofErr w:type="spellEnd"/>
            <w:r w:rsidR="00F92811" w:rsidRPr="00E16672">
              <w:rPr>
                <w:rFonts w:ascii="Times New Roman" w:hAnsi="Times New Roman"/>
                <w:sz w:val="16"/>
                <w:szCs w:val="16"/>
              </w:rPr>
              <w:t xml:space="preserve"> документу, </w:t>
            </w:r>
            <w:proofErr w:type="spellStart"/>
            <w:r w:rsidR="00F92811" w:rsidRPr="00E16672">
              <w:rPr>
                <w:rFonts w:ascii="Times New Roman" w:hAnsi="Times New Roman"/>
                <w:sz w:val="16"/>
                <w:szCs w:val="16"/>
              </w:rPr>
              <w:t>електронного</w:t>
            </w:r>
            <w:proofErr w:type="spellEnd"/>
            <w:r w:rsidR="00F92811" w:rsidRPr="00E16672">
              <w:rPr>
                <w:rFonts w:ascii="Times New Roman" w:hAnsi="Times New Roman"/>
                <w:sz w:val="16"/>
                <w:szCs w:val="16"/>
              </w:rPr>
              <w:t xml:space="preserve"> документу у </w:t>
            </w:r>
            <w:proofErr w:type="spellStart"/>
            <w:r w:rsidR="00F92811" w:rsidRPr="00E16672">
              <w:rPr>
                <w:rFonts w:ascii="Times New Roman" w:hAnsi="Times New Roman"/>
                <w:sz w:val="16"/>
                <w:szCs w:val="16"/>
              </w:rPr>
              <w:t>формі</w:t>
            </w:r>
            <w:proofErr w:type="spellEnd"/>
            <w:r w:rsidR="00F92811" w:rsidRPr="00E16672">
              <w:rPr>
                <w:rFonts w:ascii="Times New Roman" w:hAnsi="Times New Roman"/>
                <w:sz w:val="16"/>
                <w:szCs w:val="16"/>
              </w:rPr>
              <w:t xml:space="preserve"> S.W.I.F.T.-</w:t>
            </w:r>
            <w:proofErr w:type="spellStart"/>
            <w:r w:rsidR="00F92811" w:rsidRPr="00E16672">
              <w:rPr>
                <w:rFonts w:ascii="Times New Roman" w:hAnsi="Times New Roman"/>
                <w:color w:val="000000"/>
                <w:sz w:val="16"/>
                <w:szCs w:val="16"/>
              </w:rPr>
              <w:t>повідомлення</w:t>
            </w:r>
            <w:proofErr w:type="spellEnd"/>
            <w:r w:rsidR="00F92811" w:rsidRPr="00E16672">
              <w:rPr>
                <w:rFonts w:ascii="Times New Roman" w:hAnsi="Times New Roman"/>
                <w:color w:val="000000"/>
                <w:sz w:val="16"/>
                <w:szCs w:val="16"/>
              </w:rPr>
              <w:t>.</w:t>
            </w:r>
            <w:r w:rsidRPr="00E16672">
              <w:rPr>
                <w:rFonts w:ascii="Times New Roman" w:hAnsi="Times New Roman"/>
                <w:color w:val="000000"/>
                <w:sz w:val="16"/>
                <w:szCs w:val="16"/>
              </w:rPr>
              <w:t xml:space="preserve"> </w:t>
            </w:r>
          </w:p>
          <w:p w14:paraId="4F841A04" w14:textId="77777777" w:rsidR="003A05A3" w:rsidRPr="00E16672" w:rsidRDefault="003A05A3" w:rsidP="00843027">
            <w:pPr>
              <w:ind w:left="175" w:right="138" w:firstLine="7"/>
              <w:rPr>
                <w:rFonts w:ascii="Times New Roman" w:hAnsi="Times New Roman"/>
                <w:color w:val="000000"/>
                <w:sz w:val="16"/>
                <w:szCs w:val="16"/>
              </w:rPr>
            </w:pPr>
            <w:proofErr w:type="spellStart"/>
            <w:r w:rsidRPr="00E16672">
              <w:rPr>
                <w:rFonts w:ascii="Times New Roman" w:hAnsi="Times New Roman"/>
                <w:color w:val="000000"/>
                <w:sz w:val="16"/>
                <w:szCs w:val="16"/>
              </w:rPr>
              <w:t>Спосіб</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підписання</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розпорядження</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визначається</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згідно</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зі</w:t>
            </w:r>
            <w:proofErr w:type="spellEnd"/>
            <w:r w:rsidRPr="00E16672">
              <w:rPr>
                <w:rFonts w:ascii="Times New Roman" w:hAnsi="Times New Roman"/>
                <w:color w:val="000000"/>
                <w:sz w:val="16"/>
                <w:szCs w:val="16"/>
              </w:rPr>
              <w:t xml:space="preserve"> способом </w:t>
            </w:r>
            <w:proofErr w:type="spellStart"/>
            <w:r w:rsidRPr="00E16672">
              <w:rPr>
                <w:rFonts w:ascii="Times New Roman" w:hAnsi="Times New Roman"/>
                <w:color w:val="000000"/>
                <w:sz w:val="16"/>
                <w:szCs w:val="16"/>
              </w:rPr>
              <w:t>підтвердження</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справжності</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підпису</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що</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використовується</w:t>
            </w:r>
            <w:proofErr w:type="spellEnd"/>
            <w:r w:rsidRPr="00E16672">
              <w:rPr>
                <w:rFonts w:ascii="Times New Roman" w:hAnsi="Times New Roman"/>
                <w:color w:val="000000"/>
                <w:sz w:val="16"/>
                <w:szCs w:val="16"/>
              </w:rPr>
              <w:t xml:space="preserve"> при </w:t>
            </w:r>
            <w:proofErr w:type="spellStart"/>
            <w:r w:rsidRPr="00E16672">
              <w:rPr>
                <w:rFonts w:ascii="Times New Roman" w:hAnsi="Times New Roman"/>
                <w:color w:val="000000"/>
                <w:sz w:val="16"/>
                <w:szCs w:val="16"/>
              </w:rPr>
              <w:t>обміні</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інформацією</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між</w:t>
            </w:r>
            <w:proofErr w:type="spellEnd"/>
            <w:r w:rsidRPr="00E16672">
              <w:rPr>
                <w:rFonts w:ascii="Times New Roman" w:hAnsi="Times New Roman"/>
                <w:color w:val="000000"/>
                <w:sz w:val="16"/>
                <w:szCs w:val="16"/>
              </w:rPr>
              <w:t xml:space="preserve"> Депонентом та Депозитарною </w:t>
            </w:r>
            <w:proofErr w:type="spellStart"/>
            <w:r w:rsidRPr="00E16672">
              <w:rPr>
                <w:rFonts w:ascii="Times New Roman" w:hAnsi="Times New Roman"/>
                <w:color w:val="000000"/>
                <w:sz w:val="16"/>
                <w:szCs w:val="16"/>
              </w:rPr>
              <w:t>установою</w:t>
            </w:r>
            <w:proofErr w:type="spellEnd"/>
            <w:r w:rsidRPr="00E16672">
              <w:rPr>
                <w:rFonts w:ascii="Times New Roman" w:hAnsi="Times New Roman"/>
                <w:color w:val="000000"/>
                <w:sz w:val="16"/>
                <w:szCs w:val="16"/>
              </w:rPr>
              <w:t xml:space="preserve">, і </w:t>
            </w:r>
            <w:proofErr w:type="spellStart"/>
            <w:r w:rsidRPr="00E16672">
              <w:rPr>
                <w:rFonts w:ascii="Times New Roman" w:hAnsi="Times New Roman"/>
                <w:color w:val="000000"/>
                <w:sz w:val="16"/>
                <w:szCs w:val="16"/>
              </w:rPr>
              <w:t>може</w:t>
            </w:r>
            <w:proofErr w:type="spellEnd"/>
            <w:r w:rsidRPr="00E16672">
              <w:rPr>
                <w:rFonts w:ascii="Times New Roman" w:hAnsi="Times New Roman"/>
                <w:color w:val="000000"/>
                <w:sz w:val="16"/>
                <w:szCs w:val="16"/>
              </w:rPr>
              <w:t xml:space="preserve"> бути таким:</w:t>
            </w:r>
          </w:p>
          <w:p w14:paraId="19E6F45B" w14:textId="77777777" w:rsidR="003A05A3" w:rsidRPr="00E16672" w:rsidRDefault="003A05A3" w:rsidP="00843027">
            <w:pPr>
              <w:ind w:left="175" w:right="138" w:firstLine="7"/>
              <w:rPr>
                <w:rFonts w:ascii="Times New Roman" w:hAnsi="Times New Roman"/>
                <w:color w:val="000000"/>
                <w:sz w:val="16"/>
                <w:szCs w:val="16"/>
              </w:rPr>
            </w:pPr>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підпис</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розпорядника</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рахунку</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або</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керуючого</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рахунком</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юридичної</w:t>
            </w:r>
            <w:proofErr w:type="spellEnd"/>
            <w:r w:rsidRPr="00E16672">
              <w:rPr>
                <w:rFonts w:ascii="Times New Roman" w:hAnsi="Times New Roman"/>
                <w:color w:val="000000"/>
                <w:sz w:val="16"/>
                <w:szCs w:val="16"/>
              </w:rPr>
              <w:t xml:space="preserve"> особи, печатка </w:t>
            </w:r>
            <w:proofErr w:type="spellStart"/>
            <w:r w:rsidRPr="00E16672">
              <w:rPr>
                <w:rFonts w:ascii="Times New Roman" w:hAnsi="Times New Roman"/>
                <w:color w:val="000000"/>
                <w:sz w:val="16"/>
                <w:szCs w:val="16"/>
              </w:rPr>
              <w:t>керуючого</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рахунком</w:t>
            </w:r>
            <w:proofErr w:type="spellEnd"/>
            <w:r w:rsidRPr="00E16672">
              <w:rPr>
                <w:rFonts w:ascii="Times New Roman" w:hAnsi="Times New Roman"/>
                <w:color w:val="000000"/>
                <w:sz w:val="16"/>
                <w:szCs w:val="16"/>
              </w:rPr>
              <w:t xml:space="preserve"> - </w:t>
            </w:r>
            <w:proofErr w:type="spellStart"/>
            <w:r w:rsidRPr="00E16672">
              <w:rPr>
                <w:rFonts w:ascii="Times New Roman" w:hAnsi="Times New Roman"/>
                <w:color w:val="000000"/>
                <w:sz w:val="16"/>
                <w:szCs w:val="16"/>
              </w:rPr>
              <w:t>юридичної</w:t>
            </w:r>
            <w:proofErr w:type="spellEnd"/>
            <w:r w:rsidRPr="00E16672">
              <w:rPr>
                <w:rFonts w:ascii="Times New Roman" w:hAnsi="Times New Roman"/>
                <w:color w:val="000000"/>
                <w:sz w:val="16"/>
                <w:szCs w:val="16"/>
              </w:rPr>
              <w:t xml:space="preserve"> особи (у </w:t>
            </w:r>
            <w:proofErr w:type="spellStart"/>
            <w:r w:rsidRPr="00E16672">
              <w:rPr>
                <w:rFonts w:ascii="Times New Roman" w:hAnsi="Times New Roman"/>
                <w:color w:val="000000"/>
                <w:sz w:val="16"/>
                <w:szCs w:val="16"/>
              </w:rPr>
              <w:t>разі</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її</w:t>
            </w:r>
            <w:proofErr w:type="spellEnd"/>
            <w:r w:rsidRPr="00E16672">
              <w:rPr>
                <w:rFonts w:ascii="Times New Roman" w:hAnsi="Times New Roman"/>
                <w:color w:val="000000"/>
                <w:sz w:val="16"/>
                <w:szCs w:val="16"/>
              </w:rPr>
              <w:t xml:space="preserve"> </w:t>
            </w:r>
            <w:r w:rsidRPr="00E16672">
              <w:rPr>
                <w:rFonts w:ascii="Times New Roman" w:hAnsi="Times New Roman"/>
                <w:color w:val="000000"/>
                <w:sz w:val="16"/>
                <w:szCs w:val="16"/>
                <w:lang w:val="uk-UA"/>
              </w:rPr>
              <w:t xml:space="preserve">використання </w:t>
            </w:r>
            <w:r w:rsidRPr="00E16672">
              <w:rPr>
                <w:rFonts w:ascii="Times New Roman" w:hAnsi="Times New Roman"/>
                <w:color w:val="000000"/>
                <w:sz w:val="16"/>
                <w:szCs w:val="16"/>
              </w:rPr>
              <w:t xml:space="preserve">та у </w:t>
            </w:r>
            <w:proofErr w:type="spellStart"/>
            <w:r w:rsidRPr="00E16672">
              <w:rPr>
                <w:rFonts w:ascii="Times New Roman" w:hAnsi="Times New Roman"/>
                <w:color w:val="000000"/>
                <w:sz w:val="16"/>
                <w:szCs w:val="16"/>
              </w:rPr>
              <w:t>відповідності</w:t>
            </w:r>
            <w:proofErr w:type="spellEnd"/>
            <w:r w:rsidRPr="00E16672">
              <w:rPr>
                <w:rFonts w:ascii="Times New Roman" w:hAnsi="Times New Roman"/>
                <w:color w:val="000000"/>
                <w:sz w:val="16"/>
                <w:szCs w:val="16"/>
              </w:rPr>
              <w:t xml:space="preserve"> до </w:t>
            </w:r>
            <w:proofErr w:type="spellStart"/>
            <w:r w:rsidRPr="00E16672">
              <w:rPr>
                <w:rFonts w:ascii="Times New Roman" w:hAnsi="Times New Roman"/>
                <w:color w:val="000000"/>
                <w:sz w:val="16"/>
                <w:szCs w:val="16"/>
              </w:rPr>
              <w:t>повноважень</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які</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передбачають</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посвідчення</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підпису</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печаткою</w:t>
            </w:r>
            <w:proofErr w:type="spellEnd"/>
            <w:r w:rsidRPr="00E16672">
              <w:rPr>
                <w:rFonts w:ascii="Times New Roman" w:hAnsi="Times New Roman"/>
                <w:color w:val="000000"/>
                <w:sz w:val="16"/>
                <w:szCs w:val="16"/>
              </w:rPr>
              <w:t xml:space="preserve">) - у </w:t>
            </w:r>
            <w:proofErr w:type="spellStart"/>
            <w:r w:rsidRPr="00E16672">
              <w:rPr>
                <w:rFonts w:ascii="Times New Roman" w:hAnsi="Times New Roman"/>
                <w:color w:val="000000"/>
                <w:sz w:val="16"/>
                <w:szCs w:val="16"/>
              </w:rPr>
              <w:t>разі</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надання</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розпорядження</w:t>
            </w:r>
            <w:proofErr w:type="spellEnd"/>
            <w:r w:rsidRPr="00E16672">
              <w:rPr>
                <w:rFonts w:ascii="Times New Roman" w:hAnsi="Times New Roman"/>
                <w:color w:val="000000"/>
                <w:sz w:val="16"/>
                <w:szCs w:val="16"/>
              </w:rPr>
              <w:t xml:space="preserve"> у </w:t>
            </w:r>
            <w:proofErr w:type="spellStart"/>
            <w:r w:rsidRPr="00E16672">
              <w:rPr>
                <w:rFonts w:ascii="Times New Roman" w:hAnsi="Times New Roman"/>
                <w:color w:val="000000"/>
                <w:sz w:val="16"/>
                <w:szCs w:val="16"/>
              </w:rPr>
              <w:t>вигляді</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паперового</w:t>
            </w:r>
            <w:proofErr w:type="spellEnd"/>
            <w:r w:rsidRPr="00E16672">
              <w:rPr>
                <w:rFonts w:ascii="Times New Roman" w:hAnsi="Times New Roman"/>
                <w:color w:val="000000"/>
                <w:sz w:val="16"/>
                <w:szCs w:val="16"/>
              </w:rPr>
              <w:t xml:space="preserve"> документа;</w:t>
            </w:r>
          </w:p>
          <w:p w14:paraId="4C3905EC" w14:textId="77777777" w:rsidR="003A05A3" w:rsidRPr="00E16672" w:rsidRDefault="003A05A3" w:rsidP="00843027">
            <w:pPr>
              <w:ind w:left="175" w:right="138" w:firstLine="7"/>
              <w:rPr>
                <w:rFonts w:ascii="Times New Roman" w:hAnsi="Times New Roman"/>
                <w:color w:val="000000"/>
                <w:sz w:val="16"/>
                <w:szCs w:val="16"/>
                <w:lang w:val="uk-UA"/>
              </w:rPr>
            </w:pPr>
            <w:r w:rsidRPr="00E16672">
              <w:rPr>
                <w:rFonts w:ascii="Times New Roman" w:hAnsi="Times New Roman"/>
                <w:color w:val="000000"/>
                <w:sz w:val="16"/>
                <w:szCs w:val="16"/>
              </w:rPr>
              <w:t xml:space="preserve"> - </w:t>
            </w:r>
            <w:r w:rsidRPr="00E16672">
              <w:rPr>
                <w:rFonts w:ascii="Times New Roman" w:hAnsi="Times New Roman"/>
                <w:color w:val="000000"/>
                <w:sz w:val="16"/>
                <w:szCs w:val="16"/>
                <w:lang w:val="uk-UA"/>
              </w:rPr>
              <w:t>кваліфікований</w:t>
            </w:r>
            <w:r w:rsidRPr="00E16672" w:rsidDel="008C4813">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rPr>
              <w:t>електронний</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підпис</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що</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накладається</w:t>
            </w:r>
            <w:proofErr w:type="spellEnd"/>
            <w:r w:rsidRPr="00E16672">
              <w:rPr>
                <w:rFonts w:ascii="Times New Roman" w:hAnsi="Times New Roman"/>
                <w:color w:val="000000"/>
                <w:sz w:val="16"/>
                <w:szCs w:val="16"/>
              </w:rPr>
              <w:t xml:space="preserve"> за </w:t>
            </w:r>
            <w:proofErr w:type="spellStart"/>
            <w:r w:rsidRPr="00E16672">
              <w:rPr>
                <w:rFonts w:ascii="Times New Roman" w:hAnsi="Times New Roman"/>
                <w:color w:val="000000"/>
                <w:sz w:val="16"/>
                <w:szCs w:val="16"/>
              </w:rPr>
              <w:t>допомогою</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особистого</w:t>
            </w:r>
            <w:proofErr w:type="spellEnd"/>
            <w:r w:rsidRPr="00E16672">
              <w:rPr>
                <w:rFonts w:ascii="Times New Roman" w:hAnsi="Times New Roman"/>
                <w:color w:val="000000"/>
                <w:sz w:val="16"/>
                <w:szCs w:val="16"/>
              </w:rPr>
              <w:t xml:space="preserve"> ключа </w:t>
            </w:r>
            <w:proofErr w:type="spellStart"/>
            <w:r w:rsidRPr="00E16672">
              <w:rPr>
                <w:rFonts w:ascii="Times New Roman" w:hAnsi="Times New Roman"/>
                <w:color w:val="000000"/>
                <w:sz w:val="16"/>
                <w:szCs w:val="16"/>
                <w:lang w:val="uk-UA"/>
              </w:rPr>
              <w:t>кваліфікован</w:t>
            </w:r>
            <w:proofErr w:type="spellEnd"/>
            <w:r w:rsidRPr="00E16672">
              <w:rPr>
                <w:rFonts w:ascii="Times New Roman" w:hAnsi="Times New Roman"/>
                <w:color w:val="000000"/>
                <w:sz w:val="16"/>
                <w:szCs w:val="16"/>
              </w:rPr>
              <w:t>ого</w:t>
            </w:r>
            <w:r w:rsidRPr="00E16672" w:rsidDel="008C4813">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rPr>
              <w:t>електронного</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підпису</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розпорядника</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рахунку</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або</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керуючого</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рахунком</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юридичної</w:t>
            </w:r>
            <w:proofErr w:type="spellEnd"/>
            <w:r w:rsidRPr="00E16672">
              <w:rPr>
                <w:rFonts w:ascii="Times New Roman" w:hAnsi="Times New Roman"/>
                <w:color w:val="000000"/>
                <w:sz w:val="16"/>
                <w:szCs w:val="16"/>
              </w:rPr>
              <w:t xml:space="preserve"> особи, </w:t>
            </w:r>
            <w:r w:rsidRPr="00E16672">
              <w:rPr>
                <w:rFonts w:ascii="Times New Roman" w:hAnsi="Times New Roman"/>
                <w:color w:val="000000"/>
                <w:sz w:val="16"/>
                <w:szCs w:val="16"/>
                <w:lang w:val="uk-UA"/>
              </w:rPr>
              <w:t>кваліфікований</w:t>
            </w:r>
            <w:r w:rsidRPr="00E16672" w:rsidDel="008C4813">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rPr>
              <w:t>електронний</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підпис</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що</w:t>
            </w:r>
            <w:proofErr w:type="spellEnd"/>
            <w:r w:rsidRPr="00E16672">
              <w:rPr>
                <w:rFonts w:ascii="Times New Roman" w:hAnsi="Times New Roman"/>
                <w:color w:val="000000"/>
                <w:sz w:val="16"/>
                <w:szCs w:val="16"/>
              </w:rPr>
              <w:t xml:space="preserve"> за </w:t>
            </w:r>
            <w:proofErr w:type="spellStart"/>
            <w:r w:rsidRPr="00E16672">
              <w:rPr>
                <w:rFonts w:ascii="Times New Roman" w:hAnsi="Times New Roman"/>
                <w:color w:val="000000"/>
                <w:sz w:val="16"/>
                <w:szCs w:val="16"/>
              </w:rPr>
              <w:t>правовим</w:t>
            </w:r>
            <w:proofErr w:type="spellEnd"/>
            <w:r w:rsidRPr="00E16672">
              <w:rPr>
                <w:rFonts w:ascii="Times New Roman" w:hAnsi="Times New Roman"/>
                <w:color w:val="000000"/>
                <w:sz w:val="16"/>
                <w:szCs w:val="16"/>
              </w:rPr>
              <w:t xml:space="preserve"> статусом </w:t>
            </w:r>
            <w:proofErr w:type="spellStart"/>
            <w:r w:rsidRPr="00E16672">
              <w:rPr>
                <w:rFonts w:ascii="Times New Roman" w:hAnsi="Times New Roman"/>
                <w:color w:val="000000"/>
                <w:sz w:val="16"/>
                <w:szCs w:val="16"/>
              </w:rPr>
              <w:t>прирівнюється</w:t>
            </w:r>
            <w:proofErr w:type="spellEnd"/>
            <w:r w:rsidRPr="00E16672">
              <w:rPr>
                <w:rFonts w:ascii="Times New Roman" w:hAnsi="Times New Roman"/>
                <w:color w:val="000000"/>
                <w:sz w:val="16"/>
                <w:szCs w:val="16"/>
              </w:rPr>
              <w:t xml:space="preserve"> до печатки </w:t>
            </w:r>
            <w:proofErr w:type="spellStart"/>
            <w:r w:rsidRPr="00E16672">
              <w:rPr>
                <w:rFonts w:ascii="Times New Roman" w:hAnsi="Times New Roman"/>
                <w:color w:val="000000"/>
                <w:sz w:val="16"/>
                <w:szCs w:val="16"/>
              </w:rPr>
              <w:t>юридичної</w:t>
            </w:r>
            <w:proofErr w:type="spellEnd"/>
            <w:r w:rsidRPr="00E16672">
              <w:rPr>
                <w:rFonts w:ascii="Times New Roman" w:hAnsi="Times New Roman"/>
                <w:color w:val="000000"/>
                <w:sz w:val="16"/>
                <w:szCs w:val="16"/>
              </w:rPr>
              <w:t xml:space="preserve"> особи (</w:t>
            </w:r>
            <w:r w:rsidRPr="00E16672">
              <w:rPr>
                <w:rFonts w:ascii="Times New Roman" w:hAnsi="Times New Roman"/>
                <w:color w:val="000000"/>
                <w:sz w:val="16"/>
                <w:szCs w:val="20"/>
                <w:lang w:val="uk-UA"/>
              </w:rPr>
              <w:t xml:space="preserve">у разі її використання, </w:t>
            </w:r>
            <w:proofErr w:type="spellStart"/>
            <w:r w:rsidRPr="00E16672">
              <w:rPr>
                <w:rFonts w:ascii="Times New Roman" w:hAnsi="Times New Roman"/>
                <w:color w:val="000000"/>
                <w:sz w:val="16"/>
                <w:szCs w:val="16"/>
              </w:rPr>
              <w:t>крім</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юридичних</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осіб</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нерезидентів</w:t>
            </w:r>
            <w:proofErr w:type="spellEnd"/>
            <w:r w:rsidRPr="00E16672">
              <w:rPr>
                <w:rFonts w:ascii="Times New Roman" w:hAnsi="Times New Roman"/>
                <w:color w:val="000000"/>
                <w:sz w:val="16"/>
                <w:szCs w:val="16"/>
              </w:rPr>
              <w:t xml:space="preserve"> –  </w:t>
            </w:r>
            <w:proofErr w:type="spellStart"/>
            <w:r w:rsidRPr="00E16672">
              <w:rPr>
                <w:rFonts w:ascii="Times New Roman" w:hAnsi="Times New Roman"/>
                <w:color w:val="000000"/>
                <w:sz w:val="16"/>
                <w:szCs w:val="16"/>
              </w:rPr>
              <w:t>керуючих</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рахунком</w:t>
            </w:r>
            <w:proofErr w:type="spellEnd"/>
            <w:r w:rsidRPr="00E16672">
              <w:rPr>
                <w:rFonts w:ascii="Times New Roman" w:hAnsi="Times New Roman"/>
                <w:color w:val="000000"/>
                <w:sz w:val="16"/>
                <w:szCs w:val="16"/>
              </w:rPr>
              <w:t xml:space="preserve"> та у </w:t>
            </w:r>
            <w:proofErr w:type="spellStart"/>
            <w:r w:rsidRPr="00E16672">
              <w:rPr>
                <w:rFonts w:ascii="Times New Roman" w:hAnsi="Times New Roman"/>
                <w:color w:val="000000"/>
                <w:sz w:val="16"/>
                <w:szCs w:val="16"/>
              </w:rPr>
              <w:t>відповідності</w:t>
            </w:r>
            <w:proofErr w:type="spellEnd"/>
            <w:r w:rsidRPr="00E16672">
              <w:rPr>
                <w:rFonts w:ascii="Times New Roman" w:hAnsi="Times New Roman"/>
                <w:color w:val="000000"/>
                <w:sz w:val="16"/>
                <w:szCs w:val="16"/>
              </w:rPr>
              <w:t xml:space="preserve"> до </w:t>
            </w:r>
            <w:proofErr w:type="spellStart"/>
            <w:r w:rsidRPr="00E16672">
              <w:rPr>
                <w:rFonts w:ascii="Times New Roman" w:hAnsi="Times New Roman"/>
                <w:color w:val="000000"/>
                <w:sz w:val="16"/>
                <w:szCs w:val="16"/>
              </w:rPr>
              <w:t>повноважень</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які</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передбачають</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посвідчення</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підпису</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печаткою</w:t>
            </w:r>
            <w:proofErr w:type="spellEnd"/>
            <w:r w:rsidRPr="00E16672">
              <w:rPr>
                <w:rFonts w:ascii="Times New Roman" w:hAnsi="Times New Roman"/>
                <w:color w:val="000000"/>
                <w:sz w:val="16"/>
                <w:szCs w:val="16"/>
              </w:rPr>
              <w:t xml:space="preserve">) – у </w:t>
            </w:r>
            <w:proofErr w:type="spellStart"/>
            <w:r w:rsidRPr="00E16672">
              <w:rPr>
                <w:rFonts w:ascii="Times New Roman" w:hAnsi="Times New Roman"/>
                <w:color w:val="000000"/>
                <w:sz w:val="16"/>
                <w:szCs w:val="16"/>
              </w:rPr>
              <w:t>разі</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надання</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розпорядження</w:t>
            </w:r>
            <w:proofErr w:type="spellEnd"/>
            <w:r w:rsidRPr="00E16672">
              <w:rPr>
                <w:rFonts w:ascii="Times New Roman" w:hAnsi="Times New Roman"/>
                <w:color w:val="000000"/>
                <w:sz w:val="16"/>
                <w:szCs w:val="16"/>
              </w:rPr>
              <w:t xml:space="preserve"> у </w:t>
            </w:r>
            <w:proofErr w:type="spellStart"/>
            <w:r w:rsidRPr="00E16672">
              <w:rPr>
                <w:rFonts w:ascii="Times New Roman" w:hAnsi="Times New Roman"/>
                <w:color w:val="000000"/>
                <w:sz w:val="16"/>
                <w:szCs w:val="16"/>
              </w:rPr>
              <w:t>вигляді</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електронного</w:t>
            </w:r>
            <w:proofErr w:type="spellEnd"/>
            <w:r w:rsidRPr="00E16672">
              <w:rPr>
                <w:rFonts w:ascii="Times New Roman" w:hAnsi="Times New Roman"/>
                <w:color w:val="000000"/>
                <w:sz w:val="16"/>
                <w:szCs w:val="16"/>
              </w:rPr>
              <w:t xml:space="preserve"> документа. </w:t>
            </w:r>
            <w:proofErr w:type="spellStart"/>
            <w:r w:rsidRPr="00E16672">
              <w:rPr>
                <w:rFonts w:ascii="Times New Roman" w:hAnsi="Times New Roman"/>
                <w:color w:val="000000"/>
                <w:sz w:val="16"/>
                <w:szCs w:val="16"/>
              </w:rPr>
              <w:t>Цілісність</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наданого</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розпорядження</w:t>
            </w:r>
            <w:proofErr w:type="spellEnd"/>
            <w:r w:rsidRPr="00E16672">
              <w:rPr>
                <w:rFonts w:ascii="Times New Roman" w:hAnsi="Times New Roman"/>
                <w:color w:val="000000"/>
                <w:sz w:val="16"/>
                <w:szCs w:val="16"/>
              </w:rPr>
              <w:t xml:space="preserve">, а </w:t>
            </w:r>
            <w:proofErr w:type="spellStart"/>
            <w:r w:rsidRPr="00E16672">
              <w:rPr>
                <w:rFonts w:ascii="Times New Roman" w:hAnsi="Times New Roman"/>
                <w:color w:val="000000"/>
                <w:sz w:val="16"/>
                <w:szCs w:val="16"/>
              </w:rPr>
              <w:t>також</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ідентифікація</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підписувача</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здійснюються</w:t>
            </w:r>
            <w:proofErr w:type="spellEnd"/>
            <w:r w:rsidRPr="00E16672">
              <w:rPr>
                <w:rFonts w:ascii="Times New Roman" w:hAnsi="Times New Roman"/>
                <w:color w:val="000000"/>
                <w:sz w:val="16"/>
                <w:szCs w:val="16"/>
              </w:rPr>
              <w:t xml:space="preserve"> шляхом </w:t>
            </w:r>
            <w:proofErr w:type="spellStart"/>
            <w:r w:rsidRPr="00E16672">
              <w:rPr>
                <w:rFonts w:ascii="Times New Roman" w:hAnsi="Times New Roman"/>
                <w:color w:val="000000"/>
                <w:sz w:val="16"/>
                <w:szCs w:val="16"/>
              </w:rPr>
              <w:t>перевірки</w:t>
            </w:r>
            <w:proofErr w:type="spellEnd"/>
            <w:r w:rsidRPr="00E16672">
              <w:rPr>
                <w:rFonts w:ascii="Times New Roman" w:hAnsi="Times New Roman"/>
                <w:color w:val="000000"/>
                <w:sz w:val="16"/>
                <w:szCs w:val="16"/>
              </w:rPr>
              <w:t xml:space="preserve"> </w:t>
            </w:r>
            <w:r w:rsidRPr="00E16672">
              <w:rPr>
                <w:rFonts w:ascii="Times New Roman" w:hAnsi="Times New Roman"/>
                <w:color w:val="000000"/>
                <w:sz w:val="16"/>
                <w:szCs w:val="16"/>
                <w:lang w:val="uk-UA"/>
              </w:rPr>
              <w:t>кваліфікованого</w:t>
            </w:r>
            <w:r w:rsidRPr="00E16672" w:rsidDel="008C4813">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rPr>
              <w:t>електронного</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підпису</w:t>
            </w:r>
            <w:proofErr w:type="spellEnd"/>
            <w:r w:rsidRPr="00E16672">
              <w:rPr>
                <w:rFonts w:ascii="Times New Roman" w:hAnsi="Times New Roman"/>
                <w:color w:val="000000"/>
                <w:sz w:val="16"/>
                <w:szCs w:val="16"/>
              </w:rPr>
              <w:t xml:space="preserve"> за </w:t>
            </w:r>
            <w:proofErr w:type="spellStart"/>
            <w:r w:rsidRPr="00E16672">
              <w:rPr>
                <w:rFonts w:ascii="Times New Roman" w:hAnsi="Times New Roman"/>
                <w:color w:val="000000"/>
                <w:sz w:val="16"/>
                <w:szCs w:val="16"/>
              </w:rPr>
              <w:t>допомогою</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відкритого</w:t>
            </w:r>
            <w:proofErr w:type="spellEnd"/>
            <w:r w:rsidRPr="00E16672">
              <w:rPr>
                <w:rFonts w:ascii="Times New Roman" w:hAnsi="Times New Roman"/>
                <w:color w:val="000000"/>
                <w:sz w:val="16"/>
                <w:szCs w:val="16"/>
              </w:rPr>
              <w:t xml:space="preserve"> ключа;</w:t>
            </w:r>
          </w:p>
          <w:p w14:paraId="42A517C9" w14:textId="77777777" w:rsidR="003A05A3" w:rsidRPr="00E16672" w:rsidRDefault="003A05A3" w:rsidP="00843027">
            <w:pPr>
              <w:ind w:left="175" w:right="138" w:firstLine="7"/>
              <w:rPr>
                <w:rFonts w:ascii="Times New Roman" w:hAnsi="Times New Roman"/>
                <w:sz w:val="16"/>
                <w:szCs w:val="16"/>
                <w:lang w:val="uk-UA"/>
              </w:rPr>
            </w:pPr>
          </w:p>
          <w:p w14:paraId="528E46D2" w14:textId="77777777" w:rsidR="003A05A3" w:rsidRPr="00E16672" w:rsidRDefault="003A05A3" w:rsidP="00843027">
            <w:pPr>
              <w:ind w:left="175" w:right="138" w:firstLine="7"/>
              <w:rPr>
                <w:rFonts w:ascii="Times New Roman" w:hAnsi="Times New Roman"/>
                <w:sz w:val="16"/>
                <w:szCs w:val="16"/>
                <w:lang w:val="uk-UA"/>
              </w:rPr>
            </w:pPr>
            <w:r w:rsidRPr="00E16672">
              <w:rPr>
                <w:rFonts w:ascii="Times New Roman" w:hAnsi="Times New Roman"/>
                <w:sz w:val="16"/>
                <w:szCs w:val="16"/>
                <w:lang w:val="uk-UA"/>
              </w:rPr>
              <w:t xml:space="preserve">- електронне підтвердження (авторизація) підписання розпорядження ініціатором депозитарної операції (користувачем системи </w:t>
            </w:r>
            <w:r w:rsidRPr="00E16672">
              <w:rPr>
                <w:rFonts w:ascii="Times New Roman" w:hAnsi="Times New Roman"/>
                <w:sz w:val="16"/>
                <w:szCs w:val="16"/>
              </w:rPr>
              <w:t>S</w:t>
            </w:r>
            <w:r w:rsidRPr="00E16672">
              <w:rPr>
                <w:rFonts w:ascii="Times New Roman" w:hAnsi="Times New Roman"/>
                <w:sz w:val="16"/>
                <w:szCs w:val="16"/>
                <w:lang w:val="uk-UA"/>
              </w:rPr>
              <w:t>.</w:t>
            </w:r>
            <w:r w:rsidRPr="00E16672">
              <w:rPr>
                <w:rFonts w:ascii="Times New Roman" w:hAnsi="Times New Roman"/>
                <w:sz w:val="16"/>
                <w:szCs w:val="16"/>
              </w:rPr>
              <w:t>W</w:t>
            </w:r>
            <w:r w:rsidRPr="00E16672">
              <w:rPr>
                <w:rFonts w:ascii="Times New Roman" w:hAnsi="Times New Roman"/>
                <w:sz w:val="16"/>
                <w:szCs w:val="16"/>
                <w:lang w:val="uk-UA"/>
              </w:rPr>
              <w:t>.</w:t>
            </w:r>
            <w:r w:rsidRPr="00E16672">
              <w:rPr>
                <w:rFonts w:ascii="Times New Roman" w:hAnsi="Times New Roman"/>
                <w:sz w:val="16"/>
                <w:szCs w:val="16"/>
              </w:rPr>
              <w:t>I</w:t>
            </w:r>
            <w:r w:rsidRPr="00E16672">
              <w:rPr>
                <w:rFonts w:ascii="Times New Roman" w:hAnsi="Times New Roman"/>
                <w:sz w:val="16"/>
                <w:szCs w:val="16"/>
                <w:lang w:val="uk-UA"/>
              </w:rPr>
              <w:t>.</w:t>
            </w:r>
            <w:r w:rsidRPr="00E16672">
              <w:rPr>
                <w:rFonts w:ascii="Times New Roman" w:hAnsi="Times New Roman"/>
                <w:sz w:val="16"/>
                <w:szCs w:val="16"/>
              </w:rPr>
              <w:t>F</w:t>
            </w:r>
            <w:r w:rsidRPr="00E16672">
              <w:rPr>
                <w:rFonts w:ascii="Times New Roman" w:hAnsi="Times New Roman"/>
                <w:sz w:val="16"/>
                <w:szCs w:val="16"/>
                <w:lang w:val="uk-UA"/>
              </w:rPr>
              <w:t>.</w:t>
            </w:r>
            <w:r w:rsidRPr="00E16672">
              <w:rPr>
                <w:rFonts w:ascii="Times New Roman" w:hAnsi="Times New Roman"/>
                <w:sz w:val="16"/>
                <w:szCs w:val="16"/>
              </w:rPr>
              <w:t>T</w:t>
            </w:r>
            <w:r w:rsidRPr="00E16672">
              <w:rPr>
                <w:rFonts w:ascii="Times New Roman" w:hAnsi="Times New Roman"/>
                <w:sz w:val="16"/>
                <w:szCs w:val="16"/>
                <w:lang w:val="uk-UA"/>
              </w:rPr>
              <w:t xml:space="preserve">.) - у разі надання розпорядження у  вигляді електронного документа у формі </w:t>
            </w:r>
            <w:r w:rsidRPr="00E16672">
              <w:rPr>
                <w:rFonts w:ascii="Times New Roman" w:hAnsi="Times New Roman"/>
                <w:sz w:val="16"/>
                <w:szCs w:val="16"/>
              </w:rPr>
              <w:t>S</w:t>
            </w:r>
            <w:r w:rsidRPr="00E16672">
              <w:rPr>
                <w:rFonts w:ascii="Times New Roman" w:hAnsi="Times New Roman"/>
                <w:sz w:val="16"/>
                <w:szCs w:val="16"/>
                <w:lang w:val="uk-UA"/>
              </w:rPr>
              <w:t>.</w:t>
            </w:r>
            <w:r w:rsidRPr="00E16672">
              <w:rPr>
                <w:rFonts w:ascii="Times New Roman" w:hAnsi="Times New Roman"/>
                <w:sz w:val="16"/>
                <w:szCs w:val="16"/>
              </w:rPr>
              <w:t>W</w:t>
            </w:r>
            <w:r w:rsidRPr="00E16672">
              <w:rPr>
                <w:rFonts w:ascii="Times New Roman" w:hAnsi="Times New Roman"/>
                <w:sz w:val="16"/>
                <w:szCs w:val="16"/>
                <w:lang w:val="uk-UA"/>
              </w:rPr>
              <w:t>.</w:t>
            </w:r>
            <w:r w:rsidRPr="00E16672">
              <w:rPr>
                <w:rFonts w:ascii="Times New Roman" w:hAnsi="Times New Roman"/>
                <w:sz w:val="16"/>
                <w:szCs w:val="16"/>
              </w:rPr>
              <w:t>I</w:t>
            </w:r>
            <w:r w:rsidRPr="00E16672">
              <w:rPr>
                <w:rFonts w:ascii="Times New Roman" w:hAnsi="Times New Roman"/>
                <w:sz w:val="16"/>
                <w:szCs w:val="16"/>
                <w:lang w:val="uk-UA"/>
              </w:rPr>
              <w:t>.</w:t>
            </w:r>
            <w:r w:rsidRPr="00E16672">
              <w:rPr>
                <w:rFonts w:ascii="Times New Roman" w:hAnsi="Times New Roman"/>
                <w:sz w:val="16"/>
                <w:szCs w:val="16"/>
              </w:rPr>
              <w:t>F</w:t>
            </w:r>
            <w:r w:rsidRPr="00E16672">
              <w:rPr>
                <w:rFonts w:ascii="Times New Roman" w:hAnsi="Times New Roman"/>
                <w:sz w:val="16"/>
                <w:szCs w:val="16"/>
                <w:lang w:val="uk-UA"/>
              </w:rPr>
              <w:t>.</w:t>
            </w:r>
            <w:r w:rsidRPr="00E16672">
              <w:rPr>
                <w:rFonts w:ascii="Times New Roman" w:hAnsi="Times New Roman"/>
                <w:sz w:val="16"/>
                <w:szCs w:val="16"/>
              </w:rPr>
              <w:t>T</w:t>
            </w:r>
            <w:r w:rsidRPr="00E16672">
              <w:rPr>
                <w:rFonts w:ascii="Times New Roman" w:hAnsi="Times New Roman"/>
                <w:sz w:val="16"/>
                <w:szCs w:val="16"/>
                <w:lang w:val="uk-UA"/>
              </w:rPr>
              <w:t>. - повідомлення.</w:t>
            </w:r>
          </w:p>
          <w:p w14:paraId="373FC719" w14:textId="77777777" w:rsidR="003A05A3" w:rsidRPr="00E16672" w:rsidRDefault="003A05A3" w:rsidP="00843027">
            <w:pPr>
              <w:snapToGrid w:val="0"/>
              <w:ind w:left="175" w:right="138" w:firstLine="7"/>
              <w:rPr>
                <w:rFonts w:ascii="Times New Roman" w:hAnsi="Times New Roman"/>
                <w:sz w:val="16"/>
                <w:szCs w:val="16"/>
                <w:lang w:val="uk-UA"/>
              </w:rPr>
            </w:pPr>
          </w:p>
        </w:tc>
        <w:tc>
          <w:tcPr>
            <w:tcW w:w="5494" w:type="dxa"/>
            <w:gridSpan w:val="6"/>
            <w:shd w:val="clear" w:color="auto" w:fill="auto"/>
          </w:tcPr>
          <w:p w14:paraId="24C5D7A3" w14:textId="77777777" w:rsidR="003A05A3" w:rsidRPr="00E16672" w:rsidRDefault="003A05A3" w:rsidP="00843027">
            <w:pPr>
              <w:snapToGrid w:val="0"/>
              <w:spacing w:before="57" w:after="57"/>
              <w:ind w:left="175" w:right="57" w:firstLine="7"/>
              <w:rPr>
                <w:rFonts w:ascii="Times New Roman" w:hAnsi="Times New Roman"/>
                <w:sz w:val="16"/>
                <w:szCs w:val="16"/>
                <w:lang w:val="en-US"/>
              </w:rPr>
            </w:pPr>
            <w:r w:rsidRPr="00E16672">
              <w:rPr>
                <w:rFonts w:ascii="Times New Roman" w:hAnsi="Times New Roman"/>
                <w:sz w:val="16"/>
                <w:szCs w:val="16"/>
                <w:lang w:val="en-GB"/>
              </w:rPr>
              <w:t xml:space="preserve">3.2. </w:t>
            </w:r>
            <w:r w:rsidR="00F92811" w:rsidRPr="00E16672">
              <w:rPr>
                <w:rFonts w:ascii="Times New Roman" w:hAnsi="Times New Roman"/>
                <w:sz w:val="16"/>
                <w:szCs w:val="16"/>
                <w:lang w:val="en-US"/>
              </w:rPr>
              <w:t xml:space="preserve">The singularities of making of the orders of Depositors are settled by </w:t>
            </w:r>
            <w:r w:rsidR="00F92811" w:rsidRPr="00F23413">
              <w:rPr>
                <w:rStyle w:val="shorttext"/>
                <w:rFonts w:ascii="Times New Roman" w:hAnsi="Times New Roman"/>
                <w:sz w:val="16"/>
                <w:lang w:val="en-US"/>
              </w:rPr>
              <w:t>legislation and</w:t>
            </w:r>
            <w:r w:rsidR="00F92811" w:rsidRPr="00E16672">
              <w:rPr>
                <w:rFonts w:ascii="Times New Roman" w:hAnsi="Times New Roman"/>
                <w:sz w:val="8"/>
                <w:szCs w:val="16"/>
                <w:lang w:val="en-US"/>
              </w:rPr>
              <w:t xml:space="preserve"> </w:t>
            </w:r>
            <w:r w:rsidR="00F92811" w:rsidRPr="00E16672">
              <w:rPr>
                <w:rFonts w:ascii="Times New Roman" w:hAnsi="Times New Roman"/>
                <w:sz w:val="16"/>
                <w:szCs w:val="16"/>
                <w:lang w:val="en-US"/>
              </w:rPr>
              <w:t>the internal documents of Depository institution. Orders can be</w:t>
            </w:r>
            <w:r w:rsidR="00F92811" w:rsidRPr="00E16672">
              <w:rPr>
                <w:rFonts w:ascii="Times New Roman" w:hAnsi="Times New Roman"/>
                <w:color w:val="7030A0"/>
                <w:lang w:val="en-US"/>
              </w:rPr>
              <w:t xml:space="preserve"> </w:t>
            </w:r>
            <w:r w:rsidR="00F92811" w:rsidRPr="00E16672">
              <w:rPr>
                <w:rFonts w:ascii="Times New Roman" w:hAnsi="Times New Roman"/>
                <w:sz w:val="16"/>
                <w:szCs w:val="16"/>
                <w:lang w:val="en-US"/>
              </w:rPr>
              <w:t>given to Depository institution in form: paper document, electronic document, electronic document in form S.W.I.F.T.-message</w:t>
            </w:r>
            <w:r w:rsidRPr="00E16672">
              <w:rPr>
                <w:rFonts w:ascii="Times New Roman" w:hAnsi="Times New Roman"/>
                <w:sz w:val="16"/>
                <w:szCs w:val="16"/>
                <w:lang w:val="en-US"/>
              </w:rPr>
              <w:t>.</w:t>
            </w:r>
          </w:p>
          <w:p w14:paraId="54EE3B9D" w14:textId="77777777" w:rsidR="003A05A3" w:rsidRPr="00E16672" w:rsidRDefault="003A05A3" w:rsidP="009D3C4B">
            <w:pPr>
              <w:spacing w:before="57" w:after="57"/>
              <w:ind w:left="176" w:right="57" w:firstLine="6"/>
              <w:rPr>
                <w:rFonts w:ascii="Times New Roman" w:hAnsi="Times New Roman"/>
                <w:color w:val="000000"/>
                <w:sz w:val="16"/>
                <w:szCs w:val="16"/>
                <w:lang w:val="en-US"/>
              </w:rPr>
            </w:pPr>
            <w:r w:rsidRPr="00E16672">
              <w:rPr>
                <w:rFonts w:ascii="Times New Roman" w:hAnsi="Times New Roman"/>
                <w:sz w:val="16"/>
                <w:szCs w:val="16"/>
                <w:lang w:val="en-US"/>
              </w:rPr>
              <w:t xml:space="preserve">The method of signing the order determined in accordance with the method </w:t>
            </w:r>
            <w:r w:rsidRPr="00E16672">
              <w:rPr>
                <w:rFonts w:ascii="Times New Roman" w:hAnsi="Times New Roman"/>
                <w:color w:val="000000"/>
                <w:sz w:val="16"/>
                <w:szCs w:val="16"/>
                <w:lang w:val="en-US"/>
              </w:rPr>
              <w:t>of authentication signature is used in the exchange of information between the Depositor and the Depository institution and can be such:</w:t>
            </w:r>
          </w:p>
          <w:p w14:paraId="5271E71A" w14:textId="77777777" w:rsidR="003A05A3" w:rsidRPr="00E16672" w:rsidRDefault="003A05A3" w:rsidP="009D3C4B">
            <w:pPr>
              <w:spacing w:before="57" w:after="57"/>
              <w:ind w:left="176" w:right="57" w:firstLine="6"/>
              <w:rPr>
                <w:rFonts w:ascii="Times New Roman" w:hAnsi="Times New Roman"/>
                <w:color w:val="000000"/>
                <w:sz w:val="16"/>
                <w:szCs w:val="16"/>
                <w:lang w:val="en-US"/>
              </w:rPr>
            </w:pPr>
          </w:p>
          <w:p w14:paraId="76BBADF4" w14:textId="77777777" w:rsidR="00F0600D" w:rsidRPr="00E16672" w:rsidRDefault="003A05A3" w:rsidP="009D3C4B">
            <w:pPr>
              <w:spacing w:before="57" w:after="57"/>
              <w:ind w:left="176" w:right="57" w:firstLine="6"/>
              <w:rPr>
                <w:rFonts w:ascii="Times New Roman" w:hAnsi="Times New Roman"/>
                <w:color w:val="000000"/>
                <w:sz w:val="16"/>
                <w:szCs w:val="16"/>
                <w:lang w:val="en-US"/>
              </w:rPr>
            </w:pPr>
            <w:r w:rsidRPr="00E16672">
              <w:rPr>
                <w:rFonts w:ascii="Times New Roman" w:hAnsi="Times New Roman"/>
                <w:color w:val="000000"/>
                <w:sz w:val="16"/>
                <w:szCs w:val="16"/>
                <w:lang w:val="en-US"/>
              </w:rPr>
              <w:t xml:space="preserve">- a signature of manager of </w:t>
            </w:r>
            <w:r w:rsidR="00A85ABD" w:rsidRPr="00E16672">
              <w:rPr>
                <w:rFonts w:ascii="Times New Roman" w:hAnsi="Times New Roman"/>
                <w:color w:val="000000"/>
                <w:sz w:val="16"/>
                <w:szCs w:val="16"/>
                <w:lang w:val="en-US"/>
              </w:rPr>
              <w:t>account</w:t>
            </w:r>
            <w:r w:rsidR="00A85ABD" w:rsidRPr="00E16672">
              <w:rPr>
                <w:rFonts w:ascii="Times New Roman" w:hAnsi="Times New Roman"/>
                <w:strike/>
                <w:color w:val="000000"/>
                <w:sz w:val="16"/>
                <w:szCs w:val="16"/>
                <w:lang w:val="uk-UA"/>
              </w:rPr>
              <w:t xml:space="preserve"> </w:t>
            </w:r>
            <w:r w:rsidRPr="00E16672">
              <w:rPr>
                <w:rFonts w:ascii="Times New Roman" w:hAnsi="Times New Roman"/>
                <w:color w:val="000000"/>
                <w:sz w:val="16"/>
                <w:szCs w:val="16"/>
                <w:lang w:val="en-US"/>
              </w:rPr>
              <w:t xml:space="preserve">or administrator of the account of the legal entity, seal of administrator of the account - legal entity (in case of use, and in accordance with the powers which provide certification of a signature by the seal) - in the case of grant of </w:t>
            </w:r>
            <w:proofErr w:type="gramStart"/>
            <w:r w:rsidRPr="00E16672">
              <w:rPr>
                <w:rFonts w:ascii="Times New Roman" w:hAnsi="Times New Roman"/>
                <w:color w:val="000000"/>
                <w:sz w:val="16"/>
                <w:szCs w:val="16"/>
                <w:lang w:val="en-US"/>
              </w:rPr>
              <w:t>order  as</w:t>
            </w:r>
            <w:proofErr w:type="gramEnd"/>
            <w:r w:rsidRPr="00E16672">
              <w:rPr>
                <w:rFonts w:ascii="Times New Roman" w:hAnsi="Times New Roman"/>
                <w:color w:val="000000"/>
                <w:sz w:val="16"/>
                <w:szCs w:val="16"/>
                <w:lang w:val="en-US"/>
              </w:rPr>
              <w:t xml:space="preserve"> a paper document;</w:t>
            </w:r>
          </w:p>
          <w:p w14:paraId="190D5DDB" w14:textId="77777777" w:rsidR="00F0600D" w:rsidRPr="00E16672" w:rsidRDefault="00F0600D" w:rsidP="009D3C4B">
            <w:pPr>
              <w:spacing w:before="57" w:after="57"/>
              <w:ind w:left="176" w:right="57" w:firstLine="6"/>
              <w:rPr>
                <w:rFonts w:ascii="Times New Roman" w:hAnsi="Times New Roman"/>
                <w:color w:val="000000"/>
                <w:sz w:val="16"/>
                <w:szCs w:val="16"/>
                <w:lang w:val="en-US"/>
              </w:rPr>
            </w:pPr>
          </w:p>
          <w:p w14:paraId="30D669E9" w14:textId="77777777" w:rsidR="003A05A3" w:rsidRPr="00E16672" w:rsidRDefault="003A05A3" w:rsidP="009D3C4B">
            <w:pPr>
              <w:spacing w:before="57" w:after="57"/>
              <w:ind w:left="176" w:right="57" w:firstLine="6"/>
              <w:rPr>
                <w:rFonts w:ascii="Times New Roman" w:hAnsi="Times New Roman"/>
                <w:color w:val="000000"/>
                <w:sz w:val="16"/>
                <w:szCs w:val="16"/>
                <w:lang w:val="en-US"/>
              </w:rPr>
            </w:pPr>
            <w:r w:rsidRPr="00E16672">
              <w:rPr>
                <w:rFonts w:ascii="Times New Roman" w:hAnsi="Times New Roman"/>
                <w:color w:val="000000"/>
                <w:sz w:val="16"/>
                <w:szCs w:val="16"/>
                <w:lang w:val="en-US"/>
              </w:rPr>
              <w:t xml:space="preserve">- </w:t>
            </w:r>
            <w:r w:rsidRPr="00F23413">
              <w:rPr>
                <w:rStyle w:val="shorttext"/>
                <w:rFonts w:ascii="Times New Roman" w:hAnsi="Times New Roman"/>
                <w:sz w:val="16"/>
                <w:szCs w:val="16"/>
                <w:lang w:val="en-US"/>
              </w:rPr>
              <w:t>qualified</w:t>
            </w:r>
            <w:r w:rsidRPr="00E16672">
              <w:rPr>
                <w:rFonts w:ascii="Times New Roman" w:hAnsi="Times New Roman"/>
                <w:color w:val="000000"/>
                <w:sz w:val="16"/>
                <w:szCs w:val="16"/>
                <w:lang w:val="en-US"/>
              </w:rPr>
              <w:t xml:space="preserve"> electronic signature, imposed by private key </w:t>
            </w:r>
            <w:r w:rsidRPr="00F23413">
              <w:rPr>
                <w:rStyle w:val="shorttext"/>
                <w:rFonts w:ascii="Times New Roman" w:hAnsi="Times New Roman"/>
                <w:sz w:val="16"/>
                <w:szCs w:val="16"/>
                <w:lang w:val="en-US"/>
              </w:rPr>
              <w:t>qualified</w:t>
            </w:r>
            <w:r w:rsidRPr="00E16672">
              <w:rPr>
                <w:rFonts w:ascii="Times New Roman" w:hAnsi="Times New Roman"/>
                <w:color w:val="000000"/>
                <w:sz w:val="16"/>
                <w:szCs w:val="16"/>
                <w:lang w:val="en-US"/>
              </w:rPr>
              <w:t xml:space="preserve"> electronic signature of a manager of account or administrator of the account the legal entity, </w:t>
            </w:r>
            <w:r w:rsidRPr="00F23413">
              <w:rPr>
                <w:rStyle w:val="shorttext"/>
                <w:rFonts w:ascii="Times New Roman" w:hAnsi="Times New Roman"/>
                <w:sz w:val="16"/>
                <w:szCs w:val="16"/>
                <w:lang w:val="en-US"/>
              </w:rPr>
              <w:t>qualified</w:t>
            </w:r>
            <w:r w:rsidRPr="00E16672">
              <w:rPr>
                <w:rFonts w:ascii="Times New Roman" w:hAnsi="Times New Roman"/>
                <w:color w:val="000000"/>
                <w:sz w:val="16"/>
                <w:szCs w:val="16"/>
                <w:lang w:val="en-US"/>
              </w:rPr>
              <w:t xml:space="preserve"> electronic signature that for legal status equivalent to a seal of the legal entity (in case of use, other than non-resident legal entities - account administrators and in accordance with the powers which provide certification of a signature by the seal) - in the case of grant of order as an electronic document. The integrity of provided order and identity of the signer performed by checking </w:t>
            </w:r>
            <w:r w:rsidRPr="00F23413">
              <w:rPr>
                <w:rStyle w:val="shorttext"/>
                <w:rFonts w:ascii="Times New Roman" w:hAnsi="Times New Roman"/>
                <w:sz w:val="16"/>
                <w:szCs w:val="16"/>
                <w:lang w:val="en-US"/>
              </w:rPr>
              <w:t>qualified</w:t>
            </w:r>
            <w:r w:rsidRPr="00E16672">
              <w:rPr>
                <w:rFonts w:ascii="Times New Roman" w:hAnsi="Times New Roman"/>
                <w:color w:val="000000"/>
                <w:sz w:val="16"/>
                <w:szCs w:val="16"/>
                <w:lang w:val="en-US"/>
              </w:rPr>
              <w:t xml:space="preserve"> electronic signature using the public key;</w:t>
            </w:r>
          </w:p>
          <w:p w14:paraId="2CA9D0D5" w14:textId="77777777" w:rsidR="003A05A3" w:rsidRPr="00E16672" w:rsidRDefault="003A05A3" w:rsidP="00843027">
            <w:pPr>
              <w:snapToGrid w:val="0"/>
              <w:spacing w:before="57" w:after="57"/>
              <w:ind w:left="175" w:right="57" w:firstLine="7"/>
              <w:rPr>
                <w:rFonts w:ascii="Times New Roman" w:hAnsi="Times New Roman"/>
                <w:sz w:val="16"/>
                <w:szCs w:val="16"/>
                <w:lang w:val="en-US"/>
              </w:rPr>
            </w:pPr>
          </w:p>
          <w:p w14:paraId="09BD5645" w14:textId="77777777" w:rsidR="003A05A3" w:rsidRPr="00E16672" w:rsidRDefault="003A05A3" w:rsidP="00843027">
            <w:pPr>
              <w:snapToGrid w:val="0"/>
              <w:spacing w:before="57" w:after="57"/>
              <w:ind w:left="175" w:right="57" w:firstLine="7"/>
              <w:rPr>
                <w:rFonts w:ascii="Times New Roman" w:hAnsi="Times New Roman"/>
                <w:sz w:val="16"/>
                <w:szCs w:val="16"/>
                <w:lang w:val="en-US"/>
              </w:rPr>
            </w:pPr>
            <w:r w:rsidRPr="00E16672">
              <w:rPr>
                <w:rFonts w:ascii="Times New Roman" w:hAnsi="Times New Roman"/>
                <w:sz w:val="16"/>
                <w:szCs w:val="16"/>
                <w:lang w:val="en-US"/>
              </w:rPr>
              <w:t>- electronic confirmation (authorizing) of signing of the order of initiator of depositary operation (by the user of the system S.W.I.F.T.) - in the case of grant of order as an electronic document in form S.W.I.F.T.-message.</w:t>
            </w:r>
          </w:p>
          <w:p w14:paraId="3FA35535" w14:textId="77777777" w:rsidR="003A05A3" w:rsidRPr="00E16672" w:rsidRDefault="003A05A3" w:rsidP="00843027">
            <w:pPr>
              <w:tabs>
                <w:tab w:val="left" w:pos="287"/>
              </w:tabs>
              <w:snapToGrid w:val="0"/>
              <w:ind w:left="175" w:right="100" w:firstLine="7"/>
              <w:rPr>
                <w:rFonts w:ascii="Times New Roman" w:hAnsi="Times New Roman"/>
                <w:sz w:val="16"/>
                <w:szCs w:val="16"/>
                <w:lang w:val="en-US"/>
              </w:rPr>
            </w:pPr>
          </w:p>
          <w:p w14:paraId="7808984F" w14:textId="77777777" w:rsidR="003A05A3" w:rsidRPr="00E16672" w:rsidRDefault="003A05A3" w:rsidP="00843027">
            <w:pPr>
              <w:tabs>
                <w:tab w:val="left" w:pos="287"/>
              </w:tabs>
              <w:ind w:left="175" w:right="100" w:firstLine="7"/>
              <w:rPr>
                <w:rFonts w:ascii="Times New Roman" w:hAnsi="Times New Roman"/>
                <w:b/>
                <w:bCs/>
                <w:sz w:val="16"/>
                <w:szCs w:val="16"/>
                <w:lang w:val="en-GB"/>
              </w:rPr>
            </w:pPr>
          </w:p>
        </w:tc>
      </w:tr>
      <w:tr w:rsidR="003A05A3" w:rsidRPr="00F23413" w14:paraId="5966292A" w14:textId="77777777" w:rsidTr="00242F58">
        <w:trPr>
          <w:trHeight w:val="1453"/>
        </w:trPr>
        <w:tc>
          <w:tcPr>
            <w:tcW w:w="5696" w:type="dxa"/>
            <w:gridSpan w:val="8"/>
            <w:shd w:val="clear" w:color="auto" w:fill="auto"/>
          </w:tcPr>
          <w:p w14:paraId="20FC30BC" w14:textId="77777777" w:rsidR="003A05A3" w:rsidRPr="00E16672" w:rsidRDefault="003A05A3" w:rsidP="00843027">
            <w:pPr>
              <w:ind w:left="175" w:right="138" w:firstLine="7"/>
              <w:rPr>
                <w:rFonts w:ascii="Times New Roman" w:hAnsi="Times New Roman"/>
                <w:color w:val="000000"/>
                <w:sz w:val="16"/>
                <w:szCs w:val="16"/>
              </w:rPr>
            </w:pPr>
            <w:r w:rsidRPr="00E16672">
              <w:rPr>
                <w:rFonts w:ascii="Times New Roman" w:hAnsi="Times New Roman"/>
                <w:color w:val="000000"/>
                <w:sz w:val="16"/>
                <w:szCs w:val="16"/>
              </w:rPr>
              <w:t xml:space="preserve">3.3. </w:t>
            </w:r>
            <w:proofErr w:type="spellStart"/>
            <w:r w:rsidRPr="00E16672">
              <w:rPr>
                <w:rFonts w:ascii="Times New Roman" w:hAnsi="Times New Roman"/>
                <w:color w:val="000000"/>
                <w:sz w:val="16"/>
                <w:szCs w:val="16"/>
              </w:rPr>
              <w:t>Розпорядження</w:t>
            </w:r>
            <w:proofErr w:type="spellEnd"/>
            <w:r w:rsidRPr="00E16672">
              <w:rPr>
                <w:rFonts w:ascii="Times New Roman" w:hAnsi="Times New Roman"/>
                <w:color w:val="000000"/>
                <w:sz w:val="16"/>
                <w:szCs w:val="16"/>
              </w:rPr>
              <w:t xml:space="preserve"> у </w:t>
            </w:r>
            <w:proofErr w:type="spellStart"/>
            <w:r w:rsidRPr="00E16672">
              <w:rPr>
                <w:rFonts w:ascii="Times New Roman" w:hAnsi="Times New Roman"/>
                <w:color w:val="000000"/>
                <w:sz w:val="16"/>
                <w:szCs w:val="16"/>
              </w:rPr>
              <w:t>паперовому</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вигляді</w:t>
            </w:r>
            <w:proofErr w:type="spellEnd"/>
            <w:r w:rsidRPr="00E16672">
              <w:rPr>
                <w:rFonts w:ascii="Times New Roman" w:hAnsi="Times New Roman"/>
                <w:color w:val="000000"/>
                <w:sz w:val="16"/>
                <w:szCs w:val="16"/>
              </w:rPr>
              <w:t xml:space="preserve">, а </w:t>
            </w:r>
            <w:proofErr w:type="spellStart"/>
            <w:r w:rsidRPr="00E16672">
              <w:rPr>
                <w:rFonts w:ascii="Times New Roman" w:hAnsi="Times New Roman"/>
                <w:color w:val="000000"/>
                <w:sz w:val="16"/>
                <w:szCs w:val="16"/>
              </w:rPr>
              <w:t>також</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повідомлення</w:t>
            </w:r>
            <w:proofErr w:type="spellEnd"/>
            <w:r w:rsidRPr="00E16672">
              <w:rPr>
                <w:rFonts w:ascii="Times New Roman" w:hAnsi="Times New Roman"/>
                <w:color w:val="000000"/>
                <w:sz w:val="16"/>
                <w:szCs w:val="16"/>
              </w:rPr>
              <w:t xml:space="preserve"> та </w:t>
            </w:r>
            <w:proofErr w:type="spellStart"/>
            <w:r w:rsidRPr="00E16672">
              <w:rPr>
                <w:rFonts w:ascii="Times New Roman" w:hAnsi="Times New Roman"/>
                <w:color w:val="000000"/>
                <w:sz w:val="16"/>
                <w:szCs w:val="16"/>
              </w:rPr>
              <w:t>інформація</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що</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надаються</w:t>
            </w:r>
            <w:proofErr w:type="spellEnd"/>
            <w:r w:rsidRPr="00E16672">
              <w:rPr>
                <w:rFonts w:ascii="Times New Roman" w:hAnsi="Times New Roman"/>
                <w:color w:val="000000"/>
                <w:sz w:val="16"/>
                <w:szCs w:val="16"/>
              </w:rPr>
              <w:t xml:space="preserve"> у </w:t>
            </w:r>
            <w:proofErr w:type="spellStart"/>
            <w:r w:rsidRPr="00E16672">
              <w:rPr>
                <w:rFonts w:ascii="Times New Roman" w:hAnsi="Times New Roman"/>
                <w:color w:val="000000"/>
                <w:sz w:val="16"/>
                <w:szCs w:val="16"/>
              </w:rPr>
              <w:t>зв’язку</w:t>
            </w:r>
            <w:proofErr w:type="spellEnd"/>
            <w:r w:rsidRPr="00E16672">
              <w:rPr>
                <w:rFonts w:ascii="Times New Roman" w:hAnsi="Times New Roman"/>
                <w:color w:val="000000"/>
                <w:sz w:val="16"/>
                <w:szCs w:val="16"/>
              </w:rPr>
              <w:t xml:space="preserve"> з </w:t>
            </w:r>
            <w:proofErr w:type="spellStart"/>
            <w:r w:rsidRPr="00E16672">
              <w:rPr>
                <w:rFonts w:ascii="Times New Roman" w:hAnsi="Times New Roman"/>
                <w:color w:val="000000"/>
                <w:sz w:val="16"/>
                <w:szCs w:val="16"/>
              </w:rPr>
              <w:t>виконанням</w:t>
            </w:r>
            <w:proofErr w:type="spellEnd"/>
            <w:r w:rsidRPr="00E16672">
              <w:rPr>
                <w:rFonts w:ascii="Times New Roman" w:hAnsi="Times New Roman"/>
                <w:color w:val="000000"/>
                <w:sz w:val="16"/>
                <w:szCs w:val="16"/>
              </w:rPr>
              <w:t xml:space="preserve"> Сторонами Договору </w:t>
            </w:r>
            <w:proofErr w:type="spellStart"/>
            <w:r w:rsidRPr="00E16672">
              <w:rPr>
                <w:rFonts w:ascii="Times New Roman" w:hAnsi="Times New Roman"/>
                <w:color w:val="000000"/>
                <w:sz w:val="16"/>
                <w:szCs w:val="16"/>
              </w:rPr>
              <w:t>можуть</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отримуватися</w:t>
            </w:r>
            <w:proofErr w:type="spellEnd"/>
            <w:r w:rsidRPr="00E16672">
              <w:rPr>
                <w:rFonts w:ascii="Times New Roman" w:hAnsi="Times New Roman"/>
                <w:color w:val="000000"/>
                <w:sz w:val="16"/>
                <w:szCs w:val="16"/>
              </w:rPr>
              <w:t xml:space="preserve"> Депозитарною </w:t>
            </w:r>
            <w:proofErr w:type="spellStart"/>
            <w:r w:rsidRPr="00E16672">
              <w:rPr>
                <w:rFonts w:ascii="Times New Roman" w:hAnsi="Times New Roman"/>
                <w:color w:val="000000"/>
                <w:sz w:val="16"/>
                <w:szCs w:val="16"/>
              </w:rPr>
              <w:t>установою</w:t>
            </w:r>
            <w:proofErr w:type="spellEnd"/>
            <w:r w:rsidRPr="00E16672">
              <w:rPr>
                <w:rFonts w:ascii="Times New Roman" w:hAnsi="Times New Roman"/>
                <w:color w:val="000000"/>
                <w:sz w:val="16"/>
                <w:szCs w:val="16"/>
              </w:rPr>
              <w:t xml:space="preserve"> та Депонентом:</w:t>
            </w:r>
          </w:p>
          <w:p w14:paraId="05E6625C" w14:textId="77777777" w:rsidR="003A05A3" w:rsidRPr="00E16672" w:rsidRDefault="003A05A3" w:rsidP="00843027">
            <w:pPr>
              <w:ind w:left="175" w:right="138" w:firstLine="7"/>
              <w:rPr>
                <w:rFonts w:ascii="Times New Roman" w:hAnsi="Times New Roman"/>
                <w:strike/>
                <w:color w:val="000000"/>
                <w:sz w:val="16"/>
                <w:szCs w:val="16"/>
              </w:rPr>
            </w:pPr>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rPr>
              <w:t>особисто</w:t>
            </w:r>
            <w:proofErr w:type="spellEnd"/>
            <w:r w:rsidRPr="00E16672">
              <w:rPr>
                <w:rFonts w:ascii="Times New Roman" w:hAnsi="Times New Roman"/>
                <w:color w:val="000000"/>
                <w:sz w:val="16"/>
                <w:szCs w:val="16"/>
              </w:rPr>
              <w:t xml:space="preserve"> при </w:t>
            </w:r>
            <w:proofErr w:type="spellStart"/>
            <w:r w:rsidRPr="00E16672">
              <w:rPr>
                <w:rFonts w:ascii="Times New Roman" w:hAnsi="Times New Roman"/>
                <w:color w:val="000000"/>
                <w:spacing w:val="-8"/>
                <w:sz w:val="16"/>
                <w:szCs w:val="16"/>
              </w:rPr>
              <w:t>зверненні</w:t>
            </w:r>
            <w:proofErr w:type="spellEnd"/>
            <w:r w:rsidRPr="00E16672">
              <w:rPr>
                <w:rFonts w:ascii="Times New Roman" w:hAnsi="Times New Roman"/>
                <w:color w:val="000000"/>
                <w:spacing w:val="-8"/>
                <w:sz w:val="16"/>
                <w:szCs w:val="16"/>
              </w:rPr>
              <w:t xml:space="preserve"> Депонента,</w:t>
            </w:r>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керуючого</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або</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розпорядника</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його</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рахунком</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уповноваженого</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представника</w:t>
            </w:r>
            <w:proofErr w:type="spellEnd"/>
            <w:r w:rsidRPr="00E16672">
              <w:rPr>
                <w:rFonts w:ascii="Times New Roman" w:hAnsi="Times New Roman"/>
                <w:color w:val="000000"/>
                <w:sz w:val="16"/>
                <w:szCs w:val="16"/>
              </w:rPr>
              <w:t>)</w:t>
            </w:r>
            <w:r w:rsidRPr="00E16672">
              <w:rPr>
                <w:rFonts w:ascii="Times New Roman" w:hAnsi="Times New Roman"/>
                <w:color w:val="000000"/>
                <w:spacing w:val="-8"/>
                <w:sz w:val="16"/>
                <w:szCs w:val="16"/>
              </w:rPr>
              <w:t>;</w:t>
            </w:r>
          </w:p>
          <w:p w14:paraId="72581087" w14:textId="77777777" w:rsidR="003A05A3" w:rsidRPr="00E16672" w:rsidRDefault="003A05A3" w:rsidP="00843027">
            <w:pPr>
              <w:ind w:left="175" w:right="138" w:firstLine="7"/>
              <w:rPr>
                <w:rFonts w:ascii="Times New Roman" w:hAnsi="Times New Roman"/>
                <w:strike/>
                <w:color w:val="000000"/>
                <w:sz w:val="16"/>
                <w:szCs w:val="16"/>
              </w:rPr>
            </w:pPr>
            <w:r w:rsidRPr="00E16672">
              <w:rPr>
                <w:rFonts w:ascii="Times New Roman" w:hAnsi="Times New Roman"/>
                <w:color w:val="000000"/>
                <w:spacing w:val="-8"/>
                <w:sz w:val="16"/>
                <w:szCs w:val="16"/>
                <w:lang w:val="uk-UA"/>
              </w:rPr>
              <w:t xml:space="preserve">- </w:t>
            </w:r>
            <w:r w:rsidRPr="00E16672">
              <w:rPr>
                <w:rFonts w:ascii="Times New Roman" w:hAnsi="Times New Roman"/>
                <w:color w:val="000000"/>
                <w:spacing w:val="-8"/>
                <w:sz w:val="16"/>
                <w:szCs w:val="16"/>
              </w:rPr>
              <w:t xml:space="preserve"> </w:t>
            </w:r>
            <w:proofErr w:type="spellStart"/>
            <w:r w:rsidRPr="00E16672">
              <w:rPr>
                <w:rFonts w:ascii="Times New Roman" w:hAnsi="Times New Roman"/>
                <w:color w:val="000000"/>
                <w:spacing w:val="-8"/>
                <w:sz w:val="16"/>
                <w:szCs w:val="16"/>
              </w:rPr>
              <w:t>засобами</w:t>
            </w:r>
            <w:proofErr w:type="spellEnd"/>
            <w:r w:rsidRPr="00E16672">
              <w:rPr>
                <w:rFonts w:ascii="Times New Roman" w:hAnsi="Times New Roman"/>
                <w:color w:val="000000"/>
                <w:spacing w:val="-8"/>
                <w:sz w:val="16"/>
                <w:szCs w:val="16"/>
              </w:rPr>
              <w:t xml:space="preserve"> </w:t>
            </w:r>
            <w:proofErr w:type="spellStart"/>
            <w:r w:rsidRPr="00E16672">
              <w:rPr>
                <w:rFonts w:ascii="Times New Roman" w:hAnsi="Times New Roman"/>
                <w:color w:val="000000"/>
                <w:spacing w:val="-8"/>
                <w:sz w:val="16"/>
                <w:szCs w:val="16"/>
              </w:rPr>
              <w:t>поштового</w:t>
            </w:r>
            <w:proofErr w:type="spellEnd"/>
            <w:r w:rsidRPr="00E16672">
              <w:rPr>
                <w:rFonts w:ascii="Times New Roman" w:hAnsi="Times New Roman"/>
                <w:color w:val="000000"/>
                <w:spacing w:val="-8"/>
                <w:sz w:val="16"/>
                <w:szCs w:val="16"/>
              </w:rPr>
              <w:t xml:space="preserve"> </w:t>
            </w:r>
            <w:proofErr w:type="spellStart"/>
            <w:r w:rsidRPr="00E16672">
              <w:rPr>
                <w:rFonts w:ascii="Times New Roman" w:hAnsi="Times New Roman"/>
                <w:color w:val="000000"/>
                <w:spacing w:val="-8"/>
                <w:sz w:val="16"/>
                <w:szCs w:val="16"/>
              </w:rPr>
              <w:t>зв’язку</w:t>
            </w:r>
            <w:proofErr w:type="spellEnd"/>
            <w:r w:rsidRPr="00E16672">
              <w:rPr>
                <w:rFonts w:ascii="Times New Roman" w:hAnsi="Times New Roman"/>
                <w:color w:val="000000"/>
                <w:spacing w:val="-8"/>
                <w:sz w:val="16"/>
                <w:szCs w:val="16"/>
              </w:rPr>
              <w:t xml:space="preserve"> </w:t>
            </w:r>
            <w:proofErr w:type="spellStart"/>
            <w:r w:rsidRPr="00E16672">
              <w:rPr>
                <w:rFonts w:ascii="Times New Roman" w:hAnsi="Times New Roman"/>
                <w:color w:val="000000"/>
                <w:spacing w:val="-8"/>
                <w:sz w:val="16"/>
                <w:szCs w:val="16"/>
              </w:rPr>
              <w:t>або</w:t>
            </w:r>
            <w:proofErr w:type="spellEnd"/>
            <w:r w:rsidRPr="00E16672">
              <w:rPr>
                <w:rFonts w:ascii="Times New Roman" w:hAnsi="Times New Roman"/>
                <w:color w:val="000000"/>
                <w:spacing w:val="-8"/>
                <w:sz w:val="16"/>
                <w:szCs w:val="16"/>
              </w:rPr>
              <w:t xml:space="preserve"> </w:t>
            </w:r>
            <w:proofErr w:type="spellStart"/>
            <w:r w:rsidRPr="00E16672">
              <w:rPr>
                <w:rFonts w:ascii="Times New Roman" w:hAnsi="Times New Roman"/>
                <w:color w:val="000000"/>
                <w:spacing w:val="-8"/>
                <w:sz w:val="16"/>
                <w:szCs w:val="16"/>
              </w:rPr>
              <w:t>кур’єром</w:t>
            </w:r>
            <w:proofErr w:type="spellEnd"/>
            <w:r w:rsidRPr="00E16672">
              <w:rPr>
                <w:rFonts w:ascii="Times New Roman" w:hAnsi="Times New Roman"/>
                <w:color w:val="000000"/>
                <w:spacing w:val="-8"/>
                <w:sz w:val="16"/>
                <w:szCs w:val="16"/>
              </w:rPr>
              <w:t>.</w:t>
            </w:r>
          </w:p>
          <w:p w14:paraId="377EF238" w14:textId="77777777" w:rsidR="003A05A3" w:rsidRPr="00E16672" w:rsidRDefault="003A05A3" w:rsidP="00843027">
            <w:pPr>
              <w:pStyle w:val="1b"/>
              <w:spacing w:before="0" w:after="0"/>
              <w:ind w:left="175" w:right="138" w:firstLine="7"/>
              <w:rPr>
                <w:rFonts w:ascii="Times New Roman" w:eastAsia="Times New Roman" w:hAnsi="Times New Roman" w:cs="Times New Roman"/>
                <w:color w:val="000000"/>
                <w:sz w:val="16"/>
                <w:szCs w:val="16"/>
              </w:rPr>
            </w:pPr>
          </w:p>
        </w:tc>
        <w:tc>
          <w:tcPr>
            <w:tcW w:w="5494" w:type="dxa"/>
            <w:gridSpan w:val="6"/>
            <w:shd w:val="clear" w:color="auto" w:fill="auto"/>
          </w:tcPr>
          <w:p w14:paraId="1C1F2CD5" w14:textId="77777777" w:rsidR="003A05A3" w:rsidRPr="00E16672" w:rsidRDefault="003A05A3" w:rsidP="00843027">
            <w:pPr>
              <w:snapToGrid w:val="0"/>
              <w:ind w:left="175" w:right="138" w:firstLine="7"/>
              <w:rPr>
                <w:rFonts w:ascii="Times New Roman" w:hAnsi="Times New Roman"/>
                <w:color w:val="000000"/>
                <w:sz w:val="16"/>
                <w:szCs w:val="16"/>
                <w:lang w:val="en-GB"/>
              </w:rPr>
            </w:pPr>
            <w:r w:rsidRPr="00E16672">
              <w:rPr>
                <w:rFonts w:ascii="Times New Roman" w:hAnsi="Times New Roman"/>
                <w:color w:val="000000"/>
                <w:sz w:val="16"/>
                <w:szCs w:val="16"/>
                <w:lang w:val="en-GB"/>
              </w:rPr>
              <w:t xml:space="preserve">3.3. The </w:t>
            </w:r>
            <w:proofErr w:type="gramStart"/>
            <w:r w:rsidRPr="00E16672">
              <w:rPr>
                <w:rFonts w:ascii="Times New Roman" w:hAnsi="Times New Roman"/>
                <w:color w:val="000000"/>
                <w:sz w:val="16"/>
                <w:szCs w:val="16"/>
                <w:lang w:val="en-US"/>
              </w:rPr>
              <w:t xml:space="preserve">orders </w:t>
            </w:r>
            <w:r w:rsidRPr="00E16672">
              <w:rPr>
                <w:rFonts w:ascii="Times New Roman" w:hAnsi="Times New Roman"/>
                <w:color w:val="000000"/>
                <w:sz w:val="16"/>
                <w:szCs w:val="16"/>
                <w:lang w:val="en-GB"/>
              </w:rPr>
              <w:t xml:space="preserve"> in</w:t>
            </w:r>
            <w:proofErr w:type="gramEnd"/>
            <w:r w:rsidRPr="00E16672">
              <w:rPr>
                <w:rFonts w:ascii="Times New Roman" w:hAnsi="Times New Roman"/>
                <w:color w:val="000000"/>
                <w:sz w:val="16"/>
                <w:szCs w:val="16"/>
                <w:lang w:val="en-GB"/>
              </w:rPr>
              <w:t xml:space="preserve"> the paper form </w:t>
            </w:r>
            <w:r w:rsidRPr="00E16672">
              <w:rPr>
                <w:rFonts w:ascii="Times New Roman" w:hAnsi="Times New Roman"/>
                <w:color w:val="000000"/>
                <w:sz w:val="16"/>
                <w:szCs w:val="16"/>
                <w:lang w:val="en-US"/>
              </w:rPr>
              <w:t>and messages and information</w:t>
            </w:r>
            <w:r w:rsidRPr="00F23413">
              <w:rPr>
                <w:rStyle w:val="shorttext"/>
                <w:rFonts w:ascii="Times New Roman" w:hAnsi="Times New Roman"/>
                <w:color w:val="000000"/>
                <w:sz w:val="16"/>
                <w:szCs w:val="16"/>
                <w:lang w:val="en-US"/>
              </w:rPr>
              <w:t>,</w:t>
            </w:r>
            <w:r w:rsidRPr="00E16672">
              <w:rPr>
                <w:rFonts w:ascii="Times New Roman" w:hAnsi="Times New Roman"/>
                <w:color w:val="000000"/>
                <w:sz w:val="16"/>
                <w:szCs w:val="16"/>
                <w:lang w:val="en-GB"/>
              </w:rPr>
              <w:t xml:space="preserve"> </w:t>
            </w:r>
            <w:r w:rsidRPr="00E16672">
              <w:rPr>
                <w:rFonts w:ascii="Times New Roman" w:hAnsi="Times New Roman"/>
                <w:color w:val="000000"/>
                <w:sz w:val="16"/>
                <w:szCs w:val="16"/>
                <w:lang w:val="en-US"/>
              </w:rPr>
              <w:t>which given in connection with execution the Agreement by the Parties,</w:t>
            </w:r>
            <w:r w:rsidRPr="00E16672">
              <w:rPr>
                <w:rFonts w:ascii="Times New Roman" w:hAnsi="Times New Roman"/>
                <w:color w:val="000000"/>
                <w:sz w:val="16"/>
                <w:szCs w:val="16"/>
                <w:lang w:val="en-GB"/>
              </w:rPr>
              <w:t xml:space="preserve"> may be derived by the Depository institution and Depositor:</w:t>
            </w:r>
          </w:p>
          <w:p w14:paraId="73079CBA" w14:textId="77777777" w:rsidR="003A05A3" w:rsidRPr="00E16672" w:rsidRDefault="003A05A3" w:rsidP="00843027">
            <w:pPr>
              <w:ind w:left="175" w:right="138" w:firstLine="7"/>
              <w:rPr>
                <w:rFonts w:ascii="Times New Roman" w:hAnsi="Times New Roman"/>
                <w:color w:val="000000"/>
                <w:sz w:val="16"/>
                <w:szCs w:val="16"/>
                <w:lang w:val="en-GB"/>
              </w:rPr>
            </w:pPr>
            <w:r w:rsidRPr="00E16672">
              <w:rPr>
                <w:rFonts w:ascii="Times New Roman" w:hAnsi="Times New Roman"/>
                <w:color w:val="000000"/>
                <w:sz w:val="16"/>
                <w:szCs w:val="16"/>
                <w:lang w:val="en-GB"/>
              </w:rPr>
              <w:t xml:space="preserve">- </w:t>
            </w:r>
            <w:proofErr w:type="gramStart"/>
            <w:r w:rsidRPr="00E16672">
              <w:rPr>
                <w:rFonts w:ascii="Times New Roman" w:hAnsi="Times New Roman"/>
                <w:color w:val="000000"/>
                <w:sz w:val="16"/>
                <w:szCs w:val="16"/>
                <w:lang w:val="en-GB"/>
              </w:rPr>
              <w:t>Personally</w:t>
            </w:r>
            <w:proofErr w:type="gramEnd"/>
            <w:r w:rsidRPr="00E16672">
              <w:rPr>
                <w:rFonts w:ascii="Times New Roman" w:hAnsi="Times New Roman"/>
                <w:color w:val="000000"/>
                <w:sz w:val="16"/>
                <w:szCs w:val="16"/>
                <w:lang w:val="en-GB"/>
              </w:rPr>
              <w:t xml:space="preserve"> through the personal reversion of the Depositor, administrator or his manager of the account (authorized representative person);</w:t>
            </w:r>
          </w:p>
          <w:p w14:paraId="06147200" w14:textId="77777777" w:rsidR="003A05A3" w:rsidRPr="00E16672" w:rsidRDefault="003A05A3" w:rsidP="00843027">
            <w:pPr>
              <w:ind w:left="175" w:right="138" w:firstLine="7"/>
              <w:rPr>
                <w:rFonts w:ascii="Times New Roman" w:hAnsi="Times New Roman"/>
                <w:color w:val="000000"/>
                <w:sz w:val="16"/>
                <w:szCs w:val="16"/>
                <w:lang w:val="en-US"/>
              </w:rPr>
            </w:pPr>
            <w:r w:rsidRPr="00E16672">
              <w:rPr>
                <w:rFonts w:ascii="Times New Roman" w:hAnsi="Times New Roman"/>
                <w:color w:val="000000"/>
                <w:spacing w:val="-8"/>
                <w:sz w:val="16"/>
                <w:szCs w:val="16"/>
                <w:lang w:val="en-US"/>
              </w:rPr>
              <w:t>-  by means of postal communication or courier.</w:t>
            </w:r>
          </w:p>
        </w:tc>
      </w:tr>
      <w:tr w:rsidR="003A05A3" w:rsidRPr="00F23413" w14:paraId="18D1B2DE" w14:textId="77777777" w:rsidTr="00242F58">
        <w:trPr>
          <w:trHeight w:val="1147"/>
        </w:trPr>
        <w:tc>
          <w:tcPr>
            <w:tcW w:w="5696" w:type="dxa"/>
            <w:gridSpan w:val="8"/>
            <w:shd w:val="clear" w:color="auto" w:fill="auto"/>
          </w:tcPr>
          <w:p w14:paraId="3F460ED1" w14:textId="77777777" w:rsidR="003A05A3" w:rsidRPr="00E16672" w:rsidRDefault="003A05A3" w:rsidP="00843027">
            <w:pPr>
              <w:ind w:left="175" w:right="138" w:firstLine="7"/>
              <w:rPr>
                <w:rFonts w:ascii="Times New Roman" w:hAnsi="Times New Roman"/>
                <w:sz w:val="16"/>
                <w:szCs w:val="16"/>
              </w:rPr>
            </w:pPr>
            <w:r w:rsidRPr="00E16672">
              <w:rPr>
                <w:rFonts w:ascii="Times New Roman" w:hAnsi="Times New Roman"/>
                <w:sz w:val="16"/>
                <w:szCs w:val="16"/>
              </w:rPr>
              <w:t>3.4.</w:t>
            </w:r>
            <w:r w:rsidRPr="00E16672">
              <w:rPr>
                <w:rFonts w:ascii="Times New Roman" w:hAnsi="Times New Roman"/>
                <w:b/>
                <w:bCs/>
                <w:sz w:val="16"/>
                <w:szCs w:val="16"/>
              </w:rPr>
              <w:t xml:space="preserve"> </w:t>
            </w:r>
            <w:proofErr w:type="spellStart"/>
            <w:r w:rsidRPr="00E16672">
              <w:rPr>
                <w:rFonts w:ascii="Times New Roman" w:hAnsi="Times New Roman"/>
                <w:sz w:val="16"/>
                <w:szCs w:val="16"/>
              </w:rPr>
              <w:t>Розпорядження</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має</w:t>
            </w:r>
            <w:proofErr w:type="spellEnd"/>
            <w:r w:rsidRPr="00E16672">
              <w:rPr>
                <w:rFonts w:ascii="Times New Roman" w:hAnsi="Times New Roman"/>
                <w:sz w:val="16"/>
                <w:szCs w:val="16"/>
              </w:rPr>
              <w:t xml:space="preserve"> бути </w:t>
            </w:r>
            <w:proofErr w:type="spellStart"/>
            <w:r w:rsidRPr="00E16672">
              <w:rPr>
                <w:rFonts w:ascii="Times New Roman" w:hAnsi="Times New Roman"/>
                <w:sz w:val="16"/>
                <w:szCs w:val="16"/>
              </w:rPr>
              <w:t>підписане</w:t>
            </w:r>
            <w:proofErr w:type="spellEnd"/>
            <w:r w:rsidRPr="00E16672">
              <w:rPr>
                <w:rFonts w:ascii="Times New Roman" w:hAnsi="Times New Roman"/>
                <w:sz w:val="16"/>
                <w:szCs w:val="16"/>
              </w:rPr>
              <w:t xml:space="preserve"> Депонентом, </w:t>
            </w:r>
            <w:proofErr w:type="spellStart"/>
            <w:r w:rsidRPr="00E16672">
              <w:rPr>
                <w:rFonts w:ascii="Times New Roman" w:hAnsi="Times New Roman"/>
                <w:sz w:val="16"/>
                <w:szCs w:val="16"/>
              </w:rPr>
              <w:t>розпорядником</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рахунку</w:t>
            </w:r>
            <w:proofErr w:type="spellEnd"/>
            <w:r w:rsidRPr="00E16672">
              <w:rPr>
                <w:rFonts w:ascii="Times New Roman" w:hAnsi="Times New Roman"/>
                <w:sz w:val="16"/>
                <w:szCs w:val="16"/>
              </w:rPr>
              <w:t xml:space="preserve"> </w:t>
            </w:r>
            <w:r w:rsidR="00C22309" w:rsidRPr="00E16672">
              <w:rPr>
                <w:rFonts w:ascii="Times New Roman" w:hAnsi="Times New Roman"/>
                <w:sz w:val="16"/>
                <w:szCs w:val="16"/>
              </w:rPr>
              <w:t xml:space="preserve">в </w:t>
            </w:r>
            <w:proofErr w:type="spellStart"/>
            <w:r w:rsidR="00C22309" w:rsidRPr="00E16672">
              <w:rPr>
                <w:rFonts w:ascii="Times New Roman" w:hAnsi="Times New Roman"/>
                <w:sz w:val="16"/>
                <w:szCs w:val="16"/>
              </w:rPr>
              <w:t>цін</w:t>
            </w:r>
            <w:r w:rsidRPr="00E16672">
              <w:rPr>
                <w:rFonts w:ascii="Times New Roman" w:hAnsi="Times New Roman"/>
                <w:sz w:val="16"/>
                <w:szCs w:val="16"/>
              </w:rPr>
              <w:t>них</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паперах</w:t>
            </w:r>
            <w:proofErr w:type="spellEnd"/>
            <w:r w:rsidRPr="00E16672">
              <w:rPr>
                <w:rFonts w:ascii="Times New Roman" w:hAnsi="Times New Roman"/>
                <w:color w:val="000000"/>
                <w:sz w:val="16"/>
                <w:szCs w:val="20"/>
                <w:lang w:val="uk-UA"/>
              </w:rPr>
              <w:t xml:space="preserve"> або керуючим рахунком </w:t>
            </w:r>
            <w:r w:rsidR="00C22309" w:rsidRPr="00E16672">
              <w:rPr>
                <w:rFonts w:ascii="Times New Roman" w:hAnsi="Times New Roman"/>
                <w:color w:val="000000"/>
                <w:sz w:val="16"/>
                <w:szCs w:val="20"/>
                <w:lang w:val="uk-UA"/>
              </w:rPr>
              <w:t>в цін</w:t>
            </w:r>
            <w:r w:rsidRPr="00E16672">
              <w:rPr>
                <w:rFonts w:ascii="Times New Roman" w:hAnsi="Times New Roman"/>
                <w:color w:val="000000"/>
                <w:sz w:val="16"/>
                <w:szCs w:val="20"/>
                <w:lang w:val="uk-UA"/>
              </w:rPr>
              <w:t>них паперах</w:t>
            </w:r>
            <w:r w:rsidRPr="00E16672">
              <w:rPr>
                <w:rFonts w:ascii="Times New Roman" w:hAnsi="Times New Roman"/>
                <w:sz w:val="16"/>
                <w:szCs w:val="16"/>
              </w:rPr>
              <w:t xml:space="preserve">. </w:t>
            </w:r>
            <w:proofErr w:type="spellStart"/>
            <w:r w:rsidRPr="00E16672">
              <w:rPr>
                <w:rFonts w:ascii="Times New Roman" w:hAnsi="Times New Roman"/>
                <w:sz w:val="16"/>
                <w:szCs w:val="16"/>
              </w:rPr>
              <w:t>Підпис</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розпорядника</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рахунку</w:t>
            </w:r>
            <w:proofErr w:type="spellEnd"/>
            <w:r w:rsidRPr="00E16672">
              <w:rPr>
                <w:rFonts w:ascii="Times New Roman" w:hAnsi="Times New Roman"/>
                <w:sz w:val="16"/>
                <w:szCs w:val="16"/>
              </w:rPr>
              <w:t xml:space="preserve"> </w:t>
            </w:r>
            <w:r w:rsidR="00C22309" w:rsidRPr="00E16672">
              <w:rPr>
                <w:rFonts w:ascii="Times New Roman" w:hAnsi="Times New Roman"/>
                <w:sz w:val="16"/>
                <w:szCs w:val="16"/>
              </w:rPr>
              <w:t xml:space="preserve">в </w:t>
            </w:r>
            <w:proofErr w:type="spellStart"/>
            <w:r w:rsidR="00C22309" w:rsidRPr="00E16672">
              <w:rPr>
                <w:rFonts w:ascii="Times New Roman" w:hAnsi="Times New Roman"/>
                <w:sz w:val="16"/>
                <w:szCs w:val="16"/>
              </w:rPr>
              <w:t>цін</w:t>
            </w:r>
            <w:r w:rsidRPr="00E16672">
              <w:rPr>
                <w:rFonts w:ascii="Times New Roman" w:hAnsi="Times New Roman"/>
                <w:sz w:val="16"/>
                <w:szCs w:val="16"/>
              </w:rPr>
              <w:t>них</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паперах</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якщо</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керуючим</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рахунком</w:t>
            </w:r>
            <w:proofErr w:type="spellEnd"/>
            <w:r w:rsidRPr="00E16672">
              <w:rPr>
                <w:rFonts w:ascii="Times New Roman" w:hAnsi="Times New Roman"/>
                <w:sz w:val="16"/>
                <w:szCs w:val="16"/>
              </w:rPr>
              <w:t xml:space="preserve"> є </w:t>
            </w:r>
            <w:proofErr w:type="spellStart"/>
            <w:r w:rsidRPr="00E16672">
              <w:rPr>
                <w:rFonts w:ascii="Times New Roman" w:hAnsi="Times New Roman"/>
                <w:sz w:val="16"/>
                <w:szCs w:val="16"/>
              </w:rPr>
              <w:t>юридична</w:t>
            </w:r>
            <w:proofErr w:type="spellEnd"/>
            <w:r w:rsidRPr="00E16672">
              <w:rPr>
                <w:rFonts w:ascii="Times New Roman" w:hAnsi="Times New Roman"/>
                <w:sz w:val="16"/>
                <w:szCs w:val="16"/>
              </w:rPr>
              <w:t xml:space="preserve"> особа, </w:t>
            </w:r>
            <w:proofErr w:type="spellStart"/>
            <w:r w:rsidRPr="00E16672">
              <w:rPr>
                <w:rFonts w:ascii="Times New Roman" w:hAnsi="Times New Roman"/>
                <w:sz w:val="16"/>
                <w:szCs w:val="16"/>
              </w:rPr>
              <w:t>засвідчується</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печаткою</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відповідної</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юридичної</w:t>
            </w:r>
            <w:proofErr w:type="spellEnd"/>
            <w:r w:rsidRPr="00E16672">
              <w:rPr>
                <w:rFonts w:ascii="Times New Roman" w:hAnsi="Times New Roman"/>
                <w:sz w:val="16"/>
                <w:szCs w:val="16"/>
              </w:rPr>
              <w:t xml:space="preserve"> особи (у </w:t>
            </w:r>
            <w:proofErr w:type="spellStart"/>
            <w:r w:rsidRPr="00E16672">
              <w:rPr>
                <w:rFonts w:ascii="Times New Roman" w:hAnsi="Times New Roman"/>
                <w:sz w:val="16"/>
                <w:szCs w:val="16"/>
              </w:rPr>
              <w:t>разі</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використання</w:t>
            </w:r>
            <w:proofErr w:type="spellEnd"/>
            <w:r w:rsidRPr="00E16672">
              <w:rPr>
                <w:rFonts w:ascii="Times New Roman" w:hAnsi="Times New Roman"/>
                <w:sz w:val="16"/>
                <w:szCs w:val="16"/>
              </w:rPr>
              <w:t>).</w:t>
            </w:r>
          </w:p>
          <w:p w14:paraId="7DB34A9A" w14:textId="77777777" w:rsidR="003A05A3" w:rsidRPr="00E16672" w:rsidRDefault="003A05A3" w:rsidP="00843027">
            <w:pPr>
              <w:snapToGrid w:val="0"/>
              <w:ind w:left="175" w:right="138" w:firstLine="7"/>
              <w:rPr>
                <w:rFonts w:ascii="Times New Roman" w:hAnsi="Times New Roman"/>
                <w:sz w:val="16"/>
                <w:szCs w:val="16"/>
              </w:rPr>
            </w:pPr>
          </w:p>
        </w:tc>
        <w:tc>
          <w:tcPr>
            <w:tcW w:w="5494" w:type="dxa"/>
            <w:gridSpan w:val="6"/>
            <w:shd w:val="clear" w:color="auto" w:fill="auto"/>
          </w:tcPr>
          <w:p w14:paraId="6241FE9D" w14:textId="77777777" w:rsidR="003A05A3" w:rsidRPr="00E16672" w:rsidRDefault="003A05A3" w:rsidP="00843027">
            <w:pPr>
              <w:snapToGrid w:val="0"/>
              <w:ind w:left="175" w:right="138" w:firstLine="7"/>
              <w:rPr>
                <w:rFonts w:ascii="Times New Roman" w:hAnsi="Times New Roman"/>
                <w:sz w:val="16"/>
                <w:szCs w:val="16"/>
                <w:lang w:val="en-GB"/>
              </w:rPr>
            </w:pPr>
            <w:r w:rsidRPr="00E16672">
              <w:rPr>
                <w:rFonts w:ascii="Times New Roman" w:hAnsi="Times New Roman"/>
                <w:sz w:val="16"/>
                <w:szCs w:val="16"/>
                <w:lang w:val="en-GB"/>
              </w:rPr>
              <w:t xml:space="preserve">3.4. The order </w:t>
            </w:r>
            <w:proofErr w:type="gramStart"/>
            <w:r w:rsidRPr="00E16672">
              <w:rPr>
                <w:rFonts w:ascii="Times New Roman" w:hAnsi="Times New Roman"/>
                <w:sz w:val="16"/>
                <w:szCs w:val="16"/>
                <w:lang w:val="en-GB"/>
              </w:rPr>
              <w:t>have</w:t>
            </w:r>
            <w:proofErr w:type="gramEnd"/>
            <w:r w:rsidRPr="00E16672">
              <w:rPr>
                <w:rFonts w:ascii="Times New Roman" w:hAnsi="Times New Roman"/>
                <w:sz w:val="16"/>
                <w:szCs w:val="16"/>
                <w:lang w:val="en-GB"/>
              </w:rPr>
              <w:t xml:space="preserve"> to be signed by </w:t>
            </w:r>
            <w:r w:rsidRPr="00E16672">
              <w:rPr>
                <w:rFonts w:ascii="Times New Roman" w:hAnsi="Times New Roman"/>
                <w:color w:val="000000"/>
                <w:sz w:val="16"/>
                <w:szCs w:val="16"/>
                <w:lang w:val="en-GB"/>
              </w:rPr>
              <w:t>Depositor</w:t>
            </w:r>
            <w:r w:rsidRPr="00E16672">
              <w:rPr>
                <w:rFonts w:ascii="Times New Roman" w:hAnsi="Times New Roman"/>
                <w:sz w:val="16"/>
                <w:szCs w:val="16"/>
                <w:lang w:val="en-US"/>
              </w:rPr>
              <w:t xml:space="preserve">, </w:t>
            </w:r>
            <w:r w:rsidRPr="00E16672">
              <w:rPr>
                <w:rFonts w:ascii="Times New Roman" w:hAnsi="Times New Roman"/>
                <w:sz w:val="16"/>
                <w:szCs w:val="16"/>
                <w:lang w:val="en-GB"/>
              </w:rPr>
              <w:t>manager of the account in securities</w:t>
            </w:r>
            <w:r w:rsidRPr="00E16672">
              <w:rPr>
                <w:rFonts w:ascii="Times New Roman" w:hAnsi="Times New Roman"/>
                <w:sz w:val="16"/>
                <w:szCs w:val="16"/>
                <w:lang w:val="en-US"/>
              </w:rPr>
              <w:t xml:space="preserve"> </w:t>
            </w:r>
            <w:r w:rsidRPr="00E16672">
              <w:rPr>
                <w:rFonts w:ascii="Times New Roman" w:hAnsi="Times New Roman"/>
                <w:color w:val="000000"/>
                <w:sz w:val="16"/>
                <w:szCs w:val="16"/>
                <w:lang w:val="en-GB"/>
              </w:rPr>
              <w:t>or</w:t>
            </w:r>
            <w:r w:rsidRPr="00E16672">
              <w:rPr>
                <w:rFonts w:ascii="Times New Roman" w:hAnsi="Times New Roman"/>
                <w:sz w:val="16"/>
                <w:szCs w:val="16"/>
                <w:lang w:val="en-US"/>
              </w:rPr>
              <w:t xml:space="preserve"> </w:t>
            </w:r>
            <w:r w:rsidR="00A46B57" w:rsidRPr="00E16672">
              <w:rPr>
                <w:rFonts w:ascii="Times New Roman" w:hAnsi="Times New Roman"/>
                <w:sz w:val="16"/>
              </w:rPr>
              <w:t>а</w:t>
            </w:r>
            <w:proofErr w:type="spellStart"/>
            <w:r w:rsidRPr="00E16672">
              <w:rPr>
                <w:rFonts w:ascii="Times New Roman" w:hAnsi="Times New Roman"/>
                <w:sz w:val="16"/>
                <w:lang w:val="en-US"/>
              </w:rPr>
              <w:t>dministrator</w:t>
            </w:r>
            <w:proofErr w:type="spellEnd"/>
            <w:r w:rsidRPr="00E16672">
              <w:rPr>
                <w:rFonts w:ascii="Times New Roman" w:hAnsi="Times New Roman"/>
                <w:sz w:val="16"/>
                <w:lang w:val="en-US"/>
              </w:rPr>
              <w:t xml:space="preserve"> of the account in securities</w:t>
            </w:r>
            <w:r w:rsidRPr="00E16672">
              <w:rPr>
                <w:rFonts w:ascii="Times New Roman" w:hAnsi="Times New Roman"/>
                <w:sz w:val="16"/>
                <w:szCs w:val="16"/>
                <w:lang w:val="en-GB"/>
              </w:rPr>
              <w:t>. Signature of the manager of the account in securities</w:t>
            </w:r>
            <w:r w:rsidRPr="00E16672">
              <w:rPr>
                <w:rFonts w:ascii="Times New Roman" w:hAnsi="Times New Roman"/>
                <w:sz w:val="16"/>
                <w:szCs w:val="16"/>
                <w:lang w:val="en-US"/>
              </w:rPr>
              <w:t>,</w:t>
            </w:r>
            <w:r w:rsidRPr="00E16672">
              <w:rPr>
                <w:rFonts w:ascii="Times New Roman" w:hAnsi="Times New Roman"/>
                <w:sz w:val="16"/>
                <w:szCs w:val="16"/>
                <w:lang w:val="en-GB"/>
              </w:rPr>
              <w:t xml:space="preserve"> if the administrator of his account is a legal entity, a seal of the legal entity (</w:t>
            </w:r>
            <w:r w:rsidRPr="00E16672">
              <w:rPr>
                <w:rFonts w:ascii="Times New Roman" w:hAnsi="Times New Roman"/>
                <w:color w:val="000000"/>
                <w:sz w:val="16"/>
                <w:szCs w:val="16"/>
                <w:lang w:val="en-US"/>
              </w:rPr>
              <w:t>in case of use</w:t>
            </w:r>
            <w:r w:rsidRPr="00E16672">
              <w:rPr>
                <w:rFonts w:ascii="Times New Roman" w:hAnsi="Times New Roman"/>
                <w:sz w:val="16"/>
                <w:szCs w:val="16"/>
                <w:lang w:val="en-GB"/>
              </w:rPr>
              <w:t>).</w:t>
            </w:r>
          </w:p>
        </w:tc>
      </w:tr>
      <w:tr w:rsidR="003A05A3" w:rsidRPr="00F23413" w14:paraId="19D6EC8C" w14:textId="77777777" w:rsidTr="00F0600D">
        <w:trPr>
          <w:trHeight w:val="576"/>
        </w:trPr>
        <w:tc>
          <w:tcPr>
            <w:tcW w:w="5696" w:type="dxa"/>
            <w:gridSpan w:val="8"/>
            <w:shd w:val="clear" w:color="auto" w:fill="auto"/>
          </w:tcPr>
          <w:p w14:paraId="3FC79C5B" w14:textId="77777777" w:rsidR="003A05A3" w:rsidRPr="00E16672" w:rsidRDefault="003A05A3" w:rsidP="00843027">
            <w:pPr>
              <w:snapToGrid w:val="0"/>
              <w:ind w:left="175" w:right="138" w:firstLine="7"/>
              <w:rPr>
                <w:rFonts w:ascii="Times New Roman" w:hAnsi="Times New Roman"/>
                <w:sz w:val="16"/>
                <w:szCs w:val="16"/>
              </w:rPr>
            </w:pPr>
            <w:r w:rsidRPr="00E16672">
              <w:rPr>
                <w:rFonts w:ascii="Times New Roman" w:hAnsi="Times New Roman"/>
                <w:sz w:val="16"/>
                <w:szCs w:val="16"/>
              </w:rPr>
              <w:t xml:space="preserve">3.5. </w:t>
            </w:r>
            <w:proofErr w:type="spellStart"/>
            <w:r w:rsidRPr="00E16672">
              <w:rPr>
                <w:rFonts w:ascii="Times New Roman" w:hAnsi="Times New Roman"/>
                <w:sz w:val="16"/>
                <w:szCs w:val="16"/>
              </w:rPr>
              <w:t>Депозитарна</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установа</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приймає</w:t>
            </w:r>
            <w:proofErr w:type="spellEnd"/>
            <w:r w:rsidRPr="00E16672">
              <w:rPr>
                <w:rFonts w:ascii="Times New Roman" w:hAnsi="Times New Roman"/>
                <w:sz w:val="16"/>
                <w:szCs w:val="16"/>
              </w:rPr>
              <w:t xml:space="preserve"> до </w:t>
            </w:r>
            <w:proofErr w:type="spellStart"/>
            <w:r w:rsidRPr="00E16672">
              <w:rPr>
                <w:rFonts w:ascii="Times New Roman" w:hAnsi="Times New Roman"/>
                <w:sz w:val="16"/>
                <w:szCs w:val="16"/>
              </w:rPr>
              <w:t>виконання</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тільки</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ті</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розпорядження</w:t>
            </w:r>
            <w:proofErr w:type="spellEnd"/>
            <w:r w:rsidRPr="00E16672">
              <w:rPr>
                <w:rFonts w:ascii="Times New Roman" w:hAnsi="Times New Roman"/>
                <w:sz w:val="16"/>
                <w:szCs w:val="16"/>
              </w:rPr>
              <w:t xml:space="preserve"> Депонента, </w:t>
            </w:r>
            <w:proofErr w:type="spellStart"/>
            <w:r w:rsidRPr="00E16672">
              <w:rPr>
                <w:rFonts w:ascii="Times New Roman" w:hAnsi="Times New Roman"/>
                <w:sz w:val="16"/>
                <w:szCs w:val="16"/>
              </w:rPr>
              <w:t>які</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підтверджені</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підписом</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керуючого</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або</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розпорядника</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його</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рахунком</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уповноваженого</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представника</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Депозитарна</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установа</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перевіряє</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їх</w:t>
            </w:r>
            <w:proofErr w:type="spellEnd"/>
            <w:r w:rsidRPr="00E16672">
              <w:rPr>
                <w:rFonts w:ascii="Times New Roman" w:hAnsi="Times New Roman"/>
                <w:sz w:val="16"/>
                <w:szCs w:val="16"/>
              </w:rPr>
              <w:t xml:space="preserve"> на </w:t>
            </w:r>
            <w:proofErr w:type="spellStart"/>
            <w:r w:rsidRPr="00E16672">
              <w:rPr>
                <w:rFonts w:ascii="Times New Roman" w:hAnsi="Times New Roman"/>
                <w:sz w:val="16"/>
                <w:szCs w:val="16"/>
              </w:rPr>
              <w:t>достовірність</w:t>
            </w:r>
            <w:proofErr w:type="spellEnd"/>
            <w:r w:rsidRPr="00E16672">
              <w:rPr>
                <w:rFonts w:ascii="Times New Roman" w:hAnsi="Times New Roman"/>
                <w:sz w:val="16"/>
                <w:szCs w:val="16"/>
              </w:rPr>
              <w:t xml:space="preserve">. </w:t>
            </w:r>
          </w:p>
          <w:p w14:paraId="67C62141" w14:textId="77777777" w:rsidR="003A05A3" w:rsidRPr="00E16672" w:rsidRDefault="003A05A3" w:rsidP="00843027">
            <w:pPr>
              <w:ind w:left="175" w:right="138" w:firstLine="7"/>
              <w:rPr>
                <w:rFonts w:ascii="Times New Roman" w:hAnsi="Times New Roman"/>
                <w:sz w:val="16"/>
                <w:szCs w:val="16"/>
              </w:rPr>
            </w:pPr>
            <w:proofErr w:type="spellStart"/>
            <w:r w:rsidRPr="00E16672">
              <w:rPr>
                <w:rFonts w:ascii="Times New Roman" w:hAnsi="Times New Roman"/>
                <w:sz w:val="16"/>
                <w:szCs w:val="16"/>
              </w:rPr>
              <w:t>Спосіб</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підтвердження</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справжності</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підпису</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що</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використовується</w:t>
            </w:r>
            <w:proofErr w:type="spellEnd"/>
            <w:r w:rsidRPr="00E16672">
              <w:rPr>
                <w:rFonts w:ascii="Times New Roman" w:hAnsi="Times New Roman"/>
                <w:sz w:val="16"/>
                <w:szCs w:val="16"/>
              </w:rPr>
              <w:t xml:space="preserve"> при </w:t>
            </w:r>
            <w:proofErr w:type="spellStart"/>
            <w:r w:rsidRPr="00E16672">
              <w:rPr>
                <w:rFonts w:ascii="Times New Roman" w:hAnsi="Times New Roman"/>
                <w:sz w:val="16"/>
                <w:szCs w:val="16"/>
              </w:rPr>
              <w:t>обміні</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інформацією</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між</w:t>
            </w:r>
            <w:proofErr w:type="spellEnd"/>
            <w:r w:rsidRPr="00E16672">
              <w:rPr>
                <w:rFonts w:ascii="Times New Roman" w:hAnsi="Times New Roman"/>
                <w:sz w:val="16"/>
                <w:szCs w:val="16"/>
              </w:rPr>
              <w:t xml:space="preserve"> депонентом та Депозитарною </w:t>
            </w:r>
            <w:proofErr w:type="spellStart"/>
            <w:r w:rsidRPr="00E16672">
              <w:rPr>
                <w:rFonts w:ascii="Times New Roman" w:hAnsi="Times New Roman"/>
                <w:sz w:val="16"/>
                <w:szCs w:val="16"/>
              </w:rPr>
              <w:t>установою</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може</w:t>
            </w:r>
            <w:proofErr w:type="spellEnd"/>
            <w:r w:rsidRPr="00E16672">
              <w:rPr>
                <w:rFonts w:ascii="Times New Roman" w:hAnsi="Times New Roman"/>
                <w:sz w:val="16"/>
                <w:szCs w:val="16"/>
              </w:rPr>
              <w:t xml:space="preserve"> бути таким: </w:t>
            </w:r>
          </w:p>
          <w:p w14:paraId="36F69E6B" w14:textId="77777777" w:rsidR="003A05A3" w:rsidRPr="00E16672" w:rsidRDefault="003A05A3" w:rsidP="00843027">
            <w:pPr>
              <w:ind w:left="175" w:right="138" w:firstLine="7"/>
              <w:rPr>
                <w:rFonts w:ascii="Times New Roman" w:hAnsi="Times New Roman"/>
                <w:sz w:val="16"/>
                <w:szCs w:val="16"/>
              </w:rPr>
            </w:pPr>
            <w:r w:rsidRPr="00E16672">
              <w:rPr>
                <w:rFonts w:ascii="Times New Roman" w:hAnsi="Times New Roman"/>
                <w:sz w:val="16"/>
                <w:szCs w:val="16"/>
              </w:rPr>
              <w:t xml:space="preserve">- </w:t>
            </w:r>
            <w:proofErr w:type="spellStart"/>
            <w:r w:rsidRPr="00E16672">
              <w:rPr>
                <w:rFonts w:ascii="Times New Roman" w:hAnsi="Times New Roman"/>
                <w:sz w:val="16"/>
                <w:szCs w:val="16"/>
              </w:rPr>
              <w:t>достовірність</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підпису</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підтверджується</w:t>
            </w:r>
            <w:proofErr w:type="spellEnd"/>
            <w:r w:rsidRPr="00E16672">
              <w:rPr>
                <w:rFonts w:ascii="Times New Roman" w:hAnsi="Times New Roman"/>
                <w:sz w:val="16"/>
                <w:szCs w:val="16"/>
              </w:rPr>
              <w:t xml:space="preserve"> шляхом </w:t>
            </w:r>
            <w:proofErr w:type="spellStart"/>
            <w:r w:rsidRPr="00E16672">
              <w:rPr>
                <w:rFonts w:ascii="Times New Roman" w:hAnsi="Times New Roman"/>
                <w:sz w:val="16"/>
                <w:szCs w:val="16"/>
              </w:rPr>
              <w:t>зіставлення</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підписів</w:t>
            </w:r>
            <w:proofErr w:type="spellEnd"/>
            <w:r w:rsidRPr="00E16672">
              <w:rPr>
                <w:rFonts w:ascii="Times New Roman" w:hAnsi="Times New Roman"/>
                <w:sz w:val="16"/>
                <w:szCs w:val="16"/>
              </w:rPr>
              <w:t xml:space="preserve"> у </w:t>
            </w:r>
            <w:proofErr w:type="spellStart"/>
            <w:r w:rsidRPr="00E16672">
              <w:rPr>
                <w:rFonts w:ascii="Times New Roman" w:hAnsi="Times New Roman"/>
                <w:sz w:val="16"/>
                <w:szCs w:val="16"/>
              </w:rPr>
              <w:t>розпорядженні</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із</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зразками</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підписів</w:t>
            </w:r>
            <w:proofErr w:type="spellEnd"/>
            <w:r w:rsidRPr="00E16672">
              <w:rPr>
                <w:rFonts w:ascii="Times New Roman" w:hAnsi="Times New Roman"/>
                <w:sz w:val="16"/>
                <w:szCs w:val="16"/>
              </w:rPr>
              <w:t xml:space="preserve"> у </w:t>
            </w:r>
            <w:proofErr w:type="spellStart"/>
            <w:r w:rsidRPr="00E16672">
              <w:rPr>
                <w:rFonts w:ascii="Times New Roman" w:hAnsi="Times New Roman"/>
                <w:sz w:val="16"/>
                <w:szCs w:val="16"/>
              </w:rPr>
              <w:t>картці</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із</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зразками</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підписів</w:t>
            </w:r>
            <w:proofErr w:type="spellEnd"/>
            <w:r w:rsidRPr="00E16672">
              <w:rPr>
                <w:rFonts w:ascii="Times New Roman" w:hAnsi="Times New Roman"/>
                <w:sz w:val="16"/>
                <w:szCs w:val="16"/>
              </w:rPr>
              <w:t xml:space="preserve"> та </w:t>
            </w:r>
            <w:proofErr w:type="spellStart"/>
            <w:r w:rsidRPr="00E16672">
              <w:rPr>
                <w:rFonts w:ascii="Times New Roman" w:hAnsi="Times New Roman"/>
                <w:sz w:val="16"/>
                <w:szCs w:val="16"/>
              </w:rPr>
              <w:t>відбитком</w:t>
            </w:r>
            <w:proofErr w:type="spellEnd"/>
            <w:r w:rsidRPr="00E16672">
              <w:rPr>
                <w:rFonts w:ascii="Times New Roman" w:hAnsi="Times New Roman"/>
                <w:sz w:val="16"/>
                <w:szCs w:val="16"/>
              </w:rPr>
              <w:t xml:space="preserve"> печатки</w:t>
            </w:r>
            <w:r w:rsidRPr="00E16672">
              <w:rPr>
                <w:rFonts w:ascii="Times New Roman" w:hAnsi="Times New Roman"/>
                <w:sz w:val="16"/>
                <w:szCs w:val="20"/>
                <w:lang w:val="uk-UA"/>
              </w:rPr>
              <w:t xml:space="preserve"> (у разі її використання</w:t>
            </w:r>
            <w:proofErr w:type="gramStart"/>
            <w:r w:rsidRPr="00E16672">
              <w:rPr>
                <w:rFonts w:ascii="Times New Roman" w:hAnsi="Times New Roman"/>
                <w:sz w:val="16"/>
                <w:szCs w:val="20"/>
                <w:lang w:val="uk-UA"/>
              </w:rPr>
              <w:t>)</w:t>
            </w:r>
            <w:r w:rsidRPr="00E16672">
              <w:rPr>
                <w:rFonts w:ascii="Times New Roman" w:hAnsi="Times New Roman"/>
                <w:szCs w:val="20"/>
                <w:lang w:val="uk-UA"/>
              </w:rPr>
              <w:t xml:space="preserve"> ,</w:t>
            </w:r>
            <w:proofErr w:type="gramEnd"/>
            <w:r w:rsidRPr="00E16672">
              <w:rPr>
                <w:rFonts w:ascii="Times New Roman" w:hAnsi="Times New Roman"/>
                <w:szCs w:val="20"/>
                <w:lang w:val="uk-UA"/>
              </w:rPr>
              <w:t xml:space="preserve"> </w:t>
            </w:r>
            <w:r w:rsidRPr="00E16672">
              <w:rPr>
                <w:rFonts w:ascii="Times New Roman" w:hAnsi="Times New Roman"/>
                <w:sz w:val="16"/>
                <w:szCs w:val="20"/>
                <w:lang w:val="uk-UA"/>
              </w:rPr>
              <w:t>оформленій та засвідченій відповідно до вимог законодавства і внутрішніх документів Депозитарної установи</w:t>
            </w:r>
            <w:r w:rsidRPr="00E16672">
              <w:rPr>
                <w:rFonts w:ascii="Times New Roman" w:hAnsi="Times New Roman"/>
                <w:sz w:val="16"/>
                <w:szCs w:val="16"/>
              </w:rPr>
              <w:t>;</w:t>
            </w:r>
          </w:p>
          <w:p w14:paraId="2E28469D" w14:textId="77777777" w:rsidR="003A05A3" w:rsidRPr="00E16672" w:rsidRDefault="003A05A3" w:rsidP="00843027">
            <w:pPr>
              <w:snapToGrid w:val="0"/>
              <w:ind w:left="175" w:right="138" w:firstLine="7"/>
              <w:rPr>
                <w:rFonts w:ascii="Times New Roman" w:hAnsi="Times New Roman"/>
                <w:sz w:val="16"/>
                <w:szCs w:val="16"/>
                <w:lang w:val="uk-UA"/>
              </w:rPr>
            </w:pPr>
            <w:r w:rsidRPr="00E16672">
              <w:rPr>
                <w:rFonts w:ascii="Times New Roman" w:hAnsi="Times New Roman"/>
                <w:sz w:val="16"/>
                <w:szCs w:val="16"/>
              </w:rPr>
              <w:t xml:space="preserve">- </w:t>
            </w:r>
            <w:r w:rsidRPr="00E16672">
              <w:rPr>
                <w:rFonts w:ascii="Times New Roman" w:hAnsi="Times New Roman"/>
                <w:sz w:val="16"/>
                <w:szCs w:val="20"/>
                <w:lang w:val="uk-UA"/>
              </w:rPr>
              <w:t xml:space="preserve">кваліфікований </w:t>
            </w:r>
            <w:proofErr w:type="spellStart"/>
            <w:r w:rsidRPr="00E16672">
              <w:rPr>
                <w:rFonts w:ascii="Times New Roman" w:hAnsi="Times New Roman"/>
                <w:sz w:val="16"/>
                <w:szCs w:val="16"/>
              </w:rPr>
              <w:t>електронний</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підпис</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вважається</w:t>
            </w:r>
            <w:proofErr w:type="spellEnd"/>
            <w:r w:rsidRPr="00E16672">
              <w:rPr>
                <w:rFonts w:ascii="Times New Roman" w:hAnsi="Times New Roman"/>
                <w:sz w:val="16"/>
                <w:szCs w:val="16"/>
              </w:rPr>
              <w:t xml:space="preserve"> таким, </w:t>
            </w:r>
            <w:proofErr w:type="spellStart"/>
            <w:r w:rsidRPr="00E16672">
              <w:rPr>
                <w:rFonts w:ascii="Times New Roman" w:hAnsi="Times New Roman"/>
                <w:sz w:val="16"/>
                <w:szCs w:val="16"/>
              </w:rPr>
              <w:t>що</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відповідає</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сертифікату</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відкритого</w:t>
            </w:r>
            <w:proofErr w:type="spellEnd"/>
            <w:r w:rsidRPr="00E16672">
              <w:rPr>
                <w:rFonts w:ascii="Times New Roman" w:hAnsi="Times New Roman"/>
                <w:sz w:val="16"/>
                <w:szCs w:val="16"/>
              </w:rPr>
              <w:t xml:space="preserve"> ключа, </w:t>
            </w:r>
            <w:proofErr w:type="spellStart"/>
            <w:r w:rsidRPr="00E16672">
              <w:rPr>
                <w:rFonts w:ascii="Times New Roman" w:hAnsi="Times New Roman"/>
                <w:sz w:val="16"/>
                <w:szCs w:val="16"/>
              </w:rPr>
              <w:t>якщо</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особистий</w:t>
            </w:r>
            <w:proofErr w:type="spellEnd"/>
            <w:r w:rsidRPr="00E16672">
              <w:rPr>
                <w:rFonts w:ascii="Times New Roman" w:hAnsi="Times New Roman"/>
                <w:sz w:val="16"/>
                <w:szCs w:val="16"/>
              </w:rPr>
              <w:t xml:space="preserve"> ключ </w:t>
            </w:r>
            <w:proofErr w:type="spellStart"/>
            <w:r w:rsidRPr="00E16672">
              <w:rPr>
                <w:rFonts w:ascii="Times New Roman" w:hAnsi="Times New Roman"/>
                <w:sz w:val="16"/>
                <w:szCs w:val="16"/>
              </w:rPr>
              <w:t>підписувача</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розпорядника</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рахунку</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використаний</w:t>
            </w:r>
            <w:proofErr w:type="spellEnd"/>
            <w:r w:rsidRPr="00E16672">
              <w:rPr>
                <w:rFonts w:ascii="Times New Roman" w:hAnsi="Times New Roman"/>
                <w:sz w:val="16"/>
                <w:szCs w:val="16"/>
              </w:rPr>
              <w:t xml:space="preserve"> при </w:t>
            </w:r>
            <w:proofErr w:type="spellStart"/>
            <w:r w:rsidRPr="00E16672">
              <w:rPr>
                <w:rFonts w:ascii="Times New Roman" w:hAnsi="Times New Roman"/>
                <w:sz w:val="16"/>
                <w:szCs w:val="16"/>
              </w:rPr>
              <w:t>формуванні</w:t>
            </w:r>
            <w:proofErr w:type="spellEnd"/>
            <w:r w:rsidRPr="00E16672">
              <w:rPr>
                <w:rFonts w:ascii="Times New Roman" w:hAnsi="Times New Roman"/>
                <w:sz w:val="16"/>
                <w:szCs w:val="16"/>
              </w:rPr>
              <w:t xml:space="preserve"> </w:t>
            </w:r>
            <w:r w:rsidRPr="00E16672">
              <w:rPr>
                <w:rFonts w:ascii="Times New Roman" w:hAnsi="Times New Roman"/>
                <w:sz w:val="16"/>
                <w:szCs w:val="20"/>
                <w:lang w:val="uk-UA"/>
              </w:rPr>
              <w:t xml:space="preserve">кваліфікований </w:t>
            </w:r>
            <w:proofErr w:type="spellStart"/>
            <w:r w:rsidRPr="00E16672">
              <w:rPr>
                <w:rFonts w:ascii="Times New Roman" w:hAnsi="Times New Roman"/>
                <w:sz w:val="16"/>
                <w:szCs w:val="16"/>
              </w:rPr>
              <w:t>електронного</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підпису</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відповідає</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відкритому</w:t>
            </w:r>
            <w:proofErr w:type="spellEnd"/>
            <w:r w:rsidRPr="00E16672">
              <w:rPr>
                <w:rFonts w:ascii="Times New Roman" w:hAnsi="Times New Roman"/>
                <w:sz w:val="16"/>
                <w:szCs w:val="16"/>
              </w:rPr>
              <w:t xml:space="preserve"> ключу, </w:t>
            </w:r>
            <w:proofErr w:type="spellStart"/>
            <w:r w:rsidRPr="00E16672">
              <w:rPr>
                <w:rFonts w:ascii="Times New Roman" w:hAnsi="Times New Roman"/>
                <w:sz w:val="16"/>
                <w:szCs w:val="16"/>
              </w:rPr>
              <w:t>зазначеному</w:t>
            </w:r>
            <w:proofErr w:type="spellEnd"/>
            <w:r w:rsidRPr="00E16672">
              <w:rPr>
                <w:rFonts w:ascii="Times New Roman" w:hAnsi="Times New Roman"/>
                <w:sz w:val="16"/>
                <w:szCs w:val="16"/>
              </w:rPr>
              <w:t xml:space="preserve"> у </w:t>
            </w:r>
            <w:proofErr w:type="spellStart"/>
            <w:r w:rsidRPr="00E16672">
              <w:rPr>
                <w:rFonts w:ascii="Times New Roman" w:hAnsi="Times New Roman"/>
                <w:sz w:val="16"/>
                <w:szCs w:val="16"/>
              </w:rPr>
              <w:t>сертифікаті</w:t>
            </w:r>
            <w:proofErr w:type="spellEnd"/>
            <w:r w:rsidRPr="00E16672">
              <w:rPr>
                <w:rFonts w:ascii="Times New Roman" w:hAnsi="Times New Roman"/>
                <w:sz w:val="16"/>
                <w:szCs w:val="16"/>
                <w:lang w:val="uk-UA"/>
              </w:rPr>
              <w:t>.</w:t>
            </w:r>
          </w:p>
          <w:p w14:paraId="5A29C369" w14:textId="77777777" w:rsidR="003A05A3" w:rsidRPr="00E16672" w:rsidRDefault="003A05A3" w:rsidP="00843027">
            <w:pPr>
              <w:snapToGrid w:val="0"/>
              <w:ind w:left="175" w:right="138" w:firstLine="7"/>
              <w:rPr>
                <w:rFonts w:ascii="Times New Roman" w:hAnsi="Times New Roman"/>
                <w:sz w:val="16"/>
                <w:szCs w:val="16"/>
              </w:rPr>
            </w:pPr>
          </w:p>
        </w:tc>
        <w:tc>
          <w:tcPr>
            <w:tcW w:w="5494" w:type="dxa"/>
            <w:gridSpan w:val="6"/>
            <w:shd w:val="clear" w:color="auto" w:fill="auto"/>
          </w:tcPr>
          <w:p w14:paraId="0F3A6CD6" w14:textId="77777777" w:rsidR="003A05A3" w:rsidRPr="00E16672" w:rsidRDefault="003A05A3" w:rsidP="00843027">
            <w:pPr>
              <w:pStyle w:val="210"/>
              <w:tabs>
                <w:tab w:val="left" w:pos="287"/>
                <w:tab w:val="left" w:pos="1191"/>
              </w:tabs>
              <w:snapToGrid w:val="0"/>
              <w:ind w:left="175" w:right="100" w:firstLine="7"/>
              <w:rPr>
                <w:rFonts w:ascii="Times New Roman" w:hAnsi="Times New Roman"/>
                <w:sz w:val="16"/>
                <w:szCs w:val="16"/>
                <w:lang w:val="en-GB"/>
              </w:rPr>
            </w:pPr>
            <w:r w:rsidRPr="00E16672">
              <w:rPr>
                <w:rFonts w:ascii="Times New Roman" w:hAnsi="Times New Roman"/>
                <w:sz w:val="16"/>
                <w:szCs w:val="16"/>
                <w:lang w:val="en-GB"/>
              </w:rPr>
              <w:lastRenderedPageBreak/>
              <w:t xml:space="preserve">3.5. </w:t>
            </w:r>
            <w:r w:rsidR="00F92811" w:rsidRPr="00E16672">
              <w:rPr>
                <w:rFonts w:ascii="Times New Roman" w:hAnsi="Times New Roman"/>
                <w:sz w:val="16"/>
                <w:szCs w:val="16"/>
                <w:lang w:val="en-GB"/>
              </w:rPr>
              <w:t>The Depository institution accepts to fulfilment</w:t>
            </w:r>
            <w:r w:rsidR="00F92811" w:rsidRPr="00E16672">
              <w:rPr>
                <w:rFonts w:ascii="Times New Roman" w:hAnsi="Times New Roman"/>
              </w:rPr>
              <w:t xml:space="preserve"> </w:t>
            </w:r>
            <w:r w:rsidR="00F92811" w:rsidRPr="00E16672">
              <w:rPr>
                <w:rFonts w:ascii="Times New Roman" w:hAnsi="Times New Roman"/>
                <w:sz w:val="16"/>
                <w:szCs w:val="16"/>
                <w:lang w:val="en-GB"/>
              </w:rPr>
              <w:t>only those of the orders that confirmed by the signature of the administrator or manager of the account in securities (authorized representative person)</w:t>
            </w:r>
            <w:r w:rsidRPr="00E16672">
              <w:rPr>
                <w:rFonts w:ascii="Times New Roman" w:hAnsi="Times New Roman"/>
                <w:sz w:val="16"/>
                <w:szCs w:val="16"/>
                <w:lang w:val="en-GB"/>
              </w:rPr>
              <w:t>.</w:t>
            </w:r>
          </w:p>
          <w:p w14:paraId="4F6E117A" w14:textId="77777777" w:rsidR="003A05A3" w:rsidRPr="00E16672" w:rsidRDefault="003A05A3" w:rsidP="00843027">
            <w:pPr>
              <w:pStyle w:val="210"/>
              <w:tabs>
                <w:tab w:val="left" w:pos="287"/>
                <w:tab w:val="left" w:pos="1191"/>
              </w:tabs>
              <w:snapToGrid w:val="0"/>
              <w:ind w:left="175" w:right="100" w:firstLine="7"/>
              <w:rPr>
                <w:rFonts w:ascii="Times New Roman" w:hAnsi="Times New Roman"/>
                <w:sz w:val="16"/>
                <w:szCs w:val="16"/>
                <w:lang w:val="en-GB"/>
              </w:rPr>
            </w:pPr>
            <w:r w:rsidRPr="00E16672">
              <w:rPr>
                <w:rFonts w:ascii="Times New Roman" w:hAnsi="Times New Roman"/>
                <w:sz w:val="16"/>
                <w:szCs w:val="16"/>
                <w:lang w:val="en-GB"/>
              </w:rPr>
              <w:t>Depository institution verifies the authenticity.</w:t>
            </w:r>
          </w:p>
          <w:p w14:paraId="4CA156F4" w14:textId="77777777" w:rsidR="003A05A3" w:rsidRPr="00E16672" w:rsidRDefault="003A05A3" w:rsidP="00843027">
            <w:pPr>
              <w:tabs>
                <w:tab w:val="left" w:pos="287"/>
              </w:tabs>
              <w:ind w:left="175" w:right="100" w:firstLine="7"/>
              <w:rPr>
                <w:rFonts w:ascii="Times New Roman" w:hAnsi="Times New Roman"/>
                <w:sz w:val="16"/>
                <w:szCs w:val="16"/>
                <w:lang w:val="en-GB"/>
              </w:rPr>
            </w:pPr>
            <w:r w:rsidRPr="00E16672">
              <w:rPr>
                <w:rFonts w:ascii="Times New Roman" w:hAnsi="Times New Roman"/>
                <w:sz w:val="16"/>
                <w:szCs w:val="16"/>
                <w:lang w:val="en-GB"/>
              </w:rPr>
              <w:t xml:space="preserve"> Method of verification of a signature, which is used for exchanging information between the Depositor and the Depository institution may be:</w:t>
            </w:r>
          </w:p>
          <w:p w14:paraId="64919C1D" w14:textId="77777777" w:rsidR="003A05A3" w:rsidRPr="00E16672" w:rsidRDefault="003A05A3" w:rsidP="00843027">
            <w:pPr>
              <w:tabs>
                <w:tab w:val="left" w:pos="287"/>
              </w:tabs>
              <w:ind w:left="175" w:right="100" w:firstLine="7"/>
              <w:rPr>
                <w:rFonts w:ascii="Times New Roman" w:hAnsi="Times New Roman"/>
                <w:sz w:val="16"/>
                <w:szCs w:val="16"/>
                <w:lang w:val="en-GB"/>
              </w:rPr>
            </w:pPr>
            <w:r w:rsidRPr="00E16672">
              <w:rPr>
                <w:rFonts w:ascii="Times New Roman" w:hAnsi="Times New Roman"/>
                <w:sz w:val="16"/>
                <w:szCs w:val="16"/>
                <w:lang w:val="en-GB"/>
              </w:rPr>
              <w:br/>
              <w:t>- the authenticity of a signature is confirmed by comparing the signatures in orders with the signature on the card with the signature and seal</w:t>
            </w:r>
            <w:r w:rsidRPr="00E16672">
              <w:rPr>
                <w:rFonts w:ascii="Times New Roman" w:hAnsi="Times New Roman"/>
                <w:sz w:val="16"/>
                <w:szCs w:val="16"/>
                <w:lang w:val="en-US"/>
              </w:rPr>
              <w:t xml:space="preserve"> (</w:t>
            </w:r>
            <w:r w:rsidRPr="00E16672">
              <w:rPr>
                <w:rFonts w:ascii="Times New Roman" w:hAnsi="Times New Roman"/>
                <w:color w:val="000000"/>
                <w:sz w:val="16"/>
                <w:szCs w:val="16"/>
                <w:lang w:val="en-US"/>
              </w:rPr>
              <w:t>in case of use</w:t>
            </w:r>
            <w:r w:rsidRPr="00E16672">
              <w:rPr>
                <w:rFonts w:ascii="Times New Roman" w:hAnsi="Times New Roman"/>
                <w:sz w:val="16"/>
                <w:szCs w:val="16"/>
                <w:lang w:val="en-US"/>
              </w:rPr>
              <w:t xml:space="preserve">), </w:t>
            </w:r>
            <w:r w:rsidRPr="00F23413">
              <w:rPr>
                <w:rFonts w:ascii="Times New Roman" w:hAnsi="Times New Roman"/>
                <w:sz w:val="16"/>
                <w:szCs w:val="16"/>
                <w:lang w:val="en-US"/>
              </w:rPr>
              <w:t>issued and certified in accordance with the requirements of the legislation and internal documents of the Depository</w:t>
            </w:r>
            <w:r w:rsidRPr="00E16672">
              <w:rPr>
                <w:rFonts w:ascii="Times New Roman" w:hAnsi="Times New Roman"/>
                <w:sz w:val="16"/>
                <w:szCs w:val="16"/>
                <w:lang w:val="en-US"/>
              </w:rPr>
              <w:t xml:space="preserve"> institution</w:t>
            </w:r>
            <w:r w:rsidRPr="00E16672">
              <w:rPr>
                <w:rFonts w:ascii="Times New Roman" w:hAnsi="Times New Roman"/>
                <w:sz w:val="16"/>
                <w:szCs w:val="16"/>
                <w:lang w:val="en-GB"/>
              </w:rPr>
              <w:t>;</w:t>
            </w:r>
          </w:p>
          <w:p w14:paraId="411EFDB2" w14:textId="77777777" w:rsidR="00F0600D" w:rsidRPr="00E16672" w:rsidRDefault="00F0600D" w:rsidP="00843027">
            <w:pPr>
              <w:tabs>
                <w:tab w:val="left" w:pos="287"/>
              </w:tabs>
              <w:ind w:left="175" w:right="100" w:firstLine="7"/>
              <w:rPr>
                <w:rFonts w:ascii="Times New Roman" w:hAnsi="Times New Roman"/>
                <w:sz w:val="16"/>
                <w:szCs w:val="16"/>
                <w:lang w:val="en-GB"/>
              </w:rPr>
            </w:pPr>
          </w:p>
          <w:p w14:paraId="5CF7647D" w14:textId="77777777" w:rsidR="003A05A3" w:rsidRPr="00E16672" w:rsidRDefault="003A05A3" w:rsidP="00843027">
            <w:pPr>
              <w:tabs>
                <w:tab w:val="left" w:pos="287"/>
              </w:tabs>
              <w:ind w:left="175" w:right="100" w:firstLine="7"/>
              <w:rPr>
                <w:rFonts w:ascii="Times New Roman" w:hAnsi="Times New Roman"/>
                <w:sz w:val="16"/>
                <w:szCs w:val="16"/>
                <w:lang w:val="en-US"/>
              </w:rPr>
            </w:pPr>
            <w:r w:rsidRPr="00E16672">
              <w:rPr>
                <w:rFonts w:ascii="Times New Roman" w:hAnsi="Times New Roman"/>
                <w:sz w:val="16"/>
                <w:szCs w:val="16"/>
                <w:lang w:val="en-GB"/>
              </w:rPr>
              <w:t xml:space="preserve">- </w:t>
            </w:r>
            <w:r w:rsidRPr="00F23413">
              <w:rPr>
                <w:rStyle w:val="shorttext"/>
                <w:rFonts w:ascii="Times New Roman" w:hAnsi="Times New Roman"/>
                <w:sz w:val="16"/>
                <w:szCs w:val="16"/>
                <w:lang w:val="en-US"/>
              </w:rPr>
              <w:t>qualified</w:t>
            </w:r>
            <w:r w:rsidRPr="00E16672">
              <w:rPr>
                <w:rFonts w:ascii="Times New Roman" w:hAnsi="Times New Roman"/>
                <w:color w:val="000000"/>
                <w:sz w:val="16"/>
                <w:szCs w:val="16"/>
                <w:lang w:val="en-US"/>
              </w:rPr>
              <w:t xml:space="preserve"> </w:t>
            </w:r>
            <w:r w:rsidRPr="00E16672">
              <w:rPr>
                <w:rFonts w:ascii="Times New Roman" w:hAnsi="Times New Roman"/>
                <w:sz w:val="16"/>
                <w:szCs w:val="16"/>
                <w:lang w:val="en-GB"/>
              </w:rPr>
              <w:t xml:space="preserve">electronic signature is considered to comply with the certificate's public key, if private key of the signer (manager of the account) used in the formation of the </w:t>
            </w:r>
            <w:r w:rsidRPr="00F23413">
              <w:rPr>
                <w:rStyle w:val="shorttext"/>
                <w:rFonts w:ascii="Times New Roman" w:hAnsi="Times New Roman"/>
                <w:sz w:val="16"/>
                <w:szCs w:val="16"/>
                <w:lang w:val="en-US"/>
              </w:rPr>
              <w:t>qualified</w:t>
            </w:r>
            <w:r w:rsidRPr="00E16672">
              <w:rPr>
                <w:rFonts w:ascii="Times New Roman" w:hAnsi="Times New Roman"/>
                <w:color w:val="000000"/>
                <w:sz w:val="16"/>
                <w:szCs w:val="16"/>
                <w:lang w:val="en-US"/>
              </w:rPr>
              <w:t xml:space="preserve"> </w:t>
            </w:r>
            <w:r w:rsidRPr="00E16672">
              <w:rPr>
                <w:rFonts w:ascii="Times New Roman" w:hAnsi="Times New Roman"/>
                <w:sz w:val="16"/>
                <w:szCs w:val="16"/>
                <w:lang w:val="en-GB"/>
              </w:rPr>
              <w:t xml:space="preserve">electronic signature matches the public key specified </w:t>
            </w:r>
            <w:r w:rsidRPr="00E16672">
              <w:rPr>
                <w:rFonts w:ascii="Times New Roman" w:hAnsi="Times New Roman"/>
                <w:sz w:val="16"/>
                <w:szCs w:val="16"/>
                <w:lang w:val="en-GB"/>
              </w:rPr>
              <w:lastRenderedPageBreak/>
              <w:t>in the certificate</w:t>
            </w:r>
            <w:r w:rsidRPr="00E16672">
              <w:rPr>
                <w:rFonts w:ascii="Times New Roman" w:hAnsi="Times New Roman"/>
                <w:sz w:val="16"/>
                <w:szCs w:val="16"/>
                <w:lang w:val="uk-UA"/>
              </w:rPr>
              <w:t>.</w:t>
            </w:r>
            <w:r w:rsidRPr="00E16672">
              <w:rPr>
                <w:rFonts w:ascii="Times New Roman" w:hAnsi="Times New Roman"/>
                <w:sz w:val="16"/>
                <w:szCs w:val="16"/>
                <w:lang w:val="en-GB"/>
              </w:rPr>
              <w:t xml:space="preserve">  </w:t>
            </w:r>
          </w:p>
        </w:tc>
      </w:tr>
      <w:tr w:rsidR="003A05A3" w:rsidRPr="00F23413" w14:paraId="57B06523" w14:textId="77777777" w:rsidTr="003B3EC1">
        <w:trPr>
          <w:trHeight w:val="974"/>
        </w:trPr>
        <w:tc>
          <w:tcPr>
            <w:tcW w:w="5696" w:type="dxa"/>
            <w:gridSpan w:val="8"/>
            <w:shd w:val="clear" w:color="auto" w:fill="auto"/>
          </w:tcPr>
          <w:p w14:paraId="653D883B" w14:textId="77777777" w:rsidR="003A05A3" w:rsidRPr="00E16672" w:rsidRDefault="003A05A3" w:rsidP="00843027">
            <w:pPr>
              <w:snapToGrid w:val="0"/>
              <w:ind w:left="175" w:right="138" w:firstLine="7"/>
              <w:rPr>
                <w:rFonts w:ascii="Times New Roman" w:hAnsi="Times New Roman"/>
                <w:sz w:val="16"/>
                <w:szCs w:val="16"/>
              </w:rPr>
            </w:pPr>
            <w:r w:rsidRPr="00E16672">
              <w:rPr>
                <w:rFonts w:ascii="Times New Roman" w:hAnsi="Times New Roman"/>
                <w:sz w:val="16"/>
                <w:szCs w:val="16"/>
              </w:rPr>
              <w:lastRenderedPageBreak/>
              <w:t xml:space="preserve">3.6. </w:t>
            </w:r>
            <w:proofErr w:type="spellStart"/>
            <w:r w:rsidRPr="00E16672">
              <w:rPr>
                <w:rFonts w:ascii="Times New Roman" w:hAnsi="Times New Roman"/>
                <w:sz w:val="16"/>
                <w:szCs w:val="16"/>
              </w:rPr>
              <w:t>Розпорядження</w:t>
            </w:r>
            <w:proofErr w:type="spellEnd"/>
            <w:r w:rsidRPr="00E16672">
              <w:rPr>
                <w:rFonts w:ascii="Times New Roman" w:hAnsi="Times New Roman"/>
                <w:sz w:val="16"/>
                <w:szCs w:val="16"/>
              </w:rPr>
              <w:t xml:space="preserve"> у </w:t>
            </w:r>
            <w:proofErr w:type="spellStart"/>
            <w:r w:rsidRPr="00E16672">
              <w:rPr>
                <w:rFonts w:ascii="Times New Roman" w:hAnsi="Times New Roman"/>
                <w:sz w:val="16"/>
                <w:szCs w:val="16"/>
              </w:rPr>
              <w:t>вигляді</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паперового</w:t>
            </w:r>
            <w:proofErr w:type="spellEnd"/>
            <w:r w:rsidRPr="00E16672">
              <w:rPr>
                <w:rFonts w:ascii="Times New Roman" w:hAnsi="Times New Roman"/>
                <w:sz w:val="16"/>
                <w:szCs w:val="16"/>
              </w:rPr>
              <w:t xml:space="preserve"> документа </w:t>
            </w:r>
            <w:proofErr w:type="spellStart"/>
            <w:r w:rsidRPr="00E16672">
              <w:rPr>
                <w:rFonts w:ascii="Times New Roman" w:hAnsi="Times New Roman"/>
                <w:sz w:val="16"/>
                <w:szCs w:val="16"/>
              </w:rPr>
              <w:t>повинні</w:t>
            </w:r>
            <w:proofErr w:type="spellEnd"/>
            <w:r w:rsidRPr="00E16672">
              <w:rPr>
                <w:rFonts w:ascii="Times New Roman" w:hAnsi="Times New Roman"/>
                <w:sz w:val="16"/>
                <w:szCs w:val="16"/>
              </w:rPr>
              <w:t xml:space="preserve"> бути </w:t>
            </w:r>
            <w:proofErr w:type="spellStart"/>
            <w:r w:rsidRPr="00E16672">
              <w:rPr>
                <w:rFonts w:ascii="Times New Roman" w:hAnsi="Times New Roman"/>
                <w:sz w:val="16"/>
                <w:szCs w:val="16"/>
              </w:rPr>
              <w:t>надані</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Депозитарній</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установі</w:t>
            </w:r>
            <w:proofErr w:type="spellEnd"/>
            <w:r w:rsidRPr="00E16672">
              <w:rPr>
                <w:rFonts w:ascii="Times New Roman" w:hAnsi="Times New Roman"/>
                <w:sz w:val="16"/>
                <w:szCs w:val="16"/>
              </w:rPr>
              <w:t xml:space="preserve"> без </w:t>
            </w:r>
            <w:proofErr w:type="spellStart"/>
            <w:r w:rsidRPr="00E16672">
              <w:rPr>
                <w:rFonts w:ascii="Times New Roman" w:hAnsi="Times New Roman"/>
                <w:sz w:val="16"/>
                <w:szCs w:val="16"/>
              </w:rPr>
              <w:t>перекручування</w:t>
            </w:r>
            <w:proofErr w:type="spellEnd"/>
            <w:r w:rsidRPr="00E16672">
              <w:rPr>
                <w:rFonts w:ascii="Times New Roman" w:hAnsi="Times New Roman"/>
                <w:sz w:val="16"/>
                <w:szCs w:val="16"/>
              </w:rPr>
              <w:t xml:space="preserve"> та </w:t>
            </w:r>
            <w:proofErr w:type="spellStart"/>
            <w:r w:rsidRPr="00E16672">
              <w:rPr>
                <w:rFonts w:ascii="Times New Roman" w:hAnsi="Times New Roman"/>
                <w:sz w:val="16"/>
                <w:szCs w:val="16"/>
              </w:rPr>
              <w:t>виправлення</w:t>
            </w:r>
            <w:proofErr w:type="spellEnd"/>
            <w:r w:rsidRPr="00E16672">
              <w:rPr>
                <w:rFonts w:ascii="Times New Roman" w:hAnsi="Times New Roman"/>
                <w:sz w:val="16"/>
                <w:szCs w:val="16"/>
              </w:rPr>
              <w:t xml:space="preserve"> тексту, з </w:t>
            </w:r>
            <w:proofErr w:type="spellStart"/>
            <w:r w:rsidRPr="00E16672">
              <w:rPr>
                <w:rFonts w:ascii="Times New Roman" w:hAnsi="Times New Roman"/>
                <w:sz w:val="16"/>
                <w:szCs w:val="16"/>
              </w:rPr>
              <w:t>чітким</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відбитком</w:t>
            </w:r>
            <w:proofErr w:type="spellEnd"/>
            <w:r w:rsidRPr="00E16672">
              <w:rPr>
                <w:rFonts w:ascii="Times New Roman" w:hAnsi="Times New Roman"/>
                <w:sz w:val="16"/>
                <w:szCs w:val="16"/>
              </w:rPr>
              <w:t xml:space="preserve"> печатки (у </w:t>
            </w:r>
            <w:proofErr w:type="spellStart"/>
            <w:r w:rsidRPr="00E16672">
              <w:rPr>
                <w:rFonts w:ascii="Times New Roman" w:hAnsi="Times New Roman"/>
                <w:sz w:val="16"/>
                <w:szCs w:val="16"/>
              </w:rPr>
              <w:t>разі</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використання</w:t>
            </w:r>
            <w:proofErr w:type="spellEnd"/>
            <w:r w:rsidRPr="00E16672">
              <w:rPr>
                <w:rFonts w:ascii="Times New Roman" w:hAnsi="Times New Roman"/>
                <w:sz w:val="16"/>
                <w:szCs w:val="16"/>
              </w:rPr>
              <w:t xml:space="preserve">) за </w:t>
            </w:r>
            <w:proofErr w:type="spellStart"/>
            <w:r w:rsidRPr="00E16672">
              <w:rPr>
                <w:rFonts w:ascii="Times New Roman" w:hAnsi="Times New Roman"/>
                <w:sz w:val="16"/>
                <w:szCs w:val="16"/>
              </w:rPr>
              <w:t>підписом</w:t>
            </w:r>
            <w:proofErr w:type="spellEnd"/>
            <w:r w:rsidRPr="00E16672">
              <w:rPr>
                <w:rFonts w:ascii="Times New Roman" w:hAnsi="Times New Roman"/>
                <w:sz w:val="16"/>
                <w:szCs w:val="16"/>
              </w:rPr>
              <w:t xml:space="preserve"> Депонента, </w:t>
            </w:r>
            <w:proofErr w:type="spellStart"/>
            <w:r w:rsidRPr="00E16672">
              <w:rPr>
                <w:rFonts w:ascii="Times New Roman" w:hAnsi="Times New Roman"/>
                <w:sz w:val="16"/>
                <w:szCs w:val="16"/>
              </w:rPr>
              <w:t>або</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керуючого</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чи</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розпорядника</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його</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рахунку</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уповноваженого</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представника</w:t>
            </w:r>
            <w:proofErr w:type="spellEnd"/>
            <w:r w:rsidRPr="00E16672">
              <w:rPr>
                <w:rFonts w:ascii="Times New Roman" w:hAnsi="Times New Roman"/>
                <w:sz w:val="16"/>
                <w:szCs w:val="16"/>
              </w:rPr>
              <w:t>).</w:t>
            </w:r>
          </w:p>
          <w:p w14:paraId="04A02351" w14:textId="77777777" w:rsidR="003A05A3" w:rsidRPr="00E16672" w:rsidRDefault="003A05A3" w:rsidP="00843027">
            <w:pPr>
              <w:snapToGrid w:val="0"/>
              <w:ind w:left="175" w:right="138" w:firstLine="7"/>
              <w:rPr>
                <w:rFonts w:ascii="Times New Roman" w:hAnsi="Times New Roman"/>
                <w:sz w:val="16"/>
                <w:szCs w:val="16"/>
              </w:rPr>
            </w:pPr>
          </w:p>
        </w:tc>
        <w:tc>
          <w:tcPr>
            <w:tcW w:w="5494" w:type="dxa"/>
            <w:gridSpan w:val="6"/>
            <w:shd w:val="clear" w:color="auto" w:fill="auto"/>
          </w:tcPr>
          <w:p w14:paraId="0E7792C6" w14:textId="77777777" w:rsidR="003A05A3" w:rsidRPr="00E16672" w:rsidRDefault="003A05A3" w:rsidP="00843027">
            <w:pPr>
              <w:pStyle w:val="210"/>
              <w:tabs>
                <w:tab w:val="left" w:pos="287"/>
                <w:tab w:val="left" w:pos="1191"/>
              </w:tabs>
              <w:snapToGrid w:val="0"/>
              <w:ind w:left="175" w:right="100" w:firstLine="7"/>
              <w:rPr>
                <w:rFonts w:ascii="Times New Roman" w:hAnsi="Times New Roman"/>
                <w:sz w:val="16"/>
                <w:szCs w:val="16"/>
                <w:lang w:val="en-GB"/>
              </w:rPr>
            </w:pPr>
            <w:r w:rsidRPr="00E16672">
              <w:rPr>
                <w:rFonts w:ascii="Times New Roman" w:hAnsi="Times New Roman"/>
                <w:sz w:val="16"/>
                <w:szCs w:val="16"/>
                <w:lang w:val="en-GB"/>
              </w:rPr>
              <w:t xml:space="preserve">3.6. The orders in the form of a paper document must be given to Depository </w:t>
            </w:r>
            <w:proofErr w:type="gramStart"/>
            <w:r w:rsidRPr="00E16672">
              <w:rPr>
                <w:rFonts w:ascii="Times New Roman" w:hAnsi="Times New Roman"/>
                <w:sz w:val="16"/>
                <w:szCs w:val="16"/>
                <w:lang w:val="en-GB"/>
              </w:rPr>
              <w:t>institution  without</w:t>
            </w:r>
            <w:proofErr w:type="gramEnd"/>
            <w:r w:rsidRPr="00E16672">
              <w:rPr>
                <w:rFonts w:ascii="Times New Roman" w:hAnsi="Times New Roman"/>
                <w:sz w:val="16"/>
                <w:szCs w:val="16"/>
                <w:lang w:val="en-GB"/>
              </w:rPr>
              <w:t xml:space="preserve"> twisting and correction of the text with the clear imprint of seal (</w:t>
            </w:r>
            <w:r w:rsidRPr="00E16672">
              <w:rPr>
                <w:rFonts w:ascii="Times New Roman" w:hAnsi="Times New Roman"/>
                <w:color w:val="000000"/>
                <w:sz w:val="16"/>
                <w:szCs w:val="16"/>
                <w:lang w:val="en-US"/>
              </w:rPr>
              <w:t>in case of use</w:t>
            </w:r>
            <w:r w:rsidRPr="00E16672">
              <w:rPr>
                <w:rFonts w:ascii="Times New Roman" w:hAnsi="Times New Roman"/>
                <w:sz w:val="16"/>
                <w:szCs w:val="16"/>
                <w:lang w:val="en-GB"/>
              </w:rPr>
              <w:t xml:space="preserve">) over the signature of Depositor, or </w:t>
            </w:r>
            <w:r w:rsidR="00A46B57" w:rsidRPr="00E16672">
              <w:rPr>
                <w:rFonts w:ascii="Times New Roman" w:hAnsi="Times New Roman"/>
                <w:sz w:val="16"/>
                <w:szCs w:val="16"/>
                <w:lang w:val="en-GB"/>
              </w:rPr>
              <w:t xml:space="preserve">administrator or manager </w:t>
            </w:r>
            <w:r w:rsidRPr="00E16672">
              <w:rPr>
                <w:rFonts w:ascii="Times New Roman" w:hAnsi="Times New Roman"/>
                <w:sz w:val="16"/>
                <w:szCs w:val="16"/>
                <w:lang w:val="en-GB"/>
              </w:rPr>
              <w:t>of his account (authorized representative person.</w:t>
            </w:r>
          </w:p>
          <w:p w14:paraId="1C468030" w14:textId="77777777" w:rsidR="003A05A3" w:rsidRPr="00E16672" w:rsidRDefault="003A05A3" w:rsidP="00843027">
            <w:pPr>
              <w:tabs>
                <w:tab w:val="left" w:pos="287"/>
              </w:tabs>
              <w:ind w:left="175" w:right="100" w:firstLine="7"/>
              <w:rPr>
                <w:rFonts w:ascii="Times New Roman" w:hAnsi="Times New Roman"/>
                <w:b/>
                <w:bCs/>
                <w:sz w:val="16"/>
                <w:szCs w:val="16"/>
                <w:lang w:val="en-GB"/>
              </w:rPr>
            </w:pPr>
          </w:p>
        </w:tc>
      </w:tr>
      <w:tr w:rsidR="003A05A3" w:rsidRPr="00F23413" w14:paraId="0A38F4C8" w14:textId="77777777" w:rsidTr="00242F58">
        <w:trPr>
          <w:trHeight w:val="677"/>
        </w:trPr>
        <w:tc>
          <w:tcPr>
            <w:tcW w:w="5696" w:type="dxa"/>
            <w:gridSpan w:val="8"/>
            <w:shd w:val="clear" w:color="auto" w:fill="auto"/>
          </w:tcPr>
          <w:p w14:paraId="2524D64B" w14:textId="77777777" w:rsidR="003A05A3" w:rsidRPr="00E16672" w:rsidRDefault="003A05A3" w:rsidP="00843027">
            <w:pPr>
              <w:snapToGrid w:val="0"/>
              <w:ind w:left="175" w:right="138" w:firstLine="7"/>
              <w:rPr>
                <w:rFonts w:ascii="Times New Roman" w:hAnsi="Times New Roman"/>
                <w:sz w:val="16"/>
                <w:szCs w:val="16"/>
              </w:rPr>
            </w:pPr>
            <w:r w:rsidRPr="00E16672">
              <w:rPr>
                <w:rFonts w:ascii="Times New Roman" w:hAnsi="Times New Roman"/>
                <w:sz w:val="16"/>
                <w:szCs w:val="16"/>
              </w:rPr>
              <w:t xml:space="preserve">3.7. </w:t>
            </w:r>
            <w:proofErr w:type="spellStart"/>
            <w:r w:rsidRPr="00E16672">
              <w:rPr>
                <w:rFonts w:ascii="Times New Roman" w:hAnsi="Times New Roman"/>
                <w:sz w:val="16"/>
                <w:szCs w:val="16"/>
              </w:rPr>
              <w:t>Розпорядження</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Депонентів</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повинні</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повністю</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розкривати</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зміст</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виконання</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операцій</w:t>
            </w:r>
            <w:proofErr w:type="spellEnd"/>
            <w:r w:rsidRPr="00E16672">
              <w:rPr>
                <w:rFonts w:ascii="Times New Roman" w:hAnsi="Times New Roman"/>
                <w:sz w:val="16"/>
                <w:szCs w:val="16"/>
              </w:rPr>
              <w:t xml:space="preserve"> з </w:t>
            </w:r>
            <w:proofErr w:type="spellStart"/>
            <w:r w:rsidRPr="00E16672">
              <w:rPr>
                <w:rFonts w:ascii="Times New Roman" w:hAnsi="Times New Roman"/>
                <w:sz w:val="16"/>
                <w:szCs w:val="16"/>
              </w:rPr>
              <w:t>рахунками</w:t>
            </w:r>
            <w:proofErr w:type="spellEnd"/>
            <w:r w:rsidRPr="00E16672">
              <w:rPr>
                <w:rFonts w:ascii="Times New Roman" w:hAnsi="Times New Roman"/>
                <w:sz w:val="16"/>
                <w:szCs w:val="16"/>
              </w:rPr>
              <w:t xml:space="preserve"> в </w:t>
            </w:r>
            <w:proofErr w:type="spellStart"/>
            <w:r w:rsidRPr="00E16672">
              <w:rPr>
                <w:rFonts w:ascii="Times New Roman" w:hAnsi="Times New Roman"/>
                <w:sz w:val="16"/>
                <w:szCs w:val="16"/>
              </w:rPr>
              <w:t>цінних</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паперах</w:t>
            </w:r>
            <w:proofErr w:type="spellEnd"/>
            <w:r w:rsidRPr="00E16672">
              <w:rPr>
                <w:rFonts w:ascii="Times New Roman" w:hAnsi="Times New Roman"/>
                <w:sz w:val="16"/>
                <w:szCs w:val="16"/>
              </w:rPr>
              <w:t xml:space="preserve"> та </w:t>
            </w:r>
            <w:proofErr w:type="spellStart"/>
            <w:r w:rsidRPr="00E16672">
              <w:rPr>
                <w:rFonts w:ascii="Times New Roman" w:hAnsi="Times New Roman"/>
                <w:sz w:val="16"/>
                <w:szCs w:val="16"/>
              </w:rPr>
              <w:t>відповідати</w:t>
            </w:r>
            <w:proofErr w:type="spellEnd"/>
            <w:r w:rsidRPr="00E16672">
              <w:rPr>
                <w:rFonts w:ascii="Times New Roman" w:hAnsi="Times New Roman"/>
                <w:sz w:val="16"/>
                <w:szCs w:val="16"/>
              </w:rPr>
              <w:t xml:space="preserve"> чинному </w:t>
            </w:r>
            <w:proofErr w:type="spellStart"/>
            <w:r w:rsidRPr="00E16672">
              <w:rPr>
                <w:rFonts w:ascii="Times New Roman" w:hAnsi="Times New Roman"/>
                <w:sz w:val="16"/>
                <w:szCs w:val="16"/>
              </w:rPr>
              <w:t>законодавству</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України</w:t>
            </w:r>
            <w:proofErr w:type="spellEnd"/>
            <w:r w:rsidRPr="00E16672">
              <w:rPr>
                <w:rFonts w:ascii="Times New Roman" w:hAnsi="Times New Roman"/>
                <w:sz w:val="16"/>
                <w:szCs w:val="16"/>
              </w:rPr>
              <w:t>.</w:t>
            </w:r>
          </w:p>
        </w:tc>
        <w:tc>
          <w:tcPr>
            <w:tcW w:w="5494" w:type="dxa"/>
            <w:gridSpan w:val="6"/>
            <w:shd w:val="clear" w:color="auto" w:fill="auto"/>
          </w:tcPr>
          <w:p w14:paraId="113DC847" w14:textId="77777777" w:rsidR="003A05A3" w:rsidRPr="00E16672" w:rsidRDefault="003A05A3" w:rsidP="00843027">
            <w:pPr>
              <w:pStyle w:val="210"/>
              <w:tabs>
                <w:tab w:val="left" w:pos="1191"/>
              </w:tabs>
              <w:snapToGrid w:val="0"/>
              <w:ind w:left="175" w:right="138" w:firstLine="7"/>
              <w:rPr>
                <w:rFonts w:ascii="Times New Roman" w:hAnsi="Times New Roman"/>
                <w:sz w:val="16"/>
                <w:szCs w:val="16"/>
                <w:lang w:val="en-GB"/>
              </w:rPr>
            </w:pPr>
            <w:r w:rsidRPr="00E16672">
              <w:rPr>
                <w:rFonts w:ascii="Times New Roman" w:hAnsi="Times New Roman"/>
                <w:sz w:val="16"/>
                <w:szCs w:val="16"/>
              </w:rPr>
              <w:t xml:space="preserve">3.7.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orders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of</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Depositor</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should</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be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able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to</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completely</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uncover</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sense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of</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operations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with</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accounts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in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securities</w:t>
            </w:r>
            <w:proofErr w:type="spellEnd"/>
            <w:r w:rsidRPr="00E16672">
              <w:rPr>
                <w:rFonts w:ascii="Times New Roman" w:hAnsi="Times New Roman"/>
                <w:sz w:val="16"/>
                <w:szCs w:val="16"/>
              </w:rPr>
              <w:t xml:space="preserve"> </w:t>
            </w:r>
            <w:r w:rsidRPr="00E16672">
              <w:rPr>
                <w:rFonts w:ascii="Times New Roman" w:hAnsi="Times New Roman"/>
                <w:sz w:val="16"/>
                <w:szCs w:val="16"/>
                <w:lang w:val="en-US"/>
              </w:rPr>
              <w:t>and</w:t>
            </w:r>
            <w:r w:rsidRPr="00E16672">
              <w:rPr>
                <w:rFonts w:ascii="Times New Roman" w:hAnsi="Times New Roman"/>
                <w:sz w:val="16"/>
                <w:szCs w:val="16"/>
              </w:rPr>
              <w:t xml:space="preserve"> </w:t>
            </w:r>
            <w:proofErr w:type="spellStart"/>
            <w:r w:rsidRPr="00E16672">
              <w:rPr>
                <w:rFonts w:ascii="Times New Roman" w:hAnsi="Times New Roman"/>
                <w:sz w:val="16"/>
                <w:szCs w:val="16"/>
              </w:rPr>
              <w:t>correspond</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current</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legislation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of</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Ukrain</w:t>
            </w:r>
            <w:proofErr w:type="spellEnd"/>
            <w:r w:rsidRPr="00E16672">
              <w:rPr>
                <w:rFonts w:ascii="Times New Roman" w:hAnsi="Times New Roman"/>
                <w:sz w:val="16"/>
                <w:szCs w:val="16"/>
                <w:lang w:val="en-US"/>
              </w:rPr>
              <w:t>e</w:t>
            </w:r>
            <w:r w:rsidRPr="00E16672">
              <w:rPr>
                <w:rFonts w:ascii="Times New Roman" w:hAnsi="Times New Roman"/>
                <w:sz w:val="16"/>
                <w:szCs w:val="16"/>
              </w:rPr>
              <w:t>.</w:t>
            </w:r>
          </w:p>
        </w:tc>
      </w:tr>
      <w:tr w:rsidR="003A05A3" w:rsidRPr="00F23413" w14:paraId="1D905CFC" w14:textId="77777777" w:rsidTr="00242F58">
        <w:trPr>
          <w:trHeight w:val="517"/>
        </w:trPr>
        <w:tc>
          <w:tcPr>
            <w:tcW w:w="5696" w:type="dxa"/>
            <w:gridSpan w:val="8"/>
            <w:shd w:val="clear" w:color="auto" w:fill="auto"/>
          </w:tcPr>
          <w:p w14:paraId="46135DD8" w14:textId="77777777" w:rsidR="003A05A3" w:rsidRPr="00E16672" w:rsidRDefault="003A05A3" w:rsidP="00843027">
            <w:pPr>
              <w:ind w:left="175" w:right="138" w:firstLine="7"/>
              <w:rPr>
                <w:rFonts w:ascii="Times New Roman" w:hAnsi="Times New Roman"/>
                <w:color w:val="000000"/>
                <w:sz w:val="16"/>
                <w:szCs w:val="16"/>
                <w:lang w:val="uk-UA"/>
              </w:rPr>
            </w:pPr>
            <w:r w:rsidRPr="00E16672">
              <w:rPr>
                <w:rFonts w:ascii="Times New Roman" w:hAnsi="Times New Roman"/>
                <w:color w:val="000000"/>
                <w:sz w:val="16"/>
                <w:szCs w:val="16"/>
                <w:lang w:val="uk-UA"/>
              </w:rPr>
              <w:t xml:space="preserve">3.8. Розпорядження виконується Депозитарною установою у порядку, передбаченому </w:t>
            </w:r>
            <w:r w:rsidRPr="00E16672">
              <w:rPr>
                <w:rFonts w:ascii="Times New Roman" w:hAnsi="Times New Roman"/>
                <w:color w:val="000000"/>
                <w:sz w:val="16"/>
                <w:szCs w:val="20"/>
                <w:lang w:val="uk-UA"/>
              </w:rPr>
              <w:t xml:space="preserve">законодавством та </w:t>
            </w:r>
            <w:r w:rsidRPr="00E16672">
              <w:rPr>
                <w:rFonts w:ascii="Times New Roman" w:hAnsi="Times New Roman"/>
                <w:color w:val="000000"/>
                <w:sz w:val="16"/>
                <w:szCs w:val="16"/>
                <w:lang w:val="uk-UA"/>
              </w:rPr>
              <w:t xml:space="preserve">внутрішніми документами Депозитарної установи. </w:t>
            </w:r>
          </w:p>
          <w:p w14:paraId="7004025B" w14:textId="77777777" w:rsidR="003A05A3" w:rsidRPr="00E16672" w:rsidRDefault="003A05A3" w:rsidP="00843027">
            <w:pPr>
              <w:pStyle w:val="ab"/>
              <w:ind w:left="175" w:right="138" w:firstLine="7"/>
              <w:jc w:val="both"/>
              <w:rPr>
                <w:rFonts w:ascii="Times New Roman" w:hAnsi="Times New Roman"/>
                <w:color w:val="000000"/>
                <w:sz w:val="16"/>
                <w:szCs w:val="16"/>
              </w:rPr>
            </w:pPr>
          </w:p>
        </w:tc>
        <w:tc>
          <w:tcPr>
            <w:tcW w:w="5494" w:type="dxa"/>
            <w:gridSpan w:val="6"/>
            <w:shd w:val="clear" w:color="auto" w:fill="auto"/>
          </w:tcPr>
          <w:p w14:paraId="64DB438F" w14:textId="77777777" w:rsidR="003A05A3" w:rsidRPr="00E16672" w:rsidRDefault="003A05A3" w:rsidP="00843027">
            <w:pPr>
              <w:pStyle w:val="210"/>
              <w:tabs>
                <w:tab w:val="left" w:pos="1191"/>
              </w:tabs>
              <w:snapToGrid w:val="0"/>
              <w:ind w:left="175" w:right="138" w:firstLine="7"/>
              <w:rPr>
                <w:rFonts w:ascii="Times New Roman" w:hAnsi="Times New Roman"/>
                <w:color w:val="000000"/>
                <w:sz w:val="16"/>
                <w:szCs w:val="16"/>
              </w:rPr>
            </w:pPr>
            <w:r w:rsidRPr="00E16672">
              <w:rPr>
                <w:rFonts w:ascii="Times New Roman" w:hAnsi="Times New Roman"/>
                <w:color w:val="000000"/>
                <w:sz w:val="16"/>
                <w:szCs w:val="16"/>
              </w:rPr>
              <w:t xml:space="preserve">3.8. </w:t>
            </w:r>
            <w:proofErr w:type="spellStart"/>
            <w:r w:rsidRPr="00E16672">
              <w:rPr>
                <w:rFonts w:ascii="Times New Roman" w:hAnsi="Times New Roman"/>
                <w:color w:val="000000"/>
                <w:sz w:val="16"/>
                <w:szCs w:val="16"/>
              </w:rPr>
              <w:t>The</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orders</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are</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executed</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by</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the</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Depository</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institution</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in</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the</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manner</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provided</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sz w:val="16"/>
                <w:szCs w:val="16"/>
              </w:rPr>
              <w:t>by</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legislation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and</w:t>
            </w:r>
            <w:proofErr w:type="spellEnd"/>
            <w:r w:rsidRPr="00E16672">
              <w:rPr>
                <w:rFonts w:ascii="Times New Roman" w:hAnsi="Times New Roman"/>
                <w:sz w:val="16"/>
                <w:szCs w:val="16"/>
              </w:rPr>
              <w:t xml:space="preserve"> </w:t>
            </w:r>
            <w:proofErr w:type="spellStart"/>
            <w:r w:rsidRPr="00E16672">
              <w:rPr>
                <w:rFonts w:ascii="Times New Roman" w:hAnsi="Times New Roman"/>
                <w:color w:val="000000"/>
                <w:sz w:val="16"/>
                <w:szCs w:val="16"/>
              </w:rPr>
              <w:t>internal</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documents</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of</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Depository</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institution</w:t>
            </w:r>
            <w:proofErr w:type="spellEnd"/>
            <w:r w:rsidRPr="00E16672">
              <w:rPr>
                <w:rFonts w:ascii="Times New Roman" w:hAnsi="Times New Roman"/>
                <w:color w:val="000000"/>
                <w:sz w:val="16"/>
                <w:szCs w:val="16"/>
              </w:rPr>
              <w:t>.</w:t>
            </w:r>
          </w:p>
          <w:p w14:paraId="4ABBB15F" w14:textId="77777777" w:rsidR="003A05A3" w:rsidRPr="00E16672" w:rsidRDefault="003A05A3" w:rsidP="00843027">
            <w:pPr>
              <w:ind w:left="175" w:right="138" w:firstLine="7"/>
              <w:rPr>
                <w:rFonts w:ascii="Times New Roman" w:hAnsi="Times New Roman"/>
                <w:color w:val="000000"/>
                <w:sz w:val="16"/>
                <w:szCs w:val="16"/>
                <w:lang w:val="en-US"/>
              </w:rPr>
            </w:pPr>
          </w:p>
        </w:tc>
      </w:tr>
      <w:tr w:rsidR="003A05A3" w:rsidRPr="00F23413" w14:paraId="30071ED0" w14:textId="77777777" w:rsidTr="00242F58">
        <w:trPr>
          <w:trHeight w:val="962"/>
        </w:trPr>
        <w:tc>
          <w:tcPr>
            <w:tcW w:w="5696" w:type="dxa"/>
            <w:gridSpan w:val="8"/>
            <w:shd w:val="clear" w:color="auto" w:fill="auto"/>
          </w:tcPr>
          <w:p w14:paraId="464BF05C" w14:textId="77777777" w:rsidR="003A05A3" w:rsidRPr="00E16672" w:rsidRDefault="003A05A3" w:rsidP="00843027">
            <w:pPr>
              <w:ind w:left="175" w:right="138" w:firstLine="7"/>
              <w:rPr>
                <w:rFonts w:ascii="Times New Roman" w:hAnsi="Times New Roman"/>
                <w:sz w:val="16"/>
                <w:szCs w:val="16"/>
                <w:lang w:val="uk-UA"/>
              </w:rPr>
            </w:pPr>
            <w:r w:rsidRPr="00E16672">
              <w:rPr>
                <w:rFonts w:ascii="Times New Roman" w:hAnsi="Times New Roman"/>
                <w:sz w:val="16"/>
                <w:szCs w:val="16"/>
                <w:lang w:val="uk-UA"/>
              </w:rPr>
              <w:t xml:space="preserve">3.9. </w:t>
            </w:r>
            <w:r w:rsidRPr="00E16672">
              <w:rPr>
                <w:rFonts w:ascii="Times New Roman" w:hAnsi="Times New Roman"/>
                <w:color w:val="000000"/>
                <w:sz w:val="16"/>
                <w:szCs w:val="16"/>
              </w:rPr>
              <w:t xml:space="preserve">Депонент </w:t>
            </w:r>
            <w:proofErr w:type="spellStart"/>
            <w:r w:rsidRPr="00E16672">
              <w:rPr>
                <w:rFonts w:ascii="Times New Roman" w:hAnsi="Times New Roman"/>
                <w:color w:val="000000"/>
                <w:sz w:val="16"/>
                <w:szCs w:val="16"/>
              </w:rPr>
              <w:t>бере</w:t>
            </w:r>
            <w:proofErr w:type="spellEnd"/>
            <w:r w:rsidRPr="00E16672">
              <w:rPr>
                <w:rFonts w:ascii="Times New Roman" w:hAnsi="Times New Roman"/>
                <w:color w:val="000000"/>
                <w:sz w:val="16"/>
                <w:szCs w:val="16"/>
              </w:rPr>
              <w:t xml:space="preserve"> на себе </w:t>
            </w:r>
            <w:proofErr w:type="spellStart"/>
            <w:r w:rsidRPr="00E16672">
              <w:rPr>
                <w:rFonts w:ascii="Times New Roman" w:hAnsi="Times New Roman"/>
                <w:color w:val="000000"/>
                <w:sz w:val="16"/>
                <w:szCs w:val="16"/>
              </w:rPr>
              <w:t>відповідальність</w:t>
            </w:r>
            <w:proofErr w:type="spellEnd"/>
            <w:r w:rsidRPr="00E16672">
              <w:rPr>
                <w:rFonts w:ascii="Times New Roman" w:hAnsi="Times New Roman"/>
                <w:color w:val="000000"/>
                <w:sz w:val="16"/>
                <w:szCs w:val="16"/>
              </w:rPr>
              <w:t xml:space="preserve"> за </w:t>
            </w:r>
            <w:proofErr w:type="spellStart"/>
            <w:r w:rsidRPr="00E16672">
              <w:rPr>
                <w:rFonts w:ascii="Times New Roman" w:hAnsi="Times New Roman"/>
                <w:color w:val="000000"/>
                <w:sz w:val="16"/>
                <w:szCs w:val="16"/>
              </w:rPr>
              <w:t>достовірність</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інформації</w:t>
            </w:r>
            <w:proofErr w:type="spellEnd"/>
            <w:r w:rsidRPr="00E16672">
              <w:rPr>
                <w:rFonts w:ascii="Times New Roman" w:hAnsi="Times New Roman"/>
                <w:color w:val="000000"/>
                <w:sz w:val="16"/>
                <w:szCs w:val="16"/>
              </w:rPr>
              <w:t xml:space="preserve">, яка </w:t>
            </w:r>
            <w:proofErr w:type="spellStart"/>
            <w:r w:rsidRPr="00E16672">
              <w:rPr>
                <w:rFonts w:ascii="Times New Roman" w:hAnsi="Times New Roman"/>
                <w:color w:val="000000"/>
                <w:sz w:val="16"/>
                <w:szCs w:val="16"/>
              </w:rPr>
              <w:t>міститься</w:t>
            </w:r>
            <w:proofErr w:type="spellEnd"/>
            <w:r w:rsidRPr="00E16672">
              <w:rPr>
                <w:rFonts w:ascii="Times New Roman" w:hAnsi="Times New Roman"/>
                <w:color w:val="000000"/>
                <w:sz w:val="16"/>
                <w:szCs w:val="16"/>
              </w:rPr>
              <w:t xml:space="preserve"> в документах, </w:t>
            </w:r>
            <w:proofErr w:type="spellStart"/>
            <w:r w:rsidRPr="00E16672">
              <w:rPr>
                <w:rFonts w:ascii="Times New Roman" w:hAnsi="Times New Roman"/>
                <w:color w:val="000000"/>
                <w:sz w:val="16"/>
                <w:szCs w:val="16"/>
              </w:rPr>
              <w:t>які</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надаються</w:t>
            </w:r>
            <w:proofErr w:type="spellEnd"/>
            <w:r w:rsidRPr="00E16672">
              <w:rPr>
                <w:rFonts w:ascii="Times New Roman" w:hAnsi="Times New Roman"/>
                <w:color w:val="000000"/>
                <w:sz w:val="16"/>
                <w:szCs w:val="16"/>
              </w:rPr>
              <w:t xml:space="preserve"> Депонентом, </w:t>
            </w:r>
            <w:proofErr w:type="spellStart"/>
            <w:r w:rsidRPr="00E16672">
              <w:rPr>
                <w:rFonts w:ascii="Times New Roman" w:hAnsi="Times New Roman"/>
                <w:color w:val="000000"/>
                <w:sz w:val="16"/>
                <w:szCs w:val="16"/>
              </w:rPr>
              <w:t>розпорядником</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рахунку</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керуючим</w:t>
            </w:r>
            <w:proofErr w:type="spellEnd"/>
            <w:r w:rsidRPr="00E16672">
              <w:rPr>
                <w:rFonts w:ascii="Times New Roman" w:hAnsi="Times New Roman"/>
                <w:color w:val="000000"/>
                <w:sz w:val="16"/>
                <w:szCs w:val="16"/>
              </w:rPr>
              <w:t xml:space="preserve"> </w:t>
            </w:r>
            <w:proofErr w:type="spellStart"/>
            <w:proofErr w:type="gramStart"/>
            <w:r w:rsidRPr="00E16672">
              <w:rPr>
                <w:rFonts w:ascii="Times New Roman" w:hAnsi="Times New Roman"/>
                <w:color w:val="000000"/>
                <w:sz w:val="16"/>
                <w:szCs w:val="16"/>
              </w:rPr>
              <w:t>рахунком</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Депозитарній</w:t>
            </w:r>
            <w:proofErr w:type="spellEnd"/>
            <w:proofErr w:type="gram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установі</w:t>
            </w:r>
            <w:proofErr w:type="spellEnd"/>
            <w:r w:rsidRPr="00E16672">
              <w:rPr>
                <w:rFonts w:ascii="Times New Roman" w:hAnsi="Times New Roman"/>
                <w:color w:val="000000"/>
                <w:sz w:val="16"/>
                <w:szCs w:val="16"/>
              </w:rPr>
              <w:t xml:space="preserve">, у тому </w:t>
            </w:r>
            <w:proofErr w:type="spellStart"/>
            <w:r w:rsidRPr="00E16672">
              <w:rPr>
                <w:rFonts w:ascii="Times New Roman" w:hAnsi="Times New Roman"/>
                <w:color w:val="000000"/>
                <w:sz w:val="16"/>
                <w:szCs w:val="16"/>
              </w:rPr>
              <w:t>числі</w:t>
            </w:r>
            <w:proofErr w:type="spellEnd"/>
            <w:r w:rsidRPr="00E16672">
              <w:rPr>
                <w:rFonts w:ascii="Times New Roman" w:hAnsi="Times New Roman"/>
                <w:color w:val="000000"/>
                <w:sz w:val="16"/>
                <w:szCs w:val="16"/>
              </w:rPr>
              <w:t xml:space="preserve"> таких, за </w:t>
            </w:r>
            <w:proofErr w:type="spellStart"/>
            <w:r w:rsidRPr="00E16672">
              <w:rPr>
                <w:rFonts w:ascii="Times New Roman" w:hAnsi="Times New Roman"/>
                <w:color w:val="000000"/>
                <w:sz w:val="16"/>
                <w:szCs w:val="16"/>
              </w:rPr>
              <w:t>якими</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Депозитарній</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установі</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доручається</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проведення</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депозитарних</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операцій</w:t>
            </w:r>
            <w:proofErr w:type="spellEnd"/>
            <w:r w:rsidRPr="00E16672">
              <w:rPr>
                <w:rFonts w:ascii="Times New Roman" w:hAnsi="Times New Roman"/>
                <w:color w:val="000000"/>
                <w:sz w:val="16"/>
                <w:szCs w:val="16"/>
              </w:rPr>
              <w:t xml:space="preserve"> на </w:t>
            </w:r>
            <w:proofErr w:type="spellStart"/>
            <w:r w:rsidRPr="00E16672">
              <w:rPr>
                <w:rFonts w:ascii="Times New Roman" w:hAnsi="Times New Roman"/>
                <w:color w:val="000000"/>
                <w:sz w:val="16"/>
                <w:szCs w:val="16"/>
              </w:rPr>
              <w:t>рахунку</w:t>
            </w:r>
            <w:proofErr w:type="spellEnd"/>
            <w:r w:rsidRPr="00E16672">
              <w:rPr>
                <w:rFonts w:ascii="Times New Roman" w:hAnsi="Times New Roman"/>
                <w:color w:val="000000"/>
                <w:sz w:val="16"/>
                <w:szCs w:val="16"/>
              </w:rPr>
              <w:t xml:space="preserve"> Депонента.</w:t>
            </w:r>
          </w:p>
        </w:tc>
        <w:tc>
          <w:tcPr>
            <w:tcW w:w="5494" w:type="dxa"/>
            <w:gridSpan w:val="6"/>
            <w:shd w:val="clear" w:color="auto" w:fill="auto"/>
          </w:tcPr>
          <w:p w14:paraId="6A50D7D4" w14:textId="77777777" w:rsidR="003A05A3" w:rsidRPr="00E16672" w:rsidRDefault="003A05A3" w:rsidP="00843027">
            <w:pPr>
              <w:tabs>
                <w:tab w:val="left" w:pos="287"/>
              </w:tabs>
              <w:ind w:left="175" w:right="100" w:firstLine="7"/>
              <w:rPr>
                <w:rFonts w:ascii="Times New Roman" w:hAnsi="Times New Roman"/>
                <w:sz w:val="16"/>
                <w:szCs w:val="16"/>
                <w:lang w:val="en-GB"/>
              </w:rPr>
            </w:pPr>
            <w:r w:rsidRPr="00E16672">
              <w:rPr>
                <w:rFonts w:ascii="Times New Roman" w:hAnsi="Times New Roman"/>
                <w:sz w:val="16"/>
                <w:szCs w:val="16"/>
                <w:lang w:val="en-GB"/>
              </w:rPr>
              <w:t xml:space="preserve">3.9. </w:t>
            </w:r>
            <w:r w:rsidRPr="00F23413">
              <w:rPr>
                <w:rFonts w:ascii="Times New Roman" w:hAnsi="Times New Roman"/>
                <w:sz w:val="16"/>
                <w:lang w:val="en-US"/>
              </w:rPr>
              <w:t>The Depositor assumes responsibility for the accuracy of the information contained in the documents provided by the Depositor, the manager of the account</w:t>
            </w:r>
            <w:r w:rsidR="00A46B57" w:rsidRPr="00E16672">
              <w:rPr>
                <w:rFonts w:ascii="Times New Roman" w:hAnsi="Times New Roman"/>
                <w:sz w:val="16"/>
                <w:lang w:val="en-US"/>
              </w:rPr>
              <w:t xml:space="preserve">, </w:t>
            </w:r>
            <w:r w:rsidR="00A46B57" w:rsidRPr="00E16672">
              <w:rPr>
                <w:rFonts w:ascii="Times New Roman" w:hAnsi="Times New Roman"/>
                <w:sz w:val="16"/>
                <w:szCs w:val="22"/>
              </w:rPr>
              <w:t>а</w:t>
            </w:r>
            <w:proofErr w:type="spellStart"/>
            <w:proofErr w:type="gramStart"/>
            <w:r w:rsidR="00A46B57" w:rsidRPr="00E16672">
              <w:rPr>
                <w:rFonts w:ascii="Times New Roman" w:hAnsi="Times New Roman"/>
                <w:sz w:val="16"/>
                <w:szCs w:val="22"/>
                <w:lang w:val="en-US"/>
              </w:rPr>
              <w:t>dministrator</w:t>
            </w:r>
            <w:proofErr w:type="spellEnd"/>
            <w:r w:rsidR="00A46B57" w:rsidRPr="00E16672">
              <w:rPr>
                <w:rFonts w:ascii="Times New Roman" w:hAnsi="Times New Roman"/>
                <w:sz w:val="16"/>
                <w:szCs w:val="22"/>
                <w:lang w:val="en-US"/>
              </w:rPr>
              <w:t xml:space="preserve">  of</w:t>
            </w:r>
            <w:proofErr w:type="gramEnd"/>
            <w:r w:rsidR="00A46B57" w:rsidRPr="00E16672">
              <w:rPr>
                <w:rFonts w:ascii="Times New Roman" w:hAnsi="Times New Roman"/>
                <w:sz w:val="16"/>
                <w:szCs w:val="22"/>
                <w:lang w:val="en-US"/>
              </w:rPr>
              <w:t xml:space="preserve"> the account in securities</w:t>
            </w:r>
            <w:r w:rsidRPr="00F23413">
              <w:rPr>
                <w:rFonts w:ascii="Times New Roman" w:hAnsi="Times New Roman"/>
                <w:sz w:val="16"/>
                <w:lang w:val="en-US"/>
              </w:rPr>
              <w:t xml:space="preserve"> of the Depository institution, including those by which the Depository institution is entrusted with depositary transactions in the account of the Depositor.</w:t>
            </w:r>
          </w:p>
          <w:p w14:paraId="3A74DB20" w14:textId="77777777" w:rsidR="003A05A3" w:rsidRPr="00E16672" w:rsidRDefault="003A05A3" w:rsidP="00843027">
            <w:pPr>
              <w:tabs>
                <w:tab w:val="left" w:pos="287"/>
              </w:tabs>
              <w:ind w:left="175" w:right="100" w:firstLine="7"/>
              <w:rPr>
                <w:rFonts w:ascii="Times New Roman" w:hAnsi="Times New Roman"/>
                <w:sz w:val="16"/>
                <w:szCs w:val="16"/>
                <w:lang w:val="en-GB"/>
              </w:rPr>
            </w:pPr>
          </w:p>
        </w:tc>
      </w:tr>
      <w:tr w:rsidR="003A05A3" w:rsidRPr="00F23413" w14:paraId="331EE336" w14:textId="77777777" w:rsidTr="00242F58">
        <w:trPr>
          <w:trHeight w:val="275"/>
        </w:trPr>
        <w:tc>
          <w:tcPr>
            <w:tcW w:w="5696" w:type="dxa"/>
            <w:gridSpan w:val="8"/>
            <w:shd w:val="clear" w:color="auto" w:fill="auto"/>
          </w:tcPr>
          <w:p w14:paraId="1C35D048" w14:textId="77777777" w:rsidR="003A05A3" w:rsidRPr="00E16672" w:rsidRDefault="003A05A3" w:rsidP="00843027">
            <w:pPr>
              <w:pStyle w:val="af"/>
              <w:snapToGrid w:val="0"/>
              <w:ind w:left="175" w:right="138" w:firstLine="7"/>
              <w:rPr>
                <w:rFonts w:ascii="Times New Roman" w:eastAsia="Times New Roman" w:hAnsi="Times New Roman" w:cs="Times New Roman"/>
                <w:sz w:val="16"/>
                <w:szCs w:val="16"/>
              </w:rPr>
            </w:pPr>
            <w:r w:rsidRPr="00E16672">
              <w:rPr>
                <w:rFonts w:ascii="Times New Roman" w:eastAsia="Times New Roman" w:hAnsi="Times New Roman" w:cs="Times New Roman"/>
                <w:sz w:val="16"/>
                <w:szCs w:val="16"/>
              </w:rPr>
              <w:t xml:space="preserve">3.10. Облікові операції, які були ініційовані Депозитарною установою у депозитарії, але не були завершені протягом </w:t>
            </w:r>
            <w:r w:rsidRPr="00E16672">
              <w:rPr>
                <w:rFonts w:ascii="Times New Roman" w:eastAsia="Times New Roman" w:hAnsi="Times New Roman" w:cs="Times New Roman"/>
                <w:i/>
                <w:sz w:val="16"/>
                <w:szCs w:val="16"/>
              </w:rPr>
              <w:t>трьох робочих днів</w:t>
            </w:r>
            <w:r w:rsidRPr="00E16672">
              <w:rPr>
                <w:rFonts w:ascii="Times New Roman" w:eastAsia="Times New Roman" w:hAnsi="Times New Roman" w:cs="Times New Roman"/>
                <w:sz w:val="16"/>
                <w:szCs w:val="16"/>
              </w:rPr>
              <w:t xml:space="preserve"> за підстав, які не залежать від Депозитарної установи (розпорядження Депозитарної установи не було відповідно до внутрішніх документів Центрального депозитарію занесене Центральним депозитарієм до відомості </w:t>
            </w:r>
            <w:proofErr w:type="spellStart"/>
            <w:r w:rsidRPr="00E16672">
              <w:rPr>
                <w:rFonts w:ascii="Times New Roman" w:eastAsia="Times New Roman" w:hAnsi="Times New Roman" w:cs="Times New Roman"/>
                <w:sz w:val="16"/>
                <w:szCs w:val="16"/>
              </w:rPr>
              <w:t>сквитованих</w:t>
            </w:r>
            <w:proofErr w:type="spellEnd"/>
            <w:r w:rsidRPr="00E16672">
              <w:rPr>
                <w:rFonts w:ascii="Times New Roman" w:eastAsia="Times New Roman" w:hAnsi="Times New Roman" w:cs="Times New Roman"/>
                <w:sz w:val="16"/>
                <w:szCs w:val="16"/>
              </w:rPr>
              <w:t xml:space="preserve"> розпоряджень на поставку/одержання цінних паперів), можуть бути відмінені ним у випадку отримання від Депонента відповідного розпорядження відміни (анулювання) його попереднього розпорядження.</w:t>
            </w:r>
          </w:p>
          <w:p w14:paraId="57840EE8" w14:textId="77777777" w:rsidR="003A05A3" w:rsidRPr="00E16672" w:rsidRDefault="003A05A3" w:rsidP="00843027">
            <w:pPr>
              <w:pStyle w:val="af"/>
              <w:snapToGrid w:val="0"/>
              <w:ind w:left="175" w:right="138" w:firstLine="7"/>
              <w:rPr>
                <w:rFonts w:ascii="Times New Roman" w:eastAsia="Times New Roman" w:hAnsi="Times New Roman" w:cs="Times New Roman"/>
                <w:sz w:val="16"/>
                <w:szCs w:val="16"/>
              </w:rPr>
            </w:pPr>
          </w:p>
        </w:tc>
        <w:tc>
          <w:tcPr>
            <w:tcW w:w="5494" w:type="dxa"/>
            <w:gridSpan w:val="6"/>
            <w:shd w:val="clear" w:color="auto" w:fill="auto"/>
          </w:tcPr>
          <w:p w14:paraId="003CAF54" w14:textId="77777777" w:rsidR="003A05A3" w:rsidRPr="00E16672" w:rsidRDefault="003A05A3" w:rsidP="00843027">
            <w:pPr>
              <w:tabs>
                <w:tab w:val="left" w:pos="287"/>
              </w:tabs>
              <w:snapToGrid w:val="0"/>
              <w:ind w:left="175" w:right="100" w:firstLine="7"/>
              <w:rPr>
                <w:rFonts w:ascii="Times New Roman" w:hAnsi="Times New Roman"/>
                <w:sz w:val="16"/>
                <w:szCs w:val="16"/>
                <w:lang w:val="en-GB"/>
              </w:rPr>
            </w:pPr>
            <w:r w:rsidRPr="00E16672">
              <w:rPr>
                <w:rFonts w:ascii="Times New Roman" w:hAnsi="Times New Roman"/>
                <w:sz w:val="16"/>
                <w:szCs w:val="16"/>
                <w:lang w:val="en-GB"/>
              </w:rPr>
              <w:t xml:space="preserve">3.10. </w:t>
            </w:r>
            <w:r w:rsidR="00B963E2" w:rsidRPr="00E16672">
              <w:rPr>
                <w:rFonts w:ascii="Times New Roman" w:hAnsi="Times New Roman"/>
                <w:sz w:val="16"/>
                <w:szCs w:val="16"/>
                <w:lang w:val="en-GB"/>
              </w:rPr>
              <w:t xml:space="preserve">Accounting operations initiated by the Depository institution </w:t>
            </w:r>
            <w:r w:rsidR="00B963E2" w:rsidRPr="00E16672">
              <w:rPr>
                <w:rFonts w:ascii="Times New Roman" w:hAnsi="Times New Roman"/>
                <w:sz w:val="16"/>
                <w:szCs w:val="16"/>
                <w:lang w:val="en-US"/>
              </w:rPr>
              <w:t xml:space="preserve">in </w:t>
            </w:r>
            <w:r w:rsidR="00B963E2" w:rsidRPr="00E16672">
              <w:rPr>
                <w:rFonts w:ascii="Times New Roman" w:hAnsi="Times New Roman"/>
                <w:sz w:val="16"/>
                <w:szCs w:val="16"/>
                <w:lang w:val="en-GB"/>
              </w:rPr>
              <w:t xml:space="preserve">depositary, but were not completed </w:t>
            </w:r>
            <w:r w:rsidR="00B963E2" w:rsidRPr="00E16672">
              <w:rPr>
                <w:rFonts w:ascii="Times New Roman" w:hAnsi="Times New Roman"/>
                <w:i/>
                <w:sz w:val="16"/>
                <w:szCs w:val="16"/>
                <w:lang w:val="en-GB"/>
              </w:rPr>
              <w:t xml:space="preserve">within three </w:t>
            </w:r>
            <w:r w:rsidR="00B963E2" w:rsidRPr="00F23413">
              <w:rPr>
                <w:rStyle w:val="shorttext"/>
                <w:rFonts w:ascii="Times New Roman" w:hAnsi="Times New Roman"/>
                <w:sz w:val="16"/>
                <w:szCs w:val="16"/>
                <w:lang w:val="en-US"/>
              </w:rPr>
              <w:t>business</w:t>
            </w:r>
            <w:r w:rsidR="00B963E2" w:rsidRPr="00E16672">
              <w:rPr>
                <w:rStyle w:val="shorttext"/>
                <w:rFonts w:ascii="Times New Roman" w:hAnsi="Times New Roman"/>
                <w:sz w:val="16"/>
                <w:szCs w:val="16"/>
                <w:lang w:val="uk-UA"/>
              </w:rPr>
              <w:t xml:space="preserve"> </w:t>
            </w:r>
            <w:r w:rsidR="00B963E2" w:rsidRPr="00E16672">
              <w:rPr>
                <w:rFonts w:ascii="Times New Roman" w:hAnsi="Times New Roman"/>
                <w:i/>
                <w:sz w:val="16"/>
                <w:szCs w:val="16"/>
                <w:lang w:val="en-GB"/>
              </w:rPr>
              <w:t>days</w:t>
            </w:r>
            <w:r w:rsidR="00B963E2" w:rsidRPr="00E16672">
              <w:rPr>
                <w:rFonts w:ascii="Times New Roman" w:hAnsi="Times New Roman"/>
                <w:sz w:val="16"/>
                <w:szCs w:val="16"/>
                <w:lang w:val="en-GB"/>
              </w:rPr>
              <w:t xml:space="preserve"> for reasons beyond the control of the Depository institution (Depository institution order was not in accordance with the internal </w:t>
            </w:r>
            <w:proofErr w:type="spellStart"/>
            <w:r w:rsidR="00B963E2" w:rsidRPr="00E16672">
              <w:rPr>
                <w:rFonts w:ascii="Times New Roman" w:hAnsi="Times New Roman"/>
                <w:sz w:val="16"/>
                <w:szCs w:val="16"/>
                <w:lang w:val="en-GB"/>
              </w:rPr>
              <w:t>doccuments</w:t>
            </w:r>
            <w:proofErr w:type="spellEnd"/>
            <w:r w:rsidR="00B963E2" w:rsidRPr="00E16672">
              <w:rPr>
                <w:rFonts w:ascii="Times New Roman" w:hAnsi="Times New Roman"/>
                <w:sz w:val="16"/>
                <w:szCs w:val="16"/>
                <w:lang w:val="en-GB"/>
              </w:rPr>
              <w:t xml:space="preserve"> of Central Depository </w:t>
            </w:r>
            <w:r w:rsidR="00B963E2" w:rsidRPr="00E16672">
              <w:rPr>
                <w:rFonts w:ascii="Times New Roman" w:hAnsi="Times New Roman"/>
                <w:sz w:val="16"/>
                <w:szCs w:val="16"/>
                <w:lang w:val="en-US"/>
              </w:rPr>
              <w:t xml:space="preserve"> </w:t>
            </w:r>
            <w:r w:rsidR="00B963E2" w:rsidRPr="00E16672">
              <w:rPr>
                <w:rFonts w:ascii="Times New Roman" w:hAnsi="Times New Roman"/>
                <w:sz w:val="16"/>
                <w:szCs w:val="16"/>
                <w:lang w:val="en-GB"/>
              </w:rPr>
              <w:t xml:space="preserve">entered by Central Depository </w:t>
            </w:r>
            <w:r w:rsidR="00B963E2" w:rsidRPr="00E16672">
              <w:rPr>
                <w:rFonts w:ascii="Times New Roman" w:hAnsi="Times New Roman"/>
                <w:sz w:val="16"/>
                <w:szCs w:val="16"/>
                <w:lang w:val="en-US"/>
              </w:rPr>
              <w:t xml:space="preserve"> </w:t>
            </w:r>
            <w:r w:rsidR="00B963E2" w:rsidRPr="00E16672">
              <w:rPr>
                <w:rFonts w:ascii="Times New Roman" w:hAnsi="Times New Roman"/>
                <w:sz w:val="16"/>
                <w:szCs w:val="16"/>
                <w:lang w:val="en-GB"/>
              </w:rPr>
              <w:t>to information of issued</w:t>
            </w:r>
            <w:r w:rsidR="00B963E2" w:rsidRPr="00E16672">
              <w:rPr>
                <w:rFonts w:ascii="Times New Roman" w:hAnsi="Times New Roman"/>
                <w:lang w:val="uk-UA"/>
              </w:rPr>
              <w:t xml:space="preserve"> </w:t>
            </w:r>
            <w:r w:rsidR="00B963E2" w:rsidRPr="00E16672">
              <w:rPr>
                <w:rFonts w:ascii="Times New Roman" w:hAnsi="Times New Roman"/>
                <w:sz w:val="16"/>
                <w:szCs w:val="16"/>
                <w:lang w:val="en-GB"/>
              </w:rPr>
              <w:t>orders for delivery / receipt of securities) can be cancelled in case it received from the Depositor of order cancellation (revocation) of its previous orders</w:t>
            </w:r>
            <w:r w:rsidRPr="00E16672">
              <w:rPr>
                <w:rFonts w:ascii="Times New Roman" w:hAnsi="Times New Roman"/>
                <w:sz w:val="16"/>
                <w:szCs w:val="16"/>
                <w:lang w:val="en-GB"/>
              </w:rPr>
              <w:t>.</w:t>
            </w:r>
          </w:p>
        </w:tc>
      </w:tr>
      <w:tr w:rsidR="003A05A3" w:rsidRPr="00F23413" w14:paraId="46B093EF" w14:textId="77777777" w:rsidTr="00242F58">
        <w:trPr>
          <w:trHeight w:val="192"/>
        </w:trPr>
        <w:tc>
          <w:tcPr>
            <w:tcW w:w="5696" w:type="dxa"/>
            <w:gridSpan w:val="8"/>
            <w:shd w:val="clear" w:color="auto" w:fill="auto"/>
          </w:tcPr>
          <w:p w14:paraId="42FF6336" w14:textId="77777777" w:rsidR="003A05A3" w:rsidRPr="00E16672" w:rsidRDefault="003A05A3" w:rsidP="00843027">
            <w:pPr>
              <w:tabs>
                <w:tab w:val="left" w:pos="182"/>
              </w:tabs>
              <w:snapToGrid w:val="0"/>
              <w:ind w:left="175" w:right="138" w:firstLine="7"/>
              <w:jc w:val="center"/>
              <w:rPr>
                <w:rFonts w:ascii="Times New Roman" w:hAnsi="Times New Roman"/>
                <w:b/>
                <w:caps/>
                <w:kern w:val="1"/>
                <w:sz w:val="16"/>
                <w:szCs w:val="16"/>
              </w:rPr>
            </w:pPr>
            <w:r w:rsidRPr="00E16672">
              <w:rPr>
                <w:rFonts w:ascii="Times New Roman" w:hAnsi="Times New Roman"/>
                <w:b/>
                <w:caps/>
                <w:sz w:val="16"/>
                <w:szCs w:val="16"/>
              </w:rPr>
              <w:t xml:space="preserve">4. </w:t>
            </w:r>
            <w:r w:rsidRPr="00E16672">
              <w:rPr>
                <w:rFonts w:ascii="Times New Roman" w:hAnsi="Times New Roman"/>
                <w:b/>
                <w:caps/>
                <w:kern w:val="1"/>
                <w:sz w:val="16"/>
                <w:szCs w:val="16"/>
              </w:rPr>
              <w:t xml:space="preserve">Тарифи на послуги та порядок розрахунків </w:t>
            </w:r>
          </w:p>
          <w:p w14:paraId="5A8DF99D" w14:textId="77777777" w:rsidR="003A05A3" w:rsidRPr="00E16672" w:rsidRDefault="003A05A3" w:rsidP="00843027">
            <w:pPr>
              <w:tabs>
                <w:tab w:val="left" w:pos="182"/>
              </w:tabs>
              <w:snapToGrid w:val="0"/>
              <w:ind w:left="175" w:right="138" w:firstLine="7"/>
              <w:jc w:val="center"/>
              <w:rPr>
                <w:rFonts w:ascii="Times New Roman" w:hAnsi="Times New Roman"/>
                <w:b/>
                <w:caps/>
                <w:kern w:val="1"/>
                <w:sz w:val="16"/>
                <w:szCs w:val="16"/>
              </w:rPr>
            </w:pPr>
            <w:r w:rsidRPr="00E16672">
              <w:rPr>
                <w:rFonts w:ascii="Times New Roman" w:hAnsi="Times New Roman"/>
                <w:b/>
                <w:caps/>
                <w:kern w:val="1"/>
                <w:sz w:val="16"/>
                <w:szCs w:val="16"/>
              </w:rPr>
              <w:t>за надані послуги</w:t>
            </w:r>
          </w:p>
          <w:p w14:paraId="13ADE490" w14:textId="77777777" w:rsidR="003A05A3" w:rsidRPr="00E16672" w:rsidRDefault="003A05A3" w:rsidP="00843027">
            <w:pPr>
              <w:tabs>
                <w:tab w:val="left" w:pos="182"/>
              </w:tabs>
              <w:ind w:left="175" w:right="138" w:firstLine="7"/>
              <w:jc w:val="center"/>
              <w:rPr>
                <w:rFonts w:ascii="Times New Roman" w:hAnsi="Times New Roman"/>
                <w:sz w:val="16"/>
                <w:szCs w:val="16"/>
              </w:rPr>
            </w:pPr>
          </w:p>
          <w:p w14:paraId="11262AB4" w14:textId="77777777" w:rsidR="003A05A3" w:rsidRPr="00E16672" w:rsidRDefault="003A05A3" w:rsidP="00843027">
            <w:pPr>
              <w:tabs>
                <w:tab w:val="left" w:pos="182"/>
              </w:tabs>
              <w:ind w:left="175" w:right="138" w:firstLine="7"/>
              <w:rPr>
                <w:rFonts w:ascii="Times New Roman" w:hAnsi="Times New Roman"/>
                <w:color w:val="0000FF"/>
                <w:sz w:val="16"/>
                <w:szCs w:val="16"/>
                <w:lang w:val="uk-UA"/>
              </w:rPr>
            </w:pPr>
            <w:r w:rsidRPr="00E16672">
              <w:rPr>
                <w:rFonts w:ascii="Times New Roman" w:hAnsi="Times New Roman"/>
                <w:sz w:val="16"/>
                <w:szCs w:val="16"/>
              </w:rPr>
              <w:t xml:space="preserve">4.1. </w:t>
            </w:r>
            <w:r w:rsidRPr="00E16672">
              <w:rPr>
                <w:rFonts w:ascii="Times New Roman" w:hAnsi="Times New Roman"/>
                <w:sz w:val="16"/>
                <w:szCs w:val="16"/>
                <w:lang w:val="uk-UA"/>
              </w:rPr>
              <w:t xml:space="preserve">Тарифи на </w:t>
            </w:r>
            <w:proofErr w:type="spellStart"/>
            <w:r w:rsidRPr="00E16672">
              <w:rPr>
                <w:rFonts w:ascii="Times New Roman" w:hAnsi="Times New Roman"/>
                <w:bCs/>
                <w:sz w:val="16"/>
                <w:szCs w:val="16"/>
              </w:rPr>
              <w:t>операції</w:t>
            </w:r>
            <w:proofErr w:type="spellEnd"/>
            <w:r w:rsidRPr="00E16672">
              <w:rPr>
                <w:rFonts w:ascii="Times New Roman" w:hAnsi="Times New Roman"/>
                <w:bCs/>
                <w:sz w:val="16"/>
                <w:szCs w:val="16"/>
              </w:rPr>
              <w:t xml:space="preserve"> з </w:t>
            </w:r>
            <w:proofErr w:type="spellStart"/>
            <w:r w:rsidRPr="00E16672">
              <w:rPr>
                <w:rFonts w:ascii="Times New Roman" w:hAnsi="Times New Roman"/>
                <w:bCs/>
                <w:sz w:val="16"/>
                <w:szCs w:val="16"/>
              </w:rPr>
              <w:t>цінними</w:t>
            </w:r>
            <w:proofErr w:type="spellEnd"/>
            <w:r w:rsidRPr="00E16672">
              <w:rPr>
                <w:rFonts w:ascii="Times New Roman" w:hAnsi="Times New Roman"/>
                <w:bCs/>
                <w:sz w:val="16"/>
                <w:szCs w:val="16"/>
              </w:rPr>
              <w:t xml:space="preserve"> </w:t>
            </w:r>
            <w:proofErr w:type="spellStart"/>
            <w:r w:rsidRPr="00E16672">
              <w:rPr>
                <w:rFonts w:ascii="Times New Roman" w:hAnsi="Times New Roman"/>
                <w:bCs/>
                <w:sz w:val="16"/>
                <w:szCs w:val="16"/>
              </w:rPr>
              <w:t>паперами</w:t>
            </w:r>
            <w:proofErr w:type="spellEnd"/>
            <w:r w:rsidRPr="00E16672">
              <w:rPr>
                <w:rFonts w:ascii="Times New Roman" w:hAnsi="Times New Roman"/>
                <w:sz w:val="16"/>
                <w:szCs w:val="16"/>
                <w:lang w:val="uk-UA"/>
              </w:rPr>
              <w:t xml:space="preserve"> Депозитарної установи встановлюються Депозитарною установою самостійно. Підписавши цей Договір, депонент погоджується з тарифами</w:t>
            </w:r>
            <w:r w:rsidRPr="00E16672">
              <w:rPr>
                <w:rFonts w:ascii="Times New Roman" w:hAnsi="Times New Roman"/>
                <w:sz w:val="16"/>
                <w:szCs w:val="16"/>
              </w:rPr>
              <w:t xml:space="preserve"> </w:t>
            </w:r>
            <w:r w:rsidRPr="00E16672">
              <w:rPr>
                <w:rFonts w:ascii="Times New Roman" w:hAnsi="Times New Roman"/>
                <w:sz w:val="16"/>
                <w:szCs w:val="16"/>
                <w:lang w:val="uk-UA"/>
              </w:rPr>
              <w:t xml:space="preserve">Депозитарної установи, встановленими Депозитарною установою на дату укладення Договору, які оприлюднені на </w:t>
            </w:r>
            <w:r w:rsidRPr="00E16672">
              <w:rPr>
                <w:rFonts w:ascii="Times New Roman" w:hAnsi="Times New Roman"/>
                <w:bCs/>
                <w:sz w:val="16"/>
                <w:szCs w:val="16"/>
                <w:lang w:val="uk-UA"/>
              </w:rPr>
              <w:t xml:space="preserve">веб-сторінці Депозитарної установи </w:t>
            </w:r>
            <w:r w:rsidR="00E16672">
              <w:rPr>
                <w:rFonts w:ascii="Times New Roman" w:hAnsi="Times New Roman"/>
                <w:color w:val="000000"/>
                <w:sz w:val="16"/>
                <w:szCs w:val="16"/>
              </w:rPr>
              <w:t>http://comex.uafin.net</w:t>
            </w:r>
            <w:r w:rsidRPr="00E16672">
              <w:rPr>
                <w:rFonts w:ascii="Times New Roman" w:hAnsi="Times New Roman"/>
                <w:color w:val="0000FF"/>
                <w:sz w:val="16"/>
                <w:szCs w:val="16"/>
                <w:lang w:val="uk-UA"/>
              </w:rPr>
              <w:t>.</w:t>
            </w:r>
          </w:p>
          <w:p w14:paraId="0040EC53" w14:textId="77777777" w:rsidR="003A05A3" w:rsidRPr="00E16672" w:rsidRDefault="003A05A3" w:rsidP="00843027">
            <w:pPr>
              <w:tabs>
                <w:tab w:val="left" w:pos="182"/>
              </w:tabs>
              <w:ind w:left="175" w:right="138" w:firstLine="7"/>
              <w:rPr>
                <w:rFonts w:ascii="Times New Roman" w:hAnsi="Times New Roman"/>
                <w:sz w:val="16"/>
                <w:szCs w:val="16"/>
                <w:lang w:val="uk-UA"/>
              </w:rPr>
            </w:pPr>
            <w:r w:rsidRPr="00E16672">
              <w:rPr>
                <w:rFonts w:ascii="Times New Roman" w:hAnsi="Times New Roman"/>
                <w:sz w:val="16"/>
                <w:szCs w:val="16"/>
                <w:lang w:val="uk-UA"/>
              </w:rPr>
              <w:t xml:space="preserve">Депозитарна установа повідомляє про зміни до тарифів на послуги  шляхом розміщення змінених тарифів Депозитарної установи на </w:t>
            </w:r>
            <w:r w:rsidRPr="00E16672">
              <w:rPr>
                <w:rFonts w:ascii="Times New Roman" w:hAnsi="Times New Roman"/>
                <w:bCs/>
                <w:sz w:val="16"/>
                <w:szCs w:val="16"/>
                <w:lang w:val="uk-UA"/>
              </w:rPr>
              <w:t xml:space="preserve">веб-сторінці Депозитарної установи </w:t>
            </w:r>
            <w:proofErr w:type="spellStart"/>
            <w:r w:rsidR="00E16672">
              <w:rPr>
                <w:rFonts w:ascii="Times New Roman" w:hAnsi="Times New Roman"/>
                <w:color w:val="000000"/>
                <w:sz w:val="16"/>
                <w:szCs w:val="16"/>
              </w:rPr>
              <w:t>http</w:t>
            </w:r>
            <w:proofErr w:type="spellEnd"/>
            <w:r w:rsidR="00E16672" w:rsidRPr="00E16672">
              <w:rPr>
                <w:rFonts w:ascii="Times New Roman" w:hAnsi="Times New Roman"/>
                <w:color w:val="000000"/>
                <w:sz w:val="16"/>
                <w:szCs w:val="16"/>
                <w:lang w:val="uk-UA"/>
              </w:rPr>
              <w:t>://</w:t>
            </w:r>
            <w:proofErr w:type="spellStart"/>
            <w:r w:rsidR="00E16672">
              <w:rPr>
                <w:rFonts w:ascii="Times New Roman" w:hAnsi="Times New Roman"/>
                <w:color w:val="000000"/>
                <w:sz w:val="16"/>
                <w:szCs w:val="16"/>
              </w:rPr>
              <w:t>comex</w:t>
            </w:r>
            <w:proofErr w:type="spellEnd"/>
            <w:r w:rsidR="00E16672" w:rsidRPr="00E16672">
              <w:rPr>
                <w:rFonts w:ascii="Times New Roman" w:hAnsi="Times New Roman"/>
                <w:color w:val="000000"/>
                <w:sz w:val="16"/>
                <w:szCs w:val="16"/>
                <w:lang w:val="uk-UA"/>
              </w:rPr>
              <w:t>.</w:t>
            </w:r>
            <w:proofErr w:type="spellStart"/>
            <w:r w:rsidR="00E16672">
              <w:rPr>
                <w:rFonts w:ascii="Times New Roman" w:hAnsi="Times New Roman"/>
                <w:color w:val="000000"/>
                <w:sz w:val="16"/>
                <w:szCs w:val="16"/>
              </w:rPr>
              <w:t>uafin</w:t>
            </w:r>
            <w:proofErr w:type="spellEnd"/>
            <w:r w:rsidR="00E16672" w:rsidRPr="00E16672">
              <w:rPr>
                <w:rFonts w:ascii="Times New Roman" w:hAnsi="Times New Roman"/>
                <w:color w:val="000000"/>
                <w:sz w:val="16"/>
                <w:szCs w:val="16"/>
                <w:lang w:val="uk-UA"/>
              </w:rPr>
              <w:t>.</w:t>
            </w:r>
            <w:proofErr w:type="spellStart"/>
            <w:r w:rsidR="00E16672">
              <w:rPr>
                <w:rFonts w:ascii="Times New Roman" w:hAnsi="Times New Roman"/>
                <w:color w:val="000000"/>
                <w:sz w:val="16"/>
                <w:szCs w:val="16"/>
              </w:rPr>
              <w:t>net</w:t>
            </w:r>
            <w:proofErr w:type="spellEnd"/>
            <w:r w:rsidRPr="00E16672">
              <w:rPr>
                <w:rFonts w:ascii="Times New Roman" w:hAnsi="Times New Roman"/>
                <w:bCs/>
                <w:sz w:val="16"/>
                <w:szCs w:val="16"/>
                <w:lang w:val="uk-UA"/>
              </w:rPr>
              <w:t xml:space="preserve"> </w:t>
            </w:r>
            <w:r w:rsidRPr="00E16672">
              <w:rPr>
                <w:rFonts w:ascii="Times New Roman" w:hAnsi="Times New Roman"/>
                <w:sz w:val="16"/>
                <w:szCs w:val="16"/>
                <w:lang w:val="uk-UA"/>
              </w:rPr>
              <w:t xml:space="preserve">протягом </w:t>
            </w:r>
            <w:r w:rsidRPr="00E16672">
              <w:rPr>
                <w:rFonts w:ascii="Times New Roman" w:hAnsi="Times New Roman"/>
                <w:i/>
                <w:sz w:val="16"/>
                <w:szCs w:val="16"/>
                <w:lang w:val="uk-UA"/>
              </w:rPr>
              <w:t>п'яти</w:t>
            </w:r>
            <w:r w:rsidRPr="00E16672">
              <w:rPr>
                <w:rFonts w:ascii="Times New Roman" w:hAnsi="Times New Roman"/>
                <w:sz w:val="16"/>
                <w:szCs w:val="16"/>
                <w:lang w:val="uk-UA"/>
              </w:rPr>
              <w:t xml:space="preserve"> робочих днів після затвердження відповідних змін. Змінені тарифи Депозитарної установи використовуються Сторонами для визначення вартості операцій на дату надання послуг.</w:t>
            </w:r>
          </w:p>
          <w:p w14:paraId="55B6D0B7" w14:textId="77777777" w:rsidR="003A05A3" w:rsidRPr="00E16672" w:rsidRDefault="003A05A3" w:rsidP="00843027">
            <w:pPr>
              <w:tabs>
                <w:tab w:val="left" w:pos="182"/>
              </w:tabs>
              <w:ind w:left="175" w:right="138" w:firstLine="7"/>
              <w:rPr>
                <w:rFonts w:ascii="Times New Roman" w:hAnsi="Times New Roman"/>
                <w:sz w:val="16"/>
                <w:szCs w:val="16"/>
                <w:lang w:val="uk-UA"/>
              </w:rPr>
            </w:pPr>
            <w:r w:rsidRPr="00E16672">
              <w:rPr>
                <w:rFonts w:ascii="Times New Roman" w:hAnsi="Times New Roman"/>
                <w:sz w:val="16"/>
                <w:szCs w:val="16"/>
                <w:lang w:val="uk-UA"/>
              </w:rPr>
              <w:t>Депонент оплачує послуги Депозитарної установи відповідно до цього Договору та затверджених тарифів Депозитарної установи, що є чинними на дату надання послуг.</w:t>
            </w:r>
          </w:p>
          <w:p w14:paraId="6171EEE5" w14:textId="77777777" w:rsidR="003A05A3" w:rsidRPr="00E16672" w:rsidRDefault="003A05A3" w:rsidP="00843027">
            <w:pPr>
              <w:tabs>
                <w:tab w:val="left" w:pos="182"/>
              </w:tabs>
              <w:ind w:left="175" w:right="138" w:firstLine="7"/>
              <w:rPr>
                <w:rFonts w:ascii="Times New Roman" w:hAnsi="Times New Roman"/>
                <w:sz w:val="16"/>
                <w:szCs w:val="16"/>
                <w:lang w:val="uk-UA"/>
              </w:rPr>
            </w:pPr>
          </w:p>
        </w:tc>
        <w:tc>
          <w:tcPr>
            <w:tcW w:w="5494" w:type="dxa"/>
            <w:gridSpan w:val="6"/>
            <w:shd w:val="clear" w:color="auto" w:fill="auto"/>
          </w:tcPr>
          <w:p w14:paraId="6AE6BD6D" w14:textId="77777777" w:rsidR="003A05A3" w:rsidRPr="00E16672" w:rsidRDefault="003A05A3" w:rsidP="00843027">
            <w:pPr>
              <w:pStyle w:val="1"/>
              <w:tabs>
                <w:tab w:val="left" w:pos="182"/>
                <w:tab w:val="left" w:pos="287"/>
              </w:tabs>
              <w:snapToGrid w:val="0"/>
              <w:ind w:left="145" w:right="100" w:firstLine="7"/>
              <w:rPr>
                <w:rFonts w:ascii="Times New Roman" w:hAnsi="Times New Roman" w:cs="Times New Roman"/>
                <w:caps/>
                <w:sz w:val="16"/>
                <w:szCs w:val="16"/>
                <w:lang w:val="uk-UA"/>
              </w:rPr>
            </w:pPr>
            <w:r w:rsidRPr="00E16672">
              <w:rPr>
                <w:rFonts w:ascii="Times New Roman" w:hAnsi="Times New Roman" w:cs="Times New Roman"/>
                <w:caps/>
                <w:sz w:val="16"/>
                <w:szCs w:val="16"/>
                <w:lang w:val="uk-UA"/>
              </w:rPr>
              <w:t>4</w:t>
            </w:r>
            <w:r w:rsidRPr="00E16672">
              <w:rPr>
                <w:rFonts w:ascii="Times New Roman" w:hAnsi="Times New Roman" w:cs="Times New Roman"/>
                <w:caps/>
                <w:sz w:val="16"/>
                <w:szCs w:val="16"/>
                <w:lang w:val="en-US"/>
              </w:rPr>
              <w:t>.</w:t>
            </w:r>
            <w:r w:rsidRPr="00E16672">
              <w:rPr>
                <w:rFonts w:ascii="Times New Roman" w:hAnsi="Times New Roman" w:cs="Times New Roman"/>
                <w:caps/>
                <w:sz w:val="16"/>
                <w:szCs w:val="16"/>
                <w:lang w:val="uk-UA"/>
              </w:rPr>
              <w:t xml:space="preserve">  TARIFFS FOR SERVICES AND PAYMENT</w:t>
            </w:r>
          </w:p>
          <w:p w14:paraId="30FDF091" w14:textId="77777777" w:rsidR="003A05A3" w:rsidRPr="00E16672" w:rsidRDefault="003A05A3" w:rsidP="00843027">
            <w:pPr>
              <w:pStyle w:val="1"/>
              <w:tabs>
                <w:tab w:val="left" w:pos="182"/>
                <w:tab w:val="left" w:pos="287"/>
              </w:tabs>
              <w:snapToGrid w:val="0"/>
              <w:ind w:left="145" w:right="100" w:firstLine="7"/>
              <w:rPr>
                <w:rFonts w:ascii="Times New Roman" w:hAnsi="Times New Roman" w:cs="Times New Roman"/>
                <w:caps/>
                <w:sz w:val="16"/>
                <w:szCs w:val="16"/>
                <w:lang w:val="uk-UA"/>
              </w:rPr>
            </w:pPr>
            <w:r w:rsidRPr="00E16672">
              <w:rPr>
                <w:rFonts w:ascii="Times New Roman" w:hAnsi="Times New Roman" w:cs="Times New Roman"/>
                <w:caps/>
                <w:sz w:val="16"/>
                <w:szCs w:val="16"/>
                <w:lang w:val="uk-UA"/>
              </w:rPr>
              <w:t>For services</w:t>
            </w:r>
          </w:p>
          <w:p w14:paraId="1902A8CB" w14:textId="77777777" w:rsidR="003A05A3" w:rsidRPr="00E16672" w:rsidRDefault="003A05A3" w:rsidP="00843027">
            <w:pPr>
              <w:tabs>
                <w:tab w:val="left" w:pos="182"/>
                <w:tab w:val="left" w:pos="287"/>
              </w:tabs>
              <w:ind w:left="145" w:right="100" w:firstLine="7"/>
              <w:rPr>
                <w:rFonts w:ascii="Times New Roman" w:hAnsi="Times New Roman"/>
                <w:sz w:val="10"/>
                <w:szCs w:val="10"/>
                <w:lang w:val="en-US"/>
              </w:rPr>
            </w:pPr>
          </w:p>
          <w:p w14:paraId="16123D7A" w14:textId="77777777" w:rsidR="003A05A3" w:rsidRPr="00E16672" w:rsidRDefault="003A05A3" w:rsidP="00843027">
            <w:pPr>
              <w:tabs>
                <w:tab w:val="left" w:pos="182"/>
              </w:tabs>
              <w:spacing w:before="57" w:after="57"/>
              <w:ind w:left="57" w:right="100" w:firstLine="7"/>
              <w:rPr>
                <w:rFonts w:ascii="Times New Roman" w:hAnsi="Times New Roman"/>
                <w:sz w:val="16"/>
                <w:szCs w:val="16"/>
                <w:lang w:val="en-GB"/>
              </w:rPr>
            </w:pPr>
            <w:r w:rsidRPr="00E16672">
              <w:rPr>
                <w:rFonts w:ascii="Times New Roman" w:hAnsi="Times New Roman"/>
                <w:sz w:val="16"/>
                <w:szCs w:val="16"/>
                <w:lang w:val="en-GB"/>
              </w:rPr>
              <w:t xml:space="preserve">4.1. Tariffs on depositary </w:t>
            </w:r>
            <w:r w:rsidRPr="00F23413">
              <w:rPr>
                <w:rFonts w:ascii="Times New Roman" w:hAnsi="Times New Roman"/>
                <w:sz w:val="16"/>
                <w:szCs w:val="16"/>
                <w:lang w:val="en-US"/>
              </w:rPr>
              <w:t xml:space="preserve">transactions </w:t>
            </w:r>
            <w:r w:rsidRPr="00E16672">
              <w:rPr>
                <w:rFonts w:ascii="Times New Roman" w:hAnsi="Times New Roman"/>
                <w:sz w:val="16"/>
                <w:szCs w:val="16"/>
                <w:lang w:val="en-GB"/>
              </w:rPr>
              <w:t xml:space="preserve">of Depository institution are set </w:t>
            </w:r>
            <w:proofErr w:type="gramStart"/>
            <w:r w:rsidRPr="00E16672">
              <w:rPr>
                <w:rFonts w:ascii="Times New Roman" w:hAnsi="Times New Roman"/>
                <w:sz w:val="16"/>
                <w:szCs w:val="16"/>
                <w:lang w:val="en-GB"/>
              </w:rPr>
              <w:t>by  Depository</w:t>
            </w:r>
            <w:proofErr w:type="gramEnd"/>
            <w:r w:rsidRPr="00E16672">
              <w:rPr>
                <w:rFonts w:ascii="Times New Roman" w:hAnsi="Times New Roman"/>
                <w:sz w:val="16"/>
                <w:szCs w:val="16"/>
                <w:lang w:val="en-GB"/>
              </w:rPr>
              <w:t xml:space="preserve"> institution independently. By signing this </w:t>
            </w:r>
            <w:r w:rsidRPr="00E16672">
              <w:rPr>
                <w:rFonts w:ascii="Times New Roman" w:hAnsi="Times New Roman"/>
                <w:sz w:val="16"/>
                <w:szCs w:val="16"/>
              </w:rPr>
              <w:t>А</w:t>
            </w:r>
            <w:proofErr w:type="spellStart"/>
            <w:r w:rsidRPr="00E16672">
              <w:rPr>
                <w:rFonts w:ascii="Times New Roman" w:hAnsi="Times New Roman"/>
                <w:sz w:val="16"/>
                <w:szCs w:val="16"/>
                <w:lang w:val="en-GB"/>
              </w:rPr>
              <w:t>greement</w:t>
            </w:r>
            <w:proofErr w:type="spellEnd"/>
            <w:r w:rsidRPr="00E16672">
              <w:rPr>
                <w:rFonts w:ascii="Times New Roman" w:hAnsi="Times New Roman"/>
                <w:sz w:val="16"/>
                <w:szCs w:val="16"/>
                <w:lang w:val="en-GB"/>
              </w:rPr>
              <w:t>, the depositor agrees to tariff</w:t>
            </w:r>
            <w:r w:rsidRPr="00E16672">
              <w:rPr>
                <w:rFonts w:ascii="Times New Roman" w:hAnsi="Times New Roman"/>
                <w:sz w:val="16"/>
                <w:szCs w:val="16"/>
                <w:lang w:val="uk-UA"/>
              </w:rPr>
              <w:t xml:space="preserve"> </w:t>
            </w:r>
            <w:proofErr w:type="spellStart"/>
            <w:r w:rsidRPr="00E16672">
              <w:rPr>
                <w:rFonts w:ascii="Times New Roman" w:hAnsi="Times New Roman"/>
                <w:sz w:val="16"/>
                <w:szCs w:val="16"/>
                <w:lang w:val="uk-UA"/>
              </w:rPr>
              <w:t>for</w:t>
            </w:r>
            <w:proofErr w:type="spellEnd"/>
            <w:r w:rsidRPr="00E16672">
              <w:rPr>
                <w:rFonts w:ascii="Times New Roman" w:hAnsi="Times New Roman"/>
                <w:sz w:val="16"/>
                <w:szCs w:val="16"/>
                <w:lang w:val="uk-UA"/>
              </w:rPr>
              <w:t xml:space="preserve"> </w:t>
            </w:r>
            <w:proofErr w:type="spellStart"/>
            <w:r w:rsidRPr="00E16672">
              <w:rPr>
                <w:rFonts w:ascii="Times New Roman" w:hAnsi="Times New Roman"/>
                <w:sz w:val="16"/>
                <w:szCs w:val="16"/>
                <w:lang w:val="uk-UA"/>
              </w:rPr>
              <w:t>legal</w:t>
            </w:r>
            <w:proofErr w:type="spellEnd"/>
            <w:r w:rsidRPr="00E16672">
              <w:rPr>
                <w:rFonts w:ascii="Times New Roman" w:hAnsi="Times New Roman"/>
                <w:sz w:val="16"/>
                <w:szCs w:val="16"/>
                <w:lang w:val="uk-UA"/>
              </w:rPr>
              <w:t xml:space="preserve"> </w:t>
            </w:r>
            <w:proofErr w:type="spellStart"/>
            <w:r w:rsidRPr="00E16672">
              <w:rPr>
                <w:rFonts w:ascii="Times New Roman" w:hAnsi="Times New Roman"/>
                <w:sz w:val="16"/>
                <w:szCs w:val="16"/>
                <w:lang w:val="uk-UA"/>
              </w:rPr>
              <w:t>entities</w:t>
            </w:r>
            <w:proofErr w:type="spellEnd"/>
            <w:r w:rsidRPr="00E16672">
              <w:rPr>
                <w:rFonts w:ascii="Times New Roman" w:hAnsi="Times New Roman"/>
                <w:sz w:val="16"/>
                <w:szCs w:val="16"/>
                <w:lang w:val="uk-UA"/>
              </w:rPr>
              <w:t xml:space="preserve"> </w:t>
            </w:r>
            <w:proofErr w:type="spellStart"/>
            <w:r w:rsidRPr="00E16672">
              <w:rPr>
                <w:rFonts w:ascii="Times New Roman" w:hAnsi="Times New Roman"/>
                <w:sz w:val="16"/>
                <w:szCs w:val="16"/>
                <w:lang w:val="uk-UA"/>
              </w:rPr>
              <w:t>nonresidents</w:t>
            </w:r>
            <w:proofErr w:type="spellEnd"/>
            <w:r w:rsidRPr="00E16672">
              <w:rPr>
                <w:rFonts w:ascii="Times New Roman" w:hAnsi="Times New Roman"/>
                <w:sz w:val="16"/>
                <w:szCs w:val="16"/>
                <w:lang w:val="uk-UA"/>
              </w:rPr>
              <w:t xml:space="preserve"> </w:t>
            </w:r>
            <w:proofErr w:type="spellStart"/>
            <w:r w:rsidRPr="00E16672">
              <w:rPr>
                <w:rFonts w:ascii="Times New Roman" w:hAnsi="Times New Roman"/>
                <w:sz w:val="16"/>
                <w:szCs w:val="16"/>
                <w:lang w:val="uk-UA"/>
              </w:rPr>
              <w:t>for</w:t>
            </w:r>
            <w:proofErr w:type="spellEnd"/>
            <w:r w:rsidRPr="00E16672">
              <w:rPr>
                <w:rFonts w:ascii="Times New Roman" w:hAnsi="Times New Roman"/>
                <w:sz w:val="16"/>
                <w:szCs w:val="16"/>
                <w:lang w:val="uk-UA"/>
              </w:rPr>
              <w:t xml:space="preserve"> a </w:t>
            </w:r>
            <w:proofErr w:type="spellStart"/>
            <w:r w:rsidRPr="00E16672">
              <w:rPr>
                <w:rFonts w:ascii="Times New Roman" w:hAnsi="Times New Roman"/>
                <w:sz w:val="16"/>
                <w:szCs w:val="16"/>
                <w:lang w:val="uk-UA"/>
              </w:rPr>
              <w:t>monthly</w:t>
            </w:r>
            <w:proofErr w:type="spellEnd"/>
            <w:r w:rsidRPr="00E16672">
              <w:rPr>
                <w:rFonts w:ascii="Times New Roman" w:hAnsi="Times New Roman"/>
                <w:sz w:val="16"/>
                <w:szCs w:val="16"/>
                <w:lang w:val="uk-UA"/>
              </w:rPr>
              <w:t xml:space="preserve"> </w:t>
            </w:r>
            <w:proofErr w:type="spellStart"/>
            <w:r w:rsidRPr="00E16672">
              <w:rPr>
                <w:rFonts w:ascii="Times New Roman" w:hAnsi="Times New Roman"/>
                <w:sz w:val="16"/>
                <w:szCs w:val="16"/>
                <w:lang w:val="uk-UA"/>
              </w:rPr>
              <w:t>payment</w:t>
            </w:r>
            <w:proofErr w:type="spellEnd"/>
            <w:r w:rsidRPr="00E16672">
              <w:rPr>
                <w:rFonts w:ascii="Times New Roman" w:hAnsi="Times New Roman"/>
                <w:sz w:val="16"/>
                <w:szCs w:val="16"/>
                <w:lang w:val="en-GB"/>
              </w:rPr>
              <w:t xml:space="preserve"> set by the Depository institution on the date of conclusion the Agreement, placed</w:t>
            </w:r>
            <w:r w:rsidRPr="00E16672">
              <w:rPr>
                <w:rFonts w:ascii="Times New Roman" w:eastAsia="Arial" w:hAnsi="Times New Roman"/>
                <w:sz w:val="16"/>
                <w:szCs w:val="16"/>
                <w:lang w:val="uk-UA"/>
              </w:rPr>
              <w:t xml:space="preserve"> </w:t>
            </w:r>
            <w:proofErr w:type="spellStart"/>
            <w:r w:rsidRPr="00E16672">
              <w:rPr>
                <w:rFonts w:ascii="Times New Roman" w:eastAsia="Arial" w:hAnsi="Times New Roman"/>
                <w:sz w:val="16"/>
                <w:szCs w:val="16"/>
                <w:lang w:val="uk-UA"/>
              </w:rPr>
              <w:t>on</w:t>
            </w:r>
            <w:proofErr w:type="spellEnd"/>
            <w:r w:rsidRPr="00E16672">
              <w:rPr>
                <w:rFonts w:ascii="Times New Roman" w:eastAsia="Arial" w:hAnsi="Times New Roman"/>
                <w:sz w:val="16"/>
                <w:szCs w:val="16"/>
                <w:lang w:val="uk-UA"/>
              </w:rPr>
              <w:t xml:space="preserve"> a </w:t>
            </w:r>
            <w:proofErr w:type="spellStart"/>
            <w:r w:rsidRPr="00E16672">
              <w:rPr>
                <w:rFonts w:ascii="Times New Roman" w:eastAsia="Arial" w:hAnsi="Times New Roman"/>
                <w:sz w:val="16"/>
                <w:szCs w:val="16"/>
                <w:lang w:val="uk-UA"/>
              </w:rPr>
              <w:t>website</w:t>
            </w:r>
            <w:proofErr w:type="spellEnd"/>
            <w:r w:rsidRPr="00E16672">
              <w:rPr>
                <w:rFonts w:ascii="Times New Roman" w:eastAsia="Arial" w:hAnsi="Times New Roman"/>
                <w:sz w:val="16"/>
                <w:szCs w:val="16"/>
                <w:lang w:val="uk-UA"/>
              </w:rPr>
              <w:t xml:space="preserve"> </w:t>
            </w:r>
            <w:proofErr w:type="spellStart"/>
            <w:r w:rsidRPr="00E16672">
              <w:rPr>
                <w:rFonts w:ascii="Times New Roman" w:eastAsia="Arial" w:hAnsi="Times New Roman"/>
                <w:sz w:val="16"/>
                <w:szCs w:val="16"/>
                <w:lang w:val="uk-UA"/>
              </w:rPr>
              <w:t>of</w:t>
            </w:r>
            <w:proofErr w:type="spellEnd"/>
            <w:r w:rsidRPr="00E16672">
              <w:rPr>
                <w:rFonts w:ascii="Times New Roman" w:eastAsia="Arial" w:hAnsi="Times New Roman"/>
                <w:sz w:val="16"/>
                <w:szCs w:val="16"/>
                <w:lang w:val="uk-UA"/>
              </w:rPr>
              <w:t xml:space="preserve"> </w:t>
            </w:r>
            <w:proofErr w:type="spellStart"/>
            <w:r w:rsidRPr="00E16672">
              <w:rPr>
                <w:rFonts w:ascii="Times New Roman" w:eastAsia="Arial" w:hAnsi="Times New Roman"/>
                <w:sz w:val="16"/>
                <w:szCs w:val="16"/>
                <w:lang w:val="uk-UA"/>
              </w:rPr>
              <w:t>Depository</w:t>
            </w:r>
            <w:proofErr w:type="spellEnd"/>
            <w:r w:rsidRPr="00E16672">
              <w:rPr>
                <w:rFonts w:ascii="Times New Roman" w:eastAsia="Arial" w:hAnsi="Times New Roman"/>
                <w:sz w:val="16"/>
                <w:szCs w:val="16"/>
                <w:lang w:val="uk-UA"/>
              </w:rPr>
              <w:t xml:space="preserve"> </w:t>
            </w:r>
            <w:proofErr w:type="spellStart"/>
            <w:r w:rsidRPr="00E16672">
              <w:rPr>
                <w:rFonts w:ascii="Times New Roman" w:eastAsia="Arial" w:hAnsi="Times New Roman"/>
                <w:sz w:val="16"/>
                <w:szCs w:val="16"/>
                <w:lang w:val="uk-UA"/>
              </w:rPr>
              <w:t>institution</w:t>
            </w:r>
            <w:proofErr w:type="spellEnd"/>
            <w:r w:rsidRPr="00E16672">
              <w:rPr>
                <w:rFonts w:ascii="Times New Roman" w:eastAsia="Arial" w:hAnsi="Times New Roman"/>
                <w:sz w:val="16"/>
                <w:szCs w:val="16"/>
                <w:lang w:val="uk-UA"/>
              </w:rPr>
              <w:t xml:space="preserve"> </w:t>
            </w:r>
            <w:r w:rsidR="00E16672">
              <w:rPr>
                <w:rFonts w:ascii="Times New Roman" w:hAnsi="Times New Roman"/>
                <w:color w:val="000000"/>
                <w:sz w:val="16"/>
                <w:szCs w:val="16"/>
                <w:lang w:val="en-US"/>
              </w:rPr>
              <w:t>http://comex.uafin.net</w:t>
            </w:r>
            <w:r w:rsidRPr="00E16672">
              <w:rPr>
                <w:rFonts w:ascii="Times New Roman" w:hAnsi="Times New Roman"/>
                <w:sz w:val="16"/>
                <w:szCs w:val="16"/>
                <w:lang w:val="en-GB"/>
              </w:rPr>
              <w:t>.</w:t>
            </w:r>
          </w:p>
          <w:p w14:paraId="54CD40F8" w14:textId="77777777" w:rsidR="003A05A3" w:rsidRPr="00E16672" w:rsidRDefault="003A05A3" w:rsidP="00843027">
            <w:pPr>
              <w:tabs>
                <w:tab w:val="left" w:pos="182"/>
              </w:tabs>
              <w:spacing w:before="57" w:after="57"/>
              <w:ind w:left="57" w:right="100" w:firstLine="7"/>
              <w:rPr>
                <w:rFonts w:ascii="Times New Roman" w:hAnsi="Times New Roman"/>
                <w:sz w:val="16"/>
                <w:szCs w:val="16"/>
                <w:lang w:val="en-GB"/>
              </w:rPr>
            </w:pPr>
            <w:r w:rsidRPr="00E16672">
              <w:rPr>
                <w:rFonts w:ascii="Times New Roman" w:hAnsi="Times New Roman"/>
                <w:sz w:val="16"/>
                <w:szCs w:val="16"/>
                <w:lang w:val="en-GB"/>
              </w:rPr>
              <w:t>Depository institution reports</w:t>
            </w:r>
            <w:r w:rsidRPr="00E16672">
              <w:rPr>
                <w:rFonts w:ascii="Times New Roman" w:hAnsi="Times New Roman"/>
                <w:sz w:val="16"/>
                <w:szCs w:val="16"/>
                <w:lang w:val="en-US"/>
              </w:rPr>
              <w:t xml:space="preserve"> about </w:t>
            </w:r>
            <w:r w:rsidRPr="00E16672">
              <w:rPr>
                <w:rFonts w:ascii="Times New Roman" w:hAnsi="Times New Roman"/>
                <w:sz w:val="16"/>
                <w:szCs w:val="16"/>
                <w:lang w:val="en-GB"/>
              </w:rPr>
              <w:t xml:space="preserve">changes to tariffs </w:t>
            </w:r>
            <w:r w:rsidRPr="00E16672">
              <w:rPr>
                <w:rFonts w:ascii="Times New Roman" w:hAnsi="Times New Roman"/>
                <w:sz w:val="16"/>
                <w:szCs w:val="16"/>
                <w:lang w:val="en-US"/>
              </w:rPr>
              <w:t>for services by placing changed</w:t>
            </w:r>
            <w:r w:rsidRPr="00E16672">
              <w:rPr>
                <w:rFonts w:ascii="Times New Roman" w:hAnsi="Times New Roman"/>
                <w:sz w:val="16"/>
                <w:szCs w:val="16"/>
                <w:lang w:val="en-GB"/>
              </w:rPr>
              <w:t xml:space="preserve"> tariffs</w:t>
            </w:r>
            <w:r w:rsidRPr="00E16672">
              <w:rPr>
                <w:rFonts w:ascii="Times New Roman" w:hAnsi="Times New Roman"/>
                <w:sz w:val="16"/>
                <w:szCs w:val="16"/>
                <w:lang w:val="en-US"/>
              </w:rPr>
              <w:t xml:space="preserve"> </w:t>
            </w:r>
            <w:r w:rsidRPr="00E16672">
              <w:rPr>
                <w:rFonts w:ascii="Times New Roman" w:hAnsi="Times New Roman"/>
                <w:sz w:val="16"/>
                <w:szCs w:val="16"/>
                <w:lang w:val="en-GB"/>
              </w:rPr>
              <w:t xml:space="preserve">of Depository institution </w:t>
            </w:r>
            <w:r w:rsidRPr="00E16672">
              <w:rPr>
                <w:rFonts w:ascii="Times New Roman" w:hAnsi="Times New Roman"/>
                <w:sz w:val="16"/>
                <w:szCs w:val="16"/>
                <w:lang w:val="en-US"/>
              </w:rPr>
              <w:t xml:space="preserve">on </w:t>
            </w:r>
            <w:r w:rsidRPr="00E16672">
              <w:rPr>
                <w:rFonts w:ascii="Times New Roman" w:hAnsi="Times New Roman"/>
                <w:sz w:val="16"/>
                <w:szCs w:val="16"/>
                <w:lang w:val="en-GB"/>
              </w:rPr>
              <w:t>website</w:t>
            </w:r>
            <w:r w:rsidRPr="00E16672">
              <w:rPr>
                <w:rFonts w:ascii="Times New Roman" w:hAnsi="Times New Roman"/>
                <w:sz w:val="16"/>
                <w:szCs w:val="16"/>
                <w:lang w:val="en-US"/>
              </w:rPr>
              <w:t xml:space="preserve"> of D</w:t>
            </w:r>
            <w:proofErr w:type="spellStart"/>
            <w:r w:rsidRPr="00E16672">
              <w:rPr>
                <w:rFonts w:ascii="Times New Roman" w:hAnsi="Times New Roman"/>
                <w:sz w:val="16"/>
                <w:szCs w:val="16"/>
                <w:lang w:val="en-GB"/>
              </w:rPr>
              <w:t>epository</w:t>
            </w:r>
            <w:proofErr w:type="spellEnd"/>
            <w:r w:rsidRPr="00E16672">
              <w:rPr>
                <w:rFonts w:ascii="Times New Roman" w:hAnsi="Times New Roman"/>
                <w:sz w:val="16"/>
                <w:szCs w:val="16"/>
                <w:lang w:val="en-GB"/>
              </w:rPr>
              <w:t xml:space="preserve"> institution </w:t>
            </w:r>
            <w:r w:rsidR="00E16672">
              <w:rPr>
                <w:rFonts w:ascii="Times New Roman" w:hAnsi="Times New Roman"/>
                <w:color w:val="000000"/>
                <w:sz w:val="16"/>
                <w:szCs w:val="16"/>
                <w:lang w:val="en-US"/>
              </w:rPr>
              <w:t>http://comex.uafin.net</w:t>
            </w:r>
            <w:r w:rsidRPr="00E16672">
              <w:rPr>
                <w:rFonts w:ascii="Times New Roman" w:hAnsi="Times New Roman"/>
                <w:bCs/>
                <w:sz w:val="16"/>
                <w:szCs w:val="16"/>
                <w:lang w:val="uk-UA"/>
              </w:rPr>
              <w:t xml:space="preserve"> </w:t>
            </w:r>
            <w:r w:rsidRPr="00E16672">
              <w:rPr>
                <w:rFonts w:ascii="Times New Roman" w:hAnsi="Times New Roman"/>
                <w:sz w:val="16"/>
                <w:szCs w:val="16"/>
                <w:lang w:val="en-GB"/>
              </w:rPr>
              <w:t xml:space="preserve">within </w:t>
            </w:r>
            <w:r w:rsidRPr="00E16672">
              <w:rPr>
                <w:rFonts w:ascii="Times New Roman" w:hAnsi="Times New Roman"/>
                <w:i/>
                <w:sz w:val="16"/>
                <w:szCs w:val="16"/>
                <w:lang w:val="en-GB"/>
              </w:rPr>
              <w:t xml:space="preserve">five </w:t>
            </w:r>
            <w:r w:rsidRPr="00F23413">
              <w:rPr>
                <w:rStyle w:val="shorttext"/>
                <w:rFonts w:ascii="Times New Roman" w:hAnsi="Times New Roman"/>
                <w:i/>
                <w:sz w:val="16"/>
                <w:szCs w:val="16"/>
                <w:lang w:val="en-US"/>
              </w:rPr>
              <w:t>business</w:t>
            </w:r>
            <w:r w:rsidRPr="00E16672">
              <w:rPr>
                <w:rFonts w:ascii="Times New Roman" w:hAnsi="Times New Roman"/>
                <w:i/>
                <w:sz w:val="16"/>
                <w:szCs w:val="16"/>
                <w:lang w:val="en-GB"/>
              </w:rPr>
              <w:t>days</w:t>
            </w:r>
            <w:r w:rsidRPr="00E16672">
              <w:rPr>
                <w:rFonts w:ascii="Times New Roman" w:hAnsi="Times New Roman"/>
                <w:sz w:val="16"/>
                <w:szCs w:val="16"/>
                <w:lang w:val="en-GB"/>
              </w:rPr>
              <w:t xml:space="preserve"> after approval of the relevant changes. Changed tariffs of Depository institution used by the Parties to determine the value of </w:t>
            </w:r>
            <w:r w:rsidRPr="00E16672">
              <w:rPr>
                <w:rFonts w:ascii="Times New Roman" w:hAnsi="Times New Roman"/>
                <w:sz w:val="16"/>
                <w:szCs w:val="16"/>
                <w:lang w:val="en-US"/>
              </w:rPr>
              <w:t>operations</w:t>
            </w:r>
            <w:r w:rsidRPr="00E16672">
              <w:rPr>
                <w:rFonts w:ascii="Times New Roman" w:hAnsi="Times New Roman"/>
                <w:sz w:val="16"/>
                <w:szCs w:val="16"/>
                <w:lang w:val="en-GB"/>
              </w:rPr>
              <w:t xml:space="preserve"> on the date of service.</w:t>
            </w:r>
          </w:p>
          <w:p w14:paraId="61424727" w14:textId="77777777" w:rsidR="003A05A3" w:rsidRPr="00E16672" w:rsidRDefault="003A05A3" w:rsidP="00843027">
            <w:pPr>
              <w:tabs>
                <w:tab w:val="left" w:pos="182"/>
                <w:tab w:val="left" w:pos="287"/>
              </w:tabs>
              <w:ind w:left="145" w:right="100" w:firstLine="7"/>
              <w:rPr>
                <w:rFonts w:ascii="Times New Roman" w:hAnsi="Times New Roman"/>
                <w:sz w:val="16"/>
                <w:szCs w:val="16"/>
                <w:lang w:val="en-GB"/>
              </w:rPr>
            </w:pPr>
            <w:r w:rsidRPr="00E16672">
              <w:rPr>
                <w:rFonts w:ascii="Times New Roman" w:hAnsi="Times New Roman"/>
                <w:sz w:val="16"/>
                <w:szCs w:val="16"/>
                <w:lang w:val="en-GB"/>
              </w:rPr>
              <w:t>A depositor pays services of Depository institution in accordance with this Agreement and ratified tariffs of Depository institution, in force on the date of service.</w:t>
            </w:r>
          </w:p>
        </w:tc>
      </w:tr>
      <w:tr w:rsidR="003A05A3" w:rsidRPr="00F23413" w14:paraId="66E9B848" w14:textId="77777777" w:rsidTr="00242F58">
        <w:trPr>
          <w:trHeight w:val="192"/>
        </w:trPr>
        <w:tc>
          <w:tcPr>
            <w:tcW w:w="5696" w:type="dxa"/>
            <w:gridSpan w:val="8"/>
            <w:shd w:val="clear" w:color="auto" w:fill="auto"/>
          </w:tcPr>
          <w:p w14:paraId="7F281FD2" w14:textId="77777777" w:rsidR="003A05A3" w:rsidRPr="00E16672" w:rsidRDefault="003A05A3" w:rsidP="00843027">
            <w:pPr>
              <w:pStyle w:val="310"/>
              <w:tabs>
                <w:tab w:val="left" w:pos="182"/>
              </w:tabs>
              <w:snapToGrid w:val="0"/>
              <w:ind w:left="175" w:right="138" w:firstLine="7"/>
              <w:rPr>
                <w:rFonts w:ascii="Times New Roman" w:hAnsi="Times New Roman"/>
                <w:sz w:val="16"/>
                <w:szCs w:val="16"/>
              </w:rPr>
            </w:pPr>
            <w:r w:rsidRPr="00E16672">
              <w:rPr>
                <w:rFonts w:ascii="Times New Roman" w:hAnsi="Times New Roman"/>
                <w:sz w:val="16"/>
                <w:szCs w:val="16"/>
              </w:rPr>
              <w:t xml:space="preserve">4.2.Оплата за послуги Депозитарної установи здійснюється на підставі </w:t>
            </w:r>
            <w:r w:rsidRPr="00E16672">
              <w:rPr>
                <w:rFonts w:ascii="Times New Roman" w:hAnsi="Times New Roman"/>
                <w:sz w:val="16"/>
                <w:szCs w:val="16"/>
                <w:lang w:val="ru-RU"/>
              </w:rPr>
              <w:t xml:space="preserve">акту </w:t>
            </w:r>
            <w:r w:rsidRPr="00E16672">
              <w:rPr>
                <w:rFonts w:ascii="Times New Roman" w:hAnsi="Times New Roman"/>
                <w:sz w:val="16"/>
                <w:szCs w:val="16"/>
              </w:rPr>
              <w:t xml:space="preserve">виконаних операцій Депозитарної установи або рахунку по реквізитах, вказаних в </w:t>
            </w:r>
            <w:r w:rsidRPr="00E16672">
              <w:rPr>
                <w:rFonts w:ascii="Times New Roman" w:hAnsi="Times New Roman"/>
                <w:sz w:val="16"/>
                <w:szCs w:val="16"/>
                <w:lang w:val="ru-RU"/>
              </w:rPr>
              <w:t>а</w:t>
            </w:r>
            <w:proofErr w:type="spellStart"/>
            <w:r w:rsidRPr="00E16672">
              <w:rPr>
                <w:rFonts w:ascii="Times New Roman" w:hAnsi="Times New Roman"/>
                <w:sz w:val="16"/>
                <w:szCs w:val="16"/>
              </w:rPr>
              <w:t>кті</w:t>
            </w:r>
            <w:proofErr w:type="spellEnd"/>
            <w:r w:rsidRPr="00E16672">
              <w:rPr>
                <w:rFonts w:ascii="Times New Roman" w:hAnsi="Times New Roman"/>
                <w:sz w:val="16"/>
                <w:szCs w:val="16"/>
              </w:rPr>
              <w:t xml:space="preserve"> або рахунку.</w:t>
            </w:r>
          </w:p>
          <w:p w14:paraId="4159BFFD" w14:textId="77777777" w:rsidR="003A05A3" w:rsidRPr="00E16672" w:rsidRDefault="003A05A3" w:rsidP="00843027">
            <w:pPr>
              <w:pStyle w:val="310"/>
              <w:tabs>
                <w:tab w:val="left" w:pos="182"/>
              </w:tabs>
              <w:ind w:left="175" w:right="138" w:firstLine="7"/>
              <w:rPr>
                <w:rFonts w:ascii="Times New Roman" w:hAnsi="Times New Roman"/>
                <w:sz w:val="16"/>
                <w:szCs w:val="16"/>
                <w:lang w:val="ru-RU"/>
              </w:rPr>
            </w:pPr>
          </w:p>
          <w:p w14:paraId="2B271AC3" w14:textId="77777777" w:rsidR="003A05A3" w:rsidRPr="00E16672" w:rsidRDefault="003A05A3" w:rsidP="00843027">
            <w:pPr>
              <w:pStyle w:val="310"/>
              <w:tabs>
                <w:tab w:val="left" w:pos="182"/>
              </w:tabs>
              <w:ind w:left="175" w:right="138" w:firstLine="7"/>
              <w:rPr>
                <w:rFonts w:ascii="Times New Roman" w:hAnsi="Times New Roman"/>
                <w:bCs/>
                <w:sz w:val="16"/>
                <w:szCs w:val="16"/>
              </w:rPr>
            </w:pPr>
            <w:r w:rsidRPr="00E16672">
              <w:rPr>
                <w:rFonts w:ascii="Times New Roman" w:hAnsi="Times New Roman"/>
                <w:bCs/>
                <w:sz w:val="16"/>
                <w:szCs w:val="16"/>
              </w:rPr>
              <w:t xml:space="preserve">Оплата послуг </w:t>
            </w:r>
            <w:r w:rsidRPr="00E16672">
              <w:rPr>
                <w:rFonts w:ascii="Times New Roman" w:hAnsi="Times New Roman"/>
                <w:sz w:val="16"/>
                <w:szCs w:val="16"/>
              </w:rPr>
              <w:t>Депозитарної установи</w:t>
            </w:r>
            <w:r w:rsidRPr="00E16672">
              <w:rPr>
                <w:rFonts w:ascii="Times New Roman" w:hAnsi="Times New Roman"/>
                <w:bCs/>
                <w:sz w:val="16"/>
                <w:szCs w:val="16"/>
              </w:rPr>
              <w:t xml:space="preserve"> згідно з цим Договором та відповідно до затверджених тарифів </w:t>
            </w:r>
            <w:r w:rsidRPr="00E16672">
              <w:rPr>
                <w:rFonts w:ascii="Times New Roman" w:hAnsi="Times New Roman"/>
                <w:sz w:val="16"/>
                <w:szCs w:val="16"/>
              </w:rPr>
              <w:t xml:space="preserve">Депозитарної установи </w:t>
            </w:r>
            <w:r w:rsidRPr="00E16672">
              <w:rPr>
                <w:rFonts w:ascii="Times New Roman" w:hAnsi="Times New Roman"/>
                <w:bCs/>
                <w:sz w:val="16"/>
                <w:szCs w:val="16"/>
              </w:rPr>
              <w:t xml:space="preserve"> здійснюється в ___________________(</w:t>
            </w:r>
            <w:r w:rsidRPr="00E16672">
              <w:rPr>
                <w:rFonts w:ascii="Times New Roman" w:hAnsi="Times New Roman"/>
                <w:bCs/>
                <w:i/>
                <w:sz w:val="16"/>
                <w:szCs w:val="16"/>
              </w:rPr>
              <w:t>доларах США</w:t>
            </w:r>
            <w:r w:rsidRPr="00E16672">
              <w:rPr>
                <w:rFonts w:ascii="Times New Roman" w:hAnsi="Times New Roman"/>
                <w:bCs/>
                <w:i/>
                <w:sz w:val="16"/>
                <w:szCs w:val="16"/>
                <w:lang w:val="ru-RU"/>
              </w:rPr>
              <w:t>/</w:t>
            </w:r>
            <w:r w:rsidRPr="00E16672">
              <w:rPr>
                <w:rFonts w:ascii="Times New Roman" w:hAnsi="Times New Roman"/>
                <w:bCs/>
                <w:i/>
                <w:sz w:val="16"/>
                <w:szCs w:val="16"/>
              </w:rPr>
              <w:t>Є</w:t>
            </w:r>
            <w:r w:rsidRPr="00E16672">
              <w:rPr>
                <w:rFonts w:ascii="Times New Roman" w:hAnsi="Times New Roman"/>
                <w:bCs/>
                <w:i/>
                <w:sz w:val="16"/>
                <w:szCs w:val="16"/>
                <w:lang w:val="ru-RU"/>
              </w:rPr>
              <w:t>ВРО/</w:t>
            </w:r>
            <w:proofErr w:type="spellStart"/>
            <w:r w:rsidRPr="00E16672">
              <w:rPr>
                <w:rFonts w:ascii="Times New Roman" w:hAnsi="Times New Roman"/>
                <w:bCs/>
                <w:i/>
                <w:sz w:val="16"/>
                <w:szCs w:val="16"/>
                <w:lang w:val="ru-RU"/>
              </w:rPr>
              <w:t>інша</w:t>
            </w:r>
            <w:proofErr w:type="spellEnd"/>
            <w:r w:rsidRPr="00E16672">
              <w:rPr>
                <w:rFonts w:ascii="Times New Roman" w:hAnsi="Times New Roman"/>
                <w:bCs/>
                <w:i/>
                <w:sz w:val="16"/>
                <w:szCs w:val="16"/>
                <w:lang w:val="ru-RU"/>
              </w:rPr>
              <w:t xml:space="preserve"> валюта</w:t>
            </w:r>
            <w:r w:rsidRPr="00E16672">
              <w:rPr>
                <w:rFonts w:ascii="Times New Roman" w:hAnsi="Times New Roman"/>
                <w:bCs/>
                <w:sz w:val="16"/>
                <w:szCs w:val="16"/>
                <w:lang w:val="ru-RU"/>
              </w:rPr>
              <w:t>)</w:t>
            </w:r>
            <w:r w:rsidRPr="00E16672">
              <w:rPr>
                <w:rFonts w:ascii="Times New Roman" w:hAnsi="Times New Roman"/>
                <w:bCs/>
                <w:sz w:val="16"/>
                <w:szCs w:val="16"/>
              </w:rPr>
              <w:t xml:space="preserve"> по курсу НБУ на дату складання акту</w:t>
            </w:r>
            <w:r w:rsidRPr="00E16672">
              <w:rPr>
                <w:rFonts w:ascii="Times New Roman" w:hAnsi="Times New Roman"/>
                <w:bCs/>
                <w:sz w:val="16"/>
                <w:szCs w:val="16"/>
                <w:lang w:val="ru-RU"/>
              </w:rPr>
              <w:t xml:space="preserve"> </w:t>
            </w:r>
            <w:r w:rsidRPr="00E16672">
              <w:rPr>
                <w:rFonts w:ascii="Times New Roman" w:hAnsi="Times New Roman"/>
                <w:bCs/>
                <w:sz w:val="16"/>
                <w:szCs w:val="16"/>
              </w:rPr>
              <w:t>або рахунку.</w:t>
            </w:r>
          </w:p>
          <w:p w14:paraId="163A7A1E" w14:textId="77777777" w:rsidR="003A05A3" w:rsidRPr="00E16672" w:rsidRDefault="003A05A3" w:rsidP="00843027">
            <w:pPr>
              <w:pStyle w:val="310"/>
              <w:tabs>
                <w:tab w:val="left" w:pos="182"/>
              </w:tabs>
              <w:ind w:left="175" w:right="138" w:firstLine="7"/>
              <w:rPr>
                <w:rFonts w:ascii="Times New Roman" w:hAnsi="Times New Roman"/>
                <w:sz w:val="16"/>
                <w:szCs w:val="16"/>
                <w:lang w:val="ru-RU"/>
              </w:rPr>
            </w:pPr>
          </w:p>
        </w:tc>
        <w:tc>
          <w:tcPr>
            <w:tcW w:w="5494" w:type="dxa"/>
            <w:gridSpan w:val="6"/>
            <w:shd w:val="clear" w:color="auto" w:fill="auto"/>
          </w:tcPr>
          <w:p w14:paraId="5C6B8B1E" w14:textId="77777777" w:rsidR="003A05A3" w:rsidRPr="00E16672" w:rsidRDefault="003A05A3" w:rsidP="00843027">
            <w:pPr>
              <w:pStyle w:val="210"/>
              <w:tabs>
                <w:tab w:val="left" w:pos="182"/>
                <w:tab w:val="left" w:pos="287"/>
                <w:tab w:val="left" w:pos="1191"/>
              </w:tabs>
              <w:snapToGrid w:val="0"/>
              <w:ind w:left="145" w:right="100" w:firstLine="7"/>
              <w:rPr>
                <w:rFonts w:ascii="Times New Roman" w:hAnsi="Times New Roman"/>
                <w:sz w:val="16"/>
                <w:szCs w:val="16"/>
              </w:rPr>
            </w:pPr>
            <w:r w:rsidRPr="00E16672">
              <w:rPr>
                <w:rFonts w:ascii="Times New Roman" w:hAnsi="Times New Roman"/>
                <w:sz w:val="16"/>
                <w:szCs w:val="16"/>
              </w:rPr>
              <w:t xml:space="preserve">4.2. </w:t>
            </w:r>
            <w:proofErr w:type="spellStart"/>
            <w:r w:rsidRPr="00E16672">
              <w:rPr>
                <w:rFonts w:ascii="Times New Roman" w:hAnsi="Times New Roman"/>
                <w:sz w:val="16"/>
                <w:szCs w:val="16"/>
              </w:rPr>
              <w:t>Payment</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for</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services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of</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Depository</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institution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is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carried</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out</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basis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of</w:t>
            </w:r>
            <w:proofErr w:type="spellEnd"/>
            <w:r w:rsidRPr="00E16672">
              <w:rPr>
                <w:rFonts w:ascii="Times New Roman" w:hAnsi="Times New Roman"/>
                <w:sz w:val="16"/>
                <w:szCs w:val="16"/>
              </w:rPr>
              <w:t xml:space="preserve"> </w:t>
            </w:r>
            <w:r w:rsidRPr="00E16672">
              <w:rPr>
                <w:rFonts w:ascii="Times New Roman" w:hAnsi="Times New Roman"/>
                <w:sz w:val="16"/>
                <w:szCs w:val="16"/>
                <w:lang w:val="en-US"/>
              </w:rPr>
              <w:t>s</w:t>
            </w:r>
            <w:proofErr w:type="spellStart"/>
            <w:r w:rsidRPr="00E16672">
              <w:rPr>
                <w:rFonts w:ascii="Times New Roman" w:hAnsi="Times New Roman"/>
                <w:sz w:val="16"/>
                <w:szCs w:val="16"/>
              </w:rPr>
              <w:t>tatement</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of</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executed</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operations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of</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Depository</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institution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or</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Invoice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essential</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elements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indicated</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in</w:t>
            </w:r>
            <w:proofErr w:type="spellEnd"/>
            <w:r w:rsidRPr="00E16672">
              <w:rPr>
                <w:rFonts w:ascii="Times New Roman" w:hAnsi="Times New Roman"/>
                <w:sz w:val="16"/>
                <w:szCs w:val="16"/>
              </w:rPr>
              <w:t xml:space="preserve"> </w:t>
            </w:r>
            <w:r w:rsidRPr="00E16672">
              <w:rPr>
                <w:rFonts w:ascii="Times New Roman" w:hAnsi="Times New Roman"/>
                <w:sz w:val="16"/>
                <w:szCs w:val="16"/>
                <w:lang w:val="en-US"/>
              </w:rPr>
              <w:t>s</w:t>
            </w:r>
            <w:proofErr w:type="spellStart"/>
            <w:r w:rsidRPr="00E16672">
              <w:rPr>
                <w:rFonts w:ascii="Times New Roman" w:hAnsi="Times New Roman"/>
                <w:sz w:val="16"/>
                <w:szCs w:val="16"/>
              </w:rPr>
              <w:t>tatement</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or</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lang w:val="en-US"/>
              </w:rPr>
              <w:t>i</w:t>
            </w:r>
            <w:r w:rsidRPr="00E16672">
              <w:rPr>
                <w:rFonts w:ascii="Times New Roman" w:hAnsi="Times New Roman"/>
                <w:sz w:val="16"/>
                <w:szCs w:val="16"/>
              </w:rPr>
              <w:t>nvoice</w:t>
            </w:r>
            <w:proofErr w:type="spellEnd"/>
            <w:r w:rsidRPr="00E16672">
              <w:rPr>
                <w:rFonts w:ascii="Times New Roman" w:hAnsi="Times New Roman"/>
                <w:sz w:val="16"/>
                <w:szCs w:val="16"/>
              </w:rPr>
              <w:t xml:space="preserve">. </w:t>
            </w:r>
          </w:p>
          <w:p w14:paraId="24C4DCE9" w14:textId="77777777" w:rsidR="003A05A3" w:rsidRPr="00E16672" w:rsidRDefault="003A05A3" w:rsidP="00843027">
            <w:pPr>
              <w:tabs>
                <w:tab w:val="left" w:pos="182"/>
                <w:tab w:val="left" w:pos="287"/>
              </w:tabs>
              <w:ind w:left="145" w:right="100" w:firstLine="7"/>
              <w:rPr>
                <w:rFonts w:ascii="Times New Roman" w:hAnsi="Times New Roman"/>
                <w:sz w:val="16"/>
                <w:szCs w:val="16"/>
                <w:lang w:val="en-US"/>
              </w:rPr>
            </w:pPr>
          </w:p>
          <w:p w14:paraId="2F5B9669" w14:textId="77777777" w:rsidR="003A05A3" w:rsidRPr="00E16672" w:rsidRDefault="003A05A3" w:rsidP="00843027">
            <w:pPr>
              <w:tabs>
                <w:tab w:val="left" w:pos="182"/>
                <w:tab w:val="left" w:pos="287"/>
              </w:tabs>
              <w:ind w:left="145" w:right="100" w:firstLine="7"/>
              <w:rPr>
                <w:rFonts w:ascii="Times New Roman" w:hAnsi="Times New Roman"/>
                <w:sz w:val="16"/>
                <w:szCs w:val="16"/>
                <w:lang w:val="en-GB"/>
              </w:rPr>
            </w:pPr>
            <w:r w:rsidRPr="00E16672">
              <w:rPr>
                <w:rFonts w:ascii="Times New Roman" w:hAnsi="Times New Roman"/>
                <w:sz w:val="16"/>
                <w:szCs w:val="16"/>
                <w:lang w:val="en-GB"/>
              </w:rPr>
              <w:t xml:space="preserve">Payment for the Depository institution services according to this Agreement and the tariffs of the Depository </w:t>
            </w:r>
            <w:proofErr w:type="gramStart"/>
            <w:r w:rsidRPr="00E16672">
              <w:rPr>
                <w:rFonts w:ascii="Times New Roman" w:hAnsi="Times New Roman"/>
                <w:sz w:val="16"/>
                <w:szCs w:val="16"/>
                <w:lang w:val="en-GB"/>
              </w:rPr>
              <w:t>institution  is</w:t>
            </w:r>
            <w:proofErr w:type="gramEnd"/>
            <w:r w:rsidRPr="00E16672">
              <w:rPr>
                <w:rFonts w:ascii="Times New Roman" w:hAnsi="Times New Roman"/>
                <w:sz w:val="16"/>
                <w:szCs w:val="16"/>
                <w:lang w:val="en-GB"/>
              </w:rPr>
              <w:t xml:space="preserve"> made in _____________(</w:t>
            </w:r>
            <w:r w:rsidRPr="00E16672">
              <w:rPr>
                <w:rFonts w:ascii="Times New Roman" w:hAnsi="Times New Roman"/>
                <w:i/>
                <w:sz w:val="16"/>
                <w:szCs w:val="16"/>
                <w:lang w:val="en-GB"/>
              </w:rPr>
              <w:t>USD/EUR/ other currency</w:t>
            </w:r>
            <w:r w:rsidRPr="00E16672">
              <w:rPr>
                <w:rFonts w:ascii="Times New Roman" w:hAnsi="Times New Roman"/>
                <w:sz w:val="16"/>
                <w:szCs w:val="16"/>
                <w:lang w:val="en-GB"/>
              </w:rPr>
              <w:t xml:space="preserve">) on the basis of NBU rate on </w:t>
            </w:r>
            <w:r w:rsidRPr="00E16672">
              <w:rPr>
                <w:rFonts w:ascii="Times New Roman" w:hAnsi="Times New Roman"/>
                <w:sz w:val="16"/>
                <w:szCs w:val="16"/>
                <w:lang w:val="en-US"/>
              </w:rPr>
              <w:t>s</w:t>
            </w:r>
            <w:proofErr w:type="spellStart"/>
            <w:r w:rsidRPr="00E16672">
              <w:rPr>
                <w:rFonts w:ascii="Times New Roman" w:hAnsi="Times New Roman"/>
                <w:sz w:val="16"/>
                <w:szCs w:val="16"/>
                <w:lang w:val="en-GB"/>
              </w:rPr>
              <w:t>tatement</w:t>
            </w:r>
            <w:proofErr w:type="spellEnd"/>
            <w:r w:rsidRPr="00E16672">
              <w:rPr>
                <w:rFonts w:ascii="Times New Roman" w:hAnsi="Times New Roman"/>
                <w:sz w:val="16"/>
                <w:szCs w:val="16"/>
                <w:lang w:val="en-GB"/>
              </w:rPr>
              <w:t>’ date</w:t>
            </w:r>
            <w:r w:rsidRPr="00E16672">
              <w:rPr>
                <w:rFonts w:ascii="Times New Roman" w:hAnsi="Times New Roman"/>
                <w:sz w:val="16"/>
                <w:szCs w:val="16"/>
                <w:lang w:val="en-US"/>
              </w:rPr>
              <w:t xml:space="preserve"> or invoice’s date</w:t>
            </w:r>
            <w:r w:rsidRPr="00E16672">
              <w:rPr>
                <w:rFonts w:ascii="Times New Roman" w:hAnsi="Times New Roman"/>
                <w:sz w:val="16"/>
                <w:szCs w:val="16"/>
                <w:lang w:val="en-GB"/>
              </w:rPr>
              <w:t>.</w:t>
            </w:r>
          </w:p>
          <w:p w14:paraId="67A603B9" w14:textId="77777777" w:rsidR="003A05A3" w:rsidRPr="00E16672" w:rsidRDefault="003A05A3" w:rsidP="00843027">
            <w:pPr>
              <w:pStyle w:val="210"/>
              <w:tabs>
                <w:tab w:val="left" w:pos="182"/>
                <w:tab w:val="left" w:pos="287"/>
                <w:tab w:val="left" w:pos="1191"/>
              </w:tabs>
              <w:snapToGrid w:val="0"/>
              <w:ind w:left="145" w:right="100" w:firstLine="7"/>
              <w:rPr>
                <w:rFonts w:ascii="Times New Roman" w:hAnsi="Times New Roman"/>
                <w:sz w:val="16"/>
                <w:szCs w:val="16"/>
                <w:lang w:val="en-GB"/>
              </w:rPr>
            </w:pPr>
          </w:p>
        </w:tc>
      </w:tr>
      <w:tr w:rsidR="003A05A3" w:rsidRPr="00F23413" w14:paraId="7B62CE9A" w14:textId="77777777" w:rsidTr="00242F58">
        <w:trPr>
          <w:trHeight w:val="192"/>
        </w:trPr>
        <w:tc>
          <w:tcPr>
            <w:tcW w:w="5696" w:type="dxa"/>
            <w:gridSpan w:val="8"/>
            <w:shd w:val="clear" w:color="auto" w:fill="auto"/>
          </w:tcPr>
          <w:p w14:paraId="2F4F8776" w14:textId="77777777" w:rsidR="003A05A3" w:rsidRPr="00E16672" w:rsidRDefault="003A05A3" w:rsidP="00843027">
            <w:pPr>
              <w:pStyle w:val="310"/>
              <w:tabs>
                <w:tab w:val="left" w:pos="182"/>
              </w:tabs>
              <w:ind w:left="175" w:right="138" w:firstLine="7"/>
              <w:rPr>
                <w:rFonts w:ascii="Times New Roman" w:hAnsi="Times New Roman"/>
                <w:sz w:val="16"/>
                <w:szCs w:val="16"/>
              </w:rPr>
            </w:pPr>
            <w:r w:rsidRPr="00E16672">
              <w:rPr>
                <w:rFonts w:ascii="Times New Roman" w:hAnsi="Times New Roman"/>
                <w:sz w:val="16"/>
                <w:szCs w:val="16"/>
              </w:rPr>
              <w:t>4.3. Підтвердженням виконання послуг Депозитарної установи є акт виконаних Депозитарною установою операцій, який складається:</w:t>
            </w:r>
          </w:p>
          <w:p w14:paraId="190C8386" w14:textId="77777777" w:rsidR="003A05A3" w:rsidRPr="00E16672" w:rsidRDefault="003A05A3" w:rsidP="00843027">
            <w:pPr>
              <w:pStyle w:val="310"/>
              <w:tabs>
                <w:tab w:val="left" w:pos="182"/>
              </w:tabs>
              <w:snapToGrid w:val="0"/>
              <w:ind w:left="175" w:right="138" w:firstLine="7"/>
              <w:rPr>
                <w:rFonts w:ascii="Times New Roman" w:hAnsi="Times New Roman"/>
                <w:sz w:val="16"/>
                <w:szCs w:val="16"/>
              </w:rPr>
            </w:pPr>
          </w:p>
        </w:tc>
        <w:tc>
          <w:tcPr>
            <w:tcW w:w="5494" w:type="dxa"/>
            <w:gridSpan w:val="6"/>
            <w:shd w:val="clear" w:color="auto" w:fill="auto"/>
          </w:tcPr>
          <w:p w14:paraId="101E745D" w14:textId="77777777" w:rsidR="003A05A3" w:rsidRPr="00E16672" w:rsidRDefault="003A05A3" w:rsidP="00843027">
            <w:pPr>
              <w:tabs>
                <w:tab w:val="left" w:pos="182"/>
                <w:tab w:val="left" w:pos="287"/>
              </w:tabs>
              <w:snapToGrid w:val="0"/>
              <w:ind w:left="145" w:right="100" w:firstLine="7"/>
              <w:rPr>
                <w:rFonts w:ascii="Times New Roman" w:hAnsi="Times New Roman"/>
                <w:sz w:val="16"/>
                <w:szCs w:val="16"/>
                <w:lang w:val="en-US"/>
              </w:rPr>
            </w:pPr>
            <w:r w:rsidRPr="00E16672">
              <w:rPr>
                <w:rFonts w:ascii="Times New Roman" w:hAnsi="Times New Roman"/>
                <w:sz w:val="16"/>
                <w:szCs w:val="16"/>
                <w:lang w:val="en-GB"/>
              </w:rPr>
              <w:t xml:space="preserve">4.3. </w:t>
            </w:r>
            <w:r w:rsidRPr="00E16672">
              <w:rPr>
                <w:rFonts w:ascii="Times New Roman" w:hAnsi="Times New Roman"/>
                <w:sz w:val="16"/>
                <w:szCs w:val="16"/>
                <w:shd w:val="clear" w:color="auto" w:fill="FFFFFF"/>
                <w:lang w:val="en-GB"/>
              </w:rPr>
              <w:t xml:space="preserve">Confirmation of implementation of services of </w:t>
            </w:r>
            <w:r w:rsidRPr="00E16672">
              <w:rPr>
                <w:rFonts w:ascii="Times New Roman" w:hAnsi="Times New Roman"/>
                <w:sz w:val="16"/>
                <w:szCs w:val="16"/>
                <w:lang w:val="en-GB"/>
              </w:rPr>
              <w:t xml:space="preserve">Depository </w:t>
            </w:r>
            <w:proofErr w:type="gramStart"/>
            <w:r w:rsidRPr="00E16672">
              <w:rPr>
                <w:rFonts w:ascii="Times New Roman" w:hAnsi="Times New Roman"/>
                <w:sz w:val="16"/>
                <w:szCs w:val="16"/>
                <w:lang w:val="en-GB"/>
              </w:rPr>
              <w:t xml:space="preserve">institution  </w:t>
            </w:r>
            <w:r w:rsidRPr="00E16672">
              <w:rPr>
                <w:rFonts w:ascii="Times New Roman" w:hAnsi="Times New Roman"/>
                <w:sz w:val="16"/>
                <w:szCs w:val="16"/>
                <w:shd w:val="clear" w:color="auto" w:fill="FFFFFF"/>
                <w:lang w:val="en-GB"/>
              </w:rPr>
              <w:t>is</w:t>
            </w:r>
            <w:proofErr w:type="gramEnd"/>
            <w:r w:rsidRPr="00E16672">
              <w:rPr>
                <w:rFonts w:ascii="Times New Roman" w:hAnsi="Times New Roman"/>
                <w:sz w:val="16"/>
                <w:szCs w:val="16"/>
                <w:shd w:val="clear" w:color="auto" w:fill="FFFFFF"/>
                <w:lang w:val="en-GB"/>
              </w:rPr>
              <w:t xml:space="preserve"> a Statement of executed by Depository institution of operations, which is folded:</w:t>
            </w:r>
          </w:p>
        </w:tc>
      </w:tr>
      <w:tr w:rsidR="003A05A3" w:rsidRPr="00F23413" w14:paraId="0E372BC9" w14:textId="77777777" w:rsidTr="00242F58">
        <w:trPr>
          <w:trHeight w:val="192"/>
        </w:trPr>
        <w:tc>
          <w:tcPr>
            <w:tcW w:w="5696" w:type="dxa"/>
            <w:gridSpan w:val="8"/>
            <w:shd w:val="clear" w:color="auto" w:fill="auto"/>
          </w:tcPr>
          <w:p w14:paraId="189CDA57" w14:textId="77777777" w:rsidR="003A05A3" w:rsidRPr="00E16672" w:rsidRDefault="003A05A3" w:rsidP="00843027">
            <w:pPr>
              <w:pStyle w:val="310"/>
              <w:tabs>
                <w:tab w:val="left" w:pos="182"/>
              </w:tabs>
              <w:ind w:left="175" w:right="138" w:firstLine="7"/>
              <w:rPr>
                <w:rFonts w:ascii="Times New Roman" w:hAnsi="Times New Roman"/>
                <w:color w:val="000000"/>
                <w:sz w:val="16"/>
                <w:szCs w:val="16"/>
              </w:rPr>
            </w:pPr>
            <w:r w:rsidRPr="00E16672">
              <w:rPr>
                <w:rFonts w:ascii="Times New Roman" w:hAnsi="Times New Roman"/>
                <w:color w:val="000000"/>
                <w:sz w:val="16"/>
                <w:szCs w:val="16"/>
              </w:rPr>
              <w:t xml:space="preserve">- по виконаним Депозитарною установою адміністративним, обліковим, інформаційним та іншим операціям по рахунку </w:t>
            </w:r>
            <w:r w:rsidR="00C22309" w:rsidRPr="00E16672">
              <w:rPr>
                <w:rFonts w:ascii="Times New Roman" w:hAnsi="Times New Roman"/>
                <w:color w:val="000000"/>
                <w:sz w:val="16"/>
                <w:szCs w:val="16"/>
              </w:rPr>
              <w:t>в цін</w:t>
            </w:r>
            <w:r w:rsidRPr="00E16672">
              <w:rPr>
                <w:rFonts w:ascii="Times New Roman" w:hAnsi="Times New Roman"/>
                <w:color w:val="000000"/>
                <w:sz w:val="16"/>
                <w:szCs w:val="16"/>
              </w:rPr>
              <w:t xml:space="preserve">них паперах - у день проведення операцій або на останній день місяця, в якому їх виконано, підписується Депозитарною установою у двох оригіналах та подається Депоненту для підписання особисто або направляється поштою в адресу Депонента (або іншим способом за домовленістю з Депонентом) протягом не більш як </w:t>
            </w:r>
            <w:r w:rsidRPr="00E16672">
              <w:rPr>
                <w:rFonts w:ascii="Times New Roman" w:hAnsi="Times New Roman"/>
                <w:i/>
                <w:color w:val="000000"/>
                <w:sz w:val="16"/>
                <w:szCs w:val="16"/>
              </w:rPr>
              <w:t>п’ять</w:t>
            </w:r>
            <w:r w:rsidRPr="00E16672">
              <w:rPr>
                <w:rFonts w:ascii="Times New Roman" w:hAnsi="Times New Roman"/>
                <w:color w:val="000000"/>
                <w:sz w:val="16"/>
                <w:szCs w:val="16"/>
              </w:rPr>
              <w:t xml:space="preserve"> робочих днів з моменту підписання;</w:t>
            </w:r>
          </w:p>
        </w:tc>
        <w:tc>
          <w:tcPr>
            <w:tcW w:w="5494" w:type="dxa"/>
            <w:gridSpan w:val="6"/>
            <w:shd w:val="clear" w:color="auto" w:fill="auto"/>
          </w:tcPr>
          <w:p w14:paraId="547100C3" w14:textId="77777777" w:rsidR="003A05A3" w:rsidRPr="00E16672" w:rsidRDefault="003A05A3" w:rsidP="009B1116">
            <w:pPr>
              <w:pStyle w:val="210"/>
              <w:tabs>
                <w:tab w:val="left" w:pos="182"/>
                <w:tab w:val="left" w:pos="287"/>
                <w:tab w:val="left" w:pos="1191"/>
              </w:tabs>
              <w:snapToGrid w:val="0"/>
              <w:ind w:left="145" w:right="100" w:firstLine="7"/>
              <w:rPr>
                <w:rFonts w:ascii="Times New Roman" w:hAnsi="Times New Roman"/>
                <w:color w:val="000000"/>
                <w:sz w:val="16"/>
                <w:szCs w:val="16"/>
              </w:rPr>
            </w:pPr>
            <w:r w:rsidRPr="00E16672">
              <w:rPr>
                <w:rFonts w:ascii="Times New Roman" w:hAnsi="Times New Roman"/>
                <w:color w:val="000000"/>
                <w:sz w:val="16"/>
                <w:szCs w:val="16"/>
                <w:shd w:val="clear" w:color="auto" w:fill="FFFFFF"/>
                <w:lang w:val="en-GB"/>
              </w:rPr>
              <w:t xml:space="preserve">- performed by the </w:t>
            </w:r>
            <w:r w:rsidRPr="00E16672">
              <w:rPr>
                <w:rFonts w:ascii="Times New Roman" w:hAnsi="Times New Roman"/>
                <w:color w:val="000000"/>
                <w:sz w:val="16"/>
                <w:szCs w:val="16"/>
                <w:lang w:val="en-GB"/>
              </w:rPr>
              <w:t xml:space="preserve">Depository </w:t>
            </w:r>
            <w:proofErr w:type="gramStart"/>
            <w:r w:rsidRPr="00E16672">
              <w:rPr>
                <w:rFonts w:ascii="Times New Roman" w:hAnsi="Times New Roman"/>
                <w:color w:val="000000"/>
                <w:sz w:val="16"/>
                <w:szCs w:val="16"/>
                <w:lang w:val="en-GB"/>
              </w:rPr>
              <w:t xml:space="preserve">institution  </w:t>
            </w:r>
            <w:r w:rsidRPr="00E16672">
              <w:rPr>
                <w:rFonts w:ascii="Times New Roman" w:hAnsi="Times New Roman"/>
                <w:color w:val="000000"/>
                <w:sz w:val="16"/>
                <w:szCs w:val="16"/>
                <w:shd w:val="clear" w:color="auto" w:fill="FFFFFF"/>
                <w:lang w:val="en-GB"/>
              </w:rPr>
              <w:t>of</w:t>
            </w:r>
            <w:proofErr w:type="gramEnd"/>
            <w:r w:rsidRPr="00E16672">
              <w:rPr>
                <w:rFonts w:ascii="Times New Roman" w:hAnsi="Times New Roman"/>
                <w:color w:val="000000"/>
                <w:sz w:val="16"/>
                <w:szCs w:val="16"/>
                <w:shd w:val="clear" w:color="auto" w:fill="FFFFFF"/>
                <w:lang w:val="en-GB"/>
              </w:rPr>
              <w:t xml:space="preserve"> the administrative, accounting, information and other operations on the securities account – on the day of the operation or the last day of the month in which they are performed, </w:t>
            </w:r>
            <w:proofErr w:type="spellStart"/>
            <w:r w:rsidRPr="00E16672">
              <w:rPr>
                <w:rFonts w:ascii="Times New Roman" w:hAnsi="Times New Roman"/>
                <w:color w:val="000000"/>
                <w:sz w:val="16"/>
                <w:szCs w:val="16"/>
              </w:rPr>
              <w:t>signed</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by</w:t>
            </w:r>
            <w:proofErr w:type="spellEnd"/>
            <w:r w:rsidRPr="00E16672">
              <w:rPr>
                <w:rFonts w:ascii="Times New Roman" w:hAnsi="Times New Roman"/>
                <w:color w:val="000000"/>
                <w:sz w:val="16"/>
                <w:szCs w:val="16"/>
              </w:rPr>
              <w:t xml:space="preserve"> </w:t>
            </w:r>
            <w:r w:rsidRPr="00E16672">
              <w:rPr>
                <w:rFonts w:ascii="Times New Roman" w:hAnsi="Times New Roman"/>
                <w:color w:val="000000"/>
                <w:sz w:val="16"/>
                <w:szCs w:val="16"/>
                <w:lang w:val="en-US"/>
              </w:rPr>
              <w:t>D</w:t>
            </w:r>
            <w:proofErr w:type="spellStart"/>
            <w:r w:rsidRPr="00E16672">
              <w:rPr>
                <w:rFonts w:ascii="Times New Roman" w:hAnsi="Times New Roman"/>
                <w:color w:val="000000"/>
                <w:sz w:val="16"/>
                <w:szCs w:val="16"/>
              </w:rPr>
              <w:t>epository</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institutions</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in</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two</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originals</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and</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submitted</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for</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signature</w:t>
            </w:r>
            <w:proofErr w:type="spellEnd"/>
            <w:r w:rsidRPr="00E16672">
              <w:rPr>
                <w:rFonts w:ascii="Times New Roman" w:hAnsi="Times New Roman"/>
                <w:color w:val="000000"/>
                <w:sz w:val="16"/>
                <w:szCs w:val="16"/>
              </w:rPr>
              <w:t xml:space="preserve"> </w:t>
            </w:r>
            <w:r w:rsidRPr="00E16672">
              <w:rPr>
                <w:rFonts w:ascii="Times New Roman" w:hAnsi="Times New Roman"/>
                <w:color w:val="000000"/>
                <w:sz w:val="16"/>
                <w:szCs w:val="16"/>
                <w:lang w:val="en-US"/>
              </w:rPr>
              <w:t>to</w:t>
            </w:r>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Depositor</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in</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person</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or</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sent</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by</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post</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to</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the</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address</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of</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the</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Depositor</w:t>
            </w:r>
            <w:proofErr w:type="spellEnd"/>
            <w:r w:rsidRPr="00E16672">
              <w:rPr>
                <w:rFonts w:ascii="Times New Roman" w:hAnsi="Times New Roman"/>
                <w:color w:val="000000"/>
                <w:sz w:val="16"/>
                <w:szCs w:val="16"/>
                <w:lang w:val="en-US"/>
              </w:rPr>
              <w:t xml:space="preserve"> </w:t>
            </w:r>
            <w:r w:rsidRPr="00E16672">
              <w:rPr>
                <w:rStyle w:val="hps"/>
                <w:rFonts w:ascii="Times New Roman" w:hAnsi="Times New Roman"/>
                <w:color w:val="000000"/>
                <w:sz w:val="16"/>
                <w:szCs w:val="16"/>
              </w:rPr>
              <w:t>(</w:t>
            </w:r>
            <w:proofErr w:type="spellStart"/>
            <w:r w:rsidRPr="00E16672">
              <w:rPr>
                <w:rStyle w:val="hps"/>
                <w:rFonts w:ascii="Times New Roman" w:hAnsi="Times New Roman"/>
                <w:color w:val="000000"/>
                <w:sz w:val="16"/>
                <w:szCs w:val="16"/>
              </w:rPr>
              <w:t>or</w:t>
            </w:r>
            <w:proofErr w:type="spellEnd"/>
            <w:r w:rsidRPr="00E16672">
              <w:rPr>
                <w:rStyle w:val="shorttext"/>
                <w:rFonts w:ascii="Times New Roman" w:hAnsi="Times New Roman"/>
                <w:color w:val="000000"/>
                <w:sz w:val="16"/>
                <w:szCs w:val="16"/>
              </w:rPr>
              <w:t xml:space="preserve"> </w:t>
            </w:r>
            <w:proofErr w:type="spellStart"/>
            <w:r w:rsidRPr="00E16672">
              <w:rPr>
                <w:rStyle w:val="hpsalt-edited"/>
                <w:rFonts w:ascii="Times New Roman" w:hAnsi="Times New Roman"/>
                <w:color w:val="000000"/>
                <w:sz w:val="16"/>
                <w:szCs w:val="16"/>
              </w:rPr>
              <w:t>another</w:t>
            </w:r>
            <w:proofErr w:type="spellEnd"/>
            <w:r w:rsidRPr="00E16672">
              <w:rPr>
                <w:rStyle w:val="hpsalt-edited"/>
                <w:rFonts w:ascii="Times New Roman" w:hAnsi="Times New Roman"/>
                <w:color w:val="000000"/>
                <w:sz w:val="16"/>
                <w:szCs w:val="16"/>
              </w:rPr>
              <w:t xml:space="preserve"> </w:t>
            </w:r>
            <w:proofErr w:type="spellStart"/>
            <w:r w:rsidRPr="00E16672">
              <w:rPr>
                <w:rStyle w:val="hpsalt-edited"/>
                <w:rFonts w:ascii="Times New Roman" w:hAnsi="Times New Roman"/>
                <w:color w:val="000000"/>
                <w:sz w:val="16"/>
                <w:szCs w:val="16"/>
              </w:rPr>
              <w:t>way</w:t>
            </w:r>
            <w:proofErr w:type="spellEnd"/>
            <w:r w:rsidRPr="00E16672">
              <w:rPr>
                <w:rStyle w:val="shorttext"/>
                <w:rFonts w:ascii="Times New Roman" w:hAnsi="Times New Roman"/>
                <w:color w:val="000000"/>
                <w:sz w:val="16"/>
                <w:szCs w:val="16"/>
              </w:rPr>
              <w:t xml:space="preserve"> </w:t>
            </w:r>
            <w:proofErr w:type="spellStart"/>
            <w:r w:rsidRPr="00E16672">
              <w:rPr>
                <w:rStyle w:val="hps"/>
                <w:rFonts w:ascii="Times New Roman" w:hAnsi="Times New Roman"/>
                <w:color w:val="000000"/>
                <w:sz w:val="16"/>
                <w:szCs w:val="16"/>
              </w:rPr>
              <w:t>by</w:t>
            </w:r>
            <w:proofErr w:type="spellEnd"/>
            <w:r w:rsidRPr="00E16672">
              <w:rPr>
                <w:rStyle w:val="hps"/>
                <w:rFonts w:ascii="Times New Roman" w:hAnsi="Times New Roman"/>
                <w:color w:val="000000"/>
                <w:sz w:val="16"/>
                <w:szCs w:val="16"/>
              </w:rPr>
              <w:t xml:space="preserve"> </w:t>
            </w:r>
            <w:proofErr w:type="spellStart"/>
            <w:r w:rsidRPr="00E16672">
              <w:rPr>
                <w:rStyle w:val="hpsalt-edited"/>
                <w:rFonts w:ascii="Times New Roman" w:hAnsi="Times New Roman"/>
                <w:color w:val="000000"/>
                <w:sz w:val="16"/>
                <w:szCs w:val="16"/>
              </w:rPr>
              <w:t>understanding</w:t>
            </w:r>
            <w:proofErr w:type="spellEnd"/>
            <w:r w:rsidRPr="00E16672">
              <w:rPr>
                <w:rStyle w:val="hpsalt-edited"/>
                <w:rFonts w:ascii="Times New Roman" w:hAnsi="Times New Roman"/>
                <w:color w:val="000000"/>
                <w:sz w:val="16"/>
                <w:szCs w:val="16"/>
              </w:rPr>
              <w:t xml:space="preserve"> </w:t>
            </w:r>
            <w:proofErr w:type="spellStart"/>
            <w:r w:rsidRPr="00E16672">
              <w:rPr>
                <w:rStyle w:val="hps"/>
                <w:rFonts w:ascii="Times New Roman" w:hAnsi="Times New Roman"/>
                <w:color w:val="000000"/>
                <w:sz w:val="16"/>
                <w:szCs w:val="16"/>
              </w:rPr>
              <w:t>with</w:t>
            </w:r>
            <w:proofErr w:type="spellEnd"/>
            <w:r w:rsidRPr="00E16672">
              <w:rPr>
                <w:rStyle w:val="hps"/>
                <w:rFonts w:ascii="Times New Roman" w:hAnsi="Times New Roman"/>
                <w:color w:val="000000"/>
                <w:sz w:val="16"/>
                <w:szCs w:val="16"/>
              </w:rPr>
              <w:t xml:space="preserve"> </w:t>
            </w:r>
            <w:proofErr w:type="spellStart"/>
            <w:r w:rsidRPr="00E16672">
              <w:rPr>
                <w:rStyle w:val="hps"/>
                <w:rFonts w:ascii="Times New Roman" w:hAnsi="Times New Roman"/>
                <w:color w:val="000000"/>
                <w:sz w:val="16"/>
                <w:szCs w:val="16"/>
              </w:rPr>
              <w:t>the</w:t>
            </w:r>
            <w:proofErr w:type="spellEnd"/>
            <w:r w:rsidRPr="00E16672">
              <w:rPr>
                <w:rStyle w:val="shorttext"/>
                <w:rFonts w:ascii="Times New Roman" w:hAnsi="Times New Roman"/>
                <w:color w:val="000000"/>
                <w:sz w:val="16"/>
                <w:szCs w:val="16"/>
              </w:rPr>
              <w:t xml:space="preserve"> </w:t>
            </w:r>
            <w:proofErr w:type="spellStart"/>
            <w:r w:rsidRPr="00E16672">
              <w:rPr>
                <w:rStyle w:val="hps"/>
                <w:rFonts w:ascii="Times New Roman" w:hAnsi="Times New Roman"/>
                <w:color w:val="000000"/>
                <w:sz w:val="16"/>
                <w:szCs w:val="16"/>
              </w:rPr>
              <w:t>Depositor</w:t>
            </w:r>
            <w:proofErr w:type="spellEnd"/>
            <w:r w:rsidRPr="00E16672">
              <w:rPr>
                <w:rStyle w:val="shorttext"/>
                <w:rFonts w:ascii="Times New Roman" w:hAnsi="Times New Roman"/>
                <w:color w:val="000000"/>
                <w:sz w:val="16"/>
                <w:szCs w:val="16"/>
              </w:rPr>
              <w:t>)</w:t>
            </w:r>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for</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no</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more</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than</w:t>
            </w:r>
            <w:proofErr w:type="spellEnd"/>
            <w:r w:rsidRPr="00E16672">
              <w:rPr>
                <w:rFonts w:ascii="Times New Roman" w:hAnsi="Times New Roman"/>
                <w:color w:val="000000"/>
                <w:sz w:val="16"/>
                <w:szCs w:val="16"/>
              </w:rPr>
              <w:t xml:space="preserve"> 5 </w:t>
            </w:r>
            <w:proofErr w:type="spellStart"/>
            <w:r w:rsidRPr="00E16672">
              <w:rPr>
                <w:rFonts w:ascii="Times New Roman" w:hAnsi="Times New Roman"/>
                <w:color w:val="000000"/>
                <w:sz w:val="16"/>
                <w:szCs w:val="16"/>
              </w:rPr>
              <w:t>business</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days</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from</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the</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date</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of</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signing</w:t>
            </w:r>
            <w:proofErr w:type="spellEnd"/>
            <w:r w:rsidRPr="00E16672">
              <w:rPr>
                <w:rFonts w:ascii="Times New Roman" w:hAnsi="Times New Roman"/>
                <w:color w:val="000000"/>
                <w:sz w:val="16"/>
                <w:szCs w:val="16"/>
              </w:rPr>
              <w:t>;</w:t>
            </w:r>
          </w:p>
        </w:tc>
      </w:tr>
      <w:tr w:rsidR="003A05A3" w:rsidRPr="00F23413" w14:paraId="021F7CEE" w14:textId="77777777" w:rsidTr="00242F58">
        <w:trPr>
          <w:trHeight w:val="192"/>
        </w:trPr>
        <w:tc>
          <w:tcPr>
            <w:tcW w:w="5696" w:type="dxa"/>
            <w:gridSpan w:val="8"/>
            <w:shd w:val="clear" w:color="auto" w:fill="auto"/>
          </w:tcPr>
          <w:p w14:paraId="7597638E" w14:textId="77777777" w:rsidR="003A05A3" w:rsidRPr="00E16672" w:rsidRDefault="003A05A3" w:rsidP="00843027">
            <w:pPr>
              <w:pStyle w:val="310"/>
              <w:tabs>
                <w:tab w:val="left" w:pos="182"/>
              </w:tabs>
              <w:ind w:left="175" w:right="138" w:firstLine="7"/>
              <w:rPr>
                <w:rFonts w:ascii="Times New Roman" w:hAnsi="Times New Roman"/>
                <w:color w:val="000000"/>
                <w:sz w:val="16"/>
                <w:szCs w:val="16"/>
              </w:rPr>
            </w:pPr>
            <w:r w:rsidRPr="00E16672">
              <w:rPr>
                <w:rFonts w:ascii="Times New Roman" w:hAnsi="Times New Roman"/>
                <w:color w:val="000000"/>
                <w:sz w:val="16"/>
                <w:szCs w:val="16"/>
              </w:rPr>
              <w:t xml:space="preserve">-за облік ЦП на рахунку у ЦП - на останній день кварталу, в якому їх виконано, підписується Депозитарною установою у двох оригіналах та подається Депоненту для підписання особисто або направляється поштою в адресу Депонента (або іншим способом за домовленістю з Депонентом) протягом не більше </w:t>
            </w:r>
            <w:r w:rsidRPr="00E16672">
              <w:rPr>
                <w:rFonts w:ascii="Times New Roman" w:hAnsi="Times New Roman"/>
                <w:i/>
                <w:color w:val="000000"/>
                <w:sz w:val="16"/>
                <w:szCs w:val="16"/>
              </w:rPr>
              <w:t>двадцяти</w:t>
            </w:r>
            <w:r w:rsidRPr="00E16672">
              <w:rPr>
                <w:rFonts w:ascii="Times New Roman" w:hAnsi="Times New Roman"/>
                <w:color w:val="000000"/>
                <w:sz w:val="16"/>
                <w:szCs w:val="16"/>
              </w:rPr>
              <w:t xml:space="preserve"> робочих днів з моменту підписання. </w:t>
            </w:r>
          </w:p>
        </w:tc>
        <w:tc>
          <w:tcPr>
            <w:tcW w:w="5494" w:type="dxa"/>
            <w:gridSpan w:val="6"/>
            <w:shd w:val="clear" w:color="auto" w:fill="auto"/>
          </w:tcPr>
          <w:p w14:paraId="4BD33EDD" w14:textId="77777777" w:rsidR="003A05A3" w:rsidRPr="00E16672" w:rsidRDefault="003A05A3" w:rsidP="009B1116">
            <w:pPr>
              <w:tabs>
                <w:tab w:val="left" w:pos="182"/>
                <w:tab w:val="left" w:pos="287"/>
              </w:tabs>
              <w:ind w:left="175" w:right="138" w:firstLine="7"/>
              <w:rPr>
                <w:rFonts w:ascii="Times New Roman" w:hAnsi="Times New Roman"/>
                <w:color w:val="000000"/>
                <w:sz w:val="16"/>
                <w:szCs w:val="16"/>
                <w:lang w:val="en-US"/>
              </w:rPr>
            </w:pPr>
            <w:r w:rsidRPr="00E16672">
              <w:rPr>
                <w:rFonts w:ascii="Times New Roman" w:hAnsi="Times New Roman"/>
                <w:color w:val="000000"/>
                <w:sz w:val="16"/>
                <w:szCs w:val="16"/>
                <w:shd w:val="clear" w:color="auto" w:fill="FFFFFF"/>
                <w:lang w:val="en-GB"/>
              </w:rPr>
              <w:t xml:space="preserve">- for accounting securities in </w:t>
            </w:r>
            <w:proofErr w:type="gramStart"/>
            <w:r w:rsidRPr="00E16672">
              <w:rPr>
                <w:rFonts w:ascii="Times New Roman" w:hAnsi="Times New Roman"/>
                <w:color w:val="000000"/>
                <w:sz w:val="16"/>
                <w:szCs w:val="16"/>
                <w:shd w:val="clear" w:color="auto" w:fill="FFFFFF"/>
                <w:lang w:val="en-GB"/>
              </w:rPr>
              <w:t>account  in</w:t>
            </w:r>
            <w:proofErr w:type="gramEnd"/>
            <w:r w:rsidRPr="00E16672">
              <w:rPr>
                <w:rFonts w:ascii="Times New Roman" w:hAnsi="Times New Roman"/>
                <w:color w:val="000000"/>
                <w:sz w:val="16"/>
                <w:szCs w:val="16"/>
                <w:shd w:val="clear" w:color="auto" w:fill="FFFFFF"/>
                <w:lang w:val="en-GB"/>
              </w:rPr>
              <w:t xml:space="preserve"> securities  - on the last day of the quarter in which they made, </w:t>
            </w:r>
            <w:proofErr w:type="spellStart"/>
            <w:r w:rsidRPr="00E16672">
              <w:rPr>
                <w:rFonts w:ascii="Times New Roman" w:hAnsi="Times New Roman"/>
                <w:color w:val="000000"/>
                <w:sz w:val="16"/>
                <w:szCs w:val="16"/>
                <w:lang w:val="uk-UA"/>
              </w:rPr>
              <w:t>signed</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by</w:t>
            </w:r>
            <w:proofErr w:type="spellEnd"/>
            <w:r w:rsidRPr="00E16672">
              <w:rPr>
                <w:rFonts w:ascii="Times New Roman" w:hAnsi="Times New Roman"/>
                <w:color w:val="000000"/>
                <w:sz w:val="16"/>
                <w:szCs w:val="16"/>
                <w:lang w:val="uk-UA"/>
              </w:rPr>
              <w:t xml:space="preserve"> </w:t>
            </w:r>
            <w:r w:rsidRPr="00E16672">
              <w:rPr>
                <w:rFonts w:ascii="Times New Roman" w:hAnsi="Times New Roman"/>
                <w:color w:val="000000"/>
                <w:sz w:val="16"/>
                <w:szCs w:val="16"/>
                <w:lang w:val="en-US"/>
              </w:rPr>
              <w:t>D</w:t>
            </w:r>
            <w:proofErr w:type="spellStart"/>
            <w:r w:rsidRPr="00E16672">
              <w:rPr>
                <w:rFonts w:ascii="Times New Roman" w:hAnsi="Times New Roman"/>
                <w:color w:val="000000"/>
                <w:sz w:val="16"/>
                <w:szCs w:val="16"/>
                <w:lang w:val="uk-UA"/>
              </w:rPr>
              <w:t>epository</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institutions</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in</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two</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originals</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and</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submitted</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for</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signature</w:t>
            </w:r>
            <w:proofErr w:type="spellEnd"/>
            <w:r w:rsidRPr="00E16672">
              <w:rPr>
                <w:rFonts w:ascii="Times New Roman" w:hAnsi="Times New Roman"/>
                <w:color w:val="000000"/>
                <w:sz w:val="16"/>
                <w:szCs w:val="16"/>
                <w:lang w:val="uk-UA"/>
              </w:rPr>
              <w:t xml:space="preserve"> </w:t>
            </w:r>
            <w:r w:rsidRPr="00E16672">
              <w:rPr>
                <w:rFonts w:ascii="Times New Roman" w:hAnsi="Times New Roman"/>
                <w:color w:val="000000"/>
                <w:sz w:val="16"/>
                <w:szCs w:val="16"/>
                <w:lang w:val="en-US"/>
              </w:rPr>
              <w:t>to</w:t>
            </w:r>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Depositor</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in</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person</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or</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sent</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by</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post</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to</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the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address</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of</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the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Depositor</w:t>
            </w:r>
            <w:proofErr w:type="spellEnd"/>
            <w:r w:rsidRPr="00E16672">
              <w:rPr>
                <w:rFonts w:ascii="Times New Roman" w:hAnsi="Times New Roman"/>
                <w:color w:val="000000"/>
                <w:sz w:val="16"/>
                <w:szCs w:val="16"/>
                <w:lang w:val="en-US"/>
              </w:rPr>
              <w:t xml:space="preserve"> </w:t>
            </w:r>
            <w:r w:rsidRPr="00F23413">
              <w:rPr>
                <w:rStyle w:val="hps"/>
                <w:rFonts w:ascii="Times New Roman" w:hAnsi="Times New Roman"/>
                <w:color w:val="000000"/>
                <w:sz w:val="16"/>
                <w:szCs w:val="16"/>
                <w:lang w:val="en-US"/>
              </w:rPr>
              <w:t>(or</w:t>
            </w:r>
            <w:r w:rsidRPr="00F23413">
              <w:rPr>
                <w:rStyle w:val="shorttext"/>
                <w:rFonts w:ascii="Times New Roman" w:hAnsi="Times New Roman"/>
                <w:color w:val="000000"/>
                <w:sz w:val="16"/>
                <w:szCs w:val="16"/>
                <w:lang w:val="en-US"/>
              </w:rPr>
              <w:t xml:space="preserve"> </w:t>
            </w:r>
            <w:r w:rsidRPr="00F23413">
              <w:rPr>
                <w:rStyle w:val="hpsalt-edited"/>
                <w:rFonts w:ascii="Times New Roman" w:hAnsi="Times New Roman"/>
                <w:color w:val="000000"/>
                <w:sz w:val="16"/>
                <w:szCs w:val="16"/>
                <w:lang w:val="en-US"/>
              </w:rPr>
              <w:t>another way</w:t>
            </w:r>
            <w:r w:rsidRPr="00F23413">
              <w:rPr>
                <w:rStyle w:val="shorttext"/>
                <w:rFonts w:ascii="Times New Roman" w:hAnsi="Times New Roman"/>
                <w:color w:val="000000"/>
                <w:sz w:val="16"/>
                <w:szCs w:val="16"/>
                <w:lang w:val="en-US"/>
              </w:rPr>
              <w:t xml:space="preserve"> </w:t>
            </w:r>
            <w:r w:rsidRPr="00F23413">
              <w:rPr>
                <w:rStyle w:val="hps"/>
                <w:rFonts w:ascii="Times New Roman" w:hAnsi="Times New Roman"/>
                <w:color w:val="000000"/>
                <w:sz w:val="16"/>
                <w:szCs w:val="16"/>
                <w:lang w:val="en-US"/>
              </w:rPr>
              <w:t xml:space="preserve">by </w:t>
            </w:r>
            <w:r w:rsidRPr="00F23413">
              <w:rPr>
                <w:rStyle w:val="hpsalt-edited"/>
                <w:rFonts w:ascii="Times New Roman" w:hAnsi="Times New Roman"/>
                <w:color w:val="000000"/>
                <w:sz w:val="16"/>
                <w:szCs w:val="16"/>
                <w:lang w:val="en-US"/>
              </w:rPr>
              <w:t xml:space="preserve">understanding </w:t>
            </w:r>
            <w:r w:rsidRPr="00F23413">
              <w:rPr>
                <w:rStyle w:val="hps"/>
                <w:rFonts w:ascii="Times New Roman" w:hAnsi="Times New Roman"/>
                <w:color w:val="000000"/>
                <w:sz w:val="16"/>
                <w:szCs w:val="16"/>
                <w:lang w:val="en-US"/>
              </w:rPr>
              <w:t>with the</w:t>
            </w:r>
            <w:r w:rsidRPr="00F23413">
              <w:rPr>
                <w:rStyle w:val="shorttext"/>
                <w:rFonts w:ascii="Times New Roman" w:hAnsi="Times New Roman"/>
                <w:color w:val="000000"/>
                <w:sz w:val="16"/>
                <w:szCs w:val="16"/>
                <w:lang w:val="en-US"/>
              </w:rPr>
              <w:t xml:space="preserve"> </w:t>
            </w:r>
            <w:r w:rsidRPr="00F23413">
              <w:rPr>
                <w:rStyle w:val="hps"/>
                <w:rFonts w:ascii="Times New Roman" w:hAnsi="Times New Roman"/>
                <w:color w:val="000000"/>
                <w:sz w:val="16"/>
                <w:szCs w:val="16"/>
                <w:lang w:val="en-US"/>
              </w:rPr>
              <w:t>Depositor</w:t>
            </w:r>
            <w:r w:rsidRPr="00F23413">
              <w:rPr>
                <w:rStyle w:val="shorttext"/>
                <w:rFonts w:ascii="Times New Roman" w:hAnsi="Times New Roman"/>
                <w:color w:val="000000"/>
                <w:sz w:val="16"/>
                <w:szCs w:val="16"/>
                <w:lang w:val="en-US"/>
              </w:rPr>
              <w:t>)</w:t>
            </w:r>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for</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not</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more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than</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twenty</w:t>
            </w:r>
            <w:proofErr w:type="spellEnd"/>
            <w:r w:rsidRPr="00E16672">
              <w:rPr>
                <w:rFonts w:ascii="Times New Roman" w:hAnsi="Times New Roman"/>
                <w:color w:val="000000"/>
                <w:sz w:val="16"/>
                <w:szCs w:val="16"/>
                <w:lang w:val="uk-UA"/>
              </w:rPr>
              <w:t xml:space="preserve"> (20) </w:t>
            </w:r>
            <w:proofErr w:type="spellStart"/>
            <w:r w:rsidRPr="00E16672">
              <w:rPr>
                <w:rFonts w:ascii="Times New Roman" w:hAnsi="Times New Roman"/>
                <w:color w:val="000000"/>
                <w:sz w:val="16"/>
                <w:szCs w:val="16"/>
                <w:lang w:val="uk-UA"/>
              </w:rPr>
              <w:t>working</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days</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from</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the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date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of</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signing</w:t>
            </w:r>
            <w:proofErr w:type="spellEnd"/>
            <w:r w:rsidRPr="00E16672">
              <w:rPr>
                <w:rFonts w:ascii="Times New Roman" w:hAnsi="Times New Roman"/>
                <w:color w:val="000000"/>
                <w:sz w:val="16"/>
                <w:szCs w:val="16"/>
                <w:lang w:val="en-US"/>
              </w:rPr>
              <w:t>.</w:t>
            </w:r>
          </w:p>
        </w:tc>
      </w:tr>
      <w:tr w:rsidR="003A05A3" w:rsidRPr="00F23413" w14:paraId="3AEEC5FA" w14:textId="77777777" w:rsidTr="00242F58">
        <w:trPr>
          <w:trHeight w:val="192"/>
        </w:trPr>
        <w:tc>
          <w:tcPr>
            <w:tcW w:w="5696" w:type="dxa"/>
            <w:gridSpan w:val="8"/>
            <w:shd w:val="clear" w:color="auto" w:fill="auto"/>
          </w:tcPr>
          <w:p w14:paraId="0D08655F" w14:textId="77777777" w:rsidR="003A05A3" w:rsidRPr="00E16672" w:rsidRDefault="003A05A3" w:rsidP="00843027">
            <w:pPr>
              <w:pStyle w:val="310"/>
              <w:tabs>
                <w:tab w:val="left" w:pos="182"/>
              </w:tabs>
              <w:snapToGrid w:val="0"/>
              <w:ind w:left="175" w:right="138" w:firstLine="7"/>
              <w:rPr>
                <w:rFonts w:ascii="Times New Roman" w:hAnsi="Times New Roman"/>
                <w:color w:val="000000"/>
                <w:sz w:val="16"/>
                <w:szCs w:val="16"/>
              </w:rPr>
            </w:pPr>
            <w:r w:rsidRPr="00E16672">
              <w:rPr>
                <w:rFonts w:ascii="Times New Roman" w:hAnsi="Times New Roman"/>
                <w:color w:val="000000"/>
                <w:sz w:val="16"/>
                <w:szCs w:val="16"/>
              </w:rPr>
              <w:t xml:space="preserve">Депонент має підписати та повернути Депозитарній установі один оригінал протягом </w:t>
            </w:r>
            <w:r w:rsidRPr="00E16672">
              <w:rPr>
                <w:rFonts w:ascii="Times New Roman" w:hAnsi="Times New Roman"/>
                <w:i/>
                <w:color w:val="000000"/>
                <w:sz w:val="16"/>
                <w:szCs w:val="16"/>
              </w:rPr>
              <w:t>тридцяти</w:t>
            </w:r>
            <w:r w:rsidRPr="00E16672">
              <w:rPr>
                <w:rFonts w:ascii="Times New Roman" w:hAnsi="Times New Roman"/>
                <w:i/>
                <w:color w:val="000000"/>
                <w:sz w:val="16"/>
                <w:szCs w:val="16"/>
                <w:lang w:val="ru-RU"/>
              </w:rPr>
              <w:t xml:space="preserve"> </w:t>
            </w:r>
            <w:proofErr w:type="spellStart"/>
            <w:r w:rsidRPr="00E16672">
              <w:rPr>
                <w:rFonts w:ascii="Times New Roman" w:hAnsi="Times New Roman"/>
                <w:i/>
                <w:color w:val="000000"/>
                <w:sz w:val="16"/>
                <w:szCs w:val="16"/>
                <w:lang w:val="ru-RU"/>
              </w:rPr>
              <w:t>календарних</w:t>
            </w:r>
            <w:proofErr w:type="spellEnd"/>
            <w:r w:rsidRPr="00E16672">
              <w:rPr>
                <w:rFonts w:ascii="Times New Roman" w:hAnsi="Times New Roman"/>
                <w:i/>
                <w:color w:val="000000"/>
                <w:sz w:val="16"/>
                <w:szCs w:val="16"/>
              </w:rPr>
              <w:t xml:space="preserve"> днів</w:t>
            </w:r>
            <w:r w:rsidRPr="00E16672">
              <w:rPr>
                <w:rFonts w:ascii="Times New Roman" w:hAnsi="Times New Roman"/>
                <w:color w:val="000000"/>
                <w:sz w:val="16"/>
                <w:szCs w:val="16"/>
              </w:rPr>
              <w:t xml:space="preserve"> </w:t>
            </w:r>
            <w:r w:rsidRPr="00E16672">
              <w:rPr>
                <w:rFonts w:ascii="Times New Roman" w:hAnsi="Times New Roman"/>
                <w:color w:val="000000"/>
                <w:sz w:val="16"/>
                <w:szCs w:val="16"/>
                <w:lang w:val="ru-RU"/>
              </w:rPr>
              <w:t>з</w:t>
            </w:r>
            <w:r w:rsidRPr="00E16672">
              <w:rPr>
                <w:rFonts w:ascii="Times New Roman" w:hAnsi="Times New Roman"/>
                <w:color w:val="000000"/>
                <w:sz w:val="16"/>
                <w:szCs w:val="16"/>
              </w:rPr>
              <w:t xml:space="preserve"> дня підписання акту Депозитарною установою. У разі неповернення акту послуги вважаються наданими без заперечень.</w:t>
            </w:r>
          </w:p>
        </w:tc>
        <w:tc>
          <w:tcPr>
            <w:tcW w:w="5494" w:type="dxa"/>
            <w:gridSpan w:val="6"/>
            <w:shd w:val="clear" w:color="auto" w:fill="auto"/>
          </w:tcPr>
          <w:p w14:paraId="162595C1" w14:textId="77777777" w:rsidR="003A05A3" w:rsidRPr="00E16672" w:rsidRDefault="003A05A3" w:rsidP="00843027">
            <w:pPr>
              <w:pStyle w:val="210"/>
              <w:tabs>
                <w:tab w:val="left" w:pos="182"/>
                <w:tab w:val="left" w:pos="287"/>
                <w:tab w:val="left" w:pos="1191"/>
              </w:tabs>
              <w:snapToGrid w:val="0"/>
              <w:ind w:left="175" w:right="138" w:firstLine="7"/>
              <w:rPr>
                <w:rFonts w:ascii="Times New Roman" w:hAnsi="Times New Roman"/>
                <w:color w:val="000000"/>
                <w:sz w:val="16"/>
                <w:szCs w:val="16"/>
              </w:rPr>
            </w:pPr>
            <w:r w:rsidRPr="00E16672">
              <w:rPr>
                <w:rFonts w:ascii="Times New Roman" w:hAnsi="Times New Roman"/>
                <w:color w:val="000000"/>
                <w:sz w:val="16"/>
                <w:szCs w:val="16"/>
                <w:shd w:val="clear" w:color="auto" w:fill="FFFFFF"/>
                <w:lang w:val="en-GB"/>
              </w:rPr>
              <w:t xml:space="preserve">A depositor must sign and return to </w:t>
            </w:r>
            <w:r w:rsidRPr="00E16672">
              <w:rPr>
                <w:rFonts w:ascii="Times New Roman" w:hAnsi="Times New Roman"/>
                <w:color w:val="000000"/>
                <w:sz w:val="16"/>
                <w:szCs w:val="16"/>
                <w:lang w:val="en-GB"/>
              </w:rPr>
              <w:t xml:space="preserve">Depository </w:t>
            </w:r>
            <w:proofErr w:type="gramStart"/>
            <w:r w:rsidRPr="00E16672">
              <w:rPr>
                <w:rFonts w:ascii="Times New Roman" w:hAnsi="Times New Roman"/>
                <w:color w:val="000000"/>
                <w:sz w:val="16"/>
                <w:szCs w:val="16"/>
                <w:lang w:val="en-GB"/>
              </w:rPr>
              <w:t xml:space="preserve">institution  </w:t>
            </w:r>
            <w:r w:rsidRPr="00E16672">
              <w:rPr>
                <w:rFonts w:ascii="Times New Roman" w:hAnsi="Times New Roman"/>
                <w:color w:val="000000"/>
                <w:sz w:val="16"/>
                <w:szCs w:val="16"/>
                <w:shd w:val="clear" w:color="auto" w:fill="FFFFFF"/>
                <w:lang w:val="en-GB"/>
              </w:rPr>
              <w:t>one</w:t>
            </w:r>
            <w:proofErr w:type="gramEnd"/>
            <w:r w:rsidRPr="00E16672">
              <w:rPr>
                <w:rFonts w:ascii="Times New Roman" w:hAnsi="Times New Roman"/>
                <w:color w:val="000000"/>
                <w:sz w:val="16"/>
                <w:szCs w:val="16"/>
                <w:shd w:val="clear" w:color="auto" w:fill="FFFFFF"/>
                <w:lang w:val="en-GB"/>
              </w:rPr>
              <w:t xml:space="preserve"> original within </w:t>
            </w:r>
            <w:proofErr w:type="spellStart"/>
            <w:r w:rsidRPr="00E16672">
              <w:rPr>
                <w:rFonts w:ascii="Times New Roman" w:hAnsi="Times New Roman"/>
                <w:i/>
                <w:color w:val="000000"/>
                <w:sz w:val="16"/>
                <w:szCs w:val="16"/>
              </w:rPr>
              <w:t>thirty</w:t>
            </w:r>
            <w:proofErr w:type="spellEnd"/>
            <w:r w:rsidRPr="00E16672">
              <w:rPr>
                <w:rFonts w:ascii="Times New Roman" w:hAnsi="Times New Roman"/>
                <w:i/>
                <w:color w:val="000000"/>
                <w:sz w:val="16"/>
                <w:szCs w:val="16"/>
              </w:rPr>
              <w:t xml:space="preserve"> </w:t>
            </w:r>
            <w:proofErr w:type="spellStart"/>
            <w:r w:rsidRPr="00E16672">
              <w:rPr>
                <w:rFonts w:ascii="Times New Roman" w:hAnsi="Times New Roman"/>
                <w:i/>
                <w:color w:val="000000"/>
                <w:sz w:val="16"/>
                <w:szCs w:val="16"/>
              </w:rPr>
              <w:t>calendar</w:t>
            </w:r>
            <w:proofErr w:type="spellEnd"/>
            <w:r w:rsidRPr="00E16672">
              <w:rPr>
                <w:rFonts w:ascii="Times New Roman" w:hAnsi="Times New Roman"/>
                <w:i/>
                <w:color w:val="000000"/>
                <w:sz w:val="16"/>
                <w:szCs w:val="16"/>
              </w:rPr>
              <w:t xml:space="preserve"> </w:t>
            </w:r>
            <w:proofErr w:type="spellStart"/>
            <w:r w:rsidRPr="00E16672">
              <w:rPr>
                <w:rFonts w:ascii="Times New Roman" w:hAnsi="Times New Roman"/>
                <w:i/>
                <w:color w:val="000000"/>
                <w:sz w:val="16"/>
                <w:szCs w:val="16"/>
              </w:rPr>
              <w:t>days</w:t>
            </w:r>
            <w:proofErr w:type="spellEnd"/>
            <w:r w:rsidRPr="00E16672">
              <w:rPr>
                <w:rFonts w:ascii="Times New Roman" w:hAnsi="Times New Roman"/>
                <w:i/>
                <w:color w:val="000000"/>
                <w:sz w:val="16"/>
                <w:szCs w:val="16"/>
              </w:rPr>
              <w:t xml:space="preserve"> </w:t>
            </w:r>
            <w:proofErr w:type="spellStart"/>
            <w:r w:rsidRPr="00E16672">
              <w:rPr>
                <w:rFonts w:ascii="Times New Roman" w:hAnsi="Times New Roman"/>
                <w:color w:val="000000"/>
                <w:sz w:val="16"/>
                <w:szCs w:val="16"/>
              </w:rPr>
              <w:t>from</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the</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day</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of</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signing</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the</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Statement</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by</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Depositary</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institution</w:t>
            </w:r>
            <w:proofErr w:type="spellEnd"/>
            <w:r w:rsidRPr="00E16672">
              <w:rPr>
                <w:rFonts w:ascii="Times New Roman" w:hAnsi="Times New Roman"/>
                <w:color w:val="000000"/>
                <w:sz w:val="16"/>
                <w:szCs w:val="16"/>
                <w:shd w:val="clear" w:color="auto" w:fill="FFFFFF"/>
                <w:lang w:val="en-GB"/>
              </w:rPr>
              <w:t>. In the case of failure to return of statement services are considered given without denials.</w:t>
            </w:r>
          </w:p>
        </w:tc>
      </w:tr>
      <w:tr w:rsidR="003A05A3" w:rsidRPr="00F23413" w14:paraId="7E99384B" w14:textId="77777777" w:rsidTr="00242F58">
        <w:trPr>
          <w:trHeight w:val="748"/>
        </w:trPr>
        <w:tc>
          <w:tcPr>
            <w:tcW w:w="5696" w:type="dxa"/>
            <w:gridSpan w:val="8"/>
            <w:shd w:val="clear" w:color="auto" w:fill="auto"/>
          </w:tcPr>
          <w:p w14:paraId="752DCD3D" w14:textId="77777777" w:rsidR="003A05A3" w:rsidRPr="00E16672" w:rsidRDefault="00B963E2" w:rsidP="003B3EC1">
            <w:pPr>
              <w:tabs>
                <w:tab w:val="left" w:pos="182"/>
                <w:tab w:val="left" w:pos="654"/>
              </w:tabs>
              <w:snapToGrid w:val="0"/>
              <w:spacing w:before="57" w:after="57"/>
              <w:ind w:left="175" w:right="138" w:firstLine="7"/>
              <w:rPr>
                <w:rFonts w:ascii="Times New Roman" w:hAnsi="Times New Roman"/>
                <w:color w:val="000000"/>
                <w:sz w:val="16"/>
                <w:szCs w:val="16"/>
              </w:rPr>
            </w:pPr>
            <w:r w:rsidRPr="00E16672">
              <w:rPr>
                <w:rFonts w:ascii="Times New Roman" w:hAnsi="Times New Roman"/>
                <w:color w:val="000000"/>
                <w:sz w:val="16"/>
                <w:szCs w:val="16"/>
              </w:rPr>
              <w:t xml:space="preserve">Акт </w:t>
            </w:r>
            <w:proofErr w:type="spellStart"/>
            <w:r w:rsidRPr="00E16672">
              <w:rPr>
                <w:rFonts w:ascii="Times New Roman" w:hAnsi="Times New Roman"/>
                <w:color w:val="000000"/>
                <w:sz w:val="16"/>
                <w:szCs w:val="16"/>
              </w:rPr>
              <w:t>виконаних</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операцій</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може</w:t>
            </w:r>
            <w:proofErr w:type="spellEnd"/>
            <w:r w:rsidRPr="00E16672">
              <w:rPr>
                <w:rFonts w:ascii="Times New Roman" w:hAnsi="Times New Roman"/>
                <w:color w:val="000000"/>
                <w:sz w:val="16"/>
                <w:szCs w:val="16"/>
              </w:rPr>
              <w:t xml:space="preserve"> бути </w:t>
            </w:r>
            <w:proofErr w:type="spellStart"/>
            <w:r w:rsidRPr="00E16672">
              <w:rPr>
                <w:rFonts w:ascii="Times New Roman" w:hAnsi="Times New Roman"/>
                <w:color w:val="000000"/>
                <w:sz w:val="16"/>
                <w:szCs w:val="16"/>
              </w:rPr>
              <w:t>підписаний</w:t>
            </w:r>
            <w:proofErr w:type="spellEnd"/>
            <w:r w:rsidRPr="00E16672">
              <w:rPr>
                <w:rFonts w:ascii="Times New Roman" w:hAnsi="Times New Roman"/>
                <w:color w:val="000000"/>
                <w:sz w:val="16"/>
                <w:szCs w:val="16"/>
              </w:rPr>
              <w:t xml:space="preserve"> Депозитарною </w:t>
            </w:r>
            <w:proofErr w:type="spellStart"/>
            <w:r w:rsidRPr="00E16672">
              <w:rPr>
                <w:rFonts w:ascii="Times New Roman" w:hAnsi="Times New Roman"/>
                <w:color w:val="000000"/>
                <w:sz w:val="16"/>
                <w:szCs w:val="16"/>
              </w:rPr>
              <w:t>установою</w:t>
            </w:r>
            <w:proofErr w:type="spellEnd"/>
            <w:r w:rsidRPr="00E16672">
              <w:rPr>
                <w:rFonts w:ascii="Times New Roman" w:hAnsi="Times New Roman"/>
                <w:color w:val="000000"/>
                <w:sz w:val="16"/>
                <w:szCs w:val="16"/>
              </w:rPr>
              <w:t xml:space="preserve"> та Депонентом за </w:t>
            </w:r>
            <w:proofErr w:type="spellStart"/>
            <w:r w:rsidRPr="00E16672">
              <w:rPr>
                <w:rFonts w:ascii="Times New Roman" w:hAnsi="Times New Roman"/>
                <w:color w:val="000000"/>
                <w:sz w:val="16"/>
                <w:szCs w:val="16"/>
              </w:rPr>
              <w:t>допомогою</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rPr>
              <w:t>кваліфікованого</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електронного</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підпису</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Рахунок</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також</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може</w:t>
            </w:r>
            <w:proofErr w:type="spellEnd"/>
            <w:r w:rsidRPr="00E16672">
              <w:rPr>
                <w:rFonts w:ascii="Times New Roman" w:hAnsi="Times New Roman"/>
                <w:color w:val="000000"/>
                <w:sz w:val="16"/>
                <w:szCs w:val="16"/>
              </w:rPr>
              <w:t xml:space="preserve"> бути </w:t>
            </w:r>
            <w:proofErr w:type="spellStart"/>
            <w:r w:rsidRPr="00E16672">
              <w:rPr>
                <w:rFonts w:ascii="Times New Roman" w:hAnsi="Times New Roman"/>
                <w:color w:val="000000"/>
                <w:sz w:val="16"/>
                <w:szCs w:val="16"/>
              </w:rPr>
              <w:t>підписаний</w:t>
            </w:r>
            <w:proofErr w:type="spellEnd"/>
            <w:r w:rsidRPr="00E16672">
              <w:rPr>
                <w:rFonts w:ascii="Times New Roman" w:hAnsi="Times New Roman"/>
                <w:color w:val="000000"/>
                <w:sz w:val="16"/>
                <w:szCs w:val="16"/>
              </w:rPr>
              <w:t xml:space="preserve"> за </w:t>
            </w:r>
            <w:proofErr w:type="spellStart"/>
            <w:r w:rsidRPr="00E16672">
              <w:rPr>
                <w:rFonts w:ascii="Times New Roman" w:hAnsi="Times New Roman"/>
                <w:color w:val="000000"/>
                <w:sz w:val="16"/>
                <w:szCs w:val="16"/>
              </w:rPr>
              <w:t>допомогою</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кваліфікованого</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 w:val="16"/>
                <w:szCs w:val="16"/>
              </w:rPr>
              <w:t>електронного</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підпису</w:t>
            </w:r>
            <w:proofErr w:type="spellEnd"/>
            <w:r w:rsidRPr="00E16672">
              <w:rPr>
                <w:rFonts w:ascii="Times New Roman" w:hAnsi="Times New Roman"/>
                <w:color w:val="000000"/>
                <w:sz w:val="16"/>
                <w:szCs w:val="16"/>
              </w:rPr>
              <w:t>.</w:t>
            </w:r>
          </w:p>
        </w:tc>
        <w:tc>
          <w:tcPr>
            <w:tcW w:w="5494" w:type="dxa"/>
            <w:gridSpan w:val="6"/>
            <w:shd w:val="clear" w:color="auto" w:fill="auto"/>
          </w:tcPr>
          <w:p w14:paraId="79279558" w14:textId="77777777" w:rsidR="003A05A3" w:rsidRPr="00E16672" w:rsidRDefault="00B963E2" w:rsidP="00843027">
            <w:pPr>
              <w:tabs>
                <w:tab w:val="left" w:pos="182"/>
              </w:tabs>
              <w:snapToGrid w:val="0"/>
              <w:spacing w:before="57" w:after="57"/>
              <w:ind w:left="175" w:right="138" w:firstLine="7"/>
              <w:rPr>
                <w:rFonts w:ascii="Times New Roman" w:hAnsi="Times New Roman"/>
                <w:color w:val="000000"/>
                <w:sz w:val="16"/>
                <w:szCs w:val="16"/>
                <w:lang w:val="en-GB"/>
              </w:rPr>
            </w:pPr>
            <w:r w:rsidRPr="00E16672">
              <w:rPr>
                <w:rFonts w:ascii="Times New Roman" w:hAnsi="Times New Roman"/>
                <w:color w:val="000000"/>
                <w:sz w:val="16"/>
                <w:szCs w:val="16"/>
                <w:shd w:val="clear" w:color="auto" w:fill="FFFFFF"/>
                <w:lang w:val="en-GB"/>
              </w:rPr>
              <w:t xml:space="preserve">Statement of fulfilled operations can be signed by the Depository </w:t>
            </w:r>
            <w:proofErr w:type="gramStart"/>
            <w:r w:rsidRPr="00E16672">
              <w:rPr>
                <w:rFonts w:ascii="Times New Roman" w:hAnsi="Times New Roman"/>
                <w:color w:val="000000"/>
                <w:sz w:val="16"/>
                <w:szCs w:val="16"/>
                <w:shd w:val="clear" w:color="auto" w:fill="FFFFFF"/>
                <w:lang w:val="en-GB"/>
              </w:rPr>
              <w:t>institution  and</w:t>
            </w:r>
            <w:proofErr w:type="gramEnd"/>
            <w:r w:rsidRPr="00E16672">
              <w:rPr>
                <w:rFonts w:ascii="Times New Roman" w:hAnsi="Times New Roman"/>
                <w:color w:val="000000"/>
                <w:sz w:val="16"/>
                <w:szCs w:val="16"/>
                <w:shd w:val="clear" w:color="auto" w:fill="FFFFFF"/>
                <w:lang w:val="en-GB"/>
              </w:rPr>
              <w:t xml:space="preserve"> the Depositor with an qualified electronic signature. </w:t>
            </w:r>
            <w:r w:rsidRPr="00E16672">
              <w:rPr>
                <w:rFonts w:ascii="Times New Roman" w:hAnsi="Times New Roman"/>
                <w:color w:val="000000"/>
                <w:sz w:val="16"/>
                <w:szCs w:val="16"/>
                <w:lang w:val="en-GB"/>
              </w:rPr>
              <w:t>Invoice also could be signed using the</w:t>
            </w:r>
            <w:r w:rsidRPr="00E16672">
              <w:rPr>
                <w:rFonts w:ascii="Times New Roman" w:hAnsi="Times New Roman"/>
                <w:color w:val="000000"/>
                <w:sz w:val="16"/>
                <w:szCs w:val="16"/>
                <w:lang w:val="uk-UA"/>
              </w:rPr>
              <w:t xml:space="preserve"> </w:t>
            </w:r>
            <w:r w:rsidRPr="00E16672">
              <w:rPr>
                <w:rFonts w:ascii="Times New Roman" w:hAnsi="Times New Roman"/>
                <w:color w:val="000000"/>
                <w:sz w:val="16"/>
                <w:szCs w:val="16"/>
                <w:shd w:val="clear" w:color="auto" w:fill="FFFFFF"/>
                <w:lang w:val="en-GB"/>
              </w:rPr>
              <w:t>qualified</w:t>
            </w:r>
            <w:r w:rsidRPr="00E16672">
              <w:rPr>
                <w:rFonts w:ascii="Times New Roman" w:hAnsi="Times New Roman"/>
                <w:color w:val="000000"/>
                <w:sz w:val="16"/>
                <w:szCs w:val="16"/>
                <w:lang w:val="en-GB"/>
              </w:rPr>
              <w:t xml:space="preserve"> electronic signature</w:t>
            </w:r>
            <w:r w:rsidR="003A05A3" w:rsidRPr="00E16672">
              <w:rPr>
                <w:rFonts w:ascii="Times New Roman" w:hAnsi="Times New Roman"/>
                <w:color w:val="000000"/>
                <w:sz w:val="16"/>
                <w:szCs w:val="16"/>
                <w:lang w:val="en-GB"/>
              </w:rPr>
              <w:t>.</w:t>
            </w:r>
          </w:p>
        </w:tc>
      </w:tr>
      <w:tr w:rsidR="003A05A3" w:rsidRPr="00F23413" w14:paraId="261ECD60" w14:textId="77777777" w:rsidTr="00242F58">
        <w:trPr>
          <w:trHeight w:val="192"/>
        </w:trPr>
        <w:tc>
          <w:tcPr>
            <w:tcW w:w="5696" w:type="dxa"/>
            <w:gridSpan w:val="8"/>
            <w:shd w:val="clear" w:color="auto" w:fill="auto"/>
          </w:tcPr>
          <w:p w14:paraId="571181AB" w14:textId="77777777" w:rsidR="003A05A3" w:rsidRPr="00E16672" w:rsidRDefault="003A05A3" w:rsidP="00843027">
            <w:pPr>
              <w:tabs>
                <w:tab w:val="left" w:pos="182"/>
              </w:tabs>
              <w:snapToGrid w:val="0"/>
              <w:ind w:left="175" w:right="138" w:firstLine="7"/>
              <w:rPr>
                <w:rFonts w:ascii="Times New Roman" w:hAnsi="Times New Roman"/>
                <w:color w:val="000000"/>
                <w:sz w:val="16"/>
                <w:szCs w:val="16"/>
              </w:rPr>
            </w:pPr>
            <w:r w:rsidRPr="00E16672">
              <w:rPr>
                <w:rFonts w:ascii="Times New Roman" w:hAnsi="Times New Roman"/>
                <w:color w:val="000000"/>
                <w:sz w:val="16"/>
                <w:szCs w:val="16"/>
              </w:rPr>
              <w:t xml:space="preserve">4.4. </w:t>
            </w:r>
            <w:r w:rsidR="00B963E2" w:rsidRPr="00E16672">
              <w:rPr>
                <w:rFonts w:ascii="Times New Roman" w:hAnsi="Times New Roman"/>
                <w:color w:val="000000"/>
                <w:sz w:val="16"/>
                <w:szCs w:val="16"/>
              </w:rPr>
              <w:t xml:space="preserve">Плата вноситься Депонентом у </w:t>
            </w:r>
            <w:proofErr w:type="spellStart"/>
            <w:r w:rsidR="00B963E2" w:rsidRPr="00E16672">
              <w:rPr>
                <w:rFonts w:ascii="Times New Roman" w:hAnsi="Times New Roman"/>
                <w:color w:val="000000"/>
                <w:sz w:val="16"/>
                <w:szCs w:val="16"/>
              </w:rPr>
              <w:t>безготівковій</w:t>
            </w:r>
            <w:proofErr w:type="spellEnd"/>
            <w:r w:rsidR="00B963E2" w:rsidRPr="00E16672">
              <w:rPr>
                <w:rFonts w:ascii="Times New Roman" w:hAnsi="Times New Roman"/>
                <w:color w:val="000000"/>
                <w:sz w:val="16"/>
                <w:szCs w:val="16"/>
              </w:rPr>
              <w:t xml:space="preserve"> </w:t>
            </w:r>
            <w:proofErr w:type="spellStart"/>
            <w:r w:rsidR="00B963E2" w:rsidRPr="00E16672">
              <w:rPr>
                <w:rFonts w:ascii="Times New Roman" w:hAnsi="Times New Roman"/>
                <w:color w:val="000000"/>
                <w:sz w:val="16"/>
                <w:szCs w:val="16"/>
              </w:rPr>
              <w:t>формі</w:t>
            </w:r>
            <w:proofErr w:type="spellEnd"/>
            <w:r w:rsidR="00B963E2" w:rsidRPr="00E16672">
              <w:rPr>
                <w:rFonts w:ascii="Times New Roman" w:hAnsi="Times New Roman"/>
                <w:color w:val="000000"/>
                <w:sz w:val="16"/>
                <w:szCs w:val="16"/>
              </w:rPr>
              <w:t xml:space="preserve"> </w:t>
            </w:r>
            <w:proofErr w:type="spellStart"/>
            <w:r w:rsidR="00B963E2" w:rsidRPr="00E16672">
              <w:rPr>
                <w:rFonts w:ascii="Times New Roman" w:hAnsi="Times New Roman"/>
                <w:color w:val="000000"/>
                <w:sz w:val="16"/>
                <w:szCs w:val="16"/>
              </w:rPr>
              <w:t>протягом</w:t>
            </w:r>
            <w:proofErr w:type="spellEnd"/>
            <w:r w:rsidR="00B963E2" w:rsidRPr="00E16672">
              <w:rPr>
                <w:rFonts w:ascii="Times New Roman" w:hAnsi="Times New Roman"/>
                <w:color w:val="000000"/>
                <w:sz w:val="16"/>
                <w:szCs w:val="16"/>
              </w:rPr>
              <w:t xml:space="preserve"> </w:t>
            </w:r>
            <w:r w:rsidR="00B963E2" w:rsidRPr="00E16672">
              <w:rPr>
                <w:rFonts w:ascii="Times New Roman" w:hAnsi="Times New Roman"/>
                <w:i/>
                <w:color w:val="000000"/>
                <w:sz w:val="16"/>
                <w:szCs w:val="16"/>
              </w:rPr>
              <w:t>в</w:t>
            </w:r>
            <w:r w:rsidR="00B963E2" w:rsidRPr="00E16672">
              <w:rPr>
                <w:rFonts w:ascii="Times New Roman" w:hAnsi="Times New Roman"/>
                <w:i/>
                <w:color w:val="000000"/>
                <w:sz w:val="16"/>
                <w:szCs w:val="16"/>
                <w:lang w:val="uk-UA"/>
              </w:rPr>
              <w:t>і</w:t>
            </w:r>
            <w:r w:rsidR="00B963E2" w:rsidRPr="00E16672">
              <w:rPr>
                <w:rFonts w:ascii="Times New Roman" w:hAnsi="Times New Roman"/>
                <w:i/>
                <w:color w:val="000000"/>
                <w:sz w:val="16"/>
                <w:szCs w:val="16"/>
              </w:rPr>
              <w:t>с</w:t>
            </w:r>
            <w:r w:rsidR="00B963E2" w:rsidRPr="00E16672">
              <w:rPr>
                <w:rFonts w:ascii="Times New Roman" w:hAnsi="Times New Roman"/>
                <w:i/>
                <w:color w:val="000000"/>
                <w:sz w:val="16"/>
                <w:szCs w:val="16"/>
                <w:lang w:val="uk-UA"/>
              </w:rPr>
              <w:t>і</w:t>
            </w:r>
            <w:proofErr w:type="spellStart"/>
            <w:r w:rsidR="00B963E2" w:rsidRPr="00E16672">
              <w:rPr>
                <w:rFonts w:ascii="Times New Roman" w:hAnsi="Times New Roman"/>
                <w:i/>
                <w:color w:val="000000"/>
                <w:sz w:val="16"/>
                <w:szCs w:val="16"/>
              </w:rPr>
              <w:t>мдесяти</w:t>
            </w:r>
            <w:proofErr w:type="spellEnd"/>
            <w:r w:rsidR="00B963E2" w:rsidRPr="00E16672">
              <w:rPr>
                <w:rFonts w:ascii="Times New Roman" w:hAnsi="Times New Roman"/>
                <w:i/>
                <w:color w:val="000000"/>
                <w:sz w:val="16"/>
                <w:szCs w:val="16"/>
              </w:rPr>
              <w:t xml:space="preserve"> </w:t>
            </w:r>
            <w:proofErr w:type="spellStart"/>
            <w:r w:rsidR="00B963E2" w:rsidRPr="00E16672">
              <w:rPr>
                <w:rFonts w:ascii="Times New Roman" w:hAnsi="Times New Roman"/>
                <w:i/>
                <w:color w:val="000000"/>
                <w:sz w:val="16"/>
                <w:szCs w:val="16"/>
              </w:rPr>
              <w:t>календарних</w:t>
            </w:r>
            <w:proofErr w:type="spellEnd"/>
            <w:r w:rsidR="00B963E2" w:rsidRPr="00E16672">
              <w:rPr>
                <w:rFonts w:ascii="Times New Roman" w:hAnsi="Times New Roman"/>
                <w:i/>
                <w:color w:val="000000"/>
                <w:sz w:val="16"/>
                <w:szCs w:val="16"/>
              </w:rPr>
              <w:t xml:space="preserve"> </w:t>
            </w:r>
            <w:proofErr w:type="spellStart"/>
            <w:r w:rsidR="00B963E2" w:rsidRPr="00E16672">
              <w:rPr>
                <w:rFonts w:ascii="Times New Roman" w:hAnsi="Times New Roman"/>
                <w:i/>
                <w:color w:val="000000"/>
                <w:sz w:val="16"/>
                <w:szCs w:val="16"/>
              </w:rPr>
              <w:t>днів</w:t>
            </w:r>
            <w:proofErr w:type="spellEnd"/>
            <w:r w:rsidR="00B963E2" w:rsidRPr="00E16672">
              <w:rPr>
                <w:rFonts w:ascii="Times New Roman" w:hAnsi="Times New Roman"/>
                <w:color w:val="000000"/>
                <w:sz w:val="16"/>
                <w:szCs w:val="16"/>
              </w:rPr>
              <w:t xml:space="preserve"> з дня </w:t>
            </w:r>
            <w:proofErr w:type="spellStart"/>
            <w:r w:rsidR="00B963E2" w:rsidRPr="00E16672">
              <w:rPr>
                <w:rFonts w:ascii="Times New Roman" w:hAnsi="Times New Roman"/>
                <w:color w:val="000000"/>
                <w:sz w:val="16"/>
                <w:szCs w:val="16"/>
              </w:rPr>
              <w:t>підписання</w:t>
            </w:r>
            <w:proofErr w:type="spellEnd"/>
            <w:r w:rsidR="00B963E2" w:rsidRPr="00E16672">
              <w:rPr>
                <w:rFonts w:ascii="Times New Roman" w:hAnsi="Times New Roman"/>
                <w:color w:val="000000"/>
                <w:sz w:val="16"/>
                <w:szCs w:val="16"/>
              </w:rPr>
              <w:t xml:space="preserve"> акту Депозитарною </w:t>
            </w:r>
            <w:proofErr w:type="spellStart"/>
            <w:r w:rsidR="00B963E2" w:rsidRPr="00E16672">
              <w:rPr>
                <w:rFonts w:ascii="Times New Roman" w:hAnsi="Times New Roman"/>
                <w:color w:val="000000"/>
                <w:sz w:val="16"/>
                <w:szCs w:val="16"/>
              </w:rPr>
              <w:t>установою</w:t>
            </w:r>
            <w:proofErr w:type="spellEnd"/>
            <w:r w:rsidR="00B963E2" w:rsidRPr="00E16672">
              <w:rPr>
                <w:rFonts w:ascii="Times New Roman" w:hAnsi="Times New Roman"/>
                <w:color w:val="000000"/>
                <w:sz w:val="16"/>
                <w:szCs w:val="16"/>
              </w:rPr>
              <w:t xml:space="preserve"> шляхом </w:t>
            </w:r>
            <w:proofErr w:type="spellStart"/>
            <w:r w:rsidR="00B963E2" w:rsidRPr="00E16672">
              <w:rPr>
                <w:rFonts w:ascii="Times New Roman" w:hAnsi="Times New Roman"/>
                <w:color w:val="000000"/>
                <w:sz w:val="16"/>
                <w:szCs w:val="16"/>
              </w:rPr>
              <w:lastRenderedPageBreak/>
              <w:t>перерахування</w:t>
            </w:r>
            <w:proofErr w:type="spellEnd"/>
            <w:r w:rsidR="00B963E2" w:rsidRPr="00E16672">
              <w:rPr>
                <w:rFonts w:ascii="Times New Roman" w:hAnsi="Times New Roman"/>
                <w:color w:val="000000"/>
                <w:sz w:val="16"/>
                <w:szCs w:val="16"/>
              </w:rPr>
              <w:t xml:space="preserve"> </w:t>
            </w:r>
            <w:proofErr w:type="spellStart"/>
            <w:r w:rsidR="00B963E2" w:rsidRPr="00E16672">
              <w:rPr>
                <w:rFonts w:ascii="Times New Roman" w:hAnsi="Times New Roman"/>
                <w:color w:val="000000"/>
                <w:sz w:val="16"/>
                <w:szCs w:val="16"/>
              </w:rPr>
              <w:t>грошових</w:t>
            </w:r>
            <w:proofErr w:type="spellEnd"/>
            <w:r w:rsidR="00B963E2" w:rsidRPr="00E16672">
              <w:rPr>
                <w:rFonts w:ascii="Times New Roman" w:hAnsi="Times New Roman"/>
                <w:color w:val="000000"/>
                <w:sz w:val="16"/>
                <w:szCs w:val="16"/>
              </w:rPr>
              <w:t xml:space="preserve"> </w:t>
            </w:r>
            <w:proofErr w:type="spellStart"/>
            <w:r w:rsidR="00B963E2" w:rsidRPr="00E16672">
              <w:rPr>
                <w:rFonts w:ascii="Times New Roman" w:hAnsi="Times New Roman"/>
                <w:color w:val="000000"/>
                <w:sz w:val="16"/>
                <w:szCs w:val="16"/>
              </w:rPr>
              <w:t>коштів</w:t>
            </w:r>
            <w:proofErr w:type="spellEnd"/>
            <w:r w:rsidR="00B963E2" w:rsidRPr="00E16672">
              <w:rPr>
                <w:rFonts w:ascii="Times New Roman" w:hAnsi="Times New Roman"/>
                <w:color w:val="000000"/>
                <w:sz w:val="16"/>
                <w:szCs w:val="16"/>
              </w:rPr>
              <w:t xml:space="preserve"> на </w:t>
            </w:r>
            <w:proofErr w:type="spellStart"/>
            <w:r w:rsidR="00B963E2" w:rsidRPr="00E16672">
              <w:rPr>
                <w:rFonts w:ascii="Times New Roman" w:hAnsi="Times New Roman"/>
                <w:color w:val="000000"/>
                <w:sz w:val="16"/>
                <w:szCs w:val="16"/>
              </w:rPr>
              <w:t>рахунок</w:t>
            </w:r>
            <w:proofErr w:type="spellEnd"/>
            <w:r w:rsidR="00B963E2" w:rsidRPr="00E16672">
              <w:rPr>
                <w:rFonts w:ascii="Times New Roman" w:hAnsi="Times New Roman"/>
                <w:color w:val="000000"/>
                <w:sz w:val="16"/>
                <w:szCs w:val="16"/>
              </w:rPr>
              <w:t xml:space="preserve"> </w:t>
            </w:r>
            <w:proofErr w:type="spellStart"/>
            <w:r w:rsidR="00B963E2" w:rsidRPr="00E16672">
              <w:rPr>
                <w:rFonts w:ascii="Times New Roman" w:hAnsi="Times New Roman"/>
                <w:color w:val="000000"/>
                <w:sz w:val="16"/>
                <w:szCs w:val="16"/>
              </w:rPr>
              <w:t>Депозитарної</w:t>
            </w:r>
            <w:proofErr w:type="spellEnd"/>
            <w:r w:rsidR="00B963E2" w:rsidRPr="00E16672">
              <w:rPr>
                <w:rFonts w:ascii="Times New Roman" w:hAnsi="Times New Roman"/>
                <w:color w:val="000000"/>
                <w:sz w:val="16"/>
                <w:szCs w:val="16"/>
              </w:rPr>
              <w:t xml:space="preserve"> установи за </w:t>
            </w:r>
            <w:proofErr w:type="spellStart"/>
            <w:r w:rsidR="00B963E2" w:rsidRPr="00E16672">
              <w:rPr>
                <w:rFonts w:ascii="Times New Roman" w:hAnsi="Times New Roman"/>
                <w:color w:val="000000"/>
                <w:sz w:val="16"/>
                <w:szCs w:val="16"/>
              </w:rPr>
              <w:t>реквізитами</w:t>
            </w:r>
            <w:proofErr w:type="spellEnd"/>
            <w:r w:rsidR="00B963E2" w:rsidRPr="00E16672">
              <w:rPr>
                <w:rFonts w:ascii="Times New Roman" w:hAnsi="Times New Roman"/>
                <w:color w:val="000000"/>
                <w:sz w:val="16"/>
                <w:szCs w:val="16"/>
              </w:rPr>
              <w:t xml:space="preserve">, </w:t>
            </w:r>
            <w:proofErr w:type="spellStart"/>
            <w:r w:rsidR="00B963E2" w:rsidRPr="00E16672">
              <w:rPr>
                <w:rFonts w:ascii="Times New Roman" w:hAnsi="Times New Roman"/>
                <w:color w:val="000000"/>
                <w:sz w:val="16"/>
                <w:szCs w:val="16"/>
              </w:rPr>
              <w:t>вказаними</w:t>
            </w:r>
            <w:proofErr w:type="spellEnd"/>
            <w:r w:rsidR="00B963E2" w:rsidRPr="00E16672">
              <w:rPr>
                <w:rFonts w:ascii="Times New Roman" w:hAnsi="Times New Roman"/>
                <w:color w:val="000000"/>
                <w:sz w:val="16"/>
                <w:szCs w:val="16"/>
              </w:rPr>
              <w:t xml:space="preserve"> Депозитарною </w:t>
            </w:r>
            <w:proofErr w:type="spellStart"/>
            <w:r w:rsidR="00B963E2" w:rsidRPr="00E16672">
              <w:rPr>
                <w:rFonts w:ascii="Times New Roman" w:hAnsi="Times New Roman"/>
                <w:color w:val="000000"/>
                <w:sz w:val="16"/>
                <w:szCs w:val="16"/>
              </w:rPr>
              <w:t>установою</w:t>
            </w:r>
            <w:proofErr w:type="spellEnd"/>
            <w:r w:rsidR="00B963E2" w:rsidRPr="00E16672">
              <w:rPr>
                <w:rFonts w:ascii="Times New Roman" w:hAnsi="Times New Roman"/>
                <w:color w:val="000000"/>
                <w:sz w:val="16"/>
                <w:szCs w:val="16"/>
              </w:rPr>
              <w:t xml:space="preserve">. </w:t>
            </w:r>
            <w:proofErr w:type="spellStart"/>
            <w:r w:rsidR="00B963E2" w:rsidRPr="00E16672">
              <w:rPr>
                <w:rFonts w:ascii="Times New Roman" w:hAnsi="Times New Roman"/>
                <w:color w:val="000000"/>
                <w:sz w:val="16"/>
                <w:szCs w:val="16"/>
              </w:rPr>
              <w:t>Операція</w:t>
            </w:r>
            <w:proofErr w:type="spellEnd"/>
            <w:r w:rsidR="00B963E2" w:rsidRPr="00E16672">
              <w:rPr>
                <w:rFonts w:ascii="Times New Roman" w:hAnsi="Times New Roman"/>
                <w:color w:val="000000"/>
                <w:sz w:val="16"/>
                <w:szCs w:val="16"/>
              </w:rPr>
              <w:t xml:space="preserve"> </w:t>
            </w:r>
            <w:proofErr w:type="spellStart"/>
            <w:r w:rsidR="00B963E2" w:rsidRPr="00E16672">
              <w:rPr>
                <w:rFonts w:ascii="Times New Roman" w:hAnsi="Times New Roman"/>
                <w:color w:val="000000"/>
                <w:sz w:val="16"/>
                <w:szCs w:val="16"/>
              </w:rPr>
              <w:t>закриття</w:t>
            </w:r>
            <w:proofErr w:type="spellEnd"/>
            <w:r w:rsidR="00B963E2" w:rsidRPr="00E16672">
              <w:rPr>
                <w:rFonts w:ascii="Times New Roman" w:hAnsi="Times New Roman"/>
                <w:color w:val="000000"/>
                <w:sz w:val="16"/>
                <w:szCs w:val="16"/>
              </w:rPr>
              <w:t xml:space="preserve"> </w:t>
            </w:r>
            <w:proofErr w:type="spellStart"/>
            <w:r w:rsidR="00B963E2" w:rsidRPr="00E16672">
              <w:rPr>
                <w:rFonts w:ascii="Times New Roman" w:hAnsi="Times New Roman"/>
                <w:color w:val="000000"/>
                <w:sz w:val="16"/>
                <w:szCs w:val="16"/>
              </w:rPr>
              <w:t>рахунку</w:t>
            </w:r>
            <w:proofErr w:type="spellEnd"/>
            <w:r w:rsidR="00B963E2" w:rsidRPr="00E16672">
              <w:rPr>
                <w:rFonts w:ascii="Times New Roman" w:hAnsi="Times New Roman"/>
                <w:color w:val="000000"/>
                <w:sz w:val="16"/>
                <w:szCs w:val="16"/>
              </w:rPr>
              <w:t xml:space="preserve"> </w:t>
            </w:r>
            <w:r w:rsidR="00C22309" w:rsidRPr="00E16672">
              <w:rPr>
                <w:rFonts w:ascii="Times New Roman" w:hAnsi="Times New Roman"/>
                <w:color w:val="000000"/>
                <w:sz w:val="16"/>
                <w:szCs w:val="16"/>
              </w:rPr>
              <w:t xml:space="preserve">в </w:t>
            </w:r>
            <w:proofErr w:type="spellStart"/>
            <w:r w:rsidR="00C22309" w:rsidRPr="00E16672">
              <w:rPr>
                <w:rFonts w:ascii="Times New Roman" w:hAnsi="Times New Roman"/>
                <w:color w:val="000000"/>
                <w:sz w:val="16"/>
                <w:szCs w:val="16"/>
              </w:rPr>
              <w:t>цін</w:t>
            </w:r>
            <w:r w:rsidR="00B963E2" w:rsidRPr="00E16672">
              <w:rPr>
                <w:rFonts w:ascii="Times New Roman" w:hAnsi="Times New Roman"/>
                <w:color w:val="000000"/>
                <w:sz w:val="16"/>
                <w:szCs w:val="16"/>
              </w:rPr>
              <w:t>них</w:t>
            </w:r>
            <w:proofErr w:type="spellEnd"/>
            <w:r w:rsidR="00B963E2" w:rsidRPr="00E16672">
              <w:rPr>
                <w:rFonts w:ascii="Times New Roman" w:hAnsi="Times New Roman"/>
                <w:color w:val="000000"/>
                <w:sz w:val="16"/>
                <w:szCs w:val="16"/>
              </w:rPr>
              <w:t xml:space="preserve"> </w:t>
            </w:r>
            <w:proofErr w:type="spellStart"/>
            <w:r w:rsidR="00B963E2" w:rsidRPr="00E16672">
              <w:rPr>
                <w:rFonts w:ascii="Times New Roman" w:hAnsi="Times New Roman"/>
                <w:color w:val="000000"/>
                <w:sz w:val="16"/>
                <w:szCs w:val="16"/>
              </w:rPr>
              <w:t>паперах</w:t>
            </w:r>
            <w:proofErr w:type="spellEnd"/>
            <w:r w:rsidR="00B963E2" w:rsidRPr="00E16672">
              <w:rPr>
                <w:rFonts w:ascii="Times New Roman" w:hAnsi="Times New Roman"/>
                <w:color w:val="000000"/>
                <w:sz w:val="16"/>
                <w:szCs w:val="16"/>
              </w:rPr>
              <w:t xml:space="preserve"> повинна бути оплачена до </w:t>
            </w:r>
            <w:proofErr w:type="spellStart"/>
            <w:r w:rsidR="00B963E2" w:rsidRPr="00E16672">
              <w:rPr>
                <w:rFonts w:ascii="Times New Roman" w:hAnsi="Times New Roman"/>
                <w:color w:val="000000"/>
                <w:sz w:val="16"/>
                <w:szCs w:val="16"/>
              </w:rPr>
              <w:t>виконання</w:t>
            </w:r>
            <w:proofErr w:type="spellEnd"/>
            <w:r w:rsidR="00B963E2" w:rsidRPr="00E16672">
              <w:rPr>
                <w:rFonts w:ascii="Times New Roman" w:hAnsi="Times New Roman"/>
                <w:color w:val="000000"/>
                <w:sz w:val="16"/>
                <w:szCs w:val="16"/>
              </w:rPr>
              <w:t xml:space="preserve"> </w:t>
            </w:r>
            <w:proofErr w:type="spellStart"/>
            <w:r w:rsidR="00B963E2" w:rsidRPr="00E16672">
              <w:rPr>
                <w:rFonts w:ascii="Times New Roman" w:hAnsi="Times New Roman"/>
                <w:color w:val="000000"/>
                <w:sz w:val="16"/>
                <w:szCs w:val="16"/>
              </w:rPr>
              <w:t>цієї</w:t>
            </w:r>
            <w:proofErr w:type="spellEnd"/>
            <w:r w:rsidR="00B963E2" w:rsidRPr="00E16672">
              <w:rPr>
                <w:rFonts w:ascii="Times New Roman" w:hAnsi="Times New Roman"/>
                <w:color w:val="000000"/>
                <w:sz w:val="16"/>
                <w:szCs w:val="16"/>
              </w:rPr>
              <w:t xml:space="preserve"> </w:t>
            </w:r>
            <w:proofErr w:type="spellStart"/>
            <w:r w:rsidR="00B963E2" w:rsidRPr="00E16672">
              <w:rPr>
                <w:rFonts w:ascii="Times New Roman" w:hAnsi="Times New Roman"/>
                <w:color w:val="000000"/>
                <w:sz w:val="16"/>
                <w:szCs w:val="16"/>
              </w:rPr>
              <w:t>послуги</w:t>
            </w:r>
            <w:proofErr w:type="spellEnd"/>
            <w:r w:rsidRPr="00E16672">
              <w:rPr>
                <w:rFonts w:ascii="Times New Roman" w:hAnsi="Times New Roman"/>
                <w:color w:val="000000"/>
                <w:sz w:val="16"/>
                <w:szCs w:val="16"/>
              </w:rPr>
              <w:t xml:space="preserve">.  </w:t>
            </w:r>
          </w:p>
          <w:p w14:paraId="55A850AA" w14:textId="77777777" w:rsidR="003A05A3" w:rsidRPr="00E16672" w:rsidRDefault="003A05A3" w:rsidP="00843027">
            <w:pPr>
              <w:pStyle w:val="310"/>
              <w:tabs>
                <w:tab w:val="left" w:pos="182"/>
              </w:tabs>
              <w:ind w:left="175" w:right="138" w:firstLine="7"/>
              <w:rPr>
                <w:rFonts w:ascii="Times New Roman" w:hAnsi="Times New Roman"/>
                <w:color w:val="000000"/>
                <w:sz w:val="16"/>
                <w:szCs w:val="16"/>
              </w:rPr>
            </w:pPr>
          </w:p>
        </w:tc>
        <w:tc>
          <w:tcPr>
            <w:tcW w:w="5494" w:type="dxa"/>
            <w:gridSpan w:val="6"/>
            <w:shd w:val="clear" w:color="auto" w:fill="auto"/>
          </w:tcPr>
          <w:p w14:paraId="352B77E7" w14:textId="77777777" w:rsidR="003A05A3" w:rsidRPr="00E16672" w:rsidRDefault="003A05A3" w:rsidP="00843027">
            <w:pPr>
              <w:tabs>
                <w:tab w:val="left" w:pos="182"/>
                <w:tab w:val="left" w:pos="287"/>
              </w:tabs>
              <w:snapToGrid w:val="0"/>
              <w:ind w:left="175" w:right="138" w:firstLine="7"/>
              <w:rPr>
                <w:rFonts w:ascii="Times New Roman" w:hAnsi="Times New Roman"/>
                <w:color w:val="000000"/>
                <w:sz w:val="16"/>
                <w:szCs w:val="16"/>
                <w:lang w:val="en-GB"/>
              </w:rPr>
            </w:pPr>
            <w:r w:rsidRPr="00E16672">
              <w:rPr>
                <w:rFonts w:ascii="Times New Roman" w:hAnsi="Times New Roman"/>
                <w:color w:val="000000"/>
                <w:sz w:val="16"/>
                <w:szCs w:val="16"/>
                <w:lang w:val="en-GB"/>
              </w:rPr>
              <w:lastRenderedPageBreak/>
              <w:t xml:space="preserve">4.4. A pay is brought by Depositor in cashless form till </w:t>
            </w:r>
            <w:r w:rsidRPr="00E16672">
              <w:rPr>
                <w:rFonts w:ascii="Times New Roman" w:hAnsi="Times New Roman"/>
                <w:i/>
                <w:color w:val="000000"/>
                <w:sz w:val="16"/>
                <w:szCs w:val="16"/>
                <w:lang w:val="en-US"/>
              </w:rPr>
              <w:t xml:space="preserve">eighty </w:t>
            </w:r>
            <w:r w:rsidRPr="00E16672">
              <w:rPr>
                <w:rFonts w:ascii="Times New Roman" w:hAnsi="Times New Roman"/>
                <w:i/>
                <w:color w:val="000000"/>
                <w:sz w:val="16"/>
                <w:szCs w:val="16"/>
                <w:lang w:val="en-GB"/>
              </w:rPr>
              <w:t>calendar days</w:t>
            </w:r>
            <w:r w:rsidRPr="00E16672">
              <w:rPr>
                <w:rFonts w:ascii="Times New Roman" w:hAnsi="Times New Roman"/>
                <w:color w:val="000000"/>
                <w:sz w:val="16"/>
                <w:szCs w:val="16"/>
                <w:lang w:val="en-GB"/>
              </w:rPr>
              <w:t xml:space="preserve"> from the day of </w:t>
            </w:r>
            <w:proofErr w:type="gramStart"/>
            <w:r w:rsidRPr="00E16672">
              <w:rPr>
                <w:rFonts w:ascii="Times New Roman" w:hAnsi="Times New Roman"/>
                <w:color w:val="000000"/>
                <w:sz w:val="16"/>
                <w:szCs w:val="16"/>
                <w:lang w:val="en-GB"/>
              </w:rPr>
              <w:t>signing  the</w:t>
            </w:r>
            <w:proofErr w:type="gramEnd"/>
            <w:r w:rsidRPr="00E16672">
              <w:rPr>
                <w:rFonts w:ascii="Times New Roman" w:hAnsi="Times New Roman"/>
                <w:color w:val="000000"/>
                <w:sz w:val="16"/>
                <w:szCs w:val="16"/>
                <w:lang w:val="en-GB"/>
              </w:rPr>
              <w:t xml:space="preserve">  Statement by Depositary institution by transfer </w:t>
            </w:r>
            <w:r w:rsidRPr="00E16672">
              <w:rPr>
                <w:rFonts w:ascii="Times New Roman" w:hAnsi="Times New Roman"/>
                <w:color w:val="000000"/>
                <w:sz w:val="16"/>
                <w:szCs w:val="16"/>
                <w:lang w:val="en-GB"/>
              </w:rPr>
              <w:lastRenderedPageBreak/>
              <w:t xml:space="preserve">funds  on the account of the Depository institution after for details, indicated by Depository institution.  Operation </w:t>
            </w:r>
            <w:proofErr w:type="gramStart"/>
            <w:r w:rsidRPr="00E16672">
              <w:rPr>
                <w:rFonts w:ascii="Times New Roman" w:hAnsi="Times New Roman"/>
                <w:color w:val="000000"/>
                <w:sz w:val="16"/>
                <w:szCs w:val="16"/>
                <w:lang w:val="en-GB"/>
              </w:rPr>
              <w:t>of  closing</w:t>
            </w:r>
            <w:proofErr w:type="gramEnd"/>
            <w:r w:rsidRPr="00E16672">
              <w:rPr>
                <w:rFonts w:ascii="Times New Roman" w:hAnsi="Times New Roman"/>
                <w:color w:val="000000"/>
                <w:sz w:val="16"/>
                <w:szCs w:val="16"/>
                <w:lang w:val="en-GB"/>
              </w:rPr>
              <w:t xml:space="preserve">  an account in securities has to be paid till  the fulfilling this service.</w:t>
            </w:r>
          </w:p>
          <w:p w14:paraId="5FA3B334" w14:textId="77777777" w:rsidR="003A05A3" w:rsidRPr="00E16672" w:rsidRDefault="003A05A3" w:rsidP="00843027">
            <w:pPr>
              <w:tabs>
                <w:tab w:val="left" w:pos="182"/>
                <w:tab w:val="left" w:pos="287"/>
              </w:tabs>
              <w:snapToGrid w:val="0"/>
              <w:ind w:left="175" w:right="138" w:firstLine="7"/>
              <w:rPr>
                <w:rFonts w:ascii="Times New Roman" w:hAnsi="Times New Roman"/>
                <w:bCs/>
                <w:color w:val="000000"/>
                <w:sz w:val="16"/>
                <w:szCs w:val="16"/>
                <w:lang w:val="en-GB"/>
              </w:rPr>
            </w:pPr>
          </w:p>
        </w:tc>
      </w:tr>
      <w:tr w:rsidR="003A05A3" w:rsidRPr="00F23413" w14:paraId="5D539E1E" w14:textId="77777777" w:rsidTr="00242F58">
        <w:trPr>
          <w:trHeight w:val="192"/>
        </w:trPr>
        <w:tc>
          <w:tcPr>
            <w:tcW w:w="5696" w:type="dxa"/>
            <w:gridSpan w:val="8"/>
            <w:shd w:val="clear" w:color="auto" w:fill="auto"/>
          </w:tcPr>
          <w:p w14:paraId="06B99C8B" w14:textId="77777777" w:rsidR="003A05A3" w:rsidRPr="00E16672" w:rsidRDefault="003A05A3" w:rsidP="00843027">
            <w:pPr>
              <w:tabs>
                <w:tab w:val="left" w:pos="182"/>
              </w:tabs>
              <w:snapToGrid w:val="0"/>
              <w:ind w:left="175" w:right="138" w:firstLine="7"/>
              <w:rPr>
                <w:rFonts w:ascii="Times New Roman" w:hAnsi="Times New Roman"/>
                <w:sz w:val="16"/>
                <w:szCs w:val="16"/>
              </w:rPr>
            </w:pPr>
            <w:r w:rsidRPr="00E16672">
              <w:rPr>
                <w:rFonts w:ascii="Times New Roman" w:hAnsi="Times New Roman"/>
                <w:sz w:val="16"/>
                <w:szCs w:val="16"/>
              </w:rPr>
              <w:lastRenderedPageBreak/>
              <w:t xml:space="preserve">4.5. У </w:t>
            </w:r>
            <w:proofErr w:type="spellStart"/>
            <w:r w:rsidRPr="00E16672">
              <w:rPr>
                <w:rFonts w:ascii="Times New Roman" w:hAnsi="Times New Roman"/>
                <w:sz w:val="16"/>
                <w:szCs w:val="16"/>
              </w:rPr>
              <w:t>разі</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припинення</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дії</w:t>
            </w:r>
            <w:proofErr w:type="spellEnd"/>
            <w:r w:rsidRPr="00E16672">
              <w:rPr>
                <w:rFonts w:ascii="Times New Roman" w:hAnsi="Times New Roman"/>
                <w:sz w:val="16"/>
                <w:szCs w:val="16"/>
              </w:rPr>
              <w:t xml:space="preserve"> Договору Депонент </w:t>
            </w:r>
            <w:proofErr w:type="spellStart"/>
            <w:r w:rsidRPr="00E16672">
              <w:rPr>
                <w:rFonts w:ascii="Times New Roman" w:hAnsi="Times New Roman"/>
                <w:sz w:val="16"/>
                <w:szCs w:val="16"/>
              </w:rPr>
              <w:t>зобов’язаний</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сплатити</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фактично</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надані</w:t>
            </w:r>
            <w:proofErr w:type="spellEnd"/>
            <w:r w:rsidRPr="00E16672">
              <w:rPr>
                <w:rFonts w:ascii="Times New Roman" w:hAnsi="Times New Roman"/>
                <w:sz w:val="16"/>
                <w:szCs w:val="16"/>
              </w:rPr>
              <w:t xml:space="preserve"> Депозитарною </w:t>
            </w:r>
            <w:proofErr w:type="spellStart"/>
            <w:r w:rsidRPr="00E16672">
              <w:rPr>
                <w:rFonts w:ascii="Times New Roman" w:hAnsi="Times New Roman"/>
                <w:sz w:val="16"/>
                <w:szCs w:val="16"/>
              </w:rPr>
              <w:t>установою</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послуги</w:t>
            </w:r>
            <w:proofErr w:type="spellEnd"/>
            <w:r w:rsidRPr="00E16672">
              <w:rPr>
                <w:rFonts w:ascii="Times New Roman" w:hAnsi="Times New Roman"/>
                <w:sz w:val="16"/>
                <w:szCs w:val="16"/>
              </w:rPr>
              <w:t xml:space="preserve"> </w:t>
            </w:r>
            <w:proofErr w:type="gramStart"/>
            <w:r w:rsidRPr="00E16672">
              <w:rPr>
                <w:rFonts w:ascii="Times New Roman" w:hAnsi="Times New Roman"/>
                <w:sz w:val="16"/>
                <w:szCs w:val="16"/>
              </w:rPr>
              <w:t>до моменту</w:t>
            </w:r>
            <w:proofErr w:type="gramEnd"/>
            <w:r w:rsidRPr="00E16672">
              <w:rPr>
                <w:rFonts w:ascii="Times New Roman" w:hAnsi="Times New Roman"/>
                <w:sz w:val="16"/>
                <w:szCs w:val="16"/>
              </w:rPr>
              <w:t xml:space="preserve"> </w:t>
            </w:r>
            <w:proofErr w:type="spellStart"/>
            <w:r w:rsidRPr="00E16672">
              <w:rPr>
                <w:rFonts w:ascii="Times New Roman" w:hAnsi="Times New Roman"/>
                <w:sz w:val="16"/>
                <w:szCs w:val="16"/>
              </w:rPr>
              <w:t>припинення</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дії</w:t>
            </w:r>
            <w:proofErr w:type="spellEnd"/>
            <w:r w:rsidRPr="00E16672">
              <w:rPr>
                <w:rFonts w:ascii="Times New Roman" w:hAnsi="Times New Roman"/>
                <w:sz w:val="16"/>
                <w:szCs w:val="16"/>
              </w:rPr>
              <w:t xml:space="preserve"> Договору.</w:t>
            </w:r>
          </w:p>
          <w:p w14:paraId="19B72A9C" w14:textId="77777777" w:rsidR="003A05A3" w:rsidRPr="00E16672" w:rsidRDefault="003A05A3" w:rsidP="00843027">
            <w:pPr>
              <w:pStyle w:val="310"/>
              <w:tabs>
                <w:tab w:val="left" w:pos="182"/>
              </w:tabs>
              <w:ind w:left="175" w:right="138" w:firstLine="7"/>
              <w:rPr>
                <w:rFonts w:ascii="Times New Roman" w:hAnsi="Times New Roman"/>
                <w:sz w:val="16"/>
                <w:szCs w:val="16"/>
              </w:rPr>
            </w:pPr>
          </w:p>
        </w:tc>
        <w:tc>
          <w:tcPr>
            <w:tcW w:w="5494" w:type="dxa"/>
            <w:gridSpan w:val="6"/>
            <w:shd w:val="clear" w:color="auto" w:fill="auto"/>
          </w:tcPr>
          <w:p w14:paraId="22EA594C" w14:textId="77777777" w:rsidR="003A05A3" w:rsidRPr="00E16672" w:rsidRDefault="003A05A3" w:rsidP="00843027">
            <w:pPr>
              <w:tabs>
                <w:tab w:val="left" w:pos="182"/>
                <w:tab w:val="left" w:pos="287"/>
              </w:tabs>
              <w:snapToGrid w:val="0"/>
              <w:ind w:left="145" w:right="100" w:firstLine="7"/>
              <w:rPr>
                <w:rFonts w:ascii="Times New Roman" w:hAnsi="Times New Roman"/>
                <w:sz w:val="16"/>
                <w:szCs w:val="16"/>
                <w:lang w:val="en-GB"/>
              </w:rPr>
            </w:pPr>
            <w:r w:rsidRPr="00E16672">
              <w:rPr>
                <w:rFonts w:ascii="Times New Roman" w:hAnsi="Times New Roman"/>
                <w:sz w:val="16"/>
                <w:szCs w:val="16"/>
                <w:lang w:val="en-GB"/>
              </w:rPr>
              <w:t>4.5.  In the event of termination of the Agreement Depositor shall pay the actual services provided by Depository institutions at the time of termination of the Agreement.</w:t>
            </w:r>
          </w:p>
          <w:p w14:paraId="13707C0C" w14:textId="77777777" w:rsidR="003A05A3" w:rsidRPr="00E16672" w:rsidRDefault="003A05A3" w:rsidP="00843027">
            <w:pPr>
              <w:tabs>
                <w:tab w:val="left" w:pos="182"/>
                <w:tab w:val="left" w:pos="287"/>
              </w:tabs>
              <w:ind w:left="145" w:right="100" w:firstLine="7"/>
              <w:rPr>
                <w:rFonts w:ascii="Times New Roman" w:hAnsi="Times New Roman"/>
                <w:sz w:val="16"/>
                <w:szCs w:val="16"/>
                <w:shd w:val="clear" w:color="auto" w:fill="FFFFFF"/>
                <w:lang w:val="en-GB"/>
              </w:rPr>
            </w:pPr>
          </w:p>
        </w:tc>
      </w:tr>
      <w:tr w:rsidR="003A05A3" w:rsidRPr="00F23413" w14:paraId="35DCB851" w14:textId="77777777" w:rsidTr="00242F58">
        <w:trPr>
          <w:trHeight w:val="192"/>
        </w:trPr>
        <w:tc>
          <w:tcPr>
            <w:tcW w:w="5696" w:type="dxa"/>
            <w:gridSpan w:val="8"/>
            <w:shd w:val="clear" w:color="auto" w:fill="auto"/>
          </w:tcPr>
          <w:p w14:paraId="6BE5C2DB" w14:textId="77777777" w:rsidR="003A05A3" w:rsidRPr="00E16672" w:rsidRDefault="003A05A3" w:rsidP="00843027">
            <w:pPr>
              <w:tabs>
                <w:tab w:val="left" w:pos="182"/>
              </w:tabs>
              <w:snapToGrid w:val="0"/>
              <w:ind w:left="175" w:right="138" w:firstLine="7"/>
              <w:rPr>
                <w:rFonts w:ascii="Times New Roman" w:hAnsi="Times New Roman"/>
                <w:color w:val="000000"/>
                <w:sz w:val="16"/>
                <w:szCs w:val="16"/>
                <w:lang w:val="uk-UA"/>
              </w:rPr>
            </w:pPr>
            <w:r w:rsidRPr="00E16672">
              <w:rPr>
                <w:rFonts w:ascii="Times New Roman" w:hAnsi="Times New Roman"/>
                <w:color w:val="000000"/>
                <w:sz w:val="16"/>
                <w:szCs w:val="16"/>
                <w:lang w:val="uk-UA"/>
              </w:rPr>
              <w:t>4.6. Надання депозитарних послуг Депоненту може бути призупинено Депозитарною установою у разі відсутності належної оплати послуг Депозитарної установи з боку Депонента до повного погашення заборгованості.</w:t>
            </w:r>
          </w:p>
          <w:p w14:paraId="68714338" w14:textId="77777777" w:rsidR="003A05A3" w:rsidRPr="00E16672" w:rsidRDefault="003A05A3" w:rsidP="00843027">
            <w:pPr>
              <w:tabs>
                <w:tab w:val="left" w:pos="182"/>
              </w:tabs>
              <w:snapToGrid w:val="0"/>
              <w:ind w:left="175" w:right="138" w:firstLine="7"/>
              <w:rPr>
                <w:rFonts w:ascii="Times New Roman" w:hAnsi="Times New Roman"/>
                <w:color w:val="000000"/>
                <w:sz w:val="16"/>
                <w:szCs w:val="16"/>
              </w:rPr>
            </w:pPr>
          </w:p>
        </w:tc>
        <w:tc>
          <w:tcPr>
            <w:tcW w:w="5494" w:type="dxa"/>
            <w:gridSpan w:val="6"/>
            <w:shd w:val="clear" w:color="auto" w:fill="auto"/>
          </w:tcPr>
          <w:p w14:paraId="5C2C9854" w14:textId="77777777" w:rsidR="003A05A3" w:rsidRPr="00E16672" w:rsidRDefault="003A05A3" w:rsidP="00843027">
            <w:pPr>
              <w:tabs>
                <w:tab w:val="left" w:pos="182"/>
                <w:tab w:val="left" w:pos="287"/>
              </w:tabs>
              <w:snapToGrid w:val="0"/>
              <w:ind w:left="145" w:right="100" w:firstLine="7"/>
              <w:rPr>
                <w:rFonts w:ascii="Times New Roman" w:hAnsi="Times New Roman"/>
                <w:color w:val="000000"/>
                <w:sz w:val="16"/>
                <w:szCs w:val="16"/>
                <w:lang w:val="en-US"/>
              </w:rPr>
            </w:pPr>
            <w:r w:rsidRPr="00E16672">
              <w:rPr>
                <w:rFonts w:ascii="Times New Roman" w:hAnsi="Times New Roman"/>
                <w:color w:val="000000"/>
                <w:sz w:val="16"/>
                <w:szCs w:val="16"/>
                <w:lang w:val="uk-UA"/>
              </w:rPr>
              <w:t xml:space="preserve">4.6. </w:t>
            </w:r>
            <w:proofErr w:type="spellStart"/>
            <w:r w:rsidRPr="00E16672">
              <w:rPr>
                <w:rFonts w:ascii="Times New Roman" w:hAnsi="Times New Roman"/>
                <w:color w:val="000000"/>
                <w:sz w:val="16"/>
                <w:szCs w:val="16"/>
                <w:lang w:val="uk-UA"/>
              </w:rPr>
              <w:t>Providing</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depositary</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services</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to</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Depositor</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may</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be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suspended</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by</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Depository</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institution</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in</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the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absence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of</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proper</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payment</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to</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the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Depository</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institution</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by</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the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Depositor</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to</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the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full</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repayment</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of</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debt</w:t>
            </w:r>
            <w:proofErr w:type="spellEnd"/>
            <w:r w:rsidRPr="00E16672">
              <w:rPr>
                <w:rFonts w:ascii="Times New Roman" w:hAnsi="Times New Roman"/>
                <w:color w:val="000000"/>
                <w:sz w:val="16"/>
                <w:szCs w:val="16"/>
                <w:lang w:val="uk-UA"/>
              </w:rPr>
              <w:t>.</w:t>
            </w:r>
          </w:p>
        </w:tc>
      </w:tr>
      <w:tr w:rsidR="003A05A3" w:rsidRPr="00F23413" w14:paraId="24B1EDAE" w14:textId="77777777" w:rsidTr="00242F58">
        <w:trPr>
          <w:trHeight w:val="192"/>
        </w:trPr>
        <w:tc>
          <w:tcPr>
            <w:tcW w:w="5696" w:type="dxa"/>
            <w:gridSpan w:val="8"/>
            <w:shd w:val="clear" w:color="auto" w:fill="auto"/>
          </w:tcPr>
          <w:p w14:paraId="6F97C12E" w14:textId="77777777" w:rsidR="003A05A3" w:rsidRPr="00E16672" w:rsidRDefault="003A05A3" w:rsidP="00843027">
            <w:pPr>
              <w:snapToGrid w:val="0"/>
              <w:ind w:left="175" w:right="138"/>
              <w:jc w:val="center"/>
              <w:rPr>
                <w:rFonts w:ascii="Times New Roman" w:hAnsi="Times New Roman"/>
                <w:b/>
                <w:caps/>
                <w:sz w:val="16"/>
                <w:szCs w:val="16"/>
              </w:rPr>
            </w:pPr>
            <w:r w:rsidRPr="00E16672">
              <w:rPr>
                <w:rFonts w:ascii="Times New Roman" w:hAnsi="Times New Roman"/>
                <w:b/>
                <w:caps/>
                <w:sz w:val="16"/>
                <w:szCs w:val="16"/>
              </w:rPr>
              <w:t>5. Відповідальність Сторін</w:t>
            </w:r>
          </w:p>
          <w:p w14:paraId="2BDB0609" w14:textId="77777777" w:rsidR="003A05A3" w:rsidRPr="00E16672" w:rsidRDefault="003A05A3" w:rsidP="00843027">
            <w:pPr>
              <w:ind w:left="175" w:right="138"/>
              <w:jc w:val="center"/>
              <w:rPr>
                <w:rFonts w:ascii="Times New Roman" w:hAnsi="Times New Roman"/>
                <w:b/>
                <w:caps/>
                <w:sz w:val="16"/>
                <w:szCs w:val="16"/>
              </w:rPr>
            </w:pPr>
            <w:r w:rsidRPr="00E16672">
              <w:rPr>
                <w:rFonts w:ascii="Times New Roman" w:hAnsi="Times New Roman"/>
                <w:b/>
                <w:caps/>
                <w:sz w:val="16"/>
                <w:szCs w:val="16"/>
              </w:rPr>
              <w:t>Порядок розгляду спорів, що можуть виникнути між сторонами в процесі виконання, зміни чи розірвання Договору.</w:t>
            </w:r>
          </w:p>
          <w:p w14:paraId="0C8358B8" w14:textId="77777777" w:rsidR="003A05A3" w:rsidRPr="00E16672" w:rsidRDefault="003A05A3" w:rsidP="00843027">
            <w:pPr>
              <w:ind w:left="175" w:right="138"/>
              <w:jc w:val="center"/>
              <w:rPr>
                <w:rFonts w:ascii="Times New Roman" w:hAnsi="Times New Roman"/>
                <w:b/>
                <w:caps/>
                <w:sz w:val="16"/>
                <w:szCs w:val="16"/>
              </w:rPr>
            </w:pPr>
          </w:p>
          <w:p w14:paraId="25EF4F55" w14:textId="77777777" w:rsidR="003A05A3" w:rsidRPr="00E16672" w:rsidRDefault="003A05A3" w:rsidP="00843027">
            <w:pPr>
              <w:ind w:left="175" w:right="138" w:firstLine="0"/>
              <w:rPr>
                <w:rFonts w:ascii="Times New Roman" w:hAnsi="Times New Roman"/>
                <w:sz w:val="16"/>
                <w:szCs w:val="16"/>
              </w:rPr>
            </w:pPr>
            <w:r w:rsidRPr="00E16672">
              <w:rPr>
                <w:rFonts w:ascii="Times New Roman" w:hAnsi="Times New Roman"/>
                <w:sz w:val="16"/>
                <w:szCs w:val="16"/>
              </w:rPr>
              <w:t xml:space="preserve">5.1. </w:t>
            </w:r>
            <w:proofErr w:type="spellStart"/>
            <w:r w:rsidRPr="00E16672">
              <w:rPr>
                <w:rFonts w:ascii="Times New Roman" w:hAnsi="Times New Roman"/>
                <w:sz w:val="16"/>
                <w:szCs w:val="16"/>
              </w:rPr>
              <w:t>Кожна</w:t>
            </w:r>
            <w:proofErr w:type="spellEnd"/>
            <w:r w:rsidRPr="00E16672">
              <w:rPr>
                <w:rFonts w:ascii="Times New Roman" w:hAnsi="Times New Roman"/>
                <w:sz w:val="16"/>
                <w:szCs w:val="16"/>
              </w:rPr>
              <w:t xml:space="preserve"> сторона </w:t>
            </w:r>
            <w:proofErr w:type="spellStart"/>
            <w:r w:rsidRPr="00E16672">
              <w:rPr>
                <w:rFonts w:ascii="Times New Roman" w:hAnsi="Times New Roman"/>
                <w:sz w:val="16"/>
                <w:szCs w:val="16"/>
              </w:rPr>
              <w:t>зобов’язується</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виконувати</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свої</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обов’язки</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належним</w:t>
            </w:r>
            <w:proofErr w:type="spellEnd"/>
            <w:r w:rsidRPr="00E16672">
              <w:rPr>
                <w:rFonts w:ascii="Times New Roman" w:hAnsi="Times New Roman"/>
                <w:sz w:val="16"/>
                <w:szCs w:val="16"/>
              </w:rPr>
              <w:t xml:space="preserve"> чином та </w:t>
            </w:r>
            <w:proofErr w:type="spellStart"/>
            <w:r w:rsidRPr="00E16672">
              <w:rPr>
                <w:rFonts w:ascii="Times New Roman" w:hAnsi="Times New Roman"/>
                <w:sz w:val="16"/>
                <w:szCs w:val="16"/>
              </w:rPr>
              <w:t>сприяти</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іншій</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стороні</w:t>
            </w:r>
            <w:proofErr w:type="spellEnd"/>
            <w:r w:rsidRPr="00E16672">
              <w:rPr>
                <w:rFonts w:ascii="Times New Roman" w:hAnsi="Times New Roman"/>
                <w:sz w:val="16"/>
                <w:szCs w:val="16"/>
              </w:rPr>
              <w:t xml:space="preserve"> у </w:t>
            </w:r>
            <w:proofErr w:type="spellStart"/>
            <w:r w:rsidRPr="00E16672">
              <w:rPr>
                <w:rFonts w:ascii="Times New Roman" w:hAnsi="Times New Roman"/>
                <w:sz w:val="16"/>
                <w:szCs w:val="16"/>
              </w:rPr>
              <w:t>виконанні</w:t>
            </w:r>
            <w:proofErr w:type="spellEnd"/>
            <w:r w:rsidRPr="00E16672">
              <w:rPr>
                <w:rFonts w:ascii="Times New Roman" w:hAnsi="Times New Roman"/>
                <w:sz w:val="16"/>
                <w:szCs w:val="16"/>
              </w:rPr>
              <w:t>.</w:t>
            </w:r>
          </w:p>
          <w:p w14:paraId="68C3241A" w14:textId="77777777" w:rsidR="003A05A3" w:rsidRPr="00E16672" w:rsidRDefault="003A05A3" w:rsidP="00843027">
            <w:pPr>
              <w:ind w:left="175" w:right="138"/>
              <w:rPr>
                <w:rFonts w:ascii="Times New Roman" w:hAnsi="Times New Roman"/>
                <w:sz w:val="16"/>
                <w:szCs w:val="16"/>
              </w:rPr>
            </w:pPr>
          </w:p>
        </w:tc>
        <w:tc>
          <w:tcPr>
            <w:tcW w:w="5494" w:type="dxa"/>
            <w:gridSpan w:val="6"/>
            <w:shd w:val="clear" w:color="auto" w:fill="auto"/>
          </w:tcPr>
          <w:p w14:paraId="214CEA70" w14:textId="77777777" w:rsidR="003A05A3" w:rsidRPr="00E16672" w:rsidRDefault="003A05A3" w:rsidP="00843027">
            <w:pPr>
              <w:pStyle w:val="210"/>
              <w:tabs>
                <w:tab w:val="left" w:pos="287"/>
                <w:tab w:val="left" w:pos="1191"/>
              </w:tabs>
              <w:snapToGrid w:val="0"/>
              <w:ind w:left="145" w:right="100" w:firstLine="0"/>
              <w:jc w:val="center"/>
              <w:rPr>
                <w:rFonts w:ascii="Times New Roman" w:hAnsi="Times New Roman"/>
                <w:b/>
                <w:caps/>
                <w:sz w:val="16"/>
                <w:szCs w:val="16"/>
              </w:rPr>
            </w:pPr>
            <w:r w:rsidRPr="00E16672">
              <w:rPr>
                <w:rFonts w:ascii="Times New Roman" w:hAnsi="Times New Roman"/>
                <w:b/>
                <w:caps/>
                <w:sz w:val="16"/>
                <w:szCs w:val="16"/>
              </w:rPr>
              <w:t xml:space="preserve">5. RESPONSIBILITIES OF THE PARTIES </w:t>
            </w:r>
          </w:p>
          <w:p w14:paraId="1ECAA13B" w14:textId="77777777" w:rsidR="003A05A3" w:rsidRPr="00E16672" w:rsidRDefault="003A05A3" w:rsidP="00843027">
            <w:pPr>
              <w:pStyle w:val="210"/>
              <w:tabs>
                <w:tab w:val="left" w:pos="287"/>
                <w:tab w:val="left" w:pos="1191"/>
              </w:tabs>
              <w:ind w:left="145" w:right="100" w:firstLine="0"/>
              <w:jc w:val="center"/>
              <w:rPr>
                <w:rFonts w:ascii="Times New Roman" w:hAnsi="Times New Roman"/>
                <w:b/>
                <w:caps/>
                <w:sz w:val="16"/>
                <w:szCs w:val="16"/>
              </w:rPr>
            </w:pPr>
            <w:r w:rsidRPr="00E16672">
              <w:rPr>
                <w:rFonts w:ascii="Times New Roman" w:hAnsi="Times New Roman"/>
                <w:b/>
                <w:caps/>
                <w:sz w:val="16"/>
                <w:szCs w:val="16"/>
              </w:rPr>
              <w:t xml:space="preserve">PROCEDURE hear disputes that may arise between the parties in the process, change or </w:t>
            </w:r>
            <w:r w:rsidRPr="00E16672">
              <w:rPr>
                <w:rFonts w:ascii="Times New Roman" w:hAnsi="Times New Roman"/>
                <w:b/>
                <w:caps/>
                <w:sz w:val="16"/>
                <w:szCs w:val="16"/>
                <w:lang w:val="en-US"/>
              </w:rPr>
              <w:t>agreement</w:t>
            </w:r>
            <w:r w:rsidRPr="00E16672">
              <w:rPr>
                <w:rFonts w:ascii="Times New Roman" w:hAnsi="Times New Roman"/>
                <w:b/>
                <w:caps/>
                <w:sz w:val="16"/>
                <w:szCs w:val="16"/>
              </w:rPr>
              <w:t xml:space="preserve"> termination.</w:t>
            </w:r>
          </w:p>
          <w:p w14:paraId="5E982667" w14:textId="77777777" w:rsidR="003A05A3" w:rsidRPr="00E16672" w:rsidRDefault="003A05A3" w:rsidP="00843027">
            <w:pPr>
              <w:pStyle w:val="210"/>
              <w:tabs>
                <w:tab w:val="left" w:pos="287"/>
                <w:tab w:val="left" w:pos="1191"/>
              </w:tabs>
              <w:ind w:left="145" w:right="100" w:firstLine="0"/>
              <w:jc w:val="center"/>
              <w:rPr>
                <w:rFonts w:ascii="Times New Roman" w:hAnsi="Times New Roman"/>
                <w:b/>
                <w:caps/>
                <w:sz w:val="16"/>
                <w:szCs w:val="16"/>
                <w:lang w:val="en-US"/>
              </w:rPr>
            </w:pPr>
          </w:p>
          <w:p w14:paraId="0E0632AF" w14:textId="77777777" w:rsidR="003A05A3" w:rsidRPr="00E16672" w:rsidRDefault="003A05A3" w:rsidP="00843027">
            <w:pPr>
              <w:tabs>
                <w:tab w:val="left" w:pos="287"/>
              </w:tabs>
              <w:ind w:left="145" w:right="100" w:firstLine="0"/>
              <w:rPr>
                <w:rFonts w:ascii="Times New Roman" w:hAnsi="Times New Roman"/>
                <w:sz w:val="16"/>
                <w:szCs w:val="16"/>
                <w:lang w:val="en-GB"/>
              </w:rPr>
            </w:pPr>
            <w:r w:rsidRPr="00E16672">
              <w:rPr>
                <w:rFonts w:ascii="Times New Roman" w:hAnsi="Times New Roman"/>
                <w:sz w:val="16"/>
                <w:szCs w:val="16"/>
                <w:lang w:val="en-GB"/>
              </w:rPr>
              <w:t xml:space="preserve">5.1. The parties are obliged to </w:t>
            </w:r>
            <w:proofErr w:type="spellStart"/>
            <w:r w:rsidRPr="00E16672">
              <w:rPr>
                <w:rFonts w:ascii="Times New Roman" w:hAnsi="Times New Roman"/>
                <w:sz w:val="16"/>
                <w:szCs w:val="16"/>
                <w:lang w:val="en-GB"/>
              </w:rPr>
              <w:t>fulfill</w:t>
            </w:r>
            <w:proofErr w:type="spellEnd"/>
            <w:r w:rsidRPr="00E16672">
              <w:rPr>
                <w:rFonts w:ascii="Times New Roman" w:hAnsi="Times New Roman"/>
                <w:sz w:val="16"/>
                <w:szCs w:val="16"/>
                <w:lang w:val="en-GB"/>
              </w:rPr>
              <w:t xml:space="preserve"> the responsibilities properly and to promote one another in their realization.</w:t>
            </w:r>
          </w:p>
          <w:p w14:paraId="1ED32151" w14:textId="77777777" w:rsidR="003A05A3" w:rsidRPr="00E16672" w:rsidRDefault="003A05A3" w:rsidP="00843027">
            <w:pPr>
              <w:tabs>
                <w:tab w:val="left" w:pos="287"/>
              </w:tabs>
              <w:ind w:left="145" w:right="100"/>
              <w:jc w:val="center"/>
              <w:rPr>
                <w:rFonts w:ascii="Times New Roman" w:hAnsi="Times New Roman"/>
                <w:b/>
                <w:bCs/>
                <w:sz w:val="16"/>
                <w:szCs w:val="16"/>
                <w:lang w:val="en-GB"/>
              </w:rPr>
            </w:pPr>
          </w:p>
        </w:tc>
      </w:tr>
      <w:tr w:rsidR="003A05A3" w:rsidRPr="00F23413" w14:paraId="6506ADAC" w14:textId="77777777" w:rsidTr="00242F58">
        <w:trPr>
          <w:trHeight w:val="192"/>
        </w:trPr>
        <w:tc>
          <w:tcPr>
            <w:tcW w:w="5696" w:type="dxa"/>
            <w:gridSpan w:val="8"/>
            <w:shd w:val="clear" w:color="auto" w:fill="auto"/>
          </w:tcPr>
          <w:p w14:paraId="58F7EA1A" w14:textId="77777777" w:rsidR="003A05A3" w:rsidRPr="00E16672" w:rsidRDefault="003A05A3" w:rsidP="00843027">
            <w:pPr>
              <w:snapToGrid w:val="0"/>
              <w:ind w:left="175" w:right="138" w:firstLine="7"/>
              <w:rPr>
                <w:rFonts w:ascii="Times New Roman" w:hAnsi="Times New Roman"/>
                <w:sz w:val="16"/>
                <w:szCs w:val="16"/>
              </w:rPr>
            </w:pPr>
            <w:r w:rsidRPr="00E16672">
              <w:rPr>
                <w:rFonts w:ascii="Times New Roman" w:hAnsi="Times New Roman"/>
                <w:sz w:val="16"/>
                <w:szCs w:val="16"/>
              </w:rPr>
              <w:t xml:space="preserve">5.2. </w:t>
            </w:r>
            <w:proofErr w:type="spellStart"/>
            <w:r w:rsidRPr="00E16672">
              <w:rPr>
                <w:rFonts w:ascii="Times New Roman" w:hAnsi="Times New Roman"/>
                <w:sz w:val="16"/>
                <w:szCs w:val="16"/>
              </w:rPr>
              <w:t>Обмін</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розпорядженнями</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повідомленнями</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інформацією</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що</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надається</w:t>
            </w:r>
            <w:proofErr w:type="spellEnd"/>
            <w:r w:rsidRPr="00E16672">
              <w:rPr>
                <w:rFonts w:ascii="Times New Roman" w:hAnsi="Times New Roman"/>
                <w:sz w:val="16"/>
                <w:szCs w:val="16"/>
              </w:rPr>
              <w:t xml:space="preserve"> у </w:t>
            </w:r>
            <w:proofErr w:type="spellStart"/>
            <w:r w:rsidRPr="00E16672">
              <w:rPr>
                <w:rFonts w:ascii="Times New Roman" w:hAnsi="Times New Roman"/>
                <w:sz w:val="16"/>
                <w:szCs w:val="16"/>
              </w:rPr>
              <w:t>зв’язку</w:t>
            </w:r>
            <w:proofErr w:type="spellEnd"/>
            <w:r w:rsidRPr="00E16672">
              <w:rPr>
                <w:rFonts w:ascii="Times New Roman" w:hAnsi="Times New Roman"/>
                <w:sz w:val="16"/>
                <w:szCs w:val="16"/>
              </w:rPr>
              <w:t xml:space="preserve"> з </w:t>
            </w:r>
            <w:proofErr w:type="spellStart"/>
            <w:r w:rsidRPr="00E16672">
              <w:rPr>
                <w:rFonts w:ascii="Times New Roman" w:hAnsi="Times New Roman"/>
                <w:sz w:val="16"/>
                <w:szCs w:val="16"/>
              </w:rPr>
              <w:t>виконанням</w:t>
            </w:r>
            <w:proofErr w:type="spellEnd"/>
            <w:r w:rsidRPr="00E16672">
              <w:rPr>
                <w:rFonts w:ascii="Times New Roman" w:hAnsi="Times New Roman"/>
                <w:sz w:val="16"/>
                <w:szCs w:val="16"/>
              </w:rPr>
              <w:t xml:space="preserve"> Сторонами Договору</w:t>
            </w:r>
            <w:r w:rsidRPr="00E16672">
              <w:rPr>
                <w:rFonts w:ascii="Times New Roman" w:hAnsi="Times New Roman"/>
                <w:sz w:val="16"/>
                <w:szCs w:val="16"/>
                <w:lang w:val="uk-UA"/>
              </w:rPr>
              <w:t xml:space="preserve">, здійснюється </w:t>
            </w:r>
            <w:proofErr w:type="gramStart"/>
            <w:r w:rsidRPr="00E16672">
              <w:rPr>
                <w:rFonts w:ascii="Times New Roman" w:hAnsi="Times New Roman"/>
                <w:sz w:val="16"/>
                <w:szCs w:val="16"/>
                <w:lang w:val="uk-UA"/>
              </w:rPr>
              <w:t>в порядку</w:t>
            </w:r>
            <w:proofErr w:type="gramEnd"/>
            <w:r w:rsidRPr="00E16672">
              <w:rPr>
                <w:rFonts w:ascii="Times New Roman" w:hAnsi="Times New Roman"/>
                <w:sz w:val="16"/>
                <w:szCs w:val="16"/>
                <w:lang w:val="uk-UA"/>
              </w:rPr>
              <w:t>, визначеному Договором, внутрішніми документами Депозитарної установи та законодавством.</w:t>
            </w:r>
          </w:p>
          <w:p w14:paraId="39DCC2A2" w14:textId="77777777" w:rsidR="003A05A3" w:rsidRPr="00E16672" w:rsidRDefault="003A05A3" w:rsidP="00843027">
            <w:pPr>
              <w:snapToGrid w:val="0"/>
              <w:ind w:left="175" w:right="138" w:firstLine="7"/>
              <w:rPr>
                <w:rFonts w:ascii="Times New Roman" w:hAnsi="Times New Roman"/>
                <w:sz w:val="16"/>
                <w:szCs w:val="16"/>
              </w:rPr>
            </w:pPr>
            <w:r w:rsidRPr="00E16672">
              <w:rPr>
                <w:rFonts w:ascii="Times New Roman" w:hAnsi="Times New Roman"/>
                <w:sz w:val="16"/>
                <w:szCs w:val="16"/>
              </w:rPr>
              <w:t xml:space="preserve"> </w:t>
            </w:r>
          </w:p>
        </w:tc>
        <w:tc>
          <w:tcPr>
            <w:tcW w:w="5494" w:type="dxa"/>
            <w:gridSpan w:val="6"/>
            <w:shd w:val="clear" w:color="auto" w:fill="auto"/>
          </w:tcPr>
          <w:p w14:paraId="65239CDD" w14:textId="77777777" w:rsidR="003A05A3" w:rsidRPr="00E16672" w:rsidRDefault="003A05A3" w:rsidP="00843027">
            <w:pPr>
              <w:pStyle w:val="210"/>
              <w:tabs>
                <w:tab w:val="left" w:pos="287"/>
                <w:tab w:val="left" w:pos="1362"/>
              </w:tabs>
              <w:snapToGrid w:val="0"/>
              <w:ind w:left="175" w:right="100" w:firstLine="7"/>
              <w:rPr>
                <w:rFonts w:ascii="Times New Roman" w:hAnsi="Times New Roman"/>
                <w:sz w:val="16"/>
                <w:szCs w:val="16"/>
                <w:lang w:val="en-GB"/>
              </w:rPr>
            </w:pPr>
            <w:r w:rsidRPr="00E16672">
              <w:rPr>
                <w:rFonts w:ascii="Times New Roman" w:hAnsi="Times New Roman"/>
                <w:sz w:val="16"/>
                <w:szCs w:val="16"/>
                <w:lang w:val="en-GB"/>
              </w:rPr>
              <w:t xml:space="preserve">5.2. An exchange orders, </w:t>
            </w:r>
            <w:proofErr w:type="gramStart"/>
            <w:r w:rsidRPr="00E16672">
              <w:rPr>
                <w:rFonts w:ascii="Times New Roman" w:hAnsi="Times New Roman"/>
                <w:sz w:val="16"/>
                <w:szCs w:val="16"/>
                <w:lang w:val="en-GB"/>
              </w:rPr>
              <w:t>messages,  information</w:t>
            </w:r>
            <w:proofErr w:type="gramEnd"/>
            <w:r w:rsidRPr="00E16672">
              <w:rPr>
                <w:rFonts w:ascii="Times New Roman" w:hAnsi="Times New Roman"/>
                <w:sz w:val="16"/>
                <w:szCs w:val="16"/>
                <w:lang w:val="en-GB"/>
              </w:rPr>
              <w:t xml:space="preserve"> between Parties provided </w:t>
            </w:r>
            <w:proofErr w:type="spellStart"/>
            <w:r w:rsidRPr="00E16672">
              <w:rPr>
                <w:rFonts w:ascii="Times New Roman" w:hAnsi="Times New Roman"/>
                <w:sz w:val="16"/>
                <w:szCs w:val="16"/>
              </w:rPr>
              <w:t>in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accordance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with</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procedure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established</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by</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Agreement</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internal</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documents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of</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Depository</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and</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law</w:t>
            </w:r>
            <w:proofErr w:type="spellEnd"/>
            <w:r w:rsidRPr="00E16672">
              <w:rPr>
                <w:rFonts w:ascii="Times New Roman" w:hAnsi="Times New Roman"/>
                <w:sz w:val="16"/>
                <w:szCs w:val="16"/>
              </w:rPr>
              <w:t>.</w:t>
            </w:r>
          </w:p>
          <w:p w14:paraId="2245A639" w14:textId="77777777" w:rsidR="003A05A3" w:rsidRPr="00E16672" w:rsidRDefault="003A05A3" w:rsidP="00843027">
            <w:pPr>
              <w:pStyle w:val="210"/>
              <w:tabs>
                <w:tab w:val="left" w:pos="287"/>
                <w:tab w:val="left" w:pos="1362"/>
              </w:tabs>
              <w:snapToGrid w:val="0"/>
              <w:ind w:left="175" w:right="100" w:firstLine="7"/>
              <w:rPr>
                <w:rFonts w:ascii="Times New Roman" w:hAnsi="Times New Roman"/>
                <w:sz w:val="16"/>
                <w:szCs w:val="16"/>
                <w:lang w:val="en-US"/>
              </w:rPr>
            </w:pPr>
          </w:p>
        </w:tc>
      </w:tr>
      <w:tr w:rsidR="003A05A3" w:rsidRPr="00F23413" w14:paraId="54DF13D8" w14:textId="77777777" w:rsidTr="00242F58">
        <w:trPr>
          <w:trHeight w:val="192"/>
        </w:trPr>
        <w:tc>
          <w:tcPr>
            <w:tcW w:w="5696" w:type="dxa"/>
            <w:gridSpan w:val="8"/>
            <w:shd w:val="clear" w:color="auto" w:fill="auto"/>
          </w:tcPr>
          <w:p w14:paraId="4C419EF0" w14:textId="77777777" w:rsidR="003A05A3" w:rsidRPr="00E16672" w:rsidRDefault="003A05A3" w:rsidP="00843027">
            <w:pPr>
              <w:snapToGrid w:val="0"/>
              <w:ind w:left="175" w:right="138" w:firstLine="7"/>
              <w:rPr>
                <w:rFonts w:ascii="Times New Roman" w:hAnsi="Times New Roman"/>
                <w:sz w:val="16"/>
                <w:szCs w:val="16"/>
              </w:rPr>
            </w:pPr>
            <w:r w:rsidRPr="00E16672">
              <w:rPr>
                <w:rFonts w:ascii="Times New Roman" w:hAnsi="Times New Roman"/>
                <w:sz w:val="16"/>
                <w:szCs w:val="16"/>
              </w:rPr>
              <w:t xml:space="preserve">5.3. </w:t>
            </w:r>
            <w:proofErr w:type="spellStart"/>
            <w:r w:rsidRPr="00E16672">
              <w:rPr>
                <w:rFonts w:ascii="Times New Roman" w:hAnsi="Times New Roman"/>
                <w:sz w:val="16"/>
                <w:szCs w:val="16"/>
              </w:rPr>
              <w:t>Сторони</w:t>
            </w:r>
            <w:proofErr w:type="spellEnd"/>
            <w:r w:rsidRPr="00E16672">
              <w:rPr>
                <w:rFonts w:ascii="Times New Roman" w:hAnsi="Times New Roman"/>
                <w:sz w:val="16"/>
                <w:szCs w:val="16"/>
              </w:rPr>
              <w:t xml:space="preserve"> </w:t>
            </w:r>
            <w:proofErr w:type="spellStart"/>
            <w:r w:rsidR="00B963E2" w:rsidRPr="00E16672">
              <w:rPr>
                <w:rFonts w:ascii="Times New Roman" w:hAnsi="Times New Roman"/>
                <w:sz w:val="16"/>
                <w:szCs w:val="16"/>
              </w:rPr>
              <w:t>підтверджують</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достовірність</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підписів</w:t>
            </w:r>
            <w:proofErr w:type="spellEnd"/>
            <w:r w:rsidRPr="00E16672">
              <w:rPr>
                <w:rFonts w:ascii="Times New Roman" w:hAnsi="Times New Roman"/>
                <w:sz w:val="16"/>
                <w:szCs w:val="16"/>
              </w:rPr>
              <w:t xml:space="preserve"> на </w:t>
            </w:r>
            <w:proofErr w:type="spellStart"/>
            <w:r w:rsidRPr="00E16672">
              <w:rPr>
                <w:rFonts w:ascii="Times New Roman" w:hAnsi="Times New Roman"/>
                <w:sz w:val="16"/>
                <w:szCs w:val="16"/>
              </w:rPr>
              <w:t>розпорядженнях</w:t>
            </w:r>
            <w:proofErr w:type="spellEnd"/>
            <w:r w:rsidRPr="00E16672">
              <w:rPr>
                <w:rFonts w:ascii="Times New Roman" w:hAnsi="Times New Roman"/>
                <w:sz w:val="16"/>
                <w:szCs w:val="16"/>
              </w:rPr>
              <w:t xml:space="preserve"> Депонента способом, </w:t>
            </w:r>
            <w:proofErr w:type="spellStart"/>
            <w:r w:rsidRPr="00E16672">
              <w:rPr>
                <w:rFonts w:ascii="Times New Roman" w:hAnsi="Times New Roman"/>
                <w:sz w:val="16"/>
                <w:szCs w:val="16"/>
              </w:rPr>
              <w:t>визначеним</w:t>
            </w:r>
            <w:proofErr w:type="spellEnd"/>
            <w:r w:rsidRPr="00E16672">
              <w:rPr>
                <w:rFonts w:ascii="Times New Roman" w:hAnsi="Times New Roman"/>
                <w:sz w:val="16"/>
                <w:szCs w:val="16"/>
              </w:rPr>
              <w:t xml:space="preserve"> у </w:t>
            </w:r>
            <w:proofErr w:type="spellStart"/>
            <w:r w:rsidRPr="00E16672">
              <w:rPr>
                <w:rFonts w:ascii="Times New Roman" w:hAnsi="Times New Roman"/>
                <w:sz w:val="16"/>
                <w:szCs w:val="16"/>
              </w:rPr>
              <w:t>розділі</w:t>
            </w:r>
            <w:proofErr w:type="spellEnd"/>
            <w:r w:rsidRPr="00E16672">
              <w:rPr>
                <w:rFonts w:ascii="Times New Roman" w:hAnsi="Times New Roman"/>
                <w:sz w:val="16"/>
                <w:szCs w:val="16"/>
              </w:rPr>
              <w:t xml:space="preserve"> 3 </w:t>
            </w:r>
            <w:proofErr w:type="spellStart"/>
            <w:r w:rsidRPr="00E16672">
              <w:rPr>
                <w:rFonts w:ascii="Times New Roman" w:hAnsi="Times New Roman"/>
                <w:sz w:val="16"/>
                <w:szCs w:val="16"/>
              </w:rPr>
              <w:t>цього</w:t>
            </w:r>
            <w:proofErr w:type="spellEnd"/>
            <w:r w:rsidRPr="00E16672">
              <w:rPr>
                <w:rFonts w:ascii="Times New Roman" w:hAnsi="Times New Roman"/>
                <w:sz w:val="16"/>
                <w:szCs w:val="16"/>
              </w:rPr>
              <w:t xml:space="preserve"> Договору.</w:t>
            </w:r>
          </w:p>
          <w:p w14:paraId="0C7B35E8" w14:textId="77777777" w:rsidR="003A05A3" w:rsidRPr="00E16672" w:rsidRDefault="003A05A3" w:rsidP="00843027">
            <w:pPr>
              <w:ind w:left="175" w:right="138" w:firstLine="7"/>
              <w:rPr>
                <w:rFonts w:ascii="Times New Roman" w:hAnsi="Times New Roman"/>
                <w:sz w:val="16"/>
                <w:szCs w:val="16"/>
              </w:rPr>
            </w:pPr>
          </w:p>
        </w:tc>
        <w:tc>
          <w:tcPr>
            <w:tcW w:w="5494" w:type="dxa"/>
            <w:gridSpan w:val="6"/>
            <w:shd w:val="clear" w:color="auto" w:fill="auto"/>
          </w:tcPr>
          <w:p w14:paraId="6DCFBB27" w14:textId="77777777" w:rsidR="003A05A3" w:rsidRPr="00E16672" w:rsidRDefault="003A05A3" w:rsidP="00843027">
            <w:pPr>
              <w:pStyle w:val="210"/>
              <w:tabs>
                <w:tab w:val="left" w:pos="287"/>
                <w:tab w:val="left" w:pos="1362"/>
              </w:tabs>
              <w:snapToGrid w:val="0"/>
              <w:ind w:left="175" w:right="100" w:firstLine="7"/>
              <w:rPr>
                <w:rFonts w:ascii="Times New Roman" w:hAnsi="Times New Roman"/>
                <w:sz w:val="16"/>
                <w:szCs w:val="16"/>
                <w:lang w:val="en-US"/>
              </w:rPr>
            </w:pPr>
            <w:r w:rsidRPr="00E16672">
              <w:rPr>
                <w:rFonts w:ascii="Times New Roman" w:hAnsi="Times New Roman"/>
                <w:sz w:val="16"/>
                <w:szCs w:val="16"/>
                <w:lang w:val="en-US"/>
              </w:rPr>
              <w:t xml:space="preserve">5.3. Parties are </w:t>
            </w:r>
            <w:r w:rsidRPr="00E16672">
              <w:rPr>
                <w:rFonts w:ascii="Times New Roman" w:hAnsi="Times New Roman"/>
                <w:sz w:val="16"/>
                <w:szCs w:val="16"/>
                <w:lang w:val="en-GB"/>
              </w:rPr>
              <w:t xml:space="preserve">confirmed </w:t>
            </w:r>
            <w:r w:rsidRPr="00E16672">
              <w:rPr>
                <w:rFonts w:ascii="Times New Roman" w:hAnsi="Times New Roman"/>
                <w:sz w:val="16"/>
                <w:szCs w:val="16"/>
                <w:lang w:val="en-US"/>
              </w:rPr>
              <w:t>authenticity of signatures on the orders of Depositor by a method, certain in a section 3 of this Agreement.</w:t>
            </w:r>
          </w:p>
          <w:p w14:paraId="554BB802" w14:textId="77777777" w:rsidR="003A05A3" w:rsidRPr="00E16672" w:rsidRDefault="003A05A3" w:rsidP="00843027">
            <w:pPr>
              <w:pStyle w:val="210"/>
              <w:tabs>
                <w:tab w:val="left" w:pos="287"/>
                <w:tab w:val="left" w:pos="1362"/>
              </w:tabs>
              <w:snapToGrid w:val="0"/>
              <w:ind w:left="175" w:right="100" w:firstLine="7"/>
              <w:rPr>
                <w:rFonts w:ascii="Times New Roman" w:hAnsi="Times New Roman"/>
                <w:sz w:val="16"/>
                <w:szCs w:val="16"/>
                <w:lang w:val="en-US"/>
              </w:rPr>
            </w:pPr>
          </w:p>
        </w:tc>
      </w:tr>
      <w:tr w:rsidR="003A05A3" w:rsidRPr="00F23413" w14:paraId="5BC056BF" w14:textId="77777777" w:rsidTr="00242F58">
        <w:trPr>
          <w:trHeight w:val="846"/>
        </w:trPr>
        <w:tc>
          <w:tcPr>
            <w:tcW w:w="5696" w:type="dxa"/>
            <w:gridSpan w:val="8"/>
            <w:shd w:val="clear" w:color="auto" w:fill="auto"/>
          </w:tcPr>
          <w:p w14:paraId="0D092D9F" w14:textId="77777777" w:rsidR="003A05A3" w:rsidRPr="00E16672" w:rsidRDefault="003A05A3" w:rsidP="00843027">
            <w:pPr>
              <w:snapToGrid w:val="0"/>
              <w:ind w:left="175" w:right="138" w:firstLine="7"/>
              <w:rPr>
                <w:rFonts w:ascii="Times New Roman" w:hAnsi="Times New Roman"/>
                <w:sz w:val="16"/>
                <w:szCs w:val="16"/>
              </w:rPr>
            </w:pPr>
            <w:r w:rsidRPr="00E16672">
              <w:rPr>
                <w:rFonts w:ascii="Times New Roman" w:hAnsi="Times New Roman"/>
                <w:sz w:val="16"/>
                <w:szCs w:val="16"/>
              </w:rPr>
              <w:t xml:space="preserve">5.4. </w:t>
            </w:r>
            <w:proofErr w:type="spellStart"/>
            <w:r w:rsidRPr="00E16672">
              <w:rPr>
                <w:rFonts w:ascii="Times New Roman" w:hAnsi="Times New Roman"/>
                <w:sz w:val="16"/>
                <w:szCs w:val="16"/>
              </w:rPr>
              <w:t>Сторони</w:t>
            </w:r>
            <w:proofErr w:type="spellEnd"/>
            <w:r w:rsidRPr="00E16672">
              <w:rPr>
                <w:rFonts w:ascii="Times New Roman" w:hAnsi="Times New Roman"/>
                <w:sz w:val="16"/>
                <w:szCs w:val="16"/>
              </w:rPr>
              <w:t xml:space="preserve"> </w:t>
            </w:r>
            <w:proofErr w:type="spellStart"/>
            <w:proofErr w:type="gramStart"/>
            <w:r w:rsidRPr="00E16672">
              <w:rPr>
                <w:rFonts w:ascii="Times New Roman" w:hAnsi="Times New Roman"/>
                <w:sz w:val="16"/>
                <w:szCs w:val="16"/>
              </w:rPr>
              <w:t>несуть</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відповідальність</w:t>
            </w:r>
            <w:proofErr w:type="spellEnd"/>
            <w:proofErr w:type="gramEnd"/>
            <w:r w:rsidRPr="00E16672">
              <w:rPr>
                <w:rFonts w:ascii="Times New Roman" w:hAnsi="Times New Roman"/>
                <w:sz w:val="16"/>
                <w:szCs w:val="16"/>
              </w:rPr>
              <w:t xml:space="preserve"> за </w:t>
            </w:r>
            <w:proofErr w:type="spellStart"/>
            <w:r w:rsidRPr="00E16672">
              <w:rPr>
                <w:rFonts w:ascii="Times New Roman" w:hAnsi="Times New Roman"/>
                <w:sz w:val="16"/>
                <w:szCs w:val="16"/>
              </w:rPr>
              <w:t>невиконання</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або</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неналежне</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виконання</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своїх</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зобов’язань</w:t>
            </w:r>
            <w:proofErr w:type="spellEnd"/>
            <w:r w:rsidRPr="00E16672">
              <w:rPr>
                <w:rFonts w:ascii="Times New Roman" w:hAnsi="Times New Roman"/>
                <w:sz w:val="16"/>
                <w:szCs w:val="16"/>
              </w:rPr>
              <w:t xml:space="preserve"> за </w:t>
            </w:r>
            <w:proofErr w:type="spellStart"/>
            <w:r w:rsidRPr="00E16672">
              <w:rPr>
                <w:rFonts w:ascii="Times New Roman" w:hAnsi="Times New Roman"/>
                <w:sz w:val="16"/>
                <w:szCs w:val="16"/>
              </w:rPr>
              <w:t>цим</w:t>
            </w:r>
            <w:proofErr w:type="spellEnd"/>
            <w:r w:rsidRPr="00E16672">
              <w:rPr>
                <w:rFonts w:ascii="Times New Roman" w:hAnsi="Times New Roman"/>
                <w:sz w:val="16"/>
                <w:szCs w:val="16"/>
              </w:rPr>
              <w:t xml:space="preserve"> Договором </w:t>
            </w:r>
            <w:proofErr w:type="spellStart"/>
            <w:r w:rsidRPr="00E16672">
              <w:rPr>
                <w:rFonts w:ascii="Times New Roman" w:hAnsi="Times New Roman"/>
                <w:sz w:val="16"/>
                <w:szCs w:val="16"/>
              </w:rPr>
              <w:t>відповідно</w:t>
            </w:r>
            <w:proofErr w:type="spellEnd"/>
            <w:r w:rsidRPr="00E16672">
              <w:rPr>
                <w:rFonts w:ascii="Times New Roman" w:hAnsi="Times New Roman"/>
                <w:sz w:val="16"/>
                <w:szCs w:val="16"/>
              </w:rPr>
              <w:t xml:space="preserve"> до </w:t>
            </w:r>
            <w:proofErr w:type="spellStart"/>
            <w:r w:rsidRPr="00E16672">
              <w:rPr>
                <w:rFonts w:ascii="Times New Roman" w:hAnsi="Times New Roman"/>
                <w:sz w:val="16"/>
                <w:szCs w:val="16"/>
              </w:rPr>
              <w:t>законодавства</w:t>
            </w:r>
            <w:proofErr w:type="spellEnd"/>
            <w:r w:rsidRPr="00E16672">
              <w:rPr>
                <w:rFonts w:ascii="Times New Roman" w:hAnsi="Times New Roman"/>
                <w:sz w:val="16"/>
                <w:szCs w:val="16"/>
              </w:rPr>
              <w:t xml:space="preserve">, у тому </w:t>
            </w:r>
            <w:proofErr w:type="spellStart"/>
            <w:r w:rsidRPr="00E16672">
              <w:rPr>
                <w:rFonts w:ascii="Times New Roman" w:hAnsi="Times New Roman"/>
                <w:sz w:val="16"/>
                <w:szCs w:val="16"/>
              </w:rPr>
              <w:t>числі</w:t>
            </w:r>
            <w:proofErr w:type="spellEnd"/>
            <w:r w:rsidRPr="00E16672">
              <w:rPr>
                <w:rFonts w:ascii="Times New Roman" w:hAnsi="Times New Roman"/>
                <w:sz w:val="16"/>
                <w:szCs w:val="16"/>
              </w:rPr>
              <w:t xml:space="preserve"> нормативно-</w:t>
            </w:r>
            <w:proofErr w:type="spellStart"/>
            <w:r w:rsidRPr="00E16672">
              <w:rPr>
                <w:rFonts w:ascii="Times New Roman" w:hAnsi="Times New Roman"/>
                <w:sz w:val="16"/>
                <w:szCs w:val="16"/>
              </w:rPr>
              <w:t>правових</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актів</w:t>
            </w:r>
            <w:proofErr w:type="spellEnd"/>
            <w:r w:rsidRPr="00E16672">
              <w:rPr>
                <w:rFonts w:ascii="Times New Roman" w:hAnsi="Times New Roman"/>
                <w:sz w:val="16"/>
                <w:szCs w:val="16"/>
              </w:rPr>
              <w:t xml:space="preserve"> НКЦПФР.</w:t>
            </w:r>
          </w:p>
          <w:p w14:paraId="3427F2AC" w14:textId="77777777" w:rsidR="003A05A3" w:rsidRPr="00E16672" w:rsidRDefault="003A05A3" w:rsidP="00843027">
            <w:pPr>
              <w:ind w:left="175" w:right="138" w:firstLine="7"/>
              <w:rPr>
                <w:rFonts w:ascii="Times New Roman" w:hAnsi="Times New Roman"/>
                <w:sz w:val="16"/>
                <w:szCs w:val="16"/>
              </w:rPr>
            </w:pPr>
          </w:p>
        </w:tc>
        <w:tc>
          <w:tcPr>
            <w:tcW w:w="5494" w:type="dxa"/>
            <w:gridSpan w:val="6"/>
            <w:shd w:val="clear" w:color="auto" w:fill="auto"/>
          </w:tcPr>
          <w:p w14:paraId="7B957604" w14:textId="77777777" w:rsidR="003A05A3" w:rsidRPr="00E16672" w:rsidRDefault="003A05A3" w:rsidP="00843027">
            <w:pPr>
              <w:pStyle w:val="210"/>
              <w:tabs>
                <w:tab w:val="left" w:pos="287"/>
                <w:tab w:val="left" w:pos="1191"/>
              </w:tabs>
              <w:snapToGrid w:val="0"/>
              <w:ind w:left="175" w:right="100" w:firstLine="7"/>
              <w:rPr>
                <w:rFonts w:ascii="Times New Roman" w:hAnsi="Times New Roman"/>
                <w:sz w:val="16"/>
                <w:szCs w:val="16"/>
              </w:rPr>
            </w:pPr>
            <w:r w:rsidRPr="00E16672">
              <w:rPr>
                <w:rFonts w:ascii="Times New Roman" w:hAnsi="Times New Roman"/>
                <w:sz w:val="16"/>
                <w:szCs w:val="16"/>
              </w:rPr>
              <w:t xml:space="preserve">5.4. </w:t>
            </w:r>
            <w:proofErr w:type="spellStart"/>
            <w:r w:rsidRPr="00E16672">
              <w:rPr>
                <w:rFonts w:ascii="Times New Roman" w:hAnsi="Times New Roman"/>
                <w:sz w:val="16"/>
                <w:szCs w:val="16"/>
              </w:rPr>
              <w:t>Parties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are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responsible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for</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non-performance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or</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improper</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performance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of</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its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obligations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under</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this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Agreement</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in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accordance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with</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law</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including</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regulations</w:t>
            </w:r>
            <w:proofErr w:type="spellEnd"/>
            <w:r w:rsidRPr="00E16672">
              <w:rPr>
                <w:rFonts w:ascii="Times New Roman" w:hAnsi="Times New Roman"/>
                <w:sz w:val="16"/>
                <w:szCs w:val="16"/>
              </w:rPr>
              <w:t xml:space="preserve"> NCSSM.</w:t>
            </w:r>
          </w:p>
          <w:p w14:paraId="2FDD66DF" w14:textId="77777777" w:rsidR="003A05A3" w:rsidRPr="00E16672" w:rsidRDefault="003A05A3" w:rsidP="00843027">
            <w:pPr>
              <w:pStyle w:val="210"/>
              <w:tabs>
                <w:tab w:val="left" w:pos="287"/>
                <w:tab w:val="left" w:pos="1191"/>
              </w:tabs>
              <w:snapToGrid w:val="0"/>
              <w:ind w:left="175" w:right="100" w:firstLine="7"/>
              <w:rPr>
                <w:rFonts w:ascii="Times New Roman" w:hAnsi="Times New Roman"/>
                <w:sz w:val="16"/>
                <w:szCs w:val="16"/>
                <w:lang w:val="en-GB"/>
              </w:rPr>
            </w:pPr>
          </w:p>
        </w:tc>
      </w:tr>
      <w:tr w:rsidR="003A05A3" w:rsidRPr="00F23413" w14:paraId="0ED7747B" w14:textId="77777777" w:rsidTr="00242F58">
        <w:trPr>
          <w:trHeight w:val="192"/>
        </w:trPr>
        <w:tc>
          <w:tcPr>
            <w:tcW w:w="5696" w:type="dxa"/>
            <w:gridSpan w:val="8"/>
            <w:shd w:val="clear" w:color="auto" w:fill="auto"/>
          </w:tcPr>
          <w:p w14:paraId="7CCCC024" w14:textId="77777777" w:rsidR="003A05A3" w:rsidRPr="00E16672" w:rsidRDefault="003A05A3" w:rsidP="00843027">
            <w:pPr>
              <w:snapToGrid w:val="0"/>
              <w:ind w:left="175" w:right="138" w:firstLine="7"/>
              <w:rPr>
                <w:rFonts w:ascii="Times New Roman" w:hAnsi="Times New Roman"/>
                <w:sz w:val="16"/>
                <w:szCs w:val="16"/>
              </w:rPr>
            </w:pPr>
            <w:r w:rsidRPr="00E16672">
              <w:rPr>
                <w:rFonts w:ascii="Times New Roman" w:hAnsi="Times New Roman"/>
                <w:sz w:val="16"/>
                <w:szCs w:val="16"/>
              </w:rPr>
              <w:t xml:space="preserve">5.5. Сторона, яка порушила </w:t>
            </w:r>
            <w:proofErr w:type="spellStart"/>
            <w:r w:rsidRPr="00E16672">
              <w:rPr>
                <w:rFonts w:ascii="Times New Roman" w:hAnsi="Times New Roman"/>
                <w:sz w:val="16"/>
                <w:szCs w:val="16"/>
              </w:rPr>
              <w:t>зобов’язання</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відповідно</w:t>
            </w:r>
            <w:proofErr w:type="spellEnd"/>
            <w:r w:rsidRPr="00E16672">
              <w:rPr>
                <w:rFonts w:ascii="Times New Roman" w:hAnsi="Times New Roman"/>
                <w:sz w:val="16"/>
                <w:szCs w:val="16"/>
              </w:rPr>
              <w:t xml:space="preserve"> до </w:t>
            </w:r>
            <w:proofErr w:type="spellStart"/>
            <w:r w:rsidRPr="00E16672">
              <w:rPr>
                <w:rFonts w:ascii="Times New Roman" w:hAnsi="Times New Roman"/>
                <w:sz w:val="16"/>
                <w:szCs w:val="16"/>
              </w:rPr>
              <w:t>цього</w:t>
            </w:r>
            <w:proofErr w:type="spellEnd"/>
            <w:r w:rsidRPr="00E16672">
              <w:rPr>
                <w:rFonts w:ascii="Times New Roman" w:hAnsi="Times New Roman"/>
                <w:sz w:val="16"/>
                <w:szCs w:val="16"/>
              </w:rPr>
              <w:t xml:space="preserve"> Договору, повинна </w:t>
            </w:r>
            <w:proofErr w:type="spellStart"/>
            <w:r w:rsidRPr="00E16672">
              <w:rPr>
                <w:rFonts w:ascii="Times New Roman" w:hAnsi="Times New Roman"/>
                <w:sz w:val="16"/>
                <w:szCs w:val="16"/>
              </w:rPr>
              <w:t>усунути</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ці</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порушення</w:t>
            </w:r>
            <w:proofErr w:type="spellEnd"/>
            <w:r w:rsidRPr="00E16672">
              <w:rPr>
                <w:rFonts w:ascii="Times New Roman" w:hAnsi="Times New Roman"/>
                <w:sz w:val="16"/>
                <w:szCs w:val="16"/>
              </w:rPr>
              <w:t xml:space="preserve"> в </w:t>
            </w:r>
            <w:proofErr w:type="spellStart"/>
            <w:r w:rsidRPr="00E16672">
              <w:rPr>
                <w:rFonts w:ascii="Times New Roman" w:hAnsi="Times New Roman"/>
                <w:sz w:val="16"/>
                <w:szCs w:val="16"/>
              </w:rPr>
              <w:t>найкоротший</w:t>
            </w:r>
            <w:proofErr w:type="spellEnd"/>
            <w:r w:rsidRPr="00E16672">
              <w:rPr>
                <w:rFonts w:ascii="Times New Roman" w:hAnsi="Times New Roman"/>
                <w:sz w:val="16"/>
                <w:szCs w:val="16"/>
              </w:rPr>
              <w:t xml:space="preserve"> строк.</w:t>
            </w:r>
          </w:p>
        </w:tc>
        <w:tc>
          <w:tcPr>
            <w:tcW w:w="5494" w:type="dxa"/>
            <w:gridSpan w:val="6"/>
            <w:shd w:val="clear" w:color="auto" w:fill="auto"/>
          </w:tcPr>
          <w:p w14:paraId="55F40E5A" w14:textId="77777777" w:rsidR="003A05A3" w:rsidRPr="00E16672" w:rsidRDefault="003A05A3" w:rsidP="00843027">
            <w:pPr>
              <w:pStyle w:val="210"/>
              <w:tabs>
                <w:tab w:val="left" w:pos="287"/>
                <w:tab w:val="left" w:pos="1191"/>
              </w:tabs>
              <w:snapToGrid w:val="0"/>
              <w:ind w:left="175" w:right="100" w:firstLine="7"/>
              <w:rPr>
                <w:rFonts w:ascii="Times New Roman" w:hAnsi="Times New Roman"/>
                <w:sz w:val="16"/>
                <w:szCs w:val="16"/>
              </w:rPr>
            </w:pPr>
            <w:r w:rsidRPr="00E16672">
              <w:rPr>
                <w:rFonts w:ascii="Times New Roman" w:hAnsi="Times New Roman"/>
                <w:sz w:val="16"/>
                <w:szCs w:val="16"/>
              </w:rPr>
              <w:t xml:space="preserve">5.5.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party</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that</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violated</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obligations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of</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this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Agreement</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should</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remove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violations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in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shortest</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period</w:t>
            </w:r>
            <w:proofErr w:type="spellEnd"/>
            <w:r w:rsidRPr="00E16672">
              <w:rPr>
                <w:rFonts w:ascii="Times New Roman" w:hAnsi="Times New Roman"/>
                <w:sz w:val="16"/>
                <w:szCs w:val="16"/>
              </w:rPr>
              <w:t>.</w:t>
            </w:r>
          </w:p>
        </w:tc>
      </w:tr>
      <w:tr w:rsidR="003A05A3" w:rsidRPr="00F23413" w14:paraId="3B456F67" w14:textId="77777777" w:rsidTr="00242F58">
        <w:trPr>
          <w:trHeight w:val="192"/>
        </w:trPr>
        <w:tc>
          <w:tcPr>
            <w:tcW w:w="5696" w:type="dxa"/>
            <w:gridSpan w:val="8"/>
            <w:shd w:val="clear" w:color="auto" w:fill="auto"/>
          </w:tcPr>
          <w:p w14:paraId="7A9C47BB" w14:textId="77777777" w:rsidR="003A05A3" w:rsidRPr="00E16672" w:rsidRDefault="003A05A3" w:rsidP="00843027">
            <w:pPr>
              <w:ind w:left="175" w:right="138" w:firstLine="7"/>
              <w:rPr>
                <w:rFonts w:ascii="Times New Roman" w:hAnsi="Times New Roman"/>
                <w:color w:val="000000"/>
                <w:sz w:val="16"/>
                <w:szCs w:val="16"/>
                <w:lang w:val="uk-UA"/>
              </w:rPr>
            </w:pPr>
          </w:p>
          <w:p w14:paraId="5878C1D9" w14:textId="77777777" w:rsidR="003A05A3" w:rsidRPr="00E16672" w:rsidRDefault="003A05A3" w:rsidP="00843027">
            <w:pPr>
              <w:ind w:left="175" w:right="138" w:firstLine="7"/>
              <w:rPr>
                <w:rFonts w:ascii="Times New Roman" w:hAnsi="Times New Roman"/>
                <w:color w:val="000000"/>
                <w:sz w:val="16"/>
                <w:szCs w:val="16"/>
                <w:lang w:val="uk-UA"/>
              </w:rPr>
            </w:pPr>
            <w:r w:rsidRPr="00E16672">
              <w:rPr>
                <w:rFonts w:ascii="Times New Roman" w:hAnsi="Times New Roman"/>
                <w:color w:val="000000"/>
                <w:sz w:val="16"/>
                <w:szCs w:val="16"/>
              </w:rPr>
              <w:t xml:space="preserve">5.6. </w:t>
            </w:r>
            <w:r w:rsidRPr="00E16672">
              <w:rPr>
                <w:rFonts w:ascii="Times New Roman" w:hAnsi="Times New Roman"/>
                <w:color w:val="000000"/>
                <w:sz w:val="16"/>
                <w:szCs w:val="16"/>
                <w:lang w:val="uk-UA"/>
              </w:rPr>
              <w:t xml:space="preserve">Депозитарна установа несе </w:t>
            </w:r>
            <w:proofErr w:type="spellStart"/>
            <w:r w:rsidRPr="00E16672">
              <w:rPr>
                <w:rFonts w:ascii="Times New Roman" w:hAnsi="Times New Roman"/>
                <w:color w:val="000000"/>
                <w:sz w:val="16"/>
                <w:szCs w:val="16"/>
                <w:lang w:val="uk-UA"/>
              </w:rPr>
              <w:t>вiдповiдальнiсть</w:t>
            </w:r>
            <w:proofErr w:type="spellEnd"/>
            <w:r w:rsidRPr="00E16672">
              <w:rPr>
                <w:rFonts w:ascii="Times New Roman" w:hAnsi="Times New Roman"/>
                <w:color w:val="000000"/>
                <w:sz w:val="16"/>
                <w:szCs w:val="16"/>
              </w:rPr>
              <w:t xml:space="preserve"> </w:t>
            </w:r>
            <w:r w:rsidRPr="00E16672">
              <w:rPr>
                <w:rFonts w:ascii="Times New Roman" w:hAnsi="Times New Roman"/>
                <w:color w:val="000000"/>
                <w:sz w:val="16"/>
                <w:szCs w:val="16"/>
                <w:lang w:val="uk-UA"/>
              </w:rPr>
              <w:t>за:</w:t>
            </w:r>
          </w:p>
          <w:p w14:paraId="2BB197D8" w14:textId="77777777" w:rsidR="003A05A3" w:rsidRPr="00E16672" w:rsidRDefault="003A05A3" w:rsidP="00843027">
            <w:pPr>
              <w:ind w:left="175" w:right="138" w:firstLine="7"/>
              <w:rPr>
                <w:rFonts w:ascii="Times New Roman" w:hAnsi="Times New Roman"/>
                <w:color w:val="000000"/>
                <w:sz w:val="16"/>
                <w:szCs w:val="16"/>
                <w:lang w:val="uk-UA"/>
              </w:rPr>
            </w:pPr>
            <w:r w:rsidRPr="00E16672">
              <w:rPr>
                <w:rFonts w:ascii="Times New Roman" w:hAnsi="Times New Roman"/>
                <w:color w:val="000000"/>
                <w:sz w:val="16"/>
                <w:szCs w:val="16"/>
                <w:lang w:val="uk-UA"/>
              </w:rPr>
              <w:t xml:space="preserve">- забезпечення режиму конфіденційності щодо Депонента та належних </w:t>
            </w:r>
            <w:proofErr w:type="spellStart"/>
            <w:r w:rsidRPr="00E16672">
              <w:rPr>
                <w:rFonts w:ascii="Times New Roman" w:hAnsi="Times New Roman"/>
                <w:color w:val="000000"/>
                <w:sz w:val="16"/>
                <w:szCs w:val="16"/>
                <w:lang w:val="uk-UA"/>
              </w:rPr>
              <w:t>йом</w:t>
            </w:r>
            <w:r w:rsidR="00C22309" w:rsidRPr="00E16672">
              <w:rPr>
                <w:rFonts w:ascii="Times New Roman" w:hAnsi="Times New Roman"/>
                <w:color w:val="000000"/>
                <w:sz w:val="16"/>
                <w:szCs w:val="16"/>
                <w:lang w:val="uk-UA"/>
              </w:rPr>
              <w:t>в</w:t>
            </w:r>
            <w:proofErr w:type="spellEnd"/>
            <w:r w:rsidR="00C22309" w:rsidRPr="00E16672">
              <w:rPr>
                <w:rFonts w:ascii="Times New Roman" w:hAnsi="Times New Roman"/>
                <w:color w:val="000000"/>
                <w:sz w:val="16"/>
                <w:szCs w:val="16"/>
                <w:lang w:val="uk-UA"/>
              </w:rPr>
              <w:t xml:space="preserve"> цін</w:t>
            </w:r>
            <w:r w:rsidRPr="00E16672">
              <w:rPr>
                <w:rFonts w:ascii="Times New Roman" w:hAnsi="Times New Roman"/>
                <w:color w:val="000000"/>
                <w:sz w:val="16"/>
                <w:szCs w:val="16"/>
                <w:lang w:val="uk-UA"/>
              </w:rPr>
              <w:t>них паперів;</w:t>
            </w:r>
          </w:p>
          <w:p w14:paraId="571B1687" w14:textId="77777777" w:rsidR="003A05A3" w:rsidRPr="00E16672" w:rsidRDefault="003A05A3" w:rsidP="00843027">
            <w:pPr>
              <w:ind w:left="175" w:right="138" w:firstLine="7"/>
              <w:rPr>
                <w:rFonts w:ascii="Times New Roman" w:hAnsi="Times New Roman"/>
                <w:color w:val="000000"/>
                <w:sz w:val="16"/>
                <w:szCs w:val="16"/>
                <w:lang w:val="uk-UA"/>
              </w:rPr>
            </w:pPr>
            <w:r w:rsidRPr="00E16672">
              <w:rPr>
                <w:rFonts w:ascii="Times New Roman" w:hAnsi="Times New Roman"/>
                <w:color w:val="000000"/>
                <w:sz w:val="16"/>
                <w:szCs w:val="16"/>
                <w:lang w:val="uk-UA"/>
              </w:rPr>
              <w:t>- підтвердження достовірності підписів Депонента на його розпорядженнях;</w:t>
            </w:r>
          </w:p>
          <w:p w14:paraId="453C29CF" w14:textId="77777777" w:rsidR="003A05A3" w:rsidRPr="00E16672" w:rsidRDefault="003A05A3" w:rsidP="00843027">
            <w:pPr>
              <w:ind w:left="175" w:right="138" w:firstLine="7"/>
              <w:rPr>
                <w:rFonts w:ascii="Times New Roman" w:hAnsi="Times New Roman"/>
                <w:color w:val="000000"/>
                <w:sz w:val="16"/>
                <w:szCs w:val="16"/>
                <w:lang w:val="uk-UA"/>
              </w:rPr>
            </w:pPr>
            <w:r w:rsidRPr="00E16672">
              <w:rPr>
                <w:rFonts w:ascii="Times New Roman" w:hAnsi="Times New Roman"/>
                <w:color w:val="000000"/>
                <w:sz w:val="16"/>
                <w:szCs w:val="16"/>
                <w:lang w:val="uk-UA"/>
              </w:rPr>
              <w:t>- перевірку розпоряджень на правильність складання та інші перевірки, передбачені чинним законодавством України та внутрішніми документами Депозитарної установи;</w:t>
            </w:r>
          </w:p>
          <w:p w14:paraId="301CD233" w14:textId="77777777" w:rsidR="003A05A3" w:rsidRPr="00E16672" w:rsidRDefault="003A05A3" w:rsidP="00843027">
            <w:pPr>
              <w:ind w:left="175" w:right="138" w:firstLine="7"/>
              <w:rPr>
                <w:rFonts w:ascii="Times New Roman" w:hAnsi="Times New Roman"/>
                <w:color w:val="000000"/>
                <w:sz w:val="16"/>
                <w:szCs w:val="16"/>
                <w:lang w:val="uk-UA"/>
              </w:rPr>
            </w:pPr>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rPr>
              <w:t>правильне</w:t>
            </w:r>
            <w:proofErr w:type="spellEnd"/>
            <w:r w:rsidRPr="00E16672">
              <w:rPr>
                <w:rFonts w:ascii="Times New Roman" w:hAnsi="Times New Roman"/>
                <w:color w:val="000000"/>
                <w:sz w:val="16"/>
                <w:szCs w:val="16"/>
                <w:lang w:val="uk-UA"/>
              </w:rPr>
              <w:t xml:space="preserve"> виконання розпоряджень Депонента відповідно до вимог чинного законодавства України;</w:t>
            </w:r>
          </w:p>
          <w:p w14:paraId="5CB8CCDC" w14:textId="77777777" w:rsidR="003A05A3" w:rsidRPr="00E16672" w:rsidRDefault="003A05A3" w:rsidP="00843027">
            <w:pPr>
              <w:ind w:left="175" w:right="138" w:firstLine="7"/>
              <w:rPr>
                <w:rFonts w:ascii="Times New Roman" w:hAnsi="Times New Roman"/>
                <w:color w:val="000000"/>
                <w:sz w:val="16"/>
                <w:szCs w:val="16"/>
                <w:lang w:val="uk-UA"/>
              </w:rPr>
            </w:pPr>
            <w:r w:rsidRPr="00E16672">
              <w:rPr>
                <w:rFonts w:ascii="Times New Roman" w:hAnsi="Times New Roman"/>
                <w:color w:val="000000"/>
                <w:sz w:val="16"/>
                <w:szCs w:val="16"/>
                <w:lang w:val="uk-UA"/>
              </w:rPr>
              <w:t xml:space="preserve">- дотримання правил обліку при виконанні своїх обов’язків, за </w:t>
            </w:r>
            <w:proofErr w:type="spellStart"/>
            <w:r w:rsidRPr="00E16672">
              <w:rPr>
                <w:rFonts w:ascii="Times New Roman" w:hAnsi="Times New Roman"/>
                <w:color w:val="000000"/>
                <w:sz w:val="16"/>
                <w:szCs w:val="16"/>
              </w:rPr>
              <w:t>правильність</w:t>
            </w:r>
            <w:proofErr w:type="spellEnd"/>
            <w:r w:rsidRPr="00E16672">
              <w:rPr>
                <w:rFonts w:ascii="Times New Roman" w:hAnsi="Times New Roman"/>
                <w:color w:val="000000"/>
                <w:sz w:val="16"/>
                <w:szCs w:val="16"/>
                <w:lang w:val="uk-UA"/>
              </w:rPr>
              <w:t xml:space="preserve"> ведення записів по рахунку </w:t>
            </w:r>
            <w:r w:rsidR="00C22309" w:rsidRPr="00E16672">
              <w:rPr>
                <w:rFonts w:ascii="Times New Roman" w:hAnsi="Times New Roman"/>
                <w:color w:val="000000"/>
                <w:sz w:val="16"/>
                <w:szCs w:val="16"/>
                <w:lang w:val="uk-UA"/>
              </w:rPr>
              <w:t>в цін</w:t>
            </w:r>
            <w:r w:rsidRPr="00E16672">
              <w:rPr>
                <w:rFonts w:ascii="Times New Roman" w:hAnsi="Times New Roman"/>
                <w:color w:val="000000"/>
                <w:sz w:val="16"/>
                <w:szCs w:val="16"/>
                <w:lang w:val="uk-UA"/>
              </w:rPr>
              <w:t>них паперах;</w:t>
            </w:r>
          </w:p>
          <w:p w14:paraId="38980810" w14:textId="77777777" w:rsidR="003A05A3" w:rsidRPr="00E16672" w:rsidRDefault="003A05A3" w:rsidP="00843027">
            <w:pPr>
              <w:ind w:left="175" w:right="138" w:firstLine="7"/>
              <w:rPr>
                <w:rFonts w:ascii="Times New Roman" w:hAnsi="Times New Roman"/>
                <w:color w:val="000000"/>
                <w:sz w:val="16"/>
                <w:szCs w:val="16"/>
                <w:lang w:val="uk-UA"/>
              </w:rPr>
            </w:pPr>
            <w:r w:rsidRPr="00E16672">
              <w:rPr>
                <w:rFonts w:ascii="Times New Roman" w:hAnsi="Times New Roman"/>
                <w:color w:val="000000"/>
                <w:sz w:val="16"/>
                <w:szCs w:val="16"/>
                <w:lang w:val="uk-UA"/>
              </w:rPr>
              <w:t xml:space="preserve">- облік цінних паперів Депонента та прав за цінними паперами у Депозитарній установі на рахунку </w:t>
            </w:r>
            <w:r w:rsidR="00C22309" w:rsidRPr="00E16672">
              <w:rPr>
                <w:rFonts w:ascii="Times New Roman" w:hAnsi="Times New Roman"/>
                <w:color w:val="000000"/>
                <w:sz w:val="16"/>
                <w:szCs w:val="16"/>
                <w:lang w:val="uk-UA"/>
              </w:rPr>
              <w:t>в цін</w:t>
            </w:r>
            <w:r w:rsidRPr="00E16672">
              <w:rPr>
                <w:rFonts w:ascii="Times New Roman" w:hAnsi="Times New Roman"/>
                <w:color w:val="000000"/>
                <w:sz w:val="16"/>
                <w:szCs w:val="16"/>
                <w:lang w:val="uk-UA"/>
              </w:rPr>
              <w:t>них паперах Депонента.</w:t>
            </w:r>
          </w:p>
          <w:p w14:paraId="3B7A161E" w14:textId="77777777" w:rsidR="003A05A3" w:rsidRPr="00E16672" w:rsidRDefault="003A05A3" w:rsidP="00843027">
            <w:pPr>
              <w:numPr>
                <w:ilvl w:val="0"/>
                <w:numId w:val="4"/>
              </w:numPr>
              <w:tabs>
                <w:tab w:val="left" w:pos="57"/>
                <w:tab w:val="left" w:pos="417"/>
                <w:tab w:val="left" w:pos="809"/>
              </w:tabs>
              <w:autoSpaceDE w:val="0"/>
              <w:ind w:left="175" w:right="138" w:firstLine="7"/>
              <w:rPr>
                <w:rFonts w:ascii="Times New Roman" w:hAnsi="Times New Roman"/>
                <w:color w:val="000000"/>
                <w:sz w:val="16"/>
                <w:szCs w:val="16"/>
              </w:rPr>
            </w:pPr>
          </w:p>
        </w:tc>
        <w:tc>
          <w:tcPr>
            <w:tcW w:w="5494" w:type="dxa"/>
            <w:gridSpan w:val="6"/>
            <w:shd w:val="clear" w:color="auto" w:fill="auto"/>
          </w:tcPr>
          <w:p w14:paraId="55AF619A" w14:textId="77777777" w:rsidR="003A05A3" w:rsidRPr="00E16672" w:rsidRDefault="003A05A3" w:rsidP="00843027">
            <w:pPr>
              <w:pStyle w:val="210"/>
              <w:tabs>
                <w:tab w:val="left" w:pos="365"/>
              </w:tabs>
              <w:snapToGrid w:val="0"/>
              <w:ind w:left="175" w:right="138" w:firstLine="7"/>
              <w:rPr>
                <w:rFonts w:ascii="Times New Roman" w:hAnsi="Times New Roman"/>
                <w:color w:val="000000"/>
                <w:sz w:val="16"/>
                <w:szCs w:val="16"/>
                <w:lang w:val="ru-RU"/>
              </w:rPr>
            </w:pPr>
          </w:p>
          <w:p w14:paraId="44402F94" w14:textId="77777777" w:rsidR="003A05A3" w:rsidRPr="00E16672" w:rsidRDefault="003A05A3" w:rsidP="00843027">
            <w:pPr>
              <w:pStyle w:val="210"/>
              <w:tabs>
                <w:tab w:val="left" w:pos="365"/>
              </w:tabs>
              <w:snapToGrid w:val="0"/>
              <w:ind w:left="175" w:right="100" w:firstLine="7"/>
              <w:rPr>
                <w:rFonts w:ascii="Times New Roman" w:hAnsi="Times New Roman"/>
                <w:color w:val="000000"/>
                <w:sz w:val="16"/>
                <w:szCs w:val="16"/>
                <w:lang w:val="en-GB"/>
              </w:rPr>
            </w:pPr>
            <w:r w:rsidRPr="00E16672">
              <w:rPr>
                <w:rFonts w:ascii="Times New Roman" w:hAnsi="Times New Roman"/>
                <w:color w:val="000000"/>
                <w:sz w:val="16"/>
                <w:szCs w:val="16"/>
                <w:lang w:val="en-GB"/>
              </w:rPr>
              <w:t>5.6. Depository institution shall be liable</w:t>
            </w:r>
            <w:r w:rsidRPr="00E16672">
              <w:rPr>
                <w:rFonts w:ascii="Times New Roman" w:hAnsi="Times New Roman"/>
                <w:color w:val="000000"/>
                <w:sz w:val="16"/>
                <w:szCs w:val="16"/>
              </w:rPr>
              <w:t xml:space="preserve"> </w:t>
            </w:r>
            <w:r w:rsidRPr="00E16672">
              <w:rPr>
                <w:rFonts w:ascii="Times New Roman" w:hAnsi="Times New Roman"/>
                <w:color w:val="000000"/>
                <w:sz w:val="16"/>
                <w:szCs w:val="16"/>
                <w:lang w:val="en-GB"/>
              </w:rPr>
              <w:t>for:</w:t>
            </w:r>
          </w:p>
          <w:p w14:paraId="6D6E2A69" w14:textId="77777777" w:rsidR="003A05A3" w:rsidRPr="00E16672" w:rsidRDefault="003A05A3" w:rsidP="00843027">
            <w:pPr>
              <w:tabs>
                <w:tab w:val="left" w:pos="0"/>
                <w:tab w:val="left" w:pos="57"/>
                <w:tab w:val="left" w:pos="417"/>
              </w:tabs>
              <w:autoSpaceDE w:val="0"/>
              <w:ind w:left="175" w:right="100" w:firstLine="7"/>
              <w:rPr>
                <w:rFonts w:ascii="Times New Roman" w:hAnsi="Times New Roman"/>
                <w:color w:val="000000"/>
                <w:sz w:val="16"/>
                <w:szCs w:val="16"/>
                <w:lang w:val="en-GB"/>
              </w:rPr>
            </w:pPr>
            <w:r w:rsidRPr="00E16672">
              <w:rPr>
                <w:rFonts w:ascii="Times New Roman" w:hAnsi="Times New Roman"/>
                <w:color w:val="000000"/>
                <w:sz w:val="16"/>
                <w:szCs w:val="16"/>
                <w:lang w:val="en-GB"/>
              </w:rPr>
              <w:t>- providing the confidentiality of the Depositor and of its own securities;</w:t>
            </w:r>
          </w:p>
          <w:p w14:paraId="365E02B2" w14:textId="77777777" w:rsidR="003A05A3" w:rsidRPr="00E16672" w:rsidRDefault="003A05A3" w:rsidP="00843027">
            <w:pPr>
              <w:tabs>
                <w:tab w:val="left" w:pos="0"/>
                <w:tab w:val="left" w:pos="57"/>
                <w:tab w:val="left" w:pos="417"/>
              </w:tabs>
              <w:autoSpaceDE w:val="0"/>
              <w:ind w:left="175" w:right="100" w:firstLine="7"/>
              <w:rPr>
                <w:rFonts w:ascii="Times New Roman" w:hAnsi="Times New Roman"/>
                <w:color w:val="000000"/>
                <w:sz w:val="16"/>
                <w:szCs w:val="16"/>
                <w:lang w:val="en-GB"/>
              </w:rPr>
            </w:pPr>
          </w:p>
          <w:p w14:paraId="4F9A2694" w14:textId="77777777" w:rsidR="003A05A3" w:rsidRPr="00E16672" w:rsidRDefault="003A05A3" w:rsidP="00843027">
            <w:pPr>
              <w:tabs>
                <w:tab w:val="left" w:pos="0"/>
                <w:tab w:val="left" w:pos="57"/>
                <w:tab w:val="left" w:pos="417"/>
              </w:tabs>
              <w:autoSpaceDE w:val="0"/>
              <w:ind w:left="175" w:right="100" w:firstLine="7"/>
              <w:rPr>
                <w:rFonts w:ascii="Times New Roman" w:hAnsi="Times New Roman"/>
                <w:color w:val="000000"/>
                <w:sz w:val="16"/>
                <w:szCs w:val="16"/>
                <w:lang w:val="en-GB"/>
              </w:rPr>
            </w:pPr>
            <w:r w:rsidRPr="00E16672">
              <w:rPr>
                <w:rFonts w:ascii="Times New Roman" w:hAnsi="Times New Roman"/>
                <w:color w:val="000000"/>
                <w:sz w:val="16"/>
                <w:szCs w:val="16"/>
                <w:lang w:val="en-GB"/>
              </w:rPr>
              <w:t xml:space="preserve"> - proving the Depositor’s signatures on his orders;</w:t>
            </w:r>
          </w:p>
          <w:p w14:paraId="67C6D348" w14:textId="77777777" w:rsidR="003A05A3" w:rsidRPr="00E16672" w:rsidRDefault="003A05A3" w:rsidP="00843027">
            <w:pPr>
              <w:tabs>
                <w:tab w:val="left" w:pos="0"/>
                <w:tab w:val="left" w:pos="57"/>
                <w:tab w:val="left" w:pos="417"/>
              </w:tabs>
              <w:autoSpaceDE w:val="0"/>
              <w:ind w:left="175" w:right="100" w:firstLine="7"/>
              <w:rPr>
                <w:rFonts w:ascii="Times New Roman" w:hAnsi="Times New Roman"/>
                <w:color w:val="000000"/>
                <w:sz w:val="16"/>
                <w:szCs w:val="16"/>
                <w:lang w:val="en-GB"/>
              </w:rPr>
            </w:pPr>
          </w:p>
          <w:p w14:paraId="51A450FD" w14:textId="77777777" w:rsidR="003A05A3" w:rsidRPr="00E16672" w:rsidRDefault="003A05A3" w:rsidP="00843027">
            <w:pPr>
              <w:tabs>
                <w:tab w:val="left" w:pos="107"/>
                <w:tab w:val="left" w:pos="467"/>
              </w:tabs>
              <w:autoSpaceDE w:val="0"/>
              <w:snapToGrid w:val="0"/>
              <w:ind w:left="175" w:right="100" w:firstLine="7"/>
              <w:rPr>
                <w:rFonts w:ascii="Times New Roman" w:hAnsi="Times New Roman"/>
                <w:color w:val="000000"/>
                <w:sz w:val="16"/>
                <w:szCs w:val="16"/>
                <w:lang w:val="en-GB"/>
              </w:rPr>
            </w:pPr>
            <w:r w:rsidRPr="00E16672">
              <w:rPr>
                <w:rFonts w:ascii="Times New Roman" w:hAnsi="Times New Roman"/>
                <w:color w:val="000000"/>
                <w:sz w:val="16"/>
                <w:szCs w:val="16"/>
                <w:lang w:val="en-GB"/>
              </w:rPr>
              <w:t>-  checking the orders on the validation of filling the written instruction and for another checking according to the current legislation of Ukraine and internal documents of the Depository institution;</w:t>
            </w:r>
          </w:p>
          <w:p w14:paraId="27C3DFF7" w14:textId="77777777" w:rsidR="003A05A3" w:rsidRPr="00E16672" w:rsidRDefault="003A05A3" w:rsidP="00843027">
            <w:pPr>
              <w:tabs>
                <w:tab w:val="left" w:pos="0"/>
                <w:tab w:val="left" w:pos="57"/>
                <w:tab w:val="left" w:pos="417"/>
              </w:tabs>
              <w:autoSpaceDE w:val="0"/>
              <w:ind w:left="175" w:right="100" w:firstLine="7"/>
              <w:rPr>
                <w:rFonts w:ascii="Times New Roman" w:hAnsi="Times New Roman"/>
                <w:color w:val="000000"/>
                <w:sz w:val="16"/>
                <w:szCs w:val="16"/>
                <w:lang w:val="en-GB"/>
              </w:rPr>
            </w:pPr>
            <w:r w:rsidRPr="00E16672">
              <w:rPr>
                <w:rFonts w:ascii="Times New Roman" w:hAnsi="Times New Roman"/>
                <w:color w:val="000000"/>
                <w:sz w:val="16"/>
                <w:szCs w:val="16"/>
                <w:lang w:val="en-GB"/>
              </w:rPr>
              <w:t xml:space="preserve">-  correct execution of the Depositor’s orders </w:t>
            </w:r>
            <w:r w:rsidRPr="00F23413">
              <w:rPr>
                <w:rFonts w:ascii="Times New Roman" w:hAnsi="Times New Roman"/>
                <w:sz w:val="16"/>
                <w:szCs w:val="16"/>
                <w:lang w:val="en-US"/>
              </w:rPr>
              <w:t>in accordance with</w:t>
            </w:r>
            <w:r w:rsidRPr="00E16672">
              <w:rPr>
                <w:rFonts w:ascii="Times New Roman" w:hAnsi="Times New Roman"/>
                <w:color w:val="000000"/>
                <w:sz w:val="16"/>
                <w:szCs w:val="16"/>
                <w:lang w:val="en-GB"/>
              </w:rPr>
              <w:t xml:space="preserve"> the current legislation of Ukraine;</w:t>
            </w:r>
          </w:p>
          <w:p w14:paraId="2073C958" w14:textId="77777777" w:rsidR="003A05A3" w:rsidRPr="00E16672" w:rsidRDefault="003A05A3" w:rsidP="00843027">
            <w:pPr>
              <w:ind w:left="175" w:right="100" w:firstLine="7"/>
              <w:rPr>
                <w:rFonts w:ascii="Times New Roman" w:hAnsi="Times New Roman"/>
                <w:color w:val="000000"/>
                <w:sz w:val="16"/>
                <w:szCs w:val="16"/>
                <w:lang w:val="en-US"/>
              </w:rPr>
            </w:pPr>
            <w:r w:rsidRPr="00E16672">
              <w:rPr>
                <w:rFonts w:ascii="Times New Roman" w:hAnsi="Times New Roman"/>
                <w:color w:val="000000"/>
                <w:sz w:val="16"/>
                <w:szCs w:val="16"/>
                <w:lang w:val="en-GB"/>
              </w:rPr>
              <w:t xml:space="preserve">- compliance with accounting rules in carrying out their duties, </w:t>
            </w:r>
            <w:r w:rsidRPr="00E16672">
              <w:rPr>
                <w:rFonts w:ascii="Times New Roman" w:hAnsi="Times New Roman"/>
                <w:color w:val="000000"/>
                <w:sz w:val="16"/>
                <w:szCs w:val="16"/>
                <w:lang w:val="en-US"/>
              </w:rPr>
              <w:t xml:space="preserve">correctness of </w:t>
            </w:r>
            <w:r w:rsidRPr="00E16672">
              <w:rPr>
                <w:rFonts w:ascii="Times New Roman" w:hAnsi="Times New Roman"/>
                <w:color w:val="000000"/>
                <w:sz w:val="16"/>
                <w:szCs w:val="16"/>
                <w:lang w:val="en-GB"/>
              </w:rPr>
              <w:t>recording on a securities account;</w:t>
            </w:r>
          </w:p>
          <w:p w14:paraId="14FFFACE" w14:textId="77777777" w:rsidR="003A05A3" w:rsidRPr="00E16672" w:rsidRDefault="003A05A3" w:rsidP="00843027">
            <w:pPr>
              <w:tabs>
                <w:tab w:val="left" w:pos="148"/>
                <w:tab w:val="left" w:pos="417"/>
              </w:tabs>
              <w:autoSpaceDE w:val="0"/>
              <w:ind w:left="175" w:right="100" w:firstLine="7"/>
              <w:rPr>
                <w:rFonts w:ascii="Times New Roman" w:hAnsi="Times New Roman"/>
                <w:color w:val="000000"/>
                <w:sz w:val="16"/>
                <w:szCs w:val="16"/>
                <w:lang w:val="en-GB"/>
              </w:rPr>
            </w:pPr>
            <w:r w:rsidRPr="00E16672">
              <w:rPr>
                <w:rFonts w:ascii="Times New Roman" w:hAnsi="Times New Roman"/>
                <w:color w:val="000000"/>
                <w:sz w:val="16"/>
                <w:szCs w:val="16"/>
                <w:lang w:val="en-GB"/>
              </w:rPr>
              <w:t xml:space="preserve">- </w:t>
            </w:r>
            <w:r w:rsidRPr="00F23413">
              <w:rPr>
                <w:rStyle w:val="shorttext"/>
                <w:rFonts w:ascii="Times New Roman" w:hAnsi="Times New Roman"/>
                <w:sz w:val="16"/>
                <w:szCs w:val="16"/>
                <w:lang w:val="en-US"/>
              </w:rPr>
              <w:t>accounting</w:t>
            </w:r>
            <w:r w:rsidRPr="00E16672" w:rsidDel="003E2F8C">
              <w:rPr>
                <w:rFonts w:ascii="Times New Roman" w:hAnsi="Times New Roman"/>
                <w:color w:val="000000"/>
                <w:sz w:val="16"/>
                <w:szCs w:val="16"/>
                <w:lang w:val="en-GB"/>
              </w:rPr>
              <w:t xml:space="preserve"> </w:t>
            </w:r>
            <w:r w:rsidRPr="00E16672">
              <w:rPr>
                <w:rFonts w:ascii="Times New Roman" w:hAnsi="Times New Roman"/>
                <w:color w:val="000000"/>
                <w:sz w:val="16"/>
                <w:szCs w:val="16"/>
                <w:lang w:val="en-GB"/>
              </w:rPr>
              <w:t xml:space="preserve">the Depositor’s securities </w:t>
            </w:r>
            <w:r w:rsidRPr="00F23413">
              <w:rPr>
                <w:rStyle w:val="shorttext"/>
                <w:rFonts w:ascii="Times New Roman" w:hAnsi="Times New Roman"/>
                <w:sz w:val="16"/>
                <w:szCs w:val="16"/>
                <w:lang w:val="en-US"/>
              </w:rPr>
              <w:t>and securities rights</w:t>
            </w:r>
            <w:r w:rsidRPr="00E16672">
              <w:rPr>
                <w:rFonts w:ascii="Times New Roman" w:hAnsi="Times New Roman"/>
                <w:color w:val="000000"/>
                <w:sz w:val="16"/>
                <w:szCs w:val="16"/>
                <w:lang w:val="en-GB"/>
              </w:rPr>
              <w:t xml:space="preserve"> in Depository institution on Depositor’s account in securities.</w:t>
            </w:r>
          </w:p>
        </w:tc>
      </w:tr>
      <w:tr w:rsidR="003A05A3" w:rsidRPr="00F23413" w14:paraId="487DA90D" w14:textId="77777777" w:rsidTr="00242F58">
        <w:trPr>
          <w:trHeight w:val="192"/>
        </w:trPr>
        <w:tc>
          <w:tcPr>
            <w:tcW w:w="5696" w:type="dxa"/>
            <w:gridSpan w:val="8"/>
            <w:shd w:val="clear" w:color="auto" w:fill="auto"/>
          </w:tcPr>
          <w:p w14:paraId="71CF8F97" w14:textId="77777777" w:rsidR="003A05A3" w:rsidRPr="00E16672" w:rsidRDefault="003A05A3" w:rsidP="00843027">
            <w:pPr>
              <w:widowControl w:val="0"/>
              <w:snapToGrid w:val="0"/>
              <w:ind w:left="175" w:right="138" w:firstLine="7"/>
              <w:rPr>
                <w:rFonts w:ascii="Times New Roman" w:hAnsi="Times New Roman"/>
                <w:sz w:val="16"/>
                <w:szCs w:val="16"/>
                <w:lang w:val="uk-UA"/>
              </w:rPr>
            </w:pPr>
            <w:r w:rsidRPr="00E16672">
              <w:rPr>
                <w:rFonts w:ascii="Times New Roman" w:hAnsi="Times New Roman"/>
                <w:sz w:val="16"/>
                <w:szCs w:val="16"/>
              </w:rPr>
              <w:t xml:space="preserve">5.7. </w:t>
            </w:r>
            <w:proofErr w:type="spellStart"/>
            <w:r w:rsidRPr="00E16672">
              <w:rPr>
                <w:rFonts w:ascii="Times New Roman" w:hAnsi="Times New Roman"/>
                <w:sz w:val="16"/>
                <w:szCs w:val="16"/>
              </w:rPr>
              <w:t>Депозитарна</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установа</w:t>
            </w:r>
            <w:proofErr w:type="spellEnd"/>
            <w:r w:rsidRPr="00E16672">
              <w:rPr>
                <w:rFonts w:ascii="Times New Roman" w:hAnsi="Times New Roman"/>
                <w:sz w:val="16"/>
                <w:szCs w:val="16"/>
              </w:rPr>
              <w:t xml:space="preserve"> не </w:t>
            </w:r>
            <w:proofErr w:type="spellStart"/>
            <w:r w:rsidRPr="00E16672">
              <w:rPr>
                <w:rFonts w:ascii="Times New Roman" w:hAnsi="Times New Roman"/>
                <w:sz w:val="16"/>
                <w:szCs w:val="16"/>
              </w:rPr>
              <w:t>несе</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відповідальності</w:t>
            </w:r>
            <w:proofErr w:type="spellEnd"/>
            <w:r w:rsidRPr="00E16672">
              <w:rPr>
                <w:rFonts w:ascii="Times New Roman" w:hAnsi="Times New Roman"/>
                <w:sz w:val="16"/>
                <w:szCs w:val="16"/>
              </w:rPr>
              <w:t xml:space="preserve"> перед Депонентом за</w:t>
            </w:r>
            <w:r w:rsidRPr="00E16672">
              <w:rPr>
                <w:rFonts w:ascii="Times New Roman" w:hAnsi="Times New Roman"/>
                <w:sz w:val="16"/>
                <w:szCs w:val="16"/>
                <w:lang w:val="uk-UA"/>
              </w:rPr>
              <w:t>:</w:t>
            </w:r>
          </w:p>
          <w:p w14:paraId="42C49781" w14:textId="77777777" w:rsidR="003A05A3" w:rsidRPr="00E16672" w:rsidRDefault="003A05A3" w:rsidP="000D0438">
            <w:pPr>
              <w:widowControl w:val="0"/>
              <w:numPr>
                <w:ilvl w:val="0"/>
                <w:numId w:val="14"/>
              </w:numPr>
              <w:snapToGrid w:val="0"/>
              <w:ind w:left="175" w:right="138" w:firstLine="7"/>
              <w:rPr>
                <w:rFonts w:ascii="Times New Roman" w:hAnsi="Times New Roman"/>
                <w:sz w:val="16"/>
                <w:szCs w:val="16"/>
                <w:lang w:val="uk-UA"/>
              </w:rPr>
            </w:pPr>
            <w:r w:rsidRPr="00E16672">
              <w:rPr>
                <w:rFonts w:ascii="Times New Roman" w:hAnsi="Times New Roman"/>
                <w:sz w:val="16"/>
                <w:szCs w:val="16"/>
                <w:lang w:val="uk-UA"/>
              </w:rPr>
              <w:t>шкоду, заподіяну діями або бездіяльністю Депозитарної установи, якщо ці дії (бездіяльність) здійснювались Депозитарною установою за письмовими розпорядженнями Депонента, виникли внаслідок дій (бездіяльності) інших учасників депозитарної системи;</w:t>
            </w:r>
          </w:p>
          <w:p w14:paraId="0AF50F40" w14:textId="77777777" w:rsidR="003A05A3" w:rsidRPr="00E16672" w:rsidRDefault="003A05A3" w:rsidP="000D0438">
            <w:pPr>
              <w:numPr>
                <w:ilvl w:val="0"/>
                <w:numId w:val="14"/>
              </w:numPr>
              <w:ind w:left="175" w:firstLine="7"/>
              <w:rPr>
                <w:rStyle w:val="rvts0"/>
                <w:rFonts w:ascii="Times New Roman" w:hAnsi="Times New Roman"/>
                <w:color w:val="000000"/>
                <w:sz w:val="16"/>
                <w:szCs w:val="16"/>
                <w:lang w:val="uk-UA"/>
              </w:rPr>
            </w:pPr>
            <w:r w:rsidRPr="00E16672">
              <w:rPr>
                <w:rFonts w:ascii="Times New Roman" w:hAnsi="Times New Roman"/>
                <w:color w:val="000000"/>
                <w:sz w:val="16"/>
                <w:szCs w:val="16"/>
                <w:lang w:val="uk-UA"/>
              </w:rPr>
              <w:t xml:space="preserve">суми та порядок нарахування емітентом </w:t>
            </w:r>
            <w:r w:rsidRPr="00E16672">
              <w:rPr>
                <w:rStyle w:val="rvts0"/>
                <w:rFonts w:ascii="Times New Roman" w:hAnsi="Times New Roman"/>
                <w:sz w:val="16"/>
                <w:szCs w:val="16"/>
                <w:lang w:val="uk-UA"/>
              </w:rPr>
              <w:t>виплат доходу та інших виплат, що здійснюються (здійснювалися) відповідно до закону, за цінними паперами, права на які обліковуються на рахунку в цінних паперах Депонента, що надаються Депозитарній установі для виплат Депоненту;</w:t>
            </w:r>
          </w:p>
          <w:p w14:paraId="7656C67D" w14:textId="77777777" w:rsidR="003A05A3" w:rsidRPr="00E16672" w:rsidRDefault="003A05A3" w:rsidP="000D0438">
            <w:pPr>
              <w:numPr>
                <w:ilvl w:val="0"/>
                <w:numId w:val="14"/>
              </w:numPr>
              <w:ind w:left="175" w:firstLine="7"/>
              <w:rPr>
                <w:rFonts w:ascii="Times New Roman" w:hAnsi="Times New Roman"/>
                <w:sz w:val="16"/>
                <w:szCs w:val="16"/>
                <w:lang w:val="uk-UA"/>
              </w:rPr>
            </w:pPr>
            <w:r w:rsidRPr="00E16672">
              <w:rPr>
                <w:rFonts w:ascii="Times New Roman" w:hAnsi="Times New Roman"/>
                <w:color w:val="000000"/>
                <w:sz w:val="16"/>
                <w:szCs w:val="16"/>
                <w:lang w:val="uk-UA"/>
              </w:rPr>
              <w:t xml:space="preserve">неможливість перерахувати, не перерахування, несвоєчасне перерахування </w:t>
            </w:r>
            <w:r w:rsidRPr="00E16672">
              <w:rPr>
                <w:rStyle w:val="rvts0"/>
                <w:rFonts w:ascii="Times New Roman" w:hAnsi="Times New Roman"/>
                <w:sz w:val="16"/>
                <w:szCs w:val="16"/>
                <w:lang w:val="uk-UA"/>
              </w:rPr>
              <w:t>виплат доходу та інших виплат, що здійснюються (здійснювалися) відповідно до закону, за цінними паперами, права на які обліковуються на рахунку в цінних паперах Депонента, на банківський рахунок Депонента або поштовим переказом на поштову адресу Депонента – у разі відсутності на рахунку в цінних паперах інформації, необхідної для здійснення перерахування зазначених коштів, або недостовірності такої інформації.</w:t>
            </w:r>
          </w:p>
        </w:tc>
        <w:tc>
          <w:tcPr>
            <w:tcW w:w="5494" w:type="dxa"/>
            <w:gridSpan w:val="6"/>
            <w:shd w:val="clear" w:color="auto" w:fill="auto"/>
          </w:tcPr>
          <w:p w14:paraId="7A09AB1C" w14:textId="77777777" w:rsidR="003A05A3" w:rsidRPr="00E16672" w:rsidRDefault="003A05A3" w:rsidP="00843027">
            <w:pPr>
              <w:tabs>
                <w:tab w:val="left" w:pos="0"/>
                <w:tab w:val="left" w:pos="574"/>
              </w:tabs>
              <w:autoSpaceDE w:val="0"/>
              <w:snapToGrid w:val="0"/>
              <w:ind w:left="175" w:right="138" w:firstLine="7"/>
              <w:rPr>
                <w:rFonts w:ascii="Times New Roman" w:hAnsi="Times New Roman"/>
                <w:sz w:val="16"/>
                <w:szCs w:val="16"/>
                <w:lang w:val="uk-UA"/>
              </w:rPr>
            </w:pPr>
            <w:r w:rsidRPr="00E16672">
              <w:rPr>
                <w:rFonts w:ascii="Times New Roman" w:hAnsi="Times New Roman"/>
                <w:sz w:val="16"/>
                <w:szCs w:val="16"/>
                <w:lang w:val="uk-UA"/>
              </w:rPr>
              <w:t xml:space="preserve"> </w:t>
            </w:r>
            <w:r w:rsidRPr="00E16672">
              <w:rPr>
                <w:rFonts w:ascii="Times New Roman" w:hAnsi="Times New Roman"/>
                <w:sz w:val="16"/>
                <w:szCs w:val="16"/>
                <w:lang w:val="en-GB"/>
              </w:rPr>
              <w:t xml:space="preserve">5.7. Depository institution is not liable to the </w:t>
            </w:r>
            <w:r w:rsidRPr="00E16672">
              <w:rPr>
                <w:rFonts w:ascii="Times New Roman" w:hAnsi="Times New Roman"/>
                <w:sz w:val="16"/>
                <w:szCs w:val="16"/>
                <w:lang w:val="en-US"/>
              </w:rPr>
              <w:t>D</w:t>
            </w:r>
            <w:proofErr w:type="spellStart"/>
            <w:r w:rsidRPr="00E16672">
              <w:rPr>
                <w:rFonts w:ascii="Times New Roman" w:hAnsi="Times New Roman"/>
                <w:sz w:val="16"/>
                <w:szCs w:val="16"/>
                <w:lang w:val="en-GB"/>
              </w:rPr>
              <w:t>epositor</w:t>
            </w:r>
            <w:proofErr w:type="spellEnd"/>
            <w:r w:rsidRPr="00E16672">
              <w:rPr>
                <w:rFonts w:ascii="Times New Roman" w:hAnsi="Times New Roman"/>
                <w:sz w:val="16"/>
                <w:szCs w:val="16"/>
                <w:lang w:val="en-GB"/>
              </w:rPr>
              <w:t xml:space="preserve"> for</w:t>
            </w:r>
            <w:r w:rsidRPr="00E16672">
              <w:rPr>
                <w:rFonts w:ascii="Times New Roman" w:hAnsi="Times New Roman"/>
                <w:sz w:val="16"/>
                <w:szCs w:val="16"/>
                <w:lang w:val="uk-UA"/>
              </w:rPr>
              <w:t>:</w:t>
            </w:r>
          </w:p>
          <w:p w14:paraId="5FF63B32" w14:textId="77777777" w:rsidR="003A05A3" w:rsidRPr="00E16672" w:rsidRDefault="003A05A3" w:rsidP="000D0438">
            <w:pPr>
              <w:numPr>
                <w:ilvl w:val="0"/>
                <w:numId w:val="15"/>
              </w:numPr>
              <w:tabs>
                <w:tab w:val="left" w:pos="148"/>
                <w:tab w:val="left" w:pos="574"/>
              </w:tabs>
              <w:autoSpaceDE w:val="0"/>
              <w:snapToGrid w:val="0"/>
              <w:ind w:left="175" w:right="138" w:firstLine="7"/>
              <w:rPr>
                <w:rFonts w:ascii="Times New Roman" w:hAnsi="Times New Roman"/>
                <w:sz w:val="16"/>
                <w:szCs w:val="16"/>
                <w:lang w:val="en-GB"/>
              </w:rPr>
            </w:pPr>
            <w:r w:rsidRPr="00E16672">
              <w:rPr>
                <w:rFonts w:ascii="Times New Roman" w:hAnsi="Times New Roman"/>
                <w:sz w:val="16"/>
                <w:szCs w:val="16"/>
                <w:lang w:val="en-GB"/>
              </w:rPr>
              <w:t xml:space="preserve">damages caused by acts or omissions of the </w:t>
            </w:r>
            <w:r w:rsidRPr="00E16672">
              <w:rPr>
                <w:rFonts w:ascii="Times New Roman" w:hAnsi="Times New Roman"/>
                <w:sz w:val="16"/>
                <w:szCs w:val="16"/>
                <w:lang w:val="en-US"/>
              </w:rPr>
              <w:t>D</w:t>
            </w:r>
            <w:proofErr w:type="spellStart"/>
            <w:r w:rsidRPr="00E16672">
              <w:rPr>
                <w:rFonts w:ascii="Times New Roman" w:hAnsi="Times New Roman"/>
                <w:sz w:val="16"/>
                <w:szCs w:val="16"/>
                <w:lang w:val="en-GB"/>
              </w:rPr>
              <w:t>epository</w:t>
            </w:r>
            <w:proofErr w:type="spellEnd"/>
            <w:r w:rsidRPr="00E16672">
              <w:rPr>
                <w:rFonts w:ascii="Times New Roman" w:hAnsi="Times New Roman"/>
                <w:sz w:val="16"/>
                <w:szCs w:val="16"/>
                <w:lang w:val="en-GB"/>
              </w:rPr>
              <w:t xml:space="preserve"> institution, if such actions (omissions) were made </w:t>
            </w:r>
            <w:r w:rsidRPr="00E16672">
              <w:rPr>
                <w:rFonts w:ascii="Times New Roman" w:hAnsi="Times New Roman"/>
                <w:sz w:val="16"/>
                <w:szCs w:val="16"/>
                <w:lang w:val="en-US"/>
              </w:rPr>
              <w:t>D</w:t>
            </w:r>
            <w:proofErr w:type="spellStart"/>
            <w:r w:rsidRPr="00E16672">
              <w:rPr>
                <w:rFonts w:ascii="Times New Roman" w:hAnsi="Times New Roman"/>
                <w:sz w:val="16"/>
                <w:szCs w:val="16"/>
                <w:lang w:val="en-GB"/>
              </w:rPr>
              <w:t>epository</w:t>
            </w:r>
            <w:proofErr w:type="spellEnd"/>
            <w:r w:rsidRPr="00E16672">
              <w:rPr>
                <w:rFonts w:ascii="Times New Roman" w:hAnsi="Times New Roman"/>
                <w:sz w:val="16"/>
                <w:szCs w:val="16"/>
                <w:lang w:val="en-GB"/>
              </w:rPr>
              <w:t xml:space="preserve"> </w:t>
            </w:r>
            <w:proofErr w:type="gramStart"/>
            <w:r w:rsidRPr="00E16672">
              <w:rPr>
                <w:rFonts w:ascii="Times New Roman" w:hAnsi="Times New Roman"/>
                <w:sz w:val="16"/>
                <w:szCs w:val="16"/>
                <w:lang w:val="en-GB"/>
              </w:rPr>
              <w:t xml:space="preserve">institution </w:t>
            </w:r>
            <w:r w:rsidRPr="00E16672">
              <w:rPr>
                <w:rFonts w:ascii="Times New Roman" w:hAnsi="Times New Roman"/>
                <w:sz w:val="16"/>
                <w:szCs w:val="16"/>
                <w:lang w:val="en-US"/>
              </w:rPr>
              <w:t xml:space="preserve"> by</w:t>
            </w:r>
            <w:proofErr w:type="gramEnd"/>
            <w:r w:rsidRPr="00E16672">
              <w:rPr>
                <w:rFonts w:ascii="Times New Roman" w:hAnsi="Times New Roman"/>
                <w:sz w:val="16"/>
                <w:szCs w:val="16"/>
                <w:lang w:val="en-US"/>
              </w:rPr>
              <w:t xml:space="preserve"> </w:t>
            </w:r>
            <w:r w:rsidRPr="00E16672">
              <w:rPr>
                <w:rFonts w:ascii="Times New Roman" w:hAnsi="Times New Roman"/>
                <w:sz w:val="16"/>
                <w:szCs w:val="16"/>
                <w:lang w:val="en-GB"/>
              </w:rPr>
              <w:t>the written order of the Depositor, resulting from actions (inaction) of other participants in the depository system</w:t>
            </w:r>
            <w:r w:rsidRPr="00E16672">
              <w:rPr>
                <w:rFonts w:ascii="Times New Roman" w:hAnsi="Times New Roman"/>
                <w:sz w:val="16"/>
                <w:szCs w:val="16"/>
                <w:lang w:val="uk-UA"/>
              </w:rPr>
              <w:t>;</w:t>
            </w:r>
          </w:p>
          <w:p w14:paraId="0449C7E8" w14:textId="77777777" w:rsidR="003A05A3" w:rsidRPr="00E16672" w:rsidRDefault="003A05A3" w:rsidP="00843027">
            <w:pPr>
              <w:tabs>
                <w:tab w:val="left" w:pos="148"/>
                <w:tab w:val="left" w:pos="574"/>
              </w:tabs>
              <w:autoSpaceDE w:val="0"/>
              <w:snapToGrid w:val="0"/>
              <w:ind w:left="175" w:right="138" w:firstLine="7"/>
              <w:rPr>
                <w:rFonts w:ascii="Times New Roman" w:hAnsi="Times New Roman"/>
                <w:sz w:val="16"/>
                <w:szCs w:val="16"/>
                <w:lang w:val="en-GB"/>
              </w:rPr>
            </w:pPr>
          </w:p>
          <w:p w14:paraId="1D86C17C" w14:textId="77777777" w:rsidR="003A05A3" w:rsidRPr="00E16672" w:rsidRDefault="003A05A3" w:rsidP="000D0438">
            <w:pPr>
              <w:numPr>
                <w:ilvl w:val="0"/>
                <w:numId w:val="15"/>
              </w:numPr>
              <w:tabs>
                <w:tab w:val="left" w:pos="148"/>
                <w:tab w:val="left" w:pos="574"/>
              </w:tabs>
              <w:autoSpaceDE w:val="0"/>
              <w:snapToGrid w:val="0"/>
              <w:ind w:left="175" w:right="138" w:firstLine="7"/>
              <w:rPr>
                <w:rFonts w:ascii="Times New Roman" w:hAnsi="Times New Roman"/>
                <w:sz w:val="16"/>
                <w:szCs w:val="16"/>
                <w:lang w:val="en-GB"/>
              </w:rPr>
            </w:pPr>
            <w:r w:rsidRPr="00F23413">
              <w:rPr>
                <w:rFonts w:ascii="Times New Roman" w:hAnsi="Times New Roman"/>
                <w:sz w:val="16"/>
                <w:szCs w:val="16"/>
                <w:lang w:val="en-US"/>
              </w:rPr>
              <w:t>amounts and procedure for accrual by the issuer of payments of income and other payments made (carried out) in accordance with the law, for securities registered in the Securities account of the Depositor to be provided to the Depositary institution for payment to the Depositor;</w:t>
            </w:r>
          </w:p>
          <w:p w14:paraId="55B98059" w14:textId="77777777" w:rsidR="003A05A3" w:rsidRPr="00E16672" w:rsidRDefault="003A05A3" w:rsidP="00843027">
            <w:pPr>
              <w:tabs>
                <w:tab w:val="left" w:pos="148"/>
                <w:tab w:val="left" w:pos="574"/>
              </w:tabs>
              <w:autoSpaceDE w:val="0"/>
              <w:snapToGrid w:val="0"/>
              <w:ind w:left="175" w:right="138" w:firstLine="7"/>
              <w:rPr>
                <w:rFonts w:ascii="Times New Roman" w:hAnsi="Times New Roman"/>
                <w:sz w:val="16"/>
                <w:szCs w:val="16"/>
                <w:lang w:val="en-GB"/>
              </w:rPr>
            </w:pPr>
            <w:r w:rsidRPr="00E16672">
              <w:rPr>
                <w:rFonts w:ascii="Times New Roman" w:hAnsi="Times New Roman"/>
                <w:sz w:val="16"/>
                <w:szCs w:val="16"/>
              </w:rPr>
              <w:sym w:font="Symbol" w:char="F02D"/>
            </w:r>
            <w:r w:rsidRPr="00F23413">
              <w:rPr>
                <w:rFonts w:ascii="Times New Roman" w:hAnsi="Times New Roman"/>
                <w:sz w:val="16"/>
                <w:szCs w:val="16"/>
                <w:lang w:val="en-US"/>
              </w:rPr>
              <w:t xml:space="preserve"> impossibility to transfer, not transfer, untimely transfer of payment of income and other payments made (carried out) in accordance with the law, for securities registered in the securities account of the Depositor, to the Depositor's bank account or by postal transfer to the Depositor's mailing address - in the absence of the information in the securities account necessary for the transfer of these funds, or the unreliability of such information.</w:t>
            </w:r>
          </w:p>
        </w:tc>
      </w:tr>
      <w:tr w:rsidR="003A05A3" w:rsidRPr="00F23413" w14:paraId="49394DA6" w14:textId="77777777" w:rsidTr="00242F58">
        <w:trPr>
          <w:trHeight w:val="966"/>
        </w:trPr>
        <w:tc>
          <w:tcPr>
            <w:tcW w:w="5696" w:type="dxa"/>
            <w:gridSpan w:val="8"/>
            <w:shd w:val="clear" w:color="auto" w:fill="auto"/>
          </w:tcPr>
          <w:p w14:paraId="17CB45F2" w14:textId="77777777" w:rsidR="003A05A3" w:rsidRPr="00E16672" w:rsidRDefault="003A05A3" w:rsidP="00843027">
            <w:pPr>
              <w:snapToGrid w:val="0"/>
              <w:ind w:left="175" w:right="138" w:firstLine="7"/>
              <w:rPr>
                <w:rFonts w:ascii="Times New Roman" w:hAnsi="Times New Roman"/>
                <w:sz w:val="16"/>
                <w:szCs w:val="16"/>
                <w:lang w:val="en-US"/>
              </w:rPr>
            </w:pPr>
          </w:p>
          <w:p w14:paraId="6C470FCE" w14:textId="77777777" w:rsidR="003A05A3" w:rsidRPr="00E16672" w:rsidRDefault="003A05A3" w:rsidP="00843027">
            <w:pPr>
              <w:ind w:left="175" w:right="138" w:firstLine="7"/>
              <w:rPr>
                <w:rFonts w:ascii="Times New Roman" w:hAnsi="Times New Roman"/>
                <w:sz w:val="16"/>
                <w:szCs w:val="16"/>
                <w:lang w:val="uk-UA"/>
              </w:rPr>
            </w:pPr>
            <w:r w:rsidRPr="00E16672">
              <w:rPr>
                <w:rFonts w:ascii="Times New Roman" w:hAnsi="Times New Roman"/>
                <w:sz w:val="16"/>
                <w:szCs w:val="16"/>
              </w:rPr>
              <w:t xml:space="preserve">5.8. Депонент </w:t>
            </w:r>
            <w:proofErr w:type="spellStart"/>
            <w:r w:rsidRPr="00E16672">
              <w:rPr>
                <w:rFonts w:ascii="Times New Roman" w:hAnsi="Times New Roman"/>
                <w:sz w:val="16"/>
                <w:szCs w:val="16"/>
              </w:rPr>
              <w:t>несе</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вiдповiдальнiсть</w:t>
            </w:r>
            <w:proofErr w:type="spellEnd"/>
            <w:r w:rsidRPr="00E16672">
              <w:rPr>
                <w:rFonts w:ascii="Times New Roman" w:hAnsi="Times New Roman"/>
                <w:sz w:val="16"/>
                <w:szCs w:val="16"/>
              </w:rPr>
              <w:t xml:space="preserve"> за</w:t>
            </w:r>
            <w:r w:rsidRPr="00E16672">
              <w:rPr>
                <w:rFonts w:ascii="Times New Roman" w:hAnsi="Times New Roman"/>
                <w:sz w:val="16"/>
                <w:szCs w:val="16"/>
                <w:lang w:val="uk-UA"/>
              </w:rPr>
              <w:t>:</w:t>
            </w:r>
          </w:p>
          <w:p w14:paraId="7D364931" w14:textId="77777777" w:rsidR="003A05A3" w:rsidRPr="00E16672" w:rsidRDefault="003A05A3" w:rsidP="000D0438">
            <w:pPr>
              <w:numPr>
                <w:ilvl w:val="0"/>
                <w:numId w:val="15"/>
              </w:numPr>
              <w:ind w:left="175" w:right="138" w:firstLine="7"/>
              <w:rPr>
                <w:rFonts w:ascii="Times New Roman" w:hAnsi="Times New Roman"/>
                <w:sz w:val="16"/>
                <w:szCs w:val="16"/>
              </w:rPr>
            </w:pPr>
            <w:proofErr w:type="spellStart"/>
            <w:r w:rsidRPr="00E16672">
              <w:rPr>
                <w:rFonts w:ascii="Times New Roman" w:hAnsi="Times New Roman"/>
                <w:sz w:val="16"/>
                <w:szCs w:val="16"/>
              </w:rPr>
              <w:t>власні</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дії</w:t>
            </w:r>
            <w:proofErr w:type="spellEnd"/>
            <w:r w:rsidRPr="00E16672">
              <w:rPr>
                <w:rFonts w:ascii="Times New Roman" w:hAnsi="Times New Roman"/>
                <w:sz w:val="16"/>
                <w:szCs w:val="16"/>
              </w:rPr>
              <w:t xml:space="preserve">, за </w:t>
            </w:r>
            <w:proofErr w:type="spellStart"/>
            <w:r w:rsidRPr="00E16672">
              <w:rPr>
                <w:rFonts w:ascii="Times New Roman" w:hAnsi="Times New Roman"/>
                <w:sz w:val="16"/>
                <w:szCs w:val="16"/>
              </w:rPr>
              <w:t>всі</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дії</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його</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уповноважених</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осіб</w:t>
            </w:r>
            <w:proofErr w:type="spellEnd"/>
            <w:r w:rsidRPr="00E16672">
              <w:rPr>
                <w:rFonts w:ascii="Times New Roman" w:hAnsi="Times New Roman"/>
                <w:sz w:val="16"/>
                <w:szCs w:val="16"/>
              </w:rPr>
              <w:t xml:space="preserve"> та </w:t>
            </w:r>
            <w:proofErr w:type="spellStart"/>
            <w:r w:rsidRPr="00E16672">
              <w:rPr>
                <w:rFonts w:ascii="Times New Roman" w:hAnsi="Times New Roman"/>
                <w:sz w:val="16"/>
                <w:szCs w:val="16"/>
              </w:rPr>
              <w:t>розпорядників</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рахунків</w:t>
            </w:r>
            <w:proofErr w:type="spellEnd"/>
            <w:r w:rsidRPr="00E16672">
              <w:rPr>
                <w:rFonts w:ascii="Times New Roman" w:hAnsi="Times New Roman"/>
                <w:sz w:val="16"/>
                <w:szCs w:val="16"/>
              </w:rPr>
              <w:t xml:space="preserve">, а </w:t>
            </w:r>
            <w:proofErr w:type="spellStart"/>
            <w:r w:rsidRPr="00E16672">
              <w:rPr>
                <w:rFonts w:ascii="Times New Roman" w:hAnsi="Times New Roman"/>
                <w:sz w:val="16"/>
                <w:szCs w:val="16"/>
              </w:rPr>
              <w:t>також</w:t>
            </w:r>
            <w:proofErr w:type="spellEnd"/>
            <w:r w:rsidRPr="00E16672">
              <w:rPr>
                <w:rFonts w:ascii="Times New Roman" w:hAnsi="Times New Roman"/>
                <w:sz w:val="16"/>
                <w:szCs w:val="16"/>
              </w:rPr>
              <w:t xml:space="preserve"> за </w:t>
            </w:r>
            <w:proofErr w:type="spellStart"/>
            <w:r w:rsidRPr="00E16672">
              <w:rPr>
                <w:rFonts w:ascii="Times New Roman" w:hAnsi="Times New Roman"/>
                <w:sz w:val="16"/>
                <w:szCs w:val="16"/>
              </w:rPr>
              <w:t>наслідки</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виданих</w:t>
            </w:r>
            <w:proofErr w:type="spellEnd"/>
            <w:r w:rsidRPr="00E16672">
              <w:rPr>
                <w:rFonts w:ascii="Times New Roman" w:hAnsi="Times New Roman"/>
                <w:sz w:val="16"/>
                <w:szCs w:val="16"/>
              </w:rPr>
              <w:t xml:space="preserve"> ним </w:t>
            </w:r>
            <w:proofErr w:type="spellStart"/>
            <w:r w:rsidRPr="00E16672">
              <w:rPr>
                <w:rFonts w:ascii="Times New Roman" w:hAnsi="Times New Roman"/>
                <w:sz w:val="16"/>
                <w:szCs w:val="16"/>
              </w:rPr>
              <w:t>розпоряджень</w:t>
            </w:r>
            <w:proofErr w:type="spellEnd"/>
            <w:r w:rsidRPr="00E16672">
              <w:rPr>
                <w:rFonts w:ascii="Times New Roman" w:hAnsi="Times New Roman"/>
                <w:sz w:val="16"/>
                <w:szCs w:val="16"/>
                <w:lang w:val="uk-UA"/>
              </w:rPr>
              <w:t>;</w:t>
            </w:r>
          </w:p>
          <w:p w14:paraId="26A2EAA4" w14:textId="77777777" w:rsidR="003A05A3" w:rsidRPr="00E16672" w:rsidRDefault="003A05A3" w:rsidP="00843027">
            <w:pPr>
              <w:ind w:left="175" w:right="138" w:firstLine="7"/>
              <w:rPr>
                <w:rFonts w:ascii="Times New Roman" w:hAnsi="Times New Roman"/>
                <w:sz w:val="16"/>
                <w:szCs w:val="16"/>
              </w:rPr>
            </w:pPr>
          </w:p>
          <w:p w14:paraId="53106992" w14:textId="77777777" w:rsidR="003A05A3" w:rsidRPr="00E16672" w:rsidRDefault="003A05A3" w:rsidP="000D0438">
            <w:pPr>
              <w:numPr>
                <w:ilvl w:val="0"/>
                <w:numId w:val="15"/>
              </w:numPr>
              <w:ind w:left="175" w:firstLine="7"/>
              <w:rPr>
                <w:rFonts w:ascii="Times New Roman" w:hAnsi="Times New Roman"/>
                <w:color w:val="000000"/>
                <w:sz w:val="16"/>
                <w:szCs w:val="16"/>
                <w:lang w:val="uk-UA"/>
              </w:rPr>
            </w:pPr>
            <w:r w:rsidRPr="00E16672">
              <w:rPr>
                <w:rFonts w:ascii="Times New Roman" w:hAnsi="Times New Roman"/>
                <w:color w:val="000000"/>
                <w:sz w:val="16"/>
                <w:szCs w:val="16"/>
                <w:lang w:val="uk-UA"/>
              </w:rPr>
              <w:t>повноту та достовірність інформації, що надається Депозитарній установі на виконання цього Договору, в тому числі її своєчасну актуалізацію.</w:t>
            </w:r>
          </w:p>
          <w:p w14:paraId="37AEF7A2" w14:textId="77777777" w:rsidR="003A05A3" w:rsidRPr="00E16672" w:rsidRDefault="003A05A3" w:rsidP="00843027">
            <w:pPr>
              <w:ind w:left="175" w:right="138" w:firstLine="7"/>
              <w:rPr>
                <w:rFonts w:ascii="Times New Roman" w:hAnsi="Times New Roman"/>
                <w:sz w:val="16"/>
                <w:szCs w:val="16"/>
              </w:rPr>
            </w:pPr>
            <w:r w:rsidRPr="00E16672">
              <w:rPr>
                <w:rFonts w:ascii="Times New Roman" w:hAnsi="Times New Roman"/>
                <w:sz w:val="16"/>
                <w:szCs w:val="16"/>
              </w:rPr>
              <w:t xml:space="preserve"> </w:t>
            </w:r>
          </w:p>
        </w:tc>
        <w:tc>
          <w:tcPr>
            <w:tcW w:w="5494" w:type="dxa"/>
            <w:gridSpan w:val="6"/>
            <w:shd w:val="clear" w:color="auto" w:fill="auto"/>
          </w:tcPr>
          <w:p w14:paraId="4E5EC36A" w14:textId="77777777" w:rsidR="003A05A3" w:rsidRPr="00E16672" w:rsidRDefault="003A05A3" w:rsidP="00843027">
            <w:pPr>
              <w:tabs>
                <w:tab w:val="left" w:pos="574"/>
              </w:tabs>
              <w:autoSpaceDE w:val="0"/>
              <w:snapToGrid w:val="0"/>
              <w:ind w:left="175" w:right="138" w:firstLine="7"/>
              <w:rPr>
                <w:rFonts w:ascii="Times New Roman" w:hAnsi="Times New Roman"/>
                <w:sz w:val="16"/>
                <w:szCs w:val="16"/>
              </w:rPr>
            </w:pPr>
          </w:p>
          <w:p w14:paraId="247B90E0" w14:textId="77777777" w:rsidR="003A05A3" w:rsidRPr="00E16672" w:rsidRDefault="003A05A3" w:rsidP="00843027">
            <w:pPr>
              <w:tabs>
                <w:tab w:val="left" w:pos="574"/>
              </w:tabs>
              <w:autoSpaceDE w:val="0"/>
              <w:ind w:left="175" w:right="138" w:firstLine="7"/>
              <w:rPr>
                <w:rFonts w:ascii="Times New Roman" w:hAnsi="Times New Roman"/>
                <w:sz w:val="16"/>
                <w:szCs w:val="16"/>
                <w:lang w:val="uk-UA"/>
              </w:rPr>
            </w:pPr>
            <w:r w:rsidRPr="00E16672">
              <w:rPr>
                <w:rFonts w:ascii="Times New Roman" w:hAnsi="Times New Roman"/>
                <w:sz w:val="16"/>
                <w:szCs w:val="16"/>
                <w:lang w:val="en-GB"/>
              </w:rPr>
              <w:t>5.8. Depositor is responsible for</w:t>
            </w:r>
            <w:r w:rsidRPr="00E16672">
              <w:rPr>
                <w:rFonts w:ascii="Times New Roman" w:hAnsi="Times New Roman"/>
                <w:sz w:val="16"/>
                <w:szCs w:val="16"/>
                <w:lang w:val="uk-UA"/>
              </w:rPr>
              <w:t>:</w:t>
            </w:r>
          </w:p>
          <w:p w14:paraId="3371B346" w14:textId="77777777" w:rsidR="003A05A3" w:rsidRPr="00E16672" w:rsidRDefault="003A05A3" w:rsidP="000D0438">
            <w:pPr>
              <w:numPr>
                <w:ilvl w:val="0"/>
                <w:numId w:val="16"/>
              </w:numPr>
              <w:tabs>
                <w:tab w:val="left" w:pos="574"/>
              </w:tabs>
              <w:autoSpaceDE w:val="0"/>
              <w:ind w:left="175" w:right="138" w:firstLine="7"/>
              <w:rPr>
                <w:rFonts w:ascii="Times New Roman" w:hAnsi="Times New Roman"/>
                <w:sz w:val="16"/>
                <w:szCs w:val="16"/>
                <w:lang w:val="en-US"/>
              </w:rPr>
            </w:pPr>
            <w:r w:rsidRPr="00E16672">
              <w:rPr>
                <w:rFonts w:ascii="Times New Roman" w:hAnsi="Times New Roman"/>
                <w:sz w:val="16"/>
                <w:szCs w:val="16"/>
                <w:lang w:val="en-GB"/>
              </w:rPr>
              <w:t>all of his own activities, all of the activities of his authorized persons and managers of the account and consequences of the orders they gave</w:t>
            </w:r>
            <w:r w:rsidRPr="00E16672">
              <w:rPr>
                <w:rFonts w:ascii="Times New Roman" w:hAnsi="Times New Roman"/>
                <w:sz w:val="16"/>
                <w:szCs w:val="16"/>
                <w:lang w:val="uk-UA"/>
              </w:rPr>
              <w:t>;</w:t>
            </w:r>
          </w:p>
          <w:p w14:paraId="2BF74C5D" w14:textId="77777777" w:rsidR="003A05A3" w:rsidRPr="00E16672" w:rsidRDefault="003A05A3" w:rsidP="000D0438">
            <w:pPr>
              <w:numPr>
                <w:ilvl w:val="0"/>
                <w:numId w:val="16"/>
              </w:numPr>
              <w:tabs>
                <w:tab w:val="left" w:pos="574"/>
              </w:tabs>
              <w:autoSpaceDE w:val="0"/>
              <w:ind w:left="175" w:right="138" w:firstLine="7"/>
              <w:rPr>
                <w:rFonts w:ascii="Times New Roman" w:hAnsi="Times New Roman"/>
                <w:sz w:val="16"/>
                <w:szCs w:val="16"/>
                <w:lang w:val="en-US"/>
              </w:rPr>
            </w:pPr>
            <w:r w:rsidRPr="00F23413">
              <w:rPr>
                <w:rFonts w:ascii="Times New Roman" w:hAnsi="Times New Roman"/>
                <w:sz w:val="16"/>
                <w:szCs w:val="16"/>
                <w:lang w:val="en-US"/>
              </w:rPr>
              <w:t>completeness and authenticity of the information provided to the depositary institution for the implementation of this Agreement, including its timely updating.</w:t>
            </w:r>
          </w:p>
        </w:tc>
      </w:tr>
      <w:tr w:rsidR="003A05A3" w:rsidRPr="00F23413" w14:paraId="685427E1" w14:textId="77777777" w:rsidTr="00242F58">
        <w:trPr>
          <w:trHeight w:val="192"/>
        </w:trPr>
        <w:tc>
          <w:tcPr>
            <w:tcW w:w="5696" w:type="dxa"/>
            <w:gridSpan w:val="8"/>
            <w:shd w:val="clear" w:color="auto" w:fill="auto"/>
          </w:tcPr>
          <w:p w14:paraId="3664A62F" w14:textId="77777777" w:rsidR="003A05A3" w:rsidRPr="00E16672" w:rsidRDefault="003A05A3" w:rsidP="00843027">
            <w:pPr>
              <w:snapToGrid w:val="0"/>
              <w:ind w:left="175" w:right="138" w:firstLine="7"/>
              <w:rPr>
                <w:rFonts w:ascii="Times New Roman" w:hAnsi="Times New Roman"/>
                <w:color w:val="000000"/>
                <w:sz w:val="16"/>
                <w:szCs w:val="16"/>
              </w:rPr>
            </w:pPr>
            <w:r w:rsidRPr="00E16672">
              <w:rPr>
                <w:rFonts w:ascii="Times New Roman" w:hAnsi="Times New Roman"/>
                <w:color w:val="000000"/>
                <w:sz w:val="16"/>
                <w:szCs w:val="16"/>
              </w:rPr>
              <w:t xml:space="preserve">5.9. </w:t>
            </w:r>
            <w:r w:rsidRPr="00E16672">
              <w:rPr>
                <w:rFonts w:ascii="Times New Roman" w:hAnsi="Times New Roman"/>
                <w:color w:val="000000"/>
                <w:sz w:val="16"/>
                <w:szCs w:val="16"/>
                <w:lang w:val="uk-UA"/>
              </w:rPr>
              <w:t xml:space="preserve">Депозитарна установа має право за порушення термінів оплати нарахувати та стягнути з іншої Сторони пеню у розмірі </w:t>
            </w:r>
            <w:r w:rsidRPr="00E16672">
              <w:rPr>
                <w:rFonts w:ascii="Times New Roman" w:hAnsi="Times New Roman"/>
                <w:i/>
                <w:iCs/>
                <w:color w:val="000000"/>
                <w:sz w:val="16"/>
                <w:szCs w:val="16"/>
                <w:lang w:val="uk-UA"/>
              </w:rPr>
              <w:t>подвійної облікової ставки</w:t>
            </w:r>
            <w:r w:rsidRPr="00E16672">
              <w:rPr>
                <w:rFonts w:ascii="Times New Roman" w:hAnsi="Times New Roman"/>
                <w:color w:val="000000"/>
                <w:sz w:val="16"/>
                <w:szCs w:val="16"/>
                <w:lang w:val="uk-UA"/>
              </w:rPr>
              <w:t xml:space="preserve"> Національного банку України, що діяла у період прострочення,</w:t>
            </w:r>
            <w:r w:rsidRPr="00E16672">
              <w:rPr>
                <w:rFonts w:ascii="Times New Roman" w:hAnsi="Times New Roman"/>
                <w:color w:val="000000"/>
                <w:sz w:val="16"/>
                <w:szCs w:val="16"/>
                <w:lang w:eastAsia="hi-IN" w:bidi="hi-IN"/>
              </w:rPr>
              <w:t xml:space="preserve"> </w:t>
            </w:r>
            <w:proofErr w:type="spellStart"/>
            <w:r w:rsidRPr="00E16672">
              <w:rPr>
                <w:rFonts w:ascii="Times New Roman" w:hAnsi="Times New Roman"/>
                <w:color w:val="000000"/>
                <w:sz w:val="16"/>
                <w:szCs w:val="16"/>
                <w:lang w:eastAsia="hi-IN" w:bidi="hi-IN"/>
              </w:rPr>
              <w:t>від</w:t>
            </w:r>
            <w:proofErr w:type="spellEnd"/>
            <w:r w:rsidRPr="00E16672">
              <w:rPr>
                <w:rFonts w:ascii="Times New Roman" w:hAnsi="Times New Roman"/>
                <w:color w:val="000000"/>
                <w:sz w:val="16"/>
                <w:szCs w:val="16"/>
                <w:lang w:eastAsia="hi-IN" w:bidi="hi-IN"/>
              </w:rPr>
              <w:t xml:space="preserve"> </w:t>
            </w:r>
            <w:proofErr w:type="spellStart"/>
            <w:r w:rsidRPr="00E16672">
              <w:rPr>
                <w:rFonts w:ascii="Times New Roman" w:hAnsi="Times New Roman"/>
                <w:color w:val="000000"/>
                <w:sz w:val="16"/>
                <w:szCs w:val="16"/>
                <w:lang w:eastAsia="hi-IN" w:bidi="hi-IN"/>
              </w:rPr>
              <w:t>суми</w:t>
            </w:r>
            <w:proofErr w:type="spellEnd"/>
            <w:r w:rsidRPr="00E16672">
              <w:rPr>
                <w:rFonts w:ascii="Times New Roman" w:hAnsi="Times New Roman"/>
                <w:color w:val="000000"/>
                <w:sz w:val="16"/>
                <w:szCs w:val="16"/>
                <w:lang w:eastAsia="hi-IN" w:bidi="hi-IN"/>
              </w:rPr>
              <w:t xml:space="preserve"> </w:t>
            </w:r>
            <w:proofErr w:type="spellStart"/>
            <w:r w:rsidRPr="00E16672">
              <w:rPr>
                <w:rFonts w:ascii="Times New Roman" w:hAnsi="Times New Roman"/>
                <w:color w:val="000000"/>
                <w:sz w:val="16"/>
                <w:szCs w:val="16"/>
                <w:lang w:eastAsia="hi-IN" w:bidi="hi-IN"/>
              </w:rPr>
              <w:t>простроченого</w:t>
            </w:r>
            <w:proofErr w:type="spellEnd"/>
            <w:r w:rsidRPr="00E16672">
              <w:rPr>
                <w:rFonts w:ascii="Times New Roman" w:hAnsi="Times New Roman"/>
                <w:color w:val="000000"/>
                <w:sz w:val="16"/>
                <w:szCs w:val="16"/>
                <w:lang w:eastAsia="hi-IN" w:bidi="hi-IN"/>
              </w:rPr>
              <w:t xml:space="preserve"> платежу за </w:t>
            </w:r>
            <w:proofErr w:type="spellStart"/>
            <w:r w:rsidRPr="00E16672">
              <w:rPr>
                <w:rFonts w:ascii="Times New Roman" w:hAnsi="Times New Roman"/>
                <w:color w:val="000000"/>
                <w:sz w:val="16"/>
                <w:szCs w:val="16"/>
                <w:lang w:eastAsia="hi-IN" w:bidi="hi-IN"/>
              </w:rPr>
              <w:t>кожен</w:t>
            </w:r>
            <w:proofErr w:type="spellEnd"/>
            <w:r w:rsidRPr="00E16672">
              <w:rPr>
                <w:rFonts w:ascii="Times New Roman" w:hAnsi="Times New Roman"/>
                <w:color w:val="000000"/>
                <w:sz w:val="16"/>
                <w:szCs w:val="16"/>
                <w:lang w:eastAsia="hi-IN" w:bidi="hi-IN"/>
              </w:rPr>
              <w:t xml:space="preserve"> день </w:t>
            </w:r>
            <w:proofErr w:type="spellStart"/>
            <w:r w:rsidRPr="00E16672">
              <w:rPr>
                <w:rFonts w:ascii="Times New Roman" w:hAnsi="Times New Roman"/>
                <w:color w:val="000000"/>
                <w:sz w:val="16"/>
                <w:szCs w:val="16"/>
                <w:lang w:eastAsia="hi-IN" w:bidi="hi-IN"/>
              </w:rPr>
              <w:t>прострочення</w:t>
            </w:r>
            <w:proofErr w:type="spellEnd"/>
            <w:r w:rsidRPr="00E16672">
              <w:rPr>
                <w:rFonts w:ascii="Times New Roman" w:hAnsi="Times New Roman"/>
                <w:color w:val="000000"/>
                <w:sz w:val="16"/>
                <w:szCs w:val="16"/>
                <w:lang w:val="uk-UA"/>
              </w:rPr>
              <w:t xml:space="preserve">. </w:t>
            </w:r>
          </w:p>
          <w:p w14:paraId="4E481A7C" w14:textId="77777777" w:rsidR="003A05A3" w:rsidRPr="00E16672" w:rsidRDefault="003A05A3" w:rsidP="00843027">
            <w:pPr>
              <w:ind w:left="175" w:right="138" w:firstLine="7"/>
              <w:rPr>
                <w:rFonts w:ascii="Times New Roman" w:hAnsi="Times New Roman"/>
                <w:color w:val="000000"/>
                <w:sz w:val="16"/>
                <w:szCs w:val="16"/>
              </w:rPr>
            </w:pPr>
          </w:p>
          <w:p w14:paraId="3F2CF6D7" w14:textId="77777777" w:rsidR="003A05A3" w:rsidRPr="00E16672" w:rsidRDefault="003A05A3" w:rsidP="00843027">
            <w:pPr>
              <w:ind w:left="175" w:right="138" w:firstLine="7"/>
              <w:rPr>
                <w:rFonts w:ascii="Times New Roman" w:hAnsi="Times New Roman"/>
                <w:color w:val="000000"/>
                <w:sz w:val="16"/>
                <w:szCs w:val="16"/>
              </w:rPr>
            </w:pPr>
            <w:r w:rsidRPr="00E16672">
              <w:rPr>
                <w:rFonts w:ascii="Times New Roman" w:hAnsi="Times New Roman"/>
                <w:color w:val="000000"/>
                <w:sz w:val="16"/>
                <w:szCs w:val="16"/>
              </w:rPr>
              <w:t xml:space="preserve">5.9.1. Формула, за </w:t>
            </w:r>
            <w:proofErr w:type="spellStart"/>
            <w:r w:rsidRPr="00E16672">
              <w:rPr>
                <w:rFonts w:ascii="Times New Roman" w:hAnsi="Times New Roman"/>
                <w:color w:val="000000"/>
                <w:sz w:val="16"/>
                <w:szCs w:val="16"/>
              </w:rPr>
              <w:t>якою</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розраховується</w:t>
            </w:r>
            <w:proofErr w:type="spellEnd"/>
            <w:r w:rsidRPr="00E16672">
              <w:rPr>
                <w:rFonts w:ascii="Times New Roman" w:hAnsi="Times New Roman"/>
                <w:color w:val="000000"/>
                <w:sz w:val="16"/>
                <w:szCs w:val="16"/>
              </w:rPr>
              <w:t xml:space="preserve"> пеня: </w:t>
            </w:r>
          </w:p>
          <w:p w14:paraId="3B06703F" w14:textId="77777777" w:rsidR="003A05A3" w:rsidRPr="00E16672" w:rsidRDefault="003A05A3" w:rsidP="00843027">
            <w:pPr>
              <w:ind w:left="175" w:right="138" w:firstLine="7"/>
              <w:rPr>
                <w:rFonts w:ascii="Times New Roman" w:hAnsi="Times New Roman"/>
                <w:color w:val="000000"/>
                <w:sz w:val="16"/>
                <w:szCs w:val="16"/>
              </w:rPr>
            </w:pPr>
          </w:p>
        </w:tc>
        <w:tc>
          <w:tcPr>
            <w:tcW w:w="5494" w:type="dxa"/>
            <w:gridSpan w:val="6"/>
            <w:shd w:val="clear" w:color="auto" w:fill="auto"/>
          </w:tcPr>
          <w:p w14:paraId="010CE813" w14:textId="77777777" w:rsidR="003A05A3" w:rsidRPr="00E16672" w:rsidRDefault="003A05A3" w:rsidP="00843027">
            <w:pPr>
              <w:snapToGrid w:val="0"/>
              <w:ind w:left="175" w:right="138" w:firstLine="7"/>
              <w:rPr>
                <w:rFonts w:ascii="Times New Roman" w:hAnsi="Times New Roman"/>
                <w:color w:val="000000"/>
                <w:sz w:val="16"/>
                <w:szCs w:val="16"/>
                <w:lang w:val="en-US"/>
              </w:rPr>
            </w:pPr>
            <w:r w:rsidRPr="00E16672">
              <w:rPr>
                <w:rFonts w:ascii="Times New Roman" w:hAnsi="Times New Roman"/>
                <w:color w:val="000000"/>
                <w:sz w:val="16"/>
                <w:szCs w:val="16"/>
                <w:lang w:val="en-GB"/>
              </w:rPr>
              <w:t xml:space="preserve">5.9. Depository institution has the right to charge a violation of the terms of payment and collect from other Party a fine in size of </w:t>
            </w:r>
            <w:r w:rsidRPr="00E16672">
              <w:rPr>
                <w:rFonts w:ascii="Times New Roman" w:hAnsi="Times New Roman"/>
                <w:i/>
                <w:color w:val="000000"/>
                <w:sz w:val="16"/>
                <w:szCs w:val="16"/>
                <w:lang w:val="en-GB"/>
              </w:rPr>
              <w:t>double registration rate</w:t>
            </w:r>
            <w:r w:rsidRPr="00E16672">
              <w:rPr>
                <w:rFonts w:ascii="Times New Roman" w:hAnsi="Times New Roman"/>
                <w:color w:val="000000"/>
                <w:sz w:val="16"/>
                <w:szCs w:val="16"/>
                <w:lang w:val="en-GB"/>
              </w:rPr>
              <w:t xml:space="preserve"> of the National bank of Ukraine which operated in a </w:t>
            </w:r>
            <w:r w:rsidRPr="00F23413">
              <w:rPr>
                <w:rStyle w:val="shorttext"/>
                <w:rFonts w:ascii="Times New Roman" w:hAnsi="Times New Roman"/>
                <w:sz w:val="16"/>
                <w:szCs w:val="16"/>
                <w:lang w:val="en-US"/>
              </w:rPr>
              <w:t>delay</w:t>
            </w:r>
            <w:r w:rsidRPr="00F23413">
              <w:rPr>
                <w:rStyle w:val="shorttext"/>
                <w:rFonts w:ascii="Times New Roman" w:hAnsi="Times New Roman"/>
                <w:lang w:val="en-US"/>
              </w:rPr>
              <w:t xml:space="preserve"> </w:t>
            </w:r>
            <w:proofErr w:type="gramStart"/>
            <w:r w:rsidRPr="00E16672">
              <w:rPr>
                <w:rFonts w:ascii="Times New Roman" w:hAnsi="Times New Roman"/>
                <w:color w:val="000000"/>
                <w:sz w:val="16"/>
                <w:szCs w:val="16"/>
                <w:lang w:val="en-GB"/>
              </w:rPr>
              <w:t>period ,</w:t>
            </w:r>
            <w:proofErr w:type="gramEnd"/>
            <w:r w:rsidRPr="00E16672">
              <w:rPr>
                <w:rFonts w:ascii="Times New Roman" w:hAnsi="Times New Roman"/>
                <w:color w:val="000000"/>
                <w:sz w:val="16"/>
                <w:szCs w:val="16"/>
                <w:lang w:val="en-GB"/>
              </w:rPr>
              <w:t xml:space="preserve"> of the amount of overdue payment for each day of delay</w:t>
            </w:r>
            <w:r w:rsidRPr="00E16672">
              <w:rPr>
                <w:rFonts w:ascii="Times New Roman" w:hAnsi="Times New Roman"/>
                <w:color w:val="000000"/>
                <w:sz w:val="16"/>
                <w:szCs w:val="16"/>
                <w:lang w:val="en-US"/>
              </w:rPr>
              <w:t>.</w:t>
            </w:r>
          </w:p>
          <w:p w14:paraId="672FC371" w14:textId="77777777" w:rsidR="003A05A3" w:rsidRPr="00E16672" w:rsidRDefault="003A05A3" w:rsidP="00843027">
            <w:pPr>
              <w:snapToGrid w:val="0"/>
              <w:ind w:left="175" w:right="138" w:firstLine="7"/>
              <w:rPr>
                <w:rFonts w:ascii="Times New Roman" w:hAnsi="Times New Roman"/>
                <w:color w:val="000000"/>
                <w:sz w:val="16"/>
                <w:szCs w:val="16"/>
                <w:lang w:val="en-US"/>
              </w:rPr>
            </w:pPr>
          </w:p>
          <w:p w14:paraId="2E69BC24" w14:textId="77777777" w:rsidR="003A05A3" w:rsidRPr="00E16672" w:rsidRDefault="003A05A3" w:rsidP="00843027">
            <w:pPr>
              <w:snapToGrid w:val="0"/>
              <w:ind w:left="175" w:right="138" w:firstLine="7"/>
              <w:rPr>
                <w:rFonts w:ascii="Times New Roman" w:hAnsi="Times New Roman"/>
                <w:color w:val="000000"/>
                <w:sz w:val="16"/>
                <w:szCs w:val="16"/>
                <w:lang w:val="en-GB"/>
              </w:rPr>
            </w:pPr>
          </w:p>
          <w:p w14:paraId="29637A36" w14:textId="77777777" w:rsidR="003A05A3" w:rsidRPr="00E16672" w:rsidRDefault="003A05A3" w:rsidP="00843027">
            <w:pPr>
              <w:snapToGrid w:val="0"/>
              <w:ind w:left="175" w:right="138" w:firstLine="7"/>
              <w:rPr>
                <w:rFonts w:ascii="Times New Roman" w:hAnsi="Times New Roman"/>
                <w:color w:val="000000"/>
                <w:sz w:val="16"/>
                <w:szCs w:val="16"/>
                <w:lang w:val="en-GB"/>
              </w:rPr>
            </w:pPr>
            <w:r w:rsidRPr="00E16672">
              <w:rPr>
                <w:rFonts w:ascii="Times New Roman" w:hAnsi="Times New Roman"/>
                <w:color w:val="000000"/>
                <w:sz w:val="16"/>
                <w:szCs w:val="16"/>
                <w:lang w:val="en-GB"/>
              </w:rPr>
              <w:t xml:space="preserve">5.9.1. Formula, which a </w:t>
            </w:r>
            <w:proofErr w:type="gramStart"/>
            <w:r w:rsidRPr="00E16672">
              <w:rPr>
                <w:rFonts w:ascii="Times New Roman" w:hAnsi="Times New Roman"/>
                <w:color w:val="000000"/>
                <w:sz w:val="16"/>
                <w:szCs w:val="16"/>
                <w:lang w:val="en-GB"/>
              </w:rPr>
              <w:t>fine settles accounts</w:t>
            </w:r>
            <w:proofErr w:type="gramEnd"/>
            <w:r w:rsidRPr="00E16672">
              <w:rPr>
                <w:rFonts w:ascii="Times New Roman" w:hAnsi="Times New Roman"/>
                <w:color w:val="000000"/>
                <w:sz w:val="16"/>
                <w:szCs w:val="16"/>
                <w:lang w:val="en-GB"/>
              </w:rPr>
              <w:t xml:space="preserve"> after:</w:t>
            </w:r>
          </w:p>
        </w:tc>
      </w:tr>
      <w:tr w:rsidR="003A05A3" w:rsidRPr="00F23413" w14:paraId="0F38B346" w14:textId="77777777" w:rsidTr="00242F58">
        <w:trPr>
          <w:trHeight w:val="192"/>
        </w:trPr>
        <w:tc>
          <w:tcPr>
            <w:tcW w:w="5696" w:type="dxa"/>
            <w:gridSpan w:val="8"/>
            <w:shd w:val="clear" w:color="auto" w:fill="auto"/>
          </w:tcPr>
          <w:p w14:paraId="7F8AE0C4" w14:textId="77777777" w:rsidR="003A05A3" w:rsidRPr="00E16672" w:rsidRDefault="003A05A3" w:rsidP="00843027">
            <w:pPr>
              <w:snapToGrid w:val="0"/>
              <w:ind w:left="175" w:right="138" w:firstLine="7"/>
              <w:rPr>
                <w:rFonts w:ascii="Times New Roman" w:hAnsi="Times New Roman"/>
                <w:sz w:val="16"/>
                <w:szCs w:val="16"/>
              </w:rPr>
            </w:pPr>
            <w:r w:rsidRPr="00E16672">
              <w:rPr>
                <w:rFonts w:ascii="Times New Roman" w:hAnsi="Times New Roman"/>
                <w:sz w:val="16"/>
                <w:szCs w:val="16"/>
              </w:rPr>
              <w:t>П=</w:t>
            </w:r>
            <w:proofErr w:type="spellStart"/>
            <w:r w:rsidRPr="00E16672">
              <w:rPr>
                <w:rFonts w:ascii="Times New Roman" w:hAnsi="Times New Roman"/>
                <w:sz w:val="16"/>
                <w:szCs w:val="16"/>
              </w:rPr>
              <w:t>Т</w:t>
            </w:r>
            <w:r w:rsidRPr="00E16672">
              <w:rPr>
                <w:rFonts w:ascii="Times New Roman" w:hAnsi="Times New Roman"/>
                <w:sz w:val="16"/>
                <w:szCs w:val="16"/>
                <w:vertAlign w:val="subscript"/>
              </w:rPr>
              <w:t>неоплачений</w:t>
            </w:r>
            <w:proofErr w:type="spellEnd"/>
            <w:r w:rsidRPr="00E16672">
              <w:rPr>
                <w:rFonts w:ascii="Times New Roman" w:hAnsi="Times New Roman"/>
                <w:sz w:val="16"/>
                <w:szCs w:val="16"/>
              </w:rPr>
              <w:t>*2НБУ/</w:t>
            </w:r>
            <w:proofErr w:type="spellStart"/>
            <w:r w:rsidRPr="00E16672">
              <w:rPr>
                <w:rFonts w:ascii="Times New Roman" w:hAnsi="Times New Roman"/>
                <w:sz w:val="16"/>
                <w:szCs w:val="16"/>
              </w:rPr>
              <w:t>Д</w:t>
            </w:r>
            <w:r w:rsidRPr="00E16672">
              <w:rPr>
                <w:rFonts w:ascii="Times New Roman" w:hAnsi="Times New Roman"/>
                <w:sz w:val="16"/>
                <w:szCs w:val="16"/>
                <w:vertAlign w:val="subscript"/>
              </w:rPr>
              <w:t>рік</w:t>
            </w:r>
            <w:proofErr w:type="spellEnd"/>
            <w:r w:rsidRPr="00E16672">
              <w:rPr>
                <w:rFonts w:ascii="Times New Roman" w:hAnsi="Times New Roman"/>
                <w:sz w:val="16"/>
                <w:szCs w:val="16"/>
              </w:rPr>
              <w:t>*</w:t>
            </w:r>
            <w:proofErr w:type="spellStart"/>
            <w:r w:rsidRPr="00E16672">
              <w:rPr>
                <w:rFonts w:ascii="Times New Roman" w:hAnsi="Times New Roman"/>
                <w:sz w:val="16"/>
                <w:szCs w:val="16"/>
              </w:rPr>
              <w:t>Д</w:t>
            </w:r>
            <w:r w:rsidRPr="00E16672">
              <w:rPr>
                <w:rFonts w:ascii="Times New Roman" w:hAnsi="Times New Roman"/>
                <w:sz w:val="16"/>
                <w:szCs w:val="16"/>
                <w:vertAlign w:val="subscript"/>
              </w:rPr>
              <w:t>нарахування</w:t>
            </w:r>
            <w:proofErr w:type="spellEnd"/>
            <w:r w:rsidRPr="00E16672">
              <w:rPr>
                <w:rFonts w:ascii="Times New Roman" w:hAnsi="Times New Roman"/>
                <w:sz w:val="16"/>
                <w:szCs w:val="16"/>
              </w:rPr>
              <w:t xml:space="preserve">, </w:t>
            </w:r>
          </w:p>
          <w:p w14:paraId="0DDDACFA" w14:textId="77777777" w:rsidR="003A05A3" w:rsidRPr="00E16672" w:rsidRDefault="003A05A3" w:rsidP="00843027">
            <w:pPr>
              <w:ind w:left="175" w:right="138" w:firstLine="7"/>
              <w:rPr>
                <w:rFonts w:ascii="Times New Roman" w:hAnsi="Times New Roman"/>
                <w:sz w:val="16"/>
                <w:szCs w:val="16"/>
              </w:rPr>
            </w:pPr>
            <w:r w:rsidRPr="00E16672">
              <w:rPr>
                <w:rFonts w:ascii="Times New Roman" w:hAnsi="Times New Roman"/>
                <w:sz w:val="16"/>
                <w:szCs w:val="16"/>
              </w:rPr>
              <w:t xml:space="preserve"> де:</w:t>
            </w:r>
          </w:p>
          <w:p w14:paraId="0C41AA58" w14:textId="77777777" w:rsidR="003A05A3" w:rsidRPr="00E16672" w:rsidRDefault="003A05A3" w:rsidP="00843027">
            <w:pPr>
              <w:ind w:left="175" w:right="138" w:firstLine="7"/>
              <w:rPr>
                <w:rFonts w:ascii="Times New Roman" w:hAnsi="Times New Roman"/>
                <w:sz w:val="16"/>
                <w:szCs w:val="16"/>
              </w:rPr>
            </w:pPr>
            <w:r w:rsidRPr="00E16672">
              <w:rPr>
                <w:rFonts w:ascii="Times New Roman" w:hAnsi="Times New Roman"/>
                <w:sz w:val="16"/>
                <w:szCs w:val="16"/>
              </w:rPr>
              <w:lastRenderedPageBreak/>
              <w:t>П – пеня;</w:t>
            </w:r>
          </w:p>
          <w:p w14:paraId="4E30BC4C" w14:textId="77777777" w:rsidR="003A05A3" w:rsidRPr="00E16672" w:rsidRDefault="003A05A3" w:rsidP="00843027">
            <w:pPr>
              <w:ind w:left="175" w:right="138" w:firstLine="7"/>
              <w:rPr>
                <w:rFonts w:ascii="Times New Roman" w:hAnsi="Times New Roman"/>
                <w:sz w:val="16"/>
                <w:szCs w:val="16"/>
              </w:rPr>
            </w:pPr>
            <w:proofErr w:type="spellStart"/>
            <w:r w:rsidRPr="00E16672">
              <w:rPr>
                <w:rFonts w:ascii="Times New Roman" w:hAnsi="Times New Roman"/>
                <w:sz w:val="16"/>
                <w:szCs w:val="16"/>
              </w:rPr>
              <w:t>Т</w:t>
            </w:r>
            <w:r w:rsidRPr="00E16672">
              <w:rPr>
                <w:rFonts w:ascii="Times New Roman" w:hAnsi="Times New Roman"/>
                <w:sz w:val="16"/>
                <w:szCs w:val="16"/>
                <w:vertAlign w:val="subscript"/>
              </w:rPr>
              <w:t>неоплачений</w:t>
            </w:r>
            <w:proofErr w:type="spellEnd"/>
            <w:r w:rsidRPr="00E16672">
              <w:rPr>
                <w:rFonts w:ascii="Times New Roman" w:hAnsi="Times New Roman"/>
                <w:sz w:val="16"/>
                <w:szCs w:val="16"/>
              </w:rPr>
              <w:t xml:space="preserve"> – </w:t>
            </w:r>
            <w:proofErr w:type="spellStart"/>
            <w:r w:rsidRPr="00E16672">
              <w:rPr>
                <w:rFonts w:ascii="Times New Roman" w:hAnsi="Times New Roman"/>
                <w:sz w:val="16"/>
                <w:szCs w:val="16"/>
              </w:rPr>
              <w:t>вартість</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неоплаченої</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послуги</w:t>
            </w:r>
            <w:proofErr w:type="spellEnd"/>
            <w:r w:rsidRPr="00E16672">
              <w:rPr>
                <w:rFonts w:ascii="Times New Roman" w:hAnsi="Times New Roman"/>
                <w:sz w:val="16"/>
                <w:szCs w:val="16"/>
                <w:lang w:val="uk-UA"/>
              </w:rPr>
              <w:t xml:space="preserve"> (неоплачених послуг)</w:t>
            </w:r>
            <w:r w:rsidRPr="00E16672">
              <w:rPr>
                <w:rFonts w:ascii="Times New Roman" w:hAnsi="Times New Roman"/>
                <w:sz w:val="16"/>
                <w:szCs w:val="16"/>
              </w:rPr>
              <w:t>;</w:t>
            </w:r>
          </w:p>
          <w:p w14:paraId="3EB490A4" w14:textId="77777777" w:rsidR="003A05A3" w:rsidRPr="00E16672" w:rsidRDefault="003A05A3" w:rsidP="00843027">
            <w:pPr>
              <w:ind w:left="175" w:right="138" w:firstLine="7"/>
              <w:rPr>
                <w:rFonts w:ascii="Times New Roman" w:hAnsi="Times New Roman"/>
                <w:sz w:val="16"/>
                <w:szCs w:val="16"/>
              </w:rPr>
            </w:pPr>
            <w:r w:rsidRPr="00E16672">
              <w:rPr>
                <w:rFonts w:ascii="Times New Roman" w:hAnsi="Times New Roman"/>
                <w:sz w:val="16"/>
                <w:szCs w:val="16"/>
              </w:rPr>
              <w:t xml:space="preserve">2НБУ – </w:t>
            </w:r>
            <w:proofErr w:type="spellStart"/>
            <w:r w:rsidRPr="00E16672">
              <w:rPr>
                <w:rFonts w:ascii="Times New Roman" w:hAnsi="Times New Roman"/>
                <w:sz w:val="16"/>
                <w:szCs w:val="16"/>
              </w:rPr>
              <w:t>подвійна</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облікова</w:t>
            </w:r>
            <w:proofErr w:type="spellEnd"/>
            <w:r w:rsidRPr="00E16672">
              <w:rPr>
                <w:rFonts w:ascii="Times New Roman" w:hAnsi="Times New Roman"/>
                <w:sz w:val="16"/>
                <w:szCs w:val="16"/>
              </w:rPr>
              <w:t xml:space="preserve"> ставка </w:t>
            </w:r>
            <w:proofErr w:type="spellStart"/>
            <w:r w:rsidRPr="00E16672">
              <w:rPr>
                <w:rFonts w:ascii="Times New Roman" w:hAnsi="Times New Roman"/>
                <w:sz w:val="16"/>
                <w:szCs w:val="16"/>
              </w:rPr>
              <w:t>Національного</w:t>
            </w:r>
            <w:proofErr w:type="spellEnd"/>
            <w:r w:rsidRPr="00E16672">
              <w:rPr>
                <w:rFonts w:ascii="Times New Roman" w:hAnsi="Times New Roman"/>
                <w:sz w:val="16"/>
                <w:szCs w:val="16"/>
              </w:rPr>
              <w:t xml:space="preserve"> Банку </w:t>
            </w:r>
            <w:proofErr w:type="spellStart"/>
            <w:r w:rsidRPr="00E16672">
              <w:rPr>
                <w:rFonts w:ascii="Times New Roman" w:hAnsi="Times New Roman"/>
                <w:sz w:val="16"/>
                <w:szCs w:val="16"/>
              </w:rPr>
              <w:t>України</w:t>
            </w:r>
            <w:proofErr w:type="spellEnd"/>
            <w:r w:rsidRPr="00E16672">
              <w:rPr>
                <w:rFonts w:ascii="Times New Roman" w:hAnsi="Times New Roman"/>
                <w:sz w:val="16"/>
                <w:szCs w:val="16"/>
              </w:rPr>
              <w:t>;</w:t>
            </w:r>
          </w:p>
          <w:p w14:paraId="301DC609" w14:textId="77777777" w:rsidR="003A05A3" w:rsidRPr="00E16672" w:rsidRDefault="003A05A3" w:rsidP="00843027">
            <w:pPr>
              <w:ind w:left="175" w:right="138" w:firstLine="7"/>
              <w:rPr>
                <w:rFonts w:ascii="Times New Roman" w:hAnsi="Times New Roman"/>
                <w:sz w:val="16"/>
                <w:szCs w:val="16"/>
              </w:rPr>
            </w:pPr>
            <w:proofErr w:type="spellStart"/>
            <w:r w:rsidRPr="00E16672">
              <w:rPr>
                <w:rFonts w:ascii="Times New Roman" w:hAnsi="Times New Roman"/>
                <w:sz w:val="16"/>
                <w:szCs w:val="16"/>
              </w:rPr>
              <w:t>Д</w:t>
            </w:r>
            <w:r w:rsidRPr="00E16672">
              <w:rPr>
                <w:rFonts w:ascii="Times New Roman" w:hAnsi="Times New Roman"/>
                <w:sz w:val="16"/>
                <w:szCs w:val="16"/>
                <w:vertAlign w:val="subscript"/>
              </w:rPr>
              <w:t>рік</w:t>
            </w:r>
            <w:proofErr w:type="spellEnd"/>
            <w:r w:rsidRPr="00E16672">
              <w:rPr>
                <w:rFonts w:ascii="Times New Roman" w:hAnsi="Times New Roman"/>
                <w:sz w:val="16"/>
                <w:szCs w:val="16"/>
              </w:rPr>
              <w:t xml:space="preserve"> – </w:t>
            </w:r>
            <w:proofErr w:type="spellStart"/>
            <w:r w:rsidRPr="00E16672">
              <w:rPr>
                <w:rFonts w:ascii="Times New Roman" w:hAnsi="Times New Roman"/>
                <w:sz w:val="16"/>
                <w:szCs w:val="16"/>
              </w:rPr>
              <w:t>кількість</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днів</w:t>
            </w:r>
            <w:proofErr w:type="spellEnd"/>
            <w:r w:rsidRPr="00E16672">
              <w:rPr>
                <w:rFonts w:ascii="Times New Roman" w:hAnsi="Times New Roman"/>
                <w:sz w:val="16"/>
                <w:szCs w:val="16"/>
              </w:rPr>
              <w:t xml:space="preserve"> у </w:t>
            </w:r>
            <w:proofErr w:type="spellStart"/>
            <w:r w:rsidRPr="00E16672">
              <w:rPr>
                <w:rFonts w:ascii="Times New Roman" w:hAnsi="Times New Roman"/>
                <w:sz w:val="16"/>
                <w:szCs w:val="16"/>
              </w:rPr>
              <w:t>році</w:t>
            </w:r>
            <w:proofErr w:type="spellEnd"/>
            <w:r w:rsidRPr="00E16672">
              <w:rPr>
                <w:rFonts w:ascii="Times New Roman" w:hAnsi="Times New Roman"/>
                <w:sz w:val="16"/>
                <w:szCs w:val="16"/>
              </w:rPr>
              <w:t>;</w:t>
            </w:r>
          </w:p>
          <w:p w14:paraId="014314AD" w14:textId="77777777" w:rsidR="003A05A3" w:rsidRPr="00E16672" w:rsidRDefault="003A05A3" w:rsidP="00843027">
            <w:pPr>
              <w:ind w:left="175" w:right="138" w:firstLine="7"/>
              <w:rPr>
                <w:rFonts w:ascii="Times New Roman" w:hAnsi="Times New Roman"/>
                <w:sz w:val="16"/>
                <w:szCs w:val="16"/>
                <w:lang w:val="uk-UA"/>
              </w:rPr>
            </w:pPr>
            <w:proofErr w:type="spellStart"/>
            <w:r w:rsidRPr="00E16672">
              <w:rPr>
                <w:rFonts w:ascii="Times New Roman" w:hAnsi="Times New Roman"/>
                <w:sz w:val="16"/>
                <w:szCs w:val="16"/>
              </w:rPr>
              <w:t>Д</w:t>
            </w:r>
            <w:r w:rsidRPr="00E16672">
              <w:rPr>
                <w:rFonts w:ascii="Times New Roman" w:hAnsi="Times New Roman"/>
                <w:sz w:val="16"/>
                <w:szCs w:val="16"/>
                <w:vertAlign w:val="subscript"/>
              </w:rPr>
              <w:t>нарахування</w:t>
            </w:r>
            <w:proofErr w:type="spellEnd"/>
            <w:r w:rsidRPr="00E16672">
              <w:rPr>
                <w:rFonts w:ascii="Times New Roman" w:hAnsi="Times New Roman"/>
                <w:sz w:val="16"/>
                <w:szCs w:val="16"/>
              </w:rPr>
              <w:t xml:space="preserve"> – </w:t>
            </w:r>
            <w:proofErr w:type="spellStart"/>
            <w:r w:rsidRPr="00E16672">
              <w:rPr>
                <w:rFonts w:ascii="Times New Roman" w:hAnsi="Times New Roman"/>
                <w:sz w:val="16"/>
                <w:szCs w:val="16"/>
              </w:rPr>
              <w:t>кількість</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днів</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нарахування</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пені</w:t>
            </w:r>
            <w:proofErr w:type="spellEnd"/>
            <w:r w:rsidRPr="00E16672">
              <w:rPr>
                <w:rFonts w:ascii="Times New Roman" w:hAnsi="Times New Roman"/>
                <w:sz w:val="16"/>
                <w:szCs w:val="16"/>
                <w:lang w:val="uk-UA"/>
              </w:rPr>
              <w:t>.</w:t>
            </w:r>
          </w:p>
          <w:p w14:paraId="057CD651" w14:textId="77777777" w:rsidR="003A05A3" w:rsidRPr="00E16672" w:rsidRDefault="003A05A3" w:rsidP="00843027">
            <w:pPr>
              <w:ind w:left="175" w:firstLine="7"/>
              <w:rPr>
                <w:rFonts w:ascii="Times New Roman" w:hAnsi="Times New Roman"/>
                <w:sz w:val="16"/>
                <w:szCs w:val="16"/>
                <w:lang w:val="uk-UA"/>
              </w:rPr>
            </w:pPr>
            <w:r w:rsidRPr="00E16672">
              <w:rPr>
                <w:rFonts w:ascii="Times New Roman" w:hAnsi="Times New Roman"/>
                <w:sz w:val="16"/>
                <w:szCs w:val="20"/>
                <w:lang w:val="uk-UA"/>
              </w:rPr>
              <w:t xml:space="preserve">Якщо протягом періоду прострочення розмір облікової ставки  Національного Банку України змінювався, пеня розраховується окремо для кожного періоду з відповідним значенням 2НБУ, після чого значення </w:t>
            </w:r>
            <w:proofErr w:type="spellStart"/>
            <w:r w:rsidRPr="00E16672">
              <w:rPr>
                <w:rFonts w:ascii="Times New Roman" w:hAnsi="Times New Roman"/>
                <w:sz w:val="16"/>
                <w:szCs w:val="20"/>
                <w:lang w:val="uk-UA"/>
              </w:rPr>
              <w:t>сумуються</w:t>
            </w:r>
            <w:proofErr w:type="spellEnd"/>
            <w:r w:rsidRPr="00E16672">
              <w:rPr>
                <w:rFonts w:ascii="Times New Roman" w:hAnsi="Times New Roman"/>
                <w:sz w:val="16"/>
                <w:szCs w:val="20"/>
                <w:lang w:val="uk-UA"/>
              </w:rPr>
              <w:t xml:space="preserve">. </w:t>
            </w:r>
            <w:r w:rsidRPr="00E16672">
              <w:rPr>
                <w:rFonts w:ascii="Times New Roman" w:hAnsi="Times New Roman"/>
                <w:sz w:val="16"/>
                <w:szCs w:val="16"/>
                <w:lang w:val="uk-UA"/>
              </w:rPr>
              <w:t xml:space="preserve"> </w:t>
            </w:r>
          </w:p>
        </w:tc>
        <w:tc>
          <w:tcPr>
            <w:tcW w:w="5494" w:type="dxa"/>
            <w:gridSpan w:val="6"/>
            <w:shd w:val="clear" w:color="auto" w:fill="auto"/>
          </w:tcPr>
          <w:p w14:paraId="21368E03" w14:textId="77777777" w:rsidR="003A05A3" w:rsidRPr="00E16672" w:rsidRDefault="003A05A3" w:rsidP="00843027">
            <w:pPr>
              <w:tabs>
                <w:tab w:val="left" w:pos="287"/>
              </w:tabs>
              <w:snapToGrid w:val="0"/>
              <w:ind w:left="175" w:right="100" w:firstLine="7"/>
              <w:rPr>
                <w:rFonts w:ascii="Times New Roman" w:hAnsi="Times New Roman"/>
                <w:sz w:val="16"/>
                <w:szCs w:val="16"/>
                <w:lang w:val="en-GB"/>
              </w:rPr>
            </w:pPr>
            <w:r w:rsidRPr="00E16672">
              <w:rPr>
                <w:rFonts w:ascii="Times New Roman" w:hAnsi="Times New Roman"/>
                <w:sz w:val="16"/>
                <w:szCs w:val="16"/>
                <w:lang w:val="en-GB"/>
              </w:rPr>
              <w:lastRenderedPageBreak/>
              <w:t>F=</w:t>
            </w:r>
            <w:proofErr w:type="spellStart"/>
            <w:r w:rsidRPr="00E16672">
              <w:rPr>
                <w:rFonts w:ascii="Times New Roman" w:hAnsi="Times New Roman"/>
                <w:sz w:val="16"/>
                <w:szCs w:val="16"/>
                <w:lang w:val="en-GB"/>
              </w:rPr>
              <w:t>Т</w:t>
            </w:r>
            <w:r w:rsidRPr="00E16672">
              <w:rPr>
                <w:rFonts w:ascii="Times New Roman" w:hAnsi="Times New Roman"/>
                <w:sz w:val="16"/>
                <w:szCs w:val="16"/>
                <w:vertAlign w:val="subscript"/>
                <w:lang w:val="en-GB"/>
              </w:rPr>
              <w:t>notpayment</w:t>
            </w:r>
            <w:proofErr w:type="spellEnd"/>
            <w:r w:rsidRPr="00E16672">
              <w:rPr>
                <w:rFonts w:ascii="Times New Roman" w:hAnsi="Times New Roman"/>
                <w:sz w:val="16"/>
                <w:szCs w:val="16"/>
                <w:lang w:val="en-GB"/>
              </w:rPr>
              <w:t>*2NBU/</w:t>
            </w:r>
            <w:proofErr w:type="spellStart"/>
            <w:r w:rsidRPr="00E16672">
              <w:rPr>
                <w:rFonts w:ascii="Times New Roman" w:hAnsi="Times New Roman"/>
                <w:sz w:val="16"/>
                <w:szCs w:val="16"/>
                <w:lang w:val="en-GB"/>
              </w:rPr>
              <w:t>D</w:t>
            </w:r>
            <w:r w:rsidRPr="00E16672">
              <w:rPr>
                <w:rFonts w:ascii="Times New Roman" w:hAnsi="Times New Roman"/>
                <w:sz w:val="16"/>
                <w:szCs w:val="16"/>
                <w:vertAlign w:val="subscript"/>
                <w:lang w:val="en-GB"/>
              </w:rPr>
              <w:t>year</w:t>
            </w:r>
            <w:proofErr w:type="spellEnd"/>
            <w:r w:rsidRPr="00E16672">
              <w:rPr>
                <w:rFonts w:ascii="Times New Roman" w:hAnsi="Times New Roman"/>
                <w:sz w:val="16"/>
                <w:szCs w:val="16"/>
                <w:lang w:val="en-GB"/>
              </w:rPr>
              <w:t>*</w:t>
            </w:r>
            <w:proofErr w:type="spellStart"/>
            <w:r w:rsidRPr="00E16672">
              <w:rPr>
                <w:rFonts w:ascii="Times New Roman" w:hAnsi="Times New Roman"/>
                <w:sz w:val="16"/>
                <w:szCs w:val="16"/>
                <w:lang w:val="en-GB"/>
              </w:rPr>
              <w:t>D</w:t>
            </w:r>
            <w:r w:rsidRPr="00E16672">
              <w:rPr>
                <w:rFonts w:ascii="Times New Roman" w:hAnsi="Times New Roman"/>
                <w:sz w:val="16"/>
                <w:szCs w:val="16"/>
                <w:vertAlign w:val="subscript"/>
                <w:lang w:val="en-GB"/>
              </w:rPr>
              <w:t>extracharge</w:t>
            </w:r>
            <w:proofErr w:type="spellEnd"/>
            <w:r w:rsidRPr="00E16672">
              <w:rPr>
                <w:rFonts w:ascii="Times New Roman" w:hAnsi="Times New Roman"/>
                <w:sz w:val="16"/>
                <w:szCs w:val="16"/>
                <w:lang w:val="en-GB"/>
              </w:rPr>
              <w:t xml:space="preserve">, </w:t>
            </w:r>
          </w:p>
          <w:p w14:paraId="44F2CAFC" w14:textId="77777777" w:rsidR="003A05A3" w:rsidRPr="00E16672" w:rsidRDefault="003A05A3" w:rsidP="00843027">
            <w:pPr>
              <w:tabs>
                <w:tab w:val="left" w:pos="287"/>
              </w:tabs>
              <w:snapToGrid w:val="0"/>
              <w:ind w:left="175" w:right="100" w:firstLine="7"/>
              <w:rPr>
                <w:rFonts w:ascii="Times New Roman" w:hAnsi="Times New Roman"/>
                <w:sz w:val="16"/>
                <w:szCs w:val="16"/>
                <w:lang w:val="en-GB"/>
              </w:rPr>
            </w:pPr>
            <w:r w:rsidRPr="00E16672">
              <w:rPr>
                <w:rFonts w:ascii="Times New Roman" w:hAnsi="Times New Roman"/>
                <w:sz w:val="16"/>
                <w:szCs w:val="16"/>
                <w:lang w:val="en-GB"/>
              </w:rPr>
              <w:t>where:</w:t>
            </w:r>
            <w:r w:rsidRPr="00E16672">
              <w:rPr>
                <w:rFonts w:ascii="Times New Roman" w:hAnsi="Times New Roman"/>
                <w:sz w:val="16"/>
                <w:szCs w:val="16"/>
                <w:lang w:val="en-GB"/>
              </w:rPr>
              <w:br/>
            </w:r>
            <w:r w:rsidRPr="00E16672">
              <w:rPr>
                <w:rFonts w:ascii="Times New Roman" w:hAnsi="Times New Roman"/>
                <w:sz w:val="16"/>
                <w:szCs w:val="16"/>
                <w:lang w:val="en-GB"/>
              </w:rPr>
              <w:lastRenderedPageBreak/>
              <w:t>F – fine;</w:t>
            </w:r>
          </w:p>
          <w:p w14:paraId="31620173" w14:textId="77777777" w:rsidR="003A05A3" w:rsidRPr="00E16672" w:rsidRDefault="003A05A3" w:rsidP="00843027">
            <w:pPr>
              <w:tabs>
                <w:tab w:val="left" w:pos="287"/>
              </w:tabs>
              <w:snapToGrid w:val="0"/>
              <w:ind w:left="175" w:right="100" w:firstLine="7"/>
              <w:rPr>
                <w:rFonts w:ascii="Times New Roman" w:hAnsi="Times New Roman"/>
                <w:sz w:val="16"/>
                <w:szCs w:val="16"/>
                <w:lang w:val="en-GB"/>
              </w:rPr>
            </w:pPr>
            <w:proofErr w:type="spellStart"/>
            <w:r w:rsidRPr="00E16672">
              <w:rPr>
                <w:rFonts w:ascii="Times New Roman" w:hAnsi="Times New Roman"/>
                <w:sz w:val="16"/>
                <w:szCs w:val="16"/>
                <w:lang w:val="en-GB"/>
              </w:rPr>
              <w:t>Т</w:t>
            </w:r>
            <w:r w:rsidRPr="00E16672">
              <w:rPr>
                <w:rFonts w:ascii="Times New Roman" w:hAnsi="Times New Roman"/>
                <w:sz w:val="16"/>
                <w:szCs w:val="16"/>
                <w:vertAlign w:val="subscript"/>
                <w:lang w:val="en-GB"/>
              </w:rPr>
              <w:t>notpayment</w:t>
            </w:r>
            <w:proofErr w:type="spellEnd"/>
            <w:r w:rsidRPr="00E16672">
              <w:rPr>
                <w:rFonts w:ascii="Times New Roman" w:hAnsi="Times New Roman"/>
                <w:sz w:val="16"/>
                <w:szCs w:val="16"/>
                <w:lang w:val="en-GB"/>
              </w:rPr>
              <w:t xml:space="preserve"> – cost of not payment service</w:t>
            </w:r>
            <w:r w:rsidRPr="00E16672">
              <w:rPr>
                <w:rFonts w:ascii="Times New Roman" w:hAnsi="Times New Roman"/>
                <w:sz w:val="16"/>
                <w:szCs w:val="16"/>
                <w:lang w:val="uk-UA"/>
              </w:rPr>
              <w:t xml:space="preserve"> (</w:t>
            </w:r>
            <w:r w:rsidRPr="00E16672">
              <w:rPr>
                <w:rFonts w:ascii="Times New Roman" w:hAnsi="Times New Roman"/>
                <w:sz w:val="16"/>
                <w:szCs w:val="16"/>
                <w:lang w:val="en-GB"/>
              </w:rPr>
              <w:t>not payment services</w:t>
            </w:r>
            <w:r w:rsidRPr="00E16672">
              <w:rPr>
                <w:rFonts w:ascii="Times New Roman" w:hAnsi="Times New Roman"/>
                <w:sz w:val="16"/>
                <w:szCs w:val="16"/>
                <w:lang w:val="uk-UA"/>
              </w:rPr>
              <w:t>)</w:t>
            </w:r>
            <w:r w:rsidRPr="00E16672">
              <w:rPr>
                <w:rFonts w:ascii="Times New Roman" w:hAnsi="Times New Roman"/>
                <w:sz w:val="16"/>
                <w:szCs w:val="16"/>
                <w:lang w:val="en-GB"/>
              </w:rPr>
              <w:t>;</w:t>
            </w:r>
          </w:p>
          <w:p w14:paraId="17DE571F" w14:textId="77777777" w:rsidR="003A05A3" w:rsidRPr="00E16672" w:rsidRDefault="003A05A3" w:rsidP="00843027">
            <w:pPr>
              <w:tabs>
                <w:tab w:val="left" w:pos="287"/>
              </w:tabs>
              <w:ind w:left="175" w:right="100" w:firstLine="7"/>
              <w:rPr>
                <w:rFonts w:ascii="Times New Roman" w:hAnsi="Times New Roman"/>
                <w:sz w:val="16"/>
                <w:szCs w:val="16"/>
                <w:lang w:val="en-GB"/>
              </w:rPr>
            </w:pPr>
            <w:r w:rsidRPr="00E16672">
              <w:rPr>
                <w:rFonts w:ascii="Times New Roman" w:hAnsi="Times New Roman"/>
                <w:sz w:val="16"/>
                <w:szCs w:val="16"/>
                <w:lang w:val="en-GB"/>
              </w:rPr>
              <w:t>2NBU – double registration rate of the National bank of Ukraine;</w:t>
            </w:r>
          </w:p>
          <w:p w14:paraId="47C0F888" w14:textId="77777777" w:rsidR="003A05A3" w:rsidRPr="00E16672" w:rsidRDefault="003A05A3" w:rsidP="00843027">
            <w:pPr>
              <w:tabs>
                <w:tab w:val="left" w:pos="287"/>
              </w:tabs>
              <w:ind w:left="175" w:right="100" w:firstLine="7"/>
              <w:rPr>
                <w:rFonts w:ascii="Times New Roman" w:hAnsi="Times New Roman"/>
                <w:sz w:val="16"/>
                <w:szCs w:val="16"/>
                <w:lang w:val="en-GB"/>
              </w:rPr>
            </w:pPr>
            <w:proofErr w:type="spellStart"/>
            <w:r w:rsidRPr="00E16672">
              <w:rPr>
                <w:rFonts w:ascii="Times New Roman" w:hAnsi="Times New Roman"/>
                <w:sz w:val="16"/>
                <w:szCs w:val="16"/>
                <w:lang w:val="en-GB"/>
              </w:rPr>
              <w:t>D</w:t>
            </w:r>
            <w:r w:rsidRPr="00E16672">
              <w:rPr>
                <w:rFonts w:ascii="Times New Roman" w:hAnsi="Times New Roman"/>
                <w:sz w:val="16"/>
                <w:szCs w:val="16"/>
                <w:vertAlign w:val="subscript"/>
                <w:lang w:val="en-GB"/>
              </w:rPr>
              <w:t>year</w:t>
            </w:r>
            <w:proofErr w:type="spellEnd"/>
            <w:r w:rsidRPr="00E16672">
              <w:rPr>
                <w:rFonts w:ascii="Times New Roman" w:hAnsi="Times New Roman"/>
                <w:sz w:val="16"/>
                <w:szCs w:val="16"/>
                <w:lang w:val="en-GB"/>
              </w:rPr>
              <w:t xml:space="preserve"> – an </w:t>
            </w:r>
            <w:proofErr w:type="gramStart"/>
            <w:r w:rsidRPr="00E16672">
              <w:rPr>
                <w:rFonts w:ascii="Times New Roman" w:hAnsi="Times New Roman"/>
                <w:sz w:val="16"/>
                <w:szCs w:val="16"/>
                <w:lang w:val="en-GB"/>
              </w:rPr>
              <w:t>amount</w:t>
            </w:r>
            <w:proofErr w:type="gramEnd"/>
            <w:r w:rsidRPr="00E16672">
              <w:rPr>
                <w:rFonts w:ascii="Times New Roman" w:hAnsi="Times New Roman"/>
                <w:sz w:val="16"/>
                <w:szCs w:val="16"/>
                <w:lang w:val="en-GB"/>
              </w:rPr>
              <w:t xml:space="preserve"> of days is in a year;</w:t>
            </w:r>
          </w:p>
          <w:p w14:paraId="510B630E" w14:textId="77777777" w:rsidR="003A05A3" w:rsidRPr="00E16672" w:rsidRDefault="003A05A3" w:rsidP="00843027">
            <w:pPr>
              <w:tabs>
                <w:tab w:val="left" w:pos="287"/>
              </w:tabs>
              <w:snapToGrid w:val="0"/>
              <w:ind w:left="175" w:right="100" w:firstLine="7"/>
              <w:rPr>
                <w:rFonts w:ascii="Times New Roman" w:hAnsi="Times New Roman"/>
                <w:sz w:val="16"/>
                <w:szCs w:val="16"/>
                <w:lang w:val="en-GB"/>
              </w:rPr>
            </w:pPr>
            <w:proofErr w:type="spellStart"/>
            <w:r w:rsidRPr="00E16672">
              <w:rPr>
                <w:rFonts w:ascii="Times New Roman" w:hAnsi="Times New Roman"/>
                <w:sz w:val="16"/>
                <w:szCs w:val="16"/>
                <w:lang w:val="en-GB"/>
              </w:rPr>
              <w:t>D</w:t>
            </w:r>
            <w:r w:rsidRPr="00E16672">
              <w:rPr>
                <w:rFonts w:ascii="Times New Roman" w:hAnsi="Times New Roman"/>
                <w:sz w:val="16"/>
                <w:szCs w:val="16"/>
                <w:vertAlign w:val="subscript"/>
                <w:lang w:val="en-GB"/>
              </w:rPr>
              <w:t>extracharge</w:t>
            </w:r>
            <w:proofErr w:type="spellEnd"/>
            <w:r w:rsidRPr="00E16672">
              <w:rPr>
                <w:rFonts w:ascii="Times New Roman" w:hAnsi="Times New Roman"/>
                <w:sz w:val="16"/>
                <w:szCs w:val="16"/>
                <w:lang w:val="en-GB"/>
              </w:rPr>
              <w:t xml:space="preserve"> – an </w:t>
            </w:r>
            <w:proofErr w:type="gramStart"/>
            <w:r w:rsidRPr="00E16672">
              <w:rPr>
                <w:rFonts w:ascii="Times New Roman" w:hAnsi="Times New Roman"/>
                <w:sz w:val="16"/>
                <w:szCs w:val="16"/>
                <w:lang w:val="en-GB"/>
              </w:rPr>
              <w:t>amount</w:t>
            </w:r>
            <w:proofErr w:type="gramEnd"/>
            <w:r w:rsidRPr="00E16672">
              <w:rPr>
                <w:rFonts w:ascii="Times New Roman" w:hAnsi="Times New Roman"/>
                <w:sz w:val="16"/>
                <w:szCs w:val="16"/>
                <w:lang w:val="en-GB"/>
              </w:rPr>
              <w:t xml:space="preserve"> of days of extra charge of fine.</w:t>
            </w:r>
          </w:p>
          <w:p w14:paraId="3CE3EE45" w14:textId="77777777" w:rsidR="003A05A3" w:rsidRPr="00E16672" w:rsidRDefault="003A05A3" w:rsidP="00843027">
            <w:pPr>
              <w:tabs>
                <w:tab w:val="left" w:pos="287"/>
              </w:tabs>
              <w:snapToGrid w:val="0"/>
              <w:ind w:left="175" w:right="100" w:firstLine="7"/>
              <w:rPr>
                <w:rFonts w:ascii="Times New Roman" w:hAnsi="Times New Roman"/>
                <w:sz w:val="16"/>
                <w:szCs w:val="16"/>
                <w:lang w:val="en-GB"/>
              </w:rPr>
            </w:pPr>
            <w:r w:rsidRPr="00F23413">
              <w:rPr>
                <w:rFonts w:ascii="Times New Roman" w:hAnsi="Times New Roman"/>
                <w:sz w:val="16"/>
                <w:szCs w:val="16"/>
                <w:lang w:val="en-US"/>
              </w:rPr>
              <w:t>If, during the period of delay, the size of the discount rate of the National Bank of Ukraine has changed, the interest is calculated separately for each period with the corresponding value of 2NBU, after which the values are summed up.</w:t>
            </w:r>
          </w:p>
        </w:tc>
      </w:tr>
      <w:tr w:rsidR="003A05A3" w:rsidRPr="00F23413" w14:paraId="1ADFAE64" w14:textId="77777777" w:rsidTr="00242F58">
        <w:trPr>
          <w:trHeight w:val="192"/>
        </w:trPr>
        <w:tc>
          <w:tcPr>
            <w:tcW w:w="5696" w:type="dxa"/>
            <w:gridSpan w:val="8"/>
            <w:shd w:val="clear" w:color="auto" w:fill="auto"/>
          </w:tcPr>
          <w:p w14:paraId="0D422E9E" w14:textId="77777777" w:rsidR="003A05A3" w:rsidRPr="00E16672" w:rsidRDefault="003A05A3" w:rsidP="00843027">
            <w:pPr>
              <w:snapToGrid w:val="0"/>
              <w:ind w:left="175" w:right="138" w:firstLine="7"/>
              <w:rPr>
                <w:rFonts w:ascii="Times New Roman" w:hAnsi="Times New Roman"/>
                <w:sz w:val="16"/>
                <w:szCs w:val="16"/>
                <w:lang w:val="en-US"/>
              </w:rPr>
            </w:pPr>
          </w:p>
          <w:p w14:paraId="3F0320FD" w14:textId="77777777" w:rsidR="003A05A3" w:rsidRPr="00E16672" w:rsidRDefault="003A05A3" w:rsidP="00843027">
            <w:pPr>
              <w:ind w:left="175" w:right="138" w:firstLine="7"/>
              <w:rPr>
                <w:rFonts w:ascii="Times New Roman" w:hAnsi="Times New Roman"/>
                <w:sz w:val="16"/>
                <w:szCs w:val="16"/>
              </w:rPr>
            </w:pPr>
            <w:r w:rsidRPr="00E16672">
              <w:rPr>
                <w:rFonts w:ascii="Times New Roman" w:hAnsi="Times New Roman"/>
                <w:sz w:val="16"/>
                <w:szCs w:val="16"/>
              </w:rPr>
              <w:t xml:space="preserve">5.9.2. </w:t>
            </w:r>
            <w:proofErr w:type="spellStart"/>
            <w:r w:rsidRPr="00E16672">
              <w:rPr>
                <w:rFonts w:ascii="Times New Roman" w:hAnsi="Times New Roman"/>
                <w:sz w:val="16"/>
                <w:szCs w:val="16"/>
              </w:rPr>
              <w:t>Депозитарна</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установа</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може</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пред'являти</w:t>
            </w:r>
            <w:proofErr w:type="spellEnd"/>
            <w:r w:rsidRPr="00E16672">
              <w:rPr>
                <w:rFonts w:ascii="Times New Roman" w:hAnsi="Times New Roman"/>
                <w:sz w:val="16"/>
                <w:szCs w:val="16"/>
              </w:rPr>
              <w:t xml:space="preserve"> Депоненту </w:t>
            </w:r>
            <w:proofErr w:type="spellStart"/>
            <w:r w:rsidRPr="00E16672">
              <w:rPr>
                <w:rFonts w:ascii="Times New Roman" w:hAnsi="Times New Roman"/>
                <w:sz w:val="16"/>
                <w:szCs w:val="16"/>
              </w:rPr>
              <w:t>вимоги</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стосовно</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сплати</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пені</w:t>
            </w:r>
            <w:proofErr w:type="spellEnd"/>
            <w:r w:rsidRPr="00E16672">
              <w:rPr>
                <w:rFonts w:ascii="Times New Roman" w:hAnsi="Times New Roman"/>
                <w:sz w:val="16"/>
                <w:szCs w:val="16"/>
              </w:rPr>
              <w:t xml:space="preserve">, як шляхом </w:t>
            </w:r>
            <w:proofErr w:type="spellStart"/>
            <w:r w:rsidRPr="00E16672">
              <w:rPr>
                <w:rFonts w:ascii="Times New Roman" w:hAnsi="Times New Roman"/>
                <w:sz w:val="16"/>
                <w:szCs w:val="16"/>
              </w:rPr>
              <w:t>надіслання</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рахунк</w:t>
            </w:r>
            <w:proofErr w:type="spellEnd"/>
            <w:r w:rsidRPr="00E16672">
              <w:rPr>
                <w:rFonts w:ascii="Times New Roman" w:hAnsi="Times New Roman"/>
                <w:sz w:val="16"/>
                <w:szCs w:val="16"/>
                <w:lang w:val="uk-UA"/>
              </w:rPr>
              <w:t>у</w:t>
            </w:r>
            <w:r w:rsidRPr="00E16672">
              <w:rPr>
                <w:rFonts w:ascii="Times New Roman" w:hAnsi="Times New Roman"/>
                <w:sz w:val="16"/>
                <w:szCs w:val="16"/>
              </w:rPr>
              <w:t xml:space="preserve">, так і шляхом </w:t>
            </w:r>
            <w:proofErr w:type="spellStart"/>
            <w:r w:rsidRPr="00E16672">
              <w:rPr>
                <w:rFonts w:ascii="Times New Roman" w:hAnsi="Times New Roman"/>
                <w:sz w:val="16"/>
                <w:szCs w:val="16"/>
              </w:rPr>
              <w:t>звернення</w:t>
            </w:r>
            <w:proofErr w:type="spellEnd"/>
            <w:r w:rsidRPr="00E16672">
              <w:rPr>
                <w:rFonts w:ascii="Times New Roman" w:hAnsi="Times New Roman"/>
                <w:sz w:val="16"/>
                <w:szCs w:val="16"/>
              </w:rPr>
              <w:t xml:space="preserve"> до Депонента з листом, </w:t>
            </w:r>
            <w:proofErr w:type="spellStart"/>
            <w:r w:rsidRPr="00E16672">
              <w:rPr>
                <w:rFonts w:ascii="Times New Roman" w:hAnsi="Times New Roman"/>
                <w:sz w:val="16"/>
                <w:szCs w:val="16"/>
              </w:rPr>
              <w:t>телеграмою</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тощо</w:t>
            </w:r>
            <w:proofErr w:type="spellEnd"/>
            <w:r w:rsidRPr="00E16672">
              <w:rPr>
                <w:rFonts w:ascii="Times New Roman" w:hAnsi="Times New Roman"/>
                <w:sz w:val="16"/>
                <w:szCs w:val="16"/>
              </w:rPr>
              <w:t>.</w:t>
            </w:r>
          </w:p>
        </w:tc>
        <w:tc>
          <w:tcPr>
            <w:tcW w:w="5494" w:type="dxa"/>
            <w:gridSpan w:val="6"/>
            <w:shd w:val="clear" w:color="auto" w:fill="auto"/>
          </w:tcPr>
          <w:p w14:paraId="76156F96" w14:textId="77777777" w:rsidR="003A05A3" w:rsidRPr="00E16672" w:rsidRDefault="003A05A3" w:rsidP="00843027">
            <w:pPr>
              <w:tabs>
                <w:tab w:val="left" w:pos="287"/>
              </w:tabs>
              <w:snapToGrid w:val="0"/>
              <w:ind w:left="175" w:right="100" w:firstLine="7"/>
              <w:rPr>
                <w:rFonts w:ascii="Times New Roman" w:hAnsi="Times New Roman"/>
                <w:sz w:val="16"/>
                <w:szCs w:val="16"/>
              </w:rPr>
            </w:pPr>
          </w:p>
          <w:p w14:paraId="2F66B9FD" w14:textId="77777777" w:rsidR="003A05A3" w:rsidRPr="00E16672" w:rsidRDefault="003A05A3" w:rsidP="00843027">
            <w:pPr>
              <w:tabs>
                <w:tab w:val="left" w:pos="287"/>
              </w:tabs>
              <w:snapToGrid w:val="0"/>
              <w:ind w:left="175" w:right="100" w:firstLine="7"/>
              <w:rPr>
                <w:rFonts w:ascii="Times New Roman" w:hAnsi="Times New Roman"/>
                <w:sz w:val="16"/>
                <w:szCs w:val="16"/>
                <w:lang w:val="en-GB"/>
              </w:rPr>
            </w:pPr>
            <w:r w:rsidRPr="00E16672">
              <w:rPr>
                <w:rFonts w:ascii="Times New Roman" w:hAnsi="Times New Roman"/>
                <w:sz w:val="16"/>
                <w:szCs w:val="16"/>
                <w:lang w:val="en-GB"/>
              </w:rPr>
              <w:t xml:space="preserve">5.9.2. Depository institution can to make from </w:t>
            </w:r>
            <w:proofErr w:type="gramStart"/>
            <w:r w:rsidRPr="00E16672">
              <w:rPr>
                <w:rFonts w:ascii="Times New Roman" w:hAnsi="Times New Roman"/>
                <w:sz w:val="16"/>
                <w:szCs w:val="16"/>
                <w:lang w:val="en-GB"/>
              </w:rPr>
              <w:t>Depositor  requirement</w:t>
            </w:r>
            <w:proofErr w:type="gramEnd"/>
            <w:r w:rsidRPr="00E16672">
              <w:rPr>
                <w:rFonts w:ascii="Times New Roman" w:hAnsi="Times New Roman"/>
                <w:sz w:val="16"/>
                <w:szCs w:val="16"/>
                <w:lang w:val="en-GB"/>
              </w:rPr>
              <w:t xml:space="preserve"> concerning of payment of fine, both as by the message of invoice and by an address to Depositor with a letter, by a telegram and others like that.</w:t>
            </w:r>
          </w:p>
          <w:p w14:paraId="12F9F95A" w14:textId="77777777" w:rsidR="003A05A3" w:rsidRPr="00E16672" w:rsidRDefault="003A05A3" w:rsidP="00843027">
            <w:pPr>
              <w:tabs>
                <w:tab w:val="left" w:pos="287"/>
              </w:tabs>
              <w:snapToGrid w:val="0"/>
              <w:ind w:left="175" w:right="100" w:firstLine="7"/>
              <w:rPr>
                <w:rFonts w:ascii="Times New Roman" w:hAnsi="Times New Roman"/>
                <w:sz w:val="16"/>
                <w:szCs w:val="16"/>
                <w:lang w:val="en-GB"/>
              </w:rPr>
            </w:pPr>
          </w:p>
        </w:tc>
      </w:tr>
      <w:tr w:rsidR="003A05A3" w:rsidRPr="00F23413" w14:paraId="17265602" w14:textId="77777777" w:rsidTr="00242F58">
        <w:trPr>
          <w:trHeight w:val="192"/>
        </w:trPr>
        <w:tc>
          <w:tcPr>
            <w:tcW w:w="5696" w:type="dxa"/>
            <w:gridSpan w:val="8"/>
            <w:shd w:val="clear" w:color="auto" w:fill="auto"/>
          </w:tcPr>
          <w:p w14:paraId="1231EAC1" w14:textId="77777777" w:rsidR="003A05A3" w:rsidRPr="00E16672" w:rsidRDefault="003A05A3" w:rsidP="00843027">
            <w:pPr>
              <w:snapToGrid w:val="0"/>
              <w:ind w:left="175" w:right="138" w:firstLine="7"/>
              <w:rPr>
                <w:rFonts w:ascii="Times New Roman" w:hAnsi="Times New Roman"/>
                <w:sz w:val="16"/>
                <w:szCs w:val="16"/>
              </w:rPr>
            </w:pPr>
            <w:r w:rsidRPr="00E16672">
              <w:rPr>
                <w:rFonts w:ascii="Times New Roman" w:hAnsi="Times New Roman"/>
                <w:sz w:val="16"/>
                <w:szCs w:val="16"/>
              </w:rPr>
              <w:t xml:space="preserve">5.9.3. Депонент повинен </w:t>
            </w:r>
            <w:proofErr w:type="spellStart"/>
            <w:r w:rsidRPr="00E16672">
              <w:rPr>
                <w:rFonts w:ascii="Times New Roman" w:hAnsi="Times New Roman"/>
                <w:sz w:val="16"/>
                <w:szCs w:val="16"/>
              </w:rPr>
              <w:t>виконати</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зобов'язання</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визначене</w:t>
            </w:r>
            <w:proofErr w:type="spellEnd"/>
            <w:r w:rsidRPr="00E16672">
              <w:rPr>
                <w:rFonts w:ascii="Times New Roman" w:hAnsi="Times New Roman"/>
                <w:sz w:val="16"/>
                <w:szCs w:val="16"/>
              </w:rPr>
              <w:t xml:space="preserve"> п. 5.9., у </w:t>
            </w:r>
            <w:proofErr w:type="spellStart"/>
            <w:r w:rsidRPr="00E16672">
              <w:rPr>
                <w:rFonts w:ascii="Times New Roman" w:hAnsi="Times New Roman"/>
                <w:sz w:val="16"/>
                <w:szCs w:val="16"/>
              </w:rPr>
              <w:t>п’ятиденний</w:t>
            </w:r>
            <w:proofErr w:type="spellEnd"/>
            <w:r w:rsidRPr="00E16672">
              <w:rPr>
                <w:rFonts w:ascii="Times New Roman" w:hAnsi="Times New Roman"/>
                <w:sz w:val="16"/>
                <w:szCs w:val="16"/>
              </w:rPr>
              <w:t xml:space="preserve"> строк з дня </w:t>
            </w:r>
            <w:proofErr w:type="spellStart"/>
            <w:r w:rsidRPr="00E16672">
              <w:rPr>
                <w:rFonts w:ascii="Times New Roman" w:hAnsi="Times New Roman"/>
                <w:sz w:val="16"/>
                <w:szCs w:val="16"/>
              </w:rPr>
              <w:t>пред'явлення</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вимоги</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Депозитарної</w:t>
            </w:r>
            <w:proofErr w:type="spellEnd"/>
            <w:r w:rsidRPr="00E16672">
              <w:rPr>
                <w:rFonts w:ascii="Times New Roman" w:hAnsi="Times New Roman"/>
                <w:sz w:val="16"/>
                <w:szCs w:val="16"/>
              </w:rPr>
              <w:t xml:space="preserve"> установи </w:t>
            </w:r>
            <w:proofErr w:type="spellStart"/>
            <w:r w:rsidRPr="00E16672">
              <w:rPr>
                <w:rFonts w:ascii="Times New Roman" w:hAnsi="Times New Roman"/>
                <w:sz w:val="16"/>
                <w:szCs w:val="16"/>
              </w:rPr>
              <w:t>згідно</w:t>
            </w:r>
            <w:proofErr w:type="spellEnd"/>
            <w:r w:rsidRPr="00E16672">
              <w:rPr>
                <w:rFonts w:ascii="Times New Roman" w:hAnsi="Times New Roman"/>
                <w:sz w:val="16"/>
                <w:szCs w:val="16"/>
              </w:rPr>
              <w:t xml:space="preserve"> з п. 5.9. Таким днем </w:t>
            </w:r>
            <w:proofErr w:type="spellStart"/>
            <w:r w:rsidRPr="00E16672">
              <w:rPr>
                <w:rFonts w:ascii="Times New Roman" w:hAnsi="Times New Roman"/>
                <w:sz w:val="16"/>
                <w:szCs w:val="16"/>
              </w:rPr>
              <w:t>слід</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вважати</w:t>
            </w:r>
            <w:proofErr w:type="spellEnd"/>
            <w:r w:rsidRPr="00E16672">
              <w:rPr>
                <w:rFonts w:ascii="Times New Roman" w:hAnsi="Times New Roman"/>
                <w:sz w:val="16"/>
                <w:szCs w:val="16"/>
              </w:rPr>
              <w:t xml:space="preserve"> дату </w:t>
            </w:r>
            <w:proofErr w:type="spellStart"/>
            <w:r w:rsidRPr="00E16672">
              <w:rPr>
                <w:rFonts w:ascii="Times New Roman" w:hAnsi="Times New Roman"/>
                <w:sz w:val="16"/>
                <w:szCs w:val="16"/>
              </w:rPr>
              <w:t>одержання</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вимоги</w:t>
            </w:r>
            <w:proofErr w:type="spellEnd"/>
            <w:r w:rsidRPr="00E16672">
              <w:rPr>
                <w:rFonts w:ascii="Times New Roman" w:hAnsi="Times New Roman"/>
                <w:sz w:val="16"/>
                <w:szCs w:val="16"/>
              </w:rPr>
              <w:t xml:space="preserve"> Депонентом.</w:t>
            </w:r>
          </w:p>
        </w:tc>
        <w:tc>
          <w:tcPr>
            <w:tcW w:w="5494" w:type="dxa"/>
            <w:gridSpan w:val="6"/>
            <w:shd w:val="clear" w:color="auto" w:fill="auto"/>
          </w:tcPr>
          <w:p w14:paraId="200798F9" w14:textId="77777777" w:rsidR="003A05A3" w:rsidRPr="00E16672" w:rsidRDefault="003A05A3" w:rsidP="00843027">
            <w:pPr>
              <w:tabs>
                <w:tab w:val="left" w:pos="287"/>
              </w:tabs>
              <w:snapToGrid w:val="0"/>
              <w:ind w:left="175" w:right="100" w:firstLine="7"/>
              <w:rPr>
                <w:rFonts w:ascii="Times New Roman" w:hAnsi="Times New Roman"/>
                <w:sz w:val="16"/>
                <w:szCs w:val="16"/>
                <w:lang w:val="en-GB"/>
              </w:rPr>
            </w:pPr>
            <w:r w:rsidRPr="00E16672">
              <w:rPr>
                <w:rFonts w:ascii="Times New Roman" w:hAnsi="Times New Roman"/>
                <w:sz w:val="16"/>
                <w:szCs w:val="16"/>
                <w:lang w:val="en-GB"/>
              </w:rPr>
              <w:t>5.9.3. A depositor must execute obligations, certain item 5.9., in a five-day term from the day of making requirement by Depository institution in accordance to item 5.9. It follows to consider the date of receipt of requirement Depositor such day.</w:t>
            </w:r>
          </w:p>
          <w:p w14:paraId="5E845E66" w14:textId="77777777" w:rsidR="003A05A3" w:rsidRPr="00E16672" w:rsidRDefault="003A05A3" w:rsidP="00843027">
            <w:pPr>
              <w:tabs>
                <w:tab w:val="left" w:pos="287"/>
              </w:tabs>
              <w:snapToGrid w:val="0"/>
              <w:ind w:left="175" w:right="100" w:firstLine="7"/>
              <w:rPr>
                <w:rFonts w:ascii="Times New Roman" w:hAnsi="Times New Roman"/>
                <w:sz w:val="16"/>
                <w:szCs w:val="16"/>
                <w:lang w:val="en-GB"/>
              </w:rPr>
            </w:pPr>
          </w:p>
        </w:tc>
      </w:tr>
      <w:tr w:rsidR="003A05A3" w:rsidRPr="00F23413" w14:paraId="17E359A3" w14:textId="77777777" w:rsidTr="00242F58">
        <w:trPr>
          <w:trHeight w:val="192"/>
        </w:trPr>
        <w:tc>
          <w:tcPr>
            <w:tcW w:w="5696" w:type="dxa"/>
            <w:gridSpan w:val="8"/>
            <w:shd w:val="clear" w:color="auto" w:fill="auto"/>
          </w:tcPr>
          <w:p w14:paraId="34BE543B" w14:textId="77777777" w:rsidR="003A05A3" w:rsidRPr="00E16672" w:rsidRDefault="003A05A3" w:rsidP="00843027">
            <w:pPr>
              <w:snapToGrid w:val="0"/>
              <w:ind w:left="175" w:right="138" w:firstLine="7"/>
              <w:rPr>
                <w:rFonts w:ascii="Times New Roman" w:hAnsi="Times New Roman"/>
                <w:color w:val="000000"/>
                <w:sz w:val="16"/>
                <w:szCs w:val="16"/>
              </w:rPr>
            </w:pPr>
            <w:r w:rsidRPr="00E16672">
              <w:rPr>
                <w:rFonts w:ascii="Times New Roman" w:hAnsi="Times New Roman"/>
                <w:color w:val="000000"/>
                <w:sz w:val="16"/>
                <w:szCs w:val="16"/>
              </w:rPr>
              <w:t xml:space="preserve">5.9.4. При </w:t>
            </w:r>
            <w:proofErr w:type="spellStart"/>
            <w:r w:rsidRPr="00E16672">
              <w:rPr>
                <w:rFonts w:ascii="Times New Roman" w:hAnsi="Times New Roman"/>
                <w:color w:val="000000"/>
                <w:sz w:val="16"/>
                <w:szCs w:val="16"/>
              </w:rPr>
              <w:t>цьому</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визнання</w:t>
            </w:r>
            <w:proofErr w:type="spellEnd"/>
            <w:r w:rsidRPr="00E16672">
              <w:rPr>
                <w:rFonts w:ascii="Times New Roman" w:hAnsi="Times New Roman"/>
                <w:color w:val="000000"/>
                <w:sz w:val="16"/>
                <w:szCs w:val="16"/>
              </w:rPr>
              <w:t xml:space="preserve"> Депонентом </w:t>
            </w:r>
            <w:proofErr w:type="spellStart"/>
            <w:r w:rsidRPr="00E16672">
              <w:rPr>
                <w:rFonts w:ascii="Times New Roman" w:hAnsi="Times New Roman"/>
                <w:color w:val="000000"/>
                <w:sz w:val="16"/>
                <w:szCs w:val="16"/>
              </w:rPr>
              <w:t>претензії</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Депозитарної</w:t>
            </w:r>
            <w:proofErr w:type="spellEnd"/>
            <w:r w:rsidRPr="00E16672">
              <w:rPr>
                <w:rFonts w:ascii="Times New Roman" w:hAnsi="Times New Roman"/>
                <w:color w:val="000000"/>
                <w:sz w:val="16"/>
                <w:szCs w:val="16"/>
              </w:rPr>
              <w:t xml:space="preserve"> установи про оплату </w:t>
            </w:r>
            <w:proofErr w:type="spellStart"/>
            <w:r w:rsidRPr="00E16672">
              <w:rPr>
                <w:rFonts w:ascii="Times New Roman" w:hAnsi="Times New Roman"/>
                <w:color w:val="000000"/>
                <w:sz w:val="16"/>
                <w:szCs w:val="16"/>
              </w:rPr>
              <w:t>послуг</w:t>
            </w:r>
            <w:proofErr w:type="spellEnd"/>
            <w:r w:rsidRPr="00E16672">
              <w:rPr>
                <w:rFonts w:ascii="Times New Roman" w:hAnsi="Times New Roman"/>
                <w:color w:val="000000"/>
                <w:sz w:val="16"/>
                <w:szCs w:val="16"/>
              </w:rPr>
              <w:t xml:space="preserve"> без </w:t>
            </w:r>
            <w:proofErr w:type="spellStart"/>
            <w:r w:rsidRPr="00E16672">
              <w:rPr>
                <w:rFonts w:ascii="Times New Roman" w:hAnsi="Times New Roman"/>
                <w:color w:val="000000"/>
                <w:sz w:val="16"/>
                <w:szCs w:val="16"/>
              </w:rPr>
              <w:t>перерахування</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заборгованості</w:t>
            </w:r>
            <w:proofErr w:type="spellEnd"/>
            <w:r w:rsidRPr="00E16672">
              <w:rPr>
                <w:rFonts w:ascii="Times New Roman" w:hAnsi="Times New Roman"/>
                <w:color w:val="000000"/>
                <w:sz w:val="16"/>
                <w:szCs w:val="16"/>
              </w:rPr>
              <w:t xml:space="preserve"> не </w:t>
            </w:r>
            <w:proofErr w:type="spellStart"/>
            <w:r w:rsidRPr="00E16672">
              <w:rPr>
                <w:rFonts w:ascii="Times New Roman" w:hAnsi="Times New Roman"/>
                <w:color w:val="000000"/>
                <w:sz w:val="16"/>
                <w:szCs w:val="16"/>
              </w:rPr>
              <w:t>може</w:t>
            </w:r>
            <w:proofErr w:type="spellEnd"/>
            <w:r w:rsidRPr="00E16672">
              <w:rPr>
                <w:rFonts w:ascii="Times New Roman" w:hAnsi="Times New Roman"/>
                <w:color w:val="000000"/>
                <w:sz w:val="16"/>
                <w:szCs w:val="16"/>
              </w:rPr>
              <w:t xml:space="preserve"> бути </w:t>
            </w:r>
            <w:proofErr w:type="spellStart"/>
            <w:r w:rsidRPr="00E16672">
              <w:rPr>
                <w:rFonts w:ascii="Times New Roman" w:hAnsi="Times New Roman"/>
                <w:color w:val="000000"/>
                <w:sz w:val="16"/>
                <w:szCs w:val="16"/>
              </w:rPr>
              <w:t>підставою</w:t>
            </w:r>
            <w:proofErr w:type="spellEnd"/>
            <w:r w:rsidRPr="00E16672">
              <w:rPr>
                <w:rFonts w:ascii="Times New Roman" w:hAnsi="Times New Roman"/>
                <w:color w:val="000000"/>
                <w:sz w:val="16"/>
                <w:szCs w:val="16"/>
              </w:rPr>
              <w:t xml:space="preserve"> для </w:t>
            </w:r>
            <w:proofErr w:type="spellStart"/>
            <w:r w:rsidRPr="00E16672">
              <w:rPr>
                <w:rFonts w:ascii="Times New Roman" w:hAnsi="Times New Roman"/>
                <w:color w:val="000000"/>
                <w:sz w:val="16"/>
                <w:szCs w:val="16"/>
              </w:rPr>
              <w:t>припинення</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нарахування</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пені</w:t>
            </w:r>
            <w:proofErr w:type="spellEnd"/>
            <w:r w:rsidRPr="00E16672">
              <w:rPr>
                <w:rFonts w:ascii="Times New Roman" w:hAnsi="Times New Roman"/>
                <w:color w:val="000000"/>
                <w:sz w:val="16"/>
                <w:szCs w:val="16"/>
              </w:rPr>
              <w:t xml:space="preserve"> за </w:t>
            </w:r>
            <w:r w:rsidRPr="00E16672">
              <w:rPr>
                <w:rFonts w:ascii="Times New Roman" w:hAnsi="Times New Roman"/>
                <w:color w:val="000000"/>
                <w:sz w:val="16"/>
                <w:szCs w:val="16"/>
                <w:lang w:val="uk-UA"/>
              </w:rPr>
              <w:t>прострочення</w:t>
            </w:r>
            <w:r w:rsidRPr="00E16672">
              <w:rPr>
                <w:rFonts w:ascii="Times New Roman" w:hAnsi="Times New Roman"/>
                <w:color w:val="000000"/>
                <w:sz w:val="16"/>
                <w:szCs w:val="16"/>
              </w:rPr>
              <w:t xml:space="preserve"> платежу.</w:t>
            </w:r>
          </w:p>
          <w:p w14:paraId="04B23C8B" w14:textId="77777777" w:rsidR="003A05A3" w:rsidRPr="00E16672" w:rsidRDefault="003A05A3" w:rsidP="00843027">
            <w:pPr>
              <w:ind w:left="175" w:right="138" w:firstLine="7"/>
              <w:rPr>
                <w:rFonts w:ascii="Times New Roman" w:hAnsi="Times New Roman"/>
                <w:color w:val="000000"/>
                <w:sz w:val="16"/>
                <w:szCs w:val="16"/>
              </w:rPr>
            </w:pPr>
          </w:p>
        </w:tc>
        <w:tc>
          <w:tcPr>
            <w:tcW w:w="5494" w:type="dxa"/>
            <w:gridSpan w:val="6"/>
            <w:shd w:val="clear" w:color="auto" w:fill="auto"/>
          </w:tcPr>
          <w:p w14:paraId="44C9638F" w14:textId="77777777" w:rsidR="003A05A3" w:rsidRPr="00E16672" w:rsidRDefault="003A05A3" w:rsidP="00843027">
            <w:pPr>
              <w:tabs>
                <w:tab w:val="left" w:pos="287"/>
              </w:tabs>
              <w:snapToGrid w:val="0"/>
              <w:ind w:left="175" w:right="100" w:firstLine="7"/>
              <w:rPr>
                <w:rFonts w:ascii="Times New Roman" w:hAnsi="Times New Roman"/>
                <w:color w:val="000000"/>
                <w:sz w:val="16"/>
                <w:szCs w:val="16"/>
                <w:lang w:val="en-GB"/>
              </w:rPr>
            </w:pPr>
            <w:r w:rsidRPr="00E16672">
              <w:rPr>
                <w:rFonts w:ascii="Times New Roman" w:hAnsi="Times New Roman"/>
                <w:color w:val="000000"/>
                <w:sz w:val="16"/>
                <w:szCs w:val="16"/>
                <w:lang w:val="en-GB"/>
              </w:rPr>
              <w:t xml:space="preserve">5.9.4. </w:t>
            </w:r>
            <w:proofErr w:type="gramStart"/>
            <w:r w:rsidRPr="00E16672">
              <w:rPr>
                <w:rFonts w:ascii="Times New Roman" w:hAnsi="Times New Roman"/>
                <w:color w:val="000000"/>
                <w:sz w:val="16"/>
                <w:szCs w:val="16"/>
                <w:lang w:val="en-GB"/>
              </w:rPr>
              <w:t>Thus</w:t>
            </w:r>
            <w:proofErr w:type="gramEnd"/>
            <w:r w:rsidRPr="00E16672">
              <w:rPr>
                <w:rFonts w:ascii="Times New Roman" w:hAnsi="Times New Roman"/>
                <w:color w:val="000000"/>
                <w:sz w:val="16"/>
                <w:szCs w:val="16"/>
                <w:lang w:val="en-GB"/>
              </w:rPr>
              <w:t xml:space="preserve"> confession of claim of Depository institution Depositor about payment of services without enumeration of debt </w:t>
            </w:r>
            <w:proofErr w:type="spellStart"/>
            <w:r w:rsidRPr="00E16672">
              <w:rPr>
                <w:rFonts w:ascii="Times New Roman" w:hAnsi="Times New Roman"/>
                <w:color w:val="000000"/>
                <w:sz w:val="16"/>
                <w:szCs w:val="16"/>
                <w:lang w:val="en-GB"/>
              </w:rPr>
              <w:t>can not</w:t>
            </w:r>
            <w:proofErr w:type="spellEnd"/>
            <w:r w:rsidRPr="00E16672">
              <w:rPr>
                <w:rFonts w:ascii="Times New Roman" w:hAnsi="Times New Roman"/>
                <w:color w:val="000000"/>
                <w:sz w:val="16"/>
                <w:szCs w:val="16"/>
                <w:lang w:val="en-GB"/>
              </w:rPr>
              <w:t xml:space="preserve"> be foundation for stopping of extra charge of fine for overdue payment.</w:t>
            </w:r>
          </w:p>
          <w:p w14:paraId="7CFD2E3A" w14:textId="77777777" w:rsidR="003A05A3" w:rsidRPr="00E16672" w:rsidRDefault="003A05A3" w:rsidP="00843027">
            <w:pPr>
              <w:tabs>
                <w:tab w:val="left" w:pos="287"/>
              </w:tabs>
              <w:snapToGrid w:val="0"/>
              <w:ind w:left="175" w:right="100" w:firstLine="7"/>
              <w:rPr>
                <w:rFonts w:ascii="Times New Roman" w:hAnsi="Times New Roman"/>
                <w:color w:val="000000"/>
                <w:sz w:val="16"/>
                <w:szCs w:val="16"/>
                <w:lang w:val="en-GB"/>
              </w:rPr>
            </w:pPr>
          </w:p>
        </w:tc>
      </w:tr>
      <w:tr w:rsidR="003A05A3" w:rsidRPr="00F23413" w14:paraId="003E1F28" w14:textId="77777777" w:rsidTr="00242F58">
        <w:trPr>
          <w:trHeight w:val="192"/>
        </w:trPr>
        <w:tc>
          <w:tcPr>
            <w:tcW w:w="5696" w:type="dxa"/>
            <w:gridSpan w:val="8"/>
            <w:shd w:val="clear" w:color="auto" w:fill="auto"/>
          </w:tcPr>
          <w:p w14:paraId="07F291B8" w14:textId="77777777" w:rsidR="003A05A3" w:rsidRPr="00E16672" w:rsidRDefault="003A05A3" w:rsidP="00843027">
            <w:pPr>
              <w:snapToGrid w:val="0"/>
              <w:ind w:left="175" w:right="138" w:firstLine="7"/>
              <w:rPr>
                <w:rFonts w:ascii="Times New Roman" w:hAnsi="Times New Roman"/>
                <w:sz w:val="16"/>
                <w:szCs w:val="16"/>
                <w:lang w:val="en-US"/>
              </w:rPr>
            </w:pPr>
            <w:r w:rsidRPr="00E16672">
              <w:rPr>
                <w:rFonts w:ascii="Times New Roman" w:hAnsi="Times New Roman"/>
                <w:sz w:val="16"/>
                <w:szCs w:val="16"/>
                <w:lang w:val="en-US"/>
              </w:rPr>
              <w:t xml:space="preserve">5.10. </w:t>
            </w:r>
            <w:proofErr w:type="spellStart"/>
            <w:r w:rsidRPr="00E16672">
              <w:rPr>
                <w:rFonts w:ascii="Times New Roman" w:hAnsi="Times New Roman"/>
                <w:sz w:val="16"/>
                <w:szCs w:val="16"/>
              </w:rPr>
              <w:t>Прострочення</w:t>
            </w:r>
            <w:proofErr w:type="spellEnd"/>
            <w:r w:rsidRPr="00E16672">
              <w:rPr>
                <w:rFonts w:ascii="Times New Roman" w:hAnsi="Times New Roman"/>
                <w:sz w:val="16"/>
                <w:szCs w:val="16"/>
                <w:lang w:val="en-US"/>
              </w:rPr>
              <w:t xml:space="preserve"> </w:t>
            </w:r>
            <w:r w:rsidRPr="00E16672">
              <w:rPr>
                <w:rFonts w:ascii="Times New Roman" w:hAnsi="Times New Roman"/>
                <w:sz w:val="16"/>
                <w:szCs w:val="16"/>
              </w:rPr>
              <w:t>платежу</w:t>
            </w:r>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більш</w:t>
            </w:r>
            <w:proofErr w:type="spellEnd"/>
            <w:r w:rsidRPr="00E16672">
              <w:rPr>
                <w:rFonts w:ascii="Times New Roman" w:hAnsi="Times New Roman"/>
                <w:sz w:val="16"/>
                <w:szCs w:val="16"/>
                <w:lang w:val="en-US"/>
              </w:rPr>
              <w:t xml:space="preserve"> </w:t>
            </w:r>
            <w:r w:rsidRPr="00E16672">
              <w:rPr>
                <w:rFonts w:ascii="Times New Roman" w:hAnsi="Times New Roman"/>
                <w:sz w:val="16"/>
                <w:szCs w:val="16"/>
              </w:rPr>
              <w:t>як</w:t>
            </w:r>
            <w:r w:rsidRPr="00E16672">
              <w:rPr>
                <w:rFonts w:ascii="Times New Roman" w:hAnsi="Times New Roman"/>
                <w:sz w:val="16"/>
                <w:szCs w:val="16"/>
                <w:lang w:val="en-US"/>
              </w:rPr>
              <w:t xml:space="preserve"> </w:t>
            </w:r>
            <w:r w:rsidRPr="00E16672">
              <w:rPr>
                <w:rFonts w:ascii="Times New Roman" w:hAnsi="Times New Roman"/>
                <w:sz w:val="16"/>
                <w:szCs w:val="16"/>
              </w:rPr>
              <w:t>на</w:t>
            </w:r>
            <w:r w:rsidRPr="00E16672">
              <w:rPr>
                <w:rFonts w:ascii="Times New Roman" w:hAnsi="Times New Roman"/>
                <w:sz w:val="16"/>
                <w:szCs w:val="16"/>
                <w:lang w:val="en-US"/>
              </w:rPr>
              <w:t xml:space="preserve"> 180 </w:t>
            </w:r>
            <w:proofErr w:type="spellStart"/>
            <w:r w:rsidRPr="00E16672">
              <w:rPr>
                <w:rFonts w:ascii="Times New Roman" w:hAnsi="Times New Roman"/>
                <w:sz w:val="16"/>
                <w:szCs w:val="16"/>
              </w:rPr>
              <w:t>днів</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вважається</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відмовою</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від</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виконання</w:t>
            </w:r>
            <w:proofErr w:type="spellEnd"/>
            <w:r w:rsidRPr="00E16672">
              <w:rPr>
                <w:rFonts w:ascii="Times New Roman" w:hAnsi="Times New Roman"/>
                <w:sz w:val="16"/>
                <w:szCs w:val="16"/>
                <w:lang w:val="en-US"/>
              </w:rPr>
              <w:t xml:space="preserve"> </w:t>
            </w:r>
            <w:r w:rsidRPr="00E16672">
              <w:rPr>
                <w:rFonts w:ascii="Times New Roman" w:hAnsi="Times New Roman"/>
                <w:sz w:val="16"/>
                <w:szCs w:val="16"/>
              </w:rPr>
              <w:t>умов</w:t>
            </w:r>
            <w:r w:rsidRPr="00E16672">
              <w:rPr>
                <w:rFonts w:ascii="Times New Roman" w:hAnsi="Times New Roman"/>
                <w:sz w:val="16"/>
                <w:szCs w:val="16"/>
                <w:lang w:val="en-US"/>
              </w:rPr>
              <w:t xml:space="preserve"> </w:t>
            </w:r>
            <w:r w:rsidRPr="00E16672">
              <w:rPr>
                <w:rFonts w:ascii="Times New Roman" w:hAnsi="Times New Roman"/>
                <w:sz w:val="16"/>
                <w:szCs w:val="16"/>
              </w:rPr>
              <w:t>Договору</w:t>
            </w:r>
            <w:r w:rsidRPr="00E16672">
              <w:rPr>
                <w:rFonts w:ascii="Times New Roman" w:hAnsi="Times New Roman"/>
                <w:sz w:val="16"/>
                <w:szCs w:val="16"/>
                <w:lang w:val="en-US"/>
              </w:rPr>
              <w:t xml:space="preserve">, </w:t>
            </w:r>
            <w:r w:rsidRPr="00E16672">
              <w:rPr>
                <w:rFonts w:ascii="Times New Roman" w:hAnsi="Times New Roman"/>
                <w:sz w:val="16"/>
                <w:szCs w:val="16"/>
              </w:rPr>
              <w:t>у</w:t>
            </w:r>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зв</w:t>
            </w:r>
            <w:proofErr w:type="spellEnd"/>
            <w:r w:rsidRPr="00E16672">
              <w:rPr>
                <w:rFonts w:ascii="Times New Roman" w:hAnsi="Times New Roman"/>
                <w:sz w:val="16"/>
                <w:szCs w:val="16"/>
                <w:lang w:val="en-US"/>
              </w:rPr>
              <w:t>'</w:t>
            </w:r>
            <w:proofErr w:type="spellStart"/>
            <w:r w:rsidRPr="00E16672">
              <w:rPr>
                <w:rFonts w:ascii="Times New Roman" w:hAnsi="Times New Roman"/>
                <w:sz w:val="16"/>
                <w:szCs w:val="16"/>
              </w:rPr>
              <w:t>язку</w:t>
            </w:r>
            <w:proofErr w:type="spellEnd"/>
            <w:r w:rsidRPr="00E16672">
              <w:rPr>
                <w:rFonts w:ascii="Times New Roman" w:hAnsi="Times New Roman"/>
                <w:sz w:val="16"/>
                <w:szCs w:val="16"/>
                <w:lang w:val="en-US"/>
              </w:rPr>
              <w:t xml:space="preserve"> </w:t>
            </w:r>
            <w:r w:rsidRPr="00E16672">
              <w:rPr>
                <w:rFonts w:ascii="Times New Roman" w:hAnsi="Times New Roman"/>
                <w:sz w:val="16"/>
                <w:szCs w:val="16"/>
              </w:rPr>
              <w:t>з</w:t>
            </w:r>
            <w:r w:rsidRPr="00E16672">
              <w:rPr>
                <w:rFonts w:ascii="Times New Roman" w:hAnsi="Times New Roman"/>
                <w:sz w:val="16"/>
                <w:szCs w:val="16"/>
                <w:lang w:val="en-US"/>
              </w:rPr>
              <w:t xml:space="preserve"> </w:t>
            </w:r>
            <w:proofErr w:type="spellStart"/>
            <w:proofErr w:type="gramStart"/>
            <w:r w:rsidRPr="00E16672">
              <w:rPr>
                <w:rFonts w:ascii="Times New Roman" w:hAnsi="Times New Roman"/>
                <w:sz w:val="16"/>
                <w:szCs w:val="16"/>
              </w:rPr>
              <w:t>чим</w:t>
            </w:r>
            <w:proofErr w:type="spellEnd"/>
            <w:r w:rsidRPr="00E16672">
              <w:rPr>
                <w:rFonts w:ascii="Times New Roman" w:hAnsi="Times New Roman"/>
                <w:sz w:val="16"/>
                <w:szCs w:val="16"/>
                <w:lang w:val="en-US"/>
              </w:rPr>
              <w:t xml:space="preserve"> ,</w:t>
            </w:r>
            <w:proofErr w:type="gram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Депозитарна</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установа</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має</w:t>
            </w:r>
            <w:proofErr w:type="spellEnd"/>
            <w:r w:rsidRPr="00E16672">
              <w:rPr>
                <w:rFonts w:ascii="Times New Roman" w:hAnsi="Times New Roman"/>
                <w:sz w:val="16"/>
                <w:szCs w:val="16"/>
                <w:lang w:val="en-US"/>
              </w:rPr>
              <w:t xml:space="preserve"> </w:t>
            </w:r>
            <w:r w:rsidRPr="00E16672">
              <w:rPr>
                <w:rFonts w:ascii="Times New Roman" w:hAnsi="Times New Roman"/>
                <w:sz w:val="16"/>
                <w:szCs w:val="16"/>
              </w:rPr>
              <w:t>право</w:t>
            </w:r>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нарахувати</w:t>
            </w:r>
            <w:proofErr w:type="spellEnd"/>
            <w:r w:rsidRPr="00E16672">
              <w:rPr>
                <w:rFonts w:ascii="Times New Roman" w:hAnsi="Times New Roman"/>
                <w:sz w:val="16"/>
                <w:szCs w:val="16"/>
                <w:lang w:val="en-US"/>
              </w:rPr>
              <w:t xml:space="preserve"> </w:t>
            </w:r>
            <w:r w:rsidRPr="00E16672">
              <w:rPr>
                <w:rFonts w:ascii="Times New Roman" w:hAnsi="Times New Roman"/>
                <w:sz w:val="16"/>
                <w:szCs w:val="16"/>
              </w:rPr>
              <w:t>та</w:t>
            </w:r>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стягнути</w:t>
            </w:r>
            <w:proofErr w:type="spellEnd"/>
            <w:r w:rsidRPr="00E16672">
              <w:rPr>
                <w:rFonts w:ascii="Times New Roman" w:hAnsi="Times New Roman"/>
                <w:sz w:val="16"/>
                <w:szCs w:val="16"/>
                <w:lang w:val="en-US"/>
              </w:rPr>
              <w:t xml:space="preserve"> </w:t>
            </w:r>
            <w:r w:rsidRPr="00E16672">
              <w:rPr>
                <w:rFonts w:ascii="Times New Roman" w:hAnsi="Times New Roman"/>
                <w:sz w:val="16"/>
                <w:szCs w:val="16"/>
              </w:rPr>
              <w:t>з</w:t>
            </w:r>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іншої</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Сторони</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крім</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пені</w:t>
            </w:r>
            <w:proofErr w:type="spellEnd"/>
            <w:r w:rsidRPr="00E16672">
              <w:rPr>
                <w:rFonts w:ascii="Times New Roman" w:hAnsi="Times New Roman"/>
                <w:sz w:val="16"/>
                <w:szCs w:val="16"/>
                <w:lang w:val="en-US"/>
              </w:rPr>
              <w:t xml:space="preserve">,  </w:t>
            </w:r>
            <w:r w:rsidRPr="00E16672">
              <w:rPr>
                <w:rFonts w:ascii="Times New Roman" w:hAnsi="Times New Roman"/>
                <w:sz w:val="16"/>
                <w:szCs w:val="16"/>
              </w:rPr>
              <w:t>штраф</w:t>
            </w:r>
            <w:r w:rsidRPr="00E16672">
              <w:rPr>
                <w:rFonts w:ascii="Times New Roman" w:hAnsi="Times New Roman"/>
                <w:sz w:val="16"/>
                <w:szCs w:val="16"/>
                <w:lang w:val="en-US"/>
              </w:rPr>
              <w:t xml:space="preserve"> </w:t>
            </w:r>
            <w:r w:rsidRPr="00E16672">
              <w:rPr>
                <w:rFonts w:ascii="Times New Roman" w:hAnsi="Times New Roman"/>
                <w:sz w:val="16"/>
                <w:szCs w:val="16"/>
              </w:rPr>
              <w:t>у</w:t>
            </w:r>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розмірі</w:t>
            </w:r>
            <w:proofErr w:type="spellEnd"/>
            <w:r w:rsidRPr="00E16672">
              <w:rPr>
                <w:rFonts w:ascii="Times New Roman" w:hAnsi="Times New Roman"/>
                <w:sz w:val="16"/>
                <w:szCs w:val="16"/>
                <w:lang w:val="en-US"/>
              </w:rPr>
              <w:t xml:space="preserve"> 20% </w:t>
            </w:r>
            <w:proofErr w:type="spellStart"/>
            <w:r w:rsidRPr="00E16672">
              <w:rPr>
                <w:rFonts w:ascii="Times New Roman" w:hAnsi="Times New Roman"/>
                <w:sz w:val="16"/>
                <w:szCs w:val="16"/>
              </w:rPr>
              <w:t>від</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суми</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невиконаного</w:t>
            </w:r>
            <w:proofErr w:type="spellEnd"/>
            <w:r w:rsidRPr="00E16672">
              <w:rPr>
                <w:rFonts w:ascii="Times New Roman" w:hAnsi="Times New Roman"/>
                <w:sz w:val="16"/>
                <w:szCs w:val="16"/>
                <w:lang w:val="en-US"/>
              </w:rPr>
              <w:t xml:space="preserve"> </w:t>
            </w:r>
            <w:r w:rsidRPr="00E16672">
              <w:rPr>
                <w:rFonts w:ascii="Times New Roman" w:hAnsi="Times New Roman"/>
                <w:sz w:val="16"/>
                <w:szCs w:val="16"/>
              </w:rPr>
              <w:t>зобов</w:t>
            </w:r>
            <w:r w:rsidRPr="00E16672">
              <w:rPr>
                <w:rFonts w:ascii="Times New Roman" w:hAnsi="Times New Roman"/>
                <w:sz w:val="16"/>
                <w:szCs w:val="16"/>
                <w:lang w:val="en-US"/>
              </w:rPr>
              <w:t>'</w:t>
            </w:r>
            <w:proofErr w:type="spellStart"/>
            <w:r w:rsidRPr="00E16672">
              <w:rPr>
                <w:rFonts w:ascii="Times New Roman" w:hAnsi="Times New Roman"/>
                <w:sz w:val="16"/>
                <w:szCs w:val="16"/>
              </w:rPr>
              <w:t>язання</w:t>
            </w:r>
            <w:proofErr w:type="spellEnd"/>
            <w:r w:rsidRPr="00E16672">
              <w:rPr>
                <w:rFonts w:ascii="Times New Roman" w:hAnsi="Times New Roman"/>
                <w:sz w:val="16"/>
                <w:szCs w:val="16"/>
                <w:lang w:val="en-US"/>
              </w:rPr>
              <w:t>.</w:t>
            </w:r>
          </w:p>
          <w:p w14:paraId="7FCCE89A" w14:textId="77777777" w:rsidR="003A05A3" w:rsidRPr="00E16672" w:rsidRDefault="003A05A3" w:rsidP="00843027">
            <w:pPr>
              <w:ind w:left="175" w:right="138" w:firstLine="7"/>
              <w:rPr>
                <w:rFonts w:ascii="Times New Roman" w:hAnsi="Times New Roman"/>
                <w:sz w:val="16"/>
                <w:szCs w:val="16"/>
                <w:lang w:val="en-US"/>
              </w:rPr>
            </w:pPr>
          </w:p>
        </w:tc>
        <w:tc>
          <w:tcPr>
            <w:tcW w:w="5494" w:type="dxa"/>
            <w:gridSpan w:val="6"/>
            <w:shd w:val="clear" w:color="auto" w:fill="auto"/>
          </w:tcPr>
          <w:p w14:paraId="730454F4" w14:textId="77777777" w:rsidR="003A05A3" w:rsidRPr="00E16672" w:rsidRDefault="003A05A3" w:rsidP="00843027">
            <w:pPr>
              <w:tabs>
                <w:tab w:val="left" w:pos="287"/>
              </w:tabs>
              <w:snapToGrid w:val="0"/>
              <w:ind w:left="175" w:right="100" w:firstLine="7"/>
              <w:rPr>
                <w:rFonts w:ascii="Times New Roman" w:hAnsi="Times New Roman"/>
                <w:sz w:val="16"/>
                <w:szCs w:val="16"/>
                <w:lang w:val="en-GB"/>
              </w:rPr>
            </w:pPr>
            <w:r w:rsidRPr="00E16672">
              <w:rPr>
                <w:rFonts w:ascii="Times New Roman" w:hAnsi="Times New Roman"/>
                <w:sz w:val="16"/>
                <w:szCs w:val="16"/>
                <w:lang w:val="en-GB"/>
              </w:rPr>
              <w:t>5.10. The extension of payments more than on 180 days is considered the waiver of implementation of conditions of the Agreement, so, Depository institution has the right to charge and collect from other Party,</w:t>
            </w:r>
            <w:r w:rsidRPr="00E16672">
              <w:rPr>
                <w:rStyle w:val="WW8Num2z1"/>
                <w:rFonts w:ascii="Times New Roman" w:hAnsi="Times New Roman" w:cs="Times New Roman"/>
                <w:lang w:val="en-GB"/>
              </w:rPr>
              <w:t xml:space="preserve"> </w:t>
            </w:r>
            <w:r w:rsidRPr="00E16672">
              <w:rPr>
                <w:rFonts w:ascii="Times New Roman" w:hAnsi="Times New Roman"/>
                <w:sz w:val="16"/>
                <w:szCs w:val="16"/>
                <w:lang w:val="en-GB"/>
              </w:rPr>
              <w:t>except fine, a penalty of 20% from the sum of unfulfilled obligation.</w:t>
            </w:r>
          </w:p>
          <w:p w14:paraId="083BFBF8" w14:textId="77777777" w:rsidR="003A05A3" w:rsidRPr="00E16672" w:rsidRDefault="003A05A3" w:rsidP="00843027">
            <w:pPr>
              <w:tabs>
                <w:tab w:val="left" w:pos="287"/>
              </w:tabs>
              <w:snapToGrid w:val="0"/>
              <w:ind w:left="175" w:right="100" w:firstLine="7"/>
              <w:rPr>
                <w:rFonts w:ascii="Times New Roman" w:hAnsi="Times New Roman"/>
                <w:sz w:val="16"/>
                <w:szCs w:val="16"/>
                <w:lang w:val="en-GB"/>
              </w:rPr>
            </w:pPr>
          </w:p>
        </w:tc>
      </w:tr>
      <w:tr w:rsidR="003A05A3" w:rsidRPr="00F23413" w14:paraId="4343DA93" w14:textId="77777777" w:rsidTr="00242F58">
        <w:trPr>
          <w:trHeight w:val="192"/>
        </w:trPr>
        <w:tc>
          <w:tcPr>
            <w:tcW w:w="5696" w:type="dxa"/>
            <w:gridSpan w:val="8"/>
            <w:shd w:val="clear" w:color="auto" w:fill="auto"/>
          </w:tcPr>
          <w:p w14:paraId="6A3DEEA3" w14:textId="77777777" w:rsidR="003A05A3" w:rsidRPr="00E16672" w:rsidRDefault="003A05A3" w:rsidP="00843027">
            <w:pPr>
              <w:snapToGrid w:val="0"/>
              <w:ind w:left="175" w:right="138" w:firstLine="7"/>
              <w:rPr>
                <w:rFonts w:ascii="Times New Roman" w:hAnsi="Times New Roman"/>
                <w:sz w:val="16"/>
                <w:szCs w:val="16"/>
              </w:rPr>
            </w:pPr>
            <w:r w:rsidRPr="00E16672">
              <w:rPr>
                <w:rFonts w:ascii="Times New Roman" w:hAnsi="Times New Roman"/>
                <w:sz w:val="16"/>
                <w:szCs w:val="16"/>
              </w:rPr>
              <w:t xml:space="preserve">5.10.1. </w:t>
            </w:r>
            <w:proofErr w:type="spellStart"/>
            <w:r w:rsidRPr="00E16672">
              <w:rPr>
                <w:rFonts w:ascii="Times New Roman" w:hAnsi="Times New Roman"/>
                <w:sz w:val="16"/>
                <w:szCs w:val="16"/>
              </w:rPr>
              <w:t>Депозитарна</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установа</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може</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пред'являти</w:t>
            </w:r>
            <w:proofErr w:type="spellEnd"/>
            <w:r w:rsidRPr="00E16672">
              <w:rPr>
                <w:rFonts w:ascii="Times New Roman" w:hAnsi="Times New Roman"/>
                <w:sz w:val="16"/>
                <w:szCs w:val="16"/>
              </w:rPr>
              <w:t xml:space="preserve"> Депоненту </w:t>
            </w:r>
            <w:proofErr w:type="spellStart"/>
            <w:r w:rsidRPr="00E16672">
              <w:rPr>
                <w:rFonts w:ascii="Times New Roman" w:hAnsi="Times New Roman"/>
                <w:sz w:val="16"/>
                <w:szCs w:val="16"/>
              </w:rPr>
              <w:t>вимоги</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стосовно</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сплати</w:t>
            </w:r>
            <w:proofErr w:type="spellEnd"/>
            <w:r w:rsidRPr="00E16672">
              <w:rPr>
                <w:rFonts w:ascii="Times New Roman" w:hAnsi="Times New Roman"/>
                <w:sz w:val="16"/>
                <w:szCs w:val="16"/>
              </w:rPr>
              <w:t xml:space="preserve"> штрафу, як шляхом </w:t>
            </w:r>
            <w:proofErr w:type="spellStart"/>
            <w:r w:rsidRPr="00E16672">
              <w:rPr>
                <w:rFonts w:ascii="Times New Roman" w:hAnsi="Times New Roman"/>
                <w:sz w:val="16"/>
                <w:szCs w:val="16"/>
              </w:rPr>
              <w:t>надіслання</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рахунка</w:t>
            </w:r>
            <w:proofErr w:type="spellEnd"/>
            <w:r w:rsidRPr="00E16672">
              <w:rPr>
                <w:rFonts w:ascii="Times New Roman" w:hAnsi="Times New Roman"/>
                <w:sz w:val="16"/>
                <w:szCs w:val="16"/>
              </w:rPr>
              <w:t xml:space="preserve">, так і шляхом </w:t>
            </w:r>
            <w:proofErr w:type="spellStart"/>
            <w:r w:rsidRPr="00E16672">
              <w:rPr>
                <w:rFonts w:ascii="Times New Roman" w:hAnsi="Times New Roman"/>
                <w:sz w:val="16"/>
                <w:szCs w:val="16"/>
              </w:rPr>
              <w:t>звернення</w:t>
            </w:r>
            <w:proofErr w:type="spellEnd"/>
            <w:r w:rsidRPr="00E16672">
              <w:rPr>
                <w:rFonts w:ascii="Times New Roman" w:hAnsi="Times New Roman"/>
                <w:sz w:val="16"/>
                <w:szCs w:val="16"/>
              </w:rPr>
              <w:t xml:space="preserve"> до Депонента з листом, </w:t>
            </w:r>
            <w:proofErr w:type="spellStart"/>
            <w:r w:rsidRPr="00E16672">
              <w:rPr>
                <w:rFonts w:ascii="Times New Roman" w:hAnsi="Times New Roman"/>
                <w:sz w:val="16"/>
                <w:szCs w:val="16"/>
              </w:rPr>
              <w:t>телеграмою</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тощо</w:t>
            </w:r>
            <w:proofErr w:type="spellEnd"/>
            <w:r w:rsidRPr="00E16672">
              <w:rPr>
                <w:rFonts w:ascii="Times New Roman" w:hAnsi="Times New Roman"/>
                <w:sz w:val="16"/>
                <w:szCs w:val="16"/>
              </w:rPr>
              <w:t>.</w:t>
            </w:r>
          </w:p>
        </w:tc>
        <w:tc>
          <w:tcPr>
            <w:tcW w:w="5494" w:type="dxa"/>
            <w:gridSpan w:val="6"/>
            <w:shd w:val="clear" w:color="auto" w:fill="auto"/>
          </w:tcPr>
          <w:p w14:paraId="64F8CA64" w14:textId="77777777" w:rsidR="003A05A3" w:rsidRPr="00E16672" w:rsidRDefault="003A05A3" w:rsidP="00843027">
            <w:pPr>
              <w:tabs>
                <w:tab w:val="left" w:pos="287"/>
              </w:tabs>
              <w:snapToGrid w:val="0"/>
              <w:ind w:left="175" w:right="100" w:firstLine="7"/>
              <w:rPr>
                <w:rFonts w:ascii="Times New Roman" w:hAnsi="Times New Roman"/>
                <w:sz w:val="16"/>
                <w:szCs w:val="16"/>
                <w:lang w:val="en-GB"/>
              </w:rPr>
            </w:pPr>
            <w:r w:rsidRPr="00E16672">
              <w:rPr>
                <w:rFonts w:ascii="Times New Roman" w:hAnsi="Times New Roman"/>
                <w:sz w:val="16"/>
                <w:szCs w:val="16"/>
                <w:lang w:val="en-GB"/>
              </w:rPr>
              <w:t>5.10.</w:t>
            </w:r>
            <w:proofErr w:type="gramStart"/>
            <w:r w:rsidRPr="00E16672">
              <w:rPr>
                <w:rFonts w:ascii="Times New Roman" w:hAnsi="Times New Roman"/>
                <w:sz w:val="16"/>
                <w:szCs w:val="16"/>
                <w:lang w:val="en-GB"/>
              </w:rPr>
              <w:t>1.Depository</w:t>
            </w:r>
            <w:proofErr w:type="gramEnd"/>
            <w:r w:rsidRPr="00E16672">
              <w:rPr>
                <w:rFonts w:ascii="Times New Roman" w:hAnsi="Times New Roman"/>
                <w:sz w:val="16"/>
                <w:szCs w:val="16"/>
                <w:lang w:val="en-GB"/>
              </w:rPr>
              <w:t xml:space="preserve"> institution can make requirements to Depositor, concerning of payment of penalty, both by the message of invoice and by an address to Depositor with a letter, by a telegram and others like that.</w:t>
            </w:r>
          </w:p>
          <w:p w14:paraId="37794B20" w14:textId="77777777" w:rsidR="003A05A3" w:rsidRPr="00E16672" w:rsidRDefault="003A05A3" w:rsidP="00843027">
            <w:pPr>
              <w:tabs>
                <w:tab w:val="left" w:pos="287"/>
              </w:tabs>
              <w:snapToGrid w:val="0"/>
              <w:ind w:left="175" w:right="100" w:firstLine="7"/>
              <w:rPr>
                <w:rFonts w:ascii="Times New Roman" w:hAnsi="Times New Roman"/>
                <w:sz w:val="16"/>
                <w:szCs w:val="16"/>
                <w:lang w:val="en-GB"/>
              </w:rPr>
            </w:pPr>
          </w:p>
        </w:tc>
      </w:tr>
      <w:tr w:rsidR="003A05A3" w:rsidRPr="00F23413" w14:paraId="631EA824" w14:textId="77777777" w:rsidTr="00242F58">
        <w:trPr>
          <w:trHeight w:val="192"/>
        </w:trPr>
        <w:tc>
          <w:tcPr>
            <w:tcW w:w="5696" w:type="dxa"/>
            <w:gridSpan w:val="8"/>
            <w:shd w:val="clear" w:color="auto" w:fill="auto"/>
          </w:tcPr>
          <w:p w14:paraId="1D250BFA" w14:textId="77777777" w:rsidR="003A05A3" w:rsidRPr="00E16672" w:rsidRDefault="003A05A3" w:rsidP="00843027">
            <w:pPr>
              <w:snapToGrid w:val="0"/>
              <w:ind w:left="175" w:right="138" w:firstLine="7"/>
              <w:rPr>
                <w:rFonts w:ascii="Times New Roman" w:hAnsi="Times New Roman"/>
                <w:sz w:val="16"/>
                <w:szCs w:val="16"/>
              </w:rPr>
            </w:pPr>
            <w:r w:rsidRPr="00E16672">
              <w:rPr>
                <w:rFonts w:ascii="Times New Roman" w:hAnsi="Times New Roman"/>
                <w:sz w:val="16"/>
                <w:szCs w:val="16"/>
              </w:rPr>
              <w:t xml:space="preserve">5.10.2. Депонент повинен </w:t>
            </w:r>
            <w:proofErr w:type="spellStart"/>
            <w:r w:rsidRPr="00E16672">
              <w:rPr>
                <w:rFonts w:ascii="Times New Roman" w:hAnsi="Times New Roman"/>
                <w:sz w:val="16"/>
                <w:szCs w:val="16"/>
              </w:rPr>
              <w:t>виконати</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зобов'язання</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визначене</w:t>
            </w:r>
            <w:proofErr w:type="spellEnd"/>
            <w:r w:rsidRPr="00E16672">
              <w:rPr>
                <w:rFonts w:ascii="Times New Roman" w:hAnsi="Times New Roman"/>
                <w:sz w:val="16"/>
                <w:szCs w:val="16"/>
              </w:rPr>
              <w:t xml:space="preserve"> п.5.10., у </w:t>
            </w:r>
            <w:proofErr w:type="spellStart"/>
            <w:r w:rsidRPr="00E16672">
              <w:rPr>
                <w:rFonts w:ascii="Times New Roman" w:hAnsi="Times New Roman"/>
                <w:sz w:val="16"/>
                <w:szCs w:val="16"/>
              </w:rPr>
              <w:t>п’ятиденний</w:t>
            </w:r>
            <w:proofErr w:type="spellEnd"/>
            <w:r w:rsidRPr="00E16672">
              <w:rPr>
                <w:rFonts w:ascii="Times New Roman" w:hAnsi="Times New Roman"/>
                <w:sz w:val="16"/>
                <w:szCs w:val="16"/>
              </w:rPr>
              <w:t xml:space="preserve"> строк з дня </w:t>
            </w:r>
            <w:proofErr w:type="spellStart"/>
            <w:r w:rsidRPr="00E16672">
              <w:rPr>
                <w:rFonts w:ascii="Times New Roman" w:hAnsi="Times New Roman"/>
                <w:sz w:val="16"/>
                <w:szCs w:val="16"/>
              </w:rPr>
              <w:t>пред'явлення</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вимоги</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Депозитарної</w:t>
            </w:r>
            <w:proofErr w:type="spellEnd"/>
            <w:r w:rsidRPr="00E16672">
              <w:rPr>
                <w:rFonts w:ascii="Times New Roman" w:hAnsi="Times New Roman"/>
                <w:sz w:val="16"/>
                <w:szCs w:val="16"/>
              </w:rPr>
              <w:t xml:space="preserve"> установи </w:t>
            </w:r>
            <w:proofErr w:type="spellStart"/>
            <w:r w:rsidRPr="00E16672">
              <w:rPr>
                <w:rFonts w:ascii="Times New Roman" w:hAnsi="Times New Roman"/>
                <w:sz w:val="16"/>
                <w:szCs w:val="16"/>
              </w:rPr>
              <w:t>згідно</w:t>
            </w:r>
            <w:proofErr w:type="spellEnd"/>
            <w:r w:rsidRPr="00E16672">
              <w:rPr>
                <w:rFonts w:ascii="Times New Roman" w:hAnsi="Times New Roman"/>
                <w:sz w:val="16"/>
                <w:szCs w:val="16"/>
              </w:rPr>
              <w:t xml:space="preserve"> з пп.5.10. Таким днем </w:t>
            </w:r>
            <w:proofErr w:type="spellStart"/>
            <w:r w:rsidRPr="00E16672">
              <w:rPr>
                <w:rFonts w:ascii="Times New Roman" w:hAnsi="Times New Roman"/>
                <w:sz w:val="16"/>
                <w:szCs w:val="16"/>
              </w:rPr>
              <w:t>слід</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вважати</w:t>
            </w:r>
            <w:proofErr w:type="spellEnd"/>
            <w:r w:rsidRPr="00E16672">
              <w:rPr>
                <w:rFonts w:ascii="Times New Roman" w:hAnsi="Times New Roman"/>
                <w:sz w:val="16"/>
                <w:szCs w:val="16"/>
              </w:rPr>
              <w:t xml:space="preserve"> дату </w:t>
            </w:r>
            <w:proofErr w:type="spellStart"/>
            <w:r w:rsidRPr="00E16672">
              <w:rPr>
                <w:rFonts w:ascii="Times New Roman" w:hAnsi="Times New Roman"/>
                <w:sz w:val="16"/>
                <w:szCs w:val="16"/>
              </w:rPr>
              <w:t>одержання</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вимоги</w:t>
            </w:r>
            <w:proofErr w:type="spellEnd"/>
            <w:r w:rsidRPr="00E16672">
              <w:rPr>
                <w:rFonts w:ascii="Times New Roman" w:hAnsi="Times New Roman"/>
                <w:sz w:val="16"/>
                <w:szCs w:val="16"/>
              </w:rPr>
              <w:t xml:space="preserve"> Депонентом.</w:t>
            </w:r>
          </w:p>
        </w:tc>
        <w:tc>
          <w:tcPr>
            <w:tcW w:w="5494" w:type="dxa"/>
            <w:gridSpan w:val="6"/>
            <w:shd w:val="clear" w:color="auto" w:fill="auto"/>
          </w:tcPr>
          <w:p w14:paraId="31492FBE" w14:textId="77777777" w:rsidR="003A05A3" w:rsidRPr="00E16672" w:rsidRDefault="003A05A3" w:rsidP="00843027">
            <w:pPr>
              <w:tabs>
                <w:tab w:val="left" w:pos="287"/>
              </w:tabs>
              <w:snapToGrid w:val="0"/>
              <w:ind w:left="175" w:right="100" w:firstLine="7"/>
              <w:rPr>
                <w:rFonts w:ascii="Times New Roman" w:hAnsi="Times New Roman"/>
                <w:sz w:val="16"/>
                <w:szCs w:val="16"/>
                <w:lang w:val="en-GB"/>
              </w:rPr>
            </w:pPr>
            <w:r w:rsidRPr="00E16672">
              <w:rPr>
                <w:rFonts w:ascii="Times New Roman" w:hAnsi="Times New Roman"/>
                <w:sz w:val="16"/>
                <w:szCs w:val="16"/>
                <w:lang w:val="en-GB"/>
              </w:rPr>
              <w:t>5.10.2. A depositor must execute obligations, certain by item 5.10., in a five-day term from the day of make requirement by Depository institution in obedience to item 5.10.1. It follows to consider the date of receipt of requirement Depositor such day.</w:t>
            </w:r>
          </w:p>
          <w:p w14:paraId="5FB94F28" w14:textId="77777777" w:rsidR="003A05A3" w:rsidRPr="00E16672" w:rsidRDefault="003A05A3" w:rsidP="00843027">
            <w:pPr>
              <w:tabs>
                <w:tab w:val="left" w:pos="287"/>
              </w:tabs>
              <w:snapToGrid w:val="0"/>
              <w:ind w:left="175" w:right="100" w:firstLine="7"/>
              <w:rPr>
                <w:rFonts w:ascii="Times New Roman" w:hAnsi="Times New Roman"/>
                <w:sz w:val="16"/>
                <w:szCs w:val="16"/>
                <w:lang w:val="en-GB"/>
              </w:rPr>
            </w:pPr>
          </w:p>
        </w:tc>
      </w:tr>
      <w:tr w:rsidR="003A05A3" w:rsidRPr="00F23413" w14:paraId="4AFA5DF3" w14:textId="77777777" w:rsidTr="00242F58">
        <w:trPr>
          <w:trHeight w:val="192"/>
        </w:trPr>
        <w:tc>
          <w:tcPr>
            <w:tcW w:w="5696" w:type="dxa"/>
            <w:gridSpan w:val="8"/>
            <w:shd w:val="clear" w:color="auto" w:fill="auto"/>
          </w:tcPr>
          <w:p w14:paraId="2A255B86" w14:textId="77777777" w:rsidR="003A05A3" w:rsidRPr="00E16672" w:rsidRDefault="003A05A3" w:rsidP="00843027">
            <w:pPr>
              <w:snapToGrid w:val="0"/>
              <w:ind w:left="175" w:right="138" w:firstLine="7"/>
              <w:rPr>
                <w:rFonts w:ascii="Times New Roman" w:hAnsi="Times New Roman"/>
                <w:sz w:val="16"/>
                <w:szCs w:val="16"/>
              </w:rPr>
            </w:pPr>
            <w:r w:rsidRPr="00E16672">
              <w:rPr>
                <w:rFonts w:ascii="Times New Roman" w:hAnsi="Times New Roman"/>
                <w:sz w:val="16"/>
                <w:szCs w:val="16"/>
              </w:rPr>
              <w:t xml:space="preserve">5.10.3. </w:t>
            </w:r>
            <w:proofErr w:type="spellStart"/>
            <w:r w:rsidRPr="00E16672">
              <w:rPr>
                <w:rFonts w:ascii="Times New Roman" w:hAnsi="Times New Roman"/>
                <w:sz w:val="16"/>
                <w:szCs w:val="16"/>
              </w:rPr>
              <w:t>Виплата</w:t>
            </w:r>
            <w:proofErr w:type="spellEnd"/>
            <w:r w:rsidRPr="00E16672">
              <w:rPr>
                <w:rFonts w:ascii="Times New Roman" w:hAnsi="Times New Roman"/>
                <w:sz w:val="16"/>
                <w:szCs w:val="16"/>
              </w:rPr>
              <w:t xml:space="preserve"> </w:t>
            </w:r>
            <w:proofErr w:type="spellStart"/>
            <w:proofErr w:type="gramStart"/>
            <w:r w:rsidRPr="00E16672">
              <w:rPr>
                <w:rFonts w:ascii="Times New Roman" w:hAnsi="Times New Roman"/>
                <w:sz w:val="16"/>
                <w:szCs w:val="16"/>
              </w:rPr>
              <w:t>пені</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або</w:t>
            </w:r>
            <w:proofErr w:type="spellEnd"/>
            <w:proofErr w:type="gramEnd"/>
            <w:r w:rsidRPr="00E16672">
              <w:rPr>
                <w:rFonts w:ascii="Times New Roman" w:hAnsi="Times New Roman"/>
                <w:sz w:val="16"/>
                <w:szCs w:val="16"/>
              </w:rPr>
              <w:t xml:space="preserve"> штрафу не </w:t>
            </w:r>
            <w:proofErr w:type="spellStart"/>
            <w:r w:rsidRPr="00E16672">
              <w:rPr>
                <w:rFonts w:ascii="Times New Roman" w:hAnsi="Times New Roman"/>
                <w:sz w:val="16"/>
                <w:szCs w:val="16"/>
              </w:rPr>
              <w:t>звільняє</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Сторони</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від</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виконання</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обов’язків</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згідно</w:t>
            </w:r>
            <w:proofErr w:type="spellEnd"/>
            <w:r w:rsidRPr="00E16672">
              <w:rPr>
                <w:rFonts w:ascii="Times New Roman" w:hAnsi="Times New Roman"/>
                <w:sz w:val="16"/>
                <w:szCs w:val="16"/>
              </w:rPr>
              <w:t xml:space="preserve"> з </w:t>
            </w:r>
            <w:proofErr w:type="spellStart"/>
            <w:r w:rsidRPr="00E16672">
              <w:rPr>
                <w:rFonts w:ascii="Times New Roman" w:hAnsi="Times New Roman"/>
                <w:sz w:val="16"/>
                <w:szCs w:val="16"/>
              </w:rPr>
              <w:t>умовами</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цього</w:t>
            </w:r>
            <w:proofErr w:type="spellEnd"/>
            <w:r w:rsidRPr="00E16672">
              <w:rPr>
                <w:rFonts w:ascii="Times New Roman" w:hAnsi="Times New Roman"/>
                <w:sz w:val="16"/>
                <w:szCs w:val="16"/>
              </w:rPr>
              <w:t xml:space="preserve"> Договору.</w:t>
            </w:r>
          </w:p>
          <w:p w14:paraId="7634F37A" w14:textId="77777777" w:rsidR="003A05A3" w:rsidRPr="00E16672" w:rsidRDefault="003A05A3" w:rsidP="00843027">
            <w:pPr>
              <w:ind w:left="175" w:right="138" w:firstLine="7"/>
              <w:rPr>
                <w:rFonts w:ascii="Times New Roman" w:hAnsi="Times New Roman"/>
                <w:sz w:val="16"/>
                <w:szCs w:val="16"/>
              </w:rPr>
            </w:pPr>
          </w:p>
        </w:tc>
        <w:tc>
          <w:tcPr>
            <w:tcW w:w="5494" w:type="dxa"/>
            <w:gridSpan w:val="6"/>
            <w:shd w:val="clear" w:color="auto" w:fill="auto"/>
          </w:tcPr>
          <w:p w14:paraId="686D7A51" w14:textId="77777777" w:rsidR="003A05A3" w:rsidRPr="00E16672" w:rsidRDefault="003A05A3" w:rsidP="00843027">
            <w:pPr>
              <w:tabs>
                <w:tab w:val="left" w:pos="287"/>
              </w:tabs>
              <w:snapToGrid w:val="0"/>
              <w:ind w:left="175" w:right="100" w:firstLine="7"/>
              <w:rPr>
                <w:rFonts w:ascii="Times New Roman" w:hAnsi="Times New Roman"/>
                <w:sz w:val="16"/>
                <w:szCs w:val="16"/>
                <w:lang w:val="en-GB"/>
              </w:rPr>
            </w:pPr>
            <w:r w:rsidRPr="00E16672">
              <w:rPr>
                <w:rFonts w:ascii="Times New Roman" w:hAnsi="Times New Roman"/>
                <w:sz w:val="16"/>
                <w:szCs w:val="16"/>
                <w:lang w:val="en-GB"/>
              </w:rPr>
              <w:t xml:space="preserve">5.10.3. Payment of fine and penalty shall not release the Parties from the execution of their obligations </w:t>
            </w:r>
            <w:proofErr w:type="spellStart"/>
            <w:r w:rsidRPr="00E16672">
              <w:rPr>
                <w:rFonts w:ascii="Times New Roman" w:hAnsi="Times New Roman"/>
                <w:sz w:val="16"/>
                <w:szCs w:val="16"/>
                <w:lang w:val="en-GB"/>
              </w:rPr>
              <w:t>nder</w:t>
            </w:r>
            <w:proofErr w:type="spellEnd"/>
            <w:r w:rsidRPr="00E16672">
              <w:rPr>
                <w:rFonts w:ascii="Times New Roman" w:hAnsi="Times New Roman"/>
                <w:sz w:val="16"/>
                <w:szCs w:val="16"/>
                <w:lang w:val="en-GB"/>
              </w:rPr>
              <w:t xml:space="preserve"> the conditions of this Agreement.</w:t>
            </w:r>
          </w:p>
        </w:tc>
      </w:tr>
      <w:tr w:rsidR="003A05A3" w:rsidRPr="00F23413" w14:paraId="0A385C8B" w14:textId="77777777" w:rsidTr="00242F58">
        <w:trPr>
          <w:trHeight w:val="192"/>
        </w:trPr>
        <w:tc>
          <w:tcPr>
            <w:tcW w:w="5696" w:type="dxa"/>
            <w:gridSpan w:val="8"/>
            <w:shd w:val="clear" w:color="auto" w:fill="auto"/>
          </w:tcPr>
          <w:p w14:paraId="01F31C08" w14:textId="77777777" w:rsidR="003A05A3" w:rsidRPr="00E16672" w:rsidRDefault="003A05A3" w:rsidP="00843027">
            <w:pPr>
              <w:pStyle w:val="23"/>
              <w:snapToGrid w:val="0"/>
              <w:ind w:left="175" w:right="138" w:firstLine="7"/>
              <w:rPr>
                <w:rFonts w:ascii="Times New Roman" w:hAnsi="Times New Roman"/>
                <w:sz w:val="16"/>
                <w:szCs w:val="16"/>
              </w:rPr>
            </w:pPr>
            <w:r w:rsidRPr="00E16672">
              <w:rPr>
                <w:rFonts w:ascii="Times New Roman" w:hAnsi="Times New Roman"/>
                <w:sz w:val="16"/>
                <w:szCs w:val="16"/>
              </w:rPr>
              <w:t>5.11. Сторона, яка порушила Договір під час виконання своїх зобов'язань, несе відповідальність, якщо не доведе, що належне виконання зобов'язання унеможливлено впливом обставин непереборної сили, тобто надзвичайних і невідворотних за даних умов подій: стихійного лиха, аварії, пожежі, масових порушень правопорядку, страйків, військових дій, протиправних дій третіх осіб (крім дій працівників Сторони) чи інших обставин, що виникли після підписання Договору та не залежать від волевиявлення Сторін. Не є непереборною силою недодержання своїх обов'язків іншими контрагентами однієї зі Сторін чи відсутність у Сторони достатніх коштів.</w:t>
            </w:r>
          </w:p>
        </w:tc>
        <w:tc>
          <w:tcPr>
            <w:tcW w:w="5494" w:type="dxa"/>
            <w:gridSpan w:val="6"/>
            <w:shd w:val="clear" w:color="auto" w:fill="auto"/>
          </w:tcPr>
          <w:p w14:paraId="66870FD5" w14:textId="77777777" w:rsidR="003A05A3" w:rsidRPr="00E16672" w:rsidRDefault="003A05A3" w:rsidP="00843027">
            <w:pPr>
              <w:tabs>
                <w:tab w:val="left" w:pos="287"/>
              </w:tabs>
              <w:snapToGrid w:val="0"/>
              <w:ind w:left="175" w:right="100" w:firstLine="7"/>
              <w:rPr>
                <w:rFonts w:ascii="Times New Roman" w:hAnsi="Times New Roman"/>
                <w:sz w:val="16"/>
                <w:szCs w:val="16"/>
                <w:lang w:val="en-GB"/>
              </w:rPr>
            </w:pPr>
            <w:r w:rsidRPr="00E16672">
              <w:rPr>
                <w:rFonts w:ascii="Times New Roman" w:hAnsi="Times New Roman"/>
                <w:sz w:val="16"/>
                <w:szCs w:val="16"/>
                <w:lang w:val="en-GB"/>
              </w:rPr>
              <w:t xml:space="preserve">5.11. A Party, which violated Agreement  during implementation of the </w:t>
            </w:r>
            <w:r w:rsidRPr="00E16672">
              <w:rPr>
                <w:rFonts w:ascii="Times New Roman" w:hAnsi="Times New Roman"/>
                <w:sz w:val="16"/>
                <w:szCs w:val="16"/>
                <w:lang w:val="en-US"/>
              </w:rPr>
              <w:t>liabilities</w:t>
            </w:r>
            <w:r w:rsidRPr="00E16672">
              <w:rPr>
                <w:rFonts w:ascii="Times New Roman" w:hAnsi="Times New Roman"/>
                <w:sz w:val="16"/>
                <w:szCs w:val="16"/>
                <w:lang w:val="en-GB"/>
              </w:rPr>
              <w:t xml:space="preserve"> carries responsibility, if will not prove that the proper implementation of </w:t>
            </w:r>
            <w:r w:rsidRPr="00E16672">
              <w:rPr>
                <w:rFonts w:ascii="Times New Roman" w:hAnsi="Times New Roman"/>
                <w:sz w:val="16"/>
                <w:szCs w:val="16"/>
                <w:lang w:val="en-US"/>
              </w:rPr>
              <w:t>liabilities</w:t>
            </w:r>
            <w:r w:rsidRPr="00E16672">
              <w:rPr>
                <w:rFonts w:ascii="Times New Roman" w:hAnsi="Times New Roman"/>
                <w:sz w:val="16"/>
                <w:szCs w:val="16"/>
                <w:lang w:val="en-GB"/>
              </w:rPr>
              <w:t xml:space="preserve"> was done impossible by influence of circumstances of act of providence, that extraordinary and inevitable under the conditions events: natural calamity, failure, fire, mass violations of law and order, strikes, military operations, illegal actions of the third persons (except for the actions of workers of Parties) or other circumstances which arose up after signing of Agreement and does not depend on will of parties. It is not the act of providence of non- inhibition of the </w:t>
            </w:r>
            <w:r w:rsidRPr="00E16672">
              <w:rPr>
                <w:rFonts w:ascii="Times New Roman" w:hAnsi="Times New Roman"/>
                <w:sz w:val="16"/>
                <w:szCs w:val="16"/>
                <w:lang w:val="en-US"/>
              </w:rPr>
              <w:t>liabilities</w:t>
            </w:r>
            <w:r w:rsidRPr="00E16672">
              <w:rPr>
                <w:rFonts w:ascii="Times New Roman" w:hAnsi="Times New Roman"/>
                <w:sz w:val="16"/>
                <w:szCs w:val="16"/>
                <w:lang w:val="en-GB"/>
              </w:rPr>
              <w:t xml:space="preserve"> by other contractors of one of Parties or absence in Parties of sufficient money.</w:t>
            </w:r>
          </w:p>
          <w:p w14:paraId="66774FAC" w14:textId="77777777" w:rsidR="003A05A3" w:rsidRPr="00E16672" w:rsidRDefault="003A05A3" w:rsidP="00843027">
            <w:pPr>
              <w:tabs>
                <w:tab w:val="left" w:pos="287"/>
              </w:tabs>
              <w:snapToGrid w:val="0"/>
              <w:ind w:left="175" w:right="100" w:firstLine="7"/>
              <w:rPr>
                <w:rFonts w:ascii="Times New Roman" w:hAnsi="Times New Roman"/>
                <w:sz w:val="16"/>
                <w:szCs w:val="16"/>
                <w:lang w:val="en-GB"/>
              </w:rPr>
            </w:pPr>
          </w:p>
        </w:tc>
      </w:tr>
      <w:tr w:rsidR="003A05A3" w:rsidRPr="00F23413" w14:paraId="2F3E3257" w14:textId="77777777" w:rsidTr="00242F58">
        <w:trPr>
          <w:trHeight w:val="192"/>
        </w:trPr>
        <w:tc>
          <w:tcPr>
            <w:tcW w:w="5696" w:type="dxa"/>
            <w:gridSpan w:val="8"/>
            <w:shd w:val="clear" w:color="auto" w:fill="auto"/>
          </w:tcPr>
          <w:p w14:paraId="2F42F8EB" w14:textId="77777777" w:rsidR="003A05A3" w:rsidRPr="00E16672" w:rsidRDefault="003A05A3" w:rsidP="00843027">
            <w:pPr>
              <w:pStyle w:val="23"/>
              <w:tabs>
                <w:tab w:val="left" w:pos="1080"/>
              </w:tabs>
              <w:snapToGrid w:val="0"/>
              <w:ind w:left="175" w:right="138" w:firstLine="7"/>
              <w:rPr>
                <w:rFonts w:ascii="Times New Roman" w:hAnsi="Times New Roman"/>
                <w:sz w:val="16"/>
                <w:szCs w:val="16"/>
              </w:rPr>
            </w:pPr>
            <w:r w:rsidRPr="00E16672">
              <w:rPr>
                <w:rFonts w:ascii="Times New Roman" w:hAnsi="Times New Roman"/>
                <w:sz w:val="16"/>
                <w:szCs w:val="16"/>
              </w:rPr>
              <w:t xml:space="preserve">5.12. Жодна із Сторін не несе відповідальності за невиконання або неналежне виконання своїх </w:t>
            </w:r>
            <w:r w:rsidR="00D048FE" w:rsidRPr="00E16672">
              <w:rPr>
                <w:rFonts w:ascii="Times New Roman" w:hAnsi="Times New Roman"/>
                <w:sz w:val="16"/>
                <w:szCs w:val="16"/>
              </w:rPr>
              <w:t>зобов’язань</w:t>
            </w:r>
            <w:r w:rsidRPr="00E16672">
              <w:rPr>
                <w:rFonts w:ascii="Times New Roman" w:hAnsi="Times New Roman"/>
                <w:sz w:val="16"/>
                <w:szCs w:val="16"/>
              </w:rPr>
              <w:t xml:space="preserve"> за цим Договором, якщо це невиконання або неналежне виконання зумовлено дією обставин непереборної сили (форс-мажорних обставин) відповідно до розділу 9 цього Договору. </w:t>
            </w:r>
          </w:p>
          <w:p w14:paraId="37542098" w14:textId="77777777" w:rsidR="003A05A3" w:rsidRPr="00E16672" w:rsidRDefault="003A05A3" w:rsidP="00843027">
            <w:pPr>
              <w:pStyle w:val="23"/>
              <w:numPr>
                <w:ilvl w:val="1"/>
                <w:numId w:val="4"/>
              </w:numPr>
              <w:tabs>
                <w:tab w:val="left" w:pos="1080"/>
              </w:tabs>
              <w:ind w:left="175" w:right="138" w:firstLine="7"/>
              <w:rPr>
                <w:rFonts w:ascii="Times New Roman" w:hAnsi="Times New Roman"/>
                <w:sz w:val="16"/>
                <w:szCs w:val="16"/>
              </w:rPr>
            </w:pPr>
          </w:p>
        </w:tc>
        <w:tc>
          <w:tcPr>
            <w:tcW w:w="5494" w:type="dxa"/>
            <w:gridSpan w:val="6"/>
            <w:shd w:val="clear" w:color="auto" w:fill="auto"/>
          </w:tcPr>
          <w:p w14:paraId="31733D2A" w14:textId="77777777" w:rsidR="003A05A3" w:rsidRPr="00E16672" w:rsidRDefault="003A05A3" w:rsidP="00843027">
            <w:pPr>
              <w:tabs>
                <w:tab w:val="left" w:pos="287"/>
              </w:tabs>
              <w:snapToGrid w:val="0"/>
              <w:ind w:left="175" w:right="100" w:firstLine="7"/>
              <w:rPr>
                <w:rFonts w:ascii="Times New Roman" w:hAnsi="Times New Roman"/>
                <w:sz w:val="16"/>
                <w:szCs w:val="16"/>
                <w:lang w:val="en-GB"/>
              </w:rPr>
            </w:pPr>
            <w:r w:rsidRPr="00E16672">
              <w:rPr>
                <w:rFonts w:ascii="Times New Roman" w:hAnsi="Times New Roman"/>
                <w:sz w:val="16"/>
                <w:szCs w:val="16"/>
                <w:lang w:val="en-GB"/>
              </w:rPr>
              <w:t>5.12. Neither Party shall be liable for non-performance or improper performance of its obligations under this Agreement if the failure or improper performance is due to the action of force majeure (force majeure)</w:t>
            </w:r>
            <w:r w:rsidRPr="00E16672">
              <w:rPr>
                <w:rFonts w:ascii="Times New Roman" w:hAnsi="Times New Roman"/>
                <w:sz w:val="16"/>
                <w:szCs w:val="16"/>
                <w:lang w:val="uk-UA"/>
              </w:rPr>
              <w:t xml:space="preserve"> </w:t>
            </w:r>
            <w:r w:rsidRPr="00F23413">
              <w:rPr>
                <w:rStyle w:val="shorttext"/>
                <w:rFonts w:ascii="Times New Roman" w:hAnsi="Times New Roman"/>
                <w:sz w:val="16"/>
                <w:szCs w:val="16"/>
                <w:lang w:val="en-US"/>
              </w:rPr>
              <w:t>in accordance with Section 9 of this Agreement</w:t>
            </w:r>
            <w:r w:rsidRPr="00E16672">
              <w:rPr>
                <w:rFonts w:ascii="Times New Roman" w:hAnsi="Times New Roman"/>
                <w:sz w:val="16"/>
                <w:szCs w:val="16"/>
                <w:lang w:val="en-GB"/>
              </w:rPr>
              <w:t>.</w:t>
            </w:r>
          </w:p>
          <w:p w14:paraId="2CFE34D9" w14:textId="77777777" w:rsidR="003A05A3" w:rsidRPr="00E16672" w:rsidRDefault="003A05A3" w:rsidP="00843027">
            <w:pPr>
              <w:tabs>
                <w:tab w:val="left" w:pos="287"/>
              </w:tabs>
              <w:snapToGrid w:val="0"/>
              <w:ind w:left="175" w:right="100" w:firstLine="7"/>
              <w:rPr>
                <w:rFonts w:ascii="Times New Roman" w:hAnsi="Times New Roman"/>
                <w:sz w:val="16"/>
                <w:szCs w:val="16"/>
                <w:lang w:val="en-GB"/>
              </w:rPr>
            </w:pPr>
          </w:p>
        </w:tc>
      </w:tr>
      <w:tr w:rsidR="003A05A3" w:rsidRPr="00F23413" w14:paraId="5B4025A1" w14:textId="77777777" w:rsidTr="00242F58">
        <w:trPr>
          <w:trHeight w:val="192"/>
        </w:trPr>
        <w:tc>
          <w:tcPr>
            <w:tcW w:w="5696" w:type="dxa"/>
            <w:gridSpan w:val="8"/>
            <w:shd w:val="clear" w:color="auto" w:fill="auto"/>
          </w:tcPr>
          <w:p w14:paraId="001DEE5A" w14:textId="77777777" w:rsidR="003A05A3" w:rsidRPr="00E16672" w:rsidRDefault="003A05A3" w:rsidP="00843027">
            <w:pPr>
              <w:pStyle w:val="23"/>
              <w:tabs>
                <w:tab w:val="left" w:pos="1080"/>
              </w:tabs>
              <w:snapToGrid w:val="0"/>
              <w:ind w:left="175" w:right="138" w:firstLine="7"/>
              <w:rPr>
                <w:rFonts w:ascii="Times New Roman" w:hAnsi="Times New Roman"/>
                <w:sz w:val="16"/>
                <w:szCs w:val="16"/>
              </w:rPr>
            </w:pPr>
            <w:r w:rsidRPr="00E16672">
              <w:rPr>
                <w:rFonts w:ascii="Times New Roman" w:hAnsi="Times New Roman"/>
                <w:sz w:val="16"/>
                <w:szCs w:val="16"/>
              </w:rPr>
              <w:t xml:space="preserve">5.13. Усі спори, що виникають з цього Договору або пов'язані із ним, вирішуються шляхом переговорів або у порядку, встановленому чинним законодавством України,  шляхом вирішення у судовому порядку. </w:t>
            </w:r>
          </w:p>
          <w:p w14:paraId="174DB5C2" w14:textId="77777777" w:rsidR="003A05A3" w:rsidRPr="00E16672" w:rsidRDefault="003A05A3" w:rsidP="00843027">
            <w:pPr>
              <w:pStyle w:val="23"/>
              <w:ind w:left="175" w:right="138" w:firstLine="7"/>
              <w:rPr>
                <w:rFonts w:ascii="Times New Roman" w:hAnsi="Times New Roman"/>
                <w:sz w:val="16"/>
                <w:szCs w:val="16"/>
              </w:rPr>
            </w:pPr>
            <w:r w:rsidRPr="00E16672">
              <w:rPr>
                <w:rFonts w:ascii="Times New Roman" w:hAnsi="Times New Roman"/>
                <w:sz w:val="16"/>
                <w:szCs w:val="16"/>
              </w:rPr>
              <w:t xml:space="preserve">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законодавства України або у постійно діючому Третейському суді </w:t>
            </w:r>
            <w:proofErr w:type="spellStart"/>
            <w:r w:rsidRPr="00E16672">
              <w:rPr>
                <w:rFonts w:ascii="Times New Roman" w:hAnsi="Times New Roman"/>
                <w:sz w:val="16"/>
                <w:szCs w:val="16"/>
              </w:rPr>
              <w:t>саморегулівної</w:t>
            </w:r>
            <w:proofErr w:type="spellEnd"/>
            <w:r w:rsidRPr="00E16672">
              <w:rPr>
                <w:rFonts w:ascii="Times New Roman" w:hAnsi="Times New Roman"/>
                <w:sz w:val="16"/>
                <w:szCs w:val="16"/>
              </w:rPr>
              <w:t xml:space="preserve"> організації Професійна асоціація реєстраторів і депозитаріїв.</w:t>
            </w:r>
          </w:p>
          <w:p w14:paraId="1B429CC3" w14:textId="77777777" w:rsidR="003A05A3" w:rsidRPr="00E16672" w:rsidRDefault="003A05A3" w:rsidP="00843027">
            <w:pPr>
              <w:pStyle w:val="23"/>
              <w:numPr>
                <w:ilvl w:val="1"/>
                <w:numId w:val="4"/>
              </w:numPr>
              <w:tabs>
                <w:tab w:val="left" w:pos="1080"/>
              </w:tabs>
              <w:ind w:left="175" w:right="138" w:firstLine="7"/>
              <w:rPr>
                <w:rFonts w:ascii="Times New Roman" w:hAnsi="Times New Roman"/>
                <w:sz w:val="16"/>
                <w:szCs w:val="16"/>
              </w:rPr>
            </w:pPr>
          </w:p>
        </w:tc>
        <w:tc>
          <w:tcPr>
            <w:tcW w:w="5494" w:type="dxa"/>
            <w:gridSpan w:val="6"/>
            <w:shd w:val="clear" w:color="auto" w:fill="auto"/>
          </w:tcPr>
          <w:p w14:paraId="6584990B" w14:textId="77777777" w:rsidR="003A05A3" w:rsidRPr="00E16672" w:rsidRDefault="003A05A3" w:rsidP="00843027">
            <w:pPr>
              <w:tabs>
                <w:tab w:val="left" w:pos="287"/>
              </w:tabs>
              <w:snapToGrid w:val="0"/>
              <w:ind w:left="175" w:right="100" w:firstLine="7"/>
              <w:rPr>
                <w:rFonts w:ascii="Times New Roman" w:hAnsi="Times New Roman"/>
                <w:sz w:val="16"/>
                <w:szCs w:val="16"/>
                <w:lang w:val="uk-UA"/>
              </w:rPr>
            </w:pPr>
            <w:r w:rsidRPr="00E16672">
              <w:rPr>
                <w:rFonts w:ascii="Times New Roman" w:hAnsi="Times New Roman"/>
                <w:sz w:val="16"/>
                <w:szCs w:val="16"/>
                <w:lang w:val="en-GB"/>
              </w:rPr>
              <w:t>5.13. All disputes arising out of this Agreement or related to it shall be decided by negotiation or by the procedure established by the legislation of Ukraine, by the decision of the courts.</w:t>
            </w:r>
          </w:p>
          <w:p w14:paraId="2AF033DB" w14:textId="77777777" w:rsidR="003A05A3" w:rsidRPr="00E16672" w:rsidRDefault="003A05A3" w:rsidP="00843027">
            <w:pPr>
              <w:tabs>
                <w:tab w:val="left" w:pos="287"/>
              </w:tabs>
              <w:snapToGrid w:val="0"/>
              <w:ind w:left="175" w:right="100" w:firstLine="7"/>
              <w:rPr>
                <w:rFonts w:ascii="Times New Roman" w:hAnsi="Times New Roman"/>
                <w:sz w:val="16"/>
                <w:szCs w:val="16"/>
                <w:lang w:val="en-GB"/>
              </w:rPr>
            </w:pPr>
            <w:r w:rsidRPr="00E16672">
              <w:rPr>
                <w:rFonts w:ascii="Times New Roman" w:hAnsi="Times New Roman"/>
                <w:sz w:val="16"/>
                <w:szCs w:val="16"/>
                <w:lang w:val="en-GB"/>
              </w:rPr>
              <w:t xml:space="preserve">If a dispute </w:t>
            </w:r>
            <w:proofErr w:type="spellStart"/>
            <w:r w:rsidRPr="00E16672">
              <w:rPr>
                <w:rFonts w:ascii="Times New Roman" w:hAnsi="Times New Roman"/>
                <w:sz w:val="16"/>
                <w:szCs w:val="16"/>
                <w:lang w:val="en-GB"/>
              </w:rPr>
              <w:t>can not</w:t>
            </w:r>
            <w:proofErr w:type="spellEnd"/>
            <w:r w:rsidRPr="00E16672">
              <w:rPr>
                <w:rFonts w:ascii="Times New Roman" w:hAnsi="Times New Roman"/>
                <w:sz w:val="16"/>
                <w:szCs w:val="16"/>
                <w:lang w:val="en-GB"/>
              </w:rPr>
              <w:t xml:space="preserve"> be resolved through negotiations, he settled in court with proper jurisdiction of the dispute in accordance with the legislation of Ukraine or the Arbitration Court of the self-regulatory organization of the Professional Association of Registrars and Depositories.</w:t>
            </w:r>
          </w:p>
          <w:p w14:paraId="5C0231DF" w14:textId="77777777" w:rsidR="003A05A3" w:rsidRPr="00E16672" w:rsidRDefault="003A05A3" w:rsidP="00843027">
            <w:pPr>
              <w:tabs>
                <w:tab w:val="left" w:pos="287"/>
              </w:tabs>
              <w:snapToGrid w:val="0"/>
              <w:ind w:left="175" w:right="100" w:firstLine="7"/>
              <w:rPr>
                <w:rFonts w:ascii="Times New Roman" w:hAnsi="Times New Roman"/>
                <w:sz w:val="16"/>
                <w:szCs w:val="16"/>
                <w:lang w:val="en-GB"/>
              </w:rPr>
            </w:pPr>
          </w:p>
        </w:tc>
      </w:tr>
      <w:tr w:rsidR="003A05A3" w:rsidRPr="00F23413" w14:paraId="0A699322" w14:textId="77777777" w:rsidTr="00242F58">
        <w:trPr>
          <w:trHeight w:val="192"/>
        </w:trPr>
        <w:tc>
          <w:tcPr>
            <w:tcW w:w="5696" w:type="dxa"/>
            <w:gridSpan w:val="8"/>
            <w:shd w:val="clear" w:color="auto" w:fill="auto"/>
          </w:tcPr>
          <w:p w14:paraId="46F087BA" w14:textId="77777777" w:rsidR="003A05A3" w:rsidRPr="00E16672" w:rsidRDefault="003A05A3" w:rsidP="00843027">
            <w:pPr>
              <w:snapToGrid w:val="0"/>
              <w:ind w:left="175" w:right="138" w:firstLine="7"/>
              <w:rPr>
                <w:rFonts w:ascii="Times New Roman" w:hAnsi="Times New Roman"/>
                <w:color w:val="000000"/>
                <w:sz w:val="16"/>
                <w:szCs w:val="16"/>
              </w:rPr>
            </w:pPr>
            <w:r w:rsidRPr="00E16672">
              <w:rPr>
                <w:rFonts w:ascii="Times New Roman" w:hAnsi="Times New Roman"/>
                <w:color w:val="000000"/>
                <w:sz w:val="16"/>
                <w:szCs w:val="16"/>
              </w:rPr>
              <w:t xml:space="preserve">5.14. Строк </w:t>
            </w:r>
            <w:proofErr w:type="spellStart"/>
            <w:r w:rsidRPr="00E16672">
              <w:rPr>
                <w:rFonts w:ascii="Times New Roman" w:hAnsi="Times New Roman"/>
                <w:color w:val="000000"/>
                <w:sz w:val="16"/>
                <w:szCs w:val="16"/>
              </w:rPr>
              <w:t>позовної</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давності</w:t>
            </w:r>
            <w:proofErr w:type="spellEnd"/>
            <w:r w:rsidRPr="00E16672">
              <w:rPr>
                <w:rFonts w:ascii="Times New Roman" w:hAnsi="Times New Roman"/>
                <w:color w:val="000000"/>
                <w:sz w:val="16"/>
                <w:szCs w:val="16"/>
              </w:rPr>
              <w:t xml:space="preserve">, </w:t>
            </w:r>
            <w:proofErr w:type="gramStart"/>
            <w:r w:rsidRPr="00E16672">
              <w:rPr>
                <w:rFonts w:ascii="Times New Roman" w:hAnsi="Times New Roman"/>
                <w:color w:val="000000"/>
                <w:sz w:val="16"/>
                <w:szCs w:val="16"/>
              </w:rPr>
              <w:t>у межах</w:t>
            </w:r>
            <w:proofErr w:type="gram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якого</w:t>
            </w:r>
            <w:proofErr w:type="spellEnd"/>
            <w:r w:rsidRPr="00E16672">
              <w:rPr>
                <w:rFonts w:ascii="Times New Roman" w:hAnsi="Times New Roman"/>
                <w:color w:val="000000"/>
                <w:sz w:val="16"/>
                <w:szCs w:val="16"/>
              </w:rPr>
              <w:t xml:space="preserve"> одна </w:t>
            </w:r>
            <w:proofErr w:type="spellStart"/>
            <w:r w:rsidRPr="00E16672">
              <w:rPr>
                <w:rFonts w:ascii="Times New Roman" w:hAnsi="Times New Roman"/>
                <w:color w:val="000000"/>
                <w:sz w:val="16"/>
                <w:szCs w:val="16"/>
              </w:rPr>
              <w:t>із</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Сторін</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може</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звернутися</w:t>
            </w:r>
            <w:proofErr w:type="spellEnd"/>
            <w:r w:rsidRPr="00E16672">
              <w:rPr>
                <w:rFonts w:ascii="Times New Roman" w:hAnsi="Times New Roman"/>
                <w:color w:val="000000"/>
                <w:sz w:val="16"/>
                <w:szCs w:val="16"/>
              </w:rPr>
              <w:t xml:space="preserve"> до суду з </w:t>
            </w:r>
            <w:proofErr w:type="spellStart"/>
            <w:r w:rsidRPr="00E16672">
              <w:rPr>
                <w:rFonts w:ascii="Times New Roman" w:hAnsi="Times New Roman"/>
                <w:color w:val="000000"/>
                <w:sz w:val="16"/>
                <w:szCs w:val="16"/>
              </w:rPr>
              <w:t>вимогою</w:t>
            </w:r>
            <w:proofErr w:type="spellEnd"/>
            <w:r w:rsidRPr="00E16672">
              <w:rPr>
                <w:rFonts w:ascii="Times New Roman" w:hAnsi="Times New Roman"/>
                <w:color w:val="000000"/>
                <w:sz w:val="16"/>
                <w:szCs w:val="16"/>
              </w:rPr>
              <w:t xml:space="preserve"> про </w:t>
            </w:r>
            <w:proofErr w:type="spellStart"/>
            <w:r w:rsidRPr="00E16672">
              <w:rPr>
                <w:rFonts w:ascii="Times New Roman" w:hAnsi="Times New Roman"/>
                <w:color w:val="000000"/>
                <w:sz w:val="16"/>
                <w:szCs w:val="16"/>
              </w:rPr>
              <w:t>захист</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i/>
                <w:iCs/>
                <w:color w:val="000000"/>
                <w:sz w:val="16"/>
                <w:szCs w:val="16"/>
              </w:rPr>
              <w:t>основних</w:t>
            </w:r>
            <w:proofErr w:type="spellEnd"/>
            <w:r w:rsidRPr="00E16672">
              <w:rPr>
                <w:rFonts w:ascii="Times New Roman" w:hAnsi="Times New Roman"/>
                <w:color w:val="000000"/>
                <w:sz w:val="16"/>
                <w:szCs w:val="16"/>
              </w:rPr>
              <w:t xml:space="preserve"> прав та </w:t>
            </w:r>
            <w:proofErr w:type="spellStart"/>
            <w:r w:rsidRPr="00E16672">
              <w:rPr>
                <w:rFonts w:ascii="Times New Roman" w:hAnsi="Times New Roman"/>
                <w:color w:val="000000"/>
                <w:sz w:val="16"/>
                <w:szCs w:val="16"/>
              </w:rPr>
              <w:t>інтересів</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встановлюється</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тривалістю</w:t>
            </w:r>
            <w:proofErr w:type="spellEnd"/>
            <w:r w:rsidRPr="00E16672">
              <w:rPr>
                <w:rFonts w:ascii="Times New Roman" w:hAnsi="Times New Roman"/>
                <w:color w:val="000000"/>
                <w:sz w:val="16"/>
                <w:szCs w:val="16"/>
              </w:rPr>
              <w:t xml:space="preserve"> у </w:t>
            </w:r>
            <w:proofErr w:type="spellStart"/>
            <w:r w:rsidRPr="00E16672">
              <w:rPr>
                <w:rFonts w:ascii="Times New Roman" w:hAnsi="Times New Roman"/>
                <w:i/>
                <w:iCs/>
                <w:color w:val="000000"/>
                <w:sz w:val="16"/>
                <w:szCs w:val="16"/>
              </w:rPr>
              <w:t>п’ятдесят</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років</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Позовна</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давність</w:t>
            </w:r>
            <w:proofErr w:type="spellEnd"/>
            <w:r w:rsidRPr="00E16672">
              <w:rPr>
                <w:rFonts w:ascii="Times New Roman" w:hAnsi="Times New Roman"/>
                <w:color w:val="000000"/>
                <w:sz w:val="16"/>
                <w:szCs w:val="16"/>
              </w:rPr>
              <w:t xml:space="preserve"> в </w:t>
            </w:r>
            <w:proofErr w:type="spellStart"/>
            <w:r w:rsidRPr="00E16672">
              <w:rPr>
                <w:rFonts w:ascii="Times New Roman" w:hAnsi="Times New Roman"/>
                <w:i/>
                <w:iCs/>
                <w:color w:val="000000"/>
                <w:sz w:val="16"/>
                <w:szCs w:val="16"/>
              </w:rPr>
              <w:t>п'ятдесят</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років</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застосовується</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також</w:t>
            </w:r>
            <w:proofErr w:type="spellEnd"/>
            <w:r w:rsidRPr="00E16672">
              <w:rPr>
                <w:rFonts w:ascii="Times New Roman" w:hAnsi="Times New Roman"/>
                <w:color w:val="000000"/>
                <w:sz w:val="16"/>
                <w:szCs w:val="16"/>
              </w:rPr>
              <w:t xml:space="preserve"> до </w:t>
            </w:r>
            <w:proofErr w:type="spellStart"/>
            <w:r w:rsidRPr="00E16672">
              <w:rPr>
                <w:rFonts w:ascii="Times New Roman" w:hAnsi="Times New Roman"/>
                <w:color w:val="000000"/>
                <w:sz w:val="16"/>
                <w:szCs w:val="16"/>
              </w:rPr>
              <w:t>вимог</w:t>
            </w:r>
            <w:proofErr w:type="spellEnd"/>
            <w:r w:rsidRPr="00E16672">
              <w:rPr>
                <w:rFonts w:ascii="Times New Roman" w:hAnsi="Times New Roman"/>
                <w:color w:val="000000"/>
                <w:sz w:val="16"/>
                <w:szCs w:val="16"/>
              </w:rPr>
              <w:t xml:space="preserve"> про </w:t>
            </w:r>
            <w:proofErr w:type="spellStart"/>
            <w:r w:rsidRPr="00E16672">
              <w:rPr>
                <w:rFonts w:ascii="Times New Roman" w:hAnsi="Times New Roman"/>
                <w:color w:val="000000"/>
                <w:sz w:val="16"/>
                <w:szCs w:val="16"/>
              </w:rPr>
              <w:t>стягнення</w:t>
            </w:r>
            <w:proofErr w:type="spellEnd"/>
            <w:r w:rsidRPr="00E16672">
              <w:rPr>
                <w:rFonts w:ascii="Times New Roman" w:hAnsi="Times New Roman"/>
                <w:color w:val="000000"/>
                <w:sz w:val="16"/>
                <w:szCs w:val="16"/>
              </w:rPr>
              <w:t xml:space="preserve"> </w:t>
            </w:r>
            <w:r w:rsidRPr="00E16672">
              <w:rPr>
                <w:rFonts w:ascii="Times New Roman" w:hAnsi="Times New Roman"/>
                <w:i/>
                <w:iCs/>
                <w:color w:val="000000"/>
                <w:sz w:val="16"/>
                <w:szCs w:val="16"/>
              </w:rPr>
              <w:t>неустойки</w:t>
            </w:r>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пені</w:t>
            </w:r>
            <w:proofErr w:type="spellEnd"/>
            <w:r w:rsidRPr="00E16672">
              <w:rPr>
                <w:rFonts w:ascii="Times New Roman" w:hAnsi="Times New Roman"/>
                <w:color w:val="000000"/>
                <w:sz w:val="16"/>
                <w:szCs w:val="16"/>
              </w:rPr>
              <w:t>).</w:t>
            </w:r>
          </w:p>
          <w:p w14:paraId="1493B62D" w14:textId="77777777" w:rsidR="003A05A3" w:rsidRPr="00E16672" w:rsidRDefault="003A05A3" w:rsidP="00843027">
            <w:pPr>
              <w:ind w:left="175" w:right="138" w:firstLine="7"/>
              <w:rPr>
                <w:rFonts w:ascii="Times New Roman" w:hAnsi="Times New Roman"/>
                <w:color w:val="000000"/>
                <w:sz w:val="16"/>
                <w:szCs w:val="16"/>
              </w:rPr>
            </w:pPr>
          </w:p>
        </w:tc>
        <w:tc>
          <w:tcPr>
            <w:tcW w:w="5494" w:type="dxa"/>
            <w:gridSpan w:val="6"/>
            <w:shd w:val="clear" w:color="auto" w:fill="auto"/>
          </w:tcPr>
          <w:p w14:paraId="01C09A64" w14:textId="77777777" w:rsidR="003A05A3" w:rsidRPr="00E16672" w:rsidRDefault="003A05A3" w:rsidP="00843027">
            <w:pPr>
              <w:snapToGrid w:val="0"/>
              <w:ind w:left="175" w:right="138" w:firstLine="7"/>
              <w:rPr>
                <w:rFonts w:ascii="Times New Roman" w:hAnsi="Times New Roman"/>
                <w:color w:val="000000"/>
                <w:sz w:val="16"/>
                <w:szCs w:val="16"/>
                <w:lang w:val="en-GB"/>
              </w:rPr>
            </w:pPr>
            <w:r w:rsidRPr="00E16672">
              <w:rPr>
                <w:rFonts w:ascii="Times New Roman" w:hAnsi="Times New Roman"/>
                <w:color w:val="000000"/>
                <w:sz w:val="16"/>
                <w:szCs w:val="16"/>
                <w:lang w:val="en-GB"/>
              </w:rPr>
              <w:t xml:space="preserve">5.14. The limitation period within which a Party may request the court to demand the protection of fundamental </w:t>
            </w:r>
            <w:r w:rsidRPr="00E16672">
              <w:rPr>
                <w:rFonts w:ascii="Times New Roman" w:hAnsi="Times New Roman"/>
                <w:color w:val="000000"/>
                <w:sz w:val="16"/>
                <w:szCs w:val="16"/>
                <w:lang w:val="en-US"/>
              </w:rPr>
              <w:t xml:space="preserve">rights and </w:t>
            </w:r>
            <w:proofErr w:type="gramStart"/>
            <w:r w:rsidRPr="00E16672">
              <w:rPr>
                <w:rFonts w:ascii="Times New Roman" w:hAnsi="Times New Roman"/>
                <w:color w:val="000000"/>
                <w:sz w:val="16"/>
                <w:szCs w:val="16"/>
                <w:lang w:val="en-US"/>
              </w:rPr>
              <w:t xml:space="preserve">interests </w:t>
            </w:r>
            <w:r w:rsidRPr="00E16672">
              <w:rPr>
                <w:rFonts w:ascii="Times New Roman" w:hAnsi="Times New Roman"/>
                <w:color w:val="000000"/>
                <w:sz w:val="16"/>
                <w:szCs w:val="16"/>
                <w:lang w:val="en-GB"/>
              </w:rPr>
              <w:t xml:space="preserve"> set</w:t>
            </w:r>
            <w:proofErr w:type="gramEnd"/>
            <w:r w:rsidRPr="00E16672">
              <w:rPr>
                <w:rFonts w:ascii="Times New Roman" w:hAnsi="Times New Roman"/>
                <w:color w:val="000000"/>
                <w:sz w:val="16"/>
                <w:szCs w:val="16"/>
                <w:lang w:val="en-GB"/>
              </w:rPr>
              <w:t xml:space="preserve"> duration of fifty years. Limitation of </w:t>
            </w:r>
            <w:r w:rsidRPr="00E16672">
              <w:rPr>
                <w:rFonts w:ascii="Times New Roman" w:hAnsi="Times New Roman"/>
                <w:i/>
                <w:color w:val="000000"/>
                <w:sz w:val="16"/>
                <w:szCs w:val="16"/>
                <w:lang w:val="en-GB"/>
              </w:rPr>
              <w:t>fifty years</w:t>
            </w:r>
            <w:r w:rsidRPr="00E16672">
              <w:rPr>
                <w:rFonts w:ascii="Times New Roman" w:hAnsi="Times New Roman"/>
                <w:color w:val="000000"/>
                <w:sz w:val="16"/>
                <w:szCs w:val="16"/>
                <w:lang w:val="en-GB"/>
              </w:rPr>
              <w:t xml:space="preserve"> shall also apply to claims for a penalty (fine).</w:t>
            </w:r>
          </w:p>
          <w:p w14:paraId="54EFB117" w14:textId="77777777" w:rsidR="003A05A3" w:rsidRPr="00E16672" w:rsidRDefault="003A05A3" w:rsidP="00843027">
            <w:pPr>
              <w:tabs>
                <w:tab w:val="left" w:pos="287"/>
              </w:tabs>
              <w:snapToGrid w:val="0"/>
              <w:ind w:left="175" w:right="138" w:firstLine="7"/>
              <w:rPr>
                <w:rFonts w:ascii="Times New Roman" w:hAnsi="Times New Roman"/>
                <w:color w:val="000000"/>
                <w:sz w:val="16"/>
                <w:szCs w:val="16"/>
                <w:lang w:val="en-GB"/>
              </w:rPr>
            </w:pPr>
          </w:p>
        </w:tc>
      </w:tr>
      <w:tr w:rsidR="003A05A3" w:rsidRPr="00F23413" w14:paraId="2B64A2CD" w14:textId="77777777" w:rsidTr="00242F58">
        <w:trPr>
          <w:trHeight w:val="192"/>
        </w:trPr>
        <w:tc>
          <w:tcPr>
            <w:tcW w:w="5696" w:type="dxa"/>
            <w:gridSpan w:val="8"/>
            <w:shd w:val="clear" w:color="auto" w:fill="auto"/>
          </w:tcPr>
          <w:p w14:paraId="0F3E2651" w14:textId="77777777" w:rsidR="00F0600D" w:rsidRPr="00E16672" w:rsidRDefault="003A05A3" w:rsidP="00843027">
            <w:pPr>
              <w:snapToGrid w:val="0"/>
              <w:ind w:left="175" w:right="138" w:firstLine="7"/>
              <w:jc w:val="center"/>
              <w:rPr>
                <w:rFonts w:ascii="Times New Roman" w:hAnsi="Times New Roman"/>
                <w:b/>
                <w:caps/>
                <w:sz w:val="16"/>
                <w:szCs w:val="16"/>
              </w:rPr>
            </w:pPr>
            <w:r w:rsidRPr="00E16672">
              <w:rPr>
                <w:rFonts w:ascii="Times New Roman" w:hAnsi="Times New Roman"/>
                <w:b/>
                <w:caps/>
                <w:sz w:val="16"/>
                <w:szCs w:val="16"/>
              </w:rPr>
              <w:t xml:space="preserve">6. Строк дії Договору, порядок внесення змін до нього, умови розіврвання договору  </w:t>
            </w:r>
          </w:p>
          <w:p w14:paraId="5E50B649" w14:textId="77777777" w:rsidR="003A05A3" w:rsidRPr="00E16672" w:rsidRDefault="003A05A3" w:rsidP="00843027">
            <w:pPr>
              <w:snapToGrid w:val="0"/>
              <w:ind w:left="175" w:right="138" w:firstLine="7"/>
              <w:jc w:val="center"/>
              <w:rPr>
                <w:rFonts w:ascii="Times New Roman" w:hAnsi="Times New Roman"/>
                <w:b/>
                <w:caps/>
                <w:sz w:val="16"/>
                <w:szCs w:val="16"/>
              </w:rPr>
            </w:pPr>
            <w:r w:rsidRPr="00E16672">
              <w:rPr>
                <w:rFonts w:ascii="Times New Roman" w:hAnsi="Times New Roman"/>
                <w:b/>
                <w:caps/>
                <w:sz w:val="16"/>
                <w:szCs w:val="16"/>
              </w:rPr>
              <w:t xml:space="preserve">та </w:t>
            </w:r>
            <w:proofErr w:type="gramStart"/>
            <w:r w:rsidRPr="00E16672">
              <w:rPr>
                <w:rFonts w:ascii="Times New Roman" w:hAnsi="Times New Roman"/>
                <w:b/>
                <w:caps/>
                <w:sz w:val="16"/>
                <w:szCs w:val="16"/>
              </w:rPr>
              <w:t>припинення  його</w:t>
            </w:r>
            <w:proofErr w:type="gramEnd"/>
            <w:r w:rsidRPr="00E16672">
              <w:rPr>
                <w:rFonts w:ascii="Times New Roman" w:hAnsi="Times New Roman"/>
                <w:b/>
                <w:caps/>
                <w:sz w:val="16"/>
                <w:szCs w:val="16"/>
              </w:rPr>
              <w:t xml:space="preserve"> дії</w:t>
            </w:r>
          </w:p>
          <w:p w14:paraId="596DE596" w14:textId="77777777" w:rsidR="003A05A3" w:rsidRPr="00E16672" w:rsidRDefault="003A05A3" w:rsidP="00843027">
            <w:pPr>
              <w:ind w:left="175" w:right="138" w:firstLine="7"/>
              <w:jc w:val="center"/>
              <w:rPr>
                <w:rFonts w:ascii="Times New Roman" w:hAnsi="Times New Roman"/>
                <w:b/>
                <w:caps/>
                <w:sz w:val="16"/>
                <w:szCs w:val="16"/>
              </w:rPr>
            </w:pPr>
          </w:p>
          <w:p w14:paraId="680D87E0" w14:textId="77777777" w:rsidR="003A05A3" w:rsidRPr="00E16672" w:rsidRDefault="003A05A3" w:rsidP="00843027">
            <w:pPr>
              <w:ind w:left="175" w:right="138" w:firstLine="7"/>
              <w:rPr>
                <w:rFonts w:ascii="Times New Roman" w:hAnsi="Times New Roman"/>
                <w:sz w:val="16"/>
                <w:szCs w:val="16"/>
              </w:rPr>
            </w:pPr>
            <w:r w:rsidRPr="00E16672">
              <w:rPr>
                <w:rFonts w:ascii="Times New Roman" w:hAnsi="Times New Roman"/>
                <w:sz w:val="16"/>
                <w:szCs w:val="16"/>
              </w:rPr>
              <w:t xml:space="preserve">6.1. </w:t>
            </w:r>
            <w:proofErr w:type="spellStart"/>
            <w:r w:rsidRPr="00E16672">
              <w:rPr>
                <w:rFonts w:ascii="Times New Roman" w:hAnsi="Times New Roman"/>
                <w:sz w:val="16"/>
                <w:szCs w:val="16"/>
              </w:rPr>
              <w:t>Цей</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Договір</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набирає</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чинності</w:t>
            </w:r>
            <w:proofErr w:type="spellEnd"/>
            <w:r w:rsidRPr="00E16672">
              <w:rPr>
                <w:rFonts w:ascii="Times New Roman" w:hAnsi="Times New Roman"/>
                <w:sz w:val="16"/>
                <w:szCs w:val="16"/>
              </w:rPr>
              <w:t xml:space="preserve"> з моменту </w:t>
            </w:r>
            <w:proofErr w:type="spellStart"/>
            <w:r w:rsidRPr="00E16672">
              <w:rPr>
                <w:rFonts w:ascii="Times New Roman" w:hAnsi="Times New Roman"/>
                <w:sz w:val="16"/>
                <w:szCs w:val="16"/>
              </w:rPr>
              <w:t>його</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підписання</w:t>
            </w:r>
            <w:proofErr w:type="spellEnd"/>
            <w:r w:rsidRPr="00E16672">
              <w:rPr>
                <w:rFonts w:ascii="Times New Roman" w:hAnsi="Times New Roman"/>
                <w:sz w:val="16"/>
                <w:szCs w:val="16"/>
              </w:rPr>
              <w:t xml:space="preserve"> Сторонами і </w:t>
            </w:r>
            <w:proofErr w:type="spellStart"/>
            <w:r w:rsidRPr="00E16672">
              <w:rPr>
                <w:rFonts w:ascii="Times New Roman" w:hAnsi="Times New Roman"/>
                <w:sz w:val="16"/>
                <w:szCs w:val="16"/>
              </w:rPr>
              <w:t>скріплення</w:t>
            </w:r>
            <w:proofErr w:type="spellEnd"/>
            <w:r w:rsidRPr="00E16672">
              <w:rPr>
                <w:rFonts w:ascii="Times New Roman" w:hAnsi="Times New Roman"/>
                <w:sz w:val="16"/>
                <w:szCs w:val="16"/>
              </w:rPr>
              <w:t xml:space="preserve"> печатками (</w:t>
            </w:r>
            <w:r w:rsidR="003352AE" w:rsidRPr="00E16672">
              <w:rPr>
                <w:rFonts w:ascii="Times New Roman" w:hAnsi="Times New Roman"/>
                <w:sz w:val="16"/>
                <w:szCs w:val="16"/>
              </w:rPr>
              <w:t xml:space="preserve">у </w:t>
            </w:r>
            <w:proofErr w:type="spellStart"/>
            <w:r w:rsidR="003352AE" w:rsidRPr="00E16672">
              <w:rPr>
                <w:rFonts w:ascii="Times New Roman" w:hAnsi="Times New Roman"/>
                <w:sz w:val="16"/>
                <w:szCs w:val="16"/>
              </w:rPr>
              <w:t>разі</w:t>
            </w:r>
            <w:proofErr w:type="spellEnd"/>
            <w:r w:rsidR="003352AE" w:rsidRPr="00E16672">
              <w:rPr>
                <w:rFonts w:ascii="Times New Roman" w:hAnsi="Times New Roman"/>
                <w:sz w:val="16"/>
                <w:szCs w:val="16"/>
              </w:rPr>
              <w:t xml:space="preserve"> </w:t>
            </w:r>
            <w:proofErr w:type="spellStart"/>
            <w:r w:rsidR="003352AE" w:rsidRPr="00E16672">
              <w:rPr>
                <w:rFonts w:ascii="Times New Roman" w:hAnsi="Times New Roman"/>
                <w:sz w:val="16"/>
                <w:szCs w:val="16"/>
              </w:rPr>
              <w:t>використання</w:t>
            </w:r>
            <w:proofErr w:type="spellEnd"/>
            <w:r w:rsidRPr="00E16672">
              <w:rPr>
                <w:rFonts w:ascii="Times New Roman" w:hAnsi="Times New Roman"/>
                <w:sz w:val="16"/>
                <w:szCs w:val="16"/>
              </w:rPr>
              <w:t xml:space="preserve">) та </w:t>
            </w:r>
            <w:proofErr w:type="spellStart"/>
            <w:r w:rsidRPr="00E16672">
              <w:rPr>
                <w:rFonts w:ascii="Times New Roman" w:hAnsi="Times New Roman"/>
                <w:sz w:val="16"/>
                <w:szCs w:val="16"/>
              </w:rPr>
              <w:t>діє</w:t>
            </w:r>
            <w:proofErr w:type="spellEnd"/>
            <w:r w:rsidRPr="00E16672">
              <w:rPr>
                <w:rFonts w:ascii="Times New Roman" w:hAnsi="Times New Roman"/>
                <w:sz w:val="16"/>
                <w:szCs w:val="16"/>
              </w:rPr>
              <w:t xml:space="preserve"> до </w:t>
            </w:r>
            <w:proofErr w:type="spellStart"/>
            <w:r w:rsidRPr="00E16672">
              <w:rPr>
                <w:rFonts w:ascii="Times New Roman" w:hAnsi="Times New Roman"/>
                <w:sz w:val="16"/>
                <w:szCs w:val="16"/>
              </w:rPr>
              <w:t>повного</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виконання</w:t>
            </w:r>
            <w:proofErr w:type="spellEnd"/>
            <w:r w:rsidRPr="00E16672">
              <w:rPr>
                <w:rFonts w:ascii="Times New Roman" w:hAnsi="Times New Roman"/>
                <w:sz w:val="16"/>
                <w:szCs w:val="16"/>
              </w:rPr>
              <w:t xml:space="preserve"> Договору. </w:t>
            </w:r>
          </w:p>
          <w:p w14:paraId="6A229B27" w14:textId="77777777" w:rsidR="003A05A3" w:rsidRPr="00E16672" w:rsidRDefault="003A05A3" w:rsidP="00843027">
            <w:pPr>
              <w:snapToGrid w:val="0"/>
              <w:ind w:left="175" w:right="138" w:firstLine="7"/>
              <w:rPr>
                <w:rFonts w:ascii="Times New Roman" w:hAnsi="Times New Roman"/>
                <w:sz w:val="16"/>
                <w:szCs w:val="16"/>
              </w:rPr>
            </w:pPr>
          </w:p>
        </w:tc>
        <w:tc>
          <w:tcPr>
            <w:tcW w:w="5494" w:type="dxa"/>
            <w:gridSpan w:val="6"/>
            <w:shd w:val="clear" w:color="auto" w:fill="auto"/>
          </w:tcPr>
          <w:p w14:paraId="4CA70DE5" w14:textId="77777777" w:rsidR="003A05A3" w:rsidRPr="00E16672" w:rsidRDefault="003A05A3" w:rsidP="00843027">
            <w:pPr>
              <w:tabs>
                <w:tab w:val="left" w:pos="287"/>
              </w:tabs>
              <w:snapToGrid w:val="0"/>
              <w:ind w:left="175" w:right="100" w:firstLine="7"/>
              <w:jc w:val="center"/>
              <w:rPr>
                <w:rFonts w:ascii="Times New Roman" w:hAnsi="Times New Roman"/>
                <w:b/>
                <w:caps/>
                <w:sz w:val="16"/>
                <w:szCs w:val="16"/>
                <w:lang w:val="en-GB"/>
              </w:rPr>
            </w:pPr>
            <w:r w:rsidRPr="00E16672">
              <w:rPr>
                <w:rFonts w:ascii="Times New Roman" w:hAnsi="Times New Roman"/>
                <w:b/>
                <w:caps/>
                <w:sz w:val="16"/>
                <w:szCs w:val="16"/>
                <w:lang w:val="en-GB"/>
              </w:rPr>
              <w:t xml:space="preserve">6. TERM OF ACTIONS OF AGREEMENT, ORDER CHANGES TO </w:t>
            </w:r>
            <w:r w:rsidRPr="00E16672">
              <w:rPr>
                <w:rFonts w:ascii="Times New Roman" w:hAnsi="Times New Roman"/>
                <w:b/>
                <w:caps/>
                <w:sz w:val="16"/>
                <w:szCs w:val="16"/>
                <w:lang w:val="en-US"/>
              </w:rPr>
              <w:t>it</w:t>
            </w:r>
            <w:r w:rsidRPr="00E16672">
              <w:rPr>
                <w:rFonts w:ascii="Times New Roman" w:hAnsi="Times New Roman"/>
                <w:b/>
                <w:caps/>
                <w:sz w:val="16"/>
                <w:szCs w:val="16"/>
                <w:lang w:val="en-GB"/>
              </w:rPr>
              <w:t xml:space="preserve">, conditions for terminating of </w:t>
            </w:r>
            <w:proofErr w:type="gramStart"/>
            <w:r w:rsidRPr="00E16672">
              <w:rPr>
                <w:rFonts w:ascii="Times New Roman" w:hAnsi="Times New Roman"/>
                <w:b/>
                <w:caps/>
                <w:sz w:val="16"/>
                <w:szCs w:val="16"/>
                <w:lang w:val="en-GB"/>
              </w:rPr>
              <w:t>Agreement</w:t>
            </w:r>
            <w:r w:rsidRPr="00F23413">
              <w:rPr>
                <w:rStyle w:val="hps"/>
                <w:rFonts w:ascii="Times New Roman" w:hAnsi="Times New Roman"/>
                <w:lang w:val="en-US"/>
              </w:rPr>
              <w:t xml:space="preserve"> </w:t>
            </w:r>
            <w:r w:rsidRPr="00E16672">
              <w:rPr>
                <w:rFonts w:ascii="Times New Roman" w:hAnsi="Times New Roman"/>
                <w:b/>
                <w:caps/>
                <w:sz w:val="16"/>
                <w:szCs w:val="16"/>
                <w:lang w:val="en-GB"/>
              </w:rPr>
              <w:t xml:space="preserve"> AND</w:t>
            </w:r>
            <w:proofErr w:type="gramEnd"/>
            <w:r w:rsidRPr="00E16672">
              <w:rPr>
                <w:rFonts w:ascii="Times New Roman" w:hAnsi="Times New Roman"/>
                <w:b/>
                <w:caps/>
                <w:sz w:val="16"/>
                <w:szCs w:val="16"/>
                <w:lang w:val="en-GB"/>
              </w:rPr>
              <w:t xml:space="preserve"> TERMINATION OF its</w:t>
            </w:r>
            <w:r w:rsidRPr="00E16672">
              <w:rPr>
                <w:rFonts w:ascii="Times New Roman" w:hAnsi="Times New Roman"/>
                <w:b/>
                <w:caps/>
                <w:sz w:val="16"/>
                <w:szCs w:val="16"/>
                <w:lang w:val="en-US"/>
              </w:rPr>
              <w:t xml:space="preserve"> </w:t>
            </w:r>
            <w:r w:rsidRPr="00E16672">
              <w:rPr>
                <w:rFonts w:ascii="Times New Roman" w:hAnsi="Times New Roman"/>
                <w:b/>
                <w:caps/>
                <w:sz w:val="16"/>
                <w:szCs w:val="16"/>
                <w:lang w:val="en-GB"/>
              </w:rPr>
              <w:t>VALIDITY</w:t>
            </w:r>
          </w:p>
          <w:p w14:paraId="3FCCE528" w14:textId="77777777" w:rsidR="003A05A3" w:rsidRPr="00E16672" w:rsidRDefault="003A05A3" w:rsidP="00843027">
            <w:pPr>
              <w:tabs>
                <w:tab w:val="left" w:pos="287"/>
              </w:tabs>
              <w:snapToGrid w:val="0"/>
              <w:ind w:left="175" w:right="100" w:firstLine="7"/>
              <w:jc w:val="center"/>
              <w:rPr>
                <w:rFonts w:ascii="Times New Roman" w:hAnsi="Times New Roman"/>
                <w:b/>
                <w:bCs/>
                <w:sz w:val="16"/>
                <w:szCs w:val="16"/>
                <w:lang w:val="en-US"/>
              </w:rPr>
            </w:pPr>
          </w:p>
          <w:p w14:paraId="327FF6A4" w14:textId="77777777" w:rsidR="003A05A3" w:rsidRPr="00E16672" w:rsidRDefault="003A05A3" w:rsidP="00843027">
            <w:pPr>
              <w:tabs>
                <w:tab w:val="left" w:pos="287"/>
              </w:tabs>
              <w:ind w:left="175" w:right="100" w:firstLine="7"/>
              <w:rPr>
                <w:rFonts w:ascii="Times New Roman" w:hAnsi="Times New Roman"/>
                <w:sz w:val="16"/>
                <w:szCs w:val="16"/>
                <w:lang w:val="en-GB"/>
              </w:rPr>
            </w:pPr>
            <w:r w:rsidRPr="00E16672">
              <w:rPr>
                <w:rFonts w:ascii="Times New Roman" w:hAnsi="Times New Roman"/>
                <w:sz w:val="16"/>
                <w:szCs w:val="16"/>
                <w:lang w:val="en-GB"/>
              </w:rPr>
              <w:t>6.1. This Agreement shall enter into force upon signature by the Parties and sealed (</w:t>
            </w:r>
            <w:proofErr w:type="spellStart"/>
            <w:r w:rsidR="009D3C4B" w:rsidRPr="00E16672">
              <w:rPr>
                <w:rFonts w:ascii="Times New Roman" w:hAnsi="Times New Roman"/>
                <w:sz w:val="16"/>
                <w:szCs w:val="16"/>
                <w:lang w:val="uk-UA"/>
              </w:rPr>
              <w:t>in</w:t>
            </w:r>
            <w:proofErr w:type="spellEnd"/>
            <w:r w:rsidR="009D3C4B" w:rsidRPr="00E16672">
              <w:rPr>
                <w:rFonts w:ascii="Times New Roman" w:hAnsi="Times New Roman"/>
                <w:sz w:val="16"/>
                <w:szCs w:val="16"/>
                <w:lang w:val="uk-UA"/>
              </w:rPr>
              <w:t xml:space="preserve"> </w:t>
            </w:r>
            <w:proofErr w:type="spellStart"/>
            <w:r w:rsidR="009D3C4B" w:rsidRPr="00E16672">
              <w:rPr>
                <w:rFonts w:ascii="Times New Roman" w:hAnsi="Times New Roman"/>
                <w:sz w:val="16"/>
                <w:szCs w:val="16"/>
                <w:lang w:val="uk-UA"/>
              </w:rPr>
              <w:t>case</w:t>
            </w:r>
            <w:proofErr w:type="spellEnd"/>
            <w:r w:rsidR="009D3C4B" w:rsidRPr="00E16672">
              <w:rPr>
                <w:rFonts w:ascii="Times New Roman" w:hAnsi="Times New Roman"/>
                <w:sz w:val="16"/>
                <w:szCs w:val="16"/>
                <w:lang w:val="uk-UA"/>
              </w:rPr>
              <w:t xml:space="preserve"> </w:t>
            </w:r>
            <w:proofErr w:type="spellStart"/>
            <w:r w:rsidR="009D3C4B" w:rsidRPr="00E16672">
              <w:rPr>
                <w:rFonts w:ascii="Times New Roman" w:hAnsi="Times New Roman"/>
                <w:sz w:val="16"/>
                <w:szCs w:val="16"/>
                <w:lang w:val="uk-UA"/>
              </w:rPr>
              <w:t>of</w:t>
            </w:r>
            <w:proofErr w:type="spellEnd"/>
            <w:r w:rsidR="009D3C4B" w:rsidRPr="00E16672">
              <w:rPr>
                <w:rFonts w:ascii="Times New Roman" w:hAnsi="Times New Roman"/>
                <w:sz w:val="16"/>
                <w:szCs w:val="16"/>
                <w:lang w:val="uk-UA"/>
              </w:rPr>
              <w:t xml:space="preserve"> </w:t>
            </w:r>
            <w:proofErr w:type="spellStart"/>
            <w:r w:rsidR="009D3C4B" w:rsidRPr="00E16672">
              <w:rPr>
                <w:rFonts w:ascii="Times New Roman" w:hAnsi="Times New Roman"/>
                <w:sz w:val="16"/>
                <w:szCs w:val="16"/>
                <w:lang w:val="uk-UA"/>
              </w:rPr>
              <w:t>use</w:t>
            </w:r>
            <w:proofErr w:type="spellEnd"/>
            <w:r w:rsidRPr="00E16672">
              <w:rPr>
                <w:rFonts w:ascii="Times New Roman" w:hAnsi="Times New Roman"/>
                <w:sz w:val="16"/>
                <w:szCs w:val="16"/>
                <w:lang w:val="en-GB"/>
              </w:rPr>
              <w:t xml:space="preserve">) and valid </w:t>
            </w:r>
            <w:proofErr w:type="gramStart"/>
            <w:r w:rsidRPr="00E16672">
              <w:rPr>
                <w:rFonts w:ascii="Times New Roman" w:hAnsi="Times New Roman"/>
                <w:sz w:val="16"/>
                <w:szCs w:val="16"/>
                <w:lang w:val="en-GB"/>
              </w:rPr>
              <w:t xml:space="preserve">until </w:t>
            </w:r>
            <w:r w:rsidRPr="00E16672">
              <w:rPr>
                <w:rFonts w:ascii="Times New Roman" w:hAnsi="Times New Roman"/>
                <w:sz w:val="16"/>
                <w:szCs w:val="16"/>
                <w:lang w:val="en-US"/>
              </w:rPr>
              <w:t xml:space="preserve"> full</w:t>
            </w:r>
            <w:proofErr w:type="gramEnd"/>
            <w:r w:rsidRPr="00E16672">
              <w:rPr>
                <w:rFonts w:ascii="Times New Roman" w:hAnsi="Times New Roman"/>
                <w:sz w:val="16"/>
                <w:szCs w:val="16"/>
                <w:lang w:val="en-US"/>
              </w:rPr>
              <w:t xml:space="preserve"> </w:t>
            </w:r>
            <w:r w:rsidRPr="00E16672">
              <w:rPr>
                <w:rFonts w:ascii="Times New Roman" w:hAnsi="Times New Roman"/>
                <w:sz w:val="16"/>
                <w:szCs w:val="16"/>
                <w:lang w:val="en-GB"/>
              </w:rPr>
              <w:t>execution of the Agreement</w:t>
            </w:r>
            <w:r w:rsidRPr="00E16672">
              <w:rPr>
                <w:rFonts w:ascii="Times New Roman" w:hAnsi="Times New Roman"/>
                <w:sz w:val="16"/>
                <w:szCs w:val="16"/>
                <w:lang w:val="en-US"/>
              </w:rPr>
              <w:t>.</w:t>
            </w:r>
            <w:r w:rsidRPr="00E16672">
              <w:rPr>
                <w:rFonts w:ascii="Times New Roman" w:hAnsi="Times New Roman"/>
                <w:sz w:val="16"/>
                <w:szCs w:val="16"/>
                <w:lang w:val="en-GB"/>
              </w:rPr>
              <w:t xml:space="preserve"> </w:t>
            </w:r>
          </w:p>
          <w:p w14:paraId="7225B383" w14:textId="77777777" w:rsidR="003A05A3" w:rsidRPr="00E16672" w:rsidRDefault="003A05A3" w:rsidP="00843027">
            <w:pPr>
              <w:tabs>
                <w:tab w:val="left" w:pos="287"/>
              </w:tabs>
              <w:snapToGrid w:val="0"/>
              <w:ind w:left="175" w:right="100" w:firstLine="7"/>
              <w:rPr>
                <w:rFonts w:ascii="Times New Roman" w:hAnsi="Times New Roman"/>
                <w:bCs/>
                <w:sz w:val="16"/>
                <w:szCs w:val="16"/>
                <w:lang w:val="en-US"/>
              </w:rPr>
            </w:pPr>
          </w:p>
        </w:tc>
      </w:tr>
      <w:tr w:rsidR="003A05A3" w:rsidRPr="00F23413" w14:paraId="0554CC1E" w14:textId="77777777" w:rsidTr="00242F58">
        <w:trPr>
          <w:trHeight w:val="192"/>
        </w:trPr>
        <w:tc>
          <w:tcPr>
            <w:tcW w:w="5696" w:type="dxa"/>
            <w:gridSpan w:val="8"/>
            <w:shd w:val="clear" w:color="auto" w:fill="auto"/>
          </w:tcPr>
          <w:p w14:paraId="4EC64FD7" w14:textId="77777777" w:rsidR="003A05A3" w:rsidRPr="00E16672" w:rsidRDefault="003A05A3" w:rsidP="00843027">
            <w:pPr>
              <w:snapToGrid w:val="0"/>
              <w:ind w:left="175" w:right="138" w:firstLine="7"/>
              <w:rPr>
                <w:rFonts w:ascii="Times New Roman" w:hAnsi="Times New Roman"/>
                <w:sz w:val="16"/>
                <w:szCs w:val="16"/>
                <w:lang w:val="uk-UA"/>
              </w:rPr>
            </w:pPr>
            <w:r w:rsidRPr="00E16672">
              <w:rPr>
                <w:rFonts w:ascii="Times New Roman" w:hAnsi="Times New Roman"/>
                <w:sz w:val="16"/>
                <w:szCs w:val="16"/>
              </w:rPr>
              <w:t xml:space="preserve">6.2. </w:t>
            </w:r>
            <w:proofErr w:type="spellStart"/>
            <w:r w:rsidRPr="00E16672">
              <w:rPr>
                <w:rFonts w:ascii="Times New Roman" w:hAnsi="Times New Roman"/>
                <w:sz w:val="16"/>
                <w:szCs w:val="16"/>
              </w:rPr>
              <w:t>Зміни</w:t>
            </w:r>
            <w:proofErr w:type="spellEnd"/>
            <w:r w:rsidRPr="00E16672">
              <w:rPr>
                <w:rFonts w:ascii="Times New Roman" w:hAnsi="Times New Roman"/>
                <w:sz w:val="16"/>
                <w:szCs w:val="16"/>
              </w:rPr>
              <w:t xml:space="preserve"> до умов </w:t>
            </w:r>
            <w:proofErr w:type="spellStart"/>
            <w:r w:rsidRPr="00E16672">
              <w:rPr>
                <w:rFonts w:ascii="Times New Roman" w:hAnsi="Times New Roman"/>
                <w:sz w:val="16"/>
                <w:szCs w:val="16"/>
              </w:rPr>
              <w:t>цього</w:t>
            </w:r>
            <w:proofErr w:type="spellEnd"/>
            <w:r w:rsidRPr="00E16672">
              <w:rPr>
                <w:rFonts w:ascii="Times New Roman" w:hAnsi="Times New Roman"/>
                <w:sz w:val="16"/>
                <w:szCs w:val="16"/>
              </w:rPr>
              <w:t xml:space="preserve"> Договору </w:t>
            </w:r>
            <w:proofErr w:type="spellStart"/>
            <w:r w:rsidRPr="00E16672">
              <w:rPr>
                <w:rFonts w:ascii="Times New Roman" w:hAnsi="Times New Roman"/>
                <w:sz w:val="16"/>
                <w:szCs w:val="16"/>
              </w:rPr>
              <w:t>вносяться</w:t>
            </w:r>
            <w:proofErr w:type="spellEnd"/>
            <w:r w:rsidRPr="00E16672">
              <w:rPr>
                <w:rFonts w:ascii="Times New Roman" w:hAnsi="Times New Roman"/>
                <w:sz w:val="16"/>
                <w:szCs w:val="16"/>
              </w:rPr>
              <w:t xml:space="preserve"> за </w:t>
            </w:r>
            <w:proofErr w:type="spellStart"/>
            <w:r w:rsidRPr="00E16672">
              <w:rPr>
                <w:rFonts w:ascii="Times New Roman" w:hAnsi="Times New Roman"/>
                <w:sz w:val="16"/>
                <w:szCs w:val="16"/>
              </w:rPr>
              <w:t>взаємною</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згодою</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Сторін</w:t>
            </w:r>
            <w:proofErr w:type="spellEnd"/>
            <w:r w:rsidRPr="00E16672">
              <w:rPr>
                <w:rFonts w:ascii="Times New Roman" w:hAnsi="Times New Roman"/>
                <w:sz w:val="16"/>
                <w:szCs w:val="16"/>
              </w:rPr>
              <w:t xml:space="preserve">, </w:t>
            </w:r>
            <w:proofErr w:type="spellStart"/>
            <w:proofErr w:type="gramStart"/>
            <w:r w:rsidRPr="00E16672">
              <w:rPr>
                <w:rFonts w:ascii="Times New Roman" w:hAnsi="Times New Roman"/>
                <w:sz w:val="16"/>
                <w:szCs w:val="16"/>
              </w:rPr>
              <w:t>оформленою</w:t>
            </w:r>
            <w:proofErr w:type="spellEnd"/>
            <w:r w:rsidRPr="00E16672">
              <w:rPr>
                <w:rFonts w:ascii="Times New Roman" w:hAnsi="Times New Roman"/>
                <w:sz w:val="16"/>
                <w:szCs w:val="16"/>
              </w:rPr>
              <w:t xml:space="preserve">  в</w:t>
            </w:r>
            <w:proofErr w:type="gramEnd"/>
            <w:r w:rsidRPr="00E16672">
              <w:rPr>
                <w:rFonts w:ascii="Times New Roman" w:hAnsi="Times New Roman"/>
                <w:sz w:val="16"/>
                <w:szCs w:val="16"/>
              </w:rPr>
              <w:t xml:space="preserve"> </w:t>
            </w:r>
            <w:proofErr w:type="spellStart"/>
            <w:r w:rsidRPr="00E16672">
              <w:rPr>
                <w:rFonts w:ascii="Times New Roman" w:hAnsi="Times New Roman"/>
                <w:sz w:val="16"/>
                <w:szCs w:val="16"/>
              </w:rPr>
              <w:t>письмовій</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формі</w:t>
            </w:r>
            <w:proofErr w:type="spellEnd"/>
            <w:r w:rsidRPr="00E16672">
              <w:rPr>
                <w:rFonts w:ascii="Times New Roman" w:hAnsi="Times New Roman"/>
                <w:sz w:val="16"/>
                <w:szCs w:val="16"/>
              </w:rPr>
              <w:t>.</w:t>
            </w:r>
            <w:r w:rsidRPr="00E16672">
              <w:rPr>
                <w:rFonts w:ascii="Times New Roman" w:hAnsi="Times New Roman"/>
                <w:sz w:val="16"/>
                <w:szCs w:val="16"/>
                <w:lang w:val="uk-UA"/>
              </w:rPr>
              <w:t xml:space="preserve"> Одностороння відмова кожної із Сторін від виконання Договору або зміна його умов є неприпустимою, крім випадків, встановлених законодавством або цим Договором.</w:t>
            </w:r>
          </w:p>
          <w:p w14:paraId="28F1BBE1" w14:textId="77777777" w:rsidR="003A05A3" w:rsidRPr="00E16672" w:rsidRDefault="003A05A3" w:rsidP="00843027">
            <w:pPr>
              <w:ind w:left="175" w:right="138" w:firstLine="7"/>
              <w:rPr>
                <w:rFonts w:ascii="Times New Roman" w:hAnsi="Times New Roman"/>
                <w:sz w:val="16"/>
                <w:szCs w:val="16"/>
              </w:rPr>
            </w:pPr>
          </w:p>
        </w:tc>
        <w:tc>
          <w:tcPr>
            <w:tcW w:w="5494" w:type="dxa"/>
            <w:gridSpan w:val="6"/>
            <w:shd w:val="clear" w:color="auto" w:fill="auto"/>
          </w:tcPr>
          <w:p w14:paraId="5CC1793C" w14:textId="77777777" w:rsidR="003A05A3" w:rsidRPr="00E16672" w:rsidRDefault="003A05A3" w:rsidP="00843027">
            <w:pPr>
              <w:tabs>
                <w:tab w:val="left" w:pos="287"/>
              </w:tabs>
              <w:snapToGrid w:val="0"/>
              <w:ind w:left="175" w:right="100" w:firstLine="7"/>
              <w:rPr>
                <w:rFonts w:ascii="Times New Roman" w:hAnsi="Times New Roman"/>
                <w:sz w:val="16"/>
                <w:szCs w:val="16"/>
                <w:lang w:val="uk-UA"/>
              </w:rPr>
            </w:pPr>
            <w:r w:rsidRPr="00E16672">
              <w:rPr>
                <w:rFonts w:ascii="Times New Roman" w:hAnsi="Times New Roman"/>
                <w:sz w:val="16"/>
                <w:szCs w:val="16"/>
                <w:lang w:val="en-GB"/>
              </w:rPr>
              <w:t>6.</w:t>
            </w:r>
            <w:r w:rsidRPr="00E16672">
              <w:rPr>
                <w:rFonts w:ascii="Times New Roman" w:hAnsi="Times New Roman"/>
                <w:sz w:val="16"/>
                <w:szCs w:val="16"/>
                <w:lang w:val="en-US"/>
              </w:rPr>
              <w:t>2</w:t>
            </w:r>
            <w:r w:rsidRPr="00E16672">
              <w:rPr>
                <w:rFonts w:ascii="Times New Roman" w:hAnsi="Times New Roman"/>
                <w:sz w:val="16"/>
                <w:szCs w:val="16"/>
                <w:lang w:val="en-GB"/>
              </w:rPr>
              <w:t>. Changes to the conditions of this Agreement shall be made by mutual consent</w:t>
            </w:r>
            <w:r w:rsidRPr="00E16672">
              <w:rPr>
                <w:rFonts w:ascii="Times New Roman" w:hAnsi="Times New Roman"/>
                <w:sz w:val="16"/>
                <w:szCs w:val="16"/>
                <w:lang w:val="en-US"/>
              </w:rPr>
              <w:t xml:space="preserve"> of the Parties</w:t>
            </w:r>
            <w:r w:rsidRPr="00E16672">
              <w:rPr>
                <w:rFonts w:ascii="Times New Roman" w:hAnsi="Times New Roman"/>
                <w:sz w:val="16"/>
                <w:szCs w:val="16"/>
                <w:lang w:val="en-GB"/>
              </w:rPr>
              <w:t>, in writing.</w:t>
            </w:r>
            <w:r w:rsidRPr="00E16672">
              <w:rPr>
                <w:rFonts w:ascii="Times New Roman" w:hAnsi="Times New Roman"/>
                <w:sz w:val="16"/>
                <w:szCs w:val="16"/>
                <w:lang w:val="uk-UA"/>
              </w:rPr>
              <w:t xml:space="preserve"> </w:t>
            </w:r>
            <w:r w:rsidRPr="00F23413">
              <w:rPr>
                <w:rFonts w:ascii="Times New Roman" w:hAnsi="Times New Roman"/>
                <w:sz w:val="16"/>
                <w:szCs w:val="16"/>
                <w:lang w:val="en-US"/>
              </w:rPr>
              <w:t>Unilateral refusal by either Party to perform the Contract or modification of its terms is inadmissible except in cases established by law or this Agreement.</w:t>
            </w:r>
          </w:p>
        </w:tc>
      </w:tr>
      <w:tr w:rsidR="003A05A3" w:rsidRPr="00F23413" w14:paraId="185F1144" w14:textId="77777777" w:rsidTr="00242F58">
        <w:trPr>
          <w:trHeight w:val="192"/>
        </w:trPr>
        <w:tc>
          <w:tcPr>
            <w:tcW w:w="5696" w:type="dxa"/>
            <w:gridSpan w:val="8"/>
            <w:shd w:val="clear" w:color="auto" w:fill="auto"/>
          </w:tcPr>
          <w:p w14:paraId="21273BCB" w14:textId="77777777" w:rsidR="003A05A3" w:rsidRPr="00E16672" w:rsidRDefault="003A05A3" w:rsidP="00843027">
            <w:pPr>
              <w:snapToGrid w:val="0"/>
              <w:ind w:left="175" w:right="138" w:firstLine="7"/>
              <w:rPr>
                <w:rFonts w:ascii="Times New Roman" w:hAnsi="Times New Roman"/>
                <w:sz w:val="16"/>
                <w:szCs w:val="16"/>
              </w:rPr>
            </w:pPr>
            <w:r w:rsidRPr="00E16672">
              <w:rPr>
                <w:rFonts w:ascii="Times New Roman" w:hAnsi="Times New Roman"/>
                <w:sz w:val="16"/>
                <w:szCs w:val="16"/>
              </w:rPr>
              <w:t xml:space="preserve">6.3. </w:t>
            </w:r>
            <w:proofErr w:type="spellStart"/>
            <w:r w:rsidRPr="00E16672">
              <w:rPr>
                <w:rFonts w:ascii="Times New Roman" w:hAnsi="Times New Roman"/>
                <w:sz w:val="16"/>
                <w:szCs w:val="16"/>
              </w:rPr>
              <w:t>Цей</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Договір</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може</w:t>
            </w:r>
            <w:proofErr w:type="spellEnd"/>
            <w:r w:rsidRPr="00E16672">
              <w:rPr>
                <w:rFonts w:ascii="Times New Roman" w:hAnsi="Times New Roman"/>
                <w:sz w:val="16"/>
                <w:szCs w:val="16"/>
              </w:rPr>
              <w:t xml:space="preserve"> бути </w:t>
            </w:r>
            <w:proofErr w:type="spellStart"/>
            <w:r w:rsidRPr="00E16672">
              <w:rPr>
                <w:rFonts w:ascii="Times New Roman" w:hAnsi="Times New Roman"/>
                <w:sz w:val="16"/>
                <w:szCs w:val="16"/>
              </w:rPr>
              <w:t>достроково</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розірваний</w:t>
            </w:r>
            <w:proofErr w:type="spellEnd"/>
            <w:r w:rsidRPr="00E16672">
              <w:rPr>
                <w:rFonts w:ascii="Times New Roman" w:hAnsi="Times New Roman"/>
                <w:sz w:val="16"/>
                <w:szCs w:val="16"/>
              </w:rPr>
              <w:t>:</w:t>
            </w:r>
          </w:p>
          <w:p w14:paraId="792DAA9E" w14:textId="77777777" w:rsidR="003A05A3" w:rsidRPr="00E16672" w:rsidRDefault="003A05A3" w:rsidP="00843027">
            <w:pPr>
              <w:snapToGrid w:val="0"/>
              <w:ind w:left="175" w:right="138" w:firstLine="7"/>
              <w:rPr>
                <w:rFonts w:ascii="Times New Roman" w:hAnsi="Times New Roman"/>
                <w:sz w:val="16"/>
                <w:szCs w:val="16"/>
              </w:rPr>
            </w:pPr>
          </w:p>
        </w:tc>
        <w:tc>
          <w:tcPr>
            <w:tcW w:w="5494" w:type="dxa"/>
            <w:gridSpan w:val="6"/>
            <w:shd w:val="clear" w:color="auto" w:fill="auto"/>
          </w:tcPr>
          <w:p w14:paraId="67F7615D" w14:textId="77777777" w:rsidR="003A05A3" w:rsidRPr="00E16672" w:rsidRDefault="003A05A3" w:rsidP="00843027">
            <w:pPr>
              <w:tabs>
                <w:tab w:val="left" w:pos="107"/>
                <w:tab w:val="left" w:pos="287"/>
                <w:tab w:val="left" w:pos="872"/>
              </w:tabs>
              <w:autoSpaceDE w:val="0"/>
              <w:snapToGrid w:val="0"/>
              <w:ind w:left="175" w:right="100" w:firstLine="7"/>
              <w:rPr>
                <w:rFonts w:ascii="Times New Roman" w:hAnsi="Times New Roman"/>
                <w:sz w:val="16"/>
                <w:szCs w:val="16"/>
                <w:lang w:val="en-GB"/>
              </w:rPr>
            </w:pPr>
            <w:r w:rsidRPr="00E16672">
              <w:rPr>
                <w:rFonts w:ascii="Times New Roman" w:hAnsi="Times New Roman"/>
                <w:sz w:val="16"/>
                <w:szCs w:val="16"/>
                <w:lang w:val="en-GB"/>
              </w:rPr>
              <w:t>6.</w:t>
            </w:r>
            <w:r w:rsidRPr="00E16672">
              <w:rPr>
                <w:rFonts w:ascii="Times New Roman" w:hAnsi="Times New Roman"/>
                <w:sz w:val="16"/>
                <w:szCs w:val="16"/>
                <w:lang w:val="en-US"/>
              </w:rPr>
              <w:t>3</w:t>
            </w:r>
            <w:r w:rsidRPr="00E16672">
              <w:rPr>
                <w:rFonts w:ascii="Times New Roman" w:hAnsi="Times New Roman"/>
                <w:sz w:val="16"/>
                <w:szCs w:val="16"/>
                <w:lang w:val="en-GB"/>
              </w:rPr>
              <w:t>. This Agreement may be terminated earlier:</w:t>
            </w:r>
          </w:p>
        </w:tc>
      </w:tr>
      <w:tr w:rsidR="003A05A3" w:rsidRPr="00F23413" w14:paraId="7FABB3D7" w14:textId="77777777" w:rsidTr="00242F58">
        <w:trPr>
          <w:trHeight w:val="192"/>
        </w:trPr>
        <w:tc>
          <w:tcPr>
            <w:tcW w:w="5696" w:type="dxa"/>
            <w:gridSpan w:val="8"/>
            <w:shd w:val="clear" w:color="auto" w:fill="auto"/>
          </w:tcPr>
          <w:p w14:paraId="12262770" w14:textId="77777777" w:rsidR="003A05A3" w:rsidRPr="00E16672" w:rsidRDefault="003A05A3" w:rsidP="00843027">
            <w:pPr>
              <w:snapToGrid w:val="0"/>
              <w:ind w:left="175" w:right="138" w:firstLine="7"/>
              <w:rPr>
                <w:rFonts w:ascii="Times New Roman" w:hAnsi="Times New Roman"/>
                <w:sz w:val="16"/>
                <w:szCs w:val="16"/>
              </w:rPr>
            </w:pPr>
            <w:r w:rsidRPr="00E16672">
              <w:rPr>
                <w:rFonts w:ascii="Times New Roman" w:hAnsi="Times New Roman"/>
                <w:sz w:val="16"/>
                <w:szCs w:val="16"/>
              </w:rPr>
              <w:lastRenderedPageBreak/>
              <w:t xml:space="preserve">6.3.1. Кожною </w:t>
            </w:r>
            <w:proofErr w:type="spellStart"/>
            <w:r w:rsidRPr="00E16672">
              <w:rPr>
                <w:rFonts w:ascii="Times New Roman" w:hAnsi="Times New Roman"/>
                <w:sz w:val="16"/>
                <w:szCs w:val="16"/>
              </w:rPr>
              <w:t>із</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Сторін</w:t>
            </w:r>
            <w:proofErr w:type="spellEnd"/>
            <w:r w:rsidRPr="00E16672">
              <w:rPr>
                <w:rFonts w:ascii="Times New Roman" w:hAnsi="Times New Roman"/>
                <w:sz w:val="16"/>
                <w:szCs w:val="16"/>
              </w:rPr>
              <w:t xml:space="preserve"> в </w:t>
            </w:r>
            <w:proofErr w:type="spellStart"/>
            <w:r w:rsidRPr="00E16672">
              <w:rPr>
                <w:rFonts w:ascii="Times New Roman" w:hAnsi="Times New Roman"/>
                <w:sz w:val="16"/>
                <w:szCs w:val="16"/>
              </w:rPr>
              <w:t>односторонньому</w:t>
            </w:r>
            <w:proofErr w:type="spellEnd"/>
            <w:r w:rsidRPr="00E16672">
              <w:rPr>
                <w:rFonts w:ascii="Times New Roman" w:hAnsi="Times New Roman"/>
                <w:sz w:val="16"/>
                <w:szCs w:val="16"/>
              </w:rPr>
              <w:t xml:space="preserve"> порядку. Про </w:t>
            </w:r>
            <w:proofErr w:type="spellStart"/>
            <w:r w:rsidRPr="00E16672">
              <w:rPr>
                <w:rFonts w:ascii="Times New Roman" w:hAnsi="Times New Roman"/>
                <w:sz w:val="16"/>
                <w:szCs w:val="16"/>
              </w:rPr>
              <w:t>дострокове</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розірвання</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цього</w:t>
            </w:r>
            <w:proofErr w:type="spellEnd"/>
            <w:r w:rsidRPr="00E16672">
              <w:rPr>
                <w:rFonts w:ascii="Times New Roman" w:hAnsi="Times New Roman"/>
                <w:sz w:val="16"/>
                <w:szCs w:val="16"/>
              </w:rPr>
              <w:t xml:space="preserve"> Договору в </w:t>
            </w:r>
            <w:proofErr w:type="spellStart"/>
            <w:r w:rsidRPr="00E16672">
              <w:rPr>
                <w:rFonts w:ascii="Times New Roman" w:hAnsi="Times New Roman"/>
                <w:sz w:val="16"/>
                <w:szCs w:val="16"/>
              </w:rPr>
              <w:t>односторонньому</w:t>
            </w:r>
            <w:proofErr w:type="spellEnd"/>
            <w:r w:rsidRPr="00E16672">
              <w:rPr>
                <w:rFonts w:ascii="Times New Roman" w:hAnsi="Times New Roman"/>
                <w:sz w:val="16"/>
                <w:szCs w:val="16"/>
              </w:rPr>
              <w:t xml:space="preserve"> порядку Сторона, яка </w:t>
            </w:r>
            <w:proofErr w:type="spellStart"/>
            <w:r w:rsidRPr="00E16672">
              <w:rPr>
                <w:rFonts w:ascii="Times New Roman" w:hAnsi="Times New Roman"/>
                <w:sz w:val="16"/>
                <w:szCs w:val="16"/>
              </w:rPr>
              <w:t>прийняла</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таке</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рішення</w:t>
            </w:r>
            <w:proofErr w:type="spellEnd"/>
            <w:r w:rsidRPr="00E16672">
              <w:rPr>
                <w:rFonts w:ascii="Times New Roman" w:hAnsi="Times New Roman"/>
                <w:sz w:val="16"/>
                <w:szCs w:val="16"/>
              </w:rPr>
              <w:t xml:space="preserve">, повинна </w:t>
            </w:r>
            <w:proofErr w:type="spellStart"/>
            <w:r w:rsidRPr="00E16672">
              <w:rPr>
                <w:rFonts w:ascii="Times New Roman" w:hAnsi="Times New Roman"/>
                <w:sz w:val="16"/>
                <w:szCs w:val="16"/>
              </w:rPr>
              <w:t>повідомити</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надіславши</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відповідне</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письмове</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повідомлення</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іншій</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Стороні</w:t>
            </w:r>
            <w:proofErr w:type="spellEnd"/>
            <w:r w:rsidRPr="00E16672">
              <w:rPr>
                <w:rFonts w:ascii="Times New Roman" w:hAnsi="Times New Roman"/>
                <w:sz w:val="16"/>
                <w:szCs w:val="16"/>
              </w:rPr>
              <w:t xml:space="preserve"> за </w:t>
            </w:r>
            <w:proofErr w:type="spellStart"/>
            <w:r w:rsidRPr="00E16672">
              <w:rPr>
                <w:rFonts w:ascii="Times New Roman" w:hAnsi="Times New Roman"/>
                <w:sz w:val="16"/>
                <w:szCs w:val="16"/>
              </w:rPr>
              <w:t>її</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місцезнаходженням</w:t>
            </w:r>
            <w:proofErr w:type="spellEnd"/>
            <w:r w:rsidRPr="00E16672">
              <w:rPr>
                <w:rFonts w:ascii="Times New Roman" w:hAnsi="Times New Roman"/>
                <w:sz w:val="16"/>
                <w:szCs w:val="16"/>
              </w:rPr>
              <w:t xml:space="preserve"> </w:t>
            </w:r>
            <w:proofErr w:type="spellStart"/>
            <w:r w:rsidRPr="00E16672">
              <w:rPr>
                <w:rFonts w:ascii="Times New Roman" w:hAnsi="Times New Roman"/>
                <w:i/>
                <w:sz w:val="16"/>
                <w:szCs w:val="16"/>
              </w:rPr>
              <w:t>менше</w:t>
            </w:r>
            <w:proofErr w:type="spellEnd"/>
            <w:r w:rsidRPr="00E16672">
              <w:rPr>
                <w:rFonts w:ascii="Times New Roman" w:hAnsi="Times New Roman"/>
                <w:i/>
                <w:sz w:val="16"/>
                <w:szCs w:val="16"/>
              </w:rPr>
              <w:t xml:space="preserve"> </w:t>
            </w:r>
            <w:proofErr w:type="spellStart"/>
            <w:r w:rsidRPr="00E16672">
              <w:rPr>
                <w:rFonts w:ascii="Times New Roman" w:hAnsi="Times New Roman"/>
                <w:i/>
                <w:sz w:val="16"/>
                <w:szCs w:val="16"/>
              </w:rPr>
              <w:t>ніж</w:t>
            </w:r>
            <w:proofErr w:type="spellEnd"/>
            <w:r w:rsidRPr="00E16672">
              <w:rPr>
                <w:rFonts w:ascii="Times New Roman" w:hAnsi="Times New Roman"/>
                <w:i/>
                <w:sz w:val="16"/>
                <w:szCs w:val="16"/>
              </w:rPr>
              <w:t xml:space="preserve"> за </w:t>
            </w:r>
            <w:proofErr w:type="spellStart"/>
            <w:r w:rsidRPr="00E16672">
              <w:rPr>
                <w:rFonts w:ascii="Times New Roman" w:hAnsi="Times New Roman"/>
                <w:i/>
                <w:sz w:val="16"/>
                <w:szCs w:val="16"/>
              </w:rPr>
              <w:t>тридцять</w:t>
            </w:r>
            <w:proofErr w:type="spellEnd"/>
            <w:r w:rsidRPr="00E16672">
              <w:rPr>
                <w:rFonts w:ascii="Times New Roman" w:hAnsi="Times New Roman"/>
                <w:i/>
                <w:sz w:val="16"/>
                <w:szCs w:val="16"/>
              </w:rPr>
              <w:t xml:space="preserve"> </w:t>
            </w:r>
            <w:proofErr w:type="spellStart"/>
            <w:r w:rsidRPr="00E16672">
              <w:rPr>
                <w:rFonts w:ascii="Times New Roman" w:hAnsi="Times New Roman"/>
                <w:i/>
                <w:sz w:val="16"/>
                <w:szCs w:val="16"/>
              </w:rPr>
              <w:t>календарних</w:t>
            </w:r>
            <w:proofErr w:type="spellEnd"/>
            <w:r w:rsidRPr="00E16672">
              <w:rPr>
                <w:rFonts w:ascii="Times New Roman" w:hAnsi="Times New Roman"/>
                <w:i/>
                <w:sz w:val="16"/>
                <w:szCs w:val="16"/>
              </w:rPr>
              <w:t xml:space="preserve"> </w:t>
            </w:r>
            <w:proofErr w:type="spellStart"/>
            <w:r w:rsidRPr="00E16672">
              <w:rPr>
                <w:rFonts w:ascii="Times New Roman" w:hAnsi="Times New Roman"/>
                <w:i/>
                <w:sz w:val="16"/>
                <w:szCs w:val="16"/>
              </w:rPr>
              <w:t>днів</w:t>
            </w:r>
            <w:proofErr w:type="spellEnd"/>
            <w:r w:rsidRPr="00E16672">
              <w:rPr>
                <w:rFonts w:ascii="Times New Roman" w:hAnsi="Times New Roman"/>
                <w:sz w:val="16"/>
                <w:szCs w:val="16"/>
              </w:rPr>
              <w:t xml:space="preserve"> до </w:t>
            </w:r>
            <w:proofErr w:type="spellStart"/>
            <w:r w:rsidRPr="00E16672">
              <w:rPr>
                <w:rFonts w:ascii="Times New Roman" w:hAnsi="Times New Roman"/>
                <w:sz w:val="16"/>
                <w:szCs w:val="16"/>
              </w:rPr>
              <w:t>дати</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припинення</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дії</w:t>
            </w:r>
            <w:proofErr w:type="spellEnd"/>
            <w:r w:rsidRPr="00E16672">
              <w:rPr>
                <w:rFonts w:ascii="Times New Roman" w:hAnsi="Times New Roman"/>
                <w:sz w:val="16"/>
                <w:szCs w:val="16"/>
              </w:rPr>
              <w:t xml:space="preserve"> Договору </w:t>
            </w:r>
            <w:proofErr w:type="spellStart"/>
            <w:r w:rsidRPr="00E16672">
              <w:rPr>
                <w:rFonts w:ascii="Times New Roman" w:hAnsi="Times New Roman"/>
                <w:sz w:val="16"/>
                <w:szCs w:val="16"/>
              </w:rPr>
              <w:t>внаслідок</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розірвання</w:t>
            </w:r>
            <w:proofErr w:type="spellEnd"/>
            <w:r w:rsidRPr="00E16672">
              <w:rPr>
                <w:rFonts w:ascii="Times New Roman" w:hAnsi="Times New Roman"/>
                <w:sz w:val="16"/>
                <w:szCs w:val="16"/>
              </w:rPr>
              <w:t xml:space="preserve">. </w:t>
            </w:r>
          </w:p>
          <w:p w14:paraId="5CC39CF9" w14:textId="77777777" w:rsidR="003A05A3" w:rsidRPr="00E16672" w:rsidRDefault="003A05A3" w:rsidP="00843027">
            <w:pPr>
              <w:snapToGrid w:val="0"/>
              <w:ind w:left="175" w:right="138" w:firstLine="7"/>
              <w:rPr>
                <w:rFonts w:ascii="Times New Roman" w:hAnsi="Times New Roman"/>
                <w:sz w:val="16"/>
                <w:szCs w:val="16"/>
              </w:rPr>
            </w:pPr>
            <w:proofErr w:type="spellStart"/>
            <w:r w:rsidRPr="00E16672">
              <w:rPr>
                <w:rFonts w:ascii="Times New Roman" w:hAnsi="Times New Roman"/>
                <w:sz w:val="16"/>
                <w:szCs w:val="16"/>
              </w:rPr>
              <w:t>Депозитарна</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установа</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надсилає</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вказане</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письмове</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повідомлення</w:t>
            </w:r>
            <w:proofErr w:type="spellEnd"/>
            <w:r w:rsidRPr="00E16672">
              <w:rPr>
                <w:rFonts w:ascii="Times New Roman" w:hAnsi="Times New Roman"/>
                <w:sz w:val="16"/>
                <w:szCs w:val="16"/>
              </w:rPr>
              <w:t xml:space="preserve"> про </w:t>
            </w:r>
            <w:proofErr w:type="spellStart"/>
            <w:r w:rsidRPr="00E16672">
              <w:rPr>
                <w:rFonts w:ascii="Times New Roman" w:hAnsi="Times New Roman"/>
                <w:sz w:val="16"/>
                <w:szCs w:val="16"/>
              </w:rPr>
              <w:t>розірвання</w:t>
            </w:r>
            <w:proofErr w:type="spellEnd"/>
            <w:r w:rsidRPr="00E16672">
              <w:rPr>
                <w:rFonts w:ascii="Times New Roman" w:hAnsi="Times New Roman"/>
                <w:sz w:val="16"/>
                <w:szCs w:val="16"/>
              </w:rPr>
              <w:t xml:space="preserve"> договору в </w:t>
            </w:r>
            <w:proofErr w:type="spellStart"/>
            <w:r w:rsidRPr="00E16672">
              <w:rPr>
                <w:rFonts w:ascii="Times New Roman" w:hAnsi="Times New Roman"/>
                <w:sz w:val="16"/>
                <w:szCs w:val="16"/>
              </w:rPr>
              <w:t>односторонньому</w:t>
            </w:r>
            <w:proofErr w:type="spellEnd"/>
            <w:r w:rsidRPr="00E16672">
              <w:rPr>
                <w:rFonts w:ascii="Times New Roman" w:hAnsi="Times New Roman"/>
                <w:sz w:val="16"/>
                <w:szCs w:val="16"/>
              </w:rPr>
              <w:t xml:space="preserve"> порядку за </w:t>
            </w:r>
            <w:proofErr w:type="spellStart"/>
            <w:r w:rsidRPr="00E16672">
              <w:rPr>
                <w:rFonts w:ascii="Times New Roman" w:hAnsi="Times New Roman"/>
                <w:sz w:val="16"/>
                <w:szCs w:val="16"/>
              </w:rPr>
              <w:t>місцем</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проживання</w:t>
            </w:r>
            <w:proofErr w:type="spellEnd"/>
            <w:r w:rsidRPr="00E16672">
              <w:rPr>
                <w:rFonts w:ascii="Times New Roman" w:hAnsi="Times New Roman"/>
                <w:sz w:val="16"/>
                <w:szCs w:val="16"/>
              </w:rPr>
              <w:t xml:space="preserve"> Депонента, </w:t>
            </w:r>
            <w:proofErr w:type="spellStart"/>
            <w:r w:rsidRPr="00E16672">
              <w:rPr>
                <w:rFonts w:ascii="Times New Roman" w:hAnsi="Times New Roman"/>
                <w:sz w:val="16"/>
                <w:szCs w:val="16"/>
              </w:rPr>
              <w:t>що</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зазначене</w:t>
            </w:r>
            <w:proofErr w:type="spellEnd"/>
            <w:r w:rsidRPr="00E16672">
              <w:rPr>
                <w:rFonts w:ascii="Times New Roman" w:hAnsi="Times New Roman"/>
                <w:sz w:val="16"/>
                <w:szCs w:val="16"/>
              </w:rPr>
              <w:t xml:space="preserve"> в </w:t>
            </w:r>
            <w:proofErr w:type="spellStart"/>
            <w:r w:rsidRPr="00E16672">
              <w:rPr>
                <w:rFonts w:ascii="Times New Roman" w:hAnsi="Times New Roman"/>
                <w:sz w:val="16"/>
                <w:szCs w:val="16"/>
              </w:rPr>
              <w:t>анкеті</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рахунку</w:t>
            </w:r>
            <w:proofErr w:type="spellEnd"/>
            <w:r w:rsidRPr="00E16672">
              <w:rPr>
                <w:rFonts w:ascii="Times New Roman" w:hAnsi="Times New Roman"/>
                <w:sz w:val="16"/>
                <w:szCs w:val="16"/>
              </w:rPr>
              <w:t xml:space="preserve"> в </w:t>
            </w:r>
            <w:proofErr w:type="spellStart"/>
            <w:r w:rsidRPr="00E16672">
              <w:rPr>
                <w:rFonts w:ascii="Times New Roman" w:hAnsi="Times New Roman"/>
                <w:sz w:val="16"/>
                <w:szCs w:val="16"/>
              </w:rPr>
              <w:t>цінних</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паперах</w:t>
            </w:r>
            <w:proofErr w:type="spellEnd"/>
            <w:r w:rsidRPr="00E16672">
              <w:rPr>
                <w:rFonts w:ascii="Times New Roman" w:hAnsi="Times New Roman"/>
                <w:sz w:val="16"/>
                <w:szCs w:val="16"/>
              </w:rPr>
              <w:t>.</w:t>
            </w:r>
          </w:p>
        </w:tc>
        <w:tc>
          <w:tcPr>
            <w:tcW w:w="5494" w:type="dxa"/>
            <w:gridSpan w:val="6"/>
            <w:shd w:val="clear" w:color="auto" w:fill="auto"/>
          </w:tcPr>
          <w:p w14:paraId="5769D984" w14:textId="77777777" w:rsidR="003A05A3" w:rsidRPr="00E16672" w:rsidRDefault="003A05A3" w:rsidP="00843027">
            <w:pPr>
              <w:tabs>
                <w:tab w:val="left" w:pos="107"/>
                <w:tab w:val="left" w:pos="287"/>
                <w:tab w:val="left" w:pos="390"/>
              </w:tabs>
              <w:snapToGrid w:val="0"/>
              <w:ind w:left="175" w:right="100" w:firstLine="7"/>
              <w:rPr>
                <w:rFonts w:ascii="Times New Roman" w:hAnsi="Times New Roman"/>
                <w:sz w:val="16"/>
                <w:szCs w:val="16"/>
                <w:lang w:val="en-US"/>
              </w:rPr>
            </w:pPr>
            <w:r w:rsidRPr="00E16672">
              <w:rPr>
                <w:rFonts w:ascii="Times New Roman" w:hAnsi="Times New Roman"/>
                <w:sz w:val="16"/>
                <w:szCs w:val="16"/>
                <w:lang w:val="en-GB"/>
              </w:rPr>
              <w:t>6.</w:t>
            </w:r>
            <w:r w:rsidRPr="00E16672">
              <w:rPr>
                <w:rFonts w:ascii="Times New Roman" w:hAnsi="Times New Roman"/>
                <w:sz w:val="16"/>
                <w:szCs w:val="16"/>
                <w:lang w:val="en-US"/>
              </w:rPr>
              <w:t>3</w:t>
            </w:r>
            <w:r w:rsidRPr="00E16672">
              <w:rPr>
                <w:rFonts w:ascii="Times New Roman" w:hAnsi="Times New Roman"/>
                <w:sz w:val="16"/>
                <w:szCs w:val="16"/>
                <w:lang w:val="en-GB"/>
              </w:rPr>
              <w:t xml:space="preserve">.1. Each Party shall unilaterally. On early termination of this Agreement unilaterally Party which took the decision, shall notify the sending written notification to the other Party by its location </w:t>
            </w:r>
            <w:r w:rsidRPr="00E16672">
              <w:rPr>
                <w:rFonts w:ascii="Times New Roman" w:hAnsi="Times New Roman"/>
                <w:i/>
                <w:sz w:val="16"/>
                <w:szCs w:val="16"/>
                <w:lang w:val="en-GB"/>
              </w:rPr>
              <w:t>less than thirty calendar days</w:t>
            </w:r>
            <w:r w:rsidRPr="00E16672">
              <w:rPr>
                <w:rFonts w:ascii="Times New Roman" w:hAnsi="Times New Roman"/>
                <w:sz w:val="16"/>
                <w:szCs w:val="16"/>
                <w:lang w:val="en-GB"/>
              </w:rPr>
              <w:t xml:space="preserve"> before the date of </w:t>
            </w:r>
            <w:proofErr w:type="spellStart"/>
            <w:r w:rsidRPr="00E16672">
              <w:rPr>
                <w:rFonts w:ascii="Times New Roman" w:hAnsi="Times New Roman"/>
                <w:sz w:val="16"/>
                <w:szCs w:val="16"/>
                <w:lang w:val="en-GB"/>
              </w:rPr>
              <w:t>of</w:t>
            </w:r>
            <w:proofErr w:type="spellEnd"/>
            <w:r w:rsidRPr="00E16672">
              <w:rPr>
                <w:rFonts w:ascii="Times New Roman" w:hAnsi="Times New Roman"/>
                <w:sz w:val="16"/>
                <w:szCs w:val="16"/>
                <w:lang w:val="en-GB"/>
              </w:rPr>
              <w:t xml:space="preserve"> Agreement cancellation as a result dissolution.</w:t>
            </w:r>
            <w:r w:rsidRPr="00E16672">
              <w:rPr>
                <w:rFonts w:ascii="Times New Roman" w:hAnsi="Times New Roman"/>
                <w:sz w:val="16"/>
                <w:szCs w:val="16"/>
                <w:lang w:val="en-GB"/>
              </w:rPr>
              <w:br/>
            </w:r>
            <w:r w:rsidRPr="00E16672">
              <w:rPr>
                <w:rFonts w:ascii="Times New Roman" w:hAnsi="Times New Roman"/>
                <w:sz w:val="16"/>
                <w:szCs w:val="16"/>
                <w:lang w:val="en-US"/>
              </w:rPr>
              <w:t xml:space="preserve">          </w:t>
            </w:r>
          </w:p>
          <w:p w14:paraId="12CA8DB9" w14:textId="77777777" w:rsidR="003A05A3" w:rsidRPr="00E16672" w:rsidRDefault="003A05A3" w:rsidP="00843027">
            <w:pPr>
              <w:tabs>
                <w:tab w:val="left" w:pos="107"/>
                <w:tab w:val="left" w:pos="287"/>
                <w:tab w:val="left" w:pos="390"/>
              </w:tabs>
              <w:snapToGrid w:val="0"/>
              <w:ind w:left="175" w:right="100" w:firstLine="7"/>
              <w:rPr>
                <w:rFonts w:ascii="Times New Roman" w:hAnsi="Times New Roman"/>
                <w:sz w:val="16"/>
                <w:szCs w:val="16"/>
                <w:lang w:val="en-GB"/>
              </w:rPr>
            </w:pPr>
            <w:r w:rsidRPr="00E16672">
              <w:rPr>
                <w:rFonts w:ascii="Times New Roman" w:hAnsi="Times New Roman"/>
                <w:sz w:val="16"/>
                <w:szCs w:val="16"/>
                <w:lang w:val="en-GB"/>
              </w:rPr>
              <w:t xml:space="preserve">Depository institution sends the specified written notice of cancellation of the </w:t>
            </w:r>
            <w:r w:rsidRPr="00E16672">
              <w:rPr>
                <w:rFonts w:ascii="Times New Roman" w:hAnsi="Times New Roman"/>
                <w:sz w:val="16"/>
                <w:szCs w:val="16"/>
                <w:lang w:val="en-US"/>
              </w:rPr>
              <w:t>Agreement</w:t>
            </w:r>
            <w:r w:rsidRPr="00E16672">
              <w:rPr>
                <w:rFonts w:ascii="Times New Roman" w:hAnsi="Times New Roman"/>
                <w:sz w:val="16"/>
                <w:szCs w:val="16"/>
                <w:lang w:val="en-GB"/>
              </w:rPr>
              <w:t xml:space="preserve"> unilaterally at the place of residence of Depositor that indicated in the form of </w:t>
            </w:r>
            <w:r w:rsidRPr="00E16672">
              <w:rPr>
                <w:rFonts w:ascii="Times New Roman" w:hAnsi="Times New Roman"/>
                <w:sz w:val="16"/>
                <w:szCs w:val="16"/>
                <w:lang w:val="en-US"/>
              </w:rPr>
              <w:t xml:space="preserve">the </w:t>
            </w:r>
            <w:r w:rsidRPr="00E16672">
              <w:rPr>
                <w:rFonts w:ascii="Times New Roman" w:hAnsi="Times New Roman"/>
                <w:sz w:val="16"/>
                <w:szCs w:val="16"/>
                <w:lang w:val="en-GB"/>
              </w:rPr>
              <w:t xml:space="preserve">account </w:t>
            </w:r>
            <w:r w:rsidRPr="00E16672">
              <w:rPr>
                <w:rFonts w:ascii="Times New Roman" w:hAnsi="Times New Roman"/>
                <w:sz w:val="16"/>
                <w:szCs w:val="16"/>
                <w:lang w:val="en-US"/>
              </w:rPr>
              <w:t>in</w:t>
            </w:r>
            <w:r w:rsidRPr="00E16672">
              <w:rPr>
                <w:rFonts w:ascii="Times New Roman" w:hAnsi="Times New Roman"/>
                <w:sz w:val="16"/>
                <w:szCs w:val="16"/>
                <w:lang w:val="en-GB"/>
              </w:rPr>
              <w:t xml:space="preserve"> securities.</w:t>
            </w:r>
          </w:p>
        </w:tc>
      </w:tr>
      <w:tr w:rsidR="003A05A3" w:rsidRPr="00F23413" w14:paraId="33884612" w14:textId="77777777" w:rsidTr="00242F58">
        <w:trPr>
          <w:trHeight w:val="192"/>
        </w:trPr>
        <w:tc>
          <w:tcPr>
            <w:tcW w:w="5696" w:type="dxa"/>
            <w:gridSpan w:val="8"/>
            <w:shd w:val="clear" w:color="auto" w:fill="auto"/>
          </w:tcPr>
          <w:p w14:paraId="791F43CD" w14:textId="77777777" w:rsidR="003A05A3" w:rsidRPr="00E16672" w:rsidRDefault="003A05A3" w:rsidP="00843027">
            <w:pPr>
              <w:snapToGrid w:val="0"/>
              <w:ind w:left="175" w:right="138" w:firstLine="7"/>
              <w:rPr>
                <w:rFonts w:ascii="Times New Roman" w:hAnsi="Times New Roman"/>
                <w:sz w:val="16"/>
                <w:szCs w:val="16"/>
              </w:rPr>
            </w:pPr>
            <w:r w:rsidRPr="00E16672">
              <w:rPr>
                <w:rFonts w:ascii="Times New Roman" w:hAnsi="Times New Roman"/>
                <w:sz w:val="16"/>
                <w:szCs w:val="16"/>
                <w:lang w:val="en-US"/>
              </w:rPr>
              <w:t xml:space="preserve"> </w:t>
            </w:r>
            <w:r w:rsidRPr="00E16672">
              <w:rPr>
                <w:rFonts w:ascii="Times New Roman" w:hAnsi="Times New Roman"/>
                <w:sz w:val="16"/>
                <w:szCs w:val="16"/>
              </w:rPr>
              <w:t>6.</w:t>
            </w:r>
            <w:r w:rsidRPr="00E16672">
              <w:rPr>
                <w:rFonts w:ascii="Times New Roman" w:hAnsi="Times New Roman"/>
                <w:sz w:val="16"/>
                <w:szCs w:val="16"/>
                <w:lang w:val="en-US"/>
              </w:rPr>
              <w:t>3</w:t>
            </w:r>
            <w:r w:rsidRPr="00E16672">
              <w:rPr>
                <w:rFonts w:ascii="Times New Roman" w:hAnsi="Times New Roman"/>
                <w:sz w:val="16"/>
                <w:szCs w:val="16"/>
              </w:rPr>
              <w:t xml:space="preserve">.2. За </w:t>
            </w:r>
            <w:proofErr w:type="spellStart"/>
            <w:r w:rsidRPr="00E16672">
              <w:rPr>
                <w:rFonts w:ascii="Times New Roman" w:hAnsi="Times New Roman"/>
                <w:sz w:val="16"/>
                <w:szCs w:val="16"/>
              </w:rPr>
              <w:t>згодою</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Сторін</w:t>
            </w:r>
            <w:proofErr w:type="spellEnd"/>
            <w:r w:rsidRPr="00E16672">
              <w:rPr>
                <w:rFonts w:ascii="Times New Roman" w:hAnsi="Times New Roman"/>
                <w:sz w:val="16"/>
                <w:szCs w:val="16"/>
              </w:rPr>
              <w:t>.</w:t>
            </w:r>
          </w:p>
          <w:p w14:paraId="3F7903B0" w14:textId="77777777" w:rsidR="003A05A3" w:rsidRPr="00E16672" w:rsidRDefault="003A05A3" w:rsidP="00843027">
            <w:pPr>
              <w:snapToGrid w:val="0"/>
              <w:ind w:left="175" w:right="138" w:firstLine="7"/>
              <w:rPr>
                <w:rFonts w:ascii="Times New Roman" w:hAnsi="Times New Roman"/>
                <w:sz w:val="16"/>
                <w:szCs w:val="16"/>
              </w:rPr>
            </w:pPr>
          </w:p>
        </w:tc>
        <w:tc>
          <w:tcPr>
            <w:tcW w:w="5494" w:type="dxa"/>
            <w:gridSpan w:val="6"/>
            <w:shd w:val="clear" w:color="auto" w:fill="auto"/>
          </w:tcPr>
          <w:p w14:paraId="208F464A" w14:textId="77777777" w:rsidR="003A05A3" w:rsidRPr="00E16672" w:rsidRDefault="003A05A3" w:rsidP="00843027">
            <w:pPr>
              <w:tabs>
                <w:tab w:val="left" w:pos="287"/>
                <w:tab w:val="left" w:pos="536"/>
                <w:tab w:val="left" w:pos="819"/>
              </w:tabs>
              <w:autoSpaceDE w:val="0"/>
              <w:snapToGrid w:val="0"/>
              <w:ind w:left="175" w:right="100" w:firstLine="7"/>
              <w:rPr>
                <w:rFonts w:ascii="Times New Roman" w:hAnsi="Times New Roman"/>
                <w:sz w:val="16"/>
                <w:szCs w:val="16"/>
                <w:lang w:val="en-GB"/>
              </w:rPr>
            </w:pPr>
            <w:r w:rsidRPr="00E16672">
              <w:rPr>
                <w:rFonts w:ascii="Times New Roman" w:hAnsi="Times New Roman"/>
                <w:sz w:val="16"/>
                <w:szCs w:val="16"/>
                <w:lang w:val="en-GB"/>
              </w:rPr>
              <w:t>6.</w:t>
            </w:r>
            <w:r w:rsidRPr="00E16672">
              <w:rPr>
                <w:rFonts w:ascii="Times New Roman" w:hAnsi="Times New Roman"/>
                <w:sz w:val="16"/>
                <w:szCs w:val="16"/>
                <w:lang w:val="en-US"/>
              </w:rPr>
              <w:t>3</w:t>
            </w:r>
            <w:r w:rsidRPr="00E16672">
              <w:rPr>
                <w:rFonts w:ascii="Times New Roman" w:hAnsi="Times New Roman"/>
                <w:sz w:val="16"/>
                <w:szCs w:val="16"/>
                <w:lang w:val="en-GB"/>
              </w:rPr>
              <w:t>.2. With the consent the Parties.</w:t>
            </w:r>
          </w:p>
        </w:tc>
      </w:tr>
      <w:tr w:rsidR="003A05A3" w:rsidRPr="00F23413" w14:paraId="17B14A56" w14:textId="77777777" w:rsidTr="00242F58">
        <w:trPr>
          <w:trHeight w:val="192"/>
        </w:trPr>
        <w:tc>
          <w:tcPr>
            <w:tcW w:w="5696" w:type="dxa"/>
            <w:gridSpan w:val="8"/>
            <w:shd w:val="clear" w:color="auto" w:fill="auto"/>
          </w:tcPr>
          <w:p w14:paraId="0DF4FB6E" w14:textId="77777777" w:rsidR="003A05A3" w:rsidRPr="00E16672" w:rsidRDefault="003A05A3" w:rsidP="00843027">
            <w:pPr>
              <w:snapToGrid w:val="0"/>
              <w:ind w:left="175" w:right="138" w:firstLine="7"/>
              <w:rPr>
                <w:rFonts w:ascii="Times New Roman" w:hAnsi="Times New Roman"/>
                <w:sz w:val="16"/>
                <w:szCs w:val="16"/>
              </w:rPr>
            </w:pPr>
            <w:r w:rsidRPr="00E16672">
              <w:rPr>
                <w:rFonts w:ascii="Times New Roman" w:hAnsi="Times New Roman"/>
                <w:sz w:val="16"/>
                <w:szCs w:val="16"/>
                <w:lang w:val="en-US"/>
              </w:rPr>
              <w:t xml:space="preserve"> </w:t>
            </w:r>
            <w:r w:rsidRPr="00E16672">
              <w:rPr>
                <w:rFonts w:ascii="Times New Roman" w:hAnsi="Times New Roman"/>
                <w:sz w:val="16"/>
                <w:szCs w:val="16"/>
              </w:rPr>
              <w:t>6.</w:t>
            </w:r>
            <w:r w:rsidRPr="00E16672">
              <w:rPr>
                <w:rFonts w:ascii="Times New Roman" w:hAnsi="Times New Roman"/>
                <w:sz w:val="16"/>
                <w:szCs w:val="16"/>
                <w:lang w:val="en-US"/>
              </w:rPr>
              <w:t>3</w:t>
            </w:r>
            <w:r w:rsidRPr="00E16672">
              <w:rPr>
                <w:rFonts w:ascii="Times New Roman" w:hAnsi="Times New Roman"/>
                <w:sz w:val="16"/>
                <w:szCs w:val="16"/>
              </w:rPr>
              <w:t xml:space="preserve">.3. За </w:t>
            </w:r>
            <w:proofErr w:type="spellStart"/>
            <w:r w:rsidRPr="00E16672">
              <w:rPr>
                <w:rFonts w:ascii="Times New Roman" w:hAnsi="Times New Roman"/>
                <w:sz w:val="16"/>
                <w:szCs w:val="16"/>
              </w:rPr>
              <w:t>відповідним</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рішенням</w:t>
            </w:r>
            <w:proofErr w:type="spellEnd"/>
            <w:r w:rsidRPr="00E16672">
              <w:rPr>
                <w:rFonts w:ascii="Times New Roman" w:hAnsi="Times New Roman"/>
                <w:sz w:val="16"/>
                <w:szCs w:val="16"/>
              </w:rPr>
              <w:t xml:space="preserve"> суду.</w:t>
            </w:r>
          </w:p>
          <w:p w14:paraId="0A5E6B1A" w14:textId="77777777" w:rsidR="003A05A3" w:rsidRPr="00E16672" w:rsidRDefault="003A05A3" w:rsidP="00843027">
            <w:pPr>
              <w:snapToGrid w:val="0"/>
              <w:ind w:left="175" w:right="138" w:firstLine="7"/>
              <w:rPr>
                <w:rFonts w:ascii="Times New Roman" w:hAnsi="Times New Roman"/>
                <w:sz w:val="10"/>
                <w:szCs w:val="10"/>
              </w:rPr>
            </w:pPr>
          </w:p>
        </w:tc>
        <w:tc>
          <w:tcPr>
            <w:tcW w:w="5494" w:type="dxa"/>
            <w:gridSpan w:val="6"/>
            <w:shd w:val="clear" w:color="auto" w:fill="auto"/>
          </w:tcPr>
          <w:p w14:paraId="633F8A80" w14:textId="77777777" w:rsidR="003A05A3" w:rsidRPr="00E16672" w:rsidRDefault="003A05A3" w:rsidP="00843027">
            <w:pPr>
              <w:tabs>
                <w:tab w:val="left" w:pos="107"/>
                <w:tab w:val="left" w:pos="287"/>
                <w:tab w:val="left" w:pos="390"/>
              </w:tabs>
              <w:snapToGrid w:val="0"/>
              <w:ind w:left="175" w:right="100" w:firstLine="7"/>
              <w:rPr>
                <w:rFonts w:ascii="Times New Roman" w:hAnsi="Times New Roman"/>
                <w:sz w:val="16"/>
                <w:szCs w:val="16"/>
                <w:lang w:val="en-GB"/>
              </w:rPr>
            </w:pPr>
            <w:r w:rsidRPr="00E16672">
              <w:rPr>
                <w:rFonts w:ascii="Times New Roman" w:hAnsi="Times New Roman"/>
                <w:sz w:val="16"/>
                <w:szCs w:val="16"/>
                <w:lang w:val="en-GB"/>
              </w:rPr>
              <w:t>6.</w:t>
            </w:r>
            <w:r w:rsidRPr="00E16672">
              <w:rPr>
                <w:rFonts w:ascii="Times New Roman" w:hAnsi="Times New Roman"/>
                <w:sz w:val="16"/>
                <w:szCs w:val="16"/>
                <w:lang w:val="en-US"/>
              </w:rPr>
              <w:t>3</w:t>
            </w:r>
            <w:r w:rsidRPr="00E16672">
              <w:rPr>
                <w:rFonts w:ascii="Times New Roman" w:hAnsi="Times New Roman"/>
                <w:sz w:val="16"/>
                <w:szCs w:val="16"/>
                <w:lang w:val="en-GB"/>
              </w:rPr>
              <w:t>.3. According to the relevant decision of the court.</w:t>
            </w:r>
          </w:p>
        </w:tc>
      </w:tr>
      <w:tr w:rsidR="003A05A3" w:rsidRPr="00F23413" w14:paraId="6CA81B5C" w14:textId="77777777" w:rsidTr="00242F58">
        <w:trPr>
          <w:trHeight w:val="637"/>
        </w:trPr>
        <w:tc>
          <w:tcPr>
            <w:tcW w:w="5696" w:type="dxa"/>
            <w:gridSpan w:val="8"/>
            <w:shd w:val="clear" w:color="auto" w:fill="auto"/>
          </w:tcPr>
          <w:p w14:paraId="077D860F" w14:textId="77777777" w:rsidR="003A05A3" w:rsidRPr="00E16672" w:rsidRDefault="003A05A3" w:rsidP="00843027">
            <w:pPr>
              <w:snapToGrid w:val="0"/>
              <w:ind w:left="175" w:right="138" w:firstLine="7"/>
              <w:rPr>
                <w:rFonts w:ascii="Times New Roman" w:hAnsi="Times New Roman"/>
                <w:sz w:val="16"/>
                <w:szCs w:val="16"/>
              </w:rPr>
            </w:pPr>
            <w:r w:rsidRPr="00E16672">
              <w:rPr>
                <w:rFonts w:ascii="Times New Roman" w:hAnsi="Times New Roman"/>
                <w:sz w:val="16"/>
                <w:szCs w:val="16"/>
              </w:rPr>
              <w:t xml:space="preserve">6.4. </w:t>
            </w:r>
            <w:proofErr w:type="spellStart"/>
            <w:r w:rsidRPr="00E16672">
              <w:rPr>
                <w:rFonts w:ascii="Times New Roman" w:hAnsi="Times New Roman"/>
                <w:sz w:val="16"/>
                <w:szCs w:val="16"/>
              </w:rPr>
              <w:t>Договір</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може</w:t>
            </w:r>
            <w:proofErr w:type="spellEnd"/>
            <w:r w:rsidRPr="00E16672">
              <w:rPr>
                <w:rFonts w:ascii="Times New Roman" w:hAnsi="Times New Roman"/>
                <w:sz w:val="16"/>
                <w:szCs w:val="16"/>
              </w:rPr>
              <w:t xml:space="preserve"> бути </w:t>
            </w:r>
            <w:proofErr w:type="spellStart"/>
            <w:r w:rsidRPr="00E16672">
              <w:rPr>
                <w:rFonts w:ascii="Times New Roman" w:hAnsi="Times New Roman"/>
                <w:sz w:val="16"/>
                <w:szCs w:val="16"/>
              </w:rPr>
              <w:t>розірваний</w:t>
            </w:r>
            <w:proofErr w:type="spellEnd"/>
            <w:r w:rsidRPr="00E16672">
              <w:rPr>
                <w:rFonts w:ascii="Times New Roman" w:hAnsi="Times New Roman"/>
                <w:sz w:val="16"/>
                <w:szCs w:val="16"/>
              </w:rPr>
              <w:t xml:space="preserve"> за </w:t>
            </w:r>
            <w:proofErr w:type="spellStart"/>
            <w:r w:rsidRPr="00E16672">
              <w:rPr>
                <w:rFonts w:ascii="Times New Roman" w:hAnsi="Times New Roman"/>
                <w:sz w:val="16"/>
                <w:szCs w:val="16"/>
              </w:rPr>
              <w:t>умови</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відсутності</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цінних</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паперів</w:t>
            </w:r>
            <w:proofErr w:type="spellEnd"/>
            <w:r w:rsidRPr="00E16672">
              <w:rPr>
                <w:rFonts w:ascii="Times New Roman" w:hAnsi="Times New Roman"/>
                <w:sz w:val="16"/>
                <w:szCs w:val="16"/>
              </w:rPr>
              <w:t xml:space="preserve">, прав на </w:t>
            </w:r>
            <w:proofErr w:type="spellStart"/>
            <w:r w:rsidRPr="00E16672">
              <w:rPr>
                <w:rFonts w:ascii="Times New Roman" w:hAnsi="Times New Roman"/>
                <w:sz w:val="16"/>
                <w:szCs w:val="16"/>
              </w:rPr>
              <w:t>цінні</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папери</w:t>
            </w:r>
            <w:proofErr w:type="spellEnd"/>
            <w:r w:rsidRPr="00E16672">
              <w:rPr>
                <w:rFonts w:ascii="Times New Roman" w:hAnsi="Times New Roman"/>
                <w:sz w:val="16"/>
                <w:szCs w:val="16"/>
              </w:rPr>
              <w:t xml:space="preserve"> на </w:t>
            </w:r>
            <w:proofErr w:type="spellStart"/>
            <w:r w:rsidRPr="00E16672">
              <w:rPr>
                <w:rFonts w:ascii="Times New Roman" w:hAnsi="Times New Roman"/>
                <w:sz w:val="16"/>
                <w:szCs w:val="16"/>
              </w:rPr>
              <w:t>рахунку</w:t>
            </w:r>
            <w:proofErr w:type="spellEnd"/>
            <w:r w:rsidRPr="00E16672">
              <w:rPr>
                <w:rFonts w:ascii="Times New Roman" w:hAnsi="Times New Roman"/>
                <w:sz w:val="16"/>
                <w:szCs w:val="16"/>
              </w:rPr>
              <w:t xml:space="preserve"> </w:t>
            </w:r>
            <w:r w:rsidR="00C22309" w:rsidRPr="00E16672">
              <w:rPr>
                <w:rFonts w:ascii="Times New Roman" w:hAnsi="Times New Roman"/>
                <w:sz w:val="16"/>
                <w:szCs w:val="16"/>
              </w:rPr>
              <w:t xml:space="preserve">в </w:t>
            </w:r>
            <w:proofErr w:type="spellStart"/>
            <w:r w:rsidR="00C22309" w:rsidRPr="00E16672">
              <w:rPr>
                <w:rFonts w:ascii="Times New Roman" w:hAnsi="Times New Roman"/>
                <w:sz w:val="16"/>
                <w:szCs w:val="16"/>
              </w:rPr>
              <w:t>цін</w:t>
            </w:r>
            <w:r w:rsidRPr="00E16672">
              <w:rPr>
                <w:rFonts w:ascii="Times New Roman" w:hAnsi="Times New Roman"/>
                <w:sz w:val="16"/>
                <w:szCs w:val="16"/>
              </w:rPr>
              <w:t>них</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паперах</w:t>
            </w:r>
            <w:proofErr w:type="spellEnd"/>
            <w:r w:rsidRPr="00E16672">
              <w:rPr>
                <w:rFonts w:ascii="Times New Roman" w:hAnsi="Times New Roman"/>
                <w:sz w:val="16"/>
                <w:szCs w:val="16"/>
              </w:rPr>
              <w:t xml:space="preserve"> Депонента.</w:t>
            </w:r>
          </w:p>
          <w:p w14:paraId="758CA57E" w14:textId="77777777" w:rsidR="003A05A3" w:rsidRPr="00E16672" w:rsidRDefault="003A05A3" w:rsidP="00843027">
            <w:pPr>
              <w:ind w:left="175" w:right="138" w:firstLine="7"/>
              <w:rPr>
                <w:rFonts w:ascii="Times New Roman" w:hAnsi="Times New Roman"/>
                <w:sz w:val="16"/>
                <w:szCs w:val="16"/>
              </w:rPr>
            </w:pPr>
          </w:p>
        </w:tc>
        <w:tc>
          <w:tcPr>
            <w:tcW w:w="5494" w:type="dxa"/>
            <w:gridSpan w:val="6"/>
            <w:shd w:val="clear" w:color="auto" w:fill="auto"/>
          </w:tcPr>
          <w:p w14:paraId="2FB5CDE2" w14:textId="77777777" w:rsidR="003A05A3" w:rsidRPr="00E16672" w:rsidRDefault="003A05A3" w:rsidP="00843027">
            <w:pPr>
              <w:tabs>
                <w:tab w:val="left" w:pos="287"/>
              </w:tabs>
              <w:snapToGrid w:val="0"/>
              <w:ind w:left="175" w:right="100" w:firstLine="7"/>
              <w:rPr>
                <w:rFonts w:ascii="Times New Roman" w:hAnsi="Times New Roman"/>
                <w:lang w:val="en-US"/>
              </w:rPr>
            </w:pPr>
            <w:r w:rsidRPr="00E16672">
              <w:rPr>
                <w:rFonts w:ascii="Times New Roman" w:hAnsi="Times New Roman"/>
                <w:sz w:val="16"/>
                <w:szCs w:val="16"/>
                <w:lang w:val="en-GB"/>
              </w:rPr>
              <w:t>6.</w:t>
            </w:r>
            <w:r w:rsidRPr="00E16672">
              <w:rPr>
                <w:rFonts w:ascii="Times New Roman" w:hAnsi="Times New Roman"/>
                <w:sz w:val="16"/>
                <w:szCs w:val="16"/>
                <w:lang w:val="en-US"/>
              </w:rPr>
              <w:t>4</w:t>
            </w:r>
            <w:r w:rsidRPr="00E16672">
              <w:rPr>
                <w:rFonts w:ascii="Times New Roman" w:hAnsi="Times New Roman"/>
                <w:sz w:val="16"/>
                <w:szCs w:val="16"/>
                <w:lang w:val="en-GB"/>
              </w:rPr>
              <w:t xml:space="preserve">. Agreement can be </w:t>
            </w:r>
            <w:proofErr w:type="spellStart"/>
            <w:r w:rsidRPr="00E16672">
              <w:rPr>
                <w:rFonts w:ascii="Times New Roman" w:hAnsi="Times New Roman"/>
                <w:sz w:val="16"/>
                <w:szCs w:val="16"/>
                <w:lang w:val="en-GB"/>
              </w:rPr>
              <w:t>canceled</w:t>
            </w:r>
            <w:proofErr w:type="spellEnd"/>
            <w:r w:rsidRPr="00E16672">
              <w:rPr>
                <w:rFonts w:ascii="Times New Roman" w:hAnsi="Times New Roman"/>
                <w:sz w:val="16"/>
                <w:szCs w:val="16"/>
                <w:lang w:val="en-GB"/>
              </w:rPr>
              <w:t xml:space="preserve"> in the absence of </w:t>
            </w:r>
            <w:proofErr w:type="gramStart"/>
            <w:r w:rsidRPr="00E16672">
              <w:rPr>
                <w:rFonts w:ascii="Times New Roman" w:hAnsi="Times New Roman"/>
                <w:sz w:val="16"/>
                <w:szCs w:val="16"/>
                <w:lang w:val="en-GB"/>
              </w:rPr>
              <w:t>securities,  rights</w:t>
            </w:r>
            <w:proofErr w:type="gramEnd"/>
            <w:r w:rsidRPr="00E16672">
              <w:rPr>
                <w:rFonts w:ascii="Times New Roman" w:hAnsi="Times New Roman"/>
                <w:sz w:val="16"/>
                <w:szCs w:val="16"/>
                <w:lang w:val="en-GB"/>
              </w:rPr>
              <w:t xml:space="preserve"> on securities at the Depositor’s account in securities.</w:t>
            </w:r>
          </w:p>
        </w:tc>
      </w:tr>
      <w:tr w:rsidR="003A05A3" w:rsidRPr="00F23413" w14:paraId="178FC41D" w14:textId="77777777" w:rsidTr="00242F58">
        <w:trPr>
          <w:trHeight w:val="637"/>
        </w:trPr>
        <w:tc>
          <w:tcPr>
            <w:tcW w:w="5696" w:type="dxa"/>
            <w:gridSpan w:val="8"/>
            <w:shd w:val="clear" w:color="auto" w:fill="auto"/>
          </w:tcPr>
          <w:p w14:paraId="082E8479" w14:textId="77777777" w:rsidR="003A05A3" w:rsidRPr="00E16672" w:rsidRDefault="003A05A3" w:rsidP="00843027">
            <w:pPr>
              <w:ind w:left="175" w:right="138" w:firstLine="7"/>
              <w:rPr>
                <w:rFonts w:ascii="Times New Roman" w:hAnsi="Times New Roman"/>
                <w:color w:val="000000"/>
                <w:sz w:val="16"/>
                <w:szCs w:val="16"/>
              </w:rPr>
            </w:pPr>
            <w:r w:rsidRPr="00E16672">
              <w:rPr>
                <w:rFonts w:ascii="Times New Roman" w:hAnsi="Times New Roman"/>
                <w:color w:val="000000"/>
                <w:sz w:val="16"/>
                <w:szCs w:val="16"/>
              </w:rPr>
              <w:t>6.</w:t>
            </w:r>
            <w:r w:rsidRPr="00E16672">
              <w:rPr>
                <w:rFonts w:ascii="Times New Roman" w:hAnsi="Times New Roman"/>
                <w:color w:val="000000"/>
                <w:sz w:val="16"/>
                <w:szCs w:val="16"/>
                <w:lang w:val="uk-UA"/>
              </w:rPr>
              <w:t>5</w:t>
            </w:r>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Цей</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Договір</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припиняється</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зокрема</w:t>
            </w:r>
            <w:proofErr w:type="spellEnd"/>
            <w:r w:rsidRPr="00E16672">
              <w:rPr>
                <w:rFonts w:ascii="Times New Roman" w:hAnsi="Times New Roman"/>
                <w:color w:val="000000"/>
                <w:sz w:val="16"/>
                <w:szCs w:val="16"/>
              </w:rPr>
              <w:t xml:space="preserve">, у </w:t>
            </w:r>
            <w:proofErr w:type="spellStart"/>
            <w:r w:rsidRPr="00E16672">
              <w:rPr>
                <w:rFonts w:ascii="Times New Roman" w:hAnsi="Times New Roman"/>
                <w:color w:val="000000"/>
                <w:sz w:val="16"/>
                <w:szCs w:val="16"/>
              </w:rPr>
              <w:t>разі</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закриття</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рахунку</w:t>
            </w:r>
            <w:proofErr w:type="spellEnd"/>
            <w:r w:rsidRPr="00E16672">
              <w:rPr>
                <w:rFonts w:ascii="Times New Roman" w:hAnsi="Times New Roman"/>
                <w:color w:val="000000"/>
                <w:sz w:val="16"/>
                <w:szCs w:val="16"/>
              </w:rPr>
              <w:t xml:space="preserve"> </w:t>
            </w:r>
            <w:r w:rsidR="00C22309" w:rsidRPr="00E16672">
              <w:rPr>
                <w:rFonts w:ascii="Times New Roman" w:hAnsi="Times New Roman"/>
                <w:color w:val="000000"/>
                <w:sz w:val="16"/>
                <w:szCs w:val="16"/>
              </w:rPr>
              <w:t xml:space="preserve">в </w:t>
            </w:r>
            <w:proofErr w:type="spellStart"/>
            <w:r w:rsidR="00C22309" w:rsidRPr="00E16672">
              <w:rPr>
                <w:rFonts w:ascii="Times New Roman" w:hAnsi="Times New Roman"/>
                <w:color w:val="000000"/>
                <w:sz w:val="16"/>
                <w:szCs w:val="16"/>
              </w:rPr>
              <w:t>цін</w:t>
            </w:r>
            <w:r w:rsidRPr="00E16672">
              <w:rPr>
                <w:rFonts w:ascii="Times New Roman" w:hAnsi="Times New Roman"/>
                <w:color w:val="000000"/>
                <w:sz w:val="16"/>
                <w:szCs w:val="16"/>
              </w:rPr>
              <w:t>них</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паперах</w:t>
            </w:r>
            <w:proofErr w:type="spellEnd"/>
            <w:r w:rsidRPr="00E16672">
              <w:rPr>
                <w:rFonts w:ascii="Times New Roman" w:hAnsi="Times New Roman"/>
                <w:color w:val="000000"/>
                <w:sz w:val="16"/>
                <w:szCs w:val="16"/>
              </w:rPr>
              <w:t xml:space="preserve"> за </w:t>
            </w:r>
            <w:proofErr w:type="spellStart"/>
            <w:r w:rsidRPr="00E16672">
              <w:rPr>
                <w:rFonts w:ascii="Times New Roman" w:hAnsi="Times New Roman"/>
                <w:color w:val="000000"/>
                <w:sz w:val="16"/>
                <w:szCs w:val="16"/>
              </w:rPr>
              <w:t>розпорядженням</w:t>
            </w:r>
            <w:proofErr w:type="spellEnd"/>
            <w:r w:rsidRPr="00E16672">
              <w:rPr>
                <w:rFonts w:ascii="Times New Roman" w:hAnsi="Times New Roman"/>
                <w:color w:val="000000"/>
                <w:sz w:val="16"/>
                <w:szCs w:val="16"/>
              </w:rPr>
              <w:t xml:space="preserve"> Депонента. У </w:t>
            </w:r>
            <w:proofErr w:type="spellStart"/>
            <w:r w:rsidRPr="00E16672">
              <w:rPr>
                <w:rFonts w:ascii="Times New Roman" w:hAnsi="Times New Roman"/>
                <w:color w:val="000000"/>
                <w:sz w:val="16"/>
                <w:szCs w:val="16"/>
              </w:rPr>
              <w:t>цьому</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випадку</w:t>
            </w:r>
            <w:proofErr w:type="spellEnd"/>
            <w:r w:rsidRPr="00E16672">
              <w:rPr>
                <w:rFonts w:ascii="Times New Roman" w:hAnsi="Times New Roman"/>
                <w:color w:val="000000"/>
                <w:sz w:val="16"/>
                <w:szCs w:val="16"/>
              </w:rPr>
              <w:t xml:space="preserve"> дата </w:t>
            </w:r>
            <w:proofErr w:type="spellStart"/>
            <w:r w:rsidRPr="00E16672">
              <w:rPr>
                <w:rFonts w:ascii="Times New Roman" w:hAnsi="Times New Roman"/>
                <w:color w:val="000000"/>
                <w:sz w:val="16"/>
                <w:szCs w:val="16"/>
              </w:rPr>
              <w:t>закриття</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рахунку</w:t>
            </w:r>
            <w:proofErr w:type="spellEnd"/>
            <w:r w:rsidRPr="00E16672">
              <w:rPr>
                <w:rFonts w:ascii="Times New Roman" w:hAnsi="Times New Roman"/>
                <w:color w:val="000000"/>
                <w:sz w:val="16"/>
                <w:szCs w:val="16"/>
              </w:rPr>
              <w:t xml:space="preserve"> </w:t>
            </w:r>
            <w:r w:rsidR="00C22309" w:rsidRPr="00E16672">
              <w:rPr>
                <w:rFonts w:ascii="Times New Roman" w:hAnsi="Times New Roman"/>
                <w:color w:val="000000"/>
                <w:sz w:val="16"/>
                <w:szCs w:val="16"/>
              </w:rPr>
              <w:t xml:space="preserve">в </w:t>
            </w:r>
            <w:proofErr w:type="spellStart"/>
            <w:r w:rsidR="00C22309" w:rsidRPr="00E16672">
              <w:rPr>
                <w:rFonts w:ascii="Times New Roman" w:hAnsi="Times New Roman"/>
                <w:color w:val="000000"/>
                <w:sz w:val="16"/>
                <w:szCs w:val="16"/>
              </w:rPr>
              <w:t>цін</w:t>
            </w:r>
            <w:r w:rsidRPr="00E16672">
              <w:rPr>
                <w:rFonts w:ascii="Times New Roman" w:hAnsi="Times New Roman"/>
                <w:color w:val="000000"/>
                <w:sz w:val="16"/>
                <w:szCs w:val="16"/>
              </w:rPr>
              <w:t>них</w:t>
            </w:r>
            <w:proofErr w:type="spellEnd"/>
            <w:r w:rsidRPr="00E16672">
              <w:rPr>
                <w:rFonts w:ascii="Times New Roman" w:hAnsi="Times New Roman"/>
                <w:color w:val="000000"/>
                <w:sz w:val="16"/>
                <w:szCs w:val="16"/>
              </w:rPr>
              <w:t xml:space="preserve"> </w:t>
            </w:r>
            <w:proofErr w:type="spellStart"/>
            <w:proofErr w:type="gramStart"/>
            <w:r w:rsidRPr="00E16672">
              <w:rPr>
                <w:rFonts w:ascii="Times New Roman" w:hAnsi="Times New Roman"/>
                <w:color w:val="000000"/>
                <w:sz w:val="16"/>
                <w:szCs w:val="16"/>
              </w:rPr>
              <w:t>паперах</w:t>
            </w:r>
            <w:proofErr w:type="spellEnd"/>
            <w:r w:rsidRPr="00E16672">
              <w:rPr>
                <w:rFonts w:ascii="Times New Roman" w:hAnsi="Times New Roman"/>
                <w:color w:val="000000"/>
                <w:sz w:val="16"/>
                <w:szCs w:val="16"/>
              </w:rPr>
              <w:t xml:space="preserve">  є</w:t>
            </w:r>
            <w:proofErr w:type="gram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останньою</w:t>
            </w:r>
            <w:proofErr w:type="spellEnd"/>
            <w:r w:rsidRPr="00E16672">
              <w:rPr>
                <w:rFonts w:ascii="Times New Roman" w:hAnsi="Times New Roman"/>
                <w:color w:val="000000"/>
                <w:sz w:val="16"/>
                <w:szCs w:val="16"/>
              </w:rPr>
              <w:t xml:space="preserve"> датою </w:t>
            </w:r>
            <w:proofErr w:type="spellStart"/>
            <w:r w:rsidRPr="00E16672">
              <w:rPr>
                <w:rFonts w:ascii="Times New Roman" w:hAnsi="Times New Roman"/>
                <w:color w:val="000000"/>
                <w:sz w:val="16"/>
                <w:szCs w:val="16"/>
              </w:rPr>
              <w:t>чинності</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дії</w:t>
            </w:r>
            <w:proofErr w:type="spellEnd"/>
            <w:r w:rsidRPr="00E16672">
              <w:rPr>
                <w:rFonts w:ascii="Times New Roman" w:hAnsi="Times New Roman"/>
                <w:color w:val="000000"/>
                <w:sz w:val="16"/>
                <w:szCs w:val="16"/>
              </w:rPr>
              <w:t>) Договору.</w:t>
            </w:r>
          </w:p>
          <w:p w14:paraId="7B9CC6BB" w14:textId="77777777" w:rsidR="003A05A3" w:rsidRPr="00E16672" w:rsidRDefault="003A05A3" w:rsidP="00843027">
            <w:pPr>
              <w:snapToGrid w:val="0"/>
              <w:ind w:left="175" w:right="138" w:firstLine="7"/>
              <w:rPr>
                <w:rFonts w:ascii="Times New Roman" w:hAnsi="Times New Roman"/>
                <w:color w:val="000000"/>
                <w:sz w:val="10"/>
                <w:szCs w:val="10"/>
              </w:rPr>
            </w:pPr>
          </w:p>
        </w:tc>
        <w:tc>
          <w:tcPr>
            <w:tcW w:w="5494" w:type="dxa"/>
            <w:gridSpan w:val="6"/>
            <w:shd w:val="clear" w:color="auto" w:fill="auto"/>
          </w:tcPr>
          <w:p w14:paraId="4880FDA7" w14:textId="77777777" w:rsidR="003A05A3" w:rsidRPr="00E16672" w:rsidRDefault="003A05A3" w:rsidP="00843027">
            <w:pPr>
              <w:pStyle w:val="210"/>
              <w:tabs>
                <w:tab w:val="left" w:pos="287"/>
              </w:tabs>
              <w:snapToGrid w:val="0"/>
              <w:ind w:left="175" w:right="100" w:firstLine="7"/>
              <w:rPr>
                <w:rFonts w:ascii="Times New Roman" w:hAnsi="Times New Roman"/>
                <w:color w:val="000000"/>
                <w:sz w:val="16"/>
                <w:szCs w:val="16"/>
              </w:rPr>
            </w:pPr>
            <w:r w:rsidRPr="00E16672">
              <w:rPr>
                <w:rFonts w:ascii="Times New Roman" w:hAnsi="Times New Roman"/>
                <w:color w:val="000000"/>
                <w:sz w:val="16"/>
                <w:szCs w:val="16"/>
              </w:rPr>
              <w:t xml:space="preserve">6.5. </w:t>
            </w:r>
            <w:proofErr w:type="spellStart"/>
            <w:r w:rsidRPr="00E16672">
              <w:rPr>
                <w:rFonts w:ascii="Times New Roman" w:hAnsi="Times New Roman"/>
                <w:color w:val="000000"/>
                <w:sz w:val="16"/>
                <w:szCs w:val="16"/>
              </w:rPr>
              <w:t>This</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Agreement</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is</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terminated</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particularly</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in</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the</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case</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of</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closure</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of</w:t>
            </w:r>
            <w:proofErr w:type="spellEnd"/>
            <w:r w:rsidRPr="00E16672">
              <w:rPr>
                <w:rFonts w:ascii="Times New Roman" w:hAnsi="Times New Roman"/>
                <w:color w:val="000000"/>
                <w:sz w:val="16"/>
                <w:szCs w:val="16"/>
              </w:rPr>
              <w:t xml:space="preserve"> </w:t>
            </w:r>
            <w:r w:rsidRPr="00E16672">
              <w:rPr>
                <w:rFonts w:ascii="Times New Roman" w:hAnsi="Times New Roman"/>
                <w:color w:val="000000"/>
                <w:sz w:val="16"/>
                <w:szCs w:val="16"/>
                <w:lang w:val="en-US"/>
              </w:rPr>
              <w:t xml:space="preserve">the </w:t>
            </w:r>
            <w:proofErr w:type="spellStart"/>
            <w:r w:rsidRPr="00E16672">
              <w:rPr>
                <w:rFonts w:ascii="Times New Roman" w:hAnsi="Times New Roman"/>
                <w:color w:val="000000"/>
                <w:sz w:val="16"/>
                <w:szCs w:val="16"/>
              </w:rPr>
              <w:t>account</w:t>
            </w:r>
            <w:proofErr w:type="spellEnd"/>
            <w:r w:rsidRPr="00E16672">
              <w:rPr>
                <w:rFonts w:ascii="Times New Roman" w:hAnsi="Times New Roman"/>
                <w:color w:val="000000"/>
                <w:sz w:val="16"/>
                <w:szCs w:val="16"/>
                <w:lang w:val="en-US"/>
              </w:rPr>
              <w:t xml:space="preserve"> in </w:t>
            </w:r>
            <w:proofErr w:type="spellStart"/>
            <w:r w:rsidRPr="00E16672">
              <w:rPr>
                <w:rFonts w:ascii="Times New Roman" w:hAnsi="Times New Roman"/>
                <w:color w:val="000000"/>
                <w:sz w:val="16"/>
                <w:szCs w:val="16"/>
              </w:rPr>
              <w:t>securities</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by</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order</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of</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the</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Depositor</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In</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this</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case</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the</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closing</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date</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of</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the</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account</w:t>
            </w:r>
            <w:proofErr w:type="spellEnd"/>
            <w:r w:rsidRPr="00E16672">
              <w:rPr>
                <w:rFonts w:ascii="Times New Roman" w:hAnsi="Times New Roman"/>
                <w:color w:val="000000"/>
                <w:sz w:val="16"/>
                <w:szCs w:val="16"/>
                <w:lang w:val="en-US"/>
              </w:rPr>
              <w:t xml:space="preserve"> in</w:t>
            </w:r>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securities</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is</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the</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last</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date</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of</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force</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actions</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of</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the</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Agreement</w:t>
            </w:r>
            <w:proofErr w:type="spellEnd"/>
            <w:r w:rsidRPr="00E16672">
              <w:rPr>
                <w:rFonts w:ascii="Times New Roman" w:hAnsi="Times New Roman"/>
                <w:color w:val="000000"/>
                <w:sz w:val="16"/>
                <w:szCs w:val="16"/>
              </w:rPr>
              <w:t>.</w:t>
            </w:r>
          </w:p>
        </w:tc>
      </w:tr>
      <w:tr w:rsidR="003A05A3" w:rsidRPr="00F23413" w14:paraId="7ACE98B9" w14:textId="77777777" w:rsidTr="00242F58">
        <w:trPr>
          <w:trHeight w:val="192"/>
        </w:trPr>
        <w:tc>
          <w:tcPr>
            <w:tcW w:w="5696" w:type="dxa"/>
            <w:gridSpan w:val="8"/>
            <w:shd w:val="clear" w:color="auto" w:fill="auto"/>
          </w:tcPr>
          <w:p w14:paraId="01635B37" w14:textId="77777777" w:rsidR="003A05A3" w:rsidRPr="00E16672" w:rsidRDefault="003A05A3" w:rsidP="00843027">
            <w:pPr>
              <w:snapToGrid w:val="0"/>
              <w:ind w:left="175" w:right="138" w:firstLine="7"/>
              <w:rPr>
                <w:rFonts w:ascii="Times New Roman" w:hAnsi="Times New Roman"/>
                <w:sz w:val="16"/>
                <w:szCs w:val="16"/>
              </w:rPr>
            </w:pPr>
            <w:r w:rsidRPr="00E16672">
              <w:rPr>
                <w:rFonts w:ascii="Times New Roman" w:hAnsi="Times New Roman"/>
                <w:sz w:val="16"/>
                <w:szCs w:val="16"/>
              </w:rPr>
              <w:t>6.</w:t>
            </w:r>
            <w:r w:rsidRPr="00E16672">
              <w:rPr>
                <w:rFonts w:ascii="Times New Roman" w:hAnsi="Times New Roman"/>
                <w:sz w:val="16"/>
                <w:szCs w:val="16"/>
                <w:lang w:val="uk-UA"/>
              </w:rPr>
              <w:t>6</w:t>
            </w:r>
            <w:r w:rsidRPr="00E16672">
              <w:rPr>
                <w:rFonts w:ascii="Times New Roman" w:hAnsi="Times New Roman"/>
                <w:sz w:val="16"/>
                <w:szCs w:val="16"/>
              </w:rPr>
              <w:t xml:space="preserve">. </w:t>
            </w:r>
            <w:proofErr w:type="spellStart"/>
            <w:r w:rsidRPr="00E16672">
              <w:rPr>
                <w:rFonts w:ascii="Times New Roman" w:hAnsi="Times New Roman"/>
                <w:sz w:val="16"/>
                <w:szCs w:val="16"/>
              </w:rPr>
              <w:t>Депозитарна</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установа</w:t>
            </w:r>
            <w:proofErr w:type="spellEnd"/>
            <w:r w:rsidRPr="00E16672">
              <w:rPr>
                <w:rFonts w:ascii="Times New Roman" w:hAnsi="Times New Roman"/>
                <w:sz w:val="16"/>
                <w:szCs w:val="16"/>
              </w:rPr>
              <w:t xml:space="preserve"> та Депонент </w:t>
            </w:r>
            <w:proofErr w:type="spellStart"/>
            <w:r w:rsidRPr="00E16672">
              <w:rPr>
                <w:rFonts w:ascii="Times New Roman" w:hAnsi="Times New Roman"/>
                <w:sz w:val="16"/>
                <w:szCs w:val="16"/>
              </w:rPr>
              <w:t>зобов’язані</w:t>
            </w:r>
            <w:proofErr w:type="spellEnd"/>
            <w:r w:rsidRPr="00E16672">
              <w:rPr>
                <w:rFonts w:ascii="Times New Roman" w:hAnsi="Times New Roman"/>
                <w:sz w:val="16"/>
                <w:szCs w:val="16"/>
              </w:rPr>
              <w:t xml:space="preserve"> у </w:t>
            </w:r>
            <w:proofErr w:type="spellStart"/>
            <w:r w:rsidRPr="00E16672">
              <w:rPr>
                <w:rFonts w:ascii="Times New Roman" w:hAnsi="Times New Roman"/>
                <w:sz w:val="16"/>
                <w:szCs w:val="16"/>
              </w:rPr>
              <w:t>разі</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розірвання</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цього</w:t>
            </w:r>
            <w:proofErr w:type="spellEnd"/>
            <w:r w:rsidRPr="00E16672">
              <w:rPr>
                <w:rFonts w:ascii="Times New Roman" w:hAnsi="Times New Roman"/>
                <w:sz w:val="16"/>
                <w:szCs w:val="16"/>
              </w:rPr>
              <w:t xml:space="preserve"> Договору (у тому </w:t>
            </w:r>
            <w:proofErr w:type="spellStart"/>
            <w:r w:rsidRPr="00E16672">
              <w:rPr>
                <w:rFonts w:ascii="Times New Roman" w:hAnsi="Times New Roman"/>
                <w:sz w:val="16"/>
                <w:szCs w:val="16"/>
              </w:rPr>
              <w:t>числі</w:t>
            </w:r>
            <w:proofErr w:type="spellEnd"/>
            <w:r w:rsidRPr="00E16672">
              <w:rPr>
                <w:rFonts w:ascii="Times New Roman" w:hAnsi="Times New Roman"/>
                <w:sz w:val="16"/>
                <w:szCs w:val="16"/>
              </w:rPr>
              <w:t xml:space="preserve"> у </w:t>
            </w:r>
            <w:proofErr w:type="spellStart"/>
            <w:r w:rsidRPr="00E16672">
              <w:rPr>
                <w:rFonts w:ascii="Times New Roman" w:hAnsi="Times New Roman"/>
                <w:sz w:val="16"/>
                <w:szCs w:val="16"/>
              </w:rPr>
              <w:t>зв’язку</w:t>
            </w:r>
            <w:proofErr w:type="spellEnd"/>
            <w:r w:rsidRPr="00E16672">
              <w:rPr>
                <w:rFonts w:ascii="Times New Roman" w:hAnsi="Times New Roman"/>
                <w:sz w:val="16"/>
                <w:szCs w:val="16"/>
              </w:rPr>
              <w:t xml:space="preserve"> з </w:t>
            </w:r>
            <w:proofErr w:type="spellStart"/>
            <w:r w:rsidRPr="00E16672">
              <w:rPr>
                <w:rFonts w:ascii="Times New Roman" w:hAnsi="Times New Roman"/>
                <w:sz w:val="16"/>
                <w:szCs w:val="16"/>
              </w:rPr>
              <w:t>припиненням</w:t>
            </w:r>
            <w:proofErr w:type="spellEnd"/>
            <w:r w:rsidRPr="00E16672">
              <w:rPr>
                <w:rFonts w:ascii="Times New Roman" w:hAnsi="Times New Roman"/>
                <w:sz w:val="16"/>
                <w:szCs w:val="16"/>
              </w:rPr>
              <w:t xml:space="preserve"> Депозитарною </w:t>
            </w:r>
            <w:proofErr w:type="spellStart"/>
            <w:r w:rsidRPr="00E16672">
              <w:rPr>
                <w:rFonts w:ascii="Times New Roman" w:hAnsi="Times New Roman"/>
                <w:sz w:val="16"/>
                <w:szCs w:val="16"/>
              </w:rPr>
              <w:t>установою</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провадження</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професійної</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діяльності</w:t>
            </w:r>
            <w:proofErr w:type="spellEnd"/>
            <w:r w:rsidRPr="00E16672">
              <w:rPr>
                <w:rFonts w:ascii="Times New Roman" w:hAnsi="Times New Roman"/>
                <w:sz w:val="16"/>
                <w:szCs w:val="16"/>
              </w:rPr>
              <w:t xml:space="preserve"> </w:t>
            </w:r>
            <w:proofErr w:type="gramStart"/>
            <w:r w:rsidRPr="00E16672">
              <w:rPr>
                <w:rFonts w:ascii="Times New Roman" w:hAnsi="Times New Roman"/>
                <w:sz w:val="16"/>
                <w:szCs w:val="16"/>
              </w:rPr>
              <w:t>на фондовому ринку</w:t>
            </w:r>
            <w:proofErr w:type="gramEnd"/>
            <w:r w:rsidRPr="00E16672">
              <w:rPr>
                <w:rFonts w:ascii="Times New Roman" w:hAnsi="Times New Roman"/>
                <w:sz w:val="16"/>
                <w:szCs w:val="16"/>
              </w:rPr>
              <w:t xml:space="preserve"> – </w:t>
            </w:r>
            <w:proofErr w:type="spellStart"/>
            <w:r w:rsidRPr="00E16672">
              <w:rPr>
                <w:rFonts w:ascii="Times New Roman" w:hAnsi="Times New Roman"/>
                <w:sz w:val="16"/>
                <w:szCs w:val="16"/>
              </w:rPr>
              <w:t>депозитарної</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діяльності</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діяти</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відповідно</w:t>
            </w:r>
            <w:proofErr w:type="spellEnd"/>
            <w:r w:rsidRPr="00E16672">
              <w:rPr>
                <w:rFonts w:ascii="Times New Roman" w:hAnsi="Times New Roman"/>
                <w:sz w:val="16"/>
                <w:szCs w:val="16"/>
              </w:rPr>
              <w:t xml:space="preserve"> до </w:t>
            </w:r>
            <w:proofErr w:type="spellStart"/>
            <w:r w:rsidRPr="00E16672">
              <w:rPr>
                <w:rFonts w:ascii="Times New Roman" w:hAnsi="Times New Roman"/>
                <w:sz w:val="16"/>
                <w:szCs w:val="16"/>
              </w:rPr>
              <w:t>вимог</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законодавства</w:t>
            </w:r>
            <w:proofErr w:type="spellEnd"/>
            <w:r w:rsidRPr="00E16672">
              <w:rPr>
                <w:rFonts w:ascii="Times New Roman" w:hAnsi="Times New Roman"/>
                <w:sz w:val="16"/>
                <w:szCs w:val="16"/>
              </w:rPr>
              <w:t xml:space="preserve"> та </w:t>
            </w:r>
            <w:proofErr w:type="spellStart"/>
            <w:r w:rsidRPr="00E16672">
              <w:rPr>
                <w:rFonts w:ascii="Times New Roman" w:hAnsi="Times New Roman"/>
                <w:sz w:val="16"/>
                <w:szCs w:val="16"/>
              </w:rPr>
              <w:t>цього</w:t>
            </w:r>
            <w:proofErr w:type="spellEnd"/>
            <w:r w:rsidRPr="00E16672">
              <w:rPr>
                <w:rFonts w:ascii="Times New Roman" w:hAnsi="Times New Roman"/>
                <w:sz w:val="16"/>
                <w:szCs w:val="16"/>
              </w:rPr>
              <w:t xml:space="preserve"> Договору.</w:t>
            </w:r>
          </w:p>
          <w:p w14:paraId="5BAEF5D1" w14:textId="77777777" w:rsidR="003A05A3" w:rsidRPr="00E16672" w:rsidRDefault="003A05A3" w:rsidP="00843027">
            <w:pPr>
              <w:ind w:left="175" w:right="138" w:firstLine="7"/>
              <w:rPr>
                <w:rFonts w:ascii="Times New Roman" w:hAnsi="Times New Roman"/>
                <w:sz w:val="10"/>
                <w:szCs w:val="10"/>
              </w:rPr>
            </w:pPr>
          </w:p>
        </w:tc>
        <w:tc>
          <w:tcPr>
            <w:tcW w:w="5494" w:type="dxa"/>
            <w:gridSpan w:val="6"/>
            <w:shd w:val="clear" w:color="auto" w:fill="auto"/>
          </w:tcPr>
          <w:p w14:paraId="62192C8A" w14:textId="77777777" w:rsidR="003A05A3" w:rsidRPr="00E16672" w:rsidRDefault="003A05A3" w:rsidP="00843027">
            <w:pPr>
              <w:pStyle w:val="210"/>
              <w:tabs>
                <w:tab w:val="left" w:pos="287"/>
              </w:tabs>
              <w:snapToGrid w:val="0"/>
              <w:ind w:left="175" w:right="100" w:firstLine="7"/>
              <w:rPr>
                <w:rFonts w:ascii="Times New Roman" w:hAnsi="Times New Roman"/>
                <w:sz w:val="16"/>
                <w:szCs w:val="16"/>
              </w:rPr>
            </w:pPr>
            <w:r w:rsidRPr="00E16672">
              <w:rPr>
                <w:rFonts w:ascii="Times New Roman" w:hAnsi="Times New Roman"/>
                <w:sz w:val="16"/>
                <w:szCs w:val="16"/>
              </w:rPr>
              <w:t xml:space="preserve">6.6. </w:t>
            </w:r>
            <w:proofErr w:type="spellStart"/>
            <w:r w:rsidRPr="00E16672">
              <w:rPr>
                <w:rFonts w:ascii="Times New Roman" w:hAnsi="Times New Roman"/>
                <w:sz w:val="16"/>
                <w:szCs w:val="16"/>
              </w:rPr>
              <w:t>Depository</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institution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and</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Depositor</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shall</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in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event</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of</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termination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of</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this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Agreement</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including</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in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connection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with</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termination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of</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r w:rsidRPr="00E16672">
              <w:rPr>
                <w:rFonts w:ascii="Times New Roman" w:hAnsi="Times New Roman"/>
                <w:sz w:val="16"/>
                <w:szCs w:val="16"/>
                <w:lang w:val="en-US"/>
              </w:rPr>
              <w:t>D</w:t>
            </w:r>
            <w:proofErr w:type="spellStart"/>
            <w:r w:rsidRPr="00E16672">
              <w:rPr>
                <w:rFonts w:ascii="Times New Roman" w:hAnsi="Times New Roman"/>
                <w:sz w:val="16"/>
                <w:szCs w:val="16"/>
              </w:rPr>
              <w:t>epository</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institution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carrying</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out</w:t>
            </w:r>
            <w:proofErr w:type="spellEnd"/>
            <w:r w:rsidRPr="00E16672">
              <w:rPr>
                <w:rFonts w:ascii="Times New Roman" w:hAnsi="Times New Roman"/>
                <w:sz w:val="16"/>
                <w:szCs w:val="16"/>
              </w:rPr>
              <w:t xml:space="preserve"> a </w:t>
            </w:r>
            <w:proofErr w:type="spellStart"/>
            <w:r w:rsidRPr="00E16672">
              <w:rPr>
                <w:rFonts w:ascii="Times New Roman" w:hAnsi="Times New Roman"/>
                <w:sz w:val="16"/>
                <w:szCs w:val="16"/>
              </w:rPr>
              <w:t>professional</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activity</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stock</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market</w:t>
            </w:r>
            <w:proofErr w:type="spellEnd"/>
            <w:r w:rsidRPr="00E16672">
              <w:rPr>
                <w:rFonts w:ascii="Times New Roman" w:hAnsi="Times New Roman"/>
                <w:sz w:val="16"/>
                <w:szCs w:val="16"/>
              </w:rPr>
              <w:t xml:space="preserve"> - </w:t>
            </w:r>
            <w:proofErr w:type="spellStart"/>
            <w:r w:rsidRPr="00E16672">
              <w:rPr>
                <w:rFonts w:ascii="Times New Roman" w:hAnsi="Times New Roman"/>
                <w:sz w:val="16"/>
                <w:szCs w:val="16"/>
              </w:rPr>
              <w:t>depository</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activities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act</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in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accordance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with</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law</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and</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this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Agreement</w:t>
            </w:r>
            <w:proofErr w:type="spellEnd"/>
            <w:r w:rsidRPr="00E16672">
              <w:rPr>
                <w:rFonts w:ascii="Times New Roman" w:hAnsi="Times New Roman"/>
                <w:sz w:val="16"/>
                <w:szCs w:val="16"/>
              </w:rPr>
              <w:t>.</w:t>
            </w:r>
          </w:p>
        </w:tc>
      </w:tr>
      <w:tr w:rsidR="003A05A3" w:rsidRPr="00F23413" w14:paraId="1720FF81" w14:textId="77777777" w:rsidTr="00242F58">
        <w:trPr>
          <w:trHeight w:val="192"/>
        </w:trPr>
        <w:tc>
          <w:tcPr>
            <w:tcW w:w="5696" w:type="dxa"/>
            <w:gridSpan w:val="8"/>
            <w:shd w:val="clear" w:color="auto" w:fill="auto"/>
          </w:tcPr>
          <w:p w14:paraId="62C5F54E" w14:textId="77777777" w:rsidR="003A05A3" w:rsidRPr="00E16672" w:rsidRDefault="003A05A3" w:rsidP="00022F5F">
            <w:pPr>
              <w:snapToGrid w:val="0"/>
              <w:ind w:left="175" w:right="138" w:firstLine="7"/>
              <w:jc w:val="left"/>
              <w:rPr>
                <w:rFonts w:ascii="Times New Roman" w:hAnsi="Times New Roman"/>
                <w:sz w:val="16"/>
                <w:szCs w:val="16"/>
              </w:rPr>
            </w:pPr>
            <w:r w:rsidRPr="00E16672">
              <w:rPr>
                <w:rFonts w:ascii="Times New Roman" w:hAnsi="Times New Roman"/>
                <w:sz w:val="16"/>
                <w:szCs w:val="16"/>
              </w:rPr>
              <w:t>6.</w:t>
            </w:r>
            <w:r w:rsidRPr="00E16672">
              <w:rPr>
                <w:rFonts w:ascii="Times New Roman" w:hAnsi="Times New Roman"/>
                <w:sz w:val="16"/>
                <w:szCs w:val="16"/>
                <w:lang w:val="uk-UA"/>
              </w:rPr>
              <w:t>7</w:t>
            </w:r>
            <w:r w:rsidRPr="00E16672">
              <w:rPr>
                <w:rFonts w:ascii="Times New Roman" w:hAnsi="Times New Roman"/>
                <w:sz w:val="16"/>
                <w:szCs w:val="16"/>
              </w:rPr>
              <w:t xml:space="preserve">. </w:t>
            </w:r>
            <w:proofErr w:type="spellStart"/>
            <w:r w:rsidRPr="00E16672">
              <w:rPr>
                <w:rFonts w:ascii="Times New Roman" w:hAnsi="Times New Roman"/>
                <w:sz w:val="16"/>
                <w:szCs w:val="16"/>
              </w:rPr>
              <w:t>Питання</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що</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виникають</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під</w:t>
            </w:r>
            <w:proofErr w:type="spellEnd"/>
            <w:r w:rsidRPr="00E16672">
              <w:rPr>
                <w:rFonts w:ascii="Times New Roman" w:hAnsi="Times New Roman"/>
                <w:sz w:val="16"/>
                <w:szCs w:val="16"/>
              </w:rPr>
              <w:t xml:space="preserve"> час </w:t>
            </w:r>
            <w:proofErr w:type="spellStart"/>
            <w:r w:rsidRPr="00E16672">
              <w:rPr>
                <w:rFonts w:ascii="Times New Roman" w:hAnsi="Times New Roman"/>
                <w:sz w:val="16"/>
                <w:szCs w:val="16"/>
              </w:rPr>
              <w:t>укладення</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виконання</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зміни</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розірвання</w:t>
            </w:r>
            <w:proofErr w:type="spellEnd"/>
            <w:r w:rsidRPr="00E16672">
              <w:rPr>
                <w:rFonts w:ascii="Times New Roman" w:hAnsi="Times New Roman"/>
                <w:sz w:val="16"/>
                <w:szCs w:val="16"/>
              </w:rPr>
              <w:t xml:space="preserve"> Договору і не </w:t>
            </w:r>
            <w:proofErr w:type="spellStart"/>
            <w:r w:rsidRPr="00E16672">
              <w:rPr>
                <w:rFonts w:ascii="Times New Roman" w:hAnsi="Times New Roman"/>
                <w:sz w:val="16"/>
                <w:szCs w:val="16"/>
              </w:rPr>
              <w:t>врегульовані</w:t>
            </w:r>
            <w:proofErr w:type="spellEnd"/>
            <w:r w:rsidRPr="00E16672">
              <w:rPr>
                <w:rFonts w:ascii="Times New Roman" w:hAnsi="Times New Roman"/>
                <w:sz w:val="16"/>
                <w:szCs w:val="16"/>
              </w:rPr>
              <w:t xml:space="preserve"> ним, </w:t>
            </w:r>
            <w:proofErr w:type="spellStart"/>
            <w:r w:rsidRPr="00E16672">
              <w:rPr>
                <w:rFonts w:ascii="Times New Roman" w:hAnsi="Times New Roman"/>
                <w:sz w:val="16"/>
                <w:szCs w:val="16"/>
              </w:rPr>
              <w:t>регулюються</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Цивільним</w:t>
            </w:r>
            <w:proofErr w:type="spellEnd"/>
            <w:r w:rsidRPr="00E16672">
              <w:rPr>
                <w:rFonts w:ascii="Times New Roman" w:hAnsi="Times New Roman"/>
                <w:sz w:val="16"/>
                <w:szCs w:val="16"/>
              </w:rPr>
              <w:t xml:space="preserve"> кодексом </w:t>
            </w:r>
            <w:proofErr w:type="spellStart"/>
            <w:r w:rsidRPr="00E16672">
              <w:rPr>
                <w:rFonts w:ascii="Times New Roman" w:hAnsi="Times New Roman"/>
                <w:sz w:val="16"/>
                <w:szCs w:val="16"/>
              </w:rPr>
              <w:t>України</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Господарським</w:t>
            </w:r>
            <w:proofErr w:type="spellEnd"/>
            <w:r w:rsidRPr="00E16672">
              <w:rPr>
                <w:rFonts w:ascii="Times New Roman" w:hAnsi="Times New Roman"/>
                <w:sz w:val="16"/>
                <w:szCs w:val="16"/>
              </w:rPr>
              <w:t xml:space="preserve"> кодексом </w:t>
            </w:r>
            <w:proofErr w:type="spellStart"/>
            <w:r w:rsidRPr="00E16672">
              <w:rPr>
                <w:rFonts w:ascii="Times New Roman" w:hAnsi="Times New Roman"/>
                <w:sz w:val="16"/>
                <w:szCs w:val="16"/>
              </w:rPr>
              <w:t>України</w:t>
            </w:r>
            <w:proofErr w:type="spellEnd"/>
            <w:r w:rsidRPr="00E16672">
              <w:rPr>
                <w:rFonts w:ascii="Times New Roman" w:hAnsi="Times New Roman"/>
                <w:sz w:val="16"/>
                <w:szCs w:val="16"/>
              </w:rPr>
              <w:t xml:space="preserve">, Законом </w:t>
            </w:r>
            <w:proofErr w:type="spellStart"/>
            <w:r w:rsidRPr="00E16672">
              <w:rPr>
                <w:rFonts w:ascii="Times New Roman" w:hAnsi="Times New Roman"/>
                <w:sz w:val="16"/>
                <w:szCs w:val="16"/>
              </w:rPr>
              <w:t>України</w:t>
            </w:r>
            <w:proofErr w:type="spellEnd"/>
            <w:r w:rsidRPr="00E16672">
              <w:rPr>
                <w:rFonts w:ascii="Times New Roman" w:hAnsi="Times New Roman"/>
                <w:sz w:val="16"/>
                <w:szCs w:val="16"/>
              </w:rPr>
              <w:t xml:space="preserve"> </w:t>
            </w:r>
            <w:r w:rsidR="00022F5F">
              <w:rPr>
                <w:rFonts w:ascii="Times New Roman" w:hAnsi="Times New Roman"/>
                <w:sz w:val="16"/>
                <w:szCs w:val="16"/>
              </w:rPr>
              <w:t>"</w:t>
            </w:r>
            <w:r w:rsidRPr="00E16672">
              <w:rPr>
                <w:rFonts w:ascii="Times New Roman" w:hAnsi="Times New Roman"/>
                <w:sz w:val="16"/>
                <w:szCs w:val="16"/>
              </w:rPr>
              <w:t xml:space="preserve">Про </w:t>
            </w:r>
            <w:proofErr w:type="spellStart"/>
            <w:r w:rsidRPr="00E16672">
              <w:rPr>
                <w:rFonts w:ascii="Times New Roman" w:hAnsi="Times New Roman"/>
                <w:sz w:val="16"/>
                <w:szCs w:val="16"/>
              </w:rPr>
              <w:t>депозитарну</w:t>
            </w:r>
            <w:proofErr w:type="spellEnd"/>
            <w:r w:rsidRPr="00E16672">
              <w:rPr>
                <w:rFonts w:ascii="Times New Roman" w:hAnsi="Times New Roman"/>
                <w:sz w:val="16"/>
                <w:szCs w:val="16"/>
              </w:rPr>
              <w:t xml:space="preserve"> систему </w:t>
            </w:r>
            <w:proofErr w:type="spellStart"/>
            <w:r w:rsidRPr="00E16672">
              <w:rPr>
                <w:rFonts w:ascii="Times New Roman" w:hAnsi="Times New Roman"/>
                <w:sz w:val="16"/>
                <w:szCs w:val="16"/>
              </w:rPr>
              <w:t>України</w:t>
            </w:r>
            <w:proofErr w:type="spellEnd"/>
            <w:r w:rsidR="00022F5F">
              <w:rPr>
                <w:rFonts w:ascii="Times New Roman" w:hAnsi="Times New Roman"/>
                <w:sz w:val="16"/>
                <w:szCs w:val="16"/>
              </w:rPr>
              <w:t>"</w:t>
            </w:r>
            <w:r w:rsidRPr="00E16672">
              <w:rPr>
                <w:rFonts w:ascii="Times New Roman" w:hAnsi="Times New Roman"/>
                <w:sz w:val="16"/>
                <w:szCs w:val="16"/>
              </w:rPr>
              <w:t>, нормативно-</w:t>
            </w:r>
            <w:proofErr w:type="spellStart"/>
            <w:r w:rsidRPr="00E16672">
              <w:rPr>
                <w:rFonts w:ascii="Times New Roman" w:hAnsi="Times New Roman"/>
                <w:sz w:val="16"/>
                <w:szCs w:val="16"/>
              </w:rPr>
              <w:t>правовими</w:t>
            </w:r>
            <w:proofErr w:type="spellEnd"/>
            <w:r w:rsidRPr="00E16672">
              <w:rPr>
                <w:rFonts w:ascii="Times New Roman" w:hAnsi="Times New Roman"/>
                <w:sz w:val="16"/>
                <w:szCs w:val="16"/>
              </w:rPr>
              <w:t xml:space="preserve"> актами НКЦПФР.</w:t>
            </w:r>
          </w:p>
        </w:tc>
        <w:tc>
          <w:tcPr>
            <w:tcW w:w="5494" w:type="dxa"/>
            <w:gridSpan w:val="6"/>
            <w:shd w:val="clear" w:color="auto" w:fill="auto"/>
          </w:tcPr>
          <w:p w14:paraId="5F60942A" w14:textId="77777777" w:rsidR="003A05A3" w:rsidRPr="00E16672" w:rsidRDefault="003A05A3" w:rsidP="00843027">
            <w:pPr>
              <w:tabs>
                <w:tab w:val="left" w:pos="287"/>
              </w:tabs>
              <w:snapToGrid w:val="0"/>
              <w:ind w:left="175" w:right="100" w:firstLine="7"/>
              <w:rPr>
                <w:rFonts w:ascii="Times New Roman" w:hAnsi="Times New Roman"/>
                <w:sz w:val="16"/>
                <w:szCs w:val="16"/>
                <w:lang w:val="en-GB"/>
              </w:rPr>
            </w:pPr>
            <w:r w:rsidRPr="00E16672">
              <w:rPr>
                <w:rFonts w:ascii="Times New Roman" w:hAnsi="Times New Roman"/>
                <w:sz w:val="16"/>
                <w:szCs w:val="16"/>
                <w:lang w:val="en-GB"/>
              </w:rPr>
              <w:t>6.</w:t>
            </w:r>
            <w:r w:rsidRPr="00E16672">
              <w:rPr>
                <w:rFonts w:ascii="Times New Roman" w:hAnsi="Times New Roman"/>
                <w:sz w:val="16"/>
                <w:szCs w:val="16"/>
                <w:lang w:val="uk-UA"/>
              </w:rPr>
              <w:t>7</w:t>
            </w:r>
            <w:r w:rsidRPr="00E16672">
              <w:rPr>
                <w:rFonts w:ascii="Times New Roman" w:hAnsi="Times New Roman"/>
                <w:sz w:val="16"/>
                <w:szCs w:val="16"/>
                <w:lang w:val="en-GB"/>
              </w:rPr>
              <w:t>. Matters arising from the making, performance, modification, and termination of the Agreement not settled it shall be governed by the Civil Code of Ukraine, the Commercial Code of Ukraine, the Law of Ukraine "On the Depository System of Ukraine" regulations NCSSM.</w:t>
            </w:r>
          </w:p>
        </w:tc>
      </w:tr>
      <w:tr w:rsidR="003A05A3" w:rsidRPr="00F23413" w14:paraId="053235C1" w14:textId="77777777" w:rsidTr="00242F58">
        <w:trPr>
          <w:trHeight w:val="192"/>
        </w:trPr>
        <w:tc>
          <w:tcPr>
            <w:tcW w:w="5696" w:type="dxa"/>
            <w:gridSpan w:val="8"/>
            <w:shd w:val="clear" w:color="auto" w:fill="auto"/>
          </w:tcPr>
          <w:p w14:paraId="67F6AF15" w14:textId="77777777" w:rsidR="003A05A3" w:rsidRPr="00E16672" w:rsidRDefault="003A05A3" w:rsidP="00843027">
            <w:pPr>
              <w:snapToGrid w:val="0"/>
              <w:ind w:left="175" w:right="138" w:firstLine="7"/>
              <w:rPr>
                <w:rFonts w:ascii="Times New Roman" w:hAnsi="Times New Roman"/>
                <w:b/>
                <w:caps/>
                <w:sz w:val="16"/>
                <w:szCs w:val="16"/>
                <w:lang w:val="en-US"/>
              </w:rPr>
            </w:pPr>
          </w:p>
          <w:p w14:paraId="7DA7B3CF" w14:textId="77777777" w:rsidR="003A05A3" w:rsidRPr="00E16672" w:rsidRDefault="003A05A3" w:rsidP="00843027">
            <w:pPr>
              <w:snapToGrid w:val="0"/>
              <w:ind w:left="175" w:right="138" w:firstLine="7"/>
              <w:jc w:val="center"/>
              <w:rPr>
                <w:rFonts w:ascii="Times New Roman" w:hAnsi="Times New Roman"/>
                <w:b/>
                <w:caps/>
                <w:sz w:val="16"/>
                <w:szCs w:val="16"/>
              </w:rPr>
            </w:pPr>
            <w:r w:rsidRPr="00E16672">
              <w:rPr>
                <w:rFonts w:ascii="Times New Roman" w:hAnsi="Times New Roman"/>
                <w:b/>
                <w:caps/>
                <w:sz w:val="16"/>
                <w:szCs w:val="16"/>
              </w:rPr>
              <w:t>7. Порядок розкриття інформації, що належить</w:t>
            </w:r>
          </w:p>
          <w:p w14:paraId="25A9FDB8" w14:textId="77777777" w:rsidR="003A05A3" w:rsidRPr="00E16672" w:rsidRDefault="003A05A3" w:rsidP="00843027">
            <w:pPr>
              <w:ind w:left="175" w:right="138" w:firstLine="7"/>
              <w:jc w:val="center"/>
              <w:rPr>
                <w:rFonts w:ascii="Times New Roman" w:hAnsi="Times New Roman"/>
                <w:b/>
                <w:caps/>
                <w:sz w:val="16"/>
                <w:szCs w:val="16"/>
              </w:rPr>
            </w:pPr>
            <w:r w:rsidRPr="00E16672">
              <w:rPr>
                <w:rFonts w:ascii="Times New Roman" w:hAnsi="Times New Roman"/>
                <w:b/>
                <w:caps/>
                <w:sz w:val="16"/>
                <w:szCs w:val="16"/>
              </w:rPr>
              <w:t>до інформації з обмеженим доступоМ</w:t>
            </w:r>
          </w:p>
          <w:p w14:paraId="05773684" w14:textId="77777777" w:rsidR="003A05A3" w:rsidRPr="00E16672" w:rsidRDefault="003A05A3" w:rsidP="00843027">
            <w:pPr>
              <w:ind w:left="175" w:right="138" w:firstLine="7"/>
              <w:jc w:val="center"/>
              <w:rPr>
                <w:rFonts w:ascii="Times New Roman" w:hAnsi="Times New Roman"/>
                <w:b/>
                <w:caps/>
                <w:sz w:val="16"/>
                <w:szCs w:val="16"/>
              </w:rPr>
            </w:pPr>
          </w:p>
          <w:p w14:paraId="4973220C" w14:textId="77777777" w:rsidR="003A05A3" w:rsidRPr="00E16672" w:rsidRDefault="003A05A3" w:rsidP="00022F5F">
            <w:pPr>
              <w:ind w:left="175" w:right="138" w:firstLine="7"/>
              <w:jc w:val="left"/>
              <w:rPr>
                <w:rFonts w:ascii="Times New Roman" w:hAnsi="Times New Roman"/>
                <w:sz w:val="16"/>
                <w:szCs w:val="16"/>
              </w:rPr>
            </w:pPr>
            <w:r w:rsidRPr="00E16672">
              <w:rPr>
                <w:rFonts w:ascii="Times New Roman" w:hAnsi="Times New Roman"/>
                <w:sz w:val="16"/>
                <w:szCs w:val="16"/>
              </w:rPr>
              <w:t xml:space="preserve">7.1. </w:t>
            </w:r>
            <w:proofErr w:type="spellStart"/>
            <w:r w:rsidRPr="00E16672">
              <w:rPr>
                <w:rFonts w:ascii="Times New Roman" w:hAnsi="Times New Roman"/>
                <w:sz w:val="16"/>
                <w:szCs w:val="16"/>
              </w:rPr>
              <w:t>Інформація</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що</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міститься</w:t>
            </w:r>
            <w:proofErr w:type="spellEnd"/>
            <w:r w:rsidRPr="00E16672">
              <w:rPr>
                <w:rFonts w:ascii="Times New Roman" w:hAnsi="Times New Roman"/>
                <w:sz w:val="16"/>
                <w:szCs w:val="16"/>
              </w:rPr>
              <w:t xml:space="preserve"> у </w:t>
            </w:r>
            <w:proofErr w:type="spellStart"/>
            <w:r w:rsidRPr="00E16672">
              <w:rPr>
                <w:rFonts w:ascii="Times New Roman" w:hAnsi="Times New Roman"/>
                <w:sz w:val="16"/>
                <w:szCs w:val="16"/>
              </w:rPr>
              <w:t>системі</w:t>
            </w:r>
            <w:proofErr w:type="spellEnd"/>
            <w:r w:rsidRPr="00E16672">
              <w:rPr>
                <w:rFonts w:ascii="Times New Roman" w:hAnsi="Times New Roman"/>
                <w:sz w:val="16"/>
                <w:szCs w:val="16"/>
              </w:rPr>
              <w:t xml:space="preserve"> депозитарного </w:t>
            </w:r>
            <w:proofErr w:type="spellStart"/>
            <w:r w:rsidRPr="00E16672">
              <w:rPr>
                <w:rFonts w:ascii="Times New Roman" w:hAnsi="Times New Roman"/>
                <w:sz w:val="16"/>
                <w:szCs w:val="16"/>
              </w:rPr>
              <w:t>обліку</w:t>
            </w:r>
            <w:proofErr w:type="spellEnd"/>
            <w:r w:rsidRPr="00E16672">
              <w:rPr>
                <w:rFonts w:ascii="Times New Roman" w:hAnsi="Times New Roman"/>
                <w:sz w:val="16"/>
                <w:szCs w:val="16"/>
              </w:rPr>
              <w:t xml:space="preserve">, є </w:t>
            </w:r>
            <w:proofErr w:type="spellStart"/>
            <w:r w:rsidRPr="00E16672">
              <w:rPr>
                <w:rFonts w:ascii="Times New Roman" w:hAnsi="Times New Roman"/>
                <w:sz w:val="16"/>
                <w:szCs w:val="16"/>
              </w:rPr>
              <w:t>інформацією</w:t>
            </w:r>
            <w:proofErr w:type="spellEnd"/>
            <w:r w:rsidRPr="00E16672">
              <w:rPr>
                <w:rFonts w:ascii="Times New Roman" w:hAnsi="Times New Roman"/>
                <w:sz w:val="16"/>
                <w:szCs w:val="16"/>
              </w:rPr>
              <w:t xml:space="preserve"> з </w:t>
            </w:r>
            <w:proofErr w:type="spellStart"/>
            <w:r w:rsidRPr="00E16672">
              <w:rPr>
                <w:rFonts w:ascii="Times New Roman" w:hAnsi="Times New Roman"/>
                <w:sz w:val="16"/>
                <w:szCs w:val="16"/>
              </w:rPr>
              <w:t>обмеженим</w:t>
            </w:r>
            <w:proofErr w:type="spellEnd"/>
            <w:r w:rsidRPr="00E16672">
              <w:rPr>
                <w:rFonts w:ascii="Times New Roman" w:hAnsi="Times New Roman"/>
                <w:sz w:val="16"/>
                <w:szCs w:val="16"/>
              </w:rPr>
              <w:t xml:space="preserve"> доступом, </w:t>
            </w:r>
            <w:proofErr w:type="spellStart"/>
            <w:r w:rsidRPr="00E16672">
              <w:rPr>
                <w:rFonts w:ascii="Times New Roman" w:hAnsi="Times New Roman"/>
                <w:sz w:val="16"/>
                <w:szCs w:val="16"/>
              </w:rPr>
              <w:t>охороняється</w:t>
            </w:r>
            <w:proofErr w:type="spellEnd"/>
            <w:r w:rsidRPr="00E16672">
              <w:rPr>
                <w:rFonts w:ascii="Times New Roman" w:hAnsi="Times New Roman"/>
                <w:sz w:val="16"/>
                <w:szCs w:val="16"/>
              </w:rPr>
              <w:t xml:space="preserve"> законом та не </w:t>
            </w:r>
            <w:proofErr w:type="spellStart"/>
            <w:r w:rsidRPr="00E16672">
              <w:rPr>
                <w:rFonts w:ascii="Times New Roman" w:hAnsi="Times New Roman"/>
                <w:sz w:val="16"/>
                <w:szCs w:val="16"/>
              </w:rPr>
              <w:t>підлягає</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розголошенню</w:t>
            </w:r>
            <w:proofErr w:type="spellEnd"/>
            <w:r w:rsidRPr="00E16672">
              <w:rPr>
                <w:rFonts w:ascii="Times New Roman" w:hAnsi="Times New Roman"/>
                <w:sz w:val="16"/>
                <w:szCs w:val="16"/>
              </w:rPr>
              <w:t xml:space="preserve"> Депозитарною </w:t>
            </w:r>
            <w:proofErr w:type="spellStart"/>
            <w:r w:rsidRPr="00E16672">
              <w:rPr>
                <w:rFonts w:ascii="Times New Roman" w:hAnsi="Times New Roman"/>
                <w:sz w:val="16"/>
                <w:szCs w:val="16"/>
              </w:rPr>
              <w:t>установою</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крім</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випадків</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передбачених</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статтею</w:t>
            </w:r>
            <w:proofErr w:type="spellEnd"/>
            <w:r w:rsidRPr="00E16672">
              <w:rPr>
                <w:rFonts w:ascii="Times New Roman" w:hAnsi="Times New Roman"/>
                <w:sz w:val="16"/>
                <w:szCs w:val="16"/>
              </w:rPr>
              <w:t xml:space="preserve"> 25 Закону </w:t>
            </w:r>
            <w:proofErr w:type="spellStart"/>
            <w:r w:rsidRPr="00E16672">
              <w:rPr>
                <w:rFonts w:ascii="Times New Roman" w:hAnsi="Times New Roman"/>
                <w:sz w:val="16"/>
                <w:szCs w:val="16"/>
              </w:rPr>
              <w:t>України</w:t>
            </w:r>
            <w:proofErr w:type="spellEnd"/>
            <w:r w:rsidRPr="00E16672">
              <w:rPr>
                <w:rFonts w:ascii="Times New Roman" w:hAnsi="Times New Roman"/>
                <w:sz w:val="16"/>
                <w:szCs w:val="16"/>
              </w:rPr>
              <w:t xml:space="preserve"> </w:t>
            </w:r>
            <w:r w:rsidR="00022F5F">
              <w:rPr>
                <w:rFonts w:ascii="Times New Roman" w:hAnsi="Times New Roman"/>
                <w:sz w:val="16"/>
                <w:szCs w:val="16"/>
              </w:rPr>
              <w:t>"</w:t>
            </w:r>
            <w:r w:rsidRPr="00E16672">
              <w:rPr>
                <w:rFonts w:ascii="Times New Roman" w:hAnsi="Times New Roman"/>
                <w:sz w:val="16"/>
                <w:szCs w:val="16"/>
              </w:rPr>
              <w:t xml:space="preserve">Про </w:t>
            </w:r>
            <w:proofErr w:type="spellStart"/>
            <w:r w:rsidRPr="00E16672">
              <w:rPr>
                <w:rFonts w:ascii="Times New Roman" w:hAnsi="Times New Roman"/>
                <w:sz w:val="16"/>
                <w:szCs w:val="16"/>
              </w:rPr>
              <w:t>депозитарну</w:t>
            </w:r>
            <w:proofErr w:type="spellEnd"/>
            <w:r w:rsidRPr="00E16672">
              <w:rPr>
                <w:rFonts w:ascii="Times New Roman" w:hAnsi="Times New Roman"/>
                <w:sz w:val="16"/>
                <w:szCs w:val="16"/>
              </w:rPr>
              <w:t xml:space="preserve"> систему </w:t>
            </w:r>
            <w:proofErr w:type="spellStart"/>
            <w:r w:rsidRPr="00E16672">
              <w:rPr>
                <w:rFonts w:ascii="Times New Roman" w:hAnsi="Times New Roman"/>
                <w:sz w:val="16"/>
                <w:szCs w:val="16"/>
              </w:rPr>
              <w:t>України</w:t>
            </w:r>
            <w:proofErr w:type="spellEnd"/>
            <w:r w:rsidR="00022F5F">
              <w:rPr>
                <w:rFonts w:ascii="Times New Roman" w:hAnsi="Times New Roman"/>
                <w:sz w:val="16"/>
                <w:szCs w:val="16"/>
              </w:rPr>
              <w:t>"</w:t>
            </w:r>
            <w:r w:rsidRPr="00E16672">
              <w:rPr>
                <w:rFonts w:ascii="Times New Roman" w:hAnsi="Times New Roman"/>
                <w:sz w:val="16"/>
                <w:szCs w:val="16"/>
              </w:rPr>
              <w:t>.</w:t>
            </w:r>
          </w:p>
          <w:p w14:paraId="60EDF3C2" w14:textId="77777777" w:rsidR="003A05A3" w:rsidRPr="00E16672" w:rsidRDefault="003A05A3" w:rsidP="00843027">
            <w:pPr>
              <w:ind w:left="175" w:right="138" w:firstLine="7"/>
              <w:rPr>
                <w:rFonts w:ascii="Times New Roman" w:hAnsi="Times New Roman"/>
                <w:sz w:val="16"/>
                <w:szCs w:val="16"/>
              </w:rPr>
            </w:pPr>
          </w:p>
        </w:tc>
        <w:tc>
          <w:tcPr>
            <w:tcW w:w="5494" w:type="dxa"/>
            <w:gridSpan w:val="6"/>
            <w:shd w:val="clear" w:color="auto" w:fill="auto"/>
          </w:tcPr>
          <w:p w14:paraId="23AD4BAB" w14:textId="77777777" w:rsidR="003A05A3" w:rsidRPr="00E16672" w:rsidRDefault="003A05A3" w:rsidP="00843027">
            <w:pPr>
              <w:tabs>
                <w:tab w:val="left" w:pos="287"/>
              </w:tabs>
              <w:snapToGrid w:val="0"/>
              <w:ind w:left="145" w:right="100" w:firstLine="7"/>
              <w:jc w:val="center"/>
              <w:rPr>
                <w:rFonts w:ascii="Times New Roman" w:hAnsi="Times New Roman"/>
              </w:rPr>
            </w:pPr>
          </w:p>
          <w:p w14:paraId="4A3CB211" w14:textId="77777777" w:rsidR="003A05A3" w:rsidRPr="00E16672" w:rsidRDefault="003A05A3" w:rsidP="00843027">
            <w:pPr>
              <w:tabs>
                <w:tab w:val="left" w:pos="287"/>
              </w:tabs>
              <w:snapToGrid w:val="0"/>
              <w:ind w:left="145" w:right="100" w:firstLine="7"/>
              <w:jc w:val="center"/>
              <w:rPr>
                <w:rFonts w:ascii="Times New Roman" w:hAnsi="Times New Roman"/>
                <w:b/>
                <w:caps/>
                <w:sz w:val="16"/>
                <w:szCs w:val="16"/>
                <w:lang w:val="en-GB"/>
              </w:rPr>
            </w:pPr>
            <w:r w:rsidRPr="00E16672">
              <w:rPr>
                <w:rFonts w:ascii="Times New Roman" w:hAnsi="Times New Roman"/>
                <w:b/>
                <w:caps/>
                <w:sz w:val="16"/>
                <w:szCs w:val="16"/>
                <w:lang w:val="en-GB"/>
              </w:rPr>
              <w:t>7. DISCLOSURE PROCEDURE THAT IS</w:t>
            </w:r>
            <w:r w:rsidRPr="00E16672">
              <w:rPr>
                <w:rFonts w:ascii="Times New Roman" w:hAnsi="Times New Roman"/>
                <w:b/>
                <w:caps/>
                <w:sz w:val="16"/>
                <w:szCs w:val="16"/>
                <w:lang w:val="en-US"/>
              </w:rPr>
              <w:t>an</w:t>
            </w:r>
            <w:r w:rsidRPr="00E16672">
              <w:rPr>
                <w:rFonts w:ascii="Times New Roman" w:hAnsi="Times New Roman"/>
                <w:b/>
                <w:caps/>
                <w:sz w:val="16"/>
                <w:szCs w:val="16"/>
                <w:lang w:val="en-GB"/>
              </w:rPr>
              <w:t xml:space="preserve"> information with limited access</w:t>
            </w:r>
          </w:p>
          <w:p w14:paraId="158812F1" w14:textId="77777777" w:rsidR="003A05A3" w:rsidRPr="00E16672" w:rsidRDefault="003A05A3" w:rsidP="00843027">
            <w:pPr>
              <w:tabs>
                <w:tab w:val="left" w:pos="287"/>
              </w:tabs>
              <w:ind w:left="145" w:right="100" w:firstLine="7"/>
              <w:jc w:val="center"/>
              <w:rPr>
                <w:rFonts w:ascii="Times New Roman" w:hAnsi="Times New Roman"/>
                <w:b/>
                <w:caps/>
                <w:sz w:val="16"/>
                <w:szCs w:val="16"/>
                <w:lang w:val="en-US"/>
              </w:rPr>
            </w:pPr>
          </w:p>
          <w:p w14:paraId="204B5615" w14:textId="77777777" w:rsidR="003A05A3" w:rsidRPr="00E16672" w:rsidRDefault="003A05A3" w:rsidP="00843027">
            <w:pPr>
              <w:tabs>
                <w:tab w:val="left" w:pos="287"/>
              </w:tabs>
              <w:ind w:left="145" w:right="100" w:firstLine="7"/>
              <w:rPr>
                <w:rFonts w:ascii="Times New Roman" w:hAnsi="Times New Roman"/>
                <w:sz w:val="16"/>
                <w:szCs w:val="16"/>
                <w:lang w:val="en-GB"/>
              </w:rPr>
            </w:pPr>
            <w:r w:rsidRPr="00E16672">
              <w:rPr>
                <w:rFonts w:ascii="Times New Roman" w:hAnsi="Times New Roman"/>
                <w:sz w:val="16"/>
                <w:szCs w:val="16"/>
                <w:lang w:val="en-GB"/>
              </w:rPr>
              <w:t>7.1. The information contained in the depository account</w:t>
            </w:r>
            <w:r w:rsidRPr="00E16672">
              <w:rPr>
                <w:rFonts w:ascii="Times New Roman" w:hAnsi="Times New Roman"/>
                <w:sz w:val="16"/>
                <w:szCs w:val="16"/>
                <w:lang w:val="en-US"/>
              </w:rPr>
              <w:t xml:space="preserve"> system</w:t>
            </w:r>
            <w:r w:rsidRPr="00E16672">
              <w:rPr>
                <w:rFonts w:ascii="Times New Roman" w:hAnsi="Times New Roman"/>
                <w:sz w:val="16"/>
                <w:szCs w:val="16"/>
                <w:lang w:val="en-GB"/>
              </w:rPr>
              <w:t xml:space="preserve"> is </w:t>
            </w:r>
            <w:r w:rsidRPr="00E16672">
              <w:rPr>
                <w:rFonts w:ascii="Times New Roman" w:hAnsi="Times New Roman"/>
                <w:sz w:val="16"/>
                <w:szCs w:val="16"/>
                <w:lang w:val="en-US"/>
              </w:rPr>
              <w:t>an</w:t>
            </w:r>
            <w:r w:rsidRPr="00E16672">
              <w:rPr>
                <w:rFonts w:ascii="Times New Roman" w:hAnsi="Times New Roman"/>
                <w:sz w:val="16"/>
                <w:szCs w:val="16"/>
                <w:lang w:val="en-GB"/>
              </w:rPr>
              <w:t xml:space="preserve"> information</w:t>
            </w:r>
            <w:r w:rsidRPr="00E16672">
              <w:rPr>
                <w:rFonts w:ascii="Times New Roman" w:hAnsi="Times New Roman"/>
                <w:sz w:val="16"/>
                <w:szCs w:val="16"/>
                <w:lang w:val="en-US"/>
              </w:rPr>
              <w:t xml:space="preserve"> with limited access</w:t>
            </w:r>
            <w:r w:rsidRPr="00E16672">
              <w:rPr>
                <w:rFonts w:ascii="Times New Roman" w:hAnsi="Times New Roman"/>
                <w:sz w:val="16"/>
                <w:szCs w:val="16"/>
                <w:lang w:val="en-GB"/>
              </w:rPr>
              <w:t xml:space="preserve">, protected by law, and will not be divulged by the </w:t>
            </w:r>
            <w:r w:rsidRPr="00E16672">
              <w:rPr>
                <w:rFonts w:ascii="Times New Roman" w:hAnsi="Times New Roman"/>
                <w:sz w:val="16"/>
                <w:szCs w:val="16"/>
                <w:lang w:val="en-US"/>
              </w:rPr>
              <w:t>D</w:t>
            </w:r>
            <w:proofErr w:type="spellStart"/>
            <w:r w:rsidRPr="00E16672">
              <w:rPr>
                <w:rFonts w:ascii="Times New Roman" w:hAnsi="Times New Roman"/>
                <w:sz w:val="16"/>
                <w:szCs w:val="16"/>
                <w:lang w:val="en-GB"/>
              </w:rPr>
              <w:t>epository</w:t>
            </w:r>
            <w:proofErr w:type="spellEnd"/>
            <w:r w:rsidRPr="00E16672">
              <w:rPr>
                <w:rFonts w:ascii="Times New Roman" w:hAnsi="Times New Roman"/>
                <w:sz w:val="16"/>
                <w:szCs w:val="16"/>
                <w:lang w:val="en-GB"/>
              </w:rPr>
              <w:t xml:space="preserve"> institution, except as provided in Article 25 of the Law of Ukraine "On the Depository System of Ukraine".</w:t>
            </w:r>
          </w:p>
        </w:tc>
      </w:tr>
      <w:tr w:rsidR="003A05A3" w:rsidRPr="00F23413" w14:paraId="1562DE67" w14:textId="77777777" w:rsidTr="00242F58">
        <w:trPr>
          <w:trHeight w:val="192"/>
        </w:trPr>
        <w:tc>
          <w:tcPr>
            <w:tcW w:w="5696" w:type="dxa"/>
            <w:gridSpan w:val="8"/>
            <w:shd w:val="clear" w:color="auto" w:fill="auto"/>
          </w:tcPr>
          <w:p w14:paraId="7244E395" w14:textId="77777777" w:rsidR="003A05A3" w:rsidRPr="00E16672" w:rsidRDefault="003A05A3" w:rsidP="00843027">
            <w:pPr>
              <w:snapToGrid w:val="0"/>
              <w:ind w:left="175" w:right="138" w:firstLine="7"/>
              <w:rPr>
                <w:rFonts w:ascii="Times New Roman" w:hAnsi="Times New Roman"/>
                <w:sz w:val="16"/>
                <w:szCs w:val="16"/>
              </w:rPr>
            </w:pPr>
            <w:r w:rsidRPr="00E16672">
              <w:rPr>
                <w:rFonts w:ascii="Times New Roman" w:hAnsi="Times New Roman"/>
                <w:sz w:val="16"/>
                <w:szCs w:val="16"/>
              </w:rPr>
              <w:t xml:space="preserve">7.2. </w:t>
            </w:r>
            <w:proofErr w:type="spellStart"/>
            <w:r w:rsidRPr="00E16672">
              <w:rPr>
                <w:rFonts w:ascii="Times New Roman" w:hAnsi="Times New Roman"/>
                <w:sz w:val="16"/>
                <w:szCs w:val="16"/>
              </w:rPr>
              <w:t>Інформація</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що</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міститься</w:t>
            </w:r>
            <w:proofErr w:type="spellEnd"/>
            <w:r w:rsidRPr="00E16672">
              <w:rPr>
                <w:rFonts w:ascii="Times New Roman" w:hAnsi="Times New Roman"/>
                <w:sz w:val="16"/>
                <w:szCs w:val="16"/>
              </w:rPr>
              <w:t xml:space="preserve"> у </w:t>
            </w:r>
            <w:proofErr w:type="spellStart"/>
            <w:r w:rsidRPr="00E16672">
              <w:rPr>
                <w:rFonts w:ascii="Times New Roman" w:hAnsi="Times New Roman"/>
                <w:sz w:val="16"/>
                <w:szCs w:val="16"/>
              </w:rPr>
              <w:t>системі</w:t>
            </w:r>
            <w:proofErr w:type="spellEnd"/>
            <w:r w:rsidRPr="00E16672">
              <w:rPr>
                <w:rFonts w:ascii="Times New Roman" w:hAnsi="Times New Roman"/>
                <w:sz w:val="16"/>
                <w:szCs w:val="16"/>
              </w:rPr>
              <w:t xml:space="preserve"> депозитарного </w:t>
            </w:r>
            <w:proofErr w:type="spellStart"/>
            <w:r w:rsidRPr="00E16672">
              <w:rPr>
                <w:rFonts w:ascii="Times New Roman" w:hAnsi="Times New Roman"/>
                <w:sz w:val="16"/>
                <w:szCs w:val="16"/>
              </w:rPr>
              <w:t>обліку</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надається</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власнику</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інформації</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або</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його</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представникові</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відповідно</w:t>
            </w:r>
            <w:proofErr w:type="spellEnd"/>
            <w:r w:rsidRPr="00E16672">
              <w:rPr>
                <w:rFonts w:ascii="Times New Roman" w:hAnsi="Times New Roman"/>
                <w:sz w:val="16"/>
                <w:szCs w:val="16"/>
              </w:rPr>
              <w:t xml:space="preserve"> до умов Договору, </w:t>
            </w:r>
            <w:proofErr w:type="spellStart"/>
            <w:r w:rsidRPr="00E16672">
              <w:rPr>
                <w:rFonts w:ascii="Times New Roman" w:hAnsi="Times New Roman"/>
                <w:sz w:val="16"/>
                <w:szCs w:val="16"/>
              </w:rPr>
              <w:t>або</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іншим</w:t>
            </w:r>
            <w:proofErr w:type="spellEnd"/>
            <w:r w:rsidRPr="00E16672">
              <w:rPr>
                <w:rFonts w:ascii="Times New Roman" w:hAnsi="Times New Roman"/>
                <w:sz w:val="16"/>
                <w:szCs w:val="16"/>
              </w:rPr>
              <w:t xml:space="preserve"> особам у </w:t>
            </w:r>
            <w:proofErr w:type="spellStart"/>
            <w:r w:rsidRPr="00E16672">
              <w:rPr>
                <w:rFonts w:ascii="Times New Roman" w:hAnsi="Times New Roman"/>
                <w:sz w:val="16"/>
                <w:szCs w:val="16"/>
              </w:rPr>
              <w:t>передбачених</w:t>
            </w:r>
            <w:proofErr w:type="spellEnd"/>
            <w:r w:rsidRPr="00E16672">
              <w:rPr>
                <w:rFonts w:ascii="Times New Roman" w:hAnsi="Times New Roman"/>
                <w:sz w:val="16"/>
                <w:szCs w:val="16"/>
              </w:rPr>
              <w:t xml:space="preserve"> законом </w:t>
            </w:r>
            <w:proofErr w:type="spellStart"/>
            <w:r w:rsidRPr="00E16672">
              <w:rPr>
                <w:rFonts w:ascii="Times New Roman" w:hAnsi="Times New Roman"/>
                <w:sz w:val="16"/>
                <w:szCs w:val="16"/>
              </w:rPr>
              <w:t>випадках</w:t>
            </w:r>
            <w:proofErr w:type="spellEnd"/>
            <w:r w:rsidRPr="00E16672">
              <w:rPr>
                <w:rFonts w:ascii="Times New Roman" w:hAnsi="Times New Roman"/>
                <w:sz w:val="16"/>
                <w:szCs w:val="16"/>
              </w:rPr>
              <w:t>.</w:t>
            </w:r>
          </w:p>
          <w:p w14:paraId="57DBCD5A" w14:textId="77777777" w:rsidR="003A05A3" w:rsidRPr="00E16672" w:rsidRDefault="003A05A3" w:rsidP="00843027">
            <w:pPr>
              <w:snapToGrid w:val="0"/>
              <w:ind w:left="175" w:right="138" w:firstLine="7"/>
              <w:rPr>
                <w:rFonts w:ascii="Times New Roman" w:hAnsi="Times New Roman"/>
                <w:sz w:val="16"/>
                <w:szCs w:val="16"/>
              </w:rPr>
            </w:pPr>
          </w:p>
        </w:tc>
        <w:tc>
          <w:tcPr>
            <w:tcW w:w="5494" w:type="dxa"/>
            <w:gridSpan w:val="6"/>
            <w:shd w:val="clear" w:color="auto" w:fill="auto"/>
          </w:tcPr>
          <w:p w14:paraId="2661EA36" w14:textId="77777777" w:rsidR="003A05A3" w:rsidRPr="00E16672" w:rsidRDefault="003A05A3" w:rsidP="00843027">
            <w:pPr>
              <w:tabs>
                <w:tab w:val="left" w:pos="287"/>
              </w:tabs>
              <w:snapToGrid w:val="0"/>
              <w:ind w:left="145" w:right="100" w:firstLine="7"/>
              <w:rPr>
                <w:rFonts w:ascii="Times New Roman" w:hAnsi="Times New Roman"/>
                <w:sz w:val="16"/>
                <w:szCs w:val="16"/>
                <w:lang w:val="en-GB"/>
              </w:rPr>
            </w:pPr>
            <w:r w:rsidRPr="00E16672">
              <w:rPr>
                <w:rFonts w:ascii="Times New Roman" w:hAnsi="Times New Roman"/>
                <w:sz w:val="16"/>
                <w:szCs w:val="16"/>
                <w:lang w:val="en-GB"/>
              </w:rPr>
              <w:t>7.2. The information contained in the depository account</w:t>
            </w:r>
            <w:r w:rsidRPr="00E16672">
              <w:rPr>
                <w:rFonts w:ascii="Times New Roman" w:hAnsi="Times New Roman"/>
                <w:sz w:val="16"/>
                <w:szCs w:val="16"/>
                <w:lang w:val="en-US"/>
              </w:rPr>
              <w:t xml:space="preserve"> system</w:t>
            </w:r>
            <w:r w:rsidRPr="00E16672">
              <w:rPr>
                <w:rFonts w:ascii="Times New Roman" w:hAnsi="Times New Roman"/>
                <w:sz w:val="16"/>
                <w:szCs w:val="16"/>
                <w:lang w:val="en-GB"/>
              </w:rPr>
              <w:t xml:space="preserve"> </w:t>
            </w:r>
            <w:r w:rsidRPr="00E16672">
              <w:rPr>
                <w:rFonts w:ascii="Times New Roman" w:hAnsi="Times New Roman"/>
                <w:sz w:val="16"/>
                <w:szCs w:val="16"/>
                <w:lang w:val="en-US"/>
              </w:rPr>
              <w:t xml:space="preserve">  is </w:t>
            </w:r>
            <w:r w:rsidRPr="00E16672">
              <w:rPr>
                <w:rFonts w:ascii="Times New Roman" w:hAnsi="Times New Roman"/>
                <w:sz w:val="16"/>
                <w:szCs w:val="16"/>
                <w:lang w:val="en-GB"/>
              </w:rPr>
              <w:t>provided by the owner or his representative in accordance with the terms of the Agreement, or to other persons in accordance with the law.</w:t>
            </w:r>
          </w:p>
        </w:tc>
      </w:tr>
      <w:tr w:rsidR="003A05A3" w:rsidRPr="00F23413" w14:paraId="3E33CC89" w14:textId="77777777" w:rsidTr="00242F58">
        <w:trPr>
          <w:trHeight w:val="192"/>
        </w:trPr>
        <w:tc>
          <w:tcPr>
            <w:tcW w:w="5696" w:type="dxa"/>
            <w:gridSpan w:val="8"/>
            <w:shd w:val="clear" w:color="auto" w:fill="auto"/>
          </w:tcPr>
          <w:p w14:paraId="0CFAE585" w14:textId="77777777" w:rsidR="003A05A3" w:rsidRPr="00E16672" w:rsidRDefault="003A05A3" w:rsidP="00843027">
            <w:pPr>
              <w:snapToGrid w:val="0"/>
              <w:ind w:left="175" w:right="138" w:firstLine="7"/>
              <w:rPr>
                <w:rFonts w:ascii="Times New Roman" w:hAnsi="Times New Roman"/>
                <w:sz w:val="16"/>
                <w:szCs w:val="16"/>
              </w:rPr>
            </w:pPr>
            <w:r w:rsidRPr="00E16672">
              <w:rPr>
                <w:rFonts w:ascii="Times New Roman" w:hAnsi="Times New Roman"/>
                <w:sz w:val="16"/>
                <w:szCs w:val="16"/>
              </w:rPr>
              <w:t xml:space="preserve">7.3. </w:t>
            </w:r>
            <w:proofErr w:type="spellStart"/>
            <w:r w:rsidRPr="00E16672">
              <w:rPr>
                <w:rFonts w:ascii="Times New Roman" w:hAnsi="Times New Roman"/>
                <w:sz w:val="16"/>
                <w:szCs w:val="16"/>
              </w:rPr>
              <w:t>Депозитарна</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установа</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забезпечує</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нерозголошення</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інформації</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що</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міститься</w:t>
            </w:r>
            <w:proofErr w:type="spellEnd"/>
            <w:r w:rsidRPr="00E16672">
              <w:rPr>
                <w:rFonts w:ascii="Times New Roman" w:hAnsi="Times New Roman"/>
                <w:sz w:val="16"/>
                <w:szCs w:val="16"/>
              </w:rPr>
              <w:t xml:space="preserve"> у </w:t>
            </w:r>
            <w:proofErr w:type="spellStart"/>
            <w:r w:rsidRPr="00E16672">
              <w:rPr>
                <w:rFonts w:ascii="Times New Roman" w:hAnsi="Times New Roman"/>
                <w:sz w:val="16"/>
                <w:szCs w:val="16"/>
              </w:rPr>
              <w:t>системі</w:t>
            </w:r>
            <w:proofErr w:type="spellEnd"/>
            <w:r w:rsidRPr="00E16672">
              <w:rPr>
                <w:rFonts w:ascii="Times New Roman" w:hAnsi="Times New Roman"/>
                <w:sz w:val="16"/>
                <w:szCs w:val="16"/>
              </w:rPr>
              <w:t xml:space="preserve"> депозитарного </w:t>
            </w:r>
            <w:proofErr w:type="spellStart"/>
            <w:r w:rsidRPr="00E16672">
              <w:rPr>
                <w:rFonts w:ascii="Times New Roman" w:hAnsi="Times New Roman"/>
                <w:sz w:val="16"/>
                <w:szCs w:val="16"/>
              </w:rPr>
              <w:t>обліку</w:t>
            </w:r>
            <w:proofErr w:type="spellEnd"/>
            <w:r w:rsidRPr="00E16672">
              <w:rPr>
                <w:rFonts w:ascii="Times New Roman" w:hAnsi="Times New Roman"/>
                <w:sz w:val="16"/>
                <w:szCs w:val="16"/>
              </w:rPr>
              <w:t>, шляхом:</w:t>
            </w:r>
          </w:p>
          <w:p w14:paraId="1043D977" w14:textId="77777777" w:rsidR="003A05A3" w:rsidRPr="00E16672" w:rsidRDefault="003A05A3" w:rsidP="00843027">
            <w:pPr>
              <w:ind w:left="175" w:right="138" w:firstLine="7"/>
              <w:rPr>
                <w:rFonts w:ascii="Times New Roman" w:hAnsi="Times New Roman"/>
                <w:sz w:val="16"/>
                <w:szCs w:val="16"/>
              </w:rPr>
            </w:pPr>
            <w:r w:rsidRPr="00E16672">
              <w:rPr>
                <w:rFonts w:ascii="Times New Roman" w:hAnsi="Times New Roman"/>
                <w:sz w:val="16"/>
                <w:szCs w:val="16"/>
              </w:rPr>
              <w:t xml:space="preserve">1) </w:t>
            </w:r>
            <w:proofErr w:type="spellStart"/>
            <w:r w:rsidRPr="00E16672">
              <w:rPr>
                <w:rFonts w:ascii="Times New Roman" w:hAnsi="Times New Roman"/>
                <w:sz w:val="16"/>
                <w:szCs w:val="16"/>
              </w:rPr>
              <w:t>обмеження</w:t>
            </w:r>
            <w:proofErr w:type="spellEnd"/>
            <w:r w:rsidRPr="00E16672">
              <w:rPr>
                <w:rFonts w:ascii="Times New Roman" w:hAnsi="Times New Roman"/>
                <w:sz w:val="16"/>
                <w:szCs w:val="16"/>
              </w:rPr>
              <w:t xml:space="preserve"> кола </w:t>
            </w:r>
            <w:proofErr w:type="spellStart"/>
            <w:r w:rsidRPr="00E16672">
              <w:rPr>
                <w:rFonts w:ascii="Times New Roman" w:hAnsi="Times New Roman"/>
                <w:sz w:val="16"/>
                <w:szCs w:val="16"/>
              </w:rPr>
              <w:t>осіб</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які</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мають</w:t>
            </w:r>
            <w:proofErr w:type="spellEnd"/>
            <w:r w:rsidRPr="00E16672">
              <w:rPr>
                <w:rFonts w:ascii="Times New Roman" w:hAnsi="Times New Roman"/>
                <w:sz w:val="16"/>
                <w:szCs w:val="16"/>
              </w:rPr>
              <w:t xml:space="preserve"> доступ до </w:t>
            </w:r>
            <w:proofErr w:type="spellStart"/>
            <w:r w:rsidRPr="00E16672">
              <w:rPr>
                <w:rFonts w:ascii="Times New Roman" w:hAnsi="Times New Roman"/>
                <w:sz w:val="16"/>
                <w:szCs w:val="16"/>
              </w:rPr>
              <w:t>зазначеної</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інформації</w:t>
            </w:r>
            <w:proofErr w:type="spellEnd"/>
            <w:r w:rsidRPr="00E16672">
              <w:rPr>
                <w:rFonts w:ascii="Times New Roman" w:hAnsi="Times New Roman"/>
                <w:sz w:val="16"/>
                <w:szCs w:val="16"/>
              </w:rPr>
              <w:t>;</w:t>
            </w:r>
          </w:p>
          <w:p w14:paraId="15FA5BE9" w14:textId="77777777" w:rsidR="003A05A3" w:rsidRPr="00E16672" w:rsidRDefault="003A05A3" w:rsidP="00843027">
            <w:pPr>
              <w:ind w:left="175" w:right="138" w:firstLine="7"/>
              <w:rPr>
                <w:rFonts w:ascii="Times New Roman" w:hAnsi="Times New Roman"/>
                <w:sz w:val="16"/>
                <w:szCs w:val="16"/>
              </w:rPr>
            </w:pPr>
            <w:r w:rsidRPr="00E16672">
              <w:rPr>
                <w:rFonts w:ascii="Times New Roman" w:hAnsi="Times New Roman"/>
                <w:sz w:val="16"/>
                <w:szCs w:val="16"/>
              </w:rPr>
              <w:t xml:space="preserve">2) </w:t>
            </w:r>
            <w:proofErr w:type="spellStart"/>
            <w:r w:rsidRPr="00E16672">
              <w:rPr>
                <w:rFonts w:ascii="Times New Roman" w:hAnsi="Times New Roman"/>
                <w:sz w:val="16"/>
                <w:szCs w:val="16"/>
              </w:rPr>
              <w:t>організації</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спеціального</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діловодства</w:t>
            </w:r>
            <w:proofErr w:type="spellEnd"/>
            <w:r w:rsidRPr="00E16672">
              <w:rPr>
                <w:rFonts w:ascii="Times New Roman" w:hAnsi="Times New Roman"/>
                <w:sz w:val="16"/>
                <w:szCs w:val="16"/>
              </w:rPr>
              <w:t xml:space="preserve"> у </w:t>
            </w:r>
            <w:proofErr w:type="spellStart"/>
            <w:r w:rsidRPr="00E16672">
              <w:rPr>
                <w:rFonts w:ascii="Times New Roman" w:hAnsi="Times New Roman"/>
                <w:sz w:val="16"/>
                <w:szCs w:val="16"/>
              </w:rPr>
              <w:t>системі</w:t>
            </w:r>
            <w:proofErr w:type="spellEnd"/>
            <w:r w:rsidRPr="00E16672">
              <w:rPr>
                <w:rFonts w:ascii="Times New Roman" w:hAnsi="Times New Roman"/>
                <w:sz w:val="16"/>
                <w:szCs w:val="16"/>
              </w:rPr>
              <w:t xml:space="preserve"> депозитарного </w:t>
            </w:r>
            <w:proofErr w:type="spellStart"/>
            <w:r w:rsidRPr="00E16672">
              <w:rPr>
                <w:rFonts w:ascii="Times New Roman" w:hAnsi="Times New Roman"/>
                <w:sz w:val="16"/>
                <w:szCs w:val="16"/>
              </w:rPr>
              <w:t>обліку</w:t>
            </w:r>
            <w:proofErr w:type="spellEnd"/>
            <w:r w:rsidRPr="00E16672">
              <w:rPr>
                <w:rFonts w:ascii="Times New Roman" w:hAnsi="Times New Roman"/>
                <w:sz w:val="16"/>
                <w:szCs w:val="16"/>
              </w:rPr>
              <w:t>;</w:t>
            </w:r>
          </w:p>
          <w:p w14:paraId="40A4BD88" w14:textId="77777777" w:rsidR="003A05A3" w:rsidRPr="00E16672" w:rsidRDefault="003A05A3" w:rsidP="00843027">
            <w:pPr>
              <w:ind w:left="175" w:right="138" w:firstLine="7"/>
              <w:rPr>
                <w:rFonts w:ascii="Times New Roman" w:hAnsi="Times New Roman"/>
                <w:sz w:val="16"/>
                <w:szCs w:val="16"/>
              </w:rPr>
            </w:pPr>
          </w:p>
          <w:p w14:paraId="0B07D39D" w14:textId="77777777" w:rsidR="003A05A3" w:rsidRPr="00E16672" w:rsidRDefault="003A05A3" w:rsidP="00843027">
            <w:pPr>
              <w:ind w:left="175" w:right="138" w:firstLine="7"/>
              <w:rPr>
                <w:rFonts w:ascii="Times New Roman" w:hAnsi="Times New Roman"/>
                <w:sz w:val="16"/>
                <w:szCs w:val="16"/>
              </w:rPr>
            </w:pPr>
            <w:r w:rsidRPr="00E16672">
              <w:rPr>
                <w:rFonts w:ascii="Times New Roman" w:hAnsi="Times New Roman"/>
                <w:sz w:val="16"/>
                <w:szCs w:val="16"/>
              </w:rPr>
              <w:t xml:space="preserve">3) </w:t>
            </w:r>
            <w:proofErr w:type="spellStart"/>
            <w:r w:rsidRPr="00E16672">
              <w:rPr>
                <w:rFonts w:ascii="Times New Roman" w:hAnsi="Times New Roman"/>
                <w:sz w:val="16"/>
                <w:szCs w:val="16"/>
              </w:rPr>
              <w:t>застосування</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технічних</w:t>
            </w:r>
            <w:proofErr w:type="spellEnd"/>
            <w:r w:rsidRPr="00E16672">
              <w:rPr>
                <w:rFonts w:ascii="Times New Roman" w:hAnsi="Times New Roman"/>
                <w:sz w:val="16"/>
                <w:szCs w:val="16"/>
              </w:rPr>
              <w:t xml:space="preserve"> та </w:t>
            </w:r>
            <w:proofErr w:type="spellStart"/>
            <w:r w:rsidRPr="00E16672">
              <w:rPr>
                <w:rFonts w:ascii="Times New Roman" w:hAnsi="Times New Roman"/>
                <w:sz w:val="16"/>
                <w:szCs w:val="16"/>
              </w:rPr>
              <w:t>програмних</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засобів</w:t>
            </w:r>
            <w:proofErr w:type="spellEnd"/>
            <w:r w:rsidRPr="00E16672">
              <w:rPr>
                <w:rFonts w:ascii="Times New Roman" w:hAnsi="Times New Roman"/>
                <w:sz w:val="16"/>
                <w:szCs w:val="16"/>
              </w:rPr>
              <w:t xml:space="preserve"> для </w:t>
            </w:r>
            <w:proofErr w:type="spellStart"/>
            <w:r w:rsidRPr="00E16672">
              <w:rPr>
                <w:rFonts w:ascii="Times New Roman" w:hAnsi="Times New Roman"/>
                <w:sz w:val="16"/>
                <w:szCs w:val="16"/>
              </w:rPr>
              <w:t>запобігання</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несанкціонованому</w:t>
            </w:r>
            <w:proofErr w:type="spellEnd"/>
            <w:r w:rsidRPr="00E16672">
              <w:rPr>
                <w:rFonts w:ascii="Times New Roman" w:hAnsi="Times New Roman"/>
                <w:sz w:val="16"/>
                <w:szCs w:val="16"/>
              </w:rPr>
              <w:t xml:space="preserve"> доступу до </w:t>
            </w:r>
            <w:proofErr w:type="spellStart"/>
            <w:r w:rsidRPr="00E16672">
              <w:rPr>
                <w:rFonts w:ascii="Times New Roman" w:hAnsi="Times New Roman"/>
                <w:sz w:val="16"/>
                <w:szCs w:val="16"/>
              </w:rPr>
              <w:t>носіїв</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такої</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інформації</w:t>
            </w:r>
            <w:proofErr w:type="spellEnd"/>
            <w:r w:rsidRPr="00E16672">
              <w:rPr>
                <w:rFonts w:ascii="Times New Roman" w:hAnsi="Times New Roman"/>
                <w:sz w:val="16"/>
                <w:szCs w:val="16"/>
              </w:rPr>
              <w:t>.</w:t>
            </w:r>
          </w:p>
          <w:p w14:paraId="464DF345" w14:textId="77777777" w:rsidR="003A05A3" w:rsidRPr="00E16672" w:rsidRDefault="003A05A3" w:rsidP="00843027">
            <w:pPr>
              <w:snapToGrid w:val="0"/>
              <w:ind w:left="175" w:right="138" w:firstLine="7"/>
              <w:rPr>
                <w:rFonts w:ascii="Times New Roman" w:hAnsi="Times New Roman"/>
                <w:sz w:val="16"/>
                <w:szCs w:val="16"/>
              </w:rPr>
            </w:pPr>
          </w:p>
        </w:tc>
        <w:tc>
          <w:tcPr>
            <w:tcW w:w="5494" w:type="dxa"/>
            <w:gridSpan w:val="6"/>
            <w:shd w:val="clear" w:color="auto" w:fill="auto"/>
          </w:tcPr>
          <w:p w14:paraId="377A719D" w14:textId="77777777" w:rsidR="003A05A3" w:rsidRPr="00E16672" w:rsidRDefault="003A05A3" w:rsidP="00843027">
            <w:pPr>
              <w:tabs>
                <w:tab w:val="left" w:pos="287"/>
              </w:tabs>
              <w:snapToGrid w:val="0"/>
              <w:ind w:left="145" w:right="100" w:firstLine="7"/>
              <w:rPr>
                <w:rFonts w:ascii="Times New Roman" w:hAnsi="Times New Roman"/>
                <w:sz w:val="16"/>
                <w:szCs w:val="16"/>
                <w:lang w:val="en-GB"/>
              </w:rPr>
            </w:pPr>
            <w:r w:rsidRPr="00E16672">
              <w:rPr>
                <w:rFonts w:ascii="Times New Roman" w:hAnsi="Times New Roman"/>
                <w:sz w:val="16"/>
                <w:szCs w:val="16"/>
                <w:lang w:val="en-GB"/>
              </w:rPr>
              <w:t>7.3. Depository institution provides nondisclosure of the information contained in the depository account</w:t>
            </w:r>
            <w:r w:rsidRPr="00E16672">
              <w:rPr>
                <w:rFonts w:ascii="Times New Roman" w:hAnsi="Times New Roman"/>
                <w:sz w:val="16"/>
                <w:szCs w:val="16"/>
                <w:lang w:val="en-US"/>
              </w:rPr>
              <w:t xml:space="preserve"> system</w:t>
            </w:r>
            <w:r w:rsidRPr="00E16672">
              <w:rPr>
                <w:rFonts w:ascii="Times New Roman" w:hAnsi="Times New Roman"/>
                <w:sz w:val="16"/>
                <w:szCs w:val="16"/>
                <w:lang w:val="en-GB"/>
              </w:rPr>
              <w:t xml:space="preserve"> by:</w:t>
            </w:r>
          </w:p>
          <w:p w14:paraId="6F655BD0" w14:textId="77777777" w:rsidR="003A05A3" w:rsidRPr="00E16672" w:rsidRDefault="003A05A3" w:rsidP="00843027">
            <w:pPr>
              <w:tabs>
                <w:tab w:val="left" w:pos="287"/>
              </w:tabs>
              <w:snapToGrid w:val="0"/>
              <w:ind w:left="145" w:right="100" w:firstLine="7"/>
              <w:rPr>
                <w:rFonts w:ascii="Times New Roman" w:hAnsi="Times New Roman"/>
                <w:sz w:val="16"/>
                <w:szCs w:val="16"/>
                <w:lang w:val="en-GB"/>
              </w:rPr>
            </w:pPr>
            <w:r w:rsidRPr="00E16672">
              <w:rPr>
                <w:rFonts w:ascii="Times New Roman" w:hAnsi="Times New Roman"/>
                <w:sz w:val="16"/>
                <w:szCs w:val="16"/>
                <w:lang w:val="en-GB"/>
              </w:rPr>
              <w:t>1) reduce the number of people who have access to such information;</w:t>
            </w:r>
          </w:p>
          <w:p w14:paraId="1E803B37" w14:textId="77777777" w:rsidR="003A05A3" w:rsidRPr="00E16672" w:rsidRDefault="003A05A3" w:rsidP="00843027">
            <w:pPr>
              <w:tabs>
                <w:tab w:val="left" w:pos="287"/>
              </w:tabs>
              <w:snapToGrid w:val="0"/>
              <w:ind w:left="145" w:right="100" w:firstLine="7"/>
              <w:rPr>
                <w:rFonts w:ascii="Times New Roman" w:hAnsi="Times New Roman"/>
                <w:sz w:val="16"/>
                <w:szCs w:val="16"/>
                <w:lang w:val="en-GB"/>
              </w:rPr>
            </w:pPr>
            <w:r w:rsidRPr="00E16672">
              <w:rPr>
                <w:rFonts w:ascii="Times New Roman" w:hAnsi="Times New Roman"/>
                <w:sz w:val="16"/>
                <w:szCs w:val="16"/>
                <w:lang w:val="en-GB"/>
              </w:rPr>
              <w:t>2) the organization of a special case management in the depository account</w:t>
            </w:r>
            <w:r w:rsidRPr="00E16672">
              <w:rPr>
                <w:rFonts w:ascii="Times New Roman" w:hAnsi="Times New Roman"/>
                <w:sz w:val="16"/>
                <w:szCs w:val="16"/>
                <w:lang w:val="en-US"/>
              </w:rPr>
              <w:t xml:space="preserve"> system</w:t>
            </w:r>
            <w:r w:rsidRPr="00E16672">
              <w:rPr>
                <w:rFonts w:ascii="Times New Roman" w:hAnsi="Times New Roman"/>
                <w:sz w:val="16"/>
                <w:szCs w:val="16"/>
                <w:lang w:val="en-GB"/>
              </w:rPr>
              <w:t>;</w:t>
            </w:r>
          </w:p>
          <w:p w14:paraId="386C822D" w14:textId="77777777" w:rsidR="003A05A3" w:rsidRPr="00E16672" w:rsidRDefault="003A05A3" w:rsidP="00843027">
            <w:pPr>
              <w:tabs>
                <w:tab w:val="left" w:pos="287"/>
              </w:tabs>
              <w:snapToGrid w:val="0"/>
              <w:ind w:left="145" w:right="100" w:firstLine="7"/>
              <w:rPr>
                <w:rFonts w:ascii="Times New Roman" w:hAnsi="Times New Roman"/>
                <w:sz w:val="16"/>
                <w:szCs w:val="16"/>
                <w:lang w:val="en-GB"/>
              </w:rPr>
            </w:pPr>
            <w:r w:rsidRPr="00E16672">
              <w:rPr>
                <w:rFonts w:ascii="Times New Roman" w:hAnsi="Times New Roman"/>
                <w:sz w:val="16"/>
                <w:szCs w:val="16"/>
                <w:lang w:val="en-GB"/>
              </w:rPr>
              <w:t>3) the use of hardware and software tools to prevent unauthorized access to its carriers.</w:t>
            </w:r>
          </w:p>
          <w:p w14:paraId="35CABFFB" w14:textId="77777777" w:rsidR="003A05A3" w:rsidRPr="00E16672" w:rsidRDefault="003A05A3" w:rsidP="00843027">
            <w:pPr>
              <w:tabs>
                <w:tab w:val="left" w:pos="287"/>
              </w:tabs>
              <w:ind w:left="145" w:right="100" w:firstLine="7"/>
              <w:rPr>
                <w:rFonts w:ascii="Times New Roman" w:hAnsi="Times New Roman"/>
                <w:sz w:val="16"/>
                <w:szCs w:val="16"/>
                <w:lang w:val="en-US"/>
              </w:rPr>
            </w:pPr>
          </w:p>
        </w:tc>
      </w:tr>
      <w:tr w:rsidR="003A05A3" w:rsidRPr="00F23413" w14:paraId="700A492D" w14:textId="77777777" w:rsidTr="00242F58">
        <w:trPr>
          <w:trHeight w:val="192"/>
        </w:trPr>
        <w:tc>
          <w:tcPr>
            <w:tcW w:w="5696" w:type="dxa"/>
            <w:gridSpan w:val="8"/>
            <w:shd w:val="clear" w:color="auto" w:fill="auto"/>
          </w:tcPr>
          <w:p w14:paraId="643A8121" w14:textId="77777777" w:rsidR="003A05A3" w:rsidRPr="00E16672" w:rsidRDefault="003A05A3" w:rsidP="00022F5F">
            <w:pPr>
              <w:snapToGrid w:val="0"/>
              <w:ind w:left="175" w:right="138" w:firstLine="7"/>
              <w:jc w:val="left"/>
              <w:rPr>
                <w:rFonts w:ascii="Times New Roman" w:hAnsi="Times New Roman"/>
                <w:sz w:val="16"/>
                <w:szCs w:val="16"/>
                <w:lang w:val="en-US"/>
              </w:rPr>
            </w:pPr>
            <w:r w:rsidRPr="00E16672">
              <w:rPr>
                <w:rFonts w:ascii="Times New Roman" w:hAnsi="Times New Roman"/>
                <w:sz w:val="16"/>
                <w:szCs w:val="16"/>
                <w:lang w:val="en-US"/>
              </w:rPr>
              <w:t xml:space="preserve">7.4. </w:t>
            </w:r>
            <w:proofErr w:type="spellStart"/>
            <w:r w:rsidRPr="00E16672">
              <w:rPr>
                <w:rFonts w:ascii="Times New Roman" w:hAnsi="Times New Roman"/>
                <w:sz w:val="16"/>
                <w:szCs w:val="16"/>
              </w:rPr>
              <w:t>Депозитарна</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установа</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надає</w:t>
            </w:r>
            <w:proofErr w:type="spellEnd"/>
            <w:r w:rsidRPr="00E16672">
              <w:rPr>
                <w:rFonts w:ascii="Times New Roman" w:hAnsi="Times New Roman"/>
                <w:sz w:val="16"/>
                <w:szCs w:val="16"/>
                <w:lang w:val="en-US"/>
              </w:rPr>
              <w:t xml:space="preserve"> </w:t>
            </w:r>
            <w:r w:rsidRPr="00E16672">
              <w:rPr>
                <w:rFonts w:ascii="Times New Roman" w:hAnsi="Times New Roman"/>
                <w:sz w:val="16"/>
                <w:szCs w:val="16"/>
              </w:rPr>
              <w:t>Центральному</w:t>
            </w:r>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депозитарію</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цінних</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паперів</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іншім</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учасникам</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депозитарної</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системи</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відповідно</w:t>
            </w:r>
            <w:proofErr w:type="spellEnd"/>
            <w:r w:rsidRPr="00E16672">
              <w:rPr>
                <w:rFonts w:ascii="Times New Roman" w:hAnsi="Times New Roman"/>
                <w:sz w:val="16"/>
                <w:szCs w:val="16"/>
                <w:lang w:val="en-US"/>
              </w:rPr>
              <w:t xml:space="preserve"> </w:t>
            </w:r>
            <w:r w:rsidRPr="00E16672">
              <w:rPr>
                <w:rFonts w:ascii="Times New Roman" w:hAnsi="Times New Roman"/>
                <w:sz w:val="16"/>
                <w:szCs w:val="16"/>
              </w:rPr>
              <w:t>до</w:t>
            </w:r>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вимог</w:t>
            </w:r>
            <w:proofErr w:type="spellEnd"/>
            <w:r w:rsidRPr="00E16672">
              <w:rPr>
                <w:rFonts w:ascii="Times New Roman" w:hAnsi="Times New Roman"/>
                <w:sz w:val="16"/>
                <w:szCs w:val="16"/>
                <w:lang w:val="en-US"/>
              </w:rPr>
              <w:t xml:space="preserve"> </w:t>
            </w:r>
            <w:r w:rsidRPr="00E16672">
              <w:rPr>
                <w:rFonts w:ascii="Times New Roman" w:hAnsi="Times New Roman"/>
                <w:sz w:val="16"/>
                <w:szCs w:val="16"/>
              </w:rPr>
              <w:t>чинного</w:t>
            </w:r>
            <w:r w:rsidRPr="00E16672">
              <w:rPr>
                <w:rFonts w:ascii="Times New Roman" w:hAnsi="Times New Roman"/>
                <w:sz w:val="16"/>
                <w:szCs w:val="16"/>
                <w:lang w:val="en-US"/>
              </w:rPr>
              <w:t xml:space="preserve"> </w:t>
            </w:r>
            <w:proofErr w:type="spellStart"/>
            <w:r w:rsidR="00D048FE" w:rsidRPr="00E16672">
              <w:rPr>
                <w:rFonts w:ascii="Times New Roman" w:hAnsi="Times New Roman"/>
                <w:sz w:val="16"/>
                <w:szCs w:val="16"/>
              </w:rPr>
              <w:t>законодавства</w:t>
            </w:r>
            <w:proofErr w:type="spellEnd"/>
            <w:r w:rsidRPr="00E16672">
              <w:rPr>
                <w:rFonts w:ascii="Times New Roman" w:hAnsi="Times New Roman"/>
                <w:sz w:val="16"/>
                <w:szCs w:val="16"/>
                <w:lang w:val="en-US"/>
              </w:rPr>
              <w:t>,</w:t>
            </w:r>
            <w:r w:rsidRPr="00E16672">
              <w:rPr>
                <w:rFonts w:ascii="Times New Roman" w:hAnsi="Times New Roman"/>
                <w:bCs/>
                <w:lang w:val="en-US"/>
              </w:rPr>
              <w:t xml:space="preserve">  </w:t>
            </w:r>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інформацію</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щодо</w:t>
            </w:r>
            <w:proofErr w:type="spellEnd"/>
            <w:r w:rsidRPr="00E16672">
              <w:rPr>
                <w:rFonts w:ascii="Times New Roman" w:hAnsi="Times New Roman"/>
                <w:sz w:val="16"/>
                <w:szCs w:val="16"/>
                <w:lang w:val="en-US"/>
              </w:rPr>
              <w:t xml:space="preserve"> </w:t>
            </w:r>
            <w:r w:rsidRPr="00E16672">
              <w:rPr>
                <w:rFonts w:ascii="Times New Roman" w:hAnsi="Times New Roman"/>
                <w:sz w:val="16"/>
                <w:szCs w:val="16"/>
              </w:rPr>
              <w:t>Депонента</w:t>
            </w:r>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керуючого</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рахунком</w:t>
            </w:r>
            <w:proofErr w:type="spellEnd"/>
            <w:r w:rsidRPr="00E16672">
              <w:rPr>
                <w:rFonts w:ascii="Times New Roman" w:hAnsi="Times New Roman"/>
                <w:sz w:val="16"/>
                <w:szCs w:val="16"/>
                <w:lang w:val="en-US"/>
              </w:rPr>
              <w:t xml:space="preserve"> </w:t>
            </w:r>
            <w:r w:rsidR="00C22309" w:rsidRPr="00E16672">
              <w:rPr>
                <w:rFonts w:ascii="Times New Roman" w:hAnsi="Times New Roman"/>
                <w:sz w:val="16"/>
                <w:szCs w:val="16"/>
              </w:rPr>
              <w:t>в</w:t>
            </w:r>
            <w:r w:rsidR="00C22309" w:rsidRPr="00E16672">
              <w:rPr>
                <w:rFonts w:ascii="Times New Roman" w:hAnsi="Times New Roman"/>
                <w:sz w:val="16"/>
                <w:szCs w:val="16"/>
                <w:lang w:val="en-US"/>
              </w:rPr>
              <w:t xml:space="preserve"> </w:t>
            </w:r>
            <w:proofErr w:type="spellStart"/>
            <w:r w:rsidR="00C22309" w:rsidRPr="00E16672">
              <w:rPr>
                <w:rFonts w:ascii="Times New Roman" w:hAnsi="Times New Roman"/>
                <w:sz w:val="16"/>
                <w:szCs w:val="16"/>
              </w:rPr>
              <w:t>цін</w:t>
            </w:r>
            <w:r w:rsidRPr="00E16672">
              <w:rPr>
                <w:rFonts w:ascii="Times New Roman" w:hAnsi="Times New Roman"/>
                <w:sz w:val="16"/>
                <w:szCs w:val="16"/>
              </w:rPr>
              <w:t>них</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паперах</w:t>
            </w:r>
            <w:proofErr w:type="spellEnd"/>
            <w:r w:rsidRPr="00E16672">
              <w:rPr>
                <w:rFonts w:ascii="Times New Roman" w:hAnsi="Times New Roman"/>
                <w:sz w:val="16"/>
                <w:szCs w:val="16"/>
                <w:lang w:val="en-US"/>
              </w:rPr>
              <w:t xml:space="preserve"> </w:t>
            </w:r>
            <w:r w:rsidRPr="00E16672">
              <w:rPr>
                <w:rFonts w:ascii="Times New Roman" w:hAnsi="Times New Roman"/>
                <w:sz w:val="16"/>
                <w:szCs w:val="16"/>
              </w:rPr>
              <w:t>Депонента</w:t>
            </w:r>
            <w:r w:rsidRPr="00E16672">
              <w:rPr>
                <w:rFonts w:ascii="Times New Roman" w:hAnsi="Times New Roman"/>
                <w:sz w:val="16"/>
                <w:szCs w:val="16"/>
                <w:lang w:val="en-US"/>
              </w:rPr>
              <w:t xml:space="preserve"> </w:t>
            </w:r>
            <w:r w:rsidRPr="00E16672">
              <w:rPr>
                <w:rFonts w:ascii="Times New Roman" w:hAnsi="Times New Roman"/>
                <w:sz w:val="16"/>
                <w:szCs w:val="16"/>
              </w:rPr>
              <w:t>та</w:t>
            </w:r>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цінних</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паперів</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що</w:t>
            </w:r>
            <w:proofErr w:type="spellEnd"/>
            <w:r w:rsidRPr="00E16672">
              <w:rPr>
                <w:rFonts w:ascii="Times New Roman" w:hAnsi="Times New Roman"/>
                <w:sz w:val="16"/>
                <w:szCs w:val="16"/>
                <w:lang w:val="en-US"/>
              </w:rPr>
              <w:t xml:space="preserve"> </w:t>
            </w:r>
            <w:r w:rsidRPr="00E16672">
              <w:rPr>
                <w:rFonts w:ascii="Times New Roman" w:hAnsi="Times New Roman"/>
                <w:sz w:val="16"/>
                <w:szCs w:val="16"/>
              </w:rPr>
              <w:t>належать</w:t>
            </w:r>
            <w:r w:rsidRPr="00E16672">
              <w:rPr>
                <w:rFonts w:ascii="Times New Roman" w:hAnsi="Times New Roman"/>
                <w:sz w:val="16"/>
                <w:szCs w:val="16"/>
                <w:lang w:val="en-US"/>
              </w:rPr>
              <w:t xml:space="preserve"> </w:t>
            </w:r>
            <w:r w:rsidRPr="00E16672">
              <w:rPr>
                <w:rFonts w:ascii="Times New Roman" w:hAnsi="Times New Roman"/>
                <w:sz w:val="16"/>
                <w:szCs w:val="16"/>
              </w:rPr>
              <w:t>Депоненту</w:t>
            </w:r>
            <w:r w:rsidRPr="00E16672">
              <w:rPr>
                <w:rFonts w:ascii="Times New Roman" w:hAnsi="Times New Roman"/>
                <w:sz w:val="16"/>
                <w:szCs w:val="16"/>
                <w:lang w:val="en-US"/>
              </w:rPr>
              <w:t xml:space="preserve">, </w:t>
            </w:r>
            <w:r w:rsidRPr="00E16672">
              <w:rPr>
                <w:rFonts w:ascii="Times New Roman" w:hAnsi="Times New Roman"/>
                <w:sz w:val="16"/>
                <w:szCs w:val="16"/>
              </w:rPr>
              <w:t>яка</w:t>
            </w:r>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необхідна</w:t>
            </w:r>
            <w:proofErr w:type="spellEnd"/>
            <w:r w:rsidRPr="00E16672">
              <w:rPr>
                <w:rFonts w:ascii="Times New Roman" w:hAnsi="Times New Roman"/>
                <w:sz w:val="16"/>
                <w:szCs w:val="16"/>
                <w:lang w:val="en-US"/>
              </w:rPr>
              <w:t xml:space="preserve"> </w:t>
            </w:r>
            <w:r w:rsidRPr="00E16672">
              <w:rPr>
                <w:rFonts w:ascii="Times New Roman" w:hAnsi="Times New Roman"/>
                <w:sz w:val="16"/>
                <w:szCs w:val="16"/>
              </w:rPr>
              <w:t>для</w:t>
            </w:r>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здійснення</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розрахунків</w:t>
            </w:r>
            <w:proofErr w:type="spellEnd"/>
            <w:r w:rsidRPr="00E16672">
              <w:rPr>
                <w:rFonts w:ascii="Times New Roman" w:hAnsi="Times New Roman"/>
                <w:sz w:val="16"/>
                <w:szCs w:val="16"/>
                <w:lang w:val="en-US"/>
              </w:rPr>
              <w:t xml:space="preserve"> </w:t>
            </w:r>
            <w:r w:rsidRPr="00E16672">
              <w:rPr>
                <w:rFonts w:ascii="Times New Roman" w:hAnsi="Times New Roman"/>
                <w:sz w:val="16"/>
                <w:szCs w:val="16"/>
              </w:rPr>
              <w:t>за</w:t>
            </w:r>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правочинами</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щодо</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цінних</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паперів</w:t>
            </w:r>
            <w:proofErr w:type="spellEnd"/>
            <w:r w:rsidRPr="00E16672">
              <w:rPr>
                <w:rFonts w:ascii="Times New Roman" w:hAnsi="Times New Roman"/>
                <w:sz w:val="16"/>
                <w:szCs w:val="16"/>
                <w:lang w:val="en-US"/>
              </w:rPr>
              <w:t xml:space="preserve"> </w:t>
            </w:r>
            <w:r w:rsidRPr="00E16672">
              <w:rPr>
                <w:rFonts w:ascii="Times New Roman" w:hAnsi="Times New Roman"/>
                <w:sz w:val="16"/>
                <w:szCs w:val="16"/>
              </w:rPr>
              <w:t>з</w:t>
            </w:r>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дотриманням</w:t>
            </w:r>
            <w:proofErr w:type="spellEnd"/>
            <w:r w:rsidRPr="00E16672">
              <w:rPr>
                <w:rFonts w:ascii="Times New Roman" w:hAnsi="Times New Roman"/>
                <w:sz w:val="16"/>
                <w:szCs w:val="16"/>
                <w:lang w:val="en-US"/>
              </w:rPr>
              <w:t xml:space="preserve"> </w:t>
            </w:r>
            <w:r w:rsidRPr="00E16672">
              <w:rPr>
                <w:rFonts w:ascii="Times New Roman" w:hAnsi="Times New Roman"/>
                <w:sz w:val="16"/>
                <w:szCs w:val="16"/>
              </w:rPr>
              <w:t>принципу</w:t>
            </w:r>
            <w:r w:rsidRPr="00E16672">
              <w:rPr>
                <w:rFonts w:ascii="Times New Roman" w:hAnsi="Times New Roman"/>
                <w:sz w:val="16"/>
                <w:szCs w:val="16"/>
                <w:lang w:val="en-US"/>
              </w:rPr>
              <w:t xml:space="preserve"> </w:t>
            </w:r>
            <w:r w:rsidR="00022F5F">
              <w:rPr>
                <w:rFonts w:ascii="Times New Roman" w:hAnsi="Times New Roman"/>
                <w:sz w:val="16"/>
                <w:szCs w:val="16"/>
                <w:lang w:val="en-US"/>
              </w:rPr>
              <w:t>"</w:t>
            </w:r>
            <w:r w:rsidRPr="00E16672">
              <w:rPr>
                <w:rFonts w:ascii="Times New Roman" w:hAnsi="Times New Roman"/>
                <w:sz w:val="16"/>
                <w:szCs w:val="16"/>
              </w:rPr>
              <w:t>поставка</w:t>
            </w:r>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цінних</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паперів</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проти</w:t>
            </w:r>
            <w:proofErr w:type="spellEnd"/>
            <w:r w:rsidRPr="00E16672">
              <w:rPr>
                <w:rFonts w:ascii="Times New Roman" w:hAnsi="Times New Roman"/>
                <w:sz w:val="16"/>
                <w:szCs w:val="16"/>
                <w:lang w:val="en-US"/>
              </w:rPr>
              <w:t xml:space="preserve"> </w:t>
            </w:r>
            <w:r w:rsidRPr="00E16672">
              <w:rPr>
                <w:rFonts w:ascii="Times New Roman" w:hAnsi="Times New Roman"/>
                <w:sz w:val="16"/>
                <w:szCs w:val="16"/>
              </w:rPr>
              <w:t>оплати</w:t>
            </w:r>
            <w:r w:rsidR="00022F5F">
              <w:rPr>
                <w:rFonts w:ascii="Times New Roman" w:hAnsi="Times New Roman"/>
                <w:sz w:val="16"/>
                <w:szCs w:val="16"/>
                <w:lang w:val="en-US"/>
              </w:rPr>
              <w:t>"</w:t>
            </w:r>
            <w:r w:rsidRPr="00E16672">
              <w:rPr>
                <w:rFonts w:ascii="Times New Roman" w:hAnsi="Times New Roman"/>
                <w:sz w:val="16"/>
                <w:szCs w:val="16"/>
                <w:lang w:val="en-US"/>
              </w:rPr>
              <w:t xml:space="preserve">, </w:t>
            </w:r>
            <w:r w:rsidRPr="00E16672">
              <w:rPr>
                <w:rFonts w:ascii="Times New Roman" w:hAnsi="Times New Roman"/>
                <w:sz w:val="16"/>
                <w:szCs w:val="16"/>
              </w:rPr>
              <w:t>з</w:t>
            </w:r>
            <w:r w:rsidRPr="00E16672">
              <w:rPr>
                <w:rFonts w:ascii="Times New Roman" w:hAnsi="Times New Roman"/>
                <w:sz w:val="16"/>
                <w:szCs w:val="16"/>
                <w:lang w:val="en-US"/>
              </w:rPr>
              <w:t xml:space="preserve"> </w:t>
            </w:r>
            <w:r w:rsidRPr="00E16672">
              <w:rPr>
                <w:rFonts w:ascii="Times New Roman" w:hAnsi="Times New Roman"/>
                <w:sz w:val="16"/>
                <w:szCs w:val="16"/>
              </w:rPr>
              <w:t>метою</w:t>
            </w:r>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подальшого</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надання</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такої</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інформації</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Розрахунковому</w:t>
            </w:r>
            <w:proofErr w:type="spellEnd"/>
            <w:r w:rsidRPr="00E16672">
              <w:rPr>
                <w:rFonts w:ascii="Times New Roman" w:hAnsi="Times New Roman"/>
                <w:sz w:val="16"/>
                <w:szCs w:val="16"/>
                <w:lang w:val="en-US"/>
              </w:rPr>
              <w:t xml:space="preserve"> </w:t>
            </w:r>
            <w:r w:rsidRPr="00E16672">
              <w:rPr>
                <w:rFonts w:ascii="Times New Roman" w:hAnsi="Times New Roman"/>
                <w:sz w:val="16"/>
                <w:szCs w:val="16"/>
              </w:rPr>
              <w:t>центру</w:t>
            </w:r>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чи</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кліринговій</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установі</w:t>
            </w:r>
            <w:proofErr w:type="spellEnd"/>
            <w:r w:rsidRPr="00E16672">
              <w:rPr>
                <w:rFonts w:ascii="Times New Roman" w:hAnsi="Times New Roman"/>
                <w:sz w:val="16"/>
                <w:szCs w:val="16"/>
                <w:lang w:val="en-US"/>
              </w:rPr>
              <w:t xml:space="preserve"> </w:t>
            </w:r>
            <w:r w:rsidRPr="00E16672">
              <w:rPr>
                <w:rFonts w:ascii="Times New Roman" w:hAnsi="Times New Roman"/>
                <w:sz w:val="16"/>
                <w:szCs w:val="16"/>
              </w:rPr>
              <w:t>для</w:t>
            </w:r>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її</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відображення</w:t>
            </w:r>
            <w:proofErr w:type="spellEnd"/>
            <w:r w:rsidRPr="00E16672">
              <w:rPr>
                <w:rFonts w:ascii="Times New Roman" w:hAnsi="Times New Roman"/>
                <w:sz w:val="16"/>
                <w:szCs w:val="16"/>
                <w:lang w:val="en-US"/>
              </w:rPr>
              <w:t xml:space="preserve"> </w:t>
            </w:r>
            <w:r w:rsidRPr="00E16672">
              <w:rPr>
                <w:rFonts w:ascii="Times New Roman" w:hAnsi="Times New Roman"/>
                <w:sz w:val="16"/>
                <w:szCs w:val="16"/>
              </w:rPr>
              <w:t>у</w:t>
            </w:r>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внутрішній</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системі</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обліку</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такої</w:t>
            </w:r>
            <w:proofErr w:type="spellEnd"/>
            <w:r w:rsidRPr="00E16672">
              <w:rPr>
                <w:rFonts w:ascii="Times New Roman" w:hAnsi="Times New Roman"/>
                <w:sz w:val="16"/>
                <w:szCs w:val="16"/>
                <w:lang w:val="en-US"/>
              </w:rPr>
              <w:t xml:space="preserve"> </w:t>
            </w:r>
            <w:r w:rsidRPr="00E16672">
              <w:rPr>
                <w:rFonts w:ascii="Times New Roman" w:hAnsi="Times New Roman"/>
                <w:sz w:val="16"/>
                <w:szCs w:val="16"/>
              </w:rPr>
              <w:t>особи</w:t>
            </w:r>
            <w:r w:rsidRPr="00E16672">
              <w:rPr>
                <w:rFonts w:ascii="Times New Roman" w:hAnsi="Times New Roman"/>
                <w:sz w:val="16"/>
                <w:szCs w:val="16"/>
                <w:lang w:val="en-US"/>
              </w:rPr>
              <w:t xml:space="preserve">, </w:t>
            </w:r>
            <w:r w:rsidRPr="00E16672">
              <w:rPr>
                <w:rFonts w:ascii="Times New Roman" w:hAnsi="Times New Roman"/>
                <w:sz w:val="16"/>
                <w:szCs w:val="16"/>
              </w:rPr>
              <w:t>про</w:t>
            </w:r>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що</w:t>
            </w:r>
            <w:proofErr w:type="spellEnd"/>
            <w:r w:rsidRPr="00E16672">
              <w:rPr>
                <w:rFonts w:ascii="Times New Roman" w:hAnsi="Times New Roman"/>
                <w:sz w:val="16"/>
                <w:szCs w:val="16"/>
                <w:lang w:val="en-US"/>
              </w:rPr>
              <w:t xml:space="preserve"> </w:t>
            </w:r>
            <w:r w:rsidRPr="00E16672">
              <w:rPr>
                <w:rFonts w:ascii="Times New Roman" w:hAnsi="Times New Roman"/>
                <w:sz w:val="16"/>
                <w:szCs w:val="16"/>
              </w:rPr>
              <w:t>Депонент</w:t>
            </w:r>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надає</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згоду</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підписавши</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цей</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Договір</w:t>
            </w:r>
            <w:proofErr w:type="spellEnd"/>
            <w:r w:rsidRPr="00E16672">
              <w:rPr>
                <w:rFonts w:ascii="Times New Roman" w:hAnsi="Times New Roman"/>
                <w:sz w:val="16"/>
                <w:szCs w:val="16"/>
                <w:lang w:val="en-US"/>
              </w:rPr>
              <w:t>.</w:t>
            </w:r>
          </w:p>
          <w:p w14:paraId="3378B544" w14:textId="77777777" w:rsidR="003A05A3" w:rsidRPr="00E16672" w:rsidRDefault="003A05A3" w:rsidP="00843027">
            <w:pPr>
              <w:snapToGrid w:val="0"/>
              <w:ind w:left="175" w:right="138" w:firstLine="7"/>
              <w:rPr>
                <w:rFonts w:ascii="Times New Roman" w:hAnsi="Times New Roman"/>
                <w:lang w:val="en-US"/>
              </w:rPr>
            </w:pPr>
          </w:p>
        </w:tc>
        <w:tc>
          <w:tcPr>
            <w:tcW w:w="5494" w:type="dxa"/>
            <w:gridSpan w:val="6"/>
            <w:shd w:val="clear" w:color="auto" w:fill="auto"/>
          </w:tcPr>
          <w:p w14:paraId="38CEC938" w14:textId="77777777" w:rsidR="003A05A3" w:rsidRPr="00E16672" w:rsidRDefault="003A05A3" w:rsidP="00843027">
            <w:pPr>
              <w:tabs>
                <w:tab w:val="left" w:pos="287"/>
              </w:tabs>
              <w:snapToGrid w:val="0"/>
              <w:ind w:left="145" w:right="100" w:firstLine="7"/>
              <w:rPr>
                <w:rFonts w:ascii="Times New Roman" w:hAnsi="Times New Roman"/>
                <w:sz w:val="16"/>
                <w:szCs w:val="16"/>
                <w:lang w:val="en-GB"/>
              </w:rPr>
            </w:pPr>
            <w:r w:rsidRPr="00E16672">
              <w:rPr>
                <w:rFonts w:ascii="Times New Roman" w:hAnsi="Times New Roman"/>
                <w:sz w:val="16"/>
                <w:szCs w:val="16"/>
                <w:lang w:val="en-GB"/>
              </w:rPr>
              <w:t xml:space="preserve">7.4. Depository institution provides </w:t>
            </w:r>
            <w:r w:rsidRPr="00E16672">
              <w:rPr>
                <w:rFonts w:ascii="Times New Roman" w:hAnsi="Times New Roman"/>
                <w:sz w:val="16"/>
                <w:szCs w:val="16"/>
                <w:lang w:val="en-US"/>
              </w:rPr>
              <w:t>C</w:t>
            </w:r>
            <w:proofErr w:type="spellStart"/>
            <w:r w:rsidRPr="00E16672">
              <w:rPr>
                <w:rFonts w:ascii="Times New Roman" w:hAnsi="Times New Roman"/>
                <w:sz w:val="16"/>
                <w:szCs w:val="16"/>
                <w:lang w:val="en-GB"/>
              </w:rPr>
              <w:t>entral</w:t>
            </w:r>
            <w:proofErr w:type="spellEnd"/>
            <w:r w:rsidRPr="00E16672">
              <w:rPr>
                <w:rFonts w:ascii="Times New Roman" w:hAnsi="Times New Roman"/>
                <w:sz w:val="16"/>
                <w:szCs w:val="16"/>
                <w:lang w:val="en-GB"/>
              </w:rPr>
              <w:t xml:space="preserve"> securities depository</w:t>
            </w:r>
            <w:r w:rsidRPr="00E16672">
              <w:rPr>
                <w:rFonts w:ascii="Times New Roman" w:hAnsi="Times New Roman"/>
                <w:bCs/>
                <w:sz w:val="16"/>
                <w:szCs w:val="16"/>
                <w:lang w:val="en-US"/>
              </w:rPr>
              <w:t>,</w:t>
            </w:r>
            <w:r w:rsidRPr="00F23413">
              <w:rPr>
                <w:rStyle w:val="WW8Num7z0"/>
                <w:rFonts w:ascii="Times New Roman" w:hAnsi="Times New Roman"/>
                <w:lang w:val="en-US"/>
              </w:rPr>
              <w:t xml:space="preserve"> </w:t>
            </w:r>
            <w:r w:rsidRPr="00E16672">
              <w:rPr>
                <w:rFonts w:ascii="Times New Roman" w:hAnsi="Times New Roman"/>
                <w:sz w:val="16"/>
                <w:szCs w:val="16"/>
                <w:lang w:val="en-GB"/>
              </w:rPr>
              <w:t>other participants in the depository system in accordance with current law,</w:t>
            </w:r>
            <w:r w:rsidRPr="00E16672">
              <w:rPr>
                <w:rFonts w:ascii="Times New Roman" w:hAnsi="Times New Roman"/>
                <w:bCs/>
                <w:sz w:val="16"/>
                <w:szCs w:val="16"/>
                <w:lang w:val="en-GB"/>
              </w:rPr>
              <w:t xml:space="preserve"> </w:t>
            </w:r>
            <w:r w:rsidRPr="00E16672">
              <w:rPr>
                <w:rFonts w:ascii="Times New Roman" w:hAnsi="Times New Roman"/>
                <w:sz w:val="16"/>
                <w:szCs w:val="16"/>
                <w:lang w:val="en-GB"/>
              </w:rPr>
              <w:t xml:space="preserve"> information about the Depositor, Depositor's</w:t>
            </w:r>
            <w:r w:rsidRPr="00E16672">
              <w:rPr>
                <w:rFonts w:ascii="Times New Roman" w:hAnsi="Times New Roman"/>
                <w:sz w:val="16"/>
                <w:szCs w:val="16"/>
                <w:lang w:val="en-US"/>
              </w:rPr>
              <w:t xml:space="preserve"> administrator</w:t>
            </w:r>
            <w:r w:rsidRPr="00E16672">
              <w:rPr>
                <w:rFonts w:ascii="Times New Roman" w:hAnsi="Times New Roman"/>
                <w:sz w:val="16"/>
                <w:szCs w:val="16"/>
                <w:lang w:val="en-GB"/>
              </w:rPr>
              <w:t xml:space="preserve"> </w:t>
            </w:r>
            <w:r w:rsidRPr="00E16672">
              <w:rPr>
                <w:rFonts w:ascii="Times New Roman" w:hAnsi="Times New Roman"/>
                <w:sz w:val="16"/>
                <w:szCs w:val="16"/>
                <w:lang w:val="en-US"/>
              </w:rPr>
              <w:t xml:space="preserve">of the </w:t>
            </w:r>
            <w:r w:rsidRPr="00E16672">
              <w:rPr>
                <w:rFonts w:ascii="Times New Roman" w:hAnsi="Times New Roman"/>
                <w:sz w:val="16"/>
                <w:szCs w:val="16"/>
                <w:lang w:val="en-GB"/>
              </w:rPr>
              <w:t>account</w:t>
            </w:r>
            <w:r w:rsidRPr="00E16672">
              <w:rPr>
                <w:rFonts w:ascii="Times New Roman" w:hAnsi="Times New Roman"/>
                <w:sz w:val="16"/>
                <w:szCs w:val="16"/>
                <w:lang w:val="en-US"/>
              </w:rPr>
              <w:t xml:space="preserve"> in</w:t>
            </w:r>
            <w:r w:rsidRPr="00E16672">
              <w:rPr>
                <w:rFonts w:ascii="Times New Roman" w:hAnsi="Times New Roman"/>
                <w:sz w:val="16"/>
                <w:szCs w:val="16"/>
                <w:lang w:val="en-GB"/>
              </w:rPr>
              <w:t xml:space="preserve">  securities and securities belonging to the </w:t>
            </w:r>
            <w:r w:rsidRPr="00E16672">
              <w:rPr>
                <w:rFonts w:ascii="Times New Roman" w:hAnsi="Times New Roman"/>
                <w:sz w:val="16"/>
                <w:szCs w:val="16"/>
                <w:lang w:val="en-US"/>
              </w:rPr>
              <w:t>D</w:t>
            </w:r>
            <w:proofErr w:type="spellStart"/>
            <w:r w:rsidRPr="00E16672">
              <w:rPr>
                <w:rFonts w:ascii="Times New Roman" w:hAnsi="Times New Roman"/>
                <w:sz w:val="16"/>
                <w:szCs w:val="16"/>
                <w:lang w:val="en-GB"/>
              </w:rPr>
              <w:t>epositor</w:t>
            </w:r>
            <w:proofErr w:type="spellEnd"/>
            <w:r w:rsidRPr="00E16672">
              <w:rPr>
                <w:rFonts w:ascii="Times New Roman" w:hAnsi="Times New Roman"/>
                <w:sz w:val="16"/>
                <w:szCs w:val="16"/>
                <w:lang w:val="en-GB"/>
              </w:rPr>
              <w:t xml:space="preserve"> is required to make payments for legal actions concerning securities in compliance with the principle of "delivery of securities against payment" in order to continue to provide such information </w:t>
            </w:r>
            <w:r w:rsidRPr="00E16672">
              <w:rPr>
                <w:rFonts w:ascii="Times New Roman" w:hAnsi="Times New Roman"/>
                <w:sz w:val="16"/>
                <w:szCs w:val="16"/>
                <w:lang w:val="en-US"/>
              </w:rPr>
              <w:t>Accounting</w:t>
            </w:r>
            <w:r w:rsidRPr="00E16672">
              <w:rPr>
                <w:rFonts w:ascii="Times New Roman" w:hAnsi="Times New Roman"/>
                <w:sz w:val="16"/>
                <w:szCs w:val="16"/>
                <w:lang w:val="en-GB"/>
              </w:rPr>
              <w:t xml:space="preserve"> </w:t>
            </w:r>
            <w:proofErr w:type="spellStart"/>
            <w:r w:rsidRPr="00E16672">
              <w:rPr>
                <w:rFonts w:ascii="Times New Roman" w:hAnsi="Times New Roman"/>
                <w:sz w:val="16"/>
                <w:szCs w:val="16"/>
                <w:lang w:val="en-GB"/>
              </w:rPr>
              <w:t>center</w:t>
            </w:r>
            <w:proofErr w:type="spellEnd"/>
            <w:r w:rsidRPr="00E16672">
              <w:rPr>
                <w:rFonts w:ascii="Times New Roman" w:hAnsi="Times New Roman"/>
                <w:sz w:val="16"/>
                <w:szCs w:val="16"/>
                <w:lang w:val="en-GB"/>
              </w:rPr>
              <w:t xml:space="preserve"> or clearing institution to display it in the internal accounting system of </w:t>
            </w:r>
            <w:r w:rsidRPr="00E16672">
              <w:rPr>
                <w:rFonts w:ascii="Times New Roman" w:hAnsi="Times New Roman"/>
                <w:sz w:val="16"/>
                <w:szCs w:val="16"/>
                <w:lang w:val="en-US"/>
              </w:rPr>
              <w:t>such</w:t>
            </w:r>
            <w:r w:rsidRPr="00E16672">
              <w:rPr>
                <w:rFonts w:ascii="Times New Roman" w:hAnsi="Times New Roman"/>
                <w:sz w:val="16"/>
                <w:szCs w:val="16"/>
                <w:lang w:val="en-GB"/>
              </w:rPr>
              <w:t xml:space="preserve"> person, as Depositor provides consent by signing this Agreement.</w:t>
            </w:r>
          </w:p>
        </w:tc>
      </w:tr>
      <w:tr w:rsidR="003A05A3" w:rsidRPr="00F23413" w14:paraId="7C4C1233" w14:textId="77777777" w:rsidTr="00242F58">
        <w:trPr>
          <w:trHeight w:val="192"/>
        </w:trPr>
        <w:tc>
          <w:tcPr>
            <w:tcW w:w="5696" w:type="dxa"/>
            <w:gridSpan w:val="8"/>
            <w:shd w:val="clear" w:color="auto" w:fill="auto"/>
          </w:tcPr>
          <w:p w14:paraId="55A62966" w14:textId="77777777" w:rsidR="003A05A3" w:rsidRPr="00E16672" w:rsidRDefault="003A05A3" w:rsidP="00843027">
            <w:pPr>
              <w:snapToGrid w:val="0"/>
              <w:ind w:left="175" w:right="138"/>
              <w:jc w:val="center"/>
              <w:rPr>
                <w:rFonts w:ascii="Times New Roman" w:hAnsi="Times New Roman"/>
                <w:b/>
                <w:caps/>
                <w:sz w:val="16"/>
                <w:szCs w:val="16"/>
              </w:rPr>
            </w:pPr>
            <w:r w:rsidRPr="00E16672">
              <w:rPr>
                <w:rFonts w:ascii="Times New Roman" w:hAnsi="Times New Roman"/>
                <w:b/>
                <w:caps/>
                <w:sz w:val="16"/>
                <w:szCs w:val="16"/>
              </w:rPr>
              <w:t xml:space="preserve">8. Виконання умов договору. </w:t>
            </w:r>
          </w:p>
          <w:p w14:paraId="628F172D" w14:textId="77777777" w:rsidR="003A05A3" w:rsidRPr="00E16672" w:rsidRDefault="003A05A3" w:rsidP="00843027">
            <w:pPr>
              <w:ind w:left="175" w:right="138"/>
              <w:jc w:val="center"/>
              <w:rPr>
                <w:rFonts w:ascii="Times New Roman" w:hAnsi="Times New Roman"/>
                <w:b/>
                <w:caps/>
                <w:sz w:val="16"/>
                <w:szCs w:val="16"/>
              </w:rPr>
            </w:pPr>
            <w:r w:rsidRPr="00E16672">
              <w:rPr>
                <w:rFonts w:ascii="Times New Roman" w:hAnsi="Times New Roman"/>
                <w:b/>
                <w:caps/>
                <w:sz w:val="16"/>
                <w:szCs w:val="16"/>
              </w:rPr>
              <w:t xml:space="preserve">Порядок закриття рахунку </w:t>
            </w:r>
            <w:r w:rsidR="00C22309" w:rsidRPr="00E16672">
              <w:rPr>
                <w:rFonts w:ascii="Times New Roman" w:hAnsi="Times New Roman"/>
                <w:b/>
                <w:caps/>
                <w:sz w:val="16"/>
                <w:szCs w:val="16"/>
              </w:rPr>
              <w:t>в цін</w:t>
            </w:r>
            <w:r w:rsidRPr="00E16672">
              <w:rPr>
                <w:rFonts w:ascii="Times New Roman" w:hAnsi="Times New Roman"/>
                <w:b/>
                <w:caps/>
                <w:sz w:val="16"/>
                <w:szCs w:val="16"/>
              </w:rPr>
              <w:t>них паперах. Особливі умови.</w:t>
            </w:r>
          </w:p>
          <w:p w14:paraId="2679137C" w14:textId="77777777" w:rsidR="003A05A3" w:rsidRPr="00E16672" w:rsidRDefault="003A05A3" w:rsidP="00843027">
            <w:pPr>
              <w:ind w:left="175" w:right="138"/>
              <w:jc w:val="center"/>
              <w:rPr>
                <w:rFonts w:ascii="Times New Roman" w:hAnsi="Times New Roman"/>
                <w:sz w:val="16"/>
                <w:szCs w:val="16"/>
                <w:shd w:val="clear" w:color="auto" w:fill="FFFF00"/>
              </w:rPr>
            </w:pPr>
          </w:p>
          <w:p w14:paraId="0DED3260" w14:textId="77777777" w:rsidR="003A05A3" w:rsidRPr="00E16672" w:rsidRDefault="003A05A3" w:rsidP="00843027">
            <w:pPr>
              <w:snapToGrid w:val="0"/>
              <w:ind w:left="175" w:right="138" w:firstLine="0"/>
              <w:rPr>
                <w:rFonts w:ascii="Times New Roman" w:hAnsi="Times New Roman"/>
                <w:sz w:val="16"/>
                <w:szCs w:val="16"/>
              </w:rPr>
            </w:pPr>
            <w:r w:rsidRPr="00E16672">
              <w:rPr>
                <w:rFonts w:ascii="Times New Roman" w:hAnsi="Times New Roman"/>
                <w:sz w:val="16"/>
                <w:szCs w:val="16"/>
              </w:rPr>
              <w:t xml:space="preserve">8.1. </w:t>
            </w:r>
            <w:proofErr w:type="spellStart"/>
            <w:r w:rsidRPr="00E16672">
              <w:rPr>
                <w:rFonts w:ascii="Times New Roman" w:hAnsi="Times New Roman"/>
                <w:sz w:val="16"/>
                <w:szCs w:val="16"/>
              </w:rPr>
              <w:t>Депозитарна</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установа</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має</w:t>
            </w:r>
            <w:proofErr w:type="spellEnd"/>
            <w:r w:rsidRPr="00E16672">
              <w:rPr>
                <w:rFonts w:ascii="Times New Roman" w:hAnsi="Times New Roman"/>
                <w:sz w:val="16"/>
                <w:szCs w:val="16"/>
              </w:rPr>
              <w:t xml:space="preserve"> статус </w:t>
            </w:r>
            <w:proofErr w:type="spellStart"/>
            <w:r w:rsidRPr="00E16672">
              <w:rPr>
                <w:rFonts w:ascii="Times New Roman" w:hAnsi="Times New Roman"/>
                <w:sz w:val="16"/>
                <w:szCs w:val="16"/>
              </w:rPr>
              <w:t>платника</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податку</w:t>
            </w:r>
            <w:proofErr w:type="spellEnd"/>
            <w:r w:rsidRPr="00E16672">
              <w:rPr>
                <w:rFonts w:ascii="Times New Roman" w:hAnsi="Times New Roman"/>
                <w:sz w:val="16"/>
                <w:szCs w:val="16"/>
              </w:rPr>
              <w:t xml:space="preserve"> на </w:t>
            </w:r>
            <w:proofErr w:type="spellStart"/>
            <w:r w:rsidRPr="00E16672">
              <w:rPr>
                <w:rFonts w:ascii="Times New Roman" w:hAnsi="Times New Roman"/>
                <w:sz w:val="16"/>
                <w:szCs w:val="16"/>
              </w:rPr>
              <w:t>прибуток</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підприємства</w:t>
            </w:r>
            <w:proofErr w:type="spellEnd"/>
            <w:r w:rsidRPr="00E16672">
              <w:rPr>
                <w:rFonts w:ascii="Times New Roman" w:hAnsi="Times New Roman"/>
                <w:sz w:val="16"/>
                <w:szCs w:val="16"/>
              </w:rPr>
              <w:t xml:space="preserve"> на </w:t>
            </w:r>
            <w:proofErr w:type="spellStart"/>
            <w:r w:rsidRPr="00E16672">
              <w:rPr>
                <w:rFonts w:ascii="Times New Roman" w:hAnsi="Times New Roman"/>
                <w:sz w:val="16"/>
                <w:szCs w:val="16"/>
              </w:rPr>
              <w:t>загальних</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умовах</w:t>
            </w:r>
            <w:proofErr w:type="spellEnd"/>
            <w:r w:rsidRPr="00E16672">
              <w:rPr>
                <w:rFonts w:ascii="Times New Roman" w:hAnsi="Times New Roman"/>
                <w:sz w:val="16"/>
                <w:szCs w:val="16"/>
              </w:rPr>
              <w:t>.</w:t>
            </w:r>
          </w:p>
        </w:tc>
        <w:tc>
          <w:tcPr>
            <w:tcW w:w="5494" w:type="dxa"/>
            <w:gridSpan w:val="6"/>
            <w:shd w:val="clear" w:color="auto" w:fill="auto"/>
          </w:tcPr>
          <w:p w14:paraId="5FB2346F" w14:textId="77777777" w:rsidR="003A05A3" w:rsidRPr="00E16672" w:rsidRDefault="003A05A3" w:rsidP="00843027">
            <w:pPr>
              <w:tabs>
                <w:tab w:val="left" w:pos="287"/>
              </w:tabs>
              <w:snapToGrid w:val="0"/>
              <w:ind w:left="145" w:right="100"/>
              <w:jc w:val="center"/>
              <w:rPr>
                <w:rFonts w:ascii="Times New Roman" w:hAnsi="Times New Roman"/>
                <w:b/>
                <w:sz w:val="16"/>
                <w:szCs w:val="16"/>
                <w:lang w:val="en-GB"/>
              </w:rPr>
            </w:pPr>
            <w:r w:rsidRPr="00E16672">
              <w:rPr>
                <w:rFonts w:ascii="Times New Roman" w:hAnsi="Times New Roman"/>
                <w:b/>
                <w:sz w:val="16"/>
                <w:szCs w:val="16"/>
                <w:lang w:val="en-GB"/>
              </w:rPr>
              <w:t xml:space="preserve">8. EXECUTIONS THE CONDITIONSOF THE AGREEMENT. </w:t>
            </w:r>
          </w:p>
          <w:p w14:paraId="529282EE" w14:textId="77777777" w:rsidR="003A05A3" w:rsidRPr="00F23413" w:rsidRDefault="003A05A3" w:rsidP="00843027">
            <w:pPr>
              <w:tabs>
                <w:tab w:val="left" w:pos="287"/>
              </w:tabs>
              <w:snapToGrid w:val="0"/>
              <w:ind w:left="145" w:right="100"/>
              <w:jc w:val="center"/>
              <w:rPr>
                <w:rStyle w:val="shorttext"/>
                <w:rFonts w:ascii="Times New Roman" w:hAnsi="Times New Roman"/>
                <w:lang w:val="en-US"/>
              </w:rPr>
            </w:pPr>
            <w:r w:rsidRPr="00E16672">
              <w:rPr>
                <w:rFonts w:ascii="Times New Roman" w:hAnsi="Times New Roman"/>
                <w:b/>
                <w:caps/>
                <w:sz w:val="16"/>
                <w:szCs w:val="16"/>
                <w:lang w:val="en-GB"/>
              </w:rPr>
              <w:t>Procedure for closing a</w:t>
            </w:r>
            <w:r w:rsidRPr="00E16672">
              <w:rPr>
                <w:rFonts w:ascii="Times New Roman" w:hAnsi="Times New Roman"/>
                <w:b/>
                <w:caps/>
                <w:sz w:val="16"/>
                <w:szCs w:val="16"/>
                <w:lang w:val="en-US"/>
              </w:rPr>
              <w:t xml:space="preserve">n </w:t>
            </w:r>
            <w:proofErr w:type="gramStart"/>
            <w:r w:rsidRPr="00E16672">
              <w:rPr>
                <w:rFonts w:ascii="Times New Roman" w:hAnsi="Times New Roman"/>
                <w:b/>
                <w:caps/>
                <w:sz w:val="16"/>
                <w:szCs w:val="16"/>
                <w:lang w:val="en-GB"/>
              </w:rPr>
              <w:t xml:space="preserve">account </w:t>
            </w:r>
            <w:r w:rsidRPr="00E16672">
              <w:rPr>
                <w:rFonts w:ascii="Times New Roman" w:hAnsi="Times New Roman"/>
                <w:b/>
                <w:caps/>
                <w:sz w:val="16"/>
                <w:szCs w:val="16"/>
                <w:lang w:val="en-US"/>
              </w:rPr>
              <w:t xml:space="preserve"> in</w:t>
            </w:r>
            <w:proofErr w:type="gramEnd"/>
            <w:r w:rsidRPr="00E16672">
              <w:rPr>
                <w:rFonts w:ascii="Times New Roman" w:hAnsi="Times New Roman"/>
                <w:b/>
                <w:caps/>
                <w:sz w:val="16"/>
                <w:szCs w:val="16"/>
                <w:lang w:val="en-US"/>
              </w:rPr>
              <w:t xml:space="preserve"> </w:t>
            </w:r>
            <w:r w:rsidRPr="00E16672">
              <w:rPr>
                <w:rFonts w:ascii="Times New Roman" w:hAnsi="Times New Roman"/>
                <w:b/>
                <w:caps/>
                <w:sz w:val="16"/>
                <w:szCs w:val="16"/>
                <w:lang w:val="en-GB"/>
              </w:rPr>
              <w:t>securities</w:t>
            </w:r>
            <w:r w:rsidRPr="00F23413">
              <w:rPr>
                <w:rStyle w:val="shorttext"/>
                <w:rFonts w:ascii="Times New Roman" w:hAnsi="Times New Roman"/>
                <w:lang w:val="en-US"/>
              </w:rPr>
              <w:t>.</w:t>
            </w:r>
          </w:p>
          <w:p w14:paraId="59B5C0EC" w14:textId="77777777" w:rsidR="003A05A3" w:rsidRPr="00E16672" w:rsidRDefault="003A05A3" w:rsidP="00843027">
            <w:pPr>
              <w:tabs>
                <w:tab w:val="left" w:pos="287"/>
              </w:tabs>
              <w:snapToGrid w:val="0"/>
              <w:ind w:left="145" w:right="100"/>
              <w:jc w:val="center"/>
              <w:rPr>
                <w:rFonts w:ascii="Times New Roman" w:hAnsi="Times New Roman"/>
                <w:b/>
                <w:sz w:val="16"/>
                <w:szCs w:val="16"/>
                <w:lang w:val="en-GB"/>
              </w:rPr>
            </w:pPr>
            <w:r w:rsidRPr="00E16672">
              <w:rPr>
                <w:rFonts w:ascii="Times New Roman" w:hAnsi="Times New Roman"/>
                <w:b/>
                <w:sz w:val="16"/>
                <w:szCs w:val="16"/>
                <w:lang w:val="en-GB"/>
              </w:rPr>
              <w:t>SPECIAL CONDITIONS.</w:t>
            </w:r>
          </w:p>
          <w:p w14:paraId="2CB6FD1F" w14:textId="77777777" w:rsidR="003A05A3" w:rsidRPr="00E16672" w:rsidRDefault="003A05A3" w:rsidP="00843027">
            <w:pPr>
              <w:tabs>
                <w:tab w:val="left" w:pos="287"/>
              </w:tabs>
              <w:snapToGrid w:val="0"/>
              <w:ind w:left="145" w:right="100"/>
              <w:jc w:val="center"/>
              <w:rPr>
                <w:rFonts w:ascii="Times New Roman" w:hAnsi="Times New Roman"/>
                <w:sz w:val="16"/>
                <w:szCs w:val="16"/>
                <w:shd w:val="clear" w:color="auto" w:fill="FFFF00"/>
                <w:lang w:val="en-GB"/>
              </w:rPr>
            </w:pPr>
          </w:p>
          <w:p w14:paraId="03194A82" w14:textId="77777777" w:rsidR="003A05A3" w:rsidRPr="00E16672" w:rsidRDefault="003A05A3" w:rsidP="00843027">
            <w:pPr>
              <w:pStyle w:val="310"/>
              <w:tabs>
                <w:tab w:val="left" w:pos="287"/>
                <w:tab w:val="left" w:pos="1137"/>
                <w:tab w:val="left" w:pos="1191"/>
              </w:tabs>
              <w:snapToGrid w:val="0"/>
              <w:ind w:left="145" w:right="100" w:firstLine="0"/>
              <w:rPr>
                <w:rFonts w:ascii="Times New Roman" w:hAnsi="Times New Roman"/>
                <w:sz w:val="16"/>
                <w:szCs w:val="16"/>
              </w:rPr>
            </w:pPr>
            <w:r w:rsidRPr="00E16672">
              <w:rPr>
                <w:rFonts w:ascii="Times New Roman" w:hAnsi="Times New Roman"/>
                <w:sz w:val="16"/>
                <w:szCs w:val="16"/>
              </w:rPr>
              <w:t xml:space="preserve">8.1. </w:t>
            </w:r>
            <w:proofErr w:type="spellStart"/>
            <w:r w:rsidRPr="00E16672">
              <w:rPr>
                <w:rFonts w:ascii="Times New Roman" w:hAnsi="Times New Roman"/>
                <w:sz w:val="16"/>
                <w:szCs w:val="16"/>
              </w:rPr>
              <w:t>Depository</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institution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has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status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of</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payer</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of</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company</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income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tax</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general</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conditions</w:t>
            </w:r>
            <w:proofErr w:type="spellEnd"/>
            <w:r w:rsidRPr="00E16672">
              <w:rPr>
                <w:rFonts w:ascii="Times New Roman" w:hAnsi="Times New Roman"/>
                <w:sz w:val="16"/>
                <w:szCs w:val="16"/>
              </w:rPr>
              <w:t>.</w:t>
            </w:r>
          </w:p>
        </w:tc>
      </w:tr>
      <w:tr w:rsidR="003A05A3" w:rsidRPr="00F23413" w14:paraId="7A315439" w14:textId="77777777" w:rsidTr="00242F58">
        <w:trPr>
          <w:trHeight w:val="192"/>
        </w:trPr>
        <w:tc>
          <w:tcPr>
            <w:tcW w:w="5696" w:type="dxa"/>
            <w:gridSpan w:val="8"/>
            <w:shd w:val="clear" w:color="auto" w:fill="auto"/>
          </w:tcPr>
          <w:p w14:paraId="0D63187B" w14:textId="77777777" w:rsidR="003A05A3" w:rsidRPr="00E16672" w:rsidRDefault="003A05A3" w:rsidP="00843027">
            <w:pPr>
              <w:snapToGrid w:val="0"/>
              <w:ind w:left="175" w:right="138" w:firstLine="0"/>
              <w:rPr>
                <w:rFonts w:ascii="Times New Roman" w:hAnsi="Times New Roman"/>
                <w:color w:val="000000"/>
                <w:sz w:val="16"/>
                <w:szCs w:val="16"/>
                <w:lang w:val="uk-UA"/>
              </w:rPr>
            </w:pPr>
          </w:p>
          <w:p w14:paraId="2DAEEB18" w14:textId="77777777" w:rsidR="003A05A3" w:rsidRPr="00E16672" w:rsidRDefault="003A05A3" w:rsidP="00843027">
            <w:pPr>
              <w:snapToGrid w:val="0"/>
              <w:ind w:left="175" w:right="138" w:firstLine="0"/>
              <w:rPr>
                <w:rFonts w:ascii="Times New Roman" w:hAnsi="Times New Roman"/>
                <w:b/>
                <w:caps/>
                <w:color w:val="000000"/>
                <w:sz w:val="16"/>
                <w:szCs w:val="16"/>
              </w:rPr>
            </w:pPr>
            <w:r w:rsidRPr="00E16672">
              <w:rPr>
                <w:rFonts w:ascii="Times New Roman" w:hAnsi="Times New Roman"/>
                <w:color w:val="000000"/>
                <w:sz w:val="16"/>
                <w:szCs w:val="16"/>
                <w:lang w:val="uk-UA"/>
              </w:rPr>
              <w:t xml:space="preserve">8.2. </w:t>
            </w:r>
            <w:proofErr w:type="spellStart"/>
            <w:r w:rsidRPr="00E16672">
              <w:rPr>
                <w:rFonts w:ascii="Times New Roman" w:hAnsi="Times New Roman"/>
                <w:color w:val="000000"/>
                <w:sz w:val="16"/>
                <w:szCs w:val="16"/>
              </w:rPr>
              <w:t>Підписанням</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цього</w:t>
            </w:r>
            <w:proofErr w:type="spellEnd"/>
            <w:r w:rsidRPr="00E16672">
              <w:rPr>
                <w:rFonts w:ascii="Times New Roman" w:hAnsi="Times New Roman"/>
                <w:color w:val="000000"/>
                <w:sz w:val="16"/>
                <w:szCs w:val="16"/>
              </w:rPr>
              <w:t xml:space="preserve"> Договору Депонент </w:t>
            </w:r>
            <w:proofErr w:type="spellStart"/>
            <w:r w:rsidRPr="00E16672">
              <w:rPr>
                <w:rFonts w:ascii="Times New Roman" w:hAnsi="Times New Roman"/>
                <w:color w:val="000000"/>
                <w:sz w:val="16"/>
                <w:szCs w:val="16"/>
              </w:rPr>
              <w:t>підтверджує</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що</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ознайомлений</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із</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внутрішніми</w:t>
            </w:r>
            <w:proofErr w:type="spellEnd"/>
            <w:r w:rsidRPr="00E16672">
              <w:rPr>
                <w:rFonts w:ascii="Times New Roman" w:hAnsi="Times New Roman"/>
                <w:color w:val="000000"/>
                <w:sz w:val="16"/>
                <w:szCs w:val="16"/>
              </w:rPr>
              <w:t xml:space="preserve"> документами </w:t>
            </w:r>
            <w:proofErr w:type="spellStart"/>
            <w:r w:rsidRPr="00E16672">
              <w:rPr>
                <w:rFonts w:ascii="Times New Roman" w:hAnsi="Times New Roman"/>
                <w:color w:val="000000"/>
                <w:sz w:val="16"/>
                <w:szCs w:val="16"/>
              </w:rPr>
              <w:t>Депозитарної</w:t>
            </w:r>
            <w:proofErr w:type="spellEnd"/>
            <w:r w:rsidRPr="00E16672">
              <w:rPr>
                <w:rFonts w:ascii="Times New Roman" w:hAnsi="Times New Roman"/>
                <w:color w:val="000000"/>
                <w:sz w:val="16"/>
                <w:szCs w:val="16"/>
              </w:rPr>
              <w:t xml:space="preserve"> установи, тарифами </w:t>
            </w:r>
            <w:proofErr w:type="spellStart"/>
            <w:r w:rsidRPr="00E16672">
              <w:rPr>
                <w:rFonts w:ascii="Times New Roman" w:hAnsi="Times New Roman"/>
                <w:color w:val="000000"/>
                <w:sz w:val="16"/>
                <w:szCs w:val="16"/>
              </w:rPr>
              <w:t>Депозитарної</w:t>
            </w:r>
            <w:proofErr w:type="spellEnd"/>
            <w:r w:rsidRPr="00E16672">
              <w:rPr>
                <w:rFonts w:ascii="Times New Roman" w:hAnsi="Times New Roman"/>
                <w:color w:val="000000"/>
                <w:sz w:val="16"/>
                <w:szCs w:val="16"/>
              </w:rPr>
              <w:t xml:space="preserve"> установи.</w:t>
            </w:r>
          </w:p>
        </w:tc>
        <w:tc>
          <w:tcPr>
            <w:tcW w:w="5494" w:type="dxa"/>
            <w:gridSpan w:val="6"/>
            <w:shd w:val="clear" w:color="auto" w:fill="auto"/>
          </w:tcPr>
          <w:p w14:paraId="2A7DCB57" w14:textId="77777777" w:rsidR="003A05A3" w:rsidRPr="00E16672" w:rsidRDefault="003A05A3" w:rsidP="00843027">
            <w:pPr>
              <w:snapToGrid w:val="0"/>
              <w:ind w:left="175" w:right="138" w:firstLine="0"/>
              <w:rPr>
                <w:rFonts w:ascii="Times New Roman" w:hAnsi="Times New Roman"/>
                <w:color w:val="000000"/>
                <w:sz w:val="16"/>
                <w:szCs w:val="16"/>
                <w:lang w:val="uk-UA"/>
              </w:rPr>
            </w:pPr>
          </w:p>
          <w:p w14:paraId="36EE975B" w14:textId="77777777" w:rsidR="003A05A3" w:rsidRPr="00E16672" w:rsidRDefault="003A05A3" w:rsidP="00843027">
            <w:pPr>
              <w:snapToGrid w:val="0"/>
              <w:ind w:left="175" w:right="138" w:firstLine="0"/>
              <w:rPr>
                <w:rFonts w:ascii="Times New Roman" w:hAnsi="Times New Roman"/>
                <w:b/>
                <w:color w:val="000000"/>
                <w:sz w:val="16"/>
                <w:szCs w:val="16"/>
                <w:lang w:val="uk-UA"/>
              </w:rPr>
            </w:pPr>
            <w:r w:rsidRPr="00E16672">
              <w:rPr>
                <w:rFonts w:ascii="Times New Roman" w:hAnsi="Times New Roman"/>
                <w:color w:val="000000"/>
                <w:sz w:val="16"/>
                <w:szCs w:val="16"/>
                <w:lang w:val="uk-UA"/>
              </w:rPr>
              <w:t xml:space="preserve">8.2. </w:t>
            </w:r>
            <w:r w:rsidRPr="00E16672">
              <w:rPr>
                <w:rFonts w:ascii="Times New Roman" w:hAnsi="Times New Roman"/>
                <w:color w:val="000000"/>
                <w:sz w:val="16"/>
                <w:szCs w:val="16"/>
                <w:lang w:val="en-US"/>
              </w:rPr>
              <w:t xml:space="preserve">By signing </w:t>
            </w:r>
            <w:proofErr w:type="gramStart"/>
            <w:r w:rsidRPr="00E16672">
              <w:rPr>
                <w:rFonts w:ascii="Times New Roman" w:hAnsi="Times New Roman"/>
                <w:color w:val="000000"/>
                <w:sz w:val="16"/>
                <w:szCs w:val="16"/>
                <w:lang w:val="en-US"/>
              </w:rPr>
              <w:t>of  this</w:t>
            </w:r>
            <w:proofErr w:type="gramEnd"/>
            <w:r w:rsidRPr="00E16672">
              <w:rPr>
                <w:rFonts w:ascii="Times New Roman" w:hAnsi="Times New Roman"/>
                <w:color w:val="000000"/>
                <w:sz w:val="16"/>
                <w:szCs w:val="16"/>
                <w:lang w:val="en-US"/>
              </w:rPr>
              <w:t xml:space="preserve"> Agreement the Depositor confirms that was familiarized with the internal documents of Depositary institution, tariffs of Depository institution</w:t>
            </w:r>
            <w:r w:rsidRPr="00E16672">
              <w:rPr>
                <w:rFonts w:ascii="Times New Roman" w:hAnsi="Times New Roman"/>
                <w:color w:val="000000"/>
                <w:sz w:val="16"/>
                <w:szCs w:val="16"/>
                <w:lang w:val="uk-UA"/>
              </w:rPr>
              <w:t>.</w:t>
            </w:r>
          </w:p>
        </w:tc>
      </w:tr>
      <w:tr w:rsidR="003A05A3" w:rsidRPr="00F23413" w14:paraId="1C358D82" w14:textId="77777777" w:rsidTr="00F0600D">
        <w:trPr>
          <w:trHeight w:val="1166"/>
        </w:trPr>
        <w:tc>
          <w:tcPr>
            <w:tcW w:w="5696" w:type="dxa"/>
            <w:gridSpan w:val="8"/>
            <w:shd w:val="clear" w:color="auto" w:fill="auto"/>
          </w:tcPr>
          <w:p w14:paraId="51790A90" w14:textId="77777777" w:rsidR="003A05A3" w:rsidRPr="00E16672" w:rsidRDefault="003A05A3" w:rsidP="00022F5F">
            <w:pPr>
              <w:pStyle w:val="ae"/>
              <w:tabs>
                <w:tab w:val="left" w:pos="1080"/>
                <w:tab w:val="left" w:pos="1134"/>
              </w:tabs>
              <w:ind w:left="175" w:right="138" w:firstLine="0"/>
              <w:jc w:val="left"/>
              <w:rPr>
                <w:rFonts w:ascii="Times New Roman" w:hAnsi="Times New Roman"/>
                <w:sz w:val="16"/>
                <w:szCs w:val="16"/>
              </w:rPr>
            </w:pPr>
            <w:r w:rsidRPr="00E16672">
              <w:rPr>
                <w:rFonts w:ascii="Times New Roman" w:hAnsi="Times New Roman"/>
                <w:sz w:val="16"/>
                <w:szCs w:val="16"/>
              </w:rPr>
              <w:t xml:space="preserve">Депонент підтверджує, що Депозитарній установі йому надана інформація, зазначена в частині другій статті 12 Закону України </w:t>
            </w:r>
            <w:r w:rsidR="00022F5F">
              <w:rPr>
                <w:rFonts w:ascii="Times New Roman" w:hAnsi="Times New Roman"/>
                <w:sz w:val="16"/>
                <w:szCs w:val="16"/>
              </w:rPr>
              <w:t>"</w:t>
            </w:r>
            <w:r w:rsidRPr="00E16672">
              <w:rPr>
                <w:rFonts w:ascii="Times New Roman" w:hAnsi="Times New Roman"/>
                <w:sz w:val="16"/>
                <w:szCs w:val="16"/>
              </w:rPr>
              <w:t>Про фінансові послуги та державне регулювання ринків фінансових послуг</w:t>
            </w:r>
            <w:r w:rsidR="00022F5F">
              <w:rPr>
                <w:rFonts w:ascii="Times New Roman" w:hAnsi="Times New Roman"/>
                <w:sz w:val="16"/>
                <w:szCs w:val="16"/>
              </w:rPr>
              <w:t>"</w:t>
            </w:r>
            <w:r w:rsidRPr="00E16672">
              <w:rPr>
                <w:rFonts w:ascii="Times New Roman" w:hAnsi="Times New Roman"/>
                <w:sz w:val="16"/>
                <w:szCs w:val="16"/>
              </w:rPr>
              <w:t>.</w:t>
            </w:r>
          </w:p>
          <w:p w14:paraId="2B9719E5" w14:textId="77777777" w:rsidR="003A05A3" w:rsidRPr="00E16672" w:rsidRDefault="003A05A3" w:rsidP="00843027">
            <w:pPr>
              <w:pStyle w:val="ae"/>
              <w:tabs>
                <w:tab w:val="left" w:pos="1080"/>
                <w:tab w:val="left" w:pos="1134"/>
              </w:tabs>
              <w:ind w:left="175" w:right="138" w:firstLine="0"/>
              <w:rPr>
                <w:rFonts w:ascii="Times New Roman" w:hAnsi="Times New Roman"/>
                <w:sz w:val="16"/>
                <w:szCs w:val="16"/>
              </w:rPr>
            </w:pPr>
            <w:r w:rsidRPr="00E16672">
              <w:rPr>
                <w:rFonts w:ascii="Times New Roman" w:hAnsi="Times New Roman"/>
                <w:sz w:val="16"/>
                <w:szCs w:val="16"/>
              </w:rPr>
              <w:t>Інформація, що була надана Депоненту, забезпечила правильне розуміння Депонентом  суті фінансової послуги, що має надаватись, без нав'язування її придбання.</w:t>
            </w:r>
          </w:p>
          <w:p w14:paraId="5EC92907" w14:textId="77777777" w:rsidR="003A05A3" w:rsidRPr="00E16672" w:rsidRDefault="003A05A3" w:rsidP="00843027">
            <w:pPr>
              <w:pStyle w:val="1b"/>
              <w:spacing w:before="0" w:after="0"/>
              <w:ind w:left="175" w:right="138"/>
              <w:rPr>
                <w:rFonts w:ascii="Times New Roman" w:eastAsia="Times New Roman" w:hAnsi="Times New Roman" w:cs="Times New Roman"/>
                <w:sz w:val="16"/>
                <w:szCs w:val="16"/>
                <w:shd w:val="clear" w:color="auto" w:fill="FFFF00"/>
                <w:lang w:val="ru-RU"/>
              </w:rPr>
            </w:pPr>
          </w:p>
        </w:tc>
        <w:tc>
          <w:tcPr>
            <w:tcW w:w="5494" w:type="dxa"/>
            <w:gridSpan w:val="6"/>
            <w:shd w:val="clear" w:color="auto" w:fill="auto"/>
          </w:tcPr>
          <w:p w14:paraId="6637CC47" w14:textId="77777777" w:rsidR="003A05A3" w:rsidRPr="00E16672" w:rsidRDefault="003A05A3" w:rsidP="00843027">
            <w:pPr>
              <w:pStyle w:val="310"/>
              <w:tabs>
                <w:tab w:val="left" w:pos="287"/>
                <w:tab w:val="left" w:pos="1137"/>
                <w:tab w:val="left" w:pos="1191"/>
              </w:tabs>
              <w:ind w:left="145" w:right="100" w:firstLine="0"/>
              <w:rPr>
                <w:rFonts w:ascii="Times New Roman" w:hAnsi="Times New Roman"/>
                <w:sz w:val="16"/>
                <w:szCs w:val="16"/>
                <w:lang w:val="en-US"/>
              </w:rPr>
            </w:pPr>
            <w:proofErr w:type="spellStart"/>
            <w:r w:rsidRPr="00E16672">
              <w:rPr>
                <w:rFonts w:ascii="Times New Roman" w:hAnsi="Times New Roman"/>
                <w:sz w:val="16"/>
                <w:szCs w:val="16"/>
              </w:rPr>
              <w:t>Depositor</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confirms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that</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r w:rsidRPr="00E16672">
              <w:rPr>
                <w:rFonts w:ascii="Times New Roman" w:hAnsi="Times New Roman"/>
                <w:sz w:val="16"/>
                <w:szCs w:val="16"/>
                <w:lang w:val="en-US"/>
              </w:rPr>
              <w:t>D</w:t>
            </w:r>
            <w:proofErr w:type="spellStart"/>
            <w:r w:rsidRPr="00E16672">
              <w:rPr>
                <w:rFonts w:ascii="Times New Roman" w:hAnsi="Times New Roman"/>
                <w:sz w:val="16"/>
                <w:szCs w:val="16"/>
              </w:rPr>
              <w:t>epository</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institution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provided</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him</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information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referred</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to</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in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Article</w:t>
            </w:r>
            <w:proofErr w:type="spellEnd"/>
            <w:r w:rsidRPr="00E16672">
              <w:rPr>
                <w:rFonts w:ascii="Times New Roman" w:hAnsi="Times New Roman"/>
                <w:sz w:val="16"/>
                <w:szCs w:val="16"/>
              </w:rPr>
              <w:t xml:space="preserve"> 12 </w:t>
            </w:r>
            <w:proofErr w:type="spellStart"/>
            <w:r w:rsidRPr="00E16672">
              <w:rPr>
                <w:rFonts w:ascii="Times New Roman" w:hAnsi="Times New Roman"/>
                <w:sz w:val="16"/>
                <w:szCs w:val="16"/>
              </w:rPr>
              <w:t>of</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Law</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of</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Ukraine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Financial</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Services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and</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State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Regulation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of</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Financial</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Services</w:t>
            </w:r>
            <w:proofErr w:type="spellEnd"/>
            <w:r w:rsidRPr="00E16672">
              <w:rPr>
                <w:rFonts w:ascii="Times New Roman" w:hAnsi="Times New Roman"/>
                <w:sz w:val="16"/>
                <w:szCs w:val="16"/>
              </w:rPr>
              <w:t>."</w:t>
            </w:r>
            <w:r w:rsidRPr="00E16672">
              <w:rPr>
                <w:rFonts w:ascii="Times New Roman" w:hAnsi="Times New Roman"/>
                <w:sz w:val="16"/>
                <w:szCs w:val="16"/>
                <w:lang w:val="en-US"/>
              </w:rPr>
              <w:t xml:space="preserve">    </w:t>
            </w:r>
          </w:p>
          <w:p w14:paraId="05A4BEBA" w14:textId="77777777" w:rsidR="003A05A3" w:rsidRPr="00E16672" w:rsidRDefault="003A05A3" w:rsidP="00843027">
            <w:pPr>
              <w:pStyle w:val="310"/>
              <w:tabs>
                <w:tab w:val="left" w:pos="287"/>
                <w:tab w:val="left" w:pos="1137"/>
                <w:tab w:val="left" w:pos="1191"/>
              </w:tabs>
              <w:ind w:left="145" w:right="100" w:firstLine="0"/>
              <w:rPr>
                <w:rFonts w:ascii="Times New Roman" w:hAnsi="Times New Roman"/>
                <w:sz w:val="16"/>
                <w:szCs w:val="16"/>
              </w:rPr>
            </w:pPr>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Information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was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provided</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by</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Depositor</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Depositor</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has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provided</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proper</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understanding</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of</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financial</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services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should</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be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provided</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without</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imposing</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its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acquisition</w:t>
            </w:r>
            <w:proofErr w:type="spellEnd"/>
            <w:r w:rsidRPr="00E16672">
              <w:rPr>
                <w:rFonts w:ascii="Times New Roman" w:hAnsi="Times New Roman"/>
                <w:sz w:val="16"/>
                <w:szCs w:val="16"/>
              </w:rPr>
              <w:t>.</w:t>
            </w:r>
          </w:p>
        </w:tc>
      </w:tr>
      <w:tr w:rsidR="003A05A3" w:rsidRPr="00F23413" w14:paraId="5C033598" w14:textId="77777777" w:rsidTr="00242F58">
        <w:trPr>
          <w:trHeight w:val="951"/>
        </w:trPr>
        <w:tc>
          <w:tcPr>
            <w:tcW w:w="5696" w:type="dxa"/>
            <w:gridSpan w:val="8"/>
            <w:shd w:val="clear" w:color="auto" w:fill="auto"/>
          </w:tcPr>
          <w:p w14:paraId="4D8286F2" w14:textId="77777777" w:rsidR="003A05A3" w:rsidRPr="00E16672" w:rsidRDefault="003A05A3" w:rsidP="00022F5F">
            <w:pPr>
              <w:pStyle w:val="ae"/>
              <w:tabs>
                <w:tab w:val="left" w:pos="426"/>
              </w:tabs>
              <w:snapToGrid w:val="0"/>
              <w:ind w:left="175" w:right="138" w:firstLine="0"/>
              <w:jc w:val="left"/>
              <w:rPr>
                <w:rFonts w:ascii="Times New Roman" w:hAnsi="Times New Roman"/>
                <w:sz w:val="16"/>
                <w:szCs w:val="16"/>
              </w:rPr>
            </w:pPr>
            <w:r w:rsidRPr="00E16672">
              <w:rPr>
                <w:rFonts w:ascii="Times New Roman" w:hAnsi="Times New Roman"/>
                <w:sz w:val="16"/>
                <w:szCs w:val="16"/>
              </w:rPr>
              <w:t>8.</w:t>
            </w:r>
            <w:r w:rsidRPr="00E16672">
              <w:rPr>
                <w:rFonts w:ascii="Times New Roman" w:hAnsi="Times New Roman"/>
                <w:sz w:val="16"/>
                <w:szCs w:val="16"/>
                <w:lang w:val="ru-RU"/>
              </w:rPr>
              <w:t>3.</w:t>
            </w:r>
            <w:r w:rsidRPr="00E16672">
              <w:rPr>
                <w:rFonts w:ascii="Times New Roman" w:hAnsi="Times New Roman"/>
                <w:sz w:val="16"/>
                <w:szCs w:val="16"/>
              </w:rPr>
              <w:t xml:space="preserve"> На виконання вимог Закону України </w:t>
            </w:r>
            <w:r w:rsidR="00022F5F">
              <w:rPr>
                <w:rFonts w:ascii="Times New Roman" w:hAnsi="Times New Roman"/>
                <w:sz w:val="16"/>
                <w:szCs w:val="16"/>
              </w:rPr>
              <w:t>"</w:t>
            </w:r>
            <w:r w:rsidRPr="00E16672">
              <w:rPr>
                <w:rFonts w:ascii="Times New Roman" w:hAnsi="Times New Roman"/>
                <w:sz w:val="16"/>
                <w:szCs w:val="16"/>
              </w:rPr>
              <w:t>Про захист персональних даних</w:t>
            </w:r>
            <w:r w:rsidR="00022F5F">
              <w:rPr>
                <w:rFonts w:ascii="Times New Roman" w:hAnsi="Times New Roman"/>
                <w:sz w:val="16"/>
                <w:szCs w:val="16"/>
              </w:rPr>
              <w:t>"</w:t>
            </w:r>
            <w:r w:rsidRPr="00E16672">
              <w:rPr>
                <w:rFonts w:ascii="Times New Roman" w:hAnsi="Times New Roman"/>
                <w:sz w:val="16"/>
                <w:szCs w:val="16"/>
              </w:rPr>
              <w:t xml:space="preserve"> у разі отримання Депозитарною установою інформації, яка стосується персональних даних фізичних осіб, Сторона, що надала такі дані підписанням цього Договору підтверджує легітимність їх отримання, та право на передання Депозитарній установі таких даних для використання (обробки) Депозитарною установою у випадках, передбачених законодавством, а також – передання Депозитарною установою таких даних третім особам у випадках встановлених чинним законодавством України. </w:t>
            </w:r>
          </w:p>
          <w:p w14:paraId="237FE023" w14:textId="77777777" w:rsidR="003A05A3" w:rsidRPr="00E16672" w:rsidRDefault="003A05A3" w:rsidP="00843027">
            <w:pPr>
              <w:pStyle w:val="ae"/>
              <w:tabs>
                <w:tab w:val="left" w:pos="426"/>
              </w:tabs>
              <w:snapToGrid w:val="0"/>
              <w:ind w:left="175" w:right="138" w:firstLine="0"/>
              <w:rPr>
                <w:rFonts w:ascii="Times New Roman" w:hAnsi="Times New Roman"/>
                <w:sz w:val="16"/>
                <w:szCs w:val="16"/>
              </w:rPr>
            </w:pPr>
          </w:p>
        </w:tc>
        <w:tc>
          <w:tcPr>
            <w:tcW w:w="5494" w:type="dxa"/>
            <w:gridSpan w:val="6"/>
            <w:shd w:val="clear" w:color="auto" w:fill="auto"/>
          </w:tcPr>
          <w:p w14:paraId="7BC6599B" w14:textId="77777777" w:rsidR="003A05A3" w:rsidRPr="00E16672" w:rsidRDefault="003A05A3" w:rsidP="00022F5F">
            <w:pPr>
              <w:pStyle w:val="310"/>
              <w:tabs>
                <w:tab w:val="left" w:pos="287"/>
                <w:tab w:val="left" w:pos="1137"/>
                <w:tab w:val="left" w:pos="1191"/>
              </w:tabs>
              <w:snapToGrid w:val="0"/>
              <w:ind w:left="145" w:right="100" w:firstLine="0"/>
              <w:jc w:val="left"/>
              <w:rPr>
                <w:rFonts w:ascii="Times New Roman" w:hAnsi="Times New Roman"/>
                <w:sz w:val="16"/>
                <w:szCs w:val="16"/>
              </w:rPr>
            </w:pPr>
            <w:r w:rsidRPr="00E16672">
              <w:rPr>
                <w:rFonts w:ascii="Times New Roman" w:hAnsi="Times New Roman"/>
                <w:sz w:val="16"/>
                <w:szCs w:val="16"/>
                <w:lang w:val="en-US"/>
              </w:rPr>
              <w:lastRenderedPageBreak/>
              <w:t>8</w:t>
            </w:r>
            <w:r w:rsidRPr="00E16672">
              <w:rPr>
                <w:rFonts w:ascii="Times New Roman" w:hAnsi="Times New Roman"/>
                <w:sz w:val="16"/>
                <w:szCs w:val="16"/>
              </w:rPr>
              <w:t>.</w:t>
            </w:r>
            <w:r w:rsidRPr="00E16672">
              <w:rPr>
                <w:rFonts w:ascii="Times New Roman" w:hAnsi="Times New Roman"/>
                <w:sz w:val="16"/>
                <w:szCs w:val="16"/>
                <w:lang w:val="en-US"/>
              </w:rPr>
              <w:t>3</w:t>
            </w:r>
            <w:r w:rsidRPr="00E16672">
              <w:rPr>
                <w:rFonts w:ascii="Times New Roman" w:hAnsi="Times New Roman"/>
                <w:sz w:val="16"/>
                <w:szCs w:val="16"/>
                <w:lang w:val="en-GB"/>
              </w:rPr>
              <w:t xml:space="preserve">. </w:t>
            </w:r>
            <w:proofErr w:type="spellStart"/>
            <w:r w:rsidRPr="00E16672">
              <w:rPr>
                <w:rFonts w:ascii="Times New Roman" w:hAnsi="Times New Roman"/>
                <w:sz w:val="16"/>
                <w:szCs w:val="16"/>
              </w:rPr>
              <w:t>Pursuant</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to</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requirements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of</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Law</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of</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Ukraine</w:t>
            </w:r>
            <w:proofErr w:type="spellEnd"/>
            <w:r w:rsidRPr="00E16672">
              <w:rPr>
                <w:rFonts w:ascii="Times New Roman" w:hAnsi="Times New Roman"/>
                <w:sz w:val="16"/>
                <w:szCs w:val="16"/>
              </w:rPr>
              <w:t xml:space="preserve"> </w:t>
            </w:r>
            <w:r w:rsidR="00022F5F">
              <w:rPr>
                <w:rFonts w:ascii="Times New Roman" w:hAnsi="Times New Roman"/>
                <w:sz w:val="16"/>
                <w:szCs w:val="16"/>
              </w:rPr>
              <w:t>"</w:t>
            </w:r>
            <w:proofErr w:type="spellStart"/>
            <w:r w:rsidRPr="00E16672">
              <w:rPr>
                <w:rFonts w:ascii="Times New Roman" w:hAnsi="Times New Roman"/>
                <w:sz w:val="16"/>
                <w:szCs w:val="16"/>
              </w:rPr>
              <w:t>On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Personal</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Data</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Protection</w:t>
            </w:r>
            <w:proofErr w:type="spellEnd"/>
            <w:r w:rsidR="00022F5F">
              <w:rPr>
                <w:rFonts w:ascii="Times New Roman" w:hAnsi="Times New Roman"/>
                <w:sz w:val="16"/>
                <w:szCs w:val="16"/>
              </w:rPr>
              <w:t>"</w:t>
            </w:r>
            <w:r w:rsidRPr="00E16672">
              <w:rPr>
                <w:rFonts w:ascii="Times New Roman" w:hAnsi="Times New Roman"/>
                <w:strike/>
                <w:color w:val="FF00FF"/>
                <w:sz w:val="16"/>
                <w:szCs w:val="16"/>
              </w:rPr>
              <w:t xml:space="preserve"> </w:t>
            </w:r>
            <w:proofErr w:type="spellStart"/>
            <w:r w:rsidRPr="00E16672">
              <w:rPr>
                <w:rFonts w:ascii="Times New Roman" w:hAnsi="Times New Roman"/>
                <w:sz w:val="16"/>
                <w:szCs w:val="16"/>
              </w:rPr>
              <w:t>in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case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of</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Depository</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institution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information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regarding</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personal</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data</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of</w:t>
            </w:r>
            <w:proofErr w:type="spellEnd"/>
            <w:r w:rsidRPr="00E16672">
              <w:rPr>
                <w:rFonts w:ascii="Times New Roman" w:hAnsi="Times New Roman"/>
                <w:sz w:val="16"/>
                <w:szCs w:val="16"/>
              </w:rPr>
              <w:t xml:space="preserve"> </w:t>
            </w:r>
            <w:r w:rsidRPr="00E16672">
              <w:rPr>
                <w:rFonts w:ascii="Times New Roman" w:hAnsi="Times New Roman"/>
                <w:sz w:val="16"/>
                <w:szCs w:val="16"/>
                <w:lang w:val="en-US"/>
              </w:rPr>
              <w:t>physical persons</w:t>
            </w:r>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Party</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that</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supplied</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data</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by</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signature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of</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Agreement</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confirms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legitimacy</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of</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their</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production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and</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right</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to</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transfer</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to</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Depository</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institution</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of</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data</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to</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use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processing</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by</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Depository</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institution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in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cases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required</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by</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law</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and</w:t>
            </w:r>
            <w:proofErr w:type="spellEnd"/>
            <w:r w:rsidRPr="00E16672">
              <w:rPr>
                <w:rFonts w:ascii="Times New Roman" w:hAnsi="Times New Roman"/>
                <w:sz w:val="16"/>
                <w:szCs w:val="16"/>
              </w:rPr>
              <w:t xml:space="preserve"> - </w:t>
            </w:r>
            <w:proofErr w:type="spellStart"/>
            <w:r w:rsidRPr="00E16672">
              <w:rPr>
                <w:rFonts w:ascii="Times New Roman" w:hAnsi="Times New Roman"/>
                <w:sz w:val="16"/>
                <w:szCs w:val="16"/>
              </w:rPr>
              <w:t>Depository</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institution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transfer</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such</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data</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to</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third</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parties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in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cases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stipulated</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by</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current</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legislation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of</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Ukraine</w:t>
            </w:r>
            <w:proofErr w:type="spellEnd"/>
            <w:r w:rsidRPr="00E16672">
              <w:rPr>
                <w:rFonts w:ascii="Times New Roman" w:hAnsi="Times New Roman"/>
                <w:sz w:val="16"/>
                <w:szCs w:val="16"/>
              </w:rPr>
              <w:t>.</w:t>
            </w:r>
          </w:p>
          <w:p w14:paraId="036886AC" w14:textId="77777777" w:rsidR="003A05A3" w:rsidRPr="00E16672" w:rsidRDefault="003A05A3" w:rsidP="00843027">
            <w:pPr>
              <w:pStyle w:val="210"/>
              <w:tabs>
                <w:tab w:val="left" w:pos="287"/>
              </w:tabs>
              <w:ind w:left="145" w:right="100" w:firstLine="0"/>
              <w:rPr>
                <w:rFonts w:ascii="Times New Roman" w:hAnsi="Times New Roman"/>
                <w:b/>
                <w:bCs/>
                <w:sz w:val="16"/>
                <w:szCs w:val="16"/>
                <w:lang w:val="en-GB"/>
              </w:rPr>
            </w:pPr>
          </w:p>
        </w:tc>
      </w:tr>
      <w:tr w:rsidR="003A05A3" w:rsidRPr="00F23413" w14:paraId="6978384F" w14:textId="77777777" w:rsidTr="00242F58">
        <w:trPr>
          <w:trHeight w:val="707"/>
        </w:trPr>
        <w:tc>
          <w:tcPr>
            <w:tcW w:w="5696" w:type="dxa"/>
            <w:gridSpan w:val="8"/>
            <w:shd w:val="clear" w:color="auto" w:fill="auto"/>
          </w:tcPr>
          <w:p w14:paraId="022C0281" w14:textId="77777777" w:rsidR="003A05A3" w:rsidRPr="00E16672" w:rsidRDefault="003A05A3" w:rsidP="00843027">
            <w:pPr>
              <w:snapToGrid w:val="0"/>
              <w:ind w:left="175" w:right="138" w:firstLine="0"/>
              <w:rPr>
                <w:rFonts w:ascii="Times New Roman" w:hAnsi="Times New Roman"/>
                <w:sz w:val="16"/>
                <w:szCs w:val="16"/>
              </w:rPr>
            </w:pPr>
            <w:r w:rsidRPr="00E16672">
              <w:rPr>
                <w:rFonts w:ascii="Times New Roman" w:hAnsi="Times New Roman"/>
                <w:sz w:val="16"/>
                <w:szCs w:val="16"/>
              </w:rPr>
              <w:t>8.</w:t>
            </w:r>
            <w:r w:rsidRPr="00E16672">
              <w:rPr>
                <w:rFonts w:ascii="Times New Roman" w:hAnsi="Times New Roman"/>
                <w:sz w:val="16"/>
                <w:szCs w:val="16"/>
                <w:lang w:val="uk-UA"/>
              </w:rPr>
              <w:t>4</w:t>
            </w:r>
            <w:r w:rsidRPr="00E16672">
              <w:rPr>
                <w:rFonts w:ascii="Times New Roman" w:hAnsi="Times New Roman"/>
                <w:sz w:val="16"/>
                <w:szCs w:val="16"/>
              </w:rPr>
              <w:t xml:space="preserve">. </w:t>
            </w:r>
            <w:proofErr w:type="spellStart"/>
            <w:r w:rsidRPr="00E16672">
              <w:rPr>
                <w:rFonts w:ascii="Times New Roman" w:hAnsi="Times New Roman"/>
                <w:sz w:val="16"/>
                <w:szCs w:val="16"/>
              </w:rPr>
              <w:t>Додаткові</w:t>
            </w:r>
            <w:proofErr w:type="spellEnd"/>
            <w:r w:rsidRPr="00E16672">
              <w:rPr>
                <w:rFonts w:ascii="Times New Roman" w:hAnsi="Times New Roman"/>
                <w:sz w:val="16"/>
                <w:szCs w:val="16"/>
              </w:rPr>
              <w:t xml:space="preserve"> угоди </w:t>
            </w:r>
            <w:proofErr w:type="spellStart"/>
            <w:r w:rsidRPr="00E16672">
              <w:rPr>
                <w:rFonts w:ascii="Times New Roman" w:hAnsi="Times New Roman"/>
                <w:sz w:val="16"/>
                <w:szCs w:val="16"/>
              </w:rPr>
              <w:t>набирають</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чинності</w:t>
            </w:r>
            <w:proofErr w:type="spellEnd"/>
            <w:r w:rsidRPr="00E16672">
              <w:rPr>
                <w:rFonts w:ascii="Times New Roman" w:hAnsi="Times New Roman"/>
                <w:sz w:val="16"/>
                <w:szCs w:val="16"/>
              </w:rPr>
              <w:t xml:space="preserve"> з моменту </w:t>
            </w:r>
            <w:proofErr w:type="spellStart"/>
            <w:r w:rsidRPr="00E16672">
              <w:rPr>
                <w:rFonts w:ascii="Times New Roman" w:hAnsi="Times New Roman"/>
                <w:sz w:val="16"/>
                <w:szCs w:val="16"/>
              </w:rPr>
              <w:t>їх</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підписання</w:t>
            </w:r>
            <w:proofErr w:type="spellEnd"/>
            <w:r w:rsidRPr="00E16672">
              <w:rPr>
                <w:rFonts w:ascii="Times New Roman" w:hAnsi="Times New Roman"/>
                <w:sz w:val="16"/>
                <w:szCs w:val="16"/>
              </w:rPr>
              <w:t xml:space="preserve"> та є </w:t>
            </w:r>
            <w:proofErr w:type="spellStart"/>
            <w:r w:rsidRPr="00E16672">
              <w:rPr>
                <w:rFonts w:ascii="Times New Roman" w:hAnsi="Times New Roman"/>
                <w:sz w:val="16"/>
                <w:szCs w:val="16"/>
              </w:rPr>
              <w:t>невід’ємною</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частиною</w:t>
            </w:r>
            <w:proofErr w:type="spellEnd"/>
            <w:r w:rsidRPr="00E16672">
              <w:rPr>
                <w:rFonts w:ascii="Times New Roman" w:hAnsi="Times New Roman"/>
                <w:sz w:val="16"/>
                <w:szCs w:val="16"/>
              </w:rPr>
              <w:t xml:space="preserve"> Договору.</w:t>
            </w:r>
          </w:p>
        </w:tc>
        <w:tc>
          <w:tcPr>
            <w:tcW w:w="5494" w:type="dxa"/>
            <w:gridSpan w:val="6"/>
            <w:shd w:val="clear" w:color="auto" w:fill="auto"/>
          </w:tcPr>
          <w:p w14:paraId="6D68D31F" w14:textId="77777777" w:rsidR="003A05A3" w:rsidRPr="00E16672" w:rsidRDefault="003A05A3" w:rsidP="00843027">
            <w:pPr>
              <w:pStyle w:val="310"/>
              <w:tabs>
                <w:tab w:val="left" w:pos="1137"/>
                <w:tab w:val="left" w:pos="1191"/>
              </w:tabs>
              <w:snapToGrid w:val="0"/>
              <w:ind w:left="175" w:right="138" w:firstLine="0"/>
              <w:rPr>
                <w:rFonts w:ascii="Times New Roman" w:hAnsi="Times New Roman"/>
                <w:sz w:val="16"/>
                <w:szCs w:val="16"/>
                <w:lang w:val="en-US"/>
              </w:rPr>
            </w:pPr>
            <w:r w:rsidRPr="00E16672">
              <w:rPr>
                <w:rFonts w:ascii="Times New Roman" w:hAnsi="Times New Roman"/>
                <w:sz w:val="16"/>
                <w:szCs w:val="16"/>
              </w:rPr>
              <w:t xml:space="preserve">8.4. </w:t>
            </w:r>
            <w:proofErr w:type="spellStart"/>
            <w:r w:rsidRPr="00E16672">
              <w:rPr>
                <w:rFonts w:ascii="Times New Roman" w:hAnsi="Times New Roman"/>
                <w:sz w:val="16"/>
                <w:szCs w:val="16"/>
              </w:rPr>
              <w:t>Additional</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agreements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inures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since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day</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when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it</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were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been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signed</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and</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become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an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integral</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part</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of</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Agreement</w:t>
            </w:r>
            <w:proofErr w:type="spellEnd"/>
            <w:r w:rsidRPr="00E16672">
              <w:rPr>
                <w:rFonts w:ascii="Times New Roman" w:hAnsi="Times New Roman"/>
                <w:sz w:val="16"/>
                <w:szCs w:val="16"/>
              </w:rPr>
              <w:t>.</w:t>
            </w:r>
          </w:p>
        </w:tc>
      </w:tr>
      <w:tr w:rsidR="003A05A3" w:rsidRPr="00F23413" w14:paraId="6FD5D2DC" w14:textId="77777777" w:rsidTr="00242F58">
        <w:trPr>
          <w:trHeight w:val="558"/>
        </w:trPr>
        <w:tc>
          <w:tcPr>
            <w:tcW w:w="5696" w:type="dxa"/>
            <w:gridSpan w:val="8"/>
            <w:shd w:val="clear" w:color="auto" w:fill="auto"/>
          </w:tcPr>
          <w:p w14:paraId="44151CC5" w14:textId="77777777" w:rsidR="003A05A3" w:rsidRPr="00E16672" w:rsidRDefault="003A05A3" w:rsidP="00843027">
            <w:pPr>
              <w:ind w:left="175" w:right="138" w:firstLine="0"/>
              <w:rPr>
                <w:rFonts w:ascii="Times New Roman" w:hAnsi="Times New Roman"/>
                <w:color w:val="000000"/>
                <w:sz w:val="16"/>
                <w:szCs w:val="16"/>
                <w:lang w:val="uk-UA"/>
              </w:rPr>
            </w:pPr>
            <w:r w:rsidRPr="00E16672">
              <w:rPr>
                <w:rFonts w:ascii="Times New Roman" w:hAnsi="Times New Roman"/>
                <w:color w:val="000000"/>
                <w:sz w:val="16"/>
                <w:szCs w:val="16"/>
              </w:rPr>
              <w:t>8.</w:t>
            </w:r>
            <w:r w:rsidRPr="00E16672">
              <w:rPr>
                <w:rFonts w:ascii="Times New Roman" w:hAnsi="Times New Roman"/>
                <w:color w:val="000000"/>
                <w:sz w:val="16"/>
                <w:szCs w:val="16"/>
                <w:lang w:val="uk-UA"/>
              </w:rPr>
              <w:t>5</w:t>
            </w:r>
            <w:r w:rsidRPr="00E16672">
              <w:rPr>
                <w:rFonts w:ascii="Times New Roman" w:hAnsi="Times New Roman"/>
                <w:color w:val="000000"/>
                <w:sz w:val="16"/>
                <w:szCs w:val="16"/>
              </w:rPr>
              <w:t xml:space="preserve">. </w:t>
            </w:r>
            <w:r w:rsidRPr="00E16672">
              <w:rPr>
                <w:rFonts w:ascii="Times New Roman" w:hAnsi="Times New Roman"/>
                <w:color w:val="000000"/>
                <w:sz w:val="16"/>
                <w:szCs w:val="16"/>
                <w:lang w:val="uk-UA"/>
              </w:rPr>
              <w:t>При виконанні даного Договору Сторони керуються умовами Договору</w:t>
            </w:r>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внутрішніх</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документів</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Депозитарної</w:t>
            </w:r>
            <w:proofErr w:type="spellEnd"/>
            <w:r w:rsidRPr="00E16672">
              <w:rPr>
                <w:rFonts w:ascii="Times New Roman" w:hAnsi="Times New Roman"/>
                <w:color w:val="000000"/>
                <w:sz w:val="16"/>
                <w:szCs w:val="16"/>
              </w:rPr>
              <w:t xml:space="preserve"> установи </w:t>
            </w:r>
            <w:r w:rsidRPr="00E16672">
              <w:rPr>
                <w:rFonts w:ascii="Times New Roman" w:hAnsi="Times New Roman"/>
                <w:color w:val="000000"/>
                <w:sz w:val="16"/>
                <w:szCs w:val="16"/>
                <w:lang w:val="uk-UA"/>
              </w:rPr>
              <w:t>та законодавством України.</w:t>
            </w:r>
          </w:p>
          <w:p w14:paraId="78FD84E2" w14:textId="77777777" w:rsidR="003A05A3" w:rsidRPr="00E16672" w:rsidRDefault="003A05A3" w:rsidP="00843027">
            <w:pPr>
              <w:snapToGrid w:val="0"/>
              <w:ind w:left="175" w:right="138"/>
              <w:rPr>
                <w:rFonts w:ascii="Times New Roman" w:hAnsi="Times New Roman"/>
                <w:color w:val="000000"/>
                <w:sz w:val="16"/>
                <w:szCs w:val="16"/>
              </w:rPr>
            </w:pPr>
            <w:r w:rsidRPr="00E16672">
              <w:rPr>
                <w:rFonts w:ascii="Times New Roman" w:hAnsi="Times New Roman"/>
                <w:color w:val="000000"/>
                <w:sz w:val="16"/>
                <w:szCs w:val="16"/>
              </w:rPr>
              <w:t>.</w:t>
            </w:r>
          </w:p>
        </w:tc>
        <w:tc>
          <w:tcPr>
            <w:tcW w:w="5494" w:type="dxa"/>
            <w:gridSpan w:val="6"/>
            <w:shd w:val="clear" w:color="auto" w:fill="auto"/>
          </w:tcPr>
          <w:p w14:paraId="30DFD1B5" w14:textId="77777777" w:rsidR="003A05A3" w:rsidRPr="00E16672" w:rsidRDefault="003A05A3" w:rsidP="00843027">
            <w:pPr>
              <w:snapToGrid w:val="0"/>
              <w:ind w:left="145" w:right="100" w:firstLine="0"/>
              <w:rPr>
                <w:rFonts w:ascii="Times New Roman" w:hAnsi="Times New Roman"/>
                <w:color w:val="000000"/>
                <w:sz w:val="16"/>
                <w:szCs w:val="16"/>
                <w:lang w:val="en-GB"/>
              </w:rPr>
            </w:pPr>
            <w:r w:rsidRPr="00E16672">
              <w:rPr>
                <w:rFonts w:ascii="Times New Roman" w:hAnsi="Times New Roman"/>
                <w:color w:val="000000"/>
                <w:sz w:val="16"/>
                <w:szCs w:val="16"/>
                <w:lang w:val="en-GB"/>
              </w:rPr>
              <w:t>8.</w:t>
            </w:r>
            <w:r w:rsidRPr="00E16672">
              <w:rPr>
                <w:rFonts w:ascii="Times New Roman" w:hAnsi="Times New Roman"/>
                <w:color w:val="000000"/>
                <w:sz w:val="16"/>
                <w:szCs w:val="16"/>
                <w:lang w:val="uk-UA"/>
              </w:rPr>
              <w:t xml:space="preserve">5. </w:t>
            </w:r>
            <w:r w:rsidRPr="00E16672">
              <w:rPr>
                <w:rFonts w:ascii="Times New Roman" w:hAnsi="Times New Roman"/>
                <w:color w:val="000000"/>
                <w:sz w:val="16"/>
                <w:szCs w:val="16"/>
                <w:lang w:val="en-GB"/>
              </w:rPr>
              <w:t xml:space="preserve">In the performance of this Agreement, Parties shall be guided by the Agreement, </w:t>
            </w:r>
            <w:r w:rsidRPr="00E16672">
              <w:rPr>
                <w:rFonts w:ascii="Times New Roman" w:hAnsi="Times New Roman"/>
                <w:iCs/>
                <w:color w:val="000000"/>
                <w:sz w:val="16"/>
                <w:szCs w:val="16"/>
                <w:lang w:val="en-US"/>
              </w:rPr>
              <w:t>internal documents of the Depository institution</w:t>
            </w:r>
            <w:r w:rsidRPr="00E16672">
              <w:rPr>
                <w:rFonts w:ascii="Times New Roman" w:hAnsi="Times New Roman"/>
                <w:color w:val="000000"/>
                <w:sz w:val="16"/>
                <w:szCs w:val="16"/>
                <w:lang w:val="en-GB"/>
              </w:rPr>
              <w:t xml:space="preserve"> and the legislation of Ukraine.</w:t>
            </w:r>
          </w:p>
          <w:p w14:paraId="157CCD1F" w14:textId="77777777" w:rsidR="003A05A3" w:rsidRPr="00E16672" w:rsidRDefault="003A05A3" w:rsidP="00843027">
            <w:pPr>
              <w:pStyle w:val="210"/>
              <w:ind w:left="175" w:right="138" w:firstLine="0"/>
              <w:rPr>
                <w:rFonts w:ascii="Times New Roman" w:hAnsi="Times New Roman"/>
                <w:color w:val="000000"/>
                <w:sz w:val="16"/>
                <w:szCs w:val="16"/>
                <w:lang w:val="en-GB"/>
              </w:rPr>
            </w:pPr>
          </w:p>
        </w:tc>
      </w:tr>
      <w:tr w:rsidR="003A05A3" w:rsidRPr="00F23413" w14:paraId="275C92AB" w14:textId="77777777" w:rsidTr="00242F58">
        <w:trPr>
          <w:trHeight w:val="977"/>
        </w:trPr>
        <w:tc>
          <w:tcPr>
            <w:tcW w:w="5696" w:type="dxa"/>
            <w:gridSpan w:val="8"/>
            <w:shd w:val="clear" w:color="auto" w:fill="auto"/>
          </w:tcPr>
          <w:p w14:paraId="79072F64" w14:textId="77777777" w:rsidR="003A05A3" w:rsidRPr="00E16672" w:rsidRDefault="003A05A3" w:rsidP="00843027">
            <w:pPr>
              <w:snapToGrid w:val="0"/>
              <w:ind w:left="175" w:right="138" w:firstLine="0"/>
              <w:rPr>
                <w:rFonts w:ascii="Times New Roman" w:hAnsi="Times New Roman"/>
                <w:sz w:val="16"/>
                <w:szCs w:val="16"/>
              </w:rPr>
            </w:pPr>
            <w:r w:rsidRPr="00E16672">
              <w:rPr>
                <w:rFonts w:ascii="Times New Roman" w:hAnsi="Times New Roman"/>
                <w:sz w:val="16"/>
                <w:szCs w:val="16"/>
              </w:rPr>
              <w:t>8.</w:t>
            </w:r>
            <w:r w:rsidRPr="00E16672">
              <w:rPr>
                <w:rFonts w:ascii="Times New Roman" w:hAnsi="Times New Roman"/>
                <w:sz w:val="16"/>
                <w:szCs w:val="16"/>
                <w:lang w:val="uk-UA"/>
              </w:rPr>
              <w:t>6</w:t>
            </w:r>
            <w:r w:rsidRPr="00E16672">
              <w:rPr>
                <w:rFonts w:ascii="Times New Roman" w:hAnsi="Times New Roman"/>
                <w:sz w:val="16"/>
                <w:szCs w:val="16"/>
              </w:rPr>
              <w:t xml:space="preserve">. Депонент </w:t>
            </w:r>
            <w:proofErr w:type="spellStart"/>
            <w:r w:rsidRPr="00E16672">
              <w:rPr>
                <w:rFonts w:ascii="Times New Roman" w:hAnsi="Times New Roman"/>
                <w:sz w:val="16"/>
                <w:szCs w:val="16"/>
              </w:rPr>
              <w:t>бере</w:t>
            </w:r>
            <w:proofErr w:type="spellEnd"/>
            <w:r w:rsidRPr="00E16672">
              <w:rPr>
                <w:rFonts w:ascii="Times New Roman" w:hAnsi="Times New Roman"/>
                <w:sz w:val="16"/>
                <w:szCs w:val="16"/>
              </w:rPr>
              <w:t xml:space="preserve"> на себе </w:t>
            </w:r>
            <w:proofErr w:type="spellStart"/>
            <w:r w:rsidRPr="00E16672">
              <w:rPr>
                <w:rFonts w:ascii="Times New Roman" w:hAnsi="Times New Roman"/>
                <w:sz w:val="16"/>
                <w:szCs w:val="16"/>
              </w:rPr>
              <w:t>відповідальність</w:t>
            </w:r>
            <w:proofErr w:type="spellEnd"/>
            <w:r w:rsidRPr="00E16672">
              <w:rPr>
                <w:rFonts w:ascii="Times New Roman" w:hAnsi="Times New Roman"/>
                <w:sz w:val="16"/>
                <w:szCs w:val="16"/>
              </w:rPr>
              <w:t xml:space="preserve"> за </w:t>
            </w:r>
            <w:proofErr w:type="spellStart"/>
            <w:r w:rsidRPr="00E16672">
              <w:rPr>
                <w:rFonts w:ascii="Times New Roman" w:hAnsi="Times New Roman"/>
                <w:sz w:val="16"/>
                <w:szCs w:val="16"/>
              </w:rPr>
              <w:t>достовірність</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інформації</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що</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міститься</w:t>
            </w:r>
            <w:proofErr w:type="spellEnd"/>
            <w:r w:rsidRPr="00E16672">
              <w:rPr>
                <w:rFonts w:ascii="Times New Roman" w:hAnsi="Times New Roman"/>
                <w:sz w:val="16"/>
                <w:szCs w:val="16"/>
              </w:rPr>
              <w:t xml:space="preserve"> в документах, </w:t>
            </w:r>
            <w:proofErr w:type="spellStart"/>
            <w:r w:rsidRPr="00E16672">
              <w:rPr>
                <w:rFonts w:ascii="Times New Roman" w:hAnsi="Times New Roman"/>
                <w:sz w:val="16"/>
                <w:szCs w:val="16"/>
              </w:rPr>
              <w:t>які</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подаються</w:t>
            </w:r>
            <w:proofErr w:type="spellEnd"/>
            <w:r w:rsidRPr="00E16672">
              <w:rPr>
                <w:rFonts w:ascii="Times New Roman" w:hAnsi="Times New Roman"/>
                <w:sz w:val="16"/>
                <w:szCs w:val="16"/>
              </w:rPr>
              <w:t xml:space="preserve"> Депонентом </w:t>
            </w:r>
            <w:proofErr w:type="spellStart"/>
            <w:r w:rsidRPr="00E16672">
              <w:rPr>
                <w:rFonts w:ascii="Times New Roman" w:hAnsi="Times New Roman"/>
                <w:sz w:val="16"/>
                <w:szCs w:val="16"/>
              </w:rPr>
              <w:t>Депозитарній</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установі</w:t>
            </w:r>
            <w:proofErr w:type="spellEnd"/>
            <w:r w:rsidRPr="00E16672">
              <w:rPr>
                <w:rFonts w:ascii="Times New Roman" w:hAnsi="Times New Roman"/>
                <w:sz w:val="16"/>
                <w:szCs w:val="16"/>
              </w:rPr>
              <w:t xml:space="preserve">, у тому </w:t>
            </w:r>
            <w:proofErr w:type="spellStart"/>
            <w:r w:rsidRPr="00E16672">
              <w:rPr>
                <w:rFonts w:ascii="Times New Roman" w:hAnsi="Times New Roman"/>
                <w:sz w:val="16"/>
                <w:szCs w:val="16"/>
              </w:rPr>
              <w:t>числі</w:t>
            </w:r>
            <w:proofErr w:type="spellEnd"/>
            <w:r w:rsidRPr="00E16672">
              <w:rPr>
                <w:rFonts w:ascii="Times New Roman" w:hAnsi="Times New Roman"/>
                <w:sz w:val="16"/>
                <w:szCs w:val="16"/>
              </w:rPr>
              <w:t xml:space="preserve"> документах, за </w:t>
            </w:r>
            <w:proofErr w:type="spellStart"/>
            <w:r w:rsidRPr="00E16672">
              <w:rPr>
                <w:rFonts w:ascii="Times New Roman" w:hAnsi="Times New Roman"/>
                <w:sz w:val="16"/>
                <w:szCs w:val="16"/>
              </w:rPr>
              <w:t>якими</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Депозитарній</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установі</w:t>
            </w:r>
            <w:proofErr w:type="spellEnd"/>
            <w:r w:rsidRPr="00E16672">
              <w:rPr>
                <w:rFonts w:ascii="Times New Roman" w:hAnsi="Times New Roman"/>
                <w:sz w:val="16"/>
                <w:szCs w:val="16"/>
              </w:rPr>
              <w:t xml:space="preserve"> Депонентом </w:t>
            </w:r>
            <w:proofErr w:type="spellStart"/>
            <w:r w:rsidRPr="00E16672">
              <w:rPr>
                <w:rFonts w:ascii="Times New Roman" w:hAnsi="Times New Roman"/>
                <w:sz w:val="16"/>
                <w:szCs w:val="16"/>
              </w:rPr>
              <w:t>доручається</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проведення</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депозитарних</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операцій</w:t>
            </w:r>
            <w:proofErr w:type="spellEnd"/>
            <w:r w:rsidRPr="00E16672">
              <w:rPr>
                <w:rFonts w:ascii="Times New Roman" w:hAnsi="Times New Roman"/>
                <w:sz w:val="16"/>
                <w:szCs w:val="16"/>
              </w:rPr>
              <w:t xml:space="preserve"> на </w:t>
            </w:r>
            <w:proofErr w:type="spellStart"/>
            <w:r w:rsidRPr="00E16672">
              <w:rPr>
                <w:rFonts w:ascii="Times New Roman" w:hAnsi="Times New Roman"/>
                <w:sz w:val="16"/>
                <w:szCs w:val="16"/>
              </w:rPr>
              <w:t>рахунку</w:t>
            </w:r>
            <w:proofErr w:type="spellEnd"/>
            <w:r w:rsidRPr="00E16672">
              <w:rPr>
                <w:rFonts w:ascii="Times New Roman" w:hAnsi="Times New Roman"/>
                <w:sz w:val="16"/>
                <w:szCs w:val="16"/>
              </w:rPr>
              <w:t xml:space="preserve"> Депонента.</w:t>
            </w:r>
          </w:p>
          <w:p w14:paraId="23B1F7B5" w14:textId="77777777" w:rsidR="003A05A3" w:rsidRPr="00E16672" w:rsidRDefault="003A05A3" w:rsidP="00843027">
            <w:pPr>
              <w:ind w:left="175" w:right="138"/>
              <w:rPr>
                <w:rFonts w:ascii="Times New Roman" w:hAnsi="Times New Roman"/>
                <w:sz w:val="16"/>
                <w:szCs w:val="16"/>
              </w:rPr>
            </w:pPr>
          </w:p>
        </w:tc>
        <w:tc>
          <w:tcPr>
            <w:tcW w:w="5494" w:type="dxa"/>
            <w:gridSpan w:val="6"/>
            <w:shd w:val="clear" w:color="auto" w:fill="auto"/>
          </w:tcPr>
          <w:p w14:paraId="7D788F46" w14:textId="77777777" w:rsidR="003A05A3" w:rsidRPr="00E16672" w:rsidRDefault="003A05A3" w:rsidP="00843027">
            <w:pPr>
              <w:snapToGrid w:val="0"/>
              <w:ind w:left="175" w:right="138" w:firstLine="0"/>
              <w:rPr>
                <w:rFonts w:ascii="Times New Roman" w:hAnsi="Times New Roman"/>
                <w:sz w:val="16"/>
                <w:szCs w:val="16"/>
                <w:lang w:val="en-GB"/>
              </w:rPr>
            </w:pPr>
            <w:r w:rsidRPr="00E16672">
              <w:rPr>
                <w:rFonts w:ascii="Times New Roman" w:hAnsi="Times New Roman"/>
                <w:sz w:val="16"/>
                <w:szCs w:val="16"/>
                <w:lang w:val="en-GB"/>
              </w:rPr>
              <w:t>8.</w:t>
            </w:r>
            <w:r w:rsidRPr="00E16672">
              <w:rPr>
                <w:rFonts w:ascii="Times New Roman" w:hAnsi="Times New Roman"/>
                <w:sz w:val="16"/>
                <w:szCs w:val="16"/>
                <w:lang w:val="uk-UA"/>
              </w:rPr>
              <w:t>6</w:t>
            </w:r>
            <w:r w:rsidRPr="00E16672">
              <w:rPr>
                <w:rFonts w:ascii="Times New Roman" w:hAnsi="Times New Roman"/>
                <w:sz w:val="16"/>
                <w:szCs w:val="16"/>
                <w:lang w:val="en-GB"/>
              </w:rPr>
              <w:t>. Depositor assumes responsibility for the accuracy of the information contained in the documents submitted by the Depositor</w:t>
            </w:r>
            <w:r w:rsidRPr="00E16672">
              <w:rPr>
                <w:rFonts w:ascii="Times New Roman" w:hAnsi="Times New Roman"/>
                <w:sz w:val="16"/>
                <w:szCs w:val="16"/>
                <w:lang w:val="en-US"/>
              </w:rPr>
              <w:t xml:space="preserve"> to D</w:t>
            </w:r>
            <w:proofErr w:type="spellStart"/>
            <w:r w:rsidRPr="00E16672">
              <w:rPr>
                <w:rFonts w:ascii="Times New Roman" w:hAnsi="Times New Roman"/>
                <w:sz w:val="16"/>
                <w:szCs w:val="16"/>
                <w:lang w:val="en-GB"/>
              </w:rPr>
              <w:t>epository</w:t>
            </w:r>
            <w:proofErr w:type="spellEnd"/>
            <w:r w:rsidRPr="00E16672">
              <w:rPr>
                <w:rFonts w:ascii="Times New Roman" w:hAnsi="Times New Roman"/>
                <w:sz w:val="16"/>
                <w:szCs w:val="16"/>
                <w:lang w:val="en-GB"/>
              </w:rPr>
              <w:t xml:space="preserve"> institution, including documents on which the Depository institution </w:t>
            </w:r>
            <w:proofErr w:type="gramStart"/>
            <w:r w:rsidRPr="00E16672">
              <w:rPr>
                <w:rFonts w:ascii="Times New Roman" w:hAnsi="Times New Roman"/>
                <w:sz w:val="16"/>
                <w:szCs w:val="16"/>
                <w:lang w:val="en-GB"/>
              </w:rPr>
              <w:t>is  entrusted</w:t>
            </w:r>
            <w:proofErr w:type="gramEnd"/>
            <w:r w:rsidRPr="00E16672">
              <w:rPr>
                <w:rFonts w:ascii="Times New Roman" w:hAnsi="Times New Roman"/>
                <w:sz w:val="16"/>
                <w:szCs w:val="16"/>
                <w:lang w:val="en-GB"/>
              </w:rPr>
              <w:t xml:space="preserve">  to conduct depository operations on account of the Depositor.</w:t>
            </w:r>
          </w:p>
          <w:p w14:paraId="151D7D4C" w14:textId="77777777" w:rsidR="003A05A3" w:rsidRPr="00E16672" w:rsidRDefault="003A05A3" w:rsidP="00843027">
            <w:pPr>
              <w:pStyle w:val="210"/>
              <w:ind w:left="175" w:right="138" w:firstLine="0"/>
              <w:rPr>
                <w:rFonts w:ascii="Times New Roman" w:hAnsi="Times New Roman"/>
                <w:sz w:val="16"/>
                <w:szCs w:val="16"/>
              </w:rPr>
            </w:pPr>
          </w:p>
        </w:tc>
      </w:tr>
      <w:tr w:rsidR="003A05A3" w:rsidRPr="00F23413" w14:paraId="2B1C9E51" w14:textId="77777777" w:rsidTr="003B3EC1">
        <w:trPr>
          <w:trHeight w:val="627"/>
        </w:trPr>
        <w:tc>
          <w:tcPr>
            <w:tcW w:w="5696" w:type="dxa"/>
            <w:gridSpan w:val="8"/>
            <w:shd w:val="clear" w:color="auto" w:fill="auto"/>
          </w:tcPr>
          <w:p w14:paraId="25737D98" w14:textId="77777777" w:rsidR="003A05A3" w:rsidRPr="00E16672" w:rsidRDefault="003A05A3" w:rsidP="00843027">
            <w:pPr>
              <w:widowControl w:val="0"/>
              <w:tabs>
                <w:tab w:val="left" w:pos="5954"/>
              </w:tabs>
              <w:snapToGrid w:val="0"/>
              <w:ind w:left="175" w:right="138" w:firstLine="0"/>
              <w:rPr>
                <w:rFonts w:ascii="Times New Roman" w:hAnsi="Times New Roman"/>
                <w:sz w:val="16"/>
                <w:szCs w:val="16"/>
              </w:rPr>
            </w:pPr>
            <w:r w:rsidRPr="00E16672">
              <w:rPr>
                <w:rFonts w:ascii="Times New Roman" w:hAnsi="Times New Roman"/>
                <w:sz w:val="16"/>
                <w:szCs w:val="16"/>
              </w:rPr>
              <w:t>8.</w:t>
            </w:r>
            <w:r w:rsidRPr="00E16672">
              <w:rPr>
                <w:rFonts w:ascii="Times New Roman" w:hAnsi="Times New Roman"/>
                <w:sz w:val="16"/>
                <w:szCs w:val="16"/>
                <w:lang w:val="uk-UA"/>
              </w:rPr>
              <w:t>7</w:t>
            </w:r>
            <w:r w:rsidRPr="00E16672">
              <w:rPr>
                <w:rFonts w:ascii="Times New Roman" w:hAnsi="Times New Roman"/>
                <w:sz w:val="16"/>
                <w:szCs w:val="16"/>
              </w:rPr>
              <w:t xml:space="preserve">. </w:t>
            </w:r>
            <w:proofErr w:type="spellStart"/>
            <w:r w:rsidRPr="00E16672">
              <w:rPr>
                <w:rFonts w:ascii="Times New Roman" w:hAnsi="Times New Roman"/>
                <w:sz w:val="16"/>
                <w:szCs w:val="16"/>
              </w:rPr>
              <w:t>Укладення</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цього</w:t>
            </w:r>
            <w:proofErr w:type="spellEnd"/>
            <w:r w:rsidRPr="00E16672">
              <w:rPr>
                <w:rFonts w:ascii="Times New Roman" w:hAnsi="Times New Roman"/>
                <w:sz w:val="16"/>
                <w:szCs w:val="16"/>
              </w:rPr>
              <w:t xml:space="preserve"> Договору не </w:t>
            </w:r>
            <w:proofErr w:type="spellStart"/>
            <w:r w:rsidRPr="00E16672">
              <w:rPr>
                <w:rFonts w:ascii="Times New Roman" w:hAnsi="Times New Roman"/>
                <w:sz w:val="16"/>
                <w:szCs w:val="16"/>
              </w:rPr>
              <w:t>тягне</w:t>
            </w:r>
            <w:proofErr w:type="spellEnd"/>
            <w:r w:rsidRPr="00E16672">
              <w:rPr>
                <w:rFonts w:ascii="Times New Roman" w:hAnsi="Times New Roman"/>
                <w:sz w:val="16"/>
                <w:szCs w:val="16"/>
              </w:rPr>
              <w:t xml:space="preserve"> за собою переходу прав на </w:t>
            </w:r>
            <w:proofErr w:type="spellStart"/>
            <w:r w:rsidRPr="00E16672">
              <w:rPr>
                <w:rFonts w:ascii="Times New Roman" w:hAnsi="Times New Roman"/>
                <w:sz w:val="16"/>
                <w:szCs w:val="16"/>
              </w:rPr>
              <w:t>цінні</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папери</w:t>
            </w:r>
            <w:proofErr w:type="spellEnd"/>
            <w:r w:rsidRPr="00E16672">
              <w:rPr>
                <w:rFonts w:ascii="Times New Roman" w:hAnsi="Times New Roman"/>
                <w:sz w:val="16"/>
                <w:szCs w:val="16"/>
              </w:rPr>
              <w:t xml:space="preserve"> та прав за </w:t>
            </w:r>
            <w:proofErr w:type="spellStart"/>
            <w:r w:rsidRPr="00E16672">
              <w:rPr>
                <w:rFonts w:ascii="Times New Roman" w:hAnsi="Times New Roman"/>
                <w:sz w:val="16"/>
                <w:szCs w:val="16"/>
              </w:rPr>
              <w:t>цінними</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паперами</w:t>
            </w:r>
            <w:proofErr w:type="spellEnd"/>
            <w:r w:rsidRPr="00E16672">
              <w:rPr>
                <w:rFonts w:ascii="Times New Roman" w:hAnsi="Times New Roman"/>
                <w:sz w:val="16"/>
                <w:szCs w:val="16"/>
              </w:rPr>
              <w:t xml:space="preserve"> Депонента до </w:t>
            </w:r>
            <w:proofErr w:type="spellStart"/>
            <w:r w:rsidRPr="00E16672">
              <w:rPr>
                <w:rFonts w:ascii="Times New Roman" w:hAnsi="Times New Roman"/>
                <w:sz w:val="16"/>
                <w:szCs w:val="16"/>
              </w:rPr>
              <w:t>Депозитарної</w:t>
            </w:r>
            <w:proofErr w:type="spellEnd"/>
            <w:r w:rsidRPr="00E16672">
              <w:rPr>
                <w:rFonts w:ascii="Times New Roman" w:hAnsi="Times New Roman"/>
                <w:sz w:val="16"/>
                <w:szCs w:val="16"/>
              </w:rPr>
              <w:t xml:space="preserve"> установи.</w:t>
            </w:r>
          </w:p>
        </w:tc>
        <w:tc>
          <w:tcPr>
            <w:tcW w:w="5494" w:type="dxa"/>
            <w:gridSpan w:val="6"/>
            <w:shd w:val="clear" w:color="auto" w:fill="auto"/>
          </w:tcPr>
          <w:p w14:paraId="5AA5F108" w14:textId="77777777" w:rsidR="003A05A3" w:rsidRPr="00E16672" w:rsidRDefault="003A05A3" w:rsidP="003B3EC1">
            <w:pPr>
              <w:snapToGrid w:val="0"/>
              <w:ind w:left="175" w:right="138" w:firstLine="0"/>
              <w:rPr>
                <w:rFonts w:ascii="Times New Roman" w:hAnsi="Times New Roman"/>
                <w:b/>
                <w:bCs/>
                <w:sz w:val="16"/>
                <w:szCs w:val="16"/>
                <w:lang w:val="en-GB"/>
              </w:rPr>
            </w:pPr>
            <w:r w:rsidRPr="00E16672">
              <w:rPr>
                <w:rFonts w:ascii="Times New Roman" w:hAnsi="Times New Roman"/>
                <w:sz w:val="16"/>
                <w:szCs w:val="16"/>
                <w:lang w:val="en-GB"/>
              </w:rPr>
              <w:t>8.</w:t>
            </w:r>
            <w:r w:rsidRPr="00E16672">
              <w:rPr>
                <w:rFonts w:ascii="Times New Roman" w:hAnsi="Times New Roman"/>
                <w:sz w:val="16"/>
                <w:szCs w:val="16"/>
                <w:lang w:val="uk-UA"/>
              </w:rPr>
              <w:t>7</w:t>
            </w:r>
            <w:r w:rsidRPr="00E16672">
              <w:rPr>
                <w:rFonts w:ascii="Times New Roman" w:hAnsi="Times New Roman"/>
                <w:sz w:val="16"/>
                <w:szCs w:val="16"/>
                <w:lang w:val="en-GB"/>
              </w:rPr>
              <w:t xml:space="preserve">. </w:t>
            </w:r>
            <w:r w:rsidR="00D048FE" w:rsidRPr="00E16672">
              <w:rPr>
                <w:rFonts w:ascii="Times New Roman" w:hAnsi="Times New Roman"/>
                <w:sz w:val="16"/>
                <w:szCs w:val="16"/>
                <w:lang w:val="en-GB"/>
              </w:rPr>
              <w:t xml:space="preserve">Signing this Agreement does not entail the transfer </w:t>
            </w:r>
            <w:r w:rsidR="00D048FE" w:rsidRPr="00E16672">
              <w:rPr>
                <w:rFonts w:ascii="Times New Roman" w:hAnsi="Times New Roman"/>
                <w:sz w:val="16"/>
                <w:szCs w:val="16"/>
                <w:lang w:val="en-US"/>
              </w:rPr>
              <w:t>D</w:t>
            </w:r>
            <w:proofErr w:type="spellStart"/>
            <w:r w:rsidR="00D048FE" w:rsidRPr="00E16672">
              <w:rPr>
                <w:rFonts w:ascii="Times New Roman" w:hAnsi="Times New Roman"/>
                <w:sz w:val="16"/>
                <w:szCs w:val="16"/>
                <w:lang w:val="en-GB"/>
              </w:rPr>
              <w:t>epositor</w:t>
            </w:r>
            <w:proofErr w:type="spellEnd"/>
            <w:r w:rsidR="00D048FE" w:rsidRPr="00E16672">
              <w:rPr>
                <w:rFonts w:ascii="Times New Roman" w:hAnsi="Times New Roman"/>
                <w:sz w:val="16"/>
                <w:szCs w:val="16"/>
                <w:lang w:val="en-US"/>
              </w:rPr>
              <w:t>’s</w:t>
            </w:r>
            <w:r w:rsidR="00D048FE" w:rsidRPr="00E16672">
              <w:rPr>
                <w:rFonts w:ascii="Times New Roman" w:hAnsi="Times New Roman"/>
                <w:sz w:val="16"/>
                <w:szCs w:val="16"/>
                <w:lang w:val="en-GB"/>
              </w:rPr>
              <w:t xml:space="preserve"> </w:t>
            </w:r>
            <w:r w:rsidR="00D048FE" w:rsidRPr="00E16672">
              <w:rPr>
                <w:rFonts w:ascii="Times New Roman" w:hAnsi="Times New Roman"/>
                <w:sz w:val="16"/>
                <w:szCs w:val="16"/>
                <w:lang w:val="en-US"/>
              </w:rPr>
              <w:t xml:space="preserve">rights on </w:t>
            </w:r>
            <w:r w:rsidR="00D048FE" w:rsidRPr="00E16672">
              <w:rPr>
                <w:rFonts w:ascii="Times New Roman" w:hAnsi="Times New Roman"/>
                <w:sz w:val="16"/>
                <w:szCs w:val="16"/>
                <w:lang w:val="en-GB"/>
              </w:rPr>
              <w:t>securities and rights under securities</w:t>
            </w:r>
            <w:r w:rsidR="00D048FE" w:rsidRPr="00E16672">
              <w:rPr>
                <w:rFonts w:ascii="Times New Roman" w:hAnsi="Times New Roman"/>
                <w:sz w:val="16"/>
                <w:szCs w:val="16"/>
                <w:lang w:val="en-US"/>
              </w:rPr>
              <w:t xml:space="preserve"> </w:t>
            </w:r>
            <w:r w:rsidR="00D048FE" w:rsidRPr="00E16672">
              <w:rPr>
                <w:rFonts w:ascii="Times New Roman" w:hAnsi="Times New Roman"/>
                <w:sz w:val="16"/>
                <w:szCs w:val="16"/>
                <w:lang w:val="en-GB"/>
              </w:rPr>
              <w:t xml:space="preserve">to the </w:t>
            </w:r>
            <w:r w:rsidR="00D048FE" w:rsidRPr="00E16672">
              <w:rPr>
                <w:rFonts w:ascii="Times New Roman" w:hAnsi="Times New Roman"/>
                <w:sz w:val="16"/>
                <w:szCs w:val="16"/>
                <w:lang w:val="en-US"/>
              </w:rPr>
              <w:t>D</w:t>
            </w:r>
            <w:proofErr w:type="spellStart"/>
            <w:r w:rsidR="00D048FE" w:rsidRPr="00E16672">
              <w:rPr>
                <w:rFonts w:ascii="Times New Roman" w:hAnsi="Times New Roman"/>
                <w:sz w:val="16"/>
                <w:szCs w:val="16"/>
                <w:lang w:val="en-GB"/>
              </w:rPr>
              <w:t>epository</w:t>
            </w:r>
            <w:proofErr w:type="spellEnd"/>
            <w:r w:rsidR="00D048FE" w:rsidRPr="00E16672">
              <w:rPr>
                <w:rFonts w:ascii="Times New Roman" w:hAnsi="Times New Roman"/>
                <w:sz w:val="16"/>
                <w:szCs w:val="16"/>
                <w:lang w:val="en-GB"/>
              </w:rPr>
              <w:t xml:space="preserve"> institution</w:t>
            </w:r>
            <w:r w:rsidRPr="00E16672">
              <w:rPr>
                <w:rFonts w:ascii="Times New Roman" w:hAnsi="Times New Roman"/>
                <w:sz w:val="16"/>
                <w:szCs w:val="16"/>
                <w:lang w:val="en-GB"/>
              </w:rPr>
              <w:t>.</w:t>
            </w:r>
          </w:p>
        </w:tc>
      </w:tr>
      <w:tr w:rsidR="003A05A3" w:rsidRPr="00F23413" w14:paraId="06B60553" w14:textId="77777777" w:rsidTr="00242F58">
        <w:trPr>
          <w:trHeight w:val="846"/>
        </w:trPr>
        <w:tc>
          <w:tcPr>
            <w:tcW w:w="5696" w:type="dxa"/>
            <w:gridSpan w:val="8"/>
            <w:shd w:val="clear" w:color="auto" w:fill="auto"/>
          </w:tcPr>
          <w:p w14:paraId="03F25E2C" w14:textId="77777777" w:rsidR="003A05A3" w:rsidRPr="00E16672" w:rsidRDefault="003A05A3" w:rsidP="00843027">
            <w:pPr>
              <w:tabs>
                <w:tab w:val="left" w:pos="1137"/>
                <w:tab w:val="left" w:pos="6011"/>
              </w:tabs>
              <w:snapToGrid w:val="0"/>
              <w:spacing w:before="57" w:after="57"/>
              <w:ind w:left="175" w:right="138" w:firstLine="0"/>
              <w:rPr>
                <w:rFonts w:ascii="Times New Roman" w:hAnsi="Times New Roman"/>
                <w:strike/>
                <w:color w:val="000000"/>
                <w:sz w:val="16"/>
                <w:szCs w:val="16"/>
                <w:lang w:val="uk-UA"/>
              </w:rPr>
            </w:pPr>
            <w:r w:rsidRPr="00E16672">
              <w:rPr>
                <w:rFonts w:ascii="Times New Roman" w:hAnsi="Times New Roman"/>
                <w:color w:val="000000"/>
                <w:sz w:val="16"/>
                <w:szCs w:val="16"/>
              </w:rPr>
              <w:t>8.</w:t>
            </w:r>
            <w:r w:rsidRPr="00E16672">
              <w:rPr>
                <w:rFonts w:ascii="Times New Roman" w:hAnsi="Times New Roman"/>
                <w:color w:val="000000"/>
                <w:sz w:val="16"/>
                <w:szCs w:val="16"/>
                <w:lang w:val="uk-UA"/>
              </w:rPr>
              <w:t>8</w:t>
            </w:r>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Закриття</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рахунків</w:t>
            </w:r>
            <w:proofErr w:type="spellEnd"/>
            <w:r w:rsidRPr="00E16672">
              <w:rPr>
                <w:rFonts w:ascii="Times New Roman" w:hAnsi="Times New Roman"/>
                <w:color w:val="000000"/>
                <w:sz w:val="16"/>
                <w:szCs w:val="16"/>
              </w:rPr>
              <w:t xml:space="preserve"> </w:t>
            </w:r>
            <w:r w:rsidR="00C22309" w:rsidRPr="00E16672">
              <w:rPr>
                <w:rFonts w:ascii="Times New Roman" w:hAnsi="Times New Roman"/>
                <w:color w:val="000000"/>
                <w:sz w:val="16"/>
                <w:szCs w:val="16"/>
              </w:rPr>
              <w:t xml:space="preserve">в </w:t>
            </w:r>
            <w:proofErr w:type="spellStart"/>
            <w:r w:rsidR="00C22309" w:rsidRPr="00E16672">
              <w:rPr>
                <w:rFonts w:ascii="Times New Roman" w:hAnsi="Times New Roman"/>
                <w:color w:val="000000"/>
                <w:sz w:val="16"/>
                <w:szCs w:val="16"/>
              </w:rPr>
              <w:t>цін</w:t>
            </w:r>
            <w:r w:rsidRPr="00E16672">
              <w:rPr>
                <w:rFonts w:ascii="Times New Roman" w:hAnsi="Times New Roman"/>
                <w:color w:val="000000"/>
                <w:sz w:val="16"/>
                <w:szCs w:val="16"/>
              </w:rPr>
              <w:t>них</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паперах</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відбувається</w:t>
            </w:r>
            <w:proofErr w:type="spellEnd"/>
            <w:r w:rsidRPr="00E16672">
              <w:rPr>
                <w:rFonts w:ascii="Times New Roman" w:hAnsi="Times New Roman"/>
                <w:color w:val="000000"/>
                <w:sz w:val="16"/>
                <w:szCs w:val="16"/>
              </w:rPr>
              <w:t xml:space="preserve"> за </w:t>
            </w:r>
            <w:proofErr w:type="spellStart"/>
            <w:r w:rsidRPr="00E16672">
              <w:rPr>
                <w:rFonts w:ascii="Times New Roman" w:hAnsi="Times New Roman"/>
                <w:color w:val="000000"/>
                <w:sz w:val="16"/>
                <w:szCs w:val="16"/>
              </w:rPr>
              <w:t>розпорядженням</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ініціатора</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депозитарної</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операції</w:t>
            </w:r>
            <w:proofErr w:type="spellEnd"/>
            <w:r w:rsidRPr="00E16672">
              <w:rPr>
                <w:rFonts w:ascii="Times New Roman" w:hAnsi="Times New Roman"/>
                <w:color w:val="000000"/>
                <w:sz w:val="16"/>
                <w:szCs w:val="16"/>
                <w:lang w:val="uk-UA"/>
              </w:rPr>
              <w:t xml:space="preserve"> </w:t>
            </w:r>
            <w:r w:rsidRPr="00E16672">
              <w:rPr>
                <w:rFonts w:ascii="Times New Roman" w:hAnsi="Times New Roman"/>
                <w:sz w:val="16"/>
                <w:szCs w:val="16"/>
                <w:lang w:val="uk-UA"/>
              </w:rPr>
              <w:t>крім випадків, встановлених цим Договором та законом</w:t>
            </w:r>
            <w:r w:rsidRPr="00E16672">
              <w:rPr>
                <w:rFonts w:ascii="Times New Roman" w:hAnsi="Times New Roman"/>
                <w:color w:val="000000"/>
                <w:sz w:val="16"/>
                <w:szCs w:val="16"/>
                <w:lang w:val="uk-UA"/>
              </w:rPr>
              <w:t>.</w:t>
            </w:r>
          </w:p>
          <w:p w14:paraId="0413822C" w14:textId="77777777" w:rsidR="003A05A3" w:rsidRPr="00E16672" w:rsidRDefault="003A05A3" w:rsidP="00843027">
            <w:pPr>
              <w:tabs>
                <w:tab w:val="left" w:pos="1137"/>
                <w:tab w:val="left" w:pos="6011"/>
              </w:tabs>
              <w:snapToGrid w:val="0"/>
              <w:spacing w:before="57" w:after="57"/>
              <w:ind w:left="175" w:right="138" w:firstLine="0"/>
              <w:rPr>
                <w:rFonts w:ascii="Times New Roman" w:hAnsi="Times New Roman"/>
                <w:color w:val="000000"/>
                <w:sz w:val="16"/>
                <w:szCs w:val="16"/>
                <w:lang w:val="uk-UA"/>
              </w:rPr>
            </w:pPr>
            <w:r w:rsidRPr="00E16672">
              <w:rPr>
                <w:rFonts w:ascii="Times New Roman" w:hAnsi="Times New Roman"/>
                <w:color w:val="000000"/>
                <w:sz w:val="16"/>
                <w:szCs w:val="16"/>
                <w:lang w:val="uk-UA"/>
              </w:rPr>
              <w:t xml:space="preserve">Обов’язковою умовою закриття рахунку в цінних паперах має бути відсутність в </w:t>
            </w:r>
            <w:proofErr w:type="spellStart"/>
            <w:r w:rsidRPr="00E16672">
              <w:rPr>
                <w:rFonts w:ascii="Times New Roman" w:hAnsi="Times New Roman"/>
                <w:color w:val="000000"/>
                <w:sz w:val="16"/>
                <w:szCs w:val="16"/>
                <w:lang w:val="uk-UA"/>
              </w:rPr>
              <w:t>облік</w:t>
            </w:r>
            <w:r w:rsidR="00C22309" w:rsidRPr="00E16672">
              <w:rPr>
                <w:rFonts w:ascii="Times New Roman" w:hAnsi="Times New Roman"/>
                <w:color w:val="000000"/>
                <w:sz w:val="16"/>
                <w:szCs w:val="16"/>
                <w:lang w:val="uk-UA"/>
              </w:rPr>
              <w:t>в</w:t>
            </w:r>
            <w:proofErr w:type="spellEnd"/>
            <w:r w:rsidR="00C22309" w:rsidRPr="00E16672">
              <w:rPr>
                <w:rFonts w:ascii="Times New Roman" w:hAnsi="Times New Roman"/>
                <w:color w:val="000000"/>
                <w:sz w:val="16"/>
                <w:szCs w:val="16"/>
                <w:lang w:val="uk-UA"/>
              </w:rPr>
              <w:t xml:space="preserve"> цін</w:t>
            </w:r>
            <w:r w:rsidRPr="00E16672">
              <w:rPr>
                <w:rFonts w:ascii="Times New Roman" w:hAnsi="Times New Roman"/>
                <w:color w:val="000000"/>
                <w:sz w:val="16"/>
                <w:szCs w:val="16"/>
                <w:lang w:val="uk-UA"/>
              </w:rPr>
              <w:t>них паперів, прав на цінні папери.</w:t>
            </w:r>
          </w:p>
          <w:p w14:paraId="7B7590B2" w14:textId="77777777" w:rsidR="003A05A3" w:rsidRPr="00E16672" w:rsidRDefault="003A05A3" w:rsidP="00843027">
            <w:pPr>
              <w:tabs>
                <w:tab w:val="left" w:pos="1137"/>
                <w:tab w:val="left" w:pos="6011"/>
              </w:tabs>
              <w:snapToGrid w:val="0"/>
              <w:spacing w:before="57" w:after="57"/>
              <w:ind w:left="175" w:right="138"/>
              <w:rPr>
                <w:rFonts w:ascii="Times New Roman" w:hAnsi="Times New Roman"/>
                <w:color w:val="000000"/>
                <w:sz w:val="16"/>
                <w:szCs w:val="16"/>
                <w:lang w:val="uk-UA"/>
              </w:rPr>
            </w:pPr>
          </w:p>
        </w:tc>
        <w:tc>
          <w:tcPr>
            <w:tcW w:w="5494" w:type="dxa"/>
            <w:gridSpan w:val="6"/>
            <w:shd w:val="clear" w:color="auto" w:fill="auto"/>
          </w:tcPr>
          <w:p w14:paraId="683CFE23" w14:textId="77777777" w:rsidR="003A05A3" w:rsidRPr="00E16672" w:rsidRDefault="003A05A3" w:rsidP="00843027">
            <w:pPr>
              <w:tabs>
                <w:tab w:val="left" w:pos="1137"/>
                <w:tab w:val="left" w:pos="6011"/>
              </w:tabs>
              <w:snapToGrid w:val="0"/>
              <w:spacing w:before="57" w:after="57"/>
              <w:ind w:left="145" w:right="100" w:firstLine="0"/>
              <w:rPr>
                <w:rFonts w:ascii="Times New Roman" w:hAnsi="Times New Roman"/>
                <w:strike/>
                <w:color w:val="000000"/>
                <w:sz w:val="16"/>
                <w:szCs w:val="16"/>
                <w:lang w:val="uk-UA"/>
              </w:rPr>
            </w:pPr>
            <w:r w:rsidRPr="00E16672">
              <w:rPr>
                <w:rFonts w:ascii="Times New Roman" w:hAnsi="Times New Roman"/>
                <w:color w:val="000000"/>
                <w:sz w:val="16"/>
                <w:szCs w:val="16"/>
                <w:lang w:val="en-GB"/>
              </w:rPr>
              <w:t>8.</w:t>
            </w:r>
            <w:r w:rsidRPr="00E16672">
              <w:rPr>
                <w:rFonts w:ascii="Times New Roman" w:hAnsi="Times New Roman"/>
                <w:color w:val="000000"/>
                <w:sz w:val="16"/>
                <w:szCs w:val="16"/>
                <w:lang w:val="uk-UA"/>
              </w:rPr>
              <w:t>8</w:t>
            </w:r>
            <w:r w:rsidRPr="00E16672">
              <w:rPr>
                <w:rFonts w:ascii="Times New Roman" w:hAnsi="Times New Roman"/>
                <w:color w:val="000000"/>
                <w:sz w:val="16"/>
                <w:szCs w:val="16"/>
                <w:lang w:val="en-GB"/>
              </w:rPr>
              <w:t xml:space="preserve">. Closing accounts in securities is on the order of </w:t>
            </w:r>
            <w:proofErr w:type="gramStart"/>
            <w:r w:rsidRPr="00E16672">
              <w:rPr>
                <w:rFonts w:ascii="Times New Roman" w:hAnsi="Times New Roman"/>
                <w:color w:val="000000"/>
                <w:sz w:val="16"/>
                <w:szCs w:val="16"/>
                <w:lang w:val="en-GB"/>
              </w:rPr>
              <w:t>initiator  of</w:t>
            </w:r>
            <w:proofErr w:type="gramEnd"/>
            <w:r w:rsidRPr="00E16672">
              <w:rPr>
                <w:rFonts w:ascii="Times New Roman" w:hAnsi="Times New Roman"/>
                <w:color w:val="000000"/>
                <w:sz w:val="16"/>
                <w:szCs w:val="16"/>
                <w:lang w:val="en-GB"/>
              </w:rPr>
              <w:t xml:space="preserve"> depository operation</w:t>
            </w:r>
            <w:r w:rsidRPr="00E16672">
              <w:rPr>
                <w:rFonts w:ascii="Times New Roman" w:hAnsi="Times New Roman"/>
                <w:color w:val="000000"/>
                <w:sz w:val="16"/>
                <w:szCs w:val="16"/>
                <w:lang w:val="uk-UA"/>
              </w:rPr>
              <w:t xml:space="preserve"> </w:t>
            </w:r>
            <w:r w:rsidRPr="00F23413">
              <w:rPr>
                <w:rFonts w:ascii="Times New Roman" w:hAnsi="Times New Roman"/>
                <w:sz w:val="16"/>
                <w:szCs w:val="16"/>
                <w:lang w:val="en-US"/>
              </w:rPr>
              <w:t>except in cases established by this Agreement and by law</w:t>
            </w:r>
            <w:r w:rsidRPr="00E16672">
              <w:rPr>
                <w:rFonts w:ascii="Times New Roman" w:hAnsi="Times New Roman"/>
                <w:color w:val="000000"/>
                <w:sz w:val="16"/>
                <w:szCs w:val="16"/>
                <w:lang w:val="uk-UA"/>
              </w:rPr>
              <w:t>.</w:t>
            </w:r>
          </w:p>
          <w:p w14:paraId="06EE8020" w14:textId="77777777" w:rsidR="003A05A3" w:rsidRPr="00F23413" w:rsidRDefault="003A05A3" w:rsidP="00843027">
            <w:pPr>
              <w:tabs>
                <w:tab w:val="left" w:pos="1137"/>
                <w:tab w:val="left" w:pos="6011"/>
              </w:tabs>
              <w:snapToGrid w:val="0"/>
              <w:spacing w:before="57" w:after="57"/>
              <w:ind w:left="145" w:right="100" w:firstLine="0"/>
              <w:rPr>
                <w:rFonts w:ascii="Times New Roman" w:hAnsi="Times New Roman"/>
                <w:color w:val="000000"/>
                <w:sz w:val="16"/>
                <w:szCs w:val="16"/>
                <w:lang w:val="en-US"/>
              </w:rPr>
            </w:pPr>
            <w:proofErr w:type="spellStart"/>
            <w:r w:rsidRPr="00E16672">
              <w:rPr>
                <w:rFonts w:ascii="Times New Roman" w:hAnsi="Times New Roman"/>
                <w:color w:val="000000"/>
                <w:sz w:val="16"/>
                <w:szCs w:val="16"/>
                <w:lang w:val="uk-UA"/>
              </w:rPr>
              <w:t>Obligatory</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condition</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of</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closing</w:t>
            </w:r>
            <w:proofErr w:type="spellEnd"/>
            <w:r w:rsidRPr="00E16672">
              <w:rPr>
                <w:rFonts w:ascii="Times New Roman" w:hAnsi="Times New Roman"/>
                <w:color w:val="000000"/>
                <w:sz w:val="16"/>
                <w:szCs w:val="16"/>
                <w:lang w:val="uk-UA"/>
              </w:rPr>
              <w:t xml:space="preserve"> a </w:t>
            </w:r>
            <w:proofErr w:type="spellStart"/>
            <w:r w:rsidRPr="00E16672">
              <w:rPr>
                <w:rFonts w:ascii="Times New Roman" w:hAnsi="Times New Roman"/>
                <w:color w:val="000000"/>
                <w:sz w:val="16"/>
                <w:szCs w:val="16"/>
                <w:lang w:val="uk-UA"/>
              </w:rPr>
              <w:t>securities</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account</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must</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be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absence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of</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securities</w:t>
            </w:r>
            <w:proofErr w:type="spellEnd"/>
            <w:r w:rsidRPr="00E16672">
              <w:rPr>
                <w:rFonts w:ascii="Times New Roman" w:hAnsi="Times New Roman"/>
                <w:color w:val="000000"/>
                <w:sz w:val="16"/>
                <w:szCs w:val="16"/>
                <w:lang w:val="uk-UA"/>
              </w:rPr>
              <w:t xml:space="preserve"> </w:t>
            </w:r>
            <w:r w:rsidRPr="00E16672">
              <w:rPr>
                <w:rFonts w:ascii="Times New Roman" w:hAnsi="Times New Roman"/>
                <w:color w:val="000000"/>
                <w:sz w:val="16"/>
                <w:szCs w:val="16"/>
                <w:lang w:val="en-US"/>
              </w:rPr>
              <w:t xml:space="preserve"> in </w:t>
            </w:r>
            <w:proofErr w:type="spellStart"/>
            <w:r w:rsidRPr="00E16672">
              <w:rPr>
                <w:rFonts w:ascii="Times New Roman" w:hAnsi="Times New Roman"/>
                <w:color w:val="000000"/>
                <w:sz w:val="16"/>
                <w:szCs w:val="16"/>
                <w:lang w:val="uk-UA"/>
              </w:rPr>
              <w:t>accounting</w:t>
            </w:r>
            <w:proofErr w:type="spellEnd"/>
            <w:r w:rsidRPr="00E16672">
              <w:rPr>
                <w:rFonts w:ascii="Times New Roman" w:hAnsi="Times New Roman"/>
                <w:color w:val="000000"/>
                <w:sz w:val="16"/>
                <w:szCs w:val="16"/>
                <w:lang w:val="en-US"/>
              </w:rPr>
              <w:t xml:space="preserve">, rights for </w:t>
            </w:r>
            <w:proofErr w:type="spellStart"/>
            <w:r w:rsidRPr="00E16672">
              <w:rPr>
                <w:rFonts w:ascii="Times New Roman" w:hAnsi="Times New Roman"/>
                <w:color w:val="000000"/>
                <w:sz w:val="16"/>
                <w:szCs w:val="16"/>
                <w:lang w:val="uk-UA"/>
              </w:rPr>
              <w:t>securities</w:t>
            </w:r>
            <w:proofErr w:type="spellEnd"/>
            <w:r w:rsidRPr="00F23413">
              <w:rPr>
                <w:rFonts w:ascii="Times New Roman" w:hAnsi="Times New Roman"/>
                <w:color w:val="000000"/>
                <w:sz w:val="16"/>
                <w:szCs w:val="16"/>
                <w:lang w:val="en-US"/>
              </w:rPr>
              <w:t>.</w:t>
            </w:r>
          </w:p>
        </w:tc>
      </w:tr>
      <w:tr w:rsidR="003A05A3" w:rsidRPr="00F23413" w14:paraId="333387F0" w14:textId="77777777" w:rsidTr="00242F58">
        <w:trPr>
          <w:trHeight w:val="573"/>
        </w:trPr>
        <w:tc>
          <w:tcPr>
            <w:tcW w:w="5696" w:type="dxa"/>
            <w:gridSpan w:val="8"/>
            <w:shd w:val="clear" w:color="auto" w:fill="auto"/>
          </w:tcPr>
          <w:p w14:paraId="0FF6EF63" w14:textId="77777777" w:rsidR="003A05A3" w:rsidRPr="00E16672" w:rsidRDefault="003A05A3" w:rsidP="003B3EC1">
            <w:pPr>
              <w:pStyle w:val="32"/>
              <w:snapToGrid w:val="0"/>
              <w:ind w:left="175" w:right="138" w:firstLine="0"/>
              <w:rPr>
                <w:rFonts w:ascii="Times New Roman" w:hAnsi="Times New Roman"/>
                <w:color w:val="000000"/>
                <w:sz w:val="16"/>
                <w:szCs w:val="16"/>
                <w:lang w:val="uk-UA"/>
              </w:rPr>
            </w:pPr>
            <w:r w:rsidRPr="00E16672">
              <w:rPr>
                <w:rFonts w:ascii="Times New Roman" w:hAnsi="Times New Roman"/>
                <w:color w:val="000000"/>
                <w:sz w:val="16"/>
                <w:szCs w:val="16"/>
                <w:lang w:val="uk-UA"/>
              </w:rPr>
              <w:t>8.</w:t>
            </w:r>
            <w:r w:rsidR="003B3EC1">
              <w:rPr>
                <w:rFonts w:ascii="Times New Roman" w:hAnsi="Times New Roman"/>
                <w:color w:val="000000"/>
                <w:sz w:val="16"/>
                <w:szCs w:val="16"/>
                <w:lang w:val="uk-UA"/>
              </w:rPr>
              <w:t>9</w:t>
            </w:r>
            <w:r w:rsidRPr="00E16672">
              <w:rPr>
                <w:rFonts w:ascii="Times New Roman" w:hAnsi="Times New Roman"/>
                <w:color w:val="000000"/>
                <w:sz w:val="16"/>
                <w:szCs w:val="16"/>
                <w:lang w:val="uk-UA"/>
              </w:rPr>
              <w:t xml:space="preserve">. Інші питання, які не регулюються положеннями цього Договору, регулюються чинним законодавством України </w:t>
            </w:r>
            <w:r w:rsidRPr="00E16672">
              <w:rPr>
                <w:rFonts w:ascii="Times New Roman" w:hAnsi="Times New Roman"/>
                <w:sz w:val="16"/>
                <w:szCs w:val="16"/>
                <w:lang w:val="uk-UA"/>
              </w:rPr>
              <w:t>та внутрішніми документами Депозитарної установи</w:t>
            </w:r>
            <w:r w:rsidRPr="00E16672">
              <w:rPr>
                <w:rFonts w:ascii="Times New Roman" w:hAnsi="Times New Roman"/>
                <w:color w:val="000000"/>
                <w:sz w:val="16"/>
                <w:szCs w:val="16"/>
                <w:lang w:val="uk-UA"/>
              </w:rPr>
              <w:t>.</w:t>
            </w:r>
          </w:p>
        </w:tc>
        <w:tc>
          <w:tcPr>
            <w:tcW w:w="5494" w:type="dxa"/>
            <w:gridSpan w:val="6"/>
            <w:shd w:val="clear" w:color="auto" w:fill="auto"/>
          </w:tcPr>
          <w:p w14:paraId="0F4A5F37" w14:textId="77777777" w:rsidR="003A05A3" w:rsidRPr="00E16672" w:rsidRDefault="003A05A3" w:rsidP="003B3EC1">
            <w:pPr>
              <w:pStyle w:val="210"/>
              <w:tabs>
                <w:tab w:val="left" w:pos="287"/>
              </w:tabs>
              <w:snapToGrid w:val="0"/>
              <w:ind w:left="145" w:right="100" w:firstLine="0"/>
              <w:rPr>
                <w:rFonts w:ascii="Times New Roman" w:hAnsi="Times New Roman"/>
                <w:color w:val="000000"/>
                <w:sz w:val="16"/>
                <w:szCs w:val="16"/>
                <w:lang w:val="en-GB"/>
              </w:rPr>
            </w:pPr>
            <w:r w:rsidRPr="00E16672">
              <w:rPr>
                <w:rFonts w:ascii="Times New Roman" w:hAnsi="Times New Roman"/>
                <w:color w:val="000000"/>
                <w:sz w:val="16"/>
                <w:szCs w:val="16"/>
                <w:lang w:val="en-US"/>
              </w:rPr>
              <w:t>8</w:t>
            </w:r>
            <w:r w:rsidRPr="00E16672">
              <w:rPr>
                <w:rFonts w:ascii="Times New Roman" w:hAnsi="Times New Roman"/>
                <w:color w:val="000000"/>
                <w:sz w:val="16"/>
                <w:szCs w:val="16"/>
              </w:rPr>
              <w:t>.</w:t>
            </w:r>
            <w:r w:rsidR="003B3EC1">
              <w:rPr>
                <w:rFonts w:ascii="Times New Roman" w:hAnsi="Times New Roman"/>
                <w:color w:val="000000"/>
                <w:sz w:val="16"/>
                <w:szCs w:val="16"/>
              </w:rPr>
              <w:t>9</w:t>
            </w:r>
            <w:r w:rsidRPr="00E16672">
              <w:rPr>
                <w:rFonts w:ascii="Times New Roman" w:hAnsi="Times New Roman"/>
                <w:color w:val="000000"/>
                <w:sz w:val="16"/>
                <w:szCs w:val="16"/>
              </w:rPr>
              <w:t>.</w:t>
            </w:r>
            <w:r w:rsidRPr="00E16672">
              <w:rPr>
                <w:rFonts w:ascii="Times New Roman" w:hAnsi="Times New Roman"/>
                <w:color w:val="000000"/>
                <w:sz w:val="16"/>
                <w:szCs w:val="16"/>
                <w:lang w:val="en-GB"/>
              </w:rPr>
              <w:t xml:space="preserve"> Other questions, which are not regulated by the conditions of the present Agreement, shall be regulated by the current legislation of Ukraine</w:t>
            </w:r>
            <w:r w:rsidRPr="00E16672">
              <w:rPr>
                <w:rFonts w:ascii="Times New Roman" w:hAnsi="Times New Roman"/>
                <w:color w:val="000000"/>
                <w:sz w:val="16"/>
                <w:szCs w:val="16"/>
              </w:rPr>
              <w:t xml:space="preserve"> </w:t>
            </w:r>
            <w:proofErr w:type="spellStart"/>
            <w:r w:rsidRPr="00E16672">
              <w:rPr>
                <w:rStyle w:val="shorttext"/>
                <w:rFonts w:ascii="Times New Roman" w:hAnsi="Times New Roman"/>
                <w:sz w:val="16"/>
                <w:szCs w:val="16"/>
              </w:rPr>
              <w:t>and</w:t>
            </w:r>
            <w:proofErr w:type="spellEnd"/>
            <w:r w:rsidRPr="00E16672">
              <w:rPr>
                <w:rStyle w:val="shorttext"/>
                <w:rFonts w:ascii="Times New Roman" w:hAnsi="Times New Roman"/>
                <w:sz w:val="16"/>
                <w:szCs w:val="16"/>
              </w:rPr>
              <w:t xml:space="preserve"> </w:t>
            </w:r>
            <w:proofErr w:type="spellStart"/>
            <w:r w:rsidRPr="00E16672">
              <w:rPr>
                <w:rStyle w:val="shorttext"/>
                <w:rFonts w:ascii="Times New Roman" w:hAnsi="Times New Roman"/>
                <w:sz w:val="16"/>
                <w:szCs w:val="16"/>
              </w:rPr>
              <w:t>the</w:t>
            </w:r>
            <w:proofErr w:type="spellEnd"/>
            <w:r w:rsidRPr="00E16672">
              <w:rPr>
                <w:rStyle w:val="shorttext"/>
                <w:rFonts w:ascii="Times New Roman" w:hAnsi="Times New Roman"/>
                <w:sz w:val="16"/>
                <w:szCs w:val="16"/>
              </w:rPr>
              <w:t xml:space="preserve"> </w:t>
            </w:r>
            <w:proofErr w:type="spellStart"/>
            <w:r w:rsidRPr="00E16672">
              <w:rPr>
                <w:rStyle w:val="shorttext"/>
                <w:rFonts w:ascii="Times New Roman" w:hAnsi="Times New Roman"/>
                <w:sz w:val="16"/>
                <w:szCs w:val="16"/>
              </w:rPr>
              <w:t>internal</w:t>
            </w:r>
            <w:proofErr w:type="spellEnd"/>
            <w:r w:rsidRPr="00E16672">
              <w:rPr>
                <w:rStyle w:val="shorttext"/>
                <w:rFonts w:ascii="Times New Roman" w:hAnsi="Times New Roman"/>
                <w:sz w:val="16"/>
                <w:szCs w:val="16"/>
              </w:rPr>
              <w:t xml:space="preserve"> </w:t>
            </w:r>
            <w:proofErr w:type="spellStart"/>
            <w:r w:rsidRPr="00E16672">
              <w:rPr>
                <w:rStyle w:val="shorttext"/>
                <w:rFonts w:ascii="Times New Roman" w:hAnsi="Times New Roman"/>
                <w:sz w:val="16"/>
                <w:szCs w:val="16"/>
              </w:rPr>
              <w:t>documents</w:t>
            </w:r>
            <w:proofErr w:type="spellEnd"/>
            <w:r w:rsidRPr="00E16672">
              <w:rPr>
                <w:rStyle w:val="shorttext"/>
                <w:rFonts w:ascii="Times New Roman" w:hAnsi="Times New Roman"/>
                <w:sz w:val="16"/>
                <w:szCs w:val="16"/>
              </w:rPr>
              <w:t xml:space="preserve"> </w:t>
            </w:r>
            <w:proofErr w:type="spellStart"/>
            <w:r w:rsidRPr="00E16672">
              <w:rPr>
                <w:rStyle w:val="shorttext"/>
                <w:rFonts w:ascii="Times New Roman" w:hAnsi="Times New Roman"/>
                <w:sz w:val="16"/>
                <w:szCs w:val="16"/>
              </w:rPr>
              <w:t>of</w:t>
            </w:r>
            <w:proofErr w:type="spellEnd"/>
            <w:r w:rsidRPr="00E16672">
              <w:rPr>
                <w:rStyle w:val="shorttext"/>
                <w:rFonts w:ascii="Times New Roman" w:hAnsi="Times New Roman"/>
                <w:sz w:val="16"/>
                <w:szCs w:val="16"/>
              </w:rPr>
              <w:t xml:space="preserve"> </w:t>
            </w:r>
            <w:proofErr w:type="spellStart"/>
            <w:r w:rsidRPr="00E16672">
              <w:rPr>
                <w:rStyle w:val="shorttext"/>
                <w:rFonts w:ascii="Times New Roman" w:hAnsi="Times New Roman"/>
                <w:sz w:val="16"/>
                <w:szCs w:val="16"/>
              </w:rPr>
              <w:t>the</w:t>
            </w:r>
            <w:proofErr w:type="spellEnd"/>
            <w:r w:rsidRPr="00E16672">
              <w:rPr>
                <w:rStyle w:val="shorttext"/>
                <w:rFonts w:ascii="Times New Roman" w:hAnsi="Times New Roman"/>
                <w:sz w:val="16"/>
                <w:szCs w:val="16"/>
              </w:rPr>
              <w:t xml:space="preserve"> </w:t>
            </w:r>
            <w:proofErr w:type="spellStart"/>
            <w:r w:rsidRPr="00E16672">
              <w:rPr>
                <w:rStyle w:val="shorttext"/>
                <w:rFonts w:ascii="Times New Roman" w:hAnsi="Times New Roman"/>
                <w:sz w:val="16"/>
                <w:szCs w:val="16"/>
              </w:rPr>
              <w:t>Depositary</w:t>
            </w:r>
            <w:proofErr w:type="spellEnd"/>
            <w:r w:rsidRPr="00E16672">
              <w:rPr>
                <w:rStyle w:val="shorttext"/>
                <w:rFonts w:ascii="Times New Roman" w:hAnsi="Times New Roman"/>
                <w:sz w:val="16"/>
                <w:szCs w:val="16"/>
              </w:rPr>
              <w:t xml:space="preserve"> </w:t>
            </w:r>
            <w:r w:rsidRPr="00E16672">
              <w:rPr>
                <w:rFonts w:ascii="Times New Roman" w:hAnsi="Times New Roman"/>
                <w:iCs/>
                <w:color w:val="000000"/>
                <w:sz w:val="16"/>
                <w:szCs w:val="16"/>
                <w:lang w:val="en-US"/>
              </w:rPr>
              <w:t>institution</w:t>
            </w:r>
            <w:r w:rsidRPr="00E16672">
              <w:rPr>
                <w:rFonts w:ascii="Times New Roman" w:hAnsi="Times New Roman"/>
                <w:color w:val="000000"/>
                <w:sz w:val="16"/>
                <w:szCs w:val="16"/>
                <w:lang w:val="en-GB"/>
              </w:rPr>
              <w:t>.</w:t>
            </w:r>
          </w:p>
        </w:tc>
      </w:tr>
      <w:tr w:rsidR="003A05A3" w:rsidRPr="00F23413" w14:paraId="5033D3B3" w14:textId="77777777" w:rsidTr="00242F58">
        <w:trPr>
          <w:trHeight w:val="192"/>
        </w:trPr>
        <w:tc>
          <w:tcPr>
            <w:tcW w:w="5696" w:type="dxa"/>
            <w:gridSpan w:val="8"/>
            <w:shd w:val="clear" w:color="auto" w:fill="auto"/>
          </w:tcPr>
          <w:p w14:paraId="5AF2DC8D" w14:textId="77777777" w:rsidR="003A05A3" w:rsidRPr="00E16672" w:rsidRDefault="003A05A3" w:rsidP="00843027">
            <w:pPr>
              <w:snapToGrid w:val="0"/>
              <w:ind w:left="175" w:right="138"/>
              <w:rPr>
                <w:rFonts w:ascii="Times New Roman" w:hAnsi="Times New Roman"/>
                <w:sz w:val="16"/>
                <w:szCs w:val="16"/>
                <w:lang w:val="en-US"/>
              </w:rPr>
            </w:pPr>
          </w:p>
          <w:p w14:paraId="3203E950" w14:textId="77777777" w:rsidR="003A05A3" w:rsidRPr="00E16672" w:rsidRDefault="003A05A3" w:rsidP="00843027">
            <w:pPr>
              <w:ind w:left="175" w:right="138"/>
              <w:jc w:val="center"/>
              <w:rPr>
                <w:rFonts w:ascii="Times New Roman" w:hAnsi="Times New Roman"/>
                <w:b/>
                <w:caps/>
                <w:sz w:val="16"/>
                <w:szCs w:val="16"/>
                <w:lang w:val="en-US"/>
              </w:rPr>
            </w:pPr>
            <w:r w:rsidRPr="00E16672">
              <w:rPr>
                <w:rFonts w:ascii="Times New Roman" w:hAnsi="Times New Roman"/>
                <w:b/>
                <w:caps/>
                <w:sz w:val="16"/>
                <w:szCs w:val="16"/>
                <w:lang w:val="en-US"/>
              </w:rPr>
              <w:t xml:space="preserve">9. </w:t>
            </w:r>
            <w:r w:rsidRPr="00E16672">
              <w:rPr>
                <w:rFonts w:ascii="Times New Roman" w:hAnsi="Times New Roman"/>
                <w:b/>
                <w:caps/>
                <w:sz w:val="16"/>
                <w:szCs w:val="16"/>
              </w:rPr>
              <w:t>Форс</w:t>
            </w:r>
            <w:r w:rsidRPr="00E16672">
              <w:rPr>
                <w:rFonts w:ascii="Times New Roman" w:hAnsi="Times New Roman"/>
                <w:b/>
                <w:caps/>
                <w:sz w:val="16"/>
                <w:szCs w:val="16"/>
                <w:lang w:val="en-US"/>
              </w:rPr>
              <w:t>-</w:t>
            </w:r>
            <w:r w:rsidRPr="00E16672">
              <w:rPr>
                <w:rFonts w:ascii="Times New Roman" w:hAnsi="Times New Roman"/>
                <w:b/>
                <w:caps/>
                <w:sz w:val="16"/>
                <w:szCs w:val="16"/>
              </w:rPr>
              <w:t>мажор</w:t>
            </w:r>
          </w:p>
          <w:p w14:paraId="5B1A5E9A" w14:textId="77777777" w:rsidR="003A05A3" w:rsidRPr="00E16672" w:rsidRDefault="003A05A3" w:rsidP="00843027">
            <w:pPr>
              <w:ind w:left="175" w:right="138"/>
              <w:rPr>
                <w:rFonts w:ascii="Times New Roman" w:hAnsi="Times New Roman"/>
                <w:sz w:val="16"/>
                <w:szCs w:val="16"/>
                <w:lang w:val="en-US"/>
              </w:rPr>
            </w:pPr>
          </w:p>
          <w:p w14:paraId="1DAC3129" w14:textId="77777777" w:rsidR="003A05A3" w:rsidRPr="00E16672" w:rsidRDefault="003A05A3" w:rsidP="00843027">
            <w:pPr>
              <w:ind w:left="175" w:right="138" w:firstLine="0"/>
              <w:rPr>
                <w:rFonts w:ascii="Times New Roman" w:hAnsi="Times New Roman"/>
                <w:sz w:val="16"/>
                <w:szCs w:val="16"/>
              </w:rPr>
            </w:pPr>
            <w:r w:rsidRPr="00E16672">
              <w:rPr>
                <w:rFonts w:ascii="Times New Roman" w:hAnsi="Times New Roman"/>
                <w:sz w:val="16"/>
                <w:szCs w:val="16"/>
                <w:lang w:val="en-US"/>
              </w:rPr>
              <w:t xml:space="preserve">9.1. </w:t>
            </w:r>
            <w:proofErr w:type="spellStart"/>
            <w:r w:rsidRPr="00E16672">
              <w:rPr>
                <w:rFonts w:ascii="Times New Roman" w:hAnsi="Times New Roman"/>
                <w:sz w:val="16"/>
                <w:szCs w:val="16"/>
              </w:rPr>
              <w:t>Сторони</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звільняються</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від</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відповідальності</w:t>
            </w:r>
            <w:proofErr w:type="spellEnd"/>
            <w:r w:rsidRPr="00E16672">
              <w:rPr>
                <w:rFonts w:ascii="Times New Roman" w:hAnsi="Times New Roman"/>
                <w:sz w:val="16"/>
                <w:szCs w:val="16"/>
                <w:lang w:val="en-US"/>
              </w:rPr>
              <w:t xml:space="preserve"> </w:t>
            </w:r>
            <w:r w:rsidRPr="00E16672">
              <w:rPr>
                <w:rFonts w:ascii="Times New Roman" w:hAnsi="Times New Roman"/>
                <w:sz w:val="16"/>
                <w:szCs w:val="16"/>
              </w:rPr>
              <w:t>за</w:t>
            </w:r>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часткове</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або</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повне</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невиконання</w:t>
            </w:r>
            <w:proofErr w:type="spellEnd"/>
            <w:r w:rsidRPr="00E16672">
              <w:rPr>
                <w:rFonts w:ascii="Times New Roman" w:hAnsi="Times New Roman"/>
                <w:sz w:val="16"/>
                <w:szCs w:val="16"/>
                <w:lang w:val="en-US"/>
              </w:rPr>
              <w:t xml:space="preserve"> </w:t>
            </w:r>
            <w:r w:rsidRPr="00E16672">
              <w:rPr>
                <w:rFonts w:ascii="Times New Roman" w:hAnsi="Times New Roman"/>
                <w:sz w:val="16"/>
                <w:szCs w:val="16"/>
              </w:rPr>
              <w:t>зобов</w:t>
            </w:r>
            <w:r w:rsidRPr="00E16672">
              <w:rPr>
                <w:rFonts w:ascii="Times New Roman" w:hAnsi="Times New Roman"/>
                <w:sz w:val="16"/>
                <w:szCs w:val="16"/>
                <w:lang w:val="en-US"/>
              </w:rPr>
              <w:t>’</w:t>
            </w:r>
            <w:proofErr w:type="spellStart"/>
            <w:r w:rsidRPr="00E16672">
              <w:rPr>
                <w:rFonts w:ascii="Times New Roman" w:hAnsi="Times New Roman"/>
                <w:sz w:val="16"/>
                <w:szCs w:val="16"/>
              </w:rPr>
              <w:t>язань</w:t>
            </w:r>
            <w:proofErr w:type="spellEnd"/>
            <w:r w:rsidRPr="00E16672">
              <w:rPr>
                <w:rFonts w:ascii="Times New Roman" w:hAnsi="Times New Roman"/>
                <w:sz w:val="16"/>
                <w:szCs w:val="16"/>
                <w:lang w:val="en-US"/>
              </w:rPr>
              <w:t xml:space="preserve"> </w:t>
            </w:r>
            <w:r w:rsidRPr="00E16672">
              <w:rPr>
                <w:rFonts w:ascii="Times New Roman" w:hAnsi="Times New Roman"/>
                <w:sz w:val="16"/>
                <w:szCs w:val="16"/>
              </w:rPr>
              <w:t>по</w:t>
            </w:r>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цьому</w:t>
            </w:r>
            <w:proofErr w:type="spellEnd"/>
            <w:r w:rsidRPr="00E16672">
              <w:rPr>
                <w:rFonts w:ascii="Times New Roman" w:hAnsi="Times New Roman"/>
                <w:sz w:val="16"/>
                <w:szCs w:val="16"/>
                <w:lang w:val="en-US"/>
              </w:rPr>
              <w:t xml:space="preserve"> </w:t>
            </w:r>
            <w:r w:rsidRPr="00E16672">
              <w:rPr>
                <w:rFonts w:ascii="Times New Roman" w:hAnsi="Times New Roman"/>
                <w:sz w:val="16"/>
                <w:szCs w:val="16"/>
              </w:rPr>
              <w:t>Договору</w:t>
            </w:r>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якщо</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це</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виконання</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унеможливив</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вплив</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обставин</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непереборної</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сили</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тобто</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надзвичайних</w:t>
            </w:r>
            <w:proofErr w:type="spellEnd"/>
            <w:r w:rsidRPr="00E16672">
              <w:rPr>
                <w:rFonts w:ascii="Times New Roman" w:hAnsi="Times New Roman"/>
                <w:sz w:val="16"/>
                <w:szCs w:val="16"/>
                <w:lang w:val="en-US"/>
              </w:rPr>
              <w:t xml:space="preserve"> </w:t>
            </w:r>
            <w:r w:rsidRPr="00E16672">
              <w:rPr>
                <w:rFonts w:ascii="Times New Roman" w:hAnsi="Times New Roman"/>
                <w:sz w:val="16"/>
                <w:szCs w:val="16"/>
              </w:rPr>
              <w:t>і</w:t>
            </w:r>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невідворотних</w:t>
            </w:r>
            <w:proofErr w:type="spellEnd"/>
            <w:r w:rsidRPr="00E16672">
              <w:rPr>
                <w:rFonts w:ascii="Times New Roman" w:hAnsi="Times New Roman"/>
                <w:sz w:val="16"/>
                <w:szCs w:val="16"/>
                <w:lang w:val="en-US"/>
              </w:rPr>
              <w:t xml:space="preserve"> </w:t>
            </w:r>
            <w:r w:rsidRPr="00E16672">
              <w:rPr>
                <w:rFonts w:ascii="Times New Roman" w:hAnsi="Times New Roman"/>
                <w:sz w:val="16"/>
                <w:szCs w:val="16"/>
              </w:rPr>
              <w:t>за</w:t>
            </w:r>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даних</w:t>
            </w:r>
            <w:proofErr w:type="spellEnd"/>
            <w:r w:rsidRPr="00E16672">
              <w:rPr>
                <w:rFonts w:ascii="Times New Roman" w:hAnsi="Times New Roman"/>
                <w:sz w:val="16"/>
                <w:szCs w:val="16"/>
                <w:lang w:val="en-US"/>
              </w:rPr>
              <w:t xml:space="preserve"> </w:t>
            </w:r>
            <w:r w:rsidRPr="00E16672">
              <w:rPr>
                <w:rFonts w:ascii="Times New Roman" w:hAnsi="Times New Roman"/>
                <w:sz w:val="16"/>
                <w:szCs w:val="16"/>
              </w:rPr>
              <w:t>умов</w:t>
            </w:r>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подій</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стихійного</w:t>
            </w:r>
            <w:proofErr w:type="spellEnd"/>
            <w:r w:rsidRPr="00E16672">
              <w:rPr>
                <w:rFonts w:ascii="Times New Roman" w:hAnsi="Times New Roman"/>
                <w:sz w:val="16"/>
                <w:szCs w:val="16"/>
                <w:lang w:val="en-US"/>
              </w:rPr>
              <w:t xml:space="preserve"> </w:t>
            </w:r>
            <w:r w:rsidRPr="00E16672">
              <w:rPr>
                <w:rFonts w:ascii="Times New Roman" w:hAnsi="Times New Roman"/>
                <w:sz w:val="16"/>
                <w:szCs w:val="16"/>
              </w:rPr>
              <w:t>лиха</w:t>
            </w:r>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аварії</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пожежі</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вихід</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із</w:t>
            </w:r>
            <w:proofErr w:type="spellEnd"/>
            <w:r w:rsidRPr="00E16672">
              <w:rPr>
                <w:rFonts w:ascii="Times New Roman" w:hAnsi="Times New Roman"/>
                <w:sz w:val="16"/>
                <w:szCs w:val="16"/>
                <w:lang w:val="en-US"/>
              </w:rPr>
              <w:t xml:space="preserve"> </w:t>
            </w:r>
            <w:r w:rsidRPr="00E16672">
              <w:rPr>
                <w:rFonts w:ascii="Times New Roman" w:hAnsi="Times New Roman"/>
                <w:sz w:val="16"/>
                <w:szCs w:val="16"/>
              </w:rPr>
              <w:t>ладу</w:t>
            </w:r>
            <w:r w:rsidRPr="00E16672">
              <w:rPr>
                <w:rFonts w:ascii="Times New Roman" w:hAnsi="Times New Roman"/>
                <w:sz w:val="16"/>
                <w:szCs w:val="16"/>
                <w:lang w:val="en-US"/>
              </w:rPr>
              <w:t xml:space="preserve"> </w:t>
            </w:r>
            <w:r w:rsidRPr="00E16672">
              <w:rPr>
                <w:rFonts w:ascii="Times New Roman" w:hAnsi="Times New Roman"/>
                <w:sz w:val="16"/>
                <w:szCs w:val="16"/>
              </w:rPr>
              <w:t>мереж</w:t>
            </w:r>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зв</w:t>
            </w:r>
            <w:proofErr w:type="spellEnd"/>
            <w:r w:rsidRPr="00E16672">
              <w:rPr>
                <w:rFonts w:ascii="Times New Roman" w:hAnsi="Times New Roman"/>
                <w:sz w:val="16"/>
                <w:szCs w:val="16"/>
                <w:lang w:val="en-US"/>
              </w:rPr>
              <w:t>’</w:t>
            </w:r>
            <w:proofErr w:type="spellStart"/>
            <w:r w:rsidRPr="00E16672">
              <w:rPr>
                <w:rFonts w:ascii="Times New Roman" w:hAnsi="Times New Roman"/>
                <w:sz w:val="16"/>
                <w:szCs w:val="16"/>
              </w:rPr>
              <w:t>язку</w:t>
            </w:r>
            <w:proofErr w:type="spellEnd"/>
            <w:r w:rsidRPr="00E16672">
              <w:rPr>
                <w:rFonts w:ascii="Times New Roman" w:hAnsi="Times New Roman"/>
                <w:sz w:val="16"/>
                <w:szCs w:val="16"/>
                <w:lang w:val="en-US"/>
              </w:rPr>
              <w:t xml:space="preserve"> </w:t>
            </w:r>
            <w:r w:rsidRPr="00E16672">
              <w:rPr>
                <w:rFonts w:ascii="Times New Roman" w:hAnsi="Times New Roman"/>
                <w:sz w:val="16"/>
                <w:szCs w:val="16"/>
              </w:rPr>
              <w:t>та</w:t>
            </w:r>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системи</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електропостачання</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масових</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порушень</w:t>
            </w:r>
            <w:proofErr w:type="spellEnd"/>
            <w:r w:rsidRPr="00E16672">
              <w:rPr>
                <w:rFonts w:ascii="Times New Roman" w:hAnsi="Times New Roman"/>
                <w:sz w:val="16"/>
                <w:szCs w:val="16"/>
                <w:lang w:val="en-US"/>
              </w:rPr>
              <w:t xml:space="preserve"> </w:t>
            </w:r>
            <w:r w:rsidRPr="00E16672">
              <w:rPr>
                <w:rFonts w:ascii="Times New Roman" w:hAnsi="Times New Roman"/>
                <w:sz w:val="16"/>
                <w:szCs w:val="16"/>
              </w:rPr>
              <w:t>правопорядку</w:t>
            </w:r>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страйків</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військових</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дій</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протиправних</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дій</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третіх</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осіб</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крім</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дій</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працівників</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Сторони</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чи</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інших</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обставин</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що</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виникли</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після</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підписання</w:t>
            </w:r>
            <w:proofErr w:type="spellEnd"/>
            <w:r w:rsidRPr="00E16672">
              <w:rPr>
                <w:rFonts w:ascii="Times New Roman" w:hAnsi="Times New Roman"/>
                <w:sz w:val="16"/>
                <w:szCs w:val="16"/>
                <w:lang w:val="en-US"/>
              </w:rPr>
              <w:t xml:space="preserve"> </w:t>
            </w:r>
            <w:r w:rsidRPr="00E16672">
              <w:rPr>
                <w:rFonts w:ascii="Times New Roman" w:hAnsi="Times New Roman"/>
                <w:sz w:val="16"/>
                <w:szCs w:val="16"/>
              </w:rPr>
              <w:t>Договору</w:t>
            </w:r>
            <w:r w:rsidRPr="00E16672">
              <w:rPr>
                <w:rFonts w:ascii="Times New Roman" w:hAnsi="Times New Roman"/>
                <w:sz w:val="16"/>
                <w:szCs w:val="16"/>
                <w:lang w:val="en-US"/>
              </w:rPr>
              <w:t xml:space="preserve"> </w:t>
            </w:r>
            <w:r w:rsidRPr="00E16672">
              <w:rPr>
                <w:rFonts w:ascii="Times New Roman" w:hAnsi="Times New Roman"/>
                <w:sz w:val="16"/>
                <w:szCs w:val="16"/>
              </w:rPr>
              <w:t>та</w:t>
            </w:r>
            <w:r w:rsidRPr="00E16672">
              <w:rPr>
                <w:rFonts w:ascii="Times New Roman" w:hAnsi="Times New Roman"/>
                <w:sz w:val="16"/>
                <w:szCs w:val="16"/>
                <w:lang w:val="en-US"/>
              </w:rPr>
              <w:t xml:space="preserve"> </w:t>
            </w:r>
            <w:r w:rsidRPr="00E16672">
              <w:rPr>
                <w:rFonts w:ascii="Times New Roman" w:hAnsi="Times New Roman"/>
                <w:sz w:val="16"/>
                <w:szCs w:val="16"/>
              </w:rPr>
              <w:t>не</w:t>
            </w:r>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залежать</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від</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волевиявлення</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Сторін</w:t>
            </w:r>
            <w:proofErr w:type="spellEnd"/>
            <w:r w:rsidRPr="00E16672">
              <w:rPr>
                <w:rFonts w:ascii="Times New Roman" w:hAnsi="Times New Roman"/>
                <w:sz w:val="16"/>
                <w:szCs w:val="16"/>
                <w:lang w:val="en-US"/>
              </w:rPr>
              <w:t xml:space="preserve">. </w:t>
            </w:r>
            <w:r w:rsidRPr="00E16672">
              <w:rPr>
                <w:rFonts w:ascii="Times New Roman" w:hAnsi="Times New Roman"/>
                <w:sz w:val="16"/>
                <w:szCs w:val="16"/>
              </w:rPr>
              <w:t xml:space="preserve">Не є </w:t>
            </w:r>
            <w:proofErr w:type="spellStart"/>
            <w:r w:rsidRPr="00E16672">
              <w:rPr>
                <w:rFonts w:ascii="Times New Roman" w:hAnsi="Times New Roman"/>
                <w:sz w:val="16"/>
                <w:szCs w:val="16"/>
              </w:rPr>
              <w:t>непереборною</w:t>
            </w:r>
            <w:proofErr w:type="spellEnd"/>
            <w:r w:rsidRPr="00E16672">
              <w:rPr>
                <w:rFonts w:ascii="Times New Roman" w:hAnsi="Times New Roman"/>
                <w:sz w:val="16"/>
                <w:szCs w:val="16"/>
              </w:rPr>
              <w:t xml:space="preserve"> силою </w:t>
            </w:r>
            <w:proofErr w:type="spellStart"/>
            <w:r w:rsidRPr="00E16672">
              <w:rPr>
                <w:rFonts w:ascii="Times New Roman" w:hAnsi="Times New Roman"/>
                <w:sz w:val="16"/>
                <w:szCs w:val="16"/>
              </w:rPr>
              <w:t>недодержання</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своїх</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обов’язків</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іншими</w:t>
            </w:r>
            <w:proofErr w:type="spellEnd"/>
            <w:r w:rsidRPr="00E16672">
              <w:rPr>
                <w:rFonts w:ascii="Times New Roman" w:hAnsi="Times New Roman"/>
                <w:sz w:val="16"/>
                <w:szCs w:val="16"/>
              </w:rPr>
              <w:t xml:space="preserve"> контрагентами </w:t>
            </w:r>
            <w:proofErr w:type="spellStart"/>
            <w:r w:rsidRPr="00E16672">
              <w:rPr>
                <w:rFonts w:ascii="Times New Roman" w:hAnsi="Times New Roman"/>
                <w:sz w:val="16"/>
                <w:szCs w:val="16"/>
              </w:rPr>
              <w:t>однієї</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зі</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Сторін</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чи</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відсутність</w:t>
            </w:r>
            <w:proofErr w:type="spellEnd"/>
            <w:r w:rsidRPr="00E16672">
              <w:rPr>
                <w:rFonts w:ascii="Times New Roman" w:hAnsi="Times New Roman"/>
                <w:sz w:val="16"/>
                <w:szCs w:val="16"/>
              </w:rPr>
              <w:t xml:space="preserve"> у </w:t>
            </w:r>
            <w:proofErr w:type="spellStart"/>
            <w:r w:rsidRPr="00E16672">
              <w:rPr>
                <w:rFonts w:ascii="Times New Roman" w:hAnsi="Times New Roman"/>
                <w:sz w:val="16"/>
                <w:szCs w:val="16"/>
              </w:rPr>
              <w:t>Сторони</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достатніх</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коштів</w:t>
            </w:r>
            <w:proofErr w:type="spellEnd"/>
            <w:r w:rsidRPr="00E16672">
              <w:rPr>
                <w:rFonts w:ascii="Times New Roman" w:hAnsi="Times New Roman"/>
                <w:sz w:val="16"/>
                <w:szCs w:val="16"/>
              </w:rPr>
              <w:t>.</w:t>
            </w:r>
          </w:p>
          <w:p w14:paraId="71E6A4FE" w14:textId="77777777" w:rsidR="003A05A3" w:rsidRPr="00E16672" w:rsidRDefault="003A05A3" w:rsidP="00843027">
            <w:pPr>
              <w:pStyle w:val="1b"/>
              <w:spacing w:before="0" w:after="0"/>
              <w:ind w:left="175" w:right="138"/>
              <w:rPr>
                <w:rFonts w:ascii="Times New Roman" w:eastAsia="Times New Roman" w:hAnsi="Times New Roman" w:cs="Times New Roman"/>
                <w:sz w:val="16"/>
                <w:szCs w:val="16"/>
              </w:rPr>
            </w:pPr>
          </w:p>
        </w:tc>
        <w:tc>
          <w:tcPr>
            <w:tcW w:w="5494" w:type="dxa"/>
            <w:gridSpan w:val="6"/>
            <w:shd w:val="clear" w:color="auto" w:fill="auto"/>
          </w:tcPr>
          <w:p w14:paraId="38549FD5" w14:textId="77777777" w:rsidR="003A05A3" w:rsidRPr="00E16672" w:rsidRDefault="003A05A3" w:rsidP="00843027">
            <w:pPr>
              <w:tabs>
                <w:tab w:val="left" w:pos="287"/>
              </w:tabs>
              <w:snapToGrid w:val="0"/>
              <w:ind w:left="145" w:right="100"/>
              <w:jc w:val="center"/>
              <w:rPr>
                <w:rFonts w:ascii="Times New Roman" w:hAnsi="Times New Roman"/>
                <w:b/>
                <w:bCs/>
                <w:sz w:val="16"/>
                <w:szCs w:val="16"/>
              </w:rPr>
            </w:pPr>
          </w:p>
          <w:p w14:paraId="21847616" w14:textId="77777777" w:rsidR="003A05A3" w:rsidRPr="00E16672" w:rsidRDefault="003A05A3" w:rsidP="00843027">
            <w:pPr>
              <w:tabs>
                <w:tab w:val="left" w:pos="287"/>
              </w:tabs>
              <w:ind w:left="145" w:right="100"/>
              <w:jc w:val="center"/>
              <w:rPr>
                <w:rFonts w:ascii="Times New Roman" w:hAnsi="Times New Roman"/>
                <w:b/>
                <w:caps/>
                <w:sz w:val="16"/>
                <w:szCs w:val="16"/>
                <w:lang w:val="en-GB"/>
              </w:rPr>
            </w:pPr>
            <w:r w:rsidRPr="00E16672">
              <w:rPr>
                <w:rFonts w:ascii="Times New Roman" w:hAnsi="Times New Roman"/>
                <w:b/>
                <w:caps/>
                <w:sz w:val="16"/>
                <w:szCs w:val="16"/>
                <w:lang w:val="en-US"/>
              </w:rPr>
              <w:t>9</w:t>
            </w:r>
            <w:r w:rsidRPr="00E16672">
              <w:rPr>
                <w:rFonts w:ascii="Times New Roman" w:hAnsi="Times New Roman"/>
                <w:b/>
                <w:caps/>
                <w:sz w:val="16"/>
                <w:szCs w:val="16"/>
                <w:lang w:val="en-GB"/>
              </w:rPr>
              <w:t>. FORCE MAJEURE</w:t>
            </w:r>
          </w:p>
          <w:p w14:paraId="71B2FD4F" w14:textId="77777777" w:rsidR="003A05A3" w:rsidRPr="00E16672" w:rsidRDefault="003A05A3" w:rsidP="00843027">
            <w:pPr>
              <w:tabs>
                <w:tab w:val="left" w:pos="287"/>
              </w:tabs>
              <w:ind w:left="145" w:right="100"/>
              <w:jc w:val="center"/>
              <w:rPr>
                <w:rFonts w:ascii="Times New Roman" w:hAnsi="Times New Roman"/>
                <w:b/>
                <w:bCs/>
                <w:sz w:val="16"/>
                <w:szCs w:val="16"/>
                <w:lang w:val="en-GB"/>
              </w:rPr>
            </w:pPr>
          </w:p>
          <w:p w14:paraId="7AACBF4D" w14:textId="77777777" w:rsidR="003A05A3" w:rsidRPr="00E16672" w:rsidRDefault="003A05A3" w:rsidP="00843027">
            <w:pPr>
              <w:pStyle w:val="210"/>
              <w:tabs>
                <w:tab w:val="left" w:pos="287"/>
              </w:tabs>
              <w:ind w:left="145" w:right="100" w:firstLine="0"/>
              <w:rPr>
                <w:rFonts w:ascii="Times New Roman" w:hAnsi="Times New Roman"/>
                <w:sz w:val="16"/>
                <w:szCs w:val="16"/>
              </w:rPr>
            </w:pPr>
            <w:r w:rsidRPr="00E16672">
              <w:rPr>
                <w:rFonts w:ascii="Times New Roman" w:hAnsi="Times New Roman"/>
                <w:sz w:val="16"/>
                <w:szCs w:val="16"/>
              </w:rPr>
              <w:t xml:space="preserve">9.1.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Parties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shall</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not</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be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liable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for</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partial</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or</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full</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default</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under</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this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Agreement</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if</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this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is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impossible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performance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impact</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of</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force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majeure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ie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extraordinary</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and</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unavoidable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in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circumstances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of</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events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acts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of</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nature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accidents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fires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failure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of</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communication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circuits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and</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electrification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circuits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mass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disorders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strikes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military</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operations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illegal</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operations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except</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actions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of</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staff</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of</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parties</w:t>
            </w:r>
            <w:proofErr w:type="spellEnd"/>
            <w:r w:rsidRPr="00E16672">
              <w:rPr>
                <w:rFonts w:ascii="Times New Roman" w:hAnsi="Times New Roman"/>
                <w:sz w:val="16"/>
                <w:szCs w:val="16"/>
              </w:rPr>
              <w:t xml:space="preserve">) – </w:t>
            </w:r>
            <w:proofErr w:type="spellStart"/>
            <w:r w:rsidRPr="00E16672">
              <w:rPr>
                <w:rFonts w:ascii="Times New Roman" w:hAnsi="Times New Roman"/>
                <w:sz w:val="16"/>
                <w:szCs w:val="16"/>
              </w:rPr>
              <w:t>or</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either</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circumstances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arising</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after</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conclusion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of</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this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Agreement</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and</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does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not</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depend</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will</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of</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parties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Not</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an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insurmountable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force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noncompliance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with</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duties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other</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contractors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from</w:t>
            </w:r>
            <w:proofErr w:type="spellEnd"/>
            <w:r w:rsidRPr="00E16672">
              <w:rPr>
                <w:rFonts w:ascii="Times New Roman" w:hAnsi="Times New Roman"/>
                <w:sz w:val="16"/>
                <w:szCs w:val="16"/>
              </w:rPr>
              <w:t xml:space="preserve"> a </w:t>
            </w:r>
            <w:proofErr w:type="spellStart"/>
            <w:r w:rsidRPr="00E16672">
              <w:rPr>
                <w:rFonts w:ascii="Times New Roman" w:hAnsi="Times New Roman"/>
                <w:sz w:val="16"/>
                <w:szCs w:val="16"/>
              </w:rPr>
              <w:t>Party</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or</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Parties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to</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lack</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of</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sufficient</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funds</w:t>
            </w:r>
            <w:proofErr w:type="spellEnd"/>
            <w:r w:rsidRPr="00E16672">
              <w:rPr>
                <w:rFonts w:ascii="Times New Roman" w:hAnsi="Times New Roman"/>
                <w:sz w:val="16"/>
                <w:szCs w:val="16"/>
              </w:rPr>
              <w:t>.</w:t>
            </w:r>
          </w:p>
        </w:tc>
      </w:tr>
      <w:tr w:rsidR="003A05A3" w:rsidRPr="00F23413" w14:paraId="28FA11EC" w14:textId="77777777" w:rsidTr="00242F58">
        <w:trPr>
          <w:trHeight w:val="192"/>
        </w:trPr>
        <w:tc>
          <w:tcPr>
            <w:tcW w:w="5696" w:type="dxa"/>
            <w:gridSpan w:val="8"/>
            <w:shd w:val="clear" w:color="auto" w:fill="auto"/>
          </w:tcPr>
          <w:p w14:paraId="6F4D5510" w14:textId="77777777" w:rsidR="003A05A3" w:rsidRPr="00E16672" w:rsidRDefault="003A05A3" w:rsidP="00843027">
            <w:pPr>
              <w:snapToGrid w:val="0"/>
              <w:ind w:left="175" w:right="138" w:firstLine="0"/>
              <w:rPr>
                <w:rFonts w:ascii="Times New Roman" w:hAnsi="Times New Roman"/>
                <w:sz w:val="16"/>
                <w:szCs w:val="16"/>
              </w:rPr>
            </w:pPr>
            <w:r w:rsidRPr="00E16672">
              <w:rPr>
                <w:rFonts w:ascii="Times New Roman" w:hAnsi="Times New Roman"/>
                <w:sz w:val="16"/>
                <w:szCs w:val="16"/>
              </w:rPr>
              <w:t xml:space="preserve">9.2. У </w:t>
            </w:r>
            <w:proofErr w:type="spellStart"/>
            <w:r w:rsidRPr="00E16672">
              <w:rPr>
                <w:rFonts w:ascii="Times New Roman" w:hAnsi="Times New Roman"/>
                <w:sz w:val="16"/>
                <w:szCs w:val="16"/>
              </w:rPr>
              <w:t>випадку</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виникнення</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обставин</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непереборної</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сили</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термін</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виконання</w:t>
            </w:r>
            <w:proofErr w:type="spellEnd"/>
            <w:r w:rsidRPr="00E16672">
              <w:rPr>
                <w:rFonts w:ascii="Times New Roman" w:hAnsi="Times New Roman"/>
                <w:sz w:val="16"/>
                <w:szCs w:val="16"/>
              </w:rPr>
              <w:t xml:space="preserve"> Сторонами </w:t>
            </w:r>
            <w:proofErr w:type="spellStart"/>
            <w:r w:rsidRPr="00E16672">
              <w:rPr>
                <w:rFonts w:ascii="Times New Roman" w:hAnsi="Times New Roman"/>
                <w:sz w:val="16"/>
                <w:szCs w:val="16"/>
              </w:rPr>
              <w:t>обов`язків</w:t>
            </w:r>
            <w:proofErr w:type="spellEnd"/>
            <w:r w:rsidRPr="00E16672">
              <w:rPr>
                <w:rFonts w:ascii="Times New Roman" w:hAnsi="Times New Roman"/>
                <w:sz w:val="16"/>
                <w:szCs w:val="16"/>
              </w:rPr>
              <w:t xml:space="preserve"> по </w:t>
            </w:r>
            <w:proofErr w:type="spellStart"/>
            <w:r w:rsidRPr="00E16672">
              <w:rPr>
                <w:rFonts w:ascii="Times New Roman" w:hAnsi="Times New Roman"/>
                <w:sz w:val="16"/>
                <w:szCs w:val="16"/>
              </w:rPr>
              <w:t>цьому</w:t>
            </w:r>
            <w:proofErr w:type="spellEnd"/>
            <w:r w:rsidRPr="00E16672">
              <w:rPr>
                <w:rFonts w:ascii="Times New Roman" w:hAnsi="Times New Roman"/>
                <w:sz w:val="16"/>
                <w:szCs w:val="16"/>
              </w:rPr>
              <w:t xml:space="preserve"> Договору </w:t>
            </w:r>
            <w:proofErr w:type="spellStart"/>
            <w:r w:rsidRPr="00E16672">
              <w:rPr>
                <w:rFonts w:ascii="Times New Roman" w:hAnsi="Times New Roman"/>
                <w:sz w:val="16"/>
                <w:szCs w:val="16"/>
              </w:rPr>
              <w:t>відкладається</w:t>
            </w:r>
            <w:proofErr w:type="spellEnd"/>
            <w:r w:rsidRPr="00E16672">
              <w:rPr>
                <w:rFonts w:ascii="Times New Roman" w:hAnsi="Times New Roman"/>
                <w:sz w:val="16"/>
                <w:szCs w:val="16"/>
              </w:rPr>
              <w:t xml:space="preserve"> на </w:t>
            </w:r>
            <w:proofErr w:type="spellStart"/>
            <w:r w:rsidRPr="00E16672">
              <w:rPr>
                <w:rFonts w:ascii="Times New Roman" w:hAnsi="Times New Roman"/>
                <w:sz w:val="16"/>
                <w:szCs w:val="16"/>
              </w:rPr>
              <w:t>термін</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протягом</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якого</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діють</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такі</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обставини</w:t>
            </w:r>
            <w:proofErr w:type="spellEnd"/>
            <w:r w:rsidRPr="00E16672">
              <w:rPr>
                <w:rFonts w:ascii="Times New Roman" w:hAnsi="Times New Roman"/>
                <w:sz w:val="16"/>
                <w:szCs w:val="16"/>
              </w:rPr>
              <w:t xml:space="preserve"> та </w:t>
            </w:r>
            <w:proofErr w:type="spellStart"/>
            <w:r w:rsidRPr="00E16672">
              <w:rPr>
                <w:rFonts w:ascii="Times New Roman" w:hAnsi="Times New Roman"/>
                <w:sz w:val="16"/>
                <w:szCs w:val="16"/>
              </w:rPr>
              <w:t>їх</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наслідки</w:t>
            </w:r>
            <w:proofErr w:type="spellEnd"/>
            <w:r w:rsidRPr="00E16672">
              <w:rPr>
                <w:rFonts w:ascii="Times New Roman" w:hAnsi="Times New Roman"/>
                <w:sz w:val="16"/>
                <w:szCs w:val="16"/>
              </w:rPr>
              <w:t>.</w:t>
            </w:r>
          </w:p>
        </w:tc>
        <w:tc>
          <w:tcPr>
            <w:tcW w:w="5494" w:type="dxa"/>
            <w:gridSpan w:val="6"/>
            <w:shd w:val="clear" w:color="auto" w:fill="auto"/>
          </w:tcPr>
          <w:p w14:paraId="04C53B41" w14:textId="77777777" w:rsidR="003A05A3" w:rsidRPr="00E16672" w:rsidRDefault="003A05A3" w:rsidP="00843027">
            <w:pPr>
              <w:pStyle w:val="210"/>
              <w:tabs>
                <w:tab w:val="left" w:pos="287"/>
              </w:tabs>
              <w:snapToGrid w:val="0"/>
              <w:ind w:left="145" w:right="100" w:firstLine="0"/>
              <w:rPr>
                <w:rFonts w:ascii="Times New Roman" w:hAnsi="Times New Roman"/>
                <w:sz w:val="16"/>
                <w:szCs w:val="16"/>
              </w:rPr>
            </w:pPr>
            <w:r w:rsidRPr="00E16672">
              <w:rPr>
                <w:rFonts w:ascii="Times New Roman" w:hAnsi="Times New Roman"/>
                <w:sz w:val="16"/>
                <w:szCs w:val="16"/>
              </w:rPr>
              <w:t xml:space="preserve">9.2. </w:t>
            </w:r>
            <w:proofErr w:type="spellStart"/>
            <w:r w:rsidR="00D048FE" w:rsidRPr="00E16672">
              <w:rPr>
                <w:rFonts w:ascii="Times New Roman" w:hAnsi="Times New Roman"/>
                <w:sz w:val="16"/>
                <w:szCs w:val="16"/>
              </w:rPr>
              <w:t>In</w:t>
            </w:r>
            <w:proofErr w:type="spellEnd"/>
            <w:r w:rsidR="00D048FE" w:rsidRPr="00E16672">
              <w:rPr>
                <w:rFonts w:ascii="Times New Roman" w:hAnsi="Times New Roman"/>
                <w:sz w:val="16"/>
                <w:szCs w:val="16"/>
              </w:rPr>
              <w:t xml:space="preserve"> </w:t>
            </w:r>
            <w:proofErr w:type="spellStart"/>
            <w:r w:rsidR="00D048FE" w:rsidRPr="00E16672">
              <w:rPr>
                <w:rFonts w:ascii="Times New Roman" w:hAnsi="Times New Roman"/>
                <w:sz w:val="16"/>
                <w:szCs w:val="16"/>
              </w:rPr>
              <w:t>case</w:t>
            </w:r>
            <w:proofErr w:type="spellEnd"/>
            <w:r w:rsidR="00D048FE" w:rsidRPr="00E16672">
              <w:rPr>
                <w:rFonts w:ascii="Times New Roman" w:hAnsi="Times New Roman"/>
                <w:sz w:val="16"/>
                <w:szCs w:val="16"/>
              </w:rPr>
              <w:t xml:space="preserve"> </w:t>
            </w:r>
            <w:proofErr w:type="spellStart"/>
            <w:r w:rsidR="00D048FE" w:rsidRPr="00E16672">
              <w:rPr>
                <w:rFonts w:ascii="Times New Roman" w:hAnsi="Times New Roman"/>
                <w:sz w:val="16"/>
                <w:szCs w:val="16"/>
              </w:rPr>
              <w:t>of</w:t>
            </w:r>
            <w:proofErr w:type="spellEnd"/>
            <w:r w:rsidR="00D048FE" w:rsidRPr="00E16672">
              <w:rPr>
                <w:rFonts w:ascii="Times New Roman" w:hAnsi="Times New Roman"/>
                <w:sz w:val="16"/>
                <w:szCs w:val="16"/>
              </w:rPr>
              <w:t xml:space="preserve"> </w:t>
            </w:r>
            <w:proofErr w:type="spellStart"/>
            <w:r w:rsidR="00D048FE" w:rsidRPr="00E16672">
              <w:rPr>
                <w:rFonts w:ascii="Times New Roman" w:hAnsi="Times New Roman"/>
                <w:sz w:val="16"/>
                <w:szCs w:val="16"/>
              </w:rPr>
              <w:t>arising</w:t>
            </w:r>
            <w:proofErr w:type="spellEnd"/>
            <w:r w:rsidR="00D048FE" w:rsidRPr="00E16672">
              <w:rPr>
                <w:rFonts w:ascii="Times New Roman" w:hAnsi="Times New Roman"/>
                <w:sz w:val="16"/>
                <w:szCs w:val="16"/>
              </w:rPr>
              <w:t xml:space="preserve"> </w:t>
            </w:r>
            <w:proofErr w:type="spellStart"/>
            <w:r w:rsidR="00D048FE" w:rsidRPr="00E16672">
              <w:rPr>
                <w:rFonts w:ascii="Times New Roman" w:hAnsi="Times New Roman"/>
                <w:sz w:val="16"/>
                <w:szCs w:val="16"/>
              </w:rPr>
              <w:t>of</w:t>
            </w:r>
            <w:proofErr w:type="spellEnd"/>
            <w:r w:rsidR="00D048FE" w:rsidRPr="00E16672">
              <w:rPr>
                <w:rFonts w:ascii="Times New Roman" w:hAnsi="Times New Roman"/>
                <w:sz w:val="16"/>
                <w:szCs w:val="16"/>
              </w:rPr>
              <w:t xml:space="preserve"> </w:t>
            </w:r>
            <w:proofErr w:type="spellStart"/>
            <w:r w:rsidR="00D048FE" w:rsidRPr="00E16672">
              <w:rPr>
                <w:rFonts w:ascii="Times New Roman" w:hAnsi="Times New Roman"/>
                <w:sz w:val="16"/>
                <w:szCs w:val="16"/>
              </w:rPr>
              <w:t>force</w:t>
            </w:r>
            <w:proofErr w:type="spellEnd"/>
            <w:r w:rsidR="00D048FE" w:rsidRPr="00E16672">
              <w:rPr>
                <w:rFonts w:ascii="Times New Roman" w:hAnsi="Times New Roman"/>
                <w:sz w:val="16"/>
                <w:szCs w:val="16"/>
              </w:rPr>
              <w:t xml:space="preserve"> </w:t>
            </w:r>
            <w:proofErr w:type="spellStart"/>
            <w:r w:rsidR="00D048FE" w:rsidRPr="00E16672">
              <w:rPr>
                <w:rFonts w:ascii="Times New Roman" w:hAnsi="Times New Roman"/>
                <w:sz w:val="16"/>
                <w:szCs w:val="16"/>
              </w:rPr>
              <w:t>majeure</w:t>
            </w:r>
            <w:proofErr w:type="spellEnd"/>
            <w:r w:rsidR="00D048FE" w:rsidRPr="00E16672">
              <w:rPr>
                <w:rFonts w:ascii="Times New Roman" w:hAnsi="Times New Roman"/>
                <w:sz w:val="16"/>
                <w:szCs w:val="16"/>
              </w:rPr>
              <w:t xml:space="preserve"> </w:t>
            </w:r>
            <w:proofErr w:type="spellStart"/>
            <w:r w:rsidR="00D048FE" w:rsidRPr="00E16672">
              <w:rPr>
                <w:rFonts w:ascii="Times New Roman" w:hAnsi="Times New Roman"/>
                <w:sz w:val="16"/>
                <w:szCs w:val="16"/>
              </w:rPr>
              <w:t>circumstances</w:t>
            </w:r>
            <w:proofErr w:type="spellEnd"/>
            <w:r w:rsidR="00D048FE" w:rsidRPr="00E16672">
              <w:rPr>
                <w:rFonts w:ascii="Times New Roman" w:hAnsi="Times New Roman"/>
                <w:sz w:val="16"/>
                <w:szCs w:val="16"/>
              </w:rPr>
              <w:t xml:space="preserve"> </w:t>
            </w:r>
            <w:proofErr w:type="spellStart"/>
            <w:r w:rsidR="00D048FE" w:rsidRPr="00E16672">
              <w:rPr>
                <w:rFonts w:ascii="Times New Roman" w:hAnsi="Times New Roman"/>
                <w:sz w:val="16"/>
                <w:szCs w:val="16"/>
              </w:rPr>
              <w:t>the</w:t>
            </w:r>
            <w:proofErr w:type="spellEnd"/>
            <w:r w:rsidR="00D048FE" w:rsidRPr="00E16672">
              <w:rPr>
                <w:rFonts w:ascii="Times New Roman" w:hAnsi="Times New Roman"/>
                <w:sz w:val="16"/>
                <w:szCs w:val="16"/>
              </w:rPr>
              <w:t xml:space="preserve"> </w:t>
            </w:r>
            <w:proofErr w:type="spellStart"/>
            <w:r w:rsidR="00D048FE" w:rsidRPr="00E16672">
              <w:rPr>
                <w:rFonts w:ascii="Times New Roman" w:hAnsi="Times New Roman"/>
                <w:sz w:val="16"/>
                <w:szCs w:val="16"/>
              </w:rPr>
              <w:t>terms</w:t>
            </w:r>
            <w:proofErr w:type="spellEnd"/>
            <w:r w:rsidR="00D048FE" w:rsidRPr="00E16672">
              <w:rPr>
                <w:rFonts w:ascii="Times New Roman" w:hAnsi="Times New Roman"/>
                <w:sz w:val="16"/>
                <w:szCs w:val="16"/>
              </w:rPr>
              <w:t xml:space="preserve"> </w:t>
            </w:r>
            <w:proofErr w:type="spellStart"/>
            <w:r w:rsidR="00D048FE" w:rsidRPr="00E16672">
              <w:rPr>
                <w:rFonts w:ascii="Times New Roman" w:hAnsi="Times New Roman"/>
                <w:sz w:val="16"/>
                <w:szCs w:val="16"/>
              </w:rPr>
              <w:t>of</w:t>
            </w:r>
            <w:proofErr w:type="spellEnd"/>
            <w:r w:rsidR="00D048FE" w:rsidRPr="00E16672">
              <w:rPr>
                <w:rFonts w:ascii="Times New Roman" w:hAnsi="Times New Roman"/>
                <w:sz w:val="16"/>
                <w:szCs w:val="16"/>
              </w:rPr>
              <w:t xml:space="preserve"> </w:t>
            </w:r>
            <w:proofErr w:type="spellStart"/>
            <w:r w:rsidR="00D048FE" w:rsidRPr="00E16672">
              <w:rPr>
                <w:rFonts w:ascii="Times New Roman" w:hAnsi="Times New Roman"/>
                <w:sz w:val="16"/>
                <w:szCs w:val="16"/>
              </w:rPr>
              <w:t>the</w:t>
            </w:r>
            <w:proofErr w:type="spellEnd"/>
            <w:r w:rsidR="00D048FE" w:rsidRPr="00E16672">
              <w:rPr>
                <w:rFonts w:ascii="Times New Roman" w:hAnsi="Times New Roman"/>
                <w:sz w:val="16"/>
                <w:szCs w:val="16"/>
              </w:rPr>
              <w:t xml:space="preserve"> </w:t>
            </w:r>
            <w:proofErr w:type="spellStart"/>
            <w:r w:rsidR="00D048FE" w:rsidRPr="00E16672">
              <w:rPr>
                <w:rFonts w:ascii="Times New Roman" w:hAnsi="Times New Roman"/>
                <w:sz w:val="16"/>
                <w:szCs w:val="16"/>
              </w:rPr>
              <w:t>fulfilment</w:t>
            </w:r>
            <w:proofErr w:type="spellEnd"/>
            <w:r w:rsidR="00D048FE" w:rsidRPr="00E16672">
              <w:rPr>
                <w:rFonts w:ascii="Times New Roman" w:hAnsi="Times New Roman"/>
                <w:sz w:val="16"/>
                <w:szCs w:val="16"/>
              </w:rPr>
              <w:t xml:space="preserve"> </w:t>
            </w:r>
            <w:proofErr w:type="spellStart"/>
            <w:r w:rsidR="00D048FE" w:rsidRPr="00E16672">
              <w:rPr>
                <w:rFonts w:ascii="Times New Roman" w:hAnsi="Times New Roman"/>
                <w:sz w:val="16"/>
                <w:szCs w:val="16"/>
              </w:rPr>
              <w:t>by</w:t>
            </w:r>
            <w:proofErr w:type="spellEnd"/>
            <w:r w:rsidR="00D048FE" w:rsidRPr="00E16672">
              <w:rPr>
                <w:rFonts w:ascii="Times New Roman" w:hAnsi="Times New Roman"/>
                <w:sz w:val="16"/>
                <w:szCs w:val="16"/>
              </w:rPr>
              <w:t xml:space="preserve"> </w:t>
            </w:r>
            <w:proofErr w:type="spellStart"/>
            <w:r w:rsidR="00D048FE" w:rsidRPr="00E16672">
              <w:rPr>
                <w:rFonts w:ascii="Times New Roman" w:hAnsi="Times New Roman"/>
                <w:sz w:val="16"/>
                <w:szCs w:val="16"/>
              </w:rPr>
              <w:t>the</w:t>
            </w:r>
            <w:proofErr w:type="spellEnd"/>
            <w:r w:rsidR="00D048FE" w:rsidRPr="00E16672">
              <w:rPr>
                <w:rFonts w:ascii="Times New Roman" w:hAnsi="Times New Roman"/>
                <w:sz w:val="16"/>
                <w:szCs w:val="16"/>
              </w:rPr>
              <w:t xml:space="preserve"> </w:t>
            </w:r>
            <w:proofErr w:type="spellStart"/>
            <w:r w:rsidR="00D048FE" w:rsidRPr="00E16672">
              <w:rPr>
                <w:rFonts w:ascii="Times New Roman" w:hAnsi="Times New Roman"/>
                <w:sz w:val="16"/>
                <w:szCs w:val="16"/>
              </w:rPr>
              <w:t>Parties</w:t>
            </w:r>
            <w:proofErr w:type="spellEnd"/>
            <w:r w:rsidR="00D048FE" w:rsidRPr="00E16672">
              <w:rPr>
                <w:rFonts w:ascii="Times New Roman" w:hAnsi="Times New Roman"/>
                <w:sz w:val="16"/>
                <w:szCs w:val="16"/>
              </w:rPr>
              <w:t xml:space="preserve"> </w:t>
            </w:r>
            <w:proofErr w:type="spellStart"/>
            <w:r w:rsidR="00D048FE" w:rsidRPr="00E16672">
              <w:rPr>
                <w:rFonts w:ascii="Times New Roman" w:hAnsi="Times New Roman"/>
                <w:sz w:val="16"/>
                <w:szCs w:val="16"/>
              </w:rPr>
              <w:t>of</w:t>
            </w:r>
            <w:proofErr w:type="spellEnd"/>
            <w:r w:rsidR="00D048FE" w:rsidRPr="00E16672">
              <w:rPr>
                <w:rFonts w:ascii="Times New Roman" w:hAnsi="Times New Roman"/>
                <w:sz w:val="16"/>
                <w:szCs w:val="16"/>
              </w:rPr>
              <w:t xml:space="preserve"> </w:t>
            </w:r>
            <w:proofErr w:type="spellStart"/>
            <w:r w:rsidR="00D048FE" w:rsidRPr="00E16672">
              <w:rPr>
                <w:rFonts w:ascii="Times New Roman" w:hAnsi="Times New Roman"/>
                <w:sz w:val="16"/>
                <w:szCs w:val="16"/>
              </w:rPr>
              <w:t>any</w:t>
            </w:r>
            <w:proofErr w:type="spellEnd"/>
            <w:r w:rsidR="00D048FE" w:rsidRPr="00E16672">
              <w:rPr>
                <w:rFonts w:ascii="Times New Roman" w:hAnsi="Times New Roman"/>
                <w:sz w:val="16"/>
                <w:szCs w:val="16"/>
              </w:rPr>
              <w:t xml:space="preserve"> </w:t>
            </w:r>
            <w:proofErr w:type="spellStart"/>
            <w:r w:rsidR="00D048FE" w:rsidRPr="00E16672">
              <w:rPr>
                <w:rFonts w:ascii="Times New Roman" w:hAnsi="Times New Roman"/>
                <w:sz w:val="16"/>
                <w:szCs w:val="16"/>
              </w:rPr>
              <w:t>obligation</w:t>
            </w:r>
            <w:proofErr w:type="spellEnd"/>
            <w:r w:rsidR="00D048FE" w:rsidRPr="00E16672">
              <w:rPr>
                <w:rFonts w:ascii="Times New Roman" w:hAnsi="Times New Roman"/>
                <w:sz w:val="16"/>
                <w:szCs w:val="16"/>
              </w:rPr>
              <w:t xml:space="preserve"> </w:t>
            </w:r>
            <w:proofErr w:type="spellStart"/>
            <w:r w:rsidR="00D048FE" w:rsidRPr="00E16672">
              <w:rPr>
                <w:rFonts w:ascii="Times New Roman" w:hAnsi="Times New Roman"/>
                <w:sz w:val="16"/>
                <w:szCs w:val="16"/>
              </w:rPr>
              <w:t>under</w:t>
            </w:r>
            <w:proofErr w:type="spellEnd"/>
            <w:r w:rsidR="00D048FE" w:rsidRPr="00E16672">
              <w:rPr>
                <w:rFonts w:ascii="Times New Roman" w:hAnsi="Times New Roman"/>
                <w:sz w:val="16"/>
                <w:szCs w:val="16"/>
              </w:rPr>
              <w:t xml:space="preserve"> </w:t>
            </w:r>
            <w:proofErr w:type="spellStart"/>
            <w:r w:rsidR="00D048FE" w:rsidRPr="00E16672">
              <w:rPr>
                <w:rFonts w:ascii="Times New Roman" w:hAnsi="Times New Roman"/>
                <w:sz w:val="16"/>
                <w:szCs w:val="16"/>
              </w:rPr>
              <w:t>this</w:t>
            </w:r>
            <w:proofErr w:type="spellEnd"/>
            <w:r w:rsidR="00D048FE" w:rsidRPr="00E16672">
              <w:rPr>
                <w:rFonts w:ascii="Times New Roman" w:hAnsi="Times New Roman"/>
                <w:sz w:val="16"/>
                <w:szCs w:val="16"/>
              </w:rPr>
              <w:t xml:space="preserve"> </w:t>
            </w:r>
            <w:proofErr w:type="spellStart"/>
            <w:r w:rsidR="00D048FE" w:rsidRPr="00E16672">
              <w:rPr>
                <w:rFonts w:ascii="Times New Roman" w:hAnsi="Times New Roman"/>
                <w:sz w:val="16"/>
                <w:szCs w:val="16"/>
              </w:rPr>
              <w:t>Agreement</w:t>
            </w:r>
            <w:proofErr w:type="spellEnd"/>
            <w:r w:rsidR="00D048FE" w:rsidRPr="00E16672">
              <w:rPr>
                <w:rFonts w:ascii="Times New Roman" w:hAnsi="Times New Roman"/>
                <w:sz w:val="16"/>
                <w:szCs w:val="16"/>
              </w:rPr>
              <w:t xml:space="preserve"> </w:t>
            </w:r>
            <w:proofErr w:type="spellStart"/>
            <w:r w:rsidR="00D048FE" w:rsidRPr="00E16672">
              <w:rPr>
                <w:rFonts w:ascii="Times New Roman" w:hAnsi="Times New Roman"/>
                <w:sz w:val="16"/>
                <w:szCs w:val="16"/>
              </w:rPr>
              <w:t>shall</w:t>
            </w:r>
            <w:proofErr w:type="spellEnd"/>
            <w:r w:rsidR="00D048FE" w:rsidRPr="00E16672">
              <w:rPr>
                <w:rFonts w:ascii="Times New Roman" w:hAnsi="Times New Roman"/>
                <w:sz w:val="16"/>
                <w:szCs w:val="16"/>
              </w:rPr>
              <w:t xml:space="preserve"> </w:t>
            </w:r>
            <w:proofErr w:type="spellStart"/>
            <w:r w:rsidR="00D048FE" w:rsidRPr="00E16672">
              <w:rPr>
                <w:rFonts w:ascii="Times New Roman" w:hAnsi="Times New Roman"/>
                <w:sz w:val="16"/>
                <w:szCs w:val="16"/>
              </w:rPr>
              <w:t>be</w:t>
            </w:r>
            <w:proofErr w:type="spellEnd"/>
            <w:r w:rsidR="00D048FE" w:rsidRPr="00E16672">
              <w:rPr>
                <w:rFonts w:ascii="Times New Roman" w:hAnsi="Times New Roman"/>
                <w:sz w:val="16"/>
                <w:szCs w:val="16"/>
              </w:rPr>
              <w:t xml:space="preserve"> </w:t>
            </w:r>
            <w:proofErr w:type="spellStart"/>
            <w:r w:rsidR="00D048FE" w:rsidRPr="00E16672">
              <w:rPr>
                <w:rFonts w:ascii="Times New Roman" w:hAnsi="Times New Roman"/>
                <w:sz w:val="16"/>
                <w:szCs w:val="16"/>
              </w:rPr>
              <w:t>postponed</w:t>
            </w:r>
            <w:proofErr w:type="spellEnd"/>
            <w:r w:rsidR="00D048FE" w:rsidRPr="00E16672">
              <w:rPr>
                <w:rFonts w:ascii="Times New Roman" w:hAnsi="Times New Roman"/>
                <w:sz w:val="16"/>
                <w:szCs w:val="16"/>
              </w:rPr>
              <w:t xml:space="preserve"> </w:t>
            </w:r>
            <w:proofErr w:type="spellStart"/>
            <w:r w:rsidR="00D048FE" w:rsidRPr="00E16672">
              <w:rPr>
                <w:rFonts w:ascii="Times New Roman" w:hAnsi="Times New Roman"/>
                <w:sz w:val="16"/>
                <w:szCs w:val="16"/>
              </w:rPr>
              <w:t>on</w:t>
            </w:r>
            <w:proofErr w:type="spellEnd"/>
            <w:r w:rsidR="00D048FE" w:rsidRPr="00E16672">
              <w:rPr>
                <w:rFonts w:ascii="Times New Roman" w:hAnsi="Times New Roman"/>
                <w:sz w:val="16"/>
                <w:szCs w:val="16"/>
              </w:rPr>
              <w:t xml:space="preserve"> a </w:t>
            </w:r>
            <w:proofErr w:type="spellStart"/>
            <w:r w:rsidR="00D048FE" w:rsidRPr="00E16672">
              <w:rPr>
                <w:rFonts w:ascii="Times New Roman" w:hAnsi="Times New Roman"/>
                <w:sz w:val="16"/>
                <w:szCs w:val="16"/>
              </w:rPr>
              <w:t>certain</w:t>
            </w:r>
            <w:proofErr w:type="spellEnd"/>
            <w:r w:rsidR="00D048FE" w:rsidRPr="00E16672">
              <w:rPr>
                <w:rFonts w:ascii="Times New Roman" w:hAnsi="Times New Roman"/>
                <w:sz w:val="16"/>
                <w:szCs w:val="16"/>
              </w:rPr>
              <w:t xml:space="preserve"> </w:t>
            </w:r>
            <w:proofErr w:type="spellStart"/>
            <w:r w:rsidR="00D048FE" w:rsidRPr="00E16672">
              <w:rPr>
                <w:rFonts w:ascii="Times New Roman" w:hAnsi="Times New Roman"/>
                <w:sz w:val="16"/>
                <w:szCs w:val="16"/>
              </w:rPr>
              <w:t>period</w:t>
            </w:r>
            <w:proofErr w:type="spellEnd"/>
            <w:r w:rsidR="00D048FE" w:rsidRPr="00E16672">
              <w:rPr>
                <w:rFonts w:ascii="Times New Roman" w:hAnsi="Times New Roman"/>
                <w:sz w:val="16"/>
                <w:szCs w:val="16"/>
              </w:rPr>
              <w:t xml:space="preserve"> </w:t>
            </w:r>
            <w:proofErr w:type="spellStart"/>
            <w:r w:rsidR="00D048FE" w:rsidRPr="00E16672">
              <w:rPr>
                <w:rFonts w:ascii="Times New Roman" w:hAnsi="Times New Roman"/>
                <w:sz w:val="16"/>
                <w:szCs w:val="16"/>
              </w:rPr>
              <w:t>of</w:t>
            </w:r>
            <w:proofErr w:type="spellEnd"/>
            <w:r w:rsidR="00D048FE" w:rsidRPr="00E16672">
              <w:rPr>
                <w:rFonts w:ascii="Times New Roman" w:hAnsi="Times New Roman"/>
                <w:sz w:val="16"/>
                <w:szCs w:val="16"/>
              </w:rPr>
              <w:t xml:space="preserve"> </w:t>
            </w:r>
            <w:proofErr w:type="spellStart"/>
            <w:r w:rsidR="00D048FE" w:rsidRPr="00E16672">
              <w:rPr>
                <w:rFonts w:ascii="Times New Roman" w:hAnsi="Times New Roman"/>
                <w:sz w:val="16"/>
                <w:szCs w:val="16"/>
              </w:rPr>
              <w:t>time</w:t>
            </w:r>
            <w:proofErr w:type="spellEnd"/>
            <w:r w:rsidR="00D048FE" w:rsidRPr="00E16672">
              <w:rPr>
                <w:rFonts w:ascii="Times New Roman" w:hAnsi="Times New Roman"/>
                <w:sz w:val="16"/>
                <w:szCs w:val="16"/>
              </w:rPr>
              <w:t xml:space="preserve">, </w:t>
            </w:r>
            <w:proofErr w:type="spellStart"/>
            <w:r w:rsidR="00D048FE" w:rsidRPr="00E16672">
              <w:rPr>
                <w:rFonts w:ascii="Times New Roman" w:hAnsi="Times New Roman"/>
                <w:sz w:val="16"/>
                <w:szCs w:val="16"/>
              </w:rPr>
              <w:t>during</w:t>
            </w:r>
            <w:proofErr w:type="spellEnd"/>
            <w:r w:rsidR="00D048FE" w:rsidRPr="00E16672">
              <w:rPr>
                <w:rFonts w:ascii="Times New Roman" w:hAnsi="Times New Roman"/>
                <w:sz w:val="16"/>
                <w:szCs w:val="16"/>
              </w:rPr>
              <w:t xml:space="preserve"> </w:t>
            </w:r>
            <w:proofErr w:type="spellStart"/>
            <w:r w:rsidR="00D048FE" w:rsidRPr="00E16672">
              <w:rPr>
                <w:rFonts w:ascii="Times New Roman" w:hAnsi="Times New Roman"/>
                <w:sz w:val="16"/>
                <w:szCs w:val="16"/>
              </w:rPr>
              <w:t>which</w:t>
            </w:r>
            <w:proofErr w:type="spellEnd"/>
            <w:r w:rsidR="00D048FE" w:rsidRPr="00E16672">
              <w:rPr>
                <w:rFonts w:ascii="Times New Roman" w:hAnsi="Times New Roman"/>
                <w:sz w:val="16"/>
                <w:szCs w:val="16"/>
              </w:rPr>
              <w:t xml:space="preserve"> </w:t>
            </w:r>
            <w:proofErr w:type="spellStart"/>
            <w:r w:rsidR="00D048FE" w:rsidRPr="00E16672">
              <w:rPr>
                <w:rFonts w:ascii="Times New Roman" w:hAnsi="Times New Roman"/>
                <w:sz w:val="16"/>
                <w:szCs w:val="16"/>
              </w:rPr>
              <w:t>these</w:t>
            </w:r>
            <w:proofErr w:type="spellEnd"/>
            <w:r w:rsidR="00D048FE" w:rsidRPr="00E16672">
              <w:rPr>
                <w:rFonts w:ascii="Times New Roman" w:hAnsi="Times New Roman"/>
                <w:sz w:val="16"/>
                <w:szCs w:val="16"/>
              </w:rPr>
              <w:t xml:space="preserve"> </w:t>
            </w:r>
            <w:proofErr w:type="spellStart"/>
            <w:r w:rsidR="00D048FE" w:rsidRPr="00E16672">
              <w:rPr>
                <w:rFonts w:ascii="Times New Roman" w:hAnsi="Times New Roman"/>
                <w:sz w:val="16"/>
                <w:szCs w:val="16"/>
              </w:rPr>
              <w:t>circumstances</w:t>
            </w:r>
            <w:proofErr w:type="spellEnd"/>
            <w:r w:rsidR="00D048FE" w:rsidRPr="00E16672">
              <w:rPr>
                <w:rFonts w:ascii="Times New Roman" w:hAnsi="Times New Roman"/>
                <w:sz w:val="16"/>
                <w:szCs w:val="16"/>
              </w:rPr>
              <w:t xml:space="preserve"> </w:t>
            </w:r>
            <w:proofErr w:type="spellStart"/>
            <w:r w:rsidR="00D048FE" w:rsidRPr="00E16672">
              <w:rPr>
                <w:rFonts w:ascii="Times New Roman" w:hAnsi="Times New Roman"/>
                <w:sz w:val="16"/>
                <w:szCs w:val="16"/>
              </w:rPr>
              <w:t>and</w:t>
            </w:r>
            <w:proofErr w:type="spellEnd"/>
            <w:r w:rsidR="00D048FE" w:rsidRPr="00E16672">
              <w:rPr>
                <w:rFonts w:ascii="Times New Roman" w:hAnsi="Times New Roman"/>
                <w:sz w:val="16"/>
                <w:szCs w:val="16"/>
              </w:rPr>
              <w:t xml:space="preserve"> </w:t>
            </w:r>
            <w:proofErr w:type="spellStart"/>
            <w:r w:rsidR="00D048FE" w:rsidRPr="00E16672">
              <w:rPr>
                <w:rFonts w:ascii="Times New Roman" w:hAnsi="Times New Roman"/>
                <w:sz w:val="16"/>
                <w:szCs w:val="16"/>
              </w:rPr>
              <w:t>their</w:t>
            </w:r>
            <w:proofErr w:type="spellEnd"/>
            <w:r w:rsidR="00D048FE" w:rsidRPr="00E16672">
              <w:rPr>
                <w:rFonts w:ascii="Times New Roman" w:hAnsi="Times New Roman"/>
                <w:sz w:val="16"/>
                <w:szCs w:val="16"/>
              </w:rPr>
              <w:t xml:space="preserve"> </w:t>
            </w:r>
            <w:proofErr w:type="spellStart"/>
            <w:r w:rsidR="00D048FE" w:rsidRPr="00E16672">
              <w:rPr>
                <w:rFonts w:ascii="Times New Roman" w:hAnsi="Times New Roman"/>
                <w:sz w:val="16"/>
                <w:szCs w:val="16"/>
              </w:rPr>
              <w:t>consequences</w:t>
            </w:r>
            <w:proofErr w:type="spellEnd"/>
            <w:r w:rsidR="00D048FE" w:rsidRPr="00E16672">
              <w:rPr>
                <w:rFonts w:ascii="Times New Roman" w:hAnsi="Times New Roman"/>
                <w:sz w:val="16"/>
                <w:szCs w:val="16"/>
              </w:rPr>
              <w:t xml:space="preserve"> </w:t>
            </w:r>
            <w:proofErr w:type="spellStart"/>
            <w:r w:rsidR="00D048FE" w:rsidRPr="00E16672">
              <w:rPr>
                <w:rFonts w:ascii="Times New Roman" w:hAnsi="Times New Roman"/>
                <w:sz w:val="16"/>
                <w:szCs w:val="16"/>
              </w:rPr>
              <w:t>are</w:t>
            </w:r>
            <w:proofErr w:type="spellEnd"/>
            <w:r w:rsidR="00D048FE" w:rsidRPr="00E16672">
              <w:rPr>
                <w:rFonts w:ascii="Times New Roman" w:hAnsi="Times New Roman"/>
                <w:sz w:val="16"/>
                <w:szCs w:val="16"/>
              </w:rPr>
              <w:t xml:space="preserve"> </w:t>
            </w:r>
            <w:proofErr w:type="spellStart"/>
            <w:r w:rsidR="00D048FE" w:rsidRPr="00E16672">
              <w:rPr>
                <w:rFonts w:ascii="Times New Roman" w:hAnsi="Times New Roman"/>
                <w:sz w:val="16"/>
                <w:szCs w:val="16"/>
              </w:rPr>
              <w:t>in</w:t>
            </w:r>
            <w:proofErr w:type="spellEnd"/>
            <w:r w:rsidR="00D048FE" w:rsidRPr="00E16672">
              <w:rPr>
                <w:rFonts w:ascii="Times New Roman" w:hAnsi="Times New Roman"/>
                <w:sz w:val="16"/>
                <w:szCs w:val="16"/>
              </w:rPr>
              <w:t xml:space="preserve"> </w:t>
            </w:r>
            <w:proofErr w:type="spellStart"/>
            <w:r w:rsidR="00D048FE" w:rsidRPr="00E16672">
              <w:rPr>
                <w:rFonts w:ascii="Times New Roman" w:hAnsi="Times New Roman"/>
                <w:sz w:val="16"/>
                <w:szCs w:val="16"/>
              </w:rPr>
              <w:t>effect</w:t>
            </w:r>
            <w:proofErr w:type="spellEnd"/>
            <w:r w:rsidRPr="00E16672">
              <w:rPr>
                <w:rFonts w:ascii="Times New Roman" w:hAnsi="Times New Roman"/>
                <w:sz w:val="16"/>
                <w:szCs w:val="16"/>
              </w:rPr>
              <w:t>.</w:t>
            </w:r>
          </w:p>
          <w:p w14:paraId="1D7EEA95" w14:textId="77777777" w:rsidR="003A05A3" w:rsidRPr="00E16672" w:rsidRDefault="003A05A3" w:rsidP="00843027">
            <w:pPr>
              <w:tabs>
                <w:tab w:val="left" w:pos="287"/>
              </w:tabs>
              <w:ind w:left="145" w:right="100"/>
              <w:jc w:val="center"/>
              <w:rPr>
                <w:rFonts w:ascii="Times New Roman" w:hAnsi="Times New Roman"/>
                <w:b/>
                <w:bCs/>
                <w:sz w:val="16"/>
                <w:szCs w:val="16"/>
                <w:lang w:val="en-GB"/>
              </w:rPr>
            </w:pPr>
          </w:p>
        </w:tc>
      </w:tr>
      <w:tr w:rsidR="003A05A3" w:rsidRPr="00F23413" w14:paraId="16F0E534" w14:textId="77777777" w:rsidTr="00242F58">
        <w:trPr>
          <w:trHeight w:val="192"/>
        </w:trPr>
        <w:tc>
          <w:tcPr>
            <w:tcW w:w="5696" w:type="dxa"/>
            <w:gridSpan w:val="8"/>
            <w:shd w:val="clear" w:color="auto" w:fill="auto"/>
          </w:tcPr>
          <w:p w14:paraId="1C8E62A1" w14:textId="77777777" w:rsidR="003A05A3" w:rsidRPr="00E16672" w:rsidRDefault="003A05A3" w:rsidP="00843027">
            <w:pPr>
              <w:snapToGrid w:val="0"/>
              <w:ind w:left="175" w:right="138" w:firstLine="0"/>
              <w:rPr>
                <w:rFonts w:ascii="Times New Roman" w:hAnsi="Times New Roman"/>
                <w:sz w:val="16"/>
                <w:szCs w:val="16"/>
              </w:rPr>
            </w:pPr>
            <w:r w:rsidRPr="00E16672">
              <w:rPr>
                <w:rFonts w:ascii="Times New Roman" w:hAnsi="Times New Roman"/>
                <w:sz w:val="16"/>
                <w:szCs w:val="16"/>
              </w:rPr>
              <w:t xml:space="preserve">9.3. </w:t>
            </w:r>
            <w:proofErr w:type="spellStart"/>
            <w:r w:rsidRPr="00E16672">
              <w:rPr>
                <w:rFonts w:ascii="Times New Roman" w:hAnsi="Times New Roman"/>
                <w:sz w:val="16"/>
                <w:szCs w:val="16"/>
              </w:rPr>
              <w:t>Сторони</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зобов`язуються</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після</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настання</w:t>
            </w:r>
            <w:proofErr w:type="spellEnd"/>
            <w:r w:rsidRPr="00E16672">
              <w:rPr>
                <w:rFonts w:ascii="Times New Roman" w:hAnsi="Times New Roman"/>
                <w:sz w:val="16"/>
                <w:szCs w:val="16"/>
              </w:rPr>
              <w:t xml:space="preserve"> форс-</w:t>
            </w:r>
            <w:proofErr w:type="spellStart"/>
            <w:r w:rsidRPr="00E16672">
              <w:rPr>
                <w:rFonts w:ascii="Times New Roman" w:hAnsi="Times New Roman"/>
                <w:sz w:val="16"/>
                <w:szCs w:val="16"/>
              </w:rPr>
              <w:t>мажорних</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обставин</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вжити</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всі</w:t>
            </w:r>
            <w:proofErr w:type="spellEnd"/>
            <w:r w:rsidRPr="00E16672">
              <w:rPr>
                <w:rFonts w:ascii="Times New Roman" w:hAnsi="Times New Roman"/>
                <w:sz w:val="16"/>
                <w:szCs w:val="16"/>
              </w:rPr>
              <w:t xml:space="preserve"> заходи для </w:t>
            </w:r>
            <w:proofErr w:type="spellStart"/>
            <w:r w:rsidRPr="00E16672">
              <w:rPr>
                <w:rFonts w:ascii="Times New Roman" w:hAnsi="Times New Roman"/>
                <w:sz w:val="16"/>
                <w:szCs w:val="16"/>
              </w:rPr>
              <w:t>ліквідації</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наслідків</w:t>
            </w:r>
            <w:proofErr w:type="spellEnd"/>
            <w:r w:rsidRPr="00E16672">
              <w:rPr>
                <w:rFonts w:ascii="Times New Roman" w:hAnsi="Times New Roman"/>
                <w:sz w:val="16"/>
                <w:szCs w:val="16"/>
              </w:rPr>
              <w:t xml:space="preserve"> та </w:t>
            </w:r>
            <w:proofErr w:type="spellStart"/>
            <w:r w:rsidRPr="00E16672">
              <w:rPr>
                <w:rFonts w:ascii="Times New Roman" w:hAnsi="Times New Roman"/>
                <w:sz w:val="16"/>
                <w:szCs w:val="16"/>
              </w:rPr>
              <w:t>виконання</w:t>
            </w:r>
            <w:proofErr w:type="spellEnd"/>
            <w:r w:rsidRPr="00E16672">
              <w:rPr>
                <w:rFonts w:ascii="Times New Roman" w:hAnsi="Times New Roman"/>
                <w:sz w:val="16"/>
                <w:szCs w:val="16"/>
              </w:rPr>
              <w:t xml:space="preserve"> умов Договору. </w:t>
            </w:r>
          </w:p>
        </w:tc>
        <w:tc>
          <w:tcPr>
            <w:tcW w:w="5494" w:type="dxa"/>
            <w:gridSpan w:val="6"/>
            <w:shd w:val="clear" w:color="auto" w:fill="auto"/>
          </w:tcPr>
          <w:p w14:paraId="1D6A7070" w14:textId="77777777" w:rsidR="003A05A3" w:rsidRPr="00E16672" w:rsidRDefault="003A05A3" w:rsidP="00843027">
            <w:pPr>
              <w:tabs>
                <w:tab w:val="left" w:pos="287"/>
              </w:tabs>
              <w:snapToGrid w:val="0"/>
              <w:ind w:left="145" w:right="100" w:firstLine="0"/>
              <w:rPr>
                <w:rFonts w:ascii="Times New Roman" w:hAnsi="Times New Roman"/>
                <w:sz w:val="16"/>
                <w:szCs w:val="16"/>
                <w:lang w:val="en-GB"/>
              </w:rPr>
            </w:pPr>
            <w:r w:rsidRPr="00E16672">
              <w:rPr>
                <w:rFonts w:ascii="Times New Roman" w:hAnsi="Times New Roman"/>
                <w:sz w:val="16"/>
                <w:szCs w:val="16"/>
                <w:lang w:val="en-GB"/>
              </w:rPr>
              <w:t>9.3. The Parties undertake after the force majeure to take all measures to eliminate the consequences and conditions of the Agreement.</w:t>
            </w:r>
          </w:p>
          <w:p w14:paraId="17684A23" w14:textId="77777777" w:rsidR="003A05A3" w:rsidRPr="00E16672" w:rsidRDefault="003A05A3" w:rsidP="00843027">
            <w:pPr>
              <w:tabs>
                <w:tab w:val="left" w:pos="287"/>
              </w:tabs>
              <w:ind w:left="145" w:right="100"/>
              <w:jc w:val="center"/>
              <w:rPr>
                <w:rFonts w:ascii="Times New Roman" w:hAnsi="Times New Roman"/>
                <w:sz w:val="16"/>
                <w:szCs w:val="16"/>
                <w:lang w:val="en-US"/>
              </w:rPr>
            </w:pPr>
          </w:p>
        </w:tc>
      </w:tr>
      <w:tr w:rsidR="003A05A3" w:rsidRPr="00F23413" w14:paraId="57903A76" w14:textId="77777777" w:rsidTr="00242F58">
        <w:trPr>
          <w:trHeight w:val="192"/>
        </w:trPr>
        <w:tc>
          <w:tcPr>
            <w:tcW w:w="5696" w:type="dxa"/>
            <w:gridSpan w:val="8"/>
            <w:shd w:val="clear" w:color="auto" w:fill="auto"/>
          </w:tcPr>
          <w:p w14:paraId="3295B01E" w14:textId="77777777" w:rsidR="003A05A3" w:rsidRPr="00E16672" w:rsidRDefault="003A05A3" w:rsidP="00843027">
            <w:pPr>
              <w:pStyle w:val="210"/>
              <w:snapToGrid w:val="0"/>
              <w:ind w:left="175" w:right="138" w:firstLine="0"/>
              <w:rPr>
                <w:rFonts w:ascii="Times New Roman" w:hAnsi="Times New Roman"/>
                <w:color w:val="000000"/>
                <w:sz w:val="16"/>
                <w:szCs w:val="16"/>
              </w:rPr>
            </w:pPr>
            <w:r w:rsidRPr="00E16672">
              <w:rPr>
                <w:rFonts w:ascii="Times New Roman" w:hAnsi="Times New Roman"/>
                <w:color w:val="000000"/>
                <w:sz w:val="16"/>
                <w:szCs w:val="16"/>
              </w:rPr>
              <w:t xml:space="preserve">9.4. Кожна Сторона зобов’язана письмово підтвердити факт виникнення Форс-мажорних обставин іншій Стороні протягом </w:t>
            </w:r>
            <w:r w:rsidRPr="00E16672">
              <w:rPr>
                <w:rFonts w:ascii="Times New Roman" w:hAnsi="Times New Roman"/>
                <w:i/>
                <w:iCs/>
                <w:color w:val="000000"/>
                <w:sz w:val="16"/>
                <w:szCs w:val="16"/>
                <w:lang w:val="ru-RU"/>
              </w:rPr>
              <w:t>десяти</w:t>
            </w:r>
            <w:r w:rsidRPr="00E16672">
              <w:rPr>
                <w:rFonts w:ascii="Times New Roman" w:hAnsi="Times New Roman"/>
                <w:color w:val="000000"/>
                <w:sz w:val="16"/>
                <w:szCs w:val="16"/>
              </w:rPr>
              <w:t xml:space="preserve"> днів після їх виникнення.</w:t>
            </w:r>
          </w:p>
          <w:p w14:paraId="33923987" w14:textId="77777777" w:rsidR="003A05A3" w:rsidRPr="00E16672" w:rsidRDefault="003A05A3" w:rsidP="00843027">
            <w:pPr>
              <w:pStyle w:val="210"/>
              <w:snapToGrid w:val="0"/>
              <w:ind w:left="175" w:right="138" w:firstLine="0"/>
              <w:rPr>
                <w:rFonts w:ascii="Times New Roman" w:hAnsi="Times New Roman"/>
                <w:color w:val="000000"/>
                <w:sz w:val="16"/>
                <w:szCs w:val="16"/>
                <w:lang w:val="ru-RU"/>
              </w:rPr>
            </w:pPr>
          </w:p>
        </w:tc>
        <w:tc>
          <w:tcPr>
            <w:tcW w:w="5494" w:type="dxa"/>
            <w:gridSpan w:val="6"/>
            <w:shd w:val="clear" w:color="auto" w:fill="auto"/>
          </w:tcPr>
          <w:p w14:paraId="0BB5C697" w14:textId="77777777" w:rsidR="003A05A3" w:rsidRPr="00E16672" w:rsidRDefault="003A05A3" w:rsidP="00843027">
            <w:pPr>
              <w:ind w:left="145" w:right="100" w:firstLine="0"/>
              <w:rPr>
                <w:rFonts w:ascii="Times New Roman" w:hAnsi="Times New Roman"/>
                <w:b/>
                <w:bCs/>
                <w:color w:val="000000"/>
                <w:sz w:val="16"/>
                <w:szCs w:val="16"/>
                <w:lang w:val="en-GB"/>
              </w:rPr>
            </w:pPr>
            <w:r w:rsidRPr="00E16672">
              <w:rPr>
                <w:rFonts w:ascii="Times New Roman" w:hAnsi="Times New Roman"/>
                <w:color w:val="000000"/>
                <w:sz w:val="16"/>
                <w:szCs w:val="16"/>
                <w:lang w:val="en-GB"/>
              </w:rPr>
              <w:t xml:space="preserve">9.4. Each of the parties should </w:t>
            </w:r>
            <w:r w:rsidRPr="00E16672">
              <w:rPr>
                <w:rFonts w:ascii="Times New Roman" w:hAnsi="Times New Roman"/>
                <w:color w:val="000000"/>
                <w:sz w:val="16"/>
                <w:szCs w:val="16"/>
                <w:lang w:val="en-US"/>
              </w:rPr>
              <w:t>in writing confirm</w:t>
            </w:r>
            <w:r w:rsidRPr="00E16672">
              <w:rPr>
                <w:rFonts w:ascii="Times New Roman" w:hAnsi="Times New Roman"/>
                <w:color w:val="000000"/>
                <w:sz w:val="16"/>
                <w:szCs w:val="16"/>
                <w:lang w:val="en-GB"/>
              </w:rPr>
              <w:t xml:space="preserve"> the fact </w:t>
            </w:r>
            <w:proofErr w:type="gramStart"/>
            <w:r w:rsidRPr="00E16672">
              <w:rPr>
                <w:rFonts w:ascii="Times New Roman" w:hAnsi="Times New Roman"/>
                <w:color w:val="000000"/>
                <w:sz w:val="16"/>
                <w:szCs w:val="16"/>
                <w:lang w:val="en-GB"/>
              </w:rPr>
              <w:t>of  force</w:t>
            </w:r>
            <w:proofErr w:type="gramEnd"/>
            <w:r w:rsidRPr="00E16672">
              <w:rPr>
                <w:rFonts w:ascii="Times New Roman" w:hAnsi="Times New Roman"/>
                <w:color w:val="000000"/>
                <w:sz w:val="16"/>
                <w:szCs w:val="16"/>
                <w:lang w:val="en-GB"/>
              </w:rPr>
              <w:t xml:space="preserve"> – majeure to another  Side during</w:t>
            </w:r>
            <w:r w:rsidRPr="00F23413">
              <w:rPr>
                <w:rStyle w:val="WW8Num3z0"/>
                <w:rFonts w:ascii="Times New Roman" w:hAnsi="Times New Roman"/>
                <w:color w:val="000000"/>
                <w:sz w:val="16"/>
                <w:szCs w:val="16"/>
                <w:lang w:val="en-US"/>
              </w:rPr>
              <w:t xml:space="preserve"> </w:t>
            </w:r>
            <w:r w:rsidRPr="00F23413">
              <w:rPr>
                <w:rStyle w:val="hps"/>
                <w:rFonts w:ascii="Times New Roman" w:hAnsi="Times New Roman"/>
                <w:color w:val="000000"/>
                <w:sz w:val="16"/>
                <w:szCs w:val="16"/>
                <w:lang w:val="en-US"/>
              </w:rPr>
              <w:t>ten working</w:t>
            </w:r>
            <w:r w:rsidRPr="00E16672">
              <w:rPr>
                <w:rFonts w:ascii="Times New Roman" w:hAnsi="Times New Roman"/>
                <w:color w:val="000000"/>
                <w:sz w:val="16"/>
                <w:szCs w:val="16"/>
                <w:lang w:val="en-GB"/>
              </w:rPr>
              <w:t xml:space="preserve"> days after it happened.</w:t>
            </w:r>
          </w:p>
        </w:tc>
      </w:tr>
      <w:tr w:rsidR="003A05A3" w:rsidRPr="00F23413" w14:paraId="5CF25359" w14:textId="77777777" w:rsidTr="00242F58">
        <w:trPr>
          <w:trHeight w:val="192"/>
        </w:trPr>
        <w:tc>
          <w:tcPr>
            <w:tcW w:w="5696" w:type="dxa"/>
            <w:gridSpan w:val="8"/>
            <w:shd w:val="clear" w:color="auto" w:fill="auto"/>
          </w:tcPr>
          <w:p w14:paraId="531FB621" w14:textId="77777777" w:rsidR="003A05A3" w:rsidRPr="00E16672" w:rsidRDefault="003A05A3" w:rsidP="00843027">
            <w:pPr>
              <w:snapToGrid w:val="0"/>
              <w:ind w:left="175" w:right="138" w:firstLine="0"/>
              <w:rPr>
                <w:rFonts w:ascii="Times New Roman" w:hAnsi="Times New Roman"/>
                <w:sz w:val="16"/>
                <w:szCs w:val="16"/>
              </w:rPr>
            </w:pPr>
            <w:r w:rsidRPr="00E16672">
              <w:rPr>
                <w:rFonts w:ascii="Times New Roman" w:hAnsi="Times New Roman"/>
                <w:sz w:val="16"/>
                <w:szCs w:val="16"/>
              </w:rPr>
              <w:t xml:space="preserve">9.5. Форс-мажорна </w:t>
            </w:r>
            <w:proofErr w:type="spellStart"/>
            <w:r w:rsidRPr="00E16672">
              <w:rPr>
                <w:rFonts w:ascii="Times New Roman" w:hAnsi="Times New Roman"/>
                <w:sz w:val="16"/>
                <w:szCs w:val="16"/>
              </w:rPr>
              <w:t>ситуація</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між</w:t>
            </w:r>
            <w:proofErr w:type="spellEnd"/>
            <w:r w:rsidRPr="00E16672">
              <w:rPr>
                <w:rFonts w:ascii="Times New Roman" w:hAnsi="Times New Roman"/>
                <w:sz w:val="16"/>
                <w:szCs w:val="16"/>
              </w:rPr>
              <w:t xml:space="preserve"> Сторонами </w:t>
            </w:r>
            <w:proofErr w:type="spellStart"/>
            <w:r w:rsidRPr="00E16672">
              <w:rPr>
                <w:rFonts w:ascii="Times New Roman" w:hAnsi="Times New Roman"/>
                <w:sz w:val="16"/>
                <w:szCs w:val="16"/>
              </w:rPr>
              <w:t>розглядається</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тільки</w:t>
            </w:r>
            <w:proofErr w:type="spellEnd"/>
            <w:r w:rsidRPr="00E16672">
              <w:rPr>
                <w:rFonts w:ascii="Times New Roman" w:hAnsi="Times New Roman"/>
                <w:sz w:val="16"/>
                <w:szCs w:val="16"/>
              </w:rPr>
              <w:t xml:space="preserve"> за </w:t>
            </w:r>
            <w:proofErr w:type="spellStart"/>
            <w:r w:rsidRPr="00E16672">
              <w:rPr>
                <w:rFonts w:ascii="Times New Roman" w:hAnsi="Times New Roman"/>
                <w:sz w:val="16"/>
                <w:szCs w:val="16"/>
              </w:rPr>
              <w:t>умови</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сповіщення</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протилежної</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сторони</w:t>
            </w:r>
            <w:proofErr w:type="spellEnd"/>
            <w:r w:rsidRPr="00E16672">
              <w:rPr>
                <w:rFonts w:ascii="Times New Roman" w:hAnsi="Times New Roman"/>
                <w:sz w:val="16"/>
                <w:szCs w:val="16"/>
              </w:rPr>
              <w:t xml:space="preserve"> в </w:t>
            </w:r>
            <w:proofErr w:type="spellStart"/>
            <w:r w:rsidRPr="00E16672">
              <w:rPr>
                <w:rFonts w:ascii="Times New Roman" w:hAnsi="Times New Roman"/>
                <w:sz w:val="16"/>
                <w:szCs w:val="16"/>
              </w:rPr>
              <w:t>письмовій</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формі</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із</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зазначенням</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обставин</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що</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виникли</w:t>
            </w:r>
            <w:proofErr w:type="spellEnd"/>
            <w:r w:rsidRPr="00E16672">
              <w:rPr>
                <w:rFonts w:ascii="Times New Roman" w:hAnsi="Times New Roman"/>
                <w:sz w:val="16"/>
                <w:szCs w:val="16"/>
              </w:rPr>
              <w:t xml:space="preserve">. </w:t>
            </w:r>
          </w:p>
        </w:tc>
        <w:tc>
          <w:tcPr>
            <w:tcW w:w="5494" w:type="dxa"/>
            <w:gridSpan w:val="6"/>
            <w:shd w:val="clear" w:color="auto" w:fill="auto"/>
          </w:tcPr>
          <w:p w14:paraId="029AF419" w14:textId="77777777" w:rsidR="003A05A3" w:rsidRPr="00E16672" w:rsidRDefault="003A05A3" w:rsidP="00843027">
            <w:pPr>
              <w:pStyle w:val="210"/>
              <w:tabs>
                <w:tab w:val="left" w:pos="287"/>
              </w:tabs>
              <w:snapToGrid w:val="0"/>
              <w:ind w:left="145" w:right="100" w:firstLine="0"/>
              <w:rPr>
                <w:rFonts w:ascii="Times New Roman" w:hAnsi="Times New Roman"/>
                <w:sz w:val="16"/>
                <w:szCs w:val="16"/>
              </w:rPr>
            </w:pPr>
            <w:r w:rsidRPr="00E16672">
              <w:rPr>
                <w:rFonts w:ascii="Times New Roman" w:hAnsi="Times New Roman"/>
                <w:sz w:val="16"/>
                <w:szCs w:val="16"/>
              </w:rPr>
              <w:t xml:space="preserve">9.5. </w:t>
            </w:r>
            <w:proofErr w:type="spellStart"/>
            <w:r w:rsidRPr="00E16672">
              <w:rPr>
                <w:rFonts w:ascii="Times New Roman" w:hAnsi="Times New Roman"/>
                <w:sz w:val="16"/>
                <w:szCs w:val="16"/>
              </w:rPr>
              <w:t>Force</w:t>
            </w:r>
            <w:proofErr w:type="spellEnd"/>
            <w:r w:rsidRPr="00E16672">
              <w:rPr>
                <w:rFonts w:ascii="Times New Roman" w:hAnsi="Times New Roman"/>
                <w:sz w:val="16"/>
                <w:szCs w:val="16"/>
              </w:rPr>
              <w:t xml:space="preserve"> – </w:t>
            </w:r>
            <w:proofErr w:type="spellStart"/>
            <w:r w:rsidRPr="00E16672">
              <w:rPr>
                <w:rFonts w:ascii="Times New Roman" w:hAnsi="Times New Roman"/>
                <w:sz w:val="16"/>
                <w:szCs w:val="16"/>
              </w:rPr>
              <w:t>majeure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between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Parties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is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to</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be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taken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to</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account</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only</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provided</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that</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another</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part</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had</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been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informed</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in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written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form</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with</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pointing</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circumstances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of</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Incident</w:t>
            </w:r>
            <w:proofErr w:type="spellEnd"/>
            <w:r w:rsidRPr="00E16672">
              <w:rPr>
                <w:rFonts w:ascii="Times New Roman" w:hAnsi="Times New Roman"/>
                <w:sz w:val="16"/>
                <w:szCs w:val="16"/>
              </w:rPr>
              <w:t>.</w:t>
            </w:r>
          </w:p>
          <w:p w14:paraId="0D9309F9" w14:textId="77777777" w:rsidR="003A05A3" w:rsidRPr="00E16672" w:rsidRDefault="003A05A3" w:rsidP="00843027">
            <w:pPr>
              <w:tabs>
                <w:tab w:val="left" w:pos="287"/>
              </w:tabs>
              <w:ind w:left="145" w:right="100"/>
              <w:jc w:val="center"/>
              <w:rPr>
                <w:rFonts w:ascii="Times New Roman" w:hAnsi="Times New Roman"/>
                <w:b/>
                <w:bCs/>
                <w:sz w:val="16"/>
                <w:szCs w:val="16"/>
                <w:lang w:val="en-GB"/>
              </w:rPr>
            </w:pPr>
          </w:p>
        </w:tc>
      </w:tr>
      <w:tr w:rsidR="003A05A3" w:rsidRPr="00F23413" w14:paraId="679D9BAB" w14:textId="77777777" w:rsidTr="00242F58">
        <w:trPr>
          <w:trHeight w:val="1256"/>
        </w:trPr>
        <w:tc>
          <w:tcPr>
            <w:tcW w:w="5696" w:type="dxa"/>
            <w:gridSpan w:val="8"/>
            <w:shd w:val="clear" w:color="auto" w:fill="auto"/>
          </w:tcPr>
          <w:p w14:paraId="57746F86" w14:textId="77777777" w:rsidR="003A05A3" w:rsidRPr="00E16672" w:rsidRDefault="003A05A3" w:rsidP="00843027">
            <w:pPr>
              <w:pStyle w:val="32"/>
              <w:snapToGrid w:val="0"/>
              <w:ind w:left="175" w:right="138" w:firstLine="0"/>
              <w:jc w:val="center"/>
              <w:rPr>
                <w:rFonts w:ascii="Times New Roman" w:hAnsi="Times New Roman"/>
                <w:b/>
                <w:caps/>
                <w:color w:val="000000"/>
                <w:sz w:val="16"/>
                <w:szCs w:val="16"/>
                <w:shd w:val="clear" w:color="auto" w:fill="FFFFFF"/>
              </w:rPr>
            </w:pPr>
            <w:r w:rsidRPr="00E16672">
              <w:rPr>
                <w:rFonts w:ascii="Times New Roman" w:hAnsi="Times New Roman"/>
                <w:b/>
                <w:caps/>
                <w:color w:val="000000"/>
                <w:sz w:val="16"/>
                <w:szCs w:val="16"/>
                <w:shd w:val="clear" w:color="auto" w:fill="FFFFFF"/>
              </w:rPr>
              <w:t>1</w:t>
            </w:r>
            <w:r w:rsidR="00577C78" w:rsidRPr="00E16672">
              <w:rPr>
                <w:rFonts w:ascii="Times New Roman" w:hAnsi="Times New Roman"/>
                <w:b/>
                <w:caps/>
                <w:color w:val="000000"/>
                <w:sz w:val="16"/>
                <w:szCs w:val="16"/>
                <w:shd w:val="clear" w:color="auto" w:fill="FFFFFF"/>
                <w:lang w:val="uk-UA"/>
              </w:rPr>
              <w:t>0</w:t>
            </w:r>
            <w:r w:rsidRPr="00E16672">
              <w:rPr>
                <w:rFonts w:ascii="Times New Roman" w:hAnsi="Times New Roman"/>
                <w:b/>
                <w:caps/>
                <w:color w:val="000000"/>
                <w:sz w:val="16"/>
                <w:szCs w:val="16"/>
                <w:shd w:val="clear" w:color="auto" w:fill="FFFFFF"/>
              </w:rPr>
              <w:t xml:space="preserve">. Про визнання </w:t>
            </w:r>
            <w:r w:rsidRPr="00E16672">
              <w:rPr>
                <w:rFonts w:ascii="Times New Roman" w:hAnsi="Times New Roman"/>
                <w:b/>
                <w:bCs/>
                <w:sz w:val="16"/>
                <w:szCs w:val="16"/>
                <w:lang w:val="uk-UA"/>
              </w:rPr>
              <w:t>КВАЛІФІКОВАНОГО</w:t>
            </w:r>
            <w:r w:rsidRPr="00E16672">
              <w:rPr>
                <w:rFonts w:ascii="Times New Roman" w:hAnsi="Times New Roman"/>
                <w:b/>
                <w:bCs/>
                <w:lang w:val="uk-UA"/>
              </w:rPr>
              <w:t xml:space="preserve"> </w:t>
            </w:r>
            <w:r w:rsidRPr="00E16672">
              <w:rPr>
                <w:rFonts w:ascii="Times New Roman" w:hAnsi="Times New Roman"/>
                <w:b/>
                <w:caps/>
                <w:color w:val="000000"/>
                <w:sz w:val="16"/>
                <w:szCs w:val="16"/>
                <w:shd w:val="clear" w:color="auto" w:fill="FFFFFF"/>
              </w:rPr>
              <w:t>електронного</w:t>
            </w:r>
          </w:p>
          <w:p w14:paraId="28E73AA1" w14:textId="77777777" w:rsidR="003A05A3" w:rsidRPr="00E16672" w:rsidRDefault="003A05A3" w:rsidP="00843027">
            <w:pPr>
              <w:pStyle w:val="32"/>
              <w:ind w:left="175" w:right="138" w:firstLine="0"/>
              <w:jc w:val="center"/>
              <w:rPr>
                <w:rFonts w:ascii="Times New Roman" w:hAnsi="Times New Roman"/>
                <w:b/>
                <w:caps/>
                <w:color w:val="000000"/>
                <w:sz w:val="16"/>
                <w:szCs w:val="16"/>
                <w:shd w:val="clear" w:color="auto" w:fill="FFFFFF"/>
              </w:rPr>
            </w:pPr>
            <w:r w:rsidRPr="00E16672">
              <w:rPr>
                <w:rFonts w:ascii="Times New Roman" w:hAnsi="Times New Roman"/>
                <w:b/>
                <w:caps/>
                <w:color w:val="000000"/>
                <w:sz w:val="16"/>
                <w:szCs w:val="16"/>
                <w:shd w:val="clear" w:color="auto" w:fill="FFFFFF"/>
              </w:rPr>
              <w:t>підпису</w:t>
            </w:r>
          </w:p>
          <w:p w14:paraId="49C0E8E3" w14:textId="77777777" w:rsidR="003A05A3" w:rsidRPr="00E16672" w:rsidRDefault="003A05A3" w:rsidP="00843027">
            <w:pPr>
              <w:pStyle w:val="32"/>
              <w:ind w:left="175" w:right="138" w:firstLine="0"/>
              <w:rPr>
                <w:rFonts w:ascii="Times New Roman" w:hAnsi="Times New Roman"/>
                <w:b/>
                <w:caps/>
                <w:color w:val="000000"/>
                <w:sz w:val="16"/>
                <w:szCs w:val="16"/>
              </w:rPr>
            </w:pPr>
          </w:p>
          <w:p w14:paraId="08B3215D" w14:textId="77777777" w:rsidR="003A05A3" w:rsidRPr="00E16672" w:rsidRDefault="003A05A3" w:rsidP="00843027">
            <w:pPr>
              <w:pStyle w:val="33"/>
              <w:tabs>
                <w:tab w:val="left" w:pos="851"/>
              </w:tabs>
              <w:ind w:left="175" w:right="138" w:firstLine="0"/>
              <w:rPr>
                <w:rFonts w:ascii="Times New Roman" w:hAnsi="Times New Roman" w:cs="Times New Roman"/>
                <w:color w:val="000000"/>
                <w:sz w:val="16"/>
                <w:szCs w:val="16"/>
                <w:lang w:val="uk-UA"/>
              </w:rPr>
            </w:pPr>
            <w:r w:rsidRPr="00E16672">
              <w:rPr>
                <w:rFonts w:ascii="Times New Roman" w:hAnsi="Times New Roman" w:cs="Times New Roman"/>
                <w:color w:val="000000"/>
                <w:sz w:val="16"/>
                <w:szCs w:val="16"/>
                <w:lang w:val="uk-UA"/>
              </w:rPr>
              <w:t>1</w:t>
            </w:r>
            <w:r w:rsidR="00577C78" w:rsidRPr="00E16672">
              <w:rPr>
                <w:rFonts w:ascii="Times New Roman" w:hAnsi="Times New Roman" w:cs="Times New Roman"/>
                <w:color w:val="000000"/>
                <w:sz w:val="16"/>
                <w:szCs w:val="16"/>
                <w:lang w:val="uk-UA"/>
              </w:rPr>
              <w:t>0</w:t>
            </w:r>
            <w:r w:rsidRPr="00E16672">
              <w:rPr>
                <w:rFonts w:ascii="Times New Roman" w:hAnsi="Times New Roman" w:cs="Times New Roman"/>
                <w:color w:val="000000"/>
                <w:sz w:val="16"/>
                <w:szCs w:val="16"/>
                <w:lang w:val="uk-UA"/>
              </w:rPr>
              <w:t xml:space="preserve">.1. В ході виконання договору Сторони можуть обмінюватися електронними документами, які засвідчуються за допомогою </w:t>
            </w:r>
            <w:r w:rsidRPr="00E16672">
              <w:rPr>
                <w:rFonts w:ascii="Times New Roman" w:hAnsi="Times New Roman" w:cs="Times New Roman"/>
                <w:sz w:val="16"/>
                <w:lang w:val="uk-UA"/>
              </w:rPr>
              <w:t xml:space="preserve">кваліфікованого </w:t>
            </w:r>
            <w:r w:rsidRPr="00E16672">
              <w:rPr>
                <w:rFonts w:ascii="Times New Roman" w:hAnsi="Times New Roman" w:cs="Times New Roman"/>
                <w:color w:val="000000"/>
                <w:sz w:val="16"/>
                <w:szCs w:val="16"/>
                <w:lang w:val="uk-UA"/>
              </w:rPr>
              <w:t xml:space="preserve">електронного підпису </w:t>
            </w:r>
            <w:proofErr w:type="spellStart"/>
            <w:r w:rsidRPr="00E16672">
              <w:rPr>
                <w:rFonts w:ascii="Times New Roman" w:hAnsi="Times New Roman" w:cs="Times New Roman"/>
                <w:sz w:val="16"/>
                <w:szCs w:val="16"/>
                <w:lang w:eastAsia="ru-RU"/>
              </w:rPr>
              <w:t>відповідно</w:t>
            </w:r>
            <w:proofErr w:type="spellEnd"/>
            <w:r w:rsidRPr="00E16672">
              <w:rPr>
                <w:rFonts w:ascii="Times New Roman" w:hAnsi="Times New Roman" w:cs="Times New Roman"/>
                <w:sz w:val="16"/>
                <w:szCs w:val="16"/>
                <w:lang w:eastAsia="ru-RU"/>
              </w:rPr>
              <w:t xml:space="preserve"> до </w:t>
            </w:r>
            <w:proofErr w:type="spellStart"/>
            <w:r w:rsidRPr="00E16672">
              <w:rPr>
                <w:rFonts w:ascii="Times New Roman" w:hAnsi="Times New Roman" w:cs="Times New Roman"/>
                <w:sz w:val="16"/>
                <w:szCs w:val="16"/>
                <w:lang w:eastAsia="ru-RU"/>
              </w:rPr>
              <w:t>вимог</w:t>
            </w:r>
            <w:proofErr w:type="spellEnd"/>
            <w:r w:rsidRPr="00E16672">
              <w:rPr>
                <w:rFonts w:ascii="Times New Roman" w:hAnsi="Times New Roman" w:cs="Times New Roman"/>
                <w:sz w:val="16"/>
                <w:szCs w:val="16"/>
                <w:lang w:eastAsia="ru-RU"/>
              </w:rPr>
              <w:t xml:space="preserve"> </w:t>
            </w:r>
            <w:proofErr w:type="spellStart"/>
            <w:r w:rsidRPr="00E16672">
              <w:rPr>
                <w:rFonts w:ascii="Times New Roman" w:hAnsi="Times New Roman" w:cs="Times New Roman"/>
                <w:sz w:val="16"/>
                <w:szCs w:val="16"/>
                <w:lang w:eastAsia="ru-RU"/>
              </w:rPr>
              <w:t>законодавства</w:t>
            </w:r>
            <w:proofErr w:type="spellEnd"/>
            <w:r w:rsidRPr="00E16672">
              <w:rPr>
                <w:rFonts w:ascii="Times New Roman" w:hAnsi="Times New Roman" w:cs="Times New Roman"/>
                <w:sz w:val="16"/>
                <w:szCs w:val="16"/>
                <w:lang w:eastAsia="ru-RU"/>
              </w:rPr>
              <w:t xml:space="preserve"> у </w:t>
            </w:r>
            <w:proofErr w:type="spellStart"/>
            <w:r w:rsidRPr="00E16672">
              <w:rPr>
                <w:rFonts w:ascii="Times New Roman" w:hAnsi="Times New Roman" w:cs="Times New Roman"/>
                <w:sz w:val="16"/>
                <w:szCs w:val="16"/>
                <w:lang w:eastAsia="ru-RU"/>
              </w:rPr>
              <w:t>сфері</w:t>
            </w:r>
            <w:proofErr w:type="spellEnd"/>
            <w:r w:rsidRPr="00E16672">
              <w:rPr>
                <w:rFonts w:ascii="Times New Roman" w:hAnsi="Times New Roman" w:cs="Times New Roman"/>
                <w:sz w:val="16"/>
                <w:szCs w:val="16"/>
                <w:lang w:eastAsia="ru-RU"/>
              </w:rPr>
              <w:t xml:space="preserve"> </w:t>
            </w:r>
            <w:proofErr w:type="spellStart"/>
            <w:r w:rsidRPr="00E16672">
              <w:rPr>
                <w:rFonts w:ascii="Times New Roman" w:hAnsi="Times New Roman" w:cs="Times New Roman"/>
                <w:sz w:val="16"/>
                <w:szCs w:val="16"/>
                <w:lang w:eastAsia="ru-RU"/>
              </w:rPr>
              <w:t>електронного</w:t>
            </w:r>
            <w:proofErr w:type="spellEnd"/>
            <w:r w:rsidRPr="00E16672">
              <w:rPr>
                <w:rFonts w:ascii="Times New Roman" w:hAnsi="Times New Roman" w:cs="Times New Roman"/>
                <w:sz w:val="16"/>
                <w:szCs w:val="16"/>
                <w:lang w:eastAsia="ru-RU"/>
              </w:rPr>
              <w:t xml:space="preserve"> </w:t>
            </w:r>
            <w:proofErr w:type="spellStart"/>
            <w:r w:rsidRPr="00E16672">
              <w:rPr>
                <w:rFonts w:ascii="Times New Roman" w:hAnsi="Times New Roman" w:cs="Times New Roman"/>
                <w:sz w:val="16"/>
                <w:szCs w:val="16"/>
                <w:lang w:eastAsia="ru-RU"/>
              </w:rPr>
              <w:t>документообігу</w:t>
            </w:r>
            <w:proofErr w:type="spellEnd"/>
            <w:r w:rsidRPr="00E16672">
              <w:rPr>
                <w:rFonts w:ascii="Times New Roman" w:hAnsi="Times New Roman" w:cs="Times New Roman"/>
                <w:sz w:val="16"/>
                <w:szCs w:val="16"/>
                <w:lang w:eastAsia="ru-RU"/>
              </w:rPr>
              <w:t xml:space="preserve"> та </w:t>
            </w:r>
            <w:proofErr w:type="spellStart"/>
            <w:r w:rsidRPr="00E16672">
              <w:rPr>
                <w:rFonts w:ascii="Times New Roman" w:hAnsi="Times New Roman" w:cs="Times New Roman"/>
                <w:sz w:val="16"/>
                <w:szCs w:val="16"/>
                <w:lang w:eastAsia="ru-RU"/>
              </w:rPr>
              <w:t>електронних</w:t>
            </w:r>
            <w:proofErr w:type="spellEnd"/>
            <w:r w:rsidRPr="00E16672">
              <w:rPr>
                <w:rFonts w:ascii="Times New Roman" w:hAnsi="Times New Roman" w:cs="Times New Roman"/>
                <w:sz w:val="16"/>
                <w:szCs w:val="16"/>
                <w:lang w:eastAsia="ru-RU"/>
              </w:rPr>
              <w:t xml:space="preserve"> </w:t>
            </w:r>
            <w:proofErr w:type="spellStart"/>
            <w:r w:rsidRPr="00E16672">
              <w:rPr>
                <w:rFonts w:ascii="Times New Roman" w:hAnsi="Times New Roman" w:cs="Times New Roman"/>
                <w:sz w:val="16"/>
                <w:szCs w:val="16"/>
                <w:lang w:eastAsia="ru-RU"/>
              </w:rPr>
              <w:t>довірчих</w:t>
            </w:r>
            <w:proofErr w:type="spellEnd"/>
            <w:r w:rsidRPr="00E16672">
              <w:rPr>
                <w:rFonts w:ascii="Times New Roman" w:hAnsi="Times New Roman" w:cs="Times New Roman"/>
                <w:sz w:val="16"/>
                <w:szCs w:val="16"/>
                <w:lang w:eastAsia="ru-RU"/>
              </w:rPr>
              <w:t xml:space="preserve"> </w:t>
            </w:r>
            <w:proofErr w:type="spellStart"/>
            <w:r w:rsidRPr="00E16672">
              <w:rPr>
                <w:rFonts w:ascii="Times New Roman" w:hAnsi="Times New Roman" w:cs="Times New Roman"/>
                <w:sz w:val="16"/>
                <w:szCs w:val="16"/>
                <w:lang w:eastAsia="ru-RU"/>
              </w:rPr>
              <w:t>послуг</w:t>
            </w:r>
            <w:proofErr w:type="spellEnd"/>
            <w:r w:rsidRPr="00E16672">
              <w:rPr>
                <w:rFonts w:ascii="Times New Roman" w:hAnsi="Times New Roman" w:cs="Times New Roman"/>
                <w:color w:val="000000"/>
                <w:sz w:val="16"/>
                <w:szCs w:val="16"/>
                <w:lang w:val="uk-UA"/>
              </w:rPr>
              <w:t>.</w:t>
            </w:r>
          </w:p>
          <w:p w14:paraId="5B13988B" w14:textId="77777777" w:rsidR="003A05A3" w:rsidRPr="00E16672" w:rsidRDefault="003A05A3" w:rsidP="00843027">
            <w:pPr>
              <w:pStyle w:val="33"/>
              <w:tabs>
                <w:tab w:val="left" w:pos="851"/>
              </w:tabs>
              <w:ind w:left="175" w:right="138"/>
              <w:rPr>
                <w:rFonts w:ascii="Times New Roman" w:hAnsi="Times New Roman" w:cs="Times New Roman"/>
                <w:color w:val="000000"/>
                <w:sz w:val="10"/>
                <w:szCs w:val="10"/>
              </w:rPr>
            </w:pPr>
          </w:p>
        </w:tc>
        <w:tc>
          <w:tcPr>
            <w:tcW w:w="5494" w:type="dxa"/>
            <w:gridSpan w:val="6"/>
            <w:shd w:val="clear" w:color="auto" w:fill="auto"/>
          </w:tcPr>
          <w:p w14:paraId="19CFE956" w14:textId="77777777" w:rsidR="003A05A3" w:rsidRPr="00E16672" w:rsidRDefault="003A05A3" w:rsidP="00843027">
            <w:pPr>
              <w:tabs>
                <w:tab w:val="left" w:pos="287"/>
              </w:tabs>
              <w:snapToGrid w:val="0"/>
              <w:ind w:left="145" w:right="100"/>
              <w:jc w:val="center"/>
              <w:rPr>
                <w:rFonts w:ascii="Times New Roman" w:hAnsi="Times New Roman"/>
                <w:b/>
                <w:color w:val="000000"/>
                <w:sz w:val="16"/>
                <w:szCs w:val="16"/>
                <w:shd w:val="clear" w:color="auto" w:fill="FFFFFF"/>
                <w:lang w:val="en-US"/>
              </w:rPr>
            </w:pPr>
            <w:r w:rsidRPr="00E16672">
              <w:rPr>
                <w:rFonts w:ascii="Times New Roman" w:hAnsi="Times New Roman"/>
                <w:b/>
                <w:color w:val="000000"/>
                <w:sz w:val="16"/>
                <w:szCs w:val="16"/>
                <w:shd w:val="clear" w:color="auto" w:fill="FFFFFF"/>
                <w:lang w:val="en-US"/>
              </w:rPr>
              <w:t>1</w:t>
            </w:r>
            <w:r w:rsidR="00577C78" w:rsidRPr="00E16672">
              <w:rPr>
                <w:rFonts w:ascii="Times New Roman" w:hAnsi="Times New Roman"/>
                <w:b/>
                <w:color w:val="000000"/>
                <w:sz w:val="16"/>
                <w:szCs w:val="16"/>
                <w:shd w:val="clear" w:color="auto" w:fill="FFFFFF"/>
                <w:lang w:val="uk-UA"/>
              </w:rPr>
              <w:t>0</w:t>
            </w:r>
            <w:r w:rsidRPr="00E16672">
              <w:rPr>
                <w:rFonts w:ascii="Times New Roman" w:hAnsi="Times New Roman"/>
                <w:b/>
                <w:color w:val="000000"/>
                <w:sz w:val="16"/>
                <w:szCs w:val="16"/>
                <w:shd w:val="clear" w:color="auto" w:fill="FFFFFF"/>
                <w:lang w:val="en-US"/>
              </w:rPr>
              <w:t xml:space="preserve">. </w:t>
            </w:r>
            <w:r w:rsidRPr="00E16672">
              <w:rPr>
                <w:rFonts w:ascii="Times New Roman" w:hAnsi="Times New Roman"/>
                <w:b/>
                <w:color w:val="000000"/>
                <w:sz w:val="16"/>
                <w:szCs w:val="16"/>
                <w:shd w:val="clear" w:color="auto" w:fill="FFFFFF"/>
                <w:lang w:val="en-GB"/>
              </w:rPr>
              <w:t>ABOUT</w:t>
            </w:r>
            <w:r w:rsidRPr="00E16672">
              <w:rPr>
                <w:rFonts w:ascii="Times New Roman" w:hAnsi="Times New Roman"/>
                <w:b/>
                <w:color w:val="000000"/>
                <w:sz w:val="16"/>
                <w:szCs w:val="16"/>
                <w:shd w:val="clear" w:color="auto" w:fill="FFFFFF"/>
                <w:lang w:val="en-US"/>
              </w:rPr>
              <w:t xml:space="preserve"> </w:t>
            </w:r>
            <w:r w:rsidRPr="00E16672">
              <w:rPr>
                <w:rFonts w:ascii="Times New Roman" w:hAnsi="Times New Roman"/>
                <w:b/>
                <w:color w:val="000000"/>
                <w:sz w:val="16"/>
                <w:szCs w:val="16"/>
                <w:shd w:val="clear" w:color="auto" w:fill="FFFFFF"/>
                <w:lang w:val="en-GB"/>
              </w:rPr>
              <w:t>THE</w:t>
            </w:r>
            <w:r w:rsidRPr="00E16672">
              <w:rPr>
                <w:rFonts w:ascii="Times New Roman" w:hAnsi="Times New Roman"/>
                <w:b/>
                <w:color w:val="000000"/>
                <w:sz w:val="16"/>
                <w:szCs w:val="16"/>
                <w:shd w:val="clear" w:color="auto" w:fill="FFFFFF"/>
                <w:lang w:val="en-US"/>
              </w:rPr>
              <w:t xml:space="preserve"> </w:t>
            </w:r>
            <w:r w:rsidRPr="00E16672">
              <w:rPr>
                <w:rFonts w:ascii="Times New Roman" w:hAnsi="Times New Roman"/>
                <w:b/>
                <w:color w:val="000000"/>
                <w:sz w:val="16"/>
                <w:szCs w:val="16"/>
                <w:shd w:val="clear" w:color="auto" w:fill="FFFFFF"/>
                <w:lang w:val="en-GB"/>
              </w:rPr>
              <w:t>RECOGNITION</w:t>
            </w:r>
            <w:r w:rsidRPr="00E16672">
              <w:rPr>
                <w:rFonts w:ascii="Times New Roman" w:hAnsi="Times New Roman"/>
                <w:b/>
                <w:color w:val="000000"/>
                <w:sz w:val="16"/>
                <w:szCs w:val="16"/>
                <w:shd w:val="clear" w:color="auto" w:fill="FFFFFF"/>
                <w:lang w:val="en-US"/>
              </w:rPr>
              <w:t xml:space="preserve"> </w:t>
            </w:r>
            <w:r w:rsidRPr="00E16672">
              <w:rPr>
                <w:rFonts w:ascii="Times New Roman" w:hAnsi="Times New Roman"/>
                <w:b/>
                <w:color w:val="000000"/>
                <w:sz w:val="16"/>
                <w:szCs w:val="16"/>
                <w:shd w:val="clear" w:color="auto" w:fill="FFFFFF"/>
                <w:lang w:val="en-GB"/>
              </w:rPr>
              <w:t>OF</w:t>
            </w:r>
            <w:r w:rsidRPr="00E16672">
              <w:rPr>
                <w:rFonts w:ascii="Times New Roman" w:hAnsi="Times New Roman"/>
                <w:b/>
                <w:color w:val="000000"/>
                <w:sz w:val="16"/>
                <w:szCs w:val="16"/>
                <w:shd w:val="clear" w:color="auto" w:fill="FFFFFF"/>
                <w:lang w:val="en-US"/>
              </w:rPr>
              <w:t xml:space="preserve"> </w:t>
            </w:r>
            <w:r w:rsidRPr="00F23413">
              <w:rPr>
                <w:rStyle w:val="shorttext"/>
                <w:rFonts w:ascii="Times New Roman" w:hAnsi="Times New Roman"/>
                <w:b/>
                <w:sz w:val="16"/>
                <w:szCs w:val="16"/>
                <w:lang w:val="en-US"/>
              </w:rPr>
              <w:t>QUALIFIED</w:t>
            </w:r>
            <w:r w:rsidRPr="00E16672">
              <w:rPr>
                <w:rFonts w:ascii="Times New Roman" w:hAnsi="Times New Roman"/>
                <w:b/>
                <w:color w:val="000000"/>
                <w:sz w:val="16"/>
                <w:szCs w:val="16"/>
                <w:shd w:val="clear" w:color="auto" w:fill="FFFFFF"/>
                <w:lang w:val="en-GB"/>
              </w:rPr>
              <w:t xml:space="preserve"> ELECTRONIC</w:t>
            </w:r>
            <w:r w:rsidRPr="00E16672">
              <w:rPr>
                <w:rFonts w:ascii="Times New Roman" w:hAnsi="Times New Roman"/>
                <w:b/>
                <w:color w:val="000000"/>
                <w:sz w:val="16"/>
                <w:szCs w:val="16"/>
                <w:shd w:val="clear" w:color="auto" w:fill="FFFFFF"/>
                <w:lang w:val="en-US"/>
              </w:rPr>
              <w:t xml:space="preserve"> </w:t>
            </w:r>
          </w:p>
          <w:p w14:paraId="58373DBD" w14:textId="77777777" w:rsidR="003A05A3" w:rsidRPr="00E16672" w:rsidRDefault="003A05A3" w:rsidP="00843027">
            <w:pPr>
              <w:tabs>
                <w:tab w:val="left" w:pos="287"/>
              </w:tabs>
              <w:snapToGrid w:val="0"/>
              <w:ind w:left="145" w:right="100"/>
              <w:jc w:val="center"/>
              <w:rPr>
                <w:rFonts w:ascii="Times New Roman" w:hAnsi="Times New Roman"/>
                <w:b/>
                <w:color w:val="000000"/>
                <w:sz w:val="16"/>
                <w:szCs w:val="16"/>
                <w:shd w:val="clear" w:color="auto" w:fill="FFFFFF"/>
                <w:lang w:val="en-US"/>
              </w:rPr>
            </w:pPr>
            <w:r w:rsidRPr="00E16672">
              <w:rPr>
                <w:rFonts w:ascii="Times New Roman" w:hAnsi="Times New Roman"/>
                <w:b/>
                <w:color w:val="000000"/>
                <w:sz w:val="16"/>
                <w:szCs w:val="16"/>
                <w:shd w:val="clear" w:color="auto" w:fill="FFFFFF"/>
                <w:lang w:val="en-GB"/>
              </w:rPr>
              <w:t>SIGNATURE</w:t>
            </w:r>
          </w:p>
          <w:p w14:paraId="5A487006" w14:textId="77777777" w:rsidR="003A05A3" w:rsidRPr="00E16672" w:rsidRDefault="003A05A3" w:rsidP="00843027">
            <w:pPr>
              <w:tabs>
                <w:tab w:val="left" w:pos="287"/>
              </w:tabs>
              <w:snapToGrid w:val="0"/>
              <w:ind w:left="145" w:right="100"/>
              <w:jc w:val="center"/>
              <w:rPr>
                <w:rFonts w:ascii="Times New Roman" w:hAnsi="Times New Roman"/>
                <w:b/>
                <w:color w:val="000000"/>
                <w:sz w:val="16"/>
                <w:szCs w:val="16"/>
                <w:shd w:val="clear" w:color="auto" w:fill="FFFFFF"/>
                <w:lang w:val="en-US"/>
              </w:rPr>
            </w:pPr>
          </w:p>
          <w:p w14:paraId="27FE7364" w14:textId="77777777" w:rsidR="003A05A3" w:rsidRPr="00E16672" w:rsidRDefault="003A05A3" w:rsidP="00577C78">
            <w:pPr>
              <w:tabs>
                <w:tab w:val="left" w:pos="287"/>
              </w:tabs>
              <w:snapToGrid w:val="0"/>
              <w:ind w:left="145" w:right="100" w:firstLine="0"/>
              <w:rPr>
                <w:rFonts w:ascii="Times New Roman" w:hAnsi="Times New Roman"/>
                <w:color w:val="000000"/>
                <w:sz w:val="16"/>
                <w:szCs w:val="16"/>
                <w:shd w:val="clear" w:color="auto" w:fill="FFFFFF"/>
                <w:lang w:val="uk-UA"/>
              </w:rPr>
            </w:pPr>
            <w:r w:rsidRPr="00E16672">
              <w:rPr>
                <w:rFonts w:ascii="Times New Roman" w:hAnsi="Times New Roman"/>
                <w:color w:val="000000"/>
                <w:sz w:val="16"/>
                <w:szCs w:val="16"/>
                <w:shd w:val="clear" w:color="auto" w:fill="FFFFFF"/>
                <w:lang w:val="en-US"/>
              </w:rPr>
              <w:t>1</w:t>
            </w:r>
            <w:r w:rsidR="00577C78" w:rsidRPr="00E16672">
              <w:rPr>
                <w:rFonts w:ascii="Times New Roman" w:hAnsi="Times New Roman"/>
                <w:color w:val="000000"/>
                <w:sz w:val="16"/>
                <w:szCs w:val="16"/>
                <w:shd w:val="clear" w:color="auto" w:fill="FFFFFF"/>
                <w:lang w:val="uk-UA"/>
              </w:rPr>
              <w:t>0</w:t>
            </w:r>
            <w:r w:rsidRPr="00E16672">
              <w:rPr>
                <w:rFonts w:ascii="Times New Roman" w:hAnsi="Times New Roman"/>
                <w:color w:val="000000"/>
                <w:sz w:val="16"/>
                <w:szCs w:val="16"/>
                <w:shd w:val="clear" w:color="auto" w:fill="FFFFFF"/>
                <w:lang w:val="en-US"/>
              </w:rPr>
              <w:t xml:space="preserve">.1 </w:t>
            </w:r>
            <w:r w:rsidR="00D048FE" w:rsidRPr="00E16672">
              <w:rPr>
                <w:rFonts w:ascii="Times New Roman" w:eastAsia="Lucida Sans Unicode" w:hAnsi="Times New Roman"/>
                <w:color w:val="000000"/>
                <w:kern w:val="1"/>
                <w:sz w:val="16"/>
                <w:szCs w:val="16"/>
                <w:lang w:val="en-US" w:eastAsia="hi-IN" w:bidi="hi-IN"/>
              </w:rPr>
              <w:t xml:space="preserve">During the execution of the Agreement Parties can exchange electronic documents that are certified by the </w:t>
            </w:r>
            <w:r w:rsidR="00D048FE" w:rsidRPr="00E16672">
              <w:rPr>
                <w:rFonts w:ascii="Times New Roman" w:hAnsi="Times New Roman"/>
                <w:color w:val="000000"/>
                <w:sz w:val="16"/>
                <w:szCs w:val="16"/>
                <w:shd w:val="clear" w:color="auto" w:fill="FFFFFF"/>
                <w:lang w:val="en-GB"/>
              </w:rPr>
              <w:t xml:space="preserve">qualified </w:t>
            </w:r>
            <w:r w:rsidR="00D048FE" w:rsidRPr="00E16672">
              <w:rPr>
                <w:rFonts w:ascii="Times New Roman" w:eastAsia="Lucida Sans Unicode" w:hAnsi="Times New Roman"/>
                <w:color w:val="000000"/>
                <w:kern w:val="1"/>
                <w:sz w:val="16"/>
                <w:szCs w:val="16"/>
                <w:lang w:val="en-US" w:eastAsia="hi-IN" w:bidi="hi-IN"/>
              </w:rPr>
              <w:t>electronic signature</w:t>
            </w:r>
            <w:r w:rsidR="00D048FE" w:rsidRPr="00E16672">
              <w:rPr>
                <w:rFonts w:ascii="Times New Roman" w:eastAsia="Lucida Sans Unicode" w:hAnsi="Times New Roman"/>
                <w:color w:val="000000"/>
                <w:kern w:val="1"/>
                <w:sz w:val="16"/>
                <w:szCs w:val="16"/>
                <w:lang w:val="uk-UA" w:eastAsia="hi-IN" w:bidi="hi-IN"/>
              </w:rPr>
              <w:t xml:space="preserve"> </w:t>
            </w:r>
            <w:r w:rsidR="00D048FE" w:rsidRPr="00F23413">
              <w:rPr>
                <w:rFonts w:ascii="Times New Roman" w:hAnsi="Times New Roman"/>
                <w:sz w:val="16"/>
                <w:szCs w:val="16"/>
                <w:lang w:val="en-US"/>
              </w:rPr>
              <w:t>in accordance with the requirements of legislation in the area of electronic document circulation and electronic trust services</w:t>
            </w:r>
            <w:r w:rsidRPr="00E16672">
              <w:rPr>
                <w:rFonts w:ascii="Times New Roman" w:eastAsia="Lucida Sans Unicode" w:hAnsi="Times New Roman"/>
                <w:color w:val="000000"/>
                <w:kern w:val="1"/>
                <w:sz w:val="16"/>
                <w:szCs w:val="16"/>
                <w:lang w:val="uk-UA" w:eastAsia="hi-IN" w:bidi="hi-IN"/>
              </w:rPr>
              <w:t>.</w:t>
            </w:r>
          </w:p>
        </w:tc>
      </w:tr>
      <w:tr w:rsidR="003A05A3" w:rsidRPr="00F23413" w14:paraId="608D186C" w14:textId="77777777" w:rsidTr="00242F58">
        <w:trPr>
          <w:trHeight w:val="192"/>
        </w:trPr>
        <w:tc>
          <w:tcPr>
            <w:tcW w:w="5696" w:type="dxa"/>
            <w:gridSpan w:val="8"/>
            <w:shd w:val="clear" w:color="auto" w:fill="auto"/>
          </w:tcPr>
          <w:p w14:paraId="2469CEE2" w14:textId="77777777" w:rsidR="003A05A3" w:rsidRPr="00E16672" w:rsidRDefault="003A05A3" w:rsidP="00577C78">
            <w:pPr>
              <w:pStyle w:val="33"/>
              <w:tabs>
                <w:tab w:val="left" w:pos="851"/>
              </w:tabs>
              <w:snapToGrid w:val="0"/>
              <w:ind w:left="175" w:right="138" w:firstLine="0"/>
              <w:rPr>
                <w:rFonts w:ascii="Times New Roman" w:hAnsi="Times New Roman" w:cs="Times New Roman"/>
                <w:color w:val="000000"/>
                <w:sz w:val="16"/>
                <w:szCs w:val="16"/>
                <w:lang w:val="uk-UA"/>
              </w:rPr>
            </w:pPr>
            <w:r w:rsidRPr="00E16672">
              <w:rPr>
                <w:rFonts w:ascii="Times New Roman" w:hAnsi="Times New Roman" w:cs="Times New Roman"/>
                <w:color w:val="000000"/>
                <w:sz w:val="16"/>
                <w:szCs w:val="16"/>
                <w:lang w:val="uk-UA"/>
              </w:rPr>
              <w:t>1</w:t>
            </w:r>
            <w:r w:rsidR="00577C78" w:rsidRPr="00E16672">
              <w:rPr>
                <w:rFonts w:ascii="Times New Roman" w:hAnsi="Times New Roman" w:cs="Times New Roman"/>
                <w:color w:val="000000"/>
                <w:sz w:val="16"/>
                <w:szCs w:val="16"/>
                <w:lang w:val="uk-UA"/>
              </w:rPr>
              <w:t>0</w:t>
            </w:r>
            <w:r w:rsidRPr="00E16672">
              <w:rPr>
                <w:rFonts w:ascii="Times New Roman" w:hAnsi="Times New Roman" w:cs="Times New Roman"/>
                <w:color w:val="000000"/>
                <w:sz w:val="16"/>
                <w:szCs w:val="16"/>
                <w:lang w:val="uk-UA"/>
              </w:rPr>
              <w:t xml:space="preserve">.2. При виконанні цього Договору кожна Сторона може виступати як </w:t>
            </w:r>
            <w:proofErr w:type="spellStart"/>
            <w:r w:rsidRPr="00E16672">
              <w:rPr>
                <w:rFonts w:ascii="Times New Roman" w:hAnsi="Times New Roman" w:cs="Times New Roman"/>
                <w:color w:val="000000"/>
                <w:sz w:val="16"/>
                <w:szCs w:val="16"/>
                <w:lang w:val="uk-UA"/>
              </w:rPr>
              <w:t>підписувачем</w:t>
            </w:r>
            <w:proofErr w:type="spellEnd"/>
            <w:r w:rsidRPr="00E16672">
              <w:rPr>
                <w:rFonts w:ascii="Times New Roman" w:hAnsi="Times New Roman" w:cs="Times New Roman"/>
                <w:color w:val="000000"/>
                <w:sz w:val="16"/>
                <w:szCs w:val="16"/>
                <w:lang w:val="uk-UA"/>
              </w:rPr>
              <w:t>, так і адресатом електронних документів.</w:t>
            </w:r>
          </w:p>
        </w:tc>
        <w:tc>
          <w:tcPr>
            <w:tcW w:w="5494" w:type="dxa"/>
            <w:gridSpan w:val="6"/>
            <w:shd w:val="clear" w:color="auto" w:fill="auto"/>
          </w:tcPr>
          <w:p w14:paraId="0A326CD3" w14:textId="77777777" w:rsidR="003A05A3" w:rsidRPr="00E16672" w:rsidRDefault="003A05A3" w:rsidP="00843027">
            <w:pPr>
              <w:tabs>
                <w:tab w:val="left" w:pos="287"/>
              </w:tabs>
              <w:snapToGrid w:val="0"/>
              <w:ind w:left="145" w:right="100" w:firstLine="0"/>
              <w:rPr>
                <w:rFonts w:ascii="Times New Roman" w:hAnsi="Times New Roman"/>
                <w:color w:val="000000"/>
                <w:sz w:val="16"/>
                <w:szCs w:val="16"/>
                <w:shd w:val="clear" w:color="auto" w:fill="FFFFFF"/>
                <w:lang w:val="uk-UA"/>
              </w:rPr>
            </w:pPr>
            <w:r w:rsidRPr="00E16672">
              <w:rPr>
                <w:rFonts w:ascii="Times New Roman" w:hAnsi="Times New Roman"/>
                <w:color w:val="000000"/>
                <w:sz w:val="16"/>
                <w:szCs w:val="16"/>
                <w:shd w:val="clear" w:color="auto" w:fill="FFFFFF"/>
                <w:lang w:val="uk-UA"/>
              </w:rPr>
              <w:t>1</w:t>
            </w:r>
            <w:r w:rsidR="00577C78" w:rsidRPr="00E16672">
              <w:rPr>
                <w:rFonts w:ascii="Times New Roman" w:hAnsi="Times New Roman"/>
                <w:color w:val="000000"/>
                <w:sz w:val="16"/>
                <w:szCs w:val="16"/>
                <w:shd w:val="clear" w:color="auto" w:fill="FFFFFF"/>
                <w:lang w:val="uk-UA"/>
              </w:rPr>
              <w:t>0</w:t>
            </w:r>
            <w:r w:rsidRPr="00E16672">
              <w:rPr>
                <w:rFonts w:ascii="Times New Roman" w:hAnsi="Times New Roman"/>
                <w:color w:val="000000"/>
                <w:sz w:val="16"/>
                <w:szCs w:val="16"/>
                <w:shd w:val="clear" w:color="auto" w:fill="FFFFFF"/>
                <w:lang w:val="uk-UA"/>
              </w:rPr>
              <w:t xml:space="preserve">.2. </w:t>
            </w:r>
            <w:r w:rsidRPr="00E16672">
              <w:rPr>
                <w:rFonts w:ascii="Times New Roman" w:hAnsi="Times New Roman"/>
                <w:color w:val="000000"/>
                <w:sz w:val="16"/>
                <w:szCs w:val="16"/>
                <w:shd w:val="clear" w:color="auto" w:fill="FFFFFF"/>
                <w:lang w:val="en-GB"/>
              </w:rPr>
              <w:t>In</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the</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execution</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of</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this</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Agreement</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each</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Party</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may</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act</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as</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a</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signer</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and</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recipient</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of</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electronic</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documents</w:t>
            </w:r>
            <w:r w:rsidRPr="00E16672">
              <w:rPr>
                <w:rFonts w:ascii="Times New Roman" w:hAnsi="Times New Roman"/>
                <w:color w:val="000000"/>
                <w:sz w:val="16"/>
                <w:szCs w:val="16"/>
                <w:shd w:val="clear" w:color="auto" w:fill="FFFFFF"/>
                <w:lang w:val="uk-UA"/>
              </w:rPr>
              <w:t>.</w:t>
            </w:r>
          </w:p>
          <w:p w14:paraId="4B85A162" w14:textId="77777777" w:rsidR="003A05A3" w:rsidRPr="00E16672" w:rsidRDefault="003A05A3" w:rsidP="00843027">
            <w:pPr>
              <w:tabs>
                <w:tab w:val="left" w:pos="287"/>
              </w:tabs>
              <w:snapToGrid w:val="0"/>
              <w:ind w:left="145" w:right="100"/>
              <w:rPr>
                <w:rFonts w:ascii="Times New Roman" w:hAnsi="Times New Roman"/>
                <w:color w:val="000000"/>
                <w:sz w:val="16"/>
                <w:szCs w:val="16"/>
                <w:shd w:val="clear" w:color="auto" w:fill="FFFFFF"/>
                <w:lang w:val="uk-UA"/>
              </w:rPr>
            </w:pPr>
          </w:p>
        </w:tc>
      </w:tr>
      <w:tr w:rsidR="003A05A3" w:rsidRPr="00F23413" w14:paraId="0677F084" w14:textId="77777777" w:rsidTr="00242F58">
        <w:trPr>
          <w:trHeight w:val="192"/>
        </w:trPr>
        <w:tc>
          <w:tcPr>
            <w:tcW w:w="5696" w:type="dxa"/>
            <w:gridSpan w:val="8"/>
            <w:shd w:val="clear" w:color="auto" w:fill="auto"/>
          </w:tcPr>
          <w:p w14:paraId="1FEECFB0" w14:textId="77777777" w:rsidR="003A05A3" w:rsidRPr="00E16672" w:rsidRDefault="003A05A3" w:rsidP="00577C78">
            <w:pPr>
              <w:pStyle w:val="33"/>
              <w:tabs>
                <w:tab w:val="left" w:pos="851"/>
              </w:tabs>
              <w:snapToGrid w:val="0"/>
              <w:ind w:left="175" w:right="138" w:firstLine="0"/>
              <w:rPr>
                <w:rFonts w:ascii="Times New Roman" w:hAnsi="Times New Roman" w:cs="Times New Roman"/>
                <w:color w:val="000000"/>
                <w:sz w:val="16"/>
                <w:szCs w:val="16"/>
                <w:lang w:val="uk-UA"/>
              </w:rPr>
            </w:pPr>
            <w:r w:rsidRPr="00E16672">
              <w:rPr>
                <w:rFonts w:ascii="Times New Roman" w:hAnsi="Times New Roman" w:cs="Times New Roman"/>
                <w:color w:val="000000"/>
                <w:sz w:val="16"/>
                <w:szCs w:val="16"/>
                <w:lang w:val="uk-UA"/>
              </w:rPr>
              <w:t>1</w:t>
            </w:r>
            <w:r w:rsidR="00577C78" w:rsidRPr="00E16672">
              <w:rPr>
                <w:rFonts w:ascii="Times New Roman" w:hAnsi="Times New Roman" w:cs="Times New Roman"/>
                <w:color w:val="000000"/>
                <w:sz w:val="16"/>
                <w:szCs w:val="16"/>
                <w:lang w:val="uk-UA"/>
              </w:rPr>
              <w:t>0</w:t>
            </w:r>
            <w:r w:rsidRPr="00E16672">
              <w:rPr>
                <w:rFonts w:ascii="Times New Roman" w:hAnsi="Times New Roman" w:cs="Times New Roman"/>
                <w:color w:val="000000"/>
                <w:sz w:val="16"/>
                <w:szCs w:val="16"/>
                <w:lang w:val="uk-UA"/>
              </w:rPr>
              <w:t>.3. Електронний документ - документ, інформація в якому зафіксована у вигляді електронних даних, включаючи обов'язкові реквізити документа, в тому числі кваліфікований електронний підпис.</w:t>
            </w:r>
          </w:p>
        </w:tc>
        <w:tc>
          <w:tcPr>
            <w:tcW w:w="5494" w:type="dxa"/>
            <w:gridSpan w:val="6"/>
            <w:shd w:val="clear" w:color="auto" w:fill="auto"/>
          </w:tcPr>
          <w:p w14:paraId="27A24E5C" w14:textId="77777777" w:rsidR="003A05A3" w:rsidRPr="00E16672" w:rsidRDefault="003A05A3" w:rsidP="00843027">
            <w:pPr>
              <w:tabs>
                <w:tab w:val="left" w:pos="287"/>
              </w:tabs>
              <w:snapToGrid w:val="0"/>
              <w:ind w:left="145" w:right="100" w:firstLine="0"/>
              <w:rPr>
                <w:rFonts w:ascii="Times New Roman" w:hAnsi="Times New Roman"/>
                <w:color w:val="000000"/>
                <w:sz w:val="16"/>
                <w:szCs w:val="16"/>
                <w:shd w:val="clear" w:color="auto" w:fill="FFFFFF"/>
                <w:lang w:val="en-GB"/>
              </w:rPr>
            </w:pPr>
            <w:r w:rsidRPr="00E16672">
              <w:rPr>
                <w:rFonts w:ascii="Times New Roman" w:hAnsi="Times New Roman"/>
                <w:color w:val="000000"/>
                <w:sz w:val="16"/>
                <w:szCs w:val="16"/>
                <w:shd w:val="clear" w:color="auto" w:fill="FFFFFF"/>
                <w:lang w:val="uk-UA"/>
              </w:rPr>
              <w:t>1</w:t>
            </w:r>
            <w:r w:rsidR="00577C78" w:rsidRPr="00E16672">
              <w:rPr>
                <w:rFonts w:ascii="Times New Roman" w:hAnsi="Times New Roman"/>
                <w:color w:val="000000"/>
                <w:sz w:val="16"/>
                <w:szCs w:val="16"/>
                <w:shd w:val="clear" w:color="auto" w:fill="FFFFFF"/>
                <w:lang w:val="uk-UA"/>
              </w:rPr>
              <w:t>0</w:t>
            </w:r>
            <w:r w:rsidRPr="00E16672">
              <w:rPr>
                <w:rFonts w:ascii="Times New Roman" w:hAnsi="Times New Roman"/>
                <w:color w:val="000000"/>
                <w:sz w:val="16"/>
                <w:szCs w:val="16"/>
                <w:shd w:val="clear" w:color="auto" w:fill="FFFFFF"/>
                <w:lang w:val="uk-UA"/>
              </w:rPr>
              <w:t xml:space="preserve">.3. </w:t>
            </w:r>
            <w:r w:rsidRPr="00E16672">
              <w:rPr>
                <w:rFonts w:ascii="Times New Roman" w:hAnsi="Times New Roman"/>
                <w:color w:val="000000"/>
                <w:sz w:val="16"/>
                <w:szCs w:val="16"/>
                <w:shd w:val="clear" w:color="auto" w:fill="FFFFFF"/>
                <w:lang w:val="en-GB"/>
              </w:rPr>
              <w:t>Electronic</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document</w:t>
            </w:r>
            <w:r w:rsidRPr="00E16672">
              <w:rPr>
                <w:rFonts w:ascii="Times New Roman" w:hAnsi="Times New Roman"/>
                <w:color w:val="000000"/>
                <w:sz w:val="16"/>
                <w:szCs w:val="16"/>
                <w:shd w:val="clear" w:color="auto" w:fill="FFFFFF"/>
                <w:lang w:val="uk-UA"/>
              </w:rPr>
              <w:t xml:space="preserve"> - </w:t>
            </w:r>
            <w:r w:rsidRPr="00E16672">
              <w:rPr>
                <w:rFonts w:ascii="Times New Roman" w:hAnsi="Times New Roman"/>
                <w:color w:val="000000"/>
                <w:sz w:val="16"/>
                <w:szCs w:val="16"/>
                <w:shd w:val="clear" w:color="auto" w:fill="FFFFFF"/>
                <w:lang w:val="en-GB"/>
              </w:rPr>
              <w:t>a</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document</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in</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which</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the</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information</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recorded</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in</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the</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form</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of</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electronic</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data</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including</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the</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required</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 xml:space="preserve">details of the document, including </w:t>
            </w:r>
            <w:r w:rsidRPr="00F23413">
              <w:rPr>
                <w:rStyle w:val="shorttext"/>
                <w:rFonts w:ascii="Times New Roman" w:hAnsi="Times New Roman"/>
                <w:sz w:val="16"/>
                <w:szCs w:val="16"/>
                <w:lang w:val="en-US"/>
              </w:rPr>
              <w:t>qualified</w:t>
            </w:r>
            <w:r w:rsidRPr="00E16672">
              <w:rPr>
                <w:rFonts w:ascii="Times New Roman" w:hAnsi="Times New Roman"/>
                <w:color w:val="000000"/>
                <w:sz w:val="16"/>
                <w:szCs w:val="16"/>
                <w:shd w:val="clear" w:color="auto" w:fill="FFFFFF"/>
                <w:lang w:val="en-GB"/>
              </w:rPr>
              <w:t xml:space="preserve"> electronic signature.</w:t>
            </w:r>
          </w:p>
          <w:p w14:paraId="18A4D479" w14:textId="77777777" w:rsidR="003A05A3" w:rsidRPr="00E16672" w:rsidRDefault="003A05A3" w:rsidP="00843027">
            <w:pPr>
              <w:tabs>
                <w:tab w:val="left" w:pos="287"/>
              </w:tabs>
              <w:snapToGrid w:val="0"/>
              <w:ind w:left="145" w:right="100"/>
              <w:rPr>
                <w:rFonts w:ascii="Times New Roman" w:hAnsi="Times New Roman"/>
                <w:color w:val="000000"/>
                <w:sz w:val="16"/>
                <w:szCs w:val="16"/>
                <w:shd w:val="clear" w:color="auto" w:fill="FFFFFF"/>
                <w:lang w:val="en-GB"/>
              </w:rPr>
            </w:pPr>
          </w:p>
        </w:tc>
      </w:tr>
      <w:tr w:rsidR="003A05A3" w:rsidRPr="00F23413" w14:paraId="71784406" w14:textId="77777777" w:rsidTr="00242F58">
        <w:trPr>
          <w:trHeight w:val="192"/>
        </w:trPr>
        <w:tc>
          <w:tcPr>
            <w:tcW w:w="5696" w:type="dxa"/>
            <w:gridSpan w:val="8"/>
            <w:shd w:val="clear" w:color="auto" w:fill="auto"/>
          </w:tcPr>
          <w:p w14:paraId="4252A12A" w14:textId="77777777" w:rsidR="003A05A3" w:rsidRPr="00E16672" w:rsidRDefault="003A05A3" w:rsidP="00843027">
            <w:pPr>
              <w:pStyle w:val="33"/>
              <w:tabs>
                <w:tab w:val="left" w:pos="851"/>
              </w:tabs>
              <w:snapToGrid w:val="0"/>
              <w:ind w:left="175" w:right="138" w:firstLine="0"/>
              <w:rPr>
                <w:rFonts w:ascii="Times New Roman" w:hAnsi="Times New Roman" w:cs="Times New Roman"/>
                <w:color w:val="000000"/>
                <w:sz w:val="16"/>
                <w:szCs w:val="16"/>
                <w:lang w:val="uk-UA"/>
              </w:rPr>
            </w:pPr>
            <w:r w:rsidRPr="00E16672">
              <w:rPr>
                <w:rFonts w:ascii="Times New Roman" w:hAnsi="Times New Roman" w:cs="Times New Roman"/>
                <w:color w:val="000000"/>
                <w:sz w:val="16"/>
                <w:szCs w:val="16"/>
                <w:lang w:val="uk-UA"/>
              </w:rPr>
              <w:t>1</w:t>
            </w:r>
            <w:r w:rsidR="00577C78" w:rsidRPr="00E16672">
              <w:rPr>
                <w:rFonts w:ascii="Times New Roman" w:hAnsi="Times New Roman" w:cs="Times New Roman"/>
                <w:color w:val="000000"/>
                <w:sz w:val="16"/>
                <w:szCs w:val="16"/>
                <w:lang w:val="uk-UA"/>
              </w:rPr>
              <w:t>0</w:t>
            </w:r>
            <w:r w:rsidRPr="00E16672">
              <w:rPr>
                <w:rFonts w:ascii="Times New Roman" w:hAnsi="Times New Roman" w:cs="Times New Roman"/>
                <w:color w:val="000000"/>
                <w:sz w:val="16"/>
                <w:szCs w:val="16"/>
                <w:lang w:val="uk-UA"/>
              </w:rPr>
              <w:t xml:space="preserve">.4. </w:t>
            </w:r>
            <w:r w:rsidRPr="00E16672">
              <w:rPr>
                <w:rFonts w:ascii="Times New Roman" w:hAnsi="Times New Roman" w:cs="Times New Roman"/>
                <w:sz w:val="16"/>
                <w:lang w:val="uk-UA"/>
              </w:rPr>
              <w:t>Кваліфікований</w:t>
            </w:r>
            <w:r w:rsidRPr="00E16672" w:rsidDel="00047AE1">
              <w:rPr>
                <w:rFonts w:ascii="Times New Roman" w:hAnsi="Times New Roman" w:cs="Times New Roman"/>
                <w:sz w:val="16"/>
                <w:lang w:val="uk-UA"/>
              </w:rPr>
              <w:t xml:space="preserve"> </w:t>
            </w:r>
            <w:r w:rsidRPr="00E16672">
              <w:rPr>
                <w:rFonts w:ascii="Times New Roman" w:hAnsi="Times New Roman" w:cs="Times New Roman"/>
                <w:color w:val="000000"/>
                <w:sz w:val="16"/>
                <w:szCs w:val="16"/>
                <w:lang w:val="uk-UA"/>
              </w:rPr>
              <w:t xml:space="preserve">електронний підпис -  </w:t>
            </w:r>
            <w:r w:rsidRPr="00E16672">
              <w:rPr>
                <w:rStyle w:val="rvts0"/>
                <w:rFonts w:ascii="Times New Roman" w:hAnsi="Times New Roman" w:cs="Times New Roman"/>
                <w:sz w:val="16"/>
                <w:szCs w:val="16"/>
                <w:lang w:val="uk-UA"/>
              </w:rPr>
              <w:t xml:space="preserve">удосконалений електронний підпис, який створюється з використанням засобу кваліфікованого електронного підпису, а саме </w:t>
            </w:r>
            <w:r w:rsidRPr="00E16672">
              <w:rPr>
                <w:rFonts w:ascii="Times New Roman" w:hAnsi="Times New Roman" w:cs="Times New Roman"/>
                <w:sz w:val="16"/>
                <w:szCs w:val="16"/>
                <w:lang w:val="uk-UA"/>
              </w:rPr>
              <w:t>за допомогою системи криптографічного захисту інформації Акредитованого Центру Сертифікації ключів,</w:t>
            </w:r>
            <w:r w:rsidRPr="00E16672">
              <w:rPr>
                <w:rStyle w:val="rvts0"/>
                <w:rFonts w:ascii="Times New Roman" w:hAnsi="Times New Roman" w:cs="Times New Roman"/>
                <w:sz w:val="16"/>
                <w:szCs w:val="16"/>
                <w:lang w:val="uk-UA"/>
              </w:rPr>
              <w:t xml:space="preserve"> і базується на кваліфікованому сертифікаті відкритого ключа</w:t>
            </w:r>
            <w:r w:rsidRPr="00E16672">
              <w:rPr>
                <w:rFonts w:ascii="Times New Roman" w:hAnsi="Times New Roman" w:cs="Times New Roman"/>
                <w:sz w:val="16"/>
                <w:szCs w:val="16"/>
                <w:lang w:val="uk-UA"/>
              </w:rPr>
              <w:t>. Кваліфікований</w:t>
            </w:r>
            <w:r w:rsidRPr="00E16672" w:rsidDel="00047AE1">
              <w:rPr>
                <w:rFonts w:ascii="Times New Roman" w:hAnsi="Times New Roman" w:cs="Times New Roman"/>
                <w:sz w:val="16"/>
                <w:szCs w:val="16"/>
                <w:lang w:val="uk-UA"/>
              </w:rPr>
              <w:t xml:space="preserve"> </w:t>
            </w:r>
            <w:r w:rsidRPr="00E16672">
              <w:rPr>
                <w:rFonts w:ascii="Times New Roman" w:hAnsi="Times New Roman" w:cs="Times New Roman"/>
                <w:sz w:val="16"/>
                <w:szCs w:val="16"/>
                <w:lang w:val="uk-UA"/>
              </w:rPr>
              <w:t xml:space="preserve">електронний підпис є обов'язковим </w:t>
            </w:r>
            <w:r w:rsidRPr="00E16672">
              <w:rPr>
                <w:rFonts w:ascii="Times New Roman" w:hAnsi="Times New Roman" w:cs="Times New Roman"/>
                <w:color w:val="000000"/>
                <w:sz w:val="16"/>
                <w:szCs w:val="16"/>
                <w:lang w:val="uk-UA"/>
              </w:rPr>
              <w:t xml:space="preserve">реквізитом електронного документа, який використовується для ідентифікації </w:t>
            </w:r>
            <w:r w:rsidR="00F11330" w:rsidRPr="00E16672">
              <w:rPr>
                <w:rFonts w:ascii="Times New Roman" w:hAnsi="Times New Roman" w:cs="Times New Roman"/>
                <w:color w:val="000000"/>
                <w:sz w:val="16"/>
                <w:szCs w:val="16"/>
                <w:lang w:val="uk-UA"/>
              </w:rPr>
              <w:t>адресатом</w:t>
            </w:r>
            <w:r w:rsidR="00F11330" w:rsidRPr="00E16672" w:rsidDel="00F11330">
              <w:rPr>
                <w:rFonts w:ascii="Times New Roman" w:hAnsi="Times New Roman" w:cs="Times New Roman"/>
                <w:color w:val="000000"/>
                <w:sz w:val="16"/>
                <w:szCs w:val="16"/>
                <w:lang w:val="uk-UA"/>
              </w:rPr>
              <w:t xml:space="preserve"> </w:t>
            </w:r>
            <w:proofErr w:type="spellStart"/>
            <w:r w:rsidRPr="00E16672">
              <w:rPr>
                <w:rFonts w:ascii="Times New Roman" w:hAnsi="Times New Roman" w:cs="Times New Roman"/>
                <w:color w:val="000000"/>
                <w:sz w:val="16"/>
                <w:szCs w:val="16"/>
                <w:lang w:val="uk-UA"/>
              </w:rPr>
              <w:t>підписувача</w:t>
            </w:r>
            <w:proofErr w:type="spellEnd"/>
            <w:r w:rsidRPr="00E16672">
              <w:rPr>
                <w:rFonts w:ascii="Times New Roman" w:hAnsi="Times New Roman" w:cs="Times New Roman"/>
                <w:color w:val="000000"/>
                <w:sz w:val="16"/>
                <w:szCs w:val="16"/>
                <w:lang w:val="uk-UA"/>
              </w:rPr>
              <w:t xml:space="preserve"> електронного </w:t>
            </w:r>
            <w:r w:rsidRPr="00E16672">
              <w:rPr>
                <w:rFonts w:ascii="Times New Roman" w:hAnsi="Times New Roman" w:cs="Times New Roman"/>
                <w:color w:val="000000"/>
                <w:sz w:val="16"/>
                <w:szCs w:val="16"/>
                <w:lang w:val="uk-UA"/>
              </w:rPr>
              <w:lastRenderedPageBreak/>
              <w:t>документа та сформований за допомогою системи криптографічного захисту інформації Акредитованого Центру Сертифікації ключів.</w:t>
            </w:r>
          </w:p>
          <w:p w14:paraId="76FD9E59" w14:textId="77777777" w:rsidR="003A05A3" w:rsidRPr="00E16672" w:rsidRDefault="003A05A3" w:rsidP="00843027">
            <w:pPr>
              <w:pStyle w:val="33"/>
              <w:tabs>
                <w:tab w:val="left" w:pos="851"/>
              </w:tabs>
              <w:ind w:left="175" w:right="138"/>
              <w:rPr>
                <w:rFonts w:ascii="Times New Roman" w:hAnsi="Times New Roman" w:cs="Times New Roman"/>
                <w:color w:val="000000"/>
                <w:sz w:val="10"/>
                <w:szCs w:val="10"/>
                <w:lang w:val="uk-UA"/>
              </w:rPr>
            </w:pPr>
          </w:p>
        </w:tc>
        <w:tc>
          <w:tcPr>
            <w:tcW w:w="5494" w:type="dxa"/>
            <w:gridSpan w:val="6"/>
            <w:shd w:val="clear" w:color="auto" w:fill="auto"/>
          </w:tcPr>
          <w:p w14:paraId="7AB0B138" w14:textId="77777777" w:rsidR="003A05A3" w:rsidRPr="00E16672" w:rsidRDefault="003A05A3" w:rsidP="00843027">
            <w:pPr>
              <w:tabs>
                <w:tab w:val="left" w:pos="287"/>
              </w:tabs>
              <w:snapToGrid w:val="0"/>
              <w:ind w:left="145" w:right="100" w:firstLine="0"/>
              <w:rPr>
                <w:rFonts w:ascii="Times New Roman" w:hAnsi="Times New Roman"/>
                <w:color w:val="000000"/>
                <w:sz w:val="16"/>
                <w:szCs w:val="16"/>
                <w:shd w:val="clear" w:color="auto" w:fill="FFFFFF"/>
                <w:lang w:val="en-GB"/>
              </w:rPr>
            </w:pPr>
            <w:r w:rsidRPr="00E16672">
              <w:rPr>
                <w:rFonts w:ascii="Times New Roman" w:hAnsi="Times New Roman"/>
                <w:color w:val="000000"/>
                <w:sz w:val="16"/>
                <w:szCs w:val="16"/>
                <w:shd w:val="clear" w:color="auto" w:fill="FFFFFF"/>
                <w:lang w:val="uk-UA"/>
              </w:rPr>
              <w:lastRenderedPageBreak/>
              <w:t>1</w:t>
            </w:r>
            <w:r w:rsidR="00577C78" w:rsidRPr="00E16672">
              <w:rPr>
                <w:rFonts w:ascii="Times New Roman" w:hAnsi="Times New Roman"/>
                <w:color w:val="000000"/>
                <w:sz w:val="16"/>
                <w:szCs w:val="16"/>
                <w:shd w:val="clear" w:color="auto" w:fill="FFFFFF"/>
                <w:lang w:val="uk-UA"/>
              </w:rPr>
              <w:t>0</w:t>
            </w:r>
            <w:r w:rsidRPr="00E16672">
              <w:rPr>
                <w:rFonts w:ascii="Times New Roman" w:hAnsi="Times New Roman"/>
                <w:color w:val="000000"/>
                <w:sz w:val="16"/>
                <w:szCs w:val="16"/>
                <w:shd w:val="clear" w:color="auto" w:fill="FFFFFF"/>
                <w:lang w:val="uk-UA"/>
              </w:rPr>
              <w:t xml:space="preserve">.4. </w:t>
            </w:r>
            <w:r w:rsidRPr="00F23413">
              <w:rPr>
                <w:rStyle w:val="shorttext"/>
                <w:rFonts w:ascii="Times New Roman" w:hAnsi="Times New Roman"/>
                <w:sz w:val="16"/>
                <w:szCs w:val="16"/>
                <w:lang w:val="en-US"/>
              </w:rPr>
              <w:t>Qualified</w:t>
            </w:r>
            <w:r w:rsidRPr="00E16672">
              <w:rPr>
                <w:rStyle w:val="shorttext"/>
                <w:rFonts w:ascii="Times New Roman" w:hAnsi="Times New Roman"/>
                <w:sz w:val="16"/>
                <w:szCs w:val="16"/>
                <w:lang w:val="uk-UA"/>
              </w:rPr>
              <w:t xml:space="preserve"> </w:t>
            </w:r>
            <w:proofErr w:type="gramStart"/>
            <w:r w:rsidRPr="00E16672">
              <w:rPr>
                <w:rFonts w:ascii="Times New Roman" w:hAnsi="Times New Roman"/>
                <w:color w:val="000000"/>
                <w:sz w:val="16"/>
                <w:szCs w:val="16"/>
                <w:shd w:val="clear" w:color="auto" w:fill="FFFFFF"/>
                <w:lang w:val="en-US"/>
              </w:rPr>
              <w:t>e</w:t>
            </w:r>
            <w:proofErr w:type="spellStart"/>
            <w:r w:rsidRPr="00E16672">
              <w:rPr>
                <w:rFonts w:ascii="Times New Roman" w:hAnsi="Times New Roman"/>
                <w:color w:val="000000"/>
                <w:sz w:val="16"/>
                <w:szCs w:val="16"/>
                <w:shd w:val="clear" w:color="auto" w:fill="FFFFFF"/>
                <w:lang w:val="en-GB"/>
              </w:rPr>
              <w:t>lectronic</w:t>
            </w:r>
            <w:proofErr w:type="spellEnd"/>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signature</w:t>
            </w:r>
            <w:proofErr w:type="gramEnd"/>
            <w:r w:rsidRPr="00E16672">
              <w:rPr>
                <w:rFonts w:ascii="Times New Roman" w:hAnsi="Times New Roman"/>
                <w:color w:val="000000"/>
                <w:sz w:val="16"/>
                <w:szCs w:val="16"/>
                <w:shd w:val="clear" w:color="auto" w:fill="FFFFFF"/>
                <w:lang w:val="uk-UA"/>
              </w:rPr>
              <w:t xml:space="preserve"> – </w:t>
            </w:r>
            <w:r w:rsidRPr="00F23413">
              <w:rPr>
                <w:rFonts w:ascii="Times New Roman" w:hAnsi="Times New Roman"/>
                <w:sz w:val="16"/>
                <w:szCs w:val="16"/>
                <w:lang w:val="en-US"/>
              </w:rPr>
              <w:t>an</w:t>
            </w:r>
            <w:r w:rsidRPr="00E16672">
              <w:rPr>
                <w:rFonts w:ascii="Times New Roman" w:hAnsi="Times New Roman"/>
                <w:sz w:val="16"/>
                <w:szCs w:val="16"/>
                <w:lang w:val="uk-UA"/>
              </w:rPr>
              <w:t xml:space="preserve"> </w:t>
            </w:r>
            <w:r w:rsidRPr="00F23413">
              <w:rPr>
                <w:rFonts w:ascii="Times New Roman" w:hAnsi="Times New Roman"/>
                <w:sz w:val="16"/>
                <w:szCs w:val="16"/>
                <w:lang w:val="en-US"/>
              </w:rPr>
              <w:t>advanced</w:t>
            </w:r>
            <w:r w:rsidRPr="00E16672">
              <w:rPr>
                <w:rFonts w:ascii="Times New Roman" w:hAnsi="Times New Roman"/>
                <w:sz w:val="16"/>
                <w:szCs w:val="16"/>
                <w:lang w:val="uk-UA"/>
              </w:rPr>
              <w:t xml:space="preserve"> </w:t>
            </w:r>
            <w:r w:rsidRPr="00F23413">
              <w:rPr>
                <w:rFonts w:ascii="Times New Roman" w:hAnsi="Times New Roman"/>
                <w:sz w:val="16"/>
                <w:szCs w:val="16"/>
                <w:lang w:val="en-US"/>
              </w:rPr>
              <w:t>electronic</w:t>
            </w:r>
            <w:r w:rsidRPr="00E16672">
              <w:rPr>
                <w:rFonts w:ascii="Times New Roman" w:hAnsi="Times New Roman"/>
                <w:sz w:val="16"/>
                <w:szCs w:val="16"/>
                <w:lang w:val="uk-UA"/>
              </w:rPr>
              <w:t xml:space="preserve"> </w:t>
            </w:r>
            <w:r w:rsidRPr="00F23413">
              <w:rPr>
                <w:rFonts w:ascii="Times New Roman" w:hAnsi="Times New Roman"/>
                <w:sz w:val="16"/>
                <w:szCs w:val="16"/>
                <w:lang w:val="en-US"/>
              </w:rPr>
              <w:t>signature</w:t>
            </w:r>
            <w:r w:rsidRPr="00E16672">
              <w:rPr>
                <w:rFonts w:ascii="Times New Roman" w:hAnsi="Times New Roman"/>
                <w:sz w:val="16"/>
                <w:szCs w:val="16"/>
                <w:lang w:val="uk-UA"/>
              </w:rPr>
              <w:t xml:space="preserve"> </w:t>
            </w:r>
            <w:r w:rsidRPr="00F23413">
              <w:rPr>
                <w:rFonts w:ascii="Times New Roman" w:hAnsi="Times New Roman"/>
                <w:sz w:val="16"/>
                <w:szCs w:val="16"/>
                <w:lang w:val="en-US"/>
              </w:rPr>
              <w:t>created</w:t>
            </w:r>
            <w:r w:rsidRPr="00E16672">
              <w:rPr>
                <w:rFonts w:ascii="Times New Roman" w:hAnsi="Times New Roman"/>
                <w:sz w:val="16"/>
                <w:szCs w:val="16"/>
                <w:lang w:val="uk-UA"/>
              </w:rPr>
              <w:t xml:space="preserve"> </w:t>
            </w:r>
            <w:r w:rsidRPr="00F23413">
              <w:rPr>
                <w:rFonts w:ascii="Times New Roman" w:hAnsi="Times New Roman"/>
                <w:sz w:val="16"/>
                <w:szCs w:val="16"/>
                <w:lang w:val="en-US"/>
              </w:rPr>
              <w:t>using</w:t>
            </w:r>
            <w:r w:rsidRPr="00E16672">
              <w:rPr>
                <w:rFonts w:ascii="Times New Roman" w:hAnsi="Times New Roman"/>
                <w:sz w:val="16"/>
                <w:szCs w:val="16"/>
                <w:lang w:val="uk-UA"/>
              </w:rPr>
              <w:t xml:space="preserve"> </w:t>
            </w:r>
            <w:r w:rsidRPr="00F23413">
              <w:rPr>
                <w:rFonts w:ascii="Times New Roman" w:hAnsi="Times New Roman"/>
                <w:sz w:val="16"/>
                <w:szCs w:val="16"/>
                <w:lang w:val="en-US"/>
              </w:rPr>
              <w:t>a</w:t>
            </w:r>
            <w:r w:rsidRPr="00E16672">
              <w:rPr>
                <w:rFonts w:ascii="Times New Roman" w:hAnsi="Times New Roman"/>
                <w:sz w:val="16"/>
                <w:szCs w:val="16"/>
                <w:lang w:val="uk-UA"/>
              </w:rPr>
              <w:t xml:space="preserve"> </w:t>
            </w:r>
            <w:r w:rsidRPr="00F23413">
              <w:rPr>
                <w:rFonts w:ascii="Times New Roman" w:hAnsi="Times New Roman"/>
                <w:sz w:val="16"/>
                <w:szCs w:val="16"/>
                <w:lang w:val="en-US"/>
              </w:rPr>
              <w:t>qualified</w:t>
            </w:r>
            <w:r w:rsidRPr="00E16672">
              <w:rPr>
                <w:rFonts w:ascii="Times New Roman" w:hAnsi="Times New Roman"/>
                <w:sz w:val="16"/>
                <w:szCs w:val="16"/>
                <w:lang w:val="uk-UA"/>
              </w:rPr>
              <w:t xml:space="preserve"> </w:t>
            </w:r>
            <w:r w:rsidRPr="00F23413">
              <w:rPr>
                <w:rFonts w:ascii="Times New Roman" w:hAnsi="Times New Roman"/>
                <w:sz w:val="16"/>
                <w:szCs w:val="16"/>
                <w:lang w:val="en-US"/>
              </w:rPr>
              <w:t>electronic</w:t>
            </w:r>
            <w:r w:rsidRPr="00E16672">
              <w:rPr>
                <w:rFonts w:ascii="Times New Roman" w:hAnsi="Times New Roman"/>
                <w:sz w:val="16"/>
                <w:szCs w:val="16"/>
                <w:lang w:val="uk-UA"/>
              </w:rPr>
              <w:t xml:space="preserve"> </w:t>
            </w:r>
            <w:r w:rsidRPr="00F23413">
              <w:rPr>
                <w:rFonts w:ascii="Times New Roman" w:hAnsi="Times New Roman"/>
                <w:sz w:val="16"/>
                <w:szCs w:val="16"/>
                <w:lang w:val="en-US"/>
              </w:rPr>
              <w:t>signature tool, namely through the cryptographic information security system of the Accredited Key Certification Center, and is based on a qualified public key certificate. Qualified electronic signature is mandatory</w:t>
            </w:r>
            <w:r w:rsidRPr="00E16672">
              <w:rPr>
                <w:rFonts w:ascii="Times New Roman" w:hAnsi="Times New Roman"/>
                <w:color w:val="000000"/>
                <w:sz w:val="16"/>
                <w:szCs w:val="16"/>
                <w:shd w:val="clear" w:color="auto" w:fill="FFFFFF"/>
                <w:lang w:val="en-GB"/>
              </w:rPr>
              <w:t xml:space="preserve"> a required requisite of electronic document used to identify the recipient of an electronic document signer and is formed by means of cryptographic protection information system of Certification Authority.</w:t>
            </w:r>
          </w:p>
          <w:p w14:paraId="678B98F8" w14:textId="77777777" w:rsidR="003A05A3" w:rsidRPr="00E16672" w:rsidRDefault="003A05A3" w:rsidP="00843027">
            <w:pPr>
              <w:tabs>
                <w:tab w:val="left" w:pos="287"/>
              </w:tabs>
              <w:snapToGrid w:val="0"/>
              <w:ind w:left="145" w:right="100"/>
              <w:rPr>
                <w:rFonts w:ascii="Times New Roman" w:hAnsi="Times New Roman"/>
                <w:b/>
                <w:bCs/>
                <w:color w:val="000000"/>
                <w:sz w:val="16"/>
                <w:szCs w:val="16"/>
                <w:lang w:val="en-GB"/>
              </w:rPr>
            </w:pPr>
          </w:p>
        </w:tc>
      </w:tr>
      <w:tr w:rsidR="003A05A3" w:rsidRPr="00F23413" w14:paraId="32DDCFA5" w14:textId="77777777" w:rsidTr="00242F58">
        <w:trPr>
          <w:trHeight w:val="192"/>
        </w:trPr>
        <w:tc>
          <w:tcPr>
            <w:tcW w:w="5696" w:type="dxa"/>
            <w:gridSpan w:val="8"/>
            <w:shd w:val="clear" w:color="auto" w:fill="auto"/>
          </w:tcPr>
          <w:p w14:paraId="2DD68388" w14:textId="77777777" w:rsidR="003A05A3" w:rsidRPr="00E16672" w:rsidRDefault="003A05A3" w:rsidP="00843027">
            <w:pPr>
              <w:pStyle w:val="33"/>
              <w:tabs>
                <w:tab w:val="left" w:pos="851"/>
              </w:tabs>
              <w:snapToGrid w:val="0"/>
              <w:ind w:left="175" w:right="138" w:firstLine="0"/>
              <w:rPr>
                <w:rFonts w:ascii="Times New Roman" w:hAnsi="Times New Roman" w:cs="Times New Roman"/>
                <w:color w:val="000000"/>
                <w:sz w:val="16"/>
                <w:szCs w:val="16"/>
                <w:lang w:val="uk-UA"/>
              </w:rPr>
            </w:pPr>
            <w:r w:rsidRPr="00E16672">
              <w:rPr>
                <w:rFonts w:ascii="Times New Roman" w:hAnsi="Times New Roman" w:cs="Times New Roman"/>
                <w:color w:val="000000"/>
                <w:sz w:val="16"/>
                <w:szCs w:val="16"/>
                <w:lang w:val="uk-UA"/>
              </w:rPr>
              <w:lastRenderedPageBreak/>
              <w:t>1</w:t>
            </w:r>
            <w:r w:rsidR="00577C78" w:rsidRPr="00E16672">
              <w:rPr>
                <w:rFonts w:ascii="Times New Roman" w:hAnsi="Times New Roman" w:cs="Times New Roman"/>
                <w:color w:val="000000"/>
                <w:sz w:val="16"/>
                <w:szCs w:val="16"/>
                <w:lang w:val="uk-UA"/>
              </w:rPr>
              <w:t>0</w:t>
            </w:r>
            <w:r w:rsidRPr="00E16672">
              <w:rPr>
                <w:rFonts w:ascii="Times New Roman" w:hAnsi="Times New Roman" w:cs="Times New Roman"/>
                <w:color w:val="000000"/>
                <w:sz w:val="16"/>
                <w:szCs w:val="16"/>
                <w:lang w:val="uk-UA"/>
              </w:rPr>
              <w:t xml:space="preserve">.5. </w:t>
            </w:r>
            <w:r w:rsidRPr="00E16672">
              <w:rPr>
                <w:rFonts w:ascii="Times New Roman" w:hAnsi="Times New Roman" w:cs="Times New Roman"/>
                <w:sz w:val="16"/>
                <w:szCs w:val="16"/>
                <w:lang w:val="uk-UA"/>
              </w:rPr>
              <w:t>Кваліфікований</w:t>
            </w:r>
            <w:r w:rsidRPr="00E16672" w:rsidDel="00047AE1">
              <w:rPr>
                <w:rFonts w:ascii="Times New Roman" w:hAnsi="Times New Roman" w:cs="Times New Roman"/>
                <w:sz w:val="16"/>
                <w:szCs w:val="16"/>
                <w:lang w:val="uk-UA"/>
              </w:rPr>
              <w:t xml:space="preserve"> </w:t>
            </w:r>
            <w:r w:rsidRPr="00E16672">
              <w:rPr>
                <w:rFonts w:ascii="Times New Roman" w:hAnsi="Times New Roman" w:cs="Times New Roman"/>
                <w:color w:val="000000"/>
                <w:sz w:val="16"/>
                <w:szCs w:val="16"/>
                <w:lang w:val="uk-UA"/>
              </w:rPr>
              <w:t>електронний</w:t>
            </w:r>
            <w:r w:rsidR="00D57400" w:rsidRPr="00E16672">
              <w:rPr>
                <w:rFonts w:ascii="Times New Roman" w:hAnsi="Times New Roman" w:cs="Times New Roman"/>
                <w:color w:val="000000"/>
                <w:sz w:val="16"/>
                <w:szCs w:val="16"/>
                <w:lang w:val="uk-UA"/>
              </w:rPr>
              <w:t xml:space="preserve"> </w:t>
            </w:r>
            <w:r w:rsidRPr="00E16672">
              <w:rPr>
                <w:rFonts w:ascii="Times New Roman" w:hAnsi="Times New Roman" w:cs="Times New Roman"/>
                <w:color w:val="000000"/>
                <w:sz w:val="16"/>
                <w:szCs w:val="16"/>
                <w:lang w:val="uk-UA"/>
              </w:rPr>
              <w:t>підпис за правовим статусом прирівнюється до власноручного підпису (печатки) особи, яка його вчинила</w:t>
            </w:r>
            <w:r w:rsidRPr="00E16672">
              <w:rPr>
                <w:rFonts w:ascii="Times New Roman" w:hAnsi="Times New Roman" w:cs="Times New Roman"/>
                <w:sz w:val="16"/>
                <w:lang w:val="uk-UA"/>
              </w:rPr>
              <w:t>, згідно законодавства та цього Договору</w:t>
            </w:r>
            <w:r w:rsidRPr="00E16672">
              <w:rPr>
                <w:rFonts w:ascii="Times New Roman" w:hAnsi="Times New Roman" w:cs="Times New Roman"/>
                <w:color w:val="000000"/>
                <w:sz w:val="16"/>
                <w:szCs w:val="16"/>
                <w:lang w:val="uk-UA"/>
              </w:rPr>
              <w:t>. Юридична сила електронного документа не може бути заперечена виключно через те, що він має електронну форму.</w:t>
            </w:r>
          </w:p>
          <w:p w14:paraId="1980BADF" w14:textId="77777777" w:rsidR="003A05A3" w:rsidRPr="00E16672" w:rsidRDefault="003A05A3" w:rsidP="00843027">
            <w:pPr>
              <w:pStyle w:val="33"/>
              <w:tabs>
                <w:tab w:val="left" w:pos="851"/>
              </w:tabs>
              <w:snapToGrid w:val="0"/>
              <w:ind w:left="175" w:right="138"/>
              <w:rPr>
                <w:rFonts w:ascii="Times New Roman" w:hAnsi="Times New Roman" w:cs="Times New Roman"/>
                <w:color w:val="000000"/>
                <w:sz w:val="16"/>
                <w:szCs w:val="16"/>
                <w:lang w:val="uk-UA"/>
              </w:rPr>
            </w:pPr>
          </w:p>
        </w:tc>
        <w:tc>
          <w:tcPr>
            <w:tcW w:w="5494" w:type="dxa"/>
            <w:gridSpan w:val="6"/>
            <w:shd w:val="clear" w:color="auto" w:fill="auto"/>
          </w:tcPr>
          <w:p w14:paraId="7A8DB4E8" w14:textId="77777777" w:rsidR="003A05A3" w:rsidRPr="00E16672" w:rsidRDefault="003A05A3" w:rsidP="00843027">
            <w:pPr>
              <w:tabs>
                <w:tab w:val="left" w:pos="287"/>
              </w:tabs>
              <w:snapToGrid w:val="0"/>
              <w:ind w:left="145" w:right="100" w:firstLine="0"/>
              <w:rPr>
                <w:rFonts w:ascii="Times New Roman" w:hAnsi="Times New Roman"/>
                <w:color w:val="000000"/>
                <w:sz w:val="16"/>
                <w:szCs w:val="16"/>
                <w:shd w:val="clear" w:color="auto" w:fill="FFFFFF"/>
                <w:lang w:val="en-GB"/>
              </w:rPr>
            </w:pPr>
            <w:r w:rsidRPr="00E16672">
              <w:rPr>
                <w:rFonts w:ascii="Times New Roman" w:hAnsi="Times New Roman"/>
                <w:color w:val="000000"/>
                <w:sz w:val="16"/>
                <w:szCs w:val="16"/>
                <w:shd w:val="clear" w:color="auto" w:fill="FFFFFF"/>
                <w:lang w:val="uk-UA"/>
              </w:rPr>
              <w:t>1</w:t>
            </w:r>
            <w:r w:rsidR="00577C78" w:rsidRPr="00E16672">
              <w:rPr>
                <w:rFonts w:ascii="Times New Roman" w:hAnsi="Times New Roman"/>
                <w:color w:val="000000"/>
                <w:sz w:val="16"/>
                <w:szCs w:val="16"/>
                <w:shd w:val="clear" w:color="auto" w:fill="FFFFFF"/>
                <w:lang w:val="uk-UA"/>
              </w:rPr>
              <w:t>0</w:t>
            </w:r>
            <w:r w:rsidRPr="00E16672">
              <w:rPr>
                <w:rFonts w:ascii="Times New Roman" w:hAnsi="Times New Roman"/>
                <w:color w:val="000000"/>
                <w:sz w:val="16"/>
                <w:szCs w:val="16"/>
                <w:shd w:val="clear" w:color="auto" w:fill="FFFFFF"/>
                <w:lang w:val="uk-UA"/>
              </w:rPr>
              <w:t xml:space="preserve">.5. </w:t>
            </w:r>
            <w:r w:rsidR="00D048FE" w:rsidRPr="00F23413">
              <w:rPr>
                <w:rStyle w:val="shorttext"/>
                <w:rFonts w:ascii="Times New Roman" w:hAnsi="Times New Roman"/>
                <w:sz w:val="16"/>
                <w:szCs w:val="16"/>
                <w:lang w:val="en-US"/>
              </w:rPr>
              <w:t>Qualified</w:t>
            </w:r>
            <w:r w:rsidR="00D048FE" w:rsidRPr="00E16672">
              <w:rPr>
                <w:rStyle w:val="shorttext"/>
                <w:rFonts w:ascii="Times New Roman" w:hAnsi="Times New Roman"/>
                <w:sz w:val="16"/>
                <w:szCs w:val="16"/>
                <w:lang w:val="uk-UA"/>
              </w:rPr>
              <w:t xml:space="preserve"> </w:t>
            </w:r>
            <w:r w:rsidR="00D048FE" w:rsidRPr="00E16672">
              <w:rPr>
                <w:rFonts w:ascii="Times New Roman" w:hAnsi="Times New Roman"/>
                <w:color w:val="000000"/>
                <w:sz w:val="16"/>
                <w:szCs w:val="16"/>
                <w:shd w:val="clear" w:color="auto" w:fill="FFFFFF"/>
                <w:lang w:val="en-GB"/>
              </w:rPr>
              <w:t xml:space="preserve">qualified </w:t>
            </w:r>
            <w:r w:rsidR="00D048FE" w:rsidRPr="00E16672">
              <w:rPr>
                <w:rFonts w:ascii="Times New Roman" w:hAnsi="Times New Roman"/>
                <w:color w:val="000000"/>
                <w:sz w:val="16"/>
                <w:szCs w:val="16"/>
                <w:shd w:val="clear" w:color="auto" w:fill="FFFFFF"/>
                <w:lang w:val="en-US"/>
              </w:rPr>
              <w:t>e</w:t>
            </w:r>
            <w:proofErr w:type="spellStart"/>
            <w:r w:rsidR="00D048FE" w:rsidRPr="00E16672">
              <w:rPr>
                <w:rFonts w:ascii="Times New Roman" w:hAnsi="Times New Roman"/>
                <w:color w:val="000000"/>
                <w:sz w:val="16"/>
                <w:szCs w:val="16"/>
                <w:shd w:val="clear" w:color="auto" w:fill="FFFFFF"/>
                <w:lang w:val="en-GB"/>
              </w:rPr>
              <w:t>lectronic</w:t>
            </w:r>
            <w:proofErr w:type="spellEnd"/>
            <w:r w:rsidR="00D048FE" w:rsidRPr="00E16672">
              <w:rPr>
                <w:rFonts w:ascii="Times New Roman" w:hAnsi="Times New Roman"/>
                <w:color w:val="000000"/>
                <w:sz w:val="16"/>
                <w:szCs w:val="16"/>
                <w:shd w:val="clear" w:color="auto" w:fill="FFFFFF"/>
                <w:lang w:val="uk-UA"/>
              </w:rPr>
              <w:t xml:space="preserve"> </w:t>
            </w:r>
            <w:r w:rsidR="00D048FE" w:rsidRPr="00E16672">
              <w:rPr>
                <w:rFonts w:ascii="Times New Roman" w:hAnsi="Times New Roman"/>
                <w:color w:val="000000"/>
                <w:sz w:val="16"/>
                <w:szCs w:val="16"/>
                <w:shd w:val="clear" w:color="auto" w:fill="FFFFFF"/>
                <w:lang w:val="en-GB"/>
              </w:rPr>
              <w:t>signature</w:t>
            </w:r>
            <w:r w:rsidR="00D048FE" w:rsidRPr="00E16672">
              <w:rPr>
                <w:rFonts w:ascii="Times New Roman" w:hAnsi="Times New Roman"/>
                <w:color w:val="000000"/>
                <w:sz w:val="16"/>
                <w:szCs w:val="16"/>
                <w:shd w:val="clear" w:color="auto" w:fill="FFFFFF"/>
                <w:lang w:val="uk-UA"/>
              </w:rPr>
              <w:t xml:space="preserve"> </w:t>
            </w:r>
            <w:r w:rsidR="00D048FE" w:rsidRPr="00E16672">
              <w:rPr>
                <w:rFonts w:ascii="Times New Roman" w:hAnsi="Times New Roman"/>
                <w:color w:val="000000"/>
                <w:sz w:val="16"/>
                <w:szCs w:val="16"/>
                <w:shd w:val="clear" w:color="auto" w:fill="FFFFFF"/>
                <w:lang w:val="en-GB"/>
              </w:rPr>
              <w:t>for</w:t>
            </w:r>
            <w:r w:rsidR="00D048FE" w:rsidRPr="00E16672">
              <w:rPr>
                <w:rFonts w:ascii="Times New Roman" w:hAnsi="Times New Roman"/>
                <w:color w:val="000000"/>
                <w:sz w:val="16"/>
                <w:szCs w:val="16"/>
                <w:shd w:val="clear" w:color="auto" w:fill="FFFFFF"/>
                <w:lang w:val="uk-UA"/>
              </w:rPr>
              <w:t xml:space="preserve"> </w:t>
            </w:r>
            <w:r w:rsidR="00D048FE" w:rsidRPr="00E16672">
              <w:rPr>
                <w:rFonts w:ascii="Times New Roman" w:hAnsi="Times New Roman"/>
                <w:color w:val="000000"/>
                <w:sz w:val="16"/>
                <w:szCs w:val="16"/>
                <w:shd w:val="clear" w:color="auto" w:fill="FFFFFF"/>
                <w:lang w:val="en-GB"/>
              </w:rPr>
              <w:t>legal</w:t>
            </w:r>
            <w:r w:rsidR="00D048FE" w:rsidRPr="00E16672">
              <w:rPr>
                <w:rFonts w:ascii="Times New Roman" w:hAnsi="Times New Roman"/>
                <w:color w:val="000000"/>
                <w:sz w:val="16"/>
                <w:szCs w:val="16"/>
                <w:shd w:val="clear" w:color="auto" w:fill="FFFFFF"/>
                <w:lang w:val="uk-UA"/>
              </w:rPr>
              <w:t xml:space="preserve"> </w:t>
            </w:r>
            <w:r w:rsidR="00D048FE" w:rsidRPr="00E16672">
              <w:rPr>
                <w:rFonts w:ascii="Times New Roman" w:hAnsi="Times New Roman"/>
                <w:color w:val="000000"/>
                <w:sz w:val="16"/>
                <w:szCs w:val="16"/>
                <w:shd w:val="clear" w:color="auto" w:fill="FFFFFF"/>
                <w:lang w:val="en-GB"/>
              </w:rPr>
              <w:t>status</w:t>
            </w:r>
            <w:r w:rsidR="00D048FE" w:rsidRPr="00E16672">
              <w:rPr>
                <w:rFonts w:ascii="Times New Roman" w:hAnsi="Times New Roman"/>
                <w:color w:val="000000"/>
                <w:sz w:val="16"/>
                <w:szCs w:val="16"/>
                <w:shd w:val="clear" w:color="auto" w:fill="FFFFFF"/>
                <w:lang w:val="uk-UA"/>
              </w:rPr>
              <w:t xml:space="preserve"> </w:t>
            </w:r>
            <w:r w:rsidR="00D048FE" w:rsidRPr="00E16672">
              <w:rPr>
                <w:rFonts w:ascii="Times New Roman" w:hAnsi="Times New Roman"/>
                <w:color w:val="000000"/>
                <w:sz w:val="16"/>
                <w:szCs w:val="16"/>
                <w:shd w:val="clear" w:color="auto" w:fill="FFFFFF"/>
                <w:lang w:val="en-GB"/>
              </w:rPr>
              <w:t>equivalent</w:t>
            </w:r>
            <w:r w:rsidR="00D048FE" w:rsidRPr="00E16672">
              <w:rPr>
                <w:rFonts w:ascii="Times New Roman" w:hAnsi="Times New Roman"/>
                <w:color w:val="000000"/>
                <w:sz w:val="16"/>
                <w:szCs w:val="16"/>
                <w:shd w:val="clear" w:color="auto" w:fill="FFFFFF"/>
                <w:lang w:val="uk-UA"/>
              </w:rPr>
              <w:t xml:space="preserve"> </w:t>
            </w:r>
            <w:r w:rsidR="00D048FE" w:rsidRPr="00E16672">
              <w:rPr>
                <w:rFonts w:ascii="Times New Roman" w:hAnsi="Times New Roman"/>
                <w:color w:val="000000"/>
                <w:sz w:val="16"/>
                <w:szCs w:val="16"/>
                <w:shd w:val="clear" w:color="auto" w:fill="FFFFFF"/>
                <w:lang w:val="en-GB"/>
              </w:rPr>
              <w:t>to</w:t>
            </w:r>
            <w:r w:rsidR="00D048FE" w:rsidRPr="00E16672">
              <w:rPr>
                <w:rFonts w:ascii="Times New Roman" w:hAnsi="Times New Roman"/>
                <w:color w:val="000000"/>
                <w:sz w:val="16"/>
                <w:szCs w:val="16"/>
                <w:shd w:val="clear" w:color="auto" w:fill="FFFFFF"/>
                <w:lang w:val="uk-UA"/>
              </w:rPr>
              <w:t xml:space="preserve"> </w:t>
            </w:r>
            <w:r w:rsidR="00D048FE" w:rsidRPr="00E16672">
              <w:rPr>
                <w:rFonts w:ascii="Times New Roman" w:hAnsi="Times New Roman"/>
                <w:color w:val="000000"/>
                <w:sz w:val="16"/>
                <w:szCs w:val="16"/>
                <w:shd w:val="clear" w:color="auto" w:fill="FFFFFF"/>
                <w:lang w:val="en-GB"/>
              </w:rPr>
              <w:t>a</w:t>
            </w:r>
            <w:r w:rsidR="00D048FE" w:rsidRPr="00E16672">
              <w:rPr>
                <w:rFonts w:ascii="Times New Roman" w:hAnsi="Times New Roman"/>
                <w:color w:val="000000"/>
                <w:sz w:val="16"/>
                <w:szCs w:val="16"/>
                <w:shd w:val="clear" w:color="auto" w:fill="FFFFFF"/>
                <w:lang w:val="uk-UA"/>
              </w:rPr>
              <w:t xml:space="preserve"> </w:t>
            </w:r>
            <w:r w:rsidR="00D048FE" w:rsidRPr="00E16672">
              <w:rPr>
                <w:rFonts w:ascii="Times New Roman" w:hAnsi="Times New Roman"/>
                <w:color w:val="000000"/>
                <w:sz w:val="16"/>
                <w:szCs w:val="16"/>
                <w:shd w:val="clear" w:color="auto" w:fill="FFFFFF"/>
                <w:lang w:val="en-GB"/>
              </w:rPr>
              <w:t>handwritten</w:t>
            </w:r>
            <w:r w:rsidR="00D048FE" w:rsidRPr="00E16672">
              <w:rPr>
                <w:rFonts w:ascii="Times New Roman" w:hAnsi="Times New Roman"/>
                <w:color w:val="000000"/>
                <w:sz w:val="16"/>
                <w:szCs w:val="16"/>
                <w:shd w:val="clear" w:color="auto" w:fill="FFFFFF"/>
                <w:lang w:val="uk-UA"/>
              </w:rPr>
              <w:t xml:space="preserve"> </w:t>
            </w:r>
            <w:r w:rsidR="00D048FE" w:rsidRPr="00E16672">
              <w:rPr>
                <w:rFonts w:ascii="Times New Roman" w:hAnsi="Times New Roman"/>
                <w:color w:val="000000"/>
                <w:sz w:val="16"/>
                <w:szCs w:val="16"/>
                <w:shd w:val="clear" w:color="auto" w:fill="FFFFFF"/>
                <w:lang w:val="en-GB"/>
              </w:rPr>
              <w:t>signature</w:t>
            </w:r>
            <w:r w:rsidR="00D048FE" w:rsidRPr="00E16672">
              <w:rPr>
                <w:rFonts w:ascii="Times New Roman" w:hAnsi="Times New Roman"/>
                <w:color w:val="000000"/>
                <w:sz w:val="16"/>
                <w:szCs w:val="16"/>
                <w:shd w:val="clear" w:color="auto" w:fill="FFFFFF"/>
                <w:lang w:val="uk-UA"/>
              </w:rPr>
              <w:t xml:space="preserve"> (</w:t>
            </w:r>
            <w:r w:rsidR="00D048FE" w:rsidRPr="00E16672">
              <w:rPr>
                <w:rFonts w:ascii="Times New Roman" w:hAnsi="Times New Roman"/>
                <w:color w:val="000000"/>
                <w:sz w:val="16"/>
                <w:szCs w:val="16"/>
                <w:shd w:val="clear" w:color="auto" w:fill="FFFFFF"/>
                <w:lang w:val="en-GB"/>
              </w:rPr>
              <w:t>seal</w:t>
            </w:r>
            <w:r w:rsidR="00D048FE" w:rsidRPr="00E16672">
              <w:rPr>
                <w:rFonts w:ascii="Times New Roman" w:hAnsi="Times New Roman"/>
                <w:color w:val="000000"/>
                <w:sz w:val="16"/>
                <w:szCs w:val="16"/>
                <w:shd w:val="clear" w:color="auto" w:fill="FFFFFF"/>
                <w:lang w:val="uk-UA"/>
              </w:rPr>
              <w:t xml:space="preserve">) </w:t>
            </w:r>
            <w:r w:rsidR="00D048FE" w:rsidRPr="00E16672">
              <w:rPr>
                <w:rFonts w:ascii="Times New Roman" w:hAnsi="Times New Roman"/>
                <w:color w:val="000000"/>
                <w:sz w:val="16"/>
                <w:szCs w:val="16"/>
                <w:shd w:val="clear" w:color="auto" w:fill="FFFFFF"/>
                <w:lang w:val="en-GB"/>
              </w:rPr>
              <w:t>of</w:t>
            </w:r>
            <w:r w:rsidR="00D048FE" w:rsidRPr="00E16672">
              <w:rPr>
                <w:rFonts w:ascii="Times New Roman" w:hAnsi="Times New Roman"/>
                <w:color w:val="000000"/>
                <w:sz w:val="16"/>
                <w:szCs w:val="16"/>
                <w:shd w:val="clear" w:color="auto" w:fill="FFFFFF"/>
                <w:lang w:val="uk-UA"/>
              </w:rPr>
              <w:t xml:space="preserve"> </w:t>
            </w:r>
            <w:r w:rsidR="00D048FE" w:rsidRPr="00E16672">
              <w:rPr>
                <w:rFonts w:ascii="Times New Roman" w:hAnsi="Times New Roman"/>
                <w:color w:val="000000"/>
                <w:sz w:val="16"/>
                <w:szCs w:val="16"/>
                <w:shd w:val="clear" w:color="auto" w:fill="FFFFFF"/>
                <w:lang w:val="en-GB"/>
              </w:rPr>
              <w:t>the</w:t>
            </w:r>
            <w:r w:rsidR="00D048FE" w:rsidRPr="00E16672">
              <w:rPr>
                <w:rFonts w:ascii="Times New Roman" w:hAnsi="Times New Roman"/>
                <w:color w:val="000000"/>
                <w:sz w:val="16"/>
                <w:szCs w:val="16"/>
                <w:shd w:val="clear" w:color="auto" w:fill="FFFFFF"/>
                <w:lang w:val="uk-UA"/>
              </w:rPr>
              <w:t xml:space="preserve"> </w:t>
            </w:r>
            <w:r w:rsidR="00D048FE" w:rsidRPr="00E16672">
              <w:rPr>
                <w:rFonts w:ascii="Times New Roman" w:hAnsi="Times New Roman"/>
                <w:color w:val="000000"/>
                <w:sz w:val="16"/>
                <w:szCs w:val="16"/>
                <w:shd w:val="clear" w:color="auto" w:fill="FFFFFF"/>
                <w:lang w:val="en-GB"/>
              </w:rPr>
              <w:t>person</w:t>
            </w:r>
            <w:r w:rsidR="00D048FE" w:rsidRPr="00E16672">
              <w:rPr>
                <w:rFonts w:ascii="Times New Roman" w:hAnsi="Times New Roman"/>
                <w:color w:val="000000"/>
                <w:sz w:val="16"/>
                <w:szCs w:val="16"/>
                <w:shd w:val="clear" w:color="auto" w:fill="FFFFFF"/>
                <w:lang w:val="uk-UA"/>
              </w:rPr>
              <w:t xml:space="preserve"> </w:t>
            </w:r>
            <w:r w:rsidR="00D048FE" w:rsidRPr="00E16672">
              <w:rPr>
                <w:rFonts w:ascii="Times New Roman" w:hAnsi="Times New Roman"/>
                <w:color w:val="000000"/>
                <w:sz w:val="16"/>
                <w:szCs w:val="16"/>
                <w:shd w:val="clear" w:color="auto" w:fill="FFFFFF"/>
                <w:lang w:val="en-GB"/>
              </w:rPr>
              <w:t>who</w:t>
            </w:r>
            <w:r w:rsidR="00D048FE" w:rsidRPr="00E16672">
              <w:rPr>
                <w:rFonts w:ascii="Times New Roman" w:hAnsi="Times New Roman"/>
                <w:color w:val="000000"/>
                <w:sz w:val="16"/>
                <w:szCs w:val="16"/>
                <w:shd w:val="clear" w:color="auto" w:fill="FFFFFF"/>
                <w:lang w:val="uk-UA"/>
              </w:rPr>
              <w:t xml:space="preserve"> </w:t>
            </w:r>
            <w:r w:rsidR="00D048FE" w:rsidRPr="00E16672">
              <w:rPr>
                <w:rFonts w:ascii="Times New Roman" w:hAnsi="Times New Roman"/>
                <w:color w:val="000000"/>
                <w:sz w:val="16"/>
                <w:szCs w:val="16"/>
                <w:shd w:val="clear" w:color="auto" w:fill="FFFFFF"/>
                <w:lang w:val="en-GB"/>
              </w:rPr>
              <w:t>committed it</w:t>
            </w:r>
            <w:r w:rsidR="00D048FE" w:rsidRPr="00E16672">
              <w:rPr>
                <w:rFonts w:ascii="Times New Roman" w:hAnsi="Times New Roman"/>
                <w:color w:val="000000"/>
                <w:sz w:val="16"/>
                <w:szCs w:val="16"/>
                <w:shd w:val="clear" w:color="auto" w:fill="FFFFFF"/>
                <w:lang w:val="uk-UA"/>
              </w:rPr>
              <w:t xml:space="preserve"> </w:t>
            </w:r>
            <w:r w:rsidR="00D048FE" w:rsidRPr="00F23413">
              <w:rPr>
                <w:rStyle w:val="shorttext"/>
                <w:rFonts w:ascii="Times New Roman" w:hAnsi="Times New Roman"/>
                <w:sz w:val="16"/>
                <w:lang w:val="en-US"/>
              </w:rPr>
              <w:t>according to the law</w:t>
            </w:r>
            <w:r w:rsidR="00D048FE" w:rsidRPr="00E16672">
              <w:rPr>
                <w:rStyle w:val="shorttext"/>
                <w:rFonts w:ascii="Times New Roman" w:hAnsi="Times New Roman"/>
                <w:sz w:val="16"/>
                <w:lang w:val="uk-UA"/>
              </w:rPr>
              <w:t xml:space="preserve"> </w:t>
            </w:r>
            <w:r w:rsidR="00D048FE" w:rsidRPr="00F23413">
              <w:rPr>
                <w:rStyle w:val="shorttext"/>
                <w:rFonts w:ascii="Times New Roman" w:hAnsi="Times New Roman"/>
                <w:sz w:val="16"/>
                <w:szCs w:val="16"/>
                <w:lang w:val="en-US"/>
              </w:rPr>
              <w:t>and this Agreement</w:t>
            </w:r>
            <w:r w:rsidR="00D048FE" w:rsidRPr="00E16672">
              <w:rPr>
                <w:rFonts w:ascii="Times New Roman" w:hAnsi="Times New Roman"/>
                <w:color w:val="000000"/>
                <w:sz w:val="16"/>
                <w:szCs w:val="16"/>
                <w:shd w:val="clear" w:color="auto" w:fill="FFFFFF"/>
                <w:lang w:val="en-GB"/>
              </w:rPr>
              <w:t>. Legal validity of electronic document may be objections solely because it has electronic form</w:t>
            </w:r>
            <w:r w:rsidRPr="00E16672">
              <w:rPr>
                <w:rFonts w:ascii="Times New Roman" w:hAnsi="Times New Roman"/>
                <w:color w:val="000000"/>
                <w:sz w:val="16"/>
                <w:szCs w:val="16"/>
                <w:shd w:val="clear" w:color="auto" w:fill="FFFFFF"/>
                <w:lang w:val="en-GB"/>
              </w:rPr>
              <w:t>.</w:t>
            </w:r>
          </w:p>
          <w:p w14:paraId="29621574" w14:textId="77777777" w:rsidR="003A05A3" w:rsidRPr="00E16672" w:rsidRDefault="003A05A3" w:rsidP="00843027">
            <w:pPr>
              <w:tabs>
                <w:tab w:val="left" w:pos="287"/>
              </w:tabs>
              <w:snapToGrid w:val="0"/>
              <w:ind w:left="145" w:right="100"/>
              <w:rPr>
                <w:rFonts w:ascii="Times New Roman" w:hAnsi="Times New Roman"/>
                <w:color w:val="000000"/>
                <w:sz w:val="16"/>
                <w:szCs w:val="16"/>
                <w:shd w:val="clear" w:color="auto" w:fill="FFFFFF"/>
                <w:lang w:val="en-GB"/>
              </w:rPr>
            </w:pPr>
          </w:p>
        </w:tc>
      </w:tr>
      <w:tr w:rsidR="003A05A3" w:rsidRPr="00F23413" w14:paraId="7CFBD053" w14:textId="77777777" w:rsidTr="00242F58">
        <w:trPr>
          <w:trHeight w:val="192"/>
        </w:trPr>
        <w:tc>
          <w:tcPr>
            <w:tcW w:w="5696" w:type="dxa"/>
            <w:gridSpan w:val="8"/>
            <w:shd w:val="clear" w:color="auto" w:fill="auto"/>
          </w:tcPr>
          <w:p w14:paraId="0273B1E1" w14:textId="77777777" w:rsidR="003A05A3" w:rsidRPr="00E16672" w:rsidRDefault="003A05A3" w:rsidP="00843027">
            <w:pPr>
              <w:pStyle w:val="33"/>
              <w:tabs>
                <w:tab w:val="left" w:pos="851"/>
              </w:tabs>
              <w:snapToGrid w:val="0"/>
              <w:ind w:left="175" w:right="138" w:firstLine="0"/>
              <w:rPr>
                <w:rFonts w:ascii="Times New Roman" w:hAnsi="Times New Roman" w:cs="Times New Roman"/>
                <w:color w:val="000000"/>
                <w:sz w:val="16"/>
                <w:szCs w:val="16"/>
                <w:lang w:val="uk-UA"/>
              </w:rPr>
            </w:pPr>
            <w:r w:rsidRPr="00E16672">
              <w:rPr>
                <w:rFonts w:ascii="Times New Roman" w:hAnsi="Times New Roman" w:cs="Times New Roman"/>
                <w:color w:val="000000"/>
                <w:sz w:val="16"/>
                <w:szCs w:val="16"/>
                <w:lang w:val="uk-UA"/>
              </w:rPr>
              <w:t>1</w:t>
            </w:r>
            <w:r w:rsidR="00577C78" w:rsidRPr="00E16672">
              <w:rPr>
                <w:rFonts w:ascii="Times New Roman" w:hAnsi="Times New Roman" w:cs="Times New Roman"/>
                <w:color w:val="000000"/>
                <w:sz w:val="16"/>
                <w:szCs w:val="16"/>
                <w:lang w:val="uk-UA"/>
              </w:rPr>
              <w:t>0</w:t>
            </w:r>
            <w:r w:rsidRPr="00E16672">
              <w:rPr>
                <w:rFonts w:ascii="Times New Roman" w:hAnsi="Times New Roman" w:cs="Times New Roman"/>
                <w:color w:val="000000"/>
                <w:sz w:val="16"/>
                <w:szCs w:val="16"/>
                <w:lang w:val="uk-UA"/>
              </w:rPr>
              <w:t xml:space="preserve">.6. </w:t>
            </w:r>
            <w:proofErr w:type="spellStart"/>
            <w:r w:rsidRPr="00E16672">
              <w:rPr>
                <w:rFonts w:ascii="Times New Roman" w:hAnsi="Times New Roman" w:cs="Times New Roman"/>
                <w:color w:val="000000"/>
                <w:sz w:val="16"/>
                <w:szCs w:val="16"/>
                <w:lang w:val="uk-UA"/>
              </w:rPr>
              <w:t>Підписувач</w:t>
            </w:r>
            <w:proofErr w:type="spellEnd"/>
            <w:r w:rsidRPr="00E16672">
              <w:rPr>
                <w:rFonts w:ascii="Times New Roman" w:hAnsi="Times New Roman" w:cs="Times New Roman"/>
                <w:color w:val="000000"/>
                <w:sz w:val="16"/>
                <w:szCs w:val="16"/>
                <w:lang w:val="uk-UA"/>
              </w:rPr>
              <w:t xml:space="preserve"> - </w:t>
            </w:r>
            <w:proofErr w:type="spellStart"/>
            <w:r w:rsidRPr="00E16672">
              <w:rPr>
                <w:rStyle w:val="rvts0"/>
                <w:rFonts w:ascii="Times New Roman" w:hAnsi="Times New Roman" w:cs="Times New Roman"/>
                <w:sz w:val="16"/>
                <w:szCs w:val="16"/>
              </w:rPr>
              <w:t>фізична</w:t>
            </w:r>
            <w:proofErr w:type="spellEnd"/>
            <w:r w:rsidRPr="00E16672">
              <w:rPr>
                <w:rStyle w:val="rvts0"/>
                <w:rFonts w:ascii="Times New Roman" w:hAnsi="Times New Roman" w:cs="Times New Roman"/>
                <w:sz w:val="16"/>
                <w:szCs w:val="16"/>
              </w:rPr>
              <w:t xml:space="preserve"> особа, яка </w:t>
            </w:r>
            <w:proofErr w:type="spellStart"/>
            <w:r w:rsidRPr="00E16672">
              <w:rPr>
                <w:rStyle w:val="rvts0"/>
                <w:rFonts w:ascii="Times New Roman" w:hAnsi="Times New Roman" w:cs="Times New Roman"/>
                <w:sz w:val="16"/>
                <w:szCs w:val="16"/>
              </w:rPr>
              <w:t>створює</w:t>
            </w:r>
            <w:proofErr w:type="spellEnd"/>
            <w:r w:rsidRPr="00E16672">
              <w:rPr>
                <w:rStyle w:val="rvts0"/>
                <w:rFonts w:ascii="Times New Roman" w:hAnsi="Times New Roman" w:cs="Times New Roman"/>
                <w:sz w:val="16"/>
                <w:szCs w:val="16"/>
              </w:rPr>
              <w:t xml:space="preserve"> </w:t>
            </w:r>
            <w:proofErr w:type="spellStart"/>
            <w:r w:rsidRPr="00E16672">
              <w:rPr>
                <w:rStyle w:val="rvts0"/>
                <w:rFonts w:ascii="Times New Roman" w:hAnsi="Times New Roman" w:cs="Times New Roman"/>
                <w:sz w:val="16"/>
                <w:szCs w:val="16"/>
              </w:rPr>
              <w:t>електронний</w:t>
            </w:r>
            <w:proofErr w:type="spellEnd"/>
            <w:r w:rsidRPr="00E16672">
              <w:rPr>
                <w:rStyle w:val="rvts0"/>
                <w:rFonts w:ascii="Times New Roman" w:hAnsi="Times New Roman" w:cs="Times New Roman"/>
                <w:sz w:val="16"/>
                <w:szCs w:val="16"/>
              </w:rPr>
              <w:t xml:space="preserve"> </w:t>
            </w:r>
            <w:proofErr w:type="spellStart"/>
            <w:r w:rsidRPr="00E16672">
              <w:rPr>
                <w:rStyle w:val="rvts0"/>
                <w:rFonts w:ascii="Times New Roman" w:hAnsi="Times New Roman" w:cs="Times New Roman"/>
                <w:sz w:val="16"/>
                <w:szCs w:val="16"/>
              </w:rPr>
              <w:t>підпис</w:t>
            </w:r>
            <w:proofErr w:type="spellEnd"/>
            <w:r w:rsidRPr="00E16672">
              <w:rPr>
                <w:rFonts w:ascii="Times New Roman" w:hAnsi="Times New Roman" w:cs="Times New Roman"/>
                <w:color w:val="000000"/>
                <w:sz w:val="16"/>
                <w:szCs w:val="16"/>
                <w:lang w:val="uk-UA"/>
              </w:rPr>
              <w:t>.</w:t>
            </w:r>
          </w:p>
          <w:p w14:paraId="2B7BBC69" w14:textId="77777777" w:rsidR="003A05A3" w:rsidRPr="00E16672" w:rsidRDefault="003A05A3" w:rsidP="00843027">
            <w:pPr>
              <w:pStyle w:val="33"/>
              <w:tabs>
                <w:tab w:val="left" w:pos="851"/>
              </w:tabs>
              <w:snapToGrid w:val="0"/>
              <w:ind w:left="175" w:right="138"/>
              <w:rPr>
                <w:rFonts w:ascii="Times New Roman" w:hAnsi="Times New Roman" w:cs="Times New Roman"/>
                <w:color w:val="000000"/>
                <w:sz w:val="16"/>
                <w:szCs w:val="16"/>
                <w:lang w:val="uk-UA"/>
              </w:rPr>
            </w:pPr>
          </w:p>
        </w:tc>
        <w:tc>
          <w:tcPr>
            <w:tcW w:w="5494" w:type="dxa"/>
            <w:gridSpan w:val="6"/>
            <w:shd w:val="clear" w:color="auto" w:fill="auto"/>
          </w:tcPr>
          <w:p w14:paraId="44F7E06A" w14:textId="77777777" w:rsidR="003A05A3" w:rsidRPr="00E16672" w:rsidRDefault="003A05A3" w:rsidP="00843027">
            <w:pPr>
              <w:tabs>
                <w:tab w:val="left" w:pos="287"/>
              </w:tabs>
              <w:snapToGrid w:val="0"/>
              <w:ind w:left="145" w:right="100" w:firstLine="0"/>
              <w:rPr>
                <w:rFonts w:ascii="Times New Roman" w:hAnsi="Times New Roman"/>
                <w:color w:val="000000"/>
                <w:sz w:val="16"/>
                <w:szCs w:val="16"/>
                <w:shd w:val="clear" w:color="auto" w:fill="FFFFFF"/>
                <w:lang w:val="uk-UA"/>
              </w:rPr>
            </w:pPr>
            <w:r w:rsidRPr="00E16672">
              <w:rPr>
                <w:rFonts w:ascii="Times New Roman" w:hAnsi="Times New Roman"/>
                <w:color w:val="000000"/>
                <w:sz w:val="16"/>
                <w:szCs w:val="16"/>
                <w:shd w:val="clear" w:color="auto" w:fill="FFFFFF"/>
                <w:lang w:val="uk-UA"/>
              </w:rPr>
              <w:t>1</w:t>
            </w:r>
            <w:r w:rsidR="00577C78" w:rsidRPr="00E16672">
              <w:rPr>
                <w:rFonts w:ascii="Times New Roman" w:hAnsi="Times New Roman"/>
                <w:color w:val="000000"/>
                <w:sz w:val="16"/>
                <w:szCs w:val="16"/>
                <w:shd w:val="clear" w:color="auto" w:fill="FFFFFF"/>
                <w:lang w:val="uk-UA"/>
              </w:rPr>
              <w:t>0</w:t>
            </w:r>
            <w:r w:rsidRPr="00E16672">
              <w:rPr>
                <w:rFonts w:ascii="Times New Roman" w:hAnsi="Times New Roman"/>
                <w:color w:val="000000"/>
                <w:sz w:val="16"/>
                <w:szCs w:val="16"/>
                <w:shd w:val="clear" w:color="auto" w:fill="FFFFFF"/>
                <w:lang w:val="uk-UA"/>
              </w:rPr>
              <w:t xml:space="preserve">.6. </w:t>
            </w:r>
            <w:r w:rsidRPr="00E16672">
              <w:rPr>
                <w:rFonts w:ascii="Times New Roman" w:hAnsi="Times New Roman"/>
                <w:color w:val="000000"/>
                <w:sz w:val="16"/>
                <w:szCs w:val="16"/>
                <w:shd w:val="clear" w:color="auto" w:fill="FFFFFF"/>
                <w:lang w:val="en-GB"/>
              </w:rPr>
              <w:t>Signer</w:t>
            </w:r>
            <w:r w:rsidRPr="00E16672">
              <w:rPr>
                <w:rFonts w:ascii="Times New Roman" w:hAnsi="Times New Roman"/>
                <w:color w:val="000000"/>
                <w:sz w:val="16"/>
                <w:szCs w:val="16"/>
                <w:shd w:val="clear" w:color="auto" w:fill="FFFFFF"/>
                <w:lang w:val="uk-UA"/>
              </w:rPr>
              <w:t xml:space="preserve"> - </w:t>
            </w:r>
            <w:r w:rsidRPr="00E16672">
              <w:rPr>
                <w:rFonts w:ascii="Times New Roman" w:hAnsi="Times New Roman"/>
                <w:color w:val="000000"/>
                <w:sz w:val="16"/>
                <w:szCs w:val="16"/>
                <w:shd w:val="clear" w:color="auto" w:fill="FFFFFF"/>
                <w:lang w:val="en-GB"/>
              </w:rPr>
              <w:t>a</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sz w:val="16"/>
                <w:szCs w:val="14"/>
                <w:lang w:val="en-US"/>
              </w:rPr>
              <w:t>physical</w:t>
            </w:r>
            <w:r w:rsidRPr="00E16672">
              <w:rPr>
                <w:rFonts w:ascii="Times New Roman" w:hAnsi="Times New Roman"/>
                <w:b/>
                <w:sz w:val="16"/>
                <w:szCs w:val="14"/>
                <w:lang w:val="uk-UA"/>
              </w:rPr>
              <w:t xml:space="preserve"> </w:t>
            </w:r>
            <w:r w:rsidRPr="00E16672">
              <w:rPr>
                <w:rFonts w:ascii="Times New Roman" w:hAnsi="Times New Roman"/>
                <w:color w:val="000000"/>
                <w:sz w:val="16"/>
                <w:szCs w:val="16"/>
                <w:shd w:val="clear" w:color="auto" w:fill="FFFFFF"/>
                <w:lang w:val="en-GB"/>
              </w:rPr>
              <w:t>person</w:t>
            </w:r>
            <w:r w:rsidRPr="00E16672">
              <w:rPr>
                <w:rFonts w:ascii="Times New Roman" w:hAnsi="Times New Roman"/>
                <w:color w:val="000000"/>
                <w:sz w:val="16"/>
                <w:szCs w:val="16"/>
                <w:shd w:val="clear" w:color="auto" w:fill="FFFFFF"/>
                <w:lang w:val="uk-UA"/>
              </w:rPr>
              <w:t xml:space="preserve"> </w:t>
            </w:r>
            <w:r w:rsidRPr="00F23413">
              <w:rPr>
                <w:rStyle w:val="shorttext"/>
                <w:rFonts w:ascii="Times New Roman" w:hAnsi="Times New Roman"/>
                <w:sz w:val="16"/>
                <w:szCs w:val="16"/>
                <w:lang w:val="en-US"/>
              </w:rPr>
              <w:t>who</w:t>
            </w:r>
            <w:r w:rsidRPr="00E16672">
              <w:rPr>
                <w:rStyle w:val="shorttext"/>
                <w:rFonts w:ascii="Times New Roman" w:hAnsi="Times New Roman"/>
                <w:sz w:val="16"/>
                <w:szCs w:val="16"/>
                <w:lang w:val="uk-UA"/>
              </w:rPr>
              <w:t xml:space="preserve"> </w:t>
            </w:r>
            <w:r w:rsidRPr="00F23413">
              <w:rPr>
                <w:rStyle w:val="shorttext"/>
                <w:rFonts w:ascii="Times New Roman" w:hAnsi="Times New Roman"/>
                <w:sz w:val="16"/>
                <w:szCs w:val="16"/>
                <w:lang w:val="en-US"/>
              </w:rPr>
              <w:t>creates</w:t>
            </w:r>
            <w:r w:rsidRPr="00E16672">
              <w:rPr>
                <w:rStyle w:val="shorttext"/>
                <w:rFonts w:ascii="Times New Roman" w:hAnsi="Times New Roman"/>
                <w:sz w:val="16"/>
                <w:szCs w:val="16"/>
                <w:lang w:val="uk-UA"/>
              </w:rPr>
              <w:t xml:space="preserve"> </w:t>
            </w:r>
            <w:r w:rsidRPr="00F23413">
              <w:rPr>
                <w:rStyle w:val="shorttext"/>
                <w:rFonts w:ascii="Times New Roman" w:hAnsi="Times New Roman"/>
                <w:sz w:val="16"/>
                <w:szCs w:val="16"/>
                <w:lang w:val="en-US"/>
              </w:rPr>
              <w:t>an</w:t>
            </w:r>
            <w:r w:rsidRPr="00E16672">
              <w:rPr>
                <w:rStyle w:val="shorttext"/>
                <w:rFonts w:ascii="Times New Roman" w:hAnsi="Times New Roman"/>
                <w:sz w:val="16"/>
                <w:szCs w:val="16"/>
                <w:lang w:val="uk-UA"/>
              </w:rPr>
              <w:t xml:space="preserve"> </w:t>
            </w:r>
            <w:r w:rsidRPr="00F23413">
              <w:rPr>
                <w:rStyle w:val="shorttext"/>
                <w:rFonts w:ascii="Times New Roman" w:hAnsi="Times New Roman"/>
                <w:sz w:val="16"/>
                <w:szCs w:val="16"/>
                <w:lang w:val="en-US"/>
              </w:rPr>
              <w:t>electronic</w:t>
            </w:r>
            <w:r w:rsidRPr="00E16672">
              <w:rPr>
                <w:rStyle w:val="shorttext"/>
                <w:rFonts w:ascii="Times New Roman" w:hAnsi="Times New Roman"/>
                <w:sz w:val="16"/>
                <w:szCs w:val="16"/>
                <w:lang w:val="uk-UA"/>
              </w:rPr>
              <w:t xml:space="preserve"> </w:t>
            </w:r>
            <w:r w:rsidRPr="00F23413">
              <w:rPr>
                <w:rStyle w:val="shorttext"/>
                <w:rFonts w:ascii="Times New Roman" w:hAnsi="Times New Roman"/>
                <w:sz w:val="16"/>
                <w:szCs w:val="16"/>
                <w:lang w:val="en-US"/>
              </w:rPr>
              <w:t>signature</w:t>
            </w:r>
            <w:r w:rsidRPr="00E16672">
              <w:rPr>
                <w:rFonts w:ascii="Times New Roman" w:hAnsi="Times New Roman"/>
                <w:color w:val="000000"/>
                <w:sz w:val="16"/>
                <w:szCs w:val="16"/>
                <w:shd w:val="clear" w:color="auto" w:fill="FFFFFF"/>
                <w:lang w:val="uk-UA"/>
              </w:rPr>
              <w:t>.</w:t>
            </w:r>
          </w:p>
          <w:p w14:paraId="74690BEF" w14:textId="77777777" w:rsidR="003A05A3" w:rsidRPr="00E16672" w:rsidRDefault="003A05A3" w:rsidP="00843027">
            <w:pPr>
              <w:tabs>
                <w:tab w:val="left" w:pos="287"/>
              </w:tabs>
              <w:snapToGrid w:val="0"/>
              <w:ind w:left="145" w:right="100"/>
              <w:rPr>
                <w:rFonts w:ascii="Times New Roman" w:hAnsi="Times New Roman"/>
                <w:color w:val="000000"/>
                <w:sz w:val="16"/>
                <w:szCs w:val="16"/>
                <w:shd w:val="clear" w:color="auto" w:fill="FFFFFF"/>
                <w:lang w:val="uk-UA"/>
              </w:rPr>
            </w:pPr>
          </w:p>
        </w:tc>
      </w:tr>
      <w:tr w:rsidR="003A05A3" w:rsidRPr="00F23413" w14:paraId="568EA26C" w14:textId="77777777" w:rsidTr="00242F58">
        <w:trPr>
          <w:trHeight w:val="192"/>
        </w:trPr>
        <w:tc>
          <w:tcPr>
            <w:tcW w:w="5696" w:type="dxa"/>
            <w:gridSpan w:val="8"/>
            <w:shd w:val="clear" w:color="auto" w:fill="auto"/>
          </w:tcPr>
          <w:p w14:paraId="6373EDC5" w14:textId="77777777" w:rsidR="003A05A3" w:rsidRPr="00E16672" w:rsidRDefault="003A05A3" w:rsidP="00843027">
            <w:pPr>
              <w:pStyle w:val="33"/>
              <w:tabs>
                <w:tab w:val="left" w:pos="851"/>
              </w:tabs>
              <w:snapToGrid w:val="0"/>
              <w:ind w:left="175" w:right="138" w:firstLine="0"/>
              <w:rPr>
                <w:rFonts w:ascii="Times New Roman" w:hAnsi="Times New Roman" w:cs="Times New Roman"/>
                <w:color w:val="000000"/>
                <w:sz w:val="16"/>
                <w:szCs w:val="16"/>
                <w:lang w:val="uk-UA"/>
              </w:rPr>
            </w:pPr>
            <w:r w:rsidRPr="00E16672">
              <w:rPr>
                <w:rFonts w:ascii="Times New Roman" w:hAnsi="Times New Roman" w:cs="Times New Roman"/>
                <w:color w:val="000000"/>
                <w:sz w:val="16"/>
                <w:szCs w:val="16"/>
                <w:lang w:val="uk-UA"/>
              </w:rPr>
              <w:t>1</w:t>
            </w:r>
            <w:r w:rsidR="00577C78" w:rsidRPr="00E16672">
              <w:rPr>
                <w:rFonts w:ascii="Times New Roman" w:hAnsi="Times New Roman" w:cs="Times New Roman"/>
                <w:color w:val="000000"/>
                <w:sz w:val="16"/>
                <w:szCs w:val="16"/>
                <w:lang w:val="uk-UA"/>
              </w:rPr>
              <w:t>0</w:t>
            </w:r>
            <w:r w:rsidRPr="00E16672">
              <w:rPr>
                <w:rFonts w:ascii="Times New Roman" w:hAnsi="Times New Roman" w:cs="Times New Roman"/>
                <w:color w:val="000000"/>
                <w:sz w:val="16"/>
                <w:szCs w:val="16"/>
                <w:lang w:val="uk-UA"/>
              </w:rPr>
              <w:t xml:space="preserve">.7. Адресат - </w:t>
            </w:r>
            <w:r w:rsidRPr="00E16672">
              <w:rPr>
                <w:rFonts w:ascii="Times New Roman" w:hAnsi="Times New Roman" w:cs="Times New Roman"/>
                <w:sz w:val="16"/>
                <w:szCs w:val="16"/>
                <w:lang w:val="uk-UA"/>
              </w:rPr>
              <w:t>фізична  або  юридична  особа,  якій  адресується електронний документ</w:t>
            </w:r>
            <w:r w:rsidRPr="00E16672">
              <w:rPr>
                <w:rFonts w:ascii="Times New Roman" w:hAnsi="Times New Roman" w:cs="Times New Roman"/>
                <w:color w:val="000000"/>
                <w:sz w:val="16"/>
                <w:szCs w:val="16"/>
                <w:lang w:val="uk-UA"/>
              </w:rPr>
              <w:t>.</w:t>
            </w:r>
          </w:p>
          <w:p w14:paraId="717594E0" w14:textId="77777777" w:rsidR="003A05A3" w:rsidRPr="00E16672" w:rsidRDefault="003A05A3" w:rsidP="00843027">
            <w:pPr>
              <w:pStyle w:val="33"/>
              <w:tabs>
                <w:tab w:val="left" w:pos="851"/>
              </w:tabs>
              <w:snapToGrid w:val="0"/>
              <w:ind w:left="175" w:right="138"/>
              <w:rPr>
                <w:rFonts w:ascii="Times New Roman" w:hAnsi="Times New Roman" w:cs="Times New Roman"/>
                <w:color w:val="000000"/>
                <w:sz w:val="16"/>
                <w:szCs w:val="16"/>
                <w:lang w:val="uk-UA"/>
              </w:rPr>
            </w:pPr>
          </w:p>
        </w:tc>
        <w:tc>
          <w:tcPr>
            <w:tcW w:w="5494" w:type="dxa"/>
            <w:gridSpan w:val="6"/>
            <w:shd w:val="clear" w:color="auto" w:fill="auto"/>
          </w:tcPr>
          <w:p w14:paraId="46DD4E4F" w14:textId="77777777" w:rsidR="003A05A3" w:rsidRPr="00E16672" w:rsidRDefault="003A05A3" w:rsidP="00843027">
            <w:pPr>
              <w:tabs>
                <w:tab w:val="left" w:pos="287"/>
              </w:tabs>
              <w:snapToGrid w:val="0"/>
              <w:ind w:left="145" w:right="100" w:firstLine="0"/>
              <w:rPr>
                <w:rFonts w:ascii="Times New Roman" w:hAnsi="Times New Roman"/>
                <w:color w:val="000000"/>
                <w:sz w:val="16"/>
                <w:szCs w:val="16"/>
                <w:shd w:val="clear" w:color="auto" w:fill="FFFFFF"/>
                <w:lang w:val="uk-UA"/>
              </w:rPr>
            </w:pPr>
            <w:r w:rsidRPr="00E16672">
              <w:rPr>
                <w:rFonts w:ascii="Times New Roman" w:hAnsi="Times New Roman"/>
                <w:color w:val="000000"/>
                <w:sz w:val="16"/>
                <w:szCs w:val="16"/>
                <w:shd w:val="clear" w:color="auto" w:fill="FFFFFF"/>
                <w:lang w:val="uk-UA"/>
              </w:rPr>
              <w:t>1</w:t>
            </w:r>
            <w:r w:rsidR="00577C78" w:rsidRPr="00E16672">
              <w:rPr>
                <w:rFonts w:ascii="Times New Roman" w:hAnsi="Times New Roman"/>
                <w:color w:val="000000"/>
                <w:sz w:val="16"/>
                <w:szCs w:val="16"/>
                <w:shd w:val="clear" w:color="auto" w:fill="FFFFFF"/>
                <w:lang w:val="uk-UA"/>
              </w:rPr>
              <w:t>0</w:t>
            </w:r>
            <w:r w:rsidRPr="00E16672">
              <w:rPr>
                <w:rFonts w:ascii="Times New Roman" w:hAnsi="Times New Roman"/>
                <w:color w:val="000000"/>
                <w:sz w:val="16"/>
                <w:szCs w:val="16"/>
                <w:shd w:val="clear" w:color="auto" w:fill="FFFFFF"/>
                <w:lang w:val="uk-UA"/>
              </w:rPr>
              <w:t xml:space="preserve">.7. </w:t>
            </w:r>
            <w:r w:rsidRPr="00E16672">
              <w:rPr>
                <w:rFonts w:ascii="Times New Roman" w:hAnsi="Times New Roman"/>
                <w:color w:val="000000"/>
                <w:sz w:val="16"/>
                <w:szCs w:val="16"/>
                <w:shd w:val="clear" w:color="auto" w:fill="FFFFFF"/>
                <w:lang w:val="en-GB"/>
              </w:rPr>
              <w:t>Recipient</w:t>
            </w:r>
            <w:r w:rsidRPr="00E16672">
              <w:rPr>
                <w:rFonts w:ascii="Times New Roman" w:hAnsi="Times New Roman"/>
                <w:color w:val="000000"/>
                <w:sz w:val="16"/>
                <w:szCs w:val="16"/>
                <w:shd w:val="clear" w:color="auto" w:fill="FFFFFF"/>
                <w:lang w:val="uk-UA"/>
              </w:rPr>
              <w:t xml:space="preserve"> - </w:t>
            </w:r>
            <w:r w:rsidRPr="00F23413">
              <w:rPr>
                <w:rFonts w:ascii="Times New Roman" w:hAnsi="Times New Roman"/>
                <w:sz w:val="16"/>
                <w:szCs w:val="16"/>
                <w:lang w:val="en-US"/>
              </w:rPr>
              <w:t>the</w:t>
            </w:r>
            <w:r w:rsidRPr="00E16672">
              <w:rPr>
                <w:rFonts w:ascii="Times New Roman" w:hAnsi="Times New Roman"/>
                <w:sz w:val="16"/>
                <w:szCs w:val="16"/>
                <w:lang w:val="uk-UA"/>
              </w:rPr>
              <w:t xml:space="preserve"> </w:t>
            </w:r>
            <w:r w:rsidRPr="00F23413">
              <w:rPr>
                <w:rFonts w:ascii="Times New Roman" w:hAnsi="Times New Roman"/>
                <w:sz w:val="16"/>
                <w:szCs w:val="16"/>
                <w:lang w:val="en-US"/>
              </w:rPr>
              <w:t>physical</w:t>
            </w:r>
            <w:r w:rsidRPr="00E16672">
              <w:rPr>
                <w:rFonts w:ascii="Times New Roman" w:hAnsi="Times New Roman"/>
                <w:sz w:val="16"/>
                <w:szCs w:val="16"/>
                <w:lang w:val="uk-UA"/>
              </w:rPr>
              <w:t xml:space="preserve"> </w:t>
            </w:r>
            <w:r w:rsidRPr="00F23413">
              <w:rPr>
                <w:rFonts w:ascii="Times New Roman" w:hAnsi="Times New Roman"/>
                <w:sz w:val="16"/>
                <w:szCs w:val="16"/>
                <w:lang w:val="en-US"/>
              </w:rPr>
              <w:t>or</w:t>
            </w:r>
            <w:r w:rsidRPr="00E16672">
              <w:rPr>
                <w:rFonts w:ascii="Times New Roman" w:hAnsi="Times New Roman"/>
                <w:sz w:val="16"/>
                <w:szCs w:val="16"/>
                <w:lang w:val="uk-UA"/>
              </w:rPr>
              <w:t xml:space="preserve"> </w:t>
            </w:r>
            <w:r w:rsidRPr="00F23413">
              <w:rPr>
                <w:rFonts w:ascii="Times New Roman" w:hAnsi="Times New Roman"/>
                <w:sz w:val="16"/>
                <w:szCs w:val="16"/>
                <w:lang w:val="en-US"/>
              </w:rPr>
              <w:t>legal</w:t>
            </w:r>
            <w:r w:rsidRPr="00E16672">
              <w:rPr>
                <w:rFonts w:ascii="Times New Roman" w:hAnsi="Times New Roman"/>
                <w:sz w:val="16"/>
                <w:szCs w:val="16"/>
                <w:lang w:val="uk-UA"/>
              </w:rPr>
              <w:t xml:space="preserve"> </w:t>
            </w:r>
            <w:r w:rsidRPr="00F23413">
              <w:rPr>
                <w:rFonts w:ascii="Times New Roman" w:hAnsi="Times New Roman"/>
                <w:sz w:val="16"/>
                <w:szCs w:val="16"/>
                <w:lang w:val="en-US"/>
              </w:rPr>
              <w:t>person</w:t>
            </w:r>
            <w:r w:rsidRPr="00E16672">
              <w:rPr>
                <w:rFonts w:ascii="Times New Roman" w:hAnsi="Times New Roman"/>
                <w:sz w:val="16"/>
                <w:szCs w:val="16"/>
                <w:lang w:val="uk-UA"/>
              </w:rPr>
              <w:t xml:space="preserve"> </w:t>
            </w:r>
            <w:r w:rsidRPr="00F23413">
              <w:rPr>
                <w:rFonts w:ascii="Times New Roman" w:hAnsi="Times New Roman"/>
                <w:sz w:val="16"/>
                <w:szCs w:val="16"/>
                <w:lang w:val="en-US"/>
              </w:rPr>
              <w:t>to</w:t>
            </w:r>
            <w:r w:rsidRPr="00E16672">
              <w:rPr>
                <w:rFonts w:ascii="Times New Roman" w:hAnsi="Times New Roman"/>
                <w:sz w:val="16"/>
                <w:szCs w:val="16"/>
                <w:lang w:val="uk-UA"/>
              </w:rPr>
              <w:t xml:space="preserve"> </w:t>
            </w:r>
            <w:r w:rsidRPr="00F23413">
              <w:rPr>
                <w:rFonts w:ascii="Times New Roman" w:hAnsi="Times New Roman"/>
                <w:sz w:val="16"/>
                <w:szCs w:val="16"/>
                <w:lang w:val="en-US"/>
              </w:rPr>
              <w:t>whom</w:t>
            </w:r>
            <w:r w:rsidRPr="00E16672">
              <w:rPr>
                <w:rFonts w:ascii="Times New Roman" w:hAnsi="Times New Roman"/>
                <w:sz w:val="16"/>
                <w:szCs w:val="16"/>
                <w:lang w:val="uk-UA"/>
              </w:rPr>
              <w:t xml:space="preserve"> </w:t>
            </w:r>
            <w:r w:rsidRPr="00F23413">
              <w:rPr>
                <w:rFonts w:ascii="Times New Roman" w:hAnsi="Times New Roman"/>
                <w:sz w:val="16"/>
                <w:szCs w:val="16"/>
                <w:lang w:val="en-US"/>
              </w:rPr>
              <w:t>the</w:t>
            </w:r>
            <w:r w:rsidRPr="00E16672">
              <w:rPr>
                <w:rFonts w:ascii="Times New Roman" w:hAnsi="Times New Roman"/>
                <w:sz w:val="16"/>
                <w:szCs w:val="16"/>
                <w:lang w:val="uk-UA"/>
              </w:rPr>
              <w:t xml:space="preserve"> </w:t>
            </w:r>
            <w:r w:rsidRPr="00F23413">
              <w:rPr>
                <w:rFonts w:ascii="Times New Roman" w:hAnsi="Times New Roman"/>
                <w:sz w:val="16"/>
                <w:szCs w:val="16"/>
                <w:lang w:val="en-US"/>
              </w:rPr>
              <w:t>electronic</w:t>
            </w:r>
            <w:r w:rsidRPr="00E16672">
              <w:rPr>
                <w:rFonts w:ascii="Times New Roman" w:hAnsi="Times New Roman"/>
                <w:sz w:val="16"/>
                <w:szCs w:val="16"/>
                <w:lang w:val="uk-UA"/>
              </w:rPr>
              <w:t xml:space="preserve"> </w:t>
            </w:r>
            <w:r w:rsidRPr="00F23413">
              <w:rPr>
                <w:rFonts w:ascii="Times New Roman" w:hAnsi="Times New Roman"/>
                <w:sz w:val="16"/>
                <w:szCs w:val="16"/>
                <w:lang w:val="en-US"/>
              </w:rPr>
              <w:t>document</w:t>
            </w:r>
            <w:r w:rsidRPr="00E16672">
              <w:rPr>
                <w:rFonts w:ascii="Times New Roman" w:hAnsi="Times New Roman"/>
                <w:sz w:val="16"/>
                <w:szCs w:val="16"/>
                <w:lang w:val="uk-UA"/>
              </w:rPr>
              <w:t xml:space="preserve"> </w:t>
            </w:r>
            <w:r w:rsidRPr="00F23413">
              <w:rPr>
                <w:rFonts w:ascii="Times New Roman" w:hAnsi="Times New Roman"/>
                <w:sz w:val="16"/>
                <w:szCs w:val="16"/>
                <w:lang w:val="en-US"/>
              </w:rPr>
              <w:t>is</w:t>
            </w:r>
            <w:r w:rsidRPr="00E16672">
              <w:rPr>
                <w:rFonts w:ascii="Times New Roman" w:hAnsi="Times New Roman"/>
                <w:sz w:val="16"/>
                <w:szCs w:val="16"/>
                <w:lang w:val="uk-UA"/>
              </w:rPr>
              <w:t xml:space="preserve"> </w:t>
            </w:r>
            <w:r w:rsidRPr="00F23413">
              <w:rPr>
                <w:rFonts w:ascii="Times New Roman" w:hAnsi="Times New Roman"/>
                <w:sz w:val="16"/>
                <w:szCs w:val="16"/>
                <w:lang w:val="en-US"/>
              </w:rPr>
              <w:t>addressed</w:t>
            </w:r>
            <w:r w:rsidRPr="00E16672">
              <w:rPr>
                <w:rFonts w:ascii="Times New Roman" w:hAnsi="Times New Roman"/>
                <w:color w:val="000000"/>
                <w:sz w:val="16"/>
                <w:szCs w:val="16"/>
                <w:shd w:val="clear" w:color="auto" w:fill="FFFFFF"/>
                <w:lang w:val="uk-UA"/>
              </w:rPr>
              <w:t>.</w:t>
            </w:r>
          </w:p>
          <w:p w14:paraId="33120D22" w14:textId="77777777" w:rsidR="003A05A3" w:rsidRPr="00E16672" w:rsidRDefault="003A05A3" w:rsidP="00843027">
            <w:pPr>
              <w:tabs>
                <w:tab w:val="left" w:pos="287"/>
              </w:tabs>
              <w:snapToGrid w:val="0"/>
              <w:ind w:left="145" w:right="100"/>
              <w:rPr>
                <w:rFonts w:ascii="Times New Roman" w:hAnsi="Times New Roman"/>
                <w:color w:val="000000"/>
                <w:sz w:val="16"/>
                <w:szCs w:val="16"/>
                <w:shd w:val="clear" w:color="auto" w:fill="FFFFFF"/>
                <w:lang w:val="uk-UA"/>
              </w:rPr>
            </w:pPr>
          </w:p>
        </w:tc>
      </w:tr>
      <w:tr w:rsidR="003A05A3" w:rsidRPr="00F23413" w14:paraId="40CC5A88" w14:textId="77777777" w:rsidTr="00242F58">
        <w:trPr>
          <w:trHeight w:val="192"/>
        </w:trPr>
        <w:tc>
          <w:tcPr>
            <w:tcW w:w="5696" w:type="dxa"/>
            <w:gridSpan w:val="8"/>
            <w:shd w:val="clear" w:color="auto" w:fill="auto"/>
          </w:tcPr>
          <w:p w14:paraId="38F9F79B" w14:textId="77777777" w:rsidR="003A05A3" w:rsidRPr="00E16672" w:rsidRDefault="003A05A3" w:rsidP="00843027">
            <w:pPr>
              <w:pStyle w:val="33"/>
              <w:tabs>
                <w:tab w:val="left" w:pos="851"/>
              </w:tabs>
              <w:snapToGrid w:val="0"/>
              <w:ind w:left="175" w:right="138" w:firstLine="0"/>
              <w:rPr>
                <w:rFonts w:ascii="Times New Roman" w:hAnsi="Times New Roman" w:cs="Times New Roman"/>
                <w:color w:val="000000"/>
                <w:sz w:val="16"/>
                <w:szCs w:val="16"/>
                <w:lang w:val="uk-UA"/>
              </w:rPr>
            </w:pPr>
            <w:r w:rsidRPr="00E16672">
              <w:rPr>
                <w:rFonts w:ascii="Times New Roman" w:hAnsi="Times New Roman" w:cs="Times New Roman"/>
                <w:color w:val="000000"/>
                <w:sz w:val="16"/>
                <w:szCs w:val="16"/>
                <w:lang w:val="uk-UA"/>
              </w:rPr>
              <w:t>1</w:t>
            </w:r>
            <w:r w:rsidR="00577C78" w:rsidRPr="00E16672">
              <w:rPr>
                <w:rFonts w:ascii="Times New Roman" w:hAnsi="Times New Roman" w:cs="Times New Roman"/>
                <w:color w:val="000000"/>
                <w:sz w:val="16"/>
                <w:szCs w:val="16"/>
                <w:lang w:val="uk-UA"/>
              </w:rPr>
              <w:t>0</w:t>
            </w:r>
            <w:r w:rsidRPr="00E16672">
              <w:rPr>
                <w:rFonts w:ascii="Times New Roman" w:hAnsi="Times New Roman" w:cs="Times New Roman"/>
                <w:color w:val="000000"/>
                <w:sz w:val="16"/>
                <w:szCs w:val="16"/>
                <w:lang w:val="uk-UA"/>
              </w:rPr>
              <w:t xml:space="preserve">.8. </w:t>
            </w:r>
            <w:r w:rsidRPr="00E16672">
              <w:rPr>
                <w:rFonts w:ascii="Times New Roman" w:hAnsi="Times New Roman" w:cs="Times New Roman"/>
                <w:sz w:val="16"/>
                <w:szCs w:val="16"/>
                <w:lang w:val="uk-UA"/>
              </w:rPr>
              <w:t>Кваліфікований</w:t>
            </w:r>
            <w:r w:rsidRPr="00E16672" w:rsidDel="00047AE1">
              <w:rPr>
                <w:rFonts w:ascii="Times New Roman" w:hAnsi="Times New Roman" w:cs="Times New Roman"/>
                <w:sz w:val="16"/>
                <w:szCs w:val="16"/>
                <w:lang w:val="uk-UA"/>
              </w:rPr>
              <w:t xml:space="preserve"> </w:t>
            </w:r>
            <w:r w:rsidRPr="00E16672">
              <w:rPr>
                <w:rFonts w:ascii="Times New Roman" w:hAnsi="Times New Roman" w:cs="Times New Roman"/>
                <w:color w:val="000000"/>
                <w:sz w:val="16"/>
                <w:szCs w:val="16"/>
                <w:lang w:val="uk-UA"/>
              </w:rPr>
              <w:t xml:space="preserve">електронний підпис вважається таким, що відповідає сертифікату відкритого ключа, якщо особистий ключ </w:t>
            </w:r>
            <w:proofErr w:type="spellStart"/>
            <w:r w:rsidRPr="00E16672">
              <w:rPr>
                <w:rFonts w:ascii="Times New Roman" w:hAnsi="Times New Roman" w:cs="Times New Roman"/>
                <w:color w:val="000000"/>
                <w:sz w:val="16"/>
                <w:szCs w:val="16"/>
                <w:lang w:val="uk-UA"/>
              </w:rPr>
              <w:t>підписувача</w:t>
            </w:r>
            <w:proofErr w:type="spellEnd"/>
            <w:r w:rsidRPr="00E16672">
              <w:rPr>
                <w:rFonts w:ascii="Times New Roman" w:hAnsi="Times New Roman" w:cs="Times New Roman"/>
                <w:color w:val="000000"/>
                <w:sz w:val="16"/>
                <w:szCs w:val="16"/>
                <w:lang w:val="uk-UA"/>
              </w:rPr>
              <w:t xml:space="preserve">, використаний при формуванні </w:t>
            </w:r>
            <w:r w:rsidRPr="00E16672">
              <w:rPr>
                <w:rFonts w:ascii="Times New Roman" w:hAnsi="Times New Roman" w:cs="Times New Roman"/>
                <w:sz w:val="16"/>
                <w:lang w:val="uk-UA"/>
              </w:rPr>
              <w:t>кваліфікованого</w:t>
            </w:r>
            <w:r w:rsidRPr="00E16672" w:rsidDel="00047AE1">
              <w:rPr>
                <w:rFonts w:ascii="Times New Roman" w:hAnsi="Times New Roman" w:cs="Times New Roman"/>
                <w:sz w:val="16"/>
                <w:lang w:val="uk-UA"/>
              </w:rPr>
              <w:t xml:space="preserve"> </w:t>
            </w:r>
            <w:r w:rsidRPr="00E16672">
              <w:rPr>
                <w:rFonts w:ascii="Times New Roman" w:hAnsi="Times New Roman" w:cs="Times New Roman"/>
                <w:color w:val="000000"/>
                <w:sz w:val="16"/>
                <w:szCs w:val="16"/>
                <w:lang w:val="uk-UA"/>
              </w:rPr>
              <w:t>електронного підпису, відповідає відкритому ключу, зазначеному у сертифікаті.</w:t>
            </w:r>
          </w:p>
          <w:p w14:paraId="689CBE23" w14:textId="77777777" w:rsidR="003A05A3" w:rsidRPr="00E16672" w:rsidRDefault="003A05A3" w:rsidP="00843027">
            <w:pPr>
              <w:pStyle w:val="33"/>
              <w:tabs>
                <w:tab w:val="left" w:pos="851"/>
              </w:tabs>
              <w:ind w:left="175" w:right="138"/>
              <w:rPr>
                <w:rFonts w:ascii="Times New Roman" w:hAnsi="Times New Roman" w:cs="Times New Roman"/>
                <w:color w:val="000000"/>
                <w:sz w:val="16"/>
                <w:szCs w:val="16"/>
                <w:lang w:val="uk-UA"/>
              </w:rPr>
            </w:pPr>
          </w:p>
        </w:tc>
        <w:tc>
          <w:tcPr>
            <w:tcW w:w="5494" w:type="dxa"/>
            <w:gridSpan w:val="6"/>
            <w:shd w:val="clear" w:color="auto" w:fill="auto"/>
          </w:tcPr>
          <w:p w14:paraId="603733D5" w14:textId="77777777" w:rsidR="003A05A3" w:rsidRPr="00E16672" w:rsidRDefault="003A05A3" w:rsidP="00577C78">
            <w:pPr>
              <w:tabs>
                <w:tab w:val="left" w:pos="287"/>
              </w:tabs>
              <w:snapToGrid w:val="0"/>
              <w:ind w:left="145" w:right="100" w:firstLine="0"/>
              <w:rPr>
                <w:rFonts w:ascii="Times New Roman" w:hAnsi="Times New Roman"/>
                <w:color w:val="000000"/>
                <w:sz w:val="16"/>
                <w:szCs w:val="16"/>
                <w:shd w:val="clear" w:color="auto" w:fill="FFFFFF"/>
                <w:lang w:val="en-GB"/>
              </w:rPr>
            </w:pPr>
            <w:r w:rsidRPr="00E16672">
              <w:rPr>
                <w:rFonts w:ascii="Times New Roman" w:hAnsi="Times New Roman"/>
                <w:color w:val="000000"/>
                <w:sz w:val="16"/>
                <w:szCs w:val="16"/>
                <w:shd w:val="clear" w:color="auto" w:fill="FFFFFF"/>
                <w:lang w:val="uk-UA"/>
              </w:rPr>
              <w:t>1</w:t>
            </w:r>
            <w:r w:rsidR="00577C78" w:rsidRPr="00E16672">
              <w:rPr>
                <w:rFonts w:ascii="Times New Roman" w:hAnsi="Times New Roman"/>
                <w:color w:val="000000"/>
                <w:sz w:val="16"/>
                <w:szCs w:val="16"/>
                <w:shd w:val="clear" w:color="auto" w:fill="FFFFFF"/>
                <w:lang w:val="uk-UA"/>
              </w:rPr>
              <w:t>0</w:t>
            </w:r>
            <w:r w:rsidRPr="00E16672">
              <w:rPr>
                <w:rFonts w:ascii="Times New Roman" w:hAnsi="Times New Roman"/>
                <w:color w:val="000000"/>
                <w:sz w:val="16"/>
                <w:szCs w:val="16"/>
                <w:shd w:val="clear" w:color="auto" w:fill="FFFFFF"/>
                <w:lang w:val="uk-UA"/>
              </w:rPr>
              <w:t xml:space="preserve">.8. </w:t>
            </w:r>
            <w:r w:rsidR="00D048FE" w:rsidRPr="00F23413">
              <w:rPr>
                <w:rStyle w:val="shorttext"/>
                <w:rFonts w:ascii="Times New Roman" w:hAnsi="Times New Roman"/>
                <w:sz w:val="16"/>
                <w:szCs w:val="16"/>
                <w:lang w:val="en-US"/>
              </w:rPr>
              <w:t>Qualified</w:t>
            </w:r>
            <w:r w:rsidR="00D048FE" w:rsidRPr="00E16672">
              <w:rPr>
                <w:rStyle w:val="shorttext"/>
                <w:rFonts w:ascii="Times New Roman" w:hAnsi="Times New Roman"/>
                <w:sz w:val="16"/>
                <w:szCs w:val="16"/>
                <w:lang w:val="uk-UA"/>
              </w:rPr>
              <w:t xml:space="preserve"> </w:t>
            </w:r>
            <w:r w:rsidR="00D048FE" w:rsidRPr="00E16672">
              <w:rPr>
                <w:rFonts w:ascii="Times New Roman" w:hAnsi="Times New Roman"/>
                <w:color w:val="000000"/>
                <w:sz w:val="16"/>
                <w:szCs w:val="16"/>
                <w:shd w:val="clear" w:color="auto" w:fill="FFFFFF"/>
                <w:lang w:val="en-GB"/>
              </w:rPr>
              <w:t>qualified electronic</w:t>
            </w:r>
            <w:r w:rsidR="00D048FE" w:rsidRPr="00E16672">
              <w:rPr>
                <w:rFonts w:ascii="Times New Roman" w:hAnsi="Times New Roman"/>
                <w:color w:val="000000"/>
                <w:sz w:val="16"/>
                <w:szCs w:val="16"/>
                <w:shd w:val="clear" w:color="auto" w:fill="FFFFFF"/>
                <w:lang w:val="uk-UA"/>
              </w:rPr>
              <w:t xml:space="preserve"> </w:t>
            </w:r>
            <w:r w:rsidR="00D048FE" w:rsidRPr="00E16672">
              <w:rPr>
                <w:rFonts w:ascii="Times New Roman" w:hAnsi="Times New Roman"/>
                <w:color w:val="000000"/>
                <w:sz w:val="16"/>
                <w:szCs w:val="16"/>
                <w:shd w:val="clear" w:color="auto" w:fill="FFFFFF"/>
                <w:lang w:val="en-GB"/>
              </w:rPr>
              <w:t>Signature</w:t>
            </w:r>
            <w:r w:rsidR="00D048FE" w:rsidRPr="00E16672">
              <w:rPr>
                <w:rFonts w:ascii="Times New Roman" w:hAnsi="Times New Roman"/>
                <w:color w:val="000000"/>
                <w:sz w:val="16"/>
                <w:szCs w:val="16"/>
                <w:shd w:val="clear" w:color="auto" w:fill="FFFFFF"/>
                <w:lang w:val="uk-UA"/>
              </w:rPr>
              <w:t xml:space="preserve"> </w:t>
            </w:r>
            <w:r w:rsidR="00D048FE" w:rsidRPr="00E16672">
              <w:rPr>
                <w:rFonts w:ascii="Times New Roman" w:hAnsi="Times New Roman"/>
                <w:color w:val="000000"/>
                <w:sz w:val="16"/>
                <w:szCs w:val="16"/>
                <w:shd w:val="clear" w:color="auto" w:fill="FFFFFF"/>
                <w:lang w:val="en-GB"/>
              </w:rPr>
              <w:t>deemed</w:t>
            </w:r>
            <w:r w:rsidR="00D048FE" w:rsidRPr="00E16672">
              <w:rPr>
                <w:rFonts w:ascii="Times New Roman" w:hAnsi="Times New Roman"/>
                <w:color w:val="000000"/>
                <w:sz w:val="16"/>
                <w:szCs w:val="16"/>
                <w:shd w:val="clear" w:color="auto" w:fill="FFFFFF"/>
                <w:lang w:val="uk-UA"/>
              </w:rPr>
              <w:t xml:space="preserve"> </w:t>
            </w:r>
            <w:r w:rsidR="00D048FE" w:rsidRPr="00E16672">
              <w:rPr>
                <w:rFonts w:ascii="Times New Roman" w:hAnsi="Times New Roman"/>
                <w:color w:val="000000"/>
                <w:sz w:val="16"/>
                <w:szCs w:val="16"/>
                <w:shd w:val="clear" w:color="auto" w:fill="FFFFFF"/>
                <w:lang w:val="en-GB"/>
              </w:rPr>
              <w:t>to</w:t>
            </w:r>
            <w:r w:rsidR="00D048FE" w:rsidRPr="00E16672">
              <w:rPr>
                <w:rFonts w:ascii="Times New Roman" w:hAnsi="Times New Roman"/>
                <w:color w:val="000000"/>
                <w:sz w:val="16"/>
                <w:szCs w:val="16"/>
                <w:shd w:val="clear" w:color="auto" w:fill="FFFFFF"/>
                <w:lang w:val="uk-UA"/>
              </w:rPr>
              <w:t xml:space="preserve"> </w:t>
            </w:r>
            <w:r w:rsidR="00D048FE" w:rsidRPr="00E16672">
              <w:rPr>
                <w:rFonts w:ascii="Times New Roman" w:hAnsi="Times New Roman"/>
                <w:color w:val="000000"/>
                <w:sz w:val="16"/>
                <w:szCs w:val="16"/>
                <w:shd w:val="clear" w:color="auto" w:fill="FFFFFF"/>
                <w:lang w:val="en-GB"/>
              </w:rPr>
              <w:t>match</w:t>
            </w:r>
            <w:r w:rsidR="00D048FE" w:rsidRPr="00E16672">
              <w:rPr>
                <w:rFonts w:ascii="Times New Roman" w:hAnsi="Times New Roman"/>
                <w:color w:val="000000"/>
                <w:sz w:val="16"/>
                <w:szCs w:val="16"/>
                <w:shd w:val="clear" w:color="auto" w:fill="FFFFFF"/>
                <w:lang w:val="uk-UA"/>
              </w:rPr>
              <w:t xml:space="preserve"> </w:t>
            </w:r>
            <w:r w:rsidR="00D048FE" w:rsidRPr="00E16672">
              <w:rPr>
                <w:rFonts w:ascii="Times New Roman" w:hAnsi="Times New Roman"/>
                <w:color w:val="000000"/>
                <w:sz w:val="16"/>
                <w:szCs w:val="16"/>
                <w:shd w:val="clear" w:color="auto" w:fill="FFFFFF"/>
                <w:lang w:val="en-GB"/>
              </w:rPr>
              <w:t>certificate</w:t>
            </w:r>
            <w:r w:rsidR="00D048FE" w:rsidRPr="00E16672">
              <w:rPr>
                <w:rFonts w:ascii="Times New Roman" w:hAnsi="Times New Roman"/>
                <w:color w:val="000000"/>
                <w:sz w:val="16"/>
                <w:szCs w:val="16"/>
                <w:shd w:val="clear" w:color="auto" w:fill="FFFFFF"/>
                <w:lang w:val="uk-UA"/>
              </w:rPr>
              <w:t xml:space="preserve"> </w:t>
            </w:r>
            <w:r w:rsidR="00D048FE" w:rsidRPr="00E16672">
              <w:rPr>
                <w:rFonts w:ascii="Times New Roman" w:hAnsi="Times New Roman"/>
                <w:color w:val="000000"/>
                <w:sz w:val="16"/>
                <w:szCs w:val="16"/>
                <w:shd w:val="clear" w:color="auto" w:fill="FFFFFF"/>
                <w:lang w:val="en-GB"/>
              </w:rPr>
              <w:t>public</w:t>
            </w:r>
            <w:r w:rsidR="00D048FE" w:rsidRPr="00E16672">
              <w:rPr>
                <w:rFonts w:ascii="Times New Roman" w:hAnsi="Times New Roman"/>
                <w:color w:val="000000"/>
                <w:sz w:val="16"/>
                <w:szCs w:val="16"/>
                <w:shd w:val="clear" w:color="auto" w:fill="FFFFFF"/>
                <w:lang w:val="uk-UA"/>
              </w:rPr>
              <w:t xml:space="preserve"> </w:t>
            </w:r>
            <w:r w:rsidR="00D048FE" w:rsidRPr="00E16672">
              <w:rPr>
                <w:rFonts w:ascii="Times New Roman" w:hAnsi="Times New Roman"/>
                <w:color w:val="000000"/>
                <w:sz w:val="16"/>
                <w:szCs w:val="16"/>
                <w:shd w:val="clear" w:color="auto" w:fill="FFFFFF"/>
                <w:lang w:val="en-GB"/>
              </w:rPr>
              <w:t>key</w:t>
            </w:r>
            <w:r w:rsidR="00D048FE" w:rsidRPr="00E16672">
              <w:rPr>
                <w:rFonts w:ascii="Times New Roman" w:hAnsi="Times New Roman"/>
                <w:color w:val="000000"/>
                <w:sz w:val="16"/>
                <w:szCs w:val="16"/>
                <w:shd w:val="clear" w:color="auto" w:fill="FFFFFF"/>
                <w:lang w:val="uk-UA"/>
              </w:rPr>
              <w:t xml:space="preserve">, </w:t>
            </w:r>
            <w:r w:rsidR="00D048FE" w:rsidRPr="00E16672">
              <w:rPr>
                <w:rFonts w:ascii="Times New Roman" w:hAnsi="Times New Roman"/>
                <w:color w:val="000000"/>
                <w:sz w:val="16"/>
                <w:szCs w:val="16"/>
                <w:shd w:val="clear" w:color="auto" w:fill="FFFFFF"/>
                <w:lang w:val="en-GB"/>
              </w:rPr>
              <w:t>if</w:t>
            </w:r>
            <w:r w:rsidR="00D048FE" w:rsidRPr="00E16672">
              <w:rPr>
                <w:rFonts w:ascii="Times New Roman" w:hAnsi="Times New Roman"/>
                <w:color w:val="000000"/>
                <w:sz w:val="16"/>
                <w:szCs w:val="16"/>
                <w:shd w:val="clear" w:color="auto" w:fill="FFFFFF"/>
                <w:lang w:val="uk-UA"/>
              </w:rPr>
              <w:t xml:space="preserve"> </w:t>
            </w:r>
            <w:r w:rsidR="00D048FE" w:rsidRPr="00E16672">
              <w:rPr>
                <w:rFonts w:ascii="Times New Roman" w:hAnsi="Times New Roman"/>
                <w:color w:val="000000"/>
                <w:sz w:val="16"/>
                <w:szCs w:val="16"/>
                <w:shd w:val="clear" w:color="auto" w:fill="FFFFFF"/>
                <w:lang w:val="en-GB"/>
              </w:rPr>
              <w:t>private</w:t>
            </w:r>
            <w:r w:rsidR="00D048FE" w:rsidRPr="00E16672">
              <w:rPr>
                <w:rFonts w:ascii="Times New Roman" w:hAnsi="Times New Roman"/>
                <w:color w:val="000000"/>
                <w:sz w:val="16"/>
                <w:szCs w:val="16"/>
                <w:shd w:val="clear" w:color="auto" w:fill="FFFFFF"/>
                <w:lang w:val="uk-UA"/>
              </w:rPr>
              <w:t xml:space="preserve"> </w:t>
            </w:r>
            <w:r w:rsidR="00D048FE" w:rsidRPr="00E16672">
              <w:rPr>
                <w:rFonts w:ascii="Times New Roman" w:hAnsi="Times New Roman"/>
                <w:color w:val="000000"/>
                <w:sz w:val="16"/>
                <w:szCs w:val="16"/>
                <w:shd w:val="clear" w:color="auto" w:fill="FFFFFF"/>
                <w:lang w:val="en-GB"/>
              </w:rPr>
              <w:t>key</w:t>
            </w:r>
            <w:r w:rsidR="00D048FE" w:rsidRPr="00E16672">
              <w:rPr>
                <w:rFonts w:ascii="Times New Roman" w:hAnsi="Times New Roman"/>
                <w:color w:val="000000"/>
                <w:sz w:val="16"/>
                <w:szCs w:val="16"/>
                <w:shd w:val="clear" w:color="auto" w:fill="FFFFFF"/>
                <w:lang w:val="uk-UA"/>
              </w:rPr>
              <w:t xml:space="preserve"> </w:t>
            </w:r>
            <w:r w:rsidR="00D048FE" w:rsidRPr="00E16672">
              <w:rPr>
                <w:rFonts w:ascii="Times New Roman" w:hAnsi="Times New Roman"/>
                <w:color w:val="000000"/>
                <w:sz w:val="16"/>
                <w:szCs w:val="16"/>
                <w:shd w:val="clear" w:color="auto" w:fill="FFFFFF"/>
                <w:lang w:val="en-GB"/>
              </w:rPr>
              <w:t>of</w:t>
            </w:r>
            <w:r w:rsidR="00D048FE" w:rsidRPr="00E16672">
              <w:rPr>
                <w:rFonts w:ascii="Times New Roman" w:hAnsi="Times New Roman"/>
                <w:color w:val="000000"/>
                <w:sz w:val="16"/>
                <w:szCs w:val="16"/>
                <w:shd w:val="clear" w:color="auto" w:fill="FFFFFF"/>
                <w:lang w:val="uk-UA"/>
              </w:rPr>
              <w:t xml:space="preserve"> </w:t>
            </w:r>
            <w:r w:rsidR="00D048FE" w:rsidRPr="00E16672">
              <w:rPr>
                <w:rFonts w:ascii="Times New Roman" w:hAnsi="Times New Roman"/>
                <w:color w:val="000000"/>
                <w:sz w:val="16"/>
                <w:szCs w:val="16"/>
                <w:shd w:val="clear" w:color="auto" w:fill="FFFFFF"/>
                <w:lang w:val="en-GB"/>
              </w:rPr>
              <w:t>signer</w:t>
            </w:r>
            <w:r w:rsidR="00D048FE" w:rsidRPr="00E16672">
              <w:rPr>
                <w:rFonts w:ascii="Times New Roman" w:hAnsi="Times New Roman"/>
                <w:color w:val="000000"/>
                <w:sz w:val="16"/>
                <w:szCs w:val="16"/>
                <w:shd w:val="clear" w:color="auto" w:fill="FFFFFF"/>
                <w:lang w:val="uk-UA"/>
              </w:rPr>
              <w:t xml:space="preserve"> </w:t>
            </w:r>
            <w:r w:rsidR="00D048FE" w:rsidRPr="00E16672">
              <w:rPr>
                <w:rFonts w:ascii="Times New Roman" w:hAnsi="Times New Roman"/>
                <w:color w:val="000000"/>
                <w:sz w:val="16"/>
                <w:szCs w:val="16"/>
                <w:shd w:val="clear" w:color="auto" w:fill="FFFFFF"/>
                <w:lang w:val="en-GB"/>
              </w:rPr>
              <w:t>used</w:t>
            </w:r>
            <w:r w:rsidR="00D048FE" w:rsidRPr="00E16672">
              <w:rPr>
                <w:rFonts w:ascii="Times New Roman" w:hAnsi="Times New Roman"/>
                <w:color w:val="000000"/>
                <w:sz w:val="16"/>
                <w:szCs w:val="16"/>
                <w:shd w:val="clear" w:color="auto" w:fill="FFFFFF"/>
                <w:lang w:val="uk-UA"/>
              </w:rPr>
              <w:t xml:space="preserve"> </w:t>
            </w:r>
            <w:r w:rsidR="00D048FE" w:rsidRPr="00E16672">
              <w:rPr>
                <w:rFonts w:ascii="Times New Roman" w:hAnsi="Times New Roman"/>
                <w:color w:val="000000"/>
                <w:sz w:val="16"/>
                <w:szCs w:val="16"/>
                <w:shd w:val="clear" w:color="auto" w:fill="FFFFFF"/>
                <w:lang w:val="en-GB"/>
              </w:rPr>
              <w:t xml:space="preserve">when </w:t>
            </w:r>
            <w:proofErr w:type="gramStart"/>
            <w:r w:rsidR="00D048FE" w:rsidRPr="00E16672">
              <w:rPr>
                <w:rFonts w:ascii="Times New Roman" w:hAnsi="Times New Roman"/>
                <w:color w:val="000000"/>
                <w:sz w:val="16"/>
                <w:szCs w:val="16"/>
                <w:shd w:val="clear" w:color="auto" w:fill="FFFFFF"/>
                <w:lang w:val="en-GB"/>
              </w:rPr>
              <w:t xml:space="preserve">forming  </w:t>
            </w:r>
            <w:r w:rsidR="00D048FE" w:rsidRPr="00F23413">
              <w:rPr>
                <w:rStyle w:val="shorttext"/>
                <w:rFonts w:ascii="Times New Roman" w:hAnsi="Times New Roman"/>
                <w:sz w:val="16"/>
                <w:szCs w:val="16"/>
                <w:lang w:val="en-US"/>
              </w:rPr>
              <w:t>qualified</w:t>
            </w:r>
            <w:proofErr w:type="gramEnd"/>
            <w:r w:rsidR="00D048FE" w:rsidRPr="00E16672">
              <w:rPr>
                <w:rStyle w:val="shorttext"/>
                <w:rFonts w:ascii="Times New Roman" w:hAnsi="Times New Roman"/>
                <w:sz w:val="16"/>
                <w:szCs w:val="16"/>
                <w:lang w:val="uk-UA"/>
              </w:rPr>
              <w:t xml:space="preserve"> </w:t>
            </w:r>
            <w:r w:rsidR="00D048FE" w:rsidRPr="00E16672">
              <w:rPr>
                <w:rFonts w:ascii="Times New Roman" w:hAnsi="Times New Roman"/>
                <w:color w:val="000000"/>
                <w:sz w:val="16"/>
                <w:szCs w:val="16"/>
                <w:shd w:val="clear" w:color="auto" w:fill="FFFFFF"/>
                <w:lang w:val="en-GB"/>
              </w:rPr>
              <w:t>electronic signature matches the public key specified in the certificate</w:t>
            </w:r>
            <w:r w:rsidRPr="00E16672">
              <w:rPr>
                <w:rFonts w:ascii="Times New Roman" w:hAnsi="Times New Roman"/>
                <w:color w:val="000000"/>
                <w:sz w:val="16"/>
                <w:szCs w:val="16"/>
                <w:shd w:val="clear" w:color="auto" w:fill="FFFFFF"/>
                <w:lang w:val="en-GB"/>
              </w:rPr>
              <w:t>.</w:t>
            </w:r>
          </w:p>
        </w:tc>
      </w:tr>
      <w:tr w:rsidR="003A05A3" w:rsidRPr="00F23413" w14:paraId="0EC9BFE6" w14:textId="77777777" w:rsidTr="00242F58">
        <w:trPr>
          <w:trHeight w:val="192"/>
        </w:trPr>
        <w:tc>
          <w:tcPr>
            <w:tcW w:w="5696" w:type="dxa"/>
            <w:gridSpan w:val="8"/>
            <w:shd w:val="clear" w:color="auto" w:fill="auto"/>
          </w:tcPr>
          <w:p w14:paraId="7AB9D950" w14:textId="77777777" w:rsidR="003A05A3" w:rsidRPr="00E16672" w:rsidRDefault="003A05A3" w:rsidP="00843027">
            <w:pPr>
              <w:pStyle w:val="33"/>
              <w:tabs>
                <w:tab w:val="left" w:pos="851"/>
              </w:tabs>
              <w:snapToGrid w:val="0"/>
              <w:ind w:left="175" w:right="138" w:firstLine="0"/>
              <w:rPr>
                <w:rFonts w:ascii="Times New Roman" w:hAnsi="Times New Roman" w:cs="Times New Roman"/>
                <w:color w:val="000000"/>
                <w:sz w:val="16"/>
                <w:szCs w:val="16"/>
                <w:lang w:val="uk-UA"/>
              </w:rPr>
            </w:pPr>
            <w:r w:rsidRPr="00E16672">
              <w:rPr>
                <w:rFonts w:ascii="Times New Roman" w:hAnsi="Times New Roman" w:cs="Times New Roman"/>
                <w:color w:val="000000"/>
                <w:sz w:val="16"/>
                <w:szCs w:val="16"/>
                <w:lang w:val="uk-UA"/>
              </w:rPr>
              <w:t>1</w:t>
            </w:r>
            <w:r w:rsidR="00577C78" w:rsidRPr="00E16672">
              <w:rPr>
                <w:rFonts w:ascii="Times New Roman" w:hAnsi="Times New Roman" w:cs="Times New Roman"/>
                <w:color w:val="000000"/>
                <w:sz w:val="16"/>
                <w:szCs w:val="16"/>
                <w:lang w:val="uk-UA"/>
              </w:rPr>
              <w:t>0</w:t>
            </w:r>
            <w:r w:rsidRPr="00E16672">
              <w:rPr>
                <w:rFonts w:ascii="Times New Roman" w:hAnsi="Times New Roman" w:cs="Times New Roman"/>
                <w:color w:val="000000"/>
                <w:sz w:val="16"/>
                <w:szCs w:val="16"/>
                <w:lang w:val="uk-UA"/>
              </w:rPr>
              <w:t xml:space="preserve">.9. Відповідно до цього Договору Сторони зобов'язуються визнавати </w:t>
            </w:r>
            <w:proofErr w:type="spellStart"/>
            <w:r w:rsidRPr="00E16672">
              <w:rPr>
                <w:rFonts w:ascii="Times New Roman" w:hAnsi="Times New Roman" w:cs="Times New Roman"/>
                <w:sz w:val="16"/>
                <w:lang w:val="uk-UA"/>
              </w:rPr>
              <w:t>кваліфікованbq</w:t>
            </w:r>
            <w:proofErr w:type="spellEnd"/>
            <w:r w:rsidRPr="00E16672" w:rsidDel="00047AE1">
              <w:rPr>
                <w:rFonts w:ascii="Times New Roman" w:hAnsi="Times New Roman" w:cs="Times New Roman"/>
                <w:sz w:val="16"/>
                <w:lang w:val="uk-UA"/>
              </w:rPr>
              <w:t xml:space="preserve"> </w:t>
            </w:r>
            <w:r w:rsidRPr="00E16672">
              <w:rPr>
                <w:rFonts w:ascii="Times New Roman" w:hAnsi="Times New Roman" w:cs="Times New Roman"/>
                <w:color w:val="000000"/>
                <w:sz w:val="16"/>
                <w:szCs w:val="16"/>
                <w:lang w:val="uk-UA"/>
              </w:rPr>
              <w:t>електронний підпис як такий, що надає юридичної сили електронним документам, сформованим з його використанням.</w:t>
            </w:r>
          </w:p>
          <w:p w14:paraId="46D2BDF6" w14:textId="77777777" w:rsidR="003A05A3" w:rsidRPr="00E16672" w:rsidRDefault="003A05A3" w:rsidP="00843027">
            <w:pPr>
              <w:pStyle w:val="33"/>
              <w:tabs>
                <w:tab w:val="left" w:pos="851"/>
              </w:tabs>
              <w:ind w:left="175" w:right="138"/>
              <w:rPr>
                <w:rFonts w:ascii="Times New Roman" w:hAnsi="Times New Roman" w:cs="Times New Roman"/>
                <w:color w:val="000000"/>
                <w:sz w:val="16"/>
                <w:szCs w:val="16"/>
                <w:lang w:val="uk-UA"/>
              </w:rPr>
            </w:pPr>
          </w:p>
        </w:tc>
        <w:tc>
          <w:tcPr>
            <w:tcW w:w="5494" w:type="dxa"/>
            <w:gridSpan w:val="6"/>
            <w:shd w:val="clear" w:color="auto" w:fill="auto"/>
          </w:tcPr>
          <w:p w14:paraId="1DCE4F6D" w14:textId="77777777" w:rsidR="003A05A3" w:rsidRPr="00E16672" w:rsidRDefault="003A05A3" w:rsidP="00577C78">
            <w:pPr>
              <w:tabs>
                <w:tab w:val="left" w:pos="287"/>
              </w:tabs>
              <w:snapToGrid w:val="0"/>
              <w:ind w:left="145" w:right="100" w:firstLine="0"/>
              <w:rPr>
                <w:rFonts w:ascii="Times New Roman" w:hAnsi="Times New Roman"/>
                <w:color w:val="000000"/>
                <w:sz w:val="16"/>
                <w:szCs w:val="16"/>
                <w:shd w:val="clear" w:color="auto" w:fill="FFFFFF"/>
                <w:lang w:val="en-GB"/>
              </w:rPr>
            </w:pPr>
            <w:r w:rsidRPr="00E16672">
              <w:rPr>
                <w:rFonts w:ascii="Times New Roman" w:hAnsi="Times New Roman"/>
                <w:color w:val="000000"/>
                <w:sz w:val="16"/>
                <w:szCs w:val="16"/>
                <w:shd w:val="clear" w:color="auto" w:fill="FFFFFF"/>
                <w:lang w:val="uk-UA"/>
              </w:rPr>
              <w:t>1</w:t>
            </w:r>
            <w:r w:rsidR="00577C78" w:rsidRPr="00E16672">
              <w:rPr>
                <w:rFonts w:ascii="Times New Roman" w:hAnsi="Times New Roman"/>
                <w:color w:val="000000"/>
                <w:sz w:val="16"/>
                <w:szCs w:val="16"/>
                <w:shd w:val="clear" w:color="auto" w:fill="FFFFFF"/>
                <w:lang w:val="uk-UA"/>
              </w:rPr>
              <w:t>0</w:t>
            </w:r>
            <w:r w:rsidRPr="00E16672">
              <w:rPr>
                <w:rFonts w:ascii="Times New Roman" w:hAnsi="Times New Roman"/>
                <w:color w:val="000000"/>
                <w:sz w:val="16"/>
                <w:szCs w:val="16"/>
                <w:shd w:val="clear" w:color="auto" w:fill="FFFFFF"/>
                <w:lang w:val="uk-UA"/>
              </w:rPr>
              <w:t xml:space="preserve">.9.  </w:t>
            </w:r>
            <w:r w:rsidRPr="00E16672">
              <w:rPr>
                <w:rFonts w:ascii="Times New Roman" w:hAnsi="Times New Roman"/>
                <w:color w:val="000000"/>
                <w:sz w:val="16"/>
                <w:szCs w:val="16"/>
                <w:shd w:val="clear" w:color="auto" w:fill="FFFFFF"/>
                <w:lang w:val="en-GB"/>
              </w:rPr>
              <w:t>According</w:t>
            </w:r>
            <w:r w:rsidRPr="00E16672">
              <w:rPr>
                <w:rFonts w:ascii="Times New Roman" w:hAnsi="Times New Roman"/>
                <w:color w:val="000000"/>
                <w:sz w:val="16"/>
                <w:szCs w:val="16"/>
                <w:shd w:val="clear" w:color="auto" w:fill="FFFFFF"/>
                <w:lang w:val="uk-UA"/>
              </w:rPr>
              <w:t xml:space="preserve"> </w:t>
            </w:r>
            <w:proofErr w:type="spellStart"/>
            <w:r w:rsidRPr="00E16672">
              <w:rPr>
                <w:rFonts w:ascii="Times New Roman" w:hAnsi="Times New Roman"/>
                <w:color w:val="000000"/>
                <w:sz w:val="16"/>
                <w:szCs w:val="16"/>
                <w:shd w:val="clear" w:color="auto" w:fill="FFFFFF"/>
                <w:lang w:val="en-GB"/>
              </w:rPr>
              <w:t>tor</w:t>
            </w:r>
            <w:proofErr w:type="spellEnd"/>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this</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Agreement</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the</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Parties</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undertake</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to</w:t>
            </w:r>
            <w:r w:rsidRPr="00E16672">
              <w:rPr>
                <w:rFonts w:ascii="Times New Roman" w:hAnsi="Times New Roman"/>
                <w:color w:val="000000"/>
                <w:sz w:val="16"/>
                <w:szCs w:val="16"/>
                <w:shd w:val="clear" w:color="auto" w:fill="FFFFFF"/>
                <w:lang w:val="uk-UA"/>
              </w:rPr>
              <w:t xml:space="preserve"> </w:t>
            </w:r>
            <w:proofErr w:type="gramStart"/>
            <w:r w:rsidRPr="00E16672">
              <w:rPr>
                <w:rFonts w:ascii="Times New Roman" w:hAnsi="Times New Roman"/>
                <w:color w:val="000000"/>
                <w:sz w:val="16"/>
                <w:szCs w:val="16"/>
                <w:shd w:val="clear" w:color="auto" w:fill="FFFFFF"/>
                <w:lang w:val="en-GB"/>
              </w:rPr>
              <w:t>recognize</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the</w:t>
            </w:r>
            <w:proofErr w:type="gramEnd"/>
            <w:r w:rsidRPr="00E16672">
              <w:rPr>
                <w:rFonts w:ascii="Times New Roman" w:hAnsi="Times New Roman"/>
                <w:color w:val="000000"/>
                <w:sz w:val="16"/>
                <w:szCs w:val="16"/>
                <w:shd w:val="clear" w:color="auto" w:fill="FFFFFF"/>
                <w:lang w:val="uk-UA"/>
              </w:rPr>
              <w:t xml:space="preserve"> </w:t>
            </w:r>
            <w:r w:rsidRPr="00F23413">
              <w:rPr>
                <w:rStyle w:val="shorttext"/>
                <w:rFonts w:ascii="Times New Roman" w:hAnsi="Times New Roman"/>
                <w:sz w:val="16"/>
                <w:szCs w:val="16"/>
                <w:lang w:val="en-US"/>
              </w:rPr>
              <w:t>qualified</w:t>
            </w:r>
            <w:r w:rsidRPr="00E16672">
              <w:rPr>
                <w:rStyle w:val="shorttext"/>
                <w:rFonts w:ascii="Times New Roman" w:hAnsi="Times New Roman"/>
                <w:sz w:val="16"/>
                <w:szCs w:val="16"/>
                <w:lang w:val="uk-UA"/>
              </w:rPr>
              <w:t xml:space="preserve"> </w:t>
            </w:r>
            <w:r w:rsidRPr="00E16672">
              <w:rPr>
                <w:rFonts w:ascii="Times New Roman" w:hAnsi="Times New Roman"/>
                <w:color w:val="000000"/>
                <w:sz w:val="16"/>
                <w:szCs w:val="16"/>
                <w:shd w:val="clear" w:color="auto" w:fill="FFFFFF"/>
                <w:lang w:val="en-GB"/>
              </w:rPr>
              <w:t>electronic</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signature</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as</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the</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one</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that gives legal force of electronic documents, formed with it.</w:t>
            </w:r>
          </w:p>
        </w:tc>
      </w:tr>
      <w:tr w:rsidR="003A05A3" w:rsidRPr="00F23413" w14:paraId="039D6708" w14:textId="77777777" w:rsidTr="00242F58">
        <w:trPr>
          <w:trHeight w:val="192"/>
        </w:trPr>
        <w:tc>
          <w:tcPr>
            <w:tcW w:w="5696" w:type="dxa"/>
            <w:gridSpan w:val="8"/>
            <w:shd w:val="clear" w:color="auto" w:fill="auto"/>
          </w:tcPr>
          <w:p w14:paraId="6CD38FFA" w14:textId="77777777" w:rsidR="003A05A3" w:rsidRPr="00E16672" w:rsidRDefault="003A05A3" w:rsidP="00577C78">
            <w:pPr>
              <w:pStyle w:val="33"/>
              <w:tabs>
                <w:tab w:val="left" w:pos="851"/>
              </w:tabs>
              <w:snapToGrid w:val="0"/>
              <w:ind w:left="175" w:right="138" w:firstLine="0"/>
              <w:rPr>
                <w:rFonts w:ascii="Times New Roman" w:hAnsi="Times New Roman" w:cs="Times New Roman"/>
                <w:color w:val="000000"/>
                <w:sz w:val="16"/>
                <w:szCs w:val="16"/>
                <w:lang w:val="uk-UA"/>
              </w:rPr>
            </w:pPr>
            <w:r w:rsidRPr="00E16672">
              <w:rPr>
                <w:rFonts w:ascii="Times New Roman" w:hAnsi="Times New Roman" w:cs="Times New Roman"/>
                <w:color w:val="000000"/>
                <w:sz w:val="16"/>
                <w:szCs w:val="16"/>
                <w:lang w:val="uk-UA"/>
              </w:rPr>
              <w:t>1</w:t>
            </w:r>
            <w:r w:rsidR="00577C78" w:rsidRPr="00E16672">
              <w:rPr>
                <w:rFonts w:ascii="Times New Roman" w:hAnsi="Times New Roman" w:cs="Times New Roman"/>
                <w:color w:val="000000"/>
                <w:sz w:val="16"/>
                <w:szCs w:val="16"/>
                <w:lang w:val="uk-UA"/>
              </w:rPr>
              <w:t>0</w:t>
            </w:r>
            <w:r w:rsidRPr="00E16672">
              <w:rPr>
                <w:rFonts w:ascii="Times New Roman" w:hAnsi="Times New Roman" w:cs="Times New Roman"/>
                <w:color w:val="000000"/>
                <w:sz w:val="16"/>
                <w:szCs w:val="16"/>
                <w:lang w:val="uk-UA"/>
              </w:rPr>
              <w:t xml:space="preserve">.10. Визнання здійснюється </w:t>
            </w:r>
            <w:r w:rsidR="00F11330" w:rsidRPr="00E16672">
              <w:rPr>
                <w:rFonts w:ascii="Times New Roman" w:hAnsi="Times New Roman" w:cs="Times New Roman"/>
                <w:color w:val="000000"/>
                <w:sz w:val="16"/>
                <w:szCs w:val="16"/>
                <w:lang w:val="uk-UA"/>
              </w:rPr>
              <w:t>адресатом</w:t>
            </w:r>
            <w:r w:rsidR="00F11330" w:rsidRPr="00E16672" w:rsidDel="00F11330">
              <w:rPr>
                <w:rFonts w:ascii="Times New Roman" w:hAnsi="Times New Roman" w:cs="Times New Roman"/>
                <w:color w:val="000000"/>
                <w:sz w:val="16"/>
                <w:szCs w:val="16"/>
                <w:lang w:val="uk-UA"/>
              </w:rPr>
              <w:t xml:space="preserve"> </w:t>
            </w:r>
            <w:r w:rsidRPr="00E16672">
              <w:rPr>
                <w:rFonts w:ascii="Times New Roman" w:hAnsi="Times New Roman" w:cs="Times New Roman"/>
                <w:color w:val="000000"/>
                <w:sz w:val="16"/>
                <w:szCs w:val="16"/>
                <w:lang w:val="uk-UA"/>
              </w:rPr>
              <w:t xml:space="preserve">щодо кожного окремого електронного документа, наданого </w:t>
            </w:r>
            <w:proofErr w:type="spellStart"/>
            <w:r w:rsidRPr="00E16672">
              <w:rPr>
                <w:rFonts w:ascii="Times New Roman" w:hAnsi="Times New Roman" w:cs="Times New Roman"/>
                <w:color w:val="000000"/>
                <w:sz w:val="16"/>
                <w:szCs w:val="16"/>
                <w:lang w:val="uk-UA"/>
              </w:rPr>
              <w:t>підписувачем</w:t>
            </w:r>
            <w:proofErr w:type="spellEnd"/>
            <w:r w:rsidRPr="00E16672">
              <w:rPr>
                <w:rFonts w:ascii="Times New Roman" w:hAnsi="Times New Roman" w:cs="Times New Roman"/>
                <w:color w:val="000000"/>
                <w:sz w:val="16"/>
                <w:szCs w:val="16"/>
                <w:lang w:val="uk-UA"/>
              </w:rPr>
              <w:t>.</w:t>
            </w:r>
          </w:p>
        </w:tc>
        <w:tc>
          <w:tcPr>
            <w:tcW w:w="5494" w:type="dxa"/>
            <w:gridSpan w:val="6"/>
            <w:shd w:val="clear" w:color="auto" w:fill="auto"/>
          </w:tcPr>
          <w:p w14:paraId="0B475738" w14:textId="77777777" w:rsidR="003A05A3" w:rsidRPr="00E16672" w:rsidRDefault="003A05A3" w:rsidP="00843027">
            <w:pPr>
              <w:tabs>
                <w:tab w:val="left" w:pos="287"/>
              </w:tabs>
              <w:snapToGrid w:val="0"/>
              <w:ind w:left="145" w:right="100" w:firstLine="0"/>
              <w:rPr>
                <w:rFonts w:ascii="Times New Roman" w:hAnsi="Times New Roman"/>
                <w:color w:val="000000"/>
                <w:sz w:val="16"/>
                <w:szCs w:val="16"/>
                <w:shd w:val="clear" w:color="auto" w:fill="FFFFFF"/>
                <w:lang w:val="uk-UA"/>
              </w:rPr>
            </w:pPr>
            <w:r w:rsidRPr="00E16672">
              <w:rPr>
                <w:rFonts w:ascii="Times New Roman" w:hAnsi="Times New Roman"/>
                <w:color w:val="000000"/>
                <w:sz w:val="16"/>
                <w:szCs w:val="16"/>
                <w:shd w:val="clear" w:color="auto" w:fill="FFFFFF"/>
                <w:lang w:val="uk-UA"/>
              </w:rPr>
              <w:t>1</w:t>
            </w:r>
            <w:r w:rsidR="00577C78" w:rsidRPr="00E16672">
              <w:rPr>
                <w:rFonts w:ascii="Times New Roman" w:hAnsi="Times New Roman"/>
                <w:color w:val="000000"/>
                <w:sz w:val="16"/>
                <w:szCs w:val="16"/>
                <w:shd w:val="clear" w:color="auto" w:fill="FFFFFF"/>
                <w:lang w:val="uk-UA"/>
              </w:rPr>
              <w:t>0</w:t>
            </w:r>
            <w:r w:rsidRPr="00E16672">
              <w:rPr>
                <w:rFonts w:ascii="Times New Roman" w:hAnsi="Times New Roman"/>
                <w:color w:val="000000"/>
                <w:sz w:val="16"/>
                <w:szCs w:val="16"/>
                <w:shd w:val="clear" w:color="auto" w:fill="FFFFFF"/>
                <w:lang w:val="uk-UA"/>
              </w:rPr>
              <w:t xml:space="preserve">.10. </w:t>
            </w:r>
            <w:proofErr w:type="gramStart"/>
            <w:r w:rsidRPr="00E16672">
              <w:rPr>
                <w:rFonts w:ascii="Times New Roman" w:hAnsi="Times New Roman"/>
                <w:color w:val="000000"/>
                <w:sz w:val="16"/>
                <w:szCs w:val="16"/>
                <w:shd w:val="clear" w:color="auto" w:fill="FFFFFF"/>
                <w:lang w:val="en-GB"/>
              </w:rPr>
              <w:t>Recognition</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is</w:t>
            </w:r>
            <w:proofErr w:type="gramEnd"/>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made</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by</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recipient</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on</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every</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single</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electronic</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document</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provided</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by</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the</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signer</w:t>
            </w:r>
            <w:r w:rsidRPr="00E16672">
              <w:rPr>
                <w:rFonts w:ascii="Times New Roman" w:hAnsi="Times New Roman"/>
                <w:color w:val="000000"/>
                <w:sz w:val="16"/>
                <w:szCs w:val="16"/>
                <w:shd w:val="clear" w:color="auto" w:fill="FFFFFF"/>
                <w:lang w:val="uk-UA"/>
              </w:rPr>
              <w:t>.</w:t>
            </w:r>
          </w:p>
          <w:p w14:paraId="4AE9BA50" w14:textId="77777777" w:rsidR="003A05A3" w:rsidRPr="00E16672" w:rsidRDefault="003A05A3" w:rsidP="00843027">
            <w:pPr>
              <w:tabs>
                <w:tab w:val="left" w:pos="287"/>
              </w:tabs>
              <w:snapToGrid w:val="0"/>
              <w:ind w:left="145" w:right="100"/>
              <w:rPr>
                <w:rFonts w:ascii="Times New Roman" w:hAnsi="Times New Roman"/>
                <w:color w:val="000000"/>
                <w:sz w:val="16"/>
                <w:szCs w:val="16"/>
                <w:shd w:val="clear" w:color="auto" w:fill="FFFFFF"/>
                <w:lang w:val="uk-UA"/>
              </w:rPr>
            </w:pPr>
          </w:p>
        </w:tc>
      </w:tr>
      <w:tr w:rsidR="003A05A3" w:rsidRPr="00F23413" w14:paraId="5A25EB0B" w14:textId="77777777" w:rsidTr="00242F58">
        <w:trPr>
          <w:trHeight w:val="192"/>
        </w:trPr>
        <w:tc>
          <w:tcPr>
            <w:tcW w:w="5696" w:type="dxa"/>
            <w:gridSpan w:val="8"/>
            <w:shd w:val="clear" w:color="auto" w:fill="auto"/>
          </w:tcPr>
          <w:p w14:paraId="48865AD3" w14:textId="77777777" w:rsidR="003A05A3" w:rsidRPr="00E16672" w:rsidRDefault="003A05A3" w:rsidP="00577C78">
            <w:pPr>
              <w:pStyle w:val="33"/>
              <w:tabs>
                <w:tab w:val="left" w:pos="851"/>
              </w:tabs>
              <w:snapToGrid w:val="0"/>
              <w:ind w:left="175" w:right="138" w:firstLine="0"/>
              <w:rPr>
                <w:rFonts w:ascii="Times New Roman" w:hAnsi="Times New Roman" w:cs="Times New Roman"/>
                <w:color w:val="000000"/>
                <w:sz w:val="16"/>
                <w:szCs w:val="16"/>
                <w:lang w:val="uk-UA"/>
              </w:rPr>
            </w:pPr>
            <w:r w:rsidRPr="00E16672">
              <w:rPr>
                <w:rFonts w:ascii="Times New Roman" w:hAnsi="Times New Roman" w:cs="Times New Roman"/>
                <w:color w:val="000000"/>
                <w:sz w:val="16"/>
                <w:szCs w:val="16"/>
                <w:lang w:val="uk-UA"/>
              </w:rPr>
              <w:t>1</w:t>
            </w:r>
            <w:r w:rsidR="00577C78" w:rsidRPr="00E16672">
              <w:rPr>
                <w:rFonts w:ascii="Times New Roman" w:hAnsi="Times New Roman" w:cs="Times New Roman"/>
                <w:color w:val="000000"/>
                <w:sz w:val="16"/>
                <w:szCs w:val="16"/>
                <w:lang w:val="uk-UA"/>
              </w:rPr>
              <w:t>0</w:t>
            </w:r>
            <w:r w:rsidRPr="00E16672">
              <w:rPr>
                <w:rFonts w:ascii="Times New Roman" w:hAnsi="Times New Roman" w:cs="Times New Roman"/>
                <w:color w:val="000000"/>
                <w:sz w:val="16"/>
                <w:szCs w:val="16"/>
                <w:lang w:val="uk-UA"/>
              </w:rPr>
              <w:t xml:space="preserve">.11. </w:t>
            </w:r>
            <w:r w:rsidR="00D048FE" w:rsidRPr="00E16672">
              <w:rPr>
                <w:rFonts w:ascii="Times New Roman" w:hAnsi="Times New Roman" w:cs="Times New Roman"/>
                <w:color w:val="000000"/>
                <w:sz w:val="16"/>
                <w:szCs w:val="16"/>
                <w:lang w:val="uk-UA"/>
              </w:rPr>
              <w:t xml:space="preserve">Визнання </w:t>
            </w:r>
            <w:r w:rsidR="00D048FE" w:rsidRPr="00E16672">
              <w:rPr>
                <w:rFonts w:ascii="Times New Roman" w:hAnsi="Times New Roman" w:cs="Times New Roman"/>
                <w:sz w:val="16"/>
                <w:szCs w:val="16"/>
                <w:lang w:val="uk-UA"/>
              </w:rPr>
              <w:t>кваліфікованого</w:t>
            </w:r>
            <w:r w:rsidR="00D048FE" w:rsidRPr="00E16672" w:rsidDel="00047AE1">
              <w:rPr>
                <w:rFonts w:ascii="Times New Roman" w:hAnsi="Times New Roman" w:cs="Times New Roman"/>
                <w:lang w:val="uk-UA"/>
              </w:rPr>
              <w:t xml:space="preserve"> </w:t>
            </w:r>
            <w:r w:rsidR="00D048FE" w:rsidRPr="00E16672">
              <w:rPr>
                <w:rFonts w:ascii="Times New Roman" w:hAnsi="Times New Roman" w:cs="Times New Roman"/>
                <w:color w:val="000000"/>
                <w:sz w:val="16"/>
                <w:szCs w:val="16"/>
                <w:lang w:val="uk-UA"/>
              </w:rPr>
              <w:t xml:space="preserve">електронного підпису - визначення відповідності </w:t>
            </w:r>
            <w:r w:rsidR="00D048FE" w:rsidRPr="00E16672">
              <w:rPr>
                <w:rFonts w:ascii="Times New Roman" w:hAnsi="Times New Roman" w:cs="Times New Roman"/>
                <w:sz w:val="16"/>
                <w:szCs w:val="16"/>
                <w:lang w:val="uk-UA"/>
              </w:rPr>
              <w:t>кваліфікованого</w:t>
            </w:r>
            <w:r w:rsidR="00D048FE" w:rsidRPr="00E16672" w:rsidDel="00047AE1">
              <w:rPr>
                <w:rFonts w:ascii="Times New Roman" w:hAnsi="Times New Roman" w:cs="Times New Roman"/>
                <w:lang w:val="uk-UA"/>
              </w:rPr>
              <w:t xml:space="preserve"> </w:t>
            </w:r>
            <w:r w:rsidR="00D048FE" w:rsidRPr="00E16672">
              <w:rPr>
                <w:rFonts w:ascii="Times New Roman" w:hAnsi="Times New Roman" w:cs="Times New Roman"/>
                <w:color w:val="000000"/>
                <w:sz w:val="16"/>
                <w:szCs w:val="16"/>
                <w:lang w:val="uk-UA"/>
              </w:rPr>
              <w:t xml:space="preserve">електронного підпису сертифікату відкритого ключа </w:t>
            </w:r>
            <w:proofErr w:type="spellStart"/>
            <w:r w:rsidR="00D048FE" w:rsidRPr="00E16672">
              <w:rPr>
                <w:rFonts w:ascii="Times New Roman" w:hAnsi="Times New Roman" w:cs="Times New Roman"/>
                <w:color w:val="000000"/>
                <w:sz w:val="16"/>
                <w:szCs w:val="16"/>
                <w:lang w:val="uk-UA"/>
              </w:rPr>
              <w:t>підписувача</w:t>
            </w:r>
            <w:proofErr w:type="spellEnd"/>
            <w:r w:rsidR="00D048FE" w:rsidRPr="00E16672">
              <w:rPr>
                <w:rFonts w:ascii="Times New Roman" w:hAnsi="Times New Roman" w:cs="Times New Roman"/>
                <w:color w:val="000000"/>
                <w:sz w:val="16"/>
                <w:szCs w:val="16"/>
                <w:lang w:val="uk-UA"/>
              </w:rPr>
              <w:t>, який є чинним, та визнання підпису таким, що надає юридичної сили отриманим стороною електронним документам, сформованим з його використанням</w:t>
            </w:r>
            <w:r w:rsidRPr="00E16672">
              <w:rPr>
                <w:rFonts w:ascii="Times New Roman" w:hAnsi="Times New Roman" w:cs="Times New Roman"/>
                <w:color w:val="000000"/>
                <w:sz w:val="16"/>
                <w:szCs w:val="16"/>
                <w:lang w:val="uk-UA"/>
              </w:rPr>
              <w:t>.</w:t>
            </w:r>
          </w:p>
        </w:tc>
        <w:tc>
          <w:tcPr>
            <w:tcW w:w="5494" w:type="dxa"/>
            <w:gridSpan w:val="6"/>
            <w:shd w:val="clear" w:color="auto" w:fill="auto"/>
          </w:tcPr>
          <w:p w14:paraId="65571DFA" w14:textId="77777777" w:rsidR="003A05A3" w:rsidRPr="00E16672" w:rsidRDefault="003A05A3" w:rsidP="00577C78">
            <w:pPr>
              <w:tabs>
                <w:tab w:val="left" w:pos="287"/>
              </w:tabs>
              <w:snapToGrid w:val="0"/>
              <w:ind w:left="145" w:right="100" w:firstLine="0"/>
              <w:rPr>
                <w:rFonts w:ascii="Times New Roman" w:hAnsi="Times New Roman"/>
                <w:color w:val="000000"/>
                <w:sz w:val="16"/>
                <w:szCs w:val="16"/>
                <w:shd w:val="clear" w:color="auto" w:fill="FFFFFF"/>
                <w:lang w:val="en-GB"/>
              </w:rPr>
            </w:pPr>
            <w:r w:rsidRPr="00E16672">
              <w:rPr>
                <w:rFonts w:ascii="Times New Roman" w:hAnsi="Times New Roman"/>
                <w:color w:val="000000"/>
                <w:sz w:val="16"/>
                <w:szCs w:val="16"/>
                <w:shd w:val="clear" w:color="auto" w:fill="FFFFFF"/>
                <w:lang w:val="uk-UA"/>
              </w:rPr>
              <w:t>1</w:t>
            </w:r>
            <w:r w:rsidR="00577C78" w:rsidRPr="00E16672">
              <w:rPr>
                <w:rFonts w:ascii="Times New Roman" w:hAnsi="Times New Roman"/>
                <w:color w:val="000000"/>
                <w:sz w:val="16"/>
                <w:szCs w:val="16"/>
                <w:shd w:val="clear" w:color="auto" w:fill="FFFFFF"/>
                <w:lang w:val="uk-UA"/>
              </w:rPr>
              <w:t>0</w:t>
            </w:r>
            <w:r w:rsidRPr="00E16672">
              <w:rPr>
                <w:rFonts w:ascii="Times New Roman" w:hAnsi="Times New Roman"/>
                <w:color w:val="000000"/>
                <w:sz w:val="16"/>
                <w:szCs w:val="16"/>
                <w:shd w:val="clear" w:color="auto" w:fill="FFFFFF"/>
                <w:lang w:val="uk-UA"/>
              </w:rPr>
              <w:t xml:space="preserve">.11. </w:t>
            </w:r>
            <w:r w:rsidRPr="00E16672">
              <w:rPr>
                <w:rFonts w:ascii="Times New Roman" w:hAnsi="Times New Roman"/>
                <w:color w:val="000000"/>
                <w:sz w:val="16"/>
                <w:szCs w:val="16"/>
                <w:shd w:val="clear" w:color="auto" w:fill="FFFFFF"/>
                <w:lang w:val="en-GB"/>
              </w:rPr>
              <w:t>The</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recognition</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of</w:t>
            </w:r>
            <w:r w:rsidRPr="00E16672">
              <w:rPr>
                <w:rFonts w:ascii="Times New Roman" w:hAnsi="Times New Roman"/>
                <w:color w:val="000000"/>
                <w:sz w:val="16"/>
                <w:szCs w:val="16"/>
                <w:shd w:val="clear" w:color="auto" w:fill="FFFFFF"/>
                <w:lang w:val="uk-UA"/>
              </w:rPr>
              <w:t xml:space="preserve"> </w:t>
            </w:r>
            <w:r w:rsidRPr="00F23413">
              <w:rPr>
                <w:rStyle w:val="shorttext"/>
                <w:rFonts w:ascii="Times New Roman" w:hAnsi="Times New Roman"/>
                <w:sz w:val="16"/>
                <w:szCs w:val="16"/>
                <w:lang w:val="en-US"/>
              </w:rPr>
              <w:t>qualified</w:t>
            </w:r>
            <w:r w:rsidRPr="00E16672">
              <w:rPr>
                <w:rStyle w:val="shorttext"/>
                <w:rFonts w:ascii="Times New Roman" w:hAnsi="Times New Roman"/>
                <w:sz w:val="16"/>
                <w:szCs w:val="16"/>
                <w:lang w:val="uk-UA"/>
              </w:rPr>
              <w:t xml:space="preserve"> </w:t>
            </w:r>
            <w:r w:rsidRPr="00E16672">
              <w:rPr>
                <w:rFonts w:ascii="Times New Roman" w:hAnsi="Times New Roman"/>
                <w:color w:val="000000"/>
                <w:sz w:val="16"/>
                <w:szCs w:val="16"/>
                <w:shd w:val="clear" w:color="auto" w:fill="FFFFFF"/>
                <w:lang w:val="en-GB"/>
              </w:rPr>
              <w:t>electronic</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signature</w:t>
            </w:r>
            <w:r w:rsidRPr="00E16672">
              <w:rPr>
                <w:rFonts w:ascii="Times New Roman" w:hAnsi="Times New Roman"/>
                <w:color w:val="000000"/>
                <w:sz w:val="16"/>
                <w:szCs w:val="16"/>
                <w:shd w:val="clear" w:color="auto" w:fill="FFFFFF"/>
                <w:lang w:val="uk-UA"/>
              </w:rPr>
              <w:t xml:space="preserve"> - </w:t>
            </w:r>
            <w:r w:rsidRPr="00E16672">
              <w:rPr>
                <w:rFonts w:ascii="Times New Roman" w:hAnsi="Times New Roman"/>
                <w:color w:val="000000"/>
                <w:sz w:val="16"/>
                <w:szCs w:val="16"/>
                <w:shd w:val="clear" w:color="auto" w:fill="FFFFFF"/>
                <w:lang w:val="en-GB"/>
              </w:rPr>
              <w:t>determine</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whether</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the</w:t>
            </w:r>
            <w:r w:rsidRPr="00E16672">
              <w:rPr>
                <w:rFonts w:ascii="Times New Roman" w:hAnsi="Times New Roman"/>
                <w:color w:val="000000"/>
                <w:sz w:val="16"/>
                <w:szCs w:val="16"/>
                <w:shd w:val="clear" w:color="auto" w:fill="FFFFFF"/>
                <w:lang w:val="uk-UA"/>
              </w:rPr>
              <w:t xml:space="preserve"> </w:t>
            </w:r>
            <w:r w:rsidRPr="00F23413">
              <w:rPr>
                <w:rStyle w:val="shorttext"/>
                <w:rFonts w:ascii="Times New Roman" w:hAnsi="Times New Roman"/>
                <w:sz w:val="16"/>
                <w:szCs w:val="16"/>
                <w:lang w:val="en-US"/>
              </w:rPr>
              <w:t>qualified</w:t>
            </w:r>
            <w:r w:rsidRPr="00E16672">
              <w:rPr>
                <w:rStyle w:val="shorttext"/>
                <w:rFonts w:ascii="Times New Roman" w:hAnsi="Times New Roman"/>
                <w:sz w:val="16"/>
                <w:szCs w:val="16"/>
                <w:lang w:val="uk-UA"/>
              </w:rPr>
              <w:t xml:space="preserve"> </w:t>
            </w:r>
            <w:r w:rsidRPr="00E16672">
              <w:rPr>
                <w:rFonts w:ascii="Times New Roman" w:hAnsi="Times New Roman"/>
                <w:color w:val="000000"/>
                <w:sz w:val="16"/>
                <w:szCs w:val="16"/>
                <w:shd w:val="clear" w:color="auto" w:fill="FFFFFF"/>
                <w:lang w:val="en-GB"/>
              </w:rPr>
              <w:t>electronic</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signature certificate signer's public key, which is in force and the recognition signature so that gives legal force side received electronic documents generated from its use.</w:t>
            </w:r>
          </w:p>
        </w:tc>
      </w:tr>
      <w:tr w:rsidR="003A05A3" w:rsidRPr="00F23413" w14:paraId="515C6DBF" w14:textId="77777777" w:rsidTr="00242F58">
        <w:trPr>
          <w:trHeight w:val="192"/>
        </w:trPr>
        <w:tc>
          <w:tcPr>
            <w:tcW w:w="5696" w:type="dxa"/>
            <w:gridSpan w:val="8"/>
            <w:shd w:val="clear" w:color="auto" w:fill="auto"/>
          </w:tcPr>
          <w:p w14:paraId="7BB6DC0F" w14:textId="77777777" w:rsidR="003A05A3" w:rsidRPr="00E16672" w:rsidRDefault="003A05A3" w:rsidP="00843027">
            <w:pPr>
              <w:snapToGrid w:val="0"/>
              <w:spacing w:before="57" w:after="57"/>
              <w:ind w:left="175" w:right="138"/>
              <w:jc w:val="center"/>
              <w:rPr>
                <w:rFonts w:ascii="Times New Roman" w:hAnsi="Times New Roman"/>
                <w:b/>
                <w:color w:val="000000"/>
                <w:sz w:val="16"/>
                <w:szCs w:val="16"/>
                <w:lang w:val="uk-UA"/>
              </w:rPr>
            </w:pPr>
          </w:p>
          <w:p w14:paraId="31252E33" w14:textId="77777777" w:rsidR="003A05A3" w:rsidRPr="00E16672" w:rsidRDefault="003A05A3" w:rsidP="00843027">
            <w:pPr>
              <w:snapToGrid w:val="0"/>
              <w:ind w:left="175" w:right="138"/>
              <w:jc w:val="center"/>
              <w:rPr>
                <w:rFonts w:ascii="Times New Roman" w:hAnsi="Times New Roman"/>
                <w:b/>
                <w:color w:val="000000"/>
                <w:sz w:val="16"/>
                <w:szCs w:val="16"/>
                <w:lang w:val="uk-UA"/>
              </w:rPr>
            </w:pPr>
            <w:r w:rsidRPr="00E16672">
              <w:rPr>
                <w:rFonts w:ascii="Times New Roman" w:hAnsi="Times New Roman"/>
                <w:b/>
                <w:color w:val="000000"/>
                <w:sz w:val="16"/>
                <w:szCs w:val="16"/>
                <w:lang w:val="uk-UA"/>
              </w:rPr>
              <w:t>1</w:t>
            </w:r>
            <w:r w:rsidR="00577C78" w:rsidRPr="00E16672">
              <w:rPr>
                <w:rFonts w:ascii="Times New Roman" w:hAnsi="Times New Roman"/>
                <w:b/>
                <w:color w:val="000000"/>
                <w:sz w:val="16"/>
                <w:szCs w:val="16"/>
                <w:lang w:val="uk-UA"/>
              </w:rPr>
              <w:t>1</w:t>
            </w:r>
            <w:r w:rsidRPr="00E16672">
              <w:rPr>
                <w:rFonts w:ascii="Times New Roman" w:hAnsi="Times New Roman"/>
                <w:b/>
                <w:color w:val="000000"/>
                <w:sz w:val="16"/>
                <w:szCs w:val="16"/>
                <w:lang w:val="uk-UA"/>
              </w:rPr>
              <w:t>. Умови</w:t>
            </w:r>
            <w:r w:rsidRPr="00E16672">
              <w:rPr>
                <w:rFonts w:ascii="Times New Roman" w:hAnsi="Times New Roman"/>
                <w:b/>
                <w:color w:val="000000"/>
                <w:sz w:val="16"/>
                <w:szCs w:val="16"/>
              </w:rPr>
              <w:t xml:space="preserve"> </w:t>
            </w:r>
            <w:r w:rsidRPr="00E16672">
              <w:rPr>
                <w:rFonts w:ascii="Times New Roman" w:hAnsi="Times New Roman"/>
                <w:b/>
                <w:color w:val="000000"/>
                <w:sz w:val="16"/>
                <w:szCs w:val="16"/>
                <w:lang w:val="uk-UA"/>
              </w:rPr>
              <w:t>щодо порядку виплати доходів, отриманих депонентом за результатами проведених корпоративних операцій емітента.</w:t>
            </w:r>
          </w:p>
          <w:p w14:paraId="7A6A3304" w14:textId="77777777" w:rsidR="003A05A3" w:rsidRPr="00E16672" w:rsidRDefault="003A05A3" w:rsidP="00843027">
            <w:pPr>
              <w:ind w:left="175" w:right="138"/>
              <w:jc w:val="center"/>
              <w:rPr>
                <w:rFonts w:ascii="Times New Roman" w:hAnsi="Times New Roman"/>
                <w:b/>
                <w:color w:val="000000"/>
                <w:sz w:val="16"/>
                <w:szCs w:val="16"/>
                <w:lang w:val="uk-UA"/>
              </w:rPr>
            </w:pPr>
          </w:p>
          <w:p w14:paraId="57340E26" w14:textId="77777777" w:rsidR="003A05A3" w:rsidRPr="00E16672" w:rsidRDefault="003A05A3" w:rsidP="004F69E6">
            <w:pPr>
              <w:ind w:left="175" w:right="138" w:firstLine="2"/>
              <w:rPr>
                <w:rFonts w:ascii="Times New Roman" w:hAnsi="Times New Roman"/>
                <w:color w:val="000000"/>
                <w:sz w:val="16"/>
                <w:szCs w:val="16"/>
                <w:lang w:val="uk-UA"/>
              </w:rPr>
            </w:pPr>
            <w:r w:rsidRPr="00E16672">
              <w:rPr>
                <w:rFonts w:ascii="Times New Roman" w:hAnsi="Times New Roman"/>
                <w:color w:val="000000"/>
                <w:sz w:val="16"/>
                <w:szCs w:val="16"/>
                <w:lang w:val="uk-UA"/>
              </w:rPr>
              <w:t>1</w:t>
            </w:r>
            <w:r w:rsidR="00577C78" w:rsidRPr="00E16672">
              <w:rPr>
                <w:rFonts w:ascii="Times New Roman" w:hAnsi="Times New Roman"/>
                <w:color w:val="000000"/>
                <w:sz w:val="16"/>
                <w:szCs w:val="16"/>
                <w:lang w:val="uk-UA"/>
              </w:rPr>
              <w:t>1</w:t>
            </w:r>
            <w:r w:rsidRPr="00E16672">
              <w:rPr>
                <w:rFonts w:ascii="Times New Roman" w:hAnsi="Times New Roman"/>
                <w:color w:val="000000"/>
                <w:sz w:val="16"/>
                <w:szCs w:val="16"/>
                <w:lang w:val="uk-UA"/>
              </w:rPr>
              <w:t>.1. Щодо цінних паперів, облік яких здійснює Центральний депозитарій:</w:t>
            </w:r>
          </w:p>
        </w:tc>
        <w:tc>
          <w:tcPr>
            <w:tcW w:w="5494" w:type="dxa"/>
            <w:gridSpan w:val="6"/>
            <w:shd w:val="clear" w:color="auto" w:fill="auto"/>
          </w:tcPr>
          <w:p w14:paraId="030F9EA7" w14:textId="77777777" w:rsidR="003A05A3" w:rsidRPr="00E16672" w:rsidRDefault="003A05A3" w:rsidP="00843027">
            <w:pPr>
              <w:snapToGrid w:val="0"/>
              <w:ind w:left="175" w:right="138"/>
              <w:jc w:val="center"/>
              <w:rPr>
                <w:rFonts w:ascii="Times New Roman" w:hAnsi="Times New Roman"/>
                <w:color w:val="000000"/>
              </w:rPr>
            </w:pPr>
          </w:p>
          <w:p w14:paraId="09460DCA" w14:textId="77777777" w:rsidR="003A05A3" w:rsidRPr="00E16672" w:rsidRDefault="003A05A3" w:rsidP="00843027">
            <w:pPr>
              <w:snapToGrid w:val="0"/>
              <w:ind w:left="175" w:right="138"/>
              <w:jc w:val="center"/>
              <w:rPr>
                <w:rFonts w:ascii="Times New Roman" w:hAnsi="Times New Roman"/>
                <w:b/>
                <w:color w:val="000000"/>
                <w:sz w:val="16"/>
                <w:szCs w:val="16"/>
                <w:lang w:val="uk-UA"/>
              </w:rPr>
            </w:pPr>
            <w:r w:rsidRPr="00E16672">
              <w:rPr>
                <w:rFonts w:ascii="Times New Roman" w:hAnsi="Times New Roman"/>
                <w:b/>
                <w:color w:val="000000"/>
                <w:sz w:val="16"/>
                <w:szCs w:val="16"/>
                <w:lang w:val="uk-UA"/>
              </w:rPr>
              <w:t>1</w:t>
            </w:r>
            <w:r w:rsidR="00577C78" w:rsidRPr="00E16672">
              <w:rPr>
                <w:rFonts w:ascii="Times New Roman" w:hAnsi="Times New Roman"/>
                <w:b/>
                <w:color w:val="000000"/>
                <w:sz w:val="16"/>
                <w:szCs w:val="16"/>
                <w:lang w:val="uk-UA"/>
              </w:rPr>
              <w:t>1</w:t>
            </w:r>
            <w:r w:rsidRPr="00E16672">
              <w:rPr>
                <w:rFonts w:ascii="Times New Roman" w:hAnsi="Times New Roman"/>
                <w:b/>
                <w:color w:val="000000"/>
                <w:sz w:val="16"/>
                <w:szCs w:val="16"/>
                <w:lang w:val="uk-UA"/>
              </w:rPr>
              <w:t xml:space="preserve">. </w:t>
            </w:r>
            <w:proofErr w:type="spellStart"/>
            <w:r w:rsidRPr="00E16672">
              <w:rPr>
                <w:rFonts w:ascii="Times New Roman" w:hAnsi="Times New Roman"/>
                <w:b/>
                <w:color w:val="000000"/>
                <w:sz w:val="16"/>
                <w:szCs w:val="16"/>
                <w:lang w:val="uk-UA"/>
              </w:rPr>
              <w:t>Terms</w:t>
            </w:r>
            <w:proofErr w:type="spellEnd"/>
            <w:r w:rsidRPr="00E16672">
              <w:rPr>
                <w:rFonts w:ascii="Times New Roman" w:hAnsi="Times New Roman"/>
                <w:b/>
                <w:color w:val="000000"/>
                <w:sz w:val="16"/>
                <w:szCs w:val="16"/>
                <w:lang w:val="uk-UA"/>
              </w:rPr>
              <w:t xml:space="preserve"> </w:t>
            </w:r>
            <w:proofErr w:type="spellStart"/>
            <w:r w:rsidRPr="00E16672">
              <w:rPr>
                <w:rFonts w:ascii="Times New Roman" w:hAnsi="Times New Roman"/>
                <w:b/>
                <w:color w:val="000000"/>
                <w:sz w:val="16"/>
                <w:szCs w:val="16"/>
                <w:lang w:val="uk-UA"/>
              </w:rPr>
              <w:t>of</w:t>
            </w:r>
            <w:proofErr w:type="spellEnd"/>
            <w:r w:rsidRPr="00E16672">
              <w:rPr>
                <w:rFonts w:ascii="Times New Roman" w:hAnsi="Times New Roman"/>
                <w:b/>
                <w:color w:val="000000"/>
                <w:sz w:val="16"/>
                <w:szCs w:val="16"/>
                <w:lang w:val="uk-UA"/>
              </w:rPr>
              <w:t xml:space="preserve"> </w:t>
            </w:r>
            <w:proofErr w:type="spellStart"/>
            <w:r w:rsidRPr="00E16672">
              <w:rPr>
                <w:rFonts w:ascii="Times New Roman" w:hAnsi="Times New Roman"/>
                <w:b/>
                <w:color w:val="000000"/>
                <w:sz w:val="16"/>
                <w:szCs w:val="16"/>
                <w:lang w:val="uk-UA"/>
              </w:rPr>
              <w:t>procedure</w:t>
            </w:r>
            <w:proofErr w:type="spellEnd"/>
            <w:r w:rsidRPr="00E16672">
              <w:rPr>
                <w:rFonts w:ascii="Times New Roman" w:hAnsi="Times New Roman"/>
                <w:b/>
                <w:color w:val="000000"/>
                <w:sz w:val="16"/>
                <w:szCs w:val="16"/>
                <w:lang w:val="uk-UA"/>
              </w:rPr>
              <w:t xml:space="preserve"> </w:t>
            </w:r>
            <w:proofErr w:type="spellStart"/>
            <w:r w:rsidRPr="00E16672">
              <w:rPr>
                <w:rFonts w:ascii="Times New Roman" w:hAnsi="Times New Roman"/>
                <w:b/>
                <w:color w:val="000000"/>
                <w:sz w:val="16"/>
                <w:szCs w:val="16"/>
                <w:lang w:val="uk-UA"/>
              </w:rPr>
              <w:t>for</w:t>
            </w:r>
            <w:proofErr w:type="spellEnd"/>
            <w:r w:rsidRPr="00E16672">
              <w:rPr>
                <w:rFonts w:ascii="Times New Roman" w:hAnsi="Times New Roman"/>
                <w:b/>
                <w:color w:val="000000"/>
                <w:sz w:val="16"/>
                <w:szCs w:val="16"/>
                <w:lang w:val="uk-UA"/>
              </w:rPr>
              <w:t xml:space="preserve"> </w:t>
            </w:r>
            <w:proofErr w:type="spellStart"/>
            <w:r w:rsidRPr="00E16672">
              <w:rPr>
                <w:rFonts w:ascii="Times New Roman" w:hAnsi="Times New Roman"/>
                <w:b/>
                <w:color w:val="000000"/>
                <w:sz w:val="16"/>
                <w:szCs w:val="16"/>
                <w:lang w:val="uk-UA"/>
              </w:rPr>
              <w:t>paying</w:t>
            </w:r>
            <w:proofErr w:type="spellEnd"/>
            <w:r w:rsidRPr="00E16672">
              <w:rPr>
                <w:rFonts w:ascii="Times New Roman" w:hAnsi="Times New Roman"/>
                <w:b/>
                <w:color w:val="000000"/>
                <w:sz w:val="16"/>
                <w:szCs w:val="16"/>
                <w:lang w:val="uk-UA"/>
              </w:rPr>
              <w:t xml:space="preserve"> </w:t>
            </w:r>
            <w:r w:rsidRPr="00E16672">
              <w:rPr>
                <w:rFonts w:ascii="Times New Roman" w:hAnsi="Times New Roman"/>
                <w:b/>
                <w:color w:val="000000"/>
                <w:sz w:val="16"/>
                <w:szCs w:val="16"/>
                <w:lang w:val="en-US"/>
              </w:rPr>
              <w:t>money</w:t>
            </w:r>
            <w:r w:rsidRPr="00E16672">
              <w:rPr>
                <w:rFonts w:ascii="Times New Roman" w:hAnsi="Times New Roman"/>
                <w:b/>
                <w:color w:val="000000"/>
                <w:sz w:val="16"/>
                <w:szCs w:val="16"/>
                <w:lang w:val="uk-UA"/>
              </w:rPr>
              <w:t xml:space="preserve">, </w:t>
            </w:r>
            <w:proofErr w:type="spellStart"/>
            <w:r w:rsidRPr="00E16672">
              <w:rPr>
                <w:rFonts w:ascii="Times New Roman" w:hAnsi="Times New Roman"/>
                <w:b/>
                <w:color w:val="000000"/>
                <w:sz w:val="16"/>
                <w:szCs w:val="16"/>
                <w:lang w:val="uk-UA"/>
              </w:rPr>
              <w:t>received</w:t>
            </w:r>
            <w:proofErr w:type="spellEnd"/>
            <w:r w:rsidRPr="00E16672">
              <w:rPr>
                <w:rFonts w:ascii="Times New Roman" w:hAnsi="Times New Roman"/>
                <w:b/>
                <w:color w:val="000000"/>
                <w:sz w:val="16"/>
                <w:szCs w:val="16"/>
                <w:lang w:val="uk-UA"/>
              </w:rPr>
              <w:t xml:space="preserve"> </w:t>
            </w:r>
            <w:proofErr w:type="spellStart"/>
            <w:r w:rsidRPr="00E16672">
              <w:rPr>
                <w:rFonts w:ascii="Times New Roman" w:hAnsi="Times New Roman"/>
                <w:b/>
                <w:color w:val="000000"/>
                <w:sz w:val="16"/>
                <w:szCs w:val="16"/>
                <w:lang w:val="uk-UA"/>
              </w:rPr>
              <w:t>by</w:t>
            </w:r>
            <w:proofErr w:type="spellEnd"/>
            <w:r w:rsidRPr="00E16672">
              <w:rPr>
                <w:rFonts w:ascii="Times New Roman" w:hAnsi="Times New Roman"/>
                <w:b/>
                <w:color w:val="000000"/>
                <w:sz w:val="16"/>
                <w:szCs w:val="16"/>
                <w:lang w:val="uk-UA"/>
              </w:rPr>
              <w:t xml:space="preserve">  </w:t>
            </w:r>
            <w:proofErr w:type="spellStart"/>
            <w:r w:rsidRPr="00E16672">
              <w:rPr>
                <w:rFonts w:ascii="Times New Roman" w:hAnsi="Times New Roman"/>
                <w:b/>
                <w:color w:val="000000"/>
                <w:sz w:val="16"/>
                <w:szCs w:val="16"/>
                <w:lang w:val="uk-UA"/>
              </w:rPr>
              <w:t>the</w:t>
            </w:r>
            <w:proofErr w:type="spellEnd"/>
            <w:r w:rsidRPr="00E16672">
              <w:rPr>
                <w:rFonts w:ascii="Times New Roman" w:hAnsi="Times New Roman"/>
                <w:b/>
                <w:color w:val="000000"/>
                <w:sz w:val="16"/>
                <w:szCs w:val="16"/>
                <w:lang w:val="uk-UA"/>
              </w:rPr>
              <w:t xml:space="preserve"> </w:t>
            </w:r>
            <w:proofErr w:type="spellStart"/>
            <w:r w:rsidRPr="00E16672">
              <w:rPr>
                <w:rFonts w:ascii="Times New Roman" w:hAnsi="Times New Roman"/>
                <w:b/>
                <w:color w:val="000000"/>
                <w:sz w:val="16"/>
                <w:szCs w:val="16"/>
                <w:lang w:val="uk-UA"/>
              </w:rPr>
              <w:t>Depositor</w:t>
            </w:r>
            <w:proofErr w:type="spellEnd"/>
            <w:r w:rsidRPr="00E16672">
              <w:rPr>
                <w:rFonts w:ascii="Times New Roman" w:hAnsi="Times New Roman"/>
                <w:b/>
                <w:color w:val="000000"/>
                <w:sz w:val="16"/>
                <w:szCs w:val="16"/>
                <w:lang w:val="uk-UA"/>
              </w:rPr>
              <w:t xml:space="preserve"> </w:t>
            </w:r>
            <w:proofErr w:type="spellStart"/>
            <w:r w:rsidRPr="00E16672">
              <w:rPr>
                <w:rFonts w:ascii="Times New Roman" w:hAnsi="Times New Roman"/>
                <w:b/>
                <w:color w:val="000000"/>
                <w:sz w:val="16"/>
                <w:szCs w:val="16"/>
                <w:lang w:val="uk-UA"/>
              </w:rPr>
              <w:t>on</w:t>
            </w:r>
            <w:proofErr w:type="spellEnd"/>
            <w:r w:rsidRPr="00E16672">
              <w:rPr>
                <w:rFonts w:ascii="Times New Roman" w:hAnsi="Times New Roman"/>
                <w:b/>
                <w:color w:val="000000"/>
                <w:sz w:val="16"/>
                <w:szCs w:val="16"/>
                <w:lang w:val="uk-UA"/>
              </w:rPr>
              <w:t xml:space="preserve"> </w:t>
            </w:r>
            <w:proofErr w:type="spellStart"/>
            <w:r w:rsidRPr="00E16672">
              <w:rPr>
                <w:rFonts w:ascii="Times New Roman" w:hAnsi="Times New Roman"/>
                <w:b/>
                <w:color w:val="000000"/>
                <w:sz w:val="16"/>
                <w:szCs w:val="16"/>
                <w:lang w:val="uk-UA"/>
              </w:rPr>
              <w:t>the</w:t>
            </w:r>
            <w:proofErr w:type="spellEnd"/>
            <w:r w:rsidRPr="00E16672">
              <w:rPr>
                <w:rFonts w:ascii="Times New Roman" w:hAnsi="Times New Roman"/>
                <w:b/>
                <w:color w:val="000000"/>
                <w:sz w:val="16"/>
                <w:szCs w:val="16"/>
                <w:lang w:val="uk-UA"/>
              </w:rPr>
              <w:t xml:space="preserve"> </w:t>
            </w:r>
            <w:proofErr w:type="spellStart"/>
            <w:r w:rsidRPr="00E16672">
              <w:rPr>
                <w:rFonts w:ascii="Times New Roman" w:hAnsi="Times New Roman"/>
                <w:b/>
                <w:color w:val="000000"/>
                <w:sz w:val="16"/>
                <w:szCs w:val="16"/>
                <w:lang w:val="uk-UA"/>
              </w:rPr>
              <w:t>results</w:t>
            </w:r>
            <w:proofErr w:type="spellEnd"/>
            <w:r w:rsidRPr="00E16672">
              <w:rPr>
                <w:rFonts w:ascii="Times New Roman" w:hAnsi="Times New Roman"/>
                <w:b/>
                <w:color w:val="000000"/>
                <w:sz w:val="16"/>
                <w:szCs w:val="16"/>
                <w:lang w:val="uk-UA"/>
              </w:rPr>
              <w:t xml:space="preserve"> </w:t>
            </w:r>
            <w:proofErr w:type="spellStart"/>
            <w:r w:rsidRPr="00E16672">
              <w:rPr>
                <w:rFonts w:ascii="Times New Roman" w:hAnsi="Times New Roman"/>
                <w:b/>
                <w:color w:val="000000"/>
                <w:sz w:val="16"/>
                <w:szCs w:val="16"/>
                <w:lang w:val="uk-UA"/>
              </w:rPr>
              <w:t>of</w:t>
            </w:r>
            <w:proofErr w:type="spellEnd"/>
            <w:r w:rsidRPr="00E16672">
              <w:rPr>
                <w:rFonts w:ascii="Times New Roman" w:hAnsi="Times New Roman"/>
                <w:b/>
                <w:color w:val="000000"/>
                <w:sz w:val="16"/>
                <w:szCs w:val="16"/>
                <w:lang w:val="uk-UA"/>
              </w:rPr>
              <w:t xml:space="preserve"> </w:t>
            </w:r>
            <w:proofErr w:type="spellStart"/>
            <w:r w:rsidRPr="00E16672">
              <w:rPr>
                <w:rFonts w:ascii="Times New Roman" w:hAnsi="Times New Roman"/>
                <w:b/>
                <w:color w:val="000000"/>
                <w:sz w:val="16"/>
                <w:szCs w:val="16"/>
                <w:lang w:val="uk-UA"/>
              </w:rPr>
              <w:t>corporate</w:t>
            </w:r>
            <w:proofErr w:type="spellEnd"/>
            <w:r w:rsidRPr="00E16672">
              <w:rPr>
                <w:rFonts w:ascii="Times New Roman" w:hAnsi="Times New Roman"/>
                <w:b/>
                <w:color w:val="000000"/>
                <w:sz w:val="16"/>
                <w:szCs w:val="16"/>
                <w:lang w:val="uk-UA"/>
              </w:rPr>
              <w:t xml:space="preserve"> </w:t>
            </w:r>
            <w:proofErr w:type="spellStart"/>
            <w:r w:rsidRPr="00E16672">
              <w:rPr>
                <w:rFonts w:ascii="Times New Roman" w:hAnsi="Times New Roman"/>
                <w:b/>
                <w:color w:val="000000"/>
                <w:sz w:val="16"/>
                <w:szCs w:val="16"/>
                <w:lang w:val="uk-UA"/>
              </w:rPr>
              <w:t>operations</w:t>
            </w:r>
            <w:proofErr w:type="spellEnd"/>
            <w:r w:rsidRPr="00E16672">
              <w:rPr>
                <w:rFonts w:ascii="Times New Roman" w:hAnsi="Times New Roman"/>
                <w:b/>
                <w:color w:val="000000"/>
                <w:sz w:val="16"/>
                <w:szCs w:val="16"/>
                <w:lang w:val="uk-UA"/>
              </w:rPr>
              <w:t xml:space="preserve"> </w:t>
            </w:r>
            <w:proofErr w:type="spellStart"/>
            <w:r w:rsidRPr="00E16672">
              <w:rPr>
                <w:rFonts w:ascii="Times New Roman" w:hAnsi="Times New Roman"/>
                <w:b/>
                <w:color w:val="000000"/>
                <w:sz w:val="16"/>
                <w:szCs w:val="16"/>
                <w:lang w:val="uk-UA"/>
              </w:rPr>
              <w:t>of</w:t>
            </w:r>
            <w:proofErr w:type="spellEnd"/>
            <w:r w:rsidRPr="00E16672">
              <w:rPr>
                <w:rFonts w:ascii="Times New Roman" w:hAnsi="Times New Roman"/>
                <w:b/>
                <w:color w:val="000000"/>
                <w:sz w:val="16"/>
                <w:szCs w:val="16"/>
                <w:lang w:val="uk-UA"/>
              </w:rPr>
              <w:t xml:space="preserve"> </w:t>
            </w:r>
            <w:proofErr w:type="spellStart"/>
            <w:r w:rsidRPr="00E16672">
              <w:rPr>
                <w:rFonts w:ascii="Times New Roman" w:hAnsi="Times New Roman"/>
                <w:b/>
                <w:color w:val="000000"/>
                <w:sz w:val="16"/>
                <w:szCs w:val="16"/>
                <w:lang w:val="uk-UA"/>
              </w:rPr>
              <w:t>the</w:t>
            </w:r>
            <w:proofErr w:type="spellEnd"/>
            <w:r w:rsidRPr="00E16672">
              <w:rPr>
                <w:rFonts w:ascii="Times New Roman" w:hAnsi="Times New Roman"/>
                <w:b/>
                <w:color w:val="000000"/>
                <w:sz w:val="16"/>
                <w:szCs w:val="16"/>
                <w:lang w:val="uk-UA"/>
              </w:rPr>
              <w:t xml:space="preserve"> </w:t>
            </w:r>
            <w:proofErr w:type="spellStart"/>
            <w:r w:rsidRPr="00E16672">
              <w:rPr>
                <w:rFonts w:ascii="Times New Roman" w:hAnsi="Times New Roman"/>
                <w:b/>
                <w:color w:val="000000"/>
                <w:sz w:val="16"/>
                <w:szCs w:val="16"/>
                <w:lang w:val="uk-UA"/>
              </w:rPr>
              <w:t>issuer</w:t>
            </w:r>
            <w:proofErr w:type="spellEnd"/>
            <w:r w:rsidRPr="00E16672">
              <w:rPr>
                <w:rFonts w:ascii="Times New Roman" w:hAnsi="Times New Roman"/>
                <w:b/>
                <w:color w:val="000000"/>
                <w:sz w:val="16"/>
                <w:szCs w:val="16"/>
                <w:lang w:val="uk-UA"/>
              </w:rPr>
              <w:t>.</w:t>
            </w:r>
          </w:p>
          <w:p w14:paraId="5F8BBCCC" w14:textId="77777777" w:rsidR="003A05A3" w:rsidRPr="00E16672" w:rsidRDefault="003A05A3" w:rsidP="00843027">
            <w:pPr>
              <w:ind w:left="175" w:right="138"/>
              <w:rPr>
                <w:rFonts w:ascii="Times New Roman" w:hAnsi="Times New Roman"/>
                <w:color w:val="000000"/>
                <w:sz w:val="16"/>
                <w:szCs w:val="16"/>
                <w:lang w:val="uk-UA"/>
              </w:rPr>
            </w:pPr>
          </w:p>
          <w:p w14:paraId="0ED6DAB6" w14:textId="77777777" w:rsidR="003A05A3" w:rsidRPr="00E16672" w:rsidRDefault="003A05A3" w:rsidP="00843027">
            <w:pPr>
              <w:ind w:left="175" w:right="138"/>
              <w:rPr>
                <w:rFonts w:ascii="Times New Roman" w:hAnsi="Times New Roman"/>
                <w:color w:val="000000"/>
                <w:sz w:val="16"/>
                <w:szCs w:val="16"/>
                <w:lang w:val="uk-UA"/>
              </w:rPr>
            </w:pPr>
          </w:p>
          <w:p w14:paraId="63911EEE" w14:textId="77777777" w:rsidR="003A05A3" w:rsidRPr="00E16672" w:rsidRDefault="00577C78" w:rsidP="004F69E6">
            <w:pPr>
              <w:ind w:left="9" w:right="138" w:firstLine="141"/>
              <w:rPr>
                <w:rFonts w:ascii="Times New Roman" w:hAnsi="Times New Roman"/>
                <w:color w:val="000000"/>
                <w:sz w:val="16"/>
                <w:szCs w:val="16"/>
                <w:lang w:val="uk-UA"/>
              </w:rPr>
            </w:pPr>
            <w:r w:rsidRPr="00E16672">
              <w:rPr>
                <w:rFonts w:ascii="Times New Roman" w:hAnsi="Times New Roman"/>
                <w:color w:val="000000"/>
                <w:sz w:val="16"/>
                <w:szCs w:val="16"/>
                <w:lang w:val="uk-UA"/>
              </w:rPr>
              <w:t>11</w:t>
            </w:r>
            <w:r w:rsidR="003A05A3" w:rsidRPr="00E16672">
              <w:rPr>
                <w:rFonts w:ascii="Times New Roman" w:hAnsi="Times New Roman"/>
                <w:color w:val="000000"/>
                <w:sz w:val="16"/>
                <w:szCs w:val="16"/>
                <w:lang w:val="uk-UA"/>
              </w:rPr>
              <w:t xml:space="preserve">.1. </w:t>
            </w:r>
            <w:proofErr w:type="spellStart"/>
            <w:r w:rsidR="003A05A3" w:rsidRPr="00E16672">
              <w:rPr>
                <w:rFonts w:ascii="Times New Roman" w:hAnsi="Times New Roman"/>
                <w:color w:val="000000"/>
                <w:sz w:val="16"/>
                <w:szCs w:val="16"/>
                <w:lang w:val="uk-UA"/>
              </w:rPr>
              <w:t>Regarding</w:t>
            </w:r>
            <w:proofErr w:type="spellEnd"/>
            <w:r w:rsidR="003A05A3" w:rsidRPr="00E16672">
              <w:rPr>
                <w:rFonts w:ascii="Times New Roman" w:hAnsi="Times New Roman"/>
                <w:color w:val="000000"/>
                <w:sz w:val="16"/>
                <w:szCs w:val="16"/>
                <w:lang w:val="uk-UA"/>
              </w:rPr>
              <w:t xml:space="preserve"> </w:t>
            </w:r>
            <w:proofErr w:type="spellStart"/>
            <w:r w:rsidR="003A05A3" w:rsidRPr="00E16672">
              <w:rPr>
                <w:rFonts w:ascii="Times New Roman" w:hAnsi="Times New Roman"/>
                <w:color w:val="000000"/>
                <w:sz w:val="16"/>
                <w:szCs w:val="16"/>
                <w:lang w:val="uk-UA"/>
              </w:rPr>
              <w:t>securities</w:t>
            </w:r>
            <w:proofErr w:type="spellEnd"/>
            <w:r w:rsidR="003A05A3" w:rsidRPr="00E16672">
              <w:rPr>
                <w:rFonts w:ascii="Times New Roman" w:hAnsi="Times New Roman"/>
                <w:color w:val="000000"/>
                <w:sz w:val="16"/>
                <w:szCs w:val="16"/>
                <w:lang w:val="uk-UA"/>
              </w:rPr>
              <w:t xml:space="preserve"> </w:t>
            </w:r>
            <w:proofErr w:type="spellStart"/>
            <w:r w:rsidR="003A05A3" w:rsidRPr="00E16672">
              <w:rPr>
                <w:rFonts w:ascii="Times New Roman" w:hAnsi="Times New Roman"/>
                <w:color w:val="000000"/>
                <w:sz w:val="16"/>
                <w:szCs w:val="16"/>
                <w:lang w:val="uk-UA"/>
              </w:rPr>
              <w:t>accounted</w:t>
            </w:r>
            <w:proofErr w:type="spellEnd"/>
            <w:r w:rsidR="003A05A3" w:rsidRPr="00E16672">
              <w:rPr>
                <w:rFonts w:ascii="Times New Roman" w:hAnsi="Times New Roman"/>
                <w:color w:val="000000"/>
                <w:sz w:val="16"/>
                <w:szCs w:val="16"/>
                <w:lang w:val="uk-UA"/>
              </w:rPr>
              <w:t xml:space="preserve"> </w:t>
            </w:r>
            <w:proofErr w:type="spellStart"/>
            <w:r w:rsidR="003A05A3" w:rsidRPr="00E16672">
              <w:rPr>
                <w:rFonts w:ascii="Times New Roman" w:hAnsi="Times New Roman"/>
                <w:color w:val="000000"/>
                <w:sz w:val="16"/>
                <w:szCs w:val="16"/>
                <w:lang w:val="uk-UA"/>
              </w:rPr>
              <w:t>by</w:t>
            </w:r>
            <w:proofErr w:type="spellEnd"/>
            <w:r w:rsidR="003A05A3" w:rsidRPr="00E16672">
              <w:rPr>
                <w:rFonts w:ascii="Times New Roman" w:hAnsi="Times New Roman"/>
                <w:color w:val="000000"/>
                <w:sz w:val="16"/>
                <w:szCs w:val="16"/>
                <w:lang w:val="uk-UA"/>
              </w:rPr>
              <w:t xml:space="preserve"> </w:t>
            </w:r>
            <w:proofErr w:type="spellStart"/>
            <w:r w:rsidR="003A05A3" w:rsidRPr="00E16672">
              <w:rPr>
                <w:rFonts w:ascii="Times New Roman" w:hAnsi="Times New Roman"/>
                <w:color w:val="000000"/>
                <w:sz w:val="16"/>
                <w:szCs w:val="16"/>
                <w:lang w:val="uk-UA"/>
              </w:rPr>
              <w:t>the</w:t>
            </w:r>
            <w:proofErr w:type="spellEnd"/>
            <w:r w:rsidR="003A05A3" w:rsidRPr="00E16672">
              <w:rPr>
                <w:rFonts w:ascii="Times New Roman" w:hAnsi="Times New Roman"/>
                <w:color w:val="000000"/>
                <w:sz w:val="16"/>
                <w:szCs w:val="16"/>
                <w:lang w:val="uk-UA"/>
              </w:rPr>
              <w:t xml:space="preserve"> </w:t>
            </w:r>
            <w:proofErr w:type="spellStart"/>
            <w:r w:rsidR="003A05A3" w:rsidRPr="00E16672">
              <w:rPr>
                <w:rFonts w:ascii="Times New Roman" w:hAnsi="Times New Roman"/>
                <w:color w:val="000000"/>
                <w:sz w:val="16"/>
                <w:szCs w:val="16"/>
                <w:lang w:val="uk-UA"/>
              </w:rPr>
              <w:t>Central</w:t>
            </w:r>
            <w:proofErr w:type="spellEnd"/>
            <w:r w:rsidR="003A05A3" w:rsidRPr="00E16672">
              <w:rPr>
                <w:rFonts w:ascii="Times New Roman" w:hAnsi="Times New Roman"/>
                <w:color w:val="000000"/>
                <w:sz w:val="16"/>
                <w:szCs w:val="16"/>
                <w:lang w:val="uk-UA"/>
              </w:rPr>
              <w:t xml:space="preserve"> </w:t>
            </w:r>
            <w:proofErr w:type="spellStart"/>
            <w:r w:rsidR="003A05A3" w:rsidRPr="00E16672">
              <w:rPr>
                <w:rFonts w:ascii="Times New Roman" w:hAnsi="Times New Roman"/>
                <w:color w:val="000000"/>
                <w:sz w:val="16"/>
                <w:szCs w:val="16"/>
                <w:lang w:val="uk-UA"/>
              </w:rPr>
              <w:t>Depository</w:t>
            </w:r>
            <w:proofErr w:type="spellEnd"/>
            <w:r w:rsidR="003A05A3" w:rsidRPr="00E16672">
              <w:rPr>
                <w:rFonts w:ascii="Times New Roman" w:hAnsi="Times New Roman"/>
                <w:color w:val="000000"/>
                <w:sz w:val="16"/>
                <w:szCs w:val="16"/>
                <w:lang w:val="uk-UA"/>
              </w:rPr>
              <w:t>:</w:t>
            </w:r>
          </w:p>
        </w:tc>
      </w:tr>
      <w:tr w:rsidR="003A05A3" w:rsidRPr="00F23413" w14:paraId="7134E06E" w14:textId="77777777" w:rsidTr="00242F58">
        <w:trPr>
          <w:trHeight w:val="192"/>
        </w:trPr>
        <w:tc>
          <w:tcPr>
            <w:tcW w:w="5696" w:type="dxa"/>
            <w:gridSpan w:val="8"/>
            <w:shd w:val="clear" w:color="auto" w:fill="auto"/>
          </w:tcPr>
          <w:p w14:paraId="61EB17B2" w14:textId="77777777" w:rsidR="003A05A3" w:rsidRPr="00E16672" w:rsidRDefault="003A05A3" w:rsidP="004F69E6">
            <w:pPr>
              <w:snapToGrid w:val="0"/>
              <w:spacing w:before="57" w:after="57"/>
              <w:ind w:left="175" w:right="138" w:firstLine="0"/>
              <w:rPr>
                <w:rFonts w:ascii="Times New Roman" w:hAnsi="Times New Roman"/>
                <w:color w:val="000000"/>
                <w:sz w:val="16"/>
                <w:szCs w:val="16"/>
                <w:lang w:val="uk-UA"/>
              </w:rPr>
            </w:pPr>
            <w:r w:rsidRPr="00E16672">
              <w:rPr>
                <w:rFonts w:ascii="Times New Roman" w:hAnsi="Times New Roman"/>
                <w:color w:val="000000"/>
                <w:sz w:val="16"/>
                <w:szCs w:val="16"/>
              </w:rPr>
              <w:t>1</w:t>
            </w:r>
            <w:r w:rsidR="00577C78" w:rsidRPr="00E16672">
              <w:rPr>
                <w:rFonts w:ascii="Times New Roman" w:hAnsi="Times New Roman"/>
                <w:color w:val="000000"/>
                <w:sz w:val="16"/>
                <w:szCs w:val="16"/>
                <w:lang w:val="uk-UA"/>
              </w:rPr>
              <w:t>1</w:t>
            </w:r>
            <w:r w:rsidRPr="00E16672">
              <w:rPr>
                <w:rFonts w:ascii="Times New Roman" w:hAnsi="Times New Roman"/>
                <w:color w:val="000000"/>
                <w:sz w:val="16"/>
                <w:szCs w:val="16"/>
                <w:lang w:val="uk-UA"/>
              </w:rPr>
              <w:t xml:space="preserve">.1.1. У термін не пізніше </w:t>
            </w:r>
            <w:r w:rsidRPr="00E16672">
              <w:rPr>
                <w:rFonts w:ascii="Times New Roman" w:hAnsi="Times New Roman"/>
                <w:i/>
                <w:color w:val="000000"/>
                <w:sz w:val="16"/>
                <w:szCs w:val="16"/>
                <w:lang w:val="uk-UA"/>
              </w:rPr>
              <w:t>десяти робочих днів</w:t>
            </w:r>
            <w:r w:rsidRPr="00E16672">
              <w:rPr>
                <w:rFonts w:ascii="Times New Roman" w:hAnsi="Times New Roman"/>
                <w:color w:val="000000"/>
                <w:sz w:val="16"/>
                <w:szCs w:val="16"/>
                <w:lang w:val="uk-UA"/>
              </w:rPr>
              <w:t xml:space="preserve">  з моменту надходження відповідних коштів на грошовий рахунок Депозитарної установи, отримання розпорядження від Центрального депозитарію та інших документів, згідно чинного законодавства та регламенту Центрального депозитарію,</w:t>
            </w:r>
            <w:r w:rsidRPr="00E16672">
              <w:rPr>
                <w:rFonts w:ascii="Times New Roman" w:hAnsi="Times New Roman"/>
                <w:color w:val="000000"/>
                <w:sz w:val="22"/>
                <w:szCs w:val="22"/>
                <w:lang w:val="uk-UA"/>
              </w:rPr>
              <w:t xml:space="preserve"> </w:t>
            </w:r>
            <w:r w:rsidRPr="00E16672">
              <w:rPr>
                <w:rFonts w:ascii="Times New Roman" w:hAnsi="Times New Roman"/>
                <w:color w:val="000000"/>
                <w:sz w:val="16"/>
                <w:szCs w:val="16"/>
                <w:lang w:val="uk-UA"/>
              </w:rPr>
              <w:t xml:space="preserve"> Депозитарна установа здійснює виплату доходу за цінними паперами – грошових коштів, отриманих Депонентом за результатами проведення корпоративних операцій емітента, шляхом перерахування грошових коштів на грошовий банківський рахунок Депонента, реквізити якого зазначені  в анкеті </w:t>
            </w:r>
            <w:r w:rsidR="001216E2" w:rsidRPr="00E16672">
              <w:rPr>
                <w:rFonts w:ascii="Times New Roman" w:hAnsi="Times New Roman"/>
                <w:color w:val="000000"/>
                <w:sz w:val="16"/>
                <w:szCs w:val="16"/>
                <w:lang w:val="uk-UA"/>
              </w:rPr>
              <w:t xml:space="preserve">рахунку в </w:t>
            </w:r>
            <w:r w:rsidRPr="00E16672">
              <w:rPr>
                <w:rFonts w:ascii="Times New Roman" w:hAnsi="Times New Roman"/>
                <w:color w:val="000000"/>
                <w:sz w:val="16"/>
                <w:szCs w:val="16"/>
                <w:lang w:val="uk-UA"/>
              </w:rPr>
              <w:t>цінних паперах Депонента.</w:t>
            </w:r>
          </w:p>
        </w:tc>
        <w:tc>
          <w:tcPr>
            <w:tcW w:w="5494" w:type="dxa"/>
            <w:gridSpan w:val="6"/>
            <w:shd w:val="clear" w:color="auto" w:fill="auto"/>
          </w:tcPr>
          <w:p w14:paraId="12F8E34E" w14:textId="77777777" w:rsidR="003A05A3" w:rsidRPr="00E16672" w:rsidRDefault="003A05A3" w:rsidP="00577C78">
            <w:pPr>
              <w:snapToGrid w:val="0"/>
              <w:spacing w:before="57" w:after="57"/>
              <w:ind w:left="175" w:right="138" w:firstLine="0"/>
              <w:rPr>
                <w:rFonts w:ascii="Times New Roman" w:hAnsi="Times New Roman"/>
                <w:color w:val="000000"/>
                <w:sz w:val="16"/>
                <w:szCs w:val="16"/>
                <w:lang w:val="uk-UA"/>
              </w:rPr>
            </w:pPr>
            <w:r w:rsidRPr="00E16672">
              <w:rPr>
                <w:rFonts w:ascii="Times New Roman" w:hAnsi="Times New Roman"/>
                <w:color w:val="000000"/>
                <w:sz w:val="16"/>
                <w:szCs w:val="16"/>
                <w:lang w:val="uk-UA"/>
              </w:rPr>
              <w:t>1</w:t>
            </w:r>
            <w:r w:rsidR="00577C78" w:rsidRPr="00E16672">
              <w:rPr>
                <w:rFonts w:ascii="Times New Roman" w:hAnsi="Times New Roman"/>
                <w:color w:val="000000"/>
                <w:sz w:val="16"/>
                <w:szCs w:val="16"/>
                <w:lang w:val="uk-UA"/>
              </w:rPr>
              <w:t>1</w:t>
            </w:r>
            <w:r w:rsidRPr="00E16672">
              <w:rPr>
                <w:rFonts w:ascii="Times New Roman" w:hAnsi="Times New Roman"/>
                <w:color w:val="000000"/>
                <w:sz w:val="16"/>
                <w:szCs w:val="16"/>
                <w:lang w:val="uk-UA"/>
              </w:rPr>
              <w:t xml:space="preserve">.1.1. </w:t>
            </w:r>
            <w:proofErr w:type="spellStart"/>
            <w:r w:rsidRPr="00E16672">
              <w:rPr>
                <w:rFonts w:ascii="Times New Roman" w:hAnsi="Times New Roman"/>
                <w:color w:val="000000"/>
                <w:sz w:val="16"/>
                <w:szCs w:val="16"/>
                <w:lang w:val="uk-UA"/>
              </w:rPr>
              <w:t>In</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terms</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not</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later</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than</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i/>
                <w:color w:val="000000"/>
                <w:sz w:val="16"/>
                <w:szCs w:val="16"/>
                <w:lang w:val="uk-UA"/>
              </w:rPr>
              <w:t>ten</w:t>
            </w:r>
            <w:proofErr w:type="spellEnd"/>
            <w:r w:rsidRPr="00E16672">
              <w:rPr>
                <w:rFonts w:ascii="Times New Roman" w:hAnsi="Times New Roman"/>
                <w:i/>
                <w:color w:val="000000"/>
                <w:sz w:val="16"/>
                <w:szCs w:val="16"/>
                <w:lang w:val="uk-UA"/>
              </w:rPr>
              <w:t xml:space="preserve"> </w:t>
            </w:r>
            <w:proofErr w:type="spellStart"/>
            <w:r w:rsidRPr="00E16672">
              <w:rPr>
                <w:rFonts w:ascii="Times New Roman" w:hAnsi="Times New Roman"/>
                <w:i/>
                <w:color w:val="000000"/>
                <w:sz w:val="16"/>
                <w:szCs w:val="16"/>
                <w:lang w:val="uk-UA"/>
              </w:rPr>
              <w:t>working</w:t>
            </w:r>
            <w:proofErr w:type="spellEnd"/>
            <w:r w:rsidRPr="00E16672">
              <w:rPr>
                <w:rFonts w:ascii="Times New Roman" w:hAnsi="Times New Roman"/>
                <w:i/>
                <w:color w:val="000000"/>
                <w:sz w:val="16"/>
                <w:szCs w:val="16"/>
                <w:lang w:val="uk-UA"/>
              </w:rPr>
              <w:t xml:space="preserve"> </w:t>
            </w:r>
            <w:proofErr w:type="spellStart"/>
            <w:r w:rsidRPr="00E16672">
              <w:rPr>
                <w:rFonts w:ascii="Times New Roman" w:hAnsi="Times New Roman"/>
                <w:i/>
                <w:color w:val="000000"/>
                <w:sz w:val="16"/>
                <w:szCs w:val="16"/>
                <w:lang w:val="uk-UA"/>
              </w:rPr>
              <w:t>days</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after</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receipt</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of</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money</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on</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the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mone</w:t>
            </w:r>
            <w:proofErr w:type="spellEnd"/>
            <w:r w:rsidRPr="00E16672">
              <w:rPr>
                <w:rFonts w:ascii="Times New Roman" w:hAnsi="Times New Roman"/>
                <w:color w:val="000000"/>
                <w:sz w:val="16"/>
                <w:szCs w:val="16"/>
                <w:lang w:val="en-US"/>
              </w:rPr>
              <w:t>tar</w:t>
            </w:r>
            <w:r w:rsidRPr="00E16672">
              <w:rPr>
                <w:rFonts w:ascii="Times New Roman" w:hAnsi="Times New Roman"/>
                <w:color w:val="000000"/>
                <w:sz w:val="16"/>
                <w:szCs w:val="16"/>
                <w:lang w:val="uk-UA"/>
              </w:rPr>
              <w:t xml:space="preserve">y </w:t>
            </w:r>
            <w:proofErr w:type="spellStart"/>
            <w:r w:rsidRPr="00E16672">
              <w:rPr>
                <w:rFonts w:ascii="Times New Roman" w:hAnsi="Times New Roman"/>
                <w:color w:val="000000"/>
                <w:sz w:val="16"/>
                <w:szCs w:val="16"/>
                <w:lang w:val="uk-UA"/>
              </w:rPr>
              <w:t>account</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of</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Depository</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institution</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receiving</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order</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from</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the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Central</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Depository</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and</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other</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documents</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under</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the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law</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and</w:t>
            </w:r>
            <w:proofErr w:type="spellEnd"/>
            <w:r w:rsidRPr="00E16672">
              <w:rPr>
                <w:rFonts w:ascii="Times New Roman" w:hAnsi="Times New Roman"/>
                <w:color w:val="000000"/>
                <w:sz w:val="16"/>
                <w:szCs w:val="16"/>
                <w:lang w:val="uk-UA"/>
              </w:rPr>
              <w:t xml:space="preserve"> </w:t>
            </w:r>
            <w:r w:rsidRPr="00E16672">
              <w:rPr>
                <w:rFonts w:ascii="Times New Roman" w:hAnsi="Times New Roman"/>
                <w:color w:val="000000"/>
                <w:sz w:val="16"/>
                <w:szCs w:val="16"/>
                <w:lang w:val="en-US"/>
              </w:rPr>
              <w:t>R</w:t>
            </w:r>
            <w:proofErr w:type="spellStart"/>
            <w:r w:rsidRPr="00E16672">
              <w:rPr>
                <w:rFonts w:ascii="Times New Roman" w:hAnsi="Times New Roman"/>
                <w:color w:val="000000"/>
                <w:sz w:val="16"/>
                <w:szCs w:val="16"/>
                <w:lang w:val="uk-UA"/>
              </w:rPr>
              <w:t>egulation</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of</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the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Central</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Depository</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Depository</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institution</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pays</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income</w:t>
            </w:r>
            <w:proofErr w:type="spellEnd"/>
            <w:r w:rsidRPr="00E16672">
              <w:rPr>
                <w:rFonts w:ascii="Times New Roman" w:hAnsi="Times New Roman"/>
                <w:color w:val="000000"/>
                <w:sz w:val="16"/>
                <w:szCs w:val="16"/>
                <w:lang w:val="en-US"/>
              </w:rPr>
              <w:t xml:space="preserve"> from</w:t>
            </w:r>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securities</w:t>
            </w:r>
            <w:proofErr w:type="spellEnd"/>
            <w:r w:rsidRPr="00E16672">
              <w:rPr>
                <w:rFonts w:ascii="Times New Roman" w:hAnsi="Times New Roman"/>
                <w:color w:val="000000"/>
                <w:sz w:val="16"/>
                <w:szCs w:val="16"/>
                <w:lang w:val="uk-UA"/>
              </w:rPr>
              <w:t xml:space="preserve"> - </w:t>
            </w:r>
            <w:proofErr w:type="spellStart"/>
            <w:r w:rsidRPr="00E16672">
              <w:rPr>
                <w:rFonts w:ascii="Times New Roman" w:hAnsi="Times New Roman"/>
                <w:color w:val="000000"/>
                <w:sz w:val="16"/>
                <w:szCs w:val="16"/>
                <w:lang w:val="uk-UA"/>
              </w:rPr>
              <w:t>money</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received</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by</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the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Depositor</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on</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the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results</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of</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corporate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operations</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of</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the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issuer</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by</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transferring</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money</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to</w:t>
            </w:r>
            <w:proofErr w:type="spellEnd"/>
            <w:r w:rsidRPr="00E16672">
              <w:rPr>
                <w:rFonts w:ascii="Times New Roman" w:hAnsi="Times New Roman"/>
                <w:color w:val="000000"/>
                <w:sz w:val="16"/>
                <w:szCs w:val="16"/>
                <w:lang w:val="uk-UA"/>
              </w:rPr>
              <w:t xml:space="preserve"> a </w:t>
            </w:r>
            <w:proofErr w:type="spellStart"/>
            <w:r w:rsidRPr="00E16672">
              <w:rPr>
                <w:rFonts w:ascii="Times New Roman" w:hAnsi="Times New Roman"/>
                <w:color w:val="000000"/>
                <w:sz w:val="16"/>
                <w:szCs w:val="16"/>
                <w:lang w:val="uk-UA"/>
              </w:rPr>
              <w:t>bank</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mone</w:t>
            </w:r>
            <w:proofErr w:type="spellEnd"/>
            <w:r w:rsidRPr="00E16672">
              <w:rPr>
                <w:rFonts w:ascii="Times New Roman" w:hAnsi="Times New Roman"/>
                <w:color w:val="000000"/>
                <w:sz w:val="16"/>
                <w:szCs w:val="16"/>
                <w:lang w:val="en-US"/>
              </w:rPr>
              <w:t>tar</w:t>
            </w:r>
            <w:r w:rsidRPr="00E16672">
              <w:rPr>
                <w:rFonts w:ascii="Times New Roman" w:hAnsi="Times New Roman"/>
                <w:color w:val="000000"/>
                <w:sz w:val="16"/>
                <w:szCs w:val="16"/>
                <w:lang w:val="uk-UA"/>
              </w:rPr>
              <w:t xml:space="preserve">y </w:t>
            </w:r>
            <w:proofErr w:type="spellStart"/>
            <w:r w:rsidRPr="00E16672">
              <w:rPr>
                <w:rFonts w:ascii="Times New Roman" w:hAnsi="Times New Roman"/>
                <w:color w:val="000000"/>
                <w:sz w:val="16"/>
                <w:szCs w:val="16"/>
                <w:lang w:val="uk-UA"/>
              </w:rPr>
              <w:t>account</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of</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Depositor</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details</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of</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which</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indicated</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in</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the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Depositor’s</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form</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of</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the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account</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securities</w:t>
            </w:r>
            <w:proofErr w:type="spellEnd"/>
            <w:r w:rsidRPr="00E16672">
              <w:rPr>
                <w:rFonts w:ascii="Times New Roman" w:hAnsi="Times New Roman"/>
                <w:color w:val="000000"/>
                <w:sz w:val="16"/>
                <w:szCs w:val="16"/>
                <w:lang w:val="uk-UA"/>
              </w:rPr>
              <w:t>.</w:t>
            </w:r>
          </w:p>
        </w:tc>
      </w:tr>
      <w:tr w:rsidR="003A05A3" w:rsidRPr="00F23413" w14:paraId="67F660BD" w14:textId="77777777" w:rsidTr="00242F58">
        <w:trPr>
          <w:trHeight w:val="192"/>
        </w:trPr>
        <w:tc>
          <w:tcPr>
            <w:tcW w:w="5696" w:type="dxa"/>
            <w:gridSpan w:val="8"/>
            <w:shd w:val="clear" w:color="auto" w:fill="auto"/>
          </w:tcPr>
          <w:p w14:paraId="1492C58A" w14:textId="77777777" w:rsidR="003A05A3" w:rsidRPr="00E16672" w:rsidRDefault="003A05A3" w:rsidP="004F69E6">
            <w:pPr>
              <w:snapToGrid w:val="0"/>
              <w:spacing w:before="57" w:after="57"/>
              <w:ind w:left="175" w:right="138" w:firstLine="0"/>
              <w:rPr>
                <w:rFonts w:ascii="Times New Roman" w:hAnsi="Times New Roman"/>
                <w:color w:val="000000"/>
                <w:sz w:val="16"/>
                <w:szCs w:val="16"/>
                <w:lang w:val="uk-UA"/>
              </w:rPr>
            </w:pPr>
            <w:r w:rsidRPr="00E16672">
              <w:rPr>
                <w:rFonts w:ascii="Times New Roman" w:hAnsi="Times New Roman"/>
                <w:color w:val="000000"/>
                <w:sz w:val="16"/>
                <w:szCs w:val="16"/>
                <w:lang w:val="uk-UA"/>
              </w:rPr>
              <w:t xml:space="preserve">Якщо в анкеті Депонента відсутні реквізити діючого грошового банківського рахунку на дату надходження до Депозитарної установи відповідних коштів, виплата доходу за цінними паперами здійснюється не пізніше, ніж за </w:t>
            </w:r>
            <w:r w:rsidRPr="00E16672">
              <w:rPr>
                <w:rFonts w:ascii="Times New Roman" w:hAnsi="Times New Roman"/>
                <w:i/>
                <w:color w:val="000000"/>
                <w:sz w:val="16"/>
                <w:szCs w:val="16"/>
                <w:lang w:val="uk-UA"/>
              </w:rPr>
              <w:t>десять робочих днів</w:t>
            </w:r>
            <w:r w:rsidRPr="00E16672">
              <w:rPr>
                <w:rFonts w:ascii="Times New Roman" w:hAnsi="Times New Roman"/>
                <w:color w:val="000000"/>
                <w:sz w:val="16"/>
                <w:szCs w:val="16"/>
                <w:lang w:val="uk-UA"/>
              </w:rPr>
              <w:t xml:space="preserve"> до закінчення </w:t>
            </w:r>
            <w:r w:rsidRPr="00E16672">
              <w:rPr>
                <w:rFonts w:ascii="Times New Roman" w:hAnsi="Times New Roman"/>
                <w:i/>
                <w:color w:val="000000"/>
                <w:sz w:val="16"/>
                <w:szCs w:val="16"/>
                <w:lang w:val="uk-UA"/>
              </w:rPr>
              <w:t>шестимісячного терміну</w:t>
            </w:r>
            <w:r w:rsidRPr="00E16672">
              <w:rPr>
                <w:rFonts w:ascii="Times New Roman" w:hAnsi="Times New Roman"/>
                <w:color w:val="000000"/>
                <w:sz w:val="16"/>
                <w:szCs w:val="16"/>
                <w:lang w:val="uk-UA"/>
              </w:rPr>
              <w:t xml:space="preserve"> знаходження коштів у Депозитарній установі у разі внесення Депонентом до анкети рахунку </w:t>
            </w:r>
            <w:r w:rsidR="00C22309" w:rsidRPr="00E16672">
              <w:rPr>
                <w:rFonts w:ascii="Times New Roman" w:hAnsi="Times New Roman"/>
                <w:color w:val="000000"/>
                <w:sz w:val="16"/>
                <w:szCs w:val="16"/>
                <w:lang w:val="uk-UA"/>
              </w:rPr>
              <w:t>в цін</w:t>
            </w:r>
            <w:r w:rsidRPr="00E16672">
              <w:rPr>
                <w:rFonts w:ascii="Times New Roman" w:hAnsi="Times New Roman"/>
                <w:color w:val="000000"/>
                <w:sz w:val="16"/>
                <w:szCs w:val="16"/>
                <w:lang w:val="uk-UA"/>
              </w:rPr>
              <w:t xml:space="preserve">них паперах не пізніше ніж за </w:t>
            </w:r>
            <w:r w:rsidRPr="00E16672">
              <w:rPr>
                <w:rFonts w:ascii="Times New Roman" w:hAnsi="Times New Roman"/>
                <w:i/>
                <w:color w:val="000000"/>
                <w:sz w:val="16"/>
                <w:szCs w:val="16"/>
                <w:lang w:val="uk-UA"/>
              </w:rPr>
              <w:t xml:space="preserve">п'ятнадцять робочих днів </w:t>
            </w:r>
            <w:r w:rsidRPr="00E16672">
              <w:rPr>
                <w:rFonts w:ascii="Times New Roman" w:hAnsi="Times New Roman"/>
                <w:color w:val="000000"/>
                <w:sz w:val="16"/>
                <w:szCs w:val="16"/>
                <w:lang w:val="uk-UA"/>
              </w:rPr>
              <w:t xml:space="preserve">до закінчення зазначеного терміну інформації щодо діючого грошового банківського рахунку. </w:t>
            </w:r>
          </w:p>
        </w:tc>
        <w:tc>
          <w:tcPr>
            <w:tcW w:w="5494" w:type="dxa"/>
            <w:gridSpan w:val="6"/>
            <w:shd w:val="clear" w:color="auto" w:fill="auto"/>
          </w:tcPr>
          <w:p w14:paraId="5DB0F00F" w14:textId="77777777" w:rsidR="003A05A3" w:rsidRPr="00E16672" w:rsidRDefault="003A05A3" w:rsidP="004F69E6">
            <w:pPr>
              <w:snapToGrid w:val="0"/>
              <w:spacing w:before="57" w:after="57"/>
              <w:ind w:left="175" w:right="138" w:firstLine="0"/>
              <w:rPr>
                <w:rFonts w:ascii="Times New Roman" w:hAnsi="Times New Roman"/>
                <w:color w:val="000000"/>
                <w:sz w:val="16"/>
                <w:szCs w:val="16"/>
                <w:lang w:val="uk-UA"/>
              </w:rPr>
            </w:pPr>
            <w:proofErr w:type="spellStart"/>
            <w:r w:rsidRPr="00E16672">
              <w:rPr>
                <w:rFonts w:ascii="Times New Roman" w:hAnsi="Times New Roman"/>
                <w:color w:val="000000"/>
                <w:sz w:val="16"/>
                <w:szCs w:val="16"/>
                <w:lang w:val="uk-UA"/>
              </w:rPr>
              <w:t>If</w:t>
            </w:r>
            <w:proofErr w:type="spellEnd"/>
            <w:r w:rsidRPr="00E16672">
              <w:rPr>
                <w:rFonts w:ascii="Times New Roman" w:hAnsi="Times New Roman"/>
                <w:color w:val="000000"/>
                <w:sz w:val="16"/>
                <w:szCs w:val="16"/>
                <w:lang w:val="en-US"/>
              </w:rPr>
              <w:t xml:space="preserve"> in</w:t>
            </w:r>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the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Depositor’s</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form</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of</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the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account</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securities</w:t>
            </w:r>
            <w:proofErr w:type="spellEnd"/>
            <w:r w:rsidRPr="00E16672">
              <w:rPr>
                <w:rFonts w:ascii="Times New Roman" w:hAnsi="Times New Roman"/>
                <w:color w:val="000000"/>
                <w:sz w:val="16"/>
                <w:szCs w:val="16"/>
                <w:lang w:val="uk-UA"/>
              </w:rPr>
              <w:t xml:space="preserve"> </w:t>
            </w:r>
            <w:r w:rsidRPr="00E16672">
              <w:rPr>
                <w:rFonts w:ascii="Times New Roman" w:hAnsi="Times New Roman"/>
                <w:color w:val="000000"/>
                <w:sz w:val="16"/>
                <w:szCs w:val="16"/>
                <w:lang w:val="en-US"/>
              </w:rPr>
              <w:t xml:space="preserve"> there are </w:t>
            </w:r>
            <w:proofErr w:type="spellStart"/>
            <w:r w:rsidRPr="00E16672">
              <w:rPr>
                <w:rFonts w:ascii="Times New Roman" w:hAnsi="Times New Roman"/>
                <w:color w:val="000000"/>
                <w:sz w:val="16"/>
                <w:szCs w:val="16"/>
                <w:lang w:val="uk-UA"/>
              </w:rPr>
              <w:t>no</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details</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of</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the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current</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monetary</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bank</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account</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on</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the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date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of</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receipt</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by</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the</w:t>
            </w:r>
            <w:proofErr w:type="spellEnd"/>
            <w:r w:rsidRPr="00E16672">
              <w:rPr>
                <w:rFonts w:ascii="Times New Roman" w:hAnsi="Times New Roman"/>
                <w:color w:val="000000"/>
                <w:sz w:val="16"/>
                <w:szCs w:val="16"/>
                <w:lang w:val="uk-UA"/>
              </w:rPr>
              <w:t xml:space="preserve"> </w:t>
            </w:r>
            <w:r w:rsidRPr="00E16672">
              <w:rPr>
                <w:rFonts w:ascii="Times New Roman" w:hAnsi="Times New Roman"/>
                <w:color w:val="000000"/>
                <w:sz w:val="16"/>
                <w:szCs w:val="16"/>
                <w:lang w:val="en-US"/>
              </w:rPr>
              <w:t>D</w:t>
            </w:r>
            <w:proofErr w:type="spellStart"/>
            <w:r w:rsidRPr="00E16672">
              <w:rPr>
                <w:rFonts w:ascii="Times New Roman" w:hAnsi="Times New Roman"/>
                <w:color w:val="000000"/>
                <w:sz w:val="16"/>
                <w:szCs w:val="16"/>
                <w:lang w:val="uk-UA"/>
              </w:rPr>
              <w:t>epository</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institution</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of</w:t>
            </w:r>
            <w:proofErr w:type="spellEnd"/>
            <w:r w:rsidRPr="00E16672">
              <w:rPr>
                <w:rFonts w:ascii="Times New Roman" w:hAnsi="Times New Roman"/>
                <w:color w:val="000000"/>
                <w:sz w:val="16"/>
                <w:szCs w:val="16"/>
                <w:lang w:val="uk-UA"/>
              </w:rPr>
              <w:t xml:space="preserve"> </w:t>
            </w:r>
            <w:r w:rsidRPr="00E16672">
              <w:rPr>
                <w:rFonts w:ascii="Times New Roman" w:hAnsi="Times New Roman"/>
                <w:color w:val="000000"/>
                <w:sz w:val="16"/>
                <w:szCs w:val="16"/>
                <w:lang w:val="en-US"/>
              </w:rPr>
              <w:t>money</w:t>
            </w:r>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the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payment</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income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for</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securities</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carried</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out</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not</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later</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than</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i/>
                <w:color w:val="000000"/>
                <w:sz w:val="16"/>
                <w:szCs w:val="16"/>
                <w:lang w:val="uk-UA"/>
              </w:rPr>
              <w:t>ten</w:t>
            </w:r>
            <w:proofErr w:type="spellEnd"/>
            <w:r w:rsidRPr="00E16672">
              <w:rPr>
                <w:rFonts w:ascii="Times New Roman" w:hAnsi="Times New Roman"/>
                <w:i/>
                <w:color w:val="000000"/>
                <w:sz w:val="16"/>
                <w:szCs w:val="16"/>
                <w:lang w:val="uk-UA"/>
              </w:rPr>
              <w:t xml:space="preserve"> </w:t>
            </w:r>
            <w:proofErr w:type="spellStart"/>
            <w:r w:rsidRPr="00E16672">
              <w:rPr>
                <w:rFonts w:ascii="Times New Roman" w:hAnsi="Times New Roman"/>
                <w:i/>
                <w:color w:val="000000"/>
                <w:sz w:val="16"/>
                <w:szCs w:val="16"/>
                <w:lang w:val="uk-UA"/>
              </w:rPr>
              <w:t>working</w:t>
            </w:r>
            <w:proofErr w:type="spellEnd"/>
            <w:r w:rsidRPr="00E16672">
              <w:rPr>
                <w:rFonts w:ascii="Times New Roman" w:hAnsi="Times New Roman"/>
                <w:i/>
                <w:color w:val="000000"/>
                <w:sz w:val="16"/>
                <w:szCs w:val="16"/>
                <w:lang w:val="uk-UA"/>
              </w:rPr>
              <w:t xml:space="preserve"> </w:t>
            </w:r>
            <w:proofErr w:type="spellStart"/>
            <w:r w:rsidRPr="00E16672">
              <w:rPr>
                <w:rFonts w:ascii="Times New Roman" w:hAnsi="Times New Roman"/>
                <w:i/>
                <w:color w:val="000000"/>
                <w:sz w:val="16"/>
                <w:szCs w:val="16"/>
                <w:lang w:val="uk-UA"/>
              </w:rPr>
              <w:t>days</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before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the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expiry</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of</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i/>
                <w:color w:val="000000"/>
                <w:sz w:val="16"/>
                <w:szCs w:val="16"/>
                <w:lang w:val="uk-UA"/>
              </w:rPr>
              <w:t>six</w:t>
            </w:r>
            <w:proofErr w:type="spellEnd"/>
            <w:r w:rsidRPr="00E16672">
              <w:rPr>
                <w:rFonts w:ascii="Times New Roman" w:hAnsi="Times New Roman"/>
                <w:i/>
                <w:color w:val="000000"/>
                <w:sz w:val="16"/>
                <w:szCs w:val="16"/>
                <w:lang w:val="uk-UA"/>
              </w:rPr>
              <w:t xml:space="preserve"> </w:t>
            </w:r>
            <w:proofErr w:type="spellStart"/>
            <w:r w:rsidRPr="00E16672">
              <w:rPr>
                <w:rFonts w:ascii="Times New Roman" w:hAnsi="Times New Roman"/>
                <w:i/>
                <w:color w:val="000000"/>
                <w:sz w:val="16"/>
                <w:szCs w:val="16"/>
                <w:lang w:val="uk-UA"/>
              </w:rPr>
              <w:t>months</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of</w:t>
            </w:r>
            <w:proofErr w:type="spellEnd"/>
            <w:r w:rsidRPr="00E16672">
              <w:rPr>
                <w:rFonts w:ascii="Times New Roman" w:hAnsi="Times New Roman"/>
                <w:color w:val="000000"/>
                <w:sz w:val="16"/>
                <w:szCs w:val="16"/>
                <w:lang w:val="uk-UA"/>
              </w:rPr>
              <w:t xml:space="preserve"> </w:t>
            </w:r>
            <w:r w:rsidRPr="00E16672">
              <w:rPr>
                <w:rFonts w:ascii="Times New Roman" w:hAnsi="Times New Roman"/>
                <w:color w:val="000000"/>
                <w:sz w:val="16"/>
                <w:szCs w:val="16"/>
                <w:lang w:val="en-US"/>
              </w:rPr>
              <w:t xml:space="preserve">money, which are </w:t>
            </w:r>
            <w:proofErr w:type="spellStart"/>
            <w:r w:rsidRPr="00E16672">
              <w:rPr>
                <w:rFonts w:ascii="Times New Roman" w:hAnsi="Times New Roman"/>
                <w:color w:val="000000"/>
                <w:sz w:val="16"/>
                <w:szCs w:val="16"/>
                <w:lang w:val="uk-UA"/>
              </w:rPr>
              <w:t>in</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the</w:t>
            </w:r>
            <w:proofErr w:type="spellEnd"/>
            <w:r w:rsidRPr="00E16672">
              <w:rPr>
                <w:rFonts w:ascii="Times New Roman" w:hAnsi="Times New Roman"/>
                <w:color w:val="000000"/>
                <w:sz w:val="16"/>
                <w:szCs w:val="16"/>
                <w:lang w:val="uk-UA"/>
              </w:rPr>
              <w:t xml:space="preserve"> </w:t>
            </w:r>
            <w:r w:rsidRPr="00E16672">
              <w:rPr>
                <w:rFonts w:ascii="Times New Roman" w:hAnsi="Times New Roman"/>
                <w:color w:val="000000"/>
                <w:sz w:val="16"/>
                <w:szCs w:val="16"/>
                <w:lang w:val="en-US"/>
              </w:rPr>
              <w:t>D</w:t>
            </w:r>
            <w:proofErr w:type="spellStart"/>
            <w:r w:rsidRPr="00E16672">
              <w:rPr>
                <w:rFonts w:ascii="Times New Roman" w:hAnsi="Times New Roman"/>
                <w:color w:val="000000"/>
                <w:sz w:val="16"/>
                <w:szCs w:val="16"/>
                <w:lang w:val="uk-UA"/>
              </w:rPr>
              <w:t>epository</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institution</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en-US"/>
              </w:rPr>
              <w:t>i</w:t>
            </w:r>
            <w:proofErr w:type="spellEnd"/>
            <w:r w:rsidRPr="00E16672">
              <w:rPr>
                <w:rFonts w:ascii="Times New Roman" w:hAnsi="Times New Roman"/>
                <w:color w:val="000000"/>
                <w:sz w:val="16"/>
                <w:szCs w:val="16"/>
                <w:lang w:val="uk-UA"/>
              </w:rPr>
              <w:t xml:space="preserve">n </w:t>
            </w:r>
            <w:proofErr w:type="spellStart"/>
            <w:r w:rsidRPr="00E16672">
              <w:rPr>
                <w:rFonts w:ascii="Times New Roman" w:hAnsi="Times New Roman"/>
                <w:color w:val="000000"/>
                <w:sz w:val="16"/>
                <w:szCs w:val="16"/>
                <w:lang w:val="uk-UA"/>
              </w:rPr>
              <w:t>case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of</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introduction</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information</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about</w:t>
            </w:r>
            <w:proofErr w:type="spellEnd"/>
            <w:r w:rsidRPr="00E16672">
              <w:rPr>
                <w:rFonts w:ascii="Times New Roman" w:hAnsi="Times New Roman"/>
                <w:color w:val="000000"/>
                <w:sz w:val="16"/>
                <w:szCs w:val="16"/>
                <w:lang w:val="uk-UA"/>
              </w:rPr>
              <w:t xml:space="preserve"> </w:t>
            </w:r>
            <w:r w:rsidRPr="00E16672">
              <w:rPr>
                <w:rFonts w:ascii="Times New Roman" w:hAnsi="Times New Roman"/>
                <w:color w:val="000000"/>
                <w:sz w:val="16"/>
                <w:szCs w:val="16"/>
                <w:lang w:val="en-US"/>
              </w:rPr>
              <w:t>current</w:t>
            </w:r>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monetary</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bank</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account</w:t>
            </w:r>
            <w:proofErr w:type="spellEnd"/>
            <w:r w:rsidRPr="00E16672">
              <w:rPr>
                <w:rFonts w:ascii="Times New Roman" w:hAnsi="Times New Roman"/>
                <w:color w:val="000000"/>
                <w:sz w:val="16"/>
                <w:szCs w:val="16"/>
                <w:lang w:val="en-US"/>
              </w:rPr>
              <w:t xml:space="preserve"> by </w:t>
            </w:r>
            <w:proofErr w:type="spellStart"/>
            <w:r w:rsidRPr="00E16672">
              <w:rPr>
                <w:rFonts w:ascii="Times New Roman" w:hAnsi="Times New Roman"/>
                <w:color w:val="000000"/>
                <w:sz w:val="16"/>
                <w:szCs w:val="16"/>
                <w:lang w:val="uk-UA"/>
              </w:rPr>
              <w:t>Depositor</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to</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the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form</w:t>
            </w:r>
            <w:proofErr w:type="spellEnd"/>
            <w:r w:rsidRPr="00E16672">
              <w:rPr>
                <w:rFonts w:ascii="Times New Roman" w:hAnsi="Times New Roman"/>
                <w:color w:val="000000"/>
                <w:sz w:val="16"/>
                <w:szCs w:val="16"/>
                <w:lang w:val="uk-UA"/>
              </w:rPr>
              <w:t xml:space="preserve"> </w:t>
            </w:r>
            <w:r w:rsidRPr="00E16672">
              <w:rPr>
                <w:rFonts w:ascii="Times New Roman" w:hAnsi="Times New Roman"/>
                <w:color w:val="000000"/>
                <w:sz w:val="16"/>
                <w:szCs w:val="16"/>
                <w:lang w:val="en-US"/>
              </w:rPr>
              <w:t xml:space="preserve">of the </w:t>
            </w:r>
            <w:proofErr w:type="spellStart"/>
            <w:r w:rsidRPr="00E16672">
              <w:rPr>
                <w:rFonts w:ascii="Times New Roman" w:hAnsi="Times New Roman"/>
                <w:color w:val="000000"/>
                <w:sz w:val="16"/>
                <w:szCs w:val="16"/>
                <w:lang w:val="uk-UA"/>
              </w:rPr>
              <w:t>account</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in</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securities</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not</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later</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than</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i/>
                <w:color w:val="000000"/>
                <w:sz w:val="16"/>
                <w:szCs w:val="16"/>
                <w:lang w:val="uk-UA"/>
              </w:rPr>
              <w:t>fifteen</w:t>
            </w:r>
            <w:proofErr w:type="spellEnd"/>
            <w:r w:rsidRPr="00E16672">
              <w:rPr>
                <w:rFonts w:ascii="Times New Roman" w:hAnsi="Times New Roman"/>
                <w:i/>
                <w:color w:val="000000"/>
                <w:sz w:val="16"/>
                <w:szCs w:val="16"/>
                <w:lang w:val="uk-UA"/>
              </w:rPr>
              <w:t xml:space="preserve"> </w:t>
            </w:r>
            <w:proofErr w:type="spellStart"/>
            <w:r w:rsidRPr="00E16672">
              <w:rPr>
                <w:rFonts w:ascii="Times New Roman" w:hAnsi="Times New Roman"/>
                <w:i/>
                <w:color w:val="000000"/>
                <w:sz w:val="16"/>
                <w:szCs w:val="16"/>
                <w:lang w:val="uk-UA"/>
              </w:rPr>
              <w:t>days</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before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the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expiration</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of</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the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term</w:t>
            </w:r>
            <w:proofErr w:type="spellEnd"/>
            <w:r w:rsidRPr="00E16672">
              <w:rPr>
                <w:rFonts w:ascii="Times New Roman" w:hAnsi="Times New Roman"/>
                <w:color w:val="000000"/>
                <w:sz w:val="16"/>
                <w:szCs w:val="16"/>
                <w:lang w:val="uk-UA"/>
              </w:rPr>
              <w:t>.</w:t>
            </w:r>
          </w:p>
        </w:tc>
      </w:tr>
      <w:tr w:rsidR="003A05A3" w:rsidRPr="00F23413" w14:paraId="2F8A89AA" w14:textId="77777777" w:rsidTr="00242F58">
        <w:trPr>
          <w:trHeight w:val="192"/>
        </w:trPr>
        <w:tc>
          <w:tcPr>
            <w:tcW w:w="5696" w:type="dxa"/>
            <w:gridSpan w:val="8"/>
            <w:shd w:val="clear" w:color="auto" w:fill="auto"/>
          </w:tcPr>
          <w:p w14:paraId="71EA2513" w14:textId="77777777" w:rsidR="003A05A3" w:rsidRPr="00E16672" w:rsidRDefault="003A05A3" w:rsidP="004F69E6">
            <w:pPr>
              <w:snapToGrid w:val="0"/>
              <w:spacing w:before="57" w:after="57"/>
              <w:ind w:left="175" w:right="138" w:firstLine="0"/>
              <w:rPr>
                <w:rFonts w:ascii="Times New Roman" w:hAnsi="Times New Roman"/>
                <w:color w:val="000000"/>
                <w:sz w:val="16"/>
                <w:szCs w:val="16"/>
                <w:lang w:val="uk-UA"/>
              </w:rPr>
            </w:pPr>
            <w:r w:rsidRPr="00E16672">
              <w:rPr>
                <w:rFonts w:ascii="Times New Roman" w:hAnsi="Times New Roman"/>
                <w:color w:val="000000"/>
                <w:sz w:val="16"/>
                <w:szCs w:val="16"/>
                <w:lang w:val="uk-UA"/>
              </w:rPr>
              <w:t>Щодо коштів, які надійшли на грошовий рахунок Депозитарної установи з метою їх подальшого переказу та не були виплачені Депоненту через незалежні від Депозитарної установи обставини у разі не вчинення Депонентом необхідних дій для їх отримання, Депозитарною установою вчиняються дії у порядку, передбаченому законодавством та/або внутрішніми документами Депозитарної установи.</w:t>
            </w:r>
          </w:p>
        </w:tc>
        <w:tc>
          <w:tcPr>
            <w:tcW w:w="5494" w:type="dxa"/>
            <w:gridSpan w:val="6"/>
            <w:shd w:val="clear" w:color="auto" w:fill="auto"/>
          </w:tcPr>
          <w:p w14:paraId="3E9D31C1" w14:textId="77777777" w:rsidR="003A05A3" w:rsidRPr="00E16672" w:rsidRDefault="003A05A3" w:rsidP="004F69E6">
            <w:pPr>
              <w:snapToGrid w:val="0"/>
              <w:spacing w:before="57" w:after="57"/>
              <w:ind w:left="175" w:right="138" w:firstLine="0"/>
              <w:rPr>
                <w:rFonts w:ascii="Times New Roman" w:hAnsi="Times New Roman"/>
                <w:color w:val="000000"/>
                <w:sz w:val="16"/>
                <w:szCs w:val="16"/>
                <w:lang w:val="uk-UA"/>
              </w:rPr>
            </w:pPr>
            <w:proofErr w:type="spellStart"/>
            <w:r w:rsidRPr="00E16672">
              <w:rPr>
                <w:rFonts w:ascii="Times New Roman" w:hAnsi="Times New Roman"/>
                <w:color w:val="000000"/>
                <w:sz w:val="16"/>
                <w:szCs w:val="16"/>
                <w:lang w:val="uk-UA"/>
              </w:rPr>
              <w:t>As</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for</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the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money</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received</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on</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monetary</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account</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of</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Depository</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institution</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for</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their</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further</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transfer</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and</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have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not</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been</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paid</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out</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to</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the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Depositor</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through</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independent</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of</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Depository</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institution</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circumstances</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in</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case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do</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not</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committing</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by</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the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Depositor</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necessary</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actions</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to</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obtain</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them</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Depository</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institution</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performs</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actions</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according</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with</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the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legislation</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and</w:t>
            </w:r>
            <w:proofErr w:type="spellEnd"/>
            <w:r w:rsidRPr="00E16672">
              <w:rPr>
                <w:rFonts w:ascii="Times New Roman" w:hAnsi="Times New Roman"/>
                <w:color w:val="000000"/>
                <w:sz w:val="16"/>
                <w:szCs w:val="16"/>
                <w:lang w:val="uk-UA"/>
              </w:rPr>
              <w:t>/</w:t>
            </w:r>
            <w:proofErr w:type="spellStart"/>
            <w:r w:rsidRPr="00E16672">
              <w:rPr>
                <w:rFonts w:ascii="Times New Roman" w:hAnsi="Times New Roman"/>
                <w:color w:val="000000"/>
                <w:sz w:val="16"/>
                <w:szCs w:val="16"/>
                <w:lang w:val="uk-UA"/>
              </w:rPr>
              <w:t>or</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internal</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documents</w:t>
            </w:r>
            <w:proofErr w:type="spellEnd"/>
            <w:r w:rsidRPr="00E16672">
              <w:rPr>
                <w:rFonts w:ascii="Times New Roman" w:hAnsi="Times New Roman"/>
                <w:color w:val="000000"/>
                <w:sz w:val="16"/>
                <w:szCs w:val="16"/>
                <w:lang w:val="uk-UA"/>
              </w:rPr>
              <w:t xml:space="preserve"> </w:t>
            </w:r>
            <w:r w:rsidRPr="00E16672">
              <w:rPr>
                <w:rFonts w:ascii="Times New Roman" w:hAnsi="Times New Roman"/>
                <w:color w:val="000000"/>
                <w:sz w:val="16"/>
                <w:szCs w:val="16"/>
                <w:lang w:val="en-US"/>
              </w:rPr>
              <w:t xml:space="preserve">of </w:t>
            </w:r>
            <w:proofErr w:type="spellStart"/>
            <w:r w:rsidRPr="00E16672">
              <w:rPr>
                <w:rFonts w:ascii="Times New Roman" w:hAnsi="Times New Roman"/>
                <w:color w:val="000000"/>
                <w:sz w:val="16"/>
                <w:szCs w:val="16"/>
                <w:lang w:val="uk-UA"/>
              </w:rPr>
              <w:t>Depository</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institution</w:t>
            </w:r>
            <w:proofErr w:type="spellEnd"/>
            <w:r w:rsidRPr="00E16672">
              <w:rPr>
                <w:rFonts w:ascii="Times New Roman" w:hAnsi="Times New Roman"/>
                <w:color w:val="000000"/>
                <w:sz w:val="16"/>
                <w:szCs w:val="16"/>
                <w:lang w:val="uk-UA"/>
              </w:rPr>
              <w:t>.</w:t>
            </w:r>
          </w:p>
        </w:tc>
      </w:tr>
      <w:tr w:rsidR="003A05A3" w:rsidRPr="00F23413" w14:paraId="7CD5E14B" w14:textId="77777777" w:rsidTr="00242F58">
        <w:trPr>
          <w:trHeight w:val="192"/>
        </w:trPr>
        <w:tc>
          <w:tcPr>
            <w:tcW w:w="5696" w:type="dxa"/>
            <w:gridSpan w:val="8"/>
            <w:shd w:val="clear" w:color="auto" w:fill="auto"/>
          </w:tcPr>
          <w:p w14:paraId="70CFFC59" w14:textId="77777777" w:rsidR="003A05A3" w:rsidRPr="00E16672" w:rsidRDefault="003A05A3" w:rsidP="009D3C4B">
            <w:pPr>
              <w:snapToGrid w:val="0"/>
              <w:spacing w:before="57" w:after="57"/>
              <w:ind w:left="175" w:right="138" w:firstLine="0"/>
              <w:rPr>
                <w:rFonts w:ascii="Times New Roman" w:hAnsi="Times New Roman"/>
                <w:color w:val="000000"/>
                <w:sz w:val="16"/>
                <w:szCs w:val="16"/>
                <w:lang w:val="uk-UA"/>
              </w:rPr>
            </w:pPr>
            <w:r w:rsidRPr="00E16672">
              <w:rPr>
                <w:rFonts w:ascii="Times New Roman" w:hAnsi="Times New Roman"/>
                <w:color w:val="000000"/>
                <w:sz w:val="16"/>
                <w:szCs w:val="16"/>
                <w:lang w:val="uk-UA"/>
              </w:rPr>
              <w:t>1</w:t>
            </w:r>
            <w:r w:rsidR="00577C78" w:rsidRPr="00E16672">
              <w:rPr>
                <w:rFonts w:ascii="Times New Roman" w:hAnsi="Times New Roman"/>
                <w:color w:val="000000"/>
                <w:sz w:val="16"/>
                <w:szCs w:val="16"/>
                <w:lang w:val="uk-UA"/>
              </w:rPr>
              <w:t>1</w:t>
            </w:r>
            <w:r w:rsidRPr="00E16672">
              <w:rPr>
                <w:rFonts w:ascii="Times New Roman" w:hAnsi="Times New Roman"/>
                <w:color w:val="000000"/>
                <w:sz w:val="16"/>
                <w:szCs w:val="16"/>
                <w:lang w:val="uk-UA"/>
              </w:rPr>
              <w:t xml:space="preserve">.1.2. У термін не пізніше </w:t>
            </w:r>
            <w:r w:rsidRPr="00E16672">
              <w:rPr>
                <w:rFonts w:ascii="Times New Roman" w:hAnsi="Times New Roman"/>
                <w:i/>
                <w:color w:val="000000"/>
                <w:sz w:val="16"/>
                <w:szCs w:val="16"/>
                <w:lang w:val="uk-UA"/>
              </w:rPr>
              <w:t>десяти робочих днів</w:t>
            </w:r>
            <w:r w:rsidRPr="00E16672">
              <w:rPr>
                <w:rFonts w:ascii="Times New Roman" w:hAnsi="Times New Roman"/>
                <w:color w:val="000000"/>
                <w:sz w:val="16"/>
                <w:szCs w:val="16"/>
                <w:lang w:val="uk-UA"/>
              </w:rPr>
              <w:t xml:space="preserve"> з моменту надходження відповідних коштів на грошовий рахунок Депозитарної установи Депозитарна установа здійснює виплату грошових коштів, отриманих Депонентом за результатами погашення цінних паперів емітента, шляхом перерахування грошових коштів на грошовий банківський рахунок Депонента, зазначений в анкеті рахунку в цінних паперах Депонента. Вищезазначені дії виконуються Депозитарною установою у разі наявності реквізитів діючого грошового банківського рахунку в анкеті рахунку </w:t>
            </w:r>
            <w:r w:rsidR="00C22309" w:rsidRPr="00E16672">
              <w:rPr>
                <w:rFonts w:ascii="Times New Roman" w:hAnsi="Times New Roman"/>
                <w:color w:val="000000"/>
                <w:sz w:val="16"/>
                <w:szCs w:val="16"/>
                <w:lang w:val="uk-UA"/>
              </w:rPr>
              <w:t>в цін</w:t>
            </w:r>
            <w:r w:rsidRPr="00E16672">
              <w:rPr>
                <w:rFonts w:ascii="Times New Roman" w:hAnsi="Times New Roman"/>
                <w:color w:val="000000"/>
                <w:sz w:val="16"/>
                <w:szCs w:val="16"/>
                <w:lang w:val="uk-UA"/>
              </w:rPr>
              <w:t>них паперах Депонента на момент надходження відповідних коштів на грошовий рахунок Депозитарної установи.</w:t>
            </w:r>
          </w:p>
        </w:tc>
        <w:tc>
          <w:tcPr>
            <w:tcW w:w="5494" w:type="dxa"/>
            <w:gridSpan w:val="6"/>
            <w:shd w:val="clear" w:color="auto" w:fill="auto"/>
          </w:tcPr>
          <w:p w14:paraId="7610C802" w14:textId="77777777" w:rsidR="003A05A3" w:rsidRPr="00E16672" w:rsidRDefault="003A05A3" w:rsidP="004F69E6">
            <w:pPr>
              <w:snapToGrid w:val="0"/>
              <w:spacing w:before="57" w:after="57"/>
              <w:ind w:left="175" w:right="138" w:firstLine="0"/>
              <w:rPr>
                <w:rFonts w:ascii="Times New Roman" w:hAnsi="Times New Roman"/>
                <w:color w:val="000000"/>
                <w:sz w:val="16"/>
                <w:szCs w:val="16"/>
                <w:lang w:val="uk-UA"/>
              </w:rPr>
            </w:pPr>
            <w:r w:rsidRPr="00E16672">
              <w:rPr>
                <w:rFonts w:ascii="Times New Roman" w:hAnsi="Times New Roman"/>
                <w:color w:val="000000"/>
                <w:sz w:val="16"/>
                <w:szCs w:val="16"/>
                <w:lang w:val="uk-UA"/>
              </w:rPr>
              <w:t>1</w:t>
            </w:r>
            <w:r w:rsidR="00577C78" w:rsidRPr="00E16672">
              <w:rPr>
                <w:rFonts w:ascii="Times New Roman" w:hAnsi="Times New Roman"/>
                <w:color w:val="000000"/>
                <w:sz w:val="16"/>
                <w:szCs w:val="16"/>
                <w:lang w:val="uk-UA"/>
              </w:rPr>
              <w:t>1</w:t>
            </w:r>
            <w:r w:rsidRPr="00E16672">
              <w:rPr>
                <w:rFonts w:ascii="Times New Roman" w:hAnsi="Times New Roman"/>
                <w:color w:val="000000"/>
                <w:sz w:val="16"/>
                <w:szCs w:val="16"/>
                <w:lang w:val="uk-UA"/>
              </w:rPr>
              <w:t xml:space="preserve">.1.2. </w:t>
            </w:r>
            <w:proofErr w:type="spellStart"/>
            <w:r w:rsidRPr="00E16672">
              <w:rPr>
                <w:rFonts w:ascii="Times New Roman" w:hAnsi="Times New Roman"/>
                <w:color w:val="000000"/>
                <w:sz w:val="16"/>
                <w:szCs w:val="16"/>
                <w:lang w:val="uk-UA"/>
              </w:rPr>
              <w:t>In</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terms</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not</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later</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than</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i/>
                <w:color w:val="000000"/>
                <w:sz w:val="16"/>
                <w:szCs w:val="16"/>
                <w:lang w:val="uk-UA"/>
              </w:rPr>
              <w:t>ten</w:t>
            </w:r>
            <w:proofErr w:type="spellEnd"/>
            <w:r w:rsidRPr="00E16672">
              <w:rPr>
                <w:rFonts w:ascii="Times New Roman" w:hAnsi="Times New Roman"/>
                <w:i/>
                <w:color w:val="000000"/>
                <w:sz w:val="16"/>
                <w:szCs w:val="16"/>
                <w:lang w:val="uk-UA"/>
              </w:rPr>
              <w:t xml:space="preserve"> </w:t>
            </w:r>
            <w:proofErr w:type="spellStart"/>
            <w:r w:rsidRPr="00E16672">
              <w:rPr>
                <w:rFonts w:ascii="Times New Roman" w:hAnsi="Times New Roman"/>
                <w:i/>
                <w:color w:val="000000"/>
                <w:sz w:val="16"/>
                <w:szCs w:val="16"/>
                <w:lang w:val="uk-UA"/>
              </w:rPr>
              <w:t>working</w:t>
            </w:r>
            <w:proofErr w:type="spellEnd"/>
            <w:r w:rsidRPr="00E16672">
              <w:rPr>
                <w:rFonts w:ascii="Times New Roman" w:hAnsi="Times New Roman"/>
                <w:i/>
                <w:color w:val="000000"/>
                <w:sz w:val="16"/>
                <w:szCs w:val="16"/>
                <w:lang w:val="uk-UA"/>
              </w:rPr>
              <w:t xml:space="preserve"> </w:t>
            </w:r>
            <w:proofErr w:type="spellStart"/>
            <w:r w:rsidRPr="00E16672">
              <w:rPr>
                <w:rFonts w:ascii="Times New Roman" w:hAnsi="Times New Roman"/>
                <w:i/>
                <w:color w:val="000000"/>
                <w:sz w:val="16"/>
                <w:szCs w:val="16"/>
                <w:lang w:val="uk-UA"/>
              </w:rPr>
              <w:t>days</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after</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receipt</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of</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money</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on</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the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monetary</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account</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of</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Depository</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institution</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Depository</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institution</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pays</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money</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received</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by</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Depositor</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on</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the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results</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of</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redemption</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of</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securities</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of</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the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issuer</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by</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transferring</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money</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to</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the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Depositor’s</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bank</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monetary</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account</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indicated</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in</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the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Depositor’s</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form</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of</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the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account</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in</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securities</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The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above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actions</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Depository</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institution</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performs</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if</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there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are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details</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of</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the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current</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monetary</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bank</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account</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in</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Depositor’s</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form</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of</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the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account</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in</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securities</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at</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the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moment</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of</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receipt</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of</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the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money</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on</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the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monetary</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account</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of</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Depository</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institution</w:t>
            </w:r>
            <w:proofErr w:type="spellEnd"/>
            <w:r w:rsidRPr="00E16672">
              <w:rPr>
                <w:rFonts w:ascii="Times New Roman" w:hAnsi="Times New Roman"/>
                <w:color w:val="000000"/>
                <w:sz w:val="16"/>
                <w:szCs w:val="16"/>
                <w:lang w:val="uk-UA"/>
              </w:rPr>
              <w:t>.</w:t>
            </w:r>
          </w:p>
        </w:tc>
      </w:tr>
      <w:tr w:rsidR="003A05A3" w:rsidRPr="00F23413" w14:paraId="2E43566C" w14:textId="77777777" w:rsidTr="00242F58">
        <w:trPr>
          <w:trHeight w:val="192"/>
        </w:trPr>
        <w:tc>
          <w:tcPr>
            <w:tcW w:w="5696" w:type="dxa"/>
            <w:gridSpan w:val="8"/>
            <w:shd w:val="clear" w:color="auto" w:fill="auto"/>
          </w:tcPr>
          <w:p w14:paraId="34310218" w14:textId="77777777" w:rsidR="003A05A3" w:rsidRPr="00E16672" w:rsidRDefault="00577C78" w:rsidP="004F69E6">
            <w:pPr>
              <w:snapToGrid w:val="0"/>
              <w:spacing w:before="57" w:after="57"/>
              <w:ind w:left="175" w:right="138" w:firstLine="0"/>
              <w:rPr>
                <w:rFonts w:ascii="Times New Roman" w:hAnsi="Times New Roman"/>
                <w:color w:val="000000"/>
                <w:sz w:val="16"/>
                <w:szCs w:val="16"/>
              </w:rPr>
            </w:pPr>
            <w:r w:rsidRPr="00E16672">
              <w:rPr>
                <w:rFonts w:ascii="Times New Roman" w:hAnsi="Times New Roman"/>
                <w:color w:val="000000"/>
                <w:sz w:val="16"/>
                <w:szCs w:val="16"/>
              </w:rPr>
              <w:t>11</w:t>
            </w:r>
            <w:r w:rsidR="003A05A3" w:rsidRPr="00E16672">
              <w:rPr>
                <w:rFonts w:ascii="Times New Roman" w:hAnsi="Times New Roman"/>
                <w:color w:val="000000"/>
                <w:sz w:val="16"/>
                <w:szCs w:val="16"/>
              </w:rPr>
              <w:t xml:space="preserve">.1.3. </w:t>
            </w:r>
            <w:proofErr w:type="spellStart"/>
            <w:r w:rsidR="003A05A3" w:rsidRPr="00E16672">
              <w:rPr>
                <w:rFonts w:ascii="Times New Roman" w:hAnsi="Times New Roman"/>
                <w:color w:val="000000"/>
                <w:sz w:val="16"/>
                <w:szCs w:val="16"/>
              </w:rPr>
              <w:t>Якщо</w:t>
            </w:r>
            <w:proofErr w:type="spellEnd"/>
            <w:r w:rsidR="003A05A3" w:rsidRPr="00E16672">
              <w:rPr>
                <w:rFonts w:ascii="Times New Roman" w:hAnsi="Times New Roman"/>
                <w:color w:val="000000"/>
                <w:sz w:val="16"/>
                <w:szCs w:val="16"/>
              </w:rPr>
              <w:t xml:space="preserve"> </w:t>
            </w:r>
            <w:proofErr w:type="spellStart"/>
            <w:r w:rsidR="003A05A3" w:rsidRPr="00E16672">
              <w:rPr>
                <w:rFonts w:ascii="Times New Roman" w:hAnsi="Times New Roman"/>
                <w:color w:val="000000"/>
                <w:sz w:val="16"/>
                <w:szCs w:val="16"/>
              </w:rPr>
              <w:t>виплата</w:t>
            </w:r>
            <w:proofErr w:type="spellEnd"/>
            <w:r w:rsidR="003A05A3" w:rsidRPr="00E16672">
              <w:rPr>
                <w:rFonts w:ascii="Times New Roman" w:hAnsi="Times New Roman"/>
                <w:color w:val="000000"/>
                <w:sz w:val="16"/>
                <w:szCs w:val="16"/>
              </w:rPr>
              <w:t xml:space="preserve"> </w:t>
            </w:r>
            <w:proofErr w:type="spellStart"/>
            <w:r w:rsidR="003A05A3" w:rsidRPr="00E16672">
              <w:rPr>
                <w:rFonts w:ascii="Times New Roman" w:hAnsi="Times New Roman"/>
                <w:color w:val="000000"/>
                <w:sz w:val="16"/>
                <w:szCs w:val="16"/>
              </w:rPr>
              <w:t>доходів</w:t>
            </w:r>
            <w:proofErr w:type="spellEnd"/>
            <w:r w:rsidR="003A05A3" w:rsidRPr="00E16672">
              <w:rPr>
                <w:rFonts w:ascii="Times New Roman" w:hAnsi="Times New Roman"/>
                <w:color w:val="000000"/>
                <w:sz w:val="16"/>
                <w:szCs w:val="16"/>
              </w:rPr>
              <w:t xml:space="preserve"> </w:t>
            </w:r>
            <w:proofErr w:type="spellStart"/>
            <w:r w:rsidR="003A05A3" w:rsidRPr="00E16672">
              <w:rPr>
                <w:rFonts w:ascii="Times New Roman" w:hAnsi="Times New Roman"/>
                <w:color w:val="000000"/>
                <w:sz w:val="16"/>
                <w:szCs w:val="16"/>
              </w:rPr>
              <w:t>здійснюється</w:t>
            </w:r>
            <w:proofErr w:type="spellEnd"/>
            <w:r w:rsidR="003A05A3" w:rsidRPr="00E16672">
              <w:rPr>
                <w:rFonts w:ascii="Times New Roman" w:hAnsi="Times New Roman"/>
                <w:color w:val="000000"/>
                <w:sz w:val="16"/>
                <w:szCs w:val="16"/>
              </w:rPr>
              <w:t xml:space="preserve"> </w:t>
            </w:r>
            <w:r w:rsidR="00C22309" w:rsidRPr="00E16672">
              <w:rPr>
                <w:rFonts w:ascii="Times New Roman" w:hAnsi="Times New Roman"/>
                <w:color w:val="000000"/>
                <w:sz w:val="16"/>
                <w:szCs w:val="16"/>
              </w:rPr>
              <w:t xml:space="preserve">в </w:t>
            </w:r>
            <w:proofErr w:type="spellStart"/>
            <w:r w:rsidR="00C22309" w:rsidRPr="00E16672">
              <w:rPr>
                <w:rFonts w:ascii="Times New Roman" w:hAnsi="Times New Roman"/>
                <w:color w:val="000000"/>
                <w:sz w:val="16"/>
                <w:szCs w:val="16"/>
              </w:rPr>
              <w:t>цін</w:t>
            </w:r>
            <w:r w:rsidR="003A05A3" w:rsidRPr="00E16672">
              <w:rPr>
                <w:rFonts w:ascii="Times New Roman" w:hAnsi="Times New Roman"/>
                <w:color w:val="000000"/>
                <w:sz w:val="16"/>
                <w:szCs w:val="16"/>
              </w:rPr>
              <w:t>них</w:t>
            </w:r>
            <w:proofErr w:type="spellEnd"/>
            <w:r w:rsidR="003A05A3" w:rsidRPr="00E16672">
              <w:rPr>
                <w:rFonts w:ascii="Times New Roman" w:hAnsi="Times New Roman"/>
                <w:color w:val="000000"/>
                <w:sz w:val="16"/>
                <w:szCs w:val="16"/>
              </w:rPr>
              <w:t xml:space="preserve"> </w:t>
            </w:r>
            <w:proofErr w:type="spellStart"/>
            <w:r w:rsidR="003A05A3" w:rsidRPr="00E16672">
              <w:rPr>
                <w:rFonts w:ascii="Times New Roman" w:hAnsi="Times New Roman"/>
                <w:color w:val="000000"/>
                <w:sz w:val="16"/>
                <w:szCs w:val="16"/>
              </w:rPr>
              <w:t>паперах</w:t>
            </w:r>
            <w:proofErr w:type="spellEnd"/>
            <w:r w:rsidR="003A05A3" w:rsidRPr="00E16672">
              <w:rPr>
                <w:rFonts w:ascii="Times New Roman" w:hAnsi="Times New Roman"/>
                <w:color w:val="000000"/>
                <w:sz w:val="16"/>
                <w:szCs w:val="16"/>
              </w:rPr>
              <w:t xml:space="preserve">, </w:t>
            </w:r>
            <w:proofErr w:type="spellStart"/>
            <w:r w:rsidR="003A05A3" w:rsidRPr="00E16672">
              <w:rPr>
                <w:rFonts w:ascii="Times New Roman" w:hAnsi="Times New Roman"/>
                <w:color w:val="000000"/>
                <w:sz w:val="16"/>
                <w:szCs w:val="16"/>
              </w:rPr>
              <w:t>після</w:t>
            </w:r>
            <w:proofErr w:type="spellEnd"/>
            <w:r w:rsidR="003A05A3" w:rsidRPr="00E16672">
              <w:rPr>
                <w:rFonts w:ascii="Times New Roman" w:hAnsi="Times New Roman"/>
                <w:color w:val="000000"/>
                <w:sz w:val="16"/>
                <w:szCs w:val="16"/>
              </w:rPr>
              <w:t xml:space="preserve"> </w:t>
            </w:r>
            <w:proofErr w:type="spellStart"/>
            <w:r w:rsidR="003A05A3" w:rsidRPr="00E16672">
              <w:rPr>
                <w:rFonts w:ascii="Times New Roman" w:hAnsi="Times New Roman"/>
                <w:color w:val="000000"/>
                <w:sz w:val="16"/>
                <w:szCs w:val="16"/>
              </w:rPr>
              <w:t>надходження</w:t>
            </w:r>
            <w:proofErr w:type="spellEnd"/>
            <w:r w:rsidR="003A05A3" w:rsidRPr="00E16672">
              <w:rPr>
                <w:rFonts w:ascii="Times New Roman" w:hAnsi="Times New Roman"/>
                <w:color w:val="000000"/>
                <w:sz w:val="16"/>
                <w:szCs w:val="16"/>
              </w:rPr>
              <w:t xml:space="preserve"> до Центрального </w:t>
            </w:r>
            <w:proofErr w:type="spellStart"/>
            <w:r w:rsidR="003A05A3" w:rsidRPr="00E16672">
              <w:rPr>
                <w:rFonts w:ascii="Times New Roman" w:hAnsi="Times New Roman"/>
                <w:color w:val="000000"/>
                <w:sz w:val="16"/>
                <w:szCs w:val="16"/>
              </w:rPr>
              <w:t>депозитарію</w:t>
            </w:r>
            <w:proofErr w:type="spellEnd"/>
            <w:r w:rsidR="003A05A3" w:rsidRPr="00E16672">
              <w:rPr>
                <w:rFonts w:ascii="Times New Roman" w:hAnsi="Times New Roman"/>
                <w:color w:val="000000"/>
                <w:sz w:val="16"/>
                <w:szCs w:val="16"/>
              </w:rPr>
              <w:t xml:space="preserve"> таких </w:t>
            </w:r>
            <w:proofErr w:type="spellStart"/>
            <w:r w:rsidR="003A05A3" w:rsidRPr="00E16672">
              <w:rPr>
                <w:rFonts w:ascii="Times New Roman" w:hAnsi="Times New Roman"/>
                <w:color w:val="000000"/>
                <w:sz w:val="16"/>
                <w:szCs w:val="16"/>
              </w:rPr>
              <w:t>доходів</w:t>
            </w:r>
            <w:proofErr w:type="spellEnd"/>
            <w:r w:rsidR="003A05A3" w:rsidRPr="00E16672">
              <w:rPr>
                <w:rFonts w:ascii="Times New Roman" w:hAnsi="Times New Roman"/>
                <w:color w:val="000000"/>
                <w:sz w:val="16"/>
                <w:szCs w:val="16"/>
              </w:rPr>
              <w:t xml:space="preserve"> (</w:t>
            </w:r>
            <w:proofErr w:type="spellStart"/>
            <w:r w:rsidR="003A05A3" w:rsidRPr="00E16672">
              <w:rPr>
                <w:rFonts w:ascii="Times New Roman" w:hAnsi="Times New Roman"/>
                <w:color w:val="000000"/>
                <w:sz w:val="16"/>
                <w:szCs w:val="16"/>
              </w:rPr>
              <w:t>цінних</w:t>
            </w:r>
            <w:proofErr w:type="spellEnd"/>
            <w:r w:rsidR="003A05A3" w:rsidRPr="00E16672">
              <w:rPr>
                <w:rFonts w:ascii="Times New Roman" w:hAnsi="Times New Roman"/>
                <w:color w:val="000000"/>
                <w:sz w:val="16"/>
                <w:szCs w:val="16"/>
              </w:rPr>
              <w:t xml:space="preserve"> </w:t>
            </w:r>
            <w:proofErr w:type="spellStart"/>
            <w:r w:rsidR="003A05A3" w:rsidRPr="00E16672">
              <w:rPr>
                <w:rFonts w:ascii="Times New Roman" w:hAnsi="Times New Roman"/>
                <w:color w:val="000000"/>
                <w:sz w:val="16"/>
                <w:szCs w:val="16"/>
              </w:rPr>
              <w:t>паперів</w:t>
            </w:r>
            <w:proofErr w:type="spellEnd"/>
            <w:r w:rsidR="003A05A3" w:rsidRPr="00E16672">
              <w:rPr>
                <w:rFonts w:ascii="Times New Roman" w:hAnsi="Times New Roman"/>
                <w:color w:val="000000"/>
                <w:sz w:val="16"/>
                <w:szCs w:val="16"/>
              </w:rPr>
              <w:t xml:space="preserve">) </w:t>
            </w:r>
            <w:proofErr w:type="spellStart"/>
            <w:r w:rsidR="003A05A3" w:rsidRPr="00E16672">
              <w:rPr>
                <w:rFonts w:ascii="Times New Roman" w:hAnsi="Times New Roman"/>
                <w:color w:val="000000"/>
                <w:sz w:val="16"/>
                <w:szCs w:val="16"/>
              </w:rPr>
              <w:t>Центральний</w:t>
            </w:r>
            <w:proofErr w:type="spellEnd"/>
            <w:r w:rsidR="003A05A3" w:rsidRPr="00E16672">
              <w:rPr>
                <w:rFonts w:ascii="Times New Roman" w:hAnsi="Times New Roman"/>
                <w:color w:val="000000"/>
                <w:sz w:val="16"/>
                <w:szCs w:val="16"/>
              </w:rPr>
              <w:t xml:space="preserve"> </w:t>
            </w:r>
            <w:proofErr w:type="spellStart"/>
            <w:r w:rsidR="003A05A3" w:rsidRPr="00E16672">
              <w:rPr>
                <w:rFonts w:ascii="Times New Roman" w:hAnsi="Times New Roman"/>
                <w:color w:val="000000"/>
                <w:sz w:val="16"/>
                <w:szCs w:val="16"/>
              </w:rPr>
              <w:t>депозитарій</w:t>
            </w:r>
            <w:proofErr w:type="spellEnd"/>
            <w:r w:rsidR="003A05A3" w:rsidRPr="00E16672">
              <w:rPr>
                <w:rFonts w:ascii="Times New Roman" w:hAnsi="Times New Roman"/>
                <w:color w:val="000000"/>
                <w:sz w:val="16"/>
                <w:szCs w:val="16"/>
              </w:rPr>
              <w:t xml:space="preserve"> проводить </w:t>
            </w:r>
            <w:proofErr w:type="spellStart"/>
            <w:r w:rsidR="003A05A3" w:rsidRPr="00E16672">
              <w:rPr>
                <w:rFonts w:ascii="Times New Roman" w:hAnsi="Times New Roman"/>
                <w:color w:val="000000"/>
                <w:sz w:val="16"/>
                <w:szCs w:val="16"/>
              </w:rPr>
              <w:t>операції</w:t>
            </w:r>
            <w:proofErr w:type="spellEnd"/>
            <w:r w:rsidR="003A05A3" w:rsidRPr="00E16672">
              <w:rPr>
                <w:rFonts w:ascii="Times New Roman" w:hAnsi="Times New Roman"/>
                <w:color w:val="000000"/>
                <w:sz w:val="16"/>
                <w:szCs w:val="16"/>
              </w:rPr>
              <w:t xml:space="preserve"> </w:t>
            </w:r>
            <w:proofErr w:type="spellStart"/>
            <w:r w:rsidR="003A05A3" w:rsidRPr="00E16672">
              <w:rPr>
                <w:rFonts w:ascii="Times New Roman" w:hAnsi="Times New Roman"/>
                <w:color w:val="000000"/>
                <w:sz w:val="16"/>
                <w:szCs w:val="16"/>
              </w:rPr>
              <w:t>щодо</w:t>
            </w:r>
            <w:proofErr w:type="spellEnd"/>
            <w:r w:rsidR="003A05A3" w:rsidRPr="00E16672">
              <w:rPr>
                <w:rFonts w:ascii="Times New Roman" w:hAnsi="Times New Roman"/>
                <w:color w:val="000000"/>
                <w:sz w:val="16"/>
                <w:szCs w:val="16"/>
              </w:rPr>
              <w:t xml:space="preserve"> </w:t>
            </w:r>
            <w:proofErr w:type="spellStart"/>
            <w:r w:rsidR="003A05A3" w:rsidRPr="00E16672">
              <w:rPr>
                <w:rFonts w:ascii="Times New Roman" w:hAnsi="Times New Roman"/>
                <w:color w:val="000000"/>
                <w:sz w:val="16"/>
                <w:szCs w:val="16"/>
              </w:rPr>
              <w:t>переказу</w:t>
            </w:r>
            <w:proofErr w:type="spellEnd"/>
            <w:r w:rsidR="003A05A3" w:rsidRPr="00E16672">
              <w:rPr>
                <w:rFonts w:ascii="Times New Roman" w:hAnsi="Times New Roman"/>
                <w:color w:val="000000"/>
                <w:sz w:val="16"/>
                <w:szCs w:val="16"/>
              </w:rPr>
              <w:t xml:space="preserve"> </w:t>
            </w:r>
            <w:proofErr w:type="spellStart"/>
            <w:r w:rsidR="003A05A3" w:rsidRPr="00E16672">
              <w:rPr>
                <w:rFonts w:ascii="Times New Roman" w:hAnsi="Times New Roman"/>
                <w:color w:val="000000"/>
                <w:sz w:val="16"/>
                <w:szCs w:val="16"/>
              </w:rPr>
              <w:t>цих</w:t>
            </w:r>
            <w:proofErr w:type="spellEnd"/>
            <w:r w:rsidR="003A05A3" w:rsidRPr="00E16672">
              <w:rPr>
                <w:rFonts w:ascii="Times New Roman" w:hAnsi="Times New Roman"/>
                <w:color w:val="000000"/>
                <w:sz w:val="16"/>
                <w:szCs w:val="16"/>
              </w:rPr>
              <w:t xml:space="preserve"> </w:t>
            </w:r>
            <w:proofErr w:type="spellStart"/>
            <w:r w:rsidR="003A05A3" w:rsidRPr="00E16672">
              <w:rPr>
                <w:rFonts w:ascii="Times New Roman" w:hAnsi="Times New Roman"/>
                <w:color w:val="000000"/>
                <w:sz w:val="16"/>
                <w:szCs w:val="16"/>
              </w:rPr>
              <w:t>цінних</w:t>
            </w:r>
            <w:proofErr w:type="spellEnd"/>
            <w:r w:rsidR="003A05A3" w:rsidRPr="00E16672">
              <w:rPr>
                <w:rFonts w:ascii="Times New Roman" w:hAnsi="Times New Roman"/>
                <w:color w:val="000000"/>
                <w:sz w:val="16"/>
                <w:szCs w:val="16"/>
              </w:rPr>
              <w:t xml:space="preserve"> </w:t>
            </w:r>
            <w:proofErr w:type="spellStart"/>
            <w:r w:rsidR="003A05A3" w:rsidRPr="00E16672">
              <w:rPr>
                <w:rFonts w:ascii="Times New Roman" w:hAnsi="Times New Roman"/>
                <w:color w:val="000000"/>
                <w:sz w:val="16"/>
                <w:szCs w:val="16"/>
              </w:rPr>
              <w:t>паперів</w:t>
            </w:r>
            <w:proofErr w:type="spellEnd"/>
            <w:r w:rsidR="003A05A3" w:rsidRPr="00E16672">
              <w:rPr>
                <w:rFonts w:ascii="Times New Roman" w:hAnsi="Times New Roman"/>
                <w:color w:val="000000"/>
                <w:sz w:val="16"/>
                <w:szCs w:val="16"/>
              </w:rPr>
              <w:t xml:space="preserve"> з </w:t>
            </w:r>
            <w:proofErr w:type="spellStart"/>
            <w:r w:rsidR="003A05A3" w:rsidRPr="00E16672">
              <w:rPr>
                <w:rFonts w:ascii="Times New Roman" w:hAnsi="Times New Roman"/>
                <w:color w:val="000000"/>
                <w:sz w:val="16"/>
                <w:szCs w:val="16"/>
              </w:rPr>
              <w:t>рахунку</w:t>
            </w:r>
            <w:proofErr w:type="spellEnd"/>
            <w:r w:rsidR="003A05A3" w:rsidRPr="00E16672">
              <w:rPr>
                <w:rFonts w:ascii="Times New Roman" w:hAnsi="Times New Roman"/>
                <w:color w:val="000000"/>
                <w:sz w:val="16"/>
                <w:szCs w:val="16"/>
              </w:rPr>
              <w:t xml:space="preserve"> в </w:t>
            </w:r>
            <w:proofErr w:type="spellStart"/>
            <w:r w:rsidR="003A05A3" w:rsidRPr="00E16672">
              <w:rPr>
                <w:rFonts w:ascii="Times New Roman" w:hAnsi="Times New Roman"/>
                <w:color w:val="000000"/>
                <w:sz w:val="16"/>
                <w:szCs w:val="16"/>
              </w:rPr>
              <w:t>цінних</w:t>
            </w:r>
            <w:proofErr w:type="spellEnd"/>
            <w:r w:rsidR="003A05A3" w:rsidRPr="00E16672">
              <w:rPr>
                <w:rFonts w:ascii="Times New Roman" w:hAnsi="Times New Roman"/>
                <w:color w:val="000000"/>
                <w:sz w:val="16"/>
                <w:szCs w:val="16"/>
              </w:rPr>
              <w:t xml:space="preserve"> </w:t>
            </w:r>
            <w:proofErr w:type="spellStart"/>
            <w:r w:rsidR="003A05A3" w:rsidRPr="00E16672">
              <w:rPr>
                <w:rFonts w:ascii="Times New Roman" w:hAnsi="Times New Roman"/>
                <w:color w:val="000000"/>
                <w:sz w:val="16"/>
                <w:szCs w:val="16"/>
              </w:rPr>
              <w:t>паперах</w:t>
            </w:r>
            <w:proofErr w:type="spellEnd"/>
            <w:r w:rsidR="003A05A3" w:rsidRPr="00E16672">
              <w:rPr>
                <w:rFonts w:ascii="Times New Roman" w:hAnsi="Times New Roman"/>
                <w:color w:val="000000"/>
                <w:sz w:val="16"/>
                <w:szCs w:val="16"/>
              </w:rPr>
              <w:t xml:space="preserve"> </w:t>
            </w:r>
            <w:proofErr w:type="spellStart"/>
            <w:r w:rsidR="003A05A3" w:rsidRPr="00E16672">
              <w:rPr>
                <w:rFonts w:ascii="Times New Roman" w:hAnsi="Times New Roman"/>
                <w:color w:val="000000"/>
                <w:sz w:val="16"/>
                <w:szCs w:val="16"/>
              </w:rPr>
              <w:t>емітента</w:t>
            </w:r>
            <w:proofErr w:type="spellEnd"/>
            <w:r w:rsidR="003A05A3" w:rsidRPr="00E16672">
              <w:rPr>
                <w:rFonts w:ascii="Times New Roman" w:hAnsi="Times New Roman"/>
                <w:color w:val="000000"/>
                <w:sz w:val="16"/>
                <w:szCs w:val="16"/>
              </w:rPr>
              <w:t xml:space="preserve"> на </w:t>
            </w:r>
            <w:proofErr w:type="spellStart"/>
            <w:r w:rsidR="003A05A3" w:rsidRPr="00E16672">
              <w:rPr>
                <w:rFonts w:ascii="Times New Roman" w:hAnsi="Times New Roman"/>
                <w:color w:val="000000"/>
                <w:sz w:val="16"/>
                <w:szCs w:val="16"/>
              </w:rPr>
              <w:t>рахунки</w:t>
            </w:r>
            <w:proofErr w:type="spellEnd"/>
            <w:r w:rsidR="003A05A3" w:rsidRPr="00E16672">
              <w:rPr>
                <w:rFonts w:ascii="Times New Roman" w:hAnsi="Times New Roman"/>
                <w:color w:val="000000"/>
                <w:sz w:val="16"/>
                <w:szCs w:val="16"/>
              </w:rPr>
              <w:t xml:space="preserve"> </w:t>
            </w:r>
            <w:r w:rsidR="00C22309" w:rsidRPr="00E16672">
              <w:rPr>
                <w:rFonts w:ascii="Times New Roman" w:hAnsi="Times New Roman"/>
                <w:color w:val="000000"/>
                <w:sz w:val="16"/>
                <w:szCs w:val="16"/>
              </w:rPr>
              <w:t xml:space="preserve">в </w:t>
            </w:r>
            <w:proofErr w:type="spellStart"/>
            <w:r w:rsidR="00C22309" w:rsidRPr="00E16672">
              <w:rPr>
                <w:rFonts w:ascii="Times New Roman" w:hAnsi="Times New Roman"/>
                <w:color w:val="000000"/>
                <w:sz w:val="16"/>
                <w:szCs w:val="16"/>
              </w:rPr>
              <w:t>цін</w:t>
            </w:r>
            <w:r w:rsidR="003A05A3" w:rsidRPr="00E16672">
              <w:rPr>
                <w:rFonts w:ascii="Times New Roman" w:hAnsi="Times New Roman"/>
                <w:color w:val="000000"/>
                <w:sz w:val="16"/>
                <w:szCs w:val="16"/>
              </w:rPr>
              <w:t>них</w:t>
            </w:r>
            <w:proofErr w:type="spellEnd"/>
            <w:r w:rsidR="003A05A3" w:rsidRPr="00E16672">
              <w:rPr>
                <w:rFonts w:ascii="Times New Roman" w:hAnsi="Times New Roman"/>
                <w:color w:val="000000"/>
                <w:sz w:val="16"/>
                <w:szCs w:val="16"/>
              </w:rPr>
              <w:t xml:space="preserve"> </w:t>
            </w:r>
            <w:proofErr w:type="spellStart"/>
            <w:r w:rsidR="003A05A3" w:rsidRPr="00E16672">
              <w:rPr>
                <w:rFonts w:ascii="Times New Roman" w:hAnsi="Times New Roman"/>
                <w:color w:val="000000"/>
                <w:sz w:val="16"/>
                <w:szCs w:val="16"/>
              </w:rPr>
              <w:t>паперах</w:t>
            </w:r>
            <w:proofErr w:type="spellEnd"/>
            <w:r w:rsidR="003A05A3" w:rsidRPr="00E16672">
              <w:rPr>
                <w:rFonts w:ascii="Times New Roman" w:hAnsi="Times New Roman"/>
                <w:color w:val="000000"/>
                <w:sz w:val="16"/>
                <w:szCs w:val="16"/>
              </w:rPr>
              <w:t xml:space="preserve"> </w:t>
            </w:r>
            <w:proofErr w:type="spellStart"/>
            <w:r w:rsidR="003A05A3" w:rsidRPr="00E16672">
              <w:rPr>
                <w:rFonts w:ascii="Times New Roman" w:hAnsi="Times New Roman"/>
                <w:color w:val="000000"/>
                <w:sz w:val="16"/>
                <w:szCs w:val="16"/>
              </w:rPr>
              <w:t>депозитарних</w:t>
            </w:r>
            <w:proofErr w:type="spellEnd"/>
            <w:r w:rsidR="003A05A3" w:rsidRPr="00E16672">
              <w:rPr>
                <w:rFonts w:ascii="Times New Roman" w:hAnsi="Times New Roman"/>
                <w:color w:val="000000"/>
                <w:sz w:val="16"/>
                <w:szCs w:val="16"/>
              </w:rPr>
              <w:t xml:space="preserve"> </w:t>
            </w:r>
            <w:proofErr w:type="spellStart"/>
            <w:r w:rsidR="003A05A3" w:rsidRPr="00E16672">
              <w:rPr>
                <w:rFonts w:ascii="Times New Roman" w:hAnsi="Times New Roman"/>
                <w:color w:val="000000"/>
                <w:sz w:val="16"/>
                <w:szCs w:val="16"/>
              </w:rPr>
              <w:t>установ</w:t>
            </w:r>
            <w:proofErr w:type="spellEnd"/>
            <w:r w:rsidR="003A05A3" w:rsidRPr="00E16672">
              <w:rPr>
                <w:rFonts w:ascii="Times New Roman" w:hAnsi="Times New Roman"/>
                <w:color w:val="000000"/>
                <w:sz w:val="16"/>
                <w:szCs w:val="16"/>
              </w:rPr>
              <w:t xml:space="preserve">, </w:t>
            </w:r>
            <w:proofErr w:type="spellStart"/>
            <w:r w:rsidR="003A05A3" w:rsidRPr="00E16672">
              <w:rPr>
                <w:rFonts w:ascii="Times New Roman" w:hAnsi="Times New Roman"/>
                <w:color w:val="000000"/>
                <w:sz w:val="16"/>
                <w:szCs w:val="16"/>
              </w:rPr>
              <w:t>які</w:t>
            </w:r>
            <w:proofErr w:type="spellEnd"/>
            <w:r w:rsidR="003A05A3" w:rsidRPr="00E16672">
              <w:rPr>
                <w:rFonts w:ascii="Times New Roman" w:hAnsi="Times New Roman"/>
                <w:color w:val="000000"/>
                <w:sz w:val="16"/>
                <w:szCs w:val="16"/>
              </w:rPr>
              <w:t xml:space="preserve"> </w:t>
            </w:r>
            <w:proofErr w:type="spellStart"/>
            <w:r w:rsidR="003A05A3" w:rsidRPr="00E16672">
              <w:rPr>
                <w:rFonts w:ascii="Times New Roman" w:hAnsi="Times New Roman"/>
                <w:color w:val="000000"/>
                <w:sz w:val="16"/>
                <w:szCs w:val="16"/>
              </w:rPr>
              <w:t>обслуговують</w:t>
            </w:r>
            <w:proofErr w:type="spellEnd"/>
            <w:r w:rsidR="003A05A3" w:rsidRPr="00E16672">
              <w:rPr>
                <w:rFonts w:ascii="Times New Roman" w:hAnsi="Times New Roman"/>
                <w:color w:val="000000"/>
                <w:sz w:val="16"/>
                <w:szCs w:val="16"/>
              </w:rPr>
              <w:t xml:space="preserve"> </w:t>
            </w:r>
            <w:proofErr w:type="spellStart"/>
            <w:r w:rsidR="003A05A3" w:rsidRPr="00E16672">
              <w:rPr>
                <w:rFonts w:ascii="Times New Roman" w:hAnsi="Times New Roman"/>
                <w:color w:val="000000"/>
                <w:sz w:val="16"/>
                <w:szCs w:val="16"/>
              </w:rPr>
              <w:t>власників</w:t>
            </w:r>
            <w:proofErr w:type="spellEnd"/>
            <w:r w:rsidR="003A05A3" w:rsidRPr="00E16672">
              <w:rPr>
                <w:rFonts w:ascii="Times New Roman" w:hAnsi="Times New Roman"/>
                <w:color w:val="000000"/>
                <w:sz w:val="16"/>
                <w:szCs w:val="16"/>
              </w:rPr>
              <w:t xml:space="preserve"> </w:t>
            </w:r>
            <w:proofErr w:type="spellStart"/>
            <w:r w:rsidR="003A05A3" w:rsidRPr="00E16672">
              <w:rPr>
                <w:rFonts w:ascii="Times New Roman" w:hAnsi="Times New Roman"/>
                <w:color w:val="000000"/>
                <w:sz w:val="16"/>
                <w:szCs w:val="16"/>
              </w:rPr>
              <w:t>цінних</w:t>
            </w:r>
            <w:proofErr w:type="spellEnd"/>
            <w:r w:rsidR="003A05A3" w:rsidRPr="00E16672">
              <w:rPr>
                <w:rFonts w:ascii="Times New Roman" w:hAnsi="Times New Roman"/>
                <w:color w:val="000000"/>
                <w:sz w:val="16"/>
                <w:szCs w:val="16"/>
              </w:rPr>
              <w:t xml:space="preserve"> </w:t>
            </w:r>
            <w:proofErr w:type="spellStart"/>
            <w:r w:rsidR="003A05A3" w:rsidRPr="00E16672">
              <w:rPr>
                <w:rFonts w:ascii="Times New Roman" w:hAnsi="Times New Roman"/>
                <w:color w:val="000000"/>
                <w:sz w:val="16"/>
                <w:szCs w:val="16"/>
              </w:rPr>
              <w:t>паперів</w:t>
            </w:r>
            <w:proofErr w:type="spellEnd"/>
            <w:r w:rsidR="003A05A3" w:rsidRPr="00E16672">
              <w:rPr>
                <w:rFonts w:ascii="Times New Roman" w:hAnsi="Times New Roman"/>
                <w:color w:val="000000"/>
                <w:sz w:val="16"/>
                <w:szCs w:val="16"/>
              </w:rPr>
              <w:t xml:space="preserve">, </w:t>
            </w:r>
            <w:proofErr w:type="spellStart"/>
            <w:r w:rsidR="003A05A3" w:rsidRPr="00E16672">
              <w:rPr>
                <w:rFonts w:ascii="Times New Roman" w:hAnsi="Times New Roman"/>
                <w:color w:val="000000"/>
                <w:sz w:val="16"/>
                <w:szCs w:val="16"/>
              </w:rPr>
              <w:t>які</w:t>
            </w:r>
            <w:proofErr w:type="spellEnd"/>
            <w:r w:rsidR="003A05A3" w:rsidRPr="00E16672">
              <w:rPr>
                <w:rFonts w:ascii="Times New Roman" w:hAnsi="Times New Roman"/>
                <w:color w:val="000000"/>
                <w:sz w:val="16"/>
                <w:szCs w:val="16"/>
              </w:rPr>
              <w:t xml:space="preserve"> </w:t>
            </w:r>
            <w:proofErr w:type="spellStart"/>
            <w:r w:rsidR="003A05A3" w:rsidRPr="00E16672">
              <w:rPr>
                <w:rFonts w:ascii="Times New Roman" w:hAnsi="Times New Roman"/>
                <w:color w:val="000000"/>
                <w:sz w:val="16"/>
                <w:szCs w:val="16"/>
              </w:rPr>
              <w:t>мають</w:t>
            </w:r>
            <w:proofErr w:type="spellEnd"/>
            <w:r w:rsidR="003A05A3" w:rsidRPr="00E16672">
              <w:rPr>
                <w:rFonts w:ascii="Times New Roman" w:hAnsi="Times New Roman"/>
                <w:color w:val="000000"/>
                <w:sz w:val="16"/>
                <w:szCs w:val="16"/>
              </w:rPr>
              <w:t xml:space="preserve"> </w:t>
            </w:r>
            <w:proofErr w:type="spellStart"/>
            <w:r w:rsidR="003A05A3" w:rsidRPr="00E16672">
              <w:rPr>
                <w:rFonts w:ascii="Times New Roman" w:hAnsi="Times New Roman"/>
                <w:color w:val="000000"/>
                <w:sz w:val="16"/>
                <w:szCs w:val="16"/>
              </w:rPr>
              <w:t>отримати</w:t>
            </w:r>
            <w:proofErr w:type="spellEnd"/>
            <w:r w:rsidR="003A05A3" w:rsidRPr="00E16672">
              <w:rPr>
                <w:rFonts w:ascii="Times New Roman" w:hAnsi="Times New Roman"/>
                <w:color w:val="000000"/>
                <w:sz w:val="16"/>
                <w:szCs w:val="16"/>
              </w:rPr>
              <w:t xml:space="preserve"> </w:t>
            </w:r>
            <w:proofErr w:type="spellStart"/>
            <w:r w:rsidR="003A05A3" w:rsidRPr="00E16672">
              <w:rPr>
                <w:rFonts w:ascii="Times New Roman" w:hAnsi="Times New Roman"/>
                <w:color w:val="000000"/>
                <w:sz w:val="16"/>
                <w:szCs w:val="16"/>
              </w:rPr>
              <w:t>цей</w:t>
            </w:r>
            <w:proofErr w:type="spellEnd"/>
            <w:r w:rsidR="003A05A3" w:rsidRPr="00E16672">
              <w:rPr>
                <w:rFonts w:ascii="Times New Roman" w:hAnsi="Times New Roman"/>
                <w:color w:val="000000"/>
                <w:sz w:val="16"/>
                <w:szCs w:val="16"/>
              </w:rPr>
              <w:t xml:space="preserve"> </w:t>
            </w:r>
            <w:proofErr w:type="spellStart"/>
            <w:r w:rsidR="003A05A3" w:rsidRPr="00E16672">
              <w:rPr>
                <w:rFonts w:ascii="Times New Roman" w:hAnsi="Times New Roman"/>
                <w:color w:val="000000"/>
                <w:sz w:val="16"/>
                <w:szCs w:val="16"/>
              </w:rPr>
              <w:t>дохід</w:t>
            </w:r>
            <w:proofErr w:type="spellEnd"/>
            <w:r w:rsidR="003A05A3" w:rsidRPr="00E16672">
              <w:rPr>
                <w:rFonts w:ascii="Times New Roman" w:hAnsi="Times New Roman"/>
                <w:color w:val="000000"/>
                <w:sz w:val="16"/>
                <w:szCs w:val="16"/>
              </w:rPr>
              <w:t xml:space="preserve"> </w:t>
            </w:r>
            <w:r w:rsidR="00C22309" w:rsidRPr="00E16672">
              <w:rPr>
                <w:rFonts w:ascii="Times New Roman" w:hAnsi="Times New Roman"/>
                <w:color w:val="000000"/>
                <w:sz w:val="16"/>
                <w:szCs w:val="16"/>
              </w:rPr>
              <w:t xml:space="preserve">в </w:t>
            </w:r>
            <w:proofErr w:type="spellStart"/>
            <w:r w:rsidR="00C22309" w:rsidRPr="00E16672">
              <w:rPr>
                <w:rFonts w:ascii="Times New Roman" w:hAnsi="Times New Roman"/>
                <w:color w:val="000000"/>
                <w:sz w:val="16"/>
                <w:szCs w:val="16"/>
              </w:rPr>
              <w:t>цін</w:t>
            </w:r>
            <w:r w:rsidR="003A05A3" w:rsidRPr="00E16672">
              <w:rPr>
                <w:rFonts w:ascii="Times New Roman" w:hAnsi="Times New Roman"/>
                <w:color w:val="000000"/>
                <w:sz w:val="16"/>
                <w:szCs w:val="16"/>
              </w:rPr>
              <w:t>них</w:t>
            </w:r>
            <w:proofErr w:type="spellEnd"/>
            <w:r w:rsidR="003A05A3" w:rsidRPr="00E16672">
              <w:rPr>
                <w:rFonts w:ascii="Times New Roman" w:hAnsi="Times New Roman"/>
                <w:color w:val="000000"/>
                <w:sz w:val="16"/>
                <w:szCs w:val="16"/>
              </w:rPr>
              <w:t xml:space="preserve"> </w:t>
            </w:r>
            <w:proofErr w:type="spellStart"/>
            <w:r w:rsidR="003A05A3" w:rsidRPr="00E16672">
              <w:rPr>
                <w:rFonts w:ascii="Times New Roman" w:hAnsi="Times New Roman"/>
                <w:color w:val="000000"/>
                <w:sz w:val="16"/>
                <w:szCs w:val="16"/>
              </w:rPr>
              <w:t>паперах</w:t>
            </w:r>
            <w:proofErr w:type="spellEnd"/>
            <w:r w:rsidR="003A05A3" w:rsidRPr="00E16672">
              <w:rPr>
                <w:rFonts w:ascii="Times New Roman" w:hAnsi="Times New Roman"/>
                <w:color w:val="000000"/>
                <w:sz w:val="16"/>
                <w:szCs w:val="16"/>
              </w:rPr>
              <w:t xml:space="preserve">. </w:t>
            </w:r>
            <w:proofErr w:type="spellStart"/>
            <w:r w:rsidR="003A05A3" w:rsidRPr="00E16672">
              <w:rPr>
                <w:rFonts w:ascii="Times New Roman" w:hAnsi="Times New Roman"/>
                <w:color w:val="000000"/>
                <w:sz w:val="16"/>
                <w:szCs w:val="16"/>
              </w:rPr>
              <w:t>Депозитарна</w:t>
            </w:r>
            <w:proofErr w:type="spellEnd"/>
            <w:r w:rsidR="003A05A3" w:rsidRPr="00E16672">
              <w:rPr>
                <w:rFonts w:ascii="Times New Roman" w:hAnsi="Times New Roman"/>
                <w:color w:val="000000"/>
                <w:sz w:val="16"/>
                <w:szCs w:val="16"/>
              </w:rPr>
              <w:t xml:space="preserve"> </w:t>
            </w:r>
            <w:proofErr w:type="spellStart"/>
            <w:r w:rsidR="003A05A3" w:rsidRPr="00E16672">
              <w:rPr>
                <w:rFonts w:ascii="Times New Roman" w:hAnsi="Times New Roman"/>
                <w:color w:val="000000"/>
                <w:sz w:val="16"/>
                <w:szCs w:val="16"/>
              </w:rPr>
              <w:t>установа</w:t>
            </w:r>
            <w:proofErr w:type="spellEnd"/>
            <w:r w:rsidR="003A05A3" w:rsidRPr="00E16672">
              <w:rPr>
                <w:rFonts w:ascii="Times New Roman" w:hAnsi="Times New Roman"/>
                <w:color w:val="000000"/>
                <w:sz w:val="16"/>
                <w:szCs w:val="16"/>
              </w:rPr>
              <w:t xml:space="preserve"> </w:t>
            </w:r>
            <w:proofErr w:type="spellStart"/>
            <w:r w:rsidR="003A05A3" w:rsidRPr="00E16672">
              <w:rPr>
                <w:rFonts w:ascii="Times New Roman" w:hAnsi="Times New Roman"/>
                <w:color w:val="000000"/>
                <w:sz w:val="16"/>
                <w:szCs w:val="16"/>
              </w:rPr>
              <w:t>зобов'язана</w:t>
            </w:r>
            <w:proofErr w:type="spellEnd"/>
            <w:r w:rsidR="003A05A3" w:rsidRPr="00E16672">
              <w:rPr>
                <w:rFonts w:ascii="Times New Roman" w:hAnsi="Times New Roman"/>
                <w:color w:val="000000"/>
                <w:sz w:val="16"/>
                <w:szCs w:val="16"/>
              </w:rPr>
              <w:t xml:space="preserve"> </w:t>
            </w:r>
            <w:proofErr w:type="spellStart"/>
            <w:r w:rsidR="003A05A3" w:rsidRPr="00E16672">
              <w:rPr>
                <w:rFonts w:ascii="Times New Roman" w:hAnsi="Times New Roman"/>
                <w:color w:val="000000"/>
                <w:sz w:val="16"/>
                <w:szCs w:val="16"/>
              </w:rPr>
              <w:t>протягом</w:t>
            </w:r>
            <w:proofErr w:type="spellEnd"/>
            <w:r w:rsidR="003A05A3" w:rsidRPr="00E16672">
              <w:rPr>
                <w:rFonts w:ascii="Times New Roman" w:hAnsi="Times New Roman"/>
                <w:color w:val="000000"/>
                <w:sz w:val="16"/>
                <w:szCs w:val="16"/>
              </w:rPr>
              <w:t xml:space="preserve"> десяти </w:t>
            </w:r>
            <w:proofErr w:type="spellStart"/>
            <w:r w:rsidR="003A05A3" w:rsidRPr="00E16672">
              <w:rPr>
                <w:rFonts w:ascii="Times New Roman" w:hAnsi="Times New Roman"/>
                <w:color w:val="000000"/>
                <w:sz w:val="16"/>
                <w:szCs w:val="16"/>
              </w:rPr>
              <w:t>робочих</w:t>
            </w:r>
            <w:proofErr w:type="spellEnd"/>
            <w:r w:rsidR="003A05A3" w:rsidRPr="00E16672">
              <w:rPr>
                <w:rFonts w:ascii="Times New Roman" w:hAnsi="Times New Roman"/>
                <w:color w:val="000000"/>
                <w:sz w:val="16"/>
                <w:szCs w:val="16"/>
              </w:rPr>
              <w:t xml:space="preserve"> </w:t>
            </w:r>
            <w:proofErr w:type="spellStart"/>
            <w:r w:rsidR="003A05A3" w:rsidRPr="00E16672">
              <w:rPr>
                <w:rFonts w:ascii="Times New Roman" w:hAnsi="Times New Roman"/>
                <w:color w:val="000000"/>
                <w:sz w:val="16"/>
                <w:szCs w:val="16"/>
              </w:rPr>
              <w:t>днів</w:t>
            </w:r>
            <w:proofErr w:type="spellEnd"/>
            <w:r w:rsidR="003A05A3" w:rsidRPr="00E16672">
              <w:rPr>
                <w:rFonts w:ascii="Times New Roman" w:hAnsi="Times New Roman"/>
                <w:color w:val="000000"/>
                <w:sz w:val="16"/>
                <w:szCs w:val="16"/>
              </w:rPr>
              <w:t xml:space="preserve"> з моменту </w:t>
            </w:r>
            <w:proofErr w:type="spellStart"/>
            <w:r w:rsidR="003A05A3" w:rsidRPr="00E16672">
              <w:rPr>
                <w:rFonts w:ascii="Times New Roman" w:hAnsi="Times New Roman"/>
                <w:color w:val="000000"/>
                <w:sz w:val="16"/>
                <w:szCs w:val="16"/>
              </w:rPr>
              <w:t>надходження</w:t>
            </w:r>
            <w:proofErr w:type="spellEnd"/>
            <w:r w:rsidR="003A05A3" w:rsidRPr="00E16672">
              <w:rPr>
                <w:rFonts w:ascii="Times New Roman" w:hAnsi="Times New Roman"/>
                <w:color w:val="000000"/>
                <w:sz w:val="16"/>
                <w:szCs w:val="16"/>
              </w:rPr>
              <w:t xml:space="preserve"> </w:t>
            </w:r>
            <w:proofErr w:type="spellStart"/>
            <w:r w:rsidR="003A05A3" w:rsidRPr="00E16672">
              <w:rPr>
                <w:rFonts w:ascii="Times New Roman" w:hAnsi="Times New Roman"/>
                <w:color w:val="000000"/>
                <w:sz w:val="16"/>
                <w:szCs w:val="16"/>
              </w:rPr>
              <w:t>зарахувати</w:t>
            </w:r>
            <w:proofErr w:type="spellEnd"/>
            <w:r w:rsidR="003A05A3" w:rsidRPr="00E16672">
              <w:rPr>
                <w:rFonts w:ascii="Times New Roman" w:hAnsi="Times New Roman"/>
                <w:color w:val="000000"/>
                <w:sz w:val="16"/>
                <w:szCs w:val="16"/>
              </w:rPr>
              <w:t xml:space="preserve"> </w:t>
            </w:r>
            <w:proofErr w:type="spellStart"/>
            <w:r w:rsidR="003A05A3" w:rsidRPr="00E16672">
              <w:rPr>
                <w:rFonts w:ascii="Times New Roman" w:hAnsi="Times New Roman"/>
                <w:color w:val="000000"/>
                <w:sz w:val="16"/>
                <w:szCs w:val="16"/>
              </w:rPr>
              <w:t>зазначені</w:t>
            </w:r>
            <w:proofErr w:type="spellEnd"/>
            <w:r w:rsidR="003A05A3" w:rsidRPr="00E16672">
              <w:rPr>
                <w:rFonts w:ascii="Times New Roman" w:hAnsi="Times New Roman"/>
                <w:color w:val="000000"/>
                <w:sz w:val="16"/>
                <w:szCs w:val="16"/>
              </w:rPr>
              <w:t xml:space="preserve"> доходи (права на </w:t>
            </w:r>
            <w:proofErr w:type="spellStart"/>
            <w:r w:rsidR="003A05A3" w:rsidRPr="00E16672">
              <w:rPr>
                <w:rFonts w:ascii="Times New Roman" w:hAnsi="Times New Roman"/>
                <w:color w:val="000000"/>
                <w:sz w:val="16"/>
                <w:szCs w:val="16"/>
              </w:rPr>
              <w:t>цінні</w:t>
            </w:r>
            <w:proofErr w:type="spellEnd"/>
            <w:r w:rsidR="003A05A3" w:rsidRPr="00E16672">
              <w:rPr>
                <w:rFonts w:ascii="Times New Roman" w:hAnsi="Times New Roman"/>
                <w:color w:val="000000"/>
                <w:sz w:val="16"/>
                <w:szCs w:val="16"/>
              </w:rPr>
              <w:t xml:space="preserve"> </w:t>
            </w:r>
            <w:proofErr w:type="spellStart"/>
            <w:r w:rsidR="003A05A3" w:rsidRPr="00E16672">
              <w:rPr>
                <w:rFonts w:ascii="Times New Roman" w:hAnsi="Times New Roman"/>
                <w:color w:val="000000"/>
                <w:sz w:val="16"/>
                <w:szCs w:val="16"/>
              </w:rPr>
              <w:t>папери</w:t>
            </w:r>
            <w:proofErr w:type="spellEnd"/>
            <w:r w:rsidR="003A05A3" w:rsidRPr="00E16672">
              <w:rPr>
                <w:rFonts w:ascii="Times New Roman" w:hAnsi="Times New Roman"/>
                <w:color w:val="000000"/>
                <w:sz w:val="16"/>
                <w:szCs w:val="16"/>
              </w:rPr>
              <w:t xml:space="preserve">) на </w:t>
            </w:r>
            <w:proofErr w:type="spellStart"/>
            <w:r w:rsidR="003A05A3" w:rsidRPr="00E16672">
              <w:rPr>
                <w:rFonts w:ascii="Times New Roman" w:hAnsi="Times New Roman"/>
                <w:color w:val="000000"/>
                <w:sz w:val="16"/>
                <w:szCs w:val="16"/>
              </w:rPr>
              <w:t>рахунок</w:t>
            </w:r>
            <w:proofErr w:type="spellEnd"/>
            <w:r w:rsidR="003A05A3" w:rsidRPr="00E16672">
              <w:rPr>
                <w:rFonts w:ascii="Times New Roman" w:hAnsi="Times New Roman"/>
                <w:color w:val="000000"/>
                <w:sz w:val="16"/>
                <w:szCs w:val="16"/>
              </w:rPr>
              <w:t xml:space="preserve"> в </w:t>
            </w:r>
            <w:proofErr w:type="spellStart"/>
            <w:r w:rsidR="003A05A3" w:rsidRPr="00E16672">
              <w:rPr>
                <w:rFonts w:ascii="Times New Roman" w:hAnsi="Times New Roman"/>
                <w:color w:val="000000"/>
                <w:sz w:val="16"/>
                <w:szCs w:val="16"/>
              </w:rPr>
              <w:t>цінних</w:t>
            </w:r>
            <w:proofErr w:type="spellEnd"/>
            <w:r w:rsidR="003A05A3" w:rsidRPr="00E16672">
              <w:rPr>
                <w:rFonts w:ascii="Times New Roman" w:hAnsi="Times New Roman"/>
                <w:color w:val="000000"/>
                <w:sz w:val="16"/>
                <w:szCs w:val="16"/>
              </w:rPr>
              <w:t xml:space="preserve"> </w:t>
            </w:r>
            <w:proofErr w:type="spellStart"/>
            <w:r w:rsidR="003A05A3" w:rsidRPr="00E16672">
              <w:rPr>
                <w:rFonts w:ascii="Times New Roman" w:hAnsi="Times New Roman"/>
                <w:color w:val="000000"/>
                <w:sz w:val="16"/>
                <w:szCs w:val="16"/>
              </w:rPr>
              <w:t>паперах</w:t>
            </w:r>
            <w:proofErr w:type="spellEnd"/>
            <w:r w:rsidR="003A05A3" w:rsidRPr="00E16672">
              <w:rPr>
                <w:rFonts w:ascii="Times New Roman" w:hAnsi="Times New Roman"/>
                <w:color w:val="000000"/>
                <w:sz w:val="16"/>
                <w:szCs w:val="16"/>
              </w:rPr>
              <w:t xml:space="preserve"> Депонента </w:t>
            </w:r>
          </w:p>
        </w:tc>
        <w:tc>
          <w:tcPr>
            <w:tcW w:w="5494" w:type="dxa"/>
            <w:gridSpan w:val="6"/>
            <w:shd w:val="clear" w:color="auto" w:fill="auto"/>
          </w:tcPr>
          <w:p w14:paraId="572A1255" w14:textId="77777777" w:rsidR="003A05A3" w:rsidRPr="00E16672" w:rsidRDefault="003A05A3" w:rsidP="004F69E6">
            <w:pPr>
              <w:ind w:left="145" w:firstLine="0"/>
              <w:rPr>
                <w:rFonts w:ascii="Times New Roman" w:hAnsi="Times New Roman"/>
                <w:color w:val="000000"/>
                <w:sz w:val="16"/>
                <w:szCs w:val="16"/>
                <w:lang w:val="en-US"/>
              </w:rPr>
            </w:pPr>
            <w:r w:rsidRPr="00E16672">
              <w:rPr>
                <w:rFonts w:ascii="Times New Roman" w:hAnsi="Times New Roman"/>
                <w:color w:val="000000"/>
                <w:sz w:val="16"/>
                <w:szCs w:val="16"/>
                <w:lang w:val="en-US"/>
              </w:rPr>
              <w:t>1</w:t>
            </w:r>
            <w:r w:rsidR="00577C78" w:rsidRPr="00E16672">
              <w:rPr>
                <w:rFonts w:ascii="Times New Roman" w:hAnsi="Times New Roman"/>
                <w:color w:val="000000"/>
                <w:sz w:val="16"/>
                <w:szCs w:val="16"/>
                <w:lang w:val="uk-UA"/>
              </w:rPr>
              <w:t>1</w:t>
            </w:r>
            <w:r w:rsidRPr="00E16672">
              <w:rPr>
                <w:rFonts w:ascii="Times New Roman" w:hAnsi="Times New Roman"/>
                <w:color w:val="000000"/>
                <w:sz w:val="16"/>
                <w:szCs w:val="16"/>
                <w:lang w:val="en-US"/>
              </w:rPr>
              <w:t xml:space="preserve">.1.3. If payment of income is made in securities, after admission to Central Depository such income (securities) the Central Depository conducts operations on transfer of securities from the </w:t>
            </w:r>
            <w:proofErr w:type="gramStart"/>
            <w:r w:rsidRPr="00E16672">
              <w:rPr>
                <w:rFonts w:ascii="Times New Roman" w:hAnsi="Times New Roman"/>
                <w:color w:val="000000"/>
                <w:sz w:val="16"/>
                <w:szCs w:val="16"/>
                <w:lang w:val="en-US"/>
              </w:rPr>
              <w:t>account  in</w:t>
            </w:r>
            <w:proofErr w:type="gramEnd"/>
            <w:r w:rsidRPr="00E16672">
              <w:rPr>
                <w:rFonts w:ascii="Times New Roman" w:hAnsi="Times New Roman"/>
                <w:color w:val="000000"/>
                <w:sz w:val="16"/>
                <w:szCs w:val="16"/>
                <w:lang w:val="en-US"/>
              </w:rPr>
              <w:t xml:space="preserve"> securities of the issuer for accounts in securities of depository institutions, that serve the holders of securities who have get this income in securities. The Depository institution shall within ten working days from the moment receipt </w:t>
            </w:r>
            <w:proofErr w:type="gramStart"/>
            <w:r w:rsidRPr="00E16672">
              <w:rPr>
                <w:rFonts w:ascii="Times New Roman" w:hAnsi="Times New Roman"/>
                <w:color w:val="000000"/>
                <w:sz w:val="16"/>
                <w:szCs w:val="16"/>
                <w:lang w:val="en-US"/>
              </w:rPr>
              <w:t>credit  these</w:t>
            </w:r>
            <w:proofErr w:type="gramEnd"/>
            <w:r w:rsidRPr="00E16672">
              <w:rPr>
                <w:rFonts w:ascii="Times New Roman" w:hAnsi="Times New Roman"/>
                <w:color w:val="000000"/>
                <w:sz w:val="16"/>
                <w:szCs w:val="16"/>
                <w:lang w:val="en-US"/>
              </w:rPr>
              <w:t xml:space="preserve"> incomes (rights to securities) to the account  in securities of the Depositor.</w:t>
            </w:r>
          </w:p>
          <w:p w14:paraId="040E28E4" w14:textId="77777777" w:rsidR="003A05A3" w:rsidRPr="00E16672" w:rsidRDefault="003A05A3" w:rsidP="00843027">
            <w:pPr>
              <w:snapToGrid w:val="0"/>
              <w:spacing w:before="57" w:after="57"/>
              <w:ind w:left="175" w:right="138"/>
              <w:rPr>
                <w:rFonts w:ascii="Times New Roman" w:hAnsi="Times New Roman"/>
                <w:color w:val="000000"/>
                <w:sz w:val="16"/>
                <w:szCs w:val="16"/>
                <w:lang w:val="en-US"/>
              </w:rPr>
            </w:pPr>
          </w:p>
        </w:tc>
      </w:tr>
      <w:tr w:rsidR="003A05A3" w:rsidRPr="00F23413" w14:paraId="13378B0E" w14:textId="77777777" w:rsidTr="00242F58">
        <w:trPr>
          <w:trHeight w:val="192"/>
        </w:trPr>
        <w:tc>
          <w:tcPr>
            <w:tcW w:w="5696" w:type="dxa"/>
            <w:gridSpan w:val="8"/>
            <w:shd w:val="clear" w:color="auto" w:fill="auto"/>
          </w:tcPr>
          <w:p w14:paraId="68572B6C" w14:textId="77777777" w:rsidR="003A05A3" w:rsidRPr="00E16672" w:rsidRDefault="003A05A3" w:rsidP="004F69E6">
            <w:pPr>
              <w:spacing w:before="57" w:after="57"/>
              <w:ind w:left="175" w:right="138" w:firstLine="0"/>
              <w:rPr>
                <w:rFonts w:ascii="Times New Roman" w:hAnsi="Times New Roman"/>
                <w:color w:val="000000"/>
                <w:sz w:val="16"/>
                <w:szCs w:val="16"/>
                <w:lang w:val="uk-UA"/>
              </w:rPr>
            </w:pPr>
            <w:r w:rsidRPr="00E16672">
              <w:rPr>
                <w:rFonts w:ascii="Times New Roman" w:hAnsi="Times New Roman"/>
                <w:color w:val="000000"/>
                <w:sz w:val="16"/>
                <w:szCs w:val="16"/>
                <w:lang w:val="uk-UA"/>
              </w:rPr>
              <w:t>1</w:t>
            </w:r>
            <w:r w:rsidR="00577C78" w:rsidRPr="00E16672">
              <w:rPr>
                <w:rFonts w:ascii="Times New Roman" w:hAnsi="Times New Roman"/>
                <w:color w:val="000000"/>
                <w:sz w:val="16"/>
                <w:szCs w:val="16"/>
                <w:lang w:val="uk-UA"/>
              </w:rPr>
              <w:t>1</w:t>
            </w:r>
            <w:r w:rsidRPr="00E16672">
              <w:rPr>
                <w:rFonts w:ascii="Times New Roman" w:hAnsi="Times New Roman"/>
                <w:color w:val="000000"/>
                <w:sz w:val="16"/>
                <w:szCs w:val="16"/>
                <w:lang w:val="uk-UA"/>
              </w:rPr>
              <w:t>.2. Щодо цінних паперів, облік яких здійснює Національний Банк України:</w:t>
            </w:r>
          </w:p>
          <w:p w14:paraId="7329C54B" w14:textId="77777777" w:rsidR="003A05A3" w:rsidRPr="00E16672" w:rsidRDefault="003A05A3" w:rsidP="003B3EC1">
            <w:pPr>
              <w:snapToGrid w:val="0"/>
              <w:spacing w:before="57" w:after="57"/>
              <w:ind w:left="175" w:right="138" w:firstLine="0"/>
              <w:rPr>
                <w:rFonts w:ascii="Times New Roman" w:hAnsi="Times New Roman"/>
                <w:color w:val="000000"/>
                <w:sz w:val="16"/>
                <w:szCs w:val="16"/>
                <w:lang w:val="uk-UA"/>
              </w:rPr>
            </w:pPr>
            <w:r w:rsidRPr="00E16672">
              <w:rPr>
                <w:rFonts w:ascii="Times New Roman" w:hAnsi="Times New Roman"/>
                <w:color w:val="000000"/>
                <w:sz w:val="16"/>
                <w:szCs w:val="16"/>
                <w:lang w:val="uk-UA"/>
              </w:rPr>
              <w:t xml:space="preserve">У термін не пізніше </w:t>
            </w:r>
            <w:r w:rsidRPr="00E16672">
              <w:rPr>
                <w:rFonts w:ascii="Times New Roman" w:hAnsi="Times New Roman"/>
                <w:i/>
                <w:color w:val="000000"/>
                <w:sz w:val="16"/>
                <w:szCs w:val="16"/>
                <w:lang w:val="uk-UA"/>
              </w:rPr>
              <w:t>десяти робочих днів</w:t>
            </w:r>
            <w:r w:rsidRPr="00E16672">
              <w:rPr>
                <w:rFonts w:ascii="Times New Roman" w:hAnsi="Times New Roman"/>
                <w:color w:val="000000"/>
                <w:sz w:val="16"/>
                <w:szCs w:val="16"/>
                <w:lang w:val="uk-UA"/>
              </w:rPr>
              <w:t xml:space="preserve"> з моменту надходження доходу за </w:t>
            </w:r>
            <w:r w:rsidRPr="00E16672">
              <w:rPr>
                <w:rFonts w:ascii="Times New Roman" w:hAnsi="Times New Roman"/>
                <w:color w:val="000000"/>
                <w:sz w:val="16"/>
                <w:szCs w:val="16"/>
                <w:lang w:val="uk-UA"/>
              </w:rPr>
              <w:lastRenderedPageBreak/>
              <w:t xml:space="preserve">цінними паперами, грошових коштів, отриманих за результатами погашення цінних паперів на грошовий рахунок Депозитарної установи Депозитарна установа здійснює виплату доходу за цінними паперами, грошових коштів, отриманих Депонентом за результатами погашення цінних паперів емітента, шляхом перерахування грошових коштів на грошовий банківський рахунок Депонента, зазначений в анкеті рахунку в цінних паперах Депонента. Вищезазначені дії виконуються Депозитарною установою у разі наявності реквізитів діючого грошового банківського рахунку в анкеті рахунку </w:t>
            </w:r>
            <w:r w:rsidR="00C22309" w:rsidRPr="00E16672">
              <w:rPr>
                <w:rFonts w:ascii="Times New Roman" w:hAnsi="Times New Roman"/>
                <w:color w:val="000000"/>
                <w:sz w:val="16"/>
                <w:szCs w:val="16"/>
                <w:lang w:val="uk-UA"/>
              </w:rPr>
              <w:t>в цін</w:t>
            </w:r>
            <w:r w:rsidRPr="00E16672">
              <w:rPr>
                <w:rFonts w:ascii="Times New Roman" w:hAnsi="Times New Roman"/>
                <w:color w:val="000000"/>
                <w:sz w:val="16"/>
                <w:szCs w:val="16"/>
                <w:lang w:val="uk-UA"/>
              </w:rPr>
              <w:t>них паперах Депонента на момент надходження відповідних коштів на грошовий рахунок Депозитарної установи.</w:t>
            </w:r>
          </w:p>
        </w:tc>
        <w:tc>
          <w:tcPr>
            <w:tcW w:w="5494" w:type="dxa"/>
            <w:gridSpan w:val="6"/>
            <w:shd w:val="clear" w:color="auto" w:fill="auto"/>
          </w:tcPr>
          <w:p w14:paraId="2482C024" w14:textId="77777777" w:rsidR="003A05A3" w:rsidRPr="00E16672" w:rsidRDefault="003A05A3" w:rsidP="004F69E6">
            <w:pPr>
              <w:spacing w:before="57" w:after="57"/>
              <w:ind w:left="175" w:right="138" w:firstLine="0"/>
              <w:rPr>
                <w:rFonts w:ascii="Times New Roman" w:hAnsi="Times New Roman"/>
                <w:color w:val="000000"/>
                <w:sz w:val="16"/>
                <w:szCs w:val="16"/>
                <w:lang w:val="uk-UA"/>
              </w:rPr>
            </w:pPr>
            <w:r w:rsidRPr="00E16672">
              <w:rPr>
                <w:rFonts w:ascii="Times New Roman" w:hAnsi="Times New Roman"/>
                <w:color w:val="000000"/>
                <w:sz w:val="16"/>
                <w:szCs w:val="16"/>
                <w:lang w:val="en-US"/>
              </w:rPr>
              <w:lastRenderedPageBreak/>
              <w:t>1</w:t>
            </w:r>
            <w:r w:rsidR="00577C78" w:rsidRPr="00E16672">
              <w:rPr>
                <w:rFonts w:ascii="Times New Roman" w:hAnsi="Times New Roman"/>
                <w:color w:val="000000"/>
                <w:sz w:val="16"/>
                <w:szCs w:val="16"/>
                <w:lang w:val="uk-UA"/>
              </w:rPr>
              <w:t>1</w:t>
            </w:r>
            <w:r w:rsidRPr="00E16672">
              <w:rPr>
                <w:rFonts w:ascii="Times New Roman" w:hAnsi="Times New Roman"/>
                <w:color w:val="000000"/>
                <w:sz w:val="16"/>
                <w:szCs w:val="16"/>
                <w:lang w:val="en-US"/>
              </w:rPr>
              <w:t>.2</w:t>
            </w:r>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Regarding</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securities</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accounted</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by</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the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National</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Bank</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of</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Ukraine</w:t>
            </w:r>
            <w:proofErr w:type="spellEnd"/>
            <w:r w:rsidRPr="00E16672">
              <w:rPr>
                <w:rFonts w:ascii="Times New Roman" w:hAnsi="Times New Roman"/>
                <w:color w:val="000000"/>
                <w:sz w:val="16"/>
                <w:szCs w:val="16"/>
                <w:lang w:val="uk-UA"/>
              </w:rPr>
              <w:t>:</w:t>
            </w:r>
          </w:p>
          <w:p w14:paraId="4711DC26" w14:textId="77777777" w:rsidR="003A05A3" w:rsidRPr="00E16672" w:rsidRDefault="003A05A3" w:rsidP="003B3EC1">
            <w:pPr>
              <w:snapToGrid w:val="0"/>
              <w:spacing w:before="57" w:after="57"/>
              <w:ind w:left="175" w:right="138" w:hanging="26"/>
              <w:rPr>
                <w:rFonts w:ascii="Times New Roman" w:hAnsi="Times New Roman"/>
                <w:color w:val="000000"/>
                <w:sz w:val="16"/>
                <w:szCs w:val="16"/>
                <w:lang w:val="uk-UA"/>
              </w:rPr>
            </w:pPr>
            <w:proofErr w:type="spellStart"/>
            <w:r w:rsidRPr="00E16672">
              <w:rPr>
                <w:rFonts w:ascii="Times New Roman" w:hAnsi="Times New Roman"/>
                <w:color w:val="000000"/>
                <w:sz w:val="16"/>
                <w:szCs w:val="16"/>
                <w:lang w:val="uk-UA"/>
              </w:rPr>
              <w:t>In</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terms</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not</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later</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than</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i/>
                <w:color w:val="000000"/>
                <w:sz w:val="16"/>
                <w:szCs w:val="16"/>
                <w:lang w:val="uk-UA"/>
              </w:rPr>
              <w:t>ten</w:t>
            </w:r>
            <w:proofErr w:type="spellEnd"/>
            <w:r w:rsidRPr="00E16672">
              <w:rPr>
                <w:rFonts w:ascii="Times New Roman" w:hAnsi="Times New Roman"/>
                <w:i/>
                <w:color w:val="000000"/>
                <w:sz w:val="16"/>
                <w:szCs w:val="16"/>
                <w:lang w:val="uk-UA"/>
              </w:rPr>
              <w:t xml:space="preserve"> </w:t>
            </w:r>
            <w:proofErr w:type="spellStart"/>
            <w:r w:rsidRPr="00E16672">
              <w:rPr>
                <w:rFonts w:ascii="Times New Roman" w:hAnsi="Times New Roman"/>
                <w:i/>
                <w:color w:val="000000"/>
                <w:sz w:val="16"/>
                <w:szCs w:val="16"/>
                <w:lang w:val="uk-UA"/>
              </w:rPr>
              <w:t>working</w:t>
            </w:r>
            <w:proofErr w:type="spellEnd"/>
            <w:r w:rsidRPr="00E16672">
              <w:rPr>
                <w:rFonts w:ascii="Times New Roman" w:hAnsi="Times New Roman"/>
                <w:i/>
                <w:color w:val="000000"/>
                <w:sz w:val="16"/>
                <w:szCs w:val="16"/>
                <w:lang w:val="uk-UA"/>
              </w:rPr>
              <w:t xml:space="preserve"> </w:t>
            </w:r>
            <w:proofErr w:type="spellStart"/>
            <w:r w:rsidRPr="00E16672">
              <w:rPr>
                <w:rFonts w:ascii="Times New Roman" w:hAnsi="Times New Roman"/>
                <w:i/>
                <w:color w:val="000000"/>
                <w:sz w:val="16"/>
                <w:szCs w:val="16"/>
                <w:lang w:val="uk-UA"/>
              </w:rPr>
              <w:t>days</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after</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receipt</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of</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income</w:t>
            </w:r>
            <w:proofErr w:type="spellEnd"/>
            <w:r w:rsidRPr="00E16672">
              <w:rPr>
                <w:rFonts w:ascii="Times New Roman" w:hAnsi="Times New Roman"/>
                <w:color w:val="000000"/>
                <w:sz w:val="16"/>
                <w:szCs w:val="16"/>
                <w:lang w:val="uk-UA"/>
              </w:rPr>
              <w:t xml:space="preserve"> </w:t>
            </w:r>
            <w:r w:rsidRPr="00E16672">
              <w:rPr>
                <w:rFonts w:ascii="Times New Roman" w:hAnsi="Times New Roman"/>
                <w:color w:val="000000"/>
                <w:sz w:val="16"/>
                <w:szCs w:val="16"/>
                <w:lang w:val="en-US"/>
              </w:rPr>
              <w:t xml:space="preserve">on </w:t>
            </w:r>
            <w:proofErr w:type="spellStart"/>
            <w:r w:rsidRPr="00E16672">
              <w:rPr>
                <w:rFonts w:ascii="Times New Roman" w:hAnsi="Times New Roman"/>
                <w:color w:val="000000"/>
                <w:sz w:val="16"/>
                <w:szCs w:val="16"/>
                <w:lang w:val="uk-UA"/>
              </w:rPr>
              <w:t>securities</w:t>
            </w:r>
            <w:proofErr w:type="spellEnd"/>
            <w:r w:rsidRPr="00E16672">
              <w:rPr>
                <w:rFonts w:ascii="Times New Roman" w:hAnsi="Times New Roman"/>
                <w:color w:val="000000"/>
                <w:sz w:val="16"/>
                <w:szCs w:val="16"/>
                <w:lang w:val="en-US"/>
              </w:rPr>
              <w:t>,</w:t>
            </w:r>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lastRenderedPageBreak/>
              <w:t>money</w:t>
            </w:r>
            <w:proofErr w:type="spellEnd"/>
            <w:r w:rsidRPr="00E16672">
              <w:rPr>
                <w:rFonts w:ascii="Times New Roman" w:hAnsi="Times New Roman"/>
                <w:color w:val="000000"/>
                <w:sz w:val="16"/>
                <w:szCs w:val="16"/>
                <w:lang w:val="en-US"/>
              </w:rPr>
              <w:t xml:space="preserve">, </w:t>
            </w:r>
            <w:proofErr w:type="spellStart"/>
            <w:r w:rsidRPr="00E16672">
              <w:rPr>
                <w:rFonts w:ascii="Times New Roman" w:hAnsi="Times New Roman"/>
                <w:color w:val="000000"/>
                <w:sz w:val="16"/>
                <w:szCs w:val="16"/>
                <w:lang w:val="uk-UA"/>
              </w:rPr>
              <w:t>received</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on</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the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results</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of</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redemption</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of</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securities</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on</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the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monetary</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account</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of</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Depository</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institution</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Depository</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institution</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pays</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income</w:t>
            </w:r>
            <w:proofErr w:type="spellEnd"/>
            <w:r w:rsidRPr="00E16672">
              <w:rPr>
                <w:rFonts w:ascii="Times New Roman" w:hAnsi="Times New Roman"/>
                <w:color w:val="000000"/>
                <w:sz w:val="16"/>
                <w:szCs w:val="16"/>
                <w:lang w:val="uk-UA"/>
              </w:rPr>
              <w:t xml:space="preserve"> </w:t>
            </w:r>
            <w:r w:rsidRPr="00E16672">
              <w:rPr>
                <w:rFonts w:ascii="Times New Roman" w:hAnsi="Times New Roman"/>
                <w:color w:val="000000"/>
                <w:sz w:val="16"/>
                <w:szCs w:val="16"/>
                <w:lang w:val="en-US"/>
              </w:rPr>
              <w:t xml:space="preserve">from </w:t>
            </w:r>
            <w:proofErr w:type="spellStart"/>
            <w:r w:rsidRPr="00E16672">
              <w:rPr>
                <w:rFonts w:ascii="Times New Roman" w:hAnsi="Times New Roman"/>
                <w:color w:val="000000"/>
                <w:sz w:val="16"/>
                <w:szCs w:val="16"/>
                <w:lang w:val="uk-UA"/>
              </w:rPr>
              <w:t>securities</w:t>
            </w:r>
            <w:proofErr w:type="spellEnd"/>
            <w:r w:rsidRPr="00E16672">
              <w:rPr>
                <w:rFonts w:ascii="Times New Roman" w:hAnsi="Times New Roman"/>
                <w:color w:val="000000"/>
                <w:sz w:val="16"/>
                <w:szCs w:val="16"/>
                <w:lang w:val="en-US"/>
              </w:rPr>
              <w:t xml:space="preserve">, </w:t>
            </w:r>
            <w:proofErr w:type="spellStart"/>
            <w:r w:rsidRPr="00E16672">
              <w:rPr>
                <w:rFonts w:ascii="Times New Roman" w:hAnsi="Times New Roman"/>
                <w:color w:val="000000"/>
                <w:sz w:val="16"/>
                <w:szCs w:val="16"/>
                <w:lang w:val="uk-UA"/>
              </w:rPr>
              <w:t>money</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received</w:t>
            </w:r>
            <w:proofErr w:type="spellEnd"/>
            <w:r w:rsidRPr="00E16672">
              <w:rPr>
                <w:rFonts w:ascii="Times New Roman" w:hAnsi="Times New Roman"/>
                <w:color w:val="000000"/>
                <w:sz w:val="16"/>
                <w:szCs w:val="16"/>
                <w:lang w:val="uk-UA"/>
              </w:rPr>
              <w:t xml:space="preserve"> </w:t>
            </w:r>
            <w:r w:rsidRPr="00E16672">
              <w:rPr>
                <w:rFonts w:ascii="Times New Roman" w:hAnsi="Times New Roman"/>
                <w:color w:val="000000"/>
                <w:sz w:val="16"/>
                <w:szCs w:val="16"/>
                <w:lang w:val="en-US"/>
              </w:rPr>
              <w:t xml:space="preserve">by Depositor </w:t>
            </w:r>
            <w:proofErr w:type="spellStart"/>
            <w:r w:rsidRPr="00E16672">
              <w:rPr>
                <w:rFonts w:ascii="Times New Roman" w:hAnsi="Times New Roman"/>
                <w:color w:val="000000"/>
                <w:sz w:val="16"/>
                <w:szCs w:val="16"/>
                <w:lang w:val="uk-UA"/>
              </w:rPr>
              <w:t>on</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the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results</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of</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redemption</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of</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securities</w:t>
            </w:r>
            <w:proofErr w:type="spellEnd"/>
            <w:r w:rsidRPr="00E16672">
              <w:rPr>
                <w:rFonts w:ascii="Times New Roman" w:hAnsi="Times New Roman"/>
                <w:color w:val="000000"/>
                <w:sz w:val="16"/>
                <w:szCs w:val="16"/>
                <w:lang w:val="en-US"/>
              </w:rPr>
              <w:t xml:space="preserve"> of issuer </w:t>
            </w:r>
            <w:proofErr w:type="spellStart"/>
            <w:r w:rsidRPr="00E16672">
              <w:rPr>
                <w:rFonts w:ascii="Times New Roman" w:hAnsi="Times New Roman"/>
                <w:color w:val="000000"/>
                <w:sz w:val="16"/>
                <w:szCs w:val="16"/>
                <w:lang w:val="uk-UA"/>
              </w:rPr>
              <w:t>by</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transferring</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money</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to</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the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Depositor’s</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bank</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monetary</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account</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indicated</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in</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the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Depositor’s</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form</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of</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the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account</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in</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securities</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The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above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actions</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Depository</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institution</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performs</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if</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there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are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details</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of</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the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current</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monetary</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bank</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account</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in</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Depositor’s</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form</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of</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the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account</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in</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securities</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at</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the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moment</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of</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receipt</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of</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the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money</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on</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the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monetary</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account</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of</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Depository</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institution</w:t>
            </w:r>
            <w:proofErr w:type="spellEnd"/>
            <w:r w:rsidRPr="00E16672">
              <w:rPr>
                <w:rFonts w:ascii="Times New Roman" w:hAnsi="Times New Roman"/>
                <w:color w:val="000000"/>
                <w:sz w:val="16"/>
                <w:szCs w:val="16"/>
                <w:lang w:val="uk-UA"/>
              </w:rPr>
              <w:t>.</w:t>
            </w:r>
          </w:p>
        </w:tc>
      </w:tr>
      <w:tr w:rsidR="003A05A3" w:rsidRPr="00F23413" w14:paraId="3AEF9E57" w14:textId="77777777" w:rsidTr="00242F58">
        <w:trPr>
          <w:trHeight w:val="192"/>
        </w:trPr>
        <w:tc>
          <w:tcPr>
            <w:tcW w:w="5696" w:type="dxa"/>
            <w:gridSpan w:val="8"/>
            <w:shd w:val="clear" w:color="auto" w:fill="auto"/>
          </w:tcPr>
          <w:p w14:paraId="6BA40E21" w14:textId="77777777" w:rsidR="003A05A3" w:rsidRDefault="003A05A3" w:rsidP="004F69E6">
            <w:pPr>
              <w:snapToGrid w:val="0"/>
              <w:spacing w:before="57" w:after="57"/>
              <w:ind w:left="175" w:right="138" w:firstLine="0"/>
              <w:rPr>
                <w:rFonts w:ascii="Times New Roman" w:hAnsi="Times New Roman"/>
                <w:color w:val="000000"/>
                <w:sz w:val="16"/>
                <w:szCs w:val="16"/>
                <w:lang w:val="uk-UA"/>
              </w:rPr>
            </w:pPr>
            <w:r w:rsidRPr="00E16672">
              <w:rPr>
                <w:rFonts w:ascii="Times New Roman" w:hAnsi="Times New Roman"/>
                <w:color w:val="000000"/>
                <w:sz w:val="16"/>
                <w:szCs w:val="16"/>
                <w:lang w:val="uk-UA"/>
              </w:rPr>
              <w:lastRenderedPageBreak/>
              <w:t>1</w:t>
            </w:r>
            <w:r w:rsidR="00577C78" w:rsidRPr="00E16672">
              <w:rPr>
                <w:rFonts w:ascii="Times New Roman" w:hAnsi="Times New Roman"/>
                <w:color w:val="000000"/>
                <w:sz w:val="16"/>
                <w:szCs w:val="16"/>
                <w:lang w:val="uk-UA"/>
              </w:rPr>
              <w:t>1</w:t>
            </w:r>
            <w:r w:rsidRPr="00E16672">
              <w:rPr>
                <w:rFonts w:ascii="Times New Roman" w:hAnsi="Times New Roman"/>
                <w:color w:val="000000"/>
                <w:sz w:val="16"/>
                <w:szCs w:val="16"/>
                <w:lang w:val="uk-UA"/>
              </w:rPr>
              <w:t>.3. Грошові кошти,</w:t>
            </w:r>
            <w:r w:rsidRPr="00E16672">
              <w:rPr>
                <w:rStyle w:val="rvts0"/>
                <w:rFonts w:ascii="Times New Roman" w:hAnsi="Times New Roman"/>
                <w:color w:val="000000"/>
                <w:sz w:val="16"/>
                <w:szCs w:val="16"/>
                <w:lang w:val="uk-UA"/>
              </w:rPr>
              <w:t xml:space="preserve"> що надходять на поточний рахунок Депозитарної установи відповідно до законодавства та умов цього Договору з метою їх подальшого переказу Депоненту,</w:t>
            </w:r>
            <w:r w:rsidRPr="00E16672">
              <w:rPr>
                <w:rFonts w:ascii="Times New Roman" w:hAnsi="Times New Roman"/>
                <w:color w:val="000000"/>
                <w:sz w:val="16"/>
                <w:szCs w:val="16"/>
                <w:lang w:val="uk-UA"/>
              </w:rPr>
              <w:t xml:space="preserve"> не є власністю Депозитарної установи. </w:t>
            </w:r>
          </w:p>
          <w:p w14:paraId="54DE451E" w14:textId="19AB2351" w:rsidR="00E06CFD" w:rsidRPr="00E16672" w:rsidRDefault="00E06CFD" w:rsidP="00E06CFD">
            <w:pPr>
              <w:snapToGrid w:val="0"/>
              <w:spacing w:before="57" w:after="57"/>
              <w:ind w:left="175" w:right="138" w:firstLine="5"/>
              <w:rPr>
                <w:rFonts w:ascii="Times New Roman" w:hAnsi="Times New Roman"/>
                <w:color w:val="000000"/>
                <w:sz w:val="16"/>
                <w:szCs w:val="16"/>
                <w:lang w:val="uk-UA"/>
              </w:rPr>
            </w:pPr>
            <w:r w:rsidRPr="00E06CFD">
              <w:rPr>
                <w:rFonts w:ascii="Times New Roman" w:hAnsi="Times New Roman"/>
                <w:color w:val="000000"/>
                <w:sz w:val="16"/>
                <w:szCs w:val="16"/>
                <w:lang w:val="uk-UA"/>
              </w:rPr>
              <w:t>Депозитарна установа повинна переказати кошти, що призначені для виплати за цінними паперами, права на які обліковувались у неї, та не були нею виплачені особам, які мають право на їх отримання, у встановленому законодавством порядку на грошовий рахунок Центрального депозитарію у Розрахунковому центрі з одночасним поданням Центральному депозитарію відповідного повідомлення щодо загальної суми коштів окремо за відповідним випуском цінних паперів та відповідного розпорядження у порядку, визначеному внутрішніми документами Центрального депозитарію.</w:t>
            </w:r>
          </w:p>
        </w:tc>
        <w:tc>
          <w:tcPr>
            <w:tcW w:w="5494" w:type="dxa"/>
            <w:gridSpan w:val="6"/>
            <w:shd w:val="clear" w:color="auto" w:fill="auto"/>
          </w:tcPr>
          <w:p w14:paraId="4595B392" w14:textId="77777777" w:rsidR="003A05A3" w:rsidRDefault="003A05A3" w:rsidP="004F69E6">
            <w:pPr>
              <w:snapToGrid w:val="0"/>
              <w:spacing w:before="57" w:after="57"/>
              <w:ind w:left="175" w:right="138" w:firstLine="0"/>
              <w:rPr>
                <w:rFonts w:ascii="Times New Roman" w:hAnsi="Times New Roman"/>
                <w:color w:val="000000"/>
                <w:sz w:val="16"/>
                <w:szCs w:val="16"/>
                <w:lang w:val="uk-UA"/>
              </w:rPr>
            </w:pPr>
            <w:r w:rsidRPr="00E16672">
              <w:rPr>
                <w:rFonts w:ascii="Times New Roman" w:hAnsi="Times New Roman"/>
                <w:color w:val="000000"/>
                <w:sz w:val="16"/>
                <w:szCs w:val="16"/>
                <w:lang w:val="en-US"/>
              </w:rPr>
              <w:t>1</w:t>
            </w:r>
            <w:r w:rsidR="00577C78" w:rsidRPr="00E16672">
              <w:rPr>
                <w:rFonts w:ascii="Times New Roman" w:hAnsi="Times New Roman"/>
                <w:color w:val="000000"/>
                <w:sz w:val="16"/>
                <w:szCs w:val="16"/>
                <w:lang w:val="uk-UA"/>
              </w:rPr>
              <w:t>1</w:t>
            </w:r>
            <w:r w:rsidRPr="00E16672">
              <w:rPr>
                <w:rFonts w:ascii="Times New Roman" w:hAnsi="Times New Roman"/>
                <w:color w:val="000000"/>
                <w:sz w:val="16"/>
                <w:szCs w:val="16"/>
                <w:lang w:val="uk-UA"/>
              </w:rPr>
              <w:t xml:space="preserve">.3. </w:t>
            </w:r>
            <w:proofErr w:type="spellStart"/>
            <w:r w:rsidRPr="00E16672">
              <w:rPr>
                <w:rFonts w:ascii="Times New Roman" w:hAnsi="Times New Roman"/>
                <w:color w:val="000000"/>
                <w:sz w:val="16"/>
                <w:szCs w:val="16"/>
                <w:lang w:val="uk-UA"/>
              </w:rPr>
              <w:t>The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money</w:t>
            </w:r>
            <w:proofErr w:type="spellEnd"/>
            <w:r w:rsidRPr="00E16672">
              <w:rPr>
                <w:rFonts w:ascii="Times New Roman" w:hAnsi="Times New Roman"/>
                <w:color w:val="000000"/>
                <w:sz w:val="16"/>
                <w:szCs w:val="16"/>
                <w:lang w:val="en-US"/>
              </w:rPr>
              <w:t>,</w:t>
            </w:r>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coming</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to</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the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current</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account</w:t>
            </w:r>
            <w:proofErr w:type="spellEnd"/>
            <w:r w:rsidRPr="00E16672">
              <w:rPr>
                <w:rFonts w:ascii="Times New Roman" w:hAnsi="Times New Roman"/>
                <w:color w:val="000000"/>
                <w:sz w:val="16"/>
                <w:szCs w:val="16"/>
                <w:lang w:val="uk-UA"/>
              </w:rPr>
              <w:t xml:space="preserve"> </w:t>
            </w:r>
            <w:r w:rsidRPr="00E16672">
              <w:rPr>
                <w:rFonts w:ascii="Times New Roman" w:hAnsi="Times New Roman"/>
                <w:color w:val="000000"/>
                <w:sz w:val="16"/>
                <w:szCs w:val="16"/>
                <w:lang w:val="en-US"/>
              </w:rPr>
              <w:t>of D</w:t>
            </w:r>
            <w:proofErr w:type="spellStart"/>
            <w:r w:rsidRPr="00E16672">
              <w:rPr>
                <w:rFonts w:ascii="Times New Roman" w:hAnsi="Times New Roman"/>
                <w:color w:val="000000"/>
                <w:sz w:val="16"/>
                <w:szCs w:val="16"/>
                <w:lang w:val="uk-UA"/>
              </w:rPr>
              <w:t>epository</w:t>
            </w:r>
            <w:proofErr w:type="spellEnd"/>
            <w:r w:rsidRPr="00E16672">
              <w:rPr>
                <w:rFonts w:ascii="Times New Roman" w:hAnsi="Times New Roman"/>
                <w:color w:val="000000"/>
                <w:sz w:val="16"/>
                <w:szCs w:val="16"/>
                <w:lang w:val="uk-UA"/>
              </w:rPr>
              <w:t xml:space="preserve"> i</w:t>
            </w:r>
            <w:r w:rsidRPr="00E16672">
              <w:rPr>
                <w:rFonts w:ascii="Times New Roman" w:hAnsi="Times New Roman"/>
                <w:color w:val="000000"/>
                <w:sz w:val="16"/>
                <w:szCs w:val="16"/>
                <w:lang w:val="en-US"/>
              </w:rPr>
              <w:t>n</w:t>
            </w:r>
            <w:proofErr w:type="spellStart"/>
            <w:r w:rsidRPr="00E16672">
              <w:rPr>
                <w:rFonts w:ascii="Times New Roman" w:hAnsi="Times New Roman"/>
                <w:color w:val="000000"/>
                <w:sz w:val="16"/>
                <w:szCs w:val="16"/>
                <w:lang w:val="uk-UA"/>
              </w:rPr>
              <w:t>stitution</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according</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to</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the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laws</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and</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conditions</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of</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this</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Agreement</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for</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further</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transfer</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to</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the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Depositor</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not</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owned</w:t>
            </w:r>
            <w:proofErr w:type="spellEnd"/>
            <w:r w:rsidRPr="00E16672">
              <w:rPr>
                <w:rFonts w:ascii="Times New Roman" w:hAnsi="Times New Roman"/>
                <w:color w:val="000000"/>
                <w:sz w:val="16"/>
                <w:szCs w:val="16"/>
                <w:lang w:val="uk-UA"/>
              </w:rPr>
              <w:t xml:space="preserve"> </w:t>
            </w:r>
            <w:r w:rsidRPr="00E16672">
              <w:rPr>
                <w:rFonts w:ascii="Times New Roman" w:hAnsi="Times New Roman"/>
                <w:color w:val="000000"/>
                <w:sz w:val="16"/>
                <w:szCs w:val="16"/>
                <w:lang w:val="en-US"/>
              </w:rPr>
              <w:t xml:space="preserve">to </w:t>
            </w:r>
            <w:proofErr w:type="spellStart"/>
            <w:r w:rsidRPr="00E16672">
              <w:rPr>
                <w:rFonts w:ascii="Times New Roman" w:hAnsi="Times New Roman"/>
                <w:color w:val="000000"/>
                <w:sz w:val="16"/>
                <w:szCs w:val="16"/>
                <w:lang w:val="uk-UA"/>
              </w:rPr>
              <w:t>Depository</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institution</w:t>
            </w:r>
            <w:proofErr w:type="spellEnd"/>
            <w:r w:rsidRPr="00E16672">
              <w:rPr>
                <w:rFonts w:ascii="Times New Roman" w:hAnsi="Times New Roman"/>
                <w:color w:val="000000"/>
                <w:sz w:val="16"/>
                <w:szCs w:val="16"/>
                <w:lang w:val="uk-UA"/>
              </w:rPr>
              <w:t>.</w:t>
            </w:r>
          </w:p>
          <w:p w14:paraId="6E0E701B" w14:textId="6487BCF2" w:rsidR="00E06CFD" w:rsidRPr="00E16672" w:rsidRDefault="00E06CFD" w:rsidP="004F69E6">
            <w:pPr>
              <w:snapToGrid w:val="0"/>
              <w:spacing w:before="57" w:after="57"/>
              <w:ind w:left="175" w:right="138" w:firstLine="0"/>
              <w:rPr>
                <w:rFonts w:ascii="Times New Roman" w:hAnsi="Times New Roman"/>
                <w:color w:val="000000"/>
                <w:sz w:val="16"/>
                <w:szCs w:val="16"/>
                <w:lang w:val="uk-UA"/>
              </w:rPr>
            </w:pPr>
            <w:proofErr w:type="spellStart"/>
            <w:r w:rsidRPr="00E06CFD">
              <w:rPr>
                <w:rFonts w:ascii="Times New Roman" w:hAnsi="Times New Roman"/>
                <w:color w:val="000000"/>
                <w:sz w:val="16"/>
                <w:szCs w:val="16"/>
                <w:lang w:val="uk-UA"/>
              </w:rPr>
              <w:t>The</w:t>
            </w:r>
            <w:proofErr w:type="spellEnd"/>
            <w:r w:rsidRPr="00E06CFD">
              <w:rPr>
                <w:rFonts w:ascii="Times New Roman" w:hAnsi="Times New Roman"/>
                <w:color w:val="000000"/>
                <w:sz w:val="16"/>
                <w:szCs w:val="16"/>
                <w:lang w:val="uk-UA"/>
              </w:rPr>
              <w:t xml:space="preserve"> </w:t>
            </w:r>
            <w:proofErr w:type="spellStart"/>
            <w:r w:rsidRPr="00E06CFD">
              <w:rPr>
                <w:rFonts w:ascii="Times New Roman" w:hAnsi="Times New Roman"/>
                <w:color w:val="000000"/>
                <w:sz w:val="16"/>
                <w:szCs w:val="16"/>
                <w:lang w:val="uk-UA"/>
              </w:rPr>
              <w:t>Depository</w:t>
            </w:r>
            <w:proofErr w:type="spellEnd"/>
            <w:r w:rsidRPr="00E06CFD">
              <w:rPr>
                <w:rFonts w:ascii="Times New Roman" w:hAnsi="Times New Roman"/>
                <w:color w:val="000000"/>
                <w:sz w:val="16"/>
                <w:szCs w:val="16"/>
                <w:lang w:val="uk-UA"/>
              </w:rPr>
              <w:t xml:space="preserve"> </w:t>
            </w:r>
            <w:proofErr w:type="spellStart"/>
            <w:r w:rsidRPr="00E06CFD">
              <w:rPr>
                <w:rFonts w:ascii="Times New Roman" w:hAnsi="Times New Roman"/>
                <w:color w:val="000000"/>
                <w:sz w:val="16"/>
                <w:szCs w:val="16"/>
                <w:lang w:val="uk-UA"/>
              </w:rPr>
              <w:t>institution</w:t>
            </w:r>
            <w:proofErr w:type="spellEnd"/>
            <w:r w:rsidRPr="00E06CFD">
              <w:rPr>
                <w:rFonts w:ascii="Times New Roman" w:hAnsi="Times New Roman"/>
                <w:color w:val="000000"/>
                <w:sz w:val="16"/>
                <w:szCs w:val="16"/>
                <w:lang w:val="uk-UA"/>
              </w:rPr>
              <w:t xml:space="preserve"> </w:t>
            </w:r>
            <w:proofErr w:type="spellStart"/>
            <w:r w:rsidRPr="00E06CFD">
              <w:rPr>
                <w:rFonts w:ascii="Times New Roman" w:hAnsi="Times New Roman"/>
                <w:color w:val="000000"/>
                <w:sz w:val="16"/>
                <w:szCs w:val="16"/>
                <w:lang w:val="uk-UA"/>
              </w:rPr>
              <w:t>must</w:t>
            </w:r>
            <w:proofErr w:type="spellEnd"/>
            <w:r w:rsidRPr="00E06CFD">
              <w:rPr>
                <w:rFonts w:ascii="Times New Roman" w:hAnsi="Times New Roman"/>
                <w:color w:val="000000"/>
                <w:sz w:val="16"/>
                <w:szCs w:val="16"/>
                <w:lang w:val="uk-UA"/>
              </w:rPr>
              <w:t xml:space="preserve"> </w:t>
            </w:r>
            <w:proofErr w:type="spellStart"/>
            <w:r w:rsidRPr="00E06CFD">
              <w:rPr>
                <w:rFonts w:ascii="Times New Roman" w:hAnsi="Times New Roman"/>
                <w:color w:val="000000"/>
                <w:sz w:val="16"/>
                <w:szCs w:val="16"/>
                <w:lang w:val="uk-UA"/>
              </w:rPr>
              <w:t>transfer</w:t>
            </w:r>
            <w:proofErr w:type="spellEnd"/>
            <w:r w:rsidRPr="00E06CFD">
              <w:rPr>
                <w:rFonts w:ascii="Times New Roman" w:hAnsi="Times New Roman"/>
                <w:color w:val="000000"/>
                <w:sz w:val="16"/>
                <w:szCs w:val="16"/>
                <w:lang w:val="uk-UA"/>
              </w:rPr>
              <w:t xml:space="preserve"> </w:t>
            </w:r>
            <w:proofErr w:type="spellStart"/>
            <w:r w:rsidRPr="00E06CFD">
              <w:rPr>
                <w:rFonts w:ascii="Times New Roman" w:hAnsi="Times New Roman"/>
                <w:color w:val="000000"/>
                <w:sz w:val="16"/>
                <w:szCs w:val="16"/>
                <w:lang w:val="uk-UA"/>
              </w:rPr>
              <w:t>the</w:t>
            </w:r>
            <w:proofErr w:type="spellEnd"/>
            <w:r w:rsidRPr="00E06CFD">
              <w:rPr>
                <w:rFonts w:ascii="Times New Roman" w:hAnsi="Times New Roman"/>
                <w:color w:val="000000"/>
                <w:sz w:val="16"/>
                <w:szCs w:val="16"/>
                <w:lang w:val="uk-UA"/>
              </w:rPr>
              <w:t xml:space="preserve"> </w:t>
            </w:r>
            <w:proofErr w:type="spellStart"/>
            <w:r w:rsidRPr="00E06CFD">
              <w:rPr>
                <w:rFonts w:ascii="Times New Roman" w:hAnsi="Times New Roman"/>
                <w:color w:val="000000"/>
                <w:sz w:val="16"/>
                <w:szCs w:val="16"/>
                <w:lang w:val="uk-UA"/>
              </w:rPr>
              <w:t>funds</w:t>
            </w:r>
            <w:proofErr w:type="spellEnd"/>
            <w:r w:rsidRPr="00E06CFD">
              <w:rPr>
                <w:rFonts w:ascii="Times New Roman" w:hAnsi="Times New Roman"/>
                <w:color w:val="000000"/>
                <w:sz w:val="16"/>
                <w:szCs w:val="16"/>
                <w:lang w:val="uk-UA"/>
              </w:rPr>
              <w:t xml:space="preserve"> </w:t>
            </w:r>
            <w:proofErr w:type="spellStart"/>
            <w:r w:rsidRPr="00E06CFD">
              <w:rPr>
                <w:rFonts w:ascii="Times New Roman" w:hAnsi="Times New Roman"/>
                <w:color w:val="000000"/>
                <w:sz w:val="16"/>
                <w:szCs w:val="16"/>
                <w:lang w:val="uk-UA"/>
              </w:rPr>
              <w:t>intended</w:t>
            </w:r>
            <w:proofErr w:type="spellEnd"/>
            <w:r w:rsidRPr="00E06CFD">
              <w:rPr>
                <w:rFonts w:ascii="Times New Roman" w:hAnsi="Times New Roman"/>
                <w:color w:val="000000"/>
                <w:sz w:val="16"/>
                <w:szCs w:val="16"/>
                <w:lang w:val="uk-UA"/>
              </w:rPr>
              <w:t xml:space="preserve"> </w:t>
            </w:r>
            <w:proofErr w:type="spellStart"/>
            <w:r w:rsidRPr="00E06CFD">
              <w:rPr>
                <w:rFonts w:ascii="Times New Roman" w:hAnsi="Times New Roman"/>
                <w:color w:val="000000"/>
                <w:sz w:val="16"/>
                <w:szCs w:val="16"/>
                <w:lang w:val="uk-UA"/>
              </w:rPr>
              <w:t>for</w:t>
            </w:r>
            <w:proofErr w:type="spellEnd"/>
            <w:r w:rsidRPr="00E06CFD">
              <w:rPr>
                <w:rFonts w:ascii="Times New Roman" w:hAnsi="Times New Roman"/>
                <w:color w:val="000000"/>
                <w:sz w:val="16"/>
                <w:szCs w:val="16"/>
                <w:lang w:val="uk-UA"/>
              </w:rPr>
              <w:t xml:space="preserve"> </w:t>
            </w:r>
            <w:proofErr w:type="spellStart"/>
            <w:r w:rsidRPr="00E06CFD">
              <w:rPr>
                <w:rFonts w:ascii="Times New Roman" w:hAnsi="Times New Roman"/>
                <w:color w:val="000000"/>
                <w:sz w:val="16"/>
                <w:szCs w:val="16"/>
                <w:lang w:val="uk-UA"/>
              </w:rPr>
              <w:t>payment</w:t>
            </w:r>
            <w:proofErr w:type="spellEnd"/>
            <w:r w:rsidRPr="00E06CFD">
              <w:rPr>
                <w:rFonts w:ascii="Times New Roman" w:hAnsi="Times New Roman"/>
                <w:color w:val="000000"/>
                <w:sz w:val="16"/>
                <w:szCs w:val="16"/>
                <w:lang w:val="uk-UA"/>
              </w:rPr>
              <w:t xml:space="preserve"> </w:t>
            </w:r>
            <w:proofErr w:type="spellStart"/>
            <w:r w:rsidRPr="00E06CFD">
              <w:rPr>
                <w:rFonts w:ascii="Times New Roman" w:hAnsi="Times New Roman"/>
                <w:color w:val="000000"/>
                <w:sz w:val="16"/>
                <w:szCs w:val="16"/>
                <w:lang w:val="uk-UA"/>
              </w:rPr>
              <w:t>on</w:t>
            </w:r>
            <w:proofErr w:type="spellEnd"/>
            <w:r w:rsidRPr="00E06CFD">
              <w:rPr>
                <w:rFonts w:ascii="Times New Roman" w:hAnsi="Times New Roman"/>
                <w:color w:val="000000"/>
                <w:sz w:val="16"/>
                <w:szCs w:val="16"/>
                <w:lang w:val="uk-UA"/>
              </w:rPr>
              <w:t xml:space="preserve"> </w:t>
            </w:r>
            <w:proofErr w:type="spellStart"/>
            <w:r w:rsidRPr="00E06CFD">
              <w:rPr>
                <w:rFonts w:ascii="Times New Roman" w:hAnsi="Times New Roman"/>
                <w:color w:val="000000"/>
                <w:sz w:val="16"/>
                <w:szCs w:val="16"/>
                <w:lang w:val="uk-UA"/>
              </w:rPr>
              <w:t>securities</w:t>
            </w:r>
            <w:proofErr w:type="spellEnd"/>
            <w:r w:rsidRPr="00E06CFD">
              <w:rPr>
                <w:rFonts w:ascii="Times New Roman" w:hAnsi="Times New Roman"/>
                <w:color w:val="000000"/>
                <w:sz w:val="16"/>
                <w:szCs w:val="16"/>
                <w:lang w:val="uk-UA"/>
              </w:rPr>
              <w:t xml:space="preserve">, </w:t>
            </w:r>
            <w:proofErr w:type="spellStart"/>
            <w:r w:rsidRPr="00E06CFD">
              <w:rPr>
                <w:rFonts w:ascii="Times New Roman" w:hAnsi="Times New Roman"/>
                <w:color w:val="000000"/>
                <w:sz w:val="16"/>
                <w:szCs w:val="16"/>
                <w:lang w:val="uk-UA"/>
              </w:rPr>
              <w:t>the</w:t>
            </w:r>
            <w:proofErr w:type="spellEnd"/>
            <w:r w:rsidRPr="00E06CFD">
              <w:rPr>
                <w:rFonts w:ascii="Times New Roman" w:hAnsi="Times New Roman"/>
                <w:color w:val="000000"/>
                <w:sz w:val="16"/>
                <w:szCs w:val="16"/>
                <w:lang w:val="uk-UA"/>
              </w:rPr>
              <w:t xml:space="preserve"> </w:t>
            </w:r>
            <w:proofErr w:type="spellStart"/>
            <w:r w:rsidRPr="00E06CFD">
              <w:rPr>
                <w:rFonts w:ascii="Times New Roman" w:hAnsi="Times New Roman"/>
                <w:color w:val="000000"/>
                <w:sz w:val="16"/>
                <w:szCs w:val="16"/>
                <w:lang w:val="uk-UA"/>
              </w:rPr>
              <w:t>rights</w:t>
            </w:r>
            <w:proofErr w:type="spellEnd"/>
            <w:r w:rsidRPr="00E06CFD">
              <w:rPr>
                <w:rFonts w:ascii="Times New Roman" w:hAnsi="Times New Roman"/>
                <w:color w:val="000000"/>
                <w:sz w:val="16"/>
                <w:szCs w:val="16"/>
                <w:lang w:val="uk-UA"/>
              </w:rPr>
              <w:t xml:space="preserve"> </w:t>
            </w:r>
            <w:proofErr w:type="spellStart"/>
            <w:r w:rsidRPr="00E06CFD">
              <w:rPr>
                <w:rFonts w:ascii="Times New Roman" w:hAnsi="Times New Roman"/>
                <w:color w:val="000000"/>
                <w:sz w:val="16"/>
                <w:szCs w:val="16"/>
                <w:lang w:val="uk-UA"/>
              </w:rPr>
              <w:t>to</w:t>
            </w:r>
            <w:proofErr w:type="spellEnd"/>
            <w:r w:rsidRPr="00E06CFD">
              <w:rPr>
                <w:rFonts w:ascii="Times New Roman" w:hAnsi="Times New Roman"/>
                <w:color w:val="000000"/>
                <w:sz w:val="16"/>
                <w:szCs w:val="16"/>
                <w:lang w:val="uk-UA"/>
              </w:rPr>
              <w:t xml:space="preserve"> </w:t>
            </w:r>
            <w:proofErr w:type="spellStart"/>
            <w:r w:rsidRPr="00E06CFD">
              <w:rPr>
                <w:rFonts w:ascii="Times New Roman" w:hAnsi="Times New Roman"/>
                <w:color w:val="000000"/>
                <w:sz w:val="16"/>
                <w:szCs w:val="16"/>
                <w:lang w:val="uk-UA"/>
              </w:rPr>
              <w:t>which</w:t>
            </w:r>
            <w:proofErr w:type="spellEnd"/>
            <w:r w:rsidRPr="00E06CFD">
              <w:rPr>
                <w:rFonts w:ascii="Times New Roman" w:hAnsi="Times New Roman"/>
                <w:color w:val="000000"/>
                <w:sz w:val="16"/>
                <w:szCs w:val="16"/>
                <w:lang w:val="uk-UA"/>
              </w:rPr>
              <w:t xml:space="preserve"> </w:t>
            </w:r>
            <w:proofErr w:type="spellStart"/>
            <w:r w:rsidRPr="00E06CFD">
              <w:rPr>
                <w:rFonts w:ascii="Times New Roman" w:hAnsi="Times New Roman"/>
                <w:color w:val="000000"/>
                <w:sz w:val="16"/>
                <w:szCs w:val="16"/>
                <w:lang w:val="uk-UA"/>
              </w:rPr>
              <w:t>were</w:t>
            </w:r>
            <w:proofErr w:type="spellEnd"/>
            <w:r w:rsidRPr="00E06CFD">
              <w:rPr>
                <w:rFonts w:ascii="Times New Roman" w:hAnsi="Times New Roman"/>
                <w:color w:val="000000"/>
                <w:sz w:val="16"/>
                <w:szCs w:val="16"/>
                <w:lang w:val="uk-UA"/>
              </w:rPr>
              <w:t xml:space="preserve"> </w:t>
            </w:r>
            <w:proofErr w:type="spellStart"/>
            <w:r w:rsidRPr="00E06CFD">
              <w:rPr>
                <w:rFonts w:ascii="Times New Roman" w:hAnsi="Times New Roman"/>
                <w:color w:val="000000"/>
                <w:sz w:val="16"/>
                <w:szCs w:val="16"/>
                <w:lang w:val="uk-UA"/>
              </w:rPr>
              <w:t>registered</w:t>
            </w:r>
            <w:proofErr w:type="spellEnd"/>
            <w:r w:rsidRPr="00E06CFD">
              <w:rPr>
                <w:rFonts w:ascii="Times New Roman" w:hAnsi="Times New Roman"/>
                <w:color w:val="000000"/>
                <w:sz w:val="16"/>
                <w:szCs w:val="16"/>
                <w:lang w:val="uk-UA"/>
              </w:rPr>
              <w:t xml:space="preserve"> </w:t>
            </w:r>
            <w:proofErr w:type="spellStart"/>
            <w:r w:rsidRPr="00E06CFD">
              <w:rPr>
                <w:rFonts w:ascii="Times New Roman" w:hAnsi="Times New Roman"/>
                <w:color w:val="000000"/>
                <w:sz w:val="16"/>
                <w:szCs w:val="16"/>
                <w:lang w:val="uk-UA"/>
              </w:rPr>
              <w:t>in</w:t>
            </w:r>
            <w:proofErr w:type="spellEnd"/>
            <w:r w:rsidRPr="00E06CFD">
              <w:rPr>
                <w:rFonts w:ascii="Times New Roman" w:hAnsi="Times New Roman"/>
                <w:color w:val="000000"/>
                <w:sz w:val="16"/>
                <w:szCs w:val="16"/>
                <w:lang w:val="uk-UA"/>
              </w:rPr>
              <w:t xml:space="preserve"> </w:t>
            </w:r>
            <w:proofErr w:type="spellStart"/>
            <w:r w:rsidRPr="00E06CFD">
              <w:rPr>
                <w:rFonts w:ascii="Times New Roman" w:hAnsi="Times New Roman"/>
                <w:color w:val="000000"/>
                <w:sz w:val="16"/>
                <w:szCs w:val="16"/>
                <w:lang w:val="uk-UA"/>
              </w:rPr>
              <w:t>it</w:t>
            </w:r>
            <w:proofErr w:type="spellEnd"/>
            <w:r w:rsidRPr="00E06CFD">
              <w:rPr>
                <w:rFonts w:ascii="Times New Roman" w:hAnsi="Times New Roman"/>
                <w:color w:val="000000"/>
                <w:sz w:val="16"/>
                <w:szCs w:val="16"/>
                <w:lang w:val="uk-UA"/>
              </w:rPr>
              <w:t xml:space="preserve">, </w:t>
            </w:r>
            <w:proofErr w:type="spellStart"/>
            <w:r w:rsidRPr="00E06CFD">
              <w:rPr>
                <w:rFonts w:ascii="Times New Roman" w:hAnsi="Times New Roman"/>
                <w:color w:val="000000"/>
                <w:sz w:val="16"/>
                <w:szCs w:val="16"/>
                <w:lang w:val="uk-UA"/>
              </w:rPr>
              <w:t>but</w:t>
            </w:r>
            <w:proofErr w:type="spellEnd"/>
            <w:r w:rsidRPr="00E06CFD">
              <w:rPr>
                <w:rFonts w:ascii="Times New Roman" w:hAnsi="Times New Roman"/>
                <w:color w:val="000000"/>
                <w:sz w:val="16"/>
                <w:szCs w:val="16"/>
                <w:lang w:val="uk-UA"/>
              </w:rPr>
              <w:t xml:space="preserve"> </w:t>
            </w:r>
            <w:proofErr w:type="spellStart"/>
            <w:r w:rsidRPr="00E06CFD">
              <w:rPr>
                <w:rFonts w:ascii="Times New Roman" w:hAnsi="Times New Roman"/>
                <w:color w:val="000000"/>
                <w:sz w:val="16"/>
                <w:szCs w:val="16"/>
                <w:lang w:val="uk-UA"/>
              </w:rPr>
              <w:t>were</w:t>
            </w:r>
            <w:proofErr w:type="spellEnd"/>
            <w:r w:rsidRPr="00E06CFD">
              <w:rPr>
                <w:rFonts w:ascii="Times New Roman" w:hAnsi="Times New Roman"/>
                <w:color w:val="000000"/>
                <w:sz w:val="16"/>
                <w:szCs w:val="16"/>
                <w:lang w:val="uk-UA"/>
              </w:rPr>
              <w:t xml:space="preserve"> </w:t>
            </w:r>
            <w:proofErr w:type="spellStart"/>
            <w:r w:rsidRPr="00E06CFD">
              <w:rPr>
                <w:rFonts w:ascii="Times New Roman" w:hAnsi="Times New Roman"/>
                <w:color w:val="000000"/>
                <w:sz w:val="16"/>
                <w:szCs w:val="16"/>
                <w:lang w:val="uk-UA"/>
              </w:rPr>
              <w:t>not</w:t>
            </w:r>
            <w:proofErr w:type="spellEnd"/>
            <w:r w:rsidRPr="00E06CFD">
              <w:rPr>
                <w:rFonts w:ascii="Times New Roman" w:hAnsi="Times New Roman"/>
                <w:color w:val="000000"/>
                <w:sz w:val="16"/>
                <w:szCs w:val="16"/>
                <w:lang w:val="uk-UA"/>
              </w:rPr>
              <w:t xml:space="preserve"> </w:t>
            </w:r>
            <w:proofErr w:type="spellStart"/>
            <w:r w:rsidRPr="00E06CFD">
              <w:rPr>
                <w:rFonts w:ascii="Times New Roman" w:hAnsi="Times New Roman"/>
                <w:color w:val="000000"/>
                <w:sz w:val="16"/>
                <w:szCs w:val="16"/>
                <w:lang w:val="uk-UA"/>
              </w:rPr>
              <w:t>paid</w:t>
            </w:r>
            <w:proofErr w:type="spellEnd"/>
            <w:r w:rsidRPr="00E06CFD">
              <w:rPr>
                <w:rFonts w:ascii="Times New Roman" w:hAnsi="Times New Roman"/>
                <w:color w:val="000000"/>
                <w:sz w:val="16"/>
                <w:szCs w:val="16"/>
                <w:lang w:val="uk-UA"/>
              </w:rPr>
              <w:t xml:space="preserve"> </w:t>
            </w:r>
            <w:proofErr w:type="spellStart"/>
            <w:r w:rsidRPr="00E06CFD">
              <w:rPr>
                <w:rFonts w:ascii="Times New Roman" w:hAnsi="Times New Roman"/>
                <w:color w:val="000000"/>
                <w:sz w:val="16"/>
                <w:szCs w:val="16"/>
                <w:lang w:val="uk-UA"/>
              </w:rPr>
              <w:t>by</w:t>
            </w:r>
            <w:proofErr w:type="spellEnd"/>
            <w:r w:rsidRPr="00E06CFD">
              <w:rPr>
                <w:rFonts w:ascii="Times New Roman" w:hAnsi="Times New Roman"/>
                <w:color w:val="000000"/>
                <w:sz w:val="16"/>
                <w:szCs w:val="16"/>
                <w:lang w:val="uk-UA"/>
              </w:rPr>
              <w:t xml:space="preserve"> </w:t>
            </w:r>
            <w:proofErr w:type="spellStart"/>
            <w:r w:rsidRPr="00E06CFD">
              <w:rPr>
                <w:rFonts w:ascii="Times New Roman" w:hAnsi="Times New Roman"/>
                <w:color w:val="000000"/>
                <w:sz w:val="16"/>
                <w:szCs w:val="16"/>
                <w:lang w:val="uk-UA"/>
              </w:rPr>
              <w:t>it</w:t>
            </w:r>
            <w:proofErr w:type="spellEnd"/>
            <w:r w:rsidRPr="00E06CFD">
              <w:rPr>
                <w:rFonts w:ascii="Times New Roman" w:hAnsi="Times New Roman"/>
                <w:color w:val="000000"/>
                <w:sz w:val="16"/>
                <w:szCs w:val="16"/>
                <w:lang w:val="uk-UA"/>
              </w:rPr>
              <w:t xml:space="preserve"> </w:t>
            </w:r>
            <w:proofErr w:type="spellStart"/>
            <w:r w:rsidRPr="00E06CFD">
              <w:rPr>
                <w:rFonts w:ascii="Times New Roman" w:hAnsi="Times New Roman"/>
                <w:color w:val="000000"/>
                <w:sz w:val="16"/>
                <w:szCs w:val="16"/>
                <w:lang w:val="uk-UA"/>
              </w:rPr>
              <w:t>to</w:t>
            </w:r>
            <w:proofErr w:type="spellEnd"/>
            <w:r w:rsidRPr="00E06CFD">
              <w:rPr>
                <w:rFonts w:ascii="Times New Roman" w:hAnsi="Times New Roman"/>
                <w:color w:val="000000"/>
                <w:sz w:val="16"/>
                <w:szCs w:val="16"/>
                <w:lang w:val="uk-UA"/>
              </w:rPr>
              <w:t xml:space="preserve"> </w:t>
            </w:r>
            <w:proofErr w:type="spellStart"/>
            <w:r w:rsidRPr="00E06CFD">
              <w:rPr>
                <w:rFonts w:ascii="Times New Roman" w:hAnsi="Times New Roman"/>
                <w:color w:val="000000"/>
                <w:sz w:val="16"/>
                <w:szCs w:val="16"/>
                <w:lang w:val="uk-UA"/>
              </w:rPr>
              <w:t>the</w:t>
            </w:r>
            <w:proofErr w:type="spellEnd"/>
            <w:r w:rsidRPr="00E06CFD">
              <w:rPr>
                <w:rFonts w:ascii="Times New Roman" w:hAnsi="Times New Roman"/>
                <w:color w:val="000000"/>
                <w:sz w:val="16"/>
                <w:szCs w:val="16"/>
                <w:lang w:val="uk-UA"/>
              </w:rPr>
              <w:t xml:space="preserve"> </w:t>
            </w:r>
            <w:proofErr w:type="spellStart"/>
            <w:r w:rsidRPr="00E06CFD">
              <w:rPr>
                <w:rFonts w:ascii="Times New Roman" w:hAnsi="Times New Roman"/>
                <w:color w:val="000000"/>
                <w:sz w:val="16"/>
                <w:szCs w:val="16"/>
                <w:lang w:val="uk-UA"/>
              </w:rPr>
              <w:t>persons</w:t>
            </w:r>
            <w:proofErr w:type="spellEnd"/>
            <w:r w:rsidRPr="00E06CFD">
              <w:rPr>
                <w:rFonts w:ascii="Times New Roman" w:hAnsi="Times New Roman"/>
                <w:color w:val="000000"/>
                <w:sz w:val="16"/>
                <w:szCs w:val="16"/>
                <w:lang w:val="uk-UA"/>
              </w:rPr>
              <w:t xml:space="preserve"> </w:t>
            </w:r>
            <w:proofErr w:type="spellStart"/>
            <w:r w:rsidRPr="00E06CFD">
              <w:rPr>
                <w:rFonts w:ascii="Times New Roman" w:hAnsi="Times New Roman"/>
                <w:color w:val="000000"/>
                <w:sz w:val="16"/>
                <w:szCs w:val="16"/>
                <w:lang w:val="uk-UA"/>
              </w:rPr>
              <w:t>entitled</w:t>
            </w:r>
            <w:proofErr w:type="spellEnd"/>
            <w:r w:rsidRPr="00E06CFD">
              <w:rPr>
                <w:rFonts w:ascii="Times New Roman" w:hAnsi="Times New Roman"/>
                <w:color w:val="000000"/>
                <w:sz w:val="16"/>
                <w:szCs w:val="16"/>
                <w:lang w:val="uk-UA"/>
              </w:rPr>
              <w:t xml:space="preserve"> </w:t>
            </w:r>
            <w:proofErr w:type="spellStart"/>
            <w:r w:rsidRPr="00E06CFD">
              <w:rPr>
                <w:rFonts w:ascii="Times New Roman" w:hAnsi="Times New Roman"/>
                <w:color w:val="000000"/>
                <w:sz w:val="16"/>
                <w:szCs w:val="16"/>
                <w:lang w:val="uk-UA"/>
              </w:rPr>
              <w:t>to</w:t>
            </w:r>
            <w:proofErr w:type="spellEnd"/>
            <w:r w:rsidRPr="00E06CFD">
              <w:rPr>
                <w:rFonts w:ascii="Times New Roman" w:hAnsi="Times New Roman"/>
                <w:color w:val="000000"/>
                <w:sz w:val="16"/>
                <w:szCs w:val="16"/>
                <w:lang w:val="uk-UA"/>
              </w:rPr>
              <w:t xml:space="preserve"> </w:t>
            </w:r>
            <w:proofErr w:type="spellStart"/>
            <w:r w:rsidRPr="00E06CFD">
              <w:rPr>
                <w:rFonts w:ascii="Times New Roman" w:hAnsi="Times New Roman"/>
                <w:color w:val="000000"/>
                <w:sz w:val="16"/>
                <w:szCs w:val="16"/>
                <w:lang w:val="uk-UA"/>
              </w:rPr>
              <w:t>receive</w:t>
            </w:r>
            <w:proofErr w:type="spellEnd"/>
            <w:r w:rsidRPr="00E06CFD">
              <w:rPr>
                <w:rFonts w:ascii="Times New Roman" w:hAnsi="Times New Roman"/>
                <w:color w:val="000000"/>
                <w:sz w:val="16"/>
                <w:szCs w:val="16"/>
                <w:lang w:val="uk-UA"/>
              </w:rPr>
              <w:t xml:space="preserve"> </w:t>
            </w:r>
            <w:proofErr w:type="spellStart"/>
            <w:r w:rsidRPr="00E06CFD">
              <w:rPr>
                <w:rFonts w:ascii="Times New Roman" w:hAnsi="Times New Roman"/>
                <w:color w:val="000000"/>
                <w:sz w:val="16"/>
                <w:szCs w:val="16"/>
                <w:lang w:val="uk-UA"/>
              </w:rPr>
              <w:t>them</w:t>
            </w:r>
            <w:proofErr w:type="spellEnd"/>
            <w:r w:rsidRPr="00E06CFD">
              <w:rPr>
                <w:rFonts w:ascii="Times New Roman" w:hAnsi="Times New Roman"/>
                <w:color w:val="000000"/>
                <w:sz w:val="16"/>
                <w:szCs w:val="16"/>
                <w:lang w:val="uk-UA"/>
              </w:rPr>
              <w:t xml:space="preserve">, </w:t>
            </w:r>
            <w:proofErr w:type="spellStart"/>
            <w:r w:rsidRPr="00E06CFD">
              <w:rPr>
                <w:rFonts w:ascii="Times New Roman" w:hAnsi="Times New Roman"/>
                <w:color w:val="000000"/>
                <w:sz w:val="16"/>
                <w:szCs w:val="16"/>
                <w:lang w:val="uk-UA"/>
              </w:rPr>
              <w:t>in</w:t>
            </w:r>
            <w:proofErr w:type="spellEnd"/>
            <w:r w:rsidRPr="00E06CFD">
              <w:rPr>
                <w:rFonts w:ascii="Times New Roman" w:hAnsi="Times New Roman"/>
                <w:color w:val="000000"/>
                <w:sz w:val="16"/>
                <w:szCs w:val="16"/>
                <w:lang w:val="uk-UA"/>
              </w:rPr>
              <w:t xml:space="preserve"> </w:t>
            </w:r>
            <w:proofErr w:type="spellStart"/>
            <w:r w:rsidRPr="00E06CFD">
              <w:rPr>
                <w:rFonts w:ascii="Times New Roman" w:hAnsi="Times New Roman"/>
                <w:color w:val="000000"/>
                <w:sz w:val="16"/>
                <w:szCs w:val="16"/>
                <w:lang w:val="uk-UA"/>
              </w:rPr>
              <w:t>the</w:t>
            </w:r>
            <w:proofErr w:type="spellEnd"/>
            <w:r w:rsidRPr="00E06CFD">
              <w:rPr>
                <w:rFonts w:ascii="Times New Roman" w:hAnsi="Times New Roman"/>
                <w:color w:val="000000"/>
                <w:sz w:val="16"/>
                <w:szCs w:val="16"/>
                <w:lang w:val="uk-UA"/>
              </w:rPr>
              <w:t xml:space="preserve"> </w:t>
            </w:r>
            <w:proofErr w:type="spellStart"/>
            <w:r w:rsidRPr="00E06CFD">
              <w:rPr>
                <w:rFonts w:ascii="Times New Roman" w:hAnsi="Times New Roman"/>
                <w:color w:val="000000"/>
                <w:sz w:val="16"/>
                <w:szCs w:val="16"/>
                <w:lang w:val="uk-UA"/>
              </w:rPr>
              <w:t>manner</w:t>
            </w:r>
            <w:proofErr w:type="spellEnd"/>
            <w:r w:rsidRPr="00E06CFD">
              <w:rPr>
                <w:rFonts w:ascii="Times New Roman" w:hAnsi="Times New Roman"/>
                <w:color w:val="000000"/>
                <w:sz w:val="16"/>
                <w:szCs w:val="16"/>
                <w:lang w:val="uk-UA"/>
              </w:rPr>
              <w:t xml:space="preserve"> </w:t>
            </w:r>
            <w:proofErr w:type="spellStart"/>
            <w:r w:rsidRPr="00E06CFD">
              <w:rPr>
                <w:rFonts w:ascii="Times New Roman" w:hAnsi="Times New Roman"/>
                <w:color w:val="000000"/>
                <w:sz w:val="16"/>
                <w:szCs w:val="16"/>
                <w:lang w:val="uk-UA"/>
              </w:rPr>
              <w:t>prescribed</w:t>
            </w:r>
            <w:proofErr w:type="spellEnd"/>
            <w:r w:rsidRPr="00E06CFD">
              <w:rPr>
                <w:rFonts w:ascii="Times New Roman" w:hAnsi="Times New Roman"/>
                <w:color w:val="000000"/>
                <w:sz w:val="16"/>
                <w:szCs w:val="16"/>
                <w:lang w:val="uk-UA"/>
              </w:rPr>
              <w:t xml:space="preserve"> </w:t>
            </w:r>
            <w:proofErr w:type="spellStart"/>
            <w:r w:rsidRPr="00E06CFD">
              <w:rPr>
                <w:rFonts w:ascii="Times New Roman" w:hAnsi="Times New Roman"/>
                <w:color w:val="000000"/>
                <w:sz w:val="16"/>
                <w:szCs w:val="16"/>
                <w:lang w:val="uk-UA"/>
              </w:rPr>
              <w:t>by</w:t>
            </w:r>
            <w:proofErr w:type="spellEnd"/>
            <w:r w:rsidRPr="00E06CFD">
              <w:rPr>
                <w:rFonts w:ascii="Times New Roman" w:hAnsi="Times New Roman"/>
                <w:color w:val="000000"/>
                <w:sz w:val="16"/>
                <w:szCs w:val="16"/>
                <w:lang w:val="uk-UA"/>
              </w:rPr>
              <w:t xml:space="preserve"> </w:t>
            </w:r>
            <w:proofErr w:type="spellStart"/>
            <w:r w:rsidRPr="00E06CFD">
              <w:rPr>
                <w:rFonts w:ascii="Times New Roman" w:hAnsi="Times New Roman"/>
                <w:color w:val="000000"/>
                <w:sz w:val="16"/>
                <w:szCs w:val="16"/>
                <w:lang w:val="uk-UA"/>
              </w:rPr>
              <w:t>law</w:t>
            </w:r>
            <w:proofErr w:type="spellEnd"/>
            <w:r w:rsidRPr="00E06CFD">
              <w:rPr>
                <w:rFonts w:ascii="Times New Roman" w:hAnsi="Times New Roman"/>
                <w:color w:val="000000"/>
                <w:sz w:val="16"/>
                <w:szCs w:val="16"/>
                <w:lang w:val="uk-UA"/>
              </w:rPr>
              <w:t xml:space="preserve"> </w:t>
            </w:r>
            <w:proofErr w:type="spellStart"/>
            <w:r w:rsidRPr="00E06CFD">
              <w:rPr>
                <w:rFonts w:ascii="Times New Roman" w:hAnsi="Times New Roman"/>
                <w:color w:val="000000"/>
                <w:sz w:val="16"/>
                <w:szCs w:val="16"/>
                <w:lang w:val="uk-UA"/>
              </w:rPr>
              <w:t>to</w:t>
            </w:r>
            <w:proofErr w:type="spellEnd"/>
            <w:r w:rsidRPr="00E06CFD">
              <w:rPr>
                <w:rFonts w:ascii="Times New Roman" w:hAnsi="Times New Roman"/>
                <w:color w:val="000000"/>
                <w:sz w:val="16"/>
                <w:szCs w:val="16"/>
                <w:lang w:val="uk-UA"/>
              </w:rPr>
              <w:t xml:space="preserve"> </w:t>
            </w:r>
            <w:proofErr w:type="spellStart"/>
            <w:r w:rsidRPr="00E06CFD">
              <w:rPr>
                <w:rFonts w:ascii="Times New Roman" w:hAnsi="Times New Roman"/>
                <w:color w:val="000000"/>
                <w:sz w:val="16"/>
                <w:szCs w:val="16"/>
                <w:lang w:val="uk-UA"/>
              </w:rPr>
              <w:t>the</w:t>
            </w:r>
            <w:proofErr w:type="spellEnd"/>
            <w:r w:rsidRPr="00E06CFD">
              <w:rPr>
                <w:rFonts w:ascii="Times New Roman" w:hAnsi="Times New Roman"/>
                <w:color w:val="000000"/>
                <w:sz w:val="16"/>
                <w:szCs w:val="16"/>
                <w:lang w:val="uk-UA"/>
              </w:rPr>
              <w:t xml:space="preserve"> </w:t>
            </w:r>
            <w:proofErr w:type="spellStart"/>
            <w:r w:rsidRPr="00E06CFD">
              <w:rPr>
                <w:rFonts w:ascii="Times New Roman" w:hAnsi="Times New Roman"/>
                <w:color w:val="000000"/>
                <w:sz w:val="16"/>
                <w:szCs w:val="16"/>
                <w:lang w:val="uk-UA"/>
              </w:rPr>
              <w:t>money</w:t>
            </w:r>
            <w:proofErr w:type="spellEnd"/>
            <w:r w:rsidRPr="00E06CFD">
              <w:rPr>
                <w:rFonts w:ascii="Times New Roman" w:hAnsi="Times New Roman"/>
                <w:color w:val="000000"/>
                <w:sz w:val="16"/>
                <w:szCs w:val="16"/>
                <w:lang w:val="uk-UA"/>
              </w:rPr>
              <w:t xml:space="preserve"> </w:t>
            </w:r>
            <w:proofErr w:type="spellStart"/>
            <w:r w:rsidRPr="00E06CFD">
              <w:rPr>
                <w:rFonts w:ascii="Times New Roman" w:hAnsi="Times New Roman"/>
                <w:color w:val="000000"/>
                <w:sz w:val="16"/>
                <w:szCs w:val="16"/>
                <w:lang w:val="uk-UA"/>
              </w:rPr>
              <w:t>account</w:t>
            </w:r>
            <w:proofErr w:type="spellEnd"/>
            <w:r w:rsidRPr="00E06CFD">
              <w:rPr>
                <w:rFonts w:ascii="Times New Roman" w:hAnsi="Times New Roman"/>
                <w:color w:val="000000"/>
                <w:sz w:val="16"/>
                <w:szCs w:val="16"/>
                <w:lang w:val="uk-UA"/>
              </w:rPr>
              <w:t xml:space="preserve"> </w:t>
            </w:r>
            <w:proofErr w:type="spellStart"/>
            <w:r w:rsidRPr="00E06CFD">
              <w:rPr>
                <w:rFonts w:ascii="Times New Roman" w:hAnsi="Times New Roman"/>
                <w:color w:val="000000"/>
                <w:sz w:val="16"/>
                <w:szCs w:val="16"/>
                <w:lang w:val="uk-UA"/>
              </w:rPr>
              <w:t>of</w:t>
            </w:r>
            <w:proofErr w:type="spellEnd"/>
            <w:r w:rsidRPr="00E06CFD">
              <w:rPr>
                <w:rFonts w:ascii="Times New Roman" w:hAnsi="Times New Roman"/>
                <w:color w:val="000000"/>
                <w:sz w:val="16"/>
                <w:szCs w:val="16"/>
                <w:lang w:val="uk-UA"/>
              </w:rPr>
              <w:t xml:space="preserve"> </w:t>
            </w:r>
            <w:proofErr w:type="spellStart"/>
            <w:r w:rsidRPr="00E06CFD">
              <w:rPr>
                <w:rFonts w:ascii="Times New Roman" w:hAnsi="Times New Roman"/>
                <w:color w:val="000000"/>
                <w:sz w:val="16"/>
                <w:szCs w:val="16"/>
                <w:lang w:val="uk-UA"/>
              </w:rPr>
              <w:t>the</w:t>
            </w:r>
            <w:proofErr w:type="spellEnd"/>
            <w:r w:rsidRPr="00E06CFD">
              <w:rPr>
                <w:rFonts w:ascii="Times New Roman" w:hAnsi="Times New Roman"/>
                <w:color w:val="000000"/>
                <w:sz w:val="16"/>
                <w:szCs w:val="16"/>
                <w:lang w:val="uk-UA"/>
              </w:rPr>
              <w:t xml:space="preserve"> </w:t>
            </w:r>
            <w:proofErr w:type="spellStart"/>
            <w:r w:rsidRPr="00E06CFD">
              <w:rPr>
                <w:rFonts w:ascii="Times New Roman" w:hAnsi="Times New Roman"/>
                <w:color w:val="000000"/>
                <w:sz w:val="16"/>
                <w:szCs w:val="16"/>
                <w:lang w:val="uk-UA"/>
              </w:rPr>
              <w:t>Central</w:t>
            </w:r>
            <w:proofErr w:type="spellEnd"/>
            <w:r w:rsidRPr="00E06CFD">
              <w:rPr>
                <w:rFonts w:ascii="Times New Roman" w:hAnsi="Times New Roman"/>
                <w:color w:val="000000"/>
                <w:sz w:val="16"/>
                <w:szCs w:val="16"/>
                <w:lang w:val="uk-UA"/>
              </w:rPr>
              <w:t xml:space="preserve"> </w:t>
            </w:r>
            <w:proofErr w:type="spellStart"/>
            <w:r w:rsidRPr="00E06CFD">
              <w:rPr>
                <w:rFonts w:ascii="Times New Roman" w:hAnsi="Times New Roman"/>
                <w:color w:val="000000"/>
                <w:sz w:val="16"/>
                <w:szCs w:val="16"/>
                <w:lang w:val="uk-UA"/>
              </w:rPr>
              <w:t>Depository</w:t>
            </w:r>
            <w:proofErr w:type="spellEnd"/>
            <w:r w:rsidRPr="00E06CFD">
              <w:rPr>
                <w:rFonts w:ascii="Times New Roman" w:hAnsi="Times New Roman"/>
                <w:color w:val="000000"/>
                <w:sz w:val="16"/>
                <w:szCs w:val="16"/>
                <w:lang w:val="uk-UA"/>
              </w:rPr>
              <w:t xml:space="preserve"> </w:t>
            </w:r>
            <w:proofErr w:type="spellStart"/>
            <w:r w:rsidRPr="00E06CFD">
              <w:rPr>
                <w:rFonts w:ascii="Times New Roman" w:hAnsi="Times New Roman"/>
                <w:color w:val="000000"/>
                <w:sz w:val="16"/>
                <w:szCs w:val="16"/>
                <w:lang w:val="uk-UA"/>
              </w:rPr>
              <w:t>in</w:t>
            </w:r>
            <w:proofErr w:type="spellEnd"/>
            <w:r w:rsidRPr="00E06CFD">
              <w:rPr>
                <w:rFonts w:ascii="Times New Roman" w:hAnsi="Times New Roman"/>
                <w:color w:val="000000"/>
                <w:sz w:val="16"/>
                <w:szCs w:val="16"/>
                <w:lang w:val="uk-UA"/>
              </w:rPr>
              <w:t xml:space="preserve"> </w:t>
            </w:r>
            <w:proofErr w:type="spellStart"/>
            <w:r w:rsidRPr="00E06CFD">
              <w:rPr>
                <w:rFonts w:ascii="Times New Roman" w:hAnsi="Times New Roman"/>
                <w:color w:val="000000"/>
                <w:sz w:val="16"/>
                <w:szCs w:val="16"/>
                <w:lang w:val="uk-UA"/>
              </w:rPr>
              <w:t>the</w:t>
            </w:r>
            <w:proofErr w:type="spellEnd"/>
            <w:r w:rsidRPr="00E06CFD">
              <w:rPr>
                <w:rFonts w:ascii="Times New Roman" w:hAnsi="Times New Roman"/>
                <w:color w:val="000000"/>
                <w:sz w:val="16"/>
                <w:szCs w:val="16"/>
                <w:lang w:val="uk-UA"/>
              </w:rPr>
              <w:t xml:space="preserve"> </w:t>
            </w:r>
            <w:proofErr w:type="spellStart"/>
            <w:r w:rsidRPr="00E06CFD">
              <w:rPr>
                <w:rFonts w:ascii="Times New Roman" w:hAnsi="Times New Roman"/>
                <w:color w:val="000000"/>
                <w:sz w:val="16"/>
                <w:szCs w:val="16"/>
                <w:lang w:val="uk-UA"/>
              </w:rPr>
              <w:t>Settlement</w:t>
            </w:r>
            <w:proofErr w:type="spellEnd"/>
            <w:r w:rsidRPr="00E06CFD">
              <w:rPr>
                <w:rFonts w:ascii="Times New Roman" w:hAnsi="Times New Roman"/>
                <w:color w:val="000000"/>
                <w:sz w:val="16"/>
                <w:szCs w:val="16"/>
                <w:lang w:val="uk-UA"/>
              </w:rPr>
              <w:t xml:space="preserve"> </w:t>
            </w:r>
            <w:proofErr w:type="spellStart"/>
            <w:r w:rsidRPr="00E06CFD">
              <w:rPr>
                <w:rFonts w:ascii="Times New Roman" w:hAnsi="Times New Roman"/>
                <w:color w:val="000000"/>
                <w:sz w:val="16"/>
                <w:szCs w:val="16"/>
                <w:lang w:val="uk-UA"/>
              </w:rPr>
              <w:t>Center</w:t>
            </w:r>
            <w:proofErr w:type="spellEnd"/>
            <w:r w:rsidRPr="00E06CFD">
              <w:rPr>
                <w:rFonts w:ascii="Times New Roman" w:hAnsi="Times New Roman"/>
                <w:color w:val="000000"/>
                <w:sz w:val="16"/>
                <w:szCs w:val="16"/>
                <w:lang w:val="uk-UA"/>
              </w:rPr>
              <w:t xml:space="preserve">. </w:t>
            </w:r>
            <w:proofErr w:type="spellStart"/>
            <w:r w:rsidRPr="00E06CFD">
              <w:rPr>
                <w:rFonts w:ascii="Times New Roman" w:hAnsi="Times New Roman"/>
                <w:color w:val="000000"/>
                <w:sz w:val="16"/>
                <w:szCs w:val="16"/>
                <w:lang w:val="uk-UA"/>
              </w:rPr>
              <w:t>The</w:t>
            </w:r>
            <w:proofErr w:type="spellEnd"/>
            <w:r w:rsidRPr="00E06CFD">
              <w:rPr>
                <w:rFonts w:ascii="Times New Roman" w:hAnsi="Times New Roman"/>
                <w:color w:val="000000"/>
                <w:sz w:val="16"/>
                <w:szCs w:val="16"/>
                <w:lang w:val="uk-UA"/>
              </w:rPr>
              <w:t xml:space="preserve"> </w:t>
            </w:r>
            <w:proofErr w:type="spellStart"/>
            <w:r w:rsidRPr="00E06CFD">
              <w:rPr>
                <w:rFonts w:ascii="Times New Roman" w:hAnsi="Times New Roman"/>
                <w:color w:val="000000"/>
                <w:sz w:val="16"/>
                <w:szCs w:val="16"/>
                <w:lang w:val="uk-UA"/>
              </w:rPr>
              <w:t>Central</w:t>
            </w:r>
            <w:proofErr w:type="spellEnd"/>
            <w:r w:rsidRPr="00E06CFD">
              <w:rPr>
                <w:rFonts w:ascii="Times New Roman" w:hAnsi="Times New Roman"/>
                <w:color w:val="000000"/>
                <w:sz w:val="16"/>
                <w:szCs w:val="16"/>
                <w:lang w:val="uk-UA"/>
              </w:rPr>
              <w:t xml:space="preserve"> </w:t>
            </w:r>
            <w:proofErr w:type="spellStart"/>
            <w:r w:rsidRPr="00E06CFD">
              <w:rPr>
                <w:rFonts w:ascii="Times New Roman" w:hAnsi="Times New Roman"/>
                <w:color w:val="000000"/>
                <w:sz w:val="16"/>
                <w:szCs w:val="16"/>
                <w:lang w:val="uk-UA"/>
              </w:rPr>
              <w:t>Depository</w:t>
            </w:r>
            <w:proofErr w:type="spellEnd"/>
            <w:r w:rsidRPr="00E06CFD">
              <w:rPr>
                <w:rFonts w:ascii="Times New Roman" w:hAnsi="Times New Roman"/>
                <w:color w:val="000000"/>
                <w:sz w:val="16"/>
                <w:szCs w:val="16"/>
                <w:lang w:val="uk-UA"/>
              </w:rPr>
              <w:t xml:space="preserve"> </w:t>
            </w:r>
            <w:proofErr w:type="spellStart"/>
            <w:r w:rsidRPr="00E06CFD">
              <w:rPr>
                <w:rFonts w:ascii="Times New Roman" w:hAnsi="Times New Roman"/>
                <w:color w:val="000000"/>
                <w:sz w:val="16"/>
                <w:szCs w:val="16"/>
                <w:lang w:val="uk-UA"/>
              </w:rPr>
              <w:t>shall</w:t>
            </w:r>
            <w:proofErr w:type="spellEnd"/>
            <w:r w:rsidRPr="00E06CFD">
              <w:rPr>
                <w:rFonts w:ascii="Times New Roman" w:hAnsi="Times New Roman"/>
                <w:color w:val="000000"/>
                <w:sz w:val="16"/>
                <w:szCs w:val="16"/>
                <w:lang w:val="uk-UA"/>
              </w:rPr>
              <w:t xml:space="preserve"> </w:t>
            </w:r>
            <w:proofErr w:type="spellStart"/>
            <w:r w:rsidRPr="00E06CFD">
              <w:rPr>
                <w:rFonts w:ascii="Times New Roman" w:hAnsi="Times New Roman"/>
                <w:color w:val="000000"/>
                <w:sz w:val="16"/>
                <w:szCs w:val="16"/>
                <w:lang w:val="uk-UA"/>
              </w:rPr>
              <w:t>be</w:t>
            </w:r>
            <w:proofErr w:type="spellEnd"/>
            <w:r w:rsidRPr="00E06CFD">
              <w:rPr>
                <w:rFonts w:ascii="Times New Roman" w:hAnsi="Times New Roman"/>
                <w:color w:val="000000"/>
                <w:sz w:val="16"/>
                <w:szCs w:val="16"/>
                <w:lang w:val="uk-UA"/>
              </w:rPr>
              <w:t xml:space="preserve"> </w:t>
            </w:r>
            <w:proofErr w:type="spellStart"/>
            <w:r w:rsidRPr="00E06CFD">
              <w:rPr>
                <w:rFonts w:ascii="Times New Roman" w:hAnsi="Times New Roman"/>
                <w:color w:val="000000"/>
                <w:sz w:val="16"/>
                <w:szCs w:val="16"/>
                <w:lang w:val="uk-UA"/>
              </w:rPr>
              <w:t>notified</w:t>
            </w:r>
            <w:proofErr w:type="spellEnd"/>
            <w:r w:rsidRPr="00E06CFD">
              <w:rPr>
                <w:rFonts w:ascii="Times New Roman" w:hAnsi="Times New Roman"/>
                <w:color w:val="000000"/>
                <w:sz w:val="16"/>
                <w:szCs w:val="16"/>
                <w:lang w:val="uk-UA"/>
              </w:rPr>
              <w:t xml:space="preserve"> </w:t>
            </w:r>
            <w:proofErr w:type="spellStart"/>
            <w:r w:rsidRPr="00E06CFD">
              <w:rPr>
                <w:rFonts w:ascii="Times New Roman" w:hAnsi="Times New Roman"/>
                <w:color w:val="000000"/>
                <w:sz w:val="16"/>
                <w:szCs w:val="16"/>
                <w:lang w:val="uk-UA"/>
              </w:rPr>
              <w:t>of</w:t>
            </w:r>
            <w:proofErr w:type="spellEnd"/>
            <w:r w:rsidRPr="00E06CFD">
              <w:rPr>
                <w:rFonts w:ascii="Times New Roman" w:hAnsi="Times New Roman"/>
                <w:color w:val="000000"/>
                <w:sz w:val="16"/>
                <w:szCs w:val="16"/>
                <w:lang w:val="uk-UA"/>
              </w:rPr>
              <w:t xml:space="preserve"> </w:t>
            </w:r>
            <w:proofErr w:type="spellStart"/>
            <w:r w:rsidRPr="00E06CFD">
              <w:rPr>
                <w:rFonts w:ascii="Times New Roman" w:hAnsi="Times New Roman"/>
                <w:color w:val="000000"/>
                <w:sz w:val="16"/>
                <w:szCs w:val="16"/>
                <w:lang w:val="uk-UA"/>
              </w:rPr>
              <w:t>the</w:t>
            </w:r>
            <w:proofErr w:type="spellEnd"/>
            <w:r w:rsidRPr="00E06CFD">
              <w:rPr>
                <w:rFonts w:ascii="Times New Roman" w:hAnsi="Times New Roman"/>
                <w:color w:val="000000"/>
                <w:sz w:val="16"/>
                <w:szCs w:val="16"/>
                <w:lang w:val="uk-UA"/>
              </w:rPr>
              <w:t xml:space="preserve"> </w:t>
            </w:r>
            <w:proofErr w:type="spellStart"/>
            <w:r w:rsidRPr="00E06CFD">
              <w:rPr>
                <w:rFonts w:ascii="Times New Roman" w:hAnsi="Times New Roman"/>
                <w:color w:val="000000"/>
                <w:sz w:val="16"/>
                <w:szCs w:val="16"/>
                <w:lang w:val="uk-UA"/>
              </w:rPr>
              <w:t>total</w:t>
            </w:r>
            <w:proofErr w:type="spellEnd"/>
            <w:r w:rsidRPr="00E06CFD">
              <w:rPr>
                <w:rFonts w:ascii="Times New Roman" w:hAnsi="Times New Roman"/>
                <w:color w:val="000000"/>
                <w:sz w:val="16"/>
                <w:szCs w:val="16"/>
                <w:lang w:val="uk-UA"/>
              </w:rPr>
              <w:t xml:space="preserve"> </w:t>
            </w:r>
            <w:proofErr w:type="spellStart"/>
            <w:r w:rsidRPr="00E06CFD">
              <w:rPr>
                <w:rFonts w:ascii="Times New Roman" w:hAnsi="Times New Roman"/>
                <w:color w:val="000000"/>
                <w:sz w:val="16"/>
                <w:szCs w:val="16"/>
                <w:lang w:val="uk-UA"/>
              </w:rPr>
              <w:t>amount</w:t>
            </w:r>
            <w:proofErr w:type="spellEnd"/>
            <w:r w:rsidRPr="00E06CFD">
              <w:rPr>
                <w:rFonts w:ascii="Times New Roman" w:hAnsi="Times New Roman"/>
                <w:color w:val="000000"/>
                <w:sz w:val="16"/>
                <w:szCs w:val="16"/>
                <w:lang w:val="uk-UA"/>
              </w:rPr>
              <w:t xml:space="preserve"> </w:t>
            </w:r>
            <w:proofErr w:type="spellStart"/>
            <w:r w:rsidRPr="00E06CFD">
              <w:rPr>
                <w:rFonts w:ascii="Times New Roman" w:hAnsi="Times New Roman"/>
                <w:color w:val="000000"/>
                <w:sz w:val="16"/>
                <w:szCs w:val="16"/>
                <w:lang w:val="uk-UA"/>
              </w:rPr>
              <w:t>of</w:t>
            </w:r>
            <w:proofErr w:type="spellEnd"/>
            <w:r w:rsidRPr="00E06CFD">
              <w:rPr>
                <w:rFonts w:ascii="Times New Roman" w:hAnsi="Times New Roman"/>
                <w:color w:val="000000"/>
                <w:sz w:val="16"/>
                <w:szCs w:val="16"/>
                <w:lang w:val="uk-UA"/>
              </w:rPr>
              <w:t xml:space="preserve"> </w:t>
            </w:r>
            <w:proofErr w:type="spellStart"/>
            <w:r w:rsidRPr="00E06CFD">
              <w:rPr>
                <w:rFonts w:ascii="Times New Roman" w:hAnsi="Times New Roman"/>
                <w:color w:val="000000"/>
                <w:sz w:val="16"/>
                <w:szCs w:val="16"/>
                <w:lang w:val="uk-UA"/>
              </w:rPr>
              <w:t>funds</w:t>
            </w:r>
            <w:proofErr w:type="spellEnd"/>
            <w:r w:rsidRPr="00E06CFD">
              <w:rPr>
                <w:rFonts w:ascii="Times New Roman" w:hAnsi="Times New Roman"/>
                <w:color w:val="000000"/>
                <w:sz w:val="16"/>
                <w:szCs w:val="16"/>
                <w:lang w:val="uk-UA"/>
              </w:rPr>
              <w:t xml:space="preserve"> </w:t>
            </w:r>
            <w:proofErr w:type="spellStart"/>
            <w:r w:rsidRPr="00E06CFD">
              <w:rPr>
                <w:rFonts w:ascii="Times New Roman" w:hAnsi="Times New Roman"/>
                <w:color w:val="000000"/>
                <w:sz w:val="16"/>
                <w:szCs w:val="16"/>
                <w:lang w:val="uk-UA"/>
              </w:rPr>
              <w:t>separately</w:t>
            </w:r>
            <w:proofErr w:type="spellEnd"/>
            <w:r w:rsidRPr="00E06CFD">
              <w:rPr>
                <w:rFonts w:ascii="Times New Roman" w:hAnsi="Times New Roman"/>
                <w:color w:val="000000"/>
                <w:sz w:val="16"/>
                <w:szCs w:val="16"/>
                <w:lang w:val="uk-UA"/>
              </w:rPr>
              <w:t xml:space="preserve"> </w:t>
            </w:r>
            <w:proofErr w:type="spellStart"/>
            <w:r w:rsidRPr="00E06CFD">
              <w:rPr>
                <w:rFonts w:ascii="Times New Roman" w:hAnsi="Times New Roman"/>
                <w:color w:val="000000"/>
                <w:sz w:val="16"/>
                <w:szCs w:val="16"/>
                <w:lang w:val="uk-UA"/>
              </w:rPr>
              <w:t>for</w:t>
            </w:r>
            <w:proofErr w:type="spellEnd"/>
            <w:r w:rsidRPr="00E06CFD">
              <w:rPr>
                <w:rFonts w:ascii="Times New Roman" w:hAnsi="Times New Roman"/>
                <w:color w:val="000000"/>
                <w:sz w:val="16"/>
                <w:szCs w:val="16"/>
                <w:lang w:val="uk-UA"/>
              </w:rPr>
              <w:t xml:space="preserve"> </w:t>
            </w:r>
            <w:proofErr w:type="spellStart"/>
            <w:r w:rsidRPr="00E06CFD">
              <w:rPr>
                <w:rFonts w:ascii="Times New Roman" w:hAnsi="Times New Roman"/>
                <w:color w:val="000000"/>
                <w:sz w:val="16"/>
                <w:szCs w:val="16"/>
                <w:lang w:val="uk-UA"/>
              </w:rPr>
              <w:t>the</w:t>
            </w:r>
            <w:proofErr w:type="spellEnd"/>
            <w:r w:rsidRPr="00E06CFD">
              <w:rPr>
                <w:rFonts w:ascii="Times New Roman" w:hAnsi="Times New Roman"/>
                <w:color w:val="000000"/>
                <w:sz w:val="16"/>
                <w:szCs w:val="16"/>
                <w:lang w:val="uk-UA"/>
              </w:rPr>
              <w:t xml:space="preserve"> </w:t>
            </w:r>
            <w:proofErr w:type="spellStart"/>
            <w:r w:rsidRPr="00E06CFD">
              <w:rPr>
                <w:rFonts w:ascii="Times New Roman" w:hAnsi="Times New Roman"/>
                <w:color w:val="000000"/>
                <w:sz w:val="16"/>
                <w:szCs w:val="16"/>
                <w:lang w:val="uk-UA"/>
              </w:rPr>
              <w:t>relevant</w:t>
            </w:r>
            <w:proofErr w:type="spellEnd"/>
            <w:r w:rsidRPr="00E06CFD">
              <w:rPr>
                <w:rFonts w:ascii="Times New Roman" w:hAnsi="Times New Roman"/>
                <w:color w:val="000000"/>
                <w:sz w:val="16"/>
                <w:szCs w:val="16"/>
                <w:lang w:val="uk-UA"/>
              </w:rPr>
              <w:t xml:space="preserve"> </w:t>
            </w:r>
            <w:proofErr w:type="spellStart"/>
            <w:r w:rsidRPr="00E06CFD">
              <w:rPr>
                <w:rFonts w:ascii="Times New Roman" w:hAnsi="Times New Roman"/>
                <w:color w:val="000000"/>
                <w:sz w:val="16"/>
                <w:szCs w:val="16"/>
                <w:lang w:val="uk-UA"/>
              </w:rPr>
              <w:t>issue</w:t>
            </w:r>
            <w:proofErr w:type="spellEnd"/>
            <w:r w:rsidRPr="00E06CFD">
              <w:rPr>
                <w:rFonts w:ascii="Times New Roman" w:hAnsi="Times New Roman"/>
                <w:color w:val="000000"/>
                <w:sz w:val="16"/>
                <w:szCs w:val="16"/>
                <w:lang w:val="uk-UA"/>
              </w:rPr>
              <w:t xml:space="preserve"> </w:t>
            </w:r>
            <w:proofErr w:type="spellStart"/>
            <w:r w:rsidRPr="00E06CFD">
              <w:rPr>
                <w:rFonts w:ascii="Times New Roman" w:hAnsi="Times New Roman"/>
                <w:color w:val="000000"/>
                <w:sz w:val="16"/>
                <w:szCs w:val="16"/>
                <w:lang w:val="uk-UA"/>
              </w:rPr>
              <w:t>of</w:t>
            </w:r>
            <w:proofErr w:type="spellEnd"/>
            <w:r w:rsidRPr="00E06CFD">
              <w:rPr>
                <w:rFonts w:ascii="Times New Roman" w:hAnsi="Times New Roman"/>
                <w:color w:val="000000"/>
                <w:sz w:val="16"/>
                <w:szCs w:val="16"/>
                <w:lang w:val="uk-UA"/>
              </w:rPr>
              <w:t xml:space="preserve"> </w:t>
            </w:r>
            <w:proofErr w:type="spellStart"/>
            <w:r w:rsidRPr="00E06CFD">
              <w:rPr>
                <w:rFonts w:ascii="Times New Roman" w:hAnsi="Times New Roman"/>
                <w:color w:val="000000"/>
                <w:sz w:val="16"/>
                <w:szCs w:val="16"/>
                <w:lang w:val="uk-UA"/>
              </w:rPr>
              <w:t>securities</w:t>
            </w:r>
            <w:proofErr w:type="spellEnd"/>
            <w:r w:rsidRPr="00E06CFD">
              <w:rPr>
                <w:rFonts w:ascii="Times New Roman" w:hAnsi="Times New Roman"/>
                <w:color w:val="000000"/>
                <w:sz w:val="16"/>
                <w:szCs w:val="16"/>
                <w:lang w:val="uk-UA"/>
              </w:rPr>
              <w:t xml:space="preserve"> </w:t>
            </w:r>
            <w:proofErr w:type="spellStart"/>
            <w:r w:rsidRPr="00E06CFD">
              <w:rPr>
                <w:rFonts w:ascii="Times New Roman" w:hAnsi="Times New Roman"/>
                <w:color w:val="000000"/>
                <w:sz w:val="16"/>
                <w:szCs w:val="16"/>
                <w:lang w:val="uk-UA"/>
              </w:rPr>
              <w:t>and</w:t>
            </w:r>
            <w:proofErr w:type="spellEnd"/>
            <w:r w:rsidRPr="00E06CFD">
              <w:rPr>
                <w:rFonts w:ascii="Times New Roman" w:hAnsi="Times New Roman"/>
                <w:color w:val="000000"/>
                <w:sz w:val="16"/>
                <w:szCs w:val="16"/>
                <w:lang w:val="uk-UA"/>
              </w:rPr>
              <w:t xml:space="preserve"> </w:t>
            </w:r>
            <w:proofErr w:type="spellStart"/>
            <w:r w:rsidRPr="00E06CFD">
              <w:rPr>
                <w:rFonts w:ascii="Times New Roman" w:hAnsi="Times New Roman"/>
                <w:color w:val="000000"/>
                <w:sz w:val="16"/>
                <w:szCs w:val="16"/>
                <w:lang w:val="uk-UA"/>
              </w:rPr>
              <w:t>the</w:t>
            </w:r>
            <w:proofErr w:type="spellEnd"/>
            <w:r w:rsidRPr="00E06CFD">
              <w:rPr>
                <w:rFonts w:ascii="Times New Roman" w:hAnsi="Times New Roman"/>
                <w:color w:val="000000"/>
                <w:sz w:val="16"/>
                <w:szCs w:val="16"/>
                <w:lang w:val="uk-UA"/>
              </w:rPr>
              <w:t xml:space="preserve"> </w:t>
            </w:r>
            <w:proofErr w:type="spellStart"/>
            <w:r w:rsidRPr="00E06CFD">
              <w:rPr>
                <w:rFonts w:ascii="Times New Roman" w:hAnsi="Times New Roman"/>
                <w:color w:val="000000"/>
                <w:sz w:val="16"/>
                <w:szCs w:val="16"/>
                <w:lang w:val="uk-UA"/>
              </w:rPr>
              <w:t>relevant</w:t>
            </w:r>
            <w:proofErr w:type="spellEnd"/>
            <w:r w:rsidRPr="00E06CFD">
              <w:rPr>
                <w:rFonts w:ascii="Times New Roman" w:hAnsi="Times New Roman"/>
                <w:color w:val="000000"/>
                <w:sz w:val="16"/>
                <w:szCs w:val="16"/>
                <w:lang w:val="uk-UA"/>
              </w:rPr>
              <w:t xml:space="preserve"> </w:t>
            </w:r>
            <w:proofErr w:type="spellStart"/>
            <w:r w:rsidRPr="00E06CFD">
              <w:rPr>
                <w:rFonts w:ascii="Times New Roman" w:hAnsi="Times New Roman"/>
                <w:color w:val="000000"/>
                <w:sz w:val="16"/>
                <w:szCs w:val="16"/>
                <w:lang w:val="uk-UA"/>
              </w:rPr>
              <w:t>order</w:t>
            </w:r>
            <w:proofErr w:type="spellEnd"/>
            <w:r w:rsidRPr="00E06CFD">
              <w:rPr>
                <w:rFonts w:ascii="Times New Roman" w:hAnsi="Times New Roman"/>
                <w:color w:val="000000"/>
                <w:sz w:val="16"/>
                <w:szCs w:val="16"/>
                <w:lang w:val="uk-UA"/>
              </w:rPr>
              <w:t xml:space="preserve"> </w:t>
            </w:r>
            <w:proofErr w:type="spellStart"/>
            <w:r w:rsidRPr="00E06CFD">
              <w:rPr>
                <w:rFonts w:ascii="Times New Roman" w:hAnsi="Times New Roman"/>
                <w:color w:val="000000"/>
                <w:sz w:val="16"/>
                <w:szCs w:val="16"/>
                <w:lang w:val="uk-UA"/>
              </w:rPr>
              <w:t>in</w:t>
            </w:r>
            <w:proofErr w:type="spellEnd"/>
            <w:r w:rsidRPr="00E06CFD">
              <w:rPr>
                <w:rFonts w:ascii="Times New Roman" w:hAnsi="Times New Roman"/>
                <w:color w:val="000000"/>
                <w:sz w:val="16"/>
                <w:szCs w:val="16"/>
                <w:lang w:val="uk-UA"/>
              </w:rPr>
              <w:t xml:space="preserve"> </w:t>
            </w:r>
            <w:proofErr w:type="spellStart"/>
            <w:r w:rsidRPr="00E06CFD">
              <w:rPr>
                <w:rFonts w:ascii="Times New Roman" w:hAnsi="Times New Roman"/>
                <w:color w:val="000000"/>
                <w:sz w:val="16"/>
                <w:szCs w:val="16"/>
                <w:lang w:val="uk-UA"/>
              </w:rPr>
              <w:t>the</w:t>
            </w:r>
            <w:proofErr w:type="spellEnd"/>
            <w:r w:rsidRPr="00E06CFD">
              <w:rPr>
                <w:rFonts w:ascii="Times New Roman" w:hAnsi="Times New Roman"/>
                <w:color w:val="000000"/>
                <w:sz w:val="16"/>
                <w:szCs w:val="16"/>
                <w:lang w:val="uk-UA"/>
              </w:rPr>
              <w:t xml:space="preserve"> </w:t>
            </w:r>
            <w:proofErr w:type="spellStart"/>
            <w:r w:rsidRPr="00E06CFD">
              <w:rPr>
                <w:rFonts w:ascii="Times New Roman" w:hAnsi="Times New Roman"/>
                <w:color w:val="000000"/>
                <w:sz w:val="16"/>
                <w:szCs w:val="16"/>
                <w:lang w:val="uk-UA"/>
              </w:rPr>
              <w:t>manner</w:t>
            </w:r>
            <w:proofErr w:type="spellEnd"/>
            <w:r w:rsidRPr="00E06CFD">
              <w:rPr>
                <w:rFonts w:ascii="Times New Roman" w:hAnsi="Times New Roman"/>
                <w:color w:val="000000"/>
                <w:sz w:val="16"/>
                <w:szCs w:val="16"/>
                <w:lang w:val="uk-UA"/>
              </w:rPr>
              <w:t xml:space="preserve"> </w:t>
            </w:r>
            <w:proofErr w:type="spellStart"/>
            <w:r w:rsidRPr="00E06CFD">
              <w:rPr>
                <w:rFonts w:ascii="Times New Roman" w:hAnsi="Times New Roman"/>
                <w:color w:val="000000"/>
                <w:sz w:val="16"/>
                <w:szCs w:val="16"/>
                <w:lang w:val="uk-UA"/>
              </w:rPr>
              <w:t>prescribed</w:t>
            </w:r>
            <w:proofErr w:type="spellEnd"/>
            <w:r w:rsidRPr="00E06CFD">
              <w:rPr>
                <w:rFonts w:ascii="Times New Roman" w:hAnsi="Times New Roman"/>
                <w:color w:val="000000"/>
                <w:sz w:val="16"/>
                <w:szCs w:val="16"/>
                <w:lang w:val="uk-UA"/>
              </w:rPr>
              <w:t xml:space="preserve"> </w:t>
            </w:r>
            <w:proofErr w:type="spellStart"/>
            <w:r w:rsidRPr="00E06CFD">
              <w:rPr>
                <w:rFonts w:ascii="Times New Roman" w:hAnsi="Times New Roman"/>
                <w:color w:val="000000"/>
                <w:sz w:val="16"/>
                <w:szCs w:val="16"/>
                <w:lang w:val="uk-UA"/>
              </w:rPr>
              <w:t>by</w:t>
            </w:r>
            <w:proofErr w:type="spellEnd"/>
            <w:r w:rsidRPr="00E06CFD">
              <w:rPr>
                <w:rFonts w:ascii="Times New Roman" w:hAnsi="Times New Roman"/>
                <w:color w:val="000000"/>
                <w:sz w:val="16"/>
                <w:szCs w:val="16"/>
                <w:lang w:val="uk-UA"/>
              </w:rPr>
              <w:t xml:space="preserve"> </w:t>
            </w:r>
            <w:proofErr w:type="spellStart"/>
            <w:r w:rsidRPr="00E06CFD">
              <w:rPr>
                <w:rFonts w:ascii="Times New Roman" w:hAnsi="Times New Roman"/>
                <w:color w:val="000000"/>
                <w:sz w:val="16"/>
                <w:szCs w:val="16"/>
                <w:lang w:val="uk-UA"/>
              </w:rPr>
              <w:t>the</w:t>
            </w:r>
            <w:proofErr w:type="spellEnd"/>
            <w:r w:rsidRPr="00E06CFD">
              <w:rPr>
                <w:rFonts w:ascii="Times New Roman" w:hAnsi="Times New Roman"/>
                <w:color w:val="000000"/>
                <w:sz w:val="16"/>
                <w:szCs w:val="16"/>
                <w:lang w:val="uk-UA"/>
              </w:rPr>
              <w:t xml:space="preserve"> </w:t>
            </w:r>
            <w:proofErr w:type="spellStart"/>
            <w:r w:rsidRPr="00E06CFD">
              <w:rPr>
                <w:rFonts w:ascii="Times New Roman" w:hAnsi="Times New Roman"/>
                <w:color w:val="000000"/>
                <w:sz w:val="16"/>
                <w:szCs w:val="16"/>
                <w:lang w:val="uk-UA"/>
              </w:rPr>
              <w:t>internal</w:t>
            </w:r>
            <w:proofErr w:type="spellEnd"/>
            <w:r w:rsidRPr="00E06CFD">
              <w:rPr>
                <w:rFonts w:ascii="Times New Roman" w:hAnsi="Times New Roman"/>
                <w:color w:val="000000"/>
                <w:sz w:val="16"/>
                <w:szCs w:val="16"/>
                <w:lang w:val="uk-UA"/>
              </w:rPr>
              <w:t xml:space="preserve"> </w:t>
            </w:r>
            <w:proofErr w:type="spellStart"/>
            <w:r w:rsidRPr="00E06CFD">
              <w:rPr>
                <w:rFonts w:ascii="Times New Roman" w:hAnsi="Times New Roman"/>
                <w:color w:val="000000"/>
                <w:sz w:val="16"/>
                <w:szCs w:val="16"/>
                <w:lang w:val="uk-UA"/>
              </w:rPr>
              <w:t>documents</w:t>
            </w:r>
            <w:proofErr w:type="spellEnd"/>
            <w:r w:rsidRPr="00E06CFD">
              <w:rPr>
                <w:rFonts w:ascii="Times New Roman" w:hAnsi="Times New Roman"/>
                <w:color w:val="000000"/>
                <w:sz w:val="16"/>
                <w:szCs w:val="16"/>
                <w:lang w:val="uk-UA"/>
              </w:rPr>
              <w:t xml:space="preserve"> </w:t>
            </w:r>
            <w:proofErr w:type="spellStart"/>
            <w:r w:rsidRPr="00E06CFD">
              <w:rPr>
                <w:rFonts w:ascii="Times New Roman" w:hAnsi="Times New Roman"/>
                <w:color w:val="000000"/>
                <w:sz w:val="16"/>
                <w:szCs w:val="16"/>
                <w:lang w:val="uk-UA"/>
              </w:rPr>
              <w:t>of</w:t>
            </w:r>
            <w:proofErr w:type="spellEnd"/>
            <w:r w:rsidRPr="00E06CFD">
              <w:rPr>
                <w:rFonts w:ascii="Times New Roman" w:hAnsi="Times New Roman"/>
                <w:color w:val="000000"/>
                <w:sz w:val="16"/>
                <w:szCs w:val="16"/>
                <w:lang w:val="uk-UA"/>
              </w:rPr>
              <w:t xml:space="preserve"> </w:t>
            </w:r>
            <w:proofErr w:type="spellStart"/>
            <w:r w:rsidRPr="00E06CFD">
              <w:rPr>
                <w:rFonts w:ascii="Times New Roman" w:hAnsi="Times New Roman"/>
                <w:color w:val="000000"/>
                <w:sz w:val="16"/>
                <w:szCs w:val="16"/>
                <w:lang w:val="uk-UA"/>
              </w:rPr>
              <w:t>the</w:t>
            </w:r>
            <w:proofErr w:type="spellEnd"/>
            <w:r w:rsidRPr="00E06CFD">
              <w:rPr>
                <w:rFonts w:ascii="Times New Roman" w:hAnsi="Times New Roman"/>
                <w:color w:val="000000"/>
                <w:sz w:val="16"/>
                <w:szCs w:val="16"/>
                <w:lang w:val="uk-UA"/>
              </w:rPr>
              <w:t xml:space="preserve"> </w:t>
            </w:r>
            <w:proofErr w:type="spellStart"/>
            <w:r w:rsidRPr="00E06CFD">
              <w:rPr>
                <w:rFonts w:ascii="Times New Roman" w:hAnsi="Times New Roman"/>
                <w:color w:val="000000"/>
                <w:sz w:val="16"/>
                <w:szCs w:val="16"/>
                <w:lang w:val="uk-UA"/>
              </w:rPr>
              <w:t>Central</w:t>
            </w:r>
            <w:proofErr w:type="spellEnd"/>
            <w:r w:rsidRPr="00E06CFD">
              <w:rPr>
                <w:rFonts w:ascii="Times New Roman" w:hAnsi="Times New Roman"/>
                <w:color w:val="000000"/>
                <w:sz w:val="16"/>
                <w:szCs w:val="16"/>
                <w:lang w:val="uk-UA"/>
              </w:rPr>
              <w:t xml:space="preserve"> </w:t>
            </w:r>
            <w:proofErr w:type="spellStart"/>
            <w:r w:rsidRPr="00E06CFD">
              <w:rPr>
                <w:rFonts w:ascii="Times New Roman" w:hAnsi="Times New Roman"/>
                <w:color w:val="000000"/>
                <w:sz w:val="16"/>
                <w:szCs w:val="16"/>
                <w:lang w:val="uk-UA"/>
              </w:rPr>
              <w:t>Depository</w:t>
            </w:r>
            <w:proofErr w:type="spellEnd"/>
            <w:r w:rsidRPr="00E06CFD">
              <w:rPr>
                <w:rFonts w:ascii="Times New Roman" w:hAnsi="Times New Roman"/>
                <w:color w:val="000000"/>
                <w:sz w:val="16"/>
                <w:szCs w:val="16"/>
                <w:lang w:val="uk-UA"/>
              </w:rPr>
              <w:t>.</w:t>
            </w:r>
          </w:p>
        </w:tc>
      </w:tr>
      <w:tr w:rsidR="003A05A3" w:rsidRPr="00F23413" w14:paraId="36719941" w14:textId="77777777" w:rsidTr="00242F58">
        <w:trPr>
          <w:trHeight w:val="192"/>
        </w:trPr>
        <w:tc>
          <w:tcPr>
            <w:tcW w:w="5696" w:type="dxa"/>
            <w:gridSpan w:val="8"/>
            <w:shd w:val="clear" w:color="auto" w:fill="auto"/>
          </w:tcPr>
          <w:p w14:paraId="159A440D" w14:textId="77777777" w:rsidR="003A05A3" w:rsidRPr="00E16672" w:rsidRDefault="003A05A3" w:rsidP="009D3C4B">
            <w:pPr>
              <w:pStyle w:val="33"/>
              <w:tabs>
                <w:tab w:val="left" w:pos="851"/>
              </w:tabs>
              <w:snapToGrid w:val="0"/>
              <w:spacing w:before="57" w:after="57"/>
              <w:ind w:left="175" w:right="138" w:firstLine="0"/>
              <w:rPr>
                <w:rFonts w:ascii="Times New Roman" w:hAnsi="Times New Roman" w:cs="Times New Roman"/>
                <w:color w:val="000000"/>
                <w:sz w:val="16"/>
                <w:szCs w:val="16"/>
                <w:lang w:val="uk-UA"/>
              </w:rPr>
            </w:pPr>
            <w:r w:rsidRPr="00E16672">
              <w:rPr>
                <w:rFonts w:ascii="Times New Roman" w:hAnsi="Times New Roman" w:cs="Times New Roman"/>
                <w:color w:val="000000"/>
                <w:sz w:val="16"/>
                <w:szCs w:val="16"/>
                <w:lang w:val="uk-UA"/>
              </w:rPr>
              <w:t>1</w:t>
            </w:r>
            <w:r w:rsidR="00577C78" w:rsidRPr="00E16672">
              <w:rPr>
                <w:rFonts w:ascii="Times New Roman" w:hAnsi="Times New Roman" w:cs="Times New Roman"/>
                <w:color w:val="000000"/>
                <w:sz w:val="16"/>
                <w:szCs w:val="16"/>
                <w:lang w:val="uk-UA"/>
              </w:rPr>
              <w:t>1</w:t>
            </w:r>
            <w:r w:rsidRPr="00E16672">
              <w:rPr>
                <w:rFonts w:ascii="Times New Roman" w:hAnsi="Times New Roman" w:cs="Times New Roman"/>
                <w:color w:val="000000"/>
                <w:sz w:val="16"/>
                <w:szCs w:val="16"/>
                <w:lang w:val="uk-UA"/>
              </w:rPr>
              <w:t>.4. У разі наявності заборгованості з боку Депонента за послуги Депозитарної установи термін здійснення виплати доходу за цінними паперами, грошових коштів, отриманих за результатами погашення цінних паперів емітента, отриманих Депонентом за результатами проведення корпоративних операцій емітента, може бути збільшений до моменту сплати Депонентом заборгованості.</w:t>
            </w:r>
          </w:p>
        </w:tc>
        <w:tc>
          <w:tcPr>
            <w:tcW w:w="5494" w:type="dxa"/>
            <w:gridSpan w:val="6"/>
            <w:shd w:val="clear" w:color="auto" w:fill="auto"/>
          </w:tcPr>
          <w:p w14:paraId="5A317565" w14:textId="77777777" w:rsidR="003A05A3" w:rsidRPr="00E16672" w:rsidRDefault="003A05A3" w:rsidP="004F69E6">
            <w:pPr>
              <w:snapToGrid w:val="0"/>
              <w:spacing w:before="57" w:after="57"/>
              <w:ind w:left="175" w:right="138" w:firstLine="0"/>
              <w:rPr>
                <w:rFonts w:ascii="Times New Roman" w:hAnsi="Times New Roman"/>
                <w:color w:val="000000"/>
                <w:sz w:val="16"/>
                <w:szCs w:val="16"/>
                <w:lang w:val="uk-UA"/>
              </w:rPr>
            </w:pPr>
            <w:r w:rsidRPr="00E16672">
              <w:rPr>
                <w:rFonts w:ascii="Times New Roman" w:hAnsi="Times New Roman"/>
                <w:color w:val="000000"/>
                <w:sz w:val="16"/>
                <w:szCs w:val="16"/>
                <w:lang w:val="uk-UA"/>
              </w:rPr>
              <w:t>1</w:t>
            </w:r>
            <w:r w:rsidR="00577C78" w:rsidRPr="00E16672">
              <w:rPr>
                <w:rFonts w:ascii="Times New Roman" w:hAnsi="Times New Roman"/>
                <w:color w:val="000000"/>
                <w:sz w:val="16"/>
                <w:szCs w:val="16"/>
                <w:lang w:val="uk-UA"/>
              </w:rPr>
              <w:t>1</w:t>
            </w:r>
            <w:r w:rsidRPr="00E16672">
              <w:rPr>
                <w:rFonts w:ascii="Times New Roman" w:hAnsi="Times New Roman"/>
                <w:color w:val="000000"/>
                <w:sz w:val="16"/>
                <w:szCs w:val="16"/>
                <w:lang w:val="uk-UA"/>
              </w:rPr>
              <w:t xml:space="preserve">.4. </w:t>
            </w:r>
            <w:proofErr w:type="spellStart"/>
            <w:r w:rsidRPr="00E16672">
              <w:rPr>
                <w:rFonts w:ascii="Times New Roman" w:hAnsi="Times New Roman"/>
                <w:color w:val="000000"/>
                <w:sz w:val="16"/>
                <w:szCs w:val="16"/>
                <w:lang w:val="uk-UA"/>
              </w:rPr>
              <w:t>In</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the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case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of</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debt</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from</w:t>
            </w:r>
            <w:proofErr w:type="spellEnd"/>
            <w:r w:rsidRPr="00E16672">
              <w:rPr>
                <w:rFonts w:ascii="Times New Roman" w:hAnsi="Times New Roman"/>
                <w:color w:val="000000"/>
                <w:sz w:val="16"/>
                <w:szCs w:val="16"/>
                <w:lang w:val="uk-UA"/>
              </w:rPr>
              <w:t xml:space="preserve"> </w:t>
            </w:r>
            <w:r w:rsidRPr="00E16672">
              <w:rPr>
                <w:rFonts w:ascii="Times New Roman" w:hAnsi="Times New Roman"/>
                <w:color w:val="000000"/>
                <w:sz w:val="16"/>
                <w:szCs w:val="16"/>
                <w:lang w:val="en-US"/>
              </w:rPr>
              <w:t>D</w:t>
            </w:r>
            <w:proofErr w:type="spellStart"/>
            <w:r w:rsidRPr="00E16672">
              <w:rPr>
                <w:rFonts w:ascii="Times New Roman" w:hAnsi="Times New Roman"/>
                <w:color w:val="000000"/>
                <w:sz w:val="16"/>
                <w:szCs w:val="16"/>
                <w:lang w:val="uk-UA"/>
              </w:rPr>
              <w:t>epositor</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for</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the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services</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of</w:t>
            </w:r>
            <w:proofErr w:type="spellEnd"/>
            <w:r w:rsidRPr="00E16672">
              <w:rPr>
                <w:rFonts w:ascii="Times New Roman" w:hAnsi="Times New Roman"/>
                <w:color w:val="000000"/>
                <w:sz w:val="16"/>
                <w:szCs w:val="16"/>
                <w:lang w:val="uk-UA"/>
              </w:rPr>
              <w:t xml:space="preserve"> </w:t>
            </w:r>
            <w:r w:rsidRPr="00E16672">
              <w:rPr>
                <w:rFonts w:ascii="Times New Roman" w:hAnsi="Times New Roman"/>
                <w:color w:val="000000"/>
                <w:sz w:val="16"/>
                <w:szCs w:val="16"/>
                <w:lang w:val="en-US"/>
              </w:rPr>
              <w:t>D</w:t>
            </w:r>
            <w:proofErr w:type="spellStart"/>
            <w:r w:rsidRPr="00E16672">
              <w:rPr>
                <w:rFonts w:ascii="Times New Roman" w:hAnsi="Times New Roman"/>
                <w:color w:val="000000"/>
                <w:sz w:val="16"/>
                <w:szCs w:val="16"/>
                <w:lang w:val="uk-UA"/>
              </w:rPr>
              <w:t>epository</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institution</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timing</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of</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the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payment</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income</w:t>
            </w:r>
            <w:proofErr w:type="spellEnd"/>
            <w:r w:rsidRPr="00E16672">
              <w:rPr>
                <w:rFonts w:ascii="Times New Roman" w:hAnsi="Times New Roman"/>
                <w:color w:val="000000"/>
                <w:sz w:val="16"/>
                <w:szCs w:val="16"/>
                <w:lang w:val="uk-UA"/>
              </w:rPr>
              <w:t xml:space="preserve"> </w:t>
            </w:r>
            <w:r w:rsidRPr="00E16672">
              <w:rPr>
                <w:rFonts w:ascii="Times New Roman" w:hAnsi="Times New Roman"/>
                <w:color w:val="000000"/>
                <w:sz w:val="16"/>
                <w:szCs w:val="16"/>
                <w:lang w:val="en-US"/>
              </w:rPr>
              <w:t>on</w:t>
            </w:r>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securities</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money</w:t>
            </w:r>
            <w:proofErr w:type="spellEnd"/>
            <w:r w:rsidRPr="00E16672">
              <w:rPr>
                <w:rFonts w:ascii="Times New Roman" w:hAnsi="Times New Roman"/>
                <w:color w:val="000000"/>
                <w:sz w:val="16"/>
                <w:szCs w:val="16"/>
                <w:lang w:val="en-US"/>
              </w:rPr>
              <w:t>,</w:t>
            </w:r>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received</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by</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results</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redemption</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of</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securities</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of</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the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issuer</w:t>
            </w:r>
            <w:proofErr w:type="spellEnd"/>
            <w:r w:rsidRPr="00E16672">
              <w:rPr>
                <w:rFonts w:ascii="Times New Roman" w:hAnsi="Times New Roman"/>
                <w:color w:val="000000"/>
                <w:sz w:val="16"/>
                <w:szCs w:val="16"/>
                <w:lang w:val="en-US"/>
              </w:rPr>
              <w:t>,</w:t>
            </w:r>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received</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by</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the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Depositor</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on</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the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results</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of</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corporate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operations</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of</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the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issuer</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may</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be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increased</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until</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the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payment</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by</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the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Depositor</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of</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debt</w:t>
            </w:r>
            <w:proofErr w:type="spellEnd"/>
            <w:r w:rsidRPr="00E16672">
              <w:rPr>
                <w:rFonts w:ascii="Times New Roman" w:hAnsi="Times New Roman"/>
                <w:color w:val="000000"/>
                <w:sz w:val="16"/>
                <w:szCs w:val="16"/>
                <w:lang w:val="uk-UA"/>
              </w:rPr>
              <w:t>.</w:t>
            </w:r>
          </w:p>
        </w:tc>
      </w:tr>
      <w:tr w:rsidR="003A05A3" w:rsidRPr="00F23413" w14:paraId="2BDADA48" w14:textId="77777777" w:rsidTr="00242F58">
        <w:trPr>
          <w:trHeight w:val="192"/>
        </w:trPr>
        <w:tc>
          <w:tcPr>
            <w:tcW w:w="5696" w:type="dxa"/>
            <w:gridSpan w:val="8"/>
            <w:shd w:val="clear" w:color="auto" w:fill="auto"/>
          </w:tcPr>
          <w:p w14:paraId="3F112C3A" w14:textId="77777777" w:rsidR="003A05A3" w:rsidRPr="00F23413" w:rsidRDefault="003A05A3" w:rsidP="004F69E6">
            <w:pPr>
              <w:pStyle w:val="33"/>
              <w:tabs>
                <w:tab w:val="left" w:pos="851"/>
              </w:tabs>
              <w:snapToGrid w:val="0"/>
              <w:spacing w:before="57" w:after="57"/>
              <w:ind w:left="175" w:right="138" w:firstLine="0"/>
              <w:rPr>
                <w:rFonts w:ascii="Times New Roman" w:hAnsi="Times New Roman" w:cs="Times New Roman"/>
                <w:color w:val="000000"/>
                <w:sz w:val="16"/>
                <w:szCs w:val="16"/>
                <w:lang w:val="en-US"/>
              </w:rPr>
            </w:pPr>
            <w:r w:rsidRPr="00F23413">
              <w:rPr>
                <w:rFonts w:ascii="Times New Roman" w:hAnsi="Times New Roman" w:cs="Times New Roman"/>
                <w:color w:val="000000"/>
                <w:sz w:val="16"/>
                <w:szCs w:val="16"/>
                <w:lang w:val="en-US"/>
              </w:rPr>
              <w:t>1</w:t>
            </w:r>
            <w:r w:rsidR="00577C78" w:rsidRPr="00E16672">
              <w:rPr>
                <w:rFonts w:ascii="Times New Roman" w:hAnsi="Times New Roman" w:cs="Times New Roman"/>
                <w:color w:val="000000"/>
                <w:sz w:val="16"/>
                <w:szCs w:val="16"/>
                <w:lang w:val="uk-UA"/>
              </w:rPr>
              <w:t>1</w:t>
            </w:r>
            <w:r w:rsidRPr="00F23413">
              <w:rPr>
                <w:rFonts w:ascii="Times New Roman" w:hAnsi="Times New Roman" w:cs="Times New Roman"/>
                <w:color w:val="000000"/>
                <w:sz w:val="16"/>
                <w:szCs w:val="16"/>
                <w:lang w:val="en-US"/>
              </w:rPr>
              <w:t xml:space="preserve">.5. </w:t>
            </w:r>
            <w:proofErr w:type="spellStart"/>
            <w:r w:rsidRPr="00E16672">
              <w:rPr>
                <w:rFonts w:ascii="Times New Roman" w:hAnsi="Times New Roman" w:cs="Times New Roman"/>
                <w:color w:val="000000"/>
                <w:sz w:val="16"/>
                <w:szCs w:val="16"/>
              </w:rPr>
              <w:t>Виплата</w:t>
            </w:r>
            <w:proofErr w:type="spellEnd"/>
            <w:r w:rsidRPr="00F23413">
              <w:rPr>
                <w:rFonts w:ascii="Times New Roman" w:hAnsi="Times New Roman" w:cs="Times New Roman"/>
                <w:color w:val="000000"/>
                <w:sz w:val="16"/>
                <w:szCs w:val="16"/>
                <w:lang w:val="en-US"/>
              </w:rPr>
              <w:t xml:space="preserve"> </w:t>
            </w:r>
            <w:proofErr w:type="spellStart"/>
            <w:r w:rsidRPr="00E16672">
              <w:rPr>
                <w:rFonts w:ascii="Times New Roman" w:hAnsi="Times New Roman" w:cs="Times New Roman"/>
                <w:color w:val="000000"/>
                <w:sz w:val="16"/>
                <w:szCs w:val="16"/>
              </w:rPr>
              <w:t>дивідендів</w:t>
            </w:r>
            <w:proofErr w:type="spellEnd"/>
            <w:r w:rsidRPr="00F23413">
              <w:rPr>
                <w:rFonts w:ascii="Times New Roman" w:hAnsi="Times New Roman" w:cs="Times New Roman"/>
                <w:color w:val="000000"/>
                <w:sz w:val="16"/>
                <w:szCs w:val="16"/>
                <w:lang w:val="en-US"/>
              </w:rPr>
              <w:t xml:space="preserve"> (</w:t>
            </w:r>
            <w:proofErr w:type="spellStart"/>
            <w:r w:rsidRPr="00E16672">
              <w:rPr>
                <w:rFonts w:ascii="Times New Roman" w:hAnsi="Times New Roman" w:cs="Times New Roman"/>
                <w:color w:val="000000"/>
                <w:sz w:val="16"/>
                <w:szCs w:val="16"/>
              </w:rPr>
              <w:t>доходів</w:t>
            </w:r>
            <w:proofErr w:type="spellEnd"/>
            <w:r w:rsidRPr="00F23413">
              <w:rPr>
                <w:rFonts w:ascii="Times New Roman" w:hAnsi="Times New Roman" w:cs="Times New Roman"/>
                <w:color w:val="000000"/>
                <w:sz w:val="16"/>
                <w:szCs w:val="16"/>
                <w:lang w:val="en-US"/>
              </w:rPr>
              <w:t xml:space="preserve">) </w:t>
            </w:r>
            <w:r w:rsidRPr="00E16672">
              <w:rPr>
                <w:rFonts w:ascii="Times New Roman" w:hAnsi="Times New Roman" w:cs="Times New Roman"/>
                <w:sz w:val="16"/>
                <w:szCs w:val="16"/>
                <w:lang w:val="uk-UA" w:eastAsia="ru-RU"/>
              </w:rPr>
              <w:t xml:space="preserve">та інших виплат, що здійснюються (здійснювалися) відповідно </w:t>
            </w:r>
            <w:proofErr w:type="gramStart"/>
            <w:r w:rsidRPr="00E16672">
              <w:rPr>
                <w:rFonts w:ascii="Times New Roman" w:hAnsi="Times New Roman" w:cs="Times New Roman"/>
                <w:sz w:val="16"/>
                <w:szCs w:val="16"/>
                <w:lang w:val="uk-UA" w:eastAsia="ru-RU"/>
              </w:rPr>
              <w:t>до закону</w:t>
            </w:r>
            <w:proofErr w:type="gramEnd"/>
            <w:r w:rsidRPr="00F23413">
              <w:rPr>
                <w:rFonts w:ascii="Times New Roman" w:hAnsi="Times New Roman" w:cs="Times New Roman"/>
                <w:color w:val="000000"/>
                <w:sz w:val="16"/>
                <w:szCs w:val="16"/>
                <w:lang w:val="en-US"/>
              </w:rPr>
              <w:t xml:space="preserve"> </w:t>
            </w:r>
            <w:r w:rsidRPr="00E16672">
              <w:rPr>
                <w:rFonts w:ascii="Times New Roman" w:hAnsi="Times New Roman" w:cs="Times New Roman"/>
                <w:color w:val="000000"/>
                <w:sz w:val="16"/>
                <w:szCs w:val="16"/>
              </w:rPr>
              <w:t>за</w:t>
            </w:r>
            <w:r w:rsidRPr="00F23413">
              <w:rPr>
                <w:rFonts w:ascii="Times New Roman" w:hAnsi="Times New Roman" w:cs="Times New Roman"/>
                <w:color w:val="000000"/>
                <w:sz w:val="16"/>
                <w:szCs w:val="16"/>
                <w:lang w:val="en-US"/>
              </w:rPr>
              <w:t xml:space="preserve"> </w:t>
            </w:r>
            <w:proofErr w:type="spellStart"/>
            <w:r w:rsidRPr="00E16672">
              <w:rPr>
                <w:rFonts w:ascii="Times New Roman" w:hAnsi="Times New Roman" w:cs="Times New Roman"/>
                <w:color w:val="000000"/>
                <w:sz w:val="16"/>
                <w:szCs w:val="16"/>
              </w:rPr>
              <w:t>цінними</w:t>
            </w:r>
            <w:proofErr w:type="spellEnd"/>
            <w:r w:rsidRPr="00F23413">
              <w:rPr>
                <w:rFonts w:ascii="Times New Roman" w:hAnsi="Times New Roman" w:cs="Times New Roman"/>
                <w:color w:val="000000"/>
                <w:sz w:val="16"/>
                <w:szCs w:val="16"/>
                <w:lang w:val="en-US"/>
              </w:rPr>
              <w:t xml:space="preserve"> </w:t>
            </w:r>
            <w:proofErr w:type="spellStart"/>
            <w:r w:rsidRPr="00E16672">
              <w:rPr>
                <w:rFonts w:ascii="Times New Roman" w:hAnsi="Times New Roman" w:cs="Times New Roman"/>
                <w:color w:val="000000"/>
                <w:sz w:val="16"/>
                <w:szCs w:val="16"/>
              </w:rPr>
              <w:t>паперами</w:t>
            </w:r>
            <w:proofErr w:type="spellEnd"/>
            <w:r w:rsidRPr="00F23413">
              <w:rPr>
                <w:rFonts w:ascii="Times New Roman" w:hAnsi="Times New Roman" w:cs="Times New Roman"/>
                <w:color w:val="000000"/>
                <w:sz w:val="16"/>
                <w:szCs w:val="16"/>
                <w:lang w:val="en-US"/>
              </w:rPr>
              <w:t xml:space="preserve">, </w:t>
            </w:r>
            <w:proofErr w:type="spellStart"/>
            <w:r w:rsidRPr="00E16672">
              <w:rPr>
                <w:rFonts w:ascii="Times New Roman" w:hAnsi="Times New Roman" w:cs="Times New Roman"/>
                <w:color w:val="000000"/>
                <w:sz w:val="16"/>
                <w:szCs w:val="16"/>
              </w:rPr>
              <w:t>які</w:t>
            </w:r>
            <w:proofErr w:type="spellEnd"/>
            <w:r w:rsidRPr="00F23413">
              <w:rPr>
                <w:rFonts w:ascii="Times New Roman" w:hAnsi="Times New Roman" w:cs="Times New Roman"/>
                <w:color w:val="000000"/>
                <w:sz w:val="16"/>
                <w:szCs w:val="16"/>
                <w:lang w:val="en-US"/>
              </w:rPr>
              <w:t xml:space="preserve"> </w:t>
            </w:r>
            <w:proofErr w:type="spellStart"/>
            <w:r w:rsidRPr="00E16672">
              <w:rPr>
                <w:rFonts w:ascii="Times New Roman" w:hAnsi="Times New Roman" w:cs="Times New Roman"/>
                <w:color w:val="000000"/>
                <w:sz w:val="16"/>
                <w:szCs w:val="16"/>
              </w:rPr>
              <w:t>розміщені</w:t>
            </w:r>
            <w:proofErr w:type="spellEnd"/>
            <w:r w:rsidRPr="00F23413">
              <w:rPr>
                <w:rFonts w:ascii="Times New Roman" w:hAnsi="Times New Roman" w:cs="Times New Roman"/>
                <w:color w:val="000000"/>
                <w:sz w:val="16"/>
                <w:szCs w:val="16"/>
                <w:lang w:val="en-US"/>
              </w:rPr>
              <w:t xml:space="preserve"> </w:t>
            </w:r>
            <w:r w:rsidRPr="00E16672">
              <w:rPr>
                <w:rFonts w:ascii="Times New Roman" w:hAnsi="Times New Roman" w:cs="Times New Roman"/>
                <w:color w:val="000000"/>
                <w:sz w:val="16"/>
                <w:szCs w:val="16"/>
              </w:rPr>
              <w:t>за</w:t>
            </w:r>
            <w:r w:rsidRPr="00F23413">
              <w:rPr>
                <w:rFonts w:ascii="Times New Roman" w:hAnsi="Times New Roman" w:cs="Times New Roman"/>
                <w:color w:val="000000"/>
                <w:sz w:val="16"/>
                <w:szCs w:val="16"/>
                <w:lang w:val="en-US"/>
              </w:rPr>
              <w:t xml:space="preserve"> </w:t>
            </w:r>
            <w:r w:rsidRPr="00E16672">
              <w:rPr>
                <w:rFonts w:ascii="Times New Roman" w:hAnsi="Times New Roman" w:cs="Times New Roman"/>
                <w:color w:val="000000"/>
                <w:sz w:val="16"/>
                <w:szCs w:val="16"/>
              </w:rPr>
              <w:t>межами</w:t>
            </w:r>
            <w:r w:rsidRPr="00F23413">
              <w:rPr>
                <w:rFonts w:ascii="Times New Roman" w:hAnsi="Times New Roman" w:cs="Times New Roman"/>
                <w:color w:val="000000"/>
                <w:sz w:val="16"/>
                <w:szCs w:val="16"/>
                <w:lang w:val="en-US"/>
              </w:rPr>
              <w:t xml:space="preserve"> </w:t>
            </w:r>
            <w:proofErr w:type="spellStart"/>
            <w:r w:rsidRPr="00E16672">
              <w:rPr>
                <w:rFonts w:ascii="Times New Roman" w:hAnsi="Times New Roman" w:cs="Times New Roman"/>
                <w:color w:val="000000"/>
                <w:sz w:val="16"/>
                <w:szCs w:val="16"/>
              </w:rPr>
              <w:t>України</w:t>
            </w:r>
            <w:proofErr w:type="spellEnd"/>
            <w:r w:rsidRPr="00F23413">
              <w:rPr>
                <w:rFonts w:ascii="Times New Roman" w:hAnsi="Times New Roman" w:cs="Times New Roman"/>
                <w:color w:val="000000"/>
                <w:sz w:val="16"/>
                <w:szCs w:val="16"/>
                <w:lang w:val="en-US"/>
              </w:rPr>
              <w:t xml:space="preserve">, </w:t>
            </w:r>
            <w:proofErr w:type="spellStart"/>
            <w:r w:rsidRPr="00E16672">
              <w:rPr>
                <w:rFonts w:ascii="Times New Roman" w:hAnsi="Times New Roman" w:cs="Times New Roman"/>
                <w:color w:val="000000"/>
                <w:sz w:val="16"/>
                <w:szCs w:val="16"/>
              </w:rPr>
              <w:t>здійснюється</w:t>
            </w:r>
            <w:proofErr w:type="spellEnd"/>
            <w:r w:rsidRPr="00F23413">
              <w:rPr>
                <w:rFonts w:ascii="Times New Roman" w:hAnsi="Times New Roman" w:cs="Times New Roman"/>
                <w:color w:val="000000"/>
                <w:sz w:val="16"/>
                <w:szCs w:val="16"/>
                <w:lang w:val="en-US"/>
              </w:rPr>
              <w:t xml:space="preserve"> </w:t>
            </w:r>
            <w:r w:rsidRPr="00E16672">
              <w:rPr>
                <w:rFonts w:ascii="Times New Roman" w:hAnsi="Times New Roman" w:cs="Times New Roman"/>
                <w:color w:val="000000"/>
                <w:sz w:val="16"/>
                <w:szCs w:val="16"/>
              </w:rPr>
              <w:t>в</w:t>
            </w:r>
            <w:r w:rsidRPr="00F23413">
              <w:rPr>
                <w:rFonts w:ascii="Times New Roman" w:hAnsi="Times New Roman" w:cs="Times New Roman"/>
                <w:color w:val="000000"/>
                <w:sz w:val="16"/>
                <w:szCs w:val="16"/>
                <w:lang w:val="en-US"/>
              </w:rPr>
              <w:t xml:space="preserve"> </w:t>
            </w:r>
            <w:r w:rsidRPr="00E16672">
              <w:rPr>
                <w:rFonts w:ascii="Times New Roman" w:hAnsi="Times New Roman" w:cs="Times New Roman"/>
                <w:color w:val="000000"/>
                <w:sz w:val="16"/>
                <w:szCs w:val="16"/>
              </w:rPr>
              <w:t>порядку</w:t>
            </w:r>
            <w:r w:rsidRPr="00F23413">
              <w:rPr>
                <w:rFonts w:ascii="Times New Roman" w:hAnsi="Times New Roman" w:cs="Times New Roman"/>
                <w:color w:val="000000"/>
                <w:sz w:val="16"/>
                <w:szCs w:val="16"/>
                <w:lang w:val="en-US"/>
              </w:rPr>
              <w:t xml:space="preserve">, </w:t>
            </w:r>
            <w:proofErr w:type="spellStart"/>
            <w:r w:rsidRPr="00E16672">
              <w:rPr>
                <w:rFonts w:ascii="Times New Roman" w:hAnsi="Times New Roman" w:cs="Times New Roman"/>
                <w:color w:val="000000"/>
                <w:sz w:val="16"/>
                <w:szCs w:val="16"/>
              </w:rPr>
              <w:t>встановленому</w:t>
            </w:r>
            <w:proofErr w:type="spellEnd"/>
            <w:r w:rsidRPr="00F23413">
              <w:rPr>
                <w:rFonts w:ascii="Times New Roman" w:hAnsi="Times New Roman" w:cs="Times New Roman"/>
                <w:color w:val="000000"/>
                <w:sz w:val="16"/>
                <w:szCs w:val="16"/>
                <w:lang w:val="en-US"/>
              </w:rPr>
              <w:t xml:space="preserve"> </w:t>
            </w:r>
            <w:proofErr w:type="spellStart"/>
            <w:r w:rsidRPr="00E16672">
              <w:rPr>
                <w:rFonts w:ascii="Times New Roman" w:hAnsi="Times New Roman" w:cs="Times New Roman"/>
                <w:color w:val="000000"/>
                <w:sz w:val="16"/>
                <w:szCs w:val="16"/>
              </w:rPr>
              <w:t>Положенням</w:t>
            </w:r>
            <w:proofErr w:type="spellEnd"/>
            <w:r w:rsidRPr="00F23413">
              <w:rPr>
                <w:rFonts w:ascii="Times New Roman" w:hAnsi="Times New Roman" w:cs="Times New Roman"/>
                <w:color w:val="000000"/>
                <w:sz w:val="16"/>
                <w:szCs w:val="16"/>
                <w:lang w:val="en-US"/>
              </w:rPr>
              <w:t xml:space="preserve"> </w:t>
            </w:r>
            <w:r w:rsidRPr="00E16672">
              <w:rPr>
                <w:rFonts w:ascii="Times New Roman" w:hAnsi="Times New Roman" w:cs="Times New Roman"/>
                <w:color w:val="000000"/>
                <w:sz w:val="16"/>
                <w:szCs w:val="16"/>
              </w:rPr>
              <w:t>про</w:t>
            </w:r>
            <w:r w:rsidRPr="00F23413">
              <w:rPr>
                <w:rFonts w:ascii="Times New Roman" w:hAnsi="Times New Roman" w:cs="Times New Roman"/>
                <w:color w:val="000000"/>
                <w:sz w:val="16"/>
                <w:szCs w:val="16"/>
                <w:lang w:val="en-US"/>
              </w:rPr>
              <w:t xml:space="preserve"> </w:t>
            </w:r>
            <w:proofErr w:type="spellStart"/>
            <w:r w:rsidRPr="00E16672">
              <w:rPr>
                <w:rFonts w:ascii="Times New Roman" w:hAnsi="Times New Roman" w:cs="Times New Roman"/>
                <w:color w:val="000000"/>
                <w:sz w:val="16"/>
                <w:szCs w:val="16"/>
              </w:rPr>
              <w:t>провадження</w:t>
            </w:r>
            <w:proofErr w:type="spellEnd"/>
            <w:r w:rsidRPr="00F23413">
              <w:rPr>
                <w:rFonts w:ascii="Times New Roman" w:hAnsi="Times New Roman" w:cs="Times New Roman"/>
                <w:color w:val="000000"/>
                <w:sz w:val="16"/>
                <w:szCs w:val="16"/>
                <w:lang w:val="en-US"/>
              </w:rPr>
              <w:t xml:space="preserve"> </w:t>
            </w:r>
            <w:proofErr w:type="spellStart"/>
            <w:r w:rsidRPr="00E16672">
              <w:rPr>
                <w:rFonts w:ascii="Times New Roman" w:hAnsi="Times New Roman" w:cs="Times New Roman"/>
                <w:color w:val="000000"/>
                <w:sz w:val="16"/>
                <w:szCs w:val="16"/>
              </w:rPr>
              <w:t>депозитарної</w:t>
            </w:r>
            <w:proofErr w:type="spellEnd"/>
            <w:r w:rsidRPr="00F23413">
              <w:rPr>
                <w:rFonts w:ascii="Times New Roman" w:hAnsi="Times New Roman" w:cs="Times New Roman"/>
                <w:color w:val="000000"/>
                <w:sz w:val="16"/>
                <w:szCs w:val="16"/>
                <w:lang w:val="en-US"/>
              </w:rPr>
              <w:t xml:space="preserve"> </w:t>
            </w:r>
            <w:proofErr w:type="spellStart"/>
            <w:r w:rsidRPr="00E16672">
              <w:rPr>
                <w:rFonts w:ascii="Times New Roman" w:hAnsi="Times New Roman" w:cs="Times New Roman"/>
                <w:color w:val="000000"/>
                <w:sz w:val="16"/>
                <w:szCs w:val="16"/>
              </w:rPr>
              <w:t>діяльності</w:t>
            </w:r>
            <w:proofErr w:type="spellEnd"/>
            <w:r w:rsidRPr="00F23413">
              <w:rPr>
                <w:rFonts w:ascii="Times New Roman" w:hAnsi="Times New Roman" w:cs="Times New Roman"/>
                <w:color w:val="000000"/>
                <w:sz w:val="16"/>
                <w:szCs w:val="16"/>
                <w:lang w:val="en-US"/>
              </w:rPr>
              <w:t xml:space="preserve"> </w:t>
            </w:r>
            <w:r w:rsidRPr="00E16672">
              <w:rPr>
                <w:rFonts w:ascii="Times New Roman" w:hAnsi="Times New Roman" w:cs="Times New Roman"/>
                <w:color w:val="000000"/>
                <w:sz w:val="16"/>
                <w:szCs w:val="16"/>
              </w:rPr>
              <w:t>та</w:t>
            </w:r>
            <w:r w:rsidRPr="00F23413">
              <w:rPr>
                <w:rFonts w:ascii="Times New Roman" w:hAnsi="Times New Roman" w:cs="Times New Roman"/>
                <w:color w:val="000000"/>
                <w:sz w:val="16"/>
                <w:szCs w:val="16"/>
                <w:lang w:val="en-US"/>
              </w:rPr>
              <w:t xml:space="preserve"> </w:t>
            </w:r>
            <w:proofErr w:type="spellStart"/>
            <w:r w:rsidRPr="00E16672">
              <w:rPr>
                <w:rFonts w:ascii="Times New Roman" w:hAnsi="Times New Roman" w:cs="Times New Roman"/>
                <w:color w:val="000000"/>
                <w:sz w:val="16"/>
                <w:szCs w:val="16"/>
              </w:rPr>
              <w:t>внутрішніми</w:t>
            </w:r>
            <w:proofErr w:type="spellEnd"/>
            <w:r w:rsidRPr="00F23413">
              <w:rPr>
                <w:rFonts w:ascii="Times New Roman" w:hAnsi="Times New Roman" w:cs="Times New Roman"/>
                <w:color w:val="000000"/>
                <w:sz w:val="16"/>
                <w:szCs w:val="16"/>
                <w:lang w:val="en-US"/>
              </w:rPr>
              <w:t xml:space="preserve"> </w:t>
            </w:r>
            <w:r w:rsidRPr="00E16672">
              <w:rPr>
                <w:rFonts w:ascii="Times New Roman" w:hAnsi="Times New Roman" w:cs="Times New Roman"/>
                <w:color w:val="000000"/>
                <w:sz w:val="16"/>
                <w:szCs w:val="16"/>
              </w:rPr>
              <w:t>документами</w:t>
            </w:r>
            <w:r w:rsidRPr="00F23413">
              <w:rPr>
                <w:rFonts w:ascii="Times New Roman" w:hAnsi="Times New Roman" w:cs="Times New Roman"/>
                <w:color w:val="000000"/>
                <w:sz w:val="16"/>
                <w:szCs w:val="16"/>
                <w:lang w:val="en-US"/>
              </w:rPr>
              <w:t xml:space="preserve"> </w:t>
            </w:r>
            <w:proofErr w:type="spellStart"/>
            <w:r w:rsidRPr="00E16672">
              <w:rPr>
                <w:rFonts w:ascii="Times New Roman" w:hAnsi="Times New Roman" w:cs="Times New Roman"/>
                <w:color w:val="000000"/>
                <w:sz w:val="16"/>
                <w:szCs w:val="16"/>
              </w:rPr>
              <w:t>Депозитарної</w:t>
            </w:r>
            <w:proofErr w:type="spellEnd"/>
            <w:r w:rsidRPr="00F23413">
              <w:rPr>
                <w:rFonts w:ascii="Times New Roman" w:hAnsi="Times New Roman" w:cs="Times New Roman"/>
                <w:color w:val="000000"/>
                <w:sz w:val="16"/>
                <w:szCs w:val="16"/>
                <w:lang w:val="en-US"/>
              </w:rPr>
              <w:t xml:space="preserve"> </w:t>
            </w:r>
            <w:r w:rsidRPr="00E16672">
              <w:rPr>
                <w:rFonts w:ascii="Times New Roman" w:hAnsi="Times New Roman" w:cs="Times New Roman"/>
                <w:color w:val="000000"/>
                <w:sz w:val="16"/>
                <w:szCs w:val="16"/>
              </w:rPr>
              <w:t>установи</w:t>
            </w:r>
            <w:r w:rsidRPr="00F23413">
              <w:rPr>
                <w:rFonts w:ascii="Times New Roman" w:hAnsi="Times New Roman" w:cs="Times New Roman"/>
                <w:color w:val="000000"/>
                <w:sz w:val="16"/>
                <w:szCs w:val="16"/>
                <w:lang w:val="en-US"/>
              </w:rPr>
              <w:t>.</w:t>
            </w:r>
          </w:p>
        </w:tc>
        <w:tc>
          <w:tcPr>
            <w:tcW w:w="5494" w:type="dxa"/>
            <w:gridSpan w:val="6"/>
            <w:shd w:val="clear" w:color="auto" w:fill="auto"/>
          </w:tcPr>
          <w:p w14:paraId="10DA9034" w14:textId="77777777" w:rsidR="003A05A3" w:rsidRPr="00E16672" w:rsidRDefault="003A05A3" w:rsidP="004F69E6">
            <w:pPr>
              <w:snapToGrid w:val="0"/>
              <w:spacing w:before="57" w:after="57"/>
              <w:ind w:left="175" w:right="138" w:firstLine="0"/>
              <w:rPr>
                <w:rFonts w:ascii="Times New Roman" w:hAnsi="Times New Roman"/>
                <w:color w:val="000000"/>
                <w:sz w:val="16"/>
                <w:szCs w:val="16"/>
                <w:lang w:val="uk-UA"/>
              </w:rPr>
            </w:pPr>
            <w:r w:rsidRPr="00E16672">
              <w:rPr>
                <w:rFonts w:ascii="Times New Roman" w:hAnsi="Times New Roman"/>
                <w:color w:val="000000"/>
                <w:sz w:val="16"/>
                <w:szCs w:val="16"/>
                <w:lang w:val="en-US"/>
              </w:rPr>
              <w:t>1</w:t>
            </w:r>
            <w:r w:rsidR="00577C78" w:rsidRPr="00E16672">
              <w:rPr>
                <w:rFonts w:ascii="Times New Roman" w:hAnsi="Times New Roman"/>
                <w:color w:val="000000"/>
                <w:sz w:val="16"/>
                <w:szCs w:val="16"/>
                <w:lang w:val="uk-UA"/>
              </w:rPr>
              <w:t>1</w:t>
            </w:r>
            <w:r w:rsidRPr="00E16672">
              <w:rPr>
                <w:rFonts w:ascii="Times New Roman" w:hAnsi="Times New Roman"/>
                <w:color w:val="000000"/>
                <w:sz w:val="16"/>
                <w:szCs w:val="16"/>
                <w:lang w:val="en-US"/>
              </w:rPr>
              <w:t xml:space="preserve">.5. Payment of dividends (income) </w:t>
            </w:r>
            <w:r w:rsidRPr="00F23413">
              <w:rPr>
                <w:rFonts w:ascii="Times New Roman" w:hAnsi="Times New Roman"/>
                <w:sz w:val="16"/>
                <w:lang w:val="en-US"/>
              </w:rPr>
              <w:t>and other payments made (carried out) in accordance with the law</w:t>
            </w:r>
            <w:r w:rsidRPr="00E16672">
              <w:rPr>
                <w:rFonts w:ascii="Times New Roman" w:hAnsi="Times New Roman"/>
                <w:color w:val="000000"/>
                <w:sz w:val="8"/>
                <w:szCs w:val="16"/>
                <w:lang w:val="en-US"/>
              </w:rPr>
              <w:t xml:space="preserve"> </w:t>
            </w:r>
            <w:r w:rsidRPr="00E16672">
              <w:rPr>
                <w:rFonts w:ascii="Times New Roman" w:hAnsi="Times New Roman"/>
                <w:color w:val="000000"/>
                <w:sz w:val="16"/>
                <w:szCs w:val="16"/>
                <w:lang w:val="en-US"/>
              </w:rPr>
              <w:t>on securities, which are located outside the Ukraine made in order, established by the Regulation on depository activities and internal documents of Depository institution</w:t>
            </w:r>
            <w:r w:rsidRPr="00E16672">
              <w:rPr>
                <w:rFonts w:ascii="Times New Roman" w:hAnsi="Times New Roman"/>
                <w:color w:val="000000"/>
                <w:sz w:val="16"/>
                <w:szCs w:val="16"/>
                <w:lang w:val="uk-UA"/>
              </w:rPr>
              <w:t>.</w:t>
            </w:r>
          </w:p>
        </w:tc>
      </w:tr>
      <w:tr w:rsidR="003A05A3" w:rsidRPr="00F23413" w14:paraId="748B3E45" w14:textId="77777777" w:rsidTr="00242F58">
        <w:trPr>
          <w:trHeight w:val="192"/>
        </w:trPr>
        <w:tc>
          <w:tcPr>
            <w:tcW w:w="5696" w:type="dxa"/>
            <w:gridSpan w:val="8"/>
            <w:shd w:val="clear" w:color="auto" w:fill="auto"/>
          </w:tcPr>
          <w:p w14:paraId="05F4C943" w14:textId="77777777" w:rsidR="003A05A3" w:rsidRPr="00E16672" w:rsidRDefault="003A05A3" w:rsidP="00843027">
            <w:pPr>
              <w:snapToGrid w:val="0"/>
              <w:ind w:left="175" w:right="138"/>
              <w:rPr>
                <w:rFonts w:ascii="Times New Roman" w:hAnsi="Times New Roman"/>
                <w:b/>
                <w:bCs/>
                <w:sz w:val="16"/>
                <w:szCs w:val="16"/>
                <w:shd w:val="clear" w:color="auto" w:fill="FFFFFF"/>
                <w:lang w:val="en-US"/>
              </w:rPr>
            </w:pPr>
          </w:p>
          <w:p w14:paraId="1AD9BF4C" w14:textId="77777777" w:rsidR="003A05A3" w:rsidRPr="00E16672" w:rsidRDefault="003A05A3" w:rsidP="00843027">
            <w:pPr>
              <w:pStyle w:val="33"/>
              <w:tabs>
                <w:tab w:val="left" w:pos="851"/>
              </w:tabs>
              <w:ind w:left="175" w:right="138"/>
              <w:jc w:val="center"/>
              <w:rPr>
                <w:rFonts w:ascii="Times New Roman" w:hAnsi="Times New Roman" w:cs="Times New Roman"/>
                <w:b/>
                <w:sz w:val="16"/>
                <w:szCs w:val="16"/>
                <w:lang w:val="uk-UA"/>
              </w:rPr>
            </w:pPr>
            <w:r w:rsidRPr="00E16672">
              <w:rPr>
                <w:rFonts w:ascii="Times New Roman" w:hAnsi="Times New Roman" w:cs="Times New Roman"/>
                <w:b/>
                <w:sz w:val="16"/>
                <w:szCs w:val="16"/>
                <w:lang w:val="uk-UA"/>
              </w:rPr>
              <w:t>1</w:t>
            </w:r>
            <w:r w:rsidR="005C5318" w:rsidRPr="00E16672">
              <w:rPr>
                <w:rFonts w:ascii="Times New Roman" w:hAnsi="Times New Roman" w:cs="Times New Roman"/>
                <w:b/>
                <w:sz w:val="16"/>
                <w:szCs w:val="16"/>
                <w:lang w:val="uk-UA"/>
              </w:rPr>
              <w:t>2</w:t>
            </w:r>
            <w:r w:rsidRPr="00E16672">
              <w:rPr>
                <w:rFonts w:ascii="Times New Roman" w:hAnsi="Times New Roman" w:cs="Times New Roman"/>
                <w:b/>
                <w:sz w:val="16"/>
                <w:szCs w:val="16"/>
                <w:lang w:val="uk-UA"/>
              </w:rPr>
              <w:t>. ЗАКЛЮЧНІ ПОЛОЖЕННЯ</w:t>
            </w:r>
          </w:p>
          <w:p w14:paraId="2E8C83AD" w14:textId="77777777" w:rsidR="003A05A3" w:rsidRPr="00E16672" w:rsidRDefault="003A05A3" w:rsidP="00843027">
            <w:pPr>
              <w:tabs>
                <w:tab w:val="left" w:pos="5954"/>
              </w:tabs>
              <w:ind w:left="175" w:right="138"/>
              <w:rPr>
                <w:rFonts w:ascii="Times New Roman" w:hAnsi="Times New Roman"/>
                <w:sz w:val="16"/>
                <w:szCs w:val="16"/>
                <w:lang w:val="uk-UA"/>
              </w:rPr>
            </w:pPr>
          </w:p>
          <w:p w14:paraId="5FA45F1C" w14:textId="77777777" w:rsidR="003A05A3" w:rsidRPr="00E16672" w:rsidRDefault="003A05A3" w:rsidP="004F69E6">
            <w:pPr>
              <w:tabs>
                <w:tab w:val="left" w:pos="5954"/>
              </w:tabs>
              <w:ind w:left="175" w:right="138" w:firstLine="0"/>
              <w:rPr>
                <w:rFonts w:ascii="Times New Roman" w:hAnsi="Times New Roman"/>
                <w:sz w:val="16"/>
                <w:szCs w:val="16"/>
                <w:lang w:val="uk-UA"/>
              </w:rPr>
            </w:pPr>
            <w:r w:rsidRPr="00E16672">
              <w:rPr>
                <w:rFonts w:ascii="Times New Roman" w:hAnsi="Times New Roman"/>
                <w:sz w:val="16"/>
                <w:szCs w:val="16"/>
                <w:lang w:val="uk-UA"/>
              </w:rPr>
              <w:t>1</w:t>
            </w:r>
            <w:r w:rsidR="005C5318" w:rsidRPr="00E16672">
              <w:rPr>
                <w:rFonts w:ascii="Times New Roman" w:hAnsi="Times New Roman"/>
                <w:sz w:val="16"/>
                <w:szCs w:val="16"/>
                <w:lang w:val="uk-UA"/>
              </w:rPr>
              <w:t>2</w:t>
            </w:r>
            <w:r w:rsidRPr="00E16672">
              <w:rPr>
                <w:rFonts w:ascii="Times New Roman" w:hAnsi="Times New Roman"/>
                <w:sz w:val="16"/>
                <w:szCs w:val="16"/>
                <w:lang w:val="uk-UA"/>
              </w:rPr>
              <w:t>.1. Цей Договір було складено Українською та Англійською мовами (при цьому, договір українською мовою є офіційним, а переклад англійською наданий лише для зручності) у двох примірниках, як</w:t>
            </w:r>
            <w:proofErr w:type="spellStart"/>
            <w:r w:rsidRPr="00E16672">
              <w:rPr>
                <w:rFonts w:ascii="Times New Roman" w:hAnsi="Times New Roman"/>
                <w:sz w:val="16"/>
                <w:szCs w:val="16"/>
                <w:lang w:val="en-US"/>
              </w:rPr>
              <w:t>i</w:t>
            </w:r>
            <w:proofErr w:type="spellEnd"/>
            <w:r w:rsidRPr="00E16672">
              <w:rPr>
                <w:rFonts w:ascii="Times New Roman" w:hAnsi="Times New Roman"/>
                <w:sz w:val="16"/>
                <w:szCs w:val="16"/>
                <w:lang w:val="uk-UA"/>
              </w:rPr>
              <w:t xml:space="preserve"> мають однакову юридичну силу, по одному - Депонентові та Депозитарній установі. </w:t>
            </w:r>
          </w:p>
          <w:p w14:paraId="3FE19827" w14:textId="77777777" w:rsidR="003A05A3" w:rsidRPr="00E16672" w:rsidRDefault="005C5318" w:rsidP="004F69E6">
            <w:pPr>
              <w:tabs>
                <w:tab w:val="left" w:pos="5954"/>
              </w:tabs>
              <w:ind w:left="175" w:right="138" w:firstLine="0"/>
              <w:rPr>
                <w:rFonts w:ascii="Times New Roman" w:hAnsi="Times New Roman"/>
                <w:color w:val="000000"/>
                <w:sz w:val="16"/>
                <w:szCs w:val="20"/>
                <w:lang w:val="uk-UA"/>
              </w:rPr>
            </w:pPr>
            <w:r w:rsidRPr="00E16672">
              <w:rPr>
                <w:rFonts w:ascii="Times New Roman" w:hAnsi="Times New Roman"/>
                <w:sz w:val="16"/>
                <w:szCs w:val="16"/>
                <w:lang w:val="uk-UA"/>
              </w:rPr>
              <w:t>12</w:t>
            </w:r>
            <w:r w:rsidR="003A05A3" w:rsidRPr="00E16672">
              <w:rPr>
                <w:rFonts w:ascii="Times New Roman" w:hAnsi="Times New Roman"/>
                <w:sz w:val="16"/>
                <w:szCs w:val="16"/>
                <w:lang w:val="uk-UA"/>
              </w:rPr>
              <w:t xml:space="preserve">.2. </w:t>
            </w:r>
            <w:r w:rsidR="003A05A3" w:rsidRPr="00E16672">
              <w:rPr>
                <w:rFonts w:ascii="Times New Roman" w:hAnsi="Times New Roman"/>
                <w:color w:val="000000"/>
                <w:sz w:val="16"/>
                <w:szCs w:val="20"/>
                <w:lang w:val="uk-UA"/>
              </w:rPr>
              <w:t>Підписуючи цей Договір, Депонент засвідчує, що він ознайомлений з внутрішніми документами Депозитарної установи, що регламентують провадження депозитарної діяльності, та тарифами Депозитарної установи.</w:t>
            </w:r>
          </w:p>
          <w:p w14:paraId="4C96E7FC" w14:textId="77777777" w:rsidR="003A05A3" w:rsidRPr="00E16672" w:rsidRDefault="003A05A3" w:rsidP="00843027">
            <w:pPr>
              <w:tabs>
                <w:tab w:val="left" w:pos="5954"/>
              </w:tabs>
              <w:ind w:left="175" w:right="138"/>
              <w:rPr>
                <w:rFonts w:ascii="Times New Roman" w:hAnsi="Times New Roman"/>
                <w:sz w:val="16"/>
                <w:szCs w:val="16"/>
                <w:lang w:val="uk-UA"/>
              </w:rPr>
            </w:pPr>
          </w:p>
        </w:tc>
        <w:tc>
          <w:tcPr>
            <w:tcW w:w="5494" w:type="dxa"/>
            <w:gridSpan w:val="6"/>
            <w:shd w:val="clear" w:color="auto" w:fill="auto"/>
          </w:tcPr>
          <w:p w14:paraId="544E83E4" w14:textId="77777777" w:rsidR="003A05A3" w:rsidRPr="00E16672" w:rsidRDefault="003A05A3" w:rsidP="00843027">
            <w:pPr>
              <w:tabs>
                <w:tab w:val="left" w:pos="287"/>
              </w:tabs>
              <w:snapToGrid w:val="0"/>
              <w:ind w:left="145" w:right="100"/>
              <w:jc w:val="center"/>
              <w:rPr>
                <w:rFonts w:ascii="Times New Roman" w:hAnsi="Times New Roman"/>
                <w:b/>
                <w:sz w:val="16"/>
                <w:szCs w:val="16"/>
                <w:lang w:val="uk-UA"/>
              </w:rPr>
            </w:pPr>
          </w:p>
          <w:p w14:paraId="63269765" w14:textId="77777777" w:rsidR="003A05A3" w:rsidRPr="00E16672" w:rsidRDefault="003A05A3" w:rsidP="00843027">
            <w:pPr>
              <w:tabs>
                <w:tab w:val="left" w:pos="287"/>
              </w:tabs>
              <w:snapToGrid w:val="0"/>
              <w:ind w:left="145" w:right="100"/>
              <w:jc w:val="center"/>
              <w:rPr>
                <w:rFonts w:ascii="Times New Roman" w:hAnsi="Times New Roman"/>
                <w:b/>
                <w:sz w:val="16"/>
                <w:szCs w:val="16"/>
                <w:lang w:val="en-GB"/>
              </w:rPr>
            </w:pPr>
            <w:r w:rsidRPr="00E16672">
              <w:rPr>
                <w:rFonts w:ascii="Times New Roman" w:hAnsi="Times New Roman"/>
                <w:b/>
                <w:sz w:val="16"/>
                <w:szCs w:val="16"/>
                <w:lang w:val="uk-UA"/>
              </w:rPr>
              <w:t>1</w:t>
            </w:r>
            <w:r w:rsidR="005C5318" w:rsidRPr="00E16672">
              <w:rPr>
                <w:rFonts w:ascii="Times New Roman" w:hAnsi="Times New Roman"/>
                <w:b/>
                <w:sz w:val="16"/>
                <w:szCs w:val="16"/>
                <w:lang w:val="uk-UA"/>
              </w:rPr>
              <w:t>2</w:t>
            </w:r>
            <w:r w:rsidRPr="00E16672">
              <w:rPr>
                <w:rFonts w:ascii="Times New Roman" w:hAnsi="Times New Roman"/>
                <w:b/>
                <w:sz w:val="16"/>
                <w:szCs w:val="16"/>
                <w:lang w:val="en-GB"/>
              </w:rPr>
              <w:t>. FINAL PROVISIONS</w:t>
            </w:r>
          </w:p>
          <w:p w14:paraId="5A8AE82A" w14:textId="77777777" w:rsidR="003A05A3" w:rsidRPr="00E16672" w:rsidRDefault="003A05A3" w:rsidP="00843027">
            <w:pPr>
              <w:tabs>
                <w:tab w:val="left" w:pos="287"/>
              </w:tabs>
              <w:snapToGrid w:val="0"/>
              <w:ind w:left="145" w:right="100"/>
              <w:rPr>
                <w:rFonts w:ascii="Times New Roman" w:hAnsi="Times New Roman"/>
                <w:sz w:val="16"/>
                <w:szCs w:val="16"/>
                <w:lang w:val="en-GB"/>
              </w:rPr>
            </w:pPr>
          </w:p>
          <w:p w14:paraId="1DF9715F" w14:textId="77777777" w:rsidR="003A05A3" w:rsidRPr="00E16672" w:rsidRDefault="003A05A3" w:rsidP="004F69E6">
            <w:pPr>
              <w:tabs>
                <w:tab w:val="left" w:pos="287"/>
              </w:tabs>
              <w:snapToGrid w:val="0"/>
              <w:ind w:left="145" w:right="100" w:firstLine="0"/>
              <w:rPr>
                <w:rFonts w:ascii="Times New Roman" w:hAnsi="Times New Roman"/>
                <w:sz w:val="16"/>
                <w:szCs w:val="16"/>
                <w:lang w:val="en-GB"/>
              </w:rPr>
            </w:pPr>
            <w:r w:rsidRPr="00E16672">
              <w:rPr>
                <w:rFonts w:ascii="Times New Roman" w:hAnsi="Times New Roman"/>
                <w:sz w:val="16"/>
                <w:szCs w:val="16"/>
                <w:lang w:val="en-US"/>
              </w:rPr>
              <w:t>1</w:t>
            </w:r>
            <w:r w:rsidR="005C5318" w:rsidRPr="00E16672">
              <w:rPr>
                <w:rFonts w:ascii="Times New Roman" w:hAnsi="Times New Roman"/>
                <w:sz w:val="16"/>
                <w:szCs w:val="16"/>
                <w:lang w:val="uk-UA"/>
              </w:rPr>
              <w:t>2</w:t>
            </w:r>
            <w:r w:rsidRPr="00E16672">
              <w:rPr>
                <w:rFonts w:ascii="Times New Roman" w:hAnsi="Times New Roman"/>
                <w:sz w:val="16"/>
                <w:szCs w:val="16"/>
                <w:lang w:val="en-US"/>
              </w:rPr>
              <w:t>.1. This Agreement has been made in Ukrainian and English language (</w:t>
            </w:r>
            <w:r w:rsidRPr="00F23413">
              <w:rPr>
                <w:rFonts w:ascii="Times New Roman" w:hAnsi="Times New Roman"/>
                <w:sz w:val="16"/>
                <w:szCs w:val="16"/>
                <w:lang w:val="en-US"/>
              </w:rPr>
              <w:t xml:space="preserve">thus, the </w:t>
            </w:r>
            <w:r w:rsidRPr="00E16672">
              <w:rPr>
                <w:rFonts w:ascii="Times New Roman" w:hAnsi="Times New Roman"/>
                <w:sz w:val="16"/>
                <w:szCs w:val="16"/>
                <w:lang w:val="en-US"/>
              </w:rPr>
              <w:t xml:space="preserve">Agreement in </w:t>
            </w:r>
            <w:r w:rsidRPr="00F23413">
              <w:rPr>
                <w:rFonts w:ascii="Times New Roman" w:hAnsi="Times New Roman"/>
                <w:sz w:val="16"/>
                <w:szCs w:val="16"/>
                <w:lang w:val="en-US"/>
              </w:rPr>
              <w:t>Ukrainian language</w:t>
            </w:r>
            <w:r w:rsidRPr="00E16672">
              <w:rPr>
                <w:rFonts w:ascii="Times New Roman" w:hAnsi="Times New Roman"/>
                <w:sz w:val="16"/>
                <w:szCs w:val="16"/>
                <w:lang w:val="en-US"/>
              </w:rPr>
              <w:t xml:space="preserve"> </w:t>
            </w:r>
            <w:r w:rsidRPr="00F23413">
              <w:rPr>
                <w:rFonts w:ascii="Times New Roman" w:hAnsi="Times New Roman"/>
                <w:sz w:val="16"/>
                <w:szCs w:val="16"/>
                <w:lang w:val="en-US"/>
              </w:rPr>
              <w:t>is the official and English translation provided for convenience only</w:t>
            </w:r>
            <w:r w:rsidRPr="00E16672">
              <w:rPr>
                <w:rFonts w:ascii="Times New Roman" w:hAnsi="Times New Roman"/>
                <w:sz w:val="16"/>
                <w:szCs w:val="16"/>
                <w:lang w:val="en-US"/>
              </w:rPr>
              <w:t xml:space="preserve">) in two </w:t>
            </w:r>
            <w:r w:rsidRPr="00E16672">
              <w:rPr>
                <w:rFonts w:ascii="Times New Roman" w:hAnsi="Times New Roman"/>
                <w:sz w:val="16"/>
                <w:szCs w:val="16"/>
                <w:lang w:val="en-GB"/>
              </w:rPr>
              <w:t xml:space="preserve">in </w:t>
            </w:r>
            <w:r w:rsidRPr="00E16672">
              <w:rPr>
                <w:rFonts w:ascii="Times New Roman" w:hAnsi="Times New Roman"/>
                <w:sz w:val="16"/>
                <w:szCs w:val="16"/>
                <w:lang w:val="en-US"/>
              </w:rPr>
              <w:t>specimens, which have equal legal force, one copy for Depositor, a</w:t>
            </w:r>
            <w:proofErr w:type="spellStart"/>
            <w:r w:rsidRPr="00E16672">
              <w:rPr>
                <w:rFonts w:ascii="Times New Roman" w:hAnsi="Times New Roman"/>
                <w:sz w:val="16"/>
                <w:szCs w:val="16"/>
                <w:lang w:val="en-GB"/>
              </w:rPr>
              <w:t>nd</w:t>
            </w:r>
            <w:proofErr w:type="spellEnd"/>
            <w:r w:rsidRPr="00E16672">
              <w:rPr>
                <w:rFonts w:ascii="Times New Roman" w:hAnsi="Times New Roman"/>
                <w:sz w:val="16"/>
                <w:szCs w:val="16"/>
                <w:lang w:val="en-GB"/>
              </w:rPr>
              <w:t xml:space="preserve"> another one for </w:t>
            </w:r>
            <w:r w:rsidRPr="00E16672">
              <w:rPr>
                <w:rFonts w:ascii="Times New Roman" w:hAnsi="Times New Roman"/>
                <w:sz w:val="16"/>
                <w:szCs w:val="16"/>
                <w:lang w:val="en-US"/>
              </w:rPr>
              <w:t>Depository institution</w:t>
            </w:r>
            <w:r w:rsidRPr="00E16672">
              <w:rPr>
                <w:rFonts w:ascii="Times New Roman" w:hAnsi="Times New Roman"/>
                <w:sz w:val="16"/>
                <w:szCs w:val="16"/>
                <w:lang w:val="en-GB"/>
              </w:rPr>
              <w:t xml:space="preserve">. </w:t>
            </w:r>
          </w:p>
          <w:p w14:paraId="057F0263" w14:textId="77777777" w:rsidR="003A05A3" w:rsidRPr="00E16672" w:rsidRDefault="003A05A3" w:rsidP="004F69E6">
            <w:pPr>
              <w:tabs>
                <w:tab w:val="left" w:pos="287"/>
              </w:tabs>
              <w:ind w:left="145" w:right="100" w:firstLine="0"/>
              <w:rPr>
                <w:rFonts w:ascii="Times New Roman" w:hAnsi="Times New Roman"/>
                <w:b/>
                <w:bCs/>
                <w:sz w:val="16"/>
                <w:szCs w:val="16"/>
                <w:lang w:val="en-GB"/>
              </w:rPr>
            </w:pPr>
            <w:r w:rsidRPr="00E16672">
              <w:rPr>
                <w:rFonts w:ascii="Times New Roman" w:hAnsi="Times New Roman"/>
                <w:bCs/>
                <w:sz w:val="16"/>
                <w:szCs w:val="16"/>
                <w:lang w:val="en-GB"/>
              </w:rPr>
              <w:t>1</w:t>
            </w:r>
            <w:r w:rsidR="005C5318" w:rsidRPr="00E16672">
              <w:rPr>
                <w:rFonts w:ascii="Times New Roman" w:hAnsi="Times New Roman"/>
                <w:bCs/>
                <w:sz w:val="16"/>
                <w:szCs w:val="16"/>
                <w:lang w:val="uk-UA"/>
              </w:rPr>
              <w:t>2</w:t>
            </w:r>
            <w:r w:rsidRPr="00E16672">
              <w:rPr>
                <w:rFonts w:ascii="Times New Roman" w:hAnsi="Times New Roman"/>
                <w:bCs/>
                <w:sz w:val="16"/>
                <w:szCs w:val="16"/>
                <w:lang w:val="en-GB"/>
              </w:rPr>
              <w:t>.2.</w:t>
            </w:r>
            <w:r w:rsidRPr="00E16672">
              <w:rPr>
                <w:rFonts w:ascii="Times New Roman" w:hAnsi="Times New Roman"/>
                <w:b/>
                <w:bCs/>
                <w:sz w:val="16"/>
                <w:szCs w:val="16"/>
                <w:lang w:val="en-GB"/>
              </w:rPr>
              <w:t xml:space="preserve"> </w:t>
            </w:r>
            <w:r w:rsidRPr="00F23413">
              <w:rPr>
                <w:rFonts w:ascii="Times New Roman" w:hAnsi="Times New Roman"/>
                <w:sz w:val="16"/>
                <w:szCs w:val="16"/>
                <w:lang w:val="en-US"/>
              </w:rPr>
              <w:t>By signing this Agreement, the Depositor certifies that he is familiar with the internal documents of the Depository, regulating the conduct of depositary activity, and the fees of the Depository.</w:t>
            </w:r>
            <w:r w:rsidRPr="00E16672">
              <w:rPr>
                <w:rFonts w:ascii="Times New Roman" w:hAnsi="Times New Roman"/>
                <w:b/>
                <w:bCs/>
                <w:sz w:val="16"/>
                <w:szCs w:val="16"/>
                <w:lang w:val="en-GB"/>
              </w:rPr>
              <w:t xml:space="preserve"> </w:t>
            </w:r>
          </w:p>
        </w:tc>
      </w:tr>
      <w:tr w:rsidR="003A05A3" w:rsidRPr="00E16672" w14:paraId="31B53262" w14:textId="77777777" w:rsidTr="00242F58">
        <w:tc>
          <w:tcPr>
            <w:tcW w:w="5246" w:type="dxa"/>
            <w:gridSpan w:val="4"/>
            <w:shd w:val="clear" w:color="auto" w:fill="auto"/>
          </w:tcPr>
          <w:p w14:paraId="1CE0C0A6" w14:textId="77777777" w:rsidR="003A05A3" w:rsidRPr="00E16672" w:rsidRDefault="003A05A3" w:rsidP="00843027">
            <w:pPr>
              <w:pStyle w:val="1e"/>
              <w:snapToGrid w:val="0"/>
              <w:jc w:val="center"/>
              <w:rPr>
                <w:rFonts w:ascii="Times New Roman" w:hAnsi="Times New Roman"/>
                <w:caps/>
                <w:sz w:val="16"/>
                <w:szCs w:val="16"/>
                <w:lang w:val="uk-UA"/>
              </w:rPr>
            </w:pPr>
            <w:r w:rsidRPr="00E16672">
              <w:rPr>
                <w:rFonts w:ascii="Times New Roman" w:hAnsi="Times New Roman"/>
                <w:caps/>
                <w:sz w:val="16"/>
                <w:szCs w:val="16"/>
                <w:lang w:val="uk-UA"/>
              </w:rPr>
              <w:t>1</w:t>
            </w:r>
            <w:r w:rsidR="005C5318" w:rsidRPr="00E16672">
              <w:rPr>
                <w:rFonts w:ascii="Times New Roman" w:hAnsi="Times New Roman"/>
                <w:caps/>
                <w:sz w:val="16"/>
                <w:szCs w:val="16"/>
                <w:lang w:val="uk-UA"/>
              </w:rPr>
              <w:t>3</w:t>
            </w:r>
            <w:r w:rsidRPr="00E16672">
              <w:rPr>
                <w:rFonts w:ascii="Times New Roman" w:hAnsi="Times New Roman"/>
                <w:caps/>
                <w:sz w:val="16"/>
                <w:szCs w:val="16"/>
                <w:lang w:val="uk-UA"/>
              </w:rPr>
              <w:t>. Реквізити Сторін</w:t>
            </w:r>
          </w:p>
          <w:p w14:paraId="754B6336" w14:textId="77777777" w:rsidR="003A05A3" w:rsidRPr="00E16672" w:rsidRDefault="003A05A3" w:rsidP="00843027">
            <w:pPr>
              <w:snapToGrid w:val="0"/>
              <w:ind w:left="57" w:right="57"/>
              <w:jc w:val="center"/>
              <w:rPr>
                <w:rFonts w:ascii="Times New Roman" w:hAnsi="Times New Roman"/>
                <w:b/>
                <w:sz w:val="16"/>
                <w:szCs w:val="16"/>
              </w:rPr>
            </w:pPr>
          </w:p>
        </w:tc>
        <w:tc>
          <w:tcPr>
            <w:tcW w:w="5944" w:type="dxa"/>
            <w:gridSpan w:val="10"/>
            <w:shd w:val="clear" w:color="auto" w:fill="auto"/>
          </w:tcPr>
          <w:p w14:paraId="682A16AF" w14:textId="77777777" w:rsidR="003A05A3" w:rsidRPr="00E16672" w:rsidRDefault="003A05A3" w:rsidP="005C5318">
            <w:pPr>
              <w:snapToGrid w:val="0"/>
              <w:ind w:left="57" w:right="57"/>
              <w:jc w:val="center"/>
              <w:rPr>
                <w:rFonts w:ascii="Times New Roman" w:hAnsi="Times New Roman"/>
                <w:b/>
                <w:caps/>
                <w:sz w:val="16"/>
                <w:szCs w:val="16"/>
              </w:rPr>
            </w:pPr>
            <w:r w:rsidRPr="00E16672">
              <w:rPr>
                <w:rFonts w:ascii="Times New Roman" w:hAnsi="Times New Roman"/>
                <w:b/>
                <w:caps/>
                <w:sz w:val="16"/>
                <w:szCs w:val="16"/>
              </w:rPr>
              <w:t>1</w:t>
            </w:r>
            <w:r w:rsidR="005C5318" w:rsidRPr="00E16672">
              <w:rPr>
                <w:rFonts w:ascii="Times New Roman" w:hAnsi="Times New Roman"/>
                <w:b/>
                <w:caps/>
                <w:sz w:val="16"/>
                <w:szCs w:val="16"/>
                <w:lang w:val="uk-UA"/>
              </w:rPr>
              <w:t>3</w:t>
            </w:r>
            <w:r w:rsidRPr="00E16672">
              <w:rPr>
                <w:rFonts w:ascii="Times New Roman" w:hAnsi="Times New Roman"/>
                <w:b/>
                <w:caps/>
                <w:sz w:val="16"/>
                <w:szCs w:val="16"/>
              </w:rPr>
              <w:t>. DETAILS OF THE PARTIES</w:t>
            </w:r>
          </w:p>
        </w:tc>
      </w:tr>
      <w:tr w:rsidR="003A05A3" w:rsidRPr="00F23413" w14:paraId="41D93BE3" w14:textId="77777777" w:rsidTr="00242F58">
        <w:tc>
          <w:tcPr>
            <w:tcW w:w="5246" w:type="dxa"/>
            <w:gridSpan w:val="4"/>
            <w:shd w:val="clear" w:color="auto" w:fill="auto"/>
          </w:tcPr>
          <w:p w14:paraId="0F5AA848" w14:textId="39945DCE" w:rsidR="003A05A3" w:rsidRPr="00E16672" w:rsidRDefault="00843027" w:rsidP="00677768">
            <w:pPr>
              <w:snapToGrid w:val="0"/>
              <w:ind w:left="57" w:right="57"/>
              <w:jc w:val="left"/>
              <w:rPr>
                <w:rFonts w:ascii="Times New Roman" w:hAnsi="Times New Roman"/>
                <w:b/>
                <w:bCs/>
                <w:sz w:val="16"/>
                <w:szCs w:val="16"/>
                <w:u w:val="single"/>
              </w:rPr>
            </w:pPr>
            <w:r w:rsidRPr="00E16672">
              <w:rPr>
                <w:rFonts w:ascii="Times New Roman" w:hAnsi="Times New Roman"/>
                <w:b/>
                <w:iCs/>
                <w:color w:val="000000"/>
                <w:sz w:val="16"/>
                <w:szCs w:val="16"/>
              </w:rPr>
              <w:t>Депонент</w:t>
            </w:r>
            <w:r w:rsidR="003A05A3" w:rsidRPr="00E16672">
              <w:rPr>
                <w:rFonts w:ascii="Times New Roman" w:hAnsi="Times New Roman"/>
                <w:b/>
                <w:bCs/>
                <w:sz w:val="16"/>
                <w:szCs w:val="16"/>
                <w:u w:val="single"/>
              </w:rPr>
              <w:t>:</w:t>
            </w:r>
          </w:p>
        </w:tc>
        <w:tc>
          <w:tcPr>
            <w:tcW w:w="5944" w:type="dxa"/>
            <w:gridSpan w:val="10"/>
            <w:shd w:val="clear" w:color="auto" w:fill="auto"/>
          </w:tcPr>
          <w:p w14:paraId="23F67AFF" w14:textId="0740BF71" w:rsidR="003A05A3" w:rsidRPr="007A5A5E" w:rsidRDefault="000B2195" w:rsidP="00843027">
            <w:pPr>
              <w:snapToGrid w:val="0"/>
              <w:ind w:right="57"/>
              <w:jc w:val="center"/>
              <w:rPr>
                <w:rFonts w:ascii="Times New Roman" w:hAnsi="Times New Roman"/>
                <w:b/>
                <w:bCs/>
                <w:sz w:val="16"/>
                <w:szCs w:val="16"/>
                <w:u w:val="single"/>
                <w:lang w:val="uk-UA"/>
              </w:rPr>
            </w:pPr>
            <w:r w:rsidRPr="00E16672">
              <w:rPr>
                <w:rFonts w:ascii="Times New Roman" w:hAnsi="Times New Roman"/>
                <w:b/>
                <w:bCs/>
                <w:sz w:val="16"/>
                <w:szCs w:val="16"/>
                <w:lang w:val="en-US"/>
              </w:rPr>
              <w:t>Depositor</w:t>
            </w:r>
            <w:r w:rsidR="007A5A5E">
              <w:rPr>
                <w:rFonts w:ascii="Times New Roman" w:hAnsi="Times New Roman"/>
                <w:b/>
                <w:bCs/>
                <w:sz w:val="16"/>
                <w:szCs w:val="16"/>
                <w:lang w:val="uk-UA"/>
              </w:rPr>
              <w:t>:</w:t>
            </w:r>
          </w:p>
        </w:tc>
      </w:tr>
      <w:tr w:rsidR="003A05A3" w:rsidRPr="00F23413" w14:paraId="00B4369F" w14:textId="77777777" w:rsidTr="005F2A38">
        <w:tc>
          <w:tcPr>
            <w:tcW w:w="2018" w:type="dxa"/>
            <w:gridSpan w:val="2"/>
            <w:shd w:val="clear" w:color="auto" w:fill="auto"/>
          </w:tcPr>
          <w:p w14:paraId="45DB5698" w14:textId="59FD16E9" w:rsidR="003A05A3" w:rsidRPr="00E16672" w:rsidRDefault="00843027" w:rsidP="00843027">
            <w:pPr>
              <w:pStyle w:val="4"/>
              <w:keepNext w:val="0"/>
              <w:tabs>
                <w:tab w:val="left" w:pos="57"/>
              </w:tabs>
              <w:snapToGrid w:val="0"/>
              <w:ind w:left="57" w:right="57" w:firstLine="0"/>
              <w:jc w:val="left"/>
              <w:rPr>
                <w:rFonts w:ascii="Times New Roman" w:hAnsi="Times New Roman"/>
                <w:b w:val="0"/>
                <w:iCs/>
                <w:sz w:val="16"/>
                <w:szCs w:val="16"/>
              </w:rPr>
            </w:pPr>
            <w:r w:rsidRPr="00E16672">
              <w:rPr>
                <w:rFonts w:ascii="Times New Roman" w:hAnsi="Times New Roman"/>
                <w:b w:val="0"/>
                <w:color w:val="000000"/>
                <w:sz w:val="16"/>
                <w:szCs w:val="18"/>
              </w:rPr>
              <w:t>Повне найменування</w:t>
            </w:r>
            <w:r w:rsidR="003A05A3" w:rsidRPr="00E16672">
              <w:rPr>
                <w:rFonts w:ascii="Times New Roman" w:hAnsi="Times New Roman"/>
                <w:b w:val="0"/>
                <w:color w:val="000000"/>
                <w:sz w:val="16"/>
                <w:szCs w:val="16"/>
                <w:lang w:val="ru-RU"/>
              </w:rPr>
              <w:t>:</w:t>
            </w:r>
          </w:p>
        </w:tc>
        <w:tc>
          <w:tcPr>
            <w:tcW w:w="3245" w:type="dxa"/>
            <w:gridSpan w:val="3"/>
            <w:shd w:val="clear" w:color="auto" w:fill="auto"/>
          </w:tcPr>
          <w:p w14:paraId="0A95EAFA" w14:textId="77777777" w:rsidR="003A05A3" w:rsidRPr="00E16672" w:rsidRDefault="003A05A3" w:rsidP="00843027">
            <w:pPr>
              <w:pStyle w:val="4"/>
              <w:keepNext w:val="0"/>
              <w:tabs>
                <w:tab w:val="left" w:pos="1475"/>
              </w:tabs>
              <w:snapToGrid w:val="0"/>
              <w:ind w:left="57" w:right="57" w:firstLine="0"/>
              <w:jc w:val="left"/>
              <w:rPr>
                <w:rFonts w:ascii="Times New Roman" w:hAnsi="Times New Roman"/>
                <w:i/>
                <w:iCs/>
                <w:sz w:val="16"/>
                <w:szCs w:val="16"/>
              </w:rPr>
            </w:pPr>
          </w:p>
        </w:tc>
        <w:tc>
          <w:tcPr>
            <w:tcW w:w="2249" w:type="dxa"/>
            <w:gridSpan w:val="6"/>
            <w:shd w:val="clear" w:color="auto" w:fill="auto"/>
          </w:tcPr>
          <w:p w14:paraId="34641F8F" w14:textId="7D1B8580" w:rsidR="003A05A3" w:rsidRPr="00E16672" w:rsidRDefault="00843027" w:rsidP="004E2CB6">
            <w:pPr>
              <w:pStyle w:val="4"/>
              <w:keepNext w:val="0"/>
              <w:tabs>
                <w:tab w:val="left" w:pos="156"/>
              </w:tabs>
              <w:snapToGrid w:val="0"/>
              <w:ind w:left="156" w:right="57" w:firstLine="0"/>
              <w:jc w:val="left"/>
              <w:rPr>
                <w:rFonts w:ascii="Times New Roman" w:hAnsi="Times New Roman"/>
                <w:b w:val="0"/>
                <w:iCs/>
                <w:sz w:val="16"/>
                <w:szCs w:val="16"/>
              </w:rPr>
            </w:pPr>
            <w:r w:rsidRPr="00E16672">
              <w:rPr>
                <w:rFonts w:ascii="Times New Roman" w:hAnsi="Times New Roman"/>
                <w:b w:val="0"/>
                <w:iCs/>
                <w:sz w:val="16"/>
                <w:szCs w:val="16"/>
                <w:lang w:val="en-US"/>
              </w:rPr>
              <w:t>Full name</w:t>
            </w:r>
            <w:r w:rsidR="003A05A3" w:rsidRPr="00E16672">
              <w:rPr>
                <w:rFonts w:ascii="Times New Roman" w:hAnsi="Times New Roman"/>
                <w:b w:val="0"/>
                <w:iCs/>
                <w:sz w:val="16"/>
                <w:szCs w:val="16"/>
              </w:rPr>
              <w:t>:</w:t>
            </w:r>
          </w:p>
        </w:tc>
        <w:tc>
          <w:tcPr>
            <w:tcW w:w="3313" w:type="dxa"/>
            <w:gridSpan w:val="2"/>
            <w:shd w:val="clear" w:color="auto" w:fill="auto"/>
          </w:tcPr>
          <w:p w14:paraId="001B8745" w14:textId="77777777" w:rsidR="003A05A3" w:rsidRPr="00E16672" w:rsidRDefault="003A05A3" w:rsidP="00843027">
            <w:pPr>
              <w:pStyle w:val="4"/>
              <w:keepNext w:val="0"/>
              <w:tabs>
                <w:tab w:val="left" w:pos="1475"/>
              </w:tabs>
              <w:snapToGrid w:val="0"/>
              <w:ind w:left="57" w:right="57" w:firstLine="0"/>
              <w:jc w:val="left"/>
              <w:rPr>
                <w:rFonts w:ascii="Times New Roman" w:hAnsi="Times New Roman"/>
                <w:i/>
                <w:iCs/>
                <w:sz w:val="16"/>
                <w:szCs w:val="16"/>
              </w:rPr>
            </w:pPr>
          </w:p>
        </w:tc>
        <w:tc>
          <w:tcPr>
            <w:tcW w:w="365" w:type="dxa"/>
            <w:shd w:val="clear" w:color="auto" w:fill="auto"/>
          </w:tcPr>
          <w:p w14:paraId="3B211F22" w14:textId="77777777" w:rsidR="003A05A3" w:rsidRPr="00E16672" w:rsidRDefault="003A05A3" w:rsidP="00843027">
            <w:pPr>
              <w:snapToGrid w:val="0"/>
              <w:rPr>
                <w:rFonts w:ascii="Times New Roman" w:hAnsi="Times New Roman"/>
                <w:lang w:val="en-US"/>
              </w:rPr>
            </w:pPr>
          </w:p>
        </w:tc>
      </w:tr>
      <w:tr w:rsidR="003A05A3" w:rsidRPr="00E16672" w14:paraId="1373E7DE" w14:textId="77777777" w:rsidTr="005F2A38">
        <w:tc>
          <w:tcPr>
            <w:tcW w:w="2018" w:type="dxa"/>
            <w:gridSpan w:val="2"/>
            <w:shd w:val="clear" w:color="auto" w:fill="auto"/>
          </w:tcPr>
          <w:p w14:paraId="1CA01667" w14:textId="2217D948" w:rsidR="003A05A3" w:rsidRPr="00E16672" w:rsidRDefault="00242F58" w:rsidP="00D048FE">
            <w:pPr>
              <w:pStyle w:val="4"/>
              <w:keepNext w:val="0"/>
              <w:tabs>
                <w:tab w:val="left" w:pos="57"/>
              </w:tabs>
              <w:snapToGrid w:val="0"/>
              <w:ind w:left="57" w:right="57" w:hanging="14"/>
              <w:jc w:val="left"/>
              <w:rPr>
                <w:rFonts w:ascii="Times New Roman" w:hAnsi="Times New Roman"/>
                <w:b w:val="0"/>
                <w:iCs/>
                <w:color w:val="000000"/>
                <w:sz w:val="16"/>
                <w:szCs w:val="16"/>
              </w:rPr>
            </w:pPr>
            <w:r w:rsidRPr="00E16672">
              <w:rPr>
                <w:rFonts w:ascii="Times New Roman" w:hAnsi="Times New Roman"/>
                <w:b w:val="0"/>
                <w:iCs/>
                <w:color w:val="000000"/>
                <w:sz w:val="16"/>
                <w:szCs w:val="16"/>
                <w:lang w:val="ru-RU"/>
              </w:rPr>
              <w:t>М</w:t>
            </w:r>
            <w:r w:rsidR="00D048FE" w:rsidRPr="00E16672">
              <w:rPr>
                <w:rFonts w:ascii="Times New Roman" w:hAnsi="Times New Roman"/>
                <w:b w:val="0"/>
                <w:iCs/>
                <w:color w:val="000000"/>
                <w:sz w:val="16"/>
                <w:szCs w:val="16"/>
              </w:rPr>
              <w:t>і</w:t>
            </w:r>
            <w:proofErr w:type="spellStart"/>
            <w:r w:rsidRPr="00E16672">
              <w:rPr>
                <w:rFonts w:ascii="Times New Roman" w:hAnsi="Times New Roman"/>
                <w:b w:val="0"/>
                <w:iCs/>
                <w:color w:val="000000"/>
                <w:sz w:val="16"/>
                <w:szCs w:val="16"/>
                <w:lang w:val="ru-RU"/>
              </w:rPr>
              <w:t>сцезнаходження</w:t>
            </w:r>
            <w:proofErr w:type="spellEnd"/>
            <w:r w:rsidR="007A5A5E">
              <w:rPr>
                <w:rFonts w:ascii="Times New Roman" w:hAnsi="Times New Roman"/>
                <w:b w:val="0"/>
                <w:iCs/>
                <w:color w:val="000000"/>
                <w:sz w:val="16"/>
                <w:szCs w:val="16"/>
                <w:lang w:val="ru-RU"/>
              </w:rPr>
              <w:t>:</w:t>
            </w:r>
          </w:p>
        </w:tc>
        <w:tc>
          <w:tcPr>
            <w:tcW w:w="3245" w:type="dxa"/>
            <w:gridSpan w:val="3"/>
            <w:shd w:val="clear" w:color="auto" w:fill="auto"/>
          </w:tcPr>
          <w:p w14:paraId="44884071" w14:textId="77777777" w:rsidR="003A05A3" w:rsidRPr="00E16672" w:rsidRDefault="003A05A3" w:rsidP="00843027">
            <w:pPr>
              <w:pStyle w:val="4"/>
              <w:keepNext w:val="0"/>
              <w:tabs>
                <w:tab w:val="left" w:pos="1475"/>
              </w:tabs>
              <w:snapToGrid w:val="0"/>
              <w:ind w:left="57" w:right="57" w:firstLine="0"/>
              <w:jc w:val="left"/>
              <w:rPr>
                <w:rFonts w:ascii="Times New Roman" w:hAnsi="Times New Roman"/>
                <w:i/>
                <w:iCs/>
                <w:color w:val="000000"/>
                <w:sz w:val="16"/>
                <w:szCs w:val="16"/>
              </w:rPr>
            </w:pPr>
          </w:p>
        </w:tc>
        <w:tc>
          <w:tcPr>
            <w:tcW w:w="2249" w:type="dxa"/>
            <w:gridSpan w:val="6"/>
            <w:shd w:val="clear" w:color="auto" w:fill="auto"/>
          </w:tcPr>
          <w:p w14:paraId="3A1CF7EB" w14:textId="5F66DFB8" w:rsidR="003A05A3" w:rsidRPr="00E16672" w:rsidRDefault="003A05A3" w:rsidP="004E2CB6">
            <w:pPr>
              <w:pStyle w:val="4"/>
              <w:keepNext w:val="0"/>
              <w:tabs>
                <w:tab w:val="left" w:pos="156"/>
                <w:tab w:val="num" w:pos="200"/>
              </w:tabs>
              <w:snapToGrid w:val="0"/>
              <w:ind w:left="57" w:right="57" w:firstLine="99"/>
              <w:jc w:val="left"/>
              <w:rPr>
                <w:rFonts w:ascii="Times New Roman" w:hAnsi="Times New Roman"/>
                <w:b w:val="0"/>
                <w:iCs/>
                <w:color w:val="000000"/>
                <w:sz w:val="16"/>
                <w:szCs w:val="16"/>
              </w:rPr>
            </w:pPr>
            <w:proofErr w:type="spellStart"/>
            <w:r w:rsidRPr="00E16672">
              <w:rPr>
                <w:rFonts w:ascii="Times New Roman" w:hAnsi="Times New Roman"/>
                <w:b w:val="0"/>
                <w:iCs/>
                <w:color w:val="000000"/>
                <w:sz w:val="16"/>
                <w:szCs w:val="16"/>
              </w:rPr>
              <w:t>Address</w:t>
            </w:r>
            <w:proofErr w:type="spellEnd"/>
            <w:r w:rsidR="007A5A5E">
              <w:rPr>
                <w:rFonts w:ascii="Times New Roman" w:hAnsi="Times New Roman"/>
                <w:b w:val="0"/>
                <w:iCs/>
                <w:color w:val="000000"/>
                <w:sz w:val="16"/>
                <w:szCs w:val="16"/>
              </w:rPr>
              <w:t>:</w:t>
            </w:r>
          </w:p>
        </w:tc>
        <w:tc>
          <w:tcPr>
            <w:tcW w:w="3313" w:type="dxa"/>
            <w:gridSpan w:val="2"/>
            <w:shd w:val="clear" w:color="auto" w:fill="auto"/>
          </w:tcPr>
          <w:p w14:paraId="045FD1D5" w14:textId="77777777" w:rsidR="003A05A3" w:rsidRPr="00E16672" w:rsidRDefault="003A05A3" w:rsidP="00843027">
            <w:pPr>
              <w:pStyle w:val="4"/>
              <w:keepNext w:val="0"/>
              <w:tabs>
                <w:tab w:val="left" w:pos="1475"/>
              </w:tabs>
              <w:snapToGrid w:val="0"/>
              <w:ind w:left="57" w:right="57" w:firstLine="0"/>
              <w:jc w:val="left"/>
              <w:rPr>
                <w:rFonts w:ascii="Times New Roman" w:hAnsi="Times New Roman"/>
                <w:i/>
                <w:iCs/>
                <w:sz w:val="16"/>
                <w:szCs w:val="16"/>
              </w:rPr>
            </w:pPr>
          </w:p>
          <w:p w14:paraId="6B019B96" w14:textId="77777777" w:rsidR="00242F58" w:rsidRPr="00E16672" w:rsidRDefault="00242F58" w:rsidP="00677768">
            <w:pPr>
              <w:rPr>
                <w:rFonts w:ascii="Times New Roman" w:hAnsi="Times New Roman"/>
                <w:lang w:val="uk-UA"/>
              </w:rPr>
            </w:pPr>
          </w:p>
        </w:tc>
        <w:tc>
          <w:tcPr>
            <w:tcW w:w="365" w:type="dxa"/>
            <w:shd w:val="clear" w:color="auto" w:fill="auto"/>
          </w:tcPr>
          <w:p w14:paraId="37BAC713" w14:textId="77777777" w:rsidR="003A05A3" w:rsidRPr="00E16672" w:rsidRDefault="003A05A3" w:rsidP="00843027">
            <w:pPr>
              <w:snapToGrid w:val="0"/>
              <w:rPr>
                <w:rFonts w:ascii="Times New Roman" w:hAnsi="Times New Roman"/>
              </w:rPr>
            </w:pPr>
          </w:p>
        </w:tc>
      </w:tr>
      <w:tr w:rsidR="003A05A3" w:rsidRPr="00E16672" w14:paraId="6CE06271" w14:textId="77777777" w:rsidTr="005F2A38">
        <w:tc>
          <w:tcPr>
            <w:tcW w:w="2018" w:type="dxa"/>
            <w:gridSpan w:val="2"/>
            <w:shd w:val="clear" w:color="auto" w:fill="auto"/>
          </w:tcPr>
          <w:p w14:paraId="6092D975" w14:textId="77777777" w:rsidR="003A05A3" w:rsidRPr="00E16672" w:rsidRDefault="003A05A3" w:rsidP="00843027">
            <w:pPr>
              <w:pStyle w:val="4"/>
              <w:keepNext w:val="0"/>
              <w:tabs>
                <w:tab w:val="left" w:pos="57"/>
              </w:tabs>
              <w:snapToGrid w:val="0"/>
              <w:ind w:left="57" w:right="57" w:hanging="14"/>
              <w:jc w:val="left"/>
              <w:rPr>
                <w:rFonts w:ascii="Times New Roman" w:hAnsi="Times New Roman"/>
                <w:b w:val="0"/>
                <w:iCs/>
                <w:color w:val="000000"/>
                <w:sz w:val="16"/>
                <w:szCs w:val="16"/>
              </w:rPr>
            </w:pPr>
            <w:r w:rsidRPr="00E16672">
              <w:rPr>
                <w:rFonts w:ascii="Times New Roman" w:hAnsi="Times New Roman"/>
                <w:b w:val="0"/>
                <w:iCs/>
                <w:color w:val="000000"/>
                <w:sz w:val="16"/>
                <w:szCs w:val="16"/>
              </w:rPr>
              <w:t>Адреса для листування</w:t>
            </w:r>
          </w:p>
        </w:tc>
        <w:tc>
          <w:tcPr>
            <w:tcW w:w="3245" w:type="dxa"/>
            <w:gridSpan w:val="3"/>
            <w:shd w:val="clear" w:color="auto" w:fill="auto"/>
          </w:tcPr>
          <w:p w14:paraId="7CAD44FA" w14:textId="77777777" w:rsidR="003A05A3" w:rsidRPr="00E16672" w:rsidRDefault="003A05A3" w:rsidP="00843027">
            <w:pPr>
              <w:pStyle w:val="4"/>
              <w:keepNext w:val="0"/>
              <w:tabs>
                <w:tab w:val="left" w:pos="1475"/>
              </w:tabs>
              <w:snapToGrid w:val="0"/>
              <w:ind w:left="57" w:right="57" w:firstLine="0"/>
              <w:jc w:val="left"/>
              <w:rPr>
                <w:rFonts w:ascii="Times New Roman" w:hAnsi="Times New Roman"/>
                <w:i/>
                <w:iCs/>
                <w:color w:val="000000"/>
                <w:sz w:val="16"/>
                <w:szCs w:val="16"/>
              </w:rPr>
            </w:pPr>
          </w:p>
        </w:tc>
        <w:tc>
          <w:tcPr>
            <w:tcW w:w="2249" w:type="dxa"/>
            <w:gridSpan w:val="6"/>
            <w:shd w:val="clear" w:color="auto" w:fill="auto"/>
          </w:tcPr>
          <w:p w14:paraId="1E3C251B" w14:textId="77777777" w:rsidR="003A05A3" w:rsidRPr="00E16672" w:rsidRDefault="003A05A3" w:rsidP="004E2CB6">
            <w:pPr>
              <w:pStyle w:val="4"/>
              <w:keepNext w:val="0"/>
              <w:tabs>
                <w:tab w:val="left" w:pos="156"/>
                <w:tab w:val="num" w:pos="200"/>
              </w:tabs>
              <w:snapToGrid w:val="0"/>
              <w:ind w:left="57" w:right="57" w:firstLine="99"/>
              <w:jc w:val="left"/>
              <w:rPr>
                <w:rFonts w:ascii="Times New Roman" w:hAnsi="Times New Roman"/>
                <w:b w:val="0"/>
                <w:iCs/>
                <w:color w:val="000000"/>
                <w:sz w:val="16"/>
                <w:szCs w:val="16"/>
                <w:lang w:val="en-US"/>
              </w:rPr>
            </w:pPr>
            <w:r w:rsidRPr="00E16672">
              <w:rPr>
                <w:rFonts w:ascii="Times New Roman" w:hAnsi="Times New Roman"/>
                <w:b w:val="0"/>
                <w:iCs/>
                <w:color w:val="000000"/>
                <w:sz w:val="16"/>
                <w:szCs w:val="16"/>
                <w:lang w:val="en-US"/>
              </w:rPr>
              <w:t>Correspondence address</w:t>
            </w:r>
          </w:p>
          <w:p w14:paraId="04684112" w14:textId="77777777" w:rsidR="00242F58" w:rsidRPr="00E16672" w:rsidRDefault="00242F58" w:rsidP="004E2CB6">
            <w:pPr>
              <w:tabs>
                <w:tab w:val="left" w:pos="156"/>
              </w:tabs>
              <w:rPr>
                <w:rFonts w:ascii="Times New Roman" w:hAnsi="Times New Roman"/>
                <w:lang w:val="en-US"/>
              </w:rPr>
            </w:pPr>
          </w:p>
        </w:tc>
        <w:tc>
          <w:tcPr>
            <w:tcW w:w="3313" w:type="dxa"/>
            <w:gridSpan w:val="2"/>
            <w:shd w:val="clear" w:color="auto" w:fill="auto"/>
          </w:tcPr>
          <w:p w14:paraId="2E951539" w14:textId="77777777" w:rsidR="003A05A3" w:rsidRPr="00E16672" w:rsidRDefault="003A05A3" w:rsidP="00843027">
            <w:pPr>
              <w:pStyle w:val="4"/>
              <w:keepNext w:val="0"/>
              <w:tabs>
                <w:tab w:val="left" w:pos="1475"/>
              </w:tabs>
              <w:snapToGrid w:val="0"/>
              <w:ind w:left="57" w:right="57" w:firstLine="0"/>
              <w:jc w:val="left"/>
              <w:rPr>
                <w:rFonts w:ascii="Times New Roman" w:hAnsi="Times New Roman"/>
                <w:i/>
                <w:iCs/>
                <w:sz w:val="16"/>
                <w:szCs w:val="16"/>
              </w:rPr>
            </w:pPr>
          </w:p>
        </w:tc>
        <w:tc>
          <w:tcPr>
            <w:tcW w:w="365" w:type="dxa"/>
            <w:shd w:val="clear" w:color="auto" w:fill="auto"/>
          </w:tcPr>
          <w:p w14:paraId="285C02B3" w14:textId="77777777" w:rsidR="003A05A3" w:rsidRPr="00E16672" w:rsidRDefault="003A05A3" w:rsidP="00843027">
            <w:pPr>
              <w:snapToGrid w:val="0"/>
              <w:rPr>
                <w:rFonts w:ascii="Times New Roman" w:hAnsi="Times New Roman"/>
              </w:rPr>
            </w:pPr>
          </w:p>
        </w:tc>
      </w:tr>
      <w:tr w:rsidR="00242F58" w:rsidRPr="00F23413" w14:paraId="26CC5263" w14:textId="77777777" w:rsidTr="005F2A38">
        <w:tc>
          <w:tcPr>
            <w:tcW w:w="2018" w:type="dxa"/>
            <w:gridSpan w:val="2"/>
            <w:shd w:val="clear" w:color="auto" w:fill="auto"/>
          </w:tcPr>
          <w:p w14:paraId="772D8BF3" w14:textId="77777777" w:rsidR="00242F58" w:rsidRPr="00E16672" w:rsidRDefault="00242F58" w:rsidP="006E6311">
            <w:pPr>
              <w:pStyle w:val="4"/>
              <w:keepNext w:val="0"/>
              <w:tabs>
                <w:tab w:val="left" w:pos="57"/>
              </w:tabs>
              <w:snapToGrid w:val="0"/>
              <w:ind w:left="57" w:right="57" w:hanging="14"/>
              <w:jc w:val="left"/>
              <w:rPr>
                <w:rFonts w:ascii="Times New Roman" w:hAnsi="Times New Roman"/>
                <w:b w:val="0"/>
                <w:iCs/>
                <w:color w:val="000000"/>
                <w:sz w:val="16"/>
                <w:szCs w:val="16"/>
              </w:rPr>
            </w:pPr>
            <w:r w:rsidRPr="00E16672">
              <w:rPr>
                <w:rFonts w:ascii="Times New Roman" w:hAnsi="Times New Roman"/>
                <w:b w:val="0"/>
                <w:iCs/>
                <w:color w:val="000000"/>
                <w:sz w:val="16"/>
                <w:szCs w:val="16"/>
              </w:rPr>
              <w:t>Ідентифікаційний код юридичної особи (код за ЄДРПОУ / номер реєстрації юридичної особи в країні її місцезнаходження)</w:t>
            </w:r>
          </w:p>
        </w:tc>
        <w:tc>
          <w:tcPr>
            <w:tcW w:w="3245" w:type="dxa"/>
            <w:gridSpan w:val="3"/>
            <w:shd w:val="clear" w:color="auto" w:fill="auto"/>
          </w:tcPr>
          <w:p w14:paraId="295ECFB5" w14:textId="77777777" w:rsidR="00242F58" w:rsidRPr="00E16672" w:rsidRDefault="00242F58" w:rsidP="00A05686">
            <w:pPr>
              <w:ind w:left="57" w:right="57"/>
              <w:rPr>
                <w:rFonts w:ascii="Times New Roman" w:hAnsi="Times New Roman"/>
                <w:color w:val="000000"/>
                <w:sz w:val="16"/>
                <w:szCs w:val="16"/>
                <w:lang w:val="uk-UA"/>
              </w:rPr>
            </w:pPr>
          </w:p>
        </w:tc>
        <w:tc>
          <w:tcPr>
            <w:tcW w:w="2249" w:type="dxa"/>
            <w:gridSpan w:val="6"/>
            <w:shd w:val="clear" w:color="auto" w:fill="auto"/>
          </w:tcPr>
          <w:p w14:paraId="355311EB" w14:textId="77777777" w:rsidR="00242F58" w:rsidRPr="00E16672" w:rsidRDefault="00242F58" w:rsidP="004E2CB6">
            <w:pPr>
              <w:pStyle w:val="4"/>
              <w:keepNext w:val="0"/>
              <w:tabs>
                <w:tab w:val="left" w:pos="57"/>
                <w:tab w:val="left" w:pos="156"/>
              </w:tabs>
              <w:snapToGrid w:val="0"/>
              <w:ind w:left="57" w:right="57" w:hanging="15"/>
              <w:jc w:val="left"/>
              <w:rPr>
                <w:rFonts w:ascii="Times New Roman" w:hAnsi="Times New Roman"/>
                <w:b w:val="0"/>
                <w:iCs/>
                <w:color w:val="000000"/>
                <w:sz w:val="16"/>
                <w:szCs w:val="16"/>
                <w:lang w:val="en-US"/>
              </w:rPr>
            </w:pPr>
            <w:r w:rsidRPr="00E16672">
              <w:rPr>
                <w:rFonts w:ascii="Times New Roman" w:hAnsi="Times New Roman"/>
                <w:b w:val="0"/>
                <w:iCs/>
                <w:color w:val="000000"/>
                <w:sz w:val="16"/>
                <w:szCs w:val="16"/>
                <w:lang w:val="en-US"/>
              </w:rPr>
              <w:t>Registration code of legal entity (in accordance with EDRPOU</w:t>
            </w:r>
            <w:r w:rsidRPr="00E16672">
              <w:rPr>
                <w:rFonts w:ascii="Times New Roman" w:hAnsi="Times New Roman"/>
                <w:b w:val="0"/>
                <w:iCs/>
                <w:color w:val="000000"/>
                <w:sz w:val="16"/>
                <w:szCs w:val="16"/>
              </w:rPr>
              <w:t xml:space="preserve">, </w:t>
            </w:r>
            <w:proofErr w:type="spellStart"/>
            <w:r w:rsidRPr="00E16672">
              <w:rPr>
                <w:rFonts w:ascii="Times New Roman" w:hAnsi="Times New Roman"/>
                <w:b w:val="0"/>
                <w:sz w:val="16"/>
              </w:rPr>
              <w:t>the</w:t>
            </w:r>
            <w:proofErr w:type="spellEnd"/>
            <w:r w:rsidRPr="00E16672">
              <w:rPr>
                <w:rFonts w:ascii="Times New Roman" w:hAnsi="Times New Roman"/>
                <w:b w:val="0"/>
                <w:sz w:val="16"/>
              </w:rPr>
              <w:t xml:space="preserve"> </w:t>
            </w:r>
            <w:proofErr w:type="spellStart"/>
            <w:r w:rsidRPr="00E16672">
              <w:rPr>
                <w:rFonts w:ascii="Times New Roman" w:hAnsi="Times New Roman"/>
                <w:b w:val="0"/>
                <w:sz w:val="16"/>
              </w:rPr>
              <w:t>registration</w:t>
            </w:r>
            <w:proofErr w:type="spellEnd"/>
            <w:r w:rsidRPr="00E16672">
              <w:rPr>
                <w:rFonts w:ascii="Times New Roman" w:hAnsi="Times New Roman"/>
                <w:b w:val="0"/>
                <w:sz w:val="16"/>
              </w:rPr>
              <w:t xml:space="preserve"> </w:t>
            </w:r>
            <w:proofErr w:type="spellStart"/>
            <w:r w:rsidRPr="00E16672">
              <w:rPr>
                <w:rFonts w:ascii="Times New Roman" w:hAnsi="Times New Roman"/>
                <w:b w:val="0"/>
                <w:sz w:val="16"/>
              </w:rPr>
              <w:t>number</w:t>
            </w:r>
            <w:proofErr w:type="spellEnd"/>
            <w:r w:rsidRPr="00E16672">
              <w:rPr>
                <w:rFonts w:ascii="Times New Roman" w:hAnsi="Times New Roman"/>
                <w:b w:val="0"/>
                <w:sz w:val="16"/>
              </w:rPr>
              <w:t xml:space="preserve"> </w:t>
            </w:r>
            <w:proofErr w:type="spellStart"/>
            <w:r w:rsidRPr="00E16672">
              <w:rPr>
                <w:rFonts w:ascii="Times New Roman" w:hAnsi="Times New Roman"/>
                <w:b w:val="0"/>
                <w:sz w:val="16"/>
              </w:rPr>
              <w:t>of</w:t>
            </w:r>
            <w:proofErr w:type="spellEnd"/>
            <w:r w:rsidRPr="00E16672">
              <w:rPr>
                <w:rFonts w:ascii="Times New Roman" w:hAnsi="Times New Roman"/>
                <w:b w:val="0"/>
                <w:sz w:val="16"/>
              </w:rPr>
              <w:t xml:space="preserve"> </w:t>
            </w:r>
            <w:proofErr w:type="spellStart"/>
            <w:r w:rsidRPr="00E16672">
              <w:rPr>
                <w:rFonts w:ascii="Times New Roman" w:hAnsi="Times New Roman"/>
                <w:b w:val="0"/>
                <w:sz w:val="16"/>
              </w:rPr>
              <w:t>the</w:t>
            </w:r>
            <w:proofErr w:type="spellEnd"/>
            <w:r w:rsidRPr="00E16672">
              <w:rPr>
                <w:rFonts w:ascii="Times New Roman" w:hAnsi="Times New Roman"/>
                <w:b w:val="0"/>
                <w:sz w:val="16"/>
              </w:rPr>
              <w:t xml:space="preserve"> </w:t>
            </w:r>
            <w:proofErr w:type="spellStart"/>
            <w:r w:rsidRPr="00E16672">
              <w:rPr>
                <w:rFonts w:ascii="Times New Roman" w:hAnsi="Times New Roman"/>
                <w:b w:val="0"/>
                <w:sz w:val="16"/>
              </w:rPr>
              <w:t>legal</w:t>
            </w:r>
            <w:proofErr w:type="spellEnd"/>
            <w:r w:rsidRPr="00E16672">
              <w:rPr>
                <w:rFonts w:ascii="Times New Roman" w:hAnsi="Times New Roman"/>
                <w:b w:val="0"/>
                <w:sz w:val="16"/>
              </w:rPr>
              <w:t xml:space="preserve"> </w:t>
            </w:r>
            <w:proofErr w:type="spellStart"/>
            <w:r w:rsidRPr="00E16672">
              <w:rPr>
                <w:rFonts w:ascii="Times New Roman" w:hAnsi="Times New Roman"/>
                <w:b w:val="0"/>
                <w:sz w:val="16"/>
              </w:rPr>
              <w:t>entity</w:t>
            </w:r>
            <w:proofErr w:type="spellEnd"/>
            <w:r w:rsidRPr="00E16672">
              <w:rPr>
                <w:rFonts w:ascii="Times New Roman" w:hAnsi="Times New Roman"/>
                <w:b w:val="0"/>
                <w:sz w:val="16"/>
              </w:rPr>
              <w:t xml:space="preserve"> </w:t>
            </w:r>
            <w:proofErr w:type="spellStart"/>
            <w:r w:rsidRPr="00E16672">
              <w:rPr>
                <w:rFonts w:ascii="Times New Roman" w:hAnsi="Times New Roman"/>
                <w:b w:val="0"/>
                <w:sz w:val="16"/>
              </w:rPr>
              <w:t>in</w:t>
            </w:r>
            <w:proofErr w:type="spellEnd"/>
            <w:r w:rsidRPr="00E16672">
              <w:rPr>
                <w:rFonts w:ascii="Times New Roman" w:hAnsi="Times New Roman"/>
                <w:b w:val="0"/>
                <w:sz w:val="16"/>
              </w:rPr>
              <w:t xml:space="preserve"> </w:t>
            </w:r>
            <w:proofErr w:type="spellStart"/>
            <w:r w:rsidRPr="00E16672">
              <w:rPr>
                <w:rFonts w:ascii="Times New Roman" w:hAnsi="Times New Roman"/>
                <w:b w:val="0"/>
                <w:sz w:val="16"/>
              </w:rPr>
              <w:t>the</w:t>
            </w:r>
            <w:proofErr w:type="spellEnd"/>
            <w:r w:rsidRPr="00E16672">
              <w:rPr>
                <w:rFonts w:ascii="Times New Roman" w:hAnsi="Times New Roman"/>
                <w:b w:val="0"/>
                <w:sz w:val="16"/>
              </w:rPr>
              <w:t xml:space="preserve"> </w:t>
            </w:r>
            <w:proofErr w:type="spellStart"/>
            <w:r w:rsidRPr="00E16672">
              <w:rPr>
                <w:rFonts w:ascii="Times New Roman" w:hAnsi="Times New Roman"/>
                <w:b w:val="0"/>
                <w:sz w:val="16"/>
              </w:rPr>
              <w:t>country</w:t>
            </w:r>
            <w:proofErr w:type="spellEnd"/>
            <w:r w:rsidRPr="00E16672">
              <w:rPr>
                <w:rFonts w:ascii="Times New Roman" w:hAnsi="Times New Roman"/>
                <w:b w:val="0"/>
                <w:sz w:val="16"/>
              </w:rPr>
              <w:t xml:space="preserve"> </w:t>
            </w:r>
            <w:proofErr w:type="spellStart"/>
            <w:r w:rsidRPr="00E16672">
              <w:rPr>
                <w:rFonts w:ascii="Times New Roman" w:hAnsi="Times New Roman"/>
                <w:b w:val="0"/>
                <w:sz w:val="16"/>
              </w:rPr>
              <w:t>of</w:t>
            </w:r>
            <w:proofErr w:type="spellEnd"/>
            <w:r w:rsidRPr="00E16672">
              <w:rPr>
                <w:rFonts w:ascii="Times New Roman" w:hAnsi="Times New Roman"/>
                <w:b w:val="0"/>
                <w:sz w:val="16"/>
              </w:rPr>
              <w:t xml:space="preserve"> </w:t>
            </w:r>
            <w:proofErr w:type="spellStart"/>
            <w:r w:rsidRPr="00E16672">
              <w:rPr>
                <w:rFonts w:ascii="Times New Roman" w:hAnsi="Times New Roman"/>
                <w:b w:val="0"/>
                <w:sz w:val="16"/>
              </w:rPr>
              <w:t>its</w:t>
            </w:r>
            <w:proofErr w:type="spellEnd"/>
            <w:r w:rsidRPr="00E16672">
              <w:rPr>
                <w:rFonts w:ascii="Times New Roman" w:hAnsi="Times New Roman"/>
                <w:b w:val="0"/>
                <w:sz w:val="16"/>
              </w:rPr>
              <w:t xml:space="preserve"> </w:t>
            </w:r>
            <w:proofErr w:type="spellStart"/>
            <w:r w:rsidRPr="00E16672">
              <w:rPr>
                <w:rFonts w:ascii="Times New Roman" w:hAnsi="Times New Roman"/>
                <w:b w:val="0"/>
                <w:sz w:val="16"/>
              </w:rPr>
              <w:t>location</w:t>
            </w:r>
            <w:proofErr w:type="spellEnd"/>
            <w:r w:rsidRPr="00E16672">
              <w:rPr>
                <w:rFonts w:ascii="Times New Roman" w:hAnsi="Times New Roman"/>
                <w:b w:val="0"/>
                <w:iCs/>
                <w:color w:val="000000"/>
                <w:sz w:val="16"/>
                <w:szCs w:val="16"/>
                <w:lang w:val="en-US"/>
              </w:rPr>
              <w:t>)</w:t>
            </w:r>
          </w:p>
        </w:tc>
        <w:tc>
          <w:tcPr>
            <w:tcW w:w="3313" w:type="dxa"/>
            <w:gridSpan w:val="2"/>
            <w:shd w:val="clear" w:color="auto" w:fill="auto"/>
          </w:tcPr>
          <w:p w14:paraId="4EE342EE" w14:textId="77777777" w:rsidR="00242F58" w:rsidRPr="00E16672" w:rsidRDefault="00242F58" w:rsidP="00A05686">
            <w:pPr>
              <w:ind w:left="57" w:right="57"/>
              <w:rPr>
                <w:rFonts w:ascii="Times New Roman" w:hAnsi="Times New Roman"/>
                <w:sz w:val="16"/>
                <w:szCs w:val="16"/>
                <w:lang w:val="en-US"/>
              </w:rPr>
            </w:pPr>
          </w:p>
        </w:tc>
        <w:tc>
          <w:tcPr>
            <w:tcW w:w="365" w:type="dxa"/>
            <w:shd w:val="clear" w:color="auto" w:fill="auto"/>
          </w:tcPr>
          <w:p w14:paraId="7F8B8723" w14:textId="77777777" w:rsidR="00242F58" w:rsidRPr="00E16672" w:rsidRDefault="00242F58" w:rsidP="00A05686">
            <w:pPr>
              <w:snapToGrid w:val="0"/>
              <w:rPr>
                <w:rFonts w:ascii="Times New Roman" w:hAnsi="Times New Roman"/>
                <w:lang w:val="en-US"/>
              </w:rPr>
            </w:pPr>
          </w:p>
        </w:tc>
      </w:tr>
      <w:tr w:rsidR="003A05A3" w:rsidRPr="00E16672" w14:paraId="711501A5" w14:textId="77777777" w:rsidTr="005F2A38">
        <w:tc>
          <w:tcPr>
            <w:tcW w:w="2018" w:type="dxa"/>
            <w:gridSpan w:val="2"/>
            <w:shd w:val="clear" w:color="auto" w:fill="auto"/>
          </w:tcPr>
          <w:p w14:paraId="07815F6F" w14:textId="77777777" w:rsidR="003A05A3" w:rsidRPr="00E16672" w:rsidRDefault="003A05A3" w:rsidP="00843027">
            <w:pPr>
              <w:pStyle w:val="4"/>
              <w:keepNext w:val="0"/>
              <w:tabs>
                <w:tab w:val="left" w:pos="57"/>
              </w:tabs>
              <w:snapToGrid w:val="0"/>
              <w:ind w:left="57" w:right="57" w:hanging="14"/>
              <w:jc w:val="left"/>
              <w:rPr>
                <w:rFonts w:ascii="Times New Roman" w:hAnsi="Times New Roman"/>
                <w:b w:val="0"/>
                <w:iCs/>
                <w:color w:val="000000"/>
                <w:sz w:val="16"/>
                <w:szCs w:val="16"/>
              </w:rPr>
            </w:pPr>
            <w:r w:rsidRPr="00E16672">
              <w:rPr>
                <w:rFonts w:ascii="Times New Roman" w:hAnsi="Times New Roman"/>
                <w:b w:val="0"/>
                <w:iCs/>
                <w:color w:val="000000"/>
                <w:sz w:val="16"/>
                <w:szCs w:val="16"/>
              </w:rPr>
              <w:t>Банківські реквізити</w:t>
            </w:r>
          </w:p>
        </w:tc>
        <w:tc>
          <w:tcPr>
            <w:tcW w:w="3245" w:type="dxa"/>
            <w:gridSpan w:val="3"/>
            <w:shd w:val="clear" w:color="auto" w:fill="auto"/>
          </w:tcPr>
          <w:p w14:paraId="0936D309" w14:textId="77777777" w:rsidR="003A05A3" w:rsidRPr="00E16672" w:rsidRDefault="003A05A3" w:rsidP="00843027">
            <w:pPr>
              <w:pStyle w:val="4"/>
              <w:keepNext w:val="0"/>
              <w:tabs>
                <w:tab w:val="left" w:pos="1475"/>
              </w:tabs>
              <w:snapToGrid w:val="0"/>
              <w:ind w:left="57" w:right="57" w:firstLine="0"/>
              <w:jc w:val="left"/>
              <w:rPr>
                <w:rFonts w:ascii="Times New Roman" w:hAnsi="Times New Roman"/>
                <w:i/>
                <w:iCs/>
                <w:color w:val="000000"/>
                <w:sz w:val="16"/>
                <w:szCs w:val="16"/>
              </w:rPr>
            </w:pPr>
          </w:p>
        </w:tc>
        <w:tc>
          <w:tcPr>
            <w:tcW w:w="2249" w:type="dxa"/>
            <w:gridSpan w:val="6"/>
            <w:shd w:val="clear" w:color="auto" w:fill="auto"/>
          </w:tcPr>
          <w:p w14:paraId="174AAC1B" w14:textId="77777777" w:rsidR="003A05A3" w:rsidRPr="00E16672" w:rsidRDefault="003A05A3" w:rsidP="004E2CB6">
            <w:pPr>
              <w:pStyle w:val="4"/>
              <w:keepNext w:val="0"/>
              <w:tabs>
                <w:tab w:val="left" w:pos="156"/>
                <w:tab w:val="num" w:pos="200"/>
              </w:tabs>
              <w:snapToGrid w:val="0"/>
              <w:ind w:left="57" w:right="57" w:firstLine="99"/>
              <w:jc w:val="left"/>
              <w:rPr>
                <w:rFonts w:ascii="Times New Roman" w:hAnsi="Times New Roman"/>
                <w:b w:val="0"/>
                <w:iCs/>
                <w:color w:val="000000"/>
                <w:sz w:val="16"/>
                <w:szCs w:val="16"/>
                <w:lang w:val="en-US"/>
              </w:rPr>
            </w:pPr>
            <w:r w:rsidRPr="00E16672">
              <w:rPr>
                <w:rFonts w:ascii="Times New Roman" w:hAnsi="Times New Roman"/>
                <w:b w:val="0"/>
                <w:iCs/>
                <w:color w:val="000000"/>
                <w:sz w:val="16"/>
                <w:szCs w:val="16"/>
                <w:lang w:val="en-US"/>
              </w:rPr>
              <w:t>Bank details</w:t>
            </w:r>
          </w:p>
        </w:tc>
        <w:tc>
          <w:tcPr>
            <w:tcW w:w="3313" w:type="dxa"/>
            <w:gridSpan w:val="2"/>
            <w:shd w:val="clear" w:color="auto" w:fill="auto"/>
          </w:tcPr>
          <w:p w14:paraId="26B94540" w14:textId="77777777" w:rsidR="003A05A3" w:rsidRPr="00E16672" w:rsidRDefault="003A05A3" w:rsidP="00843027">
            <w:pPr>
              <w:pStyle w:val="4"/>
              <w:keepNext w:val="0"/>
              <w:tabs>
                <w:tab w:val="left" w:pos="1475"/>
              </w:tabs>
              <w:snapToGrid w:val="0"/>
              <w:ind w:left="57" w:right="57" w:firstLine="0"/>
              <w:jc w:val="left"/>
              <w:rPr>
                <w:rFonts w:ascii="Times New Roman" w:hAnsi="Times New Roman"/>
                <w:i/>
                <w:iCs/>
                <w:sz w:val="16"/>
                <w:szCs w:val="16"/>
              </w:rPr>
            </w:pPr>
          </w:p>
        </w:tc>
        <w:tc>
          <w:tcPr>
            <w:tcW w:w="365" w:type="dxa"/>
            <w:shd w:val="clear" w:color="auto" w:fill="auto"/>
          </w:tcPr>
          <w:p w14:paraId="2CA27FFE" w14:textId="77777777" w:rsidR="003A05A3" w:rsidRPr="00E16672" w:rsidRDefault="003A05A3" w:rsidP="00843027">
            <w:pPr>
              <w:snapToGrid w:val="0"/>
              <w:rPr>
                <w:rFonts w:ascii="Times New Roman" w:hAnsi="Times New Roman"/>
              </w:rPr>
            </w:pPr>
          </w:p>
        </w:tc>
      </w:tr>
      <w:tr w:rsidR="003A05A3" w:rsidRPr="00E16672" w14:paraId="34D3DFD1" w14:textId="77777777" w:rsidTr="005F2A38">
        <w:tc>
          <w:tcPr>
            <w:tcW w:w="2018" w:type="dxa"/>
            <w:gridSpan w:val="2"/>
            <w:shd w:val="clear" w:color="auto" w:fill="auto"/>
          </w:tcPr>
          <w:p w14:paraId="4DED16FE" w14:textId="77777777" w:rsidR="003A05A3" w:rsidRPr="00E16672" w:rsidRDefault="003A05A3" w:rsidP="00843027">
            <w:pPr>
              <w:pStyle w:val="4"/>
              <w:keepNext w:val="0"/>
              <w:tabs>
                <w:tab w:val="left" w:pos="57"/>
              </w:tabs>
              <w:snapToGrid w:val="0"/>
              <w:ind w:left="57" w:right="57" w:hanging="14"/>
              <w:jc w:val="left"/>
              <w:rPr>
                <w:rFonts w:ascii="Times New Roman" w:hAnsi="Times New Roman"/>
                <w:b w:val="0"/>
                <w:iCs/>
                <w:color w:val="000000"/>
                <w:sz w:val="16"/>
                <w:szCs w:val="16"/>
              </w:rPr>
            </w:pPr>
            <w:r w:rsidRPr="00E16672">
              <w:rPr>
                <w:rFonts w:ascii="Times New Roman" w:hAnsi="Times New Roman"/>
                <w:b w:val="0"/>
                <w:iCs/>
                <w:color w:val="000000"/>
                <w:sz w:val="16"/>
                <w:szCs w:val="16"/>
              </w:rPr>
              <w:t>Телефон</w:t>
            </w:r>
          </w:p>
        </w:tc>
        <w:tc>
          <w:tcPr>
            <w:tcW w:w="3245" w:type="dxa"/>
            <w:gridSpan w:val="3"/>
            <w:shd w:val="clear" w:color="auto" w:fill="auto"/>
          </w:tcPr>
          <w:p w14:paraId="1B97F873" w14:textId="77777777" w:rsidR="003A05A3" w:rsidRPr="00E16672" w:rsidRDefault="003A05A3" w:rsidP="00843027">
            <w:pPr>
              <w:pStyle w:val="4"/>
              <w:keepNext w:val="0"/>
              <w:tabs>
                <w:tab w:val="left" w:pos="1475"/>
              </w:tabs>
              <w:snapToGrid w:val="0"/>
              <w:ind w:left="57" w:right="57" w:firstLine="0"/>
              <w:jc w:val="left"/>
              <w:rPr>
                <w:rFonts w:ascii="Times New Roman" w:hAnsi="Times New Roman"/>
                <w:i/>
                <w:iCs/>
                <w:color w:val="000000"/>
                <w:sz w:val="16"/>
                <w:szCs w:val="16"/>
              </w:rPr>
            </w:pPr>
          </w:p>
        </w:tc>
        <w:tc>
          <w:tcPr>
            <w:tcW w:w="2249" w:type="dxa"/>
            <w:gridSpan w:val="6"/>
            <w:shd w:val="clear" w:color="auto" w:fill="auto"/>
          </w:tcPr>
          <w:p w14:paraId="30231604" w14:textId="77777777" w:rsidR="003A05A3" w:rsidRPr="00E16672" w:rsidRDefault="003A05A3" w:rsidP="004E2CB6">
            <w:pPr>
              <w:pStyle w:val="4"/>
              <w:keepNext w:val="0"/>
              <w:tabs>
                <w:tab w:val="left" w:pos="156"/>
                <w:tab w:val="num" w:pos="200"/>
              </w:tabs>
              <w:snapToGrid w:val="0"/>
              <w:ind w:left="57" w:right="57" w:firstLine="99"/>
              <w:jc w:val="left"/>
              <w:rPr>
                <w:rFonts w:ascii="Times New Roman" w:hAnsi="Times New Roman"/>
                <w:b w:val="0"/>
                <w:iCs/>
                <w:color w:val="000000"/>
                <w:sz w:val="16"/>
                <w:szCs w:val="16"/>
              </w:rPr>
            </w:pPr>
            <w:proofErr w:type="spellStart"/>
            <w:r w:rsidRPr="00E16672">
              <w:rPr>
                <w:rFonts w:ascii="Times New Roman" w:hAnsi="Times New Roman"/>
                <w:b w:val="0"/>
                <w:iCs/>
                <w:color w:val="000000"/>
                <w:sz w:val="16"/>
                <w:szCs w:val="16"/>
              </w:rPr>
              <w:t>Tel</w:t>
            </w:r>
            <w:proofErr w:type="spellEnd"/>
            <w:r w:rsidRPr="00E16672">
              <w:rPr>
                <w:rFonts w:ascii="Times New Roman" w:hAnsi="Times New Roman"/>
                <w:b w:val="0"/>
                <w:iCs/>
                <w:color w:val="000000"/>
                <w:sz w:val="16"/>
                <w:szCs w:val="16"/>
              </w:rPr>
              <w:t>.</w:t>
            </w:r>
          </w:p>
        </w:tc>
        <w:tc>
          <w:tcPr>
            <w:tcW w:w="3313" w:type="dxa"/>
            <w:gridSpan w:val="2"/>
            <w:shd w:val="clear" w:color="auto" w:fill="auto"/>
          </w:tcPr>
          <w:p w14:paraId="4D1060CF" w14:textId="77777777" w:rsidR="003A05A3" w:rsidRPr="00E16672" w:rsidRDefault="003A05A3" w:rsidP="00843027">
            <w:pPr>
              <w:pStyle w:val="4"/>
              <w:keepNext w:val="0"/>
              <w:tabs>
                <w:tab w:val="left" w:pos="1475"/>
              </w:tabs>
              <w:snapToGrid w:val="0"/>
              <w:ind w:left="57" w:right="57" w:firstLine="0"/>
              <w:jc w:val="left"/>
              <w:rPr>
                <w:rFonts w:ascii="Times New Roman" w:hAnsi="Times New Roman"/>
                <w:i/>
                <w:iCs/>
                <w:sz w:val="16"/>
                <w:szCs w:val="16"/>
              </w:rPr>
            </w:pPr>
          </w:p>
        </w:tc>
        <w:tc>
          <w:tcPr>
            <w:tcW w:w="365" w:type="dxa"/>
            <w:shd w:val="clear" w:color="auto" w:fill="auto"/>
          </w:tcPr>
          <w:p w14:paraId="085EB860" w14:textId="77777777" w:rsidR="003A05A3" w:rsidRPr="00E16672" w:rsidRDefault="003A05A3" w:rsidP="00843027">
            <w:pPr>
              <w:snapToGrid w:val="0"/>
              <w:rPr>
                <w:rFonts w:ascii="Times New Roman" w:hAnsi="Times New Roman"/>
              </w:rPr>
            </w:pPr>
          </w:p>
        </w:tc>
      </w:tr>
      <w:tr w:rsidR="003A05A3" w:rsidRPr="00E16672" w14:paraId="4D36D112" w14:textId="77777777" w:rsidTr="005F2A38">
        <w:tc>
          <w:tcPr>
            <w:tcW w:w="2018" w:type="dxa"/>
            <w:gridSpan w:val="2"/>
            <w:shd w:val="clear" w:color="auto" w:fill="auto"/>
          </w:tcPr>
          <w:p w14:paraId="3F3E1D75" w14:textId="14158660" w:rsidR="003A05A3" w:rsidRPr="00E16672" w:rsidRDefault="003A05A3" w:rsidP="00843027">
            <w:pPr>
              <w:pStyle w:val="4"/>
              <w:keepNext w:val="0"/>
              <w:tabs>
                <w:tab w:val="left" w:pos="57"/>
              </w:tabs>
              <w:snapToGrid w:val="0"/>
              <w:ind w:left="57" w:right="57" w:hanging="14"/>
              <w:jc w:val="left"/>
              <w:rPr>
                <w:rFonts w:ascii="Times New Roman" w:hAnsi="Times New Roman"/>
                <w:b w:val="0"/>
                <w:iCs/>
                <w:color w:val="000000"/>
                <w:sz w:val="16"/>
                <w:szCs w:val="16"/>
              </w:rPr>
            </w:pPr>
          </w:p>
        </w:tc>
        <w:tc>
          <w:tcPr>
            <w:tcW w:w="3245" w:type="dxa"/>
            <w:gridSpan w:val="3"/>
            <w:shd w:val="clear" w:color="auto" w:fill="auto"/>
          </w:tcPr>
          <w:p w14:paraId="4CFCE4C0" w14:textId="77777777" w:rsidR="003A05A3" w:rsidRPr="00E16672" w:rsidRDefault="003A05A3" w:rsidP="00843027">
            <w:pPr>
              <w:pStyle w:val="4"/>
              <w:keepNext w:val="0"/>
              <w:tabs>
                <w:tab w:val="left" w:pos="1475"/>
              </w:tabs>
              <w:snapToGrid w:val="0"/>
              <w:ind w:left="57" w:right="57" w:firstLine="0"/>
              <w:jc w:val="left"/>
              <w:rPr>
                <w:rFonts w:ascii="Times New Roman" w:hAnsi="Times New Roman"/>
                <w:i/>
                <w:iCs/>
                <w:color w:val="000000"/>
                <w:sz w:val="16"/>
                <w:szCs w:val="16"/>
              </w:rPr>
            </w:pPr>
          </w:p>
        </w:tc>
        <w:tc>
          <w:tcPr>
            <w:tcW w:w="2249" w:type="dxa"/>
            <w:gridSpan w:val="6"/>
            <w:shd w:val="clear" w:color="auto" w:fill="auto"/>
          </w:tcPr>
          <w:p w14:paraId="1CE06C06" w14:textId="18D0BF09" w:rsidR="003A05A3" w:rsidRPr="00E16672" w:rsidRDefault="003A05A3" w:rsidP="004E2CB6">
            <w:pPr>
              <w:pStyle w:val="4"/>
              <w:keepNext w:val="0"/>
              <w:tabs>
                <w:tab w:val="left" w:pos="156"/>
                <w:tab w:val="num" w:pos="200"/>
              </w:tabs>
              <w:snapToGrid w:val="0"/>
              <w:ind w:left="57" w:right="57" w:firstLine="99"/>
              <w:jc w:val="left"/>
              <w:rPr>
                <w:rFonts w:ascii="Times New Roman" w:hAnsi="Times New Roman"/>
                <w:b w:val="0"/>
                <w:iCs/>
                <w:color w:val="000000"/>
                <w:sz w:val="16"/>
                <w:szCs w:val="16"/>
              </w:rPr>
            </w:pPr>
          </w:p>
        </w:tc>
        <w:tc>
          <w:tcPr>
            <w:tcW w:w="3313" w:type="dxa"/>
            <w:gridSpan w:val="2"/>
            <w:shd w:val="clear" w:color="auto" w:fill="auto"/>
          </w:tcPr>
          <w:p w14:paraId="689CE696" w14:textId="77777777" w:rsidR="003A05A3" w:rsidRPr="00E16672" w:rsidRDefault="003A05A3" w:rsidP="00843027">
            <w:pPr>
              <w:pStyle w:val="4"/>
              <w:keepNext w:val="0"/>
              <w:tabs>
                <w:tab w:val="left" w:pos="1475"/>
              </w:tabs>
              <w:snapToGrid w:val="0"/>
              <w:ind w:left="57" w:right="57" w:firstLine="0"/>
              <w:jc w:val="left"/>
              <w:rPr>
                <w:rFonts w:ascii="Times New Roman" w:hAnsi="Times New Roman"/>
                <w:i/>
                <w:iCs/>
                <w:sz w:val="16"/>
                <w:szCs w:val="16"/>
              </w:rPr>
            </w:pPr>
          </w:p>
        </w:tc>
        <w:tc>
          <w:tcPr>
            <w:tcW w:w="365" w:type="dxa"/>
            <w:shd w:val="clear" w:color="auto" w:fill="auto"/>
          </w:tcPr>
          <w:p w14:paraId="66470279" w14:textId="77777777" w:rsidR="003A05A3" w:rsidRPr="00E16672" w:rsidRDefault="003A05A3" w:rsidP="00843027">
            <w:pPr>
              <w:snapToGrid w:val="0"/>
              <w:rPr>
                <w:rFonts w:ascii="Times New Roman" w:hAnsi="Times New Roman"/>
              </w:rPr>
            </w:pPr>
          </w:p>
        </w:tc>
      </w:tr>
      <w:tr w:rsidR="003A05A3" w:rsidRPr="00E16672" w14:paraId="2E5DC164" w14:textId="77777777" w:rsidTr="005F2A38">
        <w:tc>
          <w:tcPr>
            <w:tcW w:w="2018" w:type="dxa"/>
            <w:gridSpan w:val="2"/>
            <w:shd w:val="clear" w:color="auto" w:fill="auto"/>
          </w:tcPr>
          <w:p w14:paraId="4AFF75B5" w14:textId="77777777" w:rsidR="003A05A3" w:rsidRPr="00E16672" w:rsidRDefault="003A05A3" w:rsidP="00843027">
            <w:pPr>
              <w:pStyle w:val="4"/>
              <w:keepNext w:val="0"/>
              <w:tabs>
                <w:tab w:val="left" w:pos="57"/>
              </w:tabs>
              <w:snapToGrid w:val="0"/>
              <w:ind w:left="57" w:right="57" w:hanging="14"/>
              <w:jc w:val="left"/>
              <w:rPr>
                <w:rFonts w:ascii="Times New Roman" w:hAnsi="Times New Roman"/>
                <w:b w:val="0"/>
                <w:iCs/>
                <w:color w:val="000000"/>
                <w:sz w:val="16"/>
                <w:szCs w:val="16"/>
                <w:lang w:val="en-US"/>
              </w:rPr>
            </w:pPr>
            <w:r w:rsidRPr="00E16672">
              <w:rPr>
                <w:rFonts w:ascii="Times New Roman" w:hAnsi="Times New Roman"/>
                <w:b w:val="0"/>
                <w:iCs/>
                <w:color w:val="000000"/>
                <w:sz w:val="16"/>
                <w:szCs w:val="16"/>
                <w:lang w:val="en-US"/>
              </w:rPr>
              <w:t>E-mail</w:t>
            </w:r>
          </w:p>
        </w:tc>
        <w:tc>
          <w:tcPr>
            <w:tcW w:w="3245" w:type="dxa"/>
            <w:gridSpan w:val="3"/>
            <w:shd w:val="clear" w:color="auto" w:fill="auto"/>
          </w:tcPr>
          <w:p w14:paraId="4553763F" w14:textId="77777777" w:rsidR="003A05A3" w:rsidRPr="00E16672" w:rsidRDefault="003A05A3" w:rsidP="00843027">
            <w:pPr>
              <w:snapToGrid w:val="0"/>
              <w:ind w:left="57" w:right="57"/>
              <w:rPr>
                <w:rFonts w:ascii="Times New Roman" w:hAnsi="Times New Roman"/>
                <w:b/>
                <w:bCs/>
                <w:color w:val="000000"/>
                <w:sz w:val="16"/>
                <w:szCs w:val="16"/>
                <w:lang w:val="en-US"/>
              </w:rPr>
            </w:pPr>
          </w:p>
        </w:tc>
        <w:tc>
          <w:tcPr>
            <w:tcW w:w="2249" w:type="dxa"/>
            <w:gridSpan w:val="6"/>
            <w:shd w:val="clear" w:color="auto" w:fill="auto"/>
          </w:tcPr>
          <w:p w14:paraId="2DEC3265" w14:textId="77777777" w:rsidR="003A05A3" w:rsidRPr="00E16672" w:rsidRDefault="003A05A3" w:rsidP="00843027">
            <w:pPr>
              <w:pStyle w:val="4"/>
              <w:keepNext w:val="0"/>
              <w:tabs>
                <w:tab w:val="left" w:pos="156"/>
                <w:tab w:val="num" w:pos="200"/>
              </w:tabs>
              <w:snapToGrid w:val="0"/>
              <w:ind w:left="57" w:right="57" w:firstLine="99"/>
              <w:jc w:val="left"/>
              <w:rPr>
                <w:rFonts w:ascii="Times New Roman" w:hAnsi="Times New Roman"/>
                <w:b w:val="0"/>
                <w:iCs/>
                <w:color w:val="000000"/>
                <w:sz w:val="16"/>
                <w:szCs w:val="16"/>
                <w:lang w:val="en-US"/>
              </w:rPr>
            </w:pPr>
            <w:r w:rsidRPr="00E16672">
              <w:rPr>
                <w:rFonts w:ascii="Times New Roman" w:hAnsi="Times New Roman"/>
                <w:b w:val="0"/>
                <w:iCs/>
                <w:color w:val="000000"/>
                <w:sz w:val="16"/>
                <w:szCs w:val="16"/>
                <w:lang w:val="en-US"/>
              </w:rPr>
              <w:t>E-mail</w:t>
            </w:r>
          </w:p>
        </w:tc>
        <w:tc>
          <w:tcPr>
            <w:tcW w:w="3313" w:type="dxa"/>
            <w:gridSpan w:val="2"/>
            <w:shd w:val="clear" w:color="auto" w:fill="auto"/>
          </w:tcPr>
          <w:p w14:paraId="5956088F" w14:textId="77777777" w:rsidR="003A05A3" w:rsidRPr="00E16672" w:rsidRDefault="003A05A3" w:rsidP="00843027">
            <w:pPr>
              <w:snapToGrid w:val="0"/>
              <w:ind w:left="57" w:right="57"/>
              <w:rPr>
                <w:rFonts w:ascii="Times New Roman" w:hAnsi="Times New Roman"/>
                <w:b/>
                <w:bCs/>
                <w:sz w:val="16"/>
                <w:szCs w:val="16"/>
                <w:lang w:val="en-US"/>
              </w:rPr>
            </w:pPr>
          </w:p>
        </w:tc>
        <w:tc>
          <w:tcPr>
            <w:tcW w:w="365" w:type="dxa"/>
            <w:shd w:val="clear" w:color="auto" w:fill="auto"/>
          </w:tcPr>
          <w:p w14:paraId="549334CF" w14:textId="77777777" w:rsidR="003A05A3" w:rsidRPr="00E16672" w:rsidRDefault="003A05A3" w:rsidP="00843027">
            <w:pPr>
              <w:snapToGrid w:val="0"/>
              <w:rPr>
                <w:rFonts w:ascii="Times New Roman" w:hAnsi="Times New Roman"/>
              </w:rPr>
            </w:pPr>
          </w:p>
        </w:tc>
      </w:tr>
      <w:tr w:rsidR="003A05A3" w:rsidRPr="00F23413" w:rsidDel="00D16973" w14:paraId="07671D66" w14:textId="77777777" w:rsidTr="005F2A38">
        <w:trPr>
          <w:trHeight w:val="582"/>
        </w:trPr>
        <w:tc>
          <w:tcPr>
            <w:tcW w:w="2018" w:type="dxa"/>
            <w:gridSpan w:val="2"/>
            <w:shd w:val="clear" w:color="auto" w:fill="auto"/>
          </w:tcPr>
          <w:p w14:paraId="5DD0EB26" w14:textId="77777777" w:rsidR="003A05A3" w:rsidRPr="00E16672" w:rsidRDefault="003A05A3" w:rsidP="000B2195">
            <w:pPr>
              <w:pStyle w:val="4"/>
              <w:numPr>
                <w:ilvl w:val="3"/>
                <w:numId w:val="0"/>
              </w:numPr>
              <w:tabs>
                <w:tab w:val="num" w:pos="864"/>
              </w:tabs>
              <w:ind w:left="57" w:right="57"/>
              <w:jc w:val="left"/>
              <w:rPr>
                <w:rFonts w:ascii="Times New Roman" w:hAnsi="Times New Roman"/>
                <w:sz w:val="16"/>
              </w:rPr>
            </w:pPr>
            <w:r w:rsidRPr="00E16672">
              <w:rPr>
                <w:rFonts w:ascii="Times New Roman" w:hAnsi="Times New Roman"/>
                <w:b w:val="0"/>
                <w:sz w:val="16"/>
              </w:rPr>
              <w:t>Документ, що підтверджує повноваження особи, яка підписує договір</w:t>
            </w:r>
          </w:p>
        </w:tc>
        <w:tc>
          <w:tcPr>
            <w:tcW w:w="3260" w:type="dxa"/>
            <w:gridSpan w:val="4"/>
            <w:shd w:val="clear" w:color="auto" w:fill="auto"/>
          </w:tcPr>
          <w:p w14:paraId="32D9F822" w14:textId="77777777" w:rsidR="003A05A3" w:rsidRPr="00E16672" w:rsidRDefault="003A05A3" w:rsidP="00843027">
            <w:pPr>
              <w:pStyle w:val="1f2"/>
              <w:tabs>
                <w:tab w:val="num" w:pos="200"/>
              </w:tabs>
              <w:ind w:left="57" w:right="-200" w:hanging="15"/>
              <w:rPr>
                <w:rFonts w:ascii="Times New Roman" w:hAnsi="Times New Roman" w:cs="Times New Roman"/>
                <w:b/>
                <w:color w:val="0000FF"/>
                <w:sz w:val="16"/>
                <w:szCs w:val="16"/>
                <w:lang w:val="ru-RU"/>
              </w:rPr>
            </w:pPr>
          </w:p>
        </w:tc>
        <w:tc>
          <w:tcPr>
            <w:tcW w:w="2191" w:type="dxa"/>
            <w:gridSpan w:val="4"/>
            <w:shd w:val="clear" w:color="auto" w:fill="auto"/>
          </w:tcPr>
          <w:p w14:paraId="6F10F655" w14:textId="77777777" w:rsidR="003A05A3" w:rsidRPr="00E16672" w:rsidRDefault="003A05A3" w:rsidP="000B2195">
            <w:pPr>
              <w:pStyle w:val="4"/>
              <w:widowControl w:val="0"/>
              <w:numPr>
                <w:ilvl w:val="3"/>
                <w:numId w:val="0"/>
              </w:numPr>
              <w:tabs>
                <w:tab w:val="num" w:pos="200"/>
              </w:tabs>
              <w:ind w:left="58" w:right="-200" w:hanging="15"/>
              <w:jc w:val="left"/>
              <w:rPr>
                <w:rFonts w:ascii="Times New Roman" w:hAnsi="Times New Roman"/>
                <w:b w:val="0"/>
                <w:iCs/>
                <w:sz w:val="16"/>
                <w:szCs w:val="16"/>
                <w:lang w:val="en-US"/>
              </w:rPr>
            </w:pPr>
            <w:proofErr w:type="spellStart"/>
            <w:r w:rsidRPr="00E16672">
              <w:rPr>
                <w:rFonts w:ascii="Times New Roman" w:hAnsi="Times New Roman"/>
                <w:b w:val="0"/>
                <w:sz w:val="16"/>
                <w:szCs w:val="16"/>
              </w:rPr>
              <w:t>Document</w:t>
            </w:r>
            <w:proofErr w:type="spellEnd"/>
            <w:r w:rsidRPr="00E16672">
              <w:rPr>
                <w:rFonts w:ascii="Times New Roman" w:hAnsi="Times New Roman"/>
                <w:b w:val="0"/>
                <w:sz w:val="16"/>
                <w:szCs w:val="16"/>
              </w:rPr>
              <w:t xml:space="preserve"> </w:t>
            </w:r>
            <w:proofErr w:type="spellStart"/>
            <w:r w:rsidRPr="00E16672">
              <w:rPr>
                <w:rFonts w:ascii="Times New Roman" w:hAnsi="Times New Roman"/>
                <w:b w:val="0"/>
                <w:sz w:val="16"/>
                <w:szCs w:val="16"/>
              </w:rPr>
              <w:t>confirming</w:t>
            </w:r>
            <w:proofErr w:type="spellEnd"/>
            <w:r w:rsidRPr="00E16672">
              <w:rPr>
                <w:rFonts w:ascii="Times New Roman" w:hAnsi="Times New Roman"/>
                <w:b w:val="0"/>
                <w:sz w:val="16"/>
                <w:szCs w:val="16"/>
              </w:rPr>
              <w:t xml:space="preserve"> </w:t>
            </w:r>
            <w:proofErr w:type="spellStart"/>
            <w:r w:rsidRPr="00E16672">
              <w:rPr>
                <w:rFonts w:ascii="Times New Roman" w:hAnsi="Times New Roman"/>
                <w:b w:val="0"/>
                <w:sz w:val="16"/>
                <w:szCs w:val="16"/>
              </w:rPr>
              <w:t>the</w:t>
            </w:r>
            <w:proofErr w:type="spellEnd"/>
            <w:r w:rsidRPr="00E16672">
              <w:rPr>
                <w:rFonts w:ascii="Times New Roman" w:hAnsi="Times New Roman"/>
                <w:b w:val="0"/>
                <w:sz w:val="16"/>
                <w:szCs w:val="16"/>
              </w:rPr>
              <w:t xml:space="preserve"> </w:t>
            </w:r>
            <w:proofErr w:type="spellStart"/>
            <w:r w:rsidRPr="00E16672">
              <w:rPr>
                <w:rFonts w:ascii="Times New Roman" w:hAnsi="Times New Roman"/>
                <w:b w:val="0"/>
                <w:sz w:val="16"/>
                <w:szCs w:val="16"/>
              </w:rPr>
              <w:t>authority</w:t>
            </w:r>
            <w:proofErr w:type="spellEnd"/>
            <w:r w:rsidRPr="00E16672">
              <w:rPr>
                <w:rFonts w:ascii="Times New Roman" w:hAnsi="Times New Roman"/>
                <w:b w:val="0"/>
                <w:sz w:val="16"/>
                <w:szCs w:val="16"/>
              </w:rPr>
              <w:t xml:space="preserve"> </w:t>
            </w:r>
            <w:proofErr w:type="spellStart"/>
            <w:r w:rsidRPr="00E16672">
              <w:rPr>
                <w:rFonts w:ascii="Times New Roman" w:hAnsi="Times New Roman"/>
                <w:b w:val="0"/>
                <w:sz w:val="16"/>
                <w:szCs w:val="16"/>
              </w:rPr>
              <w:t>of</w:t>
            </w:r>
            <w:proofErr w:type="spellEnd"/>
            <w:r w:rsidRPr="00E16672">
              <w:rPr>
                <w:rFonts w:ascii="Times New Roman" w:hAnsi="Times New Roman"/>
                <w:b w:val="0"/>
                <w:sz w:val="16"/>
                <w:szCs w:val="16"/>
              </w:rPr>
              <w:t xml:space="preserve"> </w:t>
            </w:r>
            <w:proofErr w:type="spellStart"/>
            <w:r w:rsidRPr="00E16672">
              <w:rPr>
                <w:rFonts w:ascii="Times New Roman" w:hAnsi="Times New Roman"/>
                <w:b w:val="0"/>
                <w:sz w:val="16"/>
                <w:szCs w:val="16"/>
              </w:rPr>
              <w:t>the</w:t>
            </w:r>
            <w:proofErr w:type="spellEnd"/>
            <w:r w:rsidRPr="00E16672">
              <w:rPr>
                <w:rFonts w:ascii="Times New Roman" w:hAnsi="Times New Roman"/>
                <w:b w:val="0"/>
                <w:sz w:val="16"/>
                <w:szCs w:val="16"/>
              </w:rPr>
              <w:t xml:space="preserve"> </w:t>
            </w:r>
            <w:proofErr w:type="spellStart"/>
            <w:r w:rsidRPr="00E16672">
              <w:rPr>
                <w:rFonts w:ascii="Times New Roman" w:hAnsi="Times New Roman"/>
                <w:b w:val="0"/>
                <w:sz w:val="16"/>
                <w:szCs w:val="16"/>
              </w:rPr>
              <w:t>person</w:t>
            </w:r>
            <w:proofErr w:type="spellEnd"/>
            <w:r w:rsidRPr="00E16672">
              <w:rPr>
                <w:rFonts w:ascii="Times New Roman" w:hAnsi="Times New Roman"/>
                <w:b w:val="0"/>
                <w:sz w:val="16"/>
                <w:szCs w:val="16"/>
              </w:rPr>
              <w:t xml:space="preserve"> </w:t>
            </w:r>
            <w:proofErr w:type="spellStart"/>
            <w:r w:rsidRPr="00E16672">
              <w:rPr>
                <w:rFonts w:ascii="Times New Roman" w:hAnsi="Times New Roman"/>
                <w:b w:val="0"/>
                <w:sz w:val="16"/>
                <w:szCs w:val="16"/>
              </w:rPr>
              <w:t>signing</w:t>
            </w:r>
            <w:proofErr w:type="spellEnd"/>
            <w:r w:rsidRPr="00E16672">
              <w:rPr>
                <w:rFonts w:ascii="Times New Roman" w:hAnsi="Times New Roman"/>
                <w:b w:val="0"/>
                <w:sz w:val="16"/>
                <w:szCs w:val="16"/>
              </w:rPr>
              <w:t xml:space="preserve"> </w:t>
            </w:r>
            <w:proofErr w:type="spellStart"/>
            <w:r w:rsidRPr="00E16672">
              <w:rPr>
                <w:rFonts w:ascii="Times New Roman" w:hAnsi="Times New Roman"/>
                <w:b w:val="0"/>
                <w:sz w:val="16"/>
                <w:szCs w:val="16"/>
              </w:rPr>
              <w:t>the</w:t>
            </w:r>
            <w:proofErr w:type="spellEnd"/>
            <w:r w:rsidRPr="00E16672">
              <w:rPr>
                <w:rFonts w:ascii="Times New Roman" w:hAnsi="Times New Roman"/>
                <w:b w:val="0"/>
                <w:sz w:val="16"/>
                <w:szCs w:val="16"/>
              </w:rPr>
              <w:t xml:space="preserve"> </w:t>
            </w:r>
            <w:proofErr w:type="spellStart"/>
            <w:r w:rsidRPr="00E16672">
              <w:rPr>
                <w:rFonts w:ascii="Times New Roman" w:hAnsi="Times New Roman"/>
                <w:b w:val="0"/>
                <w:sz w:val="16"/>
                <w:szCs w:val="16"/>
              </w:rPr>
              <w:t>contract</w:t>
            </w:r>
            <w:proofErr w:type="spellEnd"/>
            <w:r w:rsidRPr="00E16672">
              <w:rPr>
                <w:rFonts w:ascii="Times New Roman" w:hAnsi="Times New Roman"/>
                <w:b w:val="0"/>
                <w:sz w:val="16"/>
                <w:szCs w:val="16"/>
              </w:rPr>
              <w:t xml:space="preserve"> </w:t>
            </w:r>
          </w:p>
        </w:tc>
        <w:tc>
          <w:tcPr>
            <w:tcW w:w="3721" w:type="dxa"/>
            <w:gridSpan w:val="4"/>
            <w:shd w:val="clear" w:color="auto" w:fill="auto"/>
          </w:tcPr>
          <w:p w14:paraId="78C70DBE" w14:textId="77777777" w:rsidR="003A05A3" w:rsidRPr="00E16672" w:rsidDel="00D16973" w:rsidRDefault="003A05A3" w:rsidP="00843027">
            <w:pPr>
              <w:pStyle w:val="6"/>
              <w:widowControl w:val="0"/>
              <w:tabs>
                <w:tab w:val="num" w:pos="200"/>
              </w:tabs>
              <w:snapToGrid w:val="0"/>
              <w:ind w:left="0" w:firstLine="0"/>
              <w:jc w:val="left"/>
              <w:rPr>
                <w:rFonts w:ascii="Times New Roman" w:hAnsi="Times New Roman"/>
                <w:color w:val="0000FF"/>
                <w:sz w:val="24"/>
                <w:szCs w:val="24"/>
                <w:lang w:val="en-US"/>
              </w:rPr>
            </w:pPr>
          </w:p>
        </w:tc>
      </w:tr>
      <w:bookmarkEnd w:id="3"/>
      <w:tr w:rsidR="008061DA" w:rsidRPr="00E16672" w14:paraId="7AAA6C06" w14:textId="77777777" w:rsidTr="00406FB3">
        <w:tc>
          <w:tcPr>
            <w:tcW w:w="5263" w:type="dxa"/>
            <w:gridSpan w:val="5"/>
            <w:shd w:val="clear" w:color="auto" w:fill="auto"/>
          </w:tcPr>
          <w:p w14:paraId="19DF90C6" w14:textId="77777777" w:rsidR="008061DA" w:rsidRPr="00E16672" w:rsidRDefault="008061DA" w:rsidP="00406FB3">
            <w:pPr>
              <w:snapToGrid w:val="0"/>
              <w:ind w:left="57" w:right="57"/>
              <w:jc w:val="center"/>
              <w:rPr>
                <w:rFonts w:ascii="Times New Roman" w:hAnsi="Times New Roman"/>
                <w:b/>
                <w:bCs/>
                <w:iCs/>
                <w:color w:val="000000"/>
                <w:sz w:val="16"/>
                <w:szCs w:val="16"/>
                <w:lang w:val="en-US"/>
              </w:rPr>
            </w:pPr>
          </w:p>
          <w:p w14:paraId="30C1B0AE" w14:textId="77777777" w:rsidR="008061DA" w:rsidRPr="00E16672" w:rsidRDefault="008061DA" w:rsidP="00406FB3">
            <w:pPr>
              <w:ind w:left="57" w:right="57"/>
              <w:jc w:val="center"/>
              <w:rPr>
                <w:rFonts w:ascii="Times New Roman" w:hAnsi="Times New Roman"/>
                <w:b/>
                <w:bCs/>
                <w:color w:val="000000"/>
                <w:sz w:val="16"/>
                <w:szCs w:val="16"/>
              </w:rPr>
            </w:pPr>
            <w:proofErr w:type="spellStart"/>
            <w:r w:rsidRPr="00E16672">
              <w:rPr>
                <w:rFonts w:ascii="Times New Roman" w:hAnsi="Times New Roman"/>
                <w:b/>
                <w:bCs/>
                <w:color w:val="000000"/>
                <w:sz w:val="16"/>
                <w:szCs w:val="16"/>
              </w:rPr>
              <w:t>Депозитарна</w:t>
            </w:r>
            <w:proofErr w:type="spellEnd"/>
            <w:r w:rsidRPr="00E16672">
              <w:rPr>
                <w:rFonts w:ascii="Times New Roman" w:hAnsi="Times New Roman"/>
                <w:b/>
                <w:bCs/>
                <w:color w:val="000000"/>
                <w:sz w:val="16"/>
                <w:szCs w:val="16"/>
              </w:rPr>
              <w:t xml:space="preserve"> </w:t>
            </w:r>
            <w:proofErr w:type="spellStart"/>
            <w:r w:rsidRPr="00E16672">
              <w:rPr>
                <w:rFonts w:ascii="Times New Roman" w:hAnsi="Times New Roman"/>
                <w:b/>
                <w:bCs/>
                <w:color w:val="000000"/>
                <w:sz w:val="16"/>
                <w:szCs w:val="16"/>
              </w:rPr>
              <w:t>установа</w:t>
            </w:r>
            <w:proofErr w:type="spellEnd"/>
            <w:r w:rsidRPr="00E16672">
              <w:rPr>
                <w:rFonts w:ascii="Times New Roman" w:hAnsi="Times New Roman"/>
                <w:b/>
                <w:bCs/>
                <w:color w:val="000000"/>
                <w:sz w:val="16"/>
                <w:szCs w:val="16"/>
              </w:rPr>
              <w:t>:</w:t>
            </w:r>
          </w:p>
          <w:p w14:paraId="11A3D842" w14:textId="77777777" w:rsidR="008061DA" w:rsidRPr="00E16672" w:rsidRDefault="008061DA" w:rsidP="00406FB3">
            <w:pPr>
              <w:snapToGrid w:val="0"/>
              <w:ind w:left="57" w:right="57"/>
              <w:jc w:val="center"/>
              <w:rPr>
                <w:rFonts w:ascii="Times New Roman" w:hAnsi="Times New Roman"/>
                <w:color w:val="000000"/>
                <w:sz w:val="16"/>
                <w:szCs w:val="16"/>
                <w:lang w:val="en-US"/>
              </w:rPr>
            </w:pPr>
          </w:p>
        </w:tc>
        <w:tc>
          <w:tcPr>
            <w:tcW w:w="5562" w:type="dxa"/>
            <w:gridSpan w:val="8"/>
            <w:shd w:val="clear" w:color="auto" w:fill="auto"/>
          </w:tcPr>
          <w:p w14:paraId="55AC15AC" w14:textId="77777777" w:rsidR="008061DA" w:rsidRPr="00E16672" w:rsidRDefault="008061DA" w:rsidP="00406FB3">
            <w:pPr>
              <w:snapToGrid w:val="0"/>
              <w:ind w:left="57" w:right="57"/>
              <w:rPr>
                <w:rFonts w:ascii="Times New Roman" w:hAnsi="Times New Roman"/>
                <w:b/>
                <w:bCs/>
                <w:color w:val="000000"/>
                <w:sz w:val="16"/>
                <w:szCs w:val="16"/>
              </w:rPr>
            </w:pPr>
          </w:p>
          <w:p w14:paraId="45C83C14" w14:textId="77777777" w:rsidR="008061DA" w:rsidRPr="00E16672" w:rsidRDefault="008061DA" w:rsidP="00406FB3">
            <w:pPr>
              <w:ind w:left="57" w:right="57"/>
              <w:jc w:val="center"/>
              <w:rPr>
                <w:rFonts w:ascii="Times New Roman" w:hAnsi="Times New Roman"/>
                <w:b/>
                <w:bCs/>
                <w:color w:val="000000"/>
                <w:sz w:val="16"/>
                <w:szCs w:val="16"/>
              </w:rPr>
            </w:pPr>
            <w:r w:rsidRPr="00E16672">
              <w:rPr>
                <w:rFonts w:ascii="Times New Roman" w:hAnsi="Times New Roman"/>
                <w:b/>
                <w:color w:val="000000"/>
                <w:sz w:val="16"/>
                <w:szCs w:val="16"/>
                <w:lang w:val="en-US"/>
              </w:rPr>
              <w:t>Depository institution</w:t>
            </w:r>
            <w:r w:rsidRPr="00E16672">
              <w:rPr>
                <w:rFonts w:ascii="Times New Roman" w:hAnsi="Times New Roman"/>
                <w:b/>
                <w:bCs/>
                <w:color w:val="000000"/>
                <w:sz w:val="16"/>
                <w:szCs w:val="16"/>
              </w:rPr>
              <w:t>:</w:t>
            </w:r>
          </w:p>
          <w:p w14:paraId="2DB5A7E1" w14:textId="77777777" w:rsidR="008061DA" w:rsidRPr="00E16672" w:rsidRDefault="008061DA" w:rsidP="00406FB3">
            <w:pPr>
              <w:snapToGrid w:val="0"/>
              <w:ind w:left="57" w:right="57"/>
              <w:rPr>
                <w:rFonts w:ascii="Times New Roman" w:hAnsi="Times New Roman"/>
                <w:color w:val="000000"/>
                <w:sz w:val="16"/>
                <w:szCs w:val="16"/>
                <w:lang w:val="en-US"/>
              </w:rPr>
            </w:pPr>
          </w:p>
        </w:tc>
        <w:tc>
          <w:tcPr>
            <w:tcW w:w="365" w:type="dxa"/>
            <w:tcBorders>
              <w:left w:val="nil"/>
            </w:tcBorders>
            <w:shd w:val="clear" w:color="auto" w:fill="auto"/>
          </w:tcPr>
          <w:p w14:paraId="2CF629B2" w14:textId="77777777" w:rsidR="008061DA" w:rsidRPr="00E16672" w:rsidRDefault="008061DA" w:rsidP="00406FB3">
            <w:pPr>
              <w:snapToGrid w:val="0"/>
              <w:rPr>
                <w:rFonts w:ascii="Times New Roman" w:hAnsi="Times New Roman"/>
              </w:rPr>
            </w:pPr>
          </w:p>
        </w:tc>
      </w:tr>
      <w:tr w:rsidR="008061DA" w:rsidRPr="00E16672" w14:paraId="2B53C07F" w14:textId="77777777" w:rsidTr="005F2A38">
        <w:tc>
          <w:tcPr>
            <w:tcW w:w="2018" w:type="dxa"/>
            <w:gridSpan w:val="2"/>
            <w:shd w:val="clear" w:color="auto" w:fill="auto"/>
          </w:tcPr>
          <w:p w14:paraId="76FF24A0" w14:textId="77777777" w:rsidR="008061DA" w:rsidRPr="00E16672" w:rsidRDefault="008061DA" w:rsidP="00406FB3">
            <w:pPr>
              <w:pStyle w:val="4"/>
              <w:keepNext w:val="0"/>
              <w:tabs>
                <w:tab w:val="left" w:pos="57"/>
              </w:tabs>
              <w:snapToGrid w:val="0"/>
              <w:ind w:left="57" w:right="57" w:hanging="14"/>
              <w:jc w:val="left"/>
              <w:rPr>
                <w:rFonts w:ascii="Times New Roman" w:hAnsi="Times New Roman"/>
                <w:b w:val="0"/>
                <w:iCs/>
                <w:color w:val="000000"/>
                <w:sz w:val="16"/>
                <w:szCs w:val="16"/>
              </w:rPr>
            </w:pPr>
            <w:proofErr w:type="spellStart"/>
            <w:r w:rsidRPr="00E16672">
              <w:rPr>
                <w:rFonts w:ascii="Times New Roman" w:hAnsi="Times New Roman"/>
                <w:b w:val="0"/>
                <w:iCs/>
                <w:color w:val="000000"/>
                <w:sz w:val="16"/>
                <w:szCs w:val="16"/>
                <w:lang w:val="ru-RU"/>
              </w:rPr>
              <w:t>Повне</w:t>
            </w:r>
            <w:proofErr w:type="spellEnd"/>
            <w:r w:rsidRPr="00E16672">
              <w:rPr>
                <w:rFonts w:ascii="Times New Roman" w:hAnsi="Times New Roman"/>
                <w:b w:val="0"/>
                <w:iCs/>
                <w:color w:val="000000"/>
                <w:sz w:val="16"/>
                <w:szCs w:val="16"/>
                <w:lang w:val="ru-RU"/>
              </w:rPr>
              <w:t xml:space="preserve"> </w:t>
            </w:r>
            <w:r w:rsidRPr="00E16672">
              <w:rPr>
                <w:rFonts w:ascii="Times New Roman" w:hAnsi="Times New Roman"/>
                <w:b w:val="0"/>
                <w:iCs/>
                <w:color w:val="000000"/>
                <w:sz w:val="16"/>
                <w:szCs w:val="16"/>
              </w:rPr>
              <w:t>Найменування</w:t>
            </w:r>
          </w:p>
        </w:tc>
        <w:tc>
          <w:tcPr>
            <w:tcW w:w="3245" w:type="dxa"/>
            <w:gridSpan w:val="3"/>
            <w:shd w:val="clear" w:color="auto" w:fill="auto"/>
            <w:vAlign w:val="center"/>
          </w:tcPr>
          <w:p w14:paraId="352D1778" w14:textId="77777777" w:rsidR="008061DA" w:rsidRPr="00E16672" w:rsidRDefault="008061DA" w:rsidP="00022F5F">
            <w:pPr>
              <w:widowControl w:val="0"/>
              <w:snapToGrid w:val="0"/>
              <w:ind w:left="57" w:right="57" w:firstLine="0"/>
              <w:jc w:val="left"/>
              <w:rPr>
                <w:rFonts w:ascii="Times New Roman" w:hAnsi="Times New Roman"/>
                <w:caps/>
                <w:color w:val="000000"/>
                <w:sz w:val="16"/>
                <w:szCs w:val="16"/>
              </w:rPr>
            </w:pPr>
            <w:r w:rsidRPr="00E16672">
              <w:rPr>
                <w:rFonts w:ascii="Times New Roman" w:hAnsi="Times New Roman"/>
                <w:sz w:val="16"/>
                <w:szCs w:val="16"/>
              </w:rPr>
              <w:t xml:space="preserve">ТОВАРИСТВО З ОБМЕЖЕНОЮ ВІДПОВІДАЛЬНІСТЮ </w:t>
            </w:r>
            <w:r w:rsidR="00022F5F">
              <w:rPr>
                <w:rFonts w:ascii="Times New Roman" w:hAnsi="Times New Roman"/>
                <w:sz w:val="16"/>
                <w:szCs w:val="16"/>
              </w:rPr>
              <w:t>"</w:t>
            </w:r>
            <w:r w:rsidR="00E16672" w:rsidRPr="00E16672">
              <w:rPr>
                <w:rFonts w:ascii="Times New Roman" w:hAnsi="Times New Roman"/>
                <w:sz w:val="16"/>
                <w:szCs w:val="16"/>
              </w:rPr>
              <w:t>КОМЕКС ЦІННІ ПАПЕРИ</w:t>
            </w:r>
            <w:r w:rsidR="00022F5F">
              <w:rPr>
                <w:rFonts w:ascii="Times New Roman" w:hAnsi="Times New Roman"/>
                <w:sz w:val="16"/>
                <w:szCs w:val="16"/>
              </w:rPr>
              <w:t>"</w:t>
            </w:r>
          </w:p>
        </w:tc>
        <w:tc>
          <w:tcPr>
            <w:tcW w:w="2000" w:type="dxa"/>
            <w:gridSpan w:val="4"/>
            <w:shd w:val="clear" w:color="auto" w:fill="auto"/>
            <w:vAlign w:val="center"/>
          </w:tcPr>
          <w:p w14:paraId="1DEA2E7D" w14:textId="77777777" w:rsidR="008061DA" w:rsidRPr="00E16672" w:rsidRDefault="008061DA" w:rsidP="00406FB3">
            <w:pPr>
              <w:pStyle w:val="4"/>
              <w:keepNext w:val="0"/>
              <w:tabs>
                <w:tab w:val="left" w:pos="57"/>
              </w:tabs>
              <w:snapToGrid w:val="0"/>
              <w:ind w:left="57" w:right="57" w:hanging="15"/>
              <w:jc w:val="left"/>
              <w:rPr>
                <w:rFonts w:ascii="Times New Roman" w:hAnsi="Times New Roman"/>
                <w:b w:val="0"/>
                <w:iCs/>
                <w:color w:val="000000"/>
                <w:sz w:val="16"/>
                <w:szCs w:val="16"/>
                <w:lang w:val="en-US"/>
              </w:rPr>
            </w:pPr>
            <w:r w:rsidRPr="00E16672">
              <w:rPr>
                <w:rFonts w:ascii="Times New Roman" w:hAnsi="Times New Roman"/>
                <w:b w:val="0"/>
                <w:iCs/>
                <w:color w:val="000000"/>
                <w:sz w:val="16"/>
                <w:szCs w:val="16"/>
                <w:lang w:val="en-US"/>
              </w:rPr>
              <w:t>Full name</w:t>
            </w:r>
          </w:p>
        </w:tc>
        <w:tc>
          <w:tcPr>
            <w:tcW w:w="3562" w:type="dxa"/>
            <w:gridSpan w:val="4"/>
            <w:shd w:val="clear" w:color="auto" w:fill="auto"/>
            <w:vAlign w:val="center"/>
          </w:tcPr>
          <w:p w14:paraId="3C06275C" w14:textId="77777777" w:rsidR="008061DA" w:rsidRPr="00E16672" w:rsidRDefault="001E62BE" w:rsidP="00406FB3">
            <w:pPr>
              <w:tabs>
                <w:tab w:val="left" w:pos="1475"/>
              </w:tabs>
              <w:snapToGrid w:val="0"/>
              <w:ind w:left="57" w:right="57" w:firstLine="0"/>
              <w:jc w:val="left"/>
              <w:rPr>
                <w:rFonts w:ascii="Times New Roman" w:hAnsi="Times New Roman"/>
                <w:caps/>
                <w:sz w:val="16"/>
                <w:szCs w:val="16"/>
                <w:lang w:val="en-GB"/>
              </w:rPr>
            </w:pPr>
            <w:r>
              <w:rPr>
                <w:rFonts w:ascii="Times New Roman" w:hAnsi="Times New Roman"/>
                <w:sz w:val="16"/>
                <w:szCs w:val="16"/>
                <w:lang w:val="en-GB"/>
              </w:rPr>
              <w:t>COMEX Securities Limited</w:t>
            </w:r>
          </w:p>
        </w:tc>
        <w:tc>
          <w:tcPr>
            <w:tcW w:w="365" w:type="dxa"/>
            <w:shd w:val="clear" w:color="auto" w:fill="auto"/>
          </w:tcPr>
          <w:p w14:paraId="5320C5DE" w14:textId="77777777" w:rsidR="008061DA" w:rsidRPr="00E16672" w:rsidRDefault="008061DA" w:rsidP="00406FB3">
            <w:pPr>
              <w:snapToGrid w:val="0"/>
              <w:rPr>
                <w:rFonts w:ascii="Times New Roman" w:hAnsi="Times New Roman"/>
                <w:lang w:val="en-US"/>
              </w:rPr>
            </w:pPr>
          </w:p>
        </w:tc>
      </w:tr>
      <w:tr w:rsidR="008061DA" w:rsidRPr="00F23413" w14:paraId="50F1DE54" w14:textId="77777777" w:rsidTr="005F2A38">
        <w:tc>
          <w:tcPr>
            <w:tcW w:w="2018" w:type="dxa"/>
            <w:gridSpan w:val="2"/>
            <w:shd w:val="clear" w:color="auto" w:fill="auto"/>
          </w:tcPr>
          <w:p w14:paraId="470CA2BA" w14:textId="77777777" w:rsidR="008061DA" w:rsidRPr="00E16672" w:rsidRDefault="008061DA" w:rsidP="00406FB3">
            <w:pPr>
              <w:pStyle w:val="4"/>
              <w:keepNext w:val="0"/>
              <w:tabs>
                <w:tab w:val="left" w:pos="57"/>
              </w:tabs>
              <w:snapToGrid w:val="0"/>
              <w:ind w:left="57" w:right="57" w:hanging="14"/>
              <w:jc w:val="left"/>
              <w:rPr>
                <w:rFonts w:ascii="Times New Roman" w:hAnsi="Times New Roman"/>
                <w:b w:val="0"/>
                <w:iCs/>
                <w:color w:val="000000"/>
                <w:sz w:val="16"/>
                <w:szCs w:val="16"/>
              </w:rPr>
            </w:pPr>
            <w:r w:rsidRPr="00E16672">
              <w:rPr>
                <w:rFonts w:ascii="Times New Roman" w:hAnsi="Times New Roman"/>
                <w:b w:val="0"/>
                <w:iCs/>
                <w:color w:val="000000"/>
                <w:sz w:val="16"/>
                <w:szCs w:val="16"/>
              </w:rPr>
              <w:t>Місцезнаходження</w:t>
            </w:r>
          </w:p>
        </w:tc>
        <w:tc>
          <w:tcPr>
            <w:tcW w:w="3245" w:type="dxa"/>
            <w:gridSpan w:val="3"/>
            <w:shd w:val="clear" w:color="auto" w:fill="auto"/>
            <w:vAlign w:val="center"/>
          </w:tcPr>
          <w:p w14:paraId="4ACB8433" w14:textId="77777777" w:rsidR="008061DA" w:rsidRPr="00E16672" w:rsidRDefault="001E62BE" w:rsidP="00406FB3">
            <w:pPr>
              <w:widowControl w:val="0"/>
              <w:snapToGrid w:val="0"/>
              <w:ind w:left="57" w:right="57" w:firstLine="0"/>
              <w:jc w:val="left"/>
              <w:rPr>
                <w:rFonts w:ascii="Times New Roman" w:hAnsi="Times New Roman"/>
                <w:color w:val="0000FF"/>
                <w:sz w:val="16"/>
                <w:szCs w:val="16"/>
              </w:rPr>
            </w:pPr>
            <w:r>
              <w:rPr>
                <w:rFonts w:ascii="Times New Roman" w:hAnsi="Times New Roman"/>
                <w:bCs/>
                <w:sz w:val="16"/>
                <w:szCs w:val="16"/>
                <w:lang w:val="uk-UA"/>
              </w:rPr>
              <w:t xml:space="preserve">Україна, </w:t>
            </w:r>
            <w:proofErr w:type="spellStart"/>
            <w:r>
              <w:rPr>
                <w:rFonts w:ascii="Times New Roman" w:hAnsi="Times New Roman"/>
                <w:bCs/>
                <w:sz w:val="16"/>
                <w:szCs w:val="16"/>
                <w:lang w:val="uk-UA"/>
              </w:rPr>
              <w:t>м.Київ</w:t>
            </w:r>
            <w:proofErr w:type="spellEnd"/>
            <w:r>
              <w:rPr>
                <w:rFonts w:ascii="Times New Roman" w:hAnsi="Times New Roman"/>
                <w:bCs/>
                <w:sz w:val="16"/>
                <w:szCs w:val="16"/>
                <w:lang w:val="uk-UA"/>
              </w:rPr>
              <w:t>, Велика Васильківська (колишня Червоноармійська) вул., буд. 65</w:t>
            </w:r>
          </w:p>
        </w:tc>
        <w:tc>
          <w:tcPr>
            <w:tcW w:w="2000" w:type="dxa"/>
            <w:gridSpan w:val="4"/>
            <w:shd w:val="clear" w:color="auto" w:fill="auto"/>
            <w:vAlign w:val="center"/>
          </w:tcPr>
          <w:p w14:paraId="7C9B6F11" w14:textId="77777777" w:rsidR="008061DA" w:rsidRPr="00E16672" w:rsidRDefault="008061DA" w:rsidP="00406FB3">
            <w:pPr>
              <w:pStyle w:val="4"/>
              <w:keepNext w:val="0"/>
              <w:tabs>
                <w:tab w:val="left" w:pos="57"/>
              </w:tabs>
              <w:snapToGrid w:val="0"/>
              <w:ind w:left="57" w:right="57" w:hanging="15"/>
              <w:jc w:val="left"/>
              <w:rPr>
                <w:rFonts w:ascii="Times New Roman" w:hAnsi="Times New Roman"/>
                <w:b w:val="0"/>
                <w:iCs/>
                <w:color w:val="000000"/>
                <w:sz w:val="16"/>
                <w:szCs w:val="16"/>
                <w:lang w:val="en-US"/>
              </w:rPr>
            </w:pPr>
            <w:r w:rsidRPr="00E16672">
              <w:rPr>
                <w:rFonts w:ascii="Times New Roman" w:hAnsi="Times New Roman"/>
                <w:b w:val="0"/>
                <w:iCs/>
                <w:color w:val="000000"/>
                <w:sz w:val="16"/>
                <w:szCs w:val="16"/>
                <w:lang w:val="en-US"/>
              </w:rPr>
              <w:t>Residential address</w:t>
            </w:r>
          </w:p>
        </w:tc>
        <w:tc>
          <w:tcPr>
            <w:tcW w:w="3562" w:type="dxa"/>
            <w:gridSpan w:val="4"/>
            <w:shd w:val="clear" w:color="auto" w:fill="auto"/>
            <w:vAlign w:val="center"/>
          </w:tcPr>
          <w:p w14:paraId="7200D782" w14:textId="77777777" w:rsidR="008061DA" w:rsidRPr="00E16672" w:rsidRDefault="001E62BE" w:rsidP="00406FB3">
            <w:pPr>
              <w:pStyle w:val="4"/>
              <w:keepNext w:val="0"/>
              <w:widowControl w:val="0"/>
              <w:numPr>
                <w:ilvl w:val="0"/>
                <w:numId w:val="0"/>
              </w:numPr>
              <w:snapToGrid w:val="0"/>
              <w:ind w:left="3" w:hanging="3"/>
              <w:jc w:val="left"/>
              <w:rPr>
                <w:rFonts w:ascii="Times New Roman" w:hAnsi="Times New Roman"/>
                <w:b w:val="0"/>
                <w:sz w:val="16"/>
                <w:szCs w:val="16"/>
                <w:lang w:val="en-GB"/>
              </w:rPr>
            </w:pPr>
            <w:r>
              <w:rPr>
                <w:rFonts w:ascii="Times New Roman" w:hAnsi="Times New Roman"/>
                <w:b w:val="0"/>
                <w:sz w:val="16"/>
                <w:szCs w:val="16"/>
                <w:lang w:val="en-GB"/>
              </w:rPr>
              <w:t xml:space="preserve">Ukraine, Kyiv, </w:t>
            </w:r>
            <w:proofErr w:type="spellStart"/>
            <w:r>
              <w:rPr>
                <w:rFonts w:ascii="Times New Roman" w:hAnsi="Times New Roman"/>
                <w:b w:val="0"/>
                <w:sz w:val="16"/>
                <w:szCs w:val="16"/>
                <w:lang w:val="en-GB"/>
              </w:rPr>
              <w:t>Velyka</w:t>
            </w:r>
            <w:proofErr w:type="spellEnd"/>
            <w:r>
              <w:rPr>
                <w:rFonts w:ascii="Times New Roman" w:hAnsi="Times New Roman"/>
                <w:b w:val="0"/>
                <w:sz w:val="16"/>
                <w:szCs w:val="16"/>
                <w:lang w:val="en-GB"/>
              </w:rPr>
              <w:t xml:space="preserve"> </w:t>
            </w:r>
            <w:proofErr w:type="spellStart"/>
            <w:r>
              <w:rPr>
                <w:rFonts w:ascii="Times New Roman" w:hAnsi="Times New Roman"/>
                <w:b w:val="0"/>
                <w:sz w:val="16"/>
                <w:szCs w:val="16"/>
                <w:lang w:val="en-GB"/>
              </w:rPr>
              <w:t>Vasilkivska</w:t>
            </w:r>
            <w:proofErr w:type="spellEnd"/>
            <w:r>
              <w:rPr>
                <w:rFonts w:ascii="Times New Roman" w:hAnsi="Times New Roman"/>
                <w:b w:val="0"/>
                <w:sz w:val="16"/>
                <w:szCs w:val="16"/>
                <w:lang w:val="en-GB"/>
              </w:rPr>
              <w:t xml:space="preserve"> (former </w:t>
            </w:r>
            <w:proofErr w:type="spellStart"/>
            <w:r>
              <w:rPr>
                <w:rFonts w:ascii="Times New Roman" w:hAnsi="Times New Roman"/>
                <w:b w:val="0"/>
                <w:sz w:val="16"/>
                <w:szCs w:val="16"/>
                <w:lang w:val="en-GB"/>
              </w:rPr>
              <w:t>Chervonoarmiyska</w:t>
            </w:r>
            <w:proofErr w:type="spellEnd"/>
            <w:r>
              <w:rPr>
                <w:rFonts w:ascii="Times New Roman" w:hAnsi="Times New Roman"/>
                <w:b w:val="0"/>
                <w:sz w:val="16"/>
                <w:szCs w:val="16"/>
                <w:lang w:val="en-GB"/>
              </w:rPr>
              <w:t>) str., 65</w:t>
            </w:r>
          </w:p>
        </w:tc>
        <w:tc>
          <w:tcPr>
            <w:tcW w:w="365" w:type="dxa"/>
            <w:shd w:val="clear" w:color="auto" w:fill="auto"/>
          </w:tcPr>
          <w:p w14:paraId="25588BA4" w14:textId="77777777" w:rsidR="008061DA" w:rsidRPr="00E16672" w:rsidRDefault="008061DA" w:rsidP="00406FB3">
            <w:pPr>
              <w:snapToGrid w:val="0"/>
              <w:rPr>
                <w:rFonts w:ascii="Times New Roman" w:hAnsi="Times New Roman"/>
                <w:lang w:val="en-US"/>
              </w:rPr>
            </w:pPr>
          </w:p>
        </w:tc>
      </w:tr>
      <w:tr w:rsidR="008061DA" w:rsidRPr="00F23413" w14:paraId="57E3F1CE" w14:textId="77777777" w:rsidTr="005F2A38">
        <w:tc>
          <w:tcPr>
            <w:tcW w:w="2018" w:type="dxa"/>
            <w:gridSpan w:val="2"/>
            <w:shd w:val="clear" w:color="auto" w:fill="auto"/>
          </w:tcPr>
          <w:p w14:paraId="69EB2EDB" w14:textId="77777777" w:rsidR="008061DA" w:rsidRPr="00E16672" w:rsidRDefault="008061DA" w:rsidP="00406FB3">
            <w:pPr>
              <w:pStyle w:val="4"/>
              <w:keepNext w:val="0"/>
              <w:tabs>
                <w:tab w:val="left" w:pos="57"/>
              </w:tabs>
              <w:snapToGrid w:val="0"/>
              <w:ind w:left="57" w:right="57" w:hanging="14"/>
              <w:jc w:val="left"/>
              <w:rPr>
                <w:rFonts w:ascii="Times New Roman" w:hAnsi="Times New Roman"/>
                <w:iCs/>
                <w:color w:val="000000"/>
                <w:sz w:val="16"/>
                <w:szCs w:val="16"/>
              </w:rPr>
            </w:pPr>
            <w:r w:rsidRPr="00E16672">
              <w:rPr>
                <w:rFonts w:ascii="Times New Roman" w:hAnsi="Times New Roman"/>
                <w:iCs/>
                <w:color w:val="000000"/>
                <w:sz w:val="16"/>
                <w:szCs w:val="16"/>
              </w:rPr>
              <w:t>Адреса для листування а</w:t>
            </w:r>
          </w:p>
        </w:tc>
        <w:tc>
          <w:tcPr>
            <w:tcW w:w="3245" w:type="dxa"/>
            <w:gridSpan w:val="3"/>
            <w:shd w:val="clear" w:color="auto" w:fill="auto"/>
            <w:vAlign w:val="center"/>
          </w:tcPr>
          <w:p w14:paraId="7E716870" w14:textId="77777777" w:rsidR="008061DA" w:rsidRPr="00BA3154" w:rsidRDefault="00BA3154" w:rsidP="00406FB3">
            <w:pPr>
              <w:widowControl w:val="0"/>
              <w:snapToGrid w:val="0"/>
              <w:ind w:left="57" w:right="57" w:firstLine="0"/>
              <w:jc w:val="left"/>
              <w:rPr>
                <w:rFonts w:ascii="Times New Roman" w:hAnsi="Times New Roman"/>
                <w:color w:val="0000FF"/>
                <w:sz w:val="16"/>
                <w:szCs w:val="16"/>
                <w:lang w:val="uk-UA"/>
              </w:rPr>
            </w:pPr>
            <w:r>
              <w:rPr>
                <w:rFonts w:ascii="Times New Roman" w:hAnsi="Times New Roman"/>
                <w:bCs/>
                <w:sz w:val="16"/>
                <w:szCs w:val="16"/>
                <w:lang w:val="uk-UA"/>
              </w:rPr>
              <w:t xml:space="preserve">Україна, </w:t>
            </w:r>
            <w:proofErr w:type="spellStart"/>
            <w:r>
              <w:rPr>
                <w:rFonts w:ascii="Times New Roman" w:hAnsi="Times New Roman"/>
                <w:bCs/>
                <w:sz w:val="16"/>
                <w:szCs w:val="16"/>
                <w:lang w:val="uk-UA"/>
              </w:rPr>
              <w:t>м.Київ</w:t>
            </w:r>
            <w:proofErr w:type="spellEnd"/>
            <w:r>
              <w:rPr>
                <w:rFonts w:ascii="Times New Roman" w:hAnsi="Times New Roman"/>
                <w:bCs/>
                <w:sz w:val="16"/>
                <w:szCs w:val="16"/>
                <w:lang w:val="uk-UA"/>
              </w:rPr>
              <w:t>, Велика Васильківська (колишня Червоноармійська) вул., буд. 65,</w:t>
            </w:r>
            <w:r w:rsidRPr="00BA3154">
              <w:rPr>
                <w:rFonts w:ascii="Times New Roman" w:hAnsi="Times New Roman"/>
                <w:bCs/>
                <w:sz w:val="16"/>
                <w:szCs w:val="16"/>
              </w:rPr>
              <w:t xml:space="preserve"> </w:t>
            </w:r>
            <w:r>
              <w:rPr>
                <w:rFonts w:ascii="Times New Roman" w:hAnsi="Times New Roman"/>
                <w:bCs/>
                <w:sz w:val="16"/>
                <w:szCs w:val="16"/>
                <w:lang w:val="uk-UA"/>
              </w:rPr>
              <w:t>оф.409</w:t>
            </w:r>
          </w:p>
        </w:tc>
        <w:tc>
          <w:tcPr>
            <w:tcW w:w="2000" w:type="dxa"/>
            <w:gridSpan w:val="4"/>
            <w:shd w:val="clear" w:color="auto" w:fill="auto"/>
            <w:vAlign w:val="center"/>
          </w:tcPr>
          <w:p w14:paraId="5FC08B91" w14:textId="77777777" w:rsidR="008061DA" w:rsidRPr="00E16672" w:rsidRDefault="008061DA" w:rsidP="00406FB3">
            <w:pPr>
              <w:pStyle w:val="4"/>
              <w:keepNext w:val="0"/>
              <w:tabs>
                <w:tab w:val="left" w:pos="57"/>
              </w:tabs>
              <w:snapToGrid w:val="0"/>
              <w:ind w:left="57" w:right="57" w:hanging="15"/>
              <w:jc w:val="left"/>
              <w:rPr>
                <w:rFonts w:ascii="Times New Roman" w:hAnsi="Times New Roman"/>
                <w:b w:val="0"/>
                <w:iCs/>
                <w:color w:val="000000"/>
                <w:sz w:val="16"/>
                <w:szCs w:val="16"/>
                <w:lang w:val="en-US"/>
              </w:rPr>
            </w:pPr>
            <w:r w:rsidRPr="00E16672">
              <w:rPr>
                <w:rFonts w:ascii="Times New Roman" w:hAnsi="Times New Roman"/>
                <w:b w:val="0"/>
                <w:iCs/>
                <w:color w:val="000000"/>
                <w:sz w:val="16"/>
                <w:szCs w:val="16"/>
                <w:lang w:val="en-US"/>
              </w:rPr>
              <w:t>Correspondence address</w:t>
            </w:r>
          </w:p>
        </w:tc>
        <w:tc>
          <w:tcPr>
            <w:tcW w:w="3562" w:type="dxa"/>
            <w:gridSpan w:val="4"/>
            <w:shd w:val="clear" w:color="auto" w:fill="auto"/>
            <w:vAlign w:val="center"/>
          </w:tcPr>
          <w:p w14:paraId="78B735AE" w14:textId="77777777" w:rsidR="008061DA" w:rsidRPr="00E16672" w:rsidRDefault="001E62BE" w:rsidP="00406FB3">
            <w:pPr>
              <w:pStyle w:val="4"/>
              <w:widowControl w:val="0"/>
              <w:numPr>
                <w:ilvl w:val="3"/>
                <w:numId w:val="4"/>
              </w:numPr>
              <w:snapToGrid w:val="0"/>
              <w:jc w:val="left"/>
              <w:rPr>
                <w:rFonts w:ascii="Times New Roman" w:hAnsi="Times New Roman"/>
                <w:b w:val="0"/>
                <w:sz w:val="16"/>
                <w:szCs w:val="16"/>
                <w:lang w:val="en-GB"/>
              </w:rPr>
            </w:pPr>
            <w:r>
              <w:rPr>
                <w:rFonts w:ascii="Times New Roman" w:hAnsi="Times New Roman"/>
                <w:b w:val="0"/>
                <w:sz w:val="16"/>
                <w:szCs w:val="16"/>
                <w:lang w:val="en-GB"/>
              </w:rPr>
              <w:t xml:space="preserve">Ukraine, Kyiv, </w:t>
            </w:r>
            <w:proofErr w:type="spellStart"/>
            <w:r>
              <w:rPr>
                <w:rFonts w:ascii="Times New Roman" w:hAnsi="Times New Roman"/>
                <w:b w:val="0"/>
                <w:sz w:val="16"/>
                <w:szCs w:val="16"/>
                <w:lang w:val="en-GB"/>
              </w:rPr>
              <w:t>Velyka</w:t>
            </w:r>
            <w:proofErr w:type="spellEnd"/>
            <w:r>
              <w:rPr>
                <w:rFonts w:ascii="Times New Roman" w:hAnsi="Times New Roman"/>
                <w:b w:val="0"/>
                <w:sz w:val="16"/>
                <w:szCs w:val="16"/>
                <w:lang w:val="en-GB"/>
              </w:rPr>
              <w:t xml:space="preserve"> </w:t>
            </w:r>
            <w:proofErr w:type="spellStart"/>
            <w:r>
              <w:rPr>
                <w:rFonts w:ascii="Times New Roman" w:hAnsi="Times New Roman"/>
                <w:b w:val="0"/>
                <w:sz w:val="16"/>
                <w:szCs w:val="16"/>
                <w:lang w:val="en-GB"/>
              </w:rPr>
              <w:t>Vasilkivska</w:t>
            </w:r>
            <w:proofErr w:type="spellEnd"/>
            <w:r>
              <w:rPr>
                <w:rFonts w:ascii="Times New Roman" w:hAnsi="Times New Roman"/>
                <w:b w:val="0"/>
                <w:sz w:val="16"/>
                <w:szCs w:val="16"/>
                <w:lang w:val="en-GB"/>
              </w:rPr>
              <w:t xml:space="preserve"> (former </w:t>
            </w:r>
            <w:proofErr w:type="spellStart"/>
            <w:r>
              <w:rPr>
                <w:rFonts w:ascii="Times New Roman" w:hAnsi="Times New Roman"/>
                <w:b w:val="0"/>
                <w:sz w:val="16"/>
                <w:szCs w:val="16"/>
                <w:lang w:val="en-GB"/>
              </w:rPr>
              <w:t>Chervonoarmiyska</w:t>
            </w:r>
            <w:proofErr w:type="spellEnd"/>
            <w:r>
              <w:rPr>
                <w:rFonts w:ascii="Times New Roman" w:hAnsi="Times New Roman"/>
                <w:b w:val="0"/>
                <w:sz w:val="16"/>
                <w:szCs w:val="16"/>
                <w:lang w:val="en-GB"/>
              </w:rPr>
              <w:t>) str., 65</w:t>
            </w:r>
            <w:r w:rsidR="00BA3154">
              <w:rPr>
                <w:rFonts w:ascii="Times New Roman" w:hAnsi="Times New Roman"/>
                <w:b w:val="0"/>
                <w:sz w:val="16"/>
                <w:szCs w:val="16"/>
              </w:rPr>
              <w:t xml:space="preserve">, </w:t>
            </w:r>
            <w:r w:rsidR="00BA3154">
              <w:rPr>
                <w:rFonts w:ascii="Times New Roman" w:hAnsi="Times New Roman"/>
                <w:b w:val="0"/>
                <w:sz w:val="16"/>
                <w:szCs w:val="16"/>
                <w:lang w:val="en-US"/>
              </w:rPr>
              <w:t>office 409</w:t>
            </w:r>
          </w:p>
        </w:tc>
        <w:tc>
          <w:tcPr>
            <w:tcW w:w="365" w:type="dxa"/>
            <w:shd w:val="clear" w:color="auto" w:fill="auto"/>
          </w:tcPr>
          <w:p w14:paraId="279345A7" w14:textId="77777777" w:rsidR="008061DA" w:rsidRPr="00E16672" w:rsidRDefault="008061DA" w:rsidP="00406FB3">
            <w:pPr>
              <w:snapToGrid w:val="0"/>
              <w:rPr>
                <w:rFonts w:ascii="Times New Roman" w:hAnsi="Times New Roman"/>
                <w:lang w:val="en-US"/>
              </w:rPr>
            </w:pPr>
          </w:p>
        </w:tc>
      </w:tr>
      <w:tr w:rsidR="008061DA" w:rsidRPr="00E16672" w14:paraId="722C3E8E" w14:textId="77777777" w:rsidTr="005F2A38">
        <w:tc>
          <w:tcPr>
            <w:tcW w:w="2018" w:type="dxa"/>
            <w:gridSpan w:val="2"/>
            <w:shd w:val="clear" w:color="auto" w:fill="auto"/>
          </w:tcPr>
          <w:p w14:paraId="5EC05961" w14:textId="77777777" w:rsidR="008061DA" w:rsidRPr="00E16672" w:rsidRDefault="008061DA" w:rsidP="00406FB3">
            <w:pPr>
              <w:pStyle w:val="4"/>
              <w:keepNext w:val="0"/>
              <w:tabs>
                <w:tab w:val="left" w:pos="57"/>
              </w:tabs>
              <w:snapToGrid w:val="0"/>
              <w:ind w:left="57" w:right="57" w:hanging="14"/>
              <w:jc w:val="left"/>
              <w:rPr>
                <w:rFonts w:ascii="Times New Roman" w:hAnsi="Times New Roman"/>
                <w:iCs/>
                <w:color w:val="000000"/>
                <w:sz w:val="16"/>
                <w:szCs w:val="16"/>
              </w:rPr>
            </w:pPr>
            <w:r w:rsidRPr="00E16672">
              <w:rPr>
                <w:rFonts w:ascii="Times New Roman" w:hAnsi="Times New Roman"/>
                <w:iCs/>
                <w:color w:val="000000"/>
                <w:sz w:val="16"/>
                <w:szCs w:val="16"/>
              </w:rPr>
              <w:t>Ідентифікаційний код юридичної особи</w:t>
            </w:r>
            <w:r w:rsidRPr="00E16672">
              <w:rPr>
                <w:rFonts w:ascii="Times New Roman" w:hAnsi="Times New Roman"/>
                <w:iCs/>
                <w:color w:val="000000"/>
                <w:sz w:val="16"/>
                <w:szCs w:val="16"/>
                <w:lang w:val="ru-RU"/>
              </w:rPr>
              <w:t xml:space="preserve"> </w:t>
            </w:r>
            <w:r w:rsidRPr="00E16672">
              <w:rPr>
                <w:rFonts w:ascii="Times New Roman" w:hAnsi="Times New Roman"/>
                <w:iCs/>
                <w:color w:val="000000"/>
                <w:sz w:val="16"/>
                <w:szCs w:val="16"/>
              </w:rPr>
              <w:t>(код за ЄДРПОУ)</w:t>
            </w:r>
          </w:p>
        </w:tc>
        <w:tc>
          <w:tcPr>
            <w:tcW w:w="3245" w:type="dxa"/>
            <w:gridSpan w:val="3"/>
            <w:shd w:val="clear" w:color="auto" w:fill="auto"/>
            <w:vAlign w:val="center"/>
          </w:tcPr>
          <w:p w14:paraId="1431CD83" w14:textId="77777777" w:rsidR="008061DA" w:rsidRPr="00E16672" w:rsidRDefault="00E16672" w:rsidP="00406FB3">
            <w:pPr>
              <w:ind w:right="57" w:firstLine="0"/>
              <w:jc w:val="left"/>
              <w:rPr>
                <w:rFonts w:ascii="Times New Roman" w:hAnsi="Times New Roman"/>
                <w:color w:val="000000"/>
                <w:sz w:val="16"/>
                <w:szCs w:val="16"/>
              </w:rPr>
            </w:pPr>
            <w:r w:rsidRPr="00E16672">
              <w:rPr>
                <w:rFonts w:ascii="Times New Roman" w:hAnsi="Times New Roman"/>
                <w:sz w:val="16"/>
                <w:szCs w:val="16"/>
                <w:lang w:val="en-US"/>
              </w:rPr>
              <w:t>33153077</w:t>
            </w:r>
          </w:p>
        </w:tc>
        <w:tc>
          <w:tcPr>
            <w:tcW w:w="2000" w:type="dxa"/>
            <w:gridSpan w:val="4"/>
            <w:shd w:val="clear" w:color="auto" w:fill="auto"/>
            <w:vAlign w:val="center"/>
          </w:tcPr>
          <w:p w14:paraId="55A5C3F3" w14:textId="77777777" w:rsidR="008061DA" w:rsidRPr="00E16672" w:rsidRDefault="008061DA" w:rsidP="00406FB3">
            <w:pPr>
              <w:pStyle w:val="4"/>
              <w:keepNext w:val="0"/>
              <w:tabs>
                <w:tab w:val="left" w:pos="57"/>
              </w:tabs>
              <w:snapToGrid w:val="0"/>
              <w:ind w:left="57" w:right="57" w:hanging="15"/>
              <w:jc w:val="left"/>
              <w:rPr>
                <w:rFonts w:ascii="Times New Roman" w:hAnsi="Times New Roman"/>
                <w:b w:val="0"/>
                <w:iCs/>
                <w:color w:val="000000"/>
                <w:sz w:val="16"/>
                <w:szCs w:val="16"/>
                <w:lang w:val="en-US"/>
              </w:rPr>
            </w:pPr>
            <w:r w:rsidRPr="00E16672">
              <w:rPr>
                <w:rFonts w:ascii="Times New Roman" w:hAnsi="Times New Roman"/>
                <w:b w:val="0"/>
                <w:iCs/>
                <w:color w:val="000000"/>
                <w:sz w:val="16"/>
                <w:szCs w:val="16"/>
                <w:lang w:val="en-US"/>
              </w:rPr>
              <w:t>Registration code of legal entity (in accordance with EDRPOU)</w:t>
            </w:r>
          </w:p>
        </w:tc>
        <w:tc>
          <w:tcPr>
            <w:tcW w:w="3562" w:type="dxa"/>
            <w:gridSpan w:val="4"/>
            <w:shd w:val="clear" w:color="auto" w:fill="auto"/>
            <w:vAlign w:val="center"/>
          </w:tcPr>
          <w:p w14:paraId="535B254E" w14:textId="77777777" w:rsidR="008061DA" w:rsidRPr="00E16672" w:rsidRDefault="00E16672" w:rsidP="000D0438">
            <w:pPr>
              <w:pStyle w:val="4"/>
              <w:widowControl w:val="0"/>
              <w:numPr>
                <w:ilvl w:val="3"/>
                <w:numId w:val="21"/>
              </w:numPr>
              <w:snapToGrid w:val="0"/>
              <w:jc w:val="left"/>
              <w:rPr>
                <w:rFonts w:ascii="Times New Roman" w:hAnsi="Times New Roman"/>
                <w:b w:val="0"/>
                <w:sz w:val="16"/>
                <w:szCs w:val="16"/>
                <w:lang w:val="en-GB"/>
              </w:rPr>
            </w:pPr>
            <w:r w:rsidRPr="00E16672">
              <w:rPr>
                <w:rFonts w:ascii="Times New Roman" w:hAnsi="Times New Roman"/>
                <w:b w:val="0"/>
                <w:sz w:val="16"/>
                <w:szCs w:val="16"/>
                <w:lang w:val="en-US"/>
              </w:rPr>
              <w:t>33153077</w:t>
            </w:r>
          </w:p>
        </w:tc>
        <w:tc>
          <w:tcPr>
            <w:tcW w:w="365" w:type="dxa"/>
            <w:shd w:val="clear" w:color="auto" w:fill="auto"/>
          </w:tcPr>
          <w:p w14:paraId="6AB30DFB" w14:textId="77777777" w:rsidR="008061DA" w:rsidRPr="00E16672" w:rsidRDefault="008061DA" w:rsidP="00406FB3">
            <w:pPr>
              <w:snapToGrid w:val="0"/>
              <w:rPr>
                <w:rFonts w:ascii="Times New Roman" w:hAnsi="Times New Roman"/>
                <w:lang w:val="en-US"/>
              </w:rPr>
            </w:pPr>
          </w:p>
        </w:tc>
      </w:tr>
      <w:tr w:rsidR="008061DA" w:rsidRPr="00E16672" w14:paraId="3A0316AB" w14:textId="77777777" w:rsidTr="005F2A38">
        <w:tc>
          <w:tcPr>
            <w:tcW w:w="2018" w:type="dxa"/>
            <w:gridSpan w:val="2"/>
            <w:shd w:val="clear" w:color="auto" w:fill="auto"/>
          </w:tcPr>
          <w:p w14:paraId="2668CEC4" w14:textId="77777777" w:rsidR="008061DA" w:rsidRPr="00E16672" w:rsidRDefault="008061DA" w:rsidP="00406FB3">
            <w:pPr>
              <w:pStyle w:val="4"/>
              <w:keepNext w:val="0"/>
              <w:tabs>
                <w:tab w:val="left" w:pos="57"/>
              </w:tabs>
              <w:snapToGrid w:val="0"/>
              <w:ind w:left="57" w:right="57" w:hanging="14"/>
              <w:jc w:val="left"/>
              <w:rPr>
                <w:rFonts w:ascii="Times New Roman" w:hAnsi="Times New Roman"/>
                <w:iCs/>
                <w:sz w:val="16"/>
                <w:szCs w:val="16"/>
              </w:rPr>
            </w:pPr>
            <w:r w:rsidRPr="00E16672">
              <w:rPr>
                <w:rFonts w:ascii="Times New Roman" w:hAnsi="Times New Roman"/>
                <w:iCs/>
                <w:sz w:val="16"/>
                <w:szCs w:val="16"/>
              </w:rPr>
              <w:t>Факс</w:t>
            </w:r>
            <w:r w:rsidRPr="00E16672">
              <w:rPr>
                <w:rFonts w:ascii="Times New Roman" w:hAnsi="Times New Roman"/>
                <w:iCs/>
                <w:sz w:val="16"/>
                <w:szCs w:val="16"/>
                <w:lang w:val="en-US"/>
              </w:rPr>
              <w:t xml:space="preserve"> </w:t>
            </w:r>
            <w:r w:rsidRPr="00E16672">
              <w:rPr>
                <w:rFonts w:ascii="Times New Roman" w:hAnsi="Times New Roman"/>
                <w:i/>
                <w:iCs/>
                <w:color w:val="000000"/>
                <w:sz w:val="16"/>
                <w:szCs w:val="16"/>
              </w:rPr>
              <w:t>(за наявності)</w:t>
            </w:r>
          </w:p>
        </w:tc>
        <w:tc>
          <w:tcPr>
            <w:tcW w:w="3245" w:type="dxa"/>
            <w:gridSpan w:val="3"/>
            <w:shd w:val="clear" w:color="auto" w:fill="auto"/>
            <w:vAlign w:val="center"/>
          </w:tcPr>
          <w:p w14:paraId="1DD0EE60" w14:textId="77777777" w:rsidR="008061DA" w:rsidRPr="00E16672" w:rsidRDefault="008061DA" w:rsidP="00406FB3">
            <w:pPr>
              <w:snapToGrid w:val="0"/>
              <w:ind w:right="57" w:firstLine="0"/>
              <w:jc w:val="left"/>
              <w:rPr>
                <w:rFonts w:ascii="Times New Roman" w:hAnsi="Times New Roman"/>
                <w:sz w:val="16"/>
                <w:szCs w:val="16"/>
                <w:lang w:val="en-US"/>
              </w:rPr>
            </w:pPr>
            <w:r w:rsidRPr="00E16672">
              <w:rPr>
                <w:rFonts w:ascii="Times New Roman" w:hAnsi="Times New Roman"/>
                <w:sz w:val="16"/>
                <w:szCs w:val="16"/>
                <w:lang w:val="en-US"/>
              </w:rPr>
              <w:t>3-8-</w:t>
            </w:r>
            <w:r w:rsidR="00622BEB">
              <w:rPr>
                <w:rFonts w:ascii="Times New Roman" w:hAnsi="Times New Roman"/>
                <w:sz w:val="16"/>
                <w:szCs w:val="16"/>
                <w:lang w:val="en-US"/>
              </w:rPr>
              <w:t>044 502 65 73</w:t>
            </w:r>
          </w:p>
        </w:tc>
        <w:tc>
          <w:tcPr>
            <w:tcW w:w="2000" w:type="dxa"/>
            <w:gridSpan w:val="4"/>
            <w:shd w:val="clear" w:color="auto" w:fill="auto"/>
            <w:vAlign w:val="center"/>
          </w:tcPr>
          <w:p w14:paraId="7355A30D" w14:textId="77777777" w:rsidR="008061DA" w:rsidRPr="00E16672" w:rsidRDefault="008061DA" w:rsidP="00406FB3">
            <w:pPr>
              <w:pStyle w:val="4"/>
              <w:keepNext w:val="0"/>
              <w:tabs>
                <w:tab w:val="left" w:pos="57"/>
              </w:tabs>
              <w:snapToGrid w:val="0"/>
              <w:ind w:left="57" w:right="57" w:hanging="15"/>
              <w:jc w:val="left"/>
              <w:rPr>
                <w:rFonts w:ascii="Times New Roman" w:hAnsi="Times New Roman"/>
                <w:b w:val="0"/>
                <w:iCs/>
                <w:sz w:val="16"/>
                <w:szCs w:val="16"/>
                <w:lang w:val="en-US"/>
              </w:rPr>
            </w:pPr>
            <w:r w:rsidRPr="00E16672">
              <w:rPr>
                <w:rFonts w:ascii="Times New Roman" w:hAnsi="Times New Roman"/>
                <w:b w:val="0"/>
                <w:iCs/>
                <w:sz w:val="16"/>
                <w:szCs w:val="16"/>
                <w:lang w:val="en-US"/>
              </w:rPr>
              <w:t xml:space="preserve">Fax </w:t>
            </w:r>
            <w:r w:rsidRPr="00E16672">
              <w:rPr>
                <w:rFonts w:ascii="Times New Roman" w:hAnsi="Times New Roman"/>
                <w:b w:val="0"/>
                <w:i/>
                <w:iCs/>
                <w:color w:val="000000"/>
                <w:sz w:val="16"/>
                <w:szCs w:val="16"/>
              </w:rPr>
              <w:t>(</w:t>
            </w:r>
            <w:r w:rsidRPr="00E16672">
              <w:rPr>
                <w:rFonts w:ascii="Times New Roman" w:hAnsi="Times New Roman"/>
                <w:b w:val="0"/>
                <w:i/>
                <w:iCs/>
                <w:color w:val="000000"/>
                <w:sz w:val="16"/>
                <w:szCs w:val="16"/>
                <w:lang w:val="en-US"/>
              </w:rPr>
              <w:t>if any</w:t>
            </w:r>
            <w:r w:rsidRPr="00E16672">
              <w:rPr>
                <w:rFonts w:ascii="Times New Roman" w:hAnsi="Times New Roman"/>
                <w:b w:val="0"/>
                <w:i/>
                <w:iCs/>
                <w:color w:val="000000"/>
                <w:sz w:val="16"/>
                <w:szCs w:val="16"/>
              </w:rPr>
              <w:t>)</w:t>
            </w:r>
          </w:p>
        </w:tc>
        <w:tc>
          <w:tcPr>
            <w:tcW w:w="3562" w:type="dxa"/>
            <w:gridSpan w:val="4"/>
            <w:shd w:val="clear" w:color="auto" w:fill="auto"/>
            <w:vAlign w:val="center"/>
          </w:tcPr>
          <w:p w14:paraId="375D232F" w14:textId="77777777" w:rsidR="008061DA" w:rsidRPr="00E16672" w:rsidRDefault="008061DA" w:rsidP="00406FB3">
            <w:pPr>
              <w:snapToGrid w:val="0"/>
              <w:ind w:right="57" w:firstLine="0"/>
              <w:jc w:val="left"/>
              <w:rPr>
                <w:rFonts w:ascii="Times New Roman" w:hAnsi="Times New Roman"/>
                <w:sz w:val="16"/>
                <w:szCs w:val="16"/>
                <w:lang w:val="en-US"/>
              </w:rPr>
            </w:pPr>
            <w:r w:rsidRPr="00E16672">
              <w:rPr>
                <w:rFonts w:ascii="Times New Roman" w:hAnsi="Times New Roman"/>
                <w:sz w:val="16"/>
                <w:szCs w:val="16"/>
                <w:lang w:val="en-US"/>
              </w:rPr>
              <w:t>3-8-</w:t>
            </w:r>
            <w:r w:rsidR="00622BEB">
              <w:rPr>
                <w:rFonts w:ascii="Times New Roman" w:hAnsi="Times New Roman"/>
                <w:sz w:val="16"/>
                <w:szCs w:val="16"/>
                <w:lang w:val="en-US"/>
              </w:rPr>
              <w:t>044 502 65 73</w:t>
            </w:r>
          </w:p>
        </w:tc>
        <w:tc>
          <w:tcPr>
            <w:tcW w:w="365" w:type="dxa"/>
            <w:shd w:val="clear" w:color="auto" w:fill="auto"/>
          </w:tcPr>
          <w:p w14:paraId="0B1B867D" w14:textId="77777777" w:rsidR="008061DA" w:rsidRPr="00E16672" w:rsidRDefault="008061DA" w:rsidP="00406FB3">
            <w:pPr>
              <w:snapToGrid w:val="0"/>
              <w:rPr>
                <w:rFonts w:ascii="Times New Roman" w:hAnsi="Times New Roman"/>
              </w:rPr>
            </w:pPr>
          </w:p>
        </w:tc>
      </w:tr>
      <w:tr w:rsidR="008061DA" w:rsidRPr="00E16672" w14:paraId="5BCDFDAB" w14:textId="77777777" w:rsidTr="005F2A38">
        <w:trPr>
          <w:trHeight w:val="87"/>
        </w:trPr>
        <w:tc>
          <w:tcPr>
            <w:tcW w:w="2018" w:type="dxa"/>
            <w:gridSpan w:val="2"/>
            <w:shd w:val="clear" w:color="auto" w:fill="auto"/>
          </w:tcPr>
          <w:p w14:paraId="23896CDF" w14:textId="77777777" w:rsidR="008061DA" w:rsidRPr="00E16672" w:rsidRDefault="008061DA" w:rsidP="00406FB3">
            <w:pPr>
              <w:pStyle w:val="4"/>
              <w:keepNext w:val="0"/>
              <w:tabs>
                <w:tab w:val="left" w:pos="57"/>
              </w:tabs>
              <w:snapToGrid w:val="0"/>
              <w:ind w:left="57" w:right="57" w:hanging="14"/>
              <w:jc w:val="left"/>
              <w:rPr>
                <w:rFonts w:ascii="Times New Roman" w:hAnsi="Times New Roman"/>
                <w:iCs/>
                <w:sz w:val="16"/>
                <w:szCs w:val="16"/>
              </w:rPr>
            </w:pPr>
            <w:r w:rsidRPr="00E16672">
              <w:rPr>
                <w:rFonts w:ascii="Times New Roman" w:hAnsi="Times New Roman"/>
                <w:iCs/>
                <w:sz w:val="16"/>
                <w:szCs w:val="16"/>
              </w:rPr>
              <w:lastRenderedPageBreak/>
              <w:t>Телефон</w:t>
            </w:r>
          </w:p>
        </w:tc>
        <w:tc>
          <w:tcPr>
            <w:tcW w:w="3245" w:type="dxa"/>
            <w:gridSpan w:val="3"/>
            <w:shd w:val="clear" w:color="auto" w:fill="auto"/>
            <w:vAlign w:val="center"/>
          </w:tcPr>
          <w:p w14:paraId="6A227D2D" w14:textId="77777777" w:rsidR="008061DA" w:rsidRPr="00E16672" w:rsidRDefault="008061DA" w:rsidP="00406FB3">
            <w:pPr>
              <w:snapToGrid w:val="0"/>
              <w:ind w:right="57" w:firstLine="0"/>
              <w:jc w:val="left"/>
              <w:rPr>
                <w:rFonts w:ascii="Times New Roman" w:hAnsi="Times New Roman"/>
                <w:sz w:val="16"/>
                <w:szCs w:val="16"/>
                <w:lang w:val="en-US"/>
              </w:rPr>
            </w:pPr>
            <w:r w:rsidRPr="00E16672">
              <w:rPr>
                <w:rFonts w:ascii="Times New Roman" w:hAnsi="Times New Roman"/>
                <w:sz w:val="16"/>
                <w:szCs w:val="16"/>
                <w:lang w:val="en-US"/>
              </w:rPr>
              <w:t>3-8-</w:t>
            </w:r>
            <w:r w:rsidR="00622BEB">
              <w:rPr>
                <w:rFonts w:ascii="Times New Roman" w:hAnsi="Times New Roman"/>
                <w:sz w:val="16"/>
                <w:szCs w:val="16"/>
                <w:lang w:val="en-US"/>
              </w:rPr>
              <w:t>044 502 65 73</w:t>
            </w:r>
          </w:p>
        </w:tc>
        <w:tc>
          <w:tcPr>
            <w:tcW w:w="2000" w:type="dxa"/>
            <w:gridSpan w:val="4"/>
            <w:shd w:val="clear" w:color="auto" w:fill="auto"/>
            <w:vAlign w:val="center"/>
          </w:tcPr>
          <w:p w14:paraId="48292334" w14:textId="77777777" w:rsidR="008061DA" w:rsidRPr="00E16672" w:rsidRDefault="008061DA" w:rsidP="00406FB3">
            <w:pPr>
              <w:pStyle w:val="4"/>
              <w:keepNext w:val="0"/>
              <w:tabs>
                <w:tab w:val="left" w:pos="57"/>
              </w:tabs>
              <w:snapToGrid w:val="0"/>
              <w:ind w:left="57" w:right="57" w:hanging="15"/>
              <w:jc w:val="left"/>
              <w:rPr>
                <w:rFonts w:ascii="Times New Roman" w:hAnsi="Times New Roman"/>
                <w:b w:val="0"/>
                <w:iCs/>
                <w:sz w:val="16"/>
                <w:szCs w:val="16"/>
                <w:lang w:val="en-US"/>
              </w:rPr>
            </w:pPr>
            <w:r w:rsidRPr="00E16672">
              <w:rPr>
                <w:rFonts w:ascii="Times New Roman" w:hAnsi="Times New Roman"/>
                <w:b w:val="0"/>
                <w:iCs/>
                <w:sz w:val="16"/>
                <w:szCs w:val="16"/>
                <w:lang w:val="en-US"/>
              </w:rPr>
              <w:t>Telephone</w:t>
            </w:r>
          </w:p>
        </w:tc>
        <w:tc>
          <w:tcPr>
            <w:tcW w:w="3562" w:type="dxa"/>
            <w:gridSpan w:val="4"/>
            <w:shd w:val="clear" w:color="auto" w:fill="auto"/>
            <w:vAlign w:val="center"/>
          </w:tcPr>
          <w:p w14:paraId="6D386565" w14:textId="77777777" w:rsidR="008061DA" w:rsidRPr="00E16672" w:rsidRDefault="008061DA" w:rsidP="00406FB3">
            <w:pPr>
              <w:snapToGrid w:val="0"/>
              <w:ind w:right="57" w:firstLine="0"/>
              <w:jc w:val="left"/>
              <w:rPr>
                <w:rFonts w:ascii="Times New Roman" w:hAnsi="Times New Roman"/>
                <w:sz w:val="16"/>
                <w:szCs w:val="16"/>
                <w:lang w:val="en-US"/>
              </w:rPr>
            </w:pPr>
            <w:r w:rsidRPr="00E16672">
              <w:rPr>
                <w:rFonts w:ascii="Times New Roman" w:hAnsi="Times New Roman"/>
                <w:sz w:val="16"/>
                <w:szCs w:val="16"/>
                <w:lang w:val="en-US"/>
              </w:rPr>
              <w:t>3-8-</w:t>
            </w:r>
            <w:r w:rsidR="00622BEB">
              <w:rPr>
                <w:rFonts w:ascii="Times New Roman" w:hAnsi="Times New Roman"/>
                <w:sz w:val="16"/>
                <w:szCs w:val="16"/>
                <w:lang w:val="en-US"/>
              </w:rPr>
              <w:t>044 502 65 73</w:t>
            </w:r>
          </w:p>
        </w:tc>
        <w:tc>
          <w:tcPr>
            <w:tcW w:w="365" w:type="dxa"/>
            <w:shd w:val="clear" w:color="auto" w:fill="auto"/>
          </w:tcPr>
          <w:p w14:paraId="2796B5ED" w14:textId="77777777" w:rsidR="008061DA" w:rsidRPr="00E16672" w:rsidRDefault="008061DA" w:rsidP="00406FB3">
            <w:pPr>
              <w:snapToGrid w:val="0"/>
              <w:rPr>
                <w:rFonts w:ascii="Times New Roman" w:hAnsi="Times New Roman"/>
              </w:rPr>
            </w:pPr>
          </w:p>
        </w:tc>
      </w:tr>
      <w:tr w:rsidR="008061DA" w:rsidRPr="00E16672" w14:paraId="76C9C91A" w14:textId="77777777" w:rsidTr="005F2A38">
        <w:tc>
          <w:tcPr>
            <w:tcW w:w="2018" w:type="dxa"/>
            <w:gridSpan w:val="2"/>
            <w:shd w:val="clear" w:color="auto" w:fill="auto"/>
          </w:tcPr>
          <w:p w14:paraId="08896849" w14:textId="77777777" w:rsidR="008061DA" w:rsidRPr="00E16672" w:rsidRDefault="008061DA" w:rsidP="00406FB3">
            <w:pPr>
              <w:pStyle w:val="4"/>
              <w:keepNext w:val="0"/>
              <w:tabs>
                <w:tab w:val="left" w:pos="57"/>
              </w:tabs>
              <w:snapToGrid w:val="0"/>
              <w:ind w:left="57" w:right="57" w:hanging="14"/>
              <w:jc w:val="left"/>
              <w:rPr>
                <w:rFonts w:ascii="Times New Roman" w:hAnsi="Times New Roman"/>
                <w:iCs/>
                <w:sz w:val="16"/>
                <w:szCs w:val="16"/>
                <w:lang w:val="en-US"/>
              </w:rPr>
            </w:pPr>
            <w:r w:rsidRPr="00E16672">
              <w:rPr>
                <w:rFonts w:ascii="Times New Roman" w:hAnsi="Times New Roman"/>
                <w:iCs/>
                <w:sz w:val="16"/>
                <w:szCs w:val="16"/>
                <w:lang w:val="en-US"/>
              </w:rPr>
              <w:t>E-mail</w:t>
            </w:r>
          </w:p>
        </w:tc>
        <w:tc>
          <w:tcPr>
            <w:tcW w:w="3245" w:type="dxa"/>
            <w:gridSpan w:val="3"/>
            <w:shd w:val="clear" w:color="auto" w:fill="auto"/>
            <w:vAlign w:val="center"/>
          </w:tcPr>
          <w:p w14:paraId="1A725FDC" w14:textId="77777777" w:rsidR="008061DA" w:rsidRPr="00E16672" w:rsidRDefault="00622BEB" w:rsidP="00406FB3">
            <w:pPr>
              <w:snapToGrid w:val="0"/>
              <w:ind w:right="57" w:firstLine="0"/>
              <w:jc w:val="left"/>
              <w:rPr>
                <w:rFonts w:ascii="Times New Roman" w:hAnsi="Times New Roman"/>
                <w:sz w:val="16"/>
                <w:szCs w:val="16"/>
                <w:lang w:val="en-US"/>
              </w:rPr>
            </w:pPr>
            <w:r>
              <w:rPr>
                <w:rFonts w:ascii="Times New Roman" w:hAnsi="Times New Roman"/>
                <w:sz w:val="16"/>
                <w:szCs w:val="16"/>
                <w:lang w:val="en-US"/>
              </w:rPr>
              <w:t>custody@comex.com.ua</w:t>
            </w:r>
          </w:p>
        </w:tc>
        <w:tc>
          <w:tcPr>
            <w:tcW w:w="2000" w:type="dxa"/>
            <w:gridSpan w:val="4"/>
            <w:shd w:val="clear" w:color="auto" w:fill="auto"/>
            <w:vAlign w:val="center"/>
          </w:tcPr>
          <w:p w14:paraId="30D43C43" w14:textId="77777777" w:rsidR="008061DA" w:rsidRPr="00E16672" w:rsidRDefault="008061DA" w:rsidP="00406FB3">
            <w:pPr>
              <w:pStyle w:val="4"/>
              <w:keepNext w:val="0"/>
              <w:tabs>
                <w:tab w:val="left" w:pos="57"/>
              </w:tabs>
              <w:snapToGrid w:val="0"/>
              <w:ind w:left="57" w:right="57" w:hanging="15"/>
              <w:jc w:val="left"/>
              <w:rPr>
                <w:rFonts w:ascii="Times New Roman" w:hAnsi="Times New Roman"/>
                <w:b w:val="0"/>
                <w:iCs/>
                <w:sz w:val="16"/>
                <w:szCs w:val="16"/>
                <w:lang w:val="en-US"/>
              </w:rPr>
            </w:pPr>
            <w:r w:rsidRPr="00E16672">
              <w:rPr>
                <w:rFonts w:ascii="Times New Roman" w:hAnsi="Times New Roman"/>
                <w:b w:val="0"/>
                <w:iCs/>
                <w:sz w:val="16"/>
                <w:szCs w:val="16"/>
                <w:lang w:val="en-US"/>
              </w:rPr>
              <w:t>E-mail</w:t>
            </w:r>
          </w:p>
        </w:tc>
        <w:tc>
          <w:tcPr>
            <w:tcW w:w="3562" w:type="dxa"/>
            <w:gridSpan w:val="4"/>
            <w:shd w:val="clear" w:color="auto" w:fill="auto"/>
            <w:vAlign w:val="center"/>
          </w:tcPr>
          <w:p w14:paraId="591898CD" w14:textId="77777777" w:rsidR="008061DA" w:rsidRPr="00E16672" w:rsidRDefault="00622BEB" w:rsidP="00406FB3">
            <w:pPr>
              <w:snapToGrid w:val="0"/>
              <w:ind w:right="57" w:firstLine="0"/>
              <w:jc w:val="left"/>
              <w:rPr>
                <w:rFonts w:ascii="Times New Roman" w:hAnsi="Times New Roman"/>
                <w:sz w:val="16"/>
                <w:szCs w:val="16"/>
                <w:lang w:val="en-US"/>
              </w:rPr>
            </w:pPr>
            <w:r>
              <w:rPr>
                <w:rFonts w:ascii="Times New Roman" w:hAnsi="Times New Roman"/>
                <w:sz w:val="16"/>
                <w:szCs w:val="16"/>
                <w:lang w:val="en-US"/>
              </w:rPr>
              <w:t>custody@comex.com.ua</w:t>
            </w:r>
            <w:r w:rsidR="008061DA" w:rsidRPr="00E16672">
              <w:rPr>
                <w:rFonts w:ascii="Times New Roman" w:hAnsi="Times New Roman"/>
                <w:sz w:val="16"/>
                <w:szCs w:val="16"/>
                <w:lang w:val="en-US"/>
              </w:rPr>
              <w:t xml:space="preserve"> </w:t>
            </w:r>
          </w:p>
        </w:tc>
        <w:tc>
          <w:tcPr>
            <w:tcW w:w="365" w:type="dxa"/>
            <w:shd w:val="clear" w:color="auto" w:fill="auto"/>
          </w:tcPr>
          <w:p w14:paraId="1FAACEBC" w14:textId="77777777" w:rsidR="008061DA" w:rsidRPr="00E16672" w:rsidRDefault="008061DA" w:rsidP="00406FB3">
            <w:pPr>
              <w:snapToGrid w:val="0"/>
              <w:rPr>
                <w:rFonts w:ascii="Times New Roman" w:hAnsi="Times New Roman"/>
              </w:rPr>
            </w:pPr>
          </w:p>
        </w:tc>
      </w:tr>
      <w:tr w:rsidR="008061DA" w:rsidRPr="00E16672" w14:paraId="413A132C" w14:textId="77777777" w:rsidTr="00406FB3">
        <w:tc>
          <w:tcPr>
            <w:tcW w:w="5263" w:type="dxa"/>
            <w:gridSpan w:val="5"/>
            <w:shd w:val="clear" w:color="auto" w:fill="auto"/>
          </w:tcPr>
          <w:p w14:paraId="3634DD3D" w14:textId="77777777" w:rsidR="008061DA" w:rsidRPr="00E16672" w:rsidRDefault="008061DA" w:rsidP="00406FB3">
            <w:pPr>
              <w:pStyle w:val="4"/>
              <w:keepNext w:val="0"/>
              <w:tabs>
                <w:tab w:val="left" w:pos="57"/>
              </w:tabs>
              <w:snapToGrid w:val="0"/>
              <w:ind w:left="57" w:right="57" w:hanging="14"/>
              <w:rPr>
                <w:rFonts w:ascii="Times New Roman" w:hAnsi="Times New Roman"/>
                <w:bCs/>
                <w:iCs/>
                <w:sz w:val="16"/>
                <w:szCs w:val="16"/>
              </w:rPr>
            </w:pPr>
          </w:p>
          <w:p w14:paraId="25182B21" w14:textId="77777777" w:rsidR="00BA3154" w:rsidRPr="00BA3154" w:rsidRDefault="008061DA" w:rsidP="005770E6">
            <w:pPr>
              <w:pStyle w:val="4"/>
              <w:tabs>
                <w:tab w:val="left" w:pos="57"/>
              </w:tabs>
              <w:snapToGrid w:val="0"/>
              <w:ind w:left="57" w:right="57" w:hanging="14"/>
            </w:pPr>
            <w:r w:rsidRPr="00E16672">
              <w:rPr>
                <w:rFonts w:ascii="Times New Roman" w:hAnsi="Times New Roman"/>
                <w:bCs/>
                <w:iCs/>
                <w:sz w:val="16"/>
                <w:szCs w:val="16"/>
              </w:rPr>
              <w:t xml:space="preserve">       Банківські реквізити</w:t>
            </w:r>
          </w:p>
        </w:tc>
        <w:tc>
          <w:tcPr>
            <w:tcW w:w="5562" w:type="dxa"/>
            <w:gridSpan w:val="8"/>
            <w:shd w:val="clear" w:color="auto" w:fill="auto"/>
            <w:vAlign w:val="bottom"/>
          </w:tcPr>
          <w:p w14:paraId="2B3B4CC8" w14:textId="77777777" w:rsidR="00BA3154" w:rsidRPr="00BA3154" w:rsidRDefault="008061DA" w:rsidP="005770E6">
            <w:pPr>
              <w:pStyle w:val="4"/>
              <w:keepNext w:val="0"/>
              <w:tabs>
                <w:tab w:val="left" w:pos="57"/>
              </w:tabs>
              <w:snapToGrid w:val="0"/>
              <w:ind w:left="57" w:right="57" w:hanging="15"/>
              <w:rPr>
                <w:lang w:val="en-US"/>
              </w:rPr>
            </w:pPr>
            <w:r w:rsidRPr="00E16672">
              <w:rPr>
                <w:rFonts w:ascii="Times New Roman" w:hAnsi="Times New Roman"/>
                <w:bCs/>
                <w:iCs/>
                <w:sz w:val="16"/>
                <w:szCs w:val="16"/>
              </w:rPr>
              <w:t xml:space="preserve">        </w:t>
            </w:r>
            <w:r w:rsidRPr="00E16672">
              <w:rPr>
                <w:rFonts w:ascii="Times New Roman" w:hAnsi="Times New Roman"/>
                <w:bCs/>
                <w:iCs/>
                <w:sz w:val="16"/>
                <w:szCs w:val="16"/>
                <w:lang w:val="en-US"/>
              </w:rPr>
              <w:t>Bank Details</w:t>
            </w:r>
          </w:p>
        </w:tc>
        <w:tc>
          <w:tcPr>
            <w:tcW w:w="365" w:type="dxa"/>
            <w:shd w:val="clear" w:color="auto" w:fill="auto"/>
            <w:vAlign w:val="bottom"/>
          </w:tcPr>
          <w:p w14:paraId="1CFD6C8D" w14:textId="77777777" w:rsidR="008061DA" w:rsidRPr="00E16672" w:rsidRDefault="008061DA" w:rsidP="00406FB3">
            <w:pPr>
              <w:snapToGrid w:val="0"/>
              <w:jc w:val="center"/>
              <w:rPr>
                <w:rFonts w:ascii="Times New Roman" w:hAnsi="Times New Roman"/>
              </w:rPr>
            </w:pPr>
          </w:p>
        </w:tc>
      </w:tr>
      <w:tr w:rsidR="00BA3154" w:rsidRPr="00E16672" w14:paraId="5DA1C24A" w14:textId="77777777" w:rsidTr="00186785">
        <w:trPr>
          <w:trHeight w:val="213"/>
        </w:trPr>
        <w:tc>
          <w:tcPr>
            <w:tcW w:w="1741" w:type="dxa"/>
            <w:vMerge w:val="restart"/>
            <w:shd w:val="clear" w:color="auto" w:fill="auto"/>
            <w:vAlign w:val="center"/>
          </w:tcPr>
          <w:p w14:paraId="6BFE506E" w14:textId="77777777" w:rsidR="00BA3154" w:rsidRPr="00E16672" w:rsidRDefault="00BA3154" w:rsidP="00186785">
            <w:pPr>
              <w:pStyle w:val="4"/>
              <w:snapToGrid w:val="0"/>
              <w:ind w:left="57" w:right="57" w:firstLine="0"/>
              <w:jc w:val="left"/>
              <w:rPr>
                <w:rFonts w:ascii="Times New Roman" w:hAnsi="Times New Roman"/>
                <w:sz w:val="16"/>
              </w:rPr>
            </w:pPr>
            <w:r w:rsidRPr="00E16672">
              <w:rPr>
                <w:rFonts w:ascii="Times New Roman" w:hAnsi="Times New Roman"/>
                <w:sz w:val="16"/>
              </w:rPr>
              <w:t>Одержувач</w:t>
            </w:r>
          </w:p>
          <w:p w14:paraId="166076D0" w14:textId="77777777" w:rsidR="00BA3154" w:rsidRPr="00E16672" w:rsidRDefault="00BA3154" w:rsidP="00186785">
            <w:pPr>
              <w:pStyle w:val="4"/>
              <w:snapToGrid w:val="0"/>
              <w:ind w:left="57" w:right="57" w:firstLine="0"/>
              <w:jc w:val="left"/>
              <w:rPr>
                <w:rFonts w:ascii="Times New Roman" w:hAnsi="Times New Roman"/>
                <w:sz w:val="16"/>
              </w:rPr>
            </w:pPr>
            <w:r w:rsidRPr="00E16672">
              <w:rPr>
                <w:rFonts w:ascii="Times New Roman" w:hAnsi="Times New Roman"/>
                <w:sz w:val="16"/>
              </w:rPr>
              <w:t>Рахунок №</w:t>
            </w:r>
          </w:p>
        </w:tc>
        <w:tc>
          <w:tcPr>
            <w:tcW w:w="3623" w:type="dxa"/>
            <w:gridSpan w:val="6"/>
            <w:shd w:val="clear" w:color="auto" w:fill="auto"/>
            <w:vAlign w:val="center"/>
          </w:tcPr>
          <w:p w14:paraId="0DBABDF1" w14:textId="77777777" w:rsidR="00BA3154" w:rsidRPr="00E16672" w:rsidRDefault="00BA3154" w:rsidP="00022F5F">
            <w:pPr>
              <w:pStyle w:val="af7"/>
              <w:snapToGrid w:val="0"/>
              <w:ind w:left="57" w:right="57" w:firstLine="0"/>
              <w:jc w:val="left"/>
              <w:rPr>
                <w:rFonts w:ascii="Times New Roman" w:hAnsi="Times New Roman"/>
                <w:sz w:val="16"/>
                <w:szCs w:val="16"/>
                <w:lang w:val="ru-RU"/>
              </w:rPr>
            </w:pPr>
            <w:r w:rsidRPr="00E16672">
              <w:rPr>
                <w:rFonts w:ascii="Times New Roman" w:hAnsi="Times New Roman"/>
                <w:color w:val="000000"/>
                <w:sz w:val="16"/>
                <w:szCs w:val="16"/>
                <w:lang w:val="en-GB"/>
              </w:rPr>
              <w:t xml:space="preserve">ТОВ </w:t>
            </w:r>
            <w:r w:rsidR="00022F5F">
              <w:rPr>
                <w:rFonts w:ascii="Times New Roman" w:hAnsi="Times New Roman"/>
                <w:color w:val="000000"/>
                <w:sz w:val="16"/>
                <w:szCs w:val="16"/>
                <w:lang w:val="en-GB"/>
              </w:rPr>
              <w:t>"</w:t>
            </w:r>
            <w:r w:rsidRPr="00E16672">
              <w:rPr>
                <w:rFonts w:ascii="Times New Roman" w:hAnsi="Times New Roman"/>
                <w:color w:val="000000"/>
                <w:sz w:val="16"/>
                <w:szCs w:val="16"/>
                <w:lang w:val="en-GB"/>
              </w:rPr>
              <w:t>КОМЕКС ЦІННІ ПАПЕРИ</w:t>
            </w:r>
            <w:r w:rsidR="00022F5F">
              <w:rPr>
                <w:rFonts w:ascii="Times New Roman" w:hAnsi="Times New Roman"/>
                <w:color w:val="000000"/>
                <w:sz w:val="16"/>
                <w:szCs w:val="16"/>
                <w:lang w:val="en-GB"/>
              </w:rPr>
              <w:t>"</w:t>
            </w:r>
          </w:p>
        </w:tc>
        <w:tc>
          <w:tcPr>
            <w:tcW w:w="1899" w:type="dxa"/>
            <w:gridSpan w:val="2"/>
            <w:vMerge w:val="restart"/>
            <w:shd w:val="clear" w:color="auto" w:fill="auto"/>
            <w:vAlign w:val="center"/>
          </w:tcPr>
          <w:p w14:paraId="501578C1" w14:textId="77777777" w:rsidR="00BA3154" w:rsidRPr="00E16672" w:rsidRDefault="00BA3154" w:rsidP="00186785">
            <w:pPr>
              <w:pStyle w:val="4"/>
              <w:tabs>
                <w:tab w:val="num" w:pos="58"/>
                <w:tab w:val="left" w:pos="210"/>
              </w:tabs>
              <w:snapToGrid w:val="0"/>
              <w:ind w:left="57" w:right="57" w:firstLine="0"/>
              <w:jc w:val="left"/>
              <w:rPr>
                <w:rFonts w:ascii="Times New Roman" w:hAnsi="Times New Roman"/>
                <w:sz w:val="16"/>
                <w:lang w:val="en-GB"/>
              </w:rPr>
            </w:pPr>
            <w:r w:rsidRPr="00E16672">
              <w:rPr>
                <w:rFonts w:ascii="Times New Roman" w:hAnsi="Times New Roman"/>
                <w:sz w:val="16"/>
                <w:lang w:val="en-GB"/>
              </w:rPr>
              <w:t>Beneficiary</w:t>
            </w:r>
          </w:p>
          <w:p w14:paraId="62C65269" w14:textId="77777777" w:rsidR="00BA3154" w:rsidRPr="00E16672" w:rsidRDefault="00BA3154" w:rsidP="00186785">
            <w:pPr>
              <w:pStyle w:val="4"/>
              <w:tabs>
                <w:tab w:val="num" w:pos="58"/>
                <w:tab w:val="left" w:pos="210"/>
              </w:tabs>
              <w:snapToGrid w:val="0"/>
              <w:ind w:left="57" w:right="57" w:firstLine="0"/>
              <w:jc w:val="left"/>
              <w:rPr>
                <w:rFonts w:ascii="Times New Roman" w:hAnsi="Times New Roman"/>
                <w:sz w:val="16"/>
                <w:lang w:val="en-GB"/>
              </w:rPr>
            </w:pPr>
            <w:r w:rsidRPr="00E16672">
              <w:rPr>
                <w:rFonts w:ascii="Times New Roman" w:hAnsi="Times New Roman"/>
                <w:color w:val="000000" w:themeColor="text1"/>
                <w:sz w:val="16"/>
                <w:lang w:val="en-GB"/>
              </w:rPr>
              <w:t>Account No</w:t>
            </w:r>
          </w:p>
        </w:tc>
        <w:tc>
          <w:tcPr>
            <w:tcW w:w="3927" w:type="dxa"/>
            <w:gridSpan w:val="5"/>
            <w:shd w:val="clear" w:color="auto" w:fill="auto"/>
            <w:vAlign w:val="center"/>
          </w:tcPr>
          <w:p w14:paraId="6D547F3A" w14:textId="77777777" w:rsidR="00BA3154" w:rsidRPr="00E16672" w:rsidRDefault="00BA3154" w:rsidP="00186785">
            <w:pPr>
              <w:pStyle w:val="af7"/>
              <w:snapToGrid w:val="0"/>
              <w:ind w:right="57" w:firstLine="0"/>
              <w:jc w:val="left"/>
              <w:rPr>
                <w:rFonts w:ascii="Times New Roman" w:hAnsi="Times New Roman"/>
                <w:sz w:val="16"/>
                <w:szCs w:val="16"/>
                <w:lang w:val="en-GB"/>
              </w:rPr>
            </w:pPr>
            <w:r w:rsidRPr="003048F7">
              <w:rPr>
                <w:rFonts w:ascii="Times New Roman" w:hAnsi="Times New Roman"/>
                <w:caps/>
                <w:sz w:val="16"/>
                <w:szCs w:val="16"/>
                <w:lang w:val="en-US"/>
              </w:rPr>
              <w:t>COMEX Securities Limited</w:t>
            </w:r>
          </w:p>
        </w:tc>
      </w:tr>
      <w:tr w:rsidR="00BA3154" w:rsidRPr="00E16672" w14:paraId="1866FFA3" w14:textId="77777777" w:rsidTr="00186785">
        <w:trPr>
          <w:trHeight w:val="213"/>
        </w:trPr>
        <w:tc>
          <w:tcPr>
            <w:tcW w:w="1741" w:type="dxa"/>
            <w:vMerge/>
            <w:shd w:val="clear" w:color="auto" w:fill="auto"/>
            <w:vAlign w:val="center"/>
          </w:tcPr>
          <w:p w14:paraId="21A77238" w14:textId="77777777" w:rsidR="00BA3154" w:rsidRPr="00E16672" w:rsidRDefault="00BA3154" w:rsidP="00186785">
            <w:pPr>
              <w:pStyle w:val="4"/>
              <w:snapToGrid w:val="0"/>
              <w:ind w:left="57" w:right="57" w:firstLine="0"/>
              <w:jc w:val="left"/>
              <w:rPr>
                <w:rFonts w:ascii="Times New Roman" w:hAnsi="Times New Roman"/>
                <w:sz w:val="16"/>
              </w:rPr>
            </w:pPr>
          </w:p>
        </w:tc>
        <w:tc>
          <w:tcPr>
            <w:tcW w:w="3623" w:type="dxa"/>
            <w:gridSpan w:val="6"/>
            <w:shd w:val="clear" w:color="auto" w:fill="auto"/>
            <w:vAlign w:val="center"/>
          </w:tcPr>
          <w:p w14:paraId="2FD57FF3" w14:textId="77777777" w:rsidR="00BA3154" w:rsidRPr="00E16672" w:rsidRDefault="00BA3154" w:rsidP="00186785">
            <w:pPr>
              <w:snapToGrid w:val="0"/>
              <w:ind w:right="57" w:firstLine="0"/>
              <w:jc w:val="left"/>
              <w:rPr>
                <w:rFonts w:ascii="Times New Roman" w:hAnsi="Times New Roman"/>
                <w:color w:val="000000" w:themeColor="text1"/>
                <w:sz w:val="16"/>
                <w:szCs w:val="16"/>
              </w:rPr>
            </w:pPr>
            <w:r>
              <w:rPr>
                <w:rFonts w:ascii="Times New Roman" w:hAnsi="Times New Roman"/>
                <w:color w:val="000000" w:themeColor="text1"/>
                <w:sz w:val="16"/>
                <w:szCs w:val="16"/>
                <w:lang w:val="uk-UA"/>
              </w:rPr>
              <w:t>UA743281680000000026503815351</w:t>
            </w:r>
            <w:r w:rsidRPr="00E16672">
              <w:rPr>
                <w:rFonts w:ascii="Times New Roman" w:hAnsi="Times New Roman"/>
                <w:color w:val="000000" w:themeColor="text1"/>
                <w:sz w:val="16"/>
                <w:szCs w:val="16"/>
                <w:lang w:val="uk-UA"/>
              </w:rPr>
              <w:t xml:space="preserve">          </w:t>
            </w:r>
          </w:p>
        </w:tc>
        <w:tc>
          <w:tcPr>
            <w:tcW w:w="1899" w:type="dxa"/>
            <w:gridSpan w:val="2"/>
            <w:vMerge/>
            <w:shd w:val="clear" w:color="auto" w:fill="auto"/>
            <w:vAlign w:val="center"/>
          </w:tcPr>
          <w:p w14:paraId="2C9A4A32" w14:textId="77777777" w:rsidR="00BA3154" w:rsidRPr="00E16672" w:rsidRDefault="00BA3154" w:rsidP="00186785">
            <w:pPr>
              <w:pStyle w:val="4"/>
              <w:tabs>
                <w:tab w:val="num" w:pos="58"/>
                <w:tab w:val="left" w:pos="210"/>
              </w:tabs>
              <w:snapToGrid w:val="0"/>
              <w:ind w:left="57" w:right="57" w:firstLine="0"/>
              <w:jc w:val="left"/>
              <w:rPr>
                <w:rFonts w:ascii="Times New Roman" w:hAnsi="Times New Roman"/>
                <w:color w:val="000000" w:themeColor="text1"/>
                <w:sz w:val="16"/>
                <w:lang w:val="en-GB"/>
              </w:rPr>
            </w:pPr>
          </w:p>
        </w:tc>
        <w:tc>
          <w:tcPr>
            <w:tcW w:w="3927" w:type="dxa"/>
            <w:gridSpan w:val="5"/>
            <w:shd w:val="clear" w:color="auto" w:fill="auto"/>
            <w:vAlign w:val="center"/>
          </w:tcPr>
          <w:p w14:paraId="361D2D7E" w14:textId="77777777" w:rsidR="00BA3154" w:rsidRPr="00E16672" w:rsidRDefault="00BA3154" w:rsidP="00186785">
            <w:pPr>
              <w:pStyle w:val="af7"/>
              <w:snapToGrid w:val="0"/>
              <w:ind w:right="57" w:firstLine="0"/>
              <w:jc w:val="left"/>
              <w:rPr>
                <w:rFonts w:ascii="Times New Roman" w:hAnsi="Times New Roman"/>
                <w:color w:val="000000" w:themeColor="text1"/>
                <w:sz w:val="16"/>
                <w:szCs w:val="16"/>
                <w:lang w:val="en-GB"/>
              </w:rPr>
            </w:pPr>
            <w:r>
              <w:rPr>
                <w:rFonts w:ascii="Times New Roman" w:hAnsi="Times New Roman"/>
                <w:color w:val="000000" w:themeColor="text1"/>
                <w:sz w:val="16"/>
                <w:szCs w:val="16"/>
              </w:rPr>
              <w:t>UA743281680000000026503815351</w:t>
            </w:r>
            <w:r w:rsidRPr="00E16672">
              <w:rPr>
                <w:rFonts w:ascii="Times New Roman" w:hAnsi="Times New Roman"/>
                <w:color w:val="000000" w:themeColor="text1"/>
                <w:sz w:val="16"/>
                <w:szCs w:val="16"/>
              </w:rPr>
              <w:t xml:space="preserve"> </w:t>
            </w:r>
          </w:p>
        </w:tc>
      </w:tr>
      <w:tr w:rsidR="00BA3154" w:rsidRPr="00E16672" w14:paraId="2D94053F" w14:textId="77777777" w:rsidTr="00186785">
        <w:trPr>
          <w:trHeight w:val="1104"/>
        </w:trPr>
        <w:tc>
          <w:tcPr>
            <w:tcW w:w="1741" w:type="dxa"/>
            <w:vMerge/>
            <w:shd w:val="clear" w:color="auto" w:fill="auto"/>
            <w:vAlign w:val="center"/>
          </w:tcPr>
          <w:p w14:paraId="4269C0EB" w14:textId="77777777" w:rsidR="00BA3154" w:rsidRPr="00E16672" w:rsidRDefault="00BA3154" w:rsidP="00186785">
            <w:pPr>
              <w:pStyle w:val="4"/>
              <w:tabs>
                <w:tab w:val="num" w:pos="864"/>
              </w:tabs>
              <w:snapToGrid w:val="0"/>
              <w:ind w:left="57" w:right="57" w:firstLine="0"/>
              <w:jc w:val="left"/>
              <w:rPr>
                <w:rFonts w:ascii="Times New Roman" w:hAnsi="Times New Roman"/>
                <w:sz w:val="16"/>
                <w:lang w:val="en-US"/>
              </w:rPr>
            </w:pPr>
          </w:p>
        </w:tc>
        <w:tc>
          <w:tcPr>
            <w:tcW w:w="3623" w:type="dxa"/>
            <w:gridSpan w:val="6"/>
            <w:shd w:val="clear" w:color="auto" w:fill="auto"/>
          </w:tcPr>
          <w:p w14:paraId="6E1AD3C1" w14:textId="77777777" w:rsidR="00BA3154" w:rsidRPr="003048F7" w:rsidRDefault="00BA3154" w:rsidP="00186785">
            <w:pPr>
              <w:snapToGrid w:val="0"/>
              <w:ind w:left="57" w:right="57" w:hanging="63"/>
              <w:jc w:val="left"/>
              <w:rPr>
                <w:rFonts w:ascii="Times New Roman" w:hAnsi="Times New Roman"/>
                <w:sz w:val="16"/>
                <w:lang w:val="en-US"/>
              </w:rPr>
            </w:pPr>
            <w:r w:rsidRPr="003048F7">
              <w:rPr>
                <w:rFonts w:ascii="Times New Roman" w:hAnsi="Times New Roman"/>
                <w:sz w:val="16"/>
                <w:lang w:val="en-US"/>
              </w:rPr>
              <w:t>UAH:</w:t>
            </w:r>
          </w:p>
          <w:p w14:paraId="163A91E5" w14:textId="77777777" w:rsidR="00BA3154" w:rsidRPr="003048F7" w:rsidRDefault="00BA3154" w:rsidP="00186785">
            <w:pPr>
              <w:snapToGrid w:val="0"/>
              <w:ind w:left="57" w:right="57" w:hanging="63"/>
              <w:jc w:val="left"/>
              <w:rPr>
                <w:rFonts w:ascii="Times New Roman" w:hAnsi="Times New Roman"/>
                <w:sz w:val="16"/>
                <w:lang w:val="uk-UA"/>
              </w:rPr>
            </w:pPr>
            <w:r w:rsidRPr="003048F7">
              <w:rPr>
                <w:rFonts w:ascii="Times New Roman" w:hAnsi="Times New Roman"/>
                <w:sz w:val="16"/>
                <w:lang w:val="uk-UA"/>
              </w:rPr>
              <w:t>UA743281680000000026503815351</w:t>
            </w:r>
          </w:p>
          <w:p w14:paraId="5FFBBE8E" w14:textId="77777777" w:rsidR="00BA3154" w:rsidRPr="003048F7" w:rsidRDefault="00BA3154" w:rsidP="00186785">
            <w:pPr>
              <w:snapToGrid w:val="0"/>
              <w:ind w:left="57" w:right="57" w:hanging="63"/>
              <w:jc w:val="left"/>
              <w:rPr>
                <w:rFonts w:ascii="Times New Roman" w:hAnsi="Times New Roman"/>
                <w:sz w:val="16"/>
                <w:lang w:val="uk-UA"/>
              </w:rPr>
            </w:pPr>
            <w:r w:rsidRPr="003048F7">
              <w:rPr>
                <w:rFonts w:ascii="Times New Roman" w:hAnsi="Times New Roman"/>
                <w:sz w:val="16"/>
                <w:lang w:val="uk-UA"/>
              </w:rPr>
              <w:t>USA:</w:t>
            </w:r>
          </w:p>
          <w:p w14:paraId="57CA288C" w14:textId="77777777" w:rsidR="00BA3154" w:rsidRPr="003048F7" w:rsidRDefault="00BA3154" w:rsidP="00186785">
            <w:pPr>
              <w:snapToGrid w:val="0"/>
              <w:ind w:left="57" w:right="57" w:hanging="63"/>
              <w:jc w:val="left"/>
              <w:rPr>
                <w:rFonts w:ascii="Times New Roman" w:hAnsi="Times New Roman"/>
                <w:sz w:val="16"/>
                <w:lang w:val="uk-UA"/>
              </w:rPr>
            </w:pPr>
            <w:r w:rsidRPr="009E72B9">
              <w:rPr>
                <w:rFonts w:ascii="Times New Roman" w:hAnsi="Times New Roman"/>
                <w:sz w:val="16"/>
                <w:lang w:val="en-US"/>
              </w:rPr>
              <w:t>IBAN - UA583281680000026506000000001</w:t>
            </w:r>
          </w:p>
          <w:p w14:paraId="01827055" w14:textId="77777777" w:rsidR="00BA3154" w:rsidRPr="003048F7" w:rsidRDefault="00BA3154" w:rsidP="00186785">
            <w:pPr>
              <w:snapToGrid w:val="0"/>
              <w:ind w:left="57" w:right="57" w:hanging="63"/>
              <w:jc w:val="left"/>
              <w:rPr>
                <w:rFonts w:ascii="Times New Roman" w:hAnsi="Times New Roman"/>
                <w:sz w:val="16"/>
                <w:lang w:val="uk-UA"/>
              </w:rPr>
            </w:pPr>
            <w:r w:rsidRPr="003048F7">
              <w:rPr>
                <w:rFonts w:ascii="Times New Roman" w:hAnsi="Times New Roman"/>
                <w:sz w:val="16"/>
                <w:lang w:val="uk-UA"/>
              </w:rPr>
              <w:t>EUR:</w:t>
            </w:r>
          </w:p>
          <w:p w14:paraId="041C2ED2" w14:textId="77777777" w:rsidR="00BA3154" w:rsidRPr="009E72B9" w:rsidRDefault="00BA3154" w:rsidP="00186785">
            <w:pPr>
              <w:snapToGrid w:val="0"/>
              <w:ind w:right="57" w:firstLine="0"/>
              <w:jc w:val="left"/>
              <w:rPr>
                <w:rFonts w:ascii="Times New Roman" w:hAnsi="Times New Roman"/>
                <w:color w:val="000000" w:themeColor="text1"/>
                <w:sz w:val="16"/>
                <w:szCs w:val="16"/>
                <w:lang w:val="en-US"/>
              </w:rPr>
            </w:pPr>
            <w:r w:rsidRPr="003048F7">
              <w:rPr>
                <w:rFonts w:ascii="Times New Roman" w:hAnsi="Times New Roman"/>
                <w:sz w:val="16"/>
                <w:lang w:val="uk-UA"/>
              </w:rPr>
              <w:t>IBAN - UA763281680000026505000000002</w:t>
            </w:r>
          </w:p>
        </w:tc>
        <w:tc>
          <w:tcPr>
            <w:tcW w:w="1899" w:type="dxa"/>
            <w:gridSpan w:val="2"/>
            <w:vMerge/>
            <w:shd w:val="clear" w:color="auto" w:fill="auto"/>
            <w:vAlign w:val="center"/>
          </w:tcPr>
          <w:p w14:paraId="483CDBC6" w14:textId="77777777" w:rsidR="00BA3154" w:rsidRPr="00E16672" w:rsidRDefault="00BA3154" w:rsidP="00186785">
            <w:pPr>
              <w:tabs>
                <w:tab w:val="num" w:pos="58"/>
                <w:tab w:val="left" w:pos="210"/>
              </w:tabs>
              <w:snapToGrid w:val="0"/>
              <w:ind w:left="57" w:right="57" w:firstLine="0"/>
              <w:jc w:val="left"/>
              <w:rPr>
                <w:rFonts w:ascii="Times New Roman" w:hAnsi="Times New Roman"/>
                <w:b/>
                <w:color w:val="000000" w:themeColor="text1"/>
                <w:sz w:val="16"/>
              </w:rPr>
            </w:pPr>
          </w:p>
        </w:tc>
        <w:tc>
          <w:tcPr>
            <w:tcW w:w="3927" w:type="dxa"/>
            <w:gridSpan w:val="5"/>
            <w:shd w:val="clear" w:color="auto" w:fill="auto"/>
          </w:tcPr>
          <w:p w14:paraId="61C803B7" w14:textId="77777777" w:rsidR="00BA3154" w:rsidRPr="003048F7" w:rsidRDefault="00BA3154" w:rsidP="00186785">
            <w:pPr>
              <w:snapToGrid w:val="0"/>
              <w:ind w:left="57" w:right="57" w:hanging="63"/>
              <w:jc w:val="left"/>
              <w:rPr>
                <w:rFonts w:ascii="Times New Roman" w:hAnsi="Times New Roman"/>
                <w:sz w:val="16"/>
                <w:lang w:val="uk-UA"/>
              </w:rPr>
            </w:pPr>
            <w:r w:rsidRPr="003048F7">
              <w:rPr>
                <w:rFonts w:ascii="Times New Roman" w:hAnsi="Times New Roman"/>
                <w:sz w:val="16"/>
                <w:lang w:val="en-US"/>
              </w:rPr>
              <w:t>UAH:</w:t>
            </w:r>
          </w:p>
          <w:p w14:paraId="51437AB1" w14:textId="77777777" w:rsidR="00BA3154" w:rsidRPr="003048F7" w:rsidRDefault="00BA3154" w:rsidP="00186785">
            <w:pPr>
              <w:snapToGrid w:val="0"/>
              <w:ind w:left="57" w:right="57" w:hanging="63"/>
              <w:jc w:val="left"/>
              <w:rPr>
                <w:rFonts w:ascii="Times New Roman" w:hAnsi="Times New Roman"/>
                <w:sz w:val="16"/>
                <w:lang w:val="uk-UA"/>
              </w:rPr>
            </w:pPr>
            <w:r w:rsidRPr="003048F7">
              <w:rPr>
                <w:rFonts w:ascii="Times New Roman" w:hAnsi="Times New Roman"/>
                <w:sz w:val="16"/>
                <w:lang w:val="uk-UA"/>
              </w:rPr>
              <w:t>UA743281680000000026503815351</w:t>
            </w:r>
          </w:p>
          <w:p w14:paraId="24C6B1C4" w14:textId="77777777" w:rsidR="00BA3154" w:rsidRPr="003048F7" w:rsidRDefault="00BA3154" w:rsidP="00186785">
            <w:pPr>
              <w:snapToGrid w:val="0"/>
              <w:ind w:left="57" w:right="57" w:hanging="63"/>
              <w:jc w:val="left"/>
              <w:rPr>
                <w:rFonts w:ascii="Times New Roman" w:hAnsi="Times New Roman"/>
                <w:sz w:val="16"/>
                <w:lang w:val="uk-UA"/>
              </w:rPr>
            </w:pPr>
            <w:r w:rsidRPr="003048F7">
              <w:rPr>
                <w:rFonts w:ascii="Times New Roman" w:hAnsi="Times New Roman"/>
                <w:sz w:val="16"/>
                <w:lang w:val="uk-UA"/>
              </w:rPr>
              <w:t>USA:</w:t>
            </w:r>
          </w:p>
          <w:p w14:paraId="759E8165" w14:textId="77777777" w:rsidR="00BA3154" w:rsidRPr="003048F7" w:rsidRDefault="00BA3154" w:rsidP="00186785">
            <w:pPr>
              <w:snapToGrid w:val="0"/>
              <w:ind w:left="57" w:right="57" w:hanging="63"/>
              <w:jc w:val="left"/>
              <w:rPr>
                <w:rFonts w:ascii="Times New Roman" w:hAnsi="Times New Roman"/>
                <w:sz w:val="16"/>
                <w:lang w:val="uk-UA"/>
              </w:rPr>
            </w:pPr>
            <w:r w:rsidRPr="009E72B9">
              <w:rPr>
                <w:rFonts w:ascii="Times New Roman" w:hAnsi="Times New Roman"/>
                <w:sz w:val="16"/>
                <w:lang w:val="en-US"/>
              </w:rPr>
              <w:t>IBAN - UA583281680000026506000000001</w:t>
            </w:r>
          </w:p>
          <w:p w14:paraId="5CD6EDAF" w14:textId="77777777" w:rsidR="00BA3154" w:rsidRPr="003048F7" w:rsidRDefault="00BA3154" w:rsidP="00186785">
            <w:pPr>
              <w:snapToGrid w:val="0"/>
              <w:ind w:left="57" w:right="57" w:hanging="63"/>
              <w:jc w:val="left"/>
              <w:rPr>
                <w:rFonts w:ascii="Times New Roman" w:hAnsi="Times New Roman"/>
                <w:sz w:val="16"/>
                <w:lang w:val="uk-UA"/>
              </w:rPr>
            </w:pPr>
            <w:r w:rsidRPr="003048F7">
              <w:rPr>
                <w:rFonts w:ascii="Times New Roman" w:hAnsi="Times New Roman"/>
                <w:sz w:val="16"/>
                <w:lang w:val="uk-UA"/>
              </w:rPr>
              <w:t>EUR:</w:t>
            </w:r>
          </w:p>
          <w:p w14:paraId="3C69454A" w14:textId="77777777" w:rsidR="00BA3154" w:rsidRPr="00E16672" w:rsidRDefault="00BA3154" w:rsidP="00186785">
            <w:pPr>
              <w:snapToGrid w:val="0"/>
              <w:ind w:right="57" w:firstLine="0"/>
              <w:jc w:val="left"/>
              <w:rPr>
                <w:rFonts w:ascii="Times New Roman" w:hAnsi="Times New Roman"/>
                <w:color w:val="000000" w:themeColor="text1"/>
                <w:sz w:val="16"/>
                <w:szCs w:val="16"/>
                <w:lang w:val="en-US"/>
              </w:rPr>
            </w:pPr>
            <w:r w:rsidRPr="003048F7">
              <w:rPr>
                <w:rFonts w:ascii="Times New Roman" w:hAnsi="Times New Roman"/>
                <w:sz w:val="16"/>
              </w:rPr>
              <w:t>IBAN - UA763281680000026505000000002</w:t>
            </w:r>
          </w:p>
        </w:tc>
      </w:tr>
      <w:tr w:rsidR="00BA3154" w:rsidRPr="00F23413" w14:paraId="08FD27F9" w14:textId="77777777" w:rsidTr="00186785">
        <w:trPr>
          <w:trHeight w:val="882"/>
        </w:trPr>
        <w:tc>
          <w:tcPr>
            <w:tcW w:w="1741" w:type="dxa"/>
            <w:shd w:val="clear" w:color="auto" w:fill="auto"/>
            <w:vAlign w:val="center"/>
          </w:tcPr>
          <w:p w14:paraId="229A01CD" w14:textId="77777777" w:rsidR="00BA3154" w:rsidRPr="00E16672" w:rsidRDefault="00BA3154" w:rsidP="00186785">
            <w:pPr>
              <w:pStyle w:val="4"/>
              <w:keepNext w:val="0"/>
              <w:widowControl w:val="0"/>
              <w:tabs>
                <w:tab w:val="num" w:pos="864"/>
                <w:tab w:val="left" w:pos="921"/>
              </w:tabs>
              <w:snapToGrid w:val="0"/>
              <w:ind w:left="57" w:right="57" w:firstLine="0"/>
              <w:jc w:val="left"/>
              <w:rPr>
                <w:rFonts w:ascii="Times New Roman" w:hAnsi="Times New Roman"/>
                <w:iCs/>
                <w:sz w:val="16"/>
                <w:szCs w:val="16"/>
              </w:rPr>
            </w:pPr>
            <w:r w:rsidRPr="00E16672">
              <w:rPr>
                <w:rFonts w:ascii="Times New Roman" w:hAnsi="Times New Roman"/>
                <w:sz w:val="16"/>
              </w:rPr>
              <w:t>Банк одержувача</w:t>
            </w:r>
            <w:r w:rsidRPr="00E16672">
              <w:rPr>
                <w:rFonts w:ascii="Times New Roman" w:hAnsi="Times New Roman"/>
                <w:sz w:val="16"/>
                <w:lang w:val="en-US"/>
              </w:rPr>
              <w:t>:</w:t>
            </w:r>
          </w:p>
        </w:tc>
        <w:tc>
          <w:tcPr>
            <w:tcW w:w="3623" w:type="dxa"/>
            <w:gridSpan w:val="6"/>
            <w:shd w:val="clear" w:color="auto" w:fill="auto"/>
            <w:vAlign w:val="center"/>
          </w:tcPr>
          <w:p w14:paraId="0943ECFE" w14:textId="77777777" w:rsidR="00BA3154" w:rsidRPr="003048F7" w:rsidRDefault="00BA3154" w:rsidP="00022F5F">
            <w:pPr>
              <w:pStyle w:val="1f2"/>
              <w:ind w:left="-6" w:right="57" w:firstLine="0"/>
              <w:jc w:val="left"/>
              <w:rPr>
                <w:rFonts w:ascii="Times New Roman" w:hAnsi="Times New Roman" w:cs="Times New Roman"/>
                <w:sz w:val="16"/>
              </w:rPr>
            </w:pPr>
            <w:r w:rsidRPr="003048F7">
              <w:rPr>
                <w:rFonts w:ascii="Times New Roman" w:hAnsi="Times New Roman" w:cs="Times New Roman"/>
                <w:sz w:val="16"/>
              </w:rPr>
              <w:t xml:space="preserve">ПАТ </w:t>
            </w:r>
            <w:r w:rsidR="00022F5F">
              <w:rPr>
                <w:rFonts w:ascii="Times New Roman" w:hAnsi="Times New Roman" w:cs="Times New Roman"/>
                <w:sz w:val="16"/>
              </w:rPr>
              <w:t>"</w:t>
            </w:r>
            <w:r w:rsidRPr="003048F7">
              <w:rPr>
                <w:rFonts w:ascii="Times New Roman" w:hAnsi="Times New Roman" w:cs="Times New Roman"/>
                <w:sz w:val="16"/>
              </w:rPr>
              <w:t>МТБ БАНК</w:t>
            </w:r>
            <w:r w:rsidR="00022F5F">
              <w:rPr>
                <w:rFonts w:ascii="Times New Roman" w:hAnsi="Times New Roman" w:cs="Times New Roman"/>
                <w:sz w:val="16"/>
              </w:rPr>
              <w:t>"</w:t>
            </w:r>
          </w:p>
          <w:p w14:paraId="0DE785BF" w14:textId="77777777" w:rsidR="00BA3154" w:rsidRPr="00E16672" w:rsidRDefault="00BA3154" w:rsidP="00186785">
            <w:pPr>
              <w:snapToGrid w:val="0"/>
              <w:ind w:right="57" w:firstLine="0"/>
              <w:jc w:val="left"/>
              <w:rPr>
                <w:rFonts w:ascii="Times New Roman" w:hAnsi="Times New Roman"/>
                <w:bCs/>
                <w:color w:val="0000FF"/>
                <w:sz w:val="16"/>
                <w:szCs w:val="16"/>
                <w:lang w:val="uk-UA"/>
              </w:rPr>
            </w:pPr>
            <w:proofErr w:type="spellStart"/>
            <w:r w:rsidRPr="003048F7">
              <w:rPr>
                <w:rFonts w:ascii="Times New Roman" w:hAnsi="Times New Roman"/>
                <w:sz w:val="16"/>
              </w:rPr>
              <w:t>Україна</w:t>
            </w:r>
            <w:proofErr w:type="spellEnd"/>
            <w:r w:rsidRPr="001E0BFF">
              <w:rPr>
                <w:rFonts w:ascii="Times New Roman" w:hAnsi="Times New Roman"/>
                <w:sz w:val="16"/>
              </w:rPr>
              <w:t xml:space="preserve">, 68003, </w:t>
            </w:r>
            <w:proofErr w:type="spellStart"/>
            <w:r w:rsidRPr="003048F7">
              <w:rPr>
                <w:rFonts w:ascii="Times New Roman" w:hAnsi="Times New Roman"/>
                <w:sz w:val="16"/>
              </w:rPr>
              <w:t>Одеська</w:t>
            </w:r>
            <w:proofErr w:type="spellEnd"/>
            <w:r w:rsidRPr="003048F7">
              <w:rPr>
                <w:rFonts w:ascii="Times New Roman" w:hAnsi="Times New Roman"/>
                <w:sz w:val="16"/>
              </w:rPr>
              <w:t xml:space="preserve"> область</w:t>
            </w:r>
            <w:r w:rsidRPr="001E0BFF">
              <w:rPr>
                <w:rFonts w:ascii="Times New Roman" w:hAnsi="Times New Roman"/>
                <w:sz w:val="16"/>
              </w:rPr>
              <w:t xml:space="preserve">, </w:t>
            </w:r>
            <w:proofErr w:type="spellStart"/>
            <w:r w:rsidRPr="003048F7">
              <w:rPr>
                <w:rFonts w:ascii="Times New Roman" w:hAnsi="Times New Roman"/>
                <w:sz w:val="16"/>
              </w:rPr>
              <w:t>місто</w:t>
            </w:r>
            <w:proofErr w:type="spellEnd"/>
            <w:r w:rsidRPr="003048F7">
              <w:rPr>
                <w:rFonts w:ascii="Times New Roman" w:hAnsi="Times New Roman"/>
                <w:sz w:val="16"/>
              </w:rPr>
              <w:t xml:space="preserve"> </w:t>
            </w:r>
            <w:proofErr w:type="spellStart"/>
            <w:r w:rsidRPr="003048F7">
              <w:rPr>
                <w:rFonts w:ascii="Times New Roman" w:hAnsi="Times New Roman"/>
                <w:sz w:val="16"/>
              </w:rPr>
              <w:t>Чорноморськ</w:t>
            </w:r>
            <w:proofErr w:type="spellEnd"/>
            <w:r w:rsidRPr="001E0BFF">
              <w:rPr>
                <w:rFonts w:ascii="Times New Roman" w:hAnsi="Times New Roman"/>
                <w:sz w:val="16"/>
              </w:rPr>
              <w:t xml:space="preserve">, </w:t>
            </w:r>
            <w:r w:rsidRPr="003048F7">
              <w:rPr>
                <w:rFonts w:ascii="Times New Roman" w:hAnsi="Times New Roman"/>
                <w:sz w:val="16"/>
              </w:rPr>
              <w:t>пр. Миру</w:t>
            </w:r>
            <w:r w:rsidRPr="003048F7">
              <w:rPr>
                <w:rFonts w:ascii="Times New Roman" w:hAnsi="Times New Roman"/>
                <w:sz w:val="16"/>
                <w:lang w:val="en-US"/>
              </w:rPr>
              <w:t>, 28</w:t>
            </w:r>
          </w:p>
        </w:tc>
        <w:tc>
          <w:tcPr>
            <w:tcW w:w="1899" w:type="dxa"/>
            <w:gridSpan w:val="2"/>
            <w:shd w:val="clear" w:color="auto" w:fill="auto"/>
            <w:vAlign w:val="center"/>
          </w:tcPr>
          <w:p w14:paraId="0602B014" w14:textId="77777777" w:rsidR="00BA3154" w:rsidRPr="00E16672" w:rsidRDefault="00BA3154" w:rsidP="00186785">
            <w:pPr>
              <w:pStyle w:val="4"/>
              <w:keepNext w:val="0"/>
              <w:widowControl w:val="0"/>
              <w:tabs>
                <w:tab w:val="num" w:pos="58"/>
              </w:tabs>
              <w:snapToGrid w:val="0"/>
              <w:ind w:left="58" w:right="57" w:firstLine="0"/>
              <w:jc w:val="left"/>
              <w:rPr>
                <w:rFonts w:ascii="Times New Roman" w:hAnsi="Times New Roman"/>
                <w:iCs/>
                <w:sz w:val="16"/>
                <w:szCs w:val="16"/>
                <w:lang w:val="en-GB"/>
              </w:rPr>
            </w:pPr>
            <w:proofErr w:type="spellStart"/>
            <w:r w:rsidRPr="00E16672">
              <w:rPr>
                <w:rFonts w:ascii="Times New Roman" w:hAnsi="Times New Roman"/>
                <w:color w:val="000000" w:themeColor="text1"/>
                <w:sz w:val="16"/>
              </w:rPr>
              <w:t>Beneficiary's</w:t>
            </w:r>
            <w:proofErr w:type="spellEnd"/>
            <w:r w:rsidRPr="00E16672">
              <w:rPr>
                <w:rFonts w:ascii="Times New Roman" w:hAnsi="Times New Roman"/>
                <w:color w:val="000000" w:themeColor="text1"/>
                <w:sz w:val="16"/>
              </w:rPr>
              <w:t xml:space="preserve"> </w:t>
            </w:r>
            <w:proofErr w:type="spellStart"/>
            <w:r w:rsidRPr="00E16672">
              <w:rPr>
                <w:rFonts w:ascii="Times New Roman" w:hAnsi="Times New Roman"/>
                <w:color w:val="000000" w:themeColor="text1"/>
                <w:sz w:val="16"/>
              </w:rPr>
              <w:t>bank</w:t>
            </w:r>
            <w:proofErr w:type="spellEnd"/>
          </w:p>
        </w:tc>
        <w:tc>
          <w:tcPr>
            <w:tcW w:w="3927" w:type="dxa"/>
            <w:gridSpan w:val="5"/>
            <w:shd w:val="clear" w:color="auto" w:fill="auto"/>
            <w:vAlign w:val="center"/>
          </w:tcPr>
          <w:p w14:paraId="3029B1E1" w14:textId="77777777" w:rsidR="00BA3154" w:rsidRPr="003048F7" w:rsidRDefault="00BA3154" w:rsidP="00186785">
            <w:pPr>
              <w:snapToGrid w:val="0"/>
              <w:ind w:left="57" w:right="57" w:hanging="57"/>
              <w:rPr>
                <w:rFonts w:ascii="Times New Roman" w:hAnsi="Times New Roman"/>
                <w:sz w:val="16"/>
                <w:lang w:val="en-US"/>
              </w:rPr>
            </w:pPr>
            <w:r w:rsidRPr="003048F7">
              <w:rPr>
                <w:rFonts w:ascii="Times New Roman" w:hAnsi="Times New Roman"/>
                <w:sz w:val="16"/>
                <w:lang w:val="en-US"/>
              </w:rPr>
              <w:t>PJSC “MTB BANK”</w:t>
            </w:r>
          </w:p>
          <w:p w14:paraId="4A99CA92" w14:textId="77777777" w:rsidR="00BA3154" w:rsidRPr="00E16672" w:rsidRDefault="00BA3154" w:rsidP="00186785">
            <w:pPr>
              <w:snapToGrid w:val="0"/>
              <w:ind w:right="57" w:firstLine="0"/>
              <w:jc w:val="left"/>
              <w:rPr>
                <w:rFonts w:ascii="Times New Roman" w:hAnsi="Times New Roman"/>
                <w:bCs/>
                <w:color w:val="0000FF"/>
                <w:sz w:val="16"/>
                <w:szCs w:val="16"/>
                <w:lang w:val="en-GB"/>
              </w:rPr>
            </w:pPr>
            <w:r w:rsidRPr="003048F7">
              <w:rPr>
                <w:rFonts w:ascii="Times New Roman" w:hAnsi="Times New Roman"/>
                <w:sz w:val="16"/>
                <w:lang w:val="en-US"/>
              </w:rPr>
              <w:t xml:space="preserve">Ukraine, 68003, Odessa region, </w:t>
            </w:r>
            <w:proofErr w:type="spellStart"/>
            <w:r w:rsidRPr="003048F7">
              <w:rPr>
                <w:rFonts w:ascii="Times New Roman" w:hAnsi="Times New Roman"/>
                <w:sz w:val="16"/>
                <w:lang w:val="en-US"/>
              </w:rPr>
              <w:t>Chornomorsk</w:t>
            </w:r>
            <w:proofErr w:type="spellEnd"/>
            <w:r w:rsidRPr="003048F7">
              <w:rPr>
                <w:rFonts w:ascii="Times New Roman" w:hAnsi="Times New Roman"/>
                <w:sz w:val="16"/>
                <w:lang w:val="en-US"/>
              </w:rPr>
              <w:t xml:space="preserve"> city, Mir Avenue, 28</w:t>
            </w:r>
          </w:p>
        </w:tc>
      </w:tr>
      <w:tr w:rsidR="00BA3154" w:rsidRPr="00E16672" w:rsidDel="00D16973" w14:paraId="1C3AE53A" w14:textId="77777777" w:rsidTr="00186785">
        <w:trPr>
          <w:trHeight w:val="582"/>
        </w:trPr>
        <w:tc>
          <w:tcPr>
            <w:tcW w:w="3005" w:type="dxa"/>
            <w:gridSpan w:val="3"/>
            <w:shd w:val="clear" w:color="auto" w:fill="auto"/>
            <w:vAlign w:val="center"/>
          </w:tcPr>
          <w:p w14:paraId="72F32244" w14:textId="752B57E3" w:rsidR="00BA3154" w:rsidRPr="00E16672" w:rsidRDefault="00BA3154" w:rsidP="00186785">
            <w:pPr>
              <w:pStyle w:val="4"/>
              <w:numPr>
                <w:ilvl w:val="3"/>
                <w:numId w:val="0"/>
              </w:numPr>
              <w:tabs>
                <w:tab w:val="num" w:pos="864"/>
              </w:tabs>
              <w:ind w:left="57" w:right="57"/>
              <w:jc w:val="left"/>
              <w:rPr>
                <w:rFonts w:ascii="Times New Roman" w:hAnsi="Times New Roman"/>
                <w:sz w:val="16"/>
              </w:rPr>
            </w:pPr>
            <w:r w:rsidRPr="00E16672">
              <w:rPr>
                <w:rFonts w:ascii="Times New Roman" w:hAnsi="Times New Roman"/>
                <w:sz w:val="16"/>
              </w:rPr>
              <w:t xml:space="preserve">Документ, що підтверджує повноваження особи, яка підписує договір </w:t>
            </w:r>
          </w:p>
        </w:tc>
        <w:tc>
          <w:tcPr>
            <w:tcW w:w="2359" w:type="dxa"/>
            <w:gridSpan w:val="4"/>
            <w:shd w:val="clear" w:color="auto" w:fill="auto"/>
            <w:vAlign w:val="center"/>
          </w:tcPr>
          <w:p w14:paraId="74768E59" w14:textId="77777777" w:rsidR="00BA3154" w:rsidRPr="00E16672" w:rsidRDefault="00BA3154" w:rsidP="00186785">
            <w:pPr>
              <w:pStyle w:val="1f2"/>
              <w:ind w:right="57" w:firstLine="0"/>
              <w:jc w:val="left"/>
              <w:rPr>
                <w:rFonts w:ascii="Times New Roman" w:hAnsi="Times New Roman" w:cs="Times New Roman"/>
                <w:color w:val="0000FF"/>
                <w:sz w:val="16"/>
                <w:lang w:val="ru-RU"/>
              </w:rPr>
            </w:pPr>
            <w:r w:rsidRPr="00E16672">
              <w:rPr>
                <w:rFonts w:ascii="Times New Roman" w:hAnsi="Times New Roman" w:cs="Times New Roman"/>
                <w:sz w:val="16"/>
                <w:lang w:val="ru-RU"/>
              </w:rPr>
              <w:t xml:space="preserve"> Статут</w:t>
            </w:r>
          </w:p>
        </w:tc>
        <w:tc>
          <w:tcPr>
            <w:tcW w:w="3175" w:type="dxa"/>
            <w:gridSpan w:val="5"/>
            <w:shd w:val="clear" w:color="auto" w:fill="auto"/>
            <w:vAlign w:val="center"/>
          </w:tcPr>
          <w:p w14:paraId="033FF215" w14:textId="1AD796FA" w:rsidR="00BA3154" w:rsidRPr="00E16672" w:rsidRDefault="00BA3154" w:rsidP="00186785">
            <w:pPr>
              <w:pStyle w:val="4"/>
              <w:numPr>
                <w:ilvl w:val="3"/>
                <w:numId w:val="0"/>
              </w:numPr>
              <w:tabs>
                <w:tab w:val="num" w:pos="864"/>
              </w:tabs>
              <w:ind w:left="57" w:right="57"/>
              <w:jc w:val="left"/>
              <w:rPr>
                <w:rFonts w:ascii="Times New Roman" w:hAnsi="Times New Roman"/>
                <w:sz w:val="16"/>
              </w:rPr>
            </w:pPr>
            <w:r w:rsidRPr="00E16672">
              <w:rPr>
                <w:rFonts w:ascii="Times New Roman" w:hAnsi="Times New Roman"/>
                <w:sz w:val="16"/>
              </w:rPr>
              <w:t xml:space="preserve">A </w:t>
            </w:r>
            <w:proofErr w:type="spellStart"/>
            <w:r w:rsidRPr="00E16672">
              <w:rPr>
                <w:rFonts w:ascii="Times New Roman" w:hAnsi="Times New Roman"/>
                <w:sz w:val="16"/>
              </w:rPr>
              <w:t>document</w:t>
            </w:r>
            <w:proofErr w:type="spellEnd"/>
            <w:r w:rsidRPr="00E16672">
              <w:rPr>
                <w:rFonts w:ascii="Times New Roman" w:hAnsi="Times New Roman"/>
                <w:sz w:val="16"/>
              </w:rPr>
              <w:t xml:space="preserve"> </w:t>
            </w:r>
            <w:proofErr w:type="spellStart"/>
            <w:r w:rsidRPr="00E16672">
              <w:rPr>
                <w:rFonts w:ascii="Times New Roman" w:hAnsi="Times New Roman"/>
                <w:sz w:val="16"/>
              </w:rPr>
              <w:t>confirming</w:t>
            </w:r>
            <w:proofErr w:type="spellEnd"/>
            <w:r w:rsidRPr="00E16672">
              <w:rPr>
                <w:rFonts w:ascii="Times New Roman" w:hAnsi="Times New Roman"/>
                <w:sz w:val="16"/>
              </w:rPr>
              <w:t xml:space="preserve"> </w:t>
            </w:r>
            <w:proofErr w:type="spellStart"/>
            <w:r w:rsidRPr="00E16672">
              <w:rPr>
                <w:rFonts w:ascii="Times New Roman" w:hAnsi="Times New Roman"/>
                <w:sz w:val="16"/>
              </w:rPr>
              <w:t>the</w:t>
            </w:r>
            <w:proofErr w:type="spellEnd"/>
            <w:r w:rsidRPr="00E16672">
              <w:rPr>
                <w:rFonts w:ascii="Times New Roman" w:hAnsi="Times New Roman"/>
                <w:sz w:val="16"/>
              </w:rPr>
              <w:t xml:space="preserve"> </w:t>
            </w:r>
            <w:proofErr w:type="spellStart"/>
            <w:r w:rsidRPr="00E16672">
              <w:rPr>
                <w:rFonts w:ascii="Times New Roman" w:hAnsi="Times New Roman"/>
                <w:sz w:val="16"/>
              </w:rPr>
              <w:t>authority</w:t>
            </w:r>
            <w:proofErr w:type="spellEnd"/>
            <w:r w:rsidRPr="00E16672">
              <w:rPr>
                <w:rFonts w:ascii="Times New Roman" w:hAnsi="Times New Roman"/>
                <w:sz w:val="16"/>
              </w:rPr>
              <w:t xml:space="preserve"> </w:t>
            </w:r>
            <w:proofErr w:type="spellStart"/>
            <w:r w:rsidRPr="00E16672">
              <w:rPr>
                <w:rFonts w:ascii="Times New Roman" w:hAnsi="Times New Roman"/>
                <w:sz w:val="16"/>
              </w:rPr>
              <w:t>of</w:t>
            </w:r>
            <w:proofErr w:type="spellEnd"/>
            <w:r w:rsidRPr="00E16672">
              <w:rPr>
                <w:rFonts w:ascii="Times New Roman" w:hAnsi="Times New Roman"/>
                <w:sz w:val="16"/>
              </w:rPr>
              <w:t xml:space="preserve"> </w:t>
            </w:r>
            <w:proofErr w:type="spellStart"/>
            <w:r w:rsidRPr="00E16672">
              <w:rPr>
                <w:rFonts w:ascii="Times New Roman" w:hAnsi="Times New Roman"/>
                <w:sz w:val="16"/>
              </w:rPr>
              <w:t>the</w:t>
            </w:r>
            <w:proofErr w:type="spellEnd"/>
            <w:r w:rsidRPr="00E16672">
              <w:rPr>
                <w:rFonts w:ascii="Times New Roman" w:hAnsi="Times New Roman"/>
                <w:sz w:val="16"/>
              </w:rPr>
              <w:t xml:space="preserve"> </w:t>
            </w:r>
            <w:proofErr w:type="spellStart"/>
            <w:r w:rsidRPr="00E16672">
              <w:rPr>
                <w:rFonts w:ascii="Times New Roman" w:hAnsi="Times New Roman"/>
                <w:sz w:val="16"/>
              </w:rPr>
              <w:t>person</w:t>
            </w:r>
            <w:proofErr w:type="spellEnd"/>
            <w:r w:rsidRPr="00E16672">
              <w:rPr>
                <w:rFonts w:ascii="Times New Roman" w:hAnsi="Times New Roman"/>
                <w:sz w:val="16"/>
              </w:rPr>
              <w:t xml:space="preserve"> </w:t>
            </w:r>
            <w:proofErr w:type="spellStart"/>
            <w:r w:rsidRPr="00E16672">
              <w:rPr>
                <w:rFonts w:ascii="Times New Roman" w:hAnsi="Times New Roman"/>
                <w:sz w:val="16"/>
              </w:rPr>
              <w:t>signing</w:t>
            </w:r>
            <w:proofErr w:type="spellEnd"/>
            <w:r w:rsidRPr="00E16672">
              <w:rPr>
                <w:rFonts w:ascii="Times New Roman" w:hAnsi="Times New Roman"/>
                <w:sz w:val="16"/>
              </w:rPr>
              <w:t xml:space="preserve"> </w:t>
            </w:r>
            <w:proofErr w:type="spellStart"/>
            <w:r w:rsidRPr="00E16672">
              <w:rPr>
                <w:rFonts w:ascii="Times New Roman" w:hAnsi="Times New Roman"/>
                <w:sz w:val="16"/>
              </w:rPr>
              <w:t>the</w:t>
            </w:r>
            <w:proofErr w:type="spellEnd"/>
            <w:r w:rsidRPr="00E16672">
              <w:rPr>
                <w:rFonts w:ascii="Times New Roman" w:hAnsi="Times New Roman"/>
                <w:sz w:val="16"/>
              </w:rPr>
              <w:t xml:space="preserve"> </w:t>
            </w:r>
            <w:proofErr w:type="spellStart"/>
            <w:r w:rsidRPr="00E16672">
              <w:rPr>
                <w:rFonts w:ascii="Times New Roman" w:hAnsi="Times New Roman"/>
                <w:sz w:val="16"/>
              </w:rPr>
              <w:t>contract</w:t>
            </w:r>
            <w:proofErr w:type="spellEnd"/>
            <w:r w:rsidRPr="00E16672">
              <w:rPr>
                <w:rFonts w:ascii="Times New Roman" w:hAnsi="Times New Roman"/>
                <w:sz w:val="16"/>
              </w:rPr>
              <w:t xml:space="preserve"> </w:t>
            </w:r>
          </w:p>
        </w:tc>
        <w:tc>
          <w:tcPr>
            <w:tcW w:w="2651" w:type="dxa"/>
            <w:gridSpan w:val="2"/>
            <w:shd w:val="clear" w:color="auto" w:fill="auto"/>
            <w:vAlign w:val="center"/>
          </w:tcPr>
          <w:p w14:paraId="4736CBF2" w14:textId="77777777" w:rsidR="00BA3154" w:rsidRPr="00E16672" w:rsidDel="00D16973" w:rsidRDefault="00BA3154" w:rsidP="00186785">
            <w:pPr>
              <w:pStyle w:val="4"/>
              <w:numPr>
                <w:ilvl w:val="3"/>
                <w:numId w:val="0"/>
              </w:numPr>
              <w:tabs>
                <w:tab w:val="num" w:pos="864"/>
              </w:tabs>
              <w:ind w:left="57" w:right="57"/>
              <w:jc w:val="left"/>
              <w:rPr>
                <w:rFonts w:ascii="Times New Roman" w:hAnsi="Times New Roman"/>
                <w:b w:val="0"/>
                <w:sz w:val="16"/>
                <w:szCs w:val="16"/>
              </w:rPr>
            </w:pPr>
            <w:r w:rsidRPr="00E16672">
              <w:rPr>
                <w:rFonts w:ascii="Times New Roman" w:hAnsi="Times New Roman"/>
                <w:b w:val="0"/>
                <w:color w:val="000000"/>
                <w:sz w:val="16"/>
                <w:lang w:val="en-US"/>
              </w:rPr>
              <w:t>Statute</w:t>
            </w:r>
          </w:p>
        </w:tc>
      </w:tr>
      <w:tr w:rsidR="00BA3154" w:rsidRPr="00E16672" w:rsidDel="00D16973" w14:paraId="2E2BDE64" w14:textId="77777777" w:rsidTr="00186785">
        <w:trPr>
          <w:trHeight w:val="582"/>
        </w:trPr>
        <w:tc>
          <w:tcPr>
            <w:tcW w:w="3005" w:type="dxa"/>
            <w:gridSpan w:val="3"/>
            <w:shd w:val="clear" w:color="auto" w:fill="auto"/>
            <w:vAlign w:val="center"/>
          </w:tcPr>
          <w:p w14:paraId="1A78922D" w14:textId="77777777" w:rsidR="00BA3154" w:rsidRPr="00E16672" w:rsidRDefault="00BA3154" w:rsidP="00186785">
            <w:pPr>
              <w:pStyle w:val="4"/>
              <w:numPr>
                <w:ilvl w:val="3"/>
                <w:numId w:val="0"/>
              </w:numPr>
              <w:tabs>
                <w:tab w:val="num" w:pos="864"/>
              </w:tabs>
              <w:ind w:left="57" w:right="57"/>
              <w:jc w:val="left"/>
              <w:rPr>
                <w:rFonts w:ascii="Times New Roman" w:hAnsi="Times New Roman"/>
                <w:sz w:val="16"/>
              </w:rPr>
            </w:pPr>
            <w:r w:rsidRPr="00E16672">
              <w:rPr>
                <w:rFonts w:ascii="Times New Roman" w:hAnsi="Times New Roman"/>
                <w:color w:val="000000"/>
                <w:sz w:val="16"/>
                <w:szCs w:val="18"/>
              </w:rPr>
              <w:t>Ліцензія депозитарної установи (серія, номер, дата видачі)</w:t>
            </w:r>
          </w:p>
        </w:tc>
        <w:tc>
          <w:tcPr>
            <w:tcW w:w="2359" w:type="dxa"/>
            <w:gridSpan w:val="4"/>
            <w:shd w:val="clear" w:color="auto" w:fill="auto"/>
            <w:vAlign w:val="center"/>
          </w:tcPr>
          <w:p w14:paraId="1E8C935A" w14:textId="77777777" w:rsidR="00BA3154" w:rsidRPr="00E16672" w:rsidRDefault="00BA3154" w:rsidP="00186785">
            <w:pPr>
              <w:pStyle w:val="1f2"/>
              <w:ind w:right="57" w:firstLine="0"/>
              <w:rPr>
                <w:rFonts w:ascii="Times New Roman" w:hAnsi="Times New Roman" w:cs="Times New Roman"/>
                <w:color w:val="0000FF"/>
                <w:sz w:val="16"/>
                <w:lang w:val="ru-RU"/>
              </w:rPr>
            </w:pPr>
            <w:r w:rsidRPr="00E16672">
              <w:rPr>
                <w:rFonts w:ascii="Times New Roman" w:hAnsi="Times New Roman" w:cs="Times New Roman"/>
                <w:bCs/>
                <w:sz w:val="16"/>
                <w:szCs w:val="16"/>
              </w:rPr>
              <w:t xml:space="preserve"> АЕ 263429, 01.10.2013</w:t>
            </w:r>
          </w:p>
        </w:tc>
        <w:tc>
          <w:tcPr>
            <w:tcW w:w="3175" w:type="dxa"/>
            <w:gridSpan w:val="5"/>
            <w:shd w:val="clear" w:color="auto" w:fill="auto"/>
            <w:vAlign w:val="center"/>
          </w:tcPr>
          <w:p w14:paraId="11FDB6B8" w14:textId="77777777" w:rsidR="00BA3154" w:rsidRPr="00E16672" w:rsidRDefault="00BA3154" w:rsidP="00186785">
            <w:pPr>
              <w:pStyle w:val="4"/>
              <w:numPr>
                <w:ilvl w:val="3"/>
                <w:numId w:val="0"/>
              </w:numPr>
              <w:tabs>
                <w:tab w:val="num" w:pos="864"/>
              </w:tabs>
              <w:ind w:left="57" w:right="57"/>
              <w:jc w:val="left"/>
              <w:rPr>
                <w:rFonts w:ascii="Times New Roman" w:hAnsi="Times New Roman"/>
                <w:color w:val="0000FF"/>
                <w:sz w:val="16"/>
                <w:szCs w:val="16"/>
              </w:rPr>
            </w:pPr>
            <w:proofErr w:type="spellStart"/>
            <w:r w:rsidRPr="00E16672">
              <w:rPr>
                <w:rFonts w:ascii="Times New Roman" w:hAnsi="Times New Roman"/>
                <w:color w:val="000000"/>
                <w:sz w:val="16"/>
                <w:szCs w:val="18"/>
              </w:rPr>
              <w:t>Depositary</w:t>
            </w:r>
            <w:proofErr w:type="spellEnd"/>
            <w:r w:rsidRPr="00E16672">
              <w:rPr>
                <w:rFonts w:ascii="Times New Roman" w:hAnsi="Times New Roman"/>
                <w:color w:val="000000"/>
                <w:sz w:val="16"/>
                <w:szCs w:val="18"/>
              </w:rPr>
              <w:t xml:space="preserve"> </w:t>
            </w:r>
            <w:proofErr w:type="spellStart"/>
            <w:r w:rsidRPr="00E16672">
              <w:rPr>
                <w:rFonts w:ascii="Times New Roman" w:hAnsi="Times New Roman"/>
                <w:color w:val="000000"/>
                <w:sz w:val="16"/>
                <w:szCs w:val="18"/>
              </w:rPr>
              <w:t>institution</w:t>
            </w:r>
            <w:proofErr w:type="spellEnd"/>
            <w:r w:rsidRPr="00E16672">
              <w:rPr>
                <w:rFonts w:ascii="Times New Roman" w:hAnsi="Times New Roman"/>
                <w:color w:val="000000"/>
                <w:sz w:val="16"/>
                <w:szCs w:val="18"/>
              </w:rPr>
              <w:t xml:space="preserve"> </w:t>
            </w:r>
            <w:proofErr w:type="spellStart"/>
            <w:r w:rsidRPr="00E16672">
              <w:rPr>
                <w:rFonts w:ascii="Times New Roman" w:hAnsi="Times New Roman"/>
                <w:color w:val="000000"/>
                <w:sz w:val="16"/>
                <w:szCs w:val="18"/>
              </w:rPr>
              <w:t>license</w:t>
            </w:r>
            <w:proofErr w:type="spellEnd"/>
            <w:r w:rsidRPr="00E16672">
              <w:rPr>
                <w:rFonts w:ascii="Times New Roman" w:hAnsi="Times New Roman"/>
                <w:color w:val="000000"/>
                <w:sz w:val="16"/>
                <w:szCs w:val="18"/>
              </w:rPr>
              <w:t xml:space="preserve"> (</w:t>
            </w:r>
            <w:proofErr w:type="spellStart"/>
            <w:r w:rsidRPr="00E16672">
              <w:rPr>
                <w:rFonts w:ascii="Times New Roman" w:hAnsi="Times New Roman"/>
                <w:color w:val="000000"/>
                <w:sz w:val="16"/>
                <w:szCs w:val="18"/>
              </w:rPr>
              <w:t>series</w:t>
            </w:r>
            <w:proofErr w:type="spellEnd"/>
            <w:r w:rsidRPr="00E16672">
              <w:rPr>
                <w:rFonts w:ascii="Times New Roman" w:hAnsi="Times New Roman"/>
                <w:color w:val="000000"/>
                <w:sz w:val="16"/>
                <w:szCs w:val="18"/>
              </w:rPr>
              <w:t xml:space="preserve">, </w:t>
            </w:r>
            <w:proofErr w:type="spellStart"/>
            <w:r w:rsidRPr="00E16672">
              <w:rPr>
                <w:rFonts w:ascii="Times New Roman" w:hAnsi="Times New Roman"/>
                <w:color w:val="000000"/>
                <w:sz w:val="16"/>
                <w:szCs w:val="18"/>
              </w:rPr>
              <w:t>number</w:t>
            </w:r>
            <w:proofErr w:type="spellEnd"/>
            <w:r w:rsidRPr="00E16672">
              <w:rPr>
                <w:rFonts w:ascii="Times New Roman" w:hAnsi="Times New Roman"/>
                <w:color w:val="000000"/>
                <w:sz w:val="16"/>
                <w:szCs w:val="18"/>
              </w:rPr>
              <w:t xml:space="preserve">, </w:t>
            </w:r>
            <w:proofErr w:type="spellStart"/>
            <w:r w:rsidRPr="00E16672">
              <w:rPr>
                <w:rFonts w:ascii="Times New Roman" w:hAnsi="Times New Roman"/>
                <w:color w:val="000000"/>
                <w:sz w:val="16"/>
                <w:szCs w:val="18"/>
              </w:rPr>
              <w:t>date</w:t>
            </w:r>
            <w:proofErr w:type="spellEnd"/>
            <w:r w:rsidRPr="00E16672">
              <w:rPr>
                <w:rFonts w:ascii="Times New Roman" w:hAnsi="Times New Roman"/>
                <w:color w:val="000000"/>
                <w:sz w:val="16"/>
                <w:szCs w:val="18"/>
              </w:rPr>
              <w:t xml:space="preserve"> </w:t>
            </w:r>
            <w:proofErr w:type="spellStart"/>
            <w:r w:rsidRPr="00E16672">
              <w:rPr>
                <w:rFonts w:ascii="Times New Roman" w:hAnsi="Times New Roman"/>
                <w:color w:val="000000"/>
                <w:sz w:val="16"/>
                <w:szCs w:val="18"/>
              </w:rPr>
              <w:t>of</w:t>
            </w:r>
            <w:proofErr w:type="spellEnd"/>
            <w:r w:rsidRPr="00E16672">
              <w:rPr>
                <w:rFonts w:ascii="Times New Roman" w:hAnsi="Times New Roman"/>
                <w:color w:val="000000"/>
                <w:sz w:val="16"/>
                <w:szCs w:val="18"/>
              </w:rPr>
              <w:t xml:space="preserve"> </w:t>
            </w:r>
            <w:proofErr w:type="spellStart"/>
            <w:r w:rsidRPr="00E16672">
              <w:rPr>
                <w:rFonts w:ascii="Times New Roman" w:hAnsi="Times New Roman"/>
                <w:color w:val="000000"/>
                <w:sz w:val="16"/>
                <w:szCs w:val="18"/>
              </w:rPr>
              <w:t>issue</w:t>
            </w:r>
            <w:proofErr w:type="spellEnd"/>
            <w:r w:rsidRPr="00E16672">
              <w:rPr>
                <w:rFonts w:ascii="Times New Roman" w:hAnsi="Times New Roman"/>
                <w:color w:val="000000"/>
                <w:sz w:val="16"/>
                <w:szCs w:val="18"/>
              </w:rPr>
              <w:t>)</w:t>
            </w:r>
          </w:p>
        </w:tc>
        <w:tc>
          <w:tcPr>
            <w:tcW w:w="2651" w:type="dxa"/>
            <w:gridSpan w:val="2"/>
            <w:shd w:val="clear" w:color="auto" w:fill="auto"/>
            <w:vAlign w:val="center"/>
          </w:tcPr>
          <w:p w14:paraId="4D576E36" w14:textId="77777777" w:rsidR="00BA3154" w:rsidRPr="00E16672" w:rsidDel="00D16973" w:rsidRDefault="00BA3154" w:rsidP="00186785">
            <w:pPr>
              <w:pStyle w:val="6"/>
              <w:widowControl w:val="0"/>
              <w:snapToGrid w:val="0"/>
              <w:ind w:left="0" w:firstLine="0"/>
              <w:jc w:val="left"/>
              <w:rPr>
                <w:rFonts w:ascii="Times New Roman" w:hAnsi="Times New Roman"/>
                <w:color w:val="0000FF"/>
                <w:sz w:val="16"/>
                <w:szCs w:val="16"/>
                <w:lang w:val="en-US"/>
              </w:rPr>
            </w:pPr>
            <w:r w:rsidRPr="00E16672">
              <w:rPr>
                <w:rFonts w:ascii="Times New Roman" w:hAnsi="Times New Roman"/>
                <w:bCs/>
                <w:sz w:val="16"/>
                <w:szCs w:val="16"/>
                <w:lang w:val="uk-UA"/>
              </w:rPr>
              <w:t>АЕ 263429, 01.10.2013</w:t>
            </w:r>
          </w:p>
        </w:tc>
      </w:tr>
    </w:tbl>
    <w:p w14:paraId="63FF74D3" w14:textId="77777777" w:rsidR="008061DA" w:rsidRPr="00E16672" w:rsidRDefault="008061DA" w:rsidP="008061DA">
      <w:pPr>
        <w:rPr>
          <w:rFonts w:ascii="Times New Roman" w:hAnsi="Times New Roman"/>
          <w:lang w:val="uk-UA"/>
        </w:rPr>
      </w:pPr>
    </w:p>
    <w:tbl>
      <w:tblPr>
        <w:tblW w:w="10828" w:type="dxa"/>
        <w:tblInd w:w="173" w:type="dxa"/>
        <w:tblLayout w:type="fixed"/>
        <w:tblCellMar>
          <w:top w:w="55" w:type="dxa"/>
          <w:left w:w="55" w:type="dxa"/>
          <w:bottom w:w="55" w:type="dxa"/>
          <w:right w:w="55" w:type="dxa"/>
        </w:tblCellMar>
        <w:tblLook w:val="0000" w:firstRow="0" w:lastRow="0" w:firstColumn="0" w:lastColumn="0" w:noHBand="0" w:noVBand="0"/>
      </w:tblPr>
      <w:tblGrid>
        <w:gridCol w:w="5500"/>
        <w:gridCol w:w="5328"/>
      </w:tblGrid>
      <w:tr w:rsidR="008061DA" w:rsidRPr="00F23413" w14:paraId="2D11692E" w14:textId="77777777" w:rsidTr="00BA3154">
        <w:tc>
          <w:tcPr>
            <w:tcW w:w="5500" w:type="dxa"/>
            <w:shd w:val="clear" w:color="auto" w:fill="auto"/>
          </w:tcPr>
          <w:p w14:paraId="5A319BF7" w14:textId="77777777" w:rsidR="008061DA" w:rsidRPr="00E16672" w:rsidRDefault="008061DA" w:rsidP="00406FB3">
            <w:pPr>
              <w:tabs>
                <w:tab w:val="left" w:pos="5960"/>
              </w:tabs>
              <w:snapToGrid w:val="0"/>
              <w:ind w:left="57" w:right="57" w:hanging="57"/>
              <w:rPr>
                <w:rFonts w:ascii="Times New Roman" w:hAnsi="Times New Roman"/>
                <w:b/>
                <w:bCs/>
                <w:sz w:val="16"/>
                <w:szCs w:val="16"/>
              </w:rPr>
            </w:pPr>
          </w:p>
          <w:p w14:paraId="3C39405A" w14:textId="77777777" w:rsidR="008061DA" w:rsidRPr="00E16672" w:rsidRDefault="008061DA" w:rsidP="00406FB3">
            <w:pPr>
              <w:tabs>
                <w:tab w:val="left" w:pos="5960"/>
              </w:tabs>
              <w:snapToGrid w:val="0"/>
              <w:ind w:left="57" w:right="57" w:hanging="57"/>
              <w:rPr>
                <w:rFonts w:ascii="Times New Roman" w:hAnsi="Times New Roman"/>
                <w:b/>
                <w:bCs/>
                <w:sz w:val="16"/>
                <w:szCs w:val="16"/>
              </w:rPr>
            </w:pPr>
            <w:proofErr w:type="spellStart"/>
            <w:r w:rsidRPr="00E16672">
              <w:rPr>
                <w:rFonts w:ascii="Times New Roman" w:hAnsi="Times New Roman"/>
                <w:b/>
                <w:bCs/>
                <w:sz w:val="16"/>
                <w:szCs w:val="16"/>
              </w:rPr>
              <w:t>Депозитарна</w:t>
            </w:r>
            <w:proofErr w:type="spellEnd"/>
            <w:r w:rsidRPr="00E16672">
              <w:rPr>
                <w:rFonts w:ascii="Times New Roman" w:hAnsi="Times New Roman"/>
                <w:b/>
                <w:bCs/>
                <w:sz w:val="16"/>
                <w:szCs w:val="16"/>
              </w:rPr>
              <w:t xml:space="preserve"> </w:t>
            </w:r>
            <w:proofErr w:type="spellStart"/>
            <w:r w:rsidRPr="00E16672">
              <w:rPr>
                <w:rFonts w:ascii="Times New Roman" w:hAnsi="Times New Roman"/>
                <w:b/>
                <w:bCs/>
                <w:sz w:val="16"/>
                <w:szCs w:val="16"/>
              </w:rPr>
              <w:t>установа</w:t>
            </w:r>
            <w:proofErr w:type="spellEnd"/>
            <w:r w:rsidRPr="00E16672">
              <w:rPr>
                <w:rFonts w:ascii="Times New Roman" w:hAnsi="Times New Roman"/>
                <w:b/>
                <w:bCs/>
                <w:sz w:val="16"/>
                <w:szCs w:val="16"/>
              </w:rPr>
              <w:t xml:space="preserve"> </w:t>
            </w:r>
            <w:r w:rsidRPr="00E16672">
              <w:rPr>
                <w:rFonts w:ascii="Times New Roman" w:hAnsi="Times New Roman"/>
                <w:b/>
                <w:bCs/>
                <w:sz w:val="16"/>
                <w:szCs w:val="16"/>
                <w:lang w:val="en-US"/>
              </w:rPr>
              <w:t>(</w:t>
            </w:r>
            <w:proofErr w:type="spellStart"/>
            <w:r w:rsidRPr="00E16672">
              <w:rPr>
                <w:rFonts w:ascii="Times New Roman" w:hAnsi="Times New Roman"/>
                <w:b/>
                <w:bCs/>
                <w:sz w:val="16"/>
                <w:szCs w:val="16"/>
              </w:rPr>
              <w:t>Depository</w:t>
            </w:r>
            <w:proofErr w:type="spellEnd"/>
            <w:r w:rsidRPr="00E16672">
              <w:rPr>
                <w:rFonts w:ascii="Times New Roman" w:hAnsi="Times New Roman"/>
                <w:b/>
                <w:bCs/>
                <w:sz w:val="16"/>
                <w:szCs w:val="16"/>
              </w:rPr>
              <w:t xml:space="preserve"> </w:t>
            </w:r>
            <w:proofErr w:type="spellStart"/>
            <w:r w:rsidRPr="00E16672">
              <w:rPr>
                <w:rFonts w:ascii="Times New Roman" w:hAnsi="Times New Roman"/>
                <w:b/>
                <w:bCs/>
                <w:sz w:val="16"/>
                <w:szCs w:val="16"/>
              </w:rPr>
              <w:t>institution</w:t>
            </w:r>
            <w:proofErr w:type="spellEnd"/>
            <w:r w:rsidRPr="00E16672">
              <w:rPr>
                <w:rFonts w:ascii="Times New Roman" w:hAnsi="Times New Roman"/>
                <w:b/>
                <w:bCs/>
                <w:sz w:val="16"/>
                <w:szCs w:val="16"/>
              </w:rPr>
              <w:t>):</w:t>
            </w:r>
          </w:p>
        </w:tc>
        <w:tc>
          <w:tcPr>
            <w:tcW w:w="5328" w:type="dxa"/>
            <w:shd w:val="clear" w:color="auto" w:fill="auto"/>
          </w:tcPr>
          <w:p w14:paraId="7B668C91" w14:textId="77777777" w:rsidR="008061DA" w:rsidRPr="00E16672" w:rsidRDefault="008061DA" w:rsidP="00406FB3">
            <w:pPr>
              <w:tabs>
                <w:tab w:val="left" w:pos="5960"/>
              </w:tabs>
              <w:snapToGrid w:val="0"/>
              <w:ind w:left="57" w:right="57" w:hanging="57"/>
              <w:rPr>
                <w:rFonts w:ascii="Times New Roman" w:hAnsi="Times New Roman"/>
                <w:b/>
                <w:bCs/>
                <w:sz w:val="16"/>
                <w:szCs w:val="16"/>
              </w:rPr>
            </w:pPr>
          </w:p>
          <w:p w14:paraId="282B88A5" w14:textId="67B8C31B" w:rsidR="008061DA" w:rsidRPr="00E16672" w:rsidRDefault="008061DA" w:rsidP="00406FB3">
            <w:pPr>
              <w:tabs>
                <w:tab w:val="left" w:pos="5960"/>
              </w:tabs>
              <w:snapToGrid w:val="0"/>
              <w:ind w:left="57" w:right="57" w:hanging="57"/>
              <w:rPr>
                <w:rFonts w:ascii="Times New Roman" w:hAnsi="Times New Roman"/>
                <w:b/>
                <w:bCs/>
                <w:sz w:val="16"/>
                <w:szCs w:val="16"/>
                <w:lang w:val="en-US"/>
              </w:rPr>
            </w:pPr>
            <w:r w:rsidRPr="00E16672">
              <w:rPr>
                <w:rFonts w:ascii="Times New Roman" w:hAnsi="Times New Roman"/>
                <w:b/>
                <w:bCs/>
                <w:sz w:val="16"/>
                <w:szCs w:val="16"/>
              </w:rPr>
              <w:t>Депонент</w:t>
            </w:r>
            <w:r w:rsidRPr="00E16672">
              <w:rPr>
                <w:rFonts w:ascii="Times New Roman" w:hAnsi="Times New Roman"/>
                <w:b/>
                <w:bCs/>
                <w:sz w:val="16"/>
                <w:szCs w:val="16"/>
                <w:lang w:val="en-US"/>
              </w:rPr>
              <w:t xml:space="preserve"> / </w:t>
            </w:r>
            <w:proofErr w:type="spellStart"/>
            <w:r w:rsidR="00AB3368" w:rsidRPr="00AB3368">
              <w:rPr>
                <w:rFonts w:ascii="Times New Roman" w:hAnsi="Times New Roman"/>
                <w:b/>
                <w:bCs/>
                <w:sz w:val="16"/>
                <w:szCs w:val="16"/>
              </w:rPr>
              <w:t>уповноважена</w:t>
            </w:r>
            <w:proofErr w:type="spellEnd"/>
            <w:r w:rsidR="00AB3368" w:rsidRPr="00AB3368">
              <w:rPr>
                <w:rFonts w:ascii="Times New Roman" w:hAnsi="Times New Roman"/>
                <w:b/>
                <w:bCs/>
                <w:sz w:val="16"/>
                <w:szCs w:val="16"/>
                <w:lang w:val="en-US"/>
              </w:rPr>
              <w:t xml:space="preserve"> </w:t>
            </w:r>
            <w:r w:rsidR="00AB3368" w:rsidRPr="00AB3368">
              <w:rPr>
                <w:rFonts w:ascii="Times New Roman" w:hAnsi="Times New Roman"/>
                <w:b/>
                <w:bCs/>
                <w:sz w:val="16"/>
                <w:szCs w:val="16"/>
              </w:rPr>
              <w:t>особа</w:t>
            </w:r>
            <w:r w:rsidRPr="00E16672">
              <w:rPr>
                <w:rFonts w:ascii="Times New Roman" w:hAnsi="Times New Roman"/>
                <w:b/>
                <w:bCs/>
                <w:sz w:val="16"/>
                <w:szCs w:val="16"/>
                <w:lang w:val="en-US"/>
              </w:rPr>
              <w:t xml:space="preserve"> (Depositor / </w:t>
            </w:r>
            <w:r w:rsidR="00AB3368" w:rsidRPr="00AB3368">
              <w:rPr>
                <w:rFonts w:ascii="Times New Roman" w:hAnsi="Times New Roman"/>
                <w:b/>
                <w:sz w:val="16"/>
                <w:szCs w:val="16"/>
                <w:lang w:val="en-GB"/>
              </w:rPr>
              <w:t>authorized person</w:t>
            </w:r>
            <w:r w:rsidRPr="00E16672">
              <w:rPr>
                <w:rFonts w:ascii="Times New Roman" w:hAnsi="Times New Roman"/>
                <w:b/>
                <w:bCs/>
                <w:sz w:val="16"/>
                <w:szCs w:val="16"/>
                <w:lang w:val="en-US"/>
              </w:rPr>
              <w:t>):</w:t>
            </w:r>
          </w:p>
          <w:p w14:paraId="2925E00F" w14:textId="77777777" w:rsidR="008061DA" w:rsidRPr="00E16672" w:rsidRDefault="008061DA" w:rsidP="00406FB3">
            <w:pPr>
              <w:tabs>
                <w:tab w:val="left" w:pos="5960"/>
              </w:tabs>
              <w:snapToGrid w:val="0"/>
              <w:ind w:left="57" w:right="57" w:hanging="57"/>
              <w:rPr>
                <w:rFonts w:ascii="Times New Roman" w:hAnsi="Times New Roman"/>
                <w:b/>
                <w:bCs/>
                <w:sz w:val="16"/>
                <w:szCs w:val="16"/>
                <w:lang w:val="en-US"/>
              </w:rPr>
            </w:pPr>
          </w:p>
        </w:tc>
      </w:tr>
      <w:tr w:rsidR="008061DA" w:rsidRPr="00F23413" w14:paraId="67D44805" w14:textId="77777777" w:rsidTr="00BA3154">
        <w:trPr>
          <w:trHeight w:val="919"/>
        </w:trPr>
        <w:tc>
          <w:tcPr>
            <w:tcW w:w="5500" w:type="dxa"/>
            <w:shd w:val="clear" w:color="auto" w:fill="auto"/>
          </w:tcPr>
          <w:p w14:paraId="0FFCD95D" w14:textId="77777777" w:rsidR="008061DA" w:rsidRPr="00E16672" w:rsidRDefault="008061DA" w:rsidP="00F82710">
            <w:pPr>
              <w:tabs>
                <w:tab w:val="left" w:pos="1560"/>
              </w:tabs>
              <w:ind w:firstLine="102"/>
              <w:jc w:val="left"/>
              <w:rPr>
                <w:rFonts w:ascii="Times New Roman" w:hAnsi="Times New Roman"/>
                <w:color w:val="000000"/>
                <w:sz w:val="18"/>
                <w:szCs w:val="18"/>
                <w:lang w:val="en-US"/>
              </w:rPr>
            </w:pPr>
            <w:r w:rsidRPr="00E16672">
              <w:rPr>
                <w:rFonts w:ascii="Times New Roman" w:hAnsi="Times New Roman"/>
                <w:color w:val="000000"/>
                <w:sz w:val="18"/>
                <w:szCs w:val="18"/>
                <w:lang w:val="en-US"/>
              </w:rPr>
              <w:t>_</w:t>
            </w:r>
            <w:r w:rsidRPr="00E16672">
              <w:rPr>
                <w:rFonts w:ascii="Times New Roman" w:hAnsi="Times New Roman"/>
                <w:color w:val="000000"/>
                <w:sz w:val="18"/>
                <w:szCs w:val="18"/>
                <w:lang w:val="uk-UA"/>
              </w:rPr>
              <w:t>__</w:t>
            </w:r>
            <w:r w:rsidRPr="00E16672">
              <w:rPr>
                <w:rFonts w:ascii="Times New Roman" w:hAnsi="Times New Roman"/>
                <w:color w:val="000000"/>
                <w:sz w:val="18"/>
                <w:szCs w:val="18"/>
                <w:lang w:val="en-US"/>
              </w:rPr>
              <w:t>___________________</w:t>
            </w:r>
            <w:proofErr w:type="gramStart"/>
            <w:r w:rsidRPr="00E16672">
              <w:rPr>
                <w:rFonts w:ascii="Times New Roman" w:hAnsi="Times New Roman"/>
                <w:color w:val="000000"/>
                <w:sz w:val="18"/>
                <w:szCs w:val="18"/>
                <w:lang w:val="en-US"/>
              </w:rPr>
              <w:t>_</w:t>
            </w:r>
            <w:r w:rsidRPr="00E16672">
              <w:rPr>
                <w:rFonts w:ascii="Times New Roman" w:hAnsi="Times New Roman"/>
                <w:color w:val="000000"/>
                <w:sz w:val="16"/>
                <w:szCs w:val="16"/>
                <w:lang w:val="en-US"/>
              </w:rPr>
              <w:t>(</w:t>
            </w:r>
            <w:proofErr w:type="gramEnd"/>
            <w:r w:rsidR="00F82710">
              <w:rPr>
                <w:rFonts w:ascii="Times New Roman" w:hAnsi="Times New Roman"/>
                <w:bCs/>
                <w:sz w:val="16"/>
                <w:szCs w:val="16"/>
              </w:rPr>
              <w:t>Король</w:t>
            </w:r>
            <w:r w:rsidR="00E16672" w:rsidRPr="005770E6">
              <w:rPr>
                <w:rFonts w:ascii="Times New Roman" w:hAnsi="Times New Roman"/>
                <w:bCs/>
                <w:sz w:val="16"/>
                <w:szCs w:val="16"/>
                <w:lang w:val="en-US"/>
              </w:rPr>
              <w:t xml:space="preserve"> </w:t>
            </w:r>
            <w:r w:rsidR="00E16672" w:rsidRPr="00E16672">
              <w:rPr>
                <w:rFonts w:ascii="Times New Roman" w:hAnsi="Times New Roman"/>
                <w:bCs/>
                <w:sz w:val="16"/>
                <w:szCs w:val="16"/>
              </w:rPr>
              <w:t>Оксана</w:t>
            </w:r>
            <w:r w:rsidR="00E16672" w:rsidRPr="005770E6">
              <w:rPr>
                <w:rFonts w:ascii="Times New Roman" w:hAnsi="Times New Roman"/>
                <w:bCs/>
                <w:sz w:val="16"/>
                <w:szCs w:val="16"/>
                <w:lang w:val="en-US"/>
              </w:rPr>
              <w:t xml:space="preserve"> </w:t>
            </w:r>
            <w:proofErr w:type="spellStart"/>
            <w:r w:rsidR="00E16672" w:rsidRPr="00E16672">
              <w:rPr>
                <w:rFonts w:ascii="Times New Roman" w:hAnsi="Times New Roman"/>
                <w:bCs/>
                <w:sz w:val="16"/>
                <w:szCs w:val="16"/>
              </w:rPr>
              <w:t>Іванівна</w:t>
            </w:r>
            <w:proofErr w:type="spellEnd"/>
            <w:r w:rsidRPr="00E16672">
              <w:rPr>
                <w:rFonts w:ascii="Times New Roman" w:hAnsi="Times New Roman"/>
                <w:color w:val="000000"/>
                <w:sz w:val="16"/>
                <w:szCs w:val="16"/>
                <w:lang w:val="en-US"/>
              </w:rPr>
              <w:t>)</w:t>
            </w:r>
            <w:r w:rsidRPr="00E16672">
              <w:rPr>
                <w:rFonts w:ascii="Times New Roman" w:hAnsi="Times New Roman"/>
                <w:color w:val="000000"/>
                <w:sz w:val="18"/>
                <w:szCs w:val="18"/>
                <w:lang w:val="en-US"/>
              </w:rPr>
              <w:t xml:space="preserve"> </w:t>
            </w:r>
          </w:p>
          <w:p w14:paraId="722B7B7B" w14:textId="77777777" w:rsidR="008061DA" w:rsidRPr="00E16672" w:rsidRDefault="008061DA" w:rsidP="00406FB3">
            <w:pPr>
              <w:tabs>
                <w:tab w:val="left" w:pos="1560"/>
              </w:tabs>
              <w:ind w:firstLine="102"/>
              <w:rPr>
                <w:rFonts w:ascii="Times New Roman" w:hAnsi="Times New Roman"/>
                <w:color w:val="000000"/>
                <w:sz w:val="16"/>
                <w:szCs w:val="16"/>
                <w:lang w:val="en-US"/>
              </w:rPr>
            </w:pPr>
            <w:r w:rsidRPr="00E16672">
              <w:rPr>
                <w:rFonts w:ascii="Times New Roman" w:hAnsi="Times New Roman"/>
                <w:color w:val="000000"/>
                <w:sz w:val="16"/>
                <w:szCs w:val="16"/>
                <w:lang w:val="uk-UA"/>
              </w:rPr>
              <w:t xml:space="preserve">                                                            </w:t>
            </w:r>
            <w:r w:rsidRPr="00E16672">
              <w:rPr>
                <w:rFonts w:ascii="Times New Roman" w:hAnsi="Times New Roman"/>
                <w:bCs/>
                <w:color w:val="000000"/>
                <w:sz w:val="16"/>
                <w:szCs w:val="16"/>
                <w:lang w:val="en-GB"/>
              </w:rPr>
              <w:t>(</w:t>
            </w:r>
            <w:proofErr w:type="spellStart"/>
            <w:r w:rsidR="005770E6">
              <w:rPr>
                <w:rFonts w:ascii="Times New Roman" w:hAnsi="Times New Roman"/>
                <w:bCs/>
                <w:sz w:val="16"/>
                <w:szCs w:val="16"/>
                <w:lang w:val="en-US"/>
              </w:rPr>
              <w:t>Korol</w:t>
            </w:r>
            <w:proofErr w:type="spellEnd"/>
            <w:r w:rsidR="005770E6">
              <w:rPr>
                <w:rFonts w:ascii="Times New Roman" w:hAnsi="Times New Roman"/>
                <w:bCs/>
                <w:sz w:val="16"/>
                <w:szCs w:val="16"/>
                <w:lang w:val="en-US"/>
              </w:rPr>
              <w:t xml:space="preserve"> Oxana</w:t>
            </w:r>
            <w:r w:rsidRPr="00E16672">
              <w:rPr>
                <w:rFonts w:ascii="Times New Roman" w:hAnsi="Times New Roman"/>
                <w:bCs/>
                <w:color w:val="000000"/>
                <w:sz w:val="16"/>
                <w:szCs w:val="16"/>
                <w:lang w:val="en-GB"/>
              </w:rPr>
              <w:t>)</w:t>
            </w:r>
            <w:r w:rsidRPr="00E16672">
              <w:rPr>
                <w:rFonts w:ascii="Times New Roman" w:hAnsi="Times New Roman"/>
                <w:color w:val="000000"/>
                <w:sz w:val="16"/>
                <w:szCs w:val="16"/>
                <w:lang w:val="en-US"/>
              </w:rPr>
              <w:t xml:space="preserve">  </w:t>
            </w:r>
          </w:p>
          <w:p w14:paraId="092D0E74" w14:textId="69CE2B73" w:rsidR="008061DA" w:rsidRPr="00E16672" w:rsidRDefault="008061DA" w:rsidP="00406FB3">
            <w:pPr>
              <w:tabs>
                <w:tab w:val="left" w:pos="1560"/>
              </w:tabs>
              <w:ind w:firstLine="244"/>
              <w:rPr>
                <w:rFonts w:ascii="Times New Roman" w:hAnsi="Times New Roman"/>
                <w:color w:val="000000"/>
                <w:sz w:val="14"/>
                <w:szCs w:val="14"/>
                <w:lang w:val="uk-UA"/>
              </w:rPr>
            </w:pPr>
            <w:r w:rsidRPr="00E16672">
              <w:rPr>
                <w:rFonts w:ascii="Times New Roman" w:hAnsi="Times New Roman"/>
                <w:color w:val="000000"/>
                <w:sz w:val="14"/>
                <w:szCs w:val="14"/>
                <w:lang w:val="uk-UA"/>
              </w:rPr>
              <w:t>В.П</w:t>
            </w:r>
            <w:r w:rsidR="00C16729">
              <w:rPr>
                <w:rFonts w:ascii="Times New Roman" w:hAnsi="Times New Roman"/>
                <w:color w:val="000000"/>
                <w:sz w:val="14"/>
                <w:szCs w:val="14"/>
                <w:lang w:val="uk-UA"/>
              </w:rPr>
              <w:t>*</w:t>
            </w:r>
            <w:r w:rsidRPr="00E16672">
              <w:rPr>
                <w:rFonts w:ascii="Times New Roman" w:hAnsi="Times New Roman"/>
                <w:color w:val="000000"/>
                <w:sz w:val="14"/>
                <w:szCs w:val="14"/>
                <w:lang w:val="uk-UA"/>
              </w:rPr>
              <w:t xml:space="preserve">., підпис/ </w:t>
            </w:r>
            <w:r w:rsidRPr="00E16672">
              <w:rPr>
                <w:rFonts w:ascii="Times New Roman" w:hAnsi="Times New Roman"/>
                <w:i/>
                <w:sz w:val="14"/>
                <w:szCs w:val="14"/>
                <w:lang w:val="en-US"/>
              </w:rPr>
              <w:t>Seal</w:t>
            </w:r>
            <w:r w:rsidRPr="00E16672">
              <w:rPr>
                <w:rFonts w:ascii="Times New Roman" w:hAnsi="Times New Roman"/>
                <w:i/>
                <w:sz w:val="14"/>
                <w:szCs w:val="14"/>
                <w:lang w:val="uk-UA"/>
              </w:rPr>
              <w:t xml:space="preserve">,  </w:t>
            </w:r>
            <w:r w:rsidRPr="00E16672">
              <w:rPr>
                <w:rFonts w:ascii="Times New Roman" w:hAnsi="Times New Roman"/>
                <w:i/>
                <w:sz w:val="14"/>
                <w:szCs w:val="14"/>
                <w:lang w:val="en-US"/>
              </w:rPr>
              <w:t>signature</w:t>
            </w:r>
            <w:r w:rsidRPr="00E16672">
              <w:rPr>
                <w:rFonts w:ascii="Times New Roman" w:hAnsi="Times New Roman"/>
                <w:color w:val="000000"/>
                <w:sz w:val="14"/>
                <w:szCs w:val="14"/>
                <w:lang w:val="uk-UA"/>
              </w:rPr>
              <w:t xml:space="preserve">            Прізвище, ім’я, по батькові </w:t>
            </w:r>
            <w:r w:rsidRPr="00E16672">
              <w:rPr>
                <w:rFonts w:ascii="Times New Roman" w:hAnsi="Times New Roman"/>
                <w:i/>
                <w:color w:val="000000"/>
                <w:sz w:val="14"/>
                <w:szCs w:val="14"/>
                <w:lang w:val="uk-UA"/>
              </w:rPr>
              <w:t>(за наявності)</w:t>
            </w:r>
          </w:p>
          <w:p w14:paraId="209039DB" w14:textId="77777777" w:rsidR="008061DA" w:rsidRPr="00E16672" w:rsidRDefault="008061DA" w:rsidP="005C5318">
            <w:pPr>
              <w:tabs>
                <w:tab w:val="left" w:pos="1560"/>
              </w:tabs>
              <w:ind w:firstLine="244"/>
              <w:rPr>
                <w:rFonts w:ascii="Times New Roman" w:hAnsi="Times New Roman"/>
                <w:b/>
                <w:bCs/>
                <w:sz w:val="18"/>
                <w:szCs w:val="18"/>
                <w:lang w:val="en-US"/>
              </w:rPr>
            </w:pPr>
            <w:r w:rsidRPr="00E16672">
              <w:rPr>
                <w:rFonts w:ascii="Times New Roman" w:hAnsi="Times New Roman"/>
                <w:color w:val="000000"/>
                <w:sz w:val="14"/>
                <w:szCs w:val="14"/>
                <w:lang w:val="uk-UA"/>
              </w:rPr>
              <w:t xml:space="preserve">                                             </w:t>
            </w:r>
            <w:r w:rsidRPr="00E16672">
              <w:rPr>
                <w:rFonts w:ascii="Times New Roman" w:hAnsi="Times New Roman"/>
                <w:i/>
                <w:color w:val="000000"/>
                <w:sz w:val="14"/>
                <w:szCs w:val="14"/>
                <w:lang w:val="uk-UA"/>
              </w:rPr>
              <w:t xml:space="preserve">                  </w:t>
            </w:r>
            <w:r w:rsidRPr="00E16672">
              <w:rPr>
                <w:rFonts w:ascii="Times New Roman" w:hAnsi="Times New Roman"/>
                <w:i/>
                <w:sz w:val="14"/>
                <w:szCs w:val="14"/>
                <w:lang w:val="en-US"/>
              </w:rPr>
              <w:t xml:space="preserve">surname, name, patronymic (if </w:t>
            </w:r>
            <w:proofErr w:type="gramStart"/>
            <w:r w:rsidRPr="00E16672">
              <w:rPr>
                <w:rFonts w:ascii="Times New Roman" w:hAnsi="Times New Roman"/>
                <w:i/>
                <w:sz w:val="14"/>
                <w:szCs w:val="14"/>
                <w:lang w:val="en-US"/>
              </w:rPr>
              <w:t>any)</w:t>
            </w:r>
            <w:r w:rsidRPr="00E16672">
              <w:rPr>
                <w:rFonts w:ascii="Times New Roman" w:hAnsi="Times New Roman"/>
                <w:i/>
                <w:color w:val="000000"/>
                <w:sz w:val="14"/>
                <w:szCs w:val="14"/>
                <w:lang w:val="uk-UA"/>
              </w:rPr>
              <w:t xml:space="preserve">   </w:t>
            </w:r>
            <w:proofErr w:type="gramEnd"/>
            <w:r w:rsidRPr="00E16672">
              <w:rPr>
                <w:rFonts w:ascii="Times New Roman" w:hAnsi="Times New Roman"/>
                <w:i/>
                <w:color w:val="000000"/>
                <w:sz w:val="14"/>
                <w:szCs w:val="14"/>
                <w:lang w:val="uk-UA"/>
              </w:rPr>
              <w:t xml:space="preserve">                       </w:t>
            </w:r>
          </w:p>
        </w:tc>
        <w:tc>
          <w:tcPr>
            <w:tcW w:w="5328" w:type="dxa"/>
            <w:shd w:val="clear" w:color="auto" w:fill="auto"/>
          </w:tcPr>
          <w:p w14:paraId="5808457F" w14:textId="77777777" w:rsidR="008061DA" w:rsidRPr="00E16672" w:rsidRDefault="008061DA" w:rsidP="00406FB3">
            <w:pPr>
              <w:tabs>
                <w:tab w:val="left" w:pos="1560"/>
              </w:tabs>
              <w:ind w:firstLine="102"/>
              <w:rPr>
                <w:rFonts w:ascii="Times New Roman" w:hAnsi="Times New Roman"/>
                <w:color w:val="000000"/>
                <w:sz w:val="18"/>
                <w:szCs w:val="18"/>
                <w:lang w:val="en-US"/>
              </w:rPr>
            </w:pPr>
            <w:r w:rsidRPr="00E16672">
              <w:rPr>
                <w:rFonts w:ascii="Times New Roman" w:hAnsi="Times New Roman"/>
                <w:color w:val="000000"/>
                <w:sz w:val="18"/>
                <w:szCs w:val="18"/>
                <w:lang w:val="en-US"/>
              </w:rPr>
              <w:t>_</w:t>
            </w:r>
            <w:r w:rsidRPr="00E16672">
              <w:rPr>
                <w:rFonts w:ascii="Times New Roman" w:hAnsi="Times New Roman"/>
                <w:color w:val="000000"/>
                <w:sz w:val="18"/>
                <w:szCs w:val="18"/>
                <w:lang w:val="uk-UA"/>
              </w:rPr>
              <w:t>__</w:t>
            </w:r>
            <w:r w:rsidRPr="00E16672">
              <w:rPr>
                <w:rFonts w:ascii="Times New Roman" w:hAnsi="Times New Roman"/>
                <w:color w:val="000000"/>
                <w:sz w:val="18"/>
                <w:szCs w:val="18"/>
                <w:lang w:val="en-US"/>
              </w:rPr>
              <w:t xml:space="preserve">____________________(__________________________)   </w:t>
            </w:r>
          </w:p>
          <w:p w14:paraId="505F0927" w14:textId="77777777" w:rsidR="008061DA" w:rsidRPr="00E16672" w:rsidRDefault="008061DA" w:rsidP="00406FB3">
            <w:pPr>
              <w:tabs>
                <w:tab w:val="left" w:pos="1560"/>
              </w:tabs>
              <w:ind w:firstLine="244"/>
              <w:rPr>
                <w:rFonts w:ascii="Times New Roman" w:hAnsi="Times New Roman"/>
                <w:color w:val="000000"/>
                <w:sz w:val="14"/>
                <w:szCs w:val="14"/>
                <w:lang w:val="uk-UA"/>
              </w:rPr>
            </w:pPr>
            <w:r w:rsidRPr="00E16672">
              <w:rPr>
                <w:rFonts w:ascii="Times New Roman" w:hAnsi="Times New Roman"/>
                <w:color w:val="000000"/>
                <w:sz w:val="14"/>
                <w:szCs w:val="14"/>
                <w:lang w:val="uk-UA"/>
              </w:rPr>
              <w:t xml:space="preserve">В.П.*, підпис/ </w:t>
            </w:r>
            <w:r w:rsidRPr="00E16672">
              <w:rPr>
                <w:rFonts w:ascii="Times New Roman" w:hAnsi="Times New Roman"/>
                <w:i/>
                <w:sz w:val="14"/>
                <w:szCs w:val="14"/>
                <w:lang w:val="en-US"/>
              </w:rPr>
              <w:t>Seal</w:t>
            </w:r>
            <w:r w:rsidRPr="00E16672">
              <w:rPr>
                <w:rFonts w:ascii="Times New Roman" w:hAnsi="Times New Roman"/>
                <w:i/>
                <w:sz w:val="14"/>
                <w:szCs w:val="14"/>
                <w:lang w:val="uk-UA"/>
              </w:rPr>
              <w:t xml:space="preserve">*,  </w:t>
            </w:r>
            <w:r w:rsidRPr="00E16672">
              <w:rPr>
                <w:rFonts w:ascii="Times New Roman" w:hAnsi="Times New Roman"/>
                <w:i/>
                <w:sz w:val="14"/>
                <w:szCs w:val="14"/>
                <w:lang w:val="en-US"/>
              </w:rPr>
              <w:t>signature</w:t>
            </w:r>
            <w:r w:rsidRPr="00E16672">
              <w:rPr>
                <w:rFonts w:ascii="Times New Roman" w:hAnsi="Times New Roman"/>
                <w:color w:val="000000"/>
                <w:sz w:val="14"/>
                <w:szCs w:val="14"/>
                <w:lang w:val="uk-UA"/>
              </w:rPr>
              <w:t xml:space="preserve">      Прізвище, ім’я, по батькові </w:t>
            </w:r>
            <w:r w:rsidRPr="00E16672">
              <w:rPr>
                <w:rFonts w:ascii="Times New Roman" w:hAnsi="Times New Roman"/>
                <w:i/>
                <w:color w:val="000000"/>
                <w:sz w:val="14"/>
                <w:szCs w:val="14"/>
                <w:lang w:val="uk-UA"/>
              </w:rPr>
              <w:t>(за наявності</w:t>
            </w:r>
            <w:r w:rsidRPr="00E16672">
              <w:rPr>
                <w:rFonts w:ascii="Times New Roman" w:hAnsi="Times New Roman"/>
                <w:color w:val="000000"/>
                <w:sz w:val="14"/>
                <w:szCs w:val="14"/>
                <w:lang w:val="uk-UA"/>
              </w:rPr>
              <w:t xml:space="preserve"> </w:t>
            </w:r>
          </w:p>
          <w:p w14:paraId="68EF0C36" w14:textId="77777777" w:rsidR="008061DA" w:rsidRPr="00E16672" w:rsidRDefault="008061DA" w:rsidP="00406FB3">
            <w:pPr>
              <w:tabs>
                <w:tab w:val="left" w:pos="1560"/>
              </w:tabs>
              <w:ind w:firstLine="244"/>
              <w:rPr>
                <w:rFonts w:ascii="Times New Roman" w:hAnsi="Times New Roman"/>
                <w:color w:val="000000"/>
                <w:sz w:val="14"/>
                <w:szCs w:val="14"/>
                <w:lang w:val="uk-UA"/>
              </w:rPr>
            </w:pPr>
            <w:r w:rsidRPr="00E16672">
              <w:rPr>
                <w:rFonts w:ascii="Times New Roman" w:hAnsi="Times New Roman"/>
                <w:i/>
                <w:sz w:val="14"/>
                <w:szCs w:val="14"/>
                <w:lang w:val="uk-UA"/>
              </w:rPr>
              <w:t xml:space="preserve">                                                              </w:t>
            </w:r>
            <w:r w:rsidRPr="00E16672">
              <w:rPr>
                <w:rFonts w:ascii="Times New Roman" w:hAnsi="Times New Roman"/>
                <w:i/>
                <w:sz w:val="14"/>
                <w:szCs w:val="14"/>
                <w:lang w:val="en-US"/>
              </w:rPr>
              <w:t>surname, name, patronymic (if any)</w:t>
            </w:r>
          </w:p>
          <w:p w14:paraId="35B454CD" w14:textId="77777777" w:rsidR="008061DA" w:rsidRPr="00E16672" w:rsidRDefault="008061DA" w:rsidP="00406FB3">
            <w:pPr>
              <w:tabs>
                <w:tab w:val="left" w:pos="1560"/>
              </w:tabs>
              <w:ind w:firstLine="244"/>
              <w:rPr>
                <w:rFonts w:ascii="Times New Roman" w:hAnsi="Times New Roman"/>
                <w:color w:val="000000"/>
                <w:sz w:val="14"/>
                <w:szCs w:val="14"/>
                <w:lang w:val="uk-UA"/>
              </w:rPr>
            </w:pPr>
            <w:r w:rsidRPr="00E16672">
              <w:rPr>
                <w:rFonts w:ascii="Times New Roman" w:hAnsi="Times New Roman"/>
                <w:color w:val="000000"/>
                <w:sz w:val="14"/>
                <w:szCs w:val="14"/>
                <w:lang w:val="uk-UA"/>
              </w:rPr>
              <w:t xml:space="preserve">                                                       </w:t>
            </w:r>
          </w:p>
          <w:p w14:paraId="62260680" w14:textId="77777777" w:rsidR="008061DA" w:rsidRPr="00E16672" w:rsidRDefault="008061DA" w:rsidP="00406FB3">
            <w:pPr>
              <w:tabs>
                <w:tab w:val="left" w:pos="5960"/>
              </w:tabs>
              <w:snapToGrid w:val="0"/>
              <w:ind w:left="57" w:right="57" w:hanging="57"/>
              <w:rPr>
                <w:rFonts w:ascii="Times New Roman" w:hAnsi="Times New Roman"/>
                <w:b/>
                <w:bCs/>
                <w:sz w:val="18"/>
                <w:szCs w:val="18"/>
                <w:lang w:val="uk-UA"/>
              </w:rPr>
            </w:pPr>
          </w:p>
        </w:tc>
      </w:tr>
    </w:tbl>
    <w:p w14:paraId="55DBDAC1" w14:textId="77777777" w:rsidR="008061DA" w:rsidRPr="00E16672" w:rsidRDefault="008061DA" w:rsidP="008061DA">
      <w:pPr>
        <w:ind w:right="57"/>
        <w:rPr>
          <w:rFonts w:ascii="Times New Roman" w:hAnsi="Times New Roman"/>
          <w:color w:val="000000"/>
          <w:lang w:val="uk-UA"/>
        </w:rPr>
      </w:pPr>
    </w:p>
    <w:p w14:paraId="6E641060" w14:textId="77777777" w:rsidR="005D5125" w:rsidRDefault="008061DA" w:rsidP="005C5318">
      <w:pPr>
        <w:pStyle w:val="HTML"/>
        <w:shd w:val="clear" w:color="auto" w:fill="FFFFFF"/>
        <w:rPr>
          <w:rFonts w:ascii="Times New Roman" w:hAnsi="Times New Roman" w:cs="Times New Roman"/>
          <w:sz w:val="16"/>
          <w:szCs w:val="16"/>
          <w:lang w:val="uk-UA"/>
        </w:rPr>
      </w:pPr>
      <w:r w:rsidRPr="00E16672">
        <w:rPr>
          <w:rFonts w:ascii="Times New Roman" w:hAnsi="Times New Roman" w:cs="Times New Roman"/>
          <w:sz w:val="16"/>
          <w:szCs w:val="16"/>
          <w:lang w:val="en-US"/>
        </w:rPr>
        <w:t xml:space="preserve">*  - </w:t>
      </w:r>
      <w:r w:rsidRPr="00E16672">
        <w:rPr>
          <w:rFonts w:ascii="Times New Roman" w:hAnsi="Times New Roman" w:cs="Times New Roman"/>
          <w:sz w:val="16"/>
          <w:szCs w:val="16"/>
          <w:lang w:val="uk-UA"/>
        </w:rPr>
        <w:t>у разі використання</w:t>
      </w:r>
      <w:r w:rsidRPr="00E16672">
        <w:rPr>
          <w:rFonts w:ascii="Times New Roman" w:hAnsi="Times New Roman" w:cs="Times New Roman"/>
          <w:sz w:val="16"/>
          <w:szCs w:val="16"/>
          <w:lang w:val="en-US"/>
        </w:rPr>
        <w:t xml:space="preserve"> / </w:t>
      </w:r>
      <w:proofErr w:type="spellStart"/>
      <w:r w:rsidRPr="00E16672">
        <w:rPr>
          <w:rFonts w:ascii="Times New Roman" w:hAnsi="Times New Roman" w:cs="Times New Roman"/>
          <w:sz w:val="16"/>
          <w:szCs w:val="16"/>
          <w:lang w:val="uk-UA"/>
        </w:rPr>
        <w:t>in</w:t>
      </w:r>
      <w:proofErr w:type="spellEnd"/>
      <w:r w:rsidRPr="00E16672">
        <w:rPr>
          <w:rFonts w:ascii="Times New Roman" w:hAnsi="Times New Roman" w:cs="Times New Roman"/>
          <w:sz w:val="16"/>
          <w:szCs w:val="16"/>
          <w:lang w:val="uk-UA"/>
        </w:rPr>
        <w:t xml:space="preserve"> </w:t>
      </w:r>
      <w:proofErr w:type="spellStart"/>
      <w:r w:rsidRPr="00E16672">
        <w:rPr>
          <w:rFonts w:ascii="Times New Roman" w:hAnsi="Times New Roman" w:cs="Times New Roman"/>
          <w:sz w:val="16"/>
          <w:szCs w:val="16"/>
          <w:lang w:val="uk-UA"/>
        </w:rPr>
        <w:t>case</w:t>
      </w:r>
      <w:proofErr w:type="spellEnd"/>
      <w:r w:rsidRPr="00E16672">
        <w:rPr>
          <w:rFonts w:ascii="Times New Roman" w:hAnsi="Times New Roman" w:cs="Times New Roman"/>
          <w:sz w:val="16"/>
          <w:szCs w:val="16"/>
          <w:lang w:val="uk-UA"/>
        </w:rPr>
        <w:t xml:space="preserve"> </w:t>
      </w:r>
      <w:proofErr w:type="spellStart"/>
      <w:r w:rsidRPr="00E16672">
        <w:rPr>
          <w:rFonts w:ascii="Times New Roman" w:hAnsi="Times New Roman" w:cs="Times New Roman"/>
          <w:sz w:val="16"/>
          <w:szCs w:val="16"/>
          <w:lang w:val="uk-UA"/>
        </w:rPr>
        <w:t>of</w:t>
      </w:r>
      <w:proofErr w:type="spellEnd"/>
      <w:r w:rsidRPr="00E16672">
        <w:rPr>
          <w:rFonts w:ascii="Times New Roman" w:hAnsi="Times New Roman" w:cs="Times New Roman"/>
          <w:sz w:val="16"/>
          <w:szCs w:val="16"/>
          <w:lang w:val="uk-UA"/>
        </w:rPr>
        <w:t xml:space="preserve"> </w:t>
      </w:r>
      <w:proofErr w:type="spellStart"/>
      <w:r w:rsidRPr="00E16672">
        <w:rPr>
          <w:rFonts w:ascii="Times New Roman" w:hAnsi="Times New Roman" w:cs="Times New Roman"/>
          <w:sz w:val="16"/>
          <w:szCs w:val="16"/>
          <w:lang w:val="uk-UA"/>
        </w:rPr>
        <w:t>use</w:t>
      </w:r>
      <w:proofErr w:type="spellEnd"/>
      <w:r w:rsidRPr="00E16672">
        <w:rPr>
          <w:rFonts w:ascii="Times New Roman" w:hAnsi="Times New Roman" w:cs="Times New Roman"/>
          <w:sz w:val="16"/>
          <w:szCs w:val="16"/>
          <w:lang w:val="en-US"/>
        </w:rPr>
        <w:t xml:space="preserve"> </w:t>
      </w:r>
    </w:p>
    <w:p w14:paraId="0FD53328" w14:textId="77777777" w:rsidR="005E418B" w:rsidRDefault="005E418B" w:rsidP="005C5318">
      <w:pPr>
        <w:pStyle w:val="HTML"/>
        <w:shd w:val="clear" w:color="auto" w:fill="FFFFFF"/>
        <w:rPr>
          <w:rFonts w:ascii="Times New Roman" w:hAnsi="Times New Roman" w:cs="Times New Roman"/>
          <w:sz w:val="16"/>
          <w:szCs w:val="16"/>
          <w:lang w:val="uk-UA"/>
        </w:rPr>
      </w:pPr>
    </w:p>
    <w:p w14:paraId="011837D0" w14:textId="77777777" w:rsidR="005E418B" w:rsidRDefault="005E418B" w:rsidP="005C5318">
      <w:pPr>
        <w:pStyle w:val="HTML"/>
        <w:shd w:val="clear" w:color="auto" w:fill="FFFFFF"/>
        <w:rPr>
          <w:rFonts w:ascii="Times New Roman" w:hAnsi="Times New Roman" w:cs="Times New Roman"/>
          <w:sz w:val="16"/>
          <w:szCs w:val="16"/>
          <w:lang w:val="uk-UA"/>
        </w:rPr>
      </w:pPr>
    </w:p>
    <w:p w14:paraId="1921D578" w14:textId="77777777" w:rsidR="005E418B" w:rsidRDefault="005E418B" w:rsidP="005C5318">
      <w:pPr>
        <w:pStyle w:val="HTML"/>
        <w:shd w:val="clear" w:color="auto" w:fill="FFFFFF"/>
        <w:rPr>
          <w:rFonts w:ascii="Times New Roman" w:hAnsi="Times New Roman" w:cs="Times New Roman"/>
          <w:sz w:val="16"/>
          <w:szCs w:val="16"/>
          <w:lang w:val="uk-UA"/>
        </w:rPr>
      </w:pPr>
    </w:p>
    <w:p w14:paraId="42072B32" w14:textId="77777777" w:rsidR="005E418B" w:rsidRDefault="005E418B" w:rsidP="005C5318">
      <w:pPr>
        <w:pStyle w:val="HTML"/>
        <w:shd w:val="clear" w:color="auto" w:fill="FFFFFF"/>
        <w:rPr>
          <w:rFonts w:ascii="Times New Roman" w:hAnsi="Times New Roman" w:cs="Times New Roman"/>
          <w:sz w:val="16"/>
          <w:szCs w:val="16"/>
          <w:lang w:val="uk-UA"/>
        </w:rPr>
      </w:pPr>
    </w:p>
    <w:p w14:paraId="2810F0E6" w14:textId="77777777" w:rsidR="005E418B" w:rsidRDefault="005E418B" w:rsidP="005C5318">
      <w:pPr>
        <w:pStyle w:val="HTML"/>
        <w:shd w:val="clear" w:color="auto" w:fill="FFFFFF"/>
        <w:rPr>
          <w:rFonts w:ascii="Times New Roman" w:hAnsi="Times New Roman" w:cs="Times New Roman"/>
          <w:sz w:val="16"/>
          <w:szCs w:val="16"/>
          <w:lang w:val="uk-UA"/>
        </w:rPr>
      </w:pPr>
    </w:p>
    <w:p w14:paraId="2CF66D8A" w14:textId="4CC70666" w:rsidR="005E418B" w:rsidRDefault="005E418B" w:rsidP="005C5318">
      <w:pPr>
        <w:pStyle w:val="HTML"/>
        <w:shd w:val="clear" w:color="auto" w:fill="FFFFFF"/>
        <w:rPr>
          <w:rFonts w:ascii="Times New Roman" w:hAnsi="Times New Roman" w:cs="Times New Roman"/>
          <w:sz w:val="16"/>
          <w:szCs w:val="16"/>
          <w:lang w:val="uk-UA"/>
        </w:rPr>
      </w:pPr>
    </w:p>
    <w:p w14:paraId="0A4D5E89" w14:textId="55305B53" w:rsidR="00D04E08" w:rsidRDefault="00D04E08" w:rsidP="005C5318">
      <w:pPr>
        <w:pStyle w:val="HTML"/>
        <w:shd w:val="clear" w:color="auto" w:fill="FFFFFF"/>
        <w:rPr>
          <w:rFonts w:ascii="Times New Roman" w:hAnsi="Times New Roman" w:cs="Times New Roman"/>
          <w:sz w:val="16"/>
          <w:szCs w:val="16"/>
          <w:lang w:val="uk-UA"/>
        </w:rPr>
      </w:pPr>
    </w:p>
    <w:p w14:paraId="3B2C69C7" w14:textId="31E2BCFA" w:rsidR="00D04E08" w:rsidRDefault="00D04E08" w:rsidP="005C5318">
      <w:pPr>
        <w:pStyle w:val="HTML"/>
        <w:shd w:val="clear" w:color="auto" w:fill="FFFFFF"/>
        <w:rPr>
          <w:rFonts w:ascii="Times New Roman" w:hAnsi="Times New Roman" w:cs="Times New Roman"/>
          <w:sz w:val="16"/>
          <w:szCs w:val="16"/>
          <w:lang w:val="uk-UA"/>
        </w:rPr>
      </w:pPr>
    </w:p>
    <w:p w14:paraId="627899CF" w14:textId="47B195FB" w:rsidR="00D04E08" w:rsidRDefault="00D04E08" w:rsidP="005C5318">
      <w:pPr>
        <w:pStyle w:val="HTML"/>
        <w:shd w:val="clear" w:color="auto" w:fill="FFFFFF"/>
        <w:rPr>
          <w:rFonts w:ascii="Times New Roman" w:hAnsi="Times New Roman" w:cs="Times New Roman"/>
          <w:sz w:val="16"/>
          <w:szCs w:val="16"/>
          <w:lang w:val="uk-UA"/>
        </w:rPr>
      </w:pPr>
    </w:p>
    <w:p w14:paraId="02D39AB9" w14:textId="0AE36B33" w:rsidR="00D04E08" w:rsidRDefault="00D04E08" w:rsidP="005C5318">
      <w:pPr>
        <w:pStyle w:val="HTML"/>
        <w:shd w:val="clear" w:color="auto" w:fill="FFFFFF"/>
        <w:rPr>
          <w:rFonts w:ascii="Times New Roman" w:hAnsi="Times New Roman" w:cs="Times New Roman"/>
          <w:sz w:val="16"/>
          <w:szCs w:val="16"/>
          <w:lang w:val="uk-UA"/>
        </w:rPr>
      </w:pPr>
    </w:p>
    <w:p w14:paraId="51943BA6" w14:textId="3EC14203" w:rsidR="00D04E08" w:rsidRDefault="00D04E08" w:rsidP="005C5318">
      <w:pPr>
        <w:pStyle w:val="HTML"/>
        <w:shd w:val="clear" w:color="auto" w:fill="FFFFFF"/>
        <w:rPr>
          <w:rFonts w:ascii="Times New Roman" w:hAnsi="Times New Roman" w:cs="Times New Roman"/>
          <w:sz w:val="16"/>
          <w:szCs w:val="16"/>
          <w:lang w:val="uk-UA"/>
        </w:rPr>
      </w:pPr>
    </w:p>
    <w:p w14:paraId="170E3B2B" w14:textId="18009E71" w:rsidR="00D04E08" w:rsidRDefault="00D04E08" w:rsidP="005C5318">
      <w:pPr>
        <w:pStyle w:val="HTML"/>
        <w:shd w:val="clear" w:color="auto" w:fill="FFFFFF"/>
        <w:rPr>
          <w:rFonts w:ascii="Times New Roman" w:hAnsi="Times New Roman" w:cs="Times New Roman"/>
          <w:sz w:val="16"/>
          <w:szCs w:val="16"/>
          <w:lang w:val="uk-UA"/>
        </w:rPr>
      </w:pPr>
    </w:p>
    <w:p w14:paraId="6ACB02E8" w14:textId="093B5E6B" w:rsidR="00D04E08" w:rsidRDefault="00D04E08" w:rsidP="005C5318">
      <w:pPr>
        <w:pStyle w:val="HTML"/>
        <w:shd w:val="clear" w:color="auto" w:fill="FFFFFF"/>
        <w:rPr>
          <w:rFonts w:ascii="Times New Roman" w:hAnsi="Times New Roman" w:cs="Times New Roman"/>
          <w:sz w:val="16"/>
          <w:szCs w:val="16"/>
          <w:lang w:val="uk-UA"/>
        </w:rPr>
      </w:pPr>
    </w:p>
    <w:p w14:paraId="45A1E425" w14:textId="6EBA3EE6" w:rsidR="00D04E08" w:rsidRDefault="00D04E08" w:rsidP="005C5318">
      <w:pPr>
        <w:pStyle w:val="HTML"/>
        <w:shd w:val="clear" w:color="auto" w:fill="FFFFFF"/>
        <w:rPr>
          <w:rFonts w:ascii="Times New Roman" w:hAnsi="Times New Roman" w:cs="Times New Roman"/>
          <w:sz w:val="16"/>
          <w:szCs w:val="16"/>
          <w:lang w:val="uk-UA"/>
        </w:rPr>
      </w:pPr>
    </w:p>
    <w:p w14:paraId="7A0BE720" w14:textId="35AEB448" w:rsidR="00D04E08" w:rsidRDefault="00D04E08" w:rsidP="005C5318">
      <w:pPr>
        <w:pStyle w:val="HTML"/>
        <w:shd w:val="clear" w:color="auto" w:fill="FFFFFF"/>
        <w:rPr>
          <w:rFonts w:ascii="Times New Roman" w:hAnsi="Times New Roman" w:cs="Times New Roman"/>
          <w:sz w:val="16"/>
          <w:szCs w:val="16"/>
          <w:lang w:val="uk-UA"/>
        </w:rPr>
      </w:pPr>
    </w:p>
    <w:p w14:paraId="0A46F92A" w14:textId="5FD16CEA" w:rsidR="00D04E08" w:rsidRDefault="00D04E08" w:rsidP="005C5318">
      <w:pPr>
        <w:pStyle w:val="HTML"/>
        <w:shd w:val="clear" w:color="auto" w:fill="FFFFFF"/>
        <w:rPr>
          <w:rFonts w:ascii="Times New Roman" w:hAnsi="Times New Roman" w:cs="Times New Roman"/>
          <w:sz w:val="16"/>
          <w:szCs w:val="16"/>
          <w:lang w:val="uk-UA"/>
        </w:rPr>
      </w:pPr>
    </w:p>
    <w:p w14:paraId="004C30BE" w14:textId="05F69370" w:rsidR="00D04E08" w:rsidRDefault="00D04E08" w:rsidP="005C5318">
      <w:pPr>
        <w:pStyle w:val="HTML"/>
        <w:shd w:val="clear" w:color="auto" w:fill="FFFFFF"/>
        <w:rPr>
          <w:rFonts w:ascii="Times New Roman" w:hAnsi="Times New Roman" w:cs="Times New Roman"/>
          <w:sz w:val="16"/>
          <w:szCs w:val="16"/>
          <w:lang w:val="uk-UA"/>
        </w:rPr>
      </w:pPr>
    </w:p>
    <w:p w14:paraId="5F82DBD2" w14:textId="3A37EEFA" w:rsidR="00D04E08" w:rsidRDefault="00D04E08" w:rsidP="005C5318">
      <w:pPr>
        <w:pStyle w:val="HTML"/>
        <w:shd w:val="clear" w:color="auto" w:fill="FFFFFF"/>
        <w:rPr>
          <w:rFonts w:ascii="Times New Roman" w:hAnsi="Times New Roman" w:cs="Times New Roman"/>
          <w:sz w:val="16"/>
          <w:szCs w:val="16"/>
          <w:lang w:val="uk-UA"/>
        </w:rPr>
      </w:pPr>
    </w:p>
    <w:p w14:paraId="0ED7BECC" w14:textId="05BF40A6" w:rsidR="00D04E08" w:rsidRDefault="00D04E08" w:rsidP="005C5318">
      <w:pPr>
        <w:pStyle w:val="HTML"/>
        <w:shd w:val="clear" w:color="auto" w:fill="FFFFFF"/>
        <w:rPr>
          <w:rFonts w:ascii="Times New Roman" w:hAnsi="Times New Roman" w:cs="Times New Roman"/>
          <w:sz w:val="16"/>
          <w:szCs w:val="16"/>
          <w:lang w:val="uk-UA"/>
        </w:rPr>
      </w:pPr>
    </w:p>
    <w:p w14:paraId="151FDE0C" w14:textId="02963F9D" w:rsidR="00D04E08" w:rsidRDefault="00D04E08" w:rsidP="005C5318">
      <w:pPr>
        <w:pStyle w:val="HTML"/>
        <w:shd w:val="clear" w:color="auto" w:fill="FFFFFF"/>
        <w:rPr>
          <w:rFonts w:ascii="Times New Roman" w:hAnsi="Times New Roman" w:cs="Times New Roman"/>
          <w:sz w:val="16"/>
          <w:szCs w:val="16"/>
          <w:lang w:val="uk-UA"/>
        </w:rPr>
      </w:pPr>
    </w:p>
    <w:p w14:paraId="591327ED" w14:textId="4EEF8A4A" w:rsidR="00D04E08" w:rsidRDefault="00D04E08" w:rsidP="005C5318">
      <w:pPr>
        <w:pStyle w:val="HTML"/>
        <w:shd w:val="clear" w:color="auto" w:fill="FFFFFF"/>
        <w:rPr>
          <w:rFonts w:ascii="Times New Roman" w:hAnsi="Times New Roman" w:cs="Times New Roman"/>
          <w:sz w:val="16"/>
          <w:szCs w:val="16"/>
          <w:lang w:val="uk-UA"/>
        </w:rPr>
      </w:pPr>
    </w:p>
    <w:p w14:paraId="56990589" w14:textId="47762BA4" w:rsidR="00D04E08" w:rsidRDefault="00D04E08" w:rsidP="005C5318">
      <w:pPr>
        <w:pStyle w:val="HTML"/>
        <w:shd w:val="clear" w:color="auto" w:fill="FFFFFF"/>
        <w:rPr>
          <w:rFonts w:ascii="Times New Roman" w:hAnsi="Times New Roman" w:cs="Times New Roman"/>
          <w:sz w:val="16"/>
          <w:szCs w:val="16"/>
          <w:lang w:val="uk-UA"/>
        </w:rPr>
      </w:pPr>
    </w:p>
    <w:p w14:paraId="1B750860" w14:textId="73CEFD86" w:rsidR="00D04E08" w:rsidRDefault="00D04E08" w:rsidP="005C5318">
      <w:pPr>
        <w:pStyle w:val="HTML"/>
        <w:shd w:val="clear" w:color="auto" w:fill="FFFFFF"/>
        <w:rPr>
          <w:rFonts w:ascii="Times New Roman" w:hAnsi="Times New Roman" w:cs="Times New Roman"/>
          <w:sz w:val="16"/>
          <w:szCs w:val="16"/>
          <w:lang w:val="uk-UA"/>
        </w:rPr>
      </w:pPr>
    </w:p>
    <w:p w14:paraId="66E0F5CA" w14:textId="5F4226D0" w:rsidR="00D04E08" w:rsidRDefault="00D04E08" w:rsidP="005C5318">
      <w:pPr>
        <w:pStyle w:val="HTML"/>
        <w:shd w:val="clear" w:color="auto" w:fill="FFFFFF"/>
        <w:rPr>
          <w:rFonts w:ascii="Times New Roman" w:hAnsi="Times New Roman" w:cs="Times New Roman"/>
          <w:sz w:val="16"/>
          <w:szCs w:val="16"/>
          <w:lang w:val="uk-UA"/>
        </w:rPr>
      </w:pPr>
    </w:p>
    <w:p w14:paraId="07D7F100" w14:textId="02455503" w:rsidR="00D04E08" w:rsidRDefault="00D04E08" w:rsidP="005C5318">
      <w:pPr>
        <w:pStyle w:val="HTML"/>
        <w:shd w:val="clear" w:color="auto" w:fill="FFFFFF"/>
        <w:rPr>
          <w:rFonts w:ascii="Times New Roman" w:hAnsi="Times New Roman" w:cs="Times New Roman"/>
          <w:sz w:val="16"/>
          <w:szCs w:val="16"/>
          <w:lang w:val="uk-UA"/>
        </w:rPr>
      </w:pPr>
    </w:p>
    <w:p w14:paraId="38DAF68F" w14:textId="433194B5" w:rsidR="00D04E08" w:rsidRDefault="00D04E08" w:rsidP="005C5318">
      <w:pPr>
        <w:pStyle w:val="HTML"/>
        <w:shd w:val="clear" w:color="auto" w:fill="FFFFFF"/>
        <w:rPr>
          <w:rFonts w:ascii="Times New Roman" w:hAnsi="Times New Roman" w:cs="Times New Roman"/>
          <w:sz w:val="16"/>
          <w:szCs w:val="16"/>
          <w:lang w:val="uk-UA"/>
        </w:rPr>
      </w:pPr>
    </w:p>
    <w:p w14:paraId="6022BC8B" w14:textId="2FA803B4" w:rsidR="00D04E08" w:rsidRDefault="00D04E08" w:rsidP="005C5318">
      <w:pPr>
        <w:pStyle w:val="HTML"/>
        <w:shd w:val="clear" w:color="auto" w:fill="FFFFFF"/>
        <w:rPr>
          <w:rFonts w:ascii="Times New Roman" w:hAnsi="Times New Roman" w:cs="Times New Roman"/>
          <w:sz w:val="16"/>
          <w:szCs w:val="16"/>
          <w:lang w:val="uk-UA"/>
        </w:rPr>
      </w:pPr>
    </w:p>
    <w:p w14:paraId="5BA2D6BF" w14:textId="11154CBC" w:rsidR="00D04E08" w:rsidRDefault="00D04E08" w:rsidP="005C5318">
      <w:pPr>
        <w:pStyle w:val="HTML"/>
        <w:shd w:val="clear" w:color="auto" w:fill="FFFFFF"/>
        <w:rPr>
          <w:rFonts w:ascii="Times New Roman" w:hAnsi="Times New Roman" w:cs="Times New Roman"/>
          <w:sz w:val="16"/>
          <w:szCs w:val="16"/>
          <w:lang w:val="uk-UA"/>
        </w:rPr>
      </w:pPr>
    </w:p>
    <w:p w14:paraId="792D789F" w14:textId="60797208" w:rsidR="00D04E08" w:rsidRDefault="00D04E08" w:rsidP="005C5318">
      <w:pPr>
        <w:pStyle w:val="HTML"/>
        <w:shd w:val="clear" w:color="auto" w:fill="FFFFFF"/>
        <w:rPr>
          <w:rFonts w:ascii="Times New Roman" w:hAnsi="Times New Roman" w:cs="Times New Roman"/>
          <w:sz w:val="16"/>
          <w:szCs w:val="16"/>
          <w:lang w:val="uk-UA"/>
        </w:rPr>
      </w:pPr>
    </w:p>
    <w:p w14:paraId="2E1889EE" w14:textId="7E702DF3" w:rsidR="00D04E08" w:rsidRDefault="00D04E08" w:rsidP="005C5318">
      <w:pPr>
        <w:pStyle w:val="HTML"/>
        <w:shd w:val="clear" w:color="auto" w:fill="FFFFFF"/>
        <w:rPr>
          <w:rFonts w:ascii="Times New Roman" w:hAnsi="Times New Roman" w:cs="Times New Roman"/>
          <w:sz w:val="16"/>
          <w:szCs w:val="16"/>
          <w:lang w:val="uk-UA"/>
        </w:rPr>
      </w:pPr>
    </w:p>
    <w:p w14:paraId="309FAFDA" w14:textId="7929F950" w:rsidR="00D04E08" w:rsidRDefault="00D04E08" w:rsidP="005C5318">
      <w:pPr>
        <w:pStyle w:val="HTML"/>
        <w:shd w:val="clear" w:color="auto" w:fill="FFFFFF"/>
        <w:rPr>
          <w:rFonts w:ascii="Times New Roman" w:hAnsi="Times New Roman" w:cs="Times New Roman"/>
          <w:sz w:val="16"/>
          <w:szCs w:val="16"/>
          <w:lang w:val="uk-UA"/>
        </w:rPr>
      </w:pPr>
    </w:p>
    <w:p w14:paraId="5A4E57F7" w14:textId="0A9179C6" w:rsidR="00D04E08" w:rsidRDefault="00D04E08" w:rsidP="005C5318">
      <w:pPr>
        <w:pStyle w:val="HTML"/>
        <w:shd w:val="clear" w:color="auto" w:fill="FFFFFF"/>
        <w:rPr>
          <w:rFonts w:ascii="Times New Roman" w:hAnsi="Times New Roman" w:cs="Times New Roman"/>
          <w:sz w:val="16"/>
          <w:szCs w:val="16"/>
          <w:lang w:val="uk-UA"/>
        </w:rPr>
      </w:pPr>
    </w:p>
    <w:p w14:paraId="09F948A5" w14:textId="3B649FC2" w:rsidR="00D04E08" w:rsidRDefault="00D04E08" w:rsidP="005C5318">
      <w:pPr>
        <w:pStyle w:val="HTML"/>
        <w:shd w:val="clear" w:color="auto" w:fill="FFFFFF"/>
        <w:rPr>
          <w:rFonts w:ascii="Times New Roman" w:hAnsi="Times New Roman" w:cs="Times New Roman"/>
          <w:sz w:val="16"/>
          <w:szCs w:val="16"/>
          <w:lang w:val="uk-UA"/>
        </w:rPr>
      </w:pPr>
    </w:p>
    <w:p w14:paraId="1E51A9B3" w14:textId="3DE7F1CC" w:rsidR="00D04E08" w:rsidRDefault="00D04E08" w:rsidP="005C5318">
      <w:pPr>
        <w:pStyle w:val="HTML"/>
        <w:shd w:val="clear" w:color="auto" w:fill="FFFFFF"/>
        <w:rPr>
          <w:rFonts w:ascii="Times New Roman" w:hAnsi="Times New Roman" w:cs="Times New Roman"/>
          <w:sz w:val="16"/>
          <w:szCs w:val="16"/>
          <w:lang w:val="uk-UA"/>
        </w:rPr>
      </w:pPr>
    </w:p>
    <w:p w14:paraId="0633FAAD" w14:textId="132470FA" w:rsidR="00D04E08" w:rsidRDefault="00D04E08" w:rsidP="005C5318">
      <w:pPr>
        <w:pStyle w:val="HTML"/>
        <w:shd w:val="clear" w:color="auto" w:fill="FFFFFF"/>
        <w:rPr>
          <w:rFonts w:ascii="Times New Roman" w:hAnsi="Times New Roman" w:cs="Times New Roman"/>
          <w:sz w:val="16"/>
          <w:szCs w:val="16"/>
          <w:lang w:val="uk-UA"/>
        </w:rPr>
      </w:pPr>
    </w:p>
    <w:p w14:paraId="780EEE26" w14:textId="6FD32502" w:rsidR="00D04E08" w:rsidRDefault="00D04E08" w:rsidP="005C5318">
      <w:pPr>
        <w:pStyle w:val="HTML"/>
        <w:shd w:val="clear" w:color="auto" w:fill="FFFFFF"/>
        <w:rPr>
          <w:rFonts w:ascii="Times New Roman" w:hAnsi="Times New Roman" w:cs="Times New Roman"/>
          <w:sz w:val="16"/>
          <w:szCs w:val="16"/>
          <w:lang w:val="uk-UA"/>
        </w:rPr>
      </w:pPr>
    </w:p>
    <w:p w14:paraId="123FABA6" w14:textId="2FA8C4C4" w:rsidR="00D04E08" w:rsidRDefault="00D04E08" w:rsidP="005C5318">
      <w:pPr>
        <w:pStyle w:val="HTML"/>
        <w:shd w:val="clear" w:color="auto" w:fill="FFFFFF"/>
        <w:rPr>
          <w:rFonts w:ascii="Times New Roman" w:hAnsi="Times New Roman" w:cs="Times New Roman"/>
          <w:sz w:val="16"/>
          <w:szCs w:val="16"/>
          <w:lang w:val="uk-UA"/>
        </w:rPr>
      </w:pPr>
    </w:p>
    <w:p w14:paraId="78915549" w14:textId="7A81D9A9" w:rsidR="00D04E08" w:rsidRDefault="00D04E08" w:rsidP="005C5318">
      <w:pPr>
        <w:pStyle w:val="HTML"/>
        <w:shd w:val="clear" w:color="auto" w:fill="FFFFFF"/>
        <w:rPr>
          <w:rFonts w:ascii="Times New Roman" w:hAnsi="Times New Roman" w:cs="Times New Roman"/>
          <w:sz w:val="16"/>
          <w:szCs w:val="16"/>
          <w:lang w:val="uk-UA"/>
        </w:rPr>
      </w:pPr>
    </w:p>
    <w:p w14:paraId="62882A3E" w14:textId="1CC9847C" w:rsidR="00D04E08" w:rsidRDefault="00D04E08" w:rsidP="005C5318">
      <w:pPr>
        <w:pStyle w:val="HTML"/>
        <w:shd w:val="clear" w:color="auto" w:fill="FFFFFF"/>
        <w:rPr>
          <w:rFonts w:ascii="Times New Roman" w:hAnsi="Times New Roman" w:cs="Times New Roman"/>
          <w:sz w:val="16"/>
          <w:szCs w:val="16"/>
          <w:lang w:val="uk-UA"/>
        </w:rPr>
      </w:pPr>
    </w:p>
    <w:p w14:paraId="79EC5B77" w14:textId="7B7DDCF0" w:rsidR="00D04E08" w:rsidRDefault="00D04E08" w:rsidP="005C5318">
      <w:pPr>
        <w:pStyle w:val="HTML"/>
        <w:shd w:val="clear" w:color="auto" w:fill="FFFFFF"/>
        <w:rPr>
          <w:rFonts w:ascii="Times New Roman" w:hAnsi="Times New Roman" w:cs="Times New Roman"/>
          <w:sz w:val="16"/>
          <w:szCs w:val="16"/>
          <w:lang w:val="uk-UA"/>
        </w:rPr>
      </w:pPr>
    </w:p>
    <w:p w14:paraId="2691D501" w14:textId="43A55DE8" w:rsidR="00D04E08" w:rsidRDefault="00D04E08" w:rsidP="005C5318">
      <w:pPr>
        <w:pStyle w:val="HTML"/>
        <w:shd w:val="clear" w:color="auto" w:fill="FFFFFF"/>
        <w:rPr>
          <w:rFonts w:ascii="Times New Roman" w:hAnsi="Times New Roman" w:cs="Times New Roman"/>
          <w:sz w:val="16"/>
          <w:szCs w:val="16"/>
          <w:lang w:val="uk-UA"/>
        </w:rPr>
      </w:pPr>
    </w:p>
    <w:p w14:paraId="3A105F41" w14:textId="21230F84" w:rsidR="00D04E08" w:rsidRDefault="00D04E08" w:rsidP="005C5318">
      <w:pPr>
        <w:pStyle w:val="HTML"/>
        <w:shd w:val="clear" w:color="auto" w:fill="FFFFFF"/>
        <w:rPr>
          <w:rFonts w:ascii="Times New Roman" w:hAnsi="Times New Roman" w:cs="Times New Roman"/>
          <w:sz w:val="16"/>
          <w:szCs w:val="16"/>
          <w:lang w:val="uk-UA"/>
        </w:rPr>
      </w:pPr>
    </w:p>
    <w:p w14:paraId="5916F8B1" w14:textId="614F91EA" w:rsidR="00D04E08" w:rsidRDefault="00D04E08" w:rsidP="005C5318">
      <w:pPr>
        <w:pStyle w:val="HTML"/>
        <w:shd w:val="clear" w:color="auto" w:fill="FFFFFF"/>
        <w:rPr>
          <w:rFonts w:ascii="Times New Roman" w:hAnsi="Times New Roman" w:cs="Times New Roman"/>
          <w:sz w:val="16"/>
          <w:szCs w:val="16"/>
          <w:lang w:val="uk-UA"/>
        </w:rPr>
      </w:pPr>
    </w:p>
    <w:p w14:paraId="449DA243" w14:textId="6E66BF86" w:rsidR="00D04E08" w:rsidRDefault="00D04E08" w:rsidP="005C5318">
      <w:pPr>
        <w:pStyle w:val="HTML"/>
        <w:shd w:val="clear" w:color="auto" w:fill="FFFFFF"/>
        <w:rPr>
          <w:rFonts w:ascii="Times New Roman" w:hAnsi="Times New Roman" w:cs="Times New Roman"/>
          <w:sz w:val="16"/>
          <w:szCs w:val="16"/>
          <w:lang w:val="uk-UA"/>
        </w:rPr>
      </w:pPr>
    </w:p>
    <w:p w14:paraId="76CE7A0D" w14:textId="6A2D4705" w:rsidR="00D04E08" w:rsidRDefault="00D04E08" w:rsidP="005C5318">
      <w:pPr>
        <w:pStyle w:val="HTML"/>
        <w:shd w:val="clear" w:color="auto" w:fill="FFFFFF"/>
        <w:rPr>
          <w:rFonts w:ascii="Times New Roman" w:hAnsi="Times New Roman" w:cs="Times New Roman"/>
          <w:sz w:val="16"/>
          <w:szCs w:val="16"/>
          <w:lang w:val="uk-UA"/>
        </w:rPr>
      </w:pPr>
    </w:p>
    <w:p w14:paraId="660A8639" w14:textId="77777777" w:rsidR="00D04E08" w:rsidRDefault="00D04E08" w:rsidP="005C5318">
      <w:pPr>
        <w:pStyle w:val="HTML"/>
        <w:shd w:val="clear" w:color="auto" w:fill="FFFFFF"/>
        <w:rPr>
          <w:rFonts w:ascii="Times New Roman" w:hAnsi="Times New Roman" w:cs="Times New Roman"/>
          <w:sz w:val="16"/>
          <w:szCs w:val="16"/>
          <w:lang w:val="uk-UA"/>
        </w:rPr>
      </w:pPr>
    </w:p>
    <w:p w14:paraId="04D513A3" w14:textId="77777777" w:rsidR="005E418B" w:rsidRDefault="005E418B" w:rsidP="005C5318">
      <w:pPr>
        <w:pStyle w:val="HTML"/>
        <w:shd w:val="clear" w:color="auto" w:fill="FFFFFF"/>
        <w:rPr>
          <w:rFonts w:ascii="Times New Roman" w:hAnsi="Times New Roman" w:cs="Times New Roman"/>
          <w:sz w:val="16"/>
          <w:szCs w:val="16"/>
          <w:lang w:val="uk-UA"/>
        </w:rPr>
      </w:pPr>
    </w:p>
    <w:tbl>
      <w:tblPr>
        <w:tblW w:w="11190" w:type="dxa"/>
        <w:tblInd w:w="-175" w:type="dxa"/>
        <w:tblLayout w:type="fixed"/>
        <w:tblCellMar>
          <w:left w:w="0" w:type="dxa"/>
          <w:right w:w="0" w:type="dxa"/>
        </w:tblCellMar>
        <w:tblLook w:val="0000" w:firstRow="0" w:lastRow="0" w:firstColumn="0" w:lastColumn="0" w:noHBand="0" w:noVBand="0"/>
      </w:tblPr>
      <w:tblGrid>
        <w:gridCol w:w="1740"/>
        <w:gridCol w:w="1264"/>
        <w:gridCol w:w="2241"/>
        <w:gridCol w:w="17"/>
        <w:gridCol w:w="101"/>
        <w:gridCol w:w="332"/>
        <w:gridCol w:w="1567"/>
        <w:gridCol w:w="207"/>
        <w:gridCol w:w="42"/>
        <w:gridCol w:w="1027"/>
        <w:gridCol w:w="2286"/>
        <w:gridCol w:w="366"/>
      </w:tblGrid>
      <w:tr w:rsidR="00B335DD" w:rsidRPr="00F23413" w14:paraId="54DE0EAB" w14:textId="77777777" w:rsidTr="005E418B">
        <w:trPr>
          <w:trHeight w:val="192"/>
        </w:trPr>
        <w:tc>
          <w:tcPr>
            <w:tcW w:w="5695" w:type="dxa"/>
            <w:gridSpan w:val="6"/>
            <w:shd w:val="clear" w:color="auto" w:fill="auto"/>
          </w:tcPr>
          <w:p w14:paraId="7D5F1925" w14:textId="77777777" w:rsidR="00B335DD" w:rsidRPr="00E16672" w:rsidRDefault="005D5125" w:rsidP="001456E9">
            <w:pPr>
              <w:snapToGrid w:val="0"/>
              <w:jc w:val="center"/>
              <w:rPr>
                <w:rFonts w:ascii="Times New Roman" w:eastAsia="Arial" w:hAnsi="Times New Roman"/>
                <w:b/>
                <w:caps/>
                <w:sz w:val="16"/>
                <w:szCs w:val="16"/>
              </w:rPr>
            </w:pPr>
            <w:r w:rsidRPr="00E16672">
              <w:rPr>
                <w:rFonts w:ascii="Times New Roman" w:eastAsia="Arial" w:hAnsi="Times New Roman"/>
                <w:b/>
                <w:caps/>
                <w:sz w:val="16"/>
                <w:szCs w:val="16"/>
              </w:rPr>
              <w:lastRenderedPageBreak/>
              <w:t>Д</w:t>
            </w:r>
            <w:r w:rsidR="00B335DD" w:rsidRPr="00E16672">
              <w:rPr>
                <w:rFonts w:ascii="Times New Roman" w:eastAsia="Arial" w:hAnsi="Times New Roman"/>
                <w:b/>
                <w:caps/>
                <w:sz w:val="16"/>
                <w:szCs w:val="16"/>
              </w:rPr>
              <w:t>оговір</w:t>
            </w:r>
          </w:p>
          <w:p w14:paraId="4454A4D7" w14:textId="77777777" w:rsidR="00B335DD" w:rsidRPr="00E16672" w:rsidRDefault="00B335DD" w:rsidP="00B335DD">
            <w:pPr>
              <w:ind w:left="142"/>
              <w:jc w:val="center"/>
              <w:rPr>
                <w:rFonts w:ascii="Times New Roman" w:eastAsia="Arial" w:hAnsi="Times New Roman"/>
                <w:b/>
                <w:caps/>
                <w:sz w:val="16"/>
                <w:szCs w:val="16"/>
              </w:rPr>
            </w:pPr>
            <w:r w:rsidRPr="00E16672">
              <w:rPr>
                <w:rFonts w:ascii="Times New Roman" w:eastAsia="Arial" w:hAnsi="Times New Roman"/>
                <w:b/>
                <w:caps/>
                <w:sz w:val="16"/>
                <w:szCs w:val="16"/>
              </w:rPr>
              <w:t>про обслуговування рахункУ в цінних паперах</w:t>
            </w:r>
          </w:p>
          <w:p w14:paraId="7E44A471" w14:textId="77777777" w:rsidR="002D08FB" w:rsidRPr="00E16672" w:rsidRDefault="002D08FB" w:rsidP="00B335DD">
            <w:pPr>
              <w:ind w:left="142"/>
              <w:jc w:val="center"/>
              <w:rPr>
                <w:rFonts w:ascii="Times New Roman" w:eastAsia="Arial" w:hAnsi="Times New Roman"/>
                <w:b/>
                <w:caps/>
                <w:sz w:val="18"/>
                <w:szCs w:val="18"/>
                <w:lang w:val="uk-UA"/>
              </w:rPr>
            </w:pPr>
            <w:r w:rsidRPr="00E16672">
              <w:rPr>
                <w:rFonts w:ascii="Times New Roman" w:hAnsi="Times New Roman"/>
                <w:color w:val="000000"/>
                <w:sz w:val="18"/>
                <w:szCs w:val="18"/>
                <w:lang w:val="uk-UA"/>
              </w:rPr>
              <w:t>(</w:t>
            </w:r>
            <w:r w:rsidRPr="00E16672">
              <w:rPr>
                <w:rFonts w:ascii="Times New Roman" w:hAnsi="Times New Roman"/>
                <w:color w:val="000000"/>
                <w:sz w:val="18"/>
                <w:szCs w:val="18"/>
              </w:rPr>
              <w:t xml:space="preserve">на </w:t>
            </w:r>
            <w:proofErr w:type="spellStart"/>
            <w:r w:rsidRPr="00E16672">
              <w:rPr>
                <w:rFonts w:ascii="Times New Roman" w:hAnsi="Times New Roman"/>
                <w:color w:val="000000"/>
                <w:sz w:val="18"/>
                <w:szCs w:val="18"/>
              </w:rPr>
              <w:t>умовах</w:t>
            </w:r>
            <w:proofErr w:type="spellEnd"/>
            <w:r w:rsidRPr="00E16672">
              <w:rPr>
                <w:rFonts w:ascii="Times New Roman" w:hAnsi="Times New Roman"/>
                <w:color w:val="000000"/>
                <w:sz w:val="18"/>
                <w:szCs w:val="18"/>
              </w:rPr>
              <w:t xml:space="preserve"> </w:t>
            </w:r>
            <w:proofErr w:type="spellStart"/>
            <w:r w:rsidRPr="00E16672">
              <w:rPr>
                <w:rFonts w:ascii="Times New Roman" w:hAnsi="Times New Roman"/>
                <w:color w:val="000000"/>
                <w:sz w:val="18"/>
                <w:szCs w:val="18"/>
              </w:rPr>
              <w:t>щомісячної</w:t>
            </w:r>
            <w:proofErr w:type="spellEnd"/>
            <w:r w:rsidRPr="00E16672">
              <w:rPr>
                <w:rFonts w:ascii="Times New Roman" w:hAnsi="Times New Roman"/>
                <w:color w:val="000000"/>
                <w:sz w:val="18"/>
                <w:szCs w:val="18"/>
              </w:rPr>
              <w:t xml:space="preserve"> оплати</w:t>
            </w:r>
            <w:r w:rsidRPr="00E16672">
              <w:rPr>
                <w:rFonts w:ascii="Times New Roman" w:hAnsi="Times New Roman"/>
                <w:color w:val="000000"/>
                <w:sz w:val="18"/>
                <w:szCs w:val="18"/>
                <w:lang w:val="uk-UA"/>
              </w:rPr>
              <w:t>)</w:t>
            </w:r>
          </w:p>
          <w:p w14:paraId="2A65892D" w14:textId="77777777" w:rsidR="00B335DD" w:rsidRPr="0046169E" w:rsidRDefault="00B335DD" w:rsidP="00B335DD">
            <w:pPr>
              <w:ind w:left="142"/>
              <w:jc w:val="center"/>
              <w:rPr>
                <w:rFonts w:ascii="Times New Roman" w:eastAsia="Arial" w:hAnsi="Times New Roman"/>
                <w:b/>
                <w:sz w:val="16"/>
                <w:szCs w:val="16"/>
                <w:lang w:val="uk-UA"/>
              </w:rPr>
            </w:pPr>
            <w:r w:rsidRPr="00E16672">
              <w:rPr>
                <w:rFonts w:ascii="Times New Roman" w:eastAsia="Arial" w:hAnsi="Times New Roman"/>
                <w:b/>
                <w:sz w:val="16"/>
                <w:szCs w:val="16"/>
              </w:rPr>
              <w:t>№   ______/____</w:t>
            </w:r>
            <w:r w:rsidR="0046169E" w:rsidRPr="00F23413">
              <w:rPr>
                <w:rFonts w:ascii="Times New Roman" w:eastAsia="Arial" w:hAnsi="Times New Roman"/>
                <w:b/>
                <w:sz w:val="16"/>
                <w:szCs w:val="16"/>
              </w:rPr>
              <w:t>/</w:t>
            </w:r>
            <w:r w:rsidR="0046169E">
              <w:rPr>
                <w:rFonts w:ascii="Times New Roman" w:eastAsia="Arial" w:hAnsi="Times New Roman"/>
                <w:b/>
                <w:sz w:val="16"/>
                <w:szCs w:val="16"/>
                <w:lang w:val="uk-UA"/>
              </w:rPr>
              <w:t>ДУ</w:t>
            </w:r>
          </w:p>
          <w:p w14:paraId="144C3C39" w14:textId="77777777" w:rsidR="00B335DD" w:rsidRPr="00E16672" w:rsidRDefault="00B335DD" w:rsidP="00B335DD">
            <w:pPr>
              <w:ind w:left="142"/>
              <w:jc w:val="center"/>
              <w:rPr>
                <w:rFonts w:ascii="Times New Roman" w:eastAsia="Arial" w:hAnsi="Times New Roman"/>
                <w:b/>
                <w:sz w:val="16"/>
                <w:szCs w:val="16"/>
              </w:rPr>
            </w:pPr>
          </w:p>
          <w:p w14:paraId="4BAF0503" w14:textId="77777777" w:rsidR="00186785" w:rsidRDefault="00186785" w:rsidP="00186785">
            <w:pPr>
              <w:jc w:val="center"/>
              <w:rPr>
                <w:rFonts w:ascii="Times New Roman" w:hAnsi="Times New Roman"/>
                <w:szCs w:val="20"/>
                <w:lang w:val="uk-UA"/>
              </w:rPr>
            </w:pPr>
            <w:r w:rsidRPr="00186785">
              <w:rPr>
                <w:rFonts w:ascii="Times New Roman" w:hAnsi="Times New Roman"/>
                <w:sz w:val="16"/>
                <w:szCs w:val="16"/>
                <w:lang w:val="uk-UA"/>
              </w:rPr>
              <w:t xml:space="preserve">м. Київ </w:t>
            </w:r>
            <w:r w:rsidRPr="00186785">
              <w:rPr>
                <w:rFonts w:ascii="Times New Roman" w:hAnsi="Times New Roman"/>
                <w:sz w:val="16"/>
                <w:szCs w:val="16"/>
                <w:lang w:val="uk-UA"/>
              </w:rPr>
              <w:tab/>
            </w:r>
            <w:r w:rsidRPr="00186785">
              <w:rPr>
                <w:rFonts w:ascii="Times New Roman" w:hAnsi="Times New Roman"/>
                <w:sz w:val="16"/>
                <w:szCs w:val="16"/>
                <w:lang w:val="uk-UA"/>
              </w:rPr>
              <w:tab/>
            </w:r>
            <w:r w:rsidRPr="00186785">
              <w:rPr>
                <w:rFonts w:ascii="Times New Roman" w:hAnsi="Times New Roman"/>
                <w:sz w:val="16"/>
                <w:szCs w:val="16"/>
                <w:lang w:val="uk-UA"/>
              </w:rPr>
              <w:tab/>
              <w:t>"       " ____________ 20____р</w:t>
            </w:r>
            <w:r w:rsidRPr="00E16672">
              <w:rPr>
                <w:rFonts w:ascii="Times New Roman" w:hAnsi="Times New Roman"/>
                <w:szCs w:val="20"/>
                <w:lang w:val="uk-UA"/>
              </w:rPr>
              <w:t>.</w:t>
            </w:r>
          </w:p>
          <w:p w14:paraId="146027AC" w14:textId="77777777" w:rsidR="00B335DD" w:rsidRPr="00E16672" w:rsidRDefault="00B335DD" w:rsidP="00B335DD">
            <w:pPr>
              <w:ind w:left="142"/>
              <w:rPr>
                <w:rFonts w:ascii="Times New Roman" w:eastAsia="Arial" w:hAnsi="Times New Roman"/>
                <w:sz w:val="16"/>
                <w:szCs w:val="16"/>
              </w:rPr>
            </w:pPr>
          </w:p>
          <w:p w14:paraId="47DEB452" w14:textId="77777777" w:rsidR="00B9670D" w:rsidRPr="00E16672" w:rsidRDefault="00B9670D" w:rsidP="006517E7">
            <w:pPr>
              <w:pStyle w:val="WW-1"/>
              <w:ind w:left="175" w:right="138"/>
              <w:jc w:val="left"/>
              <w:rPr>
                <w:i w:val="0"/>
                <w:sz w:val="16"/>
                <w:szCs w:val="16"/>
              </w:rPr>
            </w:pPr>
            <w:r w:rsidRPr="00E16672">
              <w:rPr>
                <w:b/>
                <w:i w:val="0"/>
                <w:color w:val="000000"/>
                <w:sz w:val="16"/>
              </w:rPr>
              <w:t xml:space="preserve">ТОВАРИСТВО З ОБМЕЖЕНОЮ ВІДПОВІДАЛЬНІСТЮ </w:t>
            </w:r>
            <w:r w:rsidR="00022F5F">
              <w:rPr>
                <w:b/>
                <w:i w:val="0"/>
                <w:color w:val="000000"/>
                <w:sz w:val="16"/>
              </w:rPr>
              <w:t>"</w:t>
            </w:r>
            <w:r w:rsidR="00E16672" w:rsidRPr="00E16672">
              <w:rPr>
                <w:b/>
                <w:i w:val="0"/>
                <w:color w:val="000000"/>
                <w:sz w:val="16"/>
              </w:rPr>
              <w:t>КОМЕКС ЦІННІ ПАПЕРИ</w:t>
            </w:r>
            <w:r w:rsidR="00022F5F">
              <w:rPr>
                <w:b/>
                <w:i w:val="0"/>
                <w:color w:val="000000"/>
                <w:sz w:val="16"/>
              </w:rPr>
              <w:t>"</w:t>
            </w:r>
            <w:r w:rsidRPr="00E16672">
              <w:rPr>
                <w:i w:val="0"/>
                <w:color w:val="000000"/>
                <w:sz w:val="16"/>
              </w:rPr>
              <w:t xml:space="preserve">, код за ЄДРПОУ </w:t>
            </w:r>
            <w:r w:rsidR="00E16672" w:rsidRPr="00E16672">
              <w:rPr>
                <w:i w:val="0"/>
                <w:color w:val="000000"/>
                <w:sz w:val="16"/>
              </w:rPr>
              <w:t>33153077</w:t>
            </w:r>
            <w:r w:rsidRPr="00E16672">
              <w:rPr>
                <w:color w:val="000000"/>
              </w:rPr>
              <w:t xml:space="preserve"> </w:t>
            </w:r>
            <w:r w:rsidRPr="00E16672">
              <w:rPr>
                <w:i w:val="0"/>
                <w:sz w:val="16"/>
                <w:szCs w:val="16"/>
              </w:rPr>
              <w:t xml:space="preserve"> (</w:t>
            </w:r>
            <w:proofErr w:type="spellStart"/>
            <w:r w:rsidRPr="00E16672">
              <w:rPr>
                <w:i w:val="0"/>
                <w:sz w:val="16"/>
                <w:szCs w:val="16"/>
              </w:rPr>
              <w:t>надалі</w:t>
            </w:r>
            <w:proofErr w:type="spellEnd"/>
            <w:r w:rsidRPr="00E16672">
              <w:rPr>
                <w:i w:val="0"/>
                <w:sz w:val="16"/>
                <w:szCs w:val="16"/>
              </w:rPr>
              <w:t xml:space="preserve"> – </w:t>
            </w:r>
            <w:proofErr w:type="spellStart"/>
            <w:r w:rsidRPr="00E16672">
              <w:rPr>
                <w:i w:val="0"/>
                <w:sz w:val="16"/>
                <w:szCs w:val="16"/>
              </w:rPr>
              <w:t>Депозитарна</w:t>
            </w:r>
            <w:proofErr w:type="spellEnd"/>
            <w:r w:rsidRPr="00E16672">
              <w:rPr>
                <w:i w:val="0"/>
                <w:sz w:val="16"/>
                <w:szCs w:val="16"/>
              </w:rPr>
              <w:t xml:space="preserve"> </w:t>
            </w:r>
            <w:proofErr w:type="spellStart"/>
            <w:r w:rsidRPr="00E16672">
              <w:rPr>
                <w:i w:val="0"/>
                <w:sz w:val="16"/>
                <w:szCs w:val="16"/>
              </w:rPr>
              <w:t>установа</w:t>
            </w:r>
            <w:proofErr w:type="spellEnd"/>
            <w:r w:rsidRPr="00E16672">
              <w:rPr>
                <w:i w:val="0"/>
                <w:sz w:val="16"/>
                <w:szCs w:val="16"/>
              </w:rPr>
              <w:t xml:space="preserve">), </w:t>
            </w:r>
            <w:proofErr w:type="spellStart"/>
            <w:r w:rsidRPr="00E16672">
              <w:rPr>
                <w:i w:val="0"/>
                <w:sz w:val="16"/>
                <w:szCs w:val="16"/>
              </w:rPr>
              <w:t>що</w:t>
            </w:r>
            <w:proofErr w:type="spellEnd"/>
            <w:r w:rsidRPr="00E16672">
              <w:rPr>
                <w:i w:val="0"/>
                <w:sz w:val="16"/>
                <w:szCs w:val="16"/>
              </w:rPr>
              <w:t xml:space="preserve"> </w:t>
            </w:r>
            <w:proofErr w:type="spellStart"/>
            <w:r w:rsidRPr="00E16672">
              <w:rPr>
                <w:i w:val="0"/>
                <w:sz w:val="16"/>
                <w:szCs w:val="16"/>
              </w:rPr>
              <w:t>здійснює</w:t>
            </w:r>
            <w:proofErr w:type="spellEnd"/>
            <w:r w:rsidRPr="00E16672">
              <w:rPr>
                <w:i w:val="0"/>
                <w:sz w:val="16"/>
                <w:szCs w:val="16"/>
              </w:rPr>
              <w:t xml:space="preserve"> </w:t>
            </w:r>
            <w:proofErr w:type="spellStart"/>
            <w:r w:rsidRPr="00E16672">
              <w:rPr>
                <w:i w:val="0"/>
                <w:sz w:val="16"/>
                <w:szCs w:val="16"/>
              </w:rPr>
              <w:t>депозитарну</w:t>
            </w:r>
            <w:proofErr w:type="spellEnd"/>
            <w:r w:rsidRPr="00E16672">
              <w:rPr>
                <w:i w:val="0"/>
                <w:sz w:val="16"/>
                <w:szCs w:val="16"/>
              </w:rPr>
              <w:t xml:space="preserve"> </w:t>
            </w:r>
            <w:proofErr w:type="spellStart"/>
            <w:r w:rsidRPr="00E16672">
              <w:rPr>
                <w:i w:val="0"/>
                <w:sz w:val="16"/>
                <w:szCs w:val="16"/>
              </w:rPr>
              <w:t>діяльність</w:t>
            </w:r>
            <w:proofErr w:type="spellEnd"/>
            <w:r w:rsidRPr="00E16672">
              <w:rPr>
                <w:i w:val="0"/>
                <w:sz w:val="16"/>
                <w:szCs w:val="16"/>
              </w:rPr>
              <w:t xml:space="preserve"> </w:t>
            </w:r>
            <w:proofErr w:type="spellStart"/>
            <w:r w:rsidRPr="00E16672">
              <w:rPr>
                <w:i w:val="0"/>
                <w:sz w:val="16"/>
                <w:szCs w:val="16"/>
              </w:rPr>
              <w:t>депозитарної</w:t>
            </w:r>
            <w:proofErr w:type="spellEnd"/>
            <w:r w:rsidRPr="00E16672">
              <w:rPr>
                <w:i w:val="0"/>
                <w:sz w:val="16"/>
                <w:szCs w:val="16"/>
              </w:rPr>
              <w:t xml:space="preserve"> установи на </w:t>
            </w:r>
            <w:proofErr w:type="spellStart"/>
            <w:r w:rsidRPr="00E16672">
              <w:rPr>
                <w:i w:val="0"/>
                <w:sz w:val="16"/>
                <w:szCs w:val="16"/>
              </w:rPr>
              <w:t>підставі</w:t>
            </w:r>
            <w:proofErr w:type="spellEnd"/>
            <w:r w:rsidRPr="00E16672">
              <w:rPr>
                <w:i w:val="0"/>
                <w:sz w:val="16"/>
                <w:szCs w:val="16"/>
              </w:rPr>
              <w:t xml:space="preserve"> </w:t>
            </w:r>
            <w:proofErr w:type="spellStart"/>
            <w:r w:rsidRPr="00E16672">
              <w:rPr>
                <w:i w:val="0"/>
                <w:sz w:val="16"/>
                <w:szCs w:val="16"/>
              </w:rPr>
              <w:t>ліцензії</w:t>
            </w:r>
            <w:proofErr w:type="spellEnd"/>
            <w:r w:rsidRPr="00E16672">
              <w:rPr>
                <w:i w:val="0"/>
                <w:sz w:val="16"/>
                <w:szCs w:val="16"/>
              </w:rPr>
              <w:t xml:space="preserve"> </w:t>
            </w:r>
            <w:proofErr w:type="spellStart"/>
            <w:r w:rsidRPr="00E16672">
              <w:rPr>
                <w:i w:val="0"/>
                <w:sz w:val="16"/>
                <w:szCs w:val="16"/>
              </w:rPr>
              <w:t>серія</w:t>
            </w:r>
            <w:proofErr w:type="spellEnd"/>
            <w:r w:rsidRPr="00E16672">
              <w:rPr>
                <w:i w:val="0"/>
                <w:sz w:val="16"/>
                <w:szCs w:val="16"/>
              </w:rPr>
              <w:t xml:space="preserve"> </w:t>
            </w:r>
            <w:r w:rsidRPr="00E16672">
              <w:rPr>
                <w:i w:val="0"/>
                <w:color w:val="000000"/>
                <w:sz w:val="16"/>
              </w:rPr>
              <w:t xml:space="preserve">АЕ № </w:t>
            </w:r>
            <w:r w:rsidR="00E16672" w:rsidRPr="00E16672">
              <w:rPr>
                <w:i w:val="0"/>
                <w:color w:val="000000"/>
                <w:sz w:val="16"/>
              </w:rPr>
              <w:t>263429</w:t>
            </w:r>
            <w:r w:rsidRPr="00E16672">
              <w:rPr>
                <w:i w:val="0"/>
                <w:sz w:val="16"/>
                <w:szCs w:val="16"/>
              </w:rPr>
              <w:t xml:space="preserve">, </w:t>
            </w:r>
            <w:proofErr w:type="spellStart"/>
            <w:r w:rsidRPr="00E16672">
              <w:rPr>
                <w:i w:val="0"/>
                <w:sz w:val="16"/>
                <w:szCs w:val="16"/>
              </w:rPr>
              <w:t>виданої</w:t>
            </w:r>
            <w:proofErr w:type="spellEnd"/>
            <w:r w:rsidRPr="00E16672">
              <w:rPr>
                <w:i w:val="0"/>
                <w:sz w:val="16"/>
                <w:szCs w:val="16"/>
              </w:rPr>
              <w:t xml:space="preserve"> </w:t>
            </w:r>
            <w:proofErr w:type="spellStart"/>
            <w:r w:rsidRPr="00E16672">
              <w:rPr>
                <w:i w:val="0"/>
                <w:sz w:val="16"/>
                <w:szCs w:val="16"/>
              </w:rPr>
              <w:t>Національною</w:t>
            </w:r>
            <w:proofErr w:type="spellEnd"/>
            <w:r w:rsidRPr="00E16672">
              <w:rPr>
                <w:i w:val="0"/>
                <w:sz w:val="16"/>
                <w:szCs w:val="16"/>
              </w:rPr>
              <w:t xml:space="preserve"> </w:t>
            </w:r>
            <w:proofErr w:type="spellStart"/>
            <w:r w:rsidRPr="00E16672">
              <w:rPr>
                <w:i w:val="0"/>
                <w:sz w:val="16"/>
                <w:szCs w:val="16"/>
              </w:rPr>
              <w:t>комісією</w:t>
            </w:r>
            <w:proofErr w:type="spellEnd"/>
            <w:r w:rsidRPr="00E16672">
              <w:rPr>
                <w:i w:val="0"/>
                <w:sz w:val="16"/>
                <w:szCs w:val="16"/>
              </w:rPr>
              <w:t xml:space="preserve"> з </w:t>
            </w:r>
            <w:proofErr w:type="spellStart"/>
            <w:r w:rsidRPr="00E16672">
              <w:rPr>
                <w:i w:val="0"/>
                <w:sz w:val="16"/>
                <w:szCs w:val="16"/>
              </w:rPr>
              <w:t>цінних</w:t>
            </w:r>
            <w:proofErr w:type="spellEnd"/>
            <w:r w:rsidRPr="00E16672">
              <w:rPr>
                <w:i w:val="0"/>
                <w:sz w:val="16"/>
                <w:szCs w:val="16"/>
              </w:rPr>
              <w:t xml:space="preserve"> </w:t>
            </w:r>
            <w:proofErr w:type="spellStart"/>
            <w:r w:rsidRPr="00E16672">
              <w:rPr>
                <w:i w:val="0"/>
                <w:sz w:val="16"/>
                <w:szCs w:val="16"/>
              </w:rPr>
              <w:t>паперів</w:t>
            </w:r>
            <w:proofErr w:type="spellEnd"/>
            <w:r w:rsidRPr="00E16672">
              <w:rPr>
                <w:i w:val="0"/>
                <w:sz w:val="16"/>
                <w:szCs w:val="16"/>
              </w:rPr>
              <w:t xml:space="preserve"> та фондового ринку </w:t>
            </w:r>
            <w:r w:rsidR="00E16672" w:rsidRPr="00E16672">
              <w:rPr>
                <w:i w:val="0"/>
                <w:color w:val="000000"/>
                <w:sz w:val="16"/>
              </w:rPr>
              <w:t>01.10.2013</w:t>
            </w:r>
            <w:r w:rsidRPr="00E16672">
              <w:rPr>
                <w:i w:val="0"/>
                <w:color w:val="000000"/>
                <w:sz w:val="16"/>
              </w:rPr>
              <w:t>р</w:t>
            </w:r>
            <w:r w:rsidRPr="00E16672">
              <w:rPr>
                <w:i w:val="0"/>
                <w:sz w:val="16"/>
                <w:szCs w:val="16"/>
              </w:rPr>
              <w:t xml:space="preserve"> (</w:t>
            </w:r>
            <w:proofErr w:type="spellStart"/>
            <w:r w:rsidRPr="00E16672">
              <w:rPr>
                <w:i w:val="0"/>
                <w:sz w:val="16"/>
                <w:szCs w:val="16"/>
              </w:rPr>
              <w:t>надалі</w:t>
            </w:r>
            <w:proofErr w:type="spellEnd"/>
            <w:r w:rsidRPr="00E16672">
              <w:rPr>
                <w:i w:val="0"/>
                <w:sz w:val="16"/>
                <w:szCs w:val="16"/>
              </w:rPr>
              <w:t xml:space="preserve"> – НКЦПФР), в </w:t>
            </w:r>
            <w:proofErr w:type="spellStart"/>
            <w:r w:rsidRPr="00E16672">
              <w:rPr>
                <w:i w:val="0"/>
                <w:sz w:val="16"/>
                <w:szCs w:val="16"/>
              </w:rPr>
              <w:t>особі</w:t>
            </w:r>
            <w:proofErr w:type="spellEnd"/>
            <w:r w:rsidRPr="00E16672">
              <w:rPr>
                <w:i w:val="0"/>
                <w:sz w:val="16"/>
                <w:szCs w:val="16"/>
              </w:rPr>
              <w:t xml:space="preserve"> </w:t>
            </w:r>
            <w:r w:rsidRPr="00E16672">
              <w:rPr>
                <w:i w:val="0"/>
                <w:color w:val="000000"/>
                <w:sz w:val="16"/>
              </w:rPr>
              <w:t xml:space="preserve">директора </w:t>
            </w:r>
            <w:r w:rsidR="004D320D" w:rsidRPr="004D320D">
              <w:rPr>
                <w:i w:val="0"/>
                <w:color w:val="000000"/>
                <w:sz w:val="16"/>
              </w:rPr>
              <w:t xml:space="preserve">Король </w:t>
            </w:r>
            <w:proofErr w:type="spellStart"/>
            <w:r w:rsidR="004D320D" w:rsidRPr="004D320D">
              <w:rPr>
                <w:i w:val="0"/>
                <w:color w:val="000000"/>
                <w:sz w:val="16"/>
              </w:rPr>
              <w:t>Оксани</w:t>
            </w:r>
            <w:proofErr w:type="spellEnd"/>
            <w:r w:rsidR="004D320D" w:rsidRPr="004D320D">
              <w:rPr>
                <w:i w:val="0"/>
                <w:color w:val="000000"/>
                <w:sz w:val="16"/>
              </w:rPr>
              <w:t xml:space="preserve"> </w:t>
            </w:r>
            <w:proofErr w:type="spellStart"/>
            <w:r w:rsidR="004D320D" w:rsidRPr="004D320D">
              <w:rPr>
                <w:i w:val="0"/>
                <w:color w:val="000000"/>
                <w:sz w:val="16"/>
              </w:rPr>
              <w:t>Іванівни</w:t>
            </w:r>
            <w:proofErr w:type="spellEnd"/>
            <w:r w:rsidRPr="00E16672">
              <w:rPr>
                <w:i w:val="0"/>
                <w:color w:val="000000"/>
                <w:sz w:val="16"/>
              </w:rPr>
              <w:t xml:space="preserve">, </w:t>
            </w:r>
            <w:proofErr w:type="spellStart"/>
            <w:r w:rsidRPr="00E16672">
              <w:rPr>
                <w:i w:val="0"/>
                <w:color w:val="000000"/>
                <w:sz w:val="16"/>
              </w:rPr>
              <w:t>що</w:t>
            </w:r>
            <w:proofErr w:type="spellEnd"/>
            <w:r w:rsidRPr="00E16672">
              <w:rPr>
                <w:i w:val="0"/>
                <w:color w:val="000000"/>
                <w:sz w:val="16"/>
              </w:rPr>
              <w:t xml:space="preserve"> </w:t>
            </w:r>
            <w:proofErr w:type="spellStart"/>
            <w:r w:rsidRPr="00E16672">
              <w:rPr>
                <w:i w:val="0"/>
                <w:color w:val="000000"/>
                <w:sz w:val="16"/>
              </w:rPr>
              <w:t>діє</w:t>
            </w:r>
            <w:proofErr w:type="spellEnd"/>
            <w:r w:rsidRPr="00E16672">
              <w:rPr>
                <w:i w:val="0"/>
                <w:color w:val="000000"/>
                <w:sz w:val="16"/>
              </w:rPr>
              <w:t xml:space="preserve"> на </w:t>
            </w:r>
            <w:proofErr w:type="spellStart"/>
            <w:r w:rsidRPr="00E16672">
              <w:rPr>
                <w:i w:val="0"/>
                <w:color w:val="000000"/>
                <w:sz w:val="16"/>
              </w:rPr>
              <w:t>підставі</w:t>
            </w:r>
            <w:proofErr w:type="spellEnd"/>
            <w:r w:rsidRPr="00E16672">
              <w:rPr>
                <w:i w:val="0"/>
                <w:color w:val="000000"/>
                <w:sz w:val="16"/>
              </w:rPr>
              <w:t xml:space="preserve"> Статуту</w:t>
            </w:r>
            <w:r w:rsidRPr="00E16672">
              <w:rPr>
                <w:i w:val="0"/>
                <w:sz w:val="16"/>
                <w:szCs w:val="16"/>
                <w:lang w:val="uk-UA"/>
              </w:rPr>
              <w:t>,  з одного боку</w:t>
            </w:r>
            <w:r w:rsidRPr="00E16672">
              <w:rPr>
                <w:i w:val="0"/>
                <w:sz w:val="16"/>
                <w:szCs w:val="16"/>
              </w:rPr>
              <w:t>, та ________________________________,</w:t>
            </w:r>
          </w:p>
          <w:p w14:paraId="45B88887" w14:textId="77777777" w:rsidR="00B9670D" w:rsidRPr="00E16672" w:rsidRDefault="00B9670D" w:rsidP="00B9670D">
            <w:pPr>
              <w:ind w:left="175" w:right="138" w:firstLine="284"/>
              <w:jc w:val="center"/>
              <w:rPr>
                <w:rFonts w:ascii="Times New Roman" w:eastAsia="Arial" w:hAnsi="Times New Roman"/>
                <w:i/>
                <w:sz w:val="16"/>
                <w:szCs w:val="16"/>
              </w:rPr>
            </w:pPr>
            <w:r w:rsidRPr="00E16672">
              <w:rPr>
                <w:rFonts w:ascii="Times New Roman" w:hAnsi="Times New Roman"/>
                <w:i/>
                <w:sz w:val="16"/>
                <w:szCs w:val="20"/>
                <w:lang w:val="uk-UA"/>
              </w:rPr>
              <w:t>(</w:t>
            </w:r>
            <w:r w:rsidRPr="00E16672">
              <w:rPr>
                <w:rFonts w:ascii="Times New Roman" w:hAnsi="Times New Roman"/>
                <w:i/>
                <w:sz w:val="16"/>
                <w:szCs w:val="20"/>
                <w:lang w:val="uk-UA" w:eastAsia="uk-UA"/>
              </w:rPr>
              <w:t>повне найменування,</w:t>
            </w:r>
            <w:r w:rsidRPr="00E16672" w:rsidDel="00D3086A">
              <w:rPr>
                <w:rFonts w:ascii="Times New Roman" w:hAnsi="Times New Roman"/>
                <w:i/>
                <w:sz w:val="16"/>
                <w:szCs w:val="20"/>
                <w:lang w:val="uk-UA" w:eastAsia="uk-UA"/>
              </w:rPr>
              <w:t xml:space="preserve"> </w:t>
            </w:r>
            <w:r w:rsidRPr="00E16672">
              <w:rPr>
                <w:rFonts w:ascii="Times New Roman" w:hAnsi="Times New Roman"/>
                <w:i/>
                <w:iCs/>
                <w:sz w:val="16"/>
                <w:szCs w:val="16"/>
                <w:lang w:val="uk-UA" w:eastAsia="uk-UA"/>
              </w:rPr>
              <w:t>номер реєстрації юридичної особи в країні її місцезнаходження</w:t>
            </w:r>
          </w:p>
          <w:p w14:paraId="535A7B9B" w14:textId="77777777" w:rsidR="00B335DD" w:rsidRPr="00E16672" w:rsidRDefault="00B9670D" w:rsidP="00B9670D">
            <w:pPr>
              <w:pStyle w:val="WW-1"/>
              <w:ind w:left="175" w:right="138" w:firstLine="7"/>
              <w:jc w:val="both"/>
              <w:rPr>
                <w:i w:val="0"/>
                <w:sz w:val="16"/>
                <w:szCs w:val="16"/>
              </w:rPr>
            </w:pPr>
            <w:r w:rsidRPr="00E16672">
              <w:rPr>
                <w:i w:val="0"/>
                <w:sz w:val="16"/>
                <w:szCs w:val="16"/>
              </w:rPr>
              <w:t xml:space="preserve"> (</w:t>
            </w:r>
            <w:proofErr w:type="spellStart"/>
            <w:r w:rsidRPr="00E16672">
              <w:rPr>
                <w:i w:val="0"/>
                <w:sz w:val="16"/>
                <w:szCs w:val="16"/>
              </w:rPr>
              <w:t>надалі</w:t>
            </w:r>
            <w:proofErr w:type="spellEnd"/>
            <w:r w:rsidRPr="00E16672">
              <w:rPr>
                <w:i w:val="0"/>
                <w:sz w:val="16"/>
                <w:szCs w:val="16"/>
              </w:rPr>
              <w:t xml:space="preserve"> – Депонент) в </w:t>
            </w:r>
            <w:proofErr w:type="spellStart"/>
            <w:r w:rsidRPr="00E16672">
              <w:rPr>
                <w:i w:val="0"/>
                <w:sz w:val="16"/>
                <w:szCs w:val="16"/>
              </w:rPr>
              <w:t>особі</w:t>
            </w:r>
            <w:proofErr w:type="spellEnd"/>
            <w:r w:rsidRPr="00E16672">
              <w:rPr>
                <w:i w:val="0"/>
                <w:sz w:val="16"/>
                <w:szCs w:val="16"/>
              </w:rPr>
              <w:t xml:space="preserve"> _________________________________, </w:t>
            </w:r>
            <w:proofErr w:type="spellStart"/>
            <w:r w:rsidRPr="00E16672">
              <w:rPr>
                <w:i w:val="0"/>
                <w:sz w:val="16"/>
                <w:szCs w:val="16"/>
              </w:rPr>
              <w:t>що</w:t>
            </w:r>
            <w:proofErr w:type="spellEnd"/>
            <w:r w:rsidRPr="00E16672">
              <w:rPr>
                <w:i w:val="0"/>
                <w:sz w:val="16"/>
                <w:szCs w:val="16"/>
              </w:rPr>
              <w:t xml:space="preserve"> </w:t>
            </w:r>
            <w:proofErr w:type="spellStart"/>
            <w:r w:rsidRPr="00E16672">
              <w:rPr>
                <w:i w:val="0"/>
                <w:sz w:val="16"/>
                <w:szCs w:val="16"/>
              </w:rPr>
              <w:t>діє</w:t>
            </w:r>
            <w:proofErr w:type="spellEnd"/>
            <w:r w:rsidRPr="00E16672">
              <w:rPr>
                <w:i w:val="0"/>
                <w:sz w:val="16"/>
                <w:szCs w:val="16"/>
              </w:rPr>
              <w:t xml:space="preserve"> на </w:t>
            </w:r>
            <w:proofErr w:type="spellStart"/>
            <w:r w:rsidRPr="00E16672">
              <w:rPr>
                <w:i w:val="0"/>
                <w:sz w:val="16"/>
                <w:szCs w:val="16"/>
              </w:rPr>
              <w:t>підставі</w:t>
            </w:r>
            <w:proofErr w:type="spellEnd"/>
            <w:r w:rsidRPr="00E16672">
              <w:rPr>
                <w:i w:val="0"/>
                <w:sz w:val="16"/>
                <w:szCs w:val="16"/>
              </w:rPr>
              <w:t xml:space="preserve"> (</w:t>
            </w:r>
            <w:proofErr w:type="spellStart"/>
            <w:r w:rsidRPr="00E16672">
              <w:rPr>
                <w:i w:val="0"/>
                <w:sz w:val="16"/>
                <w:szCs w:val="16"/>
              </w:rPr>
              <w:t>довіреності</w:t>
            </w:r>
            <w:proofErr w:type="spellEnd"/>
            <w:r w:rsidRPr="00E16672">
              <w:rPr>
                <w:i w:val="0"/>
                <w:sz w:val="16"/>
                <w:szCs w:val="16"/>
              </w:rPr>
              <w:t xml:space="preserve"> №____ </w:t>
            </w:r>
            <w:proofErr w:type="spellStart"/>
            <w:r w:rsidRPr="00E16672">
              <w:rPr>
                <w:i w:val="0"/>
                <w:sz w:val="16"/>
                <w:szCs w:val="16"/>
              </w:rPr>
              <w:t>від</w:t>
            </w:r>
            <w:proofErr w:type="spellEnd"/>
            <w:r w:rsidRPr="00E16672">
              <w:rPr>
                <w:i w:val="0"/>
                <w:sz w:val="16"/>
                <w:szCs w:val="16"/>
              </w:rPr>
              <w:t xml:space="preserve"> ________</w:t>
            </w:r>
            <w:r w:rsidRPr="00E16672">
              <w:rPr>
                <w:i w:val="0"/>
                <w:sz w:val="16"/>
                <w:szCs w:val="16"/>
                <w:lang w:val="uk-UA"/>
              </w:rPr>
              <w:t>, інше: _____________</w:t>
            </w:r>
            <w:r w:rsidRPr="00E16672">
              <w:rPr>
                <w:i w:val="0"/>
                <w:sz w:val="16"/>
                <w:szCs w:val="16"/>
              </w:rPr>
              <w:t xml:space="preserve">) з </w:t>
            </w:r>
            <w:proofErr w:type="spellStart"/>
            <w:r w:rsidRPr="00E16672">
              <w:rPr>
                <w:i w:val="0"/>
                <w:sz w:val="16"/>
                <w:szCs w:val="16"/>
              </w:rPr>
              <w:t>другої</w:t>
            </w:r>
            <w:proofErr w:type="spellEnd"/>
            <w:r w:rsidRPr="00E16672">
              <w:rPr>
                <w:i w:val="0"/>
                <w:sz w:val="16"/>
                <w:szCs w:val="16"/>
              </w:rPr>
              <w:t xml:space="preserve"> </w:t>
            </w:r>
            <w:proofErr w:type="spellStart"/>
            <w:r w:rsidRPr="00E16672">
              <w:rPr>
                <w:i w:val="0"/>
                <w:sz w:val="16"/>
                <w:szCs w:val="16"/>
              </w:rPr>
              <w:t>сторони</w:t>
            </w:r>
            <w:proofErr w:type="spellEnd"/>
            <w:r w:rsidRPr="00E16672">
              <w:rPr>
                <w:i w:val="0"/>
                <w:sz w:val="16"/>
                <w:szCs w:val="16"/>
              </w:rPr>
              <w:t xml:space="preserve">, а разом </w:t>
            </w:r>
            <w:proofErr w:type="spellStart"/>
            <w:r w:rsidRPr="00E16672">
              <w:rPr>
                <w:i w:val="0"/>
                <w:sz w:val="16"/>
                <w:szCs w:val="16"/>
              </w:rPr>
              <w:t>надалі</w:t>
            </w:r>
            <w:proofErr w:type="spellEnd"/>
            <w:r w:rsidRPr="00E16672">
              <w:rPr>
                <w:i w:val="0"/>
                <w:sz w:val="16"/>
                <w:szCs w:val="16"/>
              </w:rPr>
              <w:t xml:space="preserve"> </w:t>
            </w:r>
            <w:proofErr w:type="spellStart"/>
            <w:r w:rsidRPr="00E16672">
              <w:rPr>
                <w:i w:val="0"/>
                <w:sz w:val="16"/>
                <w:szCs w:val="16"/>
              </w:rPr>
              <w:t>іменовані</w:t>
            </w:r>
            <w:proofErr w:type="spellEnd"/>
            <w:r w:rsidRPr="00E16672">
              <w:rPr>
                <w:i w:val="0"/>
                <w:sz w:val="16"/>
                <w:szCs w:val="16"/>
              </w:rPr>
              <w:t xml:space="preserve"> </w:t>
            </w:r>
            <w:proofErr w:type="spellStart"/>
            <w:r w:rsidRPr="00E16672">
              <w:rPr>
                <w:i w:val="0"/>
                <w:sz w:val="16"/>
                <w:szCs w:val="16"/>
              </w:rPr>
              <w:t>Сторони</w:t>
            </w:r>
            <w:proofErr w:type="spellEnd"/>
            <w:r w:rsidRPr="00E16672">
              <w:rPr>
                <w:i w:val="0"/>
                <w:sz w:val="16"/>
                <w:szCs w:val="16"/>
              </w:rPr>
              <w:t xml:space="preserve">, </w:t>
            </w:r>
            <w:proofErr w:type="spellStart"/>
            <w:r w:rsidRPr="00E16672">
              <w:rPr>
                <w:i w:val="0"/>
                <w:sz w:val="16"/>
                <w:szCs w:val="16"/>
              </w:rPr>
              <w:t>уклали</w:t>
            </w:r>
            <w:proofErr w:type="spellEnd"/>
            <w:r w:rsidRPr="00E16672">
              <w:rPr>
                <w:i w:val="0"/>
                <w:sz w:val="16"/>
                <w:szCs w:val="16"/>
              </w:rPr>
              <w:t xml:space="preserve"> </w:t>
            </w:r>
            <w:proofErr w:type="spellStart"/>
            <w:r w:rsidRPr="00E16672">
              <w:rPr>
                <w:i w:val="0"/>
                <w:sz w:val="16"/>
                <w:szCs w:val="16"/>
              </w:rPr>
              <w:t>цей</w:t>
            </w:r>
            <w:proofErr w:type="spellEnd"/>
            <w:r w:rsidRPr="00E16672">
              <w:rPr>
                <w:i w:val="0"/>
                <w:sz w:val="16"/>
                <w:szCs w:val="16"/>
              </w:rPr>
              <w:t xml:space="preserve"> </w:t>
            </w:r>
            <w:proofErr w:type="spellStart"/>
            <w:r w:rsidRPr="00E16672">
              <w:rPr>
                <w:i w:val="0"/>
                <w:sz w:val="16"/>
                <w:szCs w:val="16"/>
              </w:rPr>
              <w:t>Договір</w:t>
            </w:r>
            <w:proofErr w:type="spellEnd"/>
            <w:r w:rsidRPr="00E16672">
              <w:rPr>
                <w:i w:val="0"/>
                <w:sz w:val="16"/>
                <w:szCs w:val="16"/>
              </w:rPr>
              <w:t xml:space="preserve"> про </w:t>
            </w:r>
            <w:proofErr w:type="spellStart"/>
            <w:r w:rsidRPr="00E16672">
              <w:rPr>
                <w:i w:val="0"/>
                <w:sz w:val="16"/>
                <w:szCs w:val="16"/>
              </w:rPr>
              <w:t>обслуговування</w:t>
            </w:r>
            <w:proofErr w:type="spellEnd"/>
            <w:r w:rsidRPr="00E16672">
              <w:rPr>
                <w:i w:val="0"/>
                <w:sz w:val="16"/>
                <w:szCs w:val="16"/>
              </w:rPr>
              <w:t xml:space="preserve"> </w:t>
            </w:r>
            <w:proofErr w:type="spellStart"/>
            <w:r w:rsidRPr="00E16672">
              <w:rPr>
                <w:i w:val="0"/>
                <w:sz w:val="16"/>
                <w:szCs w:val="16"/>
              </w:rPr>
              <w:t>рахунк</w:t>
            </w:r>
            <w:proofErr w:type="spellEnd"/>
            <w:r w:rsidRPr="00E16672">
              <w:rPr>
                <w:i w:val="0"/>
                <w:sz w:val="16"/>
                <w:szCs w:val="16"/>
                <w:lang w:val="uk-UA"/>
              </w:rPr>
              <w:t>у</w:t>
            </w:r>
            <w:r w:rsidRPr="00E16672">
              <w:rPr>
                <w:i w:val="0"/>
                <w:sz w:val="16"/>
                <w:szCs w:val="16"/>
              </w:rPr>
              <w:t xml:space="preserve"> в </w:t>
            </w:r>
            <w:proofErr w:type="spellStart"/>
            <w:r w:rsidRPr="00E16672">
              <w:rPr>
                <w:i w:val="0"/>
                <w:sz w:val="16"/>
                <w:szCs w:val="16"/>
              </w:rPr>
              <w:t>цінних</w:t>
            </w:r>
            <w:proofErr w:type="spellEnd"/>
            <w:r w:rsidRPr="00E16672">
              <w:rPr>
                <w:i w:val="0"/>
                <w:sz w:val="16"/>
                <w:szCs w:val="16"/>
              </w:rPr>
              <w:t xml:space="preserve"> </w:t>
            </w:r>
            <w:proofErr w:type="spellStart"/>
            <w:r w:rsidRPr="00E16672">
              <w:rPr>
                <w:i w:val="0"/>
                <w:sz w:val="16"/>
                <w:szCs w:val="16"/>
              </w:rPr>
              <w:t>паперах</w:t>
            </w:r>
            <w:proofErr w:type="spellEnd"/>
            <w:r w:rsidRPr="00E16672">
              <w:rPr>
                <w:i w:val="0"/>
                <w:sz w:val="16"/>
                <w:szCs w:val="16"/>
              </w:rPr>
              <w:t xml:space="preserve"> (</w:t>
            </w:r>
            <w:proofErr w:type="spellStart"/>
            <w:r w:rsidRPr="00E16672">
              <w:rPr>
                <w:i w:val="0"/>
                <w:sz w:val="16"/>
                <w:szCs w:val="16"/>
              </w:rPr>
              <w:t>надалі</w:t>
            </w:r>
            <w:proofErr w:type="spellEnd"/>
            <w:r w:rsidRPr="00E16672">
              <w:rPr>
                <w:i w:val="0"/>
                <w:sz w:val="16"/>
                <w:szCs w:val="16"/>
              </w:rPr>
              <w:t xml:space="preserve"> – </w:t>
            </w:r>
            <w:proofErr w:type="spellStart"/>
            <w:r w:rsidRPr="00E16672">
              <w:rPr>
                <w:i w:val="0"/>
                <w:sz w:val="16"/>
                <w:szCs w:val="16"/>
              </w:rPr>
              <w:t>Договір</w:t>
            </w:r>
            <w:proofErr w:type="spellEnd"/>
            <w:r w:rsidRPr="00E16672">
              <w:rPr>
                <w:i w:val="0"/>
                <w:sz w:val="16"/>
                <w:szCs w:val="16"/>
              </w:rPr>
              <w:t xml:space="preserve">) про </w:t>
            </w:r>
            <w:proofErr w:type="spellStart"/>
            <w:r w:rsidRPr="00E16672">
              <w:rPr>
                <w:i w:val="0"/>
                <w:sz w:val="16"/>
                <w:szCs w:val="16"/>
              </w:rPr>
              <w:t>наступне</w:t>
            </w:r>
            <w:proofErr w:type="spellEnd"/>
            <w:r w:rsidRPr="00E16672">
              <w:rPr>
                <w:i w:val="0"/>
                <w:sz w:val="16"/>
                <w:szCs w:val="16"/>
              </w:rPr>
              <w:t>:</w:t>
            </w:r>
          </w:p>
        </w:tc>
        <w:tc>
          <w:tcPr>
            <w:tcW w:w="5495" w:type="dxa"/>
            <w:gridSpan w:val="6"/>
            <w:shd w:val="clear" w:color="auto" w:fill="auto"/>
          </w:tcPr>
          <w:p w14:paraId="5144DDF9" w14:textId="77777777" w:rsidR="00B335DD" w:rsidRPr="00E16672" w:rsidRDefault="00B335DD" w:rsidP="00B335DD">
            <w:pPr>
              <w:snapToGrid w:val="0"/>
              <w:ind w:left="57" w:right="57"/>
              <w:jc w:val="center"/>
              <w:rPr>
                <w:rFonts w:ascii="Times New Roman" w:hAnsi="Times New Roman"/>
                <w:b/>
                <w:bCs/>
                <w:sz w:val="16"/>
                <w:szCs w:val="16"/>
                <w:lang w:val="en-GB"/>
              </w:rPr>
            </w:pPr>
            <w:r w:rsidRPr="00E16672">
              <w:rPr>
                <w:rFonts w:ascii="Times New Roman" w:hAnsi="Times New Roman"/>
                <w:b/>
                <w:bCs/>
                <w:sz w:val="16"/>
                <w:szCs w:val="16"/>
                <w:lang w:val="en-US"/>
              </w:rPr>
              <w:t>AGREEMENT</w:t>
            </w:r>
            <w:r w:rsidRPr="00E16672">
              <w:rPr>
                <w:rFonts w:ascii="Times New Roman" w:hAnsi="Times New Roman"/>
                <w:b/>
                <w:bCs/>
                <w:sz w:val="16"/>
                <w:szCs w:val="16"/>
                <w:lang w:val="en-GB"/>
              </w:rPr>
              <w:t xml:space="preserve"> </w:t>
            </w:r>
          </w:p>
          <w:p w14:paraId="5A046C2D" w14:textId="77777777" w:rsidR="00B335DD" w:rsidRPr="00E16672" w:rsidRDefault="00B335DD" w:rsidP="00B335DD">
            <w:pPr>
              <w:snapToGrid w:val="0"/>
              <w:ind w:left="57" w:right="57"/>
              <w:jc w:val="center"/>
              <w:rPr>
                <w:rFonts w:ascii="Times New Roman" w:hAnsi="Times New Roman"/>
                <w:b/>
                <w:bCs/>
                <w:sz w:val="16"/>
                <w:szCs w:val="16"/>
                <w:lang w:val="en-US"/>
              </w:rPr>
            </w:pPr>
            <w:r w:rsidRPr="00E16672">
              <w:rPr>
                <w:rFonts w:ascii="Times New Roman" w:hAnsi="Times New Roman"/>
                <w:b/>
                <w:bCs/>
                <w:caps/>
                <w:sz w:val="16"/>
                <w:szCs w:val="16"/>
                <w:lang w:val="en-US"/>
              </w:rPr>
              <w:t xml:space="preserve">on </w:t>
            </w:r>
            <w:proofErr w:type="gramStart"/>
            <w:r w:rsidRPr="00E16672">
              <w:rPr>
                <w:rFonts w:ascii="Times New Roman" w:hAnsi="Times New Roman"/>
                <w:b/>
                <w:bCs/>
                <w:caps/>
                <w:sz w:val="16"/>
                <w:szCs w:val="16"/>
                <w:lang w:val="en-US"/>
              </w:rPr>
              <w:t>servicing</w:t>
            </w:r>
            <w:r w:rsidRPr="00F23413">
              <w:rPr>
                <w:rStyle w:val="hpsalt-edited"/>
                <w:rFonts w:ascii="Times New Roman" w:hAnsi="Times New Roman"/>
                <w:sz w:val="16"/>
                <w:szCs w:val="16"/>
                <w:lang w:val="en-US"/>
              </w:rPr>
              <w:t xml:space="preserve"> </w:t>
            </w:r>
            <w:r w:rsidRPr="00E16672">
              <w:rPr>
                <w:rFonts w:ascii="Times New Roman" w:hAnsi="Times New Roman"/>
                <w:b/>
                <w:bCs/>
                <w:sz w:val="16"/>
                <w:szCs w:val="16"/>
                <w:lang w:val="en-GB"/>
              </w:rPr>
              <w:t xml:space="preserve"> </w:t>
            </w:r>
            <w:r w:rsidRPr="00E16672">
              <w:rPr>
                <w:rFonts w:ascii="Times New Roman" w:hAnsi="Times New Roman"/>
                <w:b/>
                <w:bCs/>
                <w:sz w:val="16"/>
                <w:szCs w:val="16"/>
                <w:lang w:val="en-US"/>
              </w:rPr>
              <w:t>THE</w:t>
            </w:r>
            <w:proofErr w:type="gramEnd"/>
            <w:r w:rsidRPr="00E16672">
              <w:rPr>
                <w:rFonts w:ascii="Times New Roman" w:hAnsi="Times New Roman"/>
                <w:b/>
                <w:bCs/>
                <w:sz w:val="16"/>
                <w:szCs w:val="16"/>
                <w:lang w:val="en-GB"/>
              </w:rPr>
              <w:t xml:space="preserve"> </w:t>
            </w:r>
            <w:r w:rsidRPr="00E16672">
              <w:rPr>
                <w:rFonts w:ascii="Times New Roman" w:hAnsi="Times New Roman"/>
                <w:b/>
                <w:bCs/>
                <w:sz w:val="16"/>
                <w:szCs w:val="16"/>
                <w:lang w:val="en-US"/>
              </w:rPr>
              <w:t>ACCOUNT</w:t>
            </w:r>
            <w:r w:rsidRPr="00E16672">
              <w:rPr>
                <w:rFonts w:ascii="Times New Roman" w:hAnsi="Times New Roman"/>
                <w:b/>
                <w:bCs/>
                <w:sz w:val="16"/>
                <w:szCs w:val="16"/>
                <w:lang w:val="en-GB"/>
              </w:rPr>
              <w:t xml:space="preserve"> </w:t>
            </w:r>
            <w:r w:rsidRPr="00E16672">
              <w:rPr>
                <w:rFonts w:ascii="Times New Roman" w:hAnsi="Times New Roman"/>
                <w:b/>
                <w:bCs/>
                <w:sz w:val="16"/>
                <w:szCs w:val="16"/>
                <w:lang w:val="en-US"/>
              </w:rPr>
              <w:t>IN</w:t>
            </w:r>
            <w:r w:rsidRPr="00E16672">
              <w:rPr>
                <w:rFonts w:ascii="Times New Roman" w:hAnsi="Times New Roman"/>
                <w:b/>
                <w:bCs/>
                <w:sz w:val="16"/>
                <w:szCs w:val="16"/>
                <w:lang w:val="en-GB"/>
              </w:rPr>
              <w:t xml:space="preserve"> </w:t>
            </w:r>
            <w:r w:rsidRPr="00E16672">
              <w:rPr>
                <w:rFonts w:ascii="Times New Roman" w:hAnsi="Times New Roman"/>
                <w:b/>
                <w:bCs/>
                <w:sz w:val="16"/>
                <w:szCs w:val="16"/>
                <w:lang w:val="en-US"/>
              </w:rPr>
              <w:t>SECURITIES</w:t>
            </w:r>
          </w:p>
          <w:p w14:paraId="76B6E890" w14:textId="77777777" w:rsidR="002D08FB" w:rsidRPr="00E16672" w:rsidRDefault="002D08FB" w:rsidP="00B335DD">
            <w:pPr>
              <w:snapToGrid w:val="0"/>
              <w:ind w:left="57" w:right="57"/>
              <w:jc w:val="center"/>
              <w:rPr>
                <w:rFonts w:ascii="Times New Roman" w:hAnsi="Times New Roman"/>
                <w:bCs/>
                <w:sz w:val="16"/>
                <w:szCs w:val="16"/>
                <w:lang w:val="uk-UA"/>
              </w:rPr>
            </w:pPr>
            <w:r w:rsidRPr="00E16672">
              <w:rPr>
                <w:rFonts w:ascii="Times New Roman" w:hAnsi="Times New Roman"/>
                <w:bCs/>
                <w:sz w:val="16"/>
                <w:szCs w:val="16"/>
                <w:lang w:val="uk-UA"/>
              </w:rPr>
              <w:t>(</w:t>
            </w:r>
            <w:proofErr w:type="spellStart"/>
            <w:r w:rsidRPr="00E16672">
              <w:rPr>
                <w:rFonts w:ascii="Times New Roman" w:hAnsi="Times New Roman"/>
                <w:bCs/>
                <w:sz w:val="16"/>
                <w:szCs w:val="16"/>
                <w:lang w:val="uk-UA"/>
              </w:rPr>
              <w:t>on</w:t>
            </w:r>
            <w:proofErr w:type="spellEnd"/>
            <w:r w:rsidRPr="00E16672">
              <w:rPr>
                <w:rFonts w:ascii="Times New Roman" w:hAnsi="Times New Roman"/>
                <w:bCs/>
                <w:sz w:val="16"/>
                <w:szCs w:val="16"/>
                <w:lang w:val="uk-UA"/>
              </w:rPr>
              <w:t xml:space="preserve"> a </w:t>
            </w:r>
            <w:proofErr w:type="spellStart"/>
            <w:r w:rsidRPr="00E16672">
              <w:rPr>
                <w:rFonts w:ascii="Times New Roman" w:hAnsi="Times New Roman"/>
                <w:bCs/>
                <w:sz w:val="16"/>
                <w:szCs w:val="16"/>
                <w:lang w:val="uk-UA"/>
              </w:rPr>
              <w:t>monthly</w:t>
            </w:r>
            <w:proofErr w:type="spellEnd"/>
            <w:r w:rsidRPr="00E16672">
              <w:rPr>
                <w:rFonts w:ascii="Times New Roman" w:hAnsi="Times New Roman"/>
                <w:bCs/>
                <w:sz w:val="16"/>
                <w:szCs w:val="16"/>
                <w:lang w:val="uk-UA"/>
              </w:rPr>
              <w:t xml:space="preserve"> </w:t>
            </w:r>
            <w:proofErr w:type="spellStart"/>
            <w:r w:rsidRPr="00E16672">
              <w:rPr>
                <w:rFonts w:ascii="Times New Roman" w:hAnsi="Times New Roman"/>
                <w:bCs/>
                <w:sz w:val="16"/>
                <w:szCs w:val="16"/>
                <w:lang w:val="uk-UA"/>
              </w:rPr>
              <w:t>basis</w:t>
            </w:r>
            <w:proofErr w:type="spellEnd"/>
            <w:r w:rsidRPr="00E16672">
              <w:rPr>
                <w:rFonts w:ascii="Times New Roman" w:hAnsi="Times New Roman"/>
                <w:bCs/>
                <w:sz w:val="16"/>
                <w:szCs w:val="16"/>
                <w:lang w:val="uk-UA"/>
              </w:rPr>
              <w:t>)</w:t>
            </w:r>
          </w:p>
          <w:p w14:paraId="6204E3EE" w14:textId="77777777" w:rsidR="00B335DD" w:rsidRPr="0046169E" w:rsidRDefault="00B335DD" w:rsidP="00B335DD">
            <w:pPr>
              <w:ind w:left="57" w:right="57"/>
              <w:jc w:val="center"/>
              <w:rPr>
                <w:rFonts w:ascii="Times New Roman" w:hAnsi="Times New Roman"/>
                <w:b/>
                <w:bCs/>
                <w:sz w:val="16"/>
                <w:szCs w:val="16"/>
                <w:lang w:val="en-US"/>
              </w:rPr>
            </w:pPr>
            <w:r w:rsidRPr="00E16672">
              <w:rPr>
                <w:rFonts w:ascii="Times New Roman" w:hAnsi="Times New Roman"/>
                <w:b/>
                <w:bCs/>
                <w:sz w:val="16"/>
                <w:szCs w:val="16"/>
                <w:lang w:val="en-GB"/>
              </w:rPr>
              <w:t xml:space="preserve"># </w:t>
            </w:r>
            <w:r w:rsidRPr="00E16672">
              <w:rPr>
                <w:rFonts w:ascii="Times New Roman" w:eastAsia="Arial" w:hAnsi="Times New Roman"/>
                <w:b/>
                <w:sz w:val="16"/>
                <w:szCs w:val="16"/>
                <w:lang w:val="en-GB"/>
              </w:rPr>
              <w:t>_</w:t>
            </w:r>
            <w:r w:rsidRPr="00E16672">
              <w:rPr>
                <w:rFonts w:ascii="Times New Roman" w:hAnsi="Times New Roman"/>
                <w:b/>
                <w:bCs/>
                <w:sz w:val="16"/>
                <w:szCs w:val="16"/>
                <w:lang w:val="en-GB"/>
              </w:rPr>
              <w:t>_</w:t>
            </w:r>
            <w:r w:rsidRPr="00E16672">
              <w:rPr>
                <w:rFonts w:ascii="Times New Roman" w:hAnsi="Times New Roman"/>
                <w:b/>
                <w:bCs/>
                <w:sz w:val="16"/>
                <w:szCs w:val="16"/>
                <w:lang w:val="en-US"/>
              </w:rPr>
              <w:t>___</w:t>
            </w:r>
            <w:r w:rsidRPr="00E16672">
              <w:rPr>
                <w:rFonts w:ascii="Times New Roman" w:hAnsi="Times New Roman"/>
                <w:b/>
                <w:bCs/>
                <w:sz w:val="16"/>
                <w:szCs w:val="16"/>
                <w:lang w:val="en-GB"/>
              </w:rPr>
              <w:t>/_____</w:t>
            </w:r>
            <w:r w:rsidR="0046169E">
              <w:rPr>
                <w:rFonts w:ascii="Times New Roman" w:hAnsi="Times New Roman"/>
                <w:b/>
                <w:bCs/>
                <w:sz w:val="16"/>
                <w:szCs w:val="16"/>
                <w:lang w:val="uk-UA"/>
              </w:rPr>
              <w:t>/</w:t>
            </w:r>
            <w:r w:rsidR="0046169E">
              <w:rPr>
                <w:rFonts w:ascii="Times New Roman" w:hAnsi="Times New Roman"/>
                <w:b/>
                <w:bCs/>
                <w:sz w:val="16"/>
                <w:szCs w:val="16"/>
                <w:lang w:val="en-US"/>
              </w:rPr>
              <w:t>DU</w:t>
            </w:r>
          </w:p>
          <w:p w14:paraId="70A918F8" w14:textId="77777777" w:rsidR="00B335DD" w:rsidRPr="00E16672" w:rsidRDefault="00B335DD" w:rsidP="00B335DD">
            <w:pPr>
              <w:ind w:right="57"/>
              <w:rPr>
                <w:rFonts w:ascii="Times New Roman" w:hAnsi="Times New Roman"/>
                <w:bCs/>
                <w:sz w:val="16"/>
                <w:szCs w:val="16"/>
                <w:lang w:val="en-GB"/>
              </w:rPr>
            </w:pPr>
          </w:p>
          <w:p w14:paraId="222FD76F" w14:textId="77777777" w:rsidR="00B335DD" w:rsidRPr="00186785" w:rsidRDefault="00186785" w:rsidP="00B335DD">
            <w:pPr>
              <w:ind w:left="57" w:right="57"/>
              <w:jc w:val="center"/>
              <w:rPr>
                <w:rFonts w:ascii="Times New Roman" w:hAnsi="Times New Roman"/>
                <w:bCs/>
                <w:sz w:val="16"/>
                <w:szCs w:val="16"/>
                <w:lang w:val="uk-UA"/>
              </w:rPr>
            </w:pPr>
            <w:r>
              <w:rPr>
                <w:rFonts w:ascii="Times New Roman" w:hAnsi="Times New Roman"/>
                <w:bCs/>
                <w:sz w:val="16"/>
                <w:szCs w:val="16"/>
                <w:lang w:val="en-US"/>
              </w:rPr>
              <w:t>Kyiv</w:t>
            </w:r>
            <w:r w:rsidRPr="00E16672">
              <w:rPr>
                <w:rFonts w:ascii="Times New Roman" w:hAnsi="Times New Roman"/>
                <w:bCs/>
                <w:sz w:val="16"/>
                <w:szCs w:val="16"/>
                <w:lang w:val="en-GB"/>
              </w:rPr>
              <w:t xml:space="preserve"> </w:t>
            </w:r>
            <w:r>
              <w:rPr>
                <w:rFonts w:ascii="Times New Roman" w:hAnsi="Times New Roman"/>
                <w:bCs/>
                <w:sz w:val="16"/>
                <w:szCs w:val="16"/>
                <w:lang w:val="uk-UA"/>
              </w:rPr>
              <w:t xml:space="preserve">                                                                  </w:t>
            </w:r>
            <w:r w:rsidR="00B335DD" w:rsidRPr="00E16672">
              <w:rPr>
                <w:rFonts w:ascii="Times New Roman" w:hAnsi="Times New Roman"/>
                <w:bCs/>
                <w:sz w:val="16"/>
                <w:szCs w:val="16"/>
                <w:lang w:val="en-GB"/>
              </w:rPr>
              <w:t xml:space="preserve">_______________, 20___.        </w:t>
            </w:r>
            <w:r w:rsidR="00B335DD" w:rsidRPr="00E16672">
              <w:rPr>
                <w:rFonts w:ascii="Times New Roman" w:hAnsi="Times New Roman"/>
                <w:bCs/>
                <w:sz w:val="16"/>
                <w:szCs w:val="16"/>
                <w:lang w:val="en-US"/>
              </w:rPr>
              <w:t xml:space="preserve">      </w:t>
            </w:r>
            <w:r w:rsidR="00B335DD" w:rsidRPr="00E16672">
              <w:rPr>
                <w:rFonts w:ascii="Times New Roman" w:hAnsi="Times New Roman"/>
                <w:bCs/>
                <w:sz w:val="16"/>
                <w:szCs w:val="16"/>
                <w:lang w:val="en-GB"/>
              </w:rPr>
              <w:t xml:space="preserve">   </w:t>
            </w:r>
            <w:r>
              <w:rPr>
                <w:rFonts w:ascii="Times New Roman" w:hAnsi="Times New Roman"/>
                <w:bCs/>
                <w:sz w:val="16"/>
                <w:szCs w:val="16"/>
                <w:lang w:val="uk-UA"/>
              </w:rPr>
              <w:t xml:space="preserve">                </w:t>
            </w:r>
          </w:p>
          <w:p w14:paraId="20688230" w14:textId="77777777" w:rsidR="00B335DD" w:rsidRPr="00E16672" w:rsidRDefault="00B335DD" w:rsidP="00B335DD">
            <w:pPr>
              <w:ind w:left="57" w:right="57"/>
              <w:jc w:val="center"/>
              <w:rPr>
                <w:rFonts w:ascii="Times New Roman" w:hAnsi="Times New Roman"/>
                <w:b/>
                <w:bCs/>
                <w:sz w:val="16"/>
                <w:szCs w:val="16"/>
                <w:lang w:val="en-GB"/>
              </w:rPr>
            </w:pPr>
          </w:p>
          <w:p w14:paraId="64571C24" w14:textId="77777777" w:rsidR="00B9670D" w:rsidRPr="00E16672" w:rsidRDefault="001E62BE" w:rsidP="004F69E6">
            <w:pPr>
              <w:pStyle w:val="WW-0"/>
              <w:ind w:left="57" w:right="100"/>
              <w:rPr>
                <w:rFonts w:ascii="Times New Roman" w:hAnsi="Times New Roman"/>
                <w:sz w:val="16"/>
                <w:szCs w:val="16"/>
                <w:lang w:val="en-GB"/>
              </w:rPr>
            </w:pPr>
            <w:r>
              <w:rPr>
                <w:rFonts w:ascii="Times New Roman" w:hAnsi="Times New Roman"/>
                <w:b/>
                <w:color w:val="000000"/>
                <w:sz w:val="16"/>
                <w:lang w:val="en-GB"/>
              </w:rPr>
              <w:t>COMEX Securities Limited</w:t>
            </w:r>
            <w:r w:rsidR="00B9670D" w:rsidRPr="00E16672">
              <w:rPr>
                <w:rFonts w:ascii="Times New Roman" w:hAnsi="Times New Roman"/>
                <w:sz w:val="16"/>
                <w:szCs w:val="16"/>
                <w:lang w:val="en-US"/>
              </w:rPr>
              <w:t xml:space="preserve">, code according to EDRPOU </w:t>
            </w:r>
            <w:r w:rsidR="00E16672" w:rsidRPr="00E16672">
              <w:rPr>
                <w:rFonts w:ascii="Times New Roman" w:hAnsi="Times New Roman"/>
                <w:color w:val="000000"/>
                <w:sz w:val="16"/>
              </w:rPr>
              <w:t>33153077</w:t>
            </w:r>
            <w:r w:rsidR="00B9670D" w:rsidRPr="00E16672">
              <w:rPr>
                <w:rFonts w:ascii="Times New Roman" w:hAnsi="Times New Roman"/>
                <w:sz w:val="16"/>
                <w:szCs w:val="16"/>
                <w:lang w:val="en-US"/>
              </w:rPr>
              <w:t xml:space="preserve"> </w:t>
            </w:r>
            <w:r w:rsidR="00B9670D" w:rsidRPr="00E16672">
              <w:rPr>
                <w:rFonts w:ascii="Times New Roman" w:hAnsi="Times New Roman"/>
                <w:sz w:val="16"/>
                <w:szCs w:val="16"/>
                <w:lang w:val="en-GB"/>
              </w:rPr>
              <w:t>(</w:t>
            </w:r>
            <w:r w:rsidR="00B9670D" w:rsidRPr="00E16672">
              <w:rPr>
                <w:rFonts w:ascii="Times New Roman" w:hAnsi="Times New Roman"/>
                <w:sz w:val="16"/>
                <w:szCs w:val="16"/>
                <w:lang w:val="en-US"/>
              </w:rPr>
              <w:t>hereinafter referred to as Depository institution</w:t>
            </w:r>
            <w:r w:rsidR="00B9670D" w:rsidRPr="00E16672">
              <w:rPr>
                <w:rFonts w:ascii="Times New Roman" w:hAnsi="Times New Roman"/>
                <w:sz w:val="16"/>
                <w:szCs w:val="16"/>
                <w:lang w:val="en-GB"/>
              </w:rPr>
              <w:t>)</w:t>
            </w:r>
            <w:r w:rsidR="00B9670D" w:rsidRPr="00E16672">
              <w:rPr>
                <w:rFonts w:ascii="Times New Roman" w:hAnsi="Times New Roman"/>
                <w:sz w:val="16"/>
                <w:szCs w:val="16"/>
                <w:lang w:val="en-US"/>
              </w:rPr>
              <w:t xml:space="preserve">, providing the depository activity of the Depository institution on the basis of License </w:t>
            </w:r>
            <w:r w:rsidR="00B9670D" w:rsidRPr="00E16672">
              <w:rPr>
                <w:rFonts w:ascii="Times New Roman" w:hAnsi="Times New Roman"/>
                <w:color w:val="000000"/>
                <w:sz w:val="16"/>
              </w:rPr>
              <w:t xml:space="preserve">АЕ № </w:t>
            </w:r>
            <w:r w:rsidR="00E16672" w:rsidRPr="00E16672">
              <w:rPr>
                <w:rFonts w:ascii="Times New Roman" w:hAnsi="Times New Roman"/>
                <w:color w:val="000000"/>
                <w:sz w:val="16"/>
              </w:rPr>
              <w:t>263429</w:t>
            </w:r>
            <w:r w:rsidR="00B9670D" w:rsidRPr="00E16672">
              <w:rPr>
                <w:rFonts w:ascii="Times New Roman" w:hAnsi="Times New Roman"/>
                <w:color w:val="000000"/>
                <w:sz w:val="16"/>
              </w:rPr>
              <w:t xml:space="preserve"> </w:t>
            </w:r>
            <w:r w:rsidR="00B9670D" w:rsidRPr="00E16672">
              <w:rPr>
                <w:rFonts w:ascii="Times New Roman" w:hAnsi="Times New Roman"/>
                <w:sz w:val="16"/>
                <w:szCs w:val="16"/>
                <w:lang w:val="en-US"/>
              </w:rPr>
              <w:t xml:space="preserve">issued by the National Commission on Securities and Stock Market on </w:t>
            </w:r>
            <w:r w:rsidR="00E16672" w:rsidRPr="00E16672">
              <w:rPr>
                <w:rFonts w:ascii="Times New Roman" w:hAnsi="Times New Roman"/>
                <w:color w:val="000000"/>
                <w:sz w:val="16"/>
              </w:rPr>
              <w:t>01.10.2013</w:t>
            </w:r>
            <w:r w:rsidR="00B9670D" w:rsidRPr="00E16672">
              <w:rPr>
                <w:rFonts w:ascii="Times New Roman" w:hAnsi="Times New Roman"/>
                <w:sz w:val="16"/>
                <w:szCs w:val="16"/>
                <w:lang w:val="en-US"/>
              </w:rPr>
              <w:t xml:space="preserve"> (hereinafter - NCSSM) represented </w:t>
            </w:r>
            <w:proofErr w:type="gramStart"/>
            <w:r w:rsidR="00B9670D" w:rsidRPr="00E16672">
              <w:rPr>
                <w:rFonts w:ascii="Times New Roman" w:hAnsi="Times New Roman"/>
                <w:sz w:val="16"/>
                <w:szCs w:val="16"/>
                <w:lang w:val="en-US"/>
              </w:rPr>
              <w:t>by  the</w:t>
            </w:r>
            <w:proofErr w:type="gramEnd"/>
            <w:r w:rsidR="00B9670D" w:rsidRPr="00E16672">
              <w:rPr>
                <w:rFonts w:ascii="Times New Roman" w:hAnsi="Times New Roman"/>
                <w:color w:val="000000"/>
                <w:sz w:val="16"/>
                <w:lang w:val="en-US"/>
              </w:rPr>
              <w:t xml:space="preserve"> Director </w:t>
            </w:r>
            <w:r>
              <w:rPr>
                <w:rFonts w:ascii="Times New Roman" w:hAnsi="Times New Roman"/>
                <w:color w:val="000000"/>
                <w:sz w:val="16"/>
                <w:lang w:val="en-US"/>
              </w:rPr>
              <w:t xml:space="preserve">Ms. </w:t>
            </w:r>
            <w:proofErr w:type="spellStart"/>
            <w:r>
              <w:rPr>
                <w:rFonts w:ascii="Times New Roman" w:hAnsi="Times New Roman"/>
                <w:color w:val="000000"/>
                <w:sz w:val="16"/>
                <w:lang w:val="en-US"/>
              </w:rPr>
              <w:t>Korol</w:t>
            </w:r>
            <w:proofErr w:type="spellEnd"/>
            <w:r>
              <w:rPr>
                <w:rFonts w:ascii="Times New Roman" w:hAnsi="Times New Roman"/>
                <w:color w:val="000000"/>
                <w:sz w:val="16"/>
                <w:lang w:val="en-US"/>
              </w:rPr>
              <w:t xml:space="preserve"> Oxana</w:t>
            </w:r>
            <w:r w:rsidR="00B9670D" w:rsidRPr="00E16672">
              <w:rPr>
                <w:rFonts w:ascii="Times New Roman" w:hAnsi="Times New Roman"/>
                <w:color w:val="000000"/>
                <w:sz w:val="16"/>
                <w:lang w:val="en-US"/>
              </w:rPr>
              <w:t xml:space="preserve">, acting on the basis of </w:t>
            </w:r>
            <w:r w:rsidR="00B9670D" w:rsidRPr="00E16672">
              <w:rPr>
                <w:rFonts w:ascii="Times New Roman" w:hAnsi="Times New Roman"/>
                <w:color w:val="000000"/>
              </w:rPr>
              <w:t xml:space="preserve"> </w:t>
            </w:r>
            <w:r w:rsidR="00B9670D" w:rsidRPr="00E16672">
              <w:rPr>
                <w:rFonts w:ascii="Times New Roman" w:hAnsi="Times New Roman"/>
                <w:color w:val="000000"/>
                <w:sz w:val="16"/>
                <w:lang w:val="en-US"/>
              </w:rPr>
              <w:t>Statute</w:t>
            </w:r>
            <w:r w:rsidR="00B9670D" w:rsidRPr="00E16672">
              <w:rPr>
                <w:rFonts w:ascii="Times New Roman" w:hAnsi="Times New Roman"/>
                <w:sz w:val="16"/>
                <w:szCs w:val="16"/>
                <w:lang w:val="en-US"/>
              </w:rPr>
              <w:t>, on the one hand, and</w:t>
            </w:r>
            <w:r w:rsidR="00B9670D" w:rsidRPr="00E16672">
              <w:rPr>
                <w:rFonts w:ascii="Times New Roman" w:hAnsi="Times New Roman"/>
                <w:sz w:val="16"/>
                <w:szCs w:val="16"/>
                <w:lang w:val="en-GB"/>
              </w:rPr>
              <w:t xml:space="preserve"> ______________________________________________________</w:t>
            </w:r>
          </w:p>
          <w:p w14:paraId="7CDF6D76" w14:textId="77777777" w:rsidR="00B9670D" w:rsidRPr="00E16672" w:rsidRDefault="00B9670D" w:rsidP="00B9670D">
            <w:pPr>
              <w:pStyle w:val="WW-0"/>
              <w:ind w:left="57" w:right="100"/>
              <w:rPr>
                <w:rFonts w:ascii="Times New Roman" w:hAnsi="Times New Roman"/>
                <w:i/>
                <w:sz w:val="16"/>
                <w:szCs w:val="16"/>
              </w:rPr>
            </w:pPr>
            <w:r w:rsidRPr="00E16672">
              <w:rPr>
                <w:rFonts w:ascii="Times New Roman" w:hAnsi="Times New Roman"/>
                <w:i/>
                <w:sz w:val="16"/>
                <w:szCs w:val="16"/>
                <w:lang w:val="en-US"/>
              </w:rPr>
              <w:t>(</w:t>
            </w:r>
            <w:proofErr w:type="spellStart"/>
            <w:r w:rsidRPr="00E16672">
              <w:rPr>
                <w:rFonts w:ascii="Times New Roman" w:hAnsi="Times New Roman"/>
                <w:i/>
                <w:sz w:val="16"/>
              </w:rPr>
              <w:t>full</w:t>
            </w:r>
            <w:proofErr w:type="spellEnd"/>
            <w:r w:rsidRPr="00E16672">
              <w:rPr>
                <w:rFonts w:ascii="Times New Roman" w:hAnsi="Times New Roman"/>
                <w:i/>
                <w:sz w:val="16"/>
              </w:rPr>
              <w:t xml:space="preserve"> </w:t>
            </w:r>
            <w:proofErr w:type="spellStart"/>
            <w:r w:rsidRPr="00E16672">
              <w:rPr>
                <w:rFonts w:ascii="Times New Roman" w:hAnsi="Times New Roman"/>
                <w:i/>
                <w:sz w:val="16"/>
              </w:rPr>
              <w:t>name</w:t>
            </w:r>
            <w:proofErr w:type="spellEnd"/>
            <w:r w:rsidRPr="00E16672">
              <w:rPr>
                <w:rFonts w:ascii="Times New Roman" w:hAnsi="Times New Roman"/>
                <w:i/>
                <w:sz w:val="16"/>
              </w:rPr>
              <w:t xml:space="preserve">, </w:t>
            </w:r>
            <w:proofErr w:type="spellStart"/>
            <w:r w:rsidRPr="00E16672">
              <w:rPr>
                <w:rFonts w:ascii="Times New Roman" w:hAnsi="Times New Roman"/>
                <w:i/>
                <w:sz w:val="16"/>
              </w:rPr>
              <w:t>number</w:t>
            </w:r>
            <w:proofErr w:type="spellEnd"/>
            <w:r w:rsidRPr="00E16672">
              <w:rPr>
                <w:rFonts w:ascii="Times New Roman" w:hAnsi="Times New Roman"/>
                <w:i/>
                <w:sz w:val="16"/>
              </w:rPr>
              <w:t xml:space="preserve"> </w:t>
            </w:r>
            <w:proofErr w:type="spellStart"/>
            <w:r w:rsidRPr="00E16672">
              <w:rPr>
                <w:rFonts w:ascii="Times New Roman" w:hAnsi="Times New Roman"/>
                <w:i/>
                <w:sz w:val="16"/>
              </w:rPr>
              <w:t>of</w:t>
            </w:r>
            <w:proofErr w:type="spellEnd"/>
            <w:r w:rsidRPr="00E16672">
              <w:rPr>
                <w:rFonts w:ascii="Times New Roman" w:hAnsi="Times New Roman"/>
                <w:i/>
                <w:sz w:val="16"/>
              </w:rPr>
              <w:t xml:space="preserve"> </w:t>
            </w:r>
            <w:proofErr w:type="spellStart"/>
            <w:proofErr w:type="gramStart"/>
            <w:r w:rsidRPr="00E16672">
              <w:rPr>
                <w:rFonts w:ascii="Times New Roman" w:hAnsi="Times New Roman"/>
                <w:i/>
                <w:sz w:val="16"/>
              </w:rPr>
              <w:t>registration</w:t>
            </w:r>
            <w:proofErr w:type="spellEnd"/>
            <w:proofErr w:type="gramEnd"/>
            <w:r w:rsidRPr="00E16672">
              <w:rPr>
                <w:rFonts w:ascii="Times New Roman" w:hAnsi="Times New Roman"/>
                <w:i/>
                <w:sz w:val="16"/>
              </w:rPr>
              <w:t xml:space="preserve"> </w:t>
            </w:r>
            <w:proofErr w:type="spellStart"/>
            <w:r w:rsidRPr="00E16672">
              <w:rPr>
                <w:rFonts w:ascii="Times New Roman" w:hAnsi="Times New Roman"/>
                <w:i/>
                <w:sz w:val="16"/>
              </w:rPr>
              <w:t>of</w:t>
            </w:r>
            <w:proofErr w:type="spellEnd"/>
            <w:r w:rsidRPr="00E16672">
              <w:rPr>
                <w:rFonts w:ascii="Times New Roman" w:hAnsi="Times New Roman"/>
                <w:i/>
                <w:sz w:val="16"/>
              </w:rPr>
              <w:t xml:space="preserve"> a </w:t>
            </w:r>
            <w:proofErr w:type="spellStart"/>
            <w:r w:rsidRPr="00E16672">
              <w:rPr>
                <w:rFonts w:ascii="Times New Roman" w:hAnsi="Times New Roman"/>
                <w:i/>
                <w:sz w:val="16"/>
              </w:rPr>
              <w:t>legal</w:t>
            </w:r>
            <w:proofErr w:type="spellEnd"/>
            <w:r w:rsidRPr="00E16672">
              <w:rPr>
                <w:rFonts w:ascii="Times New Roman" w:hAnsi="Times New Roman"/>
                <w:i/>
                <w:sz w:val="16"/>
              </w:rPr>
              <w:t xml:space="preserve"> </w:t>
            </w:r>
            <w:proofErr w:type="spellStart"/>
            <w:r w:rsidRPr="00E16672">
              <w:rPr>
                <w:rFonts w:ascii="Times New Roman" w:hAnsi="Times New Roman"/>
                <w:i/>
                <w:sz w:val="16"/>
              </w:rPr>
              <w:t>entity</w:t>
            </w:r>
            <w:proofErr w:type="spellEnd"/>
            <w:r w:rsidRPr="00E16672">
              <w:rPr>
                <w:rFonts w:ascii="Times New Roman" w:hAnsi="Times New Roman"/>
                <w:i/>
                <w:sz w:val="16"/>
              </w:rPr>
              <w:t xml:space="preserve"> </w:t>
            </w:r>
            <w:proofErr w:type="spellStart"/>
            <w:r w:rsidRPr="00E16672">
              <w:rPr>
                <w:rFonts w:ascii="Times New Roman" w:hAnsi="Times New Roman"/>
                <w:i/>
                <w:sz w:val="16"/>
              </w:rPr>
              <w:t>in</w:t>
            </w:r>
            <w:proofErr w:type="spellEnd"/>
            <w:r w:rsidRPr="00E16672">
              <w:rPr>
                <w:rFonts w:ascii="Times New Roman" w:hAnsi="Times New Roman"/>
                <w:i/>
                <w:sz w:val="16"/>
              </w:rPr>
              <w:t xml:space="preserve"> </w:t>
            </w:r>
            <w:proofErr w:type="spellStart"/>
            <w:r w:rsidRPr="00E16672">
              <w:rPr>
                <w:rFonts w:ascii="Times New Roman" w:hAnsi="Times New Roman"/>
                <w:i/>
                <w:sz w:val="16"/>
              </w:rPr>
              <w:t>the</w:t>
            </w:r>
            <w:proofErr w:type="spellEnd"/>
            <w:r w:rsidRPr="00E16672">
              <w:rPr>
                <w:rFonts w:ascii="Times New Roman" w:hAnsi="Times New Roman"/>
                <w:i/>
                <w:sz w:val="16"/>
              </w:rPr>
              <w:t xml:space="preserve"> </w:t>
            </w:r>
            <w:proofErr w:type="spellStart"/>
            <w:r w:rsidRPr="00E16672">
              <w:rPr>
                <w:rFonts w:ascii="Times New Roman" w:hAnsi="Times New Roman"/>
                <w:i/>
                <w:sz w:val="16"/>
              </w:rPr>
              <w:t>country</w:t>
            </w:r>
            <w:proofErr w:type="spellEnd"/>
            <w:r w:rsidRPr="00E16672">
              <w:rPr>
                <w:rFonts w:ascii="Times New Roman" w:hAnsi="Times New Roman"/>
                <w:i/>
                <w:sz w:val="16"/>
              </w:rPr>
              <w:t xml:space="preserve"> </w:t>
            </w:r>
            <w:proofErr w:type="spellStart"/>
            <w:r w:rsidRPr="00E16672">
              <w:rPr>
                <w:rFonts w:ascii="Times New Roman" w:hAnsi="Times New Roman"/>
                <w:i/>
                <w:sz w:val="16"/>
              </w:rPr>
              <w:t>of</w:t>
            </w:r>
            <w:proofErr w:type="spellEnd"/>
            <w:r w:rsidRPr="00E16672">
              <w:rPr>
                <w:rFonts w:ascii="Times New Roman" w:hAnsi="Times New Roman"/>
                <w:i/>
                <w:sz w:val="16"/>
              </w:rPr>
              <w:t xml:space="preserve"> </w:t>
            </w:r>
            <w:proofErr w:type="spellStart"/>
            <w:r w:rsidRPr="00E16672">
              <w:rPr>
                <w:rFonts w:ascii="Times New Roman" w:hAnsi="Times New Roman"/>
                <w:i/>
                <w:sz w:val="16"/>
              </w:rPr>
              <w:t>its</w:t>
            </w:r>
            <w:proofErr w:type="spellEnd"/>
            <w:r w:rsidRPr="00E16672">
              <w:rPr>
                <w:rFonts w:ascii="Times New Roman" w:hAnsi="Times New Roman"/>
                <w:i/>
                <w:sz w:val="16"/>
              </w:rPr>
              <w:t xml:space="preserve"> </w:t>
            </w:r>
            <w:proofErr w:type="spellStart"/>
            <w:r w:rsidRPr="00E16672">
              <w:rPr>
                <w:rFonts w:ascii="Times New Roman" w:hAnsi="Times New Roman"/>
                <w:i/>
                <w:sz w:val="16"/>
              </w:rPr>
              <w:t>location</w:t>
            </w:r>
            <w:proofErr w:type="spellEnd"/>
            <w:r w:rsidRPr="00E16672">
              <w:rPr>
                <w:rFonts w:ascii="Times New Roman" w:hAnsi="Times New Roman"/>
                <w:i/>
                <w:sz w:val="16"/>
                <w:szCs w:val="16"/>
              </w:rPr>
              <w:t>)</w:t>
            </w:r>
          </w:p>
          <w:p w14:paraId="227746A6" w14:textId="77777777" w:rsidR="00B335DD" w:rsidRPr="00E16672" w:rsidRDefault="00B9670D" w:rsidP="00B9670D">
            <w:pPr>
              <w:pStyle w:val="WW-0"/>
              <w:ind w:left="57" w:right="100"/>
              <w:rPr>
                <w:rFonts w:ascii="Times New Roman" w:hAnsi="Times New Roman"/>
                <w:sz w:val="16"/>
                <w:szCs w:val="16"/>
                <w:lang w:val="en-US"/>
              </w:rPr>
            </w:pPr>
            <w:r w:rsidRPr="00E16672">
              <w:rPr>
                <w:rFonts w:ascii="Times New Roman" w:hAnsi="Times New Roman"/>
                <w:sz w:val="16"/>
                <w:szCs w:val="16"/>
                <w:lang w:val="en-GB"/>
              </w:rPr>
              <w:t>hereinafter referred to as Depositor, represented by ______________________________, acting on the basis of (</w:t>
            </w:r>
            <w:r w:rsidRPr="00E16672">
              <w:rPr>
                <w:rFonts w:ascii="Times New Roman" w:hAnsi="Times New Roman"/>
                <w:sz w:val="16"/>
                <w:szCs w:val="16"/>
                <w:lang w:val="en-US"/>
              </w:rPr>
              <w:t>Power of Attorney No_______ dated ____________</w:t>
            </w:r>
            <w:r w:rsidRPr="00E16672">
              <w:rPr>
                <w:rFonts w:ascii="Times New Roman" w:hAnsi="Times New Roman"/>
                <w:sz w:val="16"/>
                <w:szCs w:val="16"/>
              </w:rPr>
              <w:t xml:space="preserve">, </w:t>
            </w:r>
            <w:proofErr w:type="gramStart"/>
            <w:r w:rsidRPr="00E16672">
              <w:rPr>
                <w:rFonts w:ascii="Times New Roman" w:hAnsi="Times New Roman"/>
                <w:sz w:val="16"/>
                <w:szCs w:val="16"/>
                <w:lang w:val="en-US"/>
              </w:rPr>
              <w:t>other</w:t>
            </w:r>
            <w:r w:rsidRPr="00E16672">
              <w:rPr>
                <w:rFonts w:ascii="Times New Roman" w:hAnsi="Times New Roman"/>
                <w:sz w:val="16"/>
                <w:szCs w:val="16"/>
              </w:rPr>
              <w:t>:_</w:t>
            </w:r>
            <w:proofErr w:type="gramEnd"/>
            <w:r w:rsidRPr="00E16672">
              <w:rPr>
                <w:rFonts w:ascii="Times New Roman" w:hAnsi="Times New Roman"/>
                <w:sz w:val="16"/>
                <w:szCs w:val="16"/>
              </w:rPr>
              <w:t>__________________</w:t>
            </w:r>
            <w:r w:rsidRPr="00E16672">
              <w:rPr>
                <w:rFonts w:ascii="Times New Roman" w:hAnsi="Times New Roman"/>
                <w:sz w:val="16"/>
                <w:szCs w:val="16"/>
                <w:lang w:val="en-GB"/>
              </w:rPr>
              <w:t>)</w:t>
            </w:r>
            <w:r w:rsidRPr="00E16672">
              <w:rPr>
                <w:rFonts w:ascii="Times New Roman" w:hAnsi="Times New Roman"/>
                <w:sz w:val="16"/>
                <w:szCs w:val="16"/>
                <w:lang w:val="en-US"/>
              </w:rPr>
              <w:t>, on the other hand, together referred to as Parties, have concluded this Agreement on servicing the account securities (hereinafter - Agreement) as follows:</w:t>
            </w:r>
          </w:p>
        </w:tc>
      </w:tr>
      <w:tr w:rsidR="00B335DD" w:rsidRPr="00F23413" w14:paraId="1AD76F25" w14:textId="77777777" w:rsidTr="005E418B">
        <w:trPr>
          <w:trHeight w:val="192"/>
        </w:trPr>
        <w:tc>
          <w:tcPr>
            <w:tcW w:w="5695" w:type="dxa"/>
            <w:gridSpan w:val="6"/>
            <w:shd w:val="clear" w:color="auto" w:fill="auto"/>
          </w:tcPr>
          <w:p w14:paraId="65E59115" w14:textId="77777777" w:rsidR="00B335DD" w:rsidRPr="00E16672" w:rsidRDefault="00B335DD" w:rsidP="00B335DD">
            <w:pPr>
              <w:snapToGrid w:val="0"/>
              <w:ind w:left="142" w:right="138"/>
              <w:jc w:val="center"/>
              <w:rPr>
                <w:rFonts w:ascii="Times New Roman" w:eastAsia="Arial" w:hAnsi="Times New Roman"/>
                <w:b/>
                <w:color w:val="000000"/>
                <w:sz w:val="16"/>
                <w:szCs w:val="16"/>
              </w:rPr>
            </w:pPr>
            <w:r w:rsidRPr="00E16672">
              <w:rPr>
                <w:rFonts w:ascii="Times New Roman" w:eastAsia="Arial" w:hAnsi="Times New Roman"/>
                <w:b/>
                <w:color w:val="000000"/>
                <w:sz w:val="16"/>
                <w:szCs w:val="16"/>
              </w:rPr>
              <w:t>1. ПРЕДМЕТ ДОГОВОРУ.</w:t>
            </w:r>
          </w:p>
          <w:p w14:paraId="32FBC01A" w14:textId="77777777" w:rsidR="00B335DD" w:rsidRPr="00E16672" w:rsidRDefault="00B335DD" w:rsidP="00B335DD">
            <w:pPr>
              <w:pStyle w:val="WW-0"/>
              <w:spacing w:after="120"/>
              <w:ind w:left="142" w:right="138"/>
              <w:rPr>
                <w:rFonts w:ascii="Times New Roman" w:hAnsi="Times New Roman"/>
                <w:color w:val="000000"/>
                <w:sz w:val="10"/>
                <w:szCs w:val="10"/>
              </w:rPr>
            </w:pPr>
            <w:r w:rsidRPr="00E16672">
              <w:rPr>
                <w:rFonts w:ascii="Times New Roman" w:hAnsi="Times New Roman"/>
                <w:color w:val="000000"/>
                <w:sz w:val="16"/>
                <w:szCs w:val="16"/>
              </w:rPr>
              <w:t xml:space="preserve">1.1. Депонент доручає, а депозитарна установа зобов’язується у порядку, передбаченому законодавством, внутрішніми документами Депозитарної установи та цим Договором, надавати послуги щодо відкриття та обслуговування рахунку </w:t>
            </w:r>
            <w:r w:rsidR="00C22309" w:rsidRPr="00E16672">
              <w:rPr>
                <w:rFonts w:ascii="Times New Roman" w:hAnsi="Times New Roman"/>
                <w:color w:val="000000"/>
                <w:sz w:val="16"/>
                <w:szCs w:val="16"/>
              </w:rPr>
              <w:t>в цін</w:t>
            </w:r>
            <w:r w:rsidRPr="00E16672">
              <w:rPr>
                <w:rFonts w:ascii="Times New Roman" w:hAnsi="Times New Roman"/>
                <w:color w:val="000000"/>
                <w:sz w:val="16"/>
                <w:szCs w:val="16"/>
              </w:rPr>
              <w:t xml:space="preserve">них паперах Депонента, та вести на ньому облік цінних паперів, що належать Депоненту, а також облік прав Депонента на цінні папери, що обліковуються на  рахунку </w:t>
            </w:r>
            <w:r w:rsidR="00C22309" w:rsidRPr="00E16672">
              <w:rPr>
                <w:rFonts w:ascii="Times New Roman" w:hAnsi="Times New Roman"/>
                <w:color w:val="000000"/>
                <w:sz w:val="16"/>
                <w:szCs w:val="16"/>
              </w:rPr>
              <w:t>в цін</w:t>
            </w:r>
            <w:r w:rsidRPr="00E16672">
              <w:rPr>
                <w:rFonts w:ascii="Times New Roman" w:hAnsi="Times New Roman"/>
                <w:color w:val="000000"/>
                <w:sz w:val="16"/>
                <w:szCs w:val="16"/>
              </w:rPr>
              <w:t xml:space="preserve">них паперах, та обмеження таких прав,  проводити депозитарні операції за рахунком </w:t>
            </w:r>
            <w:r w:rsidR="00C22309" w:rsidRPr="00E16672">
              <w:rPr>
                <w:rFonts w:ascii="Times New Roman" w:hAnsi="Times New Roman"/>
                <w:color w:val="000000"/>
                <w:sz w:val="16"/>
                <w:szCs w:val="16"/>
              </w:rPr>
              <w:t>в цін</w:t>
            </w:r>
            <w:r w:rsidRPr="00E16672">
              <w:rPr>
                <w:rFonts w:ascii="Times New Roman" w:hAnsi="Times New Roman"/>
                <w:color w:val="000000"/>
                <w:sz w:val="16"/>
                <w:szCs w:val="16"/>
              </w:rPr>
              <w:t xml:space="preserve">них паперах Депонента на підставі розпоряджень Депонента </w:t>
            </w:r>
            <w:r w:rsidRPr="00E16672">
              <w:rPr>
                <w:rStyle w:val="rvts0"/>
                <w:rFonts w:ascii="Times New Roman" w:hAnsi="Times New Roman"/>
                <w:sz w:val="16"/>
                <w:szCs w:val="16"/>
              </w:rPr>
              <w:t xml:space="preserve">(суб'єкта управління) </w:t>
            </w:r>
            <w:r w:rsidRPr="00E16672">
              <w:rPr>
                <w:rFonts w:ascii="Times New Roman" w:hAnsi="Times New Roman"/>
                <w:color w:val="000000"/>
                <w:sz w:val="16"/>
                <w:szCs w:val="16"/>
              </w:rPr>
              <w:t xml:space="preserve"> та в інший спосіб, передбачений законодавством, а також надавати інші послуги у процесі провадження депозитарної діяльності відповідно до “Положення про провадження депозитарної діяльності”, затвердженого рішенням НКЦПФР від 23.04.2013 року № 735, зареєстрованого в Міністерстві юстиції України 27.06.2013 року № 1084/23616 (далі – Положення</w:t>
            </w:r>
            <w:r w:rsidRPr="00E16672">
              <w:rPr>
                <w:rFonts w:ascii="Times New Roman" w:hAnsi="Times New Roman"/>
                <w:color w:val="000000"/>
                <w:sz w:val="18"/>
                <w:szCs w:val="18"/>
                <w:lang w:val="ru-RU"/>
              </w:rPr>
              <w:t xml:space="preserve"> </w:t>
            </w:r>
            <w:r w:rsidRPr="00E16672">
              <w:rPr>
                <w:rFonts w:ascii="Times New Roman" w:hAnsi="Times New Roman"/>
                <w:color w:val="000000"/>
                <w:sz w:val="16"/>
                <w:szCs w:val="16"/>
                <w:lang w:val="ru-RU"/>
              </w:rPr>
              <w:t xml:space="preserve">про </w:t>
            </w:r>
            <w:proofErr w:type="spellStart"/>
            <w:r w:rsidRPr="00E16672">
              <w:rPr>
                <w:rFonts w:ascii="Times New Roman" w:hAnsi="Times New Roman"/>
                <w:color w:val="000000"/>
                <w:sz w:val="16"/>
                <w:szCs w:val="16"/>
                <w:lang w:val="ru-RU"/>
              </w:rPr>
              <w:t>провадження</w:t>
            </w:r>
            <w:proofErr w:type="spellEnd"/>
            <w:r w:rsidRPr="00E16672">
              <w:rPr>
                <w:rFonts w:ascii="Times New Roman" w:hAnsi="Times New Roman"/>
                <w:color w:val="000000"/>
                <w:sz w:val="16"/>
                <w:szCs w:val="16"/>
                <w:lang w:val="ru-RU"/>
              </w:rPr>
              <w:t xml:space="preserve"> </w:t>
            </w:r>
            <w:proofErr w:type="spellStart"/>
            <w:r w:rsidRPr="00E16672">
              <w:rPr>
                <w:rFonts w:ascii="Times New Roman" w:hAnsi="Times New Roman"/>
                <w:color w:val="000000"/>
                <w:sz w:val="16"/>
                <w:szCs w:val="16"/>
                <w:lang w:val="ru-RU"/>
              </w:rPr>
              <w:t>депозитарно</w:t>
            </w:r>
            <w:proofErr w:type="spellEnd"/>
            <w:r w:rsidRPr="00E16672">
              <w:rPr>
                <w:rFonts w:ascii="Times New Roman" w:hAnsi="Times New Roman"/>
                <w:color w:val="000000"/>
                <w:sz w:val="16"/>
                <w:szCs w:val="16"/>
              </w:rPr>
              <w:t>ї діяльності), а Депонент зобов’язується оплатити послуги Депозитарної установи.</w:t>
            </w:r>
          </w:p>
        </w:tc>
        <w:tc>
          <w:tcPr>
            <w:tcW w:w="5495" w:type="dxa"/>
            <w:gridSpan w:val="6"/>
            <w:shd w:val="clear" w:color="auto" w:fill="auto"/>
          </w:tcPr>
          <w:p w14:paraId="7F056761" w14:textId="77777777" w:rsidR="00B335DD" w:rsidRPr="00E16672" w:rsidRDefault="00B335DD" w:rsidP="00B335DD">
            <w:pPr>
              <w:snapToGrid w:val="0"/>
              <w:ind w:left="145" w:right="100"/>
              <w:jc w:val="center"/>
              <w:rPr>
                <w:rFonts w:ascii="Times New Roman" w:hAnsi="Times New Roman"/>
                <w:b/>
                <w:bCs/>
                <w:color w:val="000000"/>
                <w:sz w:val="16"/>
                <w:szCs w:val="16"/>
                <w:lang w:val="en-GB"/>
              </w:rPr>
            </w:pPr>
            <w:r w:rsidRPr="00E16672">
              <w:rPr>
                <w:rFonts w:ascii="Times New Roman" w:hAnsi="Times New Roman"/>
                <w:b/>
                <w:bCs/>
                <w:color w:val="000000"/>
                <w:sz w:val="16"/>
                <w:szCs w:val="16"/>
                <w:lang w:val="en-GB"/>
              </w:rPr>
              <w:t xml:space="preserve">1. </w:t>
            </w:r>
            <w:r w:rsidRPr="00E16672">
              <w:rPr>
                <w:rFonts w:ascii="Times New Roman" w:hAnsi="Times New Roman"/>
                <w:b/>
                <w:bCs/>
                <w:caps/>
                <w:color w:val="000000"/>
                <w:sz w:val="16"/>
                <w:szCs w:val="16"/>
                <w:lang w:val="en-GB"/>
              </w:rPr>
              <w:t>SUBJECT of the AGREEMENT</w:t>
            </w:r>
            <w:r w:rsidRPr="00E16672">
              <w:rPr>
                <w:rFonts w:ascii="Times New Roman" w:hAnsi="Times New Roman"/>
                <w:b/>
                <w:bCs/>
                <w:color w:val="000000"/>
                <w:sz w:val="16"/>
                <w:szCs w:val="16"/>
                <w:lang w:val="en-GB"/>
              </w:rPr>
              <w:t>.</w:t>
            </w:r>
          </w:p>
          <w:p w14:paraId="0D5BEE73" w14:textId="77777777" w:rsidR="00B335DD" w:rsidRPr="00E16672" w:rsidRDefault="00B335DD" w:rsidP="00B335DD">
            <w:pPr>
              <w:pStyle w:val="WW-0"/>
              <w:tabs>
                <w:tab w:val="left" w:pos="142"/>
                <w:tab w:val="left" w:pos="432"/>
                <w:tab w:val="left" w:pos="1080"/>
              </w:tabs>
              <w:ind w:left="145" w:right="100"/>
              <w:rPr>
                <w:rFonts w:ascii="Times New Roman" w:hAnsi="Times New Roman"/>
                <w:color w:val="000000"/>
                <w:sz w:val="16"/>
                <w:szCs w:val="16"/>
                <w:lang w:val="en-US"/>
              </w:rPr>
            </w:pPr>
            <w:r w:rsidRPr="00E16672">
              <w:rPr>
                <w:rFonts w:ascii="Times New Roman" w:hAnsi="Times New Roman"/>
                <w:color w:val="000000"/>
                <w:sz w:val="16"/>
                <w:szCs w:val="16"/>
              </w:rPr>
              <w:t xml:space="preserve">1.1.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Depositоr</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entrusts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and</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rPr>
              <w:t xml:space="preserve"> </w:t>
            </w:r>
            <w:r w:rsidRPr="00E16672">
              <w:rPr>
                <w:rFonts w:ascii="Times New Roman" w:hAnsi="Times New Roman"/>
                <w:color w:val="000000"/>
                <w:sz w:val="16"/>
                <w:szCs w:val="16"/>
                <w:lang w:val="en-US"/>
              </w:rPr>
              <w:t>Depository institution shall in the manner prescribed by law, internal documents of  Depository institution and this Agreement, provide for opening and servicing the account in securities of Depositor,</w:t>
            </w:r>
            <w:r w:rsidRPr="00E16672">
              <w:rPr>
                <w:rStyle w:val="WW8Num7z0"/>
                <w:rFonts w:ascii="Times New Roman" w:hAnsi="Times New Roman"/>
                <w:color w:val="000000"/>
              </w:rPr>
              <w:t xml:space="preserve"> </w:t>
            </w:r>
            <w:r w:rsidRPr="00E16672">
              <w:rPr>
                <w:rFonts w:ascii="Times New Roman" w:hAnsi="Times New Roman"/>
                <w:color w:val="000000"/>
                <w:sz w:val="16"/>
                <w:szCs w:val="16"/>
                <w:lang w:val="en-US"/>
              </w:rPr>
              <w:t xml:space="preserve">and keep it records the securities owned by the Depositor and the Depositor records of securities rights is accounted for on a securities account and limiting such rights, to conduct depository account transactions in securities on the basis of the orders of the Depositor </w:t>
            </w:r>
            <w:r w:rsidRPr="00E16672">
              <w:rPr>
                <w:rFonts w:ascii="Times New Roman" w:hAnsi="Times New Roman"/>
                <w:color w:val="000000"/>
                <w:sz w:val="16"/>
                <w:szCs w:val="16"/>
              </w:rPr>
              <w:t>(</w:t>
            </w:r>
            <w:proofErr w:type="spellStart"/>
            <w:r w:rsidRPr="00E16672">
              <w:rPr>
                <w:rStyle w:val="shorttext"/>
                <w:rFonts w:ascii="Times New Roman" w:hAnsi="Times New Roman"/>
                <w:sz w:val="16"/>
                <w:szCs w:val="16"/>
              </w:rPr>
              <w:t>subject</w:t>
            </w:r>
            <w:proofErr w:type="spellEnd"/>
            <w:r w:rsidRPr="00E16672">
              <w:rPr>
                <w:rStyle w:val="shorttext"/>
                <w:rFonts w:ascii="Times New Roman" w:hAnsi="Times New Roman"/>
                <w:sz w:val="16"/>
                <w:szCs w:val="16"/>
              </w:rPr>
              <w:t xml:space="preserve"> </w:t>
            </w:r>
            <w:proofErr w:type="spellStart"/>
            <w:r w:rsidRPr="00E16672">
              <w:rPr>
                <w:rStyle w:val="shorttext"/>
                <w:rFonts w:ascii="Times New Roman" w:hAnsi="Times New Roman"/>
                <w:sz w:val="16"/>
                <w:szCs w:val="16"/>
              </w:rPr>
              <w:t>of</w:t>
            </w:r>
            <w:proofErr w:type="spellEnd"/>
            <w:r w:rsidRPr="00E16672">
              <w:rPr>
                <w:rStyle w:val="shorttext"/>
                <w:rFonts w:ascii="Times New Roman" w:hAnsi="Times New Roman"/>
                <w:sz w:val="16"/>
                <w:szCs w:val="16"/>
              </w:rPr>
              <w:t xml:space="preserve"> </w:t>
            </w:r>
            <w:proofErr w:type="spellStart"/>
            <w:r w:rsidRPr="00E16672">
              <w:rPr>
                <w:rStyle w:val="shorttext"/>
                <w:rFonts w:ascii="Times New Roman" w:hAnsi="Times New Roman"/>
                <w:sz w:val="16"/>
                <w:szCs w:val="16"/>
              </w:rPr>
              <w:t>management</w:t>
            </w:r>
            <w:proofErr w:type="spellEnd"/>
            <w:r w:rsidRPr="00E16672">
              <w:rPr>
                <w:rFonts w:ascii="Times New Roman" w:hAnsi="Times New Roman"/>
                <w:color w:val="000000"/>
                <w:sz w:val="16"/>
                <w:szCs w:val="16"/>
              </w:rPr>
              <w:t xml:space="preserve">) </w:t>
            </w:r>
            <w:r w:rsidRPr="00E16672">
              <w:rPr>
                <w:rFonts w:ascii="Times New Roman" w:hAnsi="Times New Roman"/>
                <w:color w:val="000000"/>
                <w:sz w:val="16"/>
                <w:szCs w:val="16"/>
                <w:lang w:val="en-US"/>
              </w:rPr>
              <w:t xml:space="preserve">otherwise provided legislation and provide other services in the proceedings of the depositary in accordance with the provisions of the proceedings of the depository approved by the NCSSM on 04.23.2013, № 735, registered with the Ministry of Justice of Ukraine  on 06.27.2013, № 1084 / 23616 (hereinafter - </w:t>
            </w:r>
            <w:proofErr w:type="spellStart"/>
            <w:r w:rsidRPr="00E16672">
              <w:rPr>
                <w:rFonts w:ascii="Times New Roman" w:hAnsi="Times New Roman"/>
                <w:bCs/>
                <w:color w:val="000000"/>
                <w:sz w:val="16"/>
                <w:szCs w:val="16"/>
              </w:rPr>
              <w:t>Regulation</w:t>
            </w:r>
            <w:proofErr w:type="spellEnd"/>
            <w:r w:rsidRPr="00E16672">
              <w:rPr>
                <w:rFonts w:ascii="Times New Roman" w:hAnsi="Times New Roman"/>
                <w:bCs/>
                <w:color w:val="000000"/>
                <w:sz w:val="16"/>
                <w:szCs w:val="16"/>
              </w:rPr>
              <w:t xml:space="preserve"> </w:t>
            </w:r>
            <w:proofErr w:type="spellStart"/>
            <w:r w:rsidRPr="00E16672">
              <w:rPr>
                <w:rFonts w:ascii="Times New Roman" w:hAnsi="Times New Roman"/>
                <w:bCs/>
                <w:color w:val="000000"/>
                <w:sz w:val="16"/>
                <w:szCs w:val="16"/>
              </w:rPr>
              <w:t>on</w:t>
            </w:r>
            <w:proofErr w:type="spellEnd"/>
            <w:r w:rsidRPr="00E16672">
              <w:rPr>
                <w:rFonts w:ascii="Times New Roman" w:hAnsi="Times New Roman"/>
                <w:bCs/>
                <w:color w:val="000000"/>
                <w:sz w:val="16"/>
                <w:szCs w:val="16"/>
              </w:rPr>
              <w:t xml:space="preserve"> </w:t>
            </w:r>
            <w:proofErr w:type="spellStart"/>
            <w:r w:rsidRPr="00E16672">
              <w:rPr>
                <w:rFonts w:ascii="Times New Roman" w:hAnsi="Times New Roman"/>
                <w:bCs/>
                <w:color w:val="000000"/>
                <w:sz w:val="16"/>
                <w:szCs w:val="16"/>
              </w:rPr>
              <w:t>depository</w:t>
            </w:r>
            <w:proofErr w:type="spellEnd"/>
            <w:r w:rsidRPr="00E16672">
              <w:rPr>
                <w:rFonts w:ascii="Times New Roman" w:hAnsi="Times New Roman"/>
                <w:bCs/>
                <w:color w:val="000000"/>
                <w:sz w:val="16"/>
                <w:szCs w:val="16"/>
              </w:rPr>
              <w:t xml:space="preserve"> </w:t>
            </w:r>
            <w:proofErr w:type="spellStart"/>
            <w:r w:rsidRPr="00E16672">
              <w:rPr>
                <w:rFonts w:ascii="Times New Roman" w:hAnsi="Times New Roman"/>
                <w:bCs/>
                <w:color w:val="000000"/>
                <w:sz w:val="16"/>
                <w:szCs w:val="16"/>
              </w:rPr>
              <w:t>activities</w:t>
            </w:r>
            <w:proofErr w:type="spellEnd"/>
            <w:r w:rsidRPr="00E16672">
              <w:rPr>
                <w:rFonts w:ascii="Times New Roman" w:hAnsi="Times New Roman"/>
                <w:color w:val="000000"/>
                <w:sz w:val="16"/>
                <w:szCs w:val="16"/>
                <w:lang w:val="en-US"/>
              </w:rPr>
              <w:t>), and Depositor undertakes to pay depository institution services.</w:t>
            </w:r>
          </w:p>
        </w:tc>
      </w:tr>
      <w:tr w:rsidR="00B335DD" w:rsidRPr="00F23413" w14:paraId="7F7A2C78" w14:textId="77777777" w:rsidTr="005E418B">
        <w:trPr>
          <w:trHeight w:val="192"/>
        </w:trPr>
        <w:tc>
          <w:tcPr>
            <w:tcW w:w="5695" w:type="dxa"/>
            <w:gridSpan w:val="6"/>
            <w:shd w:val="clear" w:color="auto" w:fill="auto"/>
          </w:tcPr>
          <w:p w14:paraId="55CFAF37" w14:textId="77777777" w:rsidR="00B335DD" w:rsidRPr="00E16672" w:rsidRDefault="00B335DD" w:rsidP="00022F5F">
            <w:pPr>
              <w:pStyle w:val="WW-1"/>
              <w:snapToGrid w:val="0"/>
              <w:ind w:left="142" w:right="138"/>
              <w:jc w:val="left"/>
              <w:rPr>
                <w:i w:val="0"/>
                <w:sz w:val="16"/>
                <w:szCs w:val="16"/>
              </w:rPr>
            </w:pPr>
            <w:r w:rsidRPr="00E16672">
              <w:rPr>
                <w:i w:val="0"/>
                <w:sz w:val="16"/>
                <w:szCs w:val="16"/>
              </w:rPr>
              <w:t xml:space="preserve">1.2. </w:t>
            </w:r>
            <w:proofErr w:type="spellStart"/>
            <w:r w:rsidRPr="00E16672">
              <w:rPr>
                <w:i w:val="0"/>
                <w:sz w:val="16"/>
                <w:szCs w:val="16"/>
              </w:rPr>
              <w:t>Цінні</w:t>
            </w:r>
            <w:proofErr w:type="spellEnd"/>
            <w:r w:rsidRPr="00E16672">
              <w:rPr>
                <w:i w:val="0"/>
                <w:sz w:val="16"/>
                <w:szCs w:val="16"/>
              </w:rPr>
              <w:t xml:space="preserve"> </w:t>
            </w:r>
            <w:proofErr w:type="spellStart"/>
            <w:r w:rsidRPr="00E16672">
              <w:rPr>
                <w:i w:val="0"/>
                <w:sz w:val="16"/>
                <w:szCs w:val="16"/>
              </w:rPr>
              <w:t>папери</w:t>
            </w:r>
            <w:proofErr w:type="spellEnd"/>
            <w:r w:rsidRPr="00E16672">
              <w:rPr>
                <w:i w:val="0"/>
                <w:sz w:val="16"/>
                <w:szCs w:val="16"/>
              </w:rPr>
              <w:t xml:space="preserve"> (</w:t>
            </w:r>
            <w:proofErr w:type="spellStart"/>
            <w:r w:rsidRPr="00E16672">
              <w:rPr>
                <w:i w:val="0"/>
                <w:sz w:val="16"/>
                <w:szCs w:val="16"/>
              </w:rPr>
              <w:t>фінансовий</w:t>
            </w:r>
            <w:proofErr w:type="spellEnd"/>
            <w:r w:rsidRPr="00E16672">
              <w:rPr>
                <w:i w:val="0"/>
                <w:sz w:val="16"/>
                <w:szCs w:val="16"/>
              </w:rPr>
              <w:t xml:space="preserve"> актив) Депонента, права на </w:t>
            </w:r>
            <w:proofErr w:type="spellStart"/>
            <w:r w:rsidRPr="00E16672">
              <w:rPr>
                <w:i w:val="0"/>
                <w:sz w:val="16"/>
                <w:szCs w:val="16"/>
              </w:rPr>
              <w:t>які</w:t>
            </w:r>
            <w:proofErr w:type="spellEnd"/>
            <w:r w:rsidRPr="00E16672">
              <w:rPr>
                <w:i w:val="0"/>
                <w:sz w:val="16"/>
                <w:szCs w:val="16"/>
              </w:rPr>
              <w:t xml:space="preserve"> </w:t>
            </w:r>
            <w:proofErr w:type="spellStart"/>
            <w:r w:rsidRPr="00E16672">
              <w:rPr>
                <w:i w:val="0"/>
                <w:sz w:val="16"/>
                <w:szCs w:val="16"/>
              </w:rPr>
              <w:t>обліковуються</w:t>
            </w:r>
            <w:proofErr w:type="spellEnd"/>
            <w:r w:rsidRPr="00E16672">
              <w:rPr>
                <w:i w:val="0"/>
                <w:sz w:val="16"/>
                <w:szCs w:val="16"/>
              </w:rPr>
              <w:t xml:space="preserve"> Депозитарною </w:t>
            </w:r>
            <w:proofErr w:type="spellStart"/>
            <w:r w:rsidRPr="00E16672">
              <w:rPr>
                <w:i w:val="0"/>
                <w:sz w:val="16"/>
                <w:szCs w:val="16"/>
              </w:rPr>
              <w:t>установою</w:t>
            </w:r>
            <w:proofErr w:type="spellEnd"/>
            <w:r w:rsidRPr="00E16672">
              <w:rPr>
                <w:i w:val="0"/>
                <w:sz w:val="16"/>
                <w:szCs w:val="16"/>
              </w:rPr>
              <w:t xml:space="preserve"> </w:t>
            </w:r>
            <w:proofErr w:type="spellStart"/>
            <w:r w:rsidRPr="00E16672">
              <w:rPr>
                <w:i w:val="0"/>
                <w:sz w:val="16"/>
                <w:szCs w:val="16"/>
              </w:rPr>
              <w:t>відповідно</w:t>
            </w:r>
            <w:proofErr w:type="spellEnd"/>
            <w:r w:rsidRPr="00E16672">
              <w:rPr>
                <w:i w:val="0"/>
                <w:sz w:val="16"/>
                <w:szCs w:val="16"/>
              </w:rPr>
              <w:t xml:space="preserve"> до умов </w:t>
            </w:r>
            <w:proofErr w:type="spellStart"/>
            <w:r w:rsidRPr="00E16672">
              <w:rPr>
                <w:i w:val="0"/>
                <w:sz w:val="16"/>
                <w:szCs w:val="16"/>
              </w:rPr>
              <w:t>цього</w:t>
            </w:r>
            <w:proofErr w:type="spellEnd"/>
            <w:r w:rsidRPr="00E16672">
              <w:rPr>
                <w:i w:val="0"/>
                <w:sz w:val="16"/>
                <w:szCs w:val="16"/>
              </w:rPr>
              <w:t xml:space="preserve"> Договору, </w:t>
            </w:r>
            <w:proofErr w:type="spellStart"/>
            <w:r w:rsidRPr="00E16672">
              <w:rPr>
                <w:i w:val="0"/>
                <w:sz w:val="16"/>
                <w:szCs w:val="16"/>
              </w:rPr>
              <w:t>зберігаються</w:t>
            </w:r>
            <w:proofErr w:type="spellEnd"/>
            <w:r w:rsidRPr="00E16672">
              <w:rPr>
                <w:i w:val="0"/>
                <w:sz w:val="16"/>
                <w:szCs w:val="16"/>
              </w:rPr>
              <w:t xml:space="preserve"> </w:t>
            </w:r>
            <w:proofErr w:type="spellStart"/>
            <w:r w:rsidRPr="00E16672">
              <w:rPr>
                <w:i w:val="0"/>
                <w:sz w:val="16"/>
                <w:szCs w:val="16"/>
              </w:rPr>
              <w:t>Центральним</w:t>
            </w:r>
            <w:proofErr w:type="spellEnd"/>
            <w:r w:rsidRPr="00E16672">
              <w:rPr>
                <w:i w:val="0"/>
                <w:sz w:val="16"/>
                <w:szCs w:val="16"/>
              </w:rPr>
              <w:t xml:space="preserve"> </w:t>
            </w:r>
            <w:proofErr w:type="spellStart"/>
            <w:r w:rsidRPr="00E16672">
              <w:rPr>
                <w:i w:val="0"/>
                <w:sz w:val="16"/>
                <w:szCs w:val="16"/>
              </w:rPr>
              <w:t>депозитарієм</w:t>
            </w:r>
            <w:proofErr w:type="spellEnd"/>
            <w:r w:rsidRPr="00E16672">
              <w:rPr>
                <w:i w:val="0"/>
                <w:sz w:val="16"/>
                <w:szCs w:val="16"/>
              </w:rPr>
              <w:t xml:space="preserve"> </w:t>
            </w:r>
            <w:proofErr w:type="spellStart"/>
            <w:r w:rsidRPr="00E16672">
              <w:rPr>
                <w:i w:val="0"/>
                <w:sz w:val="16"/>
                <w:szCs w:val="16"/>
              </w:rPr>
              <w:t>цінних</w:t>
            </w:r>
            <w:proofErr w:type="spellEnd"/>
            <w:r w:rsidRPr="00E16672">
              <w:rPr>
                <w:i w:val="0"/>
                <w:sz w:val="16"/>
                <w:szCs w:val="16"/>
              </w:rPr>
              <w:t xml:space="preserve"> </w:t>
            </w:r>
            <w:proofErr w:type="spellStart"/>
            <w:r w:rsidRPr="00E16672">
              <w:rPr>
                <w:i w:val="0"/>
                <w:sz w:val="16"/>
                <w:szCs w:val="16"/>
              </w:rPr>
              <w:t>паперів</w:t>
            </w:r>
            <w:proofErr w:type="spellEnd"/>
            <w:r w:rsidRPr="00E16672">
              <w:rPr>
                <w:i w:val="0"/>
                <w:sz w:val="16"/>
                <w:szCs w:val="16"/>
              </w:rPr>
              <w:t xml:space="preserve"> </w:t>
            </w:r>
            <w:proofErr w:type="spellStart"/>
            <w:r w:rsidRPr="00E16672">
              <w:rPr>
                <w:i w:val="0"/>
                <w:sz w:val="16"/>
                <w:szCs w:val="16"/>
              </w:rPr>
              <w:t>відповідно</w:t>
            </w:r>
            <w:proofErr w:type="spellEnd"/>
            <w:r w:rsidRPr="00E16672">
              <w:rPr>
                <w:i w:val="0"/>
                <w:sz w:val="16"/>
                <w:szCs w:val="16"/>
              </w:rPr>
              <w:t xml:space="preserve"> до Закону </w:t>
            </w:r>
            <w:proofErr w:type="spellStart"/>
            <w:r w:rsidRPr="00E16672">
              <w:rPr>
                <w:i w:val="0"/>
                <w:sz w:val="16"/>
                <w:szCs w:val="16"/>
              </w:rPr>
              <w:t>України</w:t>
            </w:r>
            <w:proofErr w:type="spellEnd"/>
            <w:r w:rsidRPr="00E16672">
              <w:rPr>
                <w:i w:val="0"/>
                <w:sz w:val="16"/>
                <w:szCs w:val="16"/>
              </w:rPr>
              <w:t xml:space="preserve"> </w:t>
            </w:r>
            <w:r w:rsidR="00022F5F">
              <w:rPr>
                <w:i w:val="0"/>
                <w:sz w:val="16"/>
                <w:szCs w:val="16"/>
              </w:rPr>
              <w:t>"</w:t>
            </w:r>
            <w:r w:rsidRPr="00E16672">
              <w:rPr>
                <w:i w:val="0"/>
                <w:sz w:val="16"/>
                <w:szCs w:val="16"/>
              </w:rPr>
              <w:t xml:space="preserve">Про </w:t>
            </w:r>
            <w:proofErr w:type="spellStart"/>
            <w:r w:rsidRPr="00E16672">
              <w:rPr>
                <w:i w:val="0"/>
                <w:sz w:val="16"/>
                <w:szCs w:val="16"/>
              </w:rPr>
              <w:t>депозитарну</w:t>
            </w:r>
            <w:proofErr w:type="spellEnd"/>
            <w:r w:rsidRPr="00E16672">
              <w:rPr>
                <w:i w:val="0"/>
                <w:sz w:val="16"/>
                <w:szCs w:val="16"/>
              </w:rPr>
              <w:t xml:space="preserve"> систему </w:t>
            </w:r>
            <w:proofErr w:type="spellStart"/>
            <w:r w:rsidRPr="00E16672">
              <w:rPr>
                <w:i w:val="0"/>
                <w:sz w:val="16"/>
                <w:szCs w:val="16"/>
              </w:rPr>
              <w:t>України</w:t>
            </w:r>
            <w:proofErr w:type="spellEnd"/>
            <w:r w:rsidR="00022F5F">
              <w:rPr>
                <w:i w:val="0"/>
                <w:sz w:val="16"/>
                <w:szCs w:val="16"/>
              </w:rPr>
              <w:t>"</w:t>
            </w:r>
            <w:r w:rsidRPr="00E16672">
              <w:rPr>
                <w:i w:val="0"/>
                <w:sz w:val="16"/>
                <w:szCs w:val="16"/>
              </w:rPr>
              <w:t>.</w:t>
            </w:r>
          </w:p>
          <w:p w14:paraId="1B81A37B" w14:textId="77777777" w:rsidR="00B335DD" w:rsidRPr="00E16672" w:rsidRDefault="00B335DD" w:rsidP="00B335DD">
            <w:pPr>
              <w:pStyle w:val="WW-1"/>
              <w:ind w:left="142" w:right="138"/>
              <w:jc w:val="both"/>
              <w:rPr>
                <w:i w:val="0"/>
                <w:sz w:val="16"/>
                <w:szCs w:val="16"/>
              </w:rPr>
            </w:pPr>
          </w:p>
        </w:tc>
        <w:tc>
          <w:tcPr>
            <w:tcW w:w="5495" w:type="dxa"/>
            <w:gridSpan w:val="6"/>
            <w:shd w:val="clear" w:color="auto" w:fill="auto"/>
          </w:tcPr>
          <w:p w14:paraId="576958A2" w14:textId="77777777" w:rsidR="00B335DD" w:rsidRPr="00E16672" w:rsidRDefault="00B335DD" w:rsidP="00B335DD">
            <w:pPr>
              <w:pStyle w:val="WW-0"/>
              <w:snapToGrid w:val="0"/>
              <w:spacing w:after="120"/>
              <w:ind w:left="145" w:right="100"/>
              <w:rPr>
                <w:rFonts w:ascii="Times New Roman" w:hAnsi="Times New Roman"/>
                <w:sz w:val="16"/>
                <w:szCs w:val="16"/>
                <w:lang w:val="en-US"/>
              </w:rPr>
            </w:pPr>
            <w:r w:rsidRPr="00E16672">
              <w:rPr>
                <w:rFonts w:ascii="Times New Roman" w:hAnsi="Times New Roman"/>
                <w:sz w:val="16"/>
                <w:szCs w:val="16"/>
                <w:lang w:val="en-US"/>
              </w:rPr>
              <w:t>1.2. Securities (financial asset) Depositor, the rights to which are accounted for Depository institutions under this Agreement are saved by the Central Securities Depository in accordance with the Law of Ukraine "On the Depository System of Ukraine".</w:t>
            </w:r>
          </w:p>
        </w:tc>
      </w:tr>
      <w:tr w:rsidR="00B335DD" w:rsidRPr="00F23413" w14:paraId="0BFC9B67" w14:textId="77777777" w:rsidTr="005E418B">
        <w:trPr>
          <w:trHeight w:val="192"/>
        </w:trPr>
        <w:tc>
          <w:tcPr>
            <w:tcW w:w="5695" w:type="dxa"/>
            <w:gridSpan w:val="6"/>
            <w:shd w:val="clear" w:color="auto" w:fill="auto"/>
          </w:tcPr>
          <w:p w14:paraId="0D08EDD6" w14:textId="77777777" w:rsidR="00B335DD" w:rsidRPr="00E16672" w:rsidRDefault="00B335DD" w:rsidP="00B335DD">
            <w:pPr>
              <w:pStyle w:val="WW-1"/>
              <w:snapToGrid w:val="0"/>
              <w:ind w:left="142" w:right="138"/>
              <w:jc w:val="both"/>
              <w:rPr>
                <w:i w:val="0"/>
                <w:sz w:val="16"/>
                <w:szCs w:val="16"/>
              </w:rPr>
            </w:pPr>
            <w:r w:rsidRPr="00E16672">
              <w:rPr>
                <w:i w:val="0"/>
                <w:sz w:val="16"/>
                <w:szCs w:val="16"/>
              </w:rPr>
              <w:t xml:space="preserve">1.3. </w:t>
            </w:r>
            <w:proofErr w:type="spellStart"/>
            <w:r w:rsidRPr="00E16672">
              <w:rPr>
                <w:i w:val="0"/>
                <w:sz w:val="16"/>
                <w:szCs w:val="16"/>
              </w:rPr>
              <w:t>Виконання</w:t>
            </w:r>
            <w:proofErr w:type="spellEnd"/>
            <w:r w:rsidRPr="00E16672">
              <w:rPr>
                <w:i w:val="0"/>
                <w:sz w:val="16"/>
                <w:szCs w:val="16"/>
              </w:rPr>
              <w:t xml:space="preserve"> Депозитарною </w:t>
            </w:r>
            <w:proofErr w:type="spellStart"/>
            <w:r w:rsidRPr="00E16672">
              <w:rPr>
                <w:i w:val="0"/>
                <w:sz w:val="16"/>
                <w:szCs w:val="16"/>
              </w:rPr>
              <w:t>установою</w:t>
            </w:r>
            <w:proofErr w:type="spellEnd"/>
            <w:r w:rsidRPr="00E16672">
              <w:rPr>
                <w:i w:val="0"/>
                <w:sz w:val="16"/>
                <w:szCs w:val="16"/>
              </w:rPr>
              <w:t xml:space="preserve"> </w:t>
            </w:r>
            <w:proofErr w:type="spellStart"/>
            <w:r w:rsidRPr="00E16672">
              <w:rPr>
                <w:i w:val="0"/>
                <w:sz w:val="16"/>
                <w:szCs w:val="16"/>
              </w:rPr>
              <w:t>додаткових</w:t>
            </w:r>
            <w:proofErr w:type="spellEnd"/>
            <w:r w:rsidRPr="00E16672">
              <w:rPr>
                <w:i w:val="0"/>
                <w:sz w:val="16"/>
                <w:szCs w:val="16"/>
              </w:rPr>
              <w:t xml:space="preserve"> </w:t>
            </w:r>
            <w:proofErr w:type="spellStart"/>
            <w:r w:rsidRPr="00E16672">
              <w:rPr>
                <w:i w:val="0"/>
                <w:sz w:val="16"/>
                <w:szCs w:val="16"/>
              </w:rPr>
              <w:t>послуг</w:t>
            </w:r>
            <w:proofErr w:type="spellEnd"/>
            <w:r w:rsidRPr="00E16672">
              <w:rPr>
                <w:i w:val="0"/>
                <w:sz w:val="16"/>
                <w:szCs w:val="16"/>
              </w:rPr>
              <w:t xml:space="preserve"> та </w:t>
            </w:r>
            <w:proofErr w:type="spellStart"/>
            <w:r w:rsidRPr="00E16672">
              <w:rPr>
                <w:i w:val="0"/>
                <w:sz w:val="16"/>
                <w:szCs w:val="16"/>
              </w:rPr>
              <w:t>операцій</w:t>
            </w:r>
            <w:proofErr w:type="spellEnd"/>
            <w:r w:rsidRPr="00E16672">
              <w:rPr>
                <w:i w:val="0"/>
                <w:sz w:val="16"/>
                <w:szCs w:val="16"/>
              </w:rPr>
              <w:t xml:space="preserve">, </w:t>
            </w:r>
            <w:proofErr w:type="spellStart"/>
            <w:r w:rsidRPr="00E16672">
              <w:rPr>
                <w:i w:val="0"/>
                <w:sz w:val="16"/>
                <w:szCs w:val="16"/>
              </w:rPr>
              <w:t>що</w:t>
            </w:r>
            <w:proofErr w:type="spellEnd"/>
            <w:r w:rsidRPr="00E16672">
              <w:rPr>
                <w:i w:val="0"/>
                <w:sz w:val="16"/>
                <w:szCs w:val="16"/>
              </w:rPr>
              <w:t xml:space="preserve"> не </w:t>
            </w:r>
            <w:proofErr w:type="spellStart"/>
            <w:r w:rsidRPr="00E16672">
              <w:rPr>
                <w:i w:val="0"/>
                <w:sz w:val="16"/>
                <w:szCs w:val="16"/>
              </w:rPr>
              <w:t>суперечать</w:t>
            </w:r>
            <w:proofErr w:type="spellEnd"/>
            <w:r w:rsidRPr="00E16672">
              <w:rPr>
                <w:i w:val="0"/>
                <w:sz w:val="16"/>
                <w:szCs w:val="16"/>
              </w:rPr>
              <w:t xml:space="preserve"> чинному </w:t>
            </w:r>
            <w:proofErr w:type="spellStart"/>
            <w:r w:rsidRPr="00E16672">
              <w:rPr>
                <w:i w:val="0"/>
                <w:sz w:val="16"/>
                <w:szCs w:val="16"/>
              </w:rPr>
              <w:t>законодавству</w:t>
            </w:r>
            <w:proofErr w:type="spellEnd"/>
            <w:r w:rsidRPr="00E16672">
              <w:rPr>
                <w:i w:val="0"/>
                <w:sz w:val="16"/>
                <w:szCs w:val="16"/>
              </w:rPr>
              <w:t xml:space="preserve"> </w:t>
            </w:r>
            <w:proofErr w:type="spellStart"/>
            <w:r w:rsidRPr="00E16672">
              <w:rPr>
                <w:i w:val="0"/>
                <w:sz w:val="16"/>
                <w:szCs w:val="16"/>
              </w:rPr>
              <w:t>України</w:t>
            </w:r>
            <w:proofErr w:type="spellEnd"/>
            <w:r w:rsidRPr="00E16672">
              <w:rPr>
                <w:i w:val="0"/>
                <w:sz w:val="16"/>
                <w:szCs w:val="16"/>
              </w:rPr>
              <w:t xml:space="preserve">, </w:t>
            </w:r>
            <w:proofErr w:type="spellStart"/>
            <w:r w:rsidRPr="00E16672">
              <w:rPr>
                <w:i w:val="0"/>
                <w:sz w:val="16"/>
                <w:szCs w:val="16"/>
              </w:rPr>
              <w:t>оформлюється</w:t>
            </w:r>
            <w:proofErr w:type="spellEnd"/>
            <w:r w:rsidRPr="00E16672">
              <w:rPr>
                <w:i w:val="0"/>
                <w:sz w:val="16"/>
                <w:szCs w:val="16"/>
              </w:rPr>
              <w:t xml:space="preserve"> </w:t>
            </w:r>
            <w:proofErr w:type="spellStart"/>
            <w:r w:rsidRPr="00E16672">
              <w:rPr>
                <w:i w:val="0"/>
                <w:sz w:val="16"/>
                <w:szCs w:val="16"/>
              </w:rPr>
              <w:t>додатковими</w:t>
            </w:r>
            <w:proofErr w:type="spellEnd"/>
            <w:r w:rsidRPr="00E16672">
              <w:rPr>
                <w:i w:val="0"/>
                <w:sz w:val="16"/>
                <w:szCs w:val="16"/>
              </w:rPr>
              <w:t xml:space="preserve"> </w:t>
            </w:r>
            <w:proofErr w:type="spellStart"/>
            <w:r w:rsidRPr="00E16672">
              <w:rPr>
                <w:i w:val="0"/>
                <w:sz w:val="16"/>
                <w:szCs w:val="16"/>
              </w:rPr>
              <w:t>угодами</w:t>
            </w:r>
            <w:proofErr w:type="spellEnd"/>
            <w:r w:rsidRPr="00E16672">
              <w:rPr>
                <w:i w:val="0"/>
                <w:sz w:val="16"/>
                <w:szCs w:val="16"/>
              </w:rPr>
              <w:t xml:space="preserve">, </w:t>
            </w:r>
            <w:proofErr w:type="spellStart"/>
            <w:r w:rsidRPr="00E16672">
              <w:rPr>
                <w:i w:val="0"/>
                <w:sz w:val="16"/>
                <w:szCs w:val="16"/>
              </w:rPr>
              <w:t>які</w:t>
            </w:r>
            <w:proofErr w:type="spellEnd"/>
            <w:r w:rsidRPr="00E16672">
              <w:rPr>
                <w:i w:val="0"/>
                <w:sz w:val="16"/>
                <w:szCs w:val="16"/>
              </w:rPr>
              <w:t xml:space="preserve"> з моменту </w:t>
            </w:r>
            <w:proofErr w:type="spellStart"/>
            <w:r w:rsidRPr="00E16672">
              <w:rPr>
                <w:i w:val="0"/>
                <w:sz w:val="16"/>
                <w:szCs w:val="16"/>
              </w:rPr>
              <w:t>їх</w:t>
            </w:r>
            <w:proofErr w:type="spellEnd"/>
            <w:r w:rsidRPr="00E16672">
              <w:rPr>
                <w:i w:val="0"/>
                <w:sz w:val="16"/>
                <w:szCs w:val="16"/>
              </w:rPr>
              <w:t xml:space="preserve"> </w:t>
            </w:r>
            <w:proofErr w:type="spellStart"/>
            <w:r w:rsidRPr="00E16672">
              <w:rPr>
                <w:i w:val="0"/>
                <w:sz w:val="16"/>
                <w:szCs w:val="16"/>
              </w:rPr>
              <w:t>підписання</w:t>
            </w:r>
            <w:proofErr w:type="spellEnd"/>
            <w:r w:rsidRPr="00E16672">
              <w:rPr>
                <w:i w:val="0"/>
                <w:sz w:val="16"/>
                <w:szCs w:val="16"/>
              </w:rPr>
              <w:t xml:space="preserve"> </w:t>
            </w:r>
            <w:proofErr w:type="spellStart"/>
            <w:r w:rsidRPr="00E16672">
              <w:rPr>
                <w:i w:val="0"/>
                <w:sz w:val="16"/>
                <w:szCs w:val="16"/>
              </w:rPr>
              <w:t>стають</w:t>
            </w:r>
            <w:proofErr w:type="spellEnd"/>
            <w:r w:rsidRPr="00E16672">
              <w:rPr>
                <w:i w:val="0"/>
                <w:sz w:val="16"/>
                <w:szCs w:val="16"/>
              </w:rPr>
              <w:t xml:space="preserve"> </w:t>
            </w:r>
            <w:proofErr w:type="spellStart"/>
            <w:r w:rsidRPr="00E16672">
              <w:rPr>
                <w:i w:val="0"/>
                <w:sz w:val="16"/>
                <w:szCs w:val="16"/>
              </w:rPr>
              <w:t>невід’ємною</w:t>
            </w:r>
            <w:proofErr w:type="spellEnd"/>
            <w:r w:rsidRPr="00E16672">
              <w:rPr>
                <w:i w:val="0"/>
                <w:sz w:val="16"/>
                <w:szCs w:val="16"/>
              </w:rPr>
              <w:t xml:space="preserve"> </w:t>
            </w:r>
            <w:proofErr w:type="spellStart"/>
            <w:r w:rsidRPr="00E16672">
              <w:rPr>
                <w:i w:val="0"/>
                <w:sz w:val="16"/>
                <w:szCs w:val="16"/>
              </w:rPr>
              <w:t>частиною</w:t>
            </w:r>
            <w:proofErr w:type="spellEnd"/>
            <w:r w:rsidRPr="00E16672">
              <w:rPr>
                <w:i w:val="0"/>
                <w:sz w:val="16"/>
                <w:szCs w:val="16"/>
              </w:rPr>
              <w:t xml:space="preserve"> </w:t>
            </w:r>
            <w:proofErr w:type="spellStart"/>
            <w:r w:rsidRPr="00E16672">
              <w:rPr>
                <w:i w:val="0"/>
                <w:sz w:val="16"/>
                <w:szCs w:val="16"/>
              </w:rPr>
              <w:t>цього</w:t>
            </w:r>
            <w:proofErr w:type="spellEnd"/>
            <w:r w:rsidRPr="00E16672">
              <w:rPr>
                <w:i w:val="0"/>
                <w:sz w:val="16"/>
                <w:szCs w:val="16"/>
              </w:rPr>
              <w:t xml:space="preserve"> Договору. </w:t>
            </w:r>
          </w:p>
          <w:p w14:paraId="2A98D022" w14:textId="77777777" w:rsidR="00B335DD" w:rsidRPr="00E16672" w:rsidRDefault="00B335DD" w:rsidP="00B335DD">
            <w:pPr>
              <w:pStyle w:val="WW-1"/>
              <w:ind w:left="142" w:right="138"/>
              <w:jc w:val="both"/>
              <w:rPr>
                <w:i w:val="0"/>
                <w:sz w:val="16"/>
                <w:szCs w:val="16"/>
              </w:rPr>
            </w:pPr>
          </w:p>
        </w:tc>
        <w:tc>
          <w:tcPr>
            <w:tcW w:w="5495" w:type="dxa"/>
            <w:gridSpan w:val="6"/>
            <w:shd w:val="clear" w:color="auto" w:fill="auto"/>
          </w:tcPr>
          <w:p w14:paraId="43757454" w14:textId="77777777" w:rsidR="00B335DD" w:rsidRPr="00E16672" w:rsidRDefault="00B335DD" w:rsidP="00B335DD">
            <w:pPr>
              <w:pStyle w:val="WW-0"/>
              <w:snapToGrid w:val="0"/>
              <w:spacing w:after="120"/>
              <w:ind w:left="145" w:right="100"/>
              <w:rPr>
                <w:rFonts w:ascii="Times New Roman" w:hAnsi="Times New Roman"/>
                <w:sz w:val="16"/>
                <w:szCs w:val="16"/>
                <w:lang w:val="en-GB"/>
              </w:rPr>
            </w:pPr>
            <w:r w:rsidRPr="00E16672">
              <w:rPr>
                <w:rFonts w:ascii="Times New Roman" w:hAnsi="Times New Roman"/>
                <w:sz w:val="16"/>
                <w:szCs w:val="16"/>
                <w:lang w:val="en-GB"/>
              </w:rPr>
              <w:t xml:space="preserve">1.3. Execution by </w:t>
            </w:r>
            <w:r w:rsidRPr="00E16672">
              <w:rPr>
                <w:rFonts w:ascii="Times New Roman" w:hAnsi="Times New Roman"/>
                <w:sz w:val="16"/>
                <w:szCs w:val="16"/>
                <w:lang w:val="en-US"/>
              </w:rPr>
              <w:t xml:space="preserve">Depository institution </w:t>
            </w:r>
            <w:r w:rsidRPr="00E16672">
              <w:rPr>
                <w:rFonts w:ascii="Times New Roman" w:hAnsi="Times New Roman"/>
                <w:sz w:val="16"/>
                <w:szCs w:val="16"/>
                <w:lang w:val="en-GB"/>
              </w:rPr>
              <w:t>of the additional services and operations, which are not prohibited by the current legislation of Ukraine, shall be executed as the additional agreements, that since the signing of becoming an integral part of this Agreement.</w:t>
            </w:r>
          </w:p>
        </w:tc>
      </w:tr>
      <w:tr w:rsidR="00B335DD" w:rsidRPr="00F23413" w14:paraId="344A568D" w14:textId="77777777" w:rsidTr="005E418B">
        <w:trPr>
          <w:trHeight w:val="192"/>
        </w:trPr>
        <w:tc>
          <w:tcPr>
            <w:tcW w:w="5695" w:type="dxa"/>
            <w:gridSpan w:val="6"/>
            <w:shd w:val="clear" w:color="auto" w:fill="auto"/>
          </w:tcPr>
          <w:p w14:paraId="74E26C92" w14:textId="77777777" w:rsidR="00B335DD" w:rsidRPr="00E16672" w:rsidRDefault="00B335DD" w:rsidP="00B335DD">
            <w:pPr>
              <w:snapToGrid w:val="0"/>
              <w:ind w:left="142" w:right="138" w:firstLine="40"/>
              <w:jc w:val="center"/>
              <w:rPr>
                <w:rFonts w:ascii="Times New Roman" w:eastAsia="Arial" w:hAnsi="Times New Roman"/>
                <w:b/>
                <w:sz w:val="16"/>
                <w:szCs w:val="16"/>
              </w:rPr>
            </w:pPr>
            <w:r w:rsidRPr="00E16672">
              <w:rPr>
                <w:rFonts w:ascii="Times New Roman" w:eastAsia="Arial" w:hAnsi="Times New Roman"/>
                <w:b/>
                <w:sz w:val="16"/>
                <w:szCs w:val="16"/>
              </w:rPr>
              <w:t>2. ПРАВА ТА ОБОВ’ЯЗКИ СТОРІН.</w:t>
            </w:r>
          </w:p>
          <w:p w14:paraId="2D6C190C" w14:textId="77777777" w:rsidR="00B335DD" w:rsidRPr="00E16672" w:rsidRDefault="00B335DD" w:rsidP="00B335DD">
            <w:pPr>
              <w:ind w:left="142" w:right="138" w:firstLine="40"/>
              <w:rPr>
                <w:rFonts w:ascii="Times New Roman" w:eastAsia="Arial" w:hAnsi="Times New Roman"/>
                <w:sz w:val="16"/>
                <w:szCs w:val="16"/>
              </w:rPr>
            </w:pPr>
          </w:p>
          <w:p w14:paraId="2709AC84" w14:textId="77777777" w:rsidR="00B335DD" w:rsidRPr="00E16672" w:rsidRDefault="00B335DD" w:rsidP="00B335DD">
            <w:pPr>
              <w:ind w:left="142" w:right="138" w:firstLine="40"/>
              <w:rPr>
                <w:rFonts w:ascii="Times New Roman" w:eastAsia="Arial" w:hAnsi="Times New Roman"/>
                <w:b/>
                <w:sz w:val="16"/>
                <w:szCs w:val="16"/>
              </w:rPr>
            </w:pPr>
            <w:r w:rsidRPr="00E16672">
              <w:rPr>
                <w:rFonts w:ascii="Times New Roman" w:eastAsia="Arial" w:hAnsi="Times New Roman"/>
                <w:b/>
                <w:sz w:val="16"/>
                <w:szCs w:val="16"/>
              </w:rPr>
              <w:t xml:space="preserve">2.1. </w:t>
            </w:r>
            <w:proofErr w:type="spellStart"/>
            <w:r w:rsidRPr="00E16672">
              <w:rPr>
                <w:rFonts w:ascii="Times New Roman" w:eastAsia="Arial" w:hAnsi="Times New Roman"/>
                <w:b/>
                <w:sz w:val="16"/>
                <w:szCs w:val="16"/>
              </w:rPr>
              <w:t>Депозитарна</w:t>
            </w:r>
            <w:proofErr w:type="spellEnd"/>
            <w:r w:rsidRPr="00E16672">
              <w:rPr>
                <w:rFonts w:ascii="Times New Roman" w:eastAsia="Arial" w:hAnsi="Times New Roman"/>
                <w:b/>
                <w:sz w:val="16"/>
                <w:szCs w:val="16"/>
              </w:rPr>
              <w:t xml:space="preserve"> </w:t>
            </w:r>
            <w:proofErr w:type="spellStart"/>
            <w:r w:rsidRPr="00E16672">
              <w:rPr>
                <w:rFonts w:ascii="Times New Roman" w:eastAsia="Arial" w:hAnsi="Times New Roman"/>
                <w:b/>
                <w:sz w:val="16"/>
                <w:szCs w:val="16"/>
              </w:rPr>
              <w:t>установа</w:t>
            </w:r>
            <w:proofErr w:type="spellEnd"/>
            <w:r w:rsidRPr="00E16672">
              <w:rPr>
                <w:rFonts w:ascii="Times New Roman" w:eastAsia="Arial" w:hAnsi="Times New Roman"/>
                <w:b/>
                <w:sz w:val="16"/>
                <w:szCs w:val="16"/>
              </w:rPr>
              <w:t xml:space="preserve"> </w:t>
            </w:r>
            <w:proofErr w:type="spellStart"/>
            <w:r w:rsidRPr="00E16672">
              <w:rPr>
                <w:rFonts w:ascii="Times New Roman" w:eastAsia="Arial" w:hAnsi="Times New Roman"/>
                <w:b/>
                <w:sz w:val="16"/>
                <w:szCs w:val="16"/>
              </w:rPr>
              <w:t>зобов’язана</w:t>
            </w:r>
            <w:proofErr w:type="spellEnd"/>
            <w:r w:rsidRPr="00E16672">
              <w:rPr>
                <w:rFonts w:ascii="Times New Roman" w:eastAsia="Arial" w:hAnsi="Times New Roman"/>
                <w:b/>
                <w:sz w:val="16"/>
                <w:szCs w:val="16"/>
              </w:rPr>
              <w:t>:</w:t>
            </w:r>
          </w:p>
          <w:p w14:paraId="392BFE8C" w14:textId="77777777" w:rsidR="00B335DD" w:rsidRPr="00E16672" w:rsidRDefault="00B335DD" w:rsidP="00B335DD">
            <w:pPr>
              <w:ind w:left="142" w:right="138" w:firstLine="40"/>
              <w:rPr>
                <w:rFonts w:ascii="Times New Roman" w:eastAsia="Arial" w:hAnsi="Times New Roman"/>
                <w:sz w:val="16"/>
                <w:szCs w:val="16"/>
              </w:rPr>
            </w:pPr>
          </w:p>
          <w:p w14:paraId="67D11C58" w14:textId="77777777" w:rsidR="00B335DD" w:rsidRPr="00E16672" w:rsidRDefault="00B335DD" w:rsidP="00B335DD">
            <w:pPr>
              <w:tabs>
                <w:tab w:val="left" w:pos="851"/>
              </w:tabs>
              <w:ind w:left="142" w:right="138" w:firstLine="40"/>
              <w:rPr>
                <w:rFonts w:ascii="Times New Roman" w:eastAsia="Arial" w:hAnsi="Times New Roman"/>
                <w:sz w:val="16"/>
                <w:szCs w:val="16"/>
              </w:rPr>
            </w:pPr>
            <w:r w:rsidRPr="00E16672">
              <w:rPr>
                <w:rFonts w:ascii="Times New Roman" w:eastAsia="Arial" w:hAnsi="Times New Roman"/>
                <w:sz w:val="16"/>
                <w:szCs w:val="16"/>
              </w:rPr>
              <w:t xml:space="preserve">2.1.1 </w:t>
            </w:r>
            <w:proofErr w:type="spellStart"/>
            <w:r w:rsidRPr="00E16672">
              <w:rPr>
                <w:rFonts w:ascii="Times New Roman" w:eastAsia="Arial" w:hAnsi="Times New Roman"/>
                <w:sz w:val="16"/>
                <w:szCs w:val="16"/>
              </w:rPr>
              <w:t>Відкрити</w:t>
            </w:r>
            <w:proofErr w:type="spellEnd"/>
            <w:r w:rsidRPr="00E16672">
              <w:rPr>
                <w:rFonts w:ascii="Times New Roman" w:eastAsia="Arial" w:hAnsi="Times New Roman"/>
                <w:sz w:val="16"/>
                <w:szCs w:val="16"/>
              </w:rPr>
              <w:t xml:space="preserve"> Депоненту </w:t>
            </w:r>
            <w:proofErr w:type="spellStart"/>
            <w:r w:rsidRPr="00E16672">
              <w:rPr>
                <w:rFonts w:ascii="Times New Roman" w:eastAsia="Arial" w:hAnsi="Times New Roman"/>
                <w:sz w:val="16"/>
                <w:szCs w:val="16"/>
              </w:rPr>
              <w:t>рахунок</w:t>
            </w:r>
            <w:proofErr w:type="spellEnd"/>
            <w:r w:rsidRPr="00E16672">
              <w:rPr>
                <w:rFonts w:ascii="Times New Roman" w:eastAsia="Arial" w:hAnsi="Times New Roman"/>
                <w:sz w:val="16"/>
                <w:szCs w:val="16"/>
              </w:rPr>
              <w:t xml:space="preserve"> </w:t>
            </w:r>
            <w:r w:rsidR="00C22309" w:rsidRPr="00E16672">
              <w:rPr>
                <w:rFonts w:ascii="Times New Roman" w:eastAsia="Arial" w:hAnsi="Times New Roman"/>
                <w:sz w:val="16"/>
                <w:szCs w:val="16"/>
              </w:rPr>
              <w:t xml:space="preserve">в </w:t>
            </w:r>
            <w:proofErr w:type="spellStart"/>
            <w:r w:rsidR="00C22309" w:rsidRPr="00E16672">
              <w:rPr>
                <w:rFonts w:ascii="Times New Roman" w:eastAsia="Arial" w:hAnsi="Times New Roman"/>
                <w:sz w:val="16"/>
                <w:szCs w:val="16"/>
              </w:rPr>
              <w:t>цін</w:t>
            </w:r>
            <w:r w:rsidRPr="00E16672">
              <w:rPr>
                <w:rFonts w:ascii="Times New Roman" w:eastAsia="Arial" w:hAnsi="Times New Roman"/>
                <w:sz w:val="16"/>
                <w:szCs w:val="16"/>
              </w:rPr>
              <w:t>них</w:t>
            </w:r>
            <w:proofErr w:type="spellEnd"/>
            <w:r w:rsidRPr="00E16672">
              <w:rPr>
                <w:rFonts w:ascii="Times New Roman" w:eastAsia="Arial" w:hAnsi="Times New Roman"/>
                <w:sz w:val="16"/>
                <w:szCs w:val="16"/>
              </w:rPr>
              <w:t xml:space="preserve"> </w:t>
            </w:r>
            <w:proofErr w:type="spellStart"/>
            <w:r w:rsidRPr="00E16672">
              <w:rPr>
                <w:rFonts w:ascii="Times New Roman" w:eastAsia="Arial" w:hAnsi="Times New Roman"/>
                <w:sz w:val="16"/>
                <w:szCs w:val="16"/>
              </w:rPr>
              <w:t>паперах</w:t>
            </w:r>
            <w:proofErr w:type="spellEnd"/>
            <w:r w:rsidRPr="00E16672">
              <w:rPr>
                <w:rFonts w:ascii="Times New Roman" w:eastAsia="Arial" w:hAnsi="Times New Roman"/>
                <w:sz w:val="16"/>
                <w:szCs w:val="16"/>
              </w:rPr>
              <w:t xml:space="preserve"> </w:t>
            </w:r>
            <w:proofErr w:type="spellStart"/>
            <w:r w:rsidRPr="00E16672">
              <w:rPr>
                <w:rFonts w:ascii="Times New Roman" w:eastAsia="Arial" w:hAnsi="Times New Roman"/>
                <w:i/>
                <w:sz w:val="16"/>
                <w:szCs w:val="16"/>
              </w:rPr>
              <w:t>протягом</w:t>
            </w:r>
            <w:proofErr w:type="spellEnd"/>
            <w:r w:rsidRPr="00E16672">
              <w:rPr>
                <w:rFonts w:ascii="Times New Roman" w:eastAsia="Arial" w:hAnsi="Times New Roman"/>
                <w:i/>
                <w:sz w:val="16"/>
                <w:szCs w:val="16"/>
              </w:rPr>
              <w:t xml:space="preserve"> </w:t>
            </w:r>
            <w:proofErr w:type="spellStart"/>
            <w:r w:rsidRPr="00E16672">
              <w:rPr>
                <w:rFonts w:ascii="Times New Roman" w:eastAsia="Arial" w:hAnsi="Times New Roman"/>
                <w:i/>
                <w:sz w:val="16"/>
                <w:szCs w:val="16"/>
              </w:rPr>
              <w:t>п'яти</w:t>
            </w:r>
            <w:proofErr w:type="spellEnd"/>
            <w:r w:rsidRPr="00E16672">
              <w:rPr>
                <w:rFonts w:ascii="Times New Roman" w:eastAsia="Arial" w:hAnsi="Times New Roman"/>
                <w:i/>
                <w:sz w:val="16"/>
                <w:szCs w:val="16"/>
              </w:rPr>
              <w:t xml:space="preserve"> </w:t>
            </w:r>
            <w:proofErr w:type="spellStart"/>
            <w:r w:rsidRPr="00E16672">
              <w:rPr>
                <w:rFonts w:ascii="Times New Roman" w:eastAsia="Arial" w:hAnsi="Times New Roman"/>
                <w:i/>
                <w:sz w:val="16"/>
                <w:szCs w:val="16"/>
              </w:rPr>
              <w:t>робочих</w:t>
            </w:r>
            <w:proofErr w:type="spellEnd"/>
            <w:r w:rsidRPr="00E16672">
              <w:rPr>
                <w:rFonts w:ascii="Times New Roman" w:eastAsia="Arial" w:hAnsi="Times New Roman"/>
                <w:i/>
                <w:sz w:val="16"/>
                <w:szCs w:val="16"/>
              </w:rPr>
              <w:t xml:space="preserve"> </w:t>
            </w:r>
            <w:proofErr w:type="spellStart"/>
            <w:r w:rsidRPr="00E16672">
              <w:rPr>
                <w:rFonts w:ascii="Times New Roman" w:eastAsia="Arial" w:hAnsi="Times New Roman"/>
                <w:i/>
                <w:sz w:val="16"/>
                <w:szCs w:val="16"/>
              </w:rPr>
              <w:t>днів</w:t>
            </w:r>
            <w:proofErr w:type="spellEnd"/>
            <w:r w:rsidRPr="00E16672">
              <w:rPr>
                <w:rFonts w:ascii="Times New Roman" w:eastAsia="Arial" w:hAnsi="Times New Roman"/>
                <w:sz w:val="16"/>
                <w:szCs w:val="16"/>
              </w:rPr>
              <w:t xml:space="preserve"> </w:t>
            </w:r>
            <w:proofErr w:type="spellStart"/>
            <w:r w:rsidRPr="00E16672">
              <w:rPr>
                <w:rFonts w:ascii="Times New Roman" w:eastAsia="Arial" w:hAnsi="Times New Roman"/>
                <w:sz w:val="16"/>
                <w:szCs w:val="16"/>
              </w:rPr>
              <w:t>після</w:t>
            </w:r>
            <w:proofErr w:type="spellEnd"/>
            <w:r w:rsidRPr="00E16672">
              <w:rPr>
                <w:rFonts w:ascii="Times New Roman" w:eastAsia="Arial" w:hAnsi="Times New Roman"/>
                <w:sz w:val="16"/>
                <w:szCs w:val="16"/>
              </w:rPr>
              <w:t xml:space="preserve"> </w:t>
            </w:r>
            <w:proofErr w:type="spellStart"/>
            <w:r w:rsidRPr="00E16672">
              <w:rPr>
                <w:rFonts w:ascii="Times New Roman" w:eastAsia="Arial" w:hAnsi="Times New Roman"/>
                <w:sz w:val="16"/>
                <w:szCs w:val="16"/>
              </w:rPr>
              <w:t>подання</w:t>
            </w:r>
            <w:proofErr w:type="spellEnd"/>
            <w:r w:rsidRPr="00E16672">
              <w:rPr>
                <w:rFonts w:ascii="Times New Roman" w:eastAsia="Arial" w:hAnsi="Times New Roman"/>
                <w:sz w:val="16"/>
                <w:szCs w:val="16"/>
              </w:rPr>
              <w:t xml:space="preserve"> Депонентом </w:t>
            </w:r>
            <w:proofErr w:type="spellStart"/>
            <w:r w:rsidRPr="00E16672">
              <w:rPr>
                <w:rFonts w:ascii="Times New Roman" w:eastAsia="Arial" w:hAnsi="Times New Roman"/>
                <w:sz w:val="16"/>
                <w:szCs w:val="16"/>
              </w:rPr>
              <w:t>визначених</w:t>
            </w:r>
            <w:proofErr w:type="spellEnd"/>
            <w:r w:rsidRPr="00E16672">
              <w:rPr>
                <w:rFonts w:ascii="Times New Roman" w:eastAsia="Arial" w:hAnsi="Times New Roman"/>
                <w:sz w:val="16"/>
                <w:szCs w:val="16"/>
              </w:rPr>
              <w:t xml:space="preserve"> </w:t>
            </w:r>
            <w:proofErr w:type="spellStart"/>
            <w:r w:rsidRPr="00E16672">
              <w:rPr>
                <w:rFonts w:ascii="Times New Roman" w:eastAsia="Arial" w:hAnsi="Times New Roman"/>
                <w:sz w:val="16"/>
                <w:szCs w:val="16"/>
              </w:rPr>
              <w:t>законодавством</w:t>
            </w:r>
            <w:proofErr w:type="spellEnd"/>
            <w:r w:rsidRPr="00E16672">
              <w:rPr>
                <w:rFonts w:ascii="Times New Roman" w:eastAsia="Arial" w:hAnsi="Times New Roman"/>
                <w:sz w:val="16"/>
                <w:szCs w:val="16"/>
              </w:rPr>
              <w:t xml:space="preserve"> </w:t>
            </w:r>
            <w:proofErr w:type="spellStart"/>
            <w:r w:rsidRPr="00E16672">
              <w:rPr>
                <w:rFonts w:ascii="Times New Roman" w:eastAsia="Arial" w:hAnsi="Times New Roman"/>
                <w:sz w:val="16"/>
                <w:szCs w:val="16"/>
              </w:rPr>
              <w:t>документів</w:t>
            </w:r>
            <w:proofErr w:type="spellEnd"/>
            <w:r w:rsidRPr="00E16672">
              <w:rPr>
                <w:rFonts w:ascii="Times New Roman" w:eastAsia="Arial" w:hAnsi="Times New Roman"/>
                <w:sz w:val="16"/>
                <w:szCs w:val="16"/>
              </w:rPr>
              <w:t xml:space="preserve"> для </w:t>
            </w:r>
            <w:proofErr w:type="spellStart"/>
            <w:r w:rsidRPr="00E16672">
              <w:rPr>
                <w:rFonts w:ascii="Times New Roman" w:eastAsia="Arial" w:hAnsi="Times New Roman"/>
                <w:sz w:val="16"/>
                <w:szCs w:val="16"/>
              </w:rPr>
              <w:t>відкриття</w:t>
            </w:r>
            <w:proofErr w:type="spellEnd"/>
            <w:r w:rsidRPr="00E16672">
              <w:rPr>
                <w:rFonts w:ascii="Times New Roman" w:eastAsia="Arial" w:hAnsi="Times New Roman"/>
                <w:sz w:val="16"/>
                <w:szCs w:val="16"/>
              </w:rPr>
              <w:t xml:space="preserve"> </w:t>
            </w:r>
            <w:proofErr w:type="spellStart"/>
            <w:r w:rsidRPr="00E16672">
              <w:rPr>
                <w:rFonts w:ascii="Times New Roman" w:eastAsia="Arial" w:hAnsi="Times New Roman"/>
                <w:sz w:val="16"/>
                <w:szCs w:val="16"/>
              </w:rPr>
              <w:t>рахунку</w:t>
            </w:r>
            <w:proofErr w:type="spellEnd"/>
            <w:r w:rsidRPr="00E16672">
              <w:rPr>
                <w:rFonts w:ascii="Times New Roman" w:eastAsia="Arial" w:hAnsi="Times New Roman"/>
                <w:sz w:val="16"/>
                <w:szCs w:val="16"/>
              </w:rPr>
              <w:t xml:space="preserve"> в </w:t>
            </w:r>
            <w:proofErr w:type="spellStart"/>
            <w:r w:rsidRPr="00E16672">
              <w:rPr>
                <w:rFonts w:ascii="Times New Roman" w:eastAsia="Arial" w:hAnsi="Times New Roman"/>
                <w:sz w:val="16"/>
                <w:szCs w:val="16"/>
              </w:rPr>
              <w:t>цінних</w:t>
            </w:r>
            <w:proofErr w:type="spellEnd"/>
            <w:r w:rsidRPr="00E16672">
              <w:rPr>
                <w:rFonts w:ascii="Times New Roman" w:eastAsia="Arial" w:hAnsi="Times New Roman"/>
                <w:sz w:val="16"/>
                <w:szCs w:val="16"/>
              </w:rPr>
              <w:t xml:space="preserve"> </w:t>
            </w:r>
            <w:proofErr w:type="spellStart"/>
            <w:r w:rsidRPr="00E16672">
              <w:rPr>
                <w:rFonts w:ascii="Times New Roman" w:eastAsia="Arial" w:hAnsi="Times New Roman"/>
                <w:sz w:val="16"/>
                <w:szCs w:val="16"/>
              </w:rPr>
              <w:t>паперах</w:t>
            </w:r>
            <w:proofErr w:type="spellEnd"/>
            <w:r w:rsidRPr="00E16672">
              <w:rPr>
                <w:rFonts w:ascii="Times New Roman" w:eastAsia="Arial" w:hAnsi="Times New Roman"/>
                <w:sz w:val="16"/>
                <w:szCs w:val="16"/>
              </w:rPr>
              <w:t xml:space="preserve">. </w:t>
            </w:r>
            <w:proofErr w:type="spellStart"/>
            <w:r w:rsidRPr="00E16672">
              <w:rPr>
                <w:rFonts w:ascii="Times New Roman" w:eastAsia="Arial" w:hAnsi="Times New Roman"/>
                <w:sz w:val="16"/>
                <w:szCs w:val="16"/>
              </w:rPr>
              <w:t>Якщо</w:t>
            </w:r>
            <w:proofErr w:type="spellEnd"/>
            <w:r w:rsidRPr="00E16672">
              <w:rPr>
                <w:rFonts w:ascii="Times New Roman" w:eastAsia="Arial" w:hAnsi="Times New Roman"/>
                <w:sz w:val="16"/>
                <w:szCs w:val="16"/>
              </w:rPr>
              <w:t xml:space="preserve"> Депонент є </w:t>
            </w:r>
            <w:proofErr w:type="spellStart"/>
            <w:r w:rsidRPr="00E16672">
              <w:rPr>
                <w:rFonts w:ascii="Times New Roman" w:eastAsia="Arial" w:hAnsi="Times New Roman"/>
                <w:sz w:val="16"/>
                <w:szCs w:val="16"/>
              </w:rPr>
              <w:t>платником</w:t>
            </w:r>
            <w:proofErr w:type="spellEnd"/>
            <w:r w:rsidRPr="00E16672">
              <w:rPr>
                <w:rFonts w:ascii="Times New Roman" w:eastAsia="Arial" w:hAnsi="Times New Roman"/>
                <w:sz w:val="16"/>
                <w:szCs w:val="16"/>
              </w:rPr>
              <w:t xml:space="preserve"> </w:t>
            </w:r>
            <w:proofErr w:type="spellStart"/>
            <w:r w:rsidRPr="00E16672">
              <w:rPr>
                <w:rFonts w:ascii="Times New Roman" w:eastAsia="Arial" w:hAnsi="Times New Roman"/>
                <w:sz w:val="16"/>
                <w:szCs w:val="16"/>
              </w:rPr>
              <w:t>податків</w:t>
            </w:r>
            <w:proofErr w:type="spellEnd"/>
            <w:r w:rsidRPr="00E16672">
              <w:rPr>
                <w:rFonts w:ascii="Times New Roman" w:eastAsia="Arial" w:hAnsi="Times New Roman"/>
                <w:sz w:val="16"/>
                <w:szCs w:val="16"/>
              </w:rPr>
              <w:t xml:space="preserve"> в </w:t>
            </w:r>
            <w:proofErr w:type="spellStart"/>
            <w:r w:rsidRPr="00E16672">
              <w:rPr>
                <w:rFonts w:ascii="Times New Roman" w:eastAsia="Arial" w:hAnsi="Times New Roman"/>
                <w:sz w:val="16"/>
                <w:szCs w:val="16"/>
              </w:rPr>
              <w:t>Україні</w:t>
            </w:r>
            <w:proofErr w:type="spellEnd"/>
            <w:r w:rsidRPr="00E16672">
              <w:rPr>
                <w:rFonts w:ascii="Times New Roman" w:eastAsia="Arial" w:hAnsi="Times New Roman"/>
                <w:sz w:val="16"/>
                <w:szCs w:val="16"/>
              </w:rPr>
              <w:t xml:space="preserve">, </w:t>
            </w:r>
            <w:proofErr w:type="spellStart"/>
            <w:r w:rsidRPr="00E16672">
              <w:rPr>
                <w:rFonts w:ascii="Times New Roman" w:eastAsia="Arial" w:hAnsi="Times New Roman"/>
                <w:sz w:val="16"/>
                <w:szCs w:val="16"/>
              </w:rPr>
              <w:t>видаткові</w:t>
            </w:r>
            <w:proofErr w:type="spellEnd"/>
            <w:r w:rsidRPr="00E16672">
              <w:rPr>
                <w:rFonts w:ascii="Times New Roman" w:eastAsia="Arial" w:hAnsi="Times New Roman"/>
                <w:sz w:val="16"/>
                <w:szCs w:val="16"/>
              </w:rPr>
              <w:t xml:space="preserve"> </w:t>
            </w:r>
            <w:proofErr w:type="spellStart"/>
            <w:r w:rsidRPr="00E16672">
              <w:rPr>
                <w:rFonts w:ascii="Times New Roman" w:eastAsia="Arial" w:hAnsi="Times New Roman"/>
                <w:sz w:val="16"/>
                <w:szCs w:val="16"/>
              </w:rPr>
              <w:t>операції</w:t>
            </w:r>
            <w:proofErr w:type="spellEnd"/>
            <w:r w:rsidRPr="00E16672">
              <w:rPr>
                <w:rFonts w:ascii="Times New Roman" w:eastAsia="Arial" w:hAnsi="Times New Roman"/>
                <w:sz w:val="16"/>
                <w:szCs w:val="16"/>
              </w:rPr>
              <w:t xml:space="preserve"> на </w:t>
            </w:r>
            <w:proofErr w:type="spellStart"/>
            <w:r w:rsidRPr="00E16672">
              <w:rPr>
                <w:rFonts w:ascii="Times New Roman" w:eastAsia="Arial" w:hAnsi="Times New Roman"/>
                <w:sz w:val="16"/>
                <w:szCs w:val="16"/>
              </w:rPr>
              <w:t>рахунку</w:t>
            </w:r>
            <w:proofErr w:type="spellEnd"/>
            <w:r w:rsidRPr="00E16672">
              <w:rPr>
                <w:rFonts w:ascii="Times New Roman" w:eastAsia="Arial" w:hAnsi="Times New Roman"/>
                <w:sz w:val="16"/>
                <w:szCs w:val="16"/>
              </w:rPr>
              <w:t xml:space="preserve"> </w:t>
            </w:r>
            <w:r w:rsidR="00C22309" w:rsidRPr="00E16672">
              <w:rPr>
                <w:rFonts w:ascii="Times New Roman" w:eastAsia="Arial" w:hAnsi="Times New Roman"/>
                <w:sz w:val="16"/>
                <w:szCs w:val="16"/>
              </w:rPr>
              <w:t xml:space="preserve">в </w:t>
            </w:r>
            <w:proofErr w:type="spellStart"/>
            <w:r w:rsidR="00C22309" w:rsidRPr="00E16672">
              <w:rPr>
                <w:rFonts w:ascii="Times New Roman" w:eastAsia="Arial" w:hAnsi="Times New Roman"/>
                <w:sz w:val="16"/>
                <w:szCs w:val="16"/>
              </w:rPr>
              <w:t>цін</w:t>
            </w:r>
            <w:r w:rsidRPr="00E16672">
              <w:rPr>
                <w:rFonts w:ascii="Times New Roman" w:eastAsia="Arial" w:hAnsi="Times New Roman"/>
                <w:sz w:val="16"/>
                <w:szCs w:val="16"/>
              </w:rPr>
              <w:t>них</w:t>
            </w:r>
            <w:proofErr w:type="spellEnd"/>
            <w:r w:rsidRPr="00E16672">
              <w:rPr>
                <w:rFonts w:ascii="Times New Roman" w:eastAsia="Arial" w:hAnsi="Times New Roman"/>
                <w:sz w:val="16"/>
                <w:szCs w:val="16"/>
              </w:rPr>
              <w:t xml:space="preserve"> </w:t>
            </w:r>
            <w:proofErr w:type="spellStart"/>
            <w:r w:rsidRPr="00E16672">
              <w:rPr>
                <w:rFonts w:ascii="Times New Roman" w:eastAsia="Arial" w:hAnsi="Times New Roman"/>
                <w:sz w:val="16"/>
                <w:szCs w:val="16"/>
              </w:rPr>
              <w:t>паперах</w:t>
            </w:r>
            <w:proofErr w:type="spellEnd"/>
            <w:r w:rsidRPr="00E16672">
              <w:rPr>
                <w:rFonts w:ascii="Times New Roman" w:eastAsia="Arial" w:hAnsi="Times New Roman"/>
                <w:sz w:val="16"/>
                <w:szCs w:val="16"/>
              </w:rPr>
              <w:t xml:space="preserve"> </w:t>
            </w:r>
            <w:proofErr w:type="spellStart"/>
            <w:r w:rsidRPr="00E16672">
              <w:rPr>
                <w:rFonts w:ascii="Times New Roman" w:eastAsia="Arial" w:hAnsi="Times New Roman"/>
                <w:sz w:val="16"/>
                <w:szCs w:val="16"/>
              </w:rPr>
              <w:t>здійснюються</w:t>
            </w:r>
            <w:proofErr w:type="spellEnd"/>
            <w:r w:rsidRPr="00E16672">
              <w:rPr>
                <w:rFonts w:ascii="Times New Roman" w:eastAsia="Arial" w:hAnsi="Times New Roman"/>
                <w:sz w:val="16"/>
                <w:szCs w:val="16"/>
              </w:rPr>
              <w:t xml:space="preserve"> </w:t>
            </w:r>
            <w:proofErr w:type="spellStart"/>
            <w:r w:rsidRPr="00E16672">
              <w:rPr>
                <w:rFonts w:ascii="Times New Roman" w:eastAsia="Arial" w:hAnsi="Times New Roman"/>
                <w:sz w:val="16"/>
                <w:szCs w:val="16"/>
              </w:rPr>
              <w:t>після</w:t>
            </w:r>
            <w:proofErr w:type="spellEnd"/>
            <w:r w:rsidRPr="00E16672">
              <w:rPr>
                <w:rFonts w:ascii="Times New Roman" w:eastAsia="Arial" w:hAnsi="Times New Roman"/>
                <w:sz w:val="16"/>
                <w:szCs w:val="16"/>
              </w:rPr>
              <w:t xml:space="preserve"> </w:t>
            </w:r>
            <w:proofErr w:type="spellStart"/>
            <w:r w:rsidRPr="00E16672">
              <w:rPr>
                <w:rFonts w:ascii="Times New Roman" w:eastAsia="Arial" w:hAnsi="Times New Roman"/>
                <w:sz w:val="16"/>
                <w:szCs w:val="16"/>
              </w:rPr>
              <w:t>узяття</w:t>
            </w:r>
            <w:proofErr w:type="spellEnd"/>
            <w:r w:rsidRPr="00E16672">
              <w:rPr>
                <w:rFonts w:ascii="Times New Roman" w:eastAsia="Arial" w:hAnsi="Times New Roman"/>
                <w:sz w:val="16"/>
                <w:szCs w:val="16"/>
              </w:rPr>
              <w:t xml:space="preserve"> </w:t>
            </w:r>
            <w:proofErr w:type="spellStart"/>
            <w:r w:rsidRPr="00E16672">
              <w:rPr>
                <w:rFonts w:ascii="Times New Roman" w:eastAsia="Arial" w:hAnsi="Times New Roman"/>
                <w:sz w:val="16"/>
                <w:szCs w:val="16"/>
              </w:rPr>
              <w:t>рахунку</w:t>
            </w:r>
            <w:proofErr w:type="spellEnd"/>
            <w:r w:rsidRPr="00E16672">
              <w:rPr>
                <w:rFonts w:ascii="Times New Roman" w:eastAsia="Arial" w:hAnsi="Times New Roman"/>
                <w:sz w:val="16"/>
                <w:szCs w:val="16"/>
              </w:rPr>
              <w:t xml:space="preserve"> на </w:t>
            </w:r>
            <w:proofErr w:type="spellStart"/>
            <w:r w:rsidRPr="00E16672">
              <w:rPr>
                <w:rFonts w:ascii="Times New Roman" w:eastAsia="Arial" w:hAnsi="Times New Roman"/>
                <w:sz w:val="16"/>
                <w:szCs w:val="16"/>
              </w:rPr>
              <w:t>облік</w:t>
            </w:r>
            <w:proofErr w:type="spellEnd"/>
            <w:r w:rsidRPr="00E16672">
              <w:rPr>
                <w:rFonts w:ascii="Times New Roman" w:eastAsia="Arial" w:hAnsi="Times New Roman"/>
                <w:sz w:val="16"/>
                <w:szCs w:val="16"/>
              </w:rPr>
              <w:t xml:space="preserve"> в органах </w:t>
            </w:r>
            <w:proofErr w:type="spellStart"/>
            <w:r w:rsidRPr="00E16672">
              <w:rPr>
                <w:rFonts w:ascii="Times New Roman" w:eastAsia="Arial" w:hAnsi="Times New Roman"/>
                <w:sz w:val="16"/>
                <w:szCs w:val="16"/>
              </w:rPr>
              <w:t>державної</w:t>
            </w:r>
            <w:proofErr w:type="spellEnd"/>
            <w:r w:rsidRPr="00E16672">
              <w:rPr>
                <w:rFonts w:ascii="Times New Roman" w:eastAsia="Arial" w:hAnsi="Times New Roman"/>
                <w:sz w:val="16"/>
                <w:szCs w:val="16"/>
              </w:rPr>
              <w:t xml:space="preserve"> </w:t>
            </w:r>
            <w:proofErr w:type="spellStart"/>
            <w:r w:rsidRPr="00E16672">
              <w:rPr>
                <w:rFonts w:ascii="Times New Roman" w:eastAsia="Arial" w:hAnsi="Times New Roman"/>
                <w:sz w:val="16"/>
                <w:szCs w:val="16"/>
              </w:rPr>
              <w:t>податкової</w:t>
            </w:r>
            <w:proofErr w:type="spellEnd"/>
            <w:r w:rsidRPr="00E16672">
              <w:rPr>
                <w:rFonts w:ascii="Times New Roman" w:eastAsia="Arial" w:hAnsi="Times New Roman"/>
                <w:sz w:val="16"/>
                <w:szCs w:val="16"/>
              </w:rPr>
              <w:t xml:space="preserve"> </w:t>
            </w:r>
            <w:proofErr w:type="spellStart"/>
            <w:r w:rsidRPr="00E16672">
              <w:rPr>
                <w:rFonts w:ascii="Times New Roman" w:eastAsia="Arial" w:hAnsi="Times New Roman"/>
                <w:sz w:val="16"/>
                <w:szCs w:val="16"/>
              </w:rPr>
              <w:t>служби</w:t>
            </w:r>
            <w:proofErr w:type="spellEnd"/>
            <w:r w:rsidRPr="00E16672">
              <w:rPr>
                <w:rFonts w:ascii="Times New Roman" w:eastAsia="Arial" w:hAnsi="Times New Roman"/>
                <w:sz w:val="16"/>
                <w:szCs w:val="16"/>
              </w:rPr>
              <w:t>.</w:t>
            </w:r>
          </w:p>
          <w:p w14:paraId="5C3953DA" w14:textId="77777777" w:rsidR="00B335DD" w:rsidRPr="00E16672" w:rsidRDefault="00B335DD" w:rsidP="00B335DD">
            <w:pPr>
              <w:pStyle w:val="210"/>
              <w:ind w:left="142" w:right="138" w:firstLine="40"/>
              <w:rPr>
                <w:rFonts w:ascii="Times New Roman" w:eastAsia="Arial" w:hAnsi="Times New Roman"/>
                <w:sz w:val="16"/>
                <w:szCs w:val="16"/>
                <w:lang w:val="ru-RU"/>
              </w:rPr>
            </w:pPr>
          </w:p>
        </w:tc>
        <w:tc>
          <w:tcPr>
            <w:tcW w:w="5495" w:type="dxa"/>
            <w:gridSpan w:val="6"/>
            <w:shd w:val="clear" w:color="auto" w:fill="auto"/>
          </w:tcPr>
          <w:p w14:paraId="1E52C404" w14:textId="77777777" w:rsidR="00B335DD" w:rsidRPr="00E16672" w:rsidRDefault="00B335DD" w:rsidP="00B335DD">
            <w:pPr>
              <w:snapToGrid w:val="0"/>
              <w:ind w:left="145" w:right="100"/>
              <w:jc w:val="center"/>
              <w:rPr>
                <w:rFonts w:ascii="Times New Roman" w:hAnsi="Times New Roman"/>
                <w:b/>
                <w:bCs/>
                <w:caps/>
                <w:sz w:val="16"/>
                <w:szCs w:val="16"/>
                <w:lang w:val="en-US"/>
              </w:rPr>
            </w:pPr>
            <w:r w:rsidRPr="00E16672">
              <w:rPr>
                <w:rFonts w:ascii="Times New Roman" w:hAnsi="Times New Roman"/>
                <w:b/>
                <w:bCs/>
                <w:sz w:val="16"/>
                <w:szCs w:val="16"/>
                <w:lang w:val="en-GB"/>
              </w:rPr>
              <w:t>2</w:t>
            </w:r>
            <w:r w:rsidRPr="00E16672">
              <w:rPr>
                <w:rFonts w:ascii="Times New Roman" w:hAnsi="Times New Roman"/>
                <w:b/>
                <w:bCs/>
                <w:sz w:val="16"/>
                <w:szCs w:val="16"/>
                <w:lang w:val="en-US"/>
              </w:rPr>
              <w:t xml:space="preserve">. </w:t>
            </w:r>
            <w:r w:rsidRPr="00E16672">
              <w:rPr>
                <w:rFonts w:ascii="Times New Roman" w:hAnsi="Times New Roman"/>
                <w:b/>
                <w:bCs/>
                <w:caps/>
                <w:sz w:val="16"/>
                <w:szCs w:val="16"/>
                <w:lang w:val="en-US"/>
              </w:rPr>
              <w:t>RIGHTS and RESPONSIBILITIES of the Parties</w:t>
            </w:r>
          </w:p>
          <w:p w14:paraId="68367D8E" w14:textId="77777777" w:rsidR="00B335DD" w:rsidRPr="00E16672" w:rsidRDefault="00B335DD" w:rsidP="00B335DD">
            <w:pPr>
              <w:ind w:left="145" w:right="100"/>
              <w:jc w:val="center"/>
              <w:rPr>
                <w:rFonts w:ascii="Times New Roman" w:hAnsi="Times New Roman"/>
                <w:b/>
                <w:bCs/>
                <w:sz w:val="16"/>
                <w:szCs w:val="16"/>
                <w:lang w:val="en-US"/>
              </w:rPr>
            </w:pPr>
          </w:p>
          <w:p w14:paraId="0D7BA1F5" w14:textId="77777777" w:rsidR="00B335DD" w:rsidRPr="00E16672" w:rsidRDefault="00B335DD" w:rsidP="00B54A93">
            <w:pPr>
              <w:ind w:left="145" w:right="100" w:firstLine="3"/>
              <w:rPr>
                <w:rFonts w:ascii="Times New Roman" w:hAnsi="Times New Roman"/>
                <w:b/>
                <w:bCs/>
                <w:sz w:val="16"/>
                <w:szCs w:val="16"/>
                <w:lang w:val="en-US"/>
              </w:rPr>
            </w:pPr>
            <w:r w:rsidRPr="00E16672">
              <w:rPr>
                <w:rFonts w:ascii="Times New Roman" w:hAnsi="Times New Roman"/>
                <w:b/>
                <w:bCs/>
                <w:sz w:val="16"/>
                <w:szCs w:val="16"/>
                <w:lang w:val="en-US"/>
              </w:rPr>
              <w:t>2.1. Depository institution shall be obliged:</w:t>
            </w:r>
          </w:p>
          <w:p w14:paraId="5B00E0A9" w14:textId="77777777" w:rsidR="00B335DD" w:rsidRPr="00E16672" w:rsidRDefault="00B335DD" w:rsidP="00B335DD">
            <w:pPr>
              <w:ind w:left="145" w:right="100"/>
              <w:rPr>
                <w:rFonts w:ascii="Times New Roman" w:hAnsi="Times New Roman"/>
                <w:b/>
                <w:bCs/>
                <w:sz w:val="16"/>
                <w:szCs w:val="16"/>
                <w:lang w:val="en-US"/>
              </w:rPr>
            </w:pPr>
          </w:p>
          <w:p w14:paraId="4BB79720" w14:textId="77777777" w:rsidR="00B335DD" w:rsidRPr="00E16672" w:rsidRDefault="00B335DD" w:rsidP="00B335DD">
            <w:pPr>
              <w:pStyle w:val="23"/>
              <w:ind w:left="145" w:right="100" w:firstLine="0"/>
              <w:rPr>
                <w:rFonts w:ascii="Times New Roman" w:eastAsia="Arial" w:hAnsi="Times New Roman"/>
                <w:sz w:val="16"/>
                <w:szCs w:val="16"/>
                <w:lang w:val="en-US"/>
              </w:rPr>
            </w:pPr>
            <w:r w:rsidRPr="00E16672">
              <w:rPr>
                <w:rFonts w:ascii="Times New Roman" w:eastAsia="Arial" w:hAnsi="Times New Roman"/>
                <w:sz w:val="16"/>
                <w:szCs w:val="16"/>
                <w:lang w:val="en-US"/>
              </w:rPr>
              <w:t xml:space="preserve">2.1.1. To open for Depositor the account in securities </w:t>
            </w:r>
            <w:r w:rsidRPr="00E16672">
              <w:rPr>
                <w:rFonts w:ascii="Times New Roman" w:eastAsia="Arial" w:hAnsi="Times New Roman"/>
                <w:i/>
                <w:sz w:val="16"/>
                <w:szCs w:val="16"/>
                <w:lang w:val="en-US"/>
              </w:rPr>
              <w:t>within five working days</w:t>
            </w:r>
            <w:r w:rsidRPr="00E16672">
              <w:rPr>
                <w:rFonts w:ascii="Times New Roman" w:eastAsia="Arial" w:hAnsi="Times New Roman"/>
                <w:sz w:val="16"/>
                <w:szCs w:val="16"/>
                <w:lang w:val="en-US"/>
              </w:rPr>
              <w:t xml:space="preserve"> after the receiving the documents, </w:t>
            </w:r>
            <w:proofErr w:type="spellStart"/>
            <w:r w:rsidRPr="00E16672">
              <w:rPr>
                <w:rFonts w:ascii="Times New Roman" w:eastAsia="Arial" w:hAnsi="Times New Roman"/>
                <w:sz w:val="16"/>
                <w:szCs w:val="16"/>
                <w:lang w:val="en-US"/>
              </w:rPr>
              <w:t>definited</w:t>
            </w:r>
            <w:proofErr w:type="spellEnd"/>
            <w:r w:rsidRPr="00E16672">
              <w:rPr>
                <w:rFonts w:ascii="Times New Roman" w:eastAsia="Arial" w:hAnsi="Times New Roman"/>
                <w:sz w:val="16"/>
                <w:szCs w:val="16"/>
                <w:lang w:val="en-US"/>
              </w:rPr>
              <w:t xml:space="preserve"> by the legislation documents for open account in securities. If the Depositor is a taxpayer in Ukraine, expenditure operations on a securities account made after taking account registered in the State Tax Service.</w:t>
            </w:r>
          </w:p>
          <w:p w14:paraId="5D2D7765" w14:textId="77777777" w:rsidR="00B335DD" w:rsidRPr="00E16672" w:rsidRDefault="00B335DD" w:rsidP="00B335DD">
            <w:pPr>
              <w:pStyle w:val="23"/>
              <w:ind w:left="145" w:right="100" w:firstLine="0"/>
              <w:rPr>
                <w:rFonts w:ascii="Times New Roman" w:hAnsi="Times New Roman"/>
                <w:sz w:val="16"/>
                <w:szCs w:val="16"/>
                <w:lang w:val="en-US"/>
              </w:rPr>
            </w:pPr>
          </w:p>
        </w:tc>
      </w:tr>
      <w:tr w:rsidR="00B335DD" w:rsidRPr="00F23413" w14:paraId="5A5FA77E" w14:textId="77777777" w:rsidTr="005E418B">
        <w:trPr>
          <w:trHeight w:val="192"/>
        </w:trPr>
        <w:tc>
          <w:tcPr>
            <w:tcW w:w="5695" w:type="dxa"/>
            <w:gridSpan w:val="6"/>
            <w:shd w:val="clear" w:color="auto" w:fill="auto"/>
          </w:tcPr>
          <w:p w14:paraId="22E7388A" w14:textId="77777777" w:rsidR="00B335DD" w:rsidRPr="00E16672" w:rsidRDefault="00B335DD" w:rsidP="00B335DD">
            <w:pPr>
              <w:tabs>
                <w:tab w:val="left" w:pos="993"/>
              </w:tabs>
              <w:snapToGrid w:val="0"/>
              <w:ind w:left="142" w:right="138" w:firstLine="40"/>
              <w:rPr>
                <w:rFonts w:ascii="Times New Roman" w:eastAsia="Arial" w:hAnsi="Times New Roman"/>
                <w:strike/>
                <w:color w:val="FF0000"/>
                <w:sz w:val="16"/>
                <w:szCs w:val="16"/>
                <w:lang w:val="en-US"/>
              </w:rPr>
            </w:pPr>
            <w:r w:rsidRPr="00E16672">
              <w:rPr>
                <w:rFonts w:ascii="Times New Roman" w:eastAsia="Arial" w:hAnsi="Times New Roman"/>
                <w:sz w:val="16"/>
                <w:szCs w:val="16"/>
                <w:lang w:val="en-US"/>
              </w:rPr>
              <w:t xml:space="preserve">2.1.2. </w:t>
            </w:r>
            <w:r w:rsidRPr="00E16672">
              <w:rPr>
                <w:rFonts w:ascii="Times New Roman" w:hAnsi="Times New Roman"/>
                <w:sz w:val="16"/>
                <w:szCs w:val="16"/>
                <w:lang w:val="uk-UA"/>
              </w:rPr>
              <w:t>Ознайомити Депонента з внутрішніми документами (витягами з внутрішніх документів, діючими тарифами</w:t>
            </w:r>
            <w:r w:rsidRPr="00E16672">
              <w:rPr>
                <w:rFonts w:ascii="Times New Roman" w:hAnsi="Times New Roman"/>
                <w:bCs/>
                <w:sz w:val="16"/>
                <w:szCs w:val="16"/>
                <w:lang w:val="uk-UA"/>
              </w:rPr>
              <w:t xml:space="preserve"> на депозитарні операції з цінними паперами Депозитарної установи (далі – тарифи Депозитарної установи)</w:t>
            </w:r>
            <w:r w:rsidRPr="00E16672">
              <w:rPr>
                <w:rFonts w:ascii="Times New Roman" w:hAnsi="Times New Roman"/>
                <w:sz w:val="16"/>
                <w:szCs w:val="16"/>
                <w:lang w:val="uk-UA"/>
              </w:rPr>
              <w:t xml:space="preserve">, що є чинними на час підписання цього Договору) Депозитарної установи, які регламентують відносини Депонента та Депозитарної установи стосовно порядку виконання розпоряджень Депонента, отримання виписок про стан рахунку </w:t>
            </w:r>
            <w:r w:rsidR="00C22309" w:rsidRPr="00E16672">
              <w:rPr>
                <w:rFonts w:ascii="Times New Roman" w:hAnsi="Times New Roman"/>
                <w:sz w:val="16"/>
                <w:szCs w:val="16"/>
                <w:lang w:val="uk-UA"/>
              </w:rPr>
              <w:t>в цін</w:t>
            </w:r>
            <w:r w:rsidRPr="00E16672">
              <w:rPr>
                <w:rFonts w:ascii="Times New Roman" w:hAnsi="Times New Roman"/>
                <w:sz w:val="16"/>
                <w:szCs w:val="16"/>
                <w:lang w:val="uk-UA"/>
              </w:rPr>
              <w:t xml:space="preserve">них </w:t>
            </w:r>
            <w:r w:rsidRPr="00E16672">
              <w:rPr>
                <w:rFonts w:ascii="Times New Roman" w:hAnsi="Times New Roman"/>
                <w:color w:val="000000"/>
                <w:sz w:val="16"/>
                <w:szCs w:val="16"/>
                <w:lang w:val="uk-UA"/>
              </w:rPr>
              <w:t xml:space="preserve">паперах Депонента та про операції з цінними паперами, інформаційних довідок про незавершені операції з цінними паперами за рахунками в цінних паперах Депонента та інших інформаційних довідок, шляхом оприлюднення на </w:t>
            </w:r>
            <w:r w:rsidRPr="00E16672">
              <w:rPr>
                <w:rFonts w:ascii="Times New Roman" w:hAnsi="Times New Roman"/>
                <w:bCs/>
                <w:sz w:val="16"/>
                <w:szCs w:val="16"/>
                <w:lang w:val="uk-UA"/>
              </w:rPr>
              <w:t xml:space="preserve">веб-сторінці Депозитарної установи </w:t>
            </w:r>
            <w:r w:rsidR="00E16672">
              <w:rPr>
                <w:rFonts w:ascii="Times New Roman" w:hAnsi="Times New Roman"/>
                <w:color w:val="000000"/>
                <w:sz w:val="16"/>
                <w:szCs w:val="16"/>
                <w:lang w:val="uk-UA"/>
              </w:rPr>
              <w:t>http://comex.uafin.net</w:t>
            </w:r>
            <w:r w:rsidR="00676EEA" w:rsidRPr="00E16672">
              <w:rPr>
                <w:rFonts w:ascii="Times New Roman" w:hAnsi="Times New Roman"/>
                <w:color w:val="000000"/>
                <w:sz w:val="16"/>
                <w:szCs w:val="16"/>
                <w:lang w:val="uk-UA"/>
              </w:rPr>
              <w:t>/</w:t>
            </w:r>
            <w:r w:rsidRPr="00E16672">
              <w:rPr>
                <w:rFonts w:ascii="Times New Roman" w:hAnsi="Times New Roman"/>
                <w:bCs/>
                <w:sz w:val="16"/>
                <w:szCs w:val="16"/>
                <w:lang w:val="uk-UA"/>
              </w:rPr>
              <w:t xml:space="preserve">, та в подальшому ознайомлювати Депонента зі змінами та доповненнями до цих документів (витягів з внутрішніх документів, діючих тарифів Депозитарної установи) шляхом розміщення протягом </w:t>
            </w:r>
            <w:r w:rsidRPr="00E16672">
              <w:rPr>
                <w:rFonts w:ascii="Times New Roman" w:hAnsi="Times New Roman"/>
                <w:bCs/>
                <w:i/>
                <w:sz w:val="16"/>
                <w:szCs w:val="16"/>
                <w:lang w:val="uk-UA"/>
              </w:rPr>
              <w:t>п'яти</w:t>
            </w:r>
            <w:r w:rsidRPr="00E16672">
              <w:rPr>
                <w:rFonts w:ascii="Times New Roman" w:hAnsi="Times New Roman"/>
                <w:bCs/>
                <w:sz w:val="16"/>
                <w:szCs w:val="16"/>
                <w:lang w:val="uk-UA"/>
              </w:rPr>
              <w:t xml:space="preserve"> робочих днів після затвердження змін відповідної інформації та тексту внутрішніх документів (витягів з внутрішніх документів) на веб-сторінці Депозитарної установи </w:t>
            </w:r>
            <w:r w:rsidR="00E16672">
              <w:rPr>
                <w:rFonts w:ascii="Times New Roman" w:hAnsi="Times New Roman"/>
                <w:color w:val="000000"/>
                <w:sz w:val="16"/>
                <w:szCs w:val="16"/>
                <w:lang w:val="uk-UA"/>
              </w:rPr>
              <w:t>http://comex.uafin.net</w:t>
            </w:r>
            <w:r w:rsidR="00676EEA" w:rsidRPr="00E16672">
              <w:rPr>
                <w:rFonts w:ascii="Times New Roman" w:hAnsi="Times New Roman"/>
                <w:color w:val="000000"/>
                <w:sz w:val="16"/>
                <w:szCs w:val="16"/>
                <w:lang w:val="uk-UA"/>
              </w:rPr>
              <w:t>/</w:t>
            </w:r>
            <w:r w:rsidRPr="00E16672">
              <w:rPr>
                <w:rFonts w:ascii="Times New Roman" w:hAnsi="Times New Roman"/>
                <w:bCs/>
                <w:sz w:val="16"/>
                <w:szCs w:val="16"/>
                <w:lang w:val="en-US"/>
              </w:rPr>
              <w:t>.</w:t>
            </w:r>
          </w:p>
          <w:p w14:paraId="1B70CD64" w14:textId="77777777" w:rsidR="00B335DD" w:rsidRPr="00E16672" w:rsidRDefault="00B335DD" w:rsidP="00B335DD">
            <w:pPr>
              <w:pStyle w:val="210"/>
              <w:snapToGrid w:val="0"/>
              <w:ind w:left="142" w:right="138" w:firstLine="40"/>
              <w:rPr>
                <w:rFonts w:ascii="Times New Roman" w:eastAsia="Arial" w:hAnsi="Times New Roman"/>
                <w:sz w:val="16"/>
                <w:szCs w:val="16"/>
              </w:rPr>
            </w:pPr>
          </w:p>
        </w:tc>
        <w:tc>
          <w:tcPr>
            <w:tcW w:w="5495" w:type="dxa"/>
            <w:gridSpan w:val="6"/>
            <w:shd w:val="clear" w:color="auto" w:fill="auto"/>
          </w:tcPr>
          <w:p w14:paraId="51844533" w14:textId="77777777" w:rsidR="00B335DD" w:rsidRPr="00E16672" w:rsidRDefault="00B335DD" w:rsidP="00B335DD">
            <w:pPr>
              <w:pStyle w:val="23"/>
              <w:snapToGrid w:val="0"/>
              <w:ind w:left="145" w:right="100" w:firstLine="0"/>
              <w:rPr>
                <w:rFonts w:ascii="Times New Roman" w:eastAsia="Arial" w:hAnsi="Times New Roman"/>
                <w:sz w:val="16"/>
                <w:szCs w:val="16"/>
              </w:rPr>
            </w:pPr>
            <w:r w:rsidRPr="00E16672">
              <w:rPr>
                <w:rFonts w:ascii="Times New Roman" w:eastAsia="Arial" w:hAnsi="Times New Roman"/>
                <w:sz w:val="16"/>
                <w:szCs w:val="16"/>
                <w:lang w:val="en-US"/>
              </w:rPr>
              <w:t>2.1.2.</w:t>
            </w:r>
            <w:r w:rsidRPr="00E16672">
              <w:rPr>
                <w:rFonts w:ascii="Times New Roman" w:eastAsia="Arial" w:hAnsi="Times New Roman"/>
                <w:sz w:val="16"/>
                <w:szCs w:val="16"/>
                <w:lang w:val="en-GB"/>
              </w:rPr>
              <w:t xml:space="preserve"> </w:t>
            </w:r>
            <w:r w:rsidRPr="00E16672">
              <w:rPr>
                <w:rFonts w:ascii="Times New Roman" w:eastAsia="Arial" w:hAnsi="Times New Roman"/>
                <w:sz w:val="16"/>
                <w:szCs w:val="16"/>
                <w:lang w:val="en-US"/>
              </w:rPr>
              <w:t>To acquaint Depositor with internal documents (excerpts from internal documents, applicable tariffs</w:t>
            </w:r>
            <w:r w:rsidRPr="00E16672">
              <w:rPr>
                <w:rFonts w:ascii="Times New Roman" w:hAnsi="Times New Roman"/>
                <w:b/>
                <w:sz w:val="18"/>
                <w:szCs w:val="18"/>
                <w:lang w:val="en-US"/>
              </w:rPr>
              <w:t xml:space="preserve"> </w:t>
            </w:r>
            <w:r w:rsidRPr="00E16672">
              <w:rPr>
                <w:rFonts w:ascii="Times New Roman" w:hAnsi="Times New Roman"/>
                <w:sz w:val="16"/>
                <w:szCs w:val="18"/>
                <w:lang w:val="en-US"/>
              </w:rPr>
              <w:t>for depositary operations with securities</w:t>
            </w:r>
            <w:r w:rsidRPr="00E16672">
              <w:rPr>
                <w:rFonts w:ascii="Times New Roman" w:hAnsi="Times New Roman"/>
                <w:sz w:val="16"/>
                <w:szCs w:val="18"/>
              </w:rPr>
              <w:t xml:space="preserve"> (</w:t>
            </w:r>
            <w:r w:rsidRPr="00E16672">
              <w:rPr>
                <w:rFonts w:ascii="Times New Roman" w:hAnsi="Times New Roman"/>
                <w:sz w:val="16"/>
                <w:szCs w:val="18"/>
                <w:lang w:val="en-US"/>
              </w:rPr>
              <w:t xml:space="preserve">hereinafter - tariffs of </w:t>
            </w:r>
            <w:r w:rsidRPr="00E16672">
              <w:rPr>
                <w:rFonts w:ascii="Times New Roman" w:hAnsi="Times New Roman"/>
                <w:bCs/>
                <w:sz w:val="16"/>
                <w:szCs w:val="18"/>
                <w:lang w:val="en-US"/>
              </w:rPr>
              <w:t>Depository institution</w:t>
            </w:r>
            <w:r w:rsidRPr="00E16672">
              <w:rPr>
                <w:rFonts w:ascii="Times New Roman" w:hAnsi="Times New Roman"/>
                <w:sz w:val="16"/>
                <w:szCs w:val="18"/>
              </w:rPr>
              <w:t>)</w:t>
            </w:r>
            <w:r w:rsidRPr="00E16672">
              <w:rPr>
                <w:rFonts w:ascii="Times New Roman" w:eastAsia="Arial" w:hAnsi="Times New Roman"/>
                <w:sz w:val="14"/>
                <w:szCs w:val="16"/>
                <w:lang w:val="en-US"/>
              </w:rPr>
              <w:t xml:space="preserve"> </w:t>
            </w:r>
            <w:r w:rsidRPr="00E16672">
              <w:rPr>
                <w:rFonts w:ascii="Times New Roman" w:eastAsia="Arial" w:hAnsi="Times New Roman"/>
                <w:sz w:val="16"/>
                <w:szCs w:val="16"/>
                <w:lang w:val="en-US"/>
              </w:rPr>
              <w:t xml:space="preserve">in force at the time of signature of this Agreement) of Depository institutions that govern the relationship the Depositor and Depository institutions with regard to the order of execution of orders of Depositor, obtain extracts of account in securities of Depositor and the securities transactions, information sheets about unfinished transactions in securities on the securities account of the Depositor and other information sheets, by placement on a website of Depository institution </w:t>
            </w:r>
            <w:r w:rsidR="00E16672">
              <w:rPr>
                <w:rFonts w:ascii="Times New Roman" w:hAnsi="Times New Roman"/>
                <w:color w:val="000000"/>
                <w:sz w:val="16"/>
                <w:szCs w:val="16"/>
              </w:rPr>
              <w:t>http://comex.uafin.net</w:t>
            </w:r>
            <w:r w:rsidR="00676EEA" w:rsidRPr="00E16672">
              <w:rPr>
                <w:rFonts w:ascii="Times New Roman" w:hAnsi="Times New Roman"/>
                <w:color w:val="000000"/>
                <w:sz w:val="16"/>
                <w:szCs w:val="16"/>
              </w:rPr>
              <w:t>/</w:t>
            </w:r>
            <w:r w:rsidRPr="00E16672">
              <w:rPr>
                <w:rFonts w:ascii="Times New Roman" w:eastAsia="Arial" w:hAnsi="Times New Roman"/>
                <w:sz w:val="16"/>
                <w:szCs w:val="16"/>
                <w:lang w:val="en-US"/>
              </w:rPr>
              <w:t xml:space="preserve">, and further acquaint Depositor with changes and additions to these documents (excerpts from internal documents, current tariffs </w:t>
            </w:r>
            <w:r w:rsidRPr="00E16672">
              <w:rPr>
                <w:rFonts w:ascii="Times New Roman" w:hAnsi="Times New Roman"/>
                <w:sz w:val="16"/>
                <w:szCs w:val="18"/>
                <w:lang w:val="en-US"/>
              </w:rPr>
              <w:t xml:space="preserve">of </w:t>
            </w:r>
            <w:r w:rsidRPr="00E16672">
              <w:rPr>
                <w:rFonts w:ascii="Times New Roman" w:hAnsi="Times New Roman"/>
                <w:bCs/>
                <w:sz w:val="16"/>
                <w:szCs w:val="18"/>
                <w:lang w:val="en-US"/>
              </w:rPr>
              <w:t>Depository institution</w:t>
            </w:r>
            <w:r w:rsidRPr="00E16672">
              <w:rPr>
                <w:rFonts w:ascii="Times New Roman" w:eastAsia="Arial" w:hAnsi="Times New Roman"/>
                <w:sz w:val="16"/>
                <w:szCs w:val="16"/>
                <w:lang w:val="en-US"/>
              </w:rPr>
              <w:t>)</w:t>
            </w:r>
            <w:r w:rsidRPr="00E16672">
              <w:rPr>
                <w:rFonts w:ascii="Times New Roman" w:eastAsia="Arial" w:hAnsi="Times New Roman"/>
                <w:sz w:val="16"/>
                <w:szCs w:val="16"/>
                <w:lang w:val="en-GB"/>
              </w:rPr>
              <w:t xml:space="preserve"> </w:t>
            </w:r>
            <w:r w:rsidRPr="00E16672">
              <w:rPr>
                <w:rFonts w:ascii="Times New Roman" w:eastAsia="Arial" w:hAnsi="Times New Roman"/>
                <w:sz w:val="16"/>
                <w:szCs w:val="16"/>
                <w:lang w:val="en-US"/>
              </w:rPr>
              <w:t xml:space="preserve">by placing over </w:t>
            </w:r>
            <w:r w:rsidRPr="00E16672">
              <w:rPr>
                <w:rFonts w:ascii="Times New Roman" w:eastAsia="Arial" w:hAnsi="Times New Roman"/>
                <w:i/>
                <w:sz w:val="16"/>
                <w:szCs w:val="16"/>
                <w:lang w:val="en-US"/>
              </w:rPr>
              <w:t>five business days</w:t>
            </w:r>
            <w:r w:rsidRPr="00E16672">
              <w:rPr>
                <w:rFonts w:ascii="Times New Roman" w:eastAsia="Arial" w:hAnsi="Times New Roman"/>
                <w:sz w:val="16"/>
                <w:szCs w:val="16"/>
                <w:lang w:val="en-US"/>
              </w:rPr>
              <w:t xml:space="preserve"> after approval of changes relevant information and internal documents of text (excerpts from internal documents) on a website of Depository institution </w:t>
            </w:r>
            <w:r w:rsidR="00E16672">
              <w:rPr>
                <w:rFonts w:ascii="Times New Roman" w:hAnsi="Times New Roman"/>
                <w:color w:val="000000"/>
                <w:sz w:val="16"/>
                <w:szCs w:val="16"/>
              </w:rPr>
              <w:t>http://comex.uafin.net</w:t>
            </w:r>
            <w:r w:rsidR="00676EEA" w:rsidRPr="00E16672">
              <w:rPr>
                <w:rFonts w:ascii="Times New Roman" w:hAnsi="Times New Roman"/>
                <w:color w:val="000000"/>
                <w:sz w:val="16"/>
                <w:szCs w:val="16"/>
              </w:rPr>
              <w:t>/</w:t>
            </w:r>
            <w:r w:rsidRPr="00E16672">
              <w:rPr>
                <w:rFonts w:ascii="Times New Roman" w:eastAsia="Arial" w:hAnsi="Times New Roman"/>
                <w:sz w:val="16"/>
                <w:szCs w:val="16"/>
                <w:lang w:val="en-US"/>
              </w:rPr>
              <w:t>.</w:t>
            </w:r>
          </w:p>
        </w:tc>
      </w:tr>
      <w:tr w:rsidR="00B335DD" w:rsidRPr="00F23413" w14:paraId="15A0DEFB" w14:textId="77777777" w:rsidTr="005E418B">
        <w:trPr>
          <w:trHeight w:val="192"/>
        </w:trPr>
        <w:tc>
          <w:tcPr>
            <w:tcW w:w="5695" w:type="dxa"/>
            <w:gridSpan w:val="6"/>
            <w:shd w:val="clear" w:color="auto" w:fill="auto"/>
          </w:tcPr>
          <w:p w14:paraId="22A9712E" w14:textId="77777777" w:rsidR="00B335DD" w:rsidRPr="00E16672" w:rsidRDefault="00B335DD" w:rsidP="00B335DD">
            <w:pPr>
              <w:tabs>
                <w:tab w:val="left" w:pos="851"/>
              </w:tabs>
              <w:snapToGrid w:val="0"/>
              <w:ind w:left="182" w:right="138" w:firstLine="0"/>
              <w:rPr>
                <w:rFonts w:ascii="Times New Roman" w:eastAsia="Arial" w:hAnsi="Times New Roman"/>
                <w:sz w:val="16"/>
                <w:szCs w:val="16"/>
              </w:rPr>
            </w:pPr>
            <w:r w:rsidRPr="00E16672">
              <w:rPr>
                <w:rFonts w:ascii="Times New Roman" w:eastAsia="Arial" w:hAnsi="Times New Roman"/>
                <w:sz w:val="16"/>
                <w:szCs w:val="16"/>
              </w:rPr>
              <w:t xml:space="preserve">2.1.3. </w:t>
            </w:r>
            <w:proofErr w:type="spellStart"/>
            <w:r w:rsidRPr="00E16672">
              <w:rPr>
                <w:rFonts w:ascii="Times New Roman" w:eastAsia="Arial" w:hAnsi="Times New Roman"/>
                <w:sz w:val="16"/>
                <w:szCs w:val="16"/>
              </w:rPr>
              <w:t>Здійснювати</w:t>
            </w:r>
            <w:proofErr w:type="spellEnd"/>
            <w:r w:rsidRPr="00E16672">
              <w:rPr>
                <w:rFonts w:ascii="Times New Roman" w:eastAsia="Arial" w:hAnsi="Times New Roman"/>
                <w:sz w:val="16"/>
                <w:szCs w:val="16"/>
              </w:rPr>
              <w:t xml:space="preserve"> </w:t>
            </w:r>
            <w:proofErr w:type="spellStart"/>
            <w:r w:rsidRPr="00E16672">
              <w:rPr>
                <w:rFonts w:ascii="Times New Roman" w:eastAsia="Arial" w:hAnsi="Times New Roman"/>
                <w:sz w:val="16"/>
                <w:szCs w:val="16"/>
              </w:rPr>
              <w:t>облік</w:t>
            </w:r>
            <w:proofErr w:type="spellEnd"/>
            <w:r w:rsidRPr="00E16672">
              <w:rPr>
                <w:rFonts w:ascii="Times New Roman" w:eastAsia="Arial" w:hAnsi="Times New Roman"/>
                <w:sz w:val="16"/>
                <w:szCs w:val="16"/>
              </w:rPr>
              <w:t xml:space="preserve"> </w:t>
            </w:r>
            <w:proofErr w:type="spellStart"/>
            <w:r w:rsidRPr="00E16672">
              <w:rPr>
                <w:rFonts w:ascii="Times New Roman" w:eastAsia="Arial" w:hAnsi="Times New Roman"/>
                <w:sz w:val="16"/>
                <w:szCs w:val="16"/>
              </w:rPr>
              <w:t>цінних</w:t>
            </w:r>
            <w:proofErr w:type="spellEnd"/>
            <w:r w:rsidRPr="00E16672">
              <w:rPr>
                <w:rFonts w:ascii="Times New Roman" w:eastAsia="Arial" w:hAnsi="Times New Roman"/>
                <w:sz w:val="16"/>
                <w:szCs w:val="16"/>
              </w:rPr>
              <w:t xml:space="preserve"> </w:t>
            </w:r>
            <w:proofErr w:type="spellStart"/>
            <w:r w:rsidRPr="00E16672">
              <w:rPr>
                <w:rFonts w:ascii="Times New Roman" w:eastAsia="Arial" w:hAnsi="Times New Roman"/>
                <w:sz w:val="16"/>
                <w:szCs w:val="16"/>
              </w:rPr>
              <w:t>паперів</w:t>
            </w:r>
            <w:proofErr w:type="spellEnd"/>
            <w:r w:rsidRPr="00E16672">
              <w:rPr>
                <w:rFonts w:ascii="Times New Roman" w:eastAsia="Arial" w:hAnsi="Times New Roman"/>
                <w:sz w:val="16"/>
                <w:szCs w:val="16"/>
              </w:rPr>
              <w:t xml:space="preserve">, </w:t>
            </w:r>
            <w:proofErr w:type="spellStart"/>
            <w:r w:rsidRPr="00E16672">
              <w:rPr>
                <w:rFonts w:ascii="Times New Roman" w:eastAsia="Arial" w:hAnsi="Times New Roman"/>
                <w:sz w:val="16"/>
                <w:szCs w:val="16"/>
              </w:rPr>
              <w:t>що</w:t>
            </w:r>
            <w:proofErr w:type="spellEnd"/>
            <w:r w:rsidRPr="00E16672">
              <w:rPr>
                <w:rFonts w:ascii="Times New Roman" w:eastAsia="Arial" w:hAnsi="Times New Roman"/>
                <w:sz w:val="16"/>
                <w:szCs w:val="16"/>
              </w:rPr>
              <w:t xml:space="preserve"> належать Депоненту, на </w:t>
            </w:r>
            <w:proofErr w:type="spellStart"/>
            <w:r w:rsidRPr="00E16672">
              <w:rPr>
                <w:rFonts w:ascii="Times New Roman" w:eastAsia="Arial" w:hAnsi="Times New Roman"/>
                <w:sz w:val="16"/>
                <w:szCs w:val="16"/>
              </w:rPr>
              <w:t>рахунку</w:t>
            </w:r>
            <w:proofErr w:type="spellEnd"/>
            <w:r w:rsidRPr="00E16672">
              <w:rPr>
                <w:rFonts w:ascii="Times New Roman" w:eastAsia="Arial" w:hAnsi="Times New Roman"/>
                <w:sz w:val="16"/>
                <w:szCs w:val="16"/>
              </w:rPr>
              <w:t xml:space="preserve"> </w:t>
            </w:r>
            <w:r w:rsidR="00C22309" w:rsidRPr="00E16672">
              <w:rPr>
                <w:rFonts w:ascii="Times New Roman" w:eastAsia="Arial" w:hAnsi="Times New Roman"/>
                <w:sz w:val="16"/>
                <w:szCs w:val="16"/>
              </w:rPr>
              <w:t xml:space="preserve">в </w:t>
            </w:r>
            <w:proofErr w:type="spellStart"/>
            <w:r w:rsidR="00C22309" w:rsidRPr="00E16672">
              <w:rPr>
                <w:rFonts w:ascii="Times New Roman" w:eastAsia="Arial" w:hAnsi="Times New Roman"/>
                <w:sz w:val="16"/>
                <w:szCs w:val="16"/>
              </w:rPr>
              <w:t>цін</w:t>
            </w:r>
            <w:r w:rsidRPr="00E16672">
              <w:rPr>
                <w:rFonts w:ascii="Times New Roman" w:eastAsia="Arial" w:hAnsi="Times New Roman"/>
                <w:sz w:val="16"/>
                <w:szCs w:val="16"/>
              </w:rPr>
              <w:t>них</w:t>
            </w:r>
            <w:proofErr w:type="spellEnd"/>
            <w:r w:rsidRPr="00E16672">
              <w:rPr>
                <w:rFonts w:ascii="Times New Roman" w:eastAsia="Arial" w:hAnsi="Times New Roman"/>
                <w:sz w:val="16"/>
                <w:szCs w:val="16"/>
              </w:rPr>
              <w:t xml:space="preserve"> </w:t>
            </w:r>
            <w:proofErr w:type="spellStart"/>
            <w:r w:rsidRPr="00E16672">
              <w:rPr>
                <w:rFonts w:ascii="Times New Roman" w:eastAsia="Arial" w:hAnsi="Times New Roman"/>
                <w:sz w:val="16"/>
                <w:szCs w:val="16"/>
              </w:rPr>
              <w:t>паперах</w:t>
            </w:r>
            <w:proofErr w:type="spellEnd"/>
            <w:r w:rsidRPr="00E16672">
              <w:rPr>
                <w:rFonts w:ascii="Times New Roman" w:eastAsia="Arial" w:hAnsi="Times New Roman"/>
                <w:sz w:val="16"/>
                <w:szCs w:val="16"/>
              </w:rPr>
              <w:t>.</w:t>
            </w:r>
          </w:p>
          <w:p w14:paraId="5967B479" w14:textId="77777777" w:rsidR="00B335DD" w:rsidRPr="00E16672" w:rsidRDefault="00B335DD" w:rsidP="00B335DD">
            <w:pPr>
              <w:pStyle w:val="22"/>
              <w:snapToGrid w:val="0"/>
              <w:ind w:left="182" w:right="138" w:firstLine="0"/>
              <w:rPr>
                <w:rFonts w:ascii="Times New Roman" w:eastAsia="Arial" w:hAnsi="Times New Roman"/>
                <w:sz w:val="16"/>
                <w:szCs w:val="16"/>
                <w:lang w:val="ru-RU"/>
              </w:rPr>
            </w:pPr>
          </w:p>
        </w:tc>
        <w:tc>
          <w:tcPr>
            <w:tcW w:w="5495" w:type="dxa"/>
            <w:gridSpan w:val="6"/>
            <w:shd w:val="clear" w:color="auto" w:fill="auto"/>
          </w:tcPr>
          <w:p w14:paraId="7A8359B9" w14:textId="77777777" w:rsidR="00B335DD" w:rsidRPr="00E16672" w:rsidRDefault="00B335DD" w:rsidP="00B335DD">
            <w:pPr>
              <w:pStyle w:val="210"/>
              <w:snapToGrid w:val="0"/>
              <w:ind w:left="145" w:right="100" w:firstLine="0"/>
              <w:rPr>
                <w:rFonts w:ascii="Times New Roman" w:eastAsia="Arial" w:hAnsi="Times New Roman"/>
                <w:sz w:val="16"/>
                <w:szCs w:val="16"/>
                <w:lang w:val="en-US"/>
              </w:rPr>
            </w:pPr>
            <w:r w:rsidRPr="00E16672">
              <w:rPr>
                <w:rFonts w:ascii="Times New Roman" w:eastAsia="Arial" w:hAnsi="Times New Roman"/>
                <w:sz w:val="16"/>
                <w:szCs w:val="16"/>
                <w:lang w:val="en-US"/>
              </w:rPr>
              <w:t>2.1.3. To provide accounting of securities owned the Depositor</w:t>
            </w:r>
            <w:r w:rsidRPr="00E16672">
              <w:rPr>
                <w:rFonts w:ascii="Times New Roman" w:eastAsia="Arial" w:hAnsi="Times New Roman"/>
                <w:sz w:val="16"/>
                <w:szCs w:val="16"/>
                <w:lang w:val="en-GB"/>
              </w:rPr>
              <w:t xml:space="preserve"> </w:t>
            </w:r>
            <w:r w:rsidRPr="00E16672">
              <w:rPr>
                <w:rFonts w:ascii="Times New Roman" w:eastAsia="Arial" w:hAnsi="Times New Roman"/>
                <w:sz w:val="16"/>
                <w:szCs w:val="16"/>
                <w:lang w:val="en-US"/>
              </w:rPr>
              <w:t>on</w:t>
            </w:r>
            <w:r w:rsidRPr="00E16672">
              <w:rPr>
                <w:rFonts w:ascii="Times New Roman" w:eastAsia="Arial" w:hAnsi="Times New Roman"/>
                <w:sz w:val="16"/>
                <w:szCs w:val="16"/>
              </w:rPr>
              <w:t xml:space="preserve"> </w:t>
            </w:r>
            <w:r w:rsidRPr="00E16672">
              <w:rPr>
                <w:rFonts w:ascii="Times New Roman" w:eastAsia="Arial" w:hAnsi="Times New Roman"/>
                <w:sz w:val="16"/>
                <w:szCs w:val="16"/>
                <w:lang w:val="en-US"/>
              </w:rPr>
              <w:t xml:space="preserve">account ins </w:t>
            </w:r>
            <w:proofErr w:type="spellStart"/>
            <w:r w:rsidRPr="00E16672">
              <w:rPr>
                <w:rFonts w:ascii="Times New Roman" w:eastAsia="Arial" w:hAnsi="Times New Roman"/>
                <w:sz w:val="16"/>
                <w:szCs w:val="16"/>
                <w:lang w:val="en-US"/>
              </w:rPr>
              <w:t>ecurities</w:t>
            </w:r>
            <w:proofErr w:type="spellEnd"/>
            <w:r w:rsidRPr="00E16672">
              <w:rPr>
                <w:rFonts w:ascii="Times New Roman" w:eastAsia="Arial" w:hAnsi="Times New Roman"/>
                <w:sz w:val="16"/>
                <w:szCs w:val="16"/>
                <w:lang w:val="en-US"/>
              </w:rPr>
              <w:t>.</w:t>
            </w:r>
          </w:p>
          <w:p w14:paraId="1C161142" w14:textId="77777777" w:rsidR="00B335DD" w:rsidRPr="00E16672" w:rsidRDefault="00B335DD" w:rsidP="00B335DD">
            <w:pPr>
              <w:pStyle w:val="210"/>
              <w:snapToGrid w:val="0"/>
              <w:ind w:left="145" w:right="100" w:firstLine="0"/>
              <w:rPr>
                <w:rFonts w:ascii="Times New Roman" w:hAnsi="Times New Roman"/>
              </w:rPr>
            </w:pPr>
          </w:p>
        </w:tc>
      </w:tr>
      <w:tr w:rsidR="00B335DD" w:rsidRPr="00F23413" w14:paraId="4A892E06" w14:textId="77777777" w:rsidTr="005E418B">
        <w:trPr>
          <w:trHeight w:val="192"/>
        </w:trPr>
        <w:tc>
          <w:tcPr>
            <w:tcW w:w="5695" w:type="dxa"/>
            <w:gridSpan w:val="6"/>
            <w:shd w:val="clear" w:color="auto" w:fill="auto"/>
          </w:tcPr>
          <w:p w14:paraId="5796FA08" w14:textId="77777777" w:rsidR="00B335DD" w:rsidRPr="00E16672" w:rsidRDefault="00B335DD" w:rsidP="00022F5F">
            <w:pPr>
              <w:tabs>
                <w:tab w:val="left" w:pos="851"/>
              </w:tabs>
              <w:snapToGrid w:val="0"/>
              <w:ind w:left="182" w:right="138" w:firstLine="0"/>
              <w:jc w:val="left"/>
              <w:rPr>
                <w:rFonts w:ascii="Times New Roman" w:eastAsia="Arial" w:hAnsi="Times New Roman"/>
                <w:sz w:val="16"/>
                <w:szCs w:val="16"/>
              </w:rPr>
            </w:pPr>
            <w:r w:rsidRPr="00E16672">
              <w:rPr>
                <w:rFonts w:ascii="Times New Roman" w:eastAsia="Arial" w:hAnsi="Times New Roman"/>
                <w:sz w:val="16"/>
                <w:szCs w:val="16"/>
              </w:rPr>
              <w:t xml:space="preserve">2.1.4. </w:t>
            </w:r>
            <w:proofErr w:type="spellStart"/>
            <w:r w:rsidRPr="00E16672">
              <w:rPr>
                <w:rFonts w:ascii="Times New Roman" w:eastAsia="Arial" w:hAnsi="Times New Roman"/>
                <w:sz w:val="16"/>
                <w:szCs w:val="16"/>
              </w:rPr>
              <w:t>Здійснювати</w:t>
            </w:r>
            <w:proofErr w:type="spellEnd"/>
            <w:r w:rsidRPr="00E16672">
              <w:rPr>
                <w:rFonts w:ascii="Times New Roman" w:eastAsia="Arial" w:hAnsi="Times New Roman"/>
                <w:sz w:val="16"/>
                <w:szCs w:val="16"/>
              </w:rPr>
              <w:t xml:space="preserve"> </w:t>
            </w:r>
            <w:proofErr w:type="spellStart"/>
            <w:r w:rsidRPr="00E16672">
              <w:rPr>
                <w:rFonts w:ascii="Times New Roman" w:eastAsia="Arial" w:hAnsi="Times New Roman"/>
                <w:sz w:val="16"/>
                <w:szCs w:val="16"/>
              </w:rPr>
              <w:t>облік</w:t>
            </w:r>
            <w:proofErr w:type="spellEnd"/>
            <w:r w:rsidRPr="00E16672">
              <w:rPr>
                <w:rFonts w:ascii="Times New Roman" w:eastAsia="Arial" w:hAnsi="Times New Roman"/>
                <w:sz w:val="16"/>
                <w:szCs w:val="16"/>
              </w:rPr>
              <w:t xml:space="preserve"> прав Депонента на </w:t>
            </w:r>
            <w:proofErr w:type="spellStart"/>
            <w:r w:rsidRPr="00E16672">
              <w:rPr>
                <w:rFonts w:ascii="Times New Roman" w:eastAsia="Arial" w:hAnsi="Times New Roman"/>
                <w:sz w:val="16"/>
                <w:szCs w:val="16"/>
              </w:rPr>
              <w:t>цінні</w:t>
            </w:r>
            <w:proofErr w:type="spellEnd"/>
            <w:r w:rsidRPr="00E16672">
              <w:rPr>
                <w:rFonts w:ascii="Times New Roman" w:eastAsia="Arial" w:hAnsi="Times New Roman"/>
                <w:sz w:val="16"/>
                <w:szCs w:val="16"/>
              </w:rPr>
              <w:t xml:space="preserve"> </w:t>
            </w:r>
            <w:proofErr w:type="spellStart"/>
            <w:r w:rsidRPr="00E16672">
              <w:rPr>
                <w:rFonts w:ascii="Times New Roman" w:eastAsia="Arial" w:hAnsi="Times New Roman"/>
                <w:sz w:val="16"/>
                <w:szCs w:val="16"/>
              </w:rPr>
              <w:t>папери</w:t>
            </w:r>
            <w:proofErr w:type="spellEnd"/>
            <w:r w:rsidRPr="00E16672">
              <w:rPr>
                <w:rFonts w:ascii="Times New Roman" w:eastAsia="Arial" w:hAnsi="Times New Roman"/>
                <w:sz w:val="16"/>
                <w:szCs w:val="16"/>
              </w:rPr>
              <w:t xml:space="preserve">, </w:t>
            </w:r>
            <w:proofErr w:type="spellStart"/>
            <w:r w:rsidRPr="00E16672">
              <w:rPr>
                <w:rFonts w:ascii="Times New Roman" w:eastAsia="Arial" w:hAnsi="Times New Roman"/>
                <w:sz w:val="16"/>
                <w:szCs w:val="16"/>
              </w:rPr>
              <w:t>що</w:t>
            </w:r>
            <w:proofErr w:type="spellEnd"/>
            <w:r w:rsidRPr="00E16672">
              <w:rPr>
                <w:rFonts w:ascii="Times New Roman" w:eastAsia="Arial" w:hAnsi="Times New Roman"/>
                <w:sz w:val="16"/>
                <w:szCs w:val="16"/>
              </w:rPr>
              <w:t xml:space="preserve"> </w:t>
            </w:r>
            <w:proofErr w:type="spellStart"/>
            <w:r w:rsidRPr="00E16672">
              <w:rPr>
                <w:rFonts w:ascii="Times New Roman" w:eastAsia="Arial" w:hAnsi="Times New Roman"/>
                <w:sz w:val="16"/>
                <w:szCs w:val="16"/>
              </w:rPr>
              <w:t>обліковуються</w:t>
            </w:r>
            <w:proofErr w:type="spellEnd"/>
            <w:r w:rsidRPr="00E16672">
              <w:rPr>
                <w:rFonts w:ascii="Times New Roman" w:eastAsia="Arial" w:hAnsi="Times New Roman"/>
                <w:sz w:val="16"/>
                <w:szCs w:val="16"/>
              </w:rPr>
              <w:t xml:space="preserve"> на </w:t>
            </w:r>
            <w:r w:rsidRPr="00E16672">
              <w:rPr>
                <w:rFonts w:ascii="Times New Roman" w:eastAsia="Arial" w:hAnsi="Times New Roman"/>
                <w:sz w:val="16"/>
                <w:szCs w:val="16"/>
                <w:lang w:val="uk-UA"/>
              </w:rPr>
              <w:t>його</w:t>
            </w:r>
            <w:r w:rsidRPr="00E16672">
              <w:rPr>
                <w:rFonts w:ascii="Times New Roman" w:eastAsia="Arial" w:hAnsi="Times New Roman"/>
                <w:sz w:val="16"/>
                <w:szCs w:val="16"/>
              </w:rPr>
              <w:t xml:space="preserve"> </w:t>
            </w:r>
            <w:proofErr w:type="spellStart"/>
            <w:r w:rsidRPr="00E16672">
              <w:rPr>
                <w:rFonts w:ascii="Times New Roman" w:eastAsia="Arial" w:hAnsi="Times New Roman"/>
                <w:sz w:val="16"/>
                <w:szCs w:val="16"/>
              </w:rPr>
              <w:t>рахунку</w:t>
            </w:r>
            <w:proofErr w:type="spellEnd"/>
            <w:r w:rsidRPr="00E16672">
              <w:rPr>
                <w:rFonts w:ascii="Times New Roman" w:eastAsia="Arial" w:hAnsi="Times New Roman"/>
                <w:sz w:val="16"/>
                <w:szCs w:val="16"/>
              </w:rPr>
              <w:t xml:space="preserve"> </w:t>
            </w:r>
            <w:r w:rsidR="00C22309" w:rsidRPr="00E16672">
              <w:rPr>
                <w:rFonts w:ascii="Times New Roman" w:eastAsia="Arial" w:hAnsi="Times New Roman"/>
                <w:sz w:val="16"/>
                <w:szCs w:val="16"/>
              </w:rPr>
              <w:t xml:space="preserve">в </w:t>
            </w:r>
            <w:proofErr w:type="spellStart"/>
            <w:r w:rsidR="00C22309" w:rsidRPr="00E16672">
              <w:rPr>
                <w:rFonts w:ascii="Times New Roman" w:eastAsia="Arial" w:hAnsi="Times New Roman"/>
                <w:sz w:val="16"/>
                <w:szCs w:val="16"/>
              </w:rPr>
              <w:t>цін</w:t>
            </w:r>
            <w:r w:rsidRPr="00E16672">
              <w:rPr>
                <w:rFonts w:ascii="Times New Roman" w:eastAsia="Arial" w:hAnsi="Times New Roman"/>
                <w:sz w:val="16"/>
                <w:szCs w:val="16"/>
              </w:rPr>
              <w:t>них</w:t>
            </w:r>
            <w:proofErr w:type="spellEnd"/>
            <w:r w:rsidRPr="00E16672">
              <w:rPr>
                <w:rFonts w:ascii="Times New Roman" w:eastAsia="Arial" w:hAnsi="Times New Roman"/>
                <w:sz w:val="16"/>
                <w:szCs w:val="16"/>
              </w:rPr>
              <w:t xml:space="preserve"> </w:t>
            </w:r>
            <w:proofErr w:type="spellStart"/>
            <w:r w:rsidRPr="00E16672">
              <w:rPr>
                <w:rFonts w:ascii="Times New Roman" w:eastAsia="Arial" w:hAnsi="Times New Roman"/>
                <w:sz w:val="16"/>
                <w:szCs w:val="16"/>
              </w:rPr>
              <w:t>паперах</w:t>
            </w:r>
            <w:proofErr w:type="spellEnd"/>
            <w:r w:rsidRPr="00E16672">
              <w:rPr>
                <w:rFonts w:ascii="Times New Roman" w:eastAsia="Arial" w:hAnsi="Times New Roman"/>
                <w:sz w:val="16"/>
                <w:szCs w:val="16"/>
              </w:rPr>
              <w:t xml:space="preserve">, та </w:t>
            </w:r>
            <w:proofErr w:type="spellStart"/>
            <w:r w:rsidRPr="00E16672">
              <w:rPr>
                <w:rFonts w:ascii="Times New Roman" w:eastAsia="Arial" w:hAnsi="Times New Roman"/>
                <w:sz w:val="16"/>
                <w:szCs w:val="16"/>
              </w:rPr>
              <w:t>обмеження</w:t>
            </w:r>
            <w:proofErr w:type="spellEnd"/>
            <w:r w:rsidRPr="00E16672">
              <w:rPr>
                <w:rFonts w:ascii="Times New Roman" w:eastAsia="Arial" w:hAnsi="Times New Roman"/>
                <w:sz w:val="16"/>
                <w:szCs w:val="16"/>
              </w:rPr>
              <w:t xml:space="preserve"> таких прав, у тому </w:t>
            </w:r>
            <w:proofErr w:type="spellStart"/>
            <w:r w:rsidRPr="00E16672">
              <w:rPr>
                <w:rFonts w:ascii="Times New Roman" w:eastAsia="Arial" w:hAnsi="Times New Roman"/>
                <w:sz w:val="16"/>
                <w:szCs w:val="16"/>
              </w:rPr>
              <w:t>числі</w:t>
            </w:r>
            <w:proofErr w:type="spellEnd"/>
            <w:r w:rsidRPr="00E16672">
              <w:rPr>
                <w:rFonts w:ascii="Times New Roman" w:eastAsia="Arial" w:hAnsi="Times New Roman"/>
                <w:sz w:val="16"/>
                <w:szCs w:val="16"/>
              </w:rPr>
              <w:t xml:space="preserve"> </w:t>
            </w:r>
            <w:proofErr w:type="spellStart"/>
            <w:r w:rsidRPr="00E16672">
              <w:rPr>
                <w:rFonts w:ascii="Times New Roman" w:eastAsia="Arial" w:hAnsi="Times New Roman"/>
                <w:sz w:val="16"/>
                <w:szCs w:val="16"/>
              </w:rPr>
              <w:t>відокремлений</w:t>
            </w:r>
            <w:proofErr w:type="spellEnd"/>
            <w:r w:rsidRPr="00E16672">
              <w:rPr>
                <w:rFonts w:ascii="Times New Roman" w:eastAsia="Arial" w:hAnsi="Times New Roman"/>
                <w:sz w:val="16"/>
                <w:szCs w:val="16"/>
              </w:rPr>
              <w:t xml:space="preserve"> </w:t>
            </w:r>
            <w:proofErr w:type="spellStart"/>
            <w:r w:rsidRPr="00E16672">
              <w:rPr>
                <w:rFonts w:ascii="Times New Roman" w:eastAsia="Arial" w:hAnsi="Times New Roman"/>
                <w:sz w:val="16"/>
                <w:szCs w:val="16"/>
              </w:rPr>
              <w:t>облік</w:t>
            </w:r>
            <w:proofErr w:type="spellEnd"/>
            <w:r w:rsidRPr="00E16672">
              <w:rPr>
                <w:rFonts w:ascii="Times New Roman" w:eastAsia="Arial" w:hAnsi="Times New Roman"/>
                <w:sz w:val="16"/>
                <w:szCs w:val="16"/>
              </w:rPr>
              <w:t xml:space="preserve"> прав на </w:t>
            </w:r>
            <w:proofErr w:type="spellStart"/>
            <w:r w:rsidRPr="00E16672">
              <w:rPr>
                <w:rFonts w:ascii="Times New Roman" w:eastAsia="Arial" w:hAnsi="Times New Roman"/>
                <w:sz w:val="16"/>
                <w:szCs w:val="16"/>
              </w:rPr>
              <w:t>цінні</w:t>
            </w:r>
            <w:proofErr w:type="spellEnd"/>
            <w:r w:rsidRPr="00E16672">
              <w:rPr>
                <w:rFonts w:ascii="Times New Roman" w:eastAsia="Arial" w:hAnsi="Times New Roman"/>
                <w:sz w:val="16"/>
                <w:szCs w:val="16"/>
              </w:rPr>
              <w:t xml:space="preserve"> </w:t>
            </w:r>
            <w:proofErr w:type="spellStart"/>
            <w:r w:rsidRPr="00E16672">
              <w:rPr>
                <w:rFonts w:ascii="Times New Roman" w:eastAsia="Arial" w:hAnsi="Times New Roman"/>
                <w:sz w:val="16"/>
                <w:szCs w:val="16"/>
              </w:rPr>
              <w:t>папери</w:t>
            </w:r>
            <w:proofErr w:type="spellEnd"/>
            <w:r w:rsidRPr="00E16672">
              <w:rPr>
                <w:rFonts w:ascii="Times New Roman" w:eastAsia="Arial" w:hAnsi="Times New Roman"/>
                <w:sz w:val="16"/>
                <w:szCs w:val="16"/>
              </w:rPr>
              <w:t xml:space="preserve">, </w:t>
            </w:r>
            <w:proofErr w:type="spellStart"/>
            <w:r w:rsidRPr="00E16672">
              <w:rPr>
                <w:rFonts w:ascii="Times New Roman" w:eastAsia="Arial" w:hAnsi="Times New Roman"/>
                <w:sz w:val="16"/>
                <w:szCs w:val="16"/>
              </w:rPr>
              <w:t>які</w:t>
            </w:r>
            <w:proofErr w:type="spellEnd"/>
            <w:r w:rsidRPr="00E16672">
              <w:rPr>
                <w:rFonts w:ascii="Times New Roman" w:eastAsia="Arial" w:hAnsi="Times New Roman"/>
                <w:sz w:val="16"/>
                <w:szCs w:val="16"/>
              </w:rPr>
              <w:t xml:space="preserve"> </w:t>
            </w:r>
            <w:proofErr w:type="spellStart"/>
            <w:r w:rsidRPr="00E16672">
              <w:rPr>
                <w:rFonts w:ascii="Times New Roman" w:eastAsia="Arial" w:hAnsi="Times New Roman"/>
                <w:sz w:val="16"/>
                <w:szCs w:val="16"/>
              </w:rPr>
              <w:t>зарезервовані</w:t>
            </w:r>
            <w:proofErr w:type="spellEnd"/>
            <w:r w:rsidRPr="00E16672">
              <w:rPr>
                <w:rFonts w:ascii="Times New Roman" w:eastAsia="Arial" w:hAnsi="Times New Roman"/>
                <w:sz w:val="16"/>
                <w:szCs w:val="16"/>
              </w:rPr>
              <w:t xml:space="preserve"> для </w:t>
            </w:r>
            <w:proofErr w:type="spellStart"/>
            <w:r w:rsidRPr="00E16672">
              <w:rPr>
                <w:rFonts w:ascii="Times New Roman" w:eastAsia="Arial" w:hAnsi="Times New Roman"/>
                <w:sz w:val="16"/>
                <w:szCs w:val="16"/>
              </w:rPr>
              <w:t>здійснення</w:t>
            </w:r>
            <w:proofErr w:type="spellEnd"/>
            <w:r w:rsidRPr="00E16672">
              <w:rPr>
                <w:rFonts w:ascii="Times New Roman" w:eastAsia="Arial" w:hAnsi="Times New Roman"/>
                <w:sz w:val="16"/>
                <w:szCs w:val="16"/>
              </w:rPr>
              <w:t xml:space="preserve"> </w:t>
            </w:r>
            <w:proofErr w:type="spellStart"/>
            <w:r w:rsidRPr="00E16672">
              <w:rPr>
                <w:rFonts w:ascii="Times New Roman" w:eastAsia="Arial" w:hAnsi="Times New Roman"/>
                <w:sz w:val="16"/>
                <w:szCs w:val="16"/>
              </w:rPr>
              <w:t>розрахунків</w:t>
            </w:r>
            <w:proofErr w:type="spellEnd"/>
            <w:r w:rsidRPr="00E16672">
              <w:rPr>
                <w:rFonts w:ascii="Times New Roman" w:eastAsia="Arial" w:hAnsi="Times New Roman"/>
                <w:sz w:val="16"/>
                <w:szCs w:val="16"/>
              </w:rPr>
              <w:t xml:space="preserve"> за </w:t>
            </w:r>
            <w:proofErr w:type="spellStart"/>
            <w:r w:rsidRPr="00E16672">
              <w:rPr>
                <w:rFonts w:ascii="Times New Roman" w:eastAsia="Arial" w:hAnsi="Times New Roman"/>
                <w:sz w:val="16"/>
                <w:szCs w:val="16"/>
              </w:rPr>
              <w:t>правочинами</w:t>
            </w:r>
            <w:proofErr w:type="spellEnd"/>
            <w:r w:rsidRPr="00E16672">
              <w:rPr>
                <w:rFonts w:ascii="Times New Roman" w:eastAsia="Arial" w:hAnsi="Times New Roman"/>
                <w:sz w:val="16"/>
                <w:szCs w:val="16"/>
              </w:rPr>
              <w:t xml:space="preserve"> </w:t>
            </w:r>
            <w:proofErr w:type="spellStart"/>
            <w:r w:rsidRPr="00E16672">
              <w:rPr>
                <w:rFonts w:ascii="Times New Roman" w:eastAsia="Arial" w:hAnsi="Times New Roman"/>
                <w:sz w:val="16"/>
                <w:szCs w:val="16"/>
              </w:rPr>
              <w:t>щодо</w:t>
            </w:r>
            <w:proofErr w:type="spellEnd"/>
            <w:r w:rsidRPr="00E16672">
              <w:rPr>
                <w:rFonts w:ascii="Times New Roman" w:eastAsia="Arial" w:hAnsi="Times New Roman"/>
                <w:sz w:val="16"/>
                <w:szCs w:val="16"/>
              </w:rPr>
              <w:t xml:space="preserve"> </w:t>
            </w:r>
            <w:proofErr w:type="spellStart"/>
            <w:r w:rsidRPr="00E16672">
              <w:rPr>
                <w:rFonts w:ascii="Times New Roman" w:eastAsia="Arial" w:hAnsi="Times New Roman"/>
                <w:sz w:val="16"/>
                <w:szCs w:val="16"/>
              </w:rPr>
              <w:t>цінних</w:t>
            </w:r>
            <w:proofErr w:type="spellEnd"/>
            <w:r w:rsidRPr="00E16672">
              <w:rPr>
                <w:rFonts w:ascii="Times New Roman" w:eastAsia="Arial" w:hAnsi="Times New Roman"/>
                <w:sz w:val="16"/>
                <w:szCs w:val="16"/>
              </w:rPr>
              <w:t xml:space="preserve"> </w:t>
            </w:r>
            <w:proofErr w:type="spellStart"/>
            <w:r w:rsidRPr="00E16672">
              <w:rPr>
                <w:rFonts w:ascii="Times New Roman" w:eastAsia="Arial" w:hAnsi="Times New Roman"/>
                <w:sz w:val="16"/>
                <w:szCs w:val="16"/>
              </w:rPr>
              <w:t>паперів</w:t>
            </w:r>
            <w:proofErr w:type="spellEnd"/>
            <w:r w:rsidRPr="00E16672">
              <w:rPr>
                <w:rFonts w:ascii="Times New Roman" w:eastAsia="Arial" w:hAnsi="Times New Roman"/>
                <w:sz w:val="16"/>
                <w:szCs w:val="16"/>
              </w:rPr>
              <w:t xml:space="preserve"> з </w:t>
            </w:r>
            <w:proofErr w:type="spellStart"/>
            <w:r w:rsidRPr="00E16672">
              <w:rPr>
                <w:rFonts w:ascii="Times New Roman" w:eastAsia="Arial" w:hAnsi="Times New Roman"/>
                <w:sz w:val="16"/>
                <w:szCs w:val="16"/>
              </w:rPr>
              <w:t>дотриманням</w:t>
            </w:r>
            <w:proofErr w:type="spellEnd"/>
            <w:r w:rsidRPr="00E16672">
              <w:rPr>
                <w:rFonts w:ascii="Times New Roman" w:eastAsia="Arial" w:hAnsi="Times New Roman"/>
                <w:sz w:val="16"/>
                <w:szCs w:val="16"/>
              </w:rPr>
              <w:t xml:space="preserve"> принципу </w:t>
            </w:r>
            <w:r w:rsidR="00022F5F">
              <w:rPr>
                <w:rFonts w:ascii="Times New Roman" w:eastAsia="Arial" w:hAnsi="Times New Roman"/>
                <w:sz w:val="16"/>
                <w:szCs w:val="16"/>
              </w:rPr>
              <w:t>"</w:t>
            </w:r>
            <w:r w:rsidRPr="00E16672">
              <w:rPr>
                <w:rFonts w:ascii="Times New Roman" w:eastAsia="Arial" w:hAnsi="Times New Roman"/>
                <w:sz w:val="16"/>
                <w:szCs w:val="16"/>
              </w:rPr>
              <w:t xml:space="preserve">поставка </w:t>
            </w:r>
            <w:proofErr w:type="spellStart"/>
            <w:r w:rsidRPr="00E16672">
              <w:rPr>
                <w:rFonts w:ascii="Times New Roman" w:eastAsia="Arial" w:hAnsi="Times New Roman"/>
                <w:sz w:val="16"/>
                <w:szCs w:val="16"/>
              </w:rPr>
              <w:t>цінних</w:t>
            </w:r>
            <w:proofErr w:type="spellEnd"/>
            <w:r w:rsidRPr="00E16672">
              <w:rPr>
                <w:rFonts w:ascii="Times New Roman" w:eastAsia="Arial" w:hAnsi="Times New Roman"/>
                <w:sz w:val="16"/>
                <w:szCs w:val="16"/>
              </w:rPr>
              <w:t xml:space="preserve"> </w:t>
            </w:r>
            <w:proofErr w:type="spellStart"/>
            <w:r w:rsidRPr="00E16672">
              <w:rPr>
                <w:rFonts w:ascii="Times New Roman" w:eastAsia="Arial" w:hAnsi="Times New Roman"/>
                <w:sz w:val="16"/>
                <w:szCs w:val="16"/>
              </w:rPr>
              <w:t>паперів</w:t>
            </w:r>
            <w:proofErr w:type="spellEnd"/>
            <w:r w:rsidRPr="00E16672">
              <w:rPr>
                <w:rFonts w:ascii="Times New Roman" w:eastAsia="Arial" w:hAnsi="Times New Roman"/>
                <w:sz w:val="16"/>
                <w:szCs w:val="16"/>
              </w:rPr>
              <w:t xml:space="preserve"> </w:t>
            </w:r>
            <w:proofErr w:type="spellStart"/>
            <w:r w:rsidRPr="00E16672">
              <w:rPr>
                <w:rFonts w:ascii="Times New Roman" w:eastAsia="Arial" w:hAnsi="Times New Roman"/>
                <w:sz w:val="16"/>
                <w:szCs w:val="16"/>
              </w:rPr>
              <w:t>проти</w:t>
            </w:r>
            <w:proofErr w:type="spellEnd"/>
            <w:r w:rsidRPr="00E16672">
              <w:rPr>
                <w:rFonts w:ascii="Times New Roman" w:eastAsia="Arial" w:hAnsi="Times New Roman"/>
                <w:sz w:val="16"/>
                <w:szCs w:val="16"/>
              </w:rPr>
              <w:t xml:space="preserve"> оплати</w:t>
            </w:r>
            <w:r w:rsidR="00022F5F">
              <w:rPr>
                <w:rFonts w:ascii="Times New Roman" w:eastAsia="Arial" w:hAnsi="Times New Roman"/>
                <w:sz w:val="16"/>
                <w:szCs w:val="16"/>
              </w:rPr>
              <w:t>"</w:t>
            </w:r>
            <w:r w:rsidRPr="00E16672">
              <w:rPr>
                <w:rFonts w:ascii="Times New Roman" w:eastAsia="Arial" w:hAnsi="Times New Roman"/>
                <w:sz w:val="16"/>
                <w:szCs w:val="16"/>
              </w:rPr>
              <w:t>.</w:t>
            </w:r>
          </w:p>
          <w:p w14:paraId="5602DD3F" w14:textId="77777777" w:rsidR="00B335DD" w:rsidRPr="00E16672" w:rsidRDefault="00B335DD" w:rsidP="00B335DD">
            <w:pPr>
              <w:pStyle w:val="210"/>
              <w:snapToGrid w:val="0"/>
              <w:ind w:left="182" w:right="138" w:firstLine="0"/>
              <w:rPr>
                <w:rFonts w:ascii="Times New Roman" w:eastAsia="Arial" w:hAnsi="Times New Roman"/>
                <w:sz w:val="16"/>
                <w:szCs w:val="16"/>
                <w:lang w:val="ru-RU"/>
              </w:rPr>
            </w:pPr>
          </w:p>
        </w:tc>
        <w:tc>
          <w:tcPr>
            <w:tcW w:w="5495" w:type="dxa"/>
            <w:gridSpan w:val="6"/>
            <w:shd w:val="clear" w:color="auto" w:fill="auto"/>
          </w:tcPr>
          <w:p w14:paraId="46EE99A5" w14:textId="77777777" w:rsidR="00B335DD" w:rsidRPr="00E16672" w:rsidRDefault="00B335DD" w:rsidP="00B335DD">
            <w:pPr>
              <w:pStyle w:val="210"/>
              <w:snapToGrid w:val="0"/>
              <w:ind w:left="145" w:right="100" w:firstLine="0"/>
              <w:rPr>
                <w:rFonts w:ascii="Times New Roman" w:eastAsia="Arial" w:hAnsi="Times New Roman"/>
                <w:sz w:val="16"/>
                <w:szCs w:val="16"/>
                <w:lang w:val="en-US"/>
              </w:rPr>
            </w:pPr>
            <w:r w:rsidRPr="00E16672">
              <w:rPr>
                <w:rFonts w:ascii="Times New Roman" w:eastAsia="Arial" w:hAnsi="Times New Roman"/>
                <w:sz w:val="16"/>
                <w:szCs w:val="16"/>
                <w:lang w:val="en-US"/>
              </w:rPr>
              <w:t xml:space="preserve">2.1.4. To provide accounting of the rights of Depositor’s securities registered </w:t>
            </w:r>
            <w:proofErr w:type="gramStart"/>
            <w:r w:rsidRPr="00E16672">
              <w:rPr>
                <w:rFonts w:ascii="Times New Roman" w:eastAsia="Arial" w:hAnsi="Times New Roman"/>
                <w:sz w:val="16"/>
                <w:szCs w:val="16"/>
                <w:lang w:val="en-US"/>
              </w:rPr>
              <w:t>on  the</w:t>
            </w:r>
            <w:proofErr w:type="gramEnd"/>
            <w:r w:rsidRPr="00E16672">
              <w:rPr>
                <w:rFonts w:ascii="Times New Roman" w:eastAsia="Arial" w:hAnsi="Times New Roman"/>
                <w:sz w:val="16"/>
                <w:szCs w:val="16"/>
                <w:lang w:val="en-US"/>
              </w:rPr>
              <w:t xml:space="preserve"> account in securities, and restrictions of such rights, including separate accounting of securities that are reserved for settlement of legal actions in securities with the principle of "supply of securities against payment".</w:t>
            </w:r>
          </w:p>
        </w:tc>
      </w:tr>
      <w:tr w:rsidR="00B335DD" w:rsidRPr="00F23413" w14:paraId="566D35B3" w14:textId="77777777" w:rsidTr="005E418B">
        <w:trPr>
          <w:trHeight w:val="988"/>
        </w:trPr>
        <w:tc>
          <w:tcPr>
            <w:tcW w:w="5695" w:type="dxa"/>
            <w:gridSpan w:val="6"/>
            <w:shd w:val="clear" w:color="auto" w:fill="auto"/>
          </w:tcPr>
          <w:p w14:paraId="0BB78947" w14:textId="77777777" w:rsidR="00B335DD" w:rsidRPr="00E16672" w:rsidRDefault="00B335DD" w:rsidP="00B335DD">
            <w:pPr>
              <w:tabs>
                <w:tab w:val="left" w:pos="851"/>
              </w:tabs>
              <w:snapToGrid w:val="0"/>
              <w:ind w:left="182" w:firstLine="0"/>
              <w:rPr>
                <w:rFonts w:ascii="Times New Roman" w:eastAsia="Arial" w:hAnsi="Times New Roman"/>
                <w:color w:val="000000"/>
                <w:sz w:val="16"/>
                <w:szCs w:val="16"/>
              </w:rPr>
            </w:pPr>
            <w:r w:rsidRPr="00E16672">
              <w:rPr>
                <w:rFonts w:ascii="Times New Roman" w:hAnsi="Times New Roman"/>
                <w:color w:val="000000"/>
                <w:sz w:val="16"/>
                <w:szCs w:val="16"/>
              </w:rPr>
              <w:lastRenderedPageBreak/>
              <w:t xml:space="preserve">2.1.5. </w:t>
            </w:r>
            <w:proofErr w:type="spellStart"/>
            <w:r w:rsidRPr="00E16672">
              <w:rPr>
                <w:rFonts w:ascii="Times New Roman" w:hAnsi="Times New Roman"/>
                <w:color w:val="000000"/>
                <w:sz w:val="16"/>
                <w:szCs w:val="16"/>
              </w:rPr>
              <w:t>Здійснювати</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обслуговування</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обіг</w:t>
            </w:r>
            <w:r w:rsidR="00C22309" w:rsidRPr="00E16672">
              <w:rPr>
                <w:rFonts w:ascii="Times New Roman" w:hAnsi="Times New Roman"/>
                <w:color w:val="000000"/>
                <w:sz w:val="16"/>
                <w:szCs w:val="16"/>
              </w:rPr>
              <w:t>в</w:t>
            </w:r>
            <w:proofErr w:type="spellEnd"/>
            <w:r w:rsidR="00C22309" w:rsidRPr="00E16672">
              <w:rPr>
                <w:rFonts w:ascii="Times New Roman" w:hAnsi="Times New Roman"/>
                <w:color w:val="000000"/>
                <w:sz w:val="16"/>
                <w:szCs w:val="16"/>
              </w:rPr>
              <w:t xml:space="preserve"> </w:t>
            </w:r>
            <w:proofErr w:type="spellStart"/>
            <w:r w:rsidR="00C22309" w:rsidRPr="00E16672">
              <w:rPr>
                <w:rFonts w:ascii="Times New Roman" w:hAnsi="Times New Roman"/>
                <w:color w:val="000000"/>
                <w:sz w:val="16"/>
                <w:szCs w:val="16"/>
              </w:rPr>
              <w:t>цін</w:t>
            </w:r>
            <w:r w:rsidRPr="00E16672">
              <w:rPr>
                <w:rFonts w:ascii="Times New Roman" w:hAnsi="Times New Roman"/>
                <w:color w:val="000000"/>
                <w:sz w:val="16"/>
                <w:szCs w:val="16"/>
              </w:rPr>
              <w:t>них</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паперів</w:t>
            </w:r>
            <w:proofErr w:type="spellEnd"/>
            <w:r w:rsidRPr="00E16672">
              <w:rPr>
                <w:rFonts w:ascii="Times New Roman" w:hAnsi="Times New Roman"/>
                <w:color w:val="000000"/>
                <w:sz w:val="16"/>
                <w:szCs w:val="16"/>
              </w:rPr>
              <w:t xml:space="preserve"> на </w:t>
            </w:r>
            <w:proofErr w:type="spellStart"/>
            <w:r w:rsidRPr="00E16672">
              <w:rPr>
                <w:rFonts w:ascii="Times New Roman" w:hAnsi="Times New Roman"/>
                <w:color w:val="000000"/>
                <w:sz w:val="16"/>
                <w:szCs w:val="16"/>
              </w:rPr>
              <w:t>рахунку</w:t>
            </w:r>
            <w:proofErr w:type="spellEnd"/>
            <w:r w:rsidRPr="00E16672">
              <w:rPr>
                <w:rFonts w:ascii="Times New Roman" w:hAnsi="Times New Roman"/>
                <w:color w:val="000000"/>
                <w:sz w:val="16"/>
                <w:szCs w:val="16"/>
              </w:rPr>
              <w:t xml:space="preserve"> </w:t>
            </w:r>
            <w:r w:rsidR="00C22309" w:rsidRPr="00E16672">
              <w:rPr>
                <w:rFonts w:ascii="Times New Roman" w:hAnsi="Times New Roman"/>
                <w:color w:val="000000"/>
                <w:sz w:val="16"/>
                <w:szCs w:val="16"/>
              </w:rPr>
              <w:t xml:space="preserve">в </w:t>
            </w:r>
            <w:proofErr w:type="spellStart"/>
            <w:r w:rsidR="00C22309" w:rsidRPr="00E16672">
              <w:rPr>
                <w:rFonts w:ascii="Times New Roman" w:hAnsi="Times New Roman"/>
                <w:color w:val="000000"/>
                <w:sz w:val="16"/>
                <w:szCs w:val="16"/>
              </w:rPr>
              <w:t>цін</w:t>
            </w:r>
            <w:r w:rsidRPr="00E16672">
              <w:rPr>
                <w:rFonts w:ascii="Times New Roman" w:hAnsi="Times New Roman"/>
                <w:color w:val="000000"/>
                <w:sz w:val="16"/>
                <w:szCs w:val="16"/>
              </w:rPr>
              <w:t>них</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паперах</w:t>
            </w:r>
            <w:proofErr w:type="spellEnd"/>
            <w:r w:rsidRPr="00E16672">
              <w:rPr>
                <w:rFonts w:ascii="Times New Roman" w:hAnsi="Times New Roman"/>
                <w:color w:val="000000"/>
                <w:sz w:val="16"/>
                <w:szCs w:val="16"/>
              </w:rPr>
              <w:t xml:space="preserve"> Депонента шляхом </w:t>
            </w:r>
            <w:proofErr w:type="spellStart"/>
            <w:r w:rsidRPr="00E16672">
              <w:rPr>
                <w:rFonts w:ascii="Times New Roman" w:hAnsi="Times New Roman"/>
                <w:color w:val="000000"/>
                <w:sz w:val="16"/>
                <w:szCs w:val="16"/>
              </w:rPr>
              <w:t>проведення</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депозитарних</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операцій</w:t>
            </w:r>
            <w:proofErr w:type="spellEnd"/>
            <w:r w:rsidRPr="00E16672">
              <w:rPr>
                <w:rFonts w:ascii="Times New Roman" w:hAnsi="Times New Roman"/>
                <w:color w:val="000000"/>
                <w:sz w:val="16"/>
                <w:szCs w:val="16"/>
              </w:rPr>
              <w:t xml:space="preserve"> за </w:t>
            </w:r>
            <w:proofErr w:type="spellStart"/>
            <w:r w:rsidRPr="00E16672">
              <w:rPr>
                <w:rFonts w:ascii="Times New Roman" w:hAnsi="Times New Roman"/>
                <w:color w:val="000000"/>
                <w:sz w:val="16"/>
                <w:szCs w:val="16"/>
              </w:rPr>
              <w:t>рахунком</w:t>
            </w:r>
            <w:proofErr w:type="spellEnd"/>
            <w:r w:rsidRPr="00E16672">
              <w:rPr>
                <w:rFonts w:ascii="Times New Roman" w:hAnsi="Times New Roman"/>
                <w:color w:val="000000"/>
                <w:sz w:val="16"/>
                <w:szCs w:val="16"/>
              </w:rPr>
              <w:t xml:space="preserve"> </w:t>
            </w:r>
            <w:r w:rsidR="00C22309" w:rsidRPr="00E16672">
              <w:rPr>
                <w:rFonts w:ascii="Times New Roman" w:hAnsi="Times New Roman"/>
                <w:color w:val="000000"/>
                <w:sz w:val="16"/>
                <w:szCs w:val="16"/>
              </w:rPr>
              <w:t xml:space="preserve">в </w:t>
            </w:r>
            <w:proofErr w:type="spellStart"/>
            <w:r w:rsidR="00C22309" w:rsidRPr="00E16672">
              <w:rPr>
                <w:rFonts w:ascii="Times New Roman" w:hAnsi="Times New Roman"/>
                <w:color w:val="000000"/>
                <w:sz w:val="16"/>
                <w:szCs w:val="16"/>
              </w:rPr>
              <w:t>цін</w:t>
            </w:r>
            <w:r w:rsidRPr="00E16672">
              <w:rPr>
                <w:rFonts w:ascii="Times New Roman" w:hAnsi="Times New Roman"/>
                <w:color w:val="000000"/>
                <w:sz w:val="16"/>
                <w:szCs w:val="16"/>
              </w:rPr>
              <w:t>них</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паперах</w:t>
            </w:r>
            <w:proofErr w:type="spellEnd"/>
            <w:r w:rsidRPr="00E16672">
              <w:rPr>
                <w:rFonts w:ascii="Times New Roman" w:hAnsi="Times New Roman"/>
                <w:color w:val="000000"/>
                <w:sz w:val="16"/>
                <w:szCs w:val="16"/>
              </w:rPr>
              <w:t xml:space="preserve"> у порядку та строки, </w:t>
            </w:r>
            <w:proofErr w:type="spellStart"/>
            <w:r w:rsidRPr="00E16672">
              <w:rPr>
                <w:rFonts w:ascii="Times New Roman" w:hAnsi="Times New Roman"/>
                <w:color w:val="000000"/>
                <w:sz w:val="16"/>
                <w:szCs w:val="16"/>
              </w:rPr>
              <w:t>визначені</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законодавством</w:t>
            </w:r>
            <w:proofErr w:type="spellEnd"/>
            <w:r w:rsidRPr="00E16672">
              <w:rPr>
                <w:rFonts w:ascii="Times New Roman" w:hAnsi="Times New Roman"/>
                <w:color w:val="000000"/>
                <w:sz w:val="16"/>
                <w:szCs w:val="16"/>
              </w:rPr>
              <w:t xml:space="preserve"> та/</w:t>
            </w:r>
            <w:proofErr w:type="spellStart"/>
            <w:r w:rsidRPr="00E16672">
              <w:rPr>
                <w:rFonts w:ascii="Times New Roman" w:hAnsi="Times New Roman"/>
                <w:color w:val="000000"/>
                <w:sz w:val="16"/>
                <w:szCs w:val="16"/>
              </w:rPr>
              <w:t>або</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внутрішніми</w:t>
            </w:r>
            <w:proofErr w:type="spellEnd"/>
            <w:r w:rsidRPr="00E16672">
              <w:rPr>
                <w:rFonts w:ascii="Times New Roman" w:hAnsi="Times New Roman"/>
                <w:color w:val="000000"/>
                <w:sz w:val="16"/>
                <w:szCs w:val="16"/>
              </w:rPr>
              <w:t xml:space="preserve"> документами </w:t>
            </w:r>
            <w:proofErr w:type="spellStart"/>
            <w:r w:rsidRPr="00E16672">
              <w:rPr>
                <w:rFonts w:ascii="Times New Roman" w:hAnsi="Times New Roman"/>
                <w:color w:val="000000"/>
                <w:sz w:val="16"/>
                <w:szCs w:val="16"/>
              </w:rPr>
              <w:t>Депозитарної</w:t>
            </w:r>
            <w:proofErr w:type="spellEnd"/>
            <w:r w:rsidRPr="00E16672">
              <w:rPr>
                <w:rFonts w:ascii="Times New Roman" w:hAnsi="Times New Roman"/>
                <w:color w:val="000000"/>
                <w:sz w:val="16"/>
                <w:szCs w:val="16"/>
              </w:rPr>
              <w:t xml:space="preserve"> </w:t>
            </w:r>
            <w:proofErr w:type="gramStart"/>
            <w:r w:rsidRPr="00E16672">
              <w:rPr>
                <w:rFonts w:ascii="Times New Roman" w:hAnsi="Times New Roman"/>
                <w:color w:val="000000"/>
                <w:sz w:val="16"/>
                <w:szCs w:val="16"/>
              </w:rPr>
              <w:t>установи.</w:t>
            </w:r>
            <w:r w:rsidRPr="00E16672">
              <w:rPr>
                <w:rFonts w:ascii="Times New Roman" w:eastAsia="Arial" w:hAnsi="Times New Roman"/>
                <w:color w:val="000000"/>
                <w:sz w:val="16"/>
                <w:szCs w:val="16"/>
              </w:rPr>
              <w:t>.</w:t>
            </w:r>
            <w:proofErr w:type="gramEnd"/>
          </w:p>
        </w:tc>
        <w:tc>
          <w:tcPr>
            <w:tcW w:w="5495" w:type="dxa"/>
            <w:gridSpan w:val="6"/>
            <w:shd w:val="clear" w:color="auto" w:fill="auto"/>
          </w:tcPr>
          <w:p w14:paraId="1B1A2E41" w14:textId="77777777" w:rsidR="00B335DD" w:rsidRPr="00E16672" w:rsidRDefault="00B335DD" w:rsidP="00D048FE">
            <w:pPr>
              <w:pStyle w:val="ab"/>
              <w:snapToGrid w:val="0"/>
              <w:ind w:left="142" w:right="57" w:firstLine="0"/>
              <w:jc w:val="both"/>
              <w:rPr>
                <w:rFonts w:ascii="Times New Roman" w:eastAsia="Arial" w:hAnsi="Times New Roman"/>
                <w:b w:val="0"/>
                <w:color w:val="000000"/>
                <w:sz w:val="16"/>
                <w:szCs w:val="16"/>
                <w:lang w:val="en-US"/>
              </w:rPr>
            </w:pPr>
            <w:r w:rsidRPr="00E16672">
              <w:rPr>
                <w:rFonts w:ascii="Times New Roman" w:hAnsi="Times New Roman"/>
                <w:b w:val="0"/>
                <w:color w:val="000000"/>
                <w:sz w:val="16"/>
                <w:szCs w:val="16"/>
              </w:rPr>
              <w:t xml:space="preserve">2.1.5. </w:t>
            </w:r>
            <w:r w:rsidRPr="00E16672">
              <w:rPr>
                <w:rFonts w:ascii="Times New Roman" w:hAnsi="Times New Roman"/>
                <w:b w:val="0"/>
                <w:color w:val="000000"/>
                <w:sz w:val="16"/>
                <w:szCs w:val="16"/>
                <w:lang w:val="en-US"/>
              </w:rPr>
              <w:t xml:space="preserve"> </w:t>
            </w:r>
            <w:r w:rsidRPr="00E16672">
              <w:rPr>
                <w:rFonts w:ascii="Times New Roman" w:eastAsia="Arial" w:hAnsi="Times New Roman"/>
                <w:b w:val="0"/>
                <w:color w:val="000000"/>
                <w:sz w:val="16"/>
                <w:szCs w:val="16"/>
                <w:lang w:val="en-US"/>
              </w:rPr>
              <w:t xml:space="preserve">To manage servicing </w:t>
            </w:r>
            <w:proofErr w:type="gramStart"/>
            <w:r w:rsidRPr="00E16672">
              <w:rPr>
                <w:rFonts w:ascii="Times New Roman" w:eastAsia="Arial" w:hAnsi="Times New Roman"/>
                <w:b w:val="0"/>
                <w:color w:val="000000"/>
                <w:sz w:val="16"/>
                <w:szCs w:val="16"/>
                <w:lang w:val="en-US"/>
              </w:rPr>
              <w:t>of  securities</w:t>
            </w:r>
            <w:proofErr w:type="gramEnd"/>
            <w:r w:rsidRPr="00E16672">
              <w:rPr>
                <w:rFonts w:ascii="Times New Roman" w:eastAsia="Arial" w:hAnsi="Times New Roman"/>
                <w:b w:val="0"/>
                <w:color w:val="000000"/>
                <w:sz w:val="16"/>
                <w:szCs w:val="16"/>
                <w:lang w:val="en-US"/>
              </w:rPr>
              <w:t xml:space="preserve"> </w:t>
            </w:r>
            <w:proofErr w:type="spellStart"/>
            <w:r w:rsidRPr="00E16672">
              <w:rPr>
                <w:rFonts w:ascii="Times New Roman" w:eastAsia="Arial" w:hAnsi="Times New Roman"/>
                <w:b w:val="0"/>
                <w:color w:val="000000"/>
                <w:sz w:val="16"/>
                <w:szCs w:val="16"/>
                <w:lang w:val="en-US"/>
              </w:rPr>
              <w:t>onthe</w:t>
            </w:r>
            <w:proofErr w:type="spellEnd"/>
            <w:r w:rsidRPr="00E16672">
              <w:rPr>
                <w:rFonts w:ascii="Times New Roman" w:eastAsia="Arial" w:hAnsi="Times New Roman"/>
                <w:b w:val="0"/>
                <w:color w:val="000000"/>
                <w:sz w:val="16"/>
                <w:szCs w:val="16"/>
                <w:lang w:val="en-US"/>
              </w:rPr>
              <w:t xml:space="preserve"> account in securities of Depositor by implementation of depositary operations after this account  in the procedure and time limits set by law and/or internal documents of the Depository institution.</w:t>
            </w:r>
          </w:p>
        </w:tc>
      </w:tr>
      <w:tr w:rsidR="00B335DD" w:rsidRPr="00F23413" w14:paraId="1F49D39D" w14:textId="77777777" w:rsidTr="005E418B">
        <w:trPr>
          <w:trHeight w:val="192"/>
        </w:trPr>
        <w:tc>
          <w:tcPr>
            <w:tcW w:w="5695" w:type="dxa"/>
            <w:gridSpan w:val="6"/>
            <w:shd w:val="clear" w:color="auto" w:fill="auto"/>
          </w:tcPr>
          <w:p w14:paraId="36B1F5CF" w14:textId="77777777" w:rsidR="00B335DD" w:rsidRPr="00E16672" w:rsidRDefault="00B335DD" w:rsidP="00B335DD">
            <w:pPr>
              <w:tabs>
                <w:tab w:val="left" w:pos="851"/>
              </w:tabs>
              <w:ind w:left="182" w:right="138" w:firstLine="0"/>
              <w:rPr>
                <w:rFonts w:ascii="Times New Roman" w:hAnsi="Times New Roman"/>
                <w:color w:val="000000"/>
                <w:sz w:val="16"/>
                <w:szCs w:val="16"/>
              </w:rPr>
            </w:pPr>
            <w:r w:rsidRPr="00E16672">
              <w:rPr>
                <w:rFonts w:ascii="Times New Roman" w:eastAsia="Arial" w:hAnsi="Times New Roman"/>
                <w:color w:val="000000"/>
                <w:sz w:val="16"/>
                <w:szCs w:val="16"/>
              </w:rPr>
              <w:t>2.1.6.</w:t>
            </w:r>
            <w:r w:rsidRPr="00E16672">
              <w:rPr>
                <w:rFonts w:ascii="Times New Roman" w:hAnsi="Times New Roman"/>
                <w:color w:val="000000"/>
                <w:sz w:val="16"/>
                <w:szCs w:val="16"/>
                <w:lang w:val="uk-UA"/>
              </w:rPr>
              <w:t xml:space="preserve"> </w:t>
            </w:r>
            <w:proofErr w:type="spellStart"/>
            <w:r w:rsidRPr="00E16672">
              <w:rPr>
                <w:rFonts w:ascii="Times New Roman" w:eastAsia="Arial" w:hAnsi="Times New Roman"/>
                <w:color w:val="000000"/>
                <w:sz w:val="16"/>
                <w:szCs w:val="16"/>
              </w:rPr>
              <w:t>Складати</w:t>
            </w:r>
            <w:proofErr w:type="spellEnd"/>
            <w:r w:rsidRPr="00E16672">
              <w:rPr>
                <w:rFonts w:ascii="Times New Roman" w:eastAsia="Arial" w:hAnsi="Times New Roman"/>
                <w:color w:val="000000"/>
                <w:sz w:val="16"/>
                <w:szCs w:val="16"/>
              </w:rPr>
              <w:t xml:space="preserve"> та </w:t>
            </w:r>
            <w:proofErr w:type="spellStart"/>
            <w:r w:rsidRPr="00E16672">
              <w:rPr>
                <w:rFonts w:ascii="Times New Roman" w:eastAsia="Arial" w:hAnsi="Times New Roman"/>
                <w:color w:val="000000"/>
                <w:sz w:val="16"/>
                <w:szCs w:val="16"/>
              </w:rPr>
              <w:t>видавати</w:t>
            </w:r>
            <w:proofErr w:type="spellEnd"/>
            <w:r w:rsidRPr="00E16672">
              <w:rPr>
                <w:rFonts w:ascii="Times New Roman" w:eastAsia="Arial" w:hAnsi="Times New Roman"/>
                <w:color w:val="000000"/>
                <w:sz w:val="16"/>
                <w:szCs w:val="16"/>
              </w:rPr>
              <w:t xml:space="preserve"> </w:t>
            </w:r>
            <w:proofErr w:type="spellStart"/>
            <w:r w:rsidRPr="00E16672">
              <w:rPr>
                <w:rFonts w:ascii="Times New Roman" w:eastAsia="Arial" w:hAnsi="Times New Roman"/>
                <w:color w:val="000000"/>
                <w:sz w:val="16"/>
                <w:szCs w:val="16"/>
              </w:rPr>
              <w:t>Виписку</w:t>
            </w:r>
            <w:proofErr w:type="spellEnd"/>
            <w:r w:rsidRPr="00E16672">
              <w:rPr>
                <w:rFonts w:ascii="Times New Roman" w:eastAsia="Arial" w:hAnsi="Times New Roman"/>
                <w:color w:val="000000"/>
                <w:sz w:val="16"/>
                <w:szCs w:val="16"/>
              </w:rPr>
              <w:t xml:space="preserve"> з </w:t>
            </w:r>
            <w:proofErr w:type="spellStart"/>
            <w:r w:rsidRPr="00E16672">
              <w:rPr>
                <w:rFonts w:ascii="Times New Roman" w:eastAsia="Arial" w:hAnsi="Times New Roman"/>
                <w:color w:val="000000"/>
                <w:sz w:val="16"/>
                <w:szCs w:val="16"/>
              </w:rPr>
              <w:t>рахунк</w:t>
            </w:r>
            <w:proofErr w:type="spellEnd"/>
            <w:r w:rsidRPr="00E16672">
              <w:rPr>
                <w:rFonts w:ascii="Times New Roman" w:eastAsia="Arial" w:hAnsi="Times New Roman"/>
                <w:color w:val="000000"/>
                <w:sz w:val="16"/>
                <w:szCs w:val="16"/>
                <w:lang w:val="uk-UA"/>
              </w:rPr>
              <w:t>у</w:t>
            </w:r>
            <w:r w:rsidRPr="00E16672">
              <w:rPr>
                <w:rFonts w:ascii="Times New Roman" w:eastAsia="Arial" w:hAnsi="Times New Roman"/>
                <w:color w:val="000000"/>
                <w:sz w:val="16"/>
                <w:szCs w:val="16"/>
              </w:rPr>
              <w:t xml:space="preserve"> в </w:t>
            </w:r>
            <w:proofErr w:type="spellStart"/>
            <w:r w:rsidRPr="00E16672">
              <w:rPr>
                <w:rFonts w:ascii="Times New Roman" w:eastAsia="Arial" w:hAnsi="Times New Roman"/>
                <w:color w:val="000000"/>
                <w:sz w:val="16"/>
                <w:szCs w:val="16"/>
              </w:rPr>
              <w:t>цінних</w:t>
            </w:r>
            <w:proofErr w:type="spellEnd"/>
            <w:r w:rsidRPr="00E16672">
              <w:rPr>
                <w:rFonts w:ascii="Times New Roman" w:eastAsia="Arial" w:hAnsi="Times New Roman"/>
                <w:color w:val="000000"/>
                <w:sz w:val="16"/>
                <w:szCs w:val="16"/>
              </w:rPr>
              <w:t xml:space="preserve"> </w:t>
            </w:r>
            <w:proofErr w:type="spellStart"/>
            <w:r w:rsidRPr="00E16672">
              <w:rPr>
                <w:rFonts w:ascii="Times New Roman" w:eastAsia="Arial" w:hAnsi="Times New Roman"/>
                <w:color w:val="000000"/>
                <w:sz w:val="16"/>
                <w:szCs w:val="16"/>
              </w:rPr>
              <w:t>паперах</w:t>
            </w:r>
            <w:proofErr w:type="spellEnd"/>
            <w:r w:rsidRPr="00E16672">
              <w:rPr>
                <w:rFonts w:ascii="Times New Roman" w:eastAsia="Arial" w:hAnsi="Times New Roman"/>
                <w:color w:val="000000"/>
                <w:sz w:val="16"/>
                <w:szCs w:val="16"/>
              </w:rPr>
              <w:t xml:space="preserve"> Депонента та </w:t>
            </w:r>
            <w:proofErr w:type="spellStart"/>
            <w:r w:rsidRPr="00E16672">
              <w:rPr>
                <w:rFonts w:ascii="Times New Roman" w:eastAsia="Arial" w:hAnsi="Times New Roman"/>
                <w:color w:val="000000"/>
                <w:sz w:val="16"/>
                <w:szCs w:val="16"/>
              </w:rPr>
              <w:t>Виписку</w:t>
            </w:r>
            <w:proofErr w:type="spellEnd"/>
            <w:r w:rsidRPr="00E16672">
              <w:rPr>
                <w:rFonts w:ascii="Times New Roman" w:eastAsia="Arial" w:hAnsi="Times New Roman"/>
                <w:color w:val="000000"/>
                <w:sz w:val="16"/>
                <w:szCs w:val="16"/>
              </w:rPr>
              <w:t xml:space="preserve"> про </w:t>
            </w:r>
            <w:proofErr w:type="spellStart"/>
            <w:r w:rsidRPr="00E16672">
              <w:rPr>
                <w:rFonts w:ascii="Times New Roman" w:eastAsia="Arial" w:hAnsi="Times New Roman"/>
                <w:color w:val="000000"/>
                <w:sz w:val="16"/>
                <w:szCs w:val="16"/>
              </w:rPr>
              <w:t>операції</w:t>
            </w:r>
            <w:proofErr w:type="spellEnd"/>
            <w:r w:rsidRPr="00E16672">
              <w:rPr>
                <w:rFonts w:ascii="Times New Roman" w:eastAsia="Arial" w:hAnsi="Times New Roman"/>
                <w:color w:val="000000"/>
                <w:sz w:val="16"/>
                <w:szCs w:val="16"/>
              </w:rPr>
              <w:t xml:space="preserve"> з </w:t>
            </w:r>
            <w:proofErr w:type="spellStart"/>
            <w:r w:rsidRPr="00E16672">
              <w:rPr>
                <w:rFonts w:ascii="Times New Roman" w:eastAsia="Arial" w:hAnsi="Times New Roman"/>
                <w:color w:val="000000"/>
                <w:sz w:val="16"/>
                <w:szCs w:val="16"/>
              </w:rPr>
              <w:t>цінними</w:t>
            </w:r>
            <w:proofErr w:type="spellEnd"/>
            <w:r w:rsidRPr="00E16672">
              <w:rPr>
                <w:rFonts w:ascii="Times New Roman" w:eastAsia="Arial" w:hAnsi="Times New Roman"/>
                <w:color w:val="000000"/>
                <w:sz w:val="16"/>
                <w:szCs w:val="16"/>
              </w:rPr>
              <w:t xml:space="preserve"> </w:t>
            </w:r>
            <w:proofErr w:type="spellStart"/>
            <w:r w:rsidRPr="00E16672">
              <w:rPr>
                <w:rFonts w:ascii="Times New Roman" w:eastAsia="Arial" w:hAnsi="Times New Roman"/>
                <w:color w:val="000000"/>
                <w:sz w:val="16"/>
                <w:szCs w:val="16"/>
              </w:rPr>
              <w:t>паперами</w:t>
            </w:r>
            <w:proofErr w:type="spellEnd"/>
            <w:r w:rsidRPr="00E16672">
              <w:rPr>
                <w:rFonts w:ascii="Times New Roman" w:eastAsia="Arial" w:hAnsi="Times New Roman"/>
                <w:color w:val="000000"/>
                <w:sz w:val="16"/>
                <w:szCs w:val="16"/>
              </w:rPr>
              <w:t xml:space="preserve"> на </w:t>
            </w:r>
            <w:proofErr w:type="spellStart"/>
            <w:r w:rsidRPr="00E16672">
              <w:rPr>
                <w:rFonts w:ascii="Times New Roman" w:eastAsia="Arial" w:hAnsi="Times New Roman"/>
                <w:color w:val="000000"/>
                <w:sz w:val="16"/>
                <w:szCs w:val="16"/>
              </w:rPr>
              <w:t>вимогу</w:t>
            </w:r>
            <w:proofErr w:type="spellEnd"/>
            <w:r w:rsidRPr="00E16672">
              <w:rPr>
                <w:rFonts w:ascii="Times New Roman" w:eastAsia="Arial" w:hAnsi="Times New Roman"/>
                <w:color w:val="000000"/>
                <w:sz w:val="16"/>
                <w:szCs w:val="16"/>
              </w:rPr>
              <w:t xml:space="preserve"> Депонента </w:t>
            </w:r>
            <w:proofErr w:type="gramStart"/>
            <w:r w:rsidRPr="00E16672">
              <w:rPr>
                <w:rFonts w:ascii="Times New Roman" w:eastAsia="Arial" w:hAnsi="Times New Roman"/>
                <w:color w:val="000000"/>
                <w:sz w:val="16"/>
                <w:szCs w:val="20"/>
                <w:lang w:val="uk-UA"/>
              </w:rPr>
              <w:t>періодично  -</w:t>
            </w:r>
            <w:proofErr w:type="gramEnd"/>
            <w:r w:rsidRPr="00E16672">
              <w:rPr>
                <w:rFonts w:ascii="Times New Roman" w:eastAsia="Arial" w:hAnsi="Times New Roman"/>
                <w:color w:val="000000"/>
                <w:sz w:val="16"/>
                <w:szCs w:val="20"/>
                <w:lang w:val="uk-UA"/>
              </w:rPr>
              <w:t xml:space="preserve"> один раз на рік за відповідним розпорядженням Депонента, або на запит Депонента </w:t>
            </w:r>
            <w:r w:rsidRPr="00E16672">
              <w:rPr>
                <w:rFonts w:ascii="Times New Roman" w:hAnsi="Times New Roman"/>
                <w:color w:val="000000"/>
                <w:sz w:val="16"/>
                <w:szCs w:val="16"/>
              </w:rPr>
              <w:t xml:space="preserve">не </w:t>
            </w:r>
            <w:proofErr w:type="spellStart"/>
            <w:r w:rsidRPr="00E16672">
              <w:rPr>
                <w:rFonts w:ascii="Times New Roman" w:hAnsi="Times New Roman"/>
                <w:color w:val="000000"/>
                <w:sz w:val="16"/>
                <w:szCs w:val="16"/>
              </w:rPr>
              <w:t>пізніше</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наступного</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робочого</w:t>
            </w:r>
            <w:proofErr w:type="spellEnd"/>
            <w:r w:rsidRPr="00E16672">
              <w:rPr>
                <w:rFonts w:ascii="Times New Roman" w:hAnsi="Times New Roman"/>
                <w:color w:val="000000"/>
                <w:sz w:val="16"/>
                <w:szCs w:val="16"/>
              </w:rPr>
              <w:t xml:space="preserve"> дня з </w:t>
            </w:r>
            <w:proofErr w:type="spellStart"/>
            <w:r w:rsidRPr="00E16672">
              <w:rPr>
                <w:rFonts w:ascii="Times New Roman" w:hAnsi="Times New Roman"/>
                <w:color w:val="000000"/>
                <w:sz w:val="16"/>
                <w:szCs w:val="16"/>
              </w:rPr>
              <w:t>дати</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отримання</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відповідного</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розпорядження</w:t>
            </w:r>
            <w:proofErr w:type="spellEnd"/>
            <w:r w:rsidRPr="00E16672">
              <w:rPr>
                <w:rFonts w:ascii="Times New Roman" w:hAnsi="Times New Roman"/>
                <w:color w:val="000000"/>
                <w:sz w:val="16"/>
                <w:szCs w:val="16"/>
              </w:rPr>
              <w:t xml:space="preserve"> у </w:t>
            </w:r>
            <w:proofErr w:type="spellStart"/>
            <w:r w:rsidRPr="00E16672">
              <w:rPr>
                <w:rFonts w:ascii="Times New Roman" w:hAnsi="Times New Roman"/>
                <w:color w:val="000000"/>
                <w:sz w:val="16"/>
                <w:szCs w:val="16"/>
              </w:rPr>
              <w:t>спосіб</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визначений</w:t>
            </w:r>
            <w:proofErr w:type="spellEnd"/>
            <w:r w:rsidRPr="00E16672">
              <w:rPr>
                <w:rFonts w:ascii="Times New Roman" w:hAnsi="Times New Roman"/>
                <w:color w:val="000000"/>
                <w:sz w:val="16"/>
                <w:szCs w:val="16"/>
              </w:rPr>
              <w:t xml:space="preserve"> у </w:t>
            </w:r>
            <w:proofErr w:type="spellStart"/>
            <w:r w:rsidRPr="00E16672">
              <w:rPr>
                <w:rFonts w:ascii="Times New Roman" w:hAnsi="Times New Roman"/>
                <w:color w:val="000000"/>
                <w:sz w:val="16"/>
                <w:szCs w:val="16"/>
              </w:rPr>
              <w:t>розпорядженні</w:t>
            </w:r>
            <w:proofErr w:type="spellEnd"/>
            <w:r w:rsidRPr="00E16672">
              <w:rPr>
                <w:rFonts w:ascii="Times New Roman" w:hAnsi="Times New Roman"/>
                <w:color w:val="000000"/>
                <w:sz w:val="16"/>
                <w:szCs w:val="16"/>
              </w:rPr>
              <w:t>.</w:t>
            </w:r>
          </w:p>
          <w:p w14:paraId="642FE19C" w14:textId="77777777" w:rsidR="00B335DD" w:rsidRPr="00E16672" w:rsidRDefault="00B335DD" w:rsidP="00B335DD">
            <w:pPr>
              <w:pStyle w:val="23"/>
              <w:ind w:left="182" w:right="138" w:firstLine="0"/>
              <w:rPr>
                <w:rFonts w:ascii="Times New Roman" w:eastAsia="Arial" w:hAnsi="Times New Roman"/>
                <w:color w:val="000000"/>
                <w:sz w:val="16"/>
                <w:szCs w:val="16"/>
              </w:rPr>
            </w:pPr>
            <w:r w:rsidRPr="00E16672">
              <w:rPr>
                <w:rFonts w:ascii="Times New Roman" w:hAnsi="Times New Roman"/>
                <w:color w:val="000000"/>
                <w:sz w:val="16"/>
                <w:szCs w:val="16"/>
              </w:rPr>
              <w:t xml:space="preserve">Виписка з рахунку </w:t>
            </w:r>
            <w:r w:rsidR="00C22309" w:rsidRPr="00E16672">
              <w:rPr>
                <w:rFonts w:ascii="Times New Roman" w:hAnsi="Times New Roman"/>
                <w:color w:val="000000"/>
                <w:spacing w:val="-9"/>
                <w:sz w:val="16"/>
                <w:szCs w:val="16"/>
                <w:shd w:val="clear" w:color="auto" w:fill="FFFFFF"/>
              </w:rPr>
              <w:t>в цін</w:t>
            </w:r>
            <w:r w:rsidRPr="00E16672">
              <w:rPr>
                <w:rFonts w:ascii="Times New Roman" w:hAnsi="Times New Roman"/>
                <w:color w:val="000000"/>
                <w:spacing w:val="-9"/>
                <w:sz w:val="16"/>
                <w:szCs w:val="16"/>
                <w:shd w:val="clear" w:color="auto" w:fill="FFFFFF"/>
              </w:rPr>
              <w:t xml:space="preserve">них паперах може надаватися </w:t>
            </w:r>
            <w:r w:rsidRPr="00E16672">
              <w:rPr>
                <w:rFonts w:ascii="Times New Roman" w:hAnsi="Times New Roman"/>
                <w:color w:val="000000"/>
                <w:sz w:val="16"/>
                <w:szCs w:val="16"/>
              </w:rPr>
              <w:t xml:space="preserve">Депоненту у вигляді </w:t>
            </w:r>
            <w:r w:rsidRPr="00E16672">
              <w:rPr>
                <w:rFonts w:ascii="Times New Roman" w:hAnsi="Times New Roman"/>
                <w:color w:val="000000"/>
                <w:spacing w:val="-9"/>
                <w:sz w:val="16"/>
                <w:szCs w:val="16"/>
              </w:rPr>
              <w:t>електронного документу з використанням</w:t>
            </w:r>
            <w:r w:rsidRPr="00E16672">
              <w:rPr>
                <w:rFonts w:ascii="Times New Roman" w:hAnsi="Times New Roman"/>
                <w:color w:val="000000"/>
                <w:spacing w:val="-9"/>
                <w:sz w:val="12"/>
                <w:szCs w:val="16"/>
              </w:rPr>
              <w:t xml:space="preserve"> </w:t>
            </w:r>
            <w:proofErr w:type="spellStart"/>
            <w:r w:rsidRPr="00E16672">
              <w:rPr>
                <w:rFonts w:ascii="Times New Roman" w:hAnsi="Times New Roman"/>
                <w:color w:val="000000"/>
                <w:spacing w:val="-9"/>
                <w:sz w:val="16"/>
                <w:lang w:val="ru-RU"/>
              </w:rPr>
              <w:t>кваліф</w:t>
            </w:r>
            <w:proofErr w:type="spellEnd"/>
            <w:r w:rsidRPr="00E16672">
              <w:rPr>
                <w:rFonts w:ascii="Times New Roman" w:hAnsi="Times New Roman"/>
                <w:color w:val="000000"/>
                <w:spacing w:val="-9"/>
                <w:sz w:val="16"/>
              </w:rPr>
              <w:t>і</w:t>
            </w:r>
            <w:r w:rsidRPr="00E16672">
              <w:rPr>
                <w:rFonts w:ascii="Times New Roman" w:hAnsi="Times New Roman"/>
                <w:color w:val="000000"/>
                <w:spacing w:val="-9"/>
                <w:sz w:val="16"/>
                <w:lang w:val="ru-RU"/>
              </w:rPr>
              <w:t>кованого</w:t>
            </w:r>
            <w:r w:rsidRPr="00E16672">
              <w:rPr>
                <w:rFonts w:ascii="Times New Roman" w:hAnsi="Times New Roman"/>
                <w:color w:val="000000"/>
                <w:spacing w:val="-9"/>
                <w:sz w:val="16"/>
              </w:rPr>
              <w:t xml:space="preserve"> </w:t>
            </w:r>
            <w:r w:rsidRPr="00E16672">
              <w:rPr>
                <w:rFonts w:ascii="Times New Roman" w:hAnsi="Times New Roman"/>
                <w:color w:val="000000"/>
                <w:spacing w:val="-9"/>
                <w:sz w:val="16"/>
                <w:szCs w:val="16"/>
              </w:rPr>
              <w:t xml:space="preserve">електронного підпису </w:t>
            </w:r>
            <w:r w:rsidRPr="00E16672">
              <w:rPr>
                <w:rFonts w:ascii="Times New Roman" w:eastAsia="Arial" w:hAnsi="Times New Roman"/>
                <w:color w:val="000000"/>
                <w:sz w:val="16"/>
                <w:szCs w:val="16"/>
              </w:rPr>
              <w:t xml:space="preserve">та </w:t>
            </w:r>
            <w:proofErr w:type="spellStart"/>
            <w:r w:rsidRPr="00E16672">
              <w:rPr>
                <w:rFonts w:ascii="Times New Roman" w:hAnsi="Times New Roman"/>
                <w:color w:val="000000"/>
                <w:spacing w:val="-9"/>
                <w:sz w:val="16"/>
                <w:lang w:val="ru-RU"/>
              </w:rPr>
              <w:t>кваліф</w:t>
            </w:r>
            <w:proofErr w:type="spellEnd"/>
            <w:r w:rsidRPr="00E16672">
              <w:rPr>
                <w:rFonts w:ascii="Times New Roman" w:hAnsi="Times New Roman"/>
                <w:color w:val="000000"/>
                <w:spacing w:val="-9"/>
                <w:sz w:val="16"/>
              </w:rPr>
              <w:t>і</w:t>
            </w:r>
            <w:proofErr w:type="spellStart"/>
            <w:r w:rsidRPr="00E16672">
              <w:rPr>
                <w:rFonts w:ascii="Times New Roman" w:hAnsi="Times New Roman"/>
                <w:color w:val="000000"/>
                <w:spacing w:val="-9"/>
                <w:sz w:val="16"/>
                <w:lang w:val="ru-RU"/>
              </w:rPr>
              <w:t>кованим</w:t>
            </w:r>
            <w:proofErr w:type="spellEnd"/>
            <w:r w:rsidRPr="00E16672">
              <w:rPr>
                <w:rFonts w:ascii="Times New Roman" w:eastAsia="Arial" w:hAnsi="Times New Roman"/>
                <w:color w:val="000000"/>
                <w:sz w:val="16"/>
                <w:szCs w:val="16"/>
              </w:rPr>
              <w:t xml:space="preserve"> електронним підписом, що за правовим статусом прирівнюється до  печатки  юридичної  особи</w:t>
            </w:r>
            <w:r w:rsidRPr="00E16672">
              <w:rPr>
                <w:rFonts w:ascii="Times New Roman" w:eastAsia="Arial" w:hAnsi="Times New Roman"/>
                <w:color w:val="000000"/>
                <w:sz w:val="16"/>
                <w:szCs w:val="16"/>
                <w:lang w:val="ru-RU"/>
              </w:rPr>
              <w:t xml:space="preserve"> (</w:t>
            </w:r>
            <w:r w:rsidRPr="00E16672">
              <w:rPr>
                <w:rFonts w:ascii="Times New Roman" w:eastAsia="Arial" w:hAnsi="Times New Roman"/>
                <w:color w:val="000000"/>
                <w:sz w:val="16"/>
                <w:szCs w:val="16"/>
              </w:rPr>
              <w:t>у разі використання</w:t>
            </w:r>
            <w:r w:rsidRPr="00E16672">
              <w:rPr>
                <w:rFonts w:ascii="Times New Roman" w:eastAsia="Arial" w:hAnsi="Times New Roman"/>
                <w:color w:val="000000"/>
                <w:sz w:val="16"/>
                <w:szCs w:val="16"/>
                <w:lang w:val="ru-RU"/>
              </w:rPr>
              <w:t>)</w:t>
            </w:r>
            <w:r w:rsidRPr="00E16672">
              <w:rPr>
                <w:rFonts w:ascii="Times New Roman" w:eastAsia="Arial" w:hAnsi="Times New Roman"/>
                <w:color w:val="000000"/>
                <w:sz w:val="16"/>
                <w:szCs w:val="16"/>
              </w:rPr>
              <w:t>.</w:t>
            </w:r>
          </w:p>
          <w:p w14:paraId="1BEF0E97" w14:textId="77777777" w:rsidR="00B335DD" w:rsidRPr="00E16672" w:rsidRDefault="00B335DD" w:rsidP="00B335DD">
            <w:pPr>
              <w:tabs>
                <w:tab w:val="left" w:pos="867"/>
              </w:tabs>
              <w:snapToGrid w:val="0"/>
              <w:ind w:left="182" w:right="138" w:firstLine="0"/>
              <w:rPr>
                <w:rFonts w:ascii="Times New Roman" w:eastAsia="Arial" w:hAnsi="Times New Roman"/>
                <w:color w:val="000000"/>
                <w:spacing w:val="-9"/>
                <w:sz w:val="16"/>
                <w:szCs w:val="16"/>
                <w:lang w:val="uk-UA"/>
              </w:rPr>
            </w:pPr>
            <w:r w:rsidRPr="00E16672">
              <w:rPr>
                <w:rFonts w:ascii="Times New Roman" w:eastAsia="Arial" w:hAnsi="Times New Roman"/>
                <w:color w:val="000000"/>
                <w:spacing w:val="-9"/>
                <w:sz w:val="16"/>
                <w:szCs w:val="16"/>
                <w:lang w:val="uk-UA"/>
              </w:rPr>
              <w:t xml:space="preserve">У якості звіту надавати Депоненту виписку про стан рахунку в цінних паперах або виписку про операції з цінними паперами після здійснення хоча б однієї облікової операції </w:t>
            </w:r>
            <w:r w:rsidRPr="00E16672">
              <w:rPr>
                <w:rFonts w:ascii="Times New Roman" w:eastAsia="Arial" w:hAnsi="Times New Roman"/>
                <w:i/>
                <w:iCs/>
                <w:color w:val="000000"/>
                <w:spacing w:val="-9"/>
                <w:sz w:val="16"/>
                <w:szCs w:val="16"/>
                <w:lang w:val="uk-UA"/>
              </w:rPr>
              <w:t>не пізніше трьох</w:t>
            </w:r>
            <w:r w:rsidRPr="00E16672">
              <w:rPr>
                <w:rFonts w:ascii="Times New Roman" w:eastAsia="Arial" w:hAnsi="Times New Roman"/>
                <w:color w:val="000000"/>
                <w:spacing w:val="-9"/>
                <w:sz w:val="16"/>
                <w:szCs w:val="16"/>
                <w:lang w:val="uk-UA"/>
              </w:rPr>
              <w:t xml:space="preserve"> </w:t>
            </w:r>
            <w:r w:rsidRPr="00E16672">
              <w:rPr>
                <w:rFonts w:ascii="Times New Roman" w:eastAsia="Arial" w:hAnsi="Times New Roman"/>
                <w:i/>
                <w:color w:val="000000"/>
                <w:spacing w:val="-9"/>
                <w:sz w:val="16"/>
                <w:szCs w:val="16"/>
                <w:lang w:val="uk-UA"/>
              </w:rPr>
              <w:t>робочих</w:t>
            </w:r>
            <w:r w:rsidRPr="00E16672">
              <w:rPr>
                <w:rFonts w:ascii="Times New Roman" w:eastAsia="Arial" w:hAnsi="Times New Roman"/>
                <w:color w:val="000000"/>
                <w:spacing w:val="-9"/>
                <w:sz w:val="16"/>
                <w:szCs w:val="16"/>
                <w:lang w:val="uk-UA"/>
              </w:rPr>
              <w:t xml:space="preserve"> днів з дня здійснення такої операції.</w:t>
            </w:r>
          </w:p>
          <w:p w14:paraId="3D0F866E" w14:textId="77777777" w:rsidR="00B335DD" w:rsidRPr="00E16672" w:rsidRDefault="00B335DD" w:rsidP="00B335DD">
            <w:pPr>
              <w:pStyle w:val="23"/>
              <w:ind w:left="182" w:right="138" w:firstLine="0"/>
              <w:rPr>
                <w:rFonts w:ascii="Times New Roman" w:eastAsia="Arial" w:hAnsi="Times New Roman"/>
                <w:color w:val="000000"/>
                <w:sz w:val="16"/>
                <w:szCs w:val="16"/>
              </w:rPr>
            </w:pPr>
          </w:p>
        </w:tc>
        <w:tc>
          <w:tcPr>
            <w:tcW w:w="5495" w:type="dxa"/>
            <w:gridSpan w:val="6"/>
            <w:shd w:val="clear" w:color="auto" w:fill="auto"/>
          </w:tcPr>
          <w:p w14:paraId="17A5000E" w14:textId="77777777" w:rsidR="00B335DD" w:rsidRPr="00E16672" w:rsidRDefault="00B335DD" w:rsidP="00B335DD">
            <w:pPr>
              <w:pStyle w:val="23"/>
              <w:snapToGrid w:val="0"/>
              <w:spacing w:before="57" w:after="57"/>
              <w:ind w:left="175" w:right="138" w:firstLine="0"/>
              <w:rPr>
                <w:rFonts w:ascii="Times New Roman" w:eastAsia="Arial" w:hAnsi="Times New Roman"/>
                <w:color w:val="000000"/>
                <w:sz w:val="16"/>
                <w:szCs w:val="16"/>
                <w:lang w:val="en-US"/>
              </w:rPr>
            </w:pPr>
            <w:r w:rsidRPr="00E16672">
              <w:rPr>
                <w:rFonts w:ascii="Times New Roman" w:eastAsia="Arial" w:hAnsi="Times New Roman"/>
                <w:color w:val="000000"/>
                <w:sz w:val="16"/>
                <w:szCs w:val="16"/>
              </w:rPr>
              <w:t xml:space="preserve">2.1.6. </w:t>
            </w:r>
            <w:r w:rsidRPr="00E16672">
              <w:rPr>
                <w:rFonts w:ascii="Times New Roman" w:eastAsia="Arial" w:hAnsi="Times New Roman"/>
                <w:color w:val="000000"/>
                <w:sz w:val="16"/>
                <w:szCs w:val="16"/>
                <w:lang w:val="en-US"/>
              </w:rPr>
              <w:t xml:space="preserve">To prepare and </w:t>
            </w:r>
            <w:proofErr w:type="gramStart"/>
            <w:r w:rsidRPr="00E16672">
              <w:rPr>
                <w:rFonts w:ascii="Times New Roman" w:eastAsia="Arial" w:hAnsi="Times New Roman"/>
                <w:color w:val="000000"/>
                <w:sz w:val="16"/>
                <w:szCs w:val="16"/>
                <w:lang w:val="en-US"/>
              </w:rPr>
              <w:t>give  an</w:t>
            </w:r>
            <w:proofErr w:type="gramEnd"/>
            <w:r w:rsidRPr="00E16672">
              <w:rPr>
                <w:rFonts w:ascii="Times New Roman" w:eastAsia="Arial" w:hAnsi="Times New Roman"/>
                <w:color w:val="000000"/>
                <w:sz w:val="16"/>
                <w:szCs w:val="16"/>
                <w:lang w:val="en-US"/>
              </w:rPr>
              <w:t xml:space="preserve"> extract  from account in securities of  Depositor and the  extract  of the securities transactions at the request of the Depositor </w:t>
            </w:r>
            <w:proofErr w:type="spellStart"/>
            <w:r w:rsidRPr="00E16672">
              <w:rPr>
                <w:rFonts w:ascii="Times New Roman" w:hAnsi="Times New Roman"/>
                <w:sz w:val="16"/>
                <w:szCs w:val="16"/>
              </w:rPr>
              <w:t>periodically</w:t>
            </w:r>
            <w:proofErr w:type="spellEnd"/>
            <w:r w:rsidRPr="00E16672">
              <w:rPr>
                <w:rFonts w:ascii="Times New Roman" w:hAnsi="Times New Roman"/>
                <w:sz w:val="16"/>
                <w:szCs w:val="16"/>
              </w:rPr>
              <w:t xml:space="preserve"> - </w:t>
            </w:r>
            <w:proofErr w:type="spellStart"/>
            <w:r w:rsidRPr="00E16672">
              <w:rPr>
                <w:rFonts w:ascii="Times New Roman" w:hAnsi="Times New Roman"/>
                <w:sz w:val="16"/>
                <w:szCs w:val="16"/>
              </w:rPr>
              <w:t>once</w:t>
            </w:r>
            <w:proofErr w:type="spellEnd"/>
            <w:r w:rsidRPr="00E16672">
              <w:rPr>
                <w:rFonts w:ascii="Times New Roman" w:hAnsi="Times New Roman"/>
                <w:sz w:val="16"/>
                <w:szCs w:val="16"/>
              </w:rPr>
              <w:t xml:space="preserve"> a </w:t>
            </w:r>
            <w:proofErr w:type="spellStart"/>
            <w:r w:rsidRPr="00E16672">
              <w:rPr>
                <w:rFonts w:ascii="Times New Roman" w:hAnsi="Times New Roman"/>
                <w:sz w:val="16"/>
                <w:szCs w:val="16"/>
              </w:rPr>
              <w:t>year</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according</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to</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relevant</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order</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of</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Depositor</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or</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at</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request</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of</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Depositor</w:t>
            </w:r>
            <w:proofErr w:type="spellEnd"/>
            <w:r w:rsidRPr="00E16672">
              <w:rPr>
                <w:rFonts w:ascii="Times New Roman" w:eastAsia="Arial" w:hAnsi="Times New Roman"/>
                <w:color w:val="000000"/>
                <w:sz w:val="16"/>
                <w:szCs w:val="16"/>
                <w:lang w:val="en-US"/>
              </w:rPr>
              <w:t xml:space="preserve"> no later</w:t>
            </w:r>
            <w:r w:rsidRPr="00E16672">
              <w:rPr>
                <w:rFonts w:ascii="Times New Roman" w:eastAsia="Arial" w:hAnsi="Times New Roman"/>
                <w:i/>
                <w:color w:val="000000"/>
                <w:sz w:val="16"/>
                <w:szCs w:val="16"/>
                <w:lang w:val="en-US"/>
              </w:rPr>
              <w:t xml:space="preserve"> </w:t>
            </w:r>
            <w:r w:rsidRPr="00E16672">
              <w:rPr>
                <w:rFonts w:ascii="Times New Roman" w:eastAsia="Arial" w:hAnsi="Times New Roman"/>
                <w:color w:val="000000"/>
                <w:sz w:val="16"/>
                <w:szCs w:val="16"/>
                <w:lang w:val="en-US"/>
              </w:rPr>
              <w:t>the next working day</w:t>
            </w:r>
            <w:r w:rsidRPr="00E16672">
              <w:rPr>
                <w:rFonts w:ascii="Times New Roman" w:eastAsia="Arial" w:hAnsi="Times New Roman"/>
                <w:color w:val="000000"/>
                <w:sz w:val="16"/>
                <w:szCs w:val="16"/>
              </w:rPr>
              <w:t xml:space="preserve"> </w:t>
            </w:r>
            <w:proofErr w:type="spellStart"/>
            <w:r w:rsidRPr="00E16672">
              <w:rPr>
                <w:rFonts w:ascii="Times New Roman" w:eastAsia="Arial" w:hAnsi="Times New Roman"/>
                <w:color w:val="000000"/>
                <w:sz w:val="16"/>
                <w:szCs w:val="16"/>
              </w:rPr>
              <w:t>from</w:t>
            </w:r>
            <w:proofErr w:type="spellEnd"/>
            <w:r w:rsidRPr="00E16672">
              <w:rPr>
                <w:rFonts w:ascii="Times New Roman" w:eastAsia="Arial" w:hAnsi="Times New Roman"/>
                <w:color w:val="000000"/>
                <w:sz w:val="16"/>
                <w:szCs w:val="16"/>
              </w:rPr>
              <w:t xml:space="preserve"> </w:t>
            </w:r>
            <w:proofErr w:type="spellStart"/>
            <w:r w:rsidRPr="00E16672">
              <w:rPr>
                <w:rFonts w:ascii="Times New Roman" w:eastAsia="Arial" w:hAnsi="Times New Roman"/>
                <w:color w:val="000000"/>
                <w:sz w:val="16"/>
                <w:szCs w:val="16"/>
              </w:rPr>
              <w:t>the</w:t>
            </w:r>
            <w:proofErr w:type="spellEnd"/>
            <w:r w:rsidRPr="00E16672">
              <w:rPr>
                <w:rFonts w:ascii="Times New Roman" w:eastAsia="Arial" w:hAnsi="Times New Roman"/>
                <w:color w:val="000000"/>
                <w:sz w:val="16"/>
                <w:szCs w:val="16"/>
              </w:rPr>
              <w:t xml:space="preserve"> </w:t>
            </w:r>
            <w:proofErr w:type="spellStart"/>
            <w:r w:rsidRPr="00E16672">
              <w:rPr>
                <w:rFonts w:ascii="Times New Roman" w:eastAsia="Arial" w:hAnsi="Times New Roman"/>
                <w:color w:val="000000"/>
                <w:sz w:val="16"/>
                <w:szCs w:val="16"/>
              </w:rPr>
              <w:t>date</w:t>
            </w:r>
            <w:proofErr w:type="spellEnd"/>
            <w:r w:rsidRPr="00E16672">
              <w:rPr>
                <w:rFonts w:ascii="Times New Roman" w:eastAsia="Arial" w:hAnsi="Times New Roman"/>
                <w:color w:val="000000"/>
                <w:sz w:val="16"/>
                <w:szCs w:val="16"/>
              </w:rPr>
              <w:t xml:space="preserve"> </w:t>
            </w:r>
            <w:proofErr w:type="spellStart"/>
            <w:r w:rsidRPr="00E16672">
              <w:rPr>
                <w:rFonts w:ascii="Times New Roman" w:eastAsia="Arial" w:hAnsi="Times New Roman"/>
                <w:color w:val="000000"/>
                <w:sz w:val="16"/>
                <w:szCs w:val="16"/>
              </w:rPr>
              <w:t>of</w:t>
            </w:r>
            <w:proofErr w:type="spellEnd"/>
            <w:r w:rsidRPr="00E16672">
              <w:rPr>
                <w:rFonts w:ascii="Times New Roman" w:eastAsia="Arial" w:hAnsi="Times New Roman"/>
                <w:color w:val="000000"/>
                <w:sz w:val="16"/>
                <w:szCs w:val="16"/>
              </w:rPr>
              <w:t xml:space="preserve"> </w:t>
            </w:r>
            <w:proofErr w:type="spellStart"/>
            <w:r w:rsidRPr="00E16672">
              <w:rPr>
                <w:rFonts w:ascii="Times New Roman" w:eastAsia="Arial" w:hAnsi="Times New Roman"/>
                <w:color w:val="000000"/>
                <w:sz w:val="16"/>
                <w:szCs w:val="16"/>
              </w:rPr>
              <w:t>receipt</w:t>
            </w:r>
            <w:proofErr w:type="spellEnd"/>
            <w:r w:rsidRPr="00E16672">
              <w:rPr>
                <w:rFonts w:ascii="Times New Roman" w:eastAsia="Arial" w:hAnsi="Times New Roman"/>
                <w:color w:val="000000"/>
                <w:sz w:val="16"/>
                <w:szCs w:val="16"/>
              </w:rPr>
              <w:t xml:space="preserve"> </w:t>
            </w:r>
            <w:proofErr w:type="spellStart"/>
            <w:r w:rsidRPr="00E16672">
              <w:rPr>
                <w:rFonts w:ascii="Times New Roman" w:eastAsia="Arial" w:hAnsi="Times New Roman"/>
                <w:color w:val="000000"/>
                <w:sz w:val="16"/>
                <w:szCs w:val="16"/>
              </w:rPr>
              <w:t>of</w:t>
            </w:r>
            <w:proofErr w:type="spellEnd"/>
            <w:r w:rsidRPr="00E16672">
              <w:rPr>
                <w:rFonts w:ascii="Times New Roman" w:eastAsia="Arial" w:hAnsi="Times New Roman"/>
                <w:color w:val="000000"/>
                <w:sz w:val="16"/>
                <w:szCs w:val="16"/>
              </w:rPr>
              <w:t xml:space="preserve"> </w:t>
            </w:r>
            <w:r w:rsidRPr="00E16672">
              <w:rPr>
                <w:rFonts w:ascii="Times New Roman" w:eastAsia="Arial" w:hAnsi="Times New Roman"/>
                <w:color w:val="000000"/>
                <w:sz w:val="16"/>
                <w:szCs w:val="16"/>
                <w:lang w:val="en-US"/>
              </w:rPr>
              <w:t xml:space="preserve">such order </w:t>
            </w:r>
            <w:r w:rsidRPr="00E16672">
              <w:rPr>
                <w:rFonts w:ascii="Times New Roman" w:eastAsia="Arial" w:hAnsi="Times New Roman"/>
                <w:color w:val="000000"/>
                <w:sz w:val="16"/>
                <w:szCs w:val="16"/>
              </w:rPr>
              <w:t xml:space="preserve"> </w:t>
            </w:r>
            <w:r w:rsidRPr="00E16672">
              <w:rPr>
                <w:rFonts w:ascii="Times New Roman" w:eastAsia="Arial" w:hAnsi="Times New Roman"/>
                <w:color w:val="000000"/>
                <w:sz w:val="16"/>
                <w:szCs w:val="16"/>
                <w:lang w:val="en-US"/>
              </w:rPr>
              <w:t>in the manner specified in the order.</w:t>
            </w:r>
          </w:p>
          <w:p w14:paraId="2FFFE79D" w14:textId="77777777" w:rsidR="00B335DD" w:rsidRPr="00E16672" w:rsidRDefault="00B335DD" w:rsidP="00B335DD">
            <w:pPr>
              <w:pStyle w:val="23"/>
              <w:ind w:left="175" w:right="138" w:firstLine="0"/>
              <w:rPr>
                <w:rFonts w:ascii="Times New Roman" w:eastAsia="Arial" w:hAnsi="Times New Roman"/>
                <w:color w:val="000000"/>
                <w:sz w:val="16"/>
                <w:szCs w:val="16"/>
              </w:rPr>
            </w:pPr>
            <w:r w:rsidRPr="00E16672">
              <w:rPr>
                <w:rFonts w:ascii="Times New Roman" w:eastAsia="Arial" w:hAnsi="Times New Roman"/>
                <w:color w:val="000000"/>
                <w:sz w:val="16"/>
                <w:szCs w:val="16"/>
                <w:lang w:val="en-US"/>
              </w:rPr>
              <w:t xml:space="preserve">Extract from the securities account </w:t>
            </w:r>
            <w:proofErr w:type="gramStart"/>
            <w:r w:rsidRPr="00E16672">
              <w:rPr>
                <w:rFonts w:ascii="Times New Roman" w:eastAsia="Arial" w:hAnsi="Times New Roman"/>
                <w:color w:val="000000"/>
                <w:sz w:val="16"/>
                <w:szCs w:val="16"/>
                <w:lang w:val="en-US"/>
              </w:rPr>
              <w:t>of  Depositor</w:t>
            </w:r>
            <w:proofErr w:type="gramEnd"/>
            <w:r w:rsidRPr="00E16672">
              <w:rPr>
                <w:rFonts w:ascii="Times New Roman" w:eastAsia="Arial" w:hAnsi="Times New Roman"/>
                <w:color w:val="000000"/>
                <w:sz w:val="16"/>
                <w:szCs w:val="16"/>
                <w:lang w:val="en-US"/>
              </w:rPr>
              <w:t xml:space="preserve"> may be provided as an electronic document using a </w:t>
            </w:r>
            <w:proofErr w:type="spellStart"/>
            <w:r w:rsidRPr="00E16672">
              <w:rPr>
                <w:rStyle w:val="shorttext"/>
                <w:rFonts w:ascii="Times New Roman" w:hAnsi="Times New Roman"/>
                <w:sz w:val="16"/>
              </w:rPr>
              <w:t>qualified</w:t>
            </w:r>
            <w:proofErr w:type="spellEnd"/>
            <w:r w:rsidRPr="00E16672">
              <w:rPr>
                <w:rFonts w:ascii="Times New Roman" w:eastAsia="Arial" w:hAnsi="Times New Roman"/>
                <w:color w:val="000000"/>
                <w:sz w:val="8"/>
                <w:szCs w:val="16"/>
                <w:lang w:val="en-US"/>
              </w:rPr>
              <w:t xml:space="preserve"> </w:t>
            </w:r>
            <w:proofErr w:type="spellStart"/>
            <w:r w:rsidRPr="00E16672">
              <w:rPr>
                <w:rFonts w:ascii="Times New Roman" w:hAnsi="Times New Roman"/>
                <w:color w:val="000000"/>
                <w:spacing w:val="-9"/>
                <w:sz w:val="16"/>
                <w:szCs w:val="16"/>
                <w:shd w:val="clear" w:color="auto" w:fill="FFFFFF"/>
              </w:rPr>
              <w:t>electronic</w:t>
            </w:r>
            <w:proofErr w:type="spellEnd"/>
            <w:r w:rsidRPr="00E16672" w:rsidDel="00910781">
              <w:rPr>
                <w:rFonts w:ascii="Times New Roman" w:eastAsia="Arial" w:hAnsi="Times New Roman"/>
                <w:color w:val="000000"/>
                <w:sz w:val="16"/>
                <w:szCs w:val="16"/>
                <w:lang w:val="en-US"/>
              </w:rPr>
              <w:t xml:space="preserve"> </w:t>
            </w:r>
            <w:r w:rsidRPr="00E16672">
              <w:rPr>
                <w:rFonts w:ascii="Times New Roman" w:eastAsia="Arial" w:hAnsi="Times New Roman"/>
                <w:color w:val="000000"/>
                <w:sz w:val="16"/>
                <w:szCs w:val="16"/>
                <w:lang w:val="en-US"/>
              </w:rPr>
              <w:t xml:space="preserve">signature and </w:t>
            </w:r>
            <w:proofErr w:type="spellStart"/>
            <w:r w:rsidRPr="00E16672">
              <w:rPr>
                <w:rFonts w:ascii="Times New Roman" w:hAnsi="Times New Roman"/>
                <w:color w:val="000000"/>
                <w:spacing w:val="-9"/>
                <w:sz w:val="16"/>
                <w:szCs w:val="16"/>
                <w:shd w:val="clear" w:color="auto" w:fill="FFFFFF"/>
              </w:rPr>
              <w:t>with</w:t>
            </w:r>
            <w:proofErr w:type="spellEnd"/>
            <w:r w:rsidRPr="00E16672">
              <w:rPr>
                <w:rFonts w:ascii="Times New Roman" w:hAnsi="Times New Roman"/>
                <w:color w:val="000000"/>
                <w:spacing w:val="-9"/>
                <w:sz w:val="16"/>
                <w:szCs w:val="16"/>
                <w:shd w:val="clear" w:color="auto" w:fill="FFFFFF"/>
              </w:rPr>
              <w:t xml:space="preserve"> </w:t>
            </w:r>
            <w:proofErr w:type="spellStart"/>
            <w:r w:rsidRPr="00E16672">
              <w:rPr>
                <w:rFonts w:ascii="Times New Roman" w:hAnsi="Times New Roman"/>
                <w:color w:val="000000"/>
                <w:spacing w:val="-9"/>
                <w:sz w:val="16"/>
                <w:szCs w:val="16"/>
                <w:shd w:val="clear" w:color="auto" w:fill="FFFFFF"/>
              </w:rPr>
              <w:t>an</w:t>
            </w:r>
            <w:proofErr w:type="spellEnd"/>
            <w:r w:rsidRPr="00E16672">
              <w:rPr>
                <w:rFonts w:ascii="Times New Roman" w:hAnsi="Times New Roman"/>
                <w:color w:val="000000"/>
                <w:spacing w:val="-9"/>
                <w:sz w:val="16"/>
                <w:szCs w:val="16"/>
                <w:shd w:val="clear" w:color="auto" w:fill="FFFFFF"/>
              </w:rPr>
              <w:t xml:space="preserve"> </w:t>
            </w:r>
            <w:proofErr w:type="spellStart"/>
            <w:r w:rsidRPr="00E16672">
              <w:rPr>
                <w:rStyle w:val="shorttext"/>
                <w:rFonts w:ascii="Times New Roman" w:hAnsi="Times New Roman"/>
                <w:sz w:val="16"/>
              </w:rPr>
              <w:t>qualified</w:t>
            </w:r>
            <w:proofErr w:type="spellEnd"/>
            <w:r w:rsidRPr="00E16672">
              <w:rPr>
                <w:rFonts w:ascii="Times New Roman" w:eastAsia="Arial" w:hAnsi="Times New Roman"/>
                <w:color w:val="000000"/>
                <w:sz w:val="8"/>
                <w:szCs w:val="16"/>
                <w:lang w:val="en-US"/>
              </w:rPr>
              <w:t xml:space="preserve"> </w:t>
            </w:r>
            <w:proofErr w:type="spellStart"/>
            <w:r w:rsidRPr="00E16672">
              <w:rPr>
                <w:rFonts w:ascii="Times New Roman" w:hAnsi="Times New Roman"/>
                <w:color w:val="000000"/>
                <w:spacing w:val="-9"/>
                <w:sz w:val="16"/>
                <w:szCs w:val="16"/>
                <w:shd w:val="clear" w:color="auto" w:fill="FFFFFF"/>
              </w:rPr>
              <w:t>electronic</w:t>
            </w:r>
            <w:proofErr w:type="spellEnd"/>
            <w:r w:rsidRPr="00E16672">
              <w:rPr>
                <w:rFonts w:ascii="Times New Roman" w:hAnsi="Times New Roman"/>
                <w:color w:val="000000"/>
                <w:spacing w:val="-9"/>
                <w:sz w:val="16"/>
                <w:szCs w:val="16"/>
                <w:shd w:val="clear" w:color="auto" w:fill="FFFFFF"/>
              </w:rPr>
              <w:t xml:space="preserve"> </w:t>
            </w:r>
            <w:proofErr w:type="spellStart"/>
            <w:r w:rsidRPr="00E16672">
              <w:rPr>
                <w:rFonts w:ascii="Times New Roman" w:hAnsi="Times New Roman"/>
                <w:color w:val="000000"/>
                <w:spacing w:val="-9"/>
                <w:sz w:val="16"/>
                <w:szCs w:val="16"/>
                <w:shd w:val="clear" w:color="auto" w:fill="FFFFFF"/>
              </w:rPr>
              <w:t>signature</w:t>
            </w:r>
            <w:proofErr w:type="spellEnd"/>
            <w:r w:rsidRPr="00E16672">
              <w:rPr>
                <w:rFonts w:ascii="Times New Roman" w:hAnsi="Times New Roman"/>
                <w:color w:val="000000"/>
                <w:spacing w:val="-9"/>
                <w:sz w:val="16"/>
                <w:szCs w:val="16"/>
                <w:shd w:val="clear" w:color="auto" w:fill="FFFFFF"/>
              </w:rPr>
              <w:t xml:space="preserve">,  </w:t>
            </w:r>
            <w:proofErr w:type="spellStart"/>
            <w:r w:rsidRPr="00E16672">
              <w:rPr>
                <w:rFonts w:ascii="Times New Roman" w:hAnsi="Times New Roman"/>
                <w:color w:val="000000"/>
                <w:spacing w:val="-9"/>
                <w:sz w:val="16"/>
                <w:szCs w:val="16"/>
                <w:shd w:val="clear" w:color="auto" w:fill="FFFFFF"/>
              </w:rPr>
              <w:t>that</w:t>
            </w:r>
            <w:proofErr w:type="spellEnd"/>
            <w:r w:rsidRPr="00E16672">
              <w:rPr>
                <w:rFonts w:ascii="Times New Roman" w:hAnsi="Times New Roman"/>
                <w:color w:val="000000"/>
                <w:spacing w:val="-9"/>
                <w:sz w:val="16"/>
                <w:szCs w:val="16"/>
                <w:shd w:val="clear" w:color="auto" w:fill="FFFFFF"/>
              </w:rPr>
              <w:t xml:space="preserve"> </w:t>
            </w:r>
            <w:proofErr w:type="spellStart"/>
            <w:r w:rsidRPr="00E16672">
              <w:rPr>
                <w:rFonts w:ascii="Times New Roman" w:hAnsi="Times New Roman"/>
                <w:color w:val="000000"/>
                <w:spacing w:val="-9"/>
                <w:sz w:val="16"/>
                <w:szCs w:val="16"/>
                <w:shd w:val="clear" w:color="auto" w:fill="FFFFFF"/>
              </w:rPr>
              <w:t>the</w:t>
            </w:r>
            <w:proofErr w:type="spellEnd"/>
            <w:r w:rsidRPr="00E16672">
              <w:rPr>
                <w:rFonts w:ascii="Times New Roman" w:hAnsi="Times New Roman"/>
                <w:color w:val="000000"/>
                <w:spacing w:val="-9"/>
                <w:sz w:val="16"/>
                <w:szCs w:val="16"/>
                <w:shd w:val="clear" w:color="auto" w:fill="FFFFFF"/>
              </w:rPr>
              <w:t xml:space="preserve"> </w:t>
            </w:r>
            <w:proofErr w:type="spellStart"/>
            <w:r w:rsidRPr="00E16672">
              <w:rPr>
                <w:rFonts w:ascii="Times New Roman" w:hAnsi="Times New Roman"/>
                <w:color w:val="000000"/>
                <w:spacing w:val="-9"/>
                <w:sz w:val="16"/>
                <w:szCs w:val="16"/>
                <w:shd w:val="clear" w:color="auto" w:fill="FFFFFF"/>
              </w:rPr>
              <w:t>legal</w:t>
            </w:r>
            <w:proofErr w:type="spellEnd"/>
            <w:r w:rsidRPr="00E16672">
              <w:rPr>
                <w:rFonts w:ascii="Times New Roman" w:hAnsi="Times New Roman"/>
                <w:color w:val="000000"/>
                <w:spacing w:val="-9"/>
                <w:sz w:val="16"/>
                <w:szCs w:val="16"/>
                <w:shd w:val="clear" w:color="auto" w:fill="FFFFFF"/>
              </w:rPr>
              <w:t xml:space="preserve"> </w:t>
            </w:r>
            <w:proofErr w:type="spellStart"/>
            <w:r w:rsidRPr="00E16672">
              <w:rPr>
                <w:rFonts w:ascii="Times New Roman" w:hAnsi="Times New Roman"/>
                <w:color w:val="000000"/>
                <w:spacing w:val="-9"/>
                <w:sz w:val="16"/>
                <w:szCs w:val="16"/>
                <w:shd w:val="clear" w:color="auto" w:fill="FFFFFF"/>
              </w:rPr>
              <w:t>status</w:t>
            </w:r>
            <w:proofErr w:type="spellEnd"/>
            <w:r w:rsidRPr="00E16672">
              <w:rPr>
                <w:rFonts w:ascii="Times New Roman" w:hAnsi="Times New Roman"/>
                <w:color w:val="000000"/>
                <w:spacing w:val="-9"/>
                <w:sz w:val="16"/>
                <w:szCs w:val="16"/>
                <w:shd w:val="clear" w:color="auto" w:fill="FFFFFF"/>
              </w:rPr>
              <w:t xml:space="preserve"> </w:t>
            </w:r>
            <w:proofErr w:type="spellStart"/>
            <w:r w:rsidRPr="00E16672">
              <w:rPr>
                <w:rFonts w:ascii="Times New Roman" w:hAnsi="Times New Roman"/>
                <w:color w:val="000000"/>
                <w:spacing w:val="-9"/>
                <w:sz w:val="16"/>
                <w:szCs w:val="16"/>
                <w:shd w:val="clear" w:color="auto" w:fill="FFFFFF"/>
              </w:rPr>
              <w:t>equivalent</w:t>
            </w:r>
            <w:proofErr w:type="spellEnd"/>
            <w:r w:rsidRPr="00E16672">
              <w:rPr>
                <w:rFonts w:ascii="Times New Roman" w:hAnsi="Times New Roman"/>
                <w:color w:val="000000"/>
                <w:spacing w:val="-9"/>
                <w:sz w:val="16"/>
                <w:szCs w:val="16"/>
                <w:shd w:val="clear" w:color="auto" w:fill="FFFFFF"/>
              </w:rPr>
              <w:t xml:space="preserve"> </w:t>
            </w:r>
            <w:proofErr w:type="spellStart"/>
            <w:r w:rsidRPr="00E16672">
              <w:rPr>
                <w:rFonts w:ascii="Times New Roman" w:hAnsi="Times New Roman"/>
                <w:color w:val="000000"/>
                <w:spacing w:val="-9"/>
                <w:sz w:val="16"/>
                <w:szCs w:val="16"/>
                <w:shd w:val="clear" w:color="auto" w:fill="FFFFFF"/>
              </w:rPr>
              <w:t>to</w:t>
            </w:r>
            <w:proofErr w:type="spellEnd"/>
            <w:r w:rsidRPr="00E16672">
              <w:rPr>
                <w:rFonts w:ascii="Times New Roman" w:hAnsi="Times New Roman"/>
                <w:color w:val="000000"/>
                <w:spacing w:val="-9"/>
                <w:sz w:val="16"/>
                <w:szCs w:val="16"/>
                <w:shd w:val="clear" w:color="auto" w:fill="FFFFFF"/>
              </w:rPr>
              <w:t xml:space="preserve"> </w:t>
            </w:r>
            <w:proofErr w:type="spellStart"/>
            <w:r w:rsidRPr="00E16672">
              <w:rPr>
                <w:rFonts w:ascii="Times New Roman" w:hAnsi="Times New Roman"/>
                <w:color w:val="000000"/>
                <w:spacing w:val="-9"/>
                <w:sz w:val="16"/>
                <w:szCs w:val="16"/>
                <w:shd w:val="clear" w:color="auto" w:fill="FFFFFF"/>
              </w:rPr>
              <w:t>the</w:t>
            </w:r>
            <w:proofErr w:type="spellEnd"/>
            <w:r w:rsidRPr="00E16672">
              <w:rPr>
                <w:rFonts w:ascii="Times New Roman" w:hAnsi="Times New Roman"/>
                <w:color w:val="000000"/>
                <w:spacing w:val="-9"/>
                <w:sz w:val="16"/>
                <w:szCs w:val="16"/>
                <w:shd w:val="clear" w:color="auto" w:fill="FFFFFF"/>
              </w:rPr>
              <w:t xml:space="preserve"> </w:t>
            </w:r>
            <w:proofErr w:type="spellStart"/>
            <w:r w:rsidRPr="00E16672">
              <w:rPr>
                <w:rFonts w:ascii="Times New Roman" w:hAnsi="Times New Roman"/>
                <w:color w:val="000000"/>
                <w:spacing w:val="-9"/>
                <w:sz w:val="16"/>
                <w:szCs w:val="16"/>
                <w:shd w:val="clear" w:color="auto" w:fill="FFFFFF"/>
              </w:rPr>
              <w:t>seal</w:t>
            </w:r>
            <w:proofErr w:type="spellEnd"/>
            <w:r w:rsidRPr="00E16672">
              <w:rPr>
                <w:rFonts w:ascii="Times New Roman" w:hAnsi="Times New Roman"/>
                <w:color w:val="000000"/>
                <w:spacing w:val="-9"/>
                <w:sz w:val="16"/>
                <w:szCs w:val="16"/>
                <w:shd w:val="clear" w:color="auto" w:fill="FFFFFF"/>
              </w:rPr>
              <w:t xml:space="preserve"> </w:t>
            </w:r>
            <w:proofErr w:type="spellStart"/>
            <w:r w:rsidRPr="00E16672">
              <w:rPr>
                <w:rFonts w:ascii="Times New Roman" w:hAnsi="Times New Roman"/>
                <w:color w:val="000000"/>
                <w:spacing w:val="-9"/>
                <w:sz w:val="16"/>
                <w:szCs w:val="16"/>
                <w:shd w:val="clear" w:color="auto" w:fill="FFFFFF"/>
              </w:rPr>
              <w:t>of</w:t>
            </w:r>
            <w:proofErr w:type="spellEnd"/>
            <w:r w:rsidRPr="00E16672">
              <w:rPr>
                <w:rFonts w:ascii="Times New Roman" w:hAnsi="Times New Roman"/>
                <w:color w:val="000000"/>
                <w:spacing w:val="-9"/>
                <w:sz w:val="16"/>
                <w:szCs w:val="16"/>
                <w:shd w:val="clear" w:color="auto" w:fill="FFFFFF"/>
              </w:rPr>
              <w:t xml:space="preserve"> </w:t>
            </w:r>
            <w:proofErr w:type="spellStart"/>
            <w:r w:rsidRPr="00E16672">
              <w:rPr>
                <w:rFonts w:ascii="Times New Roman" w:hAnsi="Times New Roman"/>
                <w:color w:val="000000"/>
                <w:spacing w:val="-9"/>
                <w:sz w:val="16"/>
                <w:szCs w:val="16"/>
                <w:shd w:val="clear" w:color="auto" w:fill="FFFFFF"/>
              </w:rPr>
              <w:t>the</w:t>
            </w:r>
            <w:proofErr w:type="spellEnd"/>
            <w:r w:rsidRPr="00E16672">
              <w:rPr>
                <w:rFonts w:ascii="Times New Roman" w:hAnsi="Times New Roman"/>
                <w:color w:val="000000"/>
                <w:spacing w:val="-9"/>
                <w:sz w:val="16"/>
                <w:szCs w:val="16"/>
                <w:shd w:val="clear" w:color="auto" w:fill="FFFFFF"/>
              </w:rPr>
              <w:t xml:space="preserve"> </w:t>
            </w:r>
            <w:proofErr w:type="spellStart"/>
            <w:r w:rsidRPr="00E16672">
              <w:rPr>
                <w:rFonts w:ascii="Times New Roman" w:hAnsi="Times New Roman"/>
                <w:color w:val="000000"/>
                <w:spacing w:val="-9"/>
                <w:sz w:val="16"/>
                <w:szCs w:val="16"/>
                <w:shd w:val="clear" w:color="auto" w:fill="FFFFFF"/>
              </w:rPr>
              <w:t>legal</w:t>
            </w:r>
            <w:proofErr w:type="spellEnd"/>
            <w:r w:rsidRPr="00E16672">
              <w:rPr>
                <w:rFonts w:ascii="Times New Roman" w:hAnsi="Times New Roman"/>
                <w:color w:val="000000"/>
                <w:spacing w:val="-9"/>
                <w:sz w:val="16"/>
                <w:szCs w:val="16"/>
                <w:shd w:val="clear" w:color="auto" w:fill="FFFFFF"/>
              </w:rPr>
              <w:t xml:space="preserve"> </w:t>
            </w:r>
            <w:proofErr w:type="spellStart"/>
            <w:r w:rsidRPr="00E16672">
              <w:rPr>
                <w:rFonts w:ascii="Times New Roman" w:hAnsi="Times New Roman"/>
                <w:color w:val="000000"/>
                <w:spacing w:val="-9"/>
                <w:sz w:val="16"/>
                <w:szCs w:val="16"/>
                <w:shd w:val="clear" w:color="auto" w:fill="FFFFFF"/>
              </w:rPr>
              <w:t>entity</w:t>
            </w:r>
            <w:proofErr w:type="spellEnd"/>
            <w:r w:rsidRPr="00E16672">
              <w:rPr>
                <w:rFonts w:ascii="Times New Roman" w:hAnsi="Times New Roman"/>
                <w:color w:val="000000"/>
                <w:spacing w:val="-9"/>
                <w:sz w:val="16"/>
                <w:szCs w:val="16"/>
                <w:shd w:val="clear" w:color="auto" w:fill="FFFFFF"/>
              </w:rPr>
              <w:t xml:space="preserve"> (</w:t>
            </w:r>
            <w:r w:rsidRPr="00E16672">
              <w:rPr>
                <w:rFonts w:ascii="Times New Roman" w:hAnsi="Times New Roman"/>
                <w:color w:val="000000"/>
                <w:spacing w:val="-9"/>
                <w:sz w:val="16"/>
                <w:szCs w:val="16"/>
                <w:shd w:val="clear" w:color="auto" w:fill="FFFFFF"/>
                <w:lang w:val="en-US"/>
              </w:rPr>
              <w:t>in case of use</w:t>
            </w:r>
            <w:r w:rsidRPr="00E16672">
              <w:rPr>
                <w:rFonts w:ascii="Times New Roman" w:hAnsi="Times New Roman"/>
                <w:color w:val="000000"/>
                <w:spacing w:val="-9"/>
                <w:sz w:val="16"/>
                <w:szCs w:val="16"/>
                <w:shd w:val="clear" w:color="auto" w:fill="FFFFFF"/>
              </w:rPr>
              <w:t>)</w:t>
            </w:r>
            <w:r w:rsidRPr="00E16672">
              <w:rPr>
                <w:rFonts w:ascii="Times New Roman" w:eastAsia="Arial" w:hAnsi="Times New Roman"/>
                <w:color w:val="000000"/>
                <w:sz w:val="16"/>
                <w:szCs w:val="16"/>
                <w:lang w:val="en-US"/>
              </w:rPr>
              <w:t>.</w:t>
            </w:r>
            <w:r w:rsidRPr="00E16672">
              <w:rPr>
                <w:rFonts w:ascii="Times New Roman" w:eastAsia="Arial" w:hAnsi="Times New Roman"/>
                <w:color w:val="000000"/>
                <w:sz w:val="16"/>
                <w:szCs w:val="16"/>
              </w:rPr>
              <w:t xml:space="preserve"> </w:t>
            </w:r>
          </w:p>
          <w:p w14:paraId="0765334D" w14:textId="77777777" w:rsidR="00B335DD" w:rsidRPr="00E16672" w:rsidRDefault="00B335DD" w:rsidP="00B335DD">
            <w:pPr>
              <w:pStyle w:val="23"/>
              <w:ind w:left="175" w:right="138" w:firstLine="0"/>
              <w:rPr>
                <w:rFonts w:ascii="Times New Roman" w:eastAsia="Arial" w:hAnsi="Times New Roman"/>
                <w:color w:val="000000"/>
                <w:sz w:val="16"/>
                <w:szCs w:val="16"/>
              </w:rPr>
            </w:pPr>
            <w:r w:rsidRPr="00E16672">
              <w:rPr>
                <w:rFonts w:ascii="Times New Roman" w:eastAsia="Arial" w:hAnsi="Times New Roman"/>
                <w:color w:val="000000"/>
                <w:spacing w:val="-9"/>
                <w:sz w:val="16"/>
                <w:szCs w:val="16"/>
                <w:lang w:val="en-US"/>
              </w:rPr>
              <w:t>As the report provide the Depositor with extract of account in securities or extract of securities operations after the at least one accounting operation within three business days from the date of such operation.</w:t>
            </w:r>
          </w:p>
          <w:p w14:paraId="506DCC77" w14:textId="77777777" w:rsidR="00B335DD" w:rsidRPr="00E16672" w:rsidRDefault="00B335DD" w:rsidP="00B335DD">
            <w:pPr>
              <w:pStyle w:val="23"/>
              <w:ind w:left="175" w:right="138" w:firstLine="0"/>
              <w:rPr>
                <w:rFonts w:ascii="Times New Roman" w:eastAsia="Arial" w:hAnsi="Times New Roman"/>
                <w:color w:val="000000"/>
                <w:sz w:val="16"/>
                <w:szCs w:val="16"/>
              </w:rPr>
            </w:pPr>
          </w:p>
        </w:tc>
      </w:tr>
      <w:tr w:rsidR="00B335DD" w:rsidRPr="00F23413" w14:paraId="6B2A1E54" w14:textId="77777777" w:rsidTr="005E418B">
        <w:trPr>
          <w:trHeight w:val="192"/>
        </w:trPr>
        <w:tc>
          <w:tcPr>
            <w:tcW w:w="5695" w:type="dxa"/>
            <w:gridSpan w:val="6"/>
            <w:shd w:val="clear" w:color="auto" w:fill="auto"/>
          </w:tcPr>
          <w:p w14:paraId="6E47F477" w14:textId="77777777" w:rsidR="00B335DD" w:rsidRPr="00E16672" w:rsidRDefault="00B335DD" w:rsidP="00B335DD">
            <w:pPr>
              <w:pStyle w:val="210"/>
              <w:snapToGrid w:val="0"/>
              <w:ind w:left="182" w:right="138" w:firstLine="0"/>
              <w:rPr>
                <w:rFonts w:ascii="Times New Roman" w:hAnsi="Times New Roman"/>
                <w:color w:val="000000"/>
                <w:sz w:val="16"/>
                <w:szCs w:val="16"/>
              </w:rPr>
            </w:pPr>
            <w:r w:rsidRPr="00E16672">
              <w:rPr>
                <w:rFonts w:ascii="Times New Roman" w:hAnsi="Times New Roman"/>
                <w:color w:val="000000"/>
                <w:sz w:val="16"/>
                <w:szCs w:val="16"/>
              </w:rPr>
              <w:t>2.1.7. Надавати Депоненту інформаційні довідки про незавершені операції з цінними паперами за рахунком в цінних паперах Депонента</w:t>
            </w:r>
            <w:r w:rsidRPr="00E16672">
              <w:rPr>
                <w:rFonts w:ascii="Times New Roman" w:hAnsi="Times New Roman"/>
                <w:color w:val="000000"/>
                <w:sz w:val="16"/>
                <w:szCs w:val="20"/>
              </w:rPr>
              <w:t>, інші інформаційні довідки згідно вимог законодавства та внутрішніх документів Депозитарної установи,</w:t>
            </w:r>
            <w:r w:rsidRPr="00E16672">
              <w:rPr>
                <w:rFonts w:ascii="Times New Roman" w:hAnsi="Times New Roman"/>
                <w:color w:val="000000"/>
                <w:sz w:val="12"/>
                <w:szCs w:val="16"/>
              </w:rPr>
              <w:t xml:space="preserve"> </w:t>
            </w:r>
            <w:r w:rsidRPr="00E16672">
              <w:rPr>
                <w:rFonts w:ascii="Times New Roman" w:hAnsi="Times New Roman"/>
                <w:color w:val="000000"/>
                <w:sz w:val="16"/>
                <w:szCs w:val="16"/>
              </w:rPr>
              <w:t xml:space="preserve">на запит Депонента не пізніше </w:t>
            </w:r>
            <w:r w:rsidRPr="00E16672">
              <w:rPr>
                <w:rFonts w:ascii="Times New Roman" w:hAnsi="Times New Roman"/>
                <w:i/>
                <w:color w:val="000000"/>
                <w:sz w:val="16"/>
                <w:szCs w:val="16"/>
              </w:rPr>
              <w:t xml:space="preserve">трьох </w:t>
            </w:r>
            <w:r w:rsidRPr="00E16672">
              <w:rPr>
                <w:rFonts w:ascii="Times New Roman" w:hAnsi="Times New Roman"/>
                <w:color w:val="000000"/>
                <w:sz w:val="16"/>
                <w:szCs w:val="16"/>
              </w:rPr>
              <w:t xml:space="preserve">робочих днів з дня отримання відповідного запиту (розпорядження). </w:t>
            </w:r>
            <w:r w:rsidRPr="00E16672">
              <w:rPr>
                <w:rFonts w:ascii="Times New Roman" w:hAnsi="Times New Roman"/>
                <w:color w:val="000000"/>
                <w:spacing w:val="-9"/>
                <w:sz w:val="16"/>
                <w:szCs w:val="16"/>
              </w:rPr>
              <w:t>Інформаційна довідка надається Депоненту у спосіб</w:t>
            </w:r>
            <w:r w:rsidRPr="00E16672">
              <w:rPr>
                <w:rFonts w:ascii="Times New Roman" w:hAnsi="Times New Roman"/>
                <w:color w:val="000000"/>
                <w:sz w:val="16"/>
                <w:szCs w:val="16"/>
              </w:rPr>
              <w:t xml:space="preserve">, визначений у запиті  (розпорядженні)  про надання відповідної інформаційної довідки. </w:t>
            </w:r>
          </w:p>
          <w:p w14:paraId="597A6F8B" w14:textId="77777777" w:rsidR="00B335DD" w:rsidRPr="00E16672" w:rsidRDefault="00B335DD" w:rsidP="00B335DD">
            <w:pPr>
              <w:pStyle w:val="210"/>
              <w:snapToGrid w:val="0"/>
              <w:ind w:left="182" w:right="138" w:firstLine="0"/>
              <w:rPr>
                <w:rFonts w:ascii="Times New Roman" w:hAnsi="Times New Roman"/>
                <w:color w:val="000000"/>
                <w:sz w:val="16"/>
                <w:szCs w:val="16"/>
              </w:rPr>
            </w:pPr>
          </w:p>
        </w:tc>
        <w:tc>
          <w:tcPr>
            <w:tcW w:w="5495" w:type="dxa"/>
            <w:gridSpan w:val="6"/>
            <w:shd w:val="clear" w:color="auto" w:fill="auto"/>
          </w:tcPr>
          <w:p w14:paraId="4915FA24" w14:textId="77777777" w:rsidR="00B335DD" w:rsidRPr="00E16672" w:rsidRDefault="00B335DD" w:rsidP="00D048FE">
            <w:pPr>
              <w:pStyle w:val="210"/>
              <w:snapToGrid w:val="0"/>
              <w:ind w:left="142" w:right="100" w:firstLine="0"/>
              <w:rPr>
                <w:rFonts w:ascii="Times New Roman" w:hAnsi="Times New Roman"/>
                <w:color w:val="000000"/>
                <w:sz w:val="16"/>
                <w:szCs w:val="16"/>
              </w:rPr>
            </w:pPr>
            <w:r w:rsidRPr="00E16672">
              <w:rPr>
                <w:rFonts w:ascii="Times New Roman" w:hAnsi="Times New Roman"/>
                <w:color w:val="000000"/>
                <w:sz w:val="16"/>
                <w:szCs w:val="16"/>
              </w:rPr>
              <w:t xml:space="preserve">2.1.7. </w:t>
            </w:r>
            <w:proofErr w:type="spellStart"/>
            <w:r w:rsidRPr="00E16672">
              <w:rPr>
                <w:rFonts w:ascii="Times New Roman" w:hAnsi="Times New Roman"/>
                <w:color w:val="000000"/>
                <w:sz w:val="16"/>
                <w:szCs w:val="16"/>
              </w:rPr>
              <w:t>To</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provide</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Depositor</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with</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information</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sheet</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about</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the</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unfinished</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transactions</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in</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securities</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on</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the</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Depositor’s</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account</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in</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securities</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at</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the</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request</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of</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the</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Depositor</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i/>
                <w:color w:val="000000"/>
                <w:sz w:val="16"/>
                <w:szCs w:val="16"/>
              </w:rPr>
              <w:t>no</w:t>
            </w:r>
            <w:proofErr w:type="spellEnd"/>
            <w:r w:rsidRPr="00E16672">
              <w:rPr>
                <w:rFonts w:ascii="Times New Roman" w:hAnsi="Times New Roman"/>
                <w:i/>
                <w:color w:val="000000"/>
                <w:sz w:val="16"/>
                <w:szCs w:val="16"/>
              </w:rPr>
              <w:t xml:space="preserve"> </w:t>
            </w:r>
            <w:proofErr w:type="spellStart"/>
            <w:r w:rsidRPr="00E16672">
              <w:rPr>
                <w:rFonts w:ascii="Times New Roman" w:hAnsi="Times New Roman"/>
                <w:i/>
                <w:color w:val="000000"/>
                <w:sz w:val="16"/>
                <w:szCs w:val="16"/>
              </w:rPr>
              <w:t>later</w:t>
            </w:r>
            <w:proofErr w:type="spellEnd"/>
            <w:r w:rsidRPr="00E16672">
              <w:rPr>
                <w:rFonts w:ascii="Times New Roman" w:hAnsi="Times New Roman"/>
                <w:i/>
                <w:color w:val="000000"/>
                <w:sz w:val="16"/>
                <w:szCs w:val="16"/>
              </w:rPr>
              <w:t xml:space="preserve"> </w:t>
            </w:r>
            <w:proofErr w:type="spellStart"/>
            <w:r w:rsidRPr="00E16672">
              <w:rPr>
                <w:rFonts w:ascii="Times New Roman" w:hAnsi="Times New Roman"/>
                <w:i/>
                <w:color w:val="000000"/>
                <w:sz w:val="16"/>
                <w:szCs w:val="16"/>
              </w:rPr>
              <w:t>than</w:t>
            </w:r>
            <w:proofErr w:type="spellEnd"/>
            <w:r w:rsidRPr="00E16672">
              <w:rPr>
                <w:rFonts w:ascii="Times New Roman" w:hAnsi="Times New Roman"/>
                <w:i/>
                <w:color w:val="000000"/>
                <w:sz w:val="16"/>
                <w:szCs w:val="16"/>
              </w:rPr>
              <w:t xml:space="preserve"> </w:t>
            </w:r>
            <w:proofErr w:type="spellStart"/>
            <w:r w:rsidRPr="00E16672">
              <w:rPr>
                <w:rFonts w:ascii="Times New Roman" w:hAnsi="Times New Roman"/>
                <w:i/>
                <w:color w:val="000000"/>
                <w:sz w:val="16"/>
                <w:szCs w:val="16"/>
              </w:rPr>
              <w:t>three</w:t>
            </w:r>
            <w:proofErr w:type="spellEnd"/>
            <w:r w:rsidRPr="00E16672">
              <w:rPr>
                <w:rFonts w:ascii="Times New Roman" w:hAnsi="Times New Roman"/>
                <w:i/>
                <w:color w:val="000000"/>
                <w:sz w:val="16"/>
                <w:szCs w:val="16"/>
              </w:rPr>
              <w:t xml:space="preserve"> </w:t>
            </w:r>
            <w:proofErr w:type="spellStart"/>
            <w:r w:rsidRPr="00E16672">
              <w:rPr>
                <w:rFonts w:ascii="Times New Roman" w:hAnsi="Times New Roman"/>
                <w:i/>
                <w:color w:val="000000"/>
                <w:sz w:val="16"/>
                <w:szCs w:val="16"/>
              </w:rPr>
              <w:t>working</w:t>
            </w:r>
            <w:proofErr w:type="spellEnd"/>
            <w:r w:rsidRPr="00E16672">
              <w:rPr>
                <w:rFonts w:ascii="Times New Roman" w:hAnsi="Times New Roman"/>
                <w:i/>
                <w:color w:val="000000"/>
                <w:sz w:val="16"/>
                <w:szCs w:val="16"/>
              </w:rPr>
              <w:t xml:space="preserve"> </w:t>
            </w:r>
            <w:proofErr w:type="spellStart"/>
            <w:r w:rsidRPr="00E16672">
              <w:rPr>
                <w:rFonts w:ascii="Times New Roman" w:hAnsi="Times New Roman"/>
                <w:i/>
                <w:color w:val="000000"/>
                <w:sz w:val="16"/>
                <w:szCs w:val="16"/>
              </w:rPr>
              <w:t>days</w:t>
            </w:r>
            <w:proofErr w:type="spellEnd"/>
            <w:r w:rsidRPr="00E16672">
              <w:rPr>
                <w:rFonts w:ascii="Times New Roman" w:hAnsi="Times New Roman"/>
                <w:i/>
                <w:color w:val="000000"/>
                <w:sz w:val="16"/>
                <w:szCs w:val="16"/>
              </w:rPr>
              <w:t xml:space="preserve"> </w:t>
            </w:r>
            <w:proofErr w:type="spellStart"/>
            <w:r w:rsidRPr="00E16672">
              <w:rPr>
                <w:rFonts w:ascii="Times New Roman" w:eastAsia="Arial" w:hAnsi="Times New Roman"/>
                <w:color w:val="000000"/>
                <w:spacing w:val="-9"/>
                <w:sz w:val="16"/>
                <w:szCs w:val="16"/>
              </w:rPr>
              <w:t>after</w:t>
            </w:r>
            <w:proofErr w:type="spellEnd"/>
            <w:r w:rsidRPr="00E16672">
              <w:rPr>
                <w:rFonts w:ascii="Times New Roman" w:eastAsia="Arial" w:hAnsi="Times New Roman"/>
                <w:color w:val="000000"/>
                <w:spacing w:val="-9"/>
                <w:sz w:val="16"/>
                <w:szCs w:val="16"/>
              </w:rPr>
              <w:t xml:space="preserve"> </w:t>
            </w:r>
            <w:proofErr w:type="spellStart"/>
            <w:r w:rsidRPr="00E16672">
              <w:rPr>
                <w:rFonts w:ascii="Times New Roman" w:eastAsia="Arial" w:hAnsi="Times New Roman"/>
                <w:color w:val="000000"/>
                <w:spacing w:val="-9"/>
                <w:sz w:val="16"/>
                <w:szCs w:val="16"/>
              </w:rPr>
              <w:t>receipt</w:t>
            </w:r>
            <w:proofErr w:type="spellEnd"/>
            <w:r w:rsidRPr="00E16672">
              <w:rPr>
                <w:rFonts w:ascii="Times New Roman" w:eastAsia="Arial" w:hAnsi="Times New Roman"/>
                <w:color w:val="000000"/>
                <w:spacing w:val="-9"/>
                <w:sz w:val="16"/>
                <w:szCs w:val="16"/>
              </w:rPr>
              <w:t xml:space="preserve"> </w:t>
            </w:r>
            <w:proofErr w:type="spellStart"/>
            <w:r w:rsidRPr="00E16672">
              <w:rPr>
                <w:rFonts w:ascii="Times New Roman" w:eastAsia="Arial" w:hAnsi="Times New Roman"/>
                <w:color w:val="000000"/>
                <w:spacing w:val="-9"/>
                <w:sz w:val="16"/>
                <w:szCs w:val="16"/>
              </w:rPr>
              <w:t>of</w:t>
            </w:r>
            <w:proofErr w:type="spellEnd"/>
            <w:r w:rsidRPr="00E16672">
              <w:rPr>
                <w:rFonts w:ascii="Times New Roman" w:eastAsia="Arial" w:hAnsi="Times New Roman"/>
                <w:color w:val="000000"/>
                <w:spacing w:val="-9"/>
                <w:sz w:val="16"/>
                <w:szCs w:val="16"/>
              </w:rPr>
              <w:t xml:space="preserve"> </w:t>
            </w:r>
            <w:proofErr w:type="spellStart"/>
            <w:r w:rsidRPr="00E16672">
              <w:rPr>
                <w:rFonts w:ascii="Times New Roman" w:eastAsia="Arial" w:hAnsi="Times New Roman"/>
                <w:color w:val="000000"/>
                <w:spacing w:val="-9"/>
                <w:sz w:val="16"/>
                <w:szCs w:val="16"/>
              </w:rPr>
              <w:t>such</w:t>
            </w:r>
            <w:proofErr w:type="spellEnd"/>
            <w:r w:rsidRPr="00E16672">
              <w:rPr>
                <w:rFonts w:ascii="Times New Roman" w:eastAsia="Arial" w:hAnsi="Times New Roman"/>
                <w:color w:val="000000"/>
                <w:spacing w:val="-9"/>
                <w:sz w:val="16"/>
                <w:szCs w:val="16"/>
              </w:rPr>
              <w:t xml:space="preserve"> </w:t>
            </w:r>
            <w:proofErr w:type="spellStart"/>
            <w:r w:rsidRPr="00E16672">
              <w:rPr>
                <w:rFonts w:ascii="Times New Roman" w:eastAsia="Arial" w:hAnsi="Times New Roman"/>
                <w:color w:val="000000"/>
                <w:spacing w:val="-9"/>
                <w:sz w:val="16"/>
                <w:szCs w:val="16"/>
              </w:rPr>
              <w:t>request</w:t>
            </w:r>
            <w:proofErr w:type="spellEnd"/>
            <w:r w:rsidRPr="00E16672">
              <w:rPr>
                <w:rFonts w:ascii="Times New Roman" w:eastAsia="Arial" w:hAnsi="Times New Roman"/>
                <w:color w:val="000000"/>
                <w:spacing w:val="-9"/>
                <w:sz w:val="16"/>
                <w:szCs w:val="16"/>
              </w:rPr>
              <w:t xml:space="preserve"> </w:t>
            </w:r>
            <w:r w:rsidRPr="00E16672">
              <w:rPr>
                <w:rStyle w:val="shorttext"/>
                <w:rFonts w:ascii="Times New Roman" w:hAnsi="Times New Roman"/>
                <w:sz w:val="16"/>
              </w:rPr>
              <w:t>(</w:t>
            </w:r>
            <w:proofErr w:type="spellStart"/>
            <w:r w:rsidRPr="00E16672">
              <w:rPr>
                <w:rStyle w:val="shorttext"/>
                <w:rFonts w:ascii="Times New Roman" w:hAnsi="Times New Roman"/>
                <w:sz w:val="16"/>
              </w:rPr>
              <w:t>order</w:t>
            </w:r>
            <w:proofErr w:type="spellEnd"/>
            <w:r w:rsidRPr="00E16672">
              <w:rPr>
                <w:rStyle w:val="shorttext"/>
                <w:rFonts w:ascii="Times New Roman" w:hAnsi="Times New Roman"/>
                <w:sz w:val="16"/>
              </w:rPr>
              <w:t>)</w:t>
            </w:r>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Information</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sheet</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is</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provided</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to</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Depositor</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in</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the</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manner</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specified</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in</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the</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request</w:t>
            </w:r>
            <w:proofErr w:type="spellEnd"/>
            <w:r w:rsidRPr="00E16672">
              <w:rPr>
                <w:rFonts w:ascii="Times New Roman" w:hAnsi="Times New Roman"/>
                <w:color w:val="000000"/>
                <w:sz w:val="16"/>
                <w:szCs w:val="16"/>
              </w:rPr>
              <w:t xml:space="preserve"> </w:t>
            </w:r>
            <w:r w:rsidRPr="00E16672">
              <w:rPr>
                <w:rStyle w:val="shorttext"/>
                <w:rFonts w:ascii="Times New Roman" w:hAnsi="Times New Roman"/>
                <w:sz w:val="16"/>
              </w:rPr>
              <w:t>(</w:t>
            </w:r>
            <w:proofErr w:type="spellStart"/>
            <w:r w:rsidRPr="00E16672">
              <w:rPr>
                <w:rStyle w:val="shorttext"/>
                <w:rFonts w:ascii="Times New Roman" w:hAnsi="Times New Roman"/>
                <w:sz w:val="16"/>
              </w:rPr>
              <w:t>order</w:t>
            </w:r>
            <w:proofErr w:type="spellEnd"/>
            <w:r w:rsidRPr="00E16672">
              <w:rPr>
                <w:rStyle w:val="shorttext"/>
                <w:rFonts w:ascii="Times New Roman" w:hAnsi="Times New Roman"/>
                <w:sz w:val="16"/>
              </w:rPr>
              <w:t>)</w:t>
            </w:r>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for</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relevant</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information</w:t>
            </w:r>
            <w:proofErr w:type="spellEnd"/>
            <w:r w:rsidRPr="00E16672">
              <w:rPr>
                <w:rFonts w:ascii="Times New Roman" w:hAnsi="Times New Roman"/>
                <w:color w:val="000000"/>
                <w:sz w:val="16"/>
                <w:szCs w:val="16"/>
              </w:rPr>
              <w:t>.</w:t>
            </w:r>
          </w:p>
        </w:tc>
      </w:tr>
      <w:tr w:rsidR="00B335DD" w:rsidRPr="00F23413" w14:paraId="3617AC7F" w14:textId="77777777" w:rsidTr="005E418B">
        <w:trPr>
          <w:trHeight w:val="192"/>
        </w:trPr>
        <w:tc>
          <w:tcPr>
            <w:tcW w:w="5695" w:type="dxa"/>
            <w:gridSpan w:val="6"/>
            <w:shd w:val="clear" w:color="auto" w:fill="auto"/>
          </w:tcPr>
          <w:p w14:paraId="49DA61E5" w14:textId="77777777" w:rsidR="00B335DD" w:rsidRPr="00E16672" w:rsidRDefault="00B335DD" w:rsidP="00B335DD">
            <w:pPr>
              <w:pStyle w:val="23"/>
              <w:tabs>
                <w:tab w:val="left" w:pos="576"/>
                <w:tab w:val="left" w:pos="588"/>
              </w:tabs>
              <w:ind w:left="182" w:right="138" w:firstLine="0"/>
              <w:rPr>
                <w:rFonts w:ascii="Times New Roman" w:hAnsi="Times New Roman"/>
                <w:color w:val="000000"/>
                <w:sz w:val="16"/>
                <w:szCs w:val="16"/>
              </w:rPr>
            </w:pPr>
            <w:r w:rsidRPr="00E16672">
              <w:rPr>
                <w:rFonts w:ascii="Times New Roman" w:hAnsi="Times New Roman"/>
                <w:color w:val="000000"/>
                <w:sz w:val="16"/>
                <w:szCs w:val="16"/>
              </w:rPr>
              <w:t xml:space="preserve">2.1.8. </w:t>
            </w:r>
            <w:r w:rsidRPr="00E16672">
              <w:rPr>
                <w:rFonts w:ascii="Times New Roman" w:hAnsi="Times New Roman"/>
                <w:sz w:val="16"/>
                <w:szCs w:val="16"/>
              </w:rPr>
              <w:t xml:space="preserve">Повідомляти Депонента про проведення коригувальної операції у разі виявлення технічної помилки, допущеної при виконанні депозитарної операції, протягом </w:t>
            </w:r>
            <w:r w:rsidRPr="00E16672">
              <w:rPr>
                <w:rFonts w:ascii="Times New Roman" w:hAnsi="Times New Roman"/>
                <w:i/>
                <w:iCs/>
                <w:sz w:val="16"/>
                <w:szCs w:val="16"/>
              </w:rPr>
              <w:t xml:space="preserve">трьох </w:t>
            </w:r>
            <w:r w:rsidRPr="00E16672">
              <w:rPr>
                <w:rFonts w:ascii="Times New Roman" w:hAnsi="Times New Roman"/>
                <w:sz w:val="16"/>
                <w:szCs w:val="16"/>
              </w:rPr>
              <w:t xml:space="preserve">робочих днів </w:t>
            </w:r>
            <w:r w:rsidRPr="00E16672">
              <w:rPr>
                <w:rFonts w:ascii="Times New Roman" w:hAnsi="Times New Roman"/>
                <w:color w:val="000000"/>
                <w:sz w:val="16"/>
                <w:szCs w:val="16"/>
              </w:rPr>
              <w:t>з дня проведення коригувальної операції шляхом направлення листа із відповідним повідомленням в адресу Депонента, визначену в анкеті рахунку в цінних паперах Депонента.</w:t>
            </w:r>
          </w:p>
          <w:p w14:paraId="59EA5EE3" w14:textId="77777777" w:rsidR="00B335DD" w:rsidRPr="00E16672" w:rsidRDefault="00B335DD" w:rsidP="00B335DD">
            <w:pPr>
              <w:pStyle w:val="23"/>
              <w:tabs>
                <w:tab w:val="left" w:pos="576"/>
                <w:tab w:val="left" w:pos="588"/>
              </w:tabs>
              <w:ind w:left="182" w:right="138" w:firstLine="0"/>
              <w:rPr>
                <w:rFonts w:ascii="Times New Roman" w:hAnsi="Times New Roman"/>
                <w:color w:val="000000"/>
                <w:spacing w:val="-9"/>
                <w:sz w:val="16"/>
                <w:szCs w:val="16"/>
                <w:shd w:val="clear" w:color="auto" w:fill="FFFFFF"/>
              </w:rPr>
            </w:pPr>
          </w:p>
        </w:tc>
        <w:tc>
          <w:tcPr>
            <w:tcW w:w="5495" w:type="dxa"/>
            <w:gridSpan w:val="6"/>
            <w:shd w:val="clear" w:color="auto" w:fill="auto"/>
          </w:tcPr>
          <w:p w14:paraId="0F471C5C" w14:textId="77777777" w:rsidR="00B335DD" w:rsidRPr="00E16672" w:rsidRDefault="00B335DD" w:rsidP="00D048FE">
            <w:pPr>
              <w:pStyle w:val="210"/>
              <w:snapToGrid w:val="0"/>
              <w:ind w:left="142" w:right="100" w:firstLine="0"/>
              <w:rPr>
                <w:rFonts w:ascii="Times New Roman" w:hAnsi="Times New Roman"/>
                <w:color w:val="000000"/>
                <w:sz w:val="16"/>
                <w:szCs w:val="16"/>
              </w:rPr>
            </w:pPr>
            <w:r w:rsidRPr="00E16672">
              <w:rPr>
                <w:rFonts w:ascii="Times New Roman" w:hAnsi="Times New Roman"/>
                <w:color w:val="000000"/>
                <w:sz w:val="16"/>
                <w:szCs w:val="16"/>
              </w:rPr>
              <w:t>2.1.</w:t>
            </w:r>
            <w:r w:rsidRPr="00E16672">
              <w:rPr>
                <w:rFonts w:ascii="Times New Roman" w:hAnsi="Times New Roman"/>
                <w:color w:val="000000"/>
                <w:sz w:val="16"/>
                <w:szCs w:val="16"/>
                <w:lang w:val="en-GB"/>
              </w:rPr>
              <w:t>8</w:t>
            </w:r>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Notify</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the</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Depositor</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of</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corrective</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operation</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in</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case</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of</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technical</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error</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made</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in</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the</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performance</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of</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depository</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operation</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i/>
                <w:color w:val="000000"/>
                <w:sz w:val="16"/>
                <w:szCs w:val="16"/>
              </w:rPr>
              <w:t>within</w:t>
            </w:r>
            <w:proofErr w:type="spellEnd"/>
            <w:r w:rsidRPr="00E16672">
              <w:rPr>
                <w:rFonts w:ascii="Times New Roman" w:hAnsi="Times New Roman"/>
                <w:i/>
                <w:color w:val="000000"/>
                <w:sz w:val="16"/>
                <w:szCs w:val="16"/>
              </w:rPr>
              <w:t xml:space="preserve"> </w:t>
            </w:r>
            <w:proofErr w:type="spellStart"/>
            <w:r w:rsidRPr="00E16672">
              <w:rPr>
                <w:rFonts w:ascii="Times New Roman" w:hAnsi="Times New Roman"/>
                <w:i/>
                <w:color w:val="000000"/>
                <w:sz w:val="16"/>
                <w:szCs w:val="16"/>
              </w:rPr>
              <w:t>three</w:t>
            </w:r>
            <w:proofErr w:type="spellEnd"/>
            <w:r w:rsidRPr="00E16672">
              <w:rPr>
                <w:rFonts w:ascii="Times New Roman" w:hAnsi="Times New Roman"/>
                <w:i/>
                <w:color w:val="000000"/>
                <w:sz w:val="16"/>
                <w:szCs w:val="16"/>
              </w:rPr>
              <w:t xml:space="preserve"> </w:t>
            </w:r>
            <w:proofErr w:type="spellStart"/>
            <w:r w:rsidRPr="00E16672">
              <w:rPr>
                <w:rFonts w:ascii="Times New Roman" w:hAnsi="Times New Roman"/>
                <w:i/>
                <w:color w:val="000000"/>
                <w:sz w:val="16"/>
                <w:szCs w:val="16"/>
              </w:rPr>
              <w:t>working</w:t>
            </w:r>
            <w:proofErr w:type="spellEnd"/>
            <w:r w:rsidRPr="00E16672">
              <w:rPr>
                <w:rFonts w:ascii="Times New Roman" w:hAnsi="Times New Roman"/>
                <w:i/>
                <w:color w:val="000000"/>
                <w:sz w:val="16"/>
                <w:szCs w:val="16"/>
              </w:rPr>
              <w:t xml:space="preserve"> </w:t>
            </w:r>
            <w:proofErr w:type="spellStart"/>
            <w:r w:rsidRPr="00E16672">
              <w:rPr>
                <w:rFonts w:ascii="Times New Roman" w:hAnsi="Times New Roman"/>
                <w:i/>
                <w:color w:val="000000"/>
                <w:sz w:val="16"/>
                <w:szCs w:val="16"/>
              </w:rPr>
              <w:t>days</w:t>
            </w:r>
            <w:proofErr w:type="spellEnd"/>
            <w:r w:rsidRPr="00E16672">
              <w:rPr>
                <w:rFonts w:ascii="Times New Roman" w:hAnsi="Times New Roman"/>
                <w:i/>
                <w:color w:val="000000"/>
                <w:sz w:val="16"/>
                <w:szCs w:val="16"/>
              </w:rPr>
              <w:t xml:space="preserve"> </w:t>
            </w:r>
            <w:r w:rsidRPr="00E16672">
              <w:rPr>
                <w:rFonts w:ascii="Times New Roman" w:hAnsi="Times New Roman"/>
                <w:i/>
                <w:color w:val="000000"/>
                <w:sz w:val="16"/>
                <w:szCs w:val="16"/>
                <w:lang w:val="en-GB"/>
              </w:rPr>
              <w:t xml:space="preserve"> </w:t>
            </w:r>
            <w:proofErr w:type="spellStart"/>
            <w:r w:rsidRPr="00E16672">
              <w:rPr>
                <w:rFonts w:ascii="Times New Roman" w:eastAsia="Arial" w:hAnsi="Times New Roman"/>
                <w:color w:val="000000"/>
                <w:spacing w:val="-9"/>
                <w:sz w:val="16"/>
                <w:szCs w:val="16"/>
              </w:rPr>
              <w:t>from</w:t>
            </w:r>
            <w:proofErr w:type="spellEnd"/>
            <w:r w:rsidRPr="00E16672">
              <w:rPr>
                <w:rFonts w:ascii="Times New Roman" w:eastAsia="Arial" w:hAnsi="Times New Roman"/>
                <w:color w:val="000000"/>
                <w:spacing w:val="-9"/>
                <w:sz w:val="16"/>
                <w:szCs w:val="16"/>
              </w:rPr>
              <w:t xml:space="preserve"> </w:t>
            </w:r>
            <w:proofErr w:type="spellStart"/>
            <w:r w:rsidRPr="00E16672">
              <w:rPr>
                <w:rFonts w:ascii="Times New Roman" w:eastAsia="Arial" w:hAnsi="Times New Roman"/>
                <w:color w:val="000000"/>
                <w:spacing w:val="-9"/>
                <w:sz w:val="16"/>
                <w:szCs w:val="16"/>
              </w:rPr>
              <w:t>the</w:t>
            </w:r>
            <w:proofErr w:type="spellEnd"/>
            <w:r w:rsidRPr="00E16672">
              <w:rPr>
                <w:rFonts w:ascii="Times New Roman" w:eastAsia="Arial" w:hAnsi="Times New Roman"/>
                <w:color w:val="000000"/>
                <w:spacing w:val="-9"/>
                <w:sz w:val="16"/>
                <w:szCs w:val="16"/>
              </w:rPr>
              <w:t xml:space="preserve"> </w:t>
            </w:r>
            <w:proofErr w:type="spellStart"/>
            <w:r w:rsidRPr="00E16672">
              <w:rPr>
                <w:rFonts w:ascii="Times New Roman" w:eastAsia="Arial" w:hAnsi="Times New Roman"/>
                <w:color w:val="000000"/>
                <w:spacing w:val="-9"/>
                <w:sz w:val="16"/>
                <w:szCs w:val="16"/>
              </w:rPr>
              <w:t>date</w:t>
            </w:r>
            <w:proofErr w:type="spellEnd"/>
            <w:r w:rsidRPr="00E16672">
              <w:rPr>
                <w:rFonts w:ascii="Times New Roman" w:eastAsia="Arial" w:hAnsi="Times New Roman"/>
                <w:color w:val="000000"/>
                <w:spacing w:val="-9"/>
                <w:sz w:val="16"/>
                <w:szCs w:val="16"/>
              </w:rPr>
              <w:t xml:space="preserve"> </w:t>
            </w:r>
            <w:proofErr w:type="spellStart"/>
            <w:r w:rsidRPr="00E16672">
              <w:rPr>
                <w:rFonts w:ascii="Times New Roman" w:eastAsia="Arial" w:hAnsi="Times New Roman"/>
                <w:color w:val="000000"/>
                <w:spacing w:val="-9"/>
                <w:sz w:val="16"/>
                <w:szCs w:val="16"/>
              </w:rPr>
              <w:t>of</w:t>
            </w:r>
            <w:proofErr w:type="spellEnd"/>
            <w:r w:rsidRPr="00E16672">
              <w:rPr>
                <w:rFonts w:ascii="Times New Roman" w:eastAsia="Arial" w:hAnsi="Times New Roman"/>
                <w:color w:val="000000"/>
                <w:spacing w:val="-9"/>
                <w:sz w:val="16"/>
                <w:szCs w:val="16"/>
              </w:rPr>
              <w:t xml:space="preserve"> </w:t>
            </w:r>
            <w:proofErr w:type="spellStart"/>
            <w:r w:rsidRPr="00E16672">
              <w:rPr>
                <w:rFonts w:ascii="Times New Roman" w:eastAsia="Arial" w:hAnsi="Times New Roman"/>
                <w:color w:val="000000"/>
                <w:spacing w:val="-9"/>
                <w:sz w:val="16"/>
                <w:szCs w:val="16"/>
              </w:rPr>
              <w:t>corrective</w:t>
            </w:r>
            <w:proofErr w:type="spellEnd"/>
            <w:r w:rsidRPr="00E16672">
              <w:rPr>
                <w:rFonts w:ascii="Times New Roman" w:eastAsia="Arial" w:hAnsi="Times New Roman"/>
                <w:color w:val="000000"/>
                <w:spacing w:val="-9"/>
                <w:sz w:val="16"/>
                <w:szCs w:val="16"/>
              </w:rPr>
              <w:t xml:space="preserve"> </w:t>
            </w:r>
            <w:proofErr w:type="spellStart"/>
            <w:r w:rsidRPr="00E16672">
              <w:rPr>
                <w:rFonts w:ascii="Times New Roman" w:eastAsia="Arial" w:hAnsi="Times New Roman"/>
                <w:color w:val="000000"/>
                <w:spacing w:val="-9"/>
                <w:sz w:val="16"/>
                <w:szCs w:val="16"/>
              </w:rPr>
              <w:t>operation</w:t>
            </w:r>
            <w:proofErr w:type="spellEnd"/>
            <w:r w:rsidRPr="00E16672">
              <w:rPr>
                <w:rFonts w:ascii="Times New Roman" w:eastAsia="Arial" w:hAnsi="Times New Roman"/>
                <w:color w:val="000000"/>
                <w:spacing w:val="-9"/>
                <w:sz w:val="16"/>
                <w:szCs w:val="16"/>
              </w:rPr>
              <w:t xml:space="preserve"> </w:t>
            </w:r>
            <w:proofErr w:type="spellStart"/>
            <w:r w:rsidRPr="00E16672">
              <w:rPr>
                <w:rFonts w:ascii="Times New Roman" w:hAnsi="Times New Roman"/>
                <w:color w:val="000000"/>
                <w:sz w:val="16"/>
                <w:szCs w:val="16"/>
              </w:rPr>
              <w:t>by</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sending</w:t>
            </w:r>
            <w:proofErr w:type="spellEnd"/>
            <w:r w:rsidRPr="00E16672">
              <w:rPr>
                <w:rFonts w:ascii="Times New Roman" w:hAnsi="Times New Roman"/>
                <w:color w:val="000000"/>
                <w:sz w:val="16"/>
                <w:szCs w:val="16"/>
              </w:rPr>
              <w:t xml:space="preserve"> a </w:t>
            </w:r>
            <w:proofErr w:type="spellStart"/>
            <w:r w:rsidRPr="00E16672">
              <w:rPr>
                <w:rFonts w:ascii="Times New Roman" w:hAnsi="Times New Roman"/>
                <w:color w:val="000000"/>
                <w:sz w:val="16"/>
                <w:szCs w:val="16"/>
              </w:rPr>
              <w:t>letter</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of</w:t>
            </w:r>
            <w:proofErr w:type="spellEnd"/>
            <w:r w:rsidRPr="00E16672">
              <w:rPr>
                <w:rFonts w:ascii="Times New Roman" w:hAnsi="Times New Roman"/>
                <w:color w:val="000000"/>
                <w:sz w:val="16"/>
                <w:szCs w:val="16"/>
              </w:rPr>
              <w:t xml:space="preserve"> a </w:t>
            </w:r>
            <w:proofErr w:type="spellStart"/>
            <w:r w:rsidRPr="00E16672">
              <w:rPr>
                <w:rFonts w:ascii="Times New Roman" w:hAnsi="Times New Roman"/>
                <w:color w:val="000000"/>
                <w:sz w:val="16"/>
                <w:szCs w:val="16"/>
              </w:rPr>
              <w:t>notification</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to</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the</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Depositor’s</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address</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as</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determined</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in</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the</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Depositor’s</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form</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of</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the</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account</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in</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securities</w:t>
            </w:r>
            <w:proofErr w:type="spellEnd"/>
            <w:r w:rsidRPr="00E16672">
              <w:rPr>
                <w:rFonts w:ascii="Times New Roman" w:hAnsi="Times New Roman"/>
                <w:color w:val="000000"/>
                <w:sz w:val="16"/>
                <w:szCs w:val="16"/>
              </w:rPr>
              <w:t>.</w:t>
            </w:r>
          </w:p>
        </w:tc>
      </w:tr>
      <w:tr w:rsidR="00B335DD" w:rsidRPr="00F23413" w14:paraId="2C821E2F" w14:textId="77777777" w:rsidTr="005E418B">
        <w:trPr>
          <w:trHeight w:val="192"/>
        </w:trPr>
        <w:tc>
          <w:tcPr>
            <w:tcW w:w="5695" w:type="dxa"/>
            <w:gridSpan w:val="6"/>
            <w:shd w:val="clear" w:color="auto" w:fill="auto"/>
          </w:tcPr>
          <w:p w14:paraId="45414B05" w14:textId="77777777" w:rsidR="00B335DD" w:rsidRPr="00E16672" w:rsidRDefault="00B335DD" w:rsidP="00B335DD">
            <w:pPr>
              <w:pStyle w:val="af5"/>
              <w:spacing w:after="60"/>
              <w:ind w:left="182" w:right="138" w:firstLine="0"/>
              <w:jc w:val="both"/>
              <w:rPr>
                <w:rFonts w:ascii="Times New Roman" w:hAnsi="Times New Roman" w:cs="Times New Roman"/>
                <w:b w:val="0"/>
                <w:sz w:val="16"/>
                <w:szCs w:val="16"/>
              </w:rPr>
            </w:pPr>
            <w:r w:rsidRPr="00E16672">
              <w:rPr>
                <w:rFonts w:ascii="Times New Roman" w:hAnsi="Times New Roman" w:cs="Times New Roman"/>
                <w:b w:val="0"/>
                <w:sz w:val="16"/>
                <w:szCs w:val="16"/>
              </w:rPr>
              <w:t xml:space="preserve">2.1.9. Не виконувати дії та не надавати інформацію щодо цінних паперів, що належать Депоненту, або інформацію щодо Депонента без відповідних розпоряджень Депонента або розпорядника/керуючого рахунком </w:t>
            </w:r>
            <w:r w:rsidR="00C22309" w:rsidRPr="00E16672">
              <w:rPr>
                <w:rFonts w:ascii="Times New Roman" w:hAnsi="Times New Roman" w:cs="Times New Roman"/>
                <w:b w:val="0"/>
                <w:sz w:val="16"/>
                <w:szCs w:val="16"/>
              </w:rPr>
              <w:t>в цін</w:t>
            </w:r>
            <w:r w:rsidRPr="00E16672">
              <w:rPr>
                <w:rFonts w:ascii="Times New Roman" w:hAnsi="Times New Roman" w:cs="Times New Roman"/>
                <w:b w:val="0"/>
                <w:sz w:val="16"/>
                <w:szCs w:val="16"/>
              </w:rPr>
              <w:t>них паперах Депонента, крім випадків, передбачених законодавством та Договором.</w:t>
            </w:r>
          </w:p>
          <w:p w14:paraId="74E7D235" w14:textId="77777777" w:rsidR="00B335DD" w:rsidRPr="00E16672" w:rsidRDefault="00B335DD" w:rsidP="00B335DD">
            <w:pPr>
              <w:pStyle w:val="ab"/>
              <w:ind w:left="182" w:firstLine="0"/>
              <w:rPr>
                <w:rFonts w:ascii="Times New Roman" w:hAnsi="Times New Roman"/>
              </w:rPr>
            </w:pPr>
          </w:p>
        </w:tc>
        <w:tc>
          <w:tcPr>
            <w:tcW w:w="5495" w:type="dxa"/>
            <w:gridSpan w:val="6"/>
            <w:shd w:val="clear" w:color="auto" w:fill="auto"/>
          </w:tcPr>
          <w:p w14:paraId="7C7841D2" w14:textId="77777777" w:rsidR="00B335DD" w:rsidRPr="00E16672" w:rsidRDefault="00B335DD" w:rsidP="00B335DD">
            <w:pPr>
              <w:pStyle w:val="210"/>
              <w:snapToGrid w:val="0"/>
              <w:ind w:left="142" w:right="100" w:firstLine="0"/>
              <w:rPr>
                <w:rFonts w:ascii="Times New Roman" w:hAnsi="Times New Roman"/>
                <w:sz w:val="16"/>
                <w:szCs w:val="16"/>
                <w:lang w:val="en-GB"/>
              </w:rPr>
            </w:pPr>
            <w:r w:rsidRPr="00E16672">
              <w:rPr>
                <w:rFonts w:ascii="Times New Roman" w:hAnsi="Times New Roman"/>
                <w:sz w:val="16"/>
                <w:szCs w:val="16"/>
                <w:lang w:val="en-GB"/>
              </w:rPr>
              <w:t>2.1.9. Not to execute of any activities and not to provide with any information about the Depositor’s securities or information about the Depositor without the appropriate orders of Depositor or manager</w:t>
            </w:r>
            <w:r w:rsidRPr="00E16672">
              <w:rPr>
                <w:rFonts w:ascii="Times New Roman" w:hAnsi="Times New Roman"/>
                <w:sz w:val="16"/>
                <w:szCs w:val="16"/>
              </w:rPr>
              <w:t>/</w:t>
            </w:r>
            <w:r w:rsidRPr="00E16672">
              <w:rPr>
                <w:rFonts w:ascii="Times New Roman" w:hAnsi="Times New Roman"/>
                <w:sz w:val="16"/>
              </w:rPr>
              <w:t xml:space="preserve"> а</w:t>
            </w:r>
            <w:proofErr w:type="spellStart"/>
            <w:proofErr w:type="gramStart"/>
            <w:r w:rsidRPr="00E16672">
              <w:rPr>
                <w:rFonts w:ascii="Times New Roman" w:hAnsi="Times New Roman"/>
                <w:sz w:val="16"/>
                <w:lang w:val="en-US"/>
              </w:rPr>
              <w:t>dministrator</w:t>
            </w:r>
            <w:proofErr w:type="spellEnd"/>
            <w:r w:rsidRPr="00E16672">
              <w:rPr>
                <w:rFonts w:ascii="Times New Roman" w:hAnsi="Times New Roman"/>
                <w:b/>
                <w:sz w:val="16"/>
                <w:lang w:val="en-US"/>
              </w:rPr>
              <w:t xml:space="preserve">  </w:t>
            </w:r>
            <w:r w:rsidRPr="00E16672">
              <w:rPr>
                <w:rFonts w:ascii="Times New Roman" w:hAnsi="Times New Roman"/>
                <w:sz w:val="16"/>
                <w:szCs w:val="16"/>
                <w:lang w:val="en-GB"/>
              </w:rPr>
              <w:t>of</w:t>
            </w:r>
            <w:proofErr w:type="gramEnd"/>
            <w:r w:rsidRPr="00E16672">
              <w:rPr>
                <w:rFonts w:ascii="Times New Roman" w:hAnsi="Times New Roman"/>
                <w:sz w:val="16"/>
                <w:szCs w:val="16"/>
                <w:lang w:val="en-GB"/>
              </w:rPr>
              <w:t xml:space="preserve"> the account in securities of Depositor, except the cases, provided by the legislation  and Agreement.</w:t>
            </w:r>
          </w:p>
        </w:tc>
      </w:tr>
      <w:tr w:rsidR="00B335DD" w:rsidRPr="00F23413" w14:paraId="6136D879" w14:textId="77777777" w:rsidTr="005E418B">
        <w:trPr>
          <w:trHeight w:val="192"/>
        </w:trPr>
        <w:tc>
          <w:tcPr>
            <w:tcW w:w="5695" w:type="dxa"/>
            <w:gridSpan w:val="6"/>
            <w:shd w:val="clear" w:color="auto" w:fill="auto"/>
          </w:tcPr>
          <w:p w14:paraId="16CCC585" w14:textId="77777777" w:rsidR="00B335DD" w:rsidRPr="00E16672" w:rsidRDefault="00B335DD" w:rsidP="00022F5F">
            <w:pPr>
              <w:pStyle w:val="1b"/>
              <w:snapToGrid w:val="0"/>
              <w:spacing w:before="0" w:after="0"/>
              <w:ind w:left="182" w:right="138" w:firstLine="0"/>
              <w:jc w:val="left"/>
              <w:rPr>
                <w:rFonts w:ascii="Times New Roman" w:eastAsia="Times New Roman" w:hAnsi="Times New Roman" w:cs="Times New Roman"/>
                <w:bCs/>
                <w:color w:val="000000"/>
                <w:sz w:val="16"/>
                <w:szCs w:val="16"/>
                <w:shd w:val="clear" w:color="auto" w:fill="FFFFFF"/>
              </w:rPr>
            </w:pPr>
            <w:r w:rsidRPr="00E16672">
              <w:rPr>
                <w:rFonts w:ascii="Times New Roman" w:hAnsi="Times New Roman" w:cs="Times New Roman"/>
                <w:bCs/>
                <w:color w:val="000000"/>
                <w:sz w:val="16"/>
                <w:szCs w:val="16"/>
                <w:lang w:val="en-US"/>
              </w:rPr>
              <w:t xml:space="preserve">2.1.10. </w:t>
            </w:r>
            <w:r w:rsidRPr="00E16672">
              <w:rPr>
                <w:rFonts w:ascii="Times New Roman" w:hAnsi="Times New Roman" w:cs="Times New Roman"/>
                <w:bCs/>
                <w:color w:val="000000"/>
                <w:sz w:val="16"/>
                <w:szCs w:val="16"/>
              </w:rPr>
              <w:t>Надавати Центральному депозитарію</w:t>
            </w:r>
            <w:r w:rsidRPr="00E16672">
              <w:rPr>
                <w:rFonts w:ascii="Times New Roman" w:hAnsi="Times New Roman" w:cs="Times New Roman"/>
                <w:bCs/>
                <w:color w:val="000000"/>
                <w:sz w:val="20"/>
                <w:szCs w:val="20"/>
              </w:rPr>
              <w:t xml:space="preserve"> </w:t>
            </w:r>
            <w:r w:rsidRPr="00E16672">
              <w:rPr>
                <w:rFonts w:ascii="Times New Roman" w:hAnsi="Times New Roman" w:cs="Times New Roman"/>
                <w:bCs/>
                <w:color w:val="000000"/>
                <w:sz w:val="16"/>
                <w:szCs w:val="16"/>
              </w:rPr>
              <w:t>цінних паперів (далі – Центральний депозитарій) інформацію щодо Депонента,</w:t>
            </w:r>
            <w:r w:rsidRPr="00E16672">
              <w:rPr>
                <w:rFonts w:ascii="Times New Roman" w:hAnsi="Times New Roman" w:cs="Times New Roman"/>
                <w:bCs/>
                <w:color w:val="000000"/>
                <w:sz w:val="20"/>
                <w:szCs w:val="20"/>
              </w:rPr>
              <w:t xml:space="preserve"> </w:t>
            </w:r>
            <w:r w:rsidRPr="00E16672">
              <w:rPr>
                <w:rFonts w:ascii="Times New Roman" w:hAnsi="Times New Roman" w:cs="Times New Roman"/>
                <w:bCs/>
                <w:color w:val="000000"/>
                <w:sz w:val="16"/>
                <w:szCs w:val="16"/>
              </w:rPr>
              <w:t xml:space="preserve"> торговця цінними паперами, якому Депонентом надані повноваження на вчинення правочинів щодо цінних паперів в інтересах Депонента та цінних паперів, що належать Депоненту, яка необхідна для здійснення розрахунків за правочинами щодо цінних паперів з дотриманням принципу </w:t>
            </w:r>
            <w:r w:rsidR="00022F5F">
              <w:rPr>
                <w:rFonts w:ascii="Times New Roman" w:hAnsi="Times New Roman" w:cs="Times New Roman"/>
                <w:bCs/>
                <w:color w:val="000000"/>
                <w:sz w:val="16"/>
                <w:szCs w:val="16"/>
              </w:rPr>
              <w:t>"</w:t>
            </w:r>
            <w:r w:rsidRPr="00E16672">
              <w:rPr>
                <w:rFonts w:ascii="Times New Roman" w:hAnsi="Times New Roman" w:cs="Times New Roman"/>
                <w:bCs/>
                <w:color w:val="000000"/>
                <w:sz w:val="16"/>
                <w:szCs w:val="16"/>
              </w:rPr>
              <w:t>поставка цінних паперів проти оплати</w:t>
            </w:r>
            <w:r w:rsidR="00022F5F">
              <w:rPr>
                <w:rFonts w:ascii="Times New Roman" w:hAnsi="Times New Roman" w:cs="Times New Roman"/>
                <w:bCs/>
                <w:color w:val="000000"/>
                <w:sz w:val="16"/>
                <w:szCs w:val="16"/>
              </w:rPr>
              <w:t>"</w:t>
            </w:r>
            <w:r w:rsidRPr="00E16672">
              <w:rPr>
                <w:rFonts w:ascii="Times New Roman" w:hAnsi="Times New Roman" w:cs="Times New Roman"/>
                <w:bCs/>
                <w:color w:val="000000"/>
                <w:sz w:val="16"/>
                <w:szCs w:val="16"/>
              </w:rPr>
              <w:t>, з метою подальшого надання такої інформації Розрахунковому центру з обслуговування договорів на фінансових ринках (далі – Розрахунковий центр) чи кліринговій установі для її відображення у внутрішній системі обліку такої особи.</w:t>
            </w:r>
            <w:r w:rsidRPr="00E16672">
              <w:rPr>
                <w:rFonts w:ascii="Times New Roman" w:eastAsia="Times New Roman" w:hAnsi="Times New Roman" w:cs="Times New Roman"/>
                <w:bCs/>
                <w:color w:val="000000"/>
                <w:sz w:val="16"/>
                <w:szCs w:val="16"/>
                <w:shd w:val="clear" w:color="auto" w:fill="FFFFFF"/>
              </w:rPr>
              <w:t xml:space="preserve"> </w:t>
            </w:r>
          </w:p>
        </w:tc>
        <w:tc>
          <w:tcPr>
            <w:tcW w:w="5495" w:type="dxa"/>
            <w:gridSpan w:val="6"/>
            <w:shd w:val="clear" w:color="auto" w:fill="auto"/>
          </w:tcPr>
          <w:p w14:paraId="48C24DFE" w14:textId="77777777" w:rsidR="00B335DD" w:rsidRPr="00E16672" w:rsidRDefault="00B335DD" w:rsidP="00022F5F">
            <w:pPr>
              <w:ind w:left="142" w:right="100" w:firstLine="6"/>
              <w:jc w:val="left"/>
              <w:rPr>
                <w:rFonts w:ascii="Times New Roman" w:hAnsi="Times New Roman"/>
                <w:b/>
                <w:bCs/>
                <w:color w:val="000000"/>
                <w:sz w:val="16"/>
                <w:szCs w:val="16"/>
                <w:lang w:val="en-GB"/>
              </w:rPr>
            </w:pPr>
            <w:r w:rsidRPr="00E16672">
              <w:rPr>
                <w:rFonts w:ascii="Times New Roman" w:hAnsi="Times New Roman"/>
                <w:bCs/>
                <w:color w:val="000000"/>
                <w:sz w:val="16"/>
                <w:szCs w:val="16"/>
                <w:lang w:val="en-GB"/>
              </w:rPr>
              <w:t>2.1.10. Provide the Central Depository</w:t>
            </w:r>
            <w:r w:rsidRPr="00E16672">
              <w:rPr>
                <w:rFonts w:ascii="Times New Roman" w:hAnsi="Times New Roman"/>
                <w:bCs/>
                <w:color w:val="000000"/>
                <w:sz w:val="16"/>
                <w:szCs w:val="16"/>
                <w:lang w:val="en-US"/>
              </w:rPr>
              <w:t xml:space="preserve"> with an </w:t>
            </w:r>
            <w:r w:rsidRPr="00E16672">
              <w:rPr>
                <w:rFonts w:ascii="Times New Roman" w:hAnsi="Times New Roman"/>
                <w:bCs/>
                <w:color w:val="000000"/>
                <w:sz w:val="16"/>
                <w:szCs w:val="16"/>
                <w:lang w:val="en-GB"/>
              </w:rPr>
              <w:t xml:space="preserve">information </w:t>
            </w:r>
            <w:r w:rsidRPr="00E16672">
              <w:rPr>
                <w:rFonts w:ascii="Times New Roman" w:hAnsi="Times New Roman"/>
                <w:bCs/>
                <w:color w:val="000000"/>
                <w:sz w:val="16"/>
                <w:szCs w:val="16"/>
                <w:lang w:val="en-US"/>
              </w:rPr>
              <w:t>of</w:t>
            </w:r>
            <w:r w:rsidRPr="00E16672">
              <w:rPr>
                <w:rFonts w:ascii="Times New Roman" w:hAnsi="Times New Roman"/>
                <w:bCs/>
                <w:color w:val="000000"/>
                <w:sz w:val="16"/>
                <w:szCs w:val="16"/>
                <w:lang w:val="en-GB"/>
              </w:rPr>
              <w:t xml:space="preserve"> Depositor, securities trader, which the Depositor empowered to commit transactions in securities for the benefit of the Depositor and securities owned by the Depositor, which is necessary for settlement of legal actions in securities with the principle of </w:t>
            </w:r>
            <w:r w:rsidR="00022F5F">
              <w:rPr>
                <w:rFonts w:ascii="Times New Roman" w:hAnsi="Times New Roman"/>
                <w:color w:val="000000"/>
                <w:sz w:val="16"/>
                <w:szCs w:val="16"/>
                <w:lang w:val="en-GB"/>
              </w:rPr>
              <w:t>"</w:t>
            </w:r>
            <w:r w:rsidRPr="00E16672">
              <w:rPr>
                <w:rFonts w:ascii="Times New Roman" w:hAnsi="Times New Roman"/>
                <w:bCs/>
                <w:color w:val="000000"/>
                <w:sz w:val="16"/>
                <w:szCs w:val="16"/>
                <w:lang w:val="en-GB"/>
              </w:rPr>
              <w:t xml:space="preserve">supply of securities </w:t>
            </w:r>
            <w:r w:rsidRPr="00E16672">
              <w:rPr>
                <w:rFonts w:ascii="Times New Roman" w:eastAsia="Arial" w:hAnsi="Times New Roman"/>
                <w:color w:val="000000"/>
                <w:sz w:val="16"/>
                <w:szCs w:val="16"/>
                <w:lang w:val="en-US"/>
              </w:rPr>
              <w:t xml:space="preserve">against </w:t>
            </w:r>
            <w:r w:rsidRPr="00E16672">
              <w:rPr>
                <w:rFonts w:ascii="Times New Roman" w:hAnsi="Times New Roman"/>
                <w:bCs/>
                <w:color w:val="000000"/>
                <w:sz w:val="16"/>
                <w:szCs w:val="16"/>
                <w:lang w:val="en-GB"/>
              </w:rPr>
              <w:t>payment</w:t>
            </w:r>
            <w:r w:rsidR="00022F5F">
              <w:rPr>
                <w:rFonts w:ascii="Times New Roman" w:hAnsi="Times New Roman"/>
                <w:color w:val="000000"/>
                <w:sz w:val="16"/>
                <w:szCs w:val="16"/>
                <w:lang w:val="en-GB"/>
              </w:rPr>
              <w:t>"</w:t>
            </w:r>
            <w:r w:rsidRPr="00E16672">
              <w:rPr>
                <w:rFonts w:ascii="Times New Roman" w:hAnsi="Times New Roman"/>
                <w:bCs/>
                <w:color w:val="000000"/>
                <w:sz w:val="16"/>
                <w:szCs w:val="16"/>
                <w:lang w:val="en-GB"/>
              </w:rPr>
              <w:t xml:space="preserve"> for further disclosure of such information, to the Accounting </w:t>
            </w:r>
            <w:proofErr w:type="spellStart"/>
            <w:r w:rsidRPr="00E16672">
              <w:rPr>
                <w:rFonts w:ascii="Times New Roman" w:hAnsi="Times New Roman"/>
                <w:bCs/>
                <w:color w:val="000000"/>
                <w:sz w:val="16"/>
                <w:szCs w:val="16"/>
                <w:lang w:val="en-GB"/>
              </w:rPr>
              <w:t>Center</w:t>
            </w:r>
            <w:proofErr w:type="spellEnd"/>
            <w:r w:rsidRPr="00E16672">
              <w:rPr>
                <w:rFonts w:ascii="Times New Roman" w:hAnsi="Times New Roman"/>
                <w:bCs/>
                <w:color w:val="000000"/>
                <w:sz w:val="16"/>
                <w:szCs w:val="16"/>
                <w:lang w:val="en-GB"/>
              </w:rPr>
              <w:t xml:space="preserve"> of servicing contracts in the financial markets (hereinafter - Accounting </w:t>
            </w:r>
            <w:proofErr w:type="spellStart"/>
            <w:r w:rsidRPr="00E16672">
              <w:rPr>
                <w:rFonts w:ascii="Times New Roman" w:hAnsi="Times New Roman"/>
                <w:bCs/>
                <w:color w:val="000000"/>
                <w:sz w:val="16"/>
                <w:szCs w:val="16"/>
                <w:lang w:val="en-GB"/>
              </w:rPr>
              <w:t>Center</w:t>
            </w:r>
            <w:proofErr w:type="spellEnd"/>
            <w:r w:rsidRPr="00E16672">
              <w:rPr>
                <w:rFonts w:ascii="Times New Roman" w:hAnsi="Times New Roman"/>
                <w:bCs/>
                <w:color w:val="000000"/>
                <w:sz w:val="16"/>
                <w:szCs w:val="16"/>
                <w:lang w:val="en-GB"/>
              </w:rPr>
              <w:t xml:space="preserve">) or clearing institution to display it in the internal accounting system of such  </w:t>
            </w:r>
            <w:r w:rsidRPr="00E16672">
              <w:rPr>
                <w:rFonts w:ascii="Times New Roman" w:hAnsi="Times New Roman"/>
                <w:color w:val="000000"/>
                <w:sz w:val="16"/>
                <w:szCs w:val="16"/>
                <w:lang w:val="en-US"/>
              </w:rPr>
              <w:t>Depositor</w:t>
            </w:r>
            <w:r w:rsidRPr="00E16672">
              <w:rPr>
                <w:rFonts w:ascii="Times New Roman" w:hAnsi="Times New Roman"/>
                <w:bCs/>
                <w:color w:val="000000"/>
                <w:sz w:val="16"/>
                <w:szCs w:val="16"/>
                <w:lang w:val="en-GB"/>
              </w:rPr>
              <w:t>.</w:t>
            </w:r>
          </w:p>
        </w:tc>
      </w:tr>
      <w:tr w:rsidR="005C5318" w:rsidRPr="00F23413" w14:paraId="3DF26623" w14:textId="77777777" w:rsidTr="005E418B">
        <w:trPr>
          <w:trHeight w:val="192"/>
        </w:trPr>
        <w:tc>
          <w:tcPr>
            <w:tcW w:w="5695" w:type="dxa"/>
            <w:gridSpan w:val="6"/>
            <w:shd w:val="clear" w:color="auto" w:fill="auto"/>
          </w:tcPr>
          <w:p w14:paraId="101B7393" w14:textId="77777777" w:rsidR="005C5318" w:rsidRPr="00E16672" w:rsidRDefault="005C5318" w:rsidP="005C5318">
            <w:pPr>
              <w:pStyle w:val="1b"/>
              <w:spacing w:before="0" w:after="0"/>
              <w:ind w:left="182" w:right="138" w:firstLine="40"/>
              <w:rPr>
                <w:rFonts w:ascii="Times New Roman" w:hAnsi="Times New Roman" w:cs="Times New Roman"/>
                <w:color w:val="000000"/>
                <w:sz w:val="16"/>
                <w:szCs w:val="16"/>
              </w:rPr>
            </w:pPr>
            <w:r w:rsidRPr="00E16672">
              <w:rPr>
                <w:rFonts w:ascii="Times New Roman" w:hAnsi="Times New Roman" w:cs="Times New Roman"/>
                <w:color w:val="000000"/>
                <w:sz w:val="16"/>
                <w:szCs w:val="16"/>
              </w:rPr>
              <w:t xml:space="preserve">2.1.11. Виконувати за рахунком </w:t>
            </w:r>
            <w:r w:rsidR="00C22309" w:rsidRPr="00E16672">
              <w:rPr>
                <w:rFonts w:ascii="Times New Roman" w:hAnsi="Times New Roman" w:cs="Times New Roman"/>
                <w:color w:val="000000"/>
                <w:sz w:val="16"/>
                <w:szCs w:val="16"/>
              </w:rPr>
              <w:t>в цін</w:t>
            </w:r>
            <w:r w:rsidRPr="00E16672">
              <w:rPr>
                <w:rFonts w:ascii="Times New Roman" w:hAnsi="Times New Roman" w:cs="Times New Roman"/>
                <w:color w:val="000000"/>
                <w:sz w:val="16"/>
                <w:szCs w:val="16"/>
              </w:rPr>
              <w:t xml:space="preserve">них паперах Депонента, </w:t>
            </w:r>
            <w:r w:rsidRPr="00E16672">
              <w:rPr>
                <w:rFonts w:ascii="Times New Roman" w:hAnsi="Times New Roman" w:cs="Times New Roman"/>
                <w:bCs/>
                <w:color w:val="000000"/>
                <w:sz w:val="16"/>
                <w:szCs w:val="16"/>
              </w:rPr>
              <w:t>якщо Депонент</w:t>
            </w:r>
            <w:r w:rsidRPr="00E16672">
              <w:rPr>
                <w:rFonts w:ascii="Times New Roman" w:hAnsi="Times New Roman" w:cs="Times New Roman"/>
                <w:b/>
                <w:bCs/>
                <w:color w:val="000000"/>
                <w:sz w:val="16"/>
                <w:szCs w:val="16"/>
              </w:rPr>
              <w:t xml:space="preserve"> </w:t>
            </w:r>
            <w:r w:rsidRPr="00E16672">
              <w:rPr>
                <w:rFonts w:ascii="Times New Roman" w:hAnsi="Times New Roman" w:cs="Times New Roman"/>
                <w:color w:val="000000"/>
                <w:sz w:val="16"/>
                <w:szCs w:val="16"/>
              </w:rPr>
              <w:t xml:space="preserve">був узятий на облік Розрахунковим центром чи кліринговою установою, адміністративні операції, які визначені Регламентом Центрального депозитарію як такі, що можуть призвести до неможливості здійснення розрахунків </w:t>
            </w:r>
            <w:r w:rsidR="00C22309" w:rsidRPr="00E16672">
              <w:rPr>
                <w:rFonts w:ascii="Times New Roman" w:hAnsi="Times New Roman" w:cs="Times New Roman"/>
                <w:color w:val="000000"/>
                <w:sz w:val="16"/>
                <w:szCs w:val="16"/>
              </w:rPr>
              <w:t>в цін</w:t>
            </w:r>
            <w:r w:rsidRPr="00E16672">
              <w:rPr>
                <w:rFonts w:ascii="Times New Roman" w:hAnsi="Times New Roman" w:cs="Times New Roman"/>
                <w:color w:val="000000"/>
                <w:sz w:val="16"/>
                <w:szCs w:val="16"/>
              </w:rPr>
              <w:t>них паперах за результатами правочинів, тільки після отримання від Центрального депозитарію інформації про внесення до внутрішньої системи обліку Розрахункового центру чи клірингової установи відповідних змін щодо такого Депонента.</w:t>
            </w:r>
          </w:p>
          <w:p w14:paraId="082D8B2C" w14:textId="77777777" w:rsidR="005C5318" w:rsidRPr="00E16672" w:rsidRDefault="005C5318" w:rsidP="005C5318">
            <w:pPr>
              <w:pStyle w:val="WW-"/>
              <w:snapToGrid w:val="0"/>
              <w:spacing w:after="120"/>
              <w:ind w:left="142" w:right="138"/>
              <w:jc w:val="both"/>
              <w:rPr>
                <w:i w:val="0"/>
                <w:sz w:val="16"/>
                <w:szCs w:val="16"/>
              </w:rPr>
            </w:pPr>
          </w:p>
        </w:tc>
        <w:tc>
          <w:tcPr>
            <w:tcW w:w="5495" w:type="dxa"/>
            <w:gridSpan w:val="6"/>
            <w:shd w:val="clear" w:color="auto" w:fill="auto"/>
          </w:tcPr>
          <w:p w14:paraId="5640D65F" w14:textId="77777777" w:rsidR="005C5318" w:rsidRPr="00E16672" w:rsidRDefault="005C5318" w:rsidP="005C5318">
            <w:pPr>
              <w:pStyle w:val="210"/>
              <w:snapToGrid w:val="0"/>
              <w:ind w:left="142" w:right="138" w:firstLine="0"/>
              <w:rPr>
                <w:rFonts w:ascii="Times New Roman" w:hAnsi="Times New Roman"/>
                <w:color w:val="000000"/>
                <w:sz w:val="16"/>
                <w:szCs w:val="16"/>
              </w:rPr>
            </w:pPr>
            <w:r w:rsidRPr="00E16672">
              <w:rPr>
                <w:rFonts w:ascii="Times New Roman" w:hAnsi="Times New Roman"/>
                <w:color w:val="000000"/>
                <w:sz w:val="16"/>
                <w:szCs w:val="16"/>
              </w:rPr>
              <w:t xml:space="preserve">2.1.11. </w:t>
            </w:r>
            <w:proofErr w:type="spellStart"/>
            <w:r w:rsidRPr="00E16672">
              <w:rPr>
                <w:rFonts w:ascii="Times New Roman" w:hAnsi="Times New Roman"/>
                <w:color w:val="000000"/>
                <w:sz w:val="16"/>
                <w:szCs w:val="16"/>
              </w:rPr>
              <w:t>To</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execute</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for</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the</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account</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in</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securities</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of</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the</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Depositor</w:t>
            </w:r>
            <w:proofErr w:type="spellEnd"/>
            <w:r w:rsidRPr="00E16672">
              <w:rPr>
                <w:rFonts w:ascii="Times New Roman" w:hAnsi="Times New Roman"/>
                <w:color w:val="000000"/>
                <w:sz w:val="16"/>
                <w:szCs w:val="16"/>
              </w:rPr>
              <w:t xml:space="preserve">, </w:t>
            </w:r>
            <w:r w:rsidRPr="00E16672">
              <w:rPr>
                <w:rFonts w:ascii="Times New Roman" w:hAnsi="Times New Roman"/>
                <w:color w:val="000000"/>
                <w:sz w:val="16"/>
                <w:szCs w:val="16"/>
                <w:lang w:val="en-US"/>
              </w:rPr>
              <w:t xml:space="preserve">if </w:t>
            </w:r>
            <w:proofErr w:type="spellStart"/>
            <w:r w:rsidRPr="00E16672">
              <w:rPr>
                <w:rFonts w:ascii="Times New Roman" w:hAnsi="Times New Roman"/>
                <w:color w:val="000000"/>
                <w:sz w:val="16"/>
                <w:szCs w:val="16"/>
              </w:rPr>
              <w:t>Depositor</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was</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taken</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on</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account</w:t>
            </w:r>
            <w:proofErr w:type="spellEnd"/>
            <w:r w:rsidRPr="00E16672">
              <w:rPr>
                <w:rFonts w:ascii="Times New Roman" w:hAnsi="Times New Roman"/>
                <w:color w:val="000000"/>
                <w:sz w:val="16"/>
                <w:szCs w:val="16"/>
              </w:rPr>
              <w:t xml:space="preserve"> </w:t>
            </w:r>
            <w:r w:rsidRPr="00E16672">
              <w:rPr>
                <w:rFonts w:ascii="Times New Roman" w:hAnsi="Times New Roman"/>
                <w:color w:val="000000"/>
                <w:sz w:val="16"/>
                <w:szCs w:val="16"/>
                <w:lang w:val="en-US"/>
              </w:rPr>
              <w:t>Accounting</w:t>
            </w:r>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center</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or</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clearing</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institution</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administrative</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operations</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as</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defined</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by</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Regulation</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of</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the</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Central</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Depository</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as</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that</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could</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lead</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to</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the</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impossibility</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of</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making</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payments</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on</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securities</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transactions</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on</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the</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results</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only</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after</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receiving</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information</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from</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the</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Central</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Depository</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of</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entry</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in</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the</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internal</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accounting</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system</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Accounting</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center</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or</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clearing</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institution</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appropriate</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changes</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for</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such</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Depositor</w:t>
            </w:r>
            <w:proofErr w:type="spellEnd"/>
            <w:r w:rsidRPr="00E16672">
              <w:rPr>
                <w:rFonts w:ascii="Times New Roman" w:hAnsi="Times New Roman"/>
                <w:color w:val="000000"/>
                <w:sz w:val="16"/>
                <w:szCs w:val="16"/>
              </w:rPr>
              <w:t>.</w:t>
            </w:r>
          </w:p>
          <w:p w14:paraId="106CEDFB" w14:textId="77777777" w:rsidR="005C5318" w:rsidRPr="00E16672" w:rsidRDefault="005C5318" w:rsidP="005C5318">
            <w:pPr>
              <w:pStyle w:val="210"/>
              <w:snapToGrid w:val="0"/>
              <w:ind w:left="142" w:right="138" w:firstLine="0"/>
              <w:rPr>
                <w:rFonts w:ascii="Times New Roman" w:hAnsi="Times New Roman"/>
                <w:sz w:val="16"/>
                <w:szCs w:val="16"/>
              </w:rPr>
            </w:pPr>
          </w:p>
        </w:tc>
      </w:tr>
      <w:tr w:rsidR="005C5318" w:rsidRPr="00F23413" w14:paraId="65D80653" w14:textId="77777777" w:rsidTr="005E418B">
        <w:trPr>
          <w:trHeight w:val="192"/>
        </w:trPr>
        <w:tc>
          <w:tcPr>
            <w:tcW w:w="5695" w:type="dxa"/>
            <w:gridSpan w:val="6"/>
            <w:shd w:val="clear" w:color="auto" w:fill="auto"/>
          </w:tcPr>
          <w:p w14:paraId="17453026" w14:textId="77777777" w:rsidR="005C5318" w:rsidRPr="00E16672" w:rsidRDefault="005C5318" w:rsidP="005C5318">
            <w:pPr>
              <w:pStyle w:val="1b"/>
              <w:snapToGrid w:val="0"/>
              <w:spacing w:before="0" w:after="0"/>
              <w:ind w:left="182" w:right="138" w:firstLine="40"/>
              <w:rPr>
                <w:rFonts w:ascii="Times New Roman" w:hAnsi="Times New Roman" w:cs="Times New Roman"/>
                <w:color w:val="000000"/>
                <w:sz w:val="16"/>
                <w:szCs w:val="16"/>
                <w:shd w:val="clear" w:color="auto" w:fill="FFFFFF"/>
              </w:rPr>
            </w:pPr>
            <w:r w:rsidRPr="00E16672">
              <w:rPr>
                <w:rFonts w:ascii="Times New Roman" w:hAnsi="Times New Roman" w:cs="Times New Roman"/>
                <w:color w:val="000000"/>
                <w:sz w:val="16"/>
                <w:szCs w:val="16"/>
              </w:rPr>
              <w:t xml:space="preserve">2.1.12. Не здійснювати депозитарних операцій за рахунком </w:t>
            </w:r>
            <w:r w:rsidR="00C22309" w:rsidRPr="00E16672">
              <w:rPr>
                <w:rFonts w:ascii="Times New Roman" w:hAnsi="Times New Roman" w:cs="Times New Roman"/>
                <w:color w:val="000000"/>
                <w:sz w:val="16"/>
                <w:szCs w:val="16"/>
              </w:rPr>
              <w:t>в цін</w:t>
            </w:r>
            <w:r w:rsidRPr="00E16672">
              <w:rPr>
                <w:rFonts w:ascii="Times New Roman" w:hAnsi="Times New Roman" w:cs="Times New Roman"/>
                <w:color w:val="000000"/>
                <w:sz w:val="16"/>
                <w:szCs w:val="16"/>
              </w:rPr>
              <w:t xml:space="preserve">них паперах у випадку виявлення порушень вимог подання, заповнення розпорядження та захисту інформації, яка потрібна для здійснення цих операцій Депозитарною установою, або якщо виконання цього розпорядження буде суперечити законодавству </w:t>
            </w:r>
            <w:r w:rsidRPr="00E16672">
              <w:rPr>
                <w:rFonts w:ascii="Times New Roman" w:hAnsi="Times New Roman" w:cs="Times New Roman"/>
                <w:color w:val="000000"/>
                <w:sz w:val="16"/>
                <w:szCs w:val="16"/>
                <w:shd w:val="clear" w:color="auto" w:fill="FFFFFF"/>
              </w:rPr>
              <w:t>України, або законодавству країн, в яких укладені угоди, на підставі яких здійснюється розпорядження.</w:t>
            </w:r>
          </w:p>
          <w:p w14:paraId="5454D6B4" w14:textId="77777777" w:rsidR="005C5318" w:rsidRPr="00E16672" w:rsidRDefault="005C5318" w:rsidP="005C5318">
            <w:pPr>
              <w:pStyle w:val="ab"/>
              <w:rPr>
                <w:rFonts w:ascii="Times New Roman" w:hAnsi="Times New Roman"/>
                <w:lang w:eastAsia="hi-IN" w:bidi="hi-IN"/>
              </w:rPr>
            </w:pPr>
          </w:p>
        </w:tc>
        <w:tc>
          <w:tcPr>
            <w:tcW w:w="5495" w:type="dxa"/>
            <w:gridSpan w:val="6"/>
            <w:shd w:val="clear" w:color="auto" w:fill="auto"/>
          </w:tcPr>
          <w:p w14:paraId="55BD9A5F" w14:textId="77777777" w:rsidR="005C5318" w:rsidRPr="00E16672" w:rsidRDefault="005C5318" w:rsidP="005C5318">
            <w:pPr>
              <w:ind w:left="142" w:right="138" w:firstLine="0"/>
              <w:rPr>
                <w:rFonts w:ascii="Times New Roman" w:hAnsi="Times New Roman"/>
                <w:b/>
                <w:bCs/>
                <w:color w:val="000000"/>
                <w:sz w:val="16"/>
                <w:szCs w:val="16"/>
                <w:lang w:val="en-GB"/>
              </w:rPr>
            </w:pPr>
            <w:r w:rsidRPr="00E16672">
              <w:rPr>
                <w:rFonts w:ascii="Times New Roman" w:hAnsi="Times New Roman"/>
                <w:color w:val="000000"/>
                <w:sz w:val="16"/>
                <w:szCs w:val="16"/>
                <w:lang w:val="en-US"/>
              </w:rPr>
              <w:t>2.1.12</w:t>
            </w:r>
            <w:r w:rsidRPr="00E16672">
              <w:rPr>
                <w:rFonts w:ascii="Times New Roman" w:hAnsi="Times New Roman"/>
                <w:color w:val="000000"/>
                <w:sz w:val="16"/>
                <w:szCs w:val="16"/>
                <w:lang w:val="en-GB"/>
              </w:rPr>
              <w:t>. Not to carry out any depository operation with the account on securities in the case of exposure of violations of requirements of presentation, filling of order and defence of an information, which is needed for realization of these operations of Depository institution, or if implementation of this order will conflict with the current legislation of Ukraine, or legislation of countries, which the celled agreements which an order is carried out on the basis of are in.</w:t>
            </w:r>
          </w:p>
        </w:tc>
      </w:tr>
      <w:tr w:rsidR="005C5318" w:rsidRPr="00F23413" w14:paraId="5B0D3FE2" w14:textId="77777777" w:rsidTr="005E418B">
        <w:trPr>
          <w:trHeight w:val="192"/>
        </w:trPr>
        <w:tc>
          <w:tcPr>
            <w:tcW w:w="5695" w:type="dxa"/>
            <w:gridSpan w:val="6"/>
            <w:shd w:val="clear" w:color="auto" w:fill="auto"/>
          </w:tcPr>
          <w:p w14:paraId="2B7799DC" w14:textId="77777777" w:rsidR="005C5318" w:rsidRPr="00E16672" w:rsidRDefault="005C5318" w:rsidP="005C5318">
            <w:pPr>
              <w:pStyle w:val="WW-"/>
              <w:ind w:left="182" w:right="138" w:firstLine="40"/>
              <w:jc w:val="both"/>
              <w:rPr>
                <w:color w:val="000000"/>
                <w:sz w:val="10"/>
                <w:szCs w:val="10"/>
                <w:lang w:val="en-US"/>
              </w:rPr>
            </w:pPr>
          </w:p>
        </w:tc>
        <w:tc>
          <w:tcPr>
            <w:tcW w:w="5495" w:type="dxa"/>
            <w:gridSpan w:val="6"/>
            <w:shd w:val="clear" w:color="auto" w:fill="auto"/>
          </w:tcPr>
          <w:p w14:paraId="2656627E" w14:textId="77777777" w:rsidR="005C5318" w:rsidRPr="00E16672" w:rsidRDefault="005C5318" w:rsidP="005C5318">
            <w:pPr>
              <w:pStyle w:val="210"/>
              <w:snapToGrid w:val="0"/>
              <w:ind w:left="142" w:right="138" w:firstLine="0"/>
              <w:rPr>
                <w:rFonts w:ascii="Times New Roman" w:hAnsi="Times New Roman"/>
                <w:color w:val="000000"/>
                <w:sz w:val="16"/>
                <w:szCs w:val="16"/>
                <w:lang w:val="en-GB"/>
              </w:rPr>
            </w:pPr>
          </w:p>
        </w:tc>
      </w:tr>
      <w:tr w:rsidR="005C5318" w:rsidRPr="00F23413" w14:paraId="7D71B87B" w14:textId="77777777" w:rsidTr="005E418B">
        <w:trPr>
          <w:trHeight w:val="192"/>
        </w:trPr>
        <w:tc>
          <w:tcPr>
            <w:tcW w:w="5695" w:type="dxa"/>
            <w:gridSpan w:val="6"/>
            <w:shd w:val="clear" w:color="auto" w:fill="auto"/>
          </w:tcPr>
          <w:p w14:paraId="26589F37" w14:textId="77777777" w:rsidR="005C5318" w:rsidRPr="00E16672" w:rsidRDefault="005C5318" w:rsidP="005C5318">
            <w:pPr>
              <w:pStyle w:val="ab"/>
              <w:ind w:left="182" w:right="138" w:firstLine="40"/>
              <w:jc w:val="both"/>
              <w:rPr>
                <w:rFonts w:ascii="Times New Roman" w:hAnsi="Times New Roman"/>
                <w:b w:val="0"/>
                <w:color w:val="000000"/>
                <w:lang w:eastAsia="hi-IN" w:bidi="hi-IN"/>
              </w:rPr>
            </w:pPr>
            <w:r w:rsidRPr="00E16672">
              <w:rPr>
                <w:rFonts w:ascii="Times New Roman" w:hAnsi="Times New Roman"/>
                <w:b w:val="0"/>
                <w:color w:val="000000"/>
                <w:sz w:val="16"/>
                <w:szCs w:val="16"/>
                <w:shd w:val="clear" w:color="auto" w:fill="FFFFFF"/>
              </w:rPr>
              <w:t xml:space="preserve">2.1.13. Забезпечувати збереження та конфіденційність інформації, що міститься у системі депозитарного обліку, стосовно цінних паперів на рахунку </w:t>
            </w:r>
            <w:r w:rsidR="00C22309" w:rsidRPr="00E16672">
              <w:rPr>
                <w:rFonts w:ascii="Times New Roman" w:hAnsi="Times New Roman"/>
                <w:b w:val="0"/>
                <w:color w:val="000000"/>
                <w:sz w:val="16"/>
                <w:szCs w:val="16"/>
                <w:shd w:val="clear" w:color="auto" w:fill="FFFFFF"/>
              </w:rPr>
              <w:t>в цін</w:t>
            </w:r>
            <w:r w:rsidRPr="00E16672">
              <w:rPr>
                <w:rFonts w:ascii="Times New Roman" w:hAnsi="Times New Roman"/>
                <w:b w:val="0"/>
                <w:color w:val="000000"/>
                <w:sz w:val="16"/>
                <w:szCs w:val="16"/>
                <w:shd w:val="clear" w:color="auto" w:fill="FFFFFF"/>
              </w:rPr>
              <w:t xml:space="preserve">них паперах Депонента, а також будь-якої іншої інформації, що може завдати шкоду Депоненту. Обов’язки щодо зберігання конфіденційності інформації не виникають у випадках, якщо розголошування подібної інформації мало місце внаслідок дій судових або інших уповноважених чинним законодавством органів </w:t>
            </w:r>
            <w:r w:rsidRPr="00E16672">
              <w:rPr>
                <w:rFonts w:ascii="Times New Roman" w:hAnsi="Times New Roman"/>
                <w:b w:val="0"/>
                <w:color w:val="000000"/>
                <w:sz w:val="16"/>
                <w:szCs w:val="16"/>
              </w:rPr>
              <w:t>або в інших випадках відповідно до вимог чинного законодавства.</w:t>
            </w:r>
          </w:p>
        </w:tc>
        <w:tc>
          <w:tcPr>
            <w:tcW w:w="5495" w:type="dxa"/>
            <w:gridSpan w:val="6"/>
            <w:shd w:val="clear" w:color="auto" w:fill="auto"/>
          </w:tcPr>
          <w:p w14:paraId="30E0B9DA" w14:textId="77777777" w:rsidR="005C5318" w:rsidRPr="00E16672" w:rsidRDefault="005C5318" w:rsidP="005C5318">
            <w:pPr>
              <w:pStyle w:val="210"/>
              <w:snapToGrid w:val="0"/>
              <w:ind w:left="142" w:right="138" w:firstLine="0"/>
              <w:rPr>
                <w:rFonts w:ascii="Times New Roman" w:eastAsia="Lucida Sans Unicode" w:hAnsi="Times New Roman"/>
                <w:color w:val="000000"/>
                <w:sz w:val="16"/>
                <w:szCs w:val="16"/>
                <w:shd w:val="clear" w:color="auto" w:fill="FFFFFF"/>
              </w:rPr>
            </w:pPr>
            <w:r w:rsidRPr="00E16672">
              <w:rPr>
                <w:rFonts w:ascii="Times New Roman" w:eastAsia="Lucida Sans Unicode" w:hAnsi="Times New Roman"/>
                <w:color w:val="000000"/>
                <w:sz w:val="16"/>
                <w:szCs w:val="16"/>
                <w:shd w:val="clear" w:color="auto" w:fill="FFFFFF"/>
                <w:lang w:val="en-US"/>
              </w:rPr>
              <w:t>2</w:t>
            </w:r>
            <w:r w:rsidRPr="00E16672">
              <w:rPr>
                <w:rFonts w:ascii="Times New Roman" w:eastAsia="Lucida Sans Unicode" w:hAnsi="Times New Roman"/>
                <w:color w:val="000000"/>
                <w:sz w:val="16"/>
                <w:szCs w:val="16"/>
                <w:shd w:val="clear" w:color="auto" w:fill="FFFFFF"/>
              </w:rPr>
              <w:t>.1.</w:t>
            </w:r>
            <w:r w:rsidRPr="00E16672">
              <w:rPr>
                <w:rFonts w:ascii="Times New Roman" w:eastAsia="Lucida Sans Unicode" w:hAnsi="Times New Roman"/>
                <w:color w:val="000000"/>
                <w:sz w:val="16"/>
                <w:szCs w:val="16"/>
                <w:shd w:val="clear" w:color="auto" w:fill="FFFFFF"/>
                <w:lang w:val="en-US"/>
              </w:rPr>
              <w:t>1</w:t>
            </w:r>
            <w:r w:rsidRPr="00E16672">
              <w:rPr>
                <w:rFonts w:ascii="Times New Roman" w:eastAsia="Lucida Sans Unicode" w:hAnsi="Times New Roman"/>
                <w:color w:val="000000"/>
                <w:sz w:val="16"/>
                <w:szCs w:val="16"/>
                <w:shd w:val="clear" w:color="auto" w:fill="FFFFFF"/>
              </w:rPr>
              <w:t xml:space="preserve">3. </w:t>
            </w:r>
            <w:proofErr w:type="spellStart"/>
            <w:r w:rsidRPr="00E16672">
              <w:rPr>
                <w:rFonts w:ascii="Times New Roman" w:eastAsia="Lucida Sans Unicode" w:hAnsi="Times New Roman"/>
                <w:color w:val="000000"/>
                <w:sz w:val="16"/>
                <w:szCs w:val="16"/>
                <w:shd w:val="clear" w:color="auto" w:fill="FFFFFF"/>
              </w:rPr>
              <w:t>To</w:t>
            </w:r>
            <w:proofErr w:type="spellEnd"/>
            <w:r w:rsidRPr="00E16672">
              <w:rPr>
                <w:rFonts w:ascii="Times New Roman" w:eastAsia="Lucida Sans Unicode" w:hAnsi="Times New Roman"/>
                <w:color w:val="000000"/>
                <w:sz w:val="16"/>
                <w:szCs w:val="16"/>
                <w:shd w:val="clear" w:color="auto" w:fill="FFFFFF"/>
              </w:rPr>
              <w:t xml:space="preserve"> </w:t>
            </w:r>
            <w:proofErr w:type="spellStart"/>
            <w:r w:rsidRPr="00E16672">
              <w:rPr>
                <w:rFonts w:ascii="Times New Roman" w:eastAsia="Lucida Sans Unicode" w:hAnsi="Times New Roman"/>
                <w:color w:val="000000"/>
                <w:sz w:val="16"/>
                <w:szCs w:val="16"/>
                <w:shd w:val="clear" w:color="auto" w:fill="FFFFFF"/>
              </w:rPr>
              <w:t>ensure</w:t>
            </w:r>
            <w:proofErr w:type="spellEnd"/>
            <w:r w:rsidRPr="00E16672">
              <w:rPr>
                <w:rFonts w:ascii="Times New Roman" w:eastAsia="Lucida Sans Unicode" w:hAnsi="Times New Roman"/>
                <w:color w:val="000000"/>
                <w:sz w:val="16"/>
                <w:szCs w:val="16"/>
                <w:shd w:val="clear" w:color="auto" w:fill="FFFFFF"/>
              </w:rPr>
              <w:t xml:space="preserve"> </w:t>
            </w:r>
            <w:proofErr w:type="spellStart"/>
            <w:r w:rsidRPr="00E16672">
              <w:rPr>
                <w:rFonts w:ascii="Times New Roman" w:eastAsia="Lucida Sans Unicode" w:hAnsi="Times New Roman"/>
                <w:color w:val="000000"/>
                <w:sz w:val="16"/>
                <w:szCs w:val="16"/>
                <w:shd w:val="clear" w:color="auto" w:fill="FFFFFF"/>
              </w:rPr>
              <w:t>custody</w:t>
            </w:r>
            <w:proofErr w:type="spellEnd"/>
            <w:r w:rsidRPr="00E16672">
              <w:rPr>
                <w:rFonts w:ascii="Times New Roman" w:eastAsia="Lucida Sans Unicode" w:hAnsi="Times New Roman"/>
                <w:color w:val="000000"/>
                <w:sz w:val="16"/>
                <w:szCs w:val="16"/>
                <w:shd w:val="clear" w:color="auto" w:fill="FFFFFF"/>
              </w:rPr>
              <w:t xml:space="preserve"> </w:t>
            </w:r>
            <w:proofErr w:type="spellStart"/>
            <w:r w:rsidRPr="00E16672">
              <w:rPr>
                <w:rFonts w:ascii="Times New Roman" w:eastAsia="Lucida Sans Unicode" w:hAnsi="Times New Roman"/>
                <w:color w:val="000000"/>
                <w:sz w:val="16"/>
                <w:szCs w:val="16"/>
                <w:shd w:val="clear" w:color="auto" w:fill="FFFFFF"/>
              </w:rPr>
              <w:t>and</w:t>
            </w:r>
            <w:proofErr w:type="spellEnd"/>
            <w:r w:rsidRPr="00E16672">
              <w:rPr>
                <w:rFonts w:ascii="Times New Roman" w:eastAsia="Lucida Sans Unicode" w:hAnsi="Times New Roman"/>
                <w:color w:val="000000"/>
                <w:sz w:val="16"/>
                <w:szCs w:val="16"/>
                <w:shd w:val="clear" w:color="auto" w:fill="FFFFFF"/>
              </w:rPr>
              <w:t xml:space="preserve"> </w:t>
            </w:r>
            <w:proofErr w:type="spellStart"/>
            <w:r w:rsidRPr="00E16672">
              <w:rPr>
                <w:rFonts w:ascii="Times New Roman" w:eastAsia="Lucida Sans Unicode" w:hAnsi="Times New Roman"/>
                <w:color w:val="000000"/>
                <w:sz w:val="16"/>
                <w:szCs w:val="16"/>
                <w:shd w:val="clear" w:color="auto" w:fill="FFFFFF"/>
              </w:rPr>
              <w:t>confidentiality</w:t>
            </w:r>
            <w:proofErr w:type="spellEnd"/>
            <w:r w:rsidRPr="00E16672">
              <w:rPr>
                <w:rFonts w:ascii="Times New Roman" w:eastAsia="Lucida Sans Unicode" w:hAnsi="Times New Roman"/>
                <w:color w:val="000000"/>
                <w:sz w:val="16"/>
                <w:szCs w:val="16"/>
                <w:shd w:val="clear" w:color="auto" w:fill="FFFFFF"/>
              </w:rPr>
              <w:t xml:space="preserve"> </w:t>
            </w:r>
            <w:proofErr w:type="spellStart"/>
            <w:r w:rsidRPr="00E16672">
              <w:rPr>
                <w:rFonts w:ascii="Times New Roman" w:eastAsia="Lucida Sans Unicode" w:hAnsi="Times New Roman"/>
                <w:color w:val="000000"/>
                <w:sz w:val="16"/>
                <w:szCs w:val="16"/>
                <w:shd w:val="clear" w:color="auto" w:fill="FFFFFF"/>
              </w:rPr>
              <w:t>of</w:t>
            </w:r>
            <w:proofErr w:type="spellEnd"/>
            <w:r w:rsidRPr="00E16672">
              <w:rPr>
                <w:rFonts w:ascii="Times New Roman" w:eastAsia="Lucida Sans Unicode" w:hAnsi="Times New Roman"/>
                <w:color w:val="000000"/>
                <w:sz w:val="16"/>
                <w:szCs w:val="16"/>
                <w:shd w:val="clear" w:color="auto" w:fill="FFFFFF"/>
              </w:rPr>
              <w:t xml:space="preserve"> </w:t>
            </w:r>
            <w:proofErr w:type="spellStart"/>
            <w:r w:rsidRPr="00E16672">
              <w:rPr>
                <w:rFonts w:ascii="Times New Roman" w:eastAsia="Lucida Sans Unicode" w:hAnsi="Times New Roman"/>
                <w:color w:val="000000"/>
                <w:sz w:val="16"/>
                <w:szCs w:val="16"/>
                <w:shd w:val="clear" w:color="auto" w:fill="FFFFFF"/>
              </w:rPr>
              <w:t>information</w:t>
            </w:r>
            <w:proofErr w:type="spellEnd"/>
            <w:r w:rsidRPr="00E16672">
              <w:rPr>
                <w:rFonts w:ascii="Times New Roman" w:eastAsia="Lucida Sans Unicode" w:hAnsi="Times New Roman"/>
                <w:color w:val="000000"/>
                <w:sz w:val="16"/>
                <w:szCs w:val="16"/>
                <w:shd w:val="clear" w:color="auto" w:fill="FFFFFF"/>
              </w:rPr>
              <w:t xml:space="preserve">, </w:t>
            </w:r>
            <w:proofErr w:type="spellStart"/>
            <w:r w:rsidRPr="00E16672">
              <w:rPr>
                <w:rFonts w:ascii="Times New Roman" w:eastAsia="Lucida Sans Unicode" w:hAnsi="Times New Roman"/>
                <w:color w:val="000000"/>
                <w:sz w:val="16"/>
                <w:szCs w:val="16"/>
                <w:shd w:val="clear" w:color="auto" w:fill="FFFFFF"/>
              </w:rPr>
              <w:t>contained</w:t>
            </w:r>
            <w:proofErr w:type="spellEnd"/>
            <w:r w:rsidRPr="00E16672">
              <w:rPr>
                <w:rFonts w:ascii="Times New Roman" w:eastAsia="Lucida Sans Unicode" w:hAnsi="Times New Roman"/>
                <w:color w:val="000000"/>
                <w:sz w:val="16"/>
                <w:szCs w:val="16"/>
                <w:shd w:val="clear" w:color="auto" w:fill="FFFFFF"/>
              </w:rPr>
              <w:t xml:space="preserve"> </w:t>
            </w:r>
            <w:proofErr w:type="spellStart"/>
            <w:r w:rsidRPr="00E16672">
              <w:rPr>
                <w:rFonts w:ascii="Times New Roman" w:eastAsia="Lucida Sans Unicode" w:hAnsi="Times New Roman"/>
                <w:color w:val="000000"/>
                <w:sz w:val="16"/>
                <w:szCs w:val="16"/>
                <w:shd w:val="clear" w:color="auto" w:fill="FFFFFF"/>
              </w:rPr>
              <w:t>in</w:t>
            </w:r>
            <w:proofErr w:type="spellEnd"/>
            <w:r w:rsidRPr="00E16672">
              <w:rPr>
                <w:rFonts w:ascii="Times New Roman" w:eastAsia="Lucida Sans Unicode" w:hAnsi="Times New Roman"/>
                <w:color w:val="000000"/>
                <w:sz w:val="16"/>
                <w:szCs w:val="16"/>
                <w:shd w:val="clear" w:color="auto" w:fill="FFFFFF"/>
              </w:rPr>
              <w:t xml:space="preserve"> </w:t>
            </w:r>
            <w:proofErr w:type="spellStart"/>
            <w:r w:rsidRPr="00E16672">
              <w:rPr>
                <w:rFonts w:ascii="Times New Roman" w:eastAsia="Lucida Sans Unicode" w:hAnsi="Times New Roman"/>
                <w:color w:val="000000"/>
                <w:sz w:val="16"/>
                <w:szCs w:val="16"/>
                <w:shd w:val="clear" w:color="auto" w:fill="FFFFFF"/>
              </w:rPr>
              <w:t>the</w:t>
            </w:r>
            <w:proofErr w:type="spellEnd"/>
            <w:r w:rsidRPr="00E16672">
              <w:rPr>
                <w:rFonts w:ascii="Times New Roman" w:eastAsia="Lucida Sans Unicode" w:hAnsi="Times New Roman"/>
                <w:color w:val="000000"/>
                <w:sz w:val="16"/>
                <w:szCs w:val="16"/>
                <w:shd w:val="clear" w:color="auto" w:fill="FFFFFF"/>
              </w:rPr>
              <w:t xml:space="preserve"> </w:t>
            </w:r>
            <w:proofErr w:type="spellStart"/>
            <w:r w:rsidRPr="00E16672">
              <w:rPr>
                <w:rFonts w:ascii="Times New Roman" w:eastAsia="Lucida Sans Unicode" w:hAnsi="Times New Roman"/>
                <w:color w:val="000000"/>
                <w:sz w:val="16"/>
                <w:szCs w:val="16"/>
                <w:shd w:val="clear" w:color="auto" w:fill="FFFFFF"/>
              </w:rPr>
              <w:t>system</w:t>
            </w:r>
            <w:proofErr w:type="spellEnd"/>
            <w:r w:rsidRPr="00E16672">
              <w:rPr>
                <w:rFonts w:ascii="Times New Roman" w:eastAsia="Lucida Sans Unicode" w:hAnsi="Times New Roman"/>
                <w:color w:val="000000"/>
                <w:sz w:val="16"/>
                <w:szCs w:val="16"/>
                <w:shd w:val="clear" w:color="auto" w:fill="FFFFFF"/>
              </w:rPr>
              <w:t xml:space="preserve"> </w:t>
            </w:r>
            <w:proofErr w:type="spellStart"/>
            <w:r w:rsidRPr="00E16672">
              <w:rPr>
                <w:rFonts w:ascii="Times New Roman" w:eastAsia="Lucida Sans Unicode" w:hAnsi="Times New Roman"/>
                <w:color w:val="000000"/>
                <w:sz w:val="16"/>
                <w:szCs w:val="16"/>
                <w:shd w:val="clear" w:color="auto" w:fill="FFFFFF"/>
              </w:rPr>
              <w:t>of</w:t>
            </w:r>
            <w:proofErr w:type="spellEnd"/>
            <w:r w:rsidRPr="00E16672">
              <w:rPr>
                <w:rFonts w:ascii="Times New Roman" w:eastAsia="Lucida Sans Unicode" w:hAnsi="Times New Roman"/>
                <w:color w:val="000000"/>
                <w:sz w:val="16"/>
                <w:szCs w:val="16"/>
                <w:shd w:val="clear" w:color="auto" w:fill="FFFFFF"/>
              </w:rPr>
              <w:t xml:space="preserve"> </w:t>
            </w:r>
            <w:proofErr w:type="spellStart"/>
            <w:r w:rsidRPr="00E16672">
              <w:rPr>
                <w:rFonts w:ascii="Times New Roman" w:eastAsia="Lucida Sans Unicode" w:hAnsi="Times New Roman"/>
                <w:color w:val="000000"/>
                <w:sz w:val="16"/>
                <w:szCs w:val="16"/>
                <w:shd w:val="clear" w:color="auto" w:fill="FFFFFF"/>
              </w:rPr>
              <w:t>depository</w:t>
            </w:r>
            <w:proofErr w:type="spellEnd"/>
            <w:r w:rsidRPr="00E16672">
              <w:rPr>
                <w:rFonts w:ascii="Times New Roman" w:eastAsia="Lucida Sans Unicode" w:hAnsi="Times New Roman"/>
                <w:color w:val="000000"/>
                <w:sz w:val="16"/>
                <w:szCs w:val="16"/>
                <w:shd w:val="clear" w:color="auto" w:fill="FFFFFF"/>
              </w:rPr>
              <w:t xml:space="preserve"> </w:t>
            </w:r>
            <w:proofErr w:type="spellStart"/>
            <w:r w:rsidRPr="00E16672">
              <w:rPr>
                <w:rFonts w:ascii="Times New Roman" w:eastAsia="Lucida Sans Unicode" w:hAnsi="Times New Roman"/>
                <w:color w:val="000000"/>
                <w:sz w:val="16"/>
                <w:szCs w:val="16"/>
                <w:shd w:val="clear" w:color="auto" w:fill="FFFFFF"/>
              </w:rPr>
              <w:t>account</w:t>
            </w:r>
            <w:proofErr w:type="spellEnd"/>
            <w:r w:rsidRPr="00E16672">
              <w:rPr>
                <w:rFonts w:ascii="Times New Roman" w:eastAsia="Lucida Sans Unicode" w:hAnsi="Times New Roman"/>
                <w:color w:val="000000"/>
                <w:sz w:val="16"/>
                <w:szCs w:val="16"/>
                <w:shd w:val="clear" w:color="auto" w:fill="FFFFFF"/>
              </w:rPr>
              <w:t xml:space="preserve">, </w:t>
            </w:r>
            <w:proofErr w:type="spellStart"/>
            <w:r w:rsidRPr="00E16672">
              <w:rPr>
                <w:rFonts w:ascii="Times New Roman" w:eastAsia="Lucida Sans Unicode" w:hAnsi="Times New Roman"/>
                <w:color w:val="000000"/>
                <w:sz w:val="16"/>
                <w:szCs w:val="16"/>
                <w:shd w:val="clear" w:color="auto" w:fill="FFFFFF"/>
              </w:rPr>
              <w:t>concerning</w:t>
            </w:r>
            <w:proofErr w:type="spellEnd"/>
            <w:r w:rsidRPr="00E16672">
              <w:rPr>
                <w:rFonts w:ascii="Times New Roman" w:eastAsia="Lucida Sans Unicode" w:hAnsi="Times New Roman"/>
                <w:color w:val="000000"/>
                <w:sz w:val="16"/>
                <w:szCs w:val="16"/>
                <w:shd w:val="clear" w:color="auto" w:fill="FFFFFF"/>
              </w:rPr>
              <w:t xml:space="preserve"> </w:t>
            </w:r>
            <w:proofErr w:type="spellStart"/>
            <w:r w:rsidRPr="00E16672">
              <w:rPr>
                <w:rFonts w:ascii="Times New Roman" w:eastAsia="Lucida Sans Unicode" w:hAnsi="Times New Roman"/>
                <w:color w:val="000000"/>
                <w:sz w:val="16"/>
                <w:szCs w:val="16"/>
                <w:shd w:val="clear" w:color="auto" w:fill="FFFFFF"/>
              </w:rPr>
              <w:t>the</w:t>
            </w:r>
            <w:proofErr w:type="spellEnd"/>
            <w:r w:rsidRPr="00E16672">
              <w:rPr>
                <w:rFonts w:ascii="Times New Roman" w:eastAsia="Lucida Sans Unicode" w:hAnsi="Times New Roman"/>
                <w:color w:val="000000"/>
                <w:sz w:val="16"/>
                <w:szCs w:val="16"/>
                <w:shd w:val="clear" w:color="auto" w:fill="FFFFFF"/>
              </w:rPr>
              <w:t xml:space="preserve"> </w:t>
            </w:r>
            <w:proofErr w:type="spellStart"/>
            <w:r w:rsidRPr="00E16672">
              <w:rPr>
                <w:rFonts w:ascii="Times New Roman" w:eastAsia="Lucida Sans Unicode" w:hAnsi="Times New Roman"/>
                <w:color w:val="000000"/>
                <w:sz w:val="16"/>
                <w:szCs w:val="16"/>
                <w:shd w:val="clear" w:color="auto" w:fill="FFFFFF"/>
              </w:rPr>
              <w:t>securities</w:t>
            </w:r>
            <w:proofErr w:type="spellEnd"/>
            <w:r w:rsidRPr="00E16672">
              <w:rPr>
                <w:rFonts w:ascii="Times New Roman" w:eastAsia="Lucida Sans Unicode" w:hAnsi="Times New Roman"/>
                <w:color w:val="000000"/>
                <w:sz w:val="16"/>
                <w:szCs w:val="16"/>
                <w:shd w:val="clear" w:color="auto" w:fill="FFFFFF"/>
              </w:rPr>
              <w:t xml:space="preserve"> </w:t>
            </w:r>
            <w:proofErr w:type="spellStart"/>
            <w:r w:rsidRPr="00E16672">
              <w:rPr>
                <w:rFonts w:ascii="Times New Roman" w:eastAsia="Lucida Sans Unicode" w:hAnsi="Times New Roman"/>
                <w:color w:val="000000"/>
                <w:sz w:val="16"/>
                <w:szCs w:val="16"/>
                <w:shd w:val="clear" w:color="auto" w:fill="FFFFFF"/>
              </w:rPr>
              <w:t>accounted</w:t>
            </w:r>
            <w:proofErr w:type="spellEnd"/>
            <w:r w:rsidRPr="00E16672">
              <w:rPr>
                <w:rFonts w:ascii="Times New Roman" w:eastAsia="Lucida Sans Unicode" w:hAnsi="Times New Roman"/>
                <w:color w:val="000000"/>
                <w:sz w:val="16"/>
                <w:szCs w:val="16"/>
                <w:shd w:val="clear" w:color="auto" w:fill="FFFFFF"/>
              </w:rPr>
              <w:t xml:space="preserve"> </w:t>
            </w:r>
            <w:proofErr w:type="spellStart"/>
            <w:r w:rsidRPr="00E16672">
              <w:rPr>
                <w:rFonts w:ascii="Times New Roman" w:eastAsia="Lucida Sans Unicode" w:hAnsi="Times New Roman"/>
                <w:color w:val="000000"/>
                <w:sz w:val="16"/>
                <w:szCs w:val="16"/>
                <w:shd w:val="clear" w:color="auto" w:fill="FFFFFF"/>
              </w:rPr>
              <w:t>on</w:t>
            </w:r>
            <w:proofErr w:type="spellEnd"/>
            <w:r w:rsidRPr="00E16672">
              <w:rPr>
                <w:rFonts w:ascii="Times New Roman" w:eastAsia="Lucida Sans Unicode" w:hAnsi="Times New Roman"/>
                <w:color w:val="000000"/>
                <w:sz w:val="16"/>
                <w:szCs w:val="16"/>
                <w:shd w:val="clear" w:color="auto" w:fill="FFFFFF"/>
              </w:rPr>
              <w:t xml:space="preserve"> </w:t>
            </w:r>
            <w:proofErr w:type="spellStart"/>
            <w:r w:rsidRPr="00E16672">
              <w:rPr>
                <w:rFonts w:ascii="Times New Roman" w:eastAsia="Lucida Sans Unicode" w:hAnsi="Times New Roman"/>
                <w:color w:val="000000"/>
                <w:sz w:val="16"/>
                <w:szCs w:val="16"/>
                <w:shd w:val="clear" w:color="auto" w:fill="FFFFFF"/>
              </w:rPr>
              <w:t>the</w:t>
            </w:r>
            <w:proofErr w:type="spellEnd"/>
            <w:r w:rsidRPr="00E16672">
              <w:rPr>
                <w:rFonts w:ascii="Times New Roman" w:eastAsia="Lucida Sans Unicode" w:hAnsi="Times New Roman"/>
                <w:color w:val="000000"/>
                <w:sz w:val="16"/>
                <w:szCs w:val="16"/>
                <w:shd w:val="clear" w:color="auto" w:fill="FFFFFF"/>
              </w:rPr>
              <w:t xml:space="preserve"> </w:t>
            </w:r>
            <w:proofErr w:type="spellStart"/>
            <w:r w:rsidRPr="00E16672">
              <w:rPr>
                <w:rFonts w:ascii="Times New Roman" w:eastAsia="Lucida Sans Unicode" w:hAnsi="Times New Roman"/>
                <w:color w:val="000000"/>
                <w:sz w:val="16"/>
                <w:szCs w:val="16"/>
                <w:shd w:val="clear" w:color="auto" w:fill="FFFFFF"/>
              </w:rPr>
              <w:t>Depositor’s</w:t>
            </w:r>
            <w:proofErr w:type="spellEnd"/>
            <w:r w:rsidRPr="00E16672">
              <w:rPr>
                <w:rFonts w:ascii="Times New Roman" w:eastAsia="Lucida Sans Unicode" w:hAnsi="Times New Roman"/>
                <w:color w:val="000000"/>
                <w:sz w:val="16"/>
                <w:szCs w:val="16"/>
                <w:shd w:val="clear" w:color="auto" w:fill="FFFFFF"/>
              </w:rPr>
              <w:t xml:space="preserve"> </w:t>
            </w:r>
            <w:proofErr w:type="spellStart"/>
            <w:r w:rsidRPr="00E16672">
              <w:rPr>
                <w:rFonts w:ascii="Times New Roman" w:eastAsia="Lucida Sans Unicode" w:hAnsi="Times New Roman"/>
                <w:color w:val="000000"/>
                <w:sz w:val="16"/>
                <w:szCs w:val="16"/>
                <w:shd w:val="clear" w:color="auto" w:fill="FFFFFF"/>
              </w:rPr>
              <w:t>account</w:t>
            </w:r>
            <w:proofErr w:type="spellEnd"/>
            <w:r w:rsidRPr="00E16672">
              <w:rPr>
                <w:rFonts w:ascii="Times New Roman" w:eastAsia="Lucida Sans Unicode" w:hAnsi="Times New Roman"/>
                <w:color w:val="000000"/>
                <w:sz w:val="16"/>
                <w:szCs w:val="16"/>
                <w:shd w:val="clear" w:color="auto" w:fill="FFFFFF"/>
              </w:rPr>
              <w:t xml:space="preserve"> </w:t>
            </w:r>
            <w:proofErr w:type="spellStart"/>
            <w:r w:rsidRPr="00E16672">
              <w:rPr>
                <w:rFonts w:ascii="Times New Roman" w:eastAsia="Lucida Sans Unicode" w:hAnsi="Times New Roman"/>
                <w:color w:val="000000"/>
                <w:sz w:val="16"/>
                <w:szCs w:val="16"/>
                <w:shd w:val="clear" w:color="auto" w:fill="FFFFFF"/>
              </w:rPr>
              <w:t>in</w:t>
            </w:r>
            <w:proofErr w:type="spellEnd"/>
            <w:r w:rsidRPr="00E16672">
              <w:rPr>
                <w:rFonts w:ascii="Times New Roman" w:eastAsia="Lucida Sans Unicode" w:hAnsi="Times New Roman"/>
                <w:color w:val="000000"/>
                <w:sz w:val="16"/>
                <w:szCs w:val="16"/>
                <w:shd w:val="clear" w:color="auto" w:fill="FFFFFF"/>
              </w:rPr>
              <w:t xml:space="preserve"> </w:t>
            </w:r>
            <w:proofErr w:type="spellStart"/>
            <w:r w:rsidRPr="00E16672">
              <w:rPr>
                <w:rFonts w:ascii="Times New Roman" w:eastAsia="Lucida Sans Unicode" w:hAnsi="Times New Roman"/>
                <w:color w:val="000000"/>
                <w:sz w:val="16"/>
                <w:szCs w:val="16"/>
                <w:shd w:val="clear" w:color="auto" w:fill="FFFFFF"/>
              </w:rPr>
              <w:t>securities</w:t>
            </w:r>
            <w:proofErr w:type="spellEnd"/>
            <w:r w:rsidRPr="00E16672">
              <w:rPr>
                <w:rFonts w:ascii="Times New Roman" w:eastAsia="Lucida Sans Unicode" w:hAnsi="Times New Roman"/>
                <w:color w:val="000000"/>
                <w:sz w:val="16"/>
                <w:szCs w:val="16"/>
                <w:shd w:val="clear" w:color="auto" w:fill="FFFFFF"/>
              </w:rPr>
              <w:t xml:space="preserve"> </w:t>
            </w:r>
            <w:proofErr w:type="spellStart"/>
            <w:r w:rsidRPr="00E16672">
              <w:rPr>
                <w:rFonts w:ascii="Times New Roman" w:eastAsia="Lucida Sans Unicode" w:hAnsi="Times New Roman"/>
                <w:color w:val="000000"/>
                <w:sz w:val="16"/>
                <w:szCs w:val="16"/>
                <w:shd w:val="clear" w:color="auto" w:fill="FFFFFF"/>
              </w:rPr>
              <w:t>and</w:t>
            </w:r>
            <w:proofErr w:type="spellEnd"/>
            <w:r w:rsidRPr="00E16672">
              <w:rPr>
                <w:rFonts w:ascii="Times New Roman" w:eastAsia="Lucida Sans Unicode" w:hAnsi="Times New Roman"/>
                <w:color w:val="000000"/>
                <w:sz w:val="16"/>
                <w:szCs w:val="16"/>
                <w:shd w:val="clear" w:color="auto" w:fill="FFFFFF"/>
              </w:rPr>
              <w:t xml:space="preserve"> </w:t>
            </w:r>
            <w:proofErr w:type="spellStart"/>
            <w:r w:rsidRPr="00E16672">
              <w:rPr>
                <w:rFonts w:ascii="Times New Roman" w:eastAsia="Lucida Sans Unicode" w:hAnsi="Times New Roman"/>
                <w:color w:val="000000"/>
                <w:sz w:val="16"/>
                <w:szCs w:val="16"/>
                <w:shd w:val="clear" w:color="auto" w:fill="FFFFFF"/>
              </w:rPr>
              <w:t>of</w:t>
            </w:r>
            <w:proofErr w:type="spellEnd"/>
            <w:r w:rsidRPr="00E16672">
              <w:rPr>
                <w:rFonts w:ascii="Times New Roman" w:eastAsia="Lucida Sans Unicode" w:hAnsi="Times New Roman"/>
                <w:color w:val="000000"/>
                <w:sz w:val="16"/>
                <w:szCs w:val="16"/>
                <w:shd w:val="clear" w:color="auto" w:fill="FFFFFF"/>
              </w:rPr>
              <w:t xml:space="preserve"> </w:t>
            </w:r>
            <w:proofErr w:type="spellStart"/>
            <w:r w:rsidRPr="00E16672">
              <w:rPr>
                <w:rFonts w:ascii="Times New Roman" w:eastAsia="Lucida Sans Unicode" w:hAnsi="Times New Roman"/>
                <w:color w:val="000000"/>
                <w:sz w:val="16"/>
                <w:szCs w:val="16"/>
                <w:shd w:val="clear" w:color="auto" w:fill="FFFFFF"/>
              </w:rPr>
              <w:t>any</w:t>
            </w:r>
            <w:proofErr w:type="spellEnd"/>
            <w:r w:rsidRPr="00E16672">
              <w:rPr>
                <w:rFonts w:ascii="Times New Roman" w:eastAsia="Lucida Sans Unicode" w:hAnsi="Times New Roman"/>
                <w:color w:val="000000"/>
                <w:sz w:val="16"/>
                <w:szCs w:val="16"/>
                <w:shd w:val="clear" w:color="auto" w:fill="FFFFFF"/>
              </w:rPr>
              <w:t xml:space="preserve"> </w:t>
            </w:r>
            <w:proofErr w:type="spellStart"/>
            <w:r w:rsidRPr="00E16672">
              <w:rPr>
                <w:rFonts w:ascii="Times New Roman" w:eastAsia="Lucida Sans Unicode" w:hAnsi="Times New Roman"/>
                <w:color w:val="000000"/>
                <w:sz w:val="16"/>
                <w:szCs w:val="16"/>
                <w:shd w:val="clear" w:color="auto" w:fill="FFFFFF"/>
              </w:rPr>
              <w:t>information</w:t>
            </w:r>
            <w:proofErr w:type="spellEnd"/>
            <w:r w:rsidRPr="00E16672">
              <w:rPr>
                <w:rFonts w:ascii="Times New Roman" w:eastAsia="Lucida Sans Unicode" w:hAnsi="Times New Roman"/>
                <w:color w:val="000000"/>
                <w:sz w:val="16"/>
                <w:szCs w:val="16"/>
                <w:shd w:val="clear" w:color="auto" w:fill="FFFFFF"/>
              </w:rPr>
              <w:t xml:space="preserve">, </w:t>
            </w:r>
            <w:proofErr w:type="spellStart"/>
            <w:r w:rsidRPr="00E16672">
              <w:rPr>
                <w:rFonts w:ascii="Times New Roman" w:eastAsia="Lucida Sans Unicode" w:hAnsi="Times New Roman"/>
                <w:color w:val="000000"/>
                <w:sz w:val="16"/>
                <w:szCs w:val="16"/>
                <w:shd w:val="clear" w:color="auto" w:fill="FFFFFF"/>
              </w:rPr>
              <w:t>which</w:t>
            </w:r>
            <w:proofErr w:type="spellEnd"/>
            <w:r w:rsidRPr="00E16672">
              <w:rPr>
                <w:rFonts w:ascii="Times New Roman" w:eastAsia="Lucida Sans Unicode" w:hAnsi="Times New Roman"/>
                <w:color w:val="000000"/>
                <w:sz w:val="16"/>
                <w:szCs w:val="16"/>
                <w:shd w:val="clear" w:color="auto" w:fill="FFFFFF"/>
              </w:rPr>
              <w:t xml:space="preserve"> </w:t>
            </w:r>
            <w:proofErr w:type="spellStart"/>
            <w:r w:rsidRPr="00E16672">
              <w:rPr>
                <w:rFonts w:ascii="Times New Roman" w:eastAsia="Lucida Sans Unicode" w:hAnsi="Times New Roman"/>
                <w:color w:val="000000"/>
                <w:sz w:val="16"/>
                <w:szCs w:val="16"/>
                <w:shd w:val="clear" w:color="auto" w:fill="FFFFFF"/>
              </w:rPr>
              <w:t>can</w:t>
            </w:r>
            <w:proofErr w:type="spellEnd"/>
            <w:r w:rsidRPr="00E16672">
              <w:rPr>
                <w:rFonts w:ascii="Times New Roman" w:eastAsia="Lucida Sans Unicode" w:hAnsi="Times New Roman"/>
                <w:color w:val="000000"/>
                <w:sz w:val="16"/>
                <w:szCs w:val="16"/>
                <w:shd w:val="clear" w:color="auto" w:fill="FFFFFF"/>
              </w:rPr>
              <w:t xml:space="preserve"> </w:t>
            </w:r>
            <w:proofErr w:type="spellStart"/>
            <w:r w:rsidRPr="00E16672">
              <w:rPr>
                <w:rFonts w:ascii="Times New Roman" w:eastAsia="Lucida Sans Unicode" w:hAnsi="Times New Roman"/>
                <w:color w:val="000000"/>
                <w:sz w:val="16"/>
                <w:szCs w:val="16"/>
                <w:shd w:val="clear" w:color="auto" w:fill="FFFFFF"/>
              </w:rPr>
              <w:t>make</w:t>
            </w:r>
            <w:proofErr w:type="spellEnd"/>
            <w:r w:rsidRPr="00E16672">
              <w:rPr>
                <w:rFonts w:ascii="Times New Roman" w:eastAsia="Lucida Sans Unicode" w:hAnsi="Times New Roman"/>
                <w:color w:val="000000"/>
                <w:sz w:val="16"/>
                <w:szCs w:val="16"/>
                <w:shd w:val="clear" w:color="auto" w:fill="FFFFFF"/>
              </w:rPr>
              <w:t xml:space="preserve"> </w:t>
            </w:r>
            <w:proofErr w:type="spellStart"/>
            <w:r w:rsidRPr="00E16672">
              <w:rPr>
                <w:rFonts w:ascii="Times New Roman" w:eastAsia="Lucida Sans Unicode" w:hAnsi="Times New Roman"/>
                <w:color w:val="000000"/>
                <w:sz w:val="16"/>
                <w:szCs w:val="16"/>
                <w:shd w:val="clear" w:color="auto" w:fill="FFFFFF"/>
              </w:rPr>
              <w:t>any</w:t>
            </w:r>
            <w:proofErr w:type="spellEnd"/>
            <w:r w:rsidRPr="00E16672">
              <w:rPr>
                <w:rFonts w:ascii="Times New Roman" w:eastAsia="Lucida Sans Unicode" w:hAnsi="Times New Roman"/>
                <w:color w:val="000000"/>
                <w:sz w:val="16"/>
                <w:szCs w:val="16"/>
                <w:shd w:val="clear" w:color="auto" w:fill="FFFFFF"/>
              </w:rPr>
              <w:t xml:space="preserve"> </w:t>
            </w:r>
            <w:proofErr w:type="spellStart"/>
            <w:r w:rsidRPr="00E16672">
              <w:rPr>
                <w:rFonts w:ascii="Times New Roman" w:eastAsia="Lucida Sans Unicode" w:hAnsi="Times New Roman"/>
                <w:color w:val="000000"/>
                <w:sz w:val="16"/>
                <w:szCs w:val="16"/>
                <w:shd w:val="clear" w:color="auto" w:fill="FFFFFF"/>
              </w:rPr>
              <w:t>damage</w:t>
            </w:r>
            <w:proofErr w:type="spellEnd"/>
            <w:r w:rsidRPr="00E16672">
              <w:rPr>
                <w:rFonts w:ascii="Times New Roman" w:eastAsia="Lucida Sans Unicode" w:hAnsi="Times New Roman"/>
                <w:color w:val="000000"/>
                <w:sz w:val="16"/>
                <w:szCs w:val="16"/>
                <w:shd w:val="clear" w:color="auto" w:fill="FFFFFF"/>
              </w:rPr>
              <w:t xml:space="preserve"> </w:t>
            </w:r>
            <w:proofErr w:type="spellStart"/>
            <w:r w:rsidRPr="00E16672">
              <w:rPr>
                <w:rFonts w:ascii="Times New Roman" w:eastAsia="Lucida Sans Unicode" w:hAnsi="Times New Roman"/>
                <w:color w:val="000000"/>
                <w:sz w:val="16"/>
                <w:szCs w:val="16"/>
                <w:shd w:val="clear" w:color="auto" w:fill="FFFFFF"/>
              </w:rPr>
              <w:t>to</w:t>
            </w:r>
            <w:proofErr w:type="spellEnd"/>
            <w:r w:rsidRPr="00E16672">
              <w:rPr>
                <w:rFonts w:ascii="Times New Roman" w:eastAsia="Lucida Sans Unicode" w:hAnsi="Times New Roman"/>
                <w:color w:val="000000"/>
                <w:sz w:val="16"/>
                <w:szCs w:val="16"/>
                <w:shd w:val="clear" w:color="auto" w:fill="FFFFFF"/>
              </w:rPr>
              <w:t xml:space="preserve"> </w:t>
            </w:r>
            <w:proofErr w:type="spellStart"/>
            <w:r w:rsidRPr="00E16672">
              <w:rPr>
                <w:rFonts w:ascii="Times New Roman" w:eastAsia="Lucida Sans Unicode" w:hAnsi="Times New Roman"/>
                <w:color w:val="000000"/>
                <w:sz w:val="16"/>
                <w:szCs w:val="16"/>
                <w:shd w:val="clear" w:color="auto" w:fill="FFFFFF"/>
              </w:rPr>
              <w:t>Depositor</w:t>
            </w:r>
            <w:proofErr w:type="spellEnd"/>
            <w:r w:rsidRPr="00E16672">
              <w:rPr>
                <w:rFonts w:ascii="Times New Roman" w:eastAsia="Lucida Sans Unicode" w:hAnsi="Times New Roman"/>
                <w:color w:val="000000"/>
                <w:sz w:val="16"/>
                <w:szCs w:val="16"/>
                <w:shd w:val="clear" w:color="auto" w:fill="FFFFFF"/>
              </w:rPr>
              <w:t xml:space="preserve">. </w:t>
            </w:r>
            <w:proofErr w:type="spellStart"/>
            <w:r w:rsidRPr="00E16672">
              <w:rPr>
                <w:rFonts w:ascii="Times New Roman" w:eastAsia="Lucida Sans Unicode" w:hAnsi="Times New Roman"/>
                <w:color w:val="000000"/>
                <w:sz w:val="16"/>
                <w:szCs w:val="16"/>
                <w:shd w:val="clear" w:color="auto" w:fill="FFFFFF"/>
              </w:rPr>
              <w:t>Responsibility</w:t>
            </w:r>
            <w:proofErr w:type="spellEnd"/>
            <w:r w:rsidRPr="00E16672">
              <w:rPr>
                <w:rFonts w:ascii="Times New Roman" w:eastAsia="Lucida Sans Unicode" w:hAnsi="Times New Roman"/>
                <w:color w:val="000000"/>
                <w:sz w:val="16"/>
                <w:szCs w:val="16"/>
                <w:shd w:val="clear" w:color="auto" w:fill="FFFFFF"/>
              </w:rPr>
              <w:t xml:space="preserve"> </w:t>
            </w:r>
            <w:proofErr w:type="spellStart"/>
            <w:r w:rsidRPr="00E16672">
              <w:rPr>
                <w:rFonts w:ascii="Times New Roman" w:eastAsia="Lucida Sans Unicode" w:hAnsi="Times New Roman"/>
                <w:color w:val="000000"/>
                <w:sz w:val="16"/>
                <w:szCs w:val="16"/>
                <w:shd w:val="clear" w:color="auto" w:fill="FFFFFF"/>
              </w:rPr>
              <w:t>for</w:t>
            </w:r>
            <w:proofErr w:type="spellEnd"/>
            <w:r w:rsidRPr="00E16672">
              <w:rPr>
                <w:rFonts w:ascii="Times New Roman" w:eastAsia="Lucida Sans Unicode" w:hAnsi="Times New Roman"/>
                <w:color w:val="000000"/>
                <w:sz w:val="16"/>
                <w:szCs w:val="16"/>
                <w:shd w:val="clear" w:color="auto" w:fill="FFFFFF"/>
              </w:rPr>
              <w:t xml:space="preserve"> </w:t>
            </w:r>
            <w:proofErr w:type="spellStart"/>
            <w:r w:rsidRPr="00E16672">
              <w:rPr>
                <w:rFonts w:ascii="Times New Roman" w:eastAsia="Lucida Sans Unicode" w:hAnsi="Times New Roman"/>
                <w:color w:val="000000"/>
                <w:sz w:val="16"/>
                <w:szCs w:val="16"/>
                <w:shd w:val="clear" w:color="auto" w:fill="FFFFFF"/>
              </w:rPr>
              <w:t>keeping</w:t>
            </w:r>
            <w:proofErr w:type="spellEnd"/>
            <w:r w:rsidRPr="00E16672">
              <w:rPr>
                <w:rFonts w:ascii="Times New Roman" w:eastAsia="Lucida Sans Unicode" w:hAnsi="Times New Roman"/>
                <w:color w:val="000000"/>
                <w:sz w:val="16"/>
                <w:szCs w:val="16"/>
                <w:shd w:val="clear" w:color="auto" w:fill="FFFFFF"/>
              </w:rPr>
              <w:t xml:space="preserve"> </w:t>
            </w:r>
            <w:proofErr w:type="spellStart"/>
            <w:r w:rsidRPr="00E16672">
              <w:rPr>
                <w:rFonts w:ascii="Times New Roman" w:eastAsia="Lucida Sans Unicode" w:hAnsi="Times New Roman"/>
                <w:color w:val="000000"/>
                <w:sz w:val="16"/>
                <w:szCs w:val="16"/>
                <w:shd w:val="clear" w:color="auto" w:fill="FFFFFF"/>
              </w:rPr>
              <w:t>confidentiality</w:t>
            </w:r>
            <w:proofErr w:type="spellEnd"/>
            <w:r w:rsidRPr="00E16672">
              <w:rPr>
                <w:rFonts w:ascii="Times New Roman" w:eastAsia="Lucida Sans Unicode" w:hAnsi="Times New Roman"/>
                <w:color w:val="000000"/>
                <w:sz w:val="16"/>
                <w:szCs w:val="16"/>
                <w:shd w:val="clear" w:color="auto" w:fill="FFFFFF"/>
              </w:rPr>
              <w:t xml:space="preserve"> </w:t>
            </w:r>
            <w:proofErr w:type="spellStart"/>
            <w:r w:rsidRPr="00E16672">
              <w:rPr>
                <w:rFonts w:ascii="Times New Roman" w:eastAsia="Lucida Sans Unicode" w:hAnsi="Times New Roman"/>
                <w:color w:val="000000"/>
                <w:sz w:val="16"/>
                <w:szCs w:val="16"/>
                <w:shd w:val="clear" w:color="auto" w:fill="FFFFFF"/>
              </w:rPr>
              <w:t>do</w:t>
            </w:r>
            <w:proofErr w:type="spellEnd"/>
            <w:r w:rsidRPr="00E16672">
              <w:rPr>
                <w:rFonts w:ascii="Times New Roman" w:eastAsia="Lucida Sans Unicode" w:hAnsi="Times New Roman"/>
                <w:color w:val="000000"/>
                <w:sz w:val="16"/>
                <w:szCs w:val="16"/>
                <w:shd w:val="clear" w:color="auto" w:fill="FFFFFF"/>
              </w:rPr>
              <w:t xml:space="preserve"> </w:t>
            </w:r>
            <w:proofErr w:type="spellStart"/>
            <w:r w:rsidRPr="00E16672">
              <w:rPr>
                <w:rFonts w:ascii="Times New Roman" w:eastAsia="Lucida Sans Unicode" w:hAnsi="Times New Roman"/>
                <w:color w:val="000000"/>
                <w:sz w:val="16"/>
                <w:szCs w:val="16"/>
                <w:shd w:val="clear" w:color="auto" w:fill="FFFFFF"/>
              </w:rPr>
              <w:t>not</w:t>
            </w:r>
            <w:proofErr w:type="spellEnd"/>
            <w:r w:rsidRPr="00E16672">
              <w:rPr>
                <w:rFonts w:ascii="Times New Roman" w:eastAsia="Lucida Sans Unicode" w:hAnsi="Times New Roman"/>
                <w:color w:val="000000"/>
                <w:sz w:val="16"/>
                <w:szCs w:val="16"/>
                <w:shd w:val="clear" w:color="auto" w:fill="FFFFFF"/>
              </w:rPr>
              <w:t xml:space="preserve"> </w:t>
            </w:r>
            <w:proofErr w:type="spellStart"/>
            <w:r w:rsidRPr="00E16672">
              <w:rPr>
                <w:rFonts w:ascii="Times New Roman" w:eastAsia="Lucida Sans Unicode" w:hAnsi="Times New Roman"/>
                <w:color w:val="000000"/>
                <w:sz w:val="16"/>
                <w:szCs w:val="16"/>
                <w:shd w:val="clear" w:color="auto" w:fill="FFFFFF"/>
              </w:rPr>
              <w:t>arise</w:t>
            </w:r>
            <w:proofErr w:type="spellEnd"/>
            <w:r w:rsidRPr="00E16672">
              <w:rPr>
                <w:rFonts w:ascii="Times New Roman" w:eastAsia="Lucida Sans Unicode" w:hAnsi="Times New Roman"/>
                <w:color w:val="000000"/>
                <w:sz w:val="16"/>
                <w:szCs w:val="16"/>
                <w:shd w:val="clear" w:color="auto" w:fill="FFFFFF"/>
              </w:rPr>
              <w:t xml:space="preserve"> </w:t>
            </w:r>
            <w:proofErr w:type="spellStart"/>
            <w:r w:rsidRPr="00E16672">
              <w:rPr>
                <w:rFonts w:ascii="Times New Roman" w:eastAsia="Lucida Sans Unicode" w:hAnsi="Times New Roman"/>
                <w:color w:val="000000"/>
                <w:sz w:val="16"/>
                <w:szCs w:val="16"/>
                <w:shd w:val="clear" w:color="auto" w:fill="FFFFFF"/>
              </w:rPr>
              <w:t>in</w:t>
            </w:r>
            <w:proofErr w:type="spellEnd"/>
            <w:r w:rsidRPr="00E16672">
              <w:rPr>
                <w:rFonts w:ascii="Times New Roman" w:eastAsia="Lucida Sans Unicode" w:hAnsi="Times New Roman"/>
                <w:color w:val="000000"/>
                <w:sz w:val="16"/>
                <w:szCs w:val="16"/>
                <w:shd w:val="clear" w:color="auto" w:fill="FFFFFF"/>
              </w:rPr>
              <w:t xml:space="preserve"> </w:t>
            </w:r>
            <w:proofErr w:type="spellStart"/>
            <w:r w:rsidRPr="00E16672">
              <w:rPr>
                <w:rFonts w:ascii="Times New Roman" w:eastAsia="Lucida Sans Unicode" w:hAnsi="Times New Roman"/>
                <w:color w:val="000000"/>
                <w:sz w:val="16"/>
                <w:szCs w:val="16"/>
                <w:shd w:val="clear" w:color="auto" w:fill="FFFFFF"/>
              </w:rPr>
              <w:t>cases</w:t>
            </w:r>
            <w:proofErr w:type="spellEnd"/>
            <w:r w:rsidRPr="00E16672">
              <w:rPr>
                <w:rFonts w:ascii="Times New Roman" w:eastAsia="Lucida Sans Unicode" w:hAnsi="Times New Roman"/>
                <w:color w:val="000000"/>
                <w:sz w:val="16"/>
                <w:szCs w:val="16"/>
                <w:shd w:val="clear" w:color="auto" w:fill="FFFFFF"/>
              </w:rPr>
              <w:t xml:space="preserve"> </w:t>
            </w:r>
            <w:proofErr w:type="spellStart"/>
            <w:r w:rsidRPr="00E16672">
              <w:rPr>
                <w:rFonts w:ascii="Times New Roman" w:eastAsia="Lucida Sans Unicode" w:hAnsi="Times New Roman"/>
                <w:color w:val="000000"/>
                <w:sz w:val="16"/>
                <w:szCs w:val="16"/>
                <w:shd w:val="clear" w:color="auto" w:fill="FFFFFF"/>
              </w:rPr>
              <w:t>where</w:t>
            </w:r>
            <w:proofErr w:type="spellEnd"/>
            <w:r w:rsidRPr="00E16672">
              <w:rPr>
                <w:rFonts w:ascii="Times New Roman" w:eastAsia="Lucida Sans Unicode" w:hAnsi="Times New Roman"/>
                <w:color w:val="000000"/>
                <w:sz w:val="16"/>
                <w:szCs w:val="16"/>
                <w:shd w:val="clear" w:color="auto" w:fill="FFFFFF"/>
              </w:rPr>
              <w:t xml:space="preserve"> </w:t>
            </w:r>
            <w:proofErr w:type="spellStart"/>
            <w:r w:rsidRPr="00E16672">
              <w:rPr>
                <w:rFonts w:ascii="Times New Roman" w:eastAsia="Lucida Sans Unicode" w:hAnsi="Times New Roman"/>
                <w:color w:val="000000"/>
                <w:sz w:val="16"/>
                <w:szCs w:val="16"/>
                <w:shd w:val="clear" w:color="auto" w:fill="FFFFFF"/>
              </w:rPr>
              <w:t>disclosure</w:t>
            </w:r>
            <w:proofErr w:type="spellEnd"/>
            <w:r w:rsidRPr="00E16672">
              <w:rPr>
                <w:rFonts w:ascii="Times New Roman" w:eastAsia="Lucida Sans Unicode" w:hAnsi="Times New Roman"/>
                <w:color w:val="000000"/>
                <w:sz w:val="16"/>
                <w:szCs w:val="16"/>
                <w:shd w:val="clear" w:color="auto" w:fill="FFFFFF"/>
              </w:rPr>
              <w:t xml:space="preserve"> </w:t>
            </w:r>
            <w:proofErr w:type="spellStart"/>
            <w:r w:rsidRPr="00E16672">
              <w:rPr>
                <w:rFonts w:ascii="Times New Roman" w:eastAsia="Lucida Sans Unicode" w:hAnsi="Times New Roman"/>
                <w:color w:val="000000"/>
                <w:sz w:val="16"/>
                <w:szCs w:val="16"/>
                <w:shd w:val="clear" w:color="auto" w:fill="FFFFFF"/>
              </w:rPr>
              <w:t>of</w:t>
            </w:r>
            <w:proofErr w:type="spellEnd"/>
            <w:r w:rsidRPr="00E16672">
              <w:rPr>
                <w:rFonts w:ascii="Times New Roman" w:eastAsia="Lucida Sans Unicode" w:hAnsi="Times New Roman"/>
                <w:color w:val="000000"/>
                <w:sz w:val="16"/>
                <w:szCs w:val="16"/>
                <w:shd w:val="clear" w:color="auto" w:fill="FFFFFF"/>
              </w:rPr>
              <w:t xml:space="preserve"> </w:t>
            </w:r>
            <w:proofErr w:type="spellStart"/>
            <w:r w:rsidRPr="00E16672">
              <w:rPr>
                <w:rFonts w:ascii="Times New Roman" w:eastAsia="Lucida Sans Unicode" w:hAnsi="Times New Roman"/>
                <w:color w:val="000000"/>
                <w:sz w:val="16"/>
                <w:szCs w:val="16"/>
                <w:shd w:val="clear" w:color="auto" w:fill="FFFFFF"/>
              </w:rPr>
              <w:t>such</w:t>
            </w:r>
            <w:proofErr w:type="spellEnd"/>
            <w:r w:rsidRPr="00E16672">
              <w:rPr>
                <w:rFonts w:ascii="Times New Roman" w:eastAsia="Lucida Sans Unicode" w:hAnsi="Times New Roman"/>
                <w:color w:val="000000"/>
                <w:sz w:val="16"/>
                <w:szCs w:val="16"/>
                <w:shd w:val="clear" w:color="auto" w:fill="FFFFFF"/>
              </w:rPr>
              <w:t xml:space="preserve"> </w:t>
            </w:r>
            <w:proofErr w:type="spellStart"/>
            <w:r w:rsidRPr="00E16672">
              <w:rPr>
                <w:rFonts w:ascii="Times New Roman" w:eastAsia="Lucida Sans Unicode" w:hAnsi="Times New Roman"/>
                <w:color w:val="000000"/>
                <w:sz w:val="16"/>
                <w:szCs w:val="16"/>
                <w:shd w:val="clear" w:color="auto" w:fill="FFFFFF"/>
              </w:rPr>
              <w:t>information</w:t>
            </w:r>
            <w:proofErr w:type="spellEnd"/>
            <w:r w:rsidRPr="00E16672">
              <w:rPr>
                <w:rFonts w:ascii="Times New Roman" w:eastAsia="Lucida Sans Unicode" w:hAnsi="Times New Roman"/>
                <w:color w:val="000000"/>
                <w:sz w:val="16"/>
                <w:szCs w:val="16"/>
                <w:shd w:val="clear" w:color="auto" w:fill="FFFFFF"/>
              </w:rPr>
              <w:t xml:space="preserve"> </w:t>
            </w:r>
            <w:proofErr w:type="spellStart"/>
            <w:r w:rsidRPr="00E16672">
              <w:rPr>
                <w:rFonts w:ascii="Times New Roman" w:eastAsia="Lucida Sans Unicode" w:hAnsi="Times New Roman"/>
                <w:color w:val="000000"/>
                <w:sz w:val="16"/>
                <w:szCs w:val="16"/>
                <w:shd w:val="clear" w:color="auto" w:fill="FFFFFF"/>
              </w:rPr>
              <w:t>has</w:t>
            </w:r>
            <w:proofErr w:type="spellEnd"/>
            <w:r w:rsidRPr="00E16672">
              <w:rPr>
                <w:rFonts w:ascii="Times New Roman" w:eastAsia="Lucida Sans Unicode" w:hAnsi="Times New Roman"/>
                <w:color w:val="000000"/>
                <w:sz w:val="16"/>
                <w:szCs w:val="16"/>
                <w:shd w:val="clear" w:color="auto" w:fill="FFFFFF"/>
              </w:rPr>
              <w:t xml:space="preserve"> </w:t>
            </w:r>
            <w:proofErr w:type="spellStart"/>
            <w:r w:rsidRPr="00E16672">
              <w:rPr>
                <w:rFonts w:ascii="Times New Roman" w:eastAsia="Lucida Sans Unicode" w:hAnsi="Times New Roman"/>
                <w:color w:val="000000"/>
                <w:sz w:val="16"/>
                <w:szCs w:val="16"/>
                <w:shd w:val="clear" w:color="auto" w:fill="FFFFFF"/>
              </w:rPr>
              <w:t>been</w:t>
            </w:r>
            <w:proofErr w:type="spellEnd"/>
            <w:r w:rsidRPr="00E16672">
              <w:rPr>
                <w:rFonts w:ascii="Times New Roman" w:eastAsia="Lucida Sans Unicode" w:hAnsi="Times New Roman"/>
                <w:color w:val="000000"/>
                <w:sz w:val="16"/>
                <w:szCs w:val="16"/>
                <w:shd w:val="clear" w:color="auto" w:fill="FFFFFF"/>
              </w:rPr>
              <w:t xml:space="preserve"> a </w:t>
            </w:r>
            <w:proofErr w:type="spellStart"/>
            <w:r w:rsidRPr="00E16672">
              <w:rPr>
                <w:rFonts w:ascii="Times New Roman" w:eastAsia="Lucida Sans Unicode" w:hAnsi="Times New Roman"/>
                <w:color w:val="000000"/>
                <w:sz w:val="16"/>
                <w:szCs w:val="16"/>
                <w:shd w:val="clear" w:color="auto" w:fill="FFFFFF"/>
              </w:rPr>
              <w:t>result</w:t>
            </w:r>
            <w:proofErr w:type="spellEnd"/>
            <w:r w:rsidRPr="00E16672">
              <w:rPr>
                <w:rFonts w:ascii="Times New Roman" w:eastAsia="Lucida Sans Unicode" w:hAnsi="Times New Roman"/>
                <w:color w:val="000000"/>
                <w:sz w:val="16"/>
                <w:szCs w:val="16"/>
                <w:shd w:val="clear" w:color="auto" w:fill="FFFFFF"/>
              </w:rPr>
              <w:t xml:space="preserve"> </w:t>
            </w:r>
            <w:proofErr w:type="spellStart"/>
            <w:r w:rsidRPr="00E16672">
              <w:rPr>
                <w:rFonts w:ascii="Times New Roman" w:eastAsia="Lucida Sans Unicode" w:hAnsi="Times New Roman"/>
                <w:color w:val="000000"/>
                <w:sz w:val="16"/>
                <w:szCs w:val="16"/>
                <w:shd w:val="clear" w:color="auto" w:fill="FFFFFF"/>
              </w:rPr>
              <w:t>of</w:t>
            </w:r>
            <w:proofErr w:type="spellEnd"/>
            <w:r w:rsidRPr="00E16672">
              <w:rPr>
                <w:rFonts w:ascii="Times New Roman" w:eastAsia="Lucida Sans Unicode" w:hAnsi="Times New Roman"/>
                <w:color w:val="000000"/>
                <w:sz w:val="16"/>
                <w:szCs w:val="16"/>
                <w:shd w:val="clear" w:color="auto" w:fill="FFFFFF"/>
              </w:rPr>
              <w:t xml:space="preserve"> </w:t>
            </w:r>
            <w:proofErr w:type="spellStart"/>
            <w:r w:rsidRPr="00E16672">
              <w:rPr>
                <w:rFonts w:ascii="Times New Roman" w:eastAsia="Lucida Sans Unicode" w:hAnsi="Times New Roman"/>
                <w:color w:val="000000"/>
                <w:sz w:val="16"/>
                <w:szCs w:val="16"/>
                <w:shd w:val="clear" w:color="auto" w:fill="FFFFFF"/>
              </w:rPr>
              <w:t>the</w:t>
            </w:r>
            <w:proofErr w:type="spellEnd"/>
            <w:r w:rsidRPr="00E16672">
              <w:rPr>
                <w:rFonts w:ascii="Times New Roman" w:eastAsia="Lucida Sans Unicode" w:hAnsi="Times New Roman"/>
                <w:color w:val="000000"/>
                <w:sz w:val="16"/>
                <w:szCs w:val="16"/>
                <w:shd w:val="clear" w:color="auto" w:fill="FFFFFF"/>
              </w:rPr>
              <w:t xml:space="preserve"> </w:t>
            </w:r>
            <w:proofErr w:type="spellStart"/>
            <w:r w:rsidRPr="00E16672">
              <w:rPr>
                <w:rFonts w:ascii="Times New Roman" w:eastAsia="Lucida Sans Unicode" w:hAnsi="Times New Roman"/>
                <w:color w:val="000000"/>
                <w:sz w:val="16"/>
                <w:szCs w:val="16"/>
                <w:shd w:val="clear" w:color="auto" w:fill="FFFFFF"/>
              </w:rPr>
              <w:t>actions</w:t>
            </w:r>
            <w:proofErr w:type="spellEnd"/>
            <w:r w:rsidRPr="00E16672">
              <w:rPr>
                <w:rFonts w:ascii="Times New Roman" w:eastAsia="Lucida Sans Unicode" w:hAnsi="Times New Roman"/>
                <w:color w:val="000000"/>
                <w:sz w:val="16"/>
                <w:szCs w:val="16"/>
                <w:shd w:val="clear" w:color="auto" w:fill="FFFFFF"/>
              </w:rPr>
              <w:t xml:space="preserve"> </w:t>
            </w:r>
            <w:proofErr w:type="spellStart"/>
            <w:r w:rsidRPr="00E16672">
              <w:rPr>
                <w:rFonts w:ascii="Times New Roman" w:eastAsia="Lucida Sans Unicode" w:hAnsi="Times New Roman"/>
                <w:color w:val="000000"/>
                <w:sz w:val="16"/>
                <w:szCs w:val="16"/>
                <w:shd w:val="clear" w:color="auto" w:fill="FFFFFF"/>
              </w:rPr>
              <w:t>of</w:t>
            </w:r>
            <w:proofErr w:type="spellEnd"/>
            <w:r w:rsidRPr="00E16672">
              <w:rPr>
                <w:rFonts w:ascii="Times New Roman" w:eastAsia="Lucida Sans Unicode" w:hAnsi="Times New Roman"/>
                <w:color w:val="000000"/>
                <w:sz w:val="16"/>
                <w:szCs w:val="16"/>
                <w:shd w:val="clear" w:color="auto" w:fill="FFFFFF"/>
              </w:rPr>
              <w:t xml:space="preserve"> </w:t>
            </w:r>
            <w:proofErr w:type="spellStart"/>
            <w:r w:rsidRPr="00E16672">
              <w:rPr>
                <w:rFonts w:ascii="Times New Roman" w:eastAsia="Lucida Sans Unicode" w:hAnsi="Times New Roman"/>
                <w:color w:val="000000"/>
                <w:sz w:val="16"/>
                <w:szCs w:val="16"/>
                <w:shd w:val="clear" w:color="auto" w:fill="FFFFFF"/>
              </w:rPr>
              <w:t>judicial</w:t>
            </w:r>
            <w:proofErr w:type="spellEnd"/>
            <w:r w:rsidRPr="00E16672">
              <w:rPr>
                <w:rFonts w:ascii="Times New Roman" w:eastAsia="Lucida Sans Unicode" w:hAnsi="Times New Roman"/>
                <w:color w:val="000000"/>
                <w:sz w:val="16"/>
                <w:szCs w:val="16"/>
                <w:shd w:val="clear" w:color="auto" w:fill="FFFFFF"/>
              </w:rPr>
              <w:t xml:space="preserve"> </w:t>
            </w:r>
            <w:proofErr w:type="spellStart"/>
            <w:r w:rsidRPr="00E16672">
              <w:rPr>
                <w:rFonts w:ascii="Times New Roman" w:eastAsia="Lucida Sans Unicode" w:hAnsi="Times New Roman"/>
                <w:color w:val="000000"/>
                <w:sz w:val="16"/>
                <w:szCs w:val="16"/>
                <w:shd w:val="clear" w:color="auto" w:fill="FFFFFF"/>
              </w:rPr>
              <w:t>or</w:t>
            </w:r>
            <w:proofErr w:type="spellEnd"/>
            <w:r w:rsidRPr="00E16672">
              <w:rPr>
                <w:rFonts w:ascii="Times New Roman" w:eastAsia="Lucida Sans Unicode" w:hAnsi="Times New Roman"/>
                <w:color w:val="000000"/>
                <w:sz w:val="16"/>
                <w:szCs w:val="16"/>
                <w:shd w:val="clear" w:color="auto" w:fill="FFFFFF"/>
              </w:rPr>
              <w:t xml:space="preserve"> </w:t>
            </w:r>
            <w:proofErr w:type="spellStart"/>
            <w:r w:rsidRPr="00E16672">
              <w:rPr>
                <w:rFonts w:ascii="Times New Roman" w:eastAsia="Lucida Sans Unicode" w:hAnsi="Times New Roman"/>
                <w:color w:val="000000"/>
                <w:sz w:val="16"/>
                <w:szCs w:val="16"/>
                <w:shd w:val="clear" w:color="auto" w:fill="FFFFFF"/>
              </w:rPr>
              <w:t>other</w:t>
            </w:r>
            <w:proofErr w:type="spellEnd"/>
            <w:r w:rsidRPr="00E16672">
              <w:rPr>
                <w:rFonts w:ascii="Times New Roman" w:eastAsia="Lucida Sans Unicode" w:hAnsi="Times New Roman"/>
                <w:color w:val="000000"/>
                <w:sz w:val="16"/>
                <w:szCs w:val="16"/>
                <w:shd w:val="clear" w:color="auto" w:fill="FFFFFF"/>
              </w:rPr>
              <w:t xml:space="preserve"> </w:t>
            </w:r>
            <w:proofErr w:type="spellStart"/>
            <w:r w:rsidRPr="00E16672">
              <w:rPr>
                <w:rFonts w:ascii="Times New Roman" w:eastAsia="Lucida Sans Unicode" w:hAnsi="Times New Roman"/>
                <w:color w:val="000000"/>
                <w:sz w:val="16"/>
                <w:szCs w:val="16"/>
                <w:shd w:val="clear" w:color="auto" w:fill="FFFFFF"/>
              </w:rPr>
              <w:t>competent</w:t>
            </w:r>
            <w:proofErr w:type="spellEnd"/>
            <w:r w:rsidRPr="00E16672">
              <w:rPr>
                <w:rFonts w:ascii="Times New Roman" w:eastAsia="Lucida Sans Unicode" w:hAnsi="Times New Roman"/>
                <w:color w:val="000000"/>
                <w:sz w:val="16"/>
                <w:szCs w:val="16"/>
                <w:shd w:val="clear" w:color="auto" w:fill="FFFFFF"/>
              </w:rPr>
              <w:t xml:space="preserve"> </w:t>
            </w:r>
            <w:proofErr w:type="spellStart"/>
            <w:r w:rsidRPr="00E16672">
              <w:rPr>
                <w:rFonts w:ascii="Times New Roman" w:eastAsia="Lucida Sans Unicode" w:hAnsi="Times New Roman"/>
                <w:color w:val="000000"/>
                <w:sz w:val="16"/>
                <w:szCs w:val="16"/>
                <w:shd w:val="clear" w:color="auto" w:fill="FFFFFF"/>
              </w:rPr>
              <w:t>bodies</w:t>
            </w:r>
            <w:proofErr w:type="spellEnd"/>
            <w:r w:rsidRPr="00E16672">
              <w:rPr>
                <w:rFonts w:ascii="Times New Roman" w:eastAsia="Lucida Sans Unicode" w:hAnsi="Times New Roman"/>
                <w:color w:val="000000"/>
                <w:sz w:val="16"/>
                <w:szCs w:val="16"/>
                <w:shd w:val="clear" w:color="auto" w:fill="FFFFFF"/>
              </w:rPr>
              <w:t xml:space="preserve"> </w:t>
            </w:r>
            <w:proofErr w:type="spellStart"/>
            <w:r w:rsidRPr="00E16672">
              <w:rPr>
                <w:rFonts w:ascii="Times New Roman" w:eastAsia="Lucida Sans Unicode" w:hAnsi="Times New Roman"/>
                <w:color w:val="000000"/>
                <w:sz w:val="16"/>
                <w:szCs w:val="16"/>
                <w:shd w:val="clear" w:color="auto" w:fill="FFFFFF"/>
              </w:rPr>
              <w:t>of</w:t>
            </w:r>
            <w:proofErr w:type="spellEnd"/>
            <w:r w:rsidRPr="00E16672">
              <w:rPr>
                <w:rFonts w:ascii="Times New Roman" w:eastAsia="Lucida Sans Unicode" w:hAnsi="Times New Roman"/>
                <w:color w:val="000000"/>
                <w:sz w:val="16"/>
                <w:szCs w:val="16"/>
                <w:shd w:val="clear" w:color="auto" w:fill="FFFFFF"/>
              </w:rPr>
              <w:t xml:space="preserve"> </w:t>
            </w:r>
            <w:proofErr w:type="spellStart"/>
            <w:r w:rsidRPr="00E16672">
              <w:rPr>
                <w:rFonts w:ascii="Times New Roman" w:eastAsia="Lucida Sans Unicode" w:hAnsi="Times New Roman"/>
                <w:color w:val="000000"/>
                <w:sz w:val="16"/>
                <w:szCs w:val="16"/>
                <w:shd w:val="clear" w:color="auto" w:fill="FFFFFF"/>
              </w:rPr>
              <w:t>legislation</w:t>
            </w:r>
            <w:proofErr w:type="spellEnd"/>
            <w:r w:rsidRPr="00E16672">
              <w:rPr>
                <w:rFonts w:ascii="Times New Roman" w:hAnsi="Times New Roman"/>
                <w:color w:val="000000"/>
                <w:sz w:val="18"/>
                <w:szCs w:val="18"/>
                <w:lang w:val="en-US"/>
              </w:rPr>
              <w:t xml:space="preserve"> </w:t>
            </w:r>
            <w:r w:rsidRPr="00E16672">
              <w:rPr>
                <w:rFonts w:ascii="Times New Roman" w:hAnsi="Times New Roman"/>
                <w:color w:val="000000"/>
                <w:sz w:val="16"/>
                <w:szCs w:val="16"/>
                <w:lang w:val="en-US"/>
              </w:rPr>
              <w:t>or in other cases in accordance to the current legislation</w:t>
            </w:r>
            <w:r w:rsidRPr="00E16672">
              <w:rPr>
                <w:rFonts w:ascii="Times New Roman" w:eastAsia="Lucida Sans Unicode" w:hAnsi="Times New Roman"/>
                <w:color w:val="000000"/>
                <w:sz w:val="16"/>
                <w:szCs w:val="16"/>
                <w:shd w:val="clear" w:color="auto" w:fill="FFFFFF"/>
              </w:rPr>
              <w:t>.</w:t>
            </w:r>
          </w:p>
          <w:p w14:paraId="3846B4DD" w14:textId="77777777" w:rsidR="005C5318" w:rsidRPr="00E16672" w:rsidRDefault="005C5318" w:rsidP="005C5318">
            <w:pPr>
              <w:pStyle w:val="210"/>
              <w:snapToGrid w:val="0"/>
              <w:ind w:left="142" w:right="138" w:firstLine="0"/>
              <w:rPr>
                <w:rFonts w:ascii="Times New Roman" w:eastAsia="Lucida Sans Unicode" w:hAnsi="Times New Roman"/>
                <w:color w:val="000000"/>
                <w:sz w:val="16"/>
                <w:szCs w:val="16"/>
                <w:shd w:val="clear" w:color="auto" w:fill="FFFFFF"/>
              </w:rPr>
            </w:pPr>
          </w:p>
          <w:p w14:paraId="0B9565DE" w14:textId="77777777" w:rsidR="005C5318" w:rsidRPr="00E16672" w:rsidRDefault="005C5318" w:rsidP="005C5318">
            <w:pPr>
              <w:ind w:left="142" w:right="138"/>
              <w:rPr>
                <w:rFonts w:ascii="Times New Roman" w:eastAsia="Lucida Sans Unicode" w:hAnsi="Times New Roman"/>
                <w:color w:val="000000"/>
                <w:sz w:val="16"/>
                <w:szCs w:val="16"/>
                <w:shd w:val="clear" w:color="auto" w:fill="FFFFFF"/>
                <w:lang w:val="en-GB"/>
              </w:rPr>
            </w:pPr>
          </w:p>
        </w:tc>
      </w:tr>
      <w:tr w:rsidR="005C5318" w:rsidRPr="00F23413" w14:paraId="08B8EBA8" w14:textId="77777777" w:rsidTr="005E418B">
        <w:trPr>
          <w:trHeight w:val="192"/>
        </w:trPr>
        <w:tc>
          <w:tcPr>
            <w:tcW w:w="5695" w:type="dxa"/>
            <w:gridSpan w:val="6"/>
            <w:shd w:val="clear" w:color="auto" w:fill="auto"/>
          </w:tcPr>
          <w:p w14:paraId="0EBF47CA" w14:textId="77777777" w:rsidR="005C5318" w:rsidRPr="00E16672" w:rsidRDefault="005C5318" w:rsidP="005C5318">
            <w:pPr>
              <w:tabs>
                <w:tab w:val="left" w:pos="0"/>
              </w:tabs>
              <w:snapToGrid w:val="0"/>
              <w:ind w:left="142" w:right="138" w:firstLine="0"/>
              <w:rPr>
                <w:rFonts w:ascii="Times New Roman" w:hAnsi="Times New Roman"/>
                <w:color w:val="000000"/>
                <w:sz w:val="16"/>
                <w:szCs w:val="16"/>
                <w:shd w:val="clear" w:color="auto" w:fill="FFFFFF"/>
              </w:rPr>
            </w:pPr>
            <w:r w:rsidRPr="00E16672">
              <w:rPr>
                <w:rFonts w:ascii="Times New Roman" w:hAnsi="Times New Roman"/>
                <w:color w:val="000000"/>
                <w:sz w:val="16"/>
                <w:szCs w:val="16"/>
                <w:shd w:val="clear" w:color="auto" w:fill="FFFFFF"/>
              </w:rPr>
              <w:t>2.1.1</w:t>
            </w:r>
            <w:r w:rsidRPr="00E16672">
              <w:rPr>
                <w:rFonts w:ascii="Times New Roman" w:hAnsi="Times New Roman"/>
                <w:color w:val="000000"/>
                <w:sz w:val="16"/>
                <w:szCs w:val="16"/>
                <w:shd w:val="clear" w:color="auto" w:fill="FFFFFF"/>
                <w:lang w:val="uk-UA"/>
              </w:rPr>
              <w:t>4</w:t>
            </w:r>
            <w:r w:rsidRPr="00E16672">
              <w:rPr>
                <w:rFonts w:ascii="Times New Roman" w:hAnsi="Times New Roman"/>
                <w:color w:val="000000"/>
                <w:sz w:val="16"/>
                <w:szCs w:val="16"/>
                <w:shd w:val="clear" w:color="auto" w:fill="FFFFFF"/>
              </w:rPr>
              <w:t xml:space="preserve">. </w:t>
            </w:r>
            <w:proofErr w:type="spellStart"/>
            <w:r w:rsidRPr="00E16672">
              <w:rPr>
                <w:rFonts w:ascii="Times New Roman" w:hAnsi="Times New Roman"/>
                <w:color w:val="000000"/>
                <w:sz w:val="16"/>
                <w:szCs w:val="16"/>
                <w:shd w:val="clear" w:color="auto" w:fill="FFFFFF"/>
              </w:rPr>
              <w:t>Дотримуватися</w:t>
            </w:r>
            <w:proofErr w:type="spellEnd"/>
            <w:r w:rsidRPr="00E16672">
              <w:rPr>
                <w:rFonts w:ascii="Times New Roman" w:hAnsi="Times New Roman"/>
                <w:color w:val="000000"/>
                <w:sz w:val="16"/>
                <w:szCs w:val="16"/>
                <w:shd w:val="clear" w:color="auto" w:fill="FFFFFF"/>
              </w:rPr>
              <w:t xml:space="preserve"> </w:t>
            </w:r>
            <w:proofErr w:type="spellStart"/>
            <w:r w:rsidRPr="00E16672">
              <w:rPr>
                <w:rFonts w:ascii="Times New Roman" w:hAnsi="Times New Roman"/>
                <w:color w:val="000000"/>
                <w:sz w:val="16"/>
                <w:szCs w:val="16"/>
                <w:shd w:val="clear" w:color="auto" w:fill="FFFFFF"/>
              </w:rPr>
              <w:t>встановлених</w:t>
            </w:r>
            <w:proofErr w:type="spellEnd"/>
            <w:r w:rsidRPr="00E16672">
              <w:rPr>
                <w:rFonts w:ascii="Times New Roman" w:hAnsi="Times New Roman"/>
                <w:color w:val="000000"/>
                <w:sz w:val="16"/>
                <w:szCs w:val="16"/>
                <w:shd w:val="clear" w:color="auto" w:fill="FFFFFF"/>
              </w:rPr>
              <w:t xml:space="preserve"> </w:t>
            </w:r>
            <w:proofErr w:type="spellStart"/>
            <w:r w:rsidRPr="00E16672">
              <w:rPr>
                <w:rFonts w:ascii="Times New Roman" w:hAnsi="Times New Roman"/>
                <w:color w:val="000000"/>
                <w:sz w:val="16"/>
                <w:szCs w:val="16"/>
                <w:shd w:val="clear" w:color="auto" w:fill="FFFFFF"/>
              </w:rPr>
              <w:t>вимог</w:t>
            </w:r>
            <w:proofErr w:type="spellEnd"/>
            <w:r w:rsidRPr="00E16672">
              <w:rPr>
                <w:rFonts w:ascii="Times New Roman" w:hAnsi="Times New Roman"/>
                <w:color w:val="000000"/>
                <w:sz w:val="16"/>
                <w:szCs w:val="16"/>
                <w:shd w:val="clear" w:color="auto" w:fill="FFFFFF"/>
              </w:rPr>
              <w:t xml:space="preserve"> </w:t>
            </w:r>
            <w:proofErr w:type="spellStart"/>
            <w:r w:rsidRPr="00E16672">
              <w:rPr>
                <w:rFonts w:ascii="Times New Roman" w:hAnsi="Times New Roman"/>
                <w:color w:val="000000"/>
                <w:sz w:val="16"/>
                <w:szCs w:val="16"/>
                <w:shd w:val="clear" w:color="auto" w:fill="FFFFFF"/>
              </w:rPr>
              <w:t>захисту</w:t>
            </w:r>
            <w:proofErr w:type="spellEnd"/>
            <w:r w:rsidRPr="00E16672">
              <w:rPr>
                <w:rFonts w:ascii="Times New Roman" w:hAnsi="Times New Roman"/>
                <w:color w:val="000000"/>
                <w:sz w:val="16"/>
                <w:szCs w:val="16"/>
                <w:shd w:val="clear" w:color="auto" w:fill="FFFFFF"/>
              </w:rPr>
              <w:t xml:space="preserve"> </w:t>
            </w:r>
            <w:proofErr w:type="spellStart"/>
            <w:r w:rsidRPr="00E16672">
              <w:rPr>
                <w:rFonts w:ascii="Times New Roman" w:hAnsi="Times New Roman"/>
                <w:color w:val="000000"/>
                <w:sz w:val="16"/>
                <w:szCs w:val="16"/>
                <w:shd w:val="clear" w:color="auto" w:fill="FFFFFF"/>
              </w:rPr>
              <w:t>інформації</w:t>
            </w:r>
            <w:proofErr w:type="spellEnd"/>
            <w:r w:rsidRPr="00E16672">
              <w:rPr>
                <w:rFonts w:ascii="Times New Roman" w:hAnsi="Times New Roman"/>
                <w:color w:val="000000"/>
                <w:sz w:val="16"/>
                <w:szCs w:val="16"/>
                <w:shd w:val="clear" w:color="auto" w:fill="FFFFFF"/>
              </w:rPr>
              <w:t xml:space="preserve"> </w:t>
            </w:r>
            <w:proofErr w:type="spellStart"/>
            <w:r w:rsidRPr="00E16672">
              <w:rPr>
                <w:rFonts w:ascii="Times New Roman" w:hAnsi="Times New Roman"/>
                <w:color w:val="000000"/>
                <w:sz w:val="16"/>
                <w:szCs w:val="16"/>
                <w:shd w:val="clear" w:color="auto" w:fill="FFFFFF"/>
              </w:rPr>
              <w:t>від</w:t>
            </w:r>
            <w:proofErr w:type="spellEnd"/>
            <w:r w:rsidRPr="00E16672">
              <w:rPr>
                <w:rFonts w:ascii="Times New Roman" w:hAnsi="Times New Roman"/>
                <w:color w:val="000000"/>
                <w:sz w:val="16"/>
                <w:szCs w:val="16"/>
                <w:shd w:val="clear" w:color="auto" w:fill="FFFFFF"/>
              </w:rPr>
              <w:t xml:space="preserve"> </w:t>
            </w:r>
            <w:proofErr w:type="spellStart"/>
            <w:r w:rsidRPr="00E16672">
              <w:rPr>
                <w:rFonts w:ascii="Times New Roman" w:hAnsi="Times New Roman"/>
                <w:color w:val="000000"/>
                <w:sz w:val="16"/>
                <w:szCs w:val="16"/>
                <w:shd w:val="clear" w:color="auto" w:fill="FFFFFF"/>
              </w:rPr>
              <w:t>несанкціонованого</w:t>
            </w:r>
            <w:proofErr w:type="spellEnd"/>
            <w:r w:rsidRPr="00E16672">
              <w:rPr>
                <w:rFonts w:ascii="Times New Roman" w:hAnsi="Times New Roman"/>
                <w:color w:val="000000"/>
                <w:sz w:val="16"/>
                <w:szCs w:val="16"/>
                <w:shd w:val="clear" w:color="auto" w:fill="FFFFFF"/>
              </w:rPr>
              <w:t xml:space="preserve"> доступу в </w:t>
            </w:r>
            <w:proofErr w:type="spellStart"/>
            <w:r w:rsidRPr="00E16672">
              <w:rPr>
                <w:rFonts w:ascii="Times New Roman" w:hAnsi="Times New Roman"/>
                <w:color w:val="000000"/>
                <w:sz w:val="16"/>
                <w:szCs w:val="16"/>
                <w:shd w:val="clear" w:color="auto" w:fill="FFFFFF"/>
              </w:rPr>
              <w:t>електронних</w:t>
            </w:r>
            <w:proofErr w:type="spellEnd"/>
            <w:r w:rsidRPr="00E16672">
              <w:rPr>
                <w:rFonts w:ascii="Times New Roman" w:hAnsi="Times New Roman"/>
                <w:color w:val="000000"/>
                <w:sz w:val="16"/>
                <w:szCs w:val="16"/>
                <w:shd w:val="clear" w:color="auto" w:fill="FFFFFF"/>
              </w:rPr>
              <w:t xml:space="preserve"> системах </w:t>
            </w:r>
            <w:proofErr w:type="spellStart"/>
            <w:r w:rsidRPr="00E16672">
              <w:rPr>
                <w:rFonts w:ascii="Times New Roman" w:hAnsi="Times New Roman"/>
                <w:color w:val="000000"/>
                <w:sz w:val="16"/>
                <w:szCs w:val="16"/>
                <w:shd w:val="clear" w:color="auto" w:fill="FFFFFF"/>
              </w:rPr>
              <w:t>обміну</w:t>
            </w:r>
            <w:proofErr w:type="spellEnd"/>
            <w:r w:rsidRPr="00E16672">
              <w:rPr>
                <w:rFonts w:ascii="Times New Roman" w:hAnsi="Times New Roman"/>
                <w:color w:val="000000"/>
                <w:sz w:val="16"/>
                <w:szCs w:val="16"/>
                <w:shd w:val="clear" w:color="auto" w:fill="FFFFFF"/>
              </w:rPr>
              <w:t xml:space="preserve"> </w:t>
            </w:r>
            <w:proofErr w:type="spellStart"/>
            <w:r w:rsidRPr="00E16672">
              <w:rPr>
                <w:rFonts w:ascii="Times New Roman" w:hAnsi="Times New Roman"/>
                <w:color w:val="000000"/>
                <w:sz w:val="16"/>
                <w:szCs w:val="16"/>
                <w:shd w:val="clear" w:color="auto" w:fill="FFFFFF"/>
              </w:rPr>
              <w:t>даними</w:t>
            </w:r>
            <w:proofErr w:type="spellEnd"/>
            <w:r w:rsidRPr="00E16672">
              <w:rPr>
                <w:rFonts w:ascii="Times New Roman" w:hAnsi="Times New Roman"/>
                <w:color w:val="000000"/>
                <w:sz w:val="16"/>
                <w:szCs w:val="16"/>
                <w:shd w:val="clear" w:color="auto" w:fill="FFFFFF"/>
              </w:rPr>
              <w:t>.</w:t>
            </w:r>
          </w:p>
          <w:p w14:paraId="5B31C2A9" w14:textId="77777777" w:rsidR="005C5318" w:rsidRPr="00E16672" w:rsidRDefault="005C5318" w:rsidP="005C5318">
            <w:pPr>
              <w:pStyle w:val="1b"/>
              <w:spacing w:before="0" w:after="0"/>
              <w:ind w:left="142" w:right="138"/>
              <w:rPr>
                <w:rFonts w:ascii="Times New Roman" w:eastAsia="Times New Roman" w:hAnsi="Times New Roman" w:cs="Times New Roman"/>
                <w:b/>
                <w:color w:val="000000"/>
                <w:sz w:val="16"/>
                <w:szCs w:val="16"/>
              </w:rPr>
            </w:pPr>
          </w:p>
        </w:tc>
        <w:tc>
          <w:tcPr>
            <w:tcW w:w="5495" w:type="dxa"/>
            <w:gridSpan w:val="6"/>
            <w:shd w:val="clear" w:color="auto" w:fill="auto"/>
          </w:tcPr>
          <w:p w14:paraId="1F05A2AA" w14:textId="77777777" w:rsidR="005C5318" w:rsidRPr="00E16672" w:rsidRDefault="005C5318" w:rsidP="005C5318">
            <w:pPr>
              <w:pStyle w:val="210"/>
              <w:snapToGrid w:val="0"/>
              <w:ind w:left="145" w:right="100" w:firstLine="0"/>
              <w:rPr>
                <w:rFonts w:ascii="Times New Roman" w:hAnsi="Times New Roman"/>
                <w:color w:val="000000"/>
                <w:sz w:val="16"/>
                <w:szCs w:val="16"/>
                <w:lang w:val="en-GB"/>
              </w:rPr>
            </w:pPr>
            <w:r w:rsidRPr="00E16672">
              <w:rPr>
                <w:rFonts w:ascii="Times New Roman" w:hAnsi="Times New Roman"/>
                <w:color w:val="000000"/>
                <w:sz w:val="16"/>
                <w:szCs w:val="16"/>
              </w:rPr>
              <w:t>2.1.</w:t>
            </w:r>
            <w:r w:rsidRPr="00E16672">
              <w:rPr>
                <w:rFonts w:ascii="Times New Roman" w:hAnsi="Times New Roman"/>
                <w:color w:val="000000"/>
                <w:sz w:val="16"/>
                <w:szCs w:val="16"/>
                <w:lang w:val="en-US"/>
              </w:rPr>
              <w:t>1</w:t>
            </w:r>
            <w:r w:rsidRPr="00E16672">
              <w:rPr>
                <w:rFonts w:ascii="Times New Roman" w:hAnsi="Times New Roman"/>
                <w:color w:val="000000"/>
                <w:sz w:val="16"/>
                <w:szCs w:val="16"/>
              </w:rPr>
              <w:t>4</w:t>
            </w:r>
            <w:r w:rsidRPr="00E16672">
              <w:rPr>
                <w:rFonts w:ascii="Times New Roman" w:hAnsi="Times New Roman"/>
                <w:color w:val="000000"/>
                <w:sz w:val="16"/>
                <w:szCs w:val="16"/>
                <w:lang w:val="en-GB"/>
              </w:rPr>
              <w:t>. To keep the settled demands of protection of the information from unauthorized access in electronic data exchange systems.</w:t>
            </w:r>
          </w:p>
          <w:p w14:paraId="363E225C" w14:textId="77777777" w:rsidR="005C5318" w:rsidRPr="00E16672" w:rsidRDefault="005C5318" w:rsidP="005C5318">
            <w:pPr>
              <w:ind w:left="145" w:right="100"/>
              <w:jc w:val="center"/>
              <w:rPr>
                <w:rFonts w:ascii="Times New Roman" w:hAnsi="Times New Roman"/>
                <w:b/>
                <w:bCs/>
                <w:color w:val="000000"/>
                <w:sz w:val="16"/>
                <w:szCs w:val="16"/>
                <w:lang w:val="en-GB"/>
              </w:rPr>
            </w:pPr>
          </w:p>
        </w:tc>
      </w:tr>
      <w:tr w:rsidR="005C5318" w:rsidRPr="00F23413" w14:paraId="4F6CCF7E" w14:textId="77777777" w:rsidTr="005E418B">
        <w:trPr>
          <w:trHeight w:val="192"/>
        </w:trPr>
        <w:tc>
          <w:tcPr>
            <w:tcW w:w="5695" w:type="dxa"/>
            <w:gridSpan w:val="6"/>
            <w:shd w:val="clear" w:color="auto" w:fill="auto"/>
          </w:tcPr>
          <w:p w14:paraId="39354367" w14:textId="77777777" w:rsidR="005C5318" w:rsidRPr="00F23413" w:rsidRDefault="005C5318" w:rsidP="005C5318">
            <w:pPr>
              <w:tabs>
                <w:tab w:val="left" w:pos="851"/>
                <w:tab w:val="left" w:pos="7200"/>
              </w:tabs>
              <w:snapToGrid w:val="0"/>
              <w:ind w:left="142" w:right="138" w:firstLine="0"/>
              <w:rPr>
                <w:rFonts w:ascii="Times New Roman" w:hAnsi="Times New Roman"/>
                <w:color w:val="000000"/>
                <w:sz w:val="16"/>
                <w:szCs w:val="16"/>
                <w:lang w:val="en-US"/>
              </w:rPr>
            </w:pPr>
            <w:r w:rsidRPr="00F23413">
              <w:rPr>
                <w:rFonts w:ascii="Times New Roman" w:hAnsi="Times New Roman"/>
                <w:color w:val="000000"/>
                <w:sz w:val="16"/>
                <w:szCs w:val="16"/>
                <w:lang w:val="en-US"/>
              </w:rPr>
              <w:t>2.1.1</w:t>
            </w:r>
            <w:r w:rsidRPr="00E16672">
              <w:rPr>
                <w:rFonts w:ascii="Times New Roman" w:hAnsi="Times New Roman"/>
                <w:color w:val="000000"/>
                <w:sz w:val="16"/>
                <w:szCs w:val="16"/>
                <w:lang w:val="uk-UA"/>
              </w:rPr>
              <w:t>5</w:t>
            </w:r>
            <w:r w:rsidRPr="00F23413">
              <w:rPr>
                <w:rFonts w:ascii="Times New Roman" w:hAnsi="Times New Roman"/>
                <w:color w:val="000000"/>
                <w:sz w:val="16"/>
                <w:szCs w:val="16"/>
                <w:lang w:val="en-US"/>
              </w:rPr>
              <w:t xml:space="preserve">. </w:t>
            </w:r>
            <w:proofErr w:type="spellStart"/>
            <w:r w:rsidRPr="00E16672">
              <w:rPr>
                <w:rFonts w:ascii="Times New Roman" w:hAnsi="Times New Roman"/>
                <w:color w:val="000000"/>
                <w:sz w:val="16"/>
                <w:szCs w:val="16"/>
              </w:rPr>
              <w:t>Протягом</w:t>
            </w:r>
            <w:proofErr w:type="spellEnd"/>
            <w:r w:rsidRPr="00F23413">
              <w:rPr>
                <w:rFonts w:ascii="Times New Roman" w:hAnsi="Times New Roman"/>
                <w:color w:val="000000"/>
                <w:sz w:val="16"/>
                <w:szCs w:val="16"/>
                <w:lang w:val="en-US"/>
              </w:rPr>
              <w:t xml:space="preserve"> </w:t>
            </w:r>
            <w:r w:rsidRPr="00E16672">
              <w:rPr>
                <w:rFonts w:ascii="Times New Roman" w:hAnsi="Times New Roman"/>
                <w:i/>
                <w:color w:val="000000"/>
                <w:sz w:val="16"/>
                <w:szCs w:val="16"/>
                <w:lang w:val="uk-UA"/>
              </w:rPr>
              <w:t>п’яти</w:t>
            </w:r>
            <w:r w:rsidRPr="00F23413">
              <w:rPr>
                <w:rFonts w:ascii="Times New Roman" w:hAnsi="Times New Roman"/>
                <w:i/>
                <w:color w:val="000000"/>
                <w:sz w:val="16"/>
                <w:szCs w:val="16"/>
                <w:lang w:val="en-US"/>
              </w:rPr>
              <w:t xml:space="preserve"> </w:t>
            </w:r>
            <w:proofErr w:type="spellStart"/>
            <w:r w:rsidRPr="00E16672">
              <w:rPr>
                <w:rFonts w:ascii="Times New Roman" w:hAnsi="Times New Roman"/>
                <w:i/>
                <w:color w:val="000000"/>
                <w:sz w:val="16"/>
                <w:szCs w:val="16"/>
              </w:rPr>
              <w:t>робочих</w:t>
            </w:r>
            <w:proofErr w:type="spellEnd"/>
            <w:r w:rsidRPr="00F23413">
              <w:rPr>
                <w:rFonts w:ascii="Times New Roman" w:hAnsi="Times New Roman"/>
                <w:color w:val="000000"/>
                <w:sz w:val="16"/>
                <w:szCs w:val="16"/>
                <w:lang w:val="en-US"/>
              </w:rPr>
              <w:t xml:space="preserve"> </w:t>
            </w:r>
            <w:proofErr w:type="spellStart"/>
            <w:r w:rsidRPr="00E16672">
              <w:rPr>
                <w:rFonts w:ascii="Times New Roman" w:hAnsi="Times New Roman"/>
                <w:color w:val="000000"/>
                <w:sz w:val="16"/>
                <w:szCs w:val="16"/>
              </w:rPr>
              <w:t>днів</w:t>
            </w:r>
            <w:proofErr w:type="spellEnd"/>
            <w:r w:rsidRPr="00F23413">
              <w:rPr>
                <w:rFonts w:ascii="Times New Roman" w:hAnsi="Times New Roman"/>
                <w:color w:val="000000"/>
                <w:sz w:val="16"/>
                <w:szCs w:val="16"/>
                <w:lang w:val="en-US"/>
              </w:rPr>
              <w:t xml:space="preserve"> </w:t>
            </w:r>
            <w:r w:rsidRPr="00E16672">
              <w:rPr>
                <w:rFonts w:ascii="Times New Roman" w:hAnsi="Times New Roman"/>
                <w:color w:val="000000"/>
                <w:sz w:val="16"/>
                <w:szCs w:val="16"/>
              </w:rPr>
              <w:t>з</w:t>
            </w:r>
            <w:r w:rsidRPr="00F23413">
              <w:rPr>
                <w:rFonts w:ascii="Times New Roman" w:hAnsi="Times New Roman"/>
                <w:color w:val="000000"/>
                <w:sz w:val="16"/>
                <w:szCs w:val="16"/>
                <w:lang w:val="en-US"/>
              </w:rPr>
              <w:t xml:space="preserve"> </w:t>
            </w:r>
            <w:proofErr w:type="spellStart"/>
            <w:r w:rsidRPr="00E16672">
              <w:rPr>
                <w:rFonts w:ascii="Times New Roman" w:hAnsi="Times New Roman"/>
                <w:color w:val="000000"/>
                <w:sz w:val="16"/>
                <w:szCs w:val="16"/>
              </w:rPr>
              <w:t>дати</w:t>
            </w:r>
            <w:proofErr w:type="spellEnd"/>
            <w:r w:rsidRPr="00F23413">
              <w:rPr>
                <w:rFonts w:ascii="Times New Roman" w:hAnsi="Times New Roman"/>
                <w:color w:val="000000"/>
                <w:sz w:val="16"/>
                <w:szCs w:val="16"/>
                <w:lang w:val="en-US"/>
              </w:rPr>
              <w:t xml:space="preserve"> </w:t>
            </w:r>
            <w:r w:rsidRPr="00E16672">
              <w:rPr>
                <w:rFonts w:ascii="Times New Roman" w:hAnsi="Times New Roman"/>
                <w:color w:val="000000"/>
                <w:sz w:val="16"/>
                <w:szCs w:val="16"/>
              </w:rPr>
              <w:t>початку</w:t>
            </w:r>
            <w:r w:rsidRPr="00F23413">
              <w:rPr>
                <w:rFonts w:ascii="Times New Roman" w:hAnsi="Times New Roman"/>
                <w:color w:val="000000"/>
                <w:sz w:val="16"/>
                <w:szCs w:val="16"/>
                <w:lang w:val="en-US"/>
              </w:rPr>
              <w:t xml:space="preserve"> </w:t>
            </w:r>
            <w:r w:rsidRPr="00E16672">
              <w:rPr>
                <w:rFonts w:ascii="Times New Roman" w:hAnsi="Times New Roman"/>
                <w:color w:val="000000"/>
                <w:sz w:val="16"/>
                <w:szCs w:val="16"/>
              </w:rPr>
              <w:t>Депозитарною</w:t>
            </w:r>
            <w:r w:rsidRPr="00F23413">
              <w:rPr>
                <w:rFonts w:ascii="Times New Roman" w:hAnsi="Times New Roman"/>
                <w:color w:val="000000"/>
                <w:sz w:val="16"/>
                <w:szCs w:val="16"/>
                <w:lang w:val="en-US"/>
              </w:rPr>
              <w:t xml:space="preserve"> </w:t>
            </w:r>
            <w:proofErr w:type="spellStart"/>
            <w:r w:rsidRPr="00E16672">
              <w:rPr>
                <w:rFonts w:ascii="Times New Roman" w:hAnsi="Times New Roman"/>
                <w:color w:val="000000"/>
                <w:sz w:val="16"/>
                <w:szCs w:val="16"/>
              </w:rPr>
              <w:t>установою</w:t>
            </w:r>
            <w:proofErr w:type="spellEnd"/>
            <w:r w:rsidRPr="00F23413">
              <w:rPr>
                <w:rFonts w:ascii="Times New Roman" w:hAnsi="Times New Roman"/>
                <w:color w:val="000000"/>
                <w:sz w:val="16"/>
                <w:szCs w:val="16"/>
                <w:lang w:val="en-US"/>
              </w:rPr>
              <w:t xml:space="preserve"> </w:t>
            </w:r>
            <w:proofErr w:type="spellStart"/>
            <w:r w:rsidRPr="00E16672">
              <w:rPr>
                <w:rFonts w:ascii="Times New Roman" w:hAnsi="Times New Roman"/>
                <w:color w:val="000000"/>
                <w:sz w:val="16"/>
                <w:szCs w:val="16"/>
              </w:rPr>
              <w:t>процедури</w:t>
            </w:r>
            <w:proofErr w:type="spellEnd"/>
            <w:r w:rsidRPr="00F23413">
              <w:rPr>
                <w:rFonts w:ascii="Times New Roman" w:hAnsi="Times New Roman"/>
                <w:color w:val="000000"/>
                <w:sz w:val="16"/>
                <w:szCs w:val="16"/>
                <w:lang w:val="en-US"/>
              </w:rPr>
              <w:t xml:space="preserve"> </w:t>
            </w:r>
            <w:proofErr w:type="spellStart"/>
            <w:r w:rsidRPr="00E16672">
              <w:rPr>
                <w:rFonts w:ascii="Times New Roman" w:hAnsi="Times New Roman"/>
                <w:color w:val="000000"/>
                <w:sz w:val="16"/>
                <w:szCs w:val="16"/>
              </w:rPr>
              <w:t>припинення</w:t>
            </w:r>
            <w:proofErr w:type="spellEnd"/>
            <w:r w:rsidRPr="00F23413">
              <w:rPr>
                <w:rFonts w:ascii="Times New Roman" w:hAnsi="Times New Roman"/>
                <w:color w:val="000000"/>
                <w:sz w:val="16"/>
                <w:szCs w:val="16"/>
                <w:lang w:val="en-US"/>
              </w:rPr>
              <w:t xml:space="preserve"> </w:t>
            </w:r>
            <w:r w:rsidRPr="00E16672">
              <w:rPr>
                <w:rFonts w:ascii="Times New Roman" w:hAnsi="Times New Roman"/>
                <w:color w:val="000000"/>
                <w:sz w:val="16"/>
                <w:szCs w:val="16"/>
              </w:rPr>
              <w:t>нею</w:t>
            </w:r>
            <w:r w:rsidRPr="00F23413">
              <w:rPr>
                <w:rFonts w:ascii="Times New Roman" w:hAnsi="Times New Roman"/>
                <w:color w:val="000000"/>
                <w:sz w:val="16"/>
                <w:szCs w:val="16"/>
                <w:lang w:val="en-US"/>
              </w:rPr>
              <w:t xml:space="preserve"> </w:t>
            </w:r>
            <w:proofErr w:type="spellStart"/>
            <w:r w:rsidRPr="00E16672">
              <w:rPr>
                <w:rFonts w:ascii="Times New Roman" w:hAnsi="Times New Roman"/>
                <w:color w:val="000000"/>
                <w:sz w:val="16"/>
                <w:szCs w:val="16"/>
              </w:rPr>
              <w:t>провадження</w:t>
            </w:r>
            <w:proofErr w:type="spellEnd"/>
            <w:r w:rsidRPr="00F23413">
              <w:rPr>
                <w:rFonts w:ascii="Times New Roman" w:hAnsi="Times New Roman"/>
                <w:color w:val="000000"/>
                <w:sz w:val="16"/>
                <w:szCs w:val="16"/>
                <w:lang w:val="en-US"/>
              </w:rPr>
              <w:t xml:space="preserve"> </w:t>
            </w:r>
            <w:proofErr w:type="spellStart"/>
            <w:r w:rsidRPr="00E16672">
              <w:rPr>
                <w:rFonts w:ascii="Times New Roman" w:hAnsi="Times New Roman"/>
                <w:color w:val="000000"/>
                <w:sz w:val="16"/>
                <w:szCs w:val="16"/>
              </w:rPr>
              <w:t>професійної</w:t>
            </w:r>
            <w:proofErr w:type="spellEnd"/>
            <w:r w:rsidRPr="00F23413">
              <w:rPr>
                <w:rFonts w:ascii="Times New Roman" w:hAnsi="Times New Roman"/>
                <w:color w:val="000000"/>
                <w:sz w:val="16"/>
                <w:szCs w:val="16"/>
                <w:lang w:val="en-US"/>
              </w:rPr>
              <w:t xml:space="preserve"> </w:t>
            </w:r>
            <w:proofErr w:type="spellStart"/>
            <w:r w:rsidRPr="00E16672">
              <w:rPr>
                <w:rFonts w:ascii="Times New Roman" w:hAnsi="Times New Roman"/>
                <w:color w:val="000000"/>
                <w:sz w:val="16"/>
                <w:szCs w:val="16"/>
              </w:rPr>
              <w:t>діяльності</w:t>
            </w:r>
            <w:proofErr w:type="spellEnd"/>
            <w:r w:rsidRPr="00F23413">
              <w:rPr>
                <w:rFonts w:ascii="Times New Roman" w:hAnsi="Times New Roman"/>
                <w:color w:val="000000"/>
                <w:sz w:val="16"/>
                <w:szCs w:val="16"/>
                <w:lang w:val="en-US"/>
              </w:rPr>
              <w:t xml:space="preserve"> </w:t>
            </w:r>
            <w:proofErr w:type="gramStart"/>
            <w:r w:rsidRPr="00E16672">
              <w:rPr>
                <w:rFonts w:ascii="Times New Roman" w:hAnsi="Times New Roman"/>
                <w:color w:val="000000"/>
                <w:sz w:val="16"/>
                <w:szCs w:val="16"/>
              </w:rPr>
              <w:t>на</w:t>
            </w:r>
            <w:r w:rsidRPr="00F23413">
              <w:rPr>
                <w:rFonts w:ascii="Times New Roman" w:hAnsi="Times New Roman"/>
                <w:color w:val="000000"/>
                <w:sz w:val="16"/>
                <w:szCs w:val="16"/>
                <w:lang w:val="en-US"/>
              </w:rPr>
              <w:t xml:space="preserve"> </w:t>
            </w:r>
            <w:r w:rsidRPr="00E16672">
              <w:rPr>
                <w:rFonts w:ascii="Times New Roman" w:hAnsi="Times New Roman"/>
                <w:color w:val="000000"/>
                <w:sz w:val="16"/>
                <w:szCs w:val="16"/>
              </w:rPr>
              <w:t>фондовому</w:t>
            </w:r>
            <w:r w:rsidRPr="00F23413">
              <w:rPr>
                <w:rFonts w:ascii="Times New Roman" w:hAnsi="Times New Roman"/>
                <w:color w:val="000000"/>
                <w:sz w:val="16"/>
                <w:szCs w:val="16"/>
                <w:lang w:val="en-US"/>
              </w:rPr>
              <w:t xml:space="preserve"> </w:t>
            </w:r>
            <w:r w:rsidRPr="00E16672">
              <w:rPr>
                <w:rFonts w:ascii="Times New Roman" w:hAnsi="Times New Roman"/>
                <w:color w:val="000000"/>
                <w:sz w:val="16"/>
                <w:szCs w:val="16"/>
              </w:rPr>
              <w:t>ринку</w:t>
            </w:r>
            <w:proofErr w:type="gramEnd"/>
            <w:r w:rsidRPr="00F23413">
              <w:rPr>
                <w:rFonts w:ascii="Times New Roman" w:hAnsi="Times New Roman"/>
                <w:color w:val="000000"/>
                <w:sz w:val="16"/>
                <w:szCs w:val="16"/>
                <w:lang w:val="en-US"/>
              </w:rPr>
              <w:t xml:space="preserve"> - </w:t>
            </w:r>
            <w:proofErr w:type="spellStart"/>
            <w:r w:rsidRPr="00E16672">
              <w:rPr>
                <w:rFonts w:ascii="Times New Roman" w:hAnsi="Times New Roman"/>
                <w:color w:val="000000"/>
                <w:sz w:val="16"/>
                <w:szCs w:val="16"/>
              </w:rPr>
              <w:t>депозитарної</w:t>
            </w:r>
            <w:proofErr w:type="spellEnd"/>
            <w:r w:rsidRPr="00F23413">
              <w:rPr>
                <w:rFonts w:ascii="Times New Roman" w:hAnsi="Times New Roman"/>
                <w:color w:val="000000"/>
                <w:sz w:val="16"/>
                <w:szCs w:val="16"/>
                <w:lang w:val="en-US"/>
              </w:rPr>
              <w:t xml:space="preserve"> </w:t>
            </w:r>
            <w:proofErr w:type="spellStart"/>
            <w:r w:rsidRPr="00E16672">
              <w:rPr>
                <w:rFonts w:ascii="Times New Roman" w:hAnsi="Times New Roman"/>
                <w:color w:val="000000"/>
                <w:sz w:val="16"/>
                <w:szCs w:val="16"/>
              </w:rPr>
              <w:t>діяльності</w:t>
            </w:r>
            <w:proofErr w:type="spellEnd"/>
            <w:r w:rsidRPr="00F23413">
              <w:rPr>
                <w:rFonts w:ascii="Times New Roman" w:hAnsi="Times New Roman"/>
                <w:color w:val="000000"/>
                <w:sz w:val="16"/>
                <w:szCs w:val="16"/>
                <w:lang w:val="en-US"/>
              </w:rPr>
              <w:t xml:space="preserve"> </w:t>
            </w:r>
            <w:proofErr w:type="spellStart"/>
            <w:r w:rsidRPr="00E16672">
              <w:rPr>
                <w:rFonts w:ascii="Times New Roman" w:hAnsi="Times New Roman"/>
                <w:color w:val="000000"/>
                <w:sz w:val="16"/>
                <w:szCs w:val="16"/>
              </w:rPr>
              <w:t>депозитарної</w:t>
            </w:r>
            <w:proofErr w:type="spellEnd"/>
            <w:r w:rsidRPr="00F23413">
              <w:rPr>
                <w:rFonts w:ascii="Times New Roman" w:hAnsi="Times New Roman"/>
                <w:color w:val="000000"/>
                <w:sz w:val="16"/>
                <w:szCs w:val="16"/>
                <w:lang w:val="en-US"/>
              </w:rPr>
              <w:t xml:space="preserve"> </w:t>
            </w:r>
            <w:r w:rsidRPr="00E16672">
              <w:rPr>
                <w:rFonts w:ascii="Times New Roman" w:hAnsi="Times New Roman"/>
                <w:color w:val="000000"/>
                <w:sz w:val="16"/>
                <w:szCs w:val="16"/>
              </w:rPr>
              <w:t>установи</w:t>
            </w:r>
            <w:r w:rsidRPr="00F23413">
              <w:rPr>
                <w:rFonts w:ascii="Times New Roman" w:hAnsi="Times New Roman"/>
                <w:color w:val="000000"/>
                <w:sz w:val="16"/>
                <w:szCs w:val="16"/>
                <w:lang w:val="en-US"/>
              </w:rPr>
              <w:t xml:space="preserve"> </w:t>
            </w:r>
            <w:proofErr w:type="spellStart"/>
            <w:r w:rsidRPr="00E16672">
              <w:rPr>
                <w:rFonts w:ascii="Times New Roman" w:hAnsi="Times New Roman"/>
                <w:color w:val="000000"/>
                <w:sz w:val="16"/>
                <w:szCs w:val="16"/>
              </w:rPr>
              <w:t>відповідно</w:t>
            </w:r>
            <w:proofErr w:type="spellEnd"/>
            <w:r w:rsidRPr="00F23413">
              <w:rPr>
                <w:rFonts w:ascii="Times New Roman" w:hAnsi="Times New Roman"/>
                <w:color w:val="000000"/>
                <w:sz w:val="16"/>
                <w:szCs w:val="16"/>
                <w:lang w:val="en-US"/>
              </w:rPr>
              <w:t xml:space="preserve"> </w:t>
            </w:r>
            <w:r w:rsidRPr="00E16672">
              <w:rPr>
                <w:rFonts w:ascii="Times New Roman" w:hAnsi="Times New Roman"/>
                <w:color w:val="000000"/>
                <w:sz w:val="16"/>
                <w:szCs w:val="16"/>
              </w:rPr>
              <w:t>до</w:t>
            </w:r>
            <w:r w:rsidRPr="00F23413">
              <w:rPr>
                <w:rFonts w:ascii="Times New Roman" w:hAnsi="Times New Roman"/>
                <w:color w:val="000000"/>
                <w:sz w:val="16"/>
                <w:szCs w:val="16"/>
                <w:lang w:val="en-US"/>
              </w:rPr>
              <w:t xml:space="preserve"> </w:t>
            </w:r>
            <w:proofErr w:type="spellStart"/>
            <w:r w:rsidRPr="00E16672">
              <w:rPr>
                <w:rFonts w:ascii="Times New Roman" w:hAnsi="Times New Roman"/>
                <w:color w:val="000000"/>
                <w:sz w:val="16"/>
                <w:szCs w:val="16"/>
              </w:rPr>
              <w:t>вимог</w:t>
            </w:r>
            <w:proofErr w:type="spellEnd"/>
            <w:r w:rsidRPr="00F23413">
              <w:rPr>
                <w:rFonts w:ascii="Times New Roman" w:hAnsi="Times New Roman"/>
                <w:color w:val="000000"/>
                <w:sz w:val="16"/>
                <w:szCs w:val="16"/>
                <w:lang w:val="en-US"/>
              </w:rPr>
              <w:t xml:space="preserve"> </w:t>
            </w:r>
            <w:r w:rsidRPr="00E16672">
              <w:rPr>
                <w:rFonts w:ascii="Times New Roman" w:hAnsi="Times New Roman"/>
                <w:color w:val="000000"/>
                <w:sz w:val="16"/>
                <w:szCs w:val="16"/>
              </w:rPr>
              <w:t>нормативно</w:t>
            </w:r>
            <w:r w:rsidRPr="00F23413">
              <w:rPr>
                <w:rFonts w:ascii="Times New Roman" w:hAnsi="Times New Roman"/>
                <w:color w:val="000000"/>
                <w:sz w:val="16"/>
                <w:szCs w:val="16"/>
                <w:lang w:val="en-US"/>
              </w:rPr>
              <w:t>-</w:t>
            </w:r>
            <w:r w:rsidRPr="00E16672">
              <w:rPr>
                <w:rFonts w:ascii="Times New Roman" w:hAnsi="Times New Roman"/>
                <w:color w:val="000000"/>
                <w:sz w:val="16"/>
                <w:szCs w:val="16"/>
              </w:rPr>
              <w:t>правового</w:t>
            </w:r>
            <w:r w:rsidRPr="00F23413">
              <w:rPr>
                <w:rFonts w:ascii="Times New Roman" w:hAnsi="Times New Roman"/>
                <w:color w:val="000000"/>
                <w:sz w:val="16"/>
                <w:szCs w:val="16"/>
                <w:lang w:val="en-US"/>
              </w:rPr>
              <w:t xml:space="preserve"> </w:t>
            </w:r>
            <w:r w:rsidRPr="00E16672">
              <w:rPr>
                <w:rFonts w:ascii="Times New Roman" w:hAnsi="Times New Roman"/>
                <w:color w:val="000000"/>
                <w:sz w:val="16"/>
                <w:szCs w:val="16"/>
              </w:rPr>
              <w:t>акта</w:t>
            </w:r>
            <w:r w:rsidRPr="00F23413">
              <w:rPr>
                <w:rFonts w:ascii="Times New Roman" w:hAnsi="Times New Roman"/>
                <w:color w:val="000000"/>
                <w:sz w:val="16"/>
                <w:szCs w:val="16"/>
                <w:lang w:val="en-US"/>
              </w:rPr>
              <w:t xml:space="preserve"> </w:t>
            </w:r>
            <w:proofErr w:type="spellStart"/>
            <w:r w:rsidRPr="00E16672">
              <w:rPr>
                <w:rFonts w:ascii="Times New Roman" w:hAnsi="Times New Roman"/>
                <w:color w:val="000000"/>
                <w:sz w:val="16"/>
                <w:szCs w:val="16"/>
              </w:rPr>
              <w:t>щодо</w:t>
            </w:r>
            <w:proofErr w:type="spellEnd"/>
            <w:r w:rsidRPr="00F23413">
              <w:rPr>
                <w:rFonts w:ascii="Times New Roman" w:hAnsi="Times New Roman"/>
                <w:color w:val="000000"/>
                <w:sz w:val="16"/>
                <w:szCs w:val="16"/>
                <w:lang w:val="en-US"/>
              </w:rPr>
              <w:t xml:space="preserve"> </w:t>
            </w:r>
            <w:proofErr w:type="spellStart"/>
            <w:r w:rsidRPr="00E16672">
              <w:rPr>
                <w:rFonts w:ascii="Times New Roman" w:hAnsi="Times New Roman"/>
                <w:color w:val="000000"/>
                <w:sz w:val="16"/>
                <w:szCs w:val="16"/>
              </w:rPr>
              <w:t>припинення</w:t>
            </w:r>
            <w:proofErr w:type="spellEnd"/>
            <w:r w:rsidRPr="00F23413">
              <w:rPr>
                <w:rFonts w:ascii="Times New Roman" w:hAnsi="Times New Roman"/>
                <w:color w:val="000000"/>
                <w:sz w:val="16"/>
                <w:szCs w:val="16"/>
                <w:lang w:val="en-US"/>
              </w:rPr>
              <w:t xml:space="preserve"> </w:t>
            </w:r>
            <w:proofErr w:type="spellStart"/>
            <w:r w:rsidRPr="00E16672">
              <w:rPr>
                <w:rFonts w:ascii="Times New Roman" w:hAnsi="Times New Roman"/>
                <w:color w:val="000000"/>
                <w:sz w:val="16"/>
                <w:szCs w:val="16"/>
              </w:rPr>
              <w:t>депозитарної</w:t>
            </w:r>
            <w:proofErr w:type="spellEnd"/>
            <w:r w:rsidRPr="00F23413">
              <w:rPr>
                <w:rFonts w:ascii="Times New Roman" w:hAnsi="Times New Roman"/>
                <w:color w:val="000000"/>
                <w:sz w:val="16"/>
                <w:szCs w:val="16"/>
                <w:lang w:val="en-US"/>
              </w:rPr>
              <w:t xml:space="preserve"> </w:t>
            </w:r>
            <w:proofErr w:type="spellStart"/>
            <w:r w:rsidRPr="00E16672">
              <w:rPr>
                <w:rFonts w:ascii="Times New Roman" w:hAnsi="Times New Roman"/>
                <w:color w:val="000000"/>
                <w:sz w:val="16"/>
                <w:szCs w:val="16"/>
              </w:rPr>
              <w:t>діяльності</w:t>
            </w:r>
            <w:proofErr w:type="spellEnd"/>
            <w:r w:rsidRPr="00F23413">
              <w:rPr>
                <w:rFonts w:ascii="Times New Roman" w:hAnsi="Times New Roman"/>
                <w:color w:val="000000"/>
                <w:sz w:val="16"/>
                <w:szCs w:val="16"/>
                <w:lang w:val="en-US"/>
              </w:rPr>
              <w:t xml:space="preserve"> </w:t>
            </w:r>
            <w:proofErr w:type="spellStart"/>
            <w:r w:rsidRPr="00E16672">
              <w:rPr>
                <w:rFonts w:ascii="Times New Roman" w:hAnsi="Times New Roman"/>
                <w:color w:val="000000"/>
                <w:sz w:val="16"/>
                <w:szCs w:val="16"/>
              </w:rPr>
              <w:t>депозитарної</w:t>
            </w:r>
            <w:proofErr w:type="spellEnd"/>
            <w:r w:rsidRPr="00F23413">
              <w:rPr>
                <w:rFonts w:ascii="Times New Roman" w:hAnsi="Times New Roman"/>
                <w:color w:val="000000"/>
                <w:sz w:val="16"/>
                <w:szCs w:val="16"/>
                <w:lang w:val="en-US"/>
              </w:rPr>
              <w:t xml:space="preserve"> </w:t>
            </w:r>
            <w:r w:rsidRPr="00E16672">
              <w:rPr>
                <w:rFonts w:ascii="Times New Roman" w:hAnsi="Times New Roman"/>
                <w:color w:val="000000"/>
                <w:sz w:val="16"/>
                <w:szCs w:val="16"/>
              </w:rPr>
              <w:t>установи</w:t>
            </w:r>
            <w:r w:rsidRPr="00F23413">
              <w:rPr>
                <w:rFonts w:ascii="Times New Roman" w:hAnsi="Times New Roman"/>
                <w:color w:val="000000"/>
                <w:sz w:val="16"/>
                <w:szCs w:val="16"/>
                <w:lang w:val="en-US"/>
              </w:rPr>
              <w:t xml:space="preserve">, </w:t>
            </w:r>
            <w:proofErr w:type="spellStart"/>
            <w:r w:rsidRPr="00E16672">
              <w:rPr>
                <w:rFonts w:ascii="Times New Roman" w:hAnsi="Times New Roman"/>
                <w:color w:val="000000"/>
                <w:sz w:val="16"/>
                <w:szCs w:val="16"/>
              </w:rPr>
              <w:t>повідомити</w:t>
            </w:r>
            <w:proofErr w:type="spellEnd"/>
            <w:r w:rsidRPr="00F23413">
              <w:rPr>
                <w:rFonts w:ascii="Times New Roman" w:hAnsi="Times New Roman"/>
                <w:color w:val="000000"/>
                <w:sz w:val="16"/>
                <w:szCs w:val="16"/>
                <w:lang w:val="en-US"/>
              </w:rPr>
              <w:t xml:space="preserve"> </w:t>
            </w:r>
            <w:r w:rsidRPr="00E16672">
              <w:rPr>
                <w:rFonts w:ascii="Times New Roman" w:hAnsi="Times New Roman"/>
                <w:color w:val="000000"/>
                <w:sz w:val="16"/>
                <w:szCs w:val="16"/>
              </w:rPr>
              <w:t>Депонента</w:t>
            </w:r>
            <w:r w:rsidRPr="00F23413">
              <w:rPr>
                <w:rFonts w:ascii="Times New Roman" w:hAnsi="Times New Roman"/>
                <w:color w:val="000000"/>
                <w:sz w:val="16"/>
                <w:szCs w:val="16"/>
                <w:lang w:val="en-US"/>
              </w:rPr>
              <w:t xml:space="preserve"> </w:t>
            </w:r>
            <w:proofErr w:type="spellStart"/>
            <w:r w:rsidRPr="00E16672">
              <w:rPr>
                <w:rFonts w:ascii="Times New Roman" w:hAnsi="Times New Roman"/>
                <w:color w:val="000000"/>
                <w:sz w:val="16"/>
                <w:szCs w:val="16"/>
              </w:rPr>
              <w:t>щодо</w:t>
            </w:r>
            <w:proofErr w:type="spellEnd"/>
            <w:r w:rsidRPr="00F23413">
              <w:rPr>
                <w:rFonts w:ascii="Times New Roman" w:hAnsi="Times New Roman"/>
                <w:color w:val="000000"/>
                <w:sz w:val="16"/>
                <w:szCs w:val="16"/>
                <w:lang w:val="en-US"/>
              </w:rPr>
              <w:t xml:space="preserve"> </w:t>
            </w:r>
            <w:proofErr w:type="spellStart"/>
            <w:r w:rsidRPr="00E16672">
              <w:rPr>
                <w:rFonts w:ascii="Times New Roman" w:hAnsi="Times New Roman"/>
                <w:color w:val="000000"/>
                <w:sz w:val="16"/>
                <w:szCs w:val="16"/>
              </w:rPr>
              <w:t>необхідності</w:t>
            </w:r>
            <w:proofErr w:type="spellEnd"/>
            <w:r w:rsidRPr="00F23413">
              <w:rPr>
                <w:rFonts w:ascii="Times New Roman" w:hAnsi="Times New Roman"/>
                <w:color w:val="000000"/>
                <w:sz w:val="16"/>
                <w:szCs w:val="16"/>
                <w:lang w:val="en-US"/>
              </w:rPr>
              <w:t xml:space="preserve"> </w:t>
            </w:r>
            <w:proofErr w:type="spellStart"/>
            <w:r w:rsidRPr="00E16672">
              <w:rPr>
                <w:rFonts w:ascii="Times New Roman" w:hAnsi="Times New Roman"/>
                <w:color w:val="000000"/>
                <w:sz w:val="16"/>
                <w:szCs w:val="16"/>
              </w:rPr>
              <w:lastRenderedPageBreak/>
              <w:t>закриття</w:t>
            </w:r>
            <w:proofErr w:type="spellEnd"/>
            <w:r w:rsidRPr="00F23413">
              <w:rPr>
                <w:rFonts w:ascii="Times New Roman" w:hAnsi="Times New Roman"/>
                <w:color w:val="000000"/>
                <w:sz w:val="16"/>
                <w:szCs w:val="16"/>
                <w:lang w:val="en-US"/>
              </w:rPr>
              <w:t xml:space="preserve"> </w:t>
            </w:r>
            <w:proofErr w:type="spellStart"/>
            <w:r w:rsidRPr="00E16672">
              <w:rPr>
                <w:rFonts w:ascii="Times New Roman" w:hAnsi="Times New Roman"/>
                <w:color w:val="000000"/>
                <w:sz w:val="16"/>
                <w:szCs w:val="16"/>
              </w:rPr>
              <w:t>рахунк</w:t>
            </w:r>
            <w:proofErr w:type="spellEnd"/>
            <w:r w:rsidRPr="00E16672">
              <w:rPr>
                <w:rFonts w:ascii="Times New Roman" w:hAnsi="Times New Roman"/>
                <w:color w:val="000000"/>
                <w:sz w:val="16"/>
                <w:szCs w:val="16"/>
                <w:lang w:val="uk-UA"/>
              </w:rPr>
              <w:t>у</w:t>
            </w:r>
            <w:r w:rsidRPr="00F23413">
              <w:rPr>
                <w:rFonts w:ascii="Times New Roman" w:hAnsi="Times New Roman"/>
                <w:color w:val="000000"/>
                <w:sz w:val="16"/>
                <w:szCs w:val="16"/>
                <w:lang w:val="en-US"/>
              </w:rPr>
              <w:t xml:space="preserve"> </w:t>
            </w:r>
            <w:r w:rsidRPr="00E16672">
              <w:rPr>
                <w:rFonts w:ascii="Times New Roman" w:hAnsi="Times New Roman"/>
                <w:color w:val="000000"/>
                <w:sz w:val="16"/>
                <w:szCs w:val="16"/>
              </w:rPr>
              <w:t>в</w:t>
            </w:r>
            <w:r w:rsidRPr="00F23413">
              <w:rPr>
                <w:rFonts w:ascii="Times New Roman" w:hAnsi="Times New Roman"/>
                <w:color w:val="000000"/>
                <w:sz w:val="16"/>
                <w:szCs w:val="16"/>
                <w:lang w:val="en-US"/>
              </w:rPr>
              <w:t xml:space="preserve"> </w:t>
            </w:r>
            <w:proofErr w:type="spellStart"/>
            <w:r w:rsidRPr="00E16672">
              <w:rPr>
                <w:rFonts w:ascii="Times New Roman" w:hAnsi="Times New Roman"/>
                <w:color w:val="000000"/>
                <w:sz w:val="16"/>
                <w:szCs w:val="16"/>
              </w:rPr>
              <w:t>цінних</w:t>
            </w:r>
            <w:proofErr w:type="spellEnd"/>
            <w:r w:rsidRPr="00F23413">
              <w:rPr>
                <w:rFonts w:ascii="Times New Roman" w:hAnsi="Times New Roman"/>
                <w:color w:val="000000"/>
                <w:sz w:val="16"/>
                <w:szCs w:val="16"/>
                <w:lang w:val="en-US"/>
              </w:rPr>
              <w:t xml:space="preserve"> </w:t>
            </w:r>
            <w:proofErr w:type="spellStart"/>
            <w:r w:rsidRPr="00E16672">
              <w:rPr>
                <w:rFonts w:ascii="Times New Roman" w:hAnsi="Times New Roman"/>
                <w:color w:val="000000"/>
                <w:sz w:val="16"/>
                <w:szCs w:val="16"/>
              </w:rPr>
              <w:t>паперах</w:t>
            </w:r>
            <w:proofErr w:type="spellEnd"/>
            <w:r w:rsidRPr="00F23413">
              <w:rPr>
                <w:rFonts w:ascii="Times New Roman" w:hAnsi="Times New Roman"/>
                <w:color w:val="000000"/>
                <w:sz w:val="16"/>
                <w:szCs w:val="16"/>
                <w:lang w:val="en-US"/>
              </w:rPr>
              <w:t xml:space="preserve"> </w:t>
            </w:r>
            <w:proofErr w:type="spellStart"/>
            <w:r w:rsidRPr="00E16672">
              <w:rPr>
                <w:rFonts w:ascii="Times New Roman" w:hAnsi="Times New Roman"/>
                <w:color w:val="000000"/>
                <w:sz w:val="16"/>
                <w:szCs w:val="16"/>
              </w:rPr>
              <w:t>протягом</w:t>
            </w:r>
            <w:proofErr w:type="spellEnd"/>
            <w:r w:rsidRPr="00F23413">
              <w:rPr>
                <w:rFonts w:ascii="Times New Roman" w:hAnsi="Times New Roman"/>
                <w:color w:val="000000"/>
                <w:sz w:val="16"/>
                <w:szCs w:val="16"/>
                <w:lang w:val="en-US"/>
              </w:rPr>
              <w:t xml:space="preserve">  </w:t>
            </w:r>
            <w:r w:rsidRPr="00F23413">
              <w:rPr>
                <w:rFonts w:ascii="Times New Roman" w:hAnsi="Times New Roman"/>
                <w:i/>
                <w:color w:val="000000"/>
                <w:sz w:val="16"/>
                <w:szCs w:val="16"/>
                <w:lang w:val="en-US"/>
              </w:rPr>
              <w:t xml:space="preserve"> </w:t>
            </w:r>
            <w:proofErr w:type="spellStart"/>
            <w:r w:rsidR="005F18C0" w:rsidRPr="00E16672">
              <w:rPr>
                <w:rFonts w:ascii="Times New Roman" w:hAnsi="Times New Roman"/>
                <w:i/>
                <w:color w:val="000000"/>
                <w:sz w:val="16"/>
                <w:szCs w:val="16"/>
              </w:rPr>
              <w:t>шістдесяти</w:t>
            </w:r>
            <w:proofErr w:type="spellEnd"/>
            <w:r w:rsidRPr="00F23413">
              <w:rPr>
                <w:rFonts w:ascii="Times New Roman" w:hAnsi="Times New Roman"/>
                <w:i/>
                <w:color w:val="000000"/>
                <w:sz w:val="16"/>
                <w:szCs w:val="16"/>
                <w:lang w:val="en-US"/>
              </w:rPr>
              <w:t xml:space="preserve"> </w:t>
            </w:r>
            <w:proofErr w:type="spellStart"/>
            <w:r w:rsidRPr="00E16672">
              <w:rPr>
                <w:rFonts w:ascii="Times New Roman" w:hAnsi="Times New Roman"/>
                <w:i/>
                <w:color w:val="000000"/>
                <w:sz w:val="16"/>
                <w:szCs w:val="16"/>
              </w:rPr>
              <w:t>календарних</w:t>
            </w:r>
            <w:proofErr w:type="spellEnd"/>
            <w:r w:rsidRPr="00F23413">
              <w:rPr>
                <w:rFonts w:ascii="Times New Roman" w:hAnsi="Times New Roman"/>
                <w:i/>
                <w:color w:val="000000"/>
                <w:sz w:val="16"/>
                <w:szCs w:val="16"/>
                <w:lang w:val="en-US"/>
              </w:rPr>
              <w:t xml:space="preserve"> </w:t>
            </w:r>
            <w:proofErr w:type="spellStart"/>
            <w:r w:rsidRPr="00E16672">
              <w:rPr>
                <w:rFonts w:ascii="Times New Roman" w:hAnsi="Times New Roman"/>
                <w:i/>
                <w:color w:val="000000"/>
                <w:sz w:val="16"/>
                <w:szCs w:val="16"/>
              </w:rPr>
              <w:t>днів</w:t>
            </w:r>
            <w:proofErr w:type="spellEnd"/>
            <w:r w:rsidRPr="00F23413">
              <w:rPr>
                <w:rFonts w:ascii="Times New Roman" w:hAnsi="Times New Roman"/>
                <w:i/>
                <w:color w:val="000000"/>
                <w:sz w:val="16"/>
                <w:szCs w:val="16"/>
                <w:lang w:val="en-US"/>
              </w:rPr>
              <w:t xml:space="preserve"> </w:t>
            </w:r>
            <w:r w:rsidRPr="00E16672">
              <w:rPr>
                <w:rFonts w:ascii="Times New Roman" w:hAnsi="Times New Roman"/>
                <w:color w:val="000000"/>
                <w:sz w:val="16"/>
                <w:szCs w:val="16"/>
              </w:rPr>
              <w:t>з</w:t>
            </w:r>
            <w:r w:rsidRPr="00F23413">
              <w:rPr>
                <w:rFonts w:ascii="Times New Roman" w:hAnsi="Times New Roman"/>
                <w:color w:val="000000"/>
                <w:sz w:val="16"/>
                <w:szCs w:val="16"/>
                <w:lang w:val="en-US"/>
              </w:rPr>
              <w:t xml:space="preserve"> </w:t>
            </w:r>
            <w:proofErr w:type="spellStart"/>
            <w:r w:rsidRPr="00E16672">
              <w:rPr>
                <w:rFonts w:ascii="Times New Roman" w:hAnsi="Times New Roman"/>
                <w:color w:val="000000"/>
                <w:sz w:val="16"/>
                <w:szCs w:val="16"/>
              </w:rPr>
              <w:t>дати</w:t>
            </w:r>
            <w:proofErr w:type="spellEnd"/>
            <w:r w:rsidRPr="00F23413">
              <w:rPr>
                <w:rFonts w:ascii="Times New Roman" w:hAnsi="Times New Roman"/>
                <w:color w:val="000000"/>
                <w:sz w:val="16"/>
                <w:szCs w:val="16"/>
                <w:lang w:val="en-US"/>
              </w:rPr>
              <w:t xml:space="preserve"> </w:t>
            </w:r>
            <w:r w:rsidRPr="00E16672">
              <w:rPr>
                <w:rFonts w:ascii="Times New Roman" w:hAnsi="Times New Roman"/>
                <w:color w:val="000000"/>
                <w:sz w:val="16"/>
                <w:szCs w:val="16"/>
              </w:rPr>
              <w:t>початку</w:t>
            </w:r>
            <w:r w:rsidRPr="00F23413">
              <w:rPr>
                <w:rFonts w:ascii="Times New Roman" w:hAnsi="Times New Roman"/>
                <w:color w:val="000000"/>
                <w:sz w:val="16"/>
                <w:szCs w:val="16"/>
                <w:lang w:val="en-US"/>
              </w:rPr>
              <w:t xml:space="preserve"> </w:t>
            </w:r>
            <w:proofErr w:type="spellStart"/>
            <w:r w:rsidRPr="00E16672">
              <w:rPr>
                <w:rFonts w:ascii="Times New Roman" w:hAnsi="Times New Roman"/>
                <w:color w:val="000000"/>
                <w:sz w:val="16"/>
                <w:szCs w:val="16"/>
              </w:rPr>
              <w:t>цієї</w:t>
            </w:r>
            <w:proofErr w:type="spellEnd"/>
            <w:r w:rsidRPr="00F23413">
              <w:rPr>
                <w:rFonts w:ascii="Times New Roman" w:hAnsi="Times New Roman"/>
                <w:color w:val="000000"/>
                <w:sz w:val="16"/>
                <w:szCs w:val="16"/>
                <w:lang w:val="en-US"/>
              </w:rPr>
              <w:t xml:space="preserve"> </w:t>
            </w:r>
            <w:proofErr w:type="spellStart"/>
            <w:r w:rsidRPr="00E16672">
              <w:rPr>
                <w:rFonts w:ascii="Times New Roman" w:hAnsi="Times New Roman"/>
                <w:color w:val="000000"/>
                <w:sz w:val="16"/>
                <w:szCs w:val="16"/>
              </w:rPr>
              <w:t>процедури</w:t>
            </w:r>
            <w:proofErr w:type="spellEnd"/>
            <w:r w:rsidRPr="00F23413">
              <w:rPr>
                <w:rFonts w:ascii="Times New Roman" w:hAnsi="Times New Roman"/>
                <w:color w:val="000000"/>
                <w:sz w:val="16"/>
                <w:szCs w:val="16"/>
                <w:lang w:val="en-US"/>
              </w:rPr>
              <w:t>.</w:t>
            </w:r>
          </w:p>
          <w:p w14:paraId="4B67A92C" w14:textId="77777777" w:rsidR="005C5318" w:rsidRPr="00E16672" w:rsidRDefault="005C5318" w:rsidP="005C5318">
            <w:pPr>
              <w:tabs>
                <w:tab w:val="left" w:pos="851"/>
                <w:tab w:val="left" w:pos="7200"/>
              </w:tabs>
              <w:snapToGrid w:val="0"/>
              <w:ind w:left="142" w:right="138" w:firstLine="0"/>
              <w:rPr>
                <w:rFonts w:ascii="Times New Roman" w:hAnsi="Times New Roman"/>
                <w:b/>
                <w:color w:val="000000"/>
                <w:sz w:val="16"/>
                <w:szCs w:val="16"/>
              </w:rPr>
            </w:pPr>
            <w:r w:rsidRPr="00E16672">
              <w:rPr>
                <w:rFonts w:ascii="Times New Roman" w:hAnsi="Times New Roman"/>
                <w:bCs/>
                <w:color w:val="000000"/>
                <w:sz w:val="16"/>
                <w:szCs w:val="16"/>
                <w:lang w:val="uk-UA"/>
              </w:rPr>
              <w:t xml:space="preserve">Повідомлення надається шляхом розміщення на офіційному веб-сайті Депозитарної установи </w:t>
            </w:r>
            <w:r w:rsidR="00E16672">
              <w:rPr>
                <w:rFonts w:ascii="Times New Roman" w:hAnsi="Times New Roman"/>
                <w:bCs/>
                <w:color w:val="000000"/>
                <w:sz w:val="16"/>
                <w:szCs w:val="16"/>
                <w:lang w:val="uk-UA"/>
              </w:rPr>
              <w:t>http://comex.uafin.net</w:t>
            </w:r>
            <w:r w:rsidRPr="00E16672">
              <w:rPr>
                <w:rFonts w:ascii="Times New Roman" w:hAnsi="Times New Roman"/>
                <w:bCs/>
                <w:color w:val="000000"/>
                <w:sz w:val="16"/>
                <w:szCs w:val="16"/>
                <w:lang w:val="uk-UA"/>
              </w:rPr>
              <w:t>/.</w:t>
            </w:r>
          </w:p>
        </w:tc>
        <w:tc>
          <w:tcPr>
            <w:tcW w:w="5495" w:type="dxa"/>
            <w:gridSpan w:val="6"/>
            <w:shd w:val="clear" w:color="auto" w:fill="auto"/>
          </w:tcPr>
          <w:p w14:paraId="62D1E642" w14:textId="77777777" w:rsidR="005C5318" w:rsidRPr="00E16672" w:rsidRDefault="005C5318" w:rsidP="005C5318">
            <w:pPr>
              <w:pStyle w:val="210"/>
              <w:snapToGrid w:val="0"/>
              <w:ind w:left="145" w:right="100" w:firstLine="0"/>
              <w:rPr>
                <w:rFonts w:ascii="Times New Roman" w:hAnsi="Times New Roman"/>
                <w:color w:val="000000"/>
                <w:sz w:val="16"/>
                <w:szCs w:val="16"/>
              </w:rPr>
            </w:pPr>
            <w:r w:rsidRPr="00E16672">
              <w:rPr>
                <w:rFonts w:ascii="Times New Roman" w:hAnsi="Times New Roman"/>
                <w:color w:val="000000"/>
                <w:sz w:val="16"/>
                <w:szCs w:val="16"/>
              </w:rPr>
              <w:lastRenderedPageBreak/>
              <w:t>2.1.15</w:t>
            </w:r>
            <w:r w:rsidRPr="00E16672">
              <w:rPr>
                <w:rFonts w:ascii="Times New Roman" w:hAnsi="Times New Roman"/>
                <w:color w:val="000000"/>
                <w:sz w:val="16"/>
                <w:szCs w:val="16"/>
                <w:lang w:val="en-GB"/>
              </w:rPr>
              <w:t xml:space="preserve">. </w:t>
            </w:r>
            <w:r w:rsidR="00D048FE" w:rsidRPr="00E16672">
              <w:rPr>
                <w:rFonts w:ascii="Times New Roman" w:hAnsi="Times New Roman"/>
                <w:color w:val="000000"/>
                <w:sz w:val="16"/>
                <w:szCs w:val="16"/>
                <w:lang w:val="en-GB"/>
              </w:rPr>
              <w:t xml:space="preserve">During </w:t>
            </w:r>
            <w:proofErr w:type="spellStart"/>
            <w:r w:rsidR="00D048FE" w:rsidRPr="00E16672">
              <w:rPr>
                <w:rStyle w:val="shorttext"/>
                <w:rFonts w:ascii="Times New Roman" w:hAnsi="Times New Roman"/>
                <w:sz w:val="16"/>
              </w:rPr>
              <w:t>five</w:t>
            </w:r>
            <w:proofErr w:type="spellEnd"/>
            <w:r w:rsidR="00D048FE" w:rsidRPr="00E16672">
              <w:rPr>
                <w:rStyle w:val="shorttext"/>
                <w:rFonts w:ascii="Times New Roman" w:hAnsi="Times New Roman"/>
                <w:sz w:val="16"/>
              </w:rPr>
              <w:t xml:space="preserve"> </w:t>
            </w:r>
            <w:proofErr w:type="spellStart"/>
            <w:r w:rsidR="00D048FE" w:rsidRPr="00E16672">
              <w:rPr>
                <w:rStyle w:val="shorttext"/>
                <w:rFonts w:ascii="Times New Roman" w:hAnsi="Times New Roman"/>
                <w:sz w:val="16"/>
              </w:rPr>
              <w:t>business</w:t>
            </w:r>
            <w:proofErr w:type="spellEnd"/>
            <w:r w:rsidR="00D048FE" w:rsidRPr="00E16672">
              <w:rPr>
                <w:rStyle w:val="shorttext"/>
                <w:rFonts w:ascii="Times New Roman" w:hAnsi="Times New Roman"/>
                <w:sz w:val="16"/>
              </w:rPr>
              <w:t xml:space="preserve"> </w:t>
            </w:r>
            <w:r w:rsidR="00D048FE" w:rsidRPr="00E16672">
              <w:rPr>
                <w:rFonts w:ascii="Times New Roman" w:hAnsi="Times New Roman"/>
                <w:i/>
                <w:color w:val="000000"/>
                <w:sz w:val="16"/>
                <w:szCs w:val="16"/>
                <w:lang w:val="en-GB"/>
              </w:rPr>
              <w:t>days</w:t>
            </w:r>
            <w:r w:rsidR="00D048FE" w:rsidRPr="00E16672">
              <w:rPr>
                <w:rFonts w:ascii="Times New Roman" w:hAnsi="Times New Roman"/>
                <w:color w:val="000000"/>
                <w:sz w:val="16"/>
                <w:szCs w:val="16"/>
                <w:lang w:val="en-GB"/>
              </w:rPr>
              <w:t xml:space="preserve"> from the date of beginning by Depository institution of procedure of stopping them of realization of professional </w:t>
            </w:r>
            <w:proofErr w:type="spellStart"/>
            <w:r w:rsidR="00D048FE" w:rsidRPr="00E16672">
              <w:rPr>
                <w:rFonts w:ascii="Times New Roman" w:hAnsi="Times New Roman"/>
                <w:color w:val="000000"/>
                <w:sz w:val="16"/>
                <w:szCs w:val="16"/>
              </w:rPr>
              <w:t>activity</w:t>
            </w:r>
            <w:proofErr w:type="spellEnd"/>
            <w:r w:rsidR="00D048FE" w:rsidRPr="00E16672">
              <w:rPr>
                <w:rFonts w:ascii="Times New Roman" w:hAnsi="Times New Roman"/>
                <w:color w:val="000000"/>
                <w:sz w:val="16"/>
                <w:szCs w:val="16"/>
              </w:rPr>
              <w:t xml:space="preserve"> </w:t>
            </w:r>
            <w:proofErr w:type="spellStart"/>
            <w:r w:rsidR="00D048FE" w:rsidRPr="00E16672">
              <w:rPr>
                <w:rFonts w:ascii="Times New Roman" w:hAnsi="Times New Roman"/>
                <w:color w:val="000000"/>
                <w:sz w:val="16"/>
                <w:szCs w:val="16"/>
              </w:rPr>
              <w:t>at</w:t>
            </w:r>
            <w:proofErr w:type="spellEnd"/>
            <w:r w:rsidR="00D048FE" w:rsidRPr="00E16672">
              <w:rPr>
                <w:rFonts w:ascii="Times New Roman" w:hAnsi="Times New Roman"/>
                <w:color w:val="000000"/>
                <w:sz w:val="16"/>
                <w:szCs w:val="16"/>
              </w:rPr>
              <w:t xml:space="preserve"> </w:t>
            </w:r>
            <w:proofErr w:type="spellStart"/>
            <w:r w:rsidR="00D048FE" w:rsidRPr="00E16672">
              <w:rPr>
                <w:rFonts w:ascii="Times New Roman" w:hAnsi="Times New Roman"/>
                <w:color w:val="000000"/>
                <w:sz w:val="16"/>
                <w:szCs w:val="16"/>
              </w:rPr>
              <w:t>the</w:t>
            </w:r>
            <w:proofErr w:type="spellEnd"/>
            <w:r w:rsidR="00D048FE" w:rsidRPr="00E16672">
              <w:rPr>
                <w:rFonts w:ascii="Times New Roman" w:hAnsi="Times New Roman"/>
                <w:color w:val="000000"/>
                <w:sz w:val="16"/>
                <w:szCs w:val="16"/>
              </w:rPr>
              <w:t xml:space="preserve"> </w:t>
            </w:r>
            <w:proofErr w:type="spellStart"/>
            <w:r w:rsidR="00D048FE" w:rsidRPr="00E16672">
              <w:rPr>
                <w:rFonts w:ascii="Times New Roman" w:hAnsi="Times New Roman"/>
                <w:color w:val="000000"/>
                <w:sz w:val="16"/>
                <w:szCs w:val="16"/>
              </w:rPr>
              <w:t>Stock</w:t>
            </w:r>
            <w:proofErr w:type="spellEnd"/>
            <w:r w:rsidR="00D048FE" w:rsidRPr="00E16672">
              <w:rPr>
                <w:rFonts w:ascii="Times New Roman" w:hAnsi="Times New Roman"/>
                <w:color w:val="000000"/>
                <w:sz w:val="16"/>
                <w:szCs w:val="16"/>
              </w:rPr>
              <w:t xml:space="preserve"> </w:t>
            </w:r>
            <w:proofErr w:type="spellStart"/>
            <w:r w:rsidR="00D048FE" w:rsidRPr="00E16672">
              <w:rPr>
                <w:rFonts w:ascii="Times New Roman" w:hAnsi="Times New Roman"/>
                <w:color w:val="000000"/>
                <w:sz w:val="16"/>
                <w:szCs w:val="16"/>
              </w:rPr>
              <w:t>Market</w:t>
            </w:r>
            <w:proofErr w:type="spellEnd"/>
            <w:r w:rsidR="00D048FE" w:rsidRPr="00E16672">
              <w:rPr>
                <w:rFonts w:ascii="Times New Roman" w:hAnsi="Times New Roman"/>
                <w:color w:val="000000"/>
                <w:sz w:val="16"/>
                <w:szCs w:val="16"/>
              </w:rPr>
              <w:t xml:space="preserve"> - </w:t>
            </w:r>
            <w:proofErr w:type="spellStart"/>
            <w:r w:rsidR="00D048FE" w:rsidRPr="00E16672">
              <w:rPr>
                <w:rFonts w:ascii="Times New Roman" w:hAnsi="Times New Roman"/>
                <w:color w:val="000000"/>
                <w:sz w:val="16"/>
                <w:szCs w:val="16"/>
              </w:rPr>
              <w:t>depositary</w:t>
            </w:r>
            <w:proofErr w:type="spellEnd"/>
            <w:r w:rsidR="00D048FE" w:rsidRPr="00E16672">
              <w:rPr>
                <w:rFonts w:ascii="Times New Roman" w:hAnsi="Times New Roman"/>
                <w:color w:val="000000"/>
                <w:sz w:val="16"/>
                <w:szCs w:val="16"/>
              </w:rPr>
              <w:t xml:space="preserve"> </w:t>
            </w:r>
            <w:proofErr w:type="spellStart"/>
            <w:r w:rsidR="00D048FE" w:rsidRPr="00E16672">
              <w:rPr>
                <w:rFonts w:ascii="Times New Roman" w:hAnsi="Times New Roman"/>
                <w:color w:val="000000"/>
                <w:sz w:val="16"/>
                <w:szCs w:val="16"/>
              </w:rPr>
              <w:t>activity</w:t>
            </w:r>
            <w:proofErr w:type="spellEnd"/>
            <w:r w:rsidR="00D048FE" w:rsidRPr="00E16672">
              <w:rPr>
                <w:rFonts w:ascii="Times New Roman" w:hAnsi="Times New Roman"/>
                <w:color w:val="000000"/>
                <w:sz w:val="16"/>
                <w:szCs w:val="16"/>
              </w:rPr>
              <w:t xml:space="preserve">, </w:t>
            </w:r>
            <w:proofErr w:type="spellStart"/>
            <w:r w:rsidR="00D048FE" w:rsidRPr="00E16672">
              <w:rPr>
                <w:rFonts w:ascii="Times New Roman" w:hAnsi="Times New Roman"/>
                <w:color w:val="000000"/>
                <w:sz w:val="16"/>
                <w:szCs w:val="16"/>
              </w:rPr>
              <w:t>namely</w:t>
            </w:r>
            <w:proofErr w:type="spellEnd"/>
            <w:r w:rsidR="00D048FE" w:rsidRPr="00E16672">
              <w:rPr>
                <w:rFonts w:ascii="Times New Roman" w:hAnsi="Times New Roman"/>
                <w:color w:val="000000"/>
                <w:sz w:val="16"/>
                <w:szCs w:val="16"/>
              </w:rPr>
              <w:t xml:space="preserve"> </w:t>
            </w:r>
            <w:proofErr w:type="spellStart"/>
            <w:r w:rsidR="00D048FE" w:rsidRPr="00E16672">
              <w:rPr>
                <w:rFonts w:ascii="Times New Roman" w:hAnsi="Times New Roman"/>
                <w:color w:val="000000"/>
                <w:sz w:val="16"/>
                <w:szCs w:val="16"/>
              </w:rPr>
              <w:t>depositary</w:t>
            </w:r>
            <w:proofErr w:type="spellEnd"/>
            <w:r w:rsidR="00D048FE" w:rsidRPr="00E16672">
              <w:rPr>
                <w:rFonts w:ascii="Times New Roman" w:hAnsi="Times New Roman"/>
                <w:color w:val="000000"/>
                <w:sz w:val="16"/>
                <w:szCs w:val="16"/>
              </w:rPr>
              <w:t xml:space="preserve"> </w:t>
            </w:r>
            <w:proofErr w:type="spellStart"/>
            <w:r w:rsidR="00D048FE" w:rsidRPr="00E16672">
              <w:rPr>
                <w:rFonts w:ascii="Times New Roman" w:hAnsi="Times New Roman"/>
                <w:color w:val="000000"/>
                <w:sz w:val="16"/>
                <w:szCs w:val="16"/>
              </w:rPr>
              <w:t>activity</w:t>
            </w:r>
            <w:proofErr w:type="spellEnd"/>
            <w:r w:rsidR="00D048FE" w:rsidRPr="00E16672">
              <w:rPr>
                <w:rFonts w:ascii="Times New Roman" w:hAnsi="Times New Roman"/>
                <w:color w:val="000000"/>
                <w:sz w:val="16"/>
                <w:szCs w:val="16"/>
              </w:rPr>
              <w:t xml:space="preserve"> </w:t>
            </w:r>
            <w:proofErr w:type="spellStart"/>
            <w:r w:rsidR="00D048FE" w:rsidRPr="00E16672">
              <w:rPr>
                <w:rFonts w:ascii="Times New Roman" w:hAnsi="Times New Roman"/>
                <w:color w:val="000000"/>
                <w:sz w:val="16"/>
                <w:szCs w:val="16"/>
              </w:rPr>
              <w:t>of</w:t>
            </w:r>
            <w:proofErr w:type="spellEnd"/>
            <w:r w:rsidR="00D048FE" w:rsidRPr="00E16672">
              <w:rPr>
                <w:rFonts w:ascii="Times New Roman" w:hAnsi="Times New Roman"/>
                <w:color w:val="000000"/>
                <w:sz w:val="16"/>
                <w:szCs w:val="16"/>
              </w:rPr>
              <w:t xml:space="preserve"> </w:t>
            </w:r>
            <w:proofErr w:type="spellStart"/>
            <w:r w:rsidR="00D048FE" w:rsidRPr="00E16672">
              <w:rPr>
                <w:rFonts w:ascii="Times New Roman" w:hAnsi="Times New Roman"/>
                <w:color w:val="000000"/>
                <w:sz w:val="16"/>
                <w:szCs w:val="16"/>
              </w:rPr>
              <w:t>Depository</w:t>
            </w:r>
            <w:proofErr w:type="spellEnd"/>
            <w:r w:rsidR="00D048FE" w:rsidRPr="00E16672">
              <w:rPr>
                <w:rFonts w:ascii="Times New Roman" w:hAnsi="Times New Roman"/>
                <w:color w:val="000000"/>
                <w:sz w:val="16"/>
                <w:szCs w:val="16"/>
              </w:rPr>
              <w:t xml:space="preserve"> </w:t>
            </w:r>
            <w:proofErr w:type="spellStart"/>
            <w:r w:rsidR="00D048FE" w:rsidRPr="00E16672">
              <w:rPr>
                <w:rFonts w:ascii="Times New Roman" w:hAnsi="Times New Roman"/>
                <w:color w:val="000000"/>
                <w:sz w:val="16"/>
                <w:szCs w:val="16"/>
              </w:rPr>
              <w:t>institution</w:t>
            </w:r>
            <w:proofErr w:type="spellEnd"/>
            <w:r w:rsidR="00D048FE" w:rsidRPr="00E16672">
              <w:rPr>
                <w:rFonts w:ascii="Times New Roman" w:hAnsi="Times New Roman"/>
                <w:color w:val="000000"/>
                <w:sz w:val="16"/>
                <w:szCs w:val="16"/>
              </w:rPr>
              <w:t xml:space="preserve"> </w:t>
            </w:r>
            <w:proofErr w:type="spellStart"/>
            <w:r w:rsidR="00D048FE" w:rsidRPr="00E16672">
              <w:rPr>
                <w:rFonts w:ascii="Times New Roman" w:hAnsi="Times New Roman"/>
                <w:color w:val="000000"/>
                <w:sz w:val="16"/>
                <w:szCs w:val="16"/>
              </w:rPr>
              <w:t>in</w:t>
            </w:r>
            <w:proofErr w:type="spellEnd"/>
            <w:r w:rsidR="00D048FE" w:rsidRPr="00E16672">
              <w:rPr>
                <w:rFonts w:ascii="Times New Roman" w:hAnsi="Times New Roman"/>
                <w:color w:val="000000"/>
                <w:sz w:val="16"/>
                <w:szCs w:val="16"/>
              </w:rPr>
              <w:t xml:space="preserve"> </w:t>
            </w:r>
            <w:proofErr w:type="spellStart"/>
            <w:r w:rsidR="00D048FE" w:rsidRPr="00E16672">
              <w:rPr>
                <w:rFonts w:ascii="Times New Roman" w:hAnsi="Times New Roman"/>
                <w:color w:val="000000"/>
                <w:sz w:val="16"/>
                <w:szCs w:val="16"/>
              </w:rPr>
              <w:t>accordance</w:t>
            </w:r>
            <w:proofErr w:type="spellEnd"/>
            <w:r w:rsidR="00D048FE" w:rsidRPr="00E16672">
              <w:rPr>
                <w:rFonts w:ascii="Times New Roman" w:hAnsi="Times New Roman"/>
                <w:color w:val="000000"/>
                <w:sz w:val="16"/>
                <w:szCs w:val="16"/>
              </w:rPr>
              <w:t xml:space="preserve"> </w:t>
            </w:r>
            <w:proofErr w:type="spellStart"/>
            <w:r w:rsidR="00D048FE" w:rsidRPr="00E16672">
              <w:rPr>
                <w:rFonts w:ascii="Times New Roman" w:hAnsi="Times New Roman"/>
                <w:color w:val="000000"/>
                <w:sz w:val="16"/>
                <w:szCs w:val="16"/>
              </w:rPr>
              <w:t>to</w:t>
            </w:r>
            <w:proofErr w:type="spellEnd"/>
            <w:r w:rsidR="00D048FE" w:rsidRPr="00E16672">
              <w:rPr>
                <w:rFonts w:ascii="Times New Roman" w:hAnsi="Times New Roman"/>
                <w:color w:val="000000"/>
                <w:sz w:val="16"/>
                <w:szCs w:val="16"/>
              </w:rPr>
              <w:t xml:space="preserve"> </w:t>
            </w:r>
            <w:proofErr w:type="spellStart"/>
            <w:r w:rsidR="00D048FE" w:rsidRPr="00E16672">
              <w:rPr>
                <w:rFonts w:ascii="Times New Roman" w:hAnsi="Times New Roman"/>
                <w:color w:val="000000"/>
                <w:sz w:val="16"/>
                <w:szCs w:val="16"/>
              </w:rPr>
              <w:t>the</w:t>
            </w:r>
            <w:proofErr w:type="spellEnd"/>
            <w:r w:rsidR="00D048FE" w:rsidRPr="00E16672">
              <w:rPr>
                <w:rFonts w:ascii="Times New Roman" w:hAnsi="Times New Roman"/>
                <w:color w:val="000000"/>
                <w:sz w:val="16"/>
                <w:szCs w:val="16"/>
              </w:rPr>
              <w:t xml:space="preserve"> </w:t>
            </w:r>
            <w:proofErr w:type="spellStart"/>
            <w:r w:rsidR="00D048FE" w:rsidRPr="00E16672">
              <w:rPr>
                <w:rFonts w:ascii="Times New Roman" w:hAnsi="Times New Roman"/>
                <w:color w:val="000000"/>
                <w:sz w:val="16"/>
                <w:szCs w:val="16"/>
              </w:rPr>
              <w:t>legal</w:t>
            </w:r>
            <w:proofErr w:type="spellEnd"/>
            <w:r w:rsidR="00D048FE" w:rsidRPr="00E16672">
              <w:rPr>
                <w:rFonts w:ascii="Times New Roman" w:hAnsi="Times New Roman"/>
                <w:color w:val="000000"/>
                <w:sz w:val="16"/>
                <w:szCs w:val="16"/>
              </w:rPr>
              <w:t xml:space="preserve"> </w:t>
            </w:r>
            <w:proofErr w:type="spellStart"/>
            <w:r w:rsidR="00D048FE" w:rsidRPr="00E16672">
              <w:rPr>
                <w:rFonts w:ascii="Times New Roman" w:hAnsi="Times New Roman"/>
                <w:color w:val="000000"/>
                <w:sz w:val="16"/>
                <w:szCs w:val="16"/>
              </w:rPr>
              <w:t>act</w:t>
            </w:r>
            <w:proofErr w:type="spellEnd"/>
            <w:r w:rsidR="00D048FE" w:rsidRPr="00E16672">
              <w:rPr>
                <w:rFonts w:ascii="Times New Roman" w:hAnsi="Times New Roman"/>
                <w:color w:val="000000"/>
                <w:sz w:val="16"/>
                <w:szCs w:val="16"/>
              </w:rPr>
              <w:t xml:space="preserve"> </w:t>
            </w:r>
            <w:proofErr w:type="spellStart"/>
            <w:r w:rsidR="00D048FE" w:rsidRPr="00E16672">
              <w:rPr>
                <w:rFonts w:ascii="Times New Roman" w:hAnsi="Times New Roman"/>
                <w:color w:val="000000"/>
                <w:sz w:val="16"/>
                <w:szCs w:val="16"/>
              </w:rPr>
              <w:t>to</w:t>
            </w:r>
            <w:proofErr w:type="spellEnd"/>
            <w:r w:rsidR="00D048FE" w:rsidRPr="00E16672">
              <w:rPr>
                <w:rFonts w:ascii="Times New Roman" w:hAnsi="Times New Roman"/>
                <w:color w:val="000000"/>
                <w:sz w:val="16"/>
                <w:szCs w:val="16"/>
              </w:rPr>
              <w:t xml:space="preserve"> </w:t>
            </w:r>
            <w:proofErr w:type="spellStart"/>
            <w:r w:rsidR="00D048FE" w:rsidRPr="00E16672">
              <w:rPr>
                <w:rFonts w:ascii="Times New Roman" w:hAnsi="Times New Roman"/>
                <w:color w:val="000000"/>
                <w:sz w:val="16"/>
                <w:szCs w:val="16"/>
              </w:rPr>
              <w:t>stopping</w:t>
            </w:r>
            <w:proofErr w:type="spellEnd"/>
            <w:r w:rsidR="00D048FE" w:rsidRPr="00E16672">
              <w:rPr>
                <w:rFonts w:ascii="Times New Roman" w:hAnsi="Times New Roman"/>
                <w:color w:val="000000"/>
                <w:sz w:val="16"/>
                <w:szCs w:val="16"/>
              </w:rPr>
              <w:t xml:space="preserve"> </w:t>
            </w:r>
            <w:proofErr w:type="spellStart"/>
            <w:proofErr w:type="gramStart"/>
            <w:r w:rsidR="00D048FE" w:rsidRPr="00E16672">
              <w:rPr>
                <w:rFonts w:ascii="Times New Roman" w:hAnsi="Times New Roman"/>
                <w:color w:val="000000"/>
                <w:sz w:val="16"/>
                <w:szCs w:val="16"/>
              </w:rPr>
              <w:t>the</w:t>
            </w:r>
            <w:proofErr w:type="spellEnd"/>
            <w:r w:rsidR="00D048FE" w:rsidRPr="00E16672">
              <w:rPr>
                <w:rFonts w:ascii="Times New Roman" w:hAnsi="Times New Roman"/>
                <w:color w:val="000000"/>
                <w:sz w:val="16"/>
                <w:szCs w:val="16"/>
              </w:rPr>
              <w:t xml:space="preserve">  </w:t>
            </w:r>
            <w:proofErr w:type="spellStart"/>
            <w:r w:rsidR="00D048FE" w:rsidRPr="00E16672">
              <w:rPr>
                <w:rFonts w:ascii="Times New Roman" w:hAnsi="Times New Roman"/>
                <w:color w:val="000000"/>
                <w:sz w:val="16"/>
                <w:szCs w:val="16"/>
              </w:rPr>
              <w:t>depository</w:t>
            </w:r>
            <w:proofErr w:type="spellEnd"/>
            <w:proofErr w:type="gramEnd"/>
            <w:r w:rsidR="00D048FE" w:rsidRPr="00E16672">
              <w:rPr>
                <w:rFonts w:ascii="Times New Roman" w:hAnsi="Times New Roman"/>
                <w:color w:val="000000"/>
                <w:sz w:val="16"/>
                <w:szCs w:val="16"/>
              </w:rPr>
              <w:t xml:space="preserve"> </w:t>
            </w:r>
            <w:proofErr w:type="spellStart"/>
            <w:r w:rsidR="00D048FE" w:rsidRPr="00E16672">
              <w:rPr>
                <w:rFonts w:ascii="Times New Roman" w:hAnsi="Times New Roman"/>
                <w:color w:val="000000"/>
                <w:sz w:val="16"/>
                <w:szCs w:val="16"/>
              </w:rPr>
              <w:t>activity</w:t>
            </w:r>
            <w:proofErr w:type="spellEnd"/>
            <w:r w:rsidR="00D048FE" w:rsidRPr="00E16672">
              <w:rPr>
                <w:rFonts w:ascii="Times New Roman" w:hAnsi="Times New Roman"/>
                <w:color w:val="000000"/>
                <w:sz w:val="16"/>
                <w:szCs w:val="16"/>
              </w:rPr>
              <w:t xml:space="preserve"> </w:t>
            </w:r>
            <w:proofErr w:type="spellStart"/>
            <w:r w:rsidR="00D048FE" w:rsidRPr="00E16672">
              <w:rPr>
                <w:rFonts w:ascii="Times New Roman" w:hAnsi="Times New Roman"/>
                <w:color w:val="000000"/>
                <w:sz w:val="16"/>
                <w:szCs w:val="16"/>
              </w:rPr>
              <w:t>of</w:t>
            </w:r>
            <w:proofErr w:type="spellEnd"/>
            <w:r w:rsidR="00D048FE" w:rsidRPr="00E16672">
              <w:rPr>
                <w:rFonts w:ascii="Times New Roman" w:hAnsi="Times New Roman"/>
                <w:color w:val="000000"/>
                <w:sz w:val="16"/>
                <w:szCs w:val="16"/>
              </w:rPr>
              <w:t xml:space="preserve"> </w:t>
            </w:r>
            <w:proofErr w:type="spellStart"/>
            <w:r w:rsidR="00D048FE" w:rsidRPr="00E16672">
              <w:rPr>
                <w:rFonts w:ascii="Times New Roman" w:hAnsi="Times New Roman"/>
                <w:color w:val="000000"/>
                <w:sz w:val="16"/>
                <w:szCs w:val="16"/>
              </w:rPr>
              <w:t>Depository</w:t>
            </w:r>
            <w:proofErr w:type="spellEnd"/>
            <w:r w:rsidR="00D048FE" w:rsidRPr="00E16672">
              <w:rPr>
                <w:rFonts w:ascii="Times New Roman" w:hAnsi="Times New Roman"/>
                <w:color w:val="000000"/>
                <w:sz w:val="16"/>
                <w:szCs w:val="16"/>
              </w:rPr>
              <w:t xml:space="preserve"> </w:t>
            </w:r>
            <w:proofErr w:type="spellStart"/>
            <w:r w:rsidR="00D048FE" w:rsidRPr="00E16672">
              <w:rPr>
                <w:rFonts w:ascii="Times New Roman" w:hAnsi="Times New Roman"/>
                <w:color w:val="000000"/>
                <w:sz w:val="16"/>
                <w:szCs w:val="16"/>
              </w:rPr>
              <w:t>institution</w:t>
            </w:r>
            <w:proofErr w:type="spellEnd"/>
            <w:r w:rsidR="00D048FE" w:rsidRPr="00E16672">
              <w:rPr>
                <w:rFonts w:ascii="Times New Roman" w:hAnsi="Times New Roman"/>
                <w:color w:val="000000"/>
                <w:sz w:val="16"/>
                <w:szCs w:val="16"/>
              </w:rPr>
              <w:t xml:space="preserve"> </w:t>
            </w:r>
            <w:proofErr w:type="spellStart"/>
            <w:r w:rsidR="00D048FE" w:rsidRPr="00E16672">
              <w:rPr>
                <w:rFonts w:ascii="Times New Roman" w:hAnsi="Times New Roman"/>
                <w:color w:val="000000"/>
                <w:sz w:val="16"/>
                <w:szCs w:val="16"/>
              </w:rPr>
              <w:t>to</w:t>
            </w:r>
            <w:proofErr w:type="spellEnd"/>
            <w:r w:rsidR="00D048FE" w:rsidRPr="00E16672">
              <w:rPr>
                <w:rFonts w:ascii="Times New Roman" w:hAnsi="Times New Roman"/>
                <w:color w:val="000000"/>
                <w:sz w:val="16"/>
                <w:szCs w:val="16"/>
              </w:rPr>
              <w:t xml:space="preserve"> </w:t>
            </w:r>
            <w:proofErr w:type="spellStart"/>
            <w:r w:rsidR="00D048FE" w:rsidRPr="00E16672">
              <w:rPr>
                <w:rFonts w:ascii="Times New Roman" w:hAnsi="Times New Roman"/>
                <w:color w:val="000000"/>
                <w:sz w:val="16"/>
                <w:szCs w:val="16"/>
              </w:rPr>
              <w:t>inform</w:t>
            </w:r>
            <w:proofErr w:type="spellEnd"/>
            <w:r w:rsidR="00D048FE" w:rsidRPr="00E16672">
              <w:rPr>
                <w:rFonts w:ascii="Times New Roman" w:hAnsi="Times New Roman"/>
                <w:color w:val="000000"/>
                <w:sz w:val="16"/>
                <w:szCs w:val="16"/>
              </w:rPr>
              <w:t xml:space="preserve"> </w:t>
            </w:r>
            <w:proofErr w:type="spellStart"/>
            <w:r w:rsidR="00D048FE" w:rsidRPr="00E16672">
              <w:rPr>
                <w:rFonts w:ascii="Times New Roman" w:hAnsi="Times New Roman"/>
                <w:color w:val="000000"/>
                <w:sz w:val="16"/>
                <w:szCs w:val="16"/>
              </w:rPr>
              <w:t>the</w:t>
            </w:r>
            <w:proofErr w:type="spellEnd"/>
            <w:r w:rsidR="00D048FE" w:rsidRPr="00E16672">
              <w:rPr>
                <w:rFonts w:ascii="Times New Roman" w:hAnsi="Times New Roman"/>
                <w:color w:val="000000"/>
                <w:sz w:val="16"/>
                <w:szCs w:val="16"/>
              </w:rPr>
              <w:t xml:space="preserve">  </w:t>
            </w:r>
            <w:proofErr w:type="spellStart"/>
            <w:r w:rsidR="00D048FE" w:rsidRPr="00E16672">
              <w:rPr>
                <w:rFonts w:ascii="Times New Roman" w:hAnsi="Times New Roman"/>
                <w:color w:val="000000"/>
                <w:sz w:val="16"/>
                <w:szCs w:val="16"/>
              </w:rPr>
              <w:t>Depositor</w:t>
            </w:r>
            <w:proofErr w:type="spellEnd"/>
            <w:r w:rsidR="00D048FE" w:rsidRPr="00E16672">
              <w:rPr>
                <w:rFonts w:ascii="Times New Roman" w:hAnsi="Times New Roman"/>
                <w:color w:val="000000"/>
                <w:sz w:val="16"/>
                <w:szCs w:val="16"/>
              </w:rPr>
              <w:t xml:space="preserve"> </w:t>
            </w:r>
            <w:proofErr w:type="spellStart"/>
            <w:r w:rsidR="00D048FE" w:rsidRPr="00E16672">
              <w:rPr>
                <w:rFonts w:ascii="Times New Roman" w:hAnsi="Times New Roman"/>
                <w:color w:val="000000"/>
                <w:sz w:val="16"/>
                <w:szCs w:val="16"/>
              </w:rPr>
              <w:t>as</w:t>
            </w:r>
            <w:proofErr w:type="spellEnd"/>
            <w:r w:rsidR="00D048FE" w:rsidRPr="00E16672">
              <w:rPr>
                <w:rFonts w:ascii="Times New Roman" w:hAnsi="Times New Roman"/>
                <w:color w:val="000000"/>
                <w:sz w:val="16"/>
                <w:szCs w:val="16"/>
              </w:rPr>
              <w:t xml:space="preserve"> </w:t>
            </w:r>
            <w:proofErr w:type="spellStart"/>
            <w:r w:rsidR="00D048FE" w:rsidRPr="00E16672">
              <w:rPr>
                <w:rFonts w:ascii="Times New Roman" w:hAnsi="Times New Roman"/>
                <w:color w:val="000000"/>
                <w:sz w:val="16"/>
                <w:szCs w:val="16"/>
              </w:rPr>
              <w:t>to</w:t>
            </w:r>
            <w:proofErr w:type="spellEnd"/>
            <w:r w:rsidR="00D048FE" w:rsidRPr="00E16672">
              <w:rPr>
                <w:rFonts w:ascii="Times New Roman" w:hAnsi="Times New Roman"/>
                <w:color w:val="000000"/>
                <w:sz w:val="16"/>
                <w:szCs w:val="16"/>
              </w:rPr>
              <w:t xml:space="preserve"> </w:t>
            </w:r>
            <w:proofErr w:type="spellStart"/>
            <w:r w:rsidR="00D048FE" w:rsidRPr="00E16672">
              <w:rPr>
                <w:rFonts w:ascii="Times New Roman" w:hAnsi="Times New Roman"/>
                <w:color w:val="000000"/>
                <w:sz w:val="16"/>
                <w:szCs w:val="16"/>
              </w:rPr>
              <w:t>necessary</w:t>
            </w:r>
            <w:proofErr w:type="spellEnd"/>
            <w:r w:rsidR="00D048FE" w:rsidRPr="00E16672">
              <w:rPr>
                <w:rFonts w:ascii="Times New Roman" w:hAnsi="Times New Roman"/>
                <w:color w:val="000000"/>
                <w:sz w:val="16"/>
                <w:szCs w:val="16"/>
              </w:rPr>
              <w:t xml:space="preserve">  </w:t>
            </w:r>
            <w:proofErr w:type="spellStart"/>
            <w:r w:rsidR="00D048FE" w:rsidRPr="00E16672">
              <w:rPr>
                <w:rFonts w:ascii="Times New Roman" w:hAnsi="Times New Roman"/>
                <w:color w:val="000000"/>
                <w:sz w:val="16"/>
                <w:szCs w:val="16"/>
              </w:rPr>
              <w:t>to</w:t>
            </w:r>
            <w:proofErr w:type="spellEnd"/>
            <w:r w:rsidR="00D048FE" w:rsidRPr="00E16672">
              <w:rPr>
                <w:rFonts w:ascii="Times New Roman" w:hAnsi="Times New Roman"/>
                <w:color w:val="000000"/>
                <w:sz w:val="16"/>
                <w:szCs w:val="16"/>
              </w:rPr>
              <w:t xml:space="preserve">  </w:t>
            </w:r>
            <w:proofErr w:type="spellStart"/>
            <w:r w:rsidR="00D048FE" w:rsidRPr="00E16672">
              <w:rPr>
                <w:rFonts w:ascii="Times New Roman" w:hAnsi="Times New Roman"/>
                <w:color w:val="000000"/>
                <w:sz w:val="16"/>
                <w:szCs w:val="16"/>
              </w:rPr>
              <w:t>close</w:t>
            </w:r>
            <w:proofErr w:type="spellEnd"/>
            <w:r w:rsidR="00D048FE" w:rsidRPr="00E16672">
              <w:rPr>
                <w:rFonts w:ascii="Times New Roman" w:hAnsi="Times New Roman"/>
                <w:color w:val="000000"/>
                <w:sz w:val="16"/>
                <w:szCs w:val="16"/>
              </w:rPr>
              <w:t xml:space="preserve"> </w:t>
            </w:r>
            <w:proofErr w:type="spellStart"/>
            <w:r w:rsidR="00D048FE" w:rsidRPr="00E16672">
              <w:rPr>
                <w:rFonts w:ascii="Times New Roman" w:hAnsi="Times New Roman"/>
                <w:color w:val="000000"/>
                <w:sz w:val="16"/>
                <w:szCs w:val="16"/>
              </w:rPr>
              <w:t>an</w:t>
            </w:r>
            <w:proofErr w:type="spellEnd"/>
            <w:r w:rsidR="00D048FE" w:rsidRPr="00E16672">
              <w:rPr>
                <w:rFonts w:ascii="Times New Roman" w:hAnsi="Times New Roman"/>
                <w:color w:val="000000"/>
                <w:sz w:val="16"/>
                <w:szCs w:val="16"/>
              </w:rPr>
              <w:t xml:space="preserve"> </w:t>
            </w:r>
            <w:proofErr w:type="spellStart"/>
            <w:r w:rsidR="00D048FE" w:rsidRPr="00E16672">
              <w:rPr>
                <w:rFonts w:ascii="Times New Roman" w:hAnsi="Times New Roman"/>
                <w:color w:val="000000"/>
                <w:sz w:val="16"/>
                <w:szCs w:val="16"/>
              </w:rPr>
              <w:lastRenderedPageBreak/>
              <w:t>account</w:t>
            </w:r>
            <w:proofErr w:type="spellEnd"/>
            <w:r w:rsidR="00D048FE" w:rsidRPr="00E16672">
              <w:rPr>
                <w:rFonts w:ascii="Times New Roman" w:hAnsi="Times New Roman"/>
                <w:color w:val="000000"/>
                <w:sz w:val="16"/>
                <w:szCs w:val="16"/>
              </w:rPr>
              <w:t xml:space="preserve"> </w:t>
            </w:r>
            <w:proofErr w:type="spellStart"/>
            <w:r w:rsidR="00D048FE" w:rsidRPr="00E16672">
              <w:rPr>
                <w:rFonts w:ascii="Times New Roman" w:hAnsi="Times New Roman"/>
                <w:color w:val="000000"/>
                <w:sz w:val="16"/>
                <w:szCs w:val="16"/>
              </w:rPr>
              <w:t>in</w:t>
            </w:r>
            <w:proofErr w:type="spellEnd"/>
            <w:r w:rsidR="00D048FE" w:rsidRPr="00E16672">
              <w:rPr>
                <w:rFonts w:ascii="Times New Roman" w:hAnsi="Times New Roman"/>
                <w:color w:val="000000"/>
                <w:sz w:val="16"/>
                <w:szCs w:val="16"/>
              </w:rPr>
              <w:t xml:space="preserve"> </w:t>
            </w:r>
            <w:proofErr w:type="spellStart"/>
            <w:r w:rsidR="00D048FE" w:rsidRPr="00E16672">
              <w:rPr>
                <w:rFonts w:ascii="Times New Roman" w:hAnsi="Times New Roman"/>
                <w:color w:val="000000"/>
                <w:sz w:val="16"/>
                <w:szCs w:val="16"/>
              </w:rPr>
              <w:t>securities</w:t>
            </w:r>
            <w:proofErr w:type="spellEnd"/>
            <w:r w:rsidR="00D048FE" w:rsidRPr="00E16672">
              <w:rPr>
                <w:rFonts w:ascii="Times New Roman" w:hAnsi="Times New Roman"/>
                <w:color w:val="000000"/>
                <w:sz w:val="16"/>
                <w:szCs w:val="16"/>
              </w:rPr>
              <w:t xml:space="preserve"> </w:t>
            </w:r>
            <w:proofErr w:type="spellStart"/>
            <w:r w:rsidR="00D048FE" w:rsidRPr="00E16672">
              <w:rPr>
                <w:rFonts w:ascii="Times New Roman" w:hAnsi="Times New Roman"/>
                <w:color w:val="000000"/>
                <w:sz w:val="16"/>
                <w:szCs w:val="16"/>
              </w:rPr>
              <w:t>within</w:t>
            </w:r>
            <w:proofErr w:type="spellEnd"/>
            <w:r w:rsidR="00D048FE" w:rsidRPr="00E16672">
              <w:rPr>
                <w:rFonts w:ascii="Times New Roman" w:hAnsi="Times New Roman"/>
                <w:color w:val="000000"/>
                <w:sz w:val="16"/>
                <w:szCs w:val="16"/>
              </w:rPr>
              <w:t xml:space="preserve"> </w:t>
            </w:r>
            <w:r w:rsidR="00D048FE" w:rsidRPr="00E16672">
              <w:rPr>
                <w:rFonts w:ascii="Times New Roman" w:hAnsi="Times New Roman"/>
                <w:i/>
                <w:color w:val="000000"/>
                <w:sz w:val="16"/>
                <w:szCs w:val="16"/>
                <w:lang w:val="en-US"/>
              </w:rPr>
              <w:t xml:space="preserve">sixty </w:t>
            </w:r>
            <w:r w:rsidR="00D048FE" w:rsidRPr="00E16672">
              <w:rPr>
                <w:rFonts w:ascii="Times New Roman" w:hAnsi="Times New Roman"/>
                <w:i/>
                <w:color w:val="000000"/>
                <w:sz w:val="16"/>
                <w:szCs w:val="16"/>
              </w:rPr>
              <w:t xml:space="preserve"> </w:t>
            </w:r>
            <w:proofErr w:type="spellStart"/>
            <w:r w:rsidR="00D048FE" w:rsidRPr="00E16672">
              <w:rPr>
                <w:rFonts w:ascii="Times New Roman" w:hAnsi="Times New Roman"/>
                <w:i/>
                <w:color w:val="000000"/>
                <w:sz w:val="16"/>
                <w:szCs w:val="16"/>
              </w:rPr>
              <w:t>calendar</w:t>
            </w:r>
            <w:proofErr w:type="spellEnd"/>
            <w:r w:rsidR="00D048FE" w:rsidRPr="00E16672">
              <w:rPr>
                <w:rFonts w:ascii="Times New Roman" w:hAnsi="Times New Roman"/>
                <w:i/>
                <w:color w:val="000000"/>
                <w:sz w:val="16"/>
                <w:szCs w:val="16"/>
              </w:rPr>
              <w:t xml:space="preserve"> </w:t>
            </w:r>
            <w:proofErr w:type="spellStart"/>
            <w:r w:rsidR="00D048FE" w:rsidRPr="00E16672">
              <w:rPr>
                <w:rFonts w:ascii="Times New Roman" w:hAnsi="Times New Roman"/>
                <w:i/>
                <w:color w:val="000000"/>
                <w:sz w:val="16"/>
                <w:szCs w:val="16"/>
              </w:rPr>
              <w:t>days</w:t>
            </w:r>
            <w:proofErr w:type="spellEnd"/>
            <w:r w:rsidR="00D048FE" w:rsidRPr="00E16672">
              <w:rPr>
                <w:rFonts w:ascii="Times New Roman" w:hAnsi="Times New Roman"/>
                <w:color w:val="000000"/>
                <w:sz w:val="16"/>
                <w:szCs w:val="16"/>
              </w:rPr>
              <w:t xml:space="preserve"> </w:t>
            </w:r>
            <w:proofErr w:type="spellStart"/>
            <w:r w:rsidR="00D048FE" w:rsidRPr="00E16672">
              <w:rPr>
                <w:rFonts w:ascii="Times New Roman" w:hAnsi="Times New Roman"/>
                <w:color w:val="000000"/>
                <w:sz w:val="16"/>
                <w:szCs w:val="16"/>
              </w:rPr>
              <w:t>from</w:t>
            </w:r>
            <w:proofErr w:type="spellEnd"/>
            <w:r w:rsidR="00D048FE" w:rsidRPr="00E16672">
              <w:rPr>
                <w:rFonts w:ascii="Times New Roman" w:hAnsi="Times New Roman"/>
                <w:color w:val="000000"/>
                <w:sz w:val="16"/>
                <w:szCs w:val="16"/>
              </w:rPr>
              <w:t xml:space="preserve"> </w:t>
            </w:r>
            <w:proofErr w:type="spellStart"/>
            <w:r w:rsidR="00D048FE" w:rsidRPr="00E16672">
              <w:rPr>
                <w:rFonts w:ascii="Times New Roman" w:hAnsi="Times New Roman"/>
                <w:color w:val="000000"/>
                <w:sz w:val="16"/>
                <w:szCs w:val="16"/>
              </w:rPr>
              <w:t>the</w:t>
            </w:r>
            <w:proofErr w:type="spellEnd"/>
            <w:r w:rsidR="00D048FE" w:rsidRPr="00E16672">
              <w:rPr>
                <w:rFonts w:ascii="Times New Roman" w:hAnsi="Times New Roman"/>
                <w:color w:val="000000"/>
                <w:sz w:val="16"/>
                <w:szCs w:val="16"/>
              </w:rPr>
              <w:t xml:space="preserve"> </w:t>
            </w:r>
            <w:proofErr w:type="spellStart"/>
            <w:r w:rsidR="00D048FE" w:rsidRPr="00E16672">
              <w:rPr>
                <w:rFonts w:ascii="Times New Roman" w:hAnsi="Times New Roman"/>
                <w:color w:val="000000"/>
                <w:sz w:val="16"/>
                <w:szCs w:val="16"/>
              </w:rPr>
              <w:t>date</w:t>
            </w:r>
            <w:proofErr w:type="spellEnd"/>
            <w:r w:rsidR="00D048FE" w:rsidRPr="00E16672">
              <w:rPr>
                <w:rFonts w:ascii="Times New Roman" w:hAnsi="Times New Roman"/>
                <w:color w:val="000000"/>
                <w:sz w:val="16"/>
                <w:szCs w:val="16"/>
              </w:rPr>
              <w:t xml:space="preserve"> </w:t>
            </w:r>
            <w:proofErr w:type="spellStart"/>
            <w:r w:rsidR="00D048FE" w:rsidRPr="00E16672">
              <w:rPr>
                <w:rFonts w:ascii="Times New Roman" w:hAnsi="Times New Roman"/>
                <w:color w:val="000000"/>
                <w:sz w:val="16"/>
                <w:szCs w:val="16"/>
              </w:rPr>
              <w:t>of</w:t>
            </w:r>
            <w:proofErr w:type="spellEnd"/>
            <w:r w:rsidR="00D048FE" w:rsidRPr="00E16672">
              <w:rPr>
                <w:rFonts w:ascii="Times New Roman" w:hAnsi="Times New Roman"/>
                <w:color w:val="000000"/>
                <w:sz w:val="16"/>
                <w:szCs w:val="16"/>
              </w:rPr>
              <w:t xml:space="preserve"> </w:t>
            </w:r>
            <w:proofErr w:type="spellStart"/>
            <w:r w:rsidR="00D048FE" w:rsidRPr="00E16672">
              <w:rPr>
                <w:rFonts w:ascii="Times New Roman" w:hAnsi="Times New Roman"/>
                <w:color w:val="000000"/>
                <w:sz w:val="16"/>
                <w:szCs w:val="16"/>
              </w:rPr>
              <w:t>beginning</w:t>
            </w:r>
            <w:proofErr w:type="spellEnd"/>
            <w:r w:rsidR="00D048FE" w:rsidRPr="00E16672">
              <w:rPr>
                <w:rFonts w:ascii="Times New Roman" w:hAnsi="Times New Roman"/>
                <w:color w:val="000000"/>
                <w:sz w:val="16"/>
                <w:szCs w:val="16"/>
              </w:rPr>
              <w:t xml:space="preserve"> </w:t>
            </w:r>
            <w:proofErr w:type="spellStart"/>
            <w:r w:rsidR="00D048FE" w:rsidRPr="00E16672">
              <w:rPr>
                <w:rFonts w:ascii="Times New Roman" w:hAnsi="Times New Roman"/>
                <w:color w:val="000000"/>
                <w:sz w:val="16"/>
                <w:szCs w:val="16"/>
              </w:rPr>
              <w:t>of</w:t>
            </w:r>
            <w:proofErr w:type="spellEnd"/>
            <w:r w:rsidR="00D048FE" w:rsidRPr="00E16672">
              <w:rPr>
                <w:rFonts w:ascii="Times New Roman" w:hAnsi="Times New Roman"/>
                <w:color w:val="000000"/>
                <w:sz w:val="16"/>
                <w:szCs w:val="16"/>
              </w:rPr>
              <w:t xml:space="preserve"> </w:t>
            </w:r>
            <w:proofErr w:type="spellStart"/>
            <w:r w:rsidR="00D048FE" w:rsidRPr="00E16672">
              <w:rPr>
                <w:rFonts w:ascii="Times New Roman" w:hAnsi="Times New Roman"/>
                <w:color w:val="000000"/>
                <w:sz w:val="16"/>
                <w:szCs w:val="16"/>
              </w:rPr>
              <w:t>the</w:t>
            </w:r>
            <w:proofErr w:type="spellEnd"/>
            <w:r w:rsidR="00D048FE" w:rsidRPr="00E16672">
              <w:rPr>
                <w:rFonts w:ascii="Times New Roman" w:hAnsi="Times New Roman"/>
                <w:color w:val="000000"/>
                <w:sz w:val="16"/>
                <w:szCs w:val="16"/>
              </w:rPr>
              <w:t xml:space="preserve"> </w:t>
            </w:r>
            <w:proofErr w:type="spellStart"/>
            <w:r w:rsidR="00D048FE" w:rsidRPr="00E16672">
              <w:rPr>
                <w:rFonts w:ascii="Times New Roman" w:hAnsi="Times New Roman"/>
                <w:color w:val="000000"/>
                <w:sz w:val="16"/>
                <w:szCs w:val="16"/>
              </w:rPr>
              <w:t>procedure</w:t>
            </w:r>
            <w:proofErr w:type="spellEnd"/>
            <w:r w:rsidRPr="00E16672">
              <w:rPr>
                <w:rFonts w:ascii="Times New Roman" w:hAnsi="Times New Roman"/>
                <w:color w:val="000000"/>
                <w:sz w:val="16"/>
                <w:szCs w:val="16"/>
              </w:rPr>
              <w:t>.</w:t>
            </w:r>
          </w:p>
          <w:p w14:paraId="297B53AF" w14:textId="77777777" w:rsidR="005C5318" w:rsidRPr="00E16672" w:rsidRDefault="005C5318" w:rsidP="005C5318">
            <w:pPr>
              <w:tabs>
                <w:tab w:val="left" w:pos="851"/>
                <w:tab w:val="left" w:pos="7200"/>
              </w:tabs>
              <w:snapToGrid w:val="0"/>
              <w:ind w:left="142" w:right="138" w:firstLine="0"/>
              <w:rPr>
                <w:rFonts w:ascii="Times New Roman" w:hAnsi="Times New Roman"/>
                <w:color w:val="000000"/>
                <w:sz w:val="16"/>
                <w:szCs w:val="16"/>
                <w:lang w:val="en-US"/>
              </w:rPr>
            </w:pPr>
            <w:r w:rsidRPr="00F23413">
              <w:rPr>
                <w:rFonts w:ascii="Times New Roman" w:hAnsi="Times New Roman"/>
                <w:sz w:val="16"/>
                <w:szCs w:val="16"/>
                <w:lang w:val="en-US"/>
              </w:rPr>
              <w:t xml:space="preserve">The notice is given by placing on the official website of the Depository </w:t>
            </w:r>
            <w:r w:rsidR="00E16672">
              <w:rPr>
                <w:rFonts w:ascii="Times New Roman" w:hAnsi="Times New Roman"/>
                <w:bCs/>
                <w:color w:val="000000"/>
                <w:sz w:val="16"/>
                <w:szCs w:val="16"/>
                <w:lang w:val="uk-UA"/>
              </w:rPr>
              <w:t>http://comex.uafin.net</w:t>
            </w:r>
            <w:r w:rsidRPr="00E16672">
              <w:rPr>
                <w:rFonts w:ascii="Times New Roman" w:hAnsi="Times New Roman"/>
                <w:bCs/>
                <w:color w:val="000000"/>
                <w:sz w:val="16"/>
                <w:szCs w:val="16"/>
                <w:lang w:val="uk-UA"/>
              </w:rPr>
              <w:t>/.</w:t>
            </w:r>
          </w:p>
          <w:p w14:paraId="7B463504" w14:textId="77777777" w:rsidR="005C5318" w:rsidRPr="00E16672" w:rsidRDefault="005C5318" w:rsidP="005C5318">
            <w:pPr>
              <w:pStyle w:val="210"/>
              <w:ind w:left="145" w:right="100" w:firstLine="0"/>
              <w:rPr>
                <w:rFonts w:ascii="Times New Roman" w:hAnsi="Times New Roman"/>
                <w:color w:val="000000"/>
                <w:sz w:val="16"/>
                <w:szCs w:val="16"/>
                <w:lang w:val="en-GB"/>
              </w:rPr>
            </w:pPr>
            <w:r w:rsidRPr="00E16672">
              <w:rPr>
                <w:rFonts w:ascii="Times New Roman" w:hAnsi="Times New Roman"/>
                <w:color w:val="000000"/>
                <w:sz w:val="16"/>
                <w:szCs w:val="16"/>
                <w:lang w:val="en-GB"/>
              </w:rPr>
              <w:t xml:space="preserve"> </w:t>
            </w:r>
          </w:p>
        </w:tc>
      </w:tr>
      <w:tr w:rsidR="005C5318" w:rsidRPr="00F23413" w14:paraId="461D9173" w14:textId="77777777" w:rsidTr="005E418B">
        <w:trPr>
          <w:trHeight w:val="192"/>
        </w:trPr>
        <w:tc>
          <w:tcPr>
            <w:tcW w:w="5695" w:type="dxa"/>
            <w:gridSpan w:val="6"/>
            <w:shd w:val="clear" w:color="auto" w:fill="auto"/>
          </w:tcPr>
          <w:p w14:paraId="1C60E420" w14:textId="77777777" w:rsidR="005C5318" w:rsidRPr="00E16672" w:rsidRDefault="005C5318" w:rsidP="005C5318">
            <w:pPr>
              <w:pStyle w:val="1b"/>
              <w:snapToGrid w:val="0"/>
              <w:spacing w:before="0" w:after="0"/>
              <w:ind w:left="142" w:right="138" w:firstLine="0"/>
              <w:rPr>
                <w:rFonts w:ascii="Times New Roman" w:hAnsi="Times New Roman" w:cs="Times New Roman"/>
                <w:color w:val="000000"/>
                <w:sz w:val="16"/>
                <w:szCs w:val="16"/>
              </w:rPr>
            </w:pPr>
          </w:p>
          <w:p w14:paraId="4C1C60D0" w14:textId="77777777" w:rsidR="005C5318" w:rsidRPr="00E16672" w:rsidRDefault="005C5318" w:rsidP="005C5318">
            <w:pPr>
              <w:pStyle w:val="1b"/>
              <w:snapToGrid w:val="0"/>
              <w:spacing w:before="0" w:after="0"/>
              <w:ind w:left="142" w:right="138" w:firstLine="0"/>
              <w:rPr>
                <w:rFonts w:ascii="Times New Roman" w:hAnsi="Times New Roman" w:cs="Times New Roman"/>
                <w:color w:val="000000"/>
                <w:sz w:val="16"/>
                <w:szCs w:val="16"/>
              </w:rPr>
            </w:pPr>
            <w:r w:rsidRPr="00E16672">
              <w:rPr>
                <w:rFonts w:ascii="Times New Roman" w:hAnsi="Times New Roman" w:cs="Times New Roman"/>
                <w:color w:val="000000"/>
                <w:sz w:val="16"/>
                <w:szCs w:val="16"/>
              </w:rPr>
              <w:t>2.1.1</w:t>
            </w:r>
            <w:r w:rsidRPr="00E16672">
              <w:rPr>
                <w:rFonts w:ascii="Times New Roman" w:hAnsi="Times New Roman" w:cs="Times New Roman"/>
                <w:color w:val="000000"/>
                <w:sz w:val="16"/>
                <w:szCs w:val="16"/>
                <w:lang w:val="ru-RU"/>
              </w:rPr>
              <w:t>6</w:t>
            </w:r>
            <w:r w:rsidRPr="00E16672">
              <w:rPr>
                <w:rFonts w:ascii="Times New Roman" w:hAnsi="Times New Roman" w:cs="Times New Roman"/>
                <w:color w:val="000000"/>
                <w:sz w:val="16"/>
                <w:szCs w:val="16"/>
              </w:rPr>
              <w:t xml:space="preserve">. Закрити рахунок </w:t>
            </w:r>
            <w:r w:rsidR="00C22309" w:rsidRPr="00E16672">
              <w:rPr>
                <w:rFonts w:ascii="Times New Roman" w:hAnsi="Times New Roman" w:cs="Times New Roman"/>
                <w:color w:val="000000"/>
                <w:sz w:val="16"/>
                <w:szCs w:val="16"/>
              </w:rPr>
              <w:t>в цін</w:t>
            </w:r>
            <w:r w:rsidRPr="00E16672">
              <w:rPr>
                <w:rFonts w:ascii="Times New Roman" w:hAnsi="Times New Roman" w:cs="Times New Roman"/>
                <w:color w:val="000000"/>
                <w:sz w:val="16"/>
                <w:szCs w:val="16"/>
              </w:rPr>
              <w:t>них паперах Депонента у порядку, передбаченому</w:t>
            </w:r>
            <w:r w:rsidRPr="00E16672">
              <w:rPr>
                <w:rFonts w:ascii="Times New Roman" w:hAnsi="Times New Roman" w:cs="Times New Roman"/>
                <w:color w:val="000000"/>
              </w:rPr>
              <w:t xml:space="preserve"> </w:t>
            </w:r>
            <w:r w:rsidRPr="00E16672">
              <w:rPr>
                <w:rFonts w:ascii="Times New Roman" w:hAnsi="Times New Roman" w:cs="Times New Roman"/>
                <w:color w:val="000000"/>
                <w:sz w:val="16"/>
                <w:szCs w:val="16"/>
              </w:rPr>
              <w:t>цим Договором та законодавством, внутрішніми документами Депозитарної установи.</w:t>
            </w:r>
          </w:p>
          <w:p w14:paraId="77BAE673" w14:textId="77777777" w:rsidR="005C5318" w:rsidRPr="00E16672" w:rsidRDefault="005C5318" w:rsidP="005C5318">
            <w:pPr>
              <w:pStyle w:val="WW-"/>
              <w:ind w:right="138"/>
              <w:rPr>
                <w:color w:val="000000"/>
                <w:sz w:val="10"/>
                <w:szCs w:val="10"/>
              </w:rPr>
            </w:pPr>
          </w:p>
        </w:tc>
        <w:tc>
          <w:tcPr>
            <w:tcW w:w="5495" w:type="dxa"/>
            <w:gridSpan w:val="6"/>
            <w:shd w:val="clear" w:color="auto" w:fill="auto"/>
          </w:tcPr>
          <w:p w14:paraId="5827B047" w14:textId="77777777" w:rsidR="005C5318" w:rsidRPr="00E16672" w:rsidRDefault="005C5318" w:rsidP="005C5318">
            <w:pPr>
              <w:pStyle w:val="210"/>
              <w:snapToGrid w:val="0"/>
              <w:ind w:left="145" w:right="100" w:firstLine="0"/>
              <w:rPr>
                <w:rFonts w:ascii="Times New Roman" w:hAnsi="Times New Roman"/>
                <w:color w:val="000000"/>
                <w:sz w:val="16"/>
                <w:szCs w:val="16"/>
              </w:rPr>
            </w:pPr>
            <w:r w:rsidRPr="00E16672">
              <w:rPr>
                <w:rFonts w:ascii="Times New Roman" w:hAnsi="Times New Roman"/>
                <w:color w:val="000000"/>
                <w:sz w:val="16"/>
                <w:szCs w:val="16"/>
              </w:rPr>
              <w:t xml:space="preserve">2.1.16. </w:t>
            </w:r>
            <w:proofErr w:type="spellStart"/>
            <w:r w:rsidRPr="00E16672">
              <w:rPr>
                <w:rFonts w:ascii="Times New Roman" w:hAnsi="Times New Roman"/>
                <w:color w:val="000000"/>
                <w:sz w:val="16"/>
                <w:szCs w:val="16"/>
              </w:rPr>
              <w:t>To</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close</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an</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account</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in</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securities</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of</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Depositor</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in</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the</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manner</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provided</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by</w:t>
            </w:r>
            <w:proofErr w:type="spellEnd"/>
            <w:r w:rsidRPr="00E16672">
              <w:rPr>
                <w:rFonts w:ascii="Times New Roman" w:hAnsi="Times New Roman"/>
                <w:color w:val="000000"/>
                <w:sz w:val="16"/>
                <w:szCs w:val="16"/>
              </w:rPr>
              <w:t xml:space="preserve"> </w:t>
            </w:r>
            <w:r w:rsidRPr="00E16672">
              <w:rPr>
                <w:rFonts w:ascii="Times New Roman" w:hAnsi="Times New Roman"/>
                <w:color w:val="000000"/>
                <w:sz w:val="16"/>
                <w:szCs w:val="16"/>
                <w:lang w:val="en-US"/>
              </w:rPr>
              <w:t xml:space="preserve"> this Agreement and </w:t>
            </w:r>
            <w:proofErr w:type="spellStart"/>
            <w:r w:rsidRPr="00E16672">
              <w:rPr>
                <w:rFonts w:ascii="Times New Roman" w:hAnsi="Times New Roman"/>
                <w:color w:val="000000"/>
                <w:sz w:val="16"/>
                <w:szCs w:val="16"/>
              </w:rPr>
              <w:t>legislation</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internal</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documents</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of</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Depository</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institution</w:t>
            </w:r>
            <w:proofErr w:type="spellEnd"/>
            <w:r w:rsidRPr="00E16672">
              <w:rPr>
                <w:rFonts w:ascii="Times New Roman" w:hAnsi="Times New Roman"/>
                <w:color w:val="000000"/>
                <w:sz w:val="16"/>
                <w:szCs w:val="16"/>
              </w:rPr>
              <w:t>.</w:t>
            </w:r>
          </w:p>
          <w:p w14:paraId="05A28038" w14:textId="77777777" w:rsidR="005C5318" w:rsidRPr="00E16672" w:rsidRDefault="005C5318" w:rsidP="005C5318">
            <w:pPr>
              <w:ind w:left="145" w:right="100"/>
              <w:jc w:val="center"/>
              <w:rPr>
                <w:rFonts w:ascii="Times New Roman" w:hAnsi="Times New Roman"/>
                <w:b/>
                <w:bCs/>
                <w:color w:val="000000"/>
                <w:sz w:val="16"/>
                <w:szCs w:val="16"/>
                <w:lang w:val="en-GB"/>
              </w:rPr>
            </w:pPr>
          </w:p>
        </w:tc>
      </w:tr>
      <w:tr w:rsidR="005C5318" w:rsidRPr="00F23413" w14:paraId="266B3CDB" w14:textId="77777777" w:rsidTr="005E418B">
        <w:trPr>
          <w:trHeight w:val="192"/>
        </w:trPr>
        <w:tc>
          <w:tcPr>
            <w:tcW w:w="5695" w:type="dxa"/>
            <w:gridSpan w:val="6"/>
            <w:shd w:val="clear" w:color="auto" w:fill="auto"/>
          </w:tcPr>
          <w:p w14:paraId="7761CFF3" w14:textId="77777777" w:rsidR="005C5318" w:rsidRPr="00E16672" w:rsidRDefault="005C5318" w:rsidP="00022F5F">
            <w:pPr>
              <w:tabs>
                <w:tab w:val="left" w:pos="851"/>
                <w:tab w:val="left" w:pos="7200"/>
              </w:tabs>
              <w:snapToGrid w:val="0"/>
              <w:ind w:left="142" w:right="138" w:firstLine="0"/>
              <w:jc w:val="left"/>
              <w:rPr>
                <w:rFonts w:ascii="Times New Roman" w:eastAsia="Lucida Sans Unicode" w:hAnsi="Times New Roman"/>
                <w:kern w:val="1"/>
                <w:sz w:val="16"/>
                <w:szCs w:val="16"/>
                <w:lang w:val="uk-UA" w:eastAsia="hi-IN" w:bidi="hi-IN"/>
              </w:rPr>
            </w:pPr>
            <w:r w:rsidRPr="00E16672">
              <w:rPr>
                <w:rFonts w:ascii="Times New Roman" w:eastAsia="Lucida Sans Unicode" w:hAnsi="Times New Roman"/>
                <w:sz w:val="16"/>
                <w:szCs w:val="16"/>
                <w:lang w:val="uk-UA"/>
              </w:rPr>
              <w:t xml:space="preserve">2.1.17. </w:t>
            </w:r>
            <w:r w:rsidRPr="00E16672">
              <w:rPr>
                <w:rFonts w:ascii="Times New Roman" w:eastAsia="Lucida Sans Unicode" w:hAnsi="Times New Roman"/>
                <w:kern w:val="1"/>
                <w:sz w:val="16"/>
                <w:szCs w:val="16"/>
                <w:lang w:val="uk-UA" w:eastAsia="hi-IN" w:bidi="hi-IN"/>
              </w:rPr>
              <w:t>Направляти у встановленому законодавством порядку депоненту, який є власником акцій акціонерного товариства на визначену відповідно до закону дату, повідомлення у разі направлення відповідним акціонерним товариством повідомлення акціонерам через депозитарну систему України відповідно до </w:t>
            </w:r>
            <w:hyperlink r:id="rId22" w:anchor="n3" w:tgtFrame="_blank" w:history="1">
              <w:r w:rsidRPr="00E16672">
                <w:rPr>
                  <w:rFonts w:ascii="Times New Roman" w:eastAsia="Lucida Sans Unicode" w:hAnsi="Times New Roman"/>
                  <w:kern w:val="1"/>
                  <w:sz w:val="16"/>
                  <w:szCs w:val="16"/>
                  <w:lang w:val="uk-UA" w:eastAsia="hi-IN" w:bidi="hi-IN"/>
                </w:rPr>
                <w:t>Закону України</w:t>
              </w:r>
            </w:hyperlink>
            <w:r w:rsidRPr="00E16672">
              <w:rPr>
                <w:rFonts w:ascii="Times New Roman" w:eastAsia="Lucida Sans Unicode" w:hAnsi="Times New Roman"/>
                <w:kern w:val="1"/>
                <w:sz w:val="16"/>
                <w:szCs w:val="16"/>
                <w:lang w:val="uk-UA" w:eastAsia="hi-IN" w:bidi="hi-IN"/>
              </w:rPr>
              <w:t> </w:t>
            </w:r>
            <w:r w:rsidR="00022F5F">
              <w:rPr>
                <w:rFonts w:ascii="Times New Roman" w:eastAsia="Lucida Sans Unicode" w:hAnsi="Times New Roman"/>
                <w:kern w:val="1"/>
                <w:sz w:val="16"/>
                <w:szCs w:val="16"/>
                <w:lang w:val="uk-UA" w:eastAsia="hi-IN" w:bidi="hi-IN"/>
              </w:rPr>
              <w:t>"</w:t>
            </w:r>
            <w:r w:rsidRPr="00E16672">
              <w:rPr>
                <w:rFonts w:ascii="Times New Roman" w:eastAsia="Lucida Sans Unicode" w:hAnsi="Times New Roman"/>
                <w:kern w:val="1"/>
                <w:sz w:val="16"/>
                <w:szCs w:val="16"/>
                <w:lang w:val="uk-UA" w:eastAsia="hi-IN" w:bidi="hi-IN"/>
              </w:rPr>
              <w:t>Про акціонерні товариства</w:t>
            </w:r>
            <w:r w:rsidR="00022F5F">
              <w:rPr>
                <w:rFonts w:ascii="Times New Roman" w:eastAsia="Lucida Sans Unicode" w:hAnsi="Times New Roman"/>
                <w:kern w:val="1"/>
                <w:sz w:val="16"/>
                <w:szCs w:val="16"/>
                <w:lang w:val="uk-UA" w:eastAsia="hi-IN" w:bidi="hi-IN"/>
              </w:rPr>
              <w:t>"</w:t>
            </w:r>
            <w:r w:rsidRPr="00E16672">
              <w:rPr>
                <w:rFonts w:ascii="Times New Roman" w:eastAsia="Lucida Sans Unicode" w:hAnsi="Times New Roman"/>
                <w:kern w:val="1"/>
                <w:sz w:val="16"/>
                <w:szCs w:val="16"/>
                <w:lang w:val="uk-UA" w:eastAsia="hi-IN" w:bidi="hi-IN"/>
              </w:rPr>
              <w:t>.</w:t>
            </w:r>
          </w:p>
          <w:p w14:paraId="7E73A20C" w14:textId="77777777" w:rsidR="005C5318" w:rsidRPr="00E16672" w:rsidRDefault="005C5318" w:rsidP="005C5318">
            <w:pPr>
              <w:tabs>
                <w:tab w:val="left" w:pos="851"/>
                <w:tab w:val="left" w:pos="7200"/>
              </w:tabs>
              <w:snapToGrid w:val="0"/>
              <w:ind w:left="142" w:right="138"/>
              <w:rPr>
                <w:rFonts w:ascii="Times New Roman" w:eastAsia="Lucida Sans Unicode" w:hAnsi="Times New Roman"/>
                <w:sz w:val="16"/>
                <w:szCs w:val="16"/>
                <w:lang w:val="uk-UA"/>
              </w:rPr>
            </w:pPr>
          </w:p>
        </w:tc>
        <w:tc>
          <w:tcPr>
            <w:tcW w:w="5495" w:type="dxa"/>
            <w:gridSpan w:val="6"/>
            <w:shd w:val="clear" w:color="auto" w:fill="auto"/>
          </w:tcPr>
          <w:p w14:paraId="351CA178" w14:textId="77777777" w:rsidR="005C5318" w:rsidRPr="00E16672" w:rsidRDefault="005C5318" w:rsidP="005C5318">
            <w:pPr>
              <w:tabs>
                <w:tab w:val="left" w:pos="851"/>
                <w:tab w:val="left" w:pos="7200"/>
              </w:tabs>
              <w:snapToGrid w:val="0"/>
              <w:ind w:left="145" w:right="100" w:firstLine="0"/>
              <w:rPr>
                <w:rFonts w:ascii="Times New Roman" w:eastAsia="Lucida Sans Unicode" w:hAnsi="Times New Roman"/>
                <w:sz w:val="16"/>
                <w:szCs w:val="16"/>
                <w:lang w:val="uk-UA"/>
              </w:rPr>
            </w:pPr>
            <w:r w:rsidRPr="00E16672">
              <w:rPr>
                <w:rFonts w:ascii="Times New Roman" w:eastAsia="Lucida Sans Unicode" w:hAnsi="Times New Roman"/>
                <w:sz w:val="16"/>
                <w:szCs w:val="16"/>
                <w:lang w:val="uk-UA"/>
              </w:rPr>
              <w:t xml:space="preserve">2.1.17. </w:t>
            </w:r>
            <w:r w:rsidRPr="00E16672">
              <w:rPr>
                <w:rFonts w:ascii="Times New Roman" w:eastAsia="Lucida Sans Unicode" w:hAnsi="Times New Roman"/>
                <w:sz w:val="16"/>
                <w:szCs w:val="16"/>
                <w:lang w:val="en-GB"/>
              </w:rPr>
              <w:t>To send in the order established by law to the depositor who owns the shares of the joint-stock company for a date determined in accordance with the law, notification in case of sending to shareholders by the relevant joint-stock company through the depository system of Ukraine in accordance with the Law of Ukraine "On Joint Stock Companies".</w:t>
            </w:r>
          </w:p>
        </w:tc>
      </w:tr>
      <w:tr w:rsidR="005C5318" w:rsidRPr="00F23413" w14:paraId="72E768CD" w14:textId="77777777" w:rsidTr="005E418B">
        <w:trPr>
          <w:trHeight w:val="192"/>
        </w:trPr>
        <w:tc>
          <w:tcPr>
            <w:tcW w:w="5695" w:type="dxa"/>
            <w:gridSpan w:val="6"/>
            <w:shd w:val="clear" w:color="auto" w:fill="auto"/>
          </w:tcPr>
          <w:p w14:paraId="7B0A633D" w14:textId="77777777" w:rsidR="005C5318" w:rsidRPr="00E16672" w:rsidRDefault="005C5318" w:rsidP="005C5318">
            <w:pPr>
              <w:tabs>
                <w:tab w:val="left" w:pos="851"/>
                <w:tab w:val="left" w:pos="7200"/>
              </w:tabs>
              <w:snapToGrid w:val="0"/>
              <w:ind w:left="142" w:right="138" w:firstLine="40"/>
              <w:rPr>
                <w:rFonts w:ascii="Times New Roman" w:eastAsia="Lucida Sans Unicode" w:hAnsi="Times New Roman"/>
                <w:strike/>
                <w:color w:val="000000"/>
                <w:kern w:val="1"/>
                <w:sz w:val="16"/>
                <w:szCs w:val="16"/>
                <w:lang w:val="uk-UA" w:eastAsia="hi-IN" w:bidi="hi-IN"/>
              </w:rPr>
            </w:pPr>
            <w:r w:rsidRPr="00E16672">
              <w:rPr>
                <w:rFonts w:ascii="Times New Roman" w:eastAsia="Lucida Sans Unicode" w:hAnsi="Times New Roman"/>
                <w:color w:val="000000"/>
                <w:sz w:val="16"/>
                <w:szCs w:val="16"/>
              </w:rPr>
              <w:t>2.1.1</w:t>
            </w:r>
            <w:r w:rsidRPr="00E16672">
              <w:rPr>
                <w:rFonts w:ascii="Times New Roman" w:eastAsia="Lucida Sans Unicode" w:hAnsi="Times New Roman"/>
                <w:color w:val="000000"/>
                <w:sz w:val="16"/>
                <w:szCs w:val="16"/>
                <w:lang w:val="uk-UA"/>
              </w:rPr>
              <w:t>8</w:t>
            </w:r>
            <w:r w:rsidRPr="00E16672">
              <w:rPr>
                <w:rFonts w:ascii="Times New Roman" w:eastAsia="Lucida Sans Unicode" w:hAnsi="Times New Roman"/>
                <w:color w:val="000000"/>
                <w:sz w:val="16"/>
                <w:szCs w:val="16"/>
              </w:rPr>
              <w:t xml:space="preserve">. </w:t>
            </w:r>
            <w:proofErr w:type="spellStart"/>
            <w:r w:rsidRPr="00E16672">
              <w:rPr>
                <w:rFonts w:ascii="Times New Roman" w:eastAsia="Lucida Sans Unicode" w:hAnsi="Times New Roman"/>
                <w:color w:val="000000"/>
                <w:sz w:val="16"/>
                <w:szCs w:val="16"/>
              </w:rPr>
              <w:t>Ідентифікувати</w:t>
            </w:r>
            <w:proofErr w:type="spellEnd"/>
            <w:r w:rsidRPr="00E16672">
              <w:rPr>
                <w:rFonts w:ascii="Times New Roman" w:eastAsia="Lucida Sans Unicode" w:hAnsi="Times New Roman"/>
                <w:color w:val="000000"/>
                <w:sz w:val="16"/>
                <w:szCs w:val="16"/>
              </w:rPr>
              <w:t xml:space="preserve"> </w:t>
            </w:r>
            <w:r w:rsidRPr="00E16672">
              <w:rPr>
                <w:rFonts w:ascii="Times New Roman" w:hAnsi="Times New Roman"/>
                <w:color w:val="000000"/>
                <w:sz w:val="16"/>
                <w:szCs w:val="16"/>
              </w:rPr>
              <w:t xml:space="preserve">та </w:t>
            </w:r>
            <w:proofErr w:type="spellStart"/>
            <w:r w:rsidRPr="00E16672">
              <w:rPr>
                <w:rFonts w:ascii="Times New Roman" w:hAnsi="Times New Roman"/>
                <w:color w:val="000000"/>
                <w:sz w:val="16"/>
                <w:szCs w:val="16"/>
              </w:rPr>
              <w:t>верифікувати</w:t>
            </w:r>
            <w:proofErr w:type="spellEnd"/>
            <w:r w:rsidRPr="00E16672">
              <w:rPr>
                <w:rFonts w:ascii="Times New Roman" w:hAnsi="Times New Roman"/>
                <w:color w:val="000000"/>
                <w:sz w:val="16"/>
                <w:szCs w:val="16"/>
              </w:rPr>
              <w:t xml:space="preserve"> </w:t>
            </w:r>
            <w:proofErr w:type="spellStart"/>
            <w:r w:rsidRPr="00E16672">
              <w:rPr>
                <w:rFonts w:ascii="Times New Roman" w:eastAsia="Lucida Sans Unicode" w:hAnsi="Times New Roman"/>
                <w:color w:val="000000"/>
                <w:sz w:val="16"/>
                <w:szCs w:val="16"/>
              </w:rPr>
              <w:t>осіб</w:t>
            </w:r>
            <w:proofErr w:type="spellEnd"/>
            <w:r w:rsidRPr="00E16672">
              <w:rPr>
                <w:rFonts w:ascii="Times New Roman" w:eastAsia="Lucida Sans Unicode" w:hAnsi="Times New Roman"/>
                <w:color w:val="000000"/>
                <w:sz w:val="16"/>
                <w:szCs w:val="16"/>
              </w:rPr>
              <w:t xml:space="preserve">, </w:t>
            </w:r>
            <w:proofErr w:type="spellStart"/>
            <w:r w:rsidRPr="00E16672">
              <w:rPr>
                <w:rFonts w:ascii="Times New Roman" w:eastAsia="Lucida Sans Unicode" w:hAnsi="Times New Roman"/>
                <w:color w:val="000000"/>
                <w:sz w:val="16"/>
                <w:szCs w:val="16"/>
              </w:rPr>
              <w:t>яким</w:t>
            </w:r>
            <w:proofErr w:type="spellEnd"/>
            <w:r w:rsidRPr="00E16672">
              <w:rPr>
                <w:rFonts w:ascii="Times New Roman" w:eastAsia="Lucida Sans Unicode" w:hAnsi="Times New Roman"/>
                <w:color w:val="000000"/>
                <w:sz w:val="16"/>
                <w:szCs w:val="16"/>
              </w:rPr>
              <w:t xml:space="preserve"> на </w:t>
            </w:r>
            <w:proofErr w:type="spellStart"/>
            <w:r w:rsidRPr="00E16672">
              <w:rPr>
                <w:rFonts w:ascii="Times New Roman" w:eastAsia="Lucida Sans Unicode" w:hAnsi="Times New Roman"/>
                <w:color w:val="000000"/>
                <w:sz w:val="16"/>
                <w:szCs w:val="16"/>
              </w:rPr>
              <w:t>підставі</w:t>
            </w:r>
            <w:proofErr w:type="spellEnd"/>
            <w:r w:rsidRPr="00E16672">
              <w:rPr>
                <w:rFonts w:ascii="Times New Roman" w:eastAsia="Lucida Sans Unicode" w:hAnsi="Times New Roman"/>
                <w:color w:val="000000"/>
                <w:sz w:val="16"/>
                <w:szCs w:val="16"/>
              </w:rPr>
              <w:t xml:space="preserve"> Договору </w:t>
            </w:r>
            <w:proofErr w:type="spellStart"/>
            <w:r w:rsidRPr="00E16672">
              <w:rPr>
                <w:rFonts w:ascii="Times New Roman" w:eastAsia="Lucida Sans Unicode" w:hAnsi="Times New Roman"/>
                <w:color w:val="000000"/>
                <w:sz w:val="16"/>
                <w:szCs w:val="16"/>
              </w:rPr>
              <w:t>відкривається</w:t>
            </w:r>
            <w:proofErr w:type="spellEnd"/>
            <w:r w:rsidRPr="00E16672">
              <w:rPr>
                <w:rFonts w:ascii="Times New Roman" w:eastAsia="Lucida Sans Unicode" w:hAnsi="Times New Roman"/>
                <w:color w:val="000000"/>
                <w:sz w:val="16"/>
                <w:szCs w:val="16"/>
              </w:rPr>
              <w:t xml:space="preserve"> </w:t>
            </w:r>
            <w:proofErr w:type="spellStart"/>
            <w:r w:rsidRPr="00E16672">
              <w:rPr>
                <w:rFonts w:ascii="Times New Roman" w:eastAsia="Lucida Sans Unicode" w:hAnsi="Times New Roman"/>
                <w:color w:val="000000"/>
                <w:sz w:val="16"/>
                <w:szCs w:val="16"/>
              </w:rPr>
              <w:t>рахунок</w:t>
            </w:r>
            <w:proofErr w:type="spellEnd"/>
            <w:r w:rsidRPr="00E16672">
              <w:rPr>
                <w:rFonts w:ascii="Times New Roman" w:eastAsia="Lucida Sans Unicode" w:hAnsi="Times New Roman"/>
                <w:color w:val="000000"/>
                <w:sz w:val="16"/>
                <w:szCs w:val="16"/>
              </w:rPr>
              <w:t xml:space="preserve"> в </w:t>
            </w:r>
            <w:proofErr w:type="spellStart"/>
            <w:r w:rsidRPr="00E16672">
              <w:rPr>
                <w:rFonts w:ascii="Times New Roman" w:eastAsia="Lucida Sans Unicode" w:hAnsi="Times New Roman"/>
                <w:color w:val="000000"/>
                <w:sz w:val="16"/>
                <w:szCs w:val="16"/>
              </w:rPr>
              <w:t>цінних</w:t>
            </w:r>
            <w:proofErr w:type="spellEnd"/>
            <w:r w:rsidRPr="00E16672">
              <w:rPr>
                <w:rFonts w:ascii="Times New Roman" w:eastAsia="Lucida Sans Unicode" w:hAnsi="Times New Roman"/>
                <w:color w:val="000000"/>
                <w:sz w:val="16"/>
                <w:szCs w:val="16"/>
              </w:rPr>
              <w:t xml:space="preserve"> </w:t>
            </w:r>
            <w:proofErr w:type="spellStart"/>
            <w:r w:rsidRPr="00E16672">
              <w:rPr>
                <w:rFonts w:ascii="Times New Roman" w:eastAsia="Lucida Sans Unicode" w:hAnsi="Times New Roman"/>
                <w:color w:val="000000"/>
                <w:sz w:val="16"/>
                <w:szCs w:val="16"/>
              </w:rPr>
              <w:t>паперах</w:t>
            </w:r>
            <w:proofErr w:type="spellEnd"/>
            <w:r w:rsidRPr="00E16672">
              <w:rPr>
                <w:rFonts w:ascii="Times New Roman" w:eastAsia="Lucida Sans Unicode" w:hAnsi="Times New Roman"/>
                <w:color w:val="000000"/>
                <w:sz w:val="16"/>
                <w:szCs w:val="16"/>
              </w:rPr>
              <w:t xml:space="preserve">, а </w:t>
            </w:r>
            <w:proofErr w:type="spellStart"/>
            <w:r w:rsidRPr="00E16672">
              <w:rPr>
                <w:rFonts w:ascii="Times New Roman" w:eastAsia="Lucida Sans Unicode" w:hAnsi="Times New Roman"/>
                <w:color w:val="000000"/>
                <w:sz w:val="16"/>
                <w:szCs w:val="16"/>
              </w:rPr>
              <w:t>також</w:t>
            </w:r>
            <w:proofErr w:type="spellEnd"/>
            <w:r w:rsidRPr="00E16672">
              <w:rPr>
                <w:rFonts w:ascii="Times New Roman" w:eastAsia="Lucida Sans Unicode" w:hAnsi="Times New Roman"/>
                <w:color w:val="000000"/>
                <w:sz w:val="16"/>
                <w:szCs w:val="16"/>
              </w:rPr>
              <w:t xml:space="preserve"> </w:t>
            </w:r>
            <w:proofErr w:type="spellStart"/>
            <w:r w:rsidRPr="00E16672">
              <w:rPr>
                <w:rFonts w:ascii="Times New Roman" w:eastAsia="Lucida Sans Unicode" w:hAnsi="Times New Roman"/>
                <w:color w:val="000000"/>
                <w:sz w:val="16"/>
                <w:szCs w:val="16"/>
              </w:rPr>
              <w:t>осіб</w:t>
            </w:r>
            <w:proofErr w:type="spellEnd"/>
            <w:r w:rsidRPr="00E16672">
              <w:rPr>
                <w:rFonts w:ascii="Times New Roman" w:eastAsia="Lucida Sans Unicode" w:hAnsi="Times New Roman"/>
                <w:color w:val="000000"/>
                <w:sz w:val="16"/>
                <w:szCs w:val="16"/>
              </w:rPr>
              <w:t xml:space="preserve">, </w:t>
            </w:r>
            <w:proofErr w:type="spellStart"/>
            <w:r w:rsidRPr="00E16672">
              <w:rPr>
                <w:rFonts w:ascii="Times New Roman" w:eastAsia="Lucida Sans Unicode" w:hAnsi="Times New Roman"/>
                <w:color w:val="000000"/>
                <w:sz w:val="16"/>
                <w:szCs w:val="16"/>
              </w:rPr>
              <w:t>що</w:t>
            </w:r>
            <w:proofErr w:type="spellEnd"/>
            <w:r w:rsidRPr="00E16672">
              <w:rPr>
                <w:rFonts w:ascii="Times New Roman" w:eastAsia="Lucida Sans Unicode" w:hAnsi="Times New Roman"/>
                <w:color w:val="000000"/>
                <w:sz w:val="16"/>
                <w:szCs w:val="16"/>
              </w:rPr>
              <w:t xml:space="preserve"> </w:t>
            </w:r>
            <w:proofErr w:type="spellStart"/>
            <w:r w:rsidRPr="00E16672">
              <w:rPr>
                <w:rFonts w:ascii="Times New Roman" w:eastAsia="Lucida Sans Unicode" w:hAnsi="Times New Roman"/>
                <w:color w:val="000000"/>
                <w:sz w:val="16"/>
                <w:szCs w:val="16"/>
              </w:rPr>
              <w:t>мають</w:t>
            </w:r>
            <w:proofErr w:type="spellEnd"/>
            <w:r w:rsidRPr="00E16672">
              <w:rPr>
                <w:rFonts w:ascii="Times New Roman" w:eastAsia="Lucida Sans Unicode" w:hAnsi="Times New Roman"/>
                <w:color w:val="000000"/>
                <w:sz w:val="16"/>
                <w:szCs w:val="16"/>
              </w:rPr>
              <w:t xml:space="preserve"> </w:t>
            </w:r>
            <w:proofErr w:type="spellStart"/>
            <w:r w:rsidRPr="00E16672">
              <w:rPr>
                <w:rFonts w:ascii="Times New Roman" w:eastAsia="Lucida Sans Unicode" w:hAnsi="Times New Roman"/>
                <w:color w:val="000000"/>
                <w:sz w:val="16"/>
                <w:szCs w:val="16"/>
              </w:rPr>
              <w:t>повноваження</w:t>
            </w:r>
            <w:proofErr w:type="spellEnd"/>
            <w:r w:rsidRPr="00E16672">
              <w:rPr>
                <w:rFonts w:ascii="Times New Roman" w:eastAsia="Lucida Sans Unicode" w:hAnsi="Times New Roman"/>
                <w:color w:val="000000"/>
                <w:sz w:val="16"/>
                <w:szCs w:val="16"/>
              </w:rPr>
              <w:t xml:space="preserve"> </w:t>
            </w:r>
            <w:proofErr w:type="spellStart"/>
            <w:r w:rsidRPr="00E16672">
              <w:rPr>
                <w:rFonts w:ascii="Times New Roman" w:eastAsia="Lucida Sans Unicode" w:hAnsi="Times New Roman"/>
                <w:color w:val="000000"/>
                <w:sz w:val="16"/>
                <w:szCs w:val="16"/>
              </w:rPr>
              <w:t>діяти</w:t>
            </w:r>
            <w:proofErr w:type="spellEnd"/>
            <w:r w:rsidRPr="00E16672">
              <w:rPr>
                <w:rFonts w:ascii="Times New Roman" w:eastAsia="Lucida Sans Unicode" w:hAnsi="Times New Roman"/>
                <w:color w:val="000000"/>
                <w:sz w:val="16"/>
                <w:szCs w:val="16"/>
              </w:rPr>
              <w:t xml:space="preserve"> </w:t>
            </w:r>
            <w:proofErr w:type="spellStart"/>
            <w:r w:rsidRPr="00E16672">
              <w:rPr>
                <w:rFonts w:ascii="Times New Roman" w:eastAsia="Lucida Sans Unicode" w:hAnsi="Times New Roman"/>
                <w:color w:val="000000"/>
                <w:sz w:val="16"/>
                <w:szCs w:val="16"/>
              </w:rPr>
              <w:t>від</w:t>
            </w:r>
            <w:proofErr w:type="spellEnd"/>
            <w:r w:rsidRPr="00E16672">
              <w:rPr>
                <w:rFonts w:ascii="Times New Roman" w:eastAsia="Lucida Sans Unicode" w:hAnsi="Times New Roman"/>
                <w:color w:val="000000"/>
                <w:sz w:val="16"/>
                <w:szCs w:val="16"/>
              </w:rPr>
              <w:t xml:space="preserve"> </w:t>
            </w:r>
            <w:proofErr w:type="spellStart"/>
            <w:r w:rsidRPr="00E16672">
              <w:rPr>
                <w:rFonts w:ascii="Times New Roman" w:eastAsia="Lucida Sans Unicode" w:hAnsi="Times New Roman"/>
                <w:color w:val="000000"/>
                <w:sz w:val="16"/>
                <w:szCs w:val="16"/>
              </w:rPr>
              <w:t>їх</w:t>
            </w:r>
            <w:proofErr w:type="spellEnd"/>
            <w:r w:rsidRPr="00E16672">
              <w:rPr>
                <w:rFonts w:ascii="Times New Roman" w:eastAsia="Lucida Sans Unicode" w:hAnsi="Times New Roman"/>
                <w:color w:val="000000"/>
                <w:sz w:val="16"/>
                <w:szCs w:val="16"/>
              </w:rPr>
              <w:t xml:space="preserve"> </w:t>
            </w:r>
            <w:proofErr w:type="spellStart"/>
            <w:r w:rsidRPr="00E16672">
              <w:rPr>
                <w:rFonts w:ascii="Times New Roman" w:eastAsia="Lucida Sans Unicode" w:hAnsi="Times New Roman"/>
                <w:color w:val="000000"/>
                <w:sz w:val="16"/>
                <w:szCs w:val="16"/>
              </w:rPr>
              <w:t>імені</w:t>
            </w:r>
            <w:proofErr w:type="spellEnd"/>
            <w:r w:rsidRPr="00E16672">
              <w:rPr>
                <w:rFonts w:ascii="Times New Roman" w:eastAsia="Lucida Sans Unicode" w:hAnsi="Times New Roman"/>
                <w:color w:val="000000"/>
                <w:sz w:val="16"/>
                <w:szCs w:val="16"/>
              </w:rPr>
              <w:t xml:space="preserve">, </w:t>
            </w:r>
            <w:proofErr w:type="gramStart"/>
            <w:r w:rsidRPr="00E16672">
              <w:rPr>
                <w:rFonts w:ascii="Times New Roman" w:eastAsia="Lucida Sans Unicode" w:hAnsi="Times New Roman"/>
                <w:color w:val="000000"/>
                <w:sz w:val="16"/>
                <w:szCs w:val="16"/>
              </w:rPr>
              <w:t>у порядку</w:t>
            </w:r>
            <w:proofErr w:type="gramEnd"/>
            <w:r w:rsidRPr="00E16672">
              <w:rPr>
                <w:rFonts w:ascii="Times New Roman" w:eastAsia="Lucida Sans Unicode" w:hAnsi="Times New Roman"/>
                <w:color w:val="000000"/>
                <w:sz w:val="16"/>
                <w:szCs w:val="16"/>
              </w:rPr>
              <w:t xml:space="preserve">, </w:t>
            </w:r>
            <w:proofErr w:type="spellStart"/>
            <w:r w:rsidRPr="00E16672">
              <w:rPr>
                <w:rFonts w:ascii="Times New Roman" w:eastAsia="Lucida Sans Unicode" w:hAnsi="Times New Roman"/>
                <w:color w:val="000000"/>
                <w:sz w:val="16"/>
                <w:szCs w:val="16"/>
              </w:rPr>
              <w:t>установленому</w:t>
            </w:r>
            <w:proofErr w:type="spellEnd"/>
            <w:r w:rsidRPr="00E16672">
              <w:rPr>
                <w:rFonts w:ascii="Times New Roman" w:eastAsia="Lucida Sans Unicode" w:hAnsi="Times New Roman"/>
                <w:color w:val="000000"/>
                <w:sz w:val="16"/>
                <w:szCs w:val="16"/>
              </w:rPr>
              <w:t xml:space="preserve"> </w:t>
            </w:r>
            <w:proofErr w:type="spellStart"/>
            <w:r w:rsidRPr="00E16672">
              <w:rPr>
                <w:rFonts w:ascii="Times New Roman" w:eastAsia="Lucida Sans Unicode" w:hAnsi="Times New Roman"/>
                <w:color w:val="000000"/>
                <w:sz w:val="16"/>
                <w:szCs w:val="16"/>
              </w:rPr>
              <w:t>законодавством</w:t>
            </w:r>
            <w:proofErr w:type="spellEnd"/>
            <w:r w:rsidRPr="00E16672">
              <w:rPr>
                <w:rFonts w:ascii="Times New Roman" w:eastAsia="Lucida Sans Unicode" w:hAnsi="Times New Roman"/>
                <w:color w:val="000000"/>
                <w:sz w:val="16"/>
                <w:szCs w:val="16"/>
              </w:rPr>
              <w:t xml:space="preserve"> </w:t>
            </w:r>
            <w:proofErr w:type="spellStart"/>
            <w:r w:rsidRPr="00E16672">
              <w:rPr>
                <w:rFonts w:ascii="Times New Roman" w:eastAsia="Lucida Sans Unicode" w:hAnsi="Times New Roman"/>
                <w:color w:val="000000"/>
                <w:sz w:val="16"/>
                <w:szCs w:val="16"/>
              </w:rPr>
              <w:t>України</w:t>
            </w:r>
            <w:proofErr w:type="spellEnd"/>
            <w:r w:rsidRPr="00E16672">
              <w:rPr>
                <w:rFonts w:ascii="Times New Roman" w:eastAsia="Lucida Sans Unicode" w:hAnsi="Times New Roman"/>
                <w:color w:val="000000"/>
                <w:sz w:val="16"/>
                <w:szCs w:val="16"/>
              </w:rPr>
              <w:t xml:space="preserve">. </w:t>
            </w:r>
          </w:p>
          <w:p w14:paraId="588E1884" w14:textId="77777777" w:rsidR="005C5318" w:rsidRPr="00E16672" w:rsidRDefault="005C5318" w:rsidP="005C5318">
            <w:pPr>
              <w:tabs>
                <w:tab w:val="left" w:pos="360"/>
              </w:tabs>
              <w:ind w:left="142" w:right="138" w:firstLine="40"/>
              <w:rPr>
                <w:rStyle w:val="rvts0"/>
                <w:rFonts w:ascii="Times New Roman" w:hAnsi="Times New Roman"/>
                <w:color w:val="000000"/>
                <w:sz w:val="16"/>
                <w:szCs w:val="16"/>
                <w:lang w:val="uk-UA"/>
              </w:rPr>
            </w:pPr>
            <w:r w:rsidRPr="00E16672">
              <w:rPr>
                <w:rStyle w:val="rvts0"/>
                <w:rFonts w:ascii="Times New Roman" w:hAnsi="Times New Roman"/>
                <w:color w:val="000000"/>
                <w:sz w:val="16"/>
                <w:szCs w:val="16"/>
                <w:lang w:val="uk-UA"/>
              </w:rPr>
              <w:t xml:space="preserve">Ідентифікація клієнта не є обов’язковою у разі проведення фінансової операції (відкриття рахунку) особами, які раніше були ідентифіковані або </w:t>
            </w:r>
            <w:proofErr w:type="spellStart"/>
            <w:r w:rsidRPr="00E16672">
              <w:rPr>
                <w:rStyle w:val="rvts0"/>
                <w:rFonts w:ascii="Times New Roman" w:hAnsi="Times New Roman"/>
                <w:color w:val="000000"/>
                <w:sz w:val="16"/>
                <w:szCs w:val="16"/>
                <w:lang w:val="uk-UA"/>
              </w:rPr>
              <w:t>верифіковані</w:t>
            </w:r>
            <w:proofErr w:type="spellEnd"/>
            <w:r w:rsidRPr="00E16672">
              <w:rPr>
                <w:rStyle w:val="rvts0"/>
                <w:rFonts w:ascii="Times New Roman" w:hAnsi="Times New Roman"/>
                <w:color w:val="000000"/>
                <w:sz w:val="16"/>
                <w:szCs w:val="16"/>
                <w:lang w:val="uk-UA"/>
              </w:rPr>
              <w:t xml:space="preserve"> Депозитарною установою згідно з вимогами закону.</w:t>
            </w:r>
          </w:p>
          <w:p w14:paraId="5E4F5572" w14:textId="77777777" w:rsidR="005C5318" w:rsidRPr="00E16672" w:rsidRDefault="005C5318" w:rsidP="005C5318">
            <w:pPr>
              <w:snapToGrid w:val="0"/>
              <w:ind w:left="142" w:right="138" w:firstLine="40"/>
              <w:rPr>
                <w:rFonts w:ascii="Times New Roman" w:hAnsi="Times New Roman"/>
                <w:color w:val="000000"/>
                <w:sz w:val="16"/>
                <w:szCs w:val="16"/>
                <w:shd w:val="clear" w:color="auto" w:fill="FFFFFF"/>
                <w:lang w:val="uk-UA"/>
              </w:rPr>
            </w:pPr>
          </w:p>
        </w:tc>
        <w:tc>
          <w:tcPr>
            <w:tcW w:w="5495" w:type="dxa"/>
            <w:gridSpan w:val="6"/>
            <w:shd w:val="clear" w:color="auto" w:fill="auto"/>
          </w:tcPr>
          <w:p w14:paraId="248DD9EC" w14:textId="77777777" w:rsidR="005C5318" w:rsidRPr="00E16672" w:rsidRDefault="005C5318" w:rsidP="005C5318">
            <w:pPr>
              <w:tabs>
                <w:tab w:val="left" w:pos="851"/>
                <w:tab w:val="left" w:pos="7200"/>
              </w:tabs>
              <w:snapToGrid w:val="0"/>
              <w:ind w:left="145" w:right="100" w:firstLine="3"/>
              <w:rPr>
                <w:rFonts w:ascii="Times New Roman" w:hAnsi="Times New Roman"/>
                <w:strike/>
                <w:color w:val="000000"/>
                <w:sz w:val="16"/>
                <w:szCs w:val="16"/>
                <w:lang w:val="en-US"/>
              </w:rPr>
            </w:pPr>
            <w:r w:rsidRPr="00E16672">
              <w:rPr>
                <w:rFonts w:ascii="Times New Roman" w:eastAsia="Lucida Sans Unicode" w:hAnsi="Times New Roman"/>
                <w:color w:val="000000"/>
                <w:sz w:val="16"/>
                <w:szCs w:val="16"/>
                <w:lang w:val="en-GB"/>
              </w:rPr>
              <w:t>2.1.</w:t>
            </w:r>
            <w:r w:rsidRPr="00E16672">
              <w:rPr>
                <w:rFonts w:ascii="Times New Roman" w:eastAsia="Lucida Sans Unicode" w:hAnsi="Times New Roman"/>
                <w:color w:val="000000"/>
                <w:sz w:val="16"/>
                <w:szCs w:val="16"/>
                <w:lang w:val="en-US"/>
              </w:rPr>
              <w:t>1</w:t>
            </w:r>
            <w:r w:rsidRPr="00E16672">
              <w:rPr>
                <w:rFonts w:ascii="Times New Roman" w:eastAsia="Lucida Sans Unicode" w:hAnsi="Times New Roman"/>
                <w:color w:val="000000"/>
                <w:sz w:val="16"/>
                <w:szCs w:val="16"/>
                <w:lang w:val="uk-UA"/>
              </w:rPr>
              <w:t>8</w:t>
            </w:r>
            <w:r w:rsidRPr="00E16672">
              <w:rPr>
                <w:rFonts w:ascii="Times New Roman" w:eastAsia="Lucida Sans Unicode" w:hAnsi="Times New Roman"/>
                <w:color w:val="000000"/>
                <w:sz w:val="16"/>
                <w:szCs w:val="16"/>
                <w:lang w:val="en-GB"/>
              </w:rPr>
              <w:t xml:space="preserve">. To identify </w:t>
            </w:r>
            <w:r w:rsidRPr="00E16672">
              <w:rPr>
                <w:rStyle w:val="rvts0"/>
                <w:rFonts w:ascii="Times New Roman" w:hAnsi="Times New Roman"/>
                <w:color w:val="000000"/>
                <w:sz w:val="16"/>
                <w:szCs w:val="16"/>
                <w:lang w:val="en-US"/>
              </w:rPr>
              <w:t>and verify</w:t>
            </w:r>
            <w:r w:rsidRPr="00E16672">
              <w:rPr>
                <w:rFonts w:ascii="Times New Roman" w:eastAsia="Lucida Sans Unicode" w:hAnsi="Times New Roman"/>
                <w:color w:val="000000"/>
                <w:sz w:val="16"/>
                <w:szCs w:val="16"/>
                <w:lang w:val="en-GB"/>
              </w:rPr>
              <w:t xml:space="preserve"> the persons who under Agreement is opened an </w:t>
            </w:r>
            <w:proofErr w:type="gramStart"/>
            <w:r w:rsidRPr="00E16672">
              <w:rPr>
                <w:rFonts w:ascii="Times New Roman" w:eastAsia="Lucida Sans Unicode" w:hAnsi="Times New Roman"/>
                <w:color w:val="000000"/>
                <w:sz w:val="16"/>
                <w:szCs w:val="16"/>
                <w:lang w:val="en-GB"/>
              </w:rPr>
              <w:t>account securities</w:t>
            </w:r>
            <w:proofErr w:type="gramEnd"/>
            <w:r w:rsidRPr="00E16672">
              <w:rPr>
                <w:rFonts w:ascii="Times New Roman" w:eastAsia="Lucida Sans Unicode" w:hAnsi="Times New Roman"/>
                <w:color w:val="000000"/>
                <w:sz w:val="16"/>
                <w:szCs w:val="16"/>
                <w:lang w:val="en-GB"/>
              </w:rPr>
              <w:t>, and also persons who are authorized to act on their behalf in the manner established by the legislation of Ukraine.</w:t>
            </w:r>
            <w:r w:rsidRPr="00E16672">
              <w:rPr>
                <w:rFonts w:ascii="Times New Roman" w:eastAsia="Lucida Sans Unicode" w:hAnsi="Times New Roman"/>
                <w:color w:val="000000"/>
                <w:sz w:val="16"/>
                <w:szCs w:val="16"/>
                <w:lang w:val="en-US"/>
              </w:rPr>
              <w:t xml:space="preserve"> </w:t>
            </w:r>
          </w:p>
          <w:p w14:paraId="70EDEE99" w14:textId="77777777" w:rsidR="005C5318" w:rsidRPr="00E16672" w:rsidRDefault="005C5318" w:rsidP="005C5318">
            <w:pPr>
              <w:pStyle w:val="210"/>
              <w:ind w:left="145" w:right="100" w:firstLine="3"/>
              <w:rPr>
                <w:rFonts w:ascii="Times New Roman" w:hAnsi="Times New Roman"/>
                <w:color w:val="000000"/>
                <w:sz w:val="16"/>
                <w:szCs w:val="16"/>
              </w:rPr>
            </w:pPr>
            <w:proofErr w:type="spellStart"/>
            <w:r w:rsidRPr="00E16672">
              <w:rPr>
                <w:rStyle w:val="rvts0"/>
                <w:rFonts w:ascii="Times New Roman" w:hAnsi="Times New Roman"/>
                <w:color w:val="000000"/>
                <w:sz w:val="16"/>
                <w:szCs w:val="16"/>
              </w:rPr>
              <w:t>Identification</w:t>
            </w:r>
            <w:proofErr w:type="spellEnd"/>
            <w:r w:rsidRPr="00E16672">
              <w:rPr>
                <w:rStyle w:val="rvts0"/>
                <w:rFonts w:ascii="Times New Roman" w:hAnsi="Times New Roman"/>
                <w:color w:val="000000"/>
                <w:sz w:val="16"/>
                <w:szCs w:val="16"/>
              </w:rPr>
              <w:t xml:space="preserve"> </w:t>
            </w:r>
            <w:proofErr w:type="spellStart"/>
            <w:r w:rsidRPr="00E16672">
              <w:rPr>
                <w:rStyle w:val="rvts0"/>
                <w:rFonts w:ascii="Times New Roman" w:hAnsi="Times New Roman"/>
                <w:color w:val="000000"/>
                <w:sz w:val="16"/>
                <w:szCs w:val="16"/>
              </w:rPr>
              <w:t>of</w:t>
            </w:r>
            <w:proofErr w:type="spellEnd"/>
            <w:r w:rsidRPr="00E16672">
              <w:rPr>
                <w:rStyle w:val="rvts0"/>
                <w:rFonts w:ascii="Times New Roman" w:hAnsi="Times New Roman"/>
                <w:color w:val="000000"/>
                <w:sz w:val="16"/>
                <w:szCs w:val="16"/>
              </w:rPr>
              <w:t xml:space="preserve"> </w:t>
            </w:r>
            <w:proofErr w:type="spellStart"/>
            <w:r w:rsidRPr="00E16672">
              <w:rPr>
                <w:rStyle w:val="rvts0"/>
                <w:rFonts w:ascii="Times New Roman" w:hAnsi="Times New Roman"/>
                <w:color w:val="000000"/>
                <w:sz w:val="16"/>
                <w:szCs w:val="16"/>
              </w:rPr>
              <w:t>the</w:t>
            </w:r>
            <w:proofErr w:type="spellEnd"/>
            <w:r w:rsidRPr="00E16672">
              <w:rPr>
                <w:rStyle w:val="rvts0"/>
                <w:rFonts w:ascii="Times New Roman" w:hAnsi="Times New Roman"/>
                <w:color w:val="000000"/>
                <w:sz w:val="16"/>
                <w:szCs w:val="16"/>
              </w:rPr>
              <w:t xml:space="preserve"> </w:t>
            </w:r>
            <w:proofErr w:type="spellStart"/>
            <w:r w:rsidRPr="00E16672">
              <w:rPr>
                <w:rStyle w:val="rvts0"/>
                <w:rFonts w:ascii="Times New Roman" w:hAnsi="Times New Roman"/>
                <w:color w:val="000000"/>
                <w:sz w:val="16"/>
                <w:szCs w:val="16"/>
              </w:rPr>
              <w:t>client</w:t>
            </w:r>
            <w:proofErr w:type="spellEnd"/>
            <w:r w:rsidRPr="00E16672">
              <w:rPr>
                <w:rStyle w:val="rvts0"/>
                <w:rFonts w:ascii="Times New Roman" w:hAnsi="Times New Roman"/>
                <w:color w:val="000000"/>
                <w:sz w:val="16"/>
                <w:szCs w:val="16"/>
              </w:rPr>
              <w:t xml:space="preserve"> </w:t>
            </w:r>
            <w:proofErr w:type="spellStart"/>
            <w:r w:rsidRPr="00E16672">
              <w:rPr>
                <w:rStyle w:val="rvts0"/>
                <w:rFonts w:ascii="Times New Roman" w:hAnsi="Times New Roman"/>
                <w:color w:val="000000"/>
                <w:sz w:val="16"/>
                <w:szCs w:val="16"/>
              </w:rPr>
              <w:t>is</w:t>
            </w:r>
            <w:proofErr w:type="spellEnd"/>
            <w:r w:rsidRPr="00E16672">
              <w:rPr>
                <w:rStyle w:val="rvts0"/>
                <w:rFonts w:ascii="Times New Roman" w:hAnsi="Times New Roman"/>
                <w:color w:val="000000"/>
                <w:sz w:val="16"/>
                <w:szCs w:val="16"/>
              </w:rPr>
              <w:t xml:space="preserve"> </w:t>
            </w:r>
            <w:proofErr w:type="spellStart"/>
            <w:r w:rsidRPr="00E16672">
              <w:rPr>
                <w:rStyle w:val="rvts0"/>
                <w:rFonts w:ascii="Times New Roman" w:hAnsi="Times New Roman"/>
                <w:color w:val="000000"/>
                <w:sz w:val="16"/>
                <w:szCs w:val="16"/>
              </w:rPr>
              <w:t>not</w:t>
            </w:r>
            <w:proofErr w:type="spellEnd"/>
            <w:r w:rsidRPr="00E16672">
              <w:rPr>
                <w:rStyle w:val="rvts0"/>
                <w:rFonts w:ascii="Times New Roman" w:hAnsi="Times New Roman"/>
                <w:color w:val="000000"/>
                <w:sz w:val="16"/>
                <w:szCs w:val="16"/>
              </w:rPr>
              <w:t xml:space="preserve"> </w:t>
            </w:r>
            <w:proofErr w:type="spellStart"/>
            <w:r w:rsidRPr="00E16672">
              <w:rPr>
                <w:rStyle w:val="rvts0"/>
                <w:rFonts w:ascii="Times New Roman" w:hAnsi="Times New Roman"/>
                <w:color w:val="000000"/>
                <w:sz w:val="16"/>
                <w:szCs w:val="16"/>
              </w:rPr>
              <w:t>obligatory</w:t>
            </w:r>
            <w:proofErr w:type="spellEnd"/>
            <w:r w:rsidRPr="00E16672">
              <w:rPr>
                <w:rStyle w:val="rvts0"/>
                <w:rFonts w:ascii="Times New Roman" w:hAnsi="Times New Roman"/>
                <w:color w:val="000000"/>
                <w:sz w:val="16"/>
                <w:szCs w:val="16"/>
              </w:rPr>
              <w:t xml:space="preserve"> </w:t>
            </w:r>
            <w:proofErr w:type="spellStart"/>
            <w:r w:rsidRPr="00E16672">
              <w:rPr>
                <w:rStyle w:val="rvts0"/>
                <w:rFonts w:ascii="Times New Roman" w:hAnsi="Times New Roman"/>
                <w:color w:val="000000"/>
                <w:sz w:val="16"/>
                <w:szCs w:val="16"/>
              </w:rPr>
              <w:t>in</w:t>
            </w:r>
            <w:proofErr w:type="spellEnd"/>
            <w:r w:rsidRPr="00E16672">
              <w:rPr>
                <w:rStyle w:val="rvts0"/>
                <w:rFonts w:ascii="Times New Roman" w:hAnsi="Times New Roman"/>
                <w:color w:val="000000"/>
                <w:sz w:val="16"/>
                <w:szCs w:val="16"/>
              </w:rPr>
              <w:t xml:space="preserve"> </w:t>
            </w:r>
            <w:proofErr w:type="spellStart"/>
            <w:r w:rsidRPr="00E16672">
              <w:rPr>
                <w:rStyle w:val="rvts0"/>
                <w:rFonts w:ascii="Times New Roman" w:hAnsi="Times New Roman"/>
                <w:color w:val="000000"/>
                <w:sz w:val="16"/>
                <w:szCs w:val="16"/>
              </w:rPr>
              <w:t>the</w:t>
            </w:r>
            <w:proofErr w:type="spellEnd"/>
            <w:r w:rsidRPr="00E16672">
              <w:rPr>
                <w:rStyle w:val="rvts0"/>
                <w:rFonts w:ascii="Times New Roman" w:hAnsi="Times New Roman"/>
                <w:color w:val="000000"/>
                <w:sz w:val="16"/>
                <w:szCs w:val="16"/>
              </w:rPr>
              <w:t xml:space="preserve"> </w:t>
            </w:r>
            <w:proofErr w:type="spellStart"/>
            <w:r w:rsidRPr="00E16672">
              <w:rPr>
                <w:rStyle w:val="rvts0"/>
                <w:rFonts w:ascii="Times New Roman" w:hAnsi="Times New Roman"/>
                <w:color w:val="000000"/>
                <w:sz w:val="16"/>
                <w:szCs w:val="16"/>
              </w:rPr>
              <w:t>case</w:t>
            </w:r>
            <w:proofErr w:type="spellEnd"/>
            <w:r w:rsidRPr="00E16672">
              <w:rPr>
                <w:rStyle w:val="rvts0"/>
                <w:rFonts w:ascii="Times New Roman" w:hAnsi="Times New Roman"/>
                <w:color w:val="000000"/>
                <w:sz w:val="16"/>
                <w:szCs w:val="16"/>
              </w:rPr>
              <w:t xml:space="preserve"> </w:t>
            </w:r>
            <w:proofErr w:type="spellStart"/>
            <w:r w:rsidRPr="00E16672">
              <w:rPr>
                <w:rStyle w:val="rvts0"/>
                <w:rFonts w:ascii="Times New Roman" w:hAnsi="Times New Roman"/>
                <w:color w:val="000000"/>
                <w:sz w:val="16"/>
                <w:szCs w:val="16"/>
              </w:rPr>
              <w:t>of</w:t>
            </w:r>
            <w:proofErr w:type="spellEnd"/>
            <w:r w:rsidRPr="00E16672">
              <w:rPr>
                <w:rStyle w:val="rvts0"/>
                <w:rFonts w:ascii="Times New Roman" w:hAnsi="Times New Roman"/>
                <w:color w:val="000000"/>
                <w:sz w:val="16"/>
                <w:szCs w:val="16"/>
              </w:rPr>
              <w:t xml:space="preserve"> </w:t>
            </w:r>
            <w:proofErr w:type="spellStart"/>
            <w:r w:rsidRPr="00E16672">
              <w:rPr>
                <w:rStyle w:val="rvts0"/>
                <w:rFonts w:ascii="Times New Roman" w:hAnsi="Times New Roman"/>
                <w:color w:val="000000"/>
                <w:sz w:val="16"/>
                <w:szCs w:val="16"/>
              </w:rPr>
              <w:t>conduct</w:t>
            </w:r>
            <w:proofErr w:type="spellEnd"/>
            <w:r w:rsidRPr="00E16672">
              <w:rPr>
                <w:rStyle w:val="rvts0"/>
                <w:rFonts w:ascii="Times New Roman" w:hAnsi="Times New Roman"/>
                <w:color w:val="000000"/>
                <w:sz w:val="16"/>
                <w:szCs w:val="16"/>
              </w:rPr>
              <w:t xml:space="preserve"> </w:t>
            </w:r>
            <w:proofErr w:type="spellStart"/>
            <w:r w:rsidRPr="00E16672">
              <w:rPr>
                <w:rStyle w:val="rvts0"/>
                <w:rFonts w:ascii="Times New Roman" w:hAnsi="Times New Roman"/>
                <w:color w:val="000000"/>
                <w:sz w:val="16"/>
                <w:szCs w:val="16"/>
              </w:rPr>
              <w:t>of</w:t>
            </w:r>
            <w:proofErr w:type="spellEnd"/>
            <w:r w:rsidRPr="00E16672">
              <w:rPr>
                <w:rStyle w:val="rvts0"/>
                <w:rFonts w:ascii="Times New Roman" w:hAnsi="Times New Roman"/>
                <w:color w:val="000000"/>
                <w:sz w:val="16"/>
                <w:szCs w:val="16"/>
              </w:rPr>
              <w:t xml:space="preserve"> </w:t>
            </w:r>
            <w:proofErr w:type="spellStart"/>
            <w:r w:rsidRPr="00E16672">
              <w:rPr>
                <w:rStyle w:val="rvts0"/>
                <w:rFonts w:ascii="Times New Roman" w:hAnsi="Times New Roman"/>
                <w:color w:val="000000"/>
                <w:sz w:val="16"/>
                <w:szCs w:val="16"/>
              </w:rPr>
              <w:t>financial</w:t>
            </w:r>
            <w:proofErr w:type="spellEnd"/>
            <w:r w:rsidRPr="00E16672">
              <w:rPr>
                <w:rStyle w:val="rvts0"/>
                <w:rFonts w:ascii="Times New Roman" w:hAnsi="Times New Roman"/>
                <w:color w:val="000000"/>
                <w:sz w:val="16"/>
                <w:szCs w:val="16"/>
              </w:rPr>
              <w:t xml:space="preserve"> </w:t>
            </w:r>
            <w:proofErr w:type="spellStart"/>
            <w:r w:rsidRPr="00E16672">
              <w:rPr>
                <w:rStyle w:val="rvts0"/>
                <w:rFonts w:ascii="Times New Roman" w:hAnsi="Times New Roman"/>
                <w:color w:val="000000"/>
                <w:sz w:val="16"/>
                <w:szCs w:val="16"/>
              </w:rPr>
              <w:t>operation</w:t>
            </w:r>
            <w:proofErr w:type="spellEnd"/>
            <w:r w:rsidRPr="00E16672">
              <w:rPr>
                <w:rStyle w:val="rvts0"/>
                <w:rFonts w:ascii="Times New Roman" w:hAnsi="Times New Roman"/>
                <w:color w:val="000000"/>
                <w:sz w:val="16"/>
                <w:szCs w:val="16"/>
              </w:rPr>
              <w:t xml:space="preserve"> </w:t>
            </w:r>
            <w:proofErr w:type="spellStart"/>
            <w:r w:rsidRPr="00E16672">
              <w:rPr>
                <w:rStyle w:val="rvts0"/>
                <w:rFonts w:ascii="Times New Roman" w:hAnsi="Times New Roman"/>
                <w:color w:val="000000"/>
                <w:sz w:val="16"/>
                <w:szCs w:val="16"/>
              </w:rPr>
              <w:t>by</w:t>
            </w:r>
            <w:proofErr w:type="spellEnd"/>
            <w:r w:rsidRPr="00E16672">
              <w:rPr>
                <w:rStyle w:val="rvts0"/>
                <w:rFonts w:ascii="Times New Roman" w:hAnsi="Times New Roman"/>
                <w:color w:val="000000"/>
                <w:sz w:val="16"/>
                <w:szCs w:val="16"/>
              </w:rPr>
              <w:t xml:space="preserve"> </w:t>
            </w:r>
            <w:proofErr w:type="spellStart"/>
            <w:r w:rsidRPr="00E16672">
              <w:rPr>
                <w:rStyle w:val="rvts0"/>
                <w:rFonts w:ascii="Times New Roman" w:hAnsi="Times New Roman"/>
                <w:color w:val="000000"/>
                <w:sz w:val="16"/>
                <w:szCs w:val="16"/>
              </w:rPr>
              <w:t>persons</w:t>
            </w:r>
            <w:proofErr w:type="spellEnd"/>
            <w:r w:rsidRPr="00E16672">
              <w:rPr>
                <w:rStyle w:val="rvts0"/>
                <w:rFonts w:ascii="Times New Roman" w:hAnsi="Times New Roman"/>
                <w:color w:val="000000"/>
                <w:sz w:val="16"/>
                <w:szCs w:val="16"/>
              </w:rPr>
              <w:t xml:space="preserve"> </w:t>
            </w:r>
            <w:proofErr w:type="spellStart"/>
            <w:r w:rsidRPr="00E16672">
              <w:rPr>
                <w:rStyle w:val="rvts0"/>
                <w:rFonts w:ascii="Times New Roman" w:hAnsi="Times New Roman"/>
                <w:color w:val="000000"/>
                <w:sz w:val="16"/>
                <w:szCs w:val="16"/>
              </w:rPr>
              <w:t>previously</w:t>
            </w:r>
            <w:proofErr w:type="spellEnd"/>
            <w:r w:rsidRPr="00E16672">
              <w:rPr>
                <w:rStyle w:val="rvts0"/>
                <w:rFonts w:ascii="Times New Roman" w:hAnsi="Times New Roman"/>
                <w:color w:val="000000"/>
                <w:sz w:val="16"/>
                <w:szCs w:val="16"/>
              </w:rPr>
              <w:t xml:space="preserve"> </w:t>
            </w:r>
            <w:proofErr w:type="spellStart"/>
            <w:r w:rsidRPr="00E16672">
              <w:rPr>
                <w:rStyle w:val="rvts0"/>
                <w:rFonts w:ascii="Times New Roman" w:hAnsi="Times New Roman"/>
                <w:color w:val="000000"/>
                <w:sz w:val="16"/>
                <w:szCs w:val="16"/>
              </w:rPr>
              <w:t>identified</w:t>
            </w:r>
            <w:proofErr w:type="spellEnd"/>
            <w:r w:rsidRPr="00E16672">
              <w:rPr>
                <w:rStyle w:val="rvts0"/>
                <w:rFonts w:ascii="Times New Roman" w:hAnsi="Times New Roman"/>
                <w:color w:val="000000"/>
                <w:sz w:val="16"/>
                <w:szCs w:val="16"/>
              </w:rPr>
              <w:t xml:space="preserve"> </w:t>
            </w:r>
            <w:proofErr w:type="spellStart"/>
            <w:r w:rsidRPr="00E16672">
              <w:rPr>
                <w:rStyle w:val="rvts0"/>
                <w:rFonts w:ascii="Times New Roman" w:hAnsi="Times New Roman"/>
                <w:color w:val="000000"/>
                <w:sz w:val="16"/>
                <w:szCs w:val="16"/>
              </w:rPr>
              <w:t>or</w:t>
            </w:r>
            <w:proofErr w:type="spellEnd"/>
            <w:r w:rsidRPr="00E16672">
              <w:rPr>
                <w:rStyle w:val="rvts0"/>
                <w:rFonts w:ascii="Times New Roman" w:hAnsi="Times New Roman"/>
                <w:color w:val="000000"/>
                <w:sz w:val="16"/>
                <w:szCs w:val="16"/>
              </w:rPr>
              <w:t xml:space="preserve"> </w:t>
            </w:r>
            <w:proofErr w:type="spellStart"/>
            <w:r w:rsidRPr="00E16672">
              <w:rPr>
                <w:rStyle w:val="rvts0"/>
                <w:rFonts w:ascii="Times New Roman" w:hAnsi="Times New Roman"/>
                <w:color w:val="000000"/>
                <w:sz w:val="16"/>
                <w:szCs w:val="16"/>
              </w:rPr>
              <w:t>verified</w:t>
            </w:r>
            <w:proofErr w:type="spellEnd"/>
            <w:r w:rsidRPr="00E16672">
              <w:rPr>
                <w:rStyle w:val="rvts0"/>
                <w:rFonts w:ascii="Times New Roman" w:hAnsi="Times New Roman"/>
                <w:color w:val="000000"/>
                <w:sz w:val="16"/>
                <w:szCs w:val="16"/>
              </w:rPr>
              <w:t xml:space="preserve"> </w:t>
            </w:r>
            <w:proofErr w:type="spellStart"/>
            <w:r w:rsidRPr="00E16672">
              <w:rPr>
                <w:rStyle w:val="rvts0"/>
                <w:rFonts w:ascii="Times New Roman" w:hAnsi="Times New Roman"/>
                <w:color w:val="000000"/>
                <w:sz w:val="16"/>
                <w:szCs w:val="16"/>
              </w:rPr>
              <w:t>in</w:t>
            </w:r>
            <w:proofErr w:type="spellEnd"/>
            <w:r w:rsidRPr="00E16672">
              <w:rPr>
                <w:rStyle w:val="rvts0"/>
                <w:rFonts w:ascii="Times New Roman" w:hAnsi="Times New Roman"/>
                <w:color w:val="000000"/>
                <w:sz w:val="16"/>
                <w:szCs w:val="16"/>
              </w:rPr>
              <w:t xml:space="preserve"> </w:t>
            </w:r>
            <w:proofErr w:type="spellStart"/>
            <w:r w:rsidRPr="00E16672">
              <w:rPr>
                <w:rStyle w:val="rvts0"/>
                <w:rFonts w:ascii="Times New Roman" w:hAnsi="Times New Roman"/>
                <w:color w:val="000000"/>
                <w:sz w:val="16"/>
                <w:szCs w:val="16"/>
              </w:rPr>
              <w:t>accordance</w:t>
            </w:r>
            <w:proofErr w:type="spellEnd"/>
            <w:r w:rsidRPr="00E16672">
              <w:rPr>
                <w:rStyle w:val="rvts0"/>
                <w:rFonts w:ascii="Times New Roman" w:hAnsi="Times New Roman"/>
                <w:color w:val="000000"/>
                <w:sz w:val="16"/>
                <w:szCs w:val="16"/>
              </w:rPr>
              <w:t xml:space="preserve"> </w:t>
            </w:r>
            <w:proofErr w:type="spellStart"/>
            <w:r w:rsidRPr="00E16672">
              <w:rPr>
                <w:rStyle w:val="rvts0"/>
                <w:rFonts w:ascii="Times New Roman" w:hAnsi="Times New Roman"/>
                <w:color w:val="000000"/>
                <w:sz w:val="16"/>
                <w:szCs w:val="16"/>
              </w:rPr>
              <w:t>with</w:t>
            </w:r>
            <w:proofErr w:type="spellEnd"/>
            <w:r w:rsidRPr="00E16672">
              <w:rPr>
                <w:rStyle w:val="rvts0"/>
                <w:rFonts w:ascii="Times New Roman" w:hAnsi="Times New Roman"/>
                <w:color w:val="000000"/>
                <w:sz w:val="16"/>
                <w:szCs w:val="16"/>
              </w:rPr>
              <w:t xml:space="preserve"> </w:t>
            </w:r>
            <w:proofErr w:type="spellStart"/>
            <w:r w:rsidRPr="00E16672">
              <w:rPr>
                <w:rStyle w:val="rvts0"/>
                <w:rFonts w:ascii="Times New Roman" w:hAnsi="Times New Roman"/>
                <w:color w:val="000000"/>
                <w:sz w:val="16"/>
                <w:szCs w:val="16"/>
              </w:rPr>
              <w:t>the</w:t>
            </w:r>
            <w:proofErr w:type="spellEnd"/>
            <w:r w:rsidRPr="00E16672">
              <w:rPr>
                <w:rStyle w:val="rvts0"/>
                <w:rFonts w:ascii="Times New Roman" w:hAnsi="Times New Roman"/>
                <w:color w:val="000000"/>
                <w:sz w:val="16"/>
                <w:szCs w:val="16"/>
              </w:rPr>
              <w:t xml:space="preserve"> </w:t>
            </w:r>
            <w:proofErr w:type="spellStart"/>
            <w:r w:rsidRPr="00E16672">
              <w:rPr>
                <w:rStyle w:val="rvts0"/>
                <w:rFonts w:ascii="Times New Roman" w:hAnsi="Times New Roman"/>
                <w:color w:val="000000"/>
                <w:sz w:val="16"/>
                <w:szCs w:val="16"/>
              </w:rPr>
              <w:t>law</w:t>
            </w:r>
            <w:proofErr w:type="spellEnd"/>
            <w:r w:rsidRPr="00E16672">
              <w:rPr>
                <w:rStyle w:val="rvts0"/>
                <w:rFonts w:ascii="Times New Roman" w:hAnsi="Times New Roman"/>
                <w:color w:val="000000"/>
                <w:sz w:val="16"/>
                <w:szCs w:val="16"/>
              </w:rPr>
              <w:t>.</w:t>
            </w:r>
          </w:p>
        </w:tc>
      </w:tr>
      <w:tr w:rsidR="005C5318" w:rsidRPr="00F23413" w14:paraId="6EFA0CD0" w14:textId="77777777" w:rsidTr="005E418B">
        <w:trPr>
          <w:trHeight w:val="192"/>
        </w:trPr>
        <w:tc>
          <w:tcPr>
            <w:tcW w:w="5695" w:type="dxa"/>
            <w:gridSpan w:val="6"/>
            <w:shd w:val="clear" w:color="auto" w:fill="auto"/>
          </w:tcPr>
          <w:p w14:paraId="32AC7F2D" w14:textId="77777777" w:rsidR="005C5318" w:rsidRPr="00E16672" w:rsidRDefault="005C5318" w:rsidP="005C5318">
            <w:pPr>
              <w:pStyle w:val="WW-1"/>
              <w:tabs>
                <w:tab w:val="left" w:pos="851"/>
                <w:tab w:val="left" w:pos="7200"/>
              </w:tabs>
              <w:snapToGrid w:val="0"/>
              <w:ind w:left="142" w:right="141" w:firstLine="40"/>
              <w:jc w:val="both"/>
              <w:rPr>
                <w:i w:val="0"/>
                <w:color w:val="000000"/>
                <w:sz w:val="16"/>
                <w:szCs w:val="16"/>
                <w:lang w:val="uk-UA"/>
              </w:rPr>
            </w:pPr>
            <w:r w:rsidRPr="00E16672">
              <w:rPr>
                <w:i w:val="0"/>
                <w:color w:val="000000"/>
                <w:sz w:val="16"/>
                <w:szCs w:val="16"/>
                <w:lang w:val="uk-UA"/>
              </w:rPr>
              <w:t xml:space="preserve">2.1.19. Складати акт приймання-передавання документів, що були підставою для встановлення обмежень цінних паперів в обігу по рахунку </w:t>
            </w:r>
            <w:r w:rsidR="00C22309" w:rsidRPr="00E16672">
              <w:rPr>
                <w:i w:val="0"/>
                <w:color w:val="000000"/>
                <w:sz w:val="16"/>
                <w:szCs w:val="16"/>
                <w:lang w:val="uk-UA"/>
              </w:rPr>
              <w:t>в цін</w:t>
            </w:r>
            <w:r w:rsidRPr="00E16672">
              <w:rPr>
                <w:i w:val="0"/>
                <w:color w:val="000000"/>
                <w:sz w:val="16"/>
                <w:szCs w:val="16"/>
                <w:lang w:val="uk-UA"/>
              </w:rPr>
              <w:t>них паперах Депонента, з якого підлягають списанню права на цінні папери, що обмежені в обігу.</w:t>
            </w:r>
          </w:p>
          <w:p w14:paraId="1E97C12F" w14:textId="77777777" w:rsidR="005C5318" w:rsidRPr="00E16672" w:rsidRDefault="005C5318" w:rsidP="005C5318">
            <w:pPr>
              <w:snapToGrid w:val="0"/>
              <w:ind w:left="142" w:right="141" w:firstLine="40"/>
              <w:rPr>
                <w:rFonts w:ascii="Times New Roman" w:hAnsi="Times New Roman"/>
                <w:color w:val="000000"/>
                <w:sz w:val="16"/>
                <w:szCs w:val="16"/>
              </w:rPr>
            </w:pPr>
          </w:p>
        </w:tc>
        <w:tc>
          <w:tcPr>
            <w:tcW w:w="5495" w:type="dxa"/>
            <w:gridSpan w:val="6"/>
            <w:shd w:val="clear" w:color="auto" w:fill="auto"/>
          </w:tcPr>
          <w:p w14:paraId="3EDAE7C3" w14:textId="77777777" w:rsidR="005C5318" w:rsidRPr="00E16672" w:rsidRDefault="005C5318" w:rsidP="005C5318">
            <w:pPr>
              <w:pStyle w:val="210"/>
              <w:snapToGrid w:val="0"/>
              <w:ind w:left="145" w:right="100" w:firstLine="3"/>
              <w:rPr>
                <w:rFonts w:ascii="Times New Roman" w:eastAsia="Arial" w:hAnsi="Times New Roman"/>
                <w:color w:val="000000"/>
                <w:sz w:val="16"/>
                <w:szCs w:val="16"/>
              </w:rPr>
            </w:pPr>
            <w:r w:rsidRPr="00E16672">
              <w:rPr>
                <w:rFonts w:ascii="Times New Roman" w:eastAsia="Arial" w:hAnsi="Times New Roman"/>
                <w:color w:val="000000"/>
                <w:sz w:val="16"/>
                <w:szCs w:val="16"/>
              </w:rPr>
              <w:t xml:space="preserve">2.1.19. </w:t>
            </w:r>
            <w:proofErr w:type="spellStart"/>
            <w:r w:rsidRPr="00E16672">
              <w:rPr>
                <w:rFonts w:ascii="Times New Roman" w:eastAsia="Arial" w:hAnsi="Times New Roman"/>
                <w:color w:val="000000"/>
                <w:sz w:val="16"/>
                <w:szCs w:val="16"/>
              </w:rPr>
              <w:t>Prepare</w:t>
            </w:r>
            <w:proofErr w:type="spellEnd"/>
            <w:r w:rsidRPr="00E16672">
              <w:rPr>
                <w:rFonts w:ascii="Times New Roman" w:eastAsia="Arial" w:hAnsi="Times New Roman"/>
                <w:color w:val="000000"/>
                <w:sz w:val="16"/>
                <w:szCs w:val="16"/>
              </w:rPr>
              <w:t xml:space="preserve"> </w:t>
            </w:r>
            <w:proofErr w:type="spellStart"/>
            <w:r w:rsidRPr="00E16672">
              <w:rPr>
                <w:rFonts w:ascii="Times New Roman" w:eastAsia="Arial" w:hAnsi="Times New Roman"/>
                <w:color w:val="000000"/>
                <w:sz w:val="16"/>
                <w:szCs w:val="16"/>
              </w:rPr>
              <w:t>an</w:t>
            </w:r>
            <w:proofErr w:type="spellEnd"/>
            <w:r w:rsidRPr="00E16672">
              <w:rPr>
                <w:rFonts w:ascii="Times New Roman" w:eastAsia="Arial" w:hAnsi="Times New Roman"/>
                <w:color w:val="000000"/>
                <w:sz w:val="16"/>
                <w:szCs w:val="16"/>
              </w:rPr>
              <w:t xml:space="preserve"> </w:t>
            </w:r>
            <w:proofErr w:type="spellStart"/>
            <w:r w:rsidRPr="00E16672">
              <w:rPr>
                <w:rFonts w:ascii="Times New Roman" w:eastAsia="Arial" w:hAnsi="Times New Roman"/>
                <w:color w:val="000000"/>
                <w:sz w:val="16"/>
                <w:szCs w:val="16"/>
              </w:rPr>
              <w:t>act</w:t>
            </w:r>
            <w:proofErr w:type="spellEnd"/>
            <w:r w:rsidRPr="00E16672">
              <w:rPr>
                <w:rFonts w:ascii="Times New Roman" w:eastAsia="Arial" w:hAnsi="Times New Roman"/>
                <w:color w:val="000000"/>
                <w:sz w:val="16"/>
                <w:szCs w:val="16"/>
              </w:rPr>
              <w:t xml:space="preserve"> </w:t>
            </w:r>
            <w:proofErr w:type="spellStart"/>
            <w:r w:rsidRPr="00E16672">
              <w:rPr>
                <w:rFonts w:ascii="Times New Roman" w:eastAsia="Arial" w:hAnsi="Times New Roman"/>
                <w:color w:val="000000"/>
                <w:sz w:val="16"/>
                <w:szCs w:val="16"/>
              </w:rPr>
              <w:t>of</w:t>
            </w:r>
            <w:proofErr w:type="spellEnd"/>
            <w:r w:rsidRPr="00E16672">
              <w:rPr>
                <w:rFonts w:ascii="Times New Roman" w:eastAsia="Arial" w:hAnsi="Times New Roman"/>
                <w:color w:val="000000"/>
                <w:sz w:val="16"/>
                <w:szCs w:val="16"/>
              </w:rPr>
              <w:t xml:space="preserve"> </w:t>
            </w:r>
            <w:proofErr w:type="spellStart"/>
            <w:r w:rsidRPr="00E16672">
              <w:rPr>
                <w:rFonts w:ascii="Times New Roman" w:eastAsia="Arial" w:hAnsi="Times New Roman"/>
                <w:color w:val="000000"/>
                <w:sz w:val="16"/>
                <w:szCs w:val="16"/>
              </w:rPr>
              <w:t>acceptance</w:t>
            </w:r>
            <w:proofErr w:type="spellEnd"/>
            <w:r w:rsidRPr="00E16672">
              <w:rPr>
                <w:rFonts w:ascii="Times New Roman" w:eastAsia="Arial" w:hAnsi="Times New Roman"/>
                <w:color w:val="000000"/>
                <w:sz w:val="16"/>
                <w:szCs w:val="16"/>
              </w:rPr>
              <w:t xml:space="preserve"> </w:t>
            </w:r>
            <w:proofErr w:type="spellStart"/>
            <w:r w:rsidRPr="00E16672">
              <w:rPr>
                <w:rFonts w:ascii="Times New Roman" w:eastAsia="Arial" w:hAnsi="Times New Roman"/>
                <w:color w:val="000000"/>
                <w:sz w:val="16"/>
                <w:szCs w:val="16"/>
              </w:rPr>
              <w:t>and</w:t>
            </w:r>
            <w:proofErr w:type="spellEnd"/>
            <w:r w:rsidRPr="00E16672">
              <w:rPr>
                <w:rFonts w:ascii="Times New Roman" w:eastAsia="Arial" w:hAnsi="Times New Roman"/>
                <w:color w:val="000000"/>
                <w:sz w:val="16"/>
                <w:szCs w:val="16"/>
              </w:rPr>
              <w:t xml:space="preserve"> </w:t>
            </w:r>
            <w:proofErr w:type="spellStart"/>
            <w:r w:rsidRPr="00E16672">
              <w:rPr>
                <w:rFonts w:ascii="Times New Roman" w:eastAsia="Arial" w:hAnsi="Times New Roman"/>
                <w:color w:val="000000"/>
                <w:sz w:val="16"/>
                <w:szCs w:val="16"/>
              </w:rPr>
              <w:t>transfer</w:t>
            </w:r>
            <w:proofErr w:type="spellEnd"/>
            <w:r w:rsidRPr="00E16672">
              <w:rPr>
                <w:rFonts w:ascii="Times New Roman" w:eastAsia="Arial" w:hAnsi="Times New Roman"/>
                <w:color w:val="000000"/>
                <w:sz w:val="16"/>
                <w:szCs w:val="16"/>
              </w:rPr>
              <w:t xml:space="preserve"> </w:t>
            </w:r>
            <w:proofErr w:type="spellStart"/>
            <w:r w:rsidRPr="00E16672">
              <w:rPr>
                <w:rFonts w:ascii="Times New Roman" w:eastAsia="Arial" w:hAnsi="Times New Roman"/>
                <w:color w:val="000000"/>
                <w:sz w:val="16"/>
                <w:szCs w:val="16"/>
              </w:rPr>
              <w:t>documents</w:t>
            </w:r>
            <w:proofErr w:type="spellEnd"/>
            <w:r w:rsidRPr="00E16672">
              <w:rPr>
                <w:rFonts w:ascii="Times New Roman" w:eastAsia="Arial" w:hAnsi="Times New Roman"/>
                <w:color w:val="000000"/>
                <w:sz w:val="16"/>
                <w:szCs w:val="16"/>
              </w:rPr>
              <w:t xml:space="preserve"> </w:t>
            </w:r>
            <w:proofErr w:type="spellStart"/>
            <w:r w:rsidRPr="00E16672">
              <w:rPr>
                <w:rFonts w:ascii="Times New Roman" w:eastAsia="Arial" w:hAnsi="Times New Roman"/>
                <w:color w:val="000000"/>
                <w:sz w:val="16"/>
                <w:szCs w:val="16"/>
              </w:rPr>
              <w:t>that</w:t>
            </w:r>
            <w:proofErr w:type="spellEnd"/>
            <w:r w:rsidRPr="00E16672">
              <w:rPr>
                <w:rFonts w:ascii="Times New Roman" w:eastAsia="Arial" w:hAnsi="Times New Roman"/>
                <w:color w:val="000000"/>
                <w:sz w:val="16"/>
                <w:szCs w:val="16"/>
              </w:rPr>
              <w:t xml:space="preserve"> </w:t>
            </w:r>
            <w:proofErr w:type="spellStart"/>
            <w:r w:rsidRPr="00E16672">
              <w:rPr>
                <w:rFonts w:ascii="Times New Roman" w:eastAsia="Arial" w:hAnsi="Times New Roman"/>
                <w:color w:val="000000"/>
                <w:sz w:val="16"/>
                <w:szCs w:val="16"/>
              </w:rPr>
              <w:t>were</w:t>
            </w:r>
            <w:proofErr w:type="spellEnd"/>
            <w:r w:rsidRPr="00E16672">
              <w:rPr>
                <w:rFonts w:ascii="Times New Roman" w:eastAsia="Arial" w:hAnsi="Times New Roman"/>
                <w:color w:val="000000"/>
                <w:sz w:val="16"/>
                <w:szCs w:val="16"/>
              </w:rPr>
              <w:t xml:space="preserve"> </w:t>
            </w:r>
            <w:proofErr w:type="spellStart"/>
            <w:r w:rsidRPr="00E16672">
              <w:rPr>
                <w:rFonts w:ascii="Times New Roman" w:eastAsia="Arial" w:hAnsi="Times New Roman"/>
                <w:color w:val="000000"/>
                <w:sz w:val="16"/>
                <w:szCs w:val="16"/>
              </w:rPr>
              <w:t>the</w:t>
            </w:r>
            <w:proofErr w:type="spellEnd"/>
            <w:r w:rsidRPr="00E16672">
              <w:rPr>
                <w:rFonts w:ascii="Times New Roman" w:eastAsia="Arial" w:hAnsi="Times New Roman"/>
                <w:color w:val="000000"/>
                <w:sz w:val="16"/>
                <w:szCs w:val="16"/>
              </w:rPr>
              <w:t xml:space="preserve"> </w:t>
            </w:r>
            <w:proofErr w:type="spellStart"/>
            <w:r w:rsidRPr="00E16672">
              <w:rPr>
                <w:rFonts w:ascii="Times New Roman" w:eastAsia="Arial" w:hAnsi="Times New Roman"/>
                <w:color w:val="000000"/>
                <w:sz w:val="16"/>
                <w:szCs w:val="16"/>
              </w:rPr>
              <w:t>basis</w:t>
            </w:r>
            <w:proofErr w:type="spellEnd"/>
            <w:r w:rsidRPr="00E16672">
              <w:rPr>
                <w:rFonts w:ascii="Times New Roman" w:eastAsia="Arial" w:hAnsi="Times New Roman"/>
                <w:color w:val="000000"/>
                <w:sz w:val="16"/>
                <w:szCs w:val="16"/>
              </w:rPr>
              <w:t xml:space="preserve"> </w:t>
            </w:r>
            <w:proofErr w:type="spellStart"/>
            <w:r w:rsidRPr="00E16672">
              <w:rPr>
                <w:rFonts w:ascii="Times New Roman" w:eastAsia="Arial" w:hAnsi="Times New Roman"/>
                <w:color w:val="000000"/>
                <w:sz w:val="16"/>
                <w:szCs w:val="16"/>
              </w:rPr>
              <w:t>for</w:t>
            </w:r>
            <w:proofErr w:type="spellEnd"/>
            <w:r w:rsidRPr="00E16672">
              <w:rPr>
                <w:rFonts w:ascii="Times New Roman" w:eastAsia="Arial" w:hAnsi="Times New Roman"/>
                <w:color w:val="000000"/>
                <w:sz w:val="16"/>
                <w:szCs w:val="16"/>
              </w:rPr>
              <w:t xml:space="preserve"> </w:t>
            </w:r>
            <w:proofErr w:type="spellStart"/>
            <w:r w:rsidRPr="00E16672">
              <w:rPr>
                <w:rFonts w:ascii="Times New Roman" w:eastAsia="Arial" w:hAnsi="Times New Roman"/>
                <w:color w:val="000000"/>
                <w:sz w:val="16"/>
                <w:szCs w:val="16"/>
              </w:rPr>
              <w:t>establishing</w:t>
            </w:r>
            <w:proofErr w:type="spellEnd"/>
            <w:r w:rsidRPr="00E16672">
              <w:rPr>
                <w:rFonts w:ascii="Times New Roman" w:eastAsia="Arial" w:hAnsi="Times New Roman"/>
                <w:color w:val="000000"/>
                <w:sz w:val="16"/>
                <w:szCs w:val="16"/>
              </w:rPr>
              <w:t xml:space="preserve"> </w:t>
            </w:r>
            <w:proofErr w:type="spellStart"/>
            <w:r w:rsidRPr="00E16672">
              <w:rPr>
                <w:rFonts w:ascii="Times New Roman" w:eastAsia="Arial" w:hAnsi="Times New Roman"/>
                <w:color w:val="000000"/>
                <w:sz w:val="16"/>
                <w:szCs w:val="16"/>
              </w:rPr>
              <w:t>limits</w:t>
            </w:r>
            <w:proofErr w:type="spellEnd"/>
            <w:r w:rsidRPr="00E16672">
              <w:rPr>
                <w:rFonts w:ascii="Times New Roman" w:eastAsia="Arial" w:hAnsi="Times New Roman"/>
                <w:color w:val="000000"/>
                <w:sz w:val="16"/>
                <w:szCs w:val="16"/>
              </w:rPr>
              <w:t xml:space="preserve"> </w:t>
            </w:r>
            <w:proofErr w:type="spellStart"/>
            <w:r w:rsidRPr="00E16672">
              <w:rPr>
                <w:rFonts w:ascii="Times New Roman" w:eastAsia="Arial" w:hAnsi="Times New Roman"/>
                <w:color w:val="000000"/>
                <w:sz w:val="16"/>
                <w:szCs w:val="16"/>
              </w:rPr>
              <w:t>on</w:t>
            </w:r>
            <w:proofErr w:type="spellEnd"/>
            <w:r w:rsidRPr="00E16672">
              <w:rPr>
                <w:rFonts w:ascii="Times New Roman" w:eastAsia="Arial" w:hAnsi="Times New Roman"/>
                <w:color w:val="000000"/>
                <w:sz w:val="16"/>
                <w:szCs w:val="16"/>
              </w:rPr>
              <w:t xml:space="preserve"> </w:t>
            </w:r>
            <w:proofErr w:type="spellStart"/>
            <w:r w:rsidRPr="00E16672">
              <w:rPr>
                <w:rFonts w:ascii="Times New Roman" w:eastAsia="Arial" w:hAnsi="Times New Roman"/>
                <w:color w:val="000000"/>
                <w:sz w:val="16"/>
                <w:szCs w:val="16"/>
              </w:rPr>
              <w:t>securities</w:t>
            </w:r>
            <w:proofErr w:type="spellEnd"/>
            <w:r w:rsidRPr="00E16672">
              <w:rPr>
                <w:rFonts w:ascii="Times New Roman" w:eastAsia="Arial" w:hAnsi="Times New Roman"/>
                <w:color w:val="000000"/>
                <w:sz w:val="16"/>
                <w:szCs w:val="16"/>
              </w:rPr>
              <w:t xml:space="preserve"> </w:t>
            </w:r>
            <w:proofErr w:type="spellStart"/>
            <w:r w:rsidRPr="00E16672">
              <w:rPr>
                <w:rFonts w:ascii="Times New Roman" w:eastAsia="Arial" w:hAnsi="Times New Roman"/>
                <w:color w:val="000000"/>
                <w:sz w:val="16"/>
                <w:szCs w:val="16"/>
              </w:rPr>
              <w:t>outstanding</w:t>
            </w:r>
            <w:proofErr w:type="spellEnd"/>
            <w:r w:rsidRPr="00E16672">
              <w:rPr>
                <w:rFonts w:ascii="Times New Roman" w:eastAsia="Arial" w:hAnsi="Times New Roman"/>
                <w:color w:val="000000"/>
                <w:sz w:val="16"/>
                <w:szCs w:val="16"/>
              </w:rPr>
              <w:t xml:space="preserve"> </w:t>
            </w:r>
            <w:proofErr w:type="spellStart"/>
            <w:r w:rsidRPr="00E16672">
              <w:rPr>
                <w:rFonts w:ascii="Times New Roman" w:eastAsia="Arial" w:hAnsi="Times New Roman"/>
                <w:color w:val="000000"/>
                <w:sz w:val="16"/>
                <w:szCs w:val="16"/>
              </w:rPr>
              <w:t>on</w:t>
            </w:r>
            <w:proofErr w:type="spellEnd"/>
            <w:r w:rsidRPr="00E16672">
              <w:rPr>
                <w:rFonts w:ascii="Times New Roman" w:eastAsia="Arial" w:hAnsi="Times New Roman"/>
                <w:color w:val="000000"/>
                <w:sz w:val="16"/>
                <w:szCs w:val="16"/>
              </w:rPr>
              <w:t xml:space="preserve"> </w:t>
            </w:r>
            <w:proofErr w:type="spellStart"/>
            <w:r w:rsidRPr="00E16672">
              <w:rPr>
                <w:rFonts w:ascii="Times New Roman" w:eastAsia="Arial" w:hAnsi="Times New Roman"/>
                <w:color w:val="000000"/>
                <w:sz w:val="16"/>
                <w:szCs w:val="16"/>
              </w:rPr>
              <w:t>the</w:t>
            </w:r>
            <w:proofErr w:type="spellEnd"/>
            <w:r w:rsidRPr="00E16672">
              <w:rPr>
                <w:rFonts w:ascii="Times New Roman" w:eastAsia="Arial" w:hAnsi="Times New Roman"/>
                <w:color w:val="000000"/>
                <w:sz w:val="16"/>
                <w:szCs w:val="16"/>
              </w:rPr>
              <w:t xml:space="preserve"> </w:t>
            </w:r>
            <w:proofErr w:type="spellStart"/>
            <w:r w:rsidRPr="00E16672">
              <w:rPr>
                <w:rFonts w:ascii="Times New Roman" w:eastAsia="Arial" w:hAnsi="Times New Roman"/>
                <w:color w:val="000000"/>
                <w:sz w:val="16"/>
                <w:szCs w:val="16"/>
              </w:rPr>
              <w:t>securities</w:t>
            </w:r>
            <w:proofErr w:type="spellEnd"/>
            <w:r w:rsidRPr="00E16672">
              <w:rPr>
                <w:rFonts w:ascii="Times New Roman" w:eastAsia="Arial" w:hAnsi="Times New Roman"/>
                <w:color w:val="000000"/>
                <w:sz w:val="16"/>
                <w:szCs w:val="16"/>
              </w:rPr>
              <w:t xml:space="preserve"> </w:t>
            </w:r>
            <w:proofErr w:type="spellStart"/>
            <w:r w:rsidRPr="00E16672">
              <w:rPr>
                <w:rFonts w:ascii="Times New Roman" w:eastAsia="Arial" w:hAnsi="Times New Roman"/>
                <w:color w:val="000000"/>
                <w:sz w:val="16"/>
                <w:szCs w:val="16"/>
              </w:rPr>
              <w:t>account</w:t>
            </w:r>
            <w:proofErr w:type="spellEnd"/>
            <w:r w:rsidRPr="00E16672">
              <w:rPr>
                <w:rFonts w:ascii="Times New Roman" w:eastAsia="Arial" w:hAnsi="Times New Roman"/>
                <w:color w:val="000000"/>
                <w:sz w:val="16"/>
                <w:szCs w:val="16"/>
              </w:rPr>
              <w:t xml:space="preserve"> </w:t>
            </w:r>
            <w:proofErr w:type="spellStart"/>
            <w:r w:rsidRPr="00E16672">
              <w:rPr>
                <w:rFonts w:ascii="Times New Roman" w:eastAsia="Arial" w:hAnsi="Times New Roman"/>
                <w:color w:val="000000"/>
                <w:sz w:val="16"/>
                <w:szCs w:val="16"/>
              </w:rPr>
              <w:t>the</w:t>
            </w:r>
            <w:proofErr w:type="spellEnd"/>
            <w:r w:rsidRPr="00E16672">
              <w:rPr>
                <w:rFonts w:ascii="Times New Roman" w:eastAsia="Arial" w:hAnsi="Times New Roman"/>
                <w:color w:val="000000"/>
                <w:sz w:val="16"/>
                <w:szCs w:val="16"/>
              </w:rPr>
              <w:t xml:space="preserve"> </w:t>
            </w:r>
            <w:proofErr w:type="spellStart"/>
            <w:r w:rsidRPr="00E16672">
              <w:rPr>
                <w:rFonts w:ascii="Times New Roman" w:eastAsia="Arial" w:hAnsi="Times New Roman"/>
                <w:color w:val="000000"/>
                <w:sz w:val="16"/>
                <w:szCs w:val="16"/>
              </w:rPr>
              <w:t>Depositor</w:t>
            </w:r>
            <w:proofErr w:type="spellEnd"/>
            <w:r w:rsidRPr="00E16672">
              <w:rPr>
                <w:rFonts w:ascii="Times New Roman" w:eastAsia="Arial" w:hAnsi="Times New Roman"/>
                <w:color w:val="000000"/>
                <w:sz w:val="16"/>
                <w:szCs w:val="16"/>
              </w:rPr>
              <w:t xml:space="preserve"> </w:t>
            </w:r>
            <w:proofErr w:type="spellStart"/>
            <w:r w:rsidRPr="00E16672">
              <w:rPr>
                <w:rFonts w:ascii="Times New Roman" w:eastAsia="Arial" w:hAnsi="Times New Roman"/>
                <w:color w:val="000000"/>
                <w:sz w:val="16"/>
                <w:szCs w:val="16"/>
              </w:rPr>
              <w:t>of</w:t>
            </w:r>
            <w:proofErr w:type="spellEnd"/>
            <w:r w:rsidRPr="00E16672">
              <w:rPr>
                <w:rFonts w:ascii="Times New Roman" w:eastAsia="Arial" w:hAnsi="Times New Roman"/>
                <w:color w:val="000000"/>
                <w:sz w:val="16"/>
                <w:szCs w:val="16"/>
              </w:rPr>
              <w:t xml:space="preserve"> </w:t>
            </w:r>
            <w:proofErr w:type="spellStart"/>
            <w:r w:rsidRPr="00E16672">
              <w:rPr>
                <w:rFonts w:ascii="Times New Roman" w:eastAsia="Arial" w:hAnsi="Times New Roman"/>
                <w:color w:val="000000"/>
                <w:sz w:val="16"/>
                <w:szCs w:val="16"/>
              </w:rPr>
              <w:t>which</w:t>
            </w:r>
            <w:proofErr w:type="spellEnd"/>
            <w:r w:rsidRPr="00E16672">
              <w:rPr>
                <w:rFonts w:ascii="Times New Roman" w:eastAsia="Arial" w:hAnsi="Times New Roman"/>
                <w:color w:val="000000"/>
                <w:sz w:val="16"/>
                <w:szCs w:val="16"/>
              </w:rPr>
              <w:t xml:space="preserve"> </w:t>
            </w:r>
            <w:proofErr w:type="spellStart"/>
            <w:r w:rsidRPr="00E16672">
              <w:rPr>
                <w:rFonts w:ascii="Times New Roman" w:eastAsia="Arial" w:hAnsi="Times New Roman"/>
                <w:color w:val="000000"/>
                <w:sz w:val="16"/>
                <w:szCs w:val="16"/>
              </w:rPr>
              <w:t>to</w:t>
            </w:r>
            <w:proofErr w:type="spellEnd"/>
            <w:r w:rsidRPr="00E16672">
              <w:rPr>
                <w:rFonts w:ascii="Times New Roman" w:eastAsia="Arial" w:hAnsi="Times New Roman"/>
                <w:color w:val="000000"/>
                <w:sz w:val="16"/>
                <w:szCs w:val="16"/>
              </w:rPr>
              <w:t xml:space="preserve"> </w:t>
            </w:r>
            <w:proofErr w:type="spellStart"/>
            <w:r w:rsidRPr="00E16672">
              <w:rPr>
                <w:rFonts w:ascii="Times New Roman" w:eastAsia="Arial" w:hAnsi="Times New Roman"/>
                <w:color w:val="000000"/>
                <w:sz w:val="16"/>
                <w:szCs w:val="16"/>
              </w:rPr>
              <w:t>be</w:t>
            </w:r>
            <w:proofErr w:type="spellEnd"/>
            <w:r w:rsidRPr="00E16672">
              <w:rPr>
                <w:rFonts w:ascii="Times New Roman" w:eastAsia="Arial" w:hAnsi="Times New Roman"/>
                <w:color w:val="000000"/>
                <w:sz w:val="16"/>
                <w:szCs w:val="16"/>
              </w:rPr>
              <w:t xml:space="preserve"> </w:t>
            </w:r>
            <w:proofErr w:type="spellStart"/>
            <w:r w:rsidRPr="00E16672">
              <w:rPr>
                <w:rFonts w:ascii="Times New Roman" w:eastAsia="Arial" w:hAnsi="Times New Roman"/>
                <w:color w:val="000000"/>
                <w:sz w:val="16"/>
                <w:szCs w:val="16"/>
              </w:rPr>
              <w:t>withdrawal</w:t>
            </w:r>
            <w:proofErr w:type="spellEnd"/>
            <w:r w:rsidRPr="00E16672">
              <w:rPr>
                <w:rFonts w:ascii="Times New Roman" w:eastAsia="Arial" w:hAnsi="Times New Roman"/>
                <w:color w:val="000000"/>
                <w:sz w:val="16"/>
                <w:szCs w:val="16"/>
              </w:rPr>
              <w:t xml:space="preserve"> </w:t>
            </w:r>
            <w:proofErr w:type="spellStart"/>
            <w:r w:rsidRPr="00E16672">
              <w:rPr>
                <w:rFonts w:ascii="Times New Roman" w:eastAsia="Arial" w:hAnsi="Times New Roman"/>
                <w:color w:val="000000"/>
                <w:sz w:val="16"/>
                <w:szCs w:val="16"/>
              </w:rPr>
              <w:t>securities</w:t>
            </w:r>
            <w:proofErr w:type="spellEnd"/>
            <w:r w:rsidRPr="00E16672">
              <w:rPr>
                <w:rFonts w:ascii="Times New Roman" w:eastAsia="Arial" w:hAnsi="Times New Roman"/>
                <w:color w:val="000000"/>
                <w:sz w:val="16"/>
                <w:szCs w:val="16"/>
              </w:rPr>
              <w:t xml:space="preserve"> </w:t>
            </w:r>
            <w:proofErr w:type="spellStart"/>
            <w:r w:rsidRPr="00E16672">
              <w:rPr>
                <w:rFonts w:ascii="Times New Roman" w:eastAsia="Arial" w:hAnsi="Times New Roman"/>
                <w:color w:val="000000"/>
                <w:sz w:val="16"/>
                <w:szCs w:val="16"/>
              </w:rPr>
              <w:t>that</w:t>
            </w:r>
            <w:proofErr w:type="spellEnd"/>
            <w:r w:rsidRPr="00E16672">
              <w:rPr>
                <w:rFonts w:ascii="Times New Roman" w:eastAsia="Arial" w:hAnsi="Times New Roman"/>
                <w:color w:val="000000"/>
                <w:sz w:val="16"/>
                <w:szCs w:val="16"/>
              </w:rPr>
              <w:t xml:space="preserve"> </w:t>
            </w:r>
            <w:proofErr w:type="spellStart"/>
            <w:r w:rsidRPr="00E16672">
              <w:rPr>
                <w:rFonts w:ascii="Times New Roman" w:eastAsia="Arial" w:hAnsi="Times New Roman"/>
                <w:color w:val="000000"/>
                <w:sz w:val="16"/>
                <w:szCs w:val="16"/>
              </w:rPr>
              <w:t>have</w:t>
            </w:r>
            <w:proofErr w:type="spellEnd"/>
            <w:r w:rsidRPr="00E16672">
              <w:rPr>
                <w:rFonts w:ascii="Times New Roman" w:eastAsia="Arial" w:hAnsi="Times New Roman"/>
                <w:color w:val="000000"/>
                <w:sz w:val="16"/>
                <w:szCs w:val="16"/>
              </w:rPr>
              <w:t xml:space="preserve"> </w:t>
            </w:r>
            <w:proofErr w:type="spellStart"/>
            <w:r w:rsidRPr="00E16672">
              <w:rPr>
                <w:rFonts w:ascii="Times New Roman" w:eastAsia="Arial" w:hAnsi="Times New Roman"/>
                <w:color w:val="000000"/>
                <w:sz w:val="16"/>
                <w:szCs w:val="16"/>
              </w:rPr>
              <w:t>limited</w:t>
            </w:r>
            <w:proofErr w:type="spellEnd"/>
            <w:r w:rsidRPr="00E16672">
              <w:rPr>
                <w:rFonts w:ascii="Times New Roman" w:eastAsia="Arial" w:hAnsi="Times New Roman"/>
                <w:color w:val="000000"/>
                <w:sz w:val="16"/>
                <w:szCs w:val="16"/>
              </w:rPr>
              <w:t xml:space="preserve"> </w:t>
            </w:r>
            <w:proofErr w:type="spellStart"/>
            <w:r w:rsidRPr="00E16672">
              <w:rPr>
                <w:rFonts w:ascii="Times New Roman" w:eastAsia="Arial" w:hAnsi="Times New Roman"/>
                <w:color w:val="000000"/>
                <w:sz w:val="16"/>
                <w:szCs w:val="16"/>
              </w:rPr>
              <w:t>turnover</w:t>
            </w:r>
            <w:proofErr w:type="spellEnd"/>
            <w:r w:rsidRPr="00E16672">
              <w:rPr>
                <w:rFonts w:ascii="Times New Roman" w:eastAsia="Arial" w:hAnsi="Times New Roman"/>
                <w:color w:val="000000"/>
                <w:sz w:val="16"/>
                <w:szCs w:val="16"/>
              </w:rPr>
              <w:t>.</w:t>
            </w:r>
          </w:p>
        </w:tc>
      </w:tr>
      <w:tr w:rsidR="005C5318" w:rsidRPr="00F23413" w14:paraId="6C0C6230" w14:textId="77777777" w:rsidTr="005E418B">
        <w:trPr>
          <w:trHeight w:val="192"/>
        </w:trPr>
        <w:tc>
          <w:tcPr>
            <w:tcW w:w="5695" w:type="dxa"/>
            <w:gridSpan w:val="6"/>
            <w:shd w:val="clear" w:color="auto" w:fill="auto"/>
          </w:tcPr>
          <w:p w14:paraId="09CA73C3" w14:textId="77777777" w:rsidR="005C5318" w:rsidRPr="00E16672" w:rsidRDefault="005C5318" w:rsidP="00022F5F">
            <w:pPr>
              <w:tabs>
                <w:tab w:val="left" w:pos="851"/>
                <w:tab w:val="left" w:pos="7200"/>
              </w:tabs>
              <w:snapToGrid w:val="0"/>
              <w:ind w:left="142" w:right="141" w:firstLine="40"/>
              <w:jc w:val="left"/>
              <w:rPr>
                <w:rFonts w:ascii="Times New Roman" w:eastAsia="Arial" w:hAnsi="Times New Roman"/>
                <w:color w:val="000000"/>
                <w:sz w:val="16"/>
                <w:szCs w:val="16"/>
                <w:lang w:val="en-US"/>
              </w:rPr>
            </w:pPr>
            <w:r w:rsidRPr="00E16672">
              <w:rPr>
                <w:rFonts w:ascii="Times New Roman" w:eastAsia="Arial" w:hAnsi="Times New Roman"/>
                <w:color w:val="000000"/>
                <w:sz w:val="16"/>
                <w:szCs w:val="16"/>
                <w:lang w:val="en-US"/>
              </w:rPr>
              <w:t>2.1.2</w:t>
            </w:r>
            <w:r w:rsidRPr="00E16672">
              <w:rPr>
                <w:rFonts w:ascii="Times New Roman" w:eastAsia="Arial" w:hAnsi="Times New Roman"/>
                <w:color w:val="000000"/>
                <w:sz w:val="16"/>
                <w:szCs w:val="16"/>
                <w:lang w:val="uk-UA"/>
              </w:rPr>
              <w:t>0</w:t>
            </w:r>
            <w:r w:rsidRPr="00E16672">
              <w:rPr>
                <w:rFonts w:ascii="Times New Roman" w:eastAsia="Arial" w:hAnsi="Times New Roman"/>
                <w:color w:val="000000"/>
                <w:sz w:val="16"/>
                <w:szCs w:val="16"/>
                <w:lang w:val="en-US"/>
              </w:rPr>
              <w:t xml:space="preserve">. </w:t>
            </w:r>
            <w:r w:rsidR="00BA1F32" w:rsidRPr="00E16672">
              <w:rPr>
                <w:rFonts w:ascii="Times New Roman" w:eastAsia="Arial" w:hAnsi="Times New Roman"/>
                <w:color w:val="000000"/>
                <w:sz w:val="16"/>
                <w:szCs w:val="16"/>
                <w:lang w:val="uk-UA"/>
              </w:rPr>
              <w:t xml:space="preserve">Розкривати депоненту інформацію про умови та порядок діяльності депозитарної установи з урахуванням вимог, встановлених частиною першою статті 12 Закону України </w:t>
            </w:r>
            <w:r w:rsidR="00022F5F">
              <w:rPr>
                <w:rFonts w:ascii="Times New Roman" w:eastAsia="Arial" w:hAnsi="Times New Roman"/>
                <w:color w:val="000000"/>
                <w:sz w:val="16"/>
                <w:szCs w:val="16"/>
                <w:lang w:val="uk-UA"/>
              </w:rPr>
              <w:t>"</w:t>
            </w:r>
            <w:r w:rsidR="00BA1F32" w:rsidRPr="00E16672">
              <w:rPr>
                <w:rFonts w:ascii="Times New Roman" w:eastAsia="Arial" w:hAnsi="Times New Roman"/>
                <w:color w:val="000000"/>
                <w:sz w:val="16"/>
                <w:szCs w:val="16"/>
                <w:lang w:val="uk-UA"/>
              </w:rPr>
              <w:t>Про фінансові послуги та державне регулювання ринків фінансових послуг</w:t>
            </w:r>
            <w:r w:rsidR="00022F5F">
              <w:rPr>
                <w:rFonts w:ascii="Times New Roman" w:eastAsia="Arial" w:hAnsi="Times New Roman"/>
                <w:color w:val="000000"/>
                <w:sz w:val="16"/>
                <w:szCs w:val="16"/>
                <w:lang w:val="uk-UA"/>
              </w:rPr>
              <w:t>"</w:t>
            </w:r>
            <w:r w:rsidRPr="00E16672">
              <w:rPr>
                <w:rFonts w:ascii="Times New Roman" w:eastAsia="Arial" w:hAnsi="Times New Roman"/>
                <w:color w:val="000000"/>
                <w:sz w:val="16"/>
                <w:szCs w:val="16"/>
                <w:lang w:val="uk-UA"/>
              </w:rPr>
              <w:t>.</w:t>
            </w:r>
          </w:p>
          <w:p w14:paraId="36C7BE68" w14:textId="77777777" w:rsidR="005C5318" w:rsidRPr="00E16672" w:rsidRDefault="005C5318" w:rsidP="005C5318">
            <w:pPr>
              <w:tabs>
                <w:tab w:val="left" w:pos="851"/>
                <w:tab w:val="left" w:pos="7200"/>
              </w:tabs>
              <w:ind w:left="142" w:right="141" w:firstLine="40"/>
              <w:rPr>
                <w:rFonts w:ascii="Times New Roman" w:hAnsi="Times New Roman"/>
                <w:color w:val="000000"/>
                <w:sz w:val="16"/>
                <w:szCs w:val="16"/>
                <w:lang w:val="en-US"/>
              </w:rPr>
            </w:pPr>
          </w:p>
        </w:tc>
        <w:tc>
          <w:tcPr>
            <w:tcW w:w="5495" w:type="dxa"/>
            <w:gridSpan w:val="6"/>
            <w:shd w:val="clear" w:color="auto" w:fill="auto"/>
          </w:tcPr>
          <w:p w14:paraId="27E068F6" w14:textId="77777777" w:rsidR="005C5318" w:rsidRPr="00E16672" w:rsidRDefault="005C5318" w:rsidP="00022F5F">
            <w:pPr>
              <w:pStyle w:val="210"/>
              <w:snapToGrid w:val="0"/>
              <w:ind w:left="145" w:right="100" w:firstLine="3"/>
              <w:jc w:val="left"/>
              <w:rPr>
                <w:rFonts w:ascii="Times New Roman" w:eastAsia="Arial" w:hAnsi="Times New Roman"/>
                <w:color w:val="000000"/>
                <w:sz w:val="16"/>
                <w:szCs w:val="16"/>
              </w:rPr>
            </w:pPr>
            <w:r w:rsidRPr="00E16672">
              <w:rPr>
                <w:rFonts w:ascii="Times New Roman" w:eastAsia="Arial" w:hAnsi="Times New Roman"/>
                <w:color w:val="000000"/>
                <w:sz w:val="16"/>
                <w:szCs w:val="16"/>
              </w:rPr>
              <w:t xml:space="preserve">2.1.20. </w:t>
            </w:r>
            <w:proofErr w:type="spellStart"/>
            <w:r w:rsidR="00BA1F32" w:rsidRPr="00E16672">
              <w:rPr>
                <w:rFonts w:ascii="Times New Roman" w:eastAsia="Arial" w:hAnsi="Times New Roman"/>
                <w:color w:val="000000"/>
                <w:sz w:val="16"/>
                <w:szCs w:val="16"/>
              </w:rPr>
              <w:t>To</w:t>
            </w:r>
            <w:proofErr w:type="spellEnd"/>
            <w:r w:rsidR="00BA1F32" w:rsidRPr="00E16672">
              <w:rPr>
                <w:rFonts w:ascii="Times New Roman" w:eastAsia="Arial" w:hAnsi="Times New Roman"/>
                <w:color w:val="000000"/>
                <w:sz w:val="16"/>
                <w:szCs w:val="16"/>
              </w:rPr>
              <w:t xml:space="preserve"> </w:t>
            </w:r>
            <w:proofErr w:type="spellStart"/>
            <w:r w:rsidR="00BA1F32" w:rsidRPr="00E16672">
              <w:rPr>
                <w:rFonts w:ascii="Times New Roman" w:eastAsia="Arial" w:hAnsi="Times New Roman"/>
                <w:color w:val="000000"/>
                <w:sz w:val="16"/>
                <w:szCs w:val="16"/>
              </w:rPr>
              <w:t>disclose</w:t>
            </w:r>
            <w:proofErr w:type="spellEnd"/>
            <w:r w:rsidR="00BA1F32" w:rsidRPr="00E16672">
              <w:rPr>
                <w:rFonts w:ascii="Times New Roman" w:eastAsia="Arial" w:hAnsi="Times New Roman"/>
                <w:color w:val="000000"/>
                <w:sz w:val="16"/>
                <w:szCs w:val="16"/>
              </w:rPr>
              <w:t xml:space="preserve"> </w:t>
            </w:r>
            <w:proofErr w:type="spellStart"/>
            <w:r w:rsidR="00BA1F32" w:rsidRPr="00E16672">
              <w:rPr>
                <w:rFonts w:ascii="Times New Roman" w:eastAsia="Arial" w:hAnsi="Times New Roman"/>
                <w:color w:val="000000"/>
                <w:sz w:val="16"/>
                <w:szCs w:val="16"/>
              </w:rPr>
              <w:t>to</w:t>
            </w:r>
            <w:proofErr w:type="spellEnd"/>
            <w:r w:rsidR="00BA1F32" w:rsidRPr="00E16672">
              <w:rPr>
                <w:rFonts w:ascii="Times New Roman" w:eastAsia="Arial" w:hAnsi="Times New Roman"/>
                <w:color w:val="000000"/>
                <w:sz w:val="16"/>
                <w:szCs w:val="16"/>
              </w:rPr>
              <w:t xml:space="preserve"> </w:t>
            </w:r>
            <w:proofErr w:type="spellStart"/>
            <w:r w:rsidR="00BA1F32" w:rsidRPr="00E16672">
              <w:rPr>
                <w:rFonts w:ascii="Times New Roman" w:eastAsia="Arial" w:hAnsi="Times New Roman"/>
                <w:color w:val="000000"/>
                <w:sz w:val="16"/>
                <w:szCs w:val="16"/>
              </w:rPr>
              <w:t>the</w:t>
            </w:r>
            <w:proofErr w:type="spellEnd"/>
            <w:r w:rsidR="00BA1F32" w:rsidRPr="00E16672">
              <w:rPr>
                <w:rFonts w:ascii="Times New Roman" w:eastAsia="Arial" w:hAnsi="Times New Roman"/>
                <w:color w:val="000000"/>
                <w:sz w:val="16"/>
                <w:szCs w:val="16"/>
              </w:rPr>
              <w:t xml:space="preserve"> </w:t>
            </w:r>
            <w:proofErr w:type="spellStart"/>
            <w:r w:rsidR="00BA1F32" w:rsidRPr="00E16672">
              <w:rPr>
                <w:rFonts w:ascii="Times New Roman" w:eastAsia="Arial" w:hAnsi="Times New Roman"/>
                <w:color w:val="000000"/>
                <w:sz w:val="16"/>
                <w:szCs w:val="16"/>
              </w:rPr>
              <w:t>depositor</w:t>
            </w:r>
            <w:proofErr w:type="spellEnd"/>
            <w:r w:rsidR="00BA1F32" w:rsidRPr="00E16672">
              <w:rPr>
                <w:rFonts w:ascii="Times New Roman" w:eastAsia="Arial" w:hAnsi="Times New Roman"/>
                <w:color w:val="000000"/>
                <w:sz w:val="16"/>
                <w:szCs w:val="16"/>
              </w:rPr>
              <w:t xml:space="preserve"> </w:t>
            </w:r>
            <w:proofErr w:type="spellStart"/>
            <w:r w:rsidR="00BA1F32" w:rsidRPr="00E16672">
              <w:rPr>
                <w:rFonts w:ascii="Times New Roman" w:eastAsia="Arial" w:hAnsi="Times New Roman"/>
                <w:color w:val="000000"/>
                <w:sz w:val="16"/>
                <w:szCs w:val="16"/>
              </w:rPr>
              <w:t>information</w:t>
            </w:r>
            <w:proofErr w:type="spellEnd"/>
            <w:r w:rsidR="00BA1F32" w:rsidRPr="00E16672">
              <w:rPr>
                <w:rFonts w:ascii="Times New Roman" w:eastAsia="Arial" w:hAnsi="Times New Roman"/>
                <w:color w:val="000000"/>
                <w:sz w:val="16"/>
                <w:szCs w:val="16"/>
              </w:rPr>
              <w:t xml:space="preserve"> </w:t>
            </w:r>
            <w:proofErr w:type="spellStart"/>
            <w:r w:rsidR="00BA1F32" w:rsidRPr="00E16672">
              <w:rPr>
                <w:rFonts w:ascii="Times New Roman" w:eastAsia="Arial" w:hAnsi="Times New Roman"/>
                <w:color w:val="000000"/>
                <w:sz w:val="16"/>
                <w:szCs w:val="16"/>
              </w:rPr>
              <w:t>on</w:t>
            </w:r>
            <w:proofErr w:type="spellEnd"/>
            <w:r w:rsidR="00BA1F32" w:rsidRPr="00E16672">
              <w:rPr>
                <w:rFonts w:ascii="Times New Roman" w:eastAsia="Arial" w:hAnsi="Times New Roman"/>
                <w:color w:val="000000"/>
                <w:sz w:val="16"/>
                <w:szCs w:val="16"/>
              </w:rPr>
              <w:t xml:space="preserve"> </w:t>
            </w:r>
            <w:proofErr w:type="spellStart"/>
            <w:r w:rsidR="00BA1F32" w:rsidRPr="00E16672">
              <w:rPr>
                <w:rFonts w:ascii="Times New Roman" w:eastAsia="Arial" w:hAnsi="Times New Roman"/>
                <w:color w:val="000000"/>
                <w:sz w:val="16"/>
                <w:szCs w:val="16"/>
              </w:rPr>
              <w:t>the</w:t>
            </w:r>
            <w:proofErr w:type="spellEnd"/>
            <w:r w:rsidR="00BA1F32" w:rsidRPr="00E16672">
              <w:rPr>
                <w:rFonts w:ascii="Times New Roman" w:eastAsia="Arial" w:hAnsi="Times New Roman"/>
                <w:color w:val="000000"/>
                <w:sz w:val="16"/>
                <w:szCs w:val="16"/>
              </w:rPr>
              <w:t xml:space="preserve"> </w:t>
            </w:r>
            <w:proofErr w:type="spellStart"/>
            <w:r w:rsidR="00BA1F32" w:rsidRPr="00E16672">
              <w:rPr>
                <w:rFonts w:ascii="Times New Roman" w:eastAsia="Arial" w:hAnsi="Times New Roman"/>
                <w:color w:val="000000"/>
                <w:sz w:val="16"/>
                <w:szCs w:val="16"/>
              </w:rPr>
              <w:t>conditions</w:t>
            </w:r>
            <w:proofErr w:type="spellEnd"/>
            <w:r w:rsidR="00BA1F32" w:rsidRPr="00E16672">
              <w:rPr>
                <w:rFonts w:ascii="Times New Roman" w:eastAsia="Arial" w:hAnsi="Times New Roman"/>
                <w:color w:val="000000"/>
                <w:sz w:val="16"/>
                <w:szCs w:val="16"/>
              </w:rPr>
              <w:t xml:space="preserve"> </w:t>
            </w:r>
            <w:proofErr w:type="spellStart"/>
            <w:r w:rsidR="00BA1F32" w:rsidRPr="00E16672">
              <w:rPr>
                <w:rFonts w:ascii="Times New Roman" w:eastAsia="Arial" w:hAnsi="Times New Roman"/>
                <w:color w:val="000000"/>
                <w:sz w:val="16"/>
                <w:szCs w:val="16"/>
              </w:rPr>
              <w:t>and</w:t>
            </w:r>
            <w:proofErr w:type="spellEnd"/>
            <w:r w:rsidR="00BA1F32" w:rsidRPr="00E16672">
              <w:rPr>
                <w:rFonts w:ascii="Times New Roman" w:eastAsia="Arial" w:hAnsi="Times New Roman"/>
                <w:color w:val="000000"/>
                <w:sz w:val="16"/>
                <w:szCs w:val="16"/>
              </w:rPr>
              <w:t xml:space="preserve"> </w:t>
            </w:r>
            <w:proofErr w:type="spellStart"/>
            <w:r w:rsidR="00BA1F32" w:rsidRPr="00E16672">
              <w:rPr>
                <w:rFonts w:ascii="Times New Roman" w:eastAsia="Arial" w:hAnsi="Times New Roman"/>
                <w:color w:val="000000"/>
                <w:sz w:val="16"/>
                <w:szCs w:val="16"/>
              </w:rPr>
              <w:t>procedure</w:t>
            </w:r>
            <w:proofErr w:type="spellEnd"/>
            <w:r w:rsidR="00BA1F32" w:rsidRPr="00E16672">
              <w:rPr>
                <w:rFonts w:ascii="Times New Roman" w:eastAsia="Arial" w:hAnsi="Times New Roman"/>
                <w:color w:val="000000"/>
                <w:sz w:val="16"/>
                <w:szCs w:val="16"/>
              </w:rPr>
              <w:t xml:space="preserve"> </w:t>
            </w:r>
            <w:proofErr w:type="spellStart"/>
            <w:r w:rsidR="00BA1F32" w:rsidRPr="00E16672">
              <w:rPr>
                <w:rFonts w:ascii="Times New Roman" w:eastAsia="Arial" w:hAnsi="Times New Roman"/>
                <w:color w:val="000000"/>
                <w:sz w:val="16"/>
                <w:szCs w:val="16"/>
              </w:rPr>
              <w:t>of</w:t>
            </w:r>
            <w:proofErr w:type="spellEnd"/>
            <w:r w:rsidR="00BA1F32" w:rsidRPr="00E16672">
              <w:rPr>
                <w:rFonts w:ascii="Times New Roman" w:eastAsia="Arial" w:hAnsi="Times New Roman"/>
                <w:color w:val="000000"/>
                <w:sz w:val="16"/>
                <w:szCs w:val="16"/>
              </w:rPr>
              <w:t xml:space="preserve"> </w:t>
            </w:r>
            <w:proofErr w:type="spellStart"/>
            <w:r w:rsidR="00BA1F32" w:rsidRPr="00E16672">
              <w:rPr>
                <w:rFonts w:ascii="Times New Roman" w:eastAsia="Arial" w:hAnsi="Times New Roman"/>
                <w:color w:val="000000"/>
                <w:sz w:val="16"/>
                <w:szCs w:val="16"/>
              </w:rPr>
              <w:t>the</w:t>
            </w:r>
            <w:proofErr w:type="spellEnd"/>
            <w:r w:rsidR="00BA1F32" w:rsidRPr="00E16672">
              <w:rPr>
                <w:rFonts w:ascii="Times New Roman" w:eastAsia="Arial" w:hAnsi="Times New Roman"/>
                <w:color w:val="000000"/>
                <w:sz w:val="16"/>
                <w:szCs w:val="16"/>
              </w:rPr>
              <w:t xml:space="preserve"> </w:t>
            </w:r>
            <w:proofErr w:type="spellStart"/>
            <w:r w:rsidR="00BA1F32" w:rsidRPr="00E16672">
              <w:rPr>
                <w:rFonts w:ascii="Times New Roman" w:eastAsia="Arial" w:hAnsi="Times New Roman"/>
                <w:color w:val="000000"/>
                <w:sz w:val="16"/>
                <w:szCs w:val="16"/>
              </w:rPr>
              <w:t>depository</w:t>
            </w:r>
            <w:proofErr w:type="spellEnd"/>
            <w:r w:rsidR="00BA1F32" w:rsidRPr="00E16672">
              <w:rPr>
                <w:rFonts w:ascii="Times New Roman" w:eastAsia="Arial" w:hAnsi="Times New Roman"/>
                <w:color w:val="000000"/>
                <w:sz w:val="16"/>
                <w:szCs w:val="16"/>
              </w:rPr>
              <w:t xml:space="preserve"> </w:t>
            </w:r>
            <w:proofErr w:type="spellStart"/>
            <w:r w:rsidR="00BA1F32" w:rsidRPr="00E16672">
              <w:rPr>
                <w:rFonts w:ascii="Times New Roman" w:eastAsia="Arial" w:hAnsi="Times New Roman"/>
                <w:color w:val="000000"/>
                <w:sz w:val="16"/>
                <w:szCs w:val="16"/>
              </w:rPr>
              <w:t>institution</w:t>
            </w:r>
            <w:proofErr w:type="spellEnd"/>
            <w:r w:rsidR="00BA1F32" w:rsidRPr="00E16672">
              <w:rPr>
                <w:rFonts w:ascii="Times New Roman" w:eastAsia="Arial" w:hAnsi="Times New Roman"/>
                <w:color w:val="000000"/>
                <w:sz w:val="16"/>
                <w:szCs w:val="16"/>
              </w:rPr>
              <w:t xml:space="preserve"> </w:t>
            </w:r>
            <w:proofErr w:type="spellStart"/>
            <w:r w:rsidR="00BA1F32" w:rsidRPr="00E16672">
              <w:rPr>
                <w:rFonts w:ascii="Times New Roman" w:eastAsia="Arial" w:hAnsi="Times New Roman"/>
                <w:color w:val="000000"/>
                <w:sz w:val="16"/>
                <w:szCs w:val="16"/>
              </w:rPr>
              <w:t>taking</w:t>
            </w:r>
            <w:proofErr w:type="spellEnd"/>
            <w:r w:rsidR="00BA1F32" w:rsidRPr="00E16672">
              <w:rPr>
                <w:rFonts w:ascii="Times New Roman" w:eastAsia="Arial" w:hAnsi="Times New Roman"/>
                <w:color w:val="000000"/>
                <w:sz w:val="16"/>
                <w:szCs w:val="16"/>
              </w:rPr>
              <w:t xml:space="preserve"> </w:t>
            </w:r>
            <w:proofErr w:type="spellStart"/>
            <w:r w:rsidR="00BA1F32" w:rsidRPr="00E16672">
              <w:rPr>
                <w:rFonts w:ascii="Times New Roman" w:eastAsia="Arial" w:hAnsi="Times New Roman"/>
                <w:color w:val="000000"/>
                <w:sz w:val="16"/>
                <w:szCs w:val="16"/>
              </w:rPr>
              <w:t>into</w:t>
            </w:r>
            <w:proofErr w:type="spellEnd"/>
            <w:r w:rsidR="00BA1F32" w:rsidRPr="00E16672">
              <w:rPr>
                <w:rFonts w:ascii="Times New Roman" w:eastAsia="Arial" w:hAnsi="Times New Roman"/>
                <w:color w:val="000000"/>
                <w:sz w:val="16"/>
                <w:szCs w:val="16"/>
              </w:rPr>
              <w:t xml:space="preserve"> </w:t>
            </w:r>
            <w:proofErr w:type="spellStart"/>
            <w:r w:rsidR="00BA1F32" w:rsidRPr="00E16672">
              <w:rPr>
                <w:rFonts w:ascii="Times New Roman" w:eastAsia="Arial" w:hAnsi="Times New Roman"/>
                <w:color w:val="000000"/>
                <w:sz w:val="16"/>
                <w:szCs w:val="16"/>
              </w:rPr>
              <w:t>account</w:t>
            </w:r>
            <w:proofErr w:type="spellEnd"/>
            <w:r w:rsidR="00BA1F32" w:rsidRPr="00E16672">
              <w:rPr>
                <w:rFonts w:ascii="Times New Roman" w:eastAsia="Arial" w:hAnsi="Times New Roman"/>
                <w:color w:val="000000"/>
                <w:sz w:val="16"/>
                <w:szCs w:val="16"/>
              </w:rPr>
              <w:t xml:space="preserve"> </w:t>
            </w:r>
            <w:proofErr w:type="spellStart"/>
            <w:r w:rsidR="00BA1F32" w:rsidRPr="00E16672">
              <w:rPr>
                <w:rFonts w:ascii="Times New Roman" w:eastAsia="Arial" w:hAnsi="Times New Roman"/>
                <w:color w:val="000000"/>
                <w:sz w:val="16"/>
                <w:szCs w:val="16"/>
              </w:rPr>
              <w:t>the</w:t>
            </w:r>
            <w:proofErr w:type="spellEnd"/>
            <w:r w:rsidR="00BA1F32" w:rsidRPr="00E16672">
              <w:rPr>
                <w:rFonts w:ascii="Times New Roman" w:eastAsia="Arial" w:hAnsi="Times New Roman"/>
                <w:color w:val="000000"/>
                <w:sz w:val="16"/>
                <w:szCs w:val="16"/>
              </w:rPr>
              <w:t xml:space="preserve"> </w:t>
            </w:r>
            <w:proofErr w:type="spellStart"/>
            <w:r w:rsidR="00BA1F32" w:rsidRPr="00E16672">
              <w:rPr>
                <w:rFonts w:ascii="Times New Roman" w:eastAsia="Arial" w:hAnsi="Times New Roman"/>
                <w:color w:val="000000"/>
                <w:sz w:val="16"/>
                <w:szCs w:val="16"/>
              </w:rPr>
              <w:t>requirements</w:t>
            </w:r>
            <w:proofErr w:type="spellEnd"/>
            <w:r w:rsidR="00BA1F32" w:rsidRPr="00E16672">
              <w:rPr>
                <w:rFonts w:ascii="Times New Roman" w:eastAsia="Arial" w:hAnsi="Times New Roman"/>
                <w:color w:val="000000"/>
                <w:sz w:val="16"/>
                <w:szCs w:val="16"/>
              </w:rPr>
              <w:t xml:space="preserve"> </w:t>
            </w:r>
            <w:proofErr w:type="spellStart"/>
            <w:r w:rsidR="00BA1F32" w:rsidRPr="00E16672">
              <w:rPr>
                <w:rFonts w:ascii="Times New Roman" w:eastAsia="Arial" w:hAnsi="Times New Roman"/>
                <w:color w:val="000000"/>
                <w:sz w:val="16"/>
                <w:szCs w:val="16"/>
              </w:rPr>
              <w:t>established</w:t>
            </w:r>
            <w:proofErr w:type="spellEnd"/>
            <w:r w:rsidR="00BA1F32" w:rsidRPr="00E16672">
              <w:rPr>
                <w:rFonts w:ascii="Times New Roman" w:eastAsia="Arial" w:hAnsi="Times New Roman"/>
                <w:color w:val="000000"/>
                <w:sz w:val="16"/>
                <w:szCs w:val="16"/>
              </w:rPr>
              <w:t xml:space="preserve"> </w:t>
            </w:r>
            <w:proofErr w:type="spellStart"/>
            <w:r w:rsidR="00BA1F32" w:rsidRPr="00E16672">
              <w:rPr>
                <w:rFonts w:ascii="Times New Roman" w:eastAsia="Arial" w:hAnsi="Times New Roman"/>
                <w:color w:val="000000"/>
                <w:sz w:val="16"/>
                <w:szCs w:val="16"/>
              </w:rPr>
              <w:t>by</w:t>
            </w:r>
            <w:proofErr w:type="spellEnd"/>
            <w:r w:rsidR="00BA1F32" w:rsidRPr="00E16672">
              <w:rPr>
                <w:rFonts w:ascii="Times New Roman" w:eastAsia="Arial" w:hAnsi="Times New Roman"/>
                <w:color w:val="000000"/>
                <w:sz w:val="16"/>
                <w:szCs w:val="16"/>
              </w:rPr>
              <w:t xml:space="preserve"> </w:t>
            </w:r>
            <w:proofErr w:type="spellStart"/>
            <w:r w:rsidR="00BA1F32" w:rsidRPr="00E16672">
              <w:rPr>
                <w:rFonts w:ascii="Times New Roman" w:eastAsia="Arial" w:hAnsi="Times New Roman"/>
                <w:color w:val="000000"/>
                <w:sz w:val="16"/>
                <w:szCs w:val="16"/>
              </w:rPr>
              <w:t>part</w:t>
            </w:r>
            <w:proofErr w:type="spellEnd"/>
            <w:r w:rsidR="00BA1F32" w:rsidRPr="00E16672">
              <w:rPr>
                <w:rFonts w:ascii="Times New Roman" w:eastAsia="Arial" w:hAnsi="Times New Roman"/>
                <w:color w:val="000000"/>
                <w:sz w:val="16"/>
                <w:szCs w:val="16"/>
              </w:rPr>
              <w:t xml:space="preserve"> </w:t>
            </w:r>
            <w:proofErr w:type="spellStart"/>
            <w:r w:rsidR="00BA1F32" w:rsidRPr="00E16672">
              <w:rPr>
                <w:rFonts w:ascii="Times New Roman" w:eastAsia="Arial" w:hAnsi="Times New Roman"/>
                <w:color w:val="000000"/>
                <w:sz w:val="16"/>
                <w:szCs w:val="16"/>
              </w:rPr>
              <w:t>one</w:t>
            </w:r>
            <w:proofErr w:type="spellEnd"/>
            <w:r w:rsidR="00BA1F32" w:rsidRPr="00E16672">
              <w:rPr>
                <w:rFonts w:ascii="Times New Roman" w:eastAsia="Arial" w:hAnsi="Times New Roman"/>
                <w:color w:val="000000"/>
                <w:sz w:val="16"/>
                <w:szCs w:val="16"/>
              </w:rPr>
              <w:t xml:space="preserve"> </w:t>
            </w:r>
            <w:proofErr w:type="spellStart"/>
            <w:r w:rsidR="00BA1F32" w:rsidRPr="00E16672">
              <w:rPr>
                <w:rFonts w:ascii="Times New Roman" w:eastAsia="Arial" w:hAnsi="Times New Roman"/>
                <w:color w:val="000000"/>
                <w:sz w:val="16"/>
                <w:szCs w:val="16"/>
              </w:rPr>
              <w:t>of</w:t>
            </w:r>
            <w:proofErr w:type="spellEnd"/>
            <w:r w:rsidR="00BA1F32" w:rsidRPr="00E16672">
              <w:rPr>
                <w:rFonts w:ascii="Times New Roman" w:eastAsia="Arial" w:hAnsi="Times New Roman"/>
                <w:color w:val="000000"/>
                <w:sz w:val="16"/>
                <w:szCs w:val="16"/>
              </w:rPr>
              <w:t xml:space="preserve"> </w:t>
            </w:r>
            <w:proofErr w:type="spellStart"/>
            <w:r w:rsidR="00BA1F32" w:rsidRPr="00E16672">
              <w:rPr>
                <w:rFonts w:ascii="Times New Roman" w:eastAsia="Arial" w:hAnsi="Times New Roman"/>
                <w:color w:val="000000"/>
                <w:sz w:val="16"/>
                <w:szCs w:val="16"/>
              </w:rPr>
              <w:t>Article</w:t>
            </w:r>
            <w:proofErr w:type="spellEnd"/>
            <w:r w:rsidR="00BA1F32" w:rsidRPr="00E16672">
              <w:rPr>
                <w:rFonts w:ascii="Times New Roman" w:eastAsia="Arial" w:hAnsi="Times New Roman"/>
                <w:color w:val="000000"/>
                <w:sz w:val="16"/>
                <w:szCs w:val="16"/>
              </w:rPr>
              <w:t xml:space="preserve"> 12 </w:t>
            </w:r>
            <w:proofErr w:type="spellStart"/>
            <w:r w:rsidR="00BA1F32" w:rsidRPr="00E16672">
              <w:rPr>
                <w:rFonts w:ascii="Times New Roman" w:eastAsia="Arial" w:hAnsi="Times New Roman"/>
                <w:color w:val="000000"/>
                <w:sz w:val="16"/>
                <w:szCs w:val="16"/>
              </w:rPr>
              <w:t>of</w:t>
            </w:r>
            <w:proofErr w:type="spellEnd"/>
            <w:r w:rsidR="00BA1F32" w:rsidRPr="00E16672">
              <w:rPr>
                <w:rFonts w:ascii="Times New Roman" w:eastAsia="Arial" w:hAnsi="Times New Roman"/>
                <w:color w:val="000000"/>
                <w:sz w:val="16"/>
                <w:szCs w:val="16"/>
              </w:rPr>
              <w:t xml:space="preserve"> </w:t>
            </w:r>
            <w:proofErr w:type="spellStart"/>
            <w:r w:rsidR="00BA1F32" w:rsidRPr="00E16672">
              <w:rPr>
                <w:rFonts w:ascii="Times New Roman" w:eastAsia="Arial" w:hAnsi="Times New Roman"/>
                <w:color w:val="000000"/>
                <w:sz w:val="16"/>
                <w:szCs w:val="16"/>
              </w:rPr>
              <w:t>the</w:t>
            </w:r>
            <w:proofErr w:type="spellEnd"/>
            <w:r w:rsidR="00BA1F32" w:rsidRPr="00E16672">
              <w:rPr>
                <w:rFonts w:ascii="Times New Roman" w:eastAsia="Arial" w:hAnsi="Times New Roman"/>
                <w:color w:val="000000"/>
                <w:sz w:val="16"/>
                <w:szCs w:val="16"/>
              </w:rPr>
              <w:t xml:space="preserve"> </w:t>
            </w:r>
            <w:proofErr w:type="spellStart"/>
            <w:r w:rsidR="00BA1F32" w:rsidRPr="00E16672">
              <w:rPr>
                <w:rFonts w:ascii="Times New Roman" w:eastAsia="Arial" w:hAnsi="Times New Roman"/>
                <w:color w:val="000000"/>
                <w:sz w:val="16"/>
                <w:szCs w:val="16"/>
              </w:rPr>
              <w:t>Law</w:t>
            </w:r>
            <w:proofErr w:type="spellEnd"/>
            <w:r w:rsidR="00BA1F32" w:rsidRPr="00E16672">
              <w:rPr>
                <w:rFonts w:ascii="Times New Roman" w:eastAsia="Arial" w:hAnsi="Times New Roman"/>
                <w:color w:val="000000"/>
                <w:sz w:val="16"/>
                <w:szCs w:val="16"/>
              </w:rPr>
              <w:t xml:space="preserve"> </w:t>
            </w:r>
            <w:proofErr w:type="spellStart"/>
            <w:r w:rsidR="00BA1F32" w:rsidRPr="00E16672">
              <w:rPr>
                <w:rFonts w:ascii="Times New Roman" w:eastAsia="Arial" w:hAnsi="Times New Roman"/>
                <w:color w:val="000000"/>
                <w:sz w:val="16"/>
                <w:szCs w:val="16"/>
              </w:rPr>
              <w:t>of</w:t>
            </w:r>
            <w:proofErr w:type="spellEnd"/>
            <w:r w:rsidR="00BA1F32" w:rsidRPr="00E16672">
              <w:rPr>
                <w:rFonts w:ascii="Times New Roman" w:eastAsia="Arial" w:hAnsi="Times New Roman"/>
                <w:color w:val="000000"/>
                <w:sz w:val="16"/>
                <w:szCs w:val="16"/>
              </w:rPr>
              <w:t xml:space="preserve"> </w:t>
            </w:r>
            <w:proofErr w:type="spellStart"/>
            <w:r w:rsidR="00BA1F32" w:rsidRPr="00E16672">
              <w:rPr>
                <w:rFonts w:ascii="Times New Roman" w:eastAsia="Arial" w:hAnsi="Times New Roman"/>
                <w:color w:val="000000"/>
                <w:sz w:val="16"/>
                <w:szCs w:val="16"/>
              </w:rPr>
              <w:t>Ukraine</w:t>
            </w:r>
            <w:proofErr w:type="spellEnd"/>
            <w:r w:rsidR="00BA1F32" w:rsidRPr="00E16672">
              <w:rPr>
                <w:rFonts w:ascii="Times New Roman" w:eastAsia="Arial" w:hAnsi="Times New Roman"/>
                <w:color w:val="000000"/>
                <w:sz w:val="16"/>
                <w:szCs w:val="16"/>
              </w:rPr>
              <w:t xml:space="preserve"> </w:t>
            </w:r>
            <w:r w:rsidR="00022F5F">
              <w:rPr>
                <w:rFonts w:ascii="Times New Roman" w:eastAsia="Arial" w:hAnsi="Times New Roman"/>
                <w:color w:val="000000"/>
                <w:sz w:val="16"/>
                <w:szCs w:val="16"/>
                <w:lang w:val="en-US"/>
              </w:rPr>
              <w:t>"</w:t>
            </w:r>
            <w:proofErr w:type="spellStart"/>
            <w:r w:rsidR="00BA1F32" w:rsidRPr="00E16672">
              <w:rPr>
                <w:rFonts w:ascii="Times New Roman" w:eastAsia="Arial" w:hAnsi="Times New Roman"/>
                <w:color w:val="000000"/>
                <w:sz w:val="16"/>
                <w:szCs w:val="16"/>
              </w:rPr>
              <w:t>On</w:t>
            </w:r>
            <w:proofErr w:type="spellEnd"/>
            <w:r w:rsidR="00BA1F32" w:rsidRPr="00E16672">
              <w:rPr>
                <w:rFonts w:ascii="Times New Roman" w:eastAsia="Arial" w:hAnsi="Times New Roman"/>
                <w:color w:val="000000"/>
                <w:sz w:val="16"/>
                <w:szCs w:val="16"/>
              </w:rPr>
              <w:t xml:space="preserve"> </w:t>
            </w:r>
            <w:proofErr w:type="spellStart"/>
            <w:r w:rsidR="00BA1F32" w:rsidRPr="00E16672">
              <w:rPr>
                <w:rFonts w:ascii="Times New Roman" w:eastAsia="Arial" w:hAnsi="Times New Roman"/>
                <w:color w:val="000000"/>
                <w:sz w:val="16"/>
                <w:szCs w:val="16"/>
              </w:rPr>
              <w:t>Financial</w:t>
            </w:r>
            <w:proofErr w:type="spellEnd"/>
            <w:r w:rsidR="00BA1F32" w:rsidRPr="00E16672">
              <w:rPr>
                <w:rFonts w:ascii="Times New Roman" w:eastAsia="Arial" w:hAnsi="Times New Roman"/>
                <w:color w:val="000000"/>
                <w:sz w:val="16"/>
                <w:szCs w:val="16"/>
              </w:rPr>
              <w:t xml:space="preserve"> </w:t>
            </w:r>
            <w:proofErr w:type="spellStart"/>
            <w:r w:rsidR="00BA1F32" w:rsidRPr="00E16672">
              <w:rPr>
                <w:rFonts w:ascii="Times New Roman" w:eastAsia="Arial" w:hAnsi="Times New Roman"/>
                <w:color w:val="000000"/>
                <w:sz w:val="16"/>
                <w:szCs w:val="16"/>
              </w:rPr>
              <w:t>Services</w:t>
            </w:r>
            <w:proofErr w:type="spellEnd"/>
            <w:r w:rsidR="00BA1F32" w:rsidRPr="00E16672">
              <w:rPr>
                <w:rFonts w:ascii="Times New Roman" w:eastAsia="Arial" w:hAnsi="Times New Roman"/>
                <w:color w:val="000000"/>
                <w:sz w:val="16"/>
                <w:szCs w:val="16"/>
              </w:rPr>
              <w:t xml:space="preserve"> </w:t>
            </w:r>
            <w:proofErr w:type="spellStart"/>
            <w:r w:rsidR="00BA1F32" w:rsidRPr="00E16672">
              <w:rPr>
                <w:rFonts w:ascii="Times New Roman" w:eastAsia="Arial" w:hAnsi="Times New Roman"/>
                <w:color w:val="000000"/>
                <w:sz w:val="16"/>
                <w:szCs w:val="16"/>
              </w:rPr>
              <w:t>and</w:t>
            </w:r>
            <w:proofErr w:type="spellEnd"/>
            <w:r w:rsidR="00BA1F32" w:rsidRPr="00E16672">
              <w:rPr>
                <w:rFonts w:ascii="Times New Roman" w:eastAsia="Arial" w:hAnsi="Times New Roman"/>
                <w:color w:val="000000"/>
                <w:sz w:val="16"/>
                <w:szCs w:val="16"/>
              </w:rPr>
              <w:t xml:space="preserve"> </w:t>
            </w:r>
            <w:proofErr w:type="spellStart"/>
            <w:r w:rsidR="00BA1F32" w:rsidRPr="00E16672">
              <w:rPr>
                <w:rFonts w:ascii="Times New Roman" w:eastAsia="Arial" w:hAnsi="Times New Roman"/>
                <w:color w:val="000000"/>
                <w:sz w:val="16"/>
                <w:szCs w:val="16"/>
              </w:rPr>
              <w:t>State</w:t>
            </w:r>
            <w:proofErr w:type="spellEnd"/>
            <w:r w:rsidR="00BA1F32" w:rsidRPr="00E16672">
              <w:rPr>
                <w:rFonts w:ascii="Times New Roman" w:eastAsia="Arial" w:hAnsi="Times New Roman"/>
                <w:color w:val="000000"/>
                <w:sz w:val="16"/>
                <w:szCs w:val="16"/>
              </w:rPr>
              <w:t xml:space="preserve"> </w:t>
            </w:r>
            <w:proofErr w:type="spellStart"/>
            <w:r w:rsidR="00BA1F32" w:rsidRPr="00E16672">
              <w:rPr>
                <w:rFonts w:ascii="Times New Roman" w:eastAsia="Arial" w:hAnsi="Times New Roman"/>
                <w:color w:val="000000"/>
                <w:sz w:val="16"/>
                <w:szCs w:val="16"/>
              </w:rPr>
              <w:t>Regulation</w:t>
            </w:r>
            <w:proofErr w:type="spellEnd"/>
            <w:r w:rsidR="00BA1F32" w:rsidRPr="00E16672">
              <w:rPr>
                <w:rFonts w:ascii="Times New Roman" w:eastAsia="Arial" w:hAnsi="Times New Roman"/>
                <w:color w:val="000000"/>
                <w:sz w:val="16"/>
                <w:szCs w:val="16"/>
              </w:rPr>
              <w:t xml:space="preserve"> </w:t>
            </w:r>
            <w:proofErr w:type="spellStart"/>
            <w:r w:rsidR="00BA1F32" w:rsidRPr="00E16672">
              <w:rPr>
                <w:rFonts w:ascii="Times New Roman" w:eastAsia="Arial" w:hAnsi="Times New Roman"/>
                <w:color w:val="000000"/>
                <w:sz w:val="16"/>
                <w:szCs w:val="16"/>
              </w:rPr>
              <w:t>of</w:t>
            </w:r>
            <w:proofErr w:type="spellEnd"/>
            <w:r w:rsidR="00BA1F32" w:rsidRPr="00E16672">
              <w:rPr>
                <w:rFonts w:ascii="Times New Roman" w:eastAsia="Arial" w:hAnsi="Times New Roman"/>
                <w:color w:val="000000"/>
                <w:sz w:val="16"/>
                <w:szCs w:val="16"/>
              </w:rPr>
              <w:t xml:space="preserve"> </w:t>
            </w:r>
            <w:proofErr w:type="spellStart"/>
            <w:r w:rsidR="00BA1F32" w:rsidRPr="00E16672">
              <w:rPr>
                <w:rFonts w:ascii="Times New Roman" w:eastAsia="Arial" w:hAnsi="Times New Roman"/>
                <w:color w:val="000000"/>
                <w:sz w:val="16"/>
                <w:szCs w:val="16"/>
              </w:rPr>
              <w:t>Financial</w:t>
            </w:r>
            <w:proofErr w:type="spellEnd"/>
            <w:r w:rsidR="00BA1F32" w:rsidRPr="00E16672">
              <w:rPr>
                <w:rFonts w:ascii="Times New Roman" w:eastAsia="Arial" w:hAnsi="Times New Roman"/>
                <w:color w:val="000000"/>
                <w:sz w:val="16"/>
                <w:szCs w:val="16"/>
              </w:rPr>
              <w:t xml:space="preserve"> </w:t>
            </w:r>
            <w:proofErr w:type="spellStart"/>
            <w:r w:rsidR="00BA1F32" w:rsidRPr="00E16672">
              <w:rPr>
                <w:rFonts w:ascii="Times New Roman" w:eastAsia="Arial" w:hAnsi="Times New Roman"/>
                <w:color w:val="000000"/>
                <w:sz w:val="16"/>
                <w:szCs w:val="16"/>
              </w:rPr>
              <w:t>Services</w:t>
            </w:r>
            <w:proofErr w:type="spellEnd"/>
            <w:r w:rsidR="00BA1F32" w:rsidRPr="00E16672">
              <w:rPr>
                <w:rFonts w:ascii="Times New Roman" w:eastAsia="Arial" w:hAnsi="Times New Roman"/>
                <w:color w:val="000000"/>
                <w:sz w:val="16"/>
                <w:szCs w:val="16"/>
              </w:rPr>
              <w:t xml:space="preserve"> </w:t>
            </w:r>
            <w:proofErr w:type="spellStart"/>
            <w:r w:rsidR="00BA1F32" w:rsidRPr="00E16672">
              <w:rPr>
                <w:rFonts w:ascii="Times New Roman" w:eastAsia="Arial" w:hAnsi="Times New Roman"/>
                <w:color w:val="000000"/>
                <w:sz w:val="16"/>
                <w:szCs w:val="16"/>
              </w:rPr>
              <w:t>Markets</w:t>
            </w:r>
            <w:proofErr w:type="spellEnd"/>
            <w:r w:rsidR="00022F5F">
              <w:rPr>
                <w:rFonts w:ascii="Times New Roman" w:eastAsia="Arial" w:hAnsi="Times New Roman"/>
                <w:color w:val="000000"/>
                <w:sz w:val="16"/>
                <w:szCs w:val="16"/>
                <w:lang w:val="en-US"/>
              </w:rPr>
              <w:t>"</w:t>
            </w:r>
            <w:r w:rsidRPr="00E16672">
              <w:rPr>
                <w:rFonts w:ascii="Times New Roman" w:eastAsia="Arial" w:hAnsi="Times New Roman"/>
                <w:color w:val="000000"/>
                <w:sz w:val="16"/>
                <w:szCs w:val="16"/>
              </w:rPr>
              <w:t>.</w:t>
            </w:r>
          </w:p>
          <w:p w14:paraId="67275C4A" w14:textId="77777777" w:rsidR="005C5318" w:rsidRPr="00E16672" w:rsidRDefault="005C5318" w:rsidP="005C5318">
            <w:pPr>
              <w:pStyle w:val="210"/>
              <w:snapToGrid w:val="0"/>
              <w:ind w:left="145" w:right="100" w:firstLine="3"/>
              <w:rPr>
                <w:rFonts w:ascii="Times New Roman" w:eastAsia="Arial" w:hAnsi="Times New Roman"/>
                <w:color w:val="000000"/>
                <w:sz w:val="16"/>
                <w:szCs w:val="16"/>
              </w:rPr>
            </w:pPr>
          </w:p>
        </w:tc>
      </w:tr>
      <w:tr w:rsidR="005C5318" w:rsidRPr="00F23413" w14:paraId="6D7E448F" w14:textId="77777777" w:rsidTr="005E418B">
        <w:trPr>
          <w:trHeight w:val="192"/>
        </w:trPr>
        <w:tc>
          <w:tcPr>
            <w:tcW w:w="5695" w:type="dxa"/>
            <w:gridSpan w:val="6"/>
            <w:shd w:val="clear" w:color="auto" w:fill="auto"/>
          </w:tcPr>
          <w:p w14:paraId="321FCD70" w14:textId="77777777" w:rsidR="005C5318" w:rsidRPr="00E16672" w:rsidRDefault="005C5318" w:rsidP="005C5318">
            <w:pPr>
              <w:tabs>
                <w:tab w:val="left" w:pos="851"/>
                <w:tab w:val="left" w:pos="7200"/>
              </w:tabs>
              <w:ind w:left="142" w:right="138" w:firstLine="40"/>
              <w:rPr>
                <w:rFonts w:ascii="Times New Roman" w:hAnsi="Times New Roman"/>
                <w:color w:val="000000"/>
                <w:sz w:val="16"/>
                <w:szCs w:val="16"/>
              </w:rPr>
            </w:pPr>
            <w:r w:rsidRPr="00E16672">
              <w:rPr>
                <w:rFonts w:ascii="Times New Roman" w:hAnsi="Times New Roman"/>
                <w:color w:val="000000"/>
                <w:sz w:val="16"/>
                <w:szCs w:val="16"/>
              </w:rPr>
              <w:t>2.1.2</w:t>
            </w:r>
            <w:r w:rsidRPr="00E16672">
              <w:rPr>
                <w:rFonts w:ascii="Times New Roman" w:hAnsi="Times New Roman"/>
                <w:color w:val="000000"/>
                <w:sz w:val="16"/>
                <w:szCs w:val="16"/>
                <w:lang w:val="uk-UA"/>
              </w:rPr>
              <w:t>1</w:t>
            </w:r>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Отримавши</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від</w:t>
            </w:r>
            <w:proofErr w:type="spellEnd"/>
            <w:r w:rsidRPr="00E16672">
              <w:rPr>
                <w:rFonts w:ascii="Times New Roman" w:hAnsi="Times New Roman"/>
                <w:color w:val="000000"/>
                <w:sz w:val="16"/>
                <w:szCs w:val="16"/>
              </w:rPr>
              <w:t xml:space="preserve"> Центрального </w:t>
            </w:r>
            <w:proofErr w:type="spellStart"/>
            <w:r w:rsidRPr="00E16672">
              <w:rPr>
                <w:rFonts w:ascii="Times New Roman" w:hAnsi="Times New Roman"/>
                <w:color w:val="000000"/>
                <w:sz w:val="16"/>
                <w:szCs w:val="16"/>
              </w:rPr>
              <w:t>депозитарію</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повідомлення</w:t>
            </w:r>
            <w:proofErr w:type="spellEnd"/>
            <w:r w:rsidRPr="00E16672">
              <w:rPr>
                <w:rFonts w:ascii="Times New Roman" w:hAnsi="Times New Roman"/>
                <w:color w:val="000000"/>
                <w:sz w:val="16"/>
                <w:szCs w:val="16"/>
              </w:rPr>
              <w:t xml:space="preserve"> про </w:t>
            </w:r>
            <w:proofErr w:type="spellStart"/>
            <w:r w:rsidRPr="00E16672">
              <w:rPr>
                <w:rFonts w:ascii="Times New Roman" w:hAnsi="Times New Roman"/>
                <w:color w:val="000000"/>
                <w:sz w:val="16"/>
                <w:szCs w:val="16"/>
              </w:rPr>
              <w:t>завершення</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процедури</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переведення</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іменних</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цінних</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паперів</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певного</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випуску</w:t>
            </w:r>
            <w:proofErr w:type="spellEnd"/>
            <w:r w:rsidRPr="00E16672">
              <w:rPr>
                <w:rFonts w:ascii="Times New Roman" w:hAnsi="Times New Roman"/>
                <w:color w:val="000000"/>
                <w:sz w:val="16"/>
                <w:szCs w:val="16"/>
              </w:rPr>
              <w:t xml:space="preserve"> у </w:t>
            </w:r>
            <w:proofErr w:type="spellStart"/>
            <w:r w:rsidRPr="00E16672">
              <w:rPr>
                <w:rFonts w:ascii="Times New Roman" w:hAnsi="Times New Roman"/>
                <w:color w:val="000000"/>
                <w:sz w:val="16"/>
                <w:szCs w:val="16"/>
              </w:rPr>
              <w:t>бездокументарну</w:t>
            </w:r>
            <w:proofErr w:type="spellEnd"/>
            <w:r w:rsidRPr="00E16672">
              <w:rPr>
                <w:rFonts w:ascii="Times New Roman" w:hAnsi="Times New Roman"/>
                <w:color w:val="000000"/>
                <w:sz w:val="16"/>
                <w:szCs w:val="16"/>
              </w:rPr>
              <w:t xml:space="preserve"> форму </w:t>
            </w:r>
            <w:proofErr w:type="spellStart"/>
            <w:r w:rsidRPr="00E16672">
              <w:rPr>
                <w:rFonts w:ascii="Times New Roman" w:hAnsi="Times New Roman"/>
                <w:color w:val="000000"/>
                <w:sz w:val="16"/>
                <w:szCs w:val="16"/>
              </w:rPr>
              <w:t>існування</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протягом</w:t>
            </w:r>
            <w:proofErr w:type="spellEnd"/>
            <w:r w:rsidRPr="00E16672">
              <w:rPr>
                <w:rFonts w:ascii="Times New Roman" w:hAnsi="Times New Roman"/>
                <w:color w:val="000000"/>
                <w:sz w:val="16"/>
                <w:szCs w:val="16"/>
              </w:rPr>
              <w:t xml:space="preserve"> </w:t>
            </w:r>
            <w:r w:rsidRPr="00E16672">
              <w:rPr>
                <w:rFonts w:ascii="Times New Roman" w:hAnsi="Times New Roman"/>
                <w:i/>
                <w:iCs/>
                <w:color w:val="000000"/>
                <w:sz w:val="16"/>
                <w:szCs w:val="16"/>
                <w:lang w:val="uk-UA"/>
              </w:rPr>
              <w:t>трьох</w:t>
            </w:r>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rPr>
              <w:t>днів</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повідомити</w:t>
            </w:r>
            <w:proofErr w:type="spellEnd"/>
            <w:r w:rsidRPr="00E16672">
              <w:rPr>
                <w:rFonts w:ascii="Times New Roman" w:hAnsi="Times New Roman"/>
                <w:color w:val="000000"/>
                <w:sz w:val="16"/>
                <w:szCs w:val="16"/>
              </w:rPr>
              <w:t xml:space="preserve"> про </w:t>
            </w:r>
            <w:proofErr w:type="spellStart"/>
            <w:r w:rsidRPr="00E16672">
              <w:rPr>
                <w:rFonts w:ascii="Times New Roman" w:hAnsi="Times New Roman"/>
                <w:color w:val="000000"/>
                <w:sz w:val="16"/>
                <w:szCs w:val="16"/>
              </w:rPr>
              <w:t>її</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завершення</w:t>
            </w:r>
            <w:proofErr w:type="spellEnd"/>
            <w:r w:rsidRPr="00E16672">
              <w:rPr>
                <w:rFonts w:ascii="Times New Roman" w:hAnsi="Times New Roman"/>
                <w:color w:val="000000"/>
                <w:sz w:val="16"/>
                <w:szCs w:val="16"/>
              </w:rPr>
              <w:t xml:space="preserve"> Депонента, </w:t>
            </w:r>
            <w:proofErr w:type="spellStart"/>
            <w:r w:rsidRPr="00E16672">
              <w:rPr>
                <w:rFonts w:ascii="Times New Roman" w:hAnsi="Times New Roman"/>
                <w:color w:val="000000"/>
                <w:sz w:val="16"/>
                <w:szCs w:val="16"/>
              </w:rPr>
              <w:t>якщо</w:t>
            </w:r>
            <w:proofErr w:type="spellEnd"/>
            <w:r w:rsidRPr="00E16672">
              <w:rPr>
                <w:rFonts w:ascii="Times New Roman" w:hAnsi="Times New Roman"/>
                <w:color w:val="000000"/>
                <w:sz w:val="16"/>
                <w:szCs w:val="16"/>
              </w:rPr>
              <w:t xml:space="preserve"> на </w:t>
            </w:r>
            <w:proofErr w:type="spellStart"/>
            <w:r w:rsidRPr="00E16672">
              <w:rPr>
                <w:rFonts w:ascii="Times New Roman" w:hAnsi="Times New Roman"/>
                <w:color w:val="000000"/>
                <w:sz w:val="16"/>
                <w:szCs w:val="16"/>
              </w:rPr>
              <w:t>його</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рахунку</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обліковуються</w:t>
            </w:r>
            <w:proofErr w:type="spellEnd"/>
            <w:r w:rsidRPr="00E16672">
              <w:rPr>
                <w:rFonts w:ascii="Times New Roman" w:hAnsi="Times New Roman"/>
                <w:color w:val="000000"/>
                <w:sz w:val="16"/>
                <w:szCs w:val="16"/>
              </w:rPr>
              <w:t xml:space="preserve"> права на </w:t>
            </w:r>
            <w:proofErr w:type="spellStart"/>
            <w:r w:rsidRPr="00E16672">
              <w:rPr>
                <w:rFonts w:ascii="Times New Roman" w:hAnsi="Times New Roman"/>
                <w:color w:val="000000"/>
                <w:sz w:val="16"/>
                <w:szCs w:val="16"/>
              </w:rPr>
              <w:t>цінні</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папери</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цього</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випуску</w:t>
            </w:r>
            <w:proofErr w:type="spellEnd"/>
            <w:r w:rsidRPr="00E16672">
              <w:rPr>
                <w:rFonts w:ascii="Times New Roman" w:hAnsi="Times New Roman"/>
                <w:color w:val="000000"/>
                <w:sz w:val="16"/>
                <w:szCs w:val="16"/>
              </w:rPr>
              <w:t xml:space="preserve">, шляхом </w:t>
            </w:r>
            <w:proofErr w:type="spellStart"/>
            <w:r w:rsidRPr="00E16672">
              <w:rPr>
                <w:rFonts w:ascii="Times New Roman" w:hAnsi="Times New Roman"/>
                <w:color w:val="000000"/>
                <w:sz w:val="16"/>
                <w:szCs w:val="16"/>
              </w:rPr>
              <w:t>направлення</w:t>
            </w:r>
            <w:proofErr w:type="spellEnd"/>
            <w:r w:rsidRPr="00E16672">
              <w:rPr>
                <w:rFonts w:ascii="Times New Roman" w:hAnsi="Times New Roman"/>
                <w:color w:val="000000"/>
                <w:sz w:val="16"/>
                <w:szCs w:val="16"/>
              </w:rPr>
              <w:t xml:space="preserve"> на </w:t>
            </w:r>
            <w:proofErr w:type="spellStart"/>
            <w:proofErr w:type="gramStart"/>
            <w:r w:rsidRPr="00E16672">
              <w:rPr>
                <w:rFonts w:ascii="Times New Roman" w:hAnsi="Times New Roman"/>
                <w:color w:val="000000"/>
                <w:sz w:val="16"/>
                <w:szCs w:val="16"/>
              </w:rPr>
              <w:t>електронну</w:t>
            </w:r>
            <w:proofErr w:type="spellEnd"/>
            <w:r w:rsidRPr="00E16672">
              <w:rPr>
                <w:rFonts w:ascii="Times New Roman" w:hAnsi="Times New Roman"/>
                <w:color w:val="000000"/>
                <w:sz w:val="16"/>
                <w:szCs w:val="16"/>
              </w:rPr>
              <w:t xml:space="preserve">  адресу</w:t>
            </w:r>
            <w:proofErr w:type="gramEnd"/>
            <w:r w:rsidRPr="00E16672">
              <w:rPr>
                <w:rFonts w:ascii="Times New Roman" w:hAnsi="Times New Roman"/>
                <w:color w:val="000000"/>
                <w:sz w:val="16"/>
                <w:szCs w:val="16"/>
              </w:rPr>
              <w:t xml:space="preserve"> Депонента </w:t>
            </w:r>
            <w:proofErr w:type="spellStart"/>
            <w:r w:rsidRPr="00E16672">
              <w:rPr>
                <w:rFonts w:ascii="Times New Roman" w:hAnsi="Times New Roman"/>
                <w:color w:val="000000"/>
                <w:sz w:val="16"/>
                <w:szCs w:val="16"/>
              </w:rPr>
              <w:t>відповідного</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повідомлення</w:t>
            </w:r>
            <w:proofErr w:type="spellEnd"/>
            <w:r w:rsidRPr="00E16672">
              <w:rPr>
                <w:rFonts w:ascii="Times New Roman" w:hAnsi="Times New Roman"/>
                <w:color w:val="000000"/>
                <w:sz w:val="16"/>
                <w:szCs w:val="16"/>
              </w:rPr>
              <w:t>.</w:t>
            </w:r>
          </w:p>
          <w:p w14:paraId="0919213A" w14:textId="77777777" w:rsidR="005C5318" w:rsidRPr="00E16672" w:rsidRDefault="005C5318" w:rsidP="005C5318">
            <w:pPr>
              <w:tabs>
                <w:tab w:val="left" w:pos="851"/>
                <w:tab w:val="left" w:pos="7200"/>
              </w:tabs>
              <w:snapToGrid w:val="0"/>
              <w:ind w:left="142" w:right="141" w:firstLine="40"/>
              <w:rPr>
                <w:rFonts w:ascii="Times New Roman" w:eastAsia="Arial" w:hAnsi="Times New Roman"/>
                <w:color w:val="000000"/>
                <w:sz w:val="16"/>
                <w:szCs w:val="16"/>
                <w:lang w:val="uk-UA"/>
              </w:rPr>
            </w:pPr>
          </w:p>
        </w:tc>
        <w:tc>
          <w:tcPr>
            <w:tcW w:w="5495" w:type="dxa"/>
            <w:gridSpan w:val="6"/>
            <w:shd w:val="clear" w:color="auto" w:fill="auto"/>
          </w:tcPr>
          <w:p w14:paraId="241C51E3" w14:textId="77777777" w:rsidR="005C5318" w:rsidRPr="00E16672" w:rsidRDefault="005C5318" w:rsidP="005C5318">
            <w:pPr>
              <w:pStyle w:val="210"/>
              <w:snapToGrid w:val="0"/>
              <w:ind w:left="145" w:right="100" w:firstLine="3"/>
              <w:rPr>
                <w:rFonts w:ascii="Times New Roman" w:eastAsia="Arial" w:hAnsi="Times New Roman"/>
                <w:color w:val="000000"/>
                <w:sz w:val="16"/>
                <w:szCs w:val="16"/>
              </w:rPr>
            </w:pPr>
            <w:r w:rsidRPr="00E16672">
              <w:rPr>
                <w:rFonts w:ascii="Times New Roman" w:eastAsia="Arial" w:hAnsi="Times New Roman"/>
                <w:color w:val="000000"/>
                <w:sz w:val="16"/>
                <w:szCs w:val="16"/>
              </w:rPr>
              <w:t xml:space="preserve">2.1.21. </w:t>
            </w:r>
            <w:proofErr w:type="spellStart"/>
            <w:r w:rsidRPr="00E16672">
              <w:rPr>
                <w:rFonts w:ascii="Times New Roman" w:hAnsi="Times New Roman"/>
                <w:color w:val="000000"/>
                <w:sz w:val="16"/>
                <w:szCs w:val="16"/>
              </w:rPr>
              <w:t>Received</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from</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the</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Central</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Depository</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notice</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of</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completion</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of</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the</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transfer</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of</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registered</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securities</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of</w:t>
            </w:r>
            <w:proofErr w:type="spellEnd"/>
            <w:r w:rsidRPr="00E16672">
              <w:rPr>
                <w:rFonts w:ascii="Times New Roman" w:hAnsi="Times New Roman"/>
                <w:color w:val="000000"/>
                <w:sz w:val="16"/>
                <w:szCs w:val="16"/>
              </w:rPr>
              <w:t xml:space="preserve"> a </w:t>
            </w:r>
            <w:proofErr w:type="spellStart"/>
            <w:r w:rsidRPr="00E16672">
              <w:rPr>
                <w:rFonts w:ascii="Times New Roman" w:hAnsi="Times New Roman"/>
                <w:color w:val="000000"/>
                <w:sz w:val="16"/>
                <w:szCs w:val="16"/>
              </w:rPr>
              <w:t>particular</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issue</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in</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book-entry</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form</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within</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i/>
                <w:iCs/>
                <w:color w:val="000000"/>
                <w:sz w:val="16"/>
                <w:szCs w:val="16"/>
              </w:rPr>
              <w:t>three</w:t>
            </w:r>
            <w:proofErr w:type="spellEnd"/>
            <w:r w:rsidRPr="00E16672">
              <w:rPr>
                <w:rFonts w:ascii="Times New Roman" w:hAnsi="Times New Roman"/>
                <w:i/>
                <w:iCs/>
                <w:color w:val="000000"/>
                <w:sz w:val="16"/>
                <w:szCs w:val="16"/>
              </w:rPr>
              <w:t xml:space="preserve"> </w:t>
            </w:r>
            <w:proofErr w:type="spellStart"/>
            <w:r w:rsidRPr="00E16672">
              <w:rPr>
                <w:rFonts w:ascii="Times New Roman" w:hAnsi="Times New Roman"/>
                <w:color w:val="000000"/>
                <w:sz w:val="16"/>
                <w:szCs w:val="16"/>
              </w:rPr>
              <w:t>days</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to</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announce</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the</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completion</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of</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the</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Depositor</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if</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carried</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to</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its</w:t>
            </w:r>
            <w:proofErr w:type="spellEnd"/>
            <w:r w:rsidRPr="00E16672">
              <w:rPr>
                <w:rFonts w:ascii="Times New Roman" w:hAnsi="Times New Roman"/>
                <w:color w:val="000000"/>
                <w:sz w:val="16"/>
                <w:szCs w:val="16"/>
              </w:rPr>
              <w:t xml:space="preserve"> </w:t>
            </w:r>
            <w:r w:rsidRPr="00E16672">
              <w:rPr>
                <w:rFonts w:ascii="Times New Roman" w:hAnsi="Times New Roman"/>
                <w:color w:val="000000"/>
                <w:sz w:val="16"/>
                <w:szCs w:val="16"/>
                <w:lang w:val="en-US"/>
              </w:rPr>
              <w:t>account</w:t>
            </w:r>
            <w:r w:rsidRPr="00E16672">
              <w:rPr>
                <w:rFonts w:ascii="Times New Roman" w:hAnsi="Times New Roman"/>
                <w:color w:val="000000"/>
                <w:sz w:val="16"/>
                <w:szCs w:val="16"/>
              </w:rPr>
              <w:t xml:space="preserve"> </w:t>
            </w:r>
            <w:r w:rsidRPr="00E16672">
              <w:rPr>
                <w:rFonts w:ascii="Times New Roman" w:hAnsi="Times New Roman"/>
                <w:color w:val="000000"/>
                <w:sz w:val="16"/>
                <w:szCs w:val="16"/>
                <w:lang w:val="en-US"/>
              </w:rPr>
              <w:t>in</w:t>
            </w:r>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securities</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of</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this</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issue</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by</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sending</w:t>
            </w:r>
            <w:proofErr w:type="spellEnd"/>
            <w:r w:rsidRPr="00E16672">
              <w:rPr>
                <w:rFonts w:ascii="Times New Roman" w:hAnsi="Times New Roman"/>
                <w:color w:val="000000"/>
                <w:sz w:val="16"/>
                <w:szCs w:val="16"/>
                <w:lang w:val="en-US"/>
              </w:rPr>
              <w:t xml:space="preserve"> </w:t>
            </w:r>
            <w:proofErr w:type="spellStart"/>
            <w:r w:rsidRPr="00E16672">
              <w:rPr>
                <w:rFonts w:ascii="Times New Roman" w:hAnsi="Times New Roman"/>
                <w:color w:val="000000"/>
                <w:sz w:val="16"/>
                <w:szCs w:val="16"/>
              </w:rPr>
              <w:t>appropriate</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message</w:t>
            </w:r>
            <w:proofErr w:type="spellEnd"/>
            <w:r w:rsidRPr="00E16672">
              <w:rPr>
                <w:rFonts w:ascii="Times New Roman" w:hAnsi="Times New Roman"/>
                <w:color w:val="000000"/>
                <w:sz w:val="16"/>
                <w:szCs w:val="16"/>
              </w:rPr>
              <w:t xml:space="preserve"> </w:t>
            </w:r>
            <w:r w:rsidRPr="00E16672">
              <w:rPr>
                <w:rFonts w:ascii="Times New Roman" w:hAnsi="Times New Roman"/>
                <w:color w:val="000000"/>
                <w:sz w:val="16"/>
                <w:szCs w:val="16"/>
                <w:lang w:val="en-US"/>
              </w:rPr>
              <w:t>to e-</w:t>
            </w:r>
            <w:proofErr w:type="spellStart"/>
            <w:r w:rsidRPr="00E16672">
              <w:rPr>
                <w:rFonts w:ascii="Times New Roman" w:hAnsi="Times New Roman"/>
                <w:color w:val="000000"/>
                <w:sz w:val="16"/>
                <w:szCs w:val="16"/>
              </w:rPr>
              <w:t>mail</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of</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Depositor</w:t>
            </w:r>
            <w:proofErr w:type="spellEnd"/>
            <w:r w:rsidRPr="00E16672">
              <w:rPr>
                <w:rFonts w:ascii="Times New Roman" w:hAnsi="Times New Roman"/>
                <w:color w:val="000000"/>
                <w:sz w:val="16"/>
                <w:szCs w:val="16"/>
              </w:rPr>
              <w:t>.</w:t>
            </w:r>
          </w:p>
        </w:tc>
      </w:tr>
      <w:tr w:rsidR="00085FC8" w:rsidRPr="00F23413" w14:paraId="5ED7CE6B" w14:textId="77777777" w:rsidTr="005E418B">
        <w:trPr>
          <w:trHeight w:val="192"/>
        </w:trPr>
        <w:tc>
          <w:tcPr>
            <w:tcW w:w="5695" w:type="dxa"/>
            <w:gridSpan w:val="6"/>
            <w:shd w:val="clear" w:color="auto" w:fill="auto"/>
          </w:tcPr>
          <w:p w14:paraId="0BE8DFC4" w14:textId="251C1113" w:rsidR="00085FC8" w:rsidRPr="00E16672" w:rsidRDefault="00085FC8" w:rsidP="00085FC8">
            <w:pPr>
              <w:tabs>
                <w:tab w:val="left" w:pos="851"/>
                <w:tab w:val="left" w:pos="7200"/>
              </w:tabs>
              <w:ind w:left="142" w:right="138" w:firstLine="40"/>
              <w:rPr>
                <w:rFonts w:ascii="Times New Roman" w:hAnsi="Times New Roman"/>
                <w:color w:val="000000"/>
                <w:sz w:val="16"/>
                <w:szCs w:val="16"/>
              </w:rPr>
            </w:pPr>
            <w:r w:rsidRPr="00085FC8">
              <w:rPr>
                <w:rFonts w:ascii="Times New Roman" w:hAnsi="Times New Roman"/>
                <w:color w:val="000000"/>
                <w:sz w:val="16"/>
                <w:szCs w:val="16"/>
              </w:rPr>
              <w:t xml:space="preserve">2.1.22. За </w:t>
            </w:r>
            <w:proofErr w:type="spellStart"/>
            <w:r w:rsidRPr="00085FC8">
              <w:rPr>
                <w:rFonts w:ascii="Times New Roman" w:hAnsi="Times New Roman"/>
                <w:color w:val="000000"/>
                <w:sz w:val="16"/>
                <w:szCs w:val="16"/>
              </w:rPr>
              <w:t>наявності</w:t>
            </w:r>
            <w:proofErr w:type="spellEnd"/>
            <w:r w:rsidRPr="00085FC8">
              <w:rPr>
                <w:rFonts w:ascii="Times New Roman" w:hAnsi="Times New Roman"/>
                <w:color w:val="000000"/>
                <w:sz w:val="16"/>
                <w:szCs w:val="16"/>
              </w:rPr>
              <w:t xml:space="preserve"> у </w:t>
            </w:r>
            <w:proofErr w:type="spellStart"/>
            <w:r w:rsidRPr="00085FC8">
              <w:rPr>
                <w:rFonts w:ascii="Times New Roman" w:hAnsi="Times New Roman"/>
                <w:color w:val="000000"/>
                <w:sz w:val="16"/>
                <w:szCs w:val="16"/>
              </w:rPr>
              <w:t>Депозитарної</w:t>
            </w:r>
            <w:proofErr w:type="spellEnd"/>
            <w:r w:rsidRPr="00085FC8">
              <w:rPr>
                <w:rFonts w:ascii="Times New Roman" w:hAnsi="Times New Roman"/>
                <w:color w:val="000000"/>
                <w:sz w:val="16"/>
                <w:szCs w:val="16"/>
              </w:rPr>
              <w:t xml:space="preserve"> установи </w:t>
            </w:r>
            <w:proofErr w:type="spellStart"/>
            <w:r w:rsidRPr="00085FC8">
              <w:rPr>
                <w:rFonts w:ascii="Times New Roman" w:hAnsi="Times New Roman"/>
                <w:color w:val="000000"/>
                <w:sz w:val="16"/>
                <w:szCs w:val="16"/>
              </w:rPr>
              <w:t>обґрунтованої</w:t>
            </w:r>
            <w:proofErr w:type="spellEnd"/>
            <w:r w:rsidRPr="00085FC8">
              <w:rPr>
                <w:rFonts w:ascii="Times New Roman" w:hAnsi="Times New Roman"/>
                <w:color w:val="000000"/>
                <w:sz w:val="16"/>
                <w:szCs w:val="16"/>
              </w:rPr>
              <w:t xml:space="preserve">, документально </w:t>
            </w:r>
            <w:proofErr w:type="spellStart"/>
            <w:r w:rsidRPr="00085FC8">
              <w:rPr>
                <w:rFonts w:ascii="Times New Roman" w:hAnsi="Times New Roman"/>
                <w:color w:val="000000"/>
                <w:sz w:val="16"/>
                <w:szCs w:val="16"/>
              </w:rPr>
              <w:t>підтвердженої</w:t>
            </w:r>
            <w:proofErr w:type="spellEnd"/>
            <w:r w:rsidRPr="00085FC8">
              <w:rPr>
                <w:rFonts w:ascii="Times New Roman" w:hAnsi="Times New Roman"/>
                <w:color w:val="000000"/>
                <w:sz w:val="16"/>
                <w:szCs w:val="16"/>
              </w:rPr>
              <w:t xml:space="preserve"> </w:t>
            </w:r>
            <w:proofErr w:type="spellStart"/>
            <w:r w:rsidRPr="00085FC8">
              <w:rPr>
                <w:rFonts w:ascii="Times New Roman" w:hAnsi="Times New Roman"/>
                <w:color w:val="000000"/>
                <w:sz w:val="16"/>
                <w:szCs w:val="16"/>
              </w:rPr>
              <w:t>підозри</w:t>
            </w:r>
            <w:proofErr w:type="spellEnd"/>
            <w:r w:rsidRPr="00085FC8">
              <w:rPr>
                <w:rFonts w:ascii="Times New Roman" w:hAnsi="Times New Roman"/>
                <w:color w:val="000000"/>
                <w:sz w:val="16"/>
                <w:szCs w:val="16"/>
              </w:rPr>
              <w:t xml:space="preserve">, </w:t>
            </w:r>
            <w:proofErr w:type="spellStart"/>
            <w:r w:rsidRPr="00085FC8">
              <w:rPr>
                <w:rFonts w:ascii="Times New Roman" w:hAnsi="Times New Roman"/>
                <w:color w:val="000000"/>
                <w:sz w:val="16"/>
                <w:szCs w:val="16"/>
              </w:rPr>
              <w:t>що</w:t>
            </w:r>
            <w:proofErr w:type="spellEnd"/>
            <w:r w:rsidRPr="00085FC8">
              <w:rPr>
                <w:rFonts w:ascii="Times New Roman" w:hAnsi="Times New Roman"/>
                <w:color w:val="000000"/>
                <w:sz w:val="16"/>
                <w:szCs w:val="16"/>
              </w:rPr>
              <w:t xml:space="preserve"> </w:t>
            </w:r>
            <w:proofErr w:type="spellStart"/>
            <w:r w:rsidRPr="00085FC8">
              <w:rPr>
                <w:rFonts w:ascii="Times New Roman" w:hAnsi="Times New Roman"/>
                <w:color w:val="000000"/>
                <w:sz w:val="16"/>
                <w:szCs w:val="16"/>
              </w:rPr>
              <w:t>рахунок</w:t>
            </w:r>
            <w:proofErr w:type="spellEnd"/>
            <w:r w:rsidRPr="00085FC8">
              <w:rPr>
                <w:rFonts w:ascii="Times New Roman" w:hAnsi="Times New Roman"/>
                <w:color w:val="000000"/>
                <w:sz w:val="16"/>
                <w:szCs w:val="16"/>
              </w:rPr>
              <w:t xml:space="preserve"> у </w:t>
            </w:r>
            <w:proofErr w:type="spellStart"/>
            <w:r w:rsidRPr="00085FC8">
              <w:rPr>
                <w:rFonts w:ascii="Times New Roman" w:hAnsi="Times New Roman"/>
                <w:color w:val="000000"/>
                <w:sz w:val="16"/>
                <w:szCs w:val="16"/>
              </w:rPr>
              <w:t>цінних</w:t>
            </w:r>
            <w:proofErr w:type="spellEnd"/>
            <w:r w:rsidRPr="00085FC8">
              <w:rPr>
                <w:rFonts w:ascii="Times New Roman" w:hAnsi="Times New Roman"/>
                <w:color w:val="000000"/>
                <w:sz w:val="16"/>
                <w:szCs w:val="16"/>
              </w:rPr>
              <w:t xml:space="preserve"> </w:t>
            </w:r>
            <w:proofErr w:type="spellStart"/>
            <w:r w:rsidRPr="00085FC8">
              <w:rPr>
                <w:rFonts w:ascii="Times New Roman" w:hAnsi="Times New Roman"/>
                <w:color w:val="000000"/>
                <w:sz w:val="16"/>
                <w:szCs w:val="16"/>
              </w:rPr>
              <w:t>паперах</w:t>
            </w:r>
            <w:proofErr w:type="spellEnd"/>
            <w:r w:rsidRPr="00085FC8">
              <w:rPr>
                <w:rFonts w:ascii="Times New Roman" w:hAnsi="Times New Roman"/>
                <w:color w:val="000000"/>
                <w:sz w:val="16"/>
                <w:szCs w:val="16"/>
              </w:rPr>
              <w:t xml:space="preserve"> Депонента </w:t>
            </w:r>
            <w:proofErr w:type="spellStart"/>
            <w:r w:rsidRPr="00085FC8">
              <w:rPr>
                <w:rFonts w:ascii="Times New Roman" w:hAnsi="Times New Roman"/>
                <w:color w:val="000000"/>
                <w:sz w:val="16"/>
                <w:szCs w:val="16"/>
              </w:rPr>
              <w:t>належить</w:t>
            </w:r>
            <w:proofErr w:type="spellEnd"/>
            <w:r w:rsidRPr="00085FC8">
              <w:rPr>
                <w:rFonts w:ascii="Times New Roman" w:hAnsi="Times New Roman"/>
                <w:color w:val="000000"/>
                <w:sz w:val="16"/>
                <w:szCs w:val="16"/>
              </w:rPr>
              <w:t xml:space="preserve"> до </w:t>
            </w:r>
            <w:proofErr w:type="spellStart"/>
            <w:r w:rsidRPr="00085FC8">
              <w:rPr>
                <w:rFonts w:ascii="Times New Roman" w:hAnsi="Times New Roman"/>
                <w:color w:val="000000"/>
                <w:sz w:val="16"/>
                <w:szCs w:val="16"/>
              </w:rPr>
              <w:t>підзвітних</w:t>
            </w:r>
            <w:proofErr w:type="spellEnd"/>
            <w:r w:rsidRPr="00085FC8">
              <w:rPr>
                <w:rFonts w:ascii="Times New Roman" w:hAnsi="Times New Roman"/>
                <w:color w:val="000000"/>
                <w:sz w:val="16"/>
                <w:szCs w:val="16"/>
              </w:rPr>
              <w:t xml:space="preserve">, </w:t>
            </w:r>
            <w:proofErr w:type="spellStart"/>
            <w:r w:rsidRPr="00085FC8">
              <w:rPr>
                <w:rFonts w:ascii="Times New Roman" w:hAnsi="Times New Roman"/>
                <w:color w:val="000000"/>
                <w:sz w:val="16"/>
                <w:szCs w:val="16"/>
              </w:rPr>
              <w:t>Депозитарна</w:t>
            </w:r>
            <w:proofErr w:type="spellEnd"/>
            <w:r w:rsidRPr="00085FC8">
              <w:rPr>
                <w:rFonts w:ascii="Times New Roman" w:hAnsi="Times New Roman"/>
                <w:color w:val="000000"/>
                <w:sz w:val="16"/>
                <w:szCs w:val="16"/>
              </w:rPr>
              <w:t xml:space="preserve"> </w:t>
            </w:r>
            <w:proofErr w:type="spellStart"/>
            <w:r w:rsidRPr="00085FC8">
              <w:rPr>
                <w:rFonts w:ascii="Times New Roman" w:hAnsi="Times New Roman"/>
                <w:color w:val="000000"/>
                <w:sz w:val="16"/>
                <w:szCs w:val="16"/>
              </w:rPr>
              <w:t>установа</w:t>
            </w:r>
            <w:proofErr w:type="spellEnd"/>
            <w:r w:rsidRPr="00085FC8">
              <w:rPr>
                <w:rFonts w:ascii="Times New Roman" w:hAnsi="Times New Roman"/>
                <w:color w:val="000000"/>
                <w:sz w:val="16"/>
                <w:szCs w:val="16"/>
              </w:rPr>
              <w:t xml:space="preserve"> </w:t>
            </w:r>
            <w:proofErr w:type="gramStart"/>
            <w:r w:rsidRPr="00085FC8">
              <w:rPr>
                <w:rFonts w:ascii="Times New Roman" w:hAnsi="Times New Roman"/>
                <w:color w:val="000000"/>
                <w:sz w:val="16"/>
                <w:szCs w:val="16"/>
              </w:rPr>
              <w:t>в порядку</w:t>
            </w:r>
            <w:proofErr w:type="gramEnd"/>
            <w:r w:rsidRPr="00085FC8">
              <w:rPr>
                <w:rFonts w:ascii="Times New Roman" w:hAnsi="Times New Roman"/>
                <w:color w:val="000000"/>
                <w:sz w:val="16"/>
                <w:szCs w:val="16"/>
              </w:rPr>
              <w:t xml:space="preserve">, </w:t>
            </w:r>
            <w:proofErr w:type="spellStart"/>
            <w:r w:rsidRPr="00085FC8">
              <w:rPr>
                <w:rFonts w:ascii="Times New Roman" w:hAnsi="Times New Roman"/>
                <w:color w:val="000000"/>
                <w:sz w:val="16"/>
                <w:szCs w:val="16"/>
              </w:rPr>
              <w:t>встановленому</w:t>
            </w:r>
            <w:proofErr w:type="spellEnd"/>
            <w:r w:rsidRPr="00085FC8">
              <w:rPr>
                <w:rFonts w:ascii="Times New Roman" w:hAnsi="Times New Roman"/>
                <w:color w:val="000000"/>
                <w:sz w:val="16"/>
                <w:szCs w:val="16"/>
              </w:rPr>
              <w:t xml:space="preserve"> </w:t>
            </w:r>
            <w:proofErr w:type="spellStart"/>
            <w:r w:rsidRPr="00085FC8">
              <w:rPr>
                <w:rFonts w:ascii="Times New Roman" w:hAnsi="Times New Roman"/>
                <w:color w:val="000000"/>
                <w:sz w:val="16"/>
                <w:szCs w:val="16"/>
              </w:rPr>
              <w:t>її</w:t>
            </w:r>
            <w:proofErr w:type="spellEnd"/>
            <w:r w:rsidRPr="00085FC8">
              <w:rPr>
                <w:rFonts w:ascii="Times New Roman" w:hAnsi="Times New Roman"/>
                <w:color w:val="000000"/>
                <w:sz w:val="16"/>
                <w:szCs w:val="16"/>
              </w:rPr>
              <w:t xml:space="preserve"> </w:t>
            </w:r>
            <w:proofErr w:type="spellStart"/>
            <w:r w:rsidRPr="00085FC8">
              <w:rPr>
                <w:rFonts w:ascii="Times New Roman" w:hAnsi="Times New Roman"/>
                <w:color w:val="000000"/>
                <w:sz w:val="16"/>
                <w:szCs w:val="16"/>
              </w:rPr>
              <w:t>внутрішніми</w:t>
            </w:r>
            <w:proofErr w:type="spellEnd"/>
            <w:r w:rsidRPr="00085FC8">
              <w:rPr>
                <w:rFonts w:ascii="Times New Roman" w:hAnsi="Times New Roman"/>
                <w:color w:val="000000"/>
                <w:sz w:val="16"/>
                <w:szCs w:val="16"/>
              </w:rPr>
              <w:t xml:space="preserve"> документами, та </w:t>
            </w:r>
            <w:proofErr w:type="spellStart"/>
            <w:r w:rsidRPr="00085FC8">
              <w:rPr>
                <w:rFonts w:ascii="Times New Roman" w:hAnsi="Times New Roman"/>
                <w:color w:val="000000"/>
                <w:sz w:val="16"/>
                <w:szCs w:val="16"/>
              </w:rPr>
              <w:t>відповідно</w:t>
            </w:r>
            <w:proofErr w:type="spellEnd"/>
            <w:r w:rsidRPr="00085FC8">
              <w:rPr>
                <w:rFonts w:ascii="Times New Roman" w:hAnsi="Times New Roman"/>
                <w:color w:val="000000"/>
                <w:sz w:val="16"/>
                <w:szCs w:val="16"/>
              </w:rPr>
              <w:t xml:space="preserve"> до </w:t>
            </w:r>
            <w:proofErr w:type="spellStart"/>
            <w:r w:rsidRPr="00085FC8">
              <w:rPr>
                <w:rFonts w:ascii="Times New Roman" w:hAnsi="Times New Roman"/>
                <w:color w:val="000000"/>
                <w:sz w:val="16"/>
                <w:szCs w:val="16"/>
              </w:rPr>
              <w:t>цього</w:t>
            </w:r>
            <w:proofErr w:type="spellEnd"/>
            <w:r w:rsidRPr="00085FC8">
              <w:rPr>
                <w:rFonts w:ascii="Times New Roman" w:hAnsi="Times New Roman"/>
                <w:color w:val="000000"/>
                <w:sz w:val="16"/>
                <w:szCs w:val="16"/>
              </w:rPr>
              <w:t xml:space="preserve"> Договору </w:t>
            </w:r>
            <w:proofErr w:type="spellStart"/>
            <w:r w:rsidRPr="00085FC8">
              <w:rPr>
                <w:rFonts w:ascii="Times New Roman" w:hAnsi="Times New Roman"/>
                <w:color w:val="000000"/>
                <w:sz w:val="16"/>
                <w:szCs w:val="16"/>
              </w:rPr>
              <w:t>надсилає</w:t>
            </w:r>
            <w:proofErr w:type="spellEnd"/>
            <w:r w:rsidRPr="00085FC8">
              <w:rPr>
                <w:rFonts w:ascii="Times New Roman" w:hAnsi="Times New Roman"/>
                <w:color w:val="000000"/>
                <w:sz w:val="16"/>
                <w:szCs w:val="16"/>
              </w:rPr>
              <w:t xml:space="preserve"> на адресу </w:t>
            </w:r>
            <w:proofErr w:type="spellStart"/>
            <w:r w:rsidRPr="00085FC8">
              <w:rPr>
                <w:rFonts w:ascii="Times New Roman" w:hAnsi="Times New Roman"/>
                <w:color w:val="000000"/>
                <w:sz w:val="16"/>
                <w:szCs w:val="16"/>
              </w:rPr>
              <w:t>відповідного</w:t>
            </w:r>
            <w:proofErr w:type="spellEnd"/>
            <w:r w:rsidRPr="00085FC8">
              <w:rPr>
                <w:rFonts w:ascii="Times New Roman" w:hAnsi="Times New Roman"/>
                <w:color w:val="000000"/>
                <w:sz w:val="16"/>
                <w:szCs w:val="16"/>
              </w:rPr>
              <w:t xml:space="preserve"> Депонента запит з </w:t>
            </w:r>
            <w:proofErr w:type="spellStart"/>
            <w:r w:rsidRPr="00085FC8">
              <w:rPr>
                <w:rFonts w:ascii="Times New Roman" w:hAnsi="Times New Roman"/>
                <w:color w:val="000000"/>
                <w:sz w:val="16"/>
                <w:szCs w:val="16"/>
              </w:rPr>
              <w:t>вимогою</w:t>
            </w:r>
            <w:proofErr w:type="spellEnd"/>
            <w:r w:rsidRPr="00085FC8">
              <w:rPr>
                <w:rFonts w:ascii="Times New Roman" w:hAnsi="Times New Roman"/>
                <w:color w:val="000000"/>
                <w:sz w:val="16"/>
                <w:szCs w:val="16"/>
              </w:rPr>
              <w:t xml:space="preserve"> про </w:t>
            </w:r>
            <w:proofErr w:type="spellStart"/>
            <w:r w:rsidRPr="00085FC8">
              <w:rPr>
                <w:rFonts w:ascii="Times New Roman" w:hAnsi="Times New Roman"/>
                <w:color w:val="000000"/>
                <w:sz w:val="16"/>
                <w:szCs w:val="16"/>
              </w:rPr>
              <w:t>надання</w:t>
            </w:r>
            <w:proofErr w:type="spellEnd"/>
            <w:r w:rsidRPr="00085FC8">
              <w:rPr>
                <w:rFonts w:ascii="Times New Roman" w:hAnsi="Times New Roman"/>
                <w:color w:val="000000"/>
                <w:sz w:val="16"/>
                <w:szCs w:val="16"/>
              </w:rPr>
              <w:t xml:space="preserve"> </w:t>
            </w:r>
            <w:proofErr w:type="spellStart"/>
            <w:r w:rsidRPr="00085FC8">
              <w:rPr>
                <w:rFonts w:ascii="Times New Roman" w:hAnsi="Times New Roman"/>
                <w:color w:val="000000"/>
                <w:sz w:val="16"/>
                <w:szCs w:val="16"/>
              </w:rPr>
              <w:t>пояснень</w:t>
            </w:r>
            <w:proofErr w:type="spellEnd"/>
            <w:r w:rsidRPr="00085FC8">
              <w:rPr>
                <w:rFonts w:ascii="Times New Roman" w:hAnsi="Times New Roman"/>
                <w:color w:val="000000"/>
                <w:sz w:val="16"/>
                <w:szCs w:val="16"/>
              </w:rPr>
              <w:t xml:space="preserve"> та </w:t>
            </w:r>
            <w:proofErr w:type="spellStart"/>
            <w:r w:rsidRPr="00085FC8">
              <w:rPr>
                <w:rFonts w:ascii="Times New Roman" w:hAnsi="Times New Roman"/>
                <w:color w:val="000000"/>
                <w:sz w:val="16"/>
                <w:szCs w:val="16"/>
              </w:rPr>
              <w:t>інформації</w:t>
            </w:r>
            <w:proofErr w:type="spellEnd"/>
            <w:r w:rsidRPr="00085FC8">
              <w:rPr>
                <w:rFonts w:ascii="Times New Roman" w:hAnsi="Times New Roman"/>
                <w:color w:val="000000"/>
                <w:sz w:val="16"/>
                <w:szCs w:val="16"/>
              </w:rPr>
              <w:t xml:space="preserve">, </w:t>
            </w:r>
            <w:proofErr w:type="spellStart"/>
            <w:r w:rsidRPr="00085FC8">
              <w:rPr>
                <w:rFonts w:ascii="Times New Roman" w:hAnsi="Times New Roman"/>
                <w:color w:val="000000"/>
                <w:sz w:val="16"/>
                <w:szCs w:val="16"/>
              </w:rPr>
              <w:t>що</w:t>
            </w:r>
            <w:proofErr w:type="spellEnd"/>
            <w:r w:rsidRPr="00085FC8">
              <w:rPr>
                <w:rFonts w:ascii="Times New Roman" w:hAnsi="Times New Roman"/>
                <w:color w:val="000000"/>
                <w:sz w:val="16"/>
                <w:szCs w:val="16"/>
              </w:rPr>
              <w:t xml:space="preserve"> </w:t>
            </w:r>
            <w:proofErr w:type="spellStart"/>
            <w:r w:rsidRPr="00085FC8">
              <w:rPr>
                <w:rFonts w:ascii="Times New Roman" w:hAnsi="Times New Roman"/>
                <w:color w:val="000000"/>
                <w:sz w:val="16"/>
                <w:szCs w:val="16"/>
              </w:rPr>
              <w:t>стосуються</w:t>
            </w:r>
            <w:proofErr w:type="spellEnd"/>
            <w:r w:rsidRPr="00085FC8">
              <w:rPr>
                <w:rFonts w:ascii="Times New Roman" w:hAnsi="Times New Roman"/>
                <w:color w:val="000000"/>
                <w:sz w:val="16"/>
                <w:szCs w:val="16"/>
              </w:rPr>
              <w:t xml:space="preserve"> </w:t>
            </w:r>
            <w:proofErr w:type="spellStart"/>
            <w:r w:rsidRPr="00085FC8">
              <w:rPr>
                <w:rFonts w:ascii="Times New Roman" w:hAnsi="Times New Roman"/>
                <w:color w:val="000000"/>
                <w:sz w:val="16"/>
                <w:szCs w:val="16"/>
              </w:rPr>
              <w:t>підозри</w:t>
            </w:r>
            <w:proofErr w:type="spellEnd"/>
            <w:r w:rsidRPr="00085FC8">
              <w:rPr>
                <w:rFonts w:ascii="Times New Roman" w:hAnsi="Times New Roman"/>
                <w:color w:val="000000"/>
                <w:sz w:val="16"/>
                <w:szCs w:val="16"/>
              </w:rPr>
              <w:t>.</w:t>
            </w:r>
          </w:p>
        </w:tc>
        <w:tc>
          <w:tcPr>
            <w:tcW w:w="5495" w:type="dxa"/>
            <w:gridSpan w:val="6"/>
            <w:shd w:val="clear" w:color="auto" w:fill="auto"/>
          </w:tcPr>
          <w:p w14:paraId="7FDD10BB" w14:textId="40C7C032" w:rsidR="00085FC8" w:rsidRPr="00085FC8" w:rsidRDefault="00085FC8" w:rsidP="00085FC8">
            <w:pPr>
              <w:pStyle w:val="210"/>
              <w:snapToGrid w:val="0"/>
              <w:ind w:left="145" w:right="100" w:firstLine="3"/>
              <w:rPr>
                <w:rFonts w:ascii="Times New Roman" w:hAnsi="Times New Roman"/>
                <w:color w:val="000000"/>
                <w:sz w:val="16"/>
                <w:szCs w:val="16"/>
                <w:lang w:val="ru-RU"/>
              </w:rPr>
            </w:pPr>
            <w:r w:rsidRPr="00085FC8">
              <w:rPr>
                <w:rFonts w:ascii="Times New Roman" w:hAnsi="Times New Roman"/>
                <w:color w:val="000000"/>
                <w:sz w:val="16"/>
                <w:szCs w:val="16"/>
                <w:lang w:val="ru-RU"/>
              </w:rPr>
              <w:t xml:space="preserve">2.1.22. </w:t>
            </w:r>
            <w:proofErr w:type="spellStart"/>
            <w:r w:rsidRPr="00085FC8">
              <w:rPr>
                <w:rFonts w:ascii="Times New Roman" w:hAnsi="Times New Roman"/>
                <w:color w:val="000000"/>
                <w:sz w:val="16"/>
                <w:szCs w:val="16"/>
                <w:lang w:val="ru-RU"/>
              </w:rPr>
              <w:t>If</w:t>
            </w:r>
            <w:proofErr w:type="spellEnd"/>
            <w:r w:rsidRPr="00085FC8">
              <w:rPr>
                <w:rFonts w:ascii="Times New Roman" w:hAnsi="Times New Roman"/>
                <w:color w:val="000000"/>
                <w:sz w:val="16"/>
                <w:szCs w:val="16"/>
                <w:lang w:val="ru-RU"/>
              </w:rPr>
              <w:t xml:space="preserve"> </w:t>
            </w:r>
            <w:proofErr w:type="spellStart"/>
            <w:r w:rsidRPr="00085FC8">
              <w:rPr>
                <w:rFonts w:ascii="Times New Roman" w:hAnsi="Times New Roman"/>
                <w:color w:val="000000"/>
                <w:sz w:val="16"/>
                <w:szCs w:val="16"/>
                <w:lang w:val="ru-RU"/>
              </w:rPr>
              <w:t>the</w:t>
            </w:r>
            <w:proofErr w:type="spellEnd"/>
            <w:r w:rsidRPr="00085FC8">
              <w:rPr>
                <w:rFonts w:ascii="Times New Roman" w:hAnsi="Times New Roman"/>
                <w:color w:val="000000"/>
                <w:sz w:val="16"/>
                <w:szCs w:val="16"/>
                <w:lang w:val="ru-RU"/>
              </w:rPr>
              <w:t xml:space="preserve"> </w:t>
            </w:r>
            <w:proofErr w:type="spellStart"/>
            <w:r w:rsidRPr="00085FC8">
              <w:rPr>
                <w:rFonts w:ascii="Times New Roman" w:hAnsi="Times New Roman"/>
                <w:color w:val="000000"/>
                <w:sz w:val="16"/>
                <w:szCs w:val="16"/>
                <w:lang w:val="ru-RU"/>
              </w:rPr>
              <w:t>Depository</w:t>
            </w:r>
            <w:proofErr w:type="spellEnd"/>
            <w:r w:rsidRPr="00085FC8">
              <w:rPr>
                <w:rFonts w:ascii="Times New Roman" w:hAnsi="Times New Roman"/>
                <w:color w:val="000000"/>
                <w:sz w:val="16"/>
                <w:szCs w:val="16"/>
                <w:lang w:val="ru-RU"/>
              </w:rPr>
              <w:t xml:space="preserve"> </w:t>
            </w:r>
            <w:proofErr w:type="spellStart"/>
            <w:r w:rsidRPr="00085FC8">
              <w:rPr>
                <w:rFonts w:ascii="Times New Roman" w:hAnsi="Times New Roman"/>
                <w:color w:val="000000"/>
                <w:sz w:val="16"/>
                <w:szCs w:val="16"/>
                <w:lang w:val="ru-RU"/>
              </w:rPr>
              <w:t>has</w:t>
            </w:r>
            <w:proofErr w:type="spellEnd"/>
            <w:r w:rsidRPr="00085FC8">
              <w:rPr>
                <w:rFonts w:ascii="Times New Roman" w:hAnsi="Times New Roman"/>
                <w:color w:val="000000"/>
                <w:sz w:val="16"/>
                <w:szCs w:val="16"/>
                <w:lang w:val="ru-RU"/>
              </w:rPr>
              <w:t xml:space="preserve"> a </w:t>
            </w:r>
            <w:proofErr w:type="spellStart"/>
            <w:r w:rsidRPr="00085FC8">
              <w:rPr>
                <w:rFonts w:ascii="Times New Roman" w:hAnsi="Times New Roman"/>
                <w:color w:val="000000"/>
                <w:sz w:val="16"/>
                <w:szCs w:val="16"/>
                <w:lang w:val="ru-RU"/>
              </w:rPr>
              <w:t>reasonable</w:t>
            </w:r>
            <w:proofErr w:type="spellEnd"/>
            <w:r w:rsidRPr="00085FC8">
              <w:rPr>
                <w:rFonts w:ascii="Times New Roman" w:hAnsi="Times New Roman"/>
                <w:color w:val="000000"/>
                <w:sz w:val="16"/>
                <w:szCs w:val="16"/>
                <w:lang w:val="ru-RU"/>
              </w:rPr>
              <w:t xml:space="preserve">, </w:t>
            </w:r>
            <w:proofErr w:type="spellStart"/>
            <w:r w:rsidRPr="00085FC8">
              <w:rPr>
                <w:rFonts w:ascii="Times New Roman" w:hAnsi="Times New Roman"/>
                <w:color w:val="000000"/>
                <w:sz w:val="16"/>
                <w:szCs w:val="16"/>
                <w:lang w:val="ru-RU"/>
              </w:rPr>
              <w:t>documented</w:t>
            </w:r>
            <w:proofErr w:type="spellEnd"/>
            <w:r w:rsidRPr="00085FC8">
              <w:rPr>
                <w:rFonts w:ascii="Times New Roman" w:hAnsi="Times New Roman"/>
                <w:color w:val="000000"/>
                <w:sz w:val="16"/>
                <w:szCs w:val="16"/>
                <w:lang w:val="ru-RU"/>
              </w:rPr>
              <w:t xml:space="preserve"> </w:t>
            </w:r>
            <w:proofErr w:type="spellStart"/>
            <w:r w:rsidRPr="00085FC8">
              <w:rPr>
                <w:rFonts w:ascii="Times New Roman" w:hAnsi="Times New Roman"/>
                <w:color w:val="000000"/>
                <w:sz w:val="16"/>
                <w:szCs w:val="16"/>
                <w:lang w:val="ru-RU"/>
              </w:rPr>
              <w:t>suspicion</w:t>
            </w:r>
            <w:proofErr w:type="spellEnd"/>
            <w:r w:rsidRPr="00085FC8">
              <w:rPr>
                <w:rFonts w:ascii="Times New Roman" w:hAnsi="Times New Roman"/>
                <w:color w:val="000000"/>
                <w:sz w:val="16"/>
                <w:szCs w:val="16"/>
                <w:lang w:val="ru-RU"/>
              </w:rPr>
              <w:t xml:space="preserve"> </w:t>
            </w:r>
            <w:proofErr w:type="spellStart"/>
            <w:r w:rsidRPr="00085FC8">
              <w:rPr>
                <w:rFonts w:ascii="Times New Roman" w:hAnsi="Times New Roman"/>
                <w:color w:val="000000"/>
                <w:sz w:val="16"/>
                <w:szCs w:val="16"/>
                <w:lang w:val="ru-RU"/>
              </w:rPr>
              <w:t>that</w:t>
            </w:r>
            <w:proofErr w:type="spellEnd"/>
            <w:r w:rsidRPr="00085FC8">
              <w:rPr>
                <w:rFonts w:ascii="Times New Roman" w:hAnsi="Times New Roman"/>
                <w:color w:val="000000"/>
                <w:sz w:val="16"/>
                <w:szCs w:val="16"/>
                <w:lang w:val="ru-RU"/>
              </w:rPr>
              <w:t xml:space="preserve"> </w:t>
            </w:r>
            <w:proofErr w:type="spellStart"/>
            <w:r w:rsidRPr="00085FC8">
              <w:rPr>
                <w:rFonts w:ascii="Times New Roman" w:hAnsi="Times New Roman"/>
                <w:color w:val="000000"/>
                <w:sz w:val="16"/>
                <w:szCs w:val="16"/>
                <w:lang w:val="ru-RU"/>
              </w:rPr>
              <w:t>the</w:t>
            </w:r>
            <w:proofErr w:type="spellEnd"/>
            <w:r w:rsidRPr="00085FC8">
              <w:rPr>
                <w:rFonts w:ascii="Times New Roman" w:hAnsi="Times New Roman"/>
                <w:color w:val="000000"/>
                <w:sz w:val="16"/>
                <w:szCs w:val="16"/>
                <w:lang w:val="ru-RU"/>
              </w:rPr>
              <w:t xml:space="preserve"> </w:t>
            </w:r>
            <w:proofErr w:type="spellStart"/>
            <w:r w:rsidRPr="00085FC8">
              <w:rPr>
                <w:rFonts w:ascii="Times New Roman" w:hAnsi="Times New Roman"/>
                <w:color w:val="000000"/>
                <w:sz w:val="16"/>
                <w:szCs w:val="16"/>
                <w:lang w:val="ru-RU"/>
              </w:rPr>
              <w:t>Depositor's</w:t>
            </w:r>
            <w:proofErr w:type="spellEnd"/>
            <w:r w:rsidRPr="00085FC8">
              <w:rPr>
                <w:rFonts w:ascii="Times New Roman" w:hAnsi="Times New Roman"/>
                <w:color w:val="000000"/>
                <w:sz w:val="16"/>
                <w:szCs w:val="16"/>
                <w:lang w:val="ru-RU"/>
              </w:rPr>
              <w:t xml:space="preserve"> </w:t>
            </w:r>
            <w:proofErr w:type="spellStart"/>
            <w:r w:rsidRPr="00085FC8">
              <w:rPr>
                <w:rFonts w:ascii="Times New Roman" w:hAnsi="Times New Roman"/>
                <w:color w:val="000000"/>
                <w:sz w:val="16"/>
                <w:szCs w:val="16"/>
                <w:lang w:val="ru-RU"/>
              </w:rPr>
              <w:t>securities</w:t>
            </w:r>
            <w:proofErr w:type="spellEnd"/>
            <w:r w:rsidRPr="00085FC8">
              <w:rPr>
                <w:rFonts w:ascii="Times New Roman" w:hAnsi="Times New Roman"/>
                <w:color w:val="000000"/>
                <w:sz w:val="16"/>
                <w:szCs w:val="16"/>
                <w:lang w:val="ru-RU"/>
              </w:rPr>
              <w:t xml:space="preserve"> </w:t>
            </w:r>
            <w:proofErr w:type="spellStart"/>
            <w:r w:rsidRPr="00085FC8">
              <w:rPr>
                <w:rFonts w:ascii="Times New Roman" w:hAnsi="Times New Roman"/>
                <w:color w:val="000000"/>
                <w:sz w:val="16"/>
                <w:szCs w:val="16"/>
                <w:lang w:val="ru-RU"/>
              </w:rPr>
              <w:t>account</w:t>
            </w:r>
            <w:proofErr w:type="spellEnd"/>
            <w:r w:rsidRPr="00085FC8">
              <w:rPr>
                <w:rFonts w:ascii="Times New Roman" w:hAnsi="Times New Roman"/>
                <w:color w:val="000000"/>
                <w:sz w:val="16"/>
                <w:szCs w:val="16"/>
                <w:lang w:val="ru-RU"/>
              </w:rPr>
              <w:t xml:space="preserve"> </w:t>
            </w:r>
            <w:proofErr w:type="spellStart"/>
            <w:r w:rsidRPr="00085FC8">
              <w:rPr>
                <w:rFonts w:ascii="Times New Roman" w:hAnsi="Times New Roman"/>
                <w:color w:val="000000"/>
                <w:sz w:val="16"/>
                <w:szCs w:val="16"/>
                <w:lang w:val="ru-RU"/>
              </w:rPr>
              <w:t>belongs</w:t>
            </w:r>
            <w:proofErr w:type="spellEnd"/>
            <w:r w:rsidRPr="00085FC8">
              <w:rPr>
                <w:rFonts w:ascii="Times New Roman" w:hAnsi="Times New Roman"/>
                <w:color w:val="000000"/>
                <w:sz w:val="16"/>
                <w:szCs w:val="16"/>
                <w:lang w:val="ru-RU"/>
              </w:rPr>
              <w:t xml:space="preserve"> </w:t>
            </w:r>
            <w:proofErr w:type="spellStart"/>
            <w:r w:rsidRPr="00085FC8">
              <w:rPr>
                <w:rFonts w:ascii="Times New Roman" w:hAnsi="Times New Roman"/>
                <w:color w:val="000000"/>
                <w:sz w:val="16"/>
                <w:szCs w:val="16"/>
                <w:lang w:val="ru-RU"/>
              </w:rPr>
              <w:t>to</w:t>
            </w:r>
            <w:proofErr w:type="spellEnd"/>
            <w:r w:rsidRPr="00085FC8">
              <w:rPr>
                <w:rFonts w:ascii="Times New Roman" w:hAnsi="Times New Roman"/>
                <w:color w:val="000000"/>
                <w:sz w:val="16"/>
                <w:szCs w:val="16"/>
                <w:lang w:val="ru-RU"/>
              </w:rPr>
              <w:t xml:space="preserve"> </w:t>
            </w:r>
            <w:proofErr w:type="spellStart"/>
            <w:r w:rsidRPr="00085FC8">
              <w:rPr>
                <w:rFonts w:ascii="Times New Roman" w:hAnsi="Times New Roman"/>
                <w:color w:val="000000"/>
                <w:sz w:val="16"/>
                <w:szCs w:val="16"/>
                <w:lang w:val="ru-RU"/>
              </w:rPr>
              <w:t>the</w:t>
            </w:r>
            <w:proofErr w:type="spellEnd"/>
            <w:r w:rsidRPr="00085FC8">
              <w:rPr>
                <w:rFonts w:ascii="Times New Roman" w:hAnsi="Times New Roman"/>
                <w:color w:val="000000"/>
                <w:sz w:val="16"/>
                <w:szCs w:val="16"/>
                <w:lang w:val="ru-RU"/>
              </w:rPr>
              <w:t xml:space="preserve"> </w:t>
            </w:r>
            <w:proofErr w:type="spellStart"/>
            <w:r w:rsidRPr="00085FC8">
              <w:rPr>
                <w:rFonts w:ascii="Times New Roman" w:hAnsi="Times New Roman"/>
                <w:color w:val="000000"/>
                <w:sz w:val="16"/>
                <w:szCs w:val="16"/>
                <w:lang w:val="ru-RU"/>
              </w:rPr>
              <w:t>accountable</w:t>
            </w:r>
            <w:proofErr w:type="spellEnd"/>
            <w:r w:rsidRPr="00085FC8">
              <w:rPr>
                <w:rFonts w:ascii="Times New Roman" w:hAnsi="Times New Roman"/>
                <w:color w:val="000000"/>
                <w:sz w:val="16"/>
                <w:szCs w:val="16"/>
                <w:lang w:val="ru-RU"/>
              </w:rPr>
              <w:t xml:space="preserve">, </w:t>
            </w:r>
            <w:proofErr w:type="spellStart"/>
            <w:r w:rsidRPr="00085FC8">
              <w:rPr>
                <w:rFonts w:ascii="Times New Roman" w:hAnsi="Times New Roman"/>
                <w:color w:val="000000"/>
                <w:sz w:val="16"/>
                <w:szCs w:val="16"/>
                <w:lang w:val="ru-RU"/>
              </w:rPr>
              <w:t>the</w:t>
            </w:r>
            <w:proofErr w:type="spellEnd"/>
            <w:r w:rsidRPr="00085FC8">
              <w:rPr>
                <w:rFonts w:ascii="Times New Roman" w:hAnsi="Times New Roman"/>
                <w:color w:val="000000"/>
                <w:sz w:val="16"/>
                <w:szCs w:val="16"/>
                <w:lang w:val="ru-RU"/>
              </w:rPr>
              <w:t xml:space="preserve"> </w:t>
            </w:r>
            <w:proofErr w:type="spellStart"/>
            <w:r w:rsidRPr="00085FC8">
              <w:rPr>
                <w:rFonts w:ascii="Times New Roman" w:hAnsi="Times New Roman"/>
                <w:color w:val="000000"/>
                <w:sz w:val="16"/>
                <w:szCs w:val="16"/>
                <w:lang w:val="ru-RU"/>
              </w:rPr>
              <w:t>Depository</w:t>
            </w:r>
            <w:proofErr w:type="spellEnd"/>
            <w:r w:rsidRPr="00085FC8">
              <w:rPr>
                <w:rFonts w:ascii="Times New Roman" w:hAnsi="Times New Roman"/>
                <w:color w:val="000000"/>
                <w:sz w:val="16"/>
                <w:szCs w:val="16"/>
                <w:lang w:val="ru-RU"/>
              </w:rPr>
              <w:t xml:space="preserve"> </w:t>
            </w:r>
            <w:proofErr w:type="spellStart"/>
            <w:r w:rsidRPr="00085FC8">
              <w:rPr>
                <w:rFonts w:ascii="Times New Roman" w:hAnsi="Times New Roman"/>
                <w:color w:val="000000"/>
                <w:sz w:val="16"/>
                <w:szCs w:val="16"/>
                <w:lang w:val="ru-RU"/>
              </w:rPr>
              <w:t>in</w:t>
            </w:r>
            <w:proofErr w:type="spellEnd"/>
            <w:r w:rsidRPr="00085FC8">
              <w:rPr>
                <w:rFonts w:ascii="Times New Roman" w:hAnsi="Times New Roman"/>
                <w:color w:val="000000"/>
                <w:sz w:val="16"/>
                <w:szCs w:val="16"/>
                <w:lang w:val="ru-RU"/>
              </w:rPr>
              <w:t xml:space="preserve"> </w:t>
            </w:r>
            <w:proofErr w:type="spellStart"/>
            <w:r w:rsidRPr="00085FC8">
              <w:rPr>
                <w:rFonts w:ascii="Times New Roman" w:hAnsi="Times New Roman"/>
                <w:color w:val="000000"/>
                <w:sz w:val="16"/>
                <w:szCs w:val="16"/>
                <w:lang w:val="ru-RU"/>
              </w:rPr>
              <w:t>the</w:t>
            </w:r>
            <w:proofErr w:type="spellEnd"/>
            <w:r w:rsidRPr="00085FC8">
              <w:rPr>
                <w:rFonts w:ascii="Times New Roman" w:hAnsi="Times New Roman"/>
                <w:color w:val="000000"/>
                <w:sz w:val="16"/>
                <w:szCs w:val="16"/>
                <w:lang w:val="ru-RU"/>
              </w:rPr>
              <w:t xml:space="preserve"> </w:t>
            </w:r>
            <w:proofErr w:type="spellStart"/>
            <w:r w:rsidRPr="00085FC8">
              <w:rPr>
                <w:rFonts w:ascii="Times New Roman" w:hAnsi="Times New Roman"/>
                <w:color w:val="000000"/>
                <w:sz w:val="16"/>
                <w:szCs w:val="16"/>
                <w:lang w:val="ru-RU"/>
              </w:rPr>
              <w:t>manner</w:t>
            </w:r>
            <w:proofErr w:type="spellEnd"/>
            <w:r w:rsidRPr="00085FC8">
              <w:rPr>
                <w:rFonts w:ascii="Times New Roman" w:hAnsi="Times New Roman"/>
                <w:color w:val="000000"/>
                <w:sz w:val="16"/>
                <w:szCs w:val="16"/>
                <w:lang w:val="ru-RU"/>
              </w:rPr>
              <w:t xml:space="preserve"> </w:t>
            </w:r>
            <w:proofErr w:type="spellStart"/>
            <w:r w:rsidRPr="00085FC8">
              <w:rPr>
                <w:rFonts w:ascii="Times New Roman" w:hAnsi="Times New Roman"/>
                <w:color w:val="000000"/>
                <w:sz w:val="16"/>
                <w:szCs w:val="16"/>
                <w:lang w:val="ru-RU"/>
              </w:rPr>
              <w:t>prescribed</w:t>
            </w:r>
            <w:proofErr w:type="spellEnd"/>
            <w:r w:rsidRPr="00085FC8">
              <w:rPr>
                <w:rFonts w:ascii="Times New Roman" w:hAnsi="Times New Roman"/>
                <w:color w:val="000000"/>
                <w:sz w:val="16"/>
                <w:szCs w:val="16"/>
                <w:lang w:val="ru-RU"/>
              </w:rPr>
              <w:t xml:space="preserve"> </w:t>
            </w:r>
            <w:proofErr w:type="spellStart"/>
            <w:r w:rsidRPr="00085FC8">
              <w:rPr>
                <w:rFonts w:ascii="Times New Roman" w:hAnsi="Times New Roman"/>
                <w:color w:val="000000"/>
                <w:sz w:val="16"/>
                <w:szCs w:val="16"/>
                <w:lang w:val="ru-RU"/>
              </w:rPr>
              <w:t>by</w:t>
            </w:r>
            <w:proofErr w:type="spellEnd"/>
            <w:r w:rsidRPr="00085FC8">
              <w:rPr>
                <w:rFonts w:ascii="Times New Roman" w:hAnsi="Times New Roman"/>
                <w:color w:val="000000"/>
                <w:sz w:val="16"/>
                <w:szCs w:val="16"/>
                <w:lang w:val="ru-RU"/>
              </w:rPr>
              <w:t xml:space="preserve"> </w:t>
            </w:r>
            <w:proofErr w:type="spellStart"/>
            <w:r w:rsidRPr="00085FC8">
              <w:rPr>
                <w:rFonts w:ascii="Times New Roman" w:hAnsi="Times New Roman"/>
                <w:color w:val="000000"/>
                <w:sz w:val="16"/>
                <w:szCs w:val="16"/>
                <w:lang w:val="ru-RU"/>
              </w:rPr>
              <w:t>its</w:t>
            </w:r>
            <w:proofErr w:type="spellEnd"/>
            <w:r w:rsidRPr="00085FC8">
              <w:rPr>
                <w:rFonts w:ascii="Times New Roman" w:hAnsi="Times New Roman"/>
                <w:color w:val="000000"/>
                <w:sz w:val="16"/>
                <w:szCs w:val="16"/>
                <w:lang w:val="ru-RU"/>
              </w:rPr>
              <w:t xml:space="preserve"> </w:t>
            </w:r>
            <w:proofErr w:type="spellStart"/>
            <w:r w:rsidRPr="00085FC8">
              <w:rPr>
                <w:rFonts w:ascii="Times New Roman" w:hAnsi="Times New Roman"/>
                <w:color w:val="000000"/>
                <w:sz w:val="16"/>
                <w:szCs w:val="16"/>
                <w:lang w:val="ru-RU"/>
              </w:rPr>
              <w:t>internal</w:t>
            </w:r>
            <w:proofErr w:type="spellEnd"/>
            <w:r w:rsidRPr="00085FC8">
              <w:rPr>
                <w:rFonts w:ascii="Times New Roman" w:hAnsi="Times New Roman"/>
                <w:color w:val="000000"/>
                <w:sz w:val="16"/>
                <w:szCs w:val="16"/>
                <w:lang w:val="ru-RU"/>
              </w:rPr>
              <w:t xml:space="preserve"> </w:t>
            </w:r>
            <w:proofErr w:type="spellStart"/>
            <w:r w:rsidRPr="00085FC8">
              <w:rPr>
                <w:rFonts w:ascii="Times New Roman" w:hAnsi="Times New Roman"/>
                <w:color w:val="000000"/>
                <w:sz w:val="16"/>
                <w:szCs w:val="16"/>
                <w:lang w:val="ru-RU"/>
              </w:rPr>
              <w:t>documents</w:t>
            </w:r>
            <w:proofErr w:type="spellEnd"/>
            <w:r w:rsidRPr="00085FC8">
              <w:rPr>
                <w:rFonts w:ascii="Times New Roman" w:hAnsi="Times New Roman"/>
                <w:color w:val="000000"/>
                <w:sz w:val="16"/>
                <w:szCs w:val="16"/>
                <w:lang w:val="ru-RU"/>
              </w:rPr>
              <w:t xml:space="preserve">, </w:t>
            </w:r>
            <w:proofErr w:type="spellStart"/>
            <w:r w:rsidRPr="00085FC8">
              <w:rPr>
                <w:rFonts w:ascii="Times New Roman" w:hAnsi="Times New Roman"/>
                <w:color w:val="000000"/>
                <w:sz w:val="16"/>
                <w:szCs w:val="16"/>
                <w:lang w:val="ru-RU"/>
              </w:rPr>
              <w:t>and</w:t>
            </w:r>
            <w:proofErr w:type="spellEnd"/>
            <w:r w:rsidRPr="00085FC8">
              <w:rPr>
                <w:rFonts w:ascii="Times New Roman" w:hAnsi="Times New Roman"/>
                <w:color w:val="000000"/>
                <w:sz w:val="16"/>
                <w:szCs w:val="16"/>
                <w:lang w:val="ru-RU"/>
              </w:rPr>
              <w:t xml:space="preserve"> </w:t>
            </w:r>
            <w:proofErr w:type="spellStart"/>
            <w:r w:rsidRPr="00085FC8">
              <w:rPr>
                <w:rFonts w:ascii="Times New Roman" w:hAnsi="Times New Roman"/>
                <w:color w:val="000000"/>
                <w:sz w:val="16"/>
                <w:szCs w:val="16"/>
                <w:lang w:val="ru-RU"/>
              </w:rPr>
              <w:t>in</w:t>
            </w:r>
            <w:proofErr w:type="spellEnd"/>
            <w:r w:rsidRPr="00085FC8">
              <w:rPr>
                <w:rFonts w:ascii="Times New Roman" w:hAnsi="Times New Roman"/>
                <w:color w:val="000000"/>
                <w:sz w:val="16"/>
                <w:szCs w:val="16"/>
                <w:lang w:val="ru-RU"/>
              </w:rPr>
              <w:t xml:space="preserve"> </w:t>
            </w:r>
            <w:proofErr w:type="spellStart"/>
            <w:r w:rsidRPr="00085FC8">
              <w:rPr>
                <w:rFonts w:ascii="Times New Roman" w:hAnsi="Times New Roman"/>
                <w:color w:val="000000"/>
                <w:sz w:val="16"/>
                <w:szCs w:val="16"/>
                <w:lang w:val="ru-RU"/>
              </w:rPr>
              <w:t>accordance</w:t>
            </w:r>
            <w:proofErr w:type="spellEnd"/>
            <w:r w:rsidRPr="00085FC8">
              <w:rPr>
                <w:rFonts w:ascii="Times New Roman" w:hAnsi="Times New Roman"/>
                <w:color w:val="000000"/>
                <w:sz w:val="16"/>
                <w:szCs w:val="16"/>
                <w:lang w:val="ru-RU"/>
              </w:rPr>
              <w:t xml:space="preserve"> </w:t>
            </w:r>
            <w:proofErr w:type="spellStart"/>
            <w:r w:rsidRPr="00085FC8">
              <w:rPr>
                <w:rFonts w:ascii="Times New Roman" w:hAnsi="Times New Roman"/>
                <w:color w:val="000000"/>
                <w:sz w:val="16"/>
                <w:szCs w:val="16"/>
                <w:lang w:val="ru-RU"/>
              </w:rPr>
              <w:t>with</w:t>
            </w:r>
            <w:proofErr w:type="spellEnd"/>
            <w:r w:rsidRPr="00085FC8">
              <w:rPr>
                <w:rFonts w:ascii="Times New Roman" w:hAnsi="Times New Roman"/>
                <w:color w:val="000000"/>
                <w:sz w:val="16"/>
                <w:szCs w:val="16"/>
                <w:lang w:val="ru-RU"/>
              </w:rPr>
              <w:t xml:space="preserve"> </w:t>
            </w:r>
            <w:proofErr w:type="spellStart"/>
            <w:r w:rsidRPr="00085FC8">
              <w:rPr>
                <w:rFonts w:ascii="Times New Roman" w:hAnsi="Times New Roman"/>
                <w:color w:val="000000"/>
                <w:sz w:val="16"/>
                <w:szCs w:val="16"/>
                <w:lang w:val="ru-RU"/>
              </w:rPr>
              <w:t>this</w:t>
            </w:r>
            <w:proofErr w:type="spellEnd"/>
            <w:r w:rsidRPr="00085FC8">
              <w:rPr>
                <w:rFonts w:ascii="Times New Roman" w:hAnsi="Times New Roman"/>
                <w:color w:val="000000"/>
                <w:sz w:val="16"/>
                <w:szCs w:val="16"/>
                <w:lang w:val="ru-RU"/>
              </w:rPr>
              <w:t xml:space="preserve"> </w:t>
            </w:r>
            <w:proofErr w:type="spellStart"/>
            <w:r w:rsidRPr="00085FC8">
              <w:rPr>
                <w:rFonts w:ascii="Times New Roman" w:hAnsi="Times New Roman"/>
                <w:color w:val="000000"/>
                <w:sz w:val="16"/>
                <w:szCs w:val="16"/>
                <w:lang w:val="ru-RU"/>
              </w:rPr>
              <w:t>Agreement</w:t>
            </w:r>
            <w:proofErr w:type="spellEnd"/>
            <w:r w:rsidRPr="00085FC8">
              <w:rPr>
                <w:rFonts w:ascii="Times New Roman" w:hAnsi="Times New Roman"/>
                <w:color w:val="000000"/>
                <w:sz w:val="16"/>
                <w:szCs w:val="16"/>
                <w:lang w:val="ru-RU"/>
              </w:rPr>
              <w:t xml:space="preserve"> </w:t>
            </w:r>
            <w:proofErr w:type="spellStart"/>
            <w:r w:rsidRPr="00085FC8">
              <w:rPr>
                <w:rFonts w:ascii="Times New Roman" w:hAnsi="Times New Roman"/>
                <w:color w:val="000000"/>
                <w:sz w:val="16"/>
                <w:szCs w:val="16"/>
                <w:lang w:val="ru-RU"/>
              </w:rPr>
              <w:t>sends</w:t>
            </w:r>
            <w:proofErr w:type="spellEnd"/>
            <w:r w:rsidRPr="00085FC8">
              <w:rPr>
                <w:rFonts w:ascii="Times New Roman" w:hAnsi="Times New Roman"/>
                <w:color w:val="000000"/>
                <w:sz w:val="16"/>
                <w:szCs w:val="16"/>
                <w:lang w:val="ru-RU"/>
              </w:rPr>
              <w:t xml:space="preserve"> </w:t>
            </w:r>
            <w:proofErr w:type="spellStart"/>
            <w:r w:rsidRPr="00085FC8">
              <w:rPr>
                <w:rFonts w:ascii="Times New Roman" w:hAnsi="Times New Roman"/>
                <w:color w:val="000000"/>
                <w:sz w:val="16"/>
                <w:szCs w:val="16"/>
                <w:lang w:val="ru-RU"/>
              </w:rPr>
              <w:t>to</w:t>
            </w:r>
            <w:proofErr w:type="spellEnd"/>
            <w:r w:rsidRPr="00085FC8">
              <w:rPr>
                <w:rFonts w:ascii="Times New Roman" w:hAnsi="Times New Roman"/>
                <w:color w:val="000000"/>
                <w:sz w:val="16"/>
                <w:szCs w:val="16"/>
                <w:lang w:val="ru-RU"/>
              </w:rPr>
              <w:t xml:space="preserve"> </w:t>
            </w:r>
            <w:proofErr w:type="spellStart"/>
            <w:r w:rsidRPr="00085FC8">
              <w:rPr>
                <w:rFonts w:ascii="Times New Roman" w:hAnsi="Times New Roman"/>
                <w:color w:val="000000"/>
                <w:sz w:val="16"/>
                <w:szCs w:val="16"/>
                <w:lang w:val="ru-RU"/>
              </w:rPr>
              <w:t>the</w:t>
            </w:r>
            <w:proofErr w:type="spellEnd"/>
            <w:r w:rsidRPr="00085FC8">
              <w:rPr>
                <w:rFonts w:ascii="Times New Roman" w:hAnsi="Times New Roman"/>
                <w:color w:val="000000"/>
                <w:sz w:val="16"/>
                <w:szCs w:val="16"/>
                <w:lang w:val="ru-RU"/>
              </w:rPr>
              <w:t xml:space="preserve"> </w:t>
            </w:r>
            <w:proofErr w:type="spellStart"/>
            <w:r w:rsidRPr="00085FC8">
              <w:rPr>
                <w:rFonts w:ascii="Times New Roman" w:hAnsi="Times New Roman"/>
                <w:color w:val="000000"/>
                <w:sz w:val="16"/>
                <w:szCs w:val="16"/>
                <w:lang w:val="ru-RU"/>
              </w:rPr>
              <w:t>relevant</w:t>
            </w:r>
            <w:proofErr w:type="spellEnd"/>
            <w:r w:rsidRPr="00085FC8">
              <w:rPr>
                <w:rFonts w:ascii="Times New Roman" w:hAnsi="Times New Roman"/>
                <w:color w:val="000000"/>
                <w:sz w:val="16"/>
                <w:szCs w:val="16"/>
                <w:lang w:val="ru-RU"/>
              </w:rPr>
              <w:t xml:space="preserve"> </w:t>
            </w:r>
            <w:proofErr w:type="spellStart"/>
            <w:r w:rsidRPr="00085FC8">
              <w:rPr>
                <w:rFonts w:ascii="Times New Roman" w:hAnsi="Times New Roman"/>
                <w:color w:val="000000"/>
                <w:sz w:val="16"/>
                <w:szCs w:val="16"/>
                <w:lang w:val="ru-RU"/>
              </w:rPr>
              <w:t>Depositor</w:t>
            </w:r>
            <w:proofErr w:type="spellEnd"/>
            <w:r w:rsidRPr="00085FC8">
              <w:rPr>
                <w:rFonts w:ascii="Times New Roman" w:hAnsi="Times New Roman"/>
                <w:color w:val="000000"/>
                <w:sz w:val="16"/>
                <w:szCs w:val="16"/>
                <w:lang w:val="ru-RU"/>
              </w:rPr>
              <w:t xml:space="preserve"> a </w:t>
            </w:r>
            <w:proofErr w:type="spellStart"/>
            <w:r w:rsidRPr="00085FC8">
              <w:rPr>
                <w:rFonts w:ascii="Times New Roman" w:hAnsi="Times New Roman"/>
                <w:color w:val="000000"/>
                <w:sz w:val="16"/>
                <w:szCs w:val="16"/>
                <w:lang w:val="ru-RU"/>
              </w:rPr>
              <w:t>request</w:t>
            </w:r>
            <w:proofErr w:type="spellEnd"/>
            <w:r w:rsidRPr="00085FC8">
              <w:rPr>
                <w:rFonts w:ascii="Times New Roman" w:hAnsi="Times New Roman"/>
                <w:color w:val="000000"/>
                <w:sz w:val="16"/>
                <w:szCs w:val="16"/>
                <w:lang w:val="ru-RU"/>
              </w:rPr>
              <w:t xml:space="preserve"> </w:t>
            </w:r>
            <w:proofErr w:type="spellStart"/>
            <w:r w:rsidRPr="00085FC8">
              <w:rPr>
                <w:rFonts w:ascii="Times New Roman" w:hAnsi="Times New Roman"/>
                <w:color w:val="000000"/>
                <w:sz w:val="16"/>
                <w:szCs w:val="16"/>
                <w:lang w:val="ru-RU"/>
              </w:rPr>
              <w:t>for</w:t>
            </w:r>
            <w:proofErr w:type="spellEnd"/>
            <w:r w:rsidRPr="00085FC8">
              <w:rPr>
                <w:rFonts w:ascii="Times New Roman" w:hAnsi="Times New Roman"/>
                <w:color w:val="000000"/>
                <w:sz w:val="16"/>
                <w:szCs w:val="16"/>
                <w:lang w:val="ru-RU"/>
              </w:rPr>
              <w:t xml:space="preserve"> </w:t>
            </w:r>
            <w:proofErr w:type="spellStart"/>
            <w:r w:rsidRPr="00085FC8">
              <w:rPr>
                <w:rFonts w:ascii="Times New Roman" w:hAnsi="Times New Roman"/>
                <w:color w:val="000000"/>
                <w:sz w:val="16"/>
                <w:szCs w:val="16"/>
                <w:lang w:val="ru-RU"/>
              </w:rPr>
              <w:t>clarification</w:t>
            </w:r>
            <w:proofErr w:type="spellEnd"/>
            <w:r w:rsidRPr="00085FC8">
              <w:rPr>
                <w:rFonts w:ascii="Times New Roman" w:hAnsi="Times New Roman"/>
                <w:color w:val="000000"/>
                <w:sz w:val="16"/>
                <w:szCs w:val="16"/>
                <w:lang w:val="ru-RU"/>
              </w:rPr>
              <w:t xml:space="preserve"> </w:t>
            </w:r>
            <w:proofErr w:type="spellStart"/>
            <w:r w:rsidRPr="00085FC8">
              <w:rPr>
                <w:rFonts w:ascii="Times New Roman" w:hAnsi="Times New Roman"/>
                <w:color w:val="000000"/>
                <w:sz w:val="16"/>
                <w:szCs w:val="16"/>
                <w:lang w:val="ru-RU"/>
              </w:rPr>
              <w:t>and</w:t>
            </w:r>
            <w:proofErr w:type="spellEnd"/>
            <w:r w:rsidRPr="00085FC8">
              <w:rPr>
                <w:rFonts w:ascii="Times New Roman" w:hAnsi="Times New Roman"/>
                <w:color w:val="000000"/>
                <w:sz w:val="16"/>
                <w:szCs w:val="16"/>
                <w:lang w:val="ru-RU"/>
              </w:rPr>
              <w:t xml:space="preserve"> </w:t>
            </w:r>
            <w:proofErr w:type="spellStart"/>
            <w:r w:rsidRPr="00085FC8">
              <w:rPr>
                <w:rFonts w:ascii="Times New Roman" w:hAnsi="Times New Roman"/>
                <w:color w:val="000000"/>
                <w:sz w:val="16"/>
                <w:szCs w:val="16"/>
                <w:lang w:val="ru-RU"/>
              </w:rPr>
              <w:t>information</w:t>
            </w:r>
            <w:proofErr w:type="spellEnd"/>
            <w:r w:rsidRPr="00085FC8">
              <w:rPr>
                <w:rFonts w:ascii="Times New Roman" w:hAnsi="Times New Roman"/>
                <w:color w:val="000000"/>
                <w:sz w:val="16"/>
                <w:szCs w:val="16"/>
                <w:lang w:val="ru-RU"/>
              </w:rPr>
              <w:t xml:space="preserve">, </w:t>
            </w:r>
            <w:proofErr w:type="spellStart"/>
            <w:r w:rsidRPr="00085FC8">
              <w:rPr>
                <w:rFonts w:ascii="Times New Roman" w:hAnsi="Times New Roman"/>
                <w:color w:val="000000"/>
                <w:sz w:val="16"/>
                <w:szCs w:val="16"/>
                <w:lang w:val="ru-RU"/>
              </w:rPr>
              <w:t>concerning</w:t>
            </w:r>
            <w:proofErr w:type="spellEnd"/>
            <w:r w:rsidRPr="00085FC8">
              <w:rPr>
                <w:rFonts w:ascii="Times New Roman" w:hAnsi="Times New Roman"/>
                <w:color w:val="000000"/>
                <w:sz w:val="16"/>
                <w:szCs w:val="16"/>
                <w:lang w:val="ru-RU"/>
              </w:rPr>
              <w:t xml:space="preserve"> </w:t>
            </w:r>
            <w:proofErr w:type="spellStart"/>
            <w:r w:rsidRPr="00085FC8">
              <w:rPr>
                <w:rFonts w:ascii="Times New Roman" w:hAnsi="Times New Roman"/>
                <w:color w:val="000000"/>
                <w:sz w:val="16"/>
                <w:szCs w:val="16"/>
                <w:lang w:val="ru-RU"/>
              </w:rPr>
              <w:t>suspicion</w:t>
            </w:r>
            <w:proofErr w:type="spellEnd"/>
            <w:r w:rsidRPr="00085FC8">
              <w:rPr>
                <w:rFonts w:ascii="Times New Roman" w:hAnsi="Times New Roman"/>
                <w:color w:val="000000"/>
                <w:sz w:val="16"/>
                <w:szCs w:val="16"/>
                <w:lang w:val="ru-RU"/>
              </w:rPr>
              <w:t>.</w:t>
            </w:r>
          </w:p>
        </w:tc>
      </w:tr>
      <w:tr w:rsidR="005C5318" w:rsidRPr="00F23413" w14:paraId="169F4222" w14:textId="77777777" w:rsidTr="005E418B">
        <w:trPr>
          <w:trHeight w:val="192"/>
        </w:trPr>
        <w:tc>
          <w:tcPr>
            <w:tcW w:w="5695" w:type="dxa"/>
            <w:gridSpan w:val="6"/>
            <w:shd w:val="clear" w:color="auto" w:fill="auto"/>
          </w:tcPr>
          <w:p w14:paraId="20190CA6" w14:textId="77777777" w:rsidR="005C5318" w:rsidRPr="00E16672" w:rsidRDefault="005C5318" w:rsidP="005C5318">
            <w:pPr>
              <w:pStyle w:val="1b"/>
              <w:snapToGrid w:val="0"/>
              <w:spacing w:before="0"/>
              <w:ind w:left="175" w:right="138" w:firstLine="7"/>
              <w:rPr>
                <w:rFonts w:ascii="Times New Roman" w:eastAsia="Times New Roman" w:hAnsi="Times New Roman" w:cs="Times New Roman"/>
                <w:b/>
                <w:color w:val="000000"/>
                <w:sz w:val="16"/>
                <w:szCs w:val="16"/>
              </w:rPr>
            </w:pPr>
            <w:r w:rsidRPr="00E16672">
              <w:rPr>
                <w:rFonts w:ascii="Times New Roman" w:eastAsia="Times New Roman" w:hAnsi="Times New Roman" w:cs="Times New Roman"/>
                <w:b/>
                <w:color w:val="000000"/>
                <w:sz w:val="16"/>
                <w:szCs w:val="16"/>
              </w:rPr>
              <w:t>2.2. Депозитарна установа має право:</w:t>
            </w:r>
          </w:p>
          <w:p w14:paraId="7C0708F4" w14:textId="77777777" w:rsidR="005C5318" w:rsidRPr="00E16672" w:rsidRDefault="005C5318" w:rsidP="005C5318">
            <w:pPr>
              <w:tabs>
                <w:tab w:val="left" w:pos="709"/>
              </w:tabs>
              <w:ind w:left="175" w:right="138" w:firstLine="7"/>
              <w:rPr>
                <w:rFonts w:ascii="Times New Roman" w:eastAsia="Arial" w:hAnsi="Times New Roman"/>
                <w:color w:val="000000"/>
                <w:sz w:val="16"/>
                <w:szCs w:val="16"/>
              </w:rPr>
            </w:pPr>
            <w:r w:rsidRPr="00E16672">
              <w:rPr>
                <w:rFonts w:ascii="Times New Roman" w:eastAsia="Arial" w:hAnsi="Times New Roman"/>
                <w:color w:val="000000"/>
                <w:sz w:val="16"/>
                <w:szCs w:val="16"/>
              </w:rPr>
              <w:t xml:space="preserve">2.2.1. </w:t>
            </w:r>
            <w:r w:rsidRPr="00E16672">
              <w:rPr>
                <w:rFonts w:ascii="Times New Roman" w:hAnsi="Times New Roman"/>
                <w:color w:val="000000"/>
                <w:sz w:val="16"/>
                <w:szCs w:val="16"/>
                <w:lang w:val="uk-UA"/>
              </w:rPr>
              <w:t>Надавати письмову відмову у видачі виписки з рахунку в цінних паперах у разі невідповідності оформленого запиту вимогам законодавства та внутрішніх документів Депозитарної установи.</w:t>
            </w:r>
          </w:p>
          <w:p w14:paraId="34EF71E0" w14:textId="77777777" w:rsidR="005C5318" w:rsidRPr="00E16672" w:rsidRDefault="005C5318" w:rsidP="005C5318">
            <w:pPr>
              <w:tabs>
                <w:tab w:val="left" w:pos="709"/>
              </w:tabs>
              <w:ind w:left="175" w:right="138" w:firstLine="7"/>
              <w:rPr>
                <w:rFonts w:ascii="Times New Roman" w:hAnsi="Times New Roman"/>
                <w:color w:val="000000"/>
                <w:sz w:val="16"/>
                <w:szCs w:val="16"/>
              </w:rPr>
            </w:pPr>
          </w:p>
        </w:tc>
        <w:tc>
          <w:tcPr>
            <w:tcW w:w="5495" w:type="dxa"/>
            <w:gridSpan w:val="6"/>
            <w:shd w:val="clear" w:color="auto" w:fill="auto"/>
          </w:tcPr>
          <w:p w14:paraId="60F07451" w14:textId="77777777" w:rsidR="005C5318" w:rsidRPr="00E16672" w:rsidRDefault="005C5318" w:rsidP="005C5318">
            <w:pPr>
              <w:tabs>
                <w:tab w:val="left" w:pos="287"/>
              </w:tabs>
              <w:snapToGrid w:val="0"/>
              <w:ind w:left="175" w:right="100" w:firstLine="7"/>
              <w:rPr>
                <w:rFonts w:ascii="Times New Roman" w:hAnsi="Times New Roman"/>
                <w:b/>
                <w:color w:val="000000"/>
                <w:sz w:val="16"/>
                <w:szCs w:val="16"/>
                <w:lang w:val="en-GB"/>
              </w:rPr>
            </w:pPr>
            <w:r w:rsidRPr="00E16672">
              <w:rPr>
                <w:rFonts w:ascii="Times New Roman" w:hAnsi="Times New Roman"/>
                <w:b/>
                <w:color w:val="000000"/>
                <w:sz w:val="16"/>
                <w:szCs w:val="16"/>
                <w:lang w:val="en-GB"/>
              </w:rPr>
              <w:t>2.2. Depository institutions may have rights:</w:t>
            </w:r>
          </w:p>
          <w:p w14:paraId="03AB2E62" w14:textId="77777777" w:rsidR="005C5318" w:rsidRPr="00E16672" w:rsidRDefault="005C5318" w:rsidP="005C5318">
            <w:pPr>
              <w:pStyle w:val="210"/>
              <w:tabs>
                <w:tab w:val="left" w:pos="287"/>
              </w:tabs>
              <w:ind w:left="175" w:right="100" w:firstLine="7"/>
              <w:rPr>
                <w:rFonts w:ascii="Times New Roman" w:hAnsi="Times New Roman"/>
                <w:b/>
                <w:color w:val="000000"/>
                <w:sz w:val="16"/>
                <w:szCs w:val="16"/>
              </w:rPr>
            </w:pPr>
          </w:p>
          <w:p w14:paraId="591F08BE" w14:textId="77777777" w:rsidR="005C5318" w:rsidRPr="00E16672" w:rsidRDefault="005C5318" w:rsidP="005C5318">
            <w:pPr>
              <w:tabs>
                <w:tab w:val="left" w:pos="287"/>
              </w:tabs>
              <w:ind w:left="175" w:right="100" w:firstLine="7"/>
              <w:rPr>
                <w:rFonts w:ascii="Times New Roman" w:hAnsi="Times New Roman"/>
                <w:b/>
                <w:color w:val="000000"/>
                <w:sz w:val="16"/>
                <w:szCs w:val="16"/>
                <w:lang w:val="en-GB"/>
              </w:rPr>
            </w:pPr>
            <w:proofErr w:type="gramStart"/>
            <w:r w:rsidRPr="00E16672">
              <w:rPr>
                <w:rFonts w:ascii="Times New Roman" w:hAnsi="Times New Roman"/>
                <w:color w:val="000000"/>
                <w:sz w:val="16"/>
                <w:szCs w:val="16"/>
                <w:lang w:val="en-GB"/>
              </w:rPr>
              <w:t>2.2.</w:t>
            </w:r>
            <w:r w:rsidRPr="00E16672">
              <w:rPr>
                <w:rFonts w:ascii="Times New Roman" w:eastAsia="Arial" w:hAnsi="Times New Roman"/>
                <w:color w:val="000000"/>
                <w:sz w:val="16"/>
                <w:szCs w:val="16"/>
                <w:lang w:val="en-GB"/>
              </w:rPr>
              <w:t xml:space="preserve">1  </w:t>
            </w:r>
            <w:r w:rsidRPr="00F23413">
              <w:rPr>
                <w:rFonts w:ascii="Times New Roman" w:hAnsi="Times New Roman"/>
                <w:sz w:val="16"/>
                <w:lang w:val="en-US"/>
              </w:rPr>
              <w:t>To</w:t>
            </w:r>
            <w:proofErr w:type="gramEnd"/>
            <w:r w:rsidRPr="00F23413">
              <w:rPr>
                <w:rFonts w:ascii="Times New Roman" w:hAnsi="Times New Roman"/>
                <w:sz w:val="16"/>
                <w:lang w:val="en-US"/>
              </w:rPr>
              <w:t xml:space="preserve"> provide a written refusal to issue an extract from the securities account in case of non-compliance of the completed request with the requirements of the legislation and internal documents of the Depository.</w:t>
            </w:r>
          </w:p>
        </w:tc>
      </w:tr>
      <w:tr w:rsidR="005C5318" w:rsidRPr="00F23413" w14:paraId="2881ED4F" w14:textId="77777777" w:rsidTr="005E418B">
        <w:trPr>
          <w:trHeight w:val="192"/>
        </w:trPr>
        <w:tc>
          <w:tcPr>
            <w:tcW w:w="5695" w:type="dxa"/>
            <w:gridSpan w:val="6"/>
            <w:shd w:val="clear" w:color="auto" w:fill="auto"/>
          </w:tcPr>
          <w:p w14:paraId="76B8D569" w14:textId="77777777" w:rsidR="005C5318" w:rsidRPr="00E16672" w:rsidRDefault="005C5318" w:rsidP="005C5318">
            <w:pPr>
              <w:tabs>
                <w:tab w:val="left" w:pos="709"/>
              </w:tabs>
              <w:snapToGrid w:val="0"/>
              <w:ind w:left="175" w:right="138" w:firstLine="7"/>
              <w:rPr>
                <w:rFonts w:ascii="Times New Roman" w:hAnsi="Times New Roman"/>
                <w:color w:val="000000"/>
                <w:sz w:val="16"/>
                <w:szCs w:val="16"/>
              </w:rPr>
            </w:pPr>
            <w:r w:rsidRPr="00E16672">
              <w:rPr>
                <w:rFonts w:ascii="Times New Roman" w:hAnsi="Times New Roman"/>
                <w:color w:val="000000"/>
                <w:sz w:val="16"/>
                <w:szCs w:val="16"/>
              </w:rPr>
              <w:t xml:space="preserve">2.2.2. </w:t>
            </w:r>
            <w:proofErr w:type="spellStart"/>
            <w:r w:rsidRPr="00E16672">
              <w:rPr>
                <w:rFonts w:ascii="Times New Roman" w:hAnsi="Times New Roman"/>
                <w:color w:val="000000"/>
                <w:sz w:val="16"/>
                <w:szCs w:val="16"/>
              </w:rPr>
              <w:t>Вимагати</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від</w:t>
            </w:r>
            <w:proofErr w:type="spellEnd"/>
            <w:r w:rsidRPr="00E16672">
              <w:rPr>
                <w:rFonts w:ascii="Times New Roman" w:hAnsi="Times New Roman"/>
                <w:color w:val="000000"/>
                <w:sz w:val="16"/>
                <w:szCs w:val="16"/>
              </w:rPr>
              <w:t xml:space="preserve"> Депонента, </w:t>
            </w:r>
            <w:proofErr w:type="spellStart"/>
            <w:r w:rsidRPr="00E16672">
              <w:rPr>
                <w:rFonts w:ascii="Times New Roman" w:hAnsi="Times New Roman"/>
                <w:color w:val="000000"/>
                <w:sz w:val="16"/>
                <w:szCs w:val="16"/>
              </w:rPr>
              <w:t>керуючого</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рахунком</w:t>
            </w:r>
            <w:proofErr w:type="spellEnd"/>
            <w:r w:rsidRPr="00E16672">
              <w:rPr>
                <w:rFonts w:ascii="Times New Roman" w:hAnsi="Times New Roman"/>
                <w:color w:val="000000"/>
                <w:sz w:val="16"/>
                <w:szCs w:val="16"/>
              </w:rPr>
              <w:t xml:space="preserve"> </w:t>
            </w:r>
            <w:r w:rsidR="00C22309" w:rsidRPr="00E16672">
              <w:rPr>
                <w:rFonts w:ascii="Times New Roman" w:hAnsi="Times New Roman"/>
                <w:color w:val="000000"/>
                <w:sz w:val="16"/>
                <w:szCs w:val="16"/>
              </w:rPr>
              <w:t xml:space="preserve">в </w:t>
            </w:r>
            <w:proofErr w:type="spellStart"/>
            <w:r w:rsidR="00C22309" w:rsidRPr="00E16672">
              <w:rPr>
                <w:rFonts w:ascii="Times New Roman" w:hAnsi="Times New Roman"/>
                <w:color w:val="000000"/>
                <w:sz w:val="16"/>
                <w:szCs w:val="16"/>
              </w:rPr>
              <w:t>цін</w:t>
            </w:r>
            <w:r w:rsidRPr="00E16672">
              <w:rPr>
                <w:rFonts w:ascii="Times New Roman" w:hAnsi="Times New Roman"/>
                <w:color w:val="000000"/>
                <w:sz w:val="16"/>
                <w:szCs w:val="16"/>
              </w:rPr>
              <w:t>них</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паперах</w:t>
            </w:r>
            <w:proofErr w:type="spellEnd"/>
            <w:r w:rsidRPr="00E16672">
              <w:rPr>
                <w:rFonts w:ascii="Times New Roman" w:hAnsi="Times New Roman"/>
                <w:color w:val="000000"/>
                <w:sz w:val="16"/>
                <w:szCs w:val="16"/>
              </w:rPr>
              <w:t xml:space="preserve"> Депонента</w:t>
            </w:r>
            <w:r w:rsidRPr="00E16672">
              <w:rPr>
                <w:rFonts w:ascii="Times New Roman" w:hAnsi="Times New Roman"/>
                <w:color w:val="000000"/>
                <w:sz w:val="16"/>
                <w:szCs w:val="16"/>
                <w:lang w:val="uk-UA"/>
              </w:rPr>
              <w:t>, розпорядника рахунку</w:t>
            </w:r>
            <w:r w:rsidRPr="00E16672">
              <w:rPr>
                <w:rFonts w:ascii="Times New Roman" w:hAnsi="Times New Roman"/>
                <w:color w:val="000000"/>
                <w:sz w:val="16"/>
                <w:szCs w:val="16"/>
              </w:rPr>
              <w:t xml:space="preserve">, </w:t>
            </w:r>
            <w:r w:rsidRPr="00E16672">
              <w:rPr>
                <w:rFonts w:ascii="Times New Roman" w:hAnsi="Times New Roman"/>
                <w:color w:val="000000"/>
                <w:sz w:val="16"/>
                <w:szCs w:val="16"/>
                <w:lang w:val="uk-UA"/>
              </w:rPr>
              <w:t>надання на виконання вимог законодавства та/або внутрішніх документів Депозитарної установи належним чином засвідчених документів та інформації, необхідних</w:t>
            </w:r>
            <w:r w:rsidRPr="00E16672">
              <w:rPr>
                <w:rFonts w:ascii="Times New Roman" w:hAnsi="Times New Roman"/>
                <w:color w:val="000000"/>
                <w:sz w:val="16"/>
                <w:szCs w:val="16"/>
              </w:rPr>
              <w:t xml:space="preserve"> для </w:t>
            </w:r>
            <w:proofErr w:type="spellStart"/>
            <w:r w:rsidRPr="00E16672">
              <w:rPr>
                <w:rFonts w:ascii="Times New Roman" w:hAnsi="Times New Roman"/>
                <w:color w:val="000000"/>
                <w:sz w:val="16"/>
                <w:szCs w:val="16"/>
              </w:rPr>
              <w:t>виконання</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своїх</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обов’язків</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згідно</w:t>
            </w:r>
            <w:proofErr w:type="spellEnd"/>
            <w:r w:rsidRPr="00E16672">
              <w:rPr>
                <w:rFonts w:ascii="Times New Roman" w:hAnsi="Times New Roman"/>
                <w:color w:val="000000"/>
                <w:sz w:val="16"/>
                <w:szCs w:val="16"/>
              </w:rPr>
              <w:t xml:space="preserve"> умов Договору та </w:t>
            </w:r>
            <w:proofErr w:type="spellStart"/>
            <w:r w:rsidRPr="00E16672">
              <w:rPr>
                <w:rFonts w:ascii="Times New Roman" w:hAnsi="Times New Roman"/>
                <w:color w:val="000000"/>
                <w:sz w:val="16"/>
                <w:szCs w:val="16"/>
              </w:rPr>
              <w:t>законодавства</w:t>
            </w:r>
            <w:proofErr w:type="spellEnd"/>
            <w:r w:rsidRPr="00E16672">
              <w:rPr>
                <w:rFonts w:ascii="Times New Roman" w:hAnsi="Times New Roman"/>
                <w:color w:val="000000"/>
                <w:sz w:val="16"/>
                <w:szCs w:val="16"/>
              </w:rPr>
              <w:t>.</w:t>
            </w:r>
          </w:p>
          <w:p w14:paraId="2BE00CCA" w14:textId="77777777" w:rsidR="005C5318" w:rsidRPr="00E16672" w:rsidRDefault="005C5318" w:rsidP="005C5318">
            <w:pPr>
              <w:tabs>
                <w:tab w:val="left" w:pos="57"/>
              </w:tabs>
              <w:snapToGrid w:val="0"/>
              <w:ind w:left="175" w:right="138" w:firstLine="7"/>
              <w:rPr>
                <w:rFonts w:ascii="Times New Roman" w:hAnsi="Times New Roman"/>
                <w:color w:val="000000"/>
                <w:sz w:val="16"/>
                <w:szCs w:val="16"/>
              </w:rPr>
            </w:pPr>
          </w:p>
        </w:tc>
        <w:tc>
          <w:tcPr>
            <w:tcW w:w="5495" w:type="dxa"/>
            <w:gridSpan w:val="6"/>
            <w:shd w:val="clear" w:color="auto" w:fill="auto"/>
          </w:tcPr>
          <w:p w14:paraId="4D576DBC" w14:textId="77777777" w:rsidR="005C5318" w:rsidRPr="00E16672" w:rsidRDefault="005C5318" w:rsidP="005C5318">
            <w:pPr>
              <w:tabs>
                <w:tab w:val="left" w:pos="287"/>
              </w:tabs>
              <w:snapToGrid w:val="0"/>
              <w:ind w:left="175" w:right="100" w:firstLine="7"/>
              <w:rPr>
                <w:rFonts w:ascii="Times New Roman" w:hAnsi="Times New Roman"/>
                <w:color w:val="000000"/>
                <w:sz w:val="16"/>
                <w:szCs w:val="16"/>
                <w:lang w:val="en-GB"/>
              </w:rPr>
            </w:pPr>
            <w:r w:rsidRPr="00E16672">
              <w:rPr>
                <w:rFonts w:ascii="Times New Roman" w:hAnsi="Times New Roman"/>
                <w:color w:val="000000"/>
                <w:sz w:val="16"/>
                <w:szCs w:val="16"/>
                <w:lang w:val="en-GB"/>
              </w:rPr>
              <w:t xml:space="preserve">2.2.2. To demand from Depositor, </w:t>
            </w:r>
            <w:r w:rsidRPr="00E16672">
              <w:rPr>
                <w:rFonts w:ascii="Times New Roman" w:hAnsi="Times New Roman"/>
                <w:sz w:val="16"/>
                <w:lang w:val="en-US"/>
              </w:rPr>
              <w:t>administrator of the account in securities,</w:t>
            </w:r>
            <w:r w:rsidRPr="00E16672">
              <w:rPr>
                <w:rFonts w:ascii="Times New Roman" w:hAnsi="Times New Roman"/>
                <w:color w:val="000000"/>
                <w:sz w:val="12"/>
                <w:szCs w:val="16"/>
                <w:lang w:val="en-GB"/>
              </w:rPr>
              <w:t xml:space="preserve"> </w:t>
            </w:r>
            <w:r w:rsidRPr="00E16672">
              <w:rPr>
                <w:rFonts w:ascii="Times New Roman" w:hAnsi="Times New Roman"/>
                <w:color w:val="000000"/>
                <w:sz w:val="16"/>
                <w:szCs w:val="16"/>
                <w:lang w:val="en-GB"/>
              </w:rPr>
              <w:t xml:space="preserve">manager of the account </w:t>
            </w:r>
            <w:r w:rsidRPr="00F23413">
              <w:rPr>
                <w:rFonts w:ascii="Times New Roman" w:hAnsi="Times New Roman"/>
                <w:sz w:val="16"/>
                <w:szCs w:val="16"/>
                <w:lang w:val="en-US"/>
              </w:rPr>
              <w:t>to provide of properly documented documents and information</w:t>
            </w:r>
            <w:r w:rsidRPr="00F23413">
              <w:rPr>
                <w:rFonts w:ascii="Times New Roman" w:hAnsi="Times New Roman"/>
                <w:lang w:val="en-US"/>
              </w:rPr>
              <w:t xml:space="preserve"> </w:t>
            </w:r>
            <w:r w:rsidRPr="00E16672">
              <w:rPr>
                <w:rFonts w:ascii="Times New Roman" w:hAnsi="Times New Roman"/>
                <w:color w:val="000000"/>
                <w:sz w:val="16"/>
                <w:szCs w:val="16"/>
                <w:lang w:val="en-GB"/>
              </w:rPr>
              <w:t>necessary to perform its obligations under the Agreement and legislation.</w:t>
            </w:r>
          </w:p>
          <w:p w14:paraId="2E19A2A9" w14:textId="77777777" w:rsidR="005C5318" w:rsidRPr="00E16672" w:rsidRDefault="005C5318" w:rsidP="005C5318">
            <w:pPr>
              <w:tabs>
                <w:tab w:val="left" w:pos="287"/>
              </w:tabs>
              <w:snapToGrid w:val="0"/>
              <w:ind w:left="175" w:right="100" w:firstLine="7"/>
              <w:rPr>
                <w:rFonts w:ascii="Times New Roman" w:hAnsi="Times New Roman"/>
                <w:color w:val="000000"/>
                <w:sz w:val="16"/>
                <w:szCs w:val="16"/>
                <w:lang w:val="en-GB"/>
              </w:rPr>
            </w:pPr>
          </w:p>
        </w:tc>
      </w:tr>
      <w:tr w:rsidR="005C5318" w:rsidRPr="00F23413" w14:paraId="33824503" w14:textId="77777777" w:rsidTr="005E418B">
        <w:trPr>
          <w:trHeight w:val="615"/>
        </w:trPr>
        <w:tc>
          <w:tcPr>
            <w:tcW w:w="5695" w:type="dxa"/>
            <w:gridSpan w:val="6"/>
            <w:shd w:val="clear" w:color="auto" w:fill="auto"/>
          </w:tcPr>
          <w:p w14:paraId="1B79C738" w14:textId="77777777" w:rsidR="005C5318" w:rsidRPr="00E16672" w:rsidRDefault="005C5318" w:rsidP="005C5318">
            <w:pPr>
              <w:tabs>
                <w:tab w:val="left" w:pos="709"/>
              </w:tabs>
              <w:snapToGrid w:val="0"/>
              <w:ind w:left="175" w:right="138" w:firstLine="7"/>
              <w:rPr>
                <w:rFonts w:ascii="Times New Roman" w:hAnsi="Times New Roman"/>
                <w:color w:val="000000"/>
                <w:sz w:val="16"/>
                <w:szCs w:val="16"/>
              </w:rPr>
            </w:pPr>
            <w:r w:rsidRPr="00E16672">
              <w:rPr>
                <w:rFonts w:ascii="Times New Roman" w:hAnsi="Times New Roman"/>
                <w:color w:val="000000"/>
                <w:sz w:val="16"/>
                <w:szCs w:val="16"/>
              </w:rPr>
              <w:t xml:space="preserve">2.2.3. </w:t>
            </w:r>
            <w:proofErr w:type="spellStart"/>
            <w:r w:rsidRPr="00E16672">
              <w:rPr>
                <w:rFonts w:ascii="Times New Roman" w:hAnsi="Times New Roman"/>
                <w:color w:val="000000"/>
                <w:sz w:val="16"/>
                <w:szCs w:val="16"/>
              </w:rPr>
              <w:t>Згідно</w:t>
            </w:r>
            <w:proofErr w:type="spellEnd"/>
            <w:r w:rsidRPr="00E16672">
              <w:rPr>
                <w:rFonts w:ascii="Times New Roman" w:hAnsi="Times New Roman"/>
                <w:color w:val="000000"/>
                <w:sz w:val="16"/>
                <w:szCs w:val="16"/>
              </w:rPr>
              <w:t xml:space="preserve"> з </w:t>
            </w:r>
            <w:proofErr w:type="spellStart"/>
            <w:r w:rsidRPr="00E16672">
              <w:rPr>
                <w:rFonts w:ascii="Times New Roman" w:hAnsi="Times New Roman"/>
                <w:color w:val="000000"/>
                <w:sz w:val="16"/>
                <w:szCs w:val="16"/>
              </w:rPr>
              <w:t>чинним</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законодавством</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України</w:t>
            </w:r>
            <w:proofErr w:type="spellEnd"/>
            <w:r w:rsidRPr="00E16672">
              <w:rPr>
                <w:rFonts w:ascii="Times New Roman" w:hAnsi="Times New Roman"/>
                <w:color w:val="000000"/>
                <w:sz w:val="16"/>
                <w:szCs w:val="16"/>
              </w:rPr>
              <w:t xml:space="preserve">, у </w:t>
            </w:r>
            <w:proofErr w:type="spellStart"/>
            <w:r w:rsidRPr="00E16672">
              <w:rPr>
                <w:rFonts w:ascii="Times New Roman" w:hAnsi="Times New Roman"/>
                <w:color w:val="000000"/>
                <w:sz w:val="16"/>
                <w:szCs w:val="16"/>
              </w:rPr>
              <w:t>випадку</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необхідності</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вимагати</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від</w:t>
            </w:r>
            <w:proofErr w:type="spellEnd"/>
            <w:r w:rsidRPr="00E16672">
              <w:rPr>
                <w:rFonts w:ascii="Times New Roman" w:hAnsi="Times New Roman"/>
                <w:color w:val="000000"/>
                <w:sz w:val="16"/>
                <w:szCs w:val="16"/>
              </w:rPr>
              <w:t xml:space="preserve"> Депонента </w:t>
            </w:r>
            <w:proofErr w:type="spellStart"/>
            <w:r w:rsidRPr="00E16672">
              <w:rPr>
                <w:rFonts w:ascii="Times New Roman" w:hAnsi="Times New Roman"/>
                <w:color w:val="000000"/>
                <w:sz w:val="16"/>
                <w:szCs w:val="16"/>
              </w:rPr>
              <w:t>надання</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додаткових</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документів</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відомостей</w:t>
            </w:r>
            <w:proofErr w:type="spellEnd"/>
            <w:r w:rsidRPr="00E16672">
              <w:rPr>
                <w:rFonts w:ascii="Times New Roman" w:hAnsi="Times New Roman"/>
                <w:color w:val="000000"/>
                <w:sz w:val="16"/>
                <w:szCs w:val="16"/>
              </w:rPr>
              <w:t xml:space="preserve"> та </w:t>
            </w:r>
            <w:proofErr w:type="spellStart"/>
            <w:r w:rsidRPr="00E16672">
              <w:rPr>
                <w:rFonts w:ascii="Times New Roman" w:hAnsi="Times New Roman"/>
                <w:color w:val="000000"/>
                <w:sz w:val="16"/>
                <w:szCs w:val="16"/>
              </w:rPr>
              <w:t>інформації</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засвідчених</w:t>
            </w:r>
            <w:proofErr w:type="spellEnd"/>
            <w:r w:rsidRPr="00E16672">
              <w:rPr>
                <w:rFonts w:ascii="Times New Roman" w:hAnsi="Times New Roman"/>
                <w:color w:val="000000"/>
                <w:sz w:val="16"/>
                <w:szCs w:val="16"/>
              </w:rPr>
              <w:t xml:space="preserve"> та </w:t>
            </w:r>
            <w:proofErr w:type="spellStart"/>
            <w:r w:rsidRPr="00E16672">
              <w:rPr>
                <w:rFonts w:ascii="Times New Roman" w:hAnsi="Times New Roman"/>
                <w:color w:val="000000"/>
                <w:sz w:val="16"/>
                <w:szCs w:val="16"/>
              </w:rPr>
              <w:t>погоджених</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належним</w:t>
            </w:r>
            <w:proofErr w:type="spellEnd"/>
            <w:r w:rsidRPr="00E16672">
              <w:rPr>
                <w:rFonts w:ascii="Times New Roman" w:hAnsi="Times New Roman"/>
                <w:color w:val="000000"/>
                <w:sz w:val="16"/>
                <w:szCs w:val="16"/>
              </w:rPr>
              <w:t xml:space="preserve"> чином.</w:t>
            </w:r>
          </w:p>
          <w:p w14:paraId="29DC68D1" w14:textId="77777777" w:rsidR="005C5318" w:rsidRPr="00E16672" w:rsidRDefault="005C5318" w:rsidP="005C5318">
            <w:pPr>
              <w:tabs>
                <w:tab w:val="left" w:pos="709"/>
              </w:tabs>
              <w:snapToGrid w:val="0"/>
              <w:ind w:left="175" w:right="138" w:firstLine="7"/>
              <w:rPr>
                <w:rFonts w:ascii="Times New Roman" w:hAnsi="Times New Roman"/>
                <w:color w:val="000000"/>
              </w:rPr>
            </w:pPr>
          </w:p>
        </w:tc>
        <w:tc>
          <w:tcPr>
            <w:tcW w:w="5495" w:type="dxa"/>
            <w:gridSpan w:val="6"/>
            <w:shd w:val="clear" w:color="auto" w:fill="auto"/>
          </w:tcPr>
          <w:p w14:paraId="07ADD99E" w14:textId="77777777" w:rsidR="005C5318" w:rsidRPr="00E16672" w:rsidRDefault="005C5318" w:rsidP="005F18C0">
            <w:pPr>
              <w:tabs>
                <w:tab w:val="left" w:pos="287"/>
              </w:tabs>
              <w:snapToGrid w:val="0"/>
              <w:ind w:left="175" w:right="100" w:firstLine="7"/>
              <w:rPr>
                <w:rFonts w:ascii="Times New Roman" w:hAnsi="Times New Roman"/>
                <w:color w:val="000000"/>
                <w:sz w:val="16"/>
                <w:szCs w:val="16"/>
                <w:lang w:val="en-GB"/>
              </w:rPr>
            </w:pPr>
            <w:r w:rsidRPr="00E16672">
              <w:rPr>
                <w:rFonts w:ascii="Times New Roman" w:hAnsi="Times New Roman"/>
                <w:color w:val="000000"/>
                <w:sz w:val="16"/>
                <w:szCs w:val="16"/>
                <w:lang w:val="en-GB"/>
              </w:rPr>
              <w:t>2.2.3. In accordance with the current legislation of Ukraine, where necessary, require the Depositor to provide additional documents, data and information</w:t>
            </w:r>
            <w:r w:rsidRPr="00E16672">
              <w:rPr>
                <w:rFonts w:ascii="Times New Roman" w:hAnsi="Times New Roman"/>
                <w:color w:val="000000"/>
                <w:sz w:val="16"/>
                <w:szCs w:val="16"/>
                <w:lang w:val="en-US"/>
              </w:rPr>
              <w:t xml:space="preserve"> </w:t>
            </w:r>
            <w:r w:rsidRPr="00E16672">
              <w:rPr>
                <w:rFonts w:ascii="Times New Roman" w:hAnsi="Times New Roman"/>
                <w:color w:val="000000"/>
                <w:sz w:val="16"/>
                <w:szCs w:val="16"/>
                <w:lang w:val="en-GB"/>
              </w:rPr>
              <w:t>certified and coordinated properly.</w:t>
            </w:r>
          </w:p>
        </w:tc>
      </w:tr>
      <w:tr w:rsidR="005C5318" w:rsidRPr="00F23413" w14:paraId="4B6EE039" w14:textId="77777777" w:rsidTr="005E418B">
        <w:trPr>
          <w:trHeight w:val="192"/>
        </w:trPr>
        <w:tc>
          <w:tcPr>
            <w:tcW w:w="5695" w:type="dxa"/>
            <w:gridSpan w:val="6"/>
            <w:shd w:val="clear" w:color="auto" w:fill="auto"/>
          </w:tcPr>
          <w:p w14:paraId="279E49ED" w14:textId="77777777" w:rsidR="005C5318" w:rsidRPr="00E16672" w:rsidRDefault="005C5318" w:rsidP="005C5318">
            <w:pPr>
              <w:tabs>
                <w:tab w:val="left" w:pos="709"/>
              </w:tabs>
              <w:ind w:left="175" w:firstLine="7"/>
              <w:rPr>
                <w:rFonts w:ascii="Times New Roman" w:hAnsi="Times New Roman"/>
                <w:color w:val="000000"/>
                <w:sz w:val="16"/>
                <w:szCs w:val="16"/>
                <w:lang w:val="uk-UA"/>
              </w:rPr>
            </w:pPr>
            <w:r w:rsidRPr="00E16672">
              <w:rPr>
                <w:rFonts w:ascii="Times New Roman" w:hAnsi="Times New Roman"/>
                <w:color w:val="000000"/>
                <w:sz w:val="16"/>
                <w:szCs w:val="16"/>
              </w:rPr>
              <w:t xml:space="preserve">2.2.4. </w:t>
            </w:r>
            <w:r w:rsidRPr="00E16672">
              <w:rPr>
                <w:rFonts w:ascii="Times New Roman" w:hAnsi="Times New Roman"/>
                <w:color w:val="000000"/>
                <w:sz w:val="16"/>
                <w:szCs w:val="16"/>
                <w:lang w:val="uk-UA"/>
              </w:rPr>
              <w:t>Надавати Депоненту додаткові (інформаційні та консультаційні) послуги, іншу інформацію, яка необхідна Депоненту для реалізації прав за цінними паперами.</w:t>
            </w:r>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Надавати</w:t>
            </w:r>
            <w:proofErr w:type="spellEnd"/>
            <w:r w:rsidRPr="00E16672">
              <w:rPr>
                <w:rFonts w:ascii="Times New Roman" w:hAnsi="Times New Roman"/>
                <w:color w:val="000000"/>
                <w:sz w:val="16"/>
                <w:szCs w:val="16"/>
              </w:rPr>
              <w:t xml:space="preserve"> Депоненту </w:t>
            </w:r>
            <w:proofErr w:type="spellStart"/>
            <w:r w:rsidRPr="00E16672">
              <w:rPr>
                <w:rFonts w:ascii="Times New Roman" w:hAnsi="Times New Roman"/>
                <w:color w:val="000000"/>
                <w:sz w:val="16"/>
                <w:szCs w:val="16"/>
              </w:rPr>
              <w:t>виписки</w:t>
            </w:r>
            <w:proofErr w:type="spellEnd"/>
            <w:r w:rsidRPr="00E16672">
              <w:rPr>
                <w:rFonts w:ascii="Times New Roman" w:hAnsi="Times New Roman"/>
                <w:color w:val="000000"/>
                <w:sz w:val="16"/>
                <w:szCs w:val="16"/>
              </w:rPr>
              <w:t xml:space="preserve"> з </w:t>
            </w:r>
            <w:proofErr w:type="spellStart"/>
            <w:r w:rsidRPr="00E16672">
              <w:rPr>
                <w:rFonts w:ascii="Times New Roman" w:hAnsi="Times New Roman"/>
                <w:color w:val="000000"/>
                <w:sz w:val="16"/>
                <w:szCs w:val="16"/>
              </w:rPr>
              <w:t>рахунку</w:t>
            </w:r>
            <w:proofErr w:type="spellEnd"/>
            <w:r w:rsidRPr="00E16672">
              <w:rPr>
                <w:rFonts w:ascii="Times New Roman" w:hAnsi="Times New Roman"/>
                <w:color w:val="000000"/>
                <w:sz w:val="16"/>
                <w:szCs w:val="16"/>
              </w:rPr>
              <w:t xml:space="preserve"> </w:t>
            </w:r>
            <w:r w:rsidR="00C22309" w:rsidRPr="00E16672">
              <w:rPr>
                <w:rFonts w:ascii="Times New Roman" w:hAnsi="Times New Roman"/>
                <w:color w:val="000000"/>
                <w:sz w:val="16"/>
                <w:szCs w:val="16"/>
              </w:rPr>
              <w:t xml:space="preserve">в </w:t>
            </w:r>
            <w:proofErr w:type="spellStart"/>
            <w:r w:rsidR="00C22309" w:rsidRPr="00E16672">
              <w:rPr>
                <w:rFonts w:ascii="Times New Roman" w:hAnsi="Times New Roman"/>
                <w:color w:val="000000"/>
                <w:sz w:val="16"/>
                <w:szCs w:val="16"/>
              </w:rPr>
              <w:t>цін</w:t>
            </w:r>
            <w:r w:rsidRPr="00E16672">
              <w:rPr>
                <w:rFonts w:ascii="Times New Roman" w:hAnsi="Times New Roman"/>
                <w:color w:val="000000"/>
                <w:sz w:val="16"/>
                <w:szCs w:val="16"/>
              </w:rPr>
              <w:t>них</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паперах</w:t>
            </w:r>
            <w:proofErr w:type="spellEnd"/>
            <w:r w:rsidRPr="00E16672">
              <w:rPr>
                <w:rFonts w:ascii="Times New Roman" w:hAnsi="Times New Roman"/>
                <w:color w:val="000000"/>
                <w:sz w:val="16"/>
                <w:szCs w:val="16"/>
              </w:rPr>
              <w:t xml:space="preserve"> Депонента, </w:t>
            </w:r>
            <w:proofErr w:type="spellStart"/>
            <w:r w:rsidRPr="00E16672">
              <w:rPr>
                <w:rFonts w:ascii="Times New Roman" w:hAnsi="Times New Roman"/>
                <w:color w:val="000000"/>
                <w:sz w:val="16"/>
                <w:szCs w:val="16"/>
              </w:rPr>
              <w:t>довідки</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або</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інші</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звіти</w:t>
            </w:r>
            <w:proofErr w:type="spellEnd"/>
            <w:r w:rsidRPr="00E16672">
              <w:rPr>
                <w:rFonts w:ascii="Times New Roman" w:hAnsi="Times New Roman"/>
                <w:color w:val="000000"/>
                <w:sz w:val="16"/>
                <w:szCs w:val="16"/>
              </w:rPr>
              <w:t xml:space="preserve"> про </w:t>
            </w:r>
            <w:proofErr w:type="spellStart"/>
            <w:r w:rsidRPr="00E16672">
              <w:rPr>
                <w:rFonts w:ascii="Times New Roman" w:hAnsi="Times New Roman"/>
                <w:color w:val="000000"/>
                <w:sz w:val="16"/>
                <w:szCs w:val="16"/>
              </w:rPr>
              <w:t>виконання</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операцій</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які</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формуються</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програмним</w:t>
            </w:r>
            <w:proofErr w:type="spellEnd"/>
            <w:r w:rsidRPr="00E16672">
              <w:rPr>
                <w:rFonts w:ascii="Times New Roman" w:hAnsi="Times New Roman"/>
                <w:color w:val="000000"/>
                <w:sz w:val="16"/>
                <w:szCs w:val="16"/>
              </w:rPr>
              <w:t xml:space="preserve"> комплексом Центрального </w:t>
            </w:r>
            <w:proofErr w:type="spellStart"/>
            <w:r w:rsidRPr="00E16672">
              <w:rPr>
                <w:rFonts w:ascii="Times New Roman" w:hAnsi="Times New Roman"/>
                <w:color w:val="000000"/>
                <w:sz w:val="16"/>
                <w:szCs w:val="16"/>
              </w:rPr>
              <w:t>Депозитарію</w:t>
            </w:r>
            <w:proofErr w:type="spellEnd"/>
            <w:r w:rsidRPr="00E16672">
              <w:rPr>
                <w:rFonts w:ascii="Times New Roman" w:hAnsi="Times New Roman"/>
                <w:color w:val="000000"/>
                <w:sz w:val="16"/>
                <w:szCs w:val="16"/>
              </w:rPr>
              <w:t>.</w:t>
            </w:r>
          </w:p>
          <w:p w14:paraId="7E86C7A9" w14:textId="77777777" w:rsidR="005C5318" w:rsidRPr="00E16672" w:rsidRDefault="005C5318" w:rsidP="005C5318">
            <w:pPr>
              <w:snapToGrid w:val="0"/>
              <w:ind w:left="175" w:right="138" w:firstLine="7"/>
              <w:rPr>
                <w:rFonts w:ascii="Times New Roman" w:hAnsi="Times New Roman"/>
                <w:color w:val="000000"/>
                <w:sz w:val="16"/>
                <w:szCs w:val="16"/>
                <w:lang w:val="uk-UA"/>
              </w:rPr>
            </w:pPr>
          </w:p>
        </w:tc>
        <w:tc>
          <w:tcPr>
            <w:tcW w:w="5495" w:type="dxa"/>
            <w:gridSpan w:val="6"/>
            <w:shd w:val="clear" w:color="auto" w:fill="auto"/>
          </w:tcPr>
          <w:p w14:paraId="13A691F0" w14:textId="77777777" w:rsidR="005C5318" w:rsidRPr="00E16672" w:rsidRDefault="005C5318" w:rsidP="005C5318">
            <w:pPr>
              <w:tabs>
                <w:tab w:val="left" w:pos="287"/>
              </w:tabs>
              <w:snapToGrid w:val="0"/>
              <w:ind w:left="175" w:right="100" w:firstLine="7"/>
              <w:rPr>
                <w:rFonts w:ascii="Times New Roman" w:hAnsi="Times New Roman"/>
                <w:color w:val="000000"/>
                <w:sz w:val="16"/>
                <w:szCs w:val="16"/>
                <w:lang w:val="en-US"/>
              </w:rPr>
            </w:pPr>
            <w:r w:rsidRPr="00E16672">
              <w:rPr>
                <w:rFonts w:ascii="Times New Roman" w:hAnsi="Times New Roman"/>
                <w:color w:val="000000"/>
                <w:sz w:val="16"/>
                <w:szCs w:val="16"/>
                <w:lang w:val="en-GB"/>
              </w:rPr>
              <w:t>2.2.4. To provide Depositor additional (information and consultation) services and other information which is necessary for Depositor the rights of the securities.</w:t>
            </w:r>
            <w:r w:rsidRPr="00E16672">
              <w:rPr>
                <w:rFonts w:ascii="Times New Roman" w:hAnsi="Times New Roman"/>
                <w:color w:val="000000"/>
                <w:sz w:val="18"/>
                <w:szCs w:val="18"/>
                <w:lang w:val="en-US"/>
              </w:rPr>
              <w:t xml:space="preserve"> </w:t>
            </w:r>
            <w:r w:rsidRPr="00E16672">
              <w:rPr>
                <w:rFonts w:ascii="Times New Roman" w:hAnsi="Times New Roman"/>
                <w:color w:val="000000"/>
                <w:sz w:val="16"/>
                <w:szCs w:val="16"/>
                <w:lang w:val="en-US"/>
              </w:rPr>
              <w:t>To provide Depositor extract from the securities account of the Depositor, information or other reports on the implementation of operations that form a complex program of the Central Depository.</w:t>
            </w:r>
          </w:p>
          <w:p w14:paraId="78395B42" w14:textId="77777777" w:rsidR="005C5318" w:rsidRPr="00E16672" w:rsidRDefault="005C5318" w:rsidP="005C5318">
            <w:pPr>
              <w:tabs>
                <w:tab w:val="left" w:pos="287"/>
              </w:tabs>
              <w:ind w:left="175" w:right="100" w:firstLine="7"/>
              <w:jc w:val="center"/>
              <w:rPr>
                <w:rFonts w:ascii="Times New Roman" w:hAnsi="Times New Roman"/>
                <w:b/>
                <w:bCs/>
                <w:color w:val="000000"/>
                <w:sz w:val="16"/>
                <w:szCs w:val="16"/>
                <w:lang w:val="en-GB"/>
              </w:rPr>
            </w:pPr>
          </w:p>
        </w:tc>
      </w:tr>
      <w:tr w:rsidR="005C5318" w:rsidRPr="00F23413" w14:paraId="2029E10C" w14:textId="77777777" w:rsidTr="005E418B">
        <w:trPr>
          <w:trHeight w:val="1554"/>
        </w:trPr>
        <w:tc>
          <w:tcPr>
            <w:tcW w:w="5695" w:type="dxa"/>
            <w:gridSpan w:val="6"/>
            <w:shd w:val="clear" w:color="auto" w:fill="auto"/>
          </w:tcPr>
          <w:p w14:paraId="779CBE40" w14:textId="77777777" w:rsidR="005C5318" w:rsidRPr="00E16672" w:rsidRDefault="005C5318" w:rsidP="005C5318">
            <w:pPr>
              <w:tabs>
                <w:tab w:val="left" w:pos="709"/>
              </w:tabs>
              <w:snapToGrid w:val="0"/>
              <w:ind w:left="175" w:right="138" w:firstLine="7"/>
              <w:rPr>
                <w:rFonts w:ascii="Times New Roman" w:hAnsi="Times New Roman"/>
                <w:sz w:val="16"/>
                <w:szCs w:val="16"/>
              </w:rPr>
            </w:pPr>
            <w:r w:rsidRPr="00E16672">
              <w:rPr>
                <w:rFonts w:ascii="Times New Roman" w:hAnsi="Times New Roman"/>
                <w:sz w:val="16"/>
                <w:szCs w:val="16"/>
              </w:rPr>
              <w:t xml:space="preserve">2.2.5. У </w:t>
            </w:r>
            <w:proofErr w:type="spellStart"/>
            <w:r w:rsidRPr="00E16672">
              <w:rPr>
                <w:rFonts w:ascii="Times New Roman" w:hAnsi="Times New Roman"/>
                <w:sz w:val="16"/>
                <w:szCs w:val="16"/>
              </w:rPr>
              <w:t>випадку</w:t>
            </w:r>
            <w:proofErr w:type="spellEnd"/>
            <w:r w:rsidRPr="00E16672">
              <w:rPr>
                <w:rFonts w:ascii="Times New Roman" w:hAnsi="Times New Roman"/>
                <w:sz w:val="16"/>
                <w:szCs w:val="16"/>
              </w:rPr>
              <w:t xml:space="preserve"> початку Депозитарною </w:t>
            </w:r>
            <w:proofErr w:type="spellStart"/>
            <w:r w:rsidRPr="00E16672">
              <w:rPr>
                <w:rFonts w:ascii="Times New Roman" w:hAnsi="Times New Roman"/>
                <w:sz w:val="16"/>
                <w:szCs w:val="16"/>
              </w:rPr>
              <w:t>установою</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процедури</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припинення</w:t>
            </w:r>
            <w:proofErr w:type="spellEnd"/>
            <w:r w:rsidRPr="00E16672">
              <w:rPr>
                <w:rFonts w:ascii="Times New Roman" w:hAnsi="Times New Roman"/>
                <w:sz w:val="16"/>
                <w:szCs w:val="16"/>
              </w:rPr>
              <w:t xml:space="preserve"> нею </w:t>
            </w:r>
            <w:proofErr w:type="spellStart"/>
            <w:r w:rsidRPr="00E16672">
              <w:rPr>
                <w:rFonts w:ascii="Times New Roman" w:hAnsi="Times New Roman"/>
                <w:sz w:val="16"/>
                <w:szCs w:val="16"/>
              </w:rPr>
              <w:t>провадження</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професійної</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діяльності</w:t>
            </w:r>
            <w:proofErr w:type="spellEnd"/>
            <w:r w:rsidRPr="00E16672">
              <w:rPr>
                <w:rFonts w:ascii="Times New Roman" w:hAnsi="Times New Roman"/>
                <w:sz w:val="16"/>
                <w:szCs w:val="16"/>
              </w:rPr>
              <w:t xml:space="preserve"> </w:t>
            </w:r>
            <w:proofErr w:type="gramStart"/>
            <w:r w:rsidRPr="00E16672">
              <w:rPr>
                <w:rFonts w:ascii="Times New Roman" w:hAnsi="Times New Roman"/>
                <w:sz w:val="16"/>
                <w:szCs w:val="16"/>
              </w:rPr>
              <w:t>на фондовому ринку</w:t>
            </w:r>
            <w:proofErr w:type="gramEnd"/>
            <w:r w:rsidRPr="00E16672">
              <w:rPr>
                <w:rFonts w:ascii="Times New Roman" w:hAnsi="Times New Roman"/>
                <w:sz w:val="16"/>
                <w:szCs w:val="16"/>
              </w:rPr>
              <w:t xml:space="preserve"> - </w:t>
            </w:r>
            <w:proofErr w:type="spellStart"/>
            <w:r w:rsidRPr="00E16672">
              <w:rPr>
                <w:rFonts w:ascii="Times New Roman" w:hAnsi="Times New Roman"/>
                <w:sz w:val="16"/>
                <w:szCs w:val="16"/>
              </w:rPr>
              <w:t>депозитарної</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діяльності</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депозитарної</w:t>
            </w:r>
            <w:proofErr w:type="spellEnd"/>
            <w:r w:rsidRPr="00E16672">
              <w:rPr>
                <w:rFonts w:ascii="Times New Roman" w:hAnsi="Times New Roman"/>
                <w:sz w:val="16"/>
                <w:szCs w:val="16"/>
              </w:rPr>
              <w:t xml:space="preserve"> установи </w:t>
            </w:r>
            <w:proofErr w:type="spellStart"/>
            <w:r w:rsidRPr="00E16672">
              <w:rPr>
                <w:rFonts w:ascii="Times New Roman" w:hAnsi="Times New Roman"/>
                <w:sz w:val="16"/>
                <w:szCs w:val="16"/>
              </w:rPr>
              <w:t>відповідно</w:t>
            </w:r>
            <w:proofErr w:type="spellEnd"/>
            <w:r w:rsidRPr="00E16672">
              <w:rPr>
                <w:rFonts w:ascii="Times New Roman" w:hAnsi="Times New Roman"/>
                <w:sz w:val="16"/>
                <w:szCs w:val="16"/>
              </w:rPr>
              <w:t xml:space="preserve"> до </w:t>
            </w:r>
            <w:proofErr w:type="spellStart"/>
            <w:r w:rsidRPr="00E16672">
              <w:rPr>
                <w:rFonts w:ascii="Times New Roman" w:hAnsi="Times New Roman"/>
                <w:sz w:val="16"/>
                <w:szCs w:val="16"/>
              </w:rPr>
              <w:t>вимог</w:t>
            </w:r>
            <w:proofErr w:type="spellEnd"/>
            <w:r w:rsidRPr="00E16672">
              <w:rPr>
                <w:rFonts w:ascii="Times New Roman" w:hAnsi="Times New Roman"/>
                <w:sz w:val="16"/>
                <w:szCs w:val="16"/>
              </w:rPr>
              <w:t xml:space="preserve"> нормативно-правового акта </w:t>
            </w:r>
            <w:proofErr w:type="spellStart"/>
            <w:r w:rsidRPr="00E16672">
              <w:rPr>
                <w:rFonts w:ascii="Times New Roman" w:hAnsi="Times New Roman"/>
                <w:sz w:val="16"/>
                <w:szCs w:val="16"/>
              </w:rPr>
              <w:t>щодо</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припинення</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депозитарної</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діяльності</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депозитарної</w:t>
            </w:r>
            <w:proofErr w:type="spellEnd"/>
            <w:r w:rsidRPr="00E16672">
              <w:rPr>
                <w:rFonts w:ascii="Times New Roman" w:hAnsi="Times New Roman"/>
                <w:sz w:val="16"/>
                <w:szCs w:val="16"/>
              </w:rPr>
              <w:t xml:space="preserve"> установи </w:t>
            </w:r>
            <w:proofErr w:type="spellStart"/>
            <w:r w:rsidRPr="00E16672">
              <w:rPr>
                <w:rFonts w:ascii="Times New Roman" w:hAnsi="Times New Roman"/>
                <w:sz w:val="16"/>
                <w:szCs w:val="16"/>
              </w:rPr>
              <w:t>виконувати</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тільки</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ті</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розпорядження</w:t>
            </w:r>
            <w:proofErr w:type="spellEnd"/>
            <w:r w:rsidRPr="00E16672">
              <w:rPr>
                <w:rFonts w:ascii="Times New Roman" w:hAnsi="Times New Roman"/>
                <w:sz w:val="16"/>
                <w:szCs w:val="16"/>
              </w:rPr>
              <w:t xml:space="preserve"> Депонента, </w:t>
            </w:r>
            <w:proofErr w:type="spellStart"/>
            <w:r w:rsidRPr="00E16672">
              <w:rPr>
                <w:rFonts w:ascii="Times New Roman" w:hAnsi="Times New Roman"/>
                <w:sz w:val="16"/>
                <w:szCs w:val="16"/>
              </w:rPr>
              <w:t>розпорядника</w:t>
            </w:r>
            <w:proofErr w:type="spellEnd"/>
            <w:r w:rsidRPr="00E16672">
              <w:rPr>
                <w:rFonts w:ascii="Times New Roman" w:hAnsi="Times New Roman"/>
                <w:sz w:val="16"/>
                <w:szCs w:val="16"/>
              </w:rPr>
              <w:t>/</w:t>
            </w:r>
            <w:proofErr w:type="spellStart"/>
            <w:r w:rsidRPr="00E16672">
              <w:rPr>
                <w:rFonts w:ascii="Times New Roman" w:hAnsi="Times New Roman"/>
                <w:sz w:val="16"/>
                <w:szCs w:val="16"/>
              </w:rPr>
              <w:t>керуючого</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рахунком</w:t>
            </w:r>
            <w:proofErr w:type="spellEnd"/>
            <w:r w:rsidRPr="00E16672">
              <w:rPr>
                <w:rFonts w:ascii="Times New Roman" w:hAnsi="Times New Roman"/>
                <w:sz w:val="16"/>
                <w:szCs w:val="16"/>
              </w:rPr>
              <w:t xml:space="preserve"> в </w:t>
            </w:r>
            <w:proofErr w:type="spellStart"/>
            <w:r w:rsidRPr="00E16672">
              <w:rPr>
                <w:rFonts w:ascii="Times New Roman" w:hAnsi="Times New Roman"/>
                <w:sz w:val="16"/>
                <w:szCs w:val="16"/>
              </w:rPr>
              <w:t>цінних</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паперах</w:t>
            </w:r>
            <w:proofErr w:type="spellEnd"/>
            <w:r w:rsidRPr="00E16672">
              <w:rPr>
                <w:rFonts w:ascii="Times New Roman" w:hAnsi="Times New Roman"/>
                <w:sz w:val="16"/>
                <w:szCs w:val="16"/>
              </w:rPr>
              <w:t xml:space="preserve"> Депонента, </w:t>
            </w:r>
            <w:proofErr w:type="spellStart"/>
            <w:r w:rsidRPr="00E16672">
              <w:rPr>
                <w:rFonts w:ascii="Times New Roman" w:hAnsi="Times New Roman"/>
                <w:sz w:val="16"/>
                <w:szCs w:val="16"/>
              </w:rPr>
              <w:t>виконання</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яких</w:t>
            </w:r>
            <w:proofErr w:type="spellEnd"/>
            <w:r w:rsidRPr="00E16672">
              <w:rPr>
                <w:rFonts w:ascii="Times New Roman" w:hAnsi="Times New Roman"/>
                <w:sz w:val="16"/>
                <w:szCs w:val="16"/>
              </w:rPr>
              <w:t xml:space="preserve"> не заборонено </w:t>
            </w:r>
            <w:proofErr w:type="spellStart"/>
            <w:r w:rsidRPr="00E16672">
              <w:rPr>
                <w:rFonts w:ascii="Times New Roman" w:hAnsi="Times New Roman"/>
                <w:sz w:val="16"/>
                <w:szCs w:val="16"/>
              </w:rPr>
              <w:t>цим</w:t>
            </w:r>
            <w:proofErr w:type="spellEnd"/>
            <w:r w:rsidRPr="00E16672">
              <w:rPr>
                <w:rFonts w:ascii="Times New Roman" w:hAnsi="Times New Roman"/>
                <w:sz w:val="16"/>
                <w:szCs w:val="16"/>
              </w:rPr>
              <w:t xml:space="preserve"> нормативно-</w:t>
            </w:r>
            <w:proofErr w:type="spellStart"/>
            <w:r w:rsidRPr="00E16672">
              <w:rPr>
                <w:rFonts w:ascii="Times New Roman" w:hAnsi="Times New Roman"/>
                <w:sz w:val="16"/>
                <w:szCs w:val="16"/>
              </w:rPr>
              <w:t>правовим</w:t>
            </w:r>
            <w:proofErr w:type="spellEnd"/>
            <w:r w:rsidRPr="00E16672">
              <w:rPr>
                <w:rFonts w:ascii="Times New Roman" w:hAnsi="Times New Roman"/>
                <w:sz w:val="16"/>
                <w:szCs w:val="16"/>
              </w:rPr>
              <w:t xml:space="preserve"> актом. </w:t>
            </w:r>
          </w:p>
          <w:p w14:paraId="533B8B65" w14:textId="77777777" w:rsidR="005C5318" w:rsidRPr="00E16672" w:rsidRDefault="005C5318" w:rsidP="005C5318">
            <w:pPr>
              <w:snapToGrid w:val="0"/>
              <w:ind w:left="175" w:right="138" w:firstLine="7"/>
              <w:rPr>
                <w:rFonts w:ascii="Times New Roman" w:hAnsi="Times New Roman"/>
                <w:sz w:val="16"/>
                <w:szCs w:val="16"/>
              </w:rPr>
            </w:pPr>
          </w:p>
        </w:tc>
        <w:tc>
          <w:tcPr>
            <w:tcW w:w="5495" w:type="dxa"/>
            <w:gridSpan w:val="6"/>
            <w:shd w:val="clear" w:color="auto" w:fill="auto"/>
          </w:tcPr>
          <w:p w14:paraId="2E5F7C22" w14:textId="77777777" w:rsidR="005C5318" w:rsidRPr="00E16672" w:rsidRDefault="005C5318" w:rsidP="005C5318">
            <w:pPr>
              <w:tabs>
                <w:tab w:val="left" w:pos="57"/>
              </w:tabs>
              <w:snapToGrid w:val="0"/>
              <w:ind w:left="175" w:right="138" w:firstLine="7"/>
              <w:rPr>
                <w:rFonts w:ascii="Times New Roman" w:hAnsi="Times New Roman"/>
                <w:sz w:val="16"/>
                <w:szCs w:val="16"/>
                <w:lang w:val="en-GB"/>
              </w:rPr>
            </w:pPr>
            <w:r w:rsidRPr="00E16672">
              <w:rPr>
                <w:rFonts w:ascii="Times New Roman" w:hAnsi="Times New Roman"/>
                <w:sz w:val="16"/>
                <w:szCs w:val="16"/>
                <w:lang w:val="en-GB"/>
              </w:rPr>
              <w:t xml:space="preserve">2.2.5. </w:t>
            </w:r>
            <w:r w:rsidR="005F18C0" w:rsidRPr="00E16672">
              <w:rPr>
                <w:rFonts w:ascii="Times New Roman" w:hAnsi="Times New Roman"/>
                <w:sz w:val="16"/>
                <w:szCs w:val="16"/>
                <w:lang w:val="en-GB"/>
              </w:rPr>
              <w:t xml:space="preserve">In the case beginning by Depository </w:t>
            </w:r>
            <w:proofErr w:type="gramStart"/>
            <w:r w:rsidR="005F18C0" w:rsidRPr="00E16672">
              <w:rPr>
                <w:rFonts w:ascii="Times New Roman" w:hAnsi="Times New Roman"/>
                <w:sz w:val="16"/>
                <w:szCs w:val="16"/>
                <w:lang w:val="en-GB"/>
              </w:rPr>
              <w:t>institution  the</w:t>
            </w:r>
            <w:proofErr w:type="gramEnd"/>
            <w:r w:rsidR="005F18C0" w:rsidRPr="00E16672">
              <w:rPr>
                <w:rFonts w:ascii="Times New Roman" w:hAnsi="Times New Roman"/>
                <w:sz w:val="16"/>
                <w:szCs w:val="16"/>
                <w:lang w:val="en-GB"/>
              </w:rPr>
              <w:t xml:space="preserve"> procedure of stopping the exercise of professional activity on the stock market - depository activities of Depository institution in accordance with the legal act to stopping the depository activity of Depository institution perform only those orders the Depositor, the manager</w:t>
            </w:r>
            <w:r w:rsidR="005F18C0" w:rsidRPr="00E16672">
              <w:rPr>
                <w:rFonts w:ascii="Times New Roman" w:hAnsi="Times New Roman"/>
                <w:sz w:val="16"/>
                <w:szCs w:val="16"/>
                <w:lang w:val="en-US"/>
              </w:rPr>
              <w:t>/</w:t>
            </w:r>
            <w:r w:rsidR="005F18C0" w:rsidRPr="00E16672">
              <w:rPr>
                <w:rFonts w:ascii="Times New Roman" w:hAnsi="Times New Roman"/>
                <w:sz w:val="16"/>
                <w:szCs w:val="22"/>
              </w:rPr>
              <w:t>а</w:t>
            </w:r>
            <w:proofErr w:type="spellStart"/>
            <w:r w:rsidR="005F18C0" w:rsidRPr="00E16672">
              <w:rPr>
                <w:rFonts w:ascii="Times New Roman" w:hAnsi="Times New Roman"/>
                <w:sz w:val="16"/>
                <w:szCs w:val="22"/>
                <w:lang w:val="en-US"/>
              </w:rPr>
              <w:t>dministrator</w:t>
            </w:r>
            <w:proofErr w:type="spellEnd"/>
            <w:r w:rsidR="005F18C0" w:rsidRPr="00E16672">
              <w:rPr>
                <w:rFonts w:ascii="Times New Roman" w:hAnsi="Times New Roman"/>
                <w:sz w:val="16"/>
                <w:szCs w:val="16"/>
                <w:lang w:val="en-GB"/>
              </w:rPr>
              <w:t xml:space="preserve"> of account in securities the Depositor, the implementation of which is not prohibited by this legal act</w:t>
            </w:r>
            <w:r w:rsidRPr="00E16672">
              <w:rPr>
                <w:rFonts w:ascii="Times New Roman" w:hAnsi="Times New Roman"/>
                <w:sz w:val="16"/>
                <w:szCs w:val="16"/>
                <w:lang w:val="en-GB"/>
              </w:rPr>
              <w:t>.</w:t>
            </w:r>
          </w:p>
        </w:tc>
      </w:tr>
      <w:tr w:rsidR="005C5318" w:rsidRPr="00F23413" w14:paraId="2C1B602B" w14:textId="77777777" w:rsidTr="005E418B">
        <w:trPr>
          <w:trHeight w:val="529"/>
        </w:trPr>
        <w:tc>
          <w:tcPr>
            <w:tcW w:w="5695" w:type="dxa"/>
            <w:gridSpan w:val="6"/>
            <w:shd w:val="clear" w:color="auto" w:fill="auto"/>
          </w:tcPr>
          <w:p w14:paraId="01AB41C9" w14:textId="77777777" w:rsidR="005C5318" w:rsidRPr="00E16672" w:rsidRDefault="005C5318" w:rsidP="005C5318">
            <w:pPr>
              <w:pStyle w:val="1b"/>
              <w:spacing w:before="0" w:after="0"/>
              <w:ind w:left="175" w:right="138" w:firstLine="7"/>
              <w:rPr>
                <w:rFonts w:ascii="Times New Roman" w:hAnsi="Times New Roman" w:cs="Times New Roman"/>
                <w:sz w:val="16"/>
                <w:szCs w:val="16"/>
              </w:rPr>
            </w:pPr>
            <w:r w:rsidRPr="00E16672">
              <w:rPr>
                <w:rFonts w:ascii="Times New Roman" w:hAnsi="Times New Roman" w:cs="Times New Roman"/>
                <w:sz w:val="16"/>
                <w:szCs w:val="16"/>
              </w:rPr>
              <w:t>2.2.6. Вносити зміни до внутрішніх документів Депозитарної установи та тарифів Депозитарної установи.</w:t>
            </w:r>
          </w:p>
          <w:p w14:paraId="220766E1" w14:textId="77777777" w:rsidR="005C5318" w:rsidRPr="00E16672" w:rsidRDefault="005C5318" w:rsidP="005C5318">
            <w:pPr>
              <w:pStyle w:val="ab"/>
              <w:ind w:left="175" w:firstLine="7"/>
              <w:rPr>
                <w:rFonts w:ascii="Times New Roman" w:hAnsi="Times New Roman"/>
                <w:sz w:val="24"/>
                <w:lang w:eastAsia="hi-IN" w:bidi="hi-IN"/>
              </w:rPr>
            </w:pPr>
          </w:p>
        </w:tc>
        <w:tc>
          <w:tcPr>
            <w:tcW w:w="5495" w:type="dxa"/>
            <w:gridSpan w:val="6"/>
            <w:shd w:val="clear" w:color="auto" w:fill="auto"/>
          </w:tcPr>
          <w:p w14:paraId="11029BB0" w14:textId="77777777" w:rsidR="005C5318" w:rsidRPr="00E16672" w:rsidRDefault="005C5318" w:rsidP="005C5318">
            <w:pPr>
              <w:snapToGrid w:val="0"/>
              <w:ind w:left="175" w:right="138" w:firstLine="7"/>
              <w:rPr>
                <w:rFonts w:ascii="Times New Roman" w:hAnsi="Times New Roman"/>
                <w:sz w:val="16"/>
                <w:szCs w:val="16"/>
                <w:lang w:val="en-GB"/>
              </w:rPr>
            </w:pPr>
            <w:r w:rsidRPr="00E16672">
              <w:rPr>
                <w:rFonts w:ascii="Times New Roman" w:hAnsi="Times New Roman"/>
                <w:sz w:val="16"/>
                <w:szCs w:val="16"/>
                <w:lang w:val="en-GB"/>
              </w:rPr>
              <w:t xml:space="preserve">2.2.6.  To make changes to internal </w:t>
            </w:r>
            <w:proofErr w:type="gramStart"/>
            <w:r w:rsidRPr="00E16672">
              <w:rPr>
                <w:rFonts w:ascii="Times New Roman" w:hAnsi="Times New Roman"/>
                <w:sz w:val="16"/>
                <w:szCs w:val="16"/>
                <w:lang w:val="en-GB"/>
              </w:rPr>
              <w:t>documents  of</w:t>
            </w:r>
            <w:proofErr w:type="gramEnd"/>
            <w:r w:rsidRPr="00E16672">
              <w:rPr>
                <w:rFonts w:ascii="Times New Roman" w:hAnsi="Times New Roman"/>
                <w:sz w:val="16"/>
                <w:szCs w:val="16"/>
                <w:lang w:val="en-GB"/>
              </w:rPr>
              <w:t xml:space="preserve"> Depository institution and Tariffs of Depository institution.</w:t>
            </w:r>
            <w:r w:rsidRPr="00E16672">
              <w:rPr>
                <w:rFonts w:ascii="Times New Roman" w:hAnsi="Times New Roman"/>
                <w:lang w:val="en-GB"/>
              </w:rPr>
              <w:t xml:space="preserve"> </w:t>
            </w:r>
          </w:p>
        </w:tc>
      </w:tr>
      <w:tr w:rsidR="005C5318" w:rsidRPr="00E16672" w14:paraId="67193FF6" w14:textId="77777777" w:rsidTr="005E418B">
        <w:trPr>
          <w:trHeight w:val="192"/>
        </w:trPr>
        <w:tc>
          <w:tcPr>
            <w:tcW w:w="5695" w:type="dxa"/>
            <w:gridSpan w:val="6"/>
            <w:shd w:val="clear" w:color="auto" w:fill="auto"/>
          </w:tcPr>
          <w:p w14:paraId="31451210" w14:textId="77777777" w:rsidR="005C5318" w:rsidRPr="00E16672" w:rsidRDefault="005C5318" w:rsidP="005C5318">
            <w:pPr>
              <w:tabs>
                <w:tab w:val="left" w:pos="709"/>
              </w:tabs>
              <w:snapToGrid w:val="0"/>
              <w:ind w:left="175" w:right="138" w:firstLine="7"/>
              <w:rPr>
                <w:rFonts w:ascii="Times New Roman" w:hAnsi="Times New Roman"/>
                <w:sz w:val="16"/>
                <w:szCs w:val="16"/>
                <w:lang w:val="en-US"/>
              </w:rPr>
            </w:pPr>
            <w:r w:rsidRPr="00E16672">
              <w:rPr>
                <w:rFonts w:ascii="Times New Roman" w:hAnsi="Times New Roman"/>
                <w:sz w:val="16"/>
                <w:szCs w:val="16"/>
                <w:lang w:val="en-US"/>
              </w:rPr>
              <w:t xml:space="preserve">2.2.7. </w:t>
            </w:r>
            <w:proofErr w:type="spellStart"/>
            <w:r w:rsidRPr="00E16672">
              <w:rPr>
                <w:rFonts w:ascii="Times New Roman" w:hAnsi="Times New Roman"/>
                <w:sz w:val="16"/>
                <w:szCs w:val="16"/>
              </w:rPr>
              <w:t>Закрити</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рахунок</w:t>
            </w:r>
            <w:proofErr w:type="spellEnd"/>
            <w:r w:rsidRPr="00E16672">
              <w:rPr>
                <w:rFonts w:ascii="Times New Roman" w:hAnsi="Times New Roman"/>
                <w:sz w:val="16"/>
                <w:szCs w:val="16"/>
                <w:lang w:val="en-US"/>
              </w:rPr>
              <w:t xml:space="preserve"> </w:t>
            </w:r>
            <w:r w:rsidR="00C22309" w:rsidRPr="00E16672">
              <w:rPr>
                <w:rFonts w:ascii="Times New Roman" w:hAnsi="Times New Roman"/>
                <w:sz w:val="16"/>
                <w:szCs w:val="16"/>
              </w:rPr>
              <w:t>в</w:t>
            </w:r>
            <w:r w:rsidR="00C22309" w:rsidRPr="00E16672">
              <w:rPr>
                <w:rFonts w:ascii="Times New Roman" w:hAnsi="Times New Roman"/>
                <w:sz w:val="16"/>
                <w:szCs w:val="16"/>
                <w:lang w:val="en-US"/>
              </w:rPr>
              <w:t xml:space="preserve"> </w:t>
            </w:r>
            <w:proofErr w:type="spellStart"/>
            <w:r w:rsidR="00C22309" w:rsidRPr="00E16672">
              <w:rPr>
                <w:rFonts w:ascii="Times New Roman" w:hAnsi="Times New Roman"/>
                <w:sz w:val="16"/>
                <w:szCs w:val="16"/>
              </w:rPr>
              <w:t>цін</w:t>
            </w:r>
            <w:r w:rsidRPr="00E16672">
              <w:rPr>
                <w:rFonts w:ascii="Times New Roman" w:hAnsi="Times New Roman"/>
                <w:sz w:val="16"/>
                <w:szCs w:val="16"/>
              </w:rPr>
              <w:t>них</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паперах</w:t>
            </w:r>
            <w:proofErr w:type="spellEnd"/>
            <w:r w:rsidRPr="00E16672">
              <w:rPr>
                <w:rFonts w:ascii="Times New Roman" w:hAnsi="Times New Roman"/>
                <w:sz w:val="16"/>
                <w:szCs w:val="16"/>
                <w:lang w:val="en-US"/>
              </w:rPr>
              <w:t xml:space="preserve"> </w:t>
            </w:r>
            <w:r w:rsidRPr="00E16672">
              <w:rPr>
                <w:rFonts w:ascii="Times New Roman" w:hAnsi="Times New Roman"/>
                <w:sz w:val="16"/>
                <w:szCs w:val="16"/>
              </w:rPr>
              <w:t>Депонента</w:t>
            </w:r>
            <w:r w:rsidRPr="00E16672">
              <w:rPr>
                <w:rFonts w:ascii="Times New Roman" w:hAnsi="Times New Roman"/>
                <w:sz w:val="16"/>
                <w:szCs w:val="16"/>
                <w:lang w:val="en-US"/>
              </w:rPr>
              <w:t xml:space="preserve">, </w:t>
            </w:r>
            <w:r w:rsidRPr="00E16672">
              <w:rPr>
                <w:rFonts w:ascii="Times New Roman" w:hAnsi="Times New Roman"/>
                <w:sz w:val="16"/>
                <w:szCs w:val="16"/>
              </w:rPr>
              <w:t>на</w:t>
            </w:r>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якому</w:t>
            </w:r>
            <w:proofErr w:type="spellEnd"/>
            <w:r w:rsidRPr="00E16672">
              <w:rPr>
                <w:rFonts w:ascii="Times New Roman" w:hAnsi="Times New Roman"/>
                <w:sz w:val="16"/>
                <w:szCs w:val="16"/>
                <w:lang w:val="en-US"/>
              </w:rPr>
              <w:t xml:space="preserve"> </w:t>
            </w:r>
            <w:r w:rsidRPr="00E16672">
              <w:rPr>
                <w:rFonts w:ascii="Times New Roman" w:hAnsi="Times New Roman"/>
                <w:sz w:val="16"/>
                <w:szCs w:val="16"/>
                <w:lang w:val="uk-UA"/>
              </w:rPr>
              <w:t>відсутні</w:t>
            </w:r>
            <w:r w:rsidRPr="00E16672">
              <w:rPr>
                <w:rFonts w:ascii="Times New Roman" w:hAnsi="Times New Roman"/>
                <w:sz w:val="16"/>
                <w:szCs w:val="16"/>
                <w:lang w:val="en-US"/>
              </w:rPr>
              <w:t xml:space="preserve"> </w:t>
            </w:r>
            <w:r w:rsidRPr="00E16672">
              <w:rPr>
                <w:rFonts w:ascii="Times New Roman" w:hAnsi="Times New Roman"/>
                <w:sz w:val="16"/>
                <w:szCs w:val="16"/>
              </w:rPr>
              <w:t>права</w:t>
            </w:r>
            <w:r w:rsidRPr="00E16672">
              <w:rPr>
                <w:rFonts w:ascii="Times New Roman" w:hAnsi="Times New Roman"/>
                <w:sz w:val="16"/>
                <w:szCs w:val="16"/>
                <w:lang w:val="en-US"/>
              </w:rPr>
              <w:t xml:space="preserve"> </w:t>
            </w:r>
            <w:r w:rsidRPr="00E16672">
              <w:rPr>
                <w:rFonts w:ascii="Times New Roman" w:hAnsi="Times New Roman"/>
                <w:sz w:val="16"/>
                <w:szCs w:val="16"/>
              </w:rPr>
              <w:t>на</w:t>
            </w:r>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цінні</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папери</w:t>
            </w:r>
            <w:proofErr w:type="spellEnd"/>
            <w:r w:rsidRPr="00E16672">
              <w:rPr>
                <w:rFonts w:ascii="Times New Roman" w:hAnsi="Times New Roman"/>
                <w:sz w:val="16"/>
                <w:szCs w:val="16"/>
                <w:lang w:val="en-US"/>
              </w:rPr>
              <w:t xml:space="preserve">, </w:t>
            </w:r>
            <w:r w:rsidRPr="00E16672">
              <w:rPr>
                <w:rFonts w:ascii="Times New Roman" w:hAnsi="Times New Roman"/>
                <w:sz w:val="16"/>
                <w:szCs w:val="16"/>
              </w:rPr>
              <w:t>без</w:t>
            </w:r>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розпорядження</w:t>
            </w:r>
            <w:proofErr w:type="spellEnd"/>
            <w:r w:rsidRPr="00E16672">
              <w:rPr>
                <w:rFonts w:ascii="Times New Roman" w:hAnsi="Times New Roman"/>
                <w:sz w:val="16"/>
                <w:szCs w:val="16"/>
                <w:lang w:val="en-US"/>
              </w:rPr>
              <w:t xml:space="preserve"> </w:t>
            </w:r>
            <w:r w:rsidRPr="00E16672">
              <w:rPr>
                <w:rFonts w:ascii="Times New Roman" w:hAnsi="Times New Roman"/>
                <w:sz w:val="16"/>
                <w:szCs w:val="16"/>
              </w:rPr>
              <w:t>Депонента</w:t>
            </w:r>
            <w:r w:rsidRPr="00E16672">
              <w:rPr>
                <w:rFonts w:ascii="Times New Roman" w:hAnsi="Times New Roman"/>
                <w:sz w:val="16"/>
                <w:szCs w:val="16"/>
                <w:lang w:val="en-US"/>
              </w:rPr>
              <w:t xml:space="preserve"> </w:t>
            </w:r>
            <w:r w:rsidRPr="00E16672">
              <w:rPr>
                <w:rFonts w:ascii="Times New Roman" w:hAnsi="Times New Roman"/>
                <w:sz w:val="16"/>
                <w:szCs w:val="16"/>
              </w:rPr>
              <w:t>про</w:t>
            </w:r>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закриття</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рахунку</w:t>
            </w:r>
            <w:proofErr w:type="spellEnd"/>
            <w:r w:rsidRPr="00E16672">
              <w:rPr>
                <w:rFonts w:ascii="Times New Roman" w:hAnsi="Times New Roman"/>
                <w:sz w:val="16"/>
                <w:szCs w:val="16"/>
                <w:lang w:val="en-US"/>
              </w:rPr>
              <w:t xml:space="preserve"> </w:t>
            </w:r>
            <w:r w:rsidRPr="00E16672">
              <w:rPr>
                <w:rFonts w:ascii="Times New Roman" w:hAnsi="Times New Roman"/>
                <w:sz w:val="16"/>
                <w:szCs w:val="16"/>
              </w:rPr>
              <w:t>в</w:t>
            </w:r>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цінних</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паперах</w:t>
            </w:r>
            <w:proofErr w:type="spellEnd"/>
            <w:r w:rsidRPr="00E16672">
              <w:rPr>
                <w:rFonts w:ascii="Times New Roman" w:hAnsi="Times New Roman"/>
                <w:sz w:val="16"/>
                <w:szCs w:val="16"/>
                <w:lang w:val="en-US"/>
              </w:rPr>
              <w:t xml:space="preserve"> </w:t>
            </w:r>
            <w:r w:rsidRPr="00E16672">
              <w:rPr>
                <w:rFonts w:ascii="Times New Roman" w:hAnsi="Times New Roman"/>
                <w:sz w:val="16"/>
                <w:szCs w:val="20"/>
                <w:lang w:val="uk-UA"/>
              </w:rPr>
              <w:t>та</w:t>
            </w:r>
            <w:r w:rsidRPr="00E16672">
              <w:rPr>
                <w:rFonts w:ascii="Times New Roman" w:hAnsi="Times New Roman"/>
                <w:szCs w:val="20"/>
                <w:lang w:val="uk-UA"/>
              </w:rPr>
              <w:t xml:space="preserve"> </w:t>
            </w:r>
            <w:r w:rsidRPr="00E16672">
              <w:rPr>
                <w:rFonts w:ascii="Times New Roman" w:hAnsi="Times New Roman"/>
                <w:sz w:val="16"/>
                <w:szCs w:val="20"/>
                <w:lang w:val="uk-UA"/>
              </w:rPr>
              <w:t xml:space="preserve">розірвати Договір в </w:t>
            </w:r>
            <w:r w:rsidRPr="00E16672">
              <w:rPr>
                <w:rFonts w:ascii="Times New Roman" w:hAnsi="Times New Roman"/>
                <w:sz w:val="16"/>
                <w:szCs w:val="16"/>
                <w:lang w:val="uk-UA"/>
              </w:rPr>
              <w:t xml:space="preserve">односторонньому порядку </w:t>
            </w:r>
            <w:r w:rsidRPr="00E16672">
              <w:rPr>
                <w:rFonts w:ascii="Times New Roman" w:hAnsi="Times New Roman"/>
                <w:sz w:val="16"/>
                <w:szCs w:val="16"/>
              </w:rPr>
              <w:t>у</w:t>
            </w:r>
            <w:r w:rsidRPr="00E16672">
              <w:rPr>
                <w:rFonts w:ascii="Times New Roman" w:hAnsi="Times New Roman"/>
                <w:sz w:val="16"/>
                <w:szCs w:val="16"/>
                <w:lang w:val="en-US"/>
              </w:rPr>
              <w:t xml:space="preserve"> </w:t>
            </w:r>
            <w:r w:rsidRPr="00E16672">
              <w:rPr>
                <w:rFonts w:ascii="Times New Roman" w:hAnsi="Times New Roman"/>
                <w:sz w:val="16"/>
                <w:szCs w:val="16"/>
              </w:rPr>
              <w:t>раз</w:t>
            </w:r>
            <w:proofErr w:type="spellStart"/>
            <w:r w:rsidRPr="00E16672">
              <w:rPr>
                <w:rFonts w:ascii="Times New Roman" w:hAnsi="Times New Roman"/>
                <w:sz w:val="16"/>
                <w:szCs w:val="16"/>
                <w:lang w:val="en-US"/>
              </w:rPr>
              <w:t>i</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припинення</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здійснення</w:t>
            </w:r>
            <w:proofErr w:type="spellEnd"/>
            <w:r w:rsidRPr="00E16672">
              <w:rPr>
                <w:rFonts w:ascii="Times New Roman" w:hAnsi="Times New Roman"/>
                <w:sz w:val="16"/>
                <w:szCs w:val="16"/>
                <w:lang w:val="en-US"/>
              </w:rPr>
              <w:t xml:space="preserve"> </w:t>
            </w:r>
            <w:r w:rsidRPr="00E16672">
              <w:rPr>
                <w:rFonts w:ascii="Times New Roman" w:hAnsi="Times New Roman"/>
                <w:sz w:val="16"/>
                <w:szCs w:val="16"/>
              </w:rPr>
              <w:t>Депозитарною</w:t>
            </w:r>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установою</w:t>
            </w:r>
            <w:proofErr w:type="spellEnd"/>
            <w:r w:rsidRPr="00E16672">
              <w:rPr>
                <w:rFonts w:ascii="Times New Roman" w:hAnsi="Times New Roman"/>
                <w:sz w:val="16"/>
                <w:szCs w:val="16"/>
                <w:lang w:val="en-US"/>
              </w:rPr>
              <w:t xml:space="preserve"> </w:t>
            </w:r>
            <w:r w:rsidRPr="00E16672">
              <w:rPr>
                <w:rFonts w:ascii="Times New Roman" w:hAnsi="Times New Roman"/>
                <w:sz w:val="16"/>
                <w:szCs w:val="16"/>
                <w:lang w:val="uk-UA" w:eastAsia="uk-UA"/>
              </w:rPr>
              <w:t xml:space="preserve">діяльності депозитарної установи </w:t>
            </w:r>
            <w:r w:rsidRPr="00E16672">
              <w:rPr>
                <w:rFonts w:ascii="Times New Roman" w:hAnsi="Times New Roman"/>
                <w:sz w:val="16"/>
                <w:szCs w:val="16"/>
                <w:lang w:val="uk-UA" w:eastAsia="uk-UA"/>
              </w:rPr>
              <w:lastRenderedPageBreak/>
              <w:t xml:space="preserve">відповідно до вимог нормативно-правового </w:t>
            </w:r>
            <w:proofErr w:type="spellStart"/>
            <w:r w:rsidRPr="00E16672">
              <w:rPr>
                <w:rFonts w:ascii="Times New Roman" w:hAnsi="Times New Roman"/>
                <w:sz w:val="16"/>
                <w:szCs w:val="16"/>
                <w:lang w:val="uk-UA" w:eastAsia="uk-UA"/>
              </w:rPr>
              <w:t>акта</w:t>
            </w:r>
            <w:proofErr w:type="spellEnd"/>
            <w:r w:rsidRPr="00E16672">
              <w:rPr>
                <w:rFonts w:ascii="Times New Roman" w:hAnsi="Times New Roman"/>
                <w:sz w:val="16"/>
                <w:szCs w:val="16"/>
                <w:lang w:val="uk-UA" w:eastAsia="uk-UA"/>
              </w:rPr>
              <w:t xml:space="preserve"> щодо припинення депозитарної діяльності депозитарної установи, у разі виконання безумовної операції списання цінних паперів у порядку спадкування (в тому числі на підставі рішення суду або документів виконавчого провадження), ліквідації юридичної особи, що підтверджується відомостями Єдиного державного реєстру юридичних осіб, фізичних осіб-підприємців та громадських формувань</w:t>
            </w:r>
            <w:r w:rsidRPr="00E16672">
              <w:rPr>
                <w:rFonts w:ascii="Times New Roman" w:hAnsi="Times New Roman"/>
                <w:sz w:val="16"/>
                <w:szCs w:val="16"/>
                <w:lang w:val="en-US"/>
              </w:rPr>
              <w:t xml:space="preserve">, </w:t>
            </w:r>
            <w:r w:rsidRPr="00E16672">
              <w:rPr>
                <w:rFonts w:ascii="Times New Roman" w:hAnsi="Times New Roman"/>
                <w:sz w:val="16"/>
                <w:szCs w:val="16"/>
              </w:rPr>
              <w:t>а</w:t>
            </w:r>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також</w:t>
            </w:r>
            <w:proofErr w:type="spellEnd"/>
            <w:r w:rsidRPr="00E16672">
              <w:rPr>
                <w:rFonts w:ascii="Times New Roman" w:hAnsi="Times New Roman"/>
                <w:sz w:val="16"/>
                <w:szCs w:val="16"/>
                <w:lang w:val="en-US"/>
              </w:rPr>
              <w:t xml:space="preserve"> </w:t>
            </w:r>
            <w:r w:rsidRPr="00E16672">
              <w:rPr>
                <w:rFonts w:ascii="Times New Roman" w:hAnsi="Times New Roman"/>
                <w:sz w:val="16"/>
                <w:szCs w:val="16"/>
              </w:rPr>
              <w:t>у</w:t>
            </w:r>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разі</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розірвання</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цього</w:t>
            </w:r>
            <w:proofErr w:type="spellEnd"/>
            <w:r w:rsidRPr="00E16672">
              <w:rPr>
                <w:rFonts w:ascii="Times New Roman" w:hAnsi="Times New Roman"/>
                <w:sz w:val="16"/>
                <w:szCs w:val="16"/>
                <w:lang w:val="en-US"/>
              </w:rPr>
              <w:t xml:space="preserve"> </w:t>
            </w:r>
            <w:r w:rsidRPr="00E16672">
              <w:rPr>
                <w:rFonts w:ascii="Times New Roman" w:hAnsi="Times New Roman"/>
                <w:sz w:val="16"/>
                <w:szCs w:val="16"/>
              </w:rPr>
              <w:t>Договору</w:t>
            </w:r>
            <w:r w:rsidRPr="00E16672">
              <w:rPr>
                <w:rFonts w:ascii="Times New Roman" w:hAnsi="Times New Roman"/>
                <w:sz w:val="16"/>
                <w:szCs w:val="16"/>
                <w:lang w:val="en-US"/>
              </w:rPr>
              <w:t>.</w:t>
            </w:r>
          </w:p>
          <w:p w14:paraId="41D2AB61" w14:textId="77777777" w:rsidR="005C5318" w:rsidRPr="00E16672" w:rsidRDefault="005C5318" w:rsidP="005C5318">
            <w:pPr>
              <w:pStyle w:val="210"/>
              <w:snapToGrid w:val="0"/>
              <w:ind w:left="175" w:right="138" w:firstLine="7"/>
              <w:rPr>
                <w:rFonts w:ascii="Times New Roman" w:hAnsi="Times New Roman"/>
                <w:sz w:val="16"/>
                <w:szCs w:val="16"/>
              </w:rPr>
            </w:pPr>
          </w:p>
        </w:tc>
        <w:tc>
          <w:tcPr>
            <w:tcW w:w="5495" w:type="dxa"/>
            <w:gridSpan w:val="6"/>
            <w:shd w:val="clear" w:color="auto" w:fill="auto"/>
          </w:tcPr>
          <w:p w14:paraId="4A059196" w14:textId="77777777" w:rsidR="005C5318" w:rsidRPr="00E16672" w:rsidRDefault="005C5318" w:rsidP="005C5318">
            <w:pPr>
              <w:pStyle w:val="210"/>
              <w:snapToGrid w:val="0"/>
              <w:ind w:left="175" w:right="138" w:firstLine="7"/>
              <w:rPr>
                <w:rFonts w:ascii="Times New Roman" w:hAnsi="Times New Roman"/>
                <w:color w:val="000000"/>
                <w:sz w:val="16"/>
                <w:szCs w:val="16"/>
              </w:rPr>
            </w:pPr>
            <w:r w:rsidRPr="00E16672">
              <w:rPr>
                <w:rFonts w:ascii="Times New Roman" w:hAnsi="Times New Roman"/>
                <w:sz w:val="16"/>
                <w:szCs w:val="16"/>
              </w:rPr>
              <w:lastRenderedPageBreak/>
              <w:t xml:space="preserve">2.2.7. </w:t>
            </w:r>
            <w:proofErr w:type="spellStart"/>
            <w:r w:rsidRPr="00E16672">
              <w:rPr>
                <w:rFonts w:ascii="Times New Roman" w:hAnsi="Times New Roman"/>
                <w:sz w:val="16"/>
                <w:szCs w:val="16"/>
              </w:rPr>
              <w:t>To</w:t>
            </w:r>
            <w:proofErr w:type="spellEnd"/>
            <w:r w:rsidRPr="00E16672">
              <w:rPr>
                <w:rFonts w:ascii="Times New Roman" w:hAnsi="Times New Roman"/>
                <w:sz w:val="16"/>
                <w:szCs w:val="16"/>
              </w:rPr>
              <w:t xml:space="preserve"> </w:t>
            </w:r>
            <w:proofErr w:type="spellStart"/>
            <w:r w:rsidRPr="00E16672">
              <w:rPr>
                <w:rFonts w:ascii="Times New Roman" w:hAnsi="Times New Roman"/>
                <w:color w:val="000000"/>
                <w:sz w:val="16"/>
                <w:szCs w:val="16"/>
              </w:rPr>
              <w:t>close</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an</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account</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in</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securities</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of</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the</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Depositor</w:t>
            </w:r>
            <w:proofErr w:type="spellEnd"/>
            <w:r w:rsidRPr="00E16672">
              <w:rPr>
                <w:rFonts w:ascii="Times New Roman" w:hAnsi="Times New Roman"/>
                <w:color w:val="000000"/>
                <w:sz w:val="16"/>
                <w:szCs w:val="16"/>
              </w:rPr>
              <w:t xml:space="preserve"> </w:t>
            </w:r>
            <w:proofErr w:type="spellStart"/>
            <w:r w:rsidRPr="00E16672">
              <w:rPr>
                <w:rStyle w:val="shorttext"/>
                <w:rFonts w:ascii="Times New Roman" w:hAnsi="Times New Roman"/>
                <w:sz w:val="16"/>
              </w:rPr>
              <w:t>with</w:t>
            </w:r>
            <w:proofErr w:type="spellEnd"/>
            <w:r w:rsidRPr="00E16672">
              <w:rPr>
                <w:rStyle w:val="shorttext"/>
                <w:rFonts w:ascii="Times New Roman" w:hAnsi="Times New Roman"/>
                <w:sz w:val="16"/>
              </w:rPr>
              <w:t xml:space="preserve"> </w:t>
            </w:r>
            <w:proofErr w:type="spellStart"/>
            <w:r w:rsidRPr="00E16672">
              <w:rPr>
                <w:rStyle w:val="shorttext"/>
                <w:rFonts w:ascii="Times New Roman" w:hAnsi="Times New Roman"/>
                <w:sz w:val="16"/>
              </w:rPr>
              <w:t>no</w:t>
            </w:r>
            <w:proofErr w:type="spellEnd"/>
            <w:r w:rsidRPr="00E16672">
              <w:rPr>
                <w:rStyle w:val="shorttext"/>
                <w:rFonts w:ascii="Times New Roman" w:hAnsi="Times New Roman"/>
              </w:rPr>
              <w:t xml:space="preserve"> </w:t>
            </w:r>
            <w:r w:rsidRPr="00E16672">
              <w:rPr>
                <w:rFonts w:ascii="Times New Roman" w:hAnsi="Times New Roman"/>
                <w:color w:val="000000"/>
                <w:sz w:val="16"/>
                <w:szCs w:val="16"/>
                <w:lang w:val="en-US"/>
              </w:rPr>
              <w:t xml:space="preserve">rights on </w:t>
            </w:r>
            <w:proofErr w:type="spellStart"/>
            <w:r w:rsidRPr="00E16672">
              <w:rPr>
                <w:rFonts w:ascii="Times New Roman" w:hAnsi="Times New Roman"/>
                <w:color w:val="000000"/>
                <w:sz w:val="16"/>
                <w:szCs w:val="16"/>
              </w:rPr>
              <w:t>securities</w:t>
            </w:r>
            <w:proofErr w:type="spellEnd"/>
            <w:r w:rsidRPr="00E16672">
              <w:rPr>
                <w:rFonts w:ascii="Times New Roman" w:hAnsi="Times New Roman"/>
                <w:color w:val="000000"/>
                <w:sz w:val="16"/>
                <w:szCs w:val="16"/>
                <w:lang w:val="en-US"/>
              </w:rPr>
              <w:t xml:space="preserve">, </w:t>
            </w:r>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with</w:t>
            </w:r>
            <w:proofErr w:type="spellEnd"/>
            <w:r w:rsidRPr="00E16672">
              <w:rPr>
                <w:rFonts w:ascii="Times New Roman" w:hAnsi="Times New Roman"/>
                <w:color w:val="000000"/>
                <w:sz w:val="16"/>
                <w:szCs w:val="16"/>
                <w:lang w:val="en-US"/>
              </w:rPr>
              <w:t>out</w:t>
            </w:r>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order</w:t>
            </w:r>
            <w:proofErr w:type="spellEnd"/>
            <w:r w:rsidRPr="00E16672">
              <w:rPr>
                <w:rFonts w:ascii="Times New Roman" w:hAnsi="Times New Roman"/>
                <w:color w:val="000000"/>
                <w:sz w:val="16"/>
                <w:szCs w:val="16"/>
              </w:rPr>
              <w:t xml:space="preserve"> </w:t>
            </w:r>
            <w:r w:rsidRPr="00E16672">
              <w:rPr>
                <w:rFonts w:ascii="Times New Roman" w:hAnsi="Times New Roman"/>
                <w:color w:val="000000"/>
                <w:sz w:val="16"/>
                <w:szCs w:val="16"/>
                <w:lang w:val="en-US"/>
              </w:rPr>
              <w:t xml:space="preserve"> of Depositor </w:t>
            </w:r>
            <w:proofErr w:type="spellStart"/>
            <w:r w:rsidRPr="00E16672">
              <w:rPr>
                <w:rFonts w:ascii="Times New Roman" w:hAnsi="Times New Roman"/>
                <w:color w:val="000000"/>
                <w:sz w:val="16"/>
                <w:szCs w:val="16"/>
              </w:rPr>
              <w:t>to</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close</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the</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Depositor's</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securities</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account</w:t>
            </w:r>
            <w:proofErr w:type="spellEnd"/>
            <w:r w:rsidRPr="00E16672">
              <w:rPr>
                <w:rFonts w:ascii="Times New Roman" w:hAnsi="Times New Roman"/>
                <w:color w:val="000000"/>
                <w:sz w:val="16"/>
                <w:szCs w:val="16"/>
              </w:rPr>
              <w:t xml:space="preserve"> </w:t>
            </w:r>
            <w:proofErr w:type="spellStart"/>
            <w:r w:rsidRPr="00E16672">
              <w:rPr>
                <w:rStyle w:val="shorttext"/>
                <w:rFonts w:ascii="Times New Roman" w:hAnsi="Times New Roman"/>
                <w:sz w:val="16"/>
              </w:rPr>
              <w:t>and</w:t>
            </w:r>
            <w:proofErr w:type="spellEnd"/>
            <w:r w:rsidRPr="00E16672">
              <w:rPr>
                <w:rStyle w:val="shorttext"/>
                <w:rFonts w:ascii="Times New Roman" w:hAnsi="Times New Roman"/>
                <w:sz w:val="16"/>
              </w:rPr>
              <w:t xml:space="preserve"> </w:t>
            </w:r>
            <w:proofErr w:type="spellStart"/>
            <w:r w:rsidRPr="00E16672">
              <w:rPr>
                <w:rStyle w:val="shorttext"/>
                <w:rFonts w:ascii="Times New Roman" w:hAnsi="Times New Roman"/>
                <w:sz w:val="16"/>
              </w:rPr>
              <w:t>to</w:t>
            </w:r>
            <w:proofErr w:type="spellEnd"/>
            <w:r w:rsidRPr="00E16672">
              <w:rPr>
                <w:rStyle w:val="shorttext"/>
                <w:rFonts w:ascii="Times New Roman" w:hAnsi="Times New Roman"/>
                <w:sz w:val="16"/>
              </w:rPr>
              <w:t xml:space="preserve"> </w:t>
            </w:r>
            <w:proofErr w:type="spellStart"/>
            <w:r w:rsidRPr="00E16672">
              <w:rPr>
                <w:rStyle w:val="shorttext"/>
                <w:rFonts w:ascii="Times New Roman" w:hAnsi="Times New Roman"/>
                <w:sz w:val="16"/>
              </w:rPr>
              <w:t>terminate</w:t>
            </w:r>
            <w:proofErr w:type="spellEnd"/>
            <w:r w:rsidRPr="00E16672">
              <w:rPr>
                <w:rStyle w:val="shorttext"/>
                <w:rFonts w:ascii="Times New Roman" w:hAnsi="Times New Roman"/>
                <w:sz w:val="16"/>
              </w:rPr>
              <w:t xml:space="preserve"> </w:t>
            </w:r>
            <w:proofErr w:type="spellStart"/>
            <w:r w:rsidRPr="00E16672">
              <w:rPr>
                <w:rStyle w:val="shorttext"/>
                <w:rFonts w:ascii="Times New Roman" w:hAnsi="Times New Roman"/>
                <w:sz w:val="16"/>
              </w:rPr>
              <w:t>the</w:t>
            </w:r>
            <w:proofErr w:type="spellEnd"/>
            <w:r w:rsidRPr="00E16672">
              <w:rPr>
                <w:rStyle w:val="shorttext"/>
                <w:rFonts w:ascii="Times New Roman" w:hAnsi="Times New Roman"/>
                <w:sz w:val="16"/>
              </w:rPr>
              <w:t xml:space="preserve"> </w:t>
            </w:r>
            <w:proofErr w:type="spellStart"/>
            <w:r w:rsidRPr="00E16672">
              <w:rPr>
                <w:rStyle w:val="shorttext"/>
                <w:rFonts w:ascii="Times New Roman" w:hAnsi="Times New Roman"/>
                <w:sz w:val="16"/>
              </w:rPr>
              <w:t>Agreement</w:t>
            </w:r>
            <w:proofErr w:type="spellEnd"/>
            <w:r w:rsidRPr="00E16672">
              <w:rPr>
                <w:rStyle w:val="shorttext"/>
                <w:rFonts w:ascii="Times New Roman" w:hAnsi="Times New Roman"/>
                <w:sz w:val="16"/>
              </w:rPr>
              <w:t xml:space="preserve"> </w:t>
            </w:r>
            <w:proofErr w:type="spellStart"/>
            <w:r w:rsidRPr="00E16672">
              <w:rPr>
                <w:rStyle w:val="shorttext"/>
                <w:rFonts w:ascii="Times New Roman" w:hAnsi="Times New Roman"/>
                <w:sz w:val="16"/>
              </w:rPr>
              <w:t>unilaterally</w:t>
            </w:r>
            <w:proofErr w:type="spellEnd"/>
            <w:r w:rsidRPr="00E16672">
              <w:rPr>
                <w:rFonts w:ascii="Times New Roman" w:hAnsi="Times New Roman"/>
                <w:color w:val="000000"/>
                <w:sz w:val="10"/>
                <w:szCs w:val="16"/>
              </w:rPr>
              <w:t xml:space="preserve"> </w:t>
            </w:r>
            <w:proofErr w:type="spellStart"/>
            <w:r w:rsidRPr="00E16672">
              <w:rPr>
                <w:rFonts w:ascii="Times New Roman" w:hAnsi="Times New Roman"/>
                <w:color w:val="000000"/>
                <w:sz w:val="16"/>
                <w:szCs w:val="16"/>
              </w:rPr>
              <w:t>in</w:t>
            </w:r>
            <w:proofErr w:type="spellEnd"/>
            <w:r w:rsidRPr="00E16672">
              <w:rPr>
                <w:rFonts w:ascii="Times New Roman" w:hAnsi="Times New Roman"/>
                <w:color w:val="000000"/>
                <w:sz w:val="16"/>
                <w:szCs w:val="16"/>
              </w:rPr>
              <w:t xml:space="preserve"> </w:t>
            </w:r>
            <w:r w:rsidRPr="00E16672">
              <w:rPr>
                <w:rFonts w:ascii="Times New Roman" w:hAnsi="Times New Roman"/>
                <w:color w:val="000000"/>
                <w:sz w:val="16"/>
                <w:szCs w:val="16"/>
                <w:lang w:val="en-US"/>
              </w:rPr>
              <w:t>case</w:t>
            </w:r>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of</w:t>
            </w:r>
            <w:proofErr w:type="spellEnd"/>
            <w:r w:rsidRPr="00E16672">
              <w:rPr>
                <w:rFonts w:ascii="Times New Roman" w:hAnsi="Times New Roman"/>
                <w:color w:val="000000"/>
                <w:sz w:val="16"/>
                <w:szCs w:val="16"/>
              </w:rPr>
              <w:t xml:space="preserve"> </w:t>
            </w:r>
            <w:r w:rsidRPr="00E16672">
              <w:rPr>
                <w:rFonts w:ascii="Times New Roman" w:hAnsi="Times New Roman"/>
                <w:color w:val="000000"/>
                <w:sz w:val="16"/>
                <w:szCs w:val="16"/>
                <w:lang w:val="en-US"/>
              </w:rPr>
              <w:t>stopped</w:t>
            </w:r>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of</w:t>
            </w:r>
            <w:proofErr w:type="spellEnd"/>
            <w:r w:rsidRPr="00E16672">
              <w:rPr>
                <w:rFonts w:ascii="Times New Roman" w:hAnsi="Times New Roman"/>
                <w:color w:val="000000"/>
                <w:sz w:val="16"/>
                <w:szCs w:val="16"/>
              </w:rPr>
              <w:t xml:space="preserve"> </w:t>
            </w:r>
            <w:r w:rsidRPr="00E16672">
              <w:rPr>
                <w:rFonts w:ascii="Times New Roman" w:hAnsi="Times New Roman"/>
                <w:color w:val="000000"/>
                <w:sz w:val="16"/>
                <w:szCs w:val="16"/>
                <w:lang w:val="en-US"/>
              </w:rPr>
              <w:t>D</w:t>
            </w:r>
            <w:proofErr w:type="spellStart"/>
            <w:r w:rsidRPr="00E16672">
              <w:rPr>
                <w:rFonts w:ascii="Times New Roman" w:hAnsi="Times New Roman"/>
                <w:color w:val="000000"/>
                <w:sz w:val="16"/>
                <w:szCs w:val="16"/>
              </w:rPr>
              <w:t>epository</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institution</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sz w:val="16"/>
                <w:szCs w:val="16"/>
              </w:rPr>
              <w:t>activity</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in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accordance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with</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requirements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of</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lastRenderedPageBreak/>
              <w:t>regulatory</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act</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cessation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of</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depositary</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activity</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of</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depositary</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institution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in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case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of</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an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unconditional</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transaction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of</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writing</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off</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securities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in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succession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including</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basis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of</w:t>
            </w:r>
            <w:proofErr w:type="spellEnd"/>
            <w:r w:rsidRPr="00E16672">
              <w:rPr>
                <w:rFonts w:ascii="Times New Roman" w:hAnsi="Times New Roman"/>
                <w:sz w:val="16"/>
                <w:szCs w:val="16"/>
              </w:rPr>
              <w:t xml:space="preserve"> a </w:t>
            </w:r>
            <w:proofErr w:type="spellStart"/>
            <w:r w:rsidRPr="00E16672">
              <w:rPr>
                <w:rFonts w:ascii="Times New Roman" w:hAnsi="Times New Roman"/>
                <w:sz w:val="16"/>
                <w:szCs w:val="16"/>
              </w:rPr>
              <w:t>court</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decision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or</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documents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of</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enforcement</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proceedings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liquidation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of</w:t>
            </w:r>
            <w:proofErr w:type="spellEnd"/>
            <w:r w:rsidRPr="00E16672">
              <w:rPr>
                <w:rFonts w:ascii="Times New Roman" w:hAnsi="Times New Roman"/>
                <w:sz w:val="16"/>
                <w:szCs w:val="16"/>
              </w:rPr>
              <w:t xml:space="preserve"> a </w:t>
            </w:r>
            <w:proofErr w:type="spellStart"/>
            <w:r w:rsidRPr="00E16672">
              <w:rPr>
                <w:rFonts w:ascii="Times New Roman" w:hAnsi="Times New Roman"/>
                <w:sz w:val="16"/>
                <w:szCs w:val="16"/>
              </w:rPr>
              <w:t>legal</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entity</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which</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is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confirmed</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by</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information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Unified</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State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Register</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of</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Legal</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Entities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Individual</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Entrepreneurs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and</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Public</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Associations</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and</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in</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sz w:val="16"/>
                <w:szCs w:val="16"/>
              </w:rPr>
              <w:t>case</w:t>
            </w:r>
            <w:proofErr w:type="spellEnd"/>
            <w:r w:rsidRPr="00E16672" w:rsidDel="002A0D0B">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of</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termination</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of</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this</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Agreement</w:t>
            </w:r>
            <w:proofErr w:type="spellEnd"/>
            <w:r w:rsidRPr="00E16672">
              <w:rPr>
                <w:rFonts w:ascii="Times New Roman" w:hAnsi="Times New Roman"/>
                <w:color w:val="000000"/>
                <w:sz w:val="16"/>
                <w:szCs w:val="16"/>
              </w:rPr>
              <w:t>.</w:t>
            </w:r>
          </w:p>
          <w:p w14:paraId="52AF102B" w14:textId="77777777" w:rsidR="005C5318" w:rsidRPr="00E16672" w:rsidRDefault="005C5318" w:rsidP="005C5318">
            <w:pPr>
              <w:snapToGrid w:val="0"/>
              <w:ind w:left="175" w:right="138" w:firstLine="7"/>
              <w:rPr>
                <w:rFonts w:ascii="Times New Roman" w:hAnsi="Times New Roman"/>
                <w:strike/>
                <w:color w:val="000000"/>
                <w:sz w:val="16"/>
                <w:szCs w:val="16"/>
                <w:lang w:val="en-GB"/>
              </w:rPr>
            </w:pPr>
            <w:r w:rsidRPr="00E16672">
              <w:rPr>
                <w:rFonts w:ascii="Times New Roman" w:hAnsi="Times New Roman"/>
                <w:color w:val="000000"/>
                <w:sz w:val="16"/>
                <w:szCs w:val="16"/>
                <w:lang w:val="uk-UA"/>
              </w:rPr>
              <w:t>.</w:t>
            </w:r>
          </w:p>
          <w:p w14:paraId="210C11F2" w14:textId="77777777" w:rsidR="005C5318" w:rsidRPr="00E16672" w:rsidRDefault="005C5318" w:rsidP="005C5318">
            <w:pPr>
              <w:snapToGrid w:val="0"/>
              <w:ind w:left="175" w:right="138" w:firstLine="7"/>
              <w:rPr>
                <w:rFonts w:ascii="Times New Roman" w:hAnsi="Times New Roman"/>
                <w:sz w:val="16"/>
                <w:szCs w:val="16"/>
                <w:lang w:val="en-US"/>
              </w:rPr>
            </w:pPr>
          </w:p>
        </w:tc>
      </w:tr>
      <w:tr w:rsidR="005C5318" w:rsidRPr="00F23413" w14:paraId="0F34D822" w14:textId="77777777" w:rsidTr="005E418B">
        <w:trPr>
          <w:trHeight w:val="192"/>
        </w:trPr>
        <w:tc>
          <w:tcPr>
            <w:tcW w:w="5695" w:type="dxa"/>
            <w:gridSpan w:val="6"/>
            <w:shd w:val="clear" w:color="auto" w:fill="auto"/>
          </w:tcPr>
          <w:p w14:paraId="4EB7B268" w14:textId="77777777" w:rsidR="005C5318" w:rsidRPr="00E16672" w:rsidRDefault="005C5318" w:rsidP="00022F5F">
            <w:pPr>
              <w:snapToGrid w:val="0"/>
              <w:ind w:left="175" w:right="138" w:firstLine="7"/>
              <w:jc w:val="left"/>
              <w:rPr>
                <w:rFonts w:ascii="Times New Roman" w:hAnsi="Times New Roman"/>
                <w:sz w:val="16"/>
                <w:szCs w:val="16"/>
              </w:rPr>
            </w:pPr>
            <w:r w:rsidRPr="00E16672">
              <w:rPr>
                <w:rFonts w:ascii="Times New Roman" w:hAnsi="Times New Roman"/>
                <w:sz w:val="16"/>
                <w:szCs w:val="16"/>
              </w:rPr>
              <w:lastRenderedPageBreak/>
              <w:t xml:space="preserve">2.2.8. При </w:t>
            </w:r>
            <w:proofErr w:type="spellStart"/>
            <w:r w:rsidRPr="00E16672">
              <w:rPr>
                <w:rFonts w:ascii="Times New Roman" w:hAnsi="Times New Roman"/>
                <w:sz w:val="16"/>
                <w:szCs w:val="16"/>
              </w:rPr>
              <w:t>здійсненні</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розрахунків</w:t>
            </w:r>
            <w:proofErr w:type="spellEnd"/>
            <w:r w:rsidRPr="00E16672">
              <w:rPr>
                <w:rFonts w:ascii="Times New Roman" w:hAnsi="Times New Roman"/>
                <w:sz w:val="16"/>
                <w:szCs w:val="16"/>
              </w:rPr>
              <w:t xml:space="preserve"> за </w:t>
            </w:r>
            <w:proofErr w:type="spellStart"/>
            <w:r w:rsidRPr="00E16672">
              <w:rPr>
                <w:rFonts w:ascii="Times New Roman" w:hAnsi="Times New Roman"/>
                <w:sz w:val="16"/>
                <w:szCs w:val="16"/>
              </w:rPr>
              <w:t>правочинами</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щодо</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цінних</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паперів</w:t>
            </w:r>
            <w:proofErr w:type="spellEnd"/>
            <w:r w:rsidRPr="00E16672">
              <w:rPr>
                <w:rFonts w:ascii="Times New Roman" w:hAnsi="Times New Roman"/>
                <w:sz w:val="16"/>
                <w:szCs w:val="16"/>
              </w:rPr>
              <w:t xml:space="preserve"> з </w:t>
            </w:r>
            <w:proofErr w:type="spellStart"/>
            <w:r w:rsidRPr="00E16672">
              <w:rPr>
                <w:rFonts w:ascii="Times New Roman" w:hAnsi="Times New Roman"/>
                <w:sz w:val="16"/>
                <w:szCs w:val="16"/>
              </w:rPr>
              <w:t>дотриманням</w:t>
            </w:r>
            <w:proofErr w:type="spellEnd"/>
            <w:r w:rsidRPr="00E16672">
              <w:rPr>
                <w:rFonts w:ascii="Times New Roman" w:hAnsi="Times New Roman"/>
                <w:sz w:val="16"/>
                <w:szCs w:val="16"/>
              </w:rPr>
              <w:t xml:space="preserve"> принципу </w:t>
            </w:r>
            <w:r w:rsidR="00022F5F">
              <w:rPr>
                <w:rFonts w:ascii="Times New Roman" w:hAnsi="Times New Roman"/>
                <w:sz w:val="16"/>
                <w:szCs w:val="16"/>
              </w:rPr>
              <w:t>"</w:t>
            </w:r>
            <w:r w:rsidRPr="00E16672">
              <w:rPr>
                <w:rFonts w:ascii="Times New Roman" w:hAnsi="Times New Roman"/>
                <w:sz w:val="16"/>
                <w:szCs w:val="16"/>
              </w:rPr>
              <w:t xml:space="preserve">поставка </w:t>
            </w:r>
            <w:proofErr w:type="spellStart"/>
            <w:r w:rsidRPr="00E16672">
              <w:rPr>
                <w:rFonts w:ascii="Times New Roman" w:hAnsi="Times New Roman"/>
                <w:sz w:val="16"/>
                <w:szCs w:val="16"/>
              </w:rPr>
              <w:t>цінних</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паперів</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проти</w:t>
            </w:r>
            <w:proofErr w:type="spellEnd"/>
            <w:r w:rsidRPr="00E16672">
              <w:rPr>
                <w:rFonts w:ascii="Times New Roman" w:hAnsi="Times New Roman"/>
                <w:sz w:val="16"/>
                <w:szCs w:val="16"/>
              </w:rPr>
              <w:t xml:space="preserve"> оплати</w:t>
            </w:r>
            <w:r w:rsidR="00022F5F">
              <w:rPr>
                <w:rFonts w:ascii="Times New Roman" w:hAnsi="Times New Roman"/>
                <w:sz w:val="16"/>
                <w:szCs w:val="16"/>
              </w:rPr>
              <w:t>"</w:t>
            </w:r>
            <w:r w:rsidRPr="00E16672">
              <w:rPr>
                <w:rFonts w:ascii="Times New Roman" w:hAnsi="Times New Roman"/>
                <w:sz w:val="16"/>
                <w:szCs w:val="16"/>
              </w:rPr>
              <w:t xml:space="preserve"> </w:t>
            </w:r>
            <w:proofErr w:type="spellStart"/>
            <w:r w:rsidRPr="00E16672">
              <w:rPr>
                <w:rFonts w:ascii="Times New Roman" w:hAnsi="Times New Roman"/>
                <w:sz w:val="16"/>
                <w:szCs w:val="16"/>
              </w:rPr>
              <w:t>виконувати</w:t>
            </w:r>
            <w:proofErr w:type="spellEnd"/>
            <w:r w:rsidRPr="00E16672">
              <w:rPr>
                <w:rFonts w:ascii="Times New Roman" w:hAnsi="Times New Roman"/>
                <w:sz w:val="16"/>
                <w:szCs w:val="16"/>
              </w:rPr>
              <w:t xml:space="preserve"> на </w:t>
            </w:r>
            <w:proofErr w:type="spellStart"/>
            <w:r w:rsidRPr="00E16672">
              <w:rPr>
                <w:rFonts w:ascii="Times New Roman" w:hAnsi="Times New Roman"/>
                <w:sz w:val="16"/>
                <w:szCs w:val="16"/>
              </w:rPr>
              <w:t>рахунку</w:t>
            </w:r>
            <w:proofErr w:type="spellEnd"/>
            <w:r w:rsidRPr="00E16672">
              <w:rPr>
                <w:rFonts w:ascii="Times New Roman" w:hAnsi="Times New Roman"/>
                <w:sz w:val="16"/>
                <w:szCs w:val="16"/>
              </w:rPr>
              <w:t xml:space="preserve"> в </w:t>
            </w:r>
            <w:proofErr w:type="spellStart"/>
            <w:r w:rsidRPr="00E16672">
              <w:rPr>
                <w:rFonts w:ascii="Times New Roman" w:hAnsi="Times New Roman"/>
                <w:sz w:val="16"/>
                <w:szCs w:val="16"/>
              </w:rPr>
              <w:t>цінних</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паперах</w:t>
            </w:r>
            <w:proofErr w:type="spellEnd"/>
            <w:r w:rsidRPr="00E16672">
              <w:rPr>
                <w:rFonts w:ascii="Times New Roman" w:hAnsi="Times New Roman"/>
                <w:sz w:val="16"/>
                <w:szCs w:val="16"/>
              </w:rPr>
              <w:t xml:space="preserve"> Депонента </w:t>
            </w:r>
            <w:proofErr w:type="spellStart"/>
            <w:r w:rsidRPr="00E16672">
              <w:rPr>
                <w:rFonts w:ascii="Times New Roman" w:hAnsi="Times New Roman"/>
                <w:sz w:val="16"/>
                <w:szCs w:val="16"/>
              </w:rPr>
              <w:t>депозитарні</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операції</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щодо</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цінних</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паперів</w:t>
            </w:r>
            <w:proofErr w:type="spellEnd"/>
            <w:r w:rsidRPr="00E16672">
              <w:rPr>
                <w:rFonts w:ascii="Times New Roman" w:hAnsi="Times New Roman"/>
                <w:sz w:val="16"/>
                <w:szCs w:val="16"/>
              </w:rPr>
              <w:t xml:space="preserve"> без </w:t>
            </w:r>
            <w:proofErr w:type="spellStart"/>
            <w:r w:rsidRPr="00E16672">
              <w:rPr>
                <w:rFonts w:ascii="Times New Roman" w:hAnsi="Times New Roman"/>
                <w:sz w:val="16"/>
                <w:szCs w:val="16"/>
              </w:rPr>
              <w:t>розпорядження</w:t>
            </w:r>
            <w:proofErr w:type="spellEnd"/>
            <w:r w:rsidRPr="00E16672">
              <w:rPr>
                <w:rFonts w:ascii="Times New Roman" w:hAnsi="Times New Roman"/>
                <w:sz w:val="16"/>
                <w:szCs w:val="16"/>
              </w:rPr>
              <w:t xml:space="preserve"> депонента </w:t>
            </w:r>
            <w:proofErr w:type="spellStart"/>
            <w:r w:rsidRPr="00E16672">
              <w:rPr>
                <w:rFonts w:ascii="Times New Roman" w:hAnsi="Times New Roman"/>
                <w:sz w:val="16"/>
                <w:szCs w:val="16"/>
              </w:rPr>
              <w:t>виключно</w:t>
            </w:r>
            <w:proofErr w:type="spellEnd"/>
            <w:r w:rsidRPr="00E16672">
              <w:rPr>
                <w:rFonts w:ascii="Times New Roman" w:hAnsi="Times New Roman"/>
                <w:sz w:val="16"/>
                <w:szCs w:val="16"/>
              </w:rPr>
              <w:t xml:space="preserve"> на </w:t>
            </w:r>
            <w:proofErr w:type="spellStart"/>
            <w:r w:rsidRPr="00E16672">
              <w:rPr>
                <w:rFonts w:ascii="Times New Roman" w:hAnsi="Times New Roman"/>
                <w:sz w:val="16"/>
                <w:szCs w:val="16"/>
              </w:rPr>
              <w:t>підставі</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розпоряджень</w:t>
            </w:r>
            <w:proofErr w:type="spellEnd"/>
            <w:r w:rsidRPr="00E16672">
              <w:rPr>
                <w:rFonts w:ascii="Times New Roman" w:hAnsi="Times New Roman"/>
                <w:sz w:val="16"/>
                <w:szCs w:val="16"/>
              </w:rPr>
              <w:t xml:space="preserve"> та </w:t>
            </w:r>
            <w:proofErr w:type="spellStart"/>
            <w:r w:rsidRPr="00E16672">
              <w:rPr>
                <w:rFonts w:ascii="Times New Roman" w:hAnsi="Times New Roman"/>
                <w:sz w:val="16"/>
                <w:szCs w:val="16"/>
              </w:rPr>
              <w:t>інформації</w:t>
            </w:r>
            <w:proofErr w:type="spellEnd"/>
            <w:r w:rsidRPr="00E16672">
              <w:rPr>
                <w:rFonts w:ascii="Times New Roman" w:hAnsi="Times New Roman"/>
                <w:sz w:val="16"/>
                <w:szCs w:val="16"/>
              </w:rPr>
              <w:t xml:space="preserve"> Центрального </w:t>
            </w:r>
            <w:proofErr w:type="spellStart"/>
            <w:r w:rsidRPr="00E16672">
              <w:rPr>
                <w:rFonts w:ascii="Times New Roman" w:hAnsi="Times New Roman"/>
                <w:sz w:val="16"/>
                <w:szCs w:val="16"/>
              </w:rPr>
              <w:t>депозитарію</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наданих</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Депозитарній</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установі</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згідно</w:t>
            </w:r>
            <w:proofErr w:type="spellEnd"/>
            <w:r w:rsidRPr="00E16672">
              <w:rPr>
                <w:rFonts w:ascii="Times New Roman" w:hAnsi="Times New Roman"/>
                <w:sz w:val="16"/>
                <w:szCs w:val="16"/>
              </w:rPr>
              <w:t xml:space="preserve"> з </w:t>
            </w:r>
            <w:proofErr w:type="spellStart"/>
            <w:r w:rsidRPr="00E16672">
              <w:rPr>
                <w:rFonts w:ascii="Times New Roman" w:hAnsi="Times New Roman"/>
                <w:sz w:val="16"/>
                <w:szCs w:val="16"/>
              </w:rPr>
              <w:t>інформацією</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отриманою</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Центральним</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депозитарієм</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від</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Розрахункового</w:t>
            </w:r>
            <w:proofErr w:type="spellEnd"/>
            <w:r w:rsidRPr="00E16672">
              <w:rPr>
                <w:rFonts w:ascii="Times New Roman" w:hAnsi="Times New Roman"/>
                <w:sz w:val="16"/>
                <w:szCs w:val="16"/>
              </w:rPr>
              <w:t xml:space="preserve"> центру </w:t>
            </w:r>
            <w:proofErr w:type="spellStart"/>
            <w:r w:rsidRPr="00E16672">
              <w:rPr>
                <w:rFonts w:ascii="Times New Roman" w:hAnsi="Times New Roman"/>
                <w:sz w:val="16"/>
                <w:szCs w:val="16"/>
              </w:rPr>
              <w:t>чи</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клірингової</w:t>
            </w:r>
            <w:proofErr w:type="spellEnd"/>
            <w:r w:rsidRPr="00E16672">
              <w:rPr>
                <w:rFonts w:ascii="Times New Roman" w:hAnsi="Times New Roman"/>
                <w:sz w:val="16"/>
                <w:szCs w:val="16"/>
              </w:rPr>
              <w:t xml:space="preserve"> установи.</w:t>
            </w:r>
          </w:p>
          <w:p w14:paraId="78442B26" w14:textId="77777777" w:rsidR="005C5318" w:rsidRPr="00E16672" w:rsidRDefault="005C5318" w:rsidP="005C5318">
            <w:pPr>
              <w:pStyle w:val="210"/>
              <w:ind w:left="175" w:right="138" w:firstLine="7"/>
              <w:rPr>
                <w:rFonts w:ascii="Times New Roman" w:hAnsi="Times New Roman"/>
                <w:sz w:val="16"/>
                <w:szCs w:val="16"/>
              </w:rPr>
            </w:pPr>
          </w:p>
        </w:tc>
        <w:tc>
          <w:tcPr>
            <w:tcW w:w="5495" w:type="dxa"/>
            <w:gridSpan w:val="6"/>
            <w:shd w:val="clear" w:color="auto" w:fill="auto"/>
          </w:tcPr>
          <w:p w14:paraId="6A385C2B" w14:textId="77777777" w:rsidR="005C5318" w:rsidRPr="00E16672" w:rsidRDefault="005C5318" w:rsidP="005C5318">
            <w:pPr>
              <w:pStyle w:val="210"/>
              <w:snapToGrid w:val="0"/>
              <w:ind w:left="175" w:right="138" w:firstLine="7"/>
              <w:rPr>
                <w:rFonts w:ascii="Times New Roman" w:hAnsi="Times New Roman"/>
                <w:sz w:val="16"/>
                <w:szCs w:val="16"/>
              </w:rPr>
            </w:pPr>
            <w:r w:rsidRPr="00E16672">
              <w:rPr>
                <w:rFonts w:ascii="Times New Roman" w:hAnsi="Times New Roman"/>
                <w:sz w:val="16"/>
                <w:szCs w:val="16"/>
              </w:rPr>
              <w:t xml:space="preserve">2.2.8. </w:t>
            </w:r>
            <w:proofErr w:type="spellStart"/>
            <w:r w:rsidRPr="00E16672">
              <w:rPr>
                <w:rFonts w:ascii="Times New Roman" w:hAnsi="Times New Roman"/>
                <w:sz w:val="16"/>
                <w:szCs w:val="16"/>
              </w:rPr>
              <w:t>In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carrying</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out</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calculations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for</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Securities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competence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concerning</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with</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principle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of</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supply</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of</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securities</w:t>
            </w:r>
            <w:proofErr w:type="spellEnd"/>
            <w:r w:rsidRPr="00E16672">
              <w:rPr>
                <w:rFonts w:ascii="Times New Roman" w:hAnsi="Times New Roman"/>
                <w:sz w:val="16"/>
                <w:szCs w:val="16"/>
              </w:rPr>
              <w:t xml:space="preserve"> </w:t>
            </w:r>
            <w:r w:rsidR="005F18C0" w:rsidRPr="00E16672">
              <w:rPr>
                <w:rFonts w:ascii="Times New Roman" w:hAnsi="Times New Roman"/>
                <w:sz w:val="16"/>
                <w:szCs w:val="16"/>
                <w:lang w:val="en-US"/>
              </w:rPr>
              <w:t>against</w:t>
            </w:r>
            <w:r w:rsidRPr="00E16672">
              <w:rPr>
                <w:rFonts w:ascii="Times New Roman" w:hAnsi="Times New Roman"/>
                <w:sz w:val="16"/>
                <w:szCs w:val="16"/>
              </w:rPr>
              <w:t xml:space="preserve"> </w:t>
            </w:r>
            <w:proofErr w:type="spellStart"/>
            <w:r w:rsidRPr="00E16672">
              <w:rPr>
                <w:rFonts w:ascii="Times New Roman" w:hAnsi="Times New Roman"/>
                <w:sz w:val="16"/>
                <w:szCs w:val="16"/>
              </w:rPr>
              <w:t>payment</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to</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perform</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account</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of</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Depositor's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securities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depository</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transactions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in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securities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without</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available</w:t>
            </w:r>
            <w:proofErr w:type="spellEnd"/>
            <w:r w:rsidRPr="00E16672">
              <w:rPr>
                <w:rFonts w:ascii="Times New Roman" w:hAnsi="Times New Roman"/>
                <w:sz w:val="16"/>
                <w:szCs w:val="16"/>
              </w:rPr>
              <w:t xml:space="preserve"> </w:t>
            </w:r>
            <w:r w:rsidRPr="00E16672">
              <w:rPr>
                <w:rFonts w:ascii="Times New Roman" w:hAnsi="Times New Roman"/>
                <w:sz w:val="16"/>
                <w:szCs w:val="16"/>
                <w:lang w:val="en-US"/>
              </w:rPr>
              <w:t>D</w:t>
            </w:r>
            <w:proofErr w:type="spellStart"/>
            <w:r w:rsidRPr="00E16672">
              <w:rPr>
                <w:rFonts w:ascii="Times New Roman" w:hAnsi="Times New Roman"/>
                <w:sz w:val="16"/>
                <w:szCs w:val="16"/>
              </w:rPr>
              <w:t>epositor</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solely</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orders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of</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Central</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Depository</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and</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information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provided</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by</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r w:rsidRPr="00E16672">
              <w:rPr>
                <w:rFonts w:ascii="Times New Roman" w:hAnsi="Times New Roman"/>
                <w:sz w:val="16"/>
                <w:szCs w:val="16"/>
                <w:lang w:val="en-US"/>
              </w:rPr>
              <w:t>D</w:t>
            </w:r>
            <w:proofErr w:type="spellStart"/>
            <w:r w:rsidRPr="00E16672">
              <w:rPr>
                <w:rFonts w:ascii="Times New Roman" w:hAnsi="Times New Roman"/>
                <w:sz w:val="16"/>
                <w:szCs w:val="16"/>
              </w:rPr>
              <w:t>epository</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institution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in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accordance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with</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information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received</w:t>
            </w:r>
            <w:proofErr w:type="spellEnd"/>
            <w:r w:rsidRPr="00E16672">
              <w:rPr>
                <w:rFonts w:ascii="Times New Roman" w:hAnsi="Times New Roman"/>
                <w:sz w:val="16"/>
                <w:szCs w:val="16"/>
              </w:rPr>
              <w:t xml:space="preserve"> </w:t>
            </w:r>
            <w:r w:rsidRPr="00E16672">
              <w:rPr>
                <w:rFonts w:ascii="Times New Roman" w:hAnsi="Times New Roman"/>
                <w:sz w:val="16"/>
                <w:szCs w:val="16"/>
                <w:lang w:val="en-US"/>
              </w:rPr>
              <w:t xml:space="preserve"> by </w:t>
            </w:r>
            <w:proofErr w:type="spellStart"/>
            <w:r w:rsidRPr="00E16672">
              <w:rPr>
                <w:rFonts w:ascii="Times New Roman" w:hAnsi="Times New Roman"/>
                <w:sz w:val="16"/>
                <w:szCs w:val="16"/>
              </w:rPr>
              <w:t>Central</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Depository</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from</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r w:rsidRPr="00E16672">
              <w:rPr>
                <w:rFonts w:ascii="Times New Roman" w:hAnsi="Times New Roman"/>
                <w:sz w:val="16"/>
                <w:szCs w:val="16"/>
                <w:lang w:val="en-US"/>
              </w:rPr>
              <w:t>Accounting</w:t>
            </w:r>
            <w:r w:rsidRPr="00E16672">
              <w:rPr>
                <w:rFonts w:ascii="Times New Roman" w:hAnsi="Times New Roman"/>
                <w:sz w:val="16"/>
                <w:szCs w:val="16"/>
              </w:rPr>
              <w:t xml:space="preserve"> </w:t>
            </w:r>
            <w:proofErr w:type="spellStart"/>
            <w:r w:rsidRPr="00E16672">
              <w:rPr>
                <w:rFonts w:ascii="Times New Roman" w:hAnsi="Times New Roman"/>
                <w:sz w:val="16"/>
                <w:szCs w:val="16"/>
              </w:rPr>
              <w:t>center</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or</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clearing</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institution</w:t>
            </w:r>
            <w:proofErr w:type="spellEnd"/>
            <w:r w:rsidRPr="00E16672">
              <w:rPr>
                <w:rFonts w:ascii="Times New Roman" w:hAnsi="Times New Roman"/>
                <w:sz w:val="16"/>
                <w:szCs w:val="16"/>
              </w:rPr>
              <w:t>.</w:t>
            </w:r>
          </w:p>
        </w:tc>
      </w:tr>
      <w:tr w:rsidR="005C5318" w:rsidRPr="00F23413" w14:paraId="0C88D259" w14:textId="77777777" w:rsidTr="005E418B">
        <w:trPr>
          <w:trHeight w:val="192"/>
        </w:trPr>
        <w:tc>
          <w:tcPr>
            <w:tcW w:w="5695" w:type="dxa"/>
            <w:gridSpan w:val="6"/>
            <w:shd w:val="clear" w:color="auto" w:fill="auto"/>
          </w:tcPr>
          <w:p w14:paraId="79544326" w14:textId="77777777" w:rsidR="005C5318" w:rsidRPr="00E16672" w:rsidRDefault="005C5318" w:rsidP="005C5318">
            <w:pPr>
              <w:tabs>
                <w:tab w:val="left" w:pos="540"/>
              </w:tabs>
              <w:snapToGrid w:val="0"/>
              <w:ind w:left="175" w:right="138" w:firstLine="7"/>
              <w:rPr>
                <w:rFonts w:ascii="Times New Roman" w:hAnsi="Times New Roman"/>
                <w:sz w:val="16"/>
                <w:szCs w:val="16"/>
                <w:lang w:val="en-US"/>
              </w:rPr>
            </w:pPr>
            <w:r w:rsidRPr="00E16672">
              <w:rPr>
                <w:rFonts w:ascii="Times New Roman" w:hAnsi="Times New Roman"/>
                <w:sz w:val="16"/>
                <w:szCs w:val="16"/>
                <w:lang w:val="en-US"/>
              </w:rPr>
              <w:t xml:space="preserve">2.2.9. </w:t>
            </w:r>
            <w:proofErr w:type="spellStart"/>
            <w:r w:rsidRPr="00E16672">
              <w:rPr>
                <w:rFonts w:ascii="Times New Roman" w:hAnsi="Times New Roman"/>
                <w:sz w:val="16"/>
                <w:szCs w:val="16"/>
              </w:rPr>
              <w:t>Відмінити</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облікові</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операції</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які</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були</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ініційовані</w:t>
            </w:r>
            <w:proofErr w:type="spellEnd"/>
            <w:r w:rsidRPr="00E16672">
              <w:rPr>
                <w:rFonts w:ascii="Times New Roman" w:hAnsi="Times New Roman"/>
                <w:sz w:val="16"/>
                <w:szCs w:val="16"/>
                <w:lang w:val="en-US"/>
              </w:rPr>
              <w:t xml:space="preserve"> </w:t>
            </w:r>
            <w:r w:rsidRPr="00E16672">
              <w:rPr>
                <w:rFonts w:ascii="Times New Roman" w:hAnsi="Times New Roman"/>
                <w:sz w:val="16"/>
                <w:szCs w:val="16"/>
              </w:rPr>
              <w:t>Депозитарною</w:t>
            </w:r>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установою</w:t>
            </w:r>
            <w:proofErr w:type="spellEnd"/>
            <w:r w:rsidRPr="00E16672">
              <w:rPr>
                <w:rFonts w:ascii="Times New Roman" w:hAnsi="Times New Roman"/>
                <w:sz w:val="16"/>
                <w:szCs w:val="16"/>
                <w:lang w:val="en-US"/>
              </w:rPr>
              <w:t xml:space="preserve"> </w:t>
            </w:r>
            <w:r w:rsidRPr="00E16672">
              <w:rPr>
                <w:rFonts w:ascii="Times New Roman" w:hAnsi="Times New Roman"/>
                <w:sz w:val="16"/>
                <w:szCs w:val="16"/>
              </w:rPr>
              <w:t>у</w:t>
            </w:r>
            <w:r w:rsidRPr="00E16672">
              <w:rPr>
                <w:rFonts w:ascii="Times New Roman" w:hAnsi="Times New Roman"/>
                <w:sz w:val="16"/>
                <w:szCs w:val="16"/>
                <w:lang w:val="en-US"/>
              </w:rPr>
              <w:t xml:space="preserve"> </w:t>
            </w:r>
            <w:r w:rsidRPr="00E16672">
              <w:rPr>
                <w:rFonts w:ascii="Times New Roman" w:hAnsi="Times New Roman"/>
                <w:sz w:val="16"/>
                <w:szCs w:val="16"/>
              </w:rPr>
              <w:t>Центральному</w:t>
            </w:r>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депозитарії</w:t>
            </w:r>
            <w:proofErr w:type="spellEnd"/>
            <w:r w:rsidRPr="00E16672">
              <w:rPr>
                <w:rFonts w:ascii="Times New Roman" w:hAnsi="Times New Roman"/>
                <w:sz w:val="16"/>
                <w:szCs w:val="16"/>
                <w:lang w:val="en-US"/>
              </w:rPr>
              <w:t xml:space="preserve">, </w:t>
            </w:r>
            <w:r w:rsidRPr="00E16672">
              <w:rPr>
                <w:rFonts w:ascii="Times New Roman" w:hAnsi="Times New Roman"/>
                <w:sz w:val="16"/>
                <w:szCs w:val="16"/>
              </w:rPr>
              <w:t>але</w:t>
            </w:r>
            <w:r w:rsidRPr="00E16672">
              <w:rPr>
                <w:rFonts w:ascii="Times New Roman" w:hAnsi="Times New Roman"/>
                <w:sz w:val="16"/>
                <w:szCs w:val="16"/>
                <w:lang w:val="en-US"/>
              </w:rPr>
              <w:t xml:space="preserve"> </w:t>
            </w:r>
            <w:r w:rsidRPr="00E16672">
              <w:rPr>
                <w:rFonts w:ascii="Times New Roman" w:hAnsi="Times New Roman"/>
                <w:sz w:val="16"/>
                <w:szCs w:val="16"/>
              </w:rPr>
              <w:t>не</w:t>
            </w:r>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були</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завершені</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протягом</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трьох</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робочих</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днів</w:t>
            </w:r>
            <w:proofErr w:type="spellEnd"/>
            <w:r w:rsidRPr="00E16672">
              <w:rPr>
                <w:rFonts w:ascii="Times New Roman" w:hAnsi="Times New Roman"/>
                <w:sz w:val="16"/>
                <w:szCs w:val="16"/>
                <w:lang w:val="en-US"/>
              </w:rPr>
              <w:t xml:space="preserve"> </w:t>
            </w:r>
            <w:r w:rsidRPr="00E16672">
              <w:rPr>
                <w:rFonts w:ascii="Times New Roman" w:hAnsi="Times New Roman"/>
                <w:sz w:val="16"/>
                <w:szCs w:val="16"/>
              </w:rPr>
              <w:t>за</w:t>
            </w:r>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підстав</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які</w:t>
            </w:r>
            <w:proofErr w:type="spellEnd"/>
            <w:r w:rsidRPr="00E16672">
              <w:rPr>
                <w:rFonts w:ascii="Times New Roman" w:hAnsi="Times New Roman"/>
                <w:sz w:val="16"/>
                <w:szCs w:val="16"/>
                <w:lang w:val="en-US"/>
              </w:rPr>
              <w:t xml:space="preserve"> </w:t>
            </w:r>
            <w:r w:rsidRPr="00E16672">
              <w:rPr>
                <w:rFonts w:ascii="Times New Roman" w:hAnsi="Times New Roman"/>
                <w:sz w:val="16"/>
                <w:szCs w:val="16"/>
              </w:rPr>
              <w:t>не</w:t>
            </w:r>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залежать</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від</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Депозитарної</w:t>
            </w:r>
            <w:proofErr w:type="spellEnd"/>
            <w:r w:rsidRPr="00E16672">
              <w:rPr>
                <w:rFonts w:ascii="Times New Roman" w:hAnsi="Times New Roman"/>
                <w:sz w:val="16"/>
                <w:szCs w:val="16"/>
                <w:lang w:val="en-US"/>
              </w:rPr>
              <w:t xml:space="preserve"> </w:t>
            </w:r>
            <w:r w:rsidRPr="00E16672">
              <w:rPr>
                <w:rFonts w:ascii="Times New Roman" w:hAnsi="Times New Roman"/>
                <w:sz w:val="16"/>
                <w:szCs w:val="16"/>
              </w:rPr>
              <w:t>установи</w:t>
            </w:r>
            <w:r w:rsidRPr="00E16672">
              <w:rPr>
                <w:rFonts w:ascii="Times New Roman" w:hAnsi="Times New Roman"/>
                <w:sz w:val="16"/>
                <w:szCs w:val="16"/>
                <w:lang w:val="en-US"/>
              </w:rPr>
              <w:t xml:space="preserve">, </w:t>
            </w:r>
            <w:r w:rsidRPr="00E16672">
              <w:rPr>
                <w:rFonts w:ascii="Times New Roman" w:hAnsi="Times New Roman"/>
                <w:sz w:val="16"/>
                <w:szCs w:val="16"/>
              </w:rPr>
              <w:t>у</w:t>
            </w:r>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випадку</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отримання</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від</w:t>
            </w:r>
            <w:proofErr w:type="spellEnd"/>
            <w:r w:rsidRPr="00E16672">
              <w:rPr>
                <w:rFonts w:ascii="Times New Roman" w:hAnsi="Times New Roman"/>
                <w:sz w:val="16"/>
                <w:szCs w:val="16"/>
                <w:lang w:val="en-US"/>
              </w:rPr>
              <w:t xml:space="preserve"> </w:t>
            </w:r>
            <w:r w:rsidRPr="00E16672">
              <w:rPr>
                <w:rFonts w:ascii="Times New Roman" w:hAnsi="Times New Roman"/>
                <w:sz w:val="16"/>
                <w:szCs w:val="16"/>
              </w:rPr>
              <w:t>Депонента</w:t>
            </w:r>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відповідного</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розпорядження</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відміни</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анулювання</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його</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попереднього</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розпорядження</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згідно</w:t>
            </w:r>
            <w:proofErr w:type="spellEnd"/>
            <w:r w:rsidRPr="00E16672">
              <w:rPr>
                <w:rFonts w:ascii="Times New Roman" w:hAnsi="Times New Roman"/>
                <w:sz w:val="16"/>
                <w:szCs w:val="16"/>
                <w:lang w:val="en-US"/>
              </w:rPr>
              <w:t xml:space="preserve"> </w:t>
            </w:r>
            <w:r w:rsidRPr="00E16672">
              <w:rPr>
                <w:rFonts w:ascii="Times New Roman" w:hAnsi="Times New Roman"/>
                <w:sz w:val="16"/>
                <w:szCs w:val="16"/>
              </w:rPr>
              <w:t>з</w:t>
            </w:r>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внутрішніми</w:t>
            </w:r>
            <w:proofErr w:type="spellEnd"/>
            <w:r w:rsidRPr="00E16672">
              <w:rPr>
                <w:rFonts w:ascii="Times New Roman" w:hAnsi="Times New Roman"/>
                <w:sz w:val="16"/>
                <w:szCs w:val="16"/>
                <w:lang w:val="en-US"/>
              </w:rPr>
              <w:t xml:space="preserve"> </w:t>
            </w:r>
            <w:r w:rsidRPr="00E16672">
              <w:rPr>
                <w:rFonts w:ascii="Times New Roman" w:hAnsi="Times New Roman"/>
                <w:sz w:val="16"/>
                <w:szCs w:val="16"/>
              </w:rPr>
              <w:t>документами</w:t>
            </w:r>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депозитарної</w:t>
            </w:r>
            <w:proofErr w:type="spellEnd"/>
            <w:r w:rsidRPr="00E16672">
              <w:rPr>
                <w:rFonts w:ascii="Times New Roman" w:hAnsi="Times New Roman"/>
                <w:sz w:val="16"/>
                <w:szCs w:val="16"/>
                <w:lang w:val="en-US"/>
              </w:rPr>
              <w:t xml:space="preserve"> </w:t>
            </w:r>
            <w:r w:rsidRPr="00E16672">
              <w:rPr>
                <w:rFonts w:ascii="Times New Roman" w:hAnsi="Times New Roman"/>
                <w:sz w:val="16"/>
                <w:szCs w:val="16"/>
              </w:rPr>
              <w:t>установи</w:t>
            </w:r>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відповідно</w:t>
            </w:r>
            <w:proofErr w:type="spellEnd"/>
            <w:r w:rsidRPr="00E16672">
              <w:rPr>
                <w:rFonts w:ascii="Times New Roman" w:hAnsi="Times New Roman"/>
                <w:sz w:val="16"/>
                <w:szCs w:val="16"/>
                <w:lang w:val="en-US"/>
              </w:rPr>
              <w:t xml:space="preserve"> </w:t>
            </w:r>
            <w:r w:rsidRPr="00E16672">
              <w:rPr>
                <w:rFonts w:ascii="Times New Roman" w:hAnsi="Times New Roman"/>
                <w:sz w:val="16"/>
                <w:szCs w:val="16"/>
              </w:rPr>
              <w:t>до</w:t>
            </w:r>
            <w:r w:rsidRPr="00E16672">
              <w:rPr>
                <w:rFonts w:ascii="Times New Roman" w:hAnsi="Times New Roman"/>
                <w:sz w:val="16"/>
                <w:szCs w:val="16"/>
                <w:lang w:val="en-US"/>
              </w:rPr>
              <w:t xml:space="preserve"> </w:t>
            </w:r>
            <w:r w:rsidRPr="00E16672">
              <w:rPr>
                <w:rFonts w:ascii="Times New Roman" w:hAnsi="Times New Roman"/>
                <w:sz w:val="16"/>
                <w:szCs w:val="16"/>
              </w:rPr>
              <w:t>Правил</w:t>
            </w:r>
            <w:r w:rsidRPr="00E16672">
              <w:rPr>
                <w:rFonts w:ascii="Times New Roman" w:hAnsi="Times New Roman"/>
                <w:sz w:val="16"/>
                <w:szCs w:val="16"/>
                <w:lang w:val="en-US"/>
              </w:rPr>
              <w:t xml:space="preserve"> </w:t>
            </w:r>
            <w:r w:rsidRPr="00E16672">
              <w:rPr>
                <w:rFonts w:ascii="Times New Roman" w:hAnsi="Times New Roman"/>
                <w:sz w:val="16"/>
                <w:szCs w:val="16"/>
              </w:rPr>
              <w:t>та</w:t>
            </w:r>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інших</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внутрішніх</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документів</w:t>
            </w:r>
            <w:proofErr w:type="spellEnd"/>
            <w:r w:rsidRPr="00E16672">
              <w:rPr>
                <w:rFonts w:ascii="Times New Roman" w:hAnsi="Times New Roman"/>
                <w:sz w:val="16"/>
                <w:szCs w:val="16"/>
                <w:lang w:val="en-US"/>
              </w:rPr>
              <w:t xml:space="preserve"> </w:t>
            </w:r>
            <w:r w:rsidRPr="00E16672">
              <w:rPr>
                <w:rFonts w:ascii="Times New Roman" w:hAnsi="Times New Roman"/>
                <w:sz w:val="16"/>
                <w:szCs w:val="16"/>
              </w:rPr>
              <w:t>Центрального</w:t>
            </w:r>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депозитарію</w:t>
            </w:r>
            <w:proofErr w:type="spellEnd"/>
            <w:r w:rsidRPr="00E16672">
              <w:rPr>
                <w:rFonts w:ascii="Times New Roman" w:hAnsi="Times New Roman"/>
                <w:sz w:val="16"/>
                <w:szCs w:val="16"/>
                <w:lang w:val="en-US"/>
              </w:rPr>
              <w:t>.</w:t>
            </w:r>
          </w:p>
          <w:p w14:paraId="30A10EDA" w14:textId="77777777" w:rsidR="005C5318" w:rsidRPr="00E16672" w:rsidRDefault="005C5318" w:rsidP="005C5318">
            <w:pPr>
              <w:pStyle w:val="210"/>
              <w:ind w:left="175" w:right="138" w:firstLine="7"/>
              <w:rPr>
                <w:rFonts w:ascii="Times New Roman" w:hAnsi="Times New Roman"/>
                <w:sz w:val="16"/>
                <w:szCs w:val="16"/>
              </w:rPr>
            </w:pPr>
          </w:p>
        </w:tc>
        <w:tc>
          <w:tcPr>
            <w:tcW w:w="5495" w:type="dxa"/>
            <w:gridSpan w:val="6"/>
            <w:shd w:val="clear" w:color="auto" w:fill="auto"/>
          </w:tcPr>
          <w:p w14:paraId="2DC39963" w14:textId="77777777" w:rsidR="005C5318" w:rsidRPr="00E16672" w:rsidRDefault="005F18C0" w:rsidP="005C5318">
            <w:pPr>
              <w:snapToGrid w:val="0"/>
              <w:ind w:left="175" w:right="138" w:firstLine="7"/>
              <w:rPr>
                <w:rFonts w:ascii="Times New Roman" w:hAnsi="Times New Roman"/>
                <w:sz w:val="16"/>
                <w:szCs w:val="16"/>
                <w:lang w:val="en-GB"/>
              </w:rPr>
            </w:pPr>
            <w:r w:rsidRPr="00E16672">
              <w:rPr>
                <w:rFonts w:ascii="Times New Roman" w:hAnsi="Times New Roman"/>
                <w:sz w:val="16"/>
                <w:szCs w:val="16"/>
                <w:lang w:val="en-GB"/>
              </w:rPr>
              <w:t xml:space="preserve">2.2.9. Cancel accounting </w:t>
            </w:r>
            <w:r w:rsidR="005C5318" w:rsidRPr="00E16672">
              <w:rPr>
                <w:rFonts w:ascii="Times New Roman" w:hAnsi="Times New Roman"/>
                <w:sz w:val="16"/>
                <w:szCs w:val="16"/>
                <w:lang w:val="en-US"/>
              </w:rPr>
              <w:t>opera</w:t>
            </w:r>
            <w:proofErr w:type="spellStart"/>
            <w:r w:rsidR="005C5318" w:rsidRPr="00E16672">
              <w:rPr>
                <w:rFonts w:ascii="Times New Roman" w:hAnsi="Times New Roman"/>
                <w:sz w:val="16"/>
                <w:szCs w:val="16"/>
                <w:lang w:val="en-GB"/>
              </w:rPr>
              <w:t>tions</w:t>
            </w:r>
            <w:proofErr w:type="spellEnd"/>
            <w:r w:rsidR="005C5318" w:rsidRPr="00E16672">
              <w:rPr>
                <w:rFonts w:ascii="Times New Roman" w:hAnsi="Times New Roman"/>
                <w:sz w:val="16"/>
                <w:szCs w:val="16"/>
                <w:lang w:val="en-GB"/>
              </w:rPr>
              <w:t xml:space="preserve"> that were initiated by </w:t>
            </w:r>
            <w:r w:rsidR="005C5318" w:rsidRPr="00E16672">
              <w:rPr>
                <w:rFonts w:ascii="Times New Roman" w:hAnsi="Times New Roman"/>
                <w:sz w:val="16"/>
                <w:szCs w:val="16"/>
                <w:lang w:val="en-US"/>
              </w:rPr>
              <w:t>D</w:t>
            </w:r>
            <w:proofErr w:type="spellStart"/>
            <w:r w:rsidR="005C5318" w:rsidRPr="00E16672">
              <w:rPr>
                <w:rFonts w:ascii="Times New Roman" w:hAnsi="Times New Roman"/>
                <w:sz w:val="16"/>
                <w:szCs w:val="16"/>
                <w:lang w:val="en-GB"/>
              </w:rPr>
              <w:t>epository</w:t>
            </w:r>
            <w:proofErr w:type="spellEnd"/>
            <w:r w:rsidR="005C5318" w:rsidRPr="00E16672">
              <w:rPr>
                <w:rFonts w:ascii="Times New Roman" w:hAnsi="Times New Roman"/>
                <w:sz w:val="16"/>
                <w:szCs w:val="16"/>
                <w:lang w:val="en-GB"/>
              </w:rPr>
              <w:t xml:space="preserve"> institution in the Central Depository, but were not completed within three working days for reasons beyond the control of the </w:t>
            </w:r>
            <w:r w:rsidR="005C5318" w:rsidRPr="00E16672">
              <w:rPr>
                <w:rFonts w:ascii="Times New Roman" w:hAnsi="Times New Roman"/>
                <w:sz w:val="16"/>
                <w:szCs w:val="16"/>
                <w:lang w:val="en-US"/>
              </w:rPr>
              <w:t>D</w:t>
            </w:r>
            <w:proofErr w:type="spellStart"/>
            <w:r w:rsidR="005C5318" w:rsidRPr="00E16672">
              <w:rPr>
                <w:rFonts w:ascii="Times New Roman" w:hAnsi="Times New Roman"/>
                <w:sz w:val="16"/>
                <w:szCs w:val="16"/>
                <w:lang w:val="en-GB"/>
              </w:rPr>
              <w:t>epository</w:t>
            </w:r>
            <w:proofErr w:type="spellEnd"/>
            <w:r w:rsidR="005C5318" w:rsidRPr="00E16672">
              <w:rPr>
                <w:rFonts w:ascii="Times New Roman" w:hAnsi="Times New Roman"/>
                <w:sz w:val="16"/>
                <w:szCs w:val="16"/>
                <w:lang w:val="en-GB"/>
              </w:rPr>
              <w:t xml:space="preserve"> institution, in the case of a the Depositor of order cancellation of its previous order according to internal </w:t>
            </w:r>
            <w:proofErr w:type="gramStart"/>
            <w:r w:rsidR="005C5318" w:rsidRPr="00E16672">
              <w:rPr>
                <w:rFonts w:ascii="Times New Roman" w:hAnsi="Times New Roman"/>
                <w:sz w:val="16"/>
                <w:szCs w:val="16"/>
                <w:lang w:val="en-GB"/>
              </w:rPr>
              <w:t xml:space="preserve">documents </w:t>
            </w:r>
            <w:r w:rsidR="005C5318" w:rsidRPr="00E16672">
              <w:rPr>
                <w:rFonts w:ascii="Times New Roman" w:hAnsi="Times New Roman"/>
                <w:sz w:val="16"/>
                <w:szCs w:val="16"/>
                <w:lang w:val="en-US"/>
              </w:rPr>
              <w:t xml:space="preserve"> of</w:t>
            </w:r>
            <w:proofErr w:type="gramEnd"/>
            <w:r w:rsidR="005C5318" w:rsidRPr="00E16672">
              <w:rPr>
                <w:rFonts w:ascii="Times New Roman" w:hAnsi="Times New Roman"/>
                <w:sz w:val="16"/>
                <w:szCs w:val="16"/>
                <w:lang w:val="en-US"/>
              </w:rPr>
              <w:t xml:space="preserve"> D</w:t>
            </w:r>
            <w:proofErr w:type="spellStart"/>
            <w:r w:rsidR="005C5318" w:rsidRPr="00E16672">
              <w:rPr>
                <w:rFonts w:ascii="Times New Roman" w:hAnsi="Times New Roman"/>
                <w:sz w:val="16"/>
                <w:szCs w:val="16"/>
                <w:lang w:val="en-GB"/>
              </w:rPr>
              <w:t>epository</w:t>
            </w:r>
            <w:proofErr w:type="spellEnd"/>
            <w:r w:rsidR="005C5318" w:rsidRPr="00E16672">
              <w:rPr>
                <w:rFonts w:ascii="Times New Roman" w:hAnsi="Times New Roman"/>
                <w:sz w:val="16"/>
                <w:szCs w:val="16"/>
                <w:lang w:val="en-GB"/>
              </w:rPr>
              <w:t xml:space="preserve"> institution in accordance with the Rules and other internal documents of the Central Depository.</w:t>
            </w:r>
          </w:p>
          <w:p w14:paraId="43E03CC9" w14:textId="77777777" w:rsidR="005C5318" w:rsidRPr="00E16672" w:rsidRDefault="005C5318" w:rsidP="005C5318">
            <w:pPr>
              <w:pStyle w:val="210"/>
              <w:snapToGrid w:val="0"/>
              <w:ind w:left="175" w:right="138" w:firstLine="7"/>
              <w:rPr>
                <w:rFonts w:ascii="Times New Roman" w:hAnsi="Times New Roman"/>
                <w:sz w:val="16"/>
                <w:szCs w:val="16"/>
                <w:lang w:val="en-GB"/>
              </w:rPr>
            </w:pPr>
          </w:p>
        </w:tc>
      </w:tr>
      <w:tr w:rsidR="005C5318" w:rsidRPr="00F23413" w14:paraId="684139B9" w14:textId="77777777" w:rsidTr="005E418B">
        <w:trPr>
          <w:trHeight w:val="192"/>
        </w:trPr>
        <w:tc>
          <w:tcPr>
            <w:tcW w:w="5695" w:type="dxa"/>
            <w:gridSpan w:val="6"/>
            <w:shd w:val="clear" w:color="auto" w:fill="auto"/>
          </w:tcPr>
          <w:p w14:paraId="77FA6650" w14:textId="77777777" w:rsidR="005C5318" w:rsidRPr="00E16672" w:rsidRDefault="005C5318" w:rsidP="005C5318">
            <w:pPr>
              <w:pStyle w:val="210"/>
              <w:snapToGrid w:val="0"/>
              <w:ind w:left="175" w:right="138" w:firstLine="7"/>
              <w:rPr>
                <w:rFonts w:ascii="Times New Roman" w:hAnsi="Times New Roman"/>
                <w:sz w:val="16"/>
                <w:szCs w:val="16"/>
              </w:rPr>
            </w:pPr>
            <w:r w:rsidRPr="00E16672">
              <w:rPr>
                <w:rFonts w:ascii="Times New Roman" w:hAnsi="Times New Roman"/>
                <w:sz w:val="16"/>
                <w:szCs w:val="16"/>
              </w:rPr>
              <w:t xml:space="preserve">2.2.10. </w:t>
            </w:r>
            <w:proofErr w:type="spellStart"/>
            <w:r w:rsidRPr="00E16672">
              <w:rPr>
                <w:rFonts w:ascii="Times New Roman" w:hAnsi="Times New Roman"/>
                <w:sz w:val="16"/>
                <w:szCs w:val="16"/>
              </w:rPr>
              <w:t>Знерухомити</w:t>
            </w:r>
            <w:proofErr w:type="spellEnd"/>
            <w:r w:rsidRPr="00E16672">
              <w:rPr>
                <w:rFonts w:ascii="Times New Roman" w:hAnsi="Times New Roman"/>
                <w:sz w:val="16"/>
                <w:szCs w:val="16"/>
              </w:rPr>
              <w:t xml:space="preserve"> належні </w:t>
            </w:r>
            <w:proofErr w:type="spellStart"/>
            <w:r w:rsidRPr="00E16672">
              <w:rPr>
                <w:rFonts w:ascii="Times New Roman" w:hAnsi="Times New Roman"/>
                <w:sz w:val="16"/>
                <w:szCs w:val="16"/>
              </w:rPr>
              <w:t>Депонент</w:t>
            </w:r>
            <w:r w:rsidR="00C22309" w:rsidRPr="00E16672">
              <w:rPr>
                <w:rFonts w:ascii="Times New Roman" w:hAnsi="Times New Roman"/>
                <w:sz w:val="16"/>
                <w:szCs w:val="16"/>
              </w:rPr>
              <w:t>в</w:t>
            </w:r>
            <w:proofErr w:type="spellEnd"/>
            <w:r w:rsidR="00C22309" w:rsidRPr="00E16672">
              <w:rPr>
                <w:rFonts w:ascii="Times New Roman" w:hAnsi="Times New Roman"/>
                <w:sz w:val="16"/>
                <w:szCs w:val="16"/>
              </w:rPr>
              <w:t xml:space="preserve"> цін</w:t>
            </w:r>
            <w:r w:rsidRPr="00E16672">
              <w:rPr>
                <w:rFonts w:ascii="Times New Roman" w:hAnsi="Times New Roman"/>
                <w:sz w:val="16"/>
                <w:szCs w:val="16"/>
              </w:rPr>
              <w:t xml:space="preserve">ні папери на пред`явника документарної форми існування, шляхом надання Депозитарній установі розпорядження про </w:t>
            </w:r>
            <w:proofErr w:type="spellStart"/>
            <w:r w:rsidRPr="00E16672">
              <w:rPr>
                <w:rFonts w:ascii="Times New Roman" w:hAnsi="Times New Roman"/>
                <w:sz w:val="16"/>
                <w:szCs w:val="16"/>
              </w:rPr>
              <w:t>знерухомлення</w:t>
            </w:r>
            <w:proofErr w:type="spellEnd"/>
            <w:r w:rsidRPr="00E16672">
              <w:rPr>
                <w:rFonts w:ascii="Times New Roman" w:hAnsi="Times New Roman"/>
                <w:sz w:val="16"/>
                <w:szCs w:val="16"/>
              </w:rPr>
              <w:t xml:space="preserve"> та зарахування цінних паперів (місце зберігання цінних паперів - Центральний депозитарій) та сертифікатів цінних паперів, приймання яких оформлюється складанням </w:t>
            </w:r>
            <w:proofErr w:type="spellStart"/>
            <w:r w:rsidRPr="00E16672">
              <w:rPr>
                <w:rFonts w:ascii="Times New Roman" w:hAnsi="Times New Roman"/>
                <w:sz w:val="16"/>
                <w:szCs w:val="16"/>
              </w:rPr>
              <w:t>акта</w:t>
            </w:r>
            <w:proofErr w:type="spellEnd"/>
            <w:r w:rsidRPr="00E16672">
              <w:rPr>
                <w:rFonts w:ascii="Times New Roman" w:hAnsi="Times New Roman"/>
                <w:sz w:val="16"/>
                <w:szCs w:val="16"/>
              </w:rPr>
              <w:t xml:space="preserve"> приймання-передавання.</w:t>
            </w:r>
          </w:p>
          <w:p w14:paraId="5C33FDED" w14:textId="77777777" w:rsidR="005C5318" w:rsidRPr="00E16672" w:rsidRDefault="005C5318" w:rsidP="005C5318">
            <w:pPr>
              <w:pStyle w:val="210"/>
              <w:snapToGrid w:val="0"/>
              <w:ind w:left="175" w:right="138" w:firstLine="7"/>
              <w:rPr>
                <w:rFonts w:ascii="Times New Roman" w:hAnsi="Times New Roman"/>
                <w:sz w:val="16"/>
                <w:szCs w:val="16"/>
              </w:rPr>
            </w:pPr>
          </w:p>
        </w:tc>
        <w:tc>
          <w:tcPr>
            <w:tcW w:w="5495" w:type="dxa"/>
            <w:gridSpan w:val="6"/>
            <w:shd w:val="clear" w:color="auto" w:fill="auto"/>
          </w:tcPr>
          <w:p w14:paraId="51A15878" w14:textId="77777777" w:rsidR="005C5318" w:rsidRPr="00E16672" w:rsidRDefault="005C5318" w:rsidP="005C5318">
            <w:pPr>
              <w:pStyle w:val="210"/>
              <w:snapToGrid w:val="0"/>
              <w:ind w:left="175" w:right="138" w:firstLine="7"/>
              <w:rPr>
                <w:rFonts w:ascii="Times New Roman" w:hAnsi="Times New Roman"/>
                <w:sz w:val="16"/>
                <w:szCs w:val="16"/>
                <w:lang w:val="en-US"/>
              </w:rPr>
            </w:pPr>
            <w:r w:rsidRPr="00E16672">
              <w:rPr>
                <w:rFonts w:ascii="Times New Roman" w:hAnsi="Times New Roman"/>
                <w:sz w:val="16"/>
                <w:szCs w:val="16"/>
                <w:lang w:val="en-US"/>
              </w:rPr>
              <w:t xml:space="preserve">2.2.10.  To make on operation of registrations as the </w:t>
            </w:r>
            <w:proofErr w:type="gramStart"/>
            <w:r w:rsidRPr="00E16672">
              <w:rPr>
                <w:rFonts w:ascii="Times New Roman" w:hAnsi="Times New Roman"/>
                <w:sz w:val="16"/>
                <w:szCs w:val="16"/>
                <w:lang w:val="en-US"/>
              </w:rPr>
              <w:t>nominee  Depositor’s</w:t>
            </w:r>
            <w:proofErr w:type="gramEnd"/>
            <w:r w:rsidRPr="00E16672">
              <w:rPr>
                <w:rFonts w:ascii="Times New Roman" w:hAnsi="Times New Roman"/>
                <w:sz w:val="16"/>
                <w:szCs w:val="16"/>
                <w:lang w:val="en-US"/>
              </w:rPr>
              <w:t xml:space="preserve"> securities resent applicant's documentary form by providing Depository institution order the operation of registrations as the nominee  of securities (place of safekeeping of securities – Central Depositary) and certificates of securities, receipt of which is made of act of acceptance and transfer.</w:t>
            </w:r>
          </w:p>
          <w:p w14:paraId="35CBD899" w14:textId="77777777" w:rsidR="005C5318" w:rsidRPr="00E16672" w:rsidRDefault="005C5318" w:rsidP="005C5318">
            <w:pPr>
              <w:pStyle w:val="210"/>
              <w:snapToGrid w:val="0"/>
              <w:ind w:left="175" w:right="138" w:firstLine="7"/>
              <w:rPr>
                <w:rFonts w:ascii="Times New Roman" w:hAnsi="Times New Roman"/>
                <w:sz w:val="16"/>
                <w:szCs w:val="16"/>
                <w:lang w:val="en-US"/>
              </w:rPr>
            </w:pPr>
          </w:p>
        </w:tc>
      </w:tr>
      <w:tr w:rsidR="005C5318" w:rsidRPr="00F23413" w14:paraId="55631F19" w14:textId="77777777" w:rsidTr="005E418B">
        <w:trPr>
          <w:trHeight w:val="192"/>
        </w:trPr>
        <w:tc>
          <w:tcPr>
            <w:tcW w:w="5695" w:type="dxa"/>
            <w:gridSpan w:val="6"/>
            <w:shd w:val="clear" w:color="auto" w:fill="auto"/>
          </w:tcPr>
          <w:p w14:paraId="29506DBD" w14:textId="77777777" w:rsidR="005C5318" w:rsidRPr="00E16672" w:rsidRDefault="005C5318" w:rsidP="005C5318">
            <w:pPr>
              <w:ind w:left="175" w:firstLine="7"/>
              <w:rPr>
                <w:rFonts w:ascii="Times New Roman" w:hAnsi="Times New Roman"/>
                <w:color w:val="000000"/>
                <w:sz w:val="16"/>
                <w:szCs w:val="16"/>
                <w:lang w:val="uk-UA"/>
              </w:rPr>
            </w:pPr>
            <w:r w:rsidRPr="00E16672">
              <w:rPr>
                <w:rFonts w:ascii="Times New Roman" w:hAnsi="Times New Roman"/>
                <w:color w:val="000000"/>
                <w:sz w:val="16"/>
                <w:szCs w:val="16"/>
                <w:lang w:val="en-US"/>
              </w:rPr>
              <w:t xml:space="preserve">2.2.11. </w:t>
            </w:r>
            <w:r w:rsidRPr="00E16672">
              <w:rPr>
                <w:rFonts w:ascii="Times New Roman" w:hAnsi="Times New Roman"/>
                <w:color w:val="000000"/>
                <w:sz w:val="16"/>
                <w:szCs w:val="16"/>
                <w:lang w:val="uk-UA"/>
              </w:rPr>
              <w:t xml:space="preserve">Надавати письмову відмову у видачі виписки з рахунку в цінних паперах у разі невідповідності оформлення </w:t>
            </w:r>
            <w:proofErr w:type="spellStart"/>
            <w:r w:rsidRPr="00E16672">
              <w:rPr>
                <w:rFonts w:ascii="Times New Roman" w:hAnsi="Times New Roman"/>
                <w:color w:val="000000"/>
                <w:sz w:val="16"/>
                <w:szCs w:val="16"/>
              </w:rPr>
              <w:t>розпорядження</w:t>
            </w:r>
            <w:proofErr w:type="spellEnd"/>
            <w:r w:rsidRPr="00E16672">
              <w:rPr>
                <w:rFonts w:ascii="Times New Roman" w:hAnsi="Times New Roman"/>
                <w:color w:val="000000"/>
                <w:sz w:val="16"/>
                <w:szCs w:val="16"/>
                <w:lang w:val="uk-UA"/>
              </w:rPr>
              <w:t xml:space="preserve"> вимогам </w:t>
            </w:r>
            <w:r w:rsidRPr="00E16672">
              <w:rPr>
                <w:rFonts w:ascii="Times New Roman" w:hAnsi="Times New Roman"/>
                <w:bCs/>
                <w:color w:val="000000"/>
                <w:sz w:val="16"/>
                <w:szCs w:val="16"/>
                <w:lang w:val="uk-UA"/>
              </w:rPr>
              <w:t xml:space="preserve">Положення </w:t>
            </w:r>
            <w:r w:rsidRPr="00E16672">
              <w:rPr>
                <w:rFonts w:ascii="Times New Roman" w:hAnsi="Times New Roman"/>
                <w:bCs/>
                <w:color w:val="000000"/>
                <w:sz w:val="16"/>
                <w:szCs w:val="16"/>
              </w:rPr>
              <w:t>про</w:t>
            </w:r>
            <w:r w:rsidRPr="00E16672">
              <w:rPr>
                <w:rFonts w:ascii="Times New Roman" w:hAnsi="Times New Roman"/>
                <w:bCs/>
                <w:color w:val="000000"/>
                <w:sz w:val="16"/>
                <w:szCs w:val="16"/>
                <w:lang w:val="en-US"/>
              </w:rPr>
              <w:t xml:space="preserve"> </w:t>
            </w:r>
            <w:proofErr w:type="spellStart"/>
            <w:r w:rsidRPr="00E16672">
              <w:rPr>
                <w:rFonts w:ascii="Times New Roman" w:hAnsi="Times New Roman"/>
                <w:bCs/>
                <w:color w:val="000000"/>
                <w:sz w:val="16"/>
                <w:szCs w:val="16"/>
              </w:rPr>
              <w:t>провадження</w:t>
            </w:r>
            <w:proofErr w:type="spellEnd"/>
            <w:r w:rsidRPr="00E16672">
              <w:rPr>
                <w:rFonts w:ascii="Times New Roman" w:hAnsi="Times New Roman"/>
                <w:bCs/>
                <w:color w:val="000000"/>
                <w:sz w:val="16"/>
                <w:szCs w:val="16"/>
                <w:lang w:val="en-US"/>
              </w:rPr>
              <w:t xml:space="preserve"> </w:t>
            </w:r>
            <w:proofErr w:type="spellStart"/>
            <w:r w:rsidRPr="00E16672">
              <w:rPr>
                <w:rFonts w:ascii="Times New Roman" w:hAnsi="Times New Roman"/>
                <w:bCs/>
                <w:color w:val="000000"/>
                <w:sz w:val="16"/>
                <w:szCs w:val="16"/>
              </w:rPr>
              <w:t>депозитарної</w:t>
            </w:r>
            <w:proofErr w:type="spellEnd"/>
            <w:r w:rsidRPr="00E16672">
              <w:rPr>
                <w:rFonts w:ascii="Times New Roman" w:hAnsi="Times New Roman"/>
                <w:bCs/>
                <w:color w:val="000000"/>
                <w:sz w:val="16"/>
                <w:szCs w:val="16"/>
                <w:lang w:val="en-US"/>
              </w:rPr>
              <w:t xml:space="preserve"> </w:t>
            </w:r>
            <w:proofErr w:type="spellStart"/>
            <w:r w:rsidRPr="00E16672">
              <w:rPr>
                <w:rFonts w:ascii="Times New Roman" w:hAnsi="Times New Roman"/>
                <w:bCs/>
                <w:color w:val="000000"/>
                <w:sz w:val="16"/>
                <w:szCs w:val="16"/>
              </w:rPr>
              <w:t>діяльності</w:t>
            </w:r>
            <w:proofErr w:type="spellEnd"/>
            <w:r w:rsidRPr="00E16672">
              <w:rPr>
                <w:rFonts w:ascii="Times New Roman" w:hAnsi="Times New Roman"/>
                <w:bCs/>
                <w:color w:val="000000"/>
                <w:sz w:val="16"/>
                <w:szCs w:val="16"/>
                <w:lang w:val="en-US"/>
              </w:rPr>
              <w:t xml:space="preserve"> </w:t>
            </w:r>
            <w:r w:rsidRPr="00E16672">
              <w:rPr>
                <w:rFonts w:ascii="Times New Roman" w:hAnsi="Times New Roman"/>
                <w:bCs/>
                <w:color w:val="000000"/>
                <w:sz w:val="16"/>
                <w:szCs w:val="16"/>
              </w:rPr>
              <w:t>та</w:t>
            </w:r>
            <w:r w:rsidRPr="00E16672">
              <w:rPr>
                <w:rFonts w:ascii="Times New Roman" w:hAnsi="Times New Roman"/>
                <w:bCs/>
                <w:color w:val="000000"/>
                <w:sz w:val="16"/>
                <w:szCs w:val="16"/>
                <w:lang w:val="en-US"/>
              </w:rPr>
              <w:t>/</w:t>
            </w:r>
            <w:proofErr w:type="spellStart"/>
            <w:r w:rsidRPr="00E16672">
              <w:rPr>
                <w:rFonts w:ascii="Times New Roman" w:hAnsi="Times New Roman"/>
                <w:bCs/>
                <w:color w:val="000000"/>
                <w:sz w:val="16"/>
                <w:szCs w:val="16"/>
              </w:rPr>
              <w:t>або</w:t>
            </w:r>
            <w:proofErr w:type="spellEnd"/>
            <w:r w:rsidRPr="00E16672">
              <w:rPr>
                <w:rFonts w:ascii="Times New Roman" w:hAnsi="Times New Roman"/>
                <w:bCs/>
                <w:color w:val="000000"/>
                <w:sz w:val="16"/>
                <w:szCs w:val="16"/>
                <w:lang w:val="en-US"/>
              </w:rPr>
              <w:t xml:space="preserve"> </w:t>
            </w:r>
            <w:r w:rsidRPr="00E16672">
              <w:rPr>
                <w:rFonts w:ascii="Times New Roman" w:hAnsi="Times New Roman"/>
                <w:bCs/>
                <w:color w:val="000000"/>
                <w:sz w:val="16"/>
                <w:szCs w:val="16"/>
                <w:lang w:val="uk-UA"/>
              </w:rPr>
              <w:t>внутрішніх документів Депозитарної установи</w:t>
            </w:r>
            <w:r w:rsidRPr="00E16672">
              <w:rPr>
                <w:rFonts w:ascii="Times New Roman" w:hAnsi="Times New Roman"/>
                <w:color w:val="000000"/>
                <w:sz w:val="16"/>
                <w:szCs w:val="16"/>
                <w:lang w:val="uk-UA"/>
              </w:rPr>
              <w:t xml:space="preserve">. </w:t>
            </w:r>
            <w:r w:rsidRPr="00E16672">
              <w:rPr>
                <w:rFonts w:ascii="Times New Roman" w:hAnsi="Times New Roman"/>
                <w:color w:val="000000"/>
                <w:sz w:val="16"/>
                <w:szCs w:val="20"/>
                <w:lang w:val="uk-UA"/>
              </w:rPr>
              <w:t xml:space="preserve">Відмовити Депоненту (розпоряднику рахунку, керуючому рахунком) у взятті до виконання розпорядження (запиту) у випадках, визначених законодавством та внутрішніми документами Депозитарної установи, </w:t>
            </w:r>
            <w:r w:rsidR="005F18C0" w:rsidRPr="00E16672">
              <w:rPr>
                <w:rFonts w:ascii="Times New Roman" w:hAnsi="Times New Roman"/>
                <w:color w:val="000000"/>
                <w:sz w:val="16"/>
                <w:szCs w:val="20"/>
                <w:lang w:val="uk-UA"/>
              </w:rPr>
              <w:t>в тому числі у разі відмови Депонента у приведенні Договору у відповідність до вимог законодавства</w:t>
            </w:r>
            <w:r w:rsidRPr="00E16672">
              <w:rPr>
                <w:rFonts w:ascii="Times New Roman" w:hAnsi="Times New Roman"/>
                <w:color w:val="000000"/>
                <w:sz w:val="16"/>
                <w:szCs w:val="20"/>
                <w:lang w:val="uk-UA"/>
              </w:rPr>
              <w:t>.</w:t>
            </w:r>
          </w:p>
          <w:p w14:paraId="0D8EA4FC" w14:textId="77777777" w:rsidR="005C5318" w:rsidRPr="00E16672" w:rsidRDefault="005C5318" w:rsidP="005C5318">
            <w:pPr>
              <w:pStyle w:val="210"/>
              <w:snapToGrid w:val="0"/>
              <w:ind w:left="175" w:right="62" w:firstLine="7"/>
              <w:rPr>
                <w:rFonts w:ascii="Times New Roman" w:hAnsi="Times New Roman"/>
                <w:color w:val="000000"/>
                <w:sz w:val="16"/>
                <w:szCs w:val="16"/>
              </w:rPr>
            </w:pPr>
          </w:p>
        </w:tc>
        <w:tc>
          <w:tcPr>
            <w:tcW w:w="5495" w:type="dxa"/>
            <w:gridSpan w:val="6"/>
            <w:shd w:val="clear" w:color="auto" w:fill="auto"/>
          </w:tcPr>
          <w:p w14:paraId="345C094D" w14:textId="77777777" w:rsidR="005C5318" w:rsidRPr="00E16672" w:rsidRDefault="005C5318" w:rsidP="005C5318">
            <w:pPr>
              <w:pStyle w:val="HTML"/>
              <w:ind w:left="175" w:right="62" w:firstLine="7"/>
              <w:rPr>
                <w:rFonts w:ascii="Times New Roman" w:hAnsi="Times New Roman" w:cs="Times New Roman"/>
                <w:color w:val="000000"/>
                <w:sz w:val="16"/>
                <w:szCs w:val="16"/>
                <w:lang w:val="uk-UA"/>
              </w:rPr>
            </w:pPr>
            <w:r w:rsidRPr="00E16672">
              <w:rPr>
                <w:rFonts w:ascii="Times New Roman" w:hAnsi="Times New Roman" w:cs="Times New Roman"/>
                <w:color w:val="000000"/>
                <w:sz w:val="16"/>
                <w:szCs w:val="16"/>
                <w:lang w:val="en-US"/>
              </w:rPr>
              <w:t xml:space="preserve">2.2.11. Provide a written refusal of issuing a an extract from the account in securities in the event of non-compliance registration the order with requirements of the </w:t>
            </w:r>
            <w:r w:rsidRPr="00E16672">
              <w:rPr>
                <w:rFonts w:ascii="Times New Roman" w:hAnsi="Times New Roman" w:cs="Times New Roman"/>
                <w:bCs/>
                <w:color w:val="000000"/>
                <w:sz w:val="16"/>
                <w:szCs w:val="16"/>
                <w:lang w:val="en-US"/>
              </w:rPr>
              <w:t>Regulation on depository activities</w:t>
            </w:r>
            <w:r w:rsidRPr="00E16672">
              <w:rPr>
                <w:rFonts w:ascii="Times New Roman" w:hAnsi="Times New Roman" w:cs="Times New Roman"/>
                <w:color w:val="000000"/>
                <w:sz w:val="16"/>
                <w:szCs w:val="16"/>
                <w:lang w:val="en-US"/>
              </w:rPr>
              <w:t xml:space="preserve"> and internal documents </w:t>
            </w:r>
            <w:proofErr w:type="gramStart"/>
            <w:r w:rsidRPr="00E16672">
              <w:rPr>
                <w:rFonts w:ascii="Times New Roman" w:hAnsi="Times New Roman" w:cs="Times New Roman"/>
                <w:color w:val="000000"/>
                <w:sz w:val="16"/>
                <w:szCs w:val="16"/>
                <w:lang w:val="en-US"/>
              </w:rPr>
              <w:t>of  Depository</w:t>
            </w:r>
            <w:proofErr w:type="gramEnd"/>
            <w:r w:rsidRPr="00E16672">
              <w:rPr>
                <w:rFonts w:ascii="Times New Roman" w:hAnsi="Times New Roman" w:cs="Times New Roman"/>
                <w:color w:val="000000"/>
                <w:sz w:val="16"/>
                <w:szCs w:val="16"/>
                <w:lang w:val="en-US"/>
              </w:rPr>
              <w:t xml:space="preserve"> institution</w:t>
            </w:r>
            <w:r w:rsidRPr="00E16672">
              <w:rPr>
                <w:rFonts w:ascii="Times New Roman" w:hAnsi="Times New Roman" w:cs="Times New Roman"/>
                <w:color w:val="000000"/>
                <w:sz w:val="16"/>
                <w:szCs w:val="16"/>
                <w:lang w:val="uk-UA"/>
              </w:rPr>
              <w:t>.</w:t>
            </w:r>
          </w:p>
          <w:p w14:paraId="49DD99D3" w14:textId="77777777" w:rsidR="005C5318" w:rsidRPr="00E16672" w:rsidRDefault="005F18C0" w:rsidP="005C5318">
            <w:pPr>
              <w:pStyle w:val="210"/>
              <w:tabs>
                <w:tab w:val="left" w:pos="287"/>
              </w:tabs>
              <w:snapToGrid w:val="0"/>
              <w:ind w:left="175" w:right="62" w:firstLine="7"/>
              <w:rPr>
                <w:rFonts w:ascii="Times New Roman" w:hAnsi="Times New Roman"/>
                <w:color w:val="000000"/>
                <w:sz w:val="16"/>
                <w:szCs w:val="16"/>
                <w:lang w:val="en-US"/>
              </w:rPr>
            </w:pPr>
            <w:proofErr w:type="spellStart"/>
            <w:r w:rsidRPr="00E16672">
              <w:rPr>
                <w:rFonts w:ascii="Times New Roman" w:hAnsi="Times New Roman"/>
                <w:sz w:val="16"/>
                <w:szCs w:val="16"/>
              </w:rPr>
              <w:t>To</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refuse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Depositor</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Manager</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of</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account</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Аdministrator</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of</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account</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in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taking</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orders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inquiries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in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cases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specified</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by</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legislation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and</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internal</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documents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of</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Depository</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including</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in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case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of</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refusal</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of</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Depositor</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to</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bring</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Agreement</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into</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compliance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with</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requirements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of</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legislatio</w:t>
            </w:r>
            <w:proofErr w:type="spellEnd"/>
            <w:r w:rsidR="005C5318" w:rsidRPr="00E16672">
              <w:rPr>
                <w:rFonts w:ascii="Times New Roman" w:hAnsi="Times New Roman"/>
                <w:sz w:val="16"/>
                <w:szCs w:val="16"/>
              </w:rPr>
              <w:t>.</w:t>
            </w:r>
          </w:p>
        </w:tc>
      </w:tr>
      <w:tr w:rsidR="005C5318" w:rsidRPr="00F23413" w14:paraId="0B662391" w14:textId="77777777" w:rsidTr="005E418B">
        <w:trPr>
          <w:trHeight w:val="192"/>
        </w:trPr>
        <w:tc>
          <w:tcPr>
            <w:tcW w:w="5695" w:type="dxa"/>
            <w:gridSpan w:val="6"/>
            <w:shd w:val="clear" w:color="auto" w:fill="auto"/>
          </w:tcPr>
          <w:p w14:paraId="56ACEE0D" w14:textId="77777777" w:rsidR="005C5318" w:rsidRPr="00E16672" w:rsidRDefault="005C5318" w:rsidP="005C5318">
            <w:pPr>
              <w:widowControl w:val="0"/>
              <w:tabs>
                <w:tab w:val="left" w:pos="540"/>
              </w:tabs>
              <w:snapToGrid w:val="0"/>
              <w:ind w:left="175" w:right="138" w:firstLine="7"/>
              <w:rPr>
                <w:rFonts w:ascii="Times New Roman" w:hAnsi="Times New Roman"/>
                <w:color w:val="000000"/>
                <w:sz w:val="16"/>
                <w:szCs w:val="16"/>
                <w:lang w:val="uk-UA"/>
              </w:rPr>
            </w:pPr>
            <w:r w:rsidRPr="00E16672">
              <w:rPr>
                <w:rFonts w:ascii="Times New Roman" w:hAnsi="Times New Roman"/>
                <w:sz w:val="16"/>
                <w:szCs w:val="16"/>
              </w:rPr>
              <w:t xml:space="preserve">2.2.12. </w:t>
            </w:r>
            <w:r w:rsidRPr="00E16672">
              <w:rPr>
                <w:rFonts w:ascii="Times New Roman" w:hAnsi="Times New Roman"/>
                <w:sz w:val="16"/>
                <w:szCs w:val="20"/>
                <w:lang w:val="uk-UA"/>
              </w:rPr>
              <w:t xml:space="preserve">Вимагати від Депонента повної та своєчасної оплати своїх послуг згідно умов цього Договору та тарифів Депозитарної установи. </w:t>
            </w:r>
            <w:proofErr w:type="spellStart"/>
            <w:proofErr w:type="gramStart"/>
            <w:r w:rsidRPr="00E16672">
              <w:rPr>
                <w:rFonts w:ascii="Times New Roman" w:hAnsi="Times New Roman"/>
                <w:sz w:val="16"/>
                <w:szCs w:val="16"/>
              </w:rPr>
              <w:t>Відмовити</w:t>
            </w:r>
            <w:proofErr w:type="spellEnd"/>
            <w:r w:rsidRPr="00E16672">
              <w:rPr>
                <w:rFonts w:ascii="Times New Roman" w:hAnsi="Times New Roman"/>
                <w:sz w:val="16"/>
                <w:szCs w:val="16"/>
              </w:rPr>
              <w:t xml:space="preserve">  в</w:t>
            </w:r>
            <w:proofErr w:type="gramEnd"/>
            <w:r w:rsidRPr="00E16672">
              <w:rPr>
                <w:rFonts w:ascii="Times New Roman" w:hAnsi="Times New Roman"/>
                <w:sz w:val="16"/>
                <w:szCs w:val="16"/>
              </w:rPr>
              <w:t xml:space="preserve"> </w:t>
            </w:r>
            <w:proofErr w:type="spellStart"/>
            <w:r w:rsidRPr="00E16672">
              <w:rPr>
                <w:rFonts w:ascii="Times New Roman" w:hAnsi="Times New Roman"/>
                <w:sz w:val="16"/>
                <w:szCs w:val="16"/>
              </w:rPr>
              <w:t>узятті</w:t>
            </w:r>
            <w:proofErr w:type="spellEnd"/>
            <w:r w:rsidRPr="00E16672">
              <w:rPr>
                <w:rFonts w:ascii="Times New Roman" w:hAnsi="Times New Roman"/>
                <w:sz w:val="16"/>
                <w:szCs w:val="16"/>
              </w:rPr>
              <w:t xml:space="preserve"> до </w:t>
            </w:r>
            <w:proofErr w:type="spellStart"/>
            <w:r w:rsidRPr="00E16672">
              <w:rPr>
                <w:rFonts w:ascii="Times New Roman" w:hAnsi="Times New Roman"/>
                <w:sz w:val="16"/>
                <w:szCs w:val="16"/>
              </w:rPr>
              <w:t>виконання</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розпорядження</w:t>
            </w:r>
            <w:proofErr w:type="spellEnd"/>
            <w:r w:rsidRPr="00E16672">
              <w:rPr>
                <w:rFonts w:ascii="Times New Roman" w:hAnsi="Times New Roman"/>
                <w:sz w:val="16"/>
                <w:szCs w:val="16"/>
              </w:rPr>
              <w:t xml:space="preserve"> у </w:t>
            </w:r>
            <w:proofErr w:type="spellStart"/>
            <w:r w:rsidRPr="00E16672">
              <w:rPr>
                <w:rFonts w:ascii="Times New Roman" w:hAnsi="Times New Roman"/>
                <w:sz w:val="16"/>
                <w:szCs w:val="16"/>
              </w:rPr>
              <w:t>разі</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несплати</w:t>
            </w:r>
            <w:proofErr w:type="spellEnd"/>
            <w:r w:rsidRPr="00E16672">
              <w:rPr>
                <w:rFonts w:ascii="Times New Roman" w:hAnsi="Times New Roman"/>
                <w:sz w:val="16"/>
                <w:szCs w:val="16"/>
              </w:rPr>
              <w:t xml:space="preserve"> Депонентом  </w:t>
            </w:r>
            <w:proofErr w:type="spellStart"/>
            <w:r w:rsidRPr="00E16672">
              <w:rPr>
                <w:rFonts w:ascii="Times New Roman" w:hAnsi="Times New Roman"/>
                <w:sz w:val="16"/>
                <w:szCs w:val="16"/>
              </w:rPr>
              <w:t>депозитарних</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послуг</w:t>
            </w:r>
            <w:proofErr w:type="spellEnd"/>
            <w:r w:rsidRPr="00E16672">
              <w:rPr>
                <w:rFonts w:ascii="Times New Roman" w:hAnsi="Times New Roman"/>
                <w:sz w:val="16"/>
                <w:szCs w:val="16"/>
              </w:rPr>
              <w:t>.</w:t>
            </w:r>
            <w:r w:rsidRPr="00E16672">
              <w:rPr>
                <w:rFonts w:ascii="Times New Roman" w:hAnsi="Times New Roman"/>
                <w:sz w:val="16"/>
                <w:szCs w:val="16"/>
                <w:lang w:val="uk-UA"/>
              </w:rPr>
              <w:t xml:space="preserve"> П</w:t>
            </w:r>
            <w:r w:rsidRPr="00E16672">
              <w:rPr>
                <w:rFonts w:ascii="Times New Roman" w:hAnsi="Times New Roman"/>
                <w:color w:val="000000"/>
                <w:sz w:val="16"/>
                <w:szCs w:val="16"/>
                <w:lang w:val="uk-UA"/>
              </w:rPr>
              <w:t xml:space="preserve">ризупинити обслуговування рахунку </w:t>
            </w:r>
            <w:r w:rsidR="00C22309" w:rsidRPr="00E16672">
              <w:rPr>
                <w:rFonts w:ascii="Times New Roman" w:hAnsi="Times New Roman"/>
                <w:color w:val="000000"/>
                <w:sz w:val="16"/>
                <w:szCs w:val="16"/>
                <w:lang w:val="uk-UA"/>
              </w:rPr>
              <w:t>в цін</w:t>
            </w:r>
            <w:r w:rsidRPr="00E16672">
              <w:rPr>
                <w:rFonts w:ascii="Times New Roman" w:hAnsi="Times New Roman"/>
                <w:color w:val="000000"/>
                <w:sz w:val="16"/>
                <w:szCs w:val="16"/>
                <w:lang w:val="uk-UA"/>
              </w:rPr>
              <w:t>них паперах Депонента у разі порушення Депонентом цього Договору щодо оплати послуг Депозитарної установи.</w:t>
            </w:r>
          </w:p>
          <w:p w14:paraId="43355F1C" w14:textId="77777777" w:rsidR="005C5318" w:rsidRPr="00E16672" w:rsidRDefault="005C5318" w:rsidP="005C5318">
            <w:pPr>
              <w:widowControl w:val="0"/>
              <w:tabs>
                <w:tab w:val="left" w:pos="540"/>
              </w:tabs>
              <w:snapToGrid w:val="0"/>
              <w:ind w:left="175" w:right="138" w:firstLine="7"/>
              <w:rPr>
                <w:rFonts w:ascii="Times New Roman" w:hAnsi="Times New Roman"/>
                <w:color w:val="000000"/>
                <w:sz w:val="16"/>
                <w:szCs w:val="16"/>
                <w:lang w:val="uk-UA"/>
              </w:rPr>
            </w:pPr>
          </w:p>
          <w:p w14:paraId="718E8EB5" w14:textId="77777777" w:rsidR="005C5318" w:rsidRPr="00E16672" w:rsidRDefault="005C5318" w:rsidP="005C5318">
            <w:pPr>
              <w:widowControl w:val="0"/>
              <w:tabs>
                <w:tab w:val="left" w:pos="540"/>
              </w:tabs>
              <w:snapToGrid w:val="0"/>
              <w:ind w:left="175" w:right="138" w:firstLine="7"/>
              <w:rPr>
                <w:rFonts w:ascii="Times New Roman" w:hAnsi="Times New Roman"/>
                <w:sz w:val="16"/>
                <w:szCs w:val="16"/>
              </w:rPr>
            </w:pPr>
            <w:r w:rsidRPr="00E16672">
              <w:rPr>
                <w:rFonts w:ascii="Times New Roman" w:hAnsi="Times New Roman"/>
                <w:color w:val="000000"/>
                <w:sz w:val="16"/>
                <w:szCs w:val="16"/>
                <w:lang w:val="uk-UA"/>
              </w:rPr>
              <w:t xml:space="preserve">2.2.13. Надавати Депоненту виписки з рахунку </w:t>
            </w:r>
            <w:r w:rsidR="00C22309" w:rsidRPr="00E16672">
              <w:rPr>
                <w:rFonts w:ascii="Times New Roman" w:hAnsi="Times New Roman"/>
                <w:color w:val="000000"/>
                <w:sz w:val="16"/>
                <w:szCs w:val="16"/>
                <w:lang w:val="uk-UA"/>
              </w:rPr>
              <w:t>в цін</w:t>
            </w:r>
            <w:r w:rsidRPr="00E16672">
              <w:rPr>
                <w:rFonts w:ascii="Times New Roman" w:hAnsi="Times New Roman"/>
                <w:color w:val="000000"/>
                <w:sz w:val="16"/>
                <w:szCs w:val="16"/>
                <w:lang w:val="uk-UA"/>
              </w:rPr>
              <w:t>них паперах Депонента (про стан рахунку в цінних паперах депонента станом на кінець попереднього року та про операції з цінними паперами за попередній рік) один раз на рік без запиту (розпорядження) Депонента.</w:t>
            </w:r>
          </w:p>
        </w:tc>
        <w:tc>
          <w:tcPr>
            <w:tcW w:w="5495" w:type="dxa"/>
            <w:gridSpan w:val="6"/>
            <w:shd w:val="clear" w:color="auto" w:fill="auto"/>
          </w:tcPr>
          <w:p w14:paraId="0505B848" w14:textId="77777777" w:rsidR="005C5318" w:rsidRPr="00E16672" w:rsidRDefault="005C5318" w:rsidP="005C5318">
            <w:pPr>
              <w:pStyle w:val="210"/>
              <w:snapToGrid w:val="0"/>
              <w:ind w:left="175" w:right="138" w:firstLine="7"/>
              <w:rPr>
                <w:rFonts w:ascii="Times New Roman" w:hAnsi="Times New Roman"/>
                <w:sz w:val="16"/>
              </w:rPr>
            </w:pPr>
            <w:r w:rsidRPr="00E16672">
              <w:rPr>
                <w:rFonts w:ascii="Times New Roman" w:hAnsi="Times New Roman"/>
                <w:sz w:val="16"/>
                <w:szCs w:val="16"/>
              </w:rPr>
              <w:t xml:space="preserve">2.2.12 </w:t>
            </w:r>
            <w:proofErr w:type="spellStart"/>
            <w:r w:rsidRPr="00E16672">
              <w:rPr>
                <w:rFonts w:ascii="Times New Roman" w:hAnsi="Times New Roman"/>
                <w:sz w:val="16"/>
              </w:rPr>
              <w:t>To</w:t>
            </w:r>
            <w:proofErr w:type="spellEnd"/>
            <w:r w:rsidRPr="00E16672">
              <w:rPr>
                <w:rFonts w:ascii="Times New Roman" w:hAnsi="Times New Roman"/>
                <w:sz w:val="16"/>
              </w:rPr>
              <w:t xml:space="preserve"> </w:t>
            </w:r>
            <w:proofErr w:type="spellStart"/>
            <w:r w:rsidRPr="00E16672">
              <w:rPr>
                <w:rFonts w:ascii="Times New Roman" w:hAnsi="Times New Roman"/>
                <w:sz w:val="16"/>
              </w:rPr>
              <w:t>demand</w:t>
            </w:r>
            <w:proofErr w:type="spellEnd"/>
            <w:r w:rsidRPr="00E16672">
              <w:rPr>
                <w:rFonts w:ascii="Times New Roman" w:hAnsi="Times New Roman"/>
                <w:sz w:val="16"/>
              </w:rPr>
              <w:t xml:space="preserve"> </w:t>
            </w:r>
            <w:proofErr w:type="spellStart"/>
            <w:r w:rsidRPr="00E16672">
              <w:rPr>
                <w:rFonts w:ascii="Times New Roman" w:hAnsi="Times New Roman"/>
                <w:sz w:val="16"/>
              </w:rPr>
              <w:t>from</w:t>
            </w:r>
            <w:proofErr w:type="spellEnd"/>
            <w:r w:rsidRPr="00E16672">
              <w:rPr>
                <w:rFonts w:ascii="Times New Roman" w:hAnsi="Times New Roman"/>
                <w:sz w:val="16"/>
              </w:rPr>
              <w:t xml:space="preserve"> </w:t>
            </w:r>
            <w:proofErr w:type="spellStart"/>
            <w:r w:rsidRPr="00E16672">
              <w:rPr>
                <w:rFonts w:ascii="Times New Roman" w:hAnsi="Times New Roman"/>
                <w:sz w:val="16"/>
              </w:rPr>
              <w:t>the</w:t>
            </w:r>
            <w:proofErr w:type="spellEnd"/>
            <w:r w:rsidRPr="00E16672">
              <w:rPr>
                <w:rFonts w:ascii="Times New Roman" w:hAnsi="Times New Roman"/>
                <w:sz w:val="16"/>
              </w:rPr>
              <w:t xml:space="preserve"> </w:t>
            </w:r>
            <w:proofErr w:type="spellStart"/>
            <w:r w:rsidRPr="00E16672">
              <w:rPr>
                <w:rFonts w:ascii="Times New Roman" w:hAnsi="Times New Roman"/>
                <w:sz w:val="16"/>
              </w:rPr>
              <w:t>Depositor</w:t>
            </w:r>
            <w:proofErr w:type="spellEnd"/>
            <w:r w:rsidRPr="00E16672">
              <w:rPr>
                <w:rFonts w:ascii="Times New Roman" w:hAnsi="Times New Roman"/>
                <w:sz w:val="16"/>
              </w:rPr>
              <w:t xml:space="preserve"> </w:t>
            </w:r>
            <w:proofErr w:type="spellStart"/>
            <w:r w:rsidRPr="00E16672">
              <w:rPr>
                <w:rFonts w:ascii="Times New Roman" w:hAnsi="Times New Roman"/>
                <w:sz w:val="16"/>
              </w:rPr>
              <w:t>full</w:t>
            </w:r>
            <w:proofErr w:type="spellEnd"/>
            <w:r w:rsidRPr="00E16672">
              <w:rPr>
                <w:rFonts w:ascii="Times New Roman" w:hAnsi="Times New Roman"/>
                <w:sz w:val="16"/>
              </w:rPr>
              <w:t xml:space="preserve"> </w:t>
            </w:r>
            <w:proofErr w:type="spellStart"/>
            <w:r w:rsidRPr="00E16672">
              <w:rPr>
                <w:rFonts w:ascii="Times New Roman" w:hAnsi="Times New Roman"/>
                <w:sz w:val="16"/>
              </w:rPr>
              <w:t>and</w:t>
            </w:r>
            <w:proofErr w:type="spellEnd"/>
            <w:r w:rsidRPr="00E16672">
              <w:rPr>
                <w:rFonts w:ascii="Times New Roman" w:hAnsi="Times New Roman"/>
                <w:sz w:val="16"/>
              </w:rPr>
              <w:t xml:space="preserve"> </w:t>
            </w:r>
            <w:proofErr w:type="spellStart"/>
            <w:r w:rsidRPr="00E16672">
              <w:rPr>
                <w:rFonts w:ascii="Times New Roman" w:hAnsi="Times New Roman"/>
                <w:sz w:val="16"/>
              </w:rPr>
              <w:t>timely</w:t>
            </w:r>
            <w:proofErr w:type="spellEnd"/>
            <w:r w:rsidRPr="00E16672">
              <w:rPr>
                <w:rFonts w:ascii="Times New Roman" w:hAnsi="Times New Roman"/>
                <w:sz w:val="16"/>
              </w:rPr>
              <w:t xml:space="preserve"> </w:t>
            </w:r>
            <w:proofErr w:type="spellStart"/>
            <w:r w:rsidRPr="00E16672">
              <w:rPr>
                <w:rFonts w:ascii="Times New Roman" w:hAnsi="Times New Roman"/>
                <w:sz w:val="16"/>
              </w:rPr>
              <w:t>payment</w:t>
            </w:r>
            <w:proofErr w:type="spellEnd"/>
            <w:r w:rsidRPr="00E16672">
              <w:rPr>
                <w:rFonts w:ascii="Times New Roman" w:hAnsi="Times New Roman"/>
                <w:sz w:val="16"/>
              </w:rPr>
              <w:t xml:space="preserve"> </w:t>
            </w:r>
            <w:proofErr w:type="spellStart"/>
            <w:r w:rsidRPr="00E16672">
              <w:rPr>
                <w:rFonts w:ascii="Times New Roman" w:hAnsi="Times New Roman"/>
                <w:sz w:val="16"/>
              </w:rPr>
              <w:t>of</w:t>
            </w:r>
            <w:proofErr w:type="spellEnd"/>
            <w:r w:rsidRPr="00E16672">
              <w:rPr>
                <w:rFonts w:ascii="Times New Roman" w:hAnsi="Times New Roman"/>
                <w:sz w:val="16"/>
              </w:rPr>
              <w:t xml:space="preserve"> </w:t>
            </w:r>
            <w:proofErr w:type="spellStart"/>
            <w:r w:rsidRPr="00E16672">
              <w:rPr>
                <w:rFonts w:ascii="Times New Roman" w:hAnsi="Times New Roman"/>
                <w:sz w:val="16"/>
              </w:rPr>
              <w:t>his</w:t>
            </w:r>
            <w:proofErr w:type="spellEnd"/>
            <w:r w:rsidRPr="00E16672">
              <w:rPr>
                <w:rFonts w:ascii="Times New Roman" w:hAnsi="Times New Roman"/>
                <w:sz w:val="16"/>
              </w:rPr>
              <w:t xml:space="preserve"> </w:t>
            </w:r>
            <w:proofErr w:type="spellStart"/>
            <w:r w:rsidRPr="00E16672">
              <w:rPr>
                <w:rFonts w:ascii="Times New Roman" w:hAnsi="Times New Roman"/>
                <w:sz w:val="16"/>
              </w:rPr>
              <w:t>services</w:t>
            </w:r>
            <w:proofErr w:type="spellEnd"/>
            <w:r w:rsidRPr="00E16672">
              <w:rPr>
                <w:rFonts w:ascii="Times New Roman" w:hAnsi="Times New Roman"/>
                <w:sz w:val="16"/>
              </w:rPr>
              <w:t xml:space="preserve"> </w:t>
            </w:r>
            <w:proofErr w:type="spellStart"/>
            <w:r w:rsidRPr="00E16672">
              <w:rPr>
                <w:rFonts w:ascii="Times New Roman" w:hAnsi="Times New Roman"/>
                <w:sz w:val="16"/>
              </w:rPr>
              <w:t>in</w:t>
            </w:r>
            <w:proofErr w:type="spellEnd"/>
            <w:r w:rsidRPr="00E16672">
              <w:rPr>
                <w:rFonts w:ascii="Times New Roman" w:hAnsi="Times New Roman"/>
                <w:sz w:val="16"/>
              </w:rPr>
              <w:t xml:space="preserve"> </w:t>
            </w:r>
            <w:proofErr w:type="spellStart"/>
            <w:r w:rsidRPr="00E16672">
              <w:rPr>
                <w:rFonts w:ascii="Times New Roman" w:hAnsi="Times New Roman"/>
                <w:sz w:val="16"/>
              </w:rPr>
              <w:t>accordance</w:t>
            </w:r>
            <w:proofErr w:type="spellEnd"/>
            <w:r w:rsidRPr="00E16672">
              <w:rPr>
                <w:rFonts w:ascii="Times New Roman" w:hAnsi="Times New Roman"/>
                <w:sz w:val="16"/>
              </w:rPr>
              <w:t xml:space="preserve"> </w:t>
            </w:r>
            <w:proofErr w:type="spellStart"/>
            <w:r w:rsidRPr="00E16672">
              <w:rPr>
                <w:rFonts w:ascii="Times New Roman" w:hAnsi="Times New Roman"/>
                <w:sz w:val="16"/>
              </w:rPr>
              <w:t>with</w:t>
            </w:r>
            <w:proofErr w:type="spellEnd"/>
            <w:r w:rsidRPr="00E16672">
              <w:rPr>
                <w:rFonts w:ascii="Times New Roman" w:hAnsi="Times New Roman"/>
                <w:sz w:val="16"/>
              </w:rPr>
              <w:t xml:space="preserve"> </w:t>
            </w:r>
            <w:proofErr w:type="spellStart"/>
            <w:r w:rsidRPr="00E16672">
              <w:rPr>
                <w:rFonts w:ascii="Times New Roman" w:hAnsi="Times New Roman"/>
                <w:sz w:val="16"/>
              </w:rPr>
              <w:t>the</w:t>
            </w:r>
            <w:proofErr w:type="spellEnd"/>
            <w:r w:rsidRPr="00E16672">
              <w:rPr>
                <w:rFonts w:ascii="Times New Roman" w:hAnsi="Times New Roman"/>
                <w:sz w:val="16"/>
              </w:rPr>
              <w:t xml:space="preserve"> </w:t>
            </w:r>
            <w:proofErr w:type="spellStart"/>
            <w:r w:rsidRPr="00E16672">
              <w:rPr>
                <w:rFonts w:ascii="Times New Roman" w:hAnsi="Times New Roman"/>
                <w:sz w:val="16"/>
              </w:rPr>
              <w:t>terms</w:t>
            </w:r>
            <w:proofErr w:type="spellEnd"/>
            <w:r w:rsidRPr="00E16672">
              <w:rPr>
                <w:rFonts w:ascii="Times New Roman" w:hAnsi="Times New Roman"/>
                <w:sz w:val="16"/>
              </w:rPr>
              <w:t xml:space="preserve"> </w:t>
            </w:r>
            <w:proofErr w:type="spellStart"/>
            <w:r w:rsidRPr="00E16672">
              <w:rPr>
                <w:rFonts w:ascii="Times New Roman" w:hAnsi="Times New Roman"/>
                <w:sz w:val="16"/>
              </w:rPr>
              <w:t>of</w:t>
            </w:r>
            <w:proofErr w:type="spellEnd"/>
            <w:r w:rsidRPr="00E16672">
              <w:rPr>
                <w:rFonts w:ascii="Times New Roman" w:hAnsi="Times New Roman"/>
                <w:sz w:val="16"/>
              </w:rPr>
              <w:t xml:space="preserve"> </w:t>
            </w:r>
            <w:proofErr w:type="spellStart"/>
            <w:r w:rsidRPr="00E16672">
              <w:rPr>
                <w:rFonts w:ascii="Times New Roman" w:hAnsi="Times New Roman"/>
                <w:sz w:val="16"/>
              </w:rPr>
              <w:t>this</w:t>
            </w:r>
            <w:proofErr w:type="spellEnd"/>
            <w:r w:rsidRPr="00E16672">
              <w:rPr>
                <w:rFonts w:ascii="Times New Roman" w:hAnsi="Times New Roman"/>
                <w:sz w:val="16"/>
              </w:rPr>
              <w:t xml:space="preserve"> </w:t>
            </w:r>
            <w:proofErr w:type="spellStart"/>
            <w:r w:rsidRPr="00E16672">
              <w:rPr>
                <w:rFonts w:ascii="Times New Roman" w:hAnsi="Times New Roman"/>
                <w:sz w:val="16"/>
              </w:rPr>
              <w:t>Agreement</w:t>
            </w:r>
            <w:proofErr w:type="spellEnd"/>
            <w:r w:rsidRPr="00E16672">
              <w:rPr>
                <w:rFonts w:ascii="Times New Roman" w:hAnsi="Times New Roman"/>
                <w:sz w:val="16"/>
              </w:rPr>
              <w:t xml:space="preserve"> </w:t>
            </w:r>
            <w:proofErr w:type="spellStart"/>
            <w:r w:rsidRPr="00E16672">
              <w:rPr>
                <w:rFonts w:ascii="Times New Roman" w:hAnsi="Times New Roman"/>
                <w:sz w:val="16"/>
              </w:rPr>
              <w:t>and</w:t>
            </w:r>
            <w:proofErr w:type="spellEnd"/>
            <w:r w:rsidRPr="00E16672">
              <w:rPr>
                <w:rFonts w:ascii="Times New Roman" w:hAnsi="Times New Roman"/>
                <w:sz w:val="16"/>
              </w:rPr>
              <w:t xml:space="preserve"> </w:t>
            </w:r>
            <w:proofErr w:type="spellStart"/>
            <w:r w:rsidRPr="00E16672">
              <w:rPr>
                <w:rFonts w:ascii="Times New Roman" w:hAnsi="Times New Roman"/>
                <w:sz w:val="16"/>
              </w:rPr>
              <w:t>the</w:t>
            </w:r>
            <w:proofErr w:type="spellEnd"/>
            <w:r w:rsidRPr="00E16672">
              <w:rPr>
                <w:rFonts w:ascii="Times New Roman" w:hAnsi="Times New Roman"/>
                <w:sz w:val="16"/>
              </w:rPr>
              <w:t xml:space="preserve"> </w:t>
            </w:r>
            <w:proofErr w:type="spellStart"/>
            <w:r w:rsidRPr="00E16672">
              <w:rPr>
                <w:rFonts w:ascii="Times New Roman" w:hAnsi="Times New Roman"/>
                <w:sz w:val="16"/>
              </w:rPr>
              <w:t>fees</w:t>
            </w:r>
            <w:proofErr w:type="spellEnd"/>
            <w:r w:rsidRPr="00E16672">
              <w:rPr>
                <w:rFonts w:ascii="Times New Roman" w:hAnsi="Times New Roman"/>
                <w:sz w:val="16"/>
              </w:rPr>
              <w:t xml:space="preserve"> </w:t>
            </w:r>
            <w:proofErr w:type="spellStart"/>
            <w:r w:rsidRPr="00E16672">
              <w:rPr>
                <w:rFonts w:ascii="Times New Roman" w:hAnsi="Times New Roman"/>
                <w:sz w:val="16"/>
              </w:rPr>
              <w:t>of</w:t>
            </w:r>
            <w:proofErr w:type="spellEnd"/>
            <w:r w:rsidRPr="00E16672">
              <w:rPr>
                <w:rFonts w:ascii="Times New Roman" w:hAnsi="Times New Roman"/>
                <w:sz w:val="16"/>
              </w:rPr>
              <w:t xml:space="preserve"> </w:t>
            </w:r>
            <w:proofErr w:type="spellStart"/>
            <w:r w:rsidRPr="00E16672">
              <w:rPr>
                <w:rFonts w:ascii="Times New Roman" w:hAnsi="Times New Roman"/>
                <w:sz w:val="16"/>
              </w:rPr>
              <w:t>the</w:t>
            </w:r>
            <w:proofErr w:type="spellEnd"/>
            <w:r w:rsidRPr="00E16672">
              <w:rPr>
                <w:rFonts w:ascii="Times New Roman" w:hAnsi="Times New Roman"/>
                <w:sz w:val="16"/>
              </w:rPr>
              <w:t xml:space="preserve"> </w:t>
            </w:r>
            <w:proofErr w:type="spellStart"/>
            <w:r w:rsidRPr="00E16672">
              <w:rPr>
                <w:rFonts w:ascii="Times New Roman" w:hAnsi="Times New Roman"/>
                <w:sz w:val="16"/>
              </w:rPr>
              <w:t>Depositary</w:t>
            </w:r>
            <w:proofErr w:type="spellEnd"/>
            <w:r w:rsidRPr="00E16672">
              <w:rPr>
                <w:rFonts w:ascii="Times New Roman" w:hAnsi="Times New Roman"/>
                <w:sz w:val="16"/>
              </w:rPr>
              <w:t xml:space="preserve">. </w:t>
            </w:r>
            <w:proofErr w:type="spellStart"/>
            <w:r w:rsidRPr="00E16672">
              <w:rPr>
                <w:rFonts w:ascii="Times New Roman" w:hAnsi="Times New Roman"/>
                <w:sz w:val="16"/>
                <w:szCs w:val="16"/>
              </w:rPr>
              <w:t>Refuse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in</w:t>
            </w:r>
            <w:proofErr w:type="spellEnd"/>
            <w:r w:rsidRPr="00E16672">
              <w:rPr>
                <w:rFonts w:ascii="Times New Roman" w:hAnsi="Times New Roman"/>
                <w:sz w:val="16"/>
                <w:szCs w:val="16"/>
              </w:rPr>
              <w:t xml:space="preserve"> </w:t>
            </w:r>
            <w:r w:rsidRPr="00E16672">
              <w:rPr>
                <w:rFonts w:ascii="Times New Roman" w:hAnsi="Times New Roman"/>
                <w:sz w:val="16"/>
                <w:szCs w:val="16"/>
                <w:lang w:val="en-US"/>
              </w:rPr>
              <w:t>taking</w:t>
            </w:r>
            <w:r w:rsidRPr="00E16672">
              <w:rPr>
                <w:rFonts w:ascii="Times New Roman" w:hAnsi="Times New Roman"/>
                <w:sz w:val="16"/>
                <w:szCs w:val="16"/>
              </w:rPr>
              <w:t xml:space="preserve"> </w:t>
            </w:r>
            <w:proofErr w:type="spellStart"/>
            <w:r w:rsidRPr="00E16672">
              <w:rPr>
                <w:rFonts w:ascii="Times New Roman" w:hAnsi="Times New Roman"/>
                <w:sz w:val="16"/>
                <w:szCs w:val="16"/>
              </w:rPr>
              <w:t>to</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fulfill</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orders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in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event</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of</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non-payment</w:t>
            </w:r>
            <w:proofErr w:type="spellEnd"/>
            <w:r w:rsidRPr="00E16672">
              <w:rPr>
                <w:rStyle w:val="hps"/>
                <w:rFonts w:ascii="Times New Roman" w:hAnsi="Times New Roman"/>
              </w:rPr>
              <w:t xml:space="preserve"> </w:t>
            </w:r>
            <w:proofErr w:type="spellStart"/>
            <w:r w:rsidRPr="00E16672">
              <w:rPr>
                <w:rFonts w:ascii="Times New Roman" w:hAnsi="Times New Roman"/>
                <w:sz w:val="16"/>
                <w:szCs w:val="16"/>
              </w:rPr>
              <w:t>by</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Depositor</w:t>
            </w:r>
            <w:proofErr w:type="spellEnd"/>
            <w:r w:rsidRPr="00E16672">
              <w:rPr>
                <w:rFonts w:ascii="Times New Roman" w:hAnsi="Times New Roman"/>
                <w:sz w:val="16"/>
                <w:szCs w:val="16"/>
              </w:rPr>
              <w:t xml:space="preserve"> </w:t>
            </w:r>
            <w:r w:rsidRPr="00E16672">
              <w:rPr>
                <w:rFonts w:ascii="Times New Roman" w:hAnsi="Times New Roman"/>
                <w:sz w:val="16"/>
                <w:szCs w:val="16"/>
                <w:lang w:val="en-US"/>
              </w:rPr>
              <w:t>depositary</w:t>
            </w:r>
            <w:r w:rsidRPr="00E16672">
              <w:rPr>
                <w:rFonts w:ascii="Times New Roman" w:hAnsi="Times New Roman"/>
                <w:sz w:val="16"/>
                <w:szCs w:val="16"/>
              </w:rPr>
              <w:t xml:space="preserve"> </w:t>
            </w:r>
            <w:proofErr w:type="spellStart"/>
            <w:r w:rsidRPr="00E16672">
              <w:rPr>
                <w:rFonts w:ascii="Times New Roman" w:hAnsi="Times New Roman"/>
                <w:sz w:val="16"/>
                <w:szCs w:val="16"/>
              </w:rPr>
              <w:t>services</w:t>
            </w:r>
            <w:proofErr w:type="spellEnd"/>
            <w:r w:rsidRPr="00E16672">
              <w:rPr>
                <w:rFonts w:ascii="Times New Roman" w:hAnsi="Times New Roman"/>
                <w:sz w:val="16"/>
                <w:szCs w:val="16"/>
              </w:rPr>
              <w:t xml:space="preserve">. </w:t>
            </w:r>
            <w:proofErr w:type="spellStart"/>
            <w:r w:rsidRPr="00E16672">
              <w:rPr>
                <w:rFonts w:ascii="Times New Roman" w:hAnsi="Times New Roman"/>
                <w:sz w:val="16"/>
              </w:rPr>
              <w:t>Suspend</w:t>
            </w:r>
            <w:proofErr w:type="spellEnd"/>
            <w:r w:rsidRPr="00E16672">
              <w:rPr>
                <w:rFonts w:ascii="Times New Roman" w:hAnsi="Times New Roman"/>
                <w:sz w:val="16"/>
              </w:rPr>
              <w:t xml:space="preserve"> </w:t>
            </w:r>
            <w:proofErr w:type="spellStart"/>
            <w:r w:rsidRPr="00E16672">
              <w:rPr>
                <w:rFonts w:ascii="Times New Roman" w:hAnsi="Times New Roman"/>
                <w:sz w:val="16"/>
              </w:rPr>
              <w:t>servicing</w:t>
            </w:r>
            <w:proofErr w:type="spellEnd"/>
            <w:r w:rsidRPr="00E16672">
              <w:rPr>
                <w:rFonts w:ascii="Times New Roman" w:hAnsi="Times New Roman"/>
                <w:sz w:val="16"/>
              </w:rPr>
              <w:t xml:space="preserve"> </w:t>
            </w:r>
            <w:proofErr w:type="spellStart"/>
            <w:r w:rsidRPr="00E16672">
              <w:rPr>
                <w:rFonts w:ascii="Times New Roman" w:hAnsi="Times New Roman"/>
                <w:sz w:val="16"/>
              </w:rPr>
              <w:t>of</w:t>
            </w:r>
            <w:proofErr w:type="spellEnd"/>
            <w:r w:rsidRPr="00E16672">
              <w:rPr>
                <w:rFonts w:ascii="Times New Roman" w:hAnsi="Times New Roman"/>
                <w:sz w:val="16"/>
              </w:rPr>
              <w:t xml:space="preserve"> </w:t>
            </w:r>
            <w:proofErr w:type="spellStart"/>
            <w:r w:rsidRPr="00E16672">
              <w:rPr>
                <w:rFonts w:ascii="Times New Roman" w:hAnsi="Times New Roman"/>
                <w:sz w:val="16"/>
              </w:rPr>
              <w:t>the</w:t>
            </w:r>
            <w:proofErr w:type="spellEnd"/>
            <w:r w:rsidRPr="00E16672">
              <w:rPr>
                <w:rFonts w:ascii="Times New Roman" w:hAnsi="Times New Roman"/>
                <w:sz w:val="16"/>
              </w:rPr>
              <w:t xml:space="preserve"> </w:t>
            </w:r>
            <w:proofErr w:type="spellStart"/>
            <w:r w:rsidRPr="00E16672">
              <w:rPr>
                <w:rFonts w:ascii="Times New Roman" w:hAnsi="Times New Roman"/>
                <w:sz w:val="16"/>
              </w:rPr>
              <w:t>securities</w:t>
            </w:r>
            <w:proofErr w:type="spellEnd"/>
            <w:r w:rsidRPr="00E16672">
              <w:rPr>
                <w:rFonts w:ascii="Times New Roman" w:hAnsi="Times New Roman"/>
                <w:sz w:val="16"/>
              </w:rPr>
              <w:t xml:space="preserve"> </w:t>
            </w:r>
            <w:proofErr w:type="spellStart"/>
            <w:r w:rsidRPr="00E16672">
              <w:rPr>
                <w:rFonts w:ascii="Times New Roman" w:hAnsi="Times New Roman"/>
                <w:sz w:val="16"/>
              </w:rPr>
              <w:t>account</w:t>
            </w:r>
            <w:proofErr w:type="spellEnd"/>
            <w:r w:rsidRPr="00E16672">
              <w:rPr>
                <w:rFonts w:ascii="Times New Roman" w:hAnsi="Times New Roman"/>
                <w:sz w:val="16"/>
              </w:rPr>
              <w:t xml:space="preserve"> </w:t>
            </w:r>
            <w:proofErr w:type="spellStart"/>
            <w:r w:rsidRPr="00E16672">
              <w:rPr>
                <w:rFonts w:ascii="Times New Roman" w:hAnsi="Times New Roman"/>
                <w:sz w:val="16"/>
              </w:rPr>
              <w:t>of</w:t>
            </w:r>
            <w:proofErr w:type="spellEnd"/>
            <w:r w:rsidRPr="00E16672">
              <w:rPr>
                <w:rFonts w:ascii="Times New Roman" w:hAnsi="Times New Roman"/>
                <w:sz w:val="16"/>
              </w:rPr>
              <w:t xml:space="preserve"> </w:t>
            </w:r>
            <w:proofErr w:type="spellStart"/>
            <w:r w:rsidRPr="00E16672">
              <w:rPr>
                <w:rFonts w:ascii="Times New Roman" w:hAnsi="Times New Roman"/>
                <w:sz w:val="16"/>
              </w:rPr>
              <w:t>the</w:t>
            </w:r>
            <w:proofErr w:type="spellEnd"/>
            <w:r w:rsidRPr="00E16672">
              <w:rPr>
                <w:rFonts w:ascii="Times New Roman" w:hAnsi="Times New Roman"/>
                <w:sz w:val="16"/>
              </w:rPr>
              <w:t xml:space="preserve"> </w:t>
            </w:r>
            <w:proofErr w:type="spellStart"/>
            <w:r w:rsidRPr="00E16672">
              <w:rPr>
                <w:rFonts w:ascii="Times New Roman" w:hAnsi="Times New Roman"/>
                <w:sz w:val="16"/>
              </w:rPr>
              <w:t>Depositor</w:t>
            </w:r>
            <w:proofErr w:type="spellEnd"/>
            <w:r w:rsidRPr="00E16672">
              <w:rPr>
                <w:rFonts w:ascii="Times New Roman" w:hAnsi="Times New Roman"/>
                <w:sz w:val="16"/>
              </w:rPr>
              <w:t xml:space="preserve"> </w:t>
            </w:r>
            <w:proofErr w:type="spellStart"/>
            <w:r w:rsidRPr="00E16672">
              <w:rPr>
                <w:rFonts w:ascii="Times New Roman" w:hAnsi="Times New Roman"/>
                <w:sz w:val="16"/>
              </w:rPr>
              <w:t>in</w:t>
            </w:r>
            <w:proofErr w:type="spellEnd"/>
            <w:r w:rsidRPr="00E16672">
              <w:rPr>
                <w:rFonts w:ascii="Times New Roman" w:hAnsi="Times New Roman"/>
                <w:sz w:val="16"/>
              </w:rPr>
              <w:t xml:space="preserve"> </w:t>
            </w:r>
            <w:proofErr w:type="spellStart"/>
            <w:r w:rsidRPr="00E16672">
              <w:rPr>
                <w:rFonts w:ascii="Times New Roman" w:hAnsi="Times New Roman"/>
                <w:sz w:val="16"/>
              </w:rPr>
              <w:t>case</w:t>
            </w:r>
            <w:proofErr w:type="spellEnd"/>
            <w:r w:rsidRPr="00E16672">
              <w:rPr>
                <w:rFonts w:ascii="Times New Roman" w:hAnsi="Times New Roman"/>
                <w:sz w:val="16"/>
              </w:rPr>
              <w:t xml:space="preserve"> </w:t>
            </w:r>
            <w:proofErr w:type="spellStart"/>
            <w:r w:rsidRPr="00E16672">
              <w:rPr>
                <w:rFonts w:ascii="Times New Roman" w:hAnsi="Times New Roman"/>
                <w:sz w:val="16"/>
              </w:rPr>
              <w:t>of</w:t>
            </w:r>
            <w:proofErr w:type="spellEnd"/>
            <w:r w:rsidRPr="00E16672">
              <w:rPr>
                <w:rFonts w:ascii="Times New Roman" w:hAnsi="Times New Roman"/>
                <w:sz w:val="16"/>
              </w:rPr>
              <w:t xml:space="preserve"> </w:t>
            </w:r>
            <w:proofErr w:type="spellStart"/>
            <w:r w:rsidRPr="00E16672">
              <w:rPr>
                <w:rFonts w:ascii="Times New Roman" w:hAnsi="Times New Roman"/>
                <w:sz w:val="16"/>
              </w:rPr>
              <w:t>breach</w:t>
            </w:r>
            <w:proofErr w:type="spellEnd"/>
            <w:r w:rsidRPr="00E16672">
              <w:rPr>
                <w:rFonts w:ascii="Times New Roman" w:hAnsi="Times New Roman"/>
                <w:sz w:val="16"/>
              </w:rPr>
              <w:t xml:space="preserve"> </w:t>
            </w:r>
            <w:proofErr w:type="spellStart"/>
            <w:r w:rsidRPr="00E16672">
              <w:rPr>
                <w:rFonts w:ascii="Times New Roman" w:hAnsi="Times New Roman"/>
                <w:sz w:val="16"/>
              </w:rPr>
              <w:t>by</w:t>
            </w:r>
            <w:proofErr w:type="spellEnd"/>
            <w:r w:rsidRPr="00E16672">
              <w:rPr>
                <w:rFonts w:ascii="Times New Roman" w:hAnsi="Times New Roman"/>
                <w:sz w:val="16"/>
              </w:rPr>
              <w:t xml:space="preserve"> </w:t>
            </w:r>
            <w:proofErr w:type="spellStart"/>
            <w:r w:rsidRPr="00E16672">
              <w:rPr>
                <w:rFonts w:ascii="Times New Roman" w:hAnsi="Times New Roman"/>
                <w:sz w:val="16"/>
              </w:rPr>
              <w:t>the</w:t>
            </w:r>
            <w:proofErr w:type="spellEnd"/>
            <w:r w:rsidRPr="00E16672">
              <w:rPr>
                <w:rFonts w:ascii="Times New Roman" w:hAnsi="Times New Roman"/>
                <w:sz w:val="16"/>
              </w:rPr>
              <w:t xml:space="preserve"> </w:t>
            </w:r>
            <w:proofErr w:type="spellStart"/>
            <w:r w:rsidRPr="00E16672">
              <w:rPr>
                <w:rFonts w:ascii="Times New Roman" w:hAnsi="Times New Roman"/>
                <w:sz w:val="16"/>
              </w:rPr>
              <w:t>Depositor</w:t>
            </w:r>
            <w:proofErr w:type="spellEnd"/>
            <w:r w:rsidRPr="00E16672">
              <w:rPr>
                <w:rFonts w:ascii="Times New Roman" w:hAnsi="Times New Roman"/>
                <w:sz w:val="16"/>
              </w:rPr>
              <w:t xml:space="preserve"> </w:t>
            </w:r>
            <w:proofErr w:type="spellStart"/>
            <w:r w:rsidRPr="00E16672">
              <w:rPr>
                <w:rFonts w:ascii="Times New Roman" w:hAnsi="Times New Roman"/>
                <w:sz w:val="16"/>
              </w:rPr>
              <w:t>of</w:t>
            </w:r>
            <w:proofErr w:type="spellEnd"/>
            <w:r w:rsidRPr="00E16672">
              <w:rPr>
                <w:rFonts w:ascii="Times New Roman" w:hAnsi="Times New Roman"/>
                <w:sz w:val="16"/>
              </w:rPr>
              <w:t xml:space="preserve"> </w:t>
            </w:r>
            <w:proofErr w:type="spellStart"/>
            <w:r w:rsidRPr="00E16672">
              <w:rPr>
                <w:rFonts w:ascii="Times New Roman" w:hAnsi="Times New Roman"/>
                <w:sz w:val="16"/>
              </w:rPr>
              <w:t>this</w:t>
            </w:r>
            <w:proofErr w:type="spellEnd"/>
            <w:r w:rsidRPr="00E16672">
              <w:rPr>
                <w:rFonts w:ascii="Times New Roman" w:hAnsi="Times New Roman"/>
                <w:sz w:val="16"/>
              </w:rPr>
              <w:t xml:space="preserve"> </w:t>
            </w:r>
            <w:proofErr w:type="spellStart"/>
            <w:r w:rsidRPr="00E16672">
              <w:rPr>
                <w:rFonts w:ascii="Times New Roman" w:hAnsi="Times New Roman"/>
                <w:sz w:val="16"/>
              </w:rPr>
              <w:t>Agreement</w:t>
            </w:r>
            <w:proofErr w:type="spellEnd"/>
            <w:r w:rsidRPr="00E16672">
              <w:rPr>
                <w:rFonts w:ascii="Times New Roman" w:hAnsi="Times New Roman"/>
                <w:sz w:val="16"/>
              </w:rPr>
              <w:t xml:space="preserve"> </w:t>
            </w:r>
            <w:proofErr w:type="spellStart"/>
            <w:r w:rsidRPr="00E16672">
              <w:rPr>
                <w:rFonts w:ascii="Times New Roman" w:hAnsi="Times New Roman"/>
                <w:sz w:val="16"/>
              </w:rPr>
              <w:t>for</w:t>
            </w:r>
            <w:proofErr w:type="spellEnd"/>
            <w:r w:rsidRPr="00E16672">
              <w:rPr>
                <w:rFonts w:ascii="Times New Roman" w:hAnsi="Times New Roman"/>
                <w:sz w:val="16"/>
              </w:rPr>
              <w:t xml:space="preserve"> </w:t>
            </w:r>
            <w:proofErr w:type="spellStart"/>
            <w:r w:rsidRPr="00E16672">
              <w:rPr>
                <w:rFonts w:ascii="Times New Roman" w:hAnsi="Times New Roman"/>
                <w:sz w:val="16"/>
              </w:rPr>
              <w:t>the</w:t>
            </w:r>
            <w:proofErr w:type="spellEnd"/>
            <w:r w:rsidRPr="00E16672">
              <w:rPr>
                <w:rFonts w:ascii="Times New Roman" w:hAnsi="Times New Roman"/>
                <w:sz w:val="16"/>
              </w:rPr>
              <w:t xml:space="preserve"> </w:t>
            </w:r>
            <w:proofErr w:type="spellStart"/>
            <w:r w:rsidRPr="00E16672">
              <w:rPr>
                <w:rFonts w:ascii="Times New Roman" w:hAnsi="Times New Roman"/>
                <w:sz w:val="16"/>
              </w:rPr>
              <w:t>payment</w:t>
            </w:r>
            <w:proofErr w:type="spellEnd"/>
            <w:r w:rsidRPr="00E16672">
              <w:rPr>
                <w:rFonts w:ascii="Times New Roman" w:hAnsi="Times New Roman"/>
                <w:sz w:val="16"/>
              </w:rPr>
              <w:t xml:space="preserve"> </w:t>
            </w:r>
            <w:proofErr w:type="spellStart"/>
            <w:r w:rsidRPr="00E16672">
              <w:rPr>
                <w:rFonts w:ascii="Times New Roman" w:hAnsi="Times New Roman"/>
                <w:sz w:val="16"/>
              </w:rPr>
              <w:t>of</w:t>
            </w:r>
            <w:proofErr w:type="spellEnd"/>
            <w:r w:rsidRPr="00E16672">
              <w:rPr>
                <w:rFonts w:ascii="Times New Roman" w:hAnsi="Times New Roman"/>
                <w:sz w:val="16"/>
              </w:rPr>
              <w:t xml:space="preserve"> </w:t>
            </w:r>
            <w:proofErr w:type="spellStart"/>
            <w:r w:rsidRPr="00E16672">
              <w:rPr>
                <w:rFonts w:ascii="Times New Roman" w:hAnsi="Times New Roman"/>
                <w:sz w:val="16"/>
              </w:rPr>
              <w:t>the</w:t>
            </w:r>
            <w:proofErr w:type="spellEnd"/>
            <w:r w:rsidRPr="00E16672">
              <w:rPr>
                <w:rFonts w:ascii="Times New Roman" w:hAnsi="Times New Roman"/>
                <w:sz w:val="16"/>
              </w:rPr>
              <w:t xml:space="preserve"> </w:t>
            </w:r>
            <w:proofErr w:type="spellStart"/>
            <w:r w:rsidRPr="00E16672">
              <w:rPr>
                <w:rFonts w:ascii="Times New Roman" w:hAnsi="Times New Roman"/>
                <w:sz w:val="16"/>
              </w:rPr>
              <w:t>services</w:t>
            </w:r>
            <w:proofErr w:type="spellEnd"/>
            <w:r w:rsidRPr="00E16672">
              <w:rPr>
                <w:rFonts w:ascii="Times New Roman" w:hAnsi="Times New Roman"/>
                <w:sz w:val="16"/>
              </w:rPr>
              <w:t xml:space="preserve"> </w:t>
            </w:r>
            <w:proofErr w:type="spellStart"/>
            <w:r w:rsidRPr="00E16672">
              <w:rPr>
                <w:rFonts w:ascii="Times New Roman" w:hAnsi="Times New Roman"/>
                <w:sz w:val="16"/>
              </w:rPr>
              <w:t>of</w:t>
            </w:r>
            <w:proofErr w:type="spellEnd"/>
            <w:r w:rsidRPr="00E16672">
              <w:rPr>
                <w:rFonts w:ascii="Times New Roman" w:hAnsi="Times New Roman"/>
                <w:sz w:val="16"/>
              </w:rPr>
              <w:t xml:space="preserve"> </w:t>
            </w:r>
            <w:proofErr w:type="spellStart"/>
            <w:r w:rsidRPr="00E16672">
              <w:rPr>
                <w:rFonts w:ascii="Times New Roman" w:hAnsi="Times New Roman"/>
                <w:sz w:val="16"/>
              </w:rPr>
              <w:t>the</w:t>
            </w:r>
            <w:proofErr w:type="spellEnd"/>
            <w:r w:rsidRPr="00E16672">
              <w:rPr>
                <w:rFonts w:ascii="Times New Roman" w:hAnsi="Times New Roman"/>
                <w:sz w:val="16"/>
              </w:rPr>
              <w:t xml:space="preserve"> </w:t>
            </w:r>
            <w:proofErr w:type="spellStart"/>
            <w:r w:rsidRPr="00E16672">
              <w:rPr>
                <w:rFonts w:ascii="Times New Roman" w:hAnsi="Times New Roman"/>
                <w:sz w:val="16"/>
              </w:rPr>
              <w:t>Depositary</w:t>
            </w:r>
            <w:proofErr w:type="spellEnd"/>
            <w:r w:rsidRPr="00E16672">
              <w:rPr>
                <w:rFonts w:ascii="Times New Roman" w:hAnsi="Times New Roman"/>
                <w:sz w:val="16"/>
              </w:rPr>
              <w:t>.</w:t>
            </w:r>
          </w:p>
          <w:p w14:paraId="477B65D1" w14:textId="77777777" w:rsidR="005C5318" w:rsidRPr="00E16672" w:rsidRDefault="005C5318" w:rsidP="005C5318">
            <w:pPr>
              <w:pStyle w:val="210"/>
              <w:snapToGrid w:val="0"/>
              <w:ind w:left="175" w:right="138" w:firstLine="7"/>
              <w:rPr>
                <w:rFonts w:ascii="Times New Roman" w:hAnsi="Times New Roman"/>
                <w:sz w:val="16"/>
              </w:rPr>
            </w:pPr>
          </w:p>
          <w:p w14:paraId="63FDDD96" w14:textId="77777777" w:rsidR="005C5318" w:rsidRPr="00E16672" w:rsidRDefault="005C5318" w:rsidP="005C5318">
            <w:pPr>
              <w:widowControl w:val="0"/>
              <w:tabs>
                <w:tab w:val="left" w:pos="540"/>
              </w:tabs>
              <w:snapToGrid w:val="0"/>
              <w:ind w:left="175" w:right="138" w:firstLine="7"/>
              <w:rPr>
                <w:rFonts w:ascii="Times New Roman" w:hAnsi="Times New Roman"/>
                <w:color w:val="000000"/>
                <w:sz w:val="16"/>
                <w:szCs w:val="16"/>
                <w:lang w:val="uk-UA"/>
              </w:rPr>
            </w:pPr>
            <w:r w:rsidRPr="00E16672">
              <w:rPr>
                <w:rFonts w:ascii="Times New Roman" w:hAnsi="Times New Roman"/>
                <w:color w:val="000000"/>
                <w:sz w:val="16"/>
                <w:szCs w:val="16"/>
                <w:lang w:val="uk-UA"/>
              </w:rPr>
              <w:t xml:space="preserve">2.2.13. </w:t>
            </w:r>
            <w:proofErr w:type="spellStart"/>
            <w:r w:rsidRPr="00E16672">
              <w:rPr>
                <w:rFonts w:ascii="Times New Roman" w:hAnsi="Times New Roman"/>
                <w:color w:val="000000"/>
                <w:sz w:val="16"/>
                <w:szCs w:val="16"/>
                <w:lang w:val="uk-UA"/>
              </w:rPr>
              <w:t>To</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provide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the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Depositor</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with</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an</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extract</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from</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the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securities</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account</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of</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the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Depositor</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on</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the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state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of</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the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securities</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account</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of</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the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depositor</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by</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the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end</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of</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the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previous</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year</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and</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on</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operations</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with</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securities</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for</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the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previous</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year</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once</w:t>
            </w:r>
            <w:proofErr w:type="spellEnd"/>
            <w:r w:rsidRPr="00E16672">
              <w:rPr>
                <w:rFonts w:ascii="Times New Roman" w:hAnsi="Times New Roman"/>
                <w:color w:val="000000"/>
                <w:sz w:val="16"/>
                <w:szCs w:val="16"/>
                <w:lang w:val="uk-UA"/>
              </w:rPr>
              <w:t xml:space="preserve"> a </w:t>
            </w:r>
            <w:proofErr w:type="spellStart"/>
            <w:r w:rsidRPr="00E16672">
              <w:rPr>
                <w:rFonts w:ascii="Times New Roman" w:hAnsi="Times New Roman"/>
                <w:color w:val="000000"/>
                <w:sz w:val="16"/>
                <w:szCs w:val="16"/>
                <w:lang w:val="uk-UA"/>
              </w:rPr>
              <w:t>year</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without</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the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request</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instruction</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of</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the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Depositor</w:t>
            </w:r>
            <w:proofErr w:type="spellEnd"/>
            <w:r w:rsidRPr="00E16672">
              <w:rPr>
                <w:rFonts w:ascii="Times New Roman" w:hAnsi="Times New Roman"/>
                <w:color w:val="000000"/>
                <w:sz w:val="16"/>
                <w:szCs w:val="16"/>
                <w:lang w:val="uk-UA"/>
              </w:rPr>
              <w:t>.</w:t>
            </w:r>
          </w:p>
          <w:p w14:paraId="1D2ABB74" w14:textId="77777777" w:rsidR="005C5318" w:rsidRPr="00E16672" w:rsidRDefault="005C5318" w:rsidP="005C5318">
            <w:pPr>
              <w:pStyle w:val="210"/>
              <w:snapToGrid w:val="0"/>
              <w:ind w:left="175" w:right="138" w:firstLine="7"/>
              <w:rPr>
                <w:rFonts w:ascii="Times New Roman" w:hAnsi="Times New Roman"/>
                <w:sz w:val="16"/>
                <w:szCs w:val="16"/>
              </w:rPr>
            </w:pPr>
          </w:p>
        </w:tc>
      </w:tr>
      <w:tr w:rsidR="0041560F" w:rsidRPr="00F23413" w14:paraId="7F9654A1" w14:textId="77777777" w:rsidTr="005E418B">
        <w:trPr>
          <w:trHeight w:val="192"/>
        </w:trPr>
        <w:tc>
          <w:tcPr>
            <w:tcW w:w="5695" w:type="dxa"/>
            <w:gridSpan w:val="6"/>
            <w:shd w:val="clear" w:color="auto" w:fill="auto"/>
          </w:tcPr>
          <w:p w14:paraId="1DC74F09" w14:textId="4D05D5E2" w:rsidR="0041560F" w:rsidRPr="0041560F" w:rsidRDefault="0041560F" w:rsidP="0041560F">
            <w:pPr>
              <w:widowControl w:val="0"/>
              <w:tabs>
                <w:tab w:val="left" w:pos="540"/>
              </w:tabs>
              <w:snapToGrid w:val="0"/>
              <w:ind w:left="175" w:right="138" w:firstLine="7"/>
              <w:rPr>
                <w:rFonts w:ascii="Times New Roman" w:hAnsi="Times New Roman"/>
                <w:color w:val="000000"/>
                <w:sz w:val="16"/>
                <w:szCs w:val="16"/>
                <w:lang w:val="uk-UA"/>
              </w:rPr>
            </w:pPr>
            <w:r w:rsidRPr="0041560F">
              <w:rPr>
                <w:rFonts w:ascii="Times New Roman" w:hAnsi="Times New Roman"/>
                <w:color w:val="000000"/>
                <w:sz w:val="16"/>
                <w:szCs w:val="16"/>
                <w:lang w:val="uk-UA"/>
              </w:rPr>
              <w:t xml:space="preserve">2.2.14. Вимагати від Депонента надання документів та іншої </w:t>
            </w:r>
            <w:proofErr w:type="spellStart"/>
            <w:r w:rsidRPr="0041560F">
              <w:rPr>
                <w:rFonts w:ascii="Times New Roman" w:hAnsi="Times New Roman"/>
                <w:color w:val="000000"/>
                <w:sz w:val="16"/>
                <w:szCs w:val="16"/>
                <w:lang w:val="uk-UA"/>
              </w:rPr>
              <w:t>інформаціі</w:t>
            </w:r>
            <w:proofErr w:type="spellEnd"/>
            <w:r w:rsidRPr="0041560F">
              <w:rPr>
                <w:rFonts w:ascii="Times New Roman" w:hAnsi="Times New Roman"/>
                <w:color w:val="000000"/>
                <w:sz w:val="16"/>
                <w:szCs w:val="16"/>
                <w:lang w:val="uk-UA"/>
              </w:rPr>
              <w:t xml:space="preserve">, необхідної для перевірки Депозитарною установою відповідно до вимог Податкового кодексу України статусу податкового </w:t>
            </w:r>
            <w:proofErr w:type="spellStart"/>
            <w:r w:rsidRPr="0041560F">
              <w:rPr>
                <w:rFonts w:ascii="Times New Roman" w:hAnsi="Times New Roman"/>
                <w:color w:val="000000"/>
                <w:sz w:val="16"/>
                <w:szCs w:val="16"/>
                <w:lang w:val="uk-UA"/>
              </w:rPr>
              <w:t>резидентства</w:t>
            </w:r>
            <w:proofErr w:type="spellEnd"/>
            <w:r w:rsidRPr="0041560F">
              <w:rPr>
                <w:rFonts w:ascii="Times New Roman" w:hAnsi="Times New Roman"/>
                <w:color w:val="000000"/>
                <w:sz w:val="16"/>
                <w:szCs w:val="16"/>
                <w:lang w:val="uk-UA"/>
              </w:rPr>
              <w:t xml:space="preserve"> Депонента та/або його кінцевих </w:t>
            </w:r>
            <w:proofErr w:type="spellStart"/>
            <w:r w:rsidRPr="0041560F">
              <w:rPr>
                <w:rFonts w:ascii="Times New Roman" w:hAnsi="Times New Roman"/>
                <w:color w:val="000000"/>
                <w:sz w:val="16"/>
                <w:szCs w:val="16"/>
                <w:lang w:val="uk-UA"/>
              </w:rPr>
              <w:t>бенефіціарних</w:t>
            </w:r>
            <w:proofErr w:type="spellEnd"/>
            <w:r w:rsidRPr="0041560F">
              <w:rPr>
                <w:rFonts w:ascii="Times New Roman" w:hAnsi="Times New Roman"/>
                <w:color w:val="000000"/>
                <w:sz w:val="16"/>
                <w:szCs w:val="16"/>
                <w:lang w:val="uk-UA"/>
              </w:rPr>
              <w:t xml:space="preserve"> власників.</w:t>
            </w:r>
          </w:p>
        </w:tc>
        <w:tc>
          <w:tcPr>
            <w:tcW w:w="5495" w:type="dxa"/>
            <w:gridSpan w:val="6"/>
            <w:shd w:val="clear" w:color="auto" w:fill="auto"/>
          </w:tcPr>
          <w:p w14:paraId="73EB1B09" w14:textId="77777777" w:rsidR="0041560F" w:rsidRPr="0041560F" w:rsidRDefault="0041560F" w:rsidP="0041560F">
            <w:pPr>
              <w:pStyle w:val="210"/>
              <w:widowControl w:val="0"/>
              <w:tabs>
                <w:tab w:val="left" w:pos="540"/>
              </w:tabs>
              <w:snapToGrid w:val="0"/>
              <w:ind w:left="175" w:right="138" w:firstLine="7"/>
              <w:rPr>
                <w:rFonts w:ascii="Times New Roman" w:hAnsi="Times New Roman"/>
                <w:color w:val="000000"/>
                <w:sz w:val="16"/>
                <w:szCs w:val="16"/>
              </w:rPr>
            </w:pPr>
            <w:r w:rsidRPr="0041560F">
              <w:rPr>
                <w:rFonts w:ascii="Times New Roman" w:hAnsi="Times New Roman"/>
                <w:color w:val="000000"/>
                <w:sz w:val="16"/>
                <w:szCs w:val="16"/>
              </w:rPr>
              <w:t xml:space="preserve">2.2.14 To demand from the Depositor </w:t>
            </w:r>
            <w:proofErr w:type="spellStart"/>
            <w:r w:rsidRPr="0041560F">
              <w:rPr>
                <w:rFonts w:ascii="Times New Roman" w:hAnsi="Times New Roman"/>
                <w:color w:val="000000"/>
                <w:sz w:val="16"/>
                <w:szCs w:val="16"/>
              </w:rPr>
              <w:t>providштп</w:t>
            </w:r>
            <w:proofErr w:type="spellEnd"/>
            <w:r w:rsidRPr="0041560F">
              <w:rPr>
                <w:rFonts w:ascii="Times New Roman" w:hAnsi="Times New Roman"/>
                <w:color w:val="000000"/>
                <w:sz w:val="16"/>
                <w:szCs w:val="16"/>
              </w:rPr>
              <w:t xml:space="preserve"> documents and other information necessary to </w:t>
            </w:r>
            <w:proofErr w:type="spellStart"/>
            <w:r w:rsidRPr="0041560F">
              <w:rPr>
                <w:rFonts w:ascii="Times New Roman" w:hAnsi="Times New Roman"/>
                <w:color w:val="000000"/>
                <w:sz w:val="16"/>
                <w:szCs w:val="16"/>
              </w:rPr>
              <w:t>verificat</w:t>
            </w:r>
            <w:proofErr w:type="spellEnd"/>
            <w:r w:rsidRPr="0041560F">
              <w:rPr>
                <w:rFonts w:ascii="Times New Roman" w:hAnsi="Times New Roman"/>
                <w:color w:val="000000"/>
                <w:sz w:val="16"/>
                <w:szCs w:val="16"/>
              </w:rPr>
              <w:t>e by the Depository Institution in accordance with the requirements of the Tax Code of Ukraine of the status of taxpayer residence status of Depositor and / or its beneficial owners.</w:t>
            </w:r>
          </w:p>
          <w:p w14:paraId="022FD1F5" w14:textId="77777777" w:rsidR="0041560F" w:rsidRPr="0041560F" w:rsidRDefault="0041560F" w:rsidP="0041560F">
            <w:pPr>
              <w:pStyle w:val="210"/>
              <w:snapToGrid w:val="0"/>
              <w:ind w:left="175" w:right="138" w:firstLine="7"/>
              <w:rPr>
                <w:rFonts w:ascii="Times New Roman" w:hAnsi="Times New Roman"/>
                <w:color w:val="000000"/>
                <w:sz w:val="16"/>
                <w:szCs w:val="16"/>
              </w:rPr>
            </w:pPr>
          </w:p>
        </w:tc>
      </w:tr>
      <w:tr w:rsidR="0041560F" w:rsidRPr="00F23413" w14:paraId="48192440" w14:textId="77777777" w:rsidTr="005E418B">
        <w:trPr>
          <w:trHeight w:val="192"/>
        </w:trPr>
        <w:tc>
          <w:tcPr>
            <w:tcW w:w="5695" w:type="dxa"/>
            <w:gridSpan w:val="6"/>
            <w:shd w:val="clear" w:color="auto" w:fill="auto"/>
          </w:tcPr>
          <w:p w14:paraId="1D79239B" w14:textId="77777777" w:rsidR="0041560F" w:rsidRPr="0041560F" w:rsidRDefault="0041560F" w:rsidP="0041560F">
            <w:pPr>
              <w:widowControl w:val="0"/>
              <w:tabs>
                <w:tab w:val="left" w:pos="540"/>
              </w:tabs>
              <w:snapToGrid w:val="0"/>
              <w:ind w:left="175" w:right="138" w:firstLine="7"/>
              <w:rPr>
                <w:rFonts w:ascii="Times New Roman" w:hAnsi="Times New Roman"/>
                <w:color w:val="000000"/>
                <w:sz w:val="16"/>
                <w:szCs w:val="16"/>
                <w:lang w:val="uk-UA"/>
              </w:rPr>
            </w:pPr>
            <w:r w:rsidRPr="0041560F">
              <w:rPr>
                <w:rFonts w:ascii="Times New Roman" w:hAnsi="Times New Roman"/>
                <w:color w:val="000000"/>
                <w:sz w:val="16"/>
                <w:szCs w:val="16"/>
                <w:lang w:val="uk-UA"/>
              </w:rPr>
              <w:t>2.2.15. Ненадання Депонентом протягом п’ятнадцяти календарних днів з дня отримання запиту Депозитарної установи запитуваної інформації та/або документів або надання інформації та/або документів, що не спростовують обґрунтованої підозри Депозитарної установи, або надання Депонентом недостовірної інформації для встановлення підзвітності його є підставою для відмови такому Депоненту у виконанні розпоряджень щодо проведення операцій за його рахунком у цінних паперах відповідно до законодавства та внутрішніх документів Депозитарної установи.</w:t>
            </w:r>
          </w:p>
          <w:p w14:paraId="54B44631" w14:textId="77777777" w:rsidR="0041560F" w:rsidRPr="0041560F" w:rsidRDefault="0041560F" w:rsidP="0041560F">
            <w:pPr>
              <w:widowControl w:val="0"/>
              <w:tabs>
                <w:tab w:val="left" w:pos="540"/>
              </w:tabs>
              <w:snapToGrid w:val="0"/>
              <w:ind w:left="175" w:right="138" w:firstLine="7"/>
              <w:rPr>
                <w:rFonts w:ascii="Times New Roman" w:hAnsi="Times New Roman"/>
                <w:color w:val="000000"/>
                <w:sz w:val="16"/>
                <w:szCs w:val="16"/>
                <w:lang w:val="uk-UA"/>
              </w:rPr>
            </w:pPr>
          </w:p>
        </w:tc>
        <w:tc>
          <w:tcPr>
            <w:tcW w:w="5495" w:type="dxa"/>
            <w:gridSpan w:val="6"/>
            <w:shd w:val="clear" w:color="auto" w:fill="auto"/>
          </w:tcPr>
          <w:p w14:paraId="4B57A42F" w14:textId="77777777" w:rsidR="0041560F" w:rsidRPr="0041560F" w:rsidRDefault="0041560F" w:rsidP="0041560F">
            <w:pPr>
              <w:widowControl w:val="0"/>
              <w:tabs>
                <w:tab w:val="left" w:pos="540"/>
              </w:tabs>
              <w:snapToGrid w:val="0"/>
              <w:ind w:left="175" w:right="138" w:firstLine="7"/>
              <w:rPr>
                <w:rFonts w:ascii="Times New Roman" w:hAnsi="Times New Roman"/>
                <w:color w:val="000000"/>
                <w:sz w:val="16"/>
                <w:szCs w:val="16"/>
                <w:lang w:val="uk-UA"/>
              </w:rPr>
            </w:pPr>
            <w:r w:rsidRPr="0041560F">
              <w:rPr>
                <w:rFonts w:ascii="Times New Roman" w:hAnsi="Times New Roman"/>
                <w:color w:val="000000"/>
                <w:sz w:val="16"/>
                <w:szCs w:val="16"/>
                <w:lang w:val="uk-UA"/>
              </w:rPr>
              <w:t xml:space="preserve">2.2.15. </w:t>
            </w:r>
            <w:proofErr w:type="spellStart"/>
            <w:r w:rsidRPr="0041560F">
              <w:rPr>
                <w:rFonts w:ascii="Times New Roman" w:hAnsi="Times New Roman"/>
                <w:color w:val="000000"/>
                <w:sz w:val="16"/>
                <w:szCs w:val="16"/>
                <w:lang w:val="uk-UA"/>
              </w:rPr>
              <w:t>Failure</w:t>
            </w:r>
            <w:proofErr w:type="spellEnd"/>
            <w:r w:rsidRPr="0041560F">
              <w:rPr>
                <w:rFonts w:ascii="Times New Roman" w:hAnsi="Times New Roman"/>
                <w:color w:val="000000"/>
                <w:sz w:val="16"/>
                <w:szCs w:val="16"/>
                <w:lang w:val="uk-UA"/>
              </w:rPr>
              <w:t xml:space="preserve"> </w:t>
            </w:r>
            <w:proofErr w:type="spellStart"/>
            <w:r w:rsidRPr="0041560F">
              <w:rPr>
                <w:rFonts w:ascii="Times New Roman" w:hAnsi="Times New Roman"/>
                <w:color w:val="000000"/>
                <w:sz w:val="16"/>
                <w:szCs w:val="16"/>
                <w:lang w:val="uk-UA"/>
              </w:rPr>
              <w:t>by</w:t>
            </w:r>
            <w:proofErr w:type="spellEnd"/>
            <w:r w:rsidRPr="0041560F">
              <w:rPr>
                <w:rFonts w:ascii="Times New Roman" w:hAnsi="Times New Roman"/>
                <w:color w:val="000000"/>
                <w:sz w:val="16"/>
                <w:szCs w:val="16"/>
                <w:lang w:val="uk-UA"/>
              </w:rPr>
              <w:t xml:space="preserve"> </w:t>
            </w:r>
            <w:proofErr w:type="spellStart"/>
            <w:r w:rsidRPr="0041560F">
              <w:rPr>
                <w:rFonts w:ascii="Times New Roman" w:hAnsi="Times New Roman"/>
                <w:color w:val="000000"/>
                <w:sz w:val="16"/>
                <w:szCs w:val="16"/>
                <w:lang w:val="uk-UA"/>
              </w:rPr>
              <w:t>the</w:t>
            </w:r>
            <w:proofErr w:type="spellEnd"/>
            <w:r w:rsidRPr="0041560F">
              <w:rPr>
                <w:rFonts w:ascii="Times New Roman" w:hAnsi="Times New Roman"/>
                <w:color w:val="000000"/>
                <w:sz w:val="16"/>
                <w:szCs w:val="16"/>
                <w:lang w:val="uk-UA"/>
              </w:rPr>
              <w:t xml:space="preserve"> </w:t>
            </w:r>
            <w:proofErr w:type="spellStart"/>
            <w:r w:rsidRPr="0041560F">
              <w:rPr>
                <w:rFonts w:ascii="Times New Roman" w:hAnsi="Times New Roman"/>
                <w:color w:val="000000"/>
                <w:sz w:val="16"/>
                <w:szCs w:val="16"/>
                <w:lang w:val="uk-UA"/>
              </w:rPr>
              <w:t>Depositor</w:t>
            </w:r>
            <w:proofErr w:type="spellEnd"/>
            <w:r w:rsidRPr="0041560F">
              <w:rPr>
                <w:rFonts w:ascii="Times New Roman" w:hAnsi="Times New Roman"/>
                <w:color w:val="000000"/>
                <w:sz w:val="16"/>
                <w:szCs w:val="16"/>
                <w:lang w:val="uk-UA"/>
              </w:rPr>
              <w:t xml:space="preserve"> </w:t>
            </w:r>
            <w:proofErr w:type="spellStart"/>
            <w:r w:rsidRPr="0041560F">
              <w:rPr>
                <w:rFonts w:ascii="Times New Roman" w:hAnsi="Times New Roman"/>
                <w:color w:val="000000"/>
                <w:sz w:val="16"/>
                <w:szCs w:val="16"/>
                <w:lang w:val="uk-UA"/>
              </w:rPr>
              <w:t>within</w:t>
            </w:r>
            <w:proofErr w:type="spellEnd"/>
            <w:r w:rsidRPr="0041560F">
              <w:rPr>
                <w:rFonts w:ascii="Times New Roman" w:hAnsi="Times New Roman"/>
                <w:color w:val="000000"/>
                <w:sz w:val="16"/>
                <w:szCs w:val="16"/>
                <w:lang w:val="uk-UA"/>
              </w:rPr>
              <w:t xml:space="preserve"> </w:t>
            </w:r>
            <w:proofErr w:type="spellStart"/>
            <w:r w:rsidRPr="0041560F">
              <w:rPr>
                <w:rFonts w:ascii="Times New Roman" w:hAnsi="Times New Roman"/>
                <w:color w:val="000000"/>
                <w:sz w:val="16"/>
                <w:szCs w:val="16"/>
                <w:lang w:val="uk-UA"/>
              </w:rPr>
              <w:t>fifteen</w:t>
            </w:r>
            <w:proofErr w:type="spellEnd"/>
            <w:r w:rsidRPr="0041560F">
              <w:rPr>
                <w:rFonts w:ascii="Times New Roman" w:hAnsi="Times New Roman"/>
                <w:color w:val="000000"/>
                <w:sz w:val="16"/>
                <w:szCs w:val="16"/>
                <w:lang w:val="uk-UA"/>
              </w:rPr>
              <w:t xml:space="preserve"> </w:t>
            </w:r>
            <w:proofErr w:type="spellStart"/>
            <w:r w:rsidRPr="0041560F">
              <w:rPr>
                <w:rFonts w:ascii="Times New Roman" w:hAnsi="Times New Roman"/>
                <w:color w:val="000000"/>
                <w:sz w:val="16"/>
                <w:szCs w:val="16"/>
                <w:lang w:val="uk-UA"/>
              </w:rPr>
              <w:t>calendar</w:t>
            </w:r>
            <w:proofErr w:type="spellEnd"/>
            <w:r w:rsidRPr="0041560F">
              <w:rPr>
                <w:rFonts w:ascii="Times New Roman" w:hAnsi="Times New Roman"/>
                <w:color w:val="000000"/>
                <w:sz w:val="16"/>
                <w:szCs w:val="16"/>
                <w:lang w:val="uk-UA"/>
              </w:rPr>
              <w:t xml:space="preserve"> </w:t>
            </w:r>
            <w:proofErr w:type="spellStart"/>
            <w:r w:rsidRPr="0041560F">
              <w:rPr>
                <w:rFonts w:ascii="Times New Roman" w:hAnsi="Times New Roman"/>
                <w:color w:val="000000"/>
                <w:sz w:val="16"/>
                <w:szCs w:val="16"/>
                <w:lang w:val="uk-UA"/>
              </w:rPr>
              <w:t>days</w:t>
            </w:r>
            <w:proofErr w:type="spellEnd"/>
            <w:r w:rsidRPr="0041560F">
              <w:rPr>
                <w:rFonts w:ascii="Times New Roman" w:hAnsi="Times New Roman"/>
                <w:color w:val="000000"/>
                <w:sz w:val="16"/>
                <w:szCs w:val="16"/>
                <w:lang w:val="uk-UA"/>
              </w:rPr>
              <w:t xml:space="preserve"> </w:t>
            </w:r>
            <w:proofErr w:type="spellStart"/>
            <w:r w:rsidRPr="0041560F">
              <w:rPr>
                <w:rFonts w:ascii="Times New Roman" w:hAnsi="Times New Roman"/>
                <w:color w:val="000000"/>
                <w:sz w:val="16"/>
                <w:szCs w:val="16"/>
                <w:lang w:val="uk-UA"/>
              </w:rPr>
              <w:t>from</w:t>
            </w:r>
            <w:proofErr w:type="spellEnd"/>
            <w:r w:rsidRPr="0041560F">
              <w:rPr>
                <w:rFonts w:ascii="Times New Roman" w:hAnsi="Times New Roman"/>
                <w:color w:val="000000"/>
                <w:sz w:val="16"/>
                <w:szCs w:val="16"/>
                <w:lang w:val="uk-UA"/>
              </w:rPr>
              <w:t xml:space="preserve"> </w:t>
            </w:r>
            <w:proofErr w:type="spellStart"/>
            <w:r w:rsidRPr="0041560F">
              <w:rPr>
                <w:rFonts w:ascii="Times New Roman" w:hAnsi="Times New Roman"/>
                <w:color w:val="000000"/>
                <w:sz w:val="16"/>
                <w:szCs w:val="16"/>
                <w:lang w:val="uk-UA"/>
              </w:rPr>
              <w:t>the</w:t>
            </w:r>
            <w:proofErr w:type="spellEnd"/>
            <w:r w:rsidRPr="0041560F">
              <w:rPr>
                <w:rFonts w:ascii="Times New Roman" w:hAnsi="Times New Roman"/>
                <w:color w:val="000000"/>
                <w:sz w:val="16"/>
                <w:szCs w:val="16"/>
                <w:lang w:val="uk-UA"/>
              </w:rPr>
              <w:t xml:space="preserve"> </w:t>
            </w:r>
            <w:proofErr w:type="spellStart"/>
            <w:r w:rsidRPr="0041560F">
              <w:rPr>
                <w:rFonts w:ascii="Times New Roman" w:hAnsi="Times New Roman"/>
                <w:color w:val="000000"/>
                <w:sz w:val="16"/>
                <w:szCs w:val="16"/>
                <w:lang w:val="uk-UA"/>
              </w:rPr>
              <w:t>date</w:t>
            </w:r>
            <w:proofErr w:type="spellEnd"/>
            <w:r w:rsidRPr="0041560F">
              <w:rPr>
                <w:rFonts w:ascii="Times New Roman" w:hAnsi="Times New Roman"/>
                <w:color w:val="000000"/>
                <w:sz w:val="16"/>
                <w:szCs w:val="16"/>
                <w:lang w:val="uk-UA"/>
              </w:rPr>
              <w:t xml:space="preserve"> </w:t>
            </w:r>
            <w:proofErr w:type="spellStart"/>
            <w:r w:rsidRPr="0041560F">
              <w:rPr>
                <w:rFonts w:ascii="Times New Roman" w:hAnsi="Times New Roman"/>
                <w:color w:val="000000"/>
                <w:sz w:val="16"/>
                <w:szCs w:val="16"/>
                <w:lang w:val="uk-UA"/>
              </w:rPr>
              <w:t>of</w:t>
            </w:r>
            <w:proofErr w:type="spellEnd"/>
            <w:r w:rsidRPr="0041560F">
              <w:rPr>
                <w:rFonts w:ascii="Times New Roman" w:hAnsi="Times New Roman"/>
                <w:color w:val="000000"/>
                <w:sz w:val="16"/>
                <w:szCs w:val="16"/>
                <w:lang w:val="uk-UA"/>
              </w:rPr>
              <w:t xml:space="preserve"> </w:t>
            </w:r>
            <w:proofErr w:type="spellStart"/>
            <w:r w:rsidRPr="0041560F">
              <w:rPr>
                <w:rFonts w:ascii="Times New Roman" w:hAnsi="Times New Roman"/>
                <w:color w:val="000000"/>
                <w:sz w:val="16"/>
                <w:szCs w:val="16"/>
                <w:lang w:val="uk-UA"/>
              </w:rPr>
              <w:t>receipt</w:t>
            </w:r>
            <w:proofErr w:type="spellEnd"/>
            <w:r w:rsidRPr="0041560F">
              <w:rPr>
                <w:rFonts w:ascii="Times New Roman" w:hAnsi="Times New Roman"/>
                <w:color w:val="000000"/>
                <w:sz w:val="16"/>
                <w:szCs w:val="16"/>
                <w:lang w:val="uk-UA"/>
              </w:rPr>
              <w:t xml:space="preserve"> </w:t>
            </w:r>
            <w:proofErr w:type="spellStart"/>
            <w:r w:rsidRPr="0041560F">
              <w:rPr>
                <w:rFonts w:ascii="Times New Roman" w:hAnsi="Times New Roman"/>
                <w:color w:val="000000"/>
                <w:sz w:val="16"/>
                <w:szCs w:val="16"/>
                <w:lang w:val="uk-UA"/>
              </w:rPr>
              <w:t>of</w:t>
            </w:r>
            <w:proofErr w:type="spellEnd"/>
            <w:r w:rsidRPr="0041560F">
              <w:rPr>
                <w:rFonts w:ascii="Times New Roman" w:hAnsi="Times New Roman"/>
                <w:color w:val="000000"/>
                <w:sz w:val="16"/>
                <w:szCs w:val="16"/>
                <w:lang w:val="uk-UA"/>
              </w:rPr>
              <w:t xml:space="preserve"> </w:t>
            </w:r>
            <w:proofErr w:type="spellStart"/>
            <w:r w:rsidRPr="0041560F">
              <w:rPr>
                <w:rFonts w:ascii="Times New Roman" w:hAnsi="Times New Roman"/>
                <w:color w:val="000000"/>
                <w:sz w:val="16"/>
                <w:szCs w:val="16"/>
                <w:lang w:val="uk-UA"/>
              </w:rPr>
              <w:t>the</w:t>
            </w:r>
            <w:proofErr w:type="spellEnd"/>
            <w:r w:rsidRPr="0041560F">
              <w:rPr>
                <w:rFonts w:ascii="Times New Roman" w:hAnsi="Times New Roman"/>
                <w:color w:val="000000"/>
                <w:sz w:val="16"/>
                <w:szCs w:val="16"/>
                <w:lang w:val="uk-UA"/>
              </w:rPr>
              <w:t xml:space="preserve"> </w:t>
            </w:r>
            <w:proofErr w:type="spellStart"/>
            <w:r w:rsidRPr="0041560F">
              <w:rPr>
                <w:rFonts w:ascii="Times New Roman" w:hAnsi="Times New Roman"/>
                <w:color w:val="000000"/>
                <w:sz w:val="16"/>
                <w:szCs w:val="16"/>
                <w:lang w:val="uk-UA"/>
              </w:rPr>
              <w:t>request</w:t>
            </w:r>
            <w:proofErr w:type="spellEnd"/>
            <w:r w:rsidRPr="0041560F">
              <w:rPr>
                <w:rFonts w:ascii="Times New Roman" w:hAnsi="Times New Roman"/>
                <w:color w:val="000000"/>
                <w:sz w:val="16"/>
                <w:szCs w:val="16"/>
                <w:lang w:val="uk-UA"/>
              </w:rPr>
              <w:t xml:space="preserve"> </w:t>
            </w:r>
            <w:proofErr w:type="spellStart"/>
            <w:r w:rsidRPr="0041560F">
              <w:rPr>
                <w:rFonts w:ascii="Times New Roman" w:hAnsi="Times New Roman"/>
                <w:color w:val="000000"/>
                <w:sz w:val="16"/>
                <w:szCs w:val="16"/>
                <w:lang w:val="uk-UA"/>
              </w:rPr>
              <w:t>of</w:t>
            </w:r>
            <w:proofErr w:type="spellEnd"/>
            <w:r w:rsidRPr="0041560F">
              <w:rPr>
                <w:rFonts w:ascii="Times New Roman" w:hAnsi="Times New Roman"/>
                <w:color w:val="000000"/>
                <w:sz w:val="16"/>
                <w:szCs w:val="16"/>
                <w:lang w:val="uk-UA"/>
              </w:rPr>
              <w:t xml:space="preserve"> </w:t>
            </w:r>
            <w:proofErr w:type="spellStart"/>
            <w:r w:rsidRPr="0041560F">
              <w:rPr>
                <w:rFonts w:ascii="Times New Roman" w:hAnsi="Times New Roman"/>
                <w:color w:val="000000"/>
                <w:sz w:val="16"/>
                <w:szCs w:val="16"/>
                <w:lang w:val="uk-UA"/>
              </w:rPr>
              <w:t>the</w:t>
            </w:r>
            <w:proofErr w:type="spellEnd"/>
            <w:r w:rsidRPr="0041560F">
              <w:rPr>
                <w:rFonts w:ascii="Times New Roman" w:hAnsi="Times New Roman"/>
                <w:color w:val="000000"/>
                <w:sz w:val="16"/>
                <w:szCs w:val="16"/>
                <w:lang w:val="uk-UA"/>
              </w:rPr>
              <w:t xml:space="preserve"> </w:t>
            </w:r>
            <w:proofErr w:type="spellStart"/>
            <w:r w:rsidRPr="0041560F">
              <w:rPr>
                <w:rFonts w:ascii="Times New Roman" w:hAnsi="Times New Roman"/>
                <w:color w:val="000000"/>
                <w:sz w:val="16"/>
                <w:szCs w:val="16"/>
                <w:lang w:val="uk-UA"/>
              </w:rPr>
              <w:t>Depository</w:t>
            </w:r>
            <w:proofErr w:type="spellEnd"/>
            <w:r w:rsidRPr="0041560F">
              <w:rPr>
                <w:rFonts w:ascii="Times New Roman" w:hAnsi="Times New Roman"/>
                <w:color w:val="000000"/>
                <w:sz w:val="16"/>
                <w:szCs w:val="16"/>
                <w:lang w:val="uk-UA"/>
              </w:rPr>
              <w:t xml:space="preserve"> </w:t>
            </w:r>
            <w:proofErr w:type="spellStart"/>
            <w:r w:rsidRPr="0041560F">
              <w:rPr>
                <w:rFonts w:ascii="Times New Roman" w:hAnsi="Times New Roman"/>
                <w:color w:val="000000"/>
                <w:sz w:val="16"/>
                <w:szCs w:val="16"/>
                <w:lang w:val="uk-UA"/>
              </w:rPr>
              <w:t>to</w:t>
            </w:r>
            <w:proofErr w:type="spellEnd"/>
            <w:r w:rsidRPr="0041560F">
              <w:rPr>
                <w:rFonts w:ascii="Times New Roman" w:hAnsi="Times New Roman"/>
                <w:color w:val="000000"/>
                <w:sz w:val="16"/>
                <w:szCs w:val="16"/>
                <w:lang w:val="uk-UA"/>
              </w:rPr>
              <w:t xml:space="preserve"> </w:t>
            </w:r>
            <w:proofErr w:type="spellStart"/>
            <w:r w:rsidRPr="0041560F">
              <w:rPr>
                <w:rFonts w:ascii="Times New Roman" w:hAnsi="Times New Roman"/>
                <w:color w:val="000000"/>
                <w:sz w:val="16"/>
                <w:szCs w:val="16"/>
                <w:lang w:val="uk-UA"/>
              </w:rPr>
              <w:t>request</w:t>
            </w:r>
            <w:proofErr w:type="spellEnd"/>
            <w:r w:rsidRPr="0041560F">
              <w:rPr>
                <w:rFonts w:ascii="Times New Roman" w:hAnsi="Times New Roman"/>
                <w:color w:val="000000"/>
                <w:sz w:val="16"/>
                <w:szCs w:val="16"/>
                <w:lang w:val="uk-UA"/>
              </w:rPr>
              <w:t xml:space="preserve"> </w:t>
            </w:r>
            <w:proofErr w:type="spellStart"/>
            <w:r w:rsidRPr="0041560F">
              <w:rPr>
                <w:rFonts w:ascii="Times New Roman" w:hAnsi="Times New Roman"/>
                <w:color w:val="000000"/>
                <w:sz w:val="16"/>
                <w:szCs w:val="16"/>
                <w:lang w:val="uk-UA"/>
              </w:rPr>
              <w:t>the</w:t>
            </w:r>
            <w:proofErr w:type="spellEnd"/>
            <w:r w:rsidRPr="0041560F">
              <w:rPr>
                <w:rFonts w:ascii="Times New Roman" w:hAnsi="Times New Roman"/>
                <w:color w:val="000000"/>
                <w:sz w:val="16"/>
                <w:szCs w:val="16"/>
                <w:lang w:val="uk-UA"/>
              </w:rPr>
              <w:t xml:space="preserve"> </w:t>
            </w:r>
            <w:proofErr w:type="spellStart"/>
            <w:r w:rsidRPr="0041560F">
              <w:rPr>
                <w:rFonts w:ascii="Times New Roman" w:hAnsi="Times New Roman"/>
                <w:color w:val="000000"/>
                <w:sz w:val="16"/>
                <w:szCs w:val="16"/>
                <w:lang w:val="uk-UA"/>
              </w:rPr>
              <w:t>information</w:t>
            </w:r>
            <w:proofErr w:type="spellEnd"/>
            <w:r w:rsidRPr="0041560F">
              <w:rPr>
                <w:rFonts w:ascii="Times New Roman" w:hAnsi="Times New Roman"/>
                <w:color w:val="000000"/>
                <w:sz w:val="16"/>
                <w:szCs w:val="16"/>
                <w:lang w:val="uk-UA"/>
              </w:rPr>
              <w:t xml:space="preserve"> </w:t>
            </w:r>
            <w:proofErr w:type="spellStart"/>
            <w:r w:rsidRPr="0041560F">
              <w:rPr>
                <w:rFonts w:ascii="Times New Roman" w:hAnsi="Times New Roman"/>
                <w:color w:val="000000"/>
                <w:sz w:val="16"/>
                <w:szCs w:val="16"/>
                <w:lang w:val="uk-UA"/>
              </w:rPr>
              <w:t>and</w:t>
            </w:r>
            <w:proofErr w:type="spellEnd"/>
            <w:r w:rsidRPr="0041560F">
              <w:rPr>
                <w:rFonts w:ascii="Times New Roman" w:hAnsi="Times New Roman"/>
                <w:color w:val="000000"/>
                <w:sz w:val="16"/>
                <w:szCs w:val="16"/>
                <w:lang w:val="uk-UA"/>
              </w:rPr>
              <w:t xml:space="preserve"> / </w:t>
            </w:r>
            <w:proofErr w:type="spellStart"/>
            <w:r w:rsidRPr="0041560F">
              <w:rPr>
                <w:rFonts w:ascii="Times New Roman" w:hAnsi="Times New Roman"/>
                <w:color w:val="000000"/>
                <w:sz w:val="16"/>
                <w:szCs w:val="16"/>
                <w:lang w:val="uk-UA"/>
              </w:rPr>
              <w:t>or</w:t>
            </w:r>
            <w:proofErr w:type="spellEnd"/>
            <w:r w:rsidRPr="0041560F">
              <w:rPr>
                <w:rFonts w:ascii="Times New Roman" w:hAnsi="Times New Roman"/>
                <w:color w:val="000000"/>
                <w:sz w:val="16"/>
                <w:szCs w:val="16"/>
                <w:lang w:val="uk-UA"/>
              </w:rPr>
              <w:t xml:space="preserve"> </w:t>
            </w:r>
            <w:proofErr w:type="spellStart"/>
            <w:r w:rsidRPr="0041560F">
              <w:rPr>
                <w:rFonts w:ascii="Times New Roman" w:hAnsi="Times New Roman"/>
                <w:color w:val="000000"/>
                <w:sz w:val="16"/>
                <w:szCs w:val="16"/>
                <w:lang w:val="uk-UA"/>
              </w:rPr>
              <w:t>documents</w:t>
            </w:r>
            <w:proofErr w:type="spellEnd"/>
            <w:r w:rsidRPr="0041560F">
              <w:rPr>
                <w:rFonts w:ascii="Times New Roman" w:hAnsi="Times New Roman"/>
                <w:color w:val="000000"/>
                <w:sz w:val="16"/>
                <w:szCs w:val="16"/>
                <w:lang w:val="uk-UA"/>
              </w:rPr>
              <w:t xml:space="preserve"> </w:t>
            </w:r>
            <w:proofErr w:type="spellStart"/>
            <w:r w:rsidRPr="0041560F">
              <w:rPr>
                <w:rFonts w:ascii="Times New Roman" w:hAnsi="Times New Roman"/>
                <w:color w:val="000000"/>
                <w:sz w:val="16"/>
                <w:szCs w:val="16"/>
                <w:lang w:val="uk-UA"/>
              </w:rPr>
              <w:t>or</w:t>
            </w:r>
            <w:proofErr w:type="spellEnd"/>
            <w:r w:rsidRPr="0041560F">
              <w:rPr>
                <w:rFonts w:ascii="Times New Roman" w:hAnsi="Times New Roman"/>
                <w:color w:val="000000"/>
                <w:sz w:val="16"/>
                <w:szCs w:val="16"/>
                <w:lang w:val="uk-UA"/>
              </w:rPr>
              <w:t xml:space="preserve"> </w:t>
            </w:r>
            <w:proofErr w:type="spellStart"/>
            <w:r w:rsidRPr="0041560F">
              <w:rPr>
                <w:rFonts w:ascii="Times New Roman" w:hAnsi="Times New Roman"/>
                <w:color w:val="000000"/>
                <w:sz w:val="16"/>
                <w:szCs w:val="16"/>
                <w:lang w:val="uk-UA"/>
              </w:rPr>
              <w:t>provide</w:t>
            </w:r>
            <w:proofErr w:type="spellEnd"/>
            <w:r w:rsidRPr="0041560F">
              <w:rPr>
                <w:rFonts w:ascii="Times New Roman" w:hAnsi="Times New Roman"/>
                <w:color w:val="000000"/>
                <w:sz w:val="16"/>
                <w:szCs w:val="16"/>
                <w:lang w:val="uk-UA"/>
              </w:rPr>
              <w:t xml:space="preserve"> </w:t>
            </w:r>
            <w:proofErr w:type="spellStart"/>
            <w:r w:rsidRPr="0041560F">
              <w:rPr>
                <w:rFonts w:ascii="Times New Roman" w:hAnsi="Times New Roman"/>
                <w:color w:val="000000"/>
                <w:sz w:val="16"/>
                <w:szCs w:val="16"/>
                <w:lang w:val="uk-UA"/>
              </w:rPr>
              <w:t>information</w:t>
            </w:r>
            <w:proofErr w:type="spellEnd"/>
            <w:r w:rsidRPr="0041560F">
              <w:rPr>
                <w:rFonts w:ascii="Times New Roman" w:hAnsi="Times New Roman"/>
                <w:color w:val="000000"/>
                <w:sz w:val="16"/>
                <w:szCs w:val="16"/>
                <w:lang w:val="uk-UA"/>
              </w:rPr>
              <w:t xml:space="preserve"> </w:t>
            </w:r>
            <w:proofErr w:type="spellStart"/>
            <w:r w:rsidRPr="0041560F">
              <w:rPr>
                <w:rFonts w:ascii="Times New Roman" w:hAnsi="Times New Roman"/>
                <w:color w:val="000000"/>
                <w:sz w:val="16"/>
                <w:szCs w:val="16"/>
                <w:lang w:val="uk-UA"/>
              </w:rPr>
              <w:t>and</w:t>
            </w:r>
            <w:proofErr w:type="spellEnd"/>
            <w:r w:rsidRPr="0041560F">
              <w:rPr>
                <w:rFonts w:ascii="Times New Roman" w:hAnsi="Times New Roman"/>
                <w:color w:val="000000"/>
                <w:sz w:val="16"/>
                <w:szCs w:val="16"/>
                <w:lang w:val="uk-UA"/>
              </w:rPr>
              <w:t xml:space="preserve"> / </w:t>
            </w:r>
            <w:proofErr w:type="spellStart"/>
            <w:r w:rsidRPr="0041560F">
              <w:rPr>
                <w:rFonts w:ascii="Times New Roman" w:hAnsi="Times New Roman"/>
                <w:color w:val="000000"/>
                <w:sz w:val="16"/>
                <w:szCs w:val="16"/>
                <w:lang w:val="uk-UA"/>
              </w:rPr>
              <w:t>or</w:t>
            </w:r>
            <w:proofErr w:type="spellEnd"/>
            <w:r w:rsidRPr="0041560F">
              <w:rPr>
                <w:rFonts w:ascii="Times New Roman" w:hAnsi="Times New Roman"/>
                <w:color w:val="000000"/>
                <w:sz w:val="16"/>
                <w:szCs w:val="16"/>
                <w:lang w:val="uk-UA"/>
              </w:rPr>
              <w:t xml:space="preserve"> </w:t>
            </w:r>
            <w:proofErr w:type="spellStart"/>
            <w:r w:rsidRPr="0041560F">
              <w:rPr>
                <w:rFonts w:ascii="Times New Roman" w:hAnsi="Times New Roman"/>
                <w:color w:val="000000"/>
                <w:sz w:val="16"/>
                <w:szCs w:val="16"/>
                <w:lang w:val="uk-UA"/>
              </w:rPr>
              <w:t>documents</w:t>
            </w:r>
            <w:proofErr w:type="spellEnd"/>
            <w:r w:rsidRPr="0041560F">
              <w:rPr>
                <w:rFonts w:ascii="Times New Roman" w:hAnsi="Times New Roman"/>
                <w:color w:val="000000"/>
                <w:sz w:val="16"/>
                <w:szCs w:val="16"/>
                <w:lang w:val="uk-UA"/>
              </w:rPr>
              <w:t xml:space="preserve"> </w:t>
            </w:r>
            <w:proofErr w:type="spellStart"/>
            <w:r w:rsidRPr="0041560F">
              <w:rPr>
                <w:rFonts w:ascii="Times New Roman" w:hAnsi="Times New Roman"/>
                <w:color w:val="000000"/>
                <w:sz w:val="16"/>
                <w:szCs w:val="16"/>
                <w:lang w:val="uk-UA"/>
              </w:rPr>
              <w:t>that</w:t>
            </w:r>
            <w:proofErr w:type="spellEnd"/>
            <w:r w:rsidRPr="0041560F">
              <w:rPr>
                <w:rFonts w:ascii="Times New Roman" w:hAnsi="Times New Roman"/>
                <w:color w:val="000000"/>
                <w:sz w:val="16"/>
                <w:szCs w:val="16"/>
                <w:lang w:val="uk-UA"/>
              </w:rPr>
              <w:t xml:space="preserve"> </w:t>
            </w:r>
            <w:proofErr w:type="spellStart"/>
            <w:r w:rsidRPr="0041560F">
              <w:rPr>
                <w:rFonts w:ascii="Times New Roman" w:hAnsi="Times New Roman"/>
                <w:color w:val="000000"/>
                <w:sz w:val="16"/>
                <w:szCs w:val="16"/>
                <w:lang w:val="uk-UA"/>
              </w:rPr>
              <w:t>do</w:t>
            </w:r>
            <w:proofErr w:type="spellEnd"/>
            <w:r w:rsidRPr="0041560F">
              <w:rPr>
                <w:rFonts w:ascii="Times New Roman" w:hAnsi="Times New Roman"/>
                <w:color w:val="000000"/>
                <w:sz w:val="16"/>
                <w:szCs w:val="16"/>
                <w:lang w:val="uk-UA"/>
              </w:rPr>
              <w:t xml:space="preserve"> </w:t>
            </w:r>
            <w:proofErr w:type="spellStart"/>
            <w:r w:rsidRPr="0041560F">
              <w:rPr>
                <w:rFonts w:ascii="Times New Roman" w:hAnsi="Times New Roman"/>
                <w:color w:val="000000"/>
                <w:sz w:val="16"/>
                <w:szCs w:val="16"/>
                <w:lang w:val="uk-UA"/>
              </w:rPr>
              <w:t>not</w:t>
            </w:r>
            <w:proofErr w:type="spellEnd"/>
            <w:r w:rsidRPr="0041560F">
              <w:rPr>
                <w:rFonts w:ascii="Times New Roman" w:hAnsi="Times New Roman"/>
                <w:color w:val="000000"/>
                <w:sz w:val="16"/>
                <w:szCs w:val="16"/>
                <w:lang w:val="uk-UA"/>
              </w:rPr>
              <w:t xml:space="preserve"> </w:t>
            </w:r>
            <w:proofErr w:type="spellStart"/>
            <w:r w:rsidRPr="0041560F">
              <w:rPr>
                <w:rFonts w:ascii="Times New Roman" w:hAnsi="Times New Roman"/>
                <w:color w:val="000000"/>
                <w:sz w:val="16"/>
                <w:szCs w:val="16"/>
                <w:lang w:val="uk-UA"/>
              </w:rPr>
              <w:t>refute</w:t>
            </w:r>
            <w:proofErr w:type="spellEnd"/>
            <w:r w:rsidRPr="0041560F">
              <w:rPr>
                <w:rFonts w:ascii="Times New Roman" w:hAnsi="Times New Roman"/>
                <w:color w:val="000000"/>
                <w:sz w:val="16"/>
                <w:szCs w:val="16"/>
                <w:lang w:val="uk-UA"/>
              </w:rPr>
              <w:t xml:space="preserve"> </w:t>
            </w:r>
            <w:proofErr w:type="spellStart"/>
            <w:r w:rsidRPr="0041560F">
              <w:rPr>
                <w:rFonts w:ascii="Times New Roman" w:hAnsi="Times New Roman"/>
                <w:color w:val="000000"/>
                <w:sz w:val="16"/>
                <w:szCs w:val="16"/>
                <w:lang w:val="uk-UA"/>
              </w:rPr>
              <w:t>the</w:t>
            </w:r>
            <w:proofErr w:type="spellEnd"/>
            <w:r w:rsidRPr="0041560F">
              <w:rPr>
                <w:rFonts w:ascii="Times New Roman" w:hAnsi="Times New Roman"/>
                <w:color w:val="000000"/>
                <w:sz w:val="16"/>
                <w:szCs w:val="16"/>
                <w:lang w:val="uk-UA"/>
              </w:rPr>
              <w:t xml:space="preserve"> </w:t>
            </w:r>
            <w:proofErr w:type="spellStart"/>
            <w:r w:rsidRPr="0041560F">
              <w:rPr>
                <w:rFonts w:ascii="Times New Roman" w:hAnsi="Times New Roman"/>
                <w:color w:val="000000"/>
                <w:sz w:val="16"/>
                <w:szCs w:val="16"/>
                <w:lang w:val="uk-UA"/>
              </w:rPr>
              <w:t>reasonable</w:t>
            </w:r>
            <w:proofErr w:type="spellEnd"/>
            <w:r w:rsidRPr="0041560F">
              <w:rPr>
                <w:rFonts w:ascii="Times New Roman" w:hAnsi="Times New Roman"/>
                <w:color w:val="000000"/>
                <w:sz w:val="16"/>
                <w:szCs w:val="16"/>
                <w:lang w:val="uk-UA"/>
              </w:rPr>
              <w:t xml:space="preserve"> </w:t>
            </w:r>
            <w:proofErr w:type="spellStart"/>
            <w:r w:rsidRPr="0041560F">
              <w:rPr>
                <w:rFonts w:ascii="Times New Roman" w:hAnsi="Times New Roman"/>
                <w:color w:val="000000"/>
                <w:sz w:val="16"/>
                <w:szCs w:val="16"/>
                <w:lang w:val="uk-UA"/>
              </w:rPr>
              <w:t>suspicion</w:t>
            </w:r>
            <w:proofErr w:type="spellEnd"/>
            <w:r w:rsidRPr="0041560F">
              <w:rPr>
                <w:rFonts w:ascii="Times New Roman" w:hAnsi="Times New Roman"/>
                <w:color w:val="000000"/>
                <w:sz w:val="16"/>
                <w:szCs w:val="16"/>
                <w:lang w:val="uk-UA"/>
              </w:rPr>
              <w:t xml:space="preserve"> </w:t>
            </w:r>
            <w:proofErr w:type="spellStart"/>
            <w:r w:rsidRPr="0041560F">
              <w:rPr>
                <w:rFonts w:ascii="Times New Roman" w:hAnsi="Times New Roman"/>
                <w:color w:val="000000"/>
                <w:sz w:val="16"/>
                <w:szCs w:val="16"/>
                <w:lang w:val="uk-UA"/>
              </w:rPr>
              <w:t>of</w:t>
            </w:r>
            <w:proofErr w:type="spellEnd"/>
            <w:r w:rsidRPr="0041560F">
              <w:rPr>
                <w:rFonts w:ascii="Times New Roman" w:hAnsi="Times New Roman"/>
                <w:color w:val="000000"/>
                <w:sz w:val="16"/>
                <w:szCs w:val="16"/>
                <w:lang w:val="uk-UA"/>
              </w:rPr>
              <w:t xml:space="preserve"> </w:t>
            </w:r>
            <w:proofErr w:type="spellStart"/>
            <w:r w:rsidRPr="0041560F">
              <w:rPr>
                <w:rFonts w:ascii="Times New Roman" w:hAnsi="Times New Roman"/>
                <w:color w:val="000000"/>
                <w:sz w:val="16"/>
                <w:szCs w:val="16"/>
                <w:lang w:val="uk-UA"/>
              </w:rPr>
              <w:t>the</w:t>
            </w:r>
            <w:proofErr w:type="spellEnd"/>
            <w:r w:rsidRPr="0041560F">
              <w:rPr>
                <w:rFonts w:ascii="Times New Roman" w:hAnsi="Times New Roman"/>
                <w:color w:val="000000"/>
                <w:sz w:val="16"/>
                <w:szCs w:val="16"/>
                <w:lang w:val="uk-UA"/>
              </w:rPr>
              <w:t xml:space="preserve"> </w:t>
            </w:r>
            <w:proofErr w:type="spellStart"/>
            <w:r w:rsidRPr="0041560F">
              <w:rPr>
                <w:rFonts w:ascii="Times New Roman" w:hAnsi="Times New Roman"/>
                <w:color w:val="000000"/>
                <w:sz w:val="16"/>
                <w:szCs w:val="16"/>
                <w:lang w:val="uk-UA"/>
              </w:rPr>
              <w:t>Depository</w:t>
            </w:r>
            <w:proofErr w:type="spellEnd"/>
            <w:r w:rsidRPr="0041560F">
              <w:rPr>
                <w:rFonts w:ascii="Times New Roman" w:hAnsi="Times New Roman"/>
                <w:color w:val="000000"/>
                <w:sz w:val="16"/>
                <w:szCs w:val="16"/>
                <w:lang w:val="uk-UA"/>
              </w:rPr>
              <w:t xml:space="preserve">, </w:t>
            </w:r>
            <w:proofErr w:type="spellStart"/>
            <w:r w:rsidRPr="0041560F">
              <w:rPr>
                <w:rFonts w:ascii="Times New Roman" w:hAnsi="Times New Roman"/>
                <w:color w:val="000000"/>
                <w:sz w:val="16"/>
                <w:szCs w:val="16"/>
                <w:lang w:val="uk-UA"/>
              </w:rPr>
              <w:t>or</w:t>
            </w:r>
            <w:proofErr w:type="spellEnd"/>
            <w:r w:rsidRPr="0041560F">
              <w:rPr>
                <w:rFonts w:ascii="Times New Roman" w:hAnsi="Times New Roman"/>
                <w:color w:val="000000"/>
                <w:sz w:val="16"/>
                <w:szCs w:val="16"/>
                <w:lang w:val="uk-UA"/>
              </w:rPr>
              <w:t xml:space="preserve"> </w:t>
            </w:r>
            <w:proofErr w:type="spellStart"/>
            <w:r w:rsidRPr="0041560F">
              <w:rPr>
                <w:rFonts w:ascii="Times New Roman" w:hAnsi="Times New Roman"/>
                <w:color w:val="000000"/>
                <w:sz w:val="16"/>
                <w:szCs w:val="16"/>
                <w:lang w:val="uk-UA"/>
              </w:rPr>
              <w:t>provide</w:t>
            </w:r>
            <w:proofErr w:type="spellEnd"/>
            <w:r w:rsidRPr="0041560F">
              <w:rPr>
                <w:rFonts w:ascii="Times New Roman" w:hAnsi="Times New Roman"/>
                <w:color w:val="000000"/>
                <w:sz w:val="16"/>
                <w:szCs w:val="16"/>
                <w:lang w:val="uk-UA"/>
              </w:rPr>
              <w:t xml:space="preserve"> </w:t>
            </w:r>
            <w:proofErr w:type="spellStart"/>
            <w:r w:rsidRPr="0041560F">
              <w:rPr>
                <w:rFonts w:ascii="Times New Roman" w:hAnsi="Times New Roman"/>
                <w:color w:val="000000"/>
                <w:sz w:val="16"/>
                <w:szCs w:val="16"/>
                <w:lang w:val="uk-UA"/>
              </w:rPr>
              <w:t>the</w:t>
            </w:r>
            <w:proofErr w:type="spellEnd"/>
            <w:r w:rsidRPr="0041560F">
              <w:rPr>
                <w:rFonts w:ascii="Times New Roman" w:hAnsi="Times New Roman"/>
                <w:color w:val="000000"/>
                <w:sz w:val="16"/>
                <w:szCs w:val="16"/>
                <w:lang w:val="uk-UA"/>
              </w:rPr>
              <w:t xml:space="preserve"> </w:t>
            </w:r>
            <w:proofErr w:type="spellStart"/>
            <w:r w:rsidRPr="0041560F">
              <w:rPr>
                <w:rFonts w:ascii="Times New Roman" w:hAnsi="Times New Roman"/>
                <w:color w:val="000000"/>
                <w:sz w:val="16"/>
                <w:szCs w:val="16"/>
                <w:lang w:val="uk-UA"/>
              </w:rPr>
              <w:t>Depositor</w:t>
            </w:r>
            <w:proofErr w:type="spellEnd"/>
            <w:r w:rsidRPr="0041560F">
              <w:rPr>
                <w:rFonts w:ascii="Times New Roman" w:hAnsi="Times New Roman"/>
                <w:color w:val="000000"/>
                <w:sz w:val="16"/>
                <w:szCs w:val="16"/>
                <w:lang w:val="uk-UA"/>
              </w:rPr>
              <w:t xml:space="preserve"> </w:t>
            </w:r>
            <w:proofErr w:type="spellStart"/>
            <w:r w:rsidRPr="0041560F">
              <w:rPr>
                <w:rFonts w:ascii="Times New Roman" w:hAnsi="Times New Roman"/>
                <w:color w:val="000000"/>
                <w:sz w:val="16"/>
                <w:szCs w:val="16"/>
                <w:lang w:val="uk-UA"/>
              </w:rPr>
              <w:t>with</w:t>
            </w:r>
            <w:proofErr w:type="spellEnd"/>
            <w:r w:rsidRPr="0041560F">
              <w:rPr>
                <w:rFonts w:ascii="Times New Roman" w:hAnsi="Times New Roman"/>
                <w:color w:val="000000"/>
                <w:sz w:val="16"/>
                <w:szCs w:val="16"/>
                <w:lang w:val="uk-UA"/>
              </w:rPr>
              <w:t xml:space="preserve"> </w:t>
            </w:r>
            <w:proofErr w:type="spellStart"/>
            <w:r w:rsidRPr="0041560F">
              <w:rPr>
                <w:rFonts w:ascii="Times New Roman" w:hAnsi="Times New Roman"/>
                <w:color w:val="000000"/>
                <w:sz w:val="16"/>
                <w:szCs w:val="16"/>
                <w:lang w:val="uk-UA"/>
              </w:rPr>
              <w:t>inaccurate</w:t>
            </w:r>
            <w:proofErr w:type="spellEnd"/>
            <w:r w:rsidRPr="0041560F">
              <w:rPr>
                <w:rFonts w:ascii="Times New Roman" w:hAnsi="Times New Roman"/>
                <w:color w:val="000000"/>
                <w:sz w:val="16"/>
                <w:szCs w:val="16"/>
                <w:lang w:val="uk-UA"/>
              </w:rPr>
              <w:t xml:space="preserve"> </w:t>
            </w:r>
            <w:proofErr w:type="spellStart"/>
            <w:r w:rsidRPr="0041560F">
              <w:rPr>
                <w:rFonts w:ascii="Times New Roman" w:hAnsi="Times New Roman"/>
                <w:color w:val="000000"/>
                <w:sz w:val="16"/>
                <w:szCs w:val="16"/>
                <w:lang w:val="uk-UA"/>
              </w:rPr>
              <w:t>information</w:t>
            </w:r>
            <w:proofErr w:type="spellEnd"/>
            <w:r w:rsidRPr="0041560F">
              <w:rPr>
                <w:rFonts w:ascii="Times New Roman" w:hAnsi="Times New Roman"/>
                <w:color w:val="000000"/>
                <w:sz w:val="16"/>
                <w:szCs w:val="16"/>
                <w:lang w:val="uk-UA"/>
              </w:rPr>
              <w:t xml:space="preserve"> </w:t>
            </w:r>
            <w:proofErr w:type="spellStart"/>
            <w:r w:rsidRPr="0041560F">
              <w:rPr>
                <w:rFonts w:ascii="Times New Roman" w:hAnsi="Times New Roman"/>
                <w:color w:val="000000"/>
                <w:sz w:val="16"/>
                <w:szCs w:val="16"/>
                <w:lang w:val="uk-UA"/>
              </w:rPr>
              <w:t>to</w:t>
            </w:r>
            <w:proofErr w:type="spellEnd"/>
            <w:r w:rsidRPr="0041560F">
              <w:rPr>
                <w:rFonts w:ascii="Times New Roman" w:hAnsi="Times New Roman"/>
                <w:color w:val="000000"/>
                <w:sz w:val="16"/>
                <w:szCs w:val="16"/>
                <w:lang w:val="uk-UA"/>
              </w:rPr>
              <w:t xml:space="preserve"> </w:t>
            </w:r>
            <w:proofErr w:type="spellStart"/>
            <w:r w:rsidRPr="0041560F">
              <w:rPr>
                <w:rFonts w:ascii="Times New Roman" w:hAnsi="Times New Roman"/>
                <w:color w:val="000000"/>
                <w:sz w:val="16"/>
                <w:szCs w:val="16"/>
                <w:lang w:val="uk-UA"/>
              </w:rPr>
              <w:t>establish</w:t>
            </w:r>
            <w:proofErr w:type="spellEnd"/>
            <w:r w:rsidRPr="0041560F">
              <w:rPr>
                <w:rFonts w:ascii="Times New Roman" w:hAnsi="Times New Roman"/>
                <w:color w:val="000000"/>
                <w:sz w:val="16"/>
                <w:szCs w:val="16"/>
                <w:lang w:val="uk-UA"/>
              </w:rPr>
              <w:t xml:space="preserve"> </w:t>
            </w:r>
            <w:proofErr w:type="spellStart"/>
            <w:r w:rsidRPr="0041560F">
              <w:rPr>
                <w:rFonts w:ascii="Times New Roman" w:hAnsi="Times New Roman"/>
                <w:color w:val="000000"/>
                <w:sz w:val="16"/>
                <w:szCs w:val="16"/>
                <w:lang w:val="uk-UA"/>
              </w:rPr>
              <w:t>accountability</w:t>
            </w:r>
            <w:proofErr w:type="spellEnd"/>
            <w:r w:rsidRPr="0041560F">
              <w:rPr>
                <w:rFonts w:ascii="Times New Roman" w:hAnsi="Times New Roman"/>
                <w:color w:val="000000"/>
                <w:sz w:val="16"/>
                <w:szCs w:val="16"/>
                <w:lang w:val="uk-UA"/>
              </w:rPr>
              <w:t xml:space="preserve"> </w:t>
            </w:r>
            <w:proofErr w:type="spellStart"/>
            <w:r w:rsidRPr="0041560F">
              <w:rPr>
                <w:rFonts w:ascii="Times New Roman" w:hAnsi="Times New Roman"/>
                <w:color w:val="000000"/>
                <w:sz w:val="16"/>
                <w:szCs w:val="16"/>
                <w:lang w:val="uk-UA"/>
              </w:rPr>
              <w:t>is</w:t>
            </w:r>
            <w:proofErr w:type="spellEnd"/>
            <w:r w:rsidRPr="0041560F">
              <w:rPr>
                <w:rFonts w:ascii="Times New Roman" w:hAnsi="Times New Roman"/>
                <w:color w:val="000000"/>
                <w:sz w:val="16"/>
                <w:szCs w:val="16"/>
                <w:lang w:val="uk-UA"/>
              </w:rPr>
              <w:t xml:space="preserve"> </w:t>
            </w:r>
            <w:proofErr w:type="spellStart"/>
            <w:r w:rsidRPr="0041560F">
              <w:rPr>
                <w:rFonts w:ascii="Times New Roman" w:hAnsi="Times New Roman"/>
                <w:color w:val="000000"/>
                <w:sz w:val="16"/>
                <w:szCs w:val="16"/>
                <w:lang w:val="uk-UA"/>
              </w:rPr>
              <w:t>grounds</w:t>
            </w:r>
            <w:proofErr w:type="spellEnd"/>
            <w:r w:rsidRPr="0041560F">
              <w:rPr>
                <w:rFonts w:ascii="Times New Roman" w:hAnsi="Times New Roman"/>
                <w:color w:val="000000"/>
                <w:sz w:val="16"/>
                <w:szCs w:val="16"/>
                <w:lang w:val="uk-UA"/>
              </w:rPr>
              <w:t xml:space="preserve"> </w:t>
            </w:r>
            <w:proofErr w:type="spellStart"/>
            <w:r w:rsidRPr="0041560F">
              <w:rPr>
                <w:rFonts w:ascii="Times New Roman" w:hAnsi="Times New Roman"/>
                <w:color w:val="000000"/>
                <w:sz w:val="16"/>
                <w:szCs w:val="16"/>
                <w:lang w:val="uk-UA"/>
              </w:rPr>
              <w:t>The</w:t>
            </w:r>
            <w:proofErr w:type="spellEnd"/>
            <w:r w:rsidRPr="0041560F">
              <w:rPr>
                <w:rFonts w:ascii="Times New Roman" w:hAnsi="Times New Roman"/>
                <w:color w:val="000000"/>
                <w:sz w:val="16"/>
                <w:szCs w:val="16"/>
                <w:lang w:val="uk-UA"/>
              </w:rPr>
              <w:t xml:space="preserve"> </w:t>
            </w:r>
            <w:proofErr w:type="spellStart"/>
            <w:r w:rsidRPr="0041560F">
              <w:rPr>
                <w:rFonts w:ascii="Times New Roman" w:hAnsi="Times New Roman"/>
                <w:color w:val="000000"/>
                <w:sz w:val="16"/>
                <w:szCs w:val="16"/>
                <w:lang w:val="uk-UA"/>
              </w:rPr>
              <w:t>Depositor</w:t>
            </w:r>
            <w:proofErr w:type="spellEnd"/>
            <w:r w:rsidRPr="0041560F">
              <w:rPr>
                <w:rFonts w:ascii="Times New Roman" w:hAnsi="Times New Roman"/>
                <w:color w:val="000000"/>
                <w:sz w:val="16"/>
                <w:szCs w:val="16"/>
                <w:lang w:val="uk-UA"/>
              </w:rPr>
              <w:t xml:space="preserve"> </w:t>
            </w:r>
            <w:proofErr w:type="spellStart"/>
            <w:r w:rsidRPr="0041560F">
              <w:rPr>
                <w:rFonts w:ascii="Times New Roman" w:hAnsi="Times New Roman"/>
                <w:color w:val="000000"/>
                <w:sz w:val="16"/>
                <w:szCs w:val="16"/>
                <w:lang w:val="uk-UA"/>
              </w:rPr>
              <w:t>in</w:t>
            </w:r>
            <w:proofErr w:type="spellEnd"/>
            <w:r w:rsidRPr="0041560F">
              <w:rPr>
                <w:rFonts w:ascii="Times New Roman" w:hAnsi="Times New Roman"/>
                <w:color w:val="000000"/>
                <w:sz w:val="16"/>
                <w:szCs w:val="16"/>
                <w:lang w:val="uk-UA"/>
              </w:rPr>
              <w:t xml:space="preserve"> </w:t>
            </w:r>
            <w:proofErr w:type="spellStart"/>
            <w:r w:rsidRPr="0041560F">
              <w:rPr>
                <w:rFonts w:ascii="Times New Roman" w:hAnsi="Times New Roman"/>
                <w:color w:val="000000"/>
                <w:sz w:val="16"/>
                <w:szCs w:val="16"/>
                <w:lang w:val="uk-UA"/>
              </w:rPr>
              <w:t>execution</w:t>
            </w:r>
            <w:proofErr w:type="spellEnd"/>
            <w:r w:rsidRPr="0041560F">
              <w:rPr>
                <w:rFonts w:ascii="Times New Roman" w:hAnsi="Times New Roman"/>
                <w:color w:val="000000"/>
                <w:sz w:val="16"/>
                <w:szCs w:val="16"/>
                <w:lang w:val="uk-UA"/>
              </w:rPr>
              <w:t xml:space="preserve"> </w:t>
            </w:r>
            <w:proofErr w:type="spellStart"/>
            <w:r w:rsidRPr="0041560F">
              <w:rPr>
                <w:rFonts w:ascii="Times New Roman" w:hAnsi="Times New Roman"/>
                <w:color w:val="000000"/>
                <w:sz w:val="16"/>
                <w:szCs w:val="16"/>
                <w:lang w:val="uk-UA"/>
              </w:rPr>
              <w:t>of</w:t>
            </w:r>
            <w:proofErr w:type="spellEnd"/>
            <w:r w:rsidRPr="0041560F">
              <w:rPr>
                <w:rFonts w:ascii="Times New Roman" w:hAnsi="Times New Roman"/>
                <w:color w:val="000000"/>
                <w:sz w:val="16"/>
                <w:szCs w:val="16"/>
                <w:lang w:val="uk-UA"/>
              </w:rPr>
              <w:t xml:space="preserve"> </w:t>
            </w:r>
            <w:proofErr w:type="spellStart"/>
            <w:r w:rsidRPr="0041560F">
              <w:rPr>
                <w:rFonts w:ascii="Times New Roman" w:hAnsi="Times New Roman"/>
                <w:color w:val="000000"/>
                <w:sz w:val="16"/>
                <w:szCs w:val="16"/>
                <w:lang w:val="uk-UA"/>
              </w:rPr>
              <w:t>orders</w:t>
            </w:r>
            <w:proofErr w:type="spellEnd"/>
            <w:r w:rsidRPr="0041560F">
              <w:rPr>
                <w:rFonts w:ascii="Times New Roman" w:hAnsi="Times New Roman"/>
                <w:color w:val="000000"/>
                <w:sz w:val="16"/>
                <w:szCs w:val="16"/>
                <w:lang w:val="uk-UA"/>
              </w:rPr>
              <w:t xml:space="preserve"> </w:t>
            </w:r>
            <w:proofErr w:type="spellStart"/>
            <w:r w:rsidRPr="0041560F">
              <w:rPr>
                <w:rFonts w:ascii="Times New Roman" w:hAnsi="Times New Roman"/>
                <w:color w:val="000000"/>
                <w:sz w:val="16"/>
                <w:szCs w:val="16"/>
                <w:lang w:val="uk-UA"/>
              </w:rPr>
              <w:t>to</w:t>
            </w:r>
            <w:proofErr w:type="spellEnd"/>
            <w:r w:rsidRPr="0041560F">
              <w:rPr>
                <w:rFonts w:ascii="Times New Roman" w:hAnsi="Times New Roman"/>
                <w:color w:val="000000"/>
                <w:sz w:val="16"/>
                <w:szCs w:val="16"/>
                <w:lang w:val="uk-UA"/>
              </w:rPr>
              <w:t xml:space="preserve"> </w:t>
            </w:r>
            <w:proofErr w:type="spellStart"/>
            <w:r w:rsidRPr="0041560F">
              <w:rPr>
                <w:rFonts w:ascii="Times New Roman" w:hAnsi="Times New Roman"/>
                <w:color w:val="000000"/>
                <w:sz w:val="16"/>
                <w:szCs w:val="16"/>
                <w:lang w:val="uk-UA"/>
              </w:rPr>
              <w:t>conduct</w:t>
            </w:r>
            <w:proofErr w:type="spellEnd"/>
            <w:r w:rsidRPr="0041560F">
              <w:rPr>
                <w:rFonts w:ascii="Times New Roman" w:hAnsi="Times New Roman"/>
                <w:color w:val="000000"/>
                <w:sz w:val="16"/>
                <w:szCs w:val="16"/>
                <w:lang w:val="uk-UA"/>
              </w:rPr>
              <w:t xml:space="preserve"> </w:t>
            </w:r>
            <w:proofErr w:type="spellStart"/>
            <w:r w:rsidRPr="0041560F">
              <w:rPr>
                <w:rFonts w:ascii="Times New Roman" w:hAnsi="Times New Roman"/>
                <w:color w:val="000000"/>
                <w:sz w:val="16"/>
                <w:szCs w:val="16"/>
                <w:lang w:val="uk-UA"/>
              </w:rPr>
              <w:t>operations</w:t>
            </w:r>
            <w:proofErr w:type="spellEnd"/>
            <w:r w:rsidRPr="0041560F">
              <w:rPr>
                <w:rFonts w:ascii="Times New Roman" w:hAnsi="Times New Roman"/>
                <w:color w:val="000000"/>
                <w:sz w:val="16"/>
                <w:szCs w:val="16"/>
                <w:lang w:val="uk-UA"/>
              </w:rPr>
              <w:t xml:space="preserve"> </w:t>
            </w:r>
            <w:proofErr w:type="spellStart"/>
            <w:r w:rsidRPr="0041560F">
              <w:rPr>
                <w:rFonts w:ascii="Times New Roman" w:hAnsi="Times New Roman"/>
                <w:color w:val="000000"/>
                <w:sz w:val="16"/>
                <w:szCs w:val="16"/>
                <w:lang w:val="uk-UA"/>
              </w:rPr>
              <w:t>on</w:t>
            </w:r>
            <w:proofErr w:type="spellEnd"/>
            <w:r w:rsidRPr="0041560F">
              <w:rPr>
                <w:rFonts w:ascii="Times New Roman" w:hAnsi="Times New Roman"/>
                <w:color w:val="000000"/>
                <w:sz w:val="16"/>
                <w:szCs w:val="16"/>
                <w:lang w:val="uk-UA"/>
              </w:rPr>
              <w:t xml:space="preserve"> </w:t>
            </w:r>
            <w:proofErr w:type="spellStart"/>
            <w:r w:rsidRPr="0041560F">
              <w:rPr>
                <w:rFonts w:ascii="Times New Roman" w:hAnsi="Times New Roman"/>
                <w:color w:val="000000"/>
                <w:sz w:val="16"/>
                <w:szCs w:val="16"/>
                <w:lang w:val="uk-UA"/>
              </w:rPr>
              <w:t>his</w:t>
            </w:r>
            <w:proofErr w:type="spellEnd"/>
            <w:r w:rsidRPr="0041560F">
              <w:rPr>
                <w:rFonts w:ascii="Times New Roman" w:hAnsi="Times New Roman"/>
                <w:color w:val="000000"/>
                <w:sz w:val="16"/>
                <w:szCs w:val="16"/>
                <w:lang w:val="uk-UA"/>
              </w:rPr>
              <w:t xml:space="preserve"> </w:t>
            </w:r>
            <w:proofErr w:type="spellStart"/>
            <w:r w:rsidRPr="0041560F">
              <w:rPr>
                <w:rFonts w:ascii="Times New Roman" w:hAnsi="Times New Roman"/>
                <w:color w:val="000000"/>
                <w:sz w:val="16"/>
                <w:szCs w:val="16"/>
                <w:lang w:val="uk-UA"/>
              </w:rPr>
              <w:t>securities</w:t>
            </w:r>
            <w:proofErr w:type="spellEnd"/>
            <w:r w:rsidRPr="0041560F">
              <w:rPr>
                <w:rFonts w:ascii="Times New Roman" w:hAnsi="Times New Roman"/>
                <w:color w:val="000000"/>
                <w:sz w:val="16"/>
                <w:szCs w:val="16"/>
                <w:lang w:val="uk-UA"/>
              </w:rPr>
              <w:t xml:space="preserve"> </w:t>
            </w:r>
            <w:proofErr w:type="spellStart"/>
            <w:r w:rsidRPr="0041560F">
              <w:rPr>
                <w:rFonts w:ascii="Times New Roman" w:hAnsi="Times New Roman"/>
                <w:color w:val="000000"/>
                <w:sz w:val="16"/>
                <w:szCs w:val="16"/>
                <w:lang w:val="uk-UA"/>
              </w:rPr>
              <w:t>account</w:t>
            </w:r>
            <w:proofErr w:type="spellEnd"/>
            <w:r w:rsidRPr="0041560F">
              <w:rPr>
                <w:rFonts w:ascii="Times New Roman" w:hAnsi="Times New Roman"/>
                <w:color w:val="000000"/>
                <w:sz w:val="16"/>
                <w:szCs w:val="16"/>
                <w:lang w:val="uk-UA"/>
              </w:rPr>
              <w:t xml:space="preserve"> </w:t>
            </w:r>
            <w:proofErr w:type="spellStart"/>
            <w:r w:rsidRPr="0041560F">
              <w:rPr>
                <w:rFonts w:ascii="Times New Roman" w:hAnsi="Times New Roman"/>
                <w:color w:val="000000"/>
                <w:sz w:val="16"/>
                <w:szCs w:val="16"/>
                <w:lang w:val="uk-UA"/>
              </w:rPr>
              <w:t>in</w:t>
            </w:r>
            <w:proofErr w:type="spellEnd"/>
            <w:r w:rsidRPr="0041560F">
              <w:rPr>
                <w:rFonts w:ascii="Times New Roman" w:hAnsi="Times New Roman"/>
                <w:color w:val="000000"/>
                <w:sz w:val="16"/>
                <w:szCs w:val="16"/>
                <w:lang w:val="uk-UA"/>
              </w:rPr>
              <w:t xml:space="preserve"> </w:t>
            </w:r>
            <w:proofErr w:type="spellStart"/>
            <w:r w:rsidRPr="0041560F">
              <w:rPr>
                <w:rFonts w:ascii="Times New Roman" w:hAnsi="Times New Roman"/>
                <w:color w:val="000000"/>
                <w:sz w:val="16"/>
                <w:szCs w:val="16"/>
                <w:lang w:val="uk-UA"/>
              </w:rPr>
              <w:t>accordance</w:t>
            </w:r>
            <w:proofErr w:type="spellEnd"/>
            <w:r w:rsidRPr="0041560F">
              <w:rPr>
                <w:rFonts w:ascii="Times New Roman" w:hAnsi="Times New Roman"/>
                <w:color w:val="000000"/>
                <w:sz w:val="16"/>
                <w:szCs w:val="16"/>
                <w:lang w:val="uk-UA"/>
              </w:rPr>
              <w:t xml:space="preserve"> </w:t>
            </w:r>
            <w:proofErr w:type="spellStart"/>
            <w:r w:rsidRPr="0041560F">
              <w:rPr>
                <w:rFonts w:ascii="Times New Roman" w:hAnsi="Times New Roman"/>
                <w:color w:val="000000"/>
                <w:sz w:val="16"/>
                <w:szCs w:val="16"/>
                <w:lang w:val="uk-UA"/>
              </w:rPr>
              <w:t>with</w:t>
            </w:r>
            <w:proofErr w:type="spellEnd"/>
            <w:r w:rsidRPr="0041560F">
              <w:rPr>
                <w:rFonts w:ascii="Times New Roman" w:hAnsi="Times New Roman"/>
                <w:color w:val="000000"/>
                <w:sz w:val="16"/>
                <w:szCs w:val="16"/>
                <w:lang w:val="uk-UA"/>
              </w:rPr>
              <w:t xml:space="preserve"> </w:t>
            </w:r>
            <w:proofErr w:type="spellStart"/>
            <w:r w:rsidRPr="0041560F">
              <w:rPr>
                <w:rFonts w:ascii="Times New Roman" w:hAnsi="Times New Roman"/>
                <w:color w:val="000000"/>
                <w:sz w:val="16"/>
                <w:szCs w:val="16"/>
                <w:lang w:val="uk-UA"/>
              </w:rPr>
              <w:t>the</w:t>
            </w:r>
            <w:proofErr w:type="spellEnd"/>
            <w:r w:rsidRPr="0041560F">
              <w:rPr>
                <w:rFonts w:ascii="Times New Roman" w:hAnsi="Times New Roman"/>
                <w:color w:val="000000"/>
                <w:sz w:val="16"/>
                <w:szCs w:val="16"/>
                <w:lang w:val="uk-UA"/>
              </w:rPr>
              <w:t xml:space="preserve"> </w:t>
            </w:r>
            <w:proofErr w:type="spellStart"/>
            <w:r w:rsidRPr="0041560F">
              <w:rPr>
                <w:rFonts w:ascii="Times New Roman" w:hAnsi="Times New Roman"/>
                <w:color w:val="000000"/>
                <w:sz w:val="16"/>
                <w:szCs w:val="16"/>
                <w:lang w:val="uk-UA"/>
              </w:rPr>
              <w:t>legislation</w:t>
            </w:r>
            <w:proofErr w:type="spellEnd"/>
            <w:r w:rsidRPr="0041560F">
              <w:rPr>
                <w:rFonts w:ascii="Times New Roman" w:hAnsi="Times New Roman"/>
                <w:color w:val="000000"/>
                <w:sz w:val="16"/>
                <w:szCs w:val="16"/>
                <w:lang w:val="uk-UA"/>
              </w:rPr>
              <w:t xml:space="preserve"> </w:t>
            </w:r>
            <w:proofErr w:type="spellStart"/>
            <w:r w:rsidRPr="0041560F">
              <w:rPr>
                <w:rFonts w:ascii="Times New Roman" w:hAnsi="Times New Roman"/>
                <w:color w:val="000000"/>
                <w:sz w:val="16"/>
                <w:szCs w:val="16"/>
                <w:lang w:val="uk-UA"/>
              </w:rPr>
              <w:t>and</w:t>
            </w:r>
            <w:proofErr w:type="spellEnd"/>
            <w:r w:rsidRPr="0041560F">
              <w:rPr>
                <w:rFonts w:ascii="Times New Roman" w:hAnsi="Times New Roman"/>
                <w:color w:val="000000"/>
                <w:sz w:val="16"/>
                <w:szCs w:val="16"/>
                <w:lang w:val="uk-UA"/>
              </w:rPr>
              <w:t xml:space="preserve"> </w:t>
            </w:r>
            <w:proofErr w:type="spellStart"/>
            <w:r w:rsidRPr="0041560F">
              <w:rPr>
                <w:rFonts w:ascii="Times New Roman" w:hAnsi="Times New Roman"/>
                <w:color w:val="000000"/>
                <w:sz w:val="16"/>
                <w:szCs w:val="16"/>
                <w:lang w:val="uk-UA"/>
              </w:rPr>
              <w:t>internal</w:t>
            </w:r>
            <w:proofErr w:type="spellEnd"/>
            <w:r w:rsidRPr="0041560F">
              <w:rPr>
                <w:rFonts w:ascii="Times New Roman" w:hAnsi="Times New Roman"/>
                <w:color w:val="000000"/>
                <w:sz w:val="16"/>
                <w:szCs w:val="16"/>
                <w:lang w:val="uk-UA"/>
              </w:rPr>
              <w:t xml:space="preserve"> </w:t>
            </w:r>
            <w:proofErr w:type="spellStart"/>
            <w:r w:rsidRPr="0041560F">
              <w:rPr>
                <w:rFonts w:ascii="Times New Roman" w:hAnsi="Times New Roman"/>
                <w:color w:val="000000"/>
                <w:sz w:val="16"/>
                <w:szCs w:val="16"/>
                <w:lang w:val="uk-UA"/>
              </w:rPr>
              <w:t>documents</w:t>
            </w:r>
            <w:proofErr w:type="spellEnd"/>
            <w:r w:rsidRPr="0041560F">
              <w:rPr>
                <w:rFonts w:ascii="Times New Roman" w:hAnsi="Times New Roman"/>
                <w:color w:val="000000"/>
                <w:sz w:val="16"/>
                <w:szCs w:val="16"/>
                <w:lang w:val="uk-UA"/>
              </w:rPr>
              <w:t xml:space="preserve"> </w:t>
            </w:r>
            <w:proofErr w:type="spellStart"/>
            <w:r w:rsidRPr="0041560F">
              <w:rPr>
                <w:rFonts w:ascii="Times New Roman" w:hAnsi="Times New Roman"/>
                <w:color w:val="000000"/>
                <w:sz w:val="16"/>
                <w:szCs w:val="16"/>
                <w:lang w:val="uk-UA"/>
              </w:rPr>
              <w:t>of</w:t>
            </w:r>
            <w:proofErr w:type="spellEnd"/>
            <w:r w:rsidRPr="0041560F">
              <w:rPr>
                <w:rFonts w:ascii="Times New Roman" w:hAnsi="Times New Roman"/>
                <w:color w:val="000000"/>
                <w:sz w:val="16"/>
                <w:szCs w:val="16"/>
                <w:lang w:val="uk-UA"/>
              </w:rPr>
              <w:t xml:space="preserve"> </w:t>
            </w:r>
            <w:proofErr w:type="spellStart"/>
            <w:r w:rsidRPr="0041560F">
              <w:rPr>
                <w:rFonts w:ascii="Times New Roman" w:hAnsi="Times New Roman"/>
                <w:color w:val="000000"/>
                <w:sz w:val="16"/>
                <w:szCs w:val="16"/>
                <w:lang w:val="uk-UA"/>
              </w:rPr>
              <w:t>the</w:t>
            </w:r>
            <w:proofErr w:type="spellEnd"/>
            <w:r w:rsidRPr="0041560F">
              <w:rPr>
                <w:rFonts w:ascii="Times New Roman" w:hAnsi="Times New Roman"/>
                <w:color w:val="000000"/>
                <w:sz w:val="16"/>
                <w:szCs w:val="16"/>
                <w:lang w:val="uk-UA"/>
              </w:rPr>
              <w:t xml:space="preserve"> </w:t>
            </w:r>
            <w:proofErr w:type="spellStart"/>
            <w:r w:rsidRPr="0041560F">
              <w:rPr>
                <w:rFonts w:ascii="Times New Roman" w:hAnsi="Times New Roman"/>
                <w:color w:val="000000"/>
                <w:sz w:val="16"/>
                <w:szCs w:val="16"/>
                <w:lang w:val="uk-UA"/>
              </w:rPr>
              <w:t>Depository</w:t>
            </w:r>
            <w:proofErr w:type="spellEnd"/>
            <w:r w:rsidRPr="0041560F">
              <w:rPr>
                <w:rFonts w:ascii="Times New Roman" w:hAnsi="Times New Roman"/>
                <w:color w:val="000000"/>
                <w:sz w:val="16"/>
                <w:szCs w:val="16"/>
                <w:lang w:val="uk-UA"/>
              </w:rPr>
              <w:t xml:space="preserve"> </w:t>
            </w:r>
            <w:proofErr w:type="spellStart"/>
            <w:r w:rsidRPr="0041560F">
              <w:rPr>
                <w:rFonts w:ascii="Times New Roman" w:hAnsi="Times New Roman"/>
                <w:color w:val="000000"/>
                <w:sz w:val="16"/>
                <w:szCs w:val="16"/>
                <w:lang w:val="uk-UA"/>
              </w:rPr>
              <w:t>Institution</w:t>
            </w:r>
            <w:proofErr w:type="spellEnd"/>
            <w:r w:rsidRPr="0041560F">
              <w:rPr>
                <w:rFonts w:ascii="Times New Roman" w:hAnsi="Times New Roman"/>
                <w:color w:val="000000"/>
                <w:sz w:val="16"/>
                <w:szCs w:val="16"/>
                <w:lang w:val="uk-UA"/>
              </w:rPr>
              <w:t>.</w:t>
            </w:r>
          </w:p>
          <w:p w14:paraId="7C4285B9" w14:textId="77777777" w:rsidR="0041560F" w:rsidRPr="0041560F" w:rsidRDefault="0041560F" w:rsidP="0041560F">
            <w:pPr>
              <w:pStyle w:val="210"/>
              <w:widowControl w:val="0"/>
              <w:tabs>
                <w:tab w:val="left" w:pos="540"/>
              </w:tabs>
              <w:snapToGrid w:val="0"/>
              <w:ind w:left="175" w:right="138" w:firstLine="7"/>
              <w:rPr>
                <w:rFonts w:ascii="Times New Roman" w:hAnsi="Times New Roman"/>
                <w:color w:val="000000"/>
                <w:sz w:val="16"/>
                <w:szCs w:val="16"/>
              </w:rPr>
            </w:pPr>
          </w:p>
          <w:p w14:paraId="22F5BB24" w14:textId="77777777" w:rsidR="0041560F" w:rsidRPr="0041560F" w:rsidRDefault="0041560F" w:rsidP="0041560F">
            <w:pPr>
              <w:pStyle w:val="210"/>
              <w:snapToGrid w:val="0"/>
              <w:ind w:left="175" w:right="138" w:firstLine="7"/>
              <w:rPr>
                <w:rFonts w:ascii="Times New Roman" w:hAnsi="Times New Roman"/>
                <w:color w:val="000000"/>
                <w:sz w:val="16"/>
                <w:szCs w:val="16"/>
              </w:rPr>
            </w:pPr>
          </w:p>
        </w:tc>
      </w:tr>
      <w:tr w:rsidR="005C5318" w:rsidRPr="00F23413" w14:paraId="5296C838" w14:textId="77777777" w:rsidTr="005E418B">
        <w:trPr>
          <w:trHeight w:val="192"/>
        </w:trPr>
        <w:tc>
          <w:tcPr>
            <w:tcW w:w="5695" w:type="dxa"/>
            <w:gridSpan w:val="6"/>
            <w:shd w:val="clear" w:color="auto" w:fill="auto"/>
          </w:tcPr>
          <w:p w14:paraId="686F1DA8" w14:textId="77777777" w:rsidR="005C5318" w:rsidRPr="00E16672" w:rsidRDefault="005C5318" w:rsidP="005C5318">
            <w:pPr>
              <w:snapToGrid w:val="0"/>
              <w:ind w:left="40" w:right="138" w:firstLine="426"/>
              <w:rPr>
                <w:rFonts w:ascii="Times New Roman" w:hAnsi="Times New Roman"/>
                <w:sz w:val="16"/>
                <w:szCs w:val="16"/>
                <w:lang w:val="en-US"/>
              </w:rPr>
            </w:pPr>
          </w:p>
          <w:p w14:paraId="09D1A7C7" w14:textId="77777777" w:rsidR="005C5318" w:rsidRPr="00E16672" w:rsidRDefault="005C5318" w:rsidP="00BA1F32">
            <w:pPr>
              <w:tabs>
                <w:tab w:val="left" w:pos="709"/>
              </w:tabs>
              <w:ind w:right="138" w:firstLine="37"/>
              <w:rPr>
                <w:rFonts w:ascii="Times New Roman" w:hAnsi="Times New Roman"/>
                <w:b/>
                <w:sz w:val="16"/>
                <w:szCs w:val="16"/>
              </w:rPr>
            </w:pPr>
            <w:r w:rsidRPr="00E16672">
              <w:rPr>
                <w:rFonts w:ascii="Times New Roman" w:hAnsi="Times New Roman"/>
                <w:b/>
                <w:sz w:val="16"/>
                <w:szCs w:val="16"/>
              </w:rPr>
              <w:t xml:space="preserve">2.3. Депонент </w:t>
            </w:r>
            <w:proofErr w:type="spellStart"/>
            <w:r w:rsidRPr="00E16672">
              <w:rPr>
                <w:rFonts w:ascii="Times New Roman" w:hAnsi="Times New Roman"/>
                <w:b/>
                <w:sz w:val="16"/>
                <w:szCs w:val="16"/>
              </w:rPr>
              <w:t>зобов’язаний</w:t>
            </w:r>
            <w:proofErr w:type="spellEnd"/>
            <w:r w:rsidRPr="00E16672">
              <w:rPr>
                <w:rFonts w:ascii="Times New Roman" w:hAnsi="Times New Roman"/>
                <w:b/>
                <w:sz w:val="16"/>
                <w:szCs w:val="16"/>
              </w:rPr>
              <w:t>:</w:t>
            </w:r>
          </w:p>
          <w:p w14:paraId="4B1E266E" w14:textId="77777777" w:rsidR="005C5318" w:rsidRPr="00E16672" w:rsidRDefault="005C5318" w:rsidP="005C5318">
            <w:pPr>
              <w:tabs>
                <w:tab w:val="left" w:pos="709"/>
              </w:tabs>
              <w:ind w:left="40" w:right="138" w:firstLine="426"/>
              <w:rPr>
                <w:rFonts w:ascii="Times New Roman" w:hAnsi="Times New Roman"/>
                <w:sz w:val="16"/>
                <w:szCs w:val="16"/>
              </w:rPr>
            </w:pPr>
          </w:p>
          <w:p w14:paraId="5EB51915" w14:textId="48DF8710" w:rsidR="005C5318" w:rsidRPr="00E16672" w:rsidRDefault="005C5318" w:rsidP="005C5318">
            <w:pPr>
              <w:tabs>
                <w:tab w:val="left" w:pos="709"/>
              </w:tabs>
              <w:ind w:left="40" w:right="138" w:firstLine="0"/>
              <w:rPr>
                <w:rFonts w:ascii="Times New Roman" w:hAnsi="Times New Roman"/>
                <w:sz w:val="16"/>
                <w:szCs w:val="16"/>
                <w:lang w:val="uk-UA"/>
              </w:rPr>
            </w:pPr>
            <w:r w:rsidRPr="00E16672">
              <w:rPr>
                <w:rFonts w:ascii="Times New Roman" w:hAnsi="Times New Roman"/>
                <w:sz w:val="16"/>
                <w:szCs w:val="16"/>
              </w:rPr>
              <w:t xml:space="preserve">2.3.1. </w:t>
            </w:r>
            <w:proofErr w:type="spellStart"/>
            <w:r w:rsidRPr="00E16672">
              <w:rPr>
                <w:rFonts w:ascii="Times New Roman" w:hAnsi="Times New Roman"/>
                <w:sz w:val="16"/>
                <w:szCs w:val="16"/>
              </w:rPr>
              <w:t>Надати</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Депозитарній</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установі</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належним</w:t>
            </w:r>
            <w:proofErr w:type="spellEnd"/>
            <w:r w:rsidRPr="00E16672">
              <w:rPr>
                <w:rFonts w:ascii="Times New Roman" w:hAnsi="Times New Roman"/>
                <w:sz w:val="16"/>
                <w:szCs w:val="16"/>
              </w:rPr>
              <w:t xml:space="preserve"> чином </w:t>
            </w:r>
            <w:proofErr w:type="spellStart"/>
            <w:r w:rsidRPr="00E16672">
              <w:rPr>
                <w:rFonts w:ascii="Times New Roman" w:hAnsi="Times New Roman"/>
                <w:sz w:val="16"/>
                <w:szCs w:val="16"/>
              </w:rPr>
              <w:t>оформлені</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документи</w:t>
            </w:r>
            <w:proofErr w:type="spellEnd"/>
            <w:r w:rsidR="004853D0">
              <w:rPr>
                <w:rFonts w:ascii="Times New Roman" w:hAnsi="Times New Roman"/>
                <w:sz w:val="16"/>
                <w:szCs w:val="16"/>
                <w:lang w:val="uk-UA"/>
              </w:rPr>
              <w:t xml:space="preserve"> </w:t>
            </w:r>
            <w:r w:rsidR="004853D0" w:rsidRPr="004853D0">
              <w:rPr>
                <w:rFonts w:ascii="Times New Roman" w:hAnsi="Times New Roman"/>
                <w:sz w:val="16"/>
                <w:szCs w:val="16"/>
                <w:lang w:val="uk-UA"/>
              </w:rPr>
              <w:t>та інформацію</w:t>
            </w:r>
            <w:r w:rsidRPr="00E16672">
              <w:rPr>
                <w:rFonts w:ascii="Times New Roman" w:hAnsi="Times New Roman"/>
                <w:sz w:val="16"/>
                <w:szCs w:val="16"/>
              </w:rPr>
              <w:t xml:space="preserve">, </w:t>
            </w:r>
            <w:proofErr w:type="spellStart"/>
            <w:r w:rsidRPr="00E16672">
              <w:rPr>
                <w:rFonts w:ascii="Times New Roman" w:hAnsi="Times New Roman"/>
                <w:sz w:val="16"/>
                <w:szCs w:val="16"/>
              </w:rPr>
              <w:t>визначені</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законодавством</w:t>
            </w:r>
            <w:proofErr w:type="spellEnd"/>
            <w:r w:rsidRPr="00E16672">
              <w:rPr>
                <w:rFonts w:ascii="Times New Roman" w:hAnsi="Times New Roman"/>
                <w:sz w:val="16"/>
                <w:szCs w:val="16"/>
              </w:rPr>
              <w:t xml:space="preserve"> та </w:t>
            </w:r>
            <w:proofErr w:type="spellStart"/>
            <w:r w:rsidRPr="00E16672">
              <w:rPr>
                <w:rFonts w:ascii="Times New Roman" w:hAnsi="Times New Roman"/>
                <w:sz w:val="16"/>
                <w:szCs w:val="16"/>
              </w:rPr>
              <w:t>внутрішніми</w:t>
            </w:r>
            <w:proofErr w:type="spellEnd"/>
            <w:r w:rsidRPr="00E16672">
              <w:rPr>
                <w:rFonts w:ascii="Times New Roman" w:hAnsi="Times New Roman"/>
                <w:sz w:val="16"/>
                <w:szCs w:val="16"/>
              </w:rPr>
              <w:t xml:space="preserve"> документами </w:t>
            </w:r>
            <w:proofErr w:type="spellStart"/>
            <w:r w:rsidRPr="00E16672">
              <w:rPr>
                <w:rFonts w:ascii="Times New Roman" w:hAnsi="Times New Roman"/>
                <w:sz w:val="16"/>
                <w:szCs w:val="16"/>
              </w:rPr>
              <w:t>Депозитарної</w:t>
            </w:r>
            <w:proofErr w:type="spellEnd"/>
            <w:r w:rsidRPr="00E16672">
              <w:rPr>
                <w:rFonts w:ascii="Times New Roman" w:hAnsi="Times New Roman"/>
                <w:sz w:val="16"/>
                <w:szCs w:val="16"/>
              </w:rPr>
              <w:t xml:space="preserve"> установи, </w:t>
            </w:r>
            <w:proofErr w:type="spellStart"/>
            <w:r w:rsidRPr="00E16672">
              <w:rPr>
                <w:rFonts w:ascii="Times New Roman" w:hAnsi="Times New Roman"/>
                <w:sz w:val="16"/>
                <w:szCs w:val="16"/>
              </w:rPr>
              <w:t>необхідні</w:t>
            </w:r>
            <w:proofErr w:type="spellEnd"/>
            <w:r w:rsidRPr="00E16672">
              <w:rPr>
                <w:rFonts w:ascii="Times New Roman" w:hAnsi="Times New Roman"/>
                <w:sz w:val="16"/>
                <w:szCs w:val="16"/>
              </w:rPr>
              <w:t xml:space="preserve"> для </w:t>
            </w:r>
            <w:proofErr w:type="spellStart"/>
            <w:r w:rsidRPr="00E16672">
              <w:rPr>
                <w:rFonts w:ascii="Times New Roman" w:hAnsi="Times New Roman"/>
                <w:sz w:val="16"/>
                <w:szCs w:val="16"/>
              </w:rPr>
              <w:t>відкриття</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рахунку</w:t>
            </w:r>
            <w:proofErr w:type="spellEnd"/>
            <w:r w:rsidRPr="00E16672">
              <w:rPr>
                <w:rFonts w:ascii="Times New Roman" w:hAnsi="Times New Roman"/>
                <w:sz w:val="16"/>
                <w:szCs w:val="16"/>
              </w:rPr>
              <w:t xml:space="preserve"> в </w:t>
            </w:r>
            <w:proofErr w:type="spellStart"/>
            <w:r w:rsidRPr="00E16672">
              <w:rPr>
                <w:rFonts w:ascii="Times New Roman" w:hAnsi="Times New Roman"/>
                <w:sz w:val="16"/>
                <w:szCs w:val="16"/>
              </w:rPr>
              <w:t>цінних</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паперах</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протягом</w:t>
            </w:r>
            <w:proofErr w:type="spellEnd"/>
            <w:r w:rsidRPr="00E16672">
              <w:rPr>
                <w:rFonts w:ascii="Times New Roman" w:hAnsi="Times New Roman"/>
                <w:sz w:val="16"/>
                <w:szCs w:val="16"/>
              </w:rPr>
              <w:t xml:space="preserve"> </w:t>
            </w:r>
            <w:proofErr w:type="spellStart"/>
            <w:r w:rsidRPr="00E16672">
              <w:rPr>
                <w:rFonts w:ascii="Times New Roman" w:hAnsi="Times New Roman"/>
                <w:i/>
                <w:sz w:val="16"/>
                <w:szCs w:val="16"/>
              </w:rPr>
              <w:t>п'яти</w:t>
            </w:r>
            <w:proofErr w:type="spellEnd"/>
            <w:r w:rsidRPr="00E16672">
              <w:rPr>
                <w:rFonts w:ascii="Times New Roman" w:hAnsi="Times New Roman"/>
                <w:i/>
                <w:sz w:val="16"/>
                <w:szCs w:val="16"/>
              </w:rPr>
              <w:t xml:space="preserve"> </w:t>
            </w:r>
            <w:proofErr w:type="spellStart"/>
            <w:r w:rsidRPr="00E16672">
              <w:rPr>
                <w:rFonts w:ascii="Times New Roman" w:hAnsi="Times New Roman"/>
                <w:i/>
                <w:sz w:val="16"/>
                <w:szCs w:val="16"/>
              </w:rPr>
              <w:t>робочих</w:t>
            </w:r>
            <w:proofErr w:type="spellEnd"/>
            <w:r w:rsidRPr="00E16672">
              <w:rPr>
                <w:rFonts w:ascii="Times New Roman" w:hAnsi="Times New Roman"/>
                <w:i/>
                <w:sz w:val="16"/>
                <w:szCs w:val="16"/>
              </w:rPr>
              <w:t xml:space="preserve"> </w:t>
            </w:r>
            <w:proofErr w:type="spellStart"/>
            <w:r w:rsidRPr="00E16672">
              <w:rPr>
                <w:rFonts w:ascii="Times New Roman" w:hAnsi="Times New Roman"/>
                <w:i/>
                <w:sz w:val="16"/>
                <w:szCs w:val="16"/>
              </w:rPr>
              <w:t>днів</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після</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укладення</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цього</w:t>
            </w:r>
            <w:proofErr w:type="spellEnd"/>
            <w:r w:rsidRPr="00E16672">
              <w:rPr>
                <w:rFonts w:ascii="Times New Roman" w:hAnsi="Times New Roman"/>
                <w:sz w:val="16"/>
                <w:szCs w:val="16"/>
              </w:rPr>
              <w:t xml:space="preserve"> Договору.</w:t>
            </w:r>
            <w:r w:rsidRPr="00E16672">
              <w:rPr>
                <w:rFonts w:ascii="Times New Roman" w:hAnsi="Times New Roman"/>
                <w:szCs w:val="20"/>
                <w:lang w:val="uk-UA"/>
              </w:rPr>
              <w:t xml:space="preserve"> </w:t>
            </w:r>
            <w:r w:rsidRPr="00E16672">
              <w:rPr>
                <w:rFonts w:ascii="Times New Roman" w:hAnsi="Times New Roman"/>
                <w:sz w:val="16"/>
                <w:szCs w:val="20"/>
                <w:lang w:val="uk-UA"/>
              </w:rPr>
              <w:t>Надавати повні та достовірні відомості, документи, передбачені законодавством як обов’язкові для надання, або згідно внутрішніх документів Депозитарної установи необхідні для виконання Депозитарною установою вимог цього  Договору, в тому числі щодо ідентифікації особи.</w:t>
            </w:r>
          </w:p>
          <w:p w14:paraId="649033A3" w14:textId="77777777" w:rsidR="005C5318" w:rsidRPr="00E16672" w:rsidRDefault="005C5318" w:rsidP="005C5318">
            <w:pPr>
              <w:pStyle w:val="1b"/>
              <w:spacing w:before="0" w:after="0"/>
              <w:ind w:left="40" w:right="138" w:firstLine="426"/>
              <w:rPr>
                <w:rFonts w:ascii="Times New Roman" w:eastAsia="Times New Roman" w:hAnsi="Times New Roman" w:cs="Times New Roman"/>
                <w:sz w:val="16"/>
                <w:szCs w:val="16"/>
              </w:rPr>
            </w:pPr>
          </w:p>
        </w:tc>
        <w:tc>
          <w:tcPr>
            <w:tcW w:w="5495" w:type="dxa"/>
            <w:gridSpan w:val="6"/>
            <w:shd w:val="clear" w:color="auto" w:fill="auto"/>
          </w:tcPr>
          <w:p w14:paraId="0B19DB78" w14:textId="77777777" w:rsidR="005C5318" w:rsidRPr="00E16672" w:rsidRDefault="005C5318" w:rsidP="005C5318">
            <w:pPr>
              <w:tabs>
                <w:tab w:val="left" w:pos="287"/>
              </w:tabs>
              <w:snapToGrid w:val="0"/>
              <w:ind w:left="145" w:right="100"/>
              <w:rPr>
                <w:rFonts w:ascii="Times New Roman" w:hAnsi="Times New Roman"/>
                <w:b/>
                <w:bCs/>
                <w:sz w:val="16"/>
                <w:szCs w:val="16"/>
                <w:lang w:val="uk-UA"/>
              </w:rPr>
            </w:pPr>
          </w:p>
          <w:p w14:paraId="7A05499B" w14:textId="77777777" w:rsidR="005C5318" w:rsidRPr="00E16672" w:rsidRDefault="005C5318" w:rsidP="00BA1F32">
            <w:pPr>
              <w:tabs>
                <w:tab w:val="left" w:pos="287"/>
              </w:tabs>
              <w:ind w:left="145" w:right="100" w:firstLine="3"/>
              <w:rPr>
                <w:rFonts w:ascii="Times New Roman" w:hAnsi="Times New Roman"/>
                <w:b/>
                <w:bCs/>
                <w:sz w:val="16"/>
                <w:szCs w:val="16"/>
                <w:lang w:val="en-GB"/>
              </w:rPr>
            </w:pPr>
            <w:r w:rsidRPr="00E16672">
              <w:rPr>
                <w:rFonts w:ascii="Times New Roman" w:hAnsi="Times New Roman"/>
                <w:b/>
                <w:sz w:val="16"/>
                <w:szCs w:val="16"/>
                <w:lang w:val="en-US"/>
              </w:rPr>
              <w:t>2</w:t>
            </w:r>
            <w:r w:rsidRPr="00E16672">
              <w:rPr>
                <w:rFonts w:ascii="Times New Roman" w:hAnsi="Times New Roman"/>
                <w:b/>
                <w:sz w:val="16"/>
                <w:szCs w:val="16"/>
                <w:lang w:val="en-GB"/>
              </w:rPr>
              <w:t>.</w:t>
            </w:r>
            <w:r w:rsidRPr="00E16672">
              <w:rPr>
                <w:rFonts w:ascii="Times New Roman" w:hAnsi="Times New Roman"/>
                <w:b/>
                <w:sz w:val="16"/>
                <w:szCs w:val="16"/>
                <w:lang w:val="en-US"/>
              </w:rPr>
              <w:t>3</w:t>
            </w:r>
            <w:r w:rsidRPr="00E16672">
              <w:rPr>
                <w:rFonts w:ascii="Times New Roman" w:hAnsi="Times New Roman"/>
                <w:b/>
                <w:bCs/>
                <w:sz w:val="16"/>
                <w:szCs w:val="16"/>
                <w:lang w:val="en-GB"/>
              </w:rPr>
              <w:t>. Depositor shall be obliged:</w:t>
            </w:r>
          </w:p>
          <w:p w14:paraId="37E5B64C" w14:textId="77777777" w:rsidR="005C5318" w:rsidRPr="00E16672" w:rsidRDefault="005C5318" w:rsidP="005C5318">
            <w:pPr>
              <w:tabs>
                <w:tab w:val="left" w:pos="287"/>
              </w:tabs>
              <w:ind w:left="145" w:right="100"/>
              <w:rPr>
                <w:rFonts w:ascii="Times New Roman" w:hAnsi="Times New Roman"/>
                <w:b/>
                <w:bCs/>
                <w:sz w:val="16"/>
                <w:szCs w:val="16"/>
                <w:lang w:val="en-GB"/>
              </w:rPr>
            </w:pPr>
          </w:p>
          <w:p w14:paraId="028F462C" w14:textId="6C860F64" w:rsidR="005C5318" w:rsidRPr="00E16672" w:rsidRDefault="005C5318" w:rsidP="005C5318">
            <w:pPr>
              <w:tabs>
                <w:tab w:val="left" w:pos="287"/>
              </w:tabs>
              <w:ind w:left="145" w:right="100" w:firstLine="0"/>
              <w:rPr>
                <w:rFonts w:ascii="Times New Roman" w:hAnsi="Times New Roman"/>
                <w:sz w:val="16"/>
                <w:szCs w:val="16"/>
                <w:lang w:val="en-GB"/>
              </w:rPr>
            </w:pPr>
            <w:r w:rsidRPr="00E16672">
              <w:rPr>
                <w:rFonts w:ascii="Times New Roman" w:hAnsi="Times New Roman"/>
                <w:sz w:val="16"/>
                <w:szCs w:val="16"/>
                <w:lang w:val="en-US"/>
              </w:rPr>
              <w:t>2</w:t>
            </w:r>
            <w:r w:rsidRPr="00E16672">
              <w:rPr>
                <w:rFonts w:ascii="Times New Roman" w:hAnsi="Times New Roman"/>
                <w:sz w:val="16"/>
                <w:szCs w:val="16"/>
                <w:lang w:val="en-GB"/>
              </w:rPr>
              <w:t>.</w:t>
            </w:r>
            <w:r w:rsidRPr="00E16672">
              <w:rPr>
                <w:rFonts w:ascii="Times New Roman" w:hAnsi="Times New Roman"/>
                <w:sz w:val="16"/>
                <w:szCs w:val="16"/>
                <w:lang w:val="en-US"/>
              </w:rPr>
              <w:t>3</w:t>
            </w:r>
            <w:r w:rsidRPr="00E16672">
              <w:rPr>
                <w:rFonts w:ascii="Times New Roman" w:hAnsi="Times New Roman"/>
                <w:sz w:val="16"/>
                <w:szCs w:val="16"/>
                <w:lang w:val="en-GB"/>
              </w:rPr>
              <w:t>.1.  To provide a Depository institution duly executed documents</w:t>
            </w:r>
            <w:r w:rsidR="004853D0">
              <w:rPr>
                <w:rFonts w:ascii="Times New Roman" w:hAnsi="Times New Roman"/>
                <w:sz w:val="16"/>
                <w:szCs w:val="16"/>
                <w:lang w:val="uk-UA"/>
              </w:rPr>
              <w:t xml:space="preserve"> </w:t>
            </w:r>
            <w:proofErr w:type="spellStart"/>
            <w:r w:rsidR="004853D0" w:rsidRPr="004853D0">
              <w:rPr>
                <w:rFonts w:ascii="Times New Roman" w:hAnsi="Times New Roman"/>
                <w:sz w:val="16"/>
                <w:szCs w:val="16"/>
                <w:lang w:val="uk-UA"/>
              </w:rPr>
              <w:t>and</w:t>
            </w:r>
            <w:proofErr w:type="spellEnd"/>
            <w:r w:rsidR="004853D0" w:rsidRPr="004853D0">
              <w:rPr>
                <w:rFonts w:ascii="Times New Roman" w:hAnsi="Times New Roman"/>
                <w:sz w:val="16"/>
                <w:szCs w:val="16"/>
                <w:lang w:val="uk-UA"/>
              </w:rPr>
              <w:t xml:space="preserve"> </w:t>
            </w:r>
            <w:proofErr w:type="spellStart"/>
            <w:r w:rsidR="004853D0" w:rsidRPr="004853D0">
              <w:rPr>
                <w:rFonts w:ascii="Times New Roman" w:hAnsi="Times New Roman"/>
                <w:sz w:val="16"/>
                <w:szCs w:val="16"/>
                <w:lang w:val="uk-UA"/>
              </w:rPr>
              <w:t>information</w:t>
            </w:r>
            <w:proofErr w:type="spellEnd"/>
            <w:r w:rsidRPr="00E16672">
              <w:rPr>
                <w:rFonts w:ascii="Times New Roman" w:hAnsi="Times New Roman"/>
                <w:sz w:val="16"/>
                <w:szCs w:val="16"/>
                <w:lang w:val="en-GB"/>
              </w:rPr>
              <w:t xml:space="preserve"> specified by law and internal </w:t>
            </w:r>
            <w:proofErr w:type="gramStart"/>
            <w:r w:rsidRPr="00E16672">
              <w:rPr>
                <w:rFonts w:ascii="Times New Roman" w:hAnsi="Times New Roman"/>
                <w:sz w:val="16"/>
                <w:szCs w:val="16"/>
                <w:lang w:val="en-GB"/>
              </w:rPr>
              <w:t>documents  of</w:t>
            </w:r>
            <w:proofErr w:type="gramEnd"/>
            <w:r w:rsidRPr="00E16672">
              <w:rPr>
                <w:rFonts w:ascii="Times New Roman" w:hAnsi="Times New Roman"/>
                <w:sz w:val="16"/>
                <w:szCs w:val="16"/>
                <w:lang w:val="en-GB"/>
              </w:rPr>
              <w:t xml:space="preserve"> Depository institution required for opening an account in securities </w:t>
            </w:r>
            <w:r w:rsidRPr="00E16672">
              <w:rPr>
                <w:rFonts w:ascii="Times New Roman" w:hAnsi="Times New Roman"/>
                <w:i/>
                <w:sz w:val="16"/>
                <w:szCs w:val="16"/>
                <w:lang w:val="en-GB"/>
              </w:rPr>
              <w:t>within five working days</w:t>
            </w:r>
            <w:r w:rsidRPr="00E16672">
              <w:rPr>
                <w:rFonts w:ascii="Times New Roman" w:hAnsi="Times New Roman"/>
                <w:sz w:val="16"/>
                <w:szCs w:val="16"/>
                <w:lang w:val="en-GB"/>
              </w:rPr>
              <w:t xml:space="preserve"> after the conclusion of the Agreement.</w:t>
            </w:r>
            <w:r w:rsidRPr="00F23413">
              <w:rPr>
                <w:rFonts w:ascii="Times New Roman" w:hAnsi="Times New Roman"/>
                <w:sz w:val="16"/>
                <w:szCs w:val="16"/>
                <w:lang w:val="en-US"/>
              </w:rPr>
              <w:t xml:space="preserve"> Provide complete and reliable information, documents stipulated by law as obligatory to provide, or in accordance with the internal documents of the Depository, necessary for the execution of the requirements of this Agreement by the Depository, including the identification of the person.</w:t>
            </w:r>
          </w:p>
          <w:p w14:paraId="4D83C12D" w14:textId="77777777" w:rsidR="005C5318" w:rsidRPr="00E16672" w:rsidRDefault="005C5318" w:rsidP="005C5318">
            <w:pPr>
              <w:tabs>
                <w:tab w:val="left" w:pos="287"/>
              </w:tabs>
              <w:ind w:left="145" w:right="100"/>
              <w:rPr>
                <w:rFonts w:ascii="Times New Roman" w:hAnsi="Times New Roman"/>
                <w:b/>
                <w:bCs/>
                <w:sz w:val="16"/>
                <w:szCs w:val="16"/>
                <w:lang w:val="en-GB"/>
              </w:rPr>
            </w:pPr>
          </w:p>
        </w:tc>
      </w:tr>
      <w:tr w:rsidR="005C5318" w:rsidRPr="00F23413" w14:paraId="766428AC" w14:textId="77777777" w:rsidTr="005E418B">
        <w:trPr>
          <w:trHeight w:val="192"/>
        </w:trPr>
        <w:tc>
          <w:tcPr>
            <w:tcW w:w="5695" w:type="dxa"/>
            <w:gridSpan w:val="6"/>
            <w:shd w:val="clear" w:color="auto" w:fill="auto"/>
          </w:tcPr>
          <w:p w14:paraId="7D8BFA43" w14:textId="77777777" w:rsidR="005C5318" w:rsidRPr="00E16672" w:rsidRDefault="005C5318" w:rsidP="005C5318">
            <w:pPr>
              <w:tabs>
                <w:tab w:val="left" w:pos="709"/>
              </w:tabs>
              <w:snapToGrid w:val="0"/>
              <w:ind w:left="40" w:right="138" w:firstLine="0"/>
              <w:rPr>
                <w:rFonts w:ascii="Times New Roman" w:hAnsi="Times New Roman"/>
                <w:sz w:val="16"/>
                <w:szCs w:val="16"/>
              </w:rPr>
            </w:pPr>
            <w:r w:rsidRPr="00E16672">
              <w:rPr>
                <w:rFonts w:ascii="Times New Roman" w:hAnsi="Times New Roman"/>
                <w:sz w:val="16"/>
                <w:szCs w:val="16"/>
              </w:rPr>
              <w:t xml:space="preserve">2.3.2. </w:t>
            </w:r>
            <w:proofErr w:type="spellStart"/>
            <w:r w:rsidRPr="00E16672">
              <w:rPr>
                <w:rFonts w:ascii="Times New Roman" w:hAnsi="Times New Roman"/>
                <w:sz w:val="16"/>
                <w:szCs w:val="16"/>
              </w:rPr>
              <w:t>Призначити</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розпорядника</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рахунку</w:t>
            </w:r>
            <w:proofErr w:type="spellEnd"/>
            <w:r w:rsidRPr="00E16672">
              <w:rPr>
                <w:rFonts w:ascii="Times New Roman" w:hAnsi="Times New Roman"/>
                <w:sz w:val="16"/>
                <w:szCs w:val="16"/>
              </w:rPr>
              <w:t xml:space="preserve"> </w:t>
            </w:r>
            <w:r w:rsidR="00C22309" w:rsidRPr="00E16672">
              <w:rPr>
                <w:rFonts w:ascii="Times New Roman" w:hAnsi="Times New Roman"/>
                <w:sz w:val="16"/>
                <w:szCs w:val="16"/>
              </w:rPr>
              <w:t xml:space="preserve">в </w:t>
            </w:r>
            <w:proofErr w:type="spellStart"/>
            <w:r w:rsidR="00C22309" w:rsidRPr="00E16672">
              <w:rPr>
                <w:rFonts w:ascii="Times New Roman" w:hAnsi="Times New Roman"/>
                <w:sz w:val="16"/>
                <w:szCs w:val="16"/>
              </w:rPr>
              <w:t>цін</w:t>
            </w:r>
            <w:r w:rsidRPr="00E16672">
              <w:rPr>
                <w:rFonts w:ascii="Times New Roman" w:hAnsi="Times New Roman"/>
                <w:sz w:val="16"/>
                <w:szCs w:val="16"/>
              </w:rPr>
              <w:t>них</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паперах</w:t>
            </w:r>
            <w:proofErr w:type="spellEnd"/>
            <w:r w:rsidRPr="00E16672">
              <w:rPr>
                <w:rFonts w:ascii="Times New Roman" w:hAnsi="Times New Roman"/>
                <w:sz w:val="16"/>
                <w:szCs w:val="16"/>
              </w:rPr>
              <w:t>.</w:t>
            </w:r>
          </w:p>
          <w:p w14:paraId="7E0CC815" w14:textId="77777777" w:rsidR="005C5318" w:rsidRPr="00E16672" w:rsidRDefault="005C5318" w:rsidP="005C5318">
            <w:pPr>
              <w:pStyle w:val="WW-"/>
              <w:spacing w:after="120"/>
              <w:ind w:left="40" w:right="138"/>
              <w:rPr>
                <w:sz w:val="16"/>
                <w:szCs w:val="16"/>
              </w:rPr>
            </w:pPr>
          </w:p>
        </w:tc>
        <w:tc>
          <w:tcPr>
            <w:tcW w:w="5495" w:type="dxa"/>
            <w:gridSpan w:val="6"/>
            <w:shd w:val="clear" w:color="auto" w:fill="auto"/>
          </w:tcPr>
          <w:p w14:paraId="4B64D5A0" w14:textId="77777777" w:rsidR="005C5318" w:rsidRPr="00E16672" w:rsidRDefault="005C5318" w:rsidP="005C5318">
            <w:pPr>
              <w:tabs>
                <w:tab w:val="left" w:pos="287"/>
              </w:tabs>
              <w:snapToGrid w:val="0"/>
              <w:ind w:left="145" w:right="100" w:firstLine="0"/>
              <w:rPr>
                <w:rFonts w:ascii="Times New Roman" w:hAnsi="Times New Roman"/>
                <w:sz w:val="16"/>
                <w:szCs w:val="16"/>
                <w:lang w:val="en-GB"/>
              </w:rPr>
            </w:pPr>
            <w:r w:rsidRPr="00E16672">
              <w:rPr>
                <w:rFonts w:ascii="Times New Roman" w:hAnsi="Times New Roman"/>
                <w:sz w:val="16"/>
                <w:szCs w:val="16"/>
                <w:lang w:val="en-US"/>
              </w:rPr>
              <w:t>2</w:t>
            </w:r>
            <w:r w:rsidRPr="00E16672">
              <w:rPr>
                <w:rFonts w:ascii="Times New Roman" w:hAnsi="Times New Roman"/>
                <w:sz w:val="16"/>
                <w:szCs w:val="16"/>
                <w:lang w:val="en-GB"/>
              </w:rPr>
              <w:t>.</w:t>
            </w:r>
            <w:r w:rsidRPr="00E16672">
              <w:rPr>
                <w:rFonts w:ascii="Times New Roman" w:hAnsi="Times New Roman"/>
                <w:sz w:val="16"/>
                <w:szCs w:val="16"/>
                <w:lang w:val="en-US"/>
              </w:rPr>
              <w:t>3</w:t>
            </w:r>
            <w:r w:rsidRPr="00E16672">
              <w:rPr>
                <w:rFonts w:ascii="Times New Roman" w:hAnsi="Times New Roman"/>
                <w:sz w:val="16"/>
                <w:szCs w:val="16"/>
                <w:lang w:val="en-GB"/>
              </w:rPr>
              <w:t xml:space="preserve">.2.  </w:t>
            </w:r>
            <w:proofErr w:type="gramStart"/>
            <w:r w:rsidRPr="00E16672">
              <w:rPr>
                <w:rFonts w:ascii="Times New Roman" w:hAnsi="Times New Roman"/>
                <w:sz w:val="16"/>
                <w:szCs w:val="16"/>
                <w:lang w:val="en-GB"/>
              </w:rPr>
              <w:t>Approve  a</w:t>
            </w:r>
            <w:proofErr w:type="gramEnd"/>
            <w:r w:rsidRPr="00E16672">
              <w:rPr>
                <w:rFonts w:ascii="Times New Roman" w:hAnsi="Times New Roman"/>
                <w:sz w:val="16"/>
                <w:szCs w:val="16"/>
                <w:lang w:val="en-GB"/>
              </w:rPr>
              <w:t xml:space="preserve">  manager of the account in securities.</w:t>
            </w:r>
          </w:p>
        </w:tc>
      </w:tr>
      <w:tr w:rsidR="005C5318" w:rsidRPr="00F23413" w14:paraId="7958A88F" w14:textId="77777777" w:rsidTr="005E418B">
        <w:trPr>
          <w:trHeight w:val="192"/>
        </w:trPr>
        <w:tc>
          <w:tcPr>
            <w:tcW w:w="5695" w:type="dxa"/>
            <w:gridSpan w:val="6"/>
            <w:shd w:val="clear" w:color="auto" w:fill="auto"/>
          </w:tcPr>
          <w:p w14:paraId="7B794E9C" w14:textId="77777777" w:rsidR="005C5318" w:rsidRPr="00E16672" w:rsidRDefault="005C5318" w:rsidP="005C5318">
            <w:pPr>
              <w:pStyle w:val="WW-"/>
              <w:snapToGrid w:val="0"/>
              <w:spacing w:after="120"/>
              <w:ind w:left="40" w:right="138"/>
              <w:jc w:val="both"/>
              <w:rPr>
                <w:i w:val="0"/>
                <w:sz w:val="16"/>
                <w:szCs w:val="16"/>
              </w:rPr>
            </w:pPr>
            <w:r w:rsidRPr="00E16672">
              <w:rPr>
                <w:i w:val="0"/>
                <w:sz w:val="16"/>
                <w:szCs w:val="16"/>
              </w:rPr>
              <w:t xml:space="preserve">2.3.3. </w:t>
            </w:r>
            <w:proofErr w:type="spellStart"/>
            <w:r w:rsidRPr="00E16672">
              <w:rPr>
                <w:i w:val="0"/>
                <w:sz w:val="16"/>
                <w:szCs w:val="16"/>
              </w:rPr>
              <w:t>Дотримуватись</w:t>
            </w:r>
            <w:proofErr w:type="spellEnd"/>
            <w:r w:rsidRPr="00E16672">
              <w:rPr>
                <w:i w:val="0"/>
                <w:sz w:val="16"/>
                <w:szCs w:val="16"/>
              </w:rPr>
              <w:t xml:space="preserve"> </w:t>
            </w:r>
            <w:proofErr w:type="spellStart"/>
            <w:r w:rsidRPr="00E16672">
              <w:rPr>
                <w:i w:val="0"/>
                <w:sz w:val="16"/>
                <w:szCs w:val="16"/>
              </w:rPr>
              <w:t>вимог</w:t>
            </w:r>
            <w:proofErr w:type="spellEnd"/>
            <w:r w:rsidRPr="00E16672">
              <w:rPr>
                <w:i w:val="0"/>
                <w:sz w:val="16"/>
                <w:szCs w:val="16"/>
              </w:rPr>
              <w:t xml:space="preserve"> </w:t>
            </w:r>
            <w:proofErr w:type="spellStart"/>
            <w:r w:rsidRPr="00E16672">
              <w:rPr>
                <w:i w:val="0"/>
                <w:sz w:val="16"/>
                <w:szCs w:val="16"/>
              </w:rPr>
              <w:t>внутрішніх</w:t>
            </w:r>
            <w:proofErr w:type="spellEnd"/>
            <w:r w:rsidRPr="00E16672">
              <w:rPr>
                <w:i w:val="0"/>
                <w:sz w:val="16"/>
                <w:szCs w:val="16"/>
              </w:rPr>
              <w:t xml:space="preserve"> </w:t>
            </w:r>
            <w:proofErr w:type="spellStart"/>
            <w:r w:rsidRPr="00E16672">
              <w:rPr>
                <w:i w:val="0"/>
                <w:sz w:val="16"/>
                <w:szCs w:val="16"/>
              </w:rPr>
              <w:t>документів</w:t>
            </w:r>
            <w:proofErr w:type="spellEnd"/>
            <w:r w:rsidRPr="00E16672">
              <w:rPr>
                <w:i w:val="0"/>
                <w:sz w:val="16"/>
                <w:szCs w:val="16"/>
              </w:rPr>
              <w:t xml:space="preserve"> </w:t>
            </w:r>
            <w:proofErr w:type="spellStart"/>
            <w:r w:rsidRPr="00E16672">
              <w:rPr>
                <w:i w:val="0"/>
                <w:sz w:val="16"/>
                <w:szCs w:val="16"/>
              </w:rPr>
              <w:t>Депозитарної</w:t>
            </w:r>
            <w:proofErr w:type="spellEnd"/>
            <w:r w:rsidRPr="00E16672">
              <w:rPr>
                <w:i w:val="0"/>
                <w:sz w:val="16"/>
                <w:szCs w:val="16"/>
              </w:rPr>
              <w:t xml:space="preserve"> установи, </w:t>
            </w:r>
            <w:proofErr w:type="spellStart"/>
            <w:r w:rsidRPr="00E16672">
              <w:rPr>
                <w:i w:val="0"/>
                <w:sz w:val="16"/>
                <w:szCs w:val="16"/>
              </w:rPr>
              <w:t>які</w:t>
            </w:r>
            <w:proofErr w:type="spellEnd"/>
            <w:r w:rsidRPr="00E16672">
              <w:rPr>
                <w:i w:val="0"/>
                <w:sz w:val="16"/>
                <w:szCs w:val="16"/>
              </w:rPr>
              <w:t xml:space="preserve"> </w:t>
            </w:r>
            <w:proofErr w:type="spellStart"/>
            <w:r w:rsidRPr="00E16672">
              <w:rPr>
                <w:i w:val="0"/>
                <w:sz w:val="16"/>
                <w:szCs w:val="16"/>
              </w:rPr>
              <w:t>регламентують</w:t>
            </w:r>
            <w:proofErr w:type="spellEnd"/>
            <w:r w:rsidRPr="00E16672">
              <w:rPr>
                <w:i w:val="0"/>
                <w:sz w:val="16"/>
                <w:szCs w:val="16"/>
              </w:rPr>
              <w:t xml:space="preserve"> </w:t>
            </w:r>
            <w:proofErr w:type="spellStart"/>
            <w:r w:rsidRPr="00E16672">
              <w:rPr>
                <w:i w:val="0"/>
                <w:sz w:val="16"/>
                <w:szCs w:val="16"/>
              </w:rPr>
              <w:t>відносини</w:t>
            </w:r>
            <w:proofErr w:type="spellEnd"/>
            <w:r w:rsidRPr="00E16672">
              <w:rPr>
                <w:i w:val="0"/>
                <w:sz w:val="16"/>
                <w:szCs w:val="16"/>
              </w:rPr>
              <w:t xml:space="preserve"> Депонента та </w:t>
            </w:r>
            <w:proofErr w:type="spellStart"/>
            <w:r w:rsidRPr="00E16672">
              <w:rPr>
                <w:i w:val="0"/>
                <w:sz w:val="16"/>
                <w:szCs w:val="16"/>
              </w:rPr>
              <w:t>Депозитарної</w:t>
            </w:r>
            <w:proofErr w:type="spellEnd"/>
            <w:r w:rsidRPr="00E16672">
              <w:rPr>
                <w:i w:val="0"/>
                <w:sz w:val="16"/>
                <w:szCs w:val="16"/>
              </w:rPr>
              <w:t xml:space="preserve"> установи.</w:t>
            </w:r>
          </w:p>
        </w:tc>
        <w:tc>
          <w:tcPr>
            <w:tcW w:w="5495" w:type="dxa"/>
            <w:gridSpan w:val="6"/>
            <w:shd w:val="clear" w:color="auto" w:fill="auto"/>
          </w:tcPr>
          <w:p w14:paraId="77C9A7E3" w14:textId="77777777" w:rsidR="005C5318" w:rsidRPr="00E16672" w:rsidRDefault="005C5318" w:rsidP="005C5318">
            <w:pPr>
              <w:tabs>
                <w:tab w:val="left" w:pos="287"/>
              </w:tabs>
              <w:snapToGrid w:val="0"/>
              <w:ind w:left="175" w:right="138" w:firstLine="0"/>
              <w:rPr>
                <w:rFonts w:ascii="Times New Roman" w:hAnsi="Times New Roman"/>
                <w:sz w:val="16"/>
                <w:szCs w:val="16"/>
                <w:lang w:val="en-GB"/>
              </w:rPr>
            </w:pPr>
            <w:r w:rsidRPr="00E16672">
              <w:rPr>
                <w:rFonts w:ascii="Times New Roman" w:hAnsi="Times New Roman"/>
                <w:sz w:val="16"/>
                <w:szCs w:val="16"/>
                <w:lang w:val="en-US"/>
              </w:rPr>
              <w:t>2</w:t>
            </w:r>
            <w:r w:rsidRPr="00E16672">
              <w:rPr>
                <w:rFonts w:ascii="Times New Roman" w:hAnsi="Times New Roman"/>
                <w:sz w:val="16"/>
                <w:szCs w:val="16"/>
                <w:lang w:val="en-GB"/>
              </w:rPr>
              <w:t>.</w:t>
            </w:r>
            <w:r w:rsidRPr="00E16672">
              <w:rPr>
                <w:rFonts w:ascii="Times New Roman" w:hAnsi="Times New Roman"/>
                <w:sz w:val="16"/>
                <w:szCs w:val="16"/>
                <w:lang w:val="en-US"/>
              </w:rPr>
              <w:t>3</w:t>
            </w:r>
            <w:r w:rsidRPr="00E16672">
              <w:rPr>
                <w:rFonts w:ascii="Times New Roman" w:hAnsi="Times New Roman"/>
                <w:sz w:val="16"/>
                <w:szCs w:val="16"/>
                <w:lang w:val="en-GB"/>
              </w:rPr>
              <w:t xml:space="preserve">.3. Comply with the requirements of internal </w:t>
            </w:r>
            <w:proofErr w:type="gramStart"/>
            <w:r w:rsidRPr="00E16672">
              <w:rPr>
                <w:rFonts w:ascii="Times New Roman" w:hAnsi="Times New Roman"/>
                <w:sz w:val="16"/>
                <w:szCs w:val="16"/>
                <w:lang w:val="en-GB"/>
              </w:rPr>
              <w:t>documents  of</w:t>
            </w:r>
            <w:proofErr w:type="gramEnd"/>
            <w:r w:rsidRPr="00E16672">
              <w:rPr>
                <w:rFonts w:ascii="Times New Roman" w:hAnsi="Times New Roman"/>
                <w:sz w:val="16"/>
                <w:szCs w:val="16"/>
                <w:lang w:val="en-GB"/>
              </w:rPr>
              <w:t xml:space="preserve"> Depository institution that govern the relationship between Depositor and Depository </w:t>
            </w:r>
            <w:r w:rsidRPr="00E16672">
              <w:rPr>
                <w:rFonts w:ascii="Times New Roman" w:hAnsi="Times New Roman"/>
                <w:sz w:val="16"/>
                <w:szCs w:val="16"/>
                <w:lang w:val="en-GB"/>
              </w:rPr>
              <w:lastRenderedPageBreak/>
              <w:t>institution.</w:t>
            </w:r>
          </w:p>
          <w:p w14:paraId="0E3A9AFE" w14:textId="77777777" w:rsidR="005C5318" w:rsidRPr="00E16672" w:rsidRDefault="005C5318" w:rsidP="005C5318">
            <w:pPr>
              <w:tabs>
                <w:tab w:val="left" w:pos="287"/>
              </w:tabs>
              <w:snapToGrid w:val="0"/>
              <w:ind w:left="175" w:right="138" w:firstLine="0"/>
              <w:rPr>
                <w:rFonts w:ascii="Times New Roman" w:hAnsi="Times New Roman"/>
                <w:iCs/>
                <w:sz w:val="16"/>
                <w:szCs w:val="16"/>
                <w:lang w:val="en-US"/>
              </w:rPr>
            </w:pPr>
          </w:p>
        </w:tc>
      </w:tr>
      <w:tr w:rsidR="005C5318" w:rsidRPr="00F23413" w14:paraId="48D9B349" w14:textId="77777777" w:rsidTr="005E418B">
        <w:trPr>
          <w:trHeight w:val="192"/>
        </w:trPr>
        <w:tc>
          <w:tcPr>
            <w:tcW w:w="5695" w:type="dxa"/>
            <w:gridSpan w:val="6"/>
            <w:shd w:val="clear" w:color="auto" w:fill="auto"/>
          </w:tcPr>
          <w:p w14:paraId="59476F2F" w14:textId="77777777" w:rsidR="005C5318" w:rsidRPr="00E16672" w:rsidRDefault="005C5318" w:rsidP="005C5318">
            <w:pPr>
              <w:pStyle w:val="1b"/>
              <w:spacing w:before="0" w:after="0"/>
              <w:ind w:left="40" w:right="138" w:firstLine="0"/>
              <w:rPr>
                <w:rFonts w:ascii="Times New Roman" w:eastAsia="Times New Roman" w:hAnsi="Times New Roman" w:cs="Times New Roman"/>
                <w:sz w:val="16"/>
                <w:szCs w:val="16"/>
                <w:lang w:val="ru-RU"/>
              </w:rPr>
            </w:pPr>
            <w:r w:rsidRPr="00E16672">
              <w:rPr>
                <w:rFonts w:ascii="Times New Roman" w:hAnsi="Times New Roman" w:cs="Times New Roman"/>
                <w:sz w:val="16"/>
                <w:szCs w:val="16"/>
              </w:rPr>
              <w:lastRenderedPageBreak/>
              <w:t xml:space="preserve">2.3.4. Своєчасно та в повному обсязі сплачувати послуги Депозитарної установи згідно з умовами та строками, передбаченими Договором, та тарифами, </w:t>
            </w:r>
            <w:r w:rsidRPr="00E16672">
              <w:rPr>
                <w:rFonts w:ascii="Times New Roman" w:hAnsi="Times New Roman" w:cs="Times New Roman"/>
                <w:color w:val="000000"/>
                <w:sz w:val="16"/>
                <w:szCs w:val="16"/>
              </w:rPr>
              <w:t>встановленими Депозитарною установою на дату надання послуг (у тому числі послуги з надання інформації про корпоративні операції емітентів, іншої інформації, отриманої від Центрального депозитарію згідно вимог чинного законодавства) .</w:t>
            </w:r>
          </w:p>
        </w:tc>
        <w:tc>
          <w:tcPr>
            <w:tcW w:w="5495" w:type="dxa"/>
            <w:gridSpan w:val="6"/>
            <w:shd w:val="clear" w:color="auto" w:fill="auto"/>
          </w:tcPr>
          <w:p w14:paraId="24813405" w14:textId="77777777" w:rsidR="005C5318" w:rsidRPr="00E16672" w:rsidRDefault="005C5318" w:rsidP="005C5318">
            <w:pPr>
              <w:pStyle w:val="210"/>
              <w:tabs>
                <w:tab w:val="left" w:pos="287"/>
                <w:tab w:val="left" w:pos="1191"/>
              </w:tabs>
              <w:snapToGrid w:val="0"/>
              <w:ind w:left="175" w:right="138" w:firstLine="0"/>
              <w:rPr>
                <w:rFonts w:ascii="Times New Roman" w:hAnsi="Times New Roman"/>
                <w:sz w:val="16"/>
                <w:szCs w:val="16"/>
              </w:rPr>
            </w:pPr>
            <w:r w:rsidRPr="00E16672">
              <w:rPr>
                <w:rFonts w:ascii="Times New Roman" w:hAnsi="Times New Roman"/>
                <w:sz w:val="16"/>
                <w:szCs w:val="16"/>
                <w:lang w:val="en-US"/>
              </w:rPr>
              <w:t>2</w:t>
            </w:r>
            <w:r w:rsidRPr="00E16672">
              <w:rPr>
                <w:rFonts w:ascii="Times New Roman" w:hAnsi="Times New Roman"/>
                <w:sz w:val="16"/>
                <w:szCs w:val="16"/>
              </w:rPr>
              <w:t>.</w:t>
            </w:r>
            <w:r w:rsidRPr="00E16672">
              <w:rPr>
                <w:rFonts w:ascii="Times New Roman" w:hAnsi="Times New Roman"/>
                <w:sz w:val="16"/>
                <w:szCs w:val="16"/>
                <w:lang w:val="en-US"/>
              </w:rPr>
              <w:t>3</w:t>
            </w:r>
            <w:r w:rsidRPr="00E16672">
              <w:rPr>
                <w:rFonts w:ascii="Times New Roman" w:hAnsi="Times New Roman"/>
                <w:sz w:val="16"/>
                <w:szCs w:val="16"/>
              </w:rPr>
              <w:t xml:space="preserve">.4. </w:t>
            </w:r>
            <w:proofErr w:type="spellStart"/>
            <w:r w:rsidRPr="00E16672">
              <w:rPr>
                <w:rFonts w:ascii="Times New Roman" w:hAnsi="Times New Roman"/>
                <w:sz w:val="16"/>
                <w:szCs w:val="16"/>
              </w:rPr>
              <w:t>Timely</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and</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fully</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pay</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for</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services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of</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Depository</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institution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in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accordance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with</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terms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and</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conditions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stipulated</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by</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Agreement</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and</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Tariffs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established</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by</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Depository</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institution</w:t>
            </w:r>
            <w:proofErr w:type="spellEnd"/>
            <w:r w:rsidRPr="00E16672">
              <w:rPr>
                <w:rFonts w:ascii="Times New Roman" w:hAnsi="Times New Roman"/>
                <w:sz w:val="16"/>
                <w:szCs w:val="16"/>
                <w:lang w:val="en-US"/>
              </w:rPr>
              <w:t xml:space="preserve"> on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date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of</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service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including</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services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to</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provide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information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about</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corporate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transactions</w:t>
            </w:r>
            <w:proofErr w:type="spellEnd"/>
            <w:r w:rsidRPr="00E16672">
              <w:rPr>
                <w:rFonts w:ascii="Times New Roman" w:hAnsi="Times New Roman"/>
                <w:sz w:val="16"/>
                <w:szCs w:val="16"/>
                <w:lang w:val="en-US"/>
              </w:rPr>
              <w:t xml:space="preserve"> of</w:t>
            </w:r>
            <w:r w:rsidRPr="00E16672">
              <w:rPr>
                <w:rFonts w:ascii="Times New Roman" w:hAnsi="Times New Roman"/>
                <w:sz w:val="16"/>
                <w:szCs w:val="16"/>
              </w:rPr>
              <w:t xml:space="preserve"> </w:t>
            </w:r>
            <w:proofErr w:type="spellStart"/>
            <w:r w:rsidRPr="00E16672">
              <w:rPr>
                <w:rFonts w:ascii="Times New Roman" w:hAnsi="Times New Roman"/>
                <w:sz w:val="16"/>
                <w:szCs w:val="16"/>
              </w:rPr>
              <w:t>issuers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other</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information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received</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from</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Central</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Depository</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in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accordance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with</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current</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law</w:t>
            </w:r>
            <w:proofErr w:type="spellEnd"/>
            <w:r w:rsidRPr="00E16672">
              <w:rPr>
                <w:rFonts w:ascii="Times New Roman" w:hAnsi="Times New Roman"/>
                <w:sz w:val="16"/>
                <w:szCs w:val="16"/>
              </w:rPr>
              <w:t>).</w:t>
            </w:r>
          </w:p>
          <w:p w14:paraId="0BB56468" w14:textId="77777777" w:rsidR="005C5318" w:rsidRPr="00E16672" w:rsidRDefault="005C5318" w:rsidP="005C5318">
            <w:pPr>
              <w:tabs>
                <w:tab w:val="left" w:pos="287"/>
              </w:tabs>
              <w:snapToGrid w:val="0"/>
              <w:ind w:left="175" w:right="138" w:firstLine="0"/>
              <w:rPr>
                <w:rFonts w:ascii="Times New Roman" w:hAnsi="Times New Roman"/>
                <w:color w:val="000000"/>
                <w:sz w:val="16"/>
                <w:szCs w:val="16"/>
                <w:lang w:val="en-US"/>
              </w:rPr>
            </w:pPr>
          </w:p>
        </w:tc>
      </w:tr>
      <w:tr w:rsidR="005C5318" w:rsidRPr="00F23413" w14:paraId="68A19957" w14:textId="77777777" w:rsidTr="005E418B">
        <w:trPr>
          <w:trHeight w:val="192"/>
        </w:trPr>
        <w:tc>
          <w:tcPr>
            <w:tcW w:w="5695" w:type="dxa"/>
            <w:gridSpan w:val="6"/>
            <w:shd w:val="clear" w:color="auto" w:fill="auto"/>
          </w:tcPr>
          <w:p w14:paraId="62BFD8A0" w14:textId="77777777" w:rsidR="005C5318" w:rsidRPr="00E16672" w:rsidRDefault="005C5318" w:rsidP="005C5318">
            <w:pPr>
              <w:pStyle w:val="WW-1"/>
              <w:tabs>
                <w:tab w:val="left" w:pos="709"/>
              </w:tabs>
              <w:snapToGrid w:val="0"/>
              <w:ind w:left="40" w:right="138"/>
              <w:jc w:val="both"/>
              <w:rPr>
                <w:rFonts w:eastAsia="Times New Roman"/>
                <w:i w:val="0"/>
                <w:sz w:val="16"/>
                <w:szCs w:val="16"/>
                <w:lang w:val="uk-UA"/>
              </w:rPr>
            </w:pPr>
            <w:r w:rsidRPr="00E16672">
              <w:rPr>
                <w:i w:val="0"/>
                <w:sz w:val="16"/>
                <w:szCs w:val="16"/>
              </w:rPr>
              <w:t>2.3</w:t>
            </w:r>
            <w:r w:rsidRPr="00E16672">
              <w:rPr>
                <w:rFonts w:eastAsia="Times New Roman"/>
                <w:i w:val="0"/>
                <w:sz w:val="16"/>
                <w:szCs w:val="16"/>
                <w:lang w:val="uk-UA"/>
              </w:rPr>
              <w:t xml:space="preserve">.5. Сплатити Депозитарній установі повну вартість отриманих, але не сплачених послуг протягом </w:t>
            </w:r>
            <w:r w:rsidRPr="00E16672">
              <w:rPr>
                <w:rFonts w:eastAsia="Times New Roman"/>
                <w:sz w:val="16"/>
                <w:szCs w:val="16"/>
                <w:lang w:val="uk-UA"/>
              </w:rPr>
              <w:t>десяти банківських днів</w:t>
            </w:r>
            <w:r w:rsidRPr="00E16672">
              <w:rPr>
                <w:rFonts w:eastAsia="Times New Roman"/>
                <w:i w:val="0"/>
                <w:sz w:val="16"/>
                <w:szCs w:val="16"/>
                <w:lang w:val="uk-UA"/>
              </w:rPr>
              <w:t xml:space="preserve"> після отримання письмового повідомлення про розірвання цього Договору.</w:t>
            </w:r>
          </w:p>
          <w:p w14:paraId="74E65B8C" w14:textId="77777777" w:rsidR="005C5318" w:rsidRPr="00E16672" w:rsidRDefault="005C5318" w:rsidP="005C5318">
            <w:pPr>
              <w:pStyle w:val="1b"/>
              <w:spacing w:before="0" w:after="0"/>
              <w:ind w:left="40" w:right="138" w:firstLine="0"/>
              <w:rPr>
                <w:rFonts w:ascii="Times New Roman" w:eastAsia="Times New Roman" w:hAnsi="Times New Roman" w:cs="Times New Roman"/>
                <w:sz w:val="16"/>
                <w:szCs w:val="16"/>
              </w:rPr>
            </w:pPr>
          </w:p>
        </w:tc>
        <w:tc>
          <w:tcPr>
            <w:tcW w:w="5495" w:type="dxa"/>
            <w:gridSpan w:val="6"/>
            <w:shd w:val="clear" w:color="auto" w:fill="auto"/>
          </w:tcPr>
          <w:p w14:paraId="4452F981" w14:textId="77777777" w:rsidR="005C5318" w:rsidRPr="00E16672" w:rsidRDefault="005C5318" w:rsidP="005C5318">
            <w:pPr>
              <w:pStyle w:val="210"/>
              <w:tabs>
                <w:tab w:val="left" w:pos="287"/>
                <w:tab w:val="left" w:pos="1191"/>
              </w:tabs>
              <w:snapToGrid w:val="0"/>
              <w:ind w:left="175" w:right="138" w:firstLine="0"/>
              <w:rPr>
                <w:rFonts w:ascii="Times New Roman" w:hAnsi="Times New Roman"/>
                <w:sz w:val="16"/>
                <w:szCs w:val="16"/>
              </w:rPr>
            </w:pPr>
            <w:r w:rsidRPr="00E16672">
              <w:rPr>
                <w:rFonts w:ascii="Times New Roman" w:hAnsi="Times New Roman"/>
                <w:sz w:val="16"/>
                <w:szCs w:val="16"/>
                <w:lang w:val="en-US"/>
              </w:rPr>
              <w:t>2</w:t>
            </w:r>
            <w:r w:rsidRPr="00E16672">
              <w:rPr>
                <w:rFonts w:ascii="Times New Roman" w:hAnsi="Times New Roman"/>
                <w:sz w:val="16"/>
                <w:szCs w:val="16"/>
              </w:rPr>
              <w:t>.</w:t>
            </w:r>
            <w:r w:rsidRPr="00E16672">
              <w:rPr>
                <w:rFonts w:ascii="Times New Roman" w:hAnsi="Times New Roman"/>
                <w:sz w:val="16"/>
                <w:szCs w:val="16"/>
                <w:lang w:val="en-US"/>
              </w:rPr>
              <w:t>3</w:t>
            </w:r>
            <w:r w:rsidRPr="00E16672">
              <w:rPr>
                <w:rFonts w:ascii="Times New Roman" w:hAnsi="Times New Roman"/>
                <w:sz w:val="16"/>
                <w:szCs w:val="16"/>
              </w:rPr>
              <w:t xml:space="preserve">.5. </w:t>
            </w:r>
            <w:proofErr w:type="spellStart"/>
            <w:r w:rsidRPr="00E16672">
              <w:rPr>
                <w:rFonts w:ascii="Times New Roman" w:hAnsi="Times New Roman"/>
                <w:sz w:val="16"/>
                <w:szCs w:val="16"/>
              </w:rPr>
              <w:t>To</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pay</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full</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price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to</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Depository</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institution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received</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but</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not</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paid</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services</w:t>
            </w:r>
            <w:proofErr w:type="spellEnd"/>
            <w:r w:rsidRPr="00E16672">
              <w:rPr>
                <w:rFonts w:ascii="Times New Roman" w:hAnsi="Times New Roman"/>
                <w:sz w:val="16"/>
                <w:szCs w:val="16"/>
              </w:rPr>
              <w:t xml:space="preserve"> </w:t>
            </w:r>
            <w:proofErr w:type="spellStart"/>
            <w:r w:rsidRPr="00E16672">
              <w:rPr>
                <w:rFonts w:ascii="Times New Roman" w:hAnsi="Times New Roman"/>
                <w:i/>
                <w:sz w:val="16"/>
                <w:szCs w:val="16"/>
              </w:rPr>
              <w:t>within</w:t>
            </w:r>
            <w:proofErr w:type="spellEnd"/>
            <w:r w:rsidRPr="00E16672">
              <w:rPr>
                <w:rFonts w:ascii="Times New Roman" w:hAnsi="Times New Roman"/>
                <w:i/>
                <w:sz w:val="16"/>
                <w:szCs w:val="16"/>
              </w:rPr>
              <w:t xml:space="preserve"> </w:t>
            </w:r>
            <w:proofErr w:type="spellStart"/>
            <w:r w:rsidRPr="00E16672">
              <w:rPr>
                <w:rFonts w:ascii="Times New Roman" w:hAnsi="Times New Roman"/>
                <w:i/>
                <w:sz w:val="16"/>
                <w:szCs w:val="16"/>
              </w:rPr>
              <w:t>ten</w:t>
            </w:r>
            <w:proofErr w:type="spellEnd"/>
            <w:r w:rsidRPr="00E16672">
              <w:rPr>
                <w:rFonts w:ascii="Times New Roman" w:hAnsi="Times New Roman"/>
                <w:i/>
                <w:sz w:val="16"/>
                <w:szCs w:val="16"/>
              </w:rPr>
              <w:t xml:space="preserve"> </w:t>
            </w:r>
            <w:proofErr w:type="spellStart"/>
            <w:r w:rsidRPr="00E16672">
              <w:rPr>
                <w:rFonts w:ascii="Times New Roman" w:hAnsi="Times New Roman"/>
                <w:i/>
                <w:sz w:val="16"/>
                <w:szCs w:val="16"/>
              </w:rPr>
              <w:t>banking</w:t>
            </w:r>
            <w:proofErr w:type="spellEnd"/>
            <w:r w:rsidRPr="00E16672">
              <w:rPr>
                <w:rFonts w:ascii="Times New Roman" w:hAnsi="Times New Roman"/>
                <w:i/>
                <w:sz w:val="16"/>
                <w:szCs w:val="16"/>
              </w:rPr>
              <w:t xml:space="preserve"> </w:t>
            </w:r>
            <w:proofErr w:type="spellStart"/>
            <w:r w:rsidRPr="00E16672">
              <w:rPr>
                <w:rFonts w:ascii="Times New Roman" w:hAnsi="Times New Roman"/>
                <w:i/>
                <w:sz w:val="16"/>
                <w:szCs w:val="16"/>
              </w:rPr>
              <w:t>days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after</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receipt</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of</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written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notice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of</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termination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of</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this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Agreement</w:t>
            </w:r>
            <w:proofErr w:type="spellEnd"/>
            <w:r w:rsidRPr="00E16672">
              <w:rPr>
                <w:rFonts w:ascii="Times New Roman" w:hAnsi="Times New Roman"/>
                <w:sz w:val="16"/>
                <w:szCs w:val="16"/>
              </w:rPr>
              <w:t>.</w:t>
            </w:r>
          </w:p>
          <w:p w14:paraId="3E3A9637" w14:textId="77777777" w:rsidR="005C5318" w:rsidRPr="00E16672" w:rsidRDefault="005C5318" w:rsidP="005C5318">
            <w:pPr>
              <w:tabs>
                <w:tab w:val="left" w:pos="287"/>
              </w:tabs>
              <w:ind w:left="175" w:right="138" w:firstLine="0"/>
              <w:rPr>
                <w:rFonts w:ascii="Times New Roman" w:hAnsi="Times New Roman"/>
                <w:b/>
                <w:bCs/>
                <w:sz w:val="16"/>
                <w:szCs w:val="16"/>
                <w:lang w:val="en-GB"/>
              </w:rPr>
            </w:pPr>
          </w:p>
        </w:tc>
      </w:tr>
      <w:tr w:rsidR="005C5318" w:rsidRPr="00F23413" w14:paraId="1A4EA77D" w14:textId="77777777" w:rsidTr="005E418B">
        <w:trPr>
          <w:trHeight w:val="192"/>
        </w:trPr>
        <w:tc>
          <w:tcPr>
            <w:tcW w:w="5695" w:type="dxa"/>
            <w:gridSpan w:val="6"/>
            <w:shd w:val="clear" w:color="auto" w:fill="auto"/>
          </w:tcPr>
          <w:p w14:paraId="1A8484E3" w14:textId="77777777" w:rsidR="005C5318" w:rsidRPr="00E16672" w:rsidRDefault="005C5318" w:rsidP="005C5318">
            <w:pPr>
              <w:tabs>
                <w:tab w:val="left" w:pos="709"/>
              </w:tabs>
              <w:snapToGrid w:val="0"/>
              <w:ind w:left="40" w:right="138" w:firstLine="0"/>
              <w:rPr>
                <w:rFonts w:ascii="Times New Roman" w:hAnsi="Times New Roman"/>
                <w:color w:val="000000"/>
                <w:sz w:val="16"/>
                <w:szCs w:val="16"/>
              </w:rPr>
            </w:pPr>
            <w:r w:rsidRPr="00E16672">
              <w:rPr>
                <w:rFonts w:ascii="Times New Roman" w:hAnsi="Times New Roman"/>
                <w:color w:val="000000"/>
                <w:sz w:val="16"/>
                <w:szCs w:val="16"/>
              </w:rPr>
              <w:t xml:space="preserve">2.3.6. </w:t>
            </w:r>
            <w:r w:rsidRPr="00E16672">
              <w:rPr>
                <w:rFonts w:ascii="Times New Roman" w:hAnsi="Times New Roman"/>
                <w:color w:val="000000"/>
                <w:sz w:val="16"/>
                <w:szCs w:val="16"/>
                <w:lang w:val="uk-UA"/>
              </w:rPr>
              <w:t>Надавати Депозитарній установі документи, які передбачені законодавством України та внутрішніми документами Депозитарної установи як обов'язкові для подання або необхідні їй для виконання дій згідно з вимогами законодавства України та умовами Договору</w:t>
            </w:r>
            <w:r w:rsidRPr="00E16672">
              <w:rPr>
                <w:rFonts w:ascii="Times New Roman" w:hAnsi="Times New Roman"/>
                <w:color w:val="000000"/>
                <w:sz w:val="16"/>
                <w:szCs w:val="16"/>
              </w:rPr>
              <w:t>.</w:t>
            </w:r>
          </w:p>
          <w:p w14:paraId="68EAA99E" w14:textId="77777777" w:rsidR="005C5318" w:rsidRPr="00E16672" w:rsidRDefault="005C5318" w:rsidP="005C5318">
            <w:pPr>
              <w:tabs>
                <w:tab w:val="left" w:pos="709"/>
              </w:tabs>
              <w:ind w:left="40" w:right="138" w:firstLine="0"/>
              <w:rPr>
                <w:rFonts w:ascii="Times New Roman" w:hAnsi="Times New Roman"/>
                <w:color w:val="000000"/>
                <w:sz w:val="16"/>
                <w:szCs w:val="16"/>
              </w:rPr>
            </w:pPr>
          </w:p>
        </w:tc>
        <w:tc>
          <w:tcPr>
            <w:tcW w:w="5495" w:type="dxa"/>
            <w:gridSpan w:val="6"/>
            <w:shd w:val="clear" w:color="auto" w:fill="auto"/>
          </w:tcPr>
          <w:p w14:paraId="0D79F23C" w14:textId="77777777" w:rsidR="005C5318" w:rsidRPr="00E16672" w:rsidRDefault="005C5318" w:rsidP="005C5318">
            <w:pPr>
              <w:tabs>
                <w:tab w:val="left" w:pos="287"/>
              </w:tabs>
              <w:snapToGrid w:val="0"/>
              <w:ind w:left="145" w:right="100" w:firstLine="0"/>
              <w:rPr>
                <w:rFonts w:ascii="Times New Roman" w:hAnsi="Times New Roman"/>
                <w:color w:val="000000"/>
                <w:sz w:val="16"/>
                <w:szCs w:val="16"/>
                <w:lang w:val="en-US"/>
              </w:rPr>
            </w:pPr>
            <w:r w:rsidRPr="00E16672">
              <w:rPr>
                <w:rFonts w:ascii="Times New Roman" w:hAnsi="Times New Roman"/>
                <w:color w:val="000000"/>
                <w:sz w:val="16"/>
                <w:szCs w:val="16"/>
                <w:lang w:val="en-US"/>
              </w:rPr>
              <w:t>2</w:t>
            </w:r>
            <w:r w:rsidRPr="00E16672">
              <w:rPr>
                <w:rFonts w:ascii="Times New Roman" w:hAnsi="Times New Roman"/>
                <w:color w:val="000000"/>
                <w:sz w:val="16"/>
                <w:szCs w:val="16"/>
                <w:lang w:val="en-GB"/>
              </w:rPr>
              <w:t>.</w:t>
            </w:r>
            <w:r w:rsidRPr="00E16672">
              <w:rPr>
                <w:rFonts w:ascii="Times New Roman" w:hAnsi="Times New Roman"/>
                <w:color w:val="000000"/>
                <w:sz w:val="16"/>
                <w:szCs w:val="16"/>
                <w:lang w:val="en-US"/>
              </w:rPr>
              <w:t>3</w:t>
            </w:r>
            <w:r w:rsidRPr="00E16672">
              <w:rPr>
                <w:rFonts w:ascii="Times New Roman" w:hAnsi="Times New Roman"/>
                <w:color w:val="000000"/>
                <w:sz w:val="16"/>
                <w:szCs w:val="16"/>
                <w:lang w:val="en-GB"/>
              </w:rPr>
              <w:t xml:space="preserve">.6. Provide </w:t>
            </w:r>
            <w:r w:rsidRPr="00E16672">
              <w:rPr>
                <w:rFonts w:ascii="Times New Roman" w:hAnsi="Times New Roman"/>
                <w:color w:val="000000"/>
                <w:sz w:val="16"/>
                <w:szCs w:val="16"/>
                <w:lang w:val="en-US"/>
              </w:rPr>
              <w:t>D</w:t>
            </w:r>
            <w:proofErr w:type="spellStart"/>
            <w:r w:rsidRPr="00E16672">
              <w:rPr>
                <w:rFonts w:ascii="Times New Roman" w:hAnsi="Times New Roman"/>
                <w:color w:val="000000"/>
                <w:sz w:val="16"/>
                <w:szCs w:val="16"/>
                <w:lang w:val="en-GB"/>
              </w:rPr>
              <w:t>epository</w:t>
            </w:r>
            <w:proofErr w:type="spellEnd"/>
            <w:r w:rsidRPr="00E16672">
              <w:rPr>
                <w:rFonts w:ascii="Times New Roman" w:hAnsi="Times New Roman"/>
                <w:color w:val="000000"/>
                <w:sz w:val="16"/>
                <w:szCs w:val="16"/>
                <w:lang w:val="en-GB"/>
              </w:rPr>
              <w:t xml:space="preserve"> institution documents that provided by the law of Ukraine and internal </w:t>
            </w:r>
            <w:proofErr w:type="gramStart"/>
            <w:r w:rsidRPr="00E16672">
              <w:rPr>
                <w:rFonts w:ascii="Times New Roman" w:hAnsi="Times New Roman"/>
                <w:color w:val="000000"/>
                <w:sz w:val="16"/>
                <w:szCs w:val="16"/>
                <w:lang w:val="en-GB"/>
              </w:rPr>
              <w:t>documents  of</w:t>
            </w:r>
            <w:proofErr w:type="gramEnd"/>
            <w:r w:rsidRPr="00E16672">
              <w:rPr>
                <w:rFonts w:ascii="Times New Roman" w:hAnsi="Times New Roman"/>
                <w:color w:val="000000"/>
                <w:sz w:val="16"/>
                <w:szCs w:val="16"/>
                <w:lang w:val="en-GB"/>
              </w:rPr>
              <w:t xml:space="preserve"> Depository institution as required for submission or necessary for the performance of activities in accordance with law of Ukraine and the terms of the </w:t>
            </w:r>
            <w:r w:rsidRPr="00E16672">
              <w:rPr>
                <w:rFonts w:ascii="Times New Roman" w:hAnsi="Times New Roman"/>
                <w:color w:val="000000"/>
                <w:sz w:val="16"/>
                <w:szCs w:val="16"/>
                <w:lang w:val="en-US"/>
              </w:rPr>
              <w:t>Agreement.</w:t>
            </w:r>
          </w:p>
        </w:tc>
      </w:tr>
      <w:tr w:rsidR="005C5318" w:rsidRPr="00F23413" w14:paraId="5ADC966E" w14:textId="77777777" w:rsidTr="00681D9F">
        <w:trPr>
          <w:trHeight w:val="192"/>
        </w:trPr>
        <w:tc>
          <w:tcPr>
            <w:tcW w:w="5695" w:type="dxa"/>
            <w:gridSpan w:val="6"/>
            <w:shd w:val="clear" w:color="auto" w:fill="auto"/>
          </w:tcPr>
          <w:p w14:paraId="567C2905" w14:textId="77777777" w:rsidR="005C5318" w:rsidRPr="00E16672" w:rsidRDefault="005C5318" w:rsidP="005C5318">
            <w:pPr>
              <w:tabs>
                <w:tab w:val="left" w:pos="709"/>
              </w:tabs>
              <w:snapToGrid w:val="0"/>
              <w:ind w:left="40" w:right="138" w:firstLine="0"/>
              <w:rPr>
                <w:rFonts w:ascii="Times New Roman" w:hAnsi="Times New Roman"/>
                <w:sz w:val="16"/>
                <w:szCs w:val="16"/>
              </w:rPr>
            </w:pPr>
            <w:r w:rsidRPr="00E16672">
              <w:rPr>
                <w:rFonts w:ascii="Times New Roman" w:hAnsi="Times New Roman"/>
                <w:sz w:val="16"/>
                <w:szCs w:val="16"/>
              </w:rPr>
              <w:t xml:space="preserve">2.3.7. </w:t>
            </w:r>
            <w:proofErr w:type="spellStart"/>
            <w:r w:rsidRPr="00E16672">
              <w:rPr>
                <w:rFonts w:ascii="Times New Roman" w:hAnsi="Times New Roman"/>
                <w:sz w:val="16"/>
                <w:szCs w:val="16"/>
              </w:rPr>
              <w:t>Протягом</w:t>
            </w:r>
            <w:proofErr w:type="spellEnd"/>
            <w:r w:rsidRPr="00E16672">
              <w:rPr>
                <w:rFonts w:ascii="Times New Roman" w:hAnsi="Times New Roman"/>
                <w:sz w:val="16"/>
                <w:szCs w:val="16"/>
              </w:rPr>
              <w:t xml:space="preserve"> </w:t>
            </w:r>
            <w:proofErr w:type="spellStart"/>
            <w:r w:rsidRPr="00E16672">
              <w:rPr>
                <w:rFonts w:ascii="Times New Roman" w:hAnsi="Times New Roman"/>
                <w:i/>
                <w:sz w:val="16"/>
                <w:szCs w:val="16"/>
              </w:rPr>
              <w:t>десят</w:t>
            </w:r>
            <w:proofErr w:type="spellEnd"/>
            <w:r w:rsidRPr="00E16672">
              <w:rPr>
                <w:rFonts w:ascii="Times New Roman" w:hAnsi="Times New Roman"/>
                <w:i/>
                <w:sz w:val="16"/>
                <w:szCs w:val="16"/>
                <w:lang w:val="uk-UA"/>
              </w:rPr>
              <w:t>и</w:t>
            </w:r>
            <w:r w:rsidRPr="00E16672">
              <w:rPr>
                <w:rFonts w:ascii="Times New Roman" w:hAnsi="Times New Roman"/>
                <w:i/>
                <w:sz w:val="16"/>
                <w:szCs w:val="16"/>
              </w:rPr>
              <w:t xml:space="preserve"> </w:t>
            </w:r>
            <w:proofErr w:type="spellStart"/>
            <w:r w:rsidRPr="00E16672">
              <w:rPr>
                <w:rFonts w:ascii="Times New Roman" w:hAnsi="Times New Roman"/>
                <w:i/>
                <w:sz w:val="16"/>
                <w:szCs w:val="16"/>
              </w:rPr>
              <w:t>робочих</w:t>
            </w:r>
            <w:proofErr w:type="spellEnd"/>
            <w:r w:rsidRPr="00E16672">
              <w:rPr>
                <w:rFonts w:ascii="Times New Roman" w:hAnsi="Times New Roman"/>
                <w:i/>
                <w:sz w:val="16"/>
                <w:szCs w:val="16"/>
              </w:rPr>
              <w:t xml:space="preserve"> </w:t>
            </w:r>
            <w:proofErr w:type="spellStart"/>
            <w:r w:rsidRPr="00E16672">
              <w:rPr>
                <w:rFonts w:ascii="Times New Roman" w:hAnsi="Times New Roman"/>
                <w:i/>
                <w:sz w:val="16"/>
                <w:szCs w:val="16"/>
              </w:rPr>
              <w:t>днів</w:t>
            </w:r>
            <w:proofErr w:type="spellEnd"/>
            <w:r w:rsidRPr="00E16672">
              <w:rPr>
                <w:rFonts w:ascii="Times New Roman" w:hAnsi="Times New Roman"/>
                <w:sz w:val="16"/>
                <w:szCs w:val="16"/>
              </w:rPr>
              <w:t xml:space="preserve"> з </w:t>
            </w:r>
            <w:proofErr w:type="spellStart"/>
            <w:r w:rsidRPr="00E16672">
              <w:rPr>
                <w:rFonts w:ascii="Times New Roman" w:hAnsi="Times New Roman"/>
                <w:sz w:val="16"/>
                <w:szCs w:val="16"/>
              </w:rPr>
              <w:t>дати</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внесення</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відповідних</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змін</w:t>
            </w:r>
            <w:proofErr w:type="spellEnd"/>
            <w:r w:rsidRPr="00E16672">
              <w:rPr>
                <w:rFonts w:ascii="Times New Roman" w:hAnsi="Times New Roman"/>
                <w:sz w:val="16"/>
                <w:szCs w:val="16"/>
              </w:rPr>
              <w:t xml:space="preserve"> до </w:t>
            </w:r>
            <w:proofErr w:type="spellStart"/>
            <w:r w:rsidRPr="00E16672">
              <w:rPr>
                <w:rFonts w:ascii="Times New Roman" w:hAnsi="Times New Roman"/>
                <w:sz w:val="16"/>
                <w:szCs w:val="16"/>
              </w:rPr>
              <w:t>своїх</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реквізитів</w:t>
            </w:r>
            <w:proofErr w:type="spellEnd"/>
            <w:r w:rsidRPr="00E16672">
              <w:rPr>
                <w:rFonts w:ascii="Times New Roman" w:hAnsi="Times New Roman"/>
                <w:sz w:val="16"/>
                <w:szCs w:val="16"/>
              </w:rPr>
              <w:t xml:space="preserve"> </w:t>
            </w:r>
            <w:r w:rsidRPr="00E16672">
              <w:rPr>
                <w:rFonts w:ascii="Times New Roman" w:hAnsi="Times New Roman"/>
                <w:color w:val="000000"/>
                <w:sz w:val="16"/>
                <w:szCs w:val="20"/>
                <w:lang w:val="uk-UA"/>
              </w:rPr>
              <w:t>(</w:t>
            </w:r>
            <w:r w:rsidRPr="00E16672">
              <w:rPr>
                <w:rFonts w:ascii="Times New Roman" w:hAnsi="Times New Roman"/>
                <w:sz w:val="16"/>
                <w:szCs w:val="20"/>
                <w:lang w:val="uk-UA"/>
              </w:rPr>
              <w:t>в тому числі адреси електронної пошти</w:t>
            </w:r>
            <w:r w:rsidRPr="00E16672">
              <w:rPr>
                <w:rFonts w:ascii="Times New Roman" w:hAnsi="Times New Roman"/>
                <w:color w:val="000000"/>
                <w:sz w:val="16"/>
                <w:szCs w:val="20"/>
                <w:lang w:val="uk-UA"/>
              </w:rPr>
              <w:t xml:space="preserve"> та номера телефону для направлення текстових повідомлень) </w:t>
            </w:r>
            <w:proofErr w:type="spellStart"/>
            <w:r w:rsidRPr="00E16672">
              <w:rPr>
                <w:rFonts w:ascii="Times New Roman" w:hAnsi="Times New Roman"/>
                <w:sz w:val="16"/>
                <w:szCs w:val="16"/>
              </w:rPr>
              <w:t>або</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документів</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що</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надавалися</w:t>
            </w:r>
            <w:proofErr w:type="spellEnd"/>
            <w:r w:rsidRPr="00E16672">
              <w:rPr>
                <w:rFonts w:ascii="Times New Roman" w:hAnsi="Times New Roman"/>
                <w:sz w:val="16"/>
                <w:szCs w:val="16"/>
              </w:rPr>
              <w:t xml:space="preserve"> для </w:t>
            </w:r>
            <w:proofErr w:type="spellStart"/>
            <w:r w:rsidRPr="00E16672">
              <w:rPr>
                <w:rFonts w:ascii="Times New Roman" w:hAnsi="Times New Roman"/>
                <w:sz w:val="16"/>
                <w:szCs w:val="16"/>
              </w:rPr>
              <w:t>відкриття</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рахунк</w:t>
            </w:r>
            <w:proofErr w:type="spellEnd"/>
            <w:r w:rsidRPr="00E16672">
              <w:rPr>
                <w:rFonts w:ascii="Times New Roman" w:hAnsi="Times New Roman"/>
                <w:sz w:val="16"/>
                <w:szCs w:val="16"/>
                <w:lang w:val="uk-UA"/>
              </w:rPr>
              <w:t>у</w:t>
            </w:r>
            <w:r w:rsidRPr="00E16672">
              <w:rPr>
                <w:rFonts w:ascii="Times New Roman" w:hAnsi="Times New Roman"/>
                <w:sz w:val="16"/>
                <w:szCs w:val="16"/>
              </w:rPr>
              <w:t xml:space="preserve"> в </w:t>
            </w:r>
            <w:proofErr w:type="spellStart"/>
            <w:r w:rsidRPr="00E16672">
              <w:rPr>
                <w:rFonts w:ascii="Times New Roman" w:hAnsi="Times New Roman"/>
                <w:sz w:val="16"/>
                <w:szCs w:val="16"/>
              </w:rPr>
              <w:t>цінних</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паперах</w:t>
            </w:r>
            <w:proofErr w:type="spellEnd"/>
            <w:r w:rsidRPr="00E16672">
              <w:rPr>
                <w:rFonts w:ascii="Times New Roman" w:hAnsi="Times New Roman"/>
                <w:sz w:val="16"/>
                <w:szCs w:val="16"/>
              </w:rPr>
              <w:t xml:space="preserve">, </w:t>
            </w:r>
            <w:proofErr w:type="spellStart"/>
            <w:proofErr w:type="gramStart"/>
            <w:r w:rsidRPr="00E16672">
              <w:rPr>
                <w:rFonts w:ascii="Times New Roman" w:hAnsi="Times New Roman"/>
                <w:sz w:val="16"/>
                <w:szCs w:val="16"/>
              </w:rPr>
              <w:t>надавати</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інформацію</w:t>
            </w:r>
            <w:proofErr w:type="spellEnd"/>
            <w:proofErr w:type="gramEnd"/>
            <w:r w:rsidRPr="00E16672">
              <w:rPr>
                <w:rFonts w:ascii="Times New Roman" w:hAnsi="Times New Roman"/>
                <w:sz w:val="16"/>
                <w:szCs w:val="16"/>
              </w:rPr>
              <w:t xml:space="preserve"> про </w:t>
            </w:r>
            <w:proofErr w:type="spellStart"/>
            <w:r w:rsidRPr="00E16672">
              <w:rPr>
                <w:rFonts w:ascii="Times New Roman" w:hAnsi="Times New Roman"/>
                <w:sz w:val="16"/>
                <w:szCs w:val="16"/>
              </w:rPr>
              <w:t>ці</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зміни</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Депозитарній</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установі</w:t>
            </w:r>
            <w:proofErr w:type="spellEnd"/>
            <w:r w:rsidRPr="00E16672">
              <w:rPr>
                <w:rFonts w:ascii="Times New Roman" w:hAnsi="Times New Roman"/>
                <w:sz w:val="16"/>
                <w:szCs w:val="16"/>
              </w:rPr>
              <w:t xml:space="preserve"> у порядку, </w:t>
            </w:r>
            <w:proofErr w:type="spellStart"/>
            <w:r w:rsidRPr="00E16672">
              <w:rPr>
                <w:rFonts w:ascii="Times New Roman" w:hAnsi="Times New Roman"/>
                <w:sz w:val="16"/>
                <w:szCs w:val="16"/>
              </w:rPr>
              <w:t>встановленому</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законодавством</w:t>
            </w:r>
            <w:proofErr w:type="spellEnd"/>
            <w:r w:rsidRPr="00E16672">
              <w:rPr>
                <w:rFonts w:ascii="Times New Roman" w:hAnsi="Times New Roman"/>
                <w:sz w:val="16"/>
                <w:szCs w:val="16"/>
              </w:rPr>
              <w:t xml:space="preserve"> та </w:t>
            </w:r>
            <w:proofErr w:type="spellStart"/>
            <w:r w:rsidRPr="00E16672">
              <w:rPr>
                <w:rFonts w:ascii="Times New Roman" w:hAnsi="Times New Roman"/>
                <w:sz w:val="16"/>
                <w:szCs w:val="16"/>
              </w:rPr>
              <w:t>внутрішніми</w:t>
            </w:r>
            <w:proofErr w:type="spellEnd"/>
            <w:r w:rsidRPr="00E16672">
              <w:rPr>
                <w:rFonts w:ascii="Times New Roman" w:hAnsi="Times New Roman"/>
                <w:sz w:val="16"/>
                <w:szCs w:val="16"/>
              </w:rPr>
              <w:t xml:space="preserve"> документами </w:t>
            </w:r>
            <w:proofErr w:type="spellStart"/>
            <w:r w:rsidRPr="00E16672">
              <w:rPr>
                <w:rFonts w:ascii="Times New Roman" w:hAnsi="Times New Roman"/>
                <w:sz w:val="16"/>
                <w:szCs w:val="16"/>
              </w:rPr>
              <w:t>Депозитарної</w:t>
            </w:r>
            <w:proofErr w:type="spellEnd"/>
            <w:r w:rsidRPr="00E16672">
              <w:rPr>
                <w:rFonts w:ascii="Times New Roman" w:hAnsi="Times New Roman"/>
                <w:sz w:val="16"/>
                <w:szCs w:val="16"/>
              </w:rPr>
              <w:t xml:space="preserve"> установи.</w:t>
            </w:r>
          </w:p>
          <w:p w14:paraId="743E9103" w14:textId="77777777" w:rsidR="005C5318" w:rsidRPr="00E16672" w:rsidRDefault="005C5318" w:rsidP="005C5318">
            <w:pPr>
              <w:tabs>
                <w:tab w:val="left" w:pos="709"/>
              </w:tabs>
              <w:ind w:left="40" w:right="138" w:firstLine="0"/>
              <w:rPr>
                <w:rFonts w:ascii="Times New Roman" w:hAnsi="Times New Roman"/>
                <w:sz w:val="16"/>
                <w:szCs w:val="16"/>
              </w:rPr>
            </w:pPr>
          </w:p>
        </w:tc>
        <w:tc>
          <w:tcPr>
            <w:tcW w:w="5495" w:type="dxa"/>
            <w:gridSpan w:val="6"/>
            <w:shd w:val="clear" w:color="auto" w:fill="auto"/>
          </w:tcPr>
          <w:p w14:paraId="1F4E0505" w14:textId="77777777" w:rsidR="005C5318" w:rsidRPr="00E16672" w:rsidRDefault="005C5318" w:rsidP="005C5318">
            <w:pPr>
              <w:pStyle w:val="210"/>
              <w:tabs>
                <w:tab w:val="left" w:pos="287"/>
                <w:tab w:val="left" w:pos="1191"/>
              </w:tabs>
              <w:snapToGrid w:val="0"/>
              <w:ind w:left="145" w:right="100" w:firstLine="0"/>
              <w:rPr>
                <w:rFonts w:ascii="Times New Roman" w:hAnsi="Times New Roman"/>
                <w:sz w:val="16"/>
                <w:szCs w:val="16"/>
              </w:rPr>
            </w:pPr>
            <w:r w:rsidRPr="00E16672">
              <w:rPr>
                <w:rFonts w:ascii="Times New Roman" w:hAnsi="Times New Roman"/>
                <w:sz w:val="16"/>
                <w:szCs w:val="16"/>
                <w:lang w:val="en-US"/>
              </w:rPr>
              <w:t>2</w:t>
            </w:r>
            <w:r w:rsidRPr="00E16672">
              <w:rPr>
                <w:rFonts w:ascii="Times New Roman" w:hAnsi="Times New Roman"/>
                <w:sz w:val="16"/>
                <w:szCs w:val="16"/>
              </w:rPr>
              <w:t>.</w:t>
            </w:r>
            <w:r w:rsidRPr="00E16672">
              <w:rPr>
                <w:rFonts w:ascii="Times New Roman" w:hAnsi="Times New Roman"/>
                <w:sz w:val="16"/>
                <w:szCs w:val="16"/>
                <w:lang w:val="en-US"/>
              </w:rPr>
              <w:t>3</w:t>
            </w:r>
            <w:r w:rsidRPr="00E16672">
              <w:rPr>
                <w:rFonts w:ascii="Times New Roman" w:hAnsi="Times New Roman"/>
                <w:sz w:val="16"/>
                <w:szCs w:val="16"/>
              </w:rPr>
              <w:t xml:space="preserve">.7. </w:t>
            </w:r>
            <w:proofErr w:type="spellStart"/>
            <w:r w:rsidRPr="00E16672">
              <w:rPr>
                <w:rFonts w:ascii="Times New Roman" w:hAnsi="Times New Roman"/>
                <w:sz w:val="16"/>
                <w:szCs w:val="16"/>
              </w:rPr>
              <w:t>In</w:t>
            </w:r>
            <w:proofErr w:type="spellEnd"/>
            <w:r w:rsidRPr="00E16672">
              <w:rPr>
                <w:rFonts w:ascii="Times New Roman" w:hAnsi="Times New Roman"/>
                <w:sz w:val="16"/>
                <w:szCs w:val="16"/>
              </w:rPr>
              <w:t xml:space="preserve"> </w:t>
            </w:r>
            <w:proofErr w:type="spellStart"/>
            <w:r w:rsidRPr="00E16672">
              <w:rPr>
                <w:rFonts w:ascii="Times New Roman" w:hAnsi="Times New Roman"/>
                <w:i/>
                <w:sz w:val="16"/>
                <w:szCs w:val="16"/>
              </w:rPr>
              <w:t>working</w:t>
            </w:r>
            <w:proofErr w:type="spellEnd"/>
            <w:r w:rsidRPr="00E16672">
              <w:rPr>
                <w:rFonts w:ascii="Times New Roman" w:hAnsi="Times New Roman"/>
                <w:i/>
                <w:sz w:val="16"/>
                <w:szCs w:val="16"/>
              </w:rPr>
              <w:t xml:space="preserve"> </w:t>
            </w:r>
            <w:proofErr w:type="spellStart"/>
            <w:r w:rsidRPr="00E16672">
              <w:rPr>
                <w:rFonts w:ascii="Times New Roman" w:hAnsi="Times New Roman"/>
                <w:i/>
                <w:sz w:val="16"/>
                <w:szCs w:val="16"/>
              </w:rPr>
              <w:t>days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after</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making</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appropriate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changes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to</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their</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information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including</w:t>
            </w:r>
            <w:proofErr w:type="spellEnd"/>
            <w:r w:rsidRPr="00E16672">
              <w:rPr>
                <w:rFonts w:ascii="Times New Roman" w:hAnsi="Times New Roman"/>
                <w:sz w:val="16"/>
                <w:szCs w:val="16"/>
              </w:rPr>
              <w:t xml:space="preserve"> e-</w:t>
            </w:r>
            <w:proofErr w:type="spellStart"/>
            <w:r w:rsidRPr="00E16672">
              <w:rPr>
                <w:rFonts w:ascii="Times New Roman" w:hAnsi="Times New Roman"/>
                <w:sz w:val="16"/>
                <w:szCs w:val="16"/>
              </w:rPr>
              <w:t>mail</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addresses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and</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phone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numbers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for</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sending</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text</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messages</w:t>
            </w:r>
            <w:proofErr w:type="spellEnd"/>
            <w:r w:rsidRPr="00E16672">
              <w:rPr>
                <w:rFonts w:ascii="Times New Roman" w:hAnsi="Times New Roman"/>
                <w:sz w:val="16"/>
                <w:szCs w:val="16"/>
              </w:rPr>
              <w:t>)</w:t>
            </w:r>
            <w:r w:rsidRPr="00E16672">
              <w:rPr>
                <w:rFonts w:ascii="Times New Roman" w:hAnsi="Times New Roman"/>
              </w:rPr>
              <w:t xml:space="preserve"> </w:t>
            </w:r>
            <w:proofErr w:type="spellStart"/>
            <w:r w:rsidRPr="00E16672">
              <w:rPr>
                <w:rFonts w:ascii="Times New Roman" w:hAnsi="Times New Roman"/>
                <w:sz w:val="16"/>
                <w:szCs w:val="16"/>
              </w:rPr>
              <w:t>or</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documents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provided</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to</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open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an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account</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in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securities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provide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information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about</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these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changes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to</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Depository</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institution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in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accordance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with</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laws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and</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internal</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documents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of</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Depository</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institution</w:t>
            </w:r>
            <w:proofErr w:type="spellEnd"/>
            <w:r w:rsidRPr="00E16672">
              <w:rPr>
                <w:rFonts w:ascii="Times New Roman" w:hAnsi="Times New Roman"/>
                <w:sz w:val="16"/>
                <w:szCs w:val="16"/>
              </w:rPr>
              <w:t>.</w:t>
            </w:r>
          </w:p>
          <w:p w14:paraId="0F235E12" w14:textId="77777777" w:rsidR="005C5318" w:rsidRPr="00E16672" w:rsidRDefault="005C5318" w:rsidP="005C5318">
            <w:pPr>
              <w:pStyle w:val="210"/>
              <w:tabs>
                <w:tab w:val="left" w:pos="287"/>
                <w:tab w:val="left" w:pos="1191"/>
              </w:tabs>
              <w:snapToGrid w:val="0"/>
              <w:ind w:left="145" w:right="100" w:firstLine="0"/>
              <w:rPr>
                <w:rFonts w:ascii="Times New Roman" w:hAnsi="Times New Roman"/>
                <w:sz w:val="16"/>
                <w:szCs w:val="16"/>
                <w:lang w:val="en-GB"/>
              </w:rPr>
            </w:pPr>
          </w:p>
        </w:tc>
      </w:tr>
      <w:tr w:rsidR="005C5318" w:rsidRPr="00F23413" w14:paraId="068D2A55" w14:textId="77777777" w:rsidTr="00681D9F">
        <w:trPr>
          <w:trHeight w:val="192"/>
        </w:trPr>
        <w:tc>
          <w:tcPr>
            <w:tcW w:w="5695" w:type="dxa"/>
            <w:gridSpan w:val="6"/>
            <w:shd w:val="clear" w:color="auto" w:fill="auto"/>
          </w:tcPr>
          <w:p w14:paraId="5B83D526" w14:textId="77777777" w:rsidR="005C5318" w:rsidRPr="00F23413" w:rsidRDefault="005C5318" w:rsidP="005C5318">
            <w:pPr>
              <w:tabs>
                <w:tab w:val="left" w:pos="709"/>
              </w:tabs>
              <w:snapToGrid w:val="0"/>
              <w:ind w:left="40" w:right="138" w:firstLine="0"/>
              <w:rPr>
                <w:rFonts w:ascii="Times New Roman" w:hAnsi="Times New Roman"/>
                <w:sz w:val="16"/>
                <w:szCs w:val="16"/>
                <w:lang w:val="en-US"/>
              </w:rPr>
            </w:pPr>
            <w:r w:rsidRPr="00F23413">
              <w:rPr>
                <w:rFonts w:ascii="Times New Roman" w:hAnsi="Times New Roman"/>
                <w:sz w:val="16"/>
                <w:szCs w:val="16"/>
                <w:lang w:val="en-US"/>
              </w:rPr>
              <w:t xml:space="preserve">2.3.8. </w:t>
            </w:r>
            <w:proofErr w:type="spellStart"/>
            <w:r w:rsidRPr="00E16672">
              <w:rPr>
                <w:rFonts w:ascii="Times New Roman" w:hAnsi="Times New Roman"/>
                <w:sz w:val="16"/>
                <w:szCs w:val="16"/>
              </w:rPr>
              <w:t>Протягом</w:t>
            </w:r>
            <w:proofErr w:type="spellEnd"/>
            <w:r w:rsidRPr="00F23413">
              <w:rPr>
                <w:rFonts w:ascii="Times New Roman" w:hAnsi="Times New Roman"/>
                <w:sz w:val="16"/>
                <w:szCs w:val="16"/>
                <w:lang w:val="en-US"/>
              </w:rPr>
              <w:t xml:space="preserve"> </w:t>
            </w:r>
            <w:proofErr w:type="spellStart"/>
            <w:r w:rsidR="005F18C0" w:rsidRPr="00E16672">
              <w:rPr>
                <w:rFonts w:ascii="Times New Roman" w:hAnsi="Times New Roman"/>
                <w:i/>
                <w:sz w:val="16"/>
                <w:szCs w:val="16"/>
              </w:rPr>
              <w:t>шістдесяти</w:t>
            </w:r>
            <w:proofErr w:type="spellEnd"/>
            <w:r w:rsidRPr="00F23413">
              <w:rPr>
                <w:rFonts w:ascii="Times New Roman" w:hAnsi="Times New Roman"/>
                <w:i/>
                <w:sz w:val="16"/>
                <w:szCs w:val="16"/>
                <w:lang w:val="en-US"/>
              </w:rPr>
              <w:t xml:space="preserve"> </w:t>
            </w:r>
            <w:proofErr w:type="spellStart"/>
            <w:r w:rsidRPr="00E16672">
              <w:rPr>
                <w:rFonts w:ascii="Times New Roman" w:hAnsi="Times New Roman"/>
                <w:i/>
                <w:sz w:val="16"/>
                <w:szCs w:val="16"/>
              </w:rPr>
              <w:t>календарних</w:t>
            </w:r>
            <w:proofErr w:type="spellEnd"/>
            <w:r w:rsidRPr="00F23413">
              <w:rPr>
                <w:rFonts w:ascii="Times New Roman" w:hAnsi="Times New Roman"/>
                <w:i/>
                <w:sz w:val="16"/>
                <w:szCs w:val="16"/>
                <w:lang w:val="en-US"/>
              </w:rPr>
              <w:t xml:space="preserve"> </w:t>
            </w:r>
            <w:proofErr w:type="spellStart"/>
            <w:r w:rsidRPr="00E16672">
              <w:rPr>
                <w:rFonts w:ascii="Times New Roman" w:hAnsi="Times New Roman"/>
                <w:i/>
                <w:sz w:val="16"/>
                <w:szCs w:val="16"/>
              </w:rPr>
              <w:t>днів</w:t>
            </w:r>
            <w:proofErr w:type="spellEnd"/>
            <w:r w:rsidRPr="00F23413">
              <w:rPr>
                <w:rFonts w:ascii="Times New Roman" w:hAnsi="Times New Roman"/>
                <w:sz w:val="16"/>
                <w:szCs w:val="16"/>
                <w:lang w:val="en-US"/>
              </w:rPr>
              <w:t xml:space="preserve"> </w:t>
            </w:r>
            <w:r w:rsidRPr="00E16672">
              <w:rPr>
                <w:rFonts w:ascii="Times New Roman" w:hAnsi="Times New Roman"/>
                <w:sz w:val="16"/>
                <w:szCs w:val="16"/>
              </w:rPr>
              <w:t>з</w:t>
            </w:r>
            <w:r w:rsidRPr="00F23413">
              <w:rPr>
                <w:rFonts w:ascii="Times New Roman" w:hAnsi="Times New Roman"/>
                <w:sz w:val="16"/>
                <w:szCs w:val="16"/>
                <w:lang w:val="en-US"/>
              </w:rPr>
              <w:t xml:space="preserve"> </w:t>
            </w:r>
            <w:proofErr w:type="spellStart"/>
            <w:r w:rsidRPr="00E16672">
              <w:rPr>
                <w:rFonts w:ascii="Times New Roman" w:hAnsi="Times New Roman"/>
                <w:sz w:val="16"/>
                <w:szCs w:val="16"/>
              </w:rPr>
              <w:t>дати</w:t>
            </w:r>
            <w:proofErr w:type="spellEnd"/>
            <w:r w:rsidRPr="00F23413">
              <w:rPr>
                <w:rFonts w:ascii="Times New Roman" w:hAnsi="Times New Roman"/>
                <w:sz w:val="16"/>
                <w:szCs w:val="16"/>
                <w:lang w:val="en-US"/>
              </w:rPr>
              <w:t xml:space="preserve"> </w:t>
            </w:r>
            <w:r w:rsidRPr="00E16672">
              <w:rPr>
                <w:rFonts w:ascii="Times New Roman" w:hAnsi="Times New Roman"/>
                <w:sz w:val="16"/>
                <w:szCs w:val="16"/>
              </w:rPr>
              <w:t>початку</w:t>
            </w:r>
            <w:r w:rsidRPr="00F23413">
              <w:rPr>
                <w:rFonts w:ascii="Times New Roman" w:hAnsi="Times New Roman"/>
                <w:sz w:val="16"/>
                <w:szCs w:val="16"/>
                <w:lang w:val="en-US"/>
              </w:rPr>
              <w:t xml:space="preserve"> </w:t>
            </w:r>
            <w:r w:rsidRPr="00E16672">
              <w:rPr>
                <w:rFonts w:ascii="Times New Roman" w:hAnsi="Times New Roman"/>
                <w:sz w:val="16"/>
                <w:szCs w:val="16"/>
              </w:rPr>
              <w:t>Депозитарною</w:t>
            </w:r>
            <w:r w:rsidRPr="00F23413">
              <w:rPr>
                <w:rFonts w:ascii="Times New Roman" w:hAnsi="Times New Roman"/>
                <w:sz w:val="16"/>
                <w:szCs w:val="16"/>
                <w:lang w:val="en-US"/>
              </w:rPr>
              <w:t xml:space="preserve"> </w:t>
            </w:r>
            <w:proofErr w:type="spellStart"/>
            <w:r w:rsidRPr="00E16672">
              <w:rPr>
                <w:rFonts w:ascii="Times New Roman" w:hAnsi="Times New Roman"/>
                <w:sz w:val="16"/>
                <w:szCs w:val="16"/>
              </w:rPr>
              <w:t>установою</w:t>
            </w:r>
            <w:proofErr w:type="spellEnd"/>
            <w:r w:rsidRPr="00F23413">
              <w:rPr>
                <w:rFonts w:ascii="Times New Roman" w:hAnsi="Times New Roman"/>
                <w:sz w:val="16"/>
                <w:szCs w:val="16"/>
                <w:lang w:val="en-US"/>
              </w:rPr>
              <w:t xml:space="preserve"> </w:t>
            </w:r>
            <w:proofErr w:type="spellStart"/>
            <w:r w:rsidRPr="00E16672">
              <w:rPr>
                <w:rFonts w:ascii="Times New Roman" w:hAnsi="Times New Roman"/>
                <w:sz w:val="16"/>
                <w:szCs w:val="16"/>
              </w:rPr>
              <w:t>процедури</w:t>
            </w:r>
            <w:proofErr w:type="spellEnd"/>
            <w:r w:rsidRPr="00F23413">
              <w:rPr>
                <w:rFonts w:ascii="Times New Roman" w:hAnsi="Times New Roman"/>
                <w:sz w:val="16"/>
                <w:szCs w:val="16"/>
                <w:lang w:val="en-US"/>
              </w:rPr>
              <w:t xml:space="preserve"> </w:t>
            </w:r>
            <w:proofErr w:type="spellStart"/>
            <w:r w:rsidRPr="00E16672">
              <w:rPr>
                <w:rFonts w:ascii="Times New Roman" w:hAnsi="Times New Roman"/>
                <w:sz w:val="16"/>
                <w:szCs w:val="16"/>
              </w:rPr>
              <w:t>припинення</w:t>
            </w:r>
            <w:proofErr w:type="spellEnd"/>
            <w:r w:rsidRPr="00F23413">
              <w:rPr>
                <w:rFonts w:ascii="Times New Roman" w:hAnsi="Times New Roman"/>
                <w:sz w:val="16"/>
                <w:szCs w:val="16"/>
                <w:lang w:val="en-US"/>
              </w:rPr>
              <w:t xml:space="preserve"> </w:t>
            </w:r>
            <w:r w:rsidRPr="00E16672">
              <w:rPr>
                <w:rFonts w:ascii="Times New Roman" w:hAnsi="Times New Roman"/>
                <w:sz w:val="16"/>
                <w:szCs w:val="16"/>
              </w:rPr>
              <w:t>нею</w:t>
            </w:r>
            <w:r w:rsidRPr="00F23413">
              <w:rPr>
                <w:rFonts w:ascii="Times New Roman" w:hAnsi="Times New Roman"/>
                <w:sz w:val="16"/>
                <w:szCs w:val="16"/>
                <w:lang w:val="en-US"/>
              </w:rPr>
              <w:t xml:space="preserve"> </w:t>
            </w:r>
            <w:proofErr w:type="spellStart"/>
            <w:r w:rsidRPr="00E16672">
              <w:rPr>
                <w:rFonts w:ascii="Times New Roman" w:hAnsi="Times New Roman"/>
                <w:sz w:val="16"/>
                <w:szCs w:val="16"/>
              </w:rPr>
              <w:t>провадження</w:t>
            </w:r>
            <w:proofErr w:type="spellEnd"/>
            <w:r w:rsidRPr="00F23413">
              <w:rPr>
                <w:rFonts w:ascii="Times New Roman" w:hAnsi="Times New Roman"/>
                <w:sz w:val="16"/>
                <w:szCs w:val="16"/>
                <w:lang w:val="en-US"/>
              </w:rPr>
              <w:t xml:space="preserve"> </w:t>
            </w:r>
            <w:proofErr w:type="spellStart"/>
            <w:r w:rsidRPr="00E16672">
              <w:rPr>
                <w:rFonts w:ascii="Times New Roman" w:hAnsi="Times New Roman"/>
                <w:sz w:val="16"/>
                <w:szCs w:val="16"/>
              </w:rPr>
              <w:t>професійної</w:t>
            </w:r>
            <w:proofErr w:type="spellEnd"/>
            <w:r w:rsidRPr="00F23413">
              <w:rPr>
                <w:rFonts w:ascii="Times New Roman" w:hAnsi="Times New Roman"/>
                <w:sz w:val="16"/>
                <w:szCs w:val="16"/>
                <w:lang w:val="en-US"/>
              </w:rPr>
              <w:t xml:space="preserve"> </w:t>
            </w:r>
            <w:proofErr w:type="spellStart"/>
            <w:r w:rsidRPr="00E16672">
              <w:rPr>
                <w:rFonts w:ascii="Times New Roman" w:hAnsi="Times New Roman"/>
                <w:sz w:val="16"/>
                <w:szCs w:val="16"/>
              </w:rPr>
              <w:t>діяльності</w:t>
            </w:r>
            <w:proofErr w:type="spellEnd"/>
            <w:r w:rsidRPr="00F23413">
              <w:rPr>
                <w:rFonts w:ascii="Times New Roman" w:hAnsi="Times New Roman"/>
                <w:sz w:val="16"/>
                <w:szCs w:val="16"/>
                <w:lang w:val="en-US"/>
              </w:rPr>
              <w:t xml:space="preserve"> </w:t>
            </w:r>
            <w:proofErr w:type="gramStart"/>
            <w:r w:rsidRPr="00E16672">
              <w:rPr>
                <w:rFonts w:ascii="Times New Roman" w:hAnsi="Times New Roman"/>
                <w:sz w:val="16"/>
                <w:szCs w:val="16"/>
              </w:rPr>
              <w:t>на</w:t>
            </w:r>
            <w:r w:rsidRPr="00F23413">
              <w:rPr>
                <w:rFonts w:ascii="Times New Roman" w:hAnsi="Times New Roman"/>
                <w:sz w:val="16"/>
                <w:szCs w:val="16"/>
                <w:lang w:val="en-US"/>
              </w:rPr>
              <w:t xml:space="preserve"> </w:t>
            </w:r>
            <w:r w:rsidRPr="00E16672">
              <w:rPr>
                <w:rFonts w:ascii="Times New Roman" w:hAnsi="Times New Roman"/>
                <w:sz w:val="16"/>
                <w:szCs w:val="16"/>
              </w:rPr>
              <w:t>фондовому</w:t>
            </w:r>
            <w:r w:rsidRPr="00F23413">
              <w:rPr>
                <w:rFonts w:ascii="Times New Roman" w:hAnsi="Times New Roman"/>
                <w:sz w:val="16"/>
                <w:szCs w:val="16"/>
                <w:lang w:val="en-US"/>
              </w:rPr>
              <w:t xml:space="preserve"> </w:t>
            </w:r>
            <w:r w:rsidRPr="00E16672">
              <w:rPr>
                <w:rFonts w:ascii="Times New Roman" w:hAnsi="Times New Roman"/>
                <w:sz w:val="16"/>
                <w:szCs w:val="16"/>
              </w:rPr>
              <w:t>ринку</w:t>
            </w:r>
            <w:proofErr w:type="gramEnd"/>
            <w:r w:rsidRPr="00F23413">
              <w:rPr>
                <w:rFonts w:ascii="Times New Roman" w:hAnsi="Times New Roman"/>
                <w:sz w:val="16"/>
                <w:szCs w:val="16"/>
                <w:lang w:val="en-US"/>
              </w:rPr>
              <w:t xml:space="preserve"> - </w:t>
            </w:r>
            <w:proofErr w:type="spellStart"/>
            <w:r w:rsidRPr="00E16672">
              <w:rPr>
                <w:rFonts w:ascii="Times New Roman" w:hAnsi="Times New Roman"/>
                <w:sz w:val="16"/>
                <w:szCs w:val="16"/>
              </w:rPr>
              <w:t>депозитарної</w:t>
            </w:r>
            <w:proofErr w:type="spellEnd"/>
            <w:r w:rsidRPr="00F23413">
              <w:rPr>
                <w:rFonts w:ascii="Times New Roman" w:hAnsi="Times New Roman"/>
                <w:sz w:val="16"/>
                <w:szCs w:val="16"/>
                <w:lang w:val="en-US"/>
              </w:rPr>
              <w:t xml:space="preserve"> </w:t>
            </w:r>
            <w:proofErr w:type="spellStart"/>
            <w:r w:rsidRPr="00E16672">
              <w:rPr>
                <w:rFonts w:ascii="Times New Roman" w:hAnsi="Times New Roman"/>
                <w:sz w:val="16"/>
                <w:szCs w:val="16"/>
              </w:rPr>
              <w:t>діяльності</w:t>
            </w:r>
            <w:proofErr w:type="spellEnd"/>
            <w:r w:rsidRPr="00F23413">
              <w:rPr>
                <w:rFonts w:ascii="Times New Roman" w:hAnsi="Times New Roman"/>
                <w:sz w:val="16"/>
                <w:szCs w:val="16"/>
                <w:lang w:val="en-US"/>
              </w:rPr>
              <w:t xml:space="preserve"> </w:t>
            </w:r>
            <w:proofErr w:type="spellStart"/>
            <w:r w:rsidRPr="00E16672">
              <w:rPr>
                <w:rFonts w:ascii="Times New Roman" w:hAnsi="Times New Roman"/>
                <w:sz w:val="16"/>
                <w:szCs w:val="16"/>
              </w:rPr>
              <w:t>депозитарної</w:t>
            </w:r>
            <w:proofErr w:type="spellEnd"/>
            <w:r w:rsidRPr="00F23413">
              <w:rPr>
                <w:rFonts w:ascii="Times New Roman" w:hAnsi="Times New Roman"/>
                <w:sz w:val="16"/>
                <w:szCs w:val="16"/>
                <w:lang w:val="en-US"/>
              </w:rPr>
              <w:t xml:space="preserve"> </w:t>
            </w:r>
            <w:r w:rsidRPr="00E16672">
              <w:rPr>
                <w:rFonts w:ascii="Times New Roman" w:hAnsi="Times New Roman"/>
                <w:sz w:val="16"/>
                <w:szCs w:val="16"/>
              </w:rPr>
              <w:t>установи</w:t>
            </w:r>
            <w:r w:rsidRPr="00F23413">
              <w:rPr>
                <w:rFonts w:ascii="Times New Roman" w:hAnsi="Times New Roman"/>
                <w:sz w:val="16"/>
                <w:szCs w:val="16"/>
                <w:lang w:val="en-US"/>
              </w:rPr>
              <w:t xml:space="preserve"> </w:t>
            </w:r>
            <w:proofErr w:type="spellStart"/>
            <w:r w:rsidRPr="00E16672">
              <w:rPr>
                <w:rFonts w:ascii="Times New Roman" w:hAnsi="Times New Roman"/>
                <w:sz w:val="16"/>
                <w:szCs w:val="16"/>
              </w:rPr>
              <w:t>відповідно</w:t>
            </w:r>
            <w:proofErr w:type="spellEnd"/>
            <w:r w:rsidRPr="00F23413">
              <w:rPr>
                <w:rFonts w:ascii="Times New Roman" w:hAnsi="Times New Roman"/>
                <w:sz w:val="16"/>
                <w:szCs w:val="16"/>
                <w:lang w:val="en-US"/>
              </w:rPr>
              <w:t xml:space="preserve"> </w:t>
            </w:r>
            <w:r w:rsidRPr="00E16672">
              <w:rPr>
                <w:rFonts w:ascii="Times New Roman" w:hAnsi="Times New Roman"/>
                <w:sz w:val="16"/>
                <w:szCs w:val="16"/>
              </w:rPr>
              <w:t>до</w:t>
            </w:r>
            <w:r w:rsidRPr="00F23413">
              <w:rPr>
                <w:rFonts w:ascii="Times New Roman" w:hAnsi="Times New Roman"/>
                <w:sz w:val="16"/>
                <w:szCs w:val="16"/>
                <w:lang w:val="en-US"/>
              </w:rPr>
              <w:t xml:space="preserve"> </w:t>
            </w:r>
            <w:proofErr w:type="spellStart"/>
            <w:r w:rsidRPr="00E16672">
              <w:rPr>
                <w:rFonts w:ascii="Times New Roman" w:hAnsi="Times New Roman"/>
                <w:sz w:val="16"/>
                <w:szCs w:val="16"/>
              </w:rPr>
              <w:t>вимог</w:t>
            </w:r>
            <w:proofErr w:type="spellEnd"/>
            <w:r w:rsidRPr="00F23413">
              <w:rPr>
                <w:rFonts w:ascii="Times New Roman" w:hAnsi="Times New Roman"/>
                <w:sz w:val="16"/>
                <w:szCs w:val="16"/>
                <w:lang w:val="en-US"/>
              </w:rPr>
              <w:t xml:space="preserve"> </w:t>
            </w:r>
            <w:r w:rsidRPr="00E16672">
              <w:rPr>
                <w:rFonts w:ascii="Times New Roman" w:hAnsi="Times New Roman"/>
                <w:sz w:val="16"/>
                <w:szCs w:val="16"/>
              </w:rPr>
              <w:t>нормативно</w:t>
            </w:r>
            <w:r w:rsidRPr="00F23413">
              <w:rPr>
                <w:rFonts w:ascii="Times New Roman" w:hAnsi="Times New Roman"/>
                <w:sz w:val="16"/>
                <w:szCs w:val="16"/>
                <w:lang w:val="en-US"/>
              </w:rPr>
              <w:t>-</w:t>
            </w:r>
            <w:r w:rsidRPr="00E16672">
              <w:rPr>
                <w:rFonts w:ascii="Times New Roman" w:hAnsi="Times New Roman"/>
                <w:sz w:val="16"/>
                <w:szCs w:val="16"/>
              </w:rPr>
              <w:t>правового</w:t>
            </w:r>
            <w:r w:rsidRPr="00F23413">
              <w:rPr>
                <w:rFonts w:ascii="Times New Roman" w:hAnsi="Times New Roman"/>
                <w:sz w:val="16"/>
                <w:szCs w:val="16"/>
                <w:lang w:val="en-US"/>
              </w:rPr>
              <w:t xml:space="preserve"> </w:t>
            </w:r>
            <w:r w:rsidRPr="00E16672">
              <w:rPr>
                <w:rFonts w:ascii="Times New Roman" w:hAnsi="Times New Roman"/>
                <w:sz w:val="16"/>
                <w:szCs w:val="16"/>
              </w:rPr>
              <w:t>акта</w:t>
            </w:r>
            <w:r w:rsidRPr="00F23413">
              <w:rPr>
                <w:rFonts w:ascii="Times New Roman" w:hAnsi="Times New Roman"/>
                <w:sz w:val="16"/>
                <w:szCs w:val="16"/>
                <w:lang w:val="en-US"/>
              </w:rPr>
              <w:t xml:space="preserve"> </w:t>
            </w:r>
            <w:proofErr w:type="spellStart"/>
            <w:r w:rsidRPr="00E16672">
              <w:rPr>
                <w:rFonts w:ascii="Times New Roman" w:hAnsi="Times New Roman"/>
                <w:sz w:val="16"/>
                <w:szCs w:val="16"/>
              </w:rPr>
              <w:t>щодо</w:t>
            </w:r>
            <w:proofErr w:type="spellEnd"/>
            <w:r w:rsidRPr="00F23413">
              <w:rPr>
                <w:rFonts w:ascii="Times New Roman" w:hAnsi="Times New Roman"/>
                <w:sz w:val="16"/>
                <w:szCs w:val="16"/>
                <w:lang w:val="en-US"/>
              </w:rPr>
              <w:t xml:space="preserve"> </w:t>
            </w:r>
            <w:proofErr w:type="spellStart"/>
            <w:r w:rsidRPr="00E16672">
              <w:rPr>
                <w:rFonts w:ascii="Times New Roman" w:hAnsi="Times New Roman"/>
                <w:sz w:val="16"/>
                <w:szCs w:val="16"/>
              </w:rPr>
              <w:t>припинення</w:t>
            </w:r>
            <w:proofErr w:type="spellEnd"/>
            <w:r w:rsidRPr="00F23413">
              <w:rPr>
                <w:rFonts w:ascii="Times New Roman" w:hAnsi="Times New Roman"/>
                <w:sz w:val="16"/>
                <w:szCs w:val="16"/>
                <w:lang w:val="en-US"/>
              </w:rPr>
              <w:t xml:space="preserve"> </w:t>
            </w:r>
            <w:proofErr w:type="spellStart"/>
            <w:r w:rsidRPr="00E16672">
              <w:rPr>
                <w:rFonts w:ascii="Times New Roman" w:hAnsi="Times New Roman"/>
                <w:sz w:val="16"/>
                <w:szCs w:val="16"/>
              </w:rPr>
              <w:t>депозитарної</w:t>
            </w:r>
            <w:proofErr w:type="spellEnd"/>
            <w:r w:rsidRPr="00F23413">
              <w:rPr>
                <w:rFonts w:ascii="Times New Roman" w:hAnsi="Times New Roman"/>
                <w:sz w:val="16"/>
                <w:szCs w:val="16"/>
                <w:lang w:val="en-US"/>
              </w:rPr>
              <w:t xml:space="preserve"> </w:t>
            </w:r>
            <w:proofErr w:type="spellStart"/>
            <w:r w:rsidRPr="00E16672">
              <w:rPr>
                <w:rFonts w:ascii="Times New Roman" w:hAnsi="Times New Roman"/>
                <w:sz w:val="16"/>
                <w:szCs w:val="16"/>
              </w:rPr>
              <w:t>діяльності</w:t>
            </w:r>
            <w:proofErr w:type="spellEnd"/>
            <w:r w:rsidRPr="00F23413">
              <w:rPr>
                <w:rFonts w:ascii="Times New Roman" w:hAnsi="Times New Roman"/>
                <w:sz w:val="16"/>
                <w:szCs w:val="16"/>
                <w:lang w:val="en-US"/>
              </w:rPr>
              <w:t xml:space="preserve"> </w:t>
            </w:r>
            <w:proofErr w:type="spellStart"/>
            <w:r w:rsidRPr="00E16672">
              <w:rPr>
                <w:rFonts w:ascii="Times New Roman" w:hAnsi="Times New Roman"/>
                <w:sz w:val="16"/>
                <w:szCs w:val="16"/>
              </w:rPr>
              <w:t>депозитарної</w:t>
            </w:r>
            <w:proofErr w:type="spellEnd"/>
            <w:r w:rsidRPr="00F23413">
              <w:rPr>
                <w:rFonts w:ascii="Times New Roman" w:hAnsi="Times New Roman"/>
                <w:sz w:val="16"/>
                <w:szCs w:val="16"/>
                <w:lang w:val="en-US"/>
              </w:rPr>
              <w:t xml:space="preserve"> </w:t>
            </w:r>
            <w:r w:rsidRPr="00E16672">
              <w:rPr>
                <w:rFonts w:ascii="Times New Roman" w:hAnsi="Times New Roman"/>
                <w:sz w:val="16"/>
                <w:szCs w:val="16"/>
              </w:rPr>
              <w:t>установи</w:t>
            </w:r>
            <w:r w:rsidRPr="00F23413">
              <w:rPr>
                <w:rFonts w:ascii="Times New Roman" w:hAnsi="Times New Roman"/>
                <w:sz w:val="16"/>
                <w:szCs w:val="16"/>
                <w:lang w:val="en-US"/>
              </w:rPr>
              <w:t xml:space="preserve"> </w:t>
            </w:r>
            <w:proofErr w:type="spellStart"/>
            <w:r w:rsidRPr="00E16672">
              <w:rPr>
                <w:rFonts w:ascii="Times New Roman" w:hAnsi="Times New Roman"/>
                <w:sz w:val="16"/>
                <w:szCs w:val="16"/>
              </w:rPr>
              <w:t>здійснити</w:t>
            </w:r>
            <w:proofErr w:type="spellEnd"/>
            <w:r w:rsidRPr="00F23413">
              <w:rPr>
                <w:rFonts w:ascii="Times New Roman" w:hAnsi="Times New Roman"/>
                <w:sz w:val="16"/>
                <w:szCs w:val="16"/>
                <w:lang w:val="en-US"/>
              </w:rPr>
              <w:t xml:space="preserve"> </w:t>
            </w:r>
            <w:proofErr w:type="spellStart"/>
            <w:r w:rsidRPr="00E16672">
              <w:rPr>
                <w:rFonts w:ascii="Times New Roman" w:hAnsi="Times New Roman"/>
                <w:sz w:val="16"/>
                <w:szCs w:val="16"/>
              </w:rPr>
              <w:t>всі</w:t>
            </w:r>
            <w:proofErr w:type="spellEnd"/>
            <w:r w:rsidRPr="00F23413">
              <w:rPr>
                <w:rFonts w:ascii="Times New Roman" w:hAnsi="Times New Roman"/>
                <w:sz w:val="16"/>
                <w:szCs w:val="16"/>
                <w:lang w:val="en-US"/>
              </w:rPr>
              <w:t xml:space="preserve"> </w:t>
            </w:r>
            <w:proofErr w:type="spellStart"/>
            <w:r w:rsidRPr="00E16672">
              <w:rPr>
                <w:rFonts w:ascii="Times New Roman" w:hAnsi="Times New Roman"/>
                <w:sz w:val="16"/>
                <w:szCs w:val="16"/>
              </w:rPr>
              <w:t>необхідні</w:t>
            </w:r>
            <w:proofErr w:type="spellEnd"/>
            <w:r w:rsidRPr="00F23413">
              <w:rPr>
                <w:rFonts w:ascii="Times New Roman" w:hAnsi="Times New Roman"/>
                <w:sz w:val="16"/>
                <w:szCs w:val="16"/>
                <w:lang w:val="en-US"/>
              </w:rPr>
              <w:t xml:space="preserve"> </w:t>
            </w:r>
            <w:proofErr w:type="spellStart"/>
            <w:r w:rsidRPr="00E16672">
              <w:rPr>
                <w:rFonts w:ascii="Times New Roman" w:hAnsi="Times New Roman"/>
                <w:sz w:val="16"/>
                <w:szCs w:val="16"/>
              </w:rPr>
              <w:t>дії</w:t>
            </w:r>
            <w:proofErr w:type="spellEnd"/>
            <w:r w:rsidRPr="00F23413">
              <w:rPr>
                <w:rFonts w:ascii="Times New Roman" w:hAnsi="Times New Roman"/>
                <w:sz w:val="16"/>
                <w:szCs w:val="16"/>
                <w:lang w:val="en-US"/>
              </w:rPr>
              <w:t xml:space="preserve"> </w:t>
            </w:r>
            <w:proofErr w:type="spellStart"/>
            <w:r w:rsidRPr="00E16672">
              <w:rPr>
                <w:rFonts w:ascii="Times New Roman" w:hAnsi="Times New Roman"/>
                <w:sz w:val="16"/>
                <w:szCs w:val="16"/>
              </w:rPr>
              <w:t>щодо</w:t>
            </w:r>
            <w:proofErr w:type="spellEnd"/>
            <w:r w:rsidRPr="00F23413">
              <w:rPr>
                <w:rFonts w:ascii="Times New Roman" w:hAnsi="Times New Roman"/>
                <w:sz w:val="16"/>
                <w:szCs w:val="16"/>
                <w:lang w:val="en-US"/>
              </w:rPr>
              <w:t xml:space="preserve"> </w:t>
            </w:r>
            <w:proofErr w:type="spellStart"/>
            <w:r w:rsidRPr="00E16672">
              <w:rPr>
                <w:rFonts w:ascii="Times New Roman" w:hAnsi="Times New Roman"/>
                <w:sz w:val="16"/>
                <w:szCs w:val="16"/>
              </w:rPr>
              <w:t>закриття</w:t>
            </w:r>
            <w:proofErr w:type="spellEnd"/>
            <w:r w:rsidRPr="00F23413">
              <w:rPr>
                <w:rFonts w:ascii="Times New Roman" w:hAnsi="Times New Roman"/>
                <w:sz w:val="16"/>
                <w:szCs w:val="16"/>
                <w:lang w:val="en-US"/>
              </w:rPr>
              <w:t xml:space="preserve"> </w:t>
            </w:r>
            <w:proofErr w:type="spellStart"/>
            <w:r w:rsidRPr="00E16672">
              <w:rPr>
                <w:rFonts w:ascii="Times New Roman" w:hAnsi="Times New Roman"/>
                <w:sz w:val="16"/>
                <w:szCs w:val="16"/>
              </w:rPr>
              <w:t>рахунк</w:t>
            </w:r>
            <w:proofErr w:type="spellEnd"/>
            <w:r w:rsidRPr="00E16672">
              <w:rPr>
                <w:rFonts w:ascii="Times New Roman" w:hAnsi="Times New Roman"/>
                <w:sz w:val="16"/>
                <w:szCs w:val="16"/>
                <w:lang w:val="uk-UA"/>
              </w:rPr>
              <w:t>у</w:t>
            </w:r>
            <w:r w:rsidRPr="00F23413">
              <w:rPr>
                <w:rFonts w:ascii="Times New Roman" w:hAnsi="Times New Roman"/>
                <w:sz w:val="16"/>
                <w:szCs w:val="16"/>
                <w:lang w:val="en-US"/>
              </w:rPr>
              <w:t xml:space="preserve"> </w:t>
            </w:r>
            <w:r w:rsidRPr="00E16672">
              <w:rPr>
                <w:rFonts w:ascii="Times New Roman" w:hAnsi="Times New Roman"/>
                <w:sz w:val="16"/>
                <w:szCs w:val="16"/>
              </w:rPr>
              <w:t>в</w:t>
            </w:r>
            <w:r w:rsidRPr="00F23413">
              <w:rPr>
                <w:rFonts w:ascii="Times New Roman" w:hAnsi="Times New Roman"/>
                <w:sz w:val="16"/>
                <w:szCs w:val="16"/>
                <w:lang w:val="en-US"/>
              </w:rPr>
              <w:t xml:space="preserve"> </w:t>
            </w:r>
            <w:proofErr w:type="spellStart"/>
            <w:r w:rsidRPr="00E16672">
              <w:rPr>
                <w:rFonts w:ascii="Times New Roman" w:hAnsi="Times New Roman"/>
                <w:sz w:val="16"/>
                <w:szCs w:val="16"/>
              </w:rPr>
              <w:t>цінних</w:t>
            </w:r>
            <w:proofErr w:type="spellEnd"/>
            <w:r w:rsidRPr="00F23413">
              <w:rPr>
                <w:rFonts w:ascii="Times New Roman" w:hAnsi="Times New Roman"/>
                <w:sz w:val="16"/>
                <w:szCs w:val="16"/>
                <w:lang w:val="en-US"/>
              </w:rPr>
              <w:t xml:space="preserve"> </w:t>
            </w:r>
            <w:proofErr w:type="spellStart"/>
            <w:r w:rsidRPr="00E16672">
              <w:rPr>
                <w:rFonts w:ascii="Times New Roman" w:hAnsi="Times New Roman"/>
                <w:sz w:val="16"/>
                <w:szCs w:val="16"/>
              </w:rPr>
              <w:t>паперах</w:t>
            </w:r>
            <w:proofErr w:type="spellEnd"/>
            <w:r w:rsidRPr="00F23413">
              <w:rPr>
                <w:rFonts w:ascii="Times New Roman" w:hAnsi="Times New Roman"/>
                <w:sz w:val="16"/>
                <w:szCs w:val="16"/>
                <w:lang w:val="en-US"/>
              </w:rPr>
              <w:t>.</w:t>
            </w:r>
          </w:p>
          <w:p w14:paraId="6B94EED0" w14:textId="77777777" w:rsidR="005C5318" w:rsidRPr="00F23413" w:rsidRDefault="005C5318" w:rsidP="005C5318">
            <w:pPr>
              <w:tabs>
                <w:tab w:val="left" w:pos="709"/>
              </w:tabs>
              <w:snapToGrid w:val="0"/>
              <w:ind w:left="40" w:right="138" w:firstLine="0"/>
              <w:rPr>
                <w:rFonts w:ascii="Times New Roman" w:hAnsi="Times New Roman"/>
                <w:sz w:val="16"/>
                <w:szCs w:val="16"/>
                <w:lang w:val="en-US"/>
              </w:rPr>
            </w:pPr>
          </w:p>
        </w:tc>
        <w:tc>
          <w:tcPr>
            <w:tcW w:w="5495" w:type="dxa"/>
            <w:gridSpan w:val="6"/>
            <w:shd w:val="clear" w:color="auto" w:fill="auto"/>
          </w:tcPr>
          <w:p w14:paraId="4B9AA3DD" w14:textId="77777777" w:rsidR="005C5318" w:rsidRPr="00E16672" w:rsidRDefault="005C5318" w:rsidP="005C5318">
            <w:pPr>
              <w:pStyle w:val="210"/>
              <w:tabs>
                <w:tab w:val="left" w:pos="287"/>
                <w:tab w:val="left" w:pos="1191"/>
              </w:tabs>
              <w:snapToGrid w:val="0"/>
              <w:ind w:left="145" w:right="100" w:firstLine="0"/>
              <w:rPr>
                <w:rFonts w:ascii="Times New Roman" w:hAnsi="Times New Roman"/>
                <w:sz w:val="16"/>
                <w:szCs w:val="16"/>
              </w:rPr>
            </w:pPr>
            <w:r w:rsidRPr="00E16672">
              <w:rPr>
                <w:rFonts w:ascii="Times New Roman" w:hAnsi="Times New Roman"/>
                <w:sz w:val="16"/>
                <w:szCs w:val="16"/>
                <w:lang w:val="en-US"/>
              </w:rPr>
              <w:t>2</w:t>
            </w:r>
            <w:r w:rsidRPr="00E16672">
              <w:rPr>
                <w:rFonts w:ascii="Times New Roman" w:hAnsi="Times New Roman"/>
                <w:sz w:val="16"/>
                <w:szCs w:val="16"/>
              </w:rPr>
              <w:t>.</w:t>
            </w:r>
            <w:r w:rsidRPr="00E16672">
              <w:rPr>
                <w:rFonts w:ascii="Times New Roman" w:hAnsi="Times New Roman"/>
                <w:sz w:val="16"/>
                <w:szCs w:val="16"/>
                <w:lang w:val="en-US"/>
              </w:rPr>
              <w:t>3</w:t>
            </w:r>
            <w:r w:rsidRPr="00E16672">
              <w:rPr>
                <w:rFonts w:ascii="Times New Roman" w:hAnsi="Times New Roman"/>
                <w:sz w:val="16"/>
                <w:szCs w:val="16"/>
              </w:rPr>
              <w:t xml:space="preserve">.8. </w:t>
            </w:r>
            <w:proofErr w:type="spellStart"/>
            <w:r w:rsidRPr="00E16672">
              <w:rPr>
                <w:rFonts w:ascii="Times New Roman" w:hAnsi="Times New Roman"/>
                <w:sz w:val="16"/>
                <w:szCs w:val="16"/>
              </w:rPr>
              <w:t>During</w:t>
            </w:r>
            <w:proofErr w:type="spellEnd"/>
            <w:r w:rsidRPr="00E16672">
              <w:rPr>
                <w:rFonts w:ascii="Times New Roman" w:hAnsi="Times New Roman"/>
                <w:sz w:val="16"/>
                <w:szCs w:val="16"/>
              </w:rPr>
              <w:t xml:space="preserve"> </w:t>
            </w:r>
            <w:proofErr w:type="spellStart"/>
            <w:r w:rsidRPr="00E16672">
              <w:rPr>
                <w:rFonts w:ascii="Times New Roman" w:hAnsi="Times New Roman"/>
                <w:i/>
                <w:sz w:val="16"/>
                <w:szCs w:val="16"/>
              </w:rPr>
              <w:t>sixty</w:t>
            </w:r>
            <w:proofErr w:type="spellEnd"/>
            <w:r w:rsidRPr="00E16672">
              <w:rPr>
                <w:rFonts w:ascii="Times New Roman" w:hAnsi="Times New Roman"/>
                <w:i/>
                <w:sz w:val="16"/>
                <w:szCs w:val="16"/>
              </w:rPr>
              <w:t xml:space="preserve"> </w:t>
            </w:r>
            <w:proofErr w:type="spellStart"/>
            <w:r w:rsidRPr="00E16672">
              <w:rPr>
                <w:rFonts w:ascii="Times New Roman" w:hAnsi="Times New Roman"/>
                <w:i/>
                <w:sz w:val="16"/>
                <w:szCs w:val="16"/>
              </w:rPr>
              <w:t>calendar</w:t>
            </w:r>
            <w:proofErr w:type="spellEnd"/>
            <w:r w:rsidRPr="00E16672">
              <w:rPr>
                <w:rFonts w:ascii="Times New Roman" w:hAnsi="Times New Roman"/>
                <w:i/>
                <w:sz w:val="16"/>
                <w:szCs w:val="16"/>
              </w:rPr>
              <w:t xml:space="preserve"> </w:t>
            </w:r>
            <w:proofErr w:type="spellStart"/>
            <w:r w:rsidRPr="00E16672">
              <w:rPr>
                <w:rFonts w:ascii="Times New Roman" w:hAnsi="Times New Roman"/>
                <w:i/>
                <w:sz w:val="16"/>
                <w:szCs w:val="16"/>
              </w:rPr>
              <w:t>days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from</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date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of</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beginning</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of</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procedure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of</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stopping</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by</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Depository</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institution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procedures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for</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stopping</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of</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professional</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activity</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stock</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market</w:t>
            </w:r>
            <w:proofErr w:type="spellEnd"/>
            <w:r w:rsidRPr="00E16672">
              <w:rPr>
                <w:rFonts w:ascii="Times New Roman" w:hAnsi="Times New Roman"/>
                <w:sz w:val="16"/>
                <w:szCs w:val="16"/>
              </w:rPr>
              <w:t xml:space="preserve"> - </w:t>
            </w:r>
            <w:proofErr w:type="spellStart"/>
            <w:r w:rsidRPr="00E16672">
              <w:rPr>
                <w:rFonts w:ascii="Times New Roman" w:hAnsi="Times New Roman"/>
                <w:sz w:val="16"/>
                <w:szCs w:val="16"/>
              </w:rPr>
              <w:t>depository</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activities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of</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Depository</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institution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in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accordance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with</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legal</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act</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to</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stopping</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depository</w:t>
            </w:r>
            <w:proofErr w:type="spellEnd"/>
            <w:r w:rsidRPr="00E16672">
              <w:rPr>
                <w:rFonts w:ascii="Times New Roman" w:hAnsi="Times New Roman"/>
                <w:sz w:val="16"/>
                <w:szCs w:val="16"/>
              </w:rPr>
              <w:t xml:space="preserve"> </w:t>
            </w:r>
            <w:proofErr w:type="spellStart"/>
            <w:r w:rsidR="005F18C0" w:rsidRPr="00E16672">
              <w:rPr>
                <w:rFonts w:ascii="Times New Roman" w:hAnsi="Times New Roman"/>
                <w:sz w:val="16"/>
                <w:szCs w:val="16"/>
              </w:rPr>
              <w:t>activity</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of</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Depository</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institution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to</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take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all</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necessary</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steps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to</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close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an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account</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in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securities</w:t>
            </w:r>
            <w:proofErr w:type="spellEnd"/>
            <w:r w:rsidRPr="00E16672">
              <w:rPr>
                <w:rFonts w:ascii="Times New Roman" w:hAnsi="Times New Roman"/>
                <w:sz w:val="16"/>
                <w:szCs w:val="16"/>
              </w:rPr>
              <w:t>.</w:t>
            </w:r>
          </w:p>
        </w:tc>
      </w:tr>
      <w:tr w:rsidR="005C5318" w:rsidRPr="00F23413" w14:paraId="135AB028" w14:textId="77777777" w:rsidTr="00681D9F">
        <w:trPr>
          <w:trHeight w:val="192"/>
        </w:trPr>
        <w:tc>
          <w:tcPr>
            <w:tcW w:w="5695" w:type="dxa"/>
            <w:gridSpan w:val="6"/>
            <w:shd w:val="clear" w:color="auto" w:fill="auto"/>
          </w:tcPr>
          <w:p w14:paraId="709DB892" w14:textId="77777777" w:rsidR="005C5318" w:rsidRPr="00E16672" w:rsidRDefault="005C5318" w:rsidP="00022F5F">
            <w:pPr>
              <w:ind w:left="40" w:right="138" w:firstLine="0"/>
              <w:jc w:val="left"/>
              <w:rPr>
                <w:rFonts w:ascii="Times New Roman" w:hAnsi="Times New Roman"/>
                <w:color w:val="000000"/>
                <w:sz w:val="16"/>
                <w:szCs w:val="16"/>
                <w:lang w:val="uk-UA"/>
              </w:rPr>
            </w:pPr>
            <w:r w:rsidRPr="00E16672">
              <w:rPr>
                <w:rFonts w:ascii="Times New Roman" w:hAnsi="Times New Roman"/>
                <w:color w:val="000000"/>
                <w:sz w:val="16"/>
                <w:szCs w:val="16"/>
                <w:lang w:val="uk-UA"/>
              </w:rPr>
              <w:t xml:space="preserve">2.3.9. Надавати Депозитарній установі для здійснення розрахунків за правочинами щодо цінних паперів з дотриманням принципу </w:t>
            </w:r>
            <w:r w:rsidR="00022F5F">
              <w:rPr>
                <w:rFonts w:ascii="Times New Roman" w:hAnsi="Times New Roman"/>
                <w:color w:val="000000"/>
                <w:sz w:val="16"/>
                <w:szCs w:val="16"/>
                <w:lang w:val="uk-UA"/>
              </w:rPr>
              <w:t>"</w:t>
            </w:r>
            <w:r w:rsidRPr="00E16672">
              <w:rPr>
                <w:rFonts w:ascii="Times New Roman" w:hAnsi="Times New Roman"/>
                <w:color w:val="000000"/>
                <w:sz w:val="16"/>
                <w:szCs w:val="16"/>
                <w:lang w:val="uk-UA"/>
              </w:rPr>
              <w:t>поставка цінних паперів проти оплати</w:t>
            </w:r>
            <w:r w:rsidR="00022F5F">
              <w:rPr>
                <w:rFonts w:ascii="Times New Roman" w:hAnsi="Times New Roman"/>
                <w:color w:val="000000"/>
                <w:sz w:val="16"/>
                <w:szCs w:val="16"/>
                <w:lang w:val="uk-UA"/>
              </w:rPr>
              <w:t>"</w:t>
            </w:r>
            <w:r w:rsidRPr="00E16672">
              <w:rPr>
                <w:rFonts w:ascii="Times New Roman" w:hAnsi="Times New Roman"/>
                <w:color w:val="000000"/>
                <w:sz w:val="16"/>
                <w:szCs w:val="16"/>
                <w:lang w:val="uk-UA"/>
              </w:rPr>
              <w:t xml:space="preserve"> інформацію про торговця цінними паперами, якому Депонентом надані повноваження на вчинення правочинів щодо цінних паперів в інтересах Депонента, з метою подальшого надання такої інформації Центральному депозитарію та Розрахунковому центру чи кліринговій установі для її відображення у внутрішній системі обліку такої особи.</w:t>
            </w:r>
          </w:p>
          <w:p w14:paraId="6DBEB3FE" w14:textId="77777777" w:rsidR="005C5318" w:rsidRPr="00E16672" w:rsidRDefault="005C5318" w:rsidP="005C5318">
            <w:pPr>
              <w:tabs>
                <w:tab w:val="left" w:pos="709"/>
              </w:tabs>
              <w:snapToGrid w:val="0"/>
              <w:ind w:left="40" w:right="138" w:firstLine="0"/>
              <w:rPr>
                <w:rFonts w:ascii="Times New Roman" w:hAnsi="Times New Roman"/>
                <w:color w:val="000000"/>
                <w:sz w:val="16"/>
                <w:szCs w:val="16"/>
                <w:lang w:val="uk-UA"/>
              </w:rPr>
            </w:pPr>
          </w:p>
        </w:tc>
        <w:tc>
          <w:tcPr>
            <w:tcW w:w="5495" w:type="dxa"/>
            <w:gridSpan w:val="6"/>
            <w:shd w:val="clear" w:color="auto" w:fill="auto"/>
          </w:tcPr>
          <w:p w14:paraId="480C1A53" w14:textId="77777777" w:rsidR="005C5318" w:rsidRPr="00E16672" w:rsidRDefault="005C5318" w:rsidP="005C5318">
            <w:pPr>
              <w:pStyle w:val="210"/>
              <w:tabs>
                <w:tab w:val="left" w:pos="287"/>
                <w:tab w:val="left" w:pos="1191"/>
              </w:tabs>
              <w:snapToGrid w:val="0"/>
              <w:ind w:left="145" w:right="100" w:firstLine="0"/>
              <w:rPr>
                <w:rFonts w:ascii="Times New Roman" w:hAnsi="Times New Roman"/>
                <w:color w:val="000000"/>
                <w:sz w:val="16"/>
                <w:szCs w:val="16"/>
                <w:lang w:val="en-US"/>
              </w:rPr>
            </w:pPr>
            <w:r w:rsidRPr="00E16672">
              <w:rPr>
                <w:rFonts w:ascii="Times New Roman" w:hAnsi="Times New Roman"/>
                <w:color w:val="000000"/>
                <w:sz w:val="16"/>
                <w:szCs w:val="16"/>
                <w:lang w:val="en-US"/>
              </w:rPr>
              <w:t xml:space="preserve">2.3.9. </w:t>
            </w:r>
            <w:proofErr w:type="spellStart"/>
            <w:r w:rsidRPr="00E16672">
              <w:rPr>
                <w:rFonts w:ascii="Times New Roman" w:hAnsi="Times New Roman"/>
                <w:color w:val="000000"/>
                <w:sz w:val="16"/>
                <w:szCs w:val="16"/>
              </w:rPr>
              <w:t>Provide</w:t>
            </w:r>
            <w:proofErr w:type="spellEnd"/>
            <w:r w:rsidRPr="00E16672">
              <w:rPr>
                <w:rFonts w:ascii="Times New Roman" w:hAnsi="Times New Roman"/>
                <w:color w:val="000000"/>
                <w:sz w:val="16"/>
                <w:szCs w:val="16"/>
              </w:rPr>
              <w:t xml:space="preserve"> </w:t>
            </w:r>
            <w:r w:rsidRPr="00E16672">
              <w:rPr>
                <w:rFonts w:ascii="Times New Roman" w:hAnsi="Times New Roman"/>
                <w:color w:val="000000"/>
                <w:sz w:val="16"/>
                <w:szCs w:val="16"/>
                <w:lang w:val="en-US"/>
              </w:rPr>
              <w:t>D</w:t>
            </w:r>
            <w:proofErr w:type="spellStart"/>
            <w:r w:rsidRPr="00E16672">
              <w:rPr>
                <w:rFonts w:ascii="Times New Roman" w:hAnsi="Times New Roman"/>
                <w:color w:val="000000"/>
                <w:sz w:val="16"/>
                <w:szCs w:val="16"/>
              </w:rPr>
              <w:t>epository</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institution</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for</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making</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payments</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for</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transactions</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in</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securities</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compliance</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with</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principle</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of</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supply</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of</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securities</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against</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payment</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information</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on</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the</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securities</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trader</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which</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the</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Depositor</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empowered</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to</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commit</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transactions</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in</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securities</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for</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the</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benefit</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of</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the</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Depositor</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for</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further</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disclosure</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of</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such</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information</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to</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the</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Central</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Depository</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and</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Accounting</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Center</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or</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clearing</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institution</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to</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display</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it</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in</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the</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internal</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accounting</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system</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of</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such</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person</w:t>
            </w:r>
            <w:proofErr w:type="spellEnd"/>
            <w:r w:rsidRPr="00E16672">
              <w:rPr>
                <w:rFonts w:ascii="Times New Roman" w:hAnsi="Times New Roman"/>
                <w:color w:val="000000"/>
                <w:sz w:val="16"/>
                <w:szCs w:val="16"/>
              </w:rPr>
              <w:t>.</w:t>
            </w:r>
          </w:p>
        </w:tc>
      </w:tr>
      <w:tr w:rsidR="00681D9F" w:rsidRPr="00F23413" w14:paraId="26860EC4" w14:textId="77777777" w:rsidTr="00681D9F">
        <w:trPr>
          <w:trHeight w:val="192"/>
        </w:trPr>
        <w:tc>
          <w:tcPr>
            <w:tcW w:w="5695" w:type="dxa"/>
            <w:gridSpan w:val="6"/>
            <w:shd w:val="clear" w:color="auto" w:fill="auto"/>
          </w:tcPr>
          <w:p w14:paraId="02DEB824" w14:textId="77777777" w:rsidR="00681D9F" w:rsidRPr="00681D9F" w:rsidRDefault="00681D9F" w:rsidP="00681D9F">
            <w:pPr>
              <w:suppressAutoHyphens w:val="0"/>
              <w:ind w:left="40" w:right="138" w:firstLine="0"/>
              <w:rPr>
                <w:rFonts w:ascii="Times New Roman" w:hAnsi="Times New Roman"/>
                <w:color w:val="000000"/>
                <w:sz w:val="16"/>
                <w:szCs w:val="16"/>
                <w:lang w:val="uk-UA"/>
              </w:rPr>
            </w:pPr>
            <w:r w:rsidRPr="00681D9F">
              <w:rPr>
                <w:rFonts w:ascii="Times New Roman" w:hAnsi="Times New Roman"/>
                <w:color w:val="000000"/>
                <w:sz w:val="16"/>
                <w:szCs w:val="16"/>
                <w:lang w:val="uk-UA"/>
              </w:rPr>
              <w:t xml:space="preserve">2.3.10. Протягом трьох робочих днів з дня настання відповідної події письмово повідомити Депозитарну установу про зміни в інформації, що надавалася Депозитарній установі для здійснення ідентифікації (верифікації), у тому числі щодо кінцевих </w:t>
            </w:r>
            <w:proofErr w:type="spellStart"/>
            <w:r w:rsidRPr="00681D9F">
              <w:rPr>
                <w:rFonts w:ascii="Times New Roman" w:hAnsi="Times New Roman"/>
                <w:color w:val="000000"/>
                <w:sz w:val="16"/>
                <w:szCs w:val="16"/>
                <w:lang w:val="uk-UA"/>
              </w:rPr>
              <w:t>бенефіціарних</w:t>
            </w:r>
            <w:proofErr w:type="spellEnd"/>
            <w:r w:rsidRPr="00681D9F">
              <w:rPr>
                <w:rFonts w:ascii="Times New Roman" w:hAnsi="Times New Roman"/>
                <w:color w:val="000000"/>
                <w:sz w:val="16"/>
                <w:szCs w:val="16"/>
                <w:lang w:val="uk-UA"/>
              </w:rPr>
              <w:t xml:space="preserve"> власників (контролерів), та надати засвідчені належним чином копії підтверджуючих документів. Надавати інформацію про зміни відповідного власного статусу податкового </w:t>
            </w:r>
            <w:proofErr w:type="spellStart"/>
            <w:r w:rsidRPr="00681D9F">
              <w:rPr>
                <w:rFonts w:ascii="Times New Roman" w:hAnsi="Times New Roman"/>
                <w:color w:val="000000"/>
                <w:sz w:val="16"/>
                <w:szCs w:val="16"/>
                <w:lang w:val="uk-UA"/>
              </w:rPr>
              <w:t>резидентства</w:t>
            </w:r>
            <w:proofErr w:type="spellEnd"/>
            <w:r w:rsidRPr="00681D9F">
              <w:rPr>
                <w:rFonts w:ascii="Times New Roman" w:hAnsi="Times New Roman"/>
                <w:color w:val="000000"/>
                <w:sz w:val="16"/>
                <w:szCs w:val="16"/>
                <w:lang w:val="uk-UA"/>
              </w:rPr>
              <w:t xml:space="preserve"> протягом десяти робочих днів з дня настання відповідної зміни, у порядку, встановленому законодавством та внутрішніми документами Депозитарної установи. </w:t>
            </w:r>
            <w:proofErr w:type="spellStart"/>
            <w:r w:rsidRPr="00681D9F">
              <w:rPr>
                <w:rFonts w:ascii="Times New Roman" w:hAnsi="Times New Roman"/>
                <w:color w:val="000000"/>
                <w:sz w:val="16"/>
                <w:szCs w:val="16"/>
                <w:lang w:val="uk-UA"/>
              </w:rPr>
              <w:t>Повідомлення</w:t>
            </w:r>
            <w:proofErr w:type="spellEnd"/>
            <w:r w:rsidRPr="00681D9F">
              <w:rPr>
                <w:rFonts w:ascii="Times New Roman" w:hAnsi="Times New Roman"/>
                <w:color w:val="000000"/>
                <w:sz w:val="16"/>
                <w:szCs w:val="16"/>
                <w:lang w:val="uk-UA"/>
              </w:rPr>
              <w:t xml:space="preserve"> та </w:t>
            </w:r>
            <w:proofErr w:type="spellStart"/>
            <w:r w:rsidRPr="00681D9F">
              <w:rPr>
                <w:rFonts w:ascii="Times New Roman" w:hAnsi="Times New Roman"/>
                <w:color w:val="000000"/>
                <w:sz w:val="16"/>
                <w:szCs w:val="16"/>
                <w:lang w:val="uk-UA"/>
              </w:rPr>
              <w:t>документи</w:t>
            </w:r>
            <w:proofErr w:type="spellEnd"/>
            <w:r w:rsidRPr="00681D9F">
              <w:rPr>
                <w:rFonts w:ascii="Times New Roman" w:hAnsi="Times New Roman"/>
                <w:color w:val="000000"/>
                <w:sz w:val="16"/>
                <w:szCs w:val="16"/>
                <w:lang w:val="uk-UA"/>
              </w:rPr>
              <w:t xml:space="preserve"> </w:t>
            </w:r>
            <w:proofErr w:type="spellStart"/>
            <w:r w:rsidRPr="00681D9F">
              <w:rPr>
                <w:rFonts w:ascii="Times New Roman" w:hAnsi="Times New Roman"/>
                <w:color w:val="000000"/>
                <w:sz w:val="16"/>
                <w:szCs w:val="16"/>
                <w:lang w:val="uk-UA"/>
              </w:rPr>
              <w:t>можуть</w:t>
            </w:r>
            <w:proofErr w:type="spellEnd"/>
            <w:r w:rsidRPr="00681D9F">
              <w:rPr>
                <w:rFonts w:ascii="Times New Roman" w:hAnsi="Times New Roman"/>
                <w:color w:val="000000"/>
                <w:sz w:val="16"/>
                <w:szCs w:val="16"/>
                <w:lang w:val="uk-UA"/>
              </w:rPr>
              <w:t xml:space="preserve"> </w:t>
            </w:r>
            <w:proofErr w:type="spellStart"/>
            <w:r w:rsidRPr="00681D9F">
              <w:rPr>
                <w:rFonts w:ascii="Times New Roman" w:hAnsi="Times New Roman"/>
                <w:color w:val="000000"/>
                <w:sz w:val="16"/>
                <w:szCs w:val="16"/>
                <w:lang w:val="uk-UA"/>
              </w:rPr>
              <w:t>надаватися</w:t>
            </w:r>
            <w:proofErr w:type="spellEnd"/>
            <w:r w:rsidRPr="00681D9F">
              <w:rPr>
                <w:rFonts w:ascii="Times New Roman" w:hAnsi="Times New Roman"/>
                <w:color w:val="000000"/>
                <w:sz w:val="16"/>
                <w:szCs w:val="16"/>
                <w:lang w:val="uk-UA"/>
              </w:rPr>
              <w:t xml:space="preserve"> </w:t>
            </w:r>
            <w:proofErr w:type="spellStart"/>
            <w:r w:rsidRPr="00681D9F">
              <w:rPr>
                <w:rFonts w:ascii="Times New Roman" w:hAnsi="Times New Roman"/>
                <w:color w:val="000000"/>
                <w:sz w:val="16"/>
                <w:szCs w:val="16"/>
                <w:lang w:val="uk-UA"/>
              </w:rPr>
              <w:t>особисто</w:t>
            </w:r>
            <w:proofErr w:type="spellEnd"/>
            <w:r w:rsidRPr="00681D9F">
              <w:rPr>
                <w:rFonts w:ascii="Times New Roman" w:hAnsi="Times New Roman"/>
                <w:color w:val="000000"/>
                <w:sz w:val="16"/>
                <w:szCs w:val="16"/>
                <w:lang w:val="uk-UA"/>
              </w:rPr>
              <w:t xml:space="preserve">, </w:t>
            </w:r>
            <w:proofErr w:type="spellStart"/>
            <w:r w:rsidRPr="00681D9F">
              <w:rPr>
                <w:rFonts w:ascii="Times New Roman" w:hAnsi="Times New Roman"/>
                <w:color w:val="000000"/>
                <w:sz w:val="16"/>
                <w:szCs w:val="16"/>
                <w:lang w:val="uk-UA"/>
              </w:rPr>
              <w:t>поштою</w:t>
            </w:r>
            <w:proofErr w:type="spellEnd"/>
            <w:r w:rsidRPr="00681D9F">
              <w:rPr>
                <w:rFonts w:ascii="Times New Roman" w:hAnsi="Times New Roman"/>
                <w:color w:val="000000"/>
                <w:sz w:val="16"/>
                <w:szCs w:val="16"/>
                <w:lang w:val="uk-UA"/>
              </w:rPr>
              <w:t xml:space="preserve">, </w:t>
            </w:r>
            <w:proofErr w:type="spellStart"/>
            <w:r w:rsidRPr="00681D9F">
              <w:rPr>
                <w:rFonts w:ascii="Times New Roman" w:hAnsi="Times New Roman"/>
                <w:color w:val="000000"/>
                <w:sz w:val="16"/>
                <w:szCs w:val="16"/>
                <w:lang w:val="uk-UA"/>
              </w:rPr>
              <w:t>кур’єром</w:t>
            </w:r>
            <w:proofErr w:type="spellEnd"/>
            <w:r w:rsidRPr="00681D9F">
              <w:rPr>
                <w:rFonts w:ascii="Times New Roman" w:hAnsi="Times New Roman"/>
                <w:color w:val="000000"/>
                <w:sz w:val="16"/>
                <w:szCs w:val="16"/>
                <w:lang w:val="uk-UA"/>
              </w:rPr>
              <w:t>.</w:t>
            </w:r>
          </w:p>
          <w:p w14:paraId="2DE95295" w14:textId="77777777" w:rsidR="00681D9F" w:rsidRPr="00681D9F" w:rsidRDefault="00681D9F" w:rsidP="00681D9F">
            <w:pPr>
              <w:ind w:left="40" w:right="138" w:firstLine="0"/>
              <w:rPr>
                <w:rFonts w:ascii="Times New Roman" w:hAnsi="Times New Roman"/>
                <w:color w:val="000000"/>
                <w:sz w:val="16"/>
                <w:szCs w:val="16"/>
                <w:lang w:val="uk-UA"/>
              </w:rPr>
            </w:pPr>
          </w:p>
        </w:tc>
        <w:tc>
          <w:tcPr>
            <w:tcW w:w="5495" w:type="dxa"/>
            <w:gridSpan w:val="6"/>
            <w:shd w:val="clear" w:color="auto" w:fill="auto"/>
          </w:tcPr>
          <w:p w14:paraId="179C4205" w14:textId="77777777" w:rsidR="00681D9F" w:rsidRPr="00681D9F" w:rsidRDefault="00681D9F" w:rsidP="00681D9F">
            <w:pPr>
              <w:suppressAutoHyphens w:val="0"/>
              <w:ind w:left="40" w:right="138" w:firstLine="0"/>
              <w:rPr>
                <w:rFonts w:ascii="Times New Roman" w:hAnsi="Times New Roman"/>
                <w:color w:val="000000"/>
                <w:sz w:val="16"/>
                <w:szCs w:val="16"/>
                <w:lang w:val="uk-UA"/>
              </w:rPr>
            </w:pPr>
            <w:r w:rsidRPr="00681D9F">
              <w:rPr>
                <w:rFonts w:ascii="Times New Roman" w:hAnsi="Times New Roman"/>
                <w:color w:val="000000"/>
                <w:sz w:val="16"/>
                <w:szCs w:val="16"/>
                <w:lang w:val="uk-UA"/>
              </w:rPr>
              <w:t xml:space="preserve">2.3.10. Within three working days from the day the respective </w:t>
            </w:r>
            <w:proofErr w:type="gramStart"/>
            <w:r w:rsidRPr="00681D9F">
              <w:rPr>
                <w:rFonts w:ascii="Times New Roman" w:hAnsi="Times New Roman"/>
                <w:color w:val="000000"/>
                <w:sz w:val="16"/>
                <w:szCs w:val="16"/>
                <w:lang w:val="uk-UA"/>
              </w:rPr>
              <w:t>event  to</w:t>
            </w:r>
            <w:proofErr w:type="gramEnd"/>
            <w:r w:rsidRPr="00681D9F">
              <w:rPr>
                <w:rFonts w:ascii="Times New Roman" w:hAnsi="Times New Roman"/>
                <w:color w:val="000000"/>
                <w:sz w:val="16"/>
                <w:szCs w:val="16"/>
                <w:lang w:val="uk-UA"/>
              </w:rPr>
              <w:t xml:space="preserve"> notify Depository institution about changes in the information provided to Depository institution to carry identification (verification), including the final beneficial owners (controllers), and provide properly certified copies of supporting documents. </w:t>
            </w:r>
            <w:proofErr w:type="spellStart"/>
            <w:r w:rsidRPr="00681D9F">
              <w:rPr>
                <w:rFonts w:ascii="Times New Roman" w:hAnsi="Times New Roman"/>
                <w:color w:val="000000"/>
                <w:sz w:val="16"/>
                <w:szCs w:val="16"/>
                <w:lang w:val="uk-UA"/>
              </w:rPr>
              <w:t>Provide</w:t>
            </w:r>
            <w:proofErr w:type="spellEnd"/>
            <w:r w:rsidRPr="00681D9F">
              <w:rPr>
                <w:rFonts w:ascii="Times New Roman" w:hAnsi="Times New Roman"/>
                <w:color w:val="000000"/>
                <w:sz w:val="16"/>
                <w:szCs w:val="16"/>
                <w:lang w:val="uk-UA"/>
              </w:rPr>
              <w:t xml:space="preserve"> </w:t>
            </w:r>
            <w:proofErr w:type="spellStart"/>
            <w:r w:rsidRPr="00681D9F">
              <w:rPr>
                <w:rFonts w:ascii="Times New Roman" w:hAnsi="Times New Roman"/>
                <w:color w:val="000000"/>
                <w:sz w:val="16"/>
                <w:szCs w:val="16"/>
                <w:lang w:val="uk-UA"/>
              </w:rPr>
              <w:t>information</w:t>
            </w:r>
            <w:proofErr w:type="spellEnd"/>
            <w:r w:rsidRPr="00681D9F">
              <w:rPr>
                <w:rFonts w:ascii="Times New Roman" w:hAnsi="Times New Roman"/>
                <w:color w:val="000000"/>
                <w:sz w:val="16"/>
                <w:szCs w:val="16"/>
                <w:lang w:val="uk-UA"/>
              </w:rPr>
              <w:t xml:space="preserve"> </w:t>
            </w:r>
            <w:proofErr w:type="spellStart"/>
            <w:r w:rsidRPr="00681D9F">
              <w:rPr>
                <w:rFonts w:ascii="Times New Roman" w:hAnsi="Times New Roman"/>
                <w:color w:val="000000"/>
                <w:sz w:val="16"/>
                <w:szCs w:val="16"/>
                <w:lang w:val="uk-UA"/>
              </w:rPr>
              <w:t>on</w:t>
            </w:r>
            <w:proofErr w:type="spellEnd"/>
            <w:r w:rsidRPr="00681D9F">
              <w:rPr>
                <w:rFonts w:ascii="Times New Roman" w:hAnsi="Times New Roman"/>
                <w:color w:val="000000"/>
                <w:sz w:val="16"/>
                <w:szCs w:val="16"/>
                <w:lang w:val="uk-UA"/>
              </w:rPr>
              <w:t xml:space="preserve"> </w:t>
            </w:r>
            <w:proofErr w:type="spellStart"/>
            <w:r w:rsidRPr="00681D9F">
              <w:rPr>
                <w:rFonts w:ascii="Times New Roman" w:hAnsi="Times New Roman"/>
                <w:color w:val="000000"/>
                <w:sz w:val="16"/>
                <w:szCs w:val="16"/>
                <w:lang w:val="uk-UA"/>
              </w:rPr>
              <w:t>changes</w:t>
            </w:r>
            <w:proofErr w:type="spellEnd"/>
            <w:r w:rsidRPr="00681D9F">
              <w:rPr>
                <w:rFonts w:ascii="Times New Roman" w:hAnsi="Times New Roman"/>
                <w:color w:val="000000"/>
                <w:sz w:val="16"/>
                <w:szCs w:val="16"/>
                <w:lang w:val="uk-UA"/>
              </w:rPr>
              <w:t xml:space="preserve"> </w:t>
            </w:r>
            <w:proofErr w:type="spellStart"/>
            <w:r w:rsidRPr="00681D9F">
              <w:rPr>
                <w:rFonts w:ascii="Times New Roman" w:hAnsi="Times New Roman"/>
                <w:color w:val="000000"/>
                <w:sz w:val="16"/>
                <w:szCs w:val="16"/>
                <w:lang w:val="uk-UA"/>
              </w:rPr>
              <w:t>in</w:t>
            </w:r>
            <w:proofErr w:type="spellEnd"/>
            <w:r w:rsidRPr="00681D9F">
              <w:rPr>
                <w:rFonts w:ascii="Times New Roman" w:hAnsi="Times New Roman"/>
                <w:color w:val="000000"/>
                <w:sz w:val="16"/>
                <w:szCs w:val="16"/>
                <w:lang w:val="uk-UA"/>
              </w:rPr>
              <w:t xml:space="preserve"> </w:t>
            </w:r>
            <w:proofErr w:type="spellStart"/>
            <w:r w:rsidRPr="00681D9F">
              <w:rPr>
                <w:rFonts w:ascii="Times New Roman" w:hAnsi="Times New Roman"/>
                <w:color w:val="000000"/>
                <w:sz w:val="16"/>
                <w:szCs w:val="16"/>
                <w:lang w:val="uk-UA"/>
              </w:rPr>
              <w:t>the</w:t>
            </w:r>
            <w:proofErr w:type="spellEnd"/>
            <w:r w:rsidRPr="00681D9F">
              <w:rPr>
                <w:rFonts w:ascii="Times New Roman" w:hAnsi="Times New Roman"/>
                <w:color w:val="000000"/>
                <w:sz w:val="16"/>
                <w:szCs w:val="16"/>
                <w:lang w:val="uk-UA"/>
              </w:rPr>
              <w:t xml:space="preserve"> </w:t>
            </w:r>
            <w:proofErr w:type="spellStart"/>
            <w:r w:rsidRPr="00681D9F">
              <w:rPr>
                <w:rFonts w:ascii="Times New Roman" w:hAnsi="Times New Roman"/>
                <w:color w:val="000000"/>
                <w:sz w:val="16"/>
                <w:szCs w:val="16"/>
                <w:lang w:val="uk-UA"/>
              </w:rPr>
              <w:t>relevant</w:t>
            </w:r>
            <w:proofErr w:type="spellEnd"/>
            <w:r w:rsidRPr="00681D9F">
              <w:rPr>
                <w:rFonts w:ascii="Times New Roman" w:hAnsi="Times New Roman"/>
                <w:color w:val="000000"/>
                <w:sz w:val="16"/>
                <w:szCs w:val="16"/>
                <w:lang w:val="uk-UA"/>
              </w:rPr>
              <w:t xml:space="preserve"> </w:t>
            </w:r>
            <w:proofErr w:type="spellStart"/>
            <w:r w:rsidRPr="00681D9F">
              <w:rPr>
                <w:rFonts w:ascii="Times New Roman" w:hAnsi="Times New Roman"/>
                <w:color w:val="000000"/>
                <w:sz w:val="16"/>
                <w:szCs w:val="16"/>
                <w:lang w:val="uk-UA"/>
              </w:rPr>
              <w:t>own</w:t>
            </w:r>
            <w:proofErr w:type="spellEnd"/>
            <w:r w:rsidRPr="00681D9F">
              <w:rPr>
                <w:rFonts w:ascii="Times New Roman" w:hAnsi="Times New Roman"/>
                <w:color w:val="000000"/>
                <w:sz w:val="16"/>
                <w:szCs w:val="16"/>
                <w:lang w:val="uk-UA"/>
              </w:rPr>
              <w:t xml:space="preserve"> </w:t>
            </w:r>
            <w:proofErr w:type="spellStart"/>
            <w:r w:rsidRPr="00681D9F">
              <w:rPr>
                <w:rFonts w:ascii="Times New Roman" w:hAnsi="Times New Roman"/>
                <w:color w:val="000000"/>
                <w:sz w:val="16"/>
                <w:szCs w:val="16"/>
                <w:lang w:val="uk-UA"/>
              </w:rPr>
              <w:t>status</w:t>
            </w:r>
            <w:proofErr w:type="spellEnd"/>
            <w:r w:rsidRPr="00681D9F">
              <w:rPr>
                <w:rFonts w:ascii="Times New Roman" w:hAnsi="Times New Roman"/>
                <w:color w:val="000000"/>
                <w:sz w:val="16"/>
                <w:szCs w:val="16"/>
                <w:lang w:val="uk-UA"/>
              </w:rPr>
              <w:t xml:space="preserve"> </w:t>
            </w:r>
            <w:proofErr w:type="spellStart"/>
            <w:r w:rsidRPr="00681D9F">
              <w:rPr>
                <w:rFonts w:ascii="Times New Roman" w:hAnsi="Times New Roman"/>
                <w:color w:val="000000"/>
                <w:sz w:val="16"/>
                <w:szCs w:val="16"/>
                <w:lang w:val="uk-UA"/>
              </w:rPr>
              <w:t>of</w:t>
            </w:r>
            <w:proofErr w:type="spellEnd"/>
            <w:r w:rsidRPr="00681D9F">
              <w:rPr>
                <w:rFonts w:ascii="Times New Roman" w:hAnsi="Times New Roman"/>
                <w:color w:val="000000"/>
                <w:sz w:val="16"/>
                <w:szCs w:val="16"/>
                <w:lang w:val="uk-UA"/>
              </w:rPr>
              <w:t xml:space="preserve"> </w:t>
            </w:r>
            <w:proofErr w:type="spellStart"/>
            <w:r w:rsidRPr="00681D9F">
              <w:rPr>
                <w:rFonts w:ascii="Times New Roman" w:hAnsi="Times New Roman"/>
                <w:color w:val="000000"/>
                <w:sz w:val="16"/>
                <w:szCs w:val="16"/>
                <w:lang w:val="uk-UA"/>
              </w:rPr>
              <w:t>the</w:t>
            </w:r>
            <w:proofErr w:type="spellEnd"/>
            <w:r w:rsidRPr="00681D9F">
              <w:rPr>
                <w:rFonts w:ascii="Times New Roman" w:hAnsi="Times New Roman"/>
                <w:color w:val="000000"/>
                <w:sz w:val="16"/>
                <w:szCs w:val="16"/>
                <w:lang w:val="uk-UA"/>
              </w:rPr>
              <w:t xml:space="preserve"> </w:t>
            </w:r>
            <w:proofErr w:type="spellStart"/>
            <w:r w:rsidRPr="00681D9F">
              <w:rPr>
                <w:rFonts w:ascii="Times New Roman" w:hAnsi="Times New Roman"/>
                <w:color w:val="000000"/>
                <w:sz w:val="16"/>
                <w:szCs w:val="16"/>
                <w:lang w:val="uk-UA"/>
              </w:rPr>
              <w:t>tax</w:t>
            </w:r>
            <w:proofErr w:type="spellEnd"/>
            <w:r w:rsidRPr="00681D9F">
              <w:rPr>
                <w:rFonts w:ascii="Times New Roman" w:hAnsi="Times New Roman"/>
                <w:color w:val="000000"/>
                <w:sz w:val="16"/>
                <w:szCs w:val="16"/>
                <w:lang w:val="uk-UA"/>
              </w:rPr>
              <w:t xml:space="preserve"> </w:t>
            </w:r>
            <w:proofErr w:type="spellStart"/>
            <w:r w:rsidRPr="00681D9F">
              <w:rPr>
                <w:rFonts w:ascii="Times New Roman" w:hAnsi="Times New Roman"/>
                <w:color w:val="000000"/>
                <w:sz w:val="16"/>
                <w:szCs w:val="16"/>
                <w:lang w:val="uk-UA"/>
              </w:rPr>
              <w:t>residence</w:t>
            </w:r>
            <w:proofErr w:type="spellEnd"/>
            <w:r w:rsidRPr="00681D9F">
              <w:rPr>
                <w:rFonts w:ascii="Times New Roman" w:hAnsi="Times New Roman"/>
                <w:color w:val="000000"/>
                <w:sz w:val="16"/>
                <w:szCs w:val="16"/>
                <w:lang w:val="uk-UA"/>
              </w:rPr>
              <w:t xml:space="preserve"> </w:t>
            </w:r>
            <w:proofErr w:type="spellStart"/>
            <w:r w:rsidRPr="00681D9F">
              <w:rPr>
                <w:rFonts w:ascii="Times New Roman" w:hAnsi="Times New Roman"/>
                <w:color w:val="000000"/>
                <w:sz w:val="16"/>
                <w:szCs w:val="16"/>
                <w:lang w:val="uk-UA"/>
              </w:rPr>
              <w:t>within</w:t>
            </w:r>
            <w:proofErr w:type="spellEnd"/>
            <w:r w:rsidRPr="00681D9F">
              <w:rPr>
                <w:rFonts w:ascii="Times New Roman" w:hAnsi="Times New Roman"/>
                <w:color w:val="000000"/>
                <w:sz w:val="16"/>
                <w:szCs w:val="16"/>
                <w:lang w:val="uk-UA"/>
              </w:rPr>
              <w:t xml:space="preserve"> </w:t>
            </w:r>
            <w:proofErr w:type="spellStart"/>
            <w:r w:rsidRPr="00681D9F">
              <w:rPr>
                <w:rFonts w:ascii="Times New Roman" w:hAnsi="Times New Roman"/>
                <w:color w:val="000000"/>
                <w:sz w:val="16"/>
                <w:szCs w:val="16"/>
                <w:lang w:val="uk-UA"/>
              </w:rPr>
              <w:t>ten</w:t>
            </w:r>
            <w:proofErr w:type="spellEnd"/>
            <w:r w:rsidRPr="00681D9F">
              <w:rPr>
                <w:rFonts w:ascii="Times New Roman" w:hAnsi="Times New Roman"/>
                <w:color w:val="000000"/>
                <w:sz w:val="16"/>
                <w:szCs w:val="16"/>
                <w:lang w:val="uk-UA"/>
              </w:rPr>
              <w:t xml:space="preserve"> </w:t>
            </w:r>
            <w:proofErr w:type="spellStart"/>
            <w:r w:rsidRPr="00681D9F">
              <w:rPr>
                <w:rFonts w:ascii="Times New Roman" w:hAnsi="Times New Roman"/>
                <w:color w:val="000000"/>
                <w:sz w:val="16"/>
                <w:szCs w:val="16"/>
                <w:lang w:val="uk-UA"/>
              </w:rPr>
              <w:t>working</w:t>
            </w:r>
            <w:proofErr w:type="spellEnd"/>
            <w:r w:rsidRPr="00681D9F">
              <w:rPr>
                <w:rFonts w:ascii="Times New Roman" w:hAnsi="Times New Roman"/>
                <w:color w:val="000000"/>
                <w:sz w:val="16"/>
                <w:szCs w:val="16"/>
                <w:lang w:val="uk-UA"/>
              </w:rPr>
              <w:t xml:space="preserve"> </w:t>
            </w:r>
            <w:proofErr w:type="spellStart"/>
            <w:r w:rsidRPr="00681D9F">
              <w:rPr>
                <w:rFonts w:ascii="Times New Roman" w:hAnsi="Times New Roman"/>
                <w:color w:val="000000"/>
                <w:sz w:val="16"/>
                <w:szCs w:val="16"/>
                <w:lang w:val="uk-UA"/>
              </w:rPr>
              <w:t>days</w:t>
            </w:r>
            <w:proofErr w:type="spellEnd"/>
            <w:r w:rsidRPr="00681D9F">
              <w:rPr>
                <w:rFonts w:ascii="Times New Roman" w:hAnsi="Times New Roman"/>
                <w:color w:val="000000"/>
                <w:sz w:val="16"/>
                <w:szCs w:val="16"/>
                <w:lang w:val="uk-UA"/>
              </w:rPr>
              <w:t xml:space="preserve"> </w:t>
            </w:r>
            <w:proofErr w:type="spellStart"/>
            <w:r w:rsidRPr="00681D9F">
              <w:rPr>
                <w:rFonts w:ascii="Times New Roman" w:hAnsi="Times New Roman"/>
                <w:color w:val="000000"/>
                <w:sz w:val="16"/>
                <w:szCs w:val="16"/>
                <w:lang w:val="uk-UA"/>
              </w:rPr>
              <w:t>from</w:t>
            </w:r>
            <w:proofErr w:type="spellEnd"/>
            <w:r w:rsidRPr="00681D9F">
              <w:rPr>
                <w:rFonts w:ascii="Times New Roman" w:hAnsi="Times New Roman"/>
                <w:color w:val="000000"/>
                <w:sz w:val="16"/>
                <w:szCs w:val="16"/>
                <w:lang w:val="uk-UA"/>
              </w:rPr>
              <w:t xml:space="preserve"> </w:t>
            </w:r>
            <w:proofErr w:type="spellStart"/>
            <w:r w:rsidRPr="00681D9F">
              <w:rPr>
                <w:rFonts w:ascii="Times New Roman" w:hAnsi="Times New Roman"/>
                <w:color w:val="000000"/>
                <w:sz w:val="16"/>
                <w:szCs w:val="16"/>
                <w:lang w:val="uk-UA"/>
              </w:rPr>
              <w:t>the</w:t>
            </w:r>
            <w:proofErr w:type="spellEnd"/>
            <w:r w:rsidRPr="00681D9F">
              <w:rPr>
                <w:rFonts w:ascii="Times New Roman" w:hAnsi="Times New Roman"/>
                <w:color w:val="000000"/>
                <w:sz w:val="16"/>
                <w:szCs w:val="16"/>
                <w:lang w:val="uk-UA"/>
              </w:rPr>
              <w:t xml:space="preserve"> </w:t>
            </w:r>
            <w:proofErr w:type="spellStart"/>
            <w:r w:rsidRPr="00681D9F">
              <w:rPr>
                <w:rFonts w:ascii="Times New Roman" w:hAnsi="Times New Roman"/>
                <w:color w:val="000000"/>
                <w:sz w:val="16"/>
                <w:szCs w:val="16"/>
                <w:lang w:val="uk-UA"/>
              </w:rPr>
              <w:t>date</w:t>
            </w:r>
            <w:proofErr w:type="spellEnd"/>
            <w:r w:rsidRPr="00681D9F">
              <w:rPr>
                <w:rFonts w:ascii="Times New Roman" w:hAnsi="Times New Roman"/>
                <w:color w:val="000000"/>
                <w:sz w:val="16"/>
                <w:szCs w:val="16"/>
                <w:lang w:val="uk-UA"/>
              </w:rPr>
              <w:t xml:space="preserve"> </w:t>
            </w:r>
            <w:proofErr w:type="spellStart"/>
            <w:r w:rsidRPr="00681D9F">
              <w:rPr>
                <w:rFonts w:ascii="Times New Roman" w:hAnsi="Times New Roman"/>
                <w:color w:val="000000"/>
                <w:sz w:val="16"/>
                <w:szCs w:val="16"/>
                <w:lang w:val="uk-UA"/>
              </w:rPr>
              <w:t>of</w:t>
            </w:r>
            <w:proofErr w:type="spellEnd"/>
            <w:r w:rsidRPr="00681D9F">
              <w:rPr>
                <w:rFonts w:ascii="Times New Roman" w:hAnsi="Times New Roman"/>
                <w:color w:val="000000"/>
                <w:sz w:val="16"/>
                <w:szCs w:val="16"/>
                <w:lang w:val="uk-UA"/>
              </w:rPr>
              <w:t xml:space="preserve"> </w:t>
            </w:r>
            <w:proofErr w:type="spellStart"/>
            <w:r w:rsidRPr="00681D9F">
              <w:rPr>
                <w:rFonts w:ascii="Times New Roman" w:hAnsi="Times New Roman"/>
                <w:color w:val="000000"/>
                <w:sz w:val="16"/>
                <w:szCs w:val="16"/>
                <w:lang w:val="uk-UA"/>
              </w:rPr>
              <w:t>the</w:t>
            </w:r>
            <w:proofErr w:type="spellEnd"/>
            <w:r w:rsidRPr="00681D9F">
              <w:rPr>
                <w:rFonts w:ascii="Times New Roman" w:hAnsi="Times New Roman"/>
                <w:color w:val="000000"/>
                <w:sz w:val="16"/>
                <w:szCs w:val="16"/>
                <w:lang w:val="uk-UA"/>
              </w:rPr>
              <w:t xml:space="preserve"> </w:t>
            </w:r>
            <w:proofErr w:type="spellStart"/>
            <w:r w:rsidRPr="00681D9F">
              <w:rPr>
                <w:rFonts w:ascii="Times New Roman" w:hAnsi="Times New Roman"/>
                <w:color w:val="000000"/>
                <w:sz w:val="16"/>
                <w:szCs w:val="16"/>
                <w:lang w:val="uk-UA"/>
              </w:rPr>
              <w:t>relevant</w:t>
            </w:r>
            <w:proofErr w:type="spellEnd"/>
            <w:r w:rsidRPr="00681D9F">
              <w:rPr>
                <w:rFonts w:ascii="Times New Roman" w:hAnsi="Times New Roman"/>
                <w:color w:val="000000"/>
                <w:sz w:val="16"/>
                <w:szCs w:val="16"/>
                <w:lang w:val="uk-UA"/>
              </w:rPr>
              <w:t xml:space="preserve"> </w:t>
            </w:r>
            <w:proofErr w:type="spellStart"/>
            <w:r w:rsidRPr="00681D9F">
              <w:rPr>
                <w:rFonts w:ascii="Times New Roman" w:hAnsi="Times New Roman"/>
                <w:color w:val="000000"/>
                <w:sz w:val="16"/>
                <w:szCs w:val="16"/>
                <w:lang w:val="uk-UA"/>
              </w:rPr>
              <w:t>change</w:t>
            </w:r>
            <w:proofErr w:type="spellEnd"/>
            <w:r w:rsidRPr="00681D9F">
              <w:rPr>
                <w:rFonts w:ascii="Times New Roman" w:hAnsi="Times New Roman"/>
                <w:color w:val="000000"/>
                <w:sz w:val="16"/>
                <w:szCs w:val="16"/>
                <w:lang w:val="uk-UA"/>
              </w:rPr>
              <w:t xml:space="preserve">, </w:t>
            </w:r>
            <w:proofErr w:type="spellStart"/>
            <w:r w:rsidRPr="00681D9F">
              <w:rPr>
                <w:rFonts w:ascii="Times New Roman" w:hAnsi="Times New Roman"/>
                <w:color w:val="000000"/>
                <w:sz w:val="16"/>
                <w:szCs w:val="16"/>
                <w:lang w:val="uk-UA"/>
              </w:rPr>
              <w:t>in</w:t>
            </w:r>
            <w:proofErr w:type="spellEnd"/>
            <w:r w:rsidRPr="00681D9F">
              <w:rPr>
                <w:rFonts w:ascii="Times New Roman" w:hAnsi="Times New Roman"/>
                <w:color w:val="000000"/>
                <w:sz w:val="16"/>
                <w:szCs w:val="16"/>
                <w:lang w:val="uk-UA"/>
              </w:rPr>
              <w:t xml:space="preserve"> </w:t>
            </w:r>
            <w:proofErr w:type="spellStart"/>
            <w:r w:rsidRPr="00681D9F">
              <w:rPr>
                <w:rFonts w:ascii="Times New Roman" w:hAnsi="Times New Roman"/>
                <w:color w:val="000000"/>
                <w:sz w:val="16"/>
                <w:szCs w:val="16"/>
                <w:lang w:val="uk-UA"/>
              </w:rPr>
              <w:t>the</w:t>
            </w:r>
            <w:proofErr w:type="spellEnd"/>
            <w:r w:rsidRPr="00681D9F">
              <w:rPr>
                <w:rFonts w:ascii="Times New Roman" w:hAnsi="Times New Roman"/>
                <w:color w:val="000000"/>
                <w:sz w:val="16"/>
                <w:szCs w:val="16"/>
                <w:lang w:val="uk-UA"/>
              </w:rPr>
              <w:t xml:space="preserve"> </w:t>
            </w:r>
            <w:proofErr w:type="spellStart"/>
            <w:r w:rsidRPr="00681D9F">
              <w:rPr>
                <w:rFonts w:ascii="Times New Roman" w:hAnsi="Times New Roman"/>
                <w:color w:val="000000"/>
                <w:sz w:val="16"/>
                <w:szCs w:val="16"/>
                <w:lang w:val="uk-UA"/>
              </w:rPr>
              <w:t>manner</w:t>
            </w:r>
            <w:proofErr w:type="spellEnd"/>
            <w:r w:rsidRPr="00681D9F">
              <w:rPr>
                <w:rFonts w:ascii="Times New Roman" w:hAnsi="Times New Roman"/>
                <w:color w:val="000000"/>
                <w:sz w:val="16"/>
                <w:szCs w:val="16"/>
                <w:lang w:val="uk-UA"/>
              </w:rPr>
              <w:t xml:space="preserve"> </w:t>
            </w:r>
            <w:proofErr w:type="spellStart"/>
            <w:r w:rsidRPr="00681D9F">
              <w:rPr>
                <w:rFonts w:ascii="Times New Roman" w:hAnsi="Times New Roman"/>
                <w:color w:val="000000"/>
                <w:sz w:val="16"/>
                <w:szCs w:val="16"/>
                <w:lang w:val="uk-UA"/>
              </w:rPr>
              <w:t>prescribed</w:t>
            </w:r>
            <w:proofErr w:type="spellEnd"/>
            <w:r w:rsidRPr="00681D9F">
              <w:rPr>
                <w:rFonts w:ascii="Times New Roman" w:hAnsi="Times New Roman"/>
                <w:color w:val="000000"/>
                <w:sz w:val="16"/>
                <w:szCs w:val="16"/>
                <w:lang w:val="uk-UA"/>
              </w:rPr>
              <w:t xml:space="preserve"> </w:t>
            </w:r>
            <w:proofErr w:type="spellStart"/>
            <w:r w:rsidRPr="00681D9F">
              <w:rPr>
                <w:rFonts w:ascii="Times New Roman" w:hAnsi="Times New Roman"/>
                <w:color w:val="000000"/>
                <w:sz w:val="16"/>
                <w:szCs w:val="16"/>
                <w:lang w:val="uk-UA"/>
              </w:rPr>
              <w:t>by</w:t>
            </w:r>
            <w:proofErr w:type="spellEnd"/>
            <w:r w:rsidRPr="00681D9F">
              <w:rPr>
                <w:rFonts w:ascii="Times New Roman" w:hAnsi="Times New Roman"/>
                <w:color w:val="000000"/>
                <w:sz w:val="16"/>
                <w:szCs w:val="16"/>
                <w:lang w:val="uk-UA"/>
              </w:rPr>
              <w:t xml:space="preserve"> </w:t>
            </w:r>
            <w:proofErr w:type="spellStart"/>
            <w:r w:rsidRPr="00681D9F">
              <w:rPr>
                <w:rFonts w:ascii="Times New Roman" w:hAnsi="Times New Roman"/>
                <w:color w:val="000000"/>
                <w:sz w:val="16"/>
                <w:szCs w:val="16"/>
                <w:lang w:val="uk-UA"/>
              </w:rPr>
              <w:t>law</w:t>
            </w:r>
            <w:proofErr w:type="spellEnd"/>
            <w:r w:rsidRPr="00681D9F">
              <w:rPr>
                <w:rFonts w:ascii="Times New Roman" w:hAnsi="Times New Roman"/>
                <w:color w:val="000000"/>
                <w:sz w:val="16"/>
                <w:szCs w:val="16"/>
                <w:lang w:val="uk-UA"/>
              </w:rPr>
              <w:t xml:space="preserve"> </w:t>
            </w:r>
            <w:proofErr w:type="spellStart"/>
            <w:r w:rsidRPr="00681D9F">
              <w:rPr>
                <w:rFonts w:ascii="Times New Roman" w:hAnsi="Times New Roman"/>
                <w:color w:val="000000"/>
                <w:sz w:val="16"/>
                <w:szCs w:val="16"/>
                <w:lang w:val="uk-UA"/>
              </w:rPr>
              <w:t>and</w:t>
            </w:r>
            <w:proofErr w:type="spellEnd"/>
            <w:r w:rsidRPr="00681D9F">
              <w:rPr>
                <w:rFonts w:ascii="Times New Roman" w:hAnsi="Times New Roman"/>
                <w:color w:val="000000"/>
                <w:sz w:val="16"/>
                <w:szCs w:val="16"/>
                <w:lang w:val="uk-UA"/>
              </w:rPr>
              <w:t xml:space="preserve"> </w:t>
            </w:r>
            <w:proofErr w:type="spellStart"/>
            <w:r w:rsidRPr="00681D9F">
              <w:rPr>
                <w:rFonts w:ascii="Times New Roman" w:hAnsi="Times New Roman"/>
                <w:color w:val="000000"/>
                <w:sz w:val="16"/>
                <w:szCs w:val="16"/>
                <w:lang w:val="uk-UA"/>
              </w:rPr>
              <w:t>internal</w:t>
            </w:r>
            <w:proofErr w:type="spellEnd"/>
            <w:r w:rsidRPr="00681D9F">
              <w:rPr>
                <w:rFonts w:ascii="Times New Roman" w:hAnsi="Times New Roman"/>
                <w:color w:val="000000"/>
                <w:sz w:val="16"/>
                <w:szCs w:val="16"/>
                <w:lang w:val="uk-UA"/>
              </w:rPr>
              <w:t xml:space="preserve"> </w:t>
            </w:r>
            <w:proofErr w:type="spellStart"/>
            <w:r w:rsidRPr="00681D9F">
              <w:rPr>
                <w:rFonts w:ascii="Times New Roman" w:hAnsi="Times New Roman"/>
                <w:color w:val="000000"/>
                <w:sz w:val="16"/>
                <w:szCs w:val="16"/>
                <w:lang w:val="uk-UA"/>
              </w:rPr>
              <w:t>documents</w:t>
            </w:r>
            <w:proofErr w:type="spellEnd"/>
            <w:r w:rsidRPr="00681D9F">
              <w:rPr>
                <w:rFonts w:ascii="Times New Roman" w:hAnsi="Times New Roman"/>
                <w:color w:val="000000"/>
                <w:sz w:val="16"/>
                <w:szCs w:val="16"/>
                <w:lang w:val="uk-UA"/>
              </w:rPr>
              <w:t xml:space="preserve"> </w:t>
            </w:r>
            <w:proofErr w:type="spellStart"/>
            <w:r w:rsidRPr="00681D9F">
              <w:rPr>
                <w:rFonts w:ascii="Times New Roman" w:hAnsi="Times New Roman"/>
                <w:color w:val="000000"/>
                <w:sz w:val="16"/>
                <w:szCs w:val="16"/>
                <w:lang w:val="uk-UA"/>
              </w:rPr>
              <w:t>of</w:t>
            </w:r>
            <w:proofErr w:type="spellEnd"/>
            <w:r w:rsidRPr="00681D9F">
              <w:rPr>
                <w:rFonts w:ascii="Times New Roman" w:hAnsi="Times New Roman"/>
                <w:color w:val="000000"/>
                <w:sz w:val="16"/>
                <w:szCs w:val="16"/>
                <w:lang w:val="uk-UA"/>
              </w:rPr>
              <w:t xml:space="preserve"> </w:t>
            </w:r>
            <w:proofErr w:type="spellStart"/>
            <w:r w:rsidRPr="00681D9F">
              <w:rPr>
                <w:rFonts w:ascii="Times New Roman" w:hAnsi="Times New Roman"/>
                <w:color w:val="000000"/>
                <w:sz w:val="16"/>
                <w:szCs w:val="16"/>
                <w:lang w:val="uk-UA"/>
              </w:rPr>
              <w:t>the</w:t>
            </w:r>
            <w:proofErr w:type="spellEnd"/>
            <w:r w:rsidRPr="00681D9F">
              <w:rPr>
                <w:rFonts w:ascii="Times New Roman" w:hAnsi="Times New Roman"/>
                <w:color w:val="000000"/>
                <w:sz w:val="16"/>
                <w:szCs w:val="16"/>
                <w:lang w:val="uk-UA"/>
              </w:rPr>
              <w:t xml:space="preserve"> </w:t>
            </w:r>
            <w:proofErr w:type="spellStart"/>
            <w:r w:rsidRPr="00681D9F">
              <w:rPr>
                <w:rFonts w:ascii="Times New Roman" w:hAnsi="Times New Roman"/>
                <w:color w:val="000000"/>
                <w:sz w:val="16"/>
                <w:szCs w:val="16"/>
                <w:lang w:val="uk-UA"/>
              </w:rPr>
              <w:t>Depository</w:t>
            </w:r>
            <w:proofErr w:type="spellEnd"/>
            <w:r w:rsidRPr="00681D9F">
              <w:rPr>
                <w:rFonts w:ascii="Times New Roman" w:hAnsi="Times New Roman"/>
                <w:color w:val="000000"/>
                <w:sz w:val="16"/>
                <w:szCs w:val="16"/>
                <w:lang w:val="uk-UA"/>
              </w:rPr>
              <w:t>.</w:t>
            </w:r>
          </w:p>
          <w:p w14:paraId="6B11D786" w14:textId="609D833F" w:rsidR="00681D9F" w:rsidRPr="00681D9F" w:rsidRDefault="00681D9F" w:rsidP="00681D9F">
            <w:pPr>
              <w:pStyle w:val="210"/>
              <w:tabs>
                <w:tab w:val="left" w:pos="287"/>
                <w:tab w:val="left" w:pos="1191"/>
              </w:tabs>
              <w:snapToGrid w:val="0"/>
              <w:ind w:left="145" w:right="100" w:firstLine="0"/>
              <w:rPr>
                <w:rFonts w:ascii="Times New Roman" w:hAnsi="Times New Roman"/>
                <w:color w:val="000000"/>
                <w:sz w:val="16"/>
                <w:szCs w:val="16"/>
              </w:rPr>
            </w:pPr>
            <w:r w:rsidRPr="00681D9F">
              <w:rPr>
                <w:rFonts w:ascii="Times New Roman" w:hAnsi="Times New Roman"/>
                <w:color w:val="000000"/>
                <w:sz w:val="16"/>
                <w:szCs w:val="16"/>
              </w:rPr>
              <w:t xml:space="preserve"> </w:t>
            </w:r>
            <w:proofErr w:type="spellStart"/>
            <w:r w:rsidRPr="00681D9F">
              <w:rPr>
                <w:rFonts w:ascii="Times New Roman" w:hAnsi="Times New Roman"/>
                <w:color w:val="000000"/>
                <w:sz w:val="16"/>
                <w:szCs w:val="16"/>
              </w:rPr>
              <w:t>Messages</w:t>
            </w:r>
            <w:proofErr w:type="spellEnd"/>
            <w:r w:rsidRPr="00681D9F">
              <w:rPr>
                <w:rFonts w:ascii="Times New Roman" w:hAnsi="Times New Roman"/>
                <w:color w:val="000000"/>
                <w:sz w:val="16"/>
                <w:szCs w:val="16"/>
              </w:rPr>
              <w:t xml:space="preserve"> </w:t>
            </w:r>
            <w:proofErr w:type="spellStart"/>
            <w:r w:rsidRPr="00681D9F">
              <w:rPr>
                <w:rFonts w:ascii="Times New Roman" w:hAnsi="Times New Roman"/>
                <w:color w:val="000000"/>
                <w:sz w:val="16"/>
                <w:szCs w:val="16"/>
              </w:rPr>
              <w:t>and</w:t>
            </w:r>
            <w:proofErr w:type="spellEnd"/>
            <w:r w:rsidRPr="00681D9F">
              <w:rPr>
                <w:rFonts w:ascii="Times New Roman" w:hAnsi="Times New Roman"/>
                <w:color w:val="000000"/>
                <w:sz w:val="16"/>
                <w:szCs w:val="16"/>
              </w:rPr>
              <w:t xml:space="preserve"> </w:t>
            </w:r>
            <w:proofErr w:type="spellStart"/>
            <w:r w:rsidRPr="00681D9F">
              <w:rPr>
                <w:rFonts w:ascii="Times New Roman" w:hAnsi="Times New Roman"/>
                <w:color w:val="000000"/>
                <w:sz w:val="16"/>
                <w:szCs w:val="16"/>
              </w:rPr>
              <w:t>documents</w:t>
            </w:r>
            <w:proofErr w:type="spellEnd"/>
            <w:r w:rsidRPr="00681D9F">
              <w:rPr>
                <w:rFonts w:ascii="Times New Roman" w:hAnsi="Times New Roman"/>
                <w:color w:val="000000"/>
                <w:sz w:val="16"/>
                <w:szCs w:val="16"/>
              </w:rPr>
              <w:t xml:space="preserve"> </w:t>
            </w:r>
            <w:proofErr w:type="spellStart"/>
            <w:r w:rsidRPr="00681D9F">
              <w:rPr>
                <w:rFonts w:ascii="Times New Roman" w:hAnsi="Times New Roman"/>
                <w:color w:val="000000"/>
                <w:sz w:val="16"/>
                <w:szCs w:val="16"/>
              </w:rPr>
              <w:t>can</w:t>
            </w:r>
            <w:proofErr w:type="spellEnd"/>
            <w:r w:rsidRPr="00681D9F">
              <w:rPr>
                <w:rFonts w:ascii="Times New Roman" w:hAnsi="Times New Roman"/>
                <w:color w:val="000000"/>
                <w:sz w:val="16"/>
                <w:szCs w:val="16"/>
              </w:rPr>
              <w:t xml:space="preserve"> </w:t>
            </w:r>
            <w:proofErr w:type="spellStart"/>
            <w:r w:rsidRPr="00681D9F">
              <w:rPr>
                <w:rFonts w:ascii="Times New Roman" w:hAnsi="Times New Roman"/>
                <w:color w:val="000000"/>
                <w:sz w:val="16"/>
                <w:szCs w:val="16"/>
              </w:rPr>
              <w:t>be</w:t>
            </w:r>
            <w:proofErr w:type="spellEnd"/>
            <w:r w:rsidRPr="00681D9F">
              <w:rPr>
                <w:rFonts w:ascii="Times New Roman" w:hAnsi="Times New Roman"/>
                <w:color w:val="000000"/>
                <w:sz w:val="16"/>
                <w:szCs w:val="16"/>
              </w:rPr>
              <w:t xml:space="preserve"> </w:t>
            </w:r>
            <w:proofErr w:type="spellStart"/>
            <w:r w:rsidRPr="00681D9F">
              <w:rPr>
                <w:rFonts w:ascii="Times New Roman" w:hAnsi="Times New Roman"/>
                <w:color w:val="000000"/>
                <w:sz w:val="16"/>
                <w:szCs w:val="16"/>
              </w:rPr>
              <w:t>provided</w:t>
            </w:r>
            <w:proofErr w:type="spellEnd"/>
            <w:r w:rsidRPr="00681D9F">
              <w:rPr>
                <w:rFonts w:ascii="Times New Roman" w:hAnsi="Times New Roman"/>
                <w:color w:val="000000"/>
                <w:sz w:val="16"/>
                <w:szCs w:val="16"/>
              </w:rPr>
              <w:t xml:space="preserve"> </w:t>
            </w:r>
            <w:proofErr w:type="spellStart"/>
            <w:r w:rsidRPr="00681D9F">
              <w:rPr>
                <w:rFonts w:ascii="Times New Roman" w:hAnsi="Times New Roman"/>
                <w:color w:val="000000"/>
                <w:sz w:val="16"/>
                <w:szCs w:val="16"/>
              </w:rPr>
              <w:t>in</w:t>
            </w:r>
            <w:proofErr w:type="spellEnd"/>
            <w:r w:rsidRPr="00681D9F">
              <w:rPr>
                <w:rFonts w:ascii="Times New Roman" w:hAnsi="Times New Roman"/>
                <w:color w:val="000000"/>
                <w:sz w:val="16"/>
                <w:szCs w:val="16"/>
              </w:rPr>
              <w:t xml:space="preserve"> </w:t>
            </w:r>
            <w:proofErr w:type="spellStart"/>
            <w:r w:rsidRPr="00681D9F">
              <w:rPr>
                <w:rFonts w:ascii="Times New Roman" w:hAnsi="Times New Roman"/>
                <w:color w:val="000000"/>
                <w:sz w:val="16"/>
                <w:szCs w:val="16"/>
              </w:rPr>
              <w:t>person</w:t>
            </w:r>
            <w:proofErr w:type="spellEnd"/>
            <w:r w:rsidRPr="00681D9F">
              <w:rPr>
                <w:rFonts w:ascii="Times New Roman" w:hAnsi="Times New Roman"/>
                <w:color w:val="000000"/>
                <w:sz w:val="16"/>
                <w:szCs w:val="16"/>
              </w:rPr>
              <w:t xml:space="preserve">, </w:t>
            </w:r>
            <w:proofErr w:type="spellStart"/>
            <w:r w:rsidRPr="00681D9F">
              <w:rPr>
                <w:rFonts w:ascii="Times New Roman" w:hAnsi="Times New Roman"/>
                <w:color w:val="000000"/>
                <w:sz w:val="16"/>
                <w:szCs w:val="16"/>
              </w:rPr>
              <w:t>by</w:t>
            </w:r>
            <w:proofErr w:type="spellEnd"/>
            <w:r w:rsidRPr="00681D9F">
              <w:rPr>
                <w:rFonts w:ascii="Times New Roman" w:hAnsi="Times New Roman"/>
                <w:color w:val="000000"/>
                <w:sz w:val="16"/>
                <w:szCs w:val="16"/>
              </w:rPr>
              <w:t xml:space="preserve"> </w:t>
            </w:r>
            <w:proofErr w:type="spellStart"/>
            <w:r w:rsidRPr="00681D9F">
              <w:rPr>
                <w:rFonts w:ascii="Times New Roman" w:hAnsi="Times New Roman"/>
                <w:color w:val="000000"/>
                <w:sz w:val="16"/>
                <w:szCs w:val="16"/>
              </w:rPr>
              <w:t>mail</w:t>
            </w:r>
            <w:proofErr w:type="spellEnd"/>
            <w:r w:rsidRPr="00681D9F">
              <w:rPr>
                <w:rFonts w:ascii="Times New Roman" w:hAnsi="Times New Roman"/>
                <w:color w:val="000000"/>
                <w:sz w:val="16"/>
                <w:szCs w:val="16"/>
              </w:rPr>
              <w:t xml:space="preserve">, </w:t>
            </w:r>
            <w:proofErr w:type="spellStart"/>
            <w:r w:rsidRPr="00681D9F">
              <w:rPr>
                <w:rFonts w:ascii="Times New Roman" w:hAnsi="Times New Roman"/>
                <w:color w:val="000000"/>
                <w:sz w:val="16"/>
                <w:szCs w:val="16"/>
              </w:rPr>
              <w:t>by</w:t>
            </w:r>
            <w:proofErr w:type="spellEnd"/>
            <w:r w:rsidRPr="00681D9F">
              <w:rPr>
                <w:rFonts w:ascii="Times New Roman" w:hAnsi="Times New Roman"/>
                <w:color w:val="000000"/>
                <w:sz w:val="16"/>
                <w:szCs w:val="16"/>
              </w:rPr>
              <w:t xml:space="preserve"> </w:t>
            </w:r>
            <w:proofErr w:type="spellStart"/>
            <w:r w:rsidRPr="00681D9F">
              <w:rPr>
                <w:rFonts w:ascii="Times New Roman" w:hAnsi="Times New Roman"/>
                <w:color w:val="000000"/>
                <w:sz w:val="16"/>
                <w:szCs w:val="16"/>
              </w:rPr>
              <w:t>courier</w:t>
            </w:r>
            <w:proofErr w:type="spellEnd"/>
            <w:r w:rsidRPr="00681D9F">
              <w:rPr>
                <w:rFonts w:ascii="Times New Roman" w:hAnsi="Times New Roman"/>
                <w:color w:val="000000"/>
                <w:sz w:val="16"/>
                <w:szCs w:val="16"/>
              </w:rPr>
              <w:t>.</w:t>
            </w:r>
          </w:p>
        </w:tc>
      </w:tr>
      <w:tr w:rsidR="00681D9F" w:rsidRPr="00F23413" w14:paraId="5D7B4B07" w14:textId="77777777" w:rsidTr="00681D9F">
        <w:trPr>
          <w:trHeight w:val="192"/>
        </w:trPr>
        <w:tc>
          <w:tcPr>
            <w:tcW w:w="5695" w:type="dxa"/>
            <w:gridSpan w:val="6"/>
            <w:shd w:val="clear" w:color="auto" w:fill="auto"/>
          </w:tcPr>
          <w:p w14:paraId="6BF49B70" w14:textId="15C0E207" w:rsidR="00681D9F" w:rsidRPr="00681D9F" w:rsidRDefault="00681D9F" w:rsidP="00681D9F">
            <w:pPr>
              <w:suppressAutoHyphens w:val="0"/>
              <w:ind w:left="40" w:right="138" w:firstLine="0"/>
              <w:rPr>
                <w:rFonts w:ascii="Times New Roman" w:hAnsi="Times New Roman"/>
                <w:color w:val="000000"/>
                <w:sz w:val="16"/>
                <w:szCs w:val="16"/>
                <w:lang w:val="uk-UA"/>
              </w:rPr>
            </w:pPr>
            <w:r w:rsidRPr="00681D9F">
              <w:rPr>
                <w:rFonts w:ascii="Times New Roman" w:hAnsi="Times New Roman"/>
                <w:color w:val="000000"/>
                <w:sz w:val="16"/>
                <w:szCs w:val="16"/>
                <w:lang w:val="uk-UA"/>
              </w:rPr>
              <w:t xml:space="preserve">2.3.11. Надавати на запит депозитарної установи інформацію та документи про власний статус податкового </w:t>
            </w:r>
            <w:proofErr w:type="spellStart"/>
            <w:r w:rsidRPr="00681D9F">
              <w:rPr>
                <w:rFonts w:ascii="Times New Roman" w:hAnsi="Times New Roman"/>
                <w:color w:val="000000"/>
                <w:sz w:val="16"/>
                <w:szCs w:val="16"/>
                <w:lang w:val="uk-UA"/>
              </w:rPr>
              <w:t>резидентства</w:t>
            </w:r>
            <w:proofErr w:type="spellEnd"/>
            <w:r w:rsidRPr="00681D9F">
              <w:rPr>
                <w:rFonts w:ascii="Times New Roman" w:hAnsi="Times New Roman"/>
                <w:color w:val="000000"/>
                <w:sz w:val="16"/>
                <w:szCs w:val="16"/>
                <w:lang w:val="uk-UA"/>
              </w:rPr>
              <w:t xml:space="preserve"> та статус податкового </w:t>
            </w:r>
            <w:proofErr w:type="spellStart"/>
            <w:r w:rsidRPr="00681D9F">
              <w:rPr>
                <w:rFonts w:ascii="Times New Roman" w:hAnsi="Times New Roman"/>
                <w:color w:val="000000"/>
                <w:sz w:val="16"/>
                <w:szCs w:val="16"/>
                <w:lang w:val="uk-UA"/>
              </w:rPr>
              <w:t>резидентства</w:t>
            </w:r>
            <w:proofErr w:type="spellEnd"/>
            <w:r w:rsidRPr="00681D9F">
              <w:rPr>
                <w:rFonts w:ascii="Times New Roman" w:hAnsi="Times New Roman"/>
                <w:color w:val="000000"/>
                <w:sz w:val="16"/>
                <w:szCs w:val="16"/>
                <w:lang w:val="uk-UA"/>
              </w:rPr>
              <w:t xml:space="preserve"> своїх кінцевих </w:t>
            </w:r>
            <w:proofErr w:type="spellStart"/>
            <w:r w:rsidRPr="00681D9F">
              <w:rPr>
                <w:rFonts w:ascii="Times New Roman" w:hAnsi="Times New Roman"/>
                <w:color w:val="000000"/>
                <w:sz w:val="16"/>
                <w:szCs w:val="16"/>
                <w:lang w:val="uk-UA"/>
              </w:rPr>
              <w:t>бенефіціарних</w:t>
            </w:r>
            <w:proofErr w:type="spellEnd"/>
            <w:r w:rsidRPr="00681D9F">
              <w:rPr>
                <w:rFonts w:ascii="Times New Roman" w:hAnsi="Times New Roman"/>
                <w:color w:val="000000"/>
                <w:sz w:val="16"/>
                <w:szCs w:val="16"/>
                <w:lang w:val="uk-UA"/>
              </w:rPr>
              <w:t xml:space="preserve"> власників (для юридичних осіб), а також іншу інформацію і документи, необхідні для звітності за підзвітними рахунками, у тому числі пояснення та інформацію, що стосуються наявної у депозитарної установи обґрунтованої, документально підтвердженої підозри, що рахунок у цінних паперах належить до підзвітних.</w:t>
            </w:r>
          </w:p>
        </w:tc>
        <w:tc>
          <w:tcPr>
            <w:tcW w:w="5495" w:type="dxa"/>
            <w:gridSpan w:val="6"/>
            <w:shd w:val="clear" w:color="auto" w:fill="auto"/>
          </w:tcPr>
          <w:p w14:paraId="23ABEDBA" w14:textId="77777777" w:rsidR="00681D9F" w:rsidRPr="00681D9F" w:rsidRDefault="00681D9F" w:rsidP="00681D9F">
            <w:pPr>
              <w:suppressAutoHyphens w:val="0"/>
              <w:ind w:left="40" w:right="138" w:firstLine="0"/>
              <w:rPr>
                <w:rFonts w:ascii="Times New Roman" w:hAnsi="Times New Roman"/>
                <w:color w:val="000000"/>
                <w:sz w:val="16"/>
                <w:szCs w:val="16"/>
                <w:lang w:val="uk-UA"/>
              </w:rPr>
            </w:pPr>
            <w:r w:rsidRPr="00681D9F">
              <w:rPr>
                <w:rFonts w:ascii="Times New Roman" w:hAnsi="Times New Roman"/>
                <w:color w:val="000000"/>
                <w:sz w:val="16"/>
                <w:szCs w:val="16"/>
                <w:lang w:val="uk-UA"/>
              </w:rPr>
              <w:t xml:space="preserve">2.3.11. </w:t>
            </w:r>
            <w:proofErr w:type="spellStart"/>
            <w:r w:rsidRPr="00681D9F">
              <w:rPr>
                <w:rFonts w:ascii="Times New Roman" w:hAnsi="Times New Roman"/>
                <w:color w:val="000000"/>
                <w:sz w:val="16"/>
                <w:szCs w:val="16"/>
                <w:lang w:val="uk-UA"/>
              </w:rPr>
              <w:t>Provide</w:t>
            </w:r>
            <w:proofErr w:type="spellEnd"/>
            <w:r w:rsidRPr="00681D9F">
              <w:rPr>
                <w:rFonts w:ascii="Times New Roman" w:hAnsi="Times New Roman"/>
                <w:color w:val="000000"/>
                <w:sz w:val="16"/>
                <w:szCs w:val="16"/>
                <w:lang w:val="uk-UA"/>
              </w:rPr>
              <w:t xml:space="preserve">, </w:t>
            </w:r>
            <w:proofErr w:type="spellStart"/>
            <w:r w:rsidRPr="00681D9F">
              <w:rPr>
                <w:rFonts w:ascii="Times New Roman" w:hAnsi="Times New Roman"/>
                <w:color w:val="000000"/>
                <w:sz w:val="16"/>
                <w:szCs w:val="16"/>
                <w:lang w:val="uk-UA"/>
              </w:rPr>
              <w:t>at</w:t>
            </w:r>
            <w:proofErr w:type="spellEnd"/>
            <w:r w:rsidRPr="00681D9F">
              <w:rPr>
                <w:rFonts w:ascii="Times New Roman" w:hAnsi="Times New Roman"/>
                <w:color w:val="000000"/>
                <w:sz w:val="16"/>
                <w:szCs w:val="16"/>
                <w:lang w:val="uk-UA"/>
              </w:rPr>
              <w:t xml:space="preserve"> </w:t>
            </w:r>
            <w:proofErr w:type="spellStart"/>
            <w:r w:rsidRPr="00681D9F">
              <w:rPr>
                <w:rFonts w:ascii="Times New Roman" w:hAnsi="Times New Roman"/>
                <w:color w:val="000000"/>
                <w:sz w:val="16"/>
                <w:szCs w:val="16"/>
                <w:lang w:val="uk-UA"/>
              </w:rPr>
              <w:t>the</w:t>
            </w:r>
            <w:proofErr w:type="spellEnd"/>
            <w:r w:rsidRPr="00681D9F">
              <w:rPr>
                <w:rFonts w:ascii="Times New Roman" w:hAnsi="Times New Roman"/>
                <w:color w:val="000000"/>
                <w:sz w:val="16"/>
                <w:szCs w:val="16"/>
                <w:lang w:val="uk-UA"/>
              </w:rPr>
              <w:t xml:space="preserve"> </w:t>
            </w:r>
            <w:proofErr w:type="spellStart"/>
            <w:r w:rsidRPr="00681D9F">
              <w:rPr>
                <w:rFonts w:ascii="Times New Roman" w:hAnsi="Times New Roman"/>
                <w:color w:val="000000"/>
                <w:sz w:val="16"/>
                <w:szCs w:val="16"/>
                <w:lang w:val="uk-UA"/>
              </w:rPr>
              <w:t>request</w:t>
            </w:r>
            <w:proofErr w:type="spellEnd"/>
            <w:r w:rsidRPr="00681D9F">
              <w:rPr>
                <w:rFonts w:ascii="Times New Roman" w:hAnsi="Times New Roman"/>
                <w:color w:val="000000"/>
                <w:sz w:val="16"/>
                <w:szCs w:val="16"/>
                <w:lang w:val="uk-UA"/>
              </w:rPr>
              <w:t xml:space="preserve"> </w:t>
            </w:r>
            <w:proofErr w:type="spellStart"/>
            <w:r w:rsidRPr="00681D9F">
              <w:rPr>
                <w:rFonts w:ascii="Times New Roman" w:hAnsi="Times New Roman"/>
                <w:color w:val="000000"/>
                <w:sz w:val="16"/>
                <w:szCs w:val="16"/>
                <w:lang w:val="uk-UA"/>
              </w:rPr>
              <w:t>of</w:t>
            </w:r>
            <w:proofErr w:type="spellEnd"/>
            <w:r w:rsidRPr="00681D9F">
              <w:rPr>
                <w:rFonts w:ascii="Times New Roman" w:hAnsi="Times New Roman"/>
                <w:color w:val="000000"/>
                <w:sz w:val="16"/>
                <w:szCs w:val="16"/>
                <w:lang w:val="uk-UA"/>
              </w:rPr>
              <w:t xml:space="preserve"> </w:t>
            </w:r>
            <w:proofErr w:type="spellStart"/>
            <w:r w:rsidRPr="00681D9F">
              <w:rPr>
                <w:rFonts w:ascii="Times New Roman" w:hAnsi="Times New Roman"/>
                <w:color w:val="000000"/>
                <w:sz w:val="16"/>
                <w:szCs w:val="16"/>
                <w:lang w:val="uk-UA"/>
              </w:rPr>
              <w:t>the</w:t>
            </w:r>
            <w:proofErr w:type="spellEnd"/>
            <w:r w:rsidRPr="00681D9F">
              <w:rPr>
                <w:rFonts w:ascii="Times New Roman" w:hAnsi="Times New Roman"/>
                <w:color w:val="000000"/>
                <w:sz w:val="16"/>
                <w:szCs w:val="16"/>
                <w:lang w:val="uk-UA"/>
              </w:rPr>
              <w:t xml:space="preserve"> </w:t>
            </w:r>
            <w:proofErr w:type="spellStart"/>
            <w:r w:rsidRPr="00681D9F">
              <w:rPr>
                <w:rFonts w:ascii="Times New Roman" w:hAnsi="Times New Roman"/>
                <w:color w:val="000000"/>
                <w:sz w:val="16"/>
                <w:szCs w:val="16"/>
                <w:lang w:val="uk-UA"/>
              </w:rPr>
              <w:t>depository</w:t>
            </w:r>
            <w:proofErr w:type="spellEnd"/>
            <w:r w:rsidRPr="00681D9F">
              <w:rPr>
                <w:rFonts w:ascii="Times New Roman" w:hAnsi="Times New Roman"/>
                <w:color w:val="000000"/>
                <w:sz w:val="16"/>
                <w:szCs w:val="16"/>
                <w:lang w:val="uk-UA"/>
              </w:rPr>
              <w:t xml:space="preserve"> </w:t>
            </w:r>
            <w:proofErr w:type="spellStart"/>
            <w:r w:rsidRPr="00681D9F">
              <w:rPr>
                <w:rFonts w:ascii="Times New Roman" w:hAnsi="Times New Roman"/>
                <w:color w:val="000000"/>
                <w:sz w:val="16"/>
                <w:szCs w:val="16"/>
                <w:lang w:val="uk-UA"/>
              </w:rPr>
              <w:t>institution</w:t>
            </w:r>
            <w:proofErr w:type="spellEnd"/>
            <w:r w:rsidRPr="00681D9F">
              <w:rPr>
                <w:rFonts w:ascii="Times New Roman" w:hAnsi="Times New Roman"/>
                <w:color w:val="000000"/>
                <w:sz w:val="16"/>
                <w:szCs w:val="16"/>
                <w:lang w:val="uk-UA"/>
              </w:rPr>
              <w:t xml:space="preserve">, </w:t>
            </w:r>
            <w:proofErr w:type="spellStart"/>
            <w:r w:rsidRPr="00681D9F">
              <w:rPr>
                <w:rFonts w:ascii="Times New Roman" w:hAnsi="Times New Roman"/>
                <w:color w:val="000000"/>
                <w:sz w:val="16"/>
                <w:szCs w:val="16"/>
                <w:lang w:val="uk-UA"/>
              </w:rPr>
              <w:t>information</w:t>
            </w:r>
            <w:proofErr w:type="spellEnd"/>
            <w:r w:rsidRPr="00681D9F">
              <w:rPr>
                <w:rFonts w:ascii="Times New Roman" w:hAnsi="Times New Roman"/>
                <w:color w:val="000000"/>
                <w:sz w:val="16"/>
                <w:szCs w:val="16"/>
                <w:lang w:val="uk-UA"/>
              </w:rPr>
              <w:t xml:space="preserve"> </w:t>
            </w:r>
            <w:proofErr w:type="spellStart"/>
            <w:r w:rsidRPr="00681D9F">
              <w:rPr>
                <w:rFonts w:ascii="Times New Roman" w:hAnsi="Times New Roman"/>
                <w:color w:val="000000"/>
                <w:sz w:val="16"/>
                <w:szCs w:val="16"/>
                <w:lang w:val="uk-UA"/>
              </w:rPr>
              <w:t>and</w:t>
            </w:r>
            <w:proofErr w:type="spellEnd"/>
            <w:r w:rsidRPr="00681D9F">
              <w:rPr>
                <w:rFonts w:ascii="Times New Roman" w:hAnsi="Times New Roman"/>
                <w:color w:val="000000"/>
                <w:sz w:val="16"/>
                <w:szCs w:val="16"/>
                <w:lang w:val="uk-UA"/>
              </w:rPr>
              <w:t xml:space="preserve"> </w:t>
            </w:r>
            <w:proofErr w:type="spellStart"/>
            <w:r w:rsidRPr="00681D9F">
              <w:rPr>
                <w:rFonts w:ascii="Times New Roman" w:hAnsi="Times New Roman"/>
                <w:color w:val="000000"/>
                <w:sz w:val="16"/>
                <w:szCs w:val="16"/>
                <w:lang w:val="uk-UA"/>
              </w:rPr>
              <w:t>documents</w:t>
            </w:r>
            <w:proofErr w:type="spellEnd"/>
            <w:r w:rsidRPr="00681D9F">
              <w:rPr>
                <w:rFonts w:ascii="Times New Roman" w:hAnsi="Times New Roman"/>
                <w:color w:val="000000"/>
                <w:sz w:val="16"/>
                <w:szCs w:val="16"/>
                <w:lang w:val="uk-UA"/>
              </w:rPr>
              <w:t xml:space="preserve"> </w:t>
            </w:r>
            <w:proofErr w:type="spellStart"/>
            <w:r w:rsidRPr="00681D9F">
              <w:rPr>
                <w:rFonts w:ascii="Times New Roman" w:hAnsi="Times New Roman"/>
                <w:color w:val="000000"/>
                <w:sz w:val="16"/>
                <w:szCs w:val="16"/>
                <w:lang w:val="uk-UA"/>
              </w:rPr>
              <w:t>on</w:t>
            </w:r>
            <w:proofErr w:type="spellEnd"/>
            <w:r w:rsidRPr="00681D9F">
              <w:rPr>
                <w:rFonts w:ascii="Times New Roman" w:hAnsi="Times New Roman"/>
                <w:color w:val="000000"/>
                <w:sz w:val="16"/>
                <w:szCs w:val="16"/>
                <w:lang w:val="uk-UA"/>
              </w:rPr>
              <w:t xml:space="preserve"> </w:t>
            </w:r>
            <w:proofErr w:type="spellStart"/>
            <w:r w:rsidRPr="00681D9F">
              <w:rPr>
                <w:rFonts w:ascii="Times New Roman" w:hAnsi="Times New Roman"/>
                <w:color w:val="000000"/>
                <w:sz w:val="16"/>
                <w:szCs w:val="16"/>
                <w:lang w:val="uk-UA"/>
              </w:rPr>
              <w:t>its</w:t>
            </w:r>
            <w:proofErr w:type="spellEnd"/>
            <w:r w:rsidRPr="00681D9F">
              <w:rPr>
                <w:rFonts w:ascii="Times New Roman" w:hAnsi="Times New Roman"/>
                <w:color w:val="000000"/>
                <w:sz w:val="16"/>
                <w:szCs w:val="16"/>
                <w:lang w:val="uk-UA"/>
              </w:rPr>
              <w:t xml:space="preserve"> </w:t>
            </w:r>
            <w:proofErr w:type="spellStart"/>
            <w:r w:rsidRPr="00681D9F">
              <w:rPr>
                <w:rFonts w:ascii="Times New Roman" w:hAnsi="Times New Roman"/>
                <w:color w:val="000000"/>
                <w:sz w:val="16"/>
                <w:szCs w:val="16"/>
                <w:lang w:val="uk-UA"/>
              </w:rPr>
              <w:t>own</w:t>
            </w:r>
            <w:proofErr w:type="spellEnd"/>
            <w:r w:rsidRPr="00681D9F">
              <w:rPr>
                <w:rFonts w:ascii="Times New Roman" w:hAnsi="Times New Roman"/>
                <w:color w:val="000000"/>
                <w:sz w:val="16"/>
                <w:szCs w:val="16"/>
                <w:lang w:val="uk-UA"/>
              </w:rPr>
              <w:t xml:space="preserve"> </w:t>
            </w:r>
            <w:proofErr w:type="spellStart"/>
            <w:r w:rsidRPr="00681D9F">
              <w:rPr>
                <w:rFonts w:ascii="Times New Roman" w:hAnsi="Times New Roman"/>
                <w:color w:val="000000"/>
                <w:sz w:val="16"/>
                <w:szCs w:val="16"/>
                <w:lang w:val="uk-UA"/>
              </w:rPr>
              <w:t>tax</w:t>
            </w:r>
            <w:proofErr w:type="spellEnd"/>
            <w:r w:rsidRPr="00681D9F">
              <w:rPr>
                <w:rFonts w:ascii="Times New Roman" w:hAnsi="Times New Roman"/>
                <w:color w:val="000000"/>
                <w:sz w:val="16"/>
                <w:szCs w:val="16"/>
                <w:lang w:val="uk-UA"/>
              </w:rPr>
              <w:t xml:space="preserve"> </w:t>
            </w:r>
            <w:proofErr w:type="spellStart"/>
            <w:r w:rsidRPr="00681D9F">
              <w:rPr>
                <w:rFonts w:ascii="Times New Roman" w:hAnsi="Times New Roman"/>
                <w:color w:val="000000"/>
                <w:sz w:val="16"/>
                <w:szCs w:val="16"/>
                <w:lang w:val="uk-UA"/>
              </w:rPr>
              <w:t>residency</w:t>
            </w:r>
            <w:proofErr w:type="spellEnd"/>
            <w:r w:rsidRPr="00681D9F">
              <w:rPr>
                <w:rFonts w:ascii="Times New Roman" w:hAnsi="Times New Roman"/>
                <w:color w:val="000000"/>
                <w:sz w:val="16"/>
                <w:szCs w:val="16"/>
                <w:lang w:val="uk-UA"/>
              </w:rPr>
              <w:t xml:space="preserve"> </w:t>
            </w:r>
            <w:proofErr w:type="spellStart"/>
            <w:r w:rsidRPr="00681D9F">
              <w:rPr>
                <w:rFonts w:ascii="Times New Roman" w:hAnsi="Times New Roman"/>
                <w:color w:val="000000"/>
                <w:sz w:val="16"/>
                <w:szCs w:val="16"/>
                <w:lang w:val="uk-UA"/>
              </w:rPr>
              <w:t>status</w:t>
            </w:r>
            <w:proofErr w:type="spellEnd"/>
            <w:r w:rsidRPr="00681D9F">
              <w:rPr>
                <w:rFonts w:ascii="Times New Roman" w:hAnsi="Times New Roman"/>
                <w:color w:val="000000"/>
                <w:sz w:val="16"/>
                <w:szCs w:val="16"/>
                <w:lang w:val="uk-UA"/>
              </w:rPr>
              <w:t xml:space="preserve"> </w:t>
            </w:r>
            <w:proofErr w:type="spellStart"/>
            <w:r w:rsidRPr="00681D9F">
              <w:rPr>
                <w:rFonts w:ascii="Times New Roman" w:hAnsi="Times New Roman"/>
                <w:color w:val="000000"/>
                <w:sz w:val="16"/>
                <w:szCs w:val="16"/>
                <w:lang w:val="uk-UA"/>
              </w:rPr>
              <w:t>and</w:t>
            </w:r>
            <w:proofErr w:type="spellEnd"/>
            <w:r w:rsidRPr="00681D9F">
              <w:rPr>
                <w:rFonts w:ascii="Times New Roman" w:hAnsi="Times New Roman"/>
                <w:color w:val="000000"/>
                <w:sz w:val="16"/>
                <w:szCs w:val="16"/>
                <w:lang w:val="uk-UA"/>
              </w:rPr>
              <w:t xml:space="preserve"> </w:t>
            </w:r>
            <w:proofErr w:type="spellStart"/>
            <w:r w:rsidRPr="00681D9F">
              <w:rPr>
                <w:rFonts w:ascii="Times New Roman" w:hAnsi="Times New Roman"/>
                <w:color w:val="000000"/>
                <w:sz w:val="16"/>
                <w:szCs w:val="16"/>
                <w:lang w:val="uk-UA"/>
              </w:rPr>
              <w:t>the</w:t>
            </w:r>
            <w:proofErr w:type="spellEnd"/>
            <w:r w:rsidRPr="00681D9F">
              <w:rPr>
                <w:rFonts w:ascii="Times New Roman" w:hAnsi="Times New Roman"/>
                <w:color w:val="000000"/>
                <w:sz w:val="16"/>
                <w:szCs w:val="16"/>
                <w:lang w:val="uk-UA"/>
              </w:rPr>
              <w:t xml:space="preserve"> </w:t>
            </w:r>
            <w:proofErr w:type="spellStart"/>
            <w:r w:rsidRPr="00681D9F">
              <w:rPr>
                <w:rFonts w:ascii="Times New Roman" w:hAnsi="Times New Roman"/>
                <w:color w:val="000000"/>
                <w:sz w:val="16"/>
                <w:szCs w:val="16"/>
                <w:lang w:val="uk-UA"/>
              </w:rPr>
              <w:t>tax</w:t>
            </w:r>
            <w:proofErr w:type="spellEnd"/>
            <w:r w:rsidRPr="00681D9F">
              <w:rPr>
                <w:rFonts w:ascii="Times New Roman" w:hAnsi="Times New Roman"/>
                <w:color w:val="000000"/>
                <w:sz w:val="16"/>
                <w:szCs w:val="16"/>
                <w:lang w:val="uk-UA"/>
              </w:rPr>
              <w:t xml:space="preserve"> </w:t>
            </w:r>
            <w:proofErr w:type="spellStart"/>
            <w:r w:rsidRPr="00681D9F">
              <w:rPr>
                <w:rFonts w:ascii="Times New Roman" w:hAnsi="Times New Roman"/>
                <w:color w:val="000000"/>
                <w:sz w:val="16"/>
                <w:szCs w:val="16"/>
                <w:lang w:val="uk-UA"/>
              </w:rPr>
              <w:t>residency</w:t>
            </w:r>
            <w:proofErr w:type="spellEnd"/>
            <w:r w:rsidRPr="00681D9F">
              <w:rPr>
                <w:rFonts w:ascii="Times New Roman" w:hAnsi="Times New Roman"/>
                <w:color w:val="000000"/>
                <w:sz w:val="16"/>
                <w:szCs w:val="16"/>
                <w:lang w:val="uk-UA"/>
              </w:rPr>
              <w:t xml:space="preserve"> </w:t>
            </w:r>
            <w:proofErr w:type="spellStart"/>
            <w:r w:rsidRPr="00681D9F">
              <w:rPr>
                <w:rFonts w:ascii="Times New Roman" w:hAnsi="Times New Roman"/>
                <w:color w:val="000000"/>
                <w:sz w:val="16"/>
                <w:szCs w:val="16"/>
                <w:lang w:val="uk-UA"/>
              </w:rPr>
              <w:t>status</w:t>
            </w:r>
            <w:proofErr w:type="spellEnd"/>
            <w:r w:rsidRPr="00681D9F">
              <w:rPr>
                <w:rFonts w:ascii="Times New Roman" w:hAnsi="Times New Roman"/>
                <w:color w:val="000000"/>
                <w:sz w:val="16"/>
                <w:szCs w:val="16"/>
                <w:lang w:val="uk-UA"/>
              </w:rPr>
              <w:t xml:space="preserve"> </w:t>
            </w:r>
            <w:proofErr w:type="spellStart"/>
            <w:r w:rsidRPr="00681D9F">
              <w:rPr>
                <w:rFonts w:ascii="Times New Roman" w:hAnsi="Times New Roman"/>
                <w:color w:val="000000"/>
                <w:sz w:val="16"/>
                <w:szCs w:val="16"/>
                <w:lang w:val="uk-UA"/>
              </w:rPr>
              <w:t>of</w:t>
            </w:r>
            <w:proofErr w:type="spellEnd"/>
            <w:r w:rsidRPr="00681D9F">
              <w:rPr>
                <w:rFonts w:ascii="Times New Roman" w:hAnsi="Times New Roman"/>
                <w:color w:val="000000"/>
                <w:sz w:val="16"/>
                <w:szCs w:val="16"/>
                <w:lang w:val="uk-UA"/>
              </w:rPr>
              <w:t xml:space="preserve"> </w:t>
            </w:r>
            <w:proofErr w:type="spellStart"/>
            <w:r w:rsidRPr="00681D9F">
              <w:rPr>
                <w:rFonts w:ascii="Times New Roman" w:hAnsi="Times New Roman"/>
                <w:color w:val="000000"/>
                <w:sz w:val="16"/>
                <w:szCs w:val="16"/>
                <w:lang w:val="uk-UA"/>
              </w:rPr>
              <w:t>its</w:t>
            </w:r>
            <w:proofErr w:type="spellEnd"/>
            <w:r w:rsidRPr="00681D9F">
              <w:rPr>
                <w:rFonts w:ascii="Times New Roman" w:hAnsi="Times New Roman"/>
                <w:color w:val="000000"/>
                <w:sz w:val="16"/>
                <w:szCs w:val="16"/>
                <w:lang w:val="uk-UA"/>
              </w:rPr>
              <w:t xml:space="preserve"> </w:t>
            </w:r>
            <w:proofErr w:type="spellStart"/>
            <w:r w:rsidRPr="00681D9F">
              <w:rPr>
                <w:rFonts w:ascii="Times New Roman" w:hAnsi="Times New Roman"/>
                <w:color w:val="000000"/>
                <w:sz w:val="16"/>
                <w:szCs w:val="16"/>
                <w:lang w:val="uk-UA"/>
              </w:rPr>
              <w:t>ultimate</w:t>
            </w:r>
            <w:proofErr w:type="spellEnd"/>
            <w:r w:rsidRPr="00681D9F">
              <w:rPr>
                <w:rFonts w:ascii="Times New Roman" w:hAnsi="Times New Roman"/>
                <w:color w:val="000000"/>
                <w:sz w:val="16"/>
                <w:szCs w:val="16"/>
                <w:lang w:val="uk-UA"/>
              </w:rPr>
              <w:t xml:space="preserve"> </w:t>
            </w:r>
            <w:proofErr w:type="spellStart"/>
            <w:r w:rsidRPr="00681D9F">
              <w:rPr>
                <w:rFonts w:ascii="Times New Roman" w:hAnsi="Times New Roman"/>
                <w:color w:val="000000"/>
                <w:sz w:val="16"/>
                <w:szCs w:val="16"/>
                <w:lang w:val="uk-UA"/>
              </w:rPr>
              <w:t>beneficial</w:t>
            </w:r>
            <w:proofErr w:type="spellEnd"/>
            <w:r w:rsidRPr="00681D9F">
              <w:rPr>
                <w:rFonts w:ascii="Times New Roman" w:hAnsi="Times New Roman"/>
                <w:color w:val="000000"/>
                <w:sz w:val="16"/>
                <w:szCs w:val="16"/>
                <w:lang w:val="uk-UA"/>
              </w:rPr>
              <w:t xml:space="preserve"> </w:t>
            </w:r>
            <w:proofErr w:type="spellStart"/>
            <w:r w:rsidRPr="00681D9F">
              <w:rPr>
                <w:rFonts w:ascii="Times New Roman" w:hAnsi="Times New Roman"/>
                <w:color w:val="000000"/>
                <w:sz w:val="16"/>
                <w:szCs w:val="16"/>
                <w:lang w:val="uk-UA"/>
              </w:rPr>
              <w:t>owners</w:t>
            </w:r>
            <w:proofErr w:type="spellEnd"/>
            <w:r w:rsidRPr="00681D9F">
              <w:rPr>
                <w:rFonts w:ascii="Times New Roman" w:hAnsi="Times New Roman"/>
                <w:color w:val="000000"/>
                <w:sz w:val="16"/>
                <w:szCs w:val="16"/>
                <w:lang w:val="uk-UA"/>
              </w:rPr>
              <w:t xml:space="preserve"> (</w:t>
            </w:r>
            <w:proofErr w:type="spellStart"/>
            <w:r w:rsidRPr="00681D9F">
              <w:rPr>
                <w:rFonts w:ascii="Times New Roman" w:hAnsi="Times New Roman"/>
                <w:color w:val="000000"/>
                <w:sz w:val="16"/>
                <w:szCs w:val="16"/>
                <w:lang w:val="uk-UA"/>
              </w:rPr>
              <w:t>for</w:t>
            </w:r>
            <w:proofErr w:type="spellEnd"/>
            <w:r w:rsidRPr="00681D9F">
              <w:rPr>
                <w:rFonts w:ascii="Times New Roman" w:hAnsi="Times New Roman"/>
                <w:color w:val="000000"/>
                <w:sz w:val="16"/>
                <w:szCs w:val="16"/>
                <w:lang w:val="uk-UA"/>
              </w:rPr>
              <w:t xml:space="preserve"> </w:t>
            </w:r>
            <w:proofErr w:type="spellStart"/>
            <w:r w:rsidRPr="00681D9F">
              <w:rPr>
                <w:rFonts w:ascii="Times New Roman" w:hAnsi="Times New Roman"/>
                <w:color w:val="000000"/>
                <w:sz w:val="16"/>
                <w:szCs w:val="16"/>
                <w:lang w:val="uk-UA"/>
              </w:rPr>
              <w:t>legal</w:t>
            </w:r>
            <w:proofErr w:type="spellEnd"/>
            <w:r w:rsidRPr="00681D9F">
              <w:rPr>
                <w:rFonts w:ascii="Times New Roman" w:hAnsi="Times New Roman"/>
                <w:color w:val="000000"/>
                <w:sz w:val="16"/>
                <w:szCs w:val="16"/>
                <w:lang w:val="uk-UA"/>
              </w:rPr>
              <w:t xml:space="preserve"> </w:t>
            </w:r>
            <w:proofErr w:type="spellStart"/>
            <w:r w:rsidRPr="00681D9F">
              <w:rPr>
                <w:rFonts w:ascii="Times New Roman" w:hAnsi="Times New Roman"/>
                <w:color w:val="000000"/>
                <w:sz w:val="16"/>
                <w:szCs w:val="16"/>
                <w:lang w:val="uk-UA"/>
              </w:rPr>
              <w:t>entities</w:t>
            </w:r>
            <w:proofErr w:type="spellEnd"/>
            <w:r w:rsidRPr="00681D9F">
              <w:rPr>
                <w:rFonts w:ascii="Times New Roman" w:hAnsi="Times New Roman"/>
                <w:color w:val="000000"/>
                <w:sz w:val="16"/>
                <w:szCs w:val="16"/>
                <w:lang w:val="uk-UA"/>
              </w:rPr>
              <w:t xml:space="preserve">), </w:t>
            </w:r>
            <w:proofErr w:type="spellStart"/>
            <w:r w:rsidRPr="00681D9F">
              <w:rPr>
                <w:rFonts w:ascii="Times New Roman" w:hAnsi="Times New Roman"/>
                <w:color w:val="000000"/>
                <w:sz w:val="16"/>
                <w:szCs w:val="16"/>
                <w:lang w:val="uk-UA"/>
              </w:rPr>
              <w:t>as</w:t>
            </w:r>
            <w:proofErr w:type="spellEnd"/>
            <w:r w:rsidRPr="00681D9F">
              <w:rPr>
                <w:rFonts w:ascii="Times New Roman" w:hAnsi="Times New Roman"/>
                <w:color w:val="000000"/>
                <w:sz w:val="16"/>
                <w:szCs w:val="16"/>
                <w:lang w:val="uk-UA"/>
              </w:rPr>
              <w:t xml:space="preserve"> </w:t>
            </w:r>
            <w:proofErr w:type="spellStart"/>
            <w:r w:rsidRPr="00681D9F">
              <w:rPr>
                <w:rFonts w:ascii="Times New Roman" w:hAnsi="Times New Roman"/>
                <w:color w:val="000000"/>
                <w:sz w:val="16"/>
                <w:szCs w:val="16"/>
                <w:lang w:val="uk-UA"/>
              </w:rPr>
              <w:t>well</w:t>
            </w:r>
            <w:proofErr w:type="spellEnd"/>
            <w:r w:rsidRPr="00681D9F">
              <w:rPr>
                <w:rFonts w:ascii="Times New Roman" w:hAnsi="Times New Roman"/>
                <w:color w:val="000000"/>
                <w:sz w:val="16"/>
                <w:szCs w:val="16"/>
                <w:lang w:val="uk-UA"/>
              </w:rPr>
              <w:t xml:space="preserve"> </w:t>
            </w:r>
            <w:proofErr w:type="spellStart"/>
            <w:r w:rsidRPr="00681D9F">
              <w:rPr>
                <w:rFonts w:ascii="Times New Roman" w:hAnsi="Times New Roman"/>
                <w:color w:val="000000"/>
                <w:sz w:val="16"/>
                <w:szCs w:val="16"/>
                <w:lang w:val="uk-UA"/>
              </w:rPr>
              <w:t>as</w:t>
            </w:r>
            <w:proofErr w:type="spellEnd"/>
            <w:r w:rsidRPr="00681D9F">
              <w:rPr>
                <w:rFonts w:ascii="Times New Roman" w:hAnsi="Times New Roman"/>
                <w:color w:val="000000"/>
                <w:sz w:val="16"/>
                <w:szCs w:val="16"/>
                <w:lang w:val="uk-UA"/>
              </w:rPr>
              <w:t xml:space="preserve"> </w:t>
            </w:r>
            <w:proofErr w:type="spellStart"/>
            <w:r w:rsidRPr="00681D9F">
              <w:rPr>
                <w:rFonts w:ascii="Times New Roman" w:hAnsi="Times New Roman"/>
                <w:color w:val="000000"/>
                <w:sz w:val="16"/>
                <w:szCs w:val="16"/>
                <w:lang w:val="uk-UA"/>
              </w:rPr>
              <w:t>other</w:t>
            </w:r>
            <w:proofErr w:type="spellEnd"/>
            <w:r w:rsidRPr="00681D9F">
              <w:rPr>
                <w:rFonts w:ascii="Times New Roman" w:hAnsi="Times New Roman"/>
                <w:color w:val="000000"/>
                <w:sz w:val="16"/>
                <w:szCs w:val="16"/>
                <w:lang w:val="uk-UA"/>
              </w:rPr>
              <w:t xml:space="preserve"> </w:t>
            </w:r>
            <w:proofErr w:type="spellStart"/>
            <w:r w:rsidRPr="00681D9F">
              <w:rPr>
                <w:rFonts w:ascii="Times New Roman" w:hAnsi="Times New Roman"/>
                <w:color w:val="000000"/>
                <w:sz w:val="16"/>
                <w:szCs w:val="16"/>
                <w:lang w:val="uk-UA"/>
              </w:rPr>
              <w:t>information</w:t>
            </w:r>
            <w:proofErr w:type="spellEnd"/>
            <w:r w:rsidRPr="00681D9F">
              <w:rPr>
                <w:rFonts w:ascii="Times New Roman" w:hAnsi="Times New Roman"/>
                <w:color w:val="000000"/>
                <w:sz w:val="16"/>
                <w:szCs w:val="16"/>
                <w:lang w:val="uk-UA"/>
              </w:rPr>
              <w:t xml:space="preserve"> </w:t>
            </w:r>
            <w:proofErr w:type="spellStart"/>
            <w:r w:rsidRPr="00681D9F">
              <w:rPr>
                <w:rFonts w:ascii="Times New Roman" w:hAnsi="Times New Roman"/>
                <w:color w:val="000000"/>
                <w:sz w:val="16"/>
                <w:szCs w:val="16"/>
                <w:lang w:val="uk-UA"/>
              </w:rPr>
              <w:t>and</w:t>
            </w:r>
            <w:proofErr w:type="spellEnd"/>
            <w:r w:rsidRPr="00681D9F">
              <w:rPr>
                <w:rFonts w:ascii="Times New Roman" w:hAnsi="Times New Roman"/>
                <w:color w:val="000000"/>
                <w:sz w:val="16"/>
                <w:szCs w:val="16"/>
                <w:lang w:val="uk-UA"/>
              </w:rPr>
              <w:t xml:space="preserve"> </w:t>
            </w:r>
            <w:proofErr w:type="spellStart"/>
            <w:r w:rsidRPr="00681D9F">
              <w:rPr>
                <w:rFonts w:ascii="Times New Roman" w:hAnsi="Times New Roman"/>
                <w:color w:val="000000"/>
                <w:sz w:val="16"/>
                <w:szCs w:val="16"/>
                <w:lang w:val="uk-UA"/>
              </w:rPr>
              <w:t>documents</w:t>
            </w:r>
            <w:proofErr w:type="spellEnd"/>
            <w:r w:rsidRPr="00681D9F">
              <w:rPr>
                <w:rFonts w:ascii="Times New Roman" w:hAnsi="Times New Roman"/>
                <w:color w:val="000000"/>
                <w:sz w:val="16"/>
                <w:szCs w:val="16"/>
                <w:lang w:val="uk-UA"/>
              </w:rPr>
              <w:t xml:space="preserve"> </w:t>
            </w:r>
            <w:proofErr w:type="spellStart"/>
            <w:r w:rsidRPr="00681D9F">
              <w:rPr>
                <w:rFonts w:ascii="Times New Roman" w:hAnsi="Times New Roman"/>
                <w:color w:val="000000"/>
                <w:sz w:val="16"/>
                <w:szCs w:val="16"/>
                <w:lang w:val="uk-UA"/>
              </w:rPr>
              <w:t>required</w:t>
            </w:r>
            <w:proofErr w:type="spellEnd"/>
            <w:r w:rsidRPr="00681D9F">
              <w:rPr>
                <w:rFonts w:ascii="Times New Roman" w:hAnsi="Times New Roman"/>
                <w:color w:val="000000"/>
                <w:sz w:val="16"/>
                <w:szCs w:val="16"/>
                <w:lang w:val="uk-UA"/>
              </w:rPr>
              <w:t xml:space="preserve"> </w:t>
            </w:r>
            <w:proofErr w:type="spellStart"/>
            <w:r w:rsidRPr="00681D9F">
              <w:rPr>
                <w:rFonts w:ascii="Times New Roman" w:hAnsi="Times New Roman"/>
                <w:color w:val="000000"/>
                <w:sz w:val="16"/>
                <w:szCs w:val="16"/>
                <w:lang w:val="uk-UA"/>
              </w:rPr>
              <w:t>for</w:t>
            </w:r>
            <w:proofErr w:type="spellEnd"/>
            <w:r w:rsidRPr="00681D9F">
              <w:rPr>
                <w:rFonts w:ascii="Times New Roman" w:hAnsi="Times New Roman"/>
                <w:color w:val="000000"/>
                <w:sz w:val="16"/>
                <w:szCs w:val="16"/>
                <w:lang w:val="uk-UA"/>
              </w:rPr>
              <w:t xml:space="preserve"> </w:t>
            </w:r>
            <w:proofErr w:type="spellStart"/>
            <w:r w:rsidRPr="00681D9F">
              <w:rPr>
                <w:rFonts w:ascii="Times New Roman" w:hAnsi="Times New Roman"/>
                <w:color w:val="000000"/>
                <w:sz w:val="16"/>
                <w:szCs w:val="16"/>
                <w:lang w:val="uk-UA"/>
              </w:rPr>
              <w:t>reporting</w:t>
            </w:r>
            <w:proofErr w:type="spellEnd"/>
            <w:r w:rsidRPr="00681D9F">
              <w:rPr>
                <w:rFonts w:ascii="Times New Roman" w:hAnsi="Times New Roman"/>
                <w:color w:val="000000"/>
                <w:sz w:val="16"/>
                <w:szCs w:val="16"/>
                <w:lang w:val="uk-UA"/>
              </w:rPr>
              <w:t xml:space="preserve"> </w:t>
            </w:r>
            <w:proofErr w:type="spellStart"/>
            <w:r w:rsidRPr="00681D9F">
              <w:rPr>
                <w:rFonts w:ascii="Times New Roman" w:hAnsi="Times New Roman"/>
                <w:color w:val="000000"/>
                <w:sz w:val="16"/>
                <w:szCs w:val="16"/>
                <w:lang w:val="uk-UA"/>
              </w:rPr>
              <w:t>on</w:t>
            </w:r>
            <w:proofErr w:type="spellEnd"/>
            <w:r w:rsidRPr="00681D9F">
              <w:rPr>
                <w:rFonts w:ascii="Times New Roman" w:hAnsi="Times New Roman"/>
                <w:color w:val="000000"/>
                <w:sz w:val="16"/>
                <w:szCs w:val="16"/>
                <w:lang w:val="uk-UA"/>
              </w:rPr>
              <w:t xml:space="preserve"> </w:t>
            </w:r>
            <w:proofErr w:type="spellStart"/>
            <w:r w:rsidRPr="00681D9F">
              <w:rPr>
                <w:rFonts w:ascii="Times New Roman" w:hAnsi="Times New Roman"/>
                <w:color w:val="000000"/>
                <w:sz w:val="16"/>
                <w:szCs w:val="16"/>
                <w:lang w:val="uk-UA"/>
              </w:rPr>
              <w:t>accountable</w:t>
            </w:r>
            <w:proofErr w:type="spellEnd"/>
            <w:r w:rsidRPr="00681D9F">
              <w:rPr>
                <w:rFonts w:ascii="Times New Roman" w:hAnsi="Times New Roman"/>
                <w:color w:val="000000"/>
                <w:sz w:val="16"/>
                <w:szCs w:val="16"/>
                <w:lang w:val="uk-UA"/>
              </w:rPr>
              <w:t xml:space="preserve"> </w:t>
            </w:r>
            <w:proofErr w:type="spellStart"/>
            <w:r w:rsidRPr="00681D9F">
              <w:rPr>
                <w:rFonts w:ascii="Times New Roman" w:hAnsi="Times New Roman"/>
                <w:color w:val="000000"/>
                <w:sz w:val="16"/>
                <w:szCs w:val="16"/>
                <w:lang w:val="uk-UA"/>
              </w:rPr>
              <w:t>accounts</w:t>
            </w:r>
            <w:proofErr w:type="spellEnd"/>
            <w:r w:rsidRPr="00681D9F">
              <w:rPr>
                <w:rFonts w:ascii="Times New Roman" w:hAnsi="Times New Roman"/>
                <w:color w:val="000000"/>
                <w:sz w:val="16"/>
                <w:szCs w:val="16"/>
                <w:lang w:val="uk-UA"/>
              </w:rPr>
              <w:t xml:space="preserve">, </w:t>
            </w:r>
            <w:proofErr w:type="spellStart"/>
            <w:r w:rsidRPr="00681D9F">
              <w:rPr>
                <w:rFonts w:ascii="Times New Roman" w:hAnsi="Times New Roman"/>
                <w:color w:val="000000"/>
                <w:sz w:val="16"/>
                <w:szCs w:val="16"/>
                <w:lang w:val="uk-UA"/>
              </w:rPr>
              <w:t>including</w:t>
            </w:r>
            <w:proofErr w:type="spellEnd"/>
            <w:r w:rsidRPr="00681D9F">
              <w:rPr>
                <w:rFonts w:ascii="Times New Roman" w:hAnsi="Times New Roman"/>
                <w:color w:val="000000"/>
                <w:sz w:val="16"/>
                <w:szCs w:val="16"/>
                <w:lang w:val="uk-UA"/>
              </w:rPr>
              <w:t xml:space="preserve"> </w:t>
            </w:r>
            <w:proofErr w:type="spellStart"/>
            <w:r w:rsidRPr="00681D9F">
              <w:rPr>
                <w:rFonts w:ascii="Times New Roman" w:hAnsi="Times New Roman"/>
                <w:color w:val="000000"/>
                <w:sz w:val="16"/>
                <w:szCs w:val="16"/>
                <w:lang w:val="uk-UA"/>
              </w:rPr>
              <w:t>explanations</w:t>
            </w:r>
            <w:proofErr w:type="spellEnd"/>
            <w:r w:rsidRPr="00681D9F">
              <w:rPr>
                <w:rFonts w:ascii="Times New Roman" w:hAnsi="Times New Roman"/>
                <w:color w:val="000000"/>
                <w:sz w:val="16"/>
                <w:szCs w:val="16"/>
                <w:lang w:val="uk-UA"/>
              </w:rPr>
              <w:t xml:space="preserve"> </w:t>
            </w:r>
            <w:proofErr w:type="spellStart"/>
            <w:r w:rsidRPr="00681D9F">
              <w:rPr>
                <w:rFonts w:ascii="Times New Roman" w:hAnsi="Times New Roman"/>
                <w:color w:val="000000"/>
                <w:sz w:val="16"/>
                <w:szCs w:val="16"/>
                <w:lang w:val="uk-UA"/>
              </w:rPr>
              <w:t>and</w:t>
            </w:r>
            <w:proofErr w:type="spellEnd"/>
            <w:r w:rsidRPr="00681D9F">
              <w:rPr>
                <w:rFonts w:ascii="Times New Roman" w:hAnsi="Times New Roman"/>
                <w:color w:val="000000"/>
                <w:sz w:val="16"/>
                <w:szCs w:val="16"/>
                <w:lang w:val="uk-UA"/>
              </w:rPr>
              <w:t xml:space="preserve"> </w:t>
            </w:r>
            <w:proofErr w:type="spellStart"/>
            <w:r w:rsidRPr="00681D9F">
              <w:rPr>
                <w:rFonts w:ascii="Times New Roman" w:hAnsi="Times New Roman"/>
                <w:color w:val="000000"/>
                <w:sz w:val="16"/>
                <w:szCs w:val="16"/>
                <w:lang w:val="uk-UA"/>
              </w:rPr>
              <w:t>information</w:t>
            </w:r>
            <w:proofErr w:type="spellEnd"/>
            <w:r w:rsidRPr="00681D9F">
              <w:rPr>
                <w:rFonts w:ascii="Times New Roman" w:hAnsi="Times New Roman"/>
                <w:color w:val="000000"/>
                <w:sz w:val="16"/>
                <w:szCs w:val="16"/>
                <w:lang w:val="uk-UA"/>
              </w:rPr>
              <w:t xml:space="preserve"> </w:t>
            </w:r>
            <w:proofErr w:type="spellStart"/>
            <w:r w:rsidRPr="00681D9F">
              <w:rPr>
                <w:rFonts w:ascii="Times New Roman" w:hAnsi="Times New Roman"/>
                <w:color w:val="000000"/>
                <w:sz w:val="16"/>
                <w:szCs w:val="16"/>
                <w:lang w:val="uk-UA"/>
              </w:rPr>
              <w:t>there</w:t>
            </w:r>
            <w:proofErr w:type="spellEnd"/>
            <w:r w:rsidRPr="00681D9F">
              <w:rPr>
                <w:rFonts w:ascii="Times New Roman" w:hAnsi="Times New Roman"/>
                <w:color w:val="000000"/>
                <w:sz w:val="16"/>
                <w:szCs w:val="16"/>
                <w:lang w:val="uk-UA"/>
              </w:rPr>
              <w:t xml:space="preserve"> </w:t>
            </w:r>
            <w:proofErr w:type="spellStart"/>
            <w:r w:rsidRPr="00681D9F">
              <w:rPr>
                <w:rFonts w:ascii="Times New Roman" w:hAnsi="Times New Roman"/>
                <w:color w:val="000000"/>
                <w:sz w:val="16"/>
                <w:szCs w:val="16"/>
                <w:lang w:val="uk-UA"/>
              </w:rPr>
              <w:t>is</w:t>
            </w:r>
            <w:proofErr w:type="spellEnd"/>
            <w:r w:rsidRPr="00681D9F">
              <w:rPr>
                <w:rFonts w:ascii="Times New Roman" w:hAnsi="Times New Roman"/>
                <w:color w:val="000000"/>
                <w:sz w:val="16"/>
                <w:szCs w:val="16"/>
                <w:lang w:val="uk-UA"/>
              </w:rPr>
              <w:t xml:space="preserve"> a </w:t>
            </w:r>
            <w:proofErr w:type="spellStart"/>
            <w:r w:rsidRPr="00681D9F">
              <w:rPr>
                <w:rFonts w:ascii="Times New Roman" w:hAnsi="Times New Roman"/>
                <w:color w:val="000000"/>
                <w:sz w:val="16"/>
                <w:szCs w:val="16"/>
                <w:lang w:val="uk-UA"/>
              </w:rPr>
              <w:t>well-founded</w:t>
            </w:r>
            <w:proofErr w:type="spellEnd"/>
            <w:r w:rsidRPr="00681D9F">
              <w:rPr>
                <w:rFonts w:ascii="Times New Roman" w:hAnsi="Times New Roman"/>
                <w:color w:val="000000"/>
                <w:sz w:val="16"/>
                <w:szCs w:val="16"/>
                <w:lang w:val="uk-UA"/>
              </w:rPr>
              <w:t xml:space="preserve">, </w:t>
            </w:r>
            <w:proofErr w:type="spellStart"/>
            <w:r w:rsidRPr="00681D9F">
              <w:rPr>
                <w:rFonts w:ascii="Times New Roman" w:hAnsi="Times New Roman"/>
                <w:color w:val="000000"/>
                <w:sz w:val="16"/>
                <w:szCs w:val="16"/>
                <w:lang w:val="uk-UA"/>
              </w:rPr>
              <w:t>documented</w:t>
            </w:r>
            <w:proofErr w:type="spellEnd"/>
            <w:r w:rsidRPr="00681D9F">
              <w:rPr>
                <w:rFonts w:ascii="Times New Roman" w:hAnsi="Times New Roman"/>
                <w:color w:val="000000"/>
                <w:sz w:val="16"/>
                <w:szCs w:val="16"/>
                <w:lang w:val="uk-UA"/>
              </w:rPr>
              <w:t xml:space="preserve"> </w:t>
            </w:r>
            <w:proofErr w:type="spellStart"/>
            <w:r w:rsidRPr="00681D9F">
              <w:rPr>
                <w:rFonts w:ascii="Times New Roman" w:hAnsi="Times New Roman"/>
                <w:color w:val="000000"/>
                <w:sz w:val="16"/>
                <w:szCs w:val="16"/>
                <w:lang w:val="uk-UA"/>
              </w:rPr>
              <w:t>suspicion</w:t>
            </w:r>
            <w:proofErr w:type="spellEnd"/>
            <w:r w:rsidRPr="00681D9F">
              <w:rPr>
                <w:rFonts w:ascii="Times New Roman" w:hAnsi="Times New Roman"/>
                <w:color w:val="000000"/>
                <w:sz w:val="16"/>
                <w:szCs w:val="16"/>
                <w:lang w:val="uk-UA"/>
              </w:rPr>
              <w:t xml:space="preserve"> </w:t>
            </w:r>
            <w:proofErr w:type="spellStart"/>
            <w:r w:rsidRPr="00681D9F">
              <w:rPr>
                <w:rFonts w:ascii="Times New Roman" w:hAnsi="Times New Roman"/>
                <w:color w:val="000000"/>
                <w:sz w:val="16"/>
                <w:szCs w:val="16"/>
                <w:lang w:val="uk-UA"/>
              </w:rPr>
              <w:t>in</w:t>
            </w:r>
            <w:proofErr w:type="spellEnd"/>
            <w:r w:rsidRPr="00681D9F">
              <w:rPr>
                <w:rFonts w:ascii="Times New Roman" w:hAnsi="Times New Roman"/>
                <w:color w:val="000000"/>
                <w:sz w:val="16"/>
                <w:szCs w:val="16"/>
                <w:lang w:val="uk-UA"/>
              </w:rPr>
              <w:t xml:space="preserve"> </w:t>
            </w:r>
            <w:proofErr w:type="spellStart"/>
            <w:r w:rsidRPr="00681D9F">
              <w:rPr>
                <w:rFonts w:ascii="Times New Roman" w:hAnsi="Times New Roman"/>
                <w:color w:val="000000"/>
                <w:sz w:val="16"/>
                <w:szCs w:val="16"/>
                <w:lang w:val="uk-UA"/>
              </w:rPr>
              <w:t>the</w:t>
            </w:r>
            <w:proofErr w:type="spellEnd"/>
            <w:r w:rsidRPr="00681D9F">
              <w:rPr>
                <w:rFonts w:ascii="Times New Roman" w:hAnsi="Times New Roman"/>
                <w:color w:val="000000"/>
                <w:sz w:val="16"/>
                <w:szCs w:val="16"/>
                <w:lang w:val="uk-UA"/>
              </w:rPr>
              <w:t xml:space="preserve"> </w:t>
            </w:r>
            <w:proofErr w:type="spellStart"/>
            <w:r w:rsidRPr="00681D9F">
              <w:rPr>
                <w:rFonts w:ascii="Times New Roman" w:hAnsi="Times New Roman"/>
                <w:color w:val="000000"/>
                <w:sz w:val="16"/>
                <w:szCs w:val="16"/>
                <w:lang w:val="uk-UA"/>
              </w:rPr>
              <w:t>depository</w:t>
            </w:r>
            <w:proofErr w:type="spellEnd"/>
            <w:r w:rsidRPr="00681D9F">
              <w:rPr>
                <w:rFonts w:ascii="Times New Roman" w:hAnsi="Times New Roman"/>
                <w:color w:val="000000"/>
                <w:sz w:val="16"/>
                <w:szCs w:val="16"/>
                <w:lang w:val="uk-UA"/>
              </w:rPr>
              <w:t xml:space="preserve"> </w:t>
            </w:r>
            <w:proofErr w:type="spellStart"/>
            <w:r w:rsidRPr="00681D9F">
              <w:rPr>
                <w:rFonts w:ascii="Times New Roman" w:hAnsi="Times New Roman"/>
                <w:color w:val="000000"/>
                <w:sz w:val="16"/>
                <w:szCs w:val="16"/>
                <w:lang w:val="uk-UA"/>
              </w:rPr>
              <w:t>institution</w:t>
            </w:r>
            <w:proofErr w:type="spellEnd"/>
            <w:r w:rsidRPr="00681D9F">
              <w:rPr>
                <w:rFonts w:ascii="Times New Roman" w:hAnsi="Times New Roman"/>
                <w:color w:val="000000"/>
                <w:sz w:val="16"/>
                <w:szCs w:val="16"/>
                <w:lang w:val="uk-UA"/>
              </w:rPr>
              <w:t xml:space="preserve"> </w:t>
            </w:r>
            <w:proofErr w:type="spellStart"/>
            <w:r w:rsidRPr="00681D9F">
              <w:rPr>
                <w:rFonts w:ascii="Times New Roman" w:hAnsi="Times New Roman"/>
                <w:color w:val="000000"/>
                <w:sz w:val="16"/>
                <w:szCs w:val="16"/>
                <w:lang w:val="uk-UA"/>
              </w:rPr>
              <w:t>that</w:t>
            </w:r>
            <w:proofErr w:type="spellEnd"/>
            <w:r w:rsidRPr="00681D9F">
              <w:rPr>
                <w:rFonts w:ascii="Times New Roman" w:hAnsi="Times New Roman"/>
                <w:color w:val="000000"/>
                <w:sz w:val="16"/>
                <w:szCs w:val="16"/>
                <w:lang w:val="uk-UA"/>
              </w:rPr>
              <w:t xml:space="preserve"> </w:t>
            </w:r>
            <w:proofErr w:type="spellStart"/>
            <w:r w:rsidRPr="00681D9F">
              <w:rPr>
                <w:rFonts w:ascii="Times New Roman" w:hAnsi="Times New Roman"/>
                <w:color w:val="000000"/>
                <w:sz w:val="16"/>
                <w:szCs w:val="16"/>
                <w:lang w:val="uk-UA"/>
              </w:rPr>
              <w:t>the</w:t>
            </w:r>
            <w:proofErr w:type="spellEnd"/>
            <w:r w:rsidRPr="00681D9F">
              <w:rPr>
                <w:rFonts w:ascii="Times New Roman" w:hAnsi="Times New Roman"/>
                <w:color w:val="000000"/>
                <w:sz w:val="16"/>
                <w:szCs w:val="16"/>
                <w:lang w:val="uk-UA"/>
              </w:rPr>
              <w:t xml:space="preserve"> </w:t>
            </w:r>
            <w:proofErr w:type="spellStart"/>
            <w:r w:rsidRPr="00681D9F">
              <w:rPr>
                <w:rFonts w:ascii="Times New Roman" w:hAnsi="Times New Roman"/>
                <w:color w:val="000000"/>
                <w:sz w:val="16"/>
                <w:szCs w:val="16"/>
                <w:lang w:val="uk-UA"/>
              </w:rPr>
              <w:t>securities</w:t>
            </w:r>
            <w:proofErr w:type="spellEnd"/>
            <w:r w:rsidRPr="00681D9F">
              <w:rPr>
                <w:rFonts w:ascii="Times New Roman" w:hAnsi="Times New Roman"/>
                <w:color w:val="000000"/>
                <w:sz w:val="16"/>
                <w:szCs w:val="16"/>
                <w:lang w:val="uk-UA"/>
              </w:rPr>
              <w:t xml:space="preserve"> </w:t>
            </w:r>
            <w:proofErr w:type="spellStart"/>
            <w:r w:rsidRPr="00681D9F">
              <w:rPr>
                <w:rFonts w:ascii="Times New Roman" w:hAnsi="Times New Roman"/>
                <w:color w:val="000000"/>
                <w:sz w:val="16"/>
                <w:szCs w:val="16"/>
                <w:lang w:val="uk-UA"/>
              </w:rPr>
              <w:t>account</w:t>
            </w:r>
            <w:proofErr w:type="spellEnd"/>
            <w:r w:rsidRPr="00681D9F">
              <w:rPr>
                <w:rFonts w:ascii="Times New Roman" w:hAnsi="Times New Roman"/>
                <w:color w:val="000000"/>
                <w:sz w:val="16"/>
                <w:szCs w:val="16"/>
                <w:lang w:val="uk-UA"/>
              </w:rPr>
              <w:t xml:space="preserve"> </w:t>
            </w:r>
            <w:proofErr w:type="spellStart"/>
            <w:r w:rsidRPr="00681D9F">
              <w:rPr>
                <w:rFonts w:ascii="Times New Roman" w:hAnsi="Times New Roman"/>
                <w:color w:val="000000"/>
                <w:sz w:val="16"/>
                <w:szCs w:val="16"/>
                <w:lang w:val="uk-UA"/>
              </w:rPr>
              <w:t>belongs</w:t>
            </w:r>
            <w:proofErr w:type="spellEnd"/>
            <w:r w:rsidRPr="00681D9F">
              <w:rPr>
                <w:rFonts w:ascii="Times New Roman" w:hAnsi="Times New Roman"/>
                <w:color w:val="000000"/>
                <w:sz w:val="16"/>
                <w:szCs w:val="16"/>
                <w:lang w:val="uk-UA"/>
              </w:rPr>
              <w:t xml:space="preserve"> </w:t>
            </w:r>
            <w:proofErr w:type="spellStart"/>
            <w:r w:rsidRPr="00681D9F">
              <w:rPr>
                <w:rFonts w:ascii="Times New Roman" w:hAnsi="Times New Roman"/>
                <w:color w:val="000000"/>
                <w:sz w:val="16"/>
                <w:szCs w:val="16"/>
                <w:lang w:val="uk-UA"/>
              </w:rPr>
              <w:t>to</w:t>
            </w:r>
            <w:proofErr w:type="spellEnd"/>
            <w:r w:rsidRPr="00681D9F">
              <w:rPr>
                <w:rFonts w:ascii="Times New Roman" w:hAnsi="Times New Roman"/>
                <w:color w:val="000000"/>
                <w:sz w:val="16"/>
                <w:szCs w:val="16"/>
                <w:lang w:val="uk-UA"/>
              </w:rPr>
              <w:t xml:space="preserve"> </w:t>
            </w:r>
            <w:proofErr w:type="spellStart"/>
            <w:r w:rsidRPr="00681D9F">
              <w:rPr>
                <w:rFonts w:ascii="Times New Roman" w:hAnsi="Times New Roman"/>
                <w:color w:val="000000"/>
                <w:sz w:val="16"/>
                <w:szCs w:val="16"/>
                <w:lang w:val="uk-UA"/>
              </w:rPr>
              <w:t>the</w:t>
            </w:r>
            <w:proofErr w:type="spellEnd"/>
            <w:r w:rsidRPr="00681D9F">
              <w:rPr>
                <w:rFonts w:ascii="Times New Roman" w:hAnsi="Times New Roman"/>
                <w:color w:val="000000"/>
                <w:sz w:val="16"/>
                <w:szCs w:val="16"/>
                <w:lang w:val="uk-UA"/>
              </w:rPr>
              <w:t xml:space="preserve"> </w:t>
            </w:r>
            <w:proofErr w:type="spellStart"/>
            <w:r w:rsidRPr="00681D9F">
              <w:rPr>
                <w:rFonts w:ascii="Times New Roman" w:hAnsi="Times New Roman"/>
                <w:color w:val="000000"/>
                <w:sz w:val="16"/>
                <w:szCs w:val="16"/>
                <w:lang w:val="uk-UA"/>
              </w:rPr>
              <w:t>accountable</w:t>
            </w:r>
            <w:proofErr w:type="spellEnd"/>
            <w:r w:rsidRPr="00681D9F">
              <w:rPr>
                <w:rFonts w:ascii="Times New Roman" w:hAnsi="Times New Roman"/>
                <w:color w:val="000000"/>
                <w:sz w:val="16"/>
                <w:szCs w:val="16"/>
                <w:lang w:val="uk-UA"/>
              </w:rPr>
              <w:t xml:space="preserve"> </w:t>
            </w:r>
            <w:proofErr w:type="spellStart"/>
            <w:r w:rsidRPr="00681D9F">
              <w:rPr>
                <w:rFonts w:ascii="Times New Roman" w:hAnsi="Times New Roman"/>
                <w:color w:val="000000"/>
                <w:sz w:val="16"/>
                <w:szCs w:val="16"/>
                <w:lang w:val="uk-UA"/>
              </w:rPr>
              <w:t>ones</w:t>
            </w:r>
            <w:proofErr w:type="spellEnd"/>
            <w:r w:rsidRPr="00681D9F">
              <w:rPr>
                <w:rFonts w:ascii="Times New Roman" w:hAnsi="Times New Roman"/>
                <w:color w:val="000000"/>
                <w:sz w:val="16"/>
                <w:szCs w:val="16"/>
                <w:lang w:val="uk-UA"/>
              </w:rPr>
              <w:t>.</w:t>
            </w:r>
          </w:p>
          <w:p w14:paraId="21FC0C94" w14:textId="77777777" w:rsidR="00681D9F" w:rsidRPr="00681D9F" w:rsidRDefault="00681D9F" w:rsidP="00681D9F">
            <w:pPr>
              <w:pStyle w:val="210"/>
              <w:tabs>
                <w:tab w:val="left" w:pos="287"/>
                <w:tab w:val="left" w:pos="1191"/>
              </w:tabs>
              <w:snapToGrid w:val="0"/>
              <w:ind w:left="145" w:right="100" w:firstLine="0"/>
              <w:rPr>
                <w:rFonts w:ascii="Times New Roman" w:hAnsi="Times New Roman"/>
                <w:color w:val="000000"/>
                <w:sz w:val="16"/>
                <w:szCs w:val="16"/>
              </w:rPr>
            </w:pPr>
          </w:p>
        </w:tc>
      </w:tr>
      <w:tr w:rsidR="005C5318" w:rsidRPr="00F23413" w14:paraId="2325C1D9" w14:textId="77777777" w:rsidTr="00681D9F">
        <w:trPr>
          <w:trHeight w:val="192"/>
        </w:trPr>
        <w:tc>
          <w:tcPr>
            <w:tcW w:w="5695" w:type="dxa"/>
            <w:gridSpan w:val="6"/>
            <w:shd w:val="clear" w:color="auto" w:fill="auto"/>
          </w:tcPr>
          <w:p w14:paraId="7FF13C02" w14:textId="77777777" w:rsidR="005C5318" w:rsidRPr="00E16672" w:rsidRDefault="005C5318" w:rsidP="00BA1F32">
            <w:pPr>
              <w:tabs>
                <w:tab w:val="left" w:pos="709"/>
              </w:tabs>
              <w:snapToGrid w:val="0"/>
              <w:ind w:left="175" w:right="138" w:firstLine="4"/>
              <w:rPr>
                <w:rFonts w:ascii="Times New Roman" w:hAnsi="Times New Roman"/>
                <w:b/>
                <w:sz w:val="16"/>
                <w:szCs w:val="16"/>
                <w:lang w:val="en-US"/>
              </w:rPr>
            </w:pPr>
            <w:r w:rsidRPr="00E16672">
              <w:rPr>
                <w:rFonts w:ascii="Times New Roman" w:hAnsi="Times New Roman"/>
                <w:b/>
                <w:sz w:val="16"/>
                <w:szCs w:val="16"/>
                <w:lang w:val="en-US"/>
              </w:rPr>
              <w:t xml:space="preserve">2.4. </w:t>
            </w:r>
            <w:r w:rsidRPr="00E16672">
              <w:rPr>
                <w:rFonts w:ascii="Times New Roman" w:hAnsi="Times New Roman"/>
                <w:b/>
                <w:sz w:val="16"/>
                <w:szCs w:val="16"/>
              </w:rPr>
              <w:t>Депонент</w:t>
            </w:r>
            <w:r w:rsidRPr="00E16672">
              <w:rPr>
                <w:rFonts w:ascii="Times New Roman" w:hAnsi="Times New Roman"/>
                <w:b/>
                <w:sz w:val="16"/>
                <w:szCs w:val="16"/>
                <w:lang w:val="en-US"/>
              </w:rPr>
              <w:t xml:space="preserve"> </w:t>
            </w:r>
            <w:proofErr w:type="spellStart"/>
            <w:r w:rsidRPr="00E16672">
              <w:rPr>
                <w:rFonts w:ascii="Times New Roman" w:hAnsi="Times New Roman"/>
                <w:b/>
                <w:sz w:val="16"/>
                <w:szCs w:val="16"/>
              </w:rPr>
              <w:t>має</w:t>
            </w:r>
            <w:proofErr w:type="spellEnd"/>
            <w:r w:rsidRPr="00E16672">
              <w:rPr>
                <w:rFonts w:ascii="Times New Roman" w:hAnsi="Times New Roman"/>
                <w:b/>
                <w:sz w:val="16"/>
                <w:szCs w:val="16"/>
                <w:lang w:val="en-US"/>
              </w:rPr>
              <w:t xml:space="preserve"> </w:t>
            </w:r>
            <w:r w:rsidRPr="00E16672">
              <w:rPr>
                <w:rFonts w:ascii="Times New Roman" w:hAnsi="Times New Roman"/>
                <w:b/>
                <w:sz w:val="16"/>
                <w:szCs w:val="16"/>
              </w:rPr>
              <w:t>право</w:t>
            </w:r>
            <w:r w:rsidRPr="00E16672">
              <w:rPr>
                <w:rFonts w:ascii="Times New Roman" w:hAnsi="Times New Roman"/>
                <w:b/>
                <w:sz w:val="16"/>
                <w:szCs w:val="16"/>
                <w:lang w:val="en-US"/>
              </w:rPr>
              <w:t>:</w:t>
            </w:r>
          </w:p>
          <w:p w14:paraId="64980B84" w14:textId="77777777" w:rsidR="005C5318" w:rsidRPr="00E16672" w:rsidRDefault="005C5318" w:rsidP="005C5318">
            <w:pPr>
              <w:tabs>
                <w:tab w:val="left" w:pos="709"/>
              </w:tabs>
              <w:ind w:left="175" w:right="138"/>
              <w:rPr>
                <w:rFonts w:ascii="Times New Roman" w:hAnsi="Times New Roman"/>
                <w:sz w:val="16"/>
                <w:szCs w:val="16"/>
                <w:lang w:val="en-US"/>
              </w:rPr>
            </w:pPr>
          </w:p>
          <w:p w14:paraId="37FEAB48" w14:textId="77777777" w:rsidR="005C5318" w:rsidRPr="00E16672" w:rsidRDefault="005C5318" w:rsidP="005C5318">
            <w:pPr>
              <w:tabs>
                <w:tab w:val="left" w:pos="709"/>
              </w:tabs>
              <w:ind w:left="175" w:right="138" w:firstLine="0"/>
              <w:rPr>
                <w:rFonts w:ascii="Times New Roman" w:hAnsi="Times New Roman"/>
                <w:sz w:val="16"/>
                <w:szCs w:val="16"/>
                <w:lang w:val="en-US"/>
              </w:rPr>
            </w:pPr>
            <w:r w:rsidRPr="00E16672">
              <w:rPr>
                <w:rFonts w:ascii="Times New Roman" w:hAnsi="Times New Roman"/>
                <w:sz w:val="16"/>
                <w:szCs w:val="16"/>
                <w:lang w:val="en-US"/>
              </w:rPr>
              <w:t xml:space="preserve">2.4.1. </w:t>
            </w:r>
            <w:proofErr w:type="spellStart"/>
            <w:r w:rsidRPr="00E16672">
              <w:rPr>
                <w:rFonts w:ascii="Times New Roman" w:hAnsi="Times New Roman"/>
                <w:sz w:val="16"/>
                <w:szCs w:val="16"/>
              </w:rPr>
              <w:t>Передати</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власні</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повноваження</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щодо</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відкриття</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рахунку</w:t>
            </w:r>
            <w:proofErr w:type="spellEnd"/>
            <w:r w:rsidRPr="00E16672">
              <w:rPr>
                <w:rFonts w:ascii="Times New Roman" w:hAnsi="Times New Roman"/>
                <w:sz w:val="16"/>
                <w:szCs w:val="16"/>
                <w:lang w:val="en-US"/>
              </w:rPr>
              <w:t xml:space="preserve"> </w:t>
            </w:r>
            <w:r w:rsidRPr="00E16672">
              <w:rPr>
                <w:rFonts w:ascii="Times New Roman" w:hAnsi="Times New Roman"/>
                <w:sz w:val="16"/>
                <w:szCs w:val="16"/>
              </w:rPr>
              <w:t>в</w:t>
            </w:r>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цінних</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паперах</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іншій</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особі</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уповноваженій</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діяти</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від</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його</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імені</w:t>
            </w:r>
            <w:proofErr w:type="spellEnd"/>
            <w:r w:rsidRPr="00E16672">
              <w:rPr>
                <w:rFonts w:ascii="Times New Roman" w:hAnsi="Times New Roman"/>
                <w:sz w:val="16"/>
                <w:szCs w:val="16"/>
                <w:lang w:val="en-US"/>
              </w:rPr>
              <w:t xml:space="preserve"> </w:t>
            </w:r>
            <w:r w:rsidRPr="00E16672">
              <w:rPr>
                <w:rFonts w:ascii="Times New Roman" w:hAnsi="Times New Roman"/>
                <w:sz w:val="16"/>
                <w:szCs w:val="16"/>
              </w:rPr>
              <w:t>на</w:t>
            </w:r>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підставі</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визначеного</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законодавством</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правочину</w:t>
            </w:r>
            <w:proofErr w:type="spellEnd"/>
            <w:r w:rsidRPr="00E16672">
              <w:rPr>
                <w:rFonts w:ascii="Times New Roman" w:hAnsi="Times New Roman"/>
                <w:sz w:val="16"/>
                <w:szCs w:val="16"/>
                <w:lang w:val="en-US"/>
              </w:rPr>
              <w:t>.</w:t>
            </w:r>
          </w:p>
          <w:p w14:paraId="3FFDCB50" w14:textId="77777777" w:rsidR="005C5318" w:rsidRPr="00E16672" w:rsidRDefault="005C5318" w:rsidP="005C5318">
            <w:pPr>
              <w:tabs>
                <w:tab w:val="left" w:pos="709"/>
              </w:tabs>
              <w:ind w:left="175" w:right="138"/>
              <w:rPr>
                <w:rFonts w:ascii="Times New Roman" w:hAnsi="Times New Roman"/>
                <w:sz w:val="16"/>
                <w:szCs w:val="16"/>
                <w:lang w:val="en-US"/>
              </w:rPr>
            </w:pPr>
          </w:p>
        </w:tc>
        <w:tc>
          <w:tcPr>
            <w:tcW w:w="5495" w:type="dxa"/>
            <w:gridSpan w:val="6"/>
            <w:shd w:val="clear" w:color="auto" w:fill="auto"/>
          </w:tcPr>
          <w:p w14:paraId="066D93F5" w14:textId="77777777" w:rsidR="005C5318" w:rsidRPr="00E16672" w:rsidRDefault="005C5318" w:rsidP="00BA1F32">
            <w:pPr>
              <w:tabs>
                <w:tab w:val="left" w:pos="287"/>
              </w:tabs>
              <w:snapToGrid w:val="0"/>
              <w:ind w:left="145" w:right="100" w:firstLine="3"/>
              <w:rPr>
                <w:rFonts w:ascii="Times New Roman" w:hAnsi="Times New Roman"/>
                <w:b/>
                <w:bCs/>
                <w:sz w:val="16"/>
                <w:szCs w:val="16"/>
                <w:lang w:val="en-GB"/>
              </w:rPr>
            </w:pPr>
            <w:r w:rsidRPr="00E16672">
              <w:rPr>
                <w:rFonts w:ascii="Times New Roman" w:hAnsi="Times New Roman"/>
                <w:b/>
                <w:bCs/>
                <w:sz w:val="16"/>
                <w:szCs w:val="16"/>
                <w:lang w:val="en-US"/>
              </w:rPr>
              <w:t>2</w:t>
            </w:r>
            <w:r w:rsidRPr="00E16672">
              <w:rPr>
                <w:rFonts w:ascii="Times New Roman" w:hAnsi="Times New Roman"/>
                <w:b/>
                <w:bCs/>
                <w:sz w:val="16"/>
                <w:szCs w:val="16"/>
                <w:lang w:val="en-GB"/>
              </w:rPr>
              <w:t>.</w:t>
            </w:r>
            <w:r w:rsidRPr="00E16672">
              <w:rPr>
                <w:rFonts w:ascii="Times New Roman" w:hAnsi="Times New Roman"/>
                <w:b/>
                <w:bCs/>
                <w:sz w:val="16"/>
                <w:szCs w:val="16"/>
                <w:lang w:val="en-US"/>
              </w:rPr>
              <w:t>4.</w:t>
            </w:r>
            <w:r w:rsidRPr="00E16672">
              <w:rPr>
                <w:rFonts w:ascii="Times New Roman" w:hAnsi="Times New Roman"/>
                <w:b/>
                <w:bCs/>
                <w:sz w:val="16"/>
                <w:szCs w:val="16"/>
                <w:lang w:val="en-GB"/>
              </w:rPr>
              <w:t xml:space="preserve"> Depositor </w:t>
            </w:r>
            <w:r w:rsidRPr="00E16672">
              <w:rPr>
                <w:rFonts w:ascii="Times New Roman" w:hAnsi="Times New Roman"/>
                <w:b/>
                <w:bCs/>
                <w:sz w:val="16"/>
                <w:szCs w:val="16"/>
                <w:lang w:val="en-US"/>
              </w:rPr>
              <w:t>have right</w:t>
            </w:r>
            <w:r w:rsidRPr="00E16672">
              <w:rPr>
                <w:rFonts w:ascii="Times New Roman" w:hAnsi="Times New Roman"/>
                <w:b/>
                <w:bCs/>
                <w:sz w:val="16"/>
                <w:szCs w:val="16"/>
                <w:lang w:val="en-GB"/>
              </w:rPr>
              <w:t>:</w:t>
            </w:r>
          </w:p>
          <w:p w14:paraId="34D1D3F4" w14:textId="77777777" w:rsidR="005C5318" w:rsidRPr="00E16672" w:rsidRDefault="005C5318" w:rsidP="005C5318">
            <w:pPr>
              <w:tabs>
                <w:tab w:val="left" w:pos="287"/>
              </w:tabs>
              <w:ind w:left="145" w:right="100"/>
              <w:rPr>
                <w:rFonts w:ascii="Times New Roman" w:hAnsi="Times New Roman"/>
                <w:bCs/>
                <w:sz w:val="16"/>
                <w:szCs w:val="16"/>
                <w:lang w:val="en-GB"/>
              </w:rPr>
            </w:pPr>
          </w:p>
          <w:p w14:paraId="70BD0916" w14:textId="77777777" w:rsidR="005C5318" w:rsidRPr="00E16672" w:rsidRDefault="005C5318" w:rsidP="005C5318">
            <w:pPr>
              <w:pStyle w:val="210"/>
              <w:tabs>
                <w:tab w:val="left" w:pos="287"/>
                <w:tab w:val="left" w:pos="1191"/>
              </w:tabs>
              <w:ind w:left="145" w:right="100" w:firstLine="0"/>
              <w:rPr>
                <w:rFonts w:ascii="Times New Roman" w:hAnsi="Times New Roman"/>
                <w:sz w:val="16"/>
                <w:szCs w:val="16"/>
              </w:rPr>
            </w:pPr>
            <w:r w:rsidRPr="00E16672">
              <w:rPr>
                <w:rFonts w:ascii="Times New Roman" w:hAnsi="Times New Roman"/>
                <w:sz w:val="16"/>
                <w:szCs w:val="16"/>
                <w:lang w:val="en-US"/>
              </w:rPr>
              <w:t>2.4</w:t>
            </w:r>
            <w:r w:rsidRPr="00E16672">
              <w:rPr>
                <w:rFonts w:ascii="Times New Roman" w:hAnsi="Times New Roman"/>
                <w:sz w:val="16"/>
                <w:szCs w:val="16"/>
              </w:rPr>
              <w:t xml:space="preserve">.1. </w:t>
            </w:r>
            <w:r w:rsidRPr="00E16672">
              <w:rPr>
                <w:rFonts w:ascii="Times New Roman" w:hAnsi="Times New Roman"/>
                <w:sz w:val="16"/>
                <w:szCs w:val="16"/>
                <w:lang w:val="en-US"/>
              </w:rPr>
              <w:t>Transfer</w:t>
            </w:r>
            <w:r w:rsidRPr="00E16672">
              <w:rPr>
                <w:rFonts w:ascii="Times New Roman" w:hAnsi="Times New Roman"/>
                <w:sz w:val="16"/>
                <w:szCs w:val="16"/>
              </w:rPr>
              <w:t xml:space="preserve"> </w:t>
            </w:r>
            <w:proofErr w:type="spellStart"/>
            <w:r w:rsidRPr="00E16672">
              <w:rPr>
                <w:rFonts w:ascii="Times New Roman" w:hAnsi="Times New Roman"/>
                <w:sz w:val="16"/>
                <w:szCs w:val="16"/>
              </w:rPr>
              <w:t>your</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own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power</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to</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open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an</w:t>
            </w:r>
            <w:proofErr w:type="spellEnd"/>
            <w:r w:rsidRPr="00E16672">
              <w:rPr>
                <w:rFonts w:ascii="Times New Roman" w:hAnsi="Times New Roman"/>
                <w:sz w:val="16"/>
                <w:szCs w:val="16"/>
              </w:rPr>
              <w:t xml:space="preserve"> </w:t>
            </w:r>
            <w:proofErr w:type="spellStart"/>
            <w:proofErr w:type="gramStart"/>
            <w:r w:rsidRPr="00E16672">
              <w:rPr>
                <w:rFonts w:ascii="Times New Roman" w:hAnsi="Times New Roman"/>
                <w:sz w:val="16"/>
                <w:szCs w:val="16"/>
              </w:rPr>
              <w:t>account</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in</w:t>
            </w:r>
            <w:proofErr w:type="spellEnd"/>
            <w:proofErr w:type="gramEnd"/>
            <w:r w:rsidRPr="00E16672">
              <w:rPr>
                <w:rFonts w:ascii="Times New Roman" w:hAnsi="Times New Roman"/>
                <w:sz w:val="16"/>
                <w:szCs w:val="16"/>
              </w:rPr>
              <w:t xml:space="preserve"> </w:t>
            </w:r>
            <w:proofErr w:type="spellStart"/>
            <w:r w:rsidRPr="00E16672">
              <w:rPr>
                <w:rFonts w:ascii="Times New Roman" w:hAnsi="Times New Roman"/>
                <w:sz w:val="16"/>
                <w:szCs w:val="16"/>
              </w:rPr>
              <w:t>securities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to</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another</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person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authorized</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to</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act</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his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behalf</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under</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legislation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specified</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competence</w:t>
            </w:r>
            <w:proofErr w:type="spellEnd"/>
            <w:r w:rsidRPr="00E16672">
              <w:rPr>
                <w:rFonts w:ascii="Times New Roman" w:hAnsi="Times New Roman"/>
                <w:sz w:val="16"/>
                <w:szCs w:val="16"/>
              </w:rPr>
              <w:t>.</w:t>
            </w:r>
          </w:p>
          <w:p w14:paraId="1F127BD8" w14:textId="77777777" w:rsidR="005C5318" w:rsidRPr="00E16672" w:rsidRDefault="005C5318" w:rsidP="005C5318">
            <w:pPr>
              <w:tabs>
                <w:tab w:val="left" w:pos="287"/>
              </w:tabs>
              <w:ind w:left="145" w:right="100"/>
              <w:jc w:val="center"/>
              <w:rPr>
                <w:rFonts w:ascii="Times New Roman" w:hAnsi="Times New Roman"/>
                <w:bCs/>
                <w:sz w:val="16"/>
                <w:szCs w:val="16"/>
                <w:lang w:val="en-GB"/>
              </w:rPr>
            </w:pPr>
          </w:p>
        </w:tc>
      </w:tr>
      <w:tr w:rsidR="005C5318" w:rsidRPr="00F23413" w14:paraId="0A8ED9D1" w14:textId="77777777" w:rsidTr="00681D9F">
        <w:trPr>
          <w:trHeight w:val="192"/>
        </w:trPr>
        <w:tc>
          <w:tcPr>
            <w:tcW w:w="5695" w:type="dxa"/>
            <w:gridSpan w:val="6"/>
            <w:shd w:val="clear" w:color="auto" w:fill="auto"/>
          </w:tcPr>
          <w:p w14:paraId="7A8A5408" w14:textId="77777777" w:rsidR="005C5318" w:rsidRPr="00E16672" w:rsidRDefault="005C5318" w:rsidP="005C5318">
            <w:pPr>
              <w:pStyle w:val="WW-1"/>
              <w:tabs>
                <w:tab w:val="left" w:pos="709"/>
              </w:tabs>
              <w:snapToGrid w:val="0"/>
              <w:ind w:left="175" w:right="138"/>
              <w:jc w:val="both"/>
              <w:rPr>
                <w:rFonts w:eastAsia="Times New Roman"/>
                <w:i w:val="0"/>
                <w:sz w:val="16"/>
                <w:szCs w:val="16"/>
                <w:lang w:val="uk-UA"/>
              </w:rPr>
            </w:pPr>
            <w:r w:rsidRPr="00E16672">
              <w:rPr>
                <w:i w:val="0"/>
                <w:sz w:val="16"/>
                <w:szCs w:val="16"/>
                <w:lang w:val="uk-UA"/>
              </w:rPr>
              <w:t>2.4.2</w:t>
            </w:r>
            <w:r w:rsidRPr="00E16672">
              <w:rPr>
                <w:rFonts w:eastAsia="Times New Roman"/>
                <w:i w:val="0"/>
                <w:sz w:val="16"/>
                <w:szCs w:val="16"/>
                <w:lang w:val="uk-UA"/>
              </w:rPr>
              <w:t>. Передати власні повноваження з розпорядження цінними паперами, що обліковуються на його рахунку в цінних паперах, повноваження щодо здійснення прав, що випливають з цінних паперів, керуючому рахунком.</w:t>
            </w:r>
          </w:p>
          <w:p w14:paraId="27C6AB92" w14:textId="77777777" w:rsidR="005C5318" w:rsidRPr="00E16672" w:rsidRDefault="005C5318" w:rsidP="005C5318">
            <w:pPr>
              <w:pStyle w:val="WW-1"/>
              <w:tabs>
                <w:tab w:val="left" w:pos="709"/>
              </w:tabs>
              <w:ind w:left="175" w:right="138"/>
              <w:jc w:val="both"/>
              <w:rPr>
                <w:rFonts w:eastAsia="Times New Roman"/>
                <w:i w:val="0"/>
                <w:sz w:val="16"/>
                <w:szCs w:val="16"/>
                <w:lang w:val="uk-UA"/>
              </w:rPr>
            </w:pPr>
          </w:p>
        </w:tc>
        <w:tc>
          <w:tcPr>
            <w:tcW w:w="5495" w:type="dxa"/>
            <w:gridSpan w:val="6"/>
            <w:shd w:val="clear" w:color="auto" w:fill="auto"/>
          </w:tcPr>
          <w:p w14:paraId="0BB0D2D7" w14:textId="77777777" w:rsidR="005C5318" w:rsidRPr="00E16672" w:rsidRDefault="005C5318" w:rsidP="005C5318">
            <w:pPr>
              <w:pStyle w:val="210"/>
              <w:tabs>
                <w:tab w:val="left" w:pos="287"/>
                <w:tab w:val="left" w:pos="1191"/>
              </w:tabs>
              <w:snapToGrid w:val="0"/>
              <w:ind w:left="145" w:right="100" w:firstLine="0"/>
              <w:rPr>
                <w:rFonts w:ascii="Times New Roman" w:hAnsi="Times New Roman"/>
                <w:sz w:val="16"/>
                <w:szCs w:val="16"/>
              </w:rPr>
            </w:pPr>
            <w:r w:rsidRPr="00E16672">
              <w:rPr>
                <w:rFonts w:ascii="Times New Roman" w:hAnsi="Times New Roman"/>
                <w:sz w:val="16"/>
                <w:szCs w:val="16"/>
                <w:lang w:val="en-US"/>
              </w:rPr>
              <w:t>2.4</w:t>
            </w:r>
            <w:r w:rsidRPr="00E16672">
              <w:rPr>
                <w:rFonts w:ascii="Times New Roman" w:hAnsi="Times New Roman"/>
                <w:sz w:val="16"/>
                <w:szCs w:val="16"/>
              </w:rPr>
              <w:t xml:space="preserve">.2. </w:t>
            </w:r>
            <w:r w:rsidRPr="00E16672">
              <w:rPr>
                <w:rFonts w:ascii="Times New Roman" w:hAnsi="Times New Roman"/>
                <w:sz w:val="16"/>
                <w:szCs w:val="16"/>
                <w:lang w:val="en-US"/>
              </w:rPr>
              <w:t>Transfer</w:t>
            </w:r>
            <w:r w:rsidRPr="00E16672">
              <w:rPr>
                <w:rFonts w:ascii="Times New Roman" w:hAnsi="Times New Roman"/>
                <w:sz w:val="16"/>
                <w:szCs w:val="16"/>
              </w:rPr>
              <w:t xml:space="preserve"> </w:t>
            </w:r>
            <w:proofErr w:type="spellStart"/>
            <w:r w:rsidRPr="00E16672">
              <w:rPr>
                <w:rFonts w:ascii="Times New Roman" w:hAnsi="Times New Roman"/>
                <w:sz w:val="16"/>
                <w:szCs w:val="16"/>
              </w:rPr>
              <w:t>your</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own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powers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of</w:t>
            </w:r>
            <w:proofErr w:type="spellEnd"/>
            <w:r w:rsidRPr="00E16672">
              <w:rPr>
                <w:rFonts w:ascii="Times New Roman" w:hAnsi="Times New Roman"/>
                <w:sz w:val="16"/>
                <w:szCs w:val="16"/>
              </w:rPr>
              <w:t xml:space="preserve"> </w:t>
            </w:r>
            <w:r w:rsidRPr="00E16672">
              <w:rPr>
                <w:rFonts w:ascii="Times New Roman" w:hAnsi="Times New Roman"/>
                <w:sz w:val="16"/>
                <w:szCs w:val="16"/>
                <w:lang w:val="en-US"/>
              </w:rPr>
              <w:t>manage</w:t>
            </w:r>
            <w:r w:rsidRPr="00E16672">
              <w:rPr>
                <w:rFonts w:ascii="Times New Roman" w:hAnsi="Times New Roman"/>
                <w:sz w:val="16"/>
                <w:szCs w:val="16"/>
              </w:rPr>
              <w:t xml:space="preserve"> </w:t>
            </w:r>
            <w:r w:rsidRPr="00E16672">
              <w:rPr>
                <w:rFonts w:ascii="Times New Roman" w:hAnsi="Times New Roman"/>
                <w:sz w:val="16"/>
                <w:szCs w:val="16"/>
                <w:lang w:val="en-US"/>
              </w:rPr>
              <w:t>the</w:t>
            </w:r>
            <w:r w:rsidRPr="00E16672">
              <w:rPr>
                <w:rFonts w:ascii="Times New Roman" w:hAnsi="Times New Roman"/>
                <w:sz w:val="16"/>
                <w:szCs w:val="16"/>
              </w:rPr>
              <w:t xml:space="preserve"> </w:t>
            </w:r>
            <w:proofErr w:type="spellStart"/>
            <w:r w:rsidRPr="00E16672">
              <w:rPr>
                <w:rFonts w:ascii="Times New Roman" w:hAnsi="Times New Roman"/>
                <w:sz w:val="16"/>
                <w:szCs w:val="16"/>
              </w:rPr>
              <w:t>securities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is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accounted</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its</w:t>
            </w:r>
            <w:proofErr w:type="spellEnd"/>
            <w:r w:rsidRPr="00E16672">
              <w:rPr>
                <w:rFonts w:ascii="Times New Roman" w:hAnsi="Times New Roman"/>
                <w:sz w:val="16"/>
                <w:szCs w:val="16"/>
              </w:rPr>
              <w:t xml:space="preserve"> </w:t>
            </w:r>
            <w:proofErr w:type="spellStart"/>
            <w:proofErr w:type="gramStart"/>
            <w:r w:rsidRPr="00E16672">
              <w:rPr>
                <w:rFonts w:ascii="Times New Roman" w:hAnsi="Times New Roman"/>
                <w:sz w:val="16"/>
                <w:szCs w:val="16"/>
              </w:rPr>
              <w:t>account</w:t>
            </w:r>
            <w:proofErr w:type="spellEnd"/>
            <w:r w:rsidRPr="00E16672">
              <w:rPr>
                <w:rFonts w:ascii="Times New Roman" w:hAnsi="Times New Roman"/>
                <w:sz w:val="16"/>
                <w:szCs w:val="16"/>
              </w:rPr>
              <w:t xml:space="preserve"> </w:t>
            </w:r>
            <w:r w:rsidRPr="00E16672">
              <w:rPr>
                <w:rFonts w:ascii="Times New Roman" w:hAnsi="Times New Roman"/>
                <w:sz w:val="16"/>
                <w:szCs w:val="16"/>
                <w:lang w:val="en-US"/>
              </w:rPr>
              <w:t xml:space="preserve"> in</w:t>
            </w:r>
            <w:proofErr w:type="gram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securities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authority</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to</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exercise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rights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arising</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from</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securities</w:t>
            </w:r>
            <w:proofErr w:type="spellEnd"/>
            <w:r w:rsidRPr="00E16672">
              <w:rPr>
                <w:rFonts w:ascii="Times New Roman" w:hAnsi="Times New Roman"/>
                <w:sz w:val="16"/>
                <w:szCs w:val="16"/>
              </w:rPr>
              <w:t xml:space="preserve"> </w:t>
            </w:r>
            <w:r w:rsidRPr="00E16672">
              <w:rPr>
                <w:rFonts w:ascii="Times New Roman" w:hAnsi="Times New Roman"/>
                <w:sz w:val="16"/>
                <w:szCs w:val="16"/>
                <w:lang w:val="en-US"/>
              </w:rPr>
              <w:t xml:space="preserve">to </w:t>
            </w:r>
            <w:proofErr w:type="spellStart"/>
            <w:r w:rsidRPr="00E16672">
              <w:rPr>
                <w:rFonts w:ascii="Times New Roman" w:hAnsi="Times New Roman"/>
                <w:sz w:val="16"/>
                <w:szCs w:val="16"/>
              </w:rPr>
              <w:t>account</w:t>
            </w:r>
            <w:proofErr w:type="spellEnd"/>
            <w:r w:rsidRPr="00E16672">
              <w:rPr>
                <w:rFonts w:ascii="Times New Roman" w:hAnsi="Times New Roman"/>
                <w:sz w:val="16"/>
                <w:szCs w:val="16"/>
              </w:rPr>
              <w:t xml:space="preserve"> </w:t>
            </w:r>
            <w:r w:rsidRPr="00E16672">
              <w:rPr>
                <w:rFonts w:ascii="Times New Roman" w:hAnsi="Times New Roman"/>
                <w:sz w:val="16"/>
              </w:rPr>
              <w:t>а</w:t>
            </w:r>
            <w:proofErr w:type="spellStart"/>
            <w:r w:rsidRPr="00E16672">
              <w:rPr>
                <w:rFonts w:ascii="Times New Roman" w:hAnsi="Times New Roman"/>
                <w:sz w:val="16"/>
                <w:lang w:val="en-US"/>
              </w:rPr>
              <w:t>dministrator</w:t>
            </w:r>
            <w:proofErr w:type="spellEnd"/>
            <w:r w:rsidRPr="00E16672">
              <w:rPr>
                <w:rFonts w:ascii="Times New Roman" w:hAnsi="Times New Roman"/>
                <w:sz w:val="16"/>
                <w:szCs w:val="16"/>
              </w:rPr>
              <w:t>.</w:t>
            </w:r>
          </w:p>
          <w:p w14:paraId="19952A92" w14:textId="77777777" w:rsidR="005C5318" w:rsidRPr="00E16672" w:rsidRDefault="005C5318" w:rsidP="005C5318">
            <w:pPr>
              <w:pStyle w:val="210"/>
              <w:tabs>
                <w:tab w:val="left" w:pos="287"/>
                <w:tab w:val="left" w:pos="1191"/>
              </w:tabs>
              <w:ind w:left="145" w:right="100" w:firstLine="0"/>
              <w:rPr>
                <w:rFonts w:ascii="Times New Roman" w:hAnsi="Times New Roman"/>
                <w:sz w:val="16"/>
                <w:szCs w:val="16"/>
                <w:lang w:val="en-GB"/>
              </w:rPr>
            </w:pPr>
          </w:p>
        </w:tc>
      </w:tr>
      <w:tr w:rsidR="005C5318" w:rsidRPr="00F23413" w14:paraId="4D6590B3" w14:textId="77777777" w:rsidTr="005E418B">
        <w:trPr>
          <w:trHeight w:val="192"/>
        </w:trPr>
        <w:tc>
          <w:tcPr>
            <w:tcW w:w="5695" w:type="dxa"/>
            <w:gridSpan w:val="6"/>
            <w:shd w:val="clear" w:color="auto" w:fill="auto"/>
          </w:tcPr>
          <w:p w14:paraId="2546D1F0" w14:textId="77777777" w:rsidR="005C5318" w:rsidRPr="00E16672" w:rsidRDefault="005C5318" w:rsidP="005C5318">
            <w:pPr>
              <w:pStyle w:val="WW-1"/>
              <w:snapToGrid w:val="0"/>
              <w:ind w:left="175" w:right="138"/>
              <w:jc w:val="both"/>
              <w:rPr>
                <w:rFonts w:eastAsia="Times New Roman"/>
                <w:i w:val="0"/>
                <w:sz w:val="16"/>
                <w:szCs w:val="16"/>
                <w:lang w:val="uk-UA"/>
              </w:rPr>
            </w:pPr>
            <w:r w:rsidRPr="00E16672">
              <w:rPr>
                <w:i w:val="0"/>
                <w:sz w:val="16"/>
                <w:szCs w:val="16"/>
              </w:rPr>
              <w:t>2.4</w:t>
            </w:r>
            <w:r w:rsidRPr="00E16672">
              <w:rPr>
                <w:rFonts w:eastAsia="Times New Roman"/>
                <w:i w:val="0"/>
                <w:sz w:val="16"/>
                <w:szCs w:val="16"/>
                <w:lang w:val="uk-UA"/>
              </w:rPr>
              <w:t xml:space="preserve">.3.  </w:t>
            </w:r>
            <w:proofErr w:type="spellStart"/>
            <w:r w:rsidRPr="00E16672">
              <w:rPr>
                <w:bCs/>
                <w:i w:val="0"/>
                <w:sz w:val="16"/>
              </w:rPr>
              <w:t>Призначити</w:t>
            </w:r>
            <w:proofErr w:type="spellEnd"/>
            <w:r w:rsidRPr="00E16672">
              <w:rPr>
                <w:bCs/>
                <w:i w:val="0"/>
                <w:sz w:val="16"/>
              </w:rPr>
              <w:t xml:space="preserve"> </w:t>
            </w:r>
            <w:proofErr w:type="spellStart"/>
            <w:r w:rsidRPr="00E16672">
              <w:rPr>
                <w:bCs/>
                <w:i w:val="0"/>
                <w:sz w:val="16"/>
              </w:rPr>
              <w:t>керуючого</w:t>
            </w:r>
            <w:proofErr w:type="spellEnd"/>
            <w:r w:rsidRPr="00E16672">
              <w:rPr>
                <w:bCs/>
                <w:i w:val="0"/>
                <w:sz w:val="16"/>
              </w:rPr>
              <w:t xml:space="preserve"> (</w:t>
            </w:r>
            <w:proofErr w:type="spellStart"/>
            <w:r w:rsidRPr="00E16672">
              <w:rPr>
                <w:bCs/>
                <w:i w:val="0"/>
                <w:sz w:val="16"/>
              </w:rPr>
              <w:t>керуючих</w:t>
            </w:r>
            <w:proofErr w:type="spellEnd"/>
            <w:r w:rsidRPr="00E16672">
              <w:rPr>
                <w:bCs/>
                <w:i w:val="0"/>
                <w:sz w:val="16"/>
              </w:rPr>
              <w:t xml:space="preserve">) </w:t>
            </w:r>
            <w:proofErr w:type="spellStart"/>
            <w:r w:rsidRPr="00E16672">
              <w:rPr>
                <w:bCs/>
                <w:i w:val="0"/>
                <w:sz w:val="16"/>
              </w:rPr>
              <w:t>рахунком</w:t>
            </w:r>
            <w:proofErr w:type="spellEnd"/>
            <w:r w:rsidRPr="00E16672">
              <w:rPr>
                <w:bCs/>
                <w:i w:val="0"/>
                <w:sz w:val="16"/>
              </w:rPr>
              <w:t xml:space="preserve"> </w:t>
            </w:r>
            <w:r w:rsidR="00C22309" w:rsidRPr="00E16672">
              <w:rPr>
                <w:bCs/>
                <w:i w:val="0"/>
                <w:sz w:val="16"/>
              </w:rPr>
              <w:t xml:space="preserve">в </w:t>
            </w:r>
            <w:proofErr w:type="spellStart"/>
            <w:r w:rsidR="00C22309" w:rsidRPr="00E16672">
              <w:rPr>
                <w:bCs/>
                <w:i w:val="0"/>
                <w:sz w:val="16"/>
              </w:rPr>
              <w:t>цін</w:t>
            </w:r>
            <w:r w:rsidRPr="00E16672">
              <w:rPr>
                <w:bCs/>
                <w:i w:val="0"/>
                <w:sz w:val="16"/>
              </w:rPr>
              <w:t>них</w:t>
            </w:r>
            <w:proofErr w:type="spellEnd"/>
            <w:r w:rsidRPr="00E16672">
              <w:rPr>
                <w:bCs/>
                <w:i w:val="0"/>
                <w:sz w:val="16"/>
              </w:rPr>
              <w:t xml:space="preserve"> </w:t>
            </w:r>
            <w:proofErr w:type="spellStart"/>
            <w:r w:rsidRPr="00E16672">
              <w:rPr>
                <w:bCs/>
                <w:i w:val="0"/>
                <w:sz w:val="16"/>
              </w:rPr>
              <w:t>паперах</w:t>
            </w:r>
            <w:proofErr w:type="spellEnd"/>
            <w:r w:rsidRPr="00E16672">
              <w:rPr>
                <w:bCs/>
                <w:i w:val="0"/>
                <w:sz w:val="16"/>
              </w:rPr>
              <w:t>.</w:t>
            </w:r>
            <w:r w:rsidRPr="00E16672">
              <w:rPr>
                <w:b/>
                <w:bCs/>
                <w:sz w:val="16"/>
              </w:rPr>
              <w:t xml:space="preserve"> </w:t>
            </w:r>
            <w:r w:rsidRPr="00E16672">
              <w:rPr>
                <w:rFonts w:eastAsia="Times New Roman"/>
                <w:i w:val="0"/>
                <w:sz w:val="16"/>
                <w:szCs w:val="16"/>
                <w:lang w:val="uk-UA"/>
              </w:rPr>
              <w:t xml:space="preserve">Власник має право розділити повноваження з управління рахунком </w:t>
            </w:r>
            <w:r w:rsidR="00C22309" w:rsidRPr="00E16672">
              <w:rPr>
                <w:rFonts w:eastAsia="Times New Roman"/>
                <w:i w:val="0"/>
                <w:sz w:val="16"/>
                <w:szCs w:val="16"/>
                <w:lang w:val="uk-UA"/>
              </w:rPr>
              <w:t>в цін</w:t>
            </w:r>
            <w:r w:rsidRPr="00E16672">
              <w:rPr>
                <w:rFonts w:eastAsia="Times New Roman"/>
                <w:i w:val="0"/>
                <w:sz w:val="16"/>
                <w:szCs w:val="16"/>
                <w:lang w:val="uk-UA"/>
              </w:rPr>
              <w:t>них паперах серед декількох керуючих рахунком. Різним керуючим рахунком - професійним учасникам фондового ринку не можуть делегуватися однакові повноваження. За певним випуском цінних паперів може бути визначений тільки один керуючий рахунком.</w:t>
            </w:r>
          </w:p>
          <w:p w14:paraId="28F0A1B5" w14:textId="77777777" w:rsidR="005C5318" w:rsidRPr="00E16672" w:rsidRDefault="005C5318" w:rsidP="005C5318">
            <w:pPr>
              <w:pStyle w:val="WW-1"/>
              <w:ind w:left="175" w:right="138"/>
              <w:jc w:val="both"/>
              <w:rPr>
                <w:rFonts w:eastAsia="Times New Roman"/>
                <w:i w:val="0"/>
                <w:sz w:val="16"/>
                <w:szCs w:val="16"/>
              </w:rPr>
            </w:pPr>
          </w:p>
        </w:tc>
        <w:tc>
          <w:tcPr>
            <w:tcW w:w="5495" w:type="dxa"/>
            <w:gridSpan w:val="6"/>
            <w:shd w:val="clear" w:color="auto" w:fill="auto"/>
          </w:tcPr>
          <w:p w14:paraId="3278551A" w14:textId="77777777" w:rsidR="005C5318" w:rsidRPr="00E16672" w:rsidRDefault="005C5318" w:rsidP="005C5318">
            <w:pPr>
              <w:tabs>
                <w:tab w:val="left" w:pos="287"/>
              </w:tabs>
              <w:snapToGrid w:val="0"/>
              <w:ind w:left="145" w:right="100" w:firstLine="0"/>
              <w:rPr>
                <w:rFonts w:ascii="Times New Roman" w:hAnsi="Times New Roman"/>
                <w:sz w:val="16"/>
                <w:szCs w:val="16"/>
                <w:lang w:val="en-GB"/>
              </w:rPr>
            </w:pPr>
            <w:r w:rsidRPr="00E16672">
              <w:rPr>
                <w:rFonts w:ascii="Times New Roman" w:hAnsi="Times New Roman"/>
                <w:sz w:val="16"/>
                <w:szCs w:val="16"/>
                <w:lang w:val="en-US"/>
              </w:rPr>
              <w:t>2.4</w:t>
            </w:r>
            <w:r w:rsidRPr="00E16672">
              <w:rPr>
                <w:rFonts w:ascii="Times New Roman" w:hAnsi="Times New Roman"/>
                <w:sz w:val="16"/>
                <w:szCs w:val="16"/>
                <w:lang w:val="en-GB"/>
              </w:rPr>
              <w:t xml:space="preserve">.3. </w:t>
            </w:r>
            <w:r w:rsidR="005F18C0" w:rsidRPr="00F23413">
              <w:rPr>
                <w:rFonts w:ascii="Times New Roman" w:hAnsi="Times New Roman"/>
                <w:sz w:val="16"/>
                <w:szCs w:val="16"/>
                <w:lang w:val="en-US"/>
              </w:rPr>
              <w:t>Appoint a</w:t>
            </w:r>
            <w:r w:rsidR="005F18C0" w:rsidRPr="00E16672">
              <w:rPr>
                <w:rFonts w:ascii="Times New Roman" w:hAnsi="Times New Roman"/>
                <w:sz w:val="16"/>
                <w:szCs w:val="16"/>
                <w:lang w:val="en-US"/>
              </w:rPr>
              <w:t>n</w:t>
            </w:r>
            <w:r w:rsidR="005F18C0" w:rsidRPr="00F23413">
              <w:rPr>
                <w:rFonts w:ascii="Times New Roman" w:hAnsi="Times New Roman"/>
                <w:sz w:val="16"/>
                <w:szCs w:val="16"/>
                <w:lang w:val="en-US"/>
              </w:rPr>
              <w:t xml:space="preserve"> </w:t>
            </w:r>
            <w:r w:rsidR="005F18C0" w:rsidRPr="00E16672">
              <w:rPr>
                <w:rFonts w:ascii="Times New Roman" w:hAnsi="Times New Roman"/>
                <w:sz w:val="16"/>
                <w:szCs w:val="22"/>
              </w:rPr>
              <w:t>а</w:t>
            </w:r>
            <w:proofErr w:type="spellStart"/>
            <w:r w:rsidR="005F18C0" w:rsidRPr="00E16672">
              <w:rPr>
                <w:rFonts w:ascii="Times New Roman" w:hAnsi="Times New Roman"/>
                <w:sz w:val="16"/>
                <w:szCs w:val="22"/>
                <w:lang w:val="en-US"/>
              </w:rPr>
              <w:t>dministrator</w:t>
            </w:r>
            <w:proofErr w:type="spellEnd"/>
            <w:r w:rsidR="005F18C0" w:rsidRPr="00F23413">
              <w:rPr>
                <w:rFonts w:ascii="Times New Roman" w:hAnsi="Times New Roman"/>
                <w:sz w:val="16"/>
                <w:szCs w:val="16"/>
                <w:lang w:val="en-US"/>
              </w:rPr>
              <w:t xml:space="preserve"> (</w:t>
            </w:r>
            <w:r w:rsidR="005F18C0" w:rsidRPr="00E16672">
              <w:rPr>
                <w:rFonts w:ascii="Times New Roman" w:hAnsi="Times New Roman"/>
                <w:sz w:val="16"/>
                <w:szCs w:val="22"/>
              </w:rPr>
              <w:t>а</w:t>
            </w:r>
            <w:proofErr w:type="spellStart"/>
            <w:r w:rsidR="005F18C0" w:rsidRPr="00E16672">
              <w:rPr>
                <w:rFonts w:ascii="Times New Roman" w:hAnsi="Times New Roman"/>
                <w:sz w:val="16"/>
                <w:szCs w:val="22"/>
                <w:lang w:val="en-US"/>
              </w:rPr>
              <w:t>dministrator</w:t>
            </w:r>
            <w:r w:rsidR="005F18C0" w:rsidRPr="00E16672">
              <w:rPr>
                <w:rFonts w:ascii="Times New Roman" w:hAnsi="Times New Roman"/>
                <w:sz w:val="16"/>
                <w:szCs w:val="16"/>
                <w:lang w:val="en-US"/>
              </w:rPr>
              <w:t>s</w:t>
            </w:r>
            <w:proofErr w:type="spellEnd"/>
            <w:r w:rsidR="005F18C0" w:rsidRPr="00F23413">
              <w:rPr>
                <w:rFonts w:ascii="Times New Roman" w:hAnsi="Times New Roman"/>
                <w:sz w:val="16"/>
                <w:szCs w:val="16"/>
                <w:lang w:val="en-US"/>
              </w:rPr>
              <w:t xml:space="preserve">) </w:t>
            </w:r>
            <w:r w:rsidR="005F18C0" w:rsidRPr="00E16672">
              <w:rPr>
                <w:rFonts w:ascii="Times New Roman" w:hAnsi="Times New Roman"/>
                <w:sz w:val="16"/>
                <w:lang w:val="en-US"/>
              </w:rPr>
              <w:t xml:space="preserve">of the account in </w:t>
            </w:r>
            <w:proofErr w:type="gramStart"/>
            <w:r w:rsidR="005F18C0" w:rsidRPr="00E16672">
              <w:rPr>
                <w:rFonts w:ascii="Times New Roman" w:hAnsi="Times New Roman"/>
                <w:sz w:val="16"/>
                <w:lang w:val="en-US"/>
              </w:rPr>
              <w:t>securities</w:t>
            </w:r>
            <w:r w:rsidR="005F18C0" w:rsidRPr="00F23413">
              <w:rPr>
                <w:rFonts w:ascii="Times New Roman" w:hAnsi="Times New Roman"/>
                <w:sz w:val="16"/>
                <w:szCs w:val="16"/>
                <w:lang w:val="en-US"/>
              </w:rPr>
              <w:t>.</w:t>
            </w:r>
            <w:r w:rsidR="005F18C0" w:rsidRPr="00E16672">
              <w:rPr>
                <w:rFonts w:ascii="Times New Roman" w:hAnsi="Times New Roman"/>
                <w:sz w:val="16"/>
                <w:szCs w:val="16"/>
                <w:lang w:val="en-GB"/>
              </w:rPr>
              <w:t>The</w:t>
            </w:r>
            <w:proofErr w:type="gramEnd"/>
            <w:r w:rsidR="005F18C0" w:rsidRPr="00E16672">
              <w:rPr>
                <w:rFonts w:ascii="Times New Roman" w:hAnsi="Times New Roman"/>
                <w:sz w:val="16"/>
                <w:szCs w:val="16"/>
                <w:lang w:val="en-GB"/>
              </w:rPr>
              <w:t xml:space="preserve"> owner has the right to  divide the rights of managing of the account in securities between some of the administrator of the account. Different administrator - professional participants of the stock market </w:t>
            </w:r>
            <w:proofErr w:type="spellStart"/>
            <w:r w:rsidR="005F18C0" w:rsidRPr="00E16672">
              <w:rPr>
                <w:rFonts w:ascii="Times New Roman" w:hAnsi="Times New Roman"/>
                <w:sz w:val="16"/>
                <w:szCs w:val="16"/>
                <w:lang w:val="en-GB"/>
              </w:rPr>
              <w:t>can not</w:t>
            </w:r>
            <w:proofErr w:type="spellEnd"/>
            <w:r w:rsidR="005F18C0" w:rsidRPr="00E16672">
              <w:rPr>
                <w:rFonts w:ascii="Times New Roman" w:hAnsi="Times New Roman"/>
                <w:sz w:val="16"/>
                <w:szCs w:val="16"/>
                <w:lang w:val="en-GB"/>
              </w:rPr>
              <w:t xml:space="preserve"> be delegated the same powers. In particular issue of securities may be </w:t>
            </w:r>
            <w:proofErr w:type="gramStart"/>
            <w:r w:rsidR="005F18C0" w:rsidRPr="00E16672">
              <w:rPr>
                <w:rFonts w:ascii="Times New Roman" w:hAnsi="Times New Roman"/>
                <w:sz w:val="16"/>
                <w:szCs w:val="16"/>
                <w:lang w:val="en-GB"/>
              </w:rPr>
              <w:t>determined  only</w:t>
            </w:r>
            <w:proofErr w:type="gramEnd"/>
            <w:r w:rsidR="005F18C0" w:rsidRPr="00E16672">
              <w:rPr>
                <w:rFonts w:ascii="Times New Roman" w:hAnsi="Times New Roman"/>
                <w:sz w:val="16"/>
                <w:szCs w:val="16"/>
                <w:lang w:val="en-GB"/>
              </w:rPr>
              <w:t xml:space="preserve"> one administrator account</w:t>
            </w:r>
            <w:r w:rsidRPr="00E16672">
              <w:rPr>
                <w:rFonts w:ascii="Times New Roman" w:hAnsi="Times New Roman"/>
                <w:sz w:val="16"/>
                <w:szCs w:val="16"/>
                <w:lang w:val="en-GB"/>
              </w:rPr>
              <w:t>.</w:t>
            </w:r>
          </w:p>
        </w:tc>
      </w:tr>
      <w:tr w:rsidR="005C5318" w:rsidRPr="00F23413" w14:paraId="4DAE980C" w14:textId="77777777" w:rsidTr="005E418B">
        <w:trPr>
          <w:trHeight w:val="192"/>
        </w:trPr>
        <w:tc>
          <w:tcPr>
            <w:tcW w:w="5695" w:type="dxa"/>
            <w:gridSpan w:val="6"/>
            <w:shd w:val="clear" w:color="auto" w:fill="auto"/>
          </w:tcPr>
          <w:p w14:paraId="4C6CFD17" w14:textId="77777777" w:rsidR="005C5318" w:rsidRPr="00E16672" w:rsidRDefault="005C5318" w:rsidP="005C5318">
            <w:pPr>
              <w:tabs>
                <w:tab w:val="left" w:pos="709"/>
              </w:tabs>
              <w:snapToGrid w:val="0"/>
              <w:ind w:left="175" w:right="138" w:firstLine="0"/>
              <w:rPr>
                <w:rFonts w:ascii="Times New Roman" w:hAnsi="Times New Roman"/>
                <w:sz w:val="16"/>
                <w:szCs w:val="16"/>
              </w:rPr>
            </w:pPr>
            <w:r w:rsidRPr="00E16672">
              <w:rPr>
                <w:rFonts w:ascii="Times New Roman" w:hAnsi="Times New Roman"/>
                <w:sz w:val="16"/>
                <w:szCs w:val="16"/>
              </w:rPr>
              <w:t xml:space="preserve">2.4.4. </w:t>
            </w:r>
            <w:proofErr w:type="spellStart"/>
            <w:r w:rsidRPr="00E16672">
              <w:rPr>
                <w:rFonts w:ascii="Times New Roman" w:hAnsi="Times New Roman"/>
                <w:sz w:val="16"/>
                <w:szCs w:val="16"/>
              </w:rPr>
              <w:t>Вимагати</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від</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Депозитарної</w:t>
            </w:r>
            <w:proofErr w:type="spellEnd"/>
            <w:r w:rsidRPr="00E16672">
              <w:rPr>
                <w:rFonts w:ascii="Times New Roman" w:hAnsi="Times New Roman"/>
                <w:sz w:val="16"/>
                <w:szCs w:val="16"/>
              </w:rPr>
              <w:t xml:space="preserve"> установи </w:t>
            </w:r>
            <w:proofErr w:type="spellStart"/>
            <w:r w:rsidRPr="00E16672">
              <w:rPr>
                <w:rFonts w:ascii="Times New Roman" w:hAnsi="Times New Roman"/>
                <w:sz w:val="16"/>
                <w:szCs w:val="16"/>
              </w:rPr>
              <w:t>своєчасного</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виконання</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своїх</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розпоряджень</w:t>
            </w:r>
            <w:proofErr w:type="spellEnd"/>
            <w:r w:rsidRPr="00E16672">
              <w:rPr>
                <w:rFonts w:ascii="Times New Roman" w:hAnsi="Times New Roman"/>
                <w:sz w:val="16"/>
                <w:szCs w:val="16"/>
              </w:rPr>
              <w:t xml:space="preserve"> на </w:t>
            </w:r>
            <w:proofErr w:type="spellStart"/>
            <w:r w:rsidRPr="00E16672">
              <w:rPr>
                <w:rFonts w:ascii="Times New Roman" w:hAnsi="Times New Roman"/>
                <w:sz w:val="16"/>
                <w:szCs w:val="16"/>
              </w:rPr>
              <w:t>рахунку</w:t>
            </w:r>
            <w:proofErr w:type="spellEnd"/>
            <w:r w:rsidRPr="00E16672">
              <w:rPr>
                <w:rFonts w:ascii="Times New Roman" w:hAnsi="Times New Roman"/>
                <w:sz w:val="16"/>
                <w:szCs w:val="16"/>
              </w:rPr>
              <w:t xml:space="preserve"> </w:t>
            </w:r>
            <w:r w:rsidR="00C22309" w:rsidRPr="00E16672">
              <w:rPr>
                <w:rFonts w:ascii="Times New Roman" w:hAnsi="Times New Roman"/>
                <w:sz w:val="16"/>
                <w:szCs w:val="16"/>
              </w:rPr>
              <w:t xml:space="preserve">в </w:t>
            </w:r>
            <w:proofErr w:type="spellStart"/>
            <w:r w:rsidR="00C22309" w:rsidRPr="00E16672">
              <w:rPr>
                <w:rFonts w:ascii="Times New Roman" w:hAnsi="Times New Roman"/>
                <w:sz w:val="16"/>
                <w:szCs w:val="16"/>
              </w:rPr>
              <w:t>цін</w:t>
            </w:r>
            <w:r w:rsidRPr="00E16672">
              <w:rPr>
                <w:rFonts w:ascii="Times New Roman" w:hAnsi="Times New Roman"/>
                <w:sz w:val="16"/>
                <w:szCs w:val="16"/>
              </w:rPr>
              <w:t>них</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паперах</w:t>
            </w:r>
            <w:proofErr w:type="spellEnd"/>
            <w:r w:rsidRPr="00E16672">
              <w:rPr>
                <w:rFonts w:ascii="Times New Roman" w:hAnsi="Times New Roman"/>
                <w:sz w:val="16"/>
                <w:szCs w:val="16"/>
              </w:rPr>
              <w:t xml:space="preserve"> та </w:t>
            </w:r>
            <w:proofErr w:type="spellStart"/>
            <w:r w:rsidRPr="00E16672">
              <w:rPr>
                <w:rFonts w:ascii="Times New Roman" w:hAnsi="Times New Roman"/>
                <w:sz w:val="16"/>
                <w:szCs w:val="16"/>
              </w:rPr>
              <w:t>отримувати</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відповідно</w:t>
            </w:r>
            <w:proofErr w:type="spellEnd"/>
            <w:r w:rsidRPr="00E16672">
              <w:rPr>
                <w:rFonts w:ascii="Times New Roman" w:hAnsi="Times New Roman"/>
                <w:sz w:val="16"/>
                <w:szCs w:val="16"/>
              </w:rPr>
              <w:t xml:space="preserve"> до умов Договору </w:t>
            </w:r>
            <w:proofErr w:type="spellStart"/>
            <w:r w:rsidRPr="00E16672">
              <w:rPr>
                <w:rFonts w:ascii="Times New Roman" w:hAnsi="Times New Roman"/>
                <w:sz w:val="16"/>
                <w:szCs w:val="16"/>
              </w:rPr>
              <w:t>повну</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інформацію</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щодо</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цінних</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паперів</w:t>
            </w:r>
            <w:proofErr w:type="spellEnd"/>
            <w:r w:rsidRPr="00E16672">
              <w:rPr>
                <w:rFonts w:ascii="Times New Roman" w:hAnsi="Times New Roman"/>
                <w:sz w:val="16"/>
                <w:szCs w:val="16"/>
              </w:rPr>
              <w:t xml:space="preserve">, прав на </w:t>
            </w:r>
            <w:proofErr w:type="spellStart"/>
            <w:r w:rsidRPr="00E16672">
              <w:rPr>
                <w:rFonts w:ascii="Times New Roman" w:hAnsi="Times New Roman"/>
                <w:sz w:val="16"/>
                <w:szCs w:val="16"/>
              </w:rPr>
              <w:t>цінні</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папери</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які</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обліковуються</w:t>
            </w:r>
            <w:proofErr w:type="spellEnd"/>
            <w:r w:rsidRPr="00E16672">
              <w:rPr>
                <w:rFonts w:ascii="Times New Roman" w:hAnsi="Times New Roman"/>
                <w:sz w:val="16"/>
                <w:szCs w:val="16"/>
              </w:rPr>
              <w:t xml:space="preserve"> на </w:t>
            </w:r>
            <w:proofErr w:type="spellStart"/>
            <w:r w:rsidRPr="00E16672">
              <w:rPr>
                <w:rFonts w:ascii="Times New Roman" w:hAnsi="Times New Roman"/>
                <w:sz w:val="16"/>
                <w:szCs w:val="16"/>
              </w:rPr>
              <w:t>рахунку</w:t>
            </w:r>
            <w:proofErr w:type="spellEnd"/>
            <w:r w:rsidRPr="00E16672">
              <w:rPr>
                <w:rFonts w:ascii="Times New Roman" w:hAnsi="Times New Roman"/>
                <w:sz w:val="16"/>
                <w:szCs w:val="16"/>
              </w:rPr>
              <w:t xml:space="preserve"> </w:t>
            </w:r>
            <w:r w:rsidR="00C22309" w:rsidRPr="00E16672">
              <w:rPr>
                <w:rFonts w:ascii="Times New Roman" w:hAnsi="Times New Roman"/>
                <w:sz w:val="16"/>
                <w:szCs w:val="16"/>
              </w:rPr>
              <w:t xml:space="preserve">в </w:t>
            </w:r>
            <w:proofErr w:type="spellStart"/>
            <w:r w:rsidR="00C22309" w:rsidRPr="00E16672">
              <w:rPr>
                <w:rFonts w:ascii="Times New Roman" w:hAnsi="Times New Roman"/>
                <w:sz w:val="16"/>
                <w:szCs w:val="16"/>
              </w:rPr>
              <w:t>цін</w:t>
            </w:r>
            <w:r w:rsidRPr="00E16672">
              <w:rPr>
                <w:rFonts w:ascii="Times New Roman" w:hAnsi="Times New Roman"/>
                <w:sz w:val="16"/>
                <w:szCs w:val="16"/>
              </w:rPr>
              <w:t>них</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паперах</w:t>
            </w:r>
            <w:proofErr w:type="spellEnd"/>
            <w:r w:rsidRPr="00E16672">
              <w:rPr>
                <w:rFonts w:ascii="Times New Roman" w:hAnsi="Times New Roman"/>
                <w:sz w:val="16"/>
                <w:szCs w:val="16"/>
              </w:rPr>
              <w:t xml:space="preserve"> </w:t>
            </w:r>
            <w:r w:rsidRPr="00E16672">
              <w:rPr>
                <w:rFonts w:ascii="Times New Roman" w:hAnsi="Times New Roman"/>
                <w:sz w:val="16"/>
                <w:szCs w:val="16"/>
                <w:lang w:val="uk-UA"/>
              </w:rPr>
              <w:t>Депонента</w:t>
            </w:r>
            <w:r w:rsidRPr="00E16672">
              <w:rPr>
                <w:rFonts w:ascii="Times New Roman" w:hAnsi="Times New Roman"/>
                <w:sz w:val="16"/>
                <w:szCs w:val="16"/>
              </w:rPr>
              <w:t>.</w:t>
            </w:r>
          </w:p>
          <w:p w14:paraId="0C3641F0" w14:textId="77777777" w:rsidR="005C5318" w:rsidRPr="00E16672" w:rsidRDefault="005C5318" w:rsidP="005C5318">
            <w:pPr>
              <w:tabs>
                <w:tab w:val="left" w:pos="709"/>
              </w:tabs>
              <w:ind w:left="175" w:right="138"/>
              <w:rPr>
                <w:rFonts w:ascii="Times New Roman" w:hAnsi="Times New Roman"/>
                <w:sz w:val="16"/>
                <w:szCs w:val="16"/>
              </w:rPr>
            </w:pPr>
          </w:p>
        </w:tc>
        <w:tc>
          <w:tcPr>
            <w:tcW w:w="5495" w:type="dxa"/>
            <w:gridSpan w:val="6"/>
            <w:shd w:val="clear" w:color="auto" w:fill="auto"/>
          </w:tcPr>
          <w:p w14:paraId="188C3ADA" w14:textId="77777777" w:rsidR="005C5318" w:rsidRPr="00E16672" w:rsidRDefault="005C5318" w:rsidP="005C5318">
            <w:pPr>
              <w:tabs>
                <w:tab w:val="left" w:pos="287"/>
              </w:tabs>
              <w:snapToGrid w:val="0"/>
              <w:ind w:left="145" w:right="100" w:firstLine="0"/>
              <w:rPr>
                <w:rFonts w:ascii="Times New Roman" w:hAnsi="Times New Roman"/>
                <w:sz w:val="16"/>
                <w:szCs w:val="16"/>
                <w:lang w:val="en-GB"/>
              </w:rPr>
            </w:pPr>
            <w:r w:rsidRPr="00E16672">
              <w:rPr>
                <w:rFonts w:ascii="Times New Roman" w:hAnsi="Times New Roman"/>
                <w:sz w:val="16"/>
                <w:szCs w:val="16"/>
                <w:lang w:val="en-US"/>
              </w:rPr>
              <w:t>2.4</w:t>
            </w:r>
            <w:r w:rsidRPr="00E16672">
              <w:rPr>
                <w:rFonts w:ascii="Times New Roman" w:hAnsi="Times New Roman"/>
                <w:sz w:val="16"/>
                <w:szCs w:val="16"/>
                <w:lang w:val="en-GB"/>
              </w:rPr>
              <w:t>.</w:t>
            </w:r>
            <w:r w:rsidRPr="00E16672">
              <w:rPr>
                <w:rFonts w:ascii="Times New Roman" w:hAnsi="Times New Roman"/>
                <w:sz w:val="16"/>
                <w:szCs w:val="16"/>
                <w:lang w:val="en-US"/>
              </w:rPr>
              <w:t>4</w:t>
            </w:r>
            <w:r w:rsidRPr="00E16672">
              <w:rPr>
                <w:rFonts w:ascii="Times New Roman" w:hAnsi="Times New Roman"/>
                <w:sz w:val="16"/>
                <w:szCs w:val="16"/>
                <w:lang w:val="en-GB"/>
              </w:rPr>
              <w:t xml:space="preserve">. To demand the Depository institution to keep the terms of execution of the orders on the account in </w:t>
            </w:r>
            <w:proofErr w:type="gramStart"/>
            <w:r w:rsidRPr="00E16672">
              <w:rPr>
                <w:rFonts w:ascii="Times New Roman" w:hAnsi="Times New Roman"/>
                <w:sz w:val="16"/>
                <w:szCs w:val="16"/>
                <w:lang w:val="en-GB"/>
              </w:rPr>
              <w:t>securities  and</w:t>
            </w:r>
            <w:proofErr w:type="gramEnd"/>
            <w:r w:rsidRPr="00E16672">
              <w:rPr>
                <w:rFonts w:ascii="Times New Roman" w:hAnsi="Times New Roman"/>
                <w:sz w:val="16"/>
                <w:szCs w:val="16"/>
                <w:lang w:val="en-GB"/>
              </w:rPr>
              <w:t xml:space="preserve"> receive pursuant to the terms of the Agreement full information concerning securities, rights on securities that are registered on  the account in securities of Depositor.</w:t>
            </w:r>
          </w:p>
          <w:p w14:paraId="56BA8C8B" w14:textId="77777777" w:rsidR="005C5318" w:rsidRPr="00E16672" w:rsidRDefault="005C5318" w:rsidP="005C5318">
            <w:pPr>
              <w:tabs>
                <w:tab w:val="left" w:pos="287"/>
              </w:tabs>
              <w:snapToGrid w:val="0"/>
              <w:ind w:left="145" w:right="100"/>
              <w:rPr>
                <w:rFonts w:ascii="Times New Roman" w:hAnsi="Times New Roman"/>
                <w:sz w:val="16"/>
                <w:szCs w:val="16"/>
                <w:lang w:val="en-US"/>
              </w:rPr>
            </w:pPr>
          </w:p>
        </w:tc>
      </w:tr>
      <w:tr w:rsidR="005C5318" w:rsidRPr="00F23413" w14:paraId="13170281" w14:textId="77777777" w:rsidTr="005E418B">
        <w:trPr>
          <w:trHeight w:val="192"/>
        </w:trPr>
        <w:tc>
          <w:tcPr>
            <w:tcW w:w="5695" w:type="dxa"/>
            <w:gridSpan w:val="6"/>
            <w:shd w:val="clear" w:color="auto" w:fill="auto"/>
          </w:tcPr>
          <w:p w14:paraId="3E0BDF3F" w14:textId="77777777" w:rsidR="005C5318" w:rsidRPr="00E16672" w:rsidRDefault="005C5318" w:rsidP="005C5318">
            <w:pPr>
              <w:pStyle w:val="WW-1"/>
              <w:tabs>
                <w:tab w:val="left" w:pos="709"/>
              </w:tabs>
              <w:snapToGrid w:val="0"/>
              <w:ind w:left="175" w:right="138"/>
              <w:jc w:val="both"/>
              <w:rPr>
                <w:rFonts w:eastAsia="Times New Roman"/>
                <w:i w:val="0"/>
                <w:sz w:val="16"/>
                <w:szCs w:val="16"/>
                <w:lang w:val="uk-UA"/>
              </w:rPr>
            </w:pPr>
            <w:r w:rsidRPr="00E16672">
              <w:rPr>
                <w:i w:val="0"/>
                <w:sz w:val="16"/>
                <w:szCs w:val="16"/>
              </w:rPr>
              <w:t>2.4</w:t>
            </w:r>
            <w:r w:rsidRPr="00E16672">
              <w:rPr>
                <w:rFonts w:eastAsia="Times New Roman"/>
                <w:i w:val="0"/>
                <w:sz w:val="16"/>
                <w:szCs w:val="16"/>
                <w:lang w:val="uk-UA"/>
              </w:rPr>
              <w:t>.</w:t>
            </w:r>
            <w:r w:rsidRPr="00E16672">
              <w:rPr>
                <w:rFonts w:eastAsia="Times New Roman"/>
                <w:i w:val="0"/>
                <w:sz w:val="16"/>
                <w:szCs w:val="16"/>
              </w:rPr>
              <w:t>5</w:t>
            </w:r>
            <w:r w:rsidRPr="00E16672">
              <w:rPr>
                <w:rFonts w:eastAsia="Times New Roman"/>
                <w:i w:val="0"/>
                <w:sz w:val="16"/>
                <w:szCs w:val="16"/>
                <w:lang w:val="uk-UA"/>
              </w:rPr>
              <w:t xml:space="preserve">. Вимагати від Депозитарної установи виконання умов обслуговування </w:t>
            </w:r>
            <w:proofErr w:type="spellStart"/>
            <w:r w:rsidRPr="00E16672">
              <w:rPr>
                <w:rFonts w:eastAsia="Times New Roman"/>
                <w:i w:val="0"/>
                <w:sz w:val="16"/>
                <w:szCs w:val="16"/>
                <w:lang w:val="uk-UA"/>
              </w:rPr>
              <w:t>обіг</w:t>
            </w:r>
            <w:r w:rsidR="00C22309" w:rsidRPr="00E16672">
              <w:rPr>
                <w:rFonts w:eastAsia="Times New Roman"/>
                <w:i w:val="0"/>
                <w:sz w:val="16"/>
                <w:szCs w:val="16"/>
                <w:lang w:val="uk-UA"/>
              </w:rPr>
              <w:t>в</w:t>
            </w:r>
            <w:proofErr w:type="spellEnd"/>
            <w:r w:rsidR="00C22309" w:rsidRPr="00E16672">
              <w:rPr>
                <w:rFonts w:eastAsia="Times New Roman"/>
                <w:i w:val="0"/>
                <w:sz w:val="16"/>
                <w:szCs w:val="16"/>
                <w:lang w:val="uk-UA"/>
              </w:rPr>
              <w:t xml:space="preserve"> цін</w:t>
            </w:r>
            <w:r w:rsidRPr="00E16672">
              <w:rPr>
                <w:rFonts w:eastAsia="Times New Roman"/>
                <w:i w:val="0"/>
                <w:sz w:val="16"/>
                <w:szCs w:val="16"/>
                <w:lang w:val="uk-UA"/>
              </w:rPr>
              <w:t xml:space="preserve">них паперів на рахунку </w:t>
            </w:r>
            <w:r w:rsidR="00C22309" w:rsidRPr="00E16672">
              <w:rPr>
                <w:rFonts w:eastAsia="Times New Roman"/>
                <w:i w:val="0"/>
                <w:sz w:val="16"/>
                <w:szCs w:val="16"/>
                <w:lang w:val="uk-UA"/>
              </w:rPr>
              <w:t>в цін</w:t>
            </w:r>
            <w:r w:rsidRPr="00E16672">
              <w:rPr>
                <w:rFonts w:eastAsia="Times New Roman"/>
                <w:i w:val="0"/>
                <w:sz w:val="16"/>
                <w:szCs w:val="16"/>
                <w:lang w:val="uk-UA"/>
              </w:rPr>
              <w:t xml:space="preserve">них паперах Депонента, обліку прав на цінні папери та їх обмежень на рахунках </w:t>
            </w:r>
            <w:r w:rsidR="00C22309" w:rsidRPr="00E16672">
              <w:rPr>
                <w:rFonts w:eastAsia="Times New Roman"/>
                <w:i w:val="0"/>
                <w:sz w:val="16"/>
                <w:szCs w:val="16"/>
                <w:lang w:val="uk-UA"/>
              </w:rPr>
              <w:t>в цін</w:t>
            </w:r>
            <w:r w:rsidRPr="00E16672">
              <w:rPr>
                <w:rFonts w:eastAsia="Times New Roman"/>
                <w:i w:val="0"/>
                <w:sz w:val="16"/>
                <w:szCs w:val="16"/>
                <w:lang w:val="uk-UA"/>
              </w:rPr>
              <w:t>них паперах Депонент</w:t>
            </w:r>
            <w:r w:rsidRPr="00E16672">
              <w:rPr>
                <w:rFonts w:eastAsia="Times New Roman"/>
                <w:i w:val="0"/>
                <w:sz w:val="16"/>
                <w:szCs w:val="16"/>
                <w:lang w:val="en-US"/>
              </w:rPr>
              <w:t>a</w:t>
            </w:r>
            <w:r w:rsidRPr="00E16672">
              <w:rPr>
                <w:rFonts w:eastAsia="Times New Roman"/>
                <w:i w:val="0"/>
                <w:sz w:val="16"/>
                <w:szCs w:val="16"/>
                <w:lang w:val="uk-UA"/>
              </w:rPr>
              <w:t>.</w:t>
            </w:r>
          </w:p>
          <w:p w14:paraId="68805A63" w14:textId="77777777" w:rsidR="005C5318" w:rsidRPr="00E16672" w:rsidRDefault="005C5318" w:rsidP="005C5318">
            <w:pPr>
              <w:pStyle w:val="WW-1"/>
              <w:tabs>
                <w:tab w:val="left" w:pos="709"/>
              </w:tabs>
              <w:ind w:left="175" w:right="138"/>
              <w:jc w:val="both"/>
              <w:rPr>
                <w:rFonts w:eastAsia="Times New Roman"/>
                <w:i w:val="0"/>
                <w:sz w:val="16"/>
                <w:szCs w:val="16"/>
              </w:rPr>
            </w:pPr>
          </w:p>
        </w:tc>
        <w:tc>
          <w:tcPr>
            <w:tcW w:w="5495" w:type="dxa"/>
            <w:gridSpan w:val="6"/>
            <w:shd w:val="clear" w:color="auto" w:fill="auto"/>
          </w:tcPr>
          <w:p w14:paraId="1F187463" w14:textId="77777777" w:rsidR="005C5318" w:rsidRPr="00E16672" w:rsidRDefault="005C5318" w:rsidP="005C5318">
            <w:pPr>
              <w:pStyle w:val="210"/>
              <w:tabs>
                <w:tab w:val="left" w:pos="287"/>
                <w:tab w:val="left" w:pos="1191"/>
              </w:tabs>
              <w:snapToGrid w:val="0"/>
              <w:ind w:left="145" w:right="100" w:firstLine="0"/>
              <w:rPr>
                <w:rFonts w:ascii="Times New Roman" w:hAnsi="Times New Roman"/>
                <w:sz w:val="16"/>
                <w:szCs w:val="16"/>
                <w:lang w:val="en-GB"/>
              </w:rPr>
            </w:pPr>
            <w:r w:rsidRPr="00E16672">
              <w:rPr>
                <w:rFonts w:ascii="Times New Roman" w:hAnsi="Times New Roman"/>
                <w:sz w:val="16"/>
                <w:szCs w:val="16"/>
                <w:lang w:val="en-US"/>
              </w:rPr>
              <w:t>2.4</w:t>
            </w:r>
            <w:r w:rsidRPr="00E16672">
              <w:rPr>
                <w:rFonts w:ascii="Times New Roman" w:hAnsi="Times New Roman"/>
                <w:sz w:val="16"/>
                <w:szCs w:val="16"/>
                <w:lang w:val="en-GB"/>
              </w:rPr>
              <w:t xml:space="preserve">.5. To demand the Depository institution to keep the conditions of servicing of securities and </w:t>
            </w:r>
            <w:proofErr w:type="gramStart"/>
            <w:r w:rsidRPr="00E16672">
              <w:rPr>
                <w:rFonts w:ascii="Times New Roman" w:hAnsi="Times New Roman"/>
                <w:sz w:val="16"/>
                <w:szCs w:val="16"/>
                <w:lang w:val="en-GB"/>
              </w:rPr>
              <w:t>on  the</w:t>
            </w:r>
            <w:proofErr w:type="gramEnd"/>
            <w:r w:rsidRPr="00E16672">
              <w:rPr>
                <w:rFonts w:ascii="Times New Roman" w:hAnsi="Times New Roman"/>
                <w:sz w:val="16"/>
                <w:szCs w:val="16"/>
                <w:lang w:val="en-GB"/>
              </w:rPr>
              <w:t xml:space="preserve"> account in securities of Depositor, accounting of  rights on securities and restrictions on the accounts in securities of Depositor .</w:t>
            </w:r>
          </w:p>
          <w:p w14:paraId="0835CD70" w14:textId="77777777" w:rsidR="005C5318" w:rsidRPr="00E16672" w:rsidRDefault="005C5318" w:rsidP="005C5318">
            <w:pPr>
              <w:tabs>
                <w:tab w:val="left" w:pos="287"/>
              </w:tabs>
              <w:ind w:left="145" w:right="100"/>
              <w:jc w:val="center"/>
              <w:rPr>
                <w:rFonts w:ascii="Times New Roman" w:hAnsi="Times New Roman"/>
                <w:b/>
                <w:bCs/>
                <w:sz w:val="16"/>
                <w:szCs w:val="16"/>
                <w:lang w:val="en-GB"/>
              </w:rPr>
            </w:pPr>
          </w:p>
        </w:tc>
      </w:tr>
      <w:tr w:rsidR="005C5318" w:rsidRPr="00F23413" w14:paraId="38CEFB8A" w14:textId="77777777" w:rsidTr="005E418B">
        <w:trPr>
          <w:trHeight w:val="192"/>
        </w:trPr>
        <w:tc>
          <w:tcPr>
            <w:tcW w:w="5695" w:type="dxa"/>
            <w:gridSpan w:val="6"/>
            <w:shd w:val="clear" w:color="auto" w:fill="auto"/>
          </w:tcPr>
          <w:p w14:paraId="74C7C6E8" w14:textId="77777777" w:rsidR="005C5318" w:rsidRPr="00E16672" w:rsidRDefault="005C5318" w:rsidP="005C5318">
            <w:pPr>
              <w:pStyle w:val="WW-1"/>
              <w:tabs>
                <w:tab w:val="left" w:pos="709"/>
              </w:tabs>
              <w:snapToGrid w:val="0"/>
              <w:ind w:left="175" w:right="138"/>
              <w:jc w:val="both"/>
              <w:rPr>
                <w:rFonts w:eastAsia="Times New Roman"/>
                <w:i w:val="0"/>
                <w:sz w:val="16"/>
                <w:szCs w:val="16"/>
                <w:lang w:val="uk-UA"/>
              </w:rPr>
            </w:pPr>
            <w:r w:rsidRPr="00E16672">
              <w:rPr>
                <w:i w:val="0"/>
                <w:sz w:val="16"/>
                <w:szCs w:val="16"/>
              </w:rPr>
              <w:t>2.4</w:t>
            </w:r>
            <w:r w:rsidRPr="00E16672">
              <w:rPr>
                <w:rFonts w:eastAsia="Times New Roman"/>
                <w:i w:val="0"/>
                <w:sz w:val="16"/>
                <w:szCs w:val="16"/>
                <w:lang w:val="uk-UA"/>
              </w:rPr>
              <w:t>.</w:t>
            </w:r>
            <w:r w:rsidRPr="00E16672">
              <w:rPr>
                <w:rFonts w:eastAsia="Times New Roman"/>
                <w:i w:val="0"/>
                <w:sz w:val="16"/>
                <w:szCs w:val="16"/>
              </w:rPr>
              <w:t>6</w:t>
            </w:r>
            <w:r w:rsidRPr="00E16672">
              <w:rPr>
                <w:rFonts w:eastAsia="Times New Roman"/>
                <w:i w:val="0"/>
                <w:sz w:val="16"/>
                <w:szCs w:val="16"/>
                <w:lang w:val="uk-UA"/>
              </w:rPr>
              <w:t xml:space="preserve">. У випадку початку Депозитарною установою  процедури припинення </w:t>
            </w:r>
            <w:r w:rsidRPr="00E16672">
              <w:rPr>
                <w:rFonts w:eastAsia="Times New Roman"/>
                <w:i w:val="0"/>
                <w:sz w:val="16"/>
                <w:szCs w:val="16"/>
                <w:lang w:val="uk-UA"/>
              </w:rPr>
              <w:lastRenderedPageBreak/>
              <w:t xml:space="preserve">ним провадження професійної діяльності на фондовому ринку - депозитарної діяльності, а саме депозитарної діяльності депозитарної установи відповідно до вимог  нормативно-правового </w:t>
            </w:r>
            <w:proofErr w:type="spellStart"/>
            <w:r w:rsidRPr="00E16672">
              <w:rPr>
                <w:rFonts w:eastAsia="Times New Roman"/>
                <w:i w:val="0"/>
                <w:sz w:val="16"/>
                <w:szCs w:val="16"/>
                <w:lang w:val="uk-UA"/>
              </w:rPr>
              <w:t>акта</w:t>
            </w:r>
            <w:proofErr w:type="spellEnd"/>
            <w:r w:rsidRPr="00E16672">
              <w:rPr>
                <w:rFonts w:eastAsia="Times New Roman"/>
                <w:i w:val="0"/>
                <w:sz w:val="16"/>
                <w:szCs w:val="16"/>
                <w:lang w:val="uk-UA"/>
              </w:rPr>
              <w:t xml:space="preserve"> щодо припинення депозитарної діяльності депозитарної установи, надавати тільки ті розпорядження щодо  цінних паперів, що належать йому, виконання яких не заборонено законодавством.</w:t>
            </w:r>
          </w:p>
          <w:p w14:paraId="2F26AD64" w14:textId="77777777" w:rsidR="005C5318" w:rsidRPr="00E16672" w:rsidRDefault="005C5318" w:rsidP="005C5318">
            <w:pPr>
              <w:pStyle w:val="WW-1"/>
              <w:tabs>
                <w:tab w:val="left" w:pos="709"/>
              </w:tabs>
              <w:ind w:left="175" w:right="138"/>
              <w:jc w:val="both"/>
              <w:rPr>
                <w:rFonts w:eastAsia="Times New Roman"/>
                <w:i w:val="0"/>
                <w:sz w:val="16"/>
                <w:szCs w:val="16"/>
              </w:rPr>
            </w:pPr>
          </w:p>
        </w:tc>
        <w:tc>
          <w:tcPr>
            <w:tcW w:w="5495" w:type="dxa"/>
            <w:gridSpan w:val="6"/>
            <w:shd w:val="clear" w:color="auto" w:fill="auto"/>
          </w:tcPr>
          <w:p w14:paraId="79D69996" w14:textId="77777777" w:rsidR="005C5318" w:rsidRPr="00E16672" w:rsidRDefault="005C5318" w:rsidP="002B2E4C">
            <w:pPr>
              <w:pStyle w:val="210"/>
              <w:tabs>
                <w:tab w:val="left" w:pos="287"/>
                <w:tab w:val="left" w:pos="1191"/>
              </w:tabs>
              <w:snapToGrid w:val="0"/>
              <w:ind w:left="145" w:right="100" w:firstLine="0"/>
              <w:rPr>
                <w:rFonts w:ascii="Times New Roman" w:hAnsi="Times New Roman"/>
                <w:sz w:val="16"/>
                <w:szCs w:val="16"/>
              </w:rPr>
            </w:pPr>
            <w:r w:rsidRPr="00E16672">
              <w:rPr>
                <w:rFonts w:ascii="Times New Roman" w:hAnsi="Times New Roman"/>
                <w:sz w:val="16"/>
                <w:szCs w:val="16"/>
                <w:lang w:val="en-US"/>
              </w:rPr>
              <w:lastRenderedPageBreak/>
              <w:t>2.4</w:t>
            </w:r>
            <w:r w:rsidRPr="00E16672">
              <w:rPr>
                <w:rFonts w:ascii="Times New Roman" w:hAnsi="Times New Roman"/>
                <w:sz w:val="16"/>
                <w:szCs w:val="16"/>
              </w:rPr>
              <w:t>.</w:t>
            </w:r>
            <w:r w:rsidRPr="00E16672">
              <w:rPr>
                <w:rFonts w:ascii="Times New Roman" w:hAnsi="Times New Roman"/>
                <w:sz w:val="16"/>
                <w:szCs w:val="16"/>
                <w:lang w:val="en-US"/>
              </w:rPr>
              <w:t>6</w:t>
            </w:r>
            <w:r w:rsidRPr="00E16672">
              <w:rPr>
                <w:rFonts w:ascii="Times New Roman" w:hAnsi="Times New Roman"/>
                <w:sz w:val="16"/>
                <w:szCs w:val="16"/>
              </w:rPr>
              <w:t xml:space="preserve">. </w:t>
            </w:r>
            <w:proofErr w:type="spellStart"/>
            <w:r w:rsidRPr="00E16672">
              <w:rPr>
                <w:rFonts w:ascii="Times New Roman" w:hAnsi="Times New Roman"/>
                <w:sz w:val="16"/>
                <w:szCs w:val="16"/>
              </w:rPr>
              <w:t>In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case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beginning</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by</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Depository</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institution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procedure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of</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stopping</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lastRenderedPageBreak/>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exercise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of</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professional</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activity</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stock</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market</w:t>
            </w:r>
            <w:proofErr w:type="spellEnd"/>
            <w:r w:rsidRPr="00E16672">
              <w:rPr>
                <w:rFonts w:ascii="Times New Roman" w:hAnsi="Times New Roman"/>
                <w:sz w:val="16"/>
                <w:szCs w:val="16"/>
              </w:rPr>
              <w:t xml:space="preserve"> - </w:t>
            </w:r>
            <w:proofErr w:type="spellStart"/>
            <w:r w:rsidRPr="00E16672">
              <w:rPr>
                <w:rFonts w:ascii="Times New Roman" w:hAnsi="Times New Roman"/>
                <w:sz w:val="16"/>
                <w:szCs w:val="16"/>
              </w:rPr>
              <w:t>depository</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activities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of</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Depository</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institution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in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accordance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with</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legal</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act</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as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to</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stopping</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depository</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activity</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of</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Depository</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institution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provide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only</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orders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of</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securities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owned</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by</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him</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performance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of</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which</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is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not</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prohibited</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by</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law</w:t>
            </w:r>
            <w:proofErr w:type="spellEnd"/>
            <w:r w:rsidRPr="00E16672">
              <w:rPr>
                <w:rFonts w:ascii="Times New Roman" w:hAnsi="Times New Roman"/>
                <w:sz w:val="16"/>
                <w:szCs w:val="16"/>
              </w:rPr>
              <w:t>.</w:t>
            </w:r>
          </w:p>
        </w:tc>
      </w:tr>
      <w:tr w:rsidR="005C5318" w:rsidRPr="00F23413" w14:paraId="5F8CCEE7" w14:textId="77777777" w:rsidTr="005E418B">
        <w:trPr>
          <w:trHeight w:val="192"/>
        </w:trPr>
        <w:tc>
          <w:tcPr>
            <w:tcW w:w="5695" w:type="dxa"/>
            <w:gridSpan w:val="6"/>
            <w:shd w:val="clear" w:color="auto" w:fill="auto"/>
          </w:tcPr>
          <w:p w14:paraId="7794B445" w14:textId="77777777" w:rsidR="005C5318" w:rsidRPr="00E16672" w:rsidRDefault="005C5318" w:rsidP="00022F5F">
            <w:pPr>
              <w:ind w:left="175" w:right="138" w:firstLine="0"/>
              <w:jc w:val="left"/>
              <w:rPr>
                <w:rFonts w:ascii="Times New Roman" w:hAnsi="Times New Roman"/>
                <w:color w:val="000000"/>
                <w:sz w:val="16"/>
                <w:szCs w:val="16"/>
                <w:lang w:val="uk-UA"/>
              </w:rPr>
            </w:pPr>
            <w:r w:rsidRPr="00E16672">
              <w:rPr>
                <w:rFonts w:ascii="Times New Roman" w:hAnsi="Times New Roman"/>
                <w:color w:val="000000"/>
                <w:sz w:val="16"/>
                <w:szCs w:val="16"/>
                <w:lang w:val="uk-UA"/>
              </w:rPr>
              <w:lastRenderedPageBreak/>
              <w:t xml:space="preserve">2.4.7. </w:t>
            </w:r>
            <w:r w:rsidRPr="00E16672">
              <w:rPr>
                <w:rFonts w:ascii="Times New Roman" w:hAnsi="Times New Roman"/>
                <w:bCs/>
                <w:color w:val="000000"/>
                <w:sz w:val="16"/>
                <w:szCs w:val="16"/>
                <w:lang w:val="uk-UA"/>
              </w:rPr>
              <w:t>Н</w:t>
            </w:r>
            <w:r w:rsidRPr="00E16672">
              <w:rPr>
                <w:rFonts w:ascii="Times New Roman" w:hAnsi="Times New Roman"/>
                <w:color w:val="000000"/>
                <w:sz w:val="16"/>
                <w:szCs w:val="16"/>
                <w:lang w:val="uk-UA"/>
              </w:rPr>
              <w:t xml:space="preserve">адавати Депозитарній установі інформацію лише щодо одного торговця цінними паперами, якому Депонентом надані повноваження на вчинення правочинів щодо цінних паперів в інтересах Депонента, які виконуються із забезпеченням здійснення розрахунків за правочинами щодо цінних паперів з дотриманням принципу </w:t>
            </w:r>
            <w:r w:rsidR="00022F5F">
              <w:rPr>
                <w:rFonts w:ascii="Times New Roman" w:hAnsi="Times New Roman"/>
                <w:color w:val="000000"/>
                <w:sz w:val="16"/>
                <w:szCs w:val="16"/>
                <w:lang w:val="uk-UA"/>
              </w:rPr>
              <w:t>"</w:t>
            </w:r>
            <w:r w:rsidRPr="00E16672">
              <w:rPr>
                <w:rFonts w:ascii="Times New Roman" w:hAnsi="Times New Roman"/>
                <w:color w:val="000000"/>
                <w:sz w:val="16"/>
                <w:szCs w:val="16"/>
                <w:lang w:val="uk-UA"/>
              </w:rPr>
              <w:t>поставка цінних паперів проти оплати</w:t>
            </w:r>
            <w:r w:rsidR="00022F5F">
              <w:rPr>
                <w:rFonts w:ascii="Times New Roman" w:hAnsi="Times New Roman"/>
                <w:color w:val="000000"/>
                <w:sz w:val="16"/>
                <w:szCs w:val="16"/>
                <w:lang w:val="uk-UA"/>
              </w:rPr>
              <w:t>"</w:t>
            </w:r>
            <w:r w:rsidRPr="00E16672">
              <w:rPr>
                <w:rFonts w:ascii="Times New Roman" w:hAnsi="Times New Roman"/>
                <w:color w:val="000000"/>
                <w:sz w:val="16"/>
                <w:szCs w:val="16"/>
                <w:lang w:val="uk-UA"/>
              </w:rPr>
              <w:t>.</w:t>
            </w:r>
          </w:p>
          <w:p w14:paraId="1ED4C4C9" w14:textId="77777777" w:rsidR="005C5318" w:rsidRPr="00E16672" w:rsidRDefault="005C5318" w:rsidP="005C5318">
            <w:pPr>
              <w:pStyle w:val="WW-1"/>
              <w:tabs>
                <w:tab w:val="left" w:pos="709"/>
              </w:tabs>
              <w:snapToGrid w:val="0"/>
              <w:ind w:left="175" w:right="138"/>
              <w:jc w:val="both"/>
              <w:rPr>
                <w:i w:val="0"/>
                <w:color w:val="000000"/>
                <w:sz w:val="16"/>
                <w:szCs w:val="16"/>
                <w:lang w:val="uk-UA"/>
              </w:rPr>
            </w:pPr>
          </w:p>
        </w:tc>
        <w:tc>
          <w:tcPr>
            <w:tcW w:w="5495" w:type="dxa"/>
            <w:gridSpan w:val="6"/>
            <w:shd w:val="clear" w:color="auto" w:fill="auto"/>
          </w:tcPr>
          <w:p w14:paraId="638E2776" w14:textId="77777777" w:rsidR="005C5318" w:rsidRPr="00E16672" w:rsidRDefault="005C5318" w:rsidP="00022F5F">
            <w:pPr>
              <w:pStyle w:val="210"/>
              <w:tabs>
                <w:tab w:val="left" w:pos="287"/>
                <w:tab w:val="left" w:pos="1191"/>
              </w:tabs>
              <w:snapToGrid w:val="0"/>
              <w:ind w:left="145" w:right="100" w:firstLine="0"/>
              <w:jc w:val="left"/>
              <w:rPr>
                <w:rFonts w:ascii="Times New Roman" w:hAnsi="Times New Roman"/>
                <w:color w:val="000000"/>
                <w:sz w:val="16"/>
                <w:szCs w:val="16"/>
                <w:lang w:val="en-US"/>
              </w:rPr>
            </w:pPr>
            <w:r w:rsidRPr="00E16672">
              <w:rPr>
                <w:rFonts w:ascii="Times New Roman" w:hAnsi="Times New Roman"/>
                <w:color w:val="000000"/>
                <w:sz w:val="16"/>
                <w:szCs w:val="16"/>
              </w:rPr>
              <w:t>2.</w:t>
            </w:r>
            <w:r w:rsidRPr="00E16672">
              <w:rPr>
                <w:rFonts w:ascii="Times New Roman" w:hAnsi="Times New Roman"/>
                <w:color w:val="000000"/>
                <w:sz w:val="16"/>
                <w:szCs w:val="16"/>
                <w:lang w:val="en-US"/>
              </w:rPr>
              <w:t>4</w:t>
            </w:r>
            <w:r w:rsidRPr="00E16672">
              <w:rPr>
                <w:rFonts w:ascii="Times New Roman" w:hAnsi="Times New Roman"/>
                <w:color w:val="000000"/>
                <w:sz w:val="16"/>
                <w:szCs w:val="16"/>
              </w:rPr>
              <w:t>.</w:t>
            </w:r>
            <w:r w:rsidRPr="00E16672">
              <w:rPr>
                <w:rFonts w:ascii="Times New Roman" w:hAnsi="Times New Roman"/>
                <w:color w:val="000000"/>
                <w:sz w:val="16"/>
                <w:szCs w:val="16"/>
                <w:lang w:val="en-US"/>
              </w:rPr>
              <w:t>7</w:t>
            </w:r>
            <w:r w:rsidRPr="00E16672">
              <w:rPr>
                <w:rFonts w:ascii="Times New Roman" w:hAnsi="Times New Roman"/>
                <w:color w:val="000000"/>
                <w:sz w:val="16"/>
                <w:szCs w:val="16"/>
              </w:rPr>
              <w:t xml:space="preserve">. </w:t>
            </w:r>
            <w:r w:rsidRPr="00E16672">
              <w:rPr>
                <w:rFonts w:ascii="Times New Roman" w:hAnsi="Times New Roman"/>
                <w:color w:val="000000"/>
                <w:sz w:val="16"/>
                <w:szCs w:val="16"/>
                <w:lang w:val="en-US"/>
              </w:rPr>
              <w:t>P</w:t>
            </w:r>
            <w:proofErr w:type="spellStart"/>
            <w:r w:rsidRPr="00E16672">
              <w:rPr>
                <w:rFonts w:ascii="Times New Roman" w:hAnsi="Times New Roman"/>
                <w:color w:val="000000"/>
                <w:sz w:val="16"/>
                <w:szCs w:val="16"/>
              </w:rPr>
              <w:t>rovide</w:t>
            </w:r>
            <w:proofErr w:type="spellEnd"/>
            <w:r w:rsidRPr="00E16672">
              <w:rPr>
                <w:rFonts w:ascii="Times New Roman" w:hAnsi="Times New Roman"/>
                <w:color w:val="000000"/>
                <w:sz w:val="16"/>
                <w:szCs w:val="16"/>
              </w:rPr>
              <w:t xml:space="preserve"> </w:t>
            </w:r>
            <w:r w:rsidRPr="00E16672">
              <w:rPr>
                <w:rFonts w:ascii="Times New Roman" w:hAnsi="Times New Roman"/>
                <w:color w:val="000000"/>
                <w:sz w:val="16"/>
                <w:szCs w:val="16"/>
                <w:lang w:val="en-US"/>
              </w:rPr>
              <w:t>D</w:t>
            </w:r>
            <w:proofErr w:type="spellStart"/>
            <w:r w:rsidRPr="00E16672">
              <w:rPr>
                <w:rFonts w:ascii="Times New Roman" w:hAnsi="Times New Roman"/>
                <w:color w:val="000000"/>
                <w:sz w:val="16"/>
                <w:szCs w:val="16"/>
              </w:rPr>
              <w:t>epository</w:t>
            </w:r>
            <w:proofErr w:type="spellEnd"/>
            <w:r w:rsidRPr="00E16672">
              <w:rPr>
                <w:rFonts w:ascii="Times New Roman" w:hAnsi="Times New Roman"/>
                <w:color w:val="000000"/>
                <w:sz w:val="16"/>
                <w:szCs w:val="16"/>
              </w:rPr>
              <w:t xml:space="preserve"> </w:t>
            </w:r>
            <w:r w:rsidRPr="00E16672">
              <w:rPr>
                <w:rFonts w:ascii="Times New Roman" w:hAnsi="Times New Roman"/>
                <w:color w:val="000000"/>
                <w:sz w:val="16"/>
                <w:szCs w:val="16"/>
                <w:lang w:val="en-US"/>
              </w:rPr>
              <w:t xml:space="preserve">institution information only about one - securities </w:t>
            </w:r>
            <w:proofErr w:type="spellStart"/>
            <w:r w:rsidRPr="00E16672">
              <w:rPr>
                <w:rFonts w:ascii="Times New Roman" w:hAnsi="Times New Roman"/>
                <w:color w:val="000000"/>
                <w:sz w:val="16"/>
                <w:szCs w:val="16"/>
              </w:rPr>
              <w:t>trader</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which</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the</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Depositor</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empowered</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to</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commit</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transactions</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in</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securities</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for</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the</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benefit</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of</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the</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Depositor</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performed</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with</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providing</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making</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payments</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of</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transactions</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in</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securities</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compliance</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with</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principle</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of</w:t>
            </w:r>
            <w:proofErr w:type="spellEnd"/>
            <w:r w:rsidRPr="00E16672">
              <w:rPr>
                <w:rFonts w:ascii="Times New Roman" w:hAnsi="Times New Roman"/>
                <w:color w:val="000000"/>
                <w:sz w:val="16"/>
                <w:szCs w:val="16"/>
              </w:rPr>
              <w:t xml:space="preserve"> </w:t>
            </w:r>
            <w:r w:rsidR="00022F5F">
              <w:rPr>
                <w:rFonts w:ascii="Times New Roman" w:hAnsi="Times New Roman"/>
                <w:color w:val="000000"/>
                <w:sz w:val="16"/>
                <w:szCs w:val="16"/>
                <w:lang w:val="en-US"/>
              </w:rPr>
              <w:t>"</w:t>
            </w:r>
            <w:proofErr w:type="spellStart"/>
            <w:r w:rsidRPr="00E16672">
              <w:rPr>
                <w:rFonts w:ascii="Times New Roman" w:hAnsi="Times New Roman"/>
                <w:color w:val="000000"/>
                <w:sz w:val="16"/>
                <w:szCs w:val="16"/>
              </w:rPr>
              <w:t>supply</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of</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securities</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against</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payment</w:t>
            </w:r>
            <w:proofErr w:type="spellEnd"/>
            <w:r w:rsidRPr="00E16672">
              <w:rPr>
                <w:rFonts w:ascii="Times New Roman" w:hAnsi="Times New Roman"/>
                <w:color w:val="000000"/>
                <w:sz w:val="16"/>
                <w:szCs w:val="16"/>
              </w:rPr>
              <w:t>.</w:t>
            </w:r>
            <w:r w:rsidR="00022F5F">
              <w:rPr>
                <w:rFonts w:ascii="Times New Roman" w:hAnsi="Times New Roman"/>
                <w:color w:val="000000"/>
                <w:sz w:val="16"/>
                <w:szCs w:val="16"/>
                <w:lang w:val="en-US"/>
              </w:rPr>
              <w:t>"</w:t>
            </w:r>
            <w:r w:rsidRPr="00E16672">
              <w:rPr>
                <w:rFonts w:ascii="Times New Roman" w:hAnsi="Times New Roman"/>
                <w:color w:val="000000"/>
                <w:sz w:val="16"/>
                <w:szCs w:val="16"/>
                <w:lang w:val="en-US"/>
              </w:rPr>
              <w:t>.</w:t>
            </w:r>
          </w:p>
        </w:tc>
      </w:tr>
      <w:tr w:rsidR="00BA1F32" w:rsidRPr="00F23413" w14:paraId="67B6DFBD" w14:textId="77777777" w:rsidTr="005E418B">
        <w:trPr>
          <w:trHeight w:val="192"/>
        </w:trPr>
        <w:tc>
          <w:tcPr>
            <w:tcW w:w="5695" w:type="dxa"/>
            <w:gridSpan w:val="6"/>
            <w:shd w:val="clear" w:color="auto" w:fill="auto"/>
          </w:tcPr>
          <w:p w14:paraId="37EA697B" w14:textId="77777777" w:rsidR="00BA1F32" w:rsidRPr="00E16672" w:rsidRDefault="00BA1F32" w:rsidP="00022F5F">
            <w:pPr>
              <w:ind w:left="175" w:right="138" w:firstLine="0"/>
              <w:jc w:val="left"/>
              <w:rPr>
                <w:rFonts w:ascii="Times New Roman" w:hAnsi="Times New Roman"/>
                <w:color w:val="000000"/>
                <w:sz w:val="16"/>
                <w:szCs w:val="16"/>
                <w:lang w:val="uk-UA"/>
              </w:rPr>
            </w:pPr>
            <w:r w:rsidRPr="00E16672">
              <w:rPr>
                <w:rFonts w:ascii="Times New Roman" w:hAnsi="Times New Roman"/>
                <w:color w:val="000000"/>
                <w:sz w:val="16"/>
                <w:szCs w:val="16"/>
                <w:lang w:val="en-US"/>
              </w:rPr>
              <w:t xml:space="preserve">2.4.8. </w:t>
            </w:r>
            <w:proofErr w:type="spellStart"/>
            <w:r w:rsidRPr="00E16672">
              <w:rPr>
                <w:rFonts w:ascii="Times New Roman" w:hAnsi="Times New Roman"/>
                <w:color w:val="000000"/>
                <w:sz w:val="16"/>
                <w:szCs w:val="16"/>
              </w:rPr>
              <w:t>Отримувати</w:t>
            </w:r>
            <w:proofErr w:type="spellEnd"/>
            <w:r w:rsidRPr="00E16672">
              <w:rPr>
                <w:rFonts w:ascii="Times New Roman" w:hAnsi="Times New Roman"/>
                <w:color w:val="000000"/>
                <w:sz w:val="16"/>
                <w:szCs w:val="16"/>
                <w:lang w:val="en-US"/>
              </w:rPr>
              <w:t xml:space="preserve"> </w:t>
            </w:r>
            <w:proofErr w:type="spellStart"/>
            <w:r w:rsidRPr="00E16672">
              <w:rPr>
                <w:rFonts w:ascii="Times New Roman" w:hAnsi="Times New Roman"/>
                <w:color w:val="000000"/>
                <w:sz w:val="16"/>
                <w:szCs w:val="16"/>
              </w:rPr>
              <w:t>інформацію</w:t>
            </w:r>
            <w:proofErr w:type="spellEnd"/>
            <w:r w:rsidRPr="00E16672">
              <w:rPr>
                <w:rFonts w:ascii="Times New Roman" w:hAnsi="Times New Roman"/>
                <w:color w:val="000000"/>
                <w:sz w:val="16"/>
                <w:szCs w:val="16"/>
                <w:lang w:val="en-US"/>
              </w:rPr>
              <w:t xml:space="preserve"> </w:t>
            </w:r>
            <w:r w:rsidRPr="00E16672">
              <w:rPr>
                <w:rFonts w:ascii="Times New Roman" w:hAnsi="Times New Roman"/>
                <w:color w:val="000000"/>
                <w:sz w:val="16"/>
                <w:szCs w:val="16"/>
              </w:rPr>
              <w:t>про</w:t>
            </w:r>
            <w:r w:rsidRPr="00E16672">
              <w:rPr>
                <w:rFonts w:ascii="Times New Roman" w:hAnsi="Times New Roman"/>
                <w:color w:val="000000"/>
                <w:sz w:val="16"/>
                <w:szCs w:val="16"/>
                <w:lang w:val="en-US"/>
              </w:rPr>
              <w:t xml:space="preserve"> </w:t>
            </w:r>
            <w:proofErr w:type="spellStart"/>
            <w:r w:rsidRPr="00E16672">
              <w:rPr>
                <w:rFonts w:ascii="Times New Roman" w:hAnsi="Times New Roman"/>
                <w:color w:val="000000"/>
                <w:sz w:val="16"/>
                <w:szCs w:val="16"/>
              </w:rPr>
              <w:t>умови</w:t>
            </w:r>
            <w:proofErr w:type="spellEnd"/>
            <w:r w:rsidRPr="00E16672">
              <w:rPr>
                <w:rFonts w:ascii="Times New Roman" w:hAnsi="Times New Roman"/>
                <w:color w:val="000000"/>
                <w:sz w:val="16"/>
                <w:szCs w:val="16"/>
                <w:lang w:val="en-US"/>
              </w:rPr>
              <w:t xml:space="preserve"> </w:t>
            </w:r>
            <w:r w:rsidRPr="00E16672">
              <w:rPr>
                <w:rFonts w:ascii="Times New Roman" w:hAnsi="Times New Roman"/>
                <w:color w:val="000000"/>
                <w:sz w:val="16"/>
                <w:szCs w:val="16"/>
              </w:rPr>
              <w:t>та</w:t>
            </w:r>
            <w:r w:rsidRPr="00E16672">
              <w:rPr>
                <w:rFonts w:ascii="Times New Roman" w:hAnsi="Times New Roman"/>
                <w:color w:val="000000"/>
                <w:sz w:val="16"/>
                <w:szCs w:val="16"/>
                <w:lang w:val="en-US"/>
              </w:rPr>
              <w:t xml:space="preserve"> </w:t>
            </w:r>
            <w:r w:rsidRPr="00E16672">
              <w:rPr>
                <w:rFonts w:ascii="Times New Roman" w:hAnsi="Times New Roman"/>
                <w:color w:val="000000"/>
                <w:sz w:val="16"/>
                <w:szCs w:val="16"/>
              </w:rPr>
              <w:t>порядок</w:t>
            </w:r>
            <w:r w:rsidRPr="00E16672">
              <w:rPr>
                <w:rFonts w:ascii="Times New Roman" w:hAnsi="Times New Roman"/>
                <w:color w:val="000000"/>
                <w:sz w:val="16"/>
                <w:szCs w:val="16"/>
                <w:lang w:val="en-US"/>
              </w:rPr>
              <w:t xml:space="preserve"> </w:t>
            </w:r>
            <w:proofErr w:type="spellStart"/>
            <w:r w:rsidRPr="00E16672">
              <w:rPr>
                <w:rFonts w:ascii="Times New Roman" w:hAnsi="Times New Roman"/>
                <w:color w:val="000000"/>
                <w:sz w:val="16"/>
                <w:szCs w:val="16"/>
              </w:rPr>
              <w:t>діяльності</w:t>
            </w:r>
            <w:proofErr w:type="spellEnd"/>
            <w:r w:rsidRPr="00E16672">
              <w:rPr>
                <w:rFonts w:ascii="Times New Roman" w:hAnsi="Times New Roman"/>
                <w:color w:val="000000"/>
                <w:sz w:val="16"/>
                <w:szCs w:val="16"/>
                <w:lang w:val="en-US"/>
              </w:rPr>
              <w:t xml:space="preserve"> </w:t>
            </w:r>
            <w:proofErr w:type="spellStart"/>
            <w:r w:rsidRPr="00E16672">
              <w:rPr>
                <w:rFonts w:ascii="Times New Roman" w:hAnsi="Times New Roman"/>
                <w:color w:val="000000"/>
                <w:sz w:val="16"/>
                <w:szCs w:val="16"/>
              </w:rPr>
              <w:t>депозитарної</w:t>
            </w:r>
            <w:proofErr w:type="spellEnd"/>
            <w:r w:rsidRPr="00E16672">
              <w:rPr>
                <w:rFonts w:ascii="Times New Roman" w:hAnsi="Times New Roman"/>
                <w:color w:val="000000"/>
                <w:sz w:val="16"/>
                <w:szCs w:val="16"/>
                <w:lang w:val="en-US"/>
              </w:rPr>
              <w:t xml:space="preserve"> </w:t>
            </w:r>
            <w:r w:rsidRPr="00E16672">
              <w:rPr>
                <w:rFonts w:ascii="Times New Roman" w:hAnsi="Times New Roman"/>
                <w:color w:val="000000"/>
                <w:sz w:val="16"/>
                <w:szCs w:val="16"/>
              </w:rPr>
              <w:t>установи</w:t>
            </w:r>
            <w:r w:rsidRPr="00E16672">
              <w:rPr>
                <w:rFonts w:ascii="Times New Roman" w:hAnsi="Times New Roman"/>
                <w:color w:val="000000"/>
                <w:sz w:val="16"/>
                <w:szCs w:val="16"/>
                <w:lang w:val="en-US"/>
              </w:rPr>
              <w:t xml:space="preserve"> </w:t>
            </w:r>
            <w:r w:rsidRPr="00E16672">
              <w:rPr>
                <w:rFonts w:ascii="Times New Roman" w:hAnsi="Times New Roman"/>
                <w:color w:val="000000"/>
                <w:sz w:val="16"/>
                <w:szCs w:val="16"/>
              </w:rPr>
              <w:t>з</w:t>
            </w:r>
            <w:r w:rsidRPr="00E16672">
              <w:rPr>
                <w:rFonts w:ascii="Times New Roman" w:hAnsi="Times New Roman"/>
                <w:color w:val="000000"/>
                <w:sz w:val="16"/>
                <w:szCs w:val="16"/>
                <w:lang w:val="en-US"/>
              </w:rPr>
              <w:t xml:space="preserve"> </w:t>
            </w:r>
            <w:proofErr w:type="spellStart"/>
            <w:r w:rsidRPr="00E16672">
              <w:rPr>
                <w:rFonts w:ascii="Times New Roman" w:hAnsi="Times New Roman"/>
                <w:color w:val="000000"/>
                <w:sz w:val="16"/>
                <w:szCs w:val="16"/>
              </w:rPr>
              <w:t>урахуванням</w:t>
            </w:r>
            <w:proofErr w:type="spellEnd"/>
            <w:r w:rsidRPr="00E16672">
              <w:rPr>
                <w:rFonts w:ascii="Times New Roman" w:hAnsi="Times New Roman"/>
                <w:color w:val="000000"/>
                <w:sz w:val="16"/>
                <w:szCs w:val="16"/>
                <w:lang w:val="en-US"/>
              </w:rPr>
              <w:t xml:space="preserve"> </w:t>
            </w:r>
            <w:proofErr w:type="spellStart"/>
            <w:r w:rsidRPr="00E16672">
              <w:rPr>
                <w:rFonts w:ascii="Times New Roman" w:hAnsi="Times New Roman"/>
                <w:color w:val="000000"/>
                <w:sz w:val="16"/>
                <w:szCs w:val="16"/>
              </w:rPr>
              <w:t>вимог</w:t>
            </w:r>
            <w:proofErr w:type="spellEnd"/>
            <w:r w:rsidRPr="00E16672">
              <w:rPr>
                <w:rFonts w:ascii="Times New Roman" w:hAnsi="Times New Roman"/>
                <w:color w:val="000000"/>
                <w:sz w:val="16"/>
                <w:szCs w:val="16"/>
                <w:lang w:val="en-US"/>
              </w:rPr>
              <w:t xml:space="preserve">, </w:t>
            </w:r>
            <w:proofErr w:type="spellStart"/>
            <w:r w:rsidRPr="00E16672">
              <w:rPr>
                <w:rFonts w:ascii="Times New Roman" w:hAnsi="Times New Roman"/>
                <w:color w:val="000000"/>
                <w:sz w:val="16"/>
                <w:szCs w:val="16"/>
              </w:rPr>
              <w:t>встановлених</w:t>
            </w:r>
            <w:proofErr w:type="spellEnd"/>
            <w:r w:rsidRPr="00E16672">
              <w:rPr>
                <w:rFonts w:ascii="Times New Roman" w:hAnsi="Times New Roman"/>
                <w:color w:val="000000"/>
                <w:sz w:val="16"/>
                <w:szCs w:val="16"/>
                <w:lang w:val="en-US"/>
              </w:rPr>
              <w:t> </w:t>
            </w:r>
            <w:proofErr w:type="spellStart"/>
            <w:r w:rsidRPr="00E16672">
              <w:rPr>
                <w:rFonts w:ascii="Times New Roman" w:hAnsi="Times New Roman"/>
                <w:color w:val="000000"/>
                <w:sz w:val="16"/>
                <w:szCs w:val="16"/>
              </w:rPr>
              <w:t>частиною</w:t>
            </w:r>
            <w:proofErr w:type="spellEnd"/>
            <w:r w:rsidRPr="00E16672">
              <w:rPr>
                <w:rFonts w:ascii="Times New Roman" w:hAnsi="Times New Roman"/>
                <w:color w:val="000000"/>
                <w:sz w:val="16"/>
                <w:szCs w:val="16"/>
                <w:lang w:val="en-US"/>
              </w:rPr>
              <w:t xml:space="preserve"> </w:t>
            </w:r>
            <w:proofErr w:type="spellStart"/>
            <w:r w:rsidRPr="00E16672">
              <w:rPr>
                <w:rFonts w:ascii="Times New Roman" w:hAnsi="Times New Roman"/>
                <w:color w:val="000000"/>
                <w:sz w:val="16"/>
                <w:szCs w:val="16"/>
              </w:rPr>
              <w:t>першою</w:t>
            </w:r>
            <w:proofErr w:type="spellEnd"/>
            <w:r w:rsidRPr="00E16672">
              <w:rPr>
                <w:rFonts w:ascii="Times New Roman" w:hAnsi="Times New Roman"/>
                <w:color w:val="000000"/>
                <w:sz w:val="16"/>
                <w:szCs w:val="16"/>
                <w:lang w:val="en-US"/>
              </w:rPr>
              <w:t xml:space="preserve"> </w:t>
            </w:r>
            <w:proofErr w:type="spellStart"/>
            <w:r w:rsidRPr="00E16672">
              <w:rPr>
                <w:rFonts w:ascii="Times New Roman" w:hAnsi="Times New Roman"/>
                <w:color w:val="000000"/>
                <w:sz w:val="16"/>
                <w:szCs w:val="16"/>
              </w:rPr>
              <w:t>статті</w:t>
            </w:r>
            <w:proofErr w:type="spellEnd"/>
            <w:r w:rsidRPr="00E16672">
              <w:rPr>
                <w:rFonts w:ascii="Times New Roman" w:hAnsi="Times New Roman"/>
                <w:color w:val="000000"/>
                <w:sz w:val="16"/>
                <w:szCs w:val="16"/>
                <w:lang w:val="en-US"/>
              </w:rPr>
              <w:t xml:space="preserve"> 12 </w:t>
            </w:r>
            <w:r w:rsidRPr="00E16672">
              <w:rPr>
                <w:rFonts w:ascii="Times New Roman" w:hAnsi="Times New Roman"/>
                <w:color w:val="000000"/>
                <w:sz w:val="16"/>
                <w:szCs w:val="16"/>
              </w:rPr>
              <w:t>Закону</w:t>
            </w:r>
            <w:r w:rsidRPr="00E16672">
              <w:rPr>
                <w:rFonts w:ascii="Times New Roman" w:hAnsi="Times New Roman"/>
                <w:color w:val="000000"/>
                <w:sz w:val="16"/>
                <w:szCs w:val="16"/>
                <w:lang w:val="en-US"/>
              </w:rPr>
              <w:t xml:space="preserve"> </w:t>
            </w:r>
            <w:proofErr w:type="spellStart"/>
            <w:r w:rsidRPr="00E16672">
              <w:rPr>
                <w:rFonts w:ascii="Times New Roman" w:hAnsi="Times New Roman"/>
                <w:color w:val="000000"/>
                <w:sz w:val="16"/>
                <w:szCs w:val="16"/>
              </w:rPr>
              <w:t>України</w:t>
            </w:r>
            <w:proofErr w:type="spellEnd"/>
            <w:r w:rsidRPr="00E16672">
              <w:rPr>
                <w:rFonts w:ascii="Times New Roman" w:hAnsi="Times New Roman"/>
                <w:color w:val="000000"/>
                <w:sz w:val="16"/>
                <w:szCs w:val="16"/>
                <w:lang w:val="en-US"/>
              </w:rPr>
              <w:t xml:space="preserve"> </w:t>
            </w:r>
            <w:r w:rsidR="00022F5F">
              <w:rPr>
                <w:rFonts w:ascii="Times New Roman" w:hAnsi="Times New Roman"/>
                <w:color w:val="000000"/>
                <w:sz w:val="16"/>
                <w:szCs w:val="16"/>
                <w:lang w:val="en-US"/>
              </w:rPr>
              <w:t>"</w:t>
            </w:r>
            <w:r w:rsidRPr="00E16672">
              <w:rPr>
                <w:rFonts w:ascii="Times New Roman" w:hAnsi="Times New Roman"/>
                <w:color w:val="000000"/>
                <w:sz w:val="16"/>
                <w:szCs w:val="16"/>
              </w:rPr>
              <w:t>Про</w:t>
            </w:r>
            <w:r w:rsidRPr="00E16672">
              <w:rPr>
                <w:rFonts w:ascii="Times New Roman" w:hAnsi="Times New Roman"/>
                <w:color w:val="000000"/>
                <w:sz w:val="16"/>
                <w:szCs w:val="16"/>
                <w:lang w:val="en-US"/>
              </w:rPr>
              <w:t xml:space="preserve"> </w:t>
            </w:r>
            <w:proofErr w:type="spellStart"/>
            <w:r w:rsidRPr="00E16672">
              <w:rPr>
                <w:rFonts w:ascii="Times New Roman" w:hAnsi="Times New Roman"/>
                <w:color w:val="000000"/>
                <w:sz w:val="16"/>
                <w:szCs w:val="16"/>
              </w:rPr>
              <w:t>фінансові</w:t>
            </w:r>
            <w:proofErr w:type="spellEnd"/>
            <w:r w:rsidRPr="00E16672">
              <w:rPr>
                <w:rFonts w:ascii="Times New Roman" w:hAnsi="Times New Roman"/>
                <w:color w:val="000000"/>
                <w:sz w:val="16"/>
                <w:szCs w:val="16"/>
                <w:lang w:val="en-US"/>
              </w:rPr>
              <w:t xml:space="preserve"> </w:t>
            </w:r>
            <w:proofErr w:type="spellStart"/>
            <w:r w:rsidRPr="00E16672">
              <w:rPr>
                <w:rFonts w:ascii="Times New Roman" w:hAnsi="Times New Roman"/>
                <w:color w:val="000000"/>
                <w:sz w:val="16"/>
                <w:szCs w:val="16"/>
              </w:rPr>
              <w:t>послуги</w:t>
            </w:r>
            <w:proofErr w:type="spellEnd"/>
            <w:r w:rsidRPr="00E16672">
              <w:rPr>
                <w:rFonts w:ascii="Times New Roman" w:hAnsi="Times New Roman"/>
                <w:color w:val="000000"/>
                <w:sz w:val="16"/>
                <w:szCs w:val="16"/>
                <w:lang w:val="en-US"/>
              </w:rPr>
              <w:t xml:space="preserve"> </w:t>
            </w:r>
            <w:r w:rsidRPr="00E16672">
              <w:rPr>
                <w:rFonts w:ascii="Times New Roman" w:hAnsi="Times New Roman"/>
                <w:color w:val="000000"/>
                <w:sz w:val="16"/>
                <w:szCs w:val="16"/>
              </w:rPr>
              <w:t>та</w:t>
            </w:r>
            <w:r w:rsidRPr="00E16672">
              <w:rPr>
                <w:rFonts w:ascii="Times New Roman" w:hAnsi="Times New Roman"/>
                <w:color w:val="000000"/>
                <w:sz w:val="16"/>
                <w:szCs w:val="16"/>
                <w:lang w:val="en-US"/>
              </w:rPr>
              <w:t xml:space="preserve"> </w:t>
            </w:r>
            <w:proofErr w:type="spellStart"/>
            <w:r w:rsidRPr="00E16672">
              <w:rPr>
                <w:rFonts w:ascii="Times New Roman" w:hAnsi="Times New Roman"/>
                <w:color w:val="000000"/>
                <w:sz w:val="16"/>
                <w:szCs w:val="16"/>
              </w:rPr>
              <w:t>державне</w:t>
            </w:r>
            <w:proofErr w:type="spellEnd"/>
            <w:r w:rsidRPr="00E16672">
              <w:rPr>
                <w:rFonts w:ascii="Times New Roman" w:hAnsi="Times New Roman"/>
                <w:color w:val="000000"/>
                <w:sz w:val="16"/>
                <w:szCs w:val="16"/>
                <w:lang w:val="en-US"/>
              </w:rPr>
              <w:t xml:space="preserve"> </w:t>
            </w:r>
            <w:proofErr w:type="spellStart"/>
            <w:r w:rsidRPr="00E16672">
              <w:rPr>
                <w:rFonts w:ascii="Times New Roman" w:hAnsi="Times New Roman"/>
                <w:color w:val="000000"/>
                <w:sz w:val="16"/>
                <w:szCs w:val="16"/>
              </w:rPr>
              <w:t>регулювання</w:t>
            </w:r>
            <w:proofErr w:type="spellEnd"/>
            <w:r w:rsidRPr="00E16672">
              <w:rPr>
                <w:rFonts w:ascii="Times New Roman" w:hAnsi="Times New Roman"/>
                <w:color w:val="000000"/>
                <w:sz w:val="16"/>
                <w:szCs w:val="16"/>
                <w:lang w:val="en-US"/>
              </w:rPr>
              <w:t xml:space="preserve"> </w:t>
            </w:r>
            <w:proofErr w:type="spellStart"/>
            <w:r w:rsidRPr="00E16672">
              <w:rPr>
                <w:rFonts w:ascii="Times New Roman" w:hAnsi="Times New Roman"/>
                <w:color w:val="000000"/>
                <w:sz w:val="16"/>
                <w:szCs w:val="16"/>
              </w:rPr>
              <w:t>ринків</w:t>
            </w:r>
            <w:proofErr w:type="spellEnd"/>
            <w:r w:rsidRPr="00E16672">
              <w:rPr>
                <w:rFonts w:ascii="Times New Roman" w:hAnsi="Times New Roman"/>
                <w:color w:val="000000"/>
                <w:sz w:val="16"/>
                <w:szCs w:val="16"/>
                <w:lang w:val="en-US"/>
              </w:rPr>
              <w:t xml:space="preserve"> </w:t>
            </w:r>
            <w:proofErr w:type="spellStart"/>
            <w:r w:rsidRPr="00E16672">
              <w:rPr>
                <w:rFonts w:ascii="Times New Roman" w:hAnsi="Times New Roman"/>
                <w:color w:val="000000"/>
                <w:sz w:val="16"/>
                <w:szCs w:val="16"/>
              </w:rPr>
              <w:t>фінансових</w:t>
            </w:r>
            <w:proofErr w:type="spellEnd"/>
            <w:r w:rsidRPr="00E16672">
              <w:rPr>
                <w:rFonts w:ascii="Times New Roman" w:hAnsi="Times New Roman"/>
                <w:color w:val="000000"/>
                <w:sz w:val="16"/>
                <w:szCs w:val="16"/>
                <w:lang w:val="en-US"/>
              </w:rPr>
              <w:t xml:space="preserve"> </w:t>
            </w:r>
            <w:proofErr w:type="spellStart"/>
            <w:r w:rsidRPr="00E16672">
              <w:rPr>
                <w:rFonts w:ascii="Times New Roman" w:hAnsi="Times New Roman"/>
                <w:color w:val="000000"/>
                <w:sz w:val="16"/>
                <w:szCs w:val="16"/>
              </w:rPr>
              <w:t>послуг</w:t>
            </w:r>
            <w:proofErr w:type="spellEnd"/>
            <w:r w:rsidR="00022F5F">
              <w:rPr>
                <w:rFonts w:ascii="Times New Roman" w:hAnsi="Times New Roman"/>
                <w:color w:val="000000"/>
                <w:sz w:val="16"/>
                <w:szCs w:val="16"/>
                <w:lang w:val="en-US"/>
              </w:rPr>
              <w:t>"</w:t>
            </w:r>
            <w:r w:rsidRPr="00E16672">
              <w:rPr>
                <w:rFonts w:ascii="Times New Roman" w:hAnsi="Times New Roman"/>
                <w:color w:val="000000"/>
                <w:sz w:val="16"/>
                <w:szCs w:val="16"/>
                <w:lang w:val="en-US"/>
              </w:rPr>
              <w:t>.</w:t>
            </w:r>
          </w:p>
        </w:tc>
        <w:tc>
          <w:tcPr>
            <w:tcW w:w="5495" w:type="dxa"/>
            <w:gridSpan w:val="6"/>
            <w:shd w:val="clear" w:color="auto" w:fill="auto"/>
          </w:tcPr>
          <w:p w14:paraId="36DD6D4C" w14:textId="77777777" w:rsidR="00BA1F32" w:rsidRPr="00E16672" w:rsidRDefault="00BA1F32" w:rsidP="00022F5F">
            <w:pPr>
              <w:pStyle w:val="210"/>
              <w:tabs>
                <w:tab w:val="left" w:pos="287"/>
                <w:tab w:val="left" w:pos="1191"/>
              </w:tabs>
              <w:snapToGrid w:val="0"/>
              <w:ind w:left="145" w:right="100" w:firstLine="0"/>
              <w:jc w:val="left"/>
              <w:rPr>
                <w:rFonts w:ascii="Times New Roman" w:hAnsi="Times New Roman"/>
                <w:color w:val="000000"/>
                <w:sz w:val="16"/>
                <w:szCs w:val="16"/>
              </w:rPr>
            </w:pPr>
            <w:r w:rsidRPr="00E16672">
              <w:rPr>
                <w:rFonts w:ascii="Times New Roman" w:hAnsi="Times New Roman"/>
                <w:color w:val="000000"/>
                <w:sz w:val="16"/>
                <w:szCs w:val="16"/>
              </w:rPr>
              <w:t>2.4.8.</w:t>
            </w:r>
            <w:r w:rsidRPr="00E16672">
              <w:rPr>
                <w:rFonts w:ascii="Times New Roman" w:hAnsi="Times New Roman"/>
                <w:color w:val="000000"/>
                <w:sz w:val="16"/>
                <w:szCs w:val="16"/>
                <w:lang w:val="en-US"/>
              </w:rPr>
              <w:t xml:space="preserve"> </w:t>
            </w:r>
            <w:proofErr w:type="spellStart"/>
            <w:r w:rsidRPr="00E16672">
              <w:rPr>
                <w:rFonts w:ascii="Times New Roman" w:eastAsia="Arial" w:hAnsi="Times New Roman"/>
                <w:color w:val="000000"/>
                <w:sz w:val="16"/>
                <w:szCs w:val="16"/>
              </w:rPr>
              <w:t>To</w:t>
            </w:r>
            <w:proofErr w:type="spellEnd"/>
            <w:r w:rsidRPr="00E16672">
              <w:rPr>
                <w:rFonts w:ascii="Times New Roman" w:eastAsia="Arial" w:hAnsi="Times New Roman"/>
                <w:color w:val="000000"/>
                <w:sz w:val="16"/>
                <w:szCs w:val="16"/>
              </w:rPr>
              <w:t xml:space="preserve"> </w:t>
            </w:r>
            <w:r w:rsidRPr="00E16672">
              <w:rPr>
                <w:rFonts w:ascii="Times New Roman" w:eastAsia="Arial" w:hAnsi="Times New Roman"/>
                <w:color w:val="000000"/>
                <w:sz w:val="16"/>
                <w:szCs w:val="16"/>
                <w:lang w:val="en-US"/>
              </w:rPr>
              <w:t xml:space="preserve">obtain </w:t>
            </w:r>
            <w:proofErr w:type="spellStart"/>
            <w:r w:rsidRPr="00E16672">
              <w:rPr>
                <w:rFonts w:ascii="Times New Roman" w:eastAsia="Arial" w:hAnsi="Times New Roman"/>
                <w:color w:val="000000"/>
                <w:sz w:val="16"/>
                <w:szCs w:val="16"/>
              </w:rPr>
              <w:t>information</w:t>
            </w:r>
            <w:proofErr w:type="spellEnd"/>
            <w:r w:rsidRPr="00E16672">
              <w:rPr>
                <w:rFonts w:ascii="Times New Roman" w:eastAsia="Arial" w:hAnsi="Times New Roman"/>
                <w:color w:val="000000"/>
                <w:sz w:val="16"/>
                <w:szCs w:val="16"/>
              </w:rPr>
              <w:t xml:space="preserve"> </w:t>
            </w:r>
            <w:proofErr w:type="spellStart"/>
            <w:r w:rsidRPr="00E16672">
              <w:rPr>
                <w:rFonts w:ascii="Times New Roman" w:eastAsia="Arial" w:hAnsi="Times New Roman"/>
                <w:color w:val="000000"/>
                <w:sz w:val="16"/>
                <w:szCs w:val="16"/>
              </w:rPr>
              <w:t>on</w:t>
            </w:r>
            <w:proofErr w:type="spellEnd"/>
            <w:r w:rsidRPr="00E16672">
              <w:rPr>
                <w:rFonts w:ascii="Times New Roman" w:eastAsia="Arial" w:hAnsi="Times New Roman"/>
                <w:color w:val="000000"/>
                <w:sz w:val="16"/>
                <w:szCs w:val="16"/>
              </w:rPr>
              <w:t xml:space="preserve"> </w:t>
            </w:r>
            <w:proofErr w:type="spellStart"/>
            <w:r w:rsidRPr="00E16672">
              <w:rPr>
                <w:rFonts w:ascii="Times New Roman" w:eastAsia="Arial" w:hAnsi="Times New Roman"/>
                <w:color w:val="000000"/>
                <w:sz w:val="16"/>
                <w:szCs w:val="16"/>
              </w:rPr>
              <w:t>the</w:t>
            </w:r>
            <w:proofErr w:type="spellEnd"/>
            <w:r w:rsidRPr="00E16672">
              <w:rPr>
                <w:rFonts w:ascii="Times New Roman" w:eastAsia="Arial" w:hAnsi="Times New Roman"/>
                <w:color w:val="000000"/>
                <w:sz w:val="16"/>
                <w:szCs w:val="16"/>
              </w:rPr>
              <w:t xml:space="preserve"> </w:t>
            </w:r>
            <w:proofErr w:type="spellStart"/>
            <w:r w:rsidRPr="00E16672">
              <w:rPr>
                <w:rFonts w:ascii="Times New Roman" w:eastAsia="Arial" w:hAnsi="Times New Roman"/>
                <w:color w:val="000000"/>
                <w:sz w:val="16"/>
                <w:szCs w:val="16"/>
              </w:rPr>
              <w:t>conditions</w:t>
            </w:r>
            <w:proofErr w:type="spellEnd"/>
            <w:r w:rsidRPr="00E16672">
              <w:rPr>
                <w:rFonts w:ascii="Times New Roman" w:eastAsia="Arial" w:hAnsi="Times New Roman"/>
                <w:color w:val="000000"/>
                <w:sz w:val="16"/>
                <w:szCs w:val="16"/>
              </w:rPr>
              <w:t xml:space="preserve"> </w:t>
            </w:r>
            <w:proofErr w:type="spellStart"/>
            <w:r w:rsidRPr="00E16672">
              <w:rPr>
                <w:rFonts w:ascii="Times New Roman" w:eastAsia="Arial" w:hAnsi="Times New Roman"/>
                <w:color w:val="000000"/>
                <w:sz w:val="16"/>
                <w:szCs w:val="16"/>
              </w:rPr>
              <w:t>and</w:t>
            </w:r>
            <w:proofErr w:type="spellEnd"/>
            <w:r w:rsidRPr="00E16672">
              <w:rPr>
                <w:rFonts w:ascii="Times New Roman" w:eastAsia="Arial" w:hAnsi="Times New Roman"/>
                <w:color w:val="000000"/>
                <w:sz w:val="16"/>
                <w:szCs w:val="16"/>
              </w:rPr>
              <w:t xml:space="preserve"> </w:t>
            </w:r>
            <w:proofErr w:type="spellStart"/>
            <w:r w:rsidRPr="00E16672">
              <w:rPr>
                <w:rFonts w:ascii="Times New Roman" w:eastAsia="Arial" w:hAnsi="Times New Roman"/>
                <w:color w:val="000000"/>
                <w:sz w:val="16"/>
                <w:szCs w:val="16"/>
              </w:rPr>
              <w:t>procedure</w:t>
            </w:r>
            <w:proofErr w:type="spellEnd"/>
            <w:r w:rsidRPr="00E16672">
              <w:rPr>
                <w:rFonts w:ascii="Times New Roman" w:eastAsia="Arial" w:hAnsi="Times New Roman"/>
                <w:color w:val="000000"/>
                <w:sz w:val="16"/>
                <w:szCs w:val="16"/>
              </w:rPr>
              <w:t xml:space="preserve"> </w:t>
            </w:r>
            <w:proofErr w:type="spellStart"/>
            <w:r w:rsidRPr="00E16672">
              <w:rPr>
                <w:rFonts w:ascii="Times New Roman" w:eastAsia="Arial" w:hAnsi="Times New Roman"/>
                <w:color w:val="000000"/>
                <w:sz w:val="16"/>
                <w:szCs w:val="16"/>
              </w:rPr>
              <w:t>of</w:t>
            </w:r>
            <w:proofErr w:type="spellEnd"/>
            <w:r w:rsidRPr="00E16672">
              <w:rPr>
                <w:rFonts w:ascii="Times New Roman" w:eastAsia="Arial" w:hAnsi="Times New Roman"/>
                <w:color w:val="000000"/>
                <w:sz w:val="16"/>
                <w:szCs w:val="16"/>
              </w:rPr>
              <w:t xml:space="preserve"> </w:t>
            </w:r>
            <w:proofErr w:type="spellStart"/>
            <w:r w:rsidRPr="00E16672">
              <w:rPr>
                <w:rFonts w:ascii="Times New Roman" w:eastAsia="Arial" w:hAnsi="Times New Roman"/>
                <w:color w:val="000000"/>
                <w:sz w:val="16"/>
                <w:szCs w:val="16"/>
              </w:rPr>
              <w:t>the</w:t>
            </w:r>
            <w:proofErr w:type="spellEnd"/>
            <w:r w:rsidRPr="00E16672">
              <w:rPr>
                <w:rFonts w:ascii="Times New Roman" w:eastAsia="Arial" w:hAnsi="Times New Roman"/>
                <w:color w:val="000000"/>
                <w:sz w:val="16"/>
                <w:szCs w:val="16"/>
              </w:rPr>
              <w:t xml:space="preserve"> </w:t>
            </w:r>
            <w:proofErr w:type="spellStart"/>
            <w:r w:rsidRPr="00E16672">
              <w:rPr>
                <w:rFonts w:ascii="Times New Roman" w:eastAsia="Arial" w:hAnsi="Times New Roman"/>
                <w:color w:val="000000"/>
                <w:sz w:val="16"/>
                <w:szCs w:val="16"/>
              </w:rPr>
              <w:t>depository</w:t>
            </w:r>
            <w:proofErr w:type="spellEnd"/>
            <w:r w:rsidRPr="00E16672">
              <w:rPr>
                <w:rFonts w:ascii="Times New Roman" w:eastAsia="Arial" w:hAnsi="Times New Roman"/>
                <w:color w:val="000000"/>
                <w:sz w:val="16"/>
                <w:szCs w:val="16"/>
              </w:rPr>
              <w:t xml:space="preserve"> </w:t>
            </w:r>
            <w:proofErr w:type="spellStart"/>
            <w:r w:rsidRPr="00E16672">
              <w:rPr>
                <w:rFonts w:ascii="Times New Roman" w:eastAsia="Arial" w:hAnsi="Times New Roman"/>
                <w:color w:val="000000"/>
                <w:sz w:val="16"/>
                <w:szCs w:val="16"/>
              </w:rPr>
              <w:t>institution</w:t>
            </w:r>
            <w:proofErr w:type="spellEnd"/>
            <w:r w:rsidRPr="00E16672">
              <w:rPr>
                <w:rFonts w:ascii="Times New Roman" w:eastAsia="Arial" w:hAnsi="Times New Roman"/>
                <w:color w:val="000000"/>
                <w:sz w:val="16"/>
                <w:szCs w:val="16"/>
              </w:rPr>
              <w:t xml:space="preserve"> </w:t>
            </w:r>
            <w:proofErr w:type="spellStart"/>
            <w:r w:rsidRPr="00E16672">
              <w:rPr>
                <w:rFonts w:ascii="Times New Roman" w:eastAsia="Arial" w:hAnsi="Times New Roman"/>
                <w:color w:val="000000"/>
                <w:sz w:val="16"/>
                <w:szCs w:val="16"/>
              </w:rPr>
              <w:t>taking</w:t>
            </w:r>
            <w:proofErr w:type="spellEnd"/>
            <w:r w:rsidRPr="00E16672">
              <w:rPr>
                <w:rFonts w:ascii="Times New Roman" w:eastAsia="Arial" w:hAnsi="Times New Roman"/>
                <w:color w:val="000000"/>
                <w:sz w:val="16"/>
                <w:szCs w:val="16"/>
              </w:rPr>
              <w:t xml:space="preserve"> </w:t>
            </w:r>
            <w:proofErr w:type="spellStart"/>
            <w:r w:rsidRPr="00E16672">
              <w:rPr>
                <w:rFonts w:ascii="Times New Roman" w:eastAsia="Arial" w:hAnsi="Times New Roman"/>
                <w:color w:val="000000"/>
                <w:sz w:val="16"/>
                <w:szCs w:val="16"/>
              </w:rPr>
              <w:t>into</w:t>
            </w:r>
            <w:proofErr w:type="spellEnd"/>
            <w:r w:rsidRPr="00E16672">
              <w:rPr>
                <w:rFonts w:ascii="Times New Roman" w:eastAsia="Arial" w:hAnsi="Times New Roman"/>
                <w:color w:val="000000"/>
                <w:sz w:val="16"/>
                <w:szCs w:val="16"/>
              </w:rPr>
              <w:t xml:space="preserve"> </w:t>
            </w:r>
            <w:proofErr w:type="spellStart"/>
            <w:r w:rsidRPr="00E16672">
              <w:rPr>
                <w:rFonts w:ascii="Times New Roman" w:eastAsia="Arial" w:hAnsi="Times New Roman"/>
                <w:color w:val="000000"/>
                <w:sz w:val="16"/>
                <w:szCs w:val="16"/>
              </w:rPr>
              <w:t>account</w:t>
            </w:r>
            <w:proofErr w:type="spellEnd"/>
            <w:r w:rsidRPr="00E16672">
              <w:rPr>
                <w:rFonts w:ascii="Times New Roman" w:eastAsia="Arial" w:hAnsi="Times New Roman"/>
                <w:color w:val="000000"/>
                <w:sz w:val="16"/>
                <w:szCs w:val="16"/>
              </w:rPr>
              <w:t xml:space="preserve"> </w:t>
            </w:r>
            <w:proofErr w:type="spellStart"/>
            <w:r w:rsidRPr="00E16672">
              <w:rPr>
                <w:rFonts w:ascii="Times New Roman" w:eastAsia="Arial" w:hAnsi="Times New Roman"/>
                <w:color w:val="000000"/>
                <w:sz w:val="16"/>
                <w:szCs w:val="16"/>
              </w:rPr>
              <w:t>the</w:t>
            </w:r>
            <w:proofErr w:type="spellEnd"/>
            <w:r w:rsidRPr="00E16672">
              <w:rPr>
                <w:rFonts w:ascii="Times New Roman" w:eastAsia="Arial" w:hAnsi="Times New Roman"/>
                <w:color w:val="000000"/>
                <w:sz w:val="16"/>
                <w:szCs w:val="16"/>
              </w:rPr>
              <w:t xml:space="preserve"> </w:t>
            </w:r>
            <w:proofErr w:type="spellStart"/>
            <w:r w:rsidRPr="00E16672">
              <w:rPr>
                <w:rFonts w:ascii="Times New Roman" w:eastAsia="Arial" w:hAnsi="Times New Roman"/>
                <w:color w:val="000000"/>
                <w:sz w:val="16"/>
                <w:szCs w:val="16"/>
              </w:rPr>
              <w:t>requirements</w:t>
            </w:r>
            <w:proofErr w:type="spellEnd"/>
            <w:r w:rsidRPr="00E16672">
              <w:rPr>
                <w:rFonts w:ascii="Times New Roman" w:eastAsia="Arial" w:hAnsi="Times New Roman"/>
                <w:color w:val="000000"/>
                <w:sz w:val="16"/>
                <w:szCs w:val="16"/>
              </w:rPr>
              <w:t xml:space="preserve"> </w:t>
            </w:r>
            <w:proofErr w:type="spellStart"/>
            <w:r w:rsidRPr="00E16672">
              <w:rPr>
                <w:rFonts w:ascii="Times New Roman" w:eastAsia="Arial" w:hAnsi="Times New Roman"/>
                <w:color w:val="000000"/>
                <w:sz w:val="16"/>
                <w:szCs w:val="16"/>
              </w:rPr>
              <w:t>established</w:t>
            </w:r>
            <w:proofErr w:type="spellEnd"/>
            <w:r w:rsidRPr="00E16672">
              <w:rPr>
                <w:rFonts w:ascii="Times New Roman" w:eastAsia="Arial" w:hAnsi="Times New Roman"/>
                <w:color w:val="000000"/>
                <w:sz w:val="16"/>
                <w:szCs w:val="16"/>
              </w:rPr>
              <w:t xml:space="preserve"> </w:t>
            </w:r>
            <w:proofErr w:type="spellStart"/>
            <w:r w:rsidRPr="00E16672">
              <w:rPr>
                <w:rFonts w:ascii="Times New Roman" w:eastAsia="Arial" w:hAnsi="Times New Roman"/>
                <w:color w:val="000000"/>
                <w:sz w:val="16"/>
                <w:szCs w:val="16"/>
              </w:rPr>
              <w:t>by</w:t>
            </w:r>
            <w:proofErr w:type="spellEnd"/>
            <w:r w:rsidRPr="00E16672">
              <w:rPr>
                <w:rFonts w:ascii="Times New Roman" w:eastAsia="Arial" w:hAnsi="Times New Roman"/>
                <w:color w:val="000000"/>
                <w:sz w:val="16"/>
                <w:szCs w:val="16"/>
              </w:rPr>
              <w:t xml:space="preserve"> </w:t>
            </w:r>
            <w:proofErr w:type="spellStart"/>
            <w:r w:rsidRPr="00E16672">
              <w:rPr>
                <w:rFonts w:ascii="Times New Roman" w:eastAsia="Arial" w:hAnsi="Times New Roman"/>
                <w:color w:val="000000"/>
                <w:sz w:val="16"/>
                <w:szCs w:val="16"/>
              </w:rPr>
              <w:t>part</w:t>
            </w:r>
            <w:proofErr w:type="spellEnd"/>
            <w:r w:rsidRPr="00E16672">
              <w:rPr>
                <w:rFonts w:ascii="Times New Roman" w:eastAsia="Arial" w:hAnsi="Times New Roman"/>
                <w:color w:val="000000"/>
                <w:sz w:val="16"/>
                <w:szCs w:val="16"/>
              </w:rPr>
              <w:t xml:space="preserve"> </w:t>
            </w:r>
            <w:proofErr w:type="spellStart"/>
            <w:r w:rsidRPr="00E16672">
              <w:rPr>
                <w:rFonts w:ascii="Times New Roman" w:eastAsia="Arial" w:hAnsi="Times New Roman"/>
                <w:color w:val="000000"/>
                <w:sz w:val="16"/>
                <w:szCs w:val="16"/>
              </w:rPr>
              <w:t>one</w:t>
            </w:r>
            <w:proofErr w:type="spellEnd"/>
            <w:r w:rsidRPr="00E16672">
              <w:rPr>
                <w:rFonts w:ascii="Times New Roman" w:eastAsia="Arial" w:hAnsi="Times New Roman"/>
                <w:color w:val="000000"/>
                <w:sz w:val="16"/>
                <w:szCs w:val="16"/>
              </w:rPr>
              <w:t xml:space="preserve"> </w:t>
            </w:r>
            <w:proofErr w:type="spellStart"/>
            <w:r w:rsidRPr="00E16672">
              <w:rPr>
                <w:rFonts w:ascii="Times New Roman" w:eastAsia="Arial" w:hAnsi="Times New Roman"/>
                <w:color w:val="000000"/>
                <w:sz w:val="16"/>
                <w:szCs w:val="16"/>
              </w:rPr>
              <w:t>of</w:t>
            </w:r>
            <w:proofErr w:type="spellEnd"/>
            <w:r w:rsidRPr="00E16672">
              <w:rPr>
                <w:rFonts w:ascii="Times New Roman" w:eastAsia="Arial" w:hAnsi="Times New Roman"/>
                <w:color w:val="000000"/>
                <w:sz w:val="16"/>
                <w:szCs w:val="16"/>
              </w:rPr>
              <w:t xml:space="preserve"> </w:t>
            </w:r>
            <w:proofErr w:type="spellStart"/>
            <w:r w:rsidRPr="00E16672">
              <w:rPr>
                <w:rFonts w:ascii="Times New Roman" w:eastAsia="Arial" w:hAnsi="Times New Roman"/>
                <w:color w:val="000000"/>
                <w:sz w:val="16"/>
                <w:szCs w:val="16"/>
              </w:rPr>
              <w:t>Article</w:t>
            </w:r>
            <w:proofErr w:type="spellEnd"/>
            <w:r w:rsidRPr="00E16672">
              <w:rPr>
                <w:rFonts w:ascii="Times New Roman" w:eastAsia="Arial" w:hAnsi="Times New Roman"/>
                <w:color w:val="000000"/>
                <w:sz w:val="16"/>
                <w:szCs w:val="16"/>
              </w:rPr>
              <w:t xml:space="preserve"> 12 </w:t>
            </w:r>
            <w:proofErr w:type="spellStart"/>
            <w:r w:rsidRPr="00E16672">
              <w:rPr>
                <w:rFonts w:ascii="Times New Roman" w:eastAsia="Arial" w:hAnsi="Times New Roman"/>
                <w:color w:val="000000"/>
                <w:sz w:val="16"/>
                <w:szCs w:val="16"/>
              </w:rPr>
              <w:t>of</w:t>
            </w:r>
            <w:proofErr w:type="spellEnd"/>
            <w:r w:rsidRPr="00E16672">
              <w:rPr>
                <w:rFonts w:ascii="Times New Roman" w:eastAsia="Arial" w:hAnsi="Times New Roman"/>
                <w:color w:val="000000"/>
                <w:sz w:val="16"/>
                <w:szCs w:val="16"/>
              </w:rPr>
              <w:t xml:space="preserve"> </w:t>
            </w:r>
            <w:proofErr w:type="spellStart"/>
            <w:r w:rsidRPr="00E16672">
              <w:rPr>
                <w:rFonts w:ascii="Times New Roman" w:eastAsia="Arial" w:hAnsi="Times New Roman"/>
                <w:color w:val="000000"/>
                <w:sz w:val="16"/>
                <w:szCs w:val="16"/>
              </w:rPr>
              <w:t>the</w:t>
            </w:r>
            <w:proofErr w:type="spellEnd"/>
            <w:r w:rsidRPr="00E16672">
              <w:rPr>
                <w:rFonts w:ascii="Times New Roman" w:eastAsia="Arial" w:hAnsi="Times New Roman"/>
                <w:color w:val="000000"/>
                <w:sz w:val="16"/>
                <w:szCs w:val="16"/>
              </w:rPr>
              <w:t xml:space="preserve"> </w:t>
            </w:r>
            <w:proofErr w:type="spellStart"/>
            <w:r w:rsidRPr="00E16672">
              <w:rPr>
                <w:rFonts w:ascii="Times New Roman" w:eastAsia="Arial" w:hAnsi="Times New Roman"/>
                <w:color w:val="000000"/>
                <w:sz w:val="16"/>
                <w:szCs w:val="16"/>
              </w:rPr>
              <w:t>Law</w:t>
            </w:r>
            <w:proofErr w:type="spellEnd"/>
            <w:r w:rsidRPr="00E16672">
              <w:rPr>
                <w:rFonts w:ascii="Times New Roman" w:eastAsia="Arial" w:hAnsi="Times New Roman"/>
                <w:color w:val="000000"/>
                <w:sz w:val="16"/>
                <w:szCs w:val="16"/>
              </w:rPr>
              <w:t xml:space="preserve"> </w:t>
            </w:r>
            <w:proofErr w:type="spellStart"/>
            <w:r w:rsidRPr="00E16672">
              <w:rPr>
                <w:rFonts w:ascii="Times New Roman" w:eastAsia="Arial" w:hAnsi="Times New Roman"/>
                <w:color w:val="000000"/>
                <w:sz w:val="16"/>
                <w:szCs w:val="16"/>
              </w:rPr>
              <w:t>of</w:t>
            </w:r>
            <w:proofErr w:type="spellEnd"/>
            <w:r w:rsidRPr="00E16672">
              <w:rPr>
                <w:rFonts w:ascii="Times New Roman" w:eastAsia="Arial" w:hAnsi="Times New Roman"/>
                <w:color w:val="000000"/>
                <w:sz w:val="16"/>
                <w:szCs w:val="16"/>
              </w:rPr>
              <w:t xml:space="preserve"> </w:t>
            </w:r>
            <w:proofErr w:type="spellStart"/>
            <w:r w:rsidRPr="00E16672">
              <w:rPr>
                <w:rFonts w:ascii="Times New Roman" w:eastAsia="Arial" w:hAnsi="Times New Roman"/>
                <w:color w:val="000000"/>
                <w:sz w:val="16"/>
                <w:szCs w:val="16"/>
              </w:rPr>
              <w:t>Ukraine</w:t>
            </w:r>
            <w:proofErr w:type="spellEnd"/>
            <w:r w:rsidRPr="00E16672">
              <w:rPr>
                <w:rFonts w:ascii="Times New Roman" w:eastAsia="Arial" w:hAnsi="Times New Roman"/>
                <w:color w:val="000000"/>
                <w:sz w:val="16"/>
                <w:szCs w:val="16"/>
              </w:rPr>
              <w:t xml:space="preserve"> </w:t>
            </w:r>
            <w:r w:rsidR="00022F5F">
              <w:rPr>
                <w:rFonts w:ascii="Times New Roman" w:eastAsia="Arial" w:hAnsi="Times New Roman"/>
                <w:color w:val="000000"/>
                <w:sz w:val="16"/>
                <w:szCs w:val="16"/>
              </w:rPr>
              <w:t>"</w:t>
            </w:r>
            <w:proofErr w:type="spellStart"/>
            <w:r w:rsidRPr="00E16672">
              <w:rPr>
                <w:rFonts w:ascii="Times New Roman" w:eastAsia="Arial" w:hAnsi="Times New Roman"/>
                <w:color w:val="000000"/>
                <w:sz w:val="16"/>
                <w:szCs w:val="16"/>
              </w:rPr>
              <w:t>On</w:t>
            </w:r>
            <w:proofErr w:type="spellEnd"/>
            <w:r w:rsidRPr="00E16672">
              <w:rPr>
                <w:rFonts w:ascii="Times New Roman" w:eastAsia="Arial" w:hAnsi="Times New Roman"/>
                <w:color w:val="000000"/>
                <w:sz w:val="16"/>
                <w:szCs w:val="16"/>
              </w:rPr>
              <w:t xml:space="preserve"> </w:t>
            </w:r>
            <w:proofErr w:type="spellStart"/>
            <w:r w:rsidRPr="00E16672">
              <w:rPr>
                <w:rFonts w:ascii="Times New Roman" w:eastAsia="Arial" w:hAnsi="Times New Roman"/>
                <w:color w:val="000000"/>
                <w:sz w:val="16"/>
                <w:szCs w:val="16"/>
              </w:rPr>
              <w:t>Financial</w:t>
            </w:r>
            <w:proofErr w:type="spellEnd"/>
            <w:r w:rsidRPr="00E16672">
              <w:rPr>
                <w:rFonts w:ascii="Times New Roman" w:eastAsia="Arial" w:hAnsi="Times New Roman"/>
                <w:color w:val="000000"/>
                <w:sz w:val="16"/>
                <w:szCs w:val="16"/>
              </w:rPr>
              <w:t xml:space="preserve"> </w:t>
            </w:r>
            <w:proofErr w:type="spellStart"/>
            <w:r w:rsidRPr="00E16672">
              <w:rPr>
                <w:rFonts w:ascii="Times New Roman" w:eastAsia="Arial" w:hAnsi="Times New Roman"/>
                <w:color w:val="000000"/>
                <w:sz w:val="16"/>
                <w:szCs w:val="16"/>
              </w:rPr>
              <w:t>Services</w:t>
            </w:r>
            <w:proofErr w:type="spellEnd"/>
            <w:r w:rsidRPr="00E16672">
              <w:rPr>
                <w:rFonts w:ascii="Times New Roman" w:eastAsia="Arial" w:hAnsi="Times New Roman"/>
                <w:color w:val="000000"/>
                <w:sz w:val="16"/>
                <w:szCs w:val="16"/>
              </w:rPr>
              <w:t xml:space="preserve"> </w:t>
            </w:r>
            <w:proofErr w:type="spellStart"/>
            <w:r w:rsidRPr="00E16672">
              <w:rPr>
                <w:rFonts w:ascii="Times New Roman" w:eastAsia="Arial" w:hAnsi="Times New Roman"/>
                <w:color w:val="000000"/>
                <w:sz w:val="16"/>
                <w:szCs w:val="16"/>
              </w:rPr>
              <w:t>and</w:t>
            </w:r>
            <w:proofErr w:type="spellEnd"/>
            <w:r w:rsidRPr="00E16672">
              <w:rPr>
                <w:rFonts w:ascii="Times New Roman" w:eastAsia="Arial" w:hAnsi="Times New Roman"/>
                <w:color w:val="000000"/>
                <w:sz w:val="16"/>
                <w:szCs w:val="16"/>
              </w:rPr>
              <w:t xml:space="preserve"> </w:t>
            </w:r>
            <w:proofErr w:type="spellStart"/>
            <w:r w:rsidRPr="00E16672">
              <w:rPr>
                <w:rFonts w:ascii="Times New Roman" w:eastAsia="Arial" w:hAnsi="Times New Roman"/>
                <w:color w:val="000000"/>
                <w:sz w:val="16"/>
                <w:szCs w:val="16"/>
              </w:rPr>
              <w:t>State</w:t>
            </w:r>
            <w:proofErr w:type="spellEnd"/>
            <w:r w:rsidRPr="00E16672">
              <w:rPr>
                <w:rFonts w:ascii="Times New Roman" w:eastAsia="Arial" w:hAnsi="Times New Roman"/>
                <w:color w:val="000000"/>
                <w:sz w:val="16"/>
                <w:szCs w:val="16"/>
              </w:rPr>
              <w:t xml:space="preserve"> </w:t>
            </w:r>
            <w:proofErr w:type="spellStart"/>
            <w:r w:rsidRPr="00E16672">
              <w:rPr>
                <w:rFonts w:ascii="Times New Roman" w:eastAsia="Arial" w:hAnsi="Times New Roman"/>
                <w:color w:val="000000"/>
                <w:sz w:val="16"/>
                <w:szCs w:val="16"/>
              </w:rPr>
              <w:t>Regulation</w:t>
            </w:r>
            <w:proofErr w:type="spellEnd"/>
            <w:r w:rsidRPr="00E16672">
              <w:rPr>
                <w:rFonts w:ascii="Times New Roman" w:eastAsia="Arial" w:hAnsi="Times New Roman"/>
                <w:color w:val="000000"/>
                <w:sz w:val="16"/>
                <w:szCs w:val="16"/>
              </w:rPr>
              <w:t xml:space="preserve"> </w:t>
            </w:r>
            <w:proofErr w:type="spellStart"/>
            <w:r w:rsidRPr="00E16672">
              <w:rPr>
                <w:rFonts w:ascii="Times New Roman" w:eastAsia="Arial" w:hAnsi="Times New Roman"/>
                <w:color w:val="000000"/>
                <w:sz w:val="16"/>
                <w:szCs w:val="16"/>
              </w:rPr>
              <w:t>of</w:t>
            </w:r>
            <w:proofErr w:type="spellEnd"/>
            <w:r w:rsidRPr="00E16672">
              <w:rPr>
                <w:rFonts w:ascii="Times New Roman" w:eastAsia="Arial" w:hAnsi="Times New Roman"/>
                <w:color w:val="000000"/>
                <w:sz w:val="16"/>
                <w:szCs w:val="16"/>
              </w:rPr>
              <w:t xml:space="preserve"> </w:t>
            </w:r>
            <w:proofErr w:type="spellStart"/>
            <w:r w:rsidRPr="00E16672">
              <w:rPr>
                <w:rFonts w:ascii="Times New Roman" w:eastAsia="Arial" w:hAnsi="Times New Roman"/>
                <w:color w:val="000000"/>
                <w:sz w:val="16"/>
                <w:szCs w:val="16"/>
              </w:rPr>
              <w:t>Financial</w:t>
            </w:r>
            <w:proofErr w:type="spellEnd"/>
            <w:r w:rsidRPr="00E16672">
              <w:rPr>
                <w:rFonts w:ascii="Times New Roman" w:eastAsia="Arial" w:hAnsi="Times New Roman"/>
                <w:color w:val="000000"/>
                <w:sz w:val="16"/>
                <w:szCs w:val="16"/>
              </w:rPr>
              <w:t xml:space="preserve"> </w:t>
            </w:r>
            <w:proofErr w:type="spellStart"/>
            <w:r w:rsidRPr="00E16672">
              <w:rPr>
                <w:rFonts w:ascii="Times New Roman" w:eastAsia="Arial" w:hAnsi="Times New Roman"/>
                <w:color w:val="000000"/>
                <w:sz w:val="16"/>
                <w:szCs w:val="16"/>
              </w:rPr>
              <w:t>Services</w:t>
            </w:r>
            <w:proofErr w:type="spellEnd"/>
            <w:r w:rsidRPr="00E16672">
              <w:rPr>
                <w:rFonts w:ascii="Times New Roman" w:eastAsia="Arial" w:hAnsi="Times New Roman"/>
                <w:color w:val="000000"/>
                <w:sz w:val="16"/>
                <w:szCs w:val="16"/>
              </w:rPr>
              <w:t xml:space="preserve"> </w:t>
            </w:r>
            <w:proofErr w:type="spellStart"/>
            <w:r w:rsidRPr="00E16672">
              <w:rPr>
                <w:rFonts w:ascii="Times New Roman" w:eastAsia="Arial" w:hAnsi="Times New Roman"/>
                <w:color w:val="000000"/>
                <w:sz w:val="16"/>
                <w:szCs w:val="16"/>
              </w:rPr>
              <w:t>Markets</w:t>
            </w:r>
            <w:proofErr w:type="spellEnd"/>
            <w:r w:rsidR="00022F5F">
              <w:rPr>
                <w:rFonts w:ascii="Times New Roman" w:eastAsia="Arial" w:hAnsi="Times New Roman"/>
                <w:color w:val="000000"/>
                <w:sz w:val="16"/>
                <w:szCs w:val="16"/>
              </w:rPr>
              <w:t>"</w:t>
            </w:r>
            <w:r w:rsidRPr="00E16672">
              <w:rPr>
                <w:rFonts w:ascii="Times New Roman" w:eastAsia="Arial" w:hAnsi="Times New Roman"/>
                <w:color w:val="000000"/>
                <w:sz w:val="16"/>
                <w:szCs w:val="16"/>
                <w:lang w:val="en-US"/>
              </w:rPr>
              <w:t>.</w:t>
            </w:r>
          </w:p>
        </w:tc>
      </w:tr>
      <w:tr w:rsidR="005C5318" w:rsidRPr="00F23413" w14:paraId="456732C4" w14:textId="77777777" w:rsidTr="005E418B">
        <w:trPr>
          <w:trHeight w:val="1334"/>
        </w:trPr>
        <w:tc>
          <w:tcPr>
            <w:tcW w:w="5695" w:type="dxa"/>
            <w:gridSpan w:val="6"/>
            <w:shd w:val="clear" w:color="auto" w:fill="auto"/>
          </w:tcPr>
          <w:p w14:paraId="6DB23B69" w14:textId="77777777" w:rsidR="00BA1F32" w:rsidRPr="00E16672" w:rsidRDefault="00BA1F32" w:rsidP="005C5318">
            <w:pPr>
              <w:snapToGrid w:val="0"/>
              <w:ind w:left="175" w:right="138"/>
              <w:jc w:val="center"/>
              <w:rPr>
                <w:rFonts w:ascii="Times New Roman" w:hAnsi="Times New Roman"/>
                <w:b/>
                <w:caps/>
                <w:sz w:val="16"/>
                <w:szCs w:val="16"/>
                <w:lang w:val="en-US"/>
              </w:rPr>
            </w:pPr>
          </w:p>
          <w:p w14:paraId="699E1E9B" w14:textId="77777777" w:rsidR="005C5318" w:rsidRPr="00E16672" w:rsidRDefault="005C5318" w:rsidP="005C5318">
            <w:pPr>
              <w:snapToGrid w:val="0"/>
              <w:ind w:left="175" w:right="138"/>
              <w:jc w:val="center"/>
              <w:rPr>
                <w:rFonts w:ascii="Times New Roman" w:hAnsi="Times New Roman"/>
                <w:b/>
                <w:caps/>
                <w:sz w:val="16"/>
                <w:szCs w:val="16"/>
              </w:rPr>
            </w:pPr>
            <w:r w:rsidRPr="00E16672">
              <w:rPr>
                <w:rFonts w:ascii="Times New Roman" w:hAnsi="Times New Roman"/>
                <w:b/>
                <w:caps/>
                <w:sz w:val="16"/>
                <w:szCs w:val="16"/>
              </w:rPr>
              <w:t>3. Порядок отримання розпоряджень</w:t>
            </w:r>
          </w:p>
          <w:p w14:paraId="72091D10" w14:textId="77777777" w:rsidR="005C5318" w:rsidRPr="00E16672" w:rsidRDefault="005C5318" w:rsidP="005C5318">
            <w:pPr>
              <w:ind w:left="175" w:right="138"/>
              <w:jc w:val="center"/>
              <w:rPr>
                <w:rFonts w:ascii="Times New Roman" w:hAnsi="Times New Roman"/>
                <w:sz w:val="16"/>
                <w:szCs w:val="16"/>
              </w:rPr>
            </w:pPr>
          </w:p>
          <w:p w14:paraId="62ACD935" w14:textId="77777777" w:rsidR="005C5318" w:rsidRPr="00E16672" w:rsidRDefault="005C5318" w:rsidP="005C5318">
            <w:pPr>
              <w:ind w:left="175" w:right="138" w:firstLine="0"/>
              <w:rPr>
                <w:rFonts w:ascii="Times New Roman" w:hAnsi="Times New Roman"/>
                <w:sz w:val="16"/>
                <w:szCs w:val="16"/>
              </w:rPr>
            </w:pPr>
            <w:r w:rsidRPr="00E16672">
              <w:rPr>
                <w:rFonts w:ascii="Times New Roman" w:hAnsi="Times New Roman"/>
                <w:sz w:val="16"/>
                <w:szCs w:val="16"/>
              </w:rPr>
              <w:t xml:space="preserve">3.1. </w:t>
            </w:r>
            <w:proofErr w:type="spellStart"/>
            <w:r w:rsidRPr="00E16672">
              <w:rPr>
                <w:rFonts w:ascii="Times New Roman" w:hAnsi="Times New Roman"/>
                <w:sz w:val="16"/>
                <w:szCs w:val="16"/>
              </w:rPr>
              <w:t>Обслуговування</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операцій</w:t>
            </w:r>
            <w:proofErr w:type="spellEnd"/>
            <w:r w:rsidRPr="00E16672">
              <w:rPr>
                <w:rFonts w:ascii="Times New Roman" w:hAnsi="Times New Roman"/>
                <w:sz w:val="16"/>
                <w:szCs w:val="16"/>
              </w:rPr>
              <w:t xml:space="preserve"> з </w:t>
            </w:r>
            <w:proofErr w:type="spellStart"/>
            <w:r w:rsidRPr="00E16672">
              <w:rPr>
                <w:rFonts w:ascii="Times New Roman" w:hAnsi="Times New Roman"/>
                <w:sz w:val="16"/>
                <w:szCs w:val="16"/>
              </w:rPr>
              <w:t>цінними</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паперами</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здійснюються</w:t>
            </w:r>
            <w:proofErr w:type="spellEnd"/>
            <w:r w:rsidRPr="00E16672">
              <w:rPr>
                <w:rFonts w:ascii="Times New Roman" w:hAnsi="Times New Roman"/>
                <w:sz w:val="16"/>
                <w:szCs w:val="16"/>
              </w:rPr>
              <w:t xml:space="preserve"> Депозитарною </w:t>
            </w:r>
            <w:proofErr w:type="spellStart"/>
            <w:r w:rsidRPr="00E16672">
              <w:rPr>
                <w:rFonts w:ascii="Times New Roman" w:hAnsi="Times New Roman"/>
                <w:sz w:val="16"/>
                <w:szCs w:val="16"/>
              </w:rPr>
              <w:t>установою</w:t>
            </w:r>
            <w:proofErr w:type="spellEnd"/>
            <w:r w:rsidRPr="00E16672">
              <w:rPr>
                <w:rFonts w:ascii="Times New Roman" w:hAnsi="Times New Roman"/>
                <w:sz w:val="16"/>
                <w:szCs w:val="16"/>
              </w:rPr>
              <w:t xml:space="preserve"> за </w:t>
            </w:r>
            <w:proofErr w:type="spellStart"/>
            <w:proofErr w:type="gramStart"/>
            <w:r w:rsidRPr="00E16672">
              <w:rPr>
                <w:rFonts w:ascii="Times New Roman" w:hAnsi="Times New Roman"/>
                <w:sz w:val="16"/>
                <w:szCs w:val="16"/>
              </w:rPr>
              <w:t>розпорядженням</w:t>
            </w:r>
            <w:proofErr w:type="spellEnd"/>
            <w:r w:rsidRPr="00E16672">
              <w:rPr>
                <w:rFonts w:ascii="Times New Roman" w:hAnsi="Times New Roman"/>
                <w:sz w:val="16"/>
                <w:szCs w:val="16"/>
              </w:rPr>
              <w:t xml:space="preserve">  Депонента</w:t>
            </w:r>
            <w:proofErr w:type="gramEnd"/>
            <w:r w:rsidRPr="00E16672">
              <w:rPr>
                <w:rFonts w:ascii="Times New Roman" w:hAnsi="Times New Roman"/>
                <w:sz w:val="16"/>
                <w:szCs w:val="16"/>
              </w:rPr>
              <w:t xml:space="preserve">, </w:t>
            </w:r>
            <w:proofErr w:type="spellStart"/>
            <w:r w:rsidRPr="00E16672">
              <w:rPr>
                <w:rFonts w:ascii="Times New Roman" w:hAnsi="Times New Roman"/>
                <w:sz w:val="16"/>
                <w:szCs w:val="16"/>
              </w:rPr>
              <w:t>керуючого</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або</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розпорядника</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його</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рахунком</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уповноваженого</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представника</w:t>
            </w:r>
            <w:proofErr w:type="spellEnd"/>
            <w:r w:rsidRPr="00E16672">
              <w:rPr>
                <w:rFonts w:ascii="Times New Roman" w:hAnsi="Times New Roman"/>
                <w:sz w:val="16"/>
                <w:szCs w:val="16"/>
              </w:rPr>
              <w:t>).</w:t>
            </w:r>
          </w:p>
          <w:p w14:paraId="1C15C3C3" w14:textId="77777777" w:rsidR="005C5318" w:rsidRPr="00E16672" w:rsidRDefault="005C5318" w:rsidP="005C5318">
            <w:pPr>
              <w:ind w:left="175" w:right="138"/>
              <w:rPr>
                <w:rFonts w:ascii="Times New Roman" w:hAnsi="Times New Roman"/>
                <w:sz w:val="16"/>
                <w:szCs w:val="16"/>
              </w:rPr>
            </w:pPr>
          </w:p>
        </w:tc>
        <w:tc>
          <w:tcPr>
            <w:tcW w:w="5495" w:type="dxa"/>
            <w:gridSpan w:val="6"/>
            <w:shd w:val="clear" w:color="auto" w:fill="auto"/>
          </w:tcPr>
          <w:p w14:paraId="0A03CCD6" w14:textId="77777777" w:rsidR="00BA1F32" w:rsidRPr="00E16672" w:rsidRDefault="00BA1F32" w:rsidP="005C5318">
            <w:pPr>
              <w:tabs>
                <w:tab w:val="left" w:pos="287"/>
              </w:tabs>
              <w:snapToGrid w:val="0"/>
              <w:ind w:left="145" w:right="100"/>
              <w:jc w:val="center"/>
              <w:rPr>
                <w:rFonts w:ascii="Times New Roman" w:hAnsi="Times New Roman"/>
                <w:b/>
                <w:caps/>
                <w:sz w:val="16"/>
                <w:szCs w:val="16"/>
              </w:rPr>
            </w:pPr>
          </w:p>
          <w:p w14:paraId="4ED5DBAC" w14:textId="77777777" w:rsidR="005C5318" w:rsidRPr="00E16672" w:rsidRDefault="005C5318" w:rsidP="005C5318">
            <w:pPr>
              <w:tabs>
                <w:tab w:val="left" w:pos="287"/>
              </w:tabs>
              <w:snapToGrid w:val="0"/>
              <w:ind w:left="145" w:right="100"/>
              <w:jc w:val="center"/>
              <w:rPr>
                <w:rFonts w:ascii="Times New Roman" w:hAnsi="Times New Roman"/>
                <w:b/>
                <w:caps/>
                <w:sz w:val="16"/>
                <w:szCs w:val="16"/>
                <w:lang w:val="en-GB"/>
              </w:rPr>
            </w:pPr>
            <w:r w:rsidRPr="00E16672">
              <w:rPr>
                <w:rFonts w:ascii="Times New Roman" w:hAnsi="Times New Roman"/>
                <w:b/>
                <w:caps/>
                <w:sz w:val="16"/>
                <w:szCs w:val="16"/>
                <w:lang w:val="en-GB"/>
              </w:rPr>
              <w:t>3. Procedures of deriving of the orders</w:t>
            </w:r>
          </w:p>
          <w:p w14:paraId="7D593C95" w14:textId="77777777" w:rsidR="005C5318" w:rsidRPr="00E16672" w:rsidRDefault="005C5318" w:rsidP="005C5318">
            <w:pPr>
              <w:tabs>
                <w:tab w:val="left" w:pos="287"/>
              </w:tabs>
              <w:ind w:left="145" w:right="100"/>
              <w:rPr>
                <w:rFonts w:ascii="Times New Roman" w:hAnsi="Times New Roman"/>
                <w:sz w:val="16"/>
                <w:szCs w:val="16"/>
                <w:lang w:val="en-GB"/>
              </w:rPr>
            </w:pPr>
          </w:p>
          <w:p w14:paraId="63761DEF" w14:textId="77777777" w:rsidR="005C5318" w:rsidRPr="00E16672" w:rsidRDefault="005C5318" w:rsidP="005C5318">
            <w:pPr>
              <w:tabs>
                <w:tab w:val="left" w:pos="287"/>
              </w:tabs>
              <w:ind w:left="145" w:right="100" w:firstLine="0"/>
              <w:rPr>
                <w:rFonts w:ascii="Times New Roman" w:hAnsi="Times New Roman"/>
                <w:sz w:val="16"/>
                <w:szCs w:val="16"/>
                <w:lang w:val="en-GB"/>
              </w:rPr>
            </w:pPr>
            <w:r w:rsidRPr="00E16672">
              <w:rPr>
                <w:rFonts w:ascii="Times New Roman" w:hAnsi="Times New Roman"/>
                <w:sz w:val="16"/>
                <w:szCs w:val="16"/>
                <w:lang w:val="en-GB"/>
              </w:rPr>
              <w:t xml:space="preserve">3.1. Service of all of the operations with securities is to be </w:t>
            </w:r>
            <w:proofErr w:type="gramStart"/>
            <w:r w:rsidRPr="00E16672">
              <w:rPr>
                <w:rFonts w:ascii="Times New Roman" w:hAnsi="Times New Roman"/>
                <w:sz w:val="16"/>
                <w:szCs w:val="16"/>
                <w:lang w:val="en-GB"/>
              </w:rPr>
              <w:t>done  by</w:t>
            </w:r>
            <w:proofErr w:type="gramEnd"/>
            <w:r w:rsidRPr="00E16672">
              <w:rPr>
                <w:rFonts w:ascii="Times New Roman" w:hAnsi="Times New Roman"/>
                <w:sz w:val="16"/>
                <w:szCs w:val="16"/>
                <w:lang w:val="en-GB"/>
              </w:rPr>
              <w:t xml:space="preserve"> Depository institution  only by written orders given by Depositor, his administrator or account manager of the account (authorized representative person).</w:t>
            </w:r>
          </w:p>
        </w:tc>
      </w:tr>
      <w:tr w:rsidR="005C5318" w:rsidRPr="00F23413" w14:paraId="4216BED5" w14:textId="77777777" w:rsidTr="005E418B">
        <w:trPr>
          <w:trHeight w:val="962"/>
        </w:trPr>
        <w:tc>
          <w:tcPr>
            <w:tcW w:w="5695" w:type="dxa"/>
            <w:gridSpan w:val="6"/>
            <w:shd w:val="clear" w:color="auto" w:fill="auto"/>
          </w:tcPr>
          <w:p w14:paraId="231353FC" w14:textId="77777777" w:rsidR="005C5318" w:rsidRPr="00E16672" w:rsidRDefault="005C5318" w:rsidP="005C5318">
            <w:pPr>
              <w:snapToGrid w:val="0"/>
              <w:ind w:left="175" w:right="138" w:firstLine="7"/>
              <w:rPr>
                <w:rFonts w:ascii="Times New Roman" w:hAnsi="Times New Roman"/>
                <w:color w:val="000000"/>
                <w:sz w:val="16"/>
                <w:szCs w:val="16"/>
              </w:rPr>
            </w:pPr>
            <w:r w:rsidRPr="00E16672">
              <w:rPr>
                <w:rFonts w:ascii="Times New Roman" w:hAnsi="Times New Roman"/>
                <w:sz w:val="16"/>
                <w:szCs w:val="16"/>
              </w:rPr>
              <w:t>3.2</w:t>
            </w:r>
            <w:r w:rsidRPr="00E16672">
              <w:rPr>
                <w:rFonts w:ascii="Times New Roman" w:hAnsi="Times New Roman"/>
                <w:color w:val="000000"/>
                <w:sz w:val="16"/>
                <w:szCs w:val="16"/>
              </w:rPr>
              <w:t xml:space="preserve">. </w:t>
            </w:r>
            <w:r w:rsidRPr="00E16672">
              <w:rPr>
                <w:rFonts w:ascii="Times New Roman" w:hAnsi="Times New Roman"/>
                <w:color w:val="000000"/>
                <w:sz w:val="16"/>
                <w:szCs w:val="16"/>
                <w:lang w:val="uk-UA"/>
              </w:rPr>
              <w:t>Особливості складання розпоряджень Депонентів встановлені</w:t>
            </w:r>
            <w:r w:rsidRPr="00E16672">
              <w:rPr>
                <w:rFonts w:ascii="Times New Roman" w:hAnsi="Times New Roman"/>
                <w:color w:val="000000"/>
                <w:sz w:val="16"/>
                <w:szCs w:val="16"/>
              </w:rPr>
              <w:t xml:space="preserve"> </w:t>
            </w:r>
            <w:r w:rsidRPr="00E16672">
              <w:rPr>
                <w:rFonts w:ascii="Times New Roman" w:hAnsi="Times New Roman"/>
                <w:color w:val="000000"/>
                <w:sz w:val="16"/>
                <w:szCs w:val="20"/>
                <w:lang w:val="uk-UA"/>
              </w:rPr>
              <w:t>законодавством та</w:t>
            </w:r>
            <w:r w:rsidRPr="00E16672">
              <w:rPr>
                <w:rFonts w:ascii="Times New Roman" w:hAnsi="Times New Roman"/>
                <w:color w:val="000000"/>
                <w:sz w:val="16"/>
                <w:szCs w:val="20"/>
              </w:rPr>
              <w:t xml:space="preserve"> </w:t>
            </w:r>
            <w:proofErr w:type="spellStart"/>
            <w:r w:rsidRPr="00E16672">
              <w:rPr>
                <w:rFonts w:ascii="Times New Roman" w:hAnsi="Times New Roman"/>
                <w:color w:val="000000"/>
                <w:sz w:val="16"/>
                <w:szCs w:val="16"/>
              </w:rPr>
              <w:t>внутрішніми</w:t>
            </w:r>
            <w:proofErr w:type="spellEnd"/>
            <w:r w:rsidRPr="00E16672">
              <w:rPr>
                <w:rFonts w:ascii="Times New Roman" w:hAnsi="Times New Roman"/>
                <w:color w:val="000000"/>
                <w:sz w:val="16"/>
                <w:szCs w:val="16"/>
              </w:rPr>
              <w:t xml:space="preserve"> документами </w:t>
            </w:r>
            <w:proofErr w:type="spellStart"/>
            <w:r w:rsidRPr="00E16672">
              <w:rPr>
                <w:rFonts w:ascii="Times New Roman" w:hAnsi="Times New Roman"/>
                <w:color w:val="000000"/>
                <w:sz w:val="16"/>
                <w:szCs w:val="16"/>
              </w:rPr>
              <w:t>Депозитарної</w:t>
            </w:r>
            <w:proofErr w:type="spellEnd"/>
            <w:r w:rsidRPr="00E16672">
              <w:rPr>
                <w:rFonts w:ascii="Times New Roman" w:hAnsi="Times New Roman"/>
                <w:color w:val="000000"/>
                <w:sz w:val="16"/>
                <w:szCs w:val="16"/>
              </w:rPr>
              <w:t xml:space="preserve"> установи</w:t>
            </w:r>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rPr>
              <w:t>Розпорядження</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можуть</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надават</w:t>
            </w:r>
            <w:r w:rsidR="00F50251" w:rsidRPr="00E16672">
              <w:rPr>
                <w:rFonts w:ascii="Times New Roman" w:hAnsi="Times New Roman"/>
                <w:color w:val="000000"/>
                <w:sz w:val="16"/>
                <w:szCs w:val="16"/>
              </w:rPr>
              <w:t>и</w:t>
            </w:r>
            <w:r w:rsidRPr="00E16672">
              <w:rPr>
                <w:rFonts w:ascii="Times New Roman" w:hAnsi="Times New Roman"/>
                <w:color w:val="000000"/>
                <w:sz w:val="16"/>
                <w:szCs w:val="16"/>
              </w:rPr>
              <w:t>ся</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Депозитарній</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установі</w:t>
            </w:r>
            <w:proofErr w:type="spellEnd"/>
            <w:r w:rsidRPr="00E16672">
              <w:rPr>
                <w:rFonts w:ascii="Times New Roman" w:hAnsi="Times New Roman"/>
                <w:color w:val="000000"/>
                <w:sz w:val="16"/>
                <w:szCs w:val="16"/>
              </w:rPr>
              <w:t xml:space="preserve"> у </w:t>
            </w:r>
            <w:proofErr w:type="spellStart"/>
            <w:r w:rsidRPr="00E16672">
              <w:rPr>
                <w:rFonts w:ascii="Times New Roman" w:hAnsi="Times New Roman"/>
                <w:color w:val="000000"/>
                <w:sz w:val="16"/>
                <w:szCs w:val="16"/>
              </w:rPr>
              <w:t>формі</w:t>
            </w:r>
            <w:proofErr w:type="spellEnd"/>
            <w:r w:rsidRPr="00E16672">
              <w:rPr>
                <w:rFonts w:ascii="Times New Roman" w:hAnsi="Times New Roman"/>
                <w:color w:val="000000"/>
                <w:sz w:val="16"/>
                <w:szCs w:val="16"/>
              </w:rPr>
              <w:t>:</w:t>
            </w:r>
            <w:r w:rsidRPr="00E16672">
              <w:rPr>
                <w:rFonts w:ascii="Times New Roman" w:hAnsi="Times New Roman"/>
                <w:sz w:val="16"/>
                <w:szCs w:val="16"/>
              </w:rPr>
              <w:t xml:space="preserve"> </w:t>
            </w:r>
            <w:proofErr w:type="spellStart"/>
            <w:r w:rsidRPr="00E16672">
              <w:rPr>
                <w:rFonts w:ascii="Times New Roman" w:hAnsi="Times New Roman"/>
                <w:sz w:val="16"/>
                <w:szCs w:val="16"/>
              </w:rPr>
              <w:t>паперового</w:t>
            </w:r>
            <w:proofErr w:type="spellEnd"/>
            <w:r w:rsidRPr="00E16672">
              <w:rPr>
                <w:rFonts w:ascii="Times New Roman" w:hAnsi="Times New Roman"/>
                <w:sz w:val="16"/>
                <w:szCs w:val="16"/>
              </w:rPr>
              <w:t xml:space="preserve"> документу, </w:t>
            </w:r>
            <w:proofErr w:type="spellStart"/>
            <w:r w:rsidRPr="00E16672">
              <w:rPr>
                <w:rFonts w:ascii="Times New Roman" w:hAnsi="Times New Roman"/>
                <w:sz w:val="16"/>
                <w:szCs w:val="16"/>
              </w:rPr>
              <w:t>електронного</w:t>
            </w:r>
            <w:proofErr w:type="spellEnd"/>
            <w:r w:rsidRPr="00E16672">
              <w:rPr>
                <w:rFonts w:ascii="Times New Roman" w:hAnsi="Times New Roman"/>
                <w:sz w:val="16"/>
                <w:szCs w:val="16"/>
              </w:rPr>
              <w:t xml:space="preserve"> документу, </w:t>
            </w:r>
            <w:proofErr w:type="spellStart"/>
            <w:r w:rsidRPr="00E16672">
              <w:rPr>
                <w:rFonts w:ascii="Times New Roman" w:hAnsi="Times New Roman"/>
                <w:sz w:val="16"/>
                <w:szCs w:val="16"/>
              </w:rPr>
              <w:t>електронного</w:t>
            </w:r>
            <w:proofErr w:type="spellEnd"/>
            <w:r w:rsidRPr="00E16672">
              <w:rPr>
                <w:rFonts w:ascii="Times New Roman" w:hAnsi="Times New Roman"/>
                <w:sz w:val="16"/>
                <w:szCs w:val="16"/>
              </w:rPr>
              <w:t xml:space="preserve"> документу у </w:t>
            </w:r>
            <w:proofErr w:type="spellStart"/>
            <w:r w:rsidRPr="00E16672">
              <w:rPr>
                <w:rFonts w:ascii="Times New Roman" w:hAnsi="Times New Roman"/>
                <w:sz w:val="16"/>
                <w:szCs w:val="16"/>
              </w:rPr>
              <w:t>формі</w:t>
            </w:r>
            <w:proofErr w:type="spellEnd"/>
            <w:r w:rsidRPr="00E16672">
              <w:rPr>
                <w:rFonts w:ascii="Times New Roman" w:hAnsi="Times New Roman"/>
                <w:sz w:val="16"/>
                <w:szCs w:val="16"/>
              </w:rPr>
              <w:t xml:space="preserve"> S.W.I.F.T.-</w:t>
            </w:r>
            <w:proofErr w:type="spellStart"/>
            <w:r w:rsidRPr="00E16672">
              <w:rPr>
                <w:rFonts w:ascii="Times New Roman" w:hAnsi="Times New Roman"/>
                <w:color w:val="000000"/>
                <w:sz w:val="16"/>
                <w:szCs w:val="16"/>
              </w:rPr>
              <w:t>повідомлення</w:t>
            </w:r>
            <w:proofErr w:type="spellEnd"/>
            <w:r w:rsidRPr="00E16672">
              <w:rPr>
                <w:rFonts w:ascii="Times New Roman" w:hAnsi="Times New Roman"/>
                <w:color w:val="000000"/>
                <w:sz w:val="16"/>
                <w:szCs w:val="16"/>
              </w:rPr>
              <w:t xml:space="preserve">. </w:t>
            </w:r>
          </w:p>
          <w:p w14:paraId="3789A8AA" w14:textId="77777777" w:rsidR="005C5318" w:rsidRPr="00E16672" w:rsidRDefault="005C5318" w:rsidP="005C5318">
            <w:pPr>
              <w:ind w:left="175" w:right="138" w:firstLine="7"/>
              <w:rPr>
                <w:rFonts w:ascii="Times New Roman" w:hAnsi="Times New Roman"/>
                <w:color w:val="000000"/>
                <w:sz w:val="16"/>
                <w:szCs w:val="16"/>
              </w:rPr>
            </w:pPr>
            <w:proofErr w:type="spellStart"/>
            <w:r w:rsidRPr="00E16672">
              <w:rPr>
                <w:rFonts w:ascii="Times New Roman" w:hAnsi="Times New Roman"/>
                <w:color w:val="000000"/>
                <w:sz w:val="16"/>
                <w:szCs w:val="16"/>
              </w:rPr>
              <w:t>Спосіб</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підписання</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розпорядження</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визначається</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згідно</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зі</w:t>
            </w:r>
            <w:proofErr w:type="spellEnd"/>
            <w:r w:rsidRPr="00E16672">
              <w:rPr>
                <w:rFonts w:ascii="Times New Roman" w:hAnsi="Times New Roman"/>
                <w:color w:val="000000"/>
                <w:sz w:val="16"/>
                <w:szCs w:val="16"/>
              </w:rPr>
              <w:t xml:space="preserve"> способом </w:t>
            </w:r>
            <w:proofErr w:type="spellStart"/>
            <w:r w:rsidRPr="00E16672">
              <w:rPr>
                <w:rFonts w:ascii="Times New Roman" w:hAnsi="Times New Roman"/>
                <w:color w:val="000000"/>
                <w:sz w:val="16"/>
                <w:szCs w:val="16"/>
              </w:rPr>
              <w:t>підтвердження</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справжності</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підпису</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що</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використовується</w:t>
            </w:r>
            <w:proofErr w:type="spellEnd"/>
            <w:r w:rsidRPr="00E16672">
              <w:rPr>
                <w:rFonts w:ascii="Times New Roman" w:hAnsi="Times New Roman"/>
                <w:color w:val="000000"/>
                <w:sz w:val="16"/>
                <w:szCs w:val="16"/>
              </w:rPr>
              <w:t xml:space="preserve"> при </w:t>
            </w:r>
            <w:proofErr w:type="spellStart"/>
            <w:r w:rsidRPr="00E16672">
              <w:rPr>
                <w:rFonts w:ascii="Times New Roman" w:hAnsi="Times New Roman"/>
                <w:color w:val="000000"/>
                <w:sz w:val="16"/>
                <w:szCs w:val="16"/>
              </w:rPr>
              <w:t>обміні</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інформацією</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між</w:t>
            </w:r>
            <w:proofErr w:type="spellEnd"/>
            <w:r w:rsidRPr="00E16672">
              <w:rPr>
                <w:rFonts w:ascii="Times New Roman" w:hAnsi="Times New Roman"/>
                <w:color w:val="000000"/>
                <w:sz w:val="16"/>
                <w:szCs w:val="16"/>
              </w:rPr>
              <w:t xml:space="preserve"> Депонентом та Депозитарною </w:t>
            </w:r>
            <w:proofErr w:type="spellStart"/>
            <w:r w:rsidRPr="00E16672">
              <w:rPr>
                <w:rFonts w:ascii="Times New Roman" w:hAnsi="Times New Roman"/>
                <w:color w:val="000000"/>
                <w:sz w:val="16"/>
                <w:szCs w:val="16"/>
              </w:rPr>
              <w:t>установою</w:t>
            </w:r>
            <w:proofErr w:type="spellEnd"/>
            <w:r w:rsidRPr="00E16672">
              <w:rPr>
                <w:rFonts w:ascii="Times New Roman" w:hAnsi="Times New Roman"/>
                <w:color w:val="000000"/>
                <w:sz w:val="16"/>
                <w:szCs w:val="16"/>
              </w:rPr>
              <w:t xml:space="preserve">, і </w:t>
            </w:r>
            <w:proofErr w:type="spellStart"/>
            <w:r w:rsidRPr="00E16672">
              <w:rPr>
                <w:rFonts w:ascii="Times New Roman" w:hAnsi="Times New Roman"/>
                <w:color w:val="000000"/>
                <w:sz w:val="16"/>
                <w:szCs w:val="16"/>
              </w:rPr>
              <w:t>може</w:t>
            </w:r>
            <w:proofErr w:type="spellEnd"/>
            <w:r w:rsidRPr="00E16672">
              <w:rPr>
                <w:rFonts w:ascii="Times New Roman" w:hAnsi="Times New Roman"/>
                <w:color w:val="000000"/>
                <w:sz w:val="16"/>
                <w:szCs w:val="16"/>
              </w:rPr>
              <w:t xml:space="preserve"> бути таким:</w:t>
            </w:r>
          </w:p>
          <w:p w14:paraId="37184B7D" w14:textId="77777777" w:rsidR="005C5318" w:rsidRPr="00E16672" w:rsidRDefault="005C5318" w:rsidP="005C5318">
            <w:pPr>
              <w:ind w:left="175" w:right="138" w:firstLine="7"/>
              <w:rPr>
                <w:rFonts w:ascii="Times New Roman" w:hAnsi="Times New Roman"/>
                <w:color w:val="000000"/>
                <w:sz w:val="16"/>
                <w:szCs w:val="16"/>
              </w:rPr>
            </w:pPr>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підпис</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розпорядника</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рахунку</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або</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керуючого</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рахунком</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юридичної</w:t>
            </w:r>
            <w:proofErr w:type="spellEnd"/>
            <w:r w:rsidRPr="00E16672">
              <w:rPr>
                <w:rFonts w:ascii="Times New Roman" w:hAnsi="Times New Roman"/>
                <w:color w:val="000000"/>
                <w:sz w:val="16"/>
                <w:szCs w:val="16"/>
              </w:rPr>
              <w:t xml:space="preserve"> особи, печатка </w:t>
            </w:r>
            <w:proofErr w:type="spellStart"/>
            <w:r w:rsidRPr="00E16672">
              <w:rPr>
                <w:rFonts w:ascii="Times New Roman" w:hAnsi="Times New Roman"/>
                <w:color w:val="000000"/>
                <w:sz w:val="16"/>
                <w:szCs w:val="16"/>
              </w:rPr>
              <w:t>керуючого</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рахунком</w:t>
            </w:r>
            <w:proofErr w:type="spellEnd"/>
            <w:r w:rsidRPr="00E16672">
              <w:rPr>
                <w:rFonts w:ascii="Times New Roman" w:hAnsi="Times New Roman"/>
                <w:color w:val="000000"/>
                <w:sz w:val="16"/>
                <w:szCs w:val="16"/>
              </w:rPr>
              <w:t xml:space="preserve"> - </w:t>
            </w:r>
            <w:proofErr w:type="spellStart"/>
            <w:r w:rsidRPr="00E16672">
              <w:rPr>
                <w:rFonts w:ascii="Times New Roman" w:hAnsi="Times New Roman"/>
                <w:color w:val="000000"/>
                <w:sz w:val="16"/>
                <w:szCs w:val="16"/>
              </w:rPr>
              <w:t>юридичної</w:t>
            </w:r>
            <w:proofErr w:type="spellEnd"/>
            <w:r w:rsidRPr="00E16672">
              <w:rPr>
                <w:rFonts w:ascii="Times New Roman" w:hAnsi="Times New Roman"/>
                <w:color w:val="000000"/>
                <w:sz w:val="16"/>
                <w:szCs w:val="16"/>
              </w:rPr>
              <w:t xml:space="preserve"> особи (у </w:t>
            </w:r>
            <w:proofErr w:type="spellStart"/>
            <w:r w:rsidRPr="00E16672">
              <w:rPr>
                <w:rFonts w:ascii="Times New Roman" w:hAnsi="Times New Roman"/>
                <w:color w:val="000000"/>
                <w:sz w:val="16"/>
                <w:szCs w:val="16"/>
              </w:rPr>
              <w:t>разі</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її</w:t>
            </w:r>
            <w:proofErr w:type="spellEnd"/>
            <w:r w:rsidRPr="00E16672">
              <w:rPr>
                <w:rFonts w:ascii="Times New Roman" w:hAnsi="Times New Roman"/>
                <w:color w:val="000000"/>
                <w:sz w:val="16"/>
                <w:szCs w:val="16"/>
              </w:rPr>
              <w:t xml:space="preserve"> </w:t>
            </w:r>
            <w:r w:rsidRPr="00E16672">
              <w:rPr>
                <w:rFonts w:ascii="Times New Roman" w:hAnsi="Times New Roman"/>
                <w:color w:val="000000"/>
                <w:sz w:val="16"/>
                <w:szCs w:val="16"/>
                <w:lang w:val="uk-UA"/>
              </w:rPr>
              <w:t xml:space="preserve">використання </w:t>
            </w:r>
            <w:r w:rsidRPr="00E16672">
              <w:rPr>
                <w:rFonts w:ascii="Times New Roman" w:hAnsi="Times New Roman"/>
                <w:color w:val="000000"/>
                <w:sz w:val="16"/>
                <w:szCs w:val="16"/>
              </w:rPr>
              <w:t xml:space="preserve">та у </w:t>
            </w:r>
            <w:proofErr w:type="spellStart"/>
            <w:r w:rsidRPr="00E16672">
              <w:rPr>
                <w:rFonts w:ascii="Times New Roman" w:hAnsi="Times New Roman"/>
                <w:color w:val="000000"/>
                <w:sz w:val="16"/>
                <w:szCs w:val="16"/>
              </w:rPr>
              <w:t>відповідності</w:t>
            </w:r>
            <w:proofErr w:type="spellEnd"/>
            <w:r w:rsidRPr="00E16672">
              <w:rPr>
                <w:rFonts w:ascii="Times New Roman" w:hAnsi="Times New Roman"/>
                <w:color w:val="000000"/>
                <w:sz w:val="16"/>
                <w:szCs w:val="16"/>
              </w:rPr>
              <w:t xml:space="preserve"> до </w:t>
            </w:r>
            <w:proofErr w:type="spellStart"/>
            <w:r w:rsidRPr="00E16672">
              <w:rPr>
                <w:rFonts w:ascii="Times New Roman" w:hAnsi="Times New Roman"/>
                <w:color w:val="000000"/>
                <w:sz w:val="16"/>
                <w:szCs w:val="16"/>
              </w:rPr>
              <w:t>повноважень</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які</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передбачають</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посвідчення</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підпису</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печаткою</w:t>
            </w:r>
            <w:proofErr w:type="spellEnd"/>
            <w:r w:rsidRPr="00E16672">
              <w:rPr>
                <w:rFonts w:ascii="Times New Roman" w:hAnsi="Times New Roman"/>
                <w:color w:val="000000"/>
                <w:sz w:val="16"/>
                <w:szCs w:val="16"/>
              </w:rPr>
              <w:t xml:space="preserve">) - у </w:t>
            </w:r>
            <w:proofErr w:type="spellStart"/>
            <w:r w:rsidRPr="00E16672">
              <w:rPr>
                <w:rFonts w:ascii="Times New Roman" w:hAnsi="Times New Roman"/>
                <w:color w:val="000000"/>
                <w:sz w:val="16"/>
                <w:szCs w:val="16"/>
              </w:rPr>
              <w:t>разі</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надання</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розпорядження</w:t>
            </w:r>
            <w:proofErr w:type="spellEnd"/>
            <w:r w:rsidRPr="00E16672">
              <w:rPr>
                <w:rFonts w:ascii="Times New Roman" w:hAnsi="Times New Roman"/>
                <w:color w:val="000000"/>
                <w:sz w:val="16"/>
                <w:szCs w:val="16"/>
              </w:rPr>
              <w:t xml:space="preserve"> у </w:t>
            </w:r>
            <w:proofErr w:type="spellStart"/>
            <w:r w:rsidRPr="00E16672">
              <w:rPr>
                <w:rFonts w:ascii="Times New Roman" w:hAnsi="Times New Roman"/>
                <w:color w:val="000000"/>
                <w:sz w:val="16"/>
                <w:szCs w:val="16"/>
              </w:rPr>
              <w:t>вигляді</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паперового</w:t>
            </w:r>
            <w:proofErr w:type="spellEnd"/>
            <w:r w:rsidRPr="00E16672">
              <w:rPr>
                <w:rFonts w:ascii="Times New Roman" w:hAnsi="Times New Roman"/>
                <w:color w:val="000000"/>
                <w:sz w:val="16"/>
                <w:szCs w:val="16"/>
              </w:rPr>
              <w:t xml:space="preserve"> документа;</w:t>
            </w:r>
          </w:p>
          <w:p w14:paraId="3A14CA0F" w14:textId="77777777" w:rsidR="005C5318" w:rsidRPr="00E16672" w:rsidRDefault="005C5318" w:rsidP="005C5318">
            <w:pPr>
              <w:ind w:left="175" w:right="138" w:firstLine="7"/>
              <w:rPr>
                <w:rFonts w:ascii="Times New Roman" w:hAnsi="Times New Roman"/>
                <w:color w:val="000000"/>
                <w:sz w:val="16"/>
                <w:szCs w:val="16"/>
                <w:lang w:val="uk-UA"/>
              </w:rPr>
            </w:pPr>
            <w:r w:rsidRPr="00E16672">
              <w:rPr>
                <w:rFonts w:ascii="Times New Roman" w:hAnsi="Times New Roman"/>
                <w:color w:val="000000"/>
                <w:sz w:val="16"/>
                <w:szCs w:val="16"/>
              </w:rPr>
              <w:t xml:space="preserve"> - </w:t>
            </w:r>
            <w:r w:rsidRPr="00E16672">
              <w:rPr>
                <w:rFonts w:ascii="Times New Roman" w:hAnsi="Times New Roman"/>
                <w:color w:val="000000"/>
                <w:sz w:val="16"/>
                <w:szCs w:val="16"/>
                <w:lang w:val="uk-UA"/>
              </w:rPr>
              <w:t>кваліфікований</w:t>
            </w:r>
            <w:r w:rsidRPr="00E16672" w:rsidDel="008C4813">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rPr>
              <w:t>електронний</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підпис</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що</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накладається</w:t>
            </w:r>
            <w:proofErr w:type="spellEnd"/>
            <w:r w:rsidRPr="00E16672">
              <w:rPr>
                <w:rFonts w:ascii="Times New Roman" w:hAnsi="Times New Roman"/>
                <w:color w:val="000000"/>
                <w:sz w:val="16"/>
                <w:szCs w:val="16"/>
              </w:rPr>
              <w:t xml:space="preserve"> за </w:t>
            </w:r>
            <w:proofErr w:type="spellStart"/>
            <w:r w:rsidRPr="00E16672">
              <w:rPr>
                <w:rFonts w:ascii="Times New Roman" w:hAnsi="Times New Roman"/>
                <w:color w:val="000000"/>
                <w:sz w:val="16"/>
                <w:szCs w:val="16"/>
              </w:rPr>
              <w:t>допомогою</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особистого</w:t>
            </w:r>
            <w:proofErr w:type="spellEnd"/>
            <w:r w:rsidRPr="00E16672">
              <w:rPr>
                <w:rFonts w:ascii="Times New Roman" w:hAnsi="Times New Roman"/>
                <w:color w:val="000000"/>
                <w:sz w:val="16"/>
                <w:szCs w:val="16"/>
              </w:rPr>
              <w:t xml:space="preserve"> ключа </w:t>
            </w:r>
            <w:proofErr w:type="spellStart"/>
            <w:r w:rsidRPr="00E16672">
              <w:rPr>
                <w:rFonts w:ascii="Times New Roman" w:hAnsi="Times New Roman"/>
                <w:color w:val="000000"/>
                <w:sz w:val="16"/>
                <w:szCs w:val="16"/>
                <w:lang w:val="uk-UA"/>
              </w:rPr>
              <w:t>кваліфікован</w:t>
            </w:r>
            <w:proofErr w:type="spellEnd"/>
            <w:r w:rsidRPr="00E16672">
              <w:rPr>
                <w:rFonts w:ascii="Times New Roman" w:hAnsi="Times New Roman"/>
                <w:color w:val="000000"/>
                <w:sz w:val="16"/>
                <w:szCs w:val="16"/>
              </w:rPr>
              <w:t>ого</w:t>
            </w:r>
            <w:r w:rsidRPr="00E16672" w:rsidDel="008C4813">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rPr>
              <w:t>електронного</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підпису</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розпорядника</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рахунку</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або</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керуючого</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рахунком</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юридичної</w:t>
            </w:r>
            <w:proofErr w:type="spellEnd"/>
            <w:r w:rsidRPr="00E16672">
              <w:rPr>
                <w:rFonts w:ascii="Times New Roman" w:hAnsi="Times New Roman"/>
                <w:color w:val="000000"/>
                <w:sz w:val="16"/>
                <w:szCs w:val="16"/>
              </w:rPr>
              <w:t xml:space="preserve"> особи, </w:t>
            </w:r>
            <w:r w:rsidRPr="00E16672">
              <w:rPr>
                <w:rFonts w:ascii="Times New Roman" w:hAnsi="Times New Roman"/>
                <w:color w:val="000000"/>
                <w:sz w:val="16"/>
                <w:szCs w:val="16"/>
                <w:lang w:val="uk-UA"/>
              </w:rPr>
              <w:t>кваліфікований</w:t>
            </w:r>
            <w:r w:rsidRPr="00E16672" w:rsidDel="008C4813">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rPr>
              <w:t>електронний</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підпис</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що</w:t>
            </w:r>
            <w:proofErr w:type="spellEnd"/>
            <w:r w:rsidRPr="00E16672">
              <w:rPr>
                <w:rFonts w:ascii="Times New Roman" w:hAnsi="Times New Roman"/>
                <w:color w:val="000000"/>
                <w:sz w:val="16"/>
                <w:szCs w:val="16"/>
              </w:rPr>
              <w:t xml:space="preserve"> за </w:t>
            </w:r>
            <w:proofErr w:type="spellStart"/>
            <w:r w:rsidRPr="00E16672">
              <w:rPr>
                <w:rFonts w:ascii="Times New Roman" w:hAnsi="Times New Roman"/>
                <w:color w:val="000000"/>
                <w:sz w:val="16"/>
                <w:szCs w:val="16"/>
              </w:rPr>
              <w:t>правовим</w:t>
            </w:r>
            <w:proofErr w:type="spellEnd"/>
            <w:r w:rsidRPr="00E16672">
              <w:rPr>
                <w:rFonts w:ascii="Times New Roman" w:hAnsi="Times New Roman"/>
                <w:color w:val="000000"/>
                <w:sz w:val="16"/>
                <w:szCs w:val="16"/>
              </w:rPr>
              <w:t xml:space="preserve"> статусом </w:t>
            </w:r>
            <w:proofErr w:type="spellStart"/>
            <w:r w:rsidRPr="00E16672">
              <w:rPr>
                <w:rFonts w:ascii="Times New Roman" w:hAnsi="Times New Roman"/>
                <w:color w:val="000000"/>
                <w:sz w:val="16"/>
                <w:szCs w:val="16"/>
              </w:rPr>
              <w:t>прирівнюється</w:t>
            </w:r>
            <w:proofErr w:type="spellEnd"/>
            <w:r w:rsidRPr="00E16672">
              <w:rPr>
                <w:rFonts w:ascii="Times New Roman" w:hAnsi="Times New Roman"/>
                <w:color w:val="000000"/>
                <w:sz w:val="16"/>
                <w:szCs w:val="16"/>
              </w:rPr>
              <w:t xml:space="preserve"> до печатки </w:t>
            </w:r>
            <w:proofErr w:type="spellStart"/>
            <w:r w:rsidRPr="00E16672">
              <w:rPr>
                <w:rFonts w:ascii="Times New Roman" w:hAnsi="Times New Roman"/>
                <w:color w:val="000000"/>
                <w:sz w:val="16"/>
                <w:szCs w:val="16"/>
              </w:rPr>
              <w:t>юридичної</w:t>
            </w:r>
            <w:proofErr w:type="spellEnd"/>
            <w:r w:rsidRPr="00E16672">
              <w:rPr>
                <w:rFonts w:ascii="Times New Roman" w:hAnsi="Times New Roman"/>
                <w:color w:val="000000"/>
                <w:sz w:val="16"/>
                <w:szCs w:val="16"/>
              </w:rPr>
              <w:t xml:space="preserve"> особи (</w:t>
            </w:r>
            <w:r w:rsidRPr="00E16672">
              <w:rPr>
                <w:rFonts w:ascii="Times New Roman" w:hAnsi="Times New Roman"/>
                <w:color w:val="000000"/>
                <w:sz w:val="16"/>
                <w:szCs w:val="20"/>
                <w:lang w:val="uk-UA"/>
              </w:rPr>
              <w:t xml:space="preserve">у разі її використання, </w:t>
            </w:r>
            <w:proofErr w:type="spellStart"/>
            <w:r w:rsidRPr="00E16672">
              <w:rPr>
                <w:rFonts w:ascii="Times New Roman" w:hAnsi="Times New Roman"/>
                <w:color w:val="000000"/>
                <w:sz w:val="16"/>
                <w:szCs w:val="16"/>
              </w:rPr>
              <w:t>крім</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юридичних</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осіб</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нерезидентів</w:t>
            </w:r>
            <w:proofErr w:type="spellEnd"/>
            <w:r w:rsidRPr="00E16672">
              <w:rPr>
                <w:rFonts w:ascii="Times New Roman" w:hAnsi="Times New Roman"/>
                <w:color w:val="000000"/>
                <w:sz w:val="16"/>
                <w:szCs w:val="16"/>
              </w:rPr>
              <w:t xml:space="preserve"> –  </w:t>
            </w:r>
            <w:proofErr w:type="spellStart"/>
            <w:r w:rsidRPr="00E16672">
              <w:rPr>
                <w:rFonts w:ascii="Times New Roman" w:hAnsi="Times New Roman"/>
                <w:color w:val="000000"/>
                <w:sz w:val="16"/>
                <w:szCs w:val="16"/>
              </w:rPr>
              <w:t>керуючих</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рахунком</w:t>
            </w:r>
            <w:proofErr w:type="spellEnd"/>
            <w:r w:rsidRPr="00E16672">
              <w:rPr>
                <w:rFonts w:ascii="Times New Roman" w:hAnsi="Times New Roman"/>
                <w:color w:val="000000"/>
                <w:sz w:val="16"/>
                <w:szCs w:val="16"/>
              </w:rPr>
              <w:t xml:space="preserve"> та у </w:t>
            </w:r>
            <w:proofErr w:type="spellStart"/>
            <w:r w:rsidRPr="00E16672">
              <w:rPr>
                <w:rFonts w:ascii="Times New Roman" w:hAnsi="Times New Roman"/>
                <w:color w:val="000000"/>
                <w:sz w:val="16"/>
                <w:szCs w:val="16"/>
              </w:rPr>
              <w:t>відповідності</w:t>
            </w:r>
            <w:proofErr w:type="spellEnd"/>
            <w:r w:rsidRPr="00E16672">
              <w:rPr>
                <w:rFonts w:ascii="Times New Roman" w:hAnsi="Times New Roman"/>
                <w:color w:val="000000"/>
                <w:sz w:val="16"/>
                <w:szCs w:val="16"/>
              </w:rPr>
              <w:t xml:space="preserve"> до </w:t>
            </w:r>
            <w:proofErr w:type="spellStart"/>
            <w:r w:rsidRPr="00E16672">
              <w:rPr>
                <w:rFonts w:ascii="Times New Roman" w:hAnsi="Times New Roman"/>
                <w:color w:val="000000"/>
                <w:sz w:val="16"/>
                <w:szCs w:val="16"/>
              </w:rPr>
              <w:t>повноважень</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які</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передбачають</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посвідчення</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підпису</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печаткою</w:t>
            </w:r>
            <w:proofErr w:type="spellEnd"/>
            <w:r w:rsidRPr="00E16672">
              <w:rPr>
                <w:rFonts w:ascii="Times New Roman" w:hAnsi="Times New Roman"/>
                <w:color w:val="000000"/>
                <w:sz w:val="16"/>
                <w:szCs w:val="16"/>
              </w:rPr>
              <w:t xml:space="preserve">) – у </w:t>
            </w:r>
            <w:proofErr w:type="spellStart"/>
            <w:r w:rsidRPr="00E16672">
              <w:rPr>
                <w:rFonts w:ascii="Times New Roman" w:hAnsi="Times New Roman"/>
                <w:color w:val="000000"/>
                <w:sz w:val="16"/>
                <w:szCs w:val="16"/>
              </w:rPr>
              <w:t>разі</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надання</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розпорядження</w:t>
            </w:r>
            <w:proofErr w:type="spellEnd"/>
            <w:r w:rsidRPr="00E16672">
              <w:rPr>
                <w:rFonts w:ascii="Times New Roman" w:hAnsi="Times New Roman"/>
                <w:color w:val="000000"/>
                <w:sz w:val="16"/>
                <w:szCs w:val="16"/>
              </w:rPr>
              <w:t xml:space="preserve"> у </w:t>
            </w:r>
            <w:proofErr w:type="spellStart"/>
            <w:r w:rsidRPr="00E16672">
              <w:rPr>
                <w:rFonts w:ascii="Times New Roman" w:hAnsi="Times New Roman"/>
                <w:color w:val="000000"/>
                <w:sz w:val="16"/>
                <w:szCs w:val="16"/>
              </w:rPr>
              <w:t>вигляді</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електронного</w:t>
            </w:r>
            <w:proofErr w:type="spellEnd"/>
            <w:r w:rsidRPr="00E16672">
              <w:rPr>
                <w:rFonts w:ascii="Times New Roman" w:hAnsi="Times New Roman"/>
                <w:color w:val="000000"/>
                <w:sz w:val="16"/>
                <w:szCs w:val="16"/>
              </w:rPr>
              <w:t xml:space="preserve"> документа. </w:t>
            </w:r>
            <w:proofErr w:type="spellStart"/>
            <w:r w:rsidRPr="00E16672">
              <w:rPr>
                <w:rFonts w:ascii="Times New Roman" w:hAnsi="Times New Roman"/>
                <w:color w:val="000000"/>
                <w:sz w:val="16"/>
                <w:szCs w:val="16"/>
              </w:rPr>
              <w:t>Цілісність</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наданого</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розпорядження</w:t>
            </w:r>
            <w:proofErr w:type="spellEnd"/>
            <w:r w:rsidRPr="00E16672">
              <w:rPr>
                <w:rFonts w:ascii="Times New Roman" w:hAnsi="Times New Roman"/>
                <w:color w:val="000000"/>
                <w:sz w:val="16"/>
                <w:szCs w:val="16"/>
              </w:rPr>
              <w:t xml:space="preserve">, а </w:t>
            </w:r>
            <w:proofErr w:type="spellStart"/>
            <w:r w:rsidRPr="00E16672">
              <w:rPr>
                <w:rFonts w:ascii="Times New Roman" w:hAnsi="Times New Roman"/>
                <w:color w:val="000000"/>
                <w:sz w:val="16"/>
                <w:szCs w:val="16"/>
              </w:rPr>
              <w:t>також</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ідентифікація</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підписувача</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здійснюються</w:t>
            </w:r>
            <w:proofErr w:type="spellEnd"/>
            <w:r w:rsidRPr="00E16672">
              <w:rPr>
                <w:rFonts w:ascii="Times New Roman" w:hAnsi="Times New Roman"/>
                <w:color w:val="000000"/>
                <w:sz w:val="16"/>
                <w:szCs w:val="16"/>
              </w:rPr>
              <w:t xml:space="preserve"> шляхом </w:t>
            </w:r>
            <w:proofErr w:type="spellStart"/>
            <w:r w:rsidRPr="00E16672">
              <w:rPr>
                <w:rFonts w:ascii="Times New Roman" w:hAnsi="Times New Roman"/>
                <w:color w:val="000000"/>
                <w:sz w:val="16"/>
                <w:szCs w:val="16"/>
              </w:rPr>
              <w:t>перевірки</w:t>
            </w:r>
            <w:proofErr w:type="spellEnd"/>
            <w:r w:rsidRPr="00E16672">
              <w:rPr>
                <w:rFonts w:ascii="Times New Roman" w:hAnsi="Times New Roman"/>
                <w:color w:val="000000"/>
                <w:sz w:val="16"/>
                <w:szCs w:val="16"/>
              </w:rPr>
              <w:t xml:space="preserve"> </w:t>
            </w:r>
            <w:r w:rsidRPr="00E16672">
              <w:rPr>
                <w:rFonts w:ascii="Times New Roman" w:hAnsi="Times New Roman"/>
                <w:color w:val="000000"/>
                <w:sz w:val="16"/>
                <w:szCs w:val="16"/>
                <w:lang w:val="uk-UA"/>
              </w:rPr>
              <w:t>кваліфікованого</w:t>
            </w:r>
            <w:r w:rsidRPr="00E16672" w:rsidDel="008C4813">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rPr>
              <w:t>електронного</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підпису</w:t>
            </w:r>
            <w:proofErr w:type="spellEnd"/>
            <w:r w:rsidRPr="00E16672">
              <w:rPr>
                <w:rFonts w:ascii="Times New Roman" w:hAnsi="Times New Roman"/>
                <w:color w:val="000000"/>
                <w:sz w:val="16"/>
                <w:szCs w:val="16"/>
              </w:rPr>
              <w:t xml:space="preserve"> за </w:t>
            </w:r>
            <w:proofErr w:type="spellStart"/>
            <w:r w:rsidRPr="00E16672">
              <w:rPr>
                <w:rFonts w:ascii="Times New Roman" w:hAnsi="Times New Roman"/>
                <w:color w:val="000000"/>
                <w:sz w:val="16"/>
                <w:szCs w:val="16"/>
              </w:rPr>
              <w:t>допомогою</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відкритого</w:t>
            </w:r>
            <w:proofErr w:type="spellEnd"/>
            <w:r w:rsidRPr="00E16672">
              <w:rPr>
                <w:rFonts w:ascii="Times New Roman" w:hAnsi="Times New Roman"/>
                <w:color w:val="000000"/>
                <w:sz w:val="16"/>
                <w:szCs w:val="16"/>
              </w:rPr>
              <w:t xml:space="preserve"> ключа;</w:t>
            </w:r>
          </w:p>
          <w:p w14:paraId="4A987E83" w14:textId="77777777" w:rsidR="005C5318" w:rsidRPr="00E16672" w:rsidRDefault="005C5318" w:rsidP="005C5318">
            <w:pPr>
              <w:ind w:left="175" w:right="138" w:firstLine="7"/>
              <w:rPr>
                <w:rFonts w:ascii="Times New Roman" w:hAnsi="Times New Roman"/>
                <w:sz w:val="16"/>
                <w:szCs w:val="16"/>
                <w:lang w:val="uk-UA"/>
              </w:rPr>
            </w:pPr>
            <w:r w:rsidRPr="00E16672">
              <w:rPr>
                <w:rFonts w:ascii="Times New Roman" w:hAnsi="Times New Roman"/>
                <w:sz w:val="16"/>
                <w:szCs w:val="16"/>
                <w:lang w:val="uk-UA"/>
              </w:rPr>
              <w:t xml:space="preserve">- електронне підтвердження (авторизація) підписання розпорядження ініціатором депозитарної операції (користувачем системи </w:t>
            </w:r>
            <w:r w:rsidRPr="00E16672">
              <w:rPr>
                <w:rFonts w:ascii="Times New Roman" w:hAnsi="Times New Roman"/>
                <w:sz w:val="16"/>
                <w:szCs w:val="16"/>
              </w:rPr>
              <w:t>S</w:t>
            </w:r>
            <w:r w:rsidRPr="00E16672">
              <w:rPr>
                <w:rFonts w:ascii="Times New Roman" w:hAnsi="Times New Roman"/>
                <w:sz w:val="16"/>
                <w:szCs w:val="16"/>
                <w:lang w:val="uk-UA"/>
              </w:rPr>
              <w:t>.</w:t>
            </w:r>
            <w:r w:rsidRPr="00E16672">
              <w:rPr>
                <w:rFonts w:ascii="Times New Roman" w:hAnsi="Times New Roman"/>
                <w:sz w:val="16"/>
                <w:szCs w:val="16"/>
              </w:rPr>
              <w:t>W</w:t>
            </w:r>
            <w:r w:rsidRPr="00E16672">
              <w:rPr>
                <w:rFonts w:ascii="Times New Roman" w:hAnsi="Times New Roman"/>
                <w:sz w:val="16"/>
                <w:szCs w:val="16"/>
                <w:lang w:val="uk-UA"/>
              </w:rPr>
              <w:t>.</w:t>
            </w:r>
            <w:r w:rsidRPr="00E16672">
              <w:rPr>
                <w:rFonts w:ascii="Times New Roman" w:hAnsi="Times New Roman"/>
                <w:sz w:val="16"/>
                <w:szCs w:val="16"/>
              </w:rPr>
              <w:t>I</w:t>
            </w:r>
            <w:r w:rsidRPr="00E16672">
              <w:rPr>
                <w:rFonts w:ascii="Times New Roman" w:hAnsi="Times New Roman"/>
                <w:sz w:val="16"/>
                <w:szCs w:val="16"/>
                <w:lang w:val="uk-UA"/>
              </w:rPr>
              <w:t>.</w:t>
            </w:r>
            <w:r w:rsidRPr="00E16672">
              <w:rPr>
                <w:rFonts w:ascii="Times New Roman" w:hAnsi="Times New Roman"/>
                <w:sz w:val="16"/>
                <w:szCs w:val="16"/>
              </w:rPr>
              <w:t>F</w:t>
            </w:r>
            <w:r w:rsidRPr="00E16672">
              <w:rPr>
                <w:rFonts w:ascii="Times New Roman" w:hAnsi="Times New Roman"/>
                <w:sz w:val="16"/>
                <w:szCs w:val="16"/>
                <w:lang w:val="uk-UA"/>
              </w:rPr>
              <w:t>.</w:t>
            </w:r>
            <w:r w:rsidRPr="00E16672">
              <w:rPr>
                <w:rFonts w:ascii="Times New Roman" w:hAnsi="Times New Roman"/>
                <w:sz w:val="16"/>
                <w:szCs w:val="16"/>
              </w:rPr>
              <w:t>T</w:t>
            </w:r>
            <w:r w:rsidRPr="00E16672">
              <w:rPr>
                <w:rFonts w:ascii="Times New Roman" w:hAnsi="Times New Roman"/>
                <w:sz w:val="16"/>
                <w:szCs w:val="16"/>
                <w:lang w:val="uk-UA"/>
              </w:rPr>
              <w:t xml:space="preserve">.) - у разі надання розпорядження у  вигляді електронного документа у формі </w:t>
            </w:r>
            <w:r w:rsidRPr="00E16672">
              <w:rPr>
                <w:rFonts w:ascii="Times New Roman" w:hAnsi="Times New Roman"/>
                <w:sz w:val="16"/>
                <w:szCs w:val="16"/>
              </w:rPr>
              <w:t>S</w:t>
            </w:r>
            <w:r w:rsidRPr="00E16672">
              <w:rPr>
                <w:rFonts w:ascii="Times New Roman" w:hAnsi="Times New Roman"/>
                <w:sz w:val="16"/>
                <w:szCs w:val="16"/>
                <w:lang w:val="uk-UA"/>
              </w:rPr>
              <w:t>.</w:t>
            </w:r>
            <w:r w:rsidRPr="00E16672">
              <w:rPr>
                <w:rFonts w:ascii="Times New Roman" w:hAnsi="Times New Roman"/>
                <w:sz w:val="16"/>
                <w:szCs w:val="16"/>
              </w:rPr>
              <w:t>W</w:t>
            </w:r>
            <w:r w:rsidRPr="00E16672">
              <w:rPr>
                <w:rFonts w:ascii="Times New Roman" w:hAnsi="Times New Roman"/>
                <w:sz w:val="16"/>
                <w:szCs w:val="16"/>
                <w:lang w:val="uk-UA"/>
              </w:rPr>
              <w:t>.</w:t>
            </w:r>
            <w:r w:rsidRPr="00E16672">
              <w:rPr>
                <w:rFonts w:ascii="Times New Roman" w:hAnsi="Times New Roman"/>
                <w:sz w:val="16"/>
                <w:szCs w:val="16"/>
              </w:rPr>
              <w:t>I</w:t>
            </w:r>
            <w:r w:rsidRPr="00E16672">
              <w:rPr>
                <w:rFonts w:ascii="Times New Roman" w:hAnsi="Times New Roman"/>
                <w:sz w:val="16"/>
                <w:szCs w:val="16"/>
                <w:lang w:val="uk-UA"/>
              </w:rPr>
              <w:t>.</w:t>
            </w:r>
            <w:r w:rsidRPr="00E16672">
              <w:rPr>
                <w:rFonts w:ascii="Times New Roman" w:hAnsi="Times New Roman"/>
                <w:sz w:val="16"/>
                <w:szCs w:val="16"/>
              </w:rPr>
              <w:t>F</w:t>
            </w:r>
            <w:r w:rsidRPr="00E16672">
              <w:rPr>
                <w:rFonts w:ascii="Times New Roman" w:hAnsi="Times New Roman"/>
                <w:sz w:val="16"/>
                <w:szCs w:val="16"/>
                <w:lang w:val="uk-UA"/>
              </w:rPr>
              <w:t>.</w:t>
            </w:r>
            <w:r w:rsidRPr="00E16672">
              <w:rPr>
                <w:rFonts w:ascii="Times New Roman" w:hAnsi="Times New Roman"/>
                <w:sz w:val="16"/>
                <w:szCs w:val="16"/>
              </w:rPr>
              <w:t>T</w:t>
            </w:r>
            <w:r w:rsidRPr="00E16672">
              <w:rPr>
                <w:rFonts w:ascii="Times New Roman" w:hAnsi="Times New Roman"/>
                <w:sz w:val="16"/>
                <w:szCs w:val="16"/>
                <w:lang w:val="uk-UA"/>
              </w:rPr>
              <w:t>. - повідомлення.</w:t>
            </w:r>
          </w:p>
          <w:p w14:paraId="573A31FE" w14:textId="77777777" w:rsidR="005C5318" w:rsidRPr="00E16672" w:rsidRDefault="005C5318" w:rsidP="005C5318">
            <w:pPr>
              <w:snapToGrid w:val="0"/>
              <w:ind w:left="175" w:right="138" w:firstLine="7"/>
              <w:rPr>
                <w:rFonts w:ascii="Times New Roman" w:hAnsi="Times New Roman"/>
                <w:sz w:val="16"/>
                <w:szCs w:val="16"/>
                <w:lang w:val="uk-UA"/>
              </w:rPr>
            </w:pPr>
          </w:p>
        </w:tc>
        <w:tc>
          <w:tcPr>
            <w:tcW w:w="5495" w:type="dxa"/>
            <w:gridSpan w:val="6"/>
            <w:shd w:val="clear" w:color="auto" w:fill="auto"/>
          </w:tcPr>
          <w:p w14:paraId="6E9CC545" w14:textId="77777777" w:rsidR="005C5318" w:rsidRPr="00E16672" w:rsidRDefault="005C5318" w:rsidP="005C5318">
            <w:pPr>
              <w:snapToGrid w:val="0"/>
              <w:spacing w:before="57" w:after="57"/>
              <w:ind w:left="175" w:right="57" w:firstLine="7"/>
              <w:rPr>
                <w:rFonts w:ascii="Times New Roman" w:hAnsi="Times New Roman"/>
                <w:sz w:val="16"/>
                <w:szCs w:val="16"/>
                <w:lang w:val="en-US"/>
              </w:rPr>
            </w:pPr>
            <w:r w:rsidRPr="00E16672">
              <w:rPr>
                <w:rFonts w:ascii="Times New Roman" w:hAnsi="Times New Roman"/>
                <w:sz w:val="16"/>
                <w:szCs w:val="16"/>
                <w:lang w:val="en-GB"/>
              </w:rPr>
              <w:t xml:space="preserve">3.2. </w:t>
            </w:r>
            <w:r w:rsidRPr="00E16672">
              <w:rPr>
                <w:rFonts w:ascii="Times New Roman" w:hAnsi="Times New Roman"/>
                <w:sz w:val="16"/>
                <w:szCs w:val="16"/>
                <w:lang w:val="en-US"/>
              </w:rPr>
              <w:t xml:space="preserve">The singularities of making of the orders of Depositors are settled by </w:t>
            </w:r>
            <w:r w:rsidRPr="00F23413">
              <w:rPr>
                <w:rStyle w:val="shorttext"/>
                <w:rFonts w:ascii="Times New Roman" w:hAnsi="Times New Roman"/>
                <w:sz w:val="16"/>
                <w:lang w:val="en-US"/>
              </w:rPr>
              <w:t>legislation and</w:t>
            </w:r>
            <w:r w:rsidRPr="00E16672">
              <w:rPr>
                <w:rFonts w:ascii="Times New Roman" w:hAnsi="Times New Roman"/>
                <w:sz w:val="8"/>
                <w:szCs w:val="16"/>
                <w:lang w:val="en-US"/>
              </w:rPr>
              <w:t xml:space="preserve"> </w:t>
            </w:r>
            <w:r w:rsidRPr="00E16672">
              <w:rPr>
                <w:rFonts w:ascii="Times New Roman" w:hAnsi="Times New Roman"/>
                <w:sz w:val="16"/>
                <w:szCs w:val="16"/>
                <w:lang w:val="en-US"/>
              </w:rPr>
              <w:t xml:space="preserve">the internal documents of Depository institution. Orders can </w:t>
            </w:r>
            <w:proofErr w:type="spellStart"/>
            <w:proofErr w:type="gramStart"/>
            <w:r w:rsidRPr="00E16672">
              <w:rPr>
                <w:rFonts w:ascii="Times New Roman" w:hAnsi="Times New Roman"/>
                <w:sz w:val="16"/>
                <w:szCs w:val="16"/>
                <w:lang w:val="en-US"/>
              </w:rPr>
              <w:t>given</w:t>
            </w:r>
            <w:proofErr w:type="spellEnd"/>
            <w:proofErr w:type="gramEnd"/>
            <w:r w:rsidRPr="00E16672">
              <w:rPr>
                <w:rFonts w:ascii="Times New Roman" w:hAnsi="Times New Roman"/>
                <w:sz w:val="16"/>
                <w:szCs w:val="16"/>
                <w:lang w:val="en-US"/>
              </w:rPr>
              <w:t xml:space="preserve"> to Depository institution in form: paper document, electronic document, electronic document in form S.W.I.F.T.-message.</w:t>
            </w:r>
          </w:p>
          <w:p w14:paraId="0F48ECC5" w14:textId="77777777" w:rsidR="005C5318" w:rsidRPr="00E16672" w:rsidRDefault="005C5318" w:rsidP="005C5318">
            <w:pPr>
              <w:spacing w:before="57" w:after="57"/>
              <w:ind w:left="175" w:right="57" w:firstLine="7"/>
              <w:rPr>
                <w:rFonts w:ascii="Times New Roman" w:hAnsi="Times New Roman"/>
                <w:color w:val="000000"/>
                <w:sz w:val="16"/>
                <w:szCs w:val="16"/>
                <w:lang w:val="en-US"/>
              </w:rPr>
            </w:pPr>
            <w:r w:rsidRPr="00E16672">
              <w:rPr>
                <w:rFonts w:ascii="Times New Roman" w:hAnsi="Times New Roman"/>
                <w:sz w:val="16"/>
                <w:szCs w:val="16"/>
                <w:lang w:val="en-US"/>
              </w:rPr>
              <w:t xml:space="preserve">The method of signing the order determined in accordance with the method </w:t>
            </w:r>
            <w:r w:rsidRPr="00E16672">
              <w:rPr>
                <w:rFonts w:ascii="Times New Roman" w:hAnsi="Times New Roman"/>
                <w:color w:val="000000"/>
                <w:sz w:val="16"/>
                <w:szCs w:val="16"/>
                <w:lang w:val="en-US"/>
              </w:rPr>
              <w:t>of authentication signature is used in the exchange of information between the Depositor and the Depository institution and can be such:</w:t>
            </w:r>
          </w:p>
          <w:p w14:paraId="7BAFE90D" w14:textId="77777777" w:rsidR="005C5318" w:rsidRPr="00E16672" w:rsidRDefault="005C5318" w:rsidP="005C5318">
            <w:pPr>
              <w:spacing w:before="57" w:after="57"/>
              <w:ind w:left="175" w:right="57" w:firstLine="7"/>
              <w:rPr>
                <w:rFonts w:ascii="Times New Roman" w:hAnsi="Times New Roman"/>
                <w:color w:val="000000"/>
                <w:sz w:val="16"/>
                <w:szCs w:val="16"/>
                <w:lang w:val="en-US"/>
              </w:rPr>
            </w:pPr>
          </w:p>
          <w:p w14:paraId="268C8D5D" w14:textId="77777777" w:rsidR="00BA1F32" w:rsidRPr="00E16672" w:rsidRDefault="005C5318" w:rsidP="005C5318">
            <w:pPr>
              <w:spacing w:before="57" w:after="57"/>
              <w:ind w:left="175" w:right="57" w:firstLine="7"/>
              <w:rPr>
                <w:rFonts w:ascii="Times New Roman" w:hAnsi="Times New Roman"/>
                <w:color w:val="000000"/>
                <w:sz w:val="16"/>
                <w:szCs w:val="16"/>
                <w:lang w:val="en-US"/>
              </w:rPr>
            </w:pPr>
            <w:r w:rsidRPr="00E16672">
              <w:rPr>
                <w:rFonts w:ascii="Times New Roman" w:hAnsi="Times New Roman"/>
                <w:color w:val="000000"/>
                <w:sz w:val="16"/>
                <w:szCs w:val="16"/>
                <w:lang w:val="en-US"/>
              </w:rPr>
              <w:t>- a signature of manager of account</w:t>
            </w:r>
            <w:r w:rsidRPr="00E16672">
              <w:rPr>
                <w:rFonts w:ascii="Times New Roman" w:hAnsi="Times New Roman"/>
                <w:strike/>
                <w:color w:val="000000"/>
                <w:sz w:val="16"/>
                <w:szCs w:val="16"/>
                <w:lang w:val="uk-UA"/>
              </w:rPr>
              <w:t xml:space="preserve"> </w:t>
            </w:r>
            <w:r w:rsidRPr="00E16672">
              <w:rPr>
                <w:rFonts w:ascii="Times New Roman" w:hAnsi="Times New Roman"/>
                <w:color w:val="000000"/>
                <w:sz w:val="16"/>
                <w:szCs w:val="16"/>
                <w:lang w:val="en-US"/>
              </w:rPr>
              <w:t xml:space="preserve">or administrator of the account of the legal entity, seal of administrator of the account - legal entity (in case of use, and in accordance with the powers which provide certification of a signature by the seal) - in the case of grant of </w:t>
            </w:r>
            <w:proofErr w:type="gramStart"/>
            <w:r w:rsidRPr="00E16672">
              <w:rPr>
                <w:rFonts w:ascii="Times New Roman" w:hAnsi="Times New Roman"/>
                <w:color w:val="000000"/>
                <w:sz w:val="16"/>
                <w:szCs w:val="16"/>
                <w:lang w:val="en-US"/>
              </w:rPr>
              <w:t>order  as</w:t>
            </w:r>
            <w:proofErr w:type="gramEnd"/>
            <w:r w:rsidRPr="00E16672">
              <w:rPr>
                <w:rFonts w:ascii="Times New Roman" w:hAnsi="Times New Roman"/>
                <w:color w:val="000000"/>
                <w:sz w:val="16"/>
                <w:szCs w:val="16"/>
                <w:lang w:val="en-US"/>
              </w:rPr>
              <w:t xml:space="preserve"> a paper document</w:t>
            </w:r>
            <w:r w:rsidR="00BA1F32" w:rsidRPr="00E16672">
              <w:rPr>
                <w:rFonts w:ascii="Times New Roman" w:hAnsi="Times New Roman"/>
                <w:color w:val="000000"/>
                <w:sz w:val="16"/>
                <w:szCs w:val="16"/>
                <w:lang w:val="en-US"/>
              </w:rPr>
              <w:t>;</w:t>
            </w:r>
          </w:p>
          <w:p w14:paraId="7917E327" w14:textId="77777777" w:rsidR="005C5318" w:rsidRPr="00E16672" w:rsidRDefault="005C5318" w:rsidP="005C5318">
            <w:pPr>
              <w:spacing w:before="57" w:after="57"/>
              <w:ind w:left="175" w:right="57" w:firstLine="7"/>
              <w:rPr>
                <w:rFonts w:ascii="Times New Roman" w:hAnsi="Times New Roman"/>
                <w:color w:val="000000"/>
                <w:sz w:val="16"/>
                <w:szCs w:val="16"/>
                <w:lang w:val="en-US"/>
              </w:rPr>
            </w:pPr>
            <w:proofErr w:type="gramStart"/>
            <w:r w:rsidRPr="00E16672">
              <w:rPr>
                <w:rFonts w:ascii="Times New Roman" w:hAnsi="Times New Roman"/>
                <w:color w:val="000000"/>
                <w:sz w:val="16"/>
                <w:szCs w:val="16"/>
                <w:lang w:val="en-US"/>
              </w:rPr>
              <w:t>;-</w:t>
            </w:r>
            <w:proofErr w:type="gramEnd"/>
            <w:r w:rsidRPr="00E16672">
              <w:rPr>
                <w:rFonts w:ascii="Times New Roman" w:hAnsi="Times New Roman"/>
                <w:color w:val="000000"/>
                <w:sz w:val="16"/>
                <w:szCs w:val="16"/>
                <w:lang w:val="en-US"/>
              </w:rPr>
              <w:t xml:space="preserve"> </w:t>
            </w:r>
            <w:r w:rsidRPr="00F23413">
              <w:rPr>
                <w:rStyle w:val="shorttext"/>
                <w:rFonts w:ascii="Times New Roman" w:hAnsi="Times New Roman"/>
                <w:sz w:val="16"/>
                <w:szCs w:val="16"/>
                <w:lang w:val="en-US"/>
              </w:rPr>
              <w:t>qualified</w:t>
            </w:r>
            <w:r w:rsidRPr="00E16672">
              <w:rPr>
                <w:rFonts w:ascii="Times New Roman" w:hAnsi="Times New Roman"/>
                <w:color w:val="000000"/>
                <w:sz w:val="16"/>
                <w:szCs w:val="16"/>
                <w:lang w:val="en-US"/>
              </w:rPr>
              <w:t xml:space="preserve"> electronic signature, imposed by private key </w:t>
            </w:r>
            <w:r w:rsidRPr="00F23413">
              <w:rPr>
                <w:rStyle w:val="shorttext"/>
                <w:rFonts w:ascii="Times New Roman" w:hAnsi="Times New Roman"/>
                <w:sz w:val="16"/>
                <w:szCs w:val="16"/>
                <w:lang w:val="en-US"/>
              </w:rPr>
              <w:t>qualified</w:t>
            </w:r>
            <w:r w:rsidRPr="00E16672">
              <w:rPr>
                <w:rFonts w:ascii="Times New Roman" w:hAnsi="Times New Roman"/>
                <w:color w:val="000000"/>
                <w:sz w:val="16"/>
                <w:szCs w:val="16"/>
                <w:lang w:val="en-US"/>
              </w:rPr>
              <w:t xml:space="preserve"> electronic signature of a manager of account or administrator of the account the legal entity, </w:t>
            </w:r>
            <w:r w:rsidRPr="00F23413">
              <w:rPr>
                <w:rStyle w:val="shorttext"/>
                <w:rFonts w:ascii="Times New Roman" w:hAnsi="Times New Roman"/>
                <w:sz w:val="16"/>
                <w:szCs w:val="16"/>
                <w:lang w:val="en-US"/>
              </w:rPr>
              <w:t>qualified</w:t>
            </w:r>
            <w:r w:rsidRPr="00E16672">
              <w:rPr>
                <w:rFonts w:ascii="Times New Roman" w:hAnsi="Times New Roman"/>
                <w:color w:val="000000"/>
                <w:sz w:val="16"/>
                <w:szCs w:val="16"/>
                <w:lang w:val="en-US"/>
              </w:rPr>
              <w:t xml:space="preserve"> electronic signature that for legal status equivalent to a seal of the legal entity (in case of use, other than non-resident legal entities - account administrators and in accordance with the powers which provide certification of a signature by the seal) - in the case of grant of order as an electronic document. The integrity of provided order and identity of the signer performed by checking </w:t>
            </w:r>
            <w:r w:rsidRPr="00F23413">
              <w:rPr>
                <w:rStyle w:val="shorttext"/>
                <w:rFonts w:ascii="Times New Roman" w:hAnsi="Times New Roman"/>
                <w:sz w:val="16"/>
                <w:szCs w:val="16"/>
                <w:lang w:val="en-US"/>
              </w:rPr>
              <w:t>qualified</w:t>
            </w:r>
            <w:r w:rsidRPr="00E16672">
              <w:rPr>
                <w:rFonts w:ascii="Times New Roman" w:hAnsi="Times New Roman"/>
                <w:color w:val="000000"/>
                <w:sz w:val="16"/>
                <w:szCs w:val="16"/>
                <w:lang w:val="en-US"/>
              </w:rPr>
              <w:t xml:space="preserve"> electronic signature using the public key;</w:t>
            </w:r>
          </w:p>
          <w:p w14:paraId="24723C1E" w14:textId="77777777" w:rsidR="005C5318" w:rsidRPr="00E16672" w:rsidRDefault="005C5318" w:rsidP="005C5318">
            <w:pPr>
              <w:snapToGrid w:val="0"/>
              <w:spacing w:before="57" w:after="57"/>
              <w:ind w:left="175" w:right="57" w:firstLine="7"/>
              <w:rPr>
                <w:rFonts w:ascii="Times New Roman" w:hAnsi="Times New Roman"/>
                <w:sz w:val="16"/>
                <w:szCs w:val="16"/>
                <w:lang w:val="en-US"/>
              </w:rPr>
            </w:pPr>
          </w:p>
          <w:p w14:paraId="4D790292" w14:textId="77777777" w:rsidR="005C5318" w:rsidRPr="00E16672" w:rsidRDefault="005C5318" w:rsidP="005C5318">
            <w:pPr>
              <w:snapToGrid w:val="0"/>
              <w:spacing w:before="57" w:after="57"/>
              <w:ind w:left="175" w:right="57" w:firstLine="7"/>
              <w:rPr>
                <w:rFonts w:ascii="Times New Roman" w:hAnsi="Times New Roman"/>
                <w:sz w:val="16"/>
                <w:szCs w:val="16"/>
                <w:lang w:val="en-US"/>
              </w:rPr>
            </w:pPr>
            <w:r w:rsidRPr="00E16672">
              <w:rPr>
                <w:rFonts w:ascii="Times New Roman" w:hAnsi="Times New Roman"/>
                <w:sz w:val="16"/>
                <w:szCs w:val="16"/>
                <w:lang w:val="en-US"/>
              </w:rPr>
              <w:t>- electronic confirmation (authorizing) of signing of the order of initiator of depositary operation (by the user of the system S.W.I.F.T.) - in the case of grant of order as an electronic document in form S.W.I.F.T.-message.</w:t>
            </w:r>
          </w:p>
          <w:p w14:paraId="3664734E" w14:textId="77777777" w:rsidR="005C5318" w:rsidRPr="00E16672" w:rsidRDefault="005C5318" w:rsidP="005C5318">
            <w:pPr>
              <w:tabs>
                <w:tab w:val="left" w:pos="287"/>
              </w:tabs>
              <w:snapToGrid w:val="0"/>
              <w:ind w:left="175" w:right="100" w:firstLine="7"/>
              <w:rPr>
                <w:rFonts w:ascii="Times New Roman" w:hAnsi="Times New Roman"/>
                <w:sz w:val="16"/>
                <w:szCs w:val="16"/>
                <w:lang w:val="en-US"/>
              </w:rPr>
            </w:pPr>
          </w:p>
          <w:p w14:paraId="46A85020" w14:textId="77777777" w:rsidR="005C5318" w:rsidRPr="00E16672" w:rsidRDefault="005C5318" w:rsidP="005C5318">
            <w:pPr>
              <w:tabs>
                <w:tab w:val="left" w:pos="287"/>
              </w:tabs>
              <w:ind w:left="175" w:right="100" w:firstLine="7"/>
              <w:rPr>
                <w:rFonts w:ascii="Times New Roman" w:hAnsi="Times New Roman"/>
                <w:b/>
                <w:bCs/>
                <w:sz w:val="16"/>
                <w:szCs w:val="16"/>
                <w:lang w:val="en-GB"/>
              </w:rPr>
            </w:pPr>
          </w:p>
        </w:tc>
      </w:tr>
      <w:tr w:rsidR="005C5318" w:rsidRPr="00F23413" w14:paraId="1CF706CF" w14:textId="77777777" w:rsidTr="005E418B">
        <w:trPr>
          <w:trHeight w:val="1453"/>
        </w:trPr>
        <w:tc>
          <w:tcPr>
            <w:tcW w:w="5695" w:type="dxa"/>
            <w:gridSpan w:val="6"/>
            <w:shd w:val="clear" w:color="auto" w:fill="auto"/>
          </w:tcPr>
          <w:p w14:paraId="7DA3B7BC" w14:textId="77777777" w:rsidR="005C5318" w:rsidRPr="00E16672" w:rsidRDefault="005C5318" w:rsidP="005C5318">
            <w:pPr>
              <w:ind w:left="175" w:right="138" w:firstLine="7"/>
              <w:rPr>
                <w:rFonts w:ascii="Times New Roman" w:hAnsi="Times New Roman"/>
                <w:color w:val="000000"/>
                <w:sz w:val="16"/>
                <w:szCs w:val="16"/>
              </w:rPr>
            </w:pPr>
            <w:r w:rsidRPr="00E16672">
              <w:rPr>
                <w:rFonts w:ascii="Times New Roman" w:hAnsi="Times New Roman"/>
                <w:color w:val="000000"/>
                <w:sz w:val="16"/>
                <w:szCs w:val="16"/>
              </w:rPr>
              <w:t xml:space="preserve">3.3. </w:t>
            </w:r>
            <w:proofErr w:type="spellStart"/>
            <w:r w:rsidRPr="00E16672">
              <w:rPr>
                <w:rFonts w:ascii="Times New Roman" w:hAnsi="Times New Roman"/>
                <w:color w:val="000000"/>
                <w:sz w:val="16"/>
                <w:szCs w:val="16"/>
              </w:rPr>
              <w:t>Розпорядження</w:t>
            </w:r>
            <w:proofErr w:type="spellEnd"/>
            <w:r w:rsidRPr="00E16672">
              <w:rPr>
                <w:rFonts w:ascii="Times New Roman" w:hAnsi="Times New Roman"/>
                <w:color w:val="000000"/>
                <w:sz w:val="16"/>
                <w:szCs w:val="16"/>
              </w:rPr>
              <w:t xml:space="preserve"> у </w:t>
            </w:r>
            <w:proofErr w:type="spellStart"/>
            <w:r w:rsidRPr="00E16672">
              <w:rPr>
                <w:rFonts w:ascii="Times New Roman" w:hAnsi="Times New Roman"/>
                <w:color w:val="000000"/>
                <w:sz w:val="16"/>
                <w:szCs w:val="16"/>
              </w:rPr>
              <w:t>паперовому</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вигляді</w:t>
            </w:r>
            <w:proofErr w:type="spellEnd"/>
            <w:r w:rsidRPr="00E16672">
              <w:rPr>
                <w:rFonts w:ascii="Times New Roman" w:hAnsi="Times New Roman"/>
                <w:color w:val="000000"/>
                <w:sz w:val="16"/>
                <w:szCs w:val="16"/>
              </w:rPr>
              <w:t xml:space="preserve">, а </w:t>
            </w:r>
            <w:proofErr w:type="spellStart"/>
            <w:r w:rsidRPr="00E16672">
              <w:rPr>
                <w:rFonts w:ascii="Times New Roman" w:hAnsi="Times New Roman"/>
                <w:color w:val="000000"/>
                <w:sz w:val="16"/>
                <w:szCs w:val="16"/>
              </w:rPr>
              <w:t>також</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повідомлення</w:t>
            </w:r>
            <w:proofErr w:type="spellEnd"/>
            <w:r w:rsidRPr="00E16672">
              <w:rPr>
                <w:rFonts w:ascii="Times New Roman" w:hAnsi="Times New Roman"/>
                <w:color w:val="000000"/>
                <w:sz w:val="16"/>
                <w:szCs w:val="16"/>
              </w:rPr>
              <w:t xml:space="preserve"> та </w:t>
            </w:r>
            <w:proofErr w:type="spellStart"/>
            <w:r w:rsidRPr="00E16672">
              <w:rPr>
                <w:rFonts w:ascii="Times New Roman" w:hAnsi="Times New Roman"/>
                <w:color w:val="000000"/>
                <w:sz w:val="16"/>
                <w:szCs w:val="16"/>
              </w:rPr>
              <w:t>інформація</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що</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надаються</w:t>
            </w:r>
            <w:proofErr w:type="spellEnd"/>
            <w:r w:rsidRPr="00E16672">
              <w:rPr>
                <w:rFonts w:ascii="Times New Roman" w:hAnsi="Times New Roman"/>
                <w:color w:val="000000"/>
                <w:sz w:val="16"/>
                <w:szCs w:val="16"/>
              </w:rPr>
              <w:t xml:space="preserve"> у </w:t>
            </w:r>
            <w:proofErr w:type="spellStart"/>
            <w:r w:rsidRPr="00E16672">
              <w:rPr>
                <w:rFonts w:ascii="Times New Roman" w:hAnsi="Times New Roman"/>
                <w:color w:val="000000"/>
                <w:sz w:val="16"/>
                <w:szCs w:val="16"/>
              </w:rPr>
              <w:t>зв’язку</w:t>
            </w:r>
            <w:proofErr w:type="spellEnd"/>
            <w:r w:rsidRPr="00E16672">
              <w:rPr>
                <w:rFonts w:ascii="Times New Roman" w:hAnsi="Times New Roman"/>
                <w:color w:val="000000"/>
                <w:sz w:val="16"/>
                <w:szCs w:val="16"/>
              </w:rPr>
              <w:t xml:space="preserve"> з </w:t>
            </w:r>
            <w:proofErr w:type="spellStart"/>
            <w:r w:rsidRPr="00E16672">
              <w:rPr>
                <w:rFonts w:ascii="Times New Roman" w:hAnsi="Times New Roman"/>
                <w:color w:val="000000"/>
                <w:sz w:val="16"/>
                <w:szCs w:val="16"/>
              </w:rPr>
              <w:t>виконанням</w:t>
            </w:r>
            <w:proofErr w:type="spellEnd"/>
            <w:r w:rsidRPr="00E16672">
              <w:rPr>
                <w:rFonts w:ascii="Times New Roman" w:hAnsi="Times New Roman"/>
                <w:color w:val="000000"/>
                <w:sz w:val="16"/>
                <w:szCs w:val="16"/>
              </w:rPr>
              <w:t xml:space="preserve"> Сторонами Договору </w:t>
            </w:r>
            <w:proofErr w:type="spellStart"/>
            <w:r w:rsidRPr="00E16672">
              <w:rPr>
                <w:rFonts w:ascii="Times New Roman" w:hAnsi="Times New Roman"/>
                <w:color w:val="000000"/>
                <w:sz w:val="16"/>
                <w:szCs w:val="16"/>
              </w:rPr>
              <w:t>можуть</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отримуватися</w:t>
            </w:r>
            <w:proofErr w:type="spellEnd"/>
            <w:r w:rsidRPr="00E16672">
              <w:rPr>
                <w:rFonts w:ascii="Times New Roman" w:hAnsi="Times New Roman"/>
                <w:color w:val="000000"/>
                <w:sz w:val="16"/>
                <w:szCs w:val="16"/>
              </w:rPr>
              <w:t xml:space="preserve"> Депозитарною </w:t>
            </w:r>
            <w:proofErr w:type="spellStart"/>
            <w:r w:rsidRPr="00E16672">
              <w:rPr>
                <w:rFonts w:ascii="Times New Roman" w:hAnsi="Times New Roman"/>
                <w:color w:val="000000"/>
                <w:sz w:val="16"/>
                <w:szCs w:val="16"/>
              </w:rPr>
              <w:t>установою</w:t>
            </w:r>
            <w:proofErr w:type="spellEnd"/>
            <w:r w:rsidRPr="00E16672">
              <w:rPr>
                <w:rFonts w:ascii="Times New Roman" w:hAnsi="Times New Roman"/>
                <w:color w:val="000000"/>
                <w:sz w:val="16"/>
                <w:szCs w:val="16"/>
              </w:rPr>
              <w:t xml:space="preserve"> та Депонентом:</w:t>
            </w:r>
          </w:p>
          <w:p w14:paraId="0CCC96A5" w14:textId="77777777" w:rsidR="005C5318" w:rsidRPr="00E16672" w:rsidRDefault="005C5318" w:rsidP="005C5318">
            <w:pPr>
              <w:ind w:left="175" w:right="138" w:firstLine="7"/>
              <w:rPr>
                <w:rFonts w:ascii="Times New Roman" w:hAnsi="Times New Roman"/>
                <w:strike/>
                <w:color w:val="000000"/>
                <w:sz w:val="16"/>
                <w:szCs w:val="16"/>
              </w:rPr>
            </w:pPr>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rPr>
              <w:t>особисто</w:t>
            </w:r>
            <w:proofErr w:type="spellEnd"/>
            <w:r w:rsidRPr="00E16672">
              <w:rPr>
                <w:rFonts w:ascii="Times New Roman" w:hAnsi="Times New Roman"/>
                <w:color w:val="000000"/>
                <w:sz w:val="16"/>
                <w:szCs w:val="16"/>
              </w:rPr>
              <w:t xml:space="preserve"> при </w:t>
            </w:r>
            <w:proofErr w:type="spellStart"/>
            <w:r w:rsidRPr="00E16672">
              <w:rPr>
                <w:rFonts w:ascii="Times New Roman" w:hAnsi="Times New Roman"/>
                <w:color w:val="000000"/>
                <w:spacing w:val="-8"/>
                <w:sz w:val="16"/>
                <w:szCs w:val="16"/>
              </w:rPr>
              <w:t>зверненні</w:t>
            </w:r>
            <w:proofErr w:type="spellEnd"/>
            <w:r w:rsidRPr="00E16672">
              <w:rPr>
                <w:rFonts w:ascii="Times New Roman" w:hAnsi="Times New Roman"/>
                <w:color w:val="000000"/>
                <w:spacing w:val="-8"/>
                <w:sz w:val="16"/>
                <w:szCs w:val="16"/>
              </w:rPr>
              <w:t xml:space="preserve"> Депонента,</w:t>
            </w:r>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керуючого</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або</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розпорядника</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його</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рахунком</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уповноваженого</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представника</w:t>
            </w:r>
            <w:proofErr w:type="spellEnd"/>
            <w:r w:rsidRPr="00E16672">
              <w:rPr>
                <w:rFonts w:ascii="Times New Roman" w:hAnsi="Times New Roman"/>
                <w:color w:val="000000"/>
                <w:sz w:val="16"/>
                <w:szCs w:val="16"/>
              </w:rPr>
              <w:t>)</w:t>
            </w:r>
            <w:r w:rsidRPr="00E16672">
              <w:rPr>
                <w:rFonts w:ascii="Times New Roman" w:hAnsi="Times New Roman"/>
                <w:color w:val="000000"/>
                <w:spacing w:val="-8"/>
                <w:sz w:val="16"/>
                <w:szCs w:val="16"/>
              </w:rPr>
              <w:t>;</w:t>
            </w:r>
          </w:p>
          <w:p w14:paraId="1FBBE86C" w14:textId="77777777" w:rsidR="005C5318" w:rsidRPr="00E16672" w:rsidRDefault="005C5318" w:rsidP="005C5318">
            <w:pPr>
              <w:ind w:left="175" w:right="138" w:firstLine="7"/>
              <w:rPr>
                <w:rFonts w:ascii="Times New Roman" w:hAnsi="Times New Roman"/>
                <w:strike/>
                <w:color w:val="000000"/>
                <w:sz w:val="16"/>
                <w:szCs w:val="16"/>
              </w:rPr>
            </w:pPr>
            <w:r w:rsidRPr="00E16672">
              <w:rPr>
                <w:rFonts w:ascii="Times New Roman" w:hAnsi="Times New Roman"/>
                <w:color w:val="000000"/>
                <w:spacing w:val="-8"/>
                <w:sz w:val="16"/>
                <w:szCs w:val="16"/>
                <w:lang w:val="uk-UA"/>
              </w:rPr>
              <w:t xml:space="preserve">- </w:t>
            </w:r>
            <w:r w:rsidRPr="00E16672">
              <w:rPr>
                <w:rFonts w:ascii="Times New Roman" w:hAnsi="Times New Roman"/>
                <w:color w:val="000000"/>
                <w:spacing w:val="-8"/>
                <w:sz w:val="16"/>
                <w:szCs w:val="16"/>
              </w:rPr>
              <w:t xml:space="preserve"> </w:t>
            </w:r>
            <w:proofErr w:type="spellStart"/>
            <w:r w:rsidRPr="00E16672">
              <w:rPr>
                <w:rFonts w:ascii="Times New Roman" w:hAnsi="Times New Roman"/>
                <w:color w:val="000000"/>
                <w:spacing w:val="-8"/>
                <w:sz w:val="16"/>
                <w:szCs w:val="16"/>
              </w:rPr>
              <w:t>засобами</w:t>
            </w:r>
            <w:proofErr w:type="spellEnd"/>
            <w:r w:rsidRPr="00E16672">
              <w:rPr>
                <w:rFonts w:ascii="Times New Roman" w:hAnsi="Times New Roman"/>
                <w:color w:val="000000"/>
                <w:spacing w:val="-8"/>
                <w:sz w:val="16"/>
                <w:szCs w:val="16"/>
              </w:rPr>
              <w:t xml:space="preserve"> </w:t>
            </w:r>
            <w:proofErr w:type="spellStart"/>
            <w:r w:rsidRPr="00E16672">
              <w:rPr>
                <w:rFonts w:ascii="Times New Roman" w:hAnsi="Times New Roman"/>
                <w:color w:val="000000"/>
                <w:spacing w:val="-8"/>
                <w:sz w:val="16"/>
                <w:szCs w:val="16"/>
              </w:rPr>
              <w:t>поштового</w:t>
            </w:r>
            <w:proofErr w:type="spellEnd"/>
            <w:r w:rsidRPr="00E16672">
              <w:rPr>
                <w:rFonts w:ascii="Times New Roman" w:hAnsi="Times New Roman"/>
                <w:color w:val="000000"/>
                <w:spacing w:val="-8"/>
                <w:sz w:val="16"/>
                <w:szCs w:val="16"/>
              </w:rPr>
              <w:t xml:space="preserve"> </w:t>
            </w:r>
            <w:proofErr w:type="spellStart"/>
            <w:r w:rsidRPr="00E16672">
              <w:rPr>
                <w:rFonts w:ascii="Times New Roman" w:hAnsi="Times New Roman"/>
                <w:color w:val="000000"/>
                <w:spacing w:val="-8"/>
                <w:sz w:val="16"/>
                <w:szCs w:val="16"/>
              </w:rPr>
              <w:t>зв’язку</w:t>
            </w:r>
            <w:proofErr w:type="spellEnd"/>
            <w:r w:rsidRPr="00E16672">
              <w:rPr>
                <w:rFonts w:ascii="Times New Roman" w:hAnsi="Times New Roman"/>
                <w:color w:val="000000"/>
                <w:spacing w:val="-8"/>
                <w:sz w:val="16"/>
                <w:szCs w:val="16"/>
              </w:rPr>
              <w:t xml:space="preserve"> </w:t>
            </w:r>
            <w:proofErr w:type="spellStart"/>
            <w:r w:rsidRPr="00E16672">
              <w:rPr>
                <w:rFonts w:ascii="Times New Roman" w:hAnsi="Times New Roman"/>
                <w:color w:val="000000"/>
                <w:spacing w:val="-8"/>
                <w:sz w:val="16"/>
                <w:szCs w:val="16"/>
              </w:rPr>
              <w:t>або</w:t>
            </w:r>
            <w:proofErr w:type="spellEnd"/>
            <w:r w:rsidRPr="00E16672">
              <w:rPr>
                <w:rFonts w:ascii="Times New Roman" w:hAnsi="Times New Roman"/>
                <w:color w:val="000000"/>
                <w:spacing w:val="-8"/>
                <w:sz w:val="16"/>
                <w:szCs w:val="16"/>
              </w:rPr>
              <w:t xml:space="preserve"> </w:t>
            </w:r>
            <w:proofErr w:type="spellStart"/>
            <w:r w:rsidRPr="00E16672">
              <w:rPr>
                <w:rFonts w:ascii="Times New Roman" w:hAnsi="Times New Roman"/>
                <w:color w:val="000000"/>
                <w:spacing w:val="-8"/>
                <w:sz w:val="16"/>
                <w:szCs w:val="16"/>
              </w:rPr>
              <w:t>кур’єром</w:t>
            </w:r>
            <w:proofErr w:type="spellEnd"/>
            <w:r w:rsidRPr="00E16672">
              <w:rPr>
                <w:rFonts w:ascii="Times New Roman" w:hAnsi="Times New Roman"/>
                <w:color w:val="000000"/>
                <w:spacing w:val="-8"/>
                <w:sz w:val="16"/>
                <w:szCs w:val="16"/>
              </w:rPr>
              <w:t>.</w:t>
            </w:r>
          </w:p>
          <w:p w14:paraId="06D03EB8" w14:textId="77777777" w:rsidR="005C5318" w:rsidRPr="00E16672" w:rsidRDefault="005C5318" w:rsidP="005C5318">
            <w:pPr>
              <w:pStyle w:val="1b"/>
              <w:spacing w:before="0" w:after="0"/>
              <w:ind w:left="175" w:right="138" w:firstLine="7"/>
              <w:rPr>
                <w:rFonts w:ascii="Times New Roman" w:eastAsia="Times New Roman" w:hAnsi="Times New Roman" w:cs="Times New Roman"/>
                <w:color w:val="000000"/>
                <w:sz w:val="16"/>
                <w:szCs w:val="16"/>
              </w:rPr>
            </w:pPr>
          </w:p>
        </w:tc>
        <w:tc>
          <w:tcPr>
            <w:tcW w:w="5495" w:type="dxa"/>
            <w:gridSpan w:val="6"/>
            <w:shd w:val="clear" w:color="auto" w:fill="auto"/>
          </w:tcPr>
          <w:p w14:paraId="7E02D741" w14:textId="77777777" w:rsidR="005C5318" w:rsidRPr="00E16672" w:rsidRDefault="005C5318" w:rsidP="005C5318">
            <w:pPr>
              <w:snapToGrid w:val="0"/>
              <w:ind w:left="175" w:right="138" w:firstLine="7"/>
              <w:rPr>
                <w:rFonts w:ascii="Times New Roman" w:hAnsi="Times New Roman"/>
                <w:color w:val="000000"/>
                <w:sz w:val="16"/>
                <w:szCs w:val="16"/>
                <w:lang w:val="en-GB"/>
              </w:rPr>
            </w:pPr>
            <w:r w:rsidRPr="00E16672">
              <w:rPr>
                <w:rFonts w:ascii="Times New Roman" w:hAnsi="Times New Roman"/>
                <w:color w:val="000000"/>
                <w:sz w:val="16"/>
                <w:szCs w:val="16"/>
                <w:lang w:val="en-GB"/>
              </w:rPr>
              <w:t xml:space="preserve">3.3. The </w:t>
            </w:r>
            <w:proofErr w:type="gramStart"/>
            <w:r w:rsidRPr="00E16672">
              <w:rPr>
                <w:rFonts w:ascii="Times New Roman" w:hAnsi="Times New Roman"/>
                <w:color w:val="000000"/>
                <w:sz w:val="16"/>
                <w:szCs w:val="16"/>
                <w:lang w:val="en-US"/>
              </w:rPr>
              <w:t xml:space="preserve">orders </w:t>
            </w:r>
            <w:r w:rsidRPr="00E16672">
              <w:rPr>
                <w:rFonts w:ascii="Times New Roman" w:hAnsi="Times New Roman"/>
                <w:color w:val="000000"/>
                <w:sz w:val="16"/>
                <w:szCs w:val="16"/>
                <w:lang w:val="en-GB"/>
              </w:rPr>
              <w:t xml:space="preserve"> in</w:t>
            </w:r>
            <w:proofErr w:type="gramEnd"/>
            <w:r w:rsidRPr="00E16672">
              <w:rPr>
                <w:rFonts w:ascii="Times New Roman" w:hAnsi="Times New Roman"/>
                <w:color w:val="000000"/>
                <w:sz w:val="16"/>
                <w:szCs w:val="16"/>
                <w:lang w:val="en-GB"/>
              </w:rPr>
              <w:t xml:space="preserve"> the paper form </w:t>
            </w:r>
            <w:r w:rsidRPr="00E16672">
              <w:rPr>
                <w:rFonts w:ascii="Times New Roman" w:hAnsi="Times New Roman"/>
                <w:color w:val="000000"/>
                <w:sz w:val="16"/>
                <w:szCs w:val="16"/>
                <w:lang w:val="en-US"/>
              </w:rPr>
              <w:t>and messages and information</w:t>
            </w:r>
            <w:r w:rsidRPr="00F23413">
              <w:rPr>
                <w:rStyle w:val="shorttext"/>
                <w:rFonts w:ascii="Times New Roman" w:hAnsi="Times New Roman"/>
                <w:color w:val="000000"/>
                <w:sz w:val="16"/>
                <w:szCs w:val="16"/>
                <w:lang w:val="en-US"/>
              </w:rPr>
              <w:t>,</w:t>
            </w:r>
            <w:r w:rsidRPr="00E16672">
              <w:rPr>
                <w:rFonts w:ascii="Times New Roman" w:hAnsi="Times New Roman"/>
                <w:color w:val="000000"/>
                <w:sz w:val="16"/>
                <w:szCs w:val="16"/>
                <w:lang w:val="en-GB"/>
              </w:rPr>
              <w:t xml:space="preserve"> </w:t>
            </w:r>
            <w:r w:rsidRPr="00E16672">
              <w:rPr>
                <w:rFonts w:ascii="Times New Roman" w:hAnsi="Times New Roman"/>
                <w:color w:val="000000"/>
                <w:sz w:val="16"/>
                <w:szCs w:val="16"/>
                <w:lang w:val="en-US"/>
              </w:rPr>
              <w:t>which given in connection with execution the Agreement by the Parties,</w:t>
            </w:r>
            <w:r w:rsidRPr="00E16672">
              <w:rPr>
                <w:rFonts w:ascii="Times New Roman" w:hAnsi="Times New Roman"/>
                <w:color w:val="000000"/>
                <w:sz w:val="16"/>
                <w:szCs w:val="16"/>
                <w:lang w:val="en-GB"/>
              </w:rPr>
              <w:t xml:space="preserve"> may be derived by the Depository institution and Depositor:</w:t>
            </w:r>
          </w:p>
          <w:p w14:paraId="4E08E494" w14:textId="77777777" w:rsidR="005C5318" w:rsidRPr="00E16672" w:rsidRDefault="005C5318" w:rsidP="005C5318">
            <w:pPr>
              <w:ind w:left="175" w:right="138" w:firstLine="7"/>
              <w:rPr>
                <w:rFonts w:ascii="Times New Roman" w:hAnsi="Times New Roman"/>
                <w:color w:val="000000"/>
                <w:sz w:val="16"/>
                <w:szCs w:val="16"/>
                <w:lang w:val="en-GB"/>
              </w:rPr>
            </w:pPr>
            <w:r w:rsidRPr="00E16672">
              <w:rPr>
                <w:rFonts w:ascii="Times New Roman" w:hAnsi="Times New Roman"/>
                <w:color w:val="000000"/>
                <w:sz w:val="16"/>
                <w:szCs w:val="16"/>
                <w:lang w:val="en-GB"/>
              </w:rPr>
              <w:t xml:space="preserve">- </w:t>
            </w:r>
            <w:proofErr w:type="gramStart"/>
            <w:r w:rsidRPr="00E16672">
              <w:rPr>
                <w:rFonts w:ascii="Times New Roman" w:hAnsi="Times New Roman"/>
                <w:color w:val="000000"/>
                <w:sz w:val="16"/>
                <w:szCs w:val="16"/>
                <w:lang w:val="en-GB"/>
              </w:rPr>
              <w:t>Personally</w:t>
            </w:r>
            <w:proofErr w:type="gramEnd"/>
            <w:r w:rsidRPr="00E16672">
              <w:rPr>
                <w:rFonts w:ascii="Times New Roman" w:hAnsi="Times New Roman"/>
                <w:color w:val="000000"/>
                <w:sz w:val="16"/>
                <w:szCs w:val="16"/>
                <w:lang w:val="en-GB"/>
              </w:rPr>
              <w:t xml:space="preserve"> through the personal reversion of the Depositor, administrator or his manager of the account (authorized representative person);</w:t>
            </w:r>
          </w:p>
          <w:p w14:paraId="4635E74B" w14:textId="77777777" w:rsidR="005C5318" w:rsidRPr="00E16672" w:rsidRDefault="005C5318" w:rsidP="005C5318">
            <w:pPr>
              <w:ind w:left="175" w:right="138" w:firstLine="7"/>
              <w:rPr>
                <w:rFonts w:ascii="Times New Roman" w:hAnsi="Times New Roman"/>
                <w:color w:val="000000"/>
                <w:sz w:val="16"/>
                <w:szCs w:val="16"/>
                <w:lang w:val="en-US"/>
              </w:rPr>
            </w:pPr>
            <w:r w:rsidRPr="00E16672">
              <w:rPr>
                <w:rFonts w:ascii="Times New Roman" w:hAnsi="Times New Roman"/>
                <w:color w:val="000000"/>
                <w:spacing w:val="-8"/>
                <w:sz w:val="16"/>
                <w:szCs w:val="16"/>
                <w:lang w:val="en-US"/>
              </w:rPr>
              <w:t>-  by means of postal communication or courier.</w:t>
            </w:r>
          </w:p>
        </w:tc>
      </w:tr>
      <w:tr w:rsidR="005C5318" w:rsidRPr="00F23413" w14:paraId="2728DCE8" w14:textId="77777777" w:rsidTr="005E418B">
        <w:trPr>
          <w:trHeight w:val="1147"/>
        </w:trPr>
        <w:tc>
          <w:tcPr>
            <w:tcW w:w="5695" w:type="dxa"/>
            <w:gridSpan w:val="6"/>
            <w:shd w:val="clear" w:color="auto" w:fill="auto"/>
          </w:tcPr>
          <w:p w14:paraId="4BCCEF84" w14:textId="77777777" w:rsidR="005C5318" w:rsidRPr="00E16672" w:rsidRDefault="005C5318" w:rsidP="005C5318">
            <w:pPr>
              <w:ind w:left="175" w:right="138" w:firstLine="7"/>
              <w:rPr>
                <w:rFonts w:ascii="Times New Roman" w:hAnsi="Times New Roman"/>
                <w:sz w:val="16"/>
                <w:szCs w:val="16"/>
              </w:rPr>
            </w:pPr>
            <w:r w:rsidRPr="00E16672">
              <w:rPr>
                <w:rFonts w:ascii="Times New Roman" w:hAnsi="Times New Roman"/>
                <w:sz w:val="16"/>
                <w:szCs w:val="16"/>
              </w:rPr>
              <w:t>3.4.</w:t>
            </w:r>
            <w:r w:rsidRPr="00E16672">
              <w:rPr>
                <w:rFonts w:ascii="Times New Roman" w:hAnsi="Times New Roman"/>
                <w:b/>
                <w:bCs/>
                <w:sz w:val="16"/>
                <w:szCs w:val="16"/>
              </w:rPr>
              <w:t xml:space="preserve"> </w:t>
            </w:r>
            <w:proofErr w:type="spellStart"/>
            <w:r w:rsidRPr="00E16672">
              <w:rPr>
                <w:rFonts w:ascii="Times New Roman" w:hAnsi="Times New Roman"/>
                <w:sz w:val="16"/>
                <w:szCs w:val="16"/>
              </w:rPr>
              <w:t>Розпорядження</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має</w:t>
            </w:r>
            <w:proofErr w:type="spellEnd"/>
            <w:r w:rsidRPr="00E16672">
              <w:rPr>
                <w:rFonts w:ascii="Times New Roman" w:hAnsi="Times New Roman"/>
                <w:sz w:val="16"/>
                <w:szCs w:val="16"/>
              </w:rPr>
              <w:t xml:space="preserve"> бути </w:t>
            </w:r>
            <w:proofErr w:type="spellStart"/>
            <w:r w:rsidRPr="00E16672">
              <w:rPr>
                <w:rFonts w:ascii="Times New Roman" w:hAnsi="Times New Roman"/>
                <w:sz w:val="16"/>
                <w:szCs w:val="16"/>
              </w:rPr>
              <w:t>підписане</w:t>
            </w:r>
            <w:proofErr w:type="spellEnd"/>
            <w:r w:rsidRPr="00E16672">
              <w:rPr>
                <w:rFonts w:ascii="Times New Roman" w:hAnsi="Times New Roman"/>
                <w:sz w:val="16"/>
                <w:szCs w:val="16"/>
              </w:rPr>
              <w:t xml:space="preserve"> Депонентом, </w:t>
            </w:r>
            <w:proofErr w:type="spellStart"/>
            <w:r w:rsidRPr="00E16672">
              <w:rPr>
                <w:rFonts w:ascii="Times New Roman" w:hAnsi="Times New Roman"/>
                <w:sz w:val="16"/>
                <w:szCs w:val="16"/>
              </w:rPr>
              <w:t>розпорядником</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рахунку</w:t>
            </w:r>
            <w:proofErr w:type="spellEnd"/>
            <w:r w:rsidRPr="00E16672">
              <w:rPr>
                <w:rFonts w:ascii="Times New Roman" w:hAnsi="Times New Roman"/>
                <w:sz w:val="16"/>
                <w:szCs w:val="16"/>
              </w:rPr>
              <w:t xml:space="preserve"> </w:t>
            </w:r>
            <w:r w:rsidR="00C22309" w:rsidRPr="00E16672">
              <w:rPr>
                <w:rFonts w:ascii="Times New Roman" w:hAnsi="Times New Roman"/>
                <w:sz w:val="16"/>
                <w:szCs w:val="16"/>
              </w:rPr>
              <w:t xml:space="preserve">в </w:t>
            </w:r>
            <w:proofErr w:type="spellStart"/>
            <w:r w:rsidR="00C22309" w:rsidRPr="00E16672">
              <w:rPr>
                <w:rFonts w:ascii="Times New Roman" w:hAnsi="Times New Roman"/>
                <w:sz w:val="16"/>
                <w:szCs w:val="16"/>
              </w:rPr>
              <w:t>цін</w:t>
            </w:r>
            <w:r w:rsidRPr="00E16672">
              <w:rPr>
                <w:rFonts w:ascii="Times New Roman" w:hAnsi="Times New Roman"/>
                <w:sz w:val="16"/>
                <w:szCs w:val="16"/>
              </w:rPr>
              <w:t>них</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паперах</w:t>
            </w:r>
            <w:proofErr w:type="spellEnd"/>
            <w:r w:rsidRPr="00E16672">
              <w:rPr>
                <w:rFonts w:ascii="Times New Roman" w:hAnsi="Times New Roman"/>
                <w:color w:val="000000"/>
                <w:sz w:val="16"/>
                <w:szCs w:val="20"/>
                <w:lang w:val="uk-UA"/>
              </w:rPr>
              <w:t xml:space="preserve"> або керуючим рахунком </w:t>
            </w:r>
            <w:r w:rsidR="00C22309" w:rsidRPr="00E16672">
              <w:rPr>
                <w:rFonts w:ascii="Times New Roman" w:hAnsi="Times New Roman"/>
                <w:color w:val="000000"/>
                <w:sz w:val="16"/>
                <w:szCs w:val="20"/>
                <w:lang w:val="uk-UA"/>
              </w:rPr>
              <w:t>в цін</w:t>
            </w:r>
            <w:r w:rsidRPr="00E16672">
              <w:rPr>
                <w:rFonts w:ascii="Times New Roman" w:hAnsi="Times New Roman"/>
                <w:color w:val="000000"/>
                <w:sz w:val="16"/>
                <w:szCs w:val="20"/>
                <w:lang w:val="uk-UA"/>
              </w:rPr>
              <w:t>них паперах</w:t>
            </w:r>
            <w:r w:rsidRPr="00E16672">
              <w:rPr>
                <w:rFonts w:ascii="Times New Roman" w:hAnsi="Times New Roman"/>
                <w:sz w:val="16"/>
                <w:szCs w:val="16"/>
              </w:rPr>
              <w:t xml:space="preserve">. </w:t>
            </w:r>
            <w:proofErr w:type="spellStart"/>
            <w:r w:rsidRPr="00E16672">
              <w:rPr>
                <w:rFonts w:ascii="Times New Roman" w:hAnsi="Times New Roman"/>
                <w:sz w:val="16"/>
                <w:szCs w:val="16"/>
              </w:rPr>
              <w:t>Підпис</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розпорядника</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рахунку</w:t>
            </w:r>
            <w:proofErr w:type="spellEnd"/>
            <w:r w:rsidRPr="00E16672">
              <w:rPr>
                <w:rFonts w:ascii="Times New Roman" w:hAnsi="Times New Roman"/>
                <w:sz w:val="16"/>
                <w:szCs w:val="16"/>
              </w:rPr>
              <w:t xml:space="preserve"> </w:t>
            </w:r>
            <w:r w:rsidR="00C22309" w:rsidRPr="00E16672">
              <w:rPr>
                <w:rFonts w:ascii="Times New Roman" w:hAnsi="Times New Roman"/>
                <w:sz w:val="16"/>
                <w:szCs w:val="16"/>
              </w:rPr>
              <w:t xml:space="preserve">в </w:t>
            </w:r>
            <w:proofErr w:type="spellStart"/>
            <w:r w:rsidR="00C22309" w:rsidRPr="00E16672">
              <w:rPr>
                <w:rFonts w:ascii="Times New Roman" w:hAnsi="Times New Roman"/>
                <w:sz w:val="16"/>
                <w:szCs w:val="16"/>
              </w:rPr>
              <w:t>цін</w:t>
            </w:r>
            <w:r w:rsidRPr="00E16672">
              <w:rPr>
                <w:rFonts w:ascii="Times New Roman" w:hAnsi="Times New Roman"/>
                <w:sz w:val="16"/>
                <w:szCs w:val="16"/>
              </w:rPr>
              <w:t>них</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паперах</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якщо</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керуючим</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рахунком</w:t>
            </w:r>
            <w:proofErr w:type="spellEnd"/>
            <w:r w:rsidRPr="00E16672">
              <w:rPr>
                <w:rFonts w:ascii="Times New Roman" w:hAnsi="Times New Roman"/>
                <w:sz w:val="16"/>
                <w:szCs w:val="16"/>
              </w:rPr>
              <w:t xml:space="preserve"> є </w:t>
            </w:r>
            <w:proofErr w:type="spellStart"/>
            <w:r w:rsidRPr="00E16672">
              <w:rPr>
                <w:rFonts w:ascii="Times New Roman" w:hAnsi="Times New Roman"/>
                <w:sz w:val="16"/>
                <w:szCs w:val="16"/>
              </w:rPr>
              <w:t>юридична</w:t>
            </w:r>
            <w:proofErr w:type="spellEnd"/>
            <w:r w:rsidRPr="00E16672">
              <w:rPr>
                <w:rFonts w:ascii="Times New Roman" w:hAnsi="Times New Roman"/>
                <w:sz w:val="16"/>
                <w:szCs w:val="16"/>
              </w:rPr>
              <w:t xml:space="preserve"> особа, </w:t>
            </w:r>
            <w:proofErr w:type="spellStart"/>
            <w:r w:rsidRPr="00E16672">
              <w:rPr>
                <w:rFonts w:ascii="Times New Roman" w:hAnsi="Times New Roman"/>
                <w:sz w:val="16"/>
                <w:szCs w:val="16"/>
              </w:rPr>
              <w:t>засвідчується</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печаткою</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відповідної</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юридичної</w:t>
            </w:r>
            <w:proofErr w:type="spellEnd"/>
            <w:r w:rsidRPr="00E16672">
              <w:rPr>
                <w:rFonts w:ascii="Times New Roman" w:hAnsi="Times New Roman"/>
                <w:sz w:val="16"/>
                <w:szCs w:val="16"/>
              </w:rPr>
              <w:t xml:space="preserve"> особи (у </w:t>
            </w:r>
            <w:proofErr w:type="spellStart"/>
            <w:r w:rsidRPr="00E16672">
              <w:rPr>
                <w:rFonts w:ascii="Times New Roman" w:hAnsi="Times New Roman"/>
                <w:sz w:val="16"/>
                <w:szCs w:val="16"/>
              </w:rPr>
              <w:t>разі</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використання</w:t>
            </w:r>
            <w:proofErr w:type="spellEnd"/>
            <w:r w:rsidRPr="00E16672">
              <w:rPr>
                <w:rFonts w:ascii="Times New Roman" w:hAnsi="Times New Roman"/>
                <w:sz w:val="16"/>
                <w:szCs w:val="16"/>
              </w:rPr>
              <w:t>).</w:t>
            </w:r>
          </w:p>
          <w:p w14:paraId="100D7D43" w14:textId="77777777" w:rsidR="005C5318" w:rsidRPr="00E16672" w:rsidRDefault="005C5318" w:rsidP="005C5318">
            <w:pPr>
              <w:snapToGrid w:val="0"/>
              <w:ind w:left="175" w:right="138" w:firstLine="7"/>
              <w:rPr>
                <w:rFonts w:ascii="Times New Roman" w:hAnsi="Times New Roman"/>
                <w:sz w:val="16"/>
                <w:szCs w:val="16"/>
              </w:rPr>
            </w:pPr>
          </w:p>
        </w:tc>
        <w:tc>
          <w:tcPr>
            <w:tcW w:w="5495" w:type="dxa"/>
            <w:gridSpan w:val="6"/>
            <w:shd w:val="clear" w:color="auto" w:fill="auto"/>
          </w:tcPr>
          <w:p w14:paraId="708B32CD" w14:textId="77777777" w:rsidR="005C5318" w:rsidRPr="00E16672" w:rsidRDefault="005C5318" w:rsidP="005C5318">
            <w:pPr>
              <w:snapToGrid w:val="0"/>
              <w:ind w:left="175" w:right="138" w:firstLine="7"/>
              <w:rPr>
                <w:rFonts w:ascii="Times New Roman" w:hAnsi="Times New Roman"/>
                <w:sz w:val="16"/>
                <w:szCs w:val="16"/>
                <w:lang w:val="en-GB"/>
              </w:rPr>
            </w:pPr>
            <w:r w:rsidRPr="00E16672">
              <w:rPr>
                <w:rFonts w:ascii="Times New Roman" w:hAnsi="Times New Roman"/>
                <w:sz w:val="16"/>
                <w:szCs w:val="16"/>
                <w:lang w:val="en-GB"/>
              </w:rPr>
              <w:t xml:space="preserve">3.4. The order </w:t>
            </w:r>
            <w:proofErr w:type="gramStart"/>
            <w:r w:rsidRPr="00E16672">
              <w:rPr>
                <w:rFonts w:ascii="Times New Roman" w:hAnsi="Times New Roman"/>
                <w:sz w:val="16"/>
                <w:szCs w:val="16"/>
                <w:lang w:val="en-GB"/>
              </w:rPr>
              <w:t>have</w:t>
            </w:r>
            <w:proofErr w:type="gramEnd"/>
            <w:r w:rsidRPr="00E16672">
              <w:rPr>
                <w:rFonts w:ascii="Times New Roman" w:hAnsi="Times New Roman"/>
                <w:sz w:val="16"/>
                <w:szCs w:val="16"/>
                <w:lang w:val="en-GB"/>
              </w:rPr>
              <w:t xml:space="preserve"> to be signed by </w:t>
            </w:r>
            <w:r w:rsidRPr="00E16672">
              <w:rPr>
                <w:rFonts w:ascii="Times New Roman" w:hAnsi="Times New Roman"/>
                <w:color w:val="000000"/>
                <w:sz w:val="16"/>
                <w:szCs w:val="16"/>
                <w:lang w:val="en-GB"/>
              </w:rPr>
              <w:t>Depositor</w:t>
            </w:r>
            <w:r w:rsidRPr="00E16672">
              <w:rPr>
                <w:rFonts w:ascii="Times New Roman" w:hAnsi="Times New Roman"/>
                <w:sz w:val="16"/>
                <w:szCs w:val="16"/>
                <w:lang w:val="en-US"/>
              </w:rPr>
              <w:t xml:space="preserve">, </w:t>
            </w:r>
            <w:r w:rsidRPr="00E16672">
              <w:rPr>
                <w:rFonts w:ascii="Times New Roman" w:hAnsi="Times New Roman"/>
                <w:sz w:val="16"/>
                <w:szCs w:val="16"/>
                <w:lang w:val="en-GB"/>
              </w:rPr>
              <w:t>manager of the account in securities</w:t>
            </w:r>
            <w:r w:rsidRPr="00E16672">
              <w:rPr>
                <w:rFonts w:ascii="Times New Roman" w:hAnsi="Times New Roman"/>
                <w:sz w:val="16"/>
                <w:szCs w:val="16"/>
                <w:lang w:val="en-US"/>
              </w:rPr>
              <w:t xml:space="preserve"> </w:t>
            </w:r>
            <w:r w:rsidRPr="00E16672">
              <w:rPr>
                <w:rFonts w:ascii="Times New Roman" w:hAnsi="Times New Roman"/>
                <w:color w:val="000000"/>
                <w:sz w:val="16"/>
                <w:szCs w:val="16"/>
                <w:lang w:val="en-GB"/>
              </w:rPr>
              <w:t>or</w:t>
            </w:r>
            <w:r w:rsidRPr="00E16672">
              <w:rPr>
                <w:rFonts w:ascii="Times New Roman" w:hAnsi="Times New Roman"/>
                <w:sz w:val="16"/>
                <w:szCs w:val="16"/>
                <w:lang w:val="en-US"/>
              </w:rPr>
              <w:t xml:space="preserve"> </w:t>
            </w:r>
            <w:r w:rsidRPr="00E16672">
              <w:rPr>
                <w:rFonts w:ascii="Times New Roman" w:hAnsi="Times New Roman"/>
                <w:sz w:val="16"/>
              </w:rPr>
              <w:t>а</w:t>
            </w:r>
            <w:proofErr w:type="spellStart"/>
            <w:r w:rsidRPr="00E16672">
              <w:rPr>
                <w:rFonts w:ascii="Times New Roman" w:hAnsi="Times New Roman"/>
                <w:sz w:val="16"/>
                <w:lang w:val="en-US"/>
              </w:rPr>
              <w:t>dministrator</w:t>
            </w:r>
            <w:proofErr w:type="spellEnd"/>
            <w:r w:rsidRPr="00E16672">
              <w:rPr>
                <w:rFonts w:ascii="Times New Roman" w:hAnsi="Times New Roman"/>
                <w:sz w:val="16"/>
                <w:lang w:val="en-US"/>
              </w:rPr>
              <w:t xml:space="preserve"> of the account in securities</w:t>
            </w:r>
            <w:r w:rsidRPr="00E16672">
              <w:rPr>
                <w:rFonts w:ascii="Times New Roman" w:hAnsi="Times New Roman"/>
                <w:sz w:val="16"/>
                <w:szCs w:val="16"/>
                <w:lang w:val="en-GB"/>
              </w:rPr>
              <w:t>. Signature of the manager of the account in securities</w:t>
            </w:r>
            <w:r w:rsidRPr="00E16672">
              <w:rPr>
                <w:rFonts w:ascii="Times New Roman" w:hAnsi="Times New Roman"/>
                <w:sz w:val="16"/>
                <w:szCs w:val="16"/>
                <w:lang w:val="en-US"/>
              </w:rPr>
              <w:t>,</w:t>
            </w:r>
            <w:r w:rsidRPr="00E16672">
              <w:rPr>
                <w:rFonts w:ascii="Times New Roman" w:hAnsi="Times New Roman"/>
                <w:sz w:val="16"/>
                <w:szCs w:val="16"/>
                <w:lang w:val="en-GB"/>
              </w:rPr>
              <w:t xml:space="preserve"> if the administrator of his account is a legal entity, a seal of the legal entity (</w:t>
            </w:r>
            <w:r w:rsidRPr="00E16672">
              <w:rPr>
                <w:rFonts w:ascii="Times New Roman" w:hAnsi="Times New Roman"/>
                <w:color w:val="000000"/>
                <w:sz w:val="16"/>
                <w:szCs w:val="16"/>
                <w:lang w:val="en-US"/>
              </w:rPr>
              <w:t>in case of use</w:t>
            </w:r>
            <w:r w:rsidRPr="00E16672">
              <w:rPr>
                <w:rFonts w:ascii="Times New Roman" w:hAnsi="Times New Roman"/>
                <w:sz w:val="16"/>
                <w:szCs w:val="16"/>
                <w:lang w:val="en-GB"/>
              </w:rPr>
              <w:t>).</w:t>
            </w:r>
          </w:p>
        </w:tc>
      </w:tr>
      <w:tr w:rsidR="005C5318" w:rsidRPr="00F23413" w14:paraId="588E2342" w14:textId="77777777" w:rsidTr="005E418B">
        <w:trPr>
          <w:trHeight w:val="434"/>
        </w:trPr>
        <w:tc>
          <w:tcPr>
            <w:tcW w:w="5695" w:type="dxa"/>
            <w:gridSpan w:val="6"/>
            <w:shd w:val="clear" w:color="auto" w:fill="auto"/>
          </w:tcPr>
          <w:p w14:paraId="65AF82A0" w14:textId="77777777" w:rsidR="005C5318" w:rsidRPr="00E16672" w:rsidRDefault="005C5318" w:rsidP="005C5318">
            <w:pPr>
              <w:snapToGrid w:val="0"/>
              <w:ind w:left="175" w:right="138" w:firstLine="7"/>
              <w:rPr>
                <w:rFonts w:ascii="Times New Roman" w:hAnsi="Times New Roman"/>
                <w:sz w:val="16"/>
                <w:szCs w:val="16"/>
              </w:rPr>
            </w:pPr>
            <w:r w:rsidRPr="00E16672">
              <w:rPr>
                <w:rFonts w:ascii="Times New Roman" w:hAnsi="Times New Roman"/>
                <w:sz w:val="16"/>
                <w:szCs w:val="16"/>
              </w:rPr>
              <w:t xml:space="preserve">3.5. </w:t>
            </w:r>
            <w:proofErr w:type="spellStart"/>
            <w:r w:rsidRPr="00E16672">
              <w:rPr>
                <w:rFonts w:ascii="Times New Roman" w:hAnsi="Times New Roman"/>
                <w:sz w:val="16"/>
                <w:szCs w:val="16"/>
              </w:rPr>
              <w:t>Депозитарна</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установа</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приймає</w:t>
            </w:r>
            <w:proofErr w:type="spellEnd"/>
            <w:r w:rsidRPr="00E16672">
              <w:rPr>
                <w:rFonts w:ascii="Times New Roman" w:hAnsi="Times New Roman"/>
                <w:sz w:val="16"/>
                <w:szCs w:val="16"/>
              </w:rPr>
              <w:t xml:space="preserve"> до </w:t>
            </w:r>
            <w:proofErr w:type="spellStart"/>
            <w:r w:rsidRPr="00E16672">
              <w:rPr>
                <w:rFonts w:ascii="Times New Roman" w:hAnsi="Times New Roman"/>
                <w:sz w:val="16"/>
                <w:szCs w:val="16"/>
              </w:rPr>
              <w:t>виконання</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тільки</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ті</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розпорядження</w:t>
            </w:r>
            <w:proofErr w:type="spellEnd"/>
            <w:r w:rsidRPr="00E16672">
              <w:rPr>
                <w:rFonts w:ascii="Times New Roman" w:hAnsi="Times New Roman"/>
                <w:sz w:val="16"/>
                <w:szCs w:val="16"/>
              </w:rPr>
              <w:t xml:space="preserve"> Депонента, </w:t>
            </w:r>
            <w:proofErr w:type="spellStart"/>
            <w:r w:rsidRPr="00E16672">
              <w:rPr>
                <w:rFonts w:ascii="Times New Roman" w:hAnsi="Times New Roman"/>
                <w:sz w:val="16"/>
                <w:szCs w:val="16"/>
              </w:rPr>
              <w:t>які</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підтверджені</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підписом</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керуючого</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або</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розпорядника</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його</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рахунком</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уповноваженого</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представника</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Депозитарна</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установа</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перевіряє</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їх</w:t>
            </w:r>
            <w:proofErr w:type="spellEnd"/>
            <w:r w:rsidRPr="00E16672">
              <w:rPr>
                <w:rFonts w:ascii="Times New Roman" w:hAnsi="Times New Roman"/>
                <w:sz w:val="16"/>
                <w:szCs w:val="16"/>
              </w:rPr>
              <w:t xml:space="preserve"> на </w:t>
            </w:r>
            <w:proofErr w:type="spellStart"/>
            <w:r w:rsidRPr="00E16672">
              <w:rPr>
                <w:rFonts w:ascii="Times New Roman" w:hAnsi="Times New Roman"/>
                <w:sz w:val="16"/>
                <w:szCs w:val="16"/>
              </w:rPr>
              <w:t>достовірність</w:t>
            </w:r>
            <w:proofErr w:type="spellEnd"/>
            <w:r w:rsidRPr="00E16672">
              <w:rPr>
                <w:rFonts w:ascii="Times New Roman" w:hAnsi="Times New Roman"/>
                <w:sz w:val="16"/>
                <w:szCs w:val="16"/>
              </w:rPr>
              <w:t xml:space="preserve">. </w:t>
            </w:r>
          </w:p>
          <w:p w14:paraId="193325DE" w14:textId="77777777" w:rsidR="005C5318" w:rsidRPr="00E16672" w:rsidRDefault="005C5318" w:rsidP="005C5318">
            <w:pPr>
              <w:ind w:left="175" w:right="138" w:firstLine="7"/>
              <w:rPr>
                <w:rFonts w:ascii="Times New Roman" w:hAnsi="Times New Roman"/>
                <w:sz w:val="16"/>
                <w:szCs w:val="16"/>
              </w:rPr>
            </w:pPr>
            <w:proofErr w:type="spellStart"/>
            <w:r w:rsidRPr="00E16672">
              <w:rPr>
                <w:rFonts w:ascii="Times New Roman" w:hAnsi="Times New Roman"/>
                <w:sz w:val="16"/>
                <w:szCs w:val="16"/>
              </w:rPr>
              <w:t>Спосіб</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підтвердження</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справжності</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підпису</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що</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використовується</w:t>
            </w:r>
            <w:proofErr w:type="spellEnd"/>
            <w:r w:rsidRPr="00E16672">
              <w:rPr>
                <w:rFonts w:ascii="Times New Roman" w:hAnsi="Times New Roman"/>
                <w:sz w:val="16"/>
                <w:szCs w:val="16"/>
              </w:rPr>
              <w:t xml:space="preserve"> при </w:t>
            </w:r>
            <w:proofErr w:type="spellStart"/>
            <w:r w:rsidRPr="00E16672">
              <w:rPr>
                <w:rFonts w:ascii="Times New Roman" w:hAnsi="Times New Roman"/>
                <w:sz w:val="16"/>
                <w:szCs w:val="16"/>
              </w:rPr>
              <w:t>обміні</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інформацією</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між</w:t>
            </w:r>
            <w:proofErr w:type="spellEnd"/>
            <w:r w:rsidRPr="00E16672">
              <w:rPr>
                <w:rFonts w:ascii="Times New Roman" w:hAnsi="Times New Roman"/>
                <w:sz w:val="16"/>
                <w:szCs w:val="16"/>
              </w:rPr>
              <w:t xml:space="preserve"> депонентом та Депозитарною </w:t>
            </w:r>
            <w:proofErr w:type="spellStart"/>
            <w:r w:rsidRPr="00E16672">
              <w:rPr>
                <w:rFonts w:ascii="Times New Roman" w:hAnsi="Times New Roman"/>
                <w:sz w:val="16"/>
                <w:szCs w:val="16"/>
              </w:rPr>
              <w:t>установою</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може</w:t>
            </w:r>
            <w:proofErr w:type="spellEnd"/>
            <w:r w:rsidRPr="00E16672">
              <w:rPr>
                <w:rFonts w:ascii="Times New Roman" w:hAnsi="Times New Roman"/>
                <w:sz w:val="16"/>
                <w:szCs w:val="16"/>
              </w:rPr>
              <w:t xml:space="preserve"> бути таким: </w:t>
            </w:r>
          </w:p>
          <w:p w14:paraId="5A408525" w14:textId="77777777" w:rsidR="005C5318" w:rsidRPr="00E16672" w:rsidRDefault="005C5318" w:rsidP="005C5318">
            <w:pPr>
              <w:ind w:left="175" w:right="138" w:firstLine="7"/>
              <w:rPr>
                <w:rFonts w:ascii="Times New Roman" w:hAnsi="Times New Roman"/>
                <w:sz w:val="16"/>
                <w:szCs w:val="16"/>
              </w:rPr>
            </w:pPr>
            <w:r w:rsidRPr="00E16672">
              <w:rPr>
                <w:rFonts w:ascii="Times New Roman" w:hAnsi="Times New Roman"/>
                <w:sz w:val="16"/>
                <w:szCs w:val="16"/>
              </w:rPr>
              <w:t xml:space="preserve">- </w:t>
            </w:r>
            <w:proofErr w:type="spellStart"/>
            <w:r w:rsidRPr="00E16672">
              <w:rPr>
                <w:rFonts w:ascii="Times New Roman" w:hAnsi="Times New Roman"/>
                <w:sz w:val="16"/>
                <w:szCs w:val="16"/>
              </w:rPr>
              <w:t>достовірність</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підпису</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підтверджується</w:t>
            </w:r>
            <w:proofErr w:type="spellEnd"/>
            <w:r w:rsidRPr="00E16672">
              <w:rPr>
                <w:rFonts w:ascii="Times New Roman" w:hAnsi="Times New Roman"/>
                <w:sz w:val="16"/>
                <w:szCs w:val="16"/>
              </w:rPr>
              <w:t xml:space="preserve"> шляхом </w:t>
            </w:r>
            <w:proofErr w:type="spellStart"/>
            <w:r w:rsidRPr="00E16672">
              <w:rPr>
                <w:rFonts w:ascii="Times New Roman" w:hAnsi="Times New Roman"/>
                <w:sz w:val="16"/>
                <w:szCs w:val="16"/>
              </w:rPr>
              <w:t>зіставлення</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підписів</w:t>
            </w:r>
            <w:proofErr w:type="spellEnd"/>
            <w:r w:rsidRPr="00E16672">
              <w:rPr>
                <w:rFonts w:ascii="Times New Roman" w:hAnsi="Times New Roman"/>
                <w:sz w:val="16"/>
                <w:szCs w:val="16"/>
              </w:rPr>
              <w:t xml:space="preserve"> у </w:t>
            </w:r>
            <w:proofErr w:type="spellStart"/>
            <w:r w:rsidRPr="00E16672">
              <w:rPr>
                <w:rFonts w:ascii="Times New Roman" w:hAnsi="Times New Roman"/>
                <w:sz w:val="16"/>
                <w:szCs w:val="16"/>
              </w:rPr>
              <w:t>розпорядженні</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із</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зразками</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підписів</w:t>
            </w:r>
            <w:proofErr w:type="spellEnd"/>
            <w:r w:rsidRPr="00E16672">
              <w:rPr>
                <w:rFonts w:ascii="Times New Roman" w:hAnsi="Times New Roman"/>
                <w:sz w:val="16"/>
                <w:szCs w:val="16"/>
              </w:rPr>
              <w:t xml:space="preserve"> у </w:t>
            </w:r>
            <w:proofErr w:type="spellStart"/>
            <w:r w:rsidRPr="00E16672">
              <w:rPr>
                <w:rFonts w:ascii="Times New Roman" w:hAnsi="Times New Roman"/>
                <w:sz w:val="16"/>
                <w:szCs w:val="16"/>
              </w:rPr>
              <w:t>картці</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із</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зразками</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підписів</w:t>
            </w:r>
            <w:proofErr w:type="spellEnd"/>
            <w:r w:rsidRPr="00E16672">
              <w:rPr>
                <w:rFonts w:ascii="Times New Roman" w:hAnsi="Times New Roman"/>
                <w:sz w:val="16"/>
                <w:szCs w:val="16"/>
              </w:rPr>
              <w:t xml:space="preserve"> та </w:t>
            </w:r>
            <w:proofErr w:type="spellStart"/>
            <w:r w:rsidRPr="00E16672">
              <w:rPr>
                <w:rFonts w:ascii="Times New Roman" w:hAnsi="Times New Roman"/>
                <w:sz w:val="16"/>
                <w:szCs w:val="16"/>
              </w:rPr>
              <w:t>відбитком</w:t>
            </w:r>
            <w:proofErr w:type="spellEnd"/>
            <w:r w:rsidRPr="00E16672">
              <w:rPr>
                <w:rFonts w:ascii="Times New Roman" w:hAnsi="Times New Roman"/>
                <w:sz w:val="16"/>
                <w:szCs w:val="16"/>
              </w:rPr>
              <w:t xml:space="preserve"> печатки</w:t>
            </w:r>
            <w:r w:rsidRPr="00E16672">
              <w:rPr>
                <w:rFonts w:ascii="Times New Roman" w:hAnsi="Times New Roman"/>
                <w:sz w:val="16"/>
                <w:szCs w:val="20"/>
                <w:lang w:val="uk-UA"/>
              </w:rPr>
              <w:t xml:space="preserve"> (у разі її використання</w:t>
            </w:r>
            <w:proofErr w:type="gramStart"/>
            <w:r w:rsidRPr="00E16672">
              <w:rPr>
                <w:rFonts w:ascii="Times New Roman" w:hAnsi="Times New Roman"/>
                <w:sz w:val="16"/>
                <w:szCs w:val="20"/>
                <w:lang w:val="uk-UA"/>
              </w:rPr>
              <w:t>)</w:t>
            </w:r>
            <w:r w:rsidRPr="00E16672">
              <w:rPr>
                <w:rFonts w:ascii="Times New Roman" w:hAnsi="Times New Roman"/>
                <w:szCs w:val="20"/>
                <w:lang w:val="uk-UA"/>
              </w:rPr>
              <w:t xml:space="preserve"> ,</w:t>
            </w:r>
            <w:proofErr w:type="gramEnd"/>
            <w:r w:rsidRPr="00E16672">
              <w:rPr>
                <w:rFonts w:ascii="Times New Roman" w:hAnsi="Times New Roman"/>
                <w:szCs w:val="20"/>
                <w:lang w:val="uk-UA"/>
              </w:rPr>
              <w:t xml:space="preserve"> </w:t>
            </w:r>
            <w:r w:rsidRPr="00E16672">
              <w:rPr>
                <w:rFonts w:ascii="Times New Roman" w:hAnsi="Times New Roman"/>
                <w:sz w:val="16"/>
                <w:szCs w:val="20"/>
                <w:lang w:val="uk-UA"/>
              </w:rPr>
              <w:t>оформленій та засвідченій відповідно до вимог законодавства і внутрішніх документів Депозитарної установи</w:t>
            </w:r>
            <w:r w:rsidRPr="00E16672">
              <w:rPr>
                <w:rFonts w:ascii="Times New Roman" w:hAnsi="Times New Roman"/>
                <w:sz w:val="16"/>
                <w:szCs w:val="16"/>
              </w:rPr>
              <w:t>;</w:t>
            </w:r>
          </w:p>
          <w:p w14:paraId="7840D1ED" w14:textId="77777777" w:rsidR="005C5318" w:rsidRPr="00E16672" w:rsidRDefault="005C5318" w:rsidP="005C5318">
            <w:pPr>
              <w:snapToGrid w:val="0"/>
              <w:ind w:left="175" w:right="138" w:firstLine="7"/>
              <w:rPr>
                <w:rFonts w:ascii="Times New Roman" w:hAnsi="Times New Roman"/>
                <w:sz w:val="16"/>
                <w:szCs w:val="16"/>
                <w:lang w:val="uk-UA"/>
              </w:rPr>
            </w:pPr>
            <w:r w:rsidRPr="00E16672">
              <w:rPr>
                <w:rFonts w:ascii="Times New Roman" w:hAnsi="Times New Roman"/>
                <w:sz w:val="16"/>
                <w:szCs w:val="16"/>
              </w:rPr>
              <w:t xml:space="preserve">- </w:t>
            </w:r>
            <w:r w:rsidRPr="00E16672">
              <w:rPr>
                <w:rFonts w:ascii="Times New Roman" w:hAnsi="Times New Roman"/>
                <w:sz w:val="16"/>
                <w:szCs w:val="20"/>
                <w:lang w:val="uk-UA"/>
              </w:rPr>
              <w:t xml:space="preserve">кваліфікований </w:t>
            </w:r>
            <w:proofErr w:type="spellStart"/>
            <w:r w:rsidRPr="00E16672">
              <w:rPr>
                <w:rFonts w:ascii="Times New Roman" w:hAnsi="Times New Roman"/>
                <w:sz w:val="16"/>
                <w:szCs w:val="16"/>
              </w:rPr>
              <w:t>електронний</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підпис</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вважається</w:t>
            </w:r>
            <w:proofErr w:type="spellEnd"/>
            <w:r w:rsidRPr="00E16672">
              <w:rPr>
                <w:rFonts w:ascii="Times New Roman" w:hAnsi="Times New Roman"/>
                <w:sz w:val="16"/>
                <w:szCs w:val="16"/>
              </w:rPr>
              <w:t xml:space="preserve"> таким, </w:t>
            </w:r>
            <w:proofErr w:type="spellStart"/>
            <w:r w:rsidRPr="00E16672">
              <w:rPr>
                <w:rFonts w:ascii="Times New Roman" w:hAnsi="Times New Roman"/>
                <w:sz w:val="16"/>
                <w:szCs w:val="16"/>
              </w:rPr>
              <w:t>що</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відповідає</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сертифікату</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відкритого</w:t>
            </w:r>
            <w:proofErr w:type="spellEnd"/>
            <w:r w:rsidRPr="00E16672">
              <w:rPr>
                <w:rFonts w:ascii="Times New Roman" w:hAnsi="Times New Roman"/>
                <w:sz w:val="16"/>
                <w:szCs w:val="16"/>
              </w:rPr>
              <w:t xml:space="preserve"> ключа, </w:t>
            </w:r>
            <w:proofErr w:type="spellStart"/>
            <w:r w:rsidRPr="00E16672">
              <w:rPr>
                <w:rFonts w:ascii="Times New Roman" w:hAnsi="Times New Roman"/>
                <w:sz w:val="16"/>
                <w:szCs w:val="16"/>
              </w:rPr>
              <w:t>якщо</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особистий</w:t>
            </w:r>
            <w:proofErr w:type="spellEnd"/>
            <w:r w:rsidRPr="00E16672">
              <w:rPr>
                <w:rFonts w:ascii="Times New Roman" w:hAnsi="Times New Roman"/>
                <w:sz w:val="16"/>
                <w:szCs w:val="16"/>
              </w:rPr>
              <w:t xml:space="preserve"> ключ </w:t>
            </w:r>
            <w:proofErr w:type="spellStart"/>
            <w:r w:rsidRPr="00E16672">
              <w:rPr>
                <w:rFonts w:ascii="Times New Roman" w:hAnsi="Times New Roman"/>
                <w:sz w:val="16"/>
                <w:szCs w:val="16"/>
              </w:rPr>
              <w:t>підписувача</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розпорядника</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рахунку</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використаний</w:t>
            </w:r>
            <w:proofErr w:type="spellEnd"/>
            <w:r w:rsidRPr="00E16672">
              <w:rPr>
                <w:rFonts w:ascii="Times New Roman" w:hAnsi="Times New Roman"/>
                <w:sz w:val="16"/>
                <w:szCs w:val="16"/>
              </w:rPr>
              <w:t xml:space="preserve"> при </w:t>
            </w:r>
            <w:proofErr w:type="spellStart"/>
            <w:r w:rsidRPr="00E16672">
              <w:rPr>
                <w:rFonts w:ascii="Times New Roman" w:hAnsi="Times New Roman"/>
                <w:sz w:val="16"/>
                <w:szCs w:val="16"/>
              </w:rPr>
              <w:t>формуванні</w:t>
            </w:r>
            <w:proofErr w:type="spellEnd"/>
            <w:r w:rsidRPr="00E16672">
              <w:rPr>
                <w:rFonts w:ascii="Times New Roman" w:hAnsi="Times New Roman"/>
                <w:sz w:val="16"/>
                <w:szCs w:val="16"/>
              </w:rPr>
              <w:t xml:space="preserve"> </w:t>
            </w:r>
            <w:r w:rsidRPr="00E16672">
              <w:rPr>
                <w:rFonts w:ascii="Times New Roman" w:hAnsi="Times New Roman"/>
                <w:sz w:val="16"/>
                <w:szCs w:val="20"/>
                <w:lang w:val="uk-UA"/>
              </w:rPr>
              <w:t xml:space="preserve">кваліфікований </w:t>
            </w:r>
            <w:proofErr w:type="spellStart"/>
            <w:r w:rsidRPr="00E16672">
              <w:rPr>
                <w:rFonts w:ascii="Times New Roman" w:hAnsi="Times New Roman"/>
                <w:sz w:val="16"/>
                <w:szCs w:val="16"/>
              </w:rPr>
              <w:t>електронного</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підпису</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відповідає</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відкритому</w:t>
            </w:r>
            <w:proofErr w:type="spellEnd"/>
            <w:r w:rsidRPr="00E16672">
              <w:rPr>
                <w:rFonts w:ascii="Times New Roman" w:hAnsi="Times New Roman"/>
                <w:sz w:val="16"/>
                <w:szCs w:val="16"/>
              </w:rPr>
              <w:t xml:space="preserve"> ключу, </w:t>
            </w:r>
            <w:proofErr w:type="spellStart"/>
            <w:r w:rsidRPr="00E16672">
              <w:rPr>
                <w:rFonts w:ascii="Times New Roman" w:hAnsi="Times New Roman"/>
                <w:sz w:val="16"/>
                <w:szCs w:val="16"/>
              </w:rPr>
              <w:t>зазначеному</w:t>
            </w:r>
            <w:proofErr w:type="spellEnd"/>
            <w:r w:rsidRPr="00E16672">
              <w:rPr>
                <w:rFonts w:ascii="Times New Roman" w:hAnsi="Times New Roman"/>
                <w:sz w:val="16"/>
                <w:szCs w:val="16"/>
              </w:rPr>
              <w:t xml:space="preserve"> у </w:t>
            </w:r>
            <w:proofErr w:type="spellStart"/>
            <w:r w:rsidRPr="00E16672">
              <w:rPr>
                <w:rFonts w:ascii="Times New Roman" w:hAnsi="Times New Roman"/>
                <w:sz w:val="16"/>
                <w:szCs w:val="16"/>
              </w:rPr>
              <w:t>сертифікаті</w:t>
            </w:r>
            <w:proofErr w:type="spellEnd"/>
            <w:r w:rsidRPr="00E16672">
              <w:rPr>
                <w:rFonts w:ascii="Times New Roman" w:hAnsi="Times New Roman"/>
                <w:sz w:val="16"/>
                <w:szCs w:val="16"/>
                <w:lang w:val="uk-UA"/>
              </w:rPr>
              <w:t>.</w:t>
            </w:r>
          </w:p>
          <w:p w14:paraId="69C26A1B" w14:textId="77777777" w:rsidR="005C5318" w:rsidRPr="00E16672" w:rsidRDefault="005C5318" w:rsidP="005C5318">
            <w:pPr>
              <w:snapToGrid w:val="0"/>
              <w:ind w:left="175" w:right="138" w:firstLine="7"/>
              <w:rPr>
                <w:rFonts w:ascii="Times New Roman" w:hAnsi="Times New Roman"/>
                <w:sz w:val="16"/>
                <w:szCs w:val="16"/>
              </w:rPr>
            </w:pPr>
          </w:p>
        </w:tc>
        <w:tc>
          <w:tcPr>
            <w:tcW w:w="5495" w:type="dxa"/>
            <w:gridSpan w:val="6"/>
            <w:shd w:val="clear" w:color="auto" w:fill="auto"/>
          </w:tcPr>
          <w:p w14:paraId="626D7522" w14:textId="77777777" w:rsidR="005C5318" w:rsidRPr="00E16672" w:rsidRDefault="005C5318" w:rsidP="005C5318">
            <w:pPr>
              <w:pStyle w:val="210"/>
              <w:tabs>
                <w:tab w:val="left" w:pos="287"/>
                <w:tab w:val="left" w:pos="1191"/>
              </w:tabs>
              <w:snapToGrid w:val="0"/>
              <w:ind w:left="175" w:right="100" w:firstLine="7"/>
              <w:rPr>
                <w:rFonts w:ascii="Times New Roman" w:hAnsi="Times New Roman"/>
                <w:sz w:val="16"/>
                <w:szCs w:val="16"/>
                <w:lang w:val="en-GB"/>
              </w:rPr>
            </w:pPr>
            <w:r w:rsidRPr="00E16672">
              <w:rPr>
                <w:rFonts w:ascii="Times New Roman" w:hAnsi="Times New Roman"/>
                <w:sz w:val="16"/>
                <w:szCs w:val="16"/>
                <w:lang w:val="en-GB"/>
              </w:rPr>
              <w:t>3.5. The Depositor</w:t>
            </w:r>
            <w:r w:rsidR="002B2E4C" w:rsidRPr="00E16672">
              <w:rPr>
                <w:rFonts w:ascii="Times New Roman" w:hAnsi="Times New Roman"/>
                <w:sz w:val="16"/>
                <w:szCs w:val="16"/>
                <w:lang w:val="en-GB"/>
              </w:rPr>
              <w:t>y institution accepts to fulfil</w:t>
            </w:r>
            <w:r w:rsidRPr="00E16672">
              <w:rPr>
                <w:rFonts w:ascii="Times New Roman" w:hAnsi="Times New Roman"/>
                <w:sz w:val="16"/>
                <w:szCs w:val="16"/>
                <w:lang w:val="en-GB"/>
              </w:rPr>
              <w:t>ment only those of the orders that confirmed by the signature of the administrator or manager of the account in securities (authorized representative person).</w:t>
            </w:r>
          </w:p>
          <w:p w14:paraId="1C3385B3" w14:textId="77777777" w:rsidR="005C5318" w:rsidRPr="00E16672" w:rsidRDefault="005C5318" w:rsidP="005C5318">
            <w:pPr>
              <w:pStyle w:val="210"/>
              <w:tabs>
                <w:tab w:val="left" w:pos="287"/>
                <w:tab w:val="left" w:pos="1191"/>
              </w:tabs>
              <w:snapToGrid w:val="0"/>
              <w:ind w:left="175" w:right="100" w:firstLine="7"/>
              <w:rPr>
                <w:rFonts w:ascii="Times New Roman" w:hAnsi="Times New Roman"/>
                <w:sz w:val="16"/>
                <w:szCs w:val="16"/>
                <w:lang w:val="en-GB"/>
              </w:rPr>
            </w:pPr>
            <w:r w:rsidRPr="00E16672">
              <w:rPr>
                <w:rFonts w:ascii="Times New Roman" w:hAnsi="Times New Roman"/>
                <w:sz w:val="16"/>
                <w:szCs w:val="16"/>
                <w:lang w:val="en-GB"/>
              </w:rPr>
              <w:t>Depository institution verifies the authenticity.</w:t>
            </w:r>
          </w:p>
          <w:p w14:paraId="7F9CF087" w14:textId="77777777" w:rsidR="005C5318" w:rsidRPr="00E16672" w:rsidRDefault="005C5318" w:rsidP="005C5318">
            <w:pPr>
              <w:tabs>
                <w:tab w:val="left" w:pos="287"/>
              </w:tabs>
              <w:ind w:left="175" w:right="100" w:firstLine="7"/>
              <w:rPr>
                <w:rFonts w:ascii="Times New Roman" w:hAnsi="Times New Roman"/>
                <w:sz w:val="16"/>
                <w:szCs w:val="16"/>
                <w:lang w:val="en-GB"/>
              </w:rPr>
            </w:pPr>
            <w:r w:rsidRPr="00E16672">
              <w:rPr>
                <w:rFonts w:ascii="Times New Roman" w:hAnsi="Times New Roman"/>
                <w:sz w:val="16"/>
                <w:szCs w:val="16"/>
                <w:lang w:val="en-GB"/>
              </w:rPr>
              <w:t xml:space="preserve"> Method of verification of a signature, which is used for exchanging information between the Depositor and the Depository institution may be:</w:t>
            </w:r>
          </w:p>
          <w:p w14:paraId="42C45657" w14:textId="77777777" w:rsidR="005C5318" w:rsidRPr="00E16672" w:rsidRDefault="005C5318" w:rsidP="005C5318">
            <w:pPr>
              <w:tabs>
                <w:tab w:val="left" w:pos="287"/>
              </w:tabs>
              <w:ind w:left="175" w:right="100" w:firstLine="7"/>
              <w:rPr>
                <w:rFonts w:ascii="Times New Roman" w:hAnsi="Times New Roman"/>
                <w:sz w:val="16"/>
                <w:szCs w:val="16"/>
                <w:lang w:val="en-GB"/>
              </w:rPr>
            </w:pPr>
            <w:r w:rsidRPr="00E16672">
              <w:rPr>
                <w:rFonts w:ascii="Times New Roman" w:hAnsi="Times New Roman"/>
                <w:sz w:val="16"/>
                <w:szCs w:val="16"/>
                <w:lang w:val="en-GB"/>
              </w:rPr>
              <w:br/>
              <w:t>- the authenticity of a signature is confirmed by comparing the signatures in orders with the signature on the card with the signature and seal</w:t>
            </w:r>
            <w:r w:rsidRPr="00E16672">
              <w:rPr>
                <w:rFonts w:ascii="Times New Roman" w:hAnsi="Times New Roman"/>
                <w:sz w:val="16"/>
                <w:szCs w:val="16"/>
                <w:lang w:val="en-US"/>
              </w:rPr>
              <w:t xml:space="preserve"> (</w:t>
            </w:r>
            <w:r w:rsidRPr="00E16672">
              <w:rPr>
                <w:rFonts w:ascii="Times New Roman" w:hAnsi="Times New Roman"/>
                <w:color w:val="000000"/>
                <w:sz w:val="16"/>
                <w:szCs w:val="16"/>
                <w:lang w:val="en-US"/>
              </w:rPr>
              <w:t>in case of use</w:t>
            </w:r>
            <w:r w:rsidRPr="00E16672">
              <w:rPr>
                <w:rFonts w:ascii="Times New Roman" w:hAnsi="Times New Roman"/>
                <w:sz w:val="16"/>
                <w:szCs w:val="16"/>
                <w:lang w:val="en-US"/>
              </w:rPr>
              <w:t xml:space="preserve">), </w:t>
            </w:r>
            <w:r w:rsidRPr="00F23413">
              <w:rPr>
                <w:rFonts w:ascii="Times New Roman" w:hAnsi="Times New Roman"/>
                <w:sz w:val="16"/>
                <w:szCs w:val="16"/>
                <w:lang w:val="en-US"/>
              </w:rPr>
              <w:t>issued and certified in accordance with the requirements of the legislation and internal documents of the Depository</w:t>
            </w:r>
            <w:r w:rsidRPr="00E16672">
              <w:rPr>
                <w:rFonts w:ascii="Times New Roman" w:hAnsi="Times New Roman"/>
                <w:sz w:val="16"/>
                <w:szCs w:val="16"/>
                <w:lang w:val="en-US"/>
              </w:rPr>
              <w:t xml:space="preserve"> institution</w:t>
            </w:r>
            <w:r w:rsidRPr="00E16672">
              <w:rPr>
                <w:rFonts w:ascii="Times New Roman" w:hAnsi="Times New Roman"/>
                <w:sz w:val="16"/>
                <w:szCs w:val="16"/>
                <w:lang w:val="en-GB"/>
              </w:rPr>
              <w:t>;</w:t>
            </w:r>
          </w:p>
          <w:p w14:paraId="013125A5" w14:textId="77777777" w:rsidR="00BA1F32" w:rsidRPr="00E16672" w:rsidRDefault="00BA1F32" w:rsidP="005C5318">
            <w:pPr>
              <w:tabs>
                <w:tab w:val="left" w:pos="287"/>
              </w:tabs>
              <w:ind w:left="175" w:right="100" w:firstLine="7"/>
              <w:rPr>
                <w:rFonts w:ascii="Times New Roman" w:hAnsi="Times New Roman"/>
                <w:sz w:val="16"/>
                <w:szCs w:val="16"/>
                <w:lang w:val="en-GB"/>
              </w:rPr>
            </w:pPr>
          </w:p>
          <w:p w14:paraId="557DDCD8" w14:textId="77777777" w:rsidR="005C5318" w:rsidRPr="00E16672" w:rsidRDefault="005C5318" w:rsidP="005C5318">
            <w:pPr>
              <w:tabs>
                <w:tab w:val="left" w:pos="287"/>
              </w:tabs>
              <w:ind w:left="175" w:right="100" w:firstLine="7"/>
              <w:rPr>
                <w:rFonts w:ascii="Times New Roman" w:hAnsi="Times New Roman"/>
                <w:sz w:val="16"/>
                <w:szCs w:val="16"/>
                <w:lang w:val="en-US"/>
              </w:rPr>
            </w:pPr>
            <w:r w:rsidRPr="00E16672">
              <w:rPr>
                <w:rFonts w:ascii="Times New Roman" w:hAnsi="Times New Roman"/>
                <w:sz w:val="16"/>
                <w:szCs w:val="16"/>
                <w:lang w:val="en-GB"/>
              </w:rPr>
              <w:t xml:space="preserve">- </w:t>
            </w:r>
            <w:r w:rsidRPr="00F23413">
              <w:rPr>
                <w:rStyle w:val="shorttext"/>
                <w:rFonts w:ascii="Times New Roman" w:hAnsi="Times New Roman"/>
                <w:sz w:val="16"/>
                <w:szCs w:val="16"/>
                <w:lang w:val="en-US"/>
              </w:rPr>
              <w:t>qualified</w:t>
            </w:r>
            <w:r w:rsidRPr="00E16672">
              <w:rPr>
                <w:rFonts w:ascii="Times New Roman" w:hAnsi="Times New Roman"/>
                <w:color w:val="000000"/>
                <w:sz w:val="16"/>
                <w:szCs w:val="16"/>
                <w:lang w:val="en-US"/>
              </w:rPr>
              <w:t xml:space="preserve"> </w:t>
            </w:r>
            <w:r w:rsidRPr="00E16672">
              <w:rPr>
                <w:rFonts w:ascii="Times New Roman" w:hAnsi="Times New Roman"/>
                <w:sz w:val="16"/>
                <w:szCs w:val="16"/>
                <w:lang w:val="en-GB"/>
              </w:rPr>
              <w:t xml:space="preserve">electronic signature is considered to comply with the certificate's public key, if private key of the signer (manager of the account) used in the formation of the </w:t>
            </w:r>
            <w:r w:rsidRPr="00F23413">
              <w:rPr>
                <w:rStyle w:val="shorttext"/>
                <w:rFonts w:ascii="Times New Roman" w:hAnsi="Times New Roman"/>
                <w:sz w:val="16"/>
                <w:szCs w:val="16"/>
                <w:lang w:val="en-US"/>
              </w:rPr>
              <w:t>qualified</w:t>
            </w:r>
            <w:r w:rsidRPr="00E16672">
              <w:rPr>
                <w:rFonts w:ascii="Times New Roman" w:hAnsi="Times New Roman"/>
                <w:color w:val="000000"/>
                <w:sz w:val="16"/>
                <w:szCs w:val="16"/>
                <w:lang w:val="en-US"/>
              </w:rPr>
              <w:t xml:space="preserve"> </w:t>
            </w:r>
            <w:r w:rsidRPr="00E16672">
              <w:rPr>
                <w:rFonts w:ascii="Times New Roman" w:hAnsi="Times New Roman"/>
                <w:sz w:val="16"/>
                <w:szCs w:val="16"/>
                <w:lang w:val="en-GB"/>
              </w:rPr>
              <w:t>electronic signature matches the public key specified in the certificate</w:t>
            </w:r>
            <w:r w:rsidRPr="00E16672">
              <w:rPr>
                <w:rFonts w:ascii="Times New Roman" w:hAnsi="Times New Roman"/>
                <w:sz w:val="16"/>
                <w:szCs w:val="16"/>
                <w:lang w:val="uk-UA"/>
              </w:rPr>
              <w:t>.</w:t>
            </w:r>
            <w:r w:rsidRPr="00E16672">
              <w:rPr>
                <w:rFonts w:ascii="Times New Roman" w:hAnsi="Times New Roman"/>
                <w:sz w:val="16"/>
                <w:szCs w:val="16"/>
                <w:lang w:val="en-GB"/>
              </w:rPr>
              <w:t xml:space="preserve">  </w:t>
            </w:r>
          </w:p>
        </w:tc>
      </w:tr>
      <w:tr w:rsidR="005C5318" w:rsidRPr="00F23413" w14:paraId="78578F93" w14:textId="77777777" w:rsidTr="000D0438">
        <w:trPr>
          <w:trHeight w:val="941"/>
        </w:trPr>
        <w:tc>
          <w:tcPr>
            <w:tcW w:w="5695" w:type="dxa"/>
            <w:gridSpan w:val="6"/>
            <w:shd w:val="clear" w:color="auto" w:fill="auto"/>
          </w:tcPr>
          <w:p w14:paraId="5FEB89A5" w14:textId="77777777" w:rsidR="005C5318" w:rsidRPr="00E16672" w:rsidRDefault="005C5318" w:rsidP="000D0438">
            <w:pPr>
              <w:snapToGrid w:val="0"/>
              <w:ind w:left="175" w:right="138" w:firstLine="7"/>
              <w:rPr>
                <w:rFonts w:ascii="Times New Roman" w:hAnsi="Times New Roman"/>
                <w:sz w:val="16"/>
                <w:szCs w:val="16"/>
              </w:rPr>
            </w:pPr>
            <w:r w:rsidRPr="00E16672">
              <w:rPr>
                <w:rFonts w:ascii="Times New Roman" w:hAnsi="Times New Roman"/>
                <w:sz w:val="16"/>
                <w:szCs w:val="16"/>
              </w:rPr>
              <w:lastRenderedPageBreak/>
              <w:t xml:space="preserve">3.6. </w:t>
            </w:r>
            <w:proofErr w:type="spellStart"/>
            <w:r w:rsidRPr="00E16672">
              <w:rPr>
                <w:rFonts w:ascii="Times New Roman" w:hAnsi="Times New Roman"/>
                <w:sz w:val="16"/>
                <w:szCs w:val="16"/>
              </w:rPr>
              <w:t>Розпорядження</w:t>
            </w:r>
            <w:proofErr w:type="spellEnd"/>
            <w:r w:rsidRPr="00E16672">
              <w:rPr>
                <w:rFonts w:ascii="Times New Roman" w:hAnsi="Times New Roman"/>
                <w:sz w:val="16"/>
                <w:szCs w:val="16"/>
              </w:rPr>
              <w:t xml:space="preserve"> у </w:t>
            </w:r>
            <w:proofErr w:type="spellStart"/>
            <w:r w:rsidRPr="00E16672">
              <w:rPr>
                <w:rFonts w:ascii="Times New Roman" w:hAnsi="Times New Roman"/>
                <w:sz w:val="16"/>
                <w:szCs w:val="16"/>
              </w:rPr>
              <w:t>вигляді</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паперового</w:t>
            </w:r>
            <w:proofErr w:type="spellEnd"/>
            <w:r w:rsidRPr="00E16672">
              <w:rPr>
                <w:rFonts w:ascii="Times New Roman" w:hAnsi="Times New Roman"/>
                <w:sz w:val="16"/>
                <w:szCs w:val="16"/>
              </w:rPr>
              <w:t xml:space="preserve"> документа </w:t>
            </w:r>
            <w:proofErr w:type="spellStart"/>
            <w:r w:rsidRPr="00E16672">
              <w:rPr>
                <w:rFonts w:ascii="Times New Roman" w:hAnsi="Times New Roman"/>
                <w:sz w:val="16"/>
                <w:szCs w:val="16"/>
              </w:rPr>
              <w:t>повинні</w:t>
            </w:r>
            <w:proofErr w:type="spellEnd"/>
            <w:r w:rsidRPr="00E16672">
              <w:rPr>
                <w:rFonts w:ascii="Times New Roman" w:hAnsi="Times New Roman"/>
                <w:sz w:val="16"/>
                <w:szCs w:val="16"/>
              </w:rPr>
              <w:t xml:space="preserve"> бути </w:t>
            </w:r>
            <w:proofErr w:type="spellStart"/>
            <w:r w:rsidRPr="00E16672">
              <w:rPr>
                <w:rFonts w:ascii="Times New Roman" w:hAnsi="Times New Roman"/>
                <w:sz w:val="16"/>
                <w:szCs w:val="16"/>
              </w:rPr>
              <w:t>надані</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Депозитарній</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установі</w:t>
            </w:r>
            <w:proofErr w:type="spellEnd"/>
            <w:r w:rsidRPr="00E16672">
              <w:rPr>
                <w:rFonts w:ascii="Times New Roman" w:hAnsi="Times New Roman"/>
                <w:sz w:val="16"/>
                <w:szCs w:val="16"/>
              </w:rPr>
              <w:t xml:space="preserve"> без </w:t>
            </w:r>
            <w:proofErr w:type="spellStart"/>
            <w:r w:rsidRPr="00E16672">
              <w:rPr>
                <w:rFonts w:ascii="Times New Roman" w:hAnsi="Times New Roman"/>
                <w:sz w:val="16"/>
                <w:szCs w:val="16"/>
              </w:rPr>
              <w:t>перекручування</w:t>
            </w:r>
            <w:proofErr w:type="spellEnd"/>
            <w:r w:rsidRPr="00E16672">
              <w:rPr>
                <w:rFonts w:ascii="Times New Roman" w:hAnsi="Times New Roman"/>
                <w:sz w:val="16"/>
                <w:szCs w:val="16"/>
              </w:rPr>
              <w:t xml:space="preserve"> та </w:t>
            </w:r>
            <w:proofErr w:type="spellStart"/>
            <w:r w:rsidRPr="00E16672">
              <w:rPr>
                <w:rFonts w:ascii="Times New Roman" w:hAnsi="Times New Roman"/>
                <w:sz w:val="16"/>
                <w:szCs w:val="16"/>
              </w:rPr>
              <w:t>виправлення</w:t>
            </w:r>
            <w:proofErr w:type="spellEnd"/>
            <w:r w:rsidRPr="00E16672">
              <w:rPr>
                <w:rFonts w:ascii="Times New Roman" w:hAnsi="Times New Roman"/>
                <w:sz w:val="16"/>
                <w:szCs w:val="16"/>
              </w:rPr>
              <w:t xml:space="preserve"> тексту, з </w:t>
            </w:r>
            <w:proofErr w:type="spellStart"/>
            <w:r w:rsidRPr="00E16672">
              <w:rPr>
                <w:rFonts w:ascii="Times New Roman" w:hAnsi="Times New Roman"/>
                <w:sz w:val="16"/>
                <w:szCs w:val="16"/>
              </w:rPr>
              <w:t>чітким</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відбитком</w:t>
            </w:r>
            <w:proofErr w:type="spellEnd"/>
            <w:r w:rsidRPr="00E16672">
              <w:rPr>
                <w:rFonts w:ascii="Times New Roman" w:hAnsi="Times New Roman"/>
                <w:sz w:val="16"/>
                <w:szCs w:val="16"/>
              </w:rPr>
              <w:t xml:space="preserve"> печатки (у </w:t>
            </w:r>
            <w:proofErr w:type="spellStart"/>
            <w:r w:rsidRPr="00E16672">
              <w:rPr>
                <w:rFonts w:ascii="Times New Roman" w:hAnsi="Times New Roman"/>
                <w:sz w:val="16"/>
                <w:szCs w:val="16"/>
              </w:rPr>
              <w:t>разі</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використання</w:t>
            </w:r>
            <w:proofErr w:type="spellEnd"/>
            <w:r w:rsidRPr="00E16672">
              <w:rPr>
                <w:rFonts w:ascii="Times New Roman" w:hAnsi="Times New Roman"/>
                <w:sz w:val="16"/>
                <w:szCs w:val="16"/>
              </w:rPr>
              <w:t xml:space="preserve">) за </w:t>
            </w:r>
            <w:proofErr w:type="spellStart"/>
            <w:r w:rsidRPr="00E16672">
              <w:rPr>
                <w:rFonts w:ascii="Times New Roman" w:hAnsi="Times New Roman"/>
                <w:sz w:val="16"/>
                <w:szCs w:val="16"/>
              </w:rPr>
              <w:t>підписом</w:t>
            </w:r>
            <w:proofErr w:type="spellEnd"/>
            <w:r w:rsidRPr="00E16672">
              <w:rPr>
                <w:rFonts w:ascii="Times New Roman" w:hAnsi="Times New Roman"/>
                <w:sz w:val="16"/>
                <w:szCs w:val="16"/>
              </w:rPr>
              <w:t xml:space="preserve"> Депонента, </w:t>
            </w:r>
            <w:proofErr w:type="spellStart"/>
            <w:r w:rsidRPr="00E16672">
              <w:rPr>
                <w:rFonts w:ascii="Times New Roman" w:hAnsi="Times New Roman"/>
                <w:sz w:val="16"/>
                <w:szCs w:val="16"/>
              </w:rPr>
              <w:t>або</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керуючого</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чи</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розпорядника</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його</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рахунку</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уповноваженого</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представника</w:t>
            </w:r>
            <w:proofErr w:type="spellEnd"/>
            <w:r w:rsidRPr="00E16672">
              <w:rPr>
                <w:rFonts w:ascii="Times New Roman" w:hAnsi="Times New Roman"/>
                <w:sz w:val="16"/>
                <w:szCs w:val="16"/>
              </w:rPr>
              <w:t>).</w:t>
            </w:r>
          </w:p>
        </w:tc>
        <w:tc>
          <w:tcPr>
            <w:tcW w:w="5495" w:type="dxa"/>
            <w:gridSpan w:val="6"/>
            <w:shd w:val="clear" w:color="auto" w:fill="auto"/>
          </w:tcPr>
          <w:p w14:paraId="6A0C63A5" w14:textId="77777777" w:rsidR="005C5318" w:rsidRPr="00E16672" w:rsidRDefault="005C5318" w:rsidP="000D0438">
            <w:pPr>
              <w:pStyle w:val="210"/>
              <w:tabs>
                <w:tab w:val="left" w:pos="287"/>
                <w:tab w:val="left" w:pos="1191"/>
              </w:tabs>
              <w:snapToGrid w:val="0"/>
              <w:ind w:left="175" w:right="100" w:firstLine="7"/>
              <w:rPr>
                <w:rFonts w:ascii="Times New Roman" w:hAnsi="Times New Roman"/>
                <w:b/>
                <w:bCs/>
                <w:sz w:val="16"/>
                <w:szCs w:val="16"/>
                <w:lang w:val="en-GB"/>
              </w:rPr>
            </w:pPr>
            <w:r w:rsidRPr="00E16672">
              <w:rPr>
                <w:rFonts w:ascii="Times New Roman" w:hAnsi="Times New Roman"/>
                <w:sz w:val="16"/>
                <w:szCs w:val="16"/>
                <w:lang w:val="en-GB"/>
              </w:rPr>
              <w:t xml:space="preserve">3.6. The orders in the form of a paper document must be given to Depository </w:t>
            </w:r>
            <w:proofErr w:type="gramStart"/>
            <w:r w:rsidRPr="00E16672">
              <w:rPr>
                <w:rFonts w:ascii="Times New Roman" w:hAnsi="Times New Roman"/>
                <w:sz w:val="16"/>
                <w:szCs w:val="16"/>
                <w:lang w:val="en-GB"/>
              </w:rPr>
              <w:t>institution  without</w:t>
            </w:r>
            <w:proofErr w:type="gramEnd"/>
            <w:r w:rsidRPr="00E16672">
              <w:rPr>
                <w:rFonts w:ascii="Times New Roman" w:hAnsi="Times New Roman"/>
                <w:sz w:val="16"/>
                <w:szCs w:val="16"/>
                <w:lang w:val="en-GB"/>
              </w:rPr>
              <w:t xml:space="preserve"> twisting and correction of the text with the clear imprint of seal (</w:t>
            </w:r>
            <w:r w:rsidRPr="00E16672">
              <w:rPr>
                <w:rFonts w:ascii="Times New Roman" w:hAnsi="Times New Roman"/>
                <w:color w:val="000000"/>
                <w:sz w:val="16"/>
                <w:szCs w:val="16"/>
                <w:lang w:val="en-US"/>
              </w:rPr>
              <w:t>in case of use</w:t>
            </w:r>
            <w:r w:rsidRPr="00E16672">
              <w:rPr>
                <w:rFonts w:ascii="Times New Roman" w:hAnsi="Times New Roman"/>
                <w:sz w:val="16"/>
                <w:szCs w:val="16"/>
                <w:lang w:val="en-GB"/>
              </w:rPr>
              <w:t>) over the signature of Depositor, or administrator or manager of his account (authorized representative person.</w:t>
            </w:r>
          </w:p>
        </w:tc>
      </w:tr>
      <w:tr w:rsidR="005C5318" w:rsidRPr="00F23413" w14:paraId="2A40FE3A" w14:textId="77777777" w:rsidTr="005E418B">
        <w:trPr>
          <w:trHeight w:val="677"/>
        </w:trPr>
        <w:tc>
          <w:tcPr>
            <w:tcW w:w="5695" w:type="dxa"/>
            <w:gridSpan w:val="6"/>
            <w:shd w:val="clear" w:color="auto" w:fill="auto"/>
          </w:tcPr>
          <w:p w14:paraId="522BE40D" w14:textId="77777777" w:rsidR="005C5318" w:rsidRPr="00E16672" w:rsidRDefault="005C5318" w:rsidP="005C5318">
            <w:pPr>
              <w:snapToGrid w:val="0"/>
              <w:ind w:left="175" w:right="138" w:firstLine="7"/>
              <w:rPr>
                <w:rFonts w:ascii="Times New Roman" w:hAnsi="Times New Roman"/>
                <w:sz w:val="16"/>
                <w:szCs w:val="16"/>
              </w:rPr>
            </w:pPr>
            <w:r w:rsidRPr="00E16672">
              <w:rPr>
                <w:rFonts w:ascii="Times New Roman" w:hAnsi="Times New Roman"/>
                <w:sz w:val="16"/>
                <w:szCs w:val="16"/>
              </w:rPr>
              <w:t xml:space="preserve">3.7. </w:t>
            </w:r>
            <w:proofErr w:type="spellStart"/>
            <w:r w:rsidRPr="00E16672">
              <w:rPr>
                <w:rFonts w:ascii="Times New Roman" w:hAnsi="Times New Roman"/>
                <w:sz w:val="16"/>
                <w:szCs w:val="16"/>
              </w:rPr>
              <w:t>Розпорядження</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Депонентів</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повинні</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повністю</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розкривати</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зміст</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виконання</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операцій</w:t>
            </w:r>
            <w:proofErr w:type="spellEnd"/>
            <w:r w:rsidRPr="00E16672">
              <w:rPr>
                <w:rFonts w:ascii="Times New Roman" w:hAnsi="Times New Roman"/>
                <w:sz w:val="16"/>
                <w:szCs w:val="16"/>
              </w:rPr>
              <w:t xml:space="preserve"> з </w:t>
            </w:r>
            <w:proofErr w:type="spellStart"/>
            <w:r w:rsidRPr="00E16672">
              <w:rPr>
                <w:rFonts w:ascii="Times New Roman" w:hAnsi="Times New Roman"/>
                <w:sz w:val="16"/>
                <w:szCs w:val="16"/>
              </w:rPr>
              <w:t>рахунками</w:t>
            </w:r>
            <w:proofErr w:type="spellEnd"/>
            <w:r w:rsidRPr="00E16672">
              <w:rPr>
                <w:rFonts w:ascii="Times New Roman" w:hAnsi="Times New Roman"/>
                <w:sz w:val="16"/>
                <w:szCs w:val="16"/>
              </w:rPr>
              <w:t xml:space="preserve"> в </w:t>
            </w:r>
            <w:proofErr w:type="spellStart"/>
            <w:r w:rsidRPr="00E16672">
              <w:rPr>
                <w:rFonts w:ascii="Times New Roman" w:hAnsi="Times New Roman"/>
                <w:sz w:val="16"/>
                <w:szCs w:val="16"/>
              </w:rPr>
              <w:t>цінних</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паперах</w:t>
            </w:r>
            <w:proofErr w:type="spellEnd"/>
            <w:r w:rsidRPr="00E16672">
              <w:rPr>
                <w:rFonts w:ascii="Times New Roman" w:hAnsi="Times New Roman"/>
                <w:sz w:val="16"/>
                <w:szCs w:val="16"/>
              </w:rPr>
              <w:t xml:space="preserve"> та </w:t>
            </w:r>
            <w:proofErr w:type="spellStart"/>
            <w:r w:rsidRPr="00E16672">
              <w:rPr>
                <w:rFonts w:ascii="Times New Roman" w:hAnsi="Times New Roman"/>
                <w:sz w:val="16"/>
                <w:szCs w:val="16"/>
              </w:rPr>
              <w:t>відповідати</w:t>
            </w:r>
            <w:proofErr w:type="spellEnd"/>
            <w:r w:rsidRPr="00E16672">
              <w:rPr>
                <w:rFonts w:ascii="Times New Roman" w:hAnsi="Times New Roman"/>
                <w:sz w:val="16"/>
                <w:szCs w:val="16"/>
              </w:rPr>
              <w:t xml:space="preserve"> чинному </w:t>
            </w:r>
            <w:proofErr w:type="spellStart"/>
            <w:r w:rsidRPr="00E16672">
              <w:rPr>
                <w:rFonts w:ascii="Times New Roman" w:hAnsi="Times New Roman"/>
                <w:sz w:val="16"/>
                <w:szCs w:val="16"/>
              </w:rPr>
              <w:t>законодавству</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України</w:t>
            </w:r>
            <w:proofErr w:type="spellEnd"/>
            <w:r w:rsidRPr="00E16672">
              <w:rPr>
                <w:rFonts w:ascii="Times New Roman" w:hAnsi="Times New Roman"/>
                <w:sz w:val="16"/>
                <w:szCs w:val="16"/>
              </w:rPr>
              <w:t>.</w:t>
            </w:r>
          </w:p>
        </w:tc>
        <w:tc>
          <w:tcPr>
            <w:tcW w:w="5495" w:type="dxa"/>
            <w:gridSpan w:val="6"/>
            <w:shd w:val="clear" w:color="auto" w:fill="auto"/>
          </w:tcPr>
          <w:p w14:paraId="78D8A50E" w14:textId="77777777" w:rsidR="005C5318" w:rsidRPr="00E16672" w:rsidRDefault="005C5318" w:rsidP="005C5318">
            <w:pPr>
              <w:pStyle w:val="210"/>
              <w:tabs>
                <w:tab w:val="left" w:pos="1191"/>
              </w:tabs>
              <w:snapToGrid w:val="0"/>
              <w:ind w:left="175" w:right="138" w:firstLine="7"/>
              <w:rPr>
                <w:rFonts w:ascii="Times New Roman" w:hAnsi="Times New Roman"/>
                <w:sz w:val="16"/>
                <w:szCs w:val="16"/>
                <w:lang w:val="en-GB"/>
              </w:rPr>
            </w:pPr>
            <w:r w:rsidRPr="00E16672">
              <w:rPr>
                <w:rFonts w:ascii="Times New Roman" w:hAnsi="Times New Roman"/>
                <w:sz w:val="16"/>
                <w:szCs w:val="16"/>
              </w:rPr>
              <w:t xml:space="preserve">3.7.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orders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of</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Depositor</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should</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be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able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to</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completely</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uncover</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sense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of</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operations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with</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accounts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in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securities</w:t>
            </w:r>
            <w:proofErr w:type="spellEnd"/>
            <w:r w:rsidRPr="00E16672">
              <w:rPr>
                <w:rFonts w:ascii="Times New Roman" w:hAnsi="Times New Roman"/>
                <w:sz w:val="16"/>
                <w:szCs w:val="16"/>
              </w:rPr>
              <w:t xml:space="preserve"> </w:t>
            </w:r>
            <w:r w:rsidRPr="00E16672">
              <w:rPr>
                <w:rFonts w:ascii="Times New Roman" w:hAnsi="Times New Roman"/>
                <w:sz w:val="16"/>
                <w:szCs w:val="16"/>
                <w:lang w:val="en-US"/>
              </w:rPr>
              <w:t>and</w:t>
            </w:r>
            <w:r w:rsidRPr="00E16672">
              <w:rPr>
                <w:rFonts w:ascii="Times New Roman" w:hAnsi="Times New Roman"/>
                <w:sz w:val="16"/>
                <w:szCs w:val="16"/>
              </w:rPr>
              <w:t xml:space="preserve"> </w:t>
            </w:r>
            <w:proofErr w:type="spellStart"/>
            <w:r w:rsidRPr="00E16672">
              <w:rPr>
                <w:rFonts w:ascii="Times New Roman" w:hAnsi="Times New Roman"/>
                <w:sz w:val="16"/>
                <w:szCs w:val="16"/>
              </w:rPr>
              <w:t>correspond</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current</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legislation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of</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Ukrain</w:t>
            </w:r>
            <w:proofErr w:type="spellEnd"/>
            <w:r w:rsidRPr="00E16672">
              <w:rPr>
                <w:rFonts w:ascii="Times New Roman" w:hAnsi="Times New Roman"/>
                <w:sz w:val="16"/>
                <w:szCs w:val="16"/>
                <w:lang w:val="en-US"/>
              </w:rPr>
              <w:t>e</w:t>
            </w:r>
            <w:r w:rsidRPr="00E16672">
              <w:rPr>
                <w:rFonts w:ascii="Times New Roman" w:hAnsi="Times New Roman"/>
                <w:sz w:val="16"/>
                <w:szCs w:val="16"/>
              </w:rPr>
              <w:t>.</w:t>
            </w:r>
          </w:p>
        </w:tc>
      </w:tr>
      <w:tr w:rsidR="005C5318" w:rsidRPr="00F23413" w14:paraId="0C5E6E51" w14:textId="77777777" w:rsidTr="005E418B">
        <w:trPr>
          <w:trHeight w:val="517"/>
        </w:trPr>
        <w:tc>
          <w:tcPr>
            <w:tcW w:w="5695" w:type="dxa"/>
            <w:gridSpan w:val="6"/>
            <w:shd w:val="clear" w:color="auto" w:fill="auto"/>
          </w:tcPr>
          <w:p w14:paraId="1A65BF87" w14:textId="77777777" w:rsidR="005C5318" w:rsidRPr="00E16672" w:rsidRDefault="005C5318" w:rsidP="005C5318">
            <w:pPr>
              <w:ind w:left="175" w:right="138" w:firstLine="7"/>
              <w:rPr>
                <w:rFonts w:ascii="Times New Roman" w:hAnsi="Times New Roman"/>
                <w:color w:val="000000"/>
                <w:sz w:val="16"/>
                <w:szCs w:val="16"/>
                <w:lang w:val="uk-UA"/>
              </w:rPr>
            </w:pPr>
            <w:r w:rsidRPr="00E16672">
              <w:rPr>
                <w:rFonts w:ascii="Times New Roman" w:hAnsi="Times New Roman"/>
                <w:color w:val="000000"/>
                <w:sz w:val="16"/>
                <w:szCs w:val="16"/>
                <w:lang w:val="uk-UA"/>
              </w:rPr>
              <w:t xml:space="preserve">3.8. Розпорядження виконується Депозитарною установою у порядку, передбаченому </w:t>
            </w:r>
            <w:r w:rsidRPr="00E16672">
              <w:rPr>
                <w:rFonts w:ascii="Times New Roman" w:hAnsi="Times New Roman"/>
                <w:color w:val="000000"/>
                <w:sz w:val="16"/>
                <w:szCs w:val="20"/>
                <w:lang w:val="uk-UA"/>
              </w:rPr>
              <w:t xml:space="preserve">законодавством та </w:t>
            </w:r>
            <w:r w:rsidRPr="00E16672">
              <w:rPr>
                <w:rFonts w:ascii="Times New Roman" w:hAnsi="Times New Roman"/>
                <w:color w:val="000000"/>
                <w:sz w:val="16"/>
                <w:szCs w:val="16"/>
                <w:lang w:val="uk-UA"/>
              </w:rPr>
              <w:t xml:space="preserve">внутрішніми документами Депозитарної установи. </w:t>
            </w:r>
          </w:p>
          <w:p w14:paraId="4C716A52" w14:textId="77777777" w:rsidR="005C5318" w:rsidRPr="00E16672" w:rsidRDefault="005C5318" w:rsidP="005C5318">
            <w:pPr>
              <w:pStyle w:val="ab"/>
              <w:ind w:left="175" w:right="138" w:firstLine="7"/>
              <w:jc w:val="both"/>
              <w:rPr>
                <w:rFonts w:ascii="Times New Roman" w:hAnsi="Times New Roman"/>
                <w:color w:val="000000"/>
                <w:sz w:val="16"/>
                <w:szCs w:val="16"/>
              </w:rPr>
            </w:pPr>
          </w:p>
        </w:tc>
        <w:tc>
          <w:tcPr>
            <w:tcW w:w="5495" w:type="dxa"/>
            <w:gridSpan w:val="6"/>
            <w:shd w:val="clear" w:color="auto" w:fill="auto"/>
          </w:tcPr>
          <w:p w14:paraId="3608A22F" w14:textId="77777777" w:rsidR="005C5318" w:rsidRPr="00E16672" w:rsidRDefault="005C5318" w:rsidP="005C5318">
            <w:pPr>
              <w:pStyle w:val="210"/>
              <w:tabs>
                <w:tab w:val="left" w:pos="1191"/>
              </w:tabs>
              <w:snapToGrid w:val="0"/>
              <w:ind w:left="175" w:right="138" w:firstLine="7"/>
              <w:rPr>
                <w:rFonts w:ascii="Times New Roman" w:hAnsi="Times New Roman"/>
                <w:color w:val="000000"/>
                <w:sz w:val="16"/>
                <w:szCs w:val="16"/>
              </w:rPr>
            </w:pPr>
            <w:r w:rsidRPr="00E16672">
              <w:rPr>
                <w:rFonts w:ascii="Times New Roman" w:hAnsi="Times New Roman"/>
                <w:color w:val="000000"/>
                <w:sz w:val="16"/>
                <w:szCs w:val="16"/>
              </w:rPr>
              <w:t xml:space="preserve">3.8. </w:t>
            </w:r>
            <w:proofErr w:type="spellStart"/>
            <w:r w:rsidRPr="00E16672">
              <w:rPr>
                <w:rFonts w:ascii="Times New Roman" w:hAnsi="Times New Roman"/>
                <w:color w:val="000000"/>
                <w:sz w:val="16"/>
                <w:szCs w:val="16"/>
              </w:rPr>
              <w:t>The</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orders</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are</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executed</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by</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the</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Depository</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institution</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in</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the</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manner</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provided</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sz w:val="16"/>
                <w:szCs w:val="16"/>
              </w:rPr>
              <w:t>by</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legislation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and</w:t>
            </w:r>
            <w:proofErr w:type="spellEnd"/>
            <w:r w:rsidRPr="00E16672">
              <w:rPr>
                <w:rFonts w:ascii="Times New Roman" w:hAnsi="Times New Roman"/>
                <w:sz w:val="16"/>
                <w:szCs w:val="16"/>
              </w:rPr>
              <w:t xml:space="preserve"> </w:t>
            </w:r>
            <w:proofErr w:type="spellStart"/>
            <w:r w:rsidRPr="00E16672">
              <w:rPr>
                <w:rFonts w:ascii="Times New Roman" w:hAnsi="Times New Roman"/>
                <w:color w:val="000000"/>
                <w:sz w:val="16"/>
                <w:szCs w:val="16"/>
              </w:rPr>
              <w:t>internal</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documents</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of</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Depository</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institution</w:t>
            </w:r>
            <w:proofErr w:type="spellEnd"/>
            <w:r w:rsidRPr="00E16672">
              <w:rPr>
                <w:rFonts w:ascii="Times New Roman" w:hAnsi="Times New Roman"/>
                <w:color w:val="000000"/>
                <w:sz w:val="16"/>
                <w:szCs w:val="16"/>
              </w:rPr>
              <w:t>.</w:t>
            </w:r>
          </w:p>
          <w:p w14:paraId="0442A91D" w14:textId="77777777" w:rsidR="005C5318" w:rsidRPr="00E16672" w:rsidRDefault="005C5318" w:rsidP="005C5318">
            <w:pPr>
              <w:ind w:left="175" w:right="138" w:firstLine="7"/>
              <w:rPr>
                <w:rFonts w:ascii="Times New Roman" w:hAnsi="Times New Roman"/>
                <w:color w:val="000000"/>
                <w:sz w:val="16"/>
                <w:szCs w:val="16"/>
                <w:lang w:val="en-US"/>
              </w:rPr>
            </w:pPr>
          </w:p>
        </w:tc>
      </w:tr>
      <w:tr w:rsidR="005C5318" w:rsidRPr="00F23413" w14:paraId="34287DDD" w14:textId="77777777" w:rsidTr="005E418B">
        <w:trPr>
          <w:trHeight w:val="962"/>
        </w:trPr>
        <w:tc>
          <w:tcPr>
            <w:tcW w:w="5695" w:type="dxa"/>
            <w:gridSpan w:val="6"/>
            <w:shd w:val="clear" w:color="auto" w:fill="auto"/>
          </w:tcPr>
          <w:p w14:paraId="1DBAD66B" w14:textId="77777777" w:rsidR="005C5318" w:rsidRPr="00E16672" w:rsidRDefault="005C5318" w:rsidP="005C5318">
            <w:pPr>
              <w:ind w:left="175" w:right="138" w:firstLine="7"/>
              <w:rPr>
                <w:rFonts w:ascii="Times New Roman" w:hAnsi="Times New Roman"/>
                <w:sz w:val="16"/>
                <w:szCs w:val="16"/>
                <w:lang w:val="uk-UA"/>
              </w:rPr>
            </w:pPr>
            <w:r w:rsidRPr="00E16672">
              <w:rPr>
                <w:rFonts w:ascii="Times New Roman" w:hAnsi="Times New Roman"/>
                <w:sz w:val="16"/>
                <w:szCs w:val="16"/>
                <w:lang w:val="uk-UA"/>
              </w:rPr>
              <w:t xml:space="preserve">3.9. </w:t>
            </w:r>
            <w:r w:rsidRPr="00E16672">
              <w:rPr>
                <w:rFonts w:ascii="Times New Roman" w:hAnsi="Times New Roman"/>
                <w:color w:val="000000"/>
                <w:sz w:val="16"/>
                <w:szCs w:val="16"/>
              </w:rPr>
              <w:t xml:space="preserve">Депонент </w:t>
            </w:r>
            <w:proofErr w:type="spellStart"/>
            <w:r w:rsidRPr="00E16672">
              <w:rPr>
                <w:rFonts w:ascii="Times New Roman" w:hAnsi="Times New Roman"/>
                <w:color w:val="000000"/>
                <w:sz w:val="16"/>
                <w:szCs w:val="16"/>
              </w:rPr>
              <w:t>бере</w:t>
            </w:r>
            <w:proofErr w:type="spellEnd"/>
            <w:r w:rsidRPr="00E16672">
              <w:rPr>
                <w:rFonts w:ascii="Times New Roman" w:hAnsi="Times New Roman"/>
                <w:color w:val="000000"/>
                <w:sz w:val="16"/>
                <w:szCs w:val="16"/>
              </w:rPr>
              <w:t xml:space="preserve"> на себе </w:t>
            </w:r>
            <w:proofErr w:type="spellStart"/>
            <w:r w:rsidRPr="00E16672">
              <w:rPr>
                <w:rFonts w:ascii="Times New Roman" w:hAnsi="Times New Roman"/>
                <w:color w:val="000000"/>
                <w:sz w:val="16"/>
                <w:szCs w:val="16"/>
              </w:rPr>
              <w:t>відповідальність</w:t>
            </w:r>
            <w:proofErr w:type="spellEnd"/>
            <w:r w:rsidRPr="00E16672">
              <w:rPr>
                <w:rFonts w:ascii="Times New Roman" w:hAnsi="Times New Roman"/>
                <w:color w:val="000000"/>
                <w:sz w:val="16"/>
                <w:szCs w:val="16"/>
              </w:rPr>
              <w:t xml:space="preserve"> за </w:t>
            </w:r>
            <w:proofErr w:type="spellStart"/>
            <w:r w:rsidRPr="00E16672">
              <w:rPr>
                <w:rFonts w:ascii="Times New Roman" w:hAnsi="Times New Roman"/>
                <w:color w:val="000000"/>
                <w:sz w:val="16"/>
                <w:szCs w:val="16"/>
              </w:rPr>
              <w:t>достовірність</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інформації</w:t>
            </w:r>
            <w:proofErr w:type="spellEnd"/>
            <w:r w:rsidRPr="00E16672">
              <w:rPr>
                <w:rFonts w:ascii="Times New Roman" w:hAnsi="Times New Roman"/>
                <w:color w:val="000000"/>
                <w:sz w:val="16"/>
                <w:szCs w:val="16"/>
              </w:rPr>
              <w:t xml:space="preserve">, яка </w:t>
            </w:r>
            <w:proofErr w:type="spellStart"/>
            <w:r w:rsidRPr="00E16672">
              <w:rPr>
                <w:rFonts w:ascii="Times New Roman" w:hAnsi="Times New Roman"/>
                <w:color w:val="000000"/>
                <w:sz w:val="16"/>
                <w:szCs w:val="16"/>
              </w:rPr>
              <w:t>міститься</w:t>
            </w:r>
            <w:proofErr w:type="spellEnd"/>
            <w:r w:rsidRPr="00E16672">
              <w:rPr>
                <w:rFonts w:ascii="Times New Roman" w:hAnsi="Times New Roman"/>
                <w:color w:val="000000"/>
                <w:sz w:val="16"/>
                <w:szCs w:val="16"/>
              </w:rPr>
              <w:t xml:space="preserve"> в документах, </w:t>
            </w:r>
            <w:proofErr w:type="spellStart"/>
            <w:r w:rsidRPr="00E16672">
              <w:rPr>
                <w:rFonts w:ascii="Times New Roman" w:hAnsi="Times New Roman"/>
                <w:color w:val="000000"/>
                <w:sz w:val="16"/>
                <w:szCs w:val="16"/>
              </w:rPr>
              <w:t>які</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надаються</w:t>
            </w:r>
            <w:proofErr w:type="spellEnd"/>
            <w:r w:rsidRPr="00E16672">
              <w:rPr>
                <w:rFonts w:ascii="Times New Roman" w:hAnsi="Times New Roman"/>
                <w:color w:val="000000"/>
                <w:sz w:val="16"/>
                <w:szCs w:val="16"/>
              </w:rPr>
              <w:t xml:space="preserve"> Депонентом, </w:t>
            </w:r>
            <w:proofErr w:type="spellStart"/>
            <w:r w:rsidRPr="00E16672">
              <w:rPr>
                <w:rFonts w:ascii="Times New Roman" w:hAnsi="Times New Roman"/>
                <w:color w:val="000000"/>
                <w:sz w:val="16"/>
                <w:szCs w:val="16"/>
              </w:rPr>
              <w:t>розпорядником</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рахунку</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керуючим</w:t>
            </w:r>
            <w:proofErr w:type="spellEnd"/>
            <w:r w:rsidRPr="00E16672">
              <w:rPr>
                <w:rFonts w:ascii="Times New Roman" w:hAnsi="Times New Roman"/>
                <w:color w:val="000000"/>
                <w:sz w:val="16"/>
                <w:szCs w:val="16"/>
              </w:rPr>
              <w:t xml:space="preserve"> </w:t>
            </w:r>
            <w:proofErr w:type="spellStart"/>
            <w:proofErr w:type="gramStart"/>
            <w:r w:rsidRPr="00E16672">
              <w:rPr>
                <w:rFonts w:ascii="Times New Roman" w:hAnsi="Times New Roman"/>
                <w:color w:val="000000"/>
                <w:sz w:val="16"/>
                <w:szCs w:val="16"/>
              </w:rPr>
              <w:t>рахунком</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Депозитарній</w:t>
            </w:r>
            <w:proofErr w:type="spellEnd"/>
            <w:proofErr w:type="gram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установі</w:t>
            </w:r>
            <w:proofErr w:type="spellEnd"/>
            <w:r w:rsidRPr="00E16672">
              <w:rPr>
                <w:rFonts w:ascii="Times New Roman" w:hAnsi="Times New Roman"/>
                <w:color w:val="000000"/>
                <w:sz w:val="16"/>
                <w:szCs w:val="16"/>
              </w:rPr>
              <w:t xml:space="preserve">, у тому </w:t>
            </w:r>
            <w:proofErr w:type="spellStart"/>
            <w:r w:rsidRPr="00E16672">
              <w:rPr>
                <w:rFonts w:ascii="Times New Roman" w:hAnsi="Times New Roman"/>
                <w:color w:val="000000"/>
                <w:sz w:val="16"/>
                <w:szCs w:val="16"/>
              </w:rPr>
              <w:t>числі</w:t>
            </w:r>
            <w:proofErr w:type="spellEnd"/>
            <w:r w:rsidRPr="00E16672">
              <w:rPr>
                <w:rFonts w:ascii="Times New Roman" w:hAnsi="Times New Roman"/>
                <w:color w:val="000000"/>
                <w:sz w:val="16"/>
                <w:szCs w:val="16"/>
              </w:rPr>
              <w:t xml:space="preserve"> таких, за </w:t>
            </w:r>
            <w:proofErr w:type="spellStart"/>
            <w:r w:rsidRPr="00E16672">
              <w:rPr>
                <w:rFonts w:ascii="Times New Roman" w:hAnsi="Times New Roman"/>
                <w:color w:val="000000"/>
                <w:sz w:val="16"/>
                <w:szCs w:val="16"/>
              </w:rPr>
              <w:t>якими</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Депозитарній</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установі</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доручається</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проведення</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депозитарних</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операцій</w:t>
            </w:r>
            <w:proofErr w:type="spellEnd"/>
            <w:r w:rsidRPr="00E16672">
              <w:rPr>
                <w:rFonts w:ascii="Times New Roman" w:hAnsi="Times New Roman"/>
                <w:color w:val="000000"/>
                <w:sz w:val="16"/>
                <w:szCs w:val="16"/>
              </w:rPr>
              <w:t xml:space="preserve"> на </w:t>
            </w:r>
            <w:proofErr w:type="spellStart"/>
            <w:r w:rsidRPr="00E16672">
              <w:rPr>
                <w:rFonts w:ascii="Times New Roman" w:hAnsi="Times New Roman"/>
                <w:color w:val="000000"/>
                <w:sz w:val="16"/>
                <w:szCs w:val="16"/>
              </w:rPr>
              <w:t>рахунку</w:t>
            </w:r>
            <w:proofErr w:type="spellEnd"/>
            <w:r w:rsidRPr="00E16672">
              <w:rPr>
                <w:rFonts w:ascii="Times New Roman" w:hAnsi="Times New Roman"/>
                <w:color w:val="000000"/>
                <w:sz w:val="16"/>
                <w:szCs w:val="16"/>
              </w:rPr>
              <w:t xml:space="preserve"> Депонента.</w:t>
            </w:r>
          </w:p>
        </w:tc>
        <w:tc>
          <w:tcPr>
            <w:tcW w:w="5495" w:type="dxa"/>
            <w:gridSpan w:val="6"/>
            <w:shd w:val="clear" w:color="auto" w:fill="auto"/>
          </w:tcPr>
          <w:p w14:paraId="23C09B2B" w14:textId="77777777" w:rsidR="005C5318" w:rsidRPr="00E16672" w:rsidRDefault="005C5318" w:rsidP="005C5318">
            <w:pPr>
              <w:tabs>
                <w:tab w:val="left" w:pos="287"/>
              </w:tabs>
              <w:ind w:left="175" w:right="100" w:firstLine="7"/>
              <w:rPr>
                <w:rFonts w:ascii="Times New Roman" w:hAnsi="Times New Roman"/>
                <w:sz w:val="16"/>
                <w:szCs w:val="16"/>
                <w:lang w:val="en-GB"/>
              </w:rPr>
            </w:pPr>
            <w:r w:rsidRPr="00E16672">
              <w:rPr>
                <w:rFonts w:ascii="Times New Roman" w:hAnsi="Times New Roman"/>
                <w:sz w:val="16"/>
                <w:szCs w:val="16"/>
                <w:lang w:val="en-GB"/>
              </w:rPr>
              <w:t xml:space="preserve">3.9. </w:t>
            </w:r>
            <w:r w:rsidRPr="00F23413">
              <w:rPr>
                <w:rFonts w:ascii="Times New Roman" w:hAnsi="Times New Roman"/>
                <w:sz w:val="16"/>
                <w:lang w:val="en-US"/>
              </w:rPr>
              <w:t>The Depositor assumes responsibility for the accuracy of the information contained in the documents provided by the Depositor, the manager of the account</w:t>
            </w:r>
            <w:r w:rsidRPr="00E16672">
              <w:rPr>
                <w:rFonts w:ascii="Times New Roman" w:hAnsi="Times New Roman"/>
                <w:sz w:val="16"/>
                <w:lang w:val="en-US"/>
              </w:rPr>
              <w:t xml:space="preserve">, </w:t>
            </w:r>
            <w:r w:rsidRPr="00E16672">
              <w:rPr>
                <w:rFonts w:ascii="Times New Roman" w:hAnsi="Times New Roman"/>
                <w:sz w:val="16"/>
                <w:szCs w:val="22"/>
              </w:rPr>
              <w:t>а</w:t>
            </w:r>
            <w:proofErr w:type="spellStart"/>
            <w:proofErr w:type="gramStart"/>
            <w:r w:rsidRPr="00E16672">
              <w:rPr>
                <w:rFonts w:ascii="Times New Roman" w:hAnsi="Times New Roman"/>
                <w:sz w:val="16"/>
                <w:szCs w:val="22"/>
                <w:lang w:val="en-US"/>
              </w:rPr>
              <w:t>dministrator</w:t>
            </w:r>
            <w:proofErr w:type="spellEnd"/>
            <w:r w:rsidRPr="00E16672">
              <w:rPr>
                <w:rFonts w:ascii="Times New Roman" w:hAnsi="Times New Roman"/>
                <w:sz w:val="16"/>
                <w:szCs w:val="22"/>
                <w:lang w:val="en-US"/>
              </w:rPr>
              <w:t xml:space="preserve">  of</w:t>
            </w:r>
            <w:proofErr w:type="gramEnd"/>
            <w:r w:rsidRPr="00E16672">
              <w:rPr>
                <w:rFonts w:ascii="Times New Roman" w:hAnsi="Times New Roman"/>
                <w:sz w:val="16"/>
                <w:szCs w:val="22"/>
                <w:lang w:val="en-US"/>
              </w:rPr>
              <w:t xml:space="preserve"> the account in securities</w:t>
            </w:r>
            <w:r w:rsidRPr="00F23413">
              <w:rPr>
                <w:rFonts w:ascii="Times New Roman" w:hAnsi="Times New Roman"/>
                <w:sz w:val="16"/>
                <w:lang w:val="en-US"/>
              </w:rPr>
              <w:t xml:space="preserve"> of the Depository institution, including those by which the Depository institution is entrusted with depositary transactions in the account of the Depositor.</w:t>
            </w:r>
          </w:p>
          <w:p w14:paraId="2F0D815C" w14:textId="77777777" w:rsidR="005C5318" w:rsidRPr="00E16672" w:rsidRDefault="005C5318" w:rsidP="005C5318">
            <w:pPr>
              <w:tabs>
                <w:tab w:val="left" w:pos="287"/>
              </w:tabs>
              <w:ind w:left="175" w:right="100" w:firstLine="7"/>
              <w:rPr>
                <w:rFonts w:ascii="Times New Roman" w:hAnsi="Times New Roman"/>
                <w:sz w:val="16"/>
                <w:szCs w:val="16"/>
                <w:lang w:val="en-GB"/>
              </w:rPr>
            </w:pPr>
          </w:p>
        </w:tc>
      </w:tr>
      <w:tr w:rsidR="005C5318" w:rsidRPr="00F23413" w14:paraId="1EC50E97" w14:textId="77777777" w:rsidTr="005E418B">
        <w:trPr>
          <w:trHeight w:val="275"/>
        </w:trPr>
        <w:tc>
          <w:tcPr>
            <w:tcW w:w="5695" w:type="dxa"/>
            <w:gridSpan w:val="6"/>
            <w:shd w:val="clear" w:color="auto" w:fill="auto"/>
          </w:tcPr>
          <w:p w14:paraId="10716027" w14:textId="77777777" w:rsidR="005C5318" w:rsidRPr="00E16672" w:rsidRDefault="005C5318" w:rsidP="005C5318">
            <w:pPr>
              <w:pStyle w:val="af"/>
              <w:snapToGrid w:val="0"/>
              <w:ind w:left="175" w:right="138" w:firstLine="7"/>
              <w:rPr>
                <w:rFonts w:ascii="Times New Roman" w:eastAsia="Times New Roman" w:hAnsi="Times New Roman" w:cs="Times New Roman"/>
                <w:sz w:val="16"/>
                <w:szCs w:val="16"/>
              </w:rPr>
            </w:pPr>
            <w:r w:rsidRPr="00E16672">
              <w:rPr>
                <w:rFonts w:ascii="Times New Roman" w:eastAsia="Times New Roman" w:hAnsi="Times New Roman" w:cs="Times New Roman"/>
                <w:sz w:val="16"/>
                <w:szCs w:val="16"/>
              </w:rPr>
              <w:t xml:space="preserve">3.10. Облікові операції, які були ініційовані Депозитарною установою у депозитарії, але не були завершені протягом </w:t>
            </w:r>
            <w:r w:rsidRPr="00E16672">
              <w:rPr>
                <w:rFonts w:ascii="Times New Roman" w:eastAsia="Times New Roman" w:hAnsi="Times New Roman" w:cs="Times New Roman"/>
                <w:i/>
                <w:sz w:val="16"/>
                <w:szCs w:val="16"/>
              </w:rPr>
              <w:t>трьох робочих днів</w:t>
            </w:r>
            <w:r w:rsidRPr="00E16672">
              <w:rPr>
                <w:rFonts w:ascii="Times New Roman" w:eastAsia="Times New Roman" w:hAnsi="Times New Roman" w:cs="Times New Roman"/>
                <w:sz w:val="16"/>
                <w:szCs w:val="16"/>
              </w:rPr>
              <w:t xml:space="preserve"> за підстав, які не залежать від Депозитарної установи (розпорядження Депозитарної установи не було відповідно до внутрішніх документів Центрального депозитарію занесене Центральним депозитарієм до відомості </w:t>
            </w:r>
            <w:proofErr w:type="spellStart"/>
            <w:r w:rsidRPr="00E16672">
              <w:rPr>
                <w:rFonts w:ascii="Times New Roman" w:eastAsia="Times New Roman" w:hAnsi="Times New Roman" w:cs="Times New Roman"/>
                <w:sz w:val="16"/>
                <w:szCs w:val="16"/>
              </w:rPr>
              <w:t>сквитованих</w:t>
            </w:r>
            <w:proofErr w:type="spellEnd"/>
            <w:r w:rsidRPr="00E16672">
              <w:rPr>
                <w:rFonts w:ascii="Times New Roman" w:eastAsia="Times New Roman" w:hAnsi="Times New Roman" w:cs="Times New Roman"/>
                <w:sz w:val="16"/>
                <w:szCs w:val="16"/>
              </w:rPr>
              <w:t xml:space="preserve"> розпоряджень на поставку/одержання цінних паперів), можуть бути відмінені ним у випадку отримання від Депонента відповідного розпорядження відміни (анулювання) його попереднього розпорядження.</w:t>
            </w:r>
          </w:p>
          <w:p w14:paraId="68827BFA" w14:textId="77777777" w:rsidR="005C5318" w:rsidRPr="00E16672" w:rsidRDefault="005C5318" w:rsidP="005C5318">
            <w:pPr>
              <w:pStyle w:val="af"/>
              <w:snapToGrid w:val="0"/>
              <w:ind w:left="175" w:right="138" w:firstLine="7"/>
              <w:rPr>
                <w:rFonts w:ascii="Times New Roman" w:eastAsia="Times New Roman" w:hAnsi="Times New Roman" w:cs="Times New Roman"/>
                <w:sz w:val="16"/>
                <w:szCs w:val="16"/>
              </w:rPr>
            </w:pPr>
          </w:p>
        </w:tc>
        <w:tc>
          <w:tcPr>
            <w:tcW w:w="5495" w:type="dxa"/>
            <w:gridSpan w:val="6"/>
            <w:shd w:val="clear" w:color="auto" w:fill="auto"/>
          </w:tcPr>
          <w:p w14:paraId="70DB0E6B" w14:textId="77777777" w:rsidR="005C5318" w:rsidRPr="00E16672" w:rsidRDefault="005C5318" w:rsidP="004F69E6">
            <w:pPr>
              <w:tabs>
                <w:tab w:val="left" w:pos="287"/>
              </w:tabs>
              <w:snapToGrid w:val="0"/>
              <w:ind w:left="175" w:right="100" w:firstLine="7"/>
              <w:rPr>
                <w:rFonts w:ascii="Times New Roman" w:hAnsi="Times New Roman"/>
                <w:sz w:val="16"/>
                <w:szCs w:val="16"/>
                <w:lang w:val="en-GB"/>
              </w:rPr>
            </w:pPr>
            <w:r w:rsidRPr="00E16672">
              <w:rPr>
                <w:rFonts w:ascii="Times New Roman" w:hAnsi="Times New Roman"/>
                <w:sz w:val="16"/>
                <w:szCs w:val="16"/>
                <w:lang w:val="en-GB"/>
              </w:rPr>
              <w:t xml:space="preserve">3.10. Accounting operations initiated by the Depository institution </w:t>
            </w:r>
            <w:r w:rsidRPr="00E16672">
              <w:rPr>
                <w:rFonts w:ascii="Times New Roman" w:hAnsi="Times New Roman"/>
                <w:sz w:val="16"/>
                <w:szCs w:val="16"/>
                <w:lang w:val="en-US"/>
              </w:rPr>
              <w:t xml:space="preserve">in </w:t>
            </w:r>
            <w:r w:rsidRPr="00E16672">
              <w:rPr>
                <w:rFonts w:ascii="Times New Roman" w:hAnsi="Times New Roman"/>
                <w:sz w:val="16"/>
                <w:szCs w:val="16"/>
                <w:lang w:val="en-GB"/>
              </w:rPr>
              <w:t xml:space="preserve">depositary, but were not completed </w:t>
            </w:r>
            <w:r w:rsidRPr="00E16672">
              <w:rPr>
                <w:rFonts w:ascii="Times New Roman" w:hAnsi="Times New Roman"/>
                <w:i/>
                <w:sz w:val="16"/>
                <w:szCs w:val="16"/>
                <w:lang w:val="en-GB"/>
              </w:rPr>
              <w:t xml:space="preserve">within three </w:t>
            </w:r>
            <w:r w:rsidRPr="00F23413">
              <w:rPr>
                <w:rStyle w:val="shorttext"/>
                <w:rFonts w:ascii="Times New Roman" w:hAnsi="Times New Roman"/>
                <w:sz w:val="16"/>
                <w:szCs w:val="16"/>
                <w:lang w:val="en-US"/>
              </w:rPr>
              <w:t>business</w:t>
            </w:r>
            <w:r w:rsidRPr="00E16672">
              <w:rPr>
                <w:rStyle w:val="shorttext"/>
                <w:rFonts w:ascii="Times New Roman" w:hAnsi="Times New Roman"/>
                <w:sz w:val="16"/>
                <w:szCs w:val="16"/>
                <w:lang w:val="uk-UA"/>
              </w:rPr>
              <w:t xml:space="preserve"> </w:t>
            </w:r>
            <w:r w:rsidRPr="00E16672">
              <w:rPr>
                <w:rFonts w:ascii="Times New Roman" w:hAnsi="Times New Roman"/>
                <w:i/>
                <w:sz w:val="16"/>
                <w:szCs w:val="16"/>
                <w:lang w:val="en-GB"/>
              </w:rPr>
              <w:t>days</w:t>
            </w:r>
            <w:r w:rsidRPr="00E16672">
              <w:rPr>
                <w:rFonts w:ascii="Times New Roman" w:hAnsi="Times New Roman"/>
                <w:sz w:val="16"/>
                <w:szCs w:val="16"/>
                <w:lang w:val="en-GB"/>
              </w:rPr>
              <w:t xml:space="preserve"> for reasons beyond the control of the Depository institution (Depository institution order was not in accordance with the internal </w:t>
            </w:r>
            <w:proofErr w:type="spellStart"/>
            <w:r w:rsidRPr="00E16672">
              <w:rPr>
                <w:rFonts w:ascii="Times New Roman" w:hAnsi="Times New Roman"/>
                <w:sz w:val="16"/>
                <w:szCs w:val="16"/>
                <w:lang w:val="en-GB"/>
              </w:rPr>
              <w:t>doccuments</w:t>
            </w:r>
            <w:proofErr w:type="spellEnd"/>
            <w:r w:rsidRPr="00E16672">
              <w:rPr>
                <w:rFonts w:ascii="Times New Roman" w:hAnsi="Times New Roman"/>
                <w:sz w:val="16"/>
                <w:szCs w:val="16"/>
                <w:lang w:val="en-GB"/>
              </w:rPr>
              <w:t xml:space="preserve"> of Central Depository </w:t>
            </w:r>
            <w:r w:rsidRPr="00E16672">
              <w:rPr>
                <w:rFonts w:ascii="Times New Roman" w:hAnsi="Times New Roman"/>
                <w:sz w:val="16"/>
                <w:szCs w:val="16"/>
                <w:lang w:val="en-US"/>
              </w:rPr>
              <w:t xml:space="preserve"> </w:t>
            </w:r>
            <w:r w:rsidRPr="00E16672">
              <w:rPr>
                <w:rFonts w:ascii="Times New Roman" w:hAnsi="Times New Roman"/>
                <w:sz w:val="16"/>
                <w:szCs w:val="16"/>
                <w:lang w:val="en-GB"/>
              </w:rPr>
              <w:t xml:space="preserve">entered by Central Depository </w:t>
            </w:r>
            <w:r w:rsidRPr="00E16672">
              <w:rPr>
                <w:rFonts w:ascii="Times New Roman" w:hAnsi="Times New Roman"/>
                <w:sz w:val="16"/>
                <w:szCs w:val="16"/>
                <w:lang w:val="en-US"/>
              </w:rPr>
              <w:t xml:space="preserve"> </w:t>
            </w:r>
            <w:r w:rsidRPr="00E16672">
              <w:rPr>
                <w:rFonts w:ascii="Times New Roman" w:hAnsi="Times New Roman"/>
                <w:sz w:val="16"/>
                <w:szCs w:val="16"/>
                <w:lang w:val="en-GB"/>
              </w:rPr>
              <w:t xml:space="preserve">to information </w:t>
            </w:r>
            <w:r w:rsidR="004F69E6" w:rsidRPr="00E16672">
              <w:rPr>
                <w:rFonts w:ascii="Times New Roman" w:hAnsi="Times New Roman"/>
                <w:sz w:val="16"/>
                <w:szCs w:val="16"/>
                <w:lang w:val="en-GB"/>
              </w:rPr>
              <w:t>of issued</w:t>
            </w:r>
            <w:r w:rsidR="004F69E6" w:rsidRPr="00E16672">
              <w:rPr>
                <w:rFonts w:ascii="Times New Roman" w:hAnsi="Times New Roman"/>
                <w:lang w:val="uk-UA"/>
              </w:rPr>
              <w:t xml:space="preserve"> </w:t>
            </w:r>
            <w:r w:rsidRPr="00E16672">
              <w:rPr>
                <w:rFonts w:ascii="Times New Roman" w:hAnsi="Times New Roman"/>
                <w:sz w:val="16"/>
                <w:szCs w:val="16"/>
                <w:lang w:val="en-GB"/>
              </w:rPr>
              <w:t>orders for delivery / receipt of securities) can be cancelled in case it received from the Depositor of order cancellation (revocation) of its previous orders.</w:t>
            </w:r>
          </w:p>
        </w:tc>
      </w:tr>
      <w:tr w:rsidR="005C5318" w:rsidRPr="00F23413" w14:paraId="1F6A61C9" w14:textId="77777777" w:rsidTr="005E418B">
        <w:trPr>
          <w:trHeight w:val="192"/>
        </w:trPr>
        <w:tc>
          <w:tcPr>
            <w:tcW w:w="5695" w:type="dxa"/>
            <w:gridSpan w:val="6"/>
            <w:shd w:val="clear" w:color="auto" w:fill="auto"/>
          </w:tcPr>
          <w:p w14:paraId="08CD8A1B" w14:textId="77777777" w:rsidR="005C5318" w:rsidRPr="00E16672" w:rsidRDefault="005C5318" w:rsidP="005C5318">
            <w:pPr>
              <w:tabs>
                <w:tab w:val="left" w:pos="182"/>
              </w:tabs>
              <w:snapToGrid w:val="0"/>
              <w:ind w:left="175" w:right="138" w:firstLine="7"/>
              <w:jc w:val="center"/>
              <w:rPr>
                <w:rFonts w:ascii="Times New Roman" w:hAnsi="Times New Roman"/>
                <w:b/>
                <w:caps/>
                <w:kern w:val="1"/>
                <w:sz w:val="16"/>
                <w:szCs w:val="16"/>
              </w:rPr>
            </w:pPr>
            <w:r w:rsidRPr="00E16672">
              <w:rPr>
                <w:rFonts w:ascii="Times New Roman" w:hAnsi="Times New Roman"/>
                <w:b/>
                <w:caps/>
                <w:sz w:val="16"/>
                <w:szCs w:val="16"/>
              </w:rPr>
              <w:t xml:space="preserve">4. </w:t>
            </w:r>
            <w:r w:rsidRPr="00E16672">
              <w:rPr>
                <w:rFonts w:ascii="Times New Roman" w:hAnsi="Times New Roman"/>
                <w:b/>
                <w:caps/>
                <w:kern w:val="1"/>
                <w:sz w:val="16"/>
                <w:szCs w:val="16"/>
              </w:rPr>
              <w:t xml:space="preserve">Тарифи на послуги та порядок розрахунків </w:t>
            </w:r>
          </w:p>
          <w:p w14:paraId="5037D9B7" w14:textId="77777777" w:rsidR="005C5318" w:rsidRPr="00E16672" w:rsidRDefault="005C5318" w:rsidP="005C5318">
            <w:pPr>
              <w:tabs>
                <w:tab w:val="left" w:pos="182"/>
              </w:tabs>
              <w:snapToGrid w:val="0"/>
              <w:ind w:left="175" w:right="138" w:firstLine="7"/>
              <w:jc w:val="center"/>
              <w:rPr>
                <w:rFonts w:ascii="Times New Roman" w:hAnsi="Times New Roman"/>
                <w:b/>
                <w:caps/>
                <w:kern w:val="1"/>
                <w:sz w:val="16"/>
                <w:szCs w:val="16"/>
              </w:rPr>
            </w:pPr>
            <w:r w:rsidRPr="00E16672">
              <w:rPr>
                <w:rFonts w:ascii="Times New Roman" w:hAnsi="Times New Roman"/>
                <w:b/>
                <w:caps/>
                <w:kern w:val="1"/>
                <w:sz w:val="16"/>
                <w:szCs w:val="16"/>
              </w:rPr>
              <w:t>за надані послуги</w:t>
            </w:r>
          </w:p>
          <w:p w14:paraId="09A82C42" w14:textId="77777777" w:rsidR="005C5318" w:rsidRPr="00E16672" w:rsidRDefault="005C5318" w:rsidP="005C5318">
            <w:pPr>
              <w:tabs>
                <w:tab w:val="left" w:pos="182"/>
              </w:tabs>
              <w:ind w:left="175" w:right="138" w:firstLine="7"/>
              <w:jc w:val="center"/>
              <w:rPr>
                <w:rFonts w:ascii="Times New Roman" w:hAnsi="Times New Roman"/>
                <w:sz w:val="16"/>
                <w:szCs w:val="16"/>
              </w:rPr>
            </w:pPr>
          </w:p>
          <w:p w14:paraId="13B68D3C" w14:textId="77777777" w:rsidR="005C5318" w:rsidRPr="00E16672" w:rsidRDefault="005C5318" w:rsidP="005C5318">
            <w:pPr>
              <w:tabs>
                <w:tab w:val="left" w:pos="182"/>
              </w:tabs>
              <w:ind w:left="175" w:right="138" w:firstLine="7"/>
              <w:rPr>
                <w:rFonts w:ascii="Times New Roman" w:hAnsi="Times New Roman"/>
                <w:color w:val="0000FF"/>
                <w:sz w:val="16"/>
                <w:szCs w:val="16"/>
                <w:lang w:val="uk-UA"/>
              </w:rPr>
            </w:pPr>
            <w:r w:rsidRPr="00E16672">
              <w:rPr>
                <w:rFonts w:ascii="Times New Roman" w:hAnsi="Times New Roman"/>
                <w:sz w:val="16"/>
                <w:szCs w:val="16"/>
              </w:rPr>
              <w:t xml:space="preserve">4.1. </w:t>
            </w:r>
            <w:r w:rsidRPr="00E16672">
              <w:rPr>
                <w:rFonts w:ascii="Times New Roman" w:hAnsi="Times New Roman"/>
                <w:sz w:val="16"/>
                <w:szCs w:val="16"/>
                <w:lang w:val="uk-UA"/>
              </w:rPr>
              <w:t xml:space="preserve">Тарифи на </w:t>
            </w:r>
            <w:proofErr w:type="spellStart"/>
            <w:r w:rsidRPr="00E16672">
              <w:rPr>
                <w:rFonts w:ascii="Times New Roman" w:hAnsi="Times New Roman"/>
                <w:bCs/>
                <w:sz w:val="16"/>
                <w:szCs w:val="16"/>
              </w:rPr>
              <w:t>операції</w:t>
            </w:r>
            <w:proofErr w:type="spellEnd"/>
            <w:r w:rsidRPr="00E16672">
              <w:rPr>
                <w:rFonts w:ascii="Times New Roman" w:hAnsi="Times New Roman"/>
                <w:bCs/>
                <w:sz w:val="16"/>
                <w:szCs w:val="16"/>
              </w:rPr>
              <w:t xml:space="preserve"> з </w:t>
            </w:r>
            <w:proofErr w:type="spellStart"/>
            <w:r w:rsidRPr="00E16672">
              <w:rPr>
                <w:rFonts w:ascii="Times New Roman" w:hAnsi="Times New Roman"/>
                <w:bCs/>
                <w:sz w:val="16"/>
                <w:szCs w:val="16"/>
              </w:rPr>
              <w:t>цінними</w:t>
            </w:r>
            <w:proofErr w:type="spellEnd"/>
            <w:r w:rsidRPr="00E16672">
              <w:rPr>
                <w:rFonts w:ascii="Times New Roman" w:hAnsi="Times New Roman"/>
                <w:bCs/>
                <w:sz w:val="16"/>
                <w:szCs w:val="16"/>
              </w:rPr>
              <w:t xml:space="preserve"> </w:t>
            </w:r>
            <w:proofErr w:type="spellStart"/>
            <w:r w:rsidRPr="00E16672">
              <w:rPr>
                <w:rFonts w:ascii="Times New Roman" w:hAnsi="Times New Roman"/>
                <w:bCs/>
                <w:sz w:val="16"/>
                <w:szCs w:val="16"/>
              </w:rPr>
              <w:t>паперами</w:t>
            </w:r>
            <w:proofErr w:type="spellEnd"/>
            <w:r w:rsidRPr="00E16672">
              <w:rPr>
                <w:rFonts w:ascii="Times New Roman" w:hAnsi="Times New Roman"/>
                <w:sz w:val="16"/>
                <w:szCs w:val="16"/>
                <w:lang w:val="uk-UA"/>
              </w:rPr>
              <w:t xml:space="preserve"> Депозитарної установи встановлюються Депозитарною установою самостійно. Підписавши цей Договір, депонент погоджується з тарифами</w:t>
            </w:r>
            <w:r w:rsidRPr="00E16672">
              <w:rPr>
                <w:rFonts w:ascii="Times New Roman" w:hAnsi="Times New Roman"/>
                <w:sz w:val="16"/>
                <w:szCs w:val="16"/>
              </w:rPr>
              <w:t xml:space="preserve"> </w:t>
            </w:r>
            <w:r w:rsidRPr="00E16672">
              <w:rPr>
                <w:rFonts w:ascii="Times New Roman" w:hAnsi="Times New Roman"/>
                <w:sz w:val="16"/>
                <w:szCs w:val="16"/>
                <w:lang w:val="uk-UA"/>
              </w:rPr>
              <w:t xml:space="preserve">Депозитарної установи, встановленими Депозитарною установою на дату укладення Договору, які оприлюднені на </w:t>
            </w:r>
            <w:r w:rsidRPr="00E16672">
              <w:rPr>
                <w:rFonts w:ascii="Times New Roman" w:hAnsi="Times New Roman"/>
                <w:bCs/>
                <w:sz w:val="16"/>
                <w:szCs w:val="16"/>
                <w:lang w:val="uk-UA"/>
              </w:rPr>
              <w:t xml:space="preserve">веб-сторінці Депозитарної установи </w:t>
            </w:r>
            <w:hyperlink r:id="rId23" w:history="1">
              <w:r w:rsidR="00E16672">
                <w:rPr>
                  <w:rFonts w:ascii="Times New Roman" w:hAnsi="Times New Roman"/>
                  <w:bCs/>
                  <w:color w:val="000000"/>
                  <w:sz w:val="16"/>
                  <w:szCs w:val="16"/>
                </w:rPr>
                <w:t>http://comex.uafin.net</w:t>
              </w:r>
            </w:hyperlink>
            <w:r w:rsidRPr="00E16672">
              <w:rPr>
                <w:rFonts w:ascii="Times New Roman" w:hAnsi="Times New Roman"/>
                <w:color w:val="0000FF"/>
                <w:sz w:val="16"/>
                <w:szCs w:val="16"/>
                <w:lang w:val="uk-UA"/>
              </w:rPr>
              <w:t>.</w:t>
            </w:r>
          </w:p>
          <w:p w14:paraId="5D55058C" w14:textId="77777777" w:rsidR="005C5318" w:rsidRPr="00E16672" w:rsidRDefault="005C5318" w:rsidP="005C5318">
            <w:pPr>
              <w:tabs>
                <w:tab w:val="left" w:pos="182"/>
              </w:tabs>
              <w:ind w:left="175" w:right="138" w:firstLine="7"/>
              <w:rPr>
                <w:rFonts w:ascii="Times New Roman" w:hAnsi="Times New Roman"/>
                <w:sz w:val="16"/>
                <w:szCs w:val="16"/>
                <w:lang w:val="uk-UA"/>
              </w:rPr>
            </w:pPr>
            <w:r w:rsidRPr="00E16672">
              <w:rPr>
                <w:rFonts w:ascii="Times New Roman" w:hAnsi="Times New Roman"/>
                <w:sz w:val="16"/>
                <w:szCs w:val="16"/>
                <w:lang w:val="uk-UA"/>
              </w:rPr>
              <w:t xml:space="preserve">Депозитарна установа  повідомляє про зміни до тарифів на послуги  шляхом розміщення змінених тарифів Депозитарної установи на </w:t>
            </w:r>
            <w:r w:rsidRPr="00E16672">
              <w:rPr>
                <w:rFonts w:ascii="Times New Roman" w:hAnsi="Times New Roman"/>
                <w:bCs/>
                <w:sz w:val="16"/>
                <w:szCs w:val="16"/>
                <w:lang w:val="uk-UA"/>
              </w:rPr>
              <w:t xml:space="preserve">веб-сторінці Депозитарної установи </w:t>
            </w:r>
            <w:hyperlink r:id="rId24" w:history="1">
              <w:r w:rsidR="00E16672">
                <w:rPr>
                  <w:rFonts w:ascii="Times New Roman" w:hAnsi="Times New Roman"/>
                  <w:bCs/>
                  <w:color w:val="000000"/>
                  <w:sz w:val="16"/>
                  <w:szCs w:val="16"/>
                </w:rPr>
                <w:t>http</w:t>
              </w:r>
              <w:r w:rsidR="00E16672" w:rsidRPr="00E16672">
                <w:rPr>
                  <w:rFonts w:ascii="Times New Roman" w:hAnsi="Times New Roman"/>
                  <w:bCs/>
                  <w:color w:val="000000"/>
                  <w:sz w:val="16"/>
                  <w:szCs w:val="16"/>
                  <w:lang w:val="uk-UA"/>
                </w:rPr>
                <w:t>://</w:t>
              </w:r>
              <w:r w:rsidR="00E16672">
                <w:rPr>
                  <w:rFonts w:ascii="Times New Roman" w:hAnsi="Times New Roman"/>
                  <w:bCs/>
                  <w:color w:val="000000"/>
                  <w:sz w:val="16"/>
                  <w:szCs w:val="16"/>
                </w:rPr>
                <w:t>comex</w:t>
              </w:r>
              <w:r w:rsidR="00E16672" w:rsidRPr="00E16672">
                <w:rPr>
                  <w:rFonts w:ascii="Times New Roman" w:hAnsi="Times New Roman"/>
                  <w:bCs/>
                  <w:color w:val="000000"/>
                  <w:sz w:val="16"/>
                  <w:szCs w:val="16"/>
                  <w:lang w:val="uk-UA"/>
                </w:rPr>
                <w:t>.</w:t>
              </w:r>
              <w:r w:rsidR="00E16672">
                <w:rPr>
                  <w:rFonts w:ascii="Times New Roman" w:hAnsi="Times New Roman"/>
                  <w:bCs/>
                  <w:color w:val="000000"/>
                  <w:sz w:val="16"/>
                  <w:szCs w:val="16"/>
                </w:rPr>
                <w:t>uafin</w:t>
              </w:r>
              <w:r w:rsidR="00E16672" w:rsidRPr="00E16672">
                <w:rPr>
                  <w:rFonts w:ascii="Times New Roman" w:hAnsi="Times New Roman"/>
                  <w:bCs/>
                  <w:color w:val="000000"/>
                  <w:sz w:val="16"/>
                  <w:szCs w:val="16"/>
                  <w:lang w:val="uk-UA"/>
                </w:rPr>
                <w:t>.</w:t>
              </w:r>
              <w:proofErr w:type="spellStart"/>
              <w:r w:rsidR="00E16672">
                <w:rPr>
                  <w:rFonts w:ascii="Times New Roman" w:hAnsi="Times New Roman"/>
                  <w:bCs/>
                  <w:color w:val="000000"/>
                  <w:sz w:val="16"/>
                  <w:szCs w:val="16"/>
                </w:rPr>
                <w:t>net</w:t>
              </w:r>
              <w:proofErr w:type="spellEnd"/>
            </w:hyperlink>
            <w:r w:rsidRPr="00E16672">
              <w:rPr>
                <w:rFonts w:ascii="Times New Roman" w:hAnsi="Times New Roman"/>
                <w:bCs/>
                <w:sz w:val="16"/>
                <w:szCs w:val="16"/>
                <w:lang w:val="uk-UA"/>
              </w:rPr>
              <w:t xml:space="preserve"> </w:t>
            </w:r>
            <w:r w:rsidRPr="00E16672">
              <w:rPr>
                <w:rFonts w:ascii="Times New Roman" w:hAnsi="Times New Roman"/>
                <w:sz w:val="16"/>
                <w:szCs w:val="16"/>
                <w:lang w:val="uk-UA"/>
              </w:rPr>
              <w:t xml:space="preserve">протягом </w:t>
            </w:r>
            <w:r w:rsidRPr="00E16672">
              <w:rPr>
                <w:rFonts w:ascii="Times New Roman" w:hAnsi="Times New Roman"/>
                <w:i/>
                <w:sz w:val="16"/>
                <w:szCs w:val="16"/>
                <w:lang w:val="uk-UA"/>
              </w:rPr>
              <w:t>п'яти</w:t>
            </w:r>
            <w:r w:rsidRPr="00E16672">
              <w:rPr>
                <w:rFonts w:ascii="Times New Roman" w:hAnsi="Times New Roman"/>
                <w:sz w:val="16"/>
                <w:szCs w:val="16"/>
                <w:lang w:val="uk-UA"/>
              </w:rPr>
              <w:t xml:space="preserve"> робочих днів після затвердження відповідних змін. Змінені тарифи Депозитарної установи використовуються Сторонами для визначення вартості операцій на дату надання послуг.</w:t>
            </w:r>
          </w:p>
          <w:p w14:paraId="21C2A207" w14:textId="77777777" w:rsidR="005C5318" w:rsidRPr="00E16672" w:rsidRDefault="005C5318" w:rsidP="005C5318">
            <w:pPr>
              <w:tabs>
                <w:tab w:val="left" w:pos="182"/>
              </w:tabs>
              <w:ind w:left="175" w:right="138" w:firstLine="7"/>
              <w:rPr>
                <w:rFonts w:ascii="Times New Roman" w:hAnsi="Times New Roman"/>
                <w:sz w:val="16"/>
                <w:szCs w:val="16"/>
                <w:lang w:val="uk-UA"/>
              </w:rPr>
            </w:pPr>
            <w:r w:rsidRPr="00E16672">
              <w:rPr>
                <w:rFonts w:ascii="Times New Roman" w:hAnsi="Times New Roman"/>
                <w:sz w:val="16"/>
                <w:szCs w:val="16"/>
                <w:lang w:val="uk-UA"/>
              </w:rPr>
              <w:t>Депонент оплачує послуги Депозитарної установи відповідно до цього Договору та затверджених тарифів Депозитарної установи, що є чинними на дату надання послуг.</w:t>
            </w:r>
          </w:p>
          <w:p w14:paraId="42CEBC09" w14:textId="77777777" w:rsidR="005C5318" w:rsidRPr="00E16672" w:rsidRDefault="005C5318" w:rsidP="005C5318">
            <w:pPr>
              <w:tabs>
                <w:tab w:val="left" w:pos="182"/>
              </w:tabs>
              <w:ind w:left="175" w:right="138" w:firstLine="7"/>
              <w:rPr>
                <w:rFonts w:ascii="Times New Roman" w:hAnsi="Times New Roman"/>
                <w:sz w:val="16"/>
                <w:szCs w:val="16"/>
                <w:lang w:val="uk-UA"/>
              </w:rPr>
            </w:pPr>
          </w:p>
        </w:tc>
        <w:tc>
          <w:tcPr>
            <w:tcW w:w="5495" w:type="dxa"/>
            <w:gridSpan w:val="6"/>
            <w:shd w:val="clear" w:color="auto" w:fill="auto"/>
          </w:tcPr>
          <w:p w14:paraId="101088C7" w14:textId="77777777" w:rsidR="005C5318" w:rsidRPr="00E16672" w:rsidRDefault="005C5318" w:rsidP="005C5318">
            <w:pPr>
              <w:pStyle w:val="1"/>
              <w:tabs>
                <w:tab w:val="left" w:pos="182"/>
                <w:tab w:val="left" w:pos="287"/>
              </w:tabs>
              <w:snapToGrid w:val="0"/>
              <w:ind w:left="145" w:right="100" w:firstLine="7"/>
              <w:rPr>
                <w:rFonts w:ascii="Times New Roman" w:hAnsi="Times New Roman" w:cs="Times New Roman"/>
                <w:caps/>
                <w:sz w:val="16"/>
                <w:szCs w:val="16"/>
                <w:lang w:val="uk-UA"/>
              </w:rPr>
            </w:pPr>
            <w:r w:rsidRPr="00E16672">
              <w:rPr>
                <w:rFonts w:ascii="Times New Roman" w:hAnsi="Times New Roman" w:cs="Times New Roman"/>
                <w:caps/>
                <w:sz w:val="16"/>
                <w:szCs w:val="16"/>
                <w:lang w:val="uk-UA"/>
              </w:rPr>
              <w:t>4</w:t>
            </w:r>
            <w:r w:rsidRPr="00E16672">
              <w:rPr>
                <w:rFonts w:ascii="Times New Roman" w:hAnsi="Times New Roman" w:cs="Times New Roman"/>
                <w:caps/>
                <w:sz w:val="16"/>
                <w:szCs w:val="16"/>
                <w:lang w:val="en-US"/>
              </w:rPr>
              <w:t>.</w:t>
            </w:r>
            <w:r w:rsidRPr="00E16672">
              <w:rPr>
                <w:rFonts w:ascii="Times New Roman" w:hAnsi="Times New Roman" w:cs="Times New Roman"/>
                <w:caps/>
                <w:sz w:val="16"/>
                <w:szCs w:val="16"/>
                <w:lang w:val="uk-UA"/>
              </w:rPr>
              <w:t xml:space="preserve">  TARIFFS FOR SERVICES AND PAYMENT</w:t>
            </w:r>
          </w:p>
          <w:p w14:paraId="655BF629" w14:textId="77777777" w:rsidR="005C5318" w:rsidRPr="00E16672" w:rsidRDefault="005C5318" w:rsidP="005C5318">
            <w:pPr>
              <w:pStyle w:val="1"/>
              <w:tabs>
                <w:tab w:val="left" w:pos="182"/>
                <w:tab w:val="left" w:pos="287"/>
              </w:tabs>
              <w:snapToGrid w:val="0"/>
              <w:ind w:left="145" w:right="100" w:firstLine="7"/>
              <w:rPr>
                <w:rFonts w:ascii="Times New Roman" w:hAnsi="Times New Roman" w:cs="Times New Roman"/>
                <w:caps/>
                <w:sz w:val="16"/>
                <w:szCs w:val="16"/>
                <w:lang w:val="uk-UA"/>
              </w:rPr>
            </w:pPr>
            <w:r w:rsidRPr="00E16672">
              <w:rPr>
                <w:rFonts w:ascii="Times New Roman" w:hAnsi="Times New Roman" w:cs="Times New Roman"/>
                <w:caps/>
                <w:sz w:val="16"/>
                <w:szCs w:val="16"/>
                <w:lang w:val="uk-UA"/>
              </w:rPr>
              <w:t>For services</w:t>
            </w:r>
          </w:p>
          <w:p w14:paraId="13FF61C2" w14:textId="77777777" w:rsidR="005C5318" w:rsidRPr="00E16672" w:rsidRDefault="005C5318" w:rsidP="005C5318">
            <w:pPr>
              <w:tabs>
                <w:tab w:val="left" w:pos="182"/>
                <w:tab w:val="left" w:pos="287"/>
              </w:tabs>
              <w:ind w:left="145" w:right="100" w:firstLine="7"/>
              <w:rPr>
                <w:rFonts w:ascii="Times New Roman" w:hAnsi="Times New Roman"/>
                <w:sz w:val="10"/>
                <w:szCs w:val="10"/>
                <w:lang w:val="en-US"/>
              </w:rPr>
            </w:pPr>
          </w:p>
          <w:p w14:paraId="4756014E" w14:textId="77777777" w:rsidR="005C5318" w:rsidRPr="00E16672" w:rsidRDefault="005C5318" w:rsidP="005C5318">
            <w:pPr>
              <w:tabs>
                <w:tab w:val="left" w:pos="182"/>
              </w:tabs>
              <w:spacing w:before="57" w:after="57"/>
              <w:ind w:left="57" w:right="100" w:firstLine="7"/>
              <w:rPr>
                <w:rFonts w:ascii="Times New Roman" w:hAnsi="Times New Roman"/>
                <w:sz w:val="16"/>
                <w:szCs w:val="16"/>
                <w:lang w:val="en-GB"/>
              </w:rPr>
            </w:pPr>
            <w:r w:rsidRPr="00E16672">
              <w:rPr>
                <w:rFonts w:ascii="Times New Roman" w:hAnsi="Times New Roman"/>
                <w:sz w:val="16"/>
                <w:szCs w:val="16"/>
                <w:lang w:val="en-GB"/>
              </w:rPr>
              <w:t xml:space="preserve">4.1. Tariffs on depositary </w:t>
            </w:r>
            <w:r w:rsidRPr="00F23413">
              <w:rPr>
                <w:rFonts w:ascii="Times New Roman" w:hAnsi="Times New Roman"/>
                <w:sz w:val="16"/>
                <w:szCs w:val="16"/>
                <w:lang w:val="en-US"/>
              </w:rPr>
              <w:t xml:space="preserve">transactions </w:t>
            </w:r>
            <w:r w:rsidRPr="00E16672">
              <w:rPr>
                <w:rFonts w:ascii="Times New Roman" w:hAnsi="Times New Roman"/>
                <w:sz w:val="16"/>
                <w:szCs w:val="16"/>
                <w:lang w:val="en-GB"/>
              </w:rPr>
              <w:t xml:space="preserve">of Depository institution are set </w:t>
            </w:r>
            <w:proofErr w:type="gramStart"/>
            <w:r w:rsidRPr="00E16672">
              <w:rPr>
                <w:rFonts w:ascii="Times New Roman" w:hAnsi="Times New Roman"/>
                <w:sz w:val="16"/>
                <w:szCs w:val="16"/>
                <w:lang w:val="en-GB"/>
              </w:rPr>
              <w:t>by  Depository</w:t>
            </w:r>
            <w:proofErr w:type="gramEnd"/>
            <w:r w:rsidRPr="00E16672">
              <w:rPr>
                <w:rFonts w:ascii="Times New Roman" w:hAnsi="Times New Roman"/>
                <w:sz w:val="16"/>
                <w:szCs w:val="16"/>
                <w:lang w:val="en-GB"/>
              </w:rPr>
              <w:t xml:space="preserve"> institution independently. By signing this </w:t>
            </w:r>
            <w:r w:rsidRPr="00E16672">
              <w:rPr>
                <w:rFonts w:ascii="Times New Roman" w:hAnsi="Times New Roman"/>
                <w:sz w:val="16"/>
                <w:szCs w:val="16"/>
              </w:rPr>
              <w:t>А</w:t>
            </w:r>
            <w:proofErr w:type="spellStart"/>
            <w:r w:rsidRPr="00E16672">
              <w:rPr>
                <w:rFonts w:ascii="Times New Roman" w:hAnsi="Times New Roman"/>
                <w:sz w:val="16"/>
                <w:szCs w:val="16"/>
                <w:lang w:val="en-GB"/>
              </w:rPr>
              <w:t>greement</w:t>
            </w:r>
            <w:proofErr w:type="spellEnd"/>
            <w:r w:rsidRPr="00E16672">
              <w:rPr>
                <w:rFonts w:ascii="Times New Roman" w:hAnsi="Times New Roman"/>
                <w:sz w:val="16"/>
                <w:szCs w:val="16"/>
                <w:lang w:val="en-GB"/>
              </w:rPr>
              <w:t>, the depositor agrees to tariff</w:t>
            </w:r>
            <w:r w:rsidRPr="00E16672">
              <w:rPr>
                <w:rFonts w:ascii="Times New Roman" w:hAnsi="Times New Roman"/>
                <w:sz w:val="16"/>
                <w:szCs w:val="16"/>
                <w:lang w:val="uk-UA"/>
              </w:rPr>
              <w:t xml:space="preserve"> </w:t>
            </w:r>
            <w:proofErr w:type="spellStart"/>
            <w:r w:rsidRPr="00E16672">
              <w:rPr>
                <w:rFonts w:ascii="Times New Roman" w:hAnsi="Times New Roman"/>
                <w:sz w:val="16"/>
                <w:szCs w:val="16"/>
                <w:lang w:val="uk-UA"/>
              </w:rPr>
              <w:t>for</w:t>
            </w:r>
            <w:proofErr w:type="spellEnd"/>
            <w:r w:rsidRPr="00E16672">
              <w:rPr>
                <w:rFonts w:ascii="Times New Roman" w:hAnsi="Times New Roman"/>
                <w:sz w:val="16"/>
                <w:szCs w:val="16"/>
                <w:lang w:val="uk-UA"/>
              </w:rPr>
              <w:t xml:space="preserve"> </w:t>
            </w:r>
            <w:proofErr w:type="spellStart"/>
            <w:r w:rsidRPr="00E16672">
              <w:rPr>
                <w:rFonts w:ascii="Times New Roman" w:hAnsi="Times New Roman"/>
                <w:sz w:val="16"/>
                <w:szCs w:val="16"/>
                <w:lang w:val="uk-UA"/>
              </w:rPr>
              <w:t>legal</w:t>
            </w:r>
            <w:proofErr w:type="spellEnd"/>
            <w:r w:rsidRPr="00E16672">
              <w:rPr>
                <w:rFonts w:ascii="Times New Roman" w:hAnsi="Times New Roman"/>
                <w:sz w:val="16"/>
                <w:szCs w:val="16"/>
                <w:lang w:val="uk-UA"/>
              </w:rPr>
              <w:t xml:space="preserve"> </w:t>
            </w:r>
            <w:proofErr w:type="spellStart"/>
            <w:r w:rsidRPr="00E16672">
              <w:rPr>
                <w:rFonts w:ascii="Times New Roman" w:hAnsi="Times New Roman"/>
                <w:sz w:val="16"/>
                <w:szCs w:val="16"/>
                <w:lang w:val="uk-UA"/>
              </w:rPr>
              <w:t>entities</w:t>
            </w:r>
            <w:proofErr w:type="spellEnd"/>
            <w:r w:rsidRPr="00E16672">
              <w:rPr>
                <w:rFonts w:ascii="Times New Roman" w:hAnsi="Times New Roman"/>
                <w:sz w:val="16"/>
                <w:szCs w:val="16"/>
                <w:lang w:val="uk-UA"/>
              </w:rPr>
              <w:t xml:space="preserve"> </w:t>
            </w:r>
            <w:proofErr w:type="spellStart"/>
            <w:r w:rsidRPr="00E16672">
              <w:rPr>
                <w:rFonts w:ascii="Times New Roman" w:hAnsi="Times New Roman"/>
                <w:sz w:val="16"/>
                <w:szCs w:val="16"/>
                <w:lang w:val="uk-UA"/>
              </w:rPr>
              <w:t>nonresidents</w:t>
            </w:r>
            <w:proofErr w:type="spellEnd"/>
            <w:r w:rsidRPr="00E16672">
              <w:rPr>
                <w:rFonts w:ascii="Times New Roman" w:hAnsi="Times New Roman"/>
                <w:sz w:val="16"/>
                <w:szCs w:val="16"/>
                <w:lang w:val="uk-UA"/>
              </w:rPr>
              <w:t xml:space="preserve"> </w:t>
            </w:r>
            <w:proofErr w:type="spellStart"/>
            <w:r w:rsidRPr="00E16672">
              <w:rPr>
                <w:rFonts w:ascii="Times New Roman" w:hAnsi="Times New Roman"/>
                <w:sz w:val="16"/>
                <w:szCs w:val="16"/>
                <w:lang w:val="uk-UA"/>
              </w:rPr>
              <w:t>for</w:t>
            </w:r>
            <w:proofErr w:type="spellEnd"/>
            <w:r w:rsidRPr="00E16672">
              <w:rPr>
                <w:rFonts w:ascii="Times New Roman" w:hAnsi="Times New Roman"/>
                <w:sz w:val="16"/>
                <w:szCs w:val="16"/>
                <w:lang w:val="uk-UA"/>
              </w:rPr>
              <w:t xml:space="preserve"> a </w:t>
            </w:r>
            <w:proofErr w:type="spellStart"/>
            <w:r w:rsidRPr="00E16672">
              <w:rPr>
                <w:rFonts w:ascii="Times New Roman" w:hAnsi="Times New Roman"/>
                <w:sz w:val="16"/>
                <w:szCs w:val="16"/>
                <w:lang w:val="uk-UA"/>
              </w:rPr>
              <w:t>monthly</w:t>
            </w:r>
            <w:proofErr w:type="spellEnd"/>
            <w:r w:rsidRPr="00E16672">
              <w:rPr>
                <w:rFonts w:ascii="Times New Roman" w:hAnsi="Times New Roman"/>
                <w:sz w:val="16"/>
                <w:szCs w:val="16"/>
                <w:lang w:val="uk-UA"/>
              </w:rPr>
              <w:t xml:space="preserve"> </w:t>
            </w:r>
            <w:proofErr w:type="spellStart"/>
            <w:r w:rsidRPr="00E16672">
              <w:rPr>
                <w:rFonts w:ascii="Times New Roman" w:hAnsi="Times New Roman"/>
                <w:sz w:val="16"/>
                <w:szCs w:val="16"/>
                <w:lang w:val="uk-UA"/>
              </w:rPr>
              <w:t>payment</w:t>
            </w:r>
            <w:proofErr w:type="spellEnd"/>
            <w:r w:rsidRPr="00E16672">
              <w:rPr>
                <w:rFonts w:ascii="Times New Roman" w:hAnsi="Times New Roman"/>
                <w:sz w:val="16"/>
                <w:szCs w:val="16"/>
                <w:lang w:val="en-GB"/>
              </w:rPr>
              <w:t xml:space="preserve"> set by the Depository institution on the date of conclusion the Agreement, placed</w:t>
            </w:r>
            <w:r w:rsidRPr="00E16672">
              <w:rPr>
                <w:rFonts w:ascii="Times New Roman" w:eastAsia="Arial" w:hAnsi="Times New Roman"/>
                <w:sz w:val="16"/>
                <w:szCs w:val="16"/>
                <w:lang w:val="uk-UA"/>
              </w:rPr>
              <w:t xml:space="preserve"> </w:t>
            </w:r>
            <w:proofErr w:type="spellStart"/>
            <w:r w:rsidRPr="00E16672">
              <w:rPr>
                <w:rFonts w:ascii="Times New Roman" w:eastAsia="Arial" w:hAnsi="Times New Roman"/>
                <w:sz w:val="16"/>
                <w:szCs w:val="16"/>
                <w:lang w:val="uk-UA"/>
              </w:rPr>
              <w:t>on</w:t>
            </w:r>
            <w:proofErr w:type="spellEnd"/>
            <w:r w:rsidRPr="00E16672">
              <w:rPr>
                <w:rFonts w:ascii="Times New Roman" w:eastAsia="Arial" w:hAnsi="Times New Roman"/>
                <w:sz w:val="16"/>
                <w:szCs w:val="16"/>
                <w:lang w:val="uk-UA"/>
              </w:rPr>
              <w:t xml:space="preserve"> a </w:t>
            </w:r>
            <w:proofErr w:type="spellStart"/>
            <w:r w:rsidRPr="00E16672">
              <w:rPr>
                <w:rFonts w:ascii="Times New Roman" w:eastAsia="Arial" w:hAnsi="Times New Roman"/>
                <w:sz w:val="16"/>
                <w:szCs w:val="16"/>
                <w:lang w:val="uk-UA"/>
              </w:rPr>
              <w:t>website</w:t>
            </w:r>
            <w:proofErr w:type="spellEnd"/>
            <w:r w:rsidRPr="00E16672">
              <w:rPr>
                <w:rFonts w:ascii="Times New Roman" w:eastAsia="Arial" w:hAnsi="Times New Roman"/>
                <w:sz w:val="16"/>
                <w:szCs w:val="16"/>
                <w:lang w:val="uk-UA"/>
              </w:rPr>
              <w:t xml:space="preserve"> </w:t>
            </w:r>
            <w:proofErr w:type="spellStart"/>
            <w:r w:rsidRPr="00E16672">
              <w:rPr>
                <w:rFonts w:ascii="Times New Roman" w:eastAsia="Arial" w:hAnsi="Times New Roman"/>
                <w:sz w:val="16"/>
                <w:szCs w:val="16"/>
                <w:lang w:val="uk-UA"/>
              </w:rPr>
              <w:t>of</w:t>
            </w:r>
            <w:proofErr w:type="spellEnd"/>
            <w:r w:rsidRPr="00E16672">
              <w:rPr>
                <w:rFonts w:ascii="Times New Roman" w:eastAsia="Arial" w:hAnsi="Times New Roman"/>
                <w:sz w:val="16"/>
                <w:szCs w:val="16"/>
                <w:lang w:val="uk-UA"/>
              </w:rPr>
              <w:t xml:space="preserve"> </w:t>
            </w:r>
            <w:proofErr w:type="spellStart"/>
            <w:r w:rsidRPr="00E16672">
              <w:rPr>
                <w:rFonts w:ascii="Times New Roman" w:eastAsia="Arial" w:hAnsi="Times New Roman"/>
                <w:sz w:val="16"/>
                <w:szCs w:val="16"/>
                <w:lang w:val="uk-UA"/>
              </w:rPr>
              <w:t>Depository</w:t>
            </w:r>
            <w:proofErr w:type="spellEnd"/>
            <w:r w:rsidRPr="00E16672">
              <w:rPr>
                <w:rFonts w:ascii="Times New Roman" w:eastAsia="Arial" w:hAnsi="Times New Roman"/>
                <w:sz w:val="16"/>
                <w:szCs w:val="16"/>
                <w:lang w:val="uk-UA"/>
              </w:rPr>
              <w:t xml:space="preserve"> </w:t>
            </w:r>
            <w:proofErr w:type="spellStart"/>
            <w:r w:rsidRPr="00E16672">
              <w:rPr>
                <w:rFonts w:ascii="Times New Roman" w:eastAsia="Arial" w:hAnsi="Times New Roman"/>
                <w:sz w:val="16"/>
                <w:szCs w:val="16"/>
                <w:lang w:val="uk-UA"/>
              </w:rPr>
              <w:t>institution</w:t>
            </w:r>
            <w:proofErr w:type="spellEnd"/>
            <w:r w:rsidRPr="00E16672">
              <w:rPr>
                <w:rFonts w:ascii="Times New Roman" w:eastAsia="Arial" w:hAnsi="Times New Roman"/>
                <w:sz w:val="16"/>
                <w:szCs w:val="16"/>
                <w:lang w:val="uk-UA"/>
              </w:rPr>
              <w:t xml:space="preserve"> </w:t>
            </w:r>
            <w:hyperlink r:id="rId25" w:history="1">
              <w:r w:rsidR="00E16672">
                <w:rPr>
                  <w:rFonts w:ascii="Times New Roman" w:hAnsi="Times New Roman"/>
                  <w:bCs/>
                  <w:color w:val="000000"/>
                  <w:sz w:val="16"/>
                  <w:szCs w:val="16"/>
                  <w:lang w:val="en-US"/>
                </w:rPr>
                <w:t>http://comex.uafin.net</w:t>
              </w:r>
            </w:hyperlink>
            <w:r w:rsidRPr="00E16672">
              <w:rPr>
                <w:rFonts w:ascii="Times New Roman" w:hAnsi="Times New Roman"/>
                <w:sz w:val="16"/>
                <w:szCs w:val="16"/>
                <w:lang w:val="en-GB"/>
              </w:rPr>
              <w:t>.</w:t>
            </w:r>
          </w:p>
          <w:p w14:paraId="497CDF28" w14:textId="77777777" w:rsidR="005C5318" w:rsidRPr="00E16672" w:rsidRDefault="005C5318" w:rsidP="005C5318">
            <w:pPr>
              <w:tabs>
                <w:tab w:val="left" w:pos="182"/>
              </w:tabs>
              <w:spacing w:before="57" w:after="57"/>
              <w:ind w:left="57" w:right="100" w:firstLine="7"/>
              <w:rPr>
                <w:rFonts w:ascii="Times New Roman" w:hAnsi="Times New Roman"/>
                <w:sz w:val="16"/>
                <w:szCs w:val="16"/>
                <w:lang w:val="en-GB"/>
              </w:rPr>
            </w:pPr>
            <w:r w:rsidRPr="00E16672">
              <w:rPr>
                <w:rFonts w:ascii="Times New Roman" w:hAnsi="Times New Roman"/>
                <w:sz w:val="16"/>
                <w:szCs w:val="16"/>
                <w:lang w:val="en-GB"/>
              </w:rPr>
              <w:t>Depository institution reports</w:t>
            </w:r>
            <w:r w:rsidRPr="00E16672">
              <w:rPr>
                <w:rFonts w:ascii="Times New Roman" w:hAnsi="Times New Roman"/>
                <w:sz w:val="16"/>
                <w:szCs w:val="16"/>
                <w:lang w:val="en-US"/>
              </w:rPr>
              <w:t xml:space="preserve"> about </w:t>
            </w:r>
            <w:r w:rsidRPr="00E16672">
              <w:rPr>
                <w:rFonts w:ascii="Times New Roman" w:hAnsi="Times New Roman"/>
                <w:sz w:val="16"/>
                <w:szCs w:val="16"/>
                <w:lang w:val="en-GB"/>
              </w:rPr>
              <w:t xml:space="preserve">changes to tariffs </w:t>
            </w:r>
            <w:r w:rsidRPr="00E16672">
              <w:rPr>
                <w:rFonts w:ascii="Times New Roman" w:hAnsi="Times New Roman"/>
                <w:sz w:val="16"/>
                <w:szCs w:val="16"/>
                <w:lang w:val="en-US"/>
              </w:rPr>
              <w:t>for services by placing changed</w:t>
            </w:r>
            <w:r w:rsidRPr="00E16672">
              <w:rPr>
                <w:rFonts w:ascii="Times New Roman" w:hAnsi="Times New Roman"/>
                <w:sz w:val="16"/>
                <w:szCs w:val="16"/>
                <w:lang w:val="en-GB"/>
              </w:rPr>
              <w:t xml:space="preserve"> tariffs</w:t>
            </w:r>
            <w:r w:rsidRPr="00E16672">
              <w:rPr>
                <w:rFonts w:ascii="Times New Roman" w:hAnsi="Times New Roman"/>
                <w:sz w:val="16"/>
                <w:szCs w:val="16"/>
                <w:lang w:val="en-US"/>
              </w:rPr>
              <w:t xml:space="preserve"> </w:t>
            </w:r>
            <w:r w:rsidRPr="00E16672">
              <w:rPr>
                <w:rFonts w:ascii="Times New Roman" w:hAnsi="Times New Roman"/>
                <w:sz w:val="16"/>
                <w:szCs w:val="16"/>
                <w:lang w:val="en-GB"/>
              </w:rPr>
              <w:t xml:space="preserve">of Depository institution </w:t>
            </w:r>
            <w:r w:rsidRPr="00E16672">
              <w:rPr>
                <w:rFonts w:ascii="Times New Roman" w:hAnsi="Times New Roman"/>
                <w:sz w:val="16"/>
                <w:szCs w:val="16"/>
                <w:lang w:val="en-US"/>
              </w:rPr>
              <w:t xml:space="preserve">on </w:t>
            </w:r>
            <w:r w:rsidRPr="00E16672">
              <w:rPr>
                <w:rFonts w:ascii="Times New Roman" w:hAnsi="Times New Roman"/>
                <w:sz w:val="16"/>
                <w:szCs w:val="16"/>
                <w:lang w:val="en-GB"/>
              </w:rPr>
              <w:t>website</w:t>
            </w:r>
            <w:r w:rsidRPr="00E16672">
              <w:rPr>
                <w:rFonts w:ascii="Times New Roman" w:hAnsi="Times New Roman"/>
                <w:sz w:val="16"/>
                <w:szCs w:val="16"/>
                <w:lang w:val="en-US"/>
              </w:rPr>
              <w:t xml:space="preserve"> of D</w:t>
            </w:r>
            <w:proofErr w:type="spellStart"/>
            <w:r w:rsidRPr="00E16672">
              <w:rPr>
                <w:rFonts w:ascii="Times New Roman" w:hAnsi="Times New Roman"/>
                <w:sz w:val="16"/>
                <w:szCs w:val="16"/>
                <w:lang w:val="en-GB"/>
              </w:rPr>
              <w:t>epository</w:t>
            </w:r>
            <w:proofErr w:type="spellEnd"/>
            <w:r w:rsidRPr="00E16672">
              <w:rPr>
                <w:rFonts w:ascii="Times New Roman" w:hAnsi="Times New Roman"/>
                <w:sz w:val="16"/>
                <w:szCs w:val="16"/>
                <w:lang w:val="en-GB"/>
              </w:rPr>
              <w:t xml:space="preserve"> institution </w:t>
            </w:r>
            <w:hyperlink r:id="rId26" w:history="1">
              <w:r w:rsidR="00E16672">
                <w:rPr>
                  <w:rFonts w:ascii="Times New Roman" w:hAnsi="Times New Roman"/>
                  <w:bCs/>
                  <w:color w:val="000000"/>
                  <w:sz w:val="16"/>
                  <w:szCs w:val="16"/>
                  <w:lang w:val="en-US"/>
                </w:rPr>
                <w:t>http://comex.uafin.net</w:t>
              </w:r>
            </w:hyperlink>
            <w:r w:rsidRPr="00E16672">
              <w:rPr>
                <w:rFonts w:ascii="Times New Roman" w:hAnsi="Times New Roman"/>
                <w:bCs/>
                <w:sz w:val="16"/>
                <w:szCs w:val="16"/>
                <w:lang w:val="uk-UA"/>
              </w:rPr>
              <w:t xml:space="preserve"> </w:t>
            </w:r>
            <w:r w:rsidRPr="00E16672">
              <w:rPr>
                <w:rFonts w:ascii="Times New Roman" w:hAnsi="Times New Roman"/>
                <w:sz w:val="16"/>
                <w:szCs w:val="16"/>
                <w:lang w:val="en-GB"/>
              </w:rPr>
              <w:t xml:space="preserve">within </w:t>
            </w:r>
            <w:r w:rsidRPr="00E16672">
              <w:rPr>
                <w:rFonts w:ascii="Times New Roman" w:hAnsi="Times New Roman"/>
                <w:i/>
                <w:sz w:val="16"/>
                <w:szCs w:val="16"/>
                <w:lang w:val="en-GB"/>
              </w:rPr>
              <w:t xml:space="preserve">five </w:t>
            </w:r>
            <w:r w:rsidRPr="00F23413">
              <w:rPr>
                <w:rStyle w:val="shorttext"/>
                <w:rFonts w:ascii="Times New Roman" w:hAnsi="Times New Roman"/>
                <w:sz w:val="16"/>
                <w:szCs w:val="16"/>
                <w:lang w:val="en-US"/>
              </w:rPr>
              <w:t>business</w:t>
            </w:r>
            <w:r w:rsidRPr="00E16672">
              <w:rPr>
                <w:rFonts w:ascii="Times New Roman" w:hAnsi="Times New Roman"/>
                <w:sz w:val="16"/>
                <w:szCs w:val="16"/>
                <w:lang w:val="en-GB"/>
              </w:rPr>
              <w:t xml:space="preserve">days after approval of the relevant changes. Changed tariffs of Depository institution used by the Parties to determine the value of </w:t>
            </w:r>
            <w:r w:rsidRPr="00E16672">
              <w:rPr>
                <w:rFonts w:ascii="Times New Roman" w:hAnsi="Times New Roman"/>
                <w:sz w:val="16"/>
                <w:szCs w:val="16"/>
                <w:lang w:val="en-US"/>
              </w:rPr>
              <w:t>operations</w:t>
            </w:r>
            <w:r w:rsidRPr="00E16672">
              <w:rPr>
                <w:rFonts w:ascii="Times New Roman" w:hAnsi="Times New Roman"/>
                <w:sz w:val="16"/>
                <w:szCs w:val="16"/>
                <w:lang w:val="en-GB"/>
              </w:rPr>
              <w:t xml:space="preserve"> on the date of service.</w:t>
            </w:r>
          </w:p>
          <w:p w14:paraId="5689E8DB" w14:textId="77777777" w:rsidR="005C5318" w:rsidRPr="00E16672" w:rsidRDefault="005C5318" w:rsidP="005C5318">
            <w:pPr>
              <w:tabs>
                <w:tab w:val="left" w:pos="182"/>
                <w:tab w:val="left" w:pos="287"/>
              </w:tabs>
              <w:ind w:left="145" w:right="100" w:firstLine="7"/>
              <w:rPr>
                <w:rFonts w:ascii="Times New Roman" w:hAnsi="Times New Roman"/>
                <w:sz w:val="16"/>
                <w:szCs w:val="16"/>
                <w:lang w:val="en-GB"/>
              </w:rPr>
            </w:pPr>
          </w:p>
          <w:p w14:paraId="03B705E9" w14:textId="77777777" w:rsidR="005C5318" w:rsidRPr="00E16672" w:rsidRDefault="005C5318" w:rsidP="005C5318">
            <w:pPr>
              <w:tabs>
                <w:tab w:val="left" w:pos="182"/>
                <w:tab w:val="left" w:pos="287"/>
              </w:tabs>
              <w:ind w:left="145" w:right="100" w:firstLine="7"/>
              <w:rPr>
                <w:rFonts w:ascii="Times New Roman" w:hAnsi="Times New Roman"/>
                <w:sz w:val="16"/>
                <w:szCs w:val="16"/>
                <w:lang w:val="en-GB"/>
              </w:rPr>
            </w:pPr>
            <w:r w:rsidRPr="00E16672">
              <w:rPr>
                <w:rFonts w:ascii="Times New Roman" w:hAnsi="Times New Roman"/>
                <w:sz w:val="16"/>
                <w:szCs w:val="16"/>
                <w:lang w:val="en-GB"/>
              </w:rPr>
              <w:t>A depositor pays services of Depository institution in accordance with this Agreement and ratified tariffs of Depository institution, in force on the date of service.</w:t>
            </w:r>
          </w:p>
        </w:tc>
      </w:tr>
      <w:tr w:rsidR="005C5318" w:rsidRPr="00F23413" w14:paraId="1B8F9FA4" w14:textId="77777777" w:rsidTr="005E418B">
        <w:trPr>
          <w:trHeight w:val="192"/>
        </w:trPr>
        <w:tc>
          <w:tcPr>
            <w:tcW w:w="5695" w:type="dxa"/>
            <w:gridSpan w:val="6"/>
            <w:shd w:val="clear" w:color="auto" w:fill="auto"/>
          </w:tcPr>
          <w:p w14:paraId="4F3620F4" w14:textId="77777777" w:rsidR="005C5318" w:rsidRPr="00E16672" w:rsidRDefault="005C5318" w:rsidP="005C5318">
            <w:pPr>
              <w:pStyle w:val="310"/>
              <w:tabs>
                <w:tab w:val="left" w:pos="182"/>
              </w:tabs>
              <w:snapToGrid w:val="0"/>
              <w:ind w:left="175" w:right="138" w:firstLine="7"/>
              <w:rPr>
                <w:rFonts w:ascii="Times New Roman" w:hAnsi="Times New Roman"/>
                <w:color w:val="000000"/>
                <w:sz w:val="16"/>
              </w:rPr>
            </w:pPr>
            <w:r w:rsidRPr="00E16672">
              <w:rPr>
                <w:rFonts w:ascii="Times New Roman" w:hAnsi="Times New Roman"/>
                <w:sz w:val="16"/>
                <w:szCs w:val="16"/>
              </w:rPr>
              <w:t>4.2.</w:t>
            </w:r>
            <w:r w:rsidRPr="00E16672">
              <w:rPr>
                <w:rFonts w:ascii="Times New Roman" w:hAnsi="Times New Roman"/>
                <w:sz w:val="16"/>
                <w:szCs w:val="16"/>
                <w:lang w:val="ru-RU"/>
              </w:rPr>
              <w:t xml:space="preserve"> </w:t>
            </w:r>
            <w:r w:rsidRPr="00E16672">
              <w:rPr>
                <w:rFonts w:ascii="Times New Roman" w:hAnsi="Times New Roman"/>
                <w:color w:val="000000"/>
                <w:sz w:val="16"/>
              </w:rPr>
              <w:t>Оплата за послуги Депозитарної установи здійснюється на підставі рахунку Депозитарної установи по реквізитах, вказаних в рахунку.</w:t>
            </w:r>
          </w:p>
          <w:p w14:paraId="6A9B0EAC" w14:textId="77777777" w:rsidR="005C5318" w:rsidRPr="00E16672" w:rsidRDefault="005C5318" w:rsidP="005C5318">
            <w:pPr>
              <w:pStyle w:val="310"/>
              <w:tabs>
                <w:tab w:val="left" w:pos="182"/>
              </w:tabs>
              <w:snapToGrid w:val="0"/>
              <w:ind w:left="175" w:right="138" w:firstLine="7"/>
              <w:rPr>
                <w:rFonts w:ascii="Times New Roman" w:hAnsi="Times New Roman"/>
                <w:color w:val="000000"/>
                <w:sz w:val="16"/>
              </w:rPr>
            </w:pPr>
          </w:p>
          <w:p w14:paraId="598EDB1D" w14:textId="77777777" w:rsidR="005C5318" w:rsidRPr="00E16672" w:rsidRDefault="005C5318" w:rsidP="005C5318">
            <w:pPr>
              <w:pStyle w:val="310"/>
              <w:tabs>
                <w:tab w:val="left" w:pos="182"/>
              </w:tabs>
              <w:snapToGrid w:val="0"/>
              <w:ind w:left="175" w:right="138" w:firstLine="7"/>
              <w:rPr>
                <w:rFonts w:ascii="Times New Roman" w:hAnsi="Times New Roman"/>
                <w:sz w:val="16"/>
                <w:szCs w:val="16"/>
                <w:lang w:val="ru-RU"/>
              </w:rPr>
            </w:pPr>
            <w:r w:rsidRPr="00E16672">
              <w:rPr>
                <w:rFonts w:ascii="Times New Roman" w:hAnsi="Times New Roman"/>
                <w:color w:val="000000"/>
                <w:sz w:val="16"/>
              </w:rPr>
              <w:t>Оплата послуг Депозитарної установи згідно з цим Договором та відповідно до затверджених тарифів Депозитарної установи здійснюється в ___________________(</w:t>
            </w:r>
            <w:r w:rsidRPr="00E16672">
              <w:rPr>
                <w:rFonts w:ascii="Times New Roman" w:hAnsi="Times New Roman"/>
                <w:i/>
                <w:color w:val="000000"/>
                <w:sz w:val="16"/>
              </w:rPr>
              <w:t>доларах США/ЄВРО/інша валюта</w:t>
            </w:r>
            <w:r w:rsidRPr="00E16672">
              <w:rPr>
                <w:rFonts w:ascii="Times New Roman" w:hAnsi="Times New Roman"/>
                <w:color w:val="000000"/>
                <w:sz w:val="16"/>
              </w:rPr>
              <w:t>)</w:t>
            </w:r>
            <w:r w:rsidRPr="00E16672">
              <w:rPr>
                <w:rFonts w:ascii="Times New Roman" w:hAnsi="Times New Roman"/>
                <w:color w:val="000000"/>
              </w:rPr>
              <w:t xml:space="preserve"> </w:t>
            </w:r>
            <w:r w:rsidRPr="00E16672">
              <w:rPr>
                <w:rFonts w:ascii="Times New Roman" w:hAnsi="Times New Roman"/>
                <w:color w:val="000000"/>
                <w:sz w:val="16"/>
              </w:rPr>
              <w:t>по курсу НБУ на дату складання рахунку.</w:t>
            </w:r>
          </w:p>
          <w:p w14:paraId="5878C053" w14:textId="77777777" w:rsidR="005C5318" w:rsidRPr="00E16672" w:rsidRDefault="005C5318" w:rsidP="005C5318">
            <w:pPr>
              <w:pStyle w:val="310"/>
              <w:tabs>
                <w:tab w:val="left" w:pos="182"/>
              </w:tabs>
              <w:ind w:left="175" w:right="138" w:firstLine="7"/>
              <w:rPr>
                <w:rFonts w:ascii="Times New Roman" w:hAnsi="Times New Roman"/>
                <w:sz w:val="16"/>
                <w:szCs w:val="16"/>
                <w:lang w:val="ru-RU"/>
              </w:rPr>
            </w:pPr>
          </w:p>
        </w:tc>
        <w:tc>
          <w:tcPr>
            <w:tcW w:w="5495" w:type="dxa"/>
            <w:gridSpan w:val="6"/>
            <w:shd w:val="clear" w:color="auto" w:fill="auto"/>
          </w:tcPr>
          <w:p w14:paraId="2B77135C" w14:textId="77777777" w:rsidR="005C5318" w:rsidRPr="00E16672" w:rsidRDefault="005C5318" w:rsidP="005C5318">
            <w:pPr>
              <w:pStyle w:val="af7"/>
              <w:snapToGrid w:val="0"/>
              <w:spacing w:before="57" w:after="57"/>
              <w:ind w:left="142" w:right="57" w:firstLine="0"/>
              <w:rPr>
                <w:rFonts w:ascii="Times New Roman" w:hAnsi="Times New Roman"/>
                <w:color w:val="000000"/>
                <w:sz w:val="16"/>
              </w:rPr>
            </w:pPr>
            <w:r w:rsidRPr="00E16672">
              <w:rPr>
                <w:rFonts w:ascii="Times New Roman" w:hAnsi="Times New Roman"/>
                <w:sz w:val="16"/>
                <w:szCs w:val="16"/>
              </w:rPr>
              <w:t xml:space="preserve">4.2. </w:t>
            </w:r>
            <w:proofErr w:type="spellStart"/>
            <w:r w:rsidRPr="00E16672">
              <w:rPr>
                <w:rFonts w:ascii="Times New Roman" w:hAnsi="Times New Roman"/>
                <w:color w:val="000000"/>
                <w:sz w:val="16"/>
              </w:rPr>
              <w:t>Payment</w:t>
            </w:r>
            <w:proofErr w:type="spellEnd"/>
            <w:r w:rsidRPr="00E16672">
              <w:rPr>
                <w:rFonts w:ascii="Times New Roman" w:hAnsi="Times New Roman"/>
                <w:color w:val="000000"/>
                <w:sz w:val="16"/>
              </w:rPr>
              <w:t xml:space="preserve"> </w:t>
            </w:r>
            <w:proofErr w:type="spellStart"/>
            <w:r w:rsidRPr="00E16672">
              <w:rPr>
                <w:rFonts w:ascii="Times New Roman" w:hAnsi="Times New Roman"/>
                <w:color w:val="000000"/>
                <w:sz w:val="16"/>
              </w:rPr>
              <w:t>for</w:t>
            </w:r>
            <w:proofErr w:type="spellEnd"/>
            <w:r w:rsidRPr="00E16672">
              <w:rPr>
                <w:rFonts w:ascii="Times New Roman" w:hAnsi="Times New Roman"/>
                <w:color w:val="000000"/>
                <w:sz w:val="16"/>
              </w:rPr>
              <w:t xml:space="preserve"> </w:t>
            </w:r>
            <w:proofErr w:type="spellStart"/>
            <w:r w:rsidRPr="00E16672">
              <w:rPr>
                <w:rFonts w:ascii="Times New Roman" w:hAnsi="Times New Roman"/>
                <w:color w:val="000000"/>
                <w:sz w:val="16"/>
              </w:rPr>
              <w:t>services</w:t>
            </w:r>
            <w:proofErr w:type="spellEnd"/>
            <w:r w:rsidRPr="00E16672">
              <w:rPr>
                <w:rFonts w:ascii="Times New Roman" w:hAnsi="Times New Roman"/>
                <w:color w:val="000000"/>
                <w:sz w:val="16"/>
              </w:rPr>
              <w:t xml:space="preserve"> </w:t>
            </w:r>
            <w:proofErr w:type="spellStart"/>
            <w:r w:rsidRPr="00E16672">
              <w:rPr>
                <w:rFonts w:ascii="Times New Roman" w:hAnsi="Times New Roman"/>
                <w:color w:val="000000"/>
                <w:sz w:val="16"/>
              </w:rPr>
              <w:t>of</w:t>
            </w:r>
            <w:proofErr w:type="spellEnd"/>
            <w:r w:rsidRPr="00E16672">
              <w:rPr>
                <w:rFonts w:ascii="Times New Roman" w:hAnsi="Times New Roman"/>
                <w:color w:val="000000"/>
                <w:sz w:val="16"/>
              </w:rPr>
              <w:t xml:space="preserve"> </w:t>
            </w:r>
            <w:proofErr w:type="spellStart"/>
            <w:r w:rsidRPr="00E16672">
              <w:rPr>
                <w:rFonts w:ascii="Times New Roman" w:hAnsi="Times New Roman"/>
                <w:color w:val="000000"/>
                <w:sz w:val="16"/>
              </w:rPr>
              <w:t>Depository</w:t>
            </w:r>
            <w:proofErr w:type="spellEnd"/>
            <w:r w:rsidRPr="00E16672">
              <w:rPr>
                <w:rFonts w:ascii="Times New Roman" w:hAnsi="Times New Roman"/>
                <w:color w:val="000000"/>
                <w:sz w:val="16"/>
              </w:rPr>
              <w:t xml:space="preserve"> </w:t>
            </w:r>
            <w:proofErr w:type="spellStart"/>
            <w:r w:rsidRPr="00E16672">
              <w:rPr>
                <w:rFonts w:ascii="Times New Roman" w:hAnsi="Times New Roman"/>
                <w:color w:val="000000"/>
                <w:sz w:val="16"/>
              </w:rPr>
              <w:t>institution</w:t>
            </w:r>
            <w:proofErr w:type="spellEnd"/>
            <w:r w:rsidRPr="00E16672">
              <w:rPr>
                <w:rFonts w:ascii="Times New Roman" w:hAnsi="Times New Roman"/>
                <w:color w:val="000000"/>
                <w:sz w:val="16"/>
              </w:rPr>
              <w:t xml:space="preserve"> </w:t>
            </w:r>
            <w:proofErr w:type="spellStart"/>
            <w:r w:rsidRPr="00E16672">
              <w:rPr>
                <w:rFonts w:ascii="Times New Roman" w:hAnsi="Times New Roman"/>
                <w:color w:val="000000"/>
                <w:sz w:val="16"/>
              </w:rPr>
              <w:t>is</w:t>
            </w:r>
            <w:proofErr w:type="spellEnd"/>
            <w:r w:rsidRPr="00E16672">
              <w:rPr>
                <w:rFonts w:ascii="Times New Roman" w:hAnsi="Times New Roman"/>
                <w:color w:val="000000"/>
                <w:sz w:val="16"/>
              </w:rPr>
              <w:t xml:space="preserve"> </w:t>
            </w:r>
            <w:proofErr w:type="spellStart"/>
            <w:r w:rsidRPr="00E16672">
              <w:rPr>
                <w:rFonts w:ascii="Times New Roman" w:hAnsi="Times New Roman"/>
                <w:color w:val="000000"/>
                <w:sz w:val="16"/>
              </w:rPr>
              <w:t>carried</w:t>
            </w:r>
            <w:proofErr w:type="spellEnd"/>
            <w:r w:rsidRPr="00E16672">
              <w:rPr>
                <w:rFonts w:ascii="Times New Roman" w:hAnsi="Times New Roman"/>
                <w:color w:val="000000"/>
                <w:sz w:val="16"/>
              </w:rPr>
              <w:t xml:space="preserve"> </w:t>
            </w:r>
            <w:proofErr w:type="spellStart"/>
            <w:r w:rsidRPr="00E16672">
              <w:rPr>
                <w:rFonts w:ascii="Times New Roman" w:hAnsi="Times New Roman"/>
                <w:color w:val="000000"/>
                <w:sz w:val="16"/>
              </w:rPr>
              <w:t>out</w:t>
            </w:r>
            <w:proofErr w:type="spellEnd"/>
            <w:r w:rsidRPr="00E16672">
              <w:rPr>
                <w:rFonts w:ascii="Times New Roman" w:hAnsi="Times New Roman"/>
                <w:color w:val="000000"/>
                <w:sz w:val="16"/>
              </w:rPr>
              <w:t xml:space="preserve"> </w:t>
            </w:r>
            <w:proofErr w:type="spellStart"/>
            <w:r w:rsidRPr="00E16672">
              <w:rPr>
                <w:rFonts w:ascii="Times New Roman" w:hAnsi="Times New Roman"/>
                <w:color w:val="000000"/>
                <w:sz w:val="16"/>
              </w:rPr>
              <w:t>on</w:t>
            </w:r>
            <w:proofErr w:type="spellEnd"/>
            <w:r w:rsidRPr="00E16672">
              <w:rPr>
                <w:rFonts w:ascii="Times New Roman" w:hAnsi="Times New Roman"/>
                <w:color w:val="000000"/>
                <w:sz w:val="16"/>
              </w:rPr>
              <w:t xml:space="preserve"> </w:t>
            </w:r>
            <w:proofErr w:type="spellStart"/>
            <w:r w:rsidRPr="00E16672">
              <w:rPr>
                <w:rFonts w:ascii="Times New Roman" w:hAnsi="Times New Roman"/>
                <w:color w:val="000000"/>
                <w:sz w:val="16"/>
              </w:rPr>
              <w:t>the</w:t>
            </w:r>
            <w:proofErr w:type="spellEnd"/>
            <w:r w:rsidRPr="00E16672">
              <w:rPr>
                <w:rFonts w:ascii="Times New Roman" w:hAnsi="Times New Roman"/>
                <w:color w:val="000000"/>
                <w:sz w:val="16"/>
              </w:rPr>
              <w:t xml:space="preserve"> </w:t>
            </w:r>
            <w:proofErr w:type="spellStart"/>
            <w:r w:rsidRPr="00E16672">
              <w:rPr>
                <w:rFonts w:ascii="Times New Roman" w:hAnsi="Times New Roman"/>
                <w:color w:val="000000"/>
                <w:sz w:val="16"/>
              </w:rPr>
              <w:t>basis</w:t>
            </w:r>
            <w:proofErr w:type="spellEnd"/>
            <w:r w:rsidRPr="00E16672">
              <w:rPr>
                <w:rFonts w:ascii="Times New Roman" w:hAnsi="Times New Roman"/>
                <w:color w:val="000000"/>
                <w:sz w:val="16"/>
              </w:rPr>
              <w:t xml:space="preserve"> </w:t>
            </w:r>
            <w:proofErr w:type="spellStart"/>
            <w:r w:rsidRPr="00E16672">
              <w:rPr>
                <w:rFonts w:ascii="Times New Roman" w:hAnsi="Times New Roman"/>
                <w:color w:val="000000"/>
                <w:sz w:val="16"/>
              </w:rPr>
              <w:t>of</w:t>
            </w:r>
            <w:proofErr w:type="spellEnd"/>
            <w:r w:rsidRPr="00E16672">
              <w:rPr>
                <w:rFonts w:ascii="Times New Roman" w:hAnsi="Times New Roman"/>
                <w:color w:val="000000"/>
                <w:sz w:val="16"/>
              </w:rPr>
              <w:t xml:space="preserve"> </w:t>
            </w:r>
            <w:r w:rsidRPr="00E16672">
              <w:rPr>
                <w:rFonts w:ascii="Times New Roman" w:hAnsi="Times New Roman"/>
                <w:color w:val="000000"/>
                <w:sz w:val="16"/>
                <w:lang w:val="en-US"/>
              </w:rPr>
              <w:t>Invoice</w:t>
            </w:r>
            <w:r w:rsidRPr="00E16672">
              <w:rPr>
                <w:rFonts w:ascii="Times New Roman" w:hAnsi="Times New Roman"/>
                <w:color w:val="000000"/>
              </w:rPr>
              <w:t xml:space="preserve"> </w:t>
            </w:r>
            <w:proofErr w:type="spellStart"/>
            <w:r w:rsidRPr="00E16672">
              <w:rPr>
                <w:rFonts w:ascii="Times New Roman" w:hAnsi="Times New Roman"/>
                <w:color w:val="000000"/>
                <w:sz w:val="16"/>
              </w:rPr>
              <w:t>of</w:t>
            </w:r>
            <w:proofErr w:type="spellEnd"/>
            <w:r w:rsidRPr="00E16672">
              <w:rPr>
                <w:rFonts w:ascii="Times New Roman" w:hAnsi="Times New Roman"/>
                <w:color w:val="000000"/>
                <w:sz w:val="16"/>
              </w:rPr>
              <w:t xml:space="preserve"> </w:t>
            </w:r>
            <w:proofErr w:type="spellStart"/>
            <w:r w:rsidRPr="00E16672">
              <w:rPr>
                <w:rFonts w:ascii="Times New Roman" w:hAnsi="Times New Roman"/>
                <w:color w:val="000000"/>
                <w:sz w:val="16"/>
              </w:rPr>
              <w:t>Depository</w:t>
            </w:r>
            <w:proofErr w:type="spellEnd"/>
            <w:r w:rsidRPr="00E16672">
              <w:rPr>
                <w:rFonts w:ascii="Times New Roman" w:hAnsi="Times New Roman"/>
                <w:color w:val="000000"/>
                <w:sz w:val="16"/>
              </w:rPr>
              <w:t xml:space="preserve"> </w:t>
            </w:r>
            <w:proofErr w:type="spellStart"/>
            <w:r w:rsidRPr="00E16672">
              <w:rPr>
                <w:rFonts w:ascii="Times New Roman" w:hAnsi="Times New Roman"/>
                <w:color w:val="000000"/>
                <w:sz w:val="16"/>
              </w:rPr>
              <w:t>institution</w:t>
            </w:r>
            <w:proofErr w:type="spellEnd"/>
            <w:r w:rsidRPr="00E16672">
              <w:rPr>
                <w:rFonts w:ascii="Times New Roman" w:hAnsi="Times New Roman"/>
                <w:color w:val="000000"/>
                <w:sz w:val="16"/>
              </w:rPr>
              <w:t xml:space="preserve"> </w:t>
            </w:r>
            <w:proofErr w:type="spellStart"/>
            <w:r w:rsidRPr="00E16672">
              <w:rPr>
                <w:rFonts w:ascii="Times New Roman" w:hAnsi="Times New Roman"/>
                <w:color w:val="000000"/>
                <w:sz w:val="16"/>
              </w:rPr>
              <w:t>or</w:t>
            </w:r>
            <w:proofErr w:type="spellEnd"/>
            <w:r w:rsidRPr="00E16672">
              <w:rPr>
                <w:rFonts w:ascii="Times New Roman" w:hAnsi="Times New Roman"/>
                <w:color w:val="000000"/>
                <w:sz w:val="16"/>
              </w:rPr>
              <w:t xml:space="preserve"> </w:t>
            </w:r>
            <w:proofErr w:type="spellStart"/>
            <w:r w:rsidRPr="00E16672">
              <w:rPr>
                <w:rFonts w:ascii="Times New Roman" w:hAnsi="Times New Roman"/>
                <w:color w:val="000000"/>
                <w:sz w:val="16"/>
              </w:rPr>
              <w:t>Invoice</w:t>
            </w:r>
            <w:proofErr w:type="spellEnd"/>
            <w:r w:rsidRPr="00E16672">
              <w:rPr>
                <w:rFonts w:ascii="Times New Roman" w:hAnsi="Times New Roman"/>
                <w:color w:val="000000"/>
                <w:sz w:val="16"/>
              </w:rPr>
              <w:t xml:space="preserve"> </w:t>
            </w:r>
            <w:proofErr w:type="spellStart"/>
            <w:r w:rsidRPr="00E16672">
              <w:rPr>
                <w:rFonts w:ascii="Times New Roman" w:hAnsi="Times New Roman"/>
                <w:color w:val="000000"/>
                <w:sz w:val="16"/>
              </w:rPr>
              <w:t>on</w:t>
            </w:r>
            <w:proofErr w:type="spellEnd"/>
            <w:r w:rsidRPr="00E16672">
              <w:rPr>
                <w:rFonts w:ascii="Times New Roman" w:hAnsi="Times New Roman"/>
                <w:color w:val="000000"/>
                <w:sz w:val="16"/>
              </w:rPr>
              <w:t xml:space="preserve"> </w:t>
            </w:r>
            <w:proofErr w:type="spellStart"/>
            <w:r w:rsidRPr="00E16672">
              <w:rPr>
                <w:rFonts w:ascii="Times New Roman" w:hAnsi="Times New Roman"/>
                <w:color w:val="000000"/>
                <w:sz w:val="16"/>
              </w:rPr>
              <w:t>essential</w:t>
            </w:r>
            <w:proofErr w:type="spellEnd"/>
            <w:r w:rsidRPr="00E16672">
              <w:rPr>
                <w:rFonts w:ascii="Times New Roman" w:hAnsi="Times New Roman"/>
                <w:color w:val="000000"/>
                <w:sz w:val="16"/>
              </w:rPr>
              <w:t xml:space="preserve"> </w:t>
            </w:r>
            <w:proofErr w:type="spellStart"/>
            <w:r w:rsidRPr="00E16672">
              <w:rPr>
                <w:rFonts w:ascii="Times New Roman" w:hAnsi="Times New Roman"/>
                <w:color w:val="000000"/>
                <w:sz w:val="16"/>
              </w:rPr>
              <w:t>elements</w:t>
            </w:r>
            <w:proofErr w:type="spellEnd"/>
            <w:r w:rsidRPr="00E16672">
              <w:rPr>
                <w:rFonts w:ascii="Times New Roman" w:hAnsi="Times New Roman"/>
                <w:color w:val="000000"/>
                <w:sz w:val="16"/>
              </w:rPr>
              <w:t xml:space="preserve">, </w:t>
            </w:r>
            <w:proofErr w:type="spellStart"/>
            <w:r w:rsidRPr="00E16672">
              <w:rPr>
                <w:rFonts w:ascii="Times New Roman" w:hAnsi="Times New Roman"/>
                <w:color w:val="000000"/>
                <w:sz w:val="16"/>
              </w:rPr>
              <w:t>indicated</w:t>
            </w:r>
            <w:proofErr w:type="spellEnd"/>
            <w:r w:rsidRPr="00E16672">
              <w:rPr>
                <w:rFonts w:ascii="Times New Roman" w:hAnsi="Times New Roman"/>
                <w:color w:val="000000"/>
                <w:sz w:val="16"/>
              </w:rPr>
              <w:t xml:space="preserve"> </w:t>
            </w:r>
            <w:proofErr w:type="spellStart"/>
            <w:r w:rsidRPr="00E16672">
              <w:rPr>
                <w:rFonts w:ascii="Times New Roman" w:hAnsi="Times New Roman"/>
                <w:color w:val="000000"/>
                <w:sz w:val="16"/>
              </w:rPr>
              <w:t>in</w:t>
            </w:r>
            <w:proofErr w:type="spellEnd"/>
            <w:r w:rsidRPr="00E16672">
              <w:rPr>
                <w:rFonts w:ascii="Times New Roman" w:hAnsi="Times New Roman"/>
                <w:color w:val="000000"/>
                <w:sz w:val="16"/>
              </w:rPr>
              <w:t xml:space="preserve"> </w:t>
            </w:r>
            <w:proofErr w:type="spellStart"/>
            <w:r w:rsidRPr="00E16672">
              <w:rPr>
                <w:rFonts w:ascii="Times New Roman" w:hAnsi="Times New Roman"/>
                <w:color w:val="000000"/>
                <w:sz w:val="16"/>
                <w:lang w:val="en-US"/>
              </w:rPr>
              <w:t>i</w:t>
            </w:r>
            <w:r w:rsidRPr="00E16672">
              <w:rPr>
                <w:rFonts w:ascii="Times New Roman" w:hAnsi="Times New Roman"/>
                <w:color w:val="000000"/>
                <w:sz w:val="16"/>
              </w:rPr>
              <w:t>nvoice</w:t>
            </w:r>
            <w:proofErr w:type="spellEnd"/>
            <w:r w:rsidRPr="00E16672">
              <w:rPr>
                <w:rFonts w:ascii="Times New Roman" w:hAnsi="Times New Roman"/>
                <w:color w:val="000000"/>
                <w:sz w:val="16"/>
              </w:rPr>
              <w:t xml:space="preserve">. </w:t>
            </w:r>
          </w:p>
          <w:p w14:paraId="122E76C8" w14:textId="77777777" w:rsidR="005C5318" w:rsidRPr="00E16672" w:rsidRDefault="005C5318" w:rsidP="005C5318">
            <w:pPr>
              <w:pStyle w:val="210"/>
              <w:tabs>
                <w:tab w:val="left" w:pos="182"/>
                <w:tab w:val="left" w:pos="287"/>
                <w:tab w:val="left" w:pos="1191"/>
              </w:tabs>
              <w:snapToGrid w:val="0"/>
              <w:ind w:left="145" w:right="100" w:firstLine="7"/>
              <w:rPr>
                <w:rFonts w:ascii="Times New Roman" w:hAnsi="Times New Roman"/>
                <w:sz w:val="16"/>
                <w:szCs w:val="16"/>
                <w:lang w:val="en-GB"/>
              </w:rPr>
            </w:pPr>
            <w:r w:rsidRPr="00E16672">
              <w:rPr>
                <w:rFonts w:ascii="Times New Roman" w:hAnsi="Times New Roman"/>
                <w:color w:val="000000"/>
                <w:sz w:val="16"/>
                <w:lang w:val="en-GB"/>
              </w:rPr>
              <w:t>Payment for the Depository institution services according to this Agreement and the tariffs of the Depository institution is made in ____________</w:t>
            </w:r>
            <w:proofErr w:type="gramStart"/>
            <w:r w:rsidRPr="00E16672">
              <w:rPr>
                <w:rFonts w:ascii="Times New Roman" w:hAnsi="Times New Roman"/>
                <w:color w:val="000000"/>
                <w:sz w:val="16"/>
                <w:lang w:val="en-GB"/>
              </w:rPr>
              <w:t>_(</w:t>
            </w:r>
            <w:proofErr w:type="gramEnd"/>
            <w:r w:rsidRPr="00E16672">
              <w:rPr>
                <w:rFonts w:ascii="Times New Roman" w:hAnsi="Times New Roman"/>
                <w:i/>
                <w:color w:val="000000"/>
                <w:sz w:val="16"/>
                <w:lang w:val="en-GB"/>
              </w:rPr>
              <w:t>USD/EUR/ other currency</w:t>
            </w:r>
            <w:r w:rsidRPr="00E16672">
              <w:rPr>
                <w:rFonts w:ascii="Times New Roman" w:hAnsi="Times New Roman"/>
                <w:color w:val="000000"/>
                <w:sz w:val="16"/>
                <w:lang w:val="en-GB"/>
              </w:rPr>
              <w:t xml:space="preserve">) on the basis of NBU rate on </w:t>
            </w:r>
            <w:r w:rsidRPr="00E16672">
              <w:rPr>
                <w:rFonts w:ascii="Times New Roman" w:hAnsi="Times New Roman"/>
                <w:color w:val="000000"/>
                <w:sz w:val="16"/>
                <w:lang w:val="en-US"/>
              </w:rPr>
              <w:t>Invoice</w:t>
            </w:r>
            <w:r w:rsidRPr="00E16672">
              <w:rPr>
                <w:rFonts w:ascii="Times New Roman" w:hAnsi="Times New Roman"/>
                <w:color w:val="000000"/>
              </w:rPr>
              <w:t>’</w:t>
            </w:r>
            <w:r w:rsidRPr="00E16672">
              <w:rPr>
                <w:rFonts w:ascii="Times New Roman" w:hAnsi="Times New Roman"/>
                <w:color w:val="000000"/>
                <w:sz w:val="16"/>
                <w:lang w:val="en-US"/>
              </w:rPr>
              <w:t>s</w:t>
            </w:r>
            <w:r w:rsidRPr="00E16672">
              <w:rPr>
                <w:rFonts w:ascii="Times New Roman" w:hAnsi="Times New Roman"/>
                <w:color w:val="000000"/>
              </w:rPr>
              <w:t xml:space="preserve"> </w:t>
            </w:r>
            <w:r w:rsidRPr="00E16672">
              <w:rPr>
                <w:rFonts w:ascii="Times New Roman" w:hAnsi="Times New Roman"/>
                <w:color w:val="000000"/>
                <w:sz w:val="16"/>
                <w:lang w:val="en-GB"/>
              </w:rPr>
              <w:t>date.</w:t>
            </w:r>
          </w:p>
        </w:tc>
      </w:tr>
      <w:tr w:rsidR="005C5318" w:rsidRPr="00F23413" w14:paraId="550091E5" w14:textId="77777777" w:rsidTr="005E418B">
        <w:trPr>
          <w:trHeight w:val="192"/>
        </w:trPr>
        <w:tc>
          <w:tcPr>
            <w:tcW w:w="5695" w:type="dxa"/>
            <w:gridSpan w:val="6"/>
            <w:shd w:val="clear" w:color="auto" w:fill="auto"/>
          </w:tcPr>
          <w:p w14:paraId="6FEC06E7" w14:textId="77777777" w:rsidR="005C5318" w:rsidRPr="00E16672" w:rsidRDefault="005C5318" w:rsidP="005C5318">
            <w:pPr>
              <w:pStyle w:val="32"/>
              <w:tabs>
                <w:tab w:val="left" w:pos="654"/>
              </w:tabs>
              <w:snapToGrid w:val="0"/>
              <w:spacing w:before="57" w:after="57"/>
              <w:ind w:left="142" w:right="57" w:firstLine="0"/>
              <w:rPr>
                <w:rFonts w:ascii="Times New Roman" w:hAnsi="Times New Roman"/>
                <w:color w:val="000000"/>
                <w:sz w:val="16"/>
                <w:szCs w:val="16"/>
                <w:lang w:val="uk-UA"/>
              </w:rPr>
            </w:pPr>
            <w:r w:rsidRPr="00E16672">
              <w:rPr>
                <w:rFonts w:ascii="Times New Roman" w:hAnsi="Times New Roman"/>
                <w:sz w:val="16"/>
                <w:szCs w:val="16"/>
              </w:rPr>
              <w:t xml:space="preserve">4.3. </w:t>
            </w:r>
            <w:r w:rsidRPr="00E16672">
              <w:rPr>
                <w:rFonts w:ascii="Times New Roman" w:hAnsi="Times New Roman"/>
                <w:color w:val="000000"/>
                <w:sz w:val="16"/>
                <w:szCs w:val="16"/>
                <w:lang w:val="uk-UA"/>
              </w:rPr>
              <w:t xml:space="preserve">Підтвердженням виконання послуг </w:t>
            </w:r>
            <w:proofErr w:type="spellStart"/>
            <w:r w:rsidRPr="00E16672">
              <w:rPr>
                <w:rFonts w:ascii="Times New Roman" w:hAnsi="Times New Roman"/>
                <w:color w:val="000000"/>
                <w:sz w:val="16"/>
                <w:szCs w:val="16"/>
              </w:rPr>
              <w:t>Депозитарної</w:t>
            </w:r>
            <w:proofErr w:type="spellEnd"/>
            <w:r w:rsidRPr="00E16672">
              <w:rPr>
                <w:rFonts w:ascii="Times New Roman" w:hAnsi="Times New Roman"/>
                <w:color w:val="000000"/>
                <w:sz w:val="16"/>
                <w:szCs w:val="16"/>
              </w:rPr>
              <w:t xml:space="preserve"> установи</w:t>
            </w:r>
            <w:r w:rsidRPr="00E16672">
              <w:rPr>
                <w:rFonts w:ascii="Times New Roman" w:hAnsi="Times New Roman"/>
                <w:bCs/>
                <w:color w:val="000000"/>
                <w:sz w:val="16"/>
                <w:szCs w:val="16"/>
              </w:rPr>
              <w:t xml:space="preserve"> </w:t>
            </w:r>
            <w:r w:rsidRPr="00E16672">
              <w:rPr>
                <w:rFonts w:ascii="Times New Roman" w:hAnsi="Times New Roman"/>
                <w:color w:val="000000"/>
                <w:sz w:val="16"/>
                <w:szCs w:val="16"/>
                <w:lang w:val="uk-UA"/>
              </w:rPr>
              <w:t xml:space="preserve">є Рахунок, який складається на останній день кварталу, підписується </w:t>
            </w:r>
            <w:r w:rsidRPr="00E16672">
              <w:rPr>
                <w:rFonts w:ascii="Times New Roman" w:hAnsi="Times New Roman"/>
                <w:color w:val="000000"/>
                <w:sz w:val="16"/>
                <w:szCs w:val="16"/>
              </w:rPr>
              <w:t xml:space="preserve">Депозитарною </w:t>
            </w:r>
            <w:proofErr w:type="spellStart"/>
            <w:r w:rsidRPr="00E16672">
              <w:rPr>
                <w:rFonts w:ascii="Times New Roman" w:hAnsi="Times New Roman"/>
                <w:color w:val="000000"/>
                <w:sz w:val="16"/>
                <w:szCs w:val="16"/>
              </w:rPr>
              <w:t>установою</w:t>
            </w:r>
            <w:proofErr w:type="spellEnd"/>
            <w:r w:rsidRPr="00E16672">
              <w:rPr>
                <w:rFonts w:ascii="Times New Roman" w:hAnsi="Times New Roman"/>
                <w:bCs/>
                <w:color w:val="000000"/>
                <w:sz w:val="16"/>
                <w:szCs w:val="16"/>
              </w:rPr>
              <w:t xml:space="preserve"> </w:t>
            </w:r>
            <w:r w:rsidRPr="00E16672">
              <w:rPr>
                <w:rFonts w:ascii="Times New Roman" w:hAnsi="Times New Roman"/>
                <w:color w:val="000000"/>
                <w:sz w:val="16"/>
                <w:szCs w:val="16"/>
                <w:lang w:val="uk-UA"/>
              </w:rPr>
              <w:t>та подається Депоненту особисто або направляється поштою (або іншим способом за домовленістю з Депонентом)</w:t>
            </w:r>
            <w:r w:rsidRPr="00E16672">
              <w:rPr>
                <w:rFonts w:ascii="Times New Roman" w:hAnsi="Times New Roman"/>
                <w:color w:val="000000"/>
                <w:sz w:val="24"/>
                <w:szCs w:val="24"/>
                <w:lang w:val="uk-UA"/>
              </w:rPr>
              <w:t xml:space="preserve"> </w:t>
            </w:r>
            <w:r w:rsidRPr="00E16672">
              <w:rPr>
                <w:rFonts w:ascii="Times New Roman" w:hAnsi="Times New Roman"/>
                <w:color w:val="000000"/>
                <w:sz w:val="16"/>
                <w:szCs w:val="16"/>
                <w:lang w:val="uk-UA"/>
              </w:rPr>
              <w:t xml:space="preserve">протягом не більше </w:t>
            </w:r>
            <w:r w:rsidRPr="00E16672">
              <w:rPr>
                <w:rFonts w:ascii="Times New Roman" w:hAnsi="Times New Roman"/>
                <w:i/>
                <w:iCs/>
                <w:color w:val="000000"/>
                <w:sz w:val="16"/>
                <w:szCs w:val="16"/>
                <w:lang w:val="uk-UA"/>
              </w:rPr>
              <w:t>двадцяти</w:t>
            </w:r>
            <w:r w:rsidRPr="00E16672">
              <w:rPr>
                <w:rFonts w:ascii="Times New Roman" w:hAnsi="Times New Roman"/>
                <w:color w:val="000000"/>
                <w:sz w:val="16"/>
                <w:szCs w:val="16"/>
                <w:lang w:val="uk-UA"/>
              </w:rPr>
              <w:t xml:space="preserve"> робочих днів.</w:t>
            </w:r>
          </w:p>
          <w:p w14:paraId="4CD1D230" w14:textId="77777777" w:rsidR="005C5318" w:rsidRPr="00E16672" w:rsidRDefault="005C5318" w:rsidP="005C5318">
            <w:pPr>
              <w:pStyle w:val="310"/>
              <w:tabs>
                <w:tab w:val="left" w:pos="182"/>
              </w:tabs>
              <w:snapToGrid w:val="0"/>
              <w:ind w:left="175" w:right="138" w:firstLine="7"/>
              <w:rPr>
                <w:rFonts w:ascii="Times New Roman" w:hAnsi="Times New Roman"/>
                <w:color w:val="0000FF"/>
                <w:sz w:val="16"/>
                <w:szCs w:val="16"/>
              </w:rPr>
            </w:pPr>
            <w:r w:rsidRPr="00E16672">
              <w:rPr>
                <w:rFonts w:ascii="Times New Roman" w:hAnsi="Times New Roman"/>
                <w:color w:val="000000"/>
                <w:sz w:val="16"/>
                <w:szCs w:val="16"/>
              </w:rPr>
              <w:t>Рахунок може бути підписаний Депозитарною установою за допомогою кваліфікованого електронного підпису</w:t>
            </w:r>
            <w:r w:rsidRPr="00E16672">
              <w:rPr>
                <w:rFonts w:ascii="Times New Roman" w:hAnsi="Times New Roman"/>
                <w:color w:val="0000FF"/>
                <w:sz w:val="16"/>
                <w:szCs w:val="16"/>
              </w:rPr>
              <w:t>.</w:t>
            </w:r>
          </w:p>
          <w:p w14:paraId="28796876" w14:textId="77777777" w:rsidR="005C5318" w:rsidRPr="00E16672" w:rsidRDefault="005C5318" w:rsidP="005C5318">
            <w:pPr>
              <w:pStyle w:val="310"/>
              <w:tabs>
                <w:tab w:val="left" w:pos="182"/>
              </w:tabs>
              <w:snapToGrid w:val="0"/>
              <w:ind w:left="175" w:right="138" w:firstLine="7"/>
              <w:rPr>
                <w:rFonts w:ascii="Times New Roman" w:hAnsi="Times New Roman"/>
                <w:sz w:val="16"/>
                <w:szCs w:val="16"/>
              </w:rPr>
            </w:pPr>
          </w:p>
        </w:tc>
        <w:tc>
          <w:tcPr>
            <w:tcW w:w="5495" w:type="dxa"/>
            <w:gridSpan w:val="6"/>
            <w:shd w:val="clear" w:color="auto" w:fill="auto"/>
          </w:tcPr>
          <w:p w14:paraId="54A9355B" w14:textId="77777777" w:rsidR="005C5318" w:rsidRPr="00E16672" w:rsidRDefault="005C5318" w:rsidP="005C5318">
            <w:pPr>
              <w:snapToGrid w:val="0"/>
              <w:spacing w:before="57" w:after="57"/>
              <w:ind w:left="142" w:right="57" w:firstLine="0"/>
              <w:rPr>
                <w:rFonts w:ascii="Times New Roman" w:hAnsi="Times New Roman"/>
                <w:color w:val="000000"/>
                <w:sz w:val="16"/>
                <w:szCs w:val="16"/>
                <w:lang w:val="en-US"/>
              </w:rPr>
            </w:pPr>
            <w:r w:rsidRPr="00E16672">
              <w:rPr>
                <w:rFonts w:ascii="Times New Roman" w:hAnsi="Times New Roman"/>
                <w:sz w:val="16"/>
                <w:szCs w:val="16"/>
                <w:lang w:val="en-GB"/>
              </w:rPr>
              <w:t xml:space="preserve">4.3. </w:t>
            </w:r>
            <w:r w:rsidRPr="00E16672">
              <w:rPr>
                <w:rFonts w:ascii="Times New Roman" w:hAnsi="Times New Roman"/>
                <w:color w:val="000000"/>
                <w:sz w:val="16"/>
                <w:szCs w:val="16"/>
                <w:lang w:val="en-GB"/>
              </w:rPr>
              <w:t xml:space="preserve">Confirmation of implementation of services of Depository </w:t>
            </w:r>
            <w:proofErr w:type="gramStart"/>
            <w:r w:rsidRPr="00E16672">
              <w:rPr>
                <w:rFonts w:ascii="Times New Roman" w:hAnsi="Times New Roman"/>
                <w:color w:val="000000"/>
                <w:sz w:val="16"/>
                <w:szCs w:val="16"/>
                <w:lang w:val="en-GB"/>
              </w:rPr>
              <w:t>institution  is</w:t>
            </w:r>
            <w:proofErr w:type="gramEnd"/>
            <w:r w:rsidRPr="00E16672">
              <w:rPr>
                <w:rFonts w:ascii="Times New Roman" w:hAnsi="Times New Roman"/>
                <w:color w:val="000000"/>
                <w:sz w:val="16"/>
                <w:szCs w:val="16"/>
                <w:lang w:val="en-GB"/>
              </w:rPr>
              <w:t xml:space="preserve"> a</w:t>
            </w:r>
            <w:r w:rsidRPr="00E16672">
              <w:rPr>
                <w:rFonts w:ascii="Times New Roman" w:hAnsi="Times New Roman"/>
                <w:color w:val="000000"/>
                <w:sz w:val="16"/>
                <w:szCs w:val="16"/>
                <w:lang w:val="en-US"/>
              </w:rPr>
              <w:t>n Invoice</w:t>
            </w:r>
            <w:r w:rsidRPr="00E16672">
              <w:rPr>
                <w:rFonts w:ascii="Times New Roman" w:hAnsi="Times New Roman"/>
                <w:color w:val="000000"/>
                <w:sz w:val="16"/>
                <w:szCs w:val="16"/>
                <w:lang w:val="en-GB"/>
              </w:rPr>
              <w:t xml:space="preserve">, which is folded on the closing date of quarter, signs by Depository institution and gives to Depositor </w:t>
            </w:r>
            <w:r w:rsidRPr="00E16672">
              <w:rPr>
                <w:rFonts w:ascii="Times New Roman" w:hAnsi="Times New Roman"/>
                <w:color w:val="000000"/>
                <w:sz w:val="16"/>
                <w:szCs w:val="16"/>
                <w:lang w:val="en-US"/>
              </w:rPr>
              <w:t xml:space="preserve">in person or sent by post </w:t>
            </w:r>
            <w:r w:rsidRPr="00E16672">
              <w:rPr>
                <w:rFonts w:ascii="Times New Roman" w:hAnsi="Times New Roman"/>
                <w:color w:val="000000"/>
                <w:sz w:val="16"/>
                <w:szCs w:val="16"/>
                <w:lang w:val="en-GB"/>
              </w:rPr>
              <w:t>(or another way by understanding with the Depositor)</w:t>
            </w:r>
            <w:r w:rsidRPr="00E16672">
              <w:rPr>
                <w:rFonts w:ascii="Times New Roman" w:hAnsi="Times New Roman"/>
                <w:color w:val="000000"/>
                <w:sz w:val="16"/>
                <w:szCs w:val="16"/>
                <w:lang w:val="en-US"/>
              </w:rPr>
              <w:t xml:space="preserve"> not more than </w:t>
            </w:r>
            <w:r w:rsidRPr="00E16672">
              <w:rPr>
                <w:rFonts w:ascii="Times New Roman" w:hAnsi="Times New Roman"/>
                <w:i/>
                <w:iCs/>
                <w:color w:val="000000"/>
                <w:sz w:val="16"/>
                <w:szCs w:val="16"/>
                <w:lang w:val="en-US"/>
              </w:rPr>
              <w:t>twenty</w:t>
            </w:r>
            <w:r w:rsidRPr="00E16672">
              <w:rPr>
                <w:rFonts w:ascii="Times New Roman" w:hAnsi="Times New Roman"/>
                <w:color w:val="000000"/>
                <w:sz w:val="16"/>
                <w:szCs w:val="16"/>
                <w:lang w:val="en-US"/>
              </w:rPr>
              <w:t xml:space="preserve">  working days from the date of signing.</w:t>
            </w:r>
          </w:p>
          <w:p w14:paraId="7A70D0A0" w14:textId="77777777" w:rsidR="005C5318" w:rsidRPr="00E16672" w:rsidRDefault="005C5318" w:rsidP="00E07589">
            <w:pPr>
              <w:tabs>
                <w:tab w:val="left" w:pos="182"/>
                <w:tab w:val="left" w:pos="287"/>
              </w:tabs>
              <w:snapToGrid w:val="0"/>
              <w:ind w:left="145" w:right="100" w:firstLine="7"/>
              <w:rPr>
                <w:rFonts w:ascii="Times New Roman" w:hAnsi="Times New Roman"/>
                <w:sz w:val="16"/>
                <w:szCs w:val="16"/>
                <w:lang w:val="en-US"/>
              </w:rPr>
            </w:pPr>
            <w:r w:rsidRPr="00E16672">
              <w:rPr>
                <w:rFonts w:ascii="Times New Roman" w:hAnsi="Times New Roman"/>
                <w:color w:val="000000"/>
                <w:sz w:val="16"/>
                <w:szCs w:val="16"/>
                <w:lang w:val="en-GB"/>
              </w:rPr>
              <w:t xml:space="preserve">Invoice can be signed by the Depository institution with an electronic </w:t>
            </w:r>
            <w:r w:rsidR="00E07589" w:rsidRPr="00E16672">
              <w:rPr>
                <w:rFonts w:ascii="Times New Roman" w:hAnsi="Times New Roman"/>
                <w:color w:val="000000"/>
                <w:sz w:val="16"/>
                <w:szCs w:val="16"/>
                <w:shd w:val="clear" w:color="auto" w:fill="FFFFFF"/>
                <w:lang w:val="en-GB"/>
              </w:rPr>
              <w:t>qualified</w:t>
            </w:r>
            <w:r w:rsidR="00E07589" w:rsidRPr="00E16672">
              <w:rPr>
                <w:rFonts w:ascii="Times New Roman" w:hAnsi="Times New Roman"/>
                <w:color w:val="000000"/>
                <w:sz w:val="16"/>
                <w:szCs w:val="16"/>
                <w:lang w:val="en-GB"/>
              </w:rPr>
              <w:t xml:space="preserve"> </w:t>
            </w:r>
            <w:r w:rsidRPr="00E16672">
              <w:rPr>
                <w:rFonts w:ascii="Times New Roman" w:hAnsi="Times New Roman"/>
                <w:color w:val="000000"/>
                <w:sz w:val="16"/>
                <w:szCs w:val="16"/>
                <w:lang w:val="en-GB"/>
              </w:rPr>
              <w:t>signature</w:t>
            </w:r>
            <w:r w:rsidRPr="00E16672">
              <w:rPr>
                <w:rFonts w:ascii="Times New Roman" w:hAnsi="Times New Roman"/>
                <w:color w:val="000000"/>
                <w:sz w:val="16"/>
                <w:szCs w:val="16"/>
                <w:shd w:val="clear" w:color="auto" w:fill="FFFFFF"/>
                <w:lang w:val="uk-UA"/>
              </w:rPr>
              <w:t>.</w:t>
            </w:r>
          </w:p>
        </w:tc>
      </w:tr>
      <w:tr w:rsidR="005C5318" w:rsidRPr="00F23413" w14:paraId="2F62018C" w14:textId="77777777" w:rsidTr="005E418B">
        <w:trPr>
          <w:trHeight w:val="192"/>
        </w:trPr>
        <w:tc>
          <w:tcPr>
            <w:tcW w:w="5695" w:type="dxa"/>
            <w:gridSpan w:val="6"/>
            <w:shd w:val="clear" w:color="auto" w:fill="auto"/>
          </w:tcPr>
          <w:p w14:paraId="11E9DD21" w14:textId="77777777" w:rsidR="005C5318" w:rsidRPr="00E16672" w:rsidRDefault="005C5318" w:rsidP="005C5318">
            <w:pPr>
              <w:pStyle w:val="310"/>
              <w:tabs>
                <w:tab w:val="left" w:pos="182"/>
              </w:tabs>
              <w:ind w:left="175" w:right="138" w:firstLine="7"/>
              <w:rPr>
                <w:rFonts w:ascii="Times New Roman" w:hAnsi="Times New Roman"/>
                <w:color w:val="000000"/>
                <w:sz w:val="16"/>
                <w:szCs w:val="16"/>
              </w:rPr>
            </w:pPr>
            <w:r w:rsidRPr="00E16672">
              <w:rPr>
                <w:rFonts w:ascii="Times New Roman" w:hAnsi="Times New Roman"/>
                <w:color w:val="000000"/>
                <w:sz w:val="16"/>
                <w:szCs w:val="16"/>
              </w:rPr>
              <w:t xml:space="preserve">4.4. Плата вноситься Депонентом у безготівковій формі протягом </w:t>
            </w:r>
            <w:r w:rsidRPr="00E16672">
              <w:rPr>
                <w:rFonts w:ascii="Times New Roman" w:hAnsi="Times New Roman"/>
                <w:i/>
                <w:color w:val="000000"/>
                <w:sz w:val="16"/>
                <w:szCs w:val="16"/>
              </w:rPr>
              <w:t>в</w:t>
            </w:r>
            <w:r w:rsidR="00E07589" w:rsidRPr="00E16672">
              <w:rPr>
                <w:rFonts w:ascii="Times New Roman" w:hAnsi="Times New Roman"/>
                <w:i/>
                <w:color w:val="000000"/>
                <w:sz w:val="16"/>
                <w:szCs w:val="16"/>
              </w:rPr>
              <w:t>і</w:t>
            </w:r>
            <w:r w:rsidRPr="00E16672">
              <w:rPr>
                <w:rFonts w:ascii="Times New Roman" w:hAnsi="Times New Roman"/>
                <w:i/>
                <w:color w:val="000000"/>
                <w:sz w:val="16"/>
                <w:szCs w:val="16"/>
              </w:rPr>
              <w:t>с</w:t>
            </w:r>
            <w:r w:rsidR="00E07589" w:rsidRPr="00E16672">
              <w:rPr>
                <w:rFonts w:ascii="Times New Roman" w:hAnsi="Times New Roman"/>
                <w:i/>
                <w:color w:val="000000"/>
                <w:sz w:val="16"/>
                <w:szCs w:val="16"/>
              </w:rPr>
              <w:t>і</w:t>
            </w:r>
            <w:r w:rsidRPr="00E16672">
              <w:rPr>
                <w:rFonts w:ascii="Times New Roman" w:hAnsi="Times New Roman"/>
                <w:i/>
                <w:color w:val="000000"/>
                <w:sz w:val="16"/>
                <w:szCs w:val="16"/>
              </w:rPr>
              <w:t>мдесяти календарних днів</w:t>
            </w:r>
            <w:r w:rsidRPr="00E16672">
              <w:rPr>
                <w:rFonts w:ascii="Times New Roman" w:hAnsi="Times New Roman"/>
                <w:color w:val="000000"/>
                <w:sz w:val="16"/>
                <w:szCs w:val="16"/>
              </w:rPr>
              <w:t xml:space="preserve"> з дня підписання рахунку Депозитарною установою шляхом перерахування грошових коштів на рахунок Депозитарної установи за реквізитами, вказаними Депозитарною установою. Операція закриття рахунку </w:t>
            </w:r>
            <w:r w:rsidR="00C22309" w:rsidRPr="00E16672">
              <w:rPr>
                <w:rFonts w:ascii="Times New Roman" w:hAnsi="Times New Roman"/>
                <w:color w:val="000000"/>
                <w:sz w:val="16"/>
                <w:szCs w:val="16"/>
              </w:rPr>
              <w:t>в цін</w:t>
            </w:r>
            <w:r w:rsidRPr="00E16672">
              <w:rPr>
                <w:rFonts w:ascii="Times New Roman" w:hAnsi="Times New Roman"/>
                <w:color w:val="000000"/>
                <w:sz w:val="16"/>
                <w:szCs w:val="16"/>
              </w:rPr>
              <w:t xml:space="preserve">них паперах повинна бути оплачена до виконання цієї послуги.  </w:t>
            </w:r>
          </w:p>
          <w:p w14:paraId="53D4F3C8" w14:textId="77777777" w:rsidR="005C5318" w:rsidRPr="00E16672" w:rsidRDefault="005C5318" w:rsidP="005C5318">
            <w:pPr>
              <w:pStyle w:val="310"/>
              <w:tabs>
                <w:tab w:val="left" w:pos="182"/>
              </w:tabs>
              <w:ind w:left="175" w:right="138" w:firstLine="7"/>
              <w:rPr>
                <w:rFonts w:ascii="Times New Roman" w:hAnsi="Times New Roman"/>
                <w:color w:val="000000"/>
                <w:sz w:val="16"/>
                <w:szCs w:val="16"/>
              </w:rPr>
            </w:pPr>
          </w:p>
        </w:tc>
        <w:tc>
          <w:tcPr>
            <w:tcW w:w="5495" w:type="dxa"/>
            <w:gridSpan w:val="6"/>
            <w:shd w:val="clear" w:color="auto" w:fill="auto"/>
          </w:tcPr>
          <w:p w14:paraId="2B9933B9" w14:textId="77777777" w:rsidR="005C5318" w:rsidRPr="00E16672" w:rsidRDefault="005C5318" w:rsidP="005C5318">
            <w:pPr>
              <w:tabs>
                <w:tab w:val="left" w:pos="182"/>
                <w:tab w:val="left" w:pos="287"/>
              </w:tabs>
              <w:snapToGrid w:val="0"/>
              <w:ind w:left="175" w:right="138" w:firstLine="7"/>
              <w:rPr>
                <w:rFonts w:ascii="Times New Roman" w:hAnsi="Times New Roman"/>
                <w:bCs/>
                <w:color w:val="000000"/>
                <w:sz w:val="16"/>
                <w:szCs w:val="16"/>
                <w:lang w:val="en-GB"/>
              </w:rPr>
            </w:pPr>
            <w:r w:rsidRPr="00E16672">
              <w:rPr>
                <w:rFonts w:ascii="Times New Roman" w:hAnsi="Times New Roman"/>
                <w:color w:val="000000"/>
                <w:sz w:val="16"/>
                <w:szCs w:val="16"/>
                <w:lang w:val="en-GB"/>
              </w:rPr>
              <w:t xml:space="preserve">4.4. A pay is brought by Depositor in cashless form till </w:t>
            </w:r>
            <w:r w:rsidRPr="00E16672">
              <w:rPr>
                <w:rFonts w:ascii="Times New Roman" w:hAnsi="Times New Roman"/>
                <w:i/>
                <w:color w:val="000000"/>
                <w:sz w:val="16"/>
                <w:szCs w:val="16"/>
                <w:lang w:val="en-US"/>
              </w:rPr>
              <w:t>eighty</w:t>
            </w:r>
            <w:r w:rsidRPr="00E16672">
              <w:rPr>
                <w:rFonts w:ascii="Times New Roman" w:hAnsi="Times New Roman"/>
                <w:i/>
                <w:color w:val="000000"/>
                <w:sz w:val="16"/>
                <w:szCs w:val="16"/>
                <w:lang w:val="en-GB"/>
              </w:rPr>
              <w:t xml:space="preserve"> calendar days</w:t>
            </w:r>
            <w:r w:rsidRPr="00E16672">
              <w:rPr>
                <w:rFonts w:ascii="Times New Roman" w:hAnsi="Times New Roman"/>
                <w:color w:val="000000"/>
                <w:sz w:val="16"/>
                <w:szCs w:val="16"/>
                <w:lang w:val="en-GB"/>
              </w:rPr>
              <w:t xml:space="preserve"> from the day of </w:t>
            </w:r>
            <w:proofErr w:type="gramStart"/>
            <w:r w:rsidRPr="00E16672">
              <w:rPr>
                <w:rFonts w:ascii="Times New Roman" w:hAnsi="Times New Roman"/>
                <w:color w:val="000000"/>
                <w:sz w:val="16"/>
                <w:szCs w:val="16"/>
                <w:lang w:val="en-GB"/>
              </w:rPr>
              <w:t>signing  the</w:t>
            </w:r>
            <w:proofErr w:type="gramEnd"/>
            <w:r w:rsidRPr="00E16672">
              <w:rPr>
                <w:rFonts w:ascii="Times New Roman" w:hAnsi="Times New Roman"/>
                <w:color w:val="000000"/>
                <w:sz w:val="16"/>
                <w:szCs w:val="16"/>
                <w:lang w:val="en-GB"/>
              </w:rPr>
              <w:t xml:space="preserve">  </w:t>
            </w:r>
            <w:r w:rsidRPr="00E16672">
              <w:rPr>
                <w:rFonts w:ascii="Times New Roman" w:hAnsi="Times New Roman"/>
                <w:color w:val="000000"/>
                <w:sz w:val="16"/>
                <w:szCs w:val="16"/>
                <w:lang w:val="en-US"/>
              </w:rPr>
              <w:t xml:space="preserve">the Invoice </w:t>
            </w:r>
            <w:r w:rsidRPr="00E16672">
              <w:rPr>
                <w:rFonts w:ascii="Times New Roman" w:hAnsi="Times New Roman"/>
                <w:color w:val="000000"/>
                <w:sz w:val="16"/>
                <w:szCs w:val="16"/>
                <w:lang w:val="en-GB"/>
              </w:rPr>
              <w:t>by Depositary institution</w:t>
            </w:r>
            <w:r w:rsidRPr="00E16672">
              <w:rPr>
                <w:rFonts w:ascii="Times New Roman" w:hAnsi="Times New Roman"/>
                <w:color w:val="000000"/>
                <w:sz w:val="16"/>
                <w:szCs w:val="16"/>
                <w:lang w:val="en-US"/>
              </w:rPr>
              <w:t xml:space="preserve"> </w:t>
            </w:r>
            <w:r w:rsidRPr="00E16672">
              <w:rPr>
                <w:rFonts w:ascii="Times New Roman" w:hAnsi="Times New Roman"/>
                <w:color w:val="000000"/>
                <w:sz w:val="16"/>
                <w:szCs w:val="16"/>
                <w:lang w:val="en-GB"/>
              </w:rPr>
              <w:t xml:space="preserve">by transfer funds  on the account of the Depository institution after for details, indicated by Depository institution.  Operation </w:t>
            </w:r>
            <w:proofErr w:type="gramStart"/>
            <w:r w:rsidRPr="00E16672">
              <w:rPr>
                <w:rFonts w:ascii="Times New Roman" w:hAnsi="Times New Roman"/>
                <w:color w:val="000000"/>
                <w:sz w:val="16"/>
                <w:szCs w:val="16"/>
                <w:lang w:val="en-GB"/>
              </w:rPr>
              <w:t>of  closing</w:t>
            </w:r>
            <w:proofErr w:type="gramEnd"/>
            <w:r w:rsidRPr="00E16672">
              <w:rPr>
                <w:rFonts w:ascii="Times New Roman" w:hAnsi="Times New Roman"/>
                <w:color w:val="000000"/>
                <w:sz w:val="16"/>
                <w:szCs w:val="16"/>
                <w:lang w:val="en-GB"/>
              </w:rPr>
              <w:t xml:space="preserve">  an account in securities has to be paid till  the fulfilling this service.</w:t>
            </w:r>
          </w:p>
        </w:tc>
      </w:tr>
      <w:tr w:rsidR="005C5318" w:rsidRPr="00F23413" w14:paraId="37F34CD5" w14:textId="77777777" w:rsidTr="005E418B">
        <w:trPr>
          <w:trHeight w:val="192"/>
        </w:trPr>
        <w:tc>
          <w:tcPr>
            <w:tcW w:w="5695" w:type="dxa"/>
            <w:gridSpan w:val="6"/>
            <w:shd w:val="clear" w:color="auto" w:fill="auto"/>
          </w:tcPr>
          <w:p w14:paraId="5DE21A52" w14:textId="77777777" w:rsidR="005C5318" w:rsidRPr="00E16672" w:rsidRDefault="005C5318" w:rsidP="005C5318">
            <w:pPr>
              <w:pStyle w:val="310"/>
              <w:tabs>
                <w:tab w:val="left" w:pos="182"/>
              </w:tabs>
              <w:ind w:left="175" w:right="138" w:firstLine="7"/>
              <w:rPr>
                <w:rFonts w:ascii="Times New Roman" w:hAnsi="Times New Roman"/>
                <w:sz w:val="16"/>
                <w:szCs w:val="16"/>
              </w:rPr>
            </w:pPr>
            <w:r w:rsidRPr="00E16672">
              <w:rPr>
                <w:rFonts w:ascii="Times New Roman" w:hAnsi="Times New Roman"/>
                <w:sz w:val="16"/>
                <w:szCs w:val="16"/>
              </w:rPr>
              <w:t xml:space="preserve">4.5. </w:t>
            </w:r>
            <w:r w:rsidRPr="00E16672">
              <w:rPr>
                <w:rFonts w:ascii="Times New Roman" w:hAnsi="Times New Roman"/>
                <w:color w:val="000000"/>
                <w:sz w:val="16"/>
                <w:szCs w:val="16"/>
              </w:rPr>
              <w:t>У разі припинення дії Договору Депонент зобов’язаний сплатити фактично надані Депозитарною установою послуги до моменту припинення дії Договору.</w:t>
            </w:r>
          </w:p>
        </w:tc>
        <w:tc>
          <w:tcPr>
            <w:tcW w:w="5495" w:type="dxa"/>
            <w:gridSpan w:val="6"/>
            <w:shd w:val="clear" w:color="auto" w:fill="auto"/>
          </w:tcPr>
          <w:p w14:paraId="46189A0C" w14:textId="77777777" w:rsidR="005C5318" w:rsidRPr="00E16672" w:rsidRDefault="005C5318" w:rsidP="005C5318">
            <w:pPr>
              <w:tabs>
                <w:tab w:val="left" w:pos="182"/>
                <w:tab w:val="left" w:pos="287"/>
              </w:tabs>
              <w:ind w:left="145" w:right="100" w:firstLine="7"/>
              <w:rPr>
                <w:rFonts w:ascii="Times New Roman" w:hAnsi="Times New Roman"/>
                <w:color w:val="000000"/>
                <w:sz w:val="16"/>
                <w:szCs w:val="16"/>
                <w:lang w:val="en-GB"/>
              </w:rPr>
            </w:pPr>
            <w:r w:rsidRPr="00E16672">
              <w:rPr>
                <w:rFonts w:ascii="Times New Roman" w:hAnsi="Times New Roman"/>
                <w:sz w:val="16"/>
                <w:szCs w:val="16"/>
                <w:lang w:val="en-GB"/>
              </w:rPr>
              <w:t xml:space="preserve">4.5.  </w:t>
            </w:r>
            <w:r w:rsidRPr="00E16672">
              <w:rPr>
                <w:rFonts w:ascii="Times New Roman" w:hAnsi="Times New Roman"/>
                <w:color w:val="000000"/>
                <w:sz w:val="16"/>
                <w:szCs w:val="16"/>
                <w:lang w:val="en-GB"/>
              </w:rPr>
              <w:t>In the event of termination of the Agreement Depositor shall pay the actual services provided by Depository institutions at the time of termination of the Agreement.</w:t>
            </w:r>
          </w:p>
          <w:p w14:paraId="38DAAB88" w14:textId="77777777" w:rsidR="005C5318" w:rsidRPr="00E16672" w:rsidRDefault="005C5318" w:rsidP="005C5318">
            <w:pPr>
              <w:tabs>
                <w:tab w:val="left" w:pos="182"/>
                <w:tab w:val="left" w:pos="287"/>
              </w:tabs>
              <w:ind w:left="145" w:right="100" w:firstLine="7"/>
              <w:rPr>
                <w:rFonts w:ascii="Times New Roman" w:hAnsi="Times New Roman"/>
                <w:sz w:val="16"/>
                <w:szCs w:val="16"/>
                <w:shd w:val="clear" w:color="auto" w:fill="FFFFFF"/>
                <w:lang w:val="en-GB"/>
              </w:rPr>
            </w:pPr>
          </w:p>
        </w:tc>
      </w:tr>
      <w:tr w:rsidR="005C5318" w:rsidRPr="00F23413" w14:paraId="6439BE14" w14:textId="77777777" w:rsidTr="005E418B">
        <w:trPr>
          <w:trHeight w:val="192"/>
        </w:trPr>
        <w:tc>
          <w:tcPr>
            <w:tcW w:w="5695" w:type="dxa"/>
            <w:gridSpan w:val="6"/>
            <w:shd w:val="clear" w:color="auto" w:fill="auto"/>
          </w:tcPr>
          <w:p w14:paraId="0BD76BB6" w14:textId="77777777" w:rsidR="005C5318" w:rsidRPr="00E16672" w:rsidRDefault="005C5318" w:rsidP="005C5318">
            <w:pPr>
              <w:tabs>
                <w:tab w:val="left" w:pos="182"/>
              </w:tabs>
              <w:snapToGrid w:val="0"/>
              <w:ind w:left="175" w:right="138" w:firstLine="7"/>
              <w:rPr>
                <w:rFonts w:ascii="Times New Roman" w:hAnsi="Times New Roman"/>
                <w:color w:val="000000"/>
                <w:sz w:val="16"/>
                <w:szCs w:val="16"/>
                <w:lang w:val="uk-UA"/>
              </w:rPr>
            </w:pPr>
            <w:r w:rsidRPr="00E16672">
              <w:rPr>
                <w:rFonts w:ascii="Times New Roman" w:hAnsi="Times New Roman"/>
                <w:color w:val="000000"/>
                <w:sz w:val="16"/>
                <w:szCs w:val="16"/>
                <w:lang w:val="uk-UA"/>
              </w:rPr>
              <w:t>4.6. Надання депозитарних послуг Депоненту може бути призупинено Депозитарною установою у разі відсутності належної оплати послуг Депозитарної установи з боку Депонента до повного погашення заборгованості.</w:t>
            </w:r>
          </w:p>
          <w:p w14:paraId="624BE0E8" w14:textId="77777777" w:rsidR="005C5318" w:rsidRPr="00E16672" w:rsidRDefault="005C5318" w:rsidP="005C5318">
            <w:pPr>
              <w:tabs>
                <w:tab w:val="left" w:pos="182"/>
              </w:tabs>
              <w:snapToGrid w:val="0"/>
              <w:ind w:left="175" w:right="138" w:firstLine="7"/>
              <w:rPr>
                <w:rFonts w:ascii="Times New Roman" w:hAnsi="Times New Roman"/>
                <w:color w:val="000000"/>
                <w:sz w:val="16"/>
                <w:szCs w:val="16"/>
              </w:rPr>
            </w:pPr>
          </w:p>
        </w:tc>
        <w:tc>
          <w:tcPr>
            <w:tcW w:w="5495" w:type="dxa"/>
            <w:gridSpan w:val="6"/>
            <w:shd w:val="clear" w:color="auto" w:fill="auto"/>
          </w:tcPr>
          <w:p w14:paraId="1400228A" w14:textId="77777777" w:rsidR="005C5318" w:rsidRPr="00E16672" w:rsidRDefault="005C5318" w:rsidP="005C5318">
            <w:pPr>
              <w:tabs>
                <w:tab w:val="left" w:pos="182"/>
                <w:tab w:val="left" w:pos="287"/>
              </w:tabs>
              <w:snapToGrid w:val="0"/>
              <w:ind w:left="145" w:right="100" w:firstLine="7"/>
              <w:rPr>
                <w:rFonts w:ascii="Times New Roman" w:hAnsi="Times New Roman"/>
                <w:color w:val="000000"/>
                <w:sz w:val="16"/>
                <w:szCs w:val="16"/>
                <w:lang w:val="en-US"/>
              </w:rPr>
            </w:pPr>
            <w:r w:rsidRPr="00E16672">
              <w:rPr>
                <w:rFonts w:ascii="Times New Roman" w:hAnsi="Times New Roman"/>
                <w:color w:val="000000"/>
                <w:sz w:val="16"/>
                <w:szCs w:val="16"/>
                <w:lang w:val="uk-UA"/>
              </w:rPr>
              <w:t xml:space="preserve">4.6. </w:t>
            </w:r>
            <w:proofErr w:type="spellStart"/>
            <w:r w:rsidRPr="00E16672">
              <w:rPr>
                <w:rFonts w:ascii="Times New Roman" w:hAnsi="Times New Roman"/>
                <w:color w:val="000000"/>
                <w:sz w:val="16"/>
                <w:szCs w:val="16"/>
                <w:lang w:val="uk-UA"/>
              </w:rPr>
              <w:t>Providing</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depositary</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services</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to</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Depositor</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may</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be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suspended</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by</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Depository</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institution</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in</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the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absence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of</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proper</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payment</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to</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the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Depository</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institution</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by</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the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Depositor</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to</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the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full</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repayment</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of</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debt</w:t>
            </w:r>
            <w:proofErr w:type="spellEnd"/>
            <w:r w:rsidRPr="00E16672">
              <w:rPr>
                <w:rFonts w:ascii="Times New Roman" w:hAnsi="Times New Roman"/>
                <w:color w:val="000000"/>
                <w:sz w:val="16"/>
                <w:szCs w:val="16"/>
                <w:lang w:val="uk-UA"/>
              </w:rPr>
              <w:t>.</w:t>
            </w:r>
          </w:p>
        </w:tc>
      </w:tr>
      <w:tr w:rsidR="005C5318" w:rsidRPr="00F23413" w14:paraId="1F99EE22" w14:textId="77777777" w:rsidTr="005E418B">
        <w:trPr>
          <w:trHeight w:val="192"/>
        </w:trPr>
        <w:tc>
          <w:tcPr>
            <w:tcW w:w="5695" w:type="dxa"/>
            <w:gridSpan w:val="6"/>
            <w:shd w:val="clear" w:color="auto" w:fill="auto"/>
          </w:tcPr>
          <w:p w14:paraId="163DFD14" w14:textId="77777777" w:rsidR="005C5318" w:rsidRPr="00E16672" w:rsidRDefault="005C5318" w:rsidP="005C5318">
            <w:pPr>
              <w:snapToGrid w:val="0"/>
              <w:ind w:left="175" w:right="138"/>
              <w:jc w:val="center"/>
              <w:rPr>
                <w:rFonts w:ascii="Times New Roman" w:hAnsi="Times New Roman"/>
                <w:b/>
                <w:caps/>
                <w:sz w:val="16"/>
                <w:szCs w:val="16"/>
                <w:lang w:val="en-US"/>
              </w:rPr>
            </w:pPr>
          </w:p>
          <w:p w14:paraId="6322ACC0" w14:textId="77777777" w:rsidR="005C5318" w:rsidRPr="00E16672" w:rsidRDefault="005C5318" w:rsidP="005C5318">
            <w:pPr>
              <w:snapToGrid w:val="0"/>
              <w:ind w:left="175" w:right="138"/>
              <w:jc w:val="center"/>
              <w:rPr>
                <w:rFonts w:ascii="Times New Roman" w:hAnsi="Times New Roman"/>
                <w:b/>
                <w:caps/>
                <w:sz w:val="16"/>
                <w:szCs w:val="16"/>
              </w:rPr>
            </w:pPr>
            <w:r w:rsidRPr="00E16672">
              <w:rPr>
                <w:rFonts w:ascii="Times New Roman" w:hAnsi="Times New Roman"/>
                <w:b/>
                <w:caps/>
                <w:sz w:val="16"/>
                <w:szCs w:val="16"/>
              </w:rPr>
              <w:t>5. Відповідальність Сторін</w:t>
            </w:r>
          </w:p>
          <w:p w14:paraId="444A1C57" w14:textId="77777777" w:rsidR="005C5318" w:rsidRPr="00E16672" w:rsidRDefault="005C5318" w:rsidP="005C5318">
            <w:pPr>
              <w:ind w:left="175" w:right="138"/>
              <w:jc w:val="center"/>
              <w:rPr>
                <w:rFonts w:ascii="Times New Roman" w:hAnsi="Times New Roman"/>
                <w:b/>
                <w:caps/>
                <w:sz w:val="16"/>
                <w:szCs w:val="16"/>
              </w:rPr>
            </w:pPr>
            <w:r w:rsidRPr="00E16672">
              <w:rPr>
                <w:rFonts w:ascii="Times New Roman" w:hAnsi="Times New Roman"/>
                <w:b/>
                <w:caps/>
                <w:sz w:val="16"/>
                <w:szCs w:val="16"/>
              </w:rPr>
              <w:t>Порядок розгляду спорів, що можуть виникнути між сторонами в процесі виконання, зміни чи розірвання Договору.</w:t>
            </w:r>
          </w:p>
          <w:p w14:paraId="6A2E003B" w14:textId="77777777" w:rsidR="005C5318" w:rsidRPr="00E16672" w:rsidRDefault="005C5318" w:rsidP="005C5318">
            <w:pPr>
              <w:ind w:left="175" w:right="138"/>
              <w:jc w:val="center"/>
              <w:rPr>
                <w:rFonts w:ascii="Times New Roman" w:hAnsi="Times New Roman"/>
                <w:b/>
                <w:caps/>
                <w:sz w:val="16"/>
                <w:szCs w:val="16"/>
              </w:rPr>
            </w:pPr>
          </w:p>
          <w:p w14:paraId="01CBD458" w14:textId="77777777" w:rsidR="005C5318" w:rsidRPr="00E16672" w:rsidRDefault="005C5318" w:rsidP="005C5318">
            <w:pPr>
              <w:ind w:left="175" w:right="138" w:firstLine="0"/>
              <w:rPr>
                <w:rFonts w:ascii="Times New Roman" w:hAnsi="Times New Roman"/>
                <w:sz w:val="16"/>
                <w:szCs w:val="16"/>
              </w:rPr>
            </w:pPr>
            <w:r w:rsidRPr="00E16672">
              <w:rPr>
                <w:rFonts w:ascii="Times New Roman" w:hAnsi="Times New Roman"/>
                <w:sz w:val="16"/>
                <w:szCs w:val="16"/>
              </w:rPr>
              <w:t xml:space="preserve">5.1. </w:t>
            </w:r>
            <w:proofErr w:type="spellStart"/>
            <w:r w:rsidRPr="00E16672">
              <w:rPr>
                <w:rFonts w:ascii="Times New Roman" w:hAnsi="Times New Roman"/>
                <w:sz w:val="16"/>
                <w:szCs w:val="16"/>
              </w:rPr>
              <w:t>Кожна</w:t>
            </w:r>
            <w:proofErr w:type="spellEnd"/>
            <w:r w:rsidRPr="00E16672">
              <w:rPr>
                <w:rFonts w:ascii="Times New Roman" w:hAnsi="Times New Roman"/>
                <w:sz w:val="16"/>
                <w:szCs w:val="16"/>
              </w:rPr>
              <w:t xml:space="preserve"> сторона </w:t>
            </w:r>
            <w:proofErr w:type="spellStart"/>
            <w:r w:rsidRPr="00E16672">
              <w:rPr>
                <w:rFonts w:ascii="Times New Roman" w:hAnsi="Times New Roman"/>
                <w:sz w:val="16"/>
                <w:szCs w:val="16"/>
              </w:rPr>
              <w:t>зобов’язується</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виконувати</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свої</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обов’язки</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належним</w:t>
            </w:r>
            <w:proofErr w:type="spellEnd"/>
            <w:r w:rsidRPr="00E16672">
              <w:rPr>
                <w:rFonts w:ascii="Times New Roman" w:hAnsi="Times New Roman"/>
                <w:sz w:val="16"/>
                <w:szCs w:val="16"/>
              </w:rPr>
              <w:t xml:space="preserve"> </w:t>
            </w:r>
            <w:r w:rsidRPr="00E16672">
              <w:rPr>
                <w:rFonts w:ascii="Times New Roman" w:hAnsi="Times New Roman"/>
                <w:sz w:val="16"/>
                <w:szCs w:val="16"/>
              </w:rPr>
              <w:lastRenderedPageBreak/>
              <w:t xml:space="preserve">чином та </w:t>
            </w:r>
            <w:proofErr w:type="spellStart"/>
            <w:r w:rsidRPr="00E16672">
              <w:rPr>
                <w:rFonts w:ascii="Times New Roman" w:hAnsi="Times New Roman"/>
                <w:sz w:val="16"/>
                <w:szCs w:val="16"/>
              </w:rPr>
              <w:t>сприяти</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іншій</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стороні</w:t>
            </w:r>
            <w:proofErr w:type="spellEnd"/>
            <w:r w:rsidRPr="00E16672">
              <w:rPr>
                <w:rFonts w:ascii="Times New Roman" w:hAnsi="Times New Roman"/>
                <w:sz w:val="16"/>
                <w:szCs w:val="16"/>
              </w:rPr>
              <w:t xml:space="preserve"> у </w:t>
            </w:r>
            <w:proofErr w:type="spellStart"/>
            <w:r w:rsidRPr="00E16672">
              <w:rPr>
                <w:rFonts w:ascii="Times New Roman" w:hAnsi="Times New Roman"/>
                <w:sz w:val="16"/>
                <w:szCs w:val="16"/>
              </w:rPr>
              <w:t>виконанні</w:t>
            </w:r>
            <w:proofErr w:type="spellEnd"/>
            <w:r w:rsidRPr="00E16672">
              <w:rPr>
                <w:rFonts w:ascii="Times New Roman" w:hAnsi="Times New Roman"/>
                <w:sz w:val="16"/>
                <w:szCs w:val="16"/>
              </w:rPr>
              <w:t>.</w:t>
            </w:r>
          </w:p>
          <w:p w14:paraId="039DDF95" w14:textId="77777777" w:rsidR="005C5318" w:rsidRPr="00E16672" w:rsidRDefault="005C5318" w:rsidP="005C5318">
            <w:pPr>
              <w:ind w:left="175" w:right="138"/>
              <w:rPr>
                <w:rFonts w:ascii="Times New Roman" w:hAnsi="Times New Roman"/>
                <w:sz w:val="16"/>
                <w:szCs w:val="16"/>
              </w:rPr>
            </w:pPr>
          </w:p>
        </w:tc>
        <w:tc>
          <w:tcPr>
            <w:tcW w:w="5495" w:type="dxa"/>
            <w:gridSpan w:val="6"/>
            <w:shd w:val="clear" w:color="auto" w:fill="auto"/>
          </w:tcPr>
          <w:p w14:paraId="5A96FFAB" w14:textId="77777777" w:rsidR="005C5318" w:rsidRPr="00E16672" w:rsidRDefault="005C5318" w:rsidP="005C5318">
            <w:pPr>
              <w:pStyle w:val="210"/>
              <w:tabs>
                <w:tab w:val="left" w:pos="287"/>
                <w:tab w:val="left" w:pos="1191"/>
              </w:tabs>
              <w:snapToGrid w:val="0"/>
              <w:ind w:left="145" w:right="100" w:firstLine="0"/>
              <w:jc w:val="center"/>
              <w:rPr>
                <w:rFonts w:ascii="Times New Roman" w:hAnsi="Times New Roman"/>
                <w:b/>
                <w:caps/>
                <w:sz w:val="16"/>
                <w:szCs w:val="16"/>
              </w:rPr>
            </w:pPr>
          </w:p>
          <w:p w14:paraId="6DDB17DA" w14:textId="77777777" w:rsidR="005C5318" w:rsidRPr="00E16672" w:rsidRDefault="005C5318" w:rsidP="005C5318">
            <w:pPr>
              <w:pStyle w:val="210"/>
              <w:tabs>
                <w:tab w:val="left" w:pos="287"/>
                <w:tab w:val="left" w:pos="1191"/>
              </w:tabs>
              <w:snapToGrid w:val="0"/>
              <w:ind w:left="145" w:right="100" w:firstLine="0"/>
              <w:jc w:val="center"/>
              <w:rPr>
                <w:rFonts w:ascii="Times New Roman" w:hAnsi="Times New Roman"/>
                <w:b/>
                <w:caps/>
                <w:sz w:val="16"/>
                <w:szCs w:val="16"/>
              </w:rPr>
            </w:pPr>
            <w:r w:rsidRPr="00E16672">
              <w:rPr>
                <w:rFonts w:ascii="Times New Roman" w:hAnsi="Times New Roman"/>
                <w:b/>
                <w:caps/>
                <w:sz w:val="16"/>
                <w:szCs w:val="16"/>
              </w:rPr>
              <w:t xml:space="preserve">5. RESPONSIBILITIES OF THE PARTIES </w:t>
            </w:r>
          </w:p>
          <w:p w14:paraId="092F07D3" w14:textId="77777777" w:rsidR="005C5318" w:rsidRPr="00E16672" w:rsidRDefault="005C5318" w:rsidP="005C5318">
            <w:pPr>
              <w:pStyle w:val="210"/>
              <w:tabs>
                <w:tab w:val="left" w:pos="287"/>
                <w:tab w:val="left" w:pos="1191"/>
              </w:tabs>
              <w:ind w:left="145" w:right="100" w:firstLine="0"/>
              <w:jc w:val="center"/>
              <w:rPr>
                <w:rFonts w:ascii="Times New Roman" w:hAnsi="Times New Roman"/>
                <w:b/>
                <w:caps/>
                <w:sz w:val="16"/>
                <w:szCs w:val="16"/>
              </w:rPr>
            </w:pPr>
            <w:r w:rsidRPr="00E16672">
              <w:rPr>
                <w:rFonts w:ascii="Times New Roman" w:hAnsi="Times New Roman"/>
                <w:b/>
                <w:caps/>
                <w:sz w:val="16"/>
                <w:szCs w:val="16"/>
              </w:rPr>
              <w:t xml:space="preserve">PROCEDURE hear disputes that may arise between the parties in the process, change or </w:t>
            </w:r>
            <w:r w:rsidRPr="00E16672">
              <w:rPr>
                <w:rFonts w:ascii="Times New Roman" w:hAnsi="Times New Roman"/>
                <w:b/>
                <w:caps/>
                <w:sz w:val="16"/>
                <w:szCs w:val="16"/>
                <w:lang w:val="en-US"/>
              </w:rPr>
              <w:t>agreement</w:t>
            </w:r>
            <w:r w:rsidRPr="00E16672">
              <w:rPr>
                <w:rFonts w:ascii="Times New Roman" w:hAnsi="Times New Roman"/>
                <w:b/>
                <w:caps/>
                <w:sz w:val="16"/>
                <w:szCs w:val="16"/>
              </w:rPr>
              <w:t xml:space="preserve"> termination.</w:t>
            </w:r>
          </w:p>
          <w:p w14:paraId="6C4BE66B" w14:textId="77777777" w:rsidR="005C5318" w:rsidRPr="00E16672" w:rsidRDefault="005C5318" w:rsidP="005C5318">
            <w:pPr>
              <w:pStyle w:val="210"/>
              <w:tabs>
                <w:tab w:val="left" w:pos="287"/>
                <w:tab w:val="left" w:pos="1191"/>
              </w:tabs>
              <w:ind w:left="145" w:right="100" w:firstLine="0"/>
              <w:jc w:val="center"/>
              <w:rPr>
                <w:rFonts w:ascii="Times New Roman" w:hAnsi="Times New Roman"/>
                <w:b/>
                <w:caps/>
                <w:sz w:val="16"/>
                <w:szCs w:val="16"/>
                <w:lang w:val="en-US"/>
              </w:rPr>
            </w:pPr>
          </w:p>
          <w:p w14:paraId="36D37CA0" w14:textId="77777777" w:rsidR="005C5318" w:rsidRPr="00E16672" w:rsidRDefault="005C5318" w:rsidP="005C5318">
            <w:pPr>
              <w:tabs>
                <w:tab w:val="left" w:pos="287"/>
              </w:tabs>
              <w:ind w:left="145" w:right="100" w:firstLine="0"/>
              <w:rPr>
                <w:rFonts w:ascii="Times New Roman" w:hAnsi="Times New Roman"/>
                <w:sz w:val="16"/>
                <w:szCs w:val="16"/>
                <w:lang w:val="en-GB"/>
              </w:rPr>
            </w:pPr>
            <w:r w:rsidRPr="00E16672">
              <w:rPr>
                <w:rFonts w:ascii="Times New Roman" w:hAnsi="Times New Roman"/>
                <w:sz w:val="16"/>
                <w:szCs w:val="16"/>
                <w:lang w:val="en-GB"/>
              </w:rPr>
              <w:t xml:space="preserve">5.1. The parties are obliged to </w:t>
            </w:r>
            <w:proofErr w:type="spellStart"/>
            <w:r w:rsidRPr="00E16672">
              <w:rPr>
                <w:rFonts w:ascii="Times New Roman" w:hAnsi="Times New Roman"/>
                <w:sz w:val="16"/>
                <w:szCs w:val="16"/>
                <w:lang w:val="en-GB"/>
              </w:rPr>
              <w:t>fulfill</w:t>
            </w:r>
            <w:proofErr w:type="spellEnd"/>
            <w:r w:rsidRPr="00E16672">
              <w:rPr>
                <w:rFonts w:ascii="Times New Roman" w:hAnsi="Times New Roman"/>
                <w:sz w:val="16"/>
                <w:szCs w:val="16"/>
                <w:lang w:val="en-GB"/>
              </w:rPr>
              <w:t xml:space="preserve"> the responsibilities properly and to promote </w:t>
            </w:r>
            <w:r w:rsidRPr="00E16672">
              <w:rPr>
                <w:rFonts w:ascii="Times New Roman" w:hAnsi="Times New Roman"/>
                <w:sz w:val="16"/>
                <w:szCs w:val="16"/>
                <w:lang w:val="en-GB"/>
              </w:rPr>
              <w:lastRenderedPageBreak/>
              <w:t>one another in their realization.</w:t>
            </w:r>
          </w:p>
          <w:p w14:paraId="6A60D360" w14:textId="77777777" w:rsidR="005C5318" w:rsidRPr="00E16672" w:rsidRDefault="005C5318" w:rsidP="005C5318">
            <w:pPr>
              <w:tabs>
                <w:tab w:val="left" w:pos="287"/>
              </w:tabs>
              <w:ind w:left="145" w:right="100"/>
              <w:jc w:val="center"/>
              <w:rPr>
                <w:rFonts w:ascii="Times New Roman" w:hAnsi="Times New Roman"/>
                <w:b/>
                <w:bCs/>
                <w:sz w:val="16"/>
                <w:szCs w:val="16"/>
                <w:lang w:val="en-GB"/>
              </w:rPr>
            </w:pPr>
          </w:p>
        </w:tc>
      </w:tr>
      <w:tr w:rsidR="005C5318" w:rsidRPr="00F23413" w14:paraId="2EF67D6B" w14:textId="77777777" w:rsidTr="005E418B">
        <w:trPr>
          <w:trHeight w:val="192"/>
        </w:trPr>
        <w:tc>
          <w:tcPr>
            <w:tcW w:w="5695" w:type="dxa"/>
            <w:gridSpan w:val="6"/>
            <w:shd w:val="clear" w:color="auto" w:fill="auto"/>
          </w:tcPr>
          <w:p w14:paraId="6F51432C" w14:textId="77777777" w:rsidR="005C5318" w:rsidRPr="00E16672" w:rsidRDefault="005C5318" w:rsidP="005C5318">
            <w:pPr>
              <w:snapToGrid w:val="0"/>
              <w:ind w:left="175" w:right="138" w:firstLine="7"/>
              <w:rPr>
                <w:rFonts w:ascii="Times New Roman" w:hAnsi="Times New Roman"/>
                <w:sz w:val="16"/>
                <w:szCs w:val="16"/>
              </w:rPr>
            </w:pPr>
            <w:r w:rsidRPr="00E16672">
              <w:rPr>
                <w:rFonts w:ascii="Times New Roman" w:hAnsi="Times New Roman"/>
                <w:sz w:val="16"/>
                <w:szCs w:val="16"/>
              </w:rPr>
              <w:lastRenderedPageBreak/>
              <w:t xml:space="preserve">5.2. </w:t>
            </w:r>
            <w:proofErr w:type="spellStart"/>
            <w:r w:rsidRPr="00E16672">
              <w:rPr>
                <w:rFonts w:ascii="Times New Roman" w:hAnsi="Times New Roman"/>
                <w:sz w:val="16"/>
                <w:szCs w:val="16"/>
              </w:rPr>
              <w:t>Обмін</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розпорядженнями</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повідомленнями</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інформацією</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що</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надається</w:t>
            </w:r>
            <w:proofErr w:type="spellEnd"/>
            <w:r w:rsidRPr="00E16672">
              <w:rPr>
                <w:rFonts w:ascii="Times New Roman" w:hAnsi="Times New Roman"/>
                <w:sz w:val="16"/>
                <w:szCs w:val="16"/>
              </w:rPr>
              <w:t xml:space="preserve"> у </w:t>
            </w:r>
            <w:proofErr w:type="spellStart"/>
            <w:r w:rsidRPr="00E16672">
              <w:rPr>
                <w:rFonts w:ascii="Times New Roman" w:hAnsi="Times New Roman"/>
                <w:sz w:val="16"/>
                <w:szCs w:val="16"/>
              </w:rPr>
              <w:t>зв’язку</w:t>
            </w:r>
            <w:proofErr w:type="spellEnd"/>
            <w:r w:rsidRPr="00E16672">
              <w:rPr>
                <w:rFonts w:ascii="Times New Roman" w:hAnsi="Times New Roman"/>
                <w:sz w:val="16"/>
                <w:szCs w:val="16"/>
              </w:rPr>
              <w:t xml:space="preserve"> з </w:t>
            </w:r>
            <w:proofErr w:type="spellStart"/>
            <w:r w:rsidRPr="00E16672">
              <w:rPr>
                <w:rFonts w:ascii="Times New Roman" w:hAnsi="Times New Roman"/>
                <w:sz w:val="16"/>
                <w:szCs w:val="16"/>
              </w:rPr>
              <w:t>виконанням</w:t>
            </w:r>
            <w:proofErr w:type="spellEnd"/>
            <w:r w:rsidRPr="00E16672">
              <w:rPr>
                <w:rFonts w:ascii="Times New Roman" w:hAnsi="Times New Roman"/>
                <w:sz w:val="16"/>
                <w:szCs w:val="16"/>
              </w:rPr>
              <w:t xml:space="preserve"> Сторонами Договору</w:t>
            </w:r>
            <w:r w:rsidRPr="00E16672">
              <w:rPr>
                <w:rFonts w:ascii="Times New Roman" w:hAnsi="Times New Roman"/>
                <w:sz w:val="16"/>
                <w:szCs w:val="16"/>
                <w:lang w:val="uk-UA"/>
              </w:rPr>
              <w:t xml:space="preserve">, здійснюється </w:t>
            </w:r>
            <w:proofErr w:type="gramStart"/>
            <w:r w:rsidRPr="00E16672">
              <w:rPr>
                <w:rFonts w:ascii="Times New Roman" w:hAnsi="Times New Roman"/>
                <w:sz w:val="16"/>
                <w:szCs w:val="16"/>
                <w:lang w:val="uk-UA"/>
              </w:rPr>
              <w:t>в порядку</w:t>
            </w:r>
            <w:proofErr w:type="gramEnd"/>
            <w:r w:rsidRPr="00E16672">
              <w:rPr>
                <w:rFonts w:ascii="Times New Roman" w:hAnsi="Times New Roman"/>
                <w:sz w:val="16"/>
                <w:szCs w:val="16"/>
                <w:lang w:val="uk-UA"/>
              </w:rPr>
              <w:t>, визначеному Договором, внутрішніми документами Депозитарної установи та законодавством.</w:t>
            </w:r>
          </w:p>
          <w:p w14:paraId="1B8AF15D" w14:textId="77777777" w:rsidR="005C5318" w:rsidRPr="00E16672" w:rsidRDefault="005C5318" w:rsidP="005C5318">
            <w:pPr>
              <w:snapToGrid w:val="0"/>
              <w:ind w:left="175" w:right="138" w:firstLine="7"/>
              <w:rPr>
                <w:rFonts w:ascii="Times New Roman" w:hAnsi="Times New Roman"/>
                <w:sz w:val="16"/>
                <w:szCs w:val="16"/>
              </w:rPr>
            </w:pPr>
            <w:r w:rsidRPr="00E16672">
              <w:rPr>
                <w:rFonts w:ascii="Times New Roman" w:hAnsi="Times New Roman"/>
                <w:sz w:val="16"/>
                <w:szCs w:val="16"/>
              </w:rPr>
              <w:t xml:space="preserve"> </w:t>
            </w:r>
          </w:p>
        </w:tc>
        <w:tc>
          <w:tcPr>
            <w:tcW w:w="5495" w:type="dxa"/>
            <w:gridSpan w:val="6"/>
            <w:shd w:val="clear" w:color="auto" w:fill="auto"/>
          </w:tcPr>
          <w:p w14:paraId="3C5A325C" w14:textId="77777777" w:rsidR="005C5318" w:rsidRPr="00E16672" w:rsidRDefault="005C5318" w:rsidP="005C5318">
            <w:pPr>
              <w:pStyle w:val="210"/>
              <w:tabs>
                <w:tab w:val="left" w:pos="287"/>
                <w:tab w:val="left" w:pos="1362"/>
              </w:tabs>
              <w:snapToGrid w:val="0"/>
              <w:ind w:left="175" w:right="100" w:firstLine="7"/>
              <w:rPr>
                <w:rFonts w:ascii="Times New Roman" w:hAnsi="Times New Roman"/>
                <w:sz w:val="16"/>
                <w:szCs w:val="16"/>
                <w:lang w:val="en-GB"/>
              </w:rPr>
            </w:pPr>
            <w:r w:rsidRPr="00E16672">
              <w:rPr>
                <w:rFonts w:ascii="Times New Roman" w:hAnsi="Times New Roman"/>
                <w:sz w:val="16"/>
                <w:szCs w:val="16"/>
                <w:lang w:val="en-GB"/>
              </w:rPr>
              <w:t xml:space="preserve">5.2. An exchange orders, </w:t>
            </w:r>
            <w:proofErr w:type="gramStart"/>
            <w:r w:rsidRPr="00E16672">
              <w:rPr>
                <w:rFonts w:ascii="Times New Roman" w:hAnsi="Times New Roman"/>
                <w:sz w:val="16"/>
                <w:szCs w:val="16"/>
                <w:lang w:val="en-GB"/>
              </w:rPr>
              <w:t>messages,  information</w:t>
            </w:r>
            <w:proofErr w:type="gramEnd"/>
            <w:r w:rsidRPr="00E16672">
              <w:rPr>
                <w:rFonts w:ascii="Times New Roman" w:hAnsi="Times New Roman"/>
                <w:sz w:val="16"/>
                <w:szCs w:val="16"/>
                <w:lang w:val="en-GB"/>
              </w:rPr>
              <w:t xml:space="preserve"> between Parties provided </w:t>
            </w:r>
            <w:proofErr w:type="spellStart"/>
            <w:r w:rsidRPr="00E16672">
              <w:rPr>
                <w:rFonts w:ascii="Times New Roman" w:hAnsi="Times New Roman"/>
                <w:sz w:val="16"/>
                <w:szCs w:val="16"/>
              </w:rPr>
              <w:t>in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accordance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with</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procedure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established</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by</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Agreement</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internal</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documents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of</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Depository</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and</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law</w:t>
            </w:r>
            <w:proofErr w:type="spellEnd"/>
            <w:r w:rsidRPr="00E16672">
              <w:rPr>
                <w:rFonts w:ascii="Times New Roman" w:hAnsi="Times New Roman"/>
                <w:sz w:val="16"/>
                <w:szCs w:val="16"/>
              </w:rPr>
              <w:t>.</w:t>
            </w:r>
          </w:p>
          <w:p w14:paraId="6B4AC863" w14:textId="77777777" w:rsidR="005C5318" w:rsidRPr="00E16672" w:rsidRDefault="005C5318" w:rsidP="005C5318">
            <w:pPr>
              <w:pStyle w:val="210"/>
              <w:tabs>
                <w:tab w:val="left" w:pos="287"/>
                <w:tab w:val="left" w:pos="1362"/>
              </w:tabs>
              <w:snapToGrid w:val="0"/>
              <w:ind w:left="175" w:right="100" w:firstLine="7"/>
              <w:rPr>
                <w:rFonts w:ascii="Times New Roman" w:hAnsi="Times New Roman"/>
                <w:sz w:val="16"/>
                <w:szCs w:val="16"/>
                <w:lang w:val="en-US"/>
              </w:rPr>
            </w:pPr>
          </w:p>
        </w:tc>
      </w:tr>
      <w:tr w:rsidR="005C5318" w:rsidRPr="00F23413" w14:paraId="3B12911E" w14:textId="77777777" w:rsidTr="005E418B">
        <w:trPr>
          <w:trHeight w:val="192"/>
        </w:trPr>
        <w:tc>
          <w:tcPr>
            <w:tcW w:w="5695" w:type="dxa"/>
            <w:gridSpan w:val="6"/>
            <w:shd w:val="clear" w:color="auto" w:fill="auto"/>
          </w:tcPr>
          <w:p w14:paraId="41364AA9" w14:textId="77777777" w:rsidR="005C5318" w:rsidRPr="00E16672" w:rsidRDefault="005C5318" w:rsidP="005C5318">
            <w:pPr>
              <w:snapToGrid w:val="0"/>
              <w:ind w:left="175" w:right="138" w:firstLine="7"/>
              <w:rPr>
                <w:rFonts w:ascii="Times New Roman" w:hAnsi="Times New Roman"/>
                <w:sz w:val="16"/>
                <w:szCs w:val="16"/>
              </w:rPr>
            </w:pPr>
            <w:r w:rsidRPr="00E16672">
              <w:rPr>
                <w:rFonts w:ascii="Times New Roman" w:hAnsi="Times New Roman"/>
                <w:sz w:val="16"/>
                <w:szCs w:val="16"/>
              </w:rPr>
              <w:t xml:space="preserve">5.3. </w:t>
            </w:r>
            <w:proofErr w:type="spellStart"/>
            <w:r w:rsidRPr="00E16672">
              <w:rPr>
                <w:rFonts w:ascii="Times New Roman" w:hAnsi="Times New Roman"/>
                <w:sz w:val="16"/>
                <w:szCs w:val="16"/>
              </w:rPr>
              <w:t>Сторони</w:t>
            </w:r>
            <w:proofErr w:type="spellEnd"/>
            <w:r w:rsidRPr="00E16672">
              <w:rPr>
                <w:rFonts w:ascii="Times New Roman" w:hAnsi="Times New Roman"/>
                <w:sz w:val="16"/>
                <w:szCs w:val="16"/>
              </w:rPr>
              <w:t xml:space="preserve"> </w:t>
            </w:r>
            <w:proofErr w:type="spellStart"/>
            <w:r w:rsidR="007B5C69" w:rsidRPr="00E16672">
              <w:rPr>
                <w:rFonts w:ascii="Times New Roman" w:hAnsi="Times New Roman"/>
                <w:sz w:val="16"/>
                <w:szCs w:val="16"/>
              </w:rPr>
              <w:t>підтверджують</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достовірність</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підписів</w:t>
            </w:r>
            <w:proofErr w:type="spellEnd"/>
            <w:r w:rsidRPr="00E16672">
              <w:rPr>
                <w:rFonts w:ascii="Times New Roman" w:hAnsi="Times New Roman"/>
                <w:sz w:val="16"/>
                <w:szCs w:val="16"/>
              </w:rPr>
              <w:t xml:space="preserve"> на </w:t>
            </w:r>
            <w:proofErr w:type="spellStart"/>
            <w:r w:rsidRPr="00E16672">
              <w:rPr>
                <w:rFonts w:ascii="Times New Roman" w:hAnsi="Times New Roman"/>
                <w:sz w:val="16"/>
                <w:szCs w:val="16"/>
              </w:rPr>
              <w:t>розпорядженнях</w:t>
            </w:r>
            <w:proofErr w:type="spellEnd"/>
            <w:r w:rsidRPr="00E16672">
              <w:rPr>
                <w:rFonts w:ascii="Times New Roman" w:hAnsi="Times New Roman"/>
                <w:sz w:val="16"/>
                <w:szCs w:val="16"/>
              </w:rPr>
              <w:t xml:space="preserve"> Депонента способом, </w:t>
            </w:r>
            <w:proofErr w:type="spellStart"/>
            <w:r w:rsidRPr="00E16672">
              <w:rPr>
                <w:rFonts w:ascii="Times New Roman" w:hAnsi="Times New Roman"/>
                <w:sz w:val="16"/>
                <w:szCs w:val="16"/>
              </w:rPr>
              <w:t>визначеним</w:t>
            </w:r>
            <w:proofErr w:type="spellEnd"/>
            <w:r w:rsidRPr="00E16672">
              <w:rPr>
                <w:rFonts w:ascii="Times New Roman" w:hAnsi="Times New Roman"/>
                <w:sz w:val="16"/>
                <w:szCs w:val="16"/>
              </w:rPr>
              <w:t xml:space="preserve"> у </w:t>
            </w:r>
            <w:proofErr w:type="spellStart"/>
            <w:r w:rsidRPr="00E16672">
              <w:rPr>
                <w:rFonts w:ascii="Times New Roman" w:hAnsi="Times New Roman"/>
                <w:sz w:val="16"/>
                <w:szCs w:val="16"/>
              </w:rPr>
              <w:t>розділі</w:t>
            </w:r>
            <w:proofErr w:type="spellEnd"/>
            <w:r w:rsidRPr="00E16672">
              <w:rPr>
                <w:rFonts w:ascii="Times New Roman" w:hAnsi="Times New Roman"/>
                <w:sz w:val="16"/>
                <w:szCs w:val="16"/>
              </w:rPr>
              <w:t xml:space="preserve"> 3 </w:t>
            </w:r>
            <w:proofErr w:type="spellStart"/>
            <w:r w:rsidRPr="00E16672">
              <w:rPr>
                <w:rFonts w:ascii="Times New Roman" w:hAnsi="Times New Roman"/>
                <w:sz w:val="16"/>
                <w:szCs w:val="16"/>
              </w:rPr>
              <w:t>цього</w:t>
            </w:r>
            <w:proofErr w:type="spellEnd"/>
            <w:r w:rsidRPr="00E16672">
              <w:rPr>
                <w:rFonts w:ascii="Times New Roman" w:hAnsi="Times New Roman"/>
                <w:sz w:val="16"/>
                <w:szCs w:val="16"/>
              </w:rPr>
              <w:t xml:space="preserve"> Договору.</w:t>
            </w:r>
          </w:p>
          <w:p w14:paraId="5ADB1899" w14:textId="77777777" w:rsidR="005C5318" w:rsidRPr="00E16672" w:rsidRDefault="005C5318" w:rsidP="005C5318">
            <w:pPr>
              <w:ind w:left="175" w:right="138" w:firstLine="7"/>
              <w:rPr>
                <w:rFonts w:ascii="Times New Roman" w:hAnsi="Times New Roman"/>
                <w:sz w:val="16"/>
                <w:szCs w:val="16"/>
              </w:rPr>
            </w:pPr>
          </w:p>
        </w:tc>
        <w:tc>
          <w:tcPr>
            <w:tcW w:w="5495" w:type="dxa"/>
            <w:gridSpan w:val="6"/>
            <w:shd w:val="clear" w:color="auto" w:fill="auto"/>
          </w:tcPr>
          <w:p w14:paraId="224B924E" w14:textId="77777777" w:rsidR="005C5318" w:rsidRPr="00E16672" w:rsidRDefault="005C5318" w:rsidP="005C5318">
            <w:pPr>
              <w:pStyle w:val="210"/>
              <w:tabs>
                <w:tab w:val="left" w:pos="287"/>
                <w:tab w:val="left" w:pos="1362"/>
              </w:tabs>
              <w:snapToGrid w:val="0"/>
              <w:ind w:left="175" w:right="100" w:firstLine="7"/>
              <w:rPr>
                <w:rFonts w:ascii="Times New Roman" w:hAnsi="Times New Roman"/>
                <w:sz w:val="16"/>
                <w:szCs w:val="16"/>
                <w:lang w:val="en-US"/>
              </w:rPr>
            </w:pPr>
            <w:r w:rsidRPr="00E16672">
              <w:rPr>
                <w:rFonts w:ascii="Times New Roman" w:hAnsi="Times New Roman"/>
                <w:sz w:val="16"/>
                <w:szCs w:val="16"/>
                <w:lang w:val="en-US"/>
              </w:rPr>
              <w:t xml:space="preserve">5.3. Parties are </w:t>
            </w:r>
            <w:r w:rsidRPr="00E16672">
              <w:rPr>
                <w:rFonts w:ascii="Times New Roman" w:hAnsi="Times New Roman"/>
                <w:sz w:val="16"/>
                <w:szCs w:val="16"/>
                <w:lang w:val="en-GB"/>
              </w:rPr>
              <w:t xml:space="preserve">confirmed </w:t>
            </w:r>
            <w:r w:rsidRPr="00E16672">
              <w:rPr>
                <w:rFonts w:ascii="Times New Roman" w:hAnsi="Times New Roman"/>
                <w:sz w:val="16"/>
                <w:szCs w:val="16"/>
                <w:lang w:val="en-US"/>
              </w:rPr>
              <w:t>authenticity of signatures on the orders of Depositor by a method, certain in a section 3 of this Agreement.</w:t>
            </w:r>
          </w:p>
          <w:p w14:paraId="48388351" w14:textId="77777777" w:rsidR="005C5318" w:rsidRPr="00E16672" w:rsidRDefault="005C5318" w:rsidP="005C5318">
            <w:pPr>
              <w:pStyle w:val="210"/>
              <w:tabs>
                <w:tab w:val="left" w:pos="287"/>
                <w:tab w:val="left" w:pos="1362"/>
              </w:tabs>
              <w:snapToGrid w:val="0"/>
              <w:ind w:left="175" w:right="100" w:firstLine="7"/>
              <w:rPr>
                <w:rFonts w:ascii="Times New Roman" w:hAnsi="Times New Roman"/>
                <w:sz w:val="16"/>
                <w:szCs w:val="16"/>
                <w:lang w:val="en-US"/>
              </w:rPr>
            </w:pPr>
          </w:p>
        </w:tc>
      </w:tr>
      <w:tr w:rsidR="005C5318" w:rsidRPr="00F23413" w14:paraId="5BE22DE3" w14:textId="77777777" w:rsidTr="005E418B">
        <w:trPr>
          <w:trHeight w:val="846"/>
        </w:trPr>
        <w:tc>
          <w:tcPr>
            <w:tcW w:w="5695" w:type="dxa"/>
            <w:gridSpan w:val="6"/>
            <w:shd w:val="clear" w:color="auto" w:fill="auto"/>
          </w:tcPr>
          <w:p w14:paraId="52560BCE" w14:textId="77777777" w:rsidR="005C5318" w:rsidRPr="00E16672" w:rsidRDefault="005C5318" w:rsidP="005C5318">
            <w:pPr>
              <w:snapToGrid w:val="0"/>
              <w:ind w:left="175" w:right="138" w:firstLine="7"/>
              <w:rPr>
                <w:rFonts w:ascii="Times New Roman" w:hAnsi="Times New Roman"/>
                <w:sz w:val="16"/>
                <w:szCs w:val="16"/>
              </w:rPr>
            </w:pPr>
            <w:r w:rsidRPr="00E16672">
              <w:rPr>
                <w:rFonts w:ascii="Times New Roman" w:hAnsi="Times New Roman"/>
                <w:sz w:val="16"/>
                <w:szCs w:val="16"/>
              </w:rPr>
              <w:t xml:space="preserve">5.4. </w:t>
            </w:r>
            <w:proofErr w:type="spellStart"/>
            <w:r w:rsidRPr="00E16672">
              <w:rPr>
                <w:rFonts w:ascii="Times New Roman" w:hAnsi="Times New Roman"/>
                <w:sz w:val="16"/>
                <w:szCs w:val="16"/>
              </w:rPr>
              <w:t>Сторони</w:t>
            </w:r>
            <w:proofErr w:type="spellEnd"/>
            <w:r w:rsidRPr="00E16672">
              <w:rPr>
                <w:rFonts w:ascii="Times New Roman" w:hAnsi="Times New Roman"/>
                <w:sz w:val="16"/>
                <w:szCs w:val="16"/>
              </w:rPr>
              <w:t xml:space="preserve"> </w:t>
            </w:r>
            <w:proofErr w:type="spellStart"/>
            <w:proofErr w:type="gramStart"/>
            <w:r w:rsidRPr="00E16672">
              <w:rPr>
                <w:rFonts w:ascii="Times New Roman" w:hAnsi="Times New Roman"/>
                <w:sz w:val="16"/>
                <w:szCs w:val="16"/>
              </w:rPr>
              <w:t>несуть</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відповідальність</w:t>
            </w:r>
            <w:proofErr w:type="spellEnd"/>
            <w:proofErr w:type="gramEnd"/>
            <w:r w:rsidRPr="00E16672">
              <w:rPr>
                <w:rFonts w:ascii="Times New Roman" w:hAnsi="Times New Roman"/>
                <w:sz w:val="16"/>
                <w:szCs w:val="16"/>
              </w:rPr>
              <w:t xml:space="preserve"> за </w:t>
            </w:r>
            <w:proofErr w:type="spellStart"/>
            <w:r w:rsidRPr="00E16672">
              <w:rPr>
                <w:rFonts w:ascii="Times New Roman" w:hAnsi="Times New Roman"/>
                <w:sz w:val="16"/>
                <w:szCs w:val="16"/>
              </w:rPr>
              <w:t>невиконання</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або</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неналежне</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виконання</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своїх</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зобов’язань</w:t>
            </w:r>
            <w:proofErr w:type="spellEnd"/>
            <w:r w:rsidRPr="00E16672">
              <w:rPr>
                <w:rFonts w:ascii="Times New Roman" w:hAnsi="Times New Roman"/>
                <w:sz w:val="16"/>
                <w:szCs w:val="16"/>
              </w:rPr>
              <w:t xml:space="preserve"> за </w:t>
            </w:r>
            <w:proofErr w:type="spellStart"/>
            <w:r w:rsidRPr="00E16672">
              <w:rPr>
                <w:rFonts w:ascii="Times New Roman" w:hAnsi="Times New Roman"/>
                <w:sz w:val="16"/>
                <w:szCs w:val="16"/>
              </w:rPr>
              <w:t>цим</w:t>
            </w:r>
            <w:proofErr w:type="spellEnd"/>
            <w:r w:rsidRPr="00E16672">
              <w:rPr>
                <w:rFonts w:ascii="Times New Roman" w:hAnsi="Times New Roman"/>
                <w:sz w:val="16"/>
                <w:szCs w:val="16"/>
              </w:rPr>
              <w:t xml:space="preserve"> Договором </w:t>
            </w:r>
            <w:proofErr w:type="spellStart"/>
            <w:r w:rsidRPr="00E16672">
              <w:rPr>
                <w:rFonts w:ascii="Times New Roman" w:hAnsi="Times New Roman"/>
                <w:sz w:val="16"/>
                <w:szCs w:val="16"/>
              </w:rPr>
              <w:t>відповідно</w:t>
            </w:r>
            <w:proofErr w:type="spellEnd"/>
            <w:r w:rsidRPr="00E16672">
              <w:rPr>
                <w:rFonts w:ascii="Times New Roman" w:hAnsi="Times New Roman"/>
                <w:sz w:val="16"/>
                <w:szCs w:val="16"/>
              </w:rPr>
              <w:t xml:space="preserve"> до </w:t>
            </w:r>
            <w:proofErr w:type="spellStart"/>
            <w:r w:rsidRPr="00E16672">
              <w:rPr>
                <w:rFonts w:ascii="Times New Roman" w:hAnsi="Times New Roman"/>
                <w:sz w:val="16"/>
                <w:szCs w:val="16"/>
              </w:rPr>
              <w:t>законодавства</w:t>
            </w:r>
            <w:proofErr w:type="spellEnd"/>
            <w:r w:rsidRPr="00E16672">
              <w:rPr>
                <w:rFonts w:ascii="Times New Roman" w:hAnsi="Times New Roman"/>
                <w:sz w:val="16"/>
                <w:szCs w:val="16"/>
              </w:rPr>
              <w:t xml:space="preserve">, у тому </w:t>
            </w:r>
            <w:proofErr w:type="spellStart"/>
            <w:r w:rsidRPr="00E16672">
              <w:rPr>
                <w:rFonts w:ascii="Times New Roman" w:hAnsi="Times New Roman"/>
                <w:sz w:val="16"/>
                <w:szCs w:val="16"/>
              </w:rPr>
              <w:t>числі</w:t>
            </w:r>
            <w:proofErr w:type="spellEnd"/>
            <w:r w:rsidRPr="00E16672">
              <w:rPr>
                <w:rFonts w:ascii="Times New Roman" w:hAnsi="Times New Roman"/>
                <w:sz w:val="16"/>
                <w:szCs w:val="16"/>
              </w:rPr>
              <w:t xml:space="preserve"> нормативно-</w:t>
            </w:r>
            <w:proofErr w:type="spellStart"/>
            <w:r w:rsidRPr="00E16672">
              <w:rPr>
                <w:rFonts w:ascii="Times New Roman" w:hAnsi="Times New Roman"/>
                <w:sz w:val="16"/>
                <w:szCs w:val="16"/>
              </w:rPr>
              <w:t>правових</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актів</w:t>
            </w:r>
            <w:proofErr w:type="spellEnd"/>
            <w:r w:rsidRPr="00E16672">
              <w:rPr>
                <w:rFonts w:ascii="Times New Roman" w:hAnsi="Times New Roman"/>
                <w:sz w:val="16"/>
                <w:szCs w:val="16"/>
              </w:rPr>
              <w:t xml:space="preserve"> НКЦПФР.</w:t>
            </w:r>
          </w:p>
          <w:p w14:paraId="4A0FCADB" w14:textId="77777777" w:rsidR="005C5318" w:rsidRPr="00E16672" w:rsidRDefault="005C5318" w:rsidP="005C5318">
            <w:pPr>
              <w:ind w:left="175" w:right="138" w:firstLine="7"/>
              <w:rPr>
                <w:rFonts w:ascii="Times New Roman" w:hAnsi="Times New Roman"/>
                <w:sz w:val="16"/>
                <w:szCs w:val="16"/>
              </w:rPr>
            </w:pPr>
          </w:p>
        </w:tc>
        <w:tc>
          <w:tcPr>
            <w:tcW w:w="5495" w:type="dxa"/>
            <w:gridSpan w:val="6"/>
            <w:shd w:val="clear" w:color="auto" w:fill="auto"/>
          </w:tcPr>
          <w:p w14:paraId="5AE61869" w14:textId="77777777" w:rsidR="005C5318" w:rsidRPr="00E16672" w:rsidRDefault="005C5318" w:rsidP="005C5318">
            <w:pPr>
              <w:pStyle w:val="210"/>
              <w:tabs>
                <w:tab w:val="left" w:pos="287"/>
                <w:tab w:val="left" w:pos="1191"/>
              </w:tabs>
              <w:snapToGrid w:val="0"/>
              <w:ind w:left="175" w:right="100" w:firstLine="7"/>
              <w:rPr>
                <w:rFonts w:ascii="Times New Roman" w:hAnsi="Times New Roman"/>
                <w:sz w:val="16"/>
                <w:szCs w:val="16"/>
              </w:rPr>
            </w:pPr>
            <w:r w:rsidRPr="00E16672">
              <w:rPr>
                <w:rFonts w:ascii="Times New Roman" w:hAnsi="Times New Roman"/>
                <w:sz w:val="16"/>
                <w:szCs w:val="16"/>
              </w:rPr>
              <w:t xml:space="preserve">5.4. </w:t>
            </w:r>
            <w:proofErr w:type="spellStart"/>
            <w:r w:rsidRPr="00E16672">
              <w:rPr>
                <w:rFonts w:ascii="Times New Roman" w:hAnsi="Times New Roman"/>
                <w:sz w:val="16"/>
                <w:szCs w:val="16"/>
              </w:rPr>
              <w:t>Parties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are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responsible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for</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non-performance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or</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improper</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performance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of</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its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obligations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under</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this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Agreement</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in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accordance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with</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law</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including</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regulations</w:t>
            </w:r>
            <w:proofErr w:type="spellEnd"/>
            <w:r w:rsidRPr="00E16672">
              <w:rPr>
                <w:rFonts w:ascii="Times New Roman" w:hAnsi="Times New Roman"/>
                <w:sz w:val="16"/>
                <w:szCs w:val="16"/>
              </w:rPr>
              <w:t xml:space="preserve"> NCSSM.</w:t>
            </w:r>
          </w:p>
          <w:p w14:paraId="484360B7" w14:textId="77777777" w:rsidR="005C5318" w:rsidRPr="00E16672" w:rsidRDefault="005C5318" w:rsidP="005C5318">
            <w:pPr>
              <w:pStyle w:val="210"/>
              <w:tabs>
                <w:tab w:val="left" w:pos="287"/>
                <w:tab w:val="left" w:pos="1191"/>
              </w:tabs>
              <w:snapToGrid w:val="0"/>
              <w:ind w:left="175" w:right="100" w:firstLine="7"/>
              <w:rPr>
                <w:rFonts w:ascii="Times New Roman" w:hAnsi="Times New Roman"/>
                <w:sz w:val="16"/>
                <w:szCs w:val="16"/>
                <w:lang w:val="en-GB"/>
              </w:rPr>
            </w:pPr>
          </w:p>
        </w:tc>
      </w:tr>
      <w:tr w:rsidR="005C5318" w:rsidRPr="00F23413" w14:paraId="0A39AFAF" w14:textId="77777777" w:rsidTr="005E418B">
        <w:trPr>
          <w:trHeight w:val="192"/>
        </w:trPr>
        <w:tc>
          <w:tcPr>
            <w:tcW w:w="5695" w:type="dxa"/>
            <w:gridSpan w:val="6"/>
            <w:shd w:val="clear" w:color="auto" w:fill="auto"/>
          </w:tcPr>
          <w:p w14:paraId="0F073C67" w14:textId="77777777" w:rsidR="005C5318" w:rsidRPr="00E16672" w:rsidRDefault="005C5318" w:rsidP="005C5318">
            <w:pPr>
              <w:snapToGrid w:val="0"/>
              <w:ind w:left="175" w:right="138" w:firstLine="7"/>
              <w:rPr>
                <w:rFonts w:ascii="Times New Roman" w:hAnsi="Times New Roman"/>
                <w:sz w:val="16"/>
                <w:szCs w:val="16"/>
              </w:rPr>
            </w:pPr>
            <w:r w:rsidRPr="00E16672">
              <w:rPr>
                <w:rFonts w:ascii="Times New Roman" w:hAnsi="Times New Roman"/>
                <w:sz w:val="16"/>
                <w:szCs w:val="16"/>
              </w:rPr>
              <w:t xml:space="preserve">5.5. Сторона, яка порушила </w:t>
            </w:r>
            <w:proofErr w:type="spellStart"/>
            <w:r w:rsidRPr="00E16672">
              <w:rPr>
                <w:rFonts w:ascii="Times New Roman" w:hAnsi="Times New Roman"/>
                <w:sz w:val="16"/>
                <w:szCs w:val="16"/>
              </w:rPr>
              <w:t>зобов’язання</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відповідно</w:t>
            </w:r>
            <w:proofErr w:type="spellEnd"/>
            <w:r w:rsidRPr="00E16672">
              <w:rPr>
                <w:rFonts w:ascii="Times New Roman" w:hAnsi="Times New Roman"/>
                <w:sz w:val="16"/>
                <w:szCs w:val="16"/>
              </w:rPr>
              <w:t xml:space="preserve"> до </w:t>
            </w:r>
            <w:proofErr w:type="spellStart"/>
            <w:r w:rsidRPr="00E16672">
              <w:rPr>
                <w:rFonts w:ascii="Times New Roman" w:hAnsi="Times New Roman"/>
                <w:sz w:val="16"/>
                <w:szCs w:val="16"/>
              </w:rPr>
              <w:t>цього</w:t>
            </w:r>
            <w:proofErr w:type="spellEnd"/>
            <w:r w:rsidRPr="00E16672">
              <w:rPr>
                <w:rFonts w:ascii="Times New Roman" w:hAnsi="Times New Roman"/>
                <w:sz w:val="16"/>
                <w:szCs w:val="16"/>
              </w:rPr>
              <w:t xml:space="preserve"> Договору, повинна </w:t>
            </w:r>
            <w:proofErr w:type="spellStart"/>
            <w:r w:rsidRPr="00E16672">
              <w:rPr>
                <w:rFonts w:ascii="Times New Roman" w:hAnsi="Times New Roman"/>
                <w:sz w:val="16"/>
                <w:szCs w:val="16"/>
              </w:rPr>
              <w:t>усунути</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ці</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порушення</w:t>
            </w:r>
            <w:proofErr w:type="spellEnd"/>
            <w:r w:rsidRPr="00E16672">
              <w:rPr>
                <w:rFonts w:ascii="Times New Roman" w:hAnsi="Times New Roman"/>
                <w:sz w:val="16"/>
                <w:szCs w:val="16"/>
              </w:rPr>
              <w:t xml:space="preserve"> в </w:t>
            </w:r>
            <w:proofErr w:type="spellStart"/>
            <w:r w:rsidRPr="00E16672">
              <w:rPr>
                <w:rFonts w:ascii="Times New Roman" w:hAnsi="Times New Roman"/>
                <w:sz w:val="16"/>
                <w:szCs w:val="16"/>
              </w:rPr>
              <w:t>найкоротший</w:t>
            </w:r>
            <w:proofErr w:type="spellEnd"/>
            <w:r w:rsidRPr="00E16672">
              <w:rPr>
                <w:rFonts w:ascii="Times New Roman" w:hAnsi="Times New Roman"/>
                <w:sz w:val="16"/>
                <w:szCs w:val="16"/>
              </w:rPr>
              <w:t xml:space="preserve"> строк.</w:t>
            </w:r>
          </w:p>
        </w:tc>
        <w:tc>
          <w:tcPr>
            <w:tcW w:w="5495" w:type="dxa"/>
            <w:gridSpan w:val="6"/>
            <w:shd w:val="clear" w:color="auto" w:fill="auto"/>
          </w:tcPr>
          <w:p w14:paraId="23A4F437" w14:textId="77777777" w:rsidR="005C5318" w:rsidRPr="00E16672" w:rsidRDefault="005C5318" w:rsidP="005C5318">
            <w:pPr>
              <w:pStyle w:val="210"/>
              <w:tabs>
                <w:tab w:val="left" w:pos="287"/>
                <w:tab w:val="left" w:pos="1191"/>
              </w:tabs>
              <w:snapToGrid w:val="0"/>
              <w:ind w:left="175" w:right="100" w:firstLine="7"/>
              <w:rPr>
                <w:rFonts w:ascii="Times New Roman" w:hAnsi="Times New Roman"/>
                <w:sz w:val="16"/>
                <w:szCs w:val="16"/>
              </w:rPr>
            </w:pPr>
            <w:r w:rsidRPr="00E16672">
              <w:rPr>
                <w:rFonts w:ascii="Times New Roman" w:hAnsi="Times New Roman"/>
                <w:sz w:val="16"/>
                <w:szCs w:val="16"/>
              </w:rPr>
              <w:t xml:space="preserve">5.5.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party</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that</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violated</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obligations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of</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this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Agreement</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should</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remove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violations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in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shortest</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period</w:t>
            </w:r>
            <w:proofErr w:type="spellEnd"/>
            <w:r w:rsidRPr="00E16672">
              <w:rPr>
                <w:rFonts w:ascii="Times New Roman" w:hAnsi="Times New Roman"/>
                <w:sz w:val="16"/>
                <w:szCs w:val="16"/>
              </w:rPr>
              <w:t>.</w:t>
            </w:r>
          </w:p>
        </w:tc>
      </w:tr>
      <w:tr w:rsidR="005C5318" w:rsidRPr="00F23413" w14:paraId="621B8D3C" w14:textId="77777777" w:rsidTr="005E418B">
        <w:trPr>
          <w:trHeight w:val="192"/>
        </w:trPr>
        <w:tc>
          <w:tcPr>
            <w:tcW w:w="5695" w:type="dxa"/>
            <w:gridSpan w:val="6"/>
            <w:shd w:val="clear" w:color="auto" w:fill="auto"/>
          </w:tcPr>
          <w:p w14:paraId="62158DE9" w14:textId="77777777" w:rsidR="005C5318" w:rsidRPr="00E16672" w:rsidRDefault="005C5318" w:rsidP="005C5318">
            <w:pPr>
              <w:ind w:left="175" w:right="138" w:firstLine="7"/>
              <w:rPr>
                <w:rFonts w:ascii="Times New Roman" w:hAnsi="Times New Roman"/>
                <w:color w:val="000000"/>
                <w:sz w:val="16"/>
                <w:szCs w:val="16"/>
                <w:lang w:val="uk-UA"/>
              </w:rPr>
            </w:pPr>
          </w:p>
          <w:p w14:paraId="6FF20C77" w14:textId="77777777" w:rsidR="005C5318" w:rsidRPr="00E16672" w:rsidRDefault="005C5318" w:rsidP="005C5318">
            <w:pPr>
              <w:ind w:left="175" w:right="138" w:firstLine="7"/>
              <w:rPr>
                <w:rFonts w:ascii="Times New Roman" w:hAnsi="Times New Roman"/>
                <w:color w:val="000000"/>
                <w:sz w:val="16"/>
                <w:szCs w:val="16"/>
                <w:lang w:val="uk-UA"/>
              </w:rPr>
            </w:pPr>
            <w:r w:rsidRPr="00E16672">
              <w:rPr>
                <w:rFonts w:ascii="Times New Roman" w:hAnsi="Times New Roman"/>
                <w:color w:val="000000"/>
                <w:sz w:val="16"/>
                <w:szCs w:val="16"/>
              </w:rPr>
              <w:t xml:space="preserve">5.6. </w:t>
            </w:r>
            <w:r w:rsidRPr="00E16672">
              <w:rPr>
                <w:rFonts w:ascii="Times New Roman" w:hAnsi="Times New Roman"/>
                <w:color w:val="000000"/>
                <w:sz w:val="16"/>
                <w:szCs w:val="16"/>
                <w:lang w:val="uk-UA"/>
              </w:rPr>
              <w:t xml:space="preserve">Депозитарна установа несе </w:t>
            </w:r>
            <w:proofErr w:type="spellStart"/>
            <w:r w:rsidRPr="00E16672">
              <w:rPr>
                <w:rFonts w:ascii="Times New Roman" w:hAnsi="Times New Roman"/>
                <w:color w:val="000000"/>
                <w:sz w:val="16"/>
                <w:szCs w:val="16"/>
                <w:lang w:val="uk-UA"/>
              </w:rPr>
              <w:t>вiдповiдальнiсть</w:t>
            </w:r>
            <w:proofErr w:type="spellEnd"/>
            <w:r w:rsidRPr="00E16672">
              <w:rPr>
                <w:rFonts w:ascii="Times New Roman" w:hAnsi="Times New Roman"/>
                <w:color w:val="000000"/>
                <w:sz w:val="16"/>
                <w:szCs w:val="16"/>
              </w:rPr>
              <w:t xml:space="preserve"> </w:t>
            </w:r>
            <w:r w:rsidRPr="00E16672">
              <w:rPr>
                <w:rFonts w:ascii="Times New Roman" w:hAnsi="Times New Roman"/>
                <w:color w:val="000000"/>
                <w:sz w:val="16"/>
                <w:szCs w:val="16"/>
                <w:lang w:val="uk-UA"/>
              </w:rPr>
              <w:t>за:</w:t>
            </w:r>
          </w:p>
          <w:p w14:paraId="33D535DB" w14:textId="77777777" w:rsidR="005C5318" w:rsidRPr="00E16672" w:rsidRDefault="005C5318" w:rsidP="005C5318">
            <w:pPr>
              <w:ind w:left="175" w:right="138" w:firstLine="7"/>
              <w:rPr>
                <w:rFonts w:ascii="Times New Roman" w:hAnsi="Times New Roman"/>
                <w:color w:val="000000"/>
                <w:sz w:val="16"/>
                <w:szCs w:val="16"/>
                <w:lang w:val="uk-UA"/>
              </w:rPr>
            </w:pPr>
            <w:r w:rsidRPr="00E16672">
              <w:rPr>
                <w:rFonts w:ascii="Times New Roman" w:hAnsi="Times New Roman"/>
                <w:color w:val="000000"/>
                <w:sz w:val="16"/>
                <w:szCs w:val="16"/>
                <w:lang w:val="uk-UA"/>
              </w:rPr>
              <w:t xml:space="preserve">- забезпечення режиму конфіденційності щодо Депонента та належних </w:t>
            </w:r>
            <w:proofErr w:type="spellStart"/>
            <w:r w:rsidRPr="00E16672">
              <w:rPr>
                <w:rFonts w:ascii="Times New Roman" w:hAnsi="Times New Roman"/>
                <w:color w:val="000000"/>
                <w:sz w:val="16"/>
                <w:szCs w:val="16"/>
                <w:lang w:val="uk-UA"/>
              </w:rPr>
              <w:t>йом</w:t>
            </w:r>
            <w:r w:rsidR="00C22309" w:rsidRPr="00E16672">
              <w:rPr>
                <w:rFonts w:ascii="Times New Roman" w:hAnsi="Times New Roman"/>
                <w:color w:val="000000"/>
                <w:sz w:val="16"/>
                <w:szCs w:val="16"/>
                <w:lang w:val="uk-UA"/>
              </w:rPr>
              <w:t>в</w:t>
            </w:r>
            <w:proofErr w:type="spellEnd"/>
            <w:r w:rsidR="00C22309" w:rsidRPr="00E16672">
              <w:rPr>
                <w:rFonts w:ascii="Times New Roman" w:hAnsi="Times New Roman"/>
                <w:color w:val="000000"/>
                <w:sz w:val="16"/>
                <w:szCs w:val="16"/>
                <w:lang w:val="uk-UA"/>
              </w:rPr>
              <w:t xml:space="preserve"> цін</w:t>
            </w:r>
            <w:r w:rsidRPr="00E16672">
              <w:rPr>
                <w:rFonts w:ascii="Times New Roman" w:hAnsi="Times New Roman"/>
                <w:color w:val="000000"/>
                <w:sz w:val="16"/>
                <w:szCs w:val="16"/>
                <w:lang w:val="uk-UA"/>
              </w:rPr>
              <w:t>них паперів;</w:t>
            </w:r>
          </w:p>
          <w:p w14:paraId="157FD985" w14:textId="77777777" w:rsidR="005C5318" w:rsidRPr="00E16672" w:rsidRDefault="005C5318" w:rsidP="005C5318">
            <w:pPr>
              <w:ind w:left="175" w:right="138" w:firstLine="7"/>
              <w:rPr>
                <w:rFonts w:ascii="Times New Roman" w:hAnsi="Times New Roman"/>
                <w:color w:val="000000"/>
                <w:sz w:val="16"/>
                <w:szCs w:val="16"/>
                <w:lang w:val="uk-UA"/>
              </w:rPr>
            </w:pPr>
            <w:r w:rsidRPr="00E16672">
              <w:rPr>
                <w:rFonts w:ascii="Times New Roman" w:hAnsi="Times New Roman"/>
                <w:color w:val="000000"/>
                <w:sz w:val="16"/>
                <w:szCs w:val="16"/>
                <w:lang w:val="uk-UA"/>
              </w:rPr>
              <w:t>- підтвердження достовірності підписів Депонента на його розпорядженнях;</w:t>
            </w:r>
          </w:p>
          <w:p w14:paraId="64C87751" w14:textId="77777777" w:rsidR="005C5318" w:rsidRPr="00E16672" w:rsidRDefault="005C5318" w:rsidP="005C5318">
            <w:pPr>
              <w:ind w:left="175" w:right="138" w:firstLine="7"/>
              <w:rPr>
                <w:rFonts w:ascii="Times New Roman" w:hAnsi="Times New Roman"/>
                <w:color w:val="000000"/>
                <w:sz w:val="16"/>
                <w:szCs w:val="16"/>
                <w:lang w:val="uk-UA"/>
              </w:rPr>
            </w:pPr>
            <w:r w:rsidRPr="00E16672">
              <w:rPr>
                <w:rFonts w:ascii="Times New Roman" w:hAnsi="Times New Roman"/>
                <w:color w:val="000000"/>
                <w:sz w:val="16"/>
                <w:szCs w:val="16"/>
                <w:lang w:val="uk-UA"/>
              </w:rPr>
              <w:t>- перевірку розпоряджень на правильність складання та інші перевірки, передбачені чинним законодавством України та внутрішніми документами Депозитарної установи;</w:t>
            </w:r>
          </w:p>
          <w:p w14:paraId="79963A82" w14:textId="77777777" w:rsidR="005C5318" w:rsidRPr="00E16672" w:rsidRDefault="005C5318" w:rsidP="005C5318">
            <w:pPr>
              <w:ind w:left="175" w:right="138" w:firstLine="7"/>
              <w:rPr>
                <w:rFonts w:ascii="Times New Roman" w:hAnsi="Times New Roman"/>
                <w:color w:val="000000"/>
                <w:sz w:val="16"/>
                <w:szCs w:val="16"/>
                <w:lang w:val="uk-UA"/>
              </w:rPr>
            </w:pPr>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rPr>
              <w:t>правильне</w:t>
            </w:r>
            <w:proofErr w:type="spellEnd"/>
            <w:r w:rsidRPr="00E16672">
              <w:rPr>
                <w:rFonts w:ascii="Times New Roman" w:hAnsi="Times New Roman"/>
                <w:color w:val="000000"/>
                <w:sz w:val="16"/>
                <w:szCs w:val="16"/>
                <w:lang w:val="uk-UA"/>
              </w:rPr>
              <w:t xml:space="preserve"> виконання розпоряджень Депонента відповідно до вимог чинного законодавства України;</w:t>
            </w:r>
          </w:p>
          <w:p w14:paraId="134F9680" w14:textId="77777777" w:rsidR="005C5318" w:rsidRPr="00E16672" w:rsidRDefault="005C5318" w:rsidP="005C5318">
            <w:pPr>
              <w:ind w:left="175" w:right="138" w:firstLine="7"/>
              <w:rPr>
                <w:rFonts w:ascii="Times New Roman" w:hAnsi="Times New Roman"/>
                <w:color w:val="000000"/>
                <w:sz w:val="16"/>
                <w:szCs w:val="16"/>
                <w:lang w:val="uk-UA"/>
              </w:rPr>
            </w:pPr>
            <w:r w:rsidRPr="00E16672">
              <w:rPr>
                <w:rFonts w:ascii="Times New Roman" w:hAnsi="Times New Roman"/>
                <w:color w:val="000000"/>
                <w:sz w:val="16"/>
                <w:szCs w:val="16"/>
                <w:lang w:val="uk-UA"/>
              </w:rPr>
              <w:t xml:space="preserve">- дотримання правил обліку при виконанні своїх обов’язків, за </w:t>
            </w:r>
            <w:proofErr w:type="spellStart"/>
            <w:r w:rsidRPr="00E16672">
              <w:rPr>
                <w:rFonts w:ascii="Times New Roman" w:hAnsi="Times New Roman"/>
                <w:color w:val="000000"/>
                <w:sz w:val="16"/>
                <w:szCs w:val="16"/>
              </w:rPr>
              <w:t>правильність</w:t>
            </w:r>
            <w:proofErr w:type="spellEnd"/>
            <w:r w:rsidRPr="00E16672">
              <w:rPr>
                <w:rFonts w:ascii="Times New Roman" w:hAnsi="Times New Roman"/>
                <w:color w:val="000000"/>
                <w:sz w:val="16"/>
                <w:szCs w:val="16"/>
                <w:lang w:val="uk-UA"/>
              </w:rPr>
              <w:t xml:space="preserve"> ведення записів по рахунку </w:t>
            </w:r>
            <w:r w:rsidR="00C22309" w:rsidRPr="00E16672">
              <w:rPr>
                <w:rFonts w:ascii="Times New Roman" w:hAnsi="Times New Roman"/>
                <w:color w:val="000000"/>
                <w:sz w:val="16"/>
                <w:szCs w:val="16"/>
                <w:lang w:val="uk-UA"/>
              </w:rPr>
              <w:t>в цін</w:t>
            </w:r>
            <w:r w:rsidRPr="00E16672">
              <w:rPr>
                <w:rFonts w:ascii="Times New Roman" w:hAnsi="Times New Roman"/>
                <w:color w:val="000000"/>
                <w:sz w:val="16"/>
                <w:szCs w:val="16"/>
                <w:lang w:val="uk-UA"/>
              </w:rPr>
              <w:t>них паперах;</w:t>
            </w:r>
          </w:p>
          <w:p w14:paraId="6F4D56FB" w14:textId="77777777" w:rsidR="005C5318" w:rsidRPr="00E16672" w:rsidRDefault="005C5318" w:rsidP="005C5318">
            <w:pPr>
              <w:ind w:left="175" w:right="138" w:firstLine="7"/>
              <w:rPr>
                <w:rFonts w:ascii="Times New Roman" w:hAnsi="Times New Roman"/>
                <w:color w:val="000000"/>
                <w:sz w:val="16"/>
                <w:szCs w:val="16"/>
                <w:lang w:val="uk-UA"/>
              </w:rPr>
            </w:pPr>
            <w:r w:rsidRPr="00E16672">
              <w:rPr>
                <w:rFonts w:ascii="Times New Roman" w:hAnsi="Times New Roman"/>
                <w:color w:val="000000"/>
                <w:sz w:val="16"/>
                <w:szCs w:val="16"/>
                <w:lang w:val="uk-UA"/>
              </w:rPr>
              <w:t xml:space="preserve">- облік цінних паперів Депонента та прав за цінними паперами у Депозитарній установі на рахунку </w:t>
            </w:r>
            <w:r w:rsidR="00C22309" w:rsidRPr="00E16672">
              <w:rPr>
                <w:rFonts w:ascii="Times New Roman" w:hAnsi="Times New Roman"/>
                <w:color w:val="000000"/>
                <w:sz w:val="16"/>
                <w:szCs w:val="16"/>
                <w:lang w:val="uk-UA"/>
              </w:rPr>
              <w:t>в цін</w:t>
            </w:r>
            <w:r w:rsidRPr="00E16672">
              <w:rPr>
                <w:rFonts w:ascii="Times New Roman" w:hAnsi="Times New Roman"/>
                <w:color w:val="000000"/>
                <w:sz w:val="16"/>
                <w:szCs w:val="16"/>
                <w:lang w:val="uk-UA"/>
              </w:rPr>
              <w:t>них паперах Депонента.</w:t>
            </w:r>
          </w:p>
          <w:p w14:paraId="050EDB04" w14:textId="77777777" w:rsidR="005C5318" w:rsidRPr="00E16672" w:rsidRDefault="005C5318" w:rsidP="005C5318">
            <w:pPr>
              <w:numPr>
                <w:ilvl w:val="0"/>
                <w:numId w:val="4"/>
              </w:numPr>
              <w:tabs>
                <w:tab w:val="left" w:pos="57"/>
                <w:tab w:val="left" w:pos="417"/>
                <w:tab w:val="left" w:pos="809"/>
              </w:tabs>
              <w:autoSpaceDE w:val="0"/>
              <w:ind w:left="175" w:right="138" w:firstLine="7"/>
              <w:rPr>
                <w:rFonts w:ascii="Times New Roman" w:hAnsi="Times New Roman"/>
                <w:color w:val="000000"/>
                <w:sz w:val="16"/>
                <w:szCs w:val="16"/>
              </w:rPr>
            </w:pPr>
          </w:p>
        </w:tc>
        <w:tc>
          <w:tcPr>
            <w:tcW w:w="5495" w:type="dxa"/>
            <w:gridSpan w:val="6"/>
            <w:shd w:val="clear" w:color="auto" w:fill="auto"/>
          </w:tcPr>
          <w:p w14:paraId="25F4D76F" w14:textId="77777777" w:rsidR="005C5318" w:rsidRPr="00E16672" w:rsidRDefault="005C5318" w:rsidP="005C5318">
            <w:pPr>
              <w:pStyle w:val="210"/>
              <w:tabs>
                <w:tab w:val="left" w:pos="365"/>
              </w:tabs>
              <w:snapToGrid w:val="0"/>
              <w:ind w:left="175" w:right="138" w:firstLine="7"/>
              <w:rPr>
                <w:rFonts w:ascii="Times New Roman" w:hAnsi="Times New Roman"/>
                <w:color w:val="000000"/>
                <w:sz w:val="16"/>
                <w:szCs w:val="16"/>
                <w:lang w:val="ru-RU"/>
              </w:rPr>
            </w:pPr>
          </w:p>
          <w:p w14:paraId="3CF992E5" w14:textId="77777777" w:rsidR="005C5318" w:rsidRPr="00E16672" w:rsidRDefault="005C5318" w:rsidP="005C5318">
            <w:pPr>
              <w:pStyle w:val="210"/>
              <w:tabs>
                <w:tab w:val="left" w:pos="365"/>
              </w:tabs>
              <w:snapToGrid w:val="0"/>
              <w:ind w:left="175" w:right="100" w:firstLine="7"/>
              <w:rPr>
                <w:rFonts w:ascii="Times New Roman" w:hAnsi="Times New Roman"/>
                <w:color w:val="000000"/>
                <w:sz w:val="16"/>
                <w:szCs w:val="16"/>
                <w:lang w:val="en-GB"/>
              </w:rPr>
            </w:pPr>
            <w:r w:rsidRPr="00E16672">
              <w:rPr>
                <w:rFonts w:ascii="Times New Roman" w:hAnsi="Times New Roman"/>
                <w:color w:val="000000"/>
                <w:sz w:val="16"/>
                <w:szCs w:val="16"/>
                <w:lang w:val="en-GB"/>
              </w:rPr>
              <w:t>5.6. Depository institution shall be liable</w:t>
            </w:r>
            <w:r w:rsidRPr="00E16672">
              <w:rPr>
                <w:rFonts w:ascii="Times New Roman" w:hAnsi="Times New Roman"/>
                <w:color w:val="000000"/>
                <w:sz w:val="16"/>
                <w:szCs w:val="16"/>
              </w:rPr>
              <w:t xml:space="preserve"> </w:t>
            </w:r>
            <w:r w:rsidRPr="00E16672">
              <w:rPr>
                <w:rFonts w:ascii="Times New Roman" w:hAnsi="Times New Roman"/>
                <w:color w:val="000000"/>
                <w:sz w:val="16"/>
                <w:szCs w:val="16"/>
                <w:lang w:val="en-GB"/>
              </w:rPr>
              <w:t>for:</w:t>
            </w:r>
          </w:p>
          <w:p w14:paraId="4D851F4D" w14:textId="77777777" w:rsidR="005C5318" w:rsidRPr="00E16672" w:rsidRDefault="005C5318" w:rsidP="005C5318">
            <w:pPr>
              <w:tabs>
                <w:tab w:val="left" w:pos="0"/>
                <w:tab w:val="left" w:pos="57"/>
                <w:tab w:val="left" w:pos="417"/>
              </w:tabs>
              <w:autoSpaceDE w:val="0"/>
              <w:ind w:left="175" w:right="100" w:firstLine="7"/>
              <w:rPr>
                <w:rFonts w:ascii="Times New Roman" w:hAnsi="Times New Roman"/>
                <w:color w:val="000000"/>
                <w:sz w:val="16"/>
                <w:szCs w:val="16"/>
                <w:lang w:val="en-GB"/>
              </w:rPr>
            </w:pPr>
            <w:r w:rsidRPr="00E16672">
              <w:rPr>
                <w:rFonts w:ascii="Times New Roman" w:hAnsi="Times New Roman"/>
                <w:color w:val="000000"/>
                <w:sz w:val="16"/>
                <w:szCs w:val="16"/>
                <w:lang w:val="en-GB"/>
              </w:rPr>
              <w:t>- providing the confidentiality of the Depositor and of its own securities;</w:t>
            </w:r>
          </w:p>
          <w:p w14:paraId="070EAB16" w14:textId="77777777" w:rsidR="005C5318" w:rsidRPr="00E16672" w:rsidRDefault="005C5318" w:rsidP="005C5318">
            <w:pPr>
              <w:tabs>
                <w:tab w:val="left" w:pos="0"/>
                <w:tab w:val="left" w:pos="57"/>
                <w:tab w:val="left" w:pos="417"/>
              </w:tabs>
              <w:autoSpaceDE w:val="0"/>
              <w:ind w:left="175" w:right="100" w:firstLine="7"/>
              <w:rPr>
                <w:rFonts w:ascii="Times New Roman" w:hAnsi="Times New Roman"/>
                <w:color w:val="000000"/>
                <w:sz w:val="16"/>
                <w:szCs w:val="16"/>
                <w:lang w:val="en-GB"/>
              </w:rPr>
            </w:pPr>
          </w:p>
          <w:p w14:paraId="58C623DD" w14:textId="77777777" w:rsidR="005C5318" w:rsidRPr="00E16672" w:rsidRDefault="005C5318" w:rsidP="005C5318">
            <w:pPr>
              <w:tabs>
                <w:tab w:val="left" w:pos="0"/>
                <w:tab w:val="left" w:pos="57"/>
                <w:tab w:val="left" w:pos="417"/>
              </w:tabs>
              <w:autoSpaceDE w:val="0"/>
              <w:ind w:left="175" w:right="100" w:firstLine="7"/>
              <w:rPr>
                <w:rFonts w:ascii="Times New Roman" w:hAnsi="Times New Roman"/>
                <w:color w:val="000000"/>
                <w:sz w:val="16"/>
                <w:szCs w:val="16"/>
                <w:lang w:val="en-GB"/>
              </w:rPr>
            </w:pPr>
            <w:r w:rsidRPr="00E16672">
              <w:rPr>
                <w:rFonts w:ascii="Times New Roman" w:hAnsi="Times New Roman"/>
                <w:color w:val="000000"/>
                <w:sz w:val="16"/>
                <w:szCs w:val="16"/>
                <w:lang w:val="en-GB"/>
              </w:rPr>
              <w:t xml:space="preserve"> - proving the Depositor’s signatures on his orders;</w:t>
            </w:r>
          </w:p>
          <w:p w14:paraId="445AA9F4" w14:textId="77777777" w:rsidR="005C5318" w:rsidRPr="00E16672" w:rsidRDefault="005C5318" w:rsidP="005C5318">
            <w:pPr>
              <w:tabs>
                <w:tab w:val="left" w:pos="0"/>
                <w:tab w:val="left" w:pos="57"/>
                <w:tab w:val="left" w:pos="417"/>
              </w:tabs>
              <w:autoSpaceDE w:val="0"/>
              <w:ind w:left="175" w:right="100" w:firstLine="7"/>
              <w:rPr>
                <w:rFonts w:ascii="Times New Roman" w:hAnsi="Times New Roman"/>
                <w:color w:val="000000"/>
                <w:sz w:val="16"/>
                <w:szCs w:val="16"/>
                <w:lang w:val="en-GB"/>
              </w:rPr>
            </w:pPr>
          </w:p>
          <w:p w14:paraId="6536D938" w14:textId="77777777" w:rsidR="005C5318" w:rsidRPr="00E16672" w:rsidRDefault="005C5318" w:rsidP="005C5318">
            <w:pPr>
              <w:tabs>
                <w:tab w:val="left" w:pos="107"/>
                <w:tab w:val="left" w:pos="467"/>
              </w:tabs>
              <w:autoSpaceDE w:val="0"/>
              <w:snapToGrid w:val="0"/>
              <w:ind w:left="175" w:right="100" w:firstLine="7"/>
              <w:rPr>
                <w:rFonts w:ascii="Times New Roman" w:hAnsi="Times New Roman"/>
                <w:color w:val="000000"/>
                <w:sz w:val="16"/>
                <w:szCs w:val="16"/>
                <w:lang w:val="en-GB"/>
              </w:rPr>
            </w:pPr>
            <w:r w:rsidRPr="00E16672">
              <w:rPr>
                <w:rFonts w:ascii="Times New Roman" w:hAnsi="Times New Roman"/>
                <w:color w:val="000000"/>
                <w:sz w:val="16"/>
                <w:szCs w:val="16"/>
                <w:lang w:val="en-GB"/>
              </w:rPr>
              <w:t>-  checking the orders on the validation of filling the written instruction and for another checking according to the current legislation of Ukraine and internal documents of the Depository institution;</w:t>
            </w:r>
          </w:p>
          <w:p w14:paraId="0438228C" w14:textId="77777777" w:rsidR="005C5318" w:rsidRPr="00E16672" w:rsidRDefault="005C5318" w:rsidP="005C5318">
            <w:pPr>
              <w:tabs>
                <w:tab w:val="left" w:pos="0"/>
                <w:tab w:val="left" w:pos="57"/>
                <w:tab w:val="left" w:pos="417"/>
              </w:tabs>
              <w:autoSpaceDE w:val="0"/>
              <w:ind w:left="175" w:right="100" w:firstLine="7"/>
              <w:rPr>
                <w:rFonts w:ascii="Times New Roman" w:hAnsi="Times New Roman"/>
                <w:color w:val="000000"/>
                <w:sz w:val="16"/>
                <w:szCs w:val="16"/>
                <w:lang w:val="en-GB"/>
              </w:rPr>
            </w:pPr>
            <w:r w:rsidRPr="00E16672">
              <w:rPr>
                <w:rFonts w:ascii="Times New Roman" w:hAnsi="Times New Roman"/>
                <w:color w:val="000000"/>
                <w:sz w:val="16"/>
                <w:szCs w:val="16"/>
                <w:lang w:val="en-GB"/>
              </w:rPr>
              <w:t xml:space="preserve">-  correct execution of the Depositor’s orders </w:t>
            </w:r>
            <w:r w:rsidRPr="00F23413">
              <w:rPr>
                <w:rFonts w:ascii="Times New Roman" w:hAnsi="Times New Roman"/>
                <w:sz w:val="16"/>
                <w:szCs w:val="16"/>
                <w:lang w:val="en-US"/>
              </w:rPr>
              <w:t>in accordance with</w:t>
            </w:r>
            <w:r w:rsidRPr="00E16672">
              <w:rPr>
                <w:rFonts w:ascii="Times New Roman" w:hAnsi="Times New Roman"/>
                <w:color w:val="000000"/>
                <w:sz w:val="16"/>
                <w:szCs w:val="16"/>
                <w:lang w:val="en-GB"/>
              </w:rPr>
              <w:t xml:space="preserve"> the current legislation of Ukraine;</w:t>
            </w:r>
          </w:p>
          <w:p w14:paraId="7892093B" w14:textId="77777777" w:rsidR="005C5318" w:rsidRPr="00E16672" w:rsidRDefault="005C5318" w:rsidP="005C5318">
            <w:pPr>
              <w:ind w:left="175" w:right="100" w:firstLine="7"/>
              <w:rPr>
                <w:rFonts w:ascii="Times New Roman" w:hAnsi="Times New Roman"/>
                <w:color w:val="000000"/>
                <w:sz w:val="16"/>
                <w:szCs w:val="16"/>
                <w:lang w:val="en-US"/>
              </w:rPr>
            </w:pPr>
            <w:r w:rsidRPr="00E16672">
              <w:rPr>
                <w:rFonts w:ascii="Times New Roman" w:hAnsi="Times New Roman"/>
                <w:color w:val="000000"/>
                <w:sz w:val="16"/>
                <w:szCs w:val="16"/>
                <w:lang w:val="en-GB"/>
              </w:rPr>
              <w:t xml:space="preserve">- compliance with accounting rules in carrying out their duties, </w:t>
            </w:r>
            <w:r w:rsidRPr="00E16672">
              <w:rPr>
                <w:rFonts w:ascii="Times New Roman" w:hAnsi="Times New Roman"/>
                <w:color w:val="000000"/>
                <w:sz w:val="16"/>
                <w:szCs w:val="16"/>
                <w:lang w:val="en-US"/>
              </w:rPr>
              <w:t xml:space="preserve">correctness of </w:t>
            </w:r>
            <w:r w:rsidRPr="00E16672">
              <w:rPr>
                <w:rFonts w:ascii="Times New Roman" w:hAnsi="Times New Roman"/>
                <w:color w:val="000000"/>
                <w:sz w:val="16"/>
                <w:szCs w:val="16"/>
                <w:lang w:val="en-GB"/>
              </w:rPr>
              <w:t>recording on a securities account;</w:t>
            </w:r>
          </w:p>
          <w:p w14:paraId="15791B5D" w14:textId="77777777" w:rsidR="005C5318" w:rsidRPr="00E16672" w:rsidRDefault="005C5318" w:rsidP="005C5318">
            <w:pPr>
              <w:tabs>
                <w:tab w:val="left" w:pos="148"/>
                <w:tab w:val="left" w:pos="417"/>
              </w:tabs>
              <w:autoSpaceDE w:val="0"/>
              <w:ind w:left="175" w:right="100" w:firstLine="7"/>
              <w:rPr>
                <w:rFonts w:ascii="Times New Roman" w:hAnsi="Times New Roman"/>
                <w:color w:val="000000"/>
                <w:sz w:val="16"/>
                <w:szCs w:val="16"/>
                <w:lang w:val="en-GB"/>
              </w:rPr>
            </w:pPr>
            <w:r w:rsidRPr="00E16672">
              <w:rPr>
                <w:rFonts w:ascii="Times New Roman" w:hAnsi="Times New Roman"/>
                <w:color w:val="000000"/>
                <w:sz w:val="16"/>
                <w:szCs w:val="16"/>
                <w:lang w:val="en-GB"/>
              </w:rPr>
              <w:t xml:space="preserve">- </w:t>
            </w:r>
            <w:r w:rsidRPr="00F23413">
              <w:rPr>
                <w:rStyle w:val="shorttext"/>
                <w:rFonts w:ascii="Times New Roman" w:hAnsi="Times New Roman"/>
                <w:sz w:val="16"/>
                <w:szCs w:val="16"/>
                <w:lang w:val="en-US"/>
              </w:rPr>
              <w:t>accounting</w:t>
            </w:r>
            <w:r w:rsidRPr="00E16672" w:rsidDel="003E2F8C">
              <w:rPr>
                <w:rFonts w:ascii="Times New Roman" w:hAnsi="Times New Roman"/>
                <w:color w:val="000000"/>
                <w:sz w:val="16"/>
                <w:szCs w:val="16"/>
                <w:lang w:val="en-GB"/>
              </w:rPr>
              <w:t xml:space="preserve"> </w:t>
            </w:r>
            <w:r w:rsidRPr="00E16672">
              <w:rPr>
                <w:rFonts w:ascii="Times New Roman" w:hAnsi="Times New Roman"/>
                <w:color w:val="000000"/>
                <w:sz w:val="16"/>
                <w:szCs w:val="16"/>
                <w:lang w:val="en-GB"/>
              </w:rPr>
              <w:t xml:space="preserve">the Depositor’s securities </w:t>
            </w:r>
            <w:r w:rsidRPr="00F23413">
              <w:rPr>
                <w:rStyle w:val="shorttext"/>
                <w:rFonts w:ascii="Times New Roman" w:hAnsi="Times New Roman"/>
                <w:sz w:val="16"/>
                <w:szCs w:val="16"/>
                <w:lang w:val="en-US"/>
              </w:rPr>
              <w:t>and securities rights</w:t>
            </w:r>
            <w:r w:rsidRPr="00E16672">
              <w:rPr>
                <w:rFonts w:ascii="Times New Roman" w:hAnsi="Times New Roman"/>
                <w:color w:val="000000"/>
                <w:sz w:val="16"/>
                <w:szCs w:val="16"/>
                <w:lang w:val="en-GB"/>
              </w:rPr>
              <w:t xml:space="preserve"> in Depository institution on Depositor’s account in securities.</w:t>
            </w:r>
          </w:p>
        </w:tc>
      </w:tr>
      <w:tr w:rsidR="005C5318" w:rsidRPr="00F23413" w14:paraId="3BF37A40" w14:textId="77777777" w:rsidTr="005E418B">
        <w:trPr>
          <w:trHeight w:val="192"/>
        </w:trPr>
        <w:tc>
          <w:tcPr>
            <w:tcW w:w="5695" w:type="dxa"/>
            <w:gridSpan w:val="6"/>
            <w:shd w:val="clear" w:color="auto" w:fill="auto"/>
          </w:tcPr>
          <w:p w14:paraId="56061774" w14:textId="77777777" w:rsidR="005C5318" w:rsidRPr="00E16672" w:rsidRDefault="005C5318" w:rsidP="005C5318">
            <w:pPr>
              <w:widowControl w:val="0"/>
              <w:snapToGrid w:val="0"/>
              <w:ind w:left="175" w:right="138" w:firstLine="7"/>
              <w:rPr>
                <w:rFonts w:ascii="Times New Roman" w:hAnsi="Times New Roman"/>
                <w:sz w:val="16"/>
                <w:szCs w:val="16"/>
                <w:lang w:val="uk-UA"/>
              </w:rPr>
            </w:pPr>
            <w:r w:rsidRPr="00E16672">
              <w:rPr>
                <w:rFonts w:ascii="Times New Roman" w:hAnsi="Times New Roman"/>
                <w:sz w:val="16"/>
                <w:szCs w:val="16"/>
              </w:rPr>
              <w:t xml:space="preserve">5.7. </w:t>
            </w:r>
            <w:proofErr w:type="spellStart"/>
            <w:r w:rsidRPr="00E16672">
              <w:rPr>
                <w:rFonts w:ascii="Times New Roman" w:hAnsi="Times New Roman"/>
                <w:sz w:val="16"/>
                <w:szCs w:val="16"/>
              </w:rPr>
              <w:t>Депозитарна</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установа</w:t>
            </w:r>
            <w:proofErr w:type="spellEnd"/>
            <w:r w:rsidRPr="00E16672">
              <w:rPr>
                <w:rFonts w:ascii="Times New Roman" w:hAnsi="Times New Roman"/>
                <w:sz w:val="16"/>
                <w:szCs w:val="16"/>
              </w:rPr>
              <w:t xml:space="preserve"> не </w:t>
            </w:r>
            <w:proofErr w:type="spellStart"/>
            <w:r w:rsidRPr="00E16672">
              <w:rPr>
                <w:rFonts w:ascii="Times New Roman" w:hAnsi="Times New Roman"/>
                <w:sz w:val="16"/>
                <w:szCs w:val="16"/>
              </w:rPr>
              <w:t>несе</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відповідальності</w:t>
            </w:r>
            <w:proofErr w:type="spellEnd"/>
            <w:r w:rsidRPr="00E16672">
              <w:rPr>
                <w:rFonts w:ascii="Times New Roman" w:hAnsi="Times New Roman"/>
                <w:sz w:val="16"/>
                <w:szCs w:val="16"/>
              </w:rPr>
              <w:t xml:space="preserve"> перед Депонентом за</w:t>
            </w:r>
            <w:r w:rsidRPr="00E16672">
              <w:rPr>
                <w:rFonts w:ascii="Times New Roman" w:hAnsi="Times New Roman"/>
                <w:sz w:val="16"/>
                <w:szCs w:val="16"/>
                <w:lang w:val="uk-UA"/>
              </w:rPr>
              <w:t>:</w:t>
            </w:r>
          </w:p>
          <w:p w14:paraId="42BEA31E" w14:textId="77777777" w:rsidR="005C5318" w:rsidRPr="00E16672" w:rsidRDefault="005C5318" w:rsidP="000D0438">
            <w:pPr>
              <w:widowControl w:val="0"/>
              <w:numPr>
                <w:ilvl w:val="0"/>
                <w:numId w:val="14"/>
              </w:numPr>
              <w:snapToGrid w:val="0"/>
              <w:ind w:left="175" w:right="138" w:firstLine="7"/>
              <w:rPr>
                <w:rFonts w:ascii="Times New Roman" w:hAnsi="Times New Roman"/>
                <w:sz w:val="16"/>
                <w:szCs w:val="16"/>
                <w:lang w:val="uk-UA"/>
              </w:rPr>
            </w:pPr>
            <w:r w:rsidRPr="00E16672">
              <w:rPr>
                <w:rFonts w:ascii="Times New Roman" w:hAnsi="Times New Roman"/>
                <w:sz w:val="16"/>
                <w:szCs w:val="16"/>
                <w:lang w:val="uk-UA"/>
              </w:rPr>
              <w:t>шкоду, заподіяну діями або бездіяльністю Депозитарної установи, якщо ці дії (бездіяльність) здійснювались Депозитарною установою за письмовими розпорядженнями Депонента, виникли внаслідок дій (бездіяльності) інших учасників депозитарної системи;</w:t>
            </w:r>
          </w:p>
          <w:p w14:paraId="268497E8" w14:textId="77777777" w:rsidR="005C5318" w:rsidRPr="00E16672" w:rsidRDefault="005C5318" w:rsidP="000D0438">
            <w:pPr>
              <w:numPr>
                <w:ilvl w:val="0"/>
                <w:numId w:val="14"/>
              </w:numPr>
              <w:ind w:left="175" w:firstLine="7"/>
              <w:rPr>
                <w:rStyle w:val="rvts0"/>
                <w:rFonts w:ascii="Times New Roman" w:hAnsi="Times New Roman"/>
                <w:color w:val="000000"/>
                <w:sz w:val="16"/>
                <w:szCs w:val="16"/>
                <w:lang w:val="uk-UA"/>
              </w:rPr>
            </w:pPr>
            <w:r w:rsidRPr="00E16672">
              <w:rPr>
                <w:rFonts w:ascii="Times New Roman" w:hAnsi="Times New Roman"/>
                <w:color w:val="000000"/>
                <w:sz w:val="16"/>
                <w:szCs w:val="16"/>
                <w:lang w:val="uk-UA"/>
              </w:rPr>
              <w:t xml:space="preserve">суми та порядок нарахування емітентом </w:t>
            </w:r>
            <w:r w:rsidRPr="00E16672">
              <w:rPr>
                <w:rStyle w:val="rvts0"/>
                <w:rFonts w:ascii="Times New Roman" w:hAnsi="Times New Roman"/>
                <w:sz w:val="16"/>
                <w:szCs w:val="16"/>
                <w:lang w:val="uk-UA"/>
              </w:rPr>
              <w:t>виплат доходу та інших виплат, що здійснюються (здійснювалися) відповідно до закону, за цінними паперами, права на які обліковуються на рахунку в цінних паперах Депонента, що надаються Депозитарній установі для виплат Депоненту;</w:t>
            </w:r>
          </w:p>
          <w:p w14:paraId="47C4693C" w14:textId="77777777" w:rsidR="005C5318" w:rsidRPr="00E16672" w:rsidRDefault="005C5318" w:rsidP="000D0438">
            <w:pPr>
              <w:numPr>
                <w:ilvl w:val="0"/>
                <w:numId w:val="14"/>
              </w:numPr>
              <w:ind w:left="175" w:firstLine="7"/>
              <w:rPr>
                <w:rFonts w:ascii="Times New Roman" w:hAnsi="Times New Roman"/>
                <w:sz w:val="16"/>
                <w:szCs w:val="16"/>
                <w:lang w:val="uk-UA"/>
              </w:rPr>
            </w:pPr>
            <w:r w:rsidRPr="00E16672">
              <w:rPr>
                <w:rFonts w:ascii="Times New Roman" w:hAnsi="Times New Roman"/>
                <w:color w:val="000000"/>
                <w:sz w:val="16"/>
                <w:szCs w:val="16"/>
                <w:lang w:val="uk-UA"/>
              </w:rPr>
              <w:t xml:space="preserve">неможливість перерахувати, не перерахування, несвоєчасне перерахування </w:t>
            </w:r>
            <w:r w:rsidRPr="00E16672">
              <w:rPr>
                <w:rStyle w:val="rvts0"/>
                <w:rFonts w:ascii="Times New Roman" w:hAnsi="Times New Roman"/>
                <w:sz w:val="16"/>
                <w:szCs w:val="16"/>
                <w:lang w:val="uk-UA"/>
              </w:rPr>
              <w:t>виплат доходу та інших виплат, що здійснюються (здійснювалися) відповідно до закону, за цінними паперами, права на які обліковуються на рахунку в цінних паперах Депонента, на банківський рахунок Депонента або поштовим переказом на поштову адресу Депонента – у разі відсутності на рахунку в цінних паперах інформації, необхідної для здійснення перерахування зазначених коштів, або недостовірності такої інформації.</w:t>
            </w:r>
          </w:p>
        </w:tc>
        <w:tc>
          <w:tcPr>
            <w:tcW w:w="5495" w:type="dxa"/>
            <w:gridSpan w:val="6"/>
            <w:shd w:val="clear" w:color="auto" w:fill="auto"/>
          </w:tcPr>
          <w:p w14:paraId="5506075A" w14:textId="77777777" w:rsidR="005C5318" w:rsidRPr="00E16672" w:rsidRDefault="005C5318" w:rsidP="005C5318">
            <w:pPr>
              <w:tabs>
                <w:tab w:val="left" w:pos="0"/>
                <w:tab w:val="left" w:pos="574"/>
              </w:tabs>
              <w:autoSpaceDE w:val="0"/>
              <w:snapToGrid w:val="0"/>
              <w:ind w:left="175" w:right="138" w:firstLine="7"/>
              <w:rPr>
                <w:rFonts w:ascii="Times New Roman" w:hAnsi="Times New Roman"/>
                <w:sz w:val="16"/>
                <w:szCs w:val="16"/>
                <w:lang w:val="uk-UA"/>
              </w:rPr>
            </w:pPr>
            <w:r w:rsidRPr="00E16672">
              <w:rPr>
                <w:rFonts w:ascii="Times New Roman" w:hAnsi="Times New Roman"/>
                <w:sz w:val="16"/>
                <w:szCs w:val="16"/>
                <w:lang w:val="uk-UA"/>
              </w:rPr>
              <w:t xml:space="preserve"> </w:t>
            </w:r>
            <w:r w:rsidRPr="00E16672">
              <w:rPr>
                <w:rFonts w:ascii="Times New Roman" w:hAnsi="Times New Roman"/>
                <w:sz w:val="16"/>
                <w:szCs w:val="16"/>
                <w:lang w:val="en-GB"/>
              </w:rPr>
              <w:t xml:space="preserve">5.7. Depository institution is not liable to the </w:t>
            </w:r>
            <w:r w:rsidRPr="00E16672">
              <w:rPr>
                <w:rFonts w:ascii="Times New Roman" w:hAnsi="Times New Roman"/>
                <w:sz w:val="16"/>
                <w:szCs w:val="16"/>
                <w:lang w:val="en-US"/>
              </w:rPr>
              <w:t>D</w:t>
            </w:r>
            <w:proofErr w:type="spellStart"/>
            <w:r w:rsidRPr="00E16672">
              <w:rPr>
                <w:rFonts w:ascii="Times New Roman" w:hAnsi="Times New Roman"/>
                <w:sz w:val="16"/>
                <w:szCs w:val="16"/>
                <w:lang w:val="en-GB"/>
              </w:rPr>
              <w:t>epositor</w:t>
            </w:r>
            <w:proofErr w:type="spellEnd"/>
            <w:r w:rsidRPr="00E16672">
              <w:rPr>
                <w:rFonts w:ascii="Times New Roman" w:hAnsi="Times New Roman"/>
                <w:sz w:val="16"/>
                <w:szCs w:val="16"/>
                <w:lang w:val="en-GB"/>
              </w:rPr>
              <w:t xml:space="preserve"> for</w:t>
            </w:r>
            <w:r w:rsidRPr="00E16672">
              <w:rPr>
                <w:rFonts w:ascii="Times New Roman" w:hAnsi="Times New Roman"/>
                <w:sz w:val="16"/>
                <w:szCs w:val="16"/>
                <w:lang w:val="uk-UA"/>
              </w:rPr>
              <w:t>:</w:t>
            </w:r>
          </w:p>
          <w:p w14:paraId="6354D864" w14:textId="77777777" w:rsidR="005C5318" w:rsidRPr="00E16672" w:rsidRDefault="005C5318" w:rsidP="005C5318">
            <w:pPr>
              <w:tabs>
                <w:tab w:val="left" w:pos="0"/>
                <w:tab w:val="left" w:pos="574"/>
              </w:tabs>
              <w:autoSpaceDE w:val="0"/>
              <w:snapToGrid w:val="0"/>
              <w:ind w:left="175" w:right="138" w:firstLine="7"/>
              <w:rPr>
                <w:rFonts w:ascii="Times New Roman" w:hAnsi="Times New Roman"/>
                <w:sz w:val="16"/>
                <w:szCs w:val="16"/>
                <w:lang w:val="uk-UA"/>
              </w:rPr>
            </w:pPr>
          </w:p>
          <w:p w14:paraId="48FE6638" w14:textId="77777777" w:rsidR="005C5318" w:rsidRPr="00E16672" w:rsidRDefault="005C5318" w:rsidP="000D0438">
            <w:pPr>
              <w:numPr>
                <w:ilvl w:val="0"/>
                <w:numId w:val="15"/>
              </w:numPr>
              <w:tabs>
                <w:tab w:val="left" w:pos="148"/>
                <w:tab w:val="left" w:pos="574"/>
              </w:tabs>
              <w:autoSpaceDE w:val="0"/>
              <w:snapToGrid w:val="0"/>
              <w:ind w:left="175" w:right="138" w:firstLine="7"/>
              <w:rPr>
                <w:rFonts w:ascii="Times New Roman" w:hAnsi="Times New Roman"/>
                <w:sz w:val="16"/>
                <w:szCs w:val="16"/>
                <w:lang w:val="en-GB"/>
              </w:rPr>
            </w:pPr>
            <w:r w:rsidRPr="00E16672">
              <w:rPr>
                <w:rFonts w:ascii="Times New Roman" w:hAnsi="Times New Roman"/>
                <w:sz w:val="16"/>
                <w:szCs w:val="16"/>
                <w:lang w:val="en-GB"/>
              </w:rPr>
              <w:t xml:space="preserve">damages caused by acts or omissions of the </w:t>
            </w:r>
            <w:r w:rsidRPr="00E16672">
              <w:rPr>
                <w:rFonts w:ascii="Times New Roman" w:hAnsi="Times New Roman"/>
                <w:sz w:val="16"/>
                <w:szCs w:val="16"/>
                <w:lang w:val="en-US"/>
              </w:rPr>
              <w:t>D</w:t>
            </w:r>
            <w:proofErr w:type="spellStart"/>
            <w:r w:rsidRPr="00E16672">
              <w:rPr>
                <w:rFonts w:ascii="Times New Roman" w:hAnsi="Times New Roman"/>
                <w:sz w:val="16"/>
                <w:szCs w:val="16"/>
                <w:lang w:val="en-GB"/>
              </w:rPr>
              <w:t>epository</w:t>
            </w:r>
            <w:proofErr w:type="spellEnd"/>
            <w:r w:rsidRPr="00E16672">
              <w:rPr>
                <w:rFonts w:ascii="Times New Roman" w:hAnsi="Times New Roman"/>
                <w:sz w:val="16"/>
                <w:szCs w:val="16"/>
                <w:lang w:val="en-GB"/>
              </w:rPr>
              <w:t xml:space="preserve"> institution, if such actions (omissions) were made </w:t>
            </w:r>
            <w:r w:rsidRPr="00E16672">
              <w:rPr>
                <w:rFonts w:ascii="Times New Roman" w:hAnsi="Times New Roman"/>
                <w:sz w:val="16"/>
                <w:szCs w:val="16"/>
                <w:lang w:val="en-US"/>
              </w:rPr>
              <w:t>D</w:t>
            </w:r>
            <w:proofErr w:type="spellStart"/>
            <w:r w:rsidRPr="00E16672">
              <w:rPr>
                <w:rFonts w:ascii="Times New Roman" w:hAnsi="Times New Roman"/>
                <w:sz w:val="16"/>
                <w:szCs w:val="16"/>
                <w:lang w:val="en-GB"/>
              </w:rPr>
              <w:t>epository</w:t>
            </w:r>
            <w:proofErr w:type="spellEnd"/>
            <w:r w:rsidRPr="00E16672">
              <w:rPr>
                <w:rFonts w:ascii="Times New Roman" w:hAnsi="Times New Roman"/>
                <w:sz w:val="16"/>
                <w:szCs w:val="16"/>
                <w:lang w:val="en-GB"/>
              </w:rPr>
              <w:t xml:space="preserve"> </w:t>
            </w:r>
            <w:proofErr w:type="gramStart"/>
            <w:r w:rsidRPr="00E16672">
              <w:rPr>
                <w:rFonts w:ascii="Times New Roman" w:hAnsi="Times New Roman"/>
                <w:sz w:val="16"/>
                <w:szCs w:val="16"/>
                <w:lang w:val="en-GB"/>
              </w:rPr>
              <w:t xml:space="preserve">institution </w:t>
            </w:r>
            <w:r w:rsidRPr="00E16672">
              <w:rPr>
                <w:rFonts w:ascii="Times New Roman" w:hAnsi="Times New Roman"/>
                <w:sz w:val="16"/>
                <w:szCs w:val="16"/>
                <w:lang w:val="en-US"/>
              </w:rPr>
              <w:t xml:space="preserve"> by</w:t>
            </w:r>
            <w:proofErr w:type="gramEnd"/>
            <w:r w:rsidRPr="00E16672">
              <w:rPr>
                <w:rFonts w:ascii="Times New Roman" w:hAnsi="Times New Roman"/>
                <w:sz w:val="16"/>
                <w:szCs w:val="16"/>
                <w:lang w:val="en-US"/>
              </w:rPr>
              <w:t xml:space="preserve"> </w:t>
            </w:r>
            <w:r w:rsidRPr="00E16672">
              <w:rPr>
                <w:rFonts w:ascii="Times New Roman" w:hAnsi="Times New Roman"/>
                <w:sz w:val="16"/>
                <w:szCs w:val="16"/>
                <w:lang w:val="en-GB"/>
              </w:rPr>
              <w:t>the written order of the Depositor, resulting from actions (inaction) of other participants in the depository system</w:t>
            </w:r>
            <w:r w:rsidRPr="00E16672">
              <w:rPr>
                <w:rFonts w:ascii="Times New Roman" w:hAnsi="Times New Roman"/>
                <w:sz w:val="16"/>
                <w:szCs w:val="16"/>
                <w:lang w:val="uk-UA"/>
              </w:rPr>
              <w:t>;</w:t>
            </w:r>
          </w:p>
          <w:p w14:paraId="62A44FC7" w14:textId="77777777" w:rsidR="005C5318" w:rsidRPr="00E16672" w:rsidRDefault="005C5318" w:rsidP="005C5318">
            <w:pPr>
              <w:tabs>
                <w:tab w:val="left" w:pos="148"/>
                <w:tab w:val="left" w:pos="574"/>
              </w:tabs>
              <w:autoSpaceDE w:val="0"/>
              <w:snapToGrid w:val="0"/>
              <w:ind w:left="175" w:right="138" w:firstLine="7"/>
              <w:rPr>
                <w:rFonts w:ascii="Times New Roman" w:hAnsi="Times New Roman"/>
                <w:sz w:val="16"/>
                <w:szCs w:val="16"/>
                <w:lang w:val="en-GB"/>
              </w:rPr>
            </w:pPr>
          </w:p>
          <w:p w14:paraId="5495728A" w14:textId="77777777" w:rsidR="005C5318" w:rsidRPr="00E16672" w:rsidRDefault="005C5318" w:rsidP="000D0438">
            <w:pPr>
              <w:numPr>
                <w:ilvl w:val="0"/>
                <w:numId w:val="15"/>
              </w:numPr>
              <w:tabs>
                <w:tab w:val="left" w:pos="148"/>
                <w:tab w:val="left" w:pos="574"/>
              </w:tabs>
              <w:autoSpaceDE w:val="0"/>
              <w:snapToGrid w:val="0"/>
              <w:ind w:left="175" w:right="138" w:firstLine="7"/>
              <w:rPr>
                <w:rFonts w:ascii="Times New Roman" w:hAnsi="Times New Roman"/>
                <w:sz w:val="16"/>
                <w:szCs w:val="16"/>
                <w:lang w:val="en-GB"/>
              </w:rPr>
            </w:pPr>
            <w:r w:rsidRPr="00F23413">
              <w:rPr>
                <w:rFonts w:ascii="Times New Roman" w:hAnsi="Times New Roman"/>
                <w:sz w:val="16"/>
                <w:szCs w:val="16"/>
                <w:lang w:val="en-US"/>
              </w:rPr>
              <w:t>amounts and procedure for accrual by the issuer of payments of income and other payments made (carried out) in accordance with the law, for securities registered in the Securities account of the Depositor to be provided to the Depositary institution for payment to the Depositor;</w:t>
            </w:r>
          </w:p>
          <w:p w14:paraId="0457EB88" w14:textId="77777777" w:rsidR="005C5318" w:rsidRPr="00E16672" w:rsidRDefault="005C5318" w:rsidP="005C5318">
            <w:pPr>
              <w:tabs>
                <w:tab w:val="left" w:pos="148"/>
                <w:tab w:val="left" w:pos="574"/>
              </w:tabs>
              <w:autoSpaceDE w:val="0"/>
              <w:snapToGrid w:val="0"/>
              <w:ind w:left="175" w:right="138" w:firstLine="7"/>
              <w:rPr>
                <w:rFonts w:ascii="Times New Roman" w:hAnsi="Times New Roman"/>
                <w:sz w:val="16"/>
                <w:szCs w:val="16"/>
                <w:lang w:val="en-GB"/>
              </w:rPr>
            </w:pPr>
            <w:r w:rsidRPr="00E16672">
              <w:rPr>
                <w:rFonts w:ascii="Times New Roman" w:hAnsi="Times New Roman"/>
                <w:sz w:val="16"/>
                <w:szCs w:val="16"/>
              </w:rPr>
              <w:sym w:font="Symbol" w:char="F02D"/>
            </w:r>
            <w:r w:rsidRPr="00F23413">
              <w:rPr>
                <w:rFonts w:ascii="Times New Roman" w:hAnsi="Times New Roman"/>
                <w:sz w:val="16"/>
                <w:szCs w:val="16"/>
                <w:lang w:val="en-US"/>
              </w:rPr>
              <w:t xml:space="preserve"> impossibility to transfer, not transfer, untimely transfer of payment of income and other payments made (carried out) in accordance with the law, for securities registered in the securities account of the Depositor, to the Depositor's bank account or by postal transfer to the Depositor's mailing address - in the absence of the information in the securities account necessary for the transfer of these funds, or the unreliability of such information.</w:t>
            </w:r>
          </w:p>
        </w:tc>
      </w:tr>
      <w:tr w:rsidR="005C5318" w:rsidRPr="00F23413" w14:paraId="6A4E3313" w14:textId="77777777" w:rsidTr="005E418B">
        <w:trPr>
          <w:trHeight w:val="966"/>
        </w:trPr>
        <w:tc>
          <w:tcPr>
            <w:tcW w:w="5695" w:type="dxa"/>
            <w:gridSpan w:val="6"/>
            <w:shd w:val="clear" w:color="auto" w:fill="auto"/>
          </w:tcPr>
          <w:p w14:paraId="06A5CBC9" w14:textId="77777777" w:rsidR="005C5318" w:rsidRPr="00E16672" w:rsidRDefault="005C5318" w:rsidP="005C5318">
            <w:pPr>
              <w:snapToGrid w:val="0"/>
              <w:ind w:left="175" w:right="138" w:firstLine="7"/>
              <w:rPr>
                <w:rFonts w:ascii="Times New Roman" w:hAnsi="Times New Roman"/>
                <w:sz w:val="16"/>
                <w:szCs w:val="16"/>
                <w:lang w:val="en-US"/>
              </w:rPr>
            </w:pPr>
          </w:p>
          <w:p w14:paraId="21878C07" w14:textId="77777777" w:rsidR="005C5318" w:rsidRPr="00E16672" w:rsidRDefault="005C5318" w:rsidP="005C5318">
            <w:pPr>
              <w:ind w:left="175" w:right="138" w:firstLine="7"/>
              <w:rPr>
                <w:rFonts w:ascii="Times New Roman" w:hAnsi="Times New Roman"/>
                <w:sz w:val="16"/>
                <w:szCs w:val="16"/>
                <w:lang w:val="uk-UA"/>
              </w:rPr>
            </w:pPr>
            <w:r w:rsidRPr="00E16672">
              <w:rPr>
                <w:rFonts w:ascii="Times New Roman" w:hAnsi="Times New Roman"/>
                <w:sz w:val="16"/>
                <w:szCs w:val="16"/>
              </w:rPr>
              <w:t xml:space="preserve">5.8. Депонент </w:t>
            </w:r>
            <w:proofErr w:type="spellStart"/>
            <w:r w:rsidRPr="00E16672">
              <w:rPr>
                <w:rFonts w:ascii="Times New Roman" w:hAnsi="Times New Roman"/>
                <w:sz w:val="16"/>
                <w:szCs w:val="16"/>
              </w:rPr>
              <w:t>несе</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вiдповiдальнiсть</w:t>
            </w:r>
            <w:proofErr w:type="spellEnd"/>
            <w:r w:rsidRPr="00E16672">
              <w:rPr>
                <w:rFonts w:ascii="Times New Roman" w:hAnsi="Times New Roman"/>
                <w:sz w:val="16"/>
                <w:szCs w:val="16"/>
              </w:rPr>
              <w:t xml:space="preserve"> за</w:t>
            </w:r>
            <w:r w:rsidRPr="00E16672">
              <w:rPr>
                <w:rFonts w:ascii="Times New Roman" w:hAnsi="Times New Roman"/>
                <w:sz w:val="16"/>
                <w:szCs w:val="16"/>
                <w:lang w:val="uk-UA"/>
              </w:rPr>
              <w:t>:</w:t>
            </w:r>
          </w:p>
          <w:p w14:paraId="6813B03F" w14:textId="77777777" w:rsidR="005C5318" w:rsidRPr="00E16672" w:rsidRDefault="005C5318" w:rsidP="000D0438">
            <w:pPr>
              <w:numPr>
                <w:ilvl w:val="0"/>
                <w:numId w:val="15"/>
              </w:numPr>
              <w:ind w:left="175" w:right="138" w:firstLine="7"/>
              <w:rPr>
                <w:rFonts w:ascii="Times New Roman" w:hAnsi="Times New Roman"/>
                <w:sz w:val="16"/>
                <w:szCs w:val="16"/>
              </w:rPr>
            </w:pPr>
            <w:proofErr w:type="spellStart"/>
            <w:r w:rsidRPr="00E16672">
              <w:rPr>
                <w:rFonts w:ascii="Times New Roman" w:hAnsi="Times New Roman"/>
                <w:sz w:val="16"/>
                <w:szCs w:val="16"/>
              </w:rPr>
              <w:t>власні</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дії</w:t>
            </w:r>
            <w:proofErr w:type="spellEnd"/>
            <w:r w:rsidRPr="00E16672">
              <w:rPr>
                <w:rFonts w:ascii="Times New Roman" w:hAnsi="Times New Roman"/>
                <w:sz w:val="16"/>
                <w:szCs w:val="16"/>
              </w:rPr>
              <w:t xml:space="preserve">, за </w:t>
            </w:r>
            <w:proofErr w:type="spellStart"/>
            <w:r w:rsidRPr="00E16672">
              <w:rPr>
                <w:rFonts w:ascii="Times New Roman" w:hAnsi="Times New Roman"/>
                <w:sz w:val="16"/>
                <w:szCs w:val="16"/>
              </w:rPr>
              <w:t>всі</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дії</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його</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уповноважених</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осіб</w:t>
            </w:r>
            <w:proofErr w:type="spellEnd"/>
            <w:r w:rsidRPr="00E16672">
              <w:rPr>
                <w:rFonts w:ascii="Times New Roman" w:hAnsi="Times New Roman"/>
                <w:sz w:val="16"/>
                <w:szCs w:val="16"/>
              </w:rPr>
              <w:t xml:space="preserve"> та </w:t>
            </w:r>
            <w:proofErr w:type="spellStart"/>
            <w:r w:rsidRPr="00E16672">
              <w:rPr>
                <w:rFonts w:ascii="Times New Roman" w:hAnsi="Times New Roman"/>
                <w:sz w:val="16"/>
                <w:szCs w:val="16"/>
              </w:rPr>
              <w:t>розпорядників</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рахунків</w:t>
            </w:r>
            <w:proofErr w:type="spellEnd"/>
            <w:r w:rsidRPr="00E16672">
              <w:rPr>
                <w:rFonts w:ascii="Times New Roman" w:hAnsi="Times New Roman"/>
                <w:sz w:val="16"/>
                <w:szCs w:val="16"/>
              </w:rPr>
              <w:t xml:space="preserve">, а </w:t>
            </w:r>
            <w:proofErr w:type="spellStart"/>
            <w:r w:rsidRPr="00E16672">
              <w:rPr>
                <w:rFonts w:ascii="Times New Roman" w:hAnsi="Times New Roman"/>
                <w:sz w:val="16"/>
                <w:szCs w:val="16"/>
              </w:rPr>
              <w:t>також</w:t>
            </w:r>
            <w:proofErr w:type="spellEnd"/>
            <w:r w:rsidRPr="00E16672">
              <w:rPr>
                <w:rFonts w:ascii="Times New Roman" w:hAnsi="Times New Roman"/>
                <w:sz w:val="16"/>
                <w:szCs w:val="16"/>
              </w:rPr>
              <w:t xml:space="preserve"> за </w:t>
            </w:r>
            <w:proofErr w:type="spellStart"/>
            <w:r w:rsidRPr="00E16672">
              <w:rPr>
                <w:rFonts w:ascii="Times New Roman" w:hAnsi="Times New Roman"/>
                <w:sz w:val="16"/>
                <w:szCs w:val="16"/>
              </w:rPr>
              <w:t>наслідки</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виданих</w:t>
            </w:r>
            <w:proofErr w:type="spellEnd"/>
            <w:r w:rsidRPr="00E16672">
              <w:rPr>
                <w:rFonts w:ascii="Times New Roman" w:hAnsi="Times New Roman"/>
                <w:sz w:val="16"/>
                <w:szCs w:val="16"/>
              </w:rPr>
              <w:t xml:space="preserve"> ним </w:t>
            </w:r>
            <w:proofErr w:type="spellStart"/>
            <w:r w:rsidRPr="00E16672">
              <w:rPr>
                <w:rFonts w:ascii="Times New Roman" w:hAnsi="Times New Roman"/>
                <w:sz w:val="16"/>
                <w:szCs w:val="16"/>
              </w:rPr>
              <w:t>розпоряджень</w:t>
            </w:r>
            <w:proofErr w:type="spellEnd"/>
            <w:r w:rsidRPr="00E16672">
              <w:rPr>
                <w:rFonts w:ascii="Times New Roman" w:hAnsi="Times New Roman"/>
                <w:sz w:val="16"/>
                <w:szCs w:val="16"/>
                <w:lang w:val="uk-UA"/>
              </w:rPr>
              <w:t>;</w:t>
            </w:r>
          </w:p>
          <w:p w14:paraId="565D5A92" w14:textId="77777777" w:rsidR="005C5318" w:rsidRPr="00E16672" w:rsidRDefault="005C5318" w:rsidP="005C5318">
            <w:pPr>
              <w:ind w:left="175" w:right="138" w:firstLine="7"/>
              <w:rPr>
                <w:rFonts w:ascii="Times New Roman" w:hAnsi="Times New Roman"/>
                <w:sz w:val="16"/>
                <w:szCs w:val="16"/>
              </w:rPr>
            </w:pPr>
          </w:p>
          <w:p w14:paraId="56686C47" w14:textId="77777777" w:rsidR="005C5318" w:rsidRPr="00E16672" w:rsidRDefault="005C5318" w:rsidP="000D0438">
            <w:pPr>
              <w:numPr>
                <w:ilvl w:val="0"/>
                <w:numId w:val="15"/>
              </w:numPr>
              <w:ind w:left="175" w:firstLine="7"/>
              <w:rPr>
                <w:rFonts w:ascii="Times New Roman" w:hAnsi="Times New Roman"/>
                <w:color w:val="000000"/>
                <w:sz w:val="16"/>
                <w:szCs w:val="16"/>
                <w:lang w:val="uk-UA"/>
              </w:rPr>
            </w:pPr>
            <w:r w:rsidRPr="00E16672">
              <w:rPr>
                <w:rFonts w:ascii="Times New Roman" w:hAnsi="Times New Roman"/>
                <w:color w:val="000000"/>
                <w:sz w:val="16"/>
                <w:szCs w:val="16"/>
                <w:lang w:val="uk-UA"/>
              </w:rPr>
              <w:t>повноту та достовірність інформації, що надається Депозитарній установі на виконання цього Договору, в тому числі її своєчасну актуалізацію.</w:t>
            </w:r>
          </w:p>
          <w:p w14:paraId="7F0EC671" w14:textId="77777777" w:rsidR="005C5318" w:rsidRPr="00E16672" w:rsidRDefault="005C5318" w:rsidP="005C5318">
            <w:pPr>
              <w:ind w:left="175" w:right="138" w:firstLine="7"/>
              <w:rPr>
                <w:rFonts w:ascii="Times New Roman" w:hAnsi="Times New Roman"/>
                <w:sz w:val="16"/>
                <w:szCs w:val="16"/>
              </w:rPr>
            </w:pPr>
            <w:r w:rsidRPr="00E16672">
              <w:rPr>
                <w:rFonts w:ascii="Times New Roman" w:hAnsi="Times New Roman"/>
                <w:sz w:val="16"/>
                <w:szCs w:val="16"/>
              </w:rPr>
              <w:t xml:space="preserve"> </w:t>
            </w:r>
          </w:p>
        </w:tc>
        <w:tc>
          <w:tcPr>
            <w:tcW w:w="5495" w:type="dxa"/>
            <w:gridSpan w:val="6"/>
            <w:shd w:val="clear" w:color="auto" w:fill="auto"/>
          </w:tcPr>
          <w:p w14:paraId="74DFD768" w14:textId="77777777" w:rsidR="005C5318" w:rsidRPr="00E16672" w:rsidRDefault="005C5318" w:rsidP="005C5318">
            <w:pPr>
              <w:tabs>
                <w:tab w:val="left" w:pos="574"/>
              </w:tabs>
              <w:autoSpaceDE w:val="0"/>
              <w:snapToGrid w:val="0"/>
              <w:ind w:left="175" w:right="138" w:firstLine="7"/>
              <w:rPr>
                <w:rFonts w:ascii="Times New Roman" w:hAnsi="Times New Roman"/>
                <w:sz w:val="16"/>
                <w:szCs w:val="16"/>
              </w:rPr>
            </w:pPr>
          </w:p>
          <w:p w14:paraId="4A57A272" w14:textId="77777777" w:rsidR="005C5318" w:rsidRPr="00E16672" w:rsidRDefault="005C5318" w:rsidP="005C5318">
            <w:pPr>
              <w:tabs>
                <w:tab w:val="left" w:pos="574"/>
              </w:tabs>
              <w:autoSpaceDE w:val="0"/>
              <w:ind w:left="175" w:right="138" w:firstLine="7"/>
              <w:rPr>
                <w:rFonts w:ascii="Times New Roman" w:hAnsi="Times New Roman"/>
                <w:sz w:val="16"/>
                <w:szCs w:val="16"/>
                <w:lang w:val="uk-UA"/>
              </w:rPr>
            </w:pPr>
            <w:r w:rsidRPr="00E16672">
              <w:rPr>
                <w:rFonts w:ascii="Times New Roman" w:hAnsi="Times New Roman"/>
                <w:sz w:val="16"/>
                <w:szCs w:val="16"/>
                <w:lang w:val="en-GB"/>
              </w:rPr>
              <w:t>5.8. Depositor is responsible for</w:t>
            </w:r>
            <w:r w:rsidRPr="00E16672">
              <w:rPr>
                <w:rFonts w:ascii="Times New Roman" w:hAnsi="Times New Roman"/>
                <w:sz w:val="16"/>
                <w:szCs w:val="16"/>
                <w:lang w:val="uk-UA"/>
              </w:rPr>
              <w:t>:</w:t>
            </w:r>
          </w:p>
          <w:p w14:paraId="1EFFDE63" w14:textId="77777777" w:rsidR="005C5318" w:rsidRPr="00E16672" w:rsidRDefault="005C5318" w:rsidP="000D0438">
            <w:pPr>
              <w:numPr>
                <w:ilvl w:val="0"/>
                <w:numId w:val="16"/>
              </w:numPr>
              <w:tabs>
                <w:tab w:val="left" w:pos="574"/>
              </w:tabs>
              <w:autoSpaceDE w:val="0"/>
              <w:ind w:left="175" w:right="138" w:firstLine="7"/>
              <w:rPr>
                <w:rFonts w:ascii="Times New Roman" w:hAnsi="Times New Roman"/>
                <w:sz w:val="16"/>
                <w:szCs w:val="16"/>
                <w:lang w:val="en-US"/>
              </w:rPr>
            </w:pPr>
            <w:r w:rsidRPr="00E16672">
              <w:rPr>
                <w:rFonts w:ascii="Times New Roman" w:hAnsi="Times New Roman"/>
                <w:sz w:val="16"/>
                <w:szCs w:val="16"/>
                <w:lang w:val="en-GB"/>
              </w:rPr>
              <w:t>all of his own activities, all of the activities of his authorized persons and managers of the account and consequences of the orders they gave</w:t>
            </w:r>
            <w:r w:rsidRPr="00E16672">
              <w:rPr>
                <w:rFonts w:ascii="Times New Roman" w:hAnsi="Times New Roman"/>
                <w:sz w:val="16"/>
                <w:szCs w:val="16"/>
                <w:lang w:val="uk-UA"/>
              </w:rPr>
              <w:t>;</w:t>
            </w:r>
          </w:p>
          <w:p w14:paraId="59032FD0" w14:textId="77777777" w:rsidR="005C5318" w:rsidRPr="00E16672" w:rsidRDefault="005C5318" w:rsidP="000D0438">
            <w:pPr>
              <w:numPr>
                <w:ilvl w:val="0"/>
                <w:numId w:val="16"/>
              </w:numPr>
              <w:tabs>
                <w:tab w:val="left" w:pos="574"/>
              </w:tabs>
              <w:autoSpaceDE w:val="0"/>
              <w:ind w:left="175" w:right="138" w:firstLine="7"/>
              <w:rPr>
                <w:rFonts w:ascii="Times New Roman" w:hAnsi="Times New Roman"/>
                <w:sz w:val="16"/>
                <w:szCs w:val="16"/>
                <w:lang w:val="en-US"/>
              </w:rPr>
            </w:pPr>
            <w:r w:rsidRPr="00F23413">
              <w:rPr>
                <w:rFonts w:ascii="Times New Roman" w:hAnsi="Times New Roman"/>
                <w:sz w:val="16"/>
                <w:szCs w:val="16"/>
                <w:lang w:val="en-US"/>
              </w:rPr>
              <w:t>completeness and authenticity of the information provided to the depositary institution for the implementation of this Agreement, including its timely updating.</w:t>
            </w:r>
          </w:p>
        </w:tc>
      </w:tr>
      <w:tr w:rsidR="005C5318" w:rsidRPr="00F23413" w14:paraId="2505A788" w14:textId="77777777" w:rsidTr="005E418B">
        <w:trPr>
          <w:trHeight w:val="192"/>
        </w:trPr>
        <w:tc>
          <w:tcPr>
            <w:tcW w:w="5695" w:type="dxa"/>
            <w:gridSpan w:val="6"/>
            <w:shd w:val="clear" w:color="auto" w:fill="auto"/>
          </w:tcPr>
          <w:p w14:paraId="550A4B0D" w14:textId="77777777" w:rsidR="005C5318" w:rsidRPr="00E16672" w:rsidRDefault="005C5318" w:rsidP="005C5318">
            <w:pPr>
              <w:snapToGrid w:val="0"/>
              <w:ind w:left="175" w:right="138" w:firstLine="7"/>
              <w:rPr>
                <w:rFonts w:ascii="Times New Roman" w:hAnsi="Times New Roman"/>
                <w:color w:val="000000"/>
                <w:sz w:val="16"/>
                <w:szCs w:val="16"/>
              </w:rPr>
            </w:pPr>
            <w:r w:rsidRPr="00E16672">
              <w:rPr>
                <w:rFonts w:ascii="Times New Roman" w:hAnsi="Times New Roman"/>
                <w:color w:val="000000"/>
                <w:sz w:val="16"/>
                <w:szCs w:val="16"/>
              </w:rPr>
              <w:t xml:space="preserve">5.9. </w:t>
            </w:r>
            <w:r w:rsidRPr="00E16672">
              <w:rPr>
                <w:rFonts w:ascii="Times New Roman" w:hAnsi="Times New Roman"/>
                <w:color w:val="000000"/>
                <w:sz w:val="16"/>
                <w:szCs w:val="16"/>
                <w:lang w:val="uk-UA"/>
              </w:rPr>
              <w:t xml:space="preserve">Депозитарна установа має право за порушення термінів оплати нарахувати та стягнути з іншої Сторони пеню у розмірі </w:t>
            </w:r>
            <w:r w:rsidRPr="00E16672">
              <w:rPr>
                <w:rFonts w:ascii="Times New Roman" w:hAnsi="Times New Roman"/>
                <w:i/>
                <w:iCs/>
                <w:color w:val="000000"/>
                <w:sz w:val="16"/>
                <w:szCs w:val="16"/>
                <w:lang w:val="uk-UA"/>
              </w:rPr>
              <w:t>подвійної облікової ставки</w:t>
            </w:r>
            <w:r w:rsidRPr="00E16672">
              <w:rPr>
                <w:rFonts w:ascii="Times New Roman" w:hAnsi="Times New Roman"/>
                <w:color w:val="000000"/>
                <w:sz w:val="16"/>
                <w:szCs w:val="16"/>
                <w:lang w:val="uk-UA"/>
              </w:rPr>
              <w:t xml:space="preserve"> Національного банку України, що діяла у період прострочення,</w:t>
            </w:r>
            <w:r w:rsidRPr="00E16672">
              <w:rPr>
                <w:rFonts w:ascii="Times New Roman" w:hAnsi="Times New Roman"/>
                <w:color w:val="000000"/>
                <w:sz w:val="16"/>
                <w:szCs w:val="16"/>
                <w:lang w:eastAsia="hi-IN" w:bidi="hi-IN"/>
              </w:rPr>
              <w:t xml:space="preserve"> </w:t>
            </w:r>
            <w:proofErr w:type="spellStart"/>
            <w:r w:rsidRPr="00E16672">
              <w:rPr>
                <w:rFonts w:ascii="Times New Roman" w:hAnsi="Times New Roman"/>
                <w:color w:val="000000"/>
                <w:sz w:val="16"/>
                <w:szCs w:val="16"/>
                <w:lang w:eastAsia="hi-IN" w:bidi="hi-IN"/>
              </w:rPr>
              <w:t>від</w:t>
            </w:r>
            <w:proofErr w:type="spellEnd"/>
            <w:r w:rsidRPr="00E16672">
              <w:rPr>
                <w:rFonts w:ascii="Times New Roman" w:hAnsi="Times New Roman"/>
                <w:color w:val="000000"/>
                <w:sz w:val="16"/>
                <w:szCs w:val="16"/>
                <w:lang w:eastAsia="hi-IN" w:bidi="hi-IN"/>
              </w:rPr>
              <w:t xml:space="preserve"> </w:t>
            </w:r>
            <w:proofErr w:type="spellStart"/>
            <w:r w:rsidRPr="00E16672">
              <w:rPr>
                <w:rFonts w:ascii="Times New Roman" w:hAnsi="Times New Roman"/>
                <w:color w:val="000000"/>
                <w:sz w:val="16"/>
                <w:szCs w:val="16"/>
                <w:lang w:eastAsia="hi-IN" w:bidi="hi-IN"/>
              </w:rPr>
              <w:t>суми</w:t>
            </w:r>
            <w:proofErr w:type="spellEnd"/>
            <w:r w:rsidRPr="00E16672">
              <w:rPr>
                <w:rFonts w:ascii="Times New Roman" w:hAnsi="Times New Roman"/>
                <w:color w:val="000000"/>
                <w:sz w:val="16"/>
                <w:szCs w:val="16"/>
                <w:lang w:eastAsia="hi-IN" w:bidi="hi-IN"/>
              </w:rPr>
              <w:t xml:space="preserve"> </w:t>
            </w:r>
            <w:proofErr w:type="spellStart"/>
            <w:r w:rsidRPr="00E16672">
              <w:rPr>
                <w:rFonts w:ascii="Times New Roman" w:hAnsi="Times New Roman"/>
                <w:color w:val="000000"/>
                <w:sz w:val="16"/>
                <w:szCs w:val="16"/>
                <w:lang w:eastAsia="hi-IN" w:bidi="hi-IN"/>
              </w:rPr>
              <w:t>простроченого</w:t>
            </w:r>
            <w:proofErr w:type="spellEnd"/>
            <w:r w:rsidRPr="00E16672">
              <w:rPr>
                <w:rFonts w:ascii="Times New Roman" w:hAnsi="Times New Roman"/>
                <w:color w:val="000000"/>
                <w:sz w:val="16"/>
                <w:szCs w:val="16"/>
                <w:lang w:eastAsia="hi-IN" w:bidi="hi-IN"/>
              </w:rPr>
              <w:t xml:space="preserve"> платежу за </w:t>
            </w:r>
            <w:proofErr w:type="spellStart"/>
            <w:r w:rsidRPr="00E16672">
              <w:rPr>
                <w:rFonts w:ascii="Times New Roman" w:hAnsi="Times New Roman"/>
                <w:color w:val="000000"/>
                <w:sz w:val="16"/>
                <w:szCs w:val="16"/>
                <w:lang w:eastAsia="hi-IN" w:bidi="hi-IN"/>
              </w:rPr>
              <w:t>кожен</w:t>
            </w:r>
            <w:proofErr w:type="spellEnd"/>
            <w:r w:rsidRPr="00E16672">
              <w:rPr>
                <w:rFonts w:ascii="Times New Roman" w:hAnsi="Times New Roman"/>
                <w:color w:val="000000"/>
                <w:sz w:val="16"/>
                <w:szCs w:val="16"/>
                <w:lang w:eastAsia="hi-IN" w:bidi="hi-IN"/>
              </w:rPr>
              <w:t xml:space="preserve"> день </w:t>
            </w:r>
            <w:proofErr w:type="spellStart"/>
            <w:r w:rsidRPr="00E16672">
              <w:rPr>
                <w:rFonts w:ascii="Times New Roman" w:hAnsi="Times New Roman"/>
                <w:color w:val="000000"/>
                <w:sz w:val="16"/>
                <w:szCs w:val="16"/>
                <w:lang w:eastAsia="hi-IN" w:bidi="hi-IN"/>
              </w:rPr>
              <w:t>прострочення</w:t>
            </w:r>
            <w:proofErr w:type="spellEnd"/>
            <w:r w:rsidRPr="00E16672">
              <w:rPr>
                <w:rFonts w:ascii="Times New Roman" w:hAnsi="Times New Roman"/>
                <w:color w:val="000000"/>
                <w:sz w:val="16"/>
                <w:szCs w:val="16"/>
                <w:lang w:val="uk-UA"/>
              </w:rPr>
              <w:t xml:space="preserve">. </w:t>
            </w:r>
          </w:p>
          <w:p w14:paraId="06EE01D3" w14:textId="77777777" w:rsidR="005C5318" w:rsidRPr="00E16672" w:rsidRDefault="005C5318" w:rsidP="005C5318">
            <w:pPr>
              <w:ind w:left="175" w:right="138" w:firstLine="7"/>
              <w:rPr>
                <w:rFonts w:ascii="Times New Roman" w:hAnsi="Times New Roman"/>
                <w:color w:val="000000"/>
                <w:sz w:val="16"/>
                <w:szCs w:val="16"/>
              </w:rPr>
            </w:pPr>
          </w:p>
          <w:p w14:paraId="73C8B5CB" w14:textId="77777777" w:rsidR="005C5318" w:rsidRPr="00E16672" w:rsidRDefault="005C5318" w:rsidP="005C5318">
            <w:pPr>
              <w:ind w:left="175" w:right="138" w:firstLine="7"/>
              <w:rPr>
                <w:rFonts w:ascii="Times New Roman" w:hAnsi="Times New Roman"/>
                <w:color w:val="000000"/>
                <w:sz w:val="16"/>
                <w:szCs w:val="16"/>
              </w:rPr>
            </w:pPr>
            <w:r w:rsidRPr="00E16672">
              <w:rPr>
                <w:rFonts w:ascii="Times New Roman" w:hAnsi="Times New Roman"/>
                <w:color w:val="000000"/>
                <w:sz w:val="16"/>
                <w:szCs w:val="16"/>
              </w:rPr>
              <w:t xml:space="preserve">5.9.1. Формула, за </w:t>
            </w:r>
            <w:proofErr w:type="spellStart"/>
            <w:r w:rsidRPr="00E16672">
              <w:rPr>
                <w:rFonts w:ascii="Times New Roman" w:hAnsi="Times New Roman"/>
                <w:color w:val="000000"/>
                <w:sz w:val="16"/>
                <w:szCs w:val="16"/>
              </w:rPr>
              <w:t>якою</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розраховується</w:t>
            </w:r>
            <w:proofErr w:type="spellEnd"/>
            <w:r w:rsidRPr="00E16672">
              <w:rPr>
                <w:rFonts w:ascii="Times New Roman" w:hAnsi="Times New Roman"/>
                <w:color w:val="000000"/>
                <w:sz w:val="16"/>
                <w:szCs w:val="16"/>
              </w:rPr>
              <w:t xml:space="preserve"> пеня: </w:t>
            </w:r>
          </w:p>
          <w:p w14:paraId="75F32B26" w14:textId="77777777" w:rsidR="005C5318" w:rsidRPr="00E16672" w:rsidRDefault="005C5318" w:rsidP="005C5318">
            <w:pPr>
              <w:ind w:left="175" w:right="138" w:firstLine="7"/>
              <w:rPr>
                <w:rFonts w:ascii="Times New Roman" w:hAnsi="Times New Roman"/>
                <w:color w:val="000000"/>
                <w:sz w:val="16"/>
                <w:szCs w:val="16"/>
              </w:rPr>
            </w:pPr>
          </w:p>
        </w:tc>
        <w:tc>
          <w:tcPr>
            <w:tcW w:w="5495" w:type="dxa"/>
            <w:gridSpan w:val="6"/>
            <w:shd w:val="clear" w:color="auto" w:fill="auto"/>
          </w:tcPr>
          <w:p w14:paraId="0CCB3B22" w14:textId="77777777" w:rsidR="005C5318" w:rsidRPr="00E16672" w:rsidRDefault="005C5318" w:rsidP="005C5318">
            <w:pPr>
              <w:snapToGrid w:val="0"/>
              <w:ind w:left="175" w:right="138" w:firstLine="7"/>
              <w:rPr>
                <w:rFonts w:ascii="Times New Roman" w:hAnsi="Times New Roman"/>
                <w:color w:val="000000"/>
                <w:sz w:val="16"/>
                <w:szCs w:val="16"/>
                <w:lang w:val="en-US"/>
              </w:rPr>
            </w:pPr>
            <w:r w:rsidRPr="00E16672">
              <w:rPr>
                <w:rFonts w:ascii="Times New Roman" w:hAnsi="Times New Roman"/>
                <w:color w:val="000000"/>
                <w:sz w:val="16"/>
                <w:szCs w:val="16"/>
                <w:lang w:val="en-GB"/>
              </w:rPr>
              <w:t xml:space="preserve">5.9. Depository institution has the right to charge a violation of the terms of payment and collect from other Party a fine in size of </w:t>
            </w:r>
            <w:r w:rsidRPr="00E16672">
              <w:rPr>
                <w:rFonts w:ascii="Times New Roman" w:hAnsi="Times New Roman"/>
                <w:i/>
                <w:color w:val="000000"/>
                <w:sz w:val="16"/>
                <w:szCs w:val="16"/>
                <w:lang w:val="en-GB"/>
              </w:rPr>
              <w:t>double registration rate</w:t>
            </w:r>
            <w:r w:rsidRPr="00E16672">
              <w:rPr>
                <w:rFonts w:ascii="Times New Roman" w:hAnsi="Times New Roman"/>
                <w:color w:val="000000"/>
                <w:sz w:val="16"/>
                <w:szCs w:val="16"/>
                <w:lang w:val="en-GB"/>
              </w:rPr>
              <w:t xml:space="preserve"> of the National bank of Ukraine which operated in a </w:t>
            </w:r>
            <w:r w:rsidRPr="00F23413">
              <w:rPr>
                <w:rStyle w:val="shorttext"/>
                <w:rFonts w:ascii="Times New Roman" w:hAnsi="Times New Roman"/>
                <w:sz w:val="16"/>
                <w:szCs w:val="16"/>
                <w:lang w:val="en-US"/>
              </w:rPr>
              <w:t>delay</w:t>
            </w:r>
            <w:r w:rsidRPr="00F23413">
              <w:rPr>
                <w:rStyle w:val="shorttext"/>
                <w:rFonts w:ascii="Times New Roman" w:hAnsi="Times New Roman"/>
                <w:lang w:val="en-US"/>
              </w:rPr>
              <w:t xml:space="preserve"> </w:t>
            </w:r>
            <w:proofErr w:type="gramStart"/>
            <w:r w:rsidRPr="00E16672">
              <w:rPr>
                <w:rFonts w:ascii="Times New Roman" w:hAnsi="Times New Roman"/>
                <w:color w:val="000000"/>
                <w:sz w:val="16"/>
                <w:szCs w:val="16"/>
                <w:lang w:val="en-GB"/>
              </w:rPr>
              <w:t>period ,</w:t>
            </w:r>
            <w:proofErr w:type="gramEnd"/>
            <w:r w:rsidRPr="00E16672">
              <w:rPr>
                <w:rFonts w:ascii="Times New Roman" w:hAnsi="Times New Roman"/>
                <w:color w:val="000000"/>
                <w:sz w:val="16"/>
                <w:szCs w:val="16"/>
                <w:lang w:val="en-GB"/>
              </w:rPr>
              <w:t xml:space="preserve"> of the amount of overdue payment for each day of delay</w:t>
            </w:r>
            <w:r w:rsidRPr="00E16672">
              <w:rPr>
                <w:rFonts w:ascii="Times New Roman" w:hAnsi="Times New Roman"/>
                <w:color w:val="000000"/>
                <w:sz w:val="16"/>
                <w:szCs w:val="16"/>
                <w:lang w:val="en-US"/>
              </w:rPr>
              <w:t>.</w:t>
            </w:r>
          </w:p>
          <w:p w14:paraId="6BA8313C" w14:textId="77777777" w:rsidR="005C5318" w:rsidRPr="00E16672" w:rsidRDefault="005C5318" w:rsidP="005C5318">
            <w:pPr>
              <w:snapToGrid w:val="0"/>
              <w:ind w:left="175" w:right="138" w:firstLine="7"/>
              <w:rPr>
                <w:rFonts w:ascii="Times New Roman" w:hAnsi="Times New Roman"/>
                <w:color w:val="000000"/>
                <w:sz w:val="16"/>
                <w:szCs w:val="16"/>
                <w:lang w:val="en-US"/>
              </w:rPr>
            </w:pPr>
          </w:p>
          <w:p w14:paraId="2E75B93E" w14:textId="77777777" w:rsidR="005C5318" w:rsidRPr="00E16672" w:rsidRDefault="005C5318" w:rsidP="005C5318">
            <w:pPr>
              <w:snapToGrid w:val="0"/>
              <w:ind w:left="175" w:right="138" w:firstLine="7"/>
              <w:rPr>
                <w:rFonts w:ascii="Times New Roman" w:hAnsi="Times New Roman"/>
                <w:color w:val="000000"/>
                <w:sz w:val="16"/>
                <w:szCs w:val="16"/>
                <w:lang w:val="en-GB"/>
              </w:rPr>
            </w:pPr>
          </w:p>
          <w:p w14:paraId="75504F78" w14:textId="77777777" w:rsidR="005C5318" w:rsidRPr="00E16672" w:rsidRDefault="005C5318" w:rsidP="005C5318">
            <w:pPr>
              <w:snapToGrid w:val="0"/>
              <w:ind w:left="175" w:right="138" w:firstLine="7"/>
              <w:rPr>
                <w:rFonts w:ascii="Times New Roman" w:hAnsi="Times New Roman"/>
                <w:color w:val="000000"/>
                <w:sz w:val="16"/>
                <w:szCs w:val="16"/>
                <w:lang w:val="en-GB"/>
              </w:rPr>
            </w:pPr>
            <w:r w:rsidRPr="00E16672">
              <w:rPr>
                <w:rFonts w:ascii="Times New Roman" w:hAnsi="Times New Roman"/>
                <w:color w:val="000000"/>
                <w:sz w:val="16"/>
                <w:szCs w:val="16"/>
                <w:lang w:val="en-GB"/>
              </w:rPr>
              <w:t xml:space="preserve">5.9.1. Formula, which a </w:t>
            </w:r>
            <w:proofErr w:type="gramStart"/>
            <w:r w:rsidRPr="00E16672">
              <w:rPr>
                <w:rFonts w:ascii="Times New Roman" w:hAnsi="Times New Roman"/>
                <w:color w:val="000000"/>
                <w:sz w:val="16"/>
                <w:szCs w:val="16"/>
                <w:lang w:val="en-GB"/>
              </w:rPr>
              <w:t>fine settles accounts</w:t>
            </w:r>
            <w:proofErr w:type="gramEnd"/>
            <w:r w:rsidRPr="00E16672">
              <w:rPr>
                <w:rFonts w:ascii="Times New Roman" w:hAnsi="Times New Roman"/>
                <w:color w:val="000000"/>
                <w:sz w:val="16"/>
                <w:szCs w:val="16"/>
                <w:lang w:val="en-GB"/>
              </w:rPr>
              <w:t xml:space="preserve"> after:</w:t>
            </w:r>
          </w:p>
        </w:tc>
      </w:tr>
      <w:tr w:rsidR="005C5318" w:rsidRPr="00F23413" w14:paraId="3BF834B7" w14:textId="77777777" w:rsidTr="005E418B">
        <w:trPr>
          <w:trHeight w:val="192"/>
        </w:trPr>
        <w:tc>
          <w:tcPr>
            <w:tcW w:w="5695" w:type="dxa"/>
            <w:gridSpan w:val="6"/>
            <w:shd w:val="clear" w:color="auto" w:fill="auto"/>
          </w:tcPr>
          <w:p w14:paraId="64F8C679" w14:textId="77777777" w:rsidR="005C5318" w:rsidRPr="00E16672" w:rsidRDefault="005C5318" w:rsidP="005C5318">
            <w:pPr>
              <w:snapToGrid w:val="0"/>
              <w:ind w:left="175" w:right="138" w:firstLine="7"/>
              <w:rPr>
                <w:rFonts w:ascii="Times New Roman" w:hAnsi="Times New Roman"/>
                <w:sz w:val="16"/>
                <w:szCs w:val="16"/>
              </w:rPr>
            </w:pPr>
            <w:r w:rsidRPr="00E16672">
              <w:rPr>
                <w:rFonts w:ascii="Times New Roman" w:hAnsi="Times New Roman"/>
                <w:sz w:val="16"/>
                <w:szCs w:val="16"/>
              </w:rPr>
              <w:t>П=</w:t>
            </w:r>
            <w:proofErr w:type="spellStart"/>
            <w:r w:rsidRPr="00E16672">
              <w:rPr>
                <w:rFonts w:ascii="Times New Roman" w:hAnsi="Times New Roman"/>
                <w:sz w:val="16"/>
                <w:szCs w:val="16"/>
              </w:rPr>
              <w:t>Т</w:t>
            </w:r>
            <w:r w:rsidRPr="00E16672">
              <w:rPr>
                <w:rFonts w:ascii="Times New Roman" w:hAnsi="Times New Roman"/>
                <w:sz w:val="16"/>
                <w:szCs w:val="16"/>
                <w:vertAlign w:val="subscript"/>
              </w:rPr>
              <w:t>неоплачений</w:t>
            </w:r>
            <w:proofErr w:type="spellEnd"/>
            <w:r w:rsidRPr="00E16672">
              <w:rPr>
                <w:rFonts w:ascii="Times New Roman" w:hAnsi="Times New Roman"/>
                <w:sz w:val="16"/>
                <w:szCs w:val="16"/>
              </w:rPr>
              <w:t>*2НБУ/</w:t>
            </w:r>
            <w:proofErr w:type="spellStart"/>
            <w:r w:rsidRPr="00E16672">
              <w:rPr>
                <w:rFonts w:ascii="Times New Roman" w:hAnsi="Times New Roman"/>
                <w:sz w:val="16"/>
                <w:szCs w:val="16"/>
              </w:rPr>
              <w:t>Д</w:t>
            </w:r>
            <w:r w:rsidRPr="00E16672">
              <w:rPr>
                <w:rFonts w:ascii="Times New Roman" w:hAnsi="Times New Roman"/>
                <w:sz w:val="16"/>
                <w:szCs w:val="16"/>
                <w:vertAlign w:val="subscript"/>
              </w:rPr>
              <w:t>рік</w:t>
            </w:r>
            <w:proofErr w:type="spellEnd"/>
            <w:r w:rsidRPr="00E16672">
              <w:rPr>
                <w:rFonts w:ascii="Times New Roman" w:hAnsi="Times New Roman"/>
                <w:sz w:val="16"/>
                <w:szCs w:val="16"/>
              </w:rPr>
              <w:t>*</w:t>
            </w:r>
            <w:proofErr w:type="spellStart"/>
            <w:r w:rsidRPr="00E16672">
              <w:rPr>
                <w:rFonts w:ascii="Times New Roman" w:hAnsi="Times New Roman"/>
                <w:sz w:val="16"/>
                <w:szCs w:val="16"/>
              </w:rPr>
              <w:t>Д</w:t>
            </w:r>
            <w:r w:rsidRPr="00E16672">
              <w:rPr>
                <w:rFonts w:ascii="Times New Roman" w:hAnsi="Times New Roman"/>
                <w:sz w:val="16"/>
                <w:szCs w:val="16"/>
                <w:vertAlign w:val="subscript"/>
              </w:rPr>
              <w:t>нарахування</w:t>
            </w:r>
            <w:proofErr w:type="spellEnd"/>
            <w:r w:rsidRPr="00E16672">
              <w:rPr>
                <w:rFonts w:ascii="Times New Roman" w:hAnsi="Times New Roman"/>
                <w:sz w:val="16"/>
                <w:szCs w:val="16"/>
              </w:rPr>
              <w:t xml:space="preserve">, </w:t>
            </w:r>
          </w:p>
          <w:p w14:paraId="36E30765" w14:textId="77777777" w:rsidR="005C5318" w:rsidRPr="00E16672" w:rsidRDefault="005C5318" w:rsidP="005C5318">
            <w:pPr>
              <w:ind w:left="175" w:right="138" w:firstLine="7"/>
              <w:rPr>
                <w:rFonts w:ascii="Times New Roman" w:hAnsi="Times New Roman"/>
                <w:sz w:val="16"/>
                <w:szCs w:val="16"/>
              </w:rPr>
            </w:pPr>
            <w:r w:rsidRPr="00E16672">
              <w:rPr>
                <w:rFonts w:ascii="Times New Roman" w:hAnsi="Times New Roman"/>
                <w:sz w:val="16"/>
                <w:szCs w:val="16"/>
              </w:rPr>
              <w:t xml:space="preserve"> де:</w:t>
            </w:r>
          </w:p>
          <w:p w14:paraId="3E9F75B3" w14:textId="77777777" w:rsidR="005C5318" w:rsidRPr="00E16672" w:rsidRDefault="005C5318" w:rsidP="005C5318">
            <w:pPr>
              <w:ind w:left="175" w:right="138" w:firstLine="7"/>
              <w:rPr>
                <w:rFonts w:ascii="Times New Roman" w:hAnsi="Times New Roman"/>
                <w:sz w:val="16"/>
                <w:szCs w:val="16"/>
              </w:rPr>
            </w:pPr>
            <w:r w:rsidRPr="00E16672">
              <w:rPr>
                <w:rFonts w:ascii="Times New Roman" w:hAnsi="Times New Roman"/>
                <w:sz w:val="16"/>
                <w:szCs w:val="16"/>
              </w:rPr>
              <w:t>П – пеня;</w:t>
            </w:r>
          </w:p>
          <w:p w14:paraId="06731CDD" w14:textId="77777777" w:rsidR="005C5318" w:rsidRPr="00E16672" w:rsidRDefault="005C5318" w:rsidP="005C5318">
            <w:pPr>
              <w:ind w:left="175" w:right="138" w:firstLine="7"/>
              <w:rPr>
                <w:rFonts w:ascii="Times New Roman" w:hAnsi="Times New Roman"/>
                <w:sz w:val="16"/>
                <w:szCs w:val="16"/>
              </w:rPr>
            </w:pPr>
            <w:proofErr w:type="spellStart"/>
            <w:r w:rsidRPr="00E16672">
              <w:rPr>
                <w:rFonts w:ascii="Times New Roman" w:hAnsi="Times New Roman"/>
                <w:sz w:val="16"/>
                <w:szCs w:val="16"/>
              </w:rPr>
              <w:t>Т</w:t>
            </w:r>
            <w:r w:rsidRPr="00E16672">
              <w:rPr>
                <w:rFonts w:ascii="Times New Roman" w:hAnsi="Times New Roman"/>
                <w:sz w:val="16"/>
                <w:szCs w:val="16"/>
                <w:vertAlign w:val="subscript"/>
              </w:rPr>
              <w:t>неоплачений</w:t>
            </w:r>
            <w:proofErr w:type="spellEnd"/>
            <w:r w:rsidRPr="00E16672">
              <w:rPr>
                <w:rFonts w:ascii="Times New Roman" w:hAnsi="Times New Roman"/>
                <w:sz w:val="16"/>
                <w:szCs w:val="16"/>
              </w:rPr>
              <w:t xml:space="preserve"> – </w:t>
            </w:r>
            <w:proofErr w:type="spellStart"/>
            <w:r w:rsidRPr="00E16672">
              <w:rPr>
                <w:rFonts w:ascii="Times New Roman" w:hAnsi="Times New Roman"/>
                <w:sz w:val="16"/>
                <w:szCs w:val="16"/>
              </w:rPr>
              <w:t>вартість</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неоплаченої</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послуги</w:t>
            </w:r>
            <w:proofErr w:type="spellEnd"/>
            <w:r w:rsidRPr="00E16672">
              <w:rPr>
                <w:rFonts w:ascii="Times New Roman" w:hAnsi="Times New Roman"/>
                <w:sz w:val="16"/>
                <w:szCs w:val="16"/>
                <w:lang w:val="uk-UA"/>
              </w:rPr>
              <w:t xml:space="preserve"> (неоплачених послуг)</w:t>
            </w:r>
            <w:r w:rsidRPr="00E16672">
              <w:rPr>
                <w:rFonts w:ascii="Times New Roman" w:hAnsi="Times New Roman"/>
                <w:sz w:val="16"/>
                <w:szCs w:val="16"/>
              </w:rPr>
              <w:t>;</w:t>
            </w:r>
          </w:p>
          <w:p w14:paraId="0926ECAE" w14:textId="77777777" w:rsidR="005C5318" w:rsidRPr="00E16672" w:rsidRDefault="005C5318" w:rsidP="005C5318">
            <w:pPr>
              <w:ind w:left="175" w:right="138" w:firstLine="7"/>
              <w:rPr>
                <w:rFonts w:ascii="Times New Roman" w:hAnsi="Times New Roman"/>
                <w:sz w:val="16"/>
                <w:szCs w:val="16"/>
              </w:rPr>
            </w:pPr>
            <w:r w:rsidRPr="00E16672">
              <w:rPr>
                <w:rFonts w:ascii="Times New Roman" w:hAnsi="Times New Roman"/>
                <w:sz w:val="16"/>
                <w:szCs w:val="16"/>
              </w:rPr>
              <w:t xml:space="preserve">2НБУ – </w:t>
            </w:r>
            <w:proofErr w:type="spellStart"/>
            <w:r w:rsidRPr="00E16672">
              <w:rPr>
                <w:rFonts w:ascii="Times New Roman" w:hAnsi="Times New Roman"/>
                <w:sz w:val="16"/>
                <w:szCs w:val="16"/>
              </w:rPr>
              <w:t>подвійна</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облікова</w:t>
            </w:r>
            <w:proofErr w:type="spellEnd"/>
            <w:r w:rsidRPr="00E16672">
              <w:rPr>
                <w:rFonts w:ascii="Times New Roman" w:hAnsi="Times New Roman"/>
                <w:sz w:val="16"/>
                <w:szCs w:val="16"/>
              </w:rPr>
              <w:t xml:space="preserve"> ставка </w:t>
            </w:r>
            <w:proofErr w:type="spellStart"/>
            <w:r w:rsidRPr="00E16672">
              <w:rPr>
                <w:rFonts w:ascii="Times New Roman" w:hAnsi="Times New Roman"/>
                <w:sz w:val="16"/>
                <w:szCs w:val="16"/>
              </w:rPr>
              <w:t>Національного</w:t>
            </w:r>
            <w:proofErr w:type="spellEnd"/>
            <w:r w:rsidRPr="00E16672">
              <w:rPr>
                <w:rFonts w:ascii="Times New Roman" w:hAnsi="Times New Roman"/>
                <w:sz w:val="16"/>
                <w:szCs w:val="16"/>
              </w:rPr>
              <w:t xml:space="preserve"> Банку </w:t>
            </w:r>
            <w:proofErr w:type="spellStart"/>
            <w:r w:rsidRPr="00E16672">
              <w:rPr>
                <w:rFonts w:ascii="Times New Roman" w:hAnsi="Times New Roman"/>
                <w:sz w:val="16"/>
                <w:szCs w:val="16"/>
              </w:rPr>
              <w:t>України</w:t>
            </w:r>
            <w:proofErr w:type="spellEnd"/>
            <w:r w:rsidRPr="00E16672">
              <w:rPr>
                <w:rFonts w:ascii="Times New Roman" w:hAnsi="Times New Roman"/>
                <w:sz w:val="16"/>
                <w:szCs w:val="16"/>
              </w:rPr>
              <w:t>;</w:t>
            </w:r>
          </w:p>
          <w:p w14:paraId="35529100" w14:textId="77777777" w:rsidR="005C5318" w:rsidRPr="00E16672" w:rsidRDefault="005C5318" w:rsidP="005C5318">
            <w:pPr>
              <w:ind w:left="175" w:right="138" w:firstLine="7"/>
              <w:rPr>
                <w:rFonts w:ascii="Times New Roman" w:hAnsi="Times New Roman"/>
                <w:sz w:val="16"/>
                <w:szCs w:val="16"/>
              </w:rPr>
            </w:pPr>
            <w:proofErr w:type="spellStart"/>
            <w:r w:rsidRPr="00E16672">
              <w:rPr>
                <w:rFonts w:ascii="Times New Roman" w:hAnsi="Times New Roman"/>
                <w:sz w:val="16"/>
                <w:szCs w:val="16"/>
              </w:rPr>
              <w:t>Д</w:t>
            </w:r>
            <w:r w:rsidRPr="00E16672">
              <w:rPr>
                <w:rFonts w:ascii="Times New Roman" w:hAnsi="Times New Roman"/>
                <w:sz w:val="16"/>
                <w:szCs w:val="16"/>
                <w:vertAlign w:val="subscript"/>
              </w:rPr>
              <w:t>рік</w:t>
            </w:r>
            <w:proofErr w:type="spellEnd"/>
            <w:r w:rsidRPr="00E16672">
              <w:rPr>
                <w:rFonts w:ascii="Times New Roman" w:hAnsi="Times New Roman"/>
                <w:sz w:val="16"/>
                <w:szCs w:val="16"/>
              </w:rPr>
              <w:t xml:space="preserve"> – </w:t>
            </w:r>
            <w:proofErr w:type="spellStart"/>
            <w:r w:rsidRPr="00E16672">
              <w:rPr>
                <w:rFonts w:ascii="Times New Roman" w:hAnsi="Times New Roman"/>
                <w:sz w:val="16"/>
                <w:szCs w:val="16"/>
              </w:rPr>
              <w:t>кількість</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днів</w:t>
            </w:r>
            <w:proofErr w:type="spellEnd"/>
            <w:r w:rsidRPr="00E16672">
              <w:rPr>
                <w:rFonts w:ascii="Times New Roman" w:hAnsi="Times New Roman"/>
                <w:sz w:val="16"/>
                <w:szCs w:val="16"/>
              </w:rPr>
              <w:t xml:space="preserve"> у </w:t>
            </w:r>
            <w:proofErr w:type="spellStart"/>
            <w:r w:rsidRPr="00E16672">
              <w:rPr>
                <w:rFonts w:ascii="Times New Roman" w:hAnsi="Times New Roman"/>
                <w:sz w:val="16"/>
                <w:szCs w:val="16"/>
              </w:rPr>
              <w:t>році</w:t>
            </w:r>
            <w:proofErr w:type="spellEnd"/>
            <w:r w:rsidRPr="00E16672">
              <w:rPr>
                <w:rFonts w:ascii="Times New Roman" w:hAnsi="Times New Roman"/>
                <w:sz w:val="16"/>
                <w:szCs w:val="16"/>
              </w:rPr>
              <w:t>;</w:t>
            </w:r>
          </w:p>
          <w:p w14:paraId="3B9172E9" w14:textId="77777777" w:rsidR="005C5318" w:rsidRPr="00E16672" w:rsidRDefault="005C5318" w:rsidP="005C5318">
            <w:pPr>
              <w:ind w:left="175" w:right="138" w:firstLine="7"/>
              <w:rPr>
                <w:rFonts w:ascii="Times New Roman" w:hAnsi="Times New Roman"/>
                <w:sz w:val="16"/>
                <w:szCs w:val="16"/>
                <w:lang w:val="uk-UA"/>
              </w:rPr>
            </w:pPr>
            <w:proofErr w:type="spellStart"/>
            <w:r w:rsidRPr="00E16672">
              <w:rPr>
                <w:rFonts w:ascii="Times New Roman" w:hAnsi="Times New Roman"/>
                <w:sz w:val="16"/>
                <w:szCs w:val="16"/>
              </w:rPr>
              <w:t>Д</w:t>
            </w:r>
            <w:r w:rsidRPr="00E16672">
              <w:rPr>
                <w:rFonts w:ascii="Times New Roman" w:hAnsi="Times New Roman"/>
                <w:sz w:val="16"/>
                <w:szCs w:val="16"/>
                <w:vertAlign w:val="subscript"/>
              </w:rPr>
              <w:t>нарахування</w:t>
            </w:r>
            <w:proofErr w:type="spellEnd"/>
            <w:r w:rsidRPr="00E16672">
              <w:rPr>
                <w:rFonts w:ascii="Times New Roman" w:hAnsi="Times New Roman"/>
                <w:sz w:val="16"/>
                <w:szCs w:val="16"/>
              </w:rPr>
              <w:t xml:space="preserve"> – </w:t>
            </w:r>
            <w:proofErr w:type="spellStart"/>
            <w:r w:rsidRPr="00E16672">
              <w:rPr>
                <w:rFonts w:ascii="Times New Roman" w:hAnsi="Times New Roman"/>
                <w:sz w:val="16"/>
                <w:szCs w:val="16"/>
              </w:rPr>
              <w:t>кількість</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днів</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нарахування</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пені</w:t>
            </w:r>
            <w:proofErr w:type="spellEnd"/>
            <w:r w:rsidRPr="00E16672">
              <w:rPr>
                <w:rFonts w:ascii="Times New Roman" w:hAnsi="Times New Roman"/>
                <w:sz w:val="16"/>
                <w:szCs w:val="16"/>
                <w:lang w:val="uk-UA"/>
              </w:rPr>
              <w:t>.</w:t>
            </w:r>
          </w:p>
          <w:p w14:paraId="55F21A2D" w14:textId="77777777" w:rsidR="005C5318" w:rsidRPr="00E16672" w:rsidRDefault="005C5318" w:rsidP="005C5318">
            <w:pPr>
              <w:ind w:left="175" w:firstLine="7"/>
              <w:rPr>
                <w:rFonts w:ascii="Times New Roman" w:hAnsi="Times New Roman"/>
                <w:sz w:val="16"/>
                <w:szCs w:val="16"/>
                <w:lang w:val="uk-UA"/>
              </w:rPr>
            </w:pPr>
            <w:r w:rsidRPr="00E16672">
              <w:rPr>
                <w:rFonts w:ascii="Times New Roman" w:hAnsi="Times New Roman"/>
                <w:sz w:val="16"/>
                <w:szCs w:val="20"/>
                <w:lang w:val="uk-UA"/>
              </w:rPr>
              <w:t xml:space="preserve">Якщо протягом періоду прострочення розмір облікової ставки  Національного Банку України змінювався, пеня розраховується окремо для кожного періоду з відповідним значенням 2НБУ, після чого значення </w:t>
            </w:r>
            <w:proofErr w:type="spellStart"/>
            <w:r w:rsidRPr="00E16672">
              <w:rPr>
                <w:rFonts w:ascii="Times New Roman" w:hAnsi="Times New Roman"/>
                <w:sz w:val="16"/>
                <w:szCs w:val="20"/>
                <w:lang w:val="uk-UA"/>
              </w:rPr>
              <w:t>сумуються</w:t>
            </w:r>
            <w:proofErr w:type="spellEnd"/>
            <w:r w:rsidRPr="00E16672">
              <w:rPr>
                <w:rFonts w:ascii="Times New Roman" w:hAnsi="Times New Roman"/>
                <w:sz w:val="16"/>
                <w:szCs w:val="20"/>
                <w:lang w:val="uk-UA"/>
              </w:rPr>
              <w:t xml:space="preserve">. </w:t>
            </w:r>
            <w:r w:rsidRPr="00E16672">
              <w:rPr>
                <w:rFonts w:ascii="Times New Roman" w:hAnsi="Times New Roman"/>
                <w:sz w:val="16"/>
                <w:szCs w:val="16"/>
                <w:lang w:val="uk-UA"/>
              </w:rPr>
              <w:t xml:space="preserve"> </w:t>
            </w:r>
          </w:p>
        </w:tc>
        <w:tc>
          <w:tcPr>
            <w:tcW w:w="5495" w:type="dxa"/>
            <w:gridSpan w:val="6"/>
            <w:shd w:val="clear" w:color="auto" w:fill="auto"/>
          </w:tcPr>
          <w:p w14:paraId="43E31FC4" w14:textId="77777777" w:rsidR="005C5318" w:rsidRPr="00E16672" w:rsidRDefault="005C5318" w:rsidP="005C5318">
            <w:pPr>
              <w:tabs>
                <w:tab w:val="left" w:pos="287"/>
              </w:tabs>
              <w:snapToGrid w:val="0"/>
              <w:ind w:left="175" w:right="100" w:firstLine="7"/>
              <w:rPr>
                <w:rFonts w:ascii="Times New Roman" w:hAnsi="Times New Roman"/>
                <w:sz w:val="16"/>
                <w:szCs w:val="16"/>
                <w:lang w:val="en-GB"/>
              </w:rPr>
            </w:pPr>
            <w:r w:rsidRPr="00E16672">
              <w:rPr>
                <w:rFonts w:ascii="Times New Roman" w:hAnsi="Times New Roman"/>
                <w:sz w:val="16"/>
                <w:szCs w:val="16"/>
                <w:lang w:val="en-GB"/>
              </w:rPr>
              <w:t>F=</w:t>
            </w:r>
            <w:proofErr w:type="spellStart"/>
            <w:r w:rsidRPr="00E16672">
              <w:rPr>
                <w:rFonts w:ascii="Times New Roman" w:hAnsi="Times New Roman"/>
                <w:sz w:val="16"/>
                <w:szCs w:val="16"/>
                <w:lang w:val="en-GB"/>
              </w:rPr>
              <w:t>Т</w:t>
            </w:r>
            <w:r w:rsidRPr="00E16672">
              <w:rPr>
                <w:rFonts w:ascii="Times New Roman" w:hAnsi="Times New Roman"/>
                <w:sz w:val="16"/>
                <w:szCs w:val="16"/>
                <w:vertAlign w:val="subscript"/>
                <w:lang w:val="en-GB"/>
              </w:rPr>
              <w:t>notpayment</w:t>
            </w:r>
            <w:proofErr w:type="spellEnd"/>
            <w:r w:rsidRPr="00E16672">
              <w:rPr>
                <w:rFonts w:ascii="Times New Roman" w:hAnsi="Times New Roman"/>
                <w:sz w:val="16"/>
                <w:szCs w:val="16"/>
                <w:lang w:val="en-GB"/>
              </w:rPr>
              <w:t>*2NBU/</w:t>
            </w:r>
            <w:proofErr w:type="spellStart"/>
            <w:r w:rsidRPr="00E16672">
              <w:rPr>
                <w:rFonts w:ascii="Times New Roman" w:hAnsi="Times New Roman"/>
                <w:sz w:val="16"/>
                <w:szCs w:val="16"/>
                <w:lang w:val="en-GB"/>
              </w:rPr>
              <w:t>D</w:t>
            </w:r>
            <w:r w:rsidRPr="00E16672">
              <w:rPr>
                <w:rFonts w:ascii="Times New Roman" w:hAnsi="Times New Roman"/>
                <w:sz w:val="16"/>
                <w:szCs w:val="16"/>
                <w:vertAlign w:val="subscript"/>
                <w:lang w:val="en-GB"/>
              </w:rPr>
              <w:t>year</w:t>
            </w:r>
            <w:proofErr w:type="spellEnd"/>
            <w:r w:rsidRPr="00E16672">
              <w:rPr>
                <w:rFonts w:ascii="Times New Roman" w:hAnsi="Times New Roman"/>
                <w:sz w:val="16"/>
                <w:szCs w:val="16"/>
                <w:lang w:val="en-GB"/>
              </w:rPr>
              <w:t>*</w:t>
            </w:r>
            <w:proofErr w:type="spellStart"/>
            <w:r w:rsidRPr="00E16672">
              <w:rPr>
                <w:rFonts w:ascii="Times New Roman" w:hAnsi="Times New Roman"/>
                <w:sz w:val="16"/>
                <w:szCs w:val="16"/>
                <w:lang w:val="en-GB"/>
              </w:rPr>
              <w:t>D</w:t>
            </w:r>
            <w:r w:rsidRPr="00E16672">
              <w:rPr>
                <w:rFonts w:ascii="Times New Roman" w:hAnsi="Times New Roman"/>
                <w:sz w:val="16"/>
                <w:szCs w:val="16"/>
                <w:vertAlign w:val="subscript"/>
                <w:lang w:val="en-GB"/>
              </w:rPr>
              <w:t>extracharge</w:t>
            </w:r>
            <w:proofErr w:type="spellEnd"/>
            <w:r w:rsidRPr="00E16672">
              <w:rPr>
                <w:rFonts w:ascii="Times New Roman" w:hAnsi="Times New Roman"/>
                <w:sz w:val="16"/>
                <w:szCs w:val="16"/>
                <w:lang w:val="en-GB"/>
              </w:rPr>
              <w:t xml:space="preserve">, </w:t>
            </w:r>
          </w:p>
          <w:p w14:paraId="7B467FDC" w14:textId="77777777" w:rsidR="005C5318" w:rsidRPr="00E16672" w:rsidRDefault="005C5318" w:rsidP="005C5318">
            <w:pPr>
              <w:tabs>
                <w:tab w:val="left" w:pos="287"/>
              </w:tabs>
              <w:snapToGrid w:val="0"/>
              <w:ind w:left="175" w:right="100" w:firstLine="7"/>
              <w:rPr>
                <w:rFonts w:ascii="Times New Roman" w:hAnsi="Times New Roman"/>
                <w:sz w:val="16"/>
                <w:szCs w:val="16"/>
                <w:lang w:val="en-GB"/>
              </w:rPr>
            </w:pPr>
            <w:r w:rsidRPr="00E16672">
              <w:rPr>
                <w:rFonts w:ascii="Times New Roman" w:hAnsi="Times New Roman"/>
                <w:sz w:val="16"/>
                <w:szCs w:val="16"/>
                <w:lang w:val="en-GB"/>
              </w:rPr>
              <w:t>where:</w:t>
            </w:r>
            <w:r w:rsidRPr="00E16672">
              <w:rPr>
                <w:rFonts w:ascii="Times New Roman" w:hAnsi="Times New Roman"/>
                <w:sz w:val="16"/>
                <w:szCs w:val="16"/>
                <w:lang w:val="en-GB"/>
              </w:rPr>
              <w:br/>
              <w:t>F – fine;</w:t>
            </w:r>
          </w:p>
          <w:p w14:paraId="5AA41D12" w14:textId="77777777" w:rsidR="005C5318" w:rsidRPr="00E16672" w:rsidRDefault="005C5318" w:rsidP="005C5318">
            <w:pPr>
              <w:tabs>
                <w:tab w:val="left" w:pos="287"/>
              </w:tabs>
              <w:snapToGrid w:val="0"/>
              <w:ind w:left="175" w:right="100" w:firstLine="7"/>
              <w:rPr>
                <w:rFonts w:ascii="Times New Roman" w:hAnsi="Times New Roman"/>
                <w:sz w:val="16"/>
                <w:szCs w:val="16"/>
                <w:lang w:val="en-GB"/>
              </w:rPr>
            </w:pPr>
            <w:proofErr w:type="spellStart"/>
            <w:r w:rsidRPr="00E16672">
              <w:rPr>
                <w:rFonts w:ascii="Times New Roman" w:hAnsi="Times New Roman"/>
                <w:sz w:val="16"/>
                <w:szCs w:val="16"/>
                <w:lang w:val="en-GB"/>
              </w:rPr>
              <w:t>Т</w:t>
            </w:r>
            <w:r w:rsidRPr="00E16672">
              <w:rPr>
                <w:rFonts w:ascii="Times New Roman" w:hAnsi="Times New Roman"/>
                <w:sz w:val="16"/>
                <w:szCs w:val="16"/>
                <w:vertAlign w:val="subscript"/>
                <w:lang w:val="en-GB"/>
              </w:rPr>
              <w:t>notpayment</w:t>
            </w:r>
            <w:proofErr w:type="spellEnd"/>
            <w:r w:rsidRPr="00E16672">
              <w:rPr>
                <w:rFonts w:ascii="Times New Roman" w:hAnsi="Times New Roman"/>
                <w:sz w:val="16"/>
                <w:szCs w:val="16"/>
                <w:lang w:val="en-GB"/>
              </w:rPr>
              <w:t xml:space="preserve"> – cost of not payment service</w:t>
            </w:r>
            <w:r w:rsidRPr="00E16672">
              <w:rPr>
                <w:rFonts w:ascii="Times New Roman" w:hAnsi="Times New Roman"/>
                <w:sz w:val="16"/>
                <w:szCs w:val="16"/>
                <w:lang w:val="uk-UA"/>
              </w:rPr>
              <w:t xml:space="preserve"> (</w:t>
            </w:r>
            <w:r w:rsidRPr="00E16672">
              <w:rPr>
                <w:rFonts w:ascii="Times New Roman" w:hAnsi="Times New Roman"/>
                <w:sz w:val="16"/>
                <w:szCs w:val="16"/>
                <w:lang w:val="en-GB"/>
              </w:rPr>
              <w:t>not payment services</w:t>
            </w:r>
            <w:r w:rsidRPr="00E16672">
              <w:rPr>
                <w:rFonts w:ascii="Times New Roman" w:hAnsi="Times New Roman"/>
                <w:sz w:val="16"/>
                <w:szCs w:val="16"/>
                <w:lang w:val="uk-UA"/>
              </w:rPr>
              <w:t>)</w:t>
            </w:r>
            <w:r w:rsidRPr="00E16672">
              <w:rPr>
                <w:rFonts w:ascii="Times New Roman" w:hAnsi="Times New Roman"/>
                <w:sz w:val="16"/>
                <w:szCs w:val="16"/>
                <w:lang w:val="en-GB"/>
              </w:rPr>
              <w:t>;</w:t>
            </w:r>
          </w:p>
          <w:p w14:paraId="64FC2902" w14:textId="77777777" w:rsidR="005C5318" w:rsidRPr="00E16672" w:rsidRDefault="005C5318" w:rsidP="005C5318">
            <w:pPr>
              <w:tabs>
                <w:tab w:val="left" w:pos="287"/>
              </w:tabs>
              <w:ind w:left="175" w:right="100" w:firstLine="7"/>
              <w:rPr>
                <w:rFonts w:ascii="Times New Roman" w:hAnsi="Times New Roman"/>
                <w:sz w:val="16"/>
                <w:szCs w:val="16"/>
                <w:lang w:val="en-GB"/>
              </w:rPr>
            </w:pPr>
            <w:r w:rsidRPr="00E16672">
              <w:rPr>
                <w:rFonts w:ascii="Times New Roman" w:hAnsi="Times New Roman"/>
                <w:sz w:val="16"/>
                <w:szCs w:val="16"/>
                <w:lang w:val="en-GB"/>
              </w:rPr>
              <w:t>2NBU – double registration rate of the National bank of Ukraine;</w:t>
            </w:r>
          </w:p>
          <w:p w14:paraId="38BE1A07" w14:textId="77777777" w:rsidR="005C5318" w:rsidRPr="00E16672" w:rsidRDefault="005C5318" w:rsidP="005C5318">
            <w:pPr>
              <w:tabs>
                <w:tab w:val="left" w:pos="287"/>
              </w:tabs>
              <w:ind w:left="175" w:right="100" w:firstLine="7"/>
              <w:rPr>
                <w:rFonts w:ascii="Times New Roman" w:hAnsi="Times New Roman"/>
                <w:sz w:val="16"/>
                <w:szCs w:val="16"/>
                <w:lang w:val="en-GB"/>
              </w:rPr>
            </w:pPr>
            <w:proofErr w:type="spellStart"/>
            <w:r w:rsidRPr="00E16672">
              <w:rPr>
                <w:rFonts w:ascii="Times New Roman" w:hAnsi="Times New Roman"/>
                <w:sz w:val="16"/>
                <w:szCs w:val="16"/>
                <w:lang w:val="en-GB"/>
              </w:rPr>
              <w:t>D</w:t>
            </w:r>
            <w:r w:rsidRPr="00E16672">
              <w:rPr>
                <w:rFonts w:ascii="Times New Roman" w:hAnsi="Times New Roman"/>
                <w:sz w:val="16"/>
                <w:szCs w:val="16"/>
                <w:vertAlign w:val="subscript"/>
                <w:lang w:val="en-GB"/>
              </w:rPr>
              <w:t>year</w:t>
            </w:r>
            <w:proofErr w:type="spellEnd"/>
            <w:r w:rsidRPr="00E16672">
              <w:rPr>
                <w:rFonts w:ascii="Times New Roman" w:hAnsi="Times New Roman"/>
                <w:sz w:val="16"/>
                <w:szCs w:val="16"/>
                <w:lang w:val="en-GB"/>
              </w:rPr>
              <w:t xml:space="preserve"> – an </w:t>
            </w:r>
            <w:proofErr w:type="gramStart"/>
            <w:r w:rsidRPr="00E16672">
              <w:rPr>
                <w:rFonts w:ascii="Times New Roman" w:hAnsi="Times New Roman"/>
                <w:sz w:val="16"/>
                <w:szCs w:val="16"/>
                <w:lang w:val="en-GB"/>
              </w:rPr>
              <w:t>amount</w:t>
            </w:r>
            <w:proofErr w:type="gramEnd"/>
            <w:r w:rsidRPr="00E16672">
              <w:rPr>
                <w:rFonts w:ascii="Times New Roman" w:hAnsi="Times New Roman"/>
                <w:sz w:val="16"/>
                <w:szCs w:val="16"/>
                <w:lang w:val="en-GB"/>
              </w:rPr>
              <w:t xml:space="preserve"> of days is in a year;</w:t>
            </w:r>
          </w:p>
          <w:p w14:paraId="6FF95263" w14:textId="77777777" w:rsidR="005C5318" w:rsidRPr="00E16672" w:rsidRDefault="005C5318" w:rsidP="005C5318">
            <w:pPr>
              <w:tabs>
                <w:tab w:val="left" w:pos="287"/>
              </w:tabs>
              <w:snapToGrid w:val="0"/>
              <w:ind w:left="175" w:right="100" w:firstLine="7"/>
              <w:rPr>
                <w:rFonts w:ascii="Times New Roman" w:hAnsi="Times New Roman"/>
                <w:sz w:val="16"/>
                <w:szCs w:val="16"/>
                <w:lang w:val="en-GB"/>
              </w:rPr>
            </w:pPr>
            <w:proofErr w:type="spellStart"/>
            <w:r w:rsidRPr="00E16672">
              <w:rPr>
                <w:rFonts w:ascii="Times New Roman" w:hAnsi="Times New Roman"/>
                <w:sz w:val="16"/>
                <w:szCs w:val="16"/>
                <w:lang w:val="en-GB"/>
              </w:rPr>
              <w:t>D</w:t>
            </w:r>
            <w:r w:rsidRPr="00E16672">
              <w:rPr>
                <w:rFonts w:ascii="Times New Roman" w:hAnsi="Times New Roman"/>
                <w:sz w:val="16"/>
                <w:szCs w:val="16"/>
                <w:vertAlign w:val="subscript"/>
                <w:lang w:val="en-GB"/>
              </w:rPr>
              <w:t>extracharge</w:t>
            </w:r>
            <w:proofErr w:type="spellEnd"/>
            <w:r w:rsidRPr="00E16672">
              <w:rPr>
                <w:rFonts w:ascii="Times New Roman" w:hAnsi="Times New Roman"/>
                <w:sz w:val="16"/>
                <w:szCs w:val="16"/>
                <w:lang w:val="en-GB"/>
              </w:rPr>
              <w:t xml:space="preserve"> – an </w:t>
            </w:r>
            <w:proofErr w:type="gramStart"/>
            <w:r w:rsidRPr="00E16672">
              <w:rPr>
                <w:rFonts w:ascii="Times New Roman" w:hAnsi="Times New Roman"/>
                <w:sz w:val="16"/>
                <w:szCs w:val="16"/>
                <w:lang w:val="en-GB"/>
              </w:rPr>
              <w:t>amount</w:t>
            </w:r>
            <w:proofErr w:type="gramEnd"/>
            <w:r w:rsidRPr="00E16672">
              <w:rPr>
                <w:rFonts w:ascii="Times New Roman" w:hAnsi="Times New Roman"/>
                <w:sz w:val="16"/>
                <w:szCs w:val="16"/>
                <w:lang w:val="en-GB"/>
              </w:rPr>
              <w:t xml:space="preserve"> of days of extra charge of fine.</w:t>
            </w:r>
          </w:p>
          <w:p w14:paraId="4ADA839F" w14:textId="77777777" w:rsidR="005C5318" w:rsidRPr="00E16672" w:rsidRDefault="005C5318" w:rsidP="005C5318">
            <w:pPr>
              <w:tabs>
                <w:tab w:val="left" w:pos="287"/>
              </w:tabs>
              <w:snapToGrid w:val="0"/>
              <w:ind w:left="175" w:right="100" w:firstLine="7"/>
              <w:rPr>
                <w:rFonts w:ascii="Times New Roman" w:hAnsi="Times New Roman"/>
                <w:sz w:val="16"/>
                <w:szCs w:val="16"/>
                <w:lang w:val="en-GB"/>
              </w:rPr>
            </w:pPr>
            <w:r w:rsidRPr="00F23413">
              <w:rPr>
                <w:rFonts w:ascii="Times New Roman" w:hAnsi="Times New Roman"/>
                <w:sz w:val="16"/>
                <w:szCs w:val="16"/>
                <w:lang w:val="en-US"/>
              </w:rPr>
              <w:t>If, during the period of delay, the size of the discount rate of the National Bank of Ukraine has changed, the interest is calculated separately for each period with the corresponding value of 2NBU, after which the values are summed up.</w:t>
            </w:r>
          </w:p>
        </w:tc>
      </w:tr>
      <w:tr w:rsidR="005C5318" w:rsidRPr="00F23413" w14:paraId="2DA49A69" w14:textId="77777777" w:rsidTr="005E418B">
        <w:trPr>
          <w:trHeight w:val="192"/>
        </w:trPr>
        <w:tc>
          <w:tcPr>
            <w:tcW w:w="5695" w:type="dxa"/>
            <w:gridSpan w:val="6"/>
            <w:shd w:val="clear" w:color="auto" w:fill="auto"/>
          </w:tcPr>
          <w:p w14:paraId="3C0B3509" w14:textId="77777777" w:rsidR="005C5318" w:rsidRPr="00E16672" w:rsidRDefault="005C5318" w:rsidP="005C5318">
            <w:pPr>
              <w:snapToGrid w:val="0"/>
              <w:ind w:left="175" w:right="138" w:firstLine="7"/>
              <w:rPr>
                <w:rFonts w:ascii="Times New Roman" w:hAnsi="Times New Roman"/>
                <w:sz w:val="16"/>
                <w:szCs w:val="16"/>
                <w:lang w:val="en-US"/>
              </w:rPr>
            </w:pPr>
          </w:p>
          <w:p w14:paraId="14FE6AF8" w14:textId="77777777" w:rsidR="005C5318" w:rsidRPr="00E16672" w:rsidRDefault="005C5318" w:rsidP="005C5318">
            <w:pPr>
              <w:ind w:left="175" w:right="138" w:firstLine="7"/>
              <w:rPr>
                <w:rFonts w:ascii="Times New Roman" w:hAnsi="Times New Roman"/>
                <w:sz w:val="16"/>
                <w:szCs w:val="16"/>
              </w:rPr>
            </w:pPr>
            <w:r w:rsidRPr="00E16672">
              <w:rPr>
                <w:rFonts w:ascii="Times New Roman" w:hAnsi="Times New Roman"/>
                <w:sz w:val="16"/>
                <w:szCs w:val="16"/>
              </w:rPr>
              <w:t xml:space="preserve">5.9.2. </w:t>
            </w:r>
            <w:proofErr w:type="spellStart"/>
            <w:r w:rsidRPr="00E16672">
              <w:rPr>
                <w:rFonts w:ascii="Times New Roman" w:hAnsi="Times New Roman"/>
                <w:sz w:val="16"/>
                <w:szCs w:val="16"/>
              </w:rPr>
              <w:t>Депозитарна</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установа</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може</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пред'являти</w:t>
            </w:r>
            <w:proofErr w:type="spellEnd"/>
            <w:r w:rsidRPr="00E16672">
              <w:rPr>
                <w:rFonts w:ascii="Times New Roman" w:hAnsi="Times New Roman"/>
                <w:sz w:val="16"/>
                <w:szCs w:val="16"/>
              </w:rPr>
              <w:t xml:space="preserve"> Депоненту </w:t>
            </w:r>
            <w:proofErr w:type="spellStart"/>
            <w:r w:rsidRPr="00E16672">
              <w:rPr>
                <w:rFonts w:ascii="Times New Roman" w:hAnsi="Times New Roman"/>
                <w:sz w:val="16"/>
                <w:szCs w:val="16"/>
              </w:rPr>
              <w:t>вимоги</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стосовно</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сплати</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пені</w:t>
            </w:r>
            <w:proofErr w:type="spellEnd"/>
            <w:r w:rsidRPr="00E16672">
              <w:rPr>
                <w:rFonts w:ascii="Times New Roman" w:hAnsi="Times New Roman"/>
                <w:sz w:val="16"/>
                <w:szCs w:val="16"/>
              </w:rPr>
              <w:t xml:space="preserve">, як шляхом </w:t>
            </w:r>
            <w:proofErr w:type="spellStart"/>
            <w:r w:rsidRPr="00E16672">
              <w:rPr>
                <w:rFonts w:ascii="Times New Roman" w:hAnsi="Times New Roman"/>
                <w:sz w:val="16"/>
                <w:szCs w:val="16"/>
              </w:rPr>
              <w:t>надіслання</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рахунк</w:t>
            </w:r>
            <w:proofErr w:type="spellEnd"/>
            <w:r w:rsidRPr="00E16672">
              <w:rPr>
                <w:rFonts w:ascii="Times New Roman" w:hAnsi="Times New Roman"/>
                <w:sz w:val="16"/>
                <w:szCs w:val="16"/>
                <w:lang w:val="uk-UA"/>
              </w:rPr>
              <w:t>у</w:t>
            </w:r>
            <w:r w:rsidRPr="00E16672">
              <w:rPr>
                <w:rFonts w:ascii="Times New Roman" w:hAnsi="Times New Roman"/>
                <w:sz w:val="16"/>
                <w:szCs w:val="16"/>
              </w:rPr>
              <w:t xml:space="preserve">, так і шляхом </w:t>
            </w:r>
            <w:proofErr w:type="spellStart"/>
            <w:r w:rsidRPr="00E16672">
              <w:rPr>
                <w:rFonts w:ascii="Times New Roman" w:hAnsi="Times New Roman"/>
                <w:sz w:val="16"/>
                <w:szCs w:val="16"/>
              </w:rPr>
              <w:t>звернення</w:t>
            </w:r>
            <w:proofErr w:type="spellEnd"/>
            <w:r w:rsidRPr="00E16672">
              <w:rPr>
                <w:rFonts w:ascii="Times New Roman" w:hAnsi="Times New Roman"/>
                <w:sz w:val="16"/>
                <w:szCs w:val="16"/>
              </w:rPr>
              <w:t xml:space="preserve"> до Депонента з листом, </w:t>
            </w:r>
            <w:proofErr w:type="spellStart"/>
            <w:r w:rsidRPr="00E16672">
              <w:rPr>
                <w:rFonts w:ascii="Times New Roman" w:hAnsi="Times New Roman"/>
                <w:sz w:val="16"/>
                <w:szCs w:val="16"/>
              </w:rPr>
              <w:t>телеграмою</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тощо</w:t>
            </w:r>
            <w:proofErr w:type="spellEnd"/>
            <w:r w:rsidRPr="00E16672">
              <w:rPr>
                <w:rFonts w:ascii="Times New Roman" w:hAnsi="Times New Roman"/>
                <w:sz w:val="16"/>
                <w:szCs w:val="16"/>
              </w:rPr>
              <w:t>.</w:t>
            </w:r>
          </w:p>
        </w:tc>
        <w:tc>
          <w:tcPr>
            <w:tcW w:w="5495" w:type="dxa"/>
            <w:gridSpan w:val="6"/>
            <w:shd w:val="clear" w:color="auto" w:fill="auto"/>
          </w:tcPr>
          <w:p w14:paraId="7F5A779E" w14:textId="77777777" w:rsidR="005C5318" w:rsidRPr="00E16672" w:rsidRDefault="005C5318" w:rsidP="005C5318">
            <w:pPr>
              <w:tabs>
                <w:tab w:val="left" w:pos="287"/>
              </w:tabs>
              <w:snapToGrid w:val="0"/>
              <w:ind w:left="175" w:right="100" w:firstLine="7"/>
              <w:rPr>
                <w:rFonts w:ascii="Times New Roman" w:hAnsi="Times New Roman"/>
                <w:sz w:val="16"/>
                <w:szCs w:val="16"/>
              </w:rPr>
            </w:pPr>
          </w:p>
          <w:p w14:paraId="4CABEC32" w14:textId="77777777" w:rsidR="005C5318" w:rsidRPr="00E16672" w:rsidRDefault="005C5318" w:rsidP="005C5318">
            <w:pPr>
              <w:tabs>
                <w:tab w:val="left" w:pos="287"/>
              </w:tabs>
              <w:snapToGrid w:val="0"/>
              <w:ind w:left="175" w:right="100" w:firstLine="7"/>
              <w:rPr>
                <w:rFonts w:ascii="Times New Roman" w:hAnsi="Times New Roman"/>
                <w:sz w:val="16"/>
                <w:szCs w:val="16"/>
                <w:lang w:val="en-GB"/>
              </w:rPr>
            </w:pPr>
            <w:r w:rsidRPr="00E16672">
              <w:rPr>
                <w:rFonts w:ascii="Times New Roman" w:hAnsi="Times New Roman"/>
                <w:sz w:val="16"/>
                <w:szCs w:val="16"/>
                <w:lang w:val="en-GB"/>
              </w:rPr>
              <w:t xml:space="preserve">5.9.2. Depository institution can to make from </w:t>
            </w:r>
            <w:proofErr w:type="gramStart"/>
            <w:r w:rsidRPr="00E16672">
              <w:rPr>
                <w:rFonts w:ascii="Times New Roman" w:hAnsi="Times New Roman"/>
                <w:sz w:val="16"/>
                <w:szCs w:val="16"/>
                <w:lang w:val="en-GB"/>
              </w:rPr>
              <w:t>Depositor  requirement</w:t>
            </w:r>
            <w:proofErr w:type="gramEnd"/>
            <w:r w:rsidRPr="00E16672">
              <w:rPr>
                <w:rFonts w:ascii="Times New Roman" w:hAnsi="Times New Roman"/>
                <w:sz w:val="16"/>
                <w:szCs w:val="16"/>
                <w:lang w:val="en-GB"/>
              </w:rPr>
              <w:t xml:space="preserve"> concerning of payment of fine, both as by the message of invoice and by an address to Depositor with a letter, by a telegram and others like that.</w:t>
            </w:r>
          </w:p>
          <w:p w14:paraId="7A91277B" w14:textId="77777777" w:rsidR="005C5318" w:rsidRPr="00E16672" w:rsidRDefault="005C5318" w:rsidP="005C5318">
            <w:pPr>
              <w:tabs>
                <w:tab w:val="left" w:pos="287"/>
              </w:tabs>
              <w:snapToGrid w:val="0"/>
              <w:ind w:left="175" w:right="100" w:firstLine="7"/>
              <w:rPr>
                <w:rFonts w:ascii="Times New Roman" w:hAnsi="Times New Roman"/>
                <w:sz w:val="16"/>
                <w:szCs w:val="16"/>
                <w:lang w:val="en-GB"/>
              </w:rPr>
            </w:pPr>
          </w:p>
        </w:tc>
      </w:tr>
      <w:tr w:rsidR="005C5318" w:rsidRPr="00F23413" w14:paraId="487ECA16" w14:textId="77777777" w:rsidTr="005E418B">
        <w:trPr>
          <w:trHeight w:val="192"/>
        </w:trPr>
        <w:tc>
          <w:tcPr>
            <w:tcW w:w="5695" w:type="dxa"/>
            <w:gridSpan w:val="6"/>
            <w:shd w:val="clear" w:color="auto" w:fill="auto"/>
          </w:tcPr>
          <w:p w14:paraId="1EC48A62" w14:textId="77777777" w:rsidR="005C5318" w:rsidRPr="00E16672" w:rsidRDefault="005C5318" w:rsidP="005C5318">
            <w:pPr>
              <w:snapToGrid w:val="0"/>
              <w:ind w:left="175" w:right="138" w:firstLine="7"/>
              <w:rPr>
                <w:rFonts w:ascii="Times New Roman" w:hAnsi="Times New Roman"/>
                <w:sz w:val="16"/>
                <w:szCs w:val="16"/>
              </w:rPr>
            </w:pPr>
            <w:r w:rsidRPr="00E16672">
              <w:rPr>
                <w:rFonts w:ascii="Times New Roman" w:hAnsi="Times New Roman"/>
                <w:sz w:val="16"/>
                <w:szCs w:val="16"/>
              </w:rPr>
              <w:t xml:space="preserve">5.9.3. Депонент повинен </w:t>
            </w:r>
            <w:proofErr w:type="spellStart"/>
            <w:r w:rsidRPr="00E16672">
              <w:rPr>
                <w:rFonts w:ascii="Times New Roman" w:hAnsi="Times New Roman"/>
                <w:sz w:val="16"/>
                <w:szCs w:val="16"/>
              </w:rPr>
              <w:t>виконати</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зобов'язання</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визначене</w:t>
            </w:r>
            <w:proofErr w:type="spellEnd"/>
            <w:r w:rsidRPr="00E16672">
              <w:rPr>
                <w:rFonts w:ascii="Times New Roman" w:hAnsi="Times New Roman"/>
                <w:sz w:val="16"/>
                <w:szCs w:val="16"/>
              </w:rPr>
              <w:t xml:space="preserve"> п. 5.9., у </w:t>
            </w:r>
            <w:proofErr w:type="spellStart"/>
            <w:r w:rsidRPr="00E16672">
              <w:rPr>
                <w:rFonts w:ascii="Times New Roman" w:hAnsi="Times New Roman"/>
                <w:sz w:val="16"/>
                <w:szCs w:val="16"/>
              </w:rPr>
              <w:t>п’ятиденний</w:t>
            </w:r>
            <w:proofErr w:type="spellEnd"/>
            <w:r w:rsidRPr="00E16672">
              <w:rPr>
                <w:rFonts w:ascii="Times New Roman" w:hAnsi="Times New Roman"/>
                <w:sz w:val="16"/>
                <w:szCs w:val="16"/>
              </w:rPr>
              <w:t xml:space="preserve"> строк з дня </w:t>
            </w:r>
            <w:proofErr w:type="spellStart"/>
            <w:r w:rsidRPr="00E16672">
              <w:rPr>
                <w:rFonts w:ascii="Times New Roman" w:hAnsi="Times New Roman"/>
                <w:sz w:val="16"/>
                <w:szCs w:val="16"/>
              </w:rPr>
              <w:t>пред'явлення</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вимоги</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Депозитарної</w:t>
            </w:r>
            <w:proofErr w:type="spellEnd"/>
            <w:r w:rsidRPr="00E16672">
              <w:rPr>
                <w:rFonts w:ascii="Times New Roman" w:hAnsi="Times New Roman"/>
                <w:sz w:val="16"/>
                <w:szCs w:val="16"/>
              </w:rPr>
              <w:t xml:space="preserve"> установи </w:t>
            </w:r>
            <w:proofErr w:type="spellStart"/>
            <w:r w:rsidRPr="00E16672">
              <w:rPr>
                <w:rFonts w:ascii="Times New Roman" w:hAnsi="Times New Roman"/>
                <w:sz w:val="16"/>
                <w:szCs w:val="16"/>
              </w:rPr>
              <w:t>згідно</w:t>
            </w:r>
            <w:proofErr w:type="spellEnd"/>
            <w:r w:rsidRPr="00E16672">
              <w:rPr>
                <w:rFonts w:ascii="Times New Roman" w:hAnsi="Times New Roman"/>
                <w:sz w:val="16"/>
                <w:szCs w:val="16"/>
              </w:rPr>
              <w:t xml:space="preserve"> з п. 5.9. Таким днем </w:t>
            </w:r>
            <w:proofErr w:type="spellStart"/>
            <w:r w:rsidRPr="00E16672">
              <w:rPr>
                <w:rFonts w:ascii="Times New Roman" w:hAnsi="Times New Roman"/>
                <w:sz w:val="16"/>
                <w:szCs w:val="16"/>
              </w:rPr>
              <w:t>слід</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вважати</w:t>
            </w:r>
            <w:proofErr w:type="spellEnd"/>
            <w:r w:rsidRPr="00E16672">
              <w:rPr>
                <w:rFonts w:ascii="Times New Roman" w:hAnsi="Times New Roman"/>
                <w:sz w:val="16"/>
                <w:szCs w:val="16"/>
              </w:rPr>
              <w:t xml:space="preserve"> дату </w:t>
            </w:r>
            <w:proofErr w:type="spellStart"/>
            <w:r w:rsidRPr="00E16672">
              <w:rPr>
                <w:rFonts w:ascii="Times New Roman" w:hAnsi="Times New Roman"/>
                <w:sz w:val="16"/>
                <w:szCs w:val="16"/>
              </w:rPr>
              <w:t>одержання</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вимоги</w:t>
            </w:r>
            <w:proofErr w:type="spellEnd"/>
            <w:r w:rsidRPr="00E16672">
              <w:rPr>
                <w:rFonts w:ascii="Times New Roman" w:hAnsi="Times New Roman"/>
                <w:sz w:val="16"/>
                <w:szCs w:val="16"/>
              </w:rPr>
              <w:t xml:space="preserve"> Депонентом.</w:t>
            </w:r>
          </w:p>
        </w:tc>
        <w:tc>
          <w:tcPr>
            <w:tcW w:w="5495" w:type="dxa"/>
            <w:gridSpan w:val="6"/>
            <w:shd w:val="clear" w:color="auto" w:fill="auto"/>
          </w:tcPr>
          <w:p w14:paraId="74FD9C14" w14:textId="77777777" w:rsidR="005C5318" w:rsidRPr="00E16672" w:rsidRDefault="005C5318" w:rsidP="005C5318">
            <w:pPr>
              <w:tabs>
                <w:tab w:val="left" w:pos="287"/>
              </w:tabs>
              <w:snapToGrid w:val="0"/>
              <w:ind w:left="175" w:right="100" w:firstLine="7"/>
              <w:rPr>
                <w:rFonts w:ascii="Times New Roman" w:hAnsi="Times New Roman"/>
                <w:sz w:val="16"/>
                <w:szCs w:val="16"/>
                <w:lang w:val="en-GB"/>
              </w:rPr>
            </w:pPr>
            <w:r w:rsidRPr="00E16672">
              <w:rPr>
                <w:rFonts w:ascii="Times New Roman" w:hAnsi="Times New Roman"/>
                <w:sz w:val="16"/>
                <w:szCs w:val="16"/>
                <w:lang w:val="en-GB"/>
              </w:rPr>
              <w:t>5.9.3. A depositor must execute obligations, certain item 5.9., in a five-day term from the day of making requirement by Depository institution in accordance to item 5.9. It follows to consider the date of receipt of requirement Depositor such day.</w:t>
            </w:r>
          </w:p>
          <w:p w14:paraId="40599A3C" w14:textId="77777777" w:rsidR="005C5318" w:rsidRPr="00E16672" w:rsidRDefault="005C5318" w:rsidP="005C5318">
            <w:pPr>
              <w:tabs>
                <w:tab w:val="left" w:pos="287"/>
              </w:tabs>
              <w:snapToGrid w:val="0"/>
              <w:ind w:left="175" w:right="100" w:firstLine="7"/>
              <w:rPr>
                <w:rFonts w:ascii="Times New Roman" w:hAnsi="Times New Roman"/>
                <w:sz w:val="16"/>
                <w:szCs w:val="16"/>
                <w:lang w:val="en-GB"/>
              </w:rPr>
            </w:pPr>
          </w:p>
        </w:tc>
      </w:tr>
      <w:tr w:rsidR="005C5318" w:rsidRPr="00F23413" w14:paraId="38FFE659" w14:textId="77777777" w:rsidTr="005E418B">
        <w:trPr>
          <w:trHeight w:val="192"/>
        </w:trPr>
        <w:tc>
          <w:tcPr>
            <w:tcW w:w="5695" w:type="dxa"/>
            <w:gridSpan w:val="6"/>
            <w:shd w:val="clear" w:color="auto" w:fill="auto"/>
          </w:tcPr>
          <w:p w14:paraId="431B831C" w14:textId="77777777" w:rsidR="005C5318" w:rsidRPr="00E16672" w:rsidRDefault="005C5318" w:rsidP="005C5318">
            <w:pPr>
              <w:snapToGrid w:val="0"/>
              <w:ind w:left="175" w:right="138" w:firstLine="7"/>
              <w:rPr>
                <w:rFonts w:ascii="Times New Roman" w:hAnsi="Times New Roman"/>
                <w:color w:val="000000"/>
                <w:sz w:val="16"/>
                <w:szCs w:val="16"/>
              </w:rPr>
            </w:pPr>
            <w:r w:rsidRPr="00E16672">
              <w:rPr>
                <w:rFonts w:ascii="Times New Roman" w:hAnsi="Times New Roman"/>
                <w:color w:val="000000"/>
                <w:sz w:val="16"/>
                <w:szCs w:val="16"/>
              </w:rPr>
              <w:lastRenderedPageBreak/>
              <w:t xml:space="preserve">5.9.4. При </w:t>
            </w:r>
            <w:proofErr w:type="spellStart"/>
            <w:r w:rsidRPr="00E16672">
              <w:rPr>
                <w:rFonts w:ascii="Times New Roman" w:hAnsi="Times New Roman"/>
                <w:color w:val="000000"/>
                <w:sz w:val="16"/>
                <w:szCs w:val="16"/>
              </w:rPr>
              <w:t>цьому</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визнання</w:t>
            </w:r>
            <w:proofErr w:type="spellEnd"/>
            <w:r w:rsidRPr="00E16672">
              <w:rPr>
                <w:rFonts w:ascii="Times New Roman" w:hAnsi="Times New Roman"/>
                <w:color w:val="000000"/>
                <w:sz w:val="16"/>
                <w:szCs w:val="16"/>
              </w:rPr>
              <w:t xml:space="preserve"> Депонентом </w:t>
            </w:r>
            <w:proofErr w:type="spellStart"/>
            <w:r w:rsidRPr="00E16672">
              <w:rPr>
                <w:rFonts w:ascii="Times New Roman" w:hAnsi="Times New Roman"/>
                <w:color w:val="000000"/>
                <w:sz w:val="16"/>
                <w:szCs w:val="16"/>
              </w:rPr>
              <w:t>претензії</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Депозитарної</w:t>
            </w:r>
            <w:proofErr w:type="spellEnd"/>
            <w:r w:rsidRPr="00E16672">
              <w:rPr>
                <w:rFonts w:ascii="Times New Roman" w:hAnsi="Times New Roman"/>
                <w:color w:val="000000"/>
                <w:sz w:val="16"/>
                <w:szCs w:val="16"/>
              </w:rPr>
              <w:t xml:space="preserve"> установи про оплату </w:t>
            </w:r>
            <w:proofErr w:type="spellStart"/>
            <w:r w:rsidRPr="00E16672">
              <w:rPr>
                <w:rFonts w:ascii="Times New Roman" w:hAnsi="Times New Roman"/>
                <w:color w:val="000000"/>
                <w:sz w:val="16"/>
                <w:szCs w:val="16"/>
              </w:rPr>
              <w:t>послуг</w:t>
            </w:r>
            <w:proofErr w:type="spellEnd"/>
            <w:r w:rsidRPr="00E16672">
              <w:rPr>
                <w:rFonts w:ascii="Times New Roman" w:hAnsi="Times New Roman"/>
                <w:color w:val="000000"/>
                <w:sz w:val="16"/>
                <w:szCs w:val="16"/>
              </w:rPr>
              <w:t xml:space="preserve"> без </w:t>
            </w:r>
            <w:proofErr w:type="spellStart"/>
            <w:r w:rsidRPr="00E16672">
              <w:rPr>
                <w:rFonts w:ascii="Times New Roman" w:hAnsi="Times New Roman"/>
                <w:color w:val="000000"/>
                <w:sz w:val="16"/>
                <w:szCs w:val="16"/>
              </w:rPr>
              <w:t>перерахування</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заборгованості</w:t>
            </w:r>
            <w:proofErr w:type="spellEnd"/>
            <w:r w:rsidRPr="00E16672">
              <w:rPr>
                <w:rFonts w:ascii="Times New Roman" w:hAnsi="Times New Roman"/>
                <w:color w:val="000000"/>
                <w:sz w:val="16"/>
                <w:szCs w:val="16"/>
              </w:rPr>
              <w:t xml:space="preserve"> не </w:t>
            </w:r>
            <w:proofErr w:type="spellStart"/>
            <w:r w:rsidRPr="00E16672">
              <w:rPr>
                <w:rFonts w:ascii="Times New Roman" w:hAnsi="Times New Roman"/>
                <w:color w:val="000000"/>
                <w:sz w:val="16"/>
                <w:szCs w:val="16"/>
              </w:rPr>
              <w:t>може</w:t>
            </w:r>
            <w:proofErr w:type="spellEnd"/>
            <w:r w:rsidRPr="00E16672">
              <w:rPr>
                <w:rFonts w:ascii="Times New Roman" w:hAnsi="Times New Roman"/>
                <w:color w:val="000000"/>
                <w:sz w:val="16"/>
                <w:szCs w:val="16"/>
              </w:rPr>
              <w:t xml:space="preserve"> бути </w:t>
            </w:r>
            <w:proofErr w:type="spellStart"/>
            <w:r w:rsidRPr="00E16672">
              <w:rPr>
                <w:rFonts w:ascii="Times New Roman" w:hAnsi="Times New Roman"/>
                <w:color w:val="000000"/>
                <w:sz w:val="16"/>
                <w:szCs w:val="16"/>
              </w:rPr>
              <w:t>підставою</w:t>
            </w:r>
            <w:proofErr w:type="spellEnd"/>
            <w:r w:rsidRPr="00E16672">
              <w:rPr>
                <w:rFonts w:ascii="Times New Roman" w:hAnsi="Times New Roman"/>
                <w:color w:val="000000"/>
                <w:sz w:val="16"/>
                <w:szCs w:val="16"/>
              </w:rPr>
              <w:t xml:space="preserve"> для </w:t>
            </w:r>
            <w:proofErr w:type="spellStart"/>
            <w:r w:rsidRPr="00E16672">
              <w:rPr>
                <w:rFonts w:ascii="Times New Roman" w:hAnsi="Times New Roman"/>
                <w:color w:val="000000"/>
                <w:sz w:val="16"/>
                <w:szCs w:val="16"/>
              </w:rPr>
              <w:t>припинення</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нарахування</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пені</w:t>
            </w:r>
            <w:proofErr w:type="spellEnd"/>
            <w:r w:rsidRPr="00E16672">
              <w:rPr>
                <w:rFonts w:ascii="Times New Roman" w:hAnsi="Times New Roman"/>
                <w:color w:val="000000"/>
                <w:sz w:val="16"/>
                <w:szCs w:val="16"/>
              </w:rPr>
              <w:t xml:space="preserve"> за </w:t>
            </w:r>
            <w:r w:rsidRPr="00E16672">
              <w:rPr>
                <w:rFonts w:ascii="Times New Roman" w:hAnsi="Times New Roman"/>
                <w:color w:val="000000"/>
                <w:sz w:val="16"/>
                <w:szCs w:val="16"/>
                <w:lang w:val="uk-UA"/>
              </w:rPr>
              <w:t>прострочення</w:t>
            </w:r>
            <w:r w:rsidRPr="00E16672">
              <w:rPr>
                <w:rFonts w:ascii="Times New Roman" w:hAnsi="Times New Roman"/>
                <w:color w:val="000000"/>
                <w:sz w:val="16"/>
                <w:szCs w:val="16"/>
              </w:rPr>
              <w:t xml:space="preserve"> платежу.</w:t>
            </w:r>
          </w:p>
          <w:p w14:paraId="1181B034" w14:textId="77777777" w:rsidR="005C5318" w:rsidRPr="00E16672" w:rsidRDefault="005C5318" w:rsidP="005C5318">
            <w:pPr>
              <w:ind w:left="175" w:right="138" w:firstLine="7"/>
              <w:rPr>
                <w:rFonts w:ascii="Times New Roman" w:hAnsi="Times New Roman"/>
                <w:color w:val="000000"/>
                <w:sz w:val="16"/>
                <w:szCs w:val="16"/>
              </w:rPr>
            </w:pPr>
          </w:p>
        </w:tc>
        <w:tc>
          <w:tcPr>
            <w:tcW w:w="5495" w:type="dxa"/>
            <w:gridSpan w:val="6"/>
            <w:shd w:val="clear" w:color="auto" w:fill="auto"/>
          </w:tcPr>
          <w:p w14:paraId="37516500" w14:textId="77777777" w:rsidR="005C5318" w:rsidRPr="00E16672" w:rsidRDefault="005C5318" w:rsidP="005C5318">
            <w:pPr>
              <w:tabs>
                <w:tab w:val="left" w:pos="287"/>
              </w:tabs>
              <w:snapToGrid w:val="0"/>
              <w:ind w:left="175" w:right="100" w:firstLine="7"/>
              <w:rPr>
                <w:rFonts w:ascii="Times New Roman" w:hAnsi="Times New Roman"/>
                <w:color w:val="000000"/>
                <w:sz w:val="16"/>
                <w:szCs w:val="16"/>
                <w:lang w:val="en-GB"/>
              </w:rPr>
            </w:pPr>
            <w:r w:rsidRPr="00E16672">
              <w:rPr>
                <w:rFonts w:ascii="Times New Roman" w:hAnsi="Times New Roman"/>
                <w:color w:val="000000"/>
                <w:sz w:val="16"/>
                <w:szCs w:val="16"/>
                <w:lang w:val="en-GB"/>
              </w:rPr>
              <w:t xml:space="preserve">5.9.4. </w:t>
            </w:r>
            <w:proofErr w:type="gramStart"/>
            <w:r w:rsidRPr="00E16672">
              <w:rPr>
                <w:rFonts w:ascii="Times New Roman" w:hAnsi="Times New Roman"/>
                <w:color w:val="000000"/>
                <w:sz w:val="16"/>
                <w:szCs w:val="16"/>
                <w:lang w:val="en-GB"/>
              </w:rPr>
              <w:t>Thus</w:t>
            </w:r>
            <w:proofErr w:type="gramEnd"/>
            <w:r w:rsidRPr="00E16672">
              <w:rPr>
                <w:rFonts w:ascii="Times New Roman" w:hAnsi="Times New Roman"/>
                <w:color w:val="000000"/>
                <w:sz w:val="16"/>
                <w:szCs w:val="16"/>
                <w:lang w:val="en-GB"/>
              </w:rPr>
              <w:t xml:space="preserve"> confession of claim of Depository institution Depositor about payment of services without enumeration of debt </w:t>
            </w:r>
            <w:proofErr w:type="spellStart"/>
            <w:r w:rsidRPr="00E16672">
              <w:rPr>
                <w:rFonts w:ascii="Times New Roman" w:hAnsi="Times New Roman"/>
                <w:color w:val="000000"/>
                <w:sz w:val="16"/>
                <w:szCs w:val="16"/>
                <w:lang w:val="en-GB"/>
              </w:rPr>
              <w:t>can not</w:t>
            </w:r>
            <w:proofErr w:type="spellEnd"/>
            <w:r w:rsidRPr="00E16672">
              <w:rPr>
                <w:rFonts w:ascii="Times New Roman" w:hAnsi="Times New Roman"/>
                <w:color w:val="000000"/>
                <w:sz w:val="16"/>
                <w:szCs w:val="16"/>
                <w:lang w:val="en-GB"/>
              </w:rPr>
              <w:t xml:space="preserve"> be foundation for stopping of extra charge of fine for overdue payment.</w:t>
            </w:r>
          </w:p>
          <w:p w14:paraId="489C8DFC" w14:textId="77777777" w:rsidR="005C5318" w:rsidRPr="00E16672" w:rsidRDefault="005C5318" w:rsidP="005C5318">
            <w:pPr>
              <w:tabs>
                <w:tab w:val="left" w:pos="287"/>
              </w:tabs>
              <w:snapToGrid w:val="0"/>
              <w:ind w:left="175" w:right="100" w:firstLine="7"/>
              <w:rPr>
                <w:rFonts w:ascii="Times New Roman" w:hAnsi="Times New Roman"/>
                <w:color w:val="000000"/>
                <w:sz w:val="16"/>
                <w:szCs w:val="16"/>
                <w:lang w:val="en-GB"/>
              </w:rPr>
            </w:pPr>
          </w:p>
        </w:tc>
      </w:tr>
      <w:tr w:rsidR="005C5318" w:rsidRPr="00F23413" w14:paraId="1B05CDBB" w14:textId="77777777" w:rsidTr="005E418B">
        <w:trPr>
          <w:trHeight w:val="192"/>
        </w:trPr>
        <w:tc>
          <w:tcPr>
            <w:tcW w:w="5695" w:type="dxa"/>
            <w:gridSpan w:val="6"/>
            <w:shd w:val="clear" w:color="auto" w:fill="auto"/>
          </w:tcPr>
          <w:p w14:paraId="4C34AA17" w14:textId="77777777" w:rsidR="005C5318" w:rsidRPr="00E16672" w:rsidRDefault="005C5318" w:rsidP="005C5318">
            <w:pPr>
              <w:snapToGrid w:val="0"/>
              <w:ind w:left="175" w:right="138" w:firstLine="7"/>
              <w:rPr>
                <w:rFonts w:ascii="Times New Roman" w:hAnsi="Times New Roman"/>
                <w:sz w:val="16"/>
                <w:szCs w:val="16"/>
                <w:lang w:val="en-US"/>
              </w:rPr>
            </w:pPr>
            <w:r w:rsidRPr="00E16672">
              <w:rPr>
                <w:rFonts w:ascii="Times New Roman" w:hAnsi="Times New Roman"/>
                <w:sz w:val="16"/>
                <w:szCs w:val="16"/>
                <w:lang w:val="en-US"/>
              </w:rPr>
              <w:t xml:space="preserve">5.10. </w:t>
            </w:r>
            <w:proofErr w:type="spellStart"/>
            <w:r w:rsidRPr="00E16672">
              <w:rPr>
                <w:rFonts w:ascii="Times New Roman" w:hAnsi="Times New Roman"/>
                <w:sz w:val="16"/>
                <w:szCs w:val="16"/>
              </w:rPr>
              <w:t>Прострочення</w:t>
            </w:r>
            <w:proofErr w:type="spellEnd"/>
            <w:r w:rsidRPr="00E16672">
              <w:rPr>
                <w:rFonts w:ascii="Times New Roman" w:hAnsi="Times New Roman"/>
                <w:sz w:val="16"/>
                <w:szCs w:val="16"/>
                <w:lang w:val="en-US"/>
              </w:rPr>
              <w:t xml:space="preserve"> </w:t>
            </w:r>
            <w:r w:rsidRPr="00E16672">
              <w:rPr>
                <w:rFonts w:ascii="Times New Roman" w:hAnsi="Times New Roman"/>
                <w:sz w:val="16"/>
                <w:szCs w:val="16"/>
              </w:rPr>
              <w:t>платежу</w:t>
            </w:r>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більш</w:t>
            </w:r>
            <w:proofErr w:type="spellEnd"/>
            <w:r w:rsidRPr="00E16672">
              <w:rPr>
                <w:rFonts w:ascii="Times New Roman" w:hAnsi="Times New Roman"/>
                <w:sz w:val="16"/>
                <w:szCs w:val="16"/>
                <w:lang w:val="en-US"/>
              </w:rPr>
              <w:t xml:space="preserve"> </w:t>
            </w:r>
            <w:r w:rsidRPr="00E16672">
              <w:rPr>
                <w:rFonts w:ascii="Times New Roman" w:hAnsi="Times New Roman"/>
                <w:sz w:val="16"/>
                <w:szCs w:val="16"/>
              </w:rPr>
              <w:t>як</w:t>
            </w:r>
            <w:r w:rsidRPr="00E16672">
              <w:rPr>
                <w:rFonts w:ascii="Times New Roman" w:hAnsi="Times New Roman"/>
                <w:sz w:val="16"/>
                <w:szCs w:val="16"/>
                <w:lang w:val="en-US"/>
              </w:rPr>
              <w:t xml:space="preserve"> </w:t>
            </w:r>
            <w:r w:rsidRPr="00E16672">
              <w:rPr>
                <w:rFonts w:ascii="Times New Roman" w:hAnsi="Times New Roman"/>
                <w:sz w:val="16"/>
                <w:szCs w:val="16"/>
              </w:rPr>
              <w:t>на</w:t>
            </w:r>
            <w:r w:rsidRPr="00E16672">
              <w:rPr>
                <w:rFonts w:ascii="Times New Roman" w:hAnsi="Times New Roman"/>
                <w:sz w:val="16"/>
                <w:szCs w:val="16"/>
                <w:lang w:val="en-US"/>
              </w:rPr>
              <w:t xml:space="preserve"> 180 </w:t>
            </w:r>
            <w:proofErr w:type="spellStart"/>
            <w:r w:rsidRPr="00E16672">
              <w:rPr>
                <w:rFonts w:ascii="Times New Roman" w:hAnsi="Times New Roman"/>
                <w:sz w:val="16"/>
                <w:szCs w:val="16"/>
              </w:rPr>
              <w:t>днів</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вважається</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відмовою</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від</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виконання</w:t>
            </w:r>
            <w:proofErr w:type="spellEnd"/>
            <w:r w:rsidRPr="00E16672">
              <w:rPr>
                <w:rFonts w:ascii="Times New Roman" w:hAnsi="Times New Roman"/>
                <w:sz w:val="16"/>
                <w:szCs w:val="16"/>
                <w:lang w:val="en-US"/>
              </w:rPr>
              <w:t xml:space="preserve"> </w:t>
            </w:r>
            <w:r w:rsidRPr="00E16672">
              <w:rPr>
                <w:rFonts w:ascii="Times New Roman" w:hAnsi="Times New Roman"/>
                <w:sz w:val="16"/>
                <w:szCs w:val="16"/>
              </w:rPr>
              <w:t>умов</w:t>
            </w:r>
            <w:r w:rsidRPr="00E16672">
              <w:rPr>
                <w:rFonts w:ascii="Times New Roman" w:hAnsi="Times New Roman"/>
                <w:sz w:val="16"/>
                <w:szCs w:val="16"/>
                <w:lang w:val="en-US"/>
              </w:rPr>
              <w:t xml:space="preserve"> </w:t>
            </w:r>
            <w:r w:rsidRPr="00E16672">
              <w:rPr>
                <w:rFonts w:ascii="Times New Roman" w:hAnsi="Times New Roman"/>
                <w:sz w:val="16"/>
                <w:szCs w:val="16"/>
              </w:rPr>
              <w:t>Договору</w:t>
            </w:r>
            <w:r w:rsidRPr="00E16672">
              <w:rPr>
                <w:rFonts w:ascii="Times New Roman" w:hAnsi="Times New Roman"/>
                <w:sz w:val="16"/>
                <w:szCs w:val="16"/>
                <w:lang w:val="en-US"/>
              </w:rPr>
              <w:t xml:space="preserve">, </w:t>
            </w:r>
            <w:r w:rsidRPr="00E16672">
              <w:rPr>
                <w:rFonts w:ascii="Times New Roman" w:hAnsi="Times New Roman"/>
                <w:sz w:val="16"/>
                <w:szCs w:val="16"/>
              </w:rPr>
              <w:t>у</w:t>
            </w:r>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зв</w:t>
            </w:r>
            <w:proofErr w:type="spellEnd"/>
            <w:r w:rsidRPr="00E16672">
              <w:rPr>
                <w:rFonts w:ascii="Times New Roman" w:hAnsi="Times New Roman"/>
                <w:sz w:val="16"/>
                <w:szCs w:val="16"/>
                <w:lang w:val="en-US"/>
              </w:rPr>
              <w:t>'</w:t>
            </w:r>
            <w:proofErr w:type="spellStart"/>
            <w:r w:rsidRPr="00E16672">
              <w:rPr>
                <w:rFonts w:ascii="Times New Roman" w:hAnsi="Times New Roman"/>
                <w:sz w:val="16"/>
                <w:szCs w:val="16"/>
              </w:rPr>
              <w:t>язку</w:t>
            </w:r>
            <w:proofErr w:type="spellEnd"/>
            <w:r w:rsidRPr="00E16672">
              <w:rPr>
                <w:rFonts w:ascii="Times New Roman" w:hAnsi="Times New Roman"/>
                <w:sz w:val="16"/>
                <w:szCs w:val="16"/>
                <w:lang w:val="en-US"/>
              </w:rPr>
              <w:t xml:space="preserve"> </w:t>
            </w:r>
            <w:r w:rsidRPr="00E16672">
              <w:rPr>
                <w:rFonts w:ascii="Times New Roman" w:hAnsi="Times New Roman"/>
                <w:sz w:val="16"/>
                <w:szCs w:val="16"/>
              </w:rPr>
              <w:t>з</w:t>
            </w:r>
            <w:r w:rsidRPr="00E16672">
              <w:rPr>
                <w:rFonts w:ascii="Times New Roman" w:hAnsi="Times New Roman"/>
                <w:sz w:val="16"/>
                <w:szCs w:val="16"/>
                <w:lang w:val="en-US"/>
              </w:rPr>
              <w:t xml:space="preserve"> </w:t>
            </w:r>
            <w:proofErr w:type="spellStart"/>
            <w:proofErr w:type="gramStart"/>
            <w:r w:rsidRPr="00E16672">
              <w:rPr>
                <w:rFonts w:ascii="Times New Roman" w:hAnsi="Times New Roman"/>
                <w:sz w:val="16"/>
                <w:szCs w:val="16"/>
              </w:rPr>
              <w:t>чим</w:t>
            </w:r>
            <w:proofErr w:type="spellEnd"/>
            <w:r w:rsidRPr="00E16672">
              <w:rPr>
                <w:rFonts w:ascii="Times New Roman" w:hAnsi="Times New Roman"/>
                <w:sz w:val="16"/>
                <w:szCs w:val="16"/>
                <w:lang w:val="en-US"/>
              </w:rPr>
              <w:t xml:space="preserve"> ,</w:t>
            </w:r>
            <w:proofErr w:type="gram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Депозитарна</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установа</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має</w:t>
            </w:r>
            <w:proofErr w:type="spellEnd"/>
            <w:r w:rsidRPr="00E16672">
              <w:rPr>
                <w:rFonts w:ascii="Times New Roman" w:hAnsi="Times New Roman"/>
                <w:sz w:val="16"/>
                <w:szCs w:val="16"/>
                <w:lang w:val="en-US"/>
              </w:rPr>
              <w:t xml:space="preserve"> </w:t>
            </w:r>
            <w:r w:rsidRPr="00E16672">
              <w:rPr>
                <w:rFonts w:ascii="Times New Roman" w:hAnsi="Times New Roman"/>
                <w:sz w:val="16"/>
                <w:szCs w:val="16"/>
              </w:rPr>
              <w:t>право</w:t>
            </w:r>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нарахувати</w:t>
            </w:r>
            <w:proofErr w:type="spellEnd"/>
            <w:r w:rsidRPr="00E16672">
              <w:rPr>
                <w:rFonts w:ascii="Times New Roman" w:hAnsi="Times New Roman"/>
                <w:sz w:val="16"/>
                <w:szCs w:val="16"/>
                <w:lang w:val="en-US"/>
              </w:rPr>
              <w:t xml:space="preserve"> </w:t>
            </w:r>
            <w:r w:rsidRPr="00E16672">
              <w:rPr>
                <w:rFonts w:ascii="Times New Roman" w:hAnsi="Times New Roman"/>
                <w:sz w:val="16"/>
                <w:szCs w:val="16"/>
              </w:rPr>
              <w:t>та</w:t>
            </w:r>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стягнути</w:t>
            </w:r>
            <w:proofErr w:type="spellEnd"/>
            <w:r w:rsidRPr="00E16672">
              <w:rPr>
                <w:rFonts w:ascii="Times New Roman" w:hAnsi="Times New Roman"/>
                <w:sz w:val="16"/>
                <w:szCs w:val="16"/>
                <w:lang w:val="en-US"/>
              </w:rPr>
              <w:t xml:space="preserve"> </w:t>
            </w:r>
            <w:r w:rsidRPr="00E16672">
              <w:rPr>
                <w:rFonts w:ascii="Times New Roman" w:hAnsi="Times New Roman"/>
                <w:sz w:val="16"/>
                <w:szCs w:val="16"/>
              </w:rPr>
              <w:t>з</w:t>
            </w:r>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іншої</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Сторони</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крім</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пені</w:t>
            </w:r>
            <w:proofErr w:type="spellEnd"/>
            <w:r w:rsidRPr="00E16672">
              <w:rPr>
                <w:rFonts w:ascii="Times New Roman" w:hAnsi="Times New Roman"/>
                <w:sz w:val="16"/>
                <w:szCs w:val="16"/>
                <w:lang w:val="en-US"/>
              </w:rPr>
              <w:t xml:space="preserve">,  </w:t>
            </w:r>
            <w:r w:rsidRPr="00E16672">
              <w:rPr>
                <w:rFonts w:ascii="Times New Roman" w:hAnsi="Times New Roman"/>
                <w:sz w:val="16"/>
                <w:szCs w:val="16"/>
              </w:rPr>
              <w:t>штраф</w:t>
            </w:r>
            <w:r w:rsidRPr="00E16672">
              <w:rPr>
                <w:rFonts w:ascii="Times New Roman" w:hAnsi="Times New Roman"/>
                <w:sz w:val="16"/>
                <w:szCs w:val="16"/>
                <w:lang w:val="en-US"/>
              </w:rPr>
              <w:t xml:space="preserve"> </w:t>
            </w:r>
            <w:r w:rsidRPr="00E16672">
              <w:rPr>
                <w:rFonts w:ascii="Times New Roman" w:hAnsi="Times New Roman"/>
                <w:sz w:val="16"/>
                <w:szCs w:val="16"/>
              </w:rPr>
              <w:t>у</w:t>
            </w:r>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розмірі</w:t>
            </w:r>
            <w:proofErr w:type="spellEnd"/>
            <w:r w:rsidRPr="00E16672">
              <w:rPr>
                <w:rFonts w:ascii="Times New Roman" w:hAnsi="Times New Roman"/>
                <w:sz w:val="16"/>
                <w:szCs w:val="16"/>
                <w:lang w:val="en-US"/>
              </w:rPr>
              <w:t xml:space="preserve"> 20% </w:t>
            </w:r>
            <w:proofErr w:type="spellStart"/>
            <w:r w:rsidRPr="00E16672">
              <w:rPr>
                <w:rFonts w:ascii="Times New Roman" w:hAnsi="Times New Roman"/>
                <w:sz w:val="16"/>
                <w:szCs w:val="16"/>
              </w:rPr>
              <w:t>від</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суми</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невиконаного</w:t>
            </w:r>
            <w:proofErr w:type="spellEnd"/>
            <w:r w:rsidRPr="00E16672">
              <w:rPr>
                <w:rFonts w:ascii="Times New Roman" w:hAnsi="Times New Roman"/>
                <w:sz w:val="16"/>
                <w:szCs w:val="16"/>
                <w:lang w:val="en-US"/>
              </w:rPr>
              <w:t xml:space="preserve"> </w:t>
            </w:r>
            <w:r w:rsidRPr="00E16672">
              <w:rPr>
                <w:rFonts w:ascii="Times New Roman" w:hAnsi="Times New Roman"/>
                <w:sz w:val="16"/>
                <w:szCs w:val="16"/>
              </w:rPr>
              <w:t>зобов</w:t>
            </w:r>
            <w:r w:rsidRPr="00E16672">
              <w:rPr>
                <w:rFonts w:ascii="Times New Roman" w:hAnsi="Times New Roman"/>
                <w:sz w:val="16"/>
                <w:szCs w:val="16"/>
                <w:lang w:val="en-US"/>
              </w:rPr>
              <w:t>'</w:t>
            </w:r>
            <w:proofErr w:type="spellStart"/>
            <w:r w:rsidRPr="00E16672">
              <w:rPr>
                <w:rFonts w:ascii="Times New Roman" w:hAnsi="Times New Roman"/>
                <w:sz w:val="16"/>
                <w:szCs w:val="16"/>
              </w:rPr>
              <w:t>язання</w:t>
            </w:r>
            <w:proofErr w:type="spellEnd"/>
            <w:r w:rsidRPr="00E16672">
              <w:rPr>
                <w:rFonts w:ascii="Times New Roman" w:hAnsi="Times New Roman"/>
                <w:sz w:val="16"/>
                <w:szCs w:val="16"/>
                <w:lang w:val="en-US"/>
              </w:rPr>
              <w:t>.</w:t>
            </w:r>
          </w:p>
          <w:p w14:paraId="1B6E1251" w14:textId="77777777" w:rsidR="005C5318" w:rsidRPr="00E16672" w:rsidRDefault="005C5318" w:rsidP="005C5318">
            <w:pPr>
              <w:ind w:left="175" w:right="138" w:firstLine="7"/>
              <w:rPr>
                <w:rFonts w:ascii="Times New Roman" w:hAnsi="Times New Roman"/>
                <w:sz w:val="16"/>
                <w:szCs w:val="16"/>
                <w:lang w:val="en-US"/>
              </w:rPr>
            </w:pPr>
          </w:p>
        </w:tc>
        <w:tc>
          <w:tcPr>
            <w:tcW w:w="5495" w:type="dxa"/>
            <w:gridSpan w:val="6"/>
            <w:shd w:val="clear" w:color="auto" w:fill="auto"/>
          </w:tcPr>
          <w:p w14:paraId="68C17EB9" w14:textId="77777777" w:rsidR="005C5318" w:rsidRPr="00E16672" w:rsidRDefault="005C5318" w:rsidP="005C5318">
            <w:pPr>
              <w:tabs>
                <w:tab w:val="left" w:pos="287"/>
              </w:tabs>
              <w:snapToGrid w:val="0"/>
              <w:ind w:left="175" w:right="100" w:firstLine="7"/>
              <w:rPr>
                <w:rFonts w:ascii="Times New Roman" w:hAnsi="Times New Roman"/>
                <w:sz w:val="16"/>
                <w:szCs w:val="16"/>
                <w:lang w:val="en-GB"/>
              </w:rPr>
            </w:pPr>
            <w:r w:rsidRPr="00E16672">
              <w:rPr>
                <w:rFonts w:ascii="Times New Roman" w:hAnsi="Times New Roman"/>
                <w:sz w:val="16"/>
                <w:szCs w:val="16"/>
                <w:lang w:val="en-GB"/>
              </w:rPr>
              <w:t>5.10. The extension of payments more than on 180 days is considered the waiver of implementation of conditions of the Agreement, so, Depository institution has the right to charge and collect from other Party,</w:t>
            </w:r>
            <w:r w:rsidRPr="00E16672">
              <w:rPr>
                <w:rStyle w:val="WW8Num2z1"/>
                <w:rFonts w:ascii="Times New Roman" w:hAnsi="Times New Roman" w:cs="Times New Roman"/>
                <w:lang w:val="en-GB"/>
              </w:rPr>
              <w:t xml:space="preserve"> </w:t>
            </w:r>
            <w:r w:rsidRPr="00E16672">
              <w:rPr>
                <w:rFonts w:ascii="Times New Roman" w:hAnsi="Times New Roman"/>
                <w:sz w:val="16"/>
                <w:szCs w:val="16"/>
                <w:lang w:val="en-GB"/>
              </w:rPr>
              <w:t>except fine, a penalty of 20% from the sum of unfulfilled obligation.</w:t>
            </w:r>
          </w:p>
          <w:p w14:paraId="62275C1E" w14:textId="77777777" w:rsidR="005C5318" w:rsidRPr="00E16672" w:rsidRDefault="005C5318" w:rsidP="005C5318">
            <w:pPr>
              <w:tabs>
                <w:tab w:val="left" w:pos="287"/>
              </w:tabs>
              <w:snapToGrid w:val="0"/>
              <w:ind w:left="175" w:right="100" w:firstLine="7"/>
              <w:rPr>
                <w:rFonts w:ascii="Times New Roman" w:hAnsi="Times New Roman"/>
                <w:sz w:val="16"/>
                <w:szCs w:val="16"/>
                <w:lang w:val="en-GB"/>
              </w:rPr>
            </w:pPr>
          </w:p>
        </w:tc>
      </w:tr>
      <w:tr w:rsidR="005C5318" w:rsidRPr="00F23413" w14:paraId="4BB6EC47" w14:textId="77777777" w:rsidTr="005E418B">
        <w:trPr>
          <w:trHeight w:val="192"/>
        </w:trPr>
        <w:tc>
          <w:tcPr>
            <w:tcW w:w="5695" w:type="dxa"/>
            <w:gridSpan w:val="6"/>
            <w:shd w:val="clear" w:color="auto" w:fill="auto"/>
          </w:tcPr>
          <w:p w14:paraId="48B248D0" w14:textId="77777777" w:rsidR="005C5318" w:rsidRPr="00E16672" w:rsidRDefault="005C5318" w:rsidP="005C5318">
            <w:pPr>
              <w:snapToGrid w:val="0"/>
              <w:ind w:left="175" w:right="138" w:firstLine="7"/>
              <w:rPr>
                <w:rFonts w:ascii="Times New Roman" w:hAnsi="Times New Roman"/>
                <w:sz w:val="16"/>
                <w:szCs w:val="16"/>
              </w:rPr>
            </w:pPr>
            <w:r w:rsidRPr="00E16672">
              <w:rPr>
                <w:rFonts w:ascii="Times New Roman" w:hAnsi="Times New Roman"/>
                <w:sz w:val="16"/>
                <w:szCs w:val="16"/>
              </w:rPr>
              <w:t xml:space="preserve">5.10.1. </w:t>
            </w:r>
            <w:proofErr w:type="spellStart"/>
            <w:r w:rsidRPr="00E16672">
              <w:rPr>
                <w:rFonts w:ascii="Times New Roman" w:hAnsi="Times New Roman"/>
                <w:sz w:val="16"/>
                <w:szCs w:val="16"/>
              </w:rPr>
              <w:t>Депозитарна</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установа</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може</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пред'являти</w:t>
            </w:r>
            <w:proofErr w:type="spellEnd"/>
            <w:r w:rsidRPr="00E16672">
              <w:rPr>
                <w:rFonts w:ascii="Times New Roman" w:hAnsi="Times New Roman"/>
                <w:sz w:val="16"/>
                <w:szCs w:val="16"/>
              </w:rPr>
              <w:t xml:space="preserve"> Депоненту </w:t>
            </w:r>
            <w:proofErr w:type="spellStart"/>
            <w:r w:rsidRPr="00E16672">
              <w:rPr>
                <w:rFonts w:ascii="Times New Roman" w:hAnsi="Times New Roman"/>
                <w:sz w:val="16"/>
                <w:szCs w:val="16"/>
              </w:rPr>
              <w:t>вимоги</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стосовно</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сплати</w:t>
            </w:r>
            <w:proofErr w:type="spellEnd"/>
            <w:r w:rsidRPr="00E16672">
              <w:rPr>
                <w:rFonts w:ascii="Times New Roman" w:hAnsi="Times New Roman"/>
                <w:sz w:val="16"/>
                <w:szCs w:val="16"/>
              </w:rPr>
              <w:t xml:space="preserve"> штрафу, як шляхом </w:t>
            </w:r>
            <w:proofErr w:type="spellStart"/>
            <w:r w:rsidRPr="00E16672">
              <w:rPr>
                <w:rFonts w:ascii="Times New Roman" w:hAnsi="Times New Roman"/>
                <w:sz w:val="16"/>
                <w:szCs w:val="16"/>
              </w:rPr>
              <w:t>надіслання</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рахунка</w:t>
            </w:r>
            <w:proofErr w:type="spellEnd"/>
            <w:r w:rsidRPr="00E16672">
              <w:rPr>
                <w:rFonts w:ascii="Times New Roman" w:hAnsi="Times New Roman"/>
                <w:sz w:val="16"/>
                <w:szCs w:val="16"/>
              </w:rPr>
              <w:t xml:space="preserve">, так і шляхом </w:t>
            </w:r>
            <w:proofErr w:type="spellStart"/>
            <w:r w:rsidRPr="00E16672">
              <w:rPr>
                <w:rFonts w:ascii="Times New Roman" w:hAnsi="Times New Roman"/>
                <w:sz w:val="16"/>
                <w:szCs w:val="16"/>
              </w:rPr>
              <w:t>звернення</w:t>
            </w:r>
            <w:proofErr w:type="spellEnd"/>
            <w:r w:rsidRPr="00E16672">
              <w:rPr>
                <w:rFonts w:ascii="Times New Roman" w:hAnsi="Times New Roman"/>
                <w:sz w:val="16"/>
                <w:szCs w:val="16"/>
              </w:rPr>
              <w:t xml:space="preserve"> до Депонента з листом, </w:t>
            </w:r>
            <w:proofErr w:type="spellStart"/>
            <w:r w:rsidRPr="00E16672">
              <w:rPr>
                <w:rFonts w:ascii="Times New Roman" w:hAnsi="Times New Roman"/>
                <w:sz w:val="16"/>
                <w:szCs w:val="16"/>
              </w:rPr>
              <w:t>телеграмою</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тощо</w:t>
            </w:r>
            <w:proofErr w:type="spellEnd"/>
            <w:r w:rsidRPr="00E16672">
              <w:rPr>
                <w:rFonts w:ascii="Times New Roman" w:hAnsi="Times New Roman"/>
                <w:sz w:val="16"/>
                <w:szCs w:val="16"/>
              </w:rPr>
              <w:t>.</w:t>
            </w:r>
          </w:p>
        </w:tc>
        <w:tc>
          <w:tcPr>
            <w:tcW w:w="5495" w:type="dxa"/>
            <w:gridSpan w:val="6"/>
            <w:shd w:val="clear" w:color="auto" w:fill="auto"/>
          </w:tcPr>
          <w:p w14:paraId="7AA03125" w14:textId="77777777" w:rsidR="005C5318" w:rsidRPr="00E16672" w:rsidRDefault="005C5318" w:rsidP="005C5318">
            <w:pPr>
              <w:tabs>
                <w:tab w:val="left" w:pos="287"/>
              </w:tabs>
              <w:snapToGrid w:val="0"/>
              <w:ind w:left="175" w:right="100" w:firstLine="7"/>
              <w:rPr>
                <w:rFonts w:ascii="Times New Roman" w:hAnsi="Times New Roman"/>
                <w:sz w:val="16"/>
                <w:szCs w:val="16"/>
                <w:lang w:val="en-GB"/>
              </w:rPr>
            </w:pPr>
            <w:r w:rsidRPr="00E16672">
              <w:rPr>
                <w:rFonts w:ascii="Times New Roman" w:hAnsi="Times New Roman"/>
                <w:sz w:val="16"/>
                <w:szCs w:val="16"/>
                <w:lang w:val="en-GB"/>
              </w:rPr>
              <w:t>5.10.</w:t>
            </w:r>
            <w:proofErr w:type="gramStart"/>
            <w:r w:rsidRPr="00E16672">
              <w:rPr>
                <w:rFonts w:ascii="Times New Roman" w:hAnsi="Times New Roman"/>
                <w:sz w:val="16"/>
                <w:szCs w:val="16"/>
                <w:lang w:val="en-GB"/>
              </w:rPr>
              <w:t>1.Depository</w:t>
            </w:r>
            <w:proofErr w:type="gramEnd"/>
            <w:r w:rsidRPr="00E16672">
              <w:rPr>
                <w:rFonts w:ascii="Times New Roman" w:hAnsi="Times New Roman"/>
                <w:sz w:val="16"/>
                <w:szCs w:val="16"/>
                <w:lang w:val="en-GB"/>
              </w:rPr>
              <w:t xml:space="preserve"> institution can make requirements to Depositor, concerning of payment of penalty, both by the message of invoice and by an address to Depositor with a letter, by a telegram and others like that.</w:t>
            </w:r>
          </w:p>
          <w:p w14:paraId="6E8A539F" w14:textId="77777777" w:rsidR="005C5318" w:rsidRPr="00E16672" w:rsidRDefault="005C5318" w:rsidP="005C5318">
            <w:pPr>
              <w:tabs>
                <w:tab w:val="left" w:pos="287"/>
              </w:tabs>
              <w:snapToGrid w:val="0"/>
              <w:ind w:left="175" w:right="100" w:firstLine="7"/>
              <w:rPr>
                <w:rFonts w:ascii="Times New Roman" w:hAnsi="Times New Roman"/>
                <w:sz w:val="16"/>
                <w:szCs w:val="16"/>
                <w:lang w:val="en-GB"/>
              </w:rPr>
            </w:pPr>
          </w:p>
        </w:tc>
      </w:tr>
      <w:tr w:rsidR="005C5318" w:rsidRPr="00F23413" w14:paraId="0237FF3C" w14:textId="77777777" w:rsidTr="005E418B">
        <w:trPr>
          <w:trHeight w:val="192"/>
        </w:trPr>
        <w:tc>
          <w:tcPr>
            <w:tcW w:w="5695" w:type="dxa"/>
            <w:gridSpan w:val="6"/>
            <w:shd w:val="clear" w:color="auto" w:fill="auto"/>
          </w:tcPr>
          <w:p w14:paraId="439340D3" w14:textId="77777777" w:rsidR="005C5318" w:rsidRPr="00E16672" w:rsidRDefault="005C5318" w:rsidP="005C5318">
            <w:pPr>
              <w:snapToGrid w:val="0"/>
              <w:ind w:left="175" w:right="138" w:firstLine="7"/>
              <w:rPr>
                <w:rFonts w:ascii="Times New Roman" w:hAnsi="Times New Roman"/>
                <w:sz w:val="16"/>
                <w:szCs w:val="16"/>
              </w:rPr>
            </w:pPr>
            <w:r w:rsidRPr="00E16672">
              <w:rPr>
                <w:rFonts w:ascii="Times New Roman" w:hAnsi="Times New Roman"/>
                <w:sz w:val="16"/>
                <w:szCs w:val="16"/>
              </w:rPr>
              <w:t xml:space="preserve">5.10.2. Депонент повинен </w:t>
            </w:r>
            <w:proofErr w:type="spellStart"/>
            <w:r w:rsidRPr="00E16672">
              <w:rPr>
                <w:rFonts w:ascii="Times New Roman" w:hAnsi="Times New Roman"/>
                <w:sz w:val="16"/>
                <w:szCs w:val="16"/>
              </w:rPr>
              <w:t>виконати</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зобов'язання</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визначене</w:t>
            </w:r>
            <w:proofErr w:type="spellEnd"/>
            <w:r w:rsidRPr="00E16672">
              <w:rPr>
                <w:rFonts w:ascii="Times New Roman" w:hAnsi="Times New Roman"/>
                <w:sz w:val="16"/>
                <w:szCs w:val="16"/>
              </w:rPr>
              <w:t xml:space="preserve"> п.5.10., у </w:t>
            </w:r>
            <w:proofErr w:type="spellStart"/>
            <w:r w:rsidRPr="00E16672">
              <w:rPr>
                <w:rFonts w:ascii="Times New Roman" w:hAnsi="Times New Roman"/>
                <w:sz w:val="16"/>
                <w:szCs w:val="16"/>
              </w:rPr>
              <w:t>п’ятиденний</w:t>
            </w:r>
            <w:proofErr w:type="spellEnd"/>
            <w:r w:rsidRPr="00E16672">
              <w:rPr>
                <w:rFonts w:ascii="Times New Roman" w:hAnsi="Times New Roman"/>
                <w:sz w:val="16"/>
                <w:szCs w:val="16"/>
              </w:rPr>
              <w:t xml:space="preserve"> строк з дня </w:t>
            </w:r>
            <w:proofErr w:type="spellStart"/>
            <w:r w:rsidRPr="00E16672">
              <w:rPr>
                <w:rFonts w:ascii="Times New Roman" w:hAnsi="Times New Roman"/>
                <w:sz w:val="16"/>
                <w:szCs w:val="16"/>
              </w:rPr>
              <w:t>пред'явлення</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вимоги</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Депозитарної</w:t>
            </w:r>
            <w:proofErr w:type="spellEnd"/>
            <w:r w:rsidRPr="00E16672">
              <w:rPr>
                <w:rFonts w:ascii="Times New Roman" w:hAnsi="Times New Roman"/>
                <w:sz w:val="16"/>
                <w:szCs w:val="16"/>
              </w:rPr>
              <w:t xml:space="preserve"> установи </w:t>
            </w:r>
            <w:proofErr w:type="spellStart"/>
            <w:r w:rsidRPr="00E16672">
              <w:rPr>
                <w:rFonts w:ascii="Times New Roman" w:hAnsi="Times New Roman"/>
                <w:sz w:val="16"/>
                <w:szCs w:val="16"/>
              </w:rPr>
              <w:t>згідно</w:t>
            </w:r>
            <w:proofErr w:type="spellEnd"/>
            <w:r w:rsidRPr="00E16672">
              <w:rPr>
                <w:rFonts w:ascii="Times New Roman" w:hAnsi="Times New Roman"/>
                <w:sz w:val="16"/>
                <w:szCs w:val="16"/>
              </w:rPr>
              <w:t xml:space="preserve"> з пп.5.10. Таким днем </w:t>
            </w:r>
            <w:proofErr w:type="spellStart"/>
            <w:r w:rsidRPr="00E16672">
              <w:rPr>
                <w:rFonts w:ascii="Times New Roman" w:hAnsi="Times New Roman"/>
                <w:sz w:val="16"/>
                <w:szCs w:val="16"/>
              </w:rPr>
              <w:t>слід</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вважати</w:t>
            </w:r>
            <w:proofErr w:type="spellEnd"/>
            <w:r w:rsidRPr="00E16672">
              <w:rPr>
                <w:rFonts w:ascii="Times New Roman" w:hAnsi="Times New Roman"/>
                <w:sz w:val="16"/>
                <w:szCs w:val="16"/>
              </w:rPr>
              <w:t xml:space="preserve"> дату </w:t>
            </w:r>
            <w:proofErr w:type="spellStart"/>
            <w:r w:rsidRPr="00E16672">
              <w:rPr>
                <w:rFonts w:ascii="Times New Roman" w:hAnsi="Times New Roman"/>
                <w:sz w:val="16"/>
                <w:szCs w:val="16"/>
              </w:rPr>
              <w:t>одержання</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вимоги</w:t>
            </w:r>
            <w:proofErr w:type="spellEnd"/>
            <w:r w:rsidRPr="00E16672">
              <w:rPr>
                <w:rFonts w:ascii="Times New Roman" w:hAnsi="Times New Roman"/>
                <w:sz w:val="16"/>
                <w:szCs w:val="16"/>
              </w:rPr>
              <w:t xml:space="preserve"> Депонентом.</w:t>
            </w:r>
          </w:p>
        </w:tc>
        <w:tc>
          <w:tcPr>
            <w:tcW w:w="5495" w:type="dxa"/>
            <w:gridSpan w:val="6"/>
            <w:shd w:val="clear" w:color="auto" w:fill="auto"/>
          </w:tcPr>
          <w:p w14:paraId="032AC11D" w14:textId="77777777" w:rsidR="005C5318" w:rsidRPr="00E16672" w:rsidRDefault="005C5318" w:rsidP="005C5318">
            <w:pPr>
              <w:tabs>
                <w:tab w:val="left" w:pos="287"/>
              </w:tabs>
              <w:snapToGrid w:val="0"/>
              <w:ind w:left="175" w:right="100" w:firstLine="7"/>
              <w:rPr>
                <w:rFonts w:ascii="Times New Roman" w:hAnsi="Times New Roman"/>
                <w:sz w:val="16"/>
                <w:szCs w:val="16"/>
                <w:lang w:val="en-GB"/>
              </w:rPr>
            </w:pPr>
            <w:r w:rsidRPr="00E16672">
              <w:rPr>
                <w:rFonts w:ascii="Times New Roman" w:hAnsi="Times New Roman"/>
                <w:sz w:val="16"/>
                <w:szCs w:val="16"/>
                <w:lang w:val="en-GB"/>
              </w:rPr>
              <w:t>5.10.2. A depositor must execute obligations, certain by item 5.10., in a five-day term from the day of make requirement by Depository institution in obedience to item 5.10.1. It follows to consider the date of receipt of requirement Depositor such day.</w:t>
            </w:r>
          </w:p>
          <w:p w14:paraId="1A3F1C93" w14:textId="77777777" w:rsidR="005C5318" w:rsidRPr="00E16672" w:rsidRDefault="005C5318" w:rsidP="005C5318">
            <w:pPr>
              <w:tabs>
                <w:tab w:val="left" w:pos="287"/>
              </w:tabs>
              <w:snapToGrid w:val="0"/>
              <w:ind w:left="175" w:right="100" w:firstLine="7"/>
              <w:rPr>
                <w:rFonts w:ascii="Times New Roman" w:hAnsi="Times New Roman"/>
                <w:sz w:val="16"/>
                <w:szCs w:val="16"/>
                <w:lang w:val="en-GB"/>
              </w:rPr>
            </w:pPr>
          </w:p>
        </w:tc>
      </w:tr>
      <w:tr w:rsidR="005C5318" w:rsidRPr="00F23413" w14:paraId="34A464DD" w14:textId="77777777" w:rsidTr="005E418B">
        <w:trPr>
          <w:trHeight w:val="192"/>
        </w:trPr>
        <w:tc>
          <w:tcPr>
            <w:tcW w:w="5695" w:type="dxa"/>
            <w:gridSpan w:val="6"/>
            <w:shd w:val="clear" w:color="auto" w:fill="auto"/>
          </w:tcPr>
          <w:p w14:paraId="39476462" w14:textId="77777777" w:rsidR="005C5318" w:rsidRPr="00E16672" w:rsidRDefault="005C5318" w:rsidP="005C5318">
            <w:pPr>
              <w:snapToGrid w:val="0"/>
              <w:ind w:left="175" w:right="138" w:firstLine="7"/>
              <w:rPr>
                <w:rFonts w:ascii="Times New Roman" w:hAnsi="Times New Roman"/>
                <w:sz w:val="16"/>
                <w:szCs w:val="16"/>
              </w:rPr>
            </w:pPr>
            <w:r w:rsidRPr="00E16672">
              <w:rPr>
                <w:rFonts w:ascii="Times New Roman" w:hAnsi="Times New Roman"/>
                <w:sz w:val="16"/>
                <w:szCs w:val="16"/>
              </w:rPr>
              <w:t xml:space="preserve">5.10.3. </w:t>
            </w:r>
            <w:proofErr w:type="spellStart"/>
            <w:r w:rsidRPr="00E16672">
              <w:rPr>
                <w:rFonts w:ascii="Times New Roman" w:hAnsi="Times New Roman"/>
                <w:sz w:val="16"/>
                <w:szCs w:val="16"/>
              </w:rPr>
              <w:t>Виплата</w:t>
            </w:r>
            <w:proofErr w:type="spellEnd"/>
            <w:r w:rsidRPr="00E16672">
              <w:rPr>
                <w:rFonts w:ascii="Times New Roman" w:hAnsi="Times New Roman"/>
                <w:sz w:val="16"/>
                <w:szCs w:val="16"/>
              </w:rPr>
              <w:t xml:space="preserve"> </w:t>
            </w:r>
            <w:proofErr w:type="spellStart"/>
            <w:proofErr w:type="gramStart"/>
            <w:r w:rsidRPr="00E16672">
              <w:rPr>
                <w:rFonts w:ascii="Times New Roman" w:hAnsi="Times New Roman"/>
                <w:sz w:val="16"/>
                <w:szCs w:val="16"/>
              </w:rPr>
              <w:t>пені</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або</w:t>
            </w:r>
            <w:proofErr w:type="spellEnd"/>
            <w:proofErr w:type="gramEnd"/>
            <w:r w:rsidRPr="00E16672">
              <w:rPr>
                <w:rFonts w:ascii="Times New Roman" w:hAnsi="Times New Roman"/>
                <w:sz w:val="16"/>
                <w:szCs w:val="16"/>
              </w:rPr>
              <w:t xml:space="preserve"> штрафу не </w:t>
            </w:r>
            <w:proofErr w:type="spellStart"/>
            <w:r w:rsidRPr="00E16672">
              <w:rPr>
                <w:rFonts w:ascii="Times New Roman" w:hAnsi="Times New Roman"/>
                <w:sz w:val="16"/>
                <w:szCs w:val="16"/>
              </w:rPr>
              <w:t>звільняє</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Сторони</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від</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виконання</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обов’язків</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згідно</w:t>
            </w:r>
            <w:proofErr w:type="spellEnd"/>
            <w:r w:rsidRPr="00E16672">
              <w:rPr>
                <w:rFonts w:ascii="Times New Roman" w:hAnsi="Times New Roman"/>
                <w:sz w:val="16"/>
                <w:szCs w:val="16"/>
              </w:rPr>
              <w:t xml:space="preserve"> з </w:t>
            </w:r>
            <w:proofErr w:type="spellStart"/>
            <w:r w:rsidRPr="00E16672">
              <w:rPr>
                <w:rFonts w:ascii="Times New Roman" w:hAnsi="Times New Roman"/>
                <w:sz w:val="16"/>
                <w:szCs w:val="16"/>
              </w:rPr>
              <w:t>умовами</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цього</w:t>
            </w:r>
            <w:proofErr w:type="spellEnd"/>
            <w:r w:rsidRPr="00E16672">
              <w:rPr>
                <w:rFonts w:ascii="Times New Roman" w:hAnsi="Times New Roman"/>
                <w:sz w:val="16"/>
                <w:szCs w:val="16"/>
              </w:rPr>
              <w:t xml:space="preserve"> Договору.</w:t>
            </w:r>
          </w:p>
          <w:p w14:paraId="02E2D74E" w14:textId="77777777" w:rsidR="005C5318" w:rsidRPr="00E16672" w:rsidRDefault="005C5318" w:rsidP="005C5318">
            <w:pPr>
              <w:ind w:left="175" w:right="138" w:firstLine="7"/>
              <w:rPr>
                <w:rFonts w:ascii="Times New Roman" w:hAnsi="Times New Roman"/>
                <w:sz w:val="16"/>
                <w:szCs w:val="16"/>
              </w:rPr>
            </w:pPr>
          </w:p>
        </w:tc>
        <w:tc>
          <w:tcPr>
            <w:tcW w:w="5495" w:type="dxa"/>
            <w:gridSpan w:val="6"/>
            <w:shd w:val="clear" w:color="auto" w:fill="auto"/>
          </w:tcPr>
          <w:p w14:paraId="536A6B54" w14:textId="77777777" w:rsidR="005C5318" w:rsidRPr="00E16672" w:rsidRDefault="005C5318" w:rsidP="005C5318">
            <w:pPr>
              <w:tabs>
                <w:tab w:val="left" w:pos="287"/>
              </w:tabs>
              <w:snapToGrid w:val="0"/>
              <w:ind w:left="175" w:right="100" w:firstLine="7"/>
              <w:rPr>
                <w:rFonts w:ascii="Times New Roman" w:hAnsi="Times New Roman"/>
                <w:sz w:val="16"/>
                <w:szCs w:val="16"/>
                <w:lang w:val="en-GB"/>
              </w:rPr>
            </w:pPr>
            <w:r w:rsidRPr="00E16672">
              <w:rPr>
                <w:rFonts w:ascii="Times New Roman" w:hAnsi="Times New Roman"/>
                <w:sz w:val="16"/>
                <w:szCs w:val="16"/>
                <w:lang w:val="en-GB"/>
              </w:rPr>
              <w:t xml:space="preserve">5.10.3. Payment of fine and penalty shall not release the Parties from the execution of their obligations </w:t>
            </w:r>
            <w:proofErr w:type="spellStart"/>
            <w:r w:rsidRPr="00E16672">
              <w:rPr>
                <w:rFonts w:ascii="Times New Roman" w:hAnsi="Times New Roman"/>
                <w:sz w:val="16"/>
                <w:szCs w:val="16"/>
                <w:lang w:val="en-GB"/>
              </w:rPr>
              <w:t>nder</w:t>
            </w:r>
            <w:proofErr w:type="spellEnd"/>
            <w:r w:rsidRPr="00E16672">
              <w:rPr>
                <w:rFonts w:ascii="Times New Roman" w:hAnsi="Times New Roman"/>
                <w:sz w:val="16"/>
                <w:szCs w:val="16"/>
                <w:lang w:val="en-GB"/>
              </w:rPr>
              <w:t xml:space="preserve"> the conditions of this Agreement.</w:t>
            </w:r>
          </w:p>
        </w:tc>
      </w:tr>
      <w:tr w:rsidR="005C5318" w:rsidRPr="00F23413" w14:paraId="3A1C5624" w14:textId="77777777" w:rsidTr="005E418B">
        <w:trPr>
          <w:trHeight w:val="192"/>
        </w:trPr>
        <w:tc>
          <w:tcPr>
            <w:tcW w:w="5695" w:type="dxa"/>
            <w:gridSpan w:val="6"/>
            <w:shd w:val="clear" w:color="auto" w:fill="auto"/>
          </w:tcPr>
          <w:p w14:paraId="21BE399E" w14:textId="77777777" w:rsidR="005C5318" w:rsidRPr="00E16672" w:rsidRDefault="005C5318" w:rsidP="005C5318">
            <w:pPr>
              <w:pStyle w:val="23"/>
              <w:snapToGrid w:val="0"/>
              <w:ind w:left="175" w:right="138" w:firstLine="7"/>
              <w:rPr>
                <w:rFonts w:ascii="Times New Roman" w:hAnsi="Times New Roman"/>
                <w:sz w:val="16"/>
                <w:szCs w:val="16"/>
              </w:rPr>
            </w:pPr>
            <w:r w:rsidRPr="00E16672">
              <w:rPr>
                <w:rFonts w:ascii="Times New Roman" w:hAnsi="Times New Roman"/>
                <w:sz w:val="16"/>
                <w:szCs w:val="16"/>
              </w:rPr>
              <w:t>5.11. Сторона, яка порушила Договір під час виконання своїх зобов'язань, несе відповідальність, якщо не доведе, що належне виконання зобов'язання унеможливлено впливом обставин непереборної сили, тобто надзвичайних і невідворотних за даних умов подій: стихійного лиха, аварії, пожежі, масових порушень правопорядку, страйків, військових дій, протиправних дій третіх осіб (крім дій працівників Сторони) чи інших обставин, що виникли після підписання Договору та не залежать від волевиявлення Сторін. Не є непереборною силою недодержання своїх обов'язків іншими контрагентами однієї зі Сторін чи відсутність у Сторони достатніх коштів.</w:t>
            </w:r>
          </w:p>
        </w:tc>
        <w:tc>
          <w:tcPr>
            <w:tcW w:w="5495" w:type="dxa"/>
            <w:gridSpan w:val="6"/>
            <w:shd w:val="clear" w:color="auto" w:fill="auto"/>
          </w:tcPr>
          <w:p w14:paraId="19B5393E" w14:textId="77777777" w:rsidR="005C5318" w:rsidRPr="00E16672" w:rsidRDefault="005C5318" w:rsidP="005C5318">
            <w:pPr>
              <w:tabs>
                <w:tab w:val="left" w:pos="287"/>
              </w:tabs>
              <w:snapToGrid w:val="0"/>
              <w:ind w:left="175" w:right="100" w:firstLine="7"/>
              <w:rPr>
                <w:rFonts w:ascii="Times New Roman" w:hAnsi="Times New Roman"/>
                <w:sz w:val="16"/>
                <w:szCs w:val="16"/>
                <w:lang w:val="en-GB"/>
              </w:rPr>
            </w:pPr>
            <w:r w:rsidRPr="00E16672">
              <w:rPr>
                <w:rFonts w:ascii="Times New Roman" w:hAnsi="Times New Roman"/>
                <w:sz w:val="16"/>
                <w:szCs w:val="16"/>
                <w:lang w:val="en-GB"/>
              </w:rPr>
              <w:t xml:space="preserve">5.11. A Party, which violated Agreement  during implementation of the </w:t>
            </w:r>
            <w:r w:rsidRPr="00E16672">
              <w:rPr>
                <w:rFonts w:ascii="Times New Roman" w:hAnsi="Times New Roman"/>
                <w:sz w:val="16"/>
                <w:szCs w:val="16"/>
                <w:lang w:val="en-US"/>
              </w:rPr>
              <w:t>liabilities</w:t>
            </w:r>
            <w:r w:rsidRPr="00E16672">
              <w:rPr>
                <w:rFonts w:ascii="Times New Roman" w:hAnsi="Times New Roman"/>
                <w:sz w:val="16"/>
                <w:szCs w:val="16"/>
                <w:lang w:val="en-GB"/>
              </w:rPr>
              <w:t xml:space="preserve"> carries responsibility, if will not prove that the proper implementation of </w:t>
            </w:r>
            <w:r w:rsidRPr="00E16672">
              <w:rPr>
                <w:rFonts w:ascii="Times New Roman" w:hAnsi="Times New Roman"/>
                <w:sz w:val="16"/>
                <w:szCs w:val="16"/>
                <w:lang w:val="en-US"/>
              </w:rPr>
              <w:t>liabilities</w:t>
            </w:r>
            <w:r w:rsidRPr="00E16672">
              <w:rPr>
                <w:rFonts w:ascii="Times New Roman" w:hAnsi="Times New Roman"/>
                <w:sz w:val="16"/>
                <w:szCs w:val="16"/>
                <w:lang w:val="en-GB"/>
              </w:rPr>
              <w:t xml:space="preserve"> was done impossible by influence of circumstances of act of providence, that extraordinary and inevitable under the conditions events: natural calamity, failure, fire, mass violations of law and order, strikes, military operations, illegal actions of the third persons (except for the actions of workers of Parties) or other circumstances which arose up after signing of Agreement and does not depend on will of parties. It is not the act of providence of non- inhibition of the </w:t>
            </w:r>
            <w:r w:rsidRPr="00E16672">
              <w:rPr>
                <w:rFonts w:ascii="Times New Roman" w:hAnsi="Times New Roman"/>
                <w:sz w:val="16"/>
                <w:szCs w:val="16"/>
                <w:lang w:val="en-US"/>
              </w:rPr>
              <w:t>liabilities</w:t>
            </w:r>
            <w:r w:rsidRPr="00E16672">
              <w:rPr>
                <w:rFonts w:ascii="Times New Roman" w:hAnsi="Times New Roman"/>
                <w:sz w:val="16"/>
                <w:szCs w:val="16"/>
                <w:lang w:val="en-GB"/>
              </w:rPr>
              <w:t xml:space="preserve"> by other contractors of one of Parties or absence in Parties of sufficient money.</w:t>
            </w:r>
          </w:p>
          <w:p w14:paraId="5861C701" w14:textId="77777777" w:rsidR="005C5318" w:rsidRPr="00E16672" w:rsidRDefault="005C5318" w:rsidP="005C5318">
            <w:pPr>
              <w:tabs>
                <w:tab w:val="left" w:pos="287"/>
              </w:tabs>
              <w:snapToGrid w:val="0"/>
              <w:ind w:left="175" w:right="100" w:firstLine="7"/>
              <w:rPr>
                <w:rFonts w:ascii="Times New Roman" w:hAnsi="Times New Roman"/>
                <w:sz w:val="16"/>
                <w:szCs w:val="16"/>
                <w:lang w:val="en-GB"/>
              </w:rPr>
            </w:pPr>
          </w:p>
        </w:tc>
      </w:tr>
      <w:tr w:rsidR="005C5318" w:rsidRPr="00F23413" w14:paraId="7AB8565F" w14:textId="77777777" w:rsidTr="005E418B">
        <w:trPr>
          <w:trHeight w:val="192"/>
        </w:trPr>
        <w:tc>
          <w:tcPr>
            <w:tcW w:w="5695" w:type="dxa"/>
            <w:gridSpan w:val="6"/>
            <w:shd w:val="clear" w:color="auto" w:fill="auto"/>
          </w:tcPr>
          <w:p w14:paraId="6C2188AE" w14:textId="77777777" w:rsidR="005C5318" w:rsidRPr="00E16672" w:rsidRDefault="005C5318" w:rsidP="005C5318">
            <w:pPr>
              <w:pStyle w:val="23"/>
              <w:tabs>
                <w:tab w:val="left" w:pos="1080"/>
              </w:tabs>
              <w:snapToGrid w:val="0"/>
              <w:ind w:left="175" w:right="138" w:firstLine="7"/>
              <w:rPr>
                <w:rFonts w:ascii="Times New Roman" w:hAnsi="Times New Roman"/>
                <w:sz w:val="16"/>
                <w:szCs w:val="16"/>
              </w:rPr>
            </w:pPr>
            <w:r w:rsidRPr="00E16672">
              <w:rPr>
                <w:rFonts w:ascii="Times New Roman" w:hAnsi="Times New Roman"/>
                <w:sz w:val="16"/>
                <w:szCs w:val="16"/>
              </w:rPr>
              <w:t xml:space="preserve">5.12. Жодна із Сторін не несе відповідальності за невиконання або неналежне виконання своїх </w:t>
            </w:r>
            <w:r w:rsidR="007B5C69" w:rsidRPr="00E16672">
              <w:rPr>
                <w:rFonts w:ascii="Times New Roman" w:hAnsi="Times New Roman"/>
                <w:sz w:val="16"/>
                <w:szCs w:val="16"/>
              </w:rPr>
              <w:t xml:space="preserve">зобов’язань </w:t>
            </w:r>
            <w:r w:rsidRPr="00E16672">
              <w:rPr>
                <w:rFonts w:ascii="Times New Roman" w:hAnsi="Times New Roman"/>
                <w:sz w:val="16"/>
                <w:szCs w:val="16"/>
              </w:rPr>
              <w:t xml:space="preserve">за цим Договором, якщо це невиконання або неналежне виконання зумовлено дією обставин непереборної сили (форс-мажорних обставин) відповідно до розділу 9 цього Договору. </w:t>
            </w:r>
          </w:p>
          <w:p w14:paraId="5D8560BD" w14:textId="77777777" w:rsidR="005C5318" w:rsidRPr="00E16672" w:rsidRDefault="005C5318" w:rsidP="005C5318">
            <w:pPr>
              <w:pStyle w:val="23"/>
              <w:numPr>
                <w:ilvl w:val="1"/>
                <w:numId w:val="4"/>
              </w:numPr>
              <w:tabs>
                <w:tab w:val="left" w:pos="1080"/>
              </w:tabs>
              <w:ind w:left="175" w:right="138" w:firstLine="7"/>
              <w:rPr>
                <w:rFonts w:ascii="Times New Roman" w:hAnsi="Times New Roman"/>
                <w:sz w:val="16"/>
                <w:szCs w:val="16"/>
              </w:rPr>
            </w:pPr>
          </w:p>
        </w:tc>
        <w:tc>
          <w:tcPr>
            <w:tcW w:w="5495" w:type="dxa"/>
            <w:gridSpan w:val="6"/>
            <w:shd w:val="clear" w:color="auto" w:fill="auto"/>
          </w:tcPr>
          <w:p w14:paraId="60DD114B" w14:textId="77777777" w:rsidR="005C5318" w:rsidRPr="00E16672" w:rsidRDefault="005C5318" w:rsidP="005C5318">
            <w:pPr>
              <w:tabs>
                <w:tab w:val="left" w:pos="287"/>
              </w:tabs>
              <w:snapToGrid w:val="0"/>
              <w:ind w:left="175" w:right="100" w:firstLine="7"/>
              <w:rPr>
                <w:rFonts w:ascii="Times New Roman" w:hAnsi="Times New Roman"/>
                <w:sz w:val="16"/>
                <w:szCs w:val="16"/>
                <w:lang w:val="en-GB"/>
              </w:rPr>
            </w:pPr>
            <w:r w:rsidRPr="00E16672">
              <w:rPr>
                <w:rFonts w:ascii="Times New Roman" w:hAnsi="Times New Roman"/>
                <w:sz w:val="16"/>
                <w:szCs w:val="16"/>
                <w:lang w:val="en-GB"/>
              </w:rPr>
              <w:t>5.12. Neither Party shall be liable for non-performance or improper performance of its obligations under this Agreement if the failure or improper performance is due to the action of force majeure (force majeure)</w:t>
            </w:r>
            <w:r w:rsidRPr="00E16672">
              <w:rPr>
                <w:rFonts w:ascii="Times New Roman" w:hAnsi="Times New Roman"/>
                <w:sz w:val="16"/>
                <w:szCs w:val="16"/>
                <w:lang w:val="uk-UA"/>
              </w:rPr>
              <w:t xml:space="preserve"> </w:t>
            </w:r>
            <w:r w:rsidRPr="00F23413">
              <w:rPr>
                <w:rStyle w:val="shorttext"/>
                <w:rFonts w:ascii="Times New Roman" w:hAnsi="Times New Roman"/>
                <w:sz w:val="16"/>
                <w:szCs w:val="16"/>
                <w:lang w:val="en-US"/>
              </w:rPr>
              <w:t>in accordance with Section 9 of this Agreement</w:t>
            </w:r>
            <w:r w:rsidRPr="00E16672">
              <w:rPr>
                <w:rFonts w:ascii="Times New Roman" w:hAnsi="Times New Roman"/>
                <w:sz w:val="16"/>
                <w:szCs w:val="16"/>
                <w:lang w:val="en-GB"/>
              </w:rPr>
              <w:t>.</w:t>
            </w:r>
          </w:p>
          <w:p w14:paraId="1BED53E6" w14:textId="77777777" w:rsidR="005C5318" w:rsidRPr="00E16672" w:rsidRDefault="005C5318" w:rsidP="005C5318">
            <w:pPr>
              <w:tabs>
                <w:tab w:val="left" w:pos="287"/>
              </w:tabs>
              <w:snapToGrid w:val="0"/>
              <w:ind w:left="175" w:right="100" w:firstLine="7"/>
              <w:rPr>
                <w:rFonts w:ascii="Times New Roman" w:hAnsi="Times New Roman"/>
                <w:sz w:val="16"/>
                <w:szCs w:val="16"/>
                <w:lang w:val="en-GB"/>
              </w:rPr>
            </w:pPr>
          </w:p>
        </w:tc>
      </w:tr>
      <w:tr w:rsidR="005C5318" w:rsidRPr="00F23413" w14:paraId="0835D75E" w14:textId="77777777" w:rsidTr="005E418B">
        <w:trPr>
          <w:trHeight w:val="192"/>
        </w:trPr>
        <w:tc>
          <w:tcPr>
            <w:tcW w:w="5695" w:type="dxa"/>
            <w:gridSpan w:val="6"/>
            <w:shd w:val="clear" w:color="auto" w:fill="auto"/>
          </w:tcPr>
          <w:p w14:paraId="0CD68715" w14:textId="77777777" w:rsidR="005C5318" w:rsidRPr="00E16672" w:rsidRDefault="005C5318" w:rsidP="005C5318">
            <w:pPr>
              <w:pStyle w:val="23"/>
              <w:tabs>
                <w:tab w:val="left" w:pos="1080"/>
              </w:tabs>
              <w:snapToGrid w:val="0"/>
              <w:ind w:left="175" w:right="138" w:firstLine="7"/>
              <w:rPr>
                <w:rFonts w:ascii="Times New Roman" w:hAnsi="Times New Roman"/>
                <w:sz w:val="16"/>
                <w:szCs w:val="16"/>
              </w:rPr>
            </w:pPr>
            <w:r w:rsidRPr="00E16672">
              <w:rPr>
                <w:rFonts w:ascii="Times New Roman" w:hAnsi="Times New Roman"/>
                <w:sz w:val="16"/>
                <w:szCs w:val="16"/>
              </w:rPr>
              <w:t xml:space="preserve">5.13. Усі спори, що виникають з цього Договору або пов'язані із ним, вирішуються шляхом переговорів або у порядку, встановленому чинним законодавством України,  шляхом вирішення у судовому порядку. </w:t>
            </w:r>
          </w:p>
          <w:p w14:paraId="1D08DAD1" w14:textId="77777777" w:rsidR="005C5318" w:rsidRPr="00E16672" w:rsidRDefault="005C5318" w:rsidP="005C5318">
            <w:pPr>
              <w:pStyle w:val="23"/>
              <w:ind w:left="175" w:right="138" w:firstLine="7"/>
              <w:rPr>
                <w:rFonts w:ascii="Times New Roman" w:hAnsi="Times New Roman"/>
                <w:sz w:val="16"/>
                <w:szCs w:val="16"/>
              </w:rPr>
            </w:pPr>
            <w:r w:rsidRPr="00E16672">
              <w:rPr>
                <w:rFonts w:ascii="Times New Roman" w:hAnsi="Times New Roman"/>
                <w:sz w:val="16"/>
                <w:szCs w:val="16"/>
              </w:rPr>
              <w:t xml:space="preserve">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законодавства України або у постійно діючому Третейському суді </w:t>
            </w:r>
            <w:proofErr w:type="spellStart"/>
            <w:r w:rsidRPr="00E16672">
              <w:rPr>
                <w:rFonts w:ascii="Times New Roman" w:hAnsi="Times New Roman"/>
                <w:sz w:val="16"/>
                <w:szCs w:val="16"/>
              </w:rPr>
              <w:t>саморегулівної</w:t>
            </w:r>
            <w:proofErr w:type="spellEnd"/>
            <w:r w:rsidRPr="00E16672">
              <w:rPr>
                <w:rFonts w:ascii="Times New Roman" w:hAnsi="Times New Roman"/>
                <w:sz w:val="16"/>
                <w:szCs w:val="16"/>
              </w:rPr>
              <w:t xml:space="preserve"> організації Професійна асоціація реєстраторів і депозитаріїв.</w:t>
            </w:r>
          </w:p>
          <w:p w14:paraId="77BF4184" w14:textId="77777777" w:rsidR="005C5318" w:rsidRPr="00E16672" w:rsidRDefault="005C5318" w:rsidP="005C5318">
            <w:pPr>
              <w:pStyle w:val="23"/>
              <w:numPr>
                <w:ilvl w:val="1"/>
                <w:numId w:val="4"/>
              </w:numPr>
              <w:tabs>
                <w:tab w:val="left" w:pos="1080"/>
              </w:tabs>
              <w:ind w:left="175" w:right="138" w:firstLine="7"/>
              <w:rPr>
                <w:rFonts w:ascii="Times New Roman" w:hAnsi="Times New Roman"/>
                <w:sz w:val="16"/>
                <w:szCs w:val="16"/>
              </w:rPr>
            </w:pPr>
          </w:p>
        </w:tc>
        <w:tc>
          <w:tcPr>
            <w:tcW w:w="5495" w:type="dxa"/>
            <w:gridSpan w:val="6"/>
            <w:shd w:val="clear" w:color="auto" w:fill="auto"/>
          </w:tcPr>
          <w:p w14:paraId="7F414AA1" w14:textId="77777777" w:rsidR="005C5318" w:rsidRPr="00E16672" w:rsidRDefault="005C5318" w:rsidP="005C5318">
            <w:pPr>
              <w:tabs>
                <w:tab w:val="left" w:pos="287"/>
              </w:tabs>
              <w:snapToGrid w:val="0"/>
              <w:ind w:left="175" w:right="100" w:firstLine="7"/>
              <w:rPr>
                <w:rFonts w:ascii="Times New Roman" w:hAnsi="Times New Roman"/>
                <w:sz w:val="16"/>
                <w:szCs w:val="16"/>
                <w:lang w:val="uk-UA"/>
              </w:rPr>
            </w:pPr>
            <w:r w:rsidRPr="00E16672">
              <w:rPr>
                <w:rFonts w:ascii="Times New Roman" w:hAnsi="Times New Roman"/>
                <w:sz w:val="16"/>
                <w:szCs w:val="16"/>
                <w:lang w:val="en-GB"/>
              </w:rPr>
              <w:t>5.13. All disputes arising out of this Agreement or related to it shall be decided by negotiation or by the procedure established by the legislation of Ukraine, by the decision of the courts.</w:t>
            </w:r>
          </w:p>
          <w:p w14:paraId="06D8EF10" w14:textId="77777777" w:rsidR="005C5318" w:rsidRPr="00E16672" w:rsidRDefault="005C5318" w:rsidP="005C5318">
            <w:pPr>
              <w:tabs>
                <w:tab w:val="left" w:pos="287"/>
              </w:tabs>
              <w:snapToGrid w:val="0"/>
              <w:ind w:left="175" w:right="100" w:firstLine="7"/>
              <w:rPr>
                <w:rFonts w:ascii="Times New Roman" w:hAnsi="Times New Roman"/>
                <w:sz w:val="16"/>
                <w:szCs w:val="16"/>
                <w:lang w:val="en-GB"/>
              </w:rPr>
            </w:pPr>
            <w:r w:rsidRPr="00E16672">
              <w:rPr>
                <w:rFonts w:ascii="Times New Roman" w:hAnsi="Times New Roman"/>
                <w:sz w:val="16"/>
                <w:szCs w:val="16"/>
                <w:lang w:val="en-GB"/>
              </w:rPr>
              <w:t xml:space="preserve">If a dispute </w:t>
            </w:r>
            <w:proofErr w:type="spellStart"/>
            <w:r w:rsidRPr="00E16672">
              <w:rPr>
                <w:rFonts w:ascii="Times New Roman" w:hAnsi="Times New Roman"/>
                <w:sz w:val="16"/>
                <w:szCs w:val="16"/>
                <w:lang w:val="en-GB"/>
              </w:rPr>
              <w:t>can not</w:t>
            </w:r>
            <w:proofErr w:type="spellEnd"/>
            <w:r w:rsidRPr="00E16672">
              <w:rPr>
                <w:rFonts w:ascii="Times New Roman" w:hAnsi="Times New Roman"/>
                <w:sz w:val="16"/>
                <w:szCs w:val="16"/>
                <w:lang w:val="en-GB"/>
              </w:rPr>
              <w:t xml:space="preserve"> be resolved through negotiations, he settled in court with proper jurisdiction of the dispute in accordance with the legislation of Ukraine or the Arbitration Court of the self-regulatory organization of the Professional Association of Registrars and Depositories.</w:t>
            </w:r>
          </w:p>
          <w:p w14:paraId="4B57F3EE" w14:textId="77777777" w:rsidR="005C5318" w:rsidRPr="00E16672" w:rsidRDefault="005C5318" w:rsidP="005C5318">
            <w:pPr>
              <w:tabs>
                <w:tab w:val="left" w:pos="287"/>
              </w:tabs>
              <w:snapToGrid w:val="0"/>
              <w:ind w:left="175" w:right="100" w:firstLine="7"/>
              <w:rPr>
                <w:rFonts w:ascii="Times New Roman" w:hAnsi="Times New Roman"/>
                <w:sz w:val="16"/>
                <w:szCs w:val="16"/>
                <w:lang w:val="en-GB"/>
              </w:rPr>
            </w:pPr>
          </w:p>
        </w:tc>
      </w:tr>
      <w:tr w:rsidR="005C5318" w:rsidRPr="00F23413" w14:paraId="3C1BCB3A" w14:textId="77777777" w:rsidTr="005E418B">
        <w:trPr>
          <w:trHeight w:val="192"/>
        </w:trPr>
        <w:tc>
          <w:tcPr>
            <w:tcW w:w="5695" w:type="dxa"/>
            <w:gridSpan w:val="6"/>
            <w:shd w:val="clear" w:color="auto" w:fill="auto"/>
          </w:tcPr>
          <w:p w14:paraId="1493E5D3" w14:textId="77777777" w:rsidR="005C5318" w:rsidRPr="00E16672" w:rsidRDefault="005C5318" w:rsidP="005C5318">
            <w:pPr>
              <w:snapToGrid w:val="0"/>
              <w:ind w:left="175" w:right="138" w:firstLine="7"/>
              <w:rPr>
                <w:rFonts w:ascii="Times New Roman" w:hAnsi="Times New Roman"/>
                <w:color w:val="000000"/>
                <w:sz w:val="16"/>
                <w:szCs w:val="16"/>
              </w:rPr>
            </w:pPr>
            <w:r w:rsidRPr="00E16672">
              <w:rPr>
                <w:rFonts w:ascii="Times New Roman" w:hAnsi="Times New Roman"/>
                <w:color w:val="000000"/>
                <w:sz w:val="16"/>
                <w:szCs w:val="16"/>
              </w:rPr>
              <w:t xml:space="preserve">5.14. Строк </w:t>
            </w:r>
            <w:proofErr w:type="spellStart"/>
            <w:r w:rsidRPr="00E16672">
              <w:rPr>
                <w:rFonts w:ascii="Times New Roman" w:hAnsi="Times New Roman"/>
                <w:color w:val="000000"/>
                <w:sz w:val="16"/>
                <w:szCs w:val="16"/>
              </w:rPr>
              <w:t>позовної</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давності</w:t>
            </w:r>
            <w:proofErr w:type="spellEnd"/>
            <w:r w:rsidRPr="00E16672">
              <w:rPr>
                <w:rFonts w:ascii="Times New Roman" w:hAnsi="Times New Roman"/>
                <w:color w:val="000000"/>
                <w:sz w:val="16"/>
                <w:szCs w:val="16"/>
              </w:rPr>
              <w:t xml:space="preserve">, </w:t>
            </w:r>
            <w:proofErr w:type="gramStart"/>
            <w:r w:rsidRPr="00E16672">
              <w:rPr>
                <w:rFonts w:ascii="Times New Roman" w:hAnsi="Times New Roman"/>
                <w:color w:val="000000"/>
                <w:sz w:val="16"/>
                <w:szCs w:val="16"/>
              </w:rPr>
              <w:t>у межах</w:t>
            </w:r>
            <w:proofErr w:type="gram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якого</w:t>
            </w:r>
            <w:proofErr w:type="spellEnd"/>
            <w:r w:rsidRPr="00E16672">
              <w:rPr>
                <w:rFonts w:ascii="Times New Roman" w:hAnsi="Times New Roman"/>
                <w:color w:val="000000"/>
                <w:sz w:val="16"/>
                <w:szCs w:val="16"/>
              </w:rPr>
              <w:t xml:space="preserve"> одна </w:t>
            </w:r>
            <w:proofErr w:type="spellStart"/>
            <w:r w:rsidRPr="00E16672">
              <w:rPr>
                <w:rFonts w:ascii="Times New Roman" w:hAnsi="Times New Roman"/>
                <w:color w:val="000000"/>
                <w:sz w:val="16"/>
                <w:szCs w:val="16"/>
              </w:rPr>
              <w:t>із</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Сторін</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може</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звернутися</w:t>
            </w:r>
            <w:proofErr w:type="spellEnd"/>
            <w:r w:rsidRPr="00E16672">
              <w:rPr>
                <w:rFonts w:ascii="Times New Roman" w:hAnsi="Times New Roman"/>
                <w:color w:val="000000"/>
                <w:sz w:val="16"/>
                <w:szCs w:val="16"/>
              </w:rPr>
              <w:t xml:space="preserve"> до суду з </w:t>
            </w:r>
            <w:proofErr w:type="spellStart"/>
            <w:r w:rsidRPr="00E16672">
              <w:rPr>
                <w:rFonts w:ascii="Times New Roman" w:hAnsi="Times New Roman"/>
                <w:color w:val="000000"/>
                <w:sz w:val="16"/>
                <w:szCs w:val="16"/>
              </w:rPr>
              <w:t>вимогою</w:t>
            </w:r>
            <w:proofErr w:type="spellEnd"/>
            <w:r w:rsidRPr="00E16672">
              <w:rPr>
                <w:rFonts w:ascii="Times New Roman" w:hAnsi="Times New Roman"/>
                <w:color w:val="000000"/>
                <w:sz w:val="16"/>
                <w:szCs w:val="16"/>
              </w:rPr>
              <w:t xml:space="preserve"> про </w:t>
            </w:r>
            <w:proofErr w:type="spellStart"/>
            <w:r w:rsidRPr="00E16672">
              <w:rPr>
                <w:rFonts w:ascii="Times New Roman" w:hAnsi="Times New Roman"/>
                <w:color w:val="000000"/>
                <w:sz w:val="16"/>
                <w:szCs w:val="16"/>
              </w:rPr>
              <w:t>захист</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i/>
                <w:iCs/>
                <w:color w:val="000000"/>
                <w:sz w:val="16"/>
                <w:szCs w:val="16"/>
              </w:rPr>
              <w:t>основних</w:t>
            </w:r>
            <w:proofErr w:type="spellEnd"/>
            <w:r w:rsidRPr="00E16672">
              <w:rPr>
                <w:rFonts w:ascii="Times New Roman" w:hAnsi="Times New Roman"/>
                <w:color w:val="000000"/>
                <w:sz w:val="16"/>
                <w:szCs w:val="16"/>
              </w:rPr>
              <w:t xml:space="preserve"> прав та </w:t>
            </w:r>
            <w:proofErr w:type="spellStart"/>
            <w:r w:rsidRPr="00E16672">
              <w:rPr>
                <w:rFonts w:ascii="Times New Roman" w:hAnsi="Times New Roman"/>
                <w:color w:val="000000"/>
                <w:sz w:val="16"/>
                <w:szCs w:val="16"/>
              </w:rPr>
              <w:t>інтересів</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встановлюється</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тривалістю</w:t>
            </w:r>
            <w:proofErr w:type="spellEnd"/>
            <w:r w:rsidRPr="00E16672">
              <w:rPr>
                <w:rFonts w:ascii="Times New Roman" w:hAnsi="Times New Roman"/>
                <w:color w:val="000000"/>
                <w:sz w:val="16"/>
                <w:szCs w:val="16"/>
              </w:rPr>
              <w:t xml:space="preserve"> у </w:t>
            </w:r>
            <w:proofErr w:type="spellStart"/>
            <w:r w:rsidRPr="00E16672">
              <w:rPr>
                <w:rFonts w:ascii="Times New Roman" w:hAnsi="Times New Roman"/>
                <w:i/>
                <w:iCs/>
                <w:color w:val="000000"/>
                <w:sz w:val="16"/>
                <w:szCs w:val="16"/>
              </w:rPr>
              <w:t>п’ятдесят</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років</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Позовна</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давність</w:t>
            </w:r>
            <w:proofErr w:type="spellEnd"/>
            <w:r w:rsidRPr="00E16672">
              <w:rPr>
                <w:rFonts w:ascii="Times New Roman" w:hAnsi="Times New Roman"/>
                <w:color w:val="000000"/>
                <w:sz w:val="16"/>
                <w:szCs w:val="16"/>
              </w:rPr>
              <w:t xml:space="preserve"> в </w:t>
            </w:r>
            <w:proofErr w:type="spellStart"/>
            <w:r w:rsidRPr="00E16672">
              <w:rPr>
                <w:rFonts w:ascii="Times New Roman" w:hAnsi="Times New Roman"/>
                <w:i/>
                <w:iCs/>
                <w:color w:val="000000"/>
                <w:sz w:val="16"/>
                <w:szCs w:val="16"/>
              </w:rPr>
              <w:t>п'ятдесят</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років</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застосовується</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також</w:t>
            </w:r>
            <w:proofErr w:type="spellEnd"/>
            <w:r w:rsidRPr="00E16672">
              <w:rPr>
                <w:rFonts w:ascii="Times New Roman" w:hAnsi="Times New Roman"/>
                <w:color w:val="000000"/>
                <w:sz w:val="16"/>
                <w:szCs w:val="16"/>
              </w:rPr>
              <w:t xml:space="preserve"> до </w:t>
            </w:r>
            <w:proofErr w:type="spellStart"/>
            <w:r w:rsidRPr="00E16672">
              <w:rPr>
                <w:rFonts w:ascii="Times New Roman" w:hAnsi="Times New Roman"/>
                <w:color w:val="000000"/>
                <w:sz w:val="16"/>
                <w:szCs w:val="16"/>
              </w:rPr>
              <w:t>вимог</w:t>
            </w:r>
            <w:proofErr w:type="spellEnd"/>
            <w:r w:rsidRPr="00E16672">
              <w:rPr>
                <w:rFonts w:ascii="Times New Roman" w:hAnsi="Times New Roman"/>
                <w:color w:val="000000"/>
                <w:sz w:val="16"/>
                <w:szCs w:val="16"/>
              </w:rPr>
              <w:t xml:space="preserve"> про </w:t>
            </w:r>
            <w:proofErr w:type="spellStart"/>
            <w:r w:rsidRPr="00E16672">
              <w:rPr>
                <w:rFonts w:ascii="Times New Roman" w:hAnsi="Times New Roman"/>
                <w:color w:val="000000"/>
                <w:sz w:val="16"/>
                <w:szCs w:val="16"/>
              </w:rPr>
              <w:t>стягнення</w:t>
            </w:r>
            <w:proofErr w:type="spellEnd"/>
            <w:r w:rsidRPr="00E16672">
              <w:rPr>
                <w:rFonts w:ascii="Times New Roman" w:hAnsi="Times New Roman"/>
                <w:color w:val="000000"/>
                <w:sz w:val="16"/>
                <w:szCs w:val="16"/>
              </w:rPr>
              <w:t xml:space="preserve"> </w:t>
            </w:r>
            <w:r w:rsidRPr="00E16672">
              <w:rPr>
                <w:rFonts w:ascii="Times New Roman" w:hAnsi="Times New Roman"/>
                <w:i/>
                <w:iCs/>
                <w:color w:val="000000"/>
                <w:sz w:val="16"/>
                <w:szCs w:val="16"/>
              </w:rPr>
              <w:t>неустойки</w:t>
            </w:r>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пені</w:t>
            </w:r>
            <w:proofErr w:type="spellEnd"/>
            <w:r w:rsidRPr="00E16672">
              <w:rPr>
                <w:rFonts w:ascii="Times New Roman" w:hAnsi="Times New Roman"/>
                <w:color w:val="000000"/>
                <w:sz w:val="16"/>
                <w:szCs w:val="16"/>
              </w:rPr>
              <w:t>).</w:t>
            </w:r>
          </w:p>
          <w:p w14:paraId="08E49DBB" w14:textId="77777777" w:rsidR="005C5318" w:rsidRPr="00E16672" w:rsidRDefault="005C5318" w:rsidP="005C5318">
            <w:pPr>
              <w:ind w:left="175" w:right="138" w:firstLine="7"/>
              <w:rPr>
                <w:rFonts w:ascii="Times New Roman" w:hAnsi="Times New Roman"/>
                <w:color w:val="000000"/>
                <w:sz w:val="16"/>
                <w:szCs w:val="16"/>
              </w:rPr>
            </w:pPr>
          </w:p>
        </w:tc>
        <w:tc>
          <w:tcPr>
            <w:tcW w:w="5495" w:type="dxa"/>
            <w:gridSpan w:val="6"/>
            <w:shd w:val="clear" w:color="auto" w:fill="auto"/>
          </w:tcPr>
          <w:p w14:paraId="4583CCC0" w14:textId="77777777" w:rsidR="005C5318" w:rsidRPr="00E16672" w:rsidRDefault="005C5318" w:rsidP="005C5318">
            <w:pPr>
              <w:snapToGrid w:val="0"/>
              <w:ind w:left="175" w:right="138" w:firstLine="7"/>
              <w:rPr>
                <w:rFonts w:ascii="Times New Roman" w:hAnsi="Times New Roman"/>
                <w:color w:val="000000"/>
                <w:sz w:val="16"/>
                <w:szCs w:val="16"/>
                <w:lang w:val="en-GB"/>
              </w:rPr>
            </w:pPr>
            <w:r w:rsidRPr="00E16672">
              <w:rPr>
                <w:rFonts w:ascii="Times New Roman" w:hAnsi="Times New Roman"/>
                <w:color w:val="000000"/>
                <w:sz w:val="16"/>
                <w:szCs w:val="16"/>
                <w:lang w:val="en-GB"/>
              </w:rPr>
              <w:t xml:space="preserve">5.14. The limitation period within which a Party may request the court to demand the protection of fundamental </w:t>
            </w:r>
            <w:r w:rsidRPr="00E16672">
              <w:rPr>
                <w:rFonts w:ascii="Times New Roman" w:hAnsi="Times New Roman"/>
                <w:color w:val="000000"/>
                <w:sz w:val="16"/>
                <w:szCs w:val="16"/>
                <w:lang w:val="en-US"/>
              </w:rPr>
              <w:t xml:space="preserve">rights and </w:t>
            </w:r>
            <w:proofErr w:type="gramStart"/>
            <w:r w:rsidRPr="00E16672">
              <w:rPr>
                <w:rFonts w:ascii="Times New Roman" w:hAnsi="Times New Roman"/>
                <w:color w:val="000000"/>
                <w:sz w:val="16"/>
                <w:szCs w:val="16"/>
                <w:lang w:val="en-US"/>
              </w:rPr>
              <w:t xml:space="preserve">interests </w:t>
            </w:r>
            <w:r w:rsidRPr="00E16672">
              <w:rPr>
                <w:rFonts w:ascii="Times New Roman" w:hAnsi="Times New Roman"/>
                <w:color w:val="000000"/>
                <w:sz w:val="16"/>
                <w:szCs w:val="16"/>
                <w:lang w:val="en-GB"/>
              </w:rPr>
              <w:t xml:space="preserve"> set</w:t>
            </w:r>
            <w:proofErr w:type="gramEnd"/>
            <w:r w:rsidRPr="00E16672">
              <w:rPr>
                <w:rFonts w:ascii="Times New Roman" w:hAnsi="Times New Roman"/>
                <w:color w:val="000000"/>
                <w:sz w:val="16"/>
                <w:szCs w:val="16"/>
                <w:lang w:val="en-GB"/>
              </w:rPr>
              <w:t xml:space="preserve"> duration of fifty years. Limitation of </w:t>
            </w:r>
            <w:r w:rsidRPr="00E16672">
              <w:rPr>
                <w:rFonts w:ascii="Times New Roman" w:hAnsi="Times New Roman"/>
                <w:i/>
                <w:color w:val="000000"/>
                <w:sz w:val="16"/>
                <w:szCs w:val="16"/>
                <w:lang w:val="en-GB"/>
              </w:rPr>
              <w:t>fifty years</w:t>
            </w:r>
            <w:r w:rsidRPr="00E16672">
              <w:rPr>
                <w:rFonts w:ascii="Times New Roman" w:hAnsi="Times New Roman"/>
                <w:color w:val="000000"/>
                <w:sz w:val="16"/>
                <w:szCs w:val="16"/>
                <w:lang w:val="en-GB"/>
              </w:rPr>
              <w:t xml:space="preserve"> shall also apply to claims for a penalty (fine).</w:t>
            </w:r>
          </w:p>
          <w:p w14:paraId="6C52B5F8" w14:textId="77777777" w:rsidR="005C5318" w:rsidRPr="00E16672" w:rsidRDefault="005C5318" w:rsidP="005C5318">
            <w:pPr>
              <w:tabs>
                <w:tab w:val="left" w:pos="287"/>
              </w:tabs>
              <w:snapToGrid w:val="0"/>
              <w:ind w:left="175" w:right="138" w:firstLine="7"/>
              <w:rPr>
                <w:rFonts w:ascii="Times New Roman" w:hAnsi="Times New Roman"/>
                <w:color w:val="000000"/>
                <w:sz w:val="16"/>
                <w:szCs w:val="16"/>
                <w:lang w:val="en-GB"/>
              </w:rPr>
            </w:pPr>
          </w:p>
        </w:tc>
      </w:tr>
      <w:tr w:rsidR="005C5318" w:rsidRPr="00F23413" w14:paraId="419C631C" w14:textId="77777777" w:rsidTr="005E418B">
        <w:trPr>
          <w:trHeight w:val="192"/>
        </w:trPr>
        <w:tc>
          <w:tcPr>
            <w:tcW w:w="5695" w:type="dxa"/>
            <w:gridSpan w:val="6"/>
            <w:shd w:val="clear" w:color="auto" w:fill="auto"/>
          </w:tcPr>
          <w:p w14:paraId="11504BB6" w14:textId="77777777" w:rsidR="005C5318" w:rsidRPr="00E16672" w:rsidRDefault="005C5318" w:rsidP="005C5318">
            <w:pPr>
              <w:snapToGrid w:val="0"/>
              <w:ind w:left="175" w:right="138" w:firstLine="7"/>
              <w:jc w:val="center"/>
              <w:rPr>
                <w:rFonts w:ascii="Times New Roman" w:hAnsi="Times New Roman"/>
                <w:b/>
                <w:caps/>
                <w:sz w:val="16"/>
                <w:szCs w:val="16"/>
              </w:rPr>
            </w:pPr>
            <w:r w:rsidRPr="00E16672">
              <w:rPr>
                <w:rFonts w:ascii="Times New Roman" w:hAnsi="Times New Roman"/>
                <w:b/>
                <w:caps/>
                <w:sz w:val="16"/>
                <w:szCs w:val="16"/>
              </w:rPr>
              <w:t xml:space="preserve">6. Строк дії Договору, порядок внесення змін до нього, умови розіврвання </w:t>
            </w:r>
            <w:proofErr w:type="gramStart"/>
            <w:r w:rsidRPr="00E16672">
              <w:rPr>
                <w:rFonts w:ascii="Times New Roman" w:hAnsi="Times New Roman"/>
                <w:b/>
                <w:caps/>
                <w:sz w:val="16"/>
                <w:szCs w:val="16"/>
              </w:rPr>
              <w:t>договору  та</w:t>
            </w:r>
            <w:proofErr w:type="gramEnd"/>
            <w:r w:rsidRPr="00E16672">
              <w:rPr>
                <w:rFonts w:ascii="Times New Roman" w:hAnsi="Times New Roman"/>
                <w:b/>
                <w:caps/>
                <w:sz w:val="16"/>
                <w:szCs w:val="16"/>
              </w:rPr>
              <w:t xml:space="preserve"> припинення  його дії</w:t>
            </w:r>
          </w:p>
          <w:p w14:paraId="50753E36" w14:textId="77777777" w:rsidR="005C5318" w:rsidRPr="00E16672" w:rsidRDefault="005C5318" w:rsidP="005C5318">
            <w:pPr>
              <w:ind w:left="175" w:right="138" w:firstLine="7"/>
              <w:jc w:val="center"/>
              <w:rPr>
                <w:rFonts w:ascii="Times New Roman" w:hAnsi="Times New Roman"/>
                <w:b/>
                <w:caps/>
                <w:sz w:val="16"/>
                <w:szCs w:val="16"/>
              </w:rPr>
            </w:pPr>
          </w:p>
          <w:p w14:paraId="3CE08731" w14:textId="77777777" w:rsidR="005C5318" w:rsidRPr="00E16672" w:rsidRDefault="005C5318" w:rsidP="005C5318">
            <w:pPr>
              <w:ind w:left="175" w:right="138" w:firstLine="7"/>
              <w:rPr>
                <w:rFonts w:ascii="Times New Roman" w:hAnsi="Times New Roman"/>
                <w:sz w:val="16"/>
                <w:szCs w:val="16"/>
              </w:rPr>
            </w:pPr>
            <w:r w:rsidRPr="00E16672">
              <w:rPr>
                <w:rFonts w:ascii="Times New Roman" w:hAnsi="Times New Roman"/>
                <w:sz w:val="16"/>
                <w:szCs w:val="16"/>
              </w:rPr>
              <w:t xml:space="preserve">6.1. </w:t>
            </w:r>
            <w:proofErr w:type="spellStart"/>
            <w:r w:rsidRPr="00E16672">
              <w:rPr>
                <w:rFonts w:ascii="Times New Roman" w:hAnsi="Times New Roman"/>
                <w:sz w:val="16"/>
                <w:szCs w:val="16"/>
              </w:rPr>
              <w:t>Цей</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Договір</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набирає</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чинності</w:t>
            </w:r>
            <w:proofErr w:type="spellEnd"/>
            <w:r w:rsidRPr="00E16672">
              <w:rPr>
                <w:rFonts w:ascii="Times New Roman" w:hAnsi="Times New Roman"/>
                <w:sz w:val="16"/>
                <w:szCs w:val="16"/>
              </w:rPr>
              <w:t xml:space="preserve"> з моменту </w:t>
            </w:r>
            <w:proofErr w:type="spellStart"/>
            <w:r w:rsidRPr="00E16672">
              <w:rPr>
                <w:rFonts w:ascii="Times New Roman" w:hAnsi="Times New Roman"/>
                <w:sz w:val="16"/>
                <w:szCs w:val="16"/>
              </w:rPr>
              <w:t>його</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підписання</w:t>
            </w:r>
            <w:proofErr w:type="spellEnd"/>
            <w:r w:rsidRPr="00E16672">
              <w:rPr>
                <w:rFonts w:ascii="Times New Roman" w:hAnsi="Times New Roman"/>
                <w:sz w:val="16"/>
                <w:szCs w:val="16"/>
              </w:rPr>
              <w:t xml:space="preserve"> Сторонами і </w:t>
            </w:r>
            <w:proofErr w:type="spellStart"/>
            <w:r w:rsidRPr="00E16672">
              <w:rPr>
                <w:rFonts w:ascii="Times New Roman" w:hAnsi="Times New Roman"/>
                <w:sz w:val="16"/>
                <w:szCs w:val="16"/>
              </w:rPr>
              <w:t>скріплення</w:t>
            </w:r>
            <w:proofErr w:type="spellEnd"/>
            <w:r w:rsidRPr="00E16672">
              <w:rPr>
                <w:rFonts w:ascii="Times New Roman" w:hAnsi="Times New Roman"/>
                <w:sz w:val="16"/>
                <w:szCs w:val="16"/>
              </w:rPr>
              <w:t xml:space="preserve"> печатками (</w:t>
            </w:r>
            <w:r w:rsidR="003352AE" w:rsidRPr="00E16672">
              <w:rPr>
                <w:rFonts w:ascii="Times New Roman" w:hAnsi="Times New Roman"/>
                <w:sz w:val="16"/>
                <w:szCs w:val="16"/>
              </w:rPr>
              <w:t xml:space="preserve">у </w:t>
            </w:r>
            <w:proofErr w:type="spellStart"/>
            <w:r w:rsidR="003352AE" w:rsidRPr="00E16672">
              <w:rPr>
                <w:rFonts w:ascii="Times New Roman" w:hAnsi="Times New Roman"/>
                <w:sz w:val="16"/>
                <w:szCs w:val="16"/>
              </w:rPr>
              <w:t>разі</w:t>
            </w:r>
            <w:proofErr w:type="spellEnd"/>
            <w:r w:rsidR="003352AE" w:rsidRPr="00E16672">
              <w:rPr>
                <w:rFonts w:ascii="Times New Roman" w:hAnsi="Times New Roman"/>
                <w:sz w:val="16"/>
                <w:szCs w:val="16"/>
              </w:rPr>
              <w:t xml:space="preserve"> </w:t>
            </w:r>
            <w:proofErr w:type="spellStart"/>
            <w:r w:rsidR="003352AE" w:rsidRPr="00E16672">
              <w:rPr>
                <w:rFonts w:ascii="Times New Roman" w:hAnsi="Times New Roman"/>
                <w:sz w:val="16"/>
                <w:szCs w:val="16"/>
              </w:rPr>
              <w:t>використання</w:t>
            </w:r>
            <w:proofErr w:type="spellEnd"/>
            <w:r w:rsidRPr="00E16672">
              <w:rPr>
                <w:rFonts w:ascii="Times New Roman" w:hAnsi="Times New Roman"/>
                <w:sz w:val="16"/>
                <w:szCs w:val="16"/>
              </w:rPr>
              <w:t xml:space="preserve">) та </w:t>
            </w:r>
            <w:proofErr w:type="spellStart"/>
            <w:r w:rsidRPr="00E16672">
              <w:rPr>
                <w:rFonts w:ascii="Times New Roman" w:hAnsi="Times New Roman"/>
                <w:sz w:val="16"/>
                <w:szCs w:val="16"/>
              </w:rPr>
              <w:t>діє</w:t>
            </w:r>
            <w:proofErr w:type="spellEnd"/>
            <w:r w:rsidRPr="00E16672">
              <w:rPr>
                <w:rFonts w:ascii="Times New Roman" w:hAnsi="Times New Roman"/>
                <w:sz w:val="16"/>
                <w:szCs w:val="16"/>
              </w:rPr>
              <w:t xml:space="preserve"> до </w:t>
            </w:r>
            <w:proofErr w:type="spellStart"/>
            <w:r w:rsidRPr="00E16672">
              <w:rPr>
                <w:rFonts w:ascii="Times New Roman" w:hAnsi="Times New Roman"/>
                <w:sz w:val="16"/>
                <w:szCs w:val="16"/>
              </w:rPr>
              <w:t>повного</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виконання</w:t>
            </w:r>
            <w:proofErr w:type="spellEnd"/>
            <w:r w:rsidRPr="00E16672">
              <w:rPr>
                <w:rFonts w:ascii="Times New Roman" w:hAnsi="Times New Roman"/>
                <w:sz w:val="16"/>
                <w:szCs w:val="16"/>
              </w:rPr>
              <w:t xml:space="preserve"> Договору. </w:t>
            </w:r>
          </w:p>
          <w:p w14:paraId="0CAF3A05" w14:textId="77777777" w:rsidR="005C5318" w:rsidRPr="00E16672" w:rsidRDefault="005C5318" w:rsidP="005C5318">
            <w:pPr>
              <w:snapToGrid w:val="0"/>
              <w:ind w:left="175" w:right="138" w:firstLine="7"/>
              <w:rPr>
                <w:rFonts w:ascii="Times New Roman" w:hAnsi="Times New Roman"/>
                <w:sz w:val="16"/>
                <w:szCs w:val="16"/>
              </w:rPr>
            </w:pPr>
          </w:p>
        </w:tc>
        <w:tc>
          <w:tcPr>
            <w:tcW w:w="5495" w:type="dxa"/>
            <w:gridSpan w:val="6"/>
            <w:shd w:val="clear" w:color="auto" w:fill="auto"/>
          </w:tcPr>
          <w:p w14:paraId="395195C7" w14:textId="77777777" w:rsidR="005C5318" w:rsidRPr="00E16672" w:rsidRDefault="005C5318" w:rsidP="005C5318">
            <w:pPr>
              <w:tabs>
                <w:tab w:val="left" w:pos="287"/>
              </w:tabs>
              <w:snapToGrid w:val="0"/>
              <w:ind w:left="175" w:right="100" w:firstLine="7"/>
              <w:jc w:val="center"/>
              <w:rPr>
                <w:rFonts w:ascii="Times New Roman" w:hAnsi="Times New Roman"/>
                <w:b/>
                <w:caps/>
                <w:sz w:val="16"/>
                <w:szCs w:val="16"/>
                <w:lang w:val="en-GB"/>
              </w:rPr>
            </w:pPr>
            <w:r w:rsidRPr="00E16672">
              <w:rPr>
                <w:rFonts w:ascii="Times New Roman" w:hAnsi="Times New Roman"/>
                <w:b/>
                <w:caps/>
                <w:sz w:val="16"/>
                <w:szCs w:val="16"/>
                <w:lang w:val="en-GB"/>
              </w:rPr>
              <w:t xml:space="preserve">6. TERM OF ACTIONS OF AGREEMENT, ORDER CHANGES TO </w:t>
            </w:r>
            <w:r w:rsidRPr="00E16672">
              <w:rPr>
                <w:rFonts w:ascii="Times New Roman" w:hAnsi="Times New Roman"/>
                <w:b/>
                <w:caps/>
                <w:sz w:val="16"/>
                <w:szCs w:val="16"/>
                <w:lang w:val="en-US"/>
              </w:rPr>
              <w:t>it</w:t>
            </w:r>
            <w:r w:rsidRPr="00E16672">
              <w:rPr>
                <w:rFonts w:ascii="Times New Roman" w:hAnsi="Times New Roman"/>
                <w:b/>
                <w:caps/>
                <w:sz w:val="16"/>
                <w:szCs w:val="16"/>
                <w:lang w:val="en-GB"/>
              </w:rPr>
              <w:t xml:space="preserve">, conditions for terminating of </w:t>
            </w:r>
            <w:proofErr w:type="gramStart"/>
            <w:r w:rsidRPr="00E16672">
              <w:rPr>
                <w:rFonts w:ascii="Times New Roman" w:hAnsi="Times New Roman"/>
                <w:b/>
                <w:caps/>
                <w:sz w:val="16"/>
                <w:szCs w:val="16"/>
                <w:lang w:val="en-GB"/>
              </w:rPr>
              <w:t>Agreement</w:t>
            </w:r>
            <w:r w:rsidRPr="00F23413">
              <w:rPr>
                <w:rStyle w:val="hps"/>
                <w:rFonts w:ascii="Times New Roman" w:hAnsi="Times New Roman"/>
                <w:lang w:val="en-US"/>
              </w:rPr>
              <w:t xml:space="preserve"> </w:t>
            </w:r>
            <w:r w:rsidRPr="00E16672">
              <w:rPr>
                <w:rFonts w:ascii="Times New Roman" w:hAnsi="Times New Roman"/>
                <w:b/>
                <w:caps/>
                <w:sz w:val="16"/>
                <w:szCs w:val="16"/>
                <w:lang w:val="en-GB"/>
              </w:rPr>
              <w:t xml:space="preserve"> AND</w:t>
            </w:r>
            <w:proofErr w:type="gramEnd"/>
            <w:r w:rsidRPr="00E16672">
              <w:rPr>
                <w:rFonts w:ascii="Times New Roman" w:hAnsi="Times New Roman"/>
                <w:b/>
                <w:caps/>
                <w:sz w:val="16"/>
                <w:szCs w:val="16"/>
                <w:lang w:val="en-GB"/>
              </w:rPr>
              <w:t xml:space="preserve"> TERMINATION OF its</w:t>
            </w:r>
            <w:r w:rsidRPr="00E16672">
              <w:rPr>
                <w:rFonts w:ascii="Times New Roman" w:hAnsi="Times New Roman"/>
                <w:b/>
                <w:caps/>
                <w:sz w:val="16"/>
                <w:szCs w:val="16"/>
                <w:lang w:val="en-US"/>
              </w:rPr>
              <w:t xml:space="preserve"> </w:t>
            </w:r>
            <w:r w:rsidRPr="00E16672">
              <w:rPr>
                <w:rFonts w:ascii="Times New Roman" w:hAnsi="Times New Roman"/>
                <w:b/>
                <w:caps/>
                <w:sz w:val="16"/>
                <w:szCs w:val="16"/>
                <w:lang w:val="en-GB"/>
              </w:rPr>
              <w:t>VALIDITY</w:t>
            </w:r>
          </w:p>
          <w:p w14:paraId="09EBC378" w14:textId="77777777" w:rsidR="005C5318" w:rsidRPr="00E16672" w:rsidRDefault="005C5318" w:rsidP="005C5318">
            <w:pPr>
              <w:tabs>
                <w:tab w:val="left" w:pos="287"/>
              </w:tabs>
              <w:snapToGrid w:val="0"/>
              <w:ind w:left="175" w:right="100" w:firstLine="7"/>
              <w:jc w:val="center"/>
              <w:rPr>
                <w:rFonts w:ascii="Times New Roman" w:hAnsi="Times New Roman"/>
                <w:b/>
                <w:bCs/>
                <w:sz w:val="16"/>
                <w:szCs w:val="16"/>
                <w:lang w:val="en-US"/>
              </w:rPr>
            </w:pPr>
          </w:p>
          <w:p w14:paraId="34B693B5" w14:textId="77777777" w:rsidR="005C5318" w:rsidRPr="00E16672" w:rsidRDefault="005C5318" w:rsidP="005C5318">
            <w:pPr>
              <w:tabs>
                <w:tab w:val="left" w:pos="287"/>
              </w:tabs>
              <w:ind w:left="175" w:right="100" w:firstLine="7"/>
              <w:rPr>
                <w:rFonts w:ascii="Times New Roman" w:hAnsi="Times New Roman"/>
                <w:sz w:val="16"/>
                <w:szCs w:val="16"/>
                <w:lang w:val="en-GB"/>
              </w:rPr>
            </w:pPr>
            <w:r w:rsidRPr="00E16672">
              <w:rPr>
                <w:rFonts w:ascii="Times New Roman" w:hAnsi="Times New Roman"/>
                <w:sz w:val="16"/>
                <w:szCs w:val="16"/>
                <w:lang w:val="en-GB"/>
              </w:rPr>
              <w:t>6.1. This Agreement shall enter into force upon signature by the Parties and sealed (</w:t>
            </w:r>
            <w:proofErr w:type="spellStart"/>
            <w:r w:rsidR="009D3C4B" w:rsidRPr="00E16672">
              <w:rPr>
                <w:rFonts w:ascii="Times New Roman" w:hAnsi="Times New Roman"/>
                <w:sz w:val="16"/>
                <w:szCs w:val="16"/>
                <w:lang w:val="uk-UA"/>
              </w:rPr>
              <w:t>in</w:t>
            </w:r>
            <w:proofErr w:type="spellEnd"/>
            <w:r w:rsidR="009D3C4B" w:rsidRPr="00E16672">
              <w:rPr>
                <w:rFonts w:ascii="Times New Roman" w:hAnsi="Times New Roman"/>
                <w:sz w:val="16"/>
                <w:szCs w:val="16"/>
                <w:lang w:val="uk-UA"/>
              </w:rPr>
              <w:t xml:space="preserve"> </w:t>
            </w:r>
            <w:proofErr w:type="spellStart"/>
            <w:r w:rsidR="009D3C4B" w:rsidRPr="00E16672">
              <w:rPr>
                <w:rFonts w:ascii="Times New Roman" w:hAnsi="Times New Roman"/>
                <w:sz w:val="16"/>
                <w:szCs w:val="16"/>
                <w:lang w:val="uk-UA"/>
              </w:rPr>
              <w:t>case</w:t>
            </w:r>
            <w:proofErr w:type="spellEnd"/>
            <w:r w:rsidR="009D3C4B" w:rsidRPr="00E16672">
              <w:rPr>
                <w:rFonts w:ascii="Times New Roman" w:hAnsi="Times New Roman"/>
                <w:sz w:val="16"/>
                <w:szCs w:val="16"/>
                <w:lang w:val="uk-UA"/>
              </w:rPr>
              <w:t xml:space="preserve"> </w:t>
            </w:r>
            <w:proofErr w:type="spellStart"/>
            <w:r w:rsidR="009D3C4B" w:rsidRPr="00E16672">
              <w:rPr>
                <w:rFonts w:ascii="Times New Roman" w:hAnsi="Times New Roman"/>
                <w:sz w:val="16"/>
                <w:szCs w:val="16"/>
                <w:lang w:val="uk-UA"/>
              </w:rPr>
              <w:t>of</w:t>
            </w:r>
            <w:proofErr w:type="spellEnd"/>
            <w:r w:rsidR="009D3C4B" w:rsidRPr="00E16672">
              <w:rPr>
                <w:rFonts w:ascii="Times New Roman" w:hAnsi="Times New Roman"/>
                <w:sz w:val="16"/>
                <w:szCs w:val="16"/>
                <w:lang w:val="uk-UA"/>
              </w:rPr>
              <w:t xml:space="preserve"> </w:t>
            </w:r>
            <w:proofErr w:type="spellStart"/>
            <w:r w:rsidR="009D3C4B" w:rsidRPr="00E16672">
              <w:rPr>
                <w:rFonts w:ascii="Times New Roman" w:hAnsi="Times New Roman"/>
                <w:sz w:val="16"/>
                <w:szCs w:val="16"/>
                <w:lang w:val="uk-UA"/>
              </w:rPr>
              <w:t>use</w:t>
            </w:r>
            <w:proofErr w:type="spellEnd"/>
            <w:r w:rsidRPr="00E16672">
              <w:rPr>
                <w:rFonts w:ascii="Times New Roman" w:hAnsi="Times New Roman"/>
                <w:sz w:val="16"/>
                <w:szCs w:val="16"/>
                <w:lang w:val="en-GB"/>
              </w:rPr>
              <w:t xml:space="preserve">) and valid </w:t>
            </w:r>
            <w:proofErr w:type="gramStart"/>
            <w:r w:rsidRPr="00E16672">
              <w:rPr>
                <w:rFonts w:ascii="Times New Roman" w:hAnsi="Times New Roman"/>
                <w:sz w:val="16"/>
                <w:szCs w:val="16"/>
                <w:lang w:val="en-GB"/>
              </w:rPr>
              <w:t xml:space="preserve">until </w:t>
            </w:r>
            <w:r w:rsidRPr="00E16672">
              <w:rPr>
                <w:rFonts w:ascii="Times New Roman" w:hAnsi="Times New Roman"/>
                <w:sz w:val="16"/>
                <w:szCs w:val="16"/>
                <w:lang w:val="en-US"/>
              </w:rPr>
              <w:t xml:space="preserve"> full</w:t>
            </w:r>
            <w:proofErr w:type="gramEnd"/>
            <w:r w:rsidRPr="00E16672">
              <w:rPr>
                <w:rFonts w:ascii="Times New Roman" w:hAnsi="Times New Roman"/>
                <w:sz w:val="16"/>
                <w:szCs w:val="16"/>
                <w:lang w:val="en-US"/>
              </w:rPr>
              <w:t xml:space="preserve"> </w:t>
            </w:r>
            <w:r w:rsidRPr="00E16672">
              <w:rPr>
                <w:rFonts w:ascii="Times New Roman" w:hAnsi="Times New Roman"/>
                <w:sz w:val="16"/>
                <w:szCs w:val="16"/>
                <w:lang w:val="en-GB"/>
              </w:rPr>
              <w:t>execution of the Agreement</w:t>
            </w:r>
            <w:r w:rsidRPr="00E16672">
              <w:rPr>
                <w:rFonts w:ascii="Times New Roman" w:hAnsi="Times New Roman"/>
                <w:sz w:val="16"/>
                <w:szCs w:val="16"/>
                <w:lang w:val="en-US"/>
              </w:rPr>
              <w:t>.</w:t>
            </w:r>
            <w:r w:rsidRPr="00E16672">
              <w:rPr>
                <w:rFonts w:ascii="Times New Roman" w:hAnsi="Times New Roman"/>
                <w:sz w:val="16"/>
                <w:szCs w:val="16"/>
                <w:lang w:val="en-GB"/>
              </w:rPr>
              <w:t xml:space="preserve"> </w:t>
            </w:r>
          </w:p>
          <w:p w14:paraId="5B4D5AAC" w14:textId="77777777" w:rsidR="005C5318" w:rsidRPr="00E16672" w:rsidRDefault="005C5318" w:rsidP="005C5318">
            <w:pPr>
              <w:tabs>
                <w:tab w:val="left" w:pos="287"/>
              </w:tabs>
              <w:snapToGrid w:val="0"/>
              <w:ind w:left="175" w:right="100" w:firstLine="7"/>
              <w:rPr>
                <w:rFonts w:ascii="Times New Roman" w:hAnsi="Times New Roman"/>
                <w:bCs/>
                <w:sz w:val="16"/>
                <w:szCs w:val="16"/>
                <w:lang w:val="en-US"/>
              </w:rPr>
            </w:pPr>
          </w:p>
        </w:tc>
      </w:tr>
      <w:tr w:rsidR="005C5318" w:rsidRPr="00F23413" w14:paraId="1EAF5C1E" w14:textId="77777777" w:rsidTr="005E418B">
        <w:trPr>
          <w:trHeight w:val="192"/>
        </w:trPr>
        <w:tc>
          <w:tcPr>
            <w:tcW w:w="5695" w:type="dxa"/>
            <w:gridSpan w:val="6"/>
            <w:shd w:val="clear" w:color="auto" w:fill="auto"/>
          </w:tcPr>
          <w:p w14:paraId="2792EEDB" w14:textId="77777777" w:rsidR="005C5318" w:rsidRPr="00E16672" w:rsidRDefault="005C5318" w:rsidP="005C5318">
            <w:pPr>
              <w:snapToGrid w:val="0"/>
              <w:ind w:left="175" w:right="138" w:firstLine="7"/>
              <w:rPr>
                <w:rFonts w:ascii="Times New Roman" w:hAnsi="Times New Roman"/>
                <w:sz w:val="16"/>
                <w:szCs w:val="16"/>
                <w:lang w:val="uk-UA"/>
              </w:rPr>
            </w:pPr>
            <w:r w:rsidRPr="00E16672">
              <w:rPr>
                <w:rFonts w:ascii="Times New Roman" w:hAnsi="Times New Roman"/>
                <w:sz w:val="16"/>
                <w:szCs w:val="16"/>
              </w:rPr>
              <w:t xml:space="preserve">6.2. </w:t>
            </w:r>
            <w:proofErr w:type="spellStart"/>
            <w:r w:rsidRPr="00E16672">
              <w:rPr>
                <w:rFonts w:ascii="Times New Roman" w:hAnsi="Times New Roman"/>
                <w:sz w:val="16"/>
                <w:szCs w:val="16"/>
              </w:rPr>
              <w:t>Зміни</w:t>
            </w:r>
            <w:proofErr w:type="spellEnd"/>
            <w:r w:rsidRPr="00E16672">
              <w:rPr>
                <w:rFonts w:ascii="Times New Roman" w:hAnsi="Times New Roman"/>
                <w:sz w:val="16"/>
                <w:szCs w:val="16"/>
              </w:rPr>
              <w:t xml:space="preserve"> до умов </w:t>
            </w:r>
            <w:proofErr w:type="spellStart"/>
            <w:r w:rsidRPr="00E16672">
              <w:rPr>
                <w:rFonts w:ascii="Times New Roman" w:hAnsi="Times New Roman"/>
                <w:sz w:val="16"/>
                <w:szCs w:val="16"/>
              </w:rPr>
              <w:t>цього</w:t>
            </w:r>
            <w:proofErr w:type="spellEnd"/>
            <w:r w:rsidRPr="00E16672">
              <w:rPr>
                <w:rFonts w:ascii="Times New Roman" w:hAnsi="Times New Roman"/>
                <w:sz w:val="16"/>
                <w:szCs w:val="16"/>
              </w:rPr>
              <w:t xml:space="preserve"> Договору </w:t>
            </w:r>
            <w:proofErr w:type="spellStart"/>
            <w:r w:rsidRPr="00E16672">
              <w:rPr>
                <w:rFonts w:ascii="Times New Roman" w:hAnsi="Times New Roman"/>
                <w:sz w:val="16"/>
                <w:szCs w:val="16"/>
              </w:rPr>
              <w:t>вносяться</w:t>
            </w:r>
            <w:proofErr w:type="spellEnd"/>
            <w:r w:rsidRPr="00E16672">
              <w:rPr>
                <w:rFonts w:ascii="Times New Roman" w:hAnsi="Times New Roman"/>
                <w:sz w:val="16"/>
                <w:szCs w:val="16"/>
              </w:rPr>
              <w:t xml:space="preserve"> за </w:t>
            </w:r>
            <w:proofErr w:type="spellStart"/>
            <w:r w:rsidRPr="00E16672">
              <w:rPr>
                <w:rFonts w:ascii="Times New Roman" w:hAnsi="Times New Roman"/>
                <w:sz w:val="16"/>
                <w:szCs w:val="16"/>
              </w:rPr>
              <w:t>взаємною</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згодою</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Сторін</w:t>
            </w:r>
            <w:proofErr w:type="spellEnd"/>
            <w:r w:rsidRPr="00E16672">
              <w:rPr>
                <w:rFonts w:ascii="Times New Roman" w:hAnsi="Times New Roman"/>
                <w:sz w:val="16"/>
                <w:szCs w:val="16"/>
              </w:rPr>
              <w:t xml:space="preserve">, </w:t>
            </w:r>
            <w:proofErr w:type="spellStart"/>
            <w:proofErr w:type="gramStart"/>
            <w:r w:rsidRPr="00E16672">
              <w:rPr>
                <w:rFonts w:ascii="Times New Roman" w:hAnsi="Times New Roman"/>
                <w:sz w:val="16"/>
                <w:szCs w:val="16"/>
              </w:rPr>
              <w:t>оформленою</w:t>
            </w:r>
            <w:proofErr w:type="spellEnd"/>
            <w:r w:rsidRPr="00E16672">
              <w:rPr>
                <w:rFonts w:ascii="Times New Roman" w:hAnsi="Times New Roman"/>
                <w:sz w:val="16"/>
                <w:szCs w:val="16"/>
              </w:rPr>
              <w:t xml:space="preserve">  в</w:t>
            </w:r>
            <w:proofErr w:type="gramEnd"/>
            <w:r w:rsidRPr="00E16672">
              <w:rPr>
                <w:rFonts w:ascii="Times New Roman" w:hAnsi="Times New Roman"/>
                <w:sz w:val="16"/>
                <w:szCs w:val="16"/>
              </w:rPr>
              <w:t xml:space="preserve"> </w:t>
            </w:r>
            <w:proofErr w:type="spellStart"/>
            <w:r w:rsidRPr="00E16672">
              <w:rPr>
                <w:rFonts w:ascii="Times New Roman" w:hAnsi="Times New Roman"/>
                <w:sz w:val="16"/>
                <w:szCs w:val="16"/>
              </w:rPr>
              <w:t>письмовій</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формі</w:t>
            </w:r>
            <w:proofErr w:type="spellEnd"/>
            <w:r w:rsidRPr="00E16672">
              <w:rPr>
                <w:rFonts w:ascii="Times New Roman" w:hAnsi="Times New Roman"/>
                <w:sz w:val="16"/>
                <w:szCs w:val="16"/>
              </w:rPr>
              <w:t>.</w:t>
            </w:r>
            <w:r w:rsidRPr="00E16672">
              <w:rPr>
                <w:rFonts w:ascii="Times New Roman" w:hAnsi="Times New Roman"/>
                <w:sz w:val="16"/>
                <w:szCs w:val="16"/>
                <w:lang w:val="uk-UA"/>
              </w:rPr>
              <w:t xml:space="preserve"> Одностороння відмова кожної із Сторін від виконання Договору або зміна його умов є неприпустимою, крім випадків, встановлених законодавством або цим Договором.</w:t>
            </w:r>
          </w:p>
          <w:p w14:paraId="4AE21E8D" w14:textId="77777777" w:rsidR="005C5318" w:rsidRPr="00E16672" w:rsidRDefault="005C5318" w:rsidP="005C5318">
            <w:pPr>
              <w:ind w:left="175" w:right="138" w:firstLine="7"/>
              <w:rPr>
                <w:rFonts w:ascii="Times New Roman" w:hAnsi="Times New Roman"/>
                <w:sz w:val="16"/>
                <w:szCs w:val="16"/>
              </w:rPr>
            </w:pPr>
          </w:p>
        </w:tc>
        <w:tc>
          <w:tcPr>
            <w:tcW w:w="5495" w:type="dxa"/>
            <w:gridSpan w:val="6"/>
            <w:shd w:val="clear" w:color="auto" w:fill="auto"/>
          </w:tcPr>
          <w:p w14:paraId="5FBADCA4" w14:textId="77777777" w:rsidR="005C5318" w:rsidRPr="00E16672" w:rsidRDefault="005C5318" w:rsidP="005C5318">
            <w:pPr>
              <w:tabs>
                <w:tab w:val="left" w:pos="287"/>
              </w:tabs>
              <w:snapToGrid w:val="0"/>
              <w:ind w:left="175" w:right="100" w:firstLine="7"/>
              <w:rPr>
                <w:rFonts w:ascii="Times New Roman" w:hAnsi="Times New Roman"/>
                <w:sz w:val="16"/>
                <w:szCs w:val="16"/>
                <w:lang w:val="uk-UA"/>
              </w:rPr>
            </w:pPr>
            <w:r w:rsidRPr="00E16672">
              <w:rPr>
                <w:rFonts w:ascii="Times New Roman" w:hAnsi="Times New Roman"/>
                <w:sz w:val="16"/>
                <w:szCs w:val="16"/>
                <w:lang w:val="en-GB"/>
              </w:rPr>
              <w:t>6.</w:t>
            </w:r>
            <w:r w:rsidRPr="00E16672">
              <w:rPr>
                <w:rFonts w:ascii="Times New Roman" w:hAnsi="Times New Roman"/>
                <w:sz w:val="16"/>
                <w:szCs w:val="16"/>
                <w:lang w:val="en-US"/>
              </w:rPr>
              <w:t>2</w:t>
            </w:r>
            <w:r w:rsidRPr="00E16672">
              <w:rPr>
                <w:rFonts w:ascii="Times New Roman" w:hAnsi="Times New Roman"/>
                <w:sz w:val="16"/>
                <w:szCs w:val="16"/>
                <w:lang w:val="en-GB"/>
              </w:rPr>
              <w:t>. Changes to the conditions of this Agreement shall be made by mutual consent</w:t>
            </w:r>
            <w:r w:rsidRPr="00E16672">
              <w:rPr>
                <w:rFonts w:ascii="Times New Roman" w:hAnsi="Times New Roman"/>
                <w:sz w:val="16"/>
                <w:szCs w:val="16"/>
                <w:lang w:val="en-US"/>
              </w:rPr>
              <w:t xml:space="preserve"> of the Parties</w:t>
            </w:r>
            <w:r w:rsidRPr="00E16672">
              <w:rPr>
                <w:rFonts w:ascii="Times New Roman" w:hAnsi="Times New Roman"/>
                <w:sz w:val="16"/>
                <w:szCs w:val="16"/>
                <w:lang w:val="en-GB"/>
              </w:rPr>
              <w:t>, in writing.</w:t>
            </w:r>
            <w:r w:rsidRPr="00E16672">
              <w:rPr>
                <w:rFonts w:ascii="Times New Roman" w:hAnsi="Times New Roman"/>
                <w:sz w:val="16"/>
                <w:szCs w:val="16"/>
                <w:lang w:val="uk-UA"/>
              </w:rPr>
              <w:t xml:space="preserve"> </w:t>
            </w:r>
            <w:r w:rsidRPr="00F23413">
              <w:rPr>
                <w:rFonts w:ascii="Times New Roman" w:hAnsi="Times New Roman"/>
                <w:sz w:val="16"/>
                <w:szCs w:val="16"/>
                <w:lang w:val="en-US"/>
              </w:rPr>
              <w:t>Unilateral refusal by either Party to perform the Contract or modification of its terms is inadmissible except in cases established by law or this Agreement.</w:t>
            </w:r>
          </w:p>
        </w:tc>
      </w:tr>
      <w:tr w:rsidR="005C5318" w:rsidRPr="00F23413" w14:paraId="13F4A557" w14:textId="77777777" w:rsidTr="005E418B">
        <w:trPr>
          <w:trHeight w:val="192"/>
        </w:trPr>
        <w:tc>
          <w:tcPr>
            <w:tcW w:w="5695" w:type="dxa"/>
            <w:gridSpan w:val="6"/>
            <w:shd w:val="clear" w:color="auto" w:fill="auto"/>
          </w:tcPr>
          <w:p w14:paraId="486DAAE3" w14:textId="77777777" w:rsidR="005C5318" w:rsidRPr="00E16672" w:rsidRDefault="005C5318" w:rsidP="005C5318">
            <w:pPr>
              <w:snapToGrid w:val="0"/>
              <w:ind w:left="175" w:right="138" w:firstLine="7"/>
              <w:rPr>
                <w:rFonts w:ascii="Times New Roman" w:hAnsi="Times New Roman"/>
                <w:sz w:val="16"/>
                <w:szCs w:val="16"/>
              </w:rPr>
            </w:pPr>
            <w:r w:rsidRPr="00E16672">
              <w:rPr>
                <w:rFonts w:ascii="Times New Roman" w:hAnsi="Times New Roman"/>
                <w:sz w:val="16"/>
                <w:szCs w:val="16"/>
              </w:rPr>
              <w:t xml:space="preserve">6.3. </w:t>
            </w:r>
            <w:proofErr w:type="spellStart"/>
            <w:r w:rsidRPr="00E16672">
              <w:rPr>
                <w:rFonts w:ascii="Times New Roman" w:hAnsi="Times New Roman"/>
                <w:sz w:val="16"/>
                <w:szCs w:val="16"/>
              </w:rPr>
              <w:t>Цей</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Договір</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може</w:t>
            </w:r>
            <w:proofErr w:type="spellEnd"/>
            <w:r w:rsidRPr="00E16672">
              <w:rPr>
                <w:rFonts w:ascii="Times New Roman" w:hAnsi="Times New Roman"/>
                <w:sz w:val="16"/>
                <w:szCs w:val="16"/>
              </w:rPr>
              <w:t xml:space="preserve"> бути </w:t>
            </w:r>
            <w:proofErr w:type="spellStart"/>
            <w:r w:rsidRPr="00E16672">
              <w:rPr>
                <w:rFonts w:ascii="Times New Roman" w:hAnsi="Times New Roman"/>
                <w:sz w:val="16"/>
                <w:szCs w:val="16"/>
              </w:rPr>
              <w:t>достроково</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розірваний</w:t>
            </w:r>
            <w:proofErr w:type="spellEnd"/>
            <w:r w:rsidRPr="00E16672">
              <w:rPr>
                <w:rFonts w:ascii="Times New Roman" w:hAnsi="Times New Roman"/>
                <w:sz w:val="16"/>
                <w:szCs w:val="16"/>
              </w:rPr>
              <w:t>:</w:t>
            </w:r>
          </w:p>
          <w:p w14:paraId="3241A4F3" w14:textId="77777777" w:rsidR="005C5318" w:rsidRPr="00E16672" w:rsidRDefault="005C5318" w:rsidP="005C5318">
            <w:pPr>
              <w:snapToGrid w:val="0"/>
              <w:ind w:left="175" w:right="138" w:firstLine="7"/>
              <w:rPr>
                <w:rFonts w:ascii="Times New Roman" w:hAnsi="Times New Roman"/>
                <w:sz w:val="16"/>
                <w:szCs w:val="16"/>
              </w:rPr>
            </w:pPr>
          </w:p>
        </w:tc>
        <w:tc>
          <w:tcPr>
            <w:tcW w:w="5495" w:type="dxa"/>
            <w:gridSpan w:val="6"/>
            <w:shd w:val="clear" w:color="auto" w:fill="auto"/>
          </w:tcPr>
          <w:p w14:paraId="1B61D9FE" w14:textId="77777777" w:rsidR="005C5318" w:rsidRPr="00E16672" w:rsidRDefault="005C5318" w:rsidP="005C5318">
            <w:pPr>
              <w:tabs>
                <w:tab w:val="left" w:pos="107"/>
                <w:tab w:val="left" w:pos="287"/>
                <w:tab w:val="left" w:pos="872"/>
              </w:tabs>
              <w:autoSpaceDE w:val="0"/>
              <w:snapToGrid w:val="0"/>
              <w:ind w:left="175" w:right="100" w:firstLine="7"/>
              <w:rPr>
                <w:rFonts w:ascii="Times New Roman" w:hAnsi="Times New Roman"/>
                <w:sz w:val="16"/>
                <w:szCs w:val="16"/>
                <w:lang w:val="en-GB"/>
              </w:rPr>
            </w:pPr>
            <w:r w:rsidRPr="00E16672">
              <w:rPr>
                <w:rFonts w:ascii="Times New Roman" w:hAnsi="Times New Roman"/>
                <w:sz w:val="16"/>
                <w:szCs w:val="16"/>
                <w:lang w:val="en-GB"/>
              </w:rPr>
              <w:t>6.</w:t>
            </w:r>
            <w:r w:rsidRPr="00E16672">
              <w:rPr>
                <w:rFonts w:ascii="Times New Roman" w:hAnsi="Times New Roman"/>
                <w:sz w:val="16"/>
                <w:szCs w:val="16"/>
                <w:lang w:val="en-US"/>
              </w:rPr>
              <w:t>3</w:t>
            </w:r>
            <w:r w:rsidRPr="00E16672">
              <w:rPr>
                <w:rFonts w:ascii="Times New Roman" w:hAnsi="Times New Roman"/>
                <w:sz w:val="16"/>
                <w:szCs w:val="16"/>
                <w:lang w:val="en-GB"/>
              </w:rPr>
              <w:t>. This Agreement may be terminated earlier:</w:t>
            </w:r>
          </w:p>
        </w:tc>
      </w:tr>
      <w:tr w:rsidR="005C5318" w:rsidRPr="00F23413" w14:paraId="0C96470A" w14:textId="77777777" w:rsidTr="005E418B">
        <w:trPr>
          <w:trHeight w:val="192"/>
        </w:trPr>
        <w:tc>
          <w:tcPr>
            <w:tcW w:w="5695" w:type="dxa"/>
            <w:gridSpan w:val="6"/>
            <w:shd w:val="clear" w:color="auto" w:fill="auto"/>
          </w:tcPr>
          <w:p w14:paraId="2B77B9B2" w14:textId="77777777" w:rsidR="005C5318" w:rsidRPr="00E16672" w:rsidRDefault="005C5318" w:rsidP="005C5318">
            <w:pPr>
              <w:snapToGrid w:val="0"/>
              <w:ind w:left="175" w:right="138" w:firstLine="7"/>
              <w:rPr>
                <w:rFonts w:ascii="Times New Roman" w:hAnsi="Times New Roman"/>
                <w:sz w:val="16"/>
                <w:szCs w:val="16"/>
              </w:rPr>
            </w:pPr>
            <w:r w:rsidRPr="00E16672">
              <w:rPr>
                <w:rFonts w:ascii="Times New Roman" w:hAnsi="Times New Roman"/>
                <w:sz w:val="16"/>
                <w:szCs w:val="16"/>
              </w:rPr>
              <w:t xml:space="preserve">6.3.1. Кожною </w:t>
            </w:r>
            <w:proofErr w:type="spellStart"/>
            <w:r w:rsidRPr="00E16672">
              <w:rPr>
                <w:rFonts w:ascii="Times New Roman" w:hAnsi="Times New Roman"/>
                <w:sz w:val="16"/>
                <w:szCs w:val="16"/>
              </w:rPr>
              <w:t>із</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Сторін</w:t>
            </w:r>
            <w:proofErr w:type="spellEnd"/>
            <w:r w:rsidRPr="00E16672">
              <w:rPr>
                <w:rFonts w:ascii="Times New Roman" w:hAnsi="Times New Roman"/>
                <w:sz w:val="16"/>
                <w:szCs w:val="16"/>
              </w:rPr>
              <w:t xml:space="preserve"> в </w:t>
            </w:r>
            <w:proofErr w:type="spellStart"/>
            <w:r w:rsidRPr="00E16672">
              <w:rPr>
                <w:rFonts w:ascii="Times New Roman" w:hAnsi="Times New Roman"/>
                <w:sz w:val="16"/>
                <w:szCs w:val="16"/>
              </w:rPr>
              <w:t>односторонньому</w:t>
            </w:r>
            <w:proofErr w:type="spellEnd"/>
            <w:r w:rsidRPr="00E16672">
              <w:rPr>
                <w:rFonts w:ascii="Times New Roman" w:hAnsi="Times New Roman"/>
                <w:sz w:val="16"/>
                <w:szCs w:val="16"/>
              </w:rPr>
              <w:t xml:space="preserve"> порядку. Про </w:t>
            </w:r>
            <w:proofErr w:type="spellStart"/>
            <w:r w:rsidRPr="00E16672">
              <w:rPr>
                <w:rFonts w:ascii="Times New Roman" w:hAnsi="Times New Roman"/>
                <w:sz w:val="16"/>
                <w:szCs w:val="16"/>
              </w:rPr>
              <w:t>дострокове</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розірвання</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цього</w:t>
            </w:r>
            <w:proofErr w:type="spellEnd"/>
            <w:r w:rsidRPr="00E16672">
              <w:rPr>
                <w:rFonts w:ascii="Times New Roman" w:hAnsi="Times New Roman"/>
                <w:sz w:val="16"/>
                <w:szCs w:val="16"/>
              </w:rPr>
              <w:t xml:space="preserve"> Договору в </w:t>
            </w:r>
            <w:proofErr w:type="spellStart"/>
            <w:r w:rsidRPr="00E16672">
              <w:rPr>
                <w:rFonts w:ascii="Times New Roman" w:hAnsi="Times New Roman"/>
                <w:sz w:val="16"/>
                <w:szCs w:val="16"/>
              </w:rPr>
              <w:t>односторонньому</w:t>
            </w:r>
            <w:proofErr w:type="spellEnd"/>
            <w:r w:rsidRPr="00E16672">
              <w:rPr>
                <w:rFonts w:ascii="Times New Roman" w:hAnsi="Times New Roman"/>
                <w:sz w:val="16"/>
                <w:szCs w:val="16"/>
              </w:rPr>
              <w:t xml:space="preserve"> порядку Сторона, яка </w:t>
            </w:r>
            <w:proofErr w:type="spellStart"/>
            <w:r w:rsidRPr="00E16672">
              <w:rPr>
                <w:rFonts w:ascii="Times New Roman" w:hAnsi="Times New Roman"/>
                <w:sz w:val="16"/>
                <w:szCs w:val="16"/>
              </w:rPr>
              <w:t>прийняла</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таке</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рішення</w:t>
            </w:r>
            <w:proofErr w:type="spellEnd"/>
            <w:r w:rsidRPr="00E16672">
              <w:rPr>
                <w:rFonts w:ascii="Times New Roman" w:hAnsi="Times New Roman"/>
                <w:sz w:val="16"/>
                <w:szCs w:val="16"/>
              </w:rPr>
              <w:t xml:space="preserve">, повинна </w:t>
            </w:r>
            <w:proofErr w:type="spellStart"/>
            <w:r w:rsidRPr="00E16672">
              <w:rPr>
                <w:rFonts w:ascii="Times New Roman" w:hAnsi="Times New Roman"/>
                <w:sz w:val="16"/>
                <w:szCs w:val="16"/>
              </w:rPr>
              <w:t>повідомити</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надіславши</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відповідне</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письмове</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повідомлення</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іншій</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Стороні</w:t>
            </w:r>
            <w:proofErr w:type="spellEnd"/>
            <w:r w:rsidRPr="00E16672">
              <w:rPr>
                <w:rFonts w:ascii="Times New Roman" w:hAnsi="Times New Roman"/>
                <w:sz w:val="16"/>
                <w:szCs w:val="16"/>
              </w:rPr>
              <w:t xml:space="preserve"> за </w:t>
            </w:r>
            <w:proofErr w:type="spellStart"/>
            <w:r w:rsidRPr="00E16672">
              <w:rPr>
                <w:rFonts w:ascii="Times New Roman" w:hAnsi="Times New Roman"/>
                <w:sz w:val="16"/>
                <w:szCs w:val="16"/>
              </w:rPr>
              <w:t>її</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місцезнаходженням</w:t>
            </w:r>
            <w:proofErr w:type="spellEnd"/>
            <w:r w:rsidRPr="00E16672">
              <w:rPr>
                <w:rFonts w:ascii="Times New Roman" w:hAnsi="Times New Roman"/>
                <w:sz w:val="16"/>
                <w:szCs w:val="16"/>
              </w:rPr>
              <w:t xml:space="preserve"> </w:t>
            </w:r>
            <w:proofErr w:type="spellStart"/>
            <w:r w:rsidRPr="00E16672">
              <w:rPr>
                <w:rFonts w:ascii="Times New Roman" w:hAnsi="Times New Roman"/>
                <w:i/>
                <w:sz w:val="16"/>
                <w:szCs w:val="16"/>
              </w:rPr>
              <w:t>менше</w:t>
            </w:r>
            <w:proofErr w:type="spellEnd"/>
            <w:r w:rsidRPr="00E16672">
              <w:rPr>
                <w:rFonts w:ascii="Times New Roman" w:hAnsi="Times New Roman"/>
                <w:i/>
                <w:sz w:val="16"/>
                <w:szCs w:val="16"/>
              </w:rPr>
              <w:t xml:space="preserve"> </w:t>
            </w:r>
            <w:proofErr w:type="spellStart"/>
            <w:r w:rsidRPr="00E16672">
              <w:rPr>
                <w:rFonts w:ascii="Times New Roman" w:hAnsi="Times New Roman"/>
                <w:i/>
                <w:sz w:val="16"/>
                <w:szCs w:val="16"/>
              </w:rPr>
              <w:t>ніж</w:t>
            </w:r>
            <w:proofErr w:type="spellEnd"/>
            <w:r w:rsidRPr="00E16672">
              <w:rPr>
                <w:rFonts w:ascii="Times New Roman" w:hAnsi="Times New Roman"/>
                <w:i/>
                <w:sz w:val="16"/>
                <w:szCs w:val="16"/>
              </w:rPr>
              <w:t xml:space="preserve"> за </w:t>
            </w:r>
            <w:proofErr w:type="spellStart"/>
            <w:r w:rsidRPr="00E16672">
              <w:rPr>
                <w:rFonts w:ascii="Times New Roman" w:hAnsi="Times New Roman"/>
                <w:i/>
                <w:sz w:val="16"/>
                <w:szCs w:val="16"/>
              </w:rPr>
              <w:t>тридцять</w:t>
            </w:r>
            <w:proofErr w:type="spellEnd"/>
            <w:r w:rsidRPr="00E16672">
              <w:rPr>
                <w:rFonts w:ascii="Times New Roman" w:hAnsi="Times New Roman"/>
                <w:i/>
                <w:sz w:val="16"/>
                <w:szCs w:val="16"/>
              </w:rPr>
              <w:t xml:space="preserve"> </w:t>
            </w:r>
            <w:proofErr w:type="spellStart"/>
            <w:r w:rsidRPr="00E16672">
              <w:rPr>
                <w:rFonts w:ascii="Times New Roman" w:hAnsi="Times New Roman"/>
                <w:i/>
                <w:sz w:val="16"/>
                <w:szCs w:val="16"/>
              </w:rPr>
              <w:t>календарних</w:t>
            </w:r>
            <w:proofErr w:type="spellEnd"/>
            <w:r w:rsidRPr="00E16672">
              <w:rPr>
                <w:rFonts w:ascii="Times New Roman" w:hAnsi="Times New Roman"/>
                <w:i/>
                <w:sz w:val="16"/>
                <w:szCs w:val="16"/>
              </w:rPr>
              <w:t xml:space="preserve"> </w:t>
            </w:r>
            <w:proofErr w:type="spellStart"/>
            <w:r w:rsidRPr="00E16672">
              <w:rPr>
                <w:rFonts w:ascii="Times New Roman" w:hAnsi="Times New Roman"/>
                <w:i/>
                <w:sz w:val="16"/>
                <w:szCs w:val="16"/>
              </w:rPr>
              <w:t>днів</w:t>
            </w:r>
            <w:proofErr w:type="spellEnd"/>
            <w:r w:rsidRPr="00E16672">
              <w:rPr>
                <w:rFonts w:ascii="Times New Roman" w:hAnsi="Times New Roman"/>
                <w:sz w:val="16"/>
                <w:szCs w:val="16"/>
              </w:rPr>
              <w:t xml:space="preserve"> до </w:t>
            </w:r>
            <w:proofErr w:type="spellStart"/>
            <w:r w:rsidRPr="00E16672">
              <w:rPr>
                <w:rFonts w:ascii="Times New Roman" w:hAnsi="Times New Roman"/>
                <w:sz w:val="16"/>
                <w:szCs w:val="16"/>
              </w:rPr>
              <w:t>дати</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припинення</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дії</w:t>
            </w:r>
            <w:proofErr w:type="spellEnd"/>
            <w:r w:rsidRPr="00E16672">
              <w:rPr>
                <w:rFonts w:ascii="Times New Roman" w:hAnsi="Times New Roman"/>
                <w:sz w:val="16"/>
                <w:szCs w:val="16"/>
              </w:rPr>
              <w:t xml:space="preserve"> Договору </w:t>
            </w:r>
            <w:proofErr w:type="spellStart"/>
            <w:r w:rsidRPr="00E16672">
              <w:rPr>
                <w:rFonts w:ascii="Times New Roman" w:hAnsi="Times New Roman"/>
                <w:sz w:val="16"/>
                <w:szCs w:val="16"/>
              </w:rPr>
              <w:t>внаслідок</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розірвання</w:t>
            </w:r>
            <w:proofErr w:type="spellEnd"/>
            <w:r w:rsidRPr="00E16672">
              <w:rPr>
                <w:rFonts w:ascii="Times New Roman" w:hAnsi="Times New Roman"/>
                <w:sz w:val="16"/>
                <w:szCs w:val="16"/>
              </w:rPr>
              <w:t xml:space="preserve">. </w:t>
            </w:r>
          </w:p>
          <w:p w14:paraId="2B1BB942" w14:textId="77777777" w:rsidR="005C5318" w:rsidRPr="00E16672" w:rsidRDefault="005C5318" w:rsidP="005C5318">
            <w:pPr>
              <w:snapToGrid w:val="0"/>
              <w:ind w:left="175" w:right="138" w:firstLine="7"/>
              <w:rPr>
                <w:rFonts w:ascii="Times New Roman" w:hAnsi="Times New Roman"/>
                <w:sz w:val="16"/>
                <w:szCs w:val="16"/>
              </w:rPr>
            </w:pPr>
            <w:proofErr w:type="spellStart"/>
            <w:r w:rsidRPr="00E16672">
              <w:rPr>
                <w:rFonts w:ascii="Times New Roman" w:hAnsi="Times New Roman"/>
                <w:sz w:val="16"/>
                <w:szCs w:val="16"/>
              </w:rPr>
              <w:t>Депозитарна</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установа</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надсилає</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вказане</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письмове</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повідомлення</w:t>
            </w:r>
            <w:proofErr w:type="spellEnd"/>
            <w:r w:rsidRPr="00E16672">
              <w:rPr>
                <w:rFonts w:ascii="Times New Roman" w:hAnsi="Times New Roman"/>
                <w:sz w:val="16"/>
                <w:szCs w:val="16"/>
              </w:rPr>
              <w:t xml:space="preserve"> про </w:t>
            </w:r>
            <w:proofErr w:type="spellStart"/>
            <w:r w:rsidRPr="00E16672">
              <w:rPr>
                <w:rFonts w:ascii="Times New Roman" w:hAnsi="Times New Roman"/>
                <w:sz w:val="16"/>
                <w:szCs w:val="16"/>
              </w:rPr>
              <w:t>розірвання</w:t>
            </w:r>
            <w:proofErr w:type="spellEnd"/>
            <w:r w:rsidRPr="00E16672">
              <w:rPr>
                <w:rFonts w:ascii="Times New Roman" w:hAnsi="Times New Roman"/>
                <w:sz w:val="16"/>
                <w:szCs w:val="16"/>
              </w:rPr>
              <w:t xml:space="preserve"> договору в </w:t>
            </w:r>
            <w:proofErr w:type="spellStart"/>
            <w:r w:rsidRPr="00E16672">
              <w:rPr>
                <w:rFonts w:ascii="Times New Roman" w:hAnsi="Times New Roman"/>
                <w:sz w:val="16"/>
                <w:szCs w:val="16"/>
              </w:rPr>
              <w:t>односторонньому</w:t>
            </w:r>
            <w:proofErr w:type="spellEnd"/>
            <w:r w:rsidRPr="00E16672">
              <w:rPr>
                <w:rFonts w:ascii="Times New Roman" w:hAnsi="Times New Roman"/>
                <w:sz w:val="16"/>
                <w:szCs w:val="16"/>
              </w:rPr>
              <w:t xml:space="preserve"> порядку за </w:t>
            </w:r>
            <w:proofErr w:type="spellStart"/>
            <w:r w:rsidRPr="00E16672">
              <w:rPr>
                <w:rFonts w:ascii="Times New Roman" w:hAnsi="Times New Roman"/>
                <w:sz w:val="16"/>
                <w:szCs w:val="16"/>
              </w:rPr>
              <w:t>місцем</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проживання</w:t>
            </w:r>
            <w:proofErr w:type="spellEnd"/>
            <w:r w:rsidRPr="00E16672">
              <w:rPr>
                <w:rFonts w:ascii="Times New Roman" w:hAnsi="Times New Roman"/>
                <w:sz w:val="16"/>
                <w:szCs w:val="16"/>
              </w:rPr>
              <w:t xml:space="preserve"> Депонента, </w:t>
            </w:r>
            <w:proofErr w:type="spellStart"/>
            <w:r w:rsidRPr="00E16672">
              <w:rPr>
                <w:rFonts w:ascii="Times New Roman" w:hAnsi="Times New Roman"/>
                <w:sz w:val="16"/>
                <w:szCs w:val="16"/>
              </w:rPr>
              <w:t>що</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зазначене</w:t>
            </w:r>
            <w:proofErr w:type="spellEnd"/>
            <w:r w:rsidRPr="00E16672">
              <w:rPr>
                <w:rFonts w:ascii="Times New Roman" w:hAnsi="Times New Roman"/>
                <w:sz w:val="16"/>
                <w:szCs w:val="16"/>
              </w:rPr>
              <w:t xml:space="preserve"> в </w:t>
            </w:r>
            <w:proofErr w:type="spellStart"/>
            <w:r w:rsidRPr="00E16672">
              <w:rPr>
                <w:rFonts w:ascii="Times New Roman" w:hAnsi="Times New Roman"/>
                <w:sz w:val="16"/>
                <w:szCs w:val="16"/>
              </w:rPr>
              <w:t>анкеті</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рахунку</w:t>
            </w:r>
            <w:proofErr w:type="spellEnd"/>
            <w:r w:rsidRPr="00E16672">
              <w:rPr>
                <w:rFonts w:ascii="Times New Roman" w:hAnsi="Times New Roman"/>
                <w:sz w:val="16"/>
                <w:szCs w:val="16"/>
              </w:rPr>
              <w:t xml:space="preserve"> в </w:t>
            </w:r>
            <w:proofErr w:type="spellStart"/>
            <w:r w:rsidRPr="00E16672">
              <w:rPr>
                <w:rFonts w:ascii="Times New Roman" w:hAnsi="Times New Roman"/>
                <w:sz w:val="16"/>
                <w:szCs w:val="16"/>
              </w:rPr>
              <w:t>цінних</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паперах</w:t>
            </w:r>
            <w:proofErr w:type="spellEnd"/>
            <w:r w:rsidRPr="00E16672">
              <w:rPr>
                <w:rFonts w:ascii="Times New Roman" w:hAnsi="Times New Roman"/>
                <w:sz w:val="16"/>
                <w:szCs w:val="16"/>
              </w:rPr>
              <w:t>.</w:t>
            </w:r>
          </w:p>
        </w:tc>
        <w:tc>
          <w:tcPr>
            <w:tcW w:w="5495" w:type="dxa"/>
            <w:gridSpan w:val="6"/>
            <w:shd w:val="clear" w:color="auto" w:fill="auto"/>
          </w:tcPr>
          <w:p w14:paraId="619ED96A" w14:textId="77777777" w:rsidR="005C5318" w:rsidRPr="00E16672" w:rsidRDefault="005C5318" w:rsidP="005C5318">
            <w:pPr>
              <w:tabs>
                <w:tab w:val="left" w:pos="107"/>
                <w:tab w:val="left" w:pos="287"/>
                <w:tab w:val="left" w:pos="390"/>
              </w:tabs>
              <w:snapToGrid w:val="0"/>
              <w:ind w:left="175" w:right="100" w:firstLine="7"/>
              <w:rPr>
                <w:rFonts w:ascii="Times New Roman" w:hAnsi="Times New Roman"/>
                <w:sz w:val="16"/>
                <w:szCs w:val="16"/>
                <w:lang w:val="en-US"/>
              </w:rPr>
            </w:pPr>
            <w:r w:rsidRPr="00E16672">
              <w:rPr>
                <w:rFonts w:ascii="Times New Roman" w:hAnsi="Times New Roman"/>
                <w:sz w:val="16"/>
                <w:szCs w:val="16"/>
                <w:lang w:val="en-GB"/>
              </w:rPr>
              <w:t>6.</w:t>
            </w:r>
            <w:r w:rsidRPr="00E16672">
              <w:rPr>
                <w:rFonts w:ascii="Times New Roman" w:hAnsi="Times New Roman"/>
                <w:sz w:val="16"/>
                <w:szCs w:val="16"/>
                <w:lang w:val="en-US"/>
              </w:rPr>
              <w:t>3</w:t>
            </w:r>
            <w:r w:rsidRPr="00E16672">
              <w:rPr>
                <w:rFonts w:ascii="Times New Roman" w:hAnsi="Times New Roman"/>
                <w:sz w:val="16"/>
                <w:szCs w:val="16"/>
                <w:lang w:val="en-GB"/>
              </w:rPr>
              <w:t xml:space="preserve">.1. Each Party shall unilaterally. On early termination of this Agreement unilaterally Party which took the decision, shall notify the sending written notification to the other Party by its location </w:t>
            </w:r>
            <w:r w:rsidRPr="00E16672">
              <w:rPr>
                <w:rFonts w:ascii="Times New Roman" w:hAnsi="Times New Roman"/>
                <w:i/>
                <w:sz w:val="16"/>
                <w:szCs w:val="16"/>
                <w:lang w:val="en-GB"/>
              </w:rPr>
              <w:t>less than thirty calendar days</w:t>
            </w:r>
            <w:r w:rsidRPr="00E16672">
              <w:rPr>
                <w:rFonts w:ascii="Times New Roman" w:hAnsi="Times New Roman"/>
                <w:sz w:val="16"/>
                <w:szCs w:val="16"/>
                <w:lang w:val="en-GB"/>
              </w:rPr>
              <w:t xml:space="preserve"> before the date of </w:t>
            </w:r>
            <w:proofErr w:type="spellStart"/>
            <w:r w:rsidRPr="00E16672">
              <w:rPr>
                <w:rFonts w:ascii="Times New Roman" w:hAnsi="Times New Roman"/>
                <w:sz w:val="16"/>
                <w:szCs w:val="16"/>
                <w:lang w:val="en-GB"/>
              </w:rPr>
              <w:t>of</w:t>
            </w:r>
            <w:proofErr w:type="spellEnd"/>
            <w:r w:rsidRPr="00E16672">
              <w:rPr>
                <w:rFonts w:ascii="Times New Roman" w:hAnsi="Times New Roman"/>
                <w:sz w:val="16"/>
                <w:szCs w:val="16"/>
                <w:lang w:val="en-GB"/>
              </w:rPr>
              <w:t xml:space="preserve"> Agreement cancellation as a result dissolution.</w:t>
            </w:r>
            <w:r w:rsidRPr="00E16672">
              <w:rPr>
                <w:rFonts w:ascii="Times New Roman" w:hAnsi="Times New Roman"/>
                <w:sz w:val="16"/>
                <w:szCs w:val="16"/>
                <w:lang w:val="en-GB"/>
              </w:rPr>
              <w:br/>
            </w:r>
            <w:r w:rsidRPr="00E16672">
              <w:rPr>
                <w:rFonts w:ascii="Times New Roman" w:hAnsi="Times New Roman"/>
                <w:sz w:val="16"/>
                <w:szCs w:val="16"/>
                <w:lang w:val="en-US"/>
              </w:rPr>
              <w:t xml:space="preserve">          </w:t>
            </w:r>
          </w:p>
          <w:p w14:paraId="26079971" w14:textId="77777777" w:rsidR="005C5318" w:rsidRPr="00E16672" w:rsidRDefault="005C5318" w:rsidP="005C5318">
            <w:pPr>
              <w:tabs>
                <w:tab w:val="left" w:pos="107"/>
                <w:tab w:val="left" w:pos="287"/>
                <w:tab w:val="left" w:pos="390"/>
              </w:tabs>
              <w:snapToGrid w:val="0"/>
              <w:ind w:left="175" w:right="100" w:firstLine="7"/>
              <w:rPr>
                <w:rFonts w:ascii="Times New Roman" w:hAnsi="Times New Roman"/>
                <w:sz w:val="16"/>
                <w:szCs w:val="16"/>
                <w:lang w:val="en-GB"/>
              </w:rPr>
            </w:pPr>
            <w:r w:rsidRPr="00E16672">
              <w:rPr>
                <w:rFonts w:ascii="Times New Roman" w:hAnsi="Times New Roman"/>
                <w:sz w:val="16"/>
                <w:szCs w:val="16"/>
                <w:lang w:val="en-GB"/>
              </w:rPr>
              <w:t xml:space="preserve">Depository institution sends the specified written notice of cancellation of the </w:t>
            </w:r>
            <w:r w:rsidRPr="00E16672">
              <w:rPr>
                <w:rFonts w:ascii="Times New Roman" w:hAnsi="Times New Roman"/>
                <w:sz w:val="16"/>
                <w:szCs w:val="16"/>
                <w:lang w:val="en-US"/>
              </w:rPr>
              <w:t>Agreement</w:t>
            </w:r>
            <w:r w:rsidRPr="00E16672">
              <w:rPr>
                <w:rFonts w:ascii="Times New Roman" w:hAnsi="Times New Roman"/>
                <w:sz w:val="16"/>
                <w:szCs w:val="16"/>
                <w:lang w:val="en-GB"/>
              </w:rPr>
              <w:t xml:space="preserve"> unilaterally at the place of residence of Depositor that indicated in the form of </w:t>
            </w:r>
            <w:r w:rsidRPr="00E16672">
              <w:rPr>
                <w:rFonts w:ascii="Times New Roman" w:hAnsi="Times New Roman"/>
                <w:sz w:val="16"/>
                <w:szCs w:val="16"/>
                <w:lang w:val="en-US"/>
              </w:rPr>
              <w:t xml:space="preserve">the </w:t>
            </w:r>
            <w:r w:rsidRPr="00E16672">
              <w:rPr>
                <w:rFonts w:ascii="Times New Roman" w:hAnsi="Times New Roman"/>
                <w:sz w:val="16"/>
                <w:szCs w:val="16"/>
                <w:lang w:val="en-GB"/>
              </w:rPr>
              <w:t xml:space="preserve">account </w:t>
            </w:r>
            <w:r w:rsidRPr="00E16672">
              <w:rPr>
                <w:rFonts w:ascii="Times New Roman" w:hAnsi="Times New Roman"/>
                <w:sz w:val="16"/>
                <w:szCs w:val="16"/>
                <w:lang w:val="en-US"/>
              </w:rPr>
              <w:t>in</w:t>
            </w:r>
            <w:r w:rsidRPr="00E16672">
              <w:rPr>
                <w:rFonts w:ascii="Times New Roman" w:hAnsi="Times New Roman"/>
                <w:sz w:val="16"/>
                <w:szCs w:val="16"/>
                <w:lang w:val="en-GB"/>
              </w:rPr>
              <w:t xml:space="preserve"> securities.</w:t>
            </w:r>
          </w:p>
        </w:tc>
      </w:tr>
      <w:tr w:rsidR="005C5318" w:rsidRPr="00F23413" w14:paraId="0FBD1A4C" w14:textId="77777777" w:rsidTr="005E418B">
        <w:trPr>
          <w:trHeight w:val="192"/>
        </w:trPr>
        <w:tc>
          <w:tcPr>
            <w:tcW w:w="5695" w:type="dxa"/>
            <w:gridSpan w:val="6"/>
            <w:shd w:val="clear" w:color="auto" w:fill="auto"/>
          </w:tcPr>
          <w:p w14:paraId="7C300CF1" w14:textId="77777777" w:rsidR="005C5318" w:rsidRPr="00E16672" w:rsidRDefault="005C5318" w:rsidP="005C5318">
            <w:pPr>
              <w:snapToGrid w:val="0"/>
              <w:ind w:left="175" w:right="138" w:firstLine="7"/>
              <w:rPr>
                <w:rFonts w:ascii="Times New Roman" w:hAnsi="Times New Roman"/>
                <w:sz w:val="16"/>
                <w:szCs w:val="16"/>
              </w:rPr>
            </w:pPr>
            <w:r w:rsidRPr="00E16672">
              <w:rPr>
                <w:rFonts w:ascii="Times New Roman" w:hAnsi="Times New Roman"/>
                <w:sz w:val="16"/>
                <w:szCs w:val="16"/>
                <w:lang w:val="en-US"/>
              </w:rPr>
              <w:t xml:space="preserve"> </w:t>
            </w:r>
            <w:r w:rsidRPr="00E16672">
              <w:rPr>
                <w:rFonts w:ascii="Times New Roman" w:hAnsi="Times New Roman"/>
                <w:sz w:val="16"/>
                <w:szCs w:val="16"/>
              </w:rPr>
              <w:t>6.</w:t>
            </w:r>
            <w:r w:rsidRPr="00E16672">
              <w:rPr>
                <w:rFonts w:ascii="Times New Roman" w:hAnsi="Times New Roman"/>
                <w:sz w:val="16"/>
                <w:szCs w:val="16"/>
                <w:lang w:val="en-US"/>
              </w:rPr>
              <w:t>3</w:t>
            </w:r>
            <w:r w:rsidRPr="00E16672">
              <w:rPr>
                <w:rFonts w:ascii="Times New Roman" w:hAnsi="Times New Roman"/>
                <w:sz w:val="16"/>
                <w:szCs w:val="16"/>
              </w:rPr>
              <w:t xml:space="preserve">.2. За </w:t>
            </w:r>
            <w:proofErr w:type="spellStart"/>
            <w:r w:rsidRPr="00E16672">
              <w:rPr>
                <w:rFonts w:ascii="Times New Roman" w:hAnsi="Times New Roman"/>
                <w:sz w:val="16"/>
                <w:szCs w:val="16"/>
              </w:rPr>
              <w:t>згодою</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Сторін</w:t>
            </w:r>
            <w:proofErr w:type="spellEnd"/>
            <w:r w:rsidRPr="00E16672">
              <w:rPr>
                <w:rFonts w:ascii="Times New Roman" w:hAnsi="Times New Roman"/>
                <w:sz w:val="16"/>
                <w:szCs w:val="16"/>
              </w:rPr>
              <w:t>.</w:t>
            </w:r>
          </w:p>
          <w:p w14:paraId="5A6D703C" w14:textId="77777777" w:rsidR="005C5318" w:rsidRPr="00E16672" w:rsidRDefault="005C5318" w:rsidP="005C5318">
            <w:pPr>
              <w:snapToGrid w:val="0"/>
              <w:ind w:left="175" w:right="138" w:firstLine="7"/>
              <w:rPr>
                <w:rFonts w:ascii="Times New Roman" w:hAnsi="Times New Roman"/>
                <w:sz w:val="16"/>
                <w:szCs w:val="16"/>
              </w:rPr>
            </w:pPr>
          </w:p>
        </w:tc>
        <w:tc>
          <w:tcPr>
            <w:tcW w:w="5495" w:type="dxa"/>
            <w:gridSpan w:val="6"/>
            <w:shd w:val="clear" w:color="auto" w:fill="auto"/>
          </w:tcPr>
          <w:p w14:paraId="3377A336" w14:textId="77777777" w:rsidR="005C5318" w:rsidRPr="00E16672" w:rsidRDefault="005C5318" w:rsidP="005C5318">
            <w:pPr>
              <w:tabs>
                <w:tab w:val="left" w:pos="287"/>
                <w:tab w:val="left" w:pos="536"/>
                <w:tab w:val="left" w:pos="819"/>
              </w:tabs>
              <w:autoSpaceDE w:val="0"/>
              <w:snapToGrid w:val="0"/>
              <w:ind w:left="175" w:right="100" w:firstLine="7"/>
              <w:rPr>
                <w:rFonts w:ascii="Times New Roman" w:hAnsi="Times New Roman"/>
                <w:sz w:val="16"/>
                <w:szCs w:val="16"/>
                <w:lang w:val="en-GB"/>
              </w:rPr>
            </w:pPr>
            <w:r w:rsidRPr="00E16672">
              <w:rPr>
                <w:rFonts w:ascii="Times New Roman" w:hAnsi="Times New Roman"/>
                <w:sz w:val="16"/>
                <w:szCs w:val="16"/>
                <w:lang w:val="en-GB"/>
              </w:rPr>
              <w:t>6.</w:t>
            </w:r>
            <w:r w:rsidRPr="00E16672">
              <w:rPr>
                <w:rFonts w:ascii="Times New Roman" w:hAnsi="Times New Roman"/>
                <w:sz w:val="16"/>
                <w:szCs w:val="16"/>
                <w:lang w:val="en-US"/>
              </w:rPr>
              <w:t>3</w:t>
            </w:r>
            <w:r w:rsidRPr="00E16672">
              <w:rPr>
                <w:rFonts w:ascii="Times New Roman" w:hAnsi="Times New Roman"/>
                <w:sz w:val="16"/>
                <w:szCs w:val="16"/>
                <w:lang w:val="en-GB"/>
              </w:rPr>
              <w:t>.2. With the consent the Parties.</w:t>
            </w:r>
          </w:p>
        </w:tc>
      </w:tr>
      <w:tr w:rsidR="005C5318" w:rsidRPr="00F23413" w14:paraId="716A6879" w14:textId="77777777" w:rsidTr="005E418B">
        <w:trPr>
          <w:trHeight w:val="192"/>
        </w:trPr>
        <w:tc>
          <w:tcPr>
            <w:tcW w:w="5695" w:type="dxa"/>
            <w:gridSpan w:val="6"/>
            <w:shd w:val="clear" w:color="auto" w:fill="auto"/>
          </w:tcPr>
          <w:p w14:paraId="64A69A9E" w14:textId="77777777" w:rsidR="005C5318" w:rsidRPr="00E16672" w:rsidRDefault="005C5318" w:rsidP="005C5318">
            <w:pPr>
              <w:snapToGrid w:val="0"/>
              <w:ind w:left="175" w:right="138" w:firstLine="7"/>
              <w:rPr>
                <w:rFonts w:ascii="Times New Roman" w:hAnsi="Times New Roman"/>
                <w:sz w:val="16"/>
                <w:szCs w:val="16"/>
              </w:rPr>
            </w:pPr>
            <w:r w:rsidRPr="00E16672">
              <w:rPr>
                <w:rFonts w:ascii="Times New Roman" w:hAnsi="Times New Roman"/>
                <w:sz w:val="16"/>
                <w:szCs w:val="16"/>
                <w:lang w:val="en-US"/>
              </w:rPr>
              <w:t xml:space="preserve"> </w:t>
            </w:r>
            <w:r w:rsidRPr="00E16672">
              <w:rPr>
                <w:rFonts w:ascii="Times New Roman" w:hAnsi="Times New Roman"/>
                <w:sz w:val="16"/>
                <w:szCs w:val="16"/>
              </w:rPr>
              <w:t>6.</w:t>
            </w:r>
            <w:r w:rsidRPr="00E16672">
              <w:rPr>
                <w:rFonts w:ascii="Times New Roman" w:hAnsi="Times New Roman"/>
                <w:sz w:val="16"/>
                <w:szCs w:val="16"/>
                <w:lang w:val="en-US"/>
              </w:rPr>
              <w:t>3</w:t>
            </w:r>
            <w:r w:rsidRPr="00E16672">
              <w:rPr>
                <w:rFonts w:ascii="Times New Roman" w:hAnsi="Times New Roman"/>
                <w:sz w:val="16"/>
                <w:szCs w:val="16"/>
              </w:rPr>
              <w:t xml:space="preserve">.3. За </w:t>
            </w:r>
            <w:proofErr w:type="spellStart"/>
            <w:r w:rsidRPr="00E16672">
              <w:rPr>
                <w:rFonts w:ascii="Times New Roman" w:hAnsi="Times New Roman"/>
                <w:sz w:val="16"/>
                <w:szCs w:val="16"/>
              </w:rPr>
              <w:t>відповідним</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рішенням</w:t>
            </w:r>
            <w:proofErr w:type="spellEnd"/>
            <w:r w:rsidRPr="00E16672">
              <w:rPr>
                <w:rFonts w:ascii="Times New Roman" w:hAnsi="Times New Roman"/>
                <w:sz w:val="16"/>
                <w:szCs w:val="16"/>
              </w:rPr>
              <w:t xml:space="preserve"> суду.</w:t>
            </w:r>
          </w:p>
          <w:p w14:paraId="66868466" w14:textId="77777777" w:rsidR="005C5318" w:rsidRPr="00E16672" w:rsidRDefault="005C5318" w:rsidP="005C5318">
            <w:pPr>
              <w:snapToGrid w:val="0"/>
              <w:ind w:left="175" w:right="138" w:firstLine="7"/>
              <w:rPr>
                <w:rFonts w:ascii="Times New Roman" w:hAnsi="Times New Roman"/>
                <w:sz w:val="10"/>
                <w:szCs w:val="10"/>
              </w:rPr>
            </w:pPr>
          </w:p>
        </w:tc>
        <w:tc>
          <w:tcPr>
            <w:tcW w:w="5495" w:type="dxa"/>
            <w:gridSpan w:val="6"/>
            <w:shd w:val="clear" w:color="auto" w:fill="auto"/>
          </w:tcPr>
          <w:p w14:paraId="51923790" w14:textId="77777777" w:rsidR="005C5318" w:rsidRPr="00E16672" w:rsidRDefault="005C5318" w:rsidP="005C5318">
            <w:pPr>
              <w:tabs>
                <w:tab w:val="left" w:pos="107"/>
                <w:tab w:val="left" w:pos="287"/>
                <w:tab w:val="left" w:pos="390"/>
              </w:tabs>
              <w:snapToGrid w:val="0"/>
              <w:ind w:left="175" w:right="100" w:firstLine="7"/>
              <w:rPr>
                <w:rFonts w:ascii="Times New Roman" w:hAnsi="Times New Roman"/>
                <w:sz w:val="16"/>
                <w:szCs w:val="16"/>
                <w:lang w:val="en-GB"/>
              </w:rPr>
            </w:pPr>
            <w:r w:rsidRPr="00E16672">
              <w:rPr>
                <w:rFonts w:ascii="Times New Roman" w:hAnsi="Times New Roman"/>
                <w:sz w:val="16"/>
                <w:szCs w:val="16"/>
                <w:lang w:val="en-GB"/>
              </w:rPr>
              <w:t>6.</w:t>
            </w:r>
            <w:r w:rsidRPr="00E16672">
              <w:rPr>
                <w:rFonts w:ascii="Times New Roman" w:hAnsi="Times New Roman"/>
                <w:sz w:val="16"/>
                <w:szCs w:val="16"/>
                <w:lang w:val="en-US"/>
              </w:rPr>
              <w:t>3</w:t>
            </w:r>
            <w:r w:rsidRPr="00E16672">
              <w:rPr>
                <w:rFonts w:ascii="Times New Roman" w:hAnsi="Times New Roman"/>
                <w:sz w:val="16"/>
                <w:szCs w:val="16"/>
                <w:lang w:val="en-GB"/>
              </w:rPr>
              <w:t>.3. According to the relevant decision of the court.</w:t>
            </w:r>
          </w:p>
        </w:tc>
      </w:tr>
      <w:tr w:rsidR="005C5318" w:rsidRPr="00F23413" w14:paraId="1B81B01C" w14:textId="77777777" w:rsidTr="005E418B">
        <w:trPr>
          <w:trHeight w:val="637"/>
        </w:trPr>
        <w:tc>
          <w:tcPr>
            <w:tcW w:w="5695" w:type="dxa"/>
            <w:gridSpan w:val="6"/>
            <w:shd w:val="clear" w:color="auto" w:fill="auto"/>
          </w:tcPr>
          <w:p w14:paraId="1A36F002" w14:textId="77777777" w:rsidR="005C5318" w:rsidRPr="00E16672" w:rsidRDefault="005C5318" w:rsidP="005C5318">
            <w:pPr>
              <w:snapToGrid w:val="0"/>
              <w:ind w:left="175" w:right="138" w:firstLine="7"/>
              <w:rPr>
                <w:rFonts w:ascii="Times New Roman" w:hAnsi="Times New Roman"/>
                <w:sz w:val="16"/>
                <w:szCs w:val="16"/>
              </w:rPr>
            </w:pPr>
            <w:r w:rsidRPr="00E16672">
              <w:rPr>
                <w:rFonts w:ascii="Times New Roman" w:hAnsi="Times New Roman"/>
                <w:sz w:val="16"/>
                <w:szCs w:val="16"/>
              </w:rPr>
              <w:t xml:space="preserve">6.4. </w:t>
            </w:r>
            <w:proofErr w:type="spellStart"/>
            <w:r w:rsidRPr="00E16672">
              <w:rPr>
                <w:rFonts w:ascii="Times New Roman" w:hAnsi="Times New Roman"/>
                <w:sz w:val="16"/>
                <w:szCs w:val="16"/>
              </w:rPr>
              <w:t>Договір</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може</w:t>
            </w:r>
            <w:proofErr w:type="spellEnd"/>
            <w:r w:rsidRPr="00E16672">
              <w:rPr>
                <w:rFonts w:ascii="Times New Roman" w:hAnsi="Times New Roman"/>
                <w:sz w:val="16"/>
                <w:szCs w:val="16"/>
              </w:rPr>
              <w:t xml:space="preserve"> бути </w:t>
            </w:r>
            <w:proofErr w:type="spellStart"/>
            <w:r w:rsidRPr="00E16672">
              <w:rPr>
                <w:rFonts w:ascii="Times New Roman" w:hAnsi="Times New Roman"/>
                <w:sz w:val="16"/>
                <w:szCs w:val="16"/>
              </w:rPr>
              <w:t>розірваний</w:t>
            </w:r>
            <w:proofErr w:type="spellEnd"/>
            <w:r w:rsidRPr="00E16672">
              <w:rPr>
                <w:rFonts w:ascii="Times New Roman" w:hAnsi="Times New Roman"/>
                <w:sz w:val="16"/>
                <w:szCs w:val="16"/>
              </w:rPr>
              <w:t xml:space="preserve"> за </w:t>
            </w:r>
            <w:proofErr w:type="spellStart"/>
            <w:r w:rsidRPr="00E16672">
              <w:rPr>
                <w:rFonts w:ascii="Times New Roman" w:hAnsi="Times New Roman"/>
                <w:sz w:val="16"/>
                <w:szCs w:val="16"/>
              </w:rPr>
              <w:t>умови</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відсутності</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цінних</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паперів</w:t>
            </w:r>
            <w:proofErr w:type="spellEnd"/>
            <w:r w:rsidRPr="00E16672">
              <w:rPr>
                <w:rFonts w:ascii="Times New Roman" w:hAnsi="Times New Roman"/>
                <w:sz w:val="16"/>
                <w:szCs w:val="16"/>
              </w:rPr>
              <w:t xml:space="preserve">, прав на </w:t>
            </w:r>
            <w:proofErr w:type="spellStart"/>
            <w:r w:rsidRPr="00E16672">
              <w:rPr>
                <w:rFonts w:ascii="Times New Roman" w:hAnsi="Times New Roman"/>
                <w:sz w:val="16"/>
                <w:szCs w:val="16"/>
              </w:rPr>
              <w:t>цінні</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папери</w:t>
            </w:r>
            <w:proofErr w:type="spellEnd"/>
            <w:r w:rsidRPr="00E16672">
              <w:rPr>
                <w:rFonts w:ascii="Times New Roman" w:hAnsi="Times New Roman"/>
                <w:sz w:val="16"/>
                <w:szCs w:val="16"/>
              </w:rPr>
              <w:t xml:space="preserve"> на </w:t>
            </w:r>
            <w:proofErr w:type="spellStart"/>
            <w:r w:rsidRPr="00E16672">
              <w:rPr>
                <w:rFonts w:ascii="Times New Roman" w:hAnsi="Times New Roman"/>
                <w:sz w:val="16"/>
                <w:szCs w:val="16"/>
              </w:rPr>
              <w:t>рахунку</w:t>
            </w:r>
            <w:proofErr w:type="spellEnd"/>
            <w:r w:rsidRPr="00E16672">
              <w:rPr>
                <w:rFonts w:ascii="Times New Roman" w:hAnsi="Times New Roman"/>
                <w:sz w:val="16"/>
                <w:szCs w:val="16"/>
              </w:rPr>
              <w:t xml:space="preserve"> </w:t>
            </w:r>
            <w:r w:rsidR="00C22309" w:rsidRPr="00E16672">
              <w:rPr>
                <w:rFonts w:ascii="Times New Roman" w:hAnsi="Times New Roman"/>
                <w:sz w:val="16"/>
                <w:szCs w:val="16"/>
              </w:rPr>
              <w:t xml:space="preserve">в </w:t>
            </w:r>
            <w:proofErr w:type="spellStart"/>
            <w:r w:rsidR="00C22309" w:rsidRPr="00E16672">
              <w:rPr>
                <w:rFonts w:ascii="Times New Roman" w:hAnsi="Times New Roman"/>
                <w:sz w:val="16"/>
                <w:szCs w:val="16"/>
              </w:rPr>
              <w:t>цін</w:t>
            </w:r>
            <w:r w:rsidRPr="00E16672">
              <w:rPr>
                <w:rFonts w:ascii="Times New Roman" w:hAnsi="Times New Roman"/>
                <w:sz w:val="16"/>
                <w:szCs w:val="16"/>
              </w:rPr>
              <w:t>них</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паперах</w:t>
            </w:r>
            <w:proofErr w:type="spellEnd"/>
            <w:r w:rsidRPr="00E16672">
              <w:rPr>
                <w:rFonts w:ascii="Times New Roman" w:hAnsi="Times New Roman"/>
                <w:sz w:val="16"/>
                <w:szCs w:val="16"/>
              </w:rPr>
              <w:t xml:space="preserve"> Депонента.</w:t>
            </w:r>
          </w:p>
          <w:p w14:paraId="48A22E8E" w14:textId="77777777" w:rsidR="005C5318" w:rsidRPr="00E16672" w:rsidRDefault="005C5318" w:rsidP="005C5318">
            <w:pPr>
              <w:ind w:left="175" w:right="138" w:firstLine="7"/>
              <w:rPr>
                <w:rFonts w:ascii="Times New Roman" w:hAnsi="Times New Roman"/>
                <w:sz w:val="16"/>
                <w:szCs w:val="16"/>
              </w:rPr>
            </w:pPr>
          </w:p>
        </w:tc>
        <w:tc>
          <w:tcPr>
            <w:tcW w:w="5495" w:type="dxa"/>
            <w:gridSpan w:val="6"/>
            <w:shd w:val="clear" w:color="auto" w:fill="auto"/>
          </w:tcPr>
          <w:p w14:paraId="10E0CF69" w14:textId="77777777" w:rsidR="005C5318" w:rsidRPr="00E16672" w:rsidRDefault="005C5318" w:rsidP="005C5318">
            <w:pPr>
              <w:tabs>
                <w:tab w:val="left" w:pos="287"/>
              </w:tabs>
              <w:snapToGrid w:val="0"/>
              <w:ind w:left="175" w:right="100" w:firstLine="7"/>
              <w:rPr>
                <w:rFonts w:ascii="Times New Roman" w:hAnsi="Times New Roman"/>
                <w:lang w:val="en-US"/>
              </w:rPr>
            </w:pPr>
            <w:r w:rsidRPr="00E16672">
              <w:rPr>
                <w:rFonts w:ascii="Times New Roman" w:hAnsi="Times New Roman"/>
                <w:sz w:val="16"/>
                <w:szCs w:val="16"/>
                <w:lang w:val="en-GB"/>
              </w:rPr>
              <w:t>6.</w:t>
            </w:r>
            <w:r w:rsidRPr="00E16672">
              <w:rPr>
                <w:rFonts w:ascii="Times New Roman" w:hAnsi="Times New Roman"/>
                <w:sz w:val="16"/>
                <w:szCs w:val="16"/>
                <w:lang w:val="en-US"/>
              </w:rPr>
              <w:t>4</w:t>
            </w:r>
            <w:r w:rsidRPr="00E16672">
              <w:rPr>
                <w:rFonts w:ascii="Times New Roman" w:hAnsi="Times New Roman"/>
                <w:sz w:val="16"/>
                <w:szCs w:val="16"/>
                <w:lang w:val="en-GB"/>
              </w:rPr>
              <w:t xml:space="preserve">. Agreement can be </w:t>
            </w:r>
            <w:proofErr w:type="spellStart"/>
            <w:r w:rsidRPr="00E16672">
              <w:rPr>
                <w:rFonts w:ascii="Times New Roman" w:hAnsi="Times New Roman"/>
                <w:sz w:val="16"/>
                <w:szCs w:val="16"/>
                <w:lang w:val="en-GB"/>
              </w:rPr>
              <w:t>canceled</w:t>
            </w:r>
            <w:proofErr w:type="spellEnd"/>
            <w:r w:rsidRPr="00E16672">
              <w:rPr>
                <w:rFonts w:ascii="Times New Roman" w:hAnsi="Times New Roman"/>
                <w:sz w:val="16"/>
                <w:szCs w:val="16"/>
                <w:lang w:val="en-GB"/>
              </w:rPr>
              <w:t xml:space="preserve"> in the absence of </w:t>
            </w:r>
            <w:proofErr w:type="gramStart"/>
            <w:r w:rsidRPr="00E16672">
              <w:rPr>
                <w:rFonts w:ascii="Times New Roman" w:hAnsi="Times New Roman"/>
                <w:sz w:val="16"/>
                <w:szCs w:val="16"/>
                <w:lang w:val="en-GB"/>
              </w:rPr>
              <w:t>securities,  rights</w:t>
            </w:r>
            <w:proofErr w:type="gramEnd"/>
            <w:r w:rsidRPr="00E16672">
              <w:rPr>
                <w:rFonts w:ascii="Times New Roman" w:hAnsi="Times New Roman"/>
                <w:sz w:val="16"/>
                <w:szCs w:val="16"/>
                <w:lang w:val="en-GB"/>
              </w:rPr>
              <w:t xml:space="preserve"> on securities at the Depositor’s account in securities.</w:t>
            </w:r>
          </w:p>
        </w:tc>
      </w:tr>
      <w:tr w:rsidR="005C5318" w:rsidRPr="00F23413" w14:paraId="720F79EC" w14:textId="77777777" w:rsidTr="005E418B">
        <w:trPr>
          <w:trHeight w:val="637"/>
        </w:trPr>
        <w:tc>
          <w:tcPr>
            <w:tcW w:w="5695" w:type="dxa"/>
            <w:gridSpan w:val="6"/>
            <w:shd w:val="clear" w:color="auto" w:fill="auto"/>
          </w:tcPr>
          <w:p w14:paraId="594DE827" w14:textId="77777777" w:rsidR="005C5318" w:rsidRPr="00E16672" w:rsidRDefault="005C5318" w:rsidP="005C5318">
            <w:pPr>
              <w:ind w:left="175" w:right="138" w:firstLine="7"/>
              <w:rPr>
                <w:rFonts w:ascii="Times New Roman" w:hAnsi="Times New Roman"/>
                <w:color w:val="000000"/>
                <w:sz w:val="16"/>
                <w:szCs w:val="16"/>
              </w:rPr>
            </w:pPr>
            <w:r w:rsidRPr="00E16672">
              <w:rPr>
                <w:rFonts w:ascii="Times New Roman" w:hAnsi="Times New Roman"/>
                <w:color w:val="000000"/>
                <w:sz w:val="16"/>
                <w:szCs w:val="16"/>
              </w:rPr>
              <w:t>6.</w:t>
            </w:r>
            <w:r w:rsidRPr="00E16672">
              <w:rPr>
                <w:rFonts w:ascii="Times New Roman" w:hAnsi="Times New Roman"/>
                <w:color w:val="000000"/>
                <w:sz w:val="16"/>
                <w:szCs w:val="16"/>
                <w:lang w:val="uk-UA"/>
              </w:rPr>
              <w:t>5</w:t>
            </w:r>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Цей</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Договір</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припиняється</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зокрема</w:t>
            </w:r>
            <w:proofErr w:type="spellEnd"/>
            <w:r w:rsidRPr="00E16672">
              <w:rPr>
                <w:rFonts w:ascii="Times New Roman" w:hAnsi="Times New Roman"/>
                <w:color w:val="000000"/>
                <w:sz w:val="16"/>
                <w:szCs w:val="16"/>
              </w:rPr>
              <w:t xml:space="preserve">, у </w:t>
            </w:r>
            <w:proofErr w:type="spellStart"/>
            <w:r w:rsidRPr="00E16672">
              <w:rPr>
                <w:rFonts w:ascii="Times New Roman" w:hAnsi="Times New Roman"/>
                <w:color w:val="000000"/>
                <w:sz w:val="16"/>
                <w:szCs w:val="16"/>
              </w:rPr>
              <w:t>разі</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закриття</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рахунку</w:t>
            </w:r>
            <w:proofErr w:type="spellEnd"/>
            <w:r w:rsidRPr="00E16672">
              <w:rPr>
                <w:rFonts w:ascii="Times New Roman" w:hAnsi="Times New Roman"/>
                <w:color w:val="000000"/>
                <w:sz w:val="16"/>
                <w:szCs w:val="16"/>
              </w:rPr>
              <w:t xml:space="preserve"> </w:t>
            </w:r>
            <w:r w:rsidR="00C22309" w:rsidRPr="00E16672">
              <w:rPr>
                <w:rFonts w:ascii="Times New Roman" w:hAnsi="Times New Roman"/>
                <w:color w:val="000000"/>
                <w:sz w:val="16"/>
                <w:szCs w:val="16"/>
              </w:rPr>
              <w:t xml:space="preserve">в </w:t>
            </w:r>
            <w:proofErr w:type="spellStart"/>
            <w:r w:rsidR="00C22309" w:rsidRPr="00E16672">
              <w:rPr>
                <w:rFonts w:ascii="Times New Roman" w:hAnsi="Times New Roman"/>
                <w:color w:val="000000"/>
                <w:sz w:val="16"/>
                <w:szCs w:val="16"/>
              </w:rPr>
              <w:t>цін</w:t>
            </w:r>
            <w:r w:rsidRPr="00E16672">
              <w:rPr>
                <w:rFonts w:ascii="Times New Roman" w:hAnsi="Times New Roman"/>
                <w:color w:val="000000"/>
                <w:sz w:val="16"/>
                <w:szCs w:val="16"/>
              </w:rPr>
              <w:t>них</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паперах</w:t>
            </w:r>
            <w:proofErr w:type="spellEnd"/>
            <w:r w:rsidRPr="00E16672">
              <w:rPr>
                <w:rFonts w:ascii="Times New Roman" w:hAnsi="Times New Roman"/>
                <w:color w:val="000000"/>
                <w:sz w:val="16"/>
                <w:szCs w:val="16"/>
              </w:rPr>
              <w:t xml:space="preserve"> за </w:t>
            </w:r>
            <w:proofErr w:type="spellStart"/>
            <w:r w:rsidRPr="00E16672">
              <w:rPr>
                <w:rFonts w:ascii="Times New Roman" w:hAnsi="Times New Roman"/>
                <w:color w:val="000000"/>
                <w:sz w:val="16"/>
                <w:szCs w:val="16"/>
              </w:rPr>
              <w:t>розпорядженням</w:t>
            </w:r>
            <w:proofErr w:type="spellEnd"/>
            <w:r w:rsidRPr="00E16672">
              <w:rPr>
                <w:rFonts w:ascii="Times New Roman" w:hAnsi="Times New Roman"/>
                <w:color w:val="000000"/>
                <w:sz w:val="16"/>
                <w:szCs w:val="16"/>
              </w:rPr>
              <w:t xml:space="preserve"> Депонента. У </w:t>
            </w:r>
            <w:proofErr w:type="spellStart"/>
            <w:r w:rsidRPr="00E16672">
              <w:rPr>
                <w:rFonts w:ascii="Times New Roman" w:hAnsi="Times New Roman"/>
                <w:color w:val="000000"/>
                <w:sz w:val="16"/>
                <w:szCs w:val="16"/>
              </w:rPr>
              <w:t>цьому</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випадку</w:t>
            </w:r>
            <w:proofErr w:type="spellEnd"/>
            <w:r w:rsidRPr="00E16672">
              <w:rPr>
                <w:rFonts w:ascii="Times New Roman" w:hAnsi="Times New Roman"/>
                <w:color w:val="000000"/>
                <w:sz w:val="16"/>
                <w:szCs w:val="16"/>
              </w:rPr>
              <w:t xml:space="preserve"> дата </w:t>
            </w:r>
            <w:proofErr w:type="spellStart"/>
            <w:r w:rsidRPr="00E16672">
              <w:rPr>
                <w:rFonts w:ascii="Times New Roman" w:hAnsi="Times New Roman"/>
                <w:color w:val="000000"/>
                <w:sz w:val="16"/>
                <w:szCs w:val="16"/>
              </w:rPr>
              <w:t>закриття</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рахунку</w:t>
            </w:r>
            <w:proofErr w:type="spellEnd"/>
            <w:r w:rsidRPr="00E16672">
              <w:rPr>
                <w:rFonts w:ascii="Times New Roman" w:hAnsi="Times New Roman"/>
                <w:color w:val="000000"/>
                <w:sz w:val="16"/>
                <w:szCs w:val="16"/>
              </w:rPr>
              <w:t xml:space="preserve"> </w:t>
            </w:r>
            <w:r w:rsidR="00C22309" w:rsidRPr="00E16672">
              <w:rPr>
                <w:rFonts w:ascii="Times New Roman" w:hAnsi="Times New Roman"/>
                <w:color w:val="000000"/>
                <w:sz w:val="16"/>
                <w:szCs w:val="16"/>
              </w:rPr>
              <w:t xml:space="preserve">в </w:t>
            </w:r>
            <w:proofErr w:type="spellStart"/>
            <w:r w:rsidR="00C22309" w:rsidRPr="00E16672">
              <w:rPr>
                <w:rFonts w:ascii="Times New Roman" w:hAnsi="Times New Roman"/>
                <w:color w:val="000000"/>
                <w:sz w:val="16"/>
                <w:szCs w:val="16"/>
              </w:rPr>
              <w:t>цін</w:t>
            </w:r>
            <w:r w:rsidRPr="00E16672">
              <w:rPr>
                <w:rFonts w:ascii="Times New Roman" w:hAnsi="Times New Roman"/>
                <w:color w:val="000000"/>
                <w:sz w:val="16"/>
                <w:szCs w:val="16"/>
              </w:rPr>
              <w:t>них</w:t>
            </w:r>
            <w:proofErr w:type="spellEnd"/>
            <w:r w:rsidRPr="00E16672">
              <w:rPr>
                <w:rFonts w:ascii="Times New Roman" w:hAnsi="Times New Roman"/>
                <w:color w:val="000000"/>
                <w:sz w:val="16"/>
                <w:szCs w:val="16"/>
              </w:rPr>
              <w:t xml:space="preserve"> </w:t>
            </w:r>
            <w:proofErr w:type="spellStart"/>
            <w:proofErr w:type="gramStart"/>
            <w:r w:rsidRPr="00E16672">
              <w:rPr>
                <w:rFonts w:ascii="Times New Roman" w:hAnsi="Times New Roman"/>
                <w:color w:val="000000"/>
                <w:sz w:val="16"/>
                <w:szCs w:val="16"/>
              </w:rPr>
              <w:t>паперах</w:t>
            </w:r>
            <w:proofErr w:type="spellEnd"/>
            <w:r w:rsidRPr="00E16672">
              <w:rPr>
                <w:rFonts w:ascii="Times New Roman" w:hAnsi="Times New Roman"/>
                <w:color w:val="000000"/>
                <w:sz w:val="16"/>
                <w:szCs w:val="16"/>
              </w:rPr>
              <w:t xml:space="preserve">  є</w:t>
            </w:r>
            <w:proofErr w:type="gram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останньою</w:t>
            </w:r>
            <w:proofErr w:type="spellEnd"/>
            <w:r w:rsidRPr="00E16672">
              <w:rPr>
                <w:rFonts w:ascii="Times New Roman" w:hAnsi="Times New Roman"/>
                <w:color w:val="000000"/>
                <w:sz w:val="16"/>
                <w:szCs w:val="16"/>
              </w:rPr>
              <w:t xml:space="preserve"> датою </w:t>
            </w:r>
            <w:proofErr w:type="spellStart"/>
            <w:r w:rsidRPr="00E16672">
              <w:rPr>
                <w:rFonts w:ascii="Times New Roman" w:hAnsi="Times New Roman"/>
                <w:color w:val="000000"/>
                <w:sz w:val="16"/>
                <w:szCs w:val="16"/>
              </w:rPr>
              <w:t>чинності</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дії</w:t>
            </w:r>
            <w:proofErr w:type="spellEnd"/>
            <w:r w:rsidRPr="00E16672">
              <w:rPr>
                <w:rFonts w:ascii="Times New Roman" w:hAnsi="Times New Roman"/>
                <w:color w:val="000000"/>
                <w:sz w:val="16"/>
                <w:szCs w:val="16"/>
              </w:rPr>
              <w:t>) Договору.</w:t>
            </w:r>
          </w:p>
          <w:p w14:paraId="1CD01309" w14:textId="77777777" w:rsidR="005C5318" w:rsidRPr="00E16672" w:rsidRDefault="005C5318" w:rsidP="005C5318">
            <w:pPr>
              <w:snapToGrid w:val="0"/>
              <w:ind w:left="175" w:right="138" w:firstLine="7"/>
              <w:rPr>
                <w:rFonts w:ascii="Times New Roman" w:hAnsi="Times New Roman"/>
                <w:color w:val="000000"/>
                <w:sz w:val="10"/>
                <w:szCs w:val="10"/>
              </w:rPr>
            </w:pPr>
          </w:p>
        </w:tc>
        <w:tc>
          <w:tcPr>
            <w:tcW w:w="5495" w:type="dxa"/>
            <w:gridSpan w:val="6"/>
            <w:shd w:val="clear" w:color="auto" w:fill="auto"/>
          </w:tcPr>
          <w:p w14:paraId="75770533" w14:textId="77777777" w:rsidR="005C5318" w:rsidRPr="00E16672" w:rsidRDefault="005C5318" w:rsidP="005C5318">
            <w:pPr>
              <w:pStyle w:val="210"/>
              <w:tabs>
                <w:tab w:val="left" w:pos="287"/>
              </w:tabs>
              <w:snapToGrid w:val="0"/>
              <w:ind w:left="175" w:right="100" w:firstLine="7"/>
              <w:rPr>
                <w:rFonts w:ascii="Times New Roman" w:hAnsi="Times New Roman"/>
                <w:color w:val="000000"/>
                <w:sz w:val="16"/>
                <w:szCs w:val="16"/>
              </w:rPr>
            </w:pPr>
            <w:r w:rsidRPr="00E16672">
              <w:rPr>
                <w:rFonts w:ascii="Times New Roman" w:hAnsi="Times New Roman"/>
                <w:color w:val="000000"/>
                <w:sz w:val="16"/>
                <w:szCs w:val="16"/>
              </w:rPr>
              <w:t xml:space="preserve">6.5. </w:t>
            </w:r>
            <w:proofErr w:type="spellStart"/>
            <w:r w:rsidRPr="00E16672">
              <w:rPr>
                <w:rFonts w:ascii="Times New Roman" w:hAnsi="Times New Roman"/>
                <w:color w:val="000000"/>
                <w:sz w:val="16"/>
                <w:szCs w:val="16"/>
              </w:rPr>
              <w:t>This</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Agreement</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is</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terminated</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particularly</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in</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the</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case</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of</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closure</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of</w:t>
            </w:r>
            <w:proofErr w:type="spellEnd"/>
            <w:r w:rsidRPr="00E16672">
              <w:rPr>
                <w:rFonts w:ascii="Times New Roman" w:hAnsi="Times New Roman"/>
                <w:color w:val="000000"/>
                <w:sz w:val="16"/>
                <w:szCs w:val="16"/>
              </w:rPr>
              <w:t xml:space="preserve"> </w:t>
            </w:r>
            <w:r w:rsidRPr="00E16672">
              <w:rPr>
                <w:rFonts w:ascii="Times New Roman" w:hAnsi="Times New Roman"/>
                <w:color w:val="000000"/>
                <w:sz w:val="16"/>
                <w:szCs w:val="16"/>
                <w:lang w:val="en-US"/>
              </w:rPr>
              <w:t xml:space="preserve">the </w:t>
            </w:r>
            <w:proofErr w:type="spellStart"/>
            <w:r w:rsidRPr="00E16672">
              <w:rPr>
                <w:rFonts w:ascii="Times New Roman" w:hAnsi="Times New Roman"/>
                <w:color w:val="000000"/>
                <w:sz w:val="16"/>
                <w:szCs w:val="16"/>
              </w:rPr>
              <w:t>account</w:t>
            </w:r>
            <w:proofErr w:type="spellEnd"/>
            <w:r w:rsidRPr="00E16672">
              <w:rPr>
                <w:rFonts w:ascii="Times New Roman" w:hAnsi="Times New Roman"/>
                <w:color w:val="000000"/>
                <w:sz w:val="16"/>
                <w:szCs w:val="16"/>
                <w:lang w:val="en-US"/>
              </w:rPr>
              <w:t xml:space="preserve"> in </w:t>
            </w:r>
            <w:proofErr w:type="spellStart"/>
            <w:r w:rsidRPr="00E16672">
              <w:rPr>
                <w:rFonts w:ascii="Times New Roman" w:hAnsi="Times New Roman"/>
                <w:color w:val="000000"/>
                <w:sz w:val="16"/>
                <w:szCs w:val="16"/>
              </w:rPr>
              <w:t>securities</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by</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order</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of</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the</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Depositor</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In</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this</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case</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the</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closing</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date</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of</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the</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account</w:t>
            </w:r>
            <w:proofErr w:type="spellEnd"/>
            <w:r w:rsidRPr="00E16672">
              <w:rPr>
                <w:rFonts w:ascii="Times New Roman" w:hAnsi="Times New Roman"/>
                <w:color w:val="000000"/>
                <w:sz w:val="16"/>
                <w:szCs w:val="16"/>
                <w:lang w:val="en-US"/>
              </w:rPr>
              <w:t xml:space="preserve"> in</w:t>
            </w:r>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securities</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is</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the</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last</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date</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of</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force</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actions</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of</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the</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Agreement</w:t>
            </w:r>
            <w:proofErr w:type="spellEnd"/>
            <w:r w:rsidRPr="00E16672">
              <w:rPr>
                <w:rFonts w:ascii="Times New Roman" w:hAnsi="Times New Roman"/>
                <w:color w:val="000000"/>
                <w:sz w:val="16"/>
                <w:szCs w:val="16"/>
              </w:rPr>
              <w:t>.</w:t>
            </w:r>
          </w:p>
        </w:tc>
      </w:tr>
      <w:tr w:rsidR="005C5318" w:rsidRPr="00F23413" w14:paraId="78F38045" w14:textId="77777777" w:rsidTr="005E418B">
        <w:trPr>
          <w:trHeight w:val="192"/>
        </w:trPr>
        <w:tc>
          <w:tcPr>
            <w:tcW w:w="5695" w:type="dxa"/>
            <w:gridSpan w:val="6"/>
            <w:shd w:val="clear" w:color="auto" w:fill="auto"/>
          </w:tcPr>
          <w:p w14:paraId="56C55170" w14:textId="77777777" w:rsidR="005C5318" w:rsidRPr="00E16672" w:rsidRDefault="005C5318" w:rsidP="005C5318">
            <w:pPr>
              <w:snapToGrid w:val="0"/>
              <w:ind w:left="175" w:right="138" w:firstLine="7"/>
              <w:rPr>
                <w:rFonts w:ascii="Times New Roman" w:hAnsi="Times New Roman"/>
                <w:sz w:val="16"/>
                <w:szCs w:val="16"/>
              </w:rPr>
            </w:pPr>
            <w:r w:rsidRPr="00E16672">
              <w:rPr>
                <w:rFonts w:ascii="Times New Roman" w:hAnsi="Times New Roman"/>
                <w:sz w:val="16"/>
                <w:szCs w:val="16"/>
              </w:rPr>
              <w:lastRenderedPageBreak/>
              <w:t>6.</w:t>
            </w:r>
            <w:r w:rsidRPr="00E16672">
              <w:rPr>
                <w:rFonts w:ascii="Times New Roman" w:hAnsi="Times New Roman"/>
                <w:sz w:val="16"/>
                <w:szCs w:val="16"/>
                <w:lang w:val="uk-UA"/>
              </w:rPr>
              <w:t>6</w:t>
            </w:r>
            <w:r w:rsidRPr="00E16672">
              <w:rPr>
                <w:rFonts w:ascii="Times New Roman" w:hAnsi="Times New Roman"/>
                <w:sz w:val="16"/>
                <w:szCs w:val="16"/>
              </w:rPr>
              <w:t xml:space="preserve">. </w:t>
            </w:r>
            <w:proofErr w:type="spellStart"/>
            <w:r w:rsidRPr="00E16672">
              <w:rPr>
                <w:rFonts w:ascii="Times New Roman" w:hAnsi="Times New Roman"/>
                <w:sz w:val="16"/>
                <w:szCs w:val="16"/>
              </w:rPr>
              <w:t>Депозитарна</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установа</w:t>
            </w:r>
            <w:proofErr w:type="spellEnd"/>
            <w:r w:rsidRPr="00E16672">
              <w:rPr>
                <w:rFonts w:ascii="Times New Roman" w:hAnsi="Times New Roman"/>
                <w:sz w:val="16"/>
                <w:szCs w:val="16"/>
              </w:rPr>
              <w:t xml:space="preserve"> та Депонент </w:t>
            </w:r>
            <w:proofErr w:type="spellStart"/>
            <w:r w:rsidRPr="00E16672">
              <w:rPr>
                <w:rFonts w:ascii="Times New Roman" w:hAnsi="Times New Roman"/>
                <w:sz w:val="16"/>
                <w:szCs w:val="16"/>
              </w:rPr>
              <w:t>зобов’язані</w:t>
            </w:r>
            <w:proofErr w:type="spellEnd"/>
            <w:r w:rsidRPr="00E16672">
              <w:rPr>
                <w:rFonts w:ascii="Times New Roman" w:hAnsi="Times New Roman"/>
                <w:sz w:val="16"/>
                <w:szCs w:val="16"/>
              </w:rPr>
              <w:t xml:space="preserve"> у </w:t>
            </w:r>
            <w:proofErr w:type="spellStart"/>
            <w:r w:rsidRPr="00E16672">
              <w:rPr>
                <w:rFonts w:ascii="Times New Roman" w:hAnsi="Times New Roman"/>
                <w:sz w:val="16"/>
                <w:szCs w:val="16"/>
              </w:rPr>
              <w:t>разі</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розірвання</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цього</w:t>
            </w:r>
            <w:proofErr w:type="spellEnd"/>
            <w:r w:rsidRPr="00E16672">
              <w:rPr>
                <w:rFonts w:ascii="Times New Roman" w:hAnsi="Times New Roman"/>
                <w:sz w:val="16"/>
                <w:szCs w:val="16"/>
              </w:rPr>
              <w:t xml:space="preserve"> Договору (у тому </w:t>
            </w:r>
            <w:proofErr w:type="spellStart"/>
            <w:r w:rsidRPr="00E16672">
              <w:rPr>
                <w:rFonts w:ascii="Times New Roman" w:hAnsi="Times New Roman"/>
                <w:sz w:val="16"/>
                <w:szCs w:val="16"/>
              </w:rPr>
              <w:t>числі</w:t>
            </w:r>
            <w:proofErr w:type="spellEnd"/>
            <w:r w:rsidRPr="00E16672">
              <w:rPr>
                <w:rFonts w:ascii="Times New Roman" w:hAnsi="Times New Roman"/>
                <w:sz w:val="16"/>
                <w:szCs w:val="16"/>
              </w:rPr>
              <w:t xml:space="preserve"> у </w:t>
            </w:r>
            <w:proofErr w:type="spellStart"/>
            <w:r w:rsidRPr="00E16672">
              <w:rPr>
                <w:rFonts w:ascii="Times New Roman" w:hAnsi="Times New Roman"/>
                <w:sz w:val="16"/>
                <w:szCs w:val="16"/>
              </w:rPr>
              <w:t>зв’язку</w:t>
            </w:r>
            <w:proofErr w:type="spellEnd"/>
            <w:r w:rsidRPr="00E16672">
              <w:rPr>
                <w:rFonts w:ascii="Times New Roman" w:hAnsi="Times New Roman"/>
                <w:sz w:val="16"/>
                <w:szCs w:val="16"/>
              </w:rPr>
              <w:t xml:space="preserve"> з </w:t>
            </w:r>
            <w:proofErr w:type="spellStart"/>
            <w:r w:rsidRPr="00E16672">
              <w:rPr>
                <w:rFonts w:ascii="Times New Roman" w:hAnsi="Times New Roman"/>
                <w:sz w:val="16"/>
                <w:szCs w:val="16"/>
              </w:rPr>
              <w:t>припиненням</w:t>
            </w:r>
            <w:proofErr w:type="spellEnd"/>
            <w:r w:rsidRPr="00E16672">
              <w:rPr>
                <w:rFonts w:ascii="Times New Roman" w:hAnsi="Times New Roman"/>
                <w:sz w:val="16"/>
                <w:szCs w:val="16"/>
              </w:rPr>
              <w:t xml:space="preserve"> Депозитарною </w:t>
            </w:r>
            <w:proofErr w:type="spellStart"/>
            <w:r w:rsidRPr="00E16672">
              <w:rPr>
                <w:rFonts w:ascii="Times New Roman" w:hAnsi="Times New Roman"/>
                <w:sz w:val="16"/>
                <w:szCs w:val="16"/>
              </w:rPr>
              <w:t>установою</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провадження</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професійної</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діяльності</w:t>
            </w:r>
            <w:proofErr w:type="spellEnd"/>
            <w:r w:rsidRPr="00E16672">
              <w:rPr>
                <w:rFonts w:ascii="Times New Roman" w:hAnsi="Times New Roman"/>
                <w:sz w:val="16"/>
                <w:szCs w:val="16"/>
              </w:rPr>
              <w:t xml:space="preserve"> </w:t>
            </w:r>
            <w:proofErr w:type="gramStart"/>
            <w:r w:rsidRPr="00E16672">
              <w:rPr>
                <w:rFonts w:ascii="Times New Roman" w:hAnsi="Times New Roman"/>
                <w:sz w:val="16"/>
                <w:szCs w:val="16"/>
              </w:rPr>
              <w:t>на фондовому ринку</w:t>
            </w:r>
            <w:proofErr w:type="gramEnd"/>
            <w:r w:rsidRPr="00E16672">
              <w:rPr>
                <w:rFonts w:ascii="Times New Roman" w:hAnsi="Times New Roman"/>
                <w:sz w:val="16"/>
                <w:szCs w:val="16"/>
              </w:rPr>
              <w:t xml:space="preserve"> – </w:t>
            </w:r>
            <w:proofErr w:type="spellStart"/>
            <w:r w:rsidRPr="00E16672">
              <w:rPr>
                <w:rFonts w:ascii="Times New Roman" w:hAnsi="Times New Roman"/>
                <w:sz w:val="16"/>
                <w:szCs w:val="16"/>
              </w:rPr>
              <w:t>депозитарної</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діяльності</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діяти</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відповідно</w:t>
            </w:r>
            <w:proofErr w:type="spellEnd"/>
            <w:r w:rsidRPr="00E16672">
              <w:rPr>
                <w:rFonts w:ascii="Times New Roman" w:hAnsi="Times New Roman"/>
                <w:sz w:val="16"/>
                <w:szCs w:val="16"/>
              </w:rPr>
              <w:t xml:space="preserve"> до </w:t>
            </w:r>
            <w:proofErr w:type="spellStart"/>
            <w:r w:rsidRPr="00E16672">
              <w:rPr>
                <w:rFonts w:ascii="Times New Roman" w:hAnsi="Times New Roman"/>
                <w:sz w:val="16"/>
                <w:szCs w:val="16"/>
              </w:rPr>
              <w:t>вимог</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законодавства</w:t>
            </w:r>
            <w:proofErr w:type="spellEnd"/>
            <w:r w:rsidRPr="00E16672">
              <w:rPr>
                <w:rFonts w:ascii="Times New Roman" w:hAnsi="Times New Roman"/>
                <w:sz w:val="16"/>
                <w:szCs w:val="16"/>
              </w:rPr>
              <w:t xml:space="preserve"> та </w:t>
            </w:r>
            <w:proofErr w:type="spellStart"/>
            <w:r w:rsidRPr="00E16672">
              <w:rPr>
                <w:rFonts w:ascii="Times New Roman" w:hAnsi="Times New Roman"/>
                <w:sz w:val="16"/>
                <w:szCs w:val="16"/>
              </w:rPr>
              <w:t>цього</w:t>
            </w:r>
            <w:proofErr w:type="spellEnd"/>
            <w:r w:rsidRPr="00E16672">
              <w:rPr>
                <w:rFonts w:ascii="Times New Roman" w:hAnsi="Times New Roman"/>
                <w:sz w:val="16"/>
                <w:szCs w:val="16"/>
              </w:rPr>
              <w:t xml:space="preserve"> Договору.</w:t>
            </w:r>
          </w:p>
          <w:p w14:paraId="6AD21585" w14:textId="77777777" w:rsidR="005C5318" w:rsidRPr="00E16672" w:rsidRDefault="005C5318" w:rsidP="005C5318">
            <w:pPr>
              <w:ind w:left="175" w:right="138" w:firstLine="7"/>
              <w:rPr>
                <w:rFonts w:ascii="Times New Roman" w:hAnsi="Times New Roman"/>
                <w:sz w:val="10"/>
                <w:szCs w:val="10"/>
              </w:rPr>
            </w:pPr>
          </w:p>
        </w:tc>
        <w:tc>
          <w:tcPr>
            <w:tcW w:w="5495" w:type="dxa"/>
            <w:gridSpan w:val="6"/>
            <w:shd w:val="clear" w:color="auto" w:fill="auto"/>
          </w:tcPr>
          <w:p w14:paraId="1890755F" w14:textId="77777777" w:rsidR="005C5318" w:rsidRPr="00E16672" w:rsidRDefault="005C5318" w:rsidP="005C5318">
            <w:pPr>
              <w:pStyle w:val="210"/>
              <w:tabs>
                <w:tab w:val="left" w:pos="287"/>
              </w:tabs>
              <w:snapToGrid w:val="0"/>
              <w:ind w:left="175" w:right="100" w:firstLine="7"/>
              <w:rPr>
                <w:rFonts w:ascii="Times New Roman" w:hAnsi="Times New Roman"/>
                <w:sz w:val="16"/>
                <w:szCs w:val="16"/>
              </w:rPr>
            </w:pPr>
            <w:r w:rsidRPr="00E16672">
              <w:rPr>
                <w:rFonts w:ascii="Times New Roman" w:hAnsi="Times New Roman"/>
                <w:sz w:val="16"/>
                <w:szCs w:val="16"/>
              </w:rPr>
              <w:t xml:space="preserve">6.6. </w:t>
            </w:r>
            <w:proofErr w:type="spellStart"/>
            <w:r w:rsidRPr="00E16672">
              <w:rPr>
                <w:rFonts w:ascii="Times New Roman" w:hAnsi="Times New Roman"/>
                <w:sz w:val="16"/>
                <w:szCs w:val="16"/>
              </w:rPr>
              <w:t>Depository</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institution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and</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Depositor</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shall</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in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event</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of</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termination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of</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this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Agreement</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including</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in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connection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with</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termination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of</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r w:rsidRPr="00E16672">
              <w:rPr>
                <w:rFonts w:ascii="Times New Roman" w:hAnsi="Times New Roman"/>
                <w:sz w:val="16"/>
                <w:szCs w:val="16"/>
                <w:lang w:val="en-US"/>
              </w:rPr>
              <w:t>D</w:t>
            </w:r>
            <w:proofErr w:type="spellStart"/>
            <w:r w:rsidRPr="00E16672">
              <w:rPr>
                <w:rFonts w:ascii="Times New Roman" w:hAnsi="Times New Roman"/>
                <w:sz w:val="16"/>
                <w:szCs w:val="16"/>
              </w:rPr>
              <w:t>epository</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institution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carrying</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out</w:t>
            </w:r>
            <w:proofErr w:type="spellEnd"/>
            <w:r w:rsidRPr="00E16672">
              <w:rPr>
                <w:rFonts w:ascii="Times New Roman" w:hAnsi="Times New Roman"/>
                <w:sz w:val="16"/>
                <w:szCs w:val="16"/>
              </w:rPr>
              <w:t xml:space="preserve"> a </w:t>
            </w:r>
            <w:proofErr w:type="spellStart"/>
            <w:r w:rsidRPr="00E16672">
              <w:rPr>
                <w:rFonts w:ascii="Times New Roman" w:hAnsi="Times New Roman"/>
                <w:sz w:val="16"/>
                <w:szCs w:val="16"/>
              </w:rPr>
              <w:t>professional</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activity</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stock</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market</w:t>
            </w:r>
            <w:proofErr w:type="spellEnd"/>
            <w:r w:rsidRPr="00E16672">
              <w:rPr>
                <w:rFonts w:ascii="Times New Roman" w:hAnsi="Times New Roman"/>
                <w:sz w:val="16"/>
                <w:szCs w:val="16"/>
              </w:rPr>
              <w:t xml:space="preserve"> - </w:t>
            </w:r>
            <w:proofErr w:type="spellStart"/>
            <w:r w:rsidRPr="00E16672">
              <w:rPr>
                <w:rFonts w:ascii="Times New Roman" w:hAnsi="Times New Roman"/>
                <w:sz w:val="16"/>
                <w:szCs w:val="16"/>
              </w:rPr>
              <w:t>depository</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activities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act</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in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accordance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with</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law</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and</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this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Agreement</w:t>
            </w:r>
            <w:proofErr w:type="spellEnd"/>
            <w:r w:rsidRPr="00E16672">
              <w:rPr>
                <w:rFonts w:ascii="Times New Roman" w:hAnsi="Times New Roman"/>
                <w:sz w:val="16"/>
                <w:szCs w:val="16"/>
              </w:rPr>
              <w:t>.</w:t>
            </w:r>
          </w:p>
        </w:tc>
      </w:tr>
      <w:tr w:rsidR="005C5318" w:rsidRPr="00F23413" w14:paraId="0090C1A7" w14:textId="77777777" w:rsidTr="005E418B">
        <w:trPr>
          <w:trHeight w:val="192"/>
        </w:trPr>
        <w:tc>
          <w:tcPr>
            <w:tcW w:w="5695" w:type="dxa"/>
            <w:gridSpan w:val="6"/>
            <w:shd w:val="clear" w:color="auto" w:fill="auto"/>
          </w:tcPr>
          <w:p w14:paraId="308CD133" w14:textId="77777777" w:rsidR="005C5318" w:rsidRPr="00E16672" w:rsidRDefault="005C5318" w:rsidP="00022F5F">
            <w:pPr>
              <w:snapToGrid w:val="0"/>
              <w:ind w:left="175" w:right="138" w:firstLine="7"/>
              <w:jc w:val="left"/>
              <w:rPr>
                <w:rFonts w:ascii="Times New Roman" w:hAnsi="Times New Roman"/>
                <w:sz w:val="16"/>
                <w:szCs w:val="16"/>
              </w:rPr>
            </w:pPr>
            <w:r w:rsidRPr="00E16672">
              <w:rPr>
                <w:rFonts w:ascii="Times New Roman" w:hAnsi="Times New Roman"/>
                <w:sz w:val="16"/>
                <w:szCs w:val="16"/>
              </w:rPr>
              <w:t>6.</w:t>
            </w:r>
            <w:r w:rsidRPr="00E16672">
              <w:rPr>
                <w:rFonts w:ascii="Times New Roman" w:hAnsi="Times New Roman"/>
                <w:sz w:val="16"/>
                <w:szCs w:val="16"/>
                <w:lang w:val="uk-UA"/>
              </w:rPr>
              <w:t>7</w:t>
            </w:r>
            <w:r w:rsidRPr="00E16672">
              <w:rPr>
                <w:rFonts w:ascii="Times New Roman" w:hAnsi="Times New Roman"/>
                <w:sz w:val="16"/>
                <w:szCs w:val="16"/>
              </w:rPr>
              <w:t xml:space="preserve">. </w:t>
            </w:r>
            <w:proofErr w:type="spellStart"/>
            <w:r w:rsidRPr="00E16672">
              <w:rPr>
                <w:rFonts w:ascii="Times New Roman" w:hAnsi="Times New Roman"/>
                <w:sz w:val="16"/>
                <w:szCs w:val="16"/>
              </w:rPr>
              <w:t>Питання</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що</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виникають</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під</w:t>
            </w:r>
            <w:proofErr w:type="spellEnd"/>
            <w:r w:rsidRPr="00E16672">
              <w:rPr>
                <w:rFonts w:ascii="Times New Roman" w:hAnsi="Times New Roman"/>
                <w:sz w:val="16"/>
                <w:szCs w:val="16"/>
              </w:rPr>
              <w:t xml:space="preserve"> час </w:t>
            </w:r>
            <w:proofErr w:type="spellStart"/>
            <w:r w:rsidRPr="00E16672">
              <w:rPr>
                <w:rFonts w:ascii="Times New Roman" w:hAnsi="Times New Roman"/>
                <w:sz w:val="16"/>
                <w:szCs w:val="16"/>
              </w:rPr>
              <w:t>укладення</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виконання</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зміни</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розірвання</w:t>
            </w:r>
            <w:proofErr w:type="spellEnd"/>
            <w:r w:rsidRPr="00E16672">
              <w:rPr>
                <w:rFonts w:ascii="Times New Roman" w:hAnsi="Times New Roman"/>
                <w:sz w:val="16"/>
                <w:szCs w:val="16"/>
              </w:rPr>
              <w:t xml:space="preserve"> Договору і не </w:t>
            </w:r>
            <w:proofErr w:type="spellStart"/>
            <w:r w:rsidRPr="00E16672">
              <w:rPr>
                <w:rFonts w:ascii="Times New Roman" w:hAnsi="Times New Roman"/>
                <w:sz w:val="16"/>
                <w:szCs w:val="16"/>
              </w:rPr>
              <w:t>врегульовані</w:t>
            </w:r>
            <w:proofErr w:type="spellEnd"/>
            <w:r w:rsidRPr="00E16672">
              <w:rPr>
                <w:rFonts w:ascii="Times New Roman" w:hAnsi="Times New Roman"/>
                <w:sz w:val="16"/>
                <w:szCs w:val="16"/>
              </w:rPr>
              <w:t xml:space="preserve"> ним, </w:t>
            </w:r>
            <w:proofErr w:type="spellStart"/>
            <w:r w:rsidRPr="00E16672">
              <w:rPr>
                <w:rFonts w:ascii="Times New Roman" w:hAnsi="Times New Roman"/>
                <w:sz w:val="16"/>
                <w:szCs w:val="16"/>
              </w:rPr>
              <w:t>регулюються</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Цивільним</w:t>
            </w:r>
            <w:proofErr w:type="spellEnd"/>
            <w:r w:rsidRPr="00E16672">
              <w:rPr>
                <w:rFonts w:ascii="Times New Roman" w:hAnsi="Times New Roman"/>
                <w:sz w:val="16"/>
                <w:szCs w:val="16"/>
              </w:rPr>
              <w:t xml:space="preserve"> кодексом </w:t>
            </w:r>
            <w:proofErr w:type="spellStart"/>
            <w:r w:rsidRPr="00E16672">
              <w:rPr>
                <w:rFonts w:ascii="Times New Roman" w:hAnsi="Times New Roman"/>
                <w:sz w:val="16"/>
                <w:szCs w:val="16"/>
              </w:rPr>
              <w:t>України</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Господарським</w:t>
            </w:r>
            <w:proofErr w:type="spellEnd"/>
            <w:r w:rsidRPr="00E16672">
              <w:rPr>
                <w:rFonts w:ascii="Times New Roman" w:hAnsi="Times New Roman"/>
                <w:sz w:val="16"/>
                <w:szCs w:val="16"/>
              </w:rPr>
              <w:t xml:space="preserve"> кодексом </w:t>
            </w:r>
            <w:proofErr w:type="spellStart"/>
            <w:r w:rsidRPr="00E16672">
              <w:rPr>
                <w:rFonts w:ascii="Times New Roman" w:hAnsi="Times New Roman"/>
                <w:sz w:val="16"/>
                <w:szCs w:val="16"/>
              </w:rPr>
              <w:t>України</w:t>
            </w:r>
            <w:proofErr w:type="spellEnd"/>
            <w:r w:rsidRPr="00E16672">
              <w:rPr>
                <w:rFonts w:ascii="Times New Roman" w:hAnsi="Times New Roman"/>
                <w:sz w:val="16"/>
                <w:szCs w:val="16"/>
              </w:rPr>
              <w:t xml:space="preserve">, Законом </w:t>
            </w:r>
            <w:proofErr w:type="spellStart"/>
            <w:r w:rsidRPr="00E16672">
              <w:rPr>
                <w:rFonts w:ascii="Times New Roman" w:hAnsi="Times New Roman"/>
                <w:sz w:val="16"/>
                <w:szCs w:val="16"/>
              </w:rPr>
              <w:t>України</w:t>
            </w:r>
            <w:proofErr w:type="spellEnd"/>
            <w:r w:rsidRPr="00E16672">
              <w:rPr>
                <w:rFonts w:ascii="Times New Roman" w:hAnsi="Times New Roman"/>
                <w:sz w:val="16"/>
                <w:szCs w:val="16"/>
              </w:rPr>
              <w:t xml:space="preserve"> </w:t>
            </w:r>
            <w:r w:rsidR="00022F5F">
              <w:rPr>
                <w:rFonts w:ascii="Times New Roman" w:hAnsi="Times New Roman"/>
                <w:sz w:val="16"/>
                <w:szCs w:val="16"/>
              </w:rPr>
              <w:t>"</w:t>
            </w:r>
            <w:r w:rsidRPr="00E16672">
              <w:rPr>
                <w:rFonts w:ascii="Times New Roman" w:hAnsi="Times New Roman"/>
                <w:sz w:val="16"/>
                <w:szCs w:val="16"/>
              </w:rPr>
              <w:t xml:space="preserve">Про </w:t>
            </w:r>
            <w:proofErr w:type="spellStart"/>
            <w:r w:rsidRPr="00E16672">
              <w:rPr>
                <w:rFonts w:ascii="Times New Roman" w:hAnsi="Times New Roman"/>
                <w:sz w:val="16"/>
                <w:szCs w:val="16"/>
              </w:rPr>
              <w:t>депозитарну</w:t>
            </w:r>
            <w:proofErr w:type="spellEnd"/>
            <w:r w:rsidRPr="00E16672">
              <w:rPr>
                <w:rFonts w:ascii="Times New Roman" w:hAnsi="Times New Roman"/>
                <w:sz w:val="16"/>
                <w:szCs w:val="16"/>
              </w:rPr>
              <w:t xml:space="preserve"> систему </w:t>
            </w:r>
            <w:proofErr w:type="spellStart"/>
            <w:r w:rsidRPr="00E16672">
              <w:rPr>
                <w:rFonts w:ascii="Times New Roman" w:hAnsi="Times New Roman"/>
                <w:sz w:val="16"/>
                <w:szCs w:val="16"/>
              </w:rPr>
              <w:t>України</w:t>
            </w:r>
            <w:proofErr w:type="spellEnd"/>
            <w:r w:rsidR="00022F5F">
              <w:rPr>
                <w:rFonts w:ascii="Times New Roman" w:hAnsi="Times New Roman"/>
                <w:sz w:val="16"/>
                <w:szCs w:val="16"/>
              </w:rPr>
              <w:t>"</w:t>
            </w:r>
            <w:r w:rsidRPr="00E16672">
              <w:rPr>
                <w:rFonts w:ascii="Times New Roman" w:hAnsi="Times New Roman"/>
                <w:sz w:val="16"/>
                <w:szCs w:val="16"/>
              </w:rPr>
              <w:t>, нормативно-</w:t>
            </w:r>
            <w:proofErr w:type="spellStart"/>
            <w:r w:rsidRPr="00E16672">
              <w:rPr>
                <w:rFonts w:ascii="Times New Roman" w:hAnsi="Times New Roman"/>
                <w:sz w:val="16"/>
                <w:szCs w:val="16"/>
              </w:rPr>
              <w:t>правовими</w:t>
            </w:r>
            <w:proofErr w:type="spellEnd"/>
            <w:r w:rsidRPr="00E16672">
              <w:rPr>
                <w:rFonts w:ascii="Times New Roman" w:hAnsi="Times New Roman"/>
                <w:sz w:val="16"/>
                <w:szCs w:val="16"/>
              </w:rPr>
              <w:t xml:space="preserve"> актами НКЦПФР.</w:t>
            </w:r>
          </w:p>
        </w:tc>
        <w:tc>
          <w:tcPr>
            <w:tcW w:w="5495" w:type="dxa"/>
            <w:gridSpan w:val="6"/>
            <w:shd w:val="clear" w:color="auto" w:fill="auto"/>
          </w:tcPr>
          <w:p w14:paraId="25426E5E" w14:textId="77777777" w:rsidR="005C5318" w:rsidRPr="00E16672" w:rsidRDefault="005C5318" w:rsidP="005C5318">
            <w:pPr>
              <w:tabs>
                <w:tab w:val="left" w:pos="287"/>
              </w:tabs>
              <w:snapToGrid w:val="0"/>
              <w:ind w:left="175" w:right="100" w:firstLine="7"/>
              <w:rPr>
                <w:rFonts w:ascii="Times New Roman" w:hAnsi="Times New Roman"/>
                <w:sz w:val="16"/>
                <w:szCs w:val="16"/>
                <w:lang w:val="en-GB"/>
              </w:rPr>
            </w:pPr>
            <w:r w:rsidRPr="00E16672">
              <w:rPr>
                <w:rFonts w:ascii="Times New Roman" w:hAnsi="Times New Roman"/>
                <w:sz w:val="16"/>
                <w:szCs w:val="16"/>
                <w:lang w:val="en-GB"/>
              </w:rPr>
              <w:t>6.</w:t>
            </w:r>
            <w:r w:rsidRPr="00E16672">
              <w:rPr>
                <w:rFonts w:ascii="Times New Roman" w:hAnsi="Times New Roman"/>
                <w:sz w:val="16"/>
                <w:szCs w:val="16"/>
                <w:lang w:val="uk-UA"/>
              </w:rPr>
              <w:t>7</w:t>
            </w:r>
            <w:r w:rsidRPr="00E16672">
              <w:rPr>
                <w:rFonts w:ascii="Times New Roman" w:hAnsi="Times New Roman"/>
                <w:sz w:val="16"/>
                <w:szCs w:val="16"/>
                <w:lang w:val="en-GB"/>
              </w:rPr>
              <w:t>. Matters arising from the making, performance, modification, and termination of the Agreement not settled it shall be governed by the Civil Code of Ukraine, the Commercial Code of Ukraine, the Law of Ukraine "On the Depository System of Ukraine" regulations NCSSM.</w:t>
            </w:r>
          </w:p>
        </w:tc>
      </w:tr>
      <w:tr w:rsidR="005C5318" w:rsidRPr="00F23413" w14:paraId="1EC9101D" w14:textId="77777777" w:rsidTr="005E418B">
        <w:trPr>
          <w:trHeight w:val="192"/>
        </w:trPr>
        <w:tc>
          <w:tcPr>
            <w:tcW w:w="5695" w:type="dxa"/>
            <w:gridSpan w:val="6"/>
            <w:shd w:val="clear" w:color="auto" w:fill="auto"/>
          </w:tcPr>
          <w:p w14:paraId="4C61CB4E" w14:textId="77777777" w:rsidR="005C5318" w:rsidRPr="00E16672" w:rsidRDefault="005C5318" w:rsidP="005C5318">
            <w:pPr>
              <w:snapToGrid w:val="0"/>
              <w:ind w:left="175" w:right="138" w:firstLine="7"/>
              <w:rPr>
                <w:rFonts w:ascii="Times New Roman" w:hAnsi="Times New Roman"/>
                <w:b/>
                <w:caps/>
                <w:sz w:val="16"/>
                <w:szCs w:val="16"/>
                <w:lang w:val="en-US"/>
              </w:rPr>
            </w:pPr>
          </w:p>
          <w:p w14:paraId="5EC14C8C" w14:textId="77777777" w:rsidR="005C5318" w:rsidRPr="00E16672" w:rsidRDefault="005C5318" w:rsidP="005C5318">
            <w:pPr>
              <w:snapToGrid w:val="0"/>
              <w:ind w:left="175" w:right="138" w:firstLine="7"/>
              <w:jc w:val="center"/>
              <w:rPr>
                <w:rFonts w:ascii="Times New Roman" w:hAnsi="Times New Roman"/>
                <w:b/>
                <w:caps/>
                <w:sz w:val="16"/>
                <w:szCs w:val="16"/>
              </w:rPr>
            </w:pPr>
            <w:r w:rsidRPr="00E16672">
              <w:rPr>
                <w:rFonts w:ascii="Times New Roman" w:hAnsi="Times New Roman"/>
                <w:b/>
                <w:caps/>
                <w:sz w:val="16"/>
                <w:szCs w:val="16"/>
              </w:rPr>
              <w:t>7. Порядок розкриття інформації, що належить</w:t>
            </w:r>
          </w:p>
          <w:p w14:paraId="38A27AAA" w14:textId="77777777" w:rsidR="005C5318" w:rsidRPr="00E16672" w:rsidRDefault="005C5318" w:rsidP="005C5318">
            <w:pPr>
              <w:ind w:left="175" w:right="138" w:firstLine="7"/>
              <w:jc w:val="center"/>
              <w:rPr>
                <w:rFonts w:ascii="Times New Roman" w:hAnsi="Times New Roman"/>
                <w:b/>
                <w:caps/>
                <w:sz w:val="16"/>
                <w:szCs w:val="16"/>
              </w:rPr>
            </w:pPr>
            <w:r w:rsidRPr="00E16672">
              <w:rPr>
                <w:rFonts w:ascii="Times New Roman" w:hAnsi="Times New Roman"/>
                <w:b/>
                <w:caps/>
                <w:sz w:val="16"/>
                <w:szCs w:val="16"/>
              </w:rPr>
              <w:t>до інформації з обмеженим доступоМ</w:t>
            </w:r>
          </w:p>
          <w:p w14:paraId="4C48A380" w14:textId="77777777" w:rsidR="005C5318" w:rsidRPr="00E16672" w:rsidRDefault="005C5318" w:rsidP="005C5318">
            <w:pPr>
              <w:ind w:left="175" w:right="138" w:firstLine="7"/>
              <w:jc w:val="center"/>
              <w:rPr>
                <w:rFonts w:ascii="Times New Roman" w:hAnsi="Times New Roman"/>
                <w:b/>
                <w:caps/>
                <w:sz w:val="16"/>
                <w:szCs w:val="16"/>
              </w:rPr>
            </w:pPr>
          </w:p>
          <w:p w14:paraId="19B533E1" w14:textId="77777777" w:rsidR="005C5318" w:rsidRPr="00E16672" w:rsidRDefault="005C5318" w:rsidP="00022F5F">
            <w:pPr>
              <w:ind w:left="175" w:right="138" w:firstLine="7"/>
              <w:jc w:val="left"/>
              <w:rPr>
                <w:rFonts w:ascii="Times New Roman" w:hAnsi="Times New Roman"/>
                <w:sz w:val="16"/>
                <w:szCs w:val="16"/>
              </w:rPr>
            </w:pPr>
            <w:r w:rsidRPr="00E16672">
              <w:rPr>
                <w:rFonts w:ascii="Times New Roman" w:hAnsi="Times New Roman"/>
                <w:sz w:val="16"/>
                <w:szCs w:val="16"/>
              </w:rPr>
              <w:t xml:space="preserve">7.1. </w:t>
            </w:r>
            <w:proofErr w:type="spellStart"/>
            <w:r w:rsidRPr="00E16672">
              <w:rPr>
                <w:rFonts w:ascii="Times New Roman" w:hAnsi="Times New Roman"/>
                <w:sz w:val="16"/>
                <w:szCs w:val="16"/>
              </w:rPr>
              <w:t>Інформація</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що</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міститься</w:t>
            </w:r>
            <w:proofErr w:type="spellEnd"/>
            <w:r w:rsidRPr="00E16672">
              <w:rPr>
                <w:rFonts w:ascii="Times New Roman" w:hAnsi="Times New Roman"/>
                <w:sz w:val="16"/>
                <w:szCs w:val="16"/>
              </w:rPr>
              <w:t xml:space="preserve"> у </w:t>
            </w:r>
            <w:proofErr w:type="spellStart"/>
            <w:r w:rsidRPr="00E16672">
              <w:rPr>
                <w:rFonts w:ascii="Times New Roman" w:hAnsi="Times New Roman"/>
                <w:sz w:val="16"/>
                <w:szCs w:val="16"/>
              </w:rPr>
              <w:t>системі</w:t>
            </w:r>
            <w:proofErr w:type="spellEnd"/>
            <w:r w:rsidRPr="00E16672">
              <w:rPr>
                <w:rFonts w:ascii="Times New Roman" w:hAnsi="Times New Roman"/>
                <w:sz w:val="16"/>
                <w:szCs w:val="16"/>
              </w:rPr>
              <w:t xml:space="preserve"> депозитарного </w:t>
            </w:r>
            <w:proofErr w:type="spellStart"/>
            <w:r w:rsidRPr="00E16672">
              <w:rPr>
                <w:rFonts w:ascii="Times New Roman" w:hAnsi="Times New Roman"/>
                <w:sz w:val="16"/>
                <w:szCs w:val="16"/>
              </w:rPr>
              <w:t>обліку</w:t>
            </w:r>
            <w:proofErr w:type="spellEnd"/>
            <w:r w:rsidRPr="00E16672">
              <w:rPr>
                <w:rFonts w:ascii="Times New Roman" w:hAnsi="Times New Roman"/>
                <w:sz w:val="16"/>
                <w:szCs w:val="16"/>
              </w:rPr>
              <w:t xml:space="preserve">, є </w:t>
            </w:r>
            <w:proofErr w:type="spellStart"/>
            <w:r w:rsidRPr="00E16672">
              <w:rPr>
                <w:rFonts w:ascii="Times New Roman" w:hAnsi="Times New Roman"/>
                <w:sz w:val="16"/>
                <w:szCs w:val="16"/>
              </w:rPr>
              <w:t>інформацією</w:t>
            </w:r>
            <w:proofErr w:type="spellEnd"/>
            <w:r w:rsidRPr="00E16672">
              <w:rPr>
                <w:rFonts w:ascii="Times New Roman" w:hAnsi="Times New Roman"/>
                <w:sz w:val="16"/>
                <w:szCs w:val="16"/>
              </w:rPr>
              <w:t xml:space="preserve"> з </w:t>
            </w:r>
            <w:proofErr w:type="spellStart"/>
            <w:r w:rsidRPr="00E16672">
              <w:rPr>
                <w:rFonts w:ascii="Times New Roman" w:hAnsi="Times New Roman"/>
                <w:sz w:val="16"/>
                <w:szCs w:val="16"/>
              </w:rPr>
              <w:t>обмеженим</w:t>
            </w:r>
            <w:proofErr w:type="spellEnd"/>
            <w:r w:rsidRPr="00E16672">
              <w:rPr>
                <w:rFonts w:ascii="Times New Roman" w:hAnsi="Times New Roman"/>
                <w:sz w:val="16"/>
                <w:szCs w:val="16"/>
              </w:rPr>
              <w:t xml:space="preserve"> доступом, </w:t>
            </w:r>
            <w:proofErr w:type="spellStart"/>
            <w:r w:rsidRPr="00E16672">
              <w:rPr>
                <w:rFonts w:ascii="Times New Roman" w:hAnsi="Times New Roman"/>
                <w:sz w:val="16"/>
                <w:szCs w:val="16"/>
              </w:rPr>
              <w:t>охороняється</w:t>
            </w:r>
            <w:proofErr w:type="spellEnd"/>
            <w:r w:rsidRPr="00E16672">
              <w:rPr>
                <w:rFonts w:ascii="Times New Roman" w:hAnsi="Times New Roman"/>
                <w:sz w:val="16"/>
                <w:szCs w:val="16"/>
              </w:rPr>
              <w:t xml:space="preserve"> законом та не </w:t>
            </w:r>
            <w:proofErr w:type="spellStart"/>
            <w:r w:rsidRPr="00E16672">
              <w:rPr>
                <w:rFonts w:ascii="Times New Roman" w:hAnsi="Times New Roman"/>
                <w:sz w:val="16"/>
                <w:szCs w:val="16"/>
              </w:rPr>
              <w:t>підлягає</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розголошенню</w:t>
            </w:r>
            <w:proofErr w:type="spellEnd"/>
            <w:r w:rsidRPr="00E16672">
              <w:rPr>
                <w:rFonts w:ascii="Times New Roman" w:hAnsi="Times New Roman"/>
                <w:sz w:val="16"/>
                <w:szCs w:val="16"/>
              </w:rPr>
              <w:t xml:space="preserve"> Депозитарною </w:t>
            </w:r>
            <w:proofErr w:type="spellStart"/>
            <w:r w:rsidRPr="00E16672">
              <w:rPr>
                <w:rFonts w:ascii="Times New Roman" w:hAnsi="Times New Roman"/>
                <w:sz w:val="16"/>
                <w:szCs w:val="16"/>
              </w:rPr>
              <w:t>установою</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крім</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випадків</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передбачених</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статтею</w:t>
            </w:r>
            <w:proofErr w:type="spellEnd"/>
            <w:r w:rsidRPr="00E16672">
              <w:rPr>
                <w:rFonts w:ascii="Times New Roman" w:hAnsi="Times New Roman"/>
                <w:sz w:val="16"/>
                <w:szCs w:val="16"/>
              </w:rPr>
              <w:t xml:space="preserve"> 25 Закону </w:t>
            </w:r>
            <w:proofErr w:type="spellStart"/>
            <w:r w:rsidRPr="00E16672">
              <w:rPr>
                <w:rFonts w:ascii="Times New Roman" w:hAnsi="Times New Roman"/>
                <w:sz w:val="16"/>
                <w:szCs w:val="16"/>
              </w:rPr>
              <w:t>України</w:t>
            </w:r>
            <w:proofErr w:type="spellEnd"/>
            <w:r w:rsidRPr="00E16672">
              <w:rPr>
                <w:rFonts w:ascii="Times New Roman" w:hAnsi="Times New Roman"/>
                <w:sz w:val="16"/>
                <w:szCs w:val="16"/>
              </w:rPr>
              <w:t xml:space="preserve"> </w:t>
            </w:r>
            <w:r w:rsidR="00022F5F">
              <w:rPr>
                <w:rFonts w:ascii="Times New Roman" w:hAnsi="Times New Roman"/>
                <w:sz w:val="16"/>
                <w:szCs w:val="16"/>
              </w:rPr>
              <w:t>"</w:t>
            </w:r>
            <w:r w:rsidRPr="00E16672">
              <w:rPr>
                <w:rFonts w:ascii="Times New Roman" w:hAnsi="Times New Roman"/>
                <w:sz w:val="16"/>
                <w:szCs w:val="16"/>
              </w:rPr>
              <w:t xml:space="preserve">Про </w:t>
            </w:r>
            <w:proofErr w:type="spellStart"/>
            <w:r w:rsidRPr="00E16672">
              <w:rPr>
                <w:rFonts w:ascii="Times New Roman" w:hAnsi="Times New Roman"/>
                <w:sz w:val="16"/>
                <w:szCs w:val="16"/>
              </w:rPr>
              <w:t>депозитарну</w:t>
            </w:r>
            <w:proofErr w:type="spellEnd"/>
            <w:r w:rsidRPr="00E16672">
              <w:rPr>
                <w:rFonts w:ascii="Times New Roman" w:hAnsi="Times New Roman"/>
                <w:sz w:val="16"/>
                <w:szCs w:val="16"/>
              </w:rPr>
              <w:t xml:space="preserve"> систему </w:t>
            </w:r>
            <w:proofErr w:type="spellStart"/>
            <w:r w:rsidRPr="00E16672">
              <w:rPr>
                <w:rFonts w:ascii="Times New Roman" w:hAnsi="Times New Roman"/>
                <w:sz w:val="16"/>
                <w:szCs w:val="16"/>
              </w:rPr>
              <w:t>України</w:t>
            </w:r>
            <w:proofErr w:type="spellEnd"/>
            <w:r w:rsidR="00022F5F">
              <w:rPr>
                <w:rFonts w:ascii="Times New Roman" w:hAnsi="Times New Roman"/>
                <w:sz w:val="16"/>
                <w:szCs w:val="16"/>
              </w:rPr>
              <w:t>"</w:t>
            </w:r>
            <w:r w:rsidRPr="00E16672">
              <w:rPr>
                <w:rFonts w:ascii="Times New Roman" w:hAnsi="Times New Roman"/>
                <w:sz w:val="16"/>
                <w:szCs w:val="16"/>
              </w:rPr>
              <w:t>.</w:t>
            </w:r>
          </w:p>
          <w:p w14:paraId="5793F210" w14:textId="77777777" w:rsidR="005C5318" w:rsidRPr="00E16672" w:rsidRDefault="005C5318" w:rsidP="005C5318">
            <w:pPr>
              <w:ind w:left="175" w:right="138" w:firstLine="7"/>
              <w:rPr>
                <w:rFonts w:ascii="Times New Roman" w:hAnsi="Times New Roman"/>
                <w:sz w:val="16"/>
                <w:szCs w:val="16"/>
              </w:rPr>
            </w:pPr>
          </w:p>
        </w:tc>
        <w:tc>
          <w:tcPr>
            <w:tcW w:w="5495" w:type="dxa"/>
            <w:gridSpan w:val="6"/>
            <w:shd w:val="clear" w:color="auto" w:fill="auto"/>
          </w:tcPr>
          <w:p w14:paraId="61BA39E9" w14:textId="77777777" w:rsidR="005C5318" w:rsidRPr="00E16672" w:rsidRDefault="005C5318" w:rsidP="005C5318">
            <w:pPr>
              <w:tabs>
                <w:tab w:val="left" w:pos="287"/>
              </w:tabs>
              <w:snapToGrid w:val="0"/>
              <w:ind w:left="145" w:right="100" w:firstLine="7"/>
              <w:jc w:val="center"/>
              <w:rPr>
                <w:rFonts w:ascii="Times New Roman" w:hAnsi="Times New Roman"/>
              </w:rPr>
            </w:pPr>
          </w:p>
          <w:p w14:paraId="404C8147" w14:textId="77777777" w:rsidR="005C5318" w:rsidRPr="00E16672" w:rsidRDefault="005C5318" w:rsidP="005C5318">
            <w:pPr>
              <w:tabs>
                <w:tab w:val="left" w:pos="287"/>
              </w:tabs>
              <w:snapToGrid w:val="0"/>
              <w:ind w:left="145" w:right="100" w:firstLine="7"/>
              <w:jc w:val="center"/>
              <w:rPr>
                <w:rFonts w:ascii="Times New Roman" w:hAnsi="Times New Roman"/>
                <w:b/>
                <w:caps/>
                <w:sz w:val="16"/>
                <w:szCs w:val="16"/>
                <w:lang w:val="en-GB"/>
              </w:rPr>
            </w:pPr>
            <w:r w:rsidRPr="00E16672">
              <w:rPr>
                <w:rFonts w:ascii="Times New Roman" w:hAnsi="Times New Roman"/>
                <w:b/>
                <w:caps/>
                <w:sz w:val="16"/>
                <w:szCs w:val="16"/>
                <w:lang w:val="en-GB"/>
              </w:rPr>
              <w:t>7. DISCLOSURE PROCEDURE THAT IS</w:t>
            </w:r>
            <w:r w:rsidRPr="00E16672">
              <w:rPr>
                <w:rFonts w:ascii="Times New Roman" w:hAnsi="Times New Roman"/>
                <w:b/>
                <w:caps/>
                <w:sz w:val="16"/>
                <w:szCs w:val="16"/>
                <w:lang w:val="en-US"/>
              </w:rPr>
              <w:t>an</w:t>
            </w:r>
            <w:r w:rsidRPr="00E16672">
              <w:rPr>
                <w:rFonts w:ascii="Times New Roman" w:hAnsi="Times New Roman"/>
                <w:b/>
                <w:caps/>
                <w:sz w:val="16"/>
                <w:szCs w:val="16"/>
                <w:lang w:val="en-GB"/>
              </w:rPr>
              <w:t xml:space="preserve"> information with limited access</w:t>
            </w:r>
          </w:p>
          <w:p w14:paraId="52084E45" w14:textId="77777777" w:rsidR="005C5318" w:rsidRPr="00E16672" w:rsidRDefault="005C5318" w:rsidP="005C5318">
            <w:pPr>
              <w:tabs>
                <w:tab w:val="left" w:pos="287"/>
              </w:tabs>
              <w:ind w:left="145" w:right="100" w:firstLine="7"/>
              <w:jc w:val="center"/>
              <w:rPr>
                <w:rFonts w:ascii="Times New Roman" w:hAnsi="Times New Roman"/>
                <w:b/>
                <w:caps/>
                <w:sz w:val="16"/>
                <w:szCs w:val="16"/>
                <w:lang w:val="en-US"/>
              </w:rPr>
            </w:pPr>
          </w:p>
          <w:p w14:paraId="23AF7FDD" w14:textId="77777777" w:rsidR="005C5318" w:rsidRPr="00E16672" w:rsidRDefault="005C5318" w:rsidP="005C5318">
            <w:pPr>
              <w:tabs>
                <w:tab w:val="left" w:pos="287"/>
              </w:tabs>
              <w:ind w:left="145" w:right="100" w:firstLine="7"/>
              <w:rPr>
                <w:rFonts w:ascii="Times New Roman" w:hAnsi="Times New Roman"/>
                <w:sz w:val="16"/>
                <w:szCs w:val="16"/>
                <w:lang w:val="en-GB"/>
              </w:rPr>
            </w:pPr>
            <w:r w:rsidRPr="00E16672">
              <w:rPr>
                <w:rFonts w:ascii="Times New Roman" w:hAnsi="Times New Roman"/>
                <w:sz w:val="16"/>
                <w:szCs w:val="16"/>
                <w:lang w:val="en-GB"/>
              </w:rPr>
              <w:t>7.1. The information contained in the depository account</w:t>
            </w:r>
            <w:r w:rsidRPr="00E16672">
              <w:rPr>
                <w:rFonts w:ascii="Times New Roman" w:hAnsi="Times New Roman"/>
                <w:sz w:val="16"/>
                <w:szCs w:val="16"/>
                <w:lang w:val="en-US"/>
              </w:rPr>
              <w:t xml:space="preserve"> system</w:t>
            </w:r>
            <w:r w:rsidRPr="00E16672">
              <w:rPr>
                <w:rFonts w:ascii="Times New Roman" w:hAnsi="Times New Roman"/>
                <w:sz w:val="16"/>
                <w:szCs w:val="16"/>
                <w:lang w:val="en-GB"/>
              </w:rPr>
              <w:t xml:space="preserve"> is </w:t>
            </w:r>
            <w:r w:rsidRPr="00E16672">
              <w:rPr>
                <w:rFonts w:ascii="Times New Roman" w:hAnsi="Times New Roman"/>
                <w:sz w:val="16"/>
                <w:szCs w:val="16"/>
                <w:lang w:val="en-US"/>
              </w:rPr>
              <w:t>an</w:t>
            </w:r>
            <w:r w:rsidRPr="00E16672">
              <w:rPr>
                <w:rFonts w:ascii="Times New Roman" w:hAnsi="Times New Roman"/>
                <w:sz w:val="16"/>
                <w:szCs w:val="16"/>
                <w:lang w:val="en-GB"/>
              </w:rPr>
              <w:t xml:space="preserve"> information</w:t>
            </w:r>
            <w:r w:rsidRPr="00E16672">
              <w:rPr>
                <w:rFonts w:ascii="Times New Roman" w:hAnsi="Times New Roman"/>
                <w:sz w:val="16"/>
                <w:szCs w:val="16"/>
                <w:lang w:val="en-US"/>
              </w:rPr>
              <w:t xml:space="preserve"> with limited access</w:t>
            </w:r>
            <w:r w:rsidRPr="00E16672">
              <w:rPr>
                <w:rFonts w:ascii="Times New Roman" w:hAnsi="Times New Roman"/>
                <w:sz w:val="16"/>
                <w:szCs w:val="16"/>
                <w:lang w:val="en-GB"/>
              </w:rPr>
              <w:t xml:space="preserve">, protected by law, and will not be divulged by the </w:t>
            </w:r>
            <w:r w:rsidRPr="00E16672">
              <w:rPr>
                <w:rFonts w:ascii="Times New Roman" w:hAnsi="Times New Roman"/>
                <w:sz w:val="16"/>
                <w:szCs w:val="16"/>
                <w:lang w:val="en-US"/>
              </w:rPr>
              <w:t>D</w:t>
            </w:r>
            <w:proofErr w:type="spellStart"/>
            <w:r w:rsidRPr="00E16672">
              <w:rPr>
                <w:rFonts w:ascii="Times New Roman" w:hAnsi="Times New Roman"/>
                <w:sz w:val="16"/>
                <w:szCs w:val="16"/>
                <w:lang w:val="en-GB"/>
              </w:rPr>
              <w:t>epository</w:t>
            </w:r>
            <w:proofErr w:type="spellEnd"/>
            <w:r w:rsidRPr="00E16672">
              <w:rPr>
                <w:rFonts w:ascii="Times New Roman" w:hAnsi="Times New Roman"/>
                <w:sz w:val="16"/>
                <w:szCs w:val="16"/>
                <w:lang w:val="en-GB"/>
              </w:rPr>
              <w:t xml:space="preserve"> institution, except as provided in Article 25 of the Law of Ukraine "On the Depository System of Ukraine".</w:t>
            </w:r>
          </w:p>
        </w:tc>
      </w:tr>
      <w:tr w:rsidR="005C5318" w:rsidRPr="00F23413" w14:paraId="5211A894" w14:textId="77777777" w:rsidTr="005E418B">
        <w:trPr>
          <w:trHeight w:val="192"/>
        </w:trPr>
        <w:tc>
          <w:tcPr>
            <w:tcW w:w="5695" w:type="dxa"/>
            <w:gridSpan w:val="6"/>
            <w:shd w:val="clear" w:color="auto" w:fill="auto"/>
          </w:tcPr>
          <w:p w14:paraId="227BDF4F" w14:textId="77777777" w:rsidR="005C5318" w:rsidRPr="00E16672" w:rsidRDefault="005C5318" w:rsidP="005C5318">
            <w:pPr>
              <w:snapToGrid w:val="0"/>
              <w:ind w:left="175" w:right="138" w:firstLine="7"/>
              <w:rPr>
                <w:rFonts w:ascii="Times New Roman" w:hAnsi="Times New Roman"/>
                <w:sz w:val="16"/>
                <w:szCs w:val="16"/>
              </w:rPr>
            </w:pPr>
            <w:r w:rsidRPr="00E16672">
              <w:rPr>
                <w:rFonts w:ascii="Times New Roman" w:hAnsi="Times New Roman"/>
                <w:sz w:val="16"/>
                <w:szCs w:val="16"/>
              </w:rPr>
              <w:t xml:space="preserve">7.2. </w:t>
            </w:r>
            <w:proofErr w:type="spellStart"/>
            <w:r w:rsidRPr="00E16672">
              <w:rPr>
                <w:rFonts w:ascii="Times New Roman" w:hAnsi="Times New Roman"/>
                <w:sz w:val="16"/>
                <w:szCs w:val="16"/>
              </w:rPr>
              <w:t>Інформація</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що</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міститься</w:t>
            </w:r>
            <w:proofErr w:type="spellEnd"/>
            <w:r w:rsidRPr="00E16672">
              <w:rPr>
                <w:rFonts w:ascii="Times New Roman" w:hAnsi="Times New Roman"/>
                <w:sz w:val="16"/>
                <w:szCs w:val="16"/>
              </w:rPr>
              <w:t xml:space="preserve"> у </w:t>
            </w:r>
            <w:proofErr w:type="spellStart"/>
            <w:r w:rsidRPr="00E16672">
              <w:rPr>
                <w:rFonts w:ascii="Times New Roman" w:hAnsi="Times New Roman"/>
                <w:sz w:val="16"/>
                <w:szCs w:val="16"/>
              </w:rPr>
              <w:t>системі</w:t>
            </w:r>
            <w:proofErr w:type="spellEnd"/>
            <w:r w:rsidRPr="00E16672">
              <w:rPr>
                <w:rFonts w:ascii="Times New Roman" w:hAnsi="Times New Roman"/>
                <w:sz w:val="16"/>
                <w:szCs w:val="16"/>
              </w:rPr>
              <w:t xml:space="preserve"> депозитарного </w:t>
            </w:r>
            <w:proofErr w:type="spellStart"/>
            <w:r w:rsidRPr="00E16672">
              <w:rPr>
                <w:rFonts w:ascii="Times New Roman" w:hAnsi="Times New Roman"/>
                <w:sz w:val="16"/>
                <w:szCs w:val="16"/>
              </w:rPr>
              <w:t>обліку</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надається</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власнику</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інформації</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або</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його</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представникові</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відповідно</w:t>
            </w:r>
            <w:proofErr w:type="spellEnd"/>
            <w:r w:rsidRPr="00E16672">
              <w:rPr>
                <w:rFonts w:ascii="Times New Roman" w:hAnsi="Times New Roman"/>
                <w:sz w:val="16"/>
                <w:szCs w:val="16"/>
              </w:rPr>
              <w:t xml:space="preserve"> до умов Договору, </w:t>
            </w:r>
            <w:proofErr w:type="spellStart"/>
            <w:r w:rsidRPr="00E16672">
              <w:rPr>
                <w:rFonts w:ascii="Times New Roman" w:hAnsi="Times New Roman"/>
                <w:sz w:val="16"/>
                <w:szCs w:val="16"/>
              </w:rPr>
              <w:t>або</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іншим</w:t>
            </w:r>
            <w:proofErr w:type="spellEnd"/>
            <w:r w:rsidRPr="00E16672">
              <w:rPr>
                <w:rFonts w:ascii="Times New Roman" w:hAnsi="Times New Roman"/>
                <w:sz w:val="16"/>
                <w:szCs w:val="16"/>
              </w:rPr>
              <w:t xml:space="preserve"> особам у </w:t>
            </w:r>
            <w:proofErr w:type="spellStart"/>
            <w:r w:rsidRPr="00E16672">
              <w:rPr>
                <w:rFonts w:ascii="Times New Roman" w:hAnsi="Times New Roman"/>
                <w:sz w:val="16"/>
                <w:szCs w:val="16"/>
              </w:rPr>
              <w:t>передбачених</w:t>
            </w:r>
            <w:proofErr w:type="spellEnd"/>
            <w:r w:rsidRPr="00E16672">
              <w:rPr>
                <w:rFonts w:ascii="Times New Roman" w:hAnsi="Times New Roman"/>
                <w:sz w:val="16"/>
                <w:szCs w:val="16"/>
              </w:rPr>
              <w:t xml:space="preserve"> законом </w:t>
            </w:r>
            <w:proofErr w:type="spellStart"/>
            <w:r w:rsidRPr="00E16672">
              <w:rPr>
                <w:rFonts w:ascii="Times New Roman" w:hAnsi="Times New Roman"/>
                <w:sz w:val="16"/>
                <w:szCs w:val="16"/>
              </w:rPr>
              <w:t>випадках</w:t>
            </w:r>
            <w:proofErr w:type="spellEnd"/>
            <w:r w:rsidRPr="00E16672">
              <w:rPr>
                <w:rFonts w:ascii="Times New Roman" w:hAnsi="Times New Roman"/>
                <w:sz w:val="16"/>
                <w:szCs w:val="16"/>
              </w:rPr>
              <w:t>.</w:t>
            </w:r>
          </w:p>
          <w:p w14:paraId="0532AB13" w14:textId="77777777" w:rsidR="005C5318" w:rsidRPr="00E16672" w:rsidRDefault="005C5318" w:rsidP="005C5318">
            <w:pPr>
              <w:snapToGrid w:val="0"/>
              <w:ind w:left="175" w:right="138" w:firstLine="7"/>
              <w:rPr>
                <w:rFonts w:ascii="Times New Roman" w:hAnsi="Times New Roman"/>
                <w:sz w:val="16"/>
                <w:szCs w:val="16"/>
              </w:rPr>
            </w:pPr>
          </w:p>
        </w:tc>
        <w:tc>
          <w:tcPr>
            <w:tcW w:w="5495" w:type="dxa"/>
            <w:gridSpan w:val="6"/>
            <w:shd w:val="clear" w:color="auto" w:fill="auto"/>
          </w:tcPr>
          <w:p w14:paraId="03D9B56C" w14:textId="77777777" w:rsidR="005C5318" w:rsidRPr="00E16672" w:rsidRDefault="005C5318" w:rsidP="005C5318">
            <w:pPr>
              <w:tabs>
                <w:tab w:val="left" w:pos="287"/>
              </w:tabs>
              <w:snapToGrid w:val="0"/>
              <w:ind w:left="145" w:right="100" w:firstLine="7"/>
              <w:rPr>
                <w:rFonts w:ascii="Times New Roman" w:hAnsi="Times New Roman"/>
                <w:sz w:val="16"/>
                <w:szCs w:val="16"/>
                <w:lang w:val="en-GB"/>
              </w:rPr>
            </w:pPr>
            <w:r w:rsidRPr="00E16672">
              <w:rPr>
                <w:rFonts w:ascii="Times New Roman" w:hAnsi="Times New Roman"/>
                <w:sz w:val="16"/>
                <w:szCs w:val="16"/>
                <w:lang w:val="en-GB"/>
              </w:rPr>
              <w:t>7.2. The information contained in the depository account</w:t>
            </w:r>
            <w:r w:rsidRPr="00E16672">
              <w:rPr>
                <w:rFonts w:ascii="Times New Roman" w:hAnsi="Times New Roman"/>
                <w:sz w:val="16"/>
                <w:szCs w:val="16"/>
                <w:lang w:val="en-US"/>
              </w:rPr>
              <w:t xml:space="preserve"> system</w:t>
            </w:r>
            <w:r w:rsidRPr="00E16672">
              <w:rPr>
                <w:rFonts w:ascii="Times New Roman" w:hAnsi="Times New Roman"/>
                <w:sz w:val="16"/>
                <w:szCs w:val="16"/>
                <w:lang w:val="en-GB"/>
              </w:rPr>
              <w:t xml:space="preserve"> </w:t>
            </w:r>
            <w:r w:rsidRPr="00E16672">
              <w:rPr>
                <w:rFonts w:ascii="Times New Roman" w:hAnsi="Times New Roman"/>
                <w:sz w:val="16"/>
                <w:szCs w:val="16"/>
                <w:lang w:val="en-US"/>
              </w:rPr>
              <w:t xml:space="preserve">  is </w:t>
            </w:r>
            <w:r w:rsidRPr="00E16672">
              <w:rPr>
                <w:rFonts w:ascii="Times New Roman" w:hAnsi="Times New Roman"/>
                <w:sz w:val="16"/>
                <w:szCs w:val="16"/>
                <w:lang w:val="en-GB"/>
              </w:rPr>
              <w:t>provided by the owner or his representative in accordance with the terms of the Agreement, or to other persons in accordance with the law.</w:t>
            </w:r>
          </w:p>
        </w:tc>
      </w:tr>
      <w:tr w:rsidR="005C5318" w:rsidRPr="00F23413" w14:paraId="75FF3BDF" w14:textId="77777777" w:rsidTr="005E418B">
        <w:trPr>
          <w:trHeight w:val="192"/>
        </w:trPr>
        <w:tc>
          <w:tcPr>
            <w:tcW w:w="5695" w:type="dxa"/>
            <w:gridSpan w:val="6"/>
            <w:shd w:val="clear" w:color="auto" w:fill="auto"/>
          </w:tcPr>
          <w:p w14:paraId="0A7D2663" w14:textId="77777777" w:rsidR="005C5318" w:rsidRPr="00E16672" w:rsidRDefault="005C5318" w:rsidP="005C5318">
            <w:pPr>
              <w:snapToGrid w:val="0"/>
              <w:ind w:left="175" w:right="138" w:firstLine="7"/>
              <w:rPr>
                <w:rFonts w:ascii="Times New Roman" w:hAnsi="Times New Roman"/>
                <w:sz w:val="16"/>
                <w:szCs w:val="16"/>
              </w:rPr>
            </w:pPr>
            <w:r w:rsidRPr="00E16672">
              <w:rPr>
                <w:rFonts w:ascii="Times New Roman" w:hAnsi="Times New Roman"/>
                <w:sz w:val="16"/>
                <w:szCs w:val="16"/>
              </w:rPr>
              <w:t xml:space="preserve">7.3. </w:t>
            </w:r>
            <w:proofErr w:type="spellStart"/>
            <w:r w:rsidRPr="00E16672">
              <w:rPr>
                <w:rFonts w:ascii="Times New Roman" w:hAnsi="Times New Roman"/>
                <w:sz w:val="16"/>
                <w:szCs w:val="16"/>
              </w:rPr>
              <w:t>Депозитарна</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установа</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забезпечує</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нерозголошення</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інформації</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що</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міститься</w:t>
            </w:r>
            <w:proofErr w:type="spellEnd"/>
            <w:r w:rsidRPr="00E16672">
              <w:rPr>
                <w:rFonts w:ascii="Times New Roman" w:hAnsi="Times New Roman"/>
                <w:sz w:val="16"/>
                <w:szCs w:val="16"/>
              </w:rPr>
              <w:t xml:space="preserve"> у </w:t>
            </w:r>
            <w:proofErr w:type="spellStart"/>
            <w:r w:rsidRPr="00E16672">
              <w:rPr>
                <w:rFonts w:ascii="Times New Roman" w:hAnsi="Times New Roman"/>
                <w:sz w:val="16"/>
                <w:szCs w:val="16"/>
              </w:rPr>
              <w:t>системі</w:t>
            </w:r>
            <w:proofErr w:type="spellEnd"/>
            <w:r w:rsidRPr="00E16672">
              <w:rPr>
                <w:rFonts w:ascii="Times New Roman" w:hAnsi="Times New Roman"/>
                <w:sz w:val="16"/>
                <w:szCs w:val="16"/>
              </w:rPr>
              <w:t xml:space="preserve"> депозитарного </w:t>
            </w:r>
            <w:proofErr w:type="spellStart"/>
            <w:r w:rsidRPr="00E16672">
              <w:rPr>
                <w:rFonts w:ascii="Times New Roman" w:hAnsi="Times New Roman"/>
                <w:sz w:val="16"/>
                <w:szCs w:val="16"/>
              </w:rPr>
              <w:t>обліку</w:t>
            </w:r>
            <w:proofErr w:type="spellEnd"/>
            <w:r w:rsidRPr="00E16672">
              <w:rPr>
                <w:rFonts w:ascii="Times New Roman" w:hAnsi="Times New Roman"/>
                <w:sz w:val="16"/>
                <w:szCs w:val="16"/>
              </w:rPr>
              <w:t>, шляхом:</w:t>
            </w:r>
          </w:p>
          <w:p w14:paraId="7E3657A9" w14:textId="77777777" w:rsidR="005C5318" w:rsidRPr="00E16672" w:rsidRDefault="005C5318" w:rsidP="005C5318">
            <w:pPr>
              <w:ind w:left="175" w:right="138" w:firstLine="7"/>
              <w:rPr>
                <w:rFonts w:ascii="Times New Roman" w:hAnsi="Times New Roman"/>
                <w:sz w:val="16"/>
                <w:szCs w:val="16"/>
              </w:rPr>
            </w:pPr>
            <w:r w:rsidRPr="00E16672">
              <w:rPr>
                <w:rFonts w:ascii="Times New Roman" w:hAnsi="Times New Roman"/>
                <w:sz w:val="16"/>
                <w:szCs w:val="16"/>
              </w:rPr>
              <w:t xml:space="preserve">1) </w:t>
            </w:r>
            <w:proofErr w:type="spellStart"/>
            <w:r w:rsidRPr="00E16672">
              <w:rPr>
                <w:rFonts w:ascii="Times New Roman" w:hAnsi="Times New Roman"/>
                <w:sz w:val="16"/>
                <w:szCs w:val="16"/>
              </w:rPr>
              <w:t>обмеження</w:t>
            </w:r>
            <w:proofErr w:type="spellEnd"/>
            <w:r w:rsidRPr="00E16672">
              <w:rPr>
                <w:rFonts w:ascii="Times New Roman" w:hAnsi="Times New Roman"/>
                <w:sz w:val="16"/>
                <w:szCs w:val="16"/>
              </w:rPr>
              <w:t xml:space="preserve"> кола </w:t>
            </w:r>
            <w:proofErr w:type="spellStart"/>
            <w:r w:rsidRPr="00E16672">
              <w:rPr>
                <w:rFonts w:ascii="Times New Roman" w:hAnsi="Times New Roman"/>
                <w:sz w:val="16"/>
                <w:szCs w:val="16"/>
              </w:rPr>
              <w:t>осіб</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які</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мають</w:t>
            </w:r>
            <w:proofErr w:type="spellEnd"/>
            <w:r w:rsidRPr="00E16672">
              <w:rPr>
                <w:rFonts w:ascii="Times New Roman" w:hAnsi="Times New Roman"/>
                <w:sz w:val="16"/>
                <w:szCs w:val="16"/>
              </w:rPr>
              <w:t xml:space="preserve"> доступ до </w:t>
            </w:r>
            <w:proofErr w:type="spellStart"/>
            <w:r w:rsidRPr="00E16672">
              <w:rPr>
                <w:rFonts w:ascii="Times New Roman" w:hAnsi="Times New Roman"/>
                <w:sz w:val="16"/>
                <w:szCs w:val="16"/>
              </w:rPr>
              <w:t>зазначеної</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інформації</w:t>
            </w:r>
            <w:proofErr w:type="spellEnd"/>
            <w:r w:rsidRPr="00E16672">
              <w:rPr>
                <w:rFonts w:ascii="Times New Roman" w:hAnsi="Times New Roman"/>
                <w:sz w:val="16"/>
                <w:szCs w:val="16"/>
              </w:rPr>
              <w:t>;</w:t>
            </w:r>
          </w:p>
          <w:p w14:paraId="05CDFB57" w14:textId="77777777" w:rsidR="005C5318" w:rsidRPr="00E16672" w:rsidRDefault="005C5318" w:rsidP="005C5318">
            <w:pPr>
              <w:ind w:left="175" w:right="138" w:firstLine="7"/>
              <w:rPr>
                <w:rFonts w:ascii="Times New Roman" w:hAnsi="Times New Roman"/>
                <w:sz w:val="16"/>
                <w:szCs w:val="16"/>
              </w:rPr>
            </w:pPr>
            <w:r w:rsidRPr="00E16672">
              <w:rPr>
                <w:rFonts w:ascii="Times New Roman" w:hAnsi="Times New Roman"/>
                <w:sz w:val="16"/>
                <w:szCs w:val="16"/>
              </w:rPr>
              <w:t xml:space="preserve">2) </w:t>
            </w:r>
            <w:proofErr w:type="spellStart"/>
            <w:r w:rsidRPr="00E16672">
              <w:rPr>
                <w:rFonts w:ascii="Times New Roman" w:hAnsi="Times New Roman"/>
                <w:sz w:val="16"/>
                <w:szCs w:val="16"/>
              </w:rPr>
              <w:t>організації</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спеціального</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діловодства</w:t>
            </w:r>
            <w:proofErr w:type="spellEnd"/>
            <w:r w:rsidRPr="00E16672">
              <w:rPr>
                <w:rFonts w:ascii="Times New Roman" w:hAnsi="Times New Roman"/>
                <w:sz w:val="16"/>
                <w:szCs w:val="16"/>
              </w:rPr>
              <w:t xml:space="preserve"> у </w:t>
            </w:r>
            <w:proofErr w:type="spellStart"/>
            <w:r w:rsidRPr="00E16672">
              <w:rPr>
                <w:rFonts w:ascii="Times New Roman" w:hAnsi="Times New Roman"/>
                <w:sz w:val="16"/>
                <w:szCs w:val="16"/>
              </w:rPr>
              <w:t>системі</w:t>
            </w:r>
            <w:proofErr w:type="spellEnd"/>
            <w:r w:rsidRPr="00E16672">
              <w:rPr>
                <w:rFonts w:ascii="Times New Roman" w:hAnsi="Times New Roman"/>
                <w:sz w:val="16"/>
                <w:szCs w:val="16"/>
              </w:rPr>
              <w:t xml:space="preserve"> депозитарного </w:t>
            </w:r>
            <w:proofErr w:type="spellStart"/>
            <w:r w:rsidRPr="00E16672">
              <w:rPr>
                <w:rFonts w:ascii="Times New Roman" w:hAnsi="Times New Roman"/>
                <w:sz w:val="16"/>
                <w:szCs w:val="16"/>
              </w:rPr>
              <w:t>обліку</w:t>
            </w:r>
            <w:proofErr w:type="spellEnd"/>
            <w:r w:rsidRPr="00E16672">
              <w:rPr>
                <w:rFonts w:ascii="Times New Roman" w:hAnsi="Times New Roman"/>
                <w:sz w:val="16"/>
                <w:szCs w:val="16"/>
              </w:rPr>
              <w:t>;</w:t>
            </w:r>
          </w:p>
          <w:p w14:paraId="4A2FDF58" w14:textId="77777777" w:rsidR="005C5318" w:rsidRPr="00E16672" w:rsidRDefault="005C5318" w:rsidP="005C5318">
            <w:pPr>
              <w:ind w:left="175" w:right="138" w:firstLine="7"/>
              <w:rPr>
                <w:rFonts w:ascii="Times New Roman" w:hAnsi="Times New Roman"/>
                <w:sz w:val="16"/>
                <w:szCs w:val="16"/>
              </w:rPr>
            </w:pPr>
          </w:p>
          <w:p w14:paraId="2998094A" w14:textId="77777777" w:rsidR="005C5318" w:rsidRPr="00E16672" w:rsidRDefault="005C5318" w:rsidP="005C5318">
            <w:pPr>
              <w:ind w:left="175" w:right="138" w:firstLine="7"/>
              <w:rPr>
                <w:rFonts w:ascii="Times New Roman" w:hAnsi="Times New Roman"/>
                <w:sz w:val="16"/>
                <w:szCs w:val="16"/>
              </w:rPr>
            </w:pPr>
            <w:r w:rsidRPr="00E16672">
              <w:rPr>
                <w:rFonts w:ascii="Times New Roman" w:hAnsi="Times New Roman"/>
                <w:sz w:val="16"/>
                <w:szCs w:val="16"/>
              </w:rPr>
              <w:t xml:space="preserve">3) </w:t>
            </w:r>
            <w:proofErr w:type="spellStart"/>
            <w:r w:rsidRPr="00E16672">
              <w:rPr>
                <w:rFonts w:ascii="Times New Roman" w:hAnsi="Times New Roman"/>
                <w:sz w:val="16"/>
                <w:szCs w:val="16"/>
              </w:rPr>
              <w:t>застосування</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технічних</w:t>
            </w:r>
            <w:proofErr w:type="spellEnd"/>
            <w:r w:rsidRPr="00E16672">
              <w:rPr>
                <w:rFonts w:ascii="Times New Roman" w:hAnsi="Times New Roman"/>
                <w:sz w:val="16"/>
                <w:szCs w:val="16"/>
              </w:rPr>
              <w:t xml:space="preserve"> та </w:t>
            </w:r>
            <w:proofErr w:type="spellStart"/>
            <w:r w:rsidRPr="00E16672">
              <w:rPr>
                <w:rFonts w:ascii="Times New Roman" w:hAnsi="Times New Roman"/>
                <w:sz w:val="16"/>
                <w:szCs w:val="16"/>
              </w:rPr>
              <w:t>програмних</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засобів</w:t>
            </w:r>
            <w:proofErr w:type="spellEnd"/>
            <w:r w:rsidRPr="00E16672">
              <w:rPr>
                <w:rFonts w:ascii="Times New Roman" w:hAnsi="Times New Roman"/>
                <w:sz w:val="16"/>
                <w:szCs w:val="16"/>
              </w:rPr>
              <w:t xml:space="preserve"> для </w:t>
            </w:r>
            <w:proofErr w:type="spellStart"/>
            <w:r w:rsidRPr="00E16672">
              <w:rPr>
                <w:rFonts w:ascii="Times New Roman" w:hAnsi="Times New Roman"/>
                <w:sz w:val="16"/>
                <w:szCs w:val="16"/>
              </w:rPr>
              <w:t>запобігання</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несанкціонованому</w:t>
            </w:r>
            <w:proofErr w:type="spellEnd"/>
            <w:r w:rsidRPr="00E16672">
              <w:rPr>
                <w:rFonts w:ascii="Times New Roman" w:hAnsi="Times New Roman"/>
                <w:sz w:val="16"/>
                <w:szCs w:val="16"/>
              </w:rPr>
              <w:t xml:space="preserve"> доступу до </w:t>
            </w:r>
            <w:proofErr w:type="spellStart"/>
            <w:r w:rsidRPr="00E16672">
              <w:rPr>
                <w:rFonts w:ascii="Times New Roman" w:hAnsi="Times New Roman"/>
                <w:sz w:val="16"/>
                <w:szCs w:val="16"/>
              </w:rPr>
              <w:t>носіїв</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такої</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інформації</w:t>
            </w:r>
            <w:proofErr w:type="spellEnd"/>
            <w:r w:rsidRPr="00E16672">
              <w:rPr>
                <w:rFonts w:ascii="Times New Roman" w:hAnsi="Times New Roman"/>
                <w:sz w:val="16"/>
                <w:szCs w:val="16"/>
              </w:rPr>
              <w:t>.</w:t>
            </w:r>
          </w:p>
          <w:p w14:paraId="48A918F3" w14:textId="77777777" w:rsidR="005C5318" w:rsidRPr="00E16672" w:rsidRDefault="005C5318" w:rsidP="005C5318">
            <w:pPr>
              <w:snapToGrid w:val="0"/>
              <w:ind w:left="175" w:right="138" w:firstLine="7"/>
              <w:rPr>
                <w:rFonts w:ascii="Times New Roman" w:hAnsi="Times New Roman"/>
                <w:sz w:val="16"/>
                <w:szCs w:val="16"/>
              </w:rPr>
            </w:pPr>
          </w:p>
        </w:tc>
        <w:tc>
          <w:tcPr>
            <w:tcW w:w="5495" w:type="dxa"/>
            <w:gridSpan w:val="6"/>
            <w:shd w:val="clear" w:color="auto" w:fill="auto"/>
          </w:tcPr>
          <w:p w14:paraId="1A2EFD8B" w14:textId="77777777" w:rsidR="005C5318" w:rsidRPr="00E16672" w:rsidRDefault="005C5318" w:rsidP="005C5318">
            <w:pPr>
              <w:tabs>
                <w:tab w:val="left" w:pos="287"/>
              </w:tabs>
              <w:snapToGrid w:val="0"/>
              <w:ind w:left="145" w:right="100" w:firstLine="7"/>
              <w:rPr>
                <w:rFonts w:ascii="Times New Roman" w:hAnsi="Times New Roman"/>
                <w:sz w:val="16"/>
                <w:szCs w:val="16"/>
                <w:lang w:val="en-GB"/>
              </w:rPr>
            </w:pPr>
            <w:r w:rsidRPr="00E16672">
              <w:rPr>
                <w:rFonts w:ascii="Times New Roman" w:hAnsi="Times New Roman"/>
                <w:sz w:val="16"/>
                <w:szCs w:val="16"/>
                <w:lang w:val="en-GB"/>
              </w:rPr>
              <w:t>7.3. Depository institution provides nondisclosure of the information contained in the depository account</w:t>
            </w:r>
            <w:r w:rsidRPr="00E16672">
              <w:rPr>
                <w:rFonts w:ascii="Times New Roman" w:hAnsi="Times New Roman"/>
                <w:sz w:val="16"/>
                <w:szCs w:val="16"/>
                <w:lang w:val="en-US"/>
              </w:rPr>
              <w:t xml:space="preserve"> system</w:t>
            </w:r>
            <w:r w:rsidRPr="00E16672">
              <w:rPr>
                <w:rFonts w:ascii="Times New Roman" w:hAnsi="Times New Roman"/>
                <w:sz w:val="16"/>
                <w:szCs w:val="16"/>
                <w:lang w:val="en-GB"/>
              </w:rPr>
              <w:t xml:space="preserve"> by:</w:t>
            </w:r>
          </w:p>
          <w:p w14:paraId="17C17A1E" w14:textId="77777777" w:rsidR="005C5318" w:rsidRPr="00E16672" w:rsidRDefault="005C5318" w:rsidP="005C5318">
            <w:pPr>
              <w:tabs>
                <w:tab w:val="left" w:pos="287"/>
              </w:tabs>
              <w:snapToGrid w:val="0"/>
              <w:ind w:left="145" w:right="100" w:firstLine="7"/>
              <w:rPr>
                <w:rFonts w:ascii="Times New Roman" w:hAnsi="Times New Roman"/>
                <w:sz w:val="16"/>
                <w:szCs w:val="16"/>
                <w:lang w:val="en-GB"/>
              </w:rPr>
            </w:pPr>
            <w:r w:rsidRPr="00E16672">
              <w:rPr>
                <w:rFonts w:ascii="Times New Roman" w:hAnsi="Times New Roman"/>
                <w:sz w:val="16"/>
                <w:szCs w:val="16"/>
                <w:lang w:val="en-GB"/>
              </w:rPr>
              <w:t>1) reduce the number of people who have access to such information;</w:t>
            </w:r>
          </w:p>
          <w:p w14:paraId="74768259" w14:textId="77777777" w:rsidR="005C5318" w:rsidRPr="00E16672" w:rsidRDefault="005C5318" w:rsidP="005C5318">
            <w:pPr>
              <w:tabs>
                <w:tab w:val="left" w:pos="287"/>
              </w:tabs>
              <w:snapToGrid w:val="0"/>
              <w:ind w:left="145" w:right="100" w:firstLine="7"/>
              <w:rPr>
                <w:rFonts w:ascii="Times New Roman" w:hAnsi="Times New Roman"/>
                <w:sz w:val="16"/>
                <w:szCs w:val="16"/>
                <w:lang w:val="en-GB"/>
              </w:rPr>
            </w:pPr>
            <w:r w:rsidRPr="00E16672">
              <w:rPr>
                <w:rFonts w:ascii="Times New Roman" w:hAnsi="Times New Roman"/>
                <w:sz w:val="16"/>
                <w:szCs w:val="16"/>
                <w:lang w:val="en-GB"/>
              </w:rPr>
              <w:t>2) the organization of a special case management in the depository account</w:t>
            </w:r>
            <w:r w:rsidRPr="00E16672">
              <w:rPr>
                <w:rFonts w:ascii="Times New Roman" w:hAnsi="Times New Roman"/>
                <w:sz w:val="16"/>
                <w:szCs w:val="16"/>
                <w:lang w:val="en-US"/>
              </w:rPr>
              <w:t xml:space="preserve"> system</w:t>
            </w:r>
            <w:r w:rsidRPr="00E16672">
              <w:rPr>
                <w:rFonts w:ascii="Times New Roman" w:hAnsi="Times New Roman"/>
                <w:sz w:val="16"/>
                <w:szCs w:val="16"/>
                <w:lang w:val="en-GB"/>
              </w:rPr>
              <w:t>;</w:t>
            </w:r>
          </w:p>
          <w:p w14:paraId="01738C0B" w14:textId="77777777" w:rsidR="005C5318" w:rsidRPr="00E16672" w:rsidRDefault="005C5318" w:rsidP="005C5318">
            <w:pPr>
              <w:tabs>
                <w:tab w:val="left" w:pos="287"/>
              </w:tabs>
              <w:snapToGrid w:val="0"/>
              <w:ind w:left="145" w:right="100" w:firstLine="7"/>
              <w:rPr>
                <w:rFonts w:ascii="Times New Roman" w:hAnsi="Times New Roman"/>
                <w:sz w:val="16"/>
                <w:szCs w:val="16"/>
                <w:lang w:val="en-GB"/>
              </w:rPr>
            </w:pPr>
            <w:r w:rsidRPr="00E16672">
              <w:rPr>
                <w:rFonts w:ascii="Times New Roman" w:hAnsi="Times New Roman"/>
                <w:sz w:val="16"/>
                <w:szCs w:val="16"/>
                <w:lang w:val="en-GB"/>
              </w:rPr>
              <w:t>3) the use of hardware and software tools to prevent unauthorized access to its carriers.</w:t>
            </w:r>
          </w:p>
          <w:p w14:paraId="48D03147" w14:textId="77777777" w:rsidR="005C5318" w:rsidRPr="00E16672" w:rsidRDefault="005C5318" w:rsidP="005C5318">
            <w:pPr>
              <w:tabs>
                <w:tab w:val="left" w:pos="287"/>
              </w:tabs>
              <w:ind w:left="145" w:right="100" w:firstLine="7"/>
              <w:rPr>
                <w:rFonts w:ascii="Times New Roman" w:hAnsi="Times New Roman"/>
                <w:sz w:val="16"/>
                <w:szCs w:val="16"/>
                <w:lang w:val="en-US"/>
              </w:rPr>
            </w:pPr>
          </w:p>
        </w:tc>
      </w:tr>
      <w:tr w:rsidR="005C5318" w:rsidRPr="00F23413" w14:paraId="105F91D6" w14:textId="77777777" w:rsidTr="005E418B">
        <w:trPr>
          <w:trHeight w:val="192"/>
        </w:trPr>
        <w:tc>
          <w:tcPr>
            <w:tcW w:w="5695" w:type="dxa"/>
            <w:gridSpan w:val="6"/>
            <w:shd w:val="clear" w:color="auto" w:fill="auto"/>
          </w:tcPr>
          <w:p w14:paraId="5BA8BF77" w14:textId="77777777" w:rsidR="005C5318" w:rsidRPr="00E16672" w:rsidRDefault="005C5318" w:rsidP="005C5318">
            <w:pPr>
              <w:snapToGrid w:val="0"/>
              <w:ind w:left="175" w:right="138" w:firstLine="7"/>
              <w:rPr>
                <w:rFonts w:ascii="Times New Roman" w:hAnsi="Times New Roman"/>
                <w:sz w:val="16"/>
                <w:szCs w:val="16"/>
                <w:lang w:val="en-US"/>
              </w:rPr>
            </w:pPr>
          </w:p>
        </w:tc>
        <w:tc>
          <w:tcPr>
            <w:tcW w:w="5495" w:type="dxa"/>
            <w:gridSpan w:val="6"/>
            <w:shd w:val="clear" w:color="auto" w:fill="auto"/>
          </w:tcPr>
          <w:p w14:paraId="73C60FF8" w14:textId="77777777" w:rsidR="005C5318" w:rsidRPr="00E16672" w:rsidRDefault="005C5318" w:rsidP="005C5318">
            <w:pPr>
              <w:tabs>
                <w:tab w:val="left" w:pos="287"/>
              </w:tabs>
              <w:snapToGrid w:val="0"/>
              <w:ind w:left="145" w:right="100" w:firstLine="7"/>
              <w:rPr>
                <w:rFonts w:ascii="Times New Roman" w:hAnsi="Times New Roman"/>
                <w:sz w:val="16"/>
                <w:szCs w:val="16"/>
                <w:lang w:val="en-GB"/>
              </w:rPr>
            </w:pPr>
          </w:p>
        </w:tc>
      </w:tr>
      <w:tr w:rsidR="005C5318" w:rsidRPr="00F23413" w14:paraId="76A536B1" w14:textId="77777777" w:rsidTr="005E418B">
        <w:trPr>
          <w:trHeight w:val="192"/>
        </w:trPr>
        <w:tc>
          <w:tcPr>
            <w:tcW w:w="5695" w:type="dxa"/>
            <w:gridSpan w:val="6"/>
            <w:shd w:val="clear" w:color="auto" w:fill="auto"/>
          </w:tcPr>
          <w:p w14:paraId="3D6A7238" w14:textId="77777777" w:rsidR="005C5318" w:rsidRPr="00E16672" w:rsidRDefault="005C5318" w:rsidP="00022F5F">
            <w:pPr>
              <w:snapToGrid w:val="0"/>
              <w:ind w:left="175" w:right="138" w:firstLine="7"/>
              <w:jc w:val="left"/>
              <w:rPr>
                <w:rFonts w:ascii="Times New Roman" w:hAnsi="Times New Roman"/>
                <w:sz w:val="16"/>
                <w:szCs w:val="16"/>
                <w:lang w:val="en-US"/>
              </w:rPr>
            </w:pPr>
            <w:r w:rsidRPr="00E16672">
              <w:rPr>
                <w:rFonts w:ascii="Times New Roman" w:hAnsi="Times New Roman"/>
                <w:sz w:val="16"/>
                <w:szCs w:val="16"/>
                <w:lang w:val="en-US"/>
              </w:rPr>
              <w:t xml:space="preserve">7.4. </w:t>
            </w:r>
            <w:proofErr w:type="spellStart"/>
            <w:r w:rsidRPr="00E16672">
              <w:rPr>
                <w:rFonts w:ascii="Times New Roman" w:hAnsi="Times New Roman"/>
                <w:sz w:val="16"/>
                <w:szCs w:val="16"/>
              </w:rPr>
              <w:t>Депозитарна</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установа</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надає</w:t>
            </w:r>
            <w:proofErr w:type="spellEnd"/>
            <w:r w:rsidRPr="00E16672">
              <w:rPr>
                <w:rFonts w:ascii="Times New Roman" w:hAnsi="Times New Roman"/>
                <w:sz w:val="16"/>
                <w:szCs w:val="16"/>
                <w:lang w:val="en-US"/>
              </w:rPr>
              <w:t xml:space="preserve"> </w:t>
            </w:r>
            <w:r w:rsidRPr="00E16672">
              <w:rPr>
                <w:rFonts w:ascii="Times New Roman" w:hAnsi="Times New Roman"/>
                <w:sz w:val="16"/>
                <w:szCs w:val="16"/>
              </w:rPr>
              <w:t>Центральному</w:t>
            </w:r>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депозитарію</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цінних</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паперів</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іншім</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учасникам</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депозитарної</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системи</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відповідно</w:t>
            </w:r>
            <w:proofErr w:type="spellEnd"/>
            <w:r w:rsidRPr="00E16672">
              <w:rPr>
                <w:rFonts w:ascii="Times New Roman" w:hAnsi="Times New Roman"/>
                <w:sz w:val="16"/>
                <w:szCs w:val="16"/>
                <w:lang w:val="en-US"/>
              </w:rPr>
              <w:t xml:space="preserve"> </w:t>
            </w:r>
            <w:r w:rsidRPr="00E16672">
              <w:rPr>
                <w:rFonts w:ascii="Times New Roman" w:hAnsi="Times New Roman"/>
                <w:sz w:val="16"/>
                <w:szCs w:val="16"/>
              </w:rPr>
              <w:t>до</w:t>
            </w:r>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вимог</w:t>
            </w:r>
            <w:proofErr w:type="spellEnd"/>
            <w:r w:rsidRPr="00E16672">
              <w:rPr>
                <w:rFonts w:ascii="Times New Roman" w:hAnsi="Times New Roman"/>
                <w:sz w:val="16"/>
                <w:szCs w:val="16"/>
                <w:lang w:val="en-US"/>
              </w:rPr>
              <w:t xml:space="preserve"> </w:t>
            </w:r>
            <w:r w:rsidRPr="00E16672">
              <w:rPr>
                <w:rFonts w:ascii="Times New Roman" w:hAnsi="Times New Roman"/>
                <w:sz w:val="16"/>
                <w:szCs w:val="16"/>
              </w:rPr>
              <w:t>чинного</w:t>
            </w:r>
            <w:r w:rsidRPr="00E16672">
              <w:rPr>
                <w:rFonts w:ascii="Times New Roman" w:hAnsi="Times New Roman"/>
                <w:sz w:val="16"/>
                <w:szCs w:val="16"/>
                <w:lang w:val="en-US"/>
              </w:rPr>
              <w:t xml:space="preserve"> </w:t>
            </w:r>
            <w:proofErr w:type="spellStart"/>
            <w:r w:rsidR="007B5C69" w:rsidRPr="00E16672">
              <w:rPr>
                <w:rFonts w:ascii="Times New Roman" w:hAnsi="Times New Roman"/>
                <w:sz w:val="16"/>
                <w:szCs w:val="16"/>
              </w:rPr>
              <w:t>законодавства</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інформацію</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щодо</w:t>
            </w:r>
            <w:proofErr w:type="spellEnd"/>
            <w:r w:rsidRPr="00E16672">
              <w:rPr>
                <w:rFonts w:ascii="Times New Roman" w:hAnsi="Times New Roman"/>
                <w:sz w:val="16"/>
                <w:szCs w:val="16"/>
                <w:lang w:val="en-US"/>
              </w:rPr>
              <w:t xml:space="preserve"> </w:t>
            </w:r>
            <w:r w:rsidRPr="00E16672">
              <w:rPr>
                <w:rFonts w:ascii="Times New Roman" w:hAnsi="Times New Roman"/>
                <w:sz w:val="16"/>
                <w:szCs w:val="16"/>
              </w:rPr>
              <w:t>Депонента</w:t>
            </w:r>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керуючого</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рахунком</w:t>
            </w:r>
            <w:proofErr w:type="spellEnd"/>
            <w:r w:rsidRPr="00E16672">
              <w:rPr>
                <w:rFonts w:ascii="Times New Roman" w:hAnsi="Times New Roman"/>
                <w:sz w:val="16"/>
                <w:szCs w:val="16"/>
                <w:lang w:val="en-US"/>
              </w:rPr>
              <w:t xml:space="preserve"> </w:t>
            </w:r>
            <w:r w:rsidR="00C22309" w:rsidRPr="00E16672">
              <w:rPr>
                <w:rFonts w:ascii="Times New Roman" w:hAnsi="Times New Roman"/>
                <w:sz w:val="16"/>
                <w:szCs w:val="16"/>
              </w:rPr>
              <w:t>в</w:t>
            </w:r>
            <w:r w:rsidR="00C22309" w:rsidRPr="00E16672">
              <w:rPr>
                <w:rFonts w:ascii="Times New Roman" w:hAnsi="Times New Roman"/>
                <w:sz w:val="16"/>
                <w:szCs w:val="16"/>
                <w:lang w:val="en-US"/>
              </w:rPr>
              <w:t xml:space="preserve"> </w:t>
            </w:r>
            <w:proofErr w:type="spellStart"/>
            <w:r w:rsidR="00C22309" w:rsidRPr="00E16672">
              <w:rPr>
                <w:rFonts w:ascii="Times New Roman" w:hAnsi="Times New Roman"/>
                <w:sz w:val="16"/>
                <w:szCs w:val="16"/>
              </w:rPr>
              <w:t>цін</w:t>
            </w:r>
            <w:r w:rsidRPr="00E16672">
              <w:rPr>
                <w:rFonts w:ascii="Times New Roman" w:hAnsi="Times New Roman"/>
                <w:sz w:val="16"/>
                <w:szCs w:val="16"/>
              </w:rPr>
              <w:t>них</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паперах</w:t>
            </w:r>
            <w:proofErr w:type="spellEnd"/>
            <w:r w:rsidRPr="00E16672">
              <w:rPr>
                <w:rFonts w:ascii="Times New Roman" w:hAnsi="Times New Roman"/>
                <w:sz w:val="16"/>
                <w:szCs w:val="16"/>
                <w:lang w:val="en-US"/>
              </w:rPr>
              <w:t xml:space="preserve"> </w:t>
            </w:r>
            <w:r w:rsidRPr="00E16672">
              <w:rPr>
                <w:rFonts w:ascii="Times New Roman" w:hAnsi="Times New Roman"/>
                <w:sz w:val="16"/>
                <w:szCs w:val="16"/>
              </w:rPr>
              <w:t>Депонента</w:t>
            </w:r>
            <w:r w:rsidRPr="00E16672">
              <w:rPr>
                <w:rFonts w:ascii="Times New Roman" w:hAnsi="Times New Roman"/>
                <w:sz w:val="16"/>
                <w:szCs w:val="16"/>
                <w:lang w:val="en-US"/>
              </w:rPr>
              <w:t xml:space="preserve"> </w:t>
            </w:r>
            <w:r w:rsidRPr="00E16672">
              <w:rPr>
                <w:rFonts w:ascii="Times New Roman" w:hAnsi="Times New Roman"/>
                <w:sz w:val="16"/>
                <w:szCs w:val="16"/>
              </w:rPr>
              <w:t>та</w:t>
            </w:r>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цінних</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паперів</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що</w:t>
            </w:r>
            <w:proofErr w:type="spellEnd"/>
            <w:r w:rsidRPr="00E16672">
              <w:rPr>
                <w:rFonts w:ascii="Times New Roman" w:hAnsi="Times New Roman"/>
                <w:sz w:val="16"/>
                <w:szCs w:val="16"/>
                <w:lang w:val="en-US"/>
              </w:rPr>
              <w:t xml:space="preserve"> </w:t>
            </w:r>
            <w:r w:rsidRPr="00E16672">
              <w:rPr>
                <w:rFonts w:ascii="Times New Roman" w:hAnsi="Times New Roman"/>
                <w:sz w:val="16"/>
                <w:szCs w:val="16"/>
              </w:rPr>
              <w:t>належать</w:t>
            </w:r>
            <w:r w:rsidRPr="00E16672">
              <w:rPr>
                <w:rFonts w:ascii="Times New Roman" w:hAnsi="Times New Roman"/>
                <w:sz w:val="16"/>
                <w:szCs w:val="16"/>
                <w:lang w:val="en-US"/>
              </w:rPr>
              <w:t xml:space="preserve"> </w:t>
            </w:r>
            <w:r w:rsidRPr="00E16672">
              <w:rPr>
                <w:rFonts w:ascii="Times New Roman" w:hAnsi="Times New Roman"/>
                <w:sz w:val="16"/>
                <w:szCs w:val="16"/>
              </w:rPr>
              <w:t>Депоненту</w:t>
            </w:r>
            <w:r w:rsidRPr="00E16672">
              <w:rPr>
                <w:rFonts w:ascii="Times New Roman" w:hAnsi="Times New Roman"/>
                <w:sz w:val="16"/>
                <w:szCs w:val="16"/>
                <w:lang w:val="en-US"/>
              </w:rPr>
              <w:t xml:space="preserve">, </w:t>
            </w:r>
            <w:r w:rsidRPr="00E16672">
              <w:rPr>
                <w:rFonts w:ascii="Times New Roman" w:hAnsi="Times New Roman"/>
                <w:sz w:val="16"/>
                <w:szCs w:val="16"/>
              </w:rPr>
              <w:t>яка</w:t>
            </w:r>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необхідна</w:t>
            </w:r>
            <w:proofErr w:type="spellEnd"/>
            <w:r w:rsidRPr="00E16672">
              <w:rPr>
                <w:rFonts w:ascii="Times New Roman" w:hAnsi="Times New Roman"/>
                <w:sz w:val="16"/>
                <w:szCs w:val="16"/>
                <w:lang w:val="en-US"/>
              </w:rPr>
              <w:t xml:space="preserve"> </w:t>
            </w:r>
            <w:r w:rsidRPr="00E16672">
              <w:rPr>
                <w:rFonts w:ascii="Times New Roman" w:hAnsi="Times New Roman"/>
                <w:sz w:val="16"/>
                <w:szCs w:val="16"/>
              </w:rPr>
              <w:t>для</w:t>
            </w:r>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здійснення</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розрахунків</w:t>
            </w:r>
            <w:proofErr w:type="spellEnd"/>
            <w:r w:rsidRPr="00E16672">
              <w:rPr>
                <w:rFonts w:ascii="Times New Roman" w:hAnsi="Times New Roman"/>
                <w:sz w:val="16"/>
                <w:szCs w:val="16"/>
                <w:lang w:val="en-US"/>
              </w:rPr>
              <w:t xml:space="preserve"> </w:t>
            </w:r>
            <w:r w:rsidRPr="00E16672">
              <w:rPr>
                <w:rFonts w:ascii="Times New Roman" w:hAnsi="Times New Roman"/>
                <w:sz w:val="16"/>
                <w:szCs w:val="16"/>
              </w:rPr>
              <w:t>за</w:t>
            </w:r>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правочинами</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щодо</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цінних</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паперів</w:t>
            </w:r>
            <w:proofErr w:type="spellEnd"/>
            <w:r w:rsidRPr="00E16672">
              <w:rPr>
                <w:rFonts w:ascii="Times New Roman" w:hAnsi="Times New Roman"/>
                <w:sz w:val="16"/>
                <w:szCs w:val="16"/>
                <w:lang w:val="en-US"/>
              </w:rPr>
              <w:t xml:space="preserve"> </w:t>
            </w:r>
            <w:r w:rsidRPr="00E16672">
              <w:rPr>
                <w:rFonts w:ascii="Times New Roman" w:hAnsi="Times New Roman"/>
                <w:sz w:val="16"/>
                <w:szCs w:val="16"/>
              </w:rPr>
              <w:t>з</w:t>
            </w:r>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дотриманням</w:t>
            </w:r>
            <w:proofErr w:type="spellEnd"/>
            <w:r w:rsidRPr="00E16672">
              <w:rPr>
                <w:rFonts w:ascii="Times New Roman" w:hAnsi="Times New Roman"/>
                <w:sz w:val="16"/>
                <w:szCs w:val="16"/>
                <w:lang w:val="en-US"/>
              </w:rPr>
              <w:t xml:space="preserve"> </w:t>
            </w:r>
            <w:r w:rsidRPr="00E16672">
              <w:rPr>
                <w:rFonts w:ascii="Times New Roman" w:hAnsi="Times New Roman"/>
                <w:sz w:val="16"/>
                <w:szCs w:val="16"/>
              </w:rPr>
              <w:t>принципу</w:t>
            </w:r>
            <w:r w:rsidRPr="00E16672">
              <w:rPr>
                <w:rFonts w:ascii="Times New Roman" w:hAnsi="Times New Roman"/>
                <w:sz w:val="16"/>
                <w:szCs w:val="16"/>
                <w:lang w:val="en-US"/>
              </w:rPr>
              <w:t xml:space="preserve"> </w:t>
            </w:r>
            <w:r w:rsidR="00022F5F">
              <w:rPr>
                <w:rFonts w:ascii="Times New Roman" w:hAnsi="Times New Roman"/>
                <w:sz w:val="16"/>
                <w:szCs w:val="16"/>
                <w:lang w:val="en-US"/>
              </w:rPr>
              <w:t>"</w:t>
            </w:r>
            <w:r w:rsidRPr="00E16672">
              <w:rPr>
                <w:rFonts w:ascii="Times New Roman" w:hAnsi="Times New Roman"/>
                <w:sz w:val="16"/>
                <w:szCs w:val="16"/>
              </w:rPr>
              <w:t>поставка</w:t>
            </w:r>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цінних</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паперів</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проти</w:t>
            </w:r>
            <w:proofErr w:type="spellEnd"/>
            <w:r w:rsidRPr="00E16672">
              <w:rPr>
                <w:rFonts w:ascii="Times New Roman" w:hAnsi="Times New Roman"/>
                <w:sz w:val="16"/>
                <w:szCs w:val="16"/>
                <w:lang w:val="en-US"/>
              </w:rPr>
              <w:t xml:space="preserve"> </w:t>
            </w:r>
            <w:r w:rsidRPr="00E16672">
              <w:rPr>
                <w:rFonts w:ascii="Times New Roman" w:hAnsi="Times New Roman"/>
                <w:sz w:val="16"/>
                <w:szCs w:val="16"/>
              </w:rPr>
              <w:t>оплати</w:t>
            </w:r>
            <w:r w:rsidR="00022F5F">
              <w:rPr>
                <w:rFonts w:ascii="Times New Roman" w:hAnsi="Times New Roman"/>
                <w:sz w:val="16"/>
                <w:szCs w:val="16"/>
                <w:lang w:val="en-US"/>
              </w:rPr>
              <w:t>"</w:t>
            </w:r>
            <w:r w:rsidRPr="00E16672">
              <w:rPr>
                <w:rFonts w:ascii="Times New Roman" w:hAnsi="Times New Roman"/>
                <w:sz w:val="16"/>
                <w:szCs w:val="16"/>
                <w:lang w:val="en-US"/>
              </w:rPr>
              <w:t xml:space="preserve">, </w:t>
            </w:r>
            <w:r w:rsidRPr="00E16672">
              <w:rPr>
                <w:rFonts w:ascii="Times New Roman" w:hAnsi="Times New Roman"/>
                <w:sz w:val="16"/>
                <w:szCs w:val="16"/>
              </w:rPr>
              <w:t>з</w:t>
            </w:r>
            <w:r w:rsidRPr="00E16672">
              <w:rPr>
                <w:rFonts w:ascii="Times New Roman" w:hAnsi="Times New Roman"/>
                <w:sz w:val="16"/>
                <w:szCs w:val="16"/>
                <w:lang w:val="en-US"/>
              </w:rPr>
              <w:t xml:space="preserve"> </w:t>
            </w:r>
            <w:r w:rsidRPr="00E16672">
              <w:rPr>
                <w:rFonts w:ascii="Times New Roman" w:hAnsi="Times New Roman"/>
                <w:sz w:val="16"/>
                <w:szCs w:val="16"/>
              </w:rPr>
              <w:t>метою</w:t>
            </w:r>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подальшого</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надання</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такої</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інформації</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Розрахунковому</w:t>
            </w:r>
            <w:proofErr w:type="spellEnd"/>
            <w:r w:rsidRPr="00E16672">
              <w:rPr>
                <w:rFonts w:ascii="Times New Roman" w:hAnsi="Times New Roman"/>
                <w:sz w:val="16"/>
                <w:szCs w:val="16"/>
                <w:lang w:val="en-US"/>
              </w:rPr>
              <w:t xml:space="preserve"> </w:t>
            </w:r>
            <w:r w:rsidRPr="00E16672">
              <w:rPr>
                <w:rFonts w:ascii="Times New Roman" w:hAnsi="Times New Roman"/>
                <w:sz w:val="16"/>
                <w:szCs w:val="16"/>
              </w:rPr>
              <w:t>центру</w:t>
            </w:r>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чи</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кліринговій</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установі</w:t>
            </w:r>
            <w:proofErr w:type="spellEnd"/>
            <w:r w:rsidRPr="00E16672">
              <w:rPr>
                <w:rFonts w:ascii="Times New Roman" w:hAnsi="Times New Roman"/>
                <w:sz w:val="16"/>
                <w:szCs w:val="16"/>
                <w:lang w:val="en-US"/>
              </w:rPr>
              <w:t xml:space="preserve"> </w:t>
            </w:r>
            <w:r w:rsidRPr="00E16672">
              <w:rPr>
                <w:rFonts w:ascii="Times New Roman" w:hAnsi="Times New Roman"/>
                <w:sz w:val="16"/>
                <w:szCs w:val="16"/>
              </w:rPr>
              <w:t>для</w:t>
            </w:r>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її</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відображення</w:t>
            </w:r>
            <w:proofErr w:type="spellEnd"/>
            <w:r w:rsidRPr="00E16672">
              <w:rPr>
                <w:rFonts w:ascii="Times New Roman" w:hAnsi="Times New Roman"/>
                <w:sz w:val="16"/>
                <w:szCs w:val="16"/>
                <w:lang w:val="en-US"/>
              </w:rPr>
              <w:t xml:space="preserve"> </w:t>
            </w:r>
            <w:r w:rsidRPr="00E16672">
              <w:rPr>
                <w:rFonts w:ascii="Times New Roman" w:hAnsi="Times New Roman"/>
                <w:sz w:val="16"/>
                <w:szCs w:val="16"/>
              </w:rPr>
              <w:t>у</w:t>
            </w:r>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внутрішній</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системі</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обліку</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такої</w:t>
            </w:r>
            <w:proofErr w:type="spellEnd"/>
            <w:r w:rsidRPr="00E16672">
              <w:rPr>
                <w:rFonts w:ascii="Times New Roman" w:hAnsi="Times New Roman"/>
                <w:sz w:val="16"/>
                <w:szCs w:val="16"/>
                <w:lang w:val="en-US"/>
              </w:rPr>
              <w:t xml:space="preserve"> </w:t>
            </w:r>
            <w:r w:rsidRPr="00E16672">
              <w:rPr>
                <w:rFonts w:ascii="Times New Roman" w:hAnsi="Times New Roman"/>
                <w:sz w:val="16"/>
                <w:szCs w:val="16"/>
              </w:rPr>
              <w:t>особи</w:t>
            </w:r>
            <w:r w:rsidRPr="00E16672">
              <w:rPr>
                <w:rFonts w:ascii="Times New Roman" w:hAnsi="Times New Roman"/>
                <w:sz w:val="16"/>
                <w:szCs w:val="16"/>
                <w:lang w:val="en-US"/>
              </w:rPr>
              <w:t xml:space="preserve">, </w:t>
            </w:r>
            <w:r w:rsidRPr="00E16672">
              <w:rPr>
                <w:rFonts w:ascii="Times New Roman" w:hAnsi="Times New Roman"/>
                <w:sz w:val="16"/>
                <w:szCs w:val="16"/>
              </w:rPr>
              <w:t>про</w:t>
            </w:r>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що</w:t>
            </w:r>
            <w:proofErr w:type="spellEnd"/>
            <w:r w:rsidRPr="00E16672">
              <w:rPr>
                <w:rFonts w:ascii="Times New Roman" w:hAnsi="Times New Roman"/>
                <w:sz w:val="16"/>
                <w:szCs w:val="16"/>
                <w:lang w:val="en-US"/>
              </w:rPr>
              <w:t xml:space="preserve"> </w:t>
            </w:r>
            <w:r w:rsidRPr="00E16672">
              <w:rPr>
                <w:rFonts w:ascii="Times New Roman" w:hAnsi="Times New Roman"/>
                <w:sz w:val="16"/>
                <w:szCs w:val="16"/>
              </w:rPr>
              <w:t>Депонент</w:t>
            </w:r>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надає</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згоду</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підписавши</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цей</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Договір</w:t>
            </w:r>
            <w:proofErr w:type="spellEnd"/>
            <w:r w:rsidRPr="00E16672">
              <w:rPr>
                <w:rFonts w:ascii="Times New Roman" w:hAnsi="Times New Roman"/>
                <w:sz w:val="16"/>
                <w:szCs w:val="16"/>
                <w:lang w:val="en-US"/>
              </w:rPr>
              <w:t>.</w:t>
            </w:r>
          </w:p>
          <w:p w14:paraId="37ACA004" w14:textId="77777777" w:rsidR="005C5318" w:rsidRPr="00E16672" w:rsidRDefault="005C5318" w:rsidP="005C5318">
            <w:pPr>
              <w:snapToGrid w:val="0"/>
              <w:ind w:left="175" w:right="138" w:firstLine="7"/>
              <w:rPr>
                <w:rFonts w:ascii="Times New Roman" w:hAnsi="Times New Roman"/>
                <w:lang w:val="en-US"/>
              </w:rPr>
            </w:pPr>
          </w:p>
        </w:tc>
        <w:tc>
          <w:tcPr>
            <w:tcW w:w="5495" w:type="dxa"/>
            <w:gridSpan w:val="6"/>
            <w:shd w:val="clear" w:color="auto" w:fill="auto"/>
          </w:tcPr>
          <w:p w14:paraId="748392D7" w14:textId="77777777" w:rsidR="005C5318" w:rsidRPr="00E16672" w:rsidRDefault="005C5318" w:rsidP="005C5318">
            <w:pPr>
              <w:tabs>
                <w:tab w:val="left" w:pos="287"/>
              </w:tabs>
              <w:snapToGrid w:val="0"/>
              <w:ind w:left="145" w:right="100" w:firstLine="7"/>
              <w:rPr>
                <w:rFonts w:ascii="Times New Roman" w:hAnsi="Times New Roman"/>
                <w:sz w:val="16"/>
                <w:szCs w:val="16"/>
                <w:lang w:val="en-GB"/>
              </w:rPr>
            </w:pPr>
            <w:r w:rsidRPr="00E16672">
              <w:rPr>
                <w:rFonts w:ascii="Times New Roman" w:hAnsi="Times New Roman"/>
                <w:sz w:val="16"/>
                <w:szCs w:val="16"/>
                <w:lang w:val="en-GB"/>
              </w:rPr>
              <w:t xml:space="preserve">7.4. Depository institution provides </w:t>
            </w:r>
            <w:r w:rsidRPr="00E16672">
              <w:rPr>
                <w:rFonts w:ascii="Times New Roman" w:hAnsi="Times New Roman"/>
                <w:sz w:val="16"/>
                <w:szCs w:val="16"/>
                <w:lang w:val="en-US"/>
              </w:rPr>
              <w:t>C</w:t>
            </w:r>
            <w:proofErr w:type="spellStart"/>
            <w:r w:rsidRPr="00E16672">
              <w:rPr>
                <w:rFonts w:ascii="Times New Roman" w:hAnsi="Times New Roman"/>
                <w:sz w:val="16"/>
                <w:szCs w:val="16"/>
                <w:lang w:val="en-GB"/>
              </w:rPr>
              <w:t>entral</w:t>
            </w:r>
            <w:proofErr w:type="spellEnd"/>
            <w:r w:rsidRPr="00E16672">
              <w:rPr>
                <w:rFonts w:ascii="Times New Roman" w:hAnsi="Times New Roman"/>
                <w:sz w:val="16"/>
                <w:szCs w:val="16"/>
                <w:lang w:val="en-GB"/>
              </w:rPr>
              <w:t xml:space="preserve"> securities depository</w:t>
            </w:r>
            <w:r w:rsidRPr="00E16672">
              <w:rPr>
                <w:rFonts w:ascii="Times New Roman" w:hAnsi="Times New Roman"/>
                <w:bCs/>
                <w:sz w:val="16"/>
                <w:szCs w:val="16"/>
                <w:lang w:val="en-US"/>
              </w:rPr>
              <w:t>,</w:t>
            </w:r>
            <w:r w:rsidRPr="00F23413">
              <w:rPr>
                <w:rStyle w:val="WW8Num7z0"/>
                <w:rFonts w:ascii="Times New Roman" w:hAnsi="Times New Roman"/>
                <w:lang w:val="en-US"/>
              </w:rPr>
              <w:t xml:space="preserve"> </w:t>
            </w:r>
            <w:r w:rsidRPr="00E16672">
              <w:rPr>
                <w:rFonts w:ascii="Times New Roman" w:hAnsi="Times New Roman"/>
                <w:sz w:val="16"/>
                <w:szCs w:val="16"/>
                <w:lang w:val="en-GB"/>
              </w:rPr>
              <w:t>other participants in the depository system in accordance with current law,</w:t>
            </w:r>
            <w:r w:rsidRPr="00E16672">
              <w:rPr>
                <w:rFonts w:ascii="Times New Roman" w:hAnsi="Times New Roman"/>
                <w:bCs/>
                <w:sz w:val="16"/>
                <w:szCs w:val="16"/>
                <w:lang w:val="en-GB"/>
              </w:rPr>
              <w:t xml:space="preserve"> </w:t>
            </w:r>
            <w:r w:rsidRPr="00E16672">
              <w:rPr>
                <w:rFonts w:ascii="Times New Roman" w:hAnsi="Times New Roman"/>
                <w:sz w:val="16"/>
                <w:szCs w:val="16"/>
                <w:lang w:val="en-GB"/>
              </w:rPr>
              <w:t xml:space="preserve"> information about the Depositor, Depositor's</w:t>
            </w:r>
            <w:r w:rsidRPr="00E16672">
              <w:rPr>
                <w:rFonts w:ascii="Times New Roman" w:hAnsi="Times New Roman"/>
                <w:sz w:val="16"/>
                <w:szCs w:val="16"/>
                <w:lang w:val="en-US"/>
              </w:rPr>
              <w:t xml:space="preserve"> administrator</w:t>
            </w:r>
            <w:r w:rsidRPr="00E16672">
              <w:rPr>
                <w:rFonts w:ascii="Times New Roman" w:hAnsi="Times New Roman"/>
                <w:sz w:val="16"/>
                <w:szCs w:val="16"/>
                <w:lang w:val="en-GB"/>
              </w:rPr>
              <w:t xml:space="preserve"> </w:t>
            </w:r>
            <w:r w:rsidRPr="00E16672">
              <w:rPr>
                <w:rFonts w:ascii="Times New Roman" w:hAnsi="Times New Roman"/>
                <w:sz w:val="16"/>
                <w:szCs w:val="16"/>
                <w:lang w:val="en-US"/>
              </w:rPr>
              <w:t xml:space="preserve">of the </w:t>
            </w:r>
            <w:r w:rsidRPr="00E16672">
              <w:rPr>
                <w:rFonts w:ascii="Times New Roman" w:hAnsi="Times New Roman"/>
                <w:sz w:val="16"/>
                <w:szCs w:val="16"/>
                <w:lang w:val="en-GB"/>
              </w:rPr>
              <w:t>account</w:t>
            </w:r>
            <w:r w:rsidRPr="00E16672">
              <w:rPr>
                <w:rFonts w:ascii="Times New Roman" w:hAnsi="Times New Roman"/>
                <w:sz w:val="16"/>
                <w:szCs w:val="16"/>
                <w:lang w:val="en-US"/>
              </w:rPr>
              <w:t xml:space="preserve"> in</w:t>
            </w:r>
            <w:r w:rsidRPr="00E16672">
              <w:rPr>
                <w:rFonts w:ascii="Times New Roman" w:hAnsi="Times New Roman"/>
                <w:sz w:val="16"/>
                <w:szCs w:val="16"/>
                <w:lang w:val="en-GB"/>
              </w:rPr>
              <w:t xml:space="preserve">  securities and securities belonging to the </w:t>
            </w:r>
            <w:r w:rsidRPr="00E16672">
              <w:rPr>
                <w:rFonts w:ascii="Times New Roman" w:hAnsi="Times New Roman"/>
                <w:sz w:val="16"/>
                <w:szCs w:val="16"/>
                <w:lang w:val="en-US"/>
              </w:rPr>
              <w:t>D</w:t>
            </w:r>
            <w:proofErr w:type="spellStart"/>
            <w:r w:rsidRPr="00E16672">
              <w:rPr>
                <w:rFonts w:ascii="Times New Roman" w:hAnsi="Times New Roman"/>
                <w:sz w:val="16"/>
                <w:szCs w:val="16"/>
                <w:lang w:val="en-GB"/>
              </w:rPr>
              <w:t>epositor</w:t>
            </w:r>
            <w:proofErr w:type="spellEnd"/>
            <w:r w:rsidRPr="00E16672">
              <w:rPr>
                <w:rFonts w:ascii="Times New Roman" w:hAnsi="Times New Roman"/>
                <w:sz w:val="16"/>
                <w:szCs w:val="16"/>
                <w:lang w:val="en-GB"/>
              </w:rPr>
              <w:t xml:space="preserve"> is required to make payments for legal actions concerning securities in compliance with the principle of "delivery of securities against payment" in order to continue to provide such information </w:t>
            </w:r>
            <w:r w:rsidRPr="00E16672">
              <w:rPr>
                <w:rFonts w:ascii="Times New Roman" w:hAnsi="Times New Roman"/>
                <w:sz w:val="16"/>
                <w:szCs w:val="16"/>
                <w:lang w:val="en-US"/>
              </w:rPr>
              <w:t>Accounting</w:t>
            </w:r>
            <w:r w:rsidRPr="00E16672">
              <w:rPr>
                <w:rFonts w:ascii="Times New Roman" w:hAnsi="Times New Roman"/>
                <w:sz w:val="16"/>
                <w:szCs w:val="16"/>
                <w:lang w:val="en-GB"/>
              </w:rPr>
              <w:t xml:space="preserve"> </w:t>
            </w:r>
            <w:proofErr w:type="spellStart"/>
            <w:r w:rsidRPr="00E16672">
              <w:rPr>
                <w:rFonts w:ascii="Times New Roman" w:hAnsi="Times New Roman"/>
                <w:sz w:val="16"/>
                <w:szCs w:val="16"/>
                <w:lang w:val="en-GB"/>
              </w:rPr>
              <w:t>center</w:t>
            </w:r>
            <w:proofErr w:type="spellEnd"/>
            <w:r w:rsidRPr="00E16672">
              <w:rPr>
                <w:rFonts w:ascii="Times New Roman" w:hAnsi="Times New Roman"/>
                <w:sz w:val="16"/>
                <w:szCs w:val="16"/>
                <w:lang w:val="en-GB"/>
              </w:rPr>
              <w:t xml:space="preserve"> or clearing institution to display it in the internal accounting system of </w:t>
            </w:r>
            <w:r w:rsidRPr="00E16672">
              <w:rPr>
                <w:rFonts w:ascii="Times New Roman" w:hAnsi="Times New Roman"/>
                <w:sz w:val="16"/>
                <w:szCs w:val="16"/>
                <w:lang w:val="en-US"/>
              </w:rPr>
              <w:t>such</w:t>
            </w:r>
            <w:r w:rsidRPr="00E16672">
              <w:rPr>
                <w:rFonts w:ascii="Times New Roman" w:hAnsi="Times New Roman"/>
                <w:sz w:val="16"/>
                <w:szCs w:val="16"/>
                <w:lang w:val="en-GB"/>
              </w:rPr>
              <w:t xml:space="preserve"> person, as Depositor provides consent by signing this Agreement.</w:t>
            </w:r>
          </w:p>
        </w:tc>
      </w:tr>
      <w:tr w:rsidR="005C5318" w:rsidRPr="00F23413" w14:paraId="75174FDD" w14:textId="77777777" w:rsidTr="005E418B">
        <w:trPr>
          <w:trHeight w:val="192"/>
        </w:trPr>
        <w:tc>
          <w:tcPr>
            <w:tcW w:w="5695" w:type="dxa"/>
            <w:gridSpan w:val="6"/>
            <w:shd w:val="clear" w:color="auto" w:fill="auto"/>
          </w:tcPr>
          <w:p w14:paraId="3B30166B" w14:textId="77777777" w:rsidR="005C5318" w:rsidRPr="00E16672" w:rsidRDefault="005C5318" w:rsidP="005C5318">
            <w:pPr>
              <w:snapToGrid w:val="0"/>
              <w:ind w:left="175" w:right="138"/>
              <w:jc w:val="center"/>
              <w:rPr>
                <w:rFonts w:ascii="Times New Roman" w:hAnsi="Times New Roman"/>
                <w:b/>
                <w:caps/>
                <w:sz w:val="16"/>
                <w:szCs w:val="16"/>
              </w:rPr>
            </w:pPr>
            <w:r w:rsidRPr="00E16672">
              <w:rPr>
                <w:rFonts w:ascii="Times New Roman" w:hAnsi="Times New Roman"/>
                <w:b/>
                <w:caps/>
                <w:sz w:val="16"/>
                <w:szCs w:val="16"/>
              </w:rPr>
              <w:t xml:space="preserve">8. Виконання умов договору. </w:t>
            </w:r>
          </w:p>
          <w:p w14:paraId="3ED8D2EC" w14:textId="77777777" w:rsidR="005C5318" w:rsidRPr="00E16672" w:rsidRDefault="005C5318" w:rsidP="005C5318">
            <w:pPr>
              <w:ind w:left="175" w:right="138"/>
              <w:jc w:val="center"/>
              <w:rPr>
                <w:rFonts w:ascii="Times New Roman" w:hAnsi="Times New Roman"/>
                <w:b/>
                <w:caps/>
                <w:sz w:val="16"/>
                <w:szCs w:val="16"/>
              </w:rPr>
            </w:pPr>
            <w:r w:rsidRPr="00E16672">
              <w:rPr>
                <w:rFonts w:ascii="Times New Roman" w:hAnsi="Times New Roman"/>
                <w:b/>
                <w:caps/>
                <w:sz w:val="16"/>
                <w:szCs w:val="16"/>
              </w:rPr>
              <w:t xml:space="preserve">Порядок закриття рахунку </w:t>
            </w:r>
            <w:r w:rsidR="00C22309" w:rsidRPr="00E16672">
              <w:rPr>
                <w:rFonts w:ascii="Times New Roman" w:hAnsi="Times New Roman"/>
                <w:b/>
                <w:caps/>
                <w:sz w:val="16"/>
                <w:szCs w:val="16"/>
              </w:rPr>
              <w:t>в цін</w:t>
            </w:r>
            <w:r w:rsidRPr="00E16672">
              <w:rPr>
                <w:rFonts w:ascii="Times New Roman" w:hAnsi="Times New Roman"/>
                <w:b/>
                <w:caps/>
                <w:sz w:val="16"/>
                <w:szCs w:val="16"/>
              </w:rPr>
              <w:t>них паперах. Особливі умови.</w:t>
            </w:r>
          </w:p>
          <w:p w14:paraId="1F208F96" w14:textId="77777777" w:rsidR="005C5318" w:rsidRPr="00E16672" w:rsidRDefault="005C5318" w:rsidP="005C5318">
            <w:pPr>
              <w:ind w:left="175" w:right="138"/>
              <w:jc w:val="center"/>
              <w:rPr>
                <w:rFonts w:ascii="Times New Roman" w:hAnsi="Times New Roman"/>
                <w:sz w:val="16"/>
                <w:szCs w:val="16"/>
                <w:shd w:val="clear" w:color="auto" w:fill="FFFF00"/>
              </w:rPr>
            </w:pPr>
          </w:p>
          <w:p w14:paraId="3F313DE4" w14:textId="77777777" w:rsidR="005C5318" w:rsidRPr="00E16672" w:rsidRDefault="005C5318" w:rsidP="005C5318">
            <w:pPr>
              <w:snapToGrid w:val="0"/>
              <w:ind w:left="175" w:right="138" w:firstLine="0"/>
              <w:rPr>
                <w:rFonts w:ascii="Times New Roman" w:hAnsi="Times New Roman"/>
                <w:sz w:val="16"/>
                <w:szCs w:val="16"/>
              </w:rPr>
            </w:pPr>
            <w:r w:rsidRPr="00E16672">
              <w:rPr>
                <w:rFonts w:ascii="Times New Roman" w:hAnsi="Times New Roman"/>
                <w:sz w:val="16"/>
                <w:szCs w:val="16"/>
              </w:rPr>
              <w:t xml:space="preserve">8.1. </w:t>
            </w:r>
            <w:proofErr w:type="spellStart"/>
            <w:r w:rsidRPr="00E16672">
              <w:rPr>
                <w:rFonts w:ascii="Times New Roman" w:hAnsi="Times New Roman"/>
                <w:sz w:val="16"/>
                <w:szCs w:val="16"/>
              </w:rPr>
              <w:t>Депозитарна</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установа</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має</w:t>
            </w:r>
            <w:proofErr w:type="spellEnd"/>
            <w:r w:rsidRPr="00E16672">
              <w:rPr>
                <w:rFonts w:ascii="Times New Roman" w:hAnsi="Times New Roman"/>
                <w:sz w:val="16"/>
                <w:szCs w:val="16"/>
              </w:rPr>
              <w:t xml:space="preserve"> статус </w:t>
            </w:r>
            <w:proofErr w:type="spellStart"/>
            <w:r w:rsidRPr="00E16672">
              <w:rPr>
                <w:rFonts w:ascii="Times New Roman" w:hAnsi="Times New Roman"/>
                <w:sz w:val="16"/>
                <w:szCs w:val="16"/>
              </w:rPr>
              <w:t>платника</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податку</w:t>
            </w:r>
            <w:proofErr w:type="spellEnd"/>
            <w:r w:rsidRPr="00E16672">
              <w:rPr>
                <w:rFonts w:ascii="Times New Roman" w:hAnsi="Times New Roman"/>
                <w:sz w:val="16"/>
                <w:szCs w:val="16"/>
              </w:rPr>
              <w:t xml:space="preserve"> на </w:t>
            </w:r>
            <w:proofErr w:type="spellStart"/>
            <w:r w:rsidRPr="00E16672">
              <w:rPr>
                <w:rFonts w:ascii="Times New Roman" w:hAnsi="Times New Roman"/>
                <w:sz w:val="16"/>
                <w:szCs w:val="16"/>
              </w:rPr>
              <w:t>прибуток</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підприємства</w:t>
            </w:r>
            <w:proofErr w:type="spellEnd"/>
            <w:r w:rsidRPr="00E16672">
              <w:rPr>
                <w:rFonts w:ascii="Times New Roman" w:hAnsi="Times New Roman"/>
                <w:sz w:val="16"/>
                <w:szCs w:val="16"/>
              </w:rPr>
              <w:t xml:space="preserve"> на </w:t>
            </w:r>
            <w:proofErr w:type="spellStart"/>
            <w:r w:rsidRPr="00E16672">
              <w:rPr>
                <w:rFonts w:ascii="Times New Roman" w:hAnsi="Times New Roman"/>
                <w:sz w:val="16"/>
                <w:szCs w:val="16"/>
              </w:rPr>
              <w:t>загальних</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умовах</w:t>
            </w:r>
            <w:proofErr w:type="spellEnd"/>
            <w:r w:rsidRPr="00E16672">
              <w:rPr>
                <w:rFonts w:ascii="Times New Roman" w:hAnsi="Times New Roman"/>
                <w:sz w:val="16"/>
                <w:szCs w:val="16"/>
              </w:rPr>
              <w:t>.</w:t>
            </w:r>
          </w:p>
        </w:tc>
        <w:tc>
          <w:tcPr>
            <w:tcW w:w="5495" w:type="dxa"/>
            <w:gridSpan w:val="6"/>
            <w:shd w:val="clear" w:color="auto" w:fill="auto"/>
          </w:tcPr>
          <w:p w14:paraId="5F2029D8" w14:textId="77777777" w:rsidR="005C5318" w:rsidRPr="00E16672" w:rsidRDefault="005C5318" w:rsidP="005C5318">
            <w:pPr>
              <w:tabs>
                <w:tab w:val="left" w:pos="287"/>
              </w:tabs>
              <w:snapToGrid w:val="0"/>
              <w:ind w:left="145" w:right="100"/>
              <w:jc w:val="center"/>
              <w:rPr>
                <w:rFonts w:ascii="Times New Roman" w:hAnsi="Times New Roman"/>
                <w:b/>
                <w:sz w:val="16"/>
                <w:szCs w:val="16"/>
                <w:lang w:val="en-GB"/>
              </w:rPr>
            </w:pPr>
            <w:r w:rsidRPr="00E16672">
              <w:rPr>
                <w:rFonts w:ascii="Times New Roman" w:hAnsi="Times New Roman"/>
                <w:b/>
                <w:sz w:val="16"/>
                <w:szCs w:val="16"/>
                <w:lang w:val="en-GB"/>
              </w:rPr>
              <w:t xml:space="preserve">8. EXECUTIONS THE CONDITIONSOF THE AGREEMENT. </w:t>
            </w:r>
          </w:p>
          <w:p w14:paraId="6FF23163" w14:textId="77777777" w:rsidR="005C5318" w:rsidRPr="00F23413" w:rsidRDefault="005C5318" w:rsidP="005C5318">
            <w:pPr>
              <w:tabs>
                <w:tab w:val="left" w:pos="287"/>
              </w:tabs>
              <w:snapToGrid w:val="0"/>
              <w:ind w:left="145" w:right="100"/>
              <w:jc w:val="center"/>
              <w:rPr>
                <w:rStyle w:val="shorttext"/>
                <w:rFonts w:ascii="Times New Roman" w:hAnsi="Times New Roman"/>
                <w:lang w:val="en-US"/>
              </w:rPr>
            </w:pPr>
            <w:r w:rsidRPr="00E16672">
              <w:rPr>
                <w:rFonts w:ascii="Times New Roman" w:hAnsi="Times New Roman"/>
                <w:b/>
                <w:caps/>
                <w:sz w:val="16"/>
                <w:szCs w:val="16"/>
                <w:lang w:val="en-GB"/>
              </w:rPr>
              <w:t>Procedure for closing a</w:t>
            </w:r>
            <w:r w:rsidRPr="00E16672">
              <w:rPr>
                <w:rFonts w:ascii="Times New Roman" w:hAnsi="Times New Roman"/>
                <w:b/>
                <w:caps/>
                <w:sz w:val="16"/>
                <w:szCs w:val="16"/>
                <w:lang w:val="en-US"/>
              </w:rPr>
              <w:t xml:space="preserve">n </w:t>
            </w:r>
            <w:proofErr w:type="gramStart"/>
            <w:r w:rsidRPr="00E16672">
              <w:rPr>
                <w:rFonts w:ascii="Times New Roman" w:hAnsi="Times New Roman"/>
                <w:b/>
                <w:caps/>
                <w:sz w:val="16"/>
                <w:szCs w:val="16"/>
                <w:lang w:val="en-GB"/>
              </w:rPr>
              <w:t xml:space="preserve">account </w:t>
            </w:r>
            <w:r w:rsidRPr="00E16672">
              <w:rPr>
                <w:rFonts w:ascii="Times New Roman" w:hAnsi="Times New Roman"/>
                <w:b/>
                <w:caps/>
                <w:sz w:val="16"/>
                <w:szCs w:val="16"/>
                <w:lang w:val="en-US"/>
              </w:rPr>
              <w:t xml:space="preserve"> in</w:t>
            </w:r>
            <w:proofErr w:type="gramEnd"/>
            <w:r w:rsidRPr="00E16672">
              <w:rPr>
                <w:rFonts w:ascii="Times New Roman" w:hAnsi="Times New Roman"/>
                <w:b/>
                <w:caps/>
                <w:sz w:val="16"/>
                <w:szCs w:val="16"/>
                <w:lang w:val="en-US"/>
              </w:rPr>
              <w:t xml:space="preserve"> </w:t>
            </w:r>
            <w:r w:rsidRPr="00E16672">
              <w:rPr>
                <w:rFonts w:ascii="Times New Roman" w:hAnsi="Times New Roman"/>
                <w:b/>
                <w:caps/>
                <w:sz w:val="16"/>
                <w:szCs w:val="16"/>
                <w:lang w:val="en-GB"/>
              </w:rPr>
              <w:t>securities</w:t>
            </w:r>
            <w:r w:rsidRPr="00F23413">
              <w:rPr>
                <w:rStyle w:val="shorttext"/>
                <w:rFonts w:ascii="Times New Roman" w:hAnsi="Times New Roman"/>
                <w:lang w:val="en-US"/>
              </w:rPr>
              <w:t>.</w:t>
            </w:r>
          </w:p>
          <w:p w14:paraId="395D8EB6" w14:textId="77777777" w:rsidR="005C5318" w:rsidRPr="00E16672" w:rsidRDefault="005C5318" w:rsidP="005C5318">
            <w:pPr>
              <w:tabs>
                <w:tab w:val="left" w:pos="287"/>
              </w:tabs>
              <w:snapToGrid w:val="0"/>
              <w:ind w:left="145" w:right="100"/>
              <w:jc w:val="center"/>
              <w:rPr>
                <w:rFonts w:ascii="Times New Roman" w:hAnsi="Times New Roman"/>
                <w:b/>
                <w:sz w:val="16"/>
                <w:szCs w:val="16"/>
                <w:lang w:val="en-GB"/>
              </w:rPr>
            </w:pPr>
            <w:r w:rsidRPr="00E16672">
              <w:rPr>
                <w:rFonts w:ascii="Times New Roman" w:hAnsi="Times New Roman"/>
                <w:b/>
                <w:sz w:val="16"/>
                <w:szCs w:val="16"/>
                <w:lang w:val="en-GB"/>
              </w:rPr>
              <w:t>SPECIAL CONDITIONS.</w:t>
            </w:r>
          </w:p>
          <w:p w14:paraId="5538BDBF" w14:textId="77777777" w:rsidR="005C5318" w:rsidRPr="00E16672" w:rsidRDefault="005C5318" w:rsidP="005C5318">
            <w:pPr>
              <w:tabs>
                <w:tab w:val="left" w:pos="287"/>
              </w:tabs>
              <w:snapToGrid w:val="0"/>
              <w:ind w:left="145" w:right="100"/>
              <w:jc w:val="center"/>
              <w:rPr>
                <w:rFonts w:ascii="Times New Roman" w:hAnsi="Times New Roman"/>
                <w:sz w:val="16"/>
                <w:szCs w:val="16"/>
                <w:shd w:val="clear" w:color="auto" w:fill="FFFF00"/>
                <w:lang w:val="en-GB"/>
              </w:rPr>
            </w:pPr>
          </w:p>
          <w:p w14:paraId="7CD43C39" w14:textId="77777777" w:rsidR="005C5318" w:rsidRPr="00E16672" w:rsidRDefault="005C5318" w:rsidP="005C5318">
            <w:pPr>
              <w:pStyle w:val="310"/>
              <w:tabs>
                <w:tab w:val="left" w:pos="287"/>
                <w:tab w:val="left" w:pos="1137"/>
                <w:tab w:val="left" w:pos="1191"/>
              </w:tabs>
              <w:snapToGrid w:val="0"/>
              <w:ind w:left="145" w:right="100" w:firstLine="0"/>
              <w:rPr>
                <w:rFonts w:ascii="Times New Roman" w:hAnsi="Times New Roman"/>
                <w:sz w:val="16"/>
                <w:szCs w:val="16"/>
              </w:rPr>
            </w:pPr>
            <w:r w:rsidRPr="00E16672">
              <w:rPr>
                <w:rFonts w:ascii="Times New Roman" w:hAnsi="Times New Roman"/>
                <w:sz w:val="16"/>
                <w:szCs w:val="16"/>
              </w:rPr>
              <w:t xml:space="preserve">8.1. </w:t>
            </w:r>
            <w:proofErr w:type="spellStart"/>
            <w:r w:rsidRPr="00E16672">
              <w:rPr>
                <w:rFonts w:ascii="Times New Roman" w:hAnsi="Times New Roman"/>
                <w:sz w:val="16"/>
                <w:szCs w:val="16"/>
              </w:rPr>
              <w:t>Depository</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institution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has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status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of</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payer</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of</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company</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income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tax</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general</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conditions</w:t>
            </w:r>
            <w:proofErr w:type="spellEnd"/>
            <w:r w:rsidRPr="00E16672">
              <w:rPr>
                <w:rFonts w:ascii="Times New Roman" w:hAnsi="Times New Roman"/>
                <w:sz w:val="16"/>
                <w:szCs w:val="16"/>
              </w:rPr>
              <w:t>.</w:t>
            </w:r>
          </w:p>
        </w:tc>
      </w:tr>
      <w:tr w:rsidR="005C5318" w:rsidRPr="00F23413" w14:paraId="17891D15" w14:textId="77777777" w:rsidTr="005E418B">
        <w:trPr>
          <w:trHeight w:val="192"/>
        </w:trPr>
        <w:tc>
          <w:tcPr>
            <w:tcW w:w="5695" w:type="dxa"/>
            <w:gridSpan w:val="6"/>
            <w:shd w:val="clear" w:color="auto" w:fill="auto"/>
          </w:tcPr>
          <w:p w14:paraId="1A5FC68D" w14:textId="77777777" w:rsidR="005C5318" w:rsidRPr="00E16672" w:rsidRDefault="005C5318" w:rsidP="005C5318">
            <w:pPr>
              <w:snapToGrid w:val="0"/>
              <w:ind w:left="175" w:right="138" w:firstLine="0"/>
              <w:rPr>
                <w:rFonts w:ascii="Times New Roman" w:hAnsi="Times New Roman"/>
                <w:color w:val="000000"/>
                <w:sz w:val="16"/>
                <w:szCs w:val="16"/>
                <w:lang w:val="uk-UA"/>
              </w:rPr>
            </w:pPr>
          </w:p>
          <w:p w14:paraId="6750CD09" w14:textId="77777777" w:rsidR="005C5318" w:rsidRPr="00E16672" w:rsidRDefault="005C5318" w:rsidP="005C5318">
            <w:pPr>
              <w:snapToGrid w:val="0"/>
              <w:ind w:left="175" w:right="138" w:firstLine="0"/>
              <w:rPr>
                <w:rFonts w:ascii="Times New Roman" w:hAnsi="Times New Roman"/>
                <w:b/>
                <w:caps/>
                <w:color w:val="000000"/>
                <w:sz w:val="16"/>
                <w:szCs w:val="16"/>
              </w:rPr>
            </w:pPr>
            <w:r w:rsidRPr="00E16672">
              <w:rPr>
                <w:rFonts w:ascii="Times New Roman" w:hAnsi="Times New Roman"/>
                <w:color w:val="000000"/>
                <w:sz w:val="16"/>
                <w:szCs w:val="16"/>
                <w:lang w:val="uk-UA"/>
              </w:rPr>
              <w:t xml:space="preserve">8.2. </w:t>
            </w:r>
            <w:proofErr w:type="spellStart"/>
            <w:r w:rsidRPr="00E16672">
              <w:rPr>
                <w:rFonts w:ascii="Times New Roman" w:hAnsi="Times New Roman"/>
                <w:color w:val="000000"/>
                <w:sz w:val="16"/>
                <w:szCs w:val="16"/>
              </w:rPr>
              <w:t>Підписанням</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цього</w:t>
            </w:r>
            <w:proofErr w:type="spellEnd"/>
            <w:r w:rsidRPr="00E16672">
              <w:rPr>
                <w:rFonts w:ascii="Times New Roman" w:hAnsi="Times New Roman"/>
                <w:color w:val="000000"/>
                <w:sz w:val="16"/>
                <w:szCs w:val="16"/>
              </w:rPr>
              <w:t xml:space="preserve"> Договору Депонент </w:t>
            </w:r>
            <w:proofErr w:type="spellStart"/>
            <w:r w:rsidRPr="00E16672">
              <w:rPr>
                <w:rFonts w:ascii="Times New Roman" w:hAnsi="Times New Roman"/>
                <w:color w:val="000000"/>
                <w:sz w:val="16"/>
                <w:szCs w:val="16"/>
              </w:rPr>
              <w:t>підтверджує</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що</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ознайомлений</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із</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внутрішніми</w:t>
            </w:r>
            <w:proofErr w:type="spellEnd"/>
            <w:r w:rsidRPr="00E16672">
              <w:rPr>
                <w:rFonts w:ascii="Times New Roman" w:hAnsi="Times New Roman"/>
                <w:color w:val="000000"/>
                <w:sz w:val="16"/>
                <w:szCs w:val="16"/>
              </w:rPr>
              <w:t xml:space="preserve"> документами </w:t>
            </w:r>
            <w:proofErr w:type="spellStart"/>
            <w:r w:rsidRPr="00E16672">
              <w:rPr>
                <w:rFonts w:ascii="Times New Roman" w:hAnsi="Times New Roman"/>
                <w:color w:val="000000"/>
                <w:sz w:val="16"/>
                <w:szCs w:val="16"/>
              </w:rPr>
              <w:t>Депозитарної</w:t>
            </w:r>
            <w:proofErr w:type="spellEnd"/>
            <w:r w:rsidRPr="00E16672">
              <w:rPr>
                <w:rFonts w:ascii="Times New Roman" w:hAnsi="Times New Roman"/>
                <w:color w:val="000000"/>
                <w:sz w:val="16"/>
                <w:szCs w:val="16"/>
              </w:rPr>
              <w:t xml:space="preserve"> установи, тарифами </w:t>
            </w:r>
            <w:proofErr w:type="spellStart"/>
            <w:r w:rsidRPr="00E16672">
              <w:rPr>
                <w:rFonts w:ascii="Times New Roman" w:hAnsi="Times New Roman"/>
                <w:color w:val="000000"/>
                <w:sz w:val="16"/>
                <w:szCs w:val="16"/>
              </w:rPr>
              <w:t>Депозитарної</w:t>
            </w:r>
            <w:proofErr w:type="spellEnd"/>
            <w:r w:rsidRPr="00E16672">
              <w:rPr>
                <w:rFonts w:ascii="Times New Roman" w:hAnsi="Times New Roman"/>
                <w:color w:val="000000"/>
                <w:sz w:val="16"/>
                <w:szCs w:val="16"/>
              </w:rPr>
              <w:t xml:space="preserve"> установи.</w:t>
            </w:r>
          </w:p>
        </w:tc>
        <w:tc>
          <w:tcPr>
            <w:tcW w:w="5495" w:type="dxa"/>
            <w:gridSpan w:val="6"/>
            <w:shd w:val="clear" w:color="auto" w:fill="auto"/>
          </w:tcPr>
          <w:p w14:paraId="21D6CCDB" w14:textId="77777777" w:rsidR="005C5318" w:rsidRPr="00E16672" w:rsidRDefault="005C5318" w:rsidP="005C5318">
            <w:pPr>
              <w:snapToGrid w:val="0"/>
              <w:ind w:left="175" w:right="138" w:firstLine="0"/>
              <w:rPr>
                <w:rFonts w:ascii="Times New Roman" w:hAnsi="Times New Roman"/>
                <w:color w:val="000000"/>
                <w:sz w:val="16"/>
                <w:szCs w:val="16"/>
                <w:lang w:val="uk-UA"/>
              </w:rPr>
            </w:pPr>
          </w:p>
          <w:p w14:paraId="487DA754" w14:textId="77777777" w:rsidR="005C5318" w:rsidRPr="00E16672" w:rsidRDefault="005C5318" w:rsidP="005C5318">
            <w:pPr>
              <w:snapToGrid w:val="0"/>
              <w:ind w:left="175" w:right="138" w:firstLine="0"/>
              <w:rPr>
                <w:rFonts w:ascii="Times New Roman" w:hAnsi="Times New Roman"/>
                <w:b/>
                <w:color w:val="000000"/>
                <w:sz w:val="16"/>
                <w:szCs w:val="16"/>
                <w:lang w:val="uk-UA"/>
              </w:rPr>
            </w:pPr>
            <w:r w:rsidRPr="00E16672">
              <w:rPr>
                <w:rFonts w:ascii="Times New Roman" w:hAnsi="Times New Roman"/>
                <w:color w:val="000000"/>
                <w:sz w:val="16"/>
                <w:szCs w:val="16"/>
                <w:lang w:val="uk-UA"/>
              </w:rPr>
              <w:t xml:space="preserve">8.2. </w:t>
            </w:r>
            <w:r w:rsidRPr="00E16672">
              <w:rPr>
                <w:rFonts w:ascii="Times New Roman" w:hAnsi="Times New Roman"/>
                <w:color w:val="000000"/>
                <w:sz w:val="16"/>
                <w:szCs w:val="16"/>
                <w:lang w:val="en-US"/>
              </w:rPr>
              <w:t xml:space="preserve">By signing </w:t>
            </w:r>
            <w:proofErr w:type="gramStart"/>
            <w:r w:rsidRPr="00E16672">
              <w:rPr>
                <w:rFonts w:ascii="Times New Roman" w:hAnsi="Times New Roman"/>
                <w:color w:val="000000"/>
                <w:sz w:val="16"/>
                <w:szCs w:val="16"/>
                <w:lang w:val="en-US"/>
              </w:rPr>
              <w:t>of  this</w:t>
            </w:r>
            <w:proofErr w:type="gramEnd"/>
            <w:r w:rsidRPr="00E16672">
              <w:rPr>
                <w:rFonts w:ascii="Times New Roman" w:hAnsi="Times New Roman"/>
                <w:color w:val="000000"/>
                <w:sz w:val="16"/>
                <w:szCs w:val="16"/>
                <w:lang w:val="en-US"/>
              </w:rPr>
              <w:t xml:space="preserve"> Agreement the Depositor confirms that was familiarized with the internal documents of Depositary institution, tariffs of Depository institution</w:t>
            </w:r>
            <w:r w:rsidRPr="00E16672">
              <w:rPr>
                <w:rFonts w:ascii="Times New Roman" w:hAnsi="Times New Roman"/>
                <w:color w:val="000000"/>
                <w:sz w:val="16"/>
                <w:szCs w:val="16"/>
                <w:lang w:val="uk-UA"/>
              </w:rPr>
              <w:t>.</w:t>
            </w:r>
          </w:p>
        </w:tc>
      </w:tr>
      <w:tr w:rsidR="005C5318" w:rsidRPr="00F23413" w14:paraId="0EDD9766" w14:textId="77777777" w:rsidTr="000D0438">
        <w:trPr>
          <w:trHeight w:val="1193"/>
        </w:trPr>
        <w:tc>
          <w:tcPr>
            <w:tcW w:w="5695" w:type="dxa"/>
            <w:gridSpan w:val="6"/>
            <w:shd w:val="clear" w:color="auto" w:fill="auto"/>
          </w:tcPr>
          <w:p w14:paraId="022D60C3" w14:textId="77777777" w:rsidR="005C5318" w:rsidRPr="00E16672" w:rsidRDefault="005C5318" w:rsidP="00022F5F">
            <w:pPr>
              <w:pStyle w:val="ae"/>
              <w:tabs>
                <w:tab w:val="left" w:pos="1080"/>
                <w:tab w:val="left" w:pos="1134"/>
              </w:tabs>
              <w:ind w:left="175" w:right="138" w:firstLine="0"/>
              <w:jc w:val="left"/>
              <w:rPr>
                <w:rFonts w:ascii="Times New Roman" w:hAnsi="Times New Roman"/>
                <w:sz w:val="16"/>
                <w:szCs w:val="16"/>
              </w:rPr>
            </w:pPr>
            <w:r w:rsidRPr="00E16672">
              <w:rPr>
                <w:rFonts w:ascii="Times New Roman" w:hAnsi="Times New Roman"/>
                <w:sz w:val="16"/>
                <w:szCs w:val="16"/>
              </w:rPr>
              <w:t xml:space="preserve">Депонент підтверджує, що Депозитарній установі йому надана інформація, зазначена в частині другій статті 12 Закону України </w:t>
            </w:r>
            <w:r w:rsidR="00022F5F">
              <w:rPr>
                <w:rFonts w:ascii="Times New Roman" w:hAnsi="Times New Roman"/>
                <w:sz w:val="16"/>
                <w:szCs w:val="16"/>
              </w:rPr>
              <w:t>"</w:t>
            </w:r>
            <w:r w:rsidRPr="00E16672">
              <w:rPr>
                <w:rFonts w:ascii="Times New Roman" w:hAnsi="Times New Roman"/>
                <w:sz w:val="16"/>
                <w:szCs w:val="16"/>
              </w:rPr>
              <w:t>Про фінансові послуги та державне регулювання ринків фінансових послуг</w:t>
            </w:r>
            <w:r w:rsidR="00022F5F">
              <w:rPr>
                <w:rFonts w:ascii="Times New Roman" w:hAnsi="Times New Roman"/>
                <w:sz w:val="16"/>
                <w:szCs w:val="16"/>
              </w:rPr>
              <w:t>"</w:t>
            </w:r>
            <w:r w:rsidRPr="00E16672">
              <w:rPr>
                <w:rFonts w:ascii="Times New Roman" w:hAnsi="Times New Roman"/>
                <w:sz w:val="16"/>
                <w:szCs w:val="16"/>
              </w:rPr>
              <w:t>.</w:t>
            </w:r>
          </w:p>
          <w:p w14:paraId="21E5B9CF" w14:textId="77777777" w:rsidR="005C5318" w:rsidRPr="00E16672" w:rsidRDefault="005C5318" w:rsidP="000D0438">
            <w:pPr>
              <w:pStyle w:val="ae"/>
              <w:tabs>
                <w:tab w:val="left" w:pos="1080"/>
                <w:tab w:val="left" w:pos="1134"/>
              </w:tabs>
              <w:ind w:left="175" w:right="138" w:firstLine="0"/>
              <w:rPr>
                <w:rFonts w:ascii="Times New Roman" w:hAnsi="Times New Roman"/>
                <w:sz w:val="16"/>
                <w:szCs w:val="16"/>
                <w:shd w:val="clear" w:color="auto" w:fill="FFFF00"/>
                <w:lang w:val="ru-RU"/>
              </w:rPr>
            </w:pPr>
            <w:r w:rsidRPr="00E16672">
              <w:rPr>
                <w:rFonts w:ascii="Times New Roman" w:hAnsi="Times New Roman"/>
                <w:sz w:val="16"/>
                <w:szCs w:val="16"/>
              </w:rPr>
              <w:t>Інформація, що була надана Депоненту, забезпечила правильне розуміння Депонентом  суті фінансової послуги, що має надаватись, без нав'язування її придбання.</w:t>
            </w:r>
          </w:p>
        </w:tc>
        <w:tc>
          <w:tcPr>
            <w:tcW w:w="5495" w:type="dxa"/>
            <w:gridSpan w:val="6"/>
            <w:shd w:val="clear" w:color="auto" w:fill="auto"/>
          </w:tcPr>
          <w:p w14:paraId="0516110C" w14:textId="77777777" w:rsidR="005C5318" w:rsidRPr="00E16672" w:rsidRDefault="005C5318" w:rsidP="005C5318">
            <w:pPr>
              <w:pStyle w:val="310"/>
              <w:tabs>
                <w:tab w:val="left" w:pos="287"/>
                <w:tab w:val="left" w:pos="1137"/>
                <w:tab w:val="left" w:pos="1191"/>
              </w:tabs>
              <w:ind w:left="145" w:right="100" w:firstLine="0"/>
              <w:rPr>
                <w:rFonts w:ascii="Times New Roman" w:hAnsi="Times New Roman"/>
                <w:sz w:val="16"/>
                <w:szCs w:val="16"/>
                <w:lang w:val="en-US"/>
              </w:rPr>
            </w:pPr>
            <w:proofErr w:type="spellStart"/>
            <w:r w:rsidRPr="00E16672">
              <w:rPr>
                <w:rFonts w:ascii="Times New Roman" w:hAnsi="Times New Roman"/>
                <w:sz w:val="16"/>
                <w:szCs w:val="16"/>
              </w:rPr>
              <w:t>Depositor</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confirms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that</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r w:rsidRPr="00E16672">
              <w:rPr>
                <w:rFonts w:ascii="Times New Roman" w:hAnsi="Times New Roman"/>
                <w:sz w:val="16"/>
                <w:szCs w:val="16"/>
                <w:lang w:val="en-US"/>
              </w:rPr>
              <w:t>D</w:t>
            </w:r>
            <w:proofErr w:type="spellStart"/>
            <w:r w:rsidRPr="00E16672">
              <w:rPr>
                <w:rFonts w:ascii="Times New Roman" w:hAnsi="Times New Roman"/>
                <w:sz w:val="16"/>
                <w:szCs w:val="16"/>
              </w:rPr>
              <w:t>epository</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institution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provided</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him</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information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referred</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to</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in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Article</w:t>
            </w:r>
            <w:proofErr w:type="spellEnd"/>
            <w:r w:rsidRPr="00E16672">
              <w:rPr>
                <w:rFonts w:ascii="Times New Roman" w:hAnsi="Times New Roman"/>
                <w:sz w:val="16"/>
                <w:szCs w:val="16"/>
              </w:rPr>
              <w:t xml:space="preserve"> 12 </w:t>
            </w:r>
            <w:proofErr w:type="spellStart"/>
            <w:r w:rsidRPr="00E16672">
              <w:rPr>
                <w:rFonts w:ascii="Times New Roman" w:hAnsi="Times New Roman"/>
                <w:sz w:val="16"/>
                <w:szCs w:val="16"/>
              </w:rPr>
              <w:t>of</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Law</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of</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Ukraine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Financial</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Services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and</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State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Regulation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of</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Financial</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Services</w:t>
            </w:r>
            <w:proofErr w:type="spellEnd"/>
            <w:r w:rsidRPr="00E16672">
              <w:rPr>
                <w:rFonts w:ascii="Times New Roman" w:hAnsi="Times New Roman"/>
                <w:sz w:val="16"/>
                <w:szCs w:val="16"/>
              </w:rPr>
              <w:t>."</w:t>
            </w:r>
            <w:r w:rsidRPr="00E16672">
              <w:rPr>
                <w:rFonts w:ascii="Times New Roman" w:hAnsi="Times New Roman"/>
                <w:sz w:val="16"/>
                <w:szCs w:val="16"/>
                <w:lang w:val="en-US"/>
              </w:rPr>
              <w:t xml:space="preserve">    </w:t>
            </w:r>
          </w:p>
          <w:p w14:paraId="3A98B17B" w14:textId="77777777" w:rsidR="005C5318" w:rsidRPr="00E16672" w:rsidRDefault="005C5318" w:rsidP="005C5318">
            <w:pPr>
              <w:pStyle w:val="310"/>
              <w:tabs>
                <w:tab w:val="left" w:pos="287"/>
                <w:tab w:val="left" w:pos="1137"/>
                <w:tab w:val="left" w:pos="1191"/>
              </w:tabs>
              <w:ind w:left="145" w:right="100" w:firstLine="0"/>
              <w:rPr>
                <w:rFonts w:ascii="Times New Roman" w:hAnsi="Times New Roman"/>
                <w:sz w:val="16"/>
                <w:szCs w:val="16"/>
              </w:rPr>
            </w:pPr>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Information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was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provided</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by</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Depositor</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Depositor</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has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provided</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proper</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understanding</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of</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financial</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services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should</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be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provided</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without</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imposing</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its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acquisition</w:t>
            </w:r>
            <w:proofErr w:type="spellEnd"/>
            <w:r w:rsidRPr="00E16672">
              <w:rPr>
                <w:rFonts w:ascii="Times New Roman" w:hAnsi="Times New Roman"/>
                <w:sz w:val="16"/>
                <w:szCs w:val="16"/>
              </w:rPr>
              <w:t>.</w:t>
            </w:r>
          </w:p>
        </w:tc>
      </w:tr>
      <w:tr w:rsidR="005C5318" w:rsidRPr="00F23413" w14:paraId="135E52B9" w14:textId="77777777" w:rsidTr="005E418B">
        <w:trPr>
          <w:trHeight w:val="951"/>
        </w:trPr>
        <w:tc>
          <w:tcPr>
            <w:tcW w:w="5695" w:type="dxa"/>
            <w:gridSpan w:val="6"/>
            <w:shd w:val="clear" w:color="auto" w:fill="auto"/>
          </w:tcPr>
          <w:p w14:paraId="6605E41E" w14:textId="77777777" w:rsidR="005C5318" w:rsidRPr="00E16672" w:rsidRDefault="005C5318" w:rsidP="00022F5F">
            <w:pPr>
              <w:pStyle w:val="ae"/>
              <w:tabs>
                <w:tab w:val="left" w:pos="426"/>
              </w:tabs>
              <w:snapToGrid w:val="0"/>
              <w:ind w:left="175" w:right="138" w:firstLine="0"/>
              <w:jc w:val="left"/>
              <w:rPr>
                <w:rFonts w:ascii="Times New Roman" w:hAnsi="Times New Roman"/>
                <w:sz w:val="16"/>
                <w:szCs w:val="16"/>
              </w:rPr>
            </w:pPr>
            <w:r w:rsidRPr="00E16672">
              <w:rPr>
                <w:rFonts w:ascii="Times New Roman" w:hAnsi="Times New Roman"/>
                <w:sz w:val="16"/>
                <w:szCs w:val="16"/>
              </w:rPr>
              <w:t>8.</w:t>
            </w:r>
            <w:r w:rsidRPr="00E16672">
              <w:rPr>
                <w:rFonts w:ascii="Times New Roman" w:hAnsi="Times New Roman"/>
                <w:sz w:val="16"/>
                <w:szCs w:val="16"/>
                <w:lang w:val="ru-RU"/>
              </w:rPr>
              <w:t>3.</w:t>
            </w:r>
            <w:r w:rsidRPr="00E16672">
              <w:rPr>
                <w:rFonts w:ascii="Times New Roman" w:hAnsi="Times New Roman"/>
                <w:sz w:val="16"/>
                <w:szCs w:val="16"/>
              </w:rPr>
              <w:t xml:space="preserve"> На виконання вимог Закону України </w:t>
            </w:r>
            <w:r w:rsidR="00022F5F">
              <w:rPr>
                <w:rFonts w:ascii="Times New Roman" w:hAnsi="Times New Roman"/>
                <w:sz w:val="16"/>
                <w:szCs w:val="16"/>
              </w:rPr>
              <w:t>"</w:t>
            </w:r>
            <w:r w:rsidRPr="00E16672">
              <w:rPr>
                <w:rFonts w:ascii="Times New Roman" w:hAnsi="Times New Roman"/>
                <w:sz w:val="16"/>
                <w:szCs w:val="16"/>
              </w:rPr>
              <w:t>Про захист персональних даних</w:t>
            </w:r>
            <w:r w:rsidR="00022F5F">
              <w:rPr>
                <w:rFonts w:ascii="Times New Roman" w:hAnsi="Times New Roman"/>
                <w:sz w:val="16"/>
                <w:szCs w:val="16"/>
              </w:rPr>
              <w:t>"</w:t>
            </w:r>
            <w:r w:rsidRPr="00E16672">
              <w:rPr>
                <w:rFonts w:ascii="Times New Roman" w:hAnsi="Times New Roman"/>
                <w:sz w:val="16"/>
                <w:szCs w:val="16"/>
              </w:rPr>
              <w:t xml:space="preserve"> у разі отримання Депозитарною установою інформації, яка стосується персональних даних фізичних осіб, Сторона, що надала такі дані підписанням цього Договору підтверджує легітимність їх отримання, та право на передання Депозитарній установі таких даних для використання (обробки) Депозитарною установою у випадках, передбачених законодавством, а також – передання Депозитарною установою таких даних третім особам у випадках встановлених чинним законодавством України. </w:t>
            </w:r>
          </w:p>
          <w:p w14:paraId="0B0D385B" w14:textId="77777777" w:rsidR="005C5318" w:rsidRPr="00E16672" w:rsidRDefault="005C5318" w:rsidP="005C5318">
            <w:pPr>
              <w:pStyle w:val="ae"/>
              <w:tabs>
                <w:tab w:val="left" w:pos="426"/>
              </w:tabs>
              <w:snapToGrid w:val="0"/>
              <w:ind w:left="175" w:right="138" w:firstLine="0"/>
              <w:rPr>
                <w:rFonts w:ascii="Times New Roman" w:hAnsi="Times New Roman"/>
                <w:sz w:val="16"/>
                <w:szCs w:val="16"/>
              </w:rPr>
            </w:pPr>
          </w:p>
        </w:tc>
        <w:tc>
          <w:tcPr>
            <w:tcW w:w="5495" w:type="dxa"/>
            <w:gridSpan w:val="6"/>
            <w:shd w:val="clear" w:color="auto" w:fill="auto"/>
          </w:tcPr>
          <w:p w14:paraId="1537AC4A" w14:textId="77777777" w:rsidR="005C5318" w:rsidRPr="00E16672" w:rsidRDefault="005C5318" w:rsidP="00022F5F">
            <w:pPr>
              <w:pStyle w:val="310"/>
              <w:tabs>
                <w:tab w:val="left" w:pos="287"/>
                <w:tab w:val="left" w:pos="1137"/>
                <w:tab w:val="left" w:pos="1191"/>
              </w:tabs>
              <w:snapToGrid w:val="0"/>
              <w:ind w:left="145" w:right="100" w:firstLine="0"/>
              <w:jc w:val="left"/>
              <w:rPr>
                <w:rFonts w:ascii="Times New Roman" w:hAnsi="Times New Roman"/>
                <w:sz w:val="16"/>
                <w:szCs w:val="16"/>
              </w:rPr>
            </w:pPr>
            <w:r w:rsidRPr="00E16672">
              <w:rPr>
                <w:rFonts w:ascii="Times New Roman" w:hAnsi="Times New Roman"/>
                <w:sz w:val="16"/>
                <w:szCs w:val="16"/>
                <w:lang w:val="en-US"/>
              </w:rPr>
              <w:t>8</w:t>
            </w:r>
            <w:r w:rsidRPr="00E16672">
              <w:rPr>
                <w:rFonts w:ascii="Times New Roman" w:hAnsi="Times New Roman"/>
                <w:sz w:val="16"/>
                <w:szCs w:val="16"/>
              </w:rPr>
              <w:t>.</w:t>
            </w:r>
            <w:r w:rsidRPr="00E16672">
              <w:rPr>
                <w:rFonts w:ascii="Times New Roman" w:hAnsi="Times New Roman"/>
                <w:sz w:val="16"/>
                <w:szCs w:val="16"/>
                <w:lang w:val="en-US"/>
              </w:rPr>
              <w:t>3</w:t>
            </w:r>
            <w:r w:rsidRPr="00E16672">
              <w:rPr>
                <w:rFonts w:ascii="Times New Roman" w:hAnsi="Times New Roman"/>
                <w:sz w:val="16"/>
                <w:szCs w:val="16"/>
                <w:lang w:val="en-GB"/>
              </w:rPr>
              <w:t xml:space="preserve">. </w:t>
            </w:r>
            <w:proofErr w:type="spellStart"/>
            <w:r w:rsidRPr="00E16672">
              <w:rPr>
                <w:rFonts w:ascii="Times New Roman" w:hAnsi="Times New Roman"/>
                <w:sz w:val="16"/>
                <w:szCs w:val="16"/>
              </w:rPr>
              <w:t>Pursuant</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to</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requirements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of</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Law</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of</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Ukraine</w:t>
            </w:r>
            <w:proofErr w:type="spellEnd"/>
            <w:r w:rsidRPr="00E16672">
              <w:rPr>
                <w:rFonts w:ascii="Times New Roman" w:hAnsi="Times New Roman"/>
                <w:sz w:val="16"/>
                <w:szCs w:val="16"/>
              </w:rPr>
              <w:t xml:space="preserve"> </w:t>
            </w:r>
            <w:r w:rsidR="00022F5F">
              <w:rPr>
                <w:rFonts w:ascii="Times New Roman" w:hAnsi="Times New Roman"/>
                <w:sz w:val="16"/>
                <w:szCs w:val="16"/>
              </w:rPr>
              <w:t>"</w:t>
            </w:r>
            <w:proofErr w:type="spellStart"/>
            <w:r w:rsidRPr="00E16672">
              <w:rPr>
                <w:rFonts w:ascii="Times New Roman" w:hAnsi="Times New Roman"/>
                <w:sz w:val="16"/>
                <w:szCs w:val="16"/>
              </w:rPr>
              <w:t>On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Personal</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Data</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Protection</w:t>
            </w:r>
            <w:proofErr w:type="spellEnd"/>
            <w:r w:rsidR="00022F5F">
              <w:rPr>
                <w:rFonts w:ascii="Times New Roman" w:hAnsi="Times New Roman"/>
                <w:sz w:val="16"/>
                <w:szCs w:val="16"/>
              </w:rPr>
              <w:t>"</w:t>
            </w:r>
            <w:r w:rsidRPr="00E16672">
              <w:rPr>
                <w:rFonts w:ascii="Times New Roman" w:hAnsi="Times New Roman"/>
                <w:strike/>
                <w:color w:val="FF00FF"/>
                <w:sz w:val="16"/>
                <w:szCs w:val="16"/>
              </w:rPr>
              <w:t xml:space="preserve"> </w:t>
            </w:r>
            <w:proofErr w:type="spellStart"/>
            <w:r w:rsidRPr="00E16672">
              <w:rPr>
                <w:rFonts w:ascii="Times New Roman" w:hAnsi="Times New Roman"/>
                <w:sz w:val="16"/>
                <w:szCs w:val="16"/>
              </w:rPr>
              <w:t>in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case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of</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Depository</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institution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information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regarding</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personal</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data</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of</w:t>
            </w:r>
            <w:proofErr w:type="spellEnd"/>
            <w:r w:rsidRPr="00E16672">
              <w:rPr>
                <w:rFonts w:ascii="Times New Roman" w:hAnsi="Times New Roman"/>
                <w:sz w:val="16"/>
                <w:szCs w:val="16"/>
              </w:rPr>
              <w:t xml:space="preserve"> </w:t>
            </w:r>
            <w:r w:rsidRPr="00E16672">
              <w:rPr>
                <w:rFonts w:ascii="Times New Roman" w:hAnsi="Times New Roman"/>
                <w:sz w:val="16"/>
                <w:szCs w:val="16"/>
                <w:lang w:val="en-US"/>
              </w:rPr>
              <w:t>physical persons</w:t>
            </w:r>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Party</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that</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supplied</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data</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by</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signature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of</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Agreement</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confirms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legitimacy</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of</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their</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production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and</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right</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to</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transfer</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to</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Depository</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institution</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of</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data</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to</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use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processing</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by</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Depository</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institution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in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cases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required</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by</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law</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and</w:t>
            </w:r>
            <w:proofErr w:type="spellEnd"/>
            <w:r w:rsidRPr="00E16672">
              <w:rPr>
                <w:rFonts w:ascii="Times New Roman" w:hAnsi="Times New Roman"/>
                <w:sz w:val="16"/>
                <w:szCs w:val="16"/>
              </w:rPr>
              <w:t xml:space="preserve"> - </w:t>
            </w:r>
            <w:proofErr w:type="spellStart"/>
            <w:r w:rsidRPr="00E16672">
              <w:rPr>
                <w:rFonts w:ascii="Times New Roman" w:hAnsi="Times New Roman"/>
                <w:sz w:val="16"/>
                <w:szCs w:val="16"/>
              </w:rPr>
              <w:t>Depository</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institution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transfer</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such</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data</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to</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third</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parties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in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cases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stipulated</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by</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current</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legislation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of</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Ukraine</w:t>
            </w:r>
            <w:proofErr w:type="spellEnd"/>
            <w:r w:rsidRPr="00E16672">
              <w:rPr>
                <w:rFonts w:ascii="Times New Roman" w:hAnsi="Times New Roman"/>
                <w:sz w:val="16"/>
                <w:szCs w:val="16"/>
              </w:rPr>
              <w:t>.</w:t>
            </w:r>
          </w:p>
          <w:p w14:paraId="13D95353" w14:textId="77777777" w:rsidR="005C5318" w:rsidRPr="00E16672" w:rsidRDefault="005C5318" w:rsidP="005C5318">
            <w:pPr>
              <w:pStyle w:val="210"/>
              <w:tabs>
                <w:tab w:val="left" w:pos="287"/>
              </w:tabs>
              <w:ind w:left="145" w:right="100" w:firstLine="0"/>
              <w:rPr>
                <w:rFonts w:ascii="Times New Roman" w:hAnsi="Times New Roman"/>
                <w:b/>
                <w:bCs/>
                <w:sz w:val="16"/>
                <w:szCs w:val="16"/>
                <w:lang w:val="en-GB"/>
              </w:rPr>
            </w:pPr>
          </w:p>
        </w:tc>
      </w:tr>
      <w:tr w:rsidR="005C5318" w:rsidRPr="00F23413" w14:paraId="54374EA4" w14:textId="77777777" w:rsidTr="000D0438">
        <w:trPr>
          <w:trHeight w:val="468"/>
        </w:trPr>
        <w:tc>
          <w:tcPr>
            <w:tcW w:w="5695" w:type="dxa"/>
            <w:gridSpan w:val="6"/>
            <w:shd w:val="clear" w:color="auto" w:fill="auto"/>
          </w:tcPr>
          <w:p w14:paraId="24984632" w14:textId="77777777" w:rsidR="005C5318" w:rsidRPr="00E16672" w:rsidRDefault="005C5318" w:rsidP="005C5318">
            <w:pPr>
              <w:snapToGrid w:val="0"/>
              <w:ind w:left="175" w:right="138" w:firstLine="0"/>
              <w:rPr>
                <w:rFonts w:ascii="Times New Roman" w:hAnsi="Times New Roman"/>
                <w:sz w:val="16"/>
                <w:szCs w:val="16"/>
              </w:rPr>
            </w:pPr>
            <w:r w:rsidRPr="00E16672">
              <w:rPr>
                <w:rFonts w:ascii="Times New Roman" w:hAnsi="Times New Roman"/>
                <w:sz w:val="16"/>
                <w:szCs w:val="16"/>
              </w:rPr>
              <w:t>8.</w:t>
            </w:r>
            <w:r w:rsidRPr="00E16672">
              <w:rPr>
                <w:rFonts w:ascii="Times New Roman" w:hAnsi="Times New Roman"/>
                <w:sz w:val="16"/>
                <w:szCs w:val="16"/>
                <w:lang w:val="uk-UA"/>
              </w:rPr>
              <w:t>4</w:t>
            </w:r>
            <w:r w:rsidRPr="00E16672">
              <w:rPr>
                <w:rFonts w:ascii="Times New Roman" w:hAnsi="Times New Roman"/>
                <w:sz w:val="16"/>
                <w:szCs w:val="16"/>
              </w:rPr>
              <w:t xml:space="preserve">. </w:t>
            </w:r>
            <w:proofErr w:type="spellStart"/>
            <w:r w:rsidRPr="00E16672">
              <w:rPr>
                <w:rFonts w:ascii="Times New Roman" w:hAnsi="Times New Roman"/>
                <w:sz w:val="16"/>
                <w:szCs w:val="16"/>
              </w:rPr>
              <w:t>Додаткові</w:t>
            </w:r>
            <w:proofErr w:type="spellEnd"/>
            <w:r w:rsidRPr="00E16672">
              <w:rPr>
                <w:rFonts w:ascii="Times New Roman" w:hAnsi="Times New Roman"/>
                <w:sz w:val="16"/>
                <w:szCs w:val="16"/>
              </w:rPr>
              <w:t xml:space="preserve"> угоди </w:t>
            </w:r>
            <w:proofErr w:type="spellStart"/>
            <w:r w:rsidRPr="00E16672">
              <w:rPr>
                <w:rFonts w:ascii="Times New Roman" w:hAnsi="Times New Roman"/>
                <w:sz w:val="16"/>
                <w:szCs w:val="16"/>
              </w:rPr>
              <w:t>набирають</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чинності</w:t>
            </w:r>
            <w:proofErr w:type="spellEnd"/>
            <w:r w:rsidRPr="00E16672">
              <w:rPr>
                <w:rFonts w:ascii="Times New Roman" w:hAnsi="Times New Roman"/>
                <w:sz w:val="16"/>
                <w:szCs w:val="16"/>
              </w:rPr>
              <w:t xml:space="preserve"> з моменту </w:t>
            </w:r>
            <w:proofErr w:type="spellStart"/>
            <w:r w:rsidRPr="00E16672">
              <w:rPr>
                <w:rFonts w:ascii="Times New Roman" w:hAnsi="Times New Roman"/>
                <w:sz w:val="16"/>
                <w:szCs w:val="16"/>
              </w:rPr>
              <w:t>їх</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підписання</w:t>
            </w:r>
            <w:proofErr w:type="spellEnd"/>
            <w:r w:rsidRPr="00E16672">
              <w:rPr>
                <w:rFonts w:ascii="Times New Roman" w:hAnsi="Times New Roman"/>
                <w:sz w:val="16"/>
                <w:szCs w:val="16"/>
              </w:rPr>
              <w:t xml:space="preserve"> та є </w:t>
            </w:r>
            <w:proofErr w:type="spellStart"/>
            <w:r w:rsidRPr="00E16672">
              <w:rPr>
                <w:rFonts w:ascii="Times New Roman" w:hAnsi="Times New Roman"/>
                <w:sz w:val="16"/>
                <w:szCs w:val="16"/>
              </w:rPr>
              <w:t>невід’ємною</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частиною</w:t>
            </w:r>
            <w:proofErr w:type="spellEnd"/>
            <w:r w:rsidRPr="00E16672">
              <w:rPr>
                <w:rFonts w:ascii="Times New Roman" w:hAnsi="Times New Roman"/>
                <w:sz w:val="16"/>
                <w:szCs w:val="16"/>
              </w:rPr>
              <w:t xml:space="preserve"> Договору.</w:t>
            </w:r>
          </w:p>
        </w:tc>
        <w:tc>
          <w:tcPr>
            <w:tcW w:w="5495" w:type="dxa"/>
            <w:gridSpan w:val="6"/>
            <w:shd w:val="clear" w:color="auto" w:fill="auto"/>
          </w:tcPr>
          <w:p w14:paraId="00C9AE7B" w14:textId="77777777" w:rsidR="005C5318" w:rsidRPr="00E16672" w:rsidRDefault="005C5318" w:rsidP="005C5318">
            <w:pPr>
              <w:pStyle w:val="310"/>
              <w:tabs>
                <w:tab w:val="left" w:pos="1137"/>
                <w:tab w:val="left" w:pos="1191"/>
              </w:tabs>
              <w:snapToGrid w:val="0"/>
              <w:ind w:left="175" w:right="138" w:firstLine="0"/>
              <w:rPr>
                <w:rFonts w:ascii="Times New Roman" w:hAnsi="Times New Roman"/>
                <w:sz w:val="16"/>
                <w:szCs w:val="16"/>
                <w:lang w:val="en-US"/>
              </w:rPr>
            </w:pPr>
            <w:r w:rsidRPr="00E16672">
              <w:rPr>
                <w:rFonts w:ascii="Times New Roman" w:hAnsi="Times New Roman"/>
                <w:sz w:val="16"/>
                <w:szCs w:val="16"/>
              </w:rPr>
              <w:t xml:space="preserve">8.4. </w:t>
            </w:r>
            <w:proofErr w:type="spellStart"/>
            <w:r w:rsidRPr="00E16672">
              <w:rPr>
                <w:rFonts w:ascii="Times New Roman" w:hAnsi="Times New Roman"/>
                <w:sz w:val="16"/>
                <w:szCs w:val="16"/>
              </w:rPr>
              <w:t>Additional</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agreements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inures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since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day</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when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it</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were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been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signed</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and</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become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an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integral</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part</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of</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Agreement</w:t>
            </w:r>
            <w:proofErr w:type="spellEnd"/>
            <w:r w:rsidRPr="00E16672">
              <w:rPr>
                <w:rFonts w:ascii="Times New Roman" w:hAnsi="Times New Roman"/>
                <w:sz w:val="16"/>
                <w:szCs w:val="16"/>
              </w:rPr>
              <w:t>.</w:t>
            </w:r>
          </w:p>
        </w:tc>
      </w:tr>
      <w:tr w:rsidR="005C5318" w:rsidRPr="00F23413" w14:paraId="5C156CDE" w14:textId="77777777" w:rsidTr="005E418B">
        <w:trPr>
          <w:trHeight w:val="558"/>
        </w:trPr>
        <w:tc>
          <w:tcPr>
            <w:tcW w:w="5695" w:type="dxa"/>
            <w:gridSpan w:val="6"/>
            <w:shd w:val="clear" w:color="auto" w:fill="auto"/>
          </w:tcPr>
          <w:p w14:paraId="68D0DEFD" w14:textId="77777777" w:rsidR="005C5318" w:rsidRPr="00E16672" w:rsidRDefault="005C5318" w:rsidP="005C5318">
            <w:pPr>
              <w:ind w:left="175" w:right="138" w:firstLine="0"/>
              <w:rPr>
                <w:rFonts w:ascii="Times New Roman" w:hAnsi="Times New Roman"/>
                <w:color w:val="000000"/>
                <w:sz w:val="16"/>
                <w:szCs w:val="16"/>
                <w:lang w:val="uk-UA"/>
              </w:rPr>
            </w:pPr>
            <w:r w:rsidRPr="00E16672">
              <w:rPr>
                <w:rFonts w:ascii="Times New Roman" w:hAnsi="Times New Roman"/>
                <w:color w:val="000000"/>
                <w:sz w:val="16"/>
                <w:szCs w:val="16"/>
              </w:rPr>
              <w:t>8.</w:t>
            </w:r>
            <w:r w:rsidRPr="00E16672">
              <w:rPr>
                <w:rFonts w:ascii="Times New Roman" w:hAnsi="Times New Roman"/>
                <w:color w:val="000000"/>
                <w:sz w:val="16"/>
                <w:szCs w:val="16"/>
                <w:lang w:val="uk-UA"/>
              </w:rPr>
              <w:t>5</w:t>
            </w:r>
            <w:r w:rsidRPr="00E16672">
              <w:rPr>
                <w:rFonts w:ascii="Times New Roman" w:hAnsi="Times New Roman"/>
                <w:color w:val="000000"/>
                <w:sz w:val="16"/>
                <w:szCs w:val="16"/>
              </w:rPr>
              <w:t xml:space="preserve">. </w:t>
            </w:r>
            <w:r w:rsidRPr="00E16672">
              <w:rPr>
                <w:rFonts w:ascii="Times New Roman" w:hAnsi="Times New Roman"/>
                <w:color w:val="000000"/>
                <w:sz w:val="16"/>
                <w:szCs w:val="16"/>
                <w:lang w:val="uk-UA"/>
              </w:rPr>
              <w:t>При виконанні даного Договору Сторони керуються умовами Договору</w:t>
            </w:r>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внутрішніх</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документів</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Депозитарної</w:t>
            </w:r>
            <w:proofErr w:type="spellEnd"/>
            <w:r w:rsidRPr="00E16672">
              <w:rPr>
                <w:rFonts w:ascii="Times New Roman" w:hAnsi="Times New Roman"/>
                <w:color w:val="000000"/>
                <w:sz w:val="16"/>
                <w:szCs w:val="16"/>
              </w:rPr>
              <w:t xml:space="preserve"> установи </w:t>
            </w:r>
            <w:r w:rsidRPr="00E16672">
              <w:rPr>
                <w:rFonts w:ascii="Times New Roman" w:hAnsi="Times New Roman"/>
                <w:color w:val="000000"/>
                <w:sz w:val="16"/>
                <w:szCs w:val="16"/>
                <w:lang w:val="uk-UA"/>
              </w:rPr>
              <w:t>та законодавством України.</w:t>
            </w:r>
          </w:p>
          <w:p w14:paraId="30078D6B" w14:textId="77777777" w:rsidR="005C5318" w:rsidRPr="00E16672" w:rsidRDefault="005C5318" w:rsidP="005C5318">
            <w:pPr>
              <w:snapToGrid w:val="0"/>
              <w:ind w:left="175" w:right="138"/>
              <w:rPr>
                <w:rFonts w:ascii="Times New Roman" w:hAnsi="Times New Roman"/>
                <w:color w:val="000000"/>
                <w:sz w:val="16"/>
                <w:szCs w:val="16"/>
              </w:rPr>
            </w:pPr>
            <w:r w:rsidRPr="00E16672">
              <w:rPr>
                <w:rFonts w:ascii="Times New Roman" w:hAnsi="Times New Roman"/>
                <w:color w:val="000000"/>
                <w:sz w:val="16"/>
                <w:szCs w:val="16"/>
              </w:rPr>
              <w:t>.</w:t>
            </w:r>
          </w:p>
        </w:tc>
        <w:tc>
          <w:tcPr>
            <w:tcW w:w="5495" w:type="dxa"/>
            <w:gridSpan w:val="6"/>
            <w:shd w:val="clear" w:color="auto" w:fill="auto"/>
          </w:tcPr>
          <w:p w14:paraId="2CC8FEDD" w14:textId="77777777" w:rsidR="005C5318" w:rsidRPr="00E16672" w:rsidRDefault="005C5318" w:rsidP="005C5318">
            <w:pPr>
              <w:snapToGrid w:val="0"/>
              <w:ind w:left="145" w:right="100" w:firstLine="0"/>
              <w:rPr>
                <w:rFonts w:ascii="Times New Roman" w:hAnsi="Times New Roman"/>
                <w:color w:val="000000"/>
                <w:sz w:val="16"/>
                <w:szCs w:val="16"/>
                <w:lang w:val="en-GB"/>
              </w:rPr>
            </w:pPr>
            <w:r w:rsidRPr="00E16672">
              <w:rPr>
                <w:rFonts w:ascii="Times New Roman" w:hAnsi="Times New Roman"/>
                <w:color w:val="000000"/>
                <w:sz w:val="16"/>
                <w:szCs w:val="16"/>
                <w:lang w:val="en-GB"/>
              </w:rPr>
              <w:t>8.</w:t>
            </w:r>
            <w:r w:rsidRPr="00E16672">
              <w:rPr>
                <w:rFonts w:ascii="Times New Roman" w:hAnsi="Times New Roman"/>
                <w:color w:val="000000"/>
                <w:sz w:val="16"/>
                <w:szCs w:val="16"/>
                <w:lang w:val="uk-UA"/>
              </w:rPr>
              <w:t xml:space="preserve">5. </w:t>
            </w:r>
            <w:r w:rsidRPr="00E16672">
              <w:rPr>
                <w:rFonts w:ascii="Times New Roman" w:hAnsi="Times New Roman"/>
                <w:color w:val="000000"/>
                <w:sz w:val="16"/>
                <w:szCs w:val="16"/>
                <w:lang w:val="en-GB"/>
              </w:rPr>
              <w:t xml:space="preserve">In the performance of this Agreement, Parties shall be guided by the Agreement, </w:t>
            </w:r>
            <w:r w:rsidRPr="00E16672">
              <w:rPr>
                <w:rFonts w:ascii="Times New Roman" w:hAnsi="Times New Roman"/>
                <w:iCs/>
                <w:color w:val="000000"/>
                <w:sz w:val="16"/>
                <w:szCs w:val="16"/>
                <w:lang w:val="en-US"/>
              </w:rPr>
              <w:t>internal documents of the Depository institution</w:t>
            </w:r>
            <w:r w:rsidRPr="00E16672">
              <w:rPr>
                <w:rFonts w:ascii="Times New Roman" w:hAnsi="Times New Roman"/>
                <w:color w:val="000000"/>
                <w:sz w:val="16"/>
                <w:szCs w:val="16"/>
                <w:lang w:val="en-GB"/>
              </w:rPr>
              <w:t xml:space="preserve"> and the legislation of Ukraine.</w:t>
            </w:r>
          </w:p>
          <w:p w14:paraId="35E63895" w14:textId="77777777" w:rsidR="005C5318" w:rsidRPr="00E16672" w:rsidRDefault="005C5318" w:rsidP="005C5318">
            <w:pPr>
              <w:pStyle w:val="210"/>
              <w:ind w:left="175" w:right="138" w:firstLine="0"/>
              <w:rPr>
                <w:rFonts w:ascii="Times New Roman" w:hAnsi="Times New Roman"/>
                <w:color w:val="000000"/>
                <w:sz w:val="16"/>
                <w:szCs w:val="16"/>
                <w:lang w:val="en-GB"/>
              </w:rPr>
            </w:pPr>
          </w:p>
        </w:tc>
      </w:tr>
      <w:tr w:rsidR="005C5318" w:rsidRPr="00F23413" w14:paraId="34698DF1" w14:textId="77777777" w:rsidTr="005E418B">
        <w:trPr>
          <w:trHeight w:val="977"/>
        </w:trPr>
        <w:tc>
          <w:tcPr>
            <w:tcW w:w="5695" w:type="dxa"/>
            <w:gridSpan w:val="6"/>
            <w:shd w:val="clear" w:color="auto" w:fill="auto"/>
          </w:tcPr>
          <w:p w14:paraId="3CFE5817" w14:textId="77777777" w:rsidR="005C5318" w:rsidRPr="00E16672" w:rsidRDefault="005C5318" w:rsidP="005C5318">
            <w:pPr>
              <w:snapToGrid w:val="0"/>
              <w:ind w:left="175" w:right="138" w:firstLine="0"/>
              <w:rPr>
                <w:rFonts w:ascii="Times New Roman" w:hAnsi="Times New Roman"/>
                <w:sz w:val="16"/>
                <w:szCs w:val="16"/>
              </w:rPr>
            </w:pPr>
            <w:r w:rsidRPr="00E16672">
              <w:rPr>
                <w:rFonts w:ascii="Times New Roman" w:hAnsi="Times New Roman"/>
                <w:sz w:val="16"/>
                <w:szCs w:val="16"/>
              </w:rPr>
              <w:t>8.</w:t>
            </w:r>
            <w:r w:rsidRPr="00E16672">
              <w:rPr>
                <w:rFonts w:ascii="Times New Roman" w:hAnsi="Times New Roman"/>
                <w:sz w:val="16"/>
                <w:szCs w:val="16"/>
                <w:lang w:val="uk-UA"/>
              </w:rPr>
              <w:t>6</w:t>
            </w:r>
            <w:r w:rsidRPr="00E16672">
              <w:rPr>
                <w:rFonts w:ascii="Times New Roman" w:hAnsi="Times New Roman"/>
                <w:sz w:val="16"/>
                <w:szCs w:val="16"/>
              </w:rPr>
              <w:t xml:space="preserve">. Депонент </w:t>
            </w:r>
            <w:proofErr w:type="spellStart"/>
            <w:r w:rsidRPr="00E16672">
              <w:rPr>
                <w:rFonts w:ascii="Times New Roman" w:hAnsi="Times New Roman"/>
                <w:sz w:val="16"/>
                <w:szCs w:val="16"/>
              </w:rPr>
              <w:t>бере</w:t>
            </w:r>
            <w:proofErr w:type="spellEnd"/>
            <w:r w:rsidRPr="00E16672">
              <w:rPr>
                <w:rFonts w:ascii="Times New Roman" w:hAnsi="Times New Roman"/>
                <w:sz w:val="16"/>
                <w:szCs w:val="16"/>
              </w:rPr>
              <w:t xml:space="preserve"> на себе </w:t>
            </w:r>
            <w:proofErr w:type="spellStart"/>
            <w:r w:rsidRPr="00E16672">
              <w:rPr>
                <w:rFonts w:ascii="Times New Roman" w:hAnsi="Times New Roman"/>
                <w:sz w:val="16"/>
                <w:szCs w:val="16"/>
              </w:rPr>
              <w:t>відповідальність</w:t>
            </w:r>
            <w:proofErr w:type="spellEnd"/>
            <w:r w:rsidRPr="00E16672">
              <w:rPr>
                <w:rFonts w:ascii="Times New Roman" w:hAnsi="Times New Roman"/>
                <w:sz w:val="16"/>
                <w:szCs w:val="16"/>
              </w:rPr>
              <w:t xml:space="preserve"> за </w:t>
            </w:r>
            <w:proofErr w:type="spellStart"/>
            <w:r w:rsidRPr="00E16672">
              <w:rPr>
                <w:rFonts w:ascii="Times New Roman" w:hAnsi="Times New Roman"/>
                <w:sz w:val="16"/>
                <w:szCs w:val="16"/>
              </w:rPr>
              <w:t>достовірність</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інформації</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що</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міститься</w:t>
            </w:r>
            <w:proofErr w:type="spellEnd"/>
            <w:r w:rsidRPr="00E16672">
              <w:rPr>
                <w:rFonts w:ascii="Times New Roman" w:hAnsi="Times New Roman"/>
                <w:sz w:val="16"/>
                <w:szCs w:val="16"/>
              </w:rPr>
              <w:t xml:space="preserve"> в документах, </w:t>
            </w:r>
            <w:proofErr w:type="spellStart"/>
            <w:r w:rsidRPr="00E16672">
              <w:rPr>
                <w:rFonts w:ascii="Times New Roman" w:hAnsi="Times New Roman"/>
                <w:sz w:val="16"/>
                <w:szCs w:val="16"/>
              </w:rPr>
              <w:t>які</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подаються</w:t>
            </w:r>
            <w:proofErr w:type="spellEnd"/>
            <w:r w:rsidRPr="00E16672">
              <w:rPr>
                <w:rFonts w:ascii="Times New Roman" w:hAnsi="Times New Roman"/>
                <w:sz w:val="16"/>
                <w:szCs w:val="16"/>
              </w:rPr>
              <w:t xml:space="preserve"> Депонентом </w:t>
            </w:r>
            <w:proofErr w:type="spellStart"/>
            <w:r w:rsidRPr="00E16672">
              <w:rPr>
                <w:rFonts w:ascii="Times New Roman" w:hAnsi="Times New Roman"/>
                <w:sz w:val="16"/>
                <w:szCs w:val="16"/>
              </w:rPr>
              <w:t>Депозитарній</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установі</w:t>
            </w:r>
            <w:proofErr w:type="spellEnd"/>
            <w:r w:rsidRPr="00E16672">
              <w:rPr>
                <w:rFonts w:ascii="Times New Roman" w:hAnsi="Times New Roman"/>
                <w:sz w:val="16"/>
                <w:szCs w:val="16"/>
              </w:rPr>
              <w:t xml:space="preserve">, у тому </w:t>
            </w:r>
            <w:proofErr w:type="spellStart"/>
            <w:r w:rsidRPr="00E16672">
              <w:rPr>
                <w:rFonts w:ascii="Times New Roman" w:hAnsi="Times New Roman"/>
                <w:sz w:val="16"/>
                <w:szCs w:val="16"/>
              </w:rPr>
              <w:t>числі</w:t>
            </w:r>
            <w:proofErr w:type="spellEnd"/>
            <w:r w:rsidRPr="00E16672">
              <w:rPr>
                <w:rFonts w:ascii="Times New Roman" w:hAnsi="Times New Roman"/>
                <w:sz w:val="16"/>
                <w:szCs w:val="16"/>
              </w:rPr>
              <w:t xml:space="preserve"> документах, за </w:t>
            </w:r>
            <w:proofErr w:type="spellStart"/>
            <w:r w:rsidRPr="00E16672">
              <w:rPr>
                <w:rFonts w:ascii="Times New Roman" w:hAnsi="Times New Roman"/>
                <w:sz w:val="16"/>
                <w:szCs w:val="16"/>
              </w:rPr>
              <w:t>якими</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Депозитарній</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установі</w:t>
            </w:r>
            <w:proofErr w:type="spellEnd"/>
            <w:r w:rsidRPr="00E16672">
              <w:rPr>
                <w:rFonts w:ascii="Times New Roman" w:hAnsi="Times New Roman"/>
                <w:sz w:val="16"/>
                <w:szCs w:val="16"/>
              </w:rPr>
              <w:t xml:space="preserve"> Депонентом </w:t>
            </w:r>
            <w:proofErr w:type="spellStart"/>
            <w:r w:rsidRPr="00E16672">
              <w:rPr>
                <w:rFonts w:ascii="Times New Roman" w:hAnsi="Times New Roman"/>
                <w:sz w:val="16"/>
                <w:szCs w:val="16"/>
              </w:rPr>
              <w:t>доручається</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проведення</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депозитарних</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операцій</w:t>
            </w:r>
            <w:proofErr w:type="spellEnd"/>
            <w:r w:rsidRPr="00E16672">
              <w:rPr>
                <w:rFonts w:ascii="Times New Roman" w:hAnsi="Times New Roman"/>
                <w:sz w:val="16"/>
                <w:szCs w:val="16"/>
              </w:rPr>
              <w:t xml:space="preserve"> на </w:t>
            </w:r>
            <w:proofErr w:type="spellStart"/>
            <w:r w:rsidRPr="00E16672">
              <w:rPr>
                <w:rFonts w:ascii="Times New Roman" w:hAnsi="Times New Roman"/>
                <w:sz w:val="16"/>
                <w:szCs w:val="16"/>
              </w:rPr>
              <w:t>рахунку</w:t>
            </w:r>
            <w:proofErr w:type="spellEnd"/>
            <w:r w:rsidRPr="00E16672">
              <w:rPr>
                <w:rFonts w:ascii="Times New Roman" w:hAnsi="Times New Roman"/>
                <w:sz w:val="16"/>
                <w:szCs w:val="16"/>
              </w:rPr>
              <w:t xml:space="preserve"> Депонента.</w:t>
            </w:r>
          </w:p>
          <w:p w14:paraId="04864339" w14:textId="77777777" w:rsidR="005C5318" w:rsidRPr="00E16672" w:rsidRDefault="005C5318" w:rsidP="005C5318">
            <w:pPr>
              <w:ind w:left="175" w:right="138"/>
              <w:rPr>
                <w:rFonts w:ascii="Times New Roman" w:hAnsi="Times New Roman"/>
                <w:sz w:val="16"/>
                <w:szCs w:val="16"/>
              </w:rPr>
            </w:pPr>
          </w:p>
        </w:tc>
        <w:tc>
          <w:tcPr>
            <w:tcW w:w="5495" w:type="dxa"/>
            <w:gridSpan w:val="6"/>
            <w:shd w:val="clear" w:color="auto" w:fill="auto"/>
          </w:tcPr>
          <w:p w14:paraId="2DCDA585" w14:textId="77777777" w:rsidR="005C5318" w:rsidRPr="00E16672" w:rsidRDefault="005C5318" w:rsidP="005C5318">
            <w:pPr>
              <w:snapToGrid w:val="0"/>
              <w:ind w:left="175" w:right="138" w:firstLine="0"/>
              <w:rPr>
                <w:rFonts w:ascii="Times New Roman" w:hAnsi="Times New Roman"/>
                <w:sz w:val="16"/>
                <w:szCs w:val="16"/>
                <w:lang w:val="en-GB"/>
              </w:rPr>
            </w:pPr>
            <w:r w:rsidRPr="00E16672">
              <w:rPr>
                <w:rFonts w:ascii="Times New Roman" w:hAnsi="Times New Roman"/>
                <w:sz w:val="16"/>
                <w:szCs w:val="16"/>
                <w:lang w:val="en-GB"/>
              </w:rPr>
              <w:t>8.</w:t>
            </w:r>
            <w:r w:rsidRPr="00E16672">
              <w:rPr>
                <w:rFonts w:ascii="Times New Roman" w:hAnsi="Times New Roman"/>
                <w:sz w:val="16"/>
                <w:szCs w:val="16"/>
                <w:lang w:val="uk-UA"/>
              </w:rPr>
              <w:t>6</w:t>
            </w:r>
            <w:r w:rsidRPr="00E16672">
              <w:rPr>
                <w:rFonts w:ascii="Times New Roman" w:hAnsi="Times New Roman"/>
                <w:sz w:val="16"/>
                <w:szCs w:val="16"/>
                <w:lang w:val="en-GB"/>
              </w:rPr>
              <w:t>. Depositor assumes responsibility for the accuracy of the information contained in the documents submitted by the Depositor</w:t>
            </w:r>
            <w:r w:rsidRPr="00E16672">
              <w:rPr>
                <w:rFonts w:ascii="Times New Roman" w:hAnsi="Times New Roman"/>
                <w:sz w:val="16"/>
                <w:szCs w:val="16"/>
                <w:lang w:val="en-US"/>
              </w:rPr>
              <w:t xml:space="preserve"> to D</w:t>
            </w:r>
            <w:proofErr w:type="spellStart"/>
            <w:r w:rsidRPr="00E16672">
              <w:rPr>
                <w:rFonts w:ascii="Times New Roman" w:hAnsi="Times New Roman"/>
                <w:sz w:val="16"/>
                <w:szCs w:val="16"/>
                <w:lang w:val="en-GB"/>
              </w:rPr>
              <w:t>epository</w:t>
            </w:r>
            <w:proofErr w:type="spellEnd"/>
            <w:r w:rsidRPr="00E16672">
              <w:rPr>
                <w:rFonts w:ascii="Times New Roman" w:hAnsi="Times New Roman"/>
                <w:sz w:val="16"/>
                <w:szCs w:val="16"/>
                <w:lang w:val="en-GB"/>
              </w:rPr>
              <w:t xml:space="preserve"> institution, including documents on which the Depository institution </w:t>
            </w:r>
            <w:proofErr w:type="gramStart"/>
            <w:r w:rsidRPr="00E16672">
              <w:rPr>
                <w:rFonts w:ascii="Times New Roman" w:hAnsi="Times New Roman"/>
                <w:sz w:val="16"/>
                <w:szCs w:val="16"/>
                <w:lang w:val="en-GB"/>
              </w:rPr>
              <w:t>is  entrusted</w:t>
            </w:r>
            <w:proofErr w:type="gramEnd"/>
            <w:r w:rsidRPr="00E16672">
              <w:rPr>
                <w:rFonts w:ascii="Times New Roman" w:hAnsi="Times New Roman"/>
                <w:sz w:val="16"/>
                <w:szCs w:val="16"/>
                <w:lang w:val="en-GB"/>
              </w:rPr>
              <w:t xml:space="preserve">  to conduct depository operations on account of the Depositor.</w:t>
            </w:r>
          </w:p>
          <w:p w14:paraId="4553A18E" w14:textId="77777777" w:rsidR="005C5318" w:rsidRPr="00E16672" w:rsidRDefault="005C5318" w:rsidP="005C5318">
            <w:pPr>
              <w:pStyle w:val="210"/>
              <w:ind w:left="175" w:right="138" w:firstLine="0"/>
              <w:rPr>
                <w:rFonts w:ascii="Times New Roman" w:hAnsi="Times New Roman"/>
                <w:sz w:val="16"/>
                <w:szCs w:val="16"/>
              </w:rPr>
            </w:pPr>
          </w:p>
        </w:tc>
      </w:tr>
      <w:tr w:rsidR="005C5318" w:rsidRPr="00F23413" w14:paraId="3A448F1F" w14:textId="77777777" w:rsidTr="000D0438">
        <w:trPr>
          <w:trHeight w:val="542"/>
        </w:trPr>
        <w:tc>
          <w:tcPr>
            <w:tcW w:w="5695" w:type="dxa"/>
            <w:gridSpan w:val="6"/>
            <w:shd w:val="clear" w:color="auto" w:fill="auto"/>
          </w:tcPr>
          <w:p w14:paraId="507729B8" w14:textId="77777777" w:rsidR="005C5318" w:rsidRPr="00E16672" w:rsidRDefault="005C5318" w:rsidP="005C5318">
            <w:pPr>
              <w:widowControl w:val="0"/>
              <w:tabs>
                <w:tab w:val="left" w:pos="5954"/>
              </w:tabs>
              <w:snapToGrid w:val="0"/>
              <w:ind w:left="175" w:right="138" w:firstLine="0"/>
              <w:rPr>
                <w:rFonts w:ascii="Times New Roman" w:hAnsi="Times New Roman"/>
                <w:sz w:val="16"/>
                <w:szCs w:val="16"/>
              </w:rPr>
            </w:pPr>
            <w:r w:rsidRPr="00E16672">
              <w:rPr>
                <w:rFonts w:ascii="Times New Roman" w:hAnsi="Times New Roman"/>
                <w:sz w:val="16"/>
                <w:szCs w:val="16"/>
              </w:rPr>
              <w:t>8.</w:t>
            </w:r>
            <w:r w:rsidRPr="00E16672">
              <w:rPr>
                <w:rFonts w:ascii="Times New Roman" w:hAnsi="Times New Roman"/>
                <w:sz w:val="16"/>
                <w:szCs w:val="16"/>
                <w:lang w:val="uk-UA"/>
              </w:rPr>
              <w:t>7</w:t>
            </w:r>
            <w:r w:rsidRPr="00E16672">
              <w:rPr>
                <w:rFonts w:ascii="Times New Roman" w:hAnsi="Times New Roman"/>
                <w:sz w:val="16"/>
                <w:szCs w:val="16"/>
              </w:rPr>
              <w:t xml:space="preserve">. </w:t>
            </w:r>
            <w:proofErr w:type="spellStart"/>
            <w:r w:rsidRPr="00E16672">
              <w:rPr>
                <w:rFonts w:ascii="Times New Roman" w:hAnsi="Times New Roman"/>
                <w:sz w:val="16"/>
                <w:szCs w:val="16"/>
              </w:rPr>
              <w:t>Укладення</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цього</w:t>
            </w:r>
            <w:proofErr w:type="spellEnd"/>
            <w:r w:rsidRPr="00E16672">
              <w:rPr>
                <w:rFonts w:ascii="Times New Roman" w:hAnsi="Times New Roman"/>
                <w:sz w:val="16"/>
                <w:szCs w:val="16"/>
              </w:rPr>
              <w:t xml:space="preserve"> Договору не </w:t>
            </w:r>
            <w:proofErr w:type="spellStart"/>
            <w:r w:rsidRPr="00E16672">
              <w:rPr>
                <w:rFonts w:ascii="Times New Roman" w:hAnsi="Times New Roman"/>
                <w:sz w:val="16"/>
                <w:szCs w:val="16"/>
              </w:rPr>
              <w:t>тягне</w:t>
            </w:r>
            <w:proofErr w:type="spellEnd"/>
            <w:r w:rsidRPr="00E16672">
              <w:rPr>
                <w:rFonts w:ascii="Times New Roman" w:hAnsi="Times New Roman"/>
                <w:sz w:val="16"/>
                <w:szCs w:val="16"/>
              </w:rPr>
              <w:t xml:space="preserve"> за собою переходу прав на </w:t>
            </w:r>
            <w:proofErr w:type="spellStart"/>
            <w:r w:rsidRPr="00E16672">
              <w:rPr>
                <w:rFonts w:ascii="Times New Roman" w:hAnsi="Times New Roman"/>
                <w:sz w:val="16"/>
                <w:szCs w:val="16"/>
              </w:rPr>
              <w:t>цінні</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папери</w:t>
            </w:r>
            <w:proofErr w:type="spellEnd"/>
            <w:r w:rsidRPr="00E16672">
              <w:rPr>
                <w:rFonts w:ascii="Times New Roman" w:hAnsi="Times New Roman"/>
                <w:sz w:val="16"/>
                <w:szCs w:val="16"/>
              </w:rPr>
              <w:t xml:space="preserve"> та прав за </w:t>
            </w:r>
            <w:proofErr w:type="spellStart"/>
            <w:r w:rsidRPr="00E16672">
              <w:rPr>
                <w:rFonts w:ascii="Times New Roman" w:hAnsi="Times New Roman"/>
                <w:sz w:val="16"/>
                <w:szCs w:val="16"/>
              </w:rPr>
              <w:t>цінними</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паперами</w:t>
            </w:r>
            <w:proofErr w:type="spellEnd"/>
            <w:r w:rsidRPr="00E16672">
              <w:rPr>
                <w:rFonts w:ascii="Times New Roman" w:hAnsi="Times New Roman"/>
                <w:sz w:val="16"/>
                <w:szCs w:val="16"/>
              </w:rPr>
              <w:t xml:space="preserve"> Депонента до </w:t>
            </w:r>
            <w:proofErr w:type="spellStart"/>
            <w:r w:rsidRPr="00E16672">
              <w:rPr>
                <w:rFonts w:ascii="Times New Roman" w:hAnsi="Times New Roman"/>
                <w:sz w:val="16"/>
                <w:szCs w:val="16"/>
              </w:rPr>
              <w:t>Депозитарної</w:t>
            </w:r>
            <w:proofErr w:type="spellEnd"/>
            <w:r w:rsidRPr="00E16672">
              <w:rPr>
                <w:rFonts w:ascii="Times New Roman" w:hAnsi="Times New Roman"/>
                <w:sz w:val="16"/>
                <w:szCs w:val="16"/>
              </w:rPr>
              <w:t xml:space="preserve"> установи.</w:t>
            </w:r>
          </w:p>
        </w:tc>
        <w:tc>
          <w:tcPr>
            <w:tcW w:w="5495" w:type="dxa"/>
            <w:gridSpan w:val="6"/>
            <w:shd w:val="clear" w:color="auto" w:fill="auto"/>
          </w:tcPr>
          <w:p w14:paraId="06886984" w14:textId="77777777" w:rsidR="005C5318" w:rsidRPr="00E16672" w:rsidRDefault="005C5318" w:rsidP="000D0438">
            <w:pPr>
              <w:snapToGrid w:val="0"/>
              <w:ind w:left="175" w:right="138" w:firstLine="0"/>
              <w:rPr>
                <w:rFonts w:ascii="Times New Roman" w:hAnsi="Times New Roman"/>
                <w:b/>
                <w:bCs/>
                <w:sz w:val="16"/>
                <w:szCs w:val="16"/>
                <w:lang w:val="en-GB"/>
              </w:rPr>
            </w:pPr>
            <w:r w:rsidRPr="00E16672">
              <w:rPr>
                <w:rFonts w:ascii="Times New Roman" w:hAnsi="Times New Roman"/>
                <w:sz w:val="16"/>
                <w:szCs w:val="16"/>
                <w:lang w:val="en-GB"/>
              </w:rPr>
              <w:t>8.</w:t>
            </w:r>
            <w:r w:rsidRPr="00E16672">
              <w:rPr>
                <w:rFonts w:ascii="Times New Roman" w:hAnsi="Times New Roman"/>
                <w:sz w:val="16"/>
                <w:szCs w:val="16"/>
                <w:lang w:val="uk-UA"/>
              </w:rPr>
              <w:t>7</w:t>
            </w:r>
            <w:r w:rsidRPr="00E16672">
              <w:rPr>
                <w:rFonts w:ascii="Times New Roman" w:hAnsi="Times New Roman"/>
                <w:sz w:val="16"/>
                <w:szCs w:val="16"/>
                <w:lang w:val="en-GB"/>
              </w:rPr>
              <w:t xml:space="preserve">. Signing this Agreement does not entail the transfer </w:t>
            </w:r>
            <w:r w:rsidRPr="00E16672">
              <w:rPr>
                <w:rFonts w:ascii="Times New Roman" w:hAnsi="Times New Roman"/>
                <w:sz w:val="16"/>
                <w:szCs w:val="16"/>
                <w:lang w:val="en-US"/>
              </w:rPr>
              <w:t>D</w:t>
            </w:r>
            <w:proofErr w:type="spellStart"/>
            <w:r w:rsidRPr="00E16672">
              <w:rPr>
                <w:rFonts w:ascii="Times New Roman" w:hAnsi="Times New Roman"/>
                <w:sz w:val="16"/>
                <w:szCs w:val="16"/>
                <w:lang w:val="en-GB"/>
              </w:rPr>
              <w:t>epositor</w:t>
            </w:r>
            <w:proofErr w:type="spellEnd"/>
            <w:r w:rsidRPr="00E16672">
              <w:rPr>
                <w:rFonts w:ascii="Times New Roman" w:hAnsi="Times New Roman"/>
                <w:sz w:val="16"/>
                <w:szCs w:val="16"/>
                <w:lang w:val="en-US"/>
              </w:rPr>
              <w:t>’s</w:t>
            </w:r>
            <w:r w:rsidRPr="00E16672">
              <w:rPr>
                <w:rFonts w:ascii="Times New Roman" w:hAnsi="Times New Roman"/>
                <w:sz w:val="16"/>
                <w:szCs w:val="16"/>
                <w:lang w:val="en-GB"/>
              </w:rPr>
              <w:t xml:space="preserve"> </w:t>
            </w:r>
            <w:proofErr w:type="spellStart"/>
            <w:r w:rsidRPr="00E16672">
              <w:rPr>
                <w:rFonts w:ascii="Times New Roman" w:hAnsi="Times New Roman"/>
                <w:sz w:val="16"/>
                <w:szCs w:val="16"/>
                <w:lang w:val="en-US"/>
              </w:rPr>
              <w:t>gights</w:t>
            </w:r>
            <w:proofErr w:type="spellEnd"/>
            <w:r w:rsidRPr="00E16672">
              <w:rPr>
                <w:rFonts w:ascii="Times New Roman" w:hAnsi="Times New Roman"/>
                <w:sz w:val="16"/>
                <w:szCs w:val="16"/>
                <w:lang w:val="en-US"/>
              </w:rPr>
              <w:t xml:space="preserve"> on </w:t>
            </w:r>
            <w:r w:rsidRPr="00E16672">
              <w:rPr>
                <w:rFonts w:ascii="Times New Roman" w:hAnsi="Times New Roman"/>
                <w:sz w:val="16"/>
                <w:szCs w:val="16"/>
                <w:lang w:val="en-GB"/>
              </w:rPr>
              <w:t>securities and rights under securities</w:t>
            </w:r>
            <w:r w:rsidRPr="00E16672">
              <w:rPr>
                <w:rFonts w:ascii="Times New Roman" w:hAnsi="Times New Roman"/>
                <w:sz w:val="16"/>
                <w:szCs w:val="16"/>
                <w:lang w:val="en-US"/>
              </w:rPr>
              <w:t xml:space="preserve"> </w:t>
            </w:r>
            <w:r w:rsidRPr="00E16672">
              <w:rPr>
                <w:rFonts w:ascii="Times New Roman" w:hAnsi="Times New Roman"/>
                <w:sz w:val="16"/>
                <w:szCs w:val="16"/>
                <w:lang w:val="en-GB"/>
              </w:rPr>
              <w:t xml:space="preserve">to the </w:t>
            </w:r>
            <w:r w:rsidRPr="00E16672">
              <w:rPr>
                <w:rFonts w:ascii="Times New Roman" w:hAnsi="Times New Roman"/>
                <w:sz w:val="16"/>
                <w:szCs w:val="16"/>
                <w:lang w:val="en-US"/>
              </w:rPr>
              <w:t>D</w:t>
            </w:r>
            <w:proofErr w:type="spellStart"/>
            <w:r w:rsidRPr="00E16672">
              <w:rPr>
                <w:rFonts w:ascii="Times New Roman" w:hAnsi="Times New Roman"/>
                <w:sz w:val="16"/>
                <w:szCs w:val="16"/>
                <w:lang w:val="en-GB"/>
              </w:rPr>
              <w:t>epository</w:t>
            </w:r>
            <w:proofErr w:type="spellEnd"/>
            <w:r w:rsidRPr="00E16672">
              <w:rPr>
                <w:rFonts w:ascii="Times New Roman" w:hAnsi="Times New Roman"/>
                <w:sz w:val="16"/>
                <w:szCs w:val="16"/>
                <w:lang w:val="en-GB"/>
              </w:rPr>
              <w:t xml:space="preserve"> institution.</w:t>
            </w:r>
          </w:p>
        </w:tc>
      </w:tr>
      <w:tr w:rsidR="005C5318" w:rsidRPr="00F23413" w14:paraId="16EB0F75" w14:textId="77777777" w:rsidTr="005E418B">
        <w:trPr>
          <w:trHeight w:val="846"/>
        </w:trPr>
        <w:tc>
          <w:tcPr>
            <w:tcW w:w="5695" w:type="dxa"/>
            <w:gridSpan w:val="6"/>
            <w:shd w:val="clear" w:color="auto" w:fill="auto"/>
          </w:tcPr>
          <w:p w14:paraId="73336B81" w14:textId="77777777" w:rsidR="005C5318" w:rsidRPr="00E16672" w:rsidRDefault="005C5318" w:rsidP="005C5318">
            <w:pPr>
              <w:tabs>
                <w:tab w:val="left" w:pos="1137"/>
                <w:tab w:val="left" w:pos="6011"/>
              </w:tabs>
              <w:snapToGrid w:val="0"/>
              <w:spacing w:before="57" w:after="57"/>
              <w:ind w:left="175" w:right="138" w:firstLine="0"/>
              <w:rPr>
                <w:rFonts w:ascii="Times New Roman" w:hAnsi="Times New Roman"/>
                <w:strike/>
                <w:color w:val="000000"/>
                <w:sz w:val="16"/>
                <w:szCs w:val="16"/>
                <w:lang w:val="uk-UA"/>
              </w:rPr>
            </w:pPr>
            <w:r w:rsidRPr="00E16672">
              <w:rPr>
                <w:rFonts w:ascii="Times New Roman" w:hAnsi="Times New Roman"/>
                <w:color w:val="000000"/>
                <w:sz w:val="16"/>
                <w:szCs w:val="16"/>
              </w:rPr>
              <w:lastRenderedPageBreak/>
              <w:t>8.</w:t>
            </w:r>
            <w:r w:rsidRPr="00E16672">
              <w:rPr>
                <w:rFonts w:ascii="Times New Roman" w:hAnsi="Times New Roman"/>
                <w:color w:val="000000"/>
                <w:sz w:val="16"/>
                <w:szCs w:val="16"/>
                <w:lang w:val="uk-UA"/>
              </w:rPr>
              <w:t>8</w:t>
            </w:r>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Закриття</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рахунків</w:t>
            </w:r>
            <w:proofErr w:type="spellEnd"/>
            <w:r w:rsidRPr="00E16672">
              <w:rPr>
                <w:rFonts w:ascii="Times New Roman" w:hAnsi="Times New Roman"/>
                <w:color w:val="000000"/>
                <w:sz w:val="16"/>
                <w:szCs w:val="16"/>
              </w:rPr>
              <w:t xml:space="preserve"> </w:t>
            </w:r>
            <w:r w:rsidR="00C22309" w:rsidRPr="00E16672">
              <w:rPr>
                <w:rFonts w:ascii="Times New Roman" w:hAnsi="Times New Roman"/>
                <w:color w:val="000000"/>
                <w:sz w:val="16"/>
                <w:szCs w:val="16"/>
              </w:rPr>
              <w:t xml:space="preserve">в </w:t>
            </w:r>
            <w:proofErr w:type="spellStart"/>
            <w:r w:rsidR="00C22309" w:rsidRPr="00E16672">
              <w:rPr>
                <w:rFonts w:ascii="Times New Roman" w:hAnsi="Times New Roman"/>
                <w:color w:val="000000"/>
                <w:sz w:val="16"/>
                <w:szCs w:val="16"/>
              </w:rPr>
              <w:t>цін</w:t>
            </w:r>
            <w:r w:rsidRPr="00E16672">
              <w:rPr>
                <w:rFonts w:ascii="Times New Roman" w:hAnsi="Times New Roman"/>
                <w:color w:val="000000"/>
                <w:sz w:val="16"/>
                <w:szCs w:val="16"/>
              </w:rPr>
              <w:t>них</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паперах</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відбувається</w:t>
            </w:r>
            <w:proofErr w:type="spellEnd"/>
            <w:r w:rsidRPr="00E16672">
              <w:rPr>
                <w:rFonts w:ascii="Times New Roman" w:hAnsi="Times New Roman"/>
                <w:color w:val="000000"/>
                <w:sz w:val="16"/>
                <w:szCs w:val="16"/>
              </w:rPr>
              <w:t xml:space="preserve"> за </w:t>
            </w:r>
            <w:proofErr w:type="spellStart"/>
            <w:r w:rsidRPr="00E16672">
              <w:rPr>
                <w:rFonts w:ascii="Times New Roman" w:hAnsi="Times New Roman"/>
                <w:color w:val="000000"/>
                <w:sz w:val="16"/>
                <w:szCs w:val="16"/>
              </w:rPr>
              <w:t>розпорядженням</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ініціатора</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депозитарної</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операції</w:t>
            </w:r>
            <w:proofErr w:type="spellEnd"/>
            <w:r w:rsidRPr="00E16672">
              <w:rPr>
                <w:rFonts w:ascii="Times New Roman" w:hAnsi="Times New Roman"/>
                <w:color w:val="000000"/>
                <w:sz w:val="16"/>
                <w:szCs w:val="16"/>
                <w:lang w:val="uk-UA"/>
              </w:rPr>
              <w:t xml:space="preserve"> </w:t>
            </w:r>
            <w:r w:rsidRPr="00E16672">
              <w:rPr>
                <w:rFonts w:ascii="Times New Roman" w:hAnsi="Times New Roman"/>
                <w:sz w:val="16"/>
                <w:szCs w:val="16"/>
                <w:lang w:val="uk-UA"/>
              </w:rPr>
              <w:t>крім випадків, встановлених цим Договором та законом</w:t>
            </w:r>
            <w:r w:rsidRPr="00E16672">
              <w:rPr>
                <w:rFonts w:ascii="Times New Roman" w:hAnsi="Times New Roman"/>
                <w:color w:val="000000"/>
                <w:sz w:val="16"/>
                <w:szCs w:val="16"/>
                <w:lang w:val="uk-UA"/>
              </w:rPr>
              <w:t>.</w:t>
            </w:r>
          </w:p>
          <w:p w14:paraId="16B02C80" w14:textId="77777777" w:rsidR="005C5318" w:rsidRPr="00E16672" w:rsidRDefault="005C5318" w:rsidP="000D0438">
            <w:pPr>
              <w:tabs>
                <w:tab w:val="left" w:pos="1137"/>
                <w:tab w:val="left" w:pos="6011"/>
              </w:tabs>
              <w:snapToGrid w:val="0"/>
              <w:spacing w:before="57" w:after="57"/>
              <w:ind w:left="175" w:right="138" w:firstLine="0"/>
              <w:rPr>
                <w:rFonts w:ascii="Times New Roman" w:hAnsi="Times New Roman"/>
                <w:color w:val="000000"/>
                <w:sz w:val="16"/>
                <w:szCs w:val="16"/>
                <w:lang w:val="uk-UA"/>
              </w:rPr>
            </w:pPr>
            <w:r w:rsidRPr="00E16672">
              <w:rPr>
                <w:rFonts w:ascii="Times New Roman" w:hAnsi="Times New Roman"/>
                <w:color w:val="000000"/>
                <w:sz w:val="16"/>
                <w:szCs w:val="16"/>
                <w:lang w:val="uk-UA"/>
              </w:rPr>
              <w:t xml:space="preserve">Обов’язковою умовою закриття рахунку в цінних паперах має бути відсутність в </w:t>
            </w:r>
            <w:proofErr w:type="spellStart"/>
            <w:r w:rsidRPr="00E16672">
              <w:rPr>
                <w:rFonts w:ascii="Times New Roman" w:hAnsi="Times New Roman"/>
                <w:color w:val="000000"/>
                <w:sz w:val="16"/>
                <w:szCs w:val="16"/>
                <w:lang w:val="uk-UA"/>
              </w:rPr>
              <w:t>облік</w:t>
            </w:r>
            <w:r w:rsidR="00C22309" w:rsidRPr="00E16672">
              <w:rPr>
                <w:rFonts w:ascii="Times New Roman" w:hAnsi="Times New Roman"/>
                <w:color w:val="000000"/>
                <w:sz w:val="16"/>
                <w:szCs w:val="16"/>
                <w:lang w:val="uk-UA"/>
              </w:rPr>
              <w:t>в</w:t>
            </w:r>
            <w:proofErr w:type="spellEnd"/>
            <w:r w:rsidR="00C22309" w:rsidRPr="00E16672">
              <w:rPr>
                <w:rFonts w:ascii="Times New Roman" w:hAnsi="Times New Roman"/>
                <w:color w:val="000000"/>
                <w:sz w:val="16"/>
                <w:szCs w:val="16"/>
                <w:lang w:val="uk-UA"/>
              </w:rPr>
              <w:t xml:space="preserve"> цін</w:t>
            </w:r>
            <w:r w:rsidRPr="00E16672">
              <w:rPr>
                <w:rFonts w:ascii="Times New Roman" w:hAnsi="Times New Roman"/>
                <w:color w:val="000000"/>
                <w:sz w:val="16"/>
                <w:szCs w:val="16"/>
                <w:lang w:val="uk-UA"/>
              </w:rPr>
              <w:t>них паперів, прав на цінні папери.</w:t>
            </w:r>
          </w:p>
        </w:tc>
        <w:tc>
          <w:tcPr>
            <w:tcW w:w="5495" w:type="dxa"/>
            <w:gridSpan w:val="6"/>
            <w:shd w:val="clear" w:color="auto" w:fill="auto"/>
          </w:tcPr>
          <w:p w14:paraId="7FA7EF0E" w14:textId="77777777" w:rsidR="005C5318" w:rsidRPr="00E16672" w:rsidRDefault="005C5318" w:rsidP="005C5318">
            <w:pPr>
              <w:tabs>
                <w:tab w:val="left" w:pos="1137"/>
                <w:tab w:val="left" w:pos="6011"/>
              </w:tabs>
              <w:snapToGrid w:val="0"/>
              <w:spacing w:before="57" w:after="57"/>
              <w:ind w:left="145" w:right="100" w:firstLine="0"/>
              <w:rPr>
                <w:rFonts w:ascii="Times New Roman" w:hAnsi="Times New Roman"/>
                <w:strike/>
                <w:color w:val="000000"/>
                <w:sz w:val="16"/>
                <w:szCs w:val="16"/>
                <w:lang w:val="uk-UA"/>
              </w:rPr>
            </w:pPr>
            <w:r w:rsidRPr="00E16672">
              <w:rPr>
                <w:rFonts w:ascii="Times New Roman" w:hAnsi="Times New Roman"/>
                <w:color w:val="000000"/>
                <w:sz w:val="16"/>
                <w:szCs w:val="16"/>
                <w:lang w:val="en-GB"/>
              </w:rPr>
              <w:t>8.</w:t>
            </w:r>
            <w:r w:rsidRPr="00E16672">
              <w:rPr>
                <w:rFonts w:ascii="Times New Roman" w:hAnsi="Times New Roman"/>
                <w:color w:val="000000"/>
                <w:sz w:val="16"/>
                <w:szCs w:val="16"/>
                <w:lang w:val="uk-UA"/>
              </w:rPr>
              <w:t>8</w:t>
            </w:r>
            <w:r w:rsidRPr="00E16672">
              <w:rPr>
                <w:rFonts w:ascii="Times New Roman" w:hAnsi="Times New Roman"/>
                <w:color w:val="000000"/>
                <w:sz w:val="16"/>
                <w:szCs w:val="16"/>
                <w:lang w:val="en-GB"/>
              </w:rPr>
              <w:t xml:space="preserve">. Closing accounts in securities is on the order of </w:t>
            </w:r>
            <w:proofErr w:type="gramStart"/>
            <w:r w:rsidRPr="00E16672">
              <w:rPr>
                <w:rFonts w:ascii="Times New Roman" w:hAnsi="Times New Roman"/>
                <w:color w:val="000000"/>
                <w:sz w:val="16"/>
                <w:szCs w:val="16"/>
                <w:lang w:val="en-GB"/>
              </w:rPr>
              <w:t>initiator  of</w:t>
            </w:r>
            <w:proofErr w:type="gramEnd"/>
            <w:r w:rsidRPr="00E16672">
              <w:rPr>
                <w:rFonts w:ascii="Times New Roman" w:hAnsi="Times New Roman"/>
                <w:color w:val="000000"/>
                <w:sz w:val="16"/>
                <w:szCs w:val="16"/>
                <w:lang w:val="en-GB"/>
              </w:rPr>
              <w:t xml:space="preserve"> depository operation</w:t>
            </w:r>
            <w:r w:rsidRPr="00E16672">
              <w:rPr>
                <w:rFonts w:ascii="Times New Roman" w:hAnsi="Times New Roman"/>
                <w:color w:val="000000"/>
                <w:sz w:val="16"/>
                <w:szCs w:val="16"/>
                <w:lang w:val="uk-UA"/>
              </w:rPr>
              <w:t xml:space="preserve"> </w:t>
            </w:r>
            <w:r w:rsidRPr="00F23413">
              <w:rPr>
                <w:rFonts w:ascii="Times New Roman" w:hAnsi="Times New Roman"/>
                <w:sz w:val="16"/>
                <w:szCs w:val="16"/>
                <w:lang w:val="en-US"/>
              </w:rPr>
              <w:t>except in cases established by this Agreement and by law</w:t>
            </w:r>
            <w:r w:rsidRPr="00E16672">
              <w:rPr>
                <w:rFonts w:ascii="Times New Roman" w:hAnsi="Times New Roman"/>
                <w:color w:val="000000"/>
                <w:sz w:val="16"/>
                <w:szCs w:val="16"/>
                <w:lang w:val="uk-UA"/>
              </w:rPr>
              <w:t>.</w:t>
            </w:r>
          </w:p>
          <w:p w14:paraId="688AF401" w14:textId="77777777" w:rsidR="000D0438" w:rsidRDefault="000D0438" w:rsidP="005C5318">
            <w:pPr>
              <w:tabs>
                <w:tab w:val="left" w:pos="1137"/>
                <w:tab w:val="left" w:pos="6011"/>
              </w:tabs>
              <w:snapToGrid w:val="0"/>
              <w:spacing w:before="57" w:after="57"/>
              <w:ind w:left="145" w:right="100" w:firstLine="0"/>
              <w:rPr>
                <w:rFonts w:ascii="Times New Roman" w:hAnsi="Times New Roman"/>
                <w:color w:val="000000"/>
                <w:sz w:val="16"/>
                <w:szCs w:val="16"/>
                <w:lang w:val="uk-UA"/>
              </w:rPr>
            </w:pPr>
          </w:p>
          <w:p w14:paraId="35BFB763" w14:textId="77777777" w:rsidR="005C5318" w:rsidRPr="00F23413" w:rsidRDefault="005C5318" w:rsidP="005C5318">
            <w:pPr>
              <w:tabs>
                <w:tab w:val="left" w:pos="1137"/>
                <w:tab w:val="left" w:pos="6011"/>
              </w:tabs>
              <w:snapToGrid w:val="0"/>
              <w:spacing w:before="57" w:after="57"/>
              <w:ind w:left="145" w:right="100" w:firstLine="0"/>
              <w:rPr>
                <w:rFonts w:ascii="Times New Roman" w:hAnsi="Times New Roman"/>
                <w:color w:val="000000"/>
                <w:sz w:val="16"/>
                <w:szCs w:val="16"/>
                <w:lang w:val="en-US"/>
              </w:rPr>
            </w:pPr>
            <w:proofErr w:type="spellStart"/>
            <w:r w:rsidRPr="00E16672">
              <w:rPr>
                <w:rFonts w:ascii="Times New Roman" w:hAnsi="Times New Roman"/>
                <w:color w:val="000000"/>
                <w:sz w:val="16"/>
                <w:szCs w:val="16"/>
                <w:lang w:val="uk-UA"/>
              </w:rPr>
              <w:t>Obligatory</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condition</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of</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closing</w:t>
            </w:r>
            <w:proofErr w:type="spellEnd"/>
            <w:r w:rsidRPr="00E16672">
              <w:rPr>
                <w:rFonts w:ascii="Times New Roman" w:hAnsi="Times New Roman"/>
                <w:color w:val="000000"/>
                <w:sz w:val="16"/>
                <w:szCs w:val="16"/>
                <w:lang w:val="uk-UA"/>
              </w:rPr>
              <w:t xml:space="preserve"> a </w:t>
            </w:r>
            <w:proofErr w:type="spellStart"/>
            <w:r w:rsidRPr="00E16672">
              <w:rPr>
                <w:rFonts w:ascii="Times New Roman" w:hAnsi="Times New Roman"/>
                <w:color w:val="000000"/>
                <w:sz w:val="16"/>
                <w:szCs w:val="16"/>
                <w:lang w:val="uk-UA"/>
              </w:rPr>
              <w:t>securities</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account</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must</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be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absence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of</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securities</w:t>
            </w:r>
            <w:proofErr w:type="spellEnd"/>
            <w:r w:rsidRPr="00E16672">
              <w:rPr>
                <w:rFonts w:ascii="Times New Roman" w:hAnsi="Times New Roman"/>
                <w:color w:val="000000"/>
                <w:sz w:val="16"/>
                <w:szCs w:val="16"/>
                <w:lang w:val="uk-UA"/>
              </w:rPr>
              <w:t xml:space="preserve"> </w:t>
            </w:r>
            <w:r w:rsidRPr="00E16672">
              <w:rPr>
                <w:rFonts w:ascii="Times New Roman" w:hAnsi="Times New Roman"/>
                <w:color w:val="000000"/>
                <w:sz w:val="16"/>
                <w:szCs w:val="16"/>
                <w:lang w:val="en-US"/>
              </w:rPr>
              <w:t xml:space="preserve"> in </w:t>
            </w:r>
            <w:proofErr w:type="spellStart"/>
            <w:r w:rsidRPr="00E16672">
              <w:rPr>
                <w:rFonts w:ascii="Times New Roman" w:hAnsi="Times New Roman"/>
                <w:color w:val="000000"/>
                <w:sz w:val="16"/>
                <w:szCs w:val="16"/>
                <w:lang w:val="uk-UA"/>
              </w:rPr>
              <w:t>accounting</w:t>
            </w:r>
            <w:proofErr w:type="spellEnd"/>
            <w:r w:rsidRPr="00E16672">
              <w:rPr>
                <w:rFonts w:ascii="Times New Roman" w:hAnsi="Times New Roman"/>
                <w:color w:val="000000"/>
                <w:sz w:val="16"/>
                <w:szCs w:val="16"/>
                <w:lang w:val="en-US"/>
              </w:rPr>
              <w:t xml:space="preserve">, rights for </w:t>
            </w:r>
            <w:proofErr w:type="spellStart"/>
            <w:r w:rsidRPr="00E16672">
              <w:rPr>
                <w:rFonts w:ascii="Times New Roman" w:hAnsi="Times New Roman"/>
                <w:color w:val="000000"/>
                <w:sz w:val="16"/>
                <w:szCs w:val="16"/>
                <w:lang w:val="uk-UA"/>
              </w:rPr>
              <w:t>securities</w:t>
            </w:r>
            <w:proofErr w:type="spellEnd"/>
            <w:r w:rsidRPr="00F23413">
              <w:rPr>
                <w:rFonts w:ascii="Times New Roman" w:hAnsi="Times New Roman"/>
                <w:color w:val="000000"/>
                <w:sz w:val="16"/>
                <w:szCs w:val="16"/>
                <w:lang w:val="en-US"/>
              </w:rPr>
              <w:t>.</w:t>
            </w:r>
          </w:p>
        </w:tc>
      </w:tr>
      <w:tr w:rsidR="005C5318" w:rsidRPr="00F23413" w14:paraId="3E31A79D" w14:textId="77777777" w:rsidTr="005E418B">
        <w:trPr>
          <w:trHeight w:val="573"/>
        </w:trPr>
        <w:tc>
          <w:tcPr>
            <w:tcW w:w="5695" w:type="dxa"/>
            <w:gridSpan w:val="6"/>
            <w:shd w:val="clear" w:color="auto" w:fill="auto"/>
          </w:tcPr>
          <w:p w14:paraId="52BCC1B6" w14:textId="77777777" w:rsidR="005C5318" w:rsidRPr="00E16672" w:rsidRDefault="005C5318" w:rsidP="000D0438">
            <w:pPr>
              <w:pStyle w:val="32"/>
              <w:snapToGrid w:val="0"/>
              <w:ind w:left="175" w:right="138" w:firstLine="0"/>
              <w:rPr>
                <w:rFonts w:ascii="Times New Roman" w:hAnsi="Times New Roman"/>
                <w:color w:val="000000"/>
                <w:sz w:val="16"/>
                <w:szCs w:val="16"/>
                <w:lang w:val="uk-UA"/>
              </w:rPr>
            </w:pPr>
            <w:r w:rsidRPr="00E16672">
              <w:rPr>
                <w:rFonts w:ascii="Times New Roman" w:hAnsi="Times New Roman"/>
                <w:color w:val="000000"/>
                <w:sz w:val="16"/>
                <w:szCs w:val="16"/>
                <w:lang w:val="uk-UA"/>
              </w:rPr>
              <w:t>8.</w:t>
            </w:r>
            <w:r w:rsidR="000D0438">
              <w:rPr>
                <w:rFonts w:ascii="Times New Roman" w:hAnsi="Times New Roman"/>
                <w:color w:val="000000"/>
                <w:sz w:val="16"/>
                <w:szCs w:val="16"/>
                <w:lang w:val="uk-UA"/>
              </w:rPr>
              <w:t>9</w:t>
            </w:r>
            <w:r w:rsidRPr="00E16672">
              <w:rPr>
                <w:rFonts w:ascii="Times New Roman" w:hAnsi="Times New Roman"/>
                <w:color w:val="000000"/>
                <w:sz w:val="16"/>
                <w:szCs w:val="16"/>
                <w:lang w:val="uk-UA"/>
              </w:rPr>
              <w:t xml:space="preserve">. Інші питання, які не регулюються положеннями цього Договору, регулюються чинним законодавством України </w:t>
            </w:r>
            <w:r w:rsidRPr="00E16672">
              <w:rPr>
                <w:rFonts w:ascii="Times New Roman" w:hAnsi="Times New Roman"/>
                <w:sz w:val="16"/>
                <w:szCs w:val="16"/>
                <w:lang w:val="uk-UA"/>
              </w:rPr>
              <w:t>та внутрішніми документами Депозитарної установи</w:t>
            </w:r>
            <w:r w:rsidRPr="00E16672">
              <w:rPr>
                <w:rFonts w:ascii="Times New Roman" w:hAnsi="Times New Roman"/>
                <w:color w:val="000000"/>
                <w:sz w:val="16"/>
                <w:szCs w:val="16"/>
                <w:lang w:val="uk-UA"/>
              </w:rPr>
              <w:t>.</w:t>
            </w:r>
          </w:p>
        </w:tc>
        <w:tc>
          <w:tcPr>
            <w:tcW w:w="5495" w:type="dxa"/>
            <w:gridSpan w:val="6"/>
            <w:shd w:val="clear" w:color="auto" w:fill="auto"/>
          </w:tcPr>
          <w:p w14:paraId="2E604486" w14:textId="77777777" w:rsidR="005C5318" w:rsidRPr="00E16672" w:rsidRDefault="005C5318" w:rsidP="000D0438">
            <w:pPr>
              <w:pStyle w:val="210"/>
              <w:tabs>
                <w:tab w:val="left" w:pos="287"/>
              </w:tabs>
              <w:snapToGrid w:val="0"/>
              <w:ind w:left="145" w:right="100" w:firstLine="0"/>
              <w:rPr>
                <w:rFonts w:ascii="Times New Roman" w:hAnsi="Times New Roman"/>
                <w:color w:val="000000"/>
                <w:sz w:val="16"/>
                <w:szCs w:val="16"/>
                <w:lang w:val="en-GB"/>
              </w:rPr>
            </w:pPr>
            <w:r w:rsidRPr="00E16672">
              <w:rPr>
                <w:rFonts w:ascii="Times New Roman" w:hAnsi="Times New Roman"/>
                <w:color w:val="000000"/>
                <w:sz w:val="16"/>
                <w:szCs w:val="16"/>
                <w:lang w:val="en-US"/>
              </w:rPr>
              <w:t>8</w:t>
            </w:r>
            <w:r w:rsidRPr="00E16672">
              <w:rPr>
                <w:rFonts w:ascii="Times New Roman" w:hAnsi="Times New Roman"/>
                <w:color w:val="000000"/>
                <w:sz w:val="16"/>
                <w:szCs w:val="16"/>
              </w:rPr>
              <w:t>.</w:t>
            </w:r>
            <w:r w:rsidR="000D0438">
              <w:rPr>
                <w:rFonts w:ascii="Times New Roman" w:hAnsi="Times New Roman"/>
                <w:color w:val="000000"/>
                <w:sz w:val="16"/>
                <w:szCs w:val="16"/>
              </w:rPr>
              <w:t>9</w:t>
            </w:r>
            <w:r w:rsidRPr="00E16672">
              <w:rPr>
                <w:rFonts w:ascii="Times New Roman" w:hAnsi="Times New Roman"/>
                <w:color w:val="000000"/>
                <w:sz w:val="16"/>
                <w:szCs w:val="16"/>
              </w:rPr>
              <w:t>.</w:t>
            </w:r>
            <w:r w:rsidRPr="00E16672">
              <w:rPr>
                <w:rFonts w:ascii="Times New Roman" w:hAnsi="Times New Roman"/>
                <w:color w:val="000000"/>
                <w:sz w:val="16"/>
                <w:szCs w:val="16"/>
                <w:lang w:val="en-GB"/>
              </w:rPr>
              <w:t xml:space="preserve"> Other questions, which are not regulated by the conditions of the present Agreement, shall be regulated by the current legislation of Ukraine</w:t>
            </w:r>
            <w:r w:rsidRPr="00E16672">
              <w:rPr>
                <w:rFonts w:ascii="Times New Roman" w:hAnsi="Times New Roman"/>
                <w:color w:val="000000"/>
                <w:sz w:val="16"/>
                <w:szCs w:val="16"/>
              </w:rPr>
              <w:t xml:space="preserve"> </w:t>
            </w:r>
            <w:proofErr w:type="spellStart"/>
            <w:r w:rsidRPr="00E16672">
              <w:rPr>
                <w:rStyle w:val="shorttext"/>
                <w:rFonts w:ascii="Times New Roman" w:hAnsi="Times New Roman"/>
                <w:sz w:val="16"/>
                <w:szCs w:val="16"/>
              </w:rPr>
              <w:t>and</w:t>
            </w:r>
            <w:proofErr w:type="spellEnd"/>
            <w:r w:rsidRPr="00E16672">
              <w:rPr>
                <w:rStyle w:val="shorttext"/>
                <w:rFonts w:ascii="Times New Roman" w:hAnsi="Times New Roman"/>
                <w:sz w:val="16"/>
                <w:szCs w:val="16"/>
              </w:rPr>
              <w:t xml:space="preserve"> </w:t>
            </w:r>
            <w:proofErr w:type="spellStart"/>
            <w:r w:rsidRPr="00E16672">
              <w:rPr>
                <w:rStyle w:val="shorttext"/>
                <w:rFonts w:ascii="Times New Roman" w:hAnsi="Times New Roman"/>
                <w:sz w:val="16"/>
                <w:szCs w:val="16"/>
              </w:rPr>
              <w:t>the</w:t>
            </w:r>
            <w:proofErr w:type="spellEnd"/>
            <w:r w:rsidRPr="00E16672">
              <w:rPr>
                <w:rStyle w:val="shorttext"/>
                <w:rFonts w:ascii="Times New Roman" w:hAnsi="Times New Roman"/>
                <w:sz w:val="16"/>
                <w:szCs w:val="16"/>
              </w:rPr>
              <w:t xml:space="preserve"> </w:t>
            </w:r>
            <w:proofErr w:type="spellStart"/>
            <w:r w:rsidRPr="00E16672">
              <w:rPr>
                <w:rStyle w:val="shorttext"/>
                <w:rFonts w:ascii="Times New Roman" w:hAnsi="Times New Roman"/>
                <w:sz w:val="16"/>
                <w:szCs w:val="16"/>
              </w:rPr>
              <w:t>internal</w:t>
            </w:r>
            <w:proofErr w:type="spellEnd"/>
            <w:r w:rsidRPr="00E16672">
              <w:rPr>
                <w:rStyle w:val="shorttext"/>
                <w:rFonts w:ascii="Times New Roman" w:hAnsi="Times New Roman"/>
                <w:sz w:val="16"/>
                <w:szCs w:val="16"/>
              </w:rPr>
              <w:t xml:space="preserve"> </w:t>
            </w:r>
            <w:proofErr w:type="spellStart"/>
            <w:r w:rsidRPr="00E16672">
              <w:rPr>
                <w:rStyle w:val="shorttext"/>
                <w:rFonts w:ascii="Times New Roman" w:hAnsi="Times New Roman"/>
                <w:sz w:val="16"/>
                <w:szCs w:val="16"/>
              </w:rPr>
              <w:t>documents</w:t>
            </w:r>
            <w:proofErr w:type="spellEnd"/>
            <w:r w:rsidRPr="00E16672">
              <w:rPr>
                <w:rStyle w:val="shorttext"/>
                <w:rFonts w:ascii="Times New Roman" w:hAnsi="Times New Roman"/>
                <w:sz w:val="16"/>
                <w:szCs w:val="16"/>
              </w:rPr>
              <w:t xml:space="preserve"> </w:t>
            </w:r>
            <w:proofErr w:type="spellStart"/>
            <w:r w:rsidRPr="00E16672">
              <w:rPr>
                <w:rStyle w:val="shorttext"/>
                <w:rFonts w:ascii="Times New Roman" w:hAnsi="Times New Roman"/>
                <w:sz w:val="16"/>
                <w:szCs w:val="16"/>
              </w:rPr>
              <w:t>of</w:t>
            </w:r>
            <w:proofErr w:type="spellEnd"/>
            <w:r w:rsidRPr="00E16672">
              <w:rPr>
                <w:rStyle w:val="shorttext"/>
                <w:rFonts w:ascii="Times New Roman" w:hAnsi="Times New Roman"/>
                <w:sz w:val="16"/>
                <w:szCs w:val="16"/>
              </w:rPr>
              <w:t xml:space="preserve"> </w:t>
            </w:r>
            <w:proofErr w:type="spellStart"/>
            <w:r w:rsidRPr="00E16672">
              <w:rPr>
                <w:rStyle w:val="shorttext"/>
                <w:rFonts w:ascii="Times New Roman" w:hAnsi="Times New Roman"/>
                <w:sz w:val="16"/>
                <w:szCs w:val="16"/>
              </w:rPr>
              <w:t>the</w:t>
            </w:r>
            <w:proofErr w:type="spellEnd"/>
            <w:r w:rsidRPr="00E16672">
              <w:rPr>
                <w:rStyle w:val="shorttext"/>
                <w:rFonts w:ascii="Times New Roman" w:hAnsi="Times New Roman"/>
                <w:sz w:val="16"/>
                <w:szCs w:val="16"/>
              </w:rPr>
              <w:t xml:space="preserve"> </w:t>
            </w:r>
            <w:proofErr w:type="spellStart"/>
            <w:r w:rsidRPr="00E16672">
              <w:rPr>
                <w:rStyle w:val="shorttext"/>
                <w:rFonts w:ascii="Times New Roman" w:hAnsi="Times New Roman"/>
                <w:sz w:val="16"/>
                <w:szCs w:val="16"/>
              </w:rPr>
              <w:t>Depositary</w:t>
            </w:r>
            <w:proofErr w:type="spellEnd"/>
            <w:r w:rsidRPr="00E16672">
              <w:rPr>
                <w:rStyle w:val="shorttext"/>
                <w:rFonts w:ascii="Times New Roman" w:hAnsi="Times New Roman"/>
                <w:sz w:val="16"/>
                <w:szCs w:val="16"/>
              </w:rPr>
              <w:t xml:space="preserve"> </w:t>
            </w:r>
            <w:r w:rsidRPr="00E16672">
              <w:rPr>
                <w:rFonts w:ascii="Times New Roman" w:hAnsi="Times New Roman"/>
                <w:iCs/>
                <w:color w:val="000000"/>
                <w:sz w:val="16"/>
                <w:szCs w:val="16"/>
                <w:lang w:val="en-US"/>
              </w:rPr>
              <w:t>institution</w:t>
            </w:r>
            <w:r w:rsidRPr="00E16672">
              <w:rPr>
                <w:rFonts w:ascii="Times New Roman" w:hAnsi="Times New Roman"/>
                <w:color w:val="000000"/>
                <w:sz w:val="16"/>
                <w:szCs w:val="16"/>
                <w:lang w:val="en-GB"/>
              </w:rPr>
              <w:t>.</w:t>
            </w:r>
          </w:p>
        </w:tc>
      </w:tr>
      <w:tr w:rsidR="005C5318" w:rsidRPr="00F23413" w14:paraId="77DED6CE" w14:textId="77777777" w:rsidTr="005E418B">
        <w:trPr>
          <w:trHeight w:val="192"/>
        </w:trPr>
        <w:tc>
          <w:tcPr>
            <w:tcW w:w="5695" w:type="dxa"/>
            <w:gridSpan w:val="6"/>
            <w:shd w:val="clear" w:color="auto" w:fill="auto"/>
          </w:tcPr>
          <w:p w14:paraId="11F81132" w14:textId="77777777" w:rsidR="005C5318" w:rsidRPr="00E16672" w:rsidRDefault="005C5318" w:rsidP="005C5318">
            <w:pPr>
              <w:snapToGrid w:val="0"/>
              <w:ind w:left="175" w:right="138"/>
              <w:rPr>
                <w:rFonts w:ascii="Times New Roman" w:hAnsi="Times New Roman"/>
                <w:sz w:val="16"/>
                <w:szCs w:val="16"/>
                <w:lang w:val="en-US"/>
              </w:rPr>
            </w:pPr>
          </w:p>
          <w:p w14:paraId="74B878DD" w14:textId="77777777" w:rsidR="005C5318" w:rsidRPr="00E16672" w:rsidRDefault="005C5318" w:rsidP="005C5318">
            <w:pPr>
              <w:ind w:left="175" w:right="138"/>
              <w:jc w:val="center"/>
              <w:rPr>
                <w:rFonts w:ascii="Times New Roman" w:hAnsi="Times New Roman"/>
                <w:b/>
                <w:caps/>
                <w:sz w:val="16"/>
                <w:szCs w:val="16"/>
                <w:lang w:val="en-US"/>
              </w:rPr>
            </w:pPr>
            <w:r w:rsidRPr="00E16672">
              <w:rPr>
                <w:rFonts w:ascii="Times New Roman" w:hAnsi="Times New Roman"/>
                <w:b/>
                <w:caps/>
                <w:sz w:val="16"/>
                <w:szCs w:val="16"/>
                <w:lang w:val="en-US"/>
              </w:rPr>
              <w:t xml:space="preserve">9. </w:t>
            </w:r>
            <w:r w:rsidRPr="00E16672">
              <w:rPr>
                <w:rFonts w:ascii="Times New Roman" w:hAnsi="Times New Roman"/>
                <w:b/>
                <w:caps/>
                <w:sz w:val="16"/>
                <w:szCs w:val="16"/>
              </w:rPr>
              <w:t>Форс</w:t>
            </w:r>
            <w:r w:rsidRPr="00E16672">
              <w:rPr>
                <w:rFonts w:ascii="Times New Roman" w:hAnsi="Times New Roman"/>
                <w:b/>
                <w:caps/>
                <w:sz w:val="16"/>
                <w:szCs w:val="16"/>
                <w:lang w:val="en-US"/>
              </w:rPr>
              <w:t>-</w:t>
            </w:r>
            <w:r w:rsidRPr="00E16672">
              <w:rPr>
                <w:rFonts w:ascii="Times New Roman" w:hAnsi="Times New Roman"/>
                <w:b/>
                <w:caps/>
                <w:sz w:val="16"/>
                <w:szCs w:val="16"/>
              </w:rPr>
              <w:t>мажор</w:t>
            </w:r>
          </w:p>
          <w:p w14:paraId="64019DFC" w14:textId="77777777" w:rsidR="005C5318" w:rsidRPr="00E16672" w:rsidRDefault="005C5318" w:rsidP="005C5318">
            <w:pPr>
              <w:ind w:left="175" w:right="138"/>
              <w:rPr>
                <w:rFonts w:ascii="Times New Roman" w:hAnsi="Times New Roman"/>
                <w:sz w:val="16"/>
                <w:szCs w:val="16"/>
                <w:lang w:val="en-US"/>
              </w:rPr>
            </w:pPr>
          </w:p>
          <w:p w14:paraId="2D16B55F" w14:textId="77777777" w:rsidR="005C5318" w:rsidRPr="00E16672" w:rsidRDefault="005C5318" w:rsidP="005C5318">
            <w:pPr>
              <w:ind w:left="175" w:right="138" w:firstLine="0"/>
              <w:rPr>
                <w:rFonts w:ascii="Times New Roman" w:hAnsi="Times New Roman"/>
                <w:sz w:val="16"/>
                <w:szCs w:val="16"/>
              </w:rPr>
            </w:pPr>
            <w:r w:rsidRPr="00E16672">
              <w:rPr>
                <w:rFonts w:ascii="Times New Roman" w:hAnsi="Times New Roman"/>
                <w:sz w:val="16"/>
                <w:szCs w:val="16"/>
                <w:lang w:val="en-US"/>
              </w:rPr>
              <w:t xml:space="preserve">9.1. </w:t>
            </w:r>
            <w:proofErr w:type="spellStart"/>
            <w:r w:rsidRPr="00E16672">
              <w:rPr>
                <w:rFonts w:ascii="Times New Roman" w:hAnsi="Times New Roman"/>
                <w:sz w:val="16"/>
                <w:szCs w:val="16"/>
              </w:rPr>
              <w:t>Сторони</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звільняються</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від</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відповідальності</w:t>
            </w:r>
            <w:proofErr w:type="spellEnd"/>
            <w:r w:rsidRPr="00E16672">
              <w:rPr>
                <w:rFonts w:ascii="Times New Roman" w:hAnsi="Times New Roman"/>
                <w:sz w:val="16"/>
                <w:szCs w:val="16"/>
                <w:lang w:val="en-US"/>
              </w:rPr>
              <w:t xml:space="preserve"> </w:t>
            </w:r>
            <w:r w:rsidRPr="00E16672">
              <w:rPr>
                <w:rFonts w:ascii="Times New Roman" w:hAnsi="Times New Roman"/>
                <w:sz w:val="16"/>
                <w:szCs w:val="16"/>
              </w:rPr>
              <w:t>за</w:t>
            </w:r>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часткове</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або</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повне</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невиконання</w:t>
            </w:r>
            <w:proofErr w:type="spellEnd"/>
            <w:r w:rsidRPr="00E16672">
              <w:rPr>
                <w:rFonts w:ascii="Times New Roman" w:hAnsi="Times New Roman"/>
                <w:sz w:val="16"/>
                <w:szCs w:val="16"/>
                <w:lang w:val="en-US"/>
              </w:rPr>
              <w:t xml:space="preserve"> </w:t>
            </w:r>
            <w:r w:rsidRPr="00E16672">
              <w:rPr>
                <w:rFonts w:ascii="Times New Roman" w:hAnsi="Times New Roman"/>
                <w:sz w:val="16"/>
                <w:szCs w:val="16"/>
              </w:rPr>
              <w:t>зобов</w:t>
            </w:r>
            <w:r w:rsidRPr="00E16672">
              <w:rPr>
                <w:rFonts w:ascii="Times New Roman" w:hAnsi="Times New Roman"/>
                <w:sz w:val="16"/>
                <w:szCs w:val="16"/>
                <w:lang w:val="en-US"/>
              </w:rPr>
              <w:t>’</w:t>
            </w:r>
            <w:proofErr w:type="spellStart"/>
            <w:r w:rsidRPr="00E16672">
              <w:rPr>
                <w:rFonts w:ascii="Times New Roman" w:hAnsi="Times New Roman"/>
                <w:sz w:val="16"/>
                <w:szCs w:val="16"/>
              </w:rPr>
              <w:t>язань</w:t>
            </w:r>
            <w:proofErr w:type="spellEnd"/>
            <w:r w:rsidRPr="00E16672">
              <w:rPr>
                <w:rFonts w:ascii="Times New Roman" w:hAnsi="Times New Roman"/>
                <w:sz w:val="16"/>
                <w:szCs w:val="16"/>
                <w:lang w:val="en-US"/>
              </w:rPr>
              <w:t xml:space="preserve"> </w:t>
            </w:r>
            <w:r w:rsidRPr="00E16672">
              <w:rPr>
                <w:rFonts w:ascii="Times New Roman" w:hAnsi="Times New Roman"/>
                <w:sz w:val="16"/>
                <w:szCs w:val="16"/>
              </w:rPr>
              <w:t>по</w:t>
            </w:r>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цьому</w:t>
            </w:r>
            <w:proofErr w:type="spellEnd"/>
            <w:r w:rsidRPr="00E16672">
              <w:rPr>
                <w:rFonts w:ascii="Times New Roman" w:hAnsi="Times New Roman"/>
                <w:sz w:val="16"/>
                <w:szCs w:val="16"/>
                <w:lang w:val="en-US"/>
              </w:rPr>
              <w:t xml:space="preserve"> </w:t>
            </w:r>
            <w:r w:rsidRPr="00E16672">
              <w:rPr>
                <w:rFonts w:ascii="Times New Roman" w:hAnsi="Times New Roman"/>
                <w:sz w:val="16"/>
                <w:szCs w:val="16"/>
              </w:rPr>
              <w:t>Договору</w:t>
            </w:r>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якщо</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це</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виконання</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унеможливив</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вплив</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обставин</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непереборної</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сили</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тобто</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надзвичайних</w:t>
            </w:r>
            <w:proofErr w:type="spellEnd"/>
            <w:r w:rsidRPr="00E16672">
              <w:rPr>
                <w:rFonts w:ascii="Times New Roman" w:hAnsi="Times New Roman"/>
                <w:sz w:val="16"/>
                <w:szCs w:val="16"/>
                <w:lang w:val="en-US"/>
              </w:rPr>
              <w:t xml:space="preserve"> </w:t>
            </w:r>
            <w:r w:rsidRPr="00E16672">
              <w:rPr>
                <w:rFonts w:ascii="Times New Roman" w:hAnsi="Times New Roman"/>
                <w:sz w:val="16"/>
                <w:szCs w:val="16"/>
              </w:rPr>
              <w:t>і</w:t>
            </w:r>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невідворотних</w:t>
            </w:r>
            <w:proofErr w:type="spellEnd"/>
            <w:r w:rsidRPr="00E16672">
              <w:rPr>
                <w:rFonts w:ascii="Times New Roman" w:hAnsi="Times New Roman"/>
                <w:sz w:val="16"/>
                <w:szCs w:val="16"/>
                <w:lang w:val="en-US"/>
              </w:rPr>
              <w:t xml:space="preserve"> </w:t>
            </w:r>
            <w:r w:rsidRPr="00E16672">
              <w:rPr>
                <w:rFonts w:ascii="Times New Roman" w:hAnsi="Times New Roman"/>
                <w:sz w:val="16"/>
                <w:szCs w:val="16"/>
              </w:rPr>
              <w:t>за</w:t>
            </w:r>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даних</w:t>
            </w:r>
            <w:proofErr w:type="spellEnd"/>
            <w:r w:rsidRPr="00E16672">
              <w:rPr>
                <w:rFonts w:ascii="Times New Roman" w:hAnsi="Times New Roman"/>
                <w:sz w:val="16"/>
                <w:szCs w:val="16"/>
                <w:lang w:val="en-US"/>
              </w:rPr>
              <w:t xml:space="preserve"> </w:t>
            </w:r>
            <w:r w:rsidRPr="00E16672">
              <w:rPr>
                <w:rFonts w:ascii="Times New Roman" w:hAnsi="Times New Roman"/>
                <w:sz w:val="16"/>
                <w:szCs w:val="16"/>
              </w:rPr>
              <w:t>умов</w:t>
            </w:r>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подій</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стихійного</w:t>
            </w:r>
            <w:proofErr w:type="spellEnd"/>
            <w:r w:rsidRPr="00E16672">
              <w:rPr>
                <w:rFonts w:ascii="Times New Roman" w:hAnsi="Times New Roman"/>
                <w:sz w:val="16"/>
                <w:szCs w:val="16"/>
                <w:lang w:val="en-US"/>
              </w:rPr>
              <w:t xml:space="preserve"> </w:t>
            </w:r>
            <w:r w:rsidRPr="00E16672">
              <w:rPr>
                <w:rFonts w:ascii="Times New Roman" w:hAnsi="Times New Roman"/>
                <w:sz w:val="16"/>
                <w:szCs w:val="16"/>
              </w:rPr>
              <w:t>лиха</w:t>
            </w:r>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аварії</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пожежі</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вихід</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із</w:t>
            </w:r>
            <w:proofErr w:type="spellEnd"/>
            <w:r w:rsidRPr="00E16672">
              <w:rPr>
                <w:rFonts w:ascii="Times New Roman" w:hAnsi="Times New Roman"/>
                <w:sz w:val="16"/>
                <w:szCs w:val="16"/>
                <w:lang w:val="en-US"/>
              </w:rPr>
              <w:t xml:space="preserve"> </w:t>
            </w:r>
            <w:r w:rsidRPr="00E16672">
              <w:rPr>
                <w:rFonts w:ascii="Times New Roman" w:hAnsi="Times New Roman"/>
                <w:sz w:val="16"/>
                <w:szCs w:val="16"/>
              </w:rPr>
              <w:t>ладу</w:t>
            </w:r>
            <w:r w:rsidRPr="00E16672">
              <w:rPr>
                <w:rFonts w:ascii="Times New Roman" w:hAnsi="Times New Roman"/>
                <w:sz w:val="16"/>
                <w:szCs w:val="16"/>
                <w:lang w:val="en-US"/>
              </w:rPr>
              <w:t xml:space="preserve"> </w:t>
            </w:r>
            <w:r w:rsidRPr="00E16672">
              <w:rPr>
                <w:rFonts w:ascii="Times New Roman" w:hAnsi="Times New Roman"/>
                <w:sz w:val="16"/>
                <w:szCs w:val="16"/>
              </w:rPr>
              <w:t>мереж</w:t>
            </w:r>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зв</w:t>
            </w:r>
            <w:proofErr w:type="spellEnd"/>
            <w:r w:rsidRPr="00E16672">
              <w:rPr>
                <w:rFonts w:ascii="Times New Roman" w:hAnsi="Times New Roman"/>
                <w:sz w:val="16"/>
                <w:szCs w:val="16"/>
                <w:lang w:val="en-US"/>
              </w:rPr>
              <w:t>’</w:t>
            </w:r>
            <w:proofErr w:type="spellStart"/>
            <w:r w:rsidRPr="00E16672">
              <w:rPr>
                <w:rFonts w:ascii="Times New Roman" w:hAnsi="Times New Roman"/>
                <w:sz w:val="16"/>
                <w:szCs w:val="16"/>
              </w:rPr>
              <w:t>язку</w:t>
            </w:r>
            <w:proofErr w:type="spellEnd"/>
            <w:r w:rsidRPr="00E16672">
              <w:rPr>
                <w:rFonts w:ascii="Times New Roman" w:hAnsi="Times New Roman"/>
                <w:sz w:val="16"/>
                <w:szCs w:val="16"/>
                <w:lang w:val="en-US"/>
              </w:rPr>
              <w:t xml:space="preserve"> </w:t>
            </w:r>
            <w:r w:rsidRPr="00E16672">
              <w:rPr>
                <w:rFonts w:ascii="Times New Roman" w:hAnsi="Times New Roman"/>
                <w:sz w:val="16"/>
                <w:szCs w:val="16"/>
              </w:rPr>
              <w:t>та</w:t>
            </w:r>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системи</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електропостачання</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масових</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порушень</w:t>
            </w:r>
            <w:proofErr w:type="spellEnd"/>
            <w:r w:rsidRPr="00E16672">
              <w:rPr>
                <w:rFonts w:ascii="Times New Roman" w:hAnsi="Times New Roman"/>
                <w:sz w:val="16"/>
                <w:szCs w:val="16"/>
                <w:lang w:val="en-US"/>
              </w:rPr>
              <w:t xml:space="preserve"> </w:t>
            </w:r>
            <w:r w:rsidRPr="00E16672">
              <w:rPr>
                <w:rFonts w:ascii="Times New Roman" w:hAnsi="Times New Roman"/>
                <w:sz w:val="16"/>
                <w:szCs w:val="16"/>
              </w:rPr>
              <w:t>правопорядку</w:t>
            </w:r>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страйків</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військових</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дій</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протиправних</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дій</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третіх</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осіб</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крім</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дій</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працівників</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Сторони</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чи</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інших</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обставин</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що</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виникли</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після</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підписання</w:t>
            </w:r>
            <w:proofErr w:type="spellEnd"/>
            <w:r w:rsidRPr="00E16672">
              <w:rPr>
                <w:rFonts w:ascii="Times New Roman" w:hAnsi="Times New Roman"/>
                <w:sz w:val="16"/>
                <w:szCs w:val="16"/>
                <w:lang w:val="en-US"/>
              </w:rPr>
              <w:t xml:space="preserve"> </w:t>
            </w:r>
            <w:r w:rsidRPr="00E16672">
              <w:rPr>
                <w:rFonts w:ascii="Times New Roman" w:hAnsi="Times New Roman"/>
                <w:sz w:val="16"/>
                <w:szCs w:val="16"/>
              </w:rPr>
              <w:t>Договору</w:t>
            </w:r>
            <w:r w:rsidRPr="00E16672">
              <w:rPr>
                <w:rFonts w:ascii="Times New Roman" w:hAnsi="Times New Roman"/>
                <w:sz w:val="16"/>
                <w:szCs w:val="16"/>
                <w:lang w:val="en-US"/>
              </w:rPr>
              <w:t xml:space="preserve"> </w:t>
            </w:r>
            <w:r w:rsidRPr="00E16672">
              <w:rPr>
                <w:rFonts w:ascii="Times New Roman" w:hAnsi="Times New Roman"/>
                <w:sz w:val="16"/>
                <w:szCs w:val="16"/>
              </w:rPr>
              <w:t>та</w:t>
            </w:r>
            <w:r w:rsidRPr="00E16672">
              <w:rPr>
                <w:rFonts w:ascii="Times New Roman" w:hAnsi="Times New Roman"/>
                <w:sz w:val="16"/>
                <w:szCs w:val="16"/>
                <w:lang w:val="en-US"/>
              </w:rPr>
              <w:t xml:space="preserve"> </w:t>
            </w:r>
            <w:r w:rsidRPr="00E16672">
              <w:rPr>
                <w:rFonts w:ascii="Times New Roman" w:hAnsi="Times New Roman"/>
                <w:sz w:val="16"/>
                <w:szCs w:val="16"/>
              </w:rPr>
              <w:t>не</w:t>
            </w:r>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залежать</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від</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волевиявлення</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Сторін</w:t>
            </w:r>
            <w:proofErr w:type="spellEnd"/>
            <w:r w:rsidRPr="00E16672">
              <w:rPr>
                <w:rFonts w:ascii="Times New Roman" w:hAnsi="Times New Roman"/>
                <w:sz w:val="16"/>
                <w:szCs w:val="16"/>
                <w:lang w:val="en-US"/>
              </w:rPr>
              <w:t xml:space="preserve">. </w:t>
            </w:r>
            <w:r w:rsidRPr="00E16672">
              <w:rPr>
                <w:rFonts w:ascii="Times New Roman" w:hAnsi="Times New Roman"/>
                <w:sz w:val="16"/>
                <w:szCs w:val="16"/>
              </w:rPr>
              <w:t xml:space="preserve">Не є </w:t>
            </w:r>
            <w:proofErr w:type="spellStart"/>
            <w:r w:rsidRPr="00E16672">
              <w:rPr>
                <w:rFonts w:ascii="Times New Roman" w:hAnsi="Times New Roman"/>
                <w:sz w:val="16"/>
                <w:szCs w:val="16"/>
              </w:rPr>
              <w:t>непереборною</w:t>
            </w:r>
            <w:proofErr w:type="spellEnd"/>
            <w:r w:rsidRPr="00E16672">
              <w:rPr>
                <w:rFonts w:ascii="Times New Roman" w:hAnsi="Times New Roman"/>
                <w:sz w:val="16"/>
                <w:szCs w:val="16"/>
              </w:rPr>
              <w:t xml:space="preserve"> силою </w:t>
            </w:r>
            <w:proofErr w:type="spellStart"/>
            <w:r w:rsidRPr="00E16672">
              <w:rPr>
                <w:rFonts w:ascii="Times New Roman" w:hAnsi="Times New Roman"/>
                <w:sz w:val="16"/>
                <w:szCs w:val="16"/>
              </w:rPr>
              <w:t>недодержання</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своїх</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обов’язків</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іншими</w:t>
            </w:r>
            <w:proofErr w:type="spellEnd"/>
            <w:r w:rsidRPr="00E16672">
              <w:rPr>
                <w:rFonts w:ascii="Times New Roman" w:hAnsi="Times New Roman"/>
                <w:sz w:val="16"/>
                <w:szCs w:val="16"/>
              </w:rPr>
              <w:t xml:space="preserve"> контрагентами </w:t>
            </w:r>
            <w:proofErr w:type="spellStart"/>
            <w:r w:rsidRPr="00E16672">
              <w:rPr>
                <w:rFonts w:ascii="Times New Roman" w:hAnsi="Times New Roman"/>
                <w:sz w:val="16"/>
                <w:szCs w:val="16"/>
              </w:rPr>
              <w:t>однієї</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зі</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Сторін</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чи</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відсутність</w:t>
            </w:r>
            <w:proofErr w:type="spellEnd"/>
            <w:r w:rsidRPr="00E16672">
              <w:rPr>
                <w:rFonts w:ascii="Times New Roman" w:hAnsi="Times New Roman"/>
                <w:sz w:val="16"/>
                <w:szCs w:val="16"/>
              </w:rPr>
              <w:t xml:space="preserve"> у </w:t>
            </w:r>
            <w:proofErr w:type="spellStart"/>
            <w:r w:rsidRPr="00E16672">
              <w:rPr>
                <w:rFonts w:ascii="Times New Roman" w:hAnsi="Times New Roman"/>
                <w:sz w:val="16"/>
                <w:szCs w:val="16"/>
              </w:rPr>
              <w:t>Сторони</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достатніх</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коштів</w:t>
            </w:r>
            <w:proofErr w:type="spellEnd"/>
            <w:r w:rsidRPr="00E16672">
              <w:rPr>
                <w:rFonts w:ascii="Times New Roman" w:hAnsi="Times New Roman"/>
                <w:sz w:val="16"/>
                <w:szCs w:val="16"/>
              </w:rPr>
              <w:t>.</w:t>
            </w:r>
          </w:p>
          <w:p w14:paraId="5B38DBC5" w14:textId="77777777" w:rsidR="005C5318" w:rsidRPr="00E16672" w:rsidRDefault="005C5318" w:rsidP="005C5318">
            <w:pPr>
              <w:pStyle w:val="1b"/>
              <w:spacing w:before="0" w:after="0"/>
              <w:ind w:left="175" w:right="138"/>
              <w:rPr>
                <w:rFonts w:ascii="Times New Roman" w:eastAsia="Times New Roman" w:hAnsi="Times New Roman" w:cs="Times New Roman"/>
                <w:sz w:val="16"/>
                <w:szCs w:val="16"/>
              </w:rPr>
            </w:pPr>
          </w:p>
        </w:tc>
        <w:tc>
          <w:tcPr>
            <w:tcW w:w="5495" w:type="dxa"/>
            <w:gridSpan w:val="6"/>
            <w:shd w:val="clear" w:color="auto" w:fill="auto"/>
          </w:tcPr>
          <w:p w14:paraId="2F5401BD" w14:textId="77777777" w:rsidR="005C5318" w:rsidRPr="00E16672" w:rsidRDefault="005C5318" w:rsidP="005C5318">
            <w:pPr>
              <w:tabs>
                <w:tab w:val="left" w:pos="287"/>
              </w:tabs>
              <w:snapToGrid w:val="0"/>
              <w:ind w:left="145" w:right="100"/>
              <w:jc w:val="center"/>
              <w:rPr>
                <w:rFonts w:ascii="Times New Roman" w:hAnsi="Times New Roman"/>
                <w:b/>
                <w:bCs/>
                <w:sz w:val="16"/>
                <w:szCs w:val="16"/>
              </w:rPr>
            </w:pPr>
          </w:p>
          <w:p w14:paraId="44D37C16" w14:textId="77777777" w:rsidR="005C5318" w:rsidRPr="00E16672" w:rsidRDefault="005C5318" w:rsidP="005C5318">
            <w:pPr>
              <w:tabs>
                <w:tab w:val="left" w:pos="287"/>
              </w:tabs>
              <w:ind w:left="145" w:right="100"/>
              <w:jc w:val="center"/>
              <w:rPr>
                <w:rFonts w:ascii="Times New Roman" w:hAnsi="Times New Roman"/>
                <w:b/>
                <w:caps/>
                <w:sz w:val="16"/>
                <w:szCs w:val="16"/>
                <w:lang w:val="en-GB"/>
              </w:rPr>
            </w:pPr>
            <w:r w:rsidRPr="00E16672">
              <w:rPr>
                <w:rFonts w:ascii="Times New Roman" w:hAnsi="Times New Roman"/>
                <w:b/>
                <w:caps/>
                <w:sz w:val="16"/>
                <w:szCs w:val="16"/>
                <w:lang w:val="en-US"/>
              </w:rPr>
              <w:t>9</w:t>
            </w:r>
            <w:r w:rsidRPr="00E16672">
              <w:rPr>
                <w:rFonts w:ascii="Times New Roman" w:hAnsi="Times New Roman"/>
                <w:b/>
                <w:caps/>
                <w:sz w:val="16"/>
                <w:szCs w:val="16"/>
                <w:lang w:val="en-GB"/>
              </w:rPr>
              <w:t>. FORCE MAJEURE</w:t>
            </w:r>
          </w:p>
          <w:p w14:paraId="004C3C53" w14:textId="77777777" w:rsidR="005C5318" w:rsidRPr="00E16672" w:rsidRDefault="005C5318" w:rsidP="005C5318">
            <w:pPr>
              <w:tabs>
                <w:tab w:val="left" w:pos="287"/>
              </w:tabs>
              <w:ind w:left="145" w:right="100"/>
              <w:jc w:val="center"/>
              <w:rPr>
                <w:rFonts w:ascii="Times New Roman" w:hAnsi="Times New Roman"/>
                <w:b/>
                <w:bCs/>
                <w:sz w:val="16"/>
                <w:szCs w:val="16"/>
                <w:lang w:val="en-GB"/>
              </w:rPr>
            </w:pPr>
          </w:p>
          <w:p w14:paraId="07B2F7F3" w14:textId="77777777" w:rsidR="005C5318" w:rsidRPr="00E16672" w:rsidRDefault="005C5318" w:rsidP="005C5318">
            <w:pPr>
              <w:pStyle w:val="210"/>
              <w:tabs>
                <w:tab w:val="left" w:pos="287"/>
              </w:tabs>
              <w:ind w:left="145" w:right="100" w:firstLine="0"/>
              <w:rPr>
                <w:rFonts w:ascii="Times New Roman" w:hAnsi="Times New Roman"/>
                <w:sz w:val="16"/>
                <w:szCs w:val="16"/>
              </w:rPr>
            </w:pPr>
            <w:r w:rsidRPr="00E16672">
              <w:rPr>
                <w:rFonts w:ascii="Times New Roman" w:hAnsi="Times New Roman"/>
                <w:sz w:val="16"/>
                <w:szCs w:val="16"/>
              </w:rPr>
              <w:t xml:space="preserve">9.1.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Parties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shall</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not</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be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liable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for</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partial</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or</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full</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default</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under</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this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Agreement</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if</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this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is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impossible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performance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impact</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of</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force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majeure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ie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extraordinary</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and</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unavoidable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in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circumstances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of</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events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acts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of</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nature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accidents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fires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failure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of</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communication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circuits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and</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electrification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circuits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mass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disorders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strikes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military</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operations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illegal</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operations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except</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actions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of</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staff</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of</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parties</w:t>
            </w:r>
            <w:proofErr w:type="spellEnd"/>
            <w:r w:rsidRPr="00E16672">
              <w:rPr>
                <w:rFonts w:ascii="Times New Roman" w:hAnsi="Times New Roman"/>
                <w:sz w:val="16"/>
                <w:szCs w:val="16"/>
              </w:rPr>
              <w:t xml:space="preserve">) – </w:t>
            </w:r>
            <w:proofErr w:type="spellStart"/>
            <w:r w:rsidRPr="00E16672">
              <w:rPr>
                <w:rFonts w:ascii="Times New Roman" w:hAnsi="Times New Roman"/>
                <w:sz w:val="16"/>
                <w:szCs w:val="16"/>
              </w:rPr>
              <w:t>or</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either</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circumstances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arising</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after</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conclusion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of</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this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Agreement</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and</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does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not</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depend</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will</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of</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parties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Not</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an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insurmountable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force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noncompliance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with</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duties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other</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contractors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from</w:t>
            </w:r>
            <w:proofErr w:type="spellEnd"/>
            <w:r w:rsidRPr="00E16672">
              <w:rPr>
                <w:rFonts w:ascii="Times New Roman" w:hAnsi="Times New Roman"/>
                <w:sz w:val="16"/>
                <w:szCs w:val="16"/>
              </w:rPr>
              <w:t xml:space="preserve"> a </w:t>
            </w:r>
            <w:proofErr w:type="spellStart"/>
            <w:r w:rsidRPr="00E16672">
              <w:rPr>
                <w:rFonts w:ascii="Times New Roman" w:hAnsi="Times New Roman"/>
                <w:sz w:val="16"/>
                <w:szCs w:val="16"/>
              </w:rPr>
              <w:t>Party</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or</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Parties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to</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lack</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of</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sufficient</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funds</w:t>
            </w:r>
            <w:proofErr w:type="spellEnd"/>
            <w:r w:rsidRPr="00E16672">
              <w:rPr>
                <w:rFonts w:ascii="Times New Roman" w:hAnsi="Times New Roman"/>
                <w:sz w:val="16"/>
                <w:szCs w:val="16"/>
              </w:rPr>
              <w:t>.</w:t>
            </w:r>
          </w:p>
        </w:tc>
      </w:tr>
      <w:tr w:rsidR="005C5318" w:rsidRPr="00F23413" w14:paraId="66C814A5" w14:textId="77777777" w:rsidTr="005E418B">
        <w:trPr>
          <w:trHeight w:val="192"/>
        </w:trPr>
        <w:tc>
          <w:tcPr>
            <w:tcW w:w="5695" w:type="dxa"/>
            <w:gridSpan w:val="6"/>
            <w:shd w:val="clear" w:color="auto" w:fill="auto"/>
          </w:tcPr>
          <w:p w14:paraId="3AE38786" w14:textId="77777777" w:rsidR="005C5318" w:rsidRPr="00E16672" w:rsidRDefault="005C5318" w:rsidP="005C5318">
            <w:pPr>
              <w:snapToGrid w:val="0"/>
              <w:ind w:left="175" w:right="138" w:firstLine="0"/>
              <w:rPr>
                <w:rFonts w:ascii="Times New Roman" w:hAnsi="Times New Roman"/>
                <w:sz w:val="16"/>
                <w:szCs w:val="16"/>
              </w:rPr>
            </w:pPr>
            <w:r w:rsidRPr="00E16672">
              <w:rPr>
                <w:rFonts w:ascii="Times New Roman" w:hAnsi="Times New Roman"/>
                <w:sz w:val="16"/>
                <w:szCs w:val="16"/>
              </w:rPr>
              <w:t xml:space="preserve">9.2. У </w:t>
            </w:r>
            <w:proofErr w:type="spellStart"/>
            <w:r w:rsidRPr="00E16672">
              <w:rPr>
                <w:rFonts w:ascii="Times New Roman" w:hAnsi="Times New Roman"/>
                <w:sz w:val="16"/>
                <w:szCs w:val="16"/>
              </w:rPr>
              <w:t>випадку</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виникнення</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обставин</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непереборної</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сили</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термін</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виконання</w:t>
            </w:r>
            <w:proofErr w:type="spellEnd"/>
            <w:r w:rsidRPr="00E16672">
              <w:rPr>
                <w:rFonts w:ascii="Times New Roman" w:hAnsi="Times New Roman"/>
                <w:sz w:val="16"/>
                <w:szCs w:val="16"/>
              </w:rPr>
              <w:t xml:space="preserve"> Сторонами </w:t>
            </w:r>
            <w:proofErr w:type="spellStart"/>
            <w:r w:rsidRPr="00E16672">
              <w:rPr>
                <w:rFonts w:ascii="Times New Roman" w:hAnsi="Times New Roman"/>
                <w:sz w:val="16"/>
                <w:szCs w:val="16"/>
              </w:rPr>
              <w:t>обов`язків</w:t>
            </w:r>
            <w:proofErr w:type="spellEnd"/>
            <w:r w:rsidRPr="00E16672">
              <w:rPr>
                <w:rFonts w:ascii="Times New Roman" w:hAnsi="Times New Roman"/>
                <w:sz w:val="16"/>
                <w:szCs w:val="16"/>
              </w:rPr>
              <w:t xml:space="preserve"> по </w:t>
            </w:r>
            <w:proofErr w:type="spellStart"/>
            <w:r w:rsidRPr="00E16672">
              <w:rPr>
                <w:rFonts w:ascii="Times New Roman" w:hAnsi="Times New Roman"/>
                <w:sz w:val="16"/>
                <w:szCs w:val="16"/>
              </w:rPr>
              <w:t>цьому</w:t>
            </w:r>
            <w:proofErr w:type="spellEnd"/>
            <w:r w:rsidRPr="00E16672">
              <w:rPr>
                <w:rFonts w:ascii="Times New Roman" w:hAnsi="Times New Roman"/>
                <w:sz w:val="16"/>
                <w:szCs w:val="16"/>
              </w:rPr>
              <w:t xml:space="preserve"> Договору </w:t>
            </w:r>
            <w:proofErr w:type="spellStart"/>
            <w:r w:rsidRPr="00E16672">
              <w:rPr>
                <w:rFonts w:ascii="Times New Roman" w:hAnsi="Times New Roman"/>
                <w:sz w:val="16"/>
                <w:szCs w:val="16"/>
              </w:rPr>
              <w:t>відкладається</w:t>
            </w:r>
            <w:proofErr w:type="spellEnd"/>
            <w:r w:rsidRPr="00E16672">
              <w:rPr>
                <w:rFonts w:ascii="Times New Roman" w:hAnsi="Times New Roman"/>
                <w:sz w:val="16"/>
                <w:szCs w:val="16"/>
              </w:rPr>
              <w:t xml:space="preserve"> на </w:t>
            </w:r>
            <w:proofErr w:type="spellStart"/>
            <w:r w:rsidRPr="00E16672">
              <w:rPr>
                <w:rFonts w:ascii="Times New Roman" w:hAnsi="Times New Roman"/>
                <w:sz w:val="16"/>
                <w:szCs w:val="16"/>
              </w:rPr>
              <w:t>термін</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протягом</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якого</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діють</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такі</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обставини</w:t>
            </w:r>
            <w:proofErr w:type="spellEnd"/>
            <w:r w:rsidRPr="00E16672">
              <w:rPr>
                <w:rFonts w:ascii="Times New Roman" w:hAnsi="Times New Roman"/>
                <w:sz w:val="16"/>
                <w:szCs w:val="16"/>
              </w:rPr>
              <w:t xml:space="preserve"> та </w:t>
            </w:r>
            <w:proofErr w:type="spellStart"/>
            <w:r w:rsidRPr="00E16672">
              <w:rPr>
                <w:rFonts w:ascii="Times New Roman" w:hAnsi="Times New Roman"/>
                <w:sz w:val="16"/>
                <w:szCs w:val="16"/>
              </w:rPr>
              <w:t>їх</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наслідки</w:t>
            </w:r>
            <w:proofErr w:type="spellEnd"/>
            <w:r w:rsidRPr="00E16672">
              <w:rPr>
                <w:rFonts w:ascii="Times New Roman" w:hAnsi="Times New Roman"/>
                <w:sz w:val="16"/>
                <w:szCs w:val="16"/>
              </w:rPr>
              <w:t>.</w:t>
            </w:r>
          </w:p>
        </w:tc>
        <w:tc>
          <w:tcPr>
            <w:tcW w:w="5495" w:type="dxa"/>
            <w:gridSpan w:val="6"/>
            <w:shd w:val="clear" w:color="auto" w:fill="auto"/>
          </w:tcPr>
          <w:p w14:paraId="45D3038F" w14:textId="77777777" w:rsidR="005C5318" w:rsidRPr="00E16672" w:rsidRDefault="005C5318" w:rsidP="005C5318">
            <w:pPr>
              <w:pStyle w:val="210"/>
              <w:tabs>
                <w:tab w:val="left" w:pos="287"/>
              </w:tabs>
              <w:snapToGrid w:val="0"/>
              <w:ind w:left="145" w:right="100" w:firstLine="0"/>
              <w:rPr>
                <w:rFonts w:ascii="Times New Roman" w:hAnsi="Times New Roman"/>
                <w:sz w:val="16"/>
                <w:szCs w:val="16"/>
              </w:rPr>
            </w:pPr>
            <w:r w:rsidRPr="00E16672">
              <w:rPr>
                <w:rFonts w:ascii="Times New Roman" w:hAnsi="Times New Roman"/>
                <w:sz w:val="16"/>
                <w:szCs w:val="16"/>
              </w:rPr>
              <w:t xml:space="preserve">9.2. </w:t>
            </w:r>
            <w:proofErr w:type="spellStart"/>
            <w:r w:rsidRPr="00E16672">
              <w:rPr>
                <w:rFonts w:ascii="Times New Roman" w:hAnsi="Times New Roman"/>
                <w:sz w:val="16"/>
                <w:szCs w:val="16"/>
              </w:rPr>
              <w:t>In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case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of</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arising</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of</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force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majeure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circumstances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terms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of</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fulfillment</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by</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Parties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of</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any</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obligation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under</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this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Agreement</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shall</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be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postponed</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on</w:t>
            </w:r>
            <w:proofErr w:type="spellEnd"/>
            <w:r w:rsidRPr="00E16672">
              <w:rPr>
                <w:rFonts w:ascii="Times New Roman" w:hAnsi="Times New Roman"/>
                <w:sz w:val="16"/>
                <w:szCs w:val="16"/>
              </w:rPr>
              <w:t xml:space="preserve"> a </w:t>
            </w:r>
            <w:proofErr w:type="spellStart"/>
            <w:r w:rsidRPr="00E16672">
              <w:rPr>
                <w:rFonts w:ascii="Times New Roman" w:hAnsi="Times New Roman"/>
                <w:sz w:val="16"/>
                <w:szCs w:val="16"/>
              </w:rPr>
              <w:t>certain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period</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of</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time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during</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which</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these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circumstances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and</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their</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consequences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are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in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effect</w:t>
            </w:r>
            <w:proofErr w:type="spellEnd"/>
            <w:r w:rsidRPr="00E16672">
              <w:rPr>
                <w:rFonts w:ascii="Times New Roman" w:hAnsi="Times New Roman"/>
                <w:sz w:val="16"/>
                <w:szCs w:val="16"/>
              </w:rPr>
              <w:t>.</w:t>
            </w:r>
          </w:p>
          <w:p w14:paraId="4B3C63A9" w14:textId="77777777" w:rsidR="005C5318" w:rsidRPr="00E16672" w:rsidRDefault="005C5318" w:rsidP="005C5318">
            <w:pPr>
              <w:tabs>
                <w:tab w:val="left" w:pos="287"/>
              </w:tabs>
              <w:ind w:left="145" w:right="100"/>
              <w:jc w:val="center"/>
              <w:rPr>
                <w:rFonts w:ascii="Times New Roman" w:hAnsi="Times New Roman"/>
                <w:b/>
                <w:bCs/>
                <w:sz w:val="16"/>
                <w:szCs w:val="16"/>
                <w:lang w:val="en-GB"/>
              </w:rPr>
            </w:pPr>
          </w:p>
        </w:tc>
      </w:tr>
      <w:tr w:rsidR="005C5318" w:rsidRPr="00F23413" w14:paraId="731F0AEE" w14:textId="77777777" w:rsidTr="005E418B">
        <w:trPr>
          <w:trHeight w:val="192"/>
        </w:trPr>
        <w:tc>
          <w:tcPr>
            <w:tcW w:w="5695" w:type="dxa"/>
            <w:gridSpan w:val="6"/>
            <w:shd w:val="clear" w:color="auto" w:fill="auto"/>
          </w:tcPr>
          <w:p w14:paraId="24CCFE5F" w14:textId="77777777" w:rsidR="005C5318" w:rsidRPr="00E16672" w:rsidRDefault="005C5318" w:rsidP="005C5318">
            <w:pPr>
              <w:snapToGrid w:val="0"/>
              <w:ind w:left="175" w:right="138" w:firstLine="0"/>
              <w:rPr>
                <w:rFonts w:ascii="Times New Roman" w:hAnsi="Times New Roman"/>
                <w:sz w:val="16"/>
                <w:szCs w:val="16"/>
              </w:rPr>
            </w:pPr>
            <w:r w:rsidRPr="00E16672">
              <w:rPr>
                <w:rFonts w:ascii="Times New Roman" w:hAnsi="Times New Roman"/>
                <w:sz w:val="16"/>
                <w:szCs w:val="16"/>
              </w:rPr>
              <w:t xml:space="preserve">9.3. </w:t>
            </w:r>
            <w:proofErr w:type="spellStart"/>
            <w:r w:rsidRPr="00E16672">
              <w:rPr>
                <w:rFonts w:ascii="Times New Roman" w:hAnsi="Times New Roman"/>
                <w:sz w:val="16"/>
                <w:szCs w:val="16"/>
              </w:rPr>
              <w:t>Сторони</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зобов`язуються</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після</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настання</w:t>
            </w:r>
            <w:proofErr w:type="spellEnd"/>
            <w:r w:rsidRPr="00E16672">
              <w:rPr>
                <w:rFonts w:ascii="Times New Roman" w:hAnsi="Times New Roman"/>
                <w:sz w:val="16"/>
                <w:szCs w:val="16"/>
              </w:rPr>
              <w:t xml:space="preserve"> форс-</w:t>
            </w:r>
            <w:proofErr w:type="spellStart"/>
            <w:r w:rsidRPr="00E16672">
              <w:rPr>
                <w:rFonts w:ascii="Times New Roman" w:hAnsi="Times New Roman"/>
                <w:sz w:val="16"/>
                <w:szCs w:val="16"/>
              </w:rPr>
              <w:t>мажорних</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обставин</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вжити</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всі</w:t>
            </w:r>
            <w:proofErr w:type="spellEnd"/>
            <w:r w:rsidRPr="00E16672">
              <w:rPr>
                <w:rFonts w:ascii="Times New Roman" w:hAnsi="Times New Roman"/>
                <w:sz w:val="16"/>
                <w:szCs w:val="16"/>
              </w:rPr>
              <w:t xml:space="preserve"> заходи для </w:t>
            </w:r>
            <w:proofErr w:type="spellStart"/>
            <w:r w:rsidRPr="00E16672">
              <w:rPr>
                <w:rFonts w:ascii="Times New Roman" w:hAnsi="Times New Roman"/>
                <w:sz w:val="16"/>
                <w:szCs w:val="16"/>
              </w:rPr>
              <w:t>ліквідації</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наслідків</w:t>
            </w:r>
            <w:proofErr w:type="spellEnd"/>
            <w:r w:rsidRPr="00E16672">
              <w:rPr>
                <w:rFonts w:ascii="Times New Roman" w:hAnsi="Times New Roman"/>
                <w:sz w:val="16"/>
                <w:szCs w:val="16"/>
              </w:rPr>
              <w:t xml:space="preserve"> та </w:t>
            </w:r>
            <w:proofErr w:type="spellStart"/>
            <w:r w:rsidRPr="00E16672">
              <w:rPr>
                <w:rFonts w:ascii="Times New Roman" w:hAnsi="Times New Roman"/>
                <w:sz w:val="16"/>
                <w:szCs w:val="16"/>
              </w:rPr>
              <w:t>виконання</w:t>
            </w:r>
            <w:proofErr w:type="spellEnd"/>
            <w:r w:rsidRPr="00E16672">
              <w:rPr>
                <w:rFonts w:ascii="Times New Roman" w:hAnsi="Times New Roman"/>
                <w:sz w:val="16"/>
                <w:szCs w:val="16"/>
              </w:rPr>
              <w:t xml:space="preserve"> умов Договору. </w:t>
            </w:r>
          </w:p>
        </w:tc>
        <w:tc>
          <w:tcPr>
            <w:tcW w:w="5495" w:type="dxa"/>
            <w:gridSpan w:val="6"/>
            <w:shd w:val="clear" w:color="auto" w:fill="auto"/>
          </w:tcPr>
          <w:p w14:paraId="674742B9" w14:textId="77777777" w:rsidR="005C5318" w:rsidRPr="00E16672" w:rsidRDefault="005C5318" w:rsidP="005C5318">
            <w:pPr>
              <w:tabs>
                <w:tab w:val="left" w:pos="287"/>
              </w:tabs>
              <w:snapToGrid w:val="0"/>
              <w:ind w:left="145" w:right="100" w:firstLine="0"/>
              <w:rPr>
                <w:rFonts w:ascii="Times New Roman" w:hAnsi="Times New Roman"/>
                <w:sz w:val="16"/>
                <w:szCs w:val="16"/>
                <w:lang w:val="en-GB"/>
              </w:rPr>
            </w:pPr>
            <w:r w:rsidRPr="00E16672">
              <w:rPr>
                <w:rFonts w:ascii="Times New Roman" w:hAnsi="Times New Roman"/>
                <w:sz w:val="16"/>
                <w:szCs w:val="16"/>
                <w:lang w:val="en-GB"/>
              </w:rPr>
              <w:t>9.3. The Parties undertake after the force majeure to take all measures to eliminate the consequences and conditions of the Agreement.</w:t>
            </w:r>
          </w:p>
          <w:p w14:paraId="33D7A699" w14:textId="77777777" w:rsidR="005C5318" w:rsidRPr="00E16672" w:rsidRDefault="005C5318" w:rsidP="005C5318">
            <w:pPr>
              <w:tabs>
                <w:tab w:val="left" w:pos="287"/>
              </w:tabs>
              <w:ind w:left="145" w:right="100"/>
              <w:jc w:val="center"/>
              <w:rPr>
                <w:rFonts w:ascii="Times New Roman" w:hAnsi="Times New Roman"/>
                <w:sz w:val="16"/>
                <w:szCs w:val="16"/>
                <w:lang w:val="en-US"/>
              </w:rPr>
            </w:pPr>
          </w:p>
        </w:tc>
      </w:tr>
      <w:tr w:rsidR="005C5318" w:rsidRPr="00F23413" w14:paraId="5E6A4C24" w14:textId="77777777" w:rsidTr="005E418B">
        <w:trPr>
          <w:trHeight w:val="192"/>
        </w:trPr>
        <w:tc>
          <w:tcPr>
            <w:tcW w:w="5695" w:type="dxa"/>
            <w:gridSpan w:val="6"/>
            <w:shd w:val="clear" w:color="auto" w:fill="auto"/>
          </w:tcPr>
          <w:p w14:paraId="08F33404" w14:textId="77777777" w:rsidR="005C5318" w:rsidRPr="00E16672" w:rsidRDefault="005C5318" w:rsidP="005C5318">
            <w:pPr>
              <w:pStyle w:val="210"/>
              <w:snapToGrid w:val="0"/>
              <w:ind w:left="175" w:right="138" w:firstLine="0"/>
              <w:rPr>
                <w:rFonts w:ascii="Times New Roman" w:hAnsi="Times New Roman"/>
                <w:color w:val="000000"/>
                <w:sz w:val="16"/>
                <w:szCs w:val="16"/>
              </w:rPr>
            </w:pPr>
            <w:r w:rsidRPr="00E16672">
              <w:rPr>
                <w:rFonts w:ascii="Times New Roman" w:hAnsi="Times New Roman"/>
                <w:color w:val="000000"/>
                <w:sz w:val="16"/>
                <w:szCs w:val="16"/>
              </w:rPr>
              <w:t xml:space="preserve">9.4. Кожна Сторона зобов’язана письмово підтвердити факт виникнення Форс-мажорних обставин іншій Стороні протягом </w:t>
            </w:r>
            <w:r w:rsidRPr="00E16672">
              <w:rPr>
                <w:rFonts w:ascii="Times New Roman" w:hAnsi="Times New Roman"/>
                <w:i/>
                <w:iCs/>
                <w:color w:val="000000"/>
                <w:sz w:val="16"/>
                <w:szCs w:val="16"/>
                <w:lang w:val="ru-RU"/>
              </w:rPr>
              <w:t>десяти</w:t>
            </w:r>
            <w:r w:rsidRPr="00E16672">
              <w:rPr>
                <w:rFonts w:ascii="Times New Roman" w:hAnsi="Times New Roman"/>
                <w:color w:val="000000"/>
                <w:sz w:val="16"/>
                <w:szCs w:val="16"/>
              </w:rPr>
              <w:t xml:space="preserve"> днів після їх виникнення.</w:t>
            </w:r>
          </w:p>
          <w:p w14:paraId="751F3220" w14:textId="77777777" w:rsidR="005C5318" w:rsidRPr="00E16672" w:rsidRDefault="005C5318" w:rsidP="005C5318">
            <w:pPr>
              <w:pStyle w:val="210"/>
              <w:snapToGrid w:val="0"/>
              <w:ind w:left="175" w:right="138" w:firstLine="0"/>
              <w:rPr>
                <w:rFonts w:ascii="Times New Roman" w:hAnsi="Times New Roman"/>
                <w:color w:val="000000"/>
                <w:sz w:val="16"/>
                <w:szCs w:val="16"/>
                <w:lang w:val="ru-RU"/>
              </w:rPr>
            </w:pPr>
          </w:p>
        </w:tc>
        <w:tc>
          <w:tcPr>
            <w:tcW w:w="5495" w:type="dxa"/>
            <w:gridSpan w:val="6"/>
            <w:shd w:val="clear" w:color="auto" w:fill="auto"/>
          </w:tcPr>
          <w:p w14:paraId="48D2EA10" w14:textId="77777777" w:rsidR="005C5318" w:rsidRPr="00E16672" w:rsidRDefault="005C5318" w:rsidP="005C5318">
            <w:pPr>
              <w:ind w:left="145" w:right="100" w:firstLine="0"/>
              <w:rPr>
                <w:rFonts w:ascii="Times New Roman" w:hAnsi="Times New Roman"/>
                <w:b/>
                <w:bCs/>
                <w:color w:val="000000"/>
                <w:sz w:val="16"/>
                <w:szCs w:val="16"/>
                <w:lang w:val="en-GB"/>
              </w:rPr>
            </w:pPr>
            <w:r w:rsidRPr="00E16672">
              <w:rPr>
                <w:rFonts w:ascii="Times New Roman" w:hAnsi="Times New Roman"/>
                <w:color w:val="000000"/>
                <w:sz w:val="16"/>
                <w:szCs w:val="16"/>
                <w:lang w:val="en-GB"/>
              </w:rPr>
              <w:t xml:space="preserve">9.4. Each of the parties should </w:t>
            </w:r>
            <w:r w:rsidRPr="00E16672">
              <w:rPr>
                <w:rFonts w:ascii="Times New Roman" w:hAnsi="Times New Roman"/>
                <w:color w:val="000000"/>
                <w:sz w:val="16"/>
                <w:szCs w:val="16"/>
                <w:lang w:val="en-US"/>
              </w:rPr>
              <w:t>in writing confirm</w:t>
            </w:r>
            <w:r w:rsidRPr="00E16672">
              <w:rPr>
                <w:rFonts w:ascii="Times New Roman" w:hAnsi="Times New Roman"/>
                <w:color w:val="000000"/>
                <w:sz w:val="16"/>
                <w:szCs w:val="16"/>
                <w:lang w:val="en-GB"/>
              </w:rPr>
              <w:t xml:space="preserve"> the fact </w:t>
            </w:r>
            <w:proofErr w:type="gramStart"/>
            <w:r w:rsidRPr="00E16672">
              <w:rPr>
                <w:rFonts w:ascii="Times New Roman" w:hAnsi="Times New Roman"/>
                <w:color w:val="000000"/>
                <w:sz w:val="16"/>
                <w:szCs w:val="16"/>
                <w:lang w:val="en-GB"/>
              </w:rPr>
              <w:t>of  force</w:t>
            </w:r>
            <w:proofErr w:type="gramEnd"/>
            <w:r w:rsidRPr="00E16672">
              <w:rPr>
                <w:rFonts w:ascii="Times New Roman" w:hAnsi="Times New Roman"/>
                <w:color w:val="000000"/>
                <w:sz w:val="16"/>
                <w:szCs w:val="16"/>
                <w:lang w:val="en-GB"/>
              </w:rPr>
              <w:t xml:space="preserve"> – majeure to another  Side during</w:t>
            </w:r>
            <w:r w:rsidRPr="00F23413">
              <w:rPr>
                <w:rStyle w:val="WW8Num3z0"/>
                <w:rFonts w:ascii="Times New Roman" w:hAnsi="Times New Roman"/>
                <w:color w:val="000000"/>
                <w:sz w:val="16"/>
                <w:szCs w:val="16"/>
                <w:lang w:val="en-US"/>
              </w:rPr>
              <w:t xml:space="preserve"> </w:t>
            </w:r>
            <w:r w:rsidRPr="00F23413">
              <w:rPr>
                <w:rStyle w:val="hps"/>
                <w:rFonts w:ascii="Times New Roman" w:hAnsi="Times New Roman"/>
                <w:color w:val="000000"/>
                <w:sz w:val="16"/>
                <w:szCs w:val="16"/>
                <w:lang w:val="en-US"/>
              </w:rPr>
              <w:t>ten working</w:t>
            </w:r>
            <w:r w:rsidRPr="00E16672">
              <w:rPr>
                <w:rFonts w:ascii="Times New Roman" w:hAnsi="Times New Roman"/>
                <w:color w:val="000000"/>
                <w:sz w:val="16"/>
                <w:szCs w:val="16"/>
                <w:lang w:val="en-GB"/>
              </w:rPr>
              <w:t xml:space="preserve"> days after it happened.</w:t>
            </w:r>
          </w:p>
        </w:tc>
      </w:tr>
      <w:tr w:rsidR="005C5318" w:rsidRPr="00F23413" w14:paraId="45D3E0B2" w14:textId="77777777" w:rsidTr="005E418B">
        <w:trPr>
          <w:trHeight w:val="192"/>
        </w:trPr>
        <w:tc>
          <w:tcPr>
            <w:tcW w:w="5695" w:type="dxa"/>
            <w:gridSpan w:val="6"/>
            <w:shd w:val="clear" w:color="auto" w:fill="auto"/>
          </w:tcPr>
          <w:p w14:paraId="2EF7E33C" w14:textId="77777777" w:rsidR="005C5318" w:rsidRPr="00E16672" w:rsidRDefault="005C5318" w:rsidP="005C5318">
            <w:pPr>
              <w:snapToGrid w:val="0"/>
              <w:ind w:left="175" w:right="138" w:firstLine="0"/>
              <w:rPr>
                <w:rFonts w:ascii="Times New Roman" w:hAnsi="Times New Roman"/>
                <w:sz w:val="16"/>
                <w:szCs w:val="16"/>
              </w:rPr>
            </w:pPr>
            <w:r w:rsidRPr="00E16672">
              <w:rPr>
                <w:rFonts w:ascii="Times New Roman" w:hAnsi="Times New Roman"/>
                <w:sz w:val="16"/>
                <w:szCs w:val="16"/>
              </w:rPr>
              <w:t xml:space="preserve">9.5. Форс-мажорна </w:t>
            </w:r>
            <w:proofErr w:type="spellStart"/>
            <w:r w:rsidRPr="00E16672">
              <w:rPr>
                <w:rFonts w:ascii="Times New Roman" w:hAnsi="Times New Roman"/>
                <w:sz w:val="16"/>
                <w:szCs w:val="16"/>
              </w:rPr>
              <w:t>ситуація</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між</w:t>
            </w:r>
            <w:proofErr w:type="spellEnd"/>
            <w:r w:rsidRPr="00E16672">
              <w:rPr>
                <w:rFonts w:ascii="Times New Roman" w:hAnsi="Times New Roman"/>
                <w:sz w:val="16"/>
                <w:szCs w:val="16"/>
              </w:rPr>
              <w:t xml:space="preserve"> Сторонами </w:t>
            </w:r>
            <w:proofErr w:type="spellStart"/>
            <w:r w:rsidRPr="00E16672">
              <w:rPr>
                <w:rFonts w:ascii="Times New Roman" w:hAnsi="Times New Roman"/>
                <w:sz w:val="16"/>
                <w:szCs w:val="16"/>
              </w:rPr>
              <w:t>розглядається</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тільки</w:t>
            </w:r>
            <w:proofErr w:type="spellEnd"/>
            <w:r w:rsidRPr="00E16672">
              <w:rPr>
                <w:rFonts w:ascii="Times New Roman" w:hAnsi="Times New Roman"/>
                <w:sz w:val="16"/>
                <w:szCs w:val="16"/>
              </w:rPr>
              <w:t xml:space="preserve"> за </w:t>
            </w:r>
            <w:proofErr w:type="spellStart"/>
            <w:r w:rsidRPr="00E16672">
              <w:rPr>
                <w:rFonts w:ascii="Times New Roman" w:hAnsi="Times New Roman"/>
                <w:sz w:val="16"/>
                <w:szCs w:val="16"/>
              </w:rPr>
              <w:t>умови</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сповіщення</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протилежної</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сторони</w:t>
            </w:r>
            <w:proofErr w:type="spellEnd"/>
            <w:r w:rsidRPr="00E16672">
              <w:rPr>
                <w:rFonts w:ascii="Times New Roman" w:hAnsi="Times New Roman"/>
                <w:sz w:val="16"/>
                <w:szCs w:val="16"/>
              </w:rPr>
              <w:t xml:space="preserve"> в </w:t>
            </w:r>
            <w:proofErr w:type="spellStart"/>
            <w:r w:rsidRPr="00E16672">
              <w:rPr>
                <w:rFonts w:ascii="Times New Roman" w:hAnsi="Times New Roman"/>
                <w:sz w:val="16"/>
                <w:szCs w:val="16"/>
              </w:rPr>
              <w:t>письмовій</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формі</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із</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зазначенням</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обставин</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що</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виникли</w:t>
            </w:r>
            <w:proofErr w:type="spellEnd"/>
            <w:r w:rsidRPr="00E16672">
              <w:rPr>
                <w:rFonts w:ascii="Times New Roman" w:hAnsi="Times New Roman"/>
                <w:sz w:val="16"/>
                <w:szCs w:val="16"/>
              </w:rPr>
              <w:t xml:space="preserve">. </w:t>
            </w:r>
          </w:p>
        </w:tc>
        <w:tc>
          <w:tcPr>
            <w:tcW w:w="5495" w:type="dxa"/>
            <w:gridSpan w:val="6"/>
            <w:shd w:val="clear" w:color="auto" w:fill="auto"/>
          </w:tcPr>
          <w:p w14:paraId="76D54CAF" w14:textId="77777777" w:rsidR="005C5318" w:rsidRPr="00E16672" w:rsidRDefault="005C5318" w:rsidP="005C5318">
            <w:pPr>
              <w:pStyle w:val="210"/>
              <w:tabs>
                <w:tab w:val="left" w:pos="287"/>
              </w:tabs>
              <w:snapToGrid w:val="0"/>
              <w:ind w:left="145" w:right="100" w:firstLine="0"/>
              <w:rPr>
                <w:rFonts w:ascii="Times New Roman" w:hAnsi="Times New Roman"/>
                <w:sz w:val="16"/>
                <w:szCs w:val="16"/>
              </w:rPr>
            </w:pPr>
            <w:r w:rsidRPr="00E16672">
              <w:rPr>
                <w:rFonts w:ascii="Times New Roman" w:hAnsi="Times New Roman"/>
                <w:sz w:val="16"/>
                <w:szCs w:val="16"/>
              </w:rPr>
              <w:t xml:space="preserve">9.5. </w:t>
            </w:r>
            <w:proofErr w:type="spellStart"/>
            <w:r w:rsidRPr="00E16672">
              <w:rPr>
                <w:rFonts w:ascii="Times New Roman" w:hAnsi="Times New Roman"/>
                <w:sz w:val="16"/>
                <w:szCs w:val="16"/>
              </w:rPr>
              <w:t>Force</w:t>
            </w:r>
            <w:proofErr w:type="spellEnd"/>
            <w:r w:rsidRPr="00E16672">
              <w:rPr>
                <w:rFonts w:ascii="Times New Roman" w:hAnsi="Times New Roman"/>
                <w:sz w:val="16"/>
                <w:szCs w:val="16"/>
              </w:rPr>
              <w:t xml:space="preserve"> – </w:t>
            </w:r>
            <w:proofErr w:type="spellStart"/>
            <w:r w:rsidRPr="00E16672">
              <w:rPr>
                <w:rFonts w:ascii="Times New Roman" w:hAnsi="Times New Roman"/>
                <w:sz w:val="16"/>
                <w:szCs w:val="16"/>
              </w:rPr>
              <w:t>majeure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between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Parties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is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to</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be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taken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to</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account</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only</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provided</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that</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another</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part</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had</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been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informed</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in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written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form</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with</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pointing</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circumstances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of</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Incident</w:t>
            </w:r>
            <w:proofErr w:type="spellEnd"/>
            <w:r w:rsidRPr="00E16672">
              <w:rPr>
                <w:rFonts w:ascii="Times New Roman" w:hAnsi="Times New Roman"/>
                <w:sz w:val="16"/>
                <w:szCs w:val="16"/>
              </w:rPr>
              <w:t>.</w:t>
            </w:r>
          </w:p>
          <w:p w14:paraId="6FEBD83F" w14:textId="77777777" w:rsidR="005C5318" w:rsidRPr="00E16672" w:rsidRDefault="005C5318" w:rsidP="005C5318">
            <w:pPr>
              <w:tabs>
                <w:tab w:val="left" w:pos="287"/>
              </w:tabs>
              <w:ind w:left="145" w:right="100"/>
              <w:jc w:val="center"/>
              <w:rPr>
                <w:rFonts w:ascii="Times New Roman" w:hAnsi="Times New Roman"/>
                <w:b/>
                <w:bCs/>
                <w:sz w:val="16"/>
                <w:szCs w:val="16"/>
                <w:lang w:val="en-GB"/>
              </w:rPr>
            </w:pPr>
          </w:p>
        </w:tc>
      </w:tr>
      <w:tr w:rsidR="005C5318" w:rsidRPr="00F23413" w14:paraId="21C775B8" w14:textId="77777777" w:rsidTr="005E418B">
        <w:trPr>
          <w:trHeight w:val="1256"/>
        </w:trPr>
        <w:tc>
          <w:tcPr>
            <w:tcW w:w="5695" w:type="dxa"/>
            <w:gridSpan w:val="6"/>
            <w:shd w:val="clear" w:color="auto" w:fill="auto"/>
          </w:tcPr>
          <w:p w14:paraId="6C5FF796" w14:textId="77777777" w:rsidR="005C5318" w:rsidRPr="00E16672" w:rsidRDefault="005C5318" w:rsidP="005C5318">
            <w:pPr>
              <w:pStyle w:val="32"/>
              <w:snapToGrid w:val="0"/>
              <w:ind w:left="175" w:right="138" w:firstLine="0"/>
              <w:jc w:val="center"/>
              <w:rPr>
                <w:rFonts w:ascii="Times New Roman" w:hAnsi="Times New Roman"/>
                <w:b/>
                <w:caps/>
                <w:color w:val="000000"/>
                <w:sz w:val="16"/>
                <w:szCs w:val="16"/>
                <w:shd w:val="clear" w:color="auto" w:fill="FFFFFF"/>
              </w:rPr>
            </w:pPr>
            <w:r w:rsidRPr="00E16672">
              <w:rPr>
                <w:rFonts w:ascii="Times New Roman" w:hAnsi="Times New Roman"/>
                <w:b/>
                <w:caps/>
                <w:color w:val="000000"/>
                <w:sz w:val="16"/>
                <w:szCs w:val="16"/>
                <w:shd w:val="clear" w:color="auto" w:fill="FFFFFF"/>
              </w:rPr>
              <w:t>1</w:t>
            </w:r>
            <w:r w:rsidRPr="00E16672">
              <w:rPr>
                <w:rFonts w:ascii="Times New Roman" w:hAnsi="Times New Roman"/>
                <w:b/>
                <w:caps/>
                <w:color w:val="000000"/>
                <w:sz w:val="16"/>
                <w:szCs w:val="16"/>
                <w:shd w:val="clear" w:color="auto" w:fill="FFFFFF"/>
                <w:lang w:val="uk-UA"/>
              </w:rPr>
              <w:t>0</w:t>
            </w:r>
            <w:r w:rsidRPr="00E16672">
              <w:rPr>
                <w:rFonts w:ascii="Times New Roman" w:hAnsi="Times New Roman"/>
                <w:b/>
                <w:caps/>
                <w:color w:val="000000"/>
                <w:sz w:val="16"/>
                <w:szCs w:val="16"/>
                <w:shd w:val="clear" w:color="auto" w:fill="FFFFFF"/>
              </w:rPr>
              <w:t xml:space="preserve">. Про визнання </w:t>
            </w:r>
            <w:r w:rsidRPr="00E16672">
              <w:rPr>
                <w:rFonts w:ascii="Times New Roman" w:hAnsi="Times New Roman"/>
                <w:b/>
                <w:bCs/>
                <w:sz w:val="16"/>
                <w:szCs w:val="16"/>
                <w:lang w:val="uk-UA"/>
              </w:rPr>
              <w:t>КВАЛІФІКОВАНОГО</w:t>
            </w:r>
            <w:r w:rsidRPr="00E16672">
              <w:rPr>
                <w:rFonts w:ascii="Times New Roman" w:hAnsi="Times New Roman"/>
                <w:b/>
                <w:bCs/>
                <w:lang w:val="uk-UA"/>
              </w:rPr>
              <w:t xml:space="preserve"> </w:t>
            </w:r>
            <w:r w:rsidRPr="00E16672">
              <w:rPr>
                <w:rFonts w:ascii="Times New Roman" w:hAnsi="Times New Roman"/>
                <w:b/>
                <w:caps/>
                <w:color w:val="000000"/>
                <w:sz w:val="16"/>
                <w:szCs w:val="16"/>
                <w:shd w:val="clear" w:color="auto" w:fill="FFFFFF"/>
              </w:rPr>
              <w:t>електронного</w:t>
            </w:r>
          </w:p>
          <w:p w14:paraId="38AA170D" w14:textId="77777777" w:rsidR="005C5318" w:rsidRPr="00E16672" w:rsidRDefault="005C5318" w:rsidP="005C5318">
            <w:pPr>
              <w:pStyle w:val="32"/>
              <w:ind w:left="175" w:right="138" w:firstLine="0"/>
              <w:jc w:val="center"/>
              <w:rPr>
                <w:rFonts w:ascii="Times New Roman" w:hAnsi="Times New Roman"/>
                <w:b/>
                <w:caps/>
                <w:color w:val="000000"/>
                <w:sz w:val="16"/>
                <w:szCs w:val="16"/>
                <w:shd w:val="clear" w:color="auto" w:fill="FFFFFF"/>
              </w:rPr>
            </w:pPr>
            <w:r w:rsidRPr="00E16672">
              <w:rPr>
                <w:rFonts w:ascii="Times New Roman" w:hAnsi="Times New Roman"/>
                <w:b/>
                <w:caps/>
                <w:color w:val="000000"/>
                <w:sz w:val="16"/>
                <w:szCs w:val="16"/>
                <w:shd w:val="clear" w:color="auto" w:fill="FFFFFF"/>
              </w:rPr>
              <w:t>підпису</w:t>
            </w:r>
          </w:p>
          <w:p w14:paraId="70431461" w14:textId="77777777" w:rsidR="005C5318" w:rsidRPr="00E16672" w:rsidRDefault="005C5318" w:rsidP="005C5318">
            <w:pPr>
              <w:pStyle w:val="32"/>
              <w:ind w:left="175" w:right="138" w:firstLine="0"/>
              <w:rPr>
                <w:rFonts w:ascii="Times New Roman" w:hAnsi="Times New Roman"/>
                <w:b/>
                <w:caps/>
                <w:color w:val="000000"/>
                <w:sz w:val="16"/>
                <w:szCs w:val="16"/>
              </w:rPr>
            </w:pPr>
          </w:p>
          <w:p w14:paraId="5871B217" w14:textId="77777777" w:rsidR="005C5318" w:rsidRPr="00E16672" w:rsidRDefault="005C5318" w:rsidP="005C5318">
            <w:pPr>
              <w:pStyle w:val="33"/>
              <w:tabs>
                <w:tab w:val="left" w:pos="851"/>
              </w:tabs>
              <w:ind w:left="175" w:right="138" w:firstLine="0"/>
              <w:rPr>
                <w:rFonts w:ascii="Times New Roman" w:hAnsi="Times New Roman" w:cs="Times New Roman"/>
                <w:color w:val="000000"/>
                <w:sz w:val="16"/>
                <w:szCs w:val="16"/>
                <w:lang w:val="uk-UA"/>
              </w:rPr>
            </w:pPr>
            <w:r w:rsidRPr="00E16672">
              <w:rPr>
                <w:rFonts w:ascii="Times New Roman" w:hAnsi="Times New Roman" w:cs="Times New Roman"/>
                <w:color w:val="000000"/>
                <w:sz w:val="16"/>
                <w:szCs w:val="16"/>
                <w:lang w:val="uk-UA"/>
              </w:rPr>
              <w:t xml:space="preserve">10.1. В ході виконання договору Сторони можуть обмінюватися електронними документами, які засвідчуються за допомогою </w:t>
            </w:r>
            <w:r w:rsidRPr="00E16672">
              <w:rPr>
                <w:rFonts w:ascii="Times New Roman" w:hAnsi="Times New Roman" w:cs="Times New Roman"/>
                <w:sz w:val="16"/>
                <w:lang w:val="uk-UA"/>
              </w:rPr>
              <w:t xml:space="preserve">кваліфікованого </w:t>
            </w:r>
            <w:r w:rsidRPr="00E16672">
              <w:rPr>
                <w:rFonts w:ascii="Times New Roman" w:hAnsi="Times New Roman" w:cs="Times New Roman"/>
                <w:color w:val="000000"/>
                <w:sz w:val="16"/>
                <w:szCs w:val="16"/>
                <w:lang w:val="uk-UA"/>
              </w:rPr>
              <w:t xml:space="preserve">електронного підпису </w:t>
            </w:r>
            <w:proofErr w:type="spellStart"/>
            <w:r w:rsidRPr="00E16672">
              <w:rPr>
                <w:rFonts w:ascii="Times New Roman" w:hAnsi="Times New Roman" w:cs="Times New Roman"/>
                <w:sz w:val="16"/>
                <w:szCs w:val="16"/>
                <w:lang w:eastAsia="ru-RU"/>
              </w:rPr>
              <w:t>відповідно</w:t>
            </w:r>
            <w:proofErr w:type="spellEnd"/>
            <w:r w:rsidRPr="00E16672">
              <w:rPr>
                <w:rFonts w:ascii="Times New Roman" w:hAnsi="Times New Roman" w:cs="Times New Roman"/>
                <w:sz w:val="16"/>
                <w:szCs w:val="16"/>
                <w:lang w:eastAsia="ru-RU"/>
              </w:rPr>
              <w:t xml:space="preserve"> до </w:t>
            </w:r>
            <w:proofErr w:type="spellStart"/>
            <w:r w:rsidRPr="00E16672">
              <w:rPr>
                <w:rFonts w:ascii="Times New Roman" w:hAnsi="Times New Roman" w:cs="Times New Roman"/>
                <w:sz w:val="16"/>
                <w:szCs w:val="16"/>
                <w:lang w:eastAsia="ru-RU"/>
              </w:rPr>
              <w:t>вимог</w:t>
            </w:r>
            <w:proofErr w:type="spellEnd"/>
            <w:r w:rsidRPr="00E16672">
              <w:rPr>
                <w:rFonts w:ascii="Times New Roman" w:hAnsi="Times New Roman" w:cs="Times New Roman"/>
                <w:sz w:val="16"/>
                <w:szCs w:val="16"/>
                <w:lang w:eastAsia="ru-RU"/>
              </w:rPr>
              <w:t xml:space="preserve"> </w:t>
            </w:r>
            <w:proofErr w:type="spellStart"/>
            <w:r w:rsidRPr="00E16672">
              <w:rPr>
                <w:rFonts w:ascii="Times New Roman" w:hAnsi="Times New Roman" w:cs="Times New Roman"/>
                <w:sz w:val="16"/>
                <w:szCs w:val="16"/>
                <w:lang w:eastAsia="ru-RU"/>
              </w:rPr>
              <w:t>законодавства</w:t>
            </w:r>
            <w:proofErr w:type="spellEnd"/>
            <w:r w:rsidRPr="00E16672">
              <w:rPr>
                <w:rFonts w:ascii="Times New Roman" w:hAnsi="Times New Roman" w:cs="Times New Roman"/>
                <w:sz w:val="16"/>
                <w:szCs w:val="16"/>
                <w:lang w:eastAsia="ru-RU"/>
              </w:rPr>
              <w:t xml:space="preserve"> у </w:t>
            </w:r>
            <w:proofErr w:type="spellStart"/>
            <w:r w:rsidRPr="00E16672">
              <w:rPr>
                <w:rFonts w:ascii="Times New Roman" w:hAnsi="Times New Roman" w:cs="Times New Roman"/>
                <w:sz w:val="16"/>
                <w:szCs w:val="16"/>
                <w:lang w:eastAsia="ru-RU"/>
              </w:rPr>
              <w:t>сфері</w:t>
            </w:r>
            <w:proofErr w:type="spellEnd"/>
            <w:r w:rsidRPr="00E16672">
              <w:rPr>
                <w:rFonts w:ascii="Times New Roman" w:hAnsi="Times New Roman" w:cs="Times New Roman"/>
                <w:sz w:val="16"/>
                <w:szCs w:val="16"/>
                <w:lang w:eastAsia="ru-RU"/>
              </w:rPr>
              <w:t xml:space="preserve"> </w:t>
            </w:r>
            <w:proofErr w:type="spellStart"/>
            <w:r w:rsidRPr="00E16672">
              <w:rPr>
                <w:rFonts w:ascii="Times New Roman" w:hAnsi="Times New Roman" w:cs="Times New Roman"/>
                <w:sz w:val="16"/>
                <w:szCs w:val="16"/>
                <w:lang w:eastAsia="ru-RU"/>
              </w:rPr>
              <w:t>електронного</w:t>
            </w:r>
            <w:proofErr w:type="spellEnd"/>
            <w:r w:rsidRPr="00E16672">
              <w:rPr>
                <w:rFonts w:ascii="Times New Roman" w:hAnsi="Times New Roman" w:cs="Times New Roman"/>
                <w:sz w:val="16"/>
                <w:szCs w:val="16"/>
                <w:lang w:eastAsia="ru-RU"/>
              </w:rPr>
              <w:t xml:space="preserve"> </w:t>
            </w:r>
            <w:proofErr w:type="spellStart"/>
            <w:r w:rsidRPr="00E16672">
              <w:rPr>
                <w:rFonts w:ascii="Times New Roman" w:hAnsi="Times New Roman" w:cs="Times New Roman"/>
                <w:sz w:val="16"/>
                <w:szCs w:val="16"/>
                <w:lang w:eastAsia="ru-RU"/>
              </w:rPr>
              <w:t>документообігу</w:t>
            </w:r>
            <w:proofErr w:type="spellEnd"/>
            <w:r w:rsidRPr="00E16672">
              <w:rPr>
                <w:rFonts w:ascii="Times New Roman" w:hAnsi="Times New Roman" w:cs="Times New Roman"/>
                <w:sz w:val="16"/>
                <w:szCs w:val="16"/>
                <w:lang w:eastAsia="ru-RU"/>
              </w:rPr>
              <w:t xml:space="preserve"> та </w:t>
            </w:r>
            <w:proofErr w:type="spellStart"/>
            <w:r w:rsidRPr="00E16672">
              <w:rPr>
                <w:rFonts w:ascii="Times New Roman" w:hAnsi="Times New Roman" w:cs="Times New Roman"/>
                <w:sz w:val="16"/>
                <w:szCs w:val="16"/>
                <w:lang w:eastAsia="ru-RU"/>
              </w:rPr>
              <w:t>електронних</w:t>
            </w:r>
            <w:proofErr w:type="spellEnd"/>
            <w:r w:rsidRPr="00E16672">
              <w:rPr>
                <w:rFonts w:ascii="Times New Roman" w:hAnsi="Times New Roman" w:cs="Times New Roman"/>
                <w:sz w:val="16"/>
                <w:szCs w:val="16"/>
                <w:lang w:eastAsia="ru-RU"/>
              </w:rPr>
              <w:t xml:space="preserve"> </w:t>
            </w:r>
            <w:proofErr w:type="spellStart"/>
            <w:r w:rsidRPr="00E16672">
              <w:rPr>
                <w:rFonts w:ascii="Times New Roman" w:hAnsi="Times New Roman" w:cs="Times New Roman"/>
                <w:sz w:val="16"/>
                <w:szCs w:val="16"/>
                <w:lang w:eastAsia="ru-RU"/>
              </w:rPr>
              <w:t>довірчих</w:t>
            </w:r>
            <w:proofErr w:type="spellEnd"/>
            <w:r w:rsidRPr="00E16672">
              <w:rPr>
                <w:rFonts w:ascii="Times New Roman" w:hAnsi="Times New Roman" w:cs="Times New Roman"/>
                <w:sz w:val="16"/>
                <w:szCs w:val="16"/>
                <w:lang w:eastAsia="ru-RU"/>
              </w:rPr>
              <w:t xml:space="preserve"> </w:t>
            </w:r>
            <w:proofErr w:type="spellStart"/>
            <w:r w:rsidRPr="00E16672">
              <w:rPr>
                <w:rFonts w:ascii="Times New Roman" w:hAnsi="Times New Roman" w:cs="Times New Roman"/>
                <w:sz w:val="16"/>
                <w:szCs w:val="16"/>
                <w:lang w:eastAsia="ru-RU"/>
              </w:rPr>
              <w:t>послуг</w:t>
            </w:r>
            <w:proofErr w:type="spellEnd"/>
            <w:r w:rsidRPr="00E16672">
              <w:rPr>
                <w:rFonts w:ascii="Times New Roman" w:hAnsi="Times New Roman" w:cs="Times New Roman"/>
                <w:color w:val="000000"/>
                <w:sz w:val="16"/>
                <w:szCs w:val="16"/>
                <w:lang w:val="uk-UA"/>
              </w:rPr>
              <w:t>.</w:t>
            </w:r>
          </w:p>
          <w:p w14:paraId="1CCA0914" w14:textId="77777777" w:rsidR="005C5318" w:rsidRPr="00E16672" w:rsidRDefault="005C5318" w:rsidP="005C5318">
            <w:pPr>
              <w:pStyle w:val="33"/>
              <w:tabs>
                <w:tab w:val="left" w:pos="851"/>
              </w:tabs>
              <w:ind w:left="175" w:right="138"/>
              <w:rPr>
                <w:rFonts w:ascii="Times New Roman" w:hAnsi="Times New Roman" w:cs="Times New Roman"/>
                <w:color w:val="000000"/>
                <w:sz w:val="10"/>
                <w:szCs w:val="10"/>
              </w:rPr>
            </w:pPr>
          </w:p>
        </w:tc>
        <w:tc>
          <w:tcPr>
            <w:tcW w:w="5495" w:type="dxa"/>
            <w:gridSpan w:val="6"/>
            <w:shd w:val="clear" w:color="auto" w:fill="auto"/>
          </w:tcPr>
          <w:p w14:paraId="0DCB0D40" w14:textId="77777777" w:rsidR="005C5318" w:rsidRPr="00E16672" w:rsidRDefault="005C5318" w:rsidP="005C5318">
            <w:pPr>
              <w:tabs>
                <w:tab w:val="left" w:pos="287"/>
              </w:tabs>
              <w:snapToGrid w:val="0"/>
              <w:ind w:left="145" w:right="100"/>
              <w:jc w:val="center"/>
              <w:rPr>
                <w:rFonts w:ascii="Times New Roman" w:hAnsi="Times New Roman"/>
                <w:b/>
                <w:color w:val="000000"/>
                <w:sz w:val="16"/>
                <w:szCs w:val="16"/>
                <w:shd w:val="clear" w:color="auto" w:fill="FFFFFF"/>
                <w:lang w:val="en-US"/>
              </w:rPr>
            </w:pPr>
            <w:r w:rsidRPr="00E16672">
              <w:rPr>
                <w:rFonts w:ascii="Times New Roman" w:hAnsi="Times New Roman"/>
                <w:b/>
                <w:color w:val="000000"/>
                <w:sz w:val="16"/>
                <w:szCs w:val="16"/>
                <w:shd w:val="clear" w:color="auto" w:fill="FFFFFF"/>
                <w:lang w:val="en-US"/>
              </w:rPr>
              <w:t>1</w:t>
            </w:r>
            <w:r w:rsidRPr="00E16672">
              <w:rPr>
                <w:rFonts w:ascii="Times New Roman" w:hAnsi="Times New Roman"/>
                <w:b/>
                <w:color w:val="000000"/>
                <w:sz w:val="16"/>
                <w:szCs w:val="16"/>
                <w:shd w:val="clear" w:color="auto" w:fill="FFFFFF"/>
                <w:lang w:val="uk-UA"/>
              </w:rPr>
              <w:t>0</w:t>
            </w:r>
            <w:r w:rsidRPr="00E16672">
              <w:rPr>
                <w:rFonts w:ascii="Times New Roman" w:hAnsi="Times New Roman"/>
                <w:b/>
                <w:color w:val="000000"/>
                <w:sz w:val="16"/>
                <w:szCs w:val="16"/>
                <w:shd w:val="clear" w:color="auto" w:fill="FFFFFF"/>
                <w:lang w:val="en-US"/>
              </w:rPr>
              <w:t xml:space="preserve">. </w:t>
            </w:r>
            <w:r w:rsidRPr="00E16672">
              <w:rPr>
                <w:rFonts w:ascii="Times New Roman" w:hAnsi="Times New Roman"/>
                <w:b/>
                <w:color w:val="000000"/>
                <w:sz w:val="16"/>
                <w:szCs w:val="16"/>
                <w:shd w:val="clear" w:color="auto" w:fill="FFFFFF"/>
                <w:lang w:val="en-GB"/>
              </w:rPr>
              <w:t>ABOUT</w:t>
            </w:r>
            <w:r w:rsidRPr="00E16672">
              <w:rPr>
                <w:rFonts w:ascii="Times New Roman" w:hAnsi="Times New Roman"/>
                <w:b/>
                <w:color w:val="000000"/>
                <w:sz w:val="16"/>
                <w:szCs w:val="16"/>
                <w:shd w:val="clear" w:color="auto" w:fill="FFFFFF"/>
                <w:lang w:val="en-US"/>
              </w:rPr>
              <w:t xml:space="preserve"> </w:t>
            </w:r>
            <w:r w:rsidRPr="00E16672">
              <w:rPr>
                <w:rFonts w:ascii="Times New Roman" w:hAnsi="Times New Roman"/>
                <w:b/>
                <w:color w:val="000000"/>
                <w:sz w:val="16"/>
                <w:szCs w:val="16"/>
                <w:shd w:val="clear" w:color="auto" w:fill="FFFFFF"/>
                <w:lang w:val="en-GB"/>
              </w:rPr>
              <w:t>THE</w:t>
            </w:r>
            <w:r w:rsidRPr="00E16672">
              <w:rPr>
                <w:rFonts w:ascii="Times New Roman" w:hAnsi="Times New Roman"/>
                <w:b/>
                <w:color w:val="000000"/>
                <w:sz w:val="16"/>
                <w:szCs w:val="16"/>
                <w:shd w:val="clear" w:color="auto" w:fill="FFFFFF"/>
                <w:lang w:val="en-US"/>
              </w:rPr>
              <w:t xml:space="preserve"> </w:t>
            </w:r>
            <w:r w:rsidRPr="00E16672">
              <w:rPr>
                <w:rFonts w:ascii="Times New Roman" w:hAnsi="Times New Roman"/>
                <w:b/>
                <w:color w:val="000000"/>
                <w:sz w:val="16"/>
                <w:szCs w:val="16"/>
                <w:shd w:val="clear" w:color="auto" w:fill="FFFFFF"/>
                <w:lang w:val="en-GB"/>
              </w:rPr>
              <w:t>RECOGNITION</w:t>
            </w:r>
            <w:r w:rsidRPr="00E16672">
              <w:rPr>
                <w:rFonts w:ascii="Times New Roman" w:hAnsi="Times New Roman"/>
                <w:b/>
                <w:color w:val="000000"/>
                <w:sz w:val="16"/>
                <w:szCs w:val="16"/>
                <w:shd w:val="clear" w:color="auto" w:fill="FFFFFF"/>
                <w:lang w:val="en-US"/>
              </w:rPr>
              <w:t xml:space="preserve"> </w:t>
            </w:r>
            <w:r w:rsidRPr="00E16672">
              <w:rPr>
                <w:rFonts w:ascii="Times New Roman" w:hAnsi="Times New Roman"/>
                <w:b/>
                <w:color w:val="000000"/>
                <w:sz w:val="16"/>
                <w:szCs w:val="16"/>
                <w:shd w:val="clear" w:color="auto" w:fill="FFFFFF"/>
                <w:lang w:val="en-GB"/>
              </w:rPr>
              <w:t>OF</w:t>
            </w:r>
            <w:r w:rsidRPr="00E16672">
              <w:rPr>
                <w:rFonts w:ascii="Times New Roman" w:hAnsi="Times New Roman"/>
                <w:b/>
                <w:color w:val="000000"/>
                <w:sz w:val="16"/>
                <w:szCs w:val="16"/>
                <w:shd w:val="clear" w:color="auto" w:fill="FFFFFF"/>
                <w:lang w:val="en-US"/>
              </w:rPr>
              <w:t xml:space="preserve"> </w:t>
            </w:r>
            <w:r w:rsidRPr="00F23413">
              <w:rPr>
                <w:rStyle w:val="shorttext"/>
                <w:rFonts w:ascii="Times New Roman" w:hAnsi="Times New Roman"/>
                <w:b/>
                <w:sz w:val="16"/>
                <w:szCs w:val="16"/>
                <w:lang w:val="en-US"/>
              </w:rPr>
              <w:t>QUALIFIED</w:t>
            </w:r>
            <w:r w:rsidRPr="00E16672">
              <w:rPr>
                <w:rFonts w:ascii="Times New Roman" w:hAnsi="Times New Roman"/>
                <w:b/>
                <w:color w:val="000000"/>
                <w:sz w:val="16"/>
                <w:szCs w:val="16"/>
                <w:shd w:val="clear" w:color="auto" w:fill="FFFFFF"/>
                <w:lang w:val="en-GB"/>
              </w:rPr>
              <w:t xml:space="preserve"> ELECTRONIC</w:t>
            </w:r>
            <w:r w:rsidRPr="00E16672">
              <w:rPr>
                <w:rFonts w:ascii="Times New Roman" w:hAnsi="Times New Roman"/>
                <w:b/>
                <w:color w:val="000000"/>
                <w:sz w:val="16"/>
                <w:szCs w:val="16"/>
                <w:shd w:val="clear" w:color="auto" w:fill="FFFFFF"/>
                <w:lang w:val="en-US"/>
              </w:rPr>
              <w:t xml:space="preserve"> </w:t>
            </w:r>
          </w:p>
          <w:p w14:paraId="41C80094" w14:textId="77777777" w:rsidR="005C5318" w:rsidRPr="00E16672" w:rsidRDefault="005C5318" w:rsidP="005C5318">
            <w:pPr>
              <w:tabs>
                <w:tab w:val="left" w:pos="287"/>
              </w:tabs>
              <w:snapToGrid w:val="0"/>
              <w:ind w:left="145" w:right="100"/>
              <w:jc w:val="center"/>
              <w:rPr>
                <w:rFonts w:ascii="Times New Roman" w:hAnsi="Times New Roman"/>
                <w:b/>
                <w:color w:val="000000"/>
                <w:sz w:val="16"/>
                <w:szCs w:val="16"/>
                <w:shd w:val="clear" w:color="auto" w:fill="FFFFFF"/>
                <w:lang w:val="en-US"/>
              </w:rPr>
            </w:pPr>
            <w:r w:rsidRPr="00E16672">
              <w:rPr>
                <w:rFonts w:ascii="Times New Roman" w:hAnsi="Times New Roman"/>
                <w:b/>
                <w:color w:val="000000"/>
                <w:sz w:val="16"/>
                <w:szCs w:val="16"/>
                <w:shd w:val="clear" w:color="auto" w:fill="FFFFFF"/>
                <w:lang w:val="en-GB"/>
              </w:rPr>
              <w:t>SIGNATURE</w:t>
            </w:r>
          </w:p>
          <w:p w14:paraId="30CB0DAD" w14:textId="77777777" w:rsidR="005C5318" w:rsidRPr="00E16672" w:rsidRDefault="005C5318" w:rsidP="005C5318">
            <w:pPr>
              <w:tabs>
                <w:tab w:val="left" w:pos="287"/>
              </w:tabs>
              <w:snapToGrid w:val="0"/>
              <w:ind w:left="145" w:right="100"/>
              <w:jc w:val="center"/>
              <w:rPr>
                <w:rFonts w:ascii="Times New Roman" w:hAnsi="Times New Roman"/>
                <w:b/>
                <w:color w:val="000000"/>
                <w:sz w:val="16"/>
                <w:szCs w:val="16"/>
                <w:shd w:val="clear" w:color="auto" w:fill="FFFFFF"/>
                <w:lang w:val="en-US"/>
              </w:rPr>
            </w:pPr>
          </w:p>
          <w:p w14:paraId="78D86C80" w14:textId="77777777" w:rsidR="005C5318" w:rsidRPr="00E16672" w:rsidRDefault="005C5318" w:rsidP="005C5318">
            <w:pPr>
              <w:tabs>
                <w:tab w:val="left" w:pos="287"/>
              </w:tabs>
              <w:snapToGrid w:val="0"/>
              <w:ind w:left="145" w:right="100" w:firstLine="0"/>
              <w:rPr>
                <w:rFonts w:ascii="Times New Roman" w:hAnsi="Times New Roman"/>
                <w:color w:val="000000"/>
                <w:sz w:val="16"/>
                <w:szCs w:val="16"/>
                <w:shd w:val="clear" w:color="auto" w:fill="FFFFFF"/>
                <w:lang w:val="uk-UA"/>
              </w:rPr>
            </w:pPr>
            <w:r w:rsidRPr="00E16672">
              <w:rPr>
                <w:rFonts w:ascii="Times New Roman" w:hAnsi="Times New Roman"/>
                <w:color w:val="000000"/>
                <w:sz w:val="16"/>
                <w:szCs w:val="16"/>
                <w:shd w:val="clear" w:color="auto" w:fill="FFFFFF"/>
                <w:lang w:val="en-US"/>
              </w:rPr>
              <w:t>1</w:t>
            </w:r>
            <w:r w:rsidRPr="00E16672">
              <w:rPr>
                <w:rFonts w:ascii="Times New Roman" w:hAnsi="Times New Roman"/>
                <w:color w:val="000000"/>
                <w:sz w:val="16"/>
                <w:szCs w:val="16"/>
                <w:shd w:val="clear" w:color="auto" w:fill="FFFFFF"/>
                <w:lang w:val="uk-UA"/>
              </w:rPr>
              <w:t>0</w:t>
            </w:r>
            <w:r w:rsidRPr="00E16672">
              <w:rPr>
                <w:rFonts w:ascii="Times New Roman" w:hAnsi="Times New Roman"/>
                <w:color w:val="000000"/>
                <w:sz w:val="16"/>
                <w:szCs w:val="16"/>
                <w:shd w:val="clear" w:color="auto" w:fill="FFFFFF"/>
                <w:lang w:val="en-US"/>
              </w:rPr>
              <w:t xml:space="preserve">.1 </w:t>
            </w:r>
            <w:r w:rsidRPr="00E16672">
              <w:rPr>
                <w:rFonts w:ascii="Times New Roman" w:eastAsia="Lucida Sans Unicode" w:hAnsi="Times New Roman"/>
                <w:color w:val="000000"/>
                <w:kern w:val="1"/>
                <w:sz w:val="16"/>
                <w:szCs w:val="16"/>
                <w:lang w:val="en-US" w:eastAsia="hi-IN" w:bidi="hi-IN"/>
              </w:rPr>
              <w:t>During the execution of the Agreement Parties can exchange electronic documents that are certified by the electronic digital signature</w:t>
            </w:r>
            <w:r w:rsidRPr="00E16672">
              <w:rPr>
                <w:rFonts w:ascii="Times New Roman" w:eastAsia="Lucida Sans Unicode" w:hAnsi="Times New Roman"/>
                <w:color w:val="000000"/>
                <w:kern w:val="1"/>
                <w:sz w:val="16"/>
                <w:szCs w:val="16"/>
                <w:lang w:val="uk-UA" w:eastAsia="hi-IN" w:bidi="hi-IN"/>
              </w:rPr>
              <w:t xml:space="preserve"> </w:t>
            </w:r>
            <w:r w:rsidRPr="00F23413">
              <w:rPr>
                <w:rFonts w:ascii="Times New Roman" w:hAnsi="Times New Roman"/>
                <w:sz w:val="16"/>
                <w:szCs w:val="16"/>
                <w:lang w:val="en-US"/>
              </w:rPr>
              <w:t>in accordance with the requirements of legislation in the area of electronic document circulation and electronic trust services</w:t>
            </w:r>
            <w:r w:rsidRPr="00E16672">
              <w:rPr>
                <w:rFonts w:ascii="Times New Roman" w:eastAsia="Lucida Sans Unicode" w:hAnsi="Times New Roman"/>
                <w:color w:val="000000"/>
                <w:kern w:val="1"/>
                <w:sz w:val="16"/>
                <w:szCs w:val="16"/>
                <w:lang w:val="uk-UA" w:eastAsia="hi-IN" w:bidi="hi-IN"/>
              </w:rPr>
              <w:t>.</w:t>
            </w:r>
          </w:p>
        </w:tc>
      </w:tr>
      <w:tr w:rsidR="005C5318" w:rsidRPr="00F23413" w14:paraId="558AE30A" w14:textId="77777777" w:rsidTr="005E418B">
        <w:trPr>
          <w:trHeight w:val="192"/>
        </w:trPr>
        <w:tc>
          <w:tcPr>
            <w:tcW w:w="5695" w:type="dxa"/>
            <w:gridSpan w:val="6"/>
            <w:shd w:val="clear" w:color="auto" w:fill="auto"/>
          </w:tcPr>
          <w:p w14:paraId="7BFBDA33" w14:textId="77777777" w:rsidR="005C5318" w:rsidRPr="00E16672" w:rsidRDefault="005C5318" w:rsidP="005C5318">
            <w:pPr>
              <w:pStyle w:val="33"/>
              <w:tabs>
                <w:tab w:val="left" w:pos="851"/>
              </w:tabs>
              <w:snapToGrid w:val="0"/>
              <w:ind w:left="175" w:right="138" w:firstLine="0"/>
              <w:rPr>
                <w:rFonts w:ascii="Times New Roman" w:hAnsi="Times New Roman" w:cs="Times New Roman"/>
                <w:color w:val="000000"/>
                <w:sz w:val="16"/>
                <w:szCs w:val="16"/>
                <w:lang w:val="uk-UA"/>
              </w:rPr>
            </w:pPr>
            <w:r w:rsidRPr="00E16672">
              <w:rPr>
                <w:rFonts w:ascii="Times New Roman" w:hAnsi="Times New Roman" w:cs="Times New Roman"/>
                <w:color w:val="000000"/>
                <w:sz w:val="16"/>
                <w:szCs w:val="16"/>
                <w:lang w:val="uk-UA"/>
              </w:rPr>
              <w:t xml:space="preserve">10.2. При виконанні цього Договору кожна Сторона може виступати як </w:t>
            </w:r>
            <w:proofErr w:type="spellStart"/>
            <w:r w:rsidRPr="00E16672">
              <w:rPr>
                <w:rFonts w:ascii="Times New Roman" w:hAnsi="Times New Roman" w:cs="Times New Roman"/>
                <w:color w:val="000000"/>
                <w:sz w:val="16"/>
                <w:szCs w:val="16"/>
                <w:lang w:val="uk-UA"/>
              </w:rPr>
              <w:t>підписувачем</w:t>
            </w:r>
            <w:proofErr w:type="spellEnd"/>
            <w:r w:rsidRPr="00E16672">
              <w:rPr>
                <w:rFonts w:ascii="Times New Roman" w:hAnsi="Times New Roman" w:cs="Times New Roman"/>
                <w:color w:val="000000"/>
                <w:sz w:val="16"/>
                <w:szCs w:val="16"/>
                <w:lang w:val="uk-UA"/>
              </w:rPr>
              <w:t>, так і адресатом електронних документів.</w:t>
            </w:r>
          </w:p>
        </w:tc>
        <w:tc>
          <w:tcPr>
            <w:tcW w:w="5495" w:type="dxa"/>
            <w:gridSpan w:val="6"/>
            <w:shd w:val="clear" w:color="auto" w:fill="auto"/>
          </w:tcPr>
          <w:p w14:paraId="07EEC5E0" w14:textId="77777777" w:rsidR="005C5318" w:rsidRPr="00E16672" w:rsidRDefault="005C5318" w:rsidP="005C5318">
            <w:pPr>
              <w:tabs>
                <w:tab w:val="left" w:pos="287"/>
              </w:tabs>
              <w:snapToGrid w:val="0"/>
              <w:ind w:left="145" w:right="100" w:firstLine="0"/>
              <w:rPr>
                <w:rFonts w:ascii="Times New Roman" w:hAnsi="Times New Roman"/>
                <w:color w:val="000000"/>
                <w:sz w:val="16"/>
                <w:szCs w:val="16"/>
                <w:shd w:val="clear" w:color="auto" w:fill="FFFFFF"/>
                <w:lang w:val="uk-UA"/>
              </w:rPr>
            </w:pPr>
            <w:r w:rsidRPr="00E16672">
              <w:rPr>
                <w:rFonts w:ascii="Times New Roman" w:hAnsi="Times New Roman"/>
                <w:color w:val="000000"/>
                <w:sz w:val="16"/>
                <w:szCs w:val="16"/>
                <w:shd w:val="clear" w:color="auto" w:fill="FFFFFF"/>
                <w:lang w:val="uk-UA"/>
              </w:rPr>
              <w:t xml:space="preserve">10.2. </w:t>
            </w:r>
            <w:r w:rsidRPr="00E16672">
              <w:rPr>
                <w:rFonts w:ascii="Times New Roman" w:hAnsi="Times New Roman"/>
                <w:color w:val="000000"/>
                <w:sz w:val="16"/>
                <w:szCs w:val="16"/>
                <w:shd w:val="clear" w:color="auto" w:fill="FFFFFF"/>
                <w:lang w:val="en-GB"/>
              </w:rPr>
              <w:t>In</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the</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execution</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of</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this</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Agreement</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each</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Party</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may</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act</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as</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a</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signer</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and</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recipient</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of</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electronic</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documents</w:t>
            </w:r>
            <w:r w:rsidRPr="00E16672">
              <w:rPr>
                <w:rFonts w:ascii="Times New Roman" w:hAnsi="Times New Roman"/>
                <w:color w:val="000000"/>
                <w:sz w:val="16"/>
                <w:szCs w:val="16"/>
                <w:shd w:val="clear" w:color="auto" w:fill="FFFFFF"/>
                <w:lang w:val="uk-UA"/>
              </w:rPr>
              <w:t>.</w:t>
            </w:r>
          </w:p>
          <w:p w14:paraId="6E29D2DA" w14:textId="77777777" w:rsidR="005C5318" w:rsidRPr="00E16672" w:rsidRDefault="005C5318" w:rsidP="005C5318">
            <w:pPr>
              <w:tabs>
                <w:tab w:val="left" w:pos="287"/>
              </w:tabs>
              <w:snapToGrid w:val="0"/>
              <w:ind w:left="145" w:right="100"/>
              <w:rPr>
                <w:rFonts w:ascii="Times New Roman" w:hAnsi="Times New Roman"/>
                <w:color w:val="000000"/>
                <w:sz w:val="16"/>
                <w:szCs w:val="16"/>
                <w:shd w:val="clear" w:color="auto" w:fill="FFFFFF"/>
                <w:lang w:val="uk-UA"/>
              </w:rPr>
            </w:pPr>
          </w:p>
        </w:tc>
      </w:tr>
      <w:tr w:rsidR="005C5318" w:rsidRPr="00F23413" w14:paraId="7DED33F8" w14:textId="77777777" w:rsidTr="005E418B">
        <w:trPr>
          <w:trHeight w:val="192"/>
        </w:trPr>
        <w:tc>
          <w:tcPr>
            <w:tcW w:w="5695" w:type="dxa"/>
            <w:gridSpan w:val="6"/>
            <w:shd w:val="clear" w:color="auto" w:fill="auto"/>
          </w:tcPr>
          <w:p w14:paraId="4C34DB90" w14:textId="77777777" w:rsidR="005C5318" w:rsidRPr="00E16672" w:rsidRDefault="005C5318" w:rsidP="005C5318">
            <w:pPr>
              <w:pStyle w:val="33"/>
              <w:tabs>
                <w:tab w:val="left" w:pos="851"/>
              </w:tabs>
              <w:snapToGrid w:val="0"/>
              <w:ind w:left="175" w:right="138" w:firstLine="0"/>
              <w:rPr>
                <w:rFonts w:ascii="Times New Roman" w:hAnsi="Times New Roman" w:cs="Times New Roman"/>
                <w:color w:val="000000"/>
                <w:sz w:val="16"/>
                <w:szCs w:val="16"/>
                <w:lang w:val="uk-UA"/>
              </w:rPr>
            </w:pPr>
            <w:r w:rsidRPr="00E16672">
              <w:rPr>
                <w:rFonts w:ascii="Times New Roman" w:hAnsi="Times New Roman" w:cs="Times New Roman"/>
                <w:color w:val="000000"/>
                <w:sz w:val="16"/>
                <w:szCs w:val="16"/>
                <w:lang w:val="uk-UA"/>
              </w:rPr>
              <w:t>10.3. Електронний документ - документ, інформація в якому зафіксована у вигляді електронних даних, включаючи обов'язкові реквізити документа, в тому числі кваліфікований електронний підпис.</w:t>
            </w:r>
          </w:p>
        </w:tc>
        <w:tc>
          <w:tcPr>
            <w:tcW w:w="5495" w:type="dxa"/>
            <w:gridSpan w:val="6"/>
            <w:shd w:val="clear" w:color="auto" w:fill="auto"/>
          </w:tcPr>
          <w:p w14:paraId="22D7F07E" w14:textId="77777777" w:rsidR="005C5318" w:rsidRPr="00E16672" w:rsidRDefault="005C5318" w:rsidP="005C5318">
            <w:pPr>
              <w:tabs>
                <w:tab w:val="left" w:pos="287"/>
              </w:tabs>
              <w:snapToGrid w:val="0"/>
              <w:ind w:left="145" w:right="100" w:firstLine="0"/>
              <w:rPr>
                <w:rFonts w:ascii="Times New Roman" w:hAnsi="Times New Roman"/>
                <w:color w:val="000000"/>
                <w:sz w:val="16"/>
                <w:szCs w:val="16"/>
                <w:shd w:val="clear" w:color="auto" w:fill="FFFFFF"/>
                <w:lang w:val="en-GB"/>
              </w:rPr>
            </w:pPr>
            <w:r w:rsidRPr="00E16672">
              <w:rPr>
                <w:rFonts w:ascii="Times New Roman" w:hAnsi="Times New Roman"/>
                <w:color w:val="000000"/>
                <w:sz w:val="16"/>
                <w:szCs w:val="16"/>
                <w:shd w:val="clear" w:color="auto" w:fill="FFFFFF"/>
                <w:lang w:val="uk-UA"/>
              </w:rPr>
              <w:t xml:space="preserve">10.3. </w:t>
            </w:r>
            <w:r w:rsidRPr="00E16672">
              <w:rPr>
                <w:rFonts w:ascii="Times New Roman" w:hAnsi="Times New Roman"/>
                <w:color w:val="000000"/>
                <w:sz w:val="16"/>
                <w:szCs w:val="16"/>
                <w:shd w:val="clear" w:color="auto" w:fill="FFFFFF"/>
                <w:lang w:val="en-GB"/>
              </w:rPr>
              <w:t>Electronic</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document</w:t>
            </w:r>
            <w:r w:rsidRPr="00E16672">
              <w:rPr>
                <w:rFonts w:ascii="Times New Roman" w:hAnsi="Times New Roman"/>
                <w:color w:val="000000"/>
                <w:sz w:val="16"/>
                <w:szCs w:val="16"/>
                <w:shd w:val="clear" w:color="auto" w:fill="FFFFFF"/>
                <w:lang w:val="uk-UA"/>
              </w:rPr>
              <w:t xml:space="preserve"> - </w:t>
            </w:r>
            <w:r w:rsidRPr="00E16672">
              <w:rPr>
                <w:rFonts w:ascii="Times New Roman" w:hAnsi="Times New Roman"/>
                <w:color w:val="000000"/>
                <w:sz w:val="16"/>
                <w:szCs w:val="16"/>
                <w:shd w:val="clear" w:color="auto" w:fill="FFFFFF"/>
                <w:lang w:val="en-GB"/>
              </w:rPr>
              <w:t>a</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document</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in</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which</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the</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information</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recorded</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in</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the</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form</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of</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electronic</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data</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including</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the</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required</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 xml:space="preserve">details of the document, including </w:t>
            </w:r>
            <w:r w:rsidRPr="00F23413">
              <w:rPr>
                <w:rStyle w:val="shorttext"/>
                <w:rFonts w:ascii="Times New Roman" w:hAnsi="Times New Roman"/>
                <w:sz w:val="16"/>
                <w:szCs w:val="16"/>
                <w:lang w:val="en-US"/>
              </w:rPr>
              <w:t>qualified</w:t>
            </w:r>
            <w:r w:rsidRPr="00E16672">
              <w:rPr>
                <w:rFonts w:ascii="Times New Roman" w:hAnsi="Times New Roman"/>
                <w:color w:val="000000"/>
                <w:sz w:val="16"/>
                <w:szCs w:val="16"/>
                <w:shd w:val="clear" w:color="auto" w:fill="FFFFFF"/>
                <w:lang w:val="en-GB"/>
              </w:rPr>
              <w:t xml:space="preserve"> electronic signature.</w:t>
            </w:r>
          </w:p>
          <w:p w14:paraId="5131C8B2" w14:textId="77777777" w:rsidR="005C5318" w:rsidRPr="00E16672" w:rsidRDefault="005C5318" w:rsidP="005C5318">
            <w:pPr>
              <w:tabs>
                <w:tab w:val="left" w:pos="287"/>
              </w:tabs>
              <w:snapToGrid w:val="0"/>
              <w:ind w:left="145" w:right="100"/>
              <w:rPr>
                <w:rFonts w:ascii="Times New Roman" w:hAnsi="Times New Roman"/>
                <w:color w:val="000000"/>
                <w:sz w:val="16"/>
                <w:szCs w:val="16"/>
                <w:shd w:val="clear" w:color="auto" w:fill="FFFFFF"/>
                <w:lang w:val="en-GB"/>
              </w:rPr>
            </w:pPr>
          </w:p>
        </w:tc>
      </w:tr>
      <w:tr w:rsidR="005C5318" w:rsidRPr="00F23413" w14:paraId="253FE28C" w14:textId="77777777" w:rsidTr="005E418B">
        <w:trPr>
          <w:trHeight w:val="192"/>
        </w:trPr>
        <w:tc>
          <w:tcPr>
            <w:tcW w:w="5695" w:type="dxa"/>
            <w:gridSpan w:val="6"/>
            <w:shd w:val="clear" w:color="auto" w:fill="auto"/>
          </w:tcPr>
          <w:p w14:paraId="0FEFB319" w14:textId="77777777" w:rsidR="005C5318" w:rsidRPr="00E16672" w:rsidRDefault="005C5318" w:rsidP="005C5318">
            <w:pPr>
              <w:pStyle w:val="33"/>
              <w:tabs>
                <w:tab w:val="left" w:pos="851"/>
              </w:tabs>
              <w:snapToGrid w:val="0"/>
              <w:ind w:left="175" w:right="138" w:firstLine="0"/>
              <w:rPr>
                <w:rFonts w:ascii="Times New Roman" w:hAnsi="Times New Roman" w:cs="Times New Roman"/>
                <w:color w:val="000000"/>
                <w:sz w:val="16"/>
                <w:szCs w:val="16"/>
                <w:lang w:val="uk-UA"/>
              </w:rPr>
            </w:pPr>
            <w:r w:rsidRPr="00E16672">
              <w:rPr>
                <w:rFonts w:ascii="Times New Roman" w:hAnsi="Times New Roman" w:cs="Times New Roman"/>
                <w:color w:val="000000"/>
                <w:sz w:val="16"/>
                <w:szCs w:val="16"/>
                <w:lang w:val="uk-UA"/>
              </w:rPr>
              <w:t xml:space="preserve">10.4. </w:t>
            </w:r>
            <w:r w:rsidRPr="00E16672">
              <w:rPr>
                <w:rFonts w:ascii="Times New Roman" w:hAnsi="Times New Roman" w:cs="Times New Roman"/>
                <w:sz w:val="16"/>
                <w:lang w:val="uk-UA"/>
              </w:rPr>
              <w:t>Кваліфікований</w:t>
            </w:r>
            <w:r w:rsidRPr="00E16672" w:rsidDel="00047AE1">
              <w:rPr>
                <w:rFonts w:ascii="Times New Roman" w:hAnsi="Times New Roman" w:cs="Times New Roman"/>
                <w:sz w:val="16"/>
                <w:lang w:val="uk-UA"/>
              </w:rPr>
              <w:t xml:space="preserve"> </w:t>
            </w:r>
            <w:r w:rsidRPr="00E16672">
              <w:rPr>
                <w:rFonts w:ascii="Times New Roman" w:hAnsi="Times New Roman" w:cs="Times New Roman"/>
                <w:color w:val="000000"/>
                <w:sz w:val="16"/>
                <w:szCs w:val="16"/>
                <w:lang w:val="uk-UA"/>
              </w:rPr>
              <w:t xml:space="preserve">електронний підпис -  </w:t>
            </w:r>
            <w:r w:rsidRPr="00E16672">
              <w:rPr>
                <w:rStyle w:val="rvts0"/>
                <w:rFonts w:ascii="Times New Roman" w:hAnsi="Times New Roman" w:cs="Times New Roman"/>
                <w:sz w:val="16"/>
                <w:szCs w:val="16"/>
                <w:lang w:val="uk-UA"/>
              </w:rPr>
              <w:t xml:space="preserve">удосконалений електронний підпис, який створюється з використанням засобу кваліфікованого електронного підпису, а саме </w:t>
            </w:r>
            <w:r w:rsidRPr="00E16672">
              <w:rPr>
                <w:rFonts w:ascii="Times New Roman" w:hAnsi="Times New Roman" w:cs="Times New Roman"/>
                <w:sz w:val="16"/>
                <w:szCs w:val="16"/>
                <w:lang w:val="uk-UA"/>
              </w:rPr>
              <w:t>за допомогою системи криптографічного захисту інформації Акредитованого Центру Сертифікації ключів,</w:t>
            </w:r>
            <w:r w:rsidRPr="00E16672">
              <w:rPr>
                <w:rStyle w:val="rvts0"/>
                <w:rFonts w:ascii="Times New Roman" w:hAnsi="Times New Roman" w:cs="Times New Roman"/>
                <w:sz w:val="16"/>
                <w:szCs w:val="16"/>
                <w:lang w:val="uk-UA"/>
              </w:rPr>
              <w:t xml:space="preserve"> і базується на кваліфікованому сертифікаті відкритого ключа</w:t>
            </w:r>
            <w:r w:rsidRPr="00E16672">
              <w:rPr>
                <w:rFonts w:ascii="Times New Roman" w:hAnsi="Times New Roman" w:cs="Times New Roman"/>
                <w:sz w:val="16"/>
                <w:szCs w:val="16"/>
                <w:lang w:val="uk-UA"/>
              </w:rPr>
              <w:t>. Кваліфікований</w:t>
            </w:r>
            <w:r w:rsidRPr="00E16672" w:rsidDel="00047AE1">
              <w:rPr>
                <w:rFonts w:ascii="Times New Roman" w:hAnsi="Times New Roman" w:cs="Times New Roman"/>
                <w:sz w:val="16"/>
                <w:szCs w:val="16"/>
                <w:lang w:val="uk-UA"/>
              </w:rPr>
              <w:t xml:space="preserve"> </w:t>
            </w:r>
            <w:r w:rsidRPr="00E16672">
              <w:rPr>
                <w:rFonts w:ascii="Times New Roman" w:hAnsi="Times New Roman" w:cs="Times New Roman"/>
                <w:sz w:val="16"/>
                <w:szCs w:val="16"/>
                <w:lang w:val="uk-UA"/>
              </w:rPr>
              <w:t xml:space="preserve">електронний підпис є обов'язковим </w:t>
            </w:r>
            <w:r w:rsidRPr="00E16672">
              <w:rPr>
                <w:rFonts w:ascii="Times New Roman" w:hAnsi="Times New Roman" w:cs="Times New Roman"/>
                <w:color w:val="000000"/>
                <w:sz w:val="16"/>
                <w:szCs w:val="16"/>
                <w:lang w:val="uk-UA"/>
              </w:rPr>
              <w:t>реквізитом електронного документа, який використовується для ідентифікації адресатом</w:t>
            </w:r>
            <w:r w:rsidRPr="00E16672" w:rsidDel="00F11330">
              <w:rPr>
                <w:rFonts w:ascii="Times New Roman" w:hAnsi="Times New Roman" w:cs="Times New Roman"/>
                <w:color w:val="000000"/>
                <w:sz w:val="16"/>
                <w:szCs w:val="16"/>
                <w:lang w:val="uk-UA"/>
              </w:rPr>
              <w:t xml:space="preserve"> </w:t>
            </w:r>
            <w:proofErr w:type="spellStart"/>
            <w:r w:rsidRPr="00E16672">
              <w:rPr>
                <w:rFonts w:ascii="Times New Roman" w:hAnsi="Times New Roman" w:cs="Times New Roman"/>
                <w:color w:val="000000"/>
                <w:sz w:val="16"/>
                <w:szCs w:val="16"/>
                <w:lang w:val="uk-UA"/>
              </w:rPr>
              <w:t>підписувача</w:t>
            </w:r>
            <w:proofErr w:type="spellEnd"/>
            <w:r w:rsidRPr="00E16672">
              <w:rPr>
                <w:rFonts w:ascii="Times New Roman" w:hAnsi="Times New Roman" w:cs="Times New Roman"/>
                <w:color w:val="000000"/>
                <w:sz w:val="16"/>
                <w:szCs w:val="16"/>
                <w:lang w:val="uk-UA"/>
              </w:rPr>
              <w:t xml:space="preserve"> електронного документа та сформований за допомогою системи криптографічного захисту інформації Акредитованого Центру Сертифікації ключів.</w:t>
            </w:r>
          </w:p>
          <w:p w14:paraId="79B67F40" w14:textId="77777777" w:rsidR="005C5318" w:rsidRPr="00E16672" w:rsidRDefault="005C5318" w:rsidP="005C5318">
            <w:pPr>
              <w:pStyle w:val="33"/>
              <w:tabs>
                <w:tab w:val="left" w:pos="851"/>
              </w:tabs>
              <w:ind w:left="175" w:right="138"/>
              <w:rPr>
                <w:rFonts w:ascii="Times New Roman" w:hAnsi="Times New Roman" w:cs="Times New Roman"/>
                <w:color w:val="000000"/>
                <w:sz w:val="10"/>
                <w:szCs w:val="10"/>
                <w:lang w:val="uk-UA"/>
              </w:rPr>
            </w:pPr>
          </w:p>
        </w:tc>
        <w:tc>
          <w:tcPr>
            <w:tcW w:w="5495" w:type="dxa"/>
            <w:gridSpan w:val="6"/>
            <w:shd w:val="clear" w:color="auto" w:fill="auto"/>
          </w:tcPr>
          <w:p w14:paraId="693CAACA" w14:textId="77777777" w:rsidR="005C5318" w:rsidRPr="00E16672" w:rsidRDefault="005C5318" w:rsidP="005C5318">
            <w:pPr>
              <w:tabs>
                <w:tab w:val="left" w:pos="287"/>
              </w:tabs>
              <w:snapToGrid w:val="0"/>
              <w:ind w:left="145" w:right="100" w:firstLine="0"/>
              <w:rPr>
                <w:rFonts w:ascii="Times New Roman" w:hAnsi="Times New Roman"/>
                <w:color w:val="000000"/>
                <w:sz w:val="16"/>
                <w:szCs w:val="16"/>
                <w:shd w:val="clear" w:color="auto" w:fill="FFFFFF"/>
                <w:lang w:val="en-GB"/>
              </w:rPr>
            </w:pPr>
            <w:r w:rsidRPr="00E16672">
              <w:rPr>
                <w:rFonts w:ascii="Times New Roman" w:hAnsi="Times New Roman"/>
                <w:color w:val="000000"/>
                <w:sz w:val="16"/>
                <w:szCs w:val="16"/>
                <w:shd w:val="clear" w:color="auto" w:fill="FFFFFF"/>
                <w:lang w:val="uk-UA"/>
              </w:rPr>
              <w:t xml:space="preserve">10.4. </w:t>
            </w:r>
            <w:r w:rsidRPr="00F23413">
              <w:rPr>
                <w:rStyle w:val="shorttext"/>
                <w:rFonts w:ascii="Times New Roman" w:hAnsi="Times New Roman"/>
                <w:sz w:val="16"/>
                <w:szCs w:val="16"/>
                <w:lang w:val="en-US"/>
              </w:rPr>
              <w:t>Qualified</w:t>
            </w:r>
            <w:r w:rsidRPr="00E16672">
              <w:rPr>
                <w:rStyle w:val="shorttext"/>
                <w:rFonts w:ascii="Times New Roman" w:hAnsi="Times New Roman"/>
                <w:sz w:val="16"/>
                <w:szCs w:val="16"/>
                <w:lang w:val="uk-UA"/>
              </w:rPr>
              <w:t xml:space="preserve"> </w:t>
            </w:r>
            <w:proofErr w:type="gramStart"/>
            <w:r w:rsidRPr="00E16672">
              <w:rPr>
                <w:rFonts w:ascii="Times New Roman" w:hAnsi="Times New Roman"/>
                <w:color w:val="000000"/>
                <w:sz w:val="16"/>
                <w:szCs w:val="16"/>
                <w:shd w:val="clear" w:color="auto" w:fill="FFFFFF"/>
                <w:lang w:val="en-US"/>
              </w:rPr>
              <w:t>e</w:t>
            </w:r>
            <w:proofErr w:type="spellStart"/>
            <w:r w:rsidRPr="00E16672">
              <w:rPr>
                <w:rFonts w:ascii="Times New Roman" w:hAnsi="Times New Roman"/>
                <w:color w:val="000000"/>
                <w:sz w:val="16"/>
                <w:szCs w:val="16"/>
                <w:shd w:val="clear" w:color="auto" w:fill="FFFFFF"/>
                <w:lang w:val="en-GB"/>
              </w:rPr>
              <w:t>lectronic</w:t>
            </w:r>
            <w:proofErr w:type="spellEnd"/>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signature</w:t>
            </w:r>
            <w:proofErr w:type="gramEnd"/>
            <w:r w:rsidRPr="00E16672">
              <w:rPr>
                <w:rFonts w:ascii="Times New Roman" w:hAnsi="Times New Roman"/>
                <w:color w:val="000000"/>
                <w:sz w:val="16"/>
                <w:szCs w:val="16"/>
                <w:shd w:val="clear" w:color="auto" w:fill="FFFFFF"/>
                <w:lang w:val="uk-UA"/>
              </w:rPr>
              <w:t xml:space="preserve"> – </w:t>
            </w:r>
            <w:r w:rsidRPr="00F23413">
              <w:rPr>
                <w:rFonts w:ascii="Times New Roman" w:hAnsi="Times New Roman"/>
                <w:sz w:val="16"/>
                <w:szCs w:val="16"/>
                <w:lang w:val="en-US"/>
              </w:rPr>
              <w:t>an</w:t>
            </w:r>
            <w:r w:rsidRPr="00E16672">
              <w:rPr>
                <w:rFonts w:ascii="Times New Roman" w:hAnsi="Times New Roman"/>
                <w:sz w:val="16"/>
                <w:szCs w:val="16"/>
                <w:lang w:val="uk-UA"/>
              </w:rPr>
              <w:t xml:space="preserve"> </w:t>
            </w:r>
            <w:r w:rsidRPr="00F23413">
              <w:rPr>
                <w:rFonts w:ascii="Times New Roman" w:hAnsi="Times New Roman"/>
                <w:sz w:val="16"/>
                <w:szCs w:val="16"/>
                <w:lang w:val="en-US"/>
              </w:rPr>
              <w:t>advanced</w:t>
            </w:r>
            <w:r w:rsidRPr="00E16672">
              <w:rPr>
                <w:rFonts w:ascii="Times New Roman" w:hAnsi="Times New Roman"/>
                <w:sz w:val="16"/>
                <w:szCs w:val="16"/>
                <w:lang w:val="uk-UA"/>
              </w:rPr>
              <w:t xml:space="preserve"> </w:t>
            </w:r>
            <w:r w:rsidRPr="00F23413">
              <w:rPr>
                <w:rFonts w:ascii="Times New Roman" w:hAnsi="Times New Roman"/>
                <w:sz w:val="16"/>
                <w:szCs w:val="16"/>
                <w:lang w:val="en-US"/>
              </w:rPr>
              <w:t>electronic</w:t>
            </w:r>
            <w:r w:rsidRPr="00E16672">
              <w:rPr>
                <w:rFonts w:ascii="Times New Roman" w:hAnsi="Times New Roman"/>
                <w:sz w:val="16"/>
                <w:szCs w:val="16"/>
                <w:lang w:val="uk-UA"/>
              </w:rPr>
              <w:t xml:space="preserve"> </w:t>
            </w:r>
            <w:r w:rsidRPr="00F23413">
              <w:rPr>
                <w:rFonts w:ascii="Times New Roman" w:hAnsi="Times New Roman"/>
                <w:sz w:val="16"/>
                <w:szCs w:val="16"/>
                <w:lang w:val="en-US"/>
              </w:rPr>
              <w:t>signature</w:t>
            </w:r>
            <w:r w:rsidRPr="00E16672">
              <w:rPr>
                <w:rFonts w:ascii="Times New Roman" w:hAnsi="Times New Roman"/>
                <w:sz w:val="16"/>
                <w:szCs w:val="16"/>
                <w:lang w:val="uk-UA"/>
              </w:rPr>
              <w:t xml:space="preserve"> </w:t>
            </w:r>
            <w:r w:rsidRPr="00F23413">
              <w:rPr>
                <w:rFonts w:ascii="Times New Roman" w:hAnsi="Times New Roman"/>
                <w:sz w:val="16"/>
                <w:szCs w:val="16"/>
                <w:lang w:val="en-US"/>
              </w:rPr>
              <w:t>created</w:t>
            </w:r>
            <w:r w:rsidRPr="00E16672">
              <w:rPr>
                <w:rFonts w:ascii="Times New Roman" w:hAnsi="Times New Roman"/>
                <w:sz w:val="16"/>
                <w:szCs w:val="16"/>
                <w:lang w:val="uk-UA"/>
              </w:rPr>
              <w:t xml:space="preserve"> </w:t>
            </w:r>
            <w:r w:rsidRPr="00F23413">
              <w:rPr>
                <w:rFonts w:ascii="Times New Roman" w:hAnsi="Times New Roman"/>
                <w:sz w:val="16"/>
                <w:szCs w:val="16"/>
                <w:lang w:val="en-US"/>
              </w:rPr>
              <w:t>using</w:t>
            </w:r>
            <w:r w:rsidRPr="00E16672">
              <w:rPr>
                <w:rFonts w:ascii="Times New Roman" w:hAnsi="Times New Roman"/>
                <w:sz w:val="16"/>
                <w:szCs w:val="16"/>
                <w:lang w:val="uk-UA"/>
              </w:rPr>
              <w:t xml:space="preserve"> </w:t>
            </w:r>
            <w:r w:rsidRPr="00F23413">
              <w:rPr>
                <w:rFonts w:ascii="Times New Roman" w:hAnsi="Times New Roman"/>
                <w:sz w:val="16"/>
                <w:szCs w:val="16"/>
                <w:lang w:val="en-US"/>
              </w:rPr>
              <w:t>a</w:t>
            </w:r>
            <w:r w:rsidRPr="00E16672">
              <w:rPr>
                <w:rFonts w:ascii="Times New Roman" w:hAnsi="Times New Roman"/>
                <w:sz w:val="16"/>
                <w:szCs w:val="16"/>
                <w:lang w:val="uk-UA"/>
              </w:rPr>
              <w:t xml:space="preserve"> </w:t>
            </w:r>
            <w:r w:rsidRPr="00F23413">
              <w:rPr>
                <w:rFonts w:ascii="Times New Roman" w:hAnsi="Times New Roman"/>
                <w:sz w:val="16"/>
                <w:szCs w:val="16"/>
                <w:lang w:val="en-US"/>
              </w:rPr>
              <w:t>qualified</w:t>
            </w:r>
            <w:r w:rsidRPr="00E16672">
              <w:rPr>
                <w:rFonts w:ascii="Times New Roman" w:hAnsi="Times New Roman"/>
                <w:sz w:val="16"/>
                <w:szCs w:val="16"/>
                <w:lang w:val="uk-UA"/>
              </w:rPr>
              <w:t xml:space="preserve"> </w:t>
            </w:r>
            <w:r w:rsidRPr="00F23413">
              <w:rPr>
                <w:rFonts w:ascii="Times New Roman" w:hAnsi="Times New Roman"/>
                <w:sz w:val="16"/>
                <w:szCs w:val="16"/>
                <w:lang w:val="en-US"/>
              </w:rPr>
              <w:t>electronic</w:t>
            </w:r>
            <w:r w:rsidRPr="00E16672">
              <w:rPr>
                <w:rFonts w:ascii="Times New Roman" w:hAnsi="Times New Roman"/>
                <w:sz w:val="16"/>
                <w:szCs w:val="16"/>
                <w:lang w:val="uk-UA"/>
              </w:rPr>
              <w:t xml:space="preserve"> </w:t>
            </w:r>
            <w:r w:rsidRPr="00F23413">
              <w:rPr>
                <w:rFonts w:ascii="Times New Roman" w:hAnsi="Times New Roman"/>
                <w:sz w:val="16"/>
                <w:szCs w:val="16"/>
                <w:lang w:val="en-US"/>
              </w:rPr>
              <w:t>signature tool, namely through the cryptographic information security system of the Accredited Key Certification Center, and is based on a qualified public key certificate. Qualified electronic signature is mandatory</w:t>
            </w:r>
            <w:r w:rsidRPr="00E16672">
              <w:rPr>
                <w:rFonts w:ascii="Times New Roman" w:hAnsi="Times New Roman"/>
                <w:color w:val="000000"/>
                <w:sz w:val="16"/>
                <w:szCs w:val="16"/>
                <w:shd w:val="clear" w:color="auto" w:fill="FFFFFF"/>
                <w:lang w:val="en-GB"/>
              </w:rPr>
              <w:t xml:space="preserve"> a required requisite of electronic document used to identify the recipient of an electronic document signer and is formed by means of cryptographic protection information system of Certification Authority.</w:t>
            </w:r>
          </w:p>
          <w:p w14:paraId="577100FE" w14:textId="77777777" w:rsidR="005C5318" w:rsidRPr="00E16672" w:rsidRDefault="005C5318" w:rsidP="005C5318">
            <w:pPr>
              <w:tabs>
                <w:tab w:val="left" w:pos="287"/>
              </w:tabs>
              <w:snapToGrid w:val="0"/>
              <w:ind w:left="145" w:right="100"/>
              <w:rPr>
                <w:rFonts w:ascii="Times New Roman" w:hAnsi="Times New Roman"/>
                <w:b/>
                <w:bCs/>
                <w:color w:val="000000"/>
                <w:sz w:val="16"/>
                <w:szCs w:val="16"/>
                <w:lang w:val="en-GB"/>
              </w:rPr>
            </w:pPr>
          </w:p>
        </w:tc>
      </w:tr>
      <w:tr w:rsidR="005C5318" w:rsidRPr="00F23413" w14:paraId="35D5782C" w14:textId="77777777" w:rsidTr="005E418B">
        <w:trPr>
          <w:trHeight w:val="192"/>
        </w:trPr>
        <w:tc>
          <w:tcPr>
            <w:tcW w:w="5695" w:type="dxa"/>
            <w:gridSpan w:val="6"/>
            <w:shd w:val="clear" w:color="auto" w:fill="auto"/>
          </w:tcPr>
          <w:p w14:paraId="1EE2D945" w14:textId="77777777" w:rsidR="005C5318" w:rsidRPr="00E16672" w:rsidRDefault="005C5318" w:rsidP="005C5318">
            <w:pPr>
              <w:pStyle w:val="33"/>
              <w:tabs>
                <w:tab w:val="left" w:pos="851"/>
              </w:tabs>
              <w:snapToGrid w:val="0"/>
              <w:ind w:left="175" w:right="138" w:firstLine="0"/>
              <w:rPr>
                <w:rFonts w:ascii="Times New Roman" w:hAnsi="Times New Roman" w:cs="Times New Roman"/>
                <w:color w:val="000000"/>
                <w:sz w:val="16"/>
                <w:szCs w:val="16"/>
                <w:lang w:val="uk-UA"/>
              </w:rPr>
            </w:pPr>
            <w:r w:rsidRPr="00E16672">
              <w:rPr>
                <w:rFonts w:ascii="Times New Roman" w:hAnsi="Times New Roman" w:cs="Times New Roman"/>
                <w:color w:val="000000"/>
                <w:sz w:val="16"/>
                <w:szCs w:val="16"/>
                <w:lang w:val="uk-UA"/>
              </w:rPr>
              <w:t xml:space="preserve">10.5. </w:t>
            </w:r>
            <w:r w:rsidRPr="00E16672">
              <w:rPr>
                <w:rFonts w:ascii="Times New Roman" w:hAnsi="Times New Roman" w:cs="Times New Roman"/>
                <w:sz w:val="16"/>
                <w:szCs w:val="16"/>
                <w:lang w:val="uk-UA"/>
              </w:rPr>
              <w:t>Кваліфікований</w:t>
            </w:r>
            <w:r w:rsidRPr="00E16672" w:rsidDel="00047AE1">
              <w:rPr>
                <w:rFonts w:ascii="Times New Roman" w:hAnsi="Times New Roman" w:cs="Times New Roman"/>
                <w:sz w:val="16"/>
                <w:szCs w:val="16"/>
                <w:lang w:val="uk-UA"/>
              </w:rPr>
              <w:t xml:space="preserve"> </w:t>
            </w:r>
            <w:r w:rsidRPr="00E16672">
              <w:rPr>
                <w:rFonts w:ascii="Times New Roman" w:hAnsi="Times New Roman" w:cs="Times New Roman"/>
                <w:color w:val="000000"/>
                <w:sz w:val="16"/>
                <w:szCs w:val="16"/>
                <w:lang w:val="uk-UA"/>
              </w:rPr>
              <w:t>електронний підпис за правовим статусом прирівнюється до власноручного підпису (печатки) особи, яка його вчинила</w:t>
            </w:r>
            <w:r w:rsidRPr="00E16672">
              <w:rPr>
                <w:rFonts w:ascii="Times New Roman" w:hAnsi="Times New Roman" w:cs="Times New Roman"/>
                <w:sz w:val="16"/>
                <w:lang w:val="uk-UA"/>
              </w:rPr>
              <w:t>, згідно законодавства та цього Договору</w:t>
            </w:r>
            <w:r w:rsidRPr="00E16672">
              <w:rPr>
                <w:rFonts w:ascii="Times New Roman" w:hAnsi="Times New Roman" w:cs="Times New Roman"/>
                <w:color w:val="000000"/>
                <w:sz w:val="16"/>
                <w:szCs w:val="16"/>
                <w:lang w:val="uk-UA"/>
              </w:rPr>
              <w:t>. Юридична сила електронного документа не може бути заперечена виключно через те, що він має електронну форму.</w:t>
            </w:r>
          </w:p>
          <w:p w14:paraId="7FB5FFAF" w14:textId="77777777" w:rsidR="005C5318" w:rsidRPr="00E16672" w:rsidRDefault="005C5318" w:rsidP="005C5318">
            <w:pPr>
              <w:pStyle w:val="33"/>
              <w:tabs>
                <w:tab w:val="left" w:pos="851"/>
              </w:tabs>
              <w:snapToGrid w:val="0"/>
              <w:ind w:left="175" w:right="138"/>
              <w:rPr>
                <w:rFonts w:ascii="Times New Roman" w:hAnsi="Times New Roman" w:cs="Times New Roman"/>
                <w:color w:val="000000"/>
                <w:sz w:val="16"/>
                <w:szCs w:val="16"/>
                <w:lang w:val="uk-UA"/>
              </w:rPr>
            </w:pPr>
          </w:p>
        </w:tc>
        <w:tc>
          <w:tcPr>
            <w:tcW w:w="5495" w:type="dxa"/>
            <w:gridSpan w:val="6"/>
            <w:shd w:val="clear" w:color="auto" w:fill="auto"/>
          </w:tcPr>
          <w:p w14:paraId="041ED1B1" w14:textId="77777777" w:rsidR="005C5318" w:rsidRPr="00E16672" w:rsidRDefault="005C5318" w:rsidP="005C5318">
            <w:pPr>
              <w:tabs>
                <w:tab w:val="left" w:pos="287"/>
              </w:tabs>
              <w:snapToGrid w:val="0"/>
              <w:ind w:left="145" w:right="100" w:firstLine="0"/>
              <w:rPr>
                <w:rFonts w:ascii="Times New Roman" w:hAnsi="Times New Roman"/>
                <w:color w:val="000000"/>
                <w:sz w:val="16"/>
                <w:szCs w:val="16"/>
                <w:shd w:val="clear" w:color="auto" w:fill="FFFFFF"/>
                <w:lang w:val="en-GB"/>
              </w:rPr>
            </w:pPr>
            <w:r w:rsidRPr="00E16672">
              <w:rPr>
                <w:rFonts w:ascii="Times New Roman" w:hAnsi="Times New Roman"/>
                <w:color w:val="000000"/>
                <w:sz w:val="16"/>
                <w:szCs w:val="16"/>
                <w:shd w:val="clear" w:color="auto" w:fill="FFFFFF"/>
                <w:lang w:val="uk-UA"/>
              </w:rPr>
              <w:t xml:space="preserve">10.5. </w:t>
            </w:r>
            <w:r w:rsidRPr="00F23413">
              <w:rPr>
                <w:rStyle w:val="shorttext"/>
                <w:rFonts w:ascii="Times New Roman" w:hAnsi="Times New Roman"/>
                <w:sz w:val="16"/>
                <w:szCs w:val="16"/>
                <w:lang w:val="en-US"/>
              </w:rPr>
              <w:t>Qualified</w:t>
            </w:r>
            <w:r w:rsidRPr="00E16672">
              <w:rPr>
                <w:rStyle w:val="shorttext"/>
                <w:rFonts w:ascii="Times New Roman" w:hAnsi="Times New Roman"/>
                <w:sz w:val="16"/>
                <w:szCs w:val="16"/>
                <w:lang w:val="uk-UA"/>
              </w:rPr>
              <w:t xml:space="preserve"> </w:t>
            </w:r>
            <w:r w:rsidRPr="00E16672">
              <w:rPr>
                <w:rFonts w:ascii="Times New Roman" w:hAnsi="Times New Roman"/>
                <w:color w:val="000000"/>
                <w:sz w:val="16"/>
                <w:szCs w:val="16"/>
                <w:shd w:val="clear" w:color="auto" w:fill="FFFFFF"/>
                <w:lang w:val="en-US"/>
              </w:rPr>
              <w:t>e</w:t>
            </w:r>
            <w:proofErr w:type="spellStart"/>
            <w:r w:rsidRPr="00E16672">
              <w:rPr>
                <w:rFonts w:ascii="Times New Roman" w:hAnsi="Times New Roman"/>
                <w:color w:val="000000"/>
                <w:sz w:val="16"/>
                <w:szCs w:val="16"/>
                <w:shd w:val="clear" w:color="auto" w:fill="FFFFFF"/>
                <w:lang w:val="en-GB"/>
              </w:rPr>
              <w:t>lectronic</w:t>
            </w:r>
            <w:proofErr w:type="spellEnd"/>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digital</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signature</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for</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legal</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status</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equivalent</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to</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a</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handwritten</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signature</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seal</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of</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the</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person</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who</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committed it</w:t>
            </w:r>
            <w:r w:rsidRPr="00E16672">
              <w:rPr>
                <w:rFonts w:ascii="Times New Roman" w:hAnsi="Times New Roman"/>
                <w:color w:val="000000"/>
                <w:sz w:val="16"/>
                <w:szCs w:val="16"/>
                <w:shd w:val="clear" w:color="auto" w:fill="FFFFFF"/>
                <w:lang w:val="uk-UA"/>
              </w:rPr>
              <w:t xml:space="preserve"> </w:t>
            </w:r>
            <w:r w:rsidRPr="00F23413">
              <w:rPr>
                <w:rStyle w:val="shorttext"/>
                <w:rFonts w:ascii="Times New Roman" w:hAnsi="Times New Roman"/>
                <w:sz w:val="16"/>
                <w:lang w:val="en-US"/>
              </w:rPr>
              <w:t>according to the law</w:t>
            </w:r>
            <w:r w:rsidRPr="00E16672">
              <w:rPr>
                <w:rStyle w:val="shorttext"/>
                <w:rFonts w:ascii="Times New Roman" w:hAnsi="Times New Roman"/>
                <w:sz w:val="16"/>
                <w:lang w:val="uk-UA"/>
              </w:rPr>
              <w:t xml:space="preserve"> </w:t>
            </w:r>
            <w:r w:rsidRPr="00F23413">
              <w:rPr>
                <w:rStyle w:val="shorttext"/>
                <w:rFonts w:ascii="Times New Roman" w:hAnsi="Times New Roman"/>
                <w:sz w:val="16"/>
                <w:szCs w:val="16"/>
                <w:lang w:val="en-US"/>
              </w:rPr>
              <w:t>and this Agreement</w:t>
            </w:r>
            <w:r w:rsidRPr="00E16672">
              <w:rPr>
                <w:rFonts w:ascii="Times New Roman" w:hAnsi="Times New Roman"/>
                <w:color w:val="000000"/>
                <w:sz w:val="16"/>
                <w:szCs w:val="16"/>
                <w:shd w:val="clear" w:color="auto" w:fill="FFFFFF"/>
                <w:lang w:val="en-GB"/>
              </w:rPr>
              <w:t>. Legal validity of electronic document may be objections solely because it has electronic form.</w:t>
            </w:r>
          </w:p>
          <w:p w14:paraId="2D5F232E" w14:textId="77777777" w:rsidR="005C5318" w:rsidRPr="00E16672" w:rsidRDefault="005C5318" w:rsidP="005C5318">
            <w:pPr>
              <w:tabs>
                <w:tab w:val="left" w:pos="287"/>
              </w:tabs>
              <w:snapToGrid w:val="0"/>
              <w:ind w:left="145" w:right="100"/>
              <w:rPr>
                <w:rFonts w:ascii="Times New Roman" w:hAnsi="Times New Roman"/>
                <w:color w:val="000000"/>
                <w:sz w:val="16"/>
                <w:szCs w:val="16"/>
                <w:shd w:val="clear" w:color="auto" w:fill="FFFFFF"/>
                <w:lang w:val="en-GB"/>
              </w:rPr>
            </w:pPr>
          </w:p>
        </w:tc>
      </w:tr>
      <w:tr w:rsidR="005C5318" w:rsidRPr="00F23413" w14:paraId="0F1E7A45" w14:textId="77777777" w:rsidTr="005E418B">
        <w:trPr>
          <w:trHeight w:val="192"/>
        </w:trPr>
        <w:tc>
          <w:tcPr>
            <w:tcW w:w="5695" w:type="dxa"/>
            <w:gridSpan w:val="6"/>
            <w:shd w:val="clear" w:color="auto" w:fill="auto"/>
          </w:tcPr>
          <w:p w14:paraId="59700F5E" w14:textId="77777777" w:rsidR="005C5318" w:rsidRPr="00E16672" w:rsidRDefault="005C5318" w:rsidP="005C5318">
            <w:pPr>
              <w:pStyle w:val="33"/>
              <w:tabs>
                <w:tab w:val="left" w:pos="851"/>
              </w:tabs>
              <w:snapToGrid w:val="0"/>
              <w:ind w:left="175" w:right="138" w:firstLine="0"/>
              <w:rPr>
                <w:rFonts w:ascii="Times New Roman" w:hAnsi="Times New Roman" w:cs="Times New Roman"/>
                <w:color w:val="000000"/>
                <w:sz w:val="16"/>
                <w:szCs w:val="16"/>
                <w:lang w:val="uk-UA"/>
              </w:rPr>
            </w:pPr>
            <w:r w:rsidRPr="00E16672">
              <w:rPr>
                <w:rFonts w:ascii="Times New Roman" w:hAnsi="Times New Roman" w:cs="Times New Roman"/>
                <w:color w:val="000000"/>
                <w:sz w:val="16"/>
                <w:szCs w:val="16"/>
                <w:lang w:val="uk-UA"/>
              </w:rPr>
              <w:t xml:space="preserve">10.6. </w:t>
            </w:r>
            <w:proofErr w:type="spellStart"/>
            <w:r w:rsidRPr="00E16672">
              <w:rPr>
                <w:rFonts w:ascii="Times New Roman" w:hAnsi="Times New Roman" w:cs="Times New Roman"/>
                <w:color w:val="000000"/>
                <w:sz w:val="16"/>
                <w:szCs w:val="16"/>
                <w:lang w:val="uk-UA"/>
              </w:rPr>
              <w:t>Підписувач</w:t>
            </w:r>
            <w:proofErr w:type="spellEnd"/>
            <w:r w:rsidRPr="00E16672">
              <w:rPr>
                <w:rFonts w:ascii="Times New Roman" w:hAnsi="Times New Roman" w:cs="Times New Roman"/>
                <w:color w:val="000000"/>
                <w:sz w:val="16"/>
                <w:szCs w:val="16"/>
                <w:lang w:val="uk-UA"/>
              </w:rPr>
              <w:t xml:space="preserve"> - </w:t>
            </w:r>
            <w:proofErr w:type="spellStart"/>
            <w:r w:rsidRPr="00E16672">
              <w:rPr>
                <w:rStyle w:val="rvts0"/>
                <w:rFonts w:ascii="Times New Roman" w:hAnsi="Times New Roman" w:cs="Times New Roman"/>
                <w:sz w:val="16"/>
                <w:szCs w:val="16"/>
              </w:rPr>
              <w:t>фізична</w:t>
            </w:r>
            <w:proofErr w:type="spellEnd"/>
            <w:r w:rsidRPr="00E16672">
              <w:rPr>
                <w:rStyle w:val="rvts0"/>
                <w:rFonts w:ascii="Times New Roman" w:hAnsi="Times New Roman" w:cs="Times New Roman"/>
                <w:sz w:val="16"/>
                <w:szCs w:val="16"/>
              </w:rPr>
              <w:t xml:space="preserve"> особа, яка </w:t>
            </w:r>
            <w:proofErr w:type="spellStart"/>
            <w:r w:rsidRPr="00E16672">
              <w:rPr>
                <w:rStyle w:val="rvts0"/>
                <w:rFonts w:ascii="Times New Roman" w:hAnsi="Times New Roman" w:cs="Times New Roman"/>
                <w:sz w:val="16"/>
                <w:szCs w:val="16"/>
              </w:rPr>
              <w:t>створює</w:t>
            </w:r>
            <w:proofErr w:type="spellEnd"/>
            <w:r w:rsidRPr="00E16672">
              <w:rPr>
                <w:rStyle w:val="rvts0"/>
                <w:rFonts w:ascii="Times New Roman" w:hAnsi="Times New Roman" w:cs="Times New Roman"/>
                <w:sz w:val="16"/>
                <w:szCs w:val="16"/>
              </w:rPr>
              <w:t xml:space="preserve"> </w:t>
            </w:r>
            <w:proofErr w:type="spellStart"/>
            <w:r w:rsidRPr="00E16672">
              <w:rPr>
                <w:rStyle w:val="rvts0"/>
                <w:rFonts w:ascii="Times New Roman" w:hAnsi="Times New Roman" w:cs="Times New Roman"/>
                <w:sz w:val="16"/>
                <w:szCs w:val="16"/>
              </w:rPr>
              <w:t>електронний</w:t>
            </w:r>
            <w:proofErr w:type="spellEnd"/>
            <w:r w:rsidRPr="00E16672">
              <w:rPr>
                <w:rStyle w:val="rvts0"/>
                <w:rFonts w:ascii="Times New Roman" w:hAnsi="Times New Roman" w:cs="Times New Roman"/>
                <w:sz w:val="16"/>
                <w:szCs w:val="16"/>
              </w:rPr>
              <w:t xml:space="preserve"> </w:t>
            </w:r>
            <w:proofErr w:type="spellStart"/>
            <w:r w:rsidRPr="00E16672">
              <w:rPr>
                <w:rStyle w:val="rvts0"/>
                <w:rFonts w:ascii="Times New Roman" w:hAnsi="Times New Roman" w:cs="Times New Roman"/>
                <w:sz w:val="16"/>
                <w:szCs w:val="16"/>
              </w:rPr>
              <w:t>підпис</w:t>
            </w:r>
            <w:proofErr w:type="spellEnd"/>
            <w:r w:rsidRPr="00E16672">
              <w:rPr>
                <w:rFonts w:ascii="Times New Roman" w:hAnsi="Times New Roman" w:cs="Times New Roman"/>
                <w:color w:val="000000"/>
                <w:sz w:val="16"/>
                <w:szCs w:val="16"/>
                <w:lang w:val="uk-UA"/>
              </w:rPr>
              <w:t>.</w:t>
            </w:r>
          </w:p>
          <w:p w14:paraId="3B0A6BC1" w14:textId="77777777" w:rsidR="005C5318" w:rsidRPr="00E16672" w:rsidRDefault="005C5318" w:rsidP="005C5318">
            <w:pPr>
              <w:pStyle w:val="33"/>
              <w:tabs>
                <w:tab w:val="left" w:pos="851"/>
              </w:tabs>
              <w:snapToGrid w:val="0"/>
              <w:ind w:left="175" w:right="138"/>
              <w:rPr>
                <w:rFonts w:ascii="Times New Roman" w:hAnsi="Times New Roman" w:cs="Times New Roman"/>
                <w:color w:val="000000"/>
                <w:sz w:val="16"/>
                <w:szCs w:val="16"/>
                <w:lang w:val="uk-UA"/>
              </w:rPr>
            </w:pPr>
          </w:p>
        </w:tc>
        <w:tc>
          <w:tcPr>
            <w:tcW w:w="5495" w:type="dxa"/>
            <w:gridSpan w:val="6"/>
            <w:shd w:val="clear" w:color="auto" w:fill="auto"/>
          </w:tcPr>
          <w:p w14:paraId="19D4A674" w14:textId="77777777" w:rsidR="005C5318" w:rsidRPr="00E16672" w:rsidRDefault="005C5318" w:rsidP="005C5318">
            <w:pPr>
              <w:tabs>
                <w:tab w:val="left" w:pos="287"/>
              </w:tabs>
              <w:snapToGrid w:val="0"/>
              <w:ind w:left="145" w:right="100" w:firstLine="0"/>
              <w:rPr>
                <w:rFonts w:ascii="Times New Roman" w:hAnsi="Times New Roman"/>
                <w:color w:val="000000"/>
                <w:sz w:val="16"/>
                <w:szCs w:val="16"/>
                <w:shd w:val="clear" w:color="auto" w:fill="FFFFFF"/>
                <w:lang w:val="uk-UA"/>
              </w:rPr>
            </w:pPr>
            <w:r w:rsidRPr="00E16672">
              <w:rPr>
                <w:rFonts w:ascii="Times New Roman" w:hAnsi="Times New Roman"/>
                <w:color w:val="000000"/>
                <w:sz w:val="16"/>
                <w:szCs w:val="16"/>
                <w:shd w:val="clear" w:color="auto" w:fill="FFFFFF"/>
                <w:lang w:val="uk-UA"/>
              </w:rPr>
              <w:t xml:space="preserve">10.6. </w:t>
            </w:r>
            <w:r w:rsidRPr="00E16672">
              <w:rPr>
                <w:rFonts w:ascii="Times New Roman" w:hAnsi="Times New Roman"/>
                <w:color w:val="000000"/>
                <w:sz w:val="16"/>
                <w:szCs w:val="16"/>
                <w:shd w:val="clear" w:color="auto" w:fill="FFFFFF"/>
                <w:lang w:val="en-GB"/>
              </w:rPr>
              <w:t>Signer</w:t>
            </w:r>
            <w:r w:rsidRPr="00E16672">
              <w:rPr>
                <w:rFonts w:ascii="Times New Roman" w:hAnsi="Times New Roman"/>
                <w:color w:val="000000"/>
                <w:sz w:val="16"/>
                <w:szCs w:val="16"/>
                <w:shd w:val="clear" w:color="auto" w:fill="FFFFFF"/>
                <w:lang w:val="uk-UA"/>
              </w:rPr>
              <w:t xml:space="preserve"> - </w:t>
            </w:r>
            <w:r w:rsidRPr="00E16672">
              <w:rPr>
                <w:rFonts w:ascii="Times New Roman" w:hAnsi="Times New Roman"/>
                <w:color w:val="000000"/>
                <w:sz w:val="16"/>
                <w:szCs w:val="16"/>
                <w:shd w:val="clear" w:color="auto" w:fill="FFFFFF"/>
                <w:lang w:val="en-GB"/>
              </w:rPr>
              <w:t>a</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sz w:val="16"/>
                <w:szCs w:val="14"/>
                <w:lang w:val="en-US"/>
              </w:rPr>
              <w:t>physical</w:t>
            </w:r>
            <w:r w:rsidRPr="00E16672">
              <w:rPr>
                <w:rFonts w:ascii="Times New Roman" w:hAnsi="Times New Roman"/>
                <w:b/>
                <w:sz w:val="16"/>
                <w:szCs w:val="14"/>
                <w:lang w:val="uk-UA"/>
              </w:rPr>
              <w:t xml:space="preserve"> </w:t>
            </w:r>
            <w:r w:rsidRPr="00E16672">
              <w:rPr>
                <w:rFonts w:ascii="Times New Roman" w:hAnsi="Times New Roman"/>
                <w:color w:val="000000"/>
                <w:sz w:val="16"/>
                <w:szCs w:val="16"/>
                <w:shd w:val="clear" w:color="auto" w:fill="FFFFFF"/>
                <w:lang w:val="en-GB"/>
              </w:rPr>
              <w:t>person</w:t>
            </w:r>
            <w:r w:rsidRPr="00E16672">
              <w:rPr>
                <w:rFonts w:ascii="Times New Roman" w:hAnsi="Times New Roman"/>
                <w:color w:val="000000"/>
                <w:sz w:val="16"/>
                <w:szCs w:val="16"/>
                <w:shd w:val="clear" w:color="auto" w:fill="FFFFFF"/>
                <w:lang w:val="uk-UA"/>
              </w:rPr>
              <w:t xml:space="preserve"> </w:t>
            </w:r>
            <w:r w:rsidRPr="00F23413">
              <w:rPr>
                <w:rStyle w:val="shorttext"/>
                <w:rFonts w:ascii="Times New Roman" w:hAnsi="Times New Roman"/>
                <w:sz w:val="16"/>
                <w:szCs w:val="16"/>
                <w:lang w:val="en-US"/>
              </w:rPr>
              <w:t>who</w:t>
            </w:r>
            <w:r w:rsidRPr="00E16672">
              <w:rPr>
                <w:rStyle w:val="shorttext"/>
                <w:rFonts w:ascii="Times New Roman" w:hAnsi="Times New Roman"/>
                <w:sz w:val="16"/>
                <w:szCs w:val="16"/>
                <w:lang w:val="uk-UA"/>
              </w:rPr>
              <w:t xml:space="preserve"> </w:t>
            </w:r>
            <w:r w:rsidRPr="00F23413">
              <w:rPr>
                <w:rStyle w:val="shorttext"/>
                <w:rFonts w:ascii="Times New Roman" w:hAnsi="Times New Roman"/>
                <w:sz w:val="16"/>
                <w:szCs w:val="16"/>
                <w:lang w:val="en-US"/>
              </w:rPr>
              <w:t>creates</w:t>
            </w:r>
            <w:r w:rsidRPr="00E16672">
              <w:rPr>
                <w:rStyle w:val="shorttext"/>
                <w:rFonts w:ascii="Times New Roman" w:hAnsi="Times New Roman"/>
                <w:sz w:val="16"/>
                <w:szCs w:val="16"/>
                <w:lang w:val="uk-UA"/>
              </w:rPr>
              <w:t xml:space="preserve"> </w:t>
            </w:r>
            <w:r w:rsidRPr="00F23413">
              <w:rPr>
                <w:rStyle w:val="shorttext"/>
                <w:rFonts w:ascii="Times New Roman" w:hAnsi="Times New Roman"/>
                <w:sz w:val="16"/>
                <w:szCs w:val="16"/>
                <w:lang w:val="en-US"/>
              </w:rPr>
              <w:t>an</w:t>
            </w:r>
            <w:r w:rsidRPr="00E16672">
              <w:rPr>
                <w:rStyle w:val="shorttext"/>
                <w:rFonts w:ascii="Times New Roman" w:hAnsi="Times New Roman"/>
                <w:sz w:val="16"/>
                <w:szCs w:val="16"/>
                <w:lang w:val="uk-UA"/>
              </w:rPr>
              <w:t xml:space="preserve"> </w:t>
            </w:r>
            <w:r w:rsidRPr="00F23413">
              <w:rPr>
                <w:rStyle w:val="shorttext"/>
                <w:rFonts w:ascii="Times New Roman" w:hAnsi="Times New Roman"/>
                <w:sz w:val="16"/>
                <w:szCs w:val="16"/>
                <w:lang w:val="en-US"/>
              </w:rPr>
              <w:t>electronic</w:t>
            </w:r>
            <w:r w:rsidRPr="00E16672">
              <w:rPr>
                <w:rStyle w:val="shorttext"/>
                <w:rFonts w:ascii="Times New Roman" w:hAnsi="Times New Roman"/>
                <w:sz w:val="16"/>
                <w:szCs w:val="16"/>
                <w:lang w:val="uk-UA"/>
              </w:rPr>
              <w:t xml:space="preserve"> </w:t>
            </w:r>
            <w:r w:rsidRPr="00F23413">
              <w:rPr>
                <w:rStyle w:val="shorttext"/>
                <w:rFonts w:ascii="Times New Roman" w:hAnsi="Times New Roman"/>
                <w:sz w:val="16"/>
                <w:szCs w:val="16"/>
                <w:lang w:val="en-US"/>
              </w:rPr>
              <w:t>signature</w:t>
            </w:r>
            <w:r w:rsidRPr="00E16672">
              <w:rPr>
                <w:rFonts w:ascii="Times New Roman" w:hAnsi="Times New Roman"/>
                <w:color w:val="000000"/>
                <w:sz w:val="16"/>
                <w:szCs w:val="16"/>
                <w:shd w:val="clear" w:color="auto" w:fill="FFFFFF"/>
                <w:lang w:val="uk-UA"/>
              </w:rPr>
              <w:t>.</w:t>
            </w:r>
          </w:p>
          <w:p w14:paraId="0E0273BB" w14:textId="77777777" w:rsidR="005C5318" w:rsidRPr="00E16672" w:rsidRDefault="005C5318" w:rsidP="005C5318">
            <w:pPr>
              <w:tabs>
                <w:tab w:val="left" w:pos="287"/>
              </w:tabs>
              <w:snapToGrid w:val="0"/>
              <w:ind w:left="145" w:right="100"/>
              <w:rPr>
                <w:rFonts w:ascii="Times New Roman" w:hAnsi="Times New Roman"/>
                <w:color w:val="000000"/>
                <w:sz w:val="16"/>
                <w:szCs w:val="16"/>
                <w:shd w:val="clear" w:color="auto" w:fill="FFFFFF"/>
                <w:lang w:val="uk-UA"/>
              </w:rPr>
            </w:pPr>
          </w:p>
        </w:tc>
      </w:tr>
      <w:tr w:rsidR="005C5318" w:rsidRPr="00F23413" w14:paraId="028283E3" w14:textId="77777777" w:rsidTr="005E418B">
        <w:trPr>
          <w:trHeight w:val="192"/>
        </w:trPr>
        <w:tc>
          <w:tcPr>
            <w:tcW w:w="5695" w:type="dxa"/>
            <w:gridSpan w:val="6"/>
            <w:shd w:val="clear" w:color="auto" w:fill="auto"/>
          </w:tcPr>
          <w:p w14:paraId="1F45586C" w14:textId="77777777" w:rsidR="005C5318" w:rsidRPr="00E16672" w:rsidRDefault="005C5318" w:rsidP="005C5318">
            <w:pPr>
              <w:pStyle w:val="33"/>
              <w:tabs>
                <w:tab w:val="left" w:pos="851"/>
              </w:tabs>
              <w:snapToGrid w:val="0"/>
              <w:ind w:left="175" w:right="138" w:firstLine="0"/>
              <w:rPr>
                <w:rFonts w:ascii="Times New Roman" w:hAnsi="Times New Roman" w:cs="Times New Roman"/>
                <w:color w:val="000000"/>
                <w:sz w:val="16"/>
                <w:szCs w:val="16"/>
                <w:lang w:val="uk-UA"/>
              </w:rPr>
            </w:pPr>
            <w:r w:rsidRPr="00E16672">
              <w:rPr>
                <w:rFonts w:ascii="Times New Roman" w:hAnsi="Times New Roman" w:cs="Times New Roman"/>
                <w:color w:val="000000"/>
                <w:sz w:val="16"/>
                <w:szCs w:val="16"/>
                <w:lang w:val="uk-UA"/>
              </w:rPr>
              <w:t xml:space="preserve">10.7. Адресат - </w:t>
            </w:r>
            <w:r w:rsidRPr="00E16672">
              <w:rPr>
                <w:rFonts w:ascii="Times New Roman" w:hAnsi="Times New Roman" w:cs="Times New Roman"/>
                <w:sz w:val="16"/>
                <w:szCs w:val="16"/>
                <w:lang w:val="uk-UA"/>
              </w:rPr>
              <w:t>фізична  або  юридична  особа,  якій  адресується електронний документ</w:t>
            </w:r>
            <w:r w:rsidRPr="00E16672">
              <w:rPr>
                <w:rFonts w:ascii="Times New Roman" w:hAnsi="Times New Roman" w:cs="Times New Roman"/>
                <w:color w:val="000000"/>
                <w:sz w:val="16"/>
                <w:szCs w:val="16"/>
                <w:lang w:val="uk-UA"/>
              </w:rPr>
              <w:t>.</w:t>
            </w:r>
          </w:p>
          <w:p w14:paraId="425DF948" w14:textId="77777777" w:rsidR="005C5318" w:rsidRPr="00E16672" w:rsidRDefault="005C5318" w:rsidP="005C5318">
            <w:pPr>
              <w:pStyle w:val="33"/>
              <w:tabs>
                <w:tab w:val="left" w:pos="851"/>
              </w:tabs>
              <w:snapToGrid w:val="0"/>
              <w:ind w:left="175" w:right="138"/>
              <w:rPr>
                <w:rFonts w:ascii="Times New Roman" w:hAnsi="Times New Roman" w:cs="Times New Roman"/>
                <w:color w:val="000000"/>
                <w:sz w:val="16"/>
                <w:szCs w:val="16"/>
                <w:lang w:val="uk-UA"/>
              </w:rPr>
            </w:pPr>
          </w:p>
        </w:tc>
        <w:tc>
          <w:tcPr>
            <w:tcW w:w="5495" w:type="dxa"/>
            <w:gridSpan w:val="6"/>
            <w:shd w:val="clear" w:color="auto" w:fill="auto"/>
          </w:tcPr>
          <w:p w14:paraId="2A311507" w14:textId="77777777" w:rsidR="005C5318" w:rsidRPr="00E16672" w:rsidRDefault="005C5318" w:rsidP="005C5318">
            <w:pPr>
              <w:tabs>
                <w:tab w:val="left" w:pos="287"/>
              </w:tabs>
              <w:snapToGrid w:val="0"/>
              <w:ind w:left="145" w:right="100" w:firstLine="0"/>
              <w:rPr>
                <w:rFonts w:ascii="Times New Roman" w:hAnsi="Times New Roman"/>
                <w:color w:val="000000"/>
                <w:sz w:val="16"/>
                <w:szCs w:val="16"/>
                <w:shd w:val="clear" w:color="auto" w:fill="FFFFFF"/>
                <w:lang w:val="uk-UA"/>
              </w:rPr>
            </w:pPr>
            <w:r w:rsidRPr="00E16672">
              <w:rPr>
                <w:rFonts w:ascii="Times New Roman" w:hAnsi="Times New Roman"/>
                <w:color w:val="000000"/>
                <w:sz w:val="16"/>
                <w:szCs w:val="16"/>
                <w:shd w:val="clear" w:color="auto" w:fill="FFFFFF"/>
                <w:lang w:val="uk-UA"/>
              </w:rPr>
              <w:t xml:space="preserve">10.7. </w:t>
            </w:r>
            <w:r w:rsidRPr="00E16672">
              <w:rPr>
                <w:rFonts w:ascii="Times New Roman" w:hAnsi="Times New Roman"/>
                <w:color w:val="000000"/>
                <w:sz w:val="16"/>
                <w:szCs w:val="16"/>
                <w:shd w:val="clear" w:color="auto" w:fill="FFFFFF"/>
                <w:lang w:val="en-GB"/>
              </w:rPr>
              <w:t>Recipient</w:t>
            </w:r>
            <w:r w:rsidRPr="00E16672">
              <w:rPr>
                <w:rFonts w:ascii="Times New Roman" w:hAnsi="Times New Roman"/>
                <w:color w:val="000000"/>
                <w:sz w:val="16"/>
                <w:szCs w:val="16"/>
                <w:shd w:val="clear" w:color="auto" w:fill="FFFFFF"/>
                <w:lang w:val="uk-UA"/>
              </w:rPr>
              <w:t xml:space="preserve"> - </w:t>
            </w:r>
            <w:r w:rsidRPr="00F23413">
              <w:rPr>
                <w:rFonts w:ascii="Times New Roman" w:hAnsi="Times New Roman"/>
                <w:sz w:val="16"/>
                <w:szCs w:val="16"/>
                <w:lang w:val="en-US"/>
              </w:rPr>
              <w:t>the</w:t>
            </w:r>
            <w:r w:rsidRPr="00E16672">
              <w:rPr>
                <w:rFonts w:ascii="Times New Roman" w:hAnsi="Times New Roman"/>
                <w:sz w:val="16"/>
                <w:szCs w:val="16"/>
                <w:lang w:val="uk-UA"/>
              </w:rPr>
              <w:t xml:space="preserve"> </w:t>
            </w:r>
            <w:r w:rsidRPr="00F23413">
              <w:rPr>
                <w:rFonts w:ascii="Times New Roman" w:hAnsi="Times New Roman"/>
                <w:sz w:val="16"/>
                <w:szCs w:val="16"/>
                <w:lang w:val="en-US"/>
              </w:rPr>
              <w:t>physical</w:t>
            </w:r>
            <w:r w:rsidRPr="00E16672">
              <w:rPr>
                <w:rFonts w:ascii="Times New Roman" w:hAnsi="Times New Roman"/>
                <w:sz w:val="16"/>
                <w:szCs w:val="16"/>
                <w:lang w:val="uk-UA"/>
              </w:rPr>
              <w:t xml:space="preserve"> </w:t>
            </w:r>
            <w:r w:rsidRPr="00F23413">
              <w:rPr>
                <w:rFonts w:ascii="Times New Roman" w:hAnsi="Times New Roman"/>
                <w:sz w:val="16"/>
                <w:szCs w:val="16"/>
                <w:lang w:val="en-US"/>
              </w:rPr>
              <w:t>or</w:t>
            </w:r>
            <w:r w:rsidRPr="00E16672">
              <w:rPr>
                <w:rFonts w:ascii="Times New Roman" w:hAnsi="Times New Roman"/>
                <w:sz w:val="16"/>
                <w:szCs w:val="16"/>
                <w:lang w:val="uk-UA"/>
              </w:rPr>
              <w:t xml:space="preserve"> </w:t>
            </w:r>
            <w:r w:rsidRPr="00F23413">
              <w:rPr>
                <w:rFonts w:ascii="Times New Roman" w:hAnsi="Times New Roman"/>
                <w:sz w:val="16"/>
                <w:szCs w:val="16"/>
                <w:lang w:val="en-US"/>
              </w:rPr>
              <w:t>legal</w:t>
            </w:r>
            <w:r w:rsidRPr="00E16672">
              <w:rPr>
                <w:rFonts w:ascii="Times New Roman" w:hAnsi="Times New Roman"/>
                <w:sz w:val="16"/>
                <w:szCs w:val="16"/>
                <w:lang w:val="uk-UA"/>
              </w:rPr>
              <w:t xml:space="preserve"> </w:t>
            </w:r>
            <w:r w:rsidRPr="00F23413">
              <w:rPr>
                <w:rFonts w:ascii="Times New Roman" w:hAnsi="Times New Roman"/>
                <w:sz w:val="16"/>
                <w:szCs w:val="16"/>
                <w:lang w:val="en-US"/>
              </w:rPr>
              <w:t>person</w:t>
            </w:r>
            <w:r w:rsidRPr="00E16672">
              <w:rPr>
                <w:rFonts w:ascii="Times New Roman" w:hAnsi="Times New Roman"/>
                <w:sz w:val="16"/>
                <w:szCs w:val="16"/>
                <w:lang w:val="uk-UA"/>
              </w:rPr>
              <w:t xml:space="preserve"> </w:t>
            </w:r>
            <w:r w:rsidRPr="00F23413">
              <w:rPr>
                <w:rFonts w:ascii="Times New Roman" w:hAnsi="Times New Roman"/>
                <w:sz w:val="16"/>
                <w:szCs w:val="16"/>
                <w:lang w:val="en-US"/>
              </w:rPr>
              <w:t>to</w:t>
            </w:r>
            <w:r w:rsidRPr="00E16672">
              <w:rPr>
                <w:rFonts w:ascii="Times New Roman" w:hAnsi="Times New Roman"/>
                <w:sz w:val="16"/>
                <w:szCs w:val="16"/>
                <w:lang w:val="uk-UA"/>
              </w:rPr>
              <w:t xml:space="preserve"> </w:t>
            </w:r>
            <w:r w:rsidRPr="00F23413">
              <w:rPr>
                <w:rFonts w:ascii="Times New Roman" w:hAnsi="Times New Roman"/>
                <w:sz w:val="16"/>
                <w:szCs w:val="16"/>
                <w:lang w:val="en-US"/>
              </w:rPr>
              <w:t>whom</w:t>
            </w:r>
            <w:r w:rsidRPr="00E16672">
              <w:rPr>
                <w:rFonts w:ascii="Times New Roman" w:hAnsi="Times New Roman"/>
                <w:sz w:val="16"/>
                <w:szCs w:val="16"/>
                <w:lang w:val="uk-UA"/>
              </w:rPr>
              <w:t xml:space="preserve"> </w:t>
            </w:r>
            <w:r w:rsidRPr="00F23413">
              <w:rPr>
                <w:rFonts w:ascii="Times New Roman" w:hAnsi="Times New Roman"/>
                <w:sz w:val="16"/>
                <w:szCs w:val="16"/>
                <w:lang w:val="en-US"/>
              </w:rPr>
              <w:t>the</w:t>
            </w:r>
            <w:r w:rsidRPr="00E16672">
              <w:rPr>
                <w:rFonts w:ascii="Times New Roman" w:hAnsi="Times New Roman"/>
                <w:sz w:val="16"/>
                <w:szCs w:val="16"/>
                <w:lang w:val="uk-UA"/>
              </w:rPr>
              <w:t xml:space="preserve"> </w:t>
            </w:r>
            <w:r w:rsidRPr="00F23413">
              <w:rPr>
                <w:rFonts w:ascii="Times New Roman" w:hAnsi="Times New Roman"/>
                <w:sz w:val="16"/>
                <w:szCs w:val="16"/>
                <w:lang w:val="en-US"/>
              </w:rPr>
              <w:t>electronic</w:t>
            </w:r>
            <w:r w:rsidRPr="00E16672">
              <w:rPr>
                <w:rFonts w:ascii="Times New Roman" w:hAnsi="Times New Roman"/>
                <w:sz w:val="16"/>
                <w:szCs w:val="16"/>
                <w:lang w:val="uk-UA"/>
              </w:rPr>
              <w:t xml:space="preserve"> </w:t>
            </w:r>
            <w:r w:rsidRPr="00F23413">
              <w:rPr>
                <w:rFonts w:ascii="Times New Roman" w:hAnsi="Times New Roman"/>
                <w:sz w:val="16"/>
                <w:szCs w:val="16"/>
                <w:lang w:val="en-US"/>
              </w:rPr>
              <w:t>document</w:t>
            </w:r>
            <w:r w:rsidRPr="00E16672">
              <w:rPr>
                <w:rFonts w:ascii="Times New Roman" w:hAnsi="Times New Roman"/>
                <w:sz w:val="16"/>
                <w:szCs w:val="16"/>
                <w:lang w:val="uk-UA"/>
              </w:rPr>
              <w:t xml:space="preserve"> </w:t>
            </w:r>
            <w:r w:rsidRPr="00F23413">
              <w:rPr>
                <w:rFonts w:ascii="Times New Roman" w:hAnsi="Times New Roman"/>
                <w:sz w:val="16"/>
                <w:szCs w:val="16"/>
                <w:lang w:val="en-US"/>
              </w:rPr>
              <w:t>is</w:t>
            </w:r>
            <w:r w:rsidRPr="00E16672">
              <w:rPr>
                <w:rFonts w:ascii="Times New Roman" w:hAnsi="Times New Roman"/>
                <w:sz w:val="16"/>
                <w:szCs w:val="16"/>
                <w:lang w:val="uk-UA"/>
              </w:rPr>
              <w:t xml:space="preserve"> </w:t>
            </w:r>
            <w:r w:rsidRPr="00F23413">
              <w:rPr>
                <w:rFonts w:ascii="Times New Roman" w:hAnsi="Times New Roman"/>
                <w:sz w:val="16"/>
                <w:szCs w:val="16"/>
                <w:lang w:val="en-US"/>
              </w:rPr>
              <w:t>addressed</w:t>
            </w:r>
            <w:r w:rsidRPr="00E16672">
              <w:rPr>
                <w:rFonts w:ascii="Times New Roman" w:hAnsi="Times New Roman"/>
                <w:color w:val="000000"/>
                <w:sz w:val="16"/>
                <w:szCs w:val="16"/>
                <w:shd w:val="clear" w:color="auto" w:fill="FFFFFF"/>
                <w:lang w:val="uk-UA"/>
              </w:rPr>
              <w:t>.</w:t>
            </w:r>
          </w:p>
          <w:p w14:paraId="3800672A" w14:textId="77777777" w:rsidR="005C5318" w:rsidRPr="00E16672" w:rsidRDefault="005C5318" w:rsidP="005C5318">
            <w:pPr>
              <w:tabs>
                <w:tab w:val="left" w:pos="287"/>
              </w:tabs>
              <w:snapToGrid w:val="0"/>
              <w:ind w:left="145" w:right="100"/>
              <w:rPr>
                <w:rFonts w:ascii="Times New Roman" w:hAnsi="Times New Roman"/>
                <w:color w:val="000000"/>
                <w:sz w:val="16"/>
                <w:szCs w:val="16"/>
                <w:shd w:val="clear" w:color="auto" w:fill="FFFFFF"/>
                <w:lang w:val="uk-UA"/>
              </w:rPr>
            </w:pPr>
          </w:p>
        </w:tc>
      </w:tr>
      <w:tr w:rsidR="005C5318" w:rsidRPr="00F23413" w14:paraId="678F5942" w14:textId="77777777" w:rsidTr="005E418B">
        <w:trPr>
          <w:trHeight w:val="192"/>
        </w:trPr>
        <w:tc>
          <w:tcPr>
            <w:tcW w:w="5695" w:type="dxa"/>
            <w:gridSpan w:val="6"/>
            <w:shd w:val="clear" w:color="auto" w:fill="auto"/>
          </w:tcPr>
          <w:p w14:paraId="640A55D5" w14:textId="77777777" w:rsidR="005C5318" w:rsidRPr="00E16672" w:rsidRDefault="005C5318" w:rsidP="005C5318">
            <w:pPr>
              <w:pStyle w:val="33"/>
              <w:tabs>
                <w:tab w:val="left" w:pos="851"/>
              </w:tabs>
              <w:snapToGrid w:val="0"/>
              <w:ind w:left="175" w:right="138" w:firstLine="0"/>
              <w:rPr>
                <w:rFonts w:ascii="Times New Roman" w:hAnsi="Times New Roman" w:cs="Times New Roman"/>
                <w:color w:val="000000"/>
                <w:sz w:val="16"/>
                <w:szCs w:val="16"/>
                <w:lang w:val="uk-UA"/>
              </w:rPr>
            </w:pPr>
            <w:r w:rsidRPr="00E16672">
              <w:rPr>
                <w:rFonts w:ascii="Times New Roman" w:hAnsi="Times New Roman" w:cs="Times New Roman"/>
                <w:color w:val="000000"/>
                <w:sz w:val="16"/>
                <w:szCs w:val="16"/>
                <w:lang w:val="uk-UA"/>
              </w:rPr>
              <w:t xml:space="preserve">10.8. </w:t>
            </w:r>
            <w:r w:rsidRPr="00E16672">
              <w:rPr>
                <w:rFonts w:ascii="Times New Roman" w:hAnsi="Times New Roman" w:cs="Times New Roman"/>
                <w:sz w:val="16"/>
                <w:szCs w:val="16"/>
                <w:lang w:val="uk-UA"/>
              </w:rPr>
              <w:t>Кваліфікований</w:t>
            </w:r>
            <w:r w:rsidRPr="00E16672" w:rsidDel="00047AE1">
              <w:rPr>
                <w:rFonts w:ascii="Times New Roman" w:hAnsi="Times New Roman" w:cs="Times New Roman"/>
                <w:sz w:val="16"/>
                <w:szCs w:val="16"/>
                <w:lang w:val="uk-UA"/>
              </w:rPr>
              <w:t xml:space="preserve"> </w:t>
            </w:r>
            <w:r w:rsidRPr="00E16672">
              <w:rPr>
                <w:rFonts w:ascii="Times New Roman" w:hAnsi="Times New Roman" w:cs="Times New Roman"/>
                <w:color w:val="000000"/>
                <w:sz w:val="16"/>
                <w:szCs w:val="16"/>
                <w:lang w:val="uk-UA"/>
              </w:rPr>
              <w:t xml:space="preserve">електронний підпис вважається таким, що відповідає сертифікату відкритого ключа, якщо особистий ключ </w:t>
            </w:r>
            <w:proofErr w:type="spellStart"/>
            <w:r w:rsidRPr="00E16672">
              <w:rPr>
                <w:rFonts w:ascii="Times New Roman" w:hAnsi="Times New Roman" w:cs="Times New Roman"/>
                <w:color w:val="000000"/>
                <w:sz w:val="16"/>
                <w:szCs w:val="16"/>
                <w:lang w:val="uk-UA"/>
              </w:rPr>
              <w:t>підписувача</w:t>
            </w:r>
            <w:proofErr w:type="spellEnd"/>
            <w:r w:rsidRPr="00E16672">
              <w:rPr>
                <w:rFonts w:ascii="Times New Roman" w:hAnsi="Times New Roman" w:cs="Times New Roman"/>
                <w:color w:val="000000"/>
                <w:sz w:val="16"/>
                <w:szCs w:val="16"/>
                <w:lang w:val="uk-UA"/>
              </w:rPr>
              <w:t xml:space="preserve">, використаний при формуванні </w:t>
            </w:r>
            <w:r w:rsidRPr="00E16672">
              <w:rPr>
                <w:rFonts w:ascii="Times New Roman" w:hAnsi="Times New Roman" w:cs="Times New Roman"/>
                <w:sz w:val="16"/>
                <w:lang w:val="uk-UA"/>
              </w:rPr>
              <w:t>кваліфікованого</w:t>
            </w:r>
            <w:r w:rsidRPr="00E16672" w:rsidDel="00047AE1">
              <w:rPr>
                <w:rFonts w:ascii="Times New Roman" w:hAnsi="Times New Roman" w:cs="Times New Roman"/>
                <w:sz w:val="16"/>
                <w:lang w:val="uk-UA"/>
              </w:rPr>
              <w:t xml:space="preserve"> </w:t>
            </w:r>
            <w:r w:rsidRPr="00E16672">
              <w:rPr>
                <w:rFonts w:ascii="Times New Roman" w:hAnsi="Times New Roman" w:cs="Times New Roman"/>
                <w:color w:val="000000"/>
                <w:sz w:val="16"/>
                <w:szCs w:val="16"/>
                <w:lang w:val="uk-UA"/>
              </w:rPr>
              <w:t>електронного підпису, відповідає відкритому ключу, зазначеному у сертифікаті.</w:t>
            </w:r>
          </w:p>
          <w:p w14:paraId="7B8BB953" w14:textId="77777777" w:rsidR="005C5318" w:rsidRPr="00E16672" w:rsidRDefault="005C5318" w:rsidP="005C5318">
            <w:pPr>
              <w:pStyle w:val="33"/>
              <w:tabs>
                <w:tab w:val="left" w:pos="851"/>
              </w:tabs>
              <w:ind w:left="175" w:right="138"/>
              <w:rPr>
                <w:rFonts w:ascii="Times New Roman" w:hAnsi="Times New Roman" w:cs="Times New Roman"/>
                <w:color w:val="000000"/>
                <w:sz w:val="16"/>
                <w:szCs w:val="16"/>
                <w:lang w:val="uk-UA"/>
              </w:rPr>
            </w:pPr>
          </w:p>
        </w:tc>
        <w:tc>
          <w:tcPr>
            <w:tcW w:w="5495" w:type="dxa"/>
            <w:gridSpan w:val="6"/>
            <w:shd w:val="clear" w:color="auto" w:fill="auto"/>
          </w:tcPr>
          <w:p w14:paraId="3A519A0B" w14:textId="77777777" w:rsidR="005C5318" w:rsidRPr="00E16672" w:rsidRDefault="005C5318" w:rsidP="005C5318">
            <w:pPr>
              <w:tabs>
                <w:tab w:val="left" w:pos="287"/>
              </w:tabs>
              <w:snapToGrid w:val="0"/>
              <w:ind w:left="145" w:right="100" w:firstLine="0"/>
              <w:rPr>
                <w:rFonts w:ascii="Times New Roman" w:hAnsi="Times New Roman"/>
                <w:color w:val="000000"/>
                <w:sz w:val="16"/>
                <w:szCs w:val="16"/>
                <w:shd w:val="clear" w:color="auto" w:fill="FFFFFF"/>
                <w:lang w:val="en-GB"/>
              </w:rPr>
            </w:pPr>
            <w:r w:rsidRPr="00E16672">
              <w:rPr>
                <w:rFonts w:ascii="Times New Roman" w:hAnsi="Times New Roman"/>
                <w:color w:val="000000"/>
                <w:sz w:val="16"/>
                <w:szCs w:val="16"/>
                <w:shd w:val="clear" w:color="auto" w:fill="FFFFFF"/>
                <w:lang w:val="uk-UA"/>
              </w:rPr>
              <w:t xml:space="preserve">10.8. </w:t>
            </w:r>
            <w:r w:rsidRPr="00F23413">
              <w:rPr>
                <w:rStyle w:val="shorttext"/>
                <w:rFonts w:ascii="Times New Roman" w:hAnsi="Times New Roman"/>
                <w:sz w:val="16"/>
                <w:szCs w:val="16"/>
                <w:lang w:val="en-US"/>
              </w:rPr>
              <w:t>Qualified</w:t>
            </w:r>
            <w:r w:rsidRPr="00E16672">
              <w:rPr>
                <w:rStyle w:val="shorttext"/>
                <w:rFonts w:ascii="Times New Roman" w:hAnsi="Times New Roman"/>
                <w:sz w:val="16"/>
                <w:szCs w:val="16"/>
                <w:lang w:val="uk-UA"/>
              </w:rPr>
              <w:t xml:space="preserve"> </w:t>
            </w:r>
            <w:r w:rsidRPr="00E16672">
              <w:rPr>
                <w:rFonts w:ascii="Times New Roman" w:hAnsi="Times New Roman"/>
                <w:color w:val="000000"/>
                <w:sz w:val="16"/>
                <w:szCs w:val="16"/>
                <w:shd w:val="clear" w:color="auto" w:fill="FFFFFF"/>
                <w:lang w:val="en-GB"/>
              </w:rPr>
              <w:t>electronic</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digital</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Signature</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deemed</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to</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match</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certificate</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public</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key</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if</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private</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key</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of</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signer</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used</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 xml:space="preserve">when </w:t>
            </w:r>
            <w:proofErr w:type="gramStart"/>
            <w:r w:rsidRPr="00E16672">
              <w:rPr>
                <w:rFonts w:ascii="Times New Roman" w:hAnsi="Times New Roman"/>
                <w:color w:val="000000"/>
                <w:sz w:val="16"/>
                <w:szCs w:val="16"/>
                <w:shd w:val="clear" w:color="auto" w:fill="FFFFFF"/>
                <w:lang w:val="en-GB"/>
              </w:rPr>
              <w:t xml:space="preserve">forming  </w:t>
            </w:r>
            <w:r w:rsidRPr="00F23413">
              <w:rPr>
                <w:rStyle w:val="shorttext"/>
                <w:rFonts w:ascii="Times New Roman" w:hAnsi="Times New Roman"/>
                <w:sz w:val="16"/>
                <w:szCs w:val="16"/>
                <w:lang w:val="en-US"/>
              </w:rPr>
              <w:t>qualified</w:t>
            </w:r>
            <w:proofErr w:type="gramEnd"/>
            <w:r w:rsidRPr="00E16672">
              <w:rPr>
                <w:rStyle w:val="shorttext"/>
                <w:rFonts w:ascii="Times New Roman" w:hAnsi="Times New Roman"/>
                <w:sz w:val="16"/>
                <w:szCs w:val="16"/>
                <w:lang w:val="uk-UA"/>
              </w:rPr>
              <w:t xml:space="preserve"> </w:t>
            </w:r>
            <w:r w:rsidRPr="00E16672">
              <w:rPr>
                <w:rFonts w:ascii="Times New Roman" w:hAnsi="Times New Roman"/>
                <w:color w:val="000000"/>
                <w:sz w:val="16"/>
                <w:szCs w:val="16"/>
                <w:shd w:val="clear" w:color="auto" w:fill="FFFFFF"/>
                <w:lang w:val="en-GB"/>
              </w:rPr>
              <w:t>electronic signature matches the public key specified in the certificate.</w:t>
            </w:r>
          </w:p>
        </w:tc>
      </w:tr>
      <w:tr w:rsidR="005C5318" w:rsidRPr="00F23413" w14:paraId="1AE972D8" w14:textId="77777777" w:rsidTr="005E418B">
        <w:trPr>
          <w:trHeight w:val="192"/>
        </w:trPr>
        <w:tc>
          <w:tcPr>
            <w:tcW w:w="5695" w:type="dxa"/>
            <w:gridSpan w:val="6"/>
            <w:shd w:val="clear" w:color="auto" w:fill="auto"/>
          </w:tcPr>
          <w:p w14:paraId="01601AD6" w14:textId="77777777" w:rsidR="005C5318" w:rsidRPr="00E16672" w:rsidRDefault="005C5318" w:rsidP="005C5318">
            <w:pPr>
              <w:pStyle w:val="33"/>
              <w:tabs>
                <w:tab w:val="left" w:pos="851"/>
              </w:tabs>
              <w:snapToGrid w:val="0"/>
              <w:ind w:left="175" w:right="138" w:firstLine="0"/>
              <w:rPr>
                <w:rFonts w:ascii="Times New Roman" w:hAnsi="Times New Roman" w:cs="Times New Roman"/>
                <w:color w:val="000000"/>
                <w:sz w:val="16"/>
                <w:szCs w:val="16"/>
                <w:lang w:val="uk-UA"/>
              </w:rPr>
            </w:pPr>
            <w:r w:rsidRPr="00E16672">
              <w:rPr>
                <w:rFonts w:ascii="Times New Roman" w:hAnsi="Times New Roman" w:cs="Times New Roman"/>
                <w:color w:val="000000"/>
                <w:sz w:val="16"/>
                <w:szCs w:val="16"/>
                <w:lang w:val="uk-UA"/>
              </w:rPr>
              <w:t xml:space="preserve">10.9. Відповідно до цього Договору Сторони зобов'язуються визнавати </w:t>
            </w:r>
            <w:proofErr w:type="spellStart"/>
            <w:r w:rsidRPr="00E16672">
              <w:rPr>
                <w:rFonts w:ascii="Times New Roman" w:hAnsi="Times New Roman" w:cs="Times New Roman"/>
                <w:sz w:val="16"/>
                <w:lang w:val="uk-UA"/>
              </w:rPr>
              <w:t>кваліфікованbq</w:t>
            </w:r>
            <w:proofErr w:type="spellEnd"/>
            <w:r w:rsidRPr="00E16672" w:rsidDel="00047AE1">
              <w:rPr>
                <w:rFonts w:ascii="Times New Roman" w:hAnsi="Times New Roman" w:cs="Times New Roman"/>
                <w:sz w:val="16"/>
                <w:lang w:val="uk-UA"/>
              </w:rPr>
              <w:t xml:space="preserve"> </w:t>
            </w:r>
            <w:r w:rsidRPr="00E16672">
              <w:rPr>
                <w:rFonts w:ascii="Times New Roman" w:hAnsi="Times New Roman" w:cs="Times New Roman"/>
                <w:color w:val="000000"/>
                <w:sz w:val="16"/>
                <w:szCs w:val="16"/>
                <w:lang w:val="uk-UA"/>
              </w:rPr>
              <w:t>електронний підпис як такий, що надає юридичної сили електронним документам, сформованим з його використанням.</w:t>
            </w:r>
          </w:p>
          <w:p w14:paraId="5EF23FC2" w14:textId="77777777" w:rsidR="005C5318" w:rsidRPr="00E16672" w:rsidRDefault="005C5318" w:rsidP="005C5318">
            <w:pPr>
              <w:pStyle w:val="33"/>
              <w:tabs>
                <w:tab w:val="left" w:pos="851"/>
              </w:tabs>
              <w:ind w:left="175" w:right="138"/>
              <w:rPr>
                <w:rFonts w:ascii="Times New Roman" w:hAnsi="Times New Roman" w:cs="Times New Roman"/>
                <w:color w:val="000000"/>
                <w:sz w:val="16"/>
                <w:szCs w:val="16"/>
                <w:lang w:val="uk-UA"/>
              </w:rPr>
            </w:pPr>
          </w:p>
        </w:tc>
        <w:tc>
          <w:tcPr>
            <w:tcW w:w="5495" w:type="dxa"/>
            <w:gridSpan w:val="6"/>
            <w:shd w:val="clear" w:color="auto" w:fill="auto"/>
          </w:tcPr>
          <w:p w14:paraId="0E84E247" w14:textId="77777777" w:rsidR="005C5318" w:rsidRPr="00E16672" w:rsidRDefault="005C5318" w:rsidP="005C5318">
            <w:pPr>
              <w:tabs>
                <w:tab w:val="left" w:pos="287"/>
              </w:tabs>
              <w:snapToGrid w:val="0"/>
              <w:ind w:left="145" w:right="100" w:firstLine="0"/>
              <w:rPr>
                <w:rFonts w:ascii="Times New Roman" w:hAnsi="Times New Roman"/>
                <w:color w:val="000000"/>
                <w:sz w:val="16"/>
                <w:szCs w:val="16"/>
                <w:shd w:val="clear" w:color="auto" w:fill="FFFFFF"/>
                <w:lang w:val="en-GB"/>
              </w:rPr>
            </w:pPr>
            <w:r w:rsidRPr="00E16672">
              <w:rPr>
                <w:rFonts w:ascii="Times New Roman" w:hAnsi="Times New Roman"/>
                <w:color w:val="000000"/>
                <w:sz w:val="16"/>
                <w:szCs w:val="16"/>
                <w:shd w:val="clear" w:color="auto" w:fill="FFFFFF"/>
                <w:lang w:val="uk-UA"/>
              </w:rPr>
              <w:t xml:space="preserve">10.9.  </w:t>
            </w:r>
            <w:r w:rsidRPr="00E16672">
              <w:rPr>
                <w:rFonts w:ascii="Times New Roman" w:hAnsi="Times New Roman"/>
                <w:color w:val="000000"/>
                <w:sz w:val="16"/>
                <w:szCs w:val="16"/>
                <w:shd w:val="clear" w:color="auto" w:fill="FFFFFF"/>
                <w:lang w:val="en-GB"/>
              </w:rPr>
              <w:t>According</w:t>
            </w:r>
            <w:r w:rsidRPr="00E16672">
              <w:rPr>
                <w:rFonts w:ascii="Times New Roman" w:hAnsi="Times New Roman"/>
                <w:color w:val="000000"/>
                <w:sz w:val="16"/>
                <w:szCs w:val="16"/>
                <w:shd w:val="clear" w:color="auto" w:fill="FFFFFF"/>
                <w:lang w:val="uk-UA"/>
              </w:rPr>
              <w:t xml:space="preserve"> </w:t>
            </w:r>
            <w:proofErr w:type="spellStart"/>
            <w:r w:rsidRPr="00E16672">
              <w:rPr>
                <w:rFonts w:ascii="Times New Roman" w:hAnsi="Times New Roman"/>
                <w:color w:val="000000"/>
                <w:sz w:val="16"/>
                <w:szCs w:val="16"/>
                <w:shd w:val="clear" w:color="auto" w:fill="FFFFFF"/>
                <w:lang w:val="en-GB"/>
              </w:rPr>
              <w:t>tor</w:t>
            </w:r>
            <w:proofErr w:type="spellEnd"/>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this</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Agreement</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the</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Parties</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undertake</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to</w:t>
            </w:r>
            <w:r w:rsidRPr="00E16672">
              <w:rPr>
                <w:rFonts w:ascii="Times New Roman" w:hAnsi="Times New Roman"/>
                <w:color w:val="000000"/>
                <w:sz w:val="16"/>
                <w:szCs w:val="16"/>
                <w:shd w:val="clear" w:color="auto" w:fill="FFFFFF"/>
                <w:lang w:val="uk-UA"/>
              </w:rPr>
              <w:t xml:space="preserve"> </w:t>
            </w:r>
            <w:proofErr w:type="gramStart"/>
            <w:r w:rsidRPr="00E16672">
              <w:rPr>
                <w:rFonts w:ascii="Times New Roman" w:hAnsi="Times New Roman"/>
                <w:color w:val="000000"/>
                <w:sz w:val="16"/>
                <w:szCs w:val="16"/>
                <w:shd w:val="clear" w:color="auto" w:fill="FFFFFF"/>
                <w:lang w:val="en-GB"/>
              </w:rPr>
              <w:t>recognize</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the</w:t>
            </w:r>
            <w:proofErr w:type="gramEnd"/>
            <w:r w:rsidRPr="00E16672">
              <w:rPr>
                <w:rFonts w:ascii="Times New Roman" w:hAnsi="Times New Roman"/>
                <w:color w:val="000000"/>
                <w:sz w:val="16"/>
                <w:szCs w:val="16"/>
                <w:shd w:val="clear" w:color="auto" w:fill="FFFFFF"/>
                <w:lang w:val="uk-UA"/>
              </w:rPr>
              <w:t xml:space="preserve"> </w:t>
            </w:r>
            <w:r w:rsidRPr="00F23413">
              <w:rPr>
                <w:rStyle w:val="shorttext"/>
                <w:rFonts w:ascii="Times New Roman" w:hAnsi="Times New Roman"/>
                <w:sz w:val="16"/>
                <w:szCs w:val="16"/>
                <w:lang w:val="en-US"/>
              </w:rPr>
              <w:t>qualified</w:t>
            </w:r>
            <w:r w:rsidRPr="00E16672">
              <w:rPr>
                <w:rStyle w:val="shorttext"/>
                <w:rFonts w:ascii="Times New Roman" w:hAnsi="Times New Roman"/>
                <w:sz w:val="16"/>
                <w:szCs w:val="16"/>
                <w:lang w:val="uk-UA"/>
              </w:rPr>
              <w:t xml:space="preserve"> </w:t>
            </w:r>
            <w:r w:rsidRPr="00E16672">
              <w:rPr>
                <w:rFonts w:ascii="Times New Roman" w:hAnsi="Times New Roman"/>
                <w:color w:val="000000"/>
                <w:sz w:val="16"/>
                <w:szCs w:val="16"/>
                <w:shd w:val="clear" w:color="auto" w:fill="FFFFFF"/>
                <w:lang w:val="en-GB"/>
              </w:rPr>
              <w:t>electronic</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signature</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as</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the</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one</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that gives legal force of electronic documents, formed with it.</w:t>
            </w:r>
          </w:p>
        </w:tc>
      </w:tr>
      <w:tr w:rsidR="005C5318" w:rsidRPr="00F23413" w14:paraId="53CE35C7" w14:textId="77777777" w:rsidTr="005E418B">
        <w:trPr>
          <w:trHeight w:val="192"/>
        </w:trPr>
        <w:tc>
          <w:tcPr>
            <w:tcW w:w="5695" w:type="dxa"/>
            <w:gridSpan w:val="6"/>
            <w:shd w:val="clear" w:color="auto" w:fill="auto"/>
          </w:tcPr>
          <w:p w14:paraId="08E79307" w14:textId="77777777" w:rsidR="005C5318" w:rsidRPr="00E16672" w:rsidRDefault="005C5318" w:rsidP="005C5318">
            <w:pPr>
              <w:pStyle w:val="33"/>
              <w:tabs>
                <w:tab w:val="left" w:pos="851"/>
              </w:tabs>
              <w:snapToGrid w:val="0"/>
              <w:ind w:left="175" w:right="138" w:firstLine="0"/>
              <w:rPr>
                <w:rFonts w:ascii="Times New Roman" w:hAnsi="Times New Roman" w:cs="Times New Roman"/>
                <w:color w:val="000000"/>
                <w:sz w:val="16"/>
                <w:szCs w:val="16"/>
                <w:lang w:val="uk-UA"/>
              </w:rPr>
            </w:pPr>
            <w:r w:rsidRPr="00E16672">
              <w:rPr>
                <w:rFonts w:ascii="Times New Roman" w:hAnsi="Times New Roman" w:cs="Times New Roman"/>
                <w:color w:val="000000"/>
                <w:sz w:val="16"/>
                <w:szCs w:val="16"/>
                <w:lang w:val="uk-UA"/>
              </w:rPr>
              <w:lastRenderedPageBreak/>
              <w:t>10.10. Визнання здійснюється адресатом</w:t>
            </w:r>
            <w:r w:rsidRPr="00E16672" w:rsidDel="00F11330">
              <w:rPr>
                <w:rFonts w:ascii="Times New Roman" w:hAnsi="Times New Roman" w:cs="Times New Roman"/>
                <w:color w:val="000000"/>
                <w:sz w:val="16"/>
                <w:szCs w:val="16"/>
                <w:lang w:val="uk-UA"/>
              </w:rPr>
              <w:t xml:space="preserve"> </w:t>
            </w:r>
            <w:r w:rsidRPr="00E16672">
              <w:rPr>
                <w:rFonts w:ascii="Times New Roman" w:hAnsi="Times New Roman" w:cs="Times New Roman"/>
                <w:color w:val="000000"/>
                <w:sz w:val="16"/>
                <w:szCs w:val="16"/>
                <w:lang w:val="uk-UA"/>
              </w:rPr>
              <w:t xml:space="preserve">щодо кожного окремого електронного документа, наданого </w:t>
            </w:r>
            <w:proofErr w:type="spellStart"/>
            <w:r w:rsidRPr="00E16672">
              <w:rPr>
                <w:rFonts w:ascii="Times New Roman" w:hAnsi="Times New Roman" w:cs="Times New Roman"/>
                <w:color w:val="000000"/>
                <w:sz w:val="16"/>
                <w:szCs w:val="16"/>
                <w:lang w:val="uk-UA"/>
              </w:rPr>
              <w:t>підписувачем</w:t>
            </w:r>
            <w:proofErr w:type="spellEnd"/>
            <w:r w:rsidRPr="00E16672">
              <w:rPr>
                <w:rFonts w:ascii="Times New Roman" w:hAnsi="Times New Roman" w:cs="Times New Roman"/>
                <w:color w:val="000000"/>
                <w:sz w:val="16"/>
                <w:szCs w:val="16"/>
                <w:lang w:val="uk-UA"/>
              </w:rPr>
              <w:t>.</w:t>
            </w:r>
          </w:p>
        </w:tc>
        <w:tc>
          <w:tcPr>
            <w:tcW w:w="5495" w:type="dxa"/>
            <w:gridSpan w:val="6"/>
            <w:shd w:val="clear" w:color="auto" w:fill="auto"/>
          </w:tcPr>
          <w:p w14:paraId="37001CC1" w14:textId="77777777" w:rsidR="005C5318" w:rsidRPr="00E16672" w:rsidRDefault="005C5318" w:rsidP="005C5318">
            <w:pPr>
              <w:tabs>
                <w:tab w:val="left" w:pos="287"/>
              </w:tabs>
              <w:snapToGrid w:val="0"/>
              <w:ind w:left="145" w:right="100" w:firstLine="0"/>
              <w:rPr>
                <w:rFonts w:ascii="Times New Roman" w:hAnsi="Times New Roman"/>
                <w:color w:val="000000"/>
                <w:sz w:val="16"/>
                <w:szCs w:val="16"/>
                <w:shd w:val="clear" w:color="auto" w:fill="FFFFFF"/>
                <w:lang w:val="uk-UA"/>
              </w:rPr>
            </w:pPr>
            <w:r w:rsidRPr="00E16672">
              <w:rPr>
                <w:rFonts w:ascii="Times New Roman" w:hAnsi="Times New Roman"/>
                <w:color w:val="000000"/>
                <w:sz w:val="16"/>
                <w:szCs w:val="16"/>
                <w:shd w:val="clear" w:color="auto" w:fill="FFFFFF"/>
                <w:lang w:val="uk-UA"/>
              </w:rPr>
              <w:t xml:space="preserve">10.10. </w:t>
            </w:r>
            <w:proofErr w:type="gramStart"/>
            <w:r w:rsidRPr="00E16672">
              <w:rPr>
                <w:rFonts w:ascii="Times New Roman" w:hAnsi="Times New Roman"/>
                <w:color w:val="000000"/>
                <w:sz w:val="16"/>
                <w:szCs w:val="16"/>
                <w:shd w:val="clear" w:color="auto" w:fill="FFFFFF"/>
                <w:lang w:val="en-GB"/>
              </w:rPr>
              <w:t>Recognition</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is</w:t>
            </w:r>
            <w:proofErr w:type="gramEnd"/>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made</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by</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recipient</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on</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every</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single</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electronic</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document</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provided</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by</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the</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signer</w:t>
            </w:r>
            <w:r w:rsidRPr="00E16672">
              <w:rPr>
                <w:rFonts w:ascii="Times New Roman" w:hAnsi="Times New Roman"/>
                <w:color w:val="000000"/>
                <w:sz w:val="16"/>
                <w:szCs w:val="16"/>
                <w:shd w:val="clear" w:color="auto" w:fill="FFFFFF"/>
                <w:lang w:val="uk-UA"/>
              </w:rPr>
              <w:t>.</w:t>
            </w:r>
          </w:p>
          <w:p w14:paraId="1A5BEE35" w14:textId="77777777" w:rsidR="005C5318" w:rsidRPr="00E16672" w:rsidRDefault="005C5318" w:rsidP="005C5318">
            <w:pPr>
              <w:tabs>
                <w:tab w:val="left" w:pos="287"/>
              </w:tabs>
              <w:snapToGrid w:val="0"/>
              <w:ind w:left="145" w:right="100"/>
              <w:rPr>
                <w:rFonts w:ascii="Times New Roman" w:hAnsi="Times New Roman"/>
                <w:color w:val="000000"/>
                <w:sz w:val="16"/>
                <w:szCs w:val="16"/>
                <w:shd w:val="clear" w:color="auto" w:fill="FFFFFF"/>
                <w:lang w:val="uk-UA"/>
              </w:rPr>
            </w:pPr>
          </w:p>
        </w:tc>
      </w:tr>
      <w:tr w:rsidR="005C5318" w:rsidRPr="00F23413" w14:paraId="70D3F273" w14:textId="77777777" w:rsidTr="005E418B">
        <w:trPr>
          <w:trHeight w:val="192"/>
        </w:trPr>
        <w:tc>
          <w:tcPr>
            <w:tcW w:w="5695" w:type="dxa"/>
            <w:gridSpan w:val="6"/>
            <w:shd w:val="clear" w:color="auto" w:fill="auto"/>
          </w:tcPr>
          <w:p w14:paraId="28F1FAEC" w14:textId="77777777" w:rsidR="005C5318" w:rsidRPr="00E16672" w:rsidRDefault="005C5318" w:rsidP="005C5318">
            <w:pPr>
              <w:pStyle w:val="33"/>
              <w:tabs>
                <w:tab w:val="left" w:pos="851"/>
              </w:tabs>
              <w:snapToGrid w:val="0"/>
              <w:ind w:left="175" w:right="138" w:firstLine="0"/>
              <w:rPr>
                <w:rFonts w:ascii="Times New Roman" w:hAnsi="Times New Roman" w:cs="Times New Roman"/>
                <w:color w:val="000000"/>
                <w:sz w:val="16"/>
                <w:szCs w:val="16"/>
                <w:lang w:val="uk-UA"/>
              </w:rPr>
            </w:pPr>
            <w:r w:rsidRPr="00E16672">
              <w:rPr>
                <w:rFonts w:ascii="Times New Roman" w:hAnsi="Times New Roman" w:cs="Times New Roman"/>
                <w:color w:val="000000"/>
                <w:sz w:val="16"/>
                <w:szCs w:val="16"/>
                <w:lang w:val="uk-UA"/>
              </w:rPr>
              <w:t xml:space="preserve">10.11. Визнання </w:t>
            </w:r>
            <w:r w:rsidRPr="00E16672">
              <w:rPr>
                <w:rFonts w:ascii="Times New Roman" w:hAnsi="Times New Roman" w:cs="Times New Roman"/>
                <w:sz w:val="16"/>
                <w:szCs w:val="16"/>
                <w:lang w:val="uk-UA"/>
              </w:rPr>
              <w:t>кваліфікованого</w:t>
            </w:r>
            <w:r w:rsidRPr="00E16672" w:rsidDel="00047AE1">
              <w:rPr>
                <w:rFonts w:ascii="Times New Roman" w:hAnsi="Times New Roman" w:cs="Times New Roman"/>
                <w:lang w:val="uk-UA"/>
              </w:rPr>
              <w:t xml:space="preserve"> </w:t>
            </w:r>
            <w:r w:rsidRPr="00E16672">
              <w:rPr>
                <w:rFonts w:ascii="Times New Roman" w:hAnsi="Times New Roman" w:cs="Times New Roman"/>
                <w:color w:val="000000"/>
                <w:sz w:val="16"/>
                <w:szCs w:val="16"/>
                <w:lang w:val="uk-UA"/>
              </w:rPr>
              <w:t xml:space="preserve">електронного підпису - визначення відповідності </w:t>
            </w:r>
            <w:r w:rsidRPr="00E16672">
              <w:rPr>
                <w:rFonts w:ascii="Times New Roman" w:hAnsi="Times New Roman" w:cs="Times New Roman"/>
                <w:sz w:val="16"/>
                <w:szCs w:val="16"/>
                <w:lang w:val="uk-UA"/>
              </w:rPr>
              <w:t>кваліфікованого</w:t>
            </w:r>
            <w:r w:rsidRPr="00E16672" w:rsidDel="00047AE1">
              <w:rPr>
                <w:rFonts w:ascii="Times New Roman" w:hAnsi="Times New Roman" w:cs="Times New Roman"/>
                <w:lang w:val="uk-UA"/>
              </w:rPr>
              <w:t xml:space="preserve"> </w:t>
            </w:r>
            <w:r w:rsidRPr="00E16672">
              <w:rPr>
                <w:rFonts w:ascii="Times New Roman" w:hAnsi="Times New Roman" w:cs="Times New Roman"/>
                <w:color w:val="000000"/>
                <w:sz w:val="16"/>
                <w:szCs w:val="16"/>
                <w:lang w:val="uk-UA"/>
              </w:rPr>
              <w:t xml:space="preserve">електронного підпису сертифікату відкритого ключа </w:t>
            </w:r>
            <w:proofErr w:type="spellStart"/>
            <w:r w:rsidRPr="00E16672">
              <w:rPr>
                <w:rFonts w:ascii="Times New Roman" w:hAnsi="Times New Roman" w:cs="Times New Roman"/>
                <w:color w:val="000000"/>
                <w:sz w:val="16"/>
                <w:szCs w:val="16"/>
                <w:lang w:val="uk-UA"/>
              </w:rPr>
              <w:t>підписувача</w:t>
            </w:r>
            <w:proofErr w:type="spellEnd"/>
            <w:r w:rsidRPr="00E16672">
              <w:rPr>
                <w:rFonts w:ascii="Times New Roman" w:hAnsi="Times New Roman" w:cs="Times New Roman"/>
                <w:color w:val="000000"/>
                <w:sz w:val="16"/>
                <w:szCs w:val="16"/>
                <w:lang w:val="uk-UA"/>
              </w:rPr>
              <w:t>, який є чинним, та визнання підпису таким, що надає юридичної сили отриманим стороною електронним документам, сформованим з його використанням.</w:t>
            </w:r>
          </w:p>
        </w:tc>
        <w:tc>
          <w:tcPr>
            <w:tcW w:w="5495" w:type="dxa"/>
            <w:gridSpan w:val="6"/>
            <w:shd w:val="clear" w:color="auto" w:fill="auto"/>
          </w:tcPr>
          <w:p w14:paraId="6633EB3A" w14:textId="77777777" w:rsidR="005C5318" w:rsidRPr="00E16672" w:rsidRDefault="005C5318" w:rsidP="005C5318">
            <w:pPr>
              <w:tabs>
                <w:tab w:val="left" w:pos="287"/>
              </w:tabs>
              <w:snapToGrid w:val="0"/>
              <w:ind w:left="145" w:right="100" w:firstLine="0"/>
              <w:rPr>
                <w:rFonts w:ascii="Times New Roman" w:hAnsi="Times New Roman"/>
                <w:color w:val="000000"/>
                <w:sz w:val="16"/>
                <w:szCs w:val="16"/>
                <w:shd w:val="clear" w:color="auto" w:fill="FFFFFF"/>
                <w:lang w:val="en-GB"/>
              </w:rPr>
            </w:pPr>
            <w:r w:rsidRPr="00E16672">
              <w:rPr>
                <w:rFonts w:ascii="Times New Roman" w:hAnsi="Times New Roman"/>
                <w:color w:val="000000"/>
                <w:sz w:val="16"/>
                <w:szCs w:val="16"/>
                <w:shd w:val="clear" w:color="auto" w:fill="FFFFFF"/>
                <w:lang w:val="uk-UA"/>
              </w:rPr>
              <w:t xml:space="preserve">10.11. </w:t>
            </w:r>
            <w:r w:rsidRPr="00E16672">
              <w:rPr>
                <w:rFonts w:ascii="Times New Roman" w:hAnsi="Times New Roman"/>
                <w:color w:val="000000"/>
                <w:sz w:val="16"/>
                <w:szCs w:val="16"/>
                <w:shd w:val="clear" w:color="auto" w:fill="FFFFFF"/>
                <w:lang w:val="en-GB"/>
              </w:rPr>
              <w:t>The</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recognition</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of</w:t>
            </w:r>
            <w:r w:rsidRPr="00E16672">
              <w:rPr>
                <w:rFonts w:ascii="Times New Roman" w:hAnsi="Times New Roman"/>
                <w:color w:val="000000"/>
                <w:sz w:val="16"/>
                <w:szCs w:val="16"/>
                <w:shd w:val="clear" w:color="auto" w:fill="FFFFFF"/>
                <w:lang w:val="uk-UA"/>
              </w:rPr>
              <w:t xml:space="preserve"> </w:t>
            </w:r>
            <w:r w:rsidRPr="00F23413">
              <w:rPr>
                <w:rStyle w:val="shorttext"/>
                <w:rFonts w:ascii="Times New Roman" w:hAnsi="Times New Roman"/>
                <w:sz w:val="16"/>
                <w:szCs w:val="16"/>
                <w:lang w:val="en-US"/>
              </w:rPr>
              <w:t>qualified</w:t>
            </w:r>
            <w:r w:rsidRPr="00E16672">
              <w:rPr>
                <w:rStyle w:val="shorttext"/>
                <w:rFonts w:ascii="Times New Roman" w:hAnsi="Times New Roman"/>
                <w:sz w:val="16"/>
                <w:szCs w:val="16"/>
                <w:lang w:val="uk-UA"/>
              </w:rPr>
              <w:t xml:space="preserve"> </w:t>
            </w:r>
            <w:r w:rsidRPr="00E16672">
              <w:rPr>
                <w:rFonts w:ascii="Times New Roman" w:hAnsi="Times New Roman"/>
                <w:color w:val="000000"/>
                <w:sz w:val="16"/>
                <w:szCs w:val="16"/>
                <w:shd w:val="clear" w:color="auto" w:fill="FFFFFF"/>
                <w:lang w:val="en-GB"/>
              </w:rPr>
              <w:t>electronic</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signature</w:t>
            </w:r>
            <w:r w:rsidRPr="00E16672">
              <w:rPr>
                <w:rFonts w:ascii="Times New Roman" w:hAnsi="Times New Roman"/>
                <w:color w:val="000000"/>
                <w:sz w:val="16"/>
                <w:szCs w:val="16"/>
                <w:shd w:val="clear" w:color="auto" w:fill="FFFFFF"/>
                <w:lang w:val="uk-UA"/>
              </w:rPr>
              <w:t xml:space="preserve"> - </w:t>
            </w:r>
            <w:r w:rsidRPr="00E16672">
              <w:rPr>
                <w:rFonts w:ascii="Times New Roman" w:hAnsi="Times New Roman"/>
                <w:color w:val="000000"/>
                <w:sz w:val="16"/>
                <w:szCs w:val="16"/>
                <w:shd w:val="clear" w:color="auto" w:fill="FFFFFF"/>
                <w:lang w:val="en-GB"/>
              </w:rPr>
              <w:t>determine</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whether</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the</w:t>
            </w:r>
            <w:r w:rsidRPr="00E16672">
              <w:rPr>
                <w:rFonts w:ascii="Times New Roman" w:hAnsi="Times New Roman"/>
                <w:color w:val="000000"/>
                <w:sz w:val="16"/>
                <w:szCs w:val="16"/>
                <w:shd w:val="clear" w:color="auto" w:fill="FFFFFF"/>
                <w:lang w:val="uk-UA"/>
              </w:rPr>
              <w:t xml:space="preserve"> </w:t>
            </w:r>
            <w:r w:rsidRPr="00F23413">
              <w:rPr>
                <w:rStyle w:val="shorttext"/>
                <w:rFonts w:ascii="Times New Roman" w:hAnsi="Times New Roman"/>
                <w:sz w:val="16"/>
                <w:szCs w:val="16"/>
                <w:lang w:val="en-US"/>
              </w:rPr>
              <w:t>qualified</w:t>
            </w:r>
            <w:r w:rsidRPr="00E16672">
              <w:rPr>
                <w:rStyle w:val="shorttext"/>
                <w:rFonts w:ascii="Times New Roman" w:hAnsi="Times New Roman"/>
                <w:sz w:val="16"/>
                <w:szCs w:val="16"/>
                <w:lang w:val="uk-UA"/>
              </w:rPr>
              <w:t xml:space="preserve"> </w:t>
            </w:r>
            <w:r w:rsidRPr="00E16672">
              <w:rPr>
                <w:rFonts w:ascii="Times New Roman" w:hAnsi="Times New Roman"/>
                <w:color w:val="000000"/>
                <w:sz w:val="16"/>
                <w:szCs w:val="16"/>
                <w:shd w:val="clear" w:color="auto" w:fill="FFFFFF"/>
                <w:lang w:val="en-GB"/>
              </w:rPr>
              <w:t>electronic</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signature certificate signer's public key, which is in force and the recognition signature so that gives legal force side received electronic documents generated from its use.</w:t>
            </w:r>
          </w:p>
        </w:tc>
      </w:tr>
      <w:tr w:rsidR="005C5318" w:rsidRPr="00F23413" w14:paraId="30CC091B" w14:textId="77777777" w:rsidTr="005E418B">
        <w:trPr>
          <w:trHeight w:val="192"/>
        </w:trPr>
        <w:tc>
          <w:tcPr>
            <w:tcW w:w="5695" w:type="dxa"/>
            <w:gridSpan w:val="6"/>
            <w:shd w:val="clear" w:color="auto" w:fill="auto"/>
          </w:tcPr>
          <w:p w14:paraId="0E091294" w14:textId="77777777" w:rsidR="005C5318" w:rsidRPr="00E16672" w:rsidRDefault="005C5318" w:rsidP="005C5318">
            <w:pPr>
              <w:snapToGrid w:val="0"/>
              <w:spacing w:before="57" w:after="57"/>
              <w:ind w:left="175" w:right="138"/>
              <w:jc w:val="center"/>
              <w:rPr>
                <w:rFonts w:ascii="Times New Roman" w:hAnsi="Times New Roman"/>
                <w:b/>
                <w:color w:val="000000"/>
                <w:sz w:val="16"/>
                <w:szCs w:val="16"/>
                <w:lang w:val="uk-UA"/>
              </w:rPr>
            </w:pPr>
          </w:p>
          <w:p w14:paraId="0D1A615B" w14:textId="77777777" w:rsidR="005C5318" w:rsidRPr="00E16672" w:rsidRDefault="005C5318" w:rsidP="005C5318">
            <w:pPr>
              <w:snapToGrid w:val="0"/>
              <w:ind w:left="175" w:right="138"/>
              <w:jc w:val="center"/>
              <w:rPr>
                <w:rFonts w:ascii="Times New Roman" w:hAnsi="Times New Roman"/>
                <w:b/>
                <w:color w:val="000000"/>
                <w:sz w:val="16"/>
                <w:szCs w:val="16"/>
                <w:lang w:val="uk-UA"/>
              </w:rPr>
            </w:pPr>
            <w:r w:rsidRPr="00E16672">
              <w:rPr>
                <w:rFonts w:ascii="Times New Roman" w:hAnsi="Times New Roman"/>
                <w:b/>
                <w:color w:val="000000"/>
                <w:sz w:val="16"/>
                <w:szCs w:val="16"/>
                <w:lang w:val="uk-UA"/>
              </w:rPr>
              <w:t>11. Умови</w:t>
            </w:r>
            <w:r w:rsidRPr="00E16672">
              <w:rPr>
                <w:rFonts w:ascii="Times New Roman" w:hAnsi="Times New Roman"/>
                <w:b/>
                <w:color w:val="000000"/>
                <w:sz w:val="16"/>
                <w:szCs w:val="16"/>
              </w:rPr>
              <w:t xml:space="preserve"> </w:t>
            </w:r>
            <w:r w:rsidRPr="00E16672">
              <w:rPr>
                <w:rFonts w:ascii="Times New Roman" w:hAnsi="Times New Roman"/>
                <w:b/>
                <w:color w:val="000000"/>
                <w:sz w:val="16"/>
                <w:szCs w:val="16"/>
                <w:lang w:val="uk-UA"/>
              </w:rPr>
              <w:t>щодо порядку виплати доходів, отриманих депонентом за результатами проведених корпоративних операцій емітента.</w:t>
            </w:r>
          </w:p>
          <w:p w14:paraId="48158C44" w14:textId="77777777" w:rsidR="005C5318" w:rsidRPr="00E16672" w:rsidRDefault="005C5318" w:rsidP="005C5318">
            <w:pPr>
              <w:ind w:left="175" w:right="138"/>
              <w:jc w:val="center"/>
              <w:rPr>
                <w:rFonts w:ascii="Times New Roman" w:hAnsi="Times New Roman"/>
                <w:b/>
                <w:color w:val="000000"/>
                <w:sz w:val="16"/>
                <w:szCs w:val="16"/>
                <w:lang w:val="uk-UA"/>
              </w:rPr>
            </w:pPr>
          </w:p>
          <w:p w14:paraId="7DB2ECFC" w14:textId="77777777" w:rsidR="005C5318" w:rsidRPr="00E16672" w:rsidRDefault="005C5318" w:rsidP="009D3C4B">
            <w:pPr>
              <w:ind w:left="175" w:right="138" w:firstLine="4"/>
              <w:rPr>
                <w:rFonts w:ascii="Times New Roman" w:hAnsi="Times New Roman"/>
                <w:color w:val="000000"/>
                <w:sz w:val="16"/>
                <w:szCs w:val="16"/>
                <w:lang w:val="uk-UA"/>
              </w:rPr>
            </w:pPr>
            <w:r w:rsidRPr="00E16672">
              <w:rPr>
                <w:rFonts w:ascii="Times New Roman" w:hAnsi="Times New Roman"/>
                <w:color w:val="000000"/>
                <w:sz w:val="16"/>
                <w:szCs w:val="16"/>
                <w:lang w:val="uk-UA"/>
              </w:rPr>
              <w:t>11</w:t>
            </w:r>
            <w:r w:rsidR="009D3C4B" w:rsidRPr="00E16672">
              <w:rPr>
                <w:rFonts w:ascii="Times New Roman" w:hAnsi="Times New Roman"/>
                <w:color w:val="000000"/>
                <w:sz w:val="16"/>
                <w:szCs w:val="16"/>
                <w:lang w:val="uk-UA"/>
              </w:rPr>
              <w:t>.</w:t>
            </w:r>
            <w:r w:rsidRPr="00E16672">
              <w:rPr>
                <w:rFonts w:ascii="Times New Roman" w:hAnsi="Times New Roman"/>
                <w:color w:val="000000"/>
                <w:sz w:val="16"/>
                <w:szCs w:val="16"/>
                <w:lang w:val="uk-UA"/>
              </w:rPr>
              <w:t>1. Щодо цінних паперів, облік яких здійснює Центральний депозитарій:</w:t>
            </w:r>
          </w:p>
        </w:tc>
        <w:tc>
          <w:tcPr>
            <w:tcW w:w="5495" w:type="dxa"/>
            <w:gridSpan w:val="6"/>
            <w:shd w:val="clear" w:color="auto" w:fill="auto"/>
          </w:tcPr>
          <w:p w14:paraId="543A690C" w14:textId="77777777" w:rsidR="005C5318" w:rsidRPr="00E16672" w:rsidRDefault="005C5318" w:rsidP="005C5318">
            <w:pPr>
              <w:snapToGrid w:val="0"/>
              <w:ind w:left="175" w:right="138"/>
              <w:jc w:val="center"/>
              <w:rPr>
                <w:rFonts w:ascii="Times New Roman" w:hAnsi="Times New Roman"/>
                <w:color w:val="000000"/>
              </w:rPr>
            </w:pPr>
          </w:p>
          <w:p w14:paraId="5FDCC19B" w14:textId="77777777" w:rsidR="005C5318" w:rsidRPr="00E16672" w:rsidRDefault="005C5318" w:rsidP="005C5318">
            <w:pPr>
              <w:snapToGrid w:val="0"/>
              <w:ind w:left="175" w:right="138"/>
              <w:jc w:val="center"/>
              <w:rPr>
                <w:rFonts w:ascii="Times New Roman" w:hAnsi="Times New Roman"/>
                <w:b/>
                <w:color w:val="000000"/>
                <w:sz w:val="16"/>
                <w:szCs w:val="16"/>
                <w:lang w:val="uk-UA"/>
              </w:rPr>
            </w:pPr>
            <w:r w:rsidRPr="00E16672">
              <w:rPr>
                <w:rFonts w:ascii="Times New Roman" w:hAnsi="Times New Roman"/>
                <w:b/>
                <w:color w:val="000000"/>
                <w:sz w:val="16"/>
                <w:szCs w:val="16"/>
                <w:lang w:val="uk-UA"/>
              </w:rPr>
              <w:t xml:space="preserve">11. </w:t>
            </w:r>
            <w:proofErr w:type="spellStart"/>
            <w:r w:rsidRPr="00E16672">
              <w:rPr>
                <w:rFonts w:ascii="Times New Roman" w:hAnsi="Times New Roman"/>
                <w:b/>
                <w:color w:val="000000"/>
                <w:sz w:val="16"/>
                <w:szCs w:val="16"/>
                <w:lang w:val="uk-UA"/>
              </w:rPr>
              <w:t>Terms</w:t>
            </w:r>
            <w:proofErr w:type="spellEnd"/>
            <w:r w:rsidRPr="00E16672">
              <w:rPr>
                <w:rFonts w:ascii="Times New Roman" w:hAnsi="Times New Roman"/>
                <w:b/>
                <w:color w:val="000000"/>
                <w:sz w:val="16"/>
                <w:szCs w:val="16"/>
                <w:lang w:val="uk-UA"/>
              </w:rPr>
              <w:t xml:space="preserve"> </w:t>
            </w:r>
            <w:proofErr w:type="spellStart"/>
            <w:r w:rsidRPr="00E16672">
              <w:rPr>
                <w:rFonts w:ascii="Times New Roman" w:hAnsi="Times New Roman"/>
                <w:b/>
                <w:color w:val="000000"/>
                <w:sz w:val="16"/>
                <w:szCs w:val="16"/>
                <w:lang w:val="uk-UA"/>
              </w:rPr>
              <w:t>of</w:t>
            </w:r>
            <w:proofErr w:type="spellEnd"/>
            <w:r w:rsidRPr="00E16672">
              <w:rPr>
                <w:rFonts w:ascii="Times New Roman" w:hAnsi="Times New Roman"/>
                <w:b/>
                <w:color w:val="000000"/>
                <w:sz w:val="16"/>
                <w:szCs w:val="16"/>
                <w:lang w:val="uk-UA"/>
              </w:rPr>
              <w:t xml:space="preserve"> </w:t>
            </w:r>
            <w:proofErr w:type="spellStart"/>
            <w:r w:rsidRPr="00E16672">
              <w:rPr>
                <w:rFonts w:ascii="Times New Roman" w:hAnsi="Times New Roman"/>
                <w:b/>
                <w:color w:val="000000"/>
                <w:sz w:val="16"/>
                <w:szCs w:val="16"/>
                <w:lang w:val="uk-UA"/>
              </w:rPr>
              <w:t>procedure</w:t>
            </w:r>
            <w:proofErr w:type="spellEnd"/>
            <w:r w:rsidRPr="00E16672">
              <w:rPr>
                <w:rFonts w:ascii="Times New Roman" w:hAnsi="Times New Roman"/>
                <w:b/>
                <w:color w:val="000000"/>
                <w:sz w:val="16"/>
                <w:szCs w:val="16"/>
                <w:lang w:val="uk-UA"/>
              </w:rPr>
              <w:t xml:space="preserve"> </w:t>
            </w:r>
            <w:proofErr w:type="spellStart"/>
            <w:r w:rsidRPr="00E16672">
              <w:rPr>
                <w:rFonts w:ascii="Times New Roman" w:hAnsi="Times New Roman"/>
                <w:b/>
                <w:color w:val="000000"/>
                <w:sz w:val="16"/>
                <w:szCs w:val="16"/>
                <w:lang w:val="uk-UA"/>
              </w:rPr>
              <w:t>for</w:t>
            </w:r>
            <w:proofErr w:type="spellEnd"/>
            <w:r w:rsidRPr="00E16672">
              <w:rPr>
                <w:rFonts w:ascii="Times New Roman" w:hAnsi="Times New Roman"/>
                <w:b/>
                <w:color w:val="000000"/>
                <w:sz w:val="16"/>
                <w:szCs w:val="16"/>
                <w:lang w:val="uk-UA"/>
              </w:rPr>
              <w:t xml:space="preserve"> </w:t>
            </w:r>
            <w:proofErr w:type="spellStart"/>
            <w:r w:rsidRPr="00E16672">
              <w:rPr>
                <w:rFonts w:ascii="Times New Roman" w:hAnsi="Times New Roman"/>
                <w:b/>
                <w:color w:val="000000"/>
                <w:sz w:val="16"/>
                <w:szCs w:val="16"/>
                <w:lang w:val="uk-UA"/>
              </w:rPr>
              <w:t>paying</w:t>
            </w:r>
            <w:proofErr w:type="spellEnd"/>
            <w:r w:rsidRPr="00E16672">
              <w:rPr>
                <w:rFonts w:ascii="Times New Roman" w:hAnsi="Times New Roman"/>
                <w:b/>
                <w:color w:val="000000"/>
                <w:sz w:val="16"/>
                <w:szCs w:val="16"/>
                <w:lang w:val="uk-UA"/>
              </w:rPr>
              <w:t xml:space="preserve"> </w:t>
            </w:r>
            <w:r w:rsidRPr="00E16672">
              <w:rPr>
                <w:rFonts w:ascii="Times New Roman" w:hAnsi="Times New Roman"/>
                <w:b/>
                <w:color w:val="000000"/>
                <w:sz w:val="16"/>
                <w:szCs w:val="16"/>
                <w:lang w:val="en-US"/>
              </w:rPr>
              <w:t>money</w:t>
            </w:r>
            <w:r w:rsidRPr="00E16672">
              <w:rPr>
                <w:rFonts w:ascii="Times New Roman" w:hAnsi="Times New Roman"/>
                <w:b/>
                <w:color w:val="000000"/>
                <w:sz w:val="16"/>
                <w:szCs w:val="16"/>
                <w:lang w:val="uk-UA"/>
              </w:rPr>
              <w:t xml:space="preserve">, </w:t>
            </w:r>
            <w:proofErr w:type="spellStart"/>
            <w:r w:rsidRPr="00E16672">
              <w:rPr>
                <w:rFonts w:ascii="Times New Roman" w:hAnsi="Times New Roman"/>
                <w:b/>
                <w:color w:val="000000"/>
                <w:sz w:val="16"/>
                <w:szCs w:val="16"/>
                <w:lang w:val="uk-UA"/>
              </w:rPr>
              <w:t>received</w:t>
            </w:r>
            <w:proofErr w:type="spellEnd"/>
            <w:r w:rsidRPr="00E16672">
              <w:rPr>
                <w:rFonts w:ascii="Times New Roman" w:hAnsi="Times New Roman"/>
                <w:b/>
                <w:color w:val="000000"/>
                <w:sz w:val="16"/>
                <w:szCs w:val="16"/>
                <w:lang w:val="uk-UA"/>
              </w:rPr>
              <w:t xml:space="preserve"> </w:t>
            </w:r>
            <w:proofErr w:type="spellStart"/>
            <w:r w:rsidRPr="00E16672">
              <w:rPr>
                <w:rFonts w:ascii="Times New Roman" w:hAnsi="Times New Roman"/>
                <w:b/>
                <w:color w:val="000000"/>
                <w:sz w:val="16"/>
                <w:szCs w:val="16"/>
                <w:lang w:val="uk-UA"/>
              </w:rPr>
              <w:t>by</w:t>
            </w:r>
            <w:proofErr w:type="spellEnd"/>
            <w:r w:rsidRPr="00E16672">
              <w:rPr>
                <w:rFonts w:ascii="Times New Roman" w:hAnsi="Times New Roman"/>
                <w:b/>
                <w:color w:val="000000"/>
                <w:sz w:val="16"/>
                <w:szCs w:val="16"/>
                <w:lang w:val="uk-UA"/>
              </w:rPr>
              <w:t xml:space="preserve">  </w:t>
            </w:r>
            <w:proofErr w:type="spellStart"/>
            <w:r w:rsidRPr="00E16672">
              <w:rPr>
                <w:rFonts w:ascii="Times New Roman" w:hAnsi="Times New Roman"/>
                <w:b/>
                <w:color w:val="000000"/>
                <w:sz w:val="16"/>
                <w:szCs w:val="16"/>
                <w:lang w:val="uk-UA"/>
              </w:rPr>
              <w:t>the</w:t>
            </w:r>
            <w:proofErr w:type="spellEnd"/>
            <w:r w:rsidRPr="00E16672">
              <w:rPr>
                <w:rFonts w:ascii="Times New Roman" w:hAnsi="Times New Roman"/>
                <w:b/>
                <w:color w:val="000000"/>
                <w:sz w:val="16"/>
                <w:szCs w:val="16"/>
                <w:lang w:val="uk-UA"/>
              </w:rPr>
              <w:t xml:space="preserve"> </w:t>
            </w:r>
            <w:proofErr w:type="spellStart"/>
            <w:r w:rsidRPr="00E16672">
              <w:rPr>
                <w:rFonts w:ascii="Times New Roman" w:hAnsi="Times New Roman"/>
                <w:b/>
                <w:color w:val="000000"/>
                <w:sz w:val="16"/>
                <w:szCs w:val="16"/>
                <w:lang w:val="uk-UA"/>
              </w:rPr>
              <w:t>Depositor</w:t>
            </w:r>
            <w:proofErr w:type="spellEnd"/>
            <w:r w:rsidRPr="00E16672">
              <w:rPr>
                <w:rFonts w:ascii="Times New Roman" w:hAnsi="Times New Roman"/>
                <w:b/>
                <w:color w:val="000000"/>
                <w:sz w:val="16"/>
                <w:szCs w:val="16"/>
                <w:lang w:val="uk-UA"/>
              </w:rPr>
              <w:t xml:space="preserve"> </w:t>
            </w:r>
            <w:proofErr w:type="spellStart"/>
            <w:r w:rsidRPr="00E16672">
              <w:rPr>
                <w:rFonts w:ascii="Times New Roman" w:hAnsi="Times New Roman"/>
                <w:b/>
                <w:color w:val="000000"/>
                <w:sz w:val="16"/>
                <w:szCs w:val="16"/>
                <w:lang w:val="uk-UA"/>
              </w:rPr>
              <w:t>on</w:t>
            </w:r>
            <w:proofErr w:type="spellEnd"/>
            <w:r w:rsidRPr="00E16672">
              <w:rPr>
                <w:rFonts w:ascii="Times New Roman" w:hAnsi="Times New Roman"/>
                <w:b/>
                <w:color w:val="000000"/>
                <w:sz w:val="16"/>
                <w:szCs w:val="16"/>
                <w:lang w:val="uk-UA"/>
              </w:rPr>
              <w:t xml:space="preserve"> </w:t>
            </w:r>
            <w:proofErr w:type="spellStart"/>
            <w:r w:rsidRPr="00E16672">
              <w:rPr>
                <w:rFonts w:ascii="Times New Roman" w:hAnsi="Times New Roman"/>
                <w:b/>
                <w:color w:val="000000"/>
                <w:sz w:val="16"/>
                <w:szCs w:val="16"/>
                <w:lang w:val="uk-UA"/>
              </w:rPr>
              <w:t>the</w:t>
            </w:r>
            <w:proofErr w:type="spellEnd"/>
            <w:r w:rsidRPr="00E16672">
              <w:rPr>
                <w:rFonts w:ascii="Times New Roman" w:hAnsi="Times New Roman"/>
                <w:b/>
                <w:color w:val="000000"/>
                <w:sz w:val="16"/>
                <w:szCs w:val="16"/>
                <w:lang w:val="uk-UA"/>
              </w:rPr>
              <w:t xml:space="preserve"> </w:t>
            </w:r>
            <w:proofErr w:type="spellStart"/>
            <w:r w:rsidRPr="00E16672">
              <w:rPr>
                <w:rFonts w:ascii="Times New Roman" w:hAnsi="Times New Roman"/>
                <w:b/>
                <w:color w:val="000000"/>
                <w:sz w:val="16"/>
                <w:szCs w:val="16"/>
                <w:lang w:val="uk-UA"/>
              </w:rPr>
              <w:t>results</w:t>
            </w:r>
            <w:proofErr w:type="spellEnd"/>
            <w:r w:rsidRPr="00E16672">
              <w:rPr>
                <w:rFonts w:ascii="Times New Roman" w:hAnsi="Times New Roman"/>
                <w:b/>
                <w:color w:val="000000"/>
                <w:sz w:val="16"/>
                <w:szCs w:val="16"/>
                <w:lang w:val="uk-UA"/>
              </w:rPr>
              <w:t xml:space="preserve"> </w:t>
            </w:r>
            <w:proofErr w:type="spellStart"/>
            <w:r w:rsidRPr="00E16672">
              <w:rPr>
                <w:rFonts w:ascii="Times New Roman" w:hAnsi="Times New Roman"/>
                <w:b/>
                <w:color w:val="000000"/>
                <w:sz w:val="16"/>
                <w:szCs w:val="16"/>
                <w:lang w:val="uk-UA"/>
              </w:rPr>
              <w:t>of</w:t>
            </w:r>
            <w:proofErr w:type="spellEnd"/>
            <w:r w:rsidRPr="00E16672">
              <w:rPr>
                <w:rFonts w:ascii="Times New Roman" w:hAnsi="Times New Roman"/>
                <w:b/>
                <w:color w:val="000000"/>
                <w:sz w:val="16"/>
                <w:szCs w:val="16"/>
                <w:lang w:val="uk-UA"/>
              </w:rPr>
              <w:t xml:space="preserve"> </w:t>
            </w:r>
            <w:proofErr w:type="spellStart"/>
            <w:r w:rsidRPr="00E16672">
              <w:rPr>
                <w:rFonts w:ascii="Times New Roman" w:hAnsi="Times New Roman"/>
                <w:b/>
                <w:color w:val="000000"/>
                <w:sz w:val="16"/>
                <w:szCs w:val="16"/>
                <w:lang w:val="uk-UA"/>
              </w:rPr>
              <w:t>corporate</w:t>
            </w:r>
            <w:proofErr w:type="spellEnd"/>
            <w:r w:rsidRPr="00E16672">
              <w:rPr>
                <w:rFonts w:ascii="Times New Roman" w:hAnsi="Times New Roman"/>
                <w:b/>
                <w:color w:val="000000"/>
                <w:sz w:val="16"/>
                <w:szCs w:val="16"/>
                <w:lang w:val="uk-UA"/>
              </w:rPr>
              <w:t xml:space="preserve"> </w:t>
            </w:r>
            <w:proofErr w:type="spellStart"/>
            <w:r w:rsidRPr="00E16672">
              <w:rPr>
                <w:rFonts w:ascii="Times New Roman" w:hAnsi="Times New Roman"/>
                <w:b/>
                <w:color w:val="000000"/>
                <w:sz w:val="16"/>
                <w:szCs w:val="16"/>
                <w:lang w:val="uk-UA"/>
              </w:rPr>
              <w:t>operations</w:t>
            </w:r>
            <w:proofErr w:type="spellEnd"/>
            <w:r w:rsidRPr="00E16672">
              <w:rPr>
                <w:rFonts w:ascii="Times New Roman" w:hAnsi="Times New Roman"/>
                <w:b/>
                <w:color w:val="000000"/>
                <w:sz w:val="16"/>
                <w:szCs w:val="16"/>
                <w:lang w:val="uk-UA"/>
              </w:rPr>
              <w:t xml:space="preserve"> </w:t>
            </w:r>
            <w:proofErr w:type="spellStart"/>
            <w:r w:rsidRPr="00E16672">
              <w:rPr>
                <w:rFonts w:ascii="Times New Roman" w:hAnsi="Times New Roman"/>
                <w:b/>
                <w:color w:val="000000"/>
                <w:sz w:val="16"/>
                <w:szCs w:val="16"/>
                <w:lang w:val="uk-UA"/>
              </w:rPr>
              <w:t>of</w:t>
            </w:r>
            <w:proofErr w:type="spellEnd"/>
            <w:r w:rsidRPr="00E16672">
              <w:rPr>
                <w:rFonts w:ascii="Times New Roman" w:hAnsi="Times New Roman"/>
                <w:b/>
                <w:color w:val="000000"/>
                <w:sz w:val="16"/>
                <w:szCs w:val="16"/>
                <w:lang w:val="uk-UA"/>
              </w:rPr>
              <w:t xml:space="preserve"> </w:t>
            </w:r>
            <w:proofErr w:type="spellStart"/>
            <w:r w:rsidRPr="00E16672">
              <w:rPr>
                <w:rFonts w:ascii="Times New Roman" w:hAnsi="Times New Roman"/>
                <w:b/>
                <w:color w:val="000000"/>
                <w:sz w:val="16"/>
                <w:szCs w:val="16"/>
                <w:lang w:val="uk-UA"/>
              </w:rPr>
              <w:t>the</w:t>
            </w:r>
            <w:proofErr w:type="spellEnd"/>
            <w:r w:rsidRPr="00E16672">
              <w:rPr>
                <w:rFonts w:ascii="Times New Roman" w:hAnsi="Times New Roman"/>
                <w:b/>
                <w:color w:val="000000"/>
                <w:sz w:val="16"/>
                <w:szCs w:val="16"/>
                <w:lang w:val="uk-UA"/>
              </w:rPr>
              <w:t xml:space="preserve"> </w:t>
            </w:r>
            <w:proofErr w:type="spellStart"/>
            <w:r w:rsidRPr="00E16672">
              <w:rPr>
                <w:rFonts w:ascii="Times New Roman" w:hAnsi="Times New Roman"/>
                <w:b/>
                <w:color w:val="000000"/>
                <w:sz w:val="16"/>
                <w:szCs w:val="16"/>
                <w:lang w:val="uk-UA"/>
              </w:rPr>
              <w:t>issuer</w:t>
            </w:r>
            <w:proofErr w:type="spellEnd"/>
            <w:r w:rsidRPr="00E16672">
              <w:rPr>
                <w:rFonts w:ascii="Times New Roman" w:hAnsi="Times New Roman"/>
                <w:b/>
                <w:color w:val="000000"/>
                <w:sz w:val="16"/>
                <w:szCs w:val="16"/>
                <w:lang w:val="uk-UA"/>
              </w:rPr>
              <w:t>.</w:t>
            </w:r>
          </w:p>
          <w:p w14:paraId="32FC45C1" w14:textId="77777777" w:rsidR="005C5318" w:rsidRPr="00E16672" w:rsidRDefault="005C5318" w:rsidP="005C5318">
            <w:pPr>
              <w:ind w:left="175" w:right="138"/>
              <w:rPr>
                <w:rFonts w:ascii="Times New Roman" w:hAnsi="Times New Roman"/>
                <w:color w:val="000000"/>
                <w:sz w:val="16"/>
                <w:szCs w:val="16"/>
                <w:lang w:val="uk-UA"/>
              </w:rPr>
            </w:pPr>
          </w:p>
          <w:p w14:paraId="130CCCEA" w14:textId="77777777" w:rsidR="005C5318" w:rsidRPr="00E16672" w:rsidRDefault="005C5318" w:rsidP="005C5318">
            <w:pPr>
              <w:ind w:left="175" w:right="138"/>
              <w:rPr>
                <w:rFonts w:ascii="Times New Roman" w:hAnsi="Times New Roman"/>
                <w:color w:val="000000"/>
                <w:sz w:val="16"/>
                <w:szCs w:val="16"/>
                <w:lang w:val="uk-UA"/>
              </w:rPr>
            </w:pPr>
          </w:p>
          <w:p w14:paraId="6D1DF1A4" w14:textId="77777777" w:rsidR="005C5318" w:rsidRPr="00E16672" w:rsidRDefault="005C5318" w:rsidP="000D0438">
            <w:pPr>
              <w:ind w:left="150" w:right="138" w:firstLine="0"/>
              <w:rPr>
                <w:rFonts w:ascii="Times New Roman" w:hAnsi="Times New Roman"/>
                <w:color w:val="000000"/>
                <w:sz w:val="16"/>
                <w:szCs w:val="16"/>
                <w:lang w:val="uk-UA"/>
              </w:rPr>
            </w:pPr>
            <w:r w:rsidRPr="00E16672">
              <w:rPr>
                <w:rFonts w:ascii="Times New Roman" w:hAnsi="Times New Roman"/>
                <w:color w:val="000000"/>
                <w:sz w:val="16"/>
                <w:szCs w:val="16"/>
                <w:lang w:val="uk-UA"/>
              </w:rPr>
              <w:t xml:space="preserve">11.1. </w:t>
            </w:r>
            <w:proofErr w:type="spellStart"/>
            <w:r w:rsidRPr="00E16672">
              <w:rPr>
                <w:rFonts w:ascii="Times New Roman" w:hAnsi="Times New Roman"/>
                <w:color w:val="000000"/>
                <w:sz w:val="16"/>
                <w:szCs w:val="16"/>
                <w:lang w:val="uk-UA"/>
              </w:rPr>
              <w:t>Regarding</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securities</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accounted</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by</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the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Central</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Depository</w:t>
            </w:r>
            <w:proofErr w:type="spellEnd"/>
            <w:r w:rsidRPr="00E16672">
              <w:rPr>
                <w:rFonts w:ascii="Times New Roman" w:hAnsi="Times New Roman"/>
                <w:color w:val="000000"/>
                <w:sz w:val="16"/>
                <w:szCs w:val="16"/>
                <w:lang w:val="uk-UA"/>
              </w:rPr>
              <w:t>:</w:t>
            </w:r>
          </w:p>
        </w:tc>
      </w:tr>
      <w:tr w:rsidR="005C5318" w:rsidRPr="00F23413" w14:paraId="04B18954" w14:textId="77777777" w:rsidTr="005E418B">
        <w:trPr>
          <w:trHeight w:val="192"/>
        </w:trPr>
        <w:tc>
          <w:tcPr>
            <w:tcW w:w="5695" w:type="dxa"/>
            <w:gridSpan w:val="6"/>
            <w:shd w:val="clear" w:color="auto" w:fill="auto"/>
          </w:tcPr>
          <w:p w14:paraId="1E861346" w14:textId="77777777" w:rsidR="005C5318" w:rsidRPr="00E16672" w:rsidRDefault="005C5318" w:rsidP="009D3C4B">
            <w:pPr>
              <w:snapToGrid w:val="0"/>
              <w:spacing w:before="57" w:after="57"/>
              <w:ind w:left="175" w:right="138" w:firstLine="4"/>
              <w:rPr>
                <w:rFonts w:ascii="Times New Roman" w:hAnsi="Times New Roman"/>
                <w:color w:val="000000"/>
                <w:sz w:val="16"/>
                <w:szCs w:val="16"/>
                <w:lang w:val="uk-UA"/>
              </w:rPr>
            </w:pPr>
            <w:r w:rsidRPr="00E16672">
              <w:rPr>
                <w:rFonts w:ascii="Times New Roman" w:hAnsi="Times New Roman"/>
                <w:color w:val="000000"/>
                <w:sz w:val="16"/>
                <w:szCs w:val="16"/>
              </w:rPr>
              <w:t>1</w:t>
            </w:r>
            <w:r w:rsidRPr="00E16672">
              <w:rPr>
                <w:rFonts w:ascii="Times New Roman" w:hAnsi="Times New Roman"/>
                <w:color w:val="000000"/>
                <w:sz w:val="16"/>
                <w:szCs w:val="16"/>
                <w:lang w:val="uk-UA"/>
              </w:rPr>
              <w:t xml:space="preserve">1.1.1. У термін не пізніше </w:t>
            </w:r>
            <w:r w:rsidRPr="00E16672">
              <w:rPr>
                <w:rFonts w:ascii="Times New Roman" w:hAnsi="Times New Roman"/>
                <w:i/>
                <w:color w:val="000000"/>
                <w:sz w:val="16"/>
                <w:szCs w:val="16"/>
                <w:lang w:val="uk-UA"/>
              </w:rPr>
              <w:t>десяти робочих днів</w:t>
            </w:r>
            <w:r w:rsidRPr="00E16672">
              <w:rPr>
                <w:rFonts w:ascii="Times New Roman" w:hAnsi="Times New Roman"/>
                <w:color w:val="000000"/>
                <w:sz w:val="16"/>
                <w:szCs w:val="16"/>
                <w:lang w:val="uk-UA"/>
              </w:rPr>
              <w:t xml:space="preserve">  з моменту надходження відповідних коштів на грошовий рахунок Депозитарної установи, отримання розпорядження від Центрального депозитарію та інших документів, згідно чинного законодавства та регламенту Центрального депозитарію,</w:t>
            </w:r>
            <w:r w:rsidRPr="00E16672">
              <w:rPr>
                <w:rFonts w:ascii="Times New Roman" w:hAnsi="Times New Roman"/>
                <w:color w:val="000000"/>
                <w:sz w:val="22"/>
                <w:szCs w:val="22"/>
                <w:lang w:val="uk-UA"/>
              </w:rPr>
              <w:t xml:space="preserve"> </w:t>
            </w:r>
            <w:r w:rsidRPr="00E16672">
              <w:rPr>
                <w:rFonts w:ascii="Times New Roman" w:hAnsi="Times New Roman"/>
                <w:color w:val="000000"/>
                <w:sz w:val="16"/>
                <w:szCs w:val="16"/>
                <w:lang w:val="uk-UA"/>
              </w:rPr>
              <w:t xml:space="preserve"> Депозитарна установа здійснює виплату доходу за цінними паперами – грошових коштів, отриманих Депонентом за результатами проведення корпоративних операцій емітента, шляхом перерахування грошових коштів на грошовий банківський рахунок Депонента, реквізити якого зазначені  в анкеті рахунку в цінних паперах Депонента.</w:t>
            </w:r>
          </w:p>
        </w:tc>
        <w:tc>
          <w:tcPr>
            <w:tcW w:w="5495" w:type="dxa"/>
            <w:gridSpan w:val="6"/>
            <w:shd w:val="clear" w:color="auto" w:fill="auto"/>
          </w:tcPr>
          <w:p w14:paraId="189E1C54" w14:textId="77777777" w:rsidR="005C5318" w:rsidRPr="00E16672" w:rsidRDefault="009D3C4B" w:rsidP="009D3C4B">
            <w:pPr>
              <w:snapToGrid w:val="0"/>
              <w:spacing w:before="57" w:after="57"/>
              <w:ind w:left="175" w:right="138" w:hanging="27"/>
              <w:rPr>
                <w:rFonts w:ascii="Times New Roman" w:hAnsi="Times New Roman"/>
                <w:color w:val="000000"/>
                <w:sz w:val="16"/>
                <w:szCs w:val="16"/>
                <w:lang w:val="uk-UA"/>
              </w:rPr>
            </w:pPr>
            <w:r w:rsidRPr="00E16672">
              <w:rPr>
                <w:rFonts w:ascii="Times New Roman" w:hAnsi="Times New Roman"/>
                <w:color w:val="000000"/>
                <w:sz w:val="16"/>
                <w:szCs w:val="16"/>
                <w:lang w:val="uk-UA"/>
              </w:rPr>
              <w:t>11</w:t>
            </w:r>
            <w:r w:rsidR="005C5318" w:rsidRPr="00E16672">
              <w:rPr>
                <w:rFonts w:ascii="Times New Roman" w:hAnsi="Times New Roman"/>
                <w:color w:val="000000"/>
                <w:sz w:val="16"/>
                <w:szCs w:val="16"/>
                <w:lang w:val="uk-UA"/>
              </w:rPr>
              <w:t xml:space="preserve">.1.1. </w:t>
            </w:r>
            <w:proofErr w:type="spellStart"/>
            <w:r w:rsidR="005C5318" w:rsidRPr="00E16672">
              <w:rPr>
                <w:rFonts w:ascii="Times New Roman" w:hAnsi="Times New Roman"/>
                <w:color w:val="000000"/>
                <w:sz w:val="16"/>
                <w:szCs w:val="16"/>
                <w:lang w:val="uk-UA"/>
              </w:rPr>
              <w:t>In</w:t>
            </w:r>
            <w:proofErr w:type="spellEnd"/>
            <w:r w:rsidR="005C5318" w:rsidRPr="00E16672">
              <w:rPr>
                <w:rFonts w:ascii="Times New Roman" w:hAnsi="Times New Roman"/>
                <w:color w:val="000000"/>
                <w:sz w:val="16"/>
                <w:szCs w:val="16"/>
                <w:lang w:val="uk-UA"/>
              </w:rPr>
              <w:t xml:space="preserve"> </w:t>
            </w:r>
            <w:proofErr w:type="spellStart"/>
            <w:r w:rsidR="005C5318" w:rsidRPr="00E16672">
              <w:rPr>
                <w:rFonts w:ascii="Times New Roman" w:hAnsi="Times New Roman"/>
                <w:color w:val="000000"/>
                <w:sz w:val="16"/>
                <w:szCs w:val="16"/>
                <w:lang w:val="uk-UA"/>
              </w:rPr>
              <w:t>terms</w:t>
            </w:r>
            <w:proofErr w:type="spellEnd"/>
            <w:r w:rsidR="005C5318" w:rsidRPr="00E16672">
              <w:rPr>
                <w:rFonts w:ascii="Times New Roman" w:hAnsi="Times New Roman"/>
                <w:color w:val="000000"/>
                <w:sz w:val="16"/>
                <w:szCs w:val="16"/>
                <w:lang w:val="uk-UA"/>
              </w:rPr>
              <w:t xml:space="preserve"> </w:t>
            </w:r>
            <w:proofErr w:type="spellStart"/>
            <w:r w:rsidR="005C5318" w:rsidRPr="00E16672">
              <w:rPr>
                <w:rFonts w:ascii="Times New Roman" w:hAnsi="Times New Roman"/>
                <w:color w:val="000000"/>
                <w:sz w:val="16"/>
                <w:szCs w:val="16"/>
                <w:lang w:val="uk-UA"/>
              </w:rPr>
              <w:t>not</w:t>
            </w:r>
            <w:proofErr w:type="spellEnd"/>
            <w:r w:rsidR="005C5318" w:rsidRPr="00E16672">
              <w:rPr>
                <w:rFonts w:ascii="Times New Roman" w:hAnsi="Times New Roman"/>
                <w:color w:val="000000"/>
                <w:sz w:val="16"/>
                <w:szCs w:val="16"/>
                <w:lang w:val="uk-UA"/>
              </w:rPr>
              <w:t xml:space="preserve"> </w:t>
            </w:r>
            <w:proofErr w:type="spellStart"/>
            <w:r w:rsidR="005C5318" w:rsidRPr="00E16672">
              <w:rPr>
                <w:rFonts w:ascii="Times New Roman" w:hAnsi="Times New Roman"/>
                <w:color w:val="000000"/>
                <w:sz w:val="16"/>
                <w:szCs w:val="16"/>
                <w:lang w:val="uk-UA"/>
              </w:rPr>
              <w:t>later</w:t>
            </w:r>
            <w:proofErr w:type="spellEnd"/>
            <w:r w:rsidR="005C5318" w:rsidRPr="00E16672">
              <w:rPr>
                <w:rFonts w:ascii="Times New Roman" w:hAnsi="Times New Roman"/>
                <w:color w:val="000000"/>
                <w:sz w:val="16"/>
                <w:szCs w:val="16"/>
                <w:lang w:val="uk-UA"/>
              </w:rPr>
              <w:t xml:space="preserve"> </w:t>
            </w:r>
            <w:proofErr w:type="spellStart"/>
            <w:r w:rsidR="005C5318" w:rsidRPr="00E16672">
              <w:rPr>
                <w:rFonts w:ascii="Times New Roman" w:hAnsi="Times New Roman"/>
                <w:color w:val="000000"/>
                <w:sz w:val="16"/>
                <w:szCs w:val="16"/>
                <w:lang w:val="uk-UA"/>
              </w:rPr>
              <w:t>than</w:t>
            </w:r>
            <w:proofErr w:type="spellEnd"/>
            <w:r w:rsidR="005C5318" w:rsidRPr="00E16672">
              <w:rPr>
                <w:rFonts w:ascii="Times New Roman" w:hAnsi="Times New Roman"/>
                <w:color w:val="000000"/>
                <w:sz w:val="16"/>
                <w:szCs w:val="16"/>
                <w:lang w:val="uk-UA"/>
              </w:rPr>
              <w:t xml:space="preserve"> </w:t>
            </w:r>
            <w:proofErr w:type="spellStart"/>
            <w:r w:rsidR="005C5318" w:rsidRPr="00E16672">
              <w:rPr>
                <w:rFonts w:ascii="Times New Roman" w:hAnsi="Times New Roman"/>
                <w:i/>
                <w:color w:val="000000"/>
                <w:sz w:val="16"/>
                <w:szCs w:val="16"/>
                <w:lang w:val="uk-UA"/>
              </w:rPr>
              <w:t>ten</w:t>
            </w:r>
            <w:proofErr w:type="spellEnd"/>
            <w:r w:rsidR="005C5318" w:rsidRPr="00E16672">
              <w:rPr>
                <w:rFonts w:ascii="Times New Roman" w:hAnsi="Times New Roman"/>
                <w:i/>
                <w:color w:val="000000"/>
                <w:sz w:val="16"/>
                <w:szCs w:val="16"/>
                <w:lang w:val="uk-UA"/>
              </w:rPr>
              <w:t xml:space="preserve"> </w:t>
            </w:r>
            <w:proofErr w:type="spellStart"/>
            <w:r w:rsidR="005C5318" w:rsidRPr="00E16672">
              <w:rPr>
                <w:rFonts w:ascii="Times New Roman" w:hAnsi="Times New Roman"/>
                <w:i/>
                <w:color w:val="000000"/>
                <w:sz w:val="16"/>
                <w:szCs w:val="16"/>
                <w:lang w:val="uk-UA"/>
              </w:rPr>
              <w:t>working</w:t>
            </w:r>
            <w:proofErr w:type="spellEnd"/>
            <w:r w:rsidR="005C5318" w:rsidRPr="00E16672">
              <w:rPr>
                <w:rFonts w:ascii="Times New Roman" w:hAnsi="Times New Roman"/>
                <w:i/>
                <w:color w:val="000000"/>
                <w:sz w:val="16"/>
                <w:szCs w:val="16"/>
                <w:lang w:val="uk-UA"/>
              </w:rPr>
              <w:t xml:space="preserve"> </w:t>
            </w:r>
            <w:proofErr w:type="spellStart"/>
            <w:r w:rsidR="005C5318" w:rsidRPr="00E16672">
              <w:rPr>
                <w:rFonts w:ascii="Times New Roman" w:hAnsi="Times New Roman"/>
                <w:i/>
                <w:color w:val="000000"/>
                <w:sz w:val="16"/>
                <w:szCs w:val="16"/>
                <w:lang w:val="uk-UA"/>
              </w:rPr>
              <w:t>days</w:t>
            </w:r>
            <w:proofErr w:type="spellEnd"/>
            <w:r w:rsidR="005C5318" w:rsidRPr="00E16672">
              <w:rPr>
                <w:rFonts w:ascii="Times New Roman" w:hAnsi="Times New Roman"/>
                <w:color w:val="000000"/>
                <w:sz w:val="16"/>
                <w:szCs w:val="16"/>
                <w:lang w:val="uk-UA"/>
              </w:rPr>
              <w:t xml:space="preserve"> </w:t>
            </w:r>
            <w:proofErr w:type="spellStart"/>
            <w:r w:rsidR="005C5318" w:rsidRPr="00E16672">
              <w:rPr>
                <w:rFonts w:ascii="Times New Roman" w:hAnsi="Times New Roman"/>
                <w:color w:val="000000"/>
                <w:sz w:val="16"/>
                <w:szCs w:val="16"/>
                <w:lang w:val="uk-UA"/>
              </w:rPr>
              <w:t>after</w:t>
            </w:r>
            <w:proofErr w:type="spellEnd"/>
            <w:r w:rsidR="005C5318" w:rsidRPr="00E16672">
              <w:rPr>
                <w:rFonts w:ascii="Times New Roman" w:hAnsi="Times New Roman"/>
                <w:color w:val="000000"/>
                <w:sz w:val="16"/>
                <w:szCs w:val="16"/>
                <w:lang w:val="uk-UA"/>
              </w:rPr>
              <w:t xml:space="preserve"> </w:t>
            </w:r>
            <w:proofErr w:type="spellStart"/>
            <w:r w:rsidR="005C5318" w:rsidRPr="00E16672">
              <w:rPr>
                <w:rFonts w:ascii="Times New Roman" w:hAnsi="Times New Roman"/>
                <w:color w:val="000000"/>
                <w:sz w:val="16"/>
                <w:szCs w:val="16"/>
                <w:lang w:val="uk-UA"/>
              </w:rPr>
              <w:t>receipt</w:t>
            </w:r>
            <w:proofErr w:type="spellEnd"/>
            <w:r w:rsidR="005C5318" w:rsidRPr="00E16672">
              <w:rPr>
                <w:rFonts w:ascii="Times New Roman" w:hAnsi="Times New Roman"/>
                <w:color w:val="000000"/>
                <w:sz w:val="16"/>
                <w:szCs w:val="16"/>
                <w:lang w:val="uk-UA"/>
              </w:rPr>
              <w:t xml:space="preserve"> </w:t>
            </w:r>
            <w:proofErr w:type="spellStart"/>
            <w:r w:rsidR="005C5318" w:rsidRPr="00E16672">
              <w:rPr>
                <w:rFonts w:ascii="Times New Roman" w:hAnsi="Times New Roman"/>
                <w:color w:val="000000"/>
                <w:sz w:val="16"/>
                <w:szCs w:val="16"/>
                <w:lang w:val="uk-UA"/>
              </w:rPr>
              <w:t>of</w:t>
            </w:r>
            <w:proofErr w:type="spellEnd"/>
            <w:r w:rsidR="005C5318" w:rsidRPr="00E16672">
              <w:rPr>
                <w:rFonts w:ascii="Times New Roman" w:hAnsi="Times New Roman"/>
                <w:color w:val="000000"/>
                <w:sz w:val="16"/>
                <w:szCs w:val="16"/>
                <w:lang w:val="uk-UA"/>
              </w:rPr>
              <w:t xml:space="preserve"> </w:t>
            </w:r>
            <w:proofErr w:type="spellStart"/>
            <w:r w:rsidR="005C5318" w:rsidRPr="00E16672">
              <w:rPr>
                <w:rFonts w:ascii="Times New Roman" w:hAnsi="Times New Roman"/>
                <w:color w:val="000000"/>
                <w:sz w:val="16"/>
                <w:szCs w:val="16"/>
                <w:lang w:val="uk-UA"/>
              </w:rPr>
              <w:t>money</w:t>
            </w:r>
            <w:proofErr w:type="spellEnd"/>
            <w:r w:rsidR="005C5318" w:rsidRPr="00E16672">
              <w:rPr>
                <w:rFonts w:ascii="Times New Roman" w:hAnsi="Times New Roman"/>
                <w:color w:val="000000"/>
                <w:sz w:val="16"/>
                <w:szCs w:val="16"/>
                <w:lang w:val="uk-UA"/>
              </w:rPr>
              <w:t xml:space="preserve"> </w:t>
            </w:r>
            <w:proofErr w:type="spellStart"/>
            <w:r w:rsidR="005C5318" w:rsidRPr="00E16672">
              <w:rPr>
                <w:rFonts w:ascii="Times New Roman" w:hAnsi="Times New Roman"/>
                <w:color w:val="000000"/>
                <w:sz w:val="16"/>
                <w:szCs w:val="16"/>
                <w:lang w:val="uk-UA"/>
              </w:rPr>
              <w:t>on</w:t>
            </w:r>
            <w:proofErr w:type="spellEnd"/>
            <w:r w:rsidR="005C5318" w:rsidRPr="00E16672">
              <w:rPr>
                <w:rFonts w:ascii="Times New Roman" w:hAnsi="Times New Roman"/>
                <w:color w:val="000000"/>
                <w:sz w:val="16"/>
                <w:szCs w:val="16"/>
                <w:lang w:val="uk-UA"/>
              </w:rPr>
              <w:t xml:space="preserve"> </w:t>
            </w:r>
            <w:proofErr w:type="spellStart"/>
            <w:r w:rsidR="005C5318" w:rsidRPr="00E16672">
              <w:rPr>
                <w:rFonts w:ascii="Times New Roman" w:hAnsi="Times New Roman"/>
                <w:color w:val="000000"/>
                <w:sz w:val="16"/>
                <w:szCs w:val="16"/>
                <w:lang w:val="uk-UA"/>
              </w:rPr>
              <w:t>the</w:t>
            </w:r>
            <w:proofErr w:type="spellEnd"/>
            <w:r w:rsidR="005C5318" w:rsidRPr="00E16672">
              <w:rPr>
                <w:rFonts w:ascii="Times New Roman" w:hAnsi="Times New Roman"/>
                <w:color w:val="000000"/>
                <w:sz w:val="16"/>
                <w:szCs w:val="16"/>
                <w:lang w:val="uk-UA"/>
              </w:rPr>
              <w:t xml:space="preserve"> </w:t>
            </w:r>
            <w:proofErr w:type="spellStart"/>
            <w:r w:rsidR="005C5318" w:rsidRPr="00E16672">
              <w:rPr>
                <w:rFonts w:ascii="Times New Roman" w:hAnsi="Times New Roman"/>
                <w:color w:val="000000"/>
                <w:sz w:val="16"/>
                <w:szCs w:val="16"/>
                <w:lang w:val="uk-UA"/>
              </w:rPr>
              <w:t>mone</w:t>
            </w:r>
            <w:proofErr w:type="spellEnd"/>
            <w:r w:rsidR="005C5318" w:rsidRPr="00E16672">
              <w:rPr>
                <w:rFonts w:ascii="Times New Roman" w:hAnsi="Times New Roman"/>
                <w:color w:val="000000"/>
                <w:sz w:val="16"/>
                <w:szCs w:val="16"/>
                <w:lang w:val="en-US"/>
              </w:rPr>
              <w:t>tar</w:t>
            </w:r>
            <w:r w:rsidR="005C5318" w:rsidRPr="00E16672">
              <w:rPr>
                <w:rFonts w:ascii="Times New Roman" w:hAnsi="Times New Roman"/>
                <w:color w:val="000000"/>
                <w:sz w:val="16"/>
                <w:szCs w:val="16"/>
                <w:lang w:val="uk-UA"/>
              </w:rPr>
              <w:t xml:space="preserve">y </w:t>
            </w:r>
            <w:proofErr w:type="spellStart"/>
            <w:r w:rsidR="005C5318" w:rsidRPr="00E16672">
              <w:rPr>
                <w:rFonts w:ascii="Times New Roman" w:hAnsi="Times New Roman"/>
                <w:color w:val="000000"/>
                <w:sz w:val="16"/>
                <w:szCs w:val="16"/>
                <w:lang w:val="uk-UA"/>
              </w:rPr>
              <w:t>account</w:t>
            </w:r>
            <w:proofErr w:type="spellEnd"/>
            <w:r w:rsidR="005C5318" w:rsidRPr="00E16672">
              <w:rPr>
                <w:rFonts w:ascii="Times New Roman" w:hAnsi="Times New Roman"/>
                <w:color w:val="000000"/>
                <w:sz w:val="16"/>
                <w:szCs w:val="16"/>
                <w:lang w:val="uk-UA"/>
              </w:rPr>
              <w:t xml:space="preserve"> </w:t>
            </w:r>
            <w:proofErr w:type="spellStart"/>
            <w:r w:rsidR="005C5318" w:rsidRPr="00E16672">
              <w:rPr>
                <w:rFonts w:ascii="Times New Roman" w:hAnsi="Times New Roman"/>
                <w:color w:val="000000"/>
                <w:sz w:val="16"/>
                <w:szCs w:val="16"/>
                <w:lang w:val="uk-UA"/>
              </w:rPr>
              <w:t>of</w:t>
            </w:r>
            <w:proofErr w:type="spellEnd"/>
            <w:r w:rsidR="005C5318" w:rsidRPr="00E16672">
              <w:rPr>
                <w:rFonts w:ascii="Times New Roman" w:hAnsi="Times New Roman"/>
                <w:color w:val="000000"/>
                <w:sz w:val="16"/>
                <w:szCs w:val="16"/>
                <w:lang w:val="uk-UA"/>
              </w:rPr>
              <w:t xml:space="preserve"> </w:t>
            </w:r>
            <w:proofErr w:type="spellStart"/>
            <w:r w:rsidR="005C5318" w:rsidRPr="00E16672">
              <w:rPr>
                <w:rFonts w:ascii="Times New Roman" w:hAnsi="Times New Roman"/>
                <w:color w:val="000000"/>
                <w:sz w:val="16"/>
                <w:szCs w:val="16"/>
                <w:lang w:val="uk-UA"/>
              </w:rPr>
              <w:t>Depository</w:t>
            </w:r>
            <w:proofErr w:type="spellEnd"/>
            <w:r w:rsidR="005C5318" w:rsidRPr="00E16672">
              <w:rPr>
                <w:rFonts w:ascii="Times New Roman" w:hAnsi="Times New Roman"/>
                <w:color w:val="000000"/>
                <w:sz w:val="16"/>
                <w:szCs w:val="16"/>
                <w:lang w:val="uk-UA"/>
              </w:rPr>
              <w:t xml:space="preserve"> </w:t>
            </w:r>
            <w:proofErr w:type="spellStart"/>
            <w:r w:rsidR="005C5318" w:rsidRPr="00E16672">
              <w:rPr>
                <w:rFonts w:ascii="Times New Roman" w:hAnsi="Times New Roman"/>
                <w:color w:val="000000"/>
                <w:sz w:val="16"/>
                <w:szCs w:val="16"/>
                <w:lang w:val="uk-UA"/>
              </w:rPr>
              <w:t>institution</w:t>
            </w:r>
            <w:proofErr w:type="spellEnd"/>
            <w:r w:rsidR="005C5318" w:rsidRPr="00E16672">
              <w:rPr>
                <w:rFonts w:ascii="Times New Roman" w:hAnsi="Times New Roman"/>
                <w:color w:val="000000"/>
                <w:sz w:val="16"/>
                <w:szCs w:val="16"/>
                <w:lang w:val="uk-UA"/>
              </w:rPr>
              <w:t xml:space="preserve">,  </w:t>
            </w:r>
            <w:proofErr w:type="spellStart"/>
            <w:r w:rsidR="005C5318" w:rsidRPr="00E16672">
              <w:rPr>
                <w:rFonts w:ascii="Times New Roman" w:hAnsi="Times New Roman"/>
                <w:color w:val="000000"/>
                <w:sz w:val="16"/>
                <w:szCs w:val="16"/>
                <w:lang w:val="uk-UA"/>
              </w:rPr>
              <w:t>receiving</w:t>
            </w:r>
            <w:proofErr w:type="spellEnd"/>
            <w:r w:rsidR="005C5318" w:rsidRPr="00E16672">
              <w:rPr>
                <w:rFonts w:ascii="Times New Roman" w:hAnsi="Times New Roman"/>
                <w:color w:val="000000"/>
                <w:sz w:val="16"/>
                <w:szCs w:val="16"/>
                <w:lang w:val="uk-UA"/>
              </w:rPr>
              <w:t xml:space="preserve"> </w:t>
            </w:r>
            <w:proofErr w:type="spellStart"/>
            <w:r w:rsidR="005C5318" w:rsidRPr="00E16672">
              <w:rPr>
                <w:rFonts w:ascii="Times New Roman" w:hAnsi="Times New Roman"/>
                <w:color w:val="000000"/>
                <w:sz w:val="16"/>
                <w:szCs w:val="16"/>
                <w:lang w:val="uk-UA"/>
              </w:rPr>
              <w:t>order</w:t>
            </w:r>
            <w:proofErr w:type="spellEnd"/>
            <w:r w:rsidR="005C5318" w:rsidRPr="00E16672">
              <w:rPr>
                <w:rFonts w:ascii="Times New Roman" w:hAnsi="Times New Roman"/>
                <w:color w:val="000000"/>
                <w:sz w:val="16"/>
                <w:szCs w:val="16"/>
                <w:lang w:val="uk-UA"/>
              </w:rPr>
              <w:t xml:space="preserve"> </w:t>
            </w:r>
            <w:proofErr w:type="spellStart"/>
            <w:r w:rsidR="005C5318" w:rsidRPr="00E16672">
              <w:rPr>
                <w:rFonts w:ascii="Times New Roman" w:hAnsi="Times New Roman"/>
                <w:color w:val="000000"/>
                <w:sz w:val="16"/>
                <w:szCs w:val="16"/>
                <w:lang w:val="uk-UA"/>
              </w:rPr>
              <w:t>from</w:t>
            </w:r>
            <w:proofErr w:type="spellEnd"/>
            <w:r w:rsidR="005C5318" w:rsidRPr="00E16672">
              <w:rPr>
                <w:rFonts w:ascii="Times New Roman" w:hAnsi="Times New Roman"/>
                <w:color w:val="000000"/>
                <w:sz w:val="16"/>
                <w:szCs w:val="16"/>
                <w:lang w:val="uk-UA"/>
              </w:rPr>
              <w:t xml:space="preserve"> </w:t>
            </w:r>
            <w:proofErr w:type="spellStart"/>
            <w:r w:rsidR="005C5318" w:rsidRPr="00E16672">
              <w:rPr>
                <w:rFonts w:ascii="Times New Roman" w:hAnsi="Times New Roman"/>
                <w:color w:val="000000"/>
                <w:sz w:val="16"/>
                <w:szCs w:val="16"/>
                <w:lang w:val="uk-UA"/>
              </w:rPr>
              <w:t>the</w:t>
            </w:r>
            <w:proofErr w:type="spellEnd"/>
            <w:r w:rsidR="005C5318" w:rsidRPr="00E16672">
              <w:rPr>
                <w:rFonts w:ascii="Times New Roman" w:hAnsi="Times New Roman"/>
                <w:color w:val="000000"/>
                <w:sz w:val="16"/>
                <w:szCs w:val="16"/>
                <w:lang w:val="uk-UA"/>
              </w:rPr>
              <w:t xml:space="preserve"> </w:t>
            </w:r>
            <w:proofErr w:type="spellStart"/>
            <w:r w:rsidR="005C5318" w:rsidRPr="00E16672">
              <w:rPr>
                <w:rFonts w:ascii="Times New Roman" w:hAnsi="Times New Roman"/>
                <w:color w:val="000000"/>
                <w:sz w:val="16"/>
                <w:szCs w:val="16"/>
                <w:lang w:val="uk-UA"/>
              </w:rPr>
              <w:t>Central</w:t>
            </w:r>
            <w:proofErr w:type="spellEnd"/>
            <w:r w:rsidR="005C5318" w:rsidRPr="00E16672">
              <w:rPr>
                <w:rFonts w:ascii="Times New Roman" w:hAnsi="Times New Roman"/>
                <w:color w:val="000000"/>
                <w:sz w:val="16"/>
                <w:szCs w:val="16"/>
                <w:lang w:val="uk-UA"/>
              </w:rPr>
              <w:t xml:space="preserve"> </w:t>
            </w:r>
            <w:proofErr w:type="spellStart"/>
            <w:r w:rsidR="005C5318" w:rsidRPr="00E16672">
              <w:rPr>
                <w:rFonts w:ascii="Times New Roman" w:hAnsi="Times New Roman"/>
                <w:color w:val="000000"/>
                <w:sz w:val="16"/>
                <w:szCs w:val="16"/>
                <w:lang w:val="uk-UA"/>
              </w:rPr>
              <w:t>Depository</w:t>
            </w:r>
            <w:proofErr w:type="spellEnd"/>
            <w:r w:rsidR="005C5318" w:rsidRPr="00E16672">
              <w:rPr>
                <w:rFonts w:ascii="Times New Roman" w:hAnsi="Times New Roman"/>
                <w:color w:val="000000"/>
                <w:sz w:val="16"/>
                <w:szCs w:val="16"/>
                <w:lang w:val="uk-UA"/>
              </w:rPr>
              <w:t xml:space="preserve"> </w:t>
            </w:r>
            <w:proofErr w:type="spellStart"/>
            <w:r w:rsidR="005C5318" w:rsidRPr="00E16672">
              <w:rPr>
                <w:rFonts w:ascii="Times New Roman" w:hAnsi="Times New Roman"/>
                <w:color w:val="000000"/>
                <w:sz w:val="16"/>
                <w:szCs w:val="16"/>
                <w:lang w:val="uk-UA"/>
              </w:rPr>
              <w:t>and</w:t>
            </w:r>
            <w:proofErr w:type="spellEnd"/>
            <w:r w:rsidR="005C5318" w:rsidRPr="00E16672">
              <w:rPr>
                <w:rFonts w:ascii="Times New Roman" w:hAnsi="Times New Roman"/>
                <w:color w:val="000000"/>
                <w:sz w:val="16"/>
                <w:szCs w:val="16"/>
                <w:lang w:val="uk-UA"/>
              </w:rPr>
              <w:t xml:space="preserve"> </w:t>
            </w:r>
            <w:proofErr w:type="spellStart"/>
            <w:r w:rsidR="005C5318" w:rsidRPr="00E16672">
              <w:rPr>
                <w:rFonts w:ascii="Times New Roman" w:hAnsi="Times New Roman"/>
                <w:color w:val="000000"/>
                <w:sz w:val="16"/>
                <w:szCs w:val="16"/>
                <w:lang w:val="uk-UA"/>
              </w:rPr>
              <w:t>other</w:t>
            </w:r>
            <w:proofErr w:type="spellEnd"/>
            <w:r w:rsidR="005C5318" w:rsidRPr="00E16672">
              <w:rPr>
                <w:rFonts w:ascii="Times New Roman" w:hAnsi="Times New Roman"/>
                <w:color w:val="000000"/>
                <w:sz w:val="16"/>
                <w:szCs w:val="16"/>
                <w:lang w:val="uk-UA"/>
              </w:rPr>
              <w:t xml:space="preserve"> </w:t>
            </w:r>
            <w:proofErr w:type="spellStart"/>
            <w:r w:rsidR="005C5318" w:rsidRPr="00E16672">
              <w:rPr>
                <w:rFonts w:ascii="Times New Roman" w:hAnsi="Times New Roman"/>
                <w:color w:val="000000"/>
                <w:sz w:val="16"/>
                <w:szCs w:val="16"/>
                <w:lang w:val="uk-UA"/>
              </w:rPr>
              <w:t>documents</w:t>
            </w:r>
            <w:proofErr w:type="spellEnd"/>
            <w:r w:rsidR="005C5318" w:rsidRPr="00E16672">
              <w:rPr>
                <w:rFonts w:ascii="Times New Roman" w:hAnsi="Times New Roman"/>
                <w:color w:val="000000"/>
                <w:sz w:val="16"/>
                <w:szCs w:val="16"/>
                <w:lang w:val="uk-UA"/>
              </w:rPr>
              <w:t xml:space="preserve"> </w:t>
            </w:r>
            <w:proofErr w:type="spellStart"/>
            <w:r w:rsidR="005C5318" w:rsidRPr="00E16672">
              <w:rPr>
                <w:rFonts w:ascii="Times New Roman" w:hAnsi="Times New Roman"/>
                <w:color w:val="000000"/>
                <w:sz w:val="16"/>
                <w:szCs w:val="16"/>
                <w:lang w:val="uk-UA"/>
              </w:rPr>
              <w:t>under</w:t>
            </w:r>
            <w:proofErr w:type="spellEnd"/>
            <w:r w:rsidR="005C5318" w:rsidRPr="00E16672">
              <w:rPr>
                <w:rFonts w:ascii="Times New Roman" w:hAnsi="Times New Roman"/>
                <w:color w:val="000000"/>
                <w:sz w:val="16"/>
                <w:szCs w:val="16"/>
                <w:lang w:val="uk-UA"/>
              </w:rPr>
              <w:t xml:space="preserve"> </w:t>
            </w:r>
            <w:proofErr w:type="spellStart"/>
            <w:r w:rsidR="005C5318" w:rsidRPr="00E16672">
              <w:rPr>
                <w:rFonts w:ascii="Times New Roman" w:hAnsi="Times New Roman"/>
                <w:color w:val="000000"/>
                <w:sz w:val="16"/>
                <w:szCs w:val="16"/>
                <w:lang w:val="uk-UA"/>
              </w:rPr>
              <w:t>the</w:t>
            </w:r>
            <w:proofErr w:type="spellEnd"/>
            <w:r w:rsidR="005C5318" w:rsidRPr="00E16672">
              <w:rPr>
                <w:rFonts w:ascii="Times New Roman" w:hAnsi="Times New Roman"/>
                <w:color w:val="000000"/>
                <w:sz w:val="16"/>
                <w:szCs w:val="16"/>
                <w:lang w:val="uk-UA"/>
              </w:rPr>
              <w:t xml:space="preserve"> </w:t>
            </w:r>
            <w:proofErr w:type="spellStart"/>
            <w:r w:rsidR="005C5318" w:rsidRPr="00E16672">
              <w:rPr>
                <w:rFonts w:ascii="Times New Roman" w:hAnsi="Times New Roman"/>
                <w:color w:val="000000"/>
                <w:sz w:val="16"/>
                <w:szCs w:val="16"/>
                <w:lang w:val="uk-UA"/>
              </w:rPr>
              <w:t>law</w:t>
            </w:r>
            <w:proofErr w:type="spellEnd"/>
            <w:r w:rsidR="005C5318" w:rsidRPr="00E16672">
              <w:rPr>
                <w:rFonts w:ascii="Times New Roman" w:hAnsi="Times New Roman"/>
                <w:color w:val="000000"/>
                <w:sz w:val="16"/>
                <w:szCs w:val="16"/>
                <w:lang w:val="uk-UA"/>
              </w:rPr>
              <w:t xml:space="preserve"> </w:t>
            </w:r>
            <w:proofErr w:type="spellStart"/>
            <w:r w:rsidR="005C5318" w:rsidRPr="00E16672">
              <w:rPr>
                <w:rFonts w:ascii="Times New Roman" w:hAnsi="Times New Roman"/>
                <w:color w:val="000000"/>
                <w:sz w:val="16"/>
                <w:szCs w:val="16"/>
                <w:lang w:val="uk-UA"/>
              </w:rPr>
              <w:t>and</w:t>
            </w:r>
            <w:proofErr w:type="spellEnd"/>
            <w:r w:rsidR="005C5318" w:rsidRPr="00E16672">
              <w:rPr>
                <w:rFonts w:ascii="Times New Roman" w:hAnsi="Times New Roman"/>
                <w:color w:val="000000"/>
                <w:sz w:val="16"/>
                <w:szCs w:val="16"/>
                <w:lang w:val="uk-UA"/>
              </w:rPr>
              <w:t xml:space="preserve"> </w:t>
            </w:r>
            <w:r w:rsidR="005C5318" w:rsidRPr="00E16672">
              <w:rPr>
                <w:rFonts w:ascii="Times New Roman" w:hAnsi="Times New Roman"/>
                <w:color w:val="000000"/>
                <w:sz w:val="16"/>
                <w:szCs w:val="16"/>
                <w:lang w:val="en-US"/>
              </w:rPr>
              <w:t>R</w:t>
            </w:r>
            <w:proofErr w:type="spellStart"/>
            <w:r w:rsidR="005C5318" w:rsidRPr="00E16672">
              <w:rPr>
                <w:rFonts w:ascii="Times New Roman" w:hAnsi="Times New Roman"/>
                <w:color w:val="000000"/>
                <w:sz w:val="16"/>
                <w:szCs w:val="16"/>
                <w:lang w:val="uk-UA"/>
              </w:rPr>
              <w:t>egulation</w:t>
            </w:r>
            <w:proofErr w:type="spellEnd"/>
            <w:r w:rsidR="005C5318" w:rsidRPr="00E16672">
              <w:rPr>
                <w:rFonts w:ascii="Times New Roman" w:hAnsi="Times New Roman"/>
                <w:color w:val="000000"/>
                <w:sz w:val="16"/>
                <w:szCs w:val="16"/>
                <w:lang w:val="uk-UA"/>
              </w:rPr>
              <w:t xml:space="preserve"> </w:t>
            </w:r>
            <w:proofErr w:type="spellStart"/>
            <w:r w:rsidR="005C5318" w:rsidRPr="00E16672">
              <w:rPr>
                <w:rFonts w:ascii="Times New Roman" w:hAnsi="Times New Roman"/>
                <w:color w:val="000000"/>
                <w:sz w:val="16"/>
                <w:szCs w:val="16"/>
                <w:lang w:val="uk-UA"/>
              </w:rPr>
              <w:t>of</w:t>
            </w:r>
            <w:proofErr w:type="spellEnd"/>
            <w:r w:rsidR="005C5318" w:rsidRPr="00E16672">
              <w:rPr>
                <w:rFonts w:ascii="Times New Roman" w:hAnsi="Times New Roman"/>
                <w:color w:val="000000"/>
                <w:sz w:val="16"/>
                <w:szCs w:val="16"/>
                <w:lang w:val="uk-UA"/>
              </w:rPr>
              <w:t xml:space="preserve"> </w:t>
            </w:r>
            <w:proofErr w:type="spellStart"/>
            <w:r w:rsidR="005C5318" w:rsidRPr="00E16672">
              <w:rPr>
                <w:rFonts w:ascii="Times New Roman" w:hAnsi="Times New Roman"/>
                <w:color w:val="000000"/>
                <w:sz w:val="16"/>
                <w:szCs w:val="16"/>
                <w:lang w:val="uk-UA"/>
              </w:rPr>
              <w:t>the</w:t>
            </w:r>
            <w:proofErr w:type="spellEnd"/>
            <w:r w:rsidR="005C5318" w:rsidRPr="00E16672">
              <w:rPr>
                <w:rFonts w:ascii="Times New Roman" w:hAnsi="Times New Roman"/>
                <w:color w:val="000000"/>
                <w:sz w:val="16"/>
                <w:szCs w:val="16"/>
                <w:lang w:val="uk-UA"/>
              </w:rPr>
              <w:t xml:space="preserve"> </w:t>
            </w:r>
            <w:proofErr w:type="spellStart"/>
            <w:r w:rsidR="005C5318" w:rsidRPr="00E16672">
              <w:rPr>
                <w:rFonts w:ascii="Times New Roman" w:hAnsi="Times New Roman"/>
                <w:color w:val="000000"/>
                <w:sz w:val="16"/>
                <w:szCs w:val="16"/>
                <w:lang w:val="uk-UA"/>
              </w:rPr>
              <w:t>Central</w:t>
            </w:r>
            <w:proofErr w:type="spellEnd"/>
            <w:r w:rsidR="005C5318" w:rsidRPr="00E16672">
              <w:rPr>
                <w:rFonts w:ascii="Times New Roman" w:hAnsi="Times New Roman"/>
                <w:color w:val="000000"/>
                <w:sz w:val="16"/>
                <w:szCs w:val="16"/>
                <w:lang w:val="uk-UA"/>
              </w:rPr>
              <w:t xml:space="preserve"> </w:t>
            </w:r>
            <w:proofErr w:type="spellStart"/>
            <w:r w:rsidR="005C5318" w:rsidRPr="00E16672">
              <w:rPr>
                <w:rFonts w:ascii="Times New Roman" w:hAnsi="Times New Roman"/>
                <w:color w:val="000000"/>
                <w:sz w:val="16"/>
                <w:szCs w:val="16"/>
                <w:lang w:val="uk-UA"/>
              </w:rPr>
              <w:t>Depository</w:t>
            </w:r>
            <w:proofErr w:type="spellEnd"/>
            <w:r w:rsidR="005C5318" w:rsidRPr="00E16672">
              <w:rPr>
                <w:rFonts w:ascii="Times New Roman" w:hAnsi="Times New Roman"/>
                <w:color w:val="000000"/>
                <w:sz w:val="16"/>
                <w:szCs w:val="16"/>
                <w:lang w:val="uk-UA"/>
              </w:rPr>
              <w:t xml:space="preserve">,  </w:t>
            </w:r>
            <w:proofErr w:type="spellStart"/>
            <w:r w:rsidR="005C5318" w:rsidRPr="00E16672">
              <w:rPr>
                <w:rFonts w:ascii="Times New Roman" w:hAnsi="Times New Roman"/>
                <w:color w:val="000000"/>
                <w:sz w:val="16"/>
                <w:szCs w:val="16"/>
                <w:lang w:val="uk-UA"/>
              </w:rPr>
              <w:t>Depository</w:t>
            </w:r>
            <w:proofErr w:type="spellEnd"/>
            <w:r w:rsidR="005C5318" w:rsidRPr="00E16672">
              <w:rPr>
                <w:rFonts w:ascii="Times New Roman" w:hAnsi="Times New Roman"/>
                <w:color w:val="000000"/>
                <w:sz w:val="16"/>
                <w:szCs w:val="16"/>
                <w:lang w:val="uk-UA"/>
              </w:rPr>
              <w:t xml:space="preserve"> </w:t>
            </w:r>
            <w:proofErr w:type="spellStart"/>
            <w:r w:rsidR="005C5318" w:rsidRPr="00E16672">
              <w:rPr>
                <w:rFonts w:ascii="Times New Roman" w:hAnsi="Times New Roman"/>
                <w:color w:val="000000"/>
                <w:sz w:val="16"/>
                <w:szCs w:val="16"/>
                <w:lang w:val="uk-UA"/>
              </w:rPr>
              <w:t>institution</w:t>
            </w:r>
            <w:proofErr w:type="spellEnd"/>
            <w:r w:rsidR="005C5318" w:rsidRPr="00E16672">
              <w:rPr>
                <w:rFonts w:ascii="Times New Roman" w:hAnsi="Times New Roman"/>
                <w:color w:val="000000"/>
                <w:sz w:val="16"/>
                <w:szCs w:val="16"/>
                <w:lang w:val="uk-UA"/>
              </w:rPr>
              <w:t xml:space="preserve"> </w:t>
            </w:r>
            <w:proofErr w:type="spellStart"/>
            <w:r w:rsidR="005C5318" w:rsidRPr="00E16672">
              <w:rPr>
                <w:rFonts w:ascii="Times New Roman" w:hAnsi="Times New Roman"/>
                <w:color w:val="000000"/>
                <w:sz w:val="16"/>
                <w:szCs w:val="16"/>
                <w:lang w:val="uk-UA"/>
              </w:rPr>
              <w:t>pays</w:t>
            </w:r>
            <w:proofErr w:type="spellEnd"/>
            <w:r w:rsidR="005C5318" w:rsidRPr="00E16672">
              <w:rPr>
                <w:rFonts w:ascii="Times New Roman" w:hAnsi="Times New Roman"/>
                <w:color w:val="000000"/>
                <w:sz w:val="16"/>
                <w:szCs w:val="16"/>
                <w:lang w:val="uk-UA"/>
              </w:rPr>
              <w:t xml:space="preserve"> </w:t>
            </w:r>
            <w:proofErr w:type="spellStart"/>
            <w:r w:rsidR="005C5318" w:rsidRPr="00E16672">
              <w:rPr>
                <w:rFonts w:ascii="Times New Roman" w:hAnsi="Times New Roman"/>
                <w:color w:val="000000"/>
                <w:sz w:val="16"/>
                <w:szCs w:val="16"/>
                <w:lang w:val="uk-UA"/>
              </w:rPr>
              <w:t>income</w:t>
            </w:r>
            <w:proofErr w:type="spellEnd"/>
            <w:r w:rsidR="005C5318" w:rsidRPr="00E16672">
              <w:rPr>
                <w:rFonts w:ascii="Times New Roman" w:hAnsi="Times New Roman"/>
                <w:color w:val="000000"/>
                <w:sz w:val="16"/>
                <w:szCs w:val="16"/>
                <w:lang w:val="en-US"/>
              </w:rPr>
              <w:t xml:space="preserve"> from</w:t>
            </w:r>
            <w:r w:rsidR="005C5318" w:rsidRPr="00E16672">
              <w:rPr>
                <w:rFonts w:ascii="Times New Roman" w:hAnsi="Times New Roman"/>
                <w:color w:val="000000"/>
                <w:sz w:val="16"/>
                <w:szCs w:val="16"/>
                <w:lang w:val="uk-UA"/>
              </w:rPr>
              <w:t xml:space="preserve"> </w:t>
            </w:r>
            <w:proofErr w:type="spellStart"/>
            <w:r w:rsidR="005C5318" w:rsidRPr="00E16672">
              <w:rPr>
                <w:rFonts w:ascii="Times New Roman" w:hAnsi="Times New Roman"/>
                <w:color w:val="000000"/>
                <w:sz w:val="16"/>
                <w:szCs w:val="16"/>
                <w:lang w:val="uk-UA"/>
              </w:rPr>
              <w:t>securities</w:t>
            </w:r>
            <w:proofErr w:type="spellEnd"/>
            <w:r w:rsidR="005C5318" w:rsidRPr="00E16672">
              <w:rPr>
                <w:rFonts w:ascii="Times New Roman" w:hAnsi="Times New Roman"/>
                <w:color w:val="000000"/>
                <w:sz w:val="16"/>
                <w:szCs w:val="16"/>
                <w:lang w:val="uk-UA"/>
              </w:rPr>
              <w:t xml:space="preserve"> - </w:t>
            </w:r>
            <w:proofErr w:type="spellStart"/>
            <w:r w:rsidR="005C5318" w:rsidRPr="00E16672">
              <w:rPr>
                <w:rFonts w:ascii="Times New Roman" w:hAnsi="Times New Roman"/>
                <w:color w:val="000000"/>
                <w:sz w:val="16"/>
                <w:szCs w:val="16"/>
                <w:lang w:val="uk-UA"/>
              </w:rPr>
              <w:t>money</w:t>
            </w:r>
            <w:proofErr w:type="spellEnd"/>
            <w:r w:rsidR="005C5318" w:rsidRPr="00E16672">
              <w:rPr>
                <w:rFonts w:ascii="Times New Roman" w:hAnsi="Times New Roman"/>
                <w:color w:val="000000"/>
                <w:sz w:val="16"/>
                <w:szCs w:val="16"/>
                <w:lang w:val="uk-UA"/>
              </w:rPr>
              <w:t xml:space="preserve"> </w:t>
            </w:r>
            <w:proofErr w:type="spellStart"/>
            <w:r w:rsidR="005C5318" w:rsidRPr="00E16672">
              <w:rPr>
                <w:rFonts w:ascii="Times New Roman" w:hAnsi="Times New Roman"/>
                <w:color w:val="000000"/>
                <w:sz w:val="16"/>
                <w:szCs w:val="16"/>
                <w:lang w:val="uk-UA"/>
              </w:rPr>
              <w:t>received</w:t>
            </w:r>
            <w:proofErr w:type="spellEnd"/>
            <w:r w:rsidR="005C5318" w:rsidRPr="00E16672">
              <w:rPr>
                <w:rFonts w:ascii="Times New Roman" w:hAnsi="Times New Roman"/>
                <w:color w:val="000000"/>
                <w:sz w:val="16"/>
                <w:szCs w:val="16"/>
                <w:lang w:val="uk-UA"/>
              </w:rPr>
              <w:t xml:space="preserve"> </w:t>
            </w:r>
            <w:proofErr w:type="spellStart"/>
            <w:r w:rsidR="005C5318" w:rsidRPr="00E16672">
              <w:rPr>
                <w:rFonts w:ascii="Times New Roman" w:hAnsi="Times New Roman"/>
                <w:color w:val="000000"/>
                <w:sz w:val="16"/>
                <w:szCs w:val="16"/>
                <w:lang w:val="uk-UA"/>
              </w:rPr>
              <w:t>by</w:t>
            </w:r>
            <w:proofErr w:type="spellEnd"/>
            <w:r w:rsidR="005C5318" w:rsidRPr="00E16672">
              <w:rPr>
                <w:rFonts w:ascii="Times New Roman" w:hAnsi="Times New Roman"/>
                <w:color w:val="000000"/>
                <w:sz w:val="16"/>
                <w:szCs w:val="16"/>
                <w:lang w:val="uk-UA"/>
              </w:rPr>
              <w:t xml:space="preserve"> </w:t>
            </w:r>
            <w:proofErr w:type="spellStart"/>
            <w:r w:rsidR="005C5318" w:rsidRPr="00E16672">
              <w:rPr>
                <w:rFonts w:ascii="Times New Roman" w:hAnsi="Times New Roman"/>
                <w:color w:val="000000"/>
                <w:sz w:val="16"/>
                <w:szCs w:val="16"/>
                <w:lang w:val="uk-UA"/>
              </w:rPr>
              <w:t>the</w:t>
            </w:r>
            <w:proofErr w:type="spellEnd"/>
            <w:r w:rsidR="005C5318" w:rsidRPr="00E16672">
              <w:rPr>
                <w:rFonts w:ascii="Times New Roman" w:hAnsi="Times New Roman"/>
                <w:color w:val="000000"/>
                <w:sz w:val="16"/>
                <w:szCs w:val="16"/>
                <w:lang w:val="uk-UA"/>
              </w:rPr>
              <w:t xml:space="preserve"> </w:t>
            </w:r>
            <w:proofErr w:type="spellStart"/>
            <w:r w:rsidR="005C5318" w:rsidRPr="00E16672">
              <w:rPr>
                <w:rFonts w:ascii="Times New Roman" w:hAnsi="Times New Roman"/>
                <w:color w:val="000000"/>
                <w:sz w:val="16"/>
                <w:szCs w:val="16"/>
                <w:lang w:val="uk-UA"/>
              </w:rPr>
              <w:t>Depositor</w:t>
            </w:r>
            <w:proofErr w:type="spellEnd"/>
            <w:r w:rsidR="005C5318" w:rsidRPr="00E16672">
              <w:rPr>
                <w:rFonts w:ascii="Times New Roman" w:hAnsi="Times New Roman"/>
                <w:color w:val="000000"/>
                <w:sz w:val="16"/>
                <w:szCs w:val="16"/>
                <w:lang w:val="uk-UA"/>
              </w:rPr>
              <w:t xml:space="preserve"> </w:t>
            </w:r>
            <w:proofErr w:type="spellStart"/>
            <w:r w:rsidR="005C5318" w:rsidRPr="00E16672">
              <w:rPr>
                <w:rFonts w:ascii="Times New Roman" w:hAnsi="Times New Roman"/>
                <w:color w:val="000000"/>
                <w:sz w:val="16"/>
                <w:szCs w:val="16"/>
                <w:lang w:val="uk-UA"/>
              </w:rPr>
              <w:t>on</w:t>
            </w:r>
            <w:proofErr w:type="spellEnd"/>
            <w:r w:rsidR="005C5318" w:rsidRPr="00E16672">
              <w:rPr>
                <w:rFonts w:ascii="Times New Roman" w:hAnsi="Times New Roman"/>
                <w:color w:val="000000"/>
                <w:sz w:val="16"/>
                <w:szCs w:val="16"/>
                <w:lang w:val="uk-UA"/>
              </w:rPr>
              <w:t xml:space="preserve"> </w:t>
            </w:r>
            <w:proofErr w:type="spellStart"/>
            <w:r w:rsidR="005C5318" w:rsidRPr="00E16672">
              <w:rPr>
                <w:rFonts w:ascii="Times New Roman" w:hAnsi="Times New Roman"/>
                <w:color w:val="000000"/>
                <w:sz w:val="16"/>
                <w:szCs w:val="16"/>
                <w:lang w:val="uk-UA"/>
              </w:rPr>
              <w:t>the</w:t>
            </w:r>
            <w:proofErr w:type="spellEnd"/>
            <w:r w:rsidR="005C5318" w:rsidRPr="00E16672">
              <w:rPr>
                <w:rFonts w:ascii="Times New Roman" w:hAnsi="Times New Roman"/>
                <w:color w:val="000000"/>
                <w:sz w:val="16"/>
                <w:szCs w:val="16"/>
                <w:lang w:val="uk-UA"/>
              </w:rPr>
              <w:t xml:space="preserve"> </w:t>
            </w:r>
            <w:proofErr w:type="spellStart"/>
            <w:r w:rsidR="005C5318" w:rsidRPr="00E16672">
              <w:rPr>
                <w:rFonts w:ascii="Times New Roman" w:hAnsi="Times New Roman"/>
                <w:color w:val="000000"/>
                <w:sz w:val="16"/>
                <w:szCs w:val="16"/>
                <w:lang w:val="uk-UA"/>
              </w:rPr>
              <w:t>results</w:t>
            </w:r>
            <w:proofErr w:type="spellEnd"/>
            <w:r w:rsidR="005C5318" w:rsidRPr="00E16672">
              <w:rPr>
                <w:rFonts w:ascii="Times New Roman" w:hAnsi="Times New Roman"/>
                <w:color w:val="000000"/>
                <w:sz w:val="16"/>
                <w:szCs w:val="16"/>
                <w:lang w:val="uk-UA"/>
              </w:rPr>
              <w:t xml:space="preserve"> </w:t>
            </w:r>
            <w:proofErr w:type="spellStart"/>
            <w:r w:rsidR="005C5318" w:rsidRPr="00E16672">
              <w:rPr>
                <w:rFonts w:ascii="Times New Roman" w:hAnsi="Times New Roman"/>
                <w:color w:val="000000"/>
                <w:sz w:val="16"/>
                <w:szCs w:val="16"/>
                <w:lang w:val="uk-UA"/>
              </w:rPr>
              <w:t>of</w:t>
            </w:r>
            <w:proofErr w:type="spellEnd"/>
            <w:r w:rsidR="005C5318" w:rsidRPr="00E16672">
              <w:rPr>
                <w:rFonts w:ascii="Times New Roman" w:hAnsi="Times New Roman"/>
                <w:color w:val="000000"/>
                <w:sz w:val="16"/>
                <w:szCs w:val="16"/>
                <w:lang w:val="uk-UA"/>
              </w:rPr>
              <w:t xml:space="preserve"> </w:t>
            </w:r>
            <w:proofErr w:type="spellStart"/>
            <w:r w:rsidR="005C5318" w:rsidRPr="00E16672">
              <w:rPr>
                <w:rFonts w:ascii="Times New Roman" w:hAnsi="Times New Roman"/>
                <w:color w:val="000000"/>
                <w:sz w:val="16"/>
                <w:szCs w:val="16"/>
                <w:lang w:val="uk-UA"/>
              </w:rPr>
              <w:t>corporate</w:t>
            </w:r>
            <w:proofErr w:type="spellEnd"/>
            <w:r w:rsidR="005C5318" w:rsidRPr="00E16672">
              <w:rPr>
                <w:rFonts w:ascii="Times New Roman" w:hAnsi="Times New Roman"/>
                <w:color w:val="000000"/>
                <w:sz w:val="16"/>
                <w:szCs w:val="16"/>
                <w:lang w:val="uk-UA"/>
              </w:rPr>
              <w:t xml:space="preserve"> </w:t>
            </w:r>
            <w:proofErr w:type="spellStart"/>
            <w:r w:rsidR="005C5318" w:rsidRPr="00E16672">
              <w:rPr>
                <w:rFonts w:ascii="Times New Roman" w:hAnsi="Times New Roman"/>
                <w:color w:val="000000"/>
                <w:sz w:val="16"/>
                <w:szCs w:val="16"/>
                <w:lang w:val="uk-UA"/>
              </w:rPr>
              <w:t>operations</w:t>
            </w:r>
            <w:proofErr w:type="spellEnd"/>
            <w:r w:rsidR="005C5318" w:rsidRPr="00E16672">
              <w:rPr>
                <w:rFonts w:ascii="Times New Roman" w:hAnsi="Times New Roman"/>
                <w:color w:val="000000"/>
                <w:sz w:val="16"/>
                <w:szCs w:val="16"/>
                <w:lang w:val="uk-UA"/>
              </w:rPr>
              <w:t xml:space="preserve"> </w:t>
            </w:r>
            <w:proofErr w:type="spellStart"/>
            <w:r w:rsidR="005C5318" w:rsidRPr="00E16672">
              <w:rPr>
                <w:rFonts w:ascii="Times New Roman" w:hAnsi="Times New Roman"/>
                <w:color w:val="000000"/>
                <w:sz w:val="16"/>
                <w:szCs w:val="16"/>
                <w:lang w:val="uk-UA"/>
              </w:rPr>
              <w:t>of</w:t>
            </w:r>
            <w:proofErr w:type="spellEnd"/>
            <w:r w:rsidR="005C5318" w:rsidRPr="00E16672">
              <w:rPr>
                <w:rFonts w:ascii="Times New Roman" w:hAnsi="Times New Roman"/>
                <w:color w:val="000000"/>
                <w:sz w:val="16"/>
                <w:szCs w:val="16"/>
                <w:lang w:val="uk-UA"/>
              </w:rPr>
              <w:t xml:space="preserve"> </w:t>
            </w:r>
            <w:proofErr w:type="spellStart"/>
            <w:r w:rsidR="005C5318" w:rsidRPr="00E16672">
              <w:rPr>
                <w:rFonts w:ascii="Times New Roman" w:hAnsi="Times New Roman"/>
                <w:color w:val="000000"/>
                <w:sz w:val="16"/>
                <w:szCs w:val="16"/>
                <w:lang w:val="uk-UA"/>
              </w:rPr>
              <w:t>the</w:t>
            </w:r>
            <w:proofErr w:type="spellEnd"/>
            <w:r w:rsidR="005C5318" w:rsidRPr="00E16672">
              <w:rPr>
                <w:rFonts w:ascii="Times New Roman" w:hAnsi="Times New Roman"/>
                <w:color w:val="000000"/>
                <w:sz w:val="16"/>
                <w:szCs w:val="16"/>
                <w:lang w:val="uk-UA"/>
              </w:rPr>
              <w:t xml:space="preserve"> </w:t>
            </w:r>
            <w:proofErr w:type="spellStart"/>
            <w:r w:rsidR="005C5318" w:rsidRPr="00E16672">
              <w:rPr>
                <w:rFonts w:ascii="Times New Roman" w:hAnsi="Times New Roman"/>
                <w:color w:val="000000"/>
                <w:sz w:val="16"/>
                <w:szCs w:val="16"/>
                <w:lang w:val="uk-UA"/>
              </w:rPr>
              <w:t>issuer</w:t>
            </w:r>
            <w:proofErr w:type="spellEnd"/>
            <w:r w:rsidR="005C5318" w:rsidRPr="00E16672">
              <w:rPr>
                <w:rFonts w:ascii="Times New Roman" w:hAnsi="Times New Roman"/>
                <w:color w:val="000000"/>
                <w:sz w:val="16"/>
                <w:szCs w:val="16"/>
                <w:lang w:val="uk-UA"/>
              </w:rPr>
              <w:t xml:space="preserve">, </w:t>
            </w:r>
            <w:proofErr w:type="spellStart"/>
            <w:r w:rsidR="005C5318" w:rsidRPr="00E16672">
              <w:rPr>
                <w:rFonts w:ascii="Times New Roman" w:hAnsi="Times New Roman"/>
                <w:color w:val="000000"/>
                <w:sz w:val="16"/>
                <w:szCs w:val="16"/>
                <w:lang w:val="uk-UA"/>
              </w:rPr>
              <w:t>by</w:t>
            </w:r>
            <w:proofErr w:type="spellEnd"/>
            <w:r w:rsidR="005C5318" w:rsidRPr="00E16672">
              <w:rPr>
                <w:rFonts w:ascii="Times New Roman" w:hAnsi="Times New Roman"/>
                <w:color w:val="000000"/>
                <w:sz w:val="16"/>
                <w:szCs w:val="16"/>
                <w:lang w:val="uk-UA"/>
              </w:rPr>
              <w:t xml:space="preserve"> </w:t>
            </w:r>
            <w:proofErr w:type="spellStart"/>
            <w:r w:rsidR="005C5318" w:rsidRPr="00E16672">
              <w:rPr>
                <w:rFonts w:ascii="Times New Roman" w:hAnsi="Times New Roman"/>
                <w:color w:val="000000"/>
                <w:sz w:val="16"/>
                <w:szCs w:val="16"/>
                <w:lang w:val="uk-UA"/>
              </w:rPr>
              <w:t>transferring</w:t>
            </w:r>
            <w:proofErr w:type="spellEnd"/>
            <w:r w:rsidR="005C5318" w:rsidRPr="00E16672">
              <w:rPr>
                <w:rFonts w:ascii="Times New Roman" w:hAnsi="Times New Roman"/>
                <w:color w:val="000000"/>
                <w:sz w:val="16"/>
                <w:szCs w:val="16"/>
                <w:lang w:val="uk-UA"/>
              </w:rPr>
              <w:t xml:space="preserve"> </w:t>
            </w:r>
            <w:proofErr w:type="spellStart"/>
            <w:r w:rsidR="005C5318" w:rsidRPr="00E16672">
              <w:rPr>
                <w:rFonts w:ascii="Times New Roman" w:hAnsi="Times New Roman"/>
                <w:color w:val="000000"/>
                <w:sz w:val="16"/>
                <w:szCs w:val="16"/>
                <w:lang w:val="uk-UA"/>
              </w:rPr>
              <w:t>money</w:t>
            </w:r>
            <w:proofErr w:type="spellEnd"/>
            <w:r w:rsidR="005C5318" w:rsidRPr="00E16672">
              <w:rPr>
                <w:rFonts w:ascii="Times New Roman" w:hAnsi="Times New Roman"/>
                <w:color w:val="000000"/>
                <w:sz w:val="16"/>
                <w:szCs w:val="16"/>
                <w:lang w:val="uk-UA"/>
              </w:rPr>
              <w:t xml:space="preserve"> </w:t>
            </w:r>
            <w:proofErr w:type="spellStart"/>
            <w:r w:rsidR="005C5318" w:rsidRPr="00E16672">
              <w:rPr>
                <w:rFonts w:ascii="Times New Roman" w:hAnsi="Times New Roman"/>
                <w:color w:val="000000"/>
                <w:sz w:val="16"/>
                <w:szCs w:val="16"/>
                <w:lang w:val="uk-UA"/>
              </w:rPr>
              <w:t>to</w:t>
            </w:r>
            <w:proofErr w:type="spellEnd"/>
            <w:r w:rsidR="005C5318" w:rsidRPr="00E16672">
              <w:rPr>
                <w:rFonts w:ascii="Times New Roman" w:hAnsi="Times New Roman"/>
                <w:color w:val="000000"/>
                <w:sz w:val="16"/>
                <w:szCs w:val="16"/>
                <w:lang w:val="uk-UA"/>
              </w:rPr>
              <w:t xml:space="preserve"> a </w:t>
            </w:r>
            <w:proofErr w:type="spellStart"/>
            <w:r w:rsidR="005C5318" w:rsidRPr="00E16672">
              <w:rPr>
                <w:rFonts w:ascii="Times New Roman" w:hAnsi="Times New Roman"/>
                <w:color w:val="000000"/>
                <w:sz w:val="16"/>
                <w:szCs w:val="16"/>
                <w:lang w:val="uk-UA"/>
              </w:rPr>
              <w:t>bank</w:t>
            </w:r>
            <w:proofErr w:type="spellEnd"/>
            <w:r w:rsidR="005C5318" w:rsidRPr="00E16672">
              <w:rPr>
                <w:rFonts w:ascii="Times New Roman" w:hAnsi="Times New Roman"/>
                <w:color w:val="000000"/>
                <w:sz w:val="16"/>
                <w:szCs w:val="16"/>
                <w:lang w:val="uk-UA"/>
              </w:rPr>
              <w:t xml:space="preserve"> </w:t>
            </w:r>
            <w:proofErr w:type="spellStart"/>
            <w:r w:rsidR="005C5318" w:rsidRPr="00E16672">
              <w:rPr>
                <w:rFonts w:ascii="Times New Roman" w:hAnsi="Times New Roman"/>
                <w:color w:val="000000"/>
                <w:sz w:val="16"/>
                <w:szCs w:val="16"/>
                <w:lang w:val="uk-UA"/>
              </w:rPr>
              <w:t>mone</w:t>
            </w:r>
            <w:proofErr w:type="spellEnd"/>
            <w:r w:rsidR="005C5318" w:rsidRPr="00E16672">
              <w:rPr>
                <w:rFonts w:ascii="Times New Roman" w:hAnsi="Times New Roman"/>
                <w:color w:val="000000"/>
                <w:sz w:val="16"/>
                <w:szCs w:val="16"/>
                <w:lang w:val="en-US"/>
              </w:rPr>
              <w:t>tar</w:t>
            </w:r>
            <w:r w:rsidR="005C5318" w:rsidRPr="00E16672">
              <w:rPr>
                <w:rFonts w:ascii="Times New Roman" w:hAnsi="Times New Roman"/>
                <w:color w:val="000000"/>
                <w:sz w:val="16"/>
                <w:szCs w:val="16"/>
                <w:lang w:val="uk-UA"/>
              </w:rPr>
              <w:t xml:space="preserve">y </w:t>
            </w:r>
            <w:proofErr w:type="spellStart"/>
            <w:r w:rsidR="005C5318" w:rsidRPr="00E16672">
              <w:rPr>
                <w:rFonts w:ascii="Times New Roman" w:hAnsi="Times New Roman"/>
                <w:color w:val="000000"/>
                <w:sz w:val="16"/>
                <w:szCs w:val="16"/>
                <w:lang w:val="uk-UA"/>
              </w:rPr>
              <w:t>account</w:t>
            </w:r>
            <w:proofErr w:type="spellEnd"/>
            <w:r w:rsidR="005C5318" w:rsidRPr="00E16672">
              <w:rPr>
                <w:rFonts w:ascii="Times New Roman" w:hAnsi="Times New Roman"/>
                <w:color w:val="000000"/>
                <w:sz w:val="16"/>
                <w:szCs w:val="16"/>
                <w:lang w:val="uk-UA"/>
              </w:rPr>
              <w:t xml:space="preserve"> </w:t>
            </w:r>
            <w:proofErr w:type="spellStart"/>
            <w:r w:rsidR="005C5318" w:rsidRPr="00E16672">
              <w:rPr>
                <w:rFonts w:ascii="Times New Roman" w:hAnsi="Times New Roman"/>
                <w:color w:val="000000"/>
                <w:sz w:val="16"/>
                <w:szCs w:val="16"/>
                <w:lang w:val="uk-UA"/>
              </w:rPr>
              <w:t>of</w:t>
            </w:r>
            <w:proofErr w:type="spellEnd"/>
            <w:r w:rsidR="005C5318" w:rsidRPr="00E16672">
              <w:rPr>
                <w:rFonts w:ascii="Times New Roman" w:hAnsi="Times New Roman"/>
                <w:color w:val="000000"/>
                <w:sz w:val="16"/>
                <w:szCs w:val="16"/>
                <w:lang w:val="uk-UA"/>
              </w:rPr>
              <w:t xml:space="preserve"> </w:t>
            </w:r>
            <w:proofErr w:type="spellStart"/>
            <w:r w:rsidR="005C5318" w:rsidRPr="00E16672">
              <w:rPr>
                <w:rFonts w:ascii="Times New Roman" w:hAnsi="Times New Roman"/>
                <w:color w:val="000000"/>
                <w:sz w:val="16"/>
                <w:szCs w:val="16"/>
                <w:lang w:val="uk-UA"/>
              </w:rPr>
              <w:t>Depositor</w:t>
            </w:r>
            <w:proofErr w:type="spellEnd"/>
            <w:r w:rsidR="005C5318" w:rsidRPr="00E16672">
              <w:rPr>
                <w:rFonts w:ascii="Times New Roman" w:hAnsi="Times New Roman"/>
                <w:color w:val="000000"/>
                <w:sz w:val="16"/>
                <w:szCs w:val="16"/>
                <w:lang w:val="uk-UA"/>
              </w:rPr>
              <w:t xml:space="preserve">, </w:t>
            </w:r>
            <w:proofErr w:type="spellStart"/>
            <w:r w:rsidR="005C5318" w:rsidRPr="00E16672">
              <w:rPr>
                <w:rFonts w:ascii="Times New Roman" w:hAnsi="Times New Roman"/>
                <w:color w:val="000000"/>
                <w:sz w:val="16"/>
                <w:szCs w:val="16"/>
                <w:lang w:val="uk-UA"/>
              </w:rPr>
              <w:t>details</w:t>
            </w:r>
            <w:proofErr w:type="spellEnd"/>
            <w:r w:rsidR="005C5318" w:rsidRPr="00E16672">
              <w:rPr>
                <w:rFonts w:ascii="Times New Roman" w:hAnsi="Times New Roman"/>
                <w:color w:val="000000"/>
                <w:sz w:val="16"/>
                <w:szCs w:val="16"/>
                <w:lang w:val="uk-UA"/>
              </w:rPr>
              <w:t xml:space="preserve"> </w:t>
            </w:r>
            <w:proofErr w:type="spellStart"/>
            <w:r w:rsidR="005C5318" w:rsidRPr="00E16672">
              <w:rPr>
                <w:rFonts w:ascii="Times New Roman" w:hAnsi="Times New Roman"/>
                <w:color w:val="000000"/>
                <w:sz w:val="16"/>
                <w:szCs w:val="16"/>
                <w:lang w:val="uk-UA"/>
              </w:rPr>
              <w:t>of</w:t>
            </w:r>
            <w:proofErr w:type="spellEnd"/>
            <w:r w:rsidR="005C5318" w:rsidRPr="00E16672">
              <w:rPr>
                <w:rFonts w:ascii="Times New Roman" w:hAnsi="Times New Roman"/>
                <w:color w:val="000000"/>
                <w:sz w:val="16"/>
                <w:szCs w:val="16"/>
                <w:lang w:val="uk-UA"/>
              </w:rPr>
              <w:t xml:space="preserve"> </w:t>
            </w:r>
            <w:proofErr w:type="spellStart"/>
            <w:r w:rsidR="005C5318" w:rsidRPr="00E16672">
              <w:rPr>
                <w:rFonts w:ascii="Times New Roman" w:hAnsi="Times New Roman"/>
                <w:color w:val="000000"/>
                <w:sz w:val="16"/>
                <w:szCs w:val="16"/>
                <w:lang w:val="uk-UA"/>
              </w:rPr>
              <w:t>which</w:t>
            </w:r>
            <w:proofErr w:type="spellEnd"/>
            <w:r w:rsidR="005C5318" w:rsidRPr="00E16672">
              <w:rPr>
                <w:rFonts w:ascii="Times New Roman" w:hAnsi="Times New Roman"/>
                <w:color w:val="000000"/>
                <w:sz w:val="16"/>
                <w:szCs w:val="16"/>
                <w:lang w:val="uk-UA"/>
              </w:rPr>
              <w:t xml:space="preserve"> </w:t>
            </w:r>
            <w:proofErr w:type="spellStart"/>
            <w:r w:rsidR="005C5318" w:rsidRPr="00E16672">
              <w:rPr>
                <w:rFonts w:ascii="Times New Roman" w:hAnsi="Times New Roman"/>
                <w:color w:val="000000"/>
                <w:sz w:val="16"/>
                <w:szCs w:val="16"/>
                <w:lang w:val="uk-UA"/>
              </w:rPr>
              <w:t>indicated</w:t>
            </w:r>
            <w:proofErr w:type="spellEnd"/>
            <w:r w:rsidR="005C5318" w:rsidRPr="00E16672">
              <w:rPr>
                <w:rFonts w:ascii="Times New Roman" w:hAnsi="Times New Roman"/>
                <w:color w:val="000000"/>
                <w:sz w:val="16"/>
                <w:szCs w:val="16"/>
                <w:lang w:val="uk-UA"/>
              </w:rPr>
              <w:t xml:space="preserve"> </w:t>
            </w:r>
            <w:proofErr w:type="spellStart"/>
            <w:r w:rsidR="005C5318" w:rsidRPr="00E16672">
              <w:rPr>
                <w:rFonts w:ascii="Times New Roman" w:hAnsi="Times New Roman"/>
                <w:color w:val="000000"/>
                <w:sz w:val="16"/>
                <w:szCs w:val="16"/>
                <w:lang w:val="uk-UA"/>
              </w:rPr>
              <w:t>in</w:t>
            </w:r>
            <w:proofErr w:type="spellEnd"/>
            <w:r w:rsidR="005C5318" w:rsidRPr="00E16672">
              <w:rPr>
                <w:rFonts w:ascii="Times New Roman" w:hAnsi="Times New Roman"/>
                <w:color w:val="000000"/>
                <w:sz w:val="16"/>
                <w:szCs w:val="16"/>
                <w:lang w:val="uk-UA"/>
              </w:rPr>
              <w:t xml:space="preserve"> </w:t>
            </w:r>
            <w:proofErr w:type="spellStart"/>
            <w:r w:rsidR="005C5318" w:rsidRPr="00E16672">
              <w:rPr>
                <w:rFonts w:ascii="Times New Roman" w:hAnsi="Times New Roman"/>
                <w:color w:val="000000"/>
                <w:sz w:val="16"/>
                <w:szCs w:val="16"/>
                <w:lang w:val="uk-UA"/>
              </w:rPr>
              <w:t>the</w:t>
            </w:r>
            <w:proofErr w:type="spellEnd"/>
            <w:r w:rsidR="005C5318" w:rsidRPr="00E16672">
              <w:rPr>
                <w:rFonts w:ascii="Times New Roman" w:hAnsi="Times New Roman"/>
                <w:color w:val="000000"/>
                <w:sz w:val="16"/>
                <w:szCs w:val="16"/>
                <w:lang w:val="uk-UA"/>
              </w:rPr>
              <w:t xml:space="preserve"> </w:t>
            </w:r>
            <w:proofErr w:type="spellStart"/>
            <w:r w:rsidR="005C5318" w:rsidRPr="00E16672">
              <w:rPr>
                <w:rFonts w:ascii="Times New Roman" w:hAnsi="Times New Roman"/>
                <w:color w:val="000000"/>
                <w:sz w:val="16"/>
                <w:szCs w:val="16"/>
                <w:lang w:val="uk-UA"/>
              </w:rPr>
              <w:t>Depositor’s</w:t>
            </w:r>
            <w:proofErr w:type="spellEnd"/>
            <w:r w:rsidR="005C5318" w:rsidRPr="00E16672">
              <w:rPr>
                <w:rFonts w:ascii="Times New Roman" w:hAnsi="Times New Roman"/>
                <w:color w:val="000000"/>
                <w:sz w:val="16"/>
                <w:szCs w:val="16"/>
                <w:lang w:val="uk-UA"/>
              </w:rPr>
              <w:t xml:space="preserve"> </w:t>
            </w:r>
            <w:proofErr w:type="spellStart"/>
            <w:r w:rsidR="005C5318" w:rsidRPr="00E16672">
              <w:rPr>
                <w:rFonts w:ascii="Times New Roman" w:hAnsi="Times New Roman"/>
                <w:color w:val="000000"/>
                <w:sz w:val="16"/>
                <w:szCs w:val="16"/>
                <w:lang w:val="uk-UA"/>
              </w:rPr>
              <w:t>form</w:t>
            </w:r>
            <w:proofErr w:type="spellEnd"/>
            <w:r w:rsidR="005C5318" w:rsidRPr="00E16672">
              <w:rPr>
                <w:rFonts w:ascii="Times New Roman" w:hAnsi="Times New Roman"/>
                <w:color w:val="000000"/>
                <w:sz w:val="16"/>
                <w:szCs w:val="16"/>
                <w:lang w:val="uk-UA"/>
              </w:rPr>
              <w:t xml:space="preserve"> </w:t>
            </w:r>
            <w:proofErr w:type="spellStart"/>
            <w:r w:rsidR="005C5318" w:rsidRPr="00E16672">
              <w:rPr>
                <w:rFonts w:ascii="Times New Roman" w:hAnsi="Times New Roman"/>
                <w:color w:val="000000"/>
                <w:sz w:val="16"/>
                <w:szCs w:val="16"/>
                <w:lang w:val="uk-UA"/>
              </w:rPr>
              <w:t>of</w:t>
            </w:r>
            <w:proofErr w:type="spellEnd"/>
            <w:r w:rsidR="005C5318" w:rsidRPr="00E16672">
              <w:rPr>
                <w:rFonts w:ascii="Times New Roman" w:hAnsi="Times New Roman"/>
                <w:color w:val="000000"/>
                <w:sz w:val="16"/>
                <w:szCs w:val="16"/>
                <w:lang w:val="uk-UA"/>
              </w:rPr>
              <w:t xml:space="preserve">  </w:t>
            </w:r>
            <w:proofErr w:type="spellStart"/>
            <w:r w:rsidR="005C5318" w:rsidRPr="00E16672">
              <w:rPr>
                <w:rFonts w:ascii="Times New Roman" w:hAnsi="Times New Roman"/>
                <w:color w:val="000000"/>
                <w:sz w:val="16"/>
                <w:szCs w:val="16"/>
                <w:lang w:val="uk-UA"/>
              </w:rPr>
              <w:t>the</w:t>
            </w:r>
            <w:proofErr w:type="spellEnd"/>
            <w:r w:rsidR="005C5318" w:rsidRPr="00E16672">
              <w:rPr>
                <w:rFonts w:ascii="Times New Roman" w:hAnsi="Times New Roman"/>
                <w:color w:val="000000"/>
                <w:sz w:val="16"/>
                <w:szCs w:val="16"/>
                <w:lang w:val="uk-UA"/>
              </w:rPr>
              <w:t xml:space="preserve"> </w:t>
            </w:r>
            <w:proofErr w:type="spellStart"/>
            <w:r w:rsidR="005C5318" w:rsidRPr="00E16672">
              <w:rPr>
                <w:rFonts w:ascii="Times New Roman" w:hAnsi="Times New Roman"/>
                <w:color w:val="000000"/>
                <w:sz w:val="16"/>
                <w:szCs w:val="16"/>
                <w:lang w:val="uk-UA"/>
              </w:rPr>
              <w:t>account</w:t>
            </w:r>
            <w:proofErr w:type="spellEnd"/>
            <w:r w:rsidR="005C5318" w:rsidRPr="00E16672">
              <w:rPr>
                <w:rFonts w:ascii="Times New Roman" w:hAnsi="Times New Roman"/>
                <w:color w:val="000000"/>
                <w:sz w:val="16"/>
                <w:szCs w:val="16"/>
                <w:lang w:val="uk-UA"/>
              </w:rPr>
              <w:t xml:space="preserve"> </w:t>
            </w:r>
            <w:proofErr w:type="spellStart"/>
            <w:r w:rsidR="005C5318" w:rsidRPr="00E16672">
              <w:rPr>
                <w:rFonts w:ascii="Times New Roman" w:hAnsi="Times New Roman"/>
                <w:color w:val="000000"/>
                <w:sz w:val="16"/>
                <w:szCs w:val="16"/>
                <w:lang w:val="uk-UA"/>
              </w:rPr>
              <w:t>securities</w:t>
            </w:r>
            <w:proofErr w:type="spellEnd"/>
            <w:r w:rsidR="005C5318" w:rsidRPr="00E16672">
              <w:rPr>
                <w:rFonts w:ascii="Times New Roman" w:hAnsi="Times New Roman"/>
                <w:color w:val="000000"/>
                <w:sz w:val="16"/>
                <w:szCs w:val="16"/>
                <w:lang w:val="uk-UA"/>
              </w:rPr>
              <w:t>.</w:t>
            </w:r>
          </w:p>
        </w:tc>
      </w:tr>
      <w:tr w:rsidR="005C5318" w:rsidRPr="00F23413" w14:paraId="0D15CDE1" w14:textId="77777777" w:rsidTr="005E418B">
        <w:trPr>
          <w:trHeight w:val="192"/>
        </w:trPr>
        <w:tc>
          <w:tcPr>
            <w:tcW w:w="5695" w:type="dxa"/>
            <w:gridSpan w:val="6"/>
            <w:shd w:val="clear" w:color="auto" w:fill="auto"/>
          </w:tcPr>
          <w:p w14:paraId="29EE0195" w14:textId="77777777" w:rsidR="005C5318" w:rsidRPr="00E16672" w:rsidRDefault="005C5318" w:rsidP="009D3C4B">
            <w:pPr>
              <w:snapToGrid w:val="0"/>
              <w:spacing w:before="57" w:after="57"/>
              <w:ind w:left="175" w:right="138" w:firstLine="4"/>
              <w:rPr>
                <w:rFonts w:ascii="Times New Roman" w:hAnsi="Times New Roman"/>
                <w:color w:val="000000"/>
                <w:sz w:val="16"/>
                <w:szCs w:val="16"/>
                <w:lang w:val="uk-UA"/>
              </w:rPr>
            </w:pPr>
            <w:r w:rsidRPr="00E16672">
              <w:rPr>
                <w:rFonts w:ascii="Times New Roman" w:hAnsi="Times New Roman"/>
                <w:color w:val="000000"/>
                <w:sz w:val="16"/>
                <w:szCs w:val="16"/>
                <w:lang w:val="uk-UA"/>
              </w:rPr>
              <w:t xml:space="preserve">Якщо в анкеті Депонента відсутні реквізити діючого грошового банківського рахунку на дату надходження до Депозитарної установи відповідних коштів, виплата доходу за цінними паперами здійснюється не пізніше, ніж за </w:t>
            </w:r>
            <w:r w:rsidRPr="00E16672">
              <w:rPr>
                <w:rFonts w:ascii="Times New Roman" w:hAnsi="Times New Roman"/>
                <w:i/>
                <w:color w:val="000000"/>
                <w:sz w:val="16"/>
                <w:szCs w:val="16"/>
                <w:lang w:val="uk-UA"/>
              </w:rPr>
              <w:t>десять робочих днів</w:t>
            </w:r>
            <w:r w:rsidRPr="00E16672">
              <w:rPr>
                <w:rFonts w:ascii="Times New Roman" w:hAnsi="Times New Roman"/>
                <w:color w:val="000000"/>
                <w:sz w:val="16"/>
                <w:szCs w:val="16"/>
                <w:lang w:val="uk-UA"/>
              </w:rPr>
              <w:t xml:space="preserve"> до закінчення </w:t>
            </w:r>
            <w:r w:rsidRPr="00E16672">
              <w:rPr>
                <w:rFonts w:ascii="Times New Roman" w:hAnsi="Times New Roman"/>
                <w:i/>
                <w:color w:val="000000"/>
                <w:sz w:val="16"/>
                <w:szCs w:val="16"/>
                <w:lang w:val="uk-UA"/>
              </w:rPr>
              <w:t>шестимісячного терміну</w:t>
            </w:r>
            <w:r w:rsidRPr="00E16672">
              <w:rPr>
                <w:rFonts w:ascii="Times New Roman" w:hAnsi="Times New Roman"/>
                <w:color w:val="000000"/>
                <w:sz w:val="16"/>
                <w:szCs w:val="16"/>
                <w:lang w:val="uk-UA"/>
              </w:rPr>
              <w:t xml:space="preserve"> знаходження коштів у Депозитарній установі у разі внесення Депонентом до анкети рахунку </w:t>
            </w:r>
            <w:r w:rsidR="00C22309" w:rsidRPr="00E16672">
              <w:rPr>
                <w:rFonts w:ascii="Times New Roman" w:hAnsi="Times New Roman"/>
                <w:color w:val="000000"/>
                <w:sz w:val="16"/>
                <w:szCs w:val="16"/>
                <w:lang w:val="uk-UA"/>
              </w:rPr>
              <w:t>в цін</w:t>
            </w:r>
            <w:r w:rsidRPr="00E16672">
              <w:rPr>
                <w:rFonts w:ascii="Times New Roman" w:hAnsi="Times New Roman"/>
                <w:color w:val="000000"/>
                <w:sz w:val="16"/>
                <w:szCs w:val="16"/>
                <w:lang w:val="uk-UA"/>
              </w:rPr>
              <w:t xml:space="preserve">них паперах не пізніше ніж за </w:t>
            </w:r>
            <w:r w:rsidRPr="00E16672">
              <w:rPr>
                <w:rFonts w:ascii="Times New Roman" w:hAnsi="Times New Roman"/>
                <w:i/>
                <w:color w:val="000000"/>
                <w:sz w:val="16"/>
                <w:szCs w:val="16"/>
                <w:lang w:val="uk-UA"/>
              </w:rPr>
              <w:t xml:space="preserve">п'ятнадцять робочих днів </w:t>
            </w:r>
            <w:r w:rsidRPr="00E16672">
              <w:rPr>
                <w:rFonts w:ascii="Times New Roman" w:hAnsi="Times New Roman"/>
                <w:color w:val="000000"/>
                <w:sz w:val="16"/>
                <w:szCs w:val="16"/>
                <w:lang w:val="uk-UA"/>
              </w:rPr>
              <w:t xml:space="preserve">до закінчення зазначеного терміну інформації щодо діючого грошового банківського рахунку. </w:t>
            </w:r>
          </w:p>
        </w:tc>
        <w:tc>
          <w:tcPr>
            <w:tcW w:w="5495" w:type="dxa"/>
            <w:gridSpan w:val="6"/>
            <w:shd w:val="clear" w:color="auto" w:fill="auto"/>
          </w:tcPr>
          <w:p w14:paraId="2ABF6F19" w14:textId="77777777" w:rsidR="005C5318" w:rsidRPr="00E16672" w:rsidRDefault="005C5318" w:rsidP="009D3C4B">
            <w:pPr>
              <w:snapToGrid w:val="0"/>
              <w:spacing w:before="57" w:after="57"/>
              <w:ind w:left="175" w:right="138" w:hanging="27"/>
              <w:rPr>
                <w:rFonts w:ascii="Times New Roman" w:hAnsi="Times New Roman"/>
                <w:color w:val="000000"/>
                <w:sz w:val="16"/>
                <w:szCs w:val="16"/>
                <w:lang w:val="uk-UA"/>
              </w:rPr>
            </w:pPr>
            <w:proofErr w:type="spellStart"/>
            <w:r w:rsidRPr="00E16672">
              <w:rPr>
                <w:rFonts w:ascii="Times New Roman" w:hAnsi="Times New Roman"/>
                <w:color w:val="000000"/>
                <w:sz w:val="16"/>
                <w:szCs w:val="16"/>
                <w:lang w:val="uk-UA"/>
              </w:rPr>
              <w:t>If</w:t>
            </w:r>
            <w:proofErr w:type="spellEnd"/>
            <w:r w:rsidRPr="00E16672">
              <w:rPr>
                <w:rFonts w:ascii="Times New Roman" w:hAnsi="Times New Roman"/>
                <w:color w:val="000000"/>
                <w:sz w:val="16"/>
                <w:szCs w:val="16"/>
                <w:lang w:val="en-US"/>
              </w:rPr>
              <w:t xml:space="preserve"> in</w:t>
            </w:r>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the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Depositor’s</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form</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of</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the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account</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securities</w:t>
            </w:r>
            <w:proofErr w:type="spellEnd"/>
            <w:r w:rsidRPr="00E16672">
              <w:rPr>
                <w:rFonts w:ascii="Times New Roman" w:hAnsi="Times New Roman"/>
                <w:color w:val="000000"/>
                <w:sz w:val="16"/>
                <w:szCs w:val="16"/>
                <w:lang w:val="uk-UA"/>
              </w:rPr>
              <w:t xml:space="preserve"> </w:t>
            </w:r>
            <w:r w:rsidRPr="00E16672">
              <w:rPr>
                <w:rFonts w:ascii="Times New Roman" w:hAnsi="Times New Roman"/>
                <w:color w:val="000000"/>
                <w:sz w:val="16"/>
                <w:szCs w:val="16"/>
                <w:lang w:val="en-US"/>
              </w:rPr>
              <w:t xml:space="preserve"> there are </w:t>
            </w:r>
            <w:proofErr w:type="spellStart"/>
            <w:r w:rsidRPr="00E16672">
              <w:rPr>
                <w:rFonts w:ascii="Times New Roman" w:hAnsi="Times New Roman"/>
                <w:color w:val="000000"/>
                <w:sz w:val="16"/>
                <w:szCs w:val="16"/>
                <w:lang w:val="uk-UA"/>
              </w:rPr>
              <w:t>no</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details</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of</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the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current</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monetary</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bank</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account</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on</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the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date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of</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receipt</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by</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the</w:t>
            </w:r>
            <w:proofErr w:type="spellEnd"/>
            <w:r w:rsidRPr="00E16672">
              <w:rPr>
                <w:rFonts w:ascii="Times New Roman" w:hAnsi="Times New Roman"/>
                <w:color w:val="000000"/>
                <w:sz w:val="16"/>
                <w:szCs w:val="16"/>
                <w:lang w:val="uk-UA"/>
              </w:rPr>
              <w:t xml:space="preserve"> </w:t>
            </w:r>
            <w:r w:rsidRPr="00E16672">
              <w:rPr>
                <w:rFonts w:ascii="Times New Roman" w:hAnsi="Times New Roman"/>
                <w:color w:val="000000"/>
                <w:sz w:val="16"/>
                <w:szCs w:val="16"/>
                <w:lang w:val="en-US"/>
              </w:rPr>
              <w:t>D</w:t>
            </w:r>
            <w:proofErr w:type="spellStart"/>
            <w:r w:rsidRPr="00E16672">
              <w:rPr>
                <w:rFonts w:ascii="Times New Roman" w:hAnsi="Times New Roman"/>
                <w:color w:val="000000"/>
                <w:sz w:val="16"/>
                <w:szCs w:val="16"/>
                <w:lang w:val="uk-UA"/>
              </w:rPr>
              <w:t>epository</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institution</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of</w:t>
            </w:r>
            <w:proofErr w:type="spellEnd"/>
            <w:r w:rsidRPr="00E16672">
              <w:rPr>
                <w:rFonts w:ascii="Times New Roman" w:hAnsi="Times New Roman"/>
                <w:color w:val="000000"/>
                <w:sz w:val="16"/>
                <w:szCs w:val="16"/>
                <w:lang w:val="uk-UA"/>
              </w:rPr>
              <w:t xml:space="preserve"> </w:t>
            </w:r>
            <w:r w:rsidRPr="00E16672">
              <w:rPr>
                <w:rFonts w:ascii="Times New Roman" w:hAnsi="Times New Roman"/>
                <w:color w:val="000000"/>
                <w:sz w:val="16"/>
                <w:szCs w:val="16"/>
                <w:lang w:val="en-US"/>
              </w:rPr>
              <w:t>money</w:t>
            </w:r>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the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payment</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income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for</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securities</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carried</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out</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not</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later</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than</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i/>
                <w:color w:val="000000"/>
                <w:sz w:val="16"/>
                <w:szCs w:val="16"/>
                <w:lang w:val="uk-UA"/>
              </w:rPr>
              <w:t>ten</w:t>
            </w:r>
            <w:proofErr w:type="spellEnd"/>
            <w:r w:rsidRPr="00E16672">
              <w:rPr>
                <w:rFonts w:ascii="Times New Roman" w:hAnsi="Times New Roman"/>
                <w:i/>
                <w:color w:val="000000"/>
                <w:sz w:val="16"/>
                <w:szCs w:val="16"/>
                <w:lang w:val="uk-UA"/>
              </w:rPr>
              <w:t xml:space="preserve"> </w:t>
            </w:r>
            <w:proofErr w:type="spellStart"/>
            <w:r w:rsidRPr="00E16672">
              <w:rPr>
                <w:rFonts w:ascii="Times New Roman" w:hAnsi="Times New Roman"/>
                <w:i/>
                <w:color w:val="000000"/>
                <w:sz w:val="16"/>
                <w:szCs w:val="16"/>
                <w:lang w:val="uk-UA"/>
              </w:rPr>
              <w:t>working</w:t>
            </w:r>
            <w:proofErr w:type="spellEnd"/>
            <w:r w:rsidRPr="00E16672">
              <w:rPr>
                <w:rFonts w:ascii="Times New Roman" w:hAnsi="Times New Roman"/>
                <w:i/>
                <w:color w:val="000000"/>
                <w:sz w:val="16"/>
                <w:szCs w:val="16"/>
                <w:lang w:val="uk-UA"/>
              </w:rPr>
              <w:t xml:space="preserve"> </w:t>
            </w:r>
            <w:proofErr w:type="spellStart"/>
            <w:r w:rsidRPr="00E16672">
              <w:rPr>
                <w:rFonts w:ascii="Times New Roman" w:hAnsi="Times New Roman"/>
                <w:i/>
                <w:color w:val="000000"/>
                <w:sz w:val="16"/>
                <w:szCs w:val="16"/>
                <w:lang w:val="uk-UA"/>
              </w:rPr>
              <w:t>days</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before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the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expiry</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of</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i/>
                <w:color w:val="000000"/>
                <w:sz w:val="16"/>
                <w:szCs w:val="16"/>
                <w:lang w:val="uk-UA"/>
              </w:rPr>
              <w:t>six</w:t>
            </w:r>
            <w:proofErr w:type="spellEnd"/>
            <w:r w:rsidRPr="00E16672">
              <w:rPr>
                <w:rFonts w:ascii="Times New Roman" w:hAnsi="Times New Roman"/>
                <w:i/>
                <w:color w:val="000000"/>
                <w:sz w:val="16"/>
                <w:szCs w:val="16"/>
                <w:lang w:val="uk-UA"/>
              </w:rPr>
              <w:t xml:space="preserve"> </w:t>
            </w:r>
            <w:proofErr w:type="spellStart"/>
            <w:r w:rsidRPr="00E16672">
              <w:rPr>
                <w:rFonts w:ascii="Times New Roman" w:hAnsi="Times New Roman"/>
                <w:i/>
                <w:color w:val="000000"/>
                <w:sz w:val="16"/>
                <w:szCs w:val="16"/>
                <w:lang w:val="uk-UA"/>
              </w:rPr>
              <w:t>months</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of</w:t>
            </w:r>
            <w:proofErr w:type="spellEnd"/>
            <w:r w:rsidRPr="00E16672">
              <w:rPr>
                <w:rFonts w:ascii="Times New Roman" w:hAnsi="Times New Roman"/>
                <w:color w:val="000000"/>
                <w:sz w:val="16"/>
                <w:szCs w:val="16"/>
                <w:lang w:val="uk-UA"/>
              </w:rPr>
              <w:t xml:space="preserve"> </w:t>
            </w:r>
            <w:r w:rsidRPr="00E16672">
              <w:rPr>
                <w:rFonts w:ascii="Times New Roman" w:hAnsi="Times New Roman"/>
                <w:color w:val="000000"/>
                <w:sz w:val="16"/>
                <w:szCs w:val="16"/>
                <w:lang w:val="en-US"/>
              </w:rPr>
              <w:t xml:space="preserve">money, which are </w:t>
            </w:r>
            <w:proofErr w:type="spellStart"/>
            <w:r w:rsidRPr="00E16672">
              <w:rPr>
                <w:rFonts w:ascii="Times New Roman" w:hAnsi="Times New Roman"/>
                <w:color w:val="000000"/>
                <w:sz w:val="16"/>
                <w:szCs w:val="16"/>
                <w:lang w:val="uk-UA"/>
              </w:rPr>
              <w:t>in</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the</w:t>
            </w:r>
            <w:proofErr w:type="spellEnd"/>
            <w:r w:rsidRPr="00E16672">
              <w:rPr>
                <w:rFonts w:ascii="Times New Roman" w:hAnsi="Times New Roman"/>
                <w:color w:val="000000"/>
                <w:sz w:val="16"/>
                <w:szCs w:val="16"/>
                <w:lang w:val="uk-UA"/>
              </w:rPr>
              <w:t xml:space="preserve"> </w:t>
            </w:r>
            <w:r w:rsidRPr="00E16672">
              <w:rPr>
                <w:rFonts w:ascii="Times New Roman" w:hAnsi="Times New Roman"/>
                <w:color w:val="000000"/>
                <w:sz w:val="16"/>
                <w:szCs w:val="16"/>
                <w:lang w:val="en-US"/>
              </w:rPr>
              <w:t>D</w:t>
            </w:r>
            <w:proofErr w:type="spellStart"/>
            <w:r w:rsidRPr="00E16672">
              <w:rPr>
                <w:rFonts w:ascii="Times New Roman" w:hAnsi="Times New Roman"/>
                <w:color w:val="000000"/>
                <w:sz w:val="16"/>
                <w:szCs w:val="16"/>
                <w:lang w:val="uk-UA"/>
              </w:rPr>
              <w:t>epository</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institution</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en-US"/>
              </w:rPr>
              <w:t>i</w:t>
            </w:r>
            <w:proofErr w:type="spellEnd"/>
            <w:r w:rsidRPr="00E16672">
              <w:rPr>
                <w:rFonts w:ascii="Times New Roman" w:hAnsi="Times New Roman"/>
                <w:color w:val="000000"/>
                <w:sz w:val="16"/>
                <w:szCs w:val="16"/>
                <w:lang w:val="uk-UA"/>
              </w:rPr>
              <w:t xml:space="preserve">n </w:t>
            </w:r>
            <w:proofErr w:type="spellStart"/>
            <w:r w:rsidRPr="00E16672">
              <w:rPr>
                <w:rFonts w:ascii="Times New Roman" w:hAnsi="Times New Roman"/>
                <w:color w:val="000000"/>
                <w:sz w:val="16"/>
                <w:szCs w:val="16"/>
                <w:lang w:val="uk-UA"/>
              </w:rPr>
              <w:t>case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of</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introduction</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information</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about</w:t>
            </w:r>
            <w:proofErr w:type="spellEnd"/>
            <w:r w:rsidRPr="00E16672">
              <w:rPr>
                <w:rFonts w:ascii="Times New Roman" w:hAnsi="Times New Roman"/>
                <w:color w:val="000000"/>
                <w:sz w:val="16"/>
                <w:szCs w:val="16"/>
                <w:lang w:val="uk-UA"/>
              </w:rPr>
              <w:t xml:space="preserve"> </w:t>
            </w:r>
            <w:r w:rsidRPr="00E16672">
              <w:rPr>
                <w:rFonts w:ascii="Times New Roman" w:hAnsi="Times New Roman"/>
                <w:color w:val="000000"/>
                <w:sz w:val="16"/>
                <w:szCs w:val="16"/>
                <w:lang w:val="en-US"/>
              </w:rPr>
              <w:t>current</w:t>
            </w:r>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monetary</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bank</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account</w:t>
            </w:r>
            <w:proofErr w:type="spellEnd"/>
            <w:r w:rsidRPr="00E16672">
              <w:rPr>
                <w:rFonts w:ascii="Times New Roman" w:hAnsi="Times New Roman"/>
                <w:color w:val="000000"/>
                <w:sz w:val="16"/>
                <w:szCs w:val="16"/>
                <w:lang w:val="en-US"/>
              </w:rPr>
              <w:t xml:space="preserve"> by </w:t>
            </w:r>
            <w:proofErr w:type="spellStart"/>
            <w:r w:rsidRPr="00E16672">
              <w:rPr>
                <w:rFonts w:ascii="Times New Roman" w:hAnsi="Times New Roman"/>
                <w:color w:val="000000"/>
                <w:sz w:val="16"/>
                <w:szCs w:val="16"/>
                <w:lang w:val="uk-UA"/>
              </w:rPr>
              <w:t>Depositor</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to</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the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form</w:t>
            </w:r>
            <w:proofErr w:type="spellEnd"/>
            <w:r w:rsidRPr="00E16672">
              <w:rPr>
                <w:rFonts w:ascii="Times New Roman" w:hAnsi="Times New Roman"/>
                <w:color w:val="000000"/>
                <w:sz w:val="16"/>
                <w:szCs w:val="16"/>
                <w:lang w:val="uk-UA"/>
              </w:rPr>
              <w:t xml:space="preserve"> </w:t>
            </w:r>
            <w:r w:rsidRPr="00E16672">
              <w:rPr>
                <w:rFonts w:ascii="Times New Roman" w:hAnsi="Times New Roman"/>
                <w:color w:val="000000"/>
                <w:sz w:val="16"/>
                <w:szCs w:val="16"/>
                <w:lang w:val="en-US"/>
              </w:rPr>
              <w:t xml:space="preserve">of the </w:t>
            </w:r>
            <w:proofErr w:type="spellStart"/>
            <w:r w:rsidRPr="00E16672">
              <w:rPr>
                <w:rFonts w:ascii="Times New Roman" w:hAnsi="Times New Roman"/>
                <w:color w:val="000000"/>
                <w:sz w:val="16"/>
                <w:szCs w:val="16"/>
                <w:lang w:val="uk-UA"/>
              </w:rPr>
              <w:t>account</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in</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securities</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not</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later</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than</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i/>
                <w:color w:val="000000"/>
                <w:sz w:val="16"/>
                <w:szCs w:val="16"/>
                <w:lang w:val="uk-UA"/>
              </w:rPr>
              <w:t>fifteen</w:t>
            </w:r>
            <w:proofErr w:type="spellEnd"/>
            <w:r w:rsidRPr="00E16672">
              <w:rPr>
                <w:rFonts w:ascii="Times New Roman" w:hAnsi="Times New Roman"/>
                <w:i/>
                <w:color w:val="000000"/>
                <w:sz w:val="16"/>
                <w:szCs w:val="16"/>
                <w:lang w:val="uk-UA"/>
              </w:rPr>
              <w:t xml:space="preserve"> </w:t>
            </w:r>
            <w:proofErr w:type="spellStart"/>
            <w:r w:rsidRPr="00E16672">
              <w:rPr>
                <w:rFonts w:ascii="Times New Roman" w:hAnsi="Times New Roman"/>
                <w:i/>
                <w:color w:val="000000"/>
                <w:sz w:val="16"/>
                <w:szCs w:val="16"/>
                <w:lang w:val="uk-UA"/>
              </w:rPr>
              <w:t>days</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before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the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expiration</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of</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the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term</w:t>
            </w:r>
            <w:proofErr w:type="spellEnd"/>
            <w:r w:rsidRPr="00E16672">
              <w:rPr>
                <w:rFonts w:ascii="Times New Roman" w:hAnsi="Times New Roman"/>
                <w:color w:val="000000"/>
                <w:sz w:val="16"/>
                <w:szCs w:val="16"/>
                <w:lang w:val="uk-UA"/>
              </w:rPr>
              <w:t>.</w:t>
            </w:r>
          </w:p>
        </w:tc>
      </w:tr>
      <w:tr w:rsidR="005C5318" w:rsidRPr="00F23413" w14:paraId="10E595E7" w14:textId="77777777" w:rsidTr="005E418B">
        <w:trPr>
          <w:trHeight w:val="192"/>
        </w:trPr>
        <w:tc>
          <w:tcPr>
            <w:tcW w:w="5695" w:type="dxa"/>
            <w:gridSpan w:val="6"/>
            <w:shd w:val="clear" w:color="auto" w:fill="auto"/>
          </w:tcPr>
          <w:p w14:paraId="1887E245" w14:textId="77777777" w:rsidR="005C5318" w:rsidRPr="00E16672" w:rsidRDefault="005C5318" w:rsidP="009D3C4B">
            <w:pPr>
              <w:snapToGrid w:val="0"/>
              <w:spacing w:before="57" w:after="57"/>
              <w:ind w:left="175" w:right="138" w:firstLine="4"/>
              <w:rPr>
                <w:rFonts w:ascii="Times New Roman" w:hAnsi="Times New Roman"/>
                <w:color w:val="000000"/>
                <w:sz w:val="16"/>
                <w:szCs w:val="16"/>
                <w:lang w:val="uk-UA"/>
              </w:rPr>
            </w:pPr>
            <w:r w:rsidRPr="00E16672">
              <w:rPr>
                <w:rFonts w:ascii="Times New Roman" w:hAnsi="Times New Roman"/>
                <w:color w:val="000000"/>
                <w:sz w:val="16"/>
                <w:szCs w:val="16"/>
                <w:lang w:val="uk-UA"/>
              </w:rPr>
              <w:t>Щодо коштів, які надійшли на грошовий рахунок Депозитарної установи з метою їх подальшого переказу та не були виплачені Депоненту через незалежні від Депозитарної установи обставини у разі не вчинення Депонентом необхідних дій для їх отримання, Депозитарною установою вчиняються дії у порядку, передбаченому законодавством та/або внутрішніми документами Депозитарної установи.</w:t>
            </w:r>
          </w:p>
        </w:tc>
        <w:tc>
          <w:tcPr>
            <w:tcW w:w="5495" w:type="dxa"/>
            <w:gridSpan w:val="6"/>
            <w:shd w:val="clear" w:color="auto" w:fill="auto"/>
          </w:tcPr>
          <w:p w14:paraId="30002704" w14:textId="77777777" w:rsidR="005C5318" w:rsidRPr="00E16672" w:rsidRDefault="005C5318" w:rsidP="009D3C4B">
            <w:pPr>
              <w:snapToGrid w:val="0"/>
              <w:spacing w:before="57" w:after="57"/>
              <w:ind w:left="175" w:right="138" w:hanging="27"/>
              <w:rPr>
                <w:rFonts w:ascii="Times New Roman" w:hAnsi="Times New Roman"/>
                <w:color w:val="000000"/>
                <w:sz w:val="16"/>
                <w:szCs w:val="16"/>
                <w:lang w:val="uk-UA"/>
              </w:rPr>
            </w:pPr>
            <w:proofErr w:type="spellStart"/>
            <w:r w:rsidRPr="00E16672">
              <w:rPr>
                <w:rFonts w:ascii="Times New Roman" w:hAnsi="Times New Roman"/>
                <w:color w:val="000000"/>
                <w:sz w:val="16"/>
                <w:szCs w:val="16"/>
                <w:lang w:val="uk-UA"/>
              </w:rPr>
              <w:t>As</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for</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the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money</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received</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on</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monetary</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account</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of</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Depository</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institution</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for</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their</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further</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transfer</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and</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have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not</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been</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paid</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out</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to</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the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Depositor</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through</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independent</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of</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Depository</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institution</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circumstances</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in</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case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do</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not</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committing</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by</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the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Depositor</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necessary</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actions</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to</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obtain</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them</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Depository</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institution</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performs</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actions</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according</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with</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the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legislation</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and</w:t>
            </w:r>
            <w:proofErr w:type="spellEnd"/>
            <w:r w:rsidRPr="00E16672">
              <w:rPr>
                <w:rFonts w:ascii="Times New Roman" w:hAnsi="Times New Roman"/>
                <w:color w:val="000000"/>
                <w:sz w:val="16"/>
                <w:szCs w:val="16"/>
                <w:lang w:val="uk-UA"/>
              </w:rPr>
              <w:t>/</w:t>
            </w:r>
            <w:proofErr w:type="spellStart"/>
            <w:r w:rsidRPr="00E16672">
              <w:rPr>
                <w:rFonts w:ascii="Times New Roman" w:hAnsi="Times New Roman"/>
                <w:color w:val="000000"/>
                <w:sz w:val="16"/>
                <w:szCs w:val="16"/>
                <w:lang w:val="uk-UA"/>
              </w:rPr>
              <w:t>or</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internal</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documents</w:t>
            </w:r>
            <w:proofErr w:type="spellEnd"/>
            <w:r w:rsidRPr="00E16672">
              <w:rPr>
                <w:rFonts w:ascii="Times New Roman" w:hAnsi="Times New Roman"/>
                <w:color w:val="000000"/>
                <w:sz w:val="16"/>
                <w:szCs w:val="16"/>
                <w:lang w:val="uk-UA"/>
              </w:rPr>
              <w:t xml:space="preserve"> </w:t>
            </w:r>
            <w:r w:rsidRPr="00E16672">
              <w:rPr>
                <w:rFonts w:ascii="Times New Roman" w:hAnsi="Times New Roman"/>
                <w:color w:val="000000"/>
                <w:sz w:val="16"/>
                <w:szCs w:val="16"/>
                <w:lang w:val="en-US"/>
              </w:rPr>
              <w:t xml:space="preserve">of </w:t>
            </w:r>
            <w:proofErr w:type="spellStart"/>
            <w:r w:rsidRPr="00E16672">
              <w:rPr>
                <w:rFonts w:ascii="Times New Roman" w:hAnsi="Times New Roman"/>
                <w:color w:val="000000"/>
                <w:sz w:val="16"/>
                <w:szCs w:val="16"/>
                <w:lang w:val="uk-UA"/>
              </w:rPr>
              <w:t>Depository</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institution</w:t>
            </w:r>
            <w:proofErr w:type="spellEnd"/>
            <w:r w:rsidRPr="00E16672">
              <w:rPr>
                <w:rFonts w:ascii="Times New Roman" w:hAnsi="Times New Roman"/>
                <w:color w:val="000000"/>
                <w:sz w:val="16"/>
                <w:szCs w:val="16"/>
                <w:lang w:val="uk-UA"/>
              </w:rPr>
              <w:t>.</w:t>
            </w:r>
          </w:p>
        </w:tc>
      </w:tr>
      <w:tr w:rsidR="005C5318" w:rsidRPr="00F23413" w14:paraId="18C1D45C" w14:textId="77777777" w:rsidTr="005E418B">
        <w:trPr>
          <w:trHeight w:val="192"/>
        </w:trPr>
        <w:tc>
          <w:tcPr>
            <w:tcW w:w="5695" w:type="dxa"/>
            <w:gridSpan w:val="6"/>
            <w:shd w:val="clear" w:color="auto" w:fill="auto"/>
          </w:tcPr>
          <w:p w14:paraId="52B48367" w14:textId="77777777" w:rsidR="005C5318" w:rsidRPr="00E16672" w:rsidRDefault="005C5318" w:rsidP="009D3C4B">
            <w:pPr>
              <w:snapToGrid w:val="0"/>
              <w:spacing w:before="57" w:after="57"/>
              <w:ind w:left="175" w:right="138" w:firstLine="4"/>
              <w:rPr>
                <w:rFonts w:ascii="Times New Roman" w:hAnsi="Times New Roman"/>
                <w:color w:val="000000"/>
                <w:sz w:val="16"/>
                <w:szCs w:val="16"/>
                <w:lang w:val="uk-UA"/>
              </w:rPr>
            </w:pPr>
            <w:r w:rsidRPr="00E16672">
              <w:rPr>
                <w:rFonts w:ascii="Times New Roman" w:hAnsi="Times New Roman"/>
                <w:color w:val="000000"/>
                <w:sz w:val="16"/>
                <w:szCs w:val="16"/>
                <w:lang w:val="uk-UA"/>
              </w:rPr>
              <w:t xml:space="preserve">11.1.2. У термін не пізніше </w:t>
            </w:r>
            <w:r w:rsidRPr="00E16672">
              <w:rPr>
                <w:rFonts w:ascii="Times New Roman" w:hAnsi="Times New Roman"/>
                <w:i/>
                <w:color w:val="000000"/>
                <w:sz w:val="16"/>
                <w:szCs w:val="16"/>
                <w:lang w:val="uk-UA"/>
              </w:rPr>
              <w:t>десяти робочих днів</w:t>
            </w:r>
            <w:r w:rsidRPr="00E16672">
              <w:rPr>
                <w:rFonts w:ascii="Times New Roman" w:hAnsi="Times New Roman"/>
                <w:color w:val="000000"/>
                <w:sz w:val="16"/>
                <w:szCs w:val="16"/>
                <w:lang w:val="uk-UA"/>
              </w:rPr>
              <w:t xml:space="preserve"> з моменту надходження відповідних коштів на грошовий рахунок Депозитарної установи Депозитарна установа здійснює виплату грошових коштів, отриманих Депонентом за результатами погашення цінних паперів емітента, шляхом перерахування грошових коштів на грошовий банківський рахунок Депонента, зазначений в анкеті рахунку в цінних паперах Депонента. Вищезазначені дії виконуються Депозитарною установою у разі наявності реквізитів діючого грошового банківського рахунку в анкеті рахунку </w:t>
            </w:r>
            <w:r w:rsidR="00C22309" w:rsidRPr="00E16672">
              <w:rPr>
                <w:rFonts w:ascii="Times New Roman" w:hAnsi="Times New Roman"/>
                <w:color w:val="000000"/>
                <w:sz w:val="16"/>
                <w:szCs w:val="16"/>
                <w:lang w:val="uk-UA"/>
              </w:rPr>
              <w:t>в цін</w:t>
            </w:r>
            <w:r w:rsidRPr="00E16672">
              <w:rPr>
                <w:rFonts w:ascii="Times New Roman" w:hAnsi="Times New Roman"/>
                <w:color w:val="000000"/>
                <w:sz w:val="16"/>
                <w:szCs w:val="16"/>
                <w:lang w:val="uk-UA"/>
              </w:rPr>
              <w:t>них паперах Депонента на момент надходження відповідних коштів на грошовий рахунок Депозитарної установи.</w:t>
            </w:r>
          </w:p>
        </w:tc>
        <w:tc>
          <w:tcPr>
            <w:tcW w:w="5495" w:type="dxa"/>
            <w:gridSpan w:val="6"/>
            <w:shd w:val="clear" w:color="auto" w:fill="auto"/>
          </w:tcPr>
          <w:p w14:paraId="7221E101" w14:textId="77777777" w:rsidR="005C5318" w:rsidRPr="00E16672" w:rsidRDefault="005C5318" w:rsidP="009D3C4B">
            <w:pPr>
              <w:snapToGrid w:val="0"/>
              <w:spacing w:before="57" w:after="57"/>
              <w:ind w:left="175" w:right="138" w:hanging="27"/>
              <w:rPr>
                <w:rFonts w:ascii="Times New Roman" w:hAnsi="Times New Roman"/>
                <w:color w:val="000000"/>
                <w:sz w:val="16"/>
                <w:szCs w:val="16"/>
                <w:lang w:val="uk-UA"/>
              </w:rPr>
            </w:pPr>
            <w:r w:rsidRPr="00E16672">
              <w:rPr>
                <w:rFonts w:ascii="Times New Roman" w:hAnsi="Times New Roman"/>
                <w:color w:val="000000"/>
                <w:sz w:val="16"/>
                <w:szCs w:val="16"/>
                <w:lang w:val="uk-UA"/>
              </w:rPr>
              <w:t xml:space="preserve">11.1.2. </w:t>
            </w:r>
            <w:proofErr w:type="spellStart"/>
            <w:r w:rsidRPr="00E16672">
              <w:rPr>
                <w:rFonts w:ascii="Times New Roman" w:hAnsi="Times New Roman"/>
                <w:color w:val="000000"/>
                <w:sz w:val="16"/>
                <w:szCs w:val="16"/>
                <w:lang w:val="uk-UA"/>
              </w:rPr>
              <w:t>In</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terms</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not</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later</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than</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i/>
                <w:color w:val="000000"/>
                <w:sz w:val="16"/>
                <w:szCs w:val="16"/>
                <w:lang w:val="uk-UA"/>
              </w:rPr>
              <w:t>ten</w:t>
            </w:r>
            <w:proofErr w:type="spellEnd"/>
            <w:r w:rsidRPr="00E16672">
              <w:rPr>
                <w:rFonts w:ascii="Times New Roman" w:hAnsi="Times New Roman"/>
                <w:i/>
                <w:color w:val="000000"/>
                <w:sz w:val="16"/>
                <w:szCs w:val="16"/>
                <w:lang w:val="uk-UA"/>
              </w:rPr>
              <w:t xml:space="preserve"> </w:t>
            </w:r>
            <w:proofErr w:type="spellStart"/>
            <w:r w:rsidRPr="00E16672">
              <w:rPr>
                <w:rFonts w:ascii="Times New Roman" w:hAnsi="Times New Roman"/>
                <w:i/>
                <w:color w:val="000000"/>
                <w:sz w:val="16"/>
                <w:szCs w:val="16"/>
                <w:lang w:val="uk-UA"/>
              </w:rPr>
              <w:t>working</w:t>
            </w:r>
            <w:proofErr w:type="spellEnd"/>
            <w:r w:rsidRPr="00E16672">
              <w:rPr>
                <w:rFonts w:ascii="Times New Roman" w:hAnsi="Times New Roman"/>
                <w:i/>
                <w:color w:val="000000"/>
                <w:sz w:val="16"/>
                <w:szCs w:val="16"/>
                <w:lang w:val="uk-UA"/>
              </w:rPr>
              <w:t xml:space="preserve"> </w:t>
            </w:r>
            <w:proofErr w:type="spellStart"/>
            <w:r w:rsidRPr="00E16672">
              <w:rPr>
                <w:rFonts w:ascii="Times New Roman" w:hAnsi="Times New Roman"/>
                <w:i/>
                <w:color w:val="000000"/>
                <w:sz w:val="16"/>
                <w:szCs w:val="16"/>
                <w:lang w:val="uk-UA"/>
              </w:rPr>
              <w:t>days</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after</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receipt</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of</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money</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on</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the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monetary</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account</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of</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Depository</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institution</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Depository</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institution</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pays</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money</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received</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by</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Depositor</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on</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the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results</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of</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redemption</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of</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securities</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of</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the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issuer</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by</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transferring</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money</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to</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the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Depositor’s</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bank</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monetary</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account</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indicated</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in</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the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Depositor’s</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form</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of</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the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account</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in</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securities</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The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above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actions</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Depository</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institution</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performs</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if</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there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are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details</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of</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the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current</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monetary</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bank</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account</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in</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Depositor’s</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form</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of</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the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account</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in</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securities</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at</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the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moment</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of</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receipt</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of</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the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money</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on</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the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monetary</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account</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of</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Depository</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institution</w:t>
            </w:r>
            <w:proofErr w:type="spellEnd"/>
            <w:r w:rsidRPr="00E16672">
              <w:rPr>
                <w:rFonts w:ascii="Times New Roman" w:hAnsi="Times New Roman"/>
                <w:color w:val="000000"/>
                <w:sz w:val="16"/>
                <w:szCs w:val="16"/>
                <w:lang w:val="uk-UA"/>
              </w:rPr>
              <w:t>.</w:t>
            </w:r>
          </w:p>
        </w:tc>
      </w:tr>
      <w:tr w:rsidR="005C5318" w:rsidRPr="00F23413" w14:paraId="6A43A72B" w14:textId="77777777" w:rsidTr="005E418B">
        <w:trPr>
          <w:trHeight w:val="192"/>
        </w:trPr>
        <w:tc>
          <w:tcPr>
            <w:tcW w:w="5695" w:type="dxa"/>
            <w:gridSpan w:val="6"/>
            <w:shd w:val="clear" w:color="auto" w:fill="auto"/>
          </w:tcPr>
          <w:p w14:paraId="5EFC7D99" w14:textId="77777777" w:rsidR="005C5318" w:rsidRPr="00E16672" w:rsidRDefault="005C5318" w:rsidP="009D3C4B">
            <w:pPr>
              <w:snapToGrid w:val="0"/>
              <w:spacing w:before="57" w:after="57"/>
              <w:ind w:left="175" w:right="138" w:firstLine="4"/>
              <w:rPr>
                <w:rFonts w:ascii="Times New Roman" w:hAnsi="Times New Roman"/>
                <w:color w:val="000000"/>
                <w:sz w:val="16"/>
                <w:szCs w:val="16"/>
              </w:rPr>
            </w:pPr>
            <w:r w:rsidRPr="00E16672">
              <w:rPr>
                <w:rFonts w:ascii="Times New Roman" w:hAnsi="Times New Roman"/>
                <w:color w:val="000000"/>
                <w:sz w:val="16"/>
                <w:szCs w:val="16"/>
              </w:rPr>
              <w:t>1</w:t>
            </w:r>
            <w:r w:rsidRPr="00E16672">
              <w:rPr>
                <w:rFonts w:ascii="Times New Roman" w:hAnsi="Times New Roman"/>
                <w:color w:val="000000"/>
                <w:sz w:val="16"/>
                <w:szCs w:val="16"/>
                <w:lang w:val="uk-UA"/>
              </w:rPr>
              <w:t>1</w:t>
            </w:r>
            <w:r w:rsidRPr="00E16672">
              <w:rPr>
                <w:rFonts w:ascii="Times New Roman" w:hAnsi="Times New Roman"/>
                <w:color w:val="000000"/>
                <w:sz w:val="16"/>
                <w:szCs w:val="16"/>
              </w:rPr>
              <w:t xml:space="preserve">.1.3. </w:t>
            </w:r>
            <w:proofErr w:type="spellStart"/>
            <w:r w:rsidRPr="00E16672">
              <w:rPr>
                <w:rFonts w:ascii="Times New Roman" w:hAnsi="Times New Roman"/>
                <w:color w:val="000000"/>
                <w:sz w:val="16"/>
                <w:szCs w:val="16"/>
              </w:rPr>
              <w:t>Якщо</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виплата</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доходів</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здійснюється</w:t>
            </w:r>
            <w:proofErr w:type="spellEnd"/>
            <w:r w:rsidRPr="00E16672">
              <w:rPr>
                <w:rFonts w:ascii="Times New Roman" w:hAnsi="Times New Roman"/>
                <w:color w:val="000000"/>
                <w:sz w:val="16"/>
                <w:szCs w:val="16"/>
              </w:rPr>
              <w:t xml:space="preserve"> </w:t>
            </w:r>
            <w:r w:rsidR="00C22309" w:rsidRPr="00E16672">
              <w:rPr>
                <w:rFonts w:ascii="Times New Roman" w:hAnsi="Times New Roman"/>
                <w:color w:val="000000"/>
                <w:sz w:val="16"/>
                <w:szCs w:val="16"/>
              </w:rPr>
              <w:t xml:space="preserve">в </w:t>
            </w:r>
            <w:proofErr w:type="spellStart"/>
            <w:r w:rsidR="00C22309" w:rsidRPr="00E16672">
              <w:rPr>
                <w:rFonts w:ascii="Times New Roman" w:hAnsi="Times New Roman"/>
                <w:color w:val="000000"/>
                <w:sz w:val="16"/>
                <w:szCs w:val="16"/>
              </w:rPr>
              <w:t>цін</w:t>
            </w:r>
            <w:r w:rsidRPr="00E16672">
              <w:rPr>
                <w:rFonts w:ascii="Times New Roman" w:hAnsi="Times New Roman"/>
                <w:color w:val="000000"/>
                <w:sz w:val="16"/>
                <w:szCs w:val="16"/>
              </w:rPr>
              <w:t>них</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паперах</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після</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надходження</w:t>
            </w:r>
            <w:proofErr w:type="spellEnd"/>
            <w:r w:rsidRPr="00E16672">
              <w:rPr>
                <w:rFonts w:ascii="Times New Roman" w:hAnsi="Times New Roman"/>
                <w:color w:val="000000"/>
                <w:sz w:val="16"/>
                <w:szCs w:val="16"/>
              </w:rPr>
              <w:t xml:space="preserve"> до Центрального </w:t>
            </w:r>
            <w:proofErr w:type="spellStart"/>
            <w:r w:rsidRPr="00E16672">
              <w:rPr>
                <w:rFonts w:ascii="Times New Roman" w:hAnsi="Times New Roman"/>
                <w:color w:val="000000"/>
                <w:sz w:val="16"/>
                <w:szCs w:val="16"/>
              </w:rPr>
              <w:t>депозитарію</w:t>
            </w:r>
            <w:proofErr w:type="spellEnd"/>
            <w:r w:rsidRPr="00E16672">
              <w:rPr>
                <w:rFonts w:ascii="Times New Roman" w:hAnsi="Times New Roman"/>
                <w:color w:val="000000"/>
                <w:sz w:val="16"/>
                <w:szCs w:val="16"/>
              </w:rPr>
              <w:t xml:space="preserve"> таких </w:t>
            </w:r>
            <w:proofErr w:type="spellStart"/>
            <w:r w:rsidRPr="00E16672">
              <w:rPr>
                <w:rFonts w:ascii="Times New Roman" w:hAnsi="Times New Roman"/>
                <w:color w:val="000000"/>
                <w:sz w:val="16"/>
                <w:szCs w:val="16"/>
              </w:rPr>
              <w:t>доходів</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цінних</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паперів</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Центральний</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депозитарій</w:t>
            </w:r>
            <w:proofErr w:type="spellEnd"/>
            <w:r w:rsidRPr="00E16672">
              <w:rPr>
                <w:rFonts w:ascii="Times New Roman" w:hAnsi="Times New Roman"/>
                <w:color w:val="000000"/>
                <w:sz w:val="16"/>
                <w:szCs w:val="16"/>
              </w:rPr>
              <w:t xml:space="preserve"> проводить </w:t>
            </w:r>
            <w:proofErr w:type="spellStart"/>
            <w:r w:rsidRPr="00E16672">
              <w:rPr>
                <w:rFonts w:ascii="Times New Roman" w:hAnsi="Times New Roman"/>
                <w:color w:val="000000"/>
                <w:sz w:val="16"/>
                <w:szCs w:val="16"/>
              </w:rPr>
              <w:t>операції</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щодо</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переказу</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цих</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цінних</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паперів</w:t>
            </w:r>
            <w:proofErr w:type="spellEnd"/>
            <w:r w:rsidRPr="00E16672">
              <w:rPr>
                <w:rFonts w:ascii="Times New Roman" w:hAnsi="Times New Roman"/>
                <w:color w:val="000000"/>
                <w:sz w:val="16"/>
                <w:szCs w:val="16"/>
              </w:rPr>
              <w:t xml:space="preserve"> з </w:t>
            </w:r>
            <w:proofErr w:type="spellStart"/>
            <w:r w:rsidRPr="00E16672">
              <w:rPr>
                <w:rFonts w:ascii="Times New Roman" w:hAnsi="Times New Roman"/>
                <w:color w:val="000000"/>
                <w:sz w:val="16"/>
                <w:szCs w:val="16"/>
              </w:rPr>
              <w:t>рахунку</w:t>
            </w:r>
            <w:proofErr w:type="spellEnd"/>
            <w:r w:rsidRPr="00E16672">
              <w:rPr>
                <w:rFonts w:ascii="Times New Roman" w:hAnsi="Times New Roman"/>
                <w:color w:val="000000"/>
                <w:sz w:val="16"/>
                <w:szCs w:val="16"/>
              </w:rPr>
              <w:t xml:space="preserve"> в </w:t>
            </w:r>
            <w:proofErr w:type="spellStart"/>
            <w:r w:rsidRPr="00E16672">
              <w:rPr>
                <w:rFonts w:ascii="Times New Roman" w:hAnsi="Times New Roman"/>
                <w:color w:val="000000"/>
                <w:sz w:val="16"/>
                <w:szCs w:val="16"/>
              </w:rPr>
              <w:t>цінних</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паперах</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емітента</w:t>
            </w:r>
            <w:proofErr w:type="spellEnd"/>
            <w:r w:rsidRPr="00E16672">
              <w:rPr>
                <w:rFonts w:ascii="Times New Roman" w:hAnsi="Times New Roman"/>
                <w:color w:val="000000"/>
                <w:sz w:val="16"/>
                <w:szCs w:val="16"/>
              </w:rPr>
              <w:t xml:space="preserve"> на </w:t>
            </w:r>
            <w:proofErr w:type="spellStart"/>
            <w:r w:rsidRPr="00E16672">
              <w:rPr>
                <w:rFonts w:ascii="Times New Roman" w:hAnsi="Times New Roman"/>
                <w:color w:val="000000"/>
                <w:sz w:val="16"/>
                <w:szCs w:val="16"/>
              </w:rPr>
              <w:t>рахунки</w:t>
            </w:r>
            <w:proofErr w:type="spellEnd"/>
            <w:r w:rsidRPr="00E16672">
              <w:rPr>
                <w:rFonts w:ascii="Times New Roman" w:hAnsi="Times New Roman"/>
                <w:color w:val="000000"/>
                <w:sz w:val="16"/>
                <w:szCs w:val="16"/>
              </w:rPr>
              <w:t xml:space="preserve"> </w:t>
            </w:r>
            <w:r w:rsidR="00C22309" w:rsidRPr="00E16672">
              <w:rPr>
                <w:rFonts w:ascii="Times New Roman" w:hAnsi="Times New Roman"/>
                <w:color w:val="000000"/>
                <w:sz w:val="16"/>
                <w:szCs w:val="16"/>
              </w:rPr>
              <w:t xml:space="preserve">в </w:t>
            </w:r>
            <w:proofErr w:type="spellStart"/>
            <w:r w:rsidR="00C22309" w:rsidRPr="00E16672">
              <w:rPr>
                <w:rFonts w:ascii="Times New Roman" w:hAnsi="Times New Roman"/>
                <w:color w:val="000000"/>
                <w:sz w:val="16"/>
                <w:szCs w:val="16"/>
              </w:rPr>
              <w:t>цін</w:t>
            </w:r>
            <w:r w:rsidRPr="00E16672">
              <w:rPr>
                <w:rFonts w:ascii="Times New Roman" w:hAnsi="Times New Roman"/>
                <w:color w:val="000000"/>
                <w:sz w:val="16"/>
                <w:szCs w:val="16"/>
              </w:rPr>
              <w:t>них</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паперах</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депозитарних</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установ</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які</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обслуговують</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власників</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цінних</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паперів</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які</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мають</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отримати</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цей</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дохід</w:t>
            </w:r>
            <w:proofErr w:type="spellEnd"/>
            <w:r w:rsidRPr="00E16672">
              <w:rPr>
                <w:rFonts w:ascii="Times New Roman" w:hAnsi="Times New Roman"/>
                <w:color w:val="000000"/>
                <w:sz w:val="16"/>
                <w:szCs w:val="16"/>
              </w:rPr>
              <w:t xml:space="preserve"> </w:t>
            </w:r>
            <w:r w:rsidR="00C22309" w:rsidRPr="00E16672">
              <w:rPr>
                <w:rFonts w:ascii="Times New Roman" w:hAnsi="Times New Roman"/>
                <w:color w:val="000000"/>
                <w:sz w:val="16"/>
                <w:szCs w:val="16"/>
              </w:rPr>
              <w:t xml:space="preserve">в </w:t>
            </w:r>
            <w:proofErr w:type="spellStart"/>
            <w:r w:rsidR="00C22309" w:rsidRPr="00E16672">
              <w:rPr>
                <w:rFonts w:ascii="Times New Roman" w:hAnsi="Times New Roman"/>
                <w:color w:val="000000"/>
                <w:sz w:val="16"/>
                <w:szCs w:val="16"/>
              </w:rPr>
              <w:t>цін</w:t>
            </w:r>
            <w:r w:rsidRPr="00E16672">
              <w:rPr>
                <w:rFonts w:ascii="Times New Roman" w:hAnsi="Times New Roman"/>
                <w:color w:val="000000"/>
                <w:sz w:val="16"/>
                <w:szCs w:val="16"/>
              </w:rPr>
              <w:t>них</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паперах</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Депозитарна</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установа</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зобов'язана</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протягом</w:t>
            </w:r>
            <w:proofErr w:type="spellEnd"/>
            <w:r w:rsidRPr="00E16672">
              <w:rPr>
                <w:rFonts w:ascii="Times New Roman" w:hAnsi="Times New Roman"/>
                <w:color w:val="000000"/>
                <w:sz w:val="16"/>
                <w:szCs w:val="16"/>
              </w:rPr>
              <w:t xml:space="preserve"> десяти </w:t>
            </w:r>
            <w:proofErr w:type="spellStart"/>
            <w:r w:rsidRPr="00E16672">
              <w:rPr>
                <w:rFonts w:ascii="Times New Roman" w:hAnsi="Times New Roman"/>
                <w:color w:val="000000"/>
                <w:sz w:val="16"/>
                <w:szCs w:val="16"/>
              </w:rPr>
              <w:t>робочих</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днів</w:t>
            </w:r>
            <w:proofErr w:type="spellEnd"/>
            <w:r w:rsidRPr="00E16672">
              <w:rPr>
                <w:rFonts w:ascii="Times New Roman" w:hAnsi="Times New Roman"/>
                <w:color w:val="000000"/>
                <w:sz w:val="16"/>
                <w:szCs w:val="16"/>
              </w:rPr>
              <w:t xml:space="preserve"> з моменту </w:t>
            </w:r>
            <w:proofErr w:type="spellStart"/>
            <w:r w:rsidRPr="00E16672">
              <w:rPr>
                <w:rFonts w:ascii="Times New Roman" w:hAnsi="Times New Roman"/>
                <w:color w:val="000000"/>
                <w:sz w:val="16"/>
                <w:szCs w:val="16"/>
              </w:rPr>
              <w:t>надходження</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зарахувати</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зазначені</w:t>
            </w:r>
            <w:proofErr w:type="spellEnd"/>
            <w:r w:rsidRPr="00E16672">
              <w:rPr>
                <w:rFonts w:ascii="Times New Roman" w:hAnsi="Times New Roman"/>
                <w:color w:val="000000"/>
                <w:sz w:val="16"/>
                <w:szCs w:val="16"/>
              </w:rPr>
              <w:t xml:space="preserve"> доходи (права на </w:t>
            </w:r>
            <w:proofErr w:type="spellStart"/>
            <w:r w:rsidRPr="00E16672">
              <w:rPr>
                <w:rFonts w:ascii="Times New Roman" w:hAnsi="Times New Roman"/>
                <w:color w:val="000000"/>
                <w:sz w:val="16"/>
                <w:szCs w:val="16"/>
              </w:rPr>
              <w:t>цінні</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папери</w:t>
            </w:r>
            <w:proofErr w:type="spellEnd"/>
            <w:r w:rsidRPr="00E16672">
              <w:rPr>
                <w:rFonts w:ascii="Times New Roman" w:hAnsi="Times New Roman"/>
                <w:color w:val="000000"/>
                <w:sz w:val="16"/>
                <w:szCs w:val="16"/>
              </w:rPr>
              <w:t xml:space="preserve">) на </w:t>
            </w:r>
            <w:proofErr w:type="spellStart"/>
            <w:r w:rsidRPr="00E16672">
              <w:rPr>
                <w:rFonts w:ascii="Times New Roman" w:hAnsi="Times New Roman"/>
                <w:color w:val="000000"/>
                <w:sz w:val="16"/>
                <w:szCs w:val="16"/>
              </w:rPr>
              <w:t>рахунок</w:t>
            </w:r>
            <w:proofErr w:type="spellEnd"/>
            <w:r w:rsidRPr="00E16672">
              <w:rPr>
                <w:rFonts w:ascii="Times New Roman" w:hAnsi="Times New Roman"/>
                <w:color w:val="000000"/>
                <w:sz w:val="16"/>
                <w:szCs w:val="16"/>
              </w:rPr>
              <w:t xml:space="preserve"> в </w:t>
            </w:r>
            <w:proofErr w:type="spellStart"/>
            <w:r w:rsidRPr="00E16672">
              <w:rPr>
                <w:rFonts w:ascii="Times New Roman" w:hAnsi="Times New Roman"/>
                <w:color w:val="000000"/>
                <w:sz w:val="16"/>
                <w:szCs w:val="16"/>
              </w:rPr>
              <w:t>цінних</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паперах</w:t>
            </w:r>
            <w:proofErr w:type="spellEnd"/>
            <w:r w:rsidRPr="00E16672">
              <w:rPr>
                <w:rFonts w:ascii="Times New Roman" w:hAnsi="Times New Roman"/>
                <w:color w:val="000000"/>
                <w:sz w:val="16"/>
                <w:szCs w:val="16"/>
              </w:rPr>
              <w:t xml:space="preserve"> Депонента </w:t>
            </w:r>
          </w:p>
        </w:tc>
        <w:tc>
          <w:tcPr>
            <w:tcW w:w="5495" w:type="dxa"/>
            <w:gridSpan w:val="6"/>
            <w:shd w:val="clear" w:color="auto" w:fill="auto"/>
          </w:tcPr>
          <w:p w14:paraId="176B4EEB" w14:textId="77777777" w:rsidR="005C5318" w:rsidRPr="00E16672" w:rsidRDefault="005C5318" w:rsidP="009D3C4B">
            <w:pPr>
              <w:ind w:left="145" w:firstLine="3"/>
              <w:rPr>
                <w:rFonts w:ascii="Times New Roman" w:hAnsi="Times New Roman"/>
                <w:color w:val="000000"/>
                <w:sz w:val="16"/>
                <w:szCs w:val="16"/>
                <w:lang w:val="en-US"/>
              </w:rPr>
            </w:pPr>
            <w:r w:rsidRPr="00E16672">
              <w:rPr>
                <w:rFonts w:ascii="Times New Roman" w:hAnsi="Times New Roman"/>
                <w:color w:val="000000"/>
                <w:sz w:val="16"/>
                <w:szCs w:val="16"/>
                <w:lang w:val="en-US"/>
              </w:rPr>
              <w:t>1</w:t>
            </w:r>
            <w:r w:rsidRPr="00E16672">
              <w:rPr>
                <w:rFonts w:ascii="Times New Roman" w:hAnsi="Times New Roman"/>
                <w:color w:val="000000"/>
                <w:sz w:val="16"/>
                <w:szCs w:val="16"/>
                <w:lang w:val="uk-UA"/>
              </w:rPr>
              <w:t>1</w:t>
            </w:r>
            <w:r w:rsidRPr="00E16672">
              <w:rPr>
                <w:rFonts w:ascii="Times New Roman" w:hAnsi="Times New Roman"/>
                <w:color w:val="000000"/>
                <w:sz w:val="16"/>
                <w:szCs w:val="16"/>
                <w:lang w:val="en-US"/>
              </w:rPr>
              <w:t xml:space="preserve">.1.3. If payment of income is made in securities, after admission to Central Depository such income (securities) the Central Depository conducts operations on transfer of securities from the </w:t>
            </w:r>
            <w:proofErr w:type="gramStart"/>
            <w:r w:rsidRPr="00E16672">
              <w:rPr>
                <w:rFonts w:ascii="Times New Roman" w:hAnsi="Times New Roman"/>
                <w:color w:val="000000"/>
                <w:sz w:val="16"/>
                <w:szCs w:val="16"/>
                <w:lang w:val="en-US"/>
              </w:rPr>
              <w:t>account  in</w:t>
            </w:r>
            <w:proofErr w:type="gramEnd"/>
            <w:r w:rsidRPr="00E16672">
              <w:rPr>
                <w:rFonts w:ascii="Times New Roman" w:hAnsi="Times New Roman"/>
                <w:color w:val="000000"/>
                <w:sz w:val="16"/>
                <w:szCs w:val="16"/>
                <w:lang w:val="en-US"/>
              </w:rPr>
              <w:t xml:space="preserve"> securities of the issuer for accounts in securities of depository institutions, that serve the holders of securities who have get this income in securities. The Depository institution shall within ten working days from the moment receipt </w:t>
            </w:r>
            <w:proofErr w:type="gramStart"/>
            <w:r w:rsidRPr="00E16672">
              <w:rPr>
                <w:rFonts w:ascii="Times New Roman" w:hAnsi="Times New Roman"/>
                <w:color w:val="000000"/>
                <w:sz w:val="16"/>
                <w:szCs w:val="16"/>
                <w:lang w:val="en-US"/>
              </w:rPr>
              <w:t>credit  these</w:t>
            </w:r>
            <w:proofErr w:type="gramEnd"/>
            <w:r w:rsidRPr="00E16672">
              <w:rPr>
                <w:rFonts w:ascii="Times New Roman" w:hAnsi="Times New Roman"/>
                <w:color w:val="000000"/>
                <w:sz w:val="16"/>
                <w:szCs w:val="16"/>
                <w:lang w:val="en-US"/>
              </w:rPr>
              <w:t xml:space="preserve"> incomes (rights to securities) to the account  in securities of the Depositor.</w:t>
            </w:r>
          </w:p>
          <w:p w14:paraId="0ABF5C46" w14:textId="77777777" w:rsidR="005C5318" w:rsidRPr="00E16672" w:rsidRDefault="005C5318" w:rsidP="009D3C4B">
            <w:pPr>
              <w:snapToGrid w:val="0"/>
              <w:spacing w:before="57" w:after="57"/>
              <w:ind w:left="175" w:right="138" w:firstLine="3"/>
              <w:rPr>
                <w:rFonts w:ascii="Times New Roman" w:hAnsi="Times New Roman"/>
                <w:color w:val="000000"/>
                <w:sz w:val="16"/>
                <w:szCs w:val="16"/>
                <w:lang w:val="en-US"/>
              </w:rPr>
            </w:pPr>
          </w:p>
        </w:tc>
      </w:tr>
      <w:tr w:rsidR="005C5318" w:rsidRPr="00F23413" w14:paraId="319865F8" w14:textId="77777777" w:rsidTr="005E418B">
        <w:trPr>
          <w:trHeight w:val="192"/>
        </w:trPr>
        <w:tc>
          <w:tcPr>
            <w:tcW w:w="5695" w:type="dxa"/>
            <w:gridSpan w:val="6"/>
            <w:shd w:val="clear" w:color="auto" w:fill="auto"/>
          </w:tcPr>
          <w:p w14:paraId="4071103C" w14:textId="77777777" w:rsidR="005C5318" w:rsidRPr="00E16672" w:rsidRDefault="005C5318" w:rsidP="009D3C4B">
            <w:pPr>
              <w:spacing w:before="57" w:after="57"/>
              <w:ind w:left="175" w:right="138" w:firstLine="4"/>
              <w:rPr>
                <w:rFonts w:ascii="Times New Roman" w:hAnsi="Times New Roman"/>
                <w:color w:val="000000"/>
                <w:sz w:val="16"/>
                <w:szCs w:val="16"/>
                <w:lang w:val="uk-UA"/>
              </w:rPr>
            </w:pPr>
            <w:r w:rsidRPr="00E16672">
              <w:rPr>
                <w:rFonts w:ascii="Times New Roman" w:hAnsi="Times New Roman"/>
                <w:color w:val="000000"/>
                <w:sz w:val="16"/>
                <w:szCs w:val="16"/>
                <w:lang w:val="uk-UA"/>
              </w:rPr>
              <w:t>11.2. Щодо цінних паперів, облік яких здійснює Національний Банк України:</w:t>
            </w:r>
          </w:p>
          <w:p w14:paraId="4C88B20D" w14:textId="77777777" w:rsidR="005C5318" w:rsidRPr="00E16672" w:rsidRDefault="005C5318" w:rsidP="009D3C4B">
            <w:pPr>
              <w:snapToGrid w:val="0"/>
              <w:spacing w:before="57" w:after="57"/>
              <w:ind w:left="175" w:right="138" w:firstLine="4"/>
              <w:rPr>
                <w:rFonts w:ascii="Times New Roman" w:hAnsi="Times New Roman"/>
                <w:color w:val="000000"/>
                <w:sz w:val="16"/>
                <w:szCs w:val="16"/>
                <w:lang w:val="uk-UA"/>
              </w:rPr>
            </w:pPr>
            <w:r w:rsidRPr="00E16672">
              <w:rPr>
                <w:rFonts w:ascii="Times New Roman" w:hAnsi="Times New Roman"/>
                <w:color w:val="000000"/>
                <w:sz w:val="16"/>
                <w:szCs w:val="16"/>
                <w:lang w:val="uk-UA"/>
              </w:rPr>
              <w:t xml:space="preserve">У термін не пізніше </w:t>
            </w:r>
            <w:r w:rsidRPr="00E16672">
              <w:rPr>
                <w:rFonts w:ascii="Times New Roman" w:hAnsi="Times New Roman"/>
                <w:i/>
                <w:color w:val="000000"/>
                <w:sz w:val="16"/>
                <w:szCs w:val="16"/>
                <w:lang w:val="uk-UA"/>
              </w:rPr>
              <w:t>десяти робочих днів</w:t>
            </w:r>
            <w:r w:rsidRPr="00E16672">
              <w:rPr>
                <w:rFonts w:ascii="Times New Roman" w:hAnsi="Times New Roman"/>
                <w:color w:val="000000"/>
                <w:sz w:val="16"/>
                <w:szCs w:val="16"/>
                <w:lang w:val="uk-UA"/>
              </w:rPr>
              <w:t xml:space="preserve"> з моменту надходження доходу за цінними паперами, грошових коштів, отриманих за результатами погашення цінних паперів на грошовий рахунок Депозитарної установи Депозитарна установа здійснює виплату доходу за цінними паперами, грошових коштів, отриманих Депонентом за результатами погашення цінних паперів емітента, шляхом перерахування грошових коштів на грошовий банківський рахунок Депонента, зазначений в анкеті рахунку в цінних паперах Депонента. Вищезазначені дії виконуються Депозитарною установою у разі наявності</w:t>
            </w:r>
            <w:r w:rsidR="009D3C4B" w:rsidRPr="00E16672">
              <w:rPr>
                <w:rFonts w:ascii="Times New Roman" w:hAnsi="Times New Roman"/>
                <w:color w:val="000000"/>
                <w:sz w:val="16"/>
                <w:szCs w:val="16"/>
                <w:lang w:val="uk-UA"/>
              </w:rPr>
              <w:t xml:space="preserve"> </w:t>
            </w:r>
            <w:r w:rsidRPr="00E16672">
              <w:rPr>
                <w:rFonts w:ascii="Times New Roman" w:hAnsi="Times New Roman"/>
                <w:color w:val="000000"/>
                <w:sz w:val="16"/>
                <w:szCs w:val="16"/>
                <w:lang w:val="uk-UA"/>
              </w:rPr>
              <w:t xml:space="preserve">реквізитів діючого грошового банківського рахунку в анкеті рахунку </w:t>
            </w:r>
            <w:r w:rsidR="00C22309" w:rsidRPr="00E16672">
              <w:rPr>
                <w:rFonts w:ascii="Times New Roman" w:hAnsi="Times New Roman"/>
                <w:color w:val="000000"/>
                <w:sz w:val="16"/>
                <w:szCs w:val="16"/>
                <w:lang w:val="uk-UA"/>
              </w:rPr>
              <w:t>в цін</w:t>
            </w:r>
            <w:r w:rsidRPr="00E16672">
              <w:rPr>
                <w:rFonts w:ascii="Times New Roman" w:hAnsi="Times New Roman"/>
                <w:color w:val="000000"/>
                <w:sz w:val="16"/>
                <w:szCs w:val="16"/>
                <w:lang w:val="uk-UA"/>
              </w:rPr>
              <w:t>них паперах Депонента на момент надходження відповідних коштів на грошовий рахунок Депозитарної установи.</w:t>
            </w:r>
          </w:p>
        </w:tc>
        <w:tc>
          <w:tcPr>
            <w:tcW w:w="5495" w:type="dxa"/>
            <w:gridSpan w:val="6"/>
            <w:shd w:val="clear" w:color="auto" w:fill="auto"/>
          </w:tcPr>
          <w:p w14:paraId="332377E9" w14:textId="77777777" w:rsidR="005C5318" w:rsidRPr="00E16672" w:rsidRDefault="005C5318" w:rsidP="009D3C4B">
            <w:pPr>
              <w:spacing w:before="57" w:after="57"/>
              <w:ind w:left="175" w:right="138" w:firstLine="3"/>
              <w:rPr>
                <w:rFonts w:ascii="Times New Roman" w:hAnsi="Times New Roman"/>
                <w:color w:val="000000"/>
                <w:sz w:val="16"/>
                <w:szCs w:val="16"/>
                <w:lang w:val="uk-UA"/>
              </w:rPr>
            </w:pPr>
            <w:r w:rsidRPr="00E16672">
              <w:rPr>
                <w:rFonts w:ascii="Times New Roman" w:hAnsi="Times New Roman"/>
                <w:color w:val="000000"/>
                <w:sz w:val="16"/>
                <w:szCs w:val="16"/>
                <w:lang w:val="en-US"/>
              </w:rPr>
              <w:t>1</w:t>
            </w:r>
            <w:r w:rsidRPr="00E16672">
              <w:rPr>
                <w:rFonts w:ascii="Times New Roman" w:hAnsi="Times New Roman"/>
                <w:color w:val="000000"/>
                <w:sz w:val="16"/>
                <w:szCs w:val="16"/>
                <w:lang w:val="uk-UA"/>
              </w:rPr>
              <w:t>1</w:t>
            </w:r>
            <w:r w:rsidRPr="00E16672">
              <w:rPr>
                <w:rFonts w:ascii="Times New Roman" w:hAnsi="Times New Roman"/>
                <w:color w:val="000000"/>
                <w:sz w:val="16"/>
                <w:szCs w:val="16"/>
                <w:lang w:val="en-US"/>
              </w:rPr>
              <w:t>.2</w:t>
            </w:r>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Regarding</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securities</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accounted</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by</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the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National</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Bank</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of</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Ukraine</w:t>
            </w:r>
            <w:proofErr w:type="spellEnd"/>
            <w:r w:rsidRPr="00E16672">
              <w:rPr>
                <w:rFonts w:ascii="Times New Roman" w:hAnsi="Times New Roman"/>
                <w:color w:val="000000"/>
                <w:sz w:val="16"/>
                <w:szCs w:val="16"/>
                <w:lang w:val="uk-UA"/>
              </w:rPr>
              <w:t>:</w:t>
            </w:r>
          </w:p>
          <w:p w14:paraId="72BC01A7" w14:textId="77777777" w:rsidR="005C5318" w:rsidRPr="00E16672" w:rsidRDefault="005C5318" w:rsidP="009D3C4B">
            <w:pPr>
              <w:snapToGrid w:val="0"/>
              <w:spacing w:before="57" w:after="57"/>
              <w:ind w:left="175" w:right="138" w:firstLine="3"/>
              <w:rPr>
                <w:rFonts w:ascii="Times New Roman" w:hAnsi="Times New Roman"/>
                <w:color w:val="000000"/>
                <w:sz w:val="16"/>
                <w:szCs w:val="16"/>
                <w:lang w:val="uk-UA"/>
              </w:rPr>
            </w:pPr>
            <w:proofErr w:type="spellStart"/>
            <w:r w:rsidRPr="00E16672">
              <w:rPr>
                <w:rFonts w:ascii="Times New Roman" w:hAnsi="Times New Roman"/>
                <w:color w:val="000000"/>
                <w:sz w:val="16"/>
                <w:szCs w:val="16"/>
                <w:lang w:val="uk-UA"/>
              </w:rPr>
              <w:t>In</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terms</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not</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later</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than</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i/>
                <w:color w:val="000000"/>
                <w:sz w:val="16"/>
                <w:szCs w:val="16"/>
                <w:lang w:val="uk-UA"/>
              </w:rPr>
              <w:t>ten</w:t>
            </w:r>
            <w:proofErr w:type="spellEnd"/>
            <w:r w:rsidRPr="00E16672">
              <w:rPr>
                <w:rFonts w:ascii="Times New Roman" w:hAnsi="Times New Roman"/>
                <w:i/>
                <w:color w:val="000000"/>
                <w:sz w:val="16"/>
                <w:szCs w:val="16"/>
                <w:lang w:val="uk-UA"/>
              </w:rPr>
              <w:t xml:space="preserve"> </w:t>
            </w:r>
            <w:proofErr w:type="spellStart"/>
            <w:r w:rsidRPr="00E16672">
              <w:rPr>
                <w:rFonts w:ascii="Times New Roman" w:hAnsi="Times New Roman"/>
                <w:i/>
                <w:color w:val="000000"/>
                <w:sz w:val="16"/>
                <w:szCs w:val="16"/>
                <w:lang w:val="uk-UA"/>
              </w:rPr>
              <w:t>working</w:t>
            </w:r>
            <w:proofErr w:type="spellEnd"/>
            <w:r w:rsidRPr="00E16672">
              <w:rPr>
                <w:rFonts w:ascii="Times New Roman" w:hAnsi="Times New Roman"/>
                <w:i/>
                <w:color w:val="000000"/>
                <w:sz w:val="16"/>
                <w:szCs w:val="16"/>
                <w:lang w:val="uk-UA"/>
              </w:rPr>
              <w:t xml:space="preserve"> </w:t>
            </w:r>
            <w:proofErr w:type="spellStart"/>
            <w:r w:rsidRPr="00E16672">
              <w:rPr>
                <w:rFonts w:ascii="Times New Roman" w:hAnsi="Times New Roman"/>
                <w:i/>
                <w:color w:val="000000"/>
                <w:sz w:val="16"/>
                <w:szCs w:val="16"/>
                <w:lang w:val="uk-UA"/>
              </w:rPr>
              <w:t>days</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after</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receipt</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of</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income</w:t>
            </w:r>
            <w:proofErr w:type="spellEnd"/>
            <w:r w:rsidRPr="00E16672">
              <w:rPr>
                <w:rFonts w:ascii="Times New Roman" w:hAnsi="Times New Roman"/>
                <w:color w:val="000000"/>
                <w:sz w:val="16"/>
                <w:szCs w:val="16"/>
                <w:lang w:val="uk-UA"/>
              </w:rPr>
              <w:t xml:space="preserve"> </w:t>
            </w:r>
            <w:r w:rsidRPr="00E16672">
              <w:rPr>
                <w:rFonts w:ascii="Times New Roman" w:hAnsi="Times New Roman"/>
                <w:color w:val="000000"/>
                <w:sz w:val="16"/>
                <w:szCs w:val="16"/>
                <w:lang w:val="en-US"/>
              </w:rPr>
              <w:t xml:space="preserve">on </w:t>
            </w:r>
            <w:proofErr w:type="spellStart"/>
            <w:r w:rsidRPr="00E16672">
              <w:rPr>
                <w:rFonts w:ascii="Times New Roman" w:hAnsi="Times New Roman"/>
                <w:color w:val="000000"/>
                <w:sz w:val="16"/>
                <w:szCs w:val="16"/>
                <w:lang w:val="uk-UA"/>
              </w:rPr>
              <w:t>securities</w:t>
            </w:r>
            <w:proofErr w:type="spellEnd"/>
            <w:r w:rsidRPr="00E16672">
              <w:rPr>
                <w:rFonts w:ascii="Times New Roman" w:hAnsi="Times New Roman"/>
                <w:color w:val="000000"/>
                <w:sz w:val="16"/>
                <w:szCs w:val="16"/>
                <w:lang w:val="en-US"/>
              </w:rPr>
              <w:t>,</w:t>
            </w:r>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money</w:t>
            </w:r>
            <w:proofErr w:type="spellEnd"/>
            <w:r w:rsidRPr="00E16672">
              <w:rPr>
                <w:rFonts w:ascii="Times New Roman" w:hAnsi="Times New Roman"/>
                <w:color w:val="000000"/>
                <w:sz w:val="16"/>
                <w:szCs w:val="16"/>
                <w:lang w:val="en-US"/>
              </w:rPr>
              <w:t xml:space="preserve">, </w:t>
            </w:r>
            <w:proofErr w:type="spellStart"/>
            <w:r w:rsidRPr="00E16672">
              <w:rPr>
                <w:rFonts w:ascii="Times New Roman" w:hAnsi="Times New Roman"/>
                <w:color w:val="000000"/>
                <w:sz w:val="16"/>
                <w:szCs w:val="16"/>
                <w:lang w:val="uk-UA"/>
              </w:rPr>
              <w:t>received</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on</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the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results</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of</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redemption</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of</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securities</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on</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the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monetary</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account</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of</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Depository</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institution</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Depository</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institution</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pays</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income</w:t>
            </w:r>
            <w:proofErr w:type="spellEnd"/>
            <w:r w:rsidRPr="00E16672">
              <w:rPr>
                <w:rFonts w:ascii="Times New Roman" w:hAnsi="Times New Roman"/>
                <w:color w:val="000000"/>
                <w:sz w:val="16"/>
                <w:szCs w:val="16"/>
                <w:lang w:val="uk-UA"/>
              </w:rPr>
              <w:t xml:space="preserve"> </w:t>
            </w:r>
            <w:r w:rsidRPr="00E16672">
              <w:rPr>
                <w:rFonts w:ascii="Times New Roman" w:hAnsi="Times New Roman"/>
                <w:color w:val="000000"/>
                <w:sz w:val="16"/>
                <w:szCs w:val="16"/>
                <w:lang w:val="en-US"/>
              </w:rPr>
              <w:t xml:space="preserve">from </w:t>
            </w:r>
            <w:proofErr w:type="spellStart"/>
            <w:r w:rsidRPr="00E16672">
              <w:rPr>
                <w:rFonts w:ascii="Times New Roman" w:hAnsi="Times New Roman"/>
                <w:color w:val="000000"/>
                <w:sz w:val="16"/>
                <w:szCs w:val="16"/>
                <w:lang w:val="uk-UA"/>
              </w:rPr>
              <w:t>securities</w:t>
            </w:r>
            <w:proofErr w:type="spellEnd"/>
            <w:r w:rsidRPr="00E16672">
              <w:rPr>
                <w:rFonts w:ascii="Times New Roman" w:hAnsi="Times New Roman"/>
                <w:color w:val="000000"/>
                <w:sz w:val="16"/>
                <w:szCs w:val="16"/>
                <w:lang w:val="en-US"/>
              </w:rPr>
              <w:t xml:space="preserve">, </w:t>
            </w:r>
            <w:proofErr w:type="spellStart"/>
            <w:r w:rsidRPr="00E16672">
              <w:rPr>
                <w:rFonts w:ascii="Times New Roman" w:hAnsi="Times New Roman"/>
                <w:color w:val="000000"/>
                <w:sz w:val="16"/>
                <w:szCs w:val="16"/>
                <w:lang w:val="uk-UA"/>
              </w:rPr>
              <w:t>money</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received</w:t>
            </w:r>
            <w:proofErr w:type="spellEnd"/>
            <w:r w:rsidRPr="00E16672">
              <w:rPr>
                <w:rFonts w:ascii="Times New Roman" w:hAnsi="Times New Roman"/>
                <w:color w:val="000000"/>
                <w:sz w:val="16"/>
                <w:szCs w:val="16"/>
                <w:lang w:val="uk-UA"/>
              </w:rPr>
              <w:t xml:space="preserve"> </w:t>
            </w:r>
            <w:r w:rsidRPr="00E16672">
              <w:rPr>
                <w:rFonts w:ascii="Times New Roman" w:hAnsi="Times New Roman"/>
                <w:color w:val="000000"/>
                <w:sz w:val="16"/>
                <w:szCs w:val="16"/>
                <w:lang w:val="en-US"/>
              </w:rPr>
              <w:t xml:space="preserve">by Depositor </w:t>
            </w:r>
            <w:proofErr w:type="spellStart"/>
            <w:r w:rsidRPr="00E16672">
              <w:rPr>
                <w:rFonts w:ascii="Times New Roman" w:hAnsi="Times New Roman"/>
                <w:color w:val="000000"/>
                <w:sz w:val="16"/>
                <w:szCs w:val="16"/>
                <w:lang w:val="uk-UA"/>
              </w:rPr>
              <w:t>on</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the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results</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of</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redemption</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of</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securities</w:t>
            </w:r>
            <w:proofErr w:type="spellEnd"/>
            <w:r w:rsidRPr="00E16672">
              <w:rPr>
                <w:rFonts w:ascii="Times New Roman" w:hAnsi="Times New Roman"/>
                <w:color w:val="000000"/>
                <w:sz w:val="16"/>
                <w:szCs w:val="16"/>
                <w:lang w:val="en-US"/>
              </w:rPr>
              <w:t xml:space="preserve"> of issuer </w:t>
            </w:r>
            <w:proofErr w:type="spellStart"/>
            <w:r w:rsidRPr="00E16672">
              <w:rPr>
                <w:rFonts w:ascii="Times New Roman" w:hAnsi="Times New Roman"/>
                <w:color w:val="000000"/>
                <w:sz w:val="16"/>
                <w:szCs w:val="16"/>
                <w:lang w:val="uk-UA"/>
              </w:rPr>
              <w:t>by</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transferring</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money</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to</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the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Depositor’s</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bank</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monetary</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account</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indicated</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in</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the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Depositor’s</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form</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of</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the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account</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in</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securities</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The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above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actions</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Depository</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institution</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performs</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if</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there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are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details</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of</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the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current</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monetary</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bank</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account</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in</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Depositor’s</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form</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of</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the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account</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in</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securities</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at</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the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moment</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of</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receipt</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of</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the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money</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on</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the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monetary</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account</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of</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Depository</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institution</w:t>
            </w:r>
            <w:proofErr w:type="spellEnd"/>
            <w:r w:rsidRPr="00E16672">
              <w:rPr>
                <w:rFonts w:ascii="Times New Roman" w:hAnsi="Times New Roman"/>
                <w:color w:val="000000"/>
                <w:sz w:val="16"/>
                <w:szCs w:val="16"/>
                <w:lang w:val="uk-UA"/>
              </w:rPr>
              <w:t>.</w:t>
            </w:r>
          </w:p>
        </w:tc>
      </w:tr>
      <w:tr w:rsidR="005C5318" w:rsidRPr="00F23413" w14:paraId="6B999685" w14:textId="77777777" w:rsidTr="005E418B">
        <w:trPr>
          <w:trHeight w:val="192"/>
        </w:trPr>
        <w:tc>
          <w:tcPr>
            <w:tcW w:w="5695" w:type="dxa"/>
            <w:gridSpan w:val="6"/>
            <w:shd w:val="clear" w:color="auto" w:fill="auto"/>
          </w:tcPr>
          <w:p w14:paraId="36B3826D" w14:textId="77777777" w:rsidR="005C5318" w:rsidRDefault="005C5318" w:rsidP="009D3C4B">
            <w:pPr>
              <w:snapToGrid w:val="0"/>
              <w:spacing w:before="57" w:after="57"/>
              <w:ind w:left="175" w:right="138" w:firstLine="4"/>
              <w:rPr>
                <w:rFonts w:ascii="Times New Roman" w:hAnsi="Times New Roman"/>
                <w:color w:val="000000"/>
                <w:sz w:val="16"/>
                <w:szCs w:val="16"/>
                <w:lang w:val="uk-UA"/>
              </w:rPr>
            </w:pPr>
            <w:r w:rsidRPr="00E16672">
              <w:rPr>
                <w:rFonts w:ascii="Times New Roman" w:hAnsi="Times New Roman"/>
                <w:color w:val="000000"/>
                <w:sz w:val="16"/>
                <w:szCs w:val="16"/>
                <w:lang w:val="uk-UA"/>
              </w:rPr>
              <w:t>11.3. Грошові кошти,</w:t>
            </w:r>
            <w:r w:rsidRPr="00E16672">
              <w:rPr>
                <w:rStyle w:val="rvts0"/>
                <w:rFonts w:ascii="Times New Roman" w:hAnsi="Times New Roman"/>
                <w:color w:val="000000"/>
                <w:sz w:val="16"/>
                <w:szCs w:val="16"/>
                <w:lang w:val="uk-UA"/>
              </w:rPr>
              <w:t xml:space="preserve"> що надходять на поточний рахунок Депозитарної установи відповідно до законодавства та умов цього Договору з метою їх подальшого переказу Депоненту,</w:t>
            </w:r>
            <w:r w:rsidRPr="00E16672">
              <w:rPr>
                <w:rFonts w:ascii="Times New Roman" w:hAnsi="Times New Roman"/>
                <w:color w:val="000000"/>
                <w:sz w:val="16"/>
                <w:szCs w:val="16"/>
                <w:lang w:val="uk-UA"/>
              </w:rPr>
              <w:t xml:space="preserve"> не є власністю Депозитарної установи. </w:t>
            </w:r>
          </w:p>
          <w:p w14:paraId="3E8CB023" w14:textId="48630FC2" w:rsidR="000277F8" w:rsidRPr="00E16672" w:rsidRDefault="000277F8" w:rsidP="009D3C4B">
            <w:pPr>
              <w:snapToGrid w:val="0"/>
              <w:spacing w:before="57" w:after="57"/>
              <w:ind w:left="175" w:right="138" w:firstLine="4"/>
              <w:rPr>
                <w:rFonts w:ascii="Times New Roman" w:hAnsi="Times New Roman"/>
                <w:color w:val="000000"/>
                <w:sz w:val="16"/>
                <w:szCs w:val="16"/>
                <w:lang w:val="uk-UA"/>
              </w:rPr>
            </w:pPr>
            <w:r w:rsidRPr="000277F8">
              <w:rPr>
                <w:rFonts w:ascii="Times New Roman" w:hAnsi="Times New Roman"/>
                <w:color w:val="000000"/>
                <w:sz w:val="16"/>
                <w:szCs w:val="16"/>
                <w:lang w:val="uk-UA"/>
              </w:rPr>
              <w:t>Депозитарна установа повинна переказати кошти, що призначені для виплати за цінними паперами, права на які обліковувались у неї, та не були нею виплачені особам, які мають право на їх отримання, у встановленому законодавством порядку на грошовий рахунок Центрального депозитарію у Розрахунковому центрі з одночасним поданням Центральному депозитарію відповідного повідомлення щодо загальної суми коштів окремо за відповідним випуском цінних паперів та відповідного розпорядження у порядку, визначеному внутрішніми документами Центрального депозитарію.</w:t>
            </w:r>
          </w:p>
        </w:tc>
        <w:tc>
          <w:tcPr>
            <w:tcW w:w="5495" w:type="dxa"/>
            <w:gridSpan w:val="6"/>
            <w:shd w:val="clear" w:color="auto" w:fill="auto"/>
          </w:tcPr>
          <w:p w14:paraId="44685348" w14:textId="77777777" w:rsidR="005C5318" w:rsidRDefault="005C5318" w:rsidP="009D3C4B">
            <w:pPr>
              <w:snapToGrid w:val="0"/>
              <w:spacing w:before="57" w:after="57"/>
              <w:ind w:left="175" w:right="138" w:firstLine="3"/>
              <w:rPr>
                <w:rFonts w:ascii="Times New Roman" w:hAnsi="Times New Roman"/>
                <w:color w:val="000000"/>
                <w:sz w:val="16"/>
                <w:szCs w:val="16"/>
                <w:lang w:val="uk-UA"/>
              </w:rPr>
            </w:pPr>
            <w:r w:rsidRPr="00E16672">
              <w:rPr>
                <w:rFonts w:ascii="Times New Roman" w:hAnsi="Times New Roman"/>
                <w:color w:val="000000"/>
                <w:sz w:val="16"/>
                <w:szCs w:val="16"/>
                <w:lang w:val="en-US"/>
              </w:rPr>
              <w:t>1</w:t>
            </w:r>
            <w:r w:rsidRPr="00E16672">
              <w:rPr>
                <w:rFonts w:ascii="Times New Roman" w:hAnsi="Times New Roman"/>
                <w:color w:val="000000"/>
                <w:sz w:val="16"/>
                <w:szCs w:val="16"/>
                <w:lang w:val="uk-UA"/>
              </w:rPr>
              <w:t xml:space="preserve">1.3. </w:t>
            </w:r>
            <w:proofErr w:type="spellStart"/>
            <w:r w:rsidRPr="00E16672">
              <w:rPr>
                <w:rFonts w:ascii="Times New Roman" w:hAnsi="Times New Roman"/>
                <w:color w:val="000000"/>
                <w:sz w:val="16"/>
                <w:szCs w:val="16"/>
                <w:lang w:val="uk-UA"/>
              </w:rPr>
              <w:t>The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money</w:t>
            </w:r>
            <w:proofErr w:type="spellEnd"/>
            <w:r w:rsidRPr="00E16672">
              <w:rPr>
                <w:rFonts w:ascii="Times New Roman" w:hAnsi="Times New Roman"/>
                <w:color w:val="000000"/>
                <w:sz w:val="16"/>
                <w:szCs w:val="16"/>
                <w:lang w:val="en-US"/>
              </w:rPr>
              <w:t>,</w:t>
            </w:r>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coming</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to</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the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current</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account</w:t>
            </w:r>
            <w:proofErr w:type="spellEnd"/>
            <w:r w:rsidRPr="00E16672">
              <w:rPr>
                <w:rFonts w:ascii="Times New Roman" w:hAnsi="Times New Roman"/>
                <w:color w:val="000000"/>
                <w:sz w:val="16"/>
                <w:szCs w:val="16"/>
                <w:lang w:val="uk-UA"/>
              </w:rPr>
              <w:t xml:space="preserve"> </w:t>
            </w:r>
            <w:r w:rsidRPr="00E16672">
              <w:rPr>
                <w:rFonts w:ascii="Times New Roman" w:hAnsi="Times New Roman"/>
                <w:color w:val="000000"/>
                <w:sz w:val="16"/>
                <w:szCs w:val="16"/>
                <w:lang w:val="en-US"/>
              </w:rPr>
              <w:t>of D</w:t>
            </w:r>
            <w:proofErr w:type="spellStart"/>
            <w:r w:rsidRPr="00E16672">
              <w:rPr>
                <w:rFonts w:ascii="Times New Roman" w:hAnsi="Times New Roman"/>
                <w:color w:val="000000"/>
                <w:sz w:val="16"/>
                <w:szCs w:val="16"/>
                <w:lang w:val="uk-UA"/>
              </w:rPr>
              <w:t>epository</w:t>
            </w:r>
            <w:proofErr w:type="spellEnd"/>
            <w:r w:rsidRPr="00E16672">
              <w:rPr>
                <w:rFonts w:ascii="Times New Roman" w:hAnsi="Times New Roman"/>
                <w:color w:val="000000"/>
                <w:sz w:val="16"/>
                <w:szCs w:val="16"/>
                <w:lang w:val="uk-UA"/>
              </w:rPr>
              <w:t xml:space="preserve"> i</w:t>
            </w:r>
            <w:r w:rsidRPr="00E16672">
              <w:rPr>
                <w:rFonts w:ascii="Times New Roman" w:hAnsi="Times New Roman"/>
                <w:color w:val="000000"/>
                <w:sz w:val="16"/>
                <w:szCs w:val="16"/>
                <w:lang w:val="en-US"/>
              </w:rPr>
              <w:t>n</w:t>
            </w:r>
            <w:proofErr w:type="spellStart"/>
            <w:r w:rsidRPr="00E16672">
              <w:rPr>
                <w:rFonts w:ascii="Times New Roman" w:hAnsi="Times New Roman"/>
                <w:color w:val="000000"/>
                <w:sz w:val="16"/>
                <w:szCs w:val="16"/>
                <w:lang w:val="uk-UA"/>
              </w:rPr>
              <w:t>stitution</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according</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to</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the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laws</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and</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conditions</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of</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this</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Agreement</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for</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further</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transfer</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to</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the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Depositor</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not</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owned</w:t>
            </w:r>
            <w:proofErr w:type="spellEnd"/>
            <w:r w:rsidRPr="00E16672">
              <w:rPr>
                <w:rFonts w:ascii="Times New Roman" w:hAnsi="Times New Roman"/>
                <w:color w:val="000000"/>
                <w:sz w:val="16"/>
                <w:szCs w:val="16"/>
                <w:lang w:val="uk-UA"/>
              </w:rPr>
              <w:t xml:space="preserve"> </w:t>
            </w:r>
            <w:r w:rsidRPr="00E16672">
              <w:rPr>
                <w:rFonts w:ascii="Times New Roman" w:hAnsi="Times New Roman"/>
                <w:color w:val="000000"/>
                <w:sz w:val="16"/>
                <w:szCs w:val="16"/>
                <w:lang w:val="en-US"/>
              </w:rPr>
              <w:t xml:space="preserve">to </w:t>
            </w:r>
            <w:proofErr w:type="spellStart"/>
            <w:r w:rsidRPr="00E16672">
              <w:rPr>
                <w:rFonts w:ascii="Times New Roman" w:hAnsi="Times New Roman"/>
                <w:color w:val="000000"/>
                <w:sz w:val="16"/>
                <w:szCs w:val="16"/>
                <w:lang w:val="uk-UA"/>
              </w:rPr>
              <w:t>Depository</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institution</w:t>
            </w:r>
            <w:proofErr w:type="spellEnd"/>
            <w:r w:rsidRPr="00E16672">
              <w:rPr>
                <w:rFonts w:ascii="Times New Roman" w:hAnsi="Times New Roman"/>
                <w:color w:val="000000"/>
                <w:sz w:val="16"/>
                <w:szCs w:val="16"/>
                <w:lang w:val="uk-UA"/>
              </w:rPr>
              <w:t>.</w:t>
            </w:r>
          </w:p>
          <w:p w14:paraId="364E0EC6" w14:textId="6067B9E8" w:rsidR="000277F8" w:rsidRPr="00E16672" w:rsidRDefault="000277F8" w:rsidP="009D3C4B">
            <w:pPr>
              <w:snapToGrid w:val="0"/>
              <w:spacing w:before="57" w:after="57"/>
              <w:ind w:left="175" w:right="138" w:firstLine="3"/>
              <w:rPr>
                <w:rFonts w:ascii="Times New Roman" w:hAnsi="Times New Roman"/>
                <w:color w:val="000000"/>
                <w:sz w:val="16"/>
                <w:szCs w:val="16"/>
                <w:lang w:val="uk-UA"/>
              </w:rPr>
            </w:pPr>
            <w:proofErr w:type="spellStart"/>
            <w:r w:rsidRPr="000277F8">
              <w:rPr>
                <w:rFonts w:ascii="Times New Roman" w:hAnsi="Times New Roman"/>
                <w:color w:val="000000"/>
                <w:sz w:val="16"/>
                <w:szCs w:val="16"/>
                <w:lang w:val="uk-UA"/>
              </w:rPr>
              <w:t>The</w:t>
            </w:r>
            <w:proofErr w:type="spellEnd"/>
            <w:r w:rsidRPr="000277F8">
              <w:rPr>
                <w:rFonts w:ascii="Times New Roman" w:hAnsi="Times New Roman"/>
                <w:color w:val="000000"/>
                <w:sz w:val="16"/>
                <w:szCs w:val="16"/>
                <w:lang w:val="uk-UA"/>
              </w:rPr>
              <w:t xml:space="preserve"> </w:t>
            </w:r>
            <w:proofErr w:type="spellStart"/>
            <w:r w:rsidRPr="000277F8">
              <w:rPr>
                <w:rFonts w:ascii="Times New Roman" w:hAnsi="Times New Roman"/>
                <w:color w:val="000000"/>
                <w:sz w:val="16"/>
                <w:szCs w:val="16"/>
                <w:lang w:val="uk-UA"/>
              </w:rPr>
              <w:t>Depository</w:t>
            </w:r>
            <w:proofErr w:type="spellEnd"/>
            <w:r w:rsidRPr="000277F8">
              <w:rPr>
                <w:rFonts w:ascii="Times New Roman" w:hAnsi="Times New Roman"/>
                <w:color w:val="000000"/>
                <w:sz w:val="16"/>
                <w:szCs w:val="16"/>
                <w:lang w:val="uk-UA"/>
              </w:rPr>
              <w:t xml:space="preserve"> </w:t>
            </w:r>
            <w:proofErr w:type="spellStart"/>
            <w:r w:rsidRPr="000277F8">
              <w:rPr>
                <w:rFonts w:ascii="Times New Roman" w:hAnsi="Times New Roman"/>
                <w:color w:val="000000"/>
                <w:sz w:val="16"/>
                <w:szCs w:val="16"/>
                <w:lang w:val="uk-UA"/>
              </w:rPr>
              <w:t>institution</w:t>
            </w:r>
            <w:proofErr w:type="spellEnd"/>
            <w:r w:rsidRPr="000277F8">
              <w:rPr>
                <w:rFonts w:ascii="Times New Roman" w:hAnsi="Times New Roman"/>
                <w:color w:val="000000"/>
                <w:sz w:val="16"/>
                <w:szCs w:val="16"/>
                <w:lang w:val="uk-UA"/>
              </w:rPr>
              <w:t xml:space="preserve"> </w:t>
            </w:r>
            <w:proofErr w:type="spellStart"/>
            <w:r w:rsidRPr="000277F8">
              <w:rPr>
                <w:rFonts w:ascii="Times New Roman" w:hAnsi="Times New Roman"/>
                <w:color w:val="000000"/>
                <w:sz w:val="16"/>
                <w:szCs w:val="16"/>
                <w:lang w:val="uk-UA"/>
              </w:rPr>
              <w:t>must</w:t>
            </w:r>
            <w:proofErr w:type="spellEnd"/>
            <w:r w:rsidRPr="000277F8">
              <w:rPr>
                <w:rFonts w:ascii="Times New Roman" w:hAnsi="Times New Roman"/>
                <w:color w:val="000000"/>
                <w:sz w:val="16"/>
                <w:szCs w:val="16"/>
                <w:lang w:val="uk-UA"/>
              </w:rPr>
              <w:t xml:space="preserve"> </w:t>
            </w:r>
            <w:proofErr w:type="spellStart"/>
            <w:r w:rsidRPr="000277F8">
              <w:rPr>
                <w:rFonts w:ascii="Times New Roman" w:hAnsi="Times New Roman"/>
                <w:color w:val="000000"/>
                <w:sz w:val="16"/>
                <w:szCs w:val="16"/>
                <w:lang w:val="uk-UA"/>
              </w:rPr>
              <w:t>transfer</w:t>
            </w:r>
            <w:proofErr w:type="spellEnd"/>
            <w:r w:rsidRPr="000277F8">
              <w:rPr>
                <w:rFonts w:ascii="Times New Roman" w:hAnsi="Times New Roman"/>
                <w:color w:val="000000"/>
                <w:sz w:val="16"/>
                <w:szCs w:val="16"/>
                <w:lang w:val="uk-UA"/>
              </w:rPr>
              <w:t xml:space="preserve"> </w:t>
            </w:r>
            <w:proofErr w:type="spellStart"/>
            <w:r w:rsidRPr="000277F8">
              <w:rPr>
                <w:rFonts w:ascii="Times New Roman" w:hAnsi="Times New Roman"/>
                <w:color w:val="000000"/>
                <w:sz w:val="16"/>
                <w:szCs w:val="16"/>
                <w:lang w:val="uk-UA"/>
              </w:rPr>
              <w:t>the</w:t>
            </w:r>
            <w:proofErr w:type="spellEnd"/>
            <w:r w:rsidRPr="000277F8">
              <w:rPr>
                <w:rFonts w:ascii="Times New Roman" w:hAnsi="Times New Roman"/>
                <w:color w:val="000000"/>
                <w:sz w:val="16"/>
                <w:szCs w:val="16"/>
                <w:lang w:val="uk-UA"/>
              </w:rPr>
              <w:t xml:space="preserve"> </w:t>
            </w:r>
            <w:proofErr w:type="spellStart"/>
            <w:r w:rsidRPr="000277F8">
              <w:rPr>
                <w:rFonts w:ascii="Times New Roman" w:hAnsi="Times New Roman"/>
                <w:color w:val="000000"/>
                <w:sz w:val="16"/>
                <w:szCs w:val="16"/>
                <w:lang w:val="uk-UA"/>
              </w:rPr>
              <w:t>funds</w:t>
            </w:r>
            <w:proofErr w:type="spellEnd"/>
            <w:r w:rsidRPr="000277F8">
              <w:rPr>
                <w:rFonts w:ascii="Times New Roman" w:hAnsi="Times New Roman"/>
                <w:color w:val="000000"/>
                <w:sz w:val="16"/>
                <w:szCs w:val="16"/>
                <w:lang w:val="uk-UA"/>
              </w:rPr>
              <w:t xml:space="preserve"> </w:t>
            </w:r>
            <w:proofErr w:type="spellStart"/>
            <w:r w:rsidRPr="000277F8">
              <w:rPr>
                <w:rFonts w:ascii="Times New Roman" w:hAnsi="Times New Roman"/>
                <w:color w:val="000000"/>
                <w:sz w:val="16"/>
                <w:szCs w:val="16"/>
                <w:lang w:val="uk-UA"/>
              </w:rPr>
              <w:t>intended</w:t>
            </w:r>
            <w:proofErr w:type="spellEnd"/>
            <w:r w:rsidRPr="000277F8">
              <w:rPr>
                <w:rFonts w:ascii="Times New Roman" w:hAnsi="Times New Roman"/>
                <w:color w:val="000000"/>
                <w:sz w:val="16"/>
                <w:szCs w:val="16"/>
                <w:lang w:val="uk-UA"/>
              </w:rPr>
              <w:t xml:space="preserve"> </w:t>
            </w:r>
            <w:proofErr w:type="spellStart"/>
            <w:r w:rsidRPr="000277F8">
              <w:rPr>
                <w:rFonts w:ascii="Times New Roman" w:hAnsi="Times New Roman"/>
                <w:color w:val="000000"/>
                <w:sz w:val="16"/>
                <w:szCs w:val="16"/>
                <w:lang w:val="uk-UA"/>
              </w:rPr>
              <w:t>for</w:t>
            </w:r>
            <w:proofErr w:type="spellEnd"/>
            <w:r w:rsidRPr="000277F8">
              <w:rPr>
                <w:rFonts w:ascii="Times New Roman" w:hAnsi="Times New Roman"/>
                <w:color w:val="000000"/>
                <w:sz w:val="16"/>
                <w:szCs w:val="16"/>
                <w:lang w:val="uk-UA"/>
              </w:rPr>
              <w:t xml:space="preserve"> </w:t>
            </w:r>
            <w:proofErr w:type="spellStart"/>
            <w:r w:rsidRPr="000277F8">
              <w:rPr>
                <w:rFonts w:ascii="Times New Roman" w:hAnsi="Times New Roman"/>
                <w:color w:val="000000"/>
                <w:sz w:val="16"/>
                <w:szCs w:val="16"/>
                <w:lang w:val="uk-UA"/>
              </w:rPr>
              <w:t>payment</w:t>
            </w:r>
            <w:proofErr w:type="spellEnd"/>
            <w:r w:rsidRPr="000277F8">
              <w:rPr>
                <w:rFonts w:ascii="Times New Roman" w:hAnsi="Times New Roman"/>
                <w:color w:val="000000"/>
                <w:sz w:val="16"/>
                <w:szCs w:val="16"/>
                <w:lang w:val="uk-UA"/>
              </w:rPr>
              <w:t xml:space="preserve"> </w:t>
            </w:r>
            <w:proofErr w:type="spellStart"/>
            <w:r w:rsidRPr="000277F8">
              <w:rPr>
                <w:rFonts w:ascii="Times New Roman" w:hAnsi="Times New Roman"/>
                <w:color w:val="000000"/>
                <w:sz w:val="16"/>
                <w:szCs w:val="16"/>
                <w:lang w:val="uk-UA"/>
              </w:rPr>
              <w:t>on</w:t>
            </w:r>
            <w:proofErr w:type="spellEnd"/>
            <w:r w:rsidRPr="000277F8">
              <w:rPr>
                <w:rFonts w:ascii="Times New Roman" w:hAnsi="Times New Roman"/>
                <w:color w:val="000000"/>
                <w:sz w:val="16"/>
                <w:szCs w:val="16"/>
                <w:lang w:val="uk-UA"/>
              </w:rPr>
              <w:t xml:space="preserve"> </w:t>
            </w:r>
            <w:proofErr w:type="spellStart"/>
            <w:r w:rsidRPr="000277F8">
              <w:rPr>
                <w:rFonts w:ascii="Times New Roman" w:hAnsi="Times New Roman"/>
                <w:color w:val="000000"/>
                <w:sz w:val="16"/>
                <w:szCs w:val="16"/>
                <w:lang w:val="uk-UA"/>
              </w:rPr>
              <w:t>securities</w:t>
            </w:r>
            <w:proofErr w:type="spellEnd"/>
            <w:r w:rsidRPr="000277F8">
              <w:rPr>
                <w:rFonts w:ascii="Times New Roman" w:hAnsi="Times New Roman"/>
                <w:color w:val="000000"/>
                <w:sz w:val="16"/>
                <w:szCs w:val="16"/>
                <w:lang w:val="uk-UA"/>
              </w:rPr>
              <w:t xml:space="preserve">, </w:t>
            </w:r>
            <w:proofErr w:type="spellStart"/>
            <w:r w:rsidRPr="000277F8">
              <w:rPr>
                <w:rFonts w:ascii="Times New Roman" w:hAnsi="Times New Roman"/>
                <w:color w:val="000000"/>
                <w:sz w:val="16"/>
                <w:szCs w:val="16"/>
                <w:lang w:val="uk-UA"/>
              </w:rPr>
              <w:t>the</w:t>
            </w:r>
            <w:proofErr w:type="spellEnd"/>
            <w:r w:rsidRPr="000277F8">
              <w:rPr>
                <w:rFonts w:ascii="Times New Roman" w:hAnsi="Times New Roman"/>
                <w:color w:val="000000"/>
                <w:sz w:val="16"/>
                <w:szCs w:val="16"/>
                <w:lang w:val="uk-UA"/>
              </w:rPr>
              <w:t xml:space="preserve"> </w:t>
            </w:r>
            <w:proofErr w:type="spellStart"/>
            <w:r w:rsidRPr="000277F8">
              <w:rPr>
                <w:rFonts w:ascii="Times New Roman" w:hAnsi="Times New Roman"/>
                <w:color w:val="000000"/>
                <w:sz w:val="16"/>
                <w:szCs w:val="16"/>
                <w:lang w:val="uk-UA"/>
              </w:rPr>
              <w:t>rights</w:t>
            </w:r>
            <w:proofErr w:type="spellEnd"/>
            <w:r w:rsidRPr="000277F8">
              <w:rPr>
                <w:rFonts w:ascii="Times New Roman" w:hAnsi="Times New Roman"/>
                <w:color w:val="000000"/>
                <w:sz w:val="16"/>
                <w:szCs w:val="16"/>
                <w:lang w:val="uk-UA"/>
              </w:rPr>
              <w:t xml:space="preserve"> </w:t>
            </w:r>
            <w:proofErr w:type="spellStart"/>
            <w:r w:rsidRPr="000277F8">
              <w:rPr>
                <w:rFonts w:ascii="Times New Roman" w:hAnsi="Times New Roman"/>
                <w:color w:val="000000"/>
                <w:sz w:val="16"/>
                <w:szCs w:val="16"/>
                <w:lang w:val="uk-UA"/>
              </w:rPr>
              <w:t>to</w:t>
            </w:r>
            <w:proofErr w:type="spellEnd"/>
            <w:r w:rsidRPr="000277F8">
              <w:rPr>
                <w:rFonts w:ascii="Times New Roman" w:hAnsi="Times New Roman"/>
                <w:color w:val="000000"/>
                <w:sz w:val="16"/>
                <w:szCs w:val="16"/>
                <w:lang w:val="uk-UA"/>
              </w:rPr>
              <w:t xml:space="preserve"> </w:t>
            </w:r>
            <w:proofErr w:type="spellStart"/>
            <w:r w:rsidRPr="000277F8">
              <w:rPr>
                <w:rFonts w:ascii="Times New Roman" w:hAnsi="Times New Roman"/>
                <w:color w:val="000000"/>
                <w:sz w:val="16"/>
                <w:szCs w:val="16"/>
                <w:lang w:val="uk-UA"/>
              </w:rPr>
              <w:t>which</w:t>
            </w:r>
            <w:proofErr w:type="spellEnd"/>
            <w:r w:rsidRPr="000277F8">
              <w:rPr>
                <w:rFonts w:ascii="Times New Roman" w:hAnsi="Times New Roman"/>
                <w:color w:val="000000"/>
                <w:sz w:val="16"/>
                <w:szCs w:val="16"/>
                <w:lang w:val="uk-UA"/>
              </w:rPr>
              <w:t xml:space="preserve"> </w:t>
            </w:r>
            <w:proofErr w:type="spellStart"/>
            <w:r w:rsidRPr="000277F8">
              <w:rPr>
                <w:rFonts w:ascii="Times New Roman" w:hAnsi="Times New Roman"/>
                <w:color w:val="000000"/>
                <w:sz w:val="16"/>
                <w:szCs w:val="16"/>
                <w:lang w:val="uk-UA"/>
              </w:rPr>
              <w:t>were</w:t>
            </w:r>
            <w:proofErr w:type="spellEnd"/>
            <w:r w:rsidRPr="000277F8">
              <w:rPr>
                <w:rFonts w:ascii="Times New Roman" w:hAnsi="Times New Roman"/>
                <w:color w:val="000000"/>
                <w:sz w:val="16"/>
                <w:szCs w:val="16"/>
                <w:lang w:val="uk-UA"/>
              </w:rPr>
              <w:t xml:space="preserve"> </w:t>
            </w:r>
            <w:proofErr w:type="spellStart"/>
            <w:r w:rsidRPr="000277F8">
              <w:rPr>
                <w:rFonts w:ascii="Times New Roman" w:hAnsi="Times New Roman"/>
                <w:color w:val="000000"/>
                <w:sz w:val="16"/>
                <w:szCs w:val="16"/>
                <w:lang w:val="uk-UA"/>
              </w:rPr>
              <w:t>registered</w:t>
            </w:r>
            <w:proofErr w:type="spellEnd"/>
            <w:r w:rsidRPr="000277F8">
              <w:rPr>
                <w:rFonts w:ascii="Times New Roman" w:hAnsi="Times New Roman"/>
                <w:color w:val="000000"/>
                <w:sz w:val="16"/>
                <w:szCs w:val="16"/>
                <w:lang w:val="uk-UA"/>
              </w:rPr>
              <w:t xml:space="preserve"> </w:t>
            </w:r>
            <w:proofErr w:type="spellStart"/>
            <w:r w:rsidRPr="000277F8">
              <w:rPr>
                <w:rFonts w:ascii="Times New Roman" w:hAnsi="Times New Roman"/>
                <w:color w:val="000000"/>
                <w:sz w:val="16"/>
                <w:szCs w:val="16"/>
                <w:lang w:val="uk-UA"/>
              </w:rPr>
              <w:t>in</w:t>
            </w:r>
            <w:proofErr w:type="spellEnd"/>
            <w:r w:rsidRPr="000277F8">
              <w:rPr>
                <w:rFonts w:ascii="Times New Roman" w:hAnsi="Times New Roman"/>
                <w:color w:val="000000"/>
                <w:sz w:val="16"/>
                <w:szCs w:val="16"/>
                <w:lang w:val="uk-UA"/>
              </w:rPr>
              <w:t xml:space="preserve"> </w:t>
            </w:r>
            <w:proofErr w:type="spellStart"/>
            <w:r w:rsidRPr="000277F8">
              <w:rPr>
                <w:rFonts w:ascii="Times New Roman" w:hAnsi="Times New Roman"/>
                <w:color w:val="000000"/>
                <w:sz w:val="16"/>
                <w:szCs w:val="16"/>
                <w:lang w:val="uk-UA"/>
              </w:rPr>
              <w:t>it</w:t>
            </w:r>
            <w:proofErr w:type="spellEnd"/>
            <w:r w:rsidRPr="000277F8">
              <w:rPr>
                <w:rFonts w:ascii="Times New Roman" w:hAnsi="Times New Roman"/>
                <w:color w:val="000000"/>
                <w:sz w:val="16"/>
                <w:szCs w:val="16"/>
                <w:lang w:val="uk-UA"/>
              </w:rPr>
              <w:t xml:space="preserve">, </w:t>
            </w:r>
            <w:proofErr w:type="spellStart"/>
            <w:r w:rsidRPr="000277F8">
              <w:rPr>
                <w:rFonts w:ascii="Times New Roman" w:hAnsi="Times New Roman"/>
                <w:color w:val="000000"/>
                <w:sz w:val="16"/>
                <w:szCs w:val="16"/>
                <w:lang w:val="uk-UA"/>
              </w:rPr>
              <w:t>but</w:t>
            </w:r>
            <w:proofErr w:type="spellEnd"/>
            <w:r w:rsidRPr="000277F8">
              <w:rPr>
                <w:rFonts w:ascii="Times New Roman" w:hAnsi="Times New Roman"/>
                <w:color w:val="000000"/>
                <w:sz w:val="16"/>
                <w:szCs w:val="16"/>
                <w:lang w:val="uk-UA"/>
              </w:rPr>
              <w:t xml:space="preserve"> </w:t>
            </w:r>
            <w:proofErr w:type="spellStart"/>
            <w:r w:rsidRPr="000277F8">
              <w:rPr>
                <w:rFonts w:ascii="Times New Roman" w:hAnsi="Times New Roman"/>
                <w:color w:val="000000"/>
                <w:sz w:val="16"/>
                <w:szCs w:val="16"/>
                <w:lang w:val="uk-UA"/>
              </w:rPr>
              <w:t>were</w:t>
            </w:r>
            <w:proofErr w:type="spellEnd"/>
            <w:r w:rsidRPr="000277F8">
              <w:rPr>
                <w:rFonts w:ascii="Times New Roman" w:hAnsi="Times New Roman"/>
                <w:color w:val="000000"/>
                <w:sz w:val="16"/>
                <w:szCs w:val="16"/>
                <w:lang w:val="uk-UA"/>
              </w:rPr>
              <w:t xml:space="preserve"> </w:t>
            </w:r>
            <w:proofErr w:type="spellStart"/>
            <w:r w:rsidRPr="000277F8">
              <w:rPr>
                <w:rFonts w:ascii="Times New Roman" w:hAnsi="Times New Roman"/>
                <w:color w:val="000000"/>
                <w:sz w:val="16"/>
                <w:szCs w:val="16"/>
                <w:lang w:val="uk-UA"/>
              </w:rPr>
              <w:t>not</w:t>
            </w:r>
            <w:proofErr w:type="spellEnd"/>
            <w:r w:rsidRPr="000277F8">
              <w:rPr>
                <w:rFonts w:ascii="Times New Roman" w:hAnsi="Times New Roman"/>
                <w:color w:val="000000"/>
                <w:sz w:val="16"/>
                <w:szCs w:val="16"/>
                <w:lang w:val="uk-UA"/>
              </w:rPr>
              <w:t xml:space="preserve"> </w:t>
            </w:r>
            <w:proofErr w:type="spellStart"/>
            <w:r w:rsidRPr="000277F8">
              <w:rPr>
                <w:rFonts w:ascii="Times New Roman" w:hAnsi="Times New Roman"/>
                <w:color w:val="000000"/>
                <w:sz w:val="16"/>
                <w:szCs w:val="16"/>
                <w:lang w:val="uk-UA"/>
              </w:rPr>
              <w:t>paid</w:t>
            </w:r>
            <w:proofErr w:type="spellEnd"/>
            <w:r w:rsidRPr="000277F8">
              <w:rPr>
                <w:rFonts w:ascii="Times New Roman" w:hAnsi="Times New Roman"/>
                <w:color w:val="000000"/>
                <w:sz w:val="16"/>
                <w:szCs w:val="16"/>
                <w:lang w:val="uk-UA"/>
              </w:rPr>
              <w:t xml:space="preserve"> </w:t>
            </w:r>
            <w:proofErr w:type="spellStart"/>
            <w:r w:rsidRPr="000277F8">
              <w:rPr>
                <w:rFonts w:ascii="Times New Roman" w:hAnsi="Times New Roman"/>
                <w:color w:val="000000"/>
                <w:sz w:val="16"/>
                <w:szCs w:val="16"/>
                <w:lang w:val="uk-UA"/>
              </w:rPr>
              <w:t>by</w:t>
            </w:r>
            <w:proofErr w:type="spellEnd"/>
            <w:r w:rsidRPr="000277F8">
              <w:rPr>
                <w:rFonts w:ascii="Times New Roman" w:hAnsi="Times New Roman"/>
                <w:color w:val="000000"/>
                <w:sz w:val="16"/>
                <w:szCs w:val="16"/>
                <w:lang w:val="uk-UA"/>
              </w:rPr>
              <w:t xml:space="preserve"> </w:t>
            </w:r>
            <w:proofErr w:type="spellStart"/>
            <w:r w:rsidRPr="000277F8">
              <w:rPr>
                <w:rFonts w:ascii="Times New Roman" w:hAnsi="Times New Roman"/>
                <w:color w:val="000000"/>
                <w:sz w:val="16"/>
                <w:szCs w:val="16"/>
                <w:lang w:val="uk-UA"/>
              </w:rPr>
              <w:t>it</w:t>
            </w:r>
            <w:proofErr w:type="spellEnd"/>
            <w:r w:rsidRPr="000277F8">
              <w:rPr>
                <w:rFonts w:ascii="Times New Roman" w:hAnsi="Times New Roman"/>
                <w:color w:val="000000"/>
                <w:sz w:val="16"/>
                <w:szCs w:val="16"/>
                <w:lang w:val="uk-UA"/>
              </w:rPr>
              <w:t xml:space="preserve"> </w:t>
            </w:r>
            <w:proofErr w:type="spellStart"/>
            <w:r w:rsidRPr="000277F8">
              <w:rPr>
                <w:rFonts w:ascii="Times New Roman" w:hAnsi="Times New Roman"/>
                <w:color w:val="000000"/>
                <w:sz w:val="16"/>
                <w:szCs w:val="16"/>
                <w:lang w:val="uk-UA"/>
              </w:rPr>
              <w:t>to</w:t>
            </w:r>
            <w:proofErr w:type="spellEnd"/>
            <w:r w:rsidRPr="000277F8">
              <w:rPr>
                <w:rFonts w:ascii="Times New Roman" w:hAnsi="Times New Roman"/>
                <w:color w:val="000000"/>
                <w:sz w:val="16"/>
                <w:szCs w:val="16"/>
                <w:lang w:val="uk-UA"/>
              </w:rPr>
              <w:t xml:space="preserve"> </w:t>
            </w:r>
            <w:proofErr w:type="spellStart"/>
            <w:r w:rsidRPr="000277F8">
              <w:rPr>
                <w:rFonts w:ascii="Times New Roman" w:hAnsi="Times New Roman"/>
                <w:color w:val="000000"/>
                <w:sz w:val="16"/>
                <w:szCs w:val="16"/>
                <w:lang w:val="uk-UA"/>
              </w:rPr>
              <w:t>the</w:t>
            </w:r>
            <w:proofErr w:type="spellEnd"/>
            <w:r w:rsidRPr="000277F8">
              <w:rPr>
                <w:rFonts w:ascii="Times New Roman" w:hAnsi="Times New Roman"/>
                <w:color w:val="000000"/>
                <w:sz w:val="16"/>
                <w:szCs w:val="16"/>
                <w:lang w:val="uk-UA"/>
              </w:rPr>
              <w:t xml:space="preserve"> </w:t>
            </w:r>
            <w:proofErr w:type="spellStart"/>
            <w:r w:rsidRPr="000277F8">
              <w:rPr>
                <w:rFonts w:ascii="Times New Roman" w:hAnsi="Times New Roman"/>
                <w:color w:val="000000"/>
                <w:sz w:val="16"/>
                <w:szCs w:val="16"/>
                <w:lang w:val="uk-UA"/>
              </w:rPr>
              <w:t>persons</w:t>
            </w:r>
            <w:proofErr w:type="spellEnd"/>
            <w:r w:rsidRPr="000277F8">
              <w:rPr>
                <w:rFonts w:ascii="Times New Roman" w:hAnsi="Times New Roman"/>
                <w:color w:val="000000"/>
                <w:sz w:val="16"/>
                <w:szCs w:val="16"/>
                <w:lang w:val="uk-UA"/>
              </w:rPr>
              <w:t xml:space="preserve"> </w:t>
            </w:r>
            <w:proofErr w:type="spellStart"/>
            <w:r w:rsidRPr="000277F8">
              <w:rPr>
                <w:rFonts w:ascii="Times New Roman" w:hAnsi="Times New Roman"/>
                <w:color w:val="000000"/>
                <w:sz w:val="16"/>
                <w:szCs w:val="16"/>
                <w:lang w:val="uk-UA"/>
              </w:rPr>
              <w:t>entitled</w:t>
            </w:r>
            <w:proofErr w:type="spellEnd"/>
            <w:r w:rsidRPr="000277F8">
              <w:rPr>
                <w:rFonts w:ascii="Times New Roman" w:hAnsi="Times New Roman"/>
                <w:color w:val="000000"/>
                <w:sz w:val="16"/>
                <w:szCs w:val="16"/>
                <w:lang w:val="uk-UA"/>
              </w:rPr>
              <w:t xml:space="preserve"> </w:t>
            </w:r>
            <w:proofErr w:type="spellStart"/>
            <w:r w:rsidRPr="000277F8">
              <w:rPr>
                <w:rFonts w:ascii="Times New Roman" w:hAnsi="Times New Roman"/>
                <w:color w:val="000000"/>
                <w:sz w:val="16"/>
                <w:szCs w:val="16"/>
                <w:lang w:val="uk-UA"/>
              </w:rPr>
              <w:t>to</w:t>
            </w:r>
            <w:proofErr w:type="spellEnd"/>
            <w:r w:rsidRPr="000277F8">
              <w:rPr>
                <w:rFonts w:ascii="Times New Roman" w:hAnsi="Times New Roman"/>
                <w:color w:val="000000"/>
                <w:sz w:val="16"/>
                <w:szCs w:val="16"/>
                <w:lang w:val="uk-UA"/>
              </w:rPr>
              <w:t xml:space="preserve"> </w:t>
            </w:r>
            <w:proofErr w:type="spellStart"/>
            <w:r w:rsidRPr="000277F8">
              <w:rPr>
                <w:rFonts w:ascii="Times New Roman" w:hAnsi="Times New Roman"/>
                <w:color w:val="000000"/>
                <w:sz w:val="16"/>
                <w:szCs w:val="16"/>
                <w:lang w:val="uk-UA"/>
              </w:rPr>
              <w:t>receive</w:t>
            </w:r>
            <w:proofErr w:type="spellEnd"/>
            <w:r w:rsidRPr="000277F8">
              <w:rPr>
                <w:rFonts w:ascii="Times New Roman" w:hAnsi="Times New Roman"/>
                <w:color w:val="000000"/>
                <w:sz w:val="16"/>
                <w:szCs w:val="16"/>
                <w:lang w:val="uk-UA"/>
              </w:rPr>
              <w:t xml:space="preserve"> </w:t>
            </w:r>
            <w:proofErr w:type="spellStart"/>
            <w:r w:rsidRPr="000277F8">
              <w:rPr>
                <w:rFonts w:ascii="Times New Roman" w:hAnsi="Times New Roman"/>
                <w:color w:val="000000"/>
                <w:sz w:val="16"/>
                <w:szCs w:val="16"/>
                <w:lang w:val="uk-UA"/>
              </w:rPr>
              <w:t>them</w:t>
            </w:r>
            <w:proofErr w:type="spellEnd"/>
            <w:r w:rsidRPr="000277F8">
              <w:rPr>
                <w:rFonts w:ascii="Times New Roman" w:hAnsi="Times New Roman"/>
                <w:color w:val="000000"/>
                <w:sz w:val="16"/>
                <w:szCs w:val="16"/>
                <w:lang w:val="uk-UA"/>
              </w:rPr>
              <w:t xml:space="preserve">, </w:t>
            </w:r>
            <w:proofErr w:type="spellStart"/>
            <w:r w:rsidRPr="000277F8">
              <w:rPr>
                <w:rFonts w:ascii="Times New Roman" w:hAnsi="Times New Roman"/>
                <w:color w:val="000000"/>
                <w:sz w:val="16"/>
                <w:szCs w:val="16"/>
                <w:lang w:val="uk-UA"/>
              </w:rPr>
              <w:t>in</w:t>
            </w:r>
            <w:proofErr w:type="spellEnd"/>
            <w:r w:rsidRPr="000277F8">
              <w:rPr>
                <w:rFonts w:ascii="Times New Roman" w:hAnsi="Times New Roman"/>
                <w:color w:val="000000"/>
                <w:sz w:val="16"/>
                <w:szCs w:val="16"/>
                <w:lang w:val="uk-UA"/>
              </w:rPr>
              <w:t xml:space="preserve"> </w:t>
            </w:r>
            <w:proofErr w:type="spellStart"/>
            <w:r w:rsidRPr="000277F8">
              <w:rPr>
                <w:rFonts w:ascii="Times New Roman" w:hAnsi="Times New Roman"/>
                <w:color w:val="000000"/>
                <w:sz w:val="16"/>
                <w:szCs w:val="16"/>
                <w:lang w:val="uk-UA"/>
              </w:rPr>
              <w:t>the</w:t>
            </w:r>
            <w:proofErr w:type="spellEnd"/>
            <w:r w:rsidRPr="000277F8">
              <w:rPr>
                <w:rFonts w:ascii="Times New Roman" w:hAnsi="Times New Roman"/>
                <w:color w:val="000000"/>
                <w:sz w:val="16"/>
                <w:szCs w:val="16"/>
                <w:lang w:val="uk-UA"/>
              </w:rPr>
              <w:t xml:space="preserve"> </w:t>
            </w:r>
            <w:proofErr w:type="spellStart"/>
            <w:r w:rsidRPr="000277F8">
              <w:rPr>
                <w:rFonts w:ascii="Times New Roman" w:hAnsi="Times New Roman"/>
                <w:color w:val="000000"/>
                <w:sz w:val="16"/>
                <w:szCs w:val="16"/>
                <w:lang w:val="uk-UA"/>
              </w:rPr>
              <w:t>manner</w:t>
            </w:r>
            <w:proofErr w:type="spellEnd"/>
            <w:r w:rsidRPr="000277F8">
              <w:rPr>
                <w:rFonts w:ascii="Times New Roman" w:hAnsi="Times New Roman"/>
                <w:color w:val="000000"/>
                <w:sz w:val="16"/>
                <w:szCs w:val="16"/>
                <w:lang w:val="uk-UA"/>
              </w:rPr>
              <w:t xml:space="preserve"> </w:t>
            </w:r>
            <w:proofErr w:type="spellStart"/>
            <w:r w:rsidRPr="000277F8">
              <w:rPr>
                <w:rFonts w:ascii="Times New Roman" w:hAnsi="Times New Roman"/>
                <w:color w:val="000000"/>
                <w:sz w:val="16"/>
                <w:szCs w:val="16"/>
                <w:lang w:val="uk-UA"/>
              </w:rPr>
              <w:t>prescribed</w:t>
            </w:r>
            <w:proofErr w:type="spellEnd"/>
            <w:r w:rsidRPr="000277F8">
              <w:rPr>
                <w:rFonts w:ascii="Times New Roman" w:hAnsi="Times New Roman"/>
                <w:color w:val="000000"/>
                <w:sz w:val="16"/>
                <w:szCs w:val="16"/>
                <w:lang w:val="uk-UA"/>
              </w:rPr>
              <w:t xml:space="preserve"> </w:t>
            </w:r>
            <w:proofErr w:type="spellStart"/>
            <w:r w:rsidRPr="000277F8">
              <w:rPr>
                <w:rFonts w:ascii="Times New Roman" w:hAnsi="Times New Roman"/>
                <w:color w:val="000000"/>
                <w:sz w:val="16"/>
                <w:szCs w:val="16"/>
                <w:lang w:val="uk-UA"/>
              </w:rPr>
              <w:t>by</w:t>
            </w:r>
            <w:proofErr w:type="spellEnd"/>
            <w:r w:rsidRPr="000277F8">
              <w:rPr>
                <w:rFonts w:ascii="Times New Roman" w:hAnsi="Times New Roman"/>
                <w:color w:val="000000"/>
                <w:sz w:val="16"/>
                <w:szCs w:val="16"/>
                <w:lang w:val="uk-UA"/>
              </w:rPr>
              <w:t xml:space="preserve"> </w:t>
            </w:r>
            <w:proofErr w:type="spellStart"/>
            <w:r w:rsidRPr="000277F8">
              <w:rPr>
                <w:rFonts w:ascii="Times New Roman" w:hAnsi="Times New Roman"/>
                <w:color w:val="000000"/>
                <w:sz w:val="16"/>
                <w:szCs w:val="16"/>
                <w:lang w:val="uk-UA"/>
              </w:rPr>
              <w:t>law</w:t>
            </w:r>
            <w:proofErr w:type="spellEnd"/>
            <w:r w:rsidRPr="000277F8">
              <w:rPr>
                <w:rFonts w:ascii="Times New Roman" w:hAnsi="Times New Roman"/>
                <w:color w:val="000000"/>
                <w:sz w:val="16"/>
                <w:szCs w:val="16"/>
                <w:lang w:val="uk-UA"/>
              </w:rPr>
              <w:t xml:space="preserve"> </w:t>
            </w:r>
            <w:proofErr w:type="spellStart"/>
            <w:r w:rsidRPr="000277F8">
              <w:rPr>
                <w:rFonts w:ascii="Times New Roman" w:hAnsi="Times New Roman"/>
                <w:color w:val="000000"/>
                <w:sz w:val="16"/>
                <w:szCs w:val="16"/>
                <w:lang w:val="uk-UA"/>
              </w:rPr>
              <w:t>to</w:t>
            </w:r>
            <w:proofErr w:type="spellEnd"/>
            <w:r w:rsidRPr="000277F8">
              <w:rPr>
                <w:rFonts w:ascii="Times New Roman" w:hAnsi="Times New Roman"/>
                <w:color w:val="000000"/>
                <w:sz w:val="16"/>
                <w:szCs w:val="16"/>
                <w:lang w:val="uk-UA"/>
              </w:rPr>
              <w:t xml:space="preserve"> </w:t>
            </w:r>
            <w:proofErr w:type="spellStart"/>
            <w:r w:rsidRPr="000277F8">
              <w:rPr>
                <w:rFonts w:ascii="Times New Roman" w:hAnsi="Times New Roman"/>
                <w:color w:val="000000"/>
                <w:sz w:val="16"/>
                <w:szCs w:val="16"/>
                <w:lang w:val="uk-UA"/>
              </w:rPr>
              <w:t>the</w:t>
            </w:r>
            <w:proofErr w:type="spellEnd"/>
            <w:r w:rsidRPr="000277F8">
              <w:rPr>
                <w:rFonts w:ascii="Times New Roman" w:hAnsi="Times New Roman"/>
                <w:color w:val="000000"/>
                <w:sz w:val="16"/>
                <w:szCs w:val="16"/>
                <w:lang w:val="uk-UA"/>
              </w:rPr>
              <w:t xml:space="preserve"> </w:t>
            </w:r>
            <w:proofErr w:type="spellStart"/>
            <w:r w:rsidRPr="000277F8">
              <w:rPr>
                <w:rFonts w:ascii="Times New Roman" w:hAnsi="Times New Roman"/>
                <w:color w:val="000000"/>
                <w:sz w:val="16"/>
                <w:szCs w:val="16"/>
                <w:lang w:val="uk-UA"/>
              </w:rPr>
              <w:t>money</w:t>
            </w:r>
            <w:proofErr w:type="spellEnd"/>
            <w:r w:rsidRPr="000277F8">
              <w:rPr>
                <w:rFonts w:ascii="Times New Roman" w:hAnsi="Times New Roman"/>
                <w:color w:val="000000"/>
                <w:sz w:val="16"/>
                <w:szCs w:val="16"/>
                <w:lang w:val="uk-UA"/>
              </w:rPr>
              <w:t xml:space="preserve"> </w:t>
            </w:r>
            <w:proofErr w:type="spellStart"/>
            <w:r w:rsidRPr="000277F8">
              <w:rPr>
                <w:rFonts w:ascii="Times New Roman" w:hAnsi="Times New Roman"/>
                <w:color w:val="000000"/>
                <w:sz w:val="16"/>
                <w:szCs w:val="16"/>
                <w:lang w:val="uk-UA"/>
              </w:rPr>
              <w:t>account</w:t>
            </w:r>
            <w:proofErr w:type="spellEnd"/>
            <w:r w:rsidRPr="000277F8">
              <w:rPr>
                <w:rFonts w:ascii="Times New Roman" w:hAnsi="Times New Roman"/>
                <w:color w:val="000000"/>
                <w:sz w:val="16"/>
                <w:szCs w:val="16"/>
                <w:lang w:val="uk-UA"/>
              </w:rPr>
              <w:t xml:space="preserve"> </w:t>
            </w:r>
            <w:proofErr w:type="spellStart"/>
            <w:r w:rsidRPr="000277F8">
              <w:rPr>
                <w:rFonts w:ascii="Times New Roman" w:hAnsi="Times New Roman"/>
                <w:color w:val="000000"/>
                <w:sz w:val="16"/>
                <w:szCs w:val="16"/>
                <w:lang w:val="uk-UA"/>
              </w:rPr>
              <w:t>of</w:t>
            </w:r>
            <w:proofErr w:type="spellEnd"/>
            <w:r w:rsidRPr="000277F8">
              <w:rPr>
                <w:rFonts w:ascii="Times New Roman" w:hAnsi="Times New Roman"/>
                <w:color w:val="000000"/>
                <w:sz w:val="16"/>
                <w:szCs w:val="16"/>
                <w:lang w:val="uk-UA"/>
              </w:rPr>
              <w:t xml:space="preserve"> </w:t>
            </w:r>
            <w:proofErr w:type="spellStart"/>
            <w:r w:rsidRPr="000277F8">
              <w:rPr>
                <w:rFonts w:ascii="Times New Roman" w:hAnsi="Times New Roman"/>
                <w:color w:val="000000"/>
                <w:sz w:val="16"/>
                <w:szCs w:val="16"/>
                <w:lang w:val="uk-UA"/>
              </w:rPr>
              <w:t>the</w:t>
            </w:r>
            <w:proofErr w:type="spellEnd"/>
            <w:r w:rsidRPr="000277F8">
              <w:rPr>
                <w:rFonts w:ascii="Times New Roman" w:hAnsi="Times New Roman"/>
                <w:color w:val="000000"/>
                <w:sz w:val="16"/>
                <w:szCs w:val="16"/>
                <w:lang w:val="uk-UA"/>
              </w:rPr>
              <w:t xml:space="preserve"> </w:t>
            </w:r>
            <w:proofErr w:type="spellStart"/>
            <w:r w:rsidRPr="000277F8">
              <w:rPr>
                <w:rFonts w:ascii="Times New Roman" w:hAnsi="Times New Roman"/>
                <w:color w:val="000000"/>
                <w:sz w:val="16"/>
                <w:szCs w:val="16"/>
                <w:lang w:val="uk-UA"/>
              </w:rPr>
              <w:t>Central</w:t>
            </w:r>
            <w:proofErr w:type="spellEnd"/>
            <w:r w:rsidRPr="000277F8">
              <w:rPr>
                <w:rFonts w:ascii="Times New Roman" w:hAnsi="Times New Roman"/>
                <w:color w:val="000000"/>
                <w:sz w:val="16"/>
                <w:szCs w:val="16"/>
                <w:lang w:val="uk-UA"/>
              </w:rPr>
              <w:t xml:space="preserve"> </w:t>
            </w:r>
            <w:proofErr w:type="spellStart"/>
            <w:r w:rsidRPr="000277F8">
              <w:rPr>
                <w:rFonts w:ascii="Times New Roman" w:hAnsi="Times New Roman"/>
                <w:color w:val="000000"/>
                <w:sz w:val="16"/>
                <w:szCs w:val="16"/>
                <w:lang w:val="uk-UA"/>
              </w:rPr>
              <w:t>Depository</w:t>
            </w:r>
            <w:proofErr w:type="spellEnd"/>
            <w:r w:rsidRPr="000277F8">
              <w:rPr>
                <w:rFonts w:ascii="Times New Roman" w:hAnsi="Times New Roman"/>
                <w:color w:val="000000"/>
                <w:sz w:val="16"/>
                <w:szCs w:val="16"/>
                <w:lang w:val="uk-UA"/>
              </w:rPr>
              <w:t xml:space="preserve"> </w:t>
            </w:r>
            <w:proofErr w:type="spellStart"/>
            <w:r w:rsidRPr="000277F8">
              <w:rPr>
                <w:rFonts w:ascii="Times New Roman" w:hAnsi="Times New Roman"/>
                <w:color w:val="000000"/>
                <w:sz w:val="16"/>
                <w:szCs w:val="16"/>
                <w:lang w:val="uk-UA"/>
              </w:rPr>
              <w:t>in</w:t>
            </w:r>
            <w:proofErr w:type="spellEnd"/>
            <w:r w:rsidRPr="000277F8">
              <w:rPr>
                <w:rFonts w:ascii="Times New Roman" w:hAnsi="Times New Roman"/>
                <w:color w:val="000000"/>
                <w:sz w:val="16"/>
                <w:szCs w:val="16"/>
                <w:lang w:val="uk-UA"/>
              </w:rPr>
              <w:t xml:space="preserve"> </w:t>
            </w:r>
            <w:proofErr w:type="spellStart"/>
            <w:r w:rsidRPr="000277F8">
              <w:rPr>
                <w:rFonts w:ascii="Times New Roman" w:hAnsi="Times New Roman"/>
                <w:color w:val="000000"/>
                <w:sz w:val="16"/>
                <w:szCs w:val="16"/>
                <w:lang w:val="uk-UA"/>
              </w:rPr>
              <w:t>the</w:t>
            </w:r>
            <w:proofErr w:type="spellEnd"/>
            <w:r w:rsidRPr="000277F8">
              <w:rPr>
                <w:rFonts w:ascii="Times New Roman" w:hAnsi="Times New Roman"/>
                <w:color w:val="000000"/>
                <w:sz w:val="16"/>
                <w:szCs w:val="16"/>
                <w:lang w:val="uk-UA"/>
              </w:rPr>
              <w:t xml:space="preserve"> </w:t>
            </w:r>
            <w:proofErr w:type="spellStart"/>
            <w:r w:rsidRPr="000277F8">
              <w:rPr>
                <w:rFonts w:ascii="Times New Roman" w:hAnsi="Times New Roman"/>
                <w:color w:val="000000"/>
                <w:sz w:val="16"/>
                <w:szCs w:val="16"/>
                <w:lang w:val="uk-UA"/>
              </w:rPr>
              <w:t>Settlement</w:t>
            </w:r>
            <w:proofErr w:type="spellEnd"/>
            <w:r w:rsidRPr="000277F8">
              <w:rPr>
                <w:rFonts w:ascii="Times New Roman" w:hAnsi="Times New Roman"/>
                <w:color w:val="000000"/>
                <w:sz w:val="16"/>
                <w:szCs w:val="16"/>
                <w:lang w:val="uk-UA"/>
              </w:rPr>
              <w:t xml:space="preserve"> </w:t>
            </w:r>
            <w:proofErr w:type="spellStart"/>
            <w:r w:rsidRPr="000277F8">
              <w:rPr>
                <w:rFonts w:ascii="Times New Roman" w:hAnsi="Times New Roman"/>
                <w:color w:val="000000"/>
                <w:sz w:val="16"/>
                <w:szCs w:val="16"/>
                <w:lang w:val="uk-UA"/>
              </w:rPr>
              <w:t>Center</w:t>
            </w:r>
            <w:proofErr w:type="spellEnd"/>
            <w:r w:rsidRPr="000277F8">
              <w:rPr>
                <w:rFonts w:ascii="Times New Roman" w:hAnsi="Times New Roman"/>
                <w:color w:val="000000"/>
                <w:sz w:val="16"/>
                <w:szCs w:val="16"/>
                <w:lang w:val="uk-UA"/>
              </w:rPr>
              <w:t xml:space="preserve">. </w:t>
            </w:r>
            <w:proofErr w:type="spellStart"/>
            <w:r w:rsidRPr="000277F8">
              <w:rPr>
                <w:rFonts w:ascii="Times New Roman" w:hAnsi="Times New Roman"/>
                <w:color w:val="000000"/>
                <w:sz w:val="16"/>
                <w:szCs w:val="16"/>
                <w:lang w:val="uk-UA"/>
              </w:rPr>
              <w:t>The</w:t>
            </w:r>
            <w:proofErr w:type="spellEnd"/>
            <w:r w:rsidRPr="000277F8">
              <w:rPr>
                <w:rFonts w:ascii="Times New Roman" w:hAnsi="Times New Roman"/>
                <w:color w:val="000000"/>
                <w:sz w:val="16"/>
                <w:szCs w:val="16"/>
                <w:lang w:val="uk-UA"/>
              </w:rPr>
              <w:t xml:space="preserve"> </w:t>
            </w:r>
            <w:proofErr w:type="spellStart"/>
            <w:r w:rsidRPr="000277F8">
              <w:rPr>
                <w:rFonts w:ascii="Times New Roman" w:hAnsi="Times New Roman"/>
                <w:color w:val="000000"/>
                <w:sz w:val="16"/>
                <w:szCs w:val="16"/>
                <w:lang w:val="uk-UA"/>
              </w:rPr>
              <w:t>Central</w:t>
            </w:r>
            <w:proofErr w:type="spellEnd"/>
            <w:r w:rsidRPr="000277F8">
              <w:rPr>
                <w:rFonts w:ascii="Times New Roman" w:hAnsi="Times New Roman"/>
                <w:color w:val="000000"/>
                <w:sz w:val="16"/>
                <w:szCs w:val="16"/>
                <w:lang w:val="uk-UA"/>
              </w:rPr>
              <w:t xml:space="preserve"> </w:t>
            </w:r>
            <w:proofErr w:type="spellStart"/>
            <w:r w:rsidRPr="000277F8">
              <w:rPr>
                <w:rFonts w:ascii="Times New Roman" w:hAnsi="Times New Roman"/>
                <w:color w:val="000000"/>
                <w:sz w:val="16"/>
                <w:szCs w:val="16"/>
                <w:lang w:val="uk-UA"/>
              </w:rPr>
              <w:t>Depository</w:t>
            </w:r>
            <w:proofErr w:type="spellEnd"/>
            <w:r w:rsidRPr="000277F8">
              <w:rPr>
                <w:rFonts w:ascii="Times New Roman" w:hAnsi="Times New Roman"/>
                <w:color w:val="000000"/>
                <w:sz w:val="16"/>
                <w:szCs w:val="16"/>
                <w:lang w:val="uk-UA"/>
              </w:rPr>
              <w:t xml:space="preserve"> </w:t>
            </w:r>
            <w:proofErr w:type="spellStart"/>
            <w:r w:rsidRPr="000277F8">
              <w:rPr>
                <w:rFonts w:ascii="Times New Roman" w:hAnsi="Times New Roman"/>
                <w:color w:val="000000"/>
                <w:sz w:val="16"/>
                <w:szCs w:val="16"/>
                <w:lang w:val="uk-UA"/>
              </w:rPr>
              <w:t>shall</w:t>
            </w:r>
            <w:proofErr w:type="spellEnd"/>
            <w:r w:rsidRPr="000277F8">
              <w:rPr>
                <w:rFonts w:ascii="Times New Roman" w:hAnsi="Times New Roman"/>
                <w:color w:val="000000"/>
                <w:sz w:val="16"/>
                <w:szCs w:val="16"/>
                <w:lang w:val="uk-UA"/>
              </w:rPr>
              <w:t xml:space="preserve"> </w:t>
            </w:r>
            <w:proofErr w:type="spellStart"/>
            <w:r w:rsidRPr="000277F8">
              <w:rPr>
                <w:rFonts w:ascii="Times New Roman" w:hAnsi="Times New Roman"/>
                <w:color w:val="000000"/>
                <w:sz w:val="16"/>
                <w:szCs w:val="16"/>
                <w:lang w:val="uk-UA"/>
              </w:rPr>
              <w:t>be</w:t>
            </w:r>
            <w:proofErr w:type="spellEnd"/>
            <w:r w:rsidRPr="000277F8">
              <w:rPr>
                <w:rFonts w:ascii="Times New Roman" w:hAnsi="Times New Roman"/>
                <w:color w:val="000000"/>
                <w:sz w:val="16"/>
                <w:szCs w:val="16"/>
                <w:lang w:val="uk-UA"/>
              </w:rPr>
              <w:t xml:space="preserve"> </w:t>
            </w:r>
            <w:proofErr w:type="spellStart"/>
            <w:r w:rsidRPr="000277F8">
              <w:rPr>
                <w:rFonts w:ascii="Times New Roman" w:hAnsi="Times New Roman"/>
                <w:color w:val="000000"/>
                <w:sz w:val="16"/>
                <w:szCs w:val="16"/>
                <w:lang w:val="uk-UA"/>
              </w:rPr>
              <w:t>notified</w:t>
            </w:r>
            <w:proofErr w:type="spellEnd"/>
            <w:r w:rsidRPr="000277F8">
              <w:rPr>
                <w:rFonts w:ascii="Times New Roman" w:hAnsi="Times New Roman"/>
                <w:color w:val="000000"/>
                <w:sz w:val="16"/>
                <w:szCs w:val="16"/>
                <w:lang w:val="uk-UA"/>
              </w:rPr>
              <w:t xml:space="preserve"> </w:t>
            </w:r>
            <w:proofErr w:type="spellStart"/>
            <w:r w:rsidRPr="000277F8">
              <w:rPr>
                <w:rFonts w:ascii="Times New Roman" w:hAnsi="Times New Roman"/>
                <w:color w:val="000000"/>
                <w:sz w:val="16"/>
                <w:szCs w:val="16"/>
                <w:lang w:val="uk-UA"/>
              </w:rPr>
              <w:t>of</w:t>
            </w:r>
            <w:proofErr w:type="spellEnd"/>
            <w:r w:rsidRPr="000277F8">
              <w:rPr>
                <w:rFonts w:ascii="Times New Roman" w:hAnsi="Times New Roman"/>
                <w:color w:val="000000"/>
                <w:sz w:val="16"/>
                <w:szCs w:val="16"/>
                <w:lang w:val="uk-UA"/>
              </w:rPr>
              <w:t xml:space="preserve"> </w:t>
            </w:r>
            <w:proofErr w:type="spellStart"/>
            <w:r w:rsidRPr="000277F8">
              <w:rPr>
                <w:rFonts w:ascii="Times New Roman" w:hAnsi="Times New Roman"/>
                <w:color w:val="000000"/>
                <w:sz w:val="16"/>
                <w:szCs w:val="16"/>
                <w:lang w:val="uk-UA"/>
              </w:rPr>
              <w:t>the</w:t>
            </w:r>
            <w:proofErr w:type="spellEnd"/>
            <w:r w:rsidRPr="000277F8">
              <w:rPr>
                <w:rFonts w:ascii="Times New Roman" w:hAnsi="Times New Roman"/>
                <w:color w:val="000000"/>
                <w:sz w:val="16"/>
                <w:szCs w:val="16"/>
                <w:lang w:val="uk-UA"/>
              </w:rPr>
              <w:t xml:space="preserve"> </w:t>
            </w:r>
            <w:proofErr w:type="spellStart"/>
            <w:r w:rsidRPr="000277F8">
              <w:rPr>
                <w:rFonts w:ascii="Times New Roman" w:hAnsi="Times New Roman"/>
                <w:color w:val="000000"/>
                <w:sz w:val="16"/>
                <w:szCs w:val="16"/>
                <w:lang w:val="uk-UA"/>
              </w:rPr>
              <w:t>total</w:t>
            </w:r>
            <w:proofErr w:type="spellEnd"/>
            <w:r w:rsidRPr="000277F8">
              <w:rPr>
                <w:rFonts w:ascii="Times New Roman" w:hAnsi="Times New Roman"/>
                <w:color w:val="000000"/>
                <w:sz w:val="16"/>
                <w:szCs w:val="16"/>
                <w:lang w:val="uk-UA"/>
              </w:rPr>
              <w:t xml:space="preserve"> </w:t>
            </w:r>
            <w:proofErr w:type="spellStart"/>
            <w:r w:rsidRPr="000277F8">
              <w:rPr>
                <w:rFonts w:ascii="Times New Roman" w:hAnsi="Times New Roman"/>
                <w:color w:val="000000"/>
                <w:sz w:val="16"/>
                <w:szCs w:val="16"/>
                <w:lang w:val="uk-UA"/>
              </w:rPr>
              <w:t>amount</w:t>
            </w:r>
            <w:proofErr w:type="spellEnd"/>
            <w:r w:rsidRPr="000277F8">
              <w:rPr>
                <w:rFonts w:ascii="Times New Roman" w:hAnsi="Times New Roman"/>
                <w:color w:val="000000"/>
                <w:sz w:val="16"/>
                <w:szCs w:val="16"/>
                <w:lang w:val="uk-UA"/>
              </w:rPr>
              <w:t xml:space="preserve"> </w:t>
            </w:r>
            <w:proofErr w:type="spellStart"/>
            <w:r w:rsidRPr="000277F8">
              <w:rPr>
                <w:rFonts w:ascii="Times New Roman" w:hAnsi="Times New Roman"/>
                <w:color w:val="000000"/>
                <w:sz w:val="16"/>
                <w:szCs w:val="16"/>
                <w:lang w:val="uk-UA"/>
              </w:rPr>
              <w:t>of</w:t>
            </w:r>
            <w:proofErr w:type="spellEnd"/>
            <w:r w:rsidRPr="000277F8">
              <w:rPr>
                <w:rFonts w:ascii="Times New Roman" w:hAnsi="Times New Roman"/>
                <w:color w:val="000000"/>
                <w:sz w:val="16"/>
                <w:szCs w:val="16"/>
                <w:lang w:val="uk-UA"/>
              </w:rPr>
              <w:t xml:space="preserve"> </w:t>
            </w:r>
            <w:proofErr w:type="spellStart"/>
            <w:r w:rsidRPr="000277F8">
              <w:rPr>
                <w:rFonts w:ascii="Times New Roman" w:hAnsi="Times New Roman"/>
                <w:color w:val="000000"/>
                <w:sz w:val="16"/>
                <w:szCs w:val="16"/>
                <w:lang w:val="uk-UA"/>
              </w:rPr>
              <w:t>funds</w:t>
            </w:r>
            <w:proofErr w:type="spellEnd"/>
            <w:r w:rsidRPr="000277F8">
              <w:rPr>
                <w:rFonts w:ascii="Times New Roman" w:hAnsi="Times New Roman"/>
                <w:color w:val="000000"/>
                <w:sz w:val="16"/>
                <w:szCs w:val="16"/>
                <w:lang w:val="uk-UA"/>
              </w:rPr>
              <w:t xml:space="preserve"> </w:t>
            </w:r>
            <w:proofErr w:type="spellStart"/>
            <w:r w:rsidRPr="000277F8">
              <w:rPr>
                <w:rFonts w:ascii="Times New Roman" w:hAnsi="Times New Roman"/>
                <w:color w:val="000000"/>
                <w:sz w:val="16"/>
                <w:szCs w:val="16"/>
                <w:lang w:val="uk-UA"/>
              </w:rPr>
              <w:t>separately</w:t>
            </w:r>
            <w:proofErr w:type="spellEnd"/>
            <w:r w:rsidRPr="000277F8">
              <w:rPr>
                <w:rFonts w:ascii="Times New Roman" w:hAnsi="Times New Roman"/>
                <w:color w:val="000000"/>
                <w:sz w:val="16"/>
                <w:szCs w:val="16"/>
                <w:lang w:val="uk-UA"/>
              </w:rPr>
              <w:t xml:space="preserve"> </w:t>
            </w:r>
            <w:proofErr w:type="spellStart"/>
            <w:r w:rsidRPr="000277F8">
              <w:rPr>
                <w:rFonts w:ascii="Times New Roman" w:hAnsi="Times New Roman"/>
                <w:color w:val="000000"/>
                <w:sz w:val="16"/>
                <w:szCs w:val="16"/>
                <w:lang w:val="uk-UA"/>
              </w:rPr>
              <w:t>for</w:t>
            </w:r>
            <w:proofErr w:type="spellEnd"/>
            <w:r w:rsidRPr="000277F8">
              <w:rPr>
                <w:rFonts w:ascii="Times New Roman" w:hAnsi="Times New Roman"/>
                <w:color w:val="000000"/>
                <w:sz w:val="16"/>
                <w:szCs w:val="16"/>
                <w:lang w:val="uk-UA"/>
              </w:rPr>
              <w:t xml:space="preserve"> </w:t>
            </w:r>
            <w:proofErr w:type="spellStart"/>
            <w:r w:rsidRPr="000277F8">
              <w:rPr>
                <w:rFonts w:ascii="Times New Roman" w:hAnsi="Times New Roman"/>
                <w:color w:val="000000"/>
                <w:sz w:val="16"/>
                <w:szCs w:val="16"/>
                <w:lang w:val="uk-UA"/>
              </w:rPr>
              <w:t>the</w:t>
            </w:r>
            <w:proofErr w:type="spellEnd"/>
            <w:r w:rsidRPr="000277F8">
              <w:rPr>
                <w:rFonts w:ascii="Times New Roman" w:hAnsi="Times New Roman"/>
                <w:color w:val="000000"/>
                <w:sz w:val="16"/>
                <w:szCs w:val="16"/>
                <w:lang w:val="uk-UA"/>
              </w:rPr>
              <w:t xml:space="preserve"> </w:t>
            </w:r>
            <w:proofErr w:type="spellStart"/>
            <w:r w:rsidRPr="000277F8">
              <w:rPr>
                <w:rFonts w:ascii="Times New Roman" w:hAnsi="Times New Roman"/>
                <w:color w:val="000000"/>
                <w:sz w:val="16"/>
                <w:szCs w:val="16"/>
                <w:lang w:val="uk-UA"/>
              </w:rPr>
              <w:t>relevant</w:t>
            </w:r>
            <w:proofErr w:type="spellEnd"/>
            <w:r w:rsidRPr="000277F8">
              <w:rPr>
                <w:rFonts w:ascii="Times New Roman" w:hAnsi="Times New Roman"/>
                <w:color w:val="000000"/>
                <w:sz w:val="16"/>
                <w:szCs w:val="16"/>
                <w:lang w:val="uk-UA"/>
              </w:rPr>
              <w:t xml:space="preserve"> </w:t>
            </w:r>
            <w:proofErr w:type="spellStart"/>
            <w:r w:rsidRPr="000277F8">
              <w:rPr>
                <w:rFonts w:ascii="Times New Roman" w:hAnsi="Times New Roman"/>
                <w:color w:val="000000"/>
                <w:sz w:val="16"/>
                <w:szCs w:val="16"/>
                <w:lang w:val="uk-UA"/>
              </w:rPr>
              <w:t>issue</w:t>
            </w:r>
            <w:proofErr w:type="spellEnd"/>
            <w:r w:rsidRPr="000277F8">
              <w:rPr>
                <w:rFonts w:ascii="Times New Roman" w:hAnsi="Times New Roman"/>
                <w:color w:val="000000"/>
                <w:sz w:val="16"/>
                <w:szCs w:val="16"/>
                <w:lang w:val="uk-UA"/>
              </w:rPr>
              <w:t xml:space="preserve"> </w:t>
            </w:r>
            <w:proofErr w:type="spellStart"/>
            <w:r w:rsidRPr="000277F8">
              <w:rPr>
                <w:rFonts w:ascii="Times New Roman" w:hAnsi="Times New Roman"/>
                <w:color w:val="000000"/>
                <w:sz w:val="16"/>
                <w:szCs w:val="16"/>
                <w:lang w:val="uk-UA"/>
              </w:rPr>
              <w:t>of</w:t>
            </w:r>
            <w:proofErr w:type="spellEnd"/>
            <w:r w:rsidRPr="000277F8">
              <w:rPr>
                <w:rFonts w:ascii="Times New Roman" w:hAnsi="Times New Roman"/>
                <w:color w:val="000000"/>
                <w:sz w:val="16"/>
                <w:szCs w:val="16"/>
                <w:lang w:val="uk-UA"/>
              </w:rPr>
              <w:t xml:space="preserve"> </w:t>
            </w:r>
            <w:proofErr w:type="spellStart"/>
            <w:r w:rsidRPr="000277F8">
              <w:rPr>
                <w:rFonts w:ascii="Times New Roman" w:hAnsi="Times New Roman"/>
                <w:color w:val="000000"/>
                <w:sz w:val="16"/>
                <w:szCs w:val="16"/>
                <w:lang w:val="uk-UA"/>
              </w:rPr>
              <w:t>securities</w:t>
            </w:r>
            <w:proofErr w:type="spellEnd"/>
            <w:r w:rsidRPr="000277F8">
              <w:rPr>
                <w:rFonts w:ascii="Times New Roman" w:hAnsi="Times New Roman"/>
                <w:color w:val="000000"/>
                <w:sz w:val="16"/>
                <w:szCs w:val="16"/>
                <w:lang w:val="uk-UA"/>
              </w:rPr>
              <w:t xml:space="preserve"> </w:t>
            </w:r>
            <w:proofErr w:type="spellStart"/>
            <w:r w:rsidRPr="000277F8">
              <w:rPr>
                <w:rFonts w:ascii="Times New Roman" w:hAnsi="Times New Roman"/>
                <w:color w:val="000000"/>
                <w:sz w:val="16"/>
                <w:szCs w:val="16"/>
                <w:lang w:val="uk-UA"/>
              </w:rPr>
              <w:t>and</w:t>
            </w:r>
            <w:proofErr w:type="spellEnd"/>
            <w:r w:rsidRPr="000277F8">
              <w:rPr>
                <w:rFonts w:ascii="Times New Roman" w:hAnsi="Times New Roman"/>
                <w:color w:val="000000"/>
                <w:sz w:val="16"/>
                <w:szCs w:val="16"/>
                <w:lang w:val="uk-UA"/>
              </w:rPr>
              <w:t xml:space="preserve"> </w:t>
            </w:r>
            <w:proofErr w:type="spellStart"/>
            <w:r w:rsidRPr="000277F8">
              <w:rPr>
                <w:rFonts w:ascii="Times New Roman" w:hAnsi="Times New Roman"/>
                <w:color w:val="000000"/>
                <w:sz w:val="16"/>
                <w:szCs w:val="16"/>
                <w:lang w:val="uk-UA"/>
              </w:rPr>
              <w:t>the</w:t>
            </w:r>
            <w:proofErr w:type="spellEnd"/>
            <w:r w:rsidRPr="000277F8">
              <w:rPr>
                <w:rFonts w:ascii="Times New Roman" w:hAnsi="Times New Roman"/>
                <w:color w:val="000000"/>
                <w:sz w:val="16"/>
                <w:szCs w:val="16"/>
                <w:lang w:val="uk-UA"/>
              </w:rPr>
              <w:t xml:space="preserve"> </w:t>
            </w:r>
            <w:proofErr w:type="spellStart"/>
            <w:r w:rsidRPr="000277F8">
              <w:rPr>
                <w:rFonts w:ascii="Times New Roman" w:hAnsi="Times New Roman"/>
                <w:color w:val="000000"/>
                <w:sz w:val="16"/>
                <w:szCs w:val="16"/>
                <w:lang w:val="uk-UA"/>
              </w:rPr>
              <w:t>relevant</w:t>
            </w:r>
            <w:proofErr w:type="spellEnd"/>
            <w:r w:rsidRPr="000277F8">
              <w:rPr>
                <w:rFonts w:ascii="Times New Roman" w:hAnsi="Times New Roman"/>
                <w:color w:val="000000"/>
                <w:sz w:val="16"/>
                <w:szCs w:val="16"/>
                <w:lang w:val="uk-UA"/>
              </w:rPr>
              <w:t xml:space="preserve"> </w:t>
            </w:r>
            <w:proofErr w:type="spellStart"/>
            <w:r w:rsidRPr="000277F8">
              <w:rPr>
                <w:rFonts w:ascii="Times New Roman" w:hAnsi="Times New Roman"/>
                <w:color w:val="000000"/>
                <w:sz w:val="16"/>
                <w:szCs w:val="16"/>
                <w:lang w:val="uk-UA"/>
              </w:rPr>
              <w:t>order</w:t>
            </w:r>
            <w:proofErr w:type="spellEnd"/>
            <w:r w:rsidRPr="000277F8">
              <w:rPr>
                <w:rFonts w:ascii="Times New Roman" w:hAnsi="Times New Roman"/>
                <w:color w:val="000000"/>
                <w:sz w:val="16"/>
                <w:szCs w:val="16"/>
                <w:lang w:val="uk-UA"/>
              </w:rPr>
              <w:t xml:space="preserve"> </w:t>
            </w:r>
            <w:proofErr w:type="spellStart"/>
            <w:r w:rsidRPr="000277F8">
              <w:rPr>
                <w:rFonts w:ascii="Times New Roman" w:hAnsi="Times New Roman"/>
                <w:color w:val="000000"/>
                <w:sz w:val="16"/>
                <w:szCs w:val="16"/>
                <w:lang w:val="uk-UA"/>
              </w:rPr>
              <w:t>in</w:t>
            </w:r>
            <w:proofErr w:type="spellEnd"/>
            <w:r w:rsidRPr="000277F8">
              <w:rPr>
                <w:rFonts w:ascii="Times New Roman" w:hAnsi="Times New Roman"/>
                <w:color w:val="000000"/>
                <w:sz w:val="16"/>
                <w:szCs w:val="16"/>
                <w:lang w:val="uk-UA"/>
              </w:rPr>
              <w:t xml:space="preserve"> </w:t>
            </w:r>
            <w:proofErr w:type="spellStart"/>
            <w:r w:rsidRPr="000277F8">
              <w:rPr>
                <w:rFonts w:ascii="Times New Roman" w:hAnsi="Times New Roman"/>
                <w:color w:val="000000"/>
                <w:sz w:val="16"/>
                <w:szCs w:val="16"/>
                <w:lang w:val="uk-UA"/>
              </w:rPr>
              <w:t>the</w:t>
            </w:r>
            <w:proofErr w:type="spellEnd"/>
            <w:r w:rsidRPr="000277F8">
              <w:rPr>
                <w:rFonts w:ascii="Times New Roman" w:hAnsi="Times New Roman"/>
                <w:color w:val="000000"/>
                <w:sz w:val="16"/>
                <w:szCs w:val="16"/>
                <w:lang w:val="uk-UA"/>
              </w:rPr>
              <w:t xml:space="preserve"> </w:t>
            </w:r>
            <w:proofErr w:type="spellStart"/>
            <w:r w:rsidRPr="000277F8">
              <w:rPr>
                <w:rFonts w:ascii="Times New Roman" w:hAnsi="Times New Roman"/>
                <w:color w:val="000000"/>
                <w:sz w:val="16"/>
                <w:szCs w:val="16"/>
                <w:lang w:val="uk-UA"/>
              </w:rPr>
              <w:t>manner</w:t>
            </w:r>
            <w:proofErr w:type="spellEnd"/>
            <w:r w:rsidRPr="000277F8">
              <w:rPr>
                <w:rFonts w:ascii="Times New Roman" w:hAnsi="Times New Roman"/>
                <w:color w:val="000000"/>
                <w:sz w:val="16"/>
                <w:szCs w:val="16"/>
                <w:lang w:val="uk-UA"/>
              </w:rPr>
              <w:t xml:space="preserve"> </w:t>
            </w:r>
            <w:proofErr w:type="spellStart"/>
            <w:r w:rsidRPr="000277F8">
              <w:rPr>
                <w:rFonts w:ascii="Times New Roman" w:hAnsi="Times New Roman"/>
                <w:color w:val="000000"/>
                <w:sz w:val="16"/>
                <w:szCs w:val="16"/>
                <w:lang w:val="uk-UA"/>
              </w:rPr>
              <w:t>prescribed</w:t>
            </w:r>
            <w:proofErr w:type="spellEnd"/>
            <w:r w:rsidRPr="000277F8">
              <w:rPr>
                <w:rFonts w:ascii="Times New Roman" w:hAnsi="Times New Roman"/>
                <w:color w:val="000000"/>
                <w:sz w:val="16"/>
                <w:szCs w:val="16"/>
                <w:lang w:val="uk-UA"/>
              </w:rPr>
              <w:t xml:space="preserve"> </w:t>
            </w:r>
            <w:proofErr w:type="spellStart"/>
            <w:r w:rsidRPr="000277F8">
              <w:rPr>
                <w:rFonts w:ascii="Times New Roman" w:hAnsi="Times New Roman"/>
                <w:color w:val="000000"/>
                <w:sz w:val="16"/>
                <w:szCs w:val="16"/>
                <w:lang w:val="uk-UA"/>
              </w:rPr>
              <w:t>by</w:t>
            </w:r>
            <w:proofErr w:type="spellEnd"/>
            <w:r w:rsidRPr="000277F8">
              <w:rPr>
                <w:rFonts w:ascii="Times New Roman" w:hAnsi="Times New Roman"/>
                <w:color w:val="000000"/>
                <w:sz w:val="16"/>
                <w:szCs w:val="16"/>
                <w:lang w:val="uk-UA"/>
              </w:rPr>
              <w:t xml:space="preserve"> </w:t>
            </w:r>
            <w:proofErr w:type="spellStart"/>
            <w:r w:rsidRPr="000277F8">
              <w:rPr>
                <w:rFonts w:ascii="Times New Roman" w:hAnsi="Times New Roman"/>
                <w:color w:val="000000"/>
                <w:sz w:val="16"/>
                <w:szCs w:val="16"/>
                <w:lang w:val="uk-UA"/>
              </w:rPr>
              <w:t>the</w:t>
            </w:r>
            <w:proofErr w:type="spellEnd"/>
            <w:r w:rsidRPr="000277F8">
              <w:rPr>
                <w:rFonts w:ascii="Times New Roman" w:hAnsi="Times New Roman"/>
                <w:color w:val="000000"/>
                <w:sz w:val="16"/>
                <w:szCs w:val="16"/>
                <w:lang w:val="uk-UA"/>
              </w:rPr>
              <w:t xml:space="preserve"> </w:t>
            </w:r>
            <w:proofErr w:type="spellStart"/>
            <w:r w:rsidRPr="000277F8">
              <w:rPr>
                <w:rFonts w:ascii="Times New Roman" w:hAnsi="Times New Roman"/>
                <w:color w:val="000000"/>
                <w:sz w:val="16"/>
                <w:szCs w:val="16"/>
                <w:lang w:val="uk-UA"/>
              </w:rPr>
              <w:t>internal</w:t>
            </w:r>
            <w:proofErr w:type="spellEnd"/>
            <w:r w:rsidRPr="000277F8">
              <w:rPr>
                <w:rFonts w:ascii="Times New Roman" w:hAnsi="Times New Roman"/>
                <w:color w:val="000000"/>
                <w:sz w:val="16"/>
                <w:szCs w:val="16"/>
                <w:lang w:val="uk-UA"/>
              </w:rPr>
              <w:t xml:space="preserve"> </w:t>
            </w:r>
            <w:proofErr w:type="spellStart"/>
            <w:r w:rsidRPr="000277F8">
              <w:rPr>
                <w:rFonts w:ascii="Times New Roman" w:hAnsi="Times New Roman"/>
                <w:color w:val="000000"/>
                <w:sz w:val="16"/>
                <w:szCs w:val="16"/>
                <w:lang w:val="uk-UA"/>
              </w:rPr>
              <w:t>documents</w:t>
            </w:r>
            <w:proofErr w:type="spellEnd"/>
            <w:r w:rsidRPr="000277F8">
              <w:rPr>
                <w:rFonts w:ascii="Times New Roman" w:hAnsi="Times New Roman"/>
                <w:color w:val="000000"/>
                <w:sz w:val="16"/>
                <w:szCs w:val="16"/>
                <w:lang w:val="uk-UA"/>
              </w:rPr>
              <w:t xml:space="preserve"> </w:t>
            </w:r>
            <w:proofErr w:type="spellStart"/>
            <w:r w:rsidRPr="000277F8">
              <w:rPr>
                <w:rFonts w:ascii="Times New Roman" w:hAnsi="Times New Roman"/>
                <w:color w:val="000000"/>
                <w:sz w:val="16"/>
                <w:szCs w:val="16"/>
                <w:lang w:val="uk-UA"/>
              </w:rPr>
              <w:t>of</w:t>
            </w:r>
            <w:proofErr w:type="spellEnd"/>
            <w:r w:rsidRPr="000277F8">
              <w:rPr>
                <w:rFonts w:ascii="Times New Roman" w:hAnsi="Times New Roman"/>
                <w:color w:val="000000"/>
                <w:sz w:val="16"/>
                <w:szCs w:val="16"/>
                <w:lang w:val="uk-UA"/>
              </w:rPr>
              <w:t xml:space="preserve"> </w:t>
            </w:r>
            <w:proofErr w:type="spellStart"/>
            <w:r w:rsidRPr="000277F8">
              <w:rPr>
                <w:rFonts w:ascii="Times New Roman" w:hAnsi="Times New Roman"/>
                <w:color w:val="000000"/>
                <w:sz w:val="16"/>
                <w:szCs w:val="16"/>
                <w:lang w:val="uk-UA"/>
              </w:rPr>
              <w:t>the</w:t>
            </w:r>
            <w:proofErr w:type="spellEnd"/>
            <w:r w:rsidRPr="000277F8">
              <w:rPr>
                <w:rFonts w:ascii="Times New Roman" w:hAnsi="Times New Roman"/>
                <w:color w:val="000000"/>
                <w:sz w:val="16"/>
                <w:szCs w:val="16"/>
                <w:lang w:val="uk-UA"/>
              </w:rPr>
              <w:t xml:space="preserve"> </w:t>
            </w:r>
            <w:proofErr w:type="spellStart"/>
            <w:r w:rsidRPr="000277F8">
              <w:rPr>
                <w:rFonts w:ascii="Times New Roman" w:hAnsi="Times New Roman"/>
                <w:color w:val="000000"/>
                <w:sz w:val="16"/>
                <w:szCs w:val="16"/>
                <w:lang w:val="uk-UA"/>
              </w:rPr>
              <w:t>Central</w:t>
            </w:r>
            <w:proofErr w:type="spellEnd"/>
            <w:r w:rsidRPr="000277F8">
              <w:rPr>
                <w:rFonts w:ascii="Times New Roman" w:hAnsi="Times New Roman"/>
                <w:color w:val="000000"/>
                <w:sz w:val="16"/>
                <w:szCs w:val="16"/>
                <w:lang w:val="uk-UA"/>
              </w:rPr>
              <w:t xml:space="preserve"> </w:t>
            </w:r>
            <w:proofErr w:type="spellStart"/>
            <w:r w:rsidRPr="000277F8">
              <w:rPr>
                <w:rFonts w:ascii="Times New Roman" w:hAnsi="Times New Roman"/>
                <w:color w:val="000000"/>
                <w:sz w:val="16"/>
                <w:szCs w:val="16"/>
                <w:lang w:val="uk-UA"/>
              </w:rPr>
              <w:t>Depository</w:t>
            </w:r>
            <w:proofErr w:type="spellEnd"/>
            <w:r w:rsidRPr="000277F8">
              <w:rPr>
                <w:rFonts w:ascii="Times New Roman" w:hAnsi="Times New Roman"/>
                <w:color w:val="000000"/>
                <w:sz w:val="16"/>
                <w:szCs w:val="16"/>
                <w:lang w:val="uk-UA"/>
              </w:rPr>
              <w:t>.</w:t>
            </w:r>
          </w:p>
        </w:tc>
      </w:tr>
      <w:tr w:rsidR="005C5318" w:rsidRPr="00F23413" w14:paraId="2A604055" w14:textId="77777777" w:rsidTr="005E418B">
        <w:trPr>
          <w:trHeight w:val="192"/>
        </w:trPr>
        <w:tc>
          <w:tcPr>
            <w:tcW w:w="5695" w:type="dxa"/>
            <w:gridSpan w:val="6"/>
            <w:shd w:val="clear" w:color="auto" w:fill="auto"/>
          </w:tcPr>
          <w:p w14:paraId="7E306F4A" w14:textId="77777777" w:rsidR="005C5318" w:rsidRPr="00E16672" w:rsidRDefault="005C5318" w:rsidP="009D3C4B">
            <w:pPr>
              <w:pStyle w:val="33"/>
              <w:tabs>
                <w:tab w:val="left" w:pos="851"/>
              </w:tabs>
              <w:snapToGrid w:val="0"/>
              <w:spacing w:before="57" w:after="57"/>
              <w:ind w:left="175" w:right="138" w:firstLine="4"/>
              <w:rPr>
                <w:rFonts w:ascii="Times New Roman" w:hAnsi="Times New Roman" w:cs="Times New Roman"/>
                <w:color w:val="000000"/>
                <w:sz w:val="16"/>
                <w:szCs w:val="16"/>
                <w:lang w:val="uk-UA"/>
              </w:rPr>
            </w:pPr>
            <w:r w:rsidRPr="00E16672">
              <w:rPr>
                <w:rFonts w:ascii="Times New Roman" w:hAnsi="Times New Roman" w:cs="Times New Roman"/>
                <w:color w:val="000000"/>
                <w:sz w:val="16"/>
                <w:szCs w:val="16"/>
                <w:lang w:val="uk-UA"/>
              </w:rPr>
              <w:t xml:space="preserve">11.4. У разі наявності заборгованості з боку Депонента за послуги </w:t>
            </w:r>
            <w:r w:rsidRPr="00E16672">
              <w:rPr>
                <w:rFonts w:ascii="Times New Roman" w:hAnsi="Times New Roman" w:cs="Times New Roman"/>
                <w:color w:val="000000"/>
                <w:sz w:val="16"/>
                <w:szCs w:val="16"/>
                <w:lang w:val="uk-UA"/>
              </w:rPr>
              <w:lastRenderedPageBreak/>
              <w:t>Депозитарної установи термін здійснення виплати доходу за цінними паперами, грошових коштів, отриманих за результатами погашення цінних паперів емітента, отриманих Депонентом за результатами проведення корпоративних операцій емітента, може бути збільшений до моменту сплати Депонентом заборгованості.</w:t>
            </w:r>
          </w:p>
        </w:tc>
        <w:tc>
          <w:tcPr>
            <w:tcW w:w="5495" w:type="dxa"/>
            <w:gridSpan w:val="6"/>
            <w:shd w:val="clear" w:color="auto" w:fill="auto"/>
          </w:tcPr>
          <w:p w14:paraId="232A5735" w14:textId="77777777" w:rsidR="005C5318" w:rsidRPr="00E16672" w:rsidRDefault="005C5318" w:rsidP="009D3C4B">
            <w:pPr>
              <w:snapToGrid w:val="0"/>
              <w:spacing w:before="57" w:after="57"/>
              <w:ind w:left="175" w:right="138" w:firstLine="3"/>
              <w:rPr>
                <w:rFonts w:ascii="Times New Roman" w:hAnsi="Times New Roman"/>
                <w:color w:val="000000"/>
                <w:sz w:val="16"/>
                <w:szCs w:val="16"/>
                <w:lang w:val="uk-UA"/>
              </w:rPr>
            </w:pPr>
            <w:r w:rsidRPr="00E16672">
              <w:rPr>
                <w:rFonts w:ascii="Times New Roman" w:hAnsi="Times New Roman"/>
                <w:color w:val="000000"/>
                <w:sz w:val="16"/>
                <w:szCs w:val="16"/>
                <w:lang w:val="uk-UA"/>
              </w:rPr>
              <w:lastRenderedPageBreak/>
              <w:t xml:space="preserve">11.4. </w:t>
            </w:r>
            <w:proofErr w:type="spellStart"/>
            <w:r w:rsidRPr="00E16672">
              <w:rPr>
                <w:rFonts w:ascii="Times New Roman" w:hAnsi="Times New Roman"/>
                <w:color w:val="000000"/>
                <w:sz w:val="16"/>
                <w:szCs w:val="16"/>
                <w:lang w:val="uk-UA"/>
              </w:rPr>
              <w:t>In</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the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case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of</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debt</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from</w:t>
            </w:r>
            <w:proofErr w:type="spellEnd"/>
            <w:r w:rsidRPr="00E16672">
              <w:rPr>
                <w:rFonts w:ascii="Times New Roman" w:hAnsi="Times New Roman"/>
                <w:color w:val="000000"/>
                <w:sz w:val="16"/>
                <w:szCs w:val="16"/>
                <w:lang w:val="uk-UA"/>
              </w:rPr>
              <w:t xml:space="preserve"> </w:t>
            </w:r>
            <w:r w:rsidRPr="00E16672">
              <w:rPr>
                <w:rFonts w:ascii="Times New Roman" w:hAnsi="Times New Roman"/>
                <w:color w:val="000000"/>
                <w:sz w:val="16"/>
                <w:szCs w:val="16"/>
                <w:lang w:val="en-US"/>
              </w:rPr>
              <w:t>D</w:t>
            </w:r>
            <w:proofErr w:type="spellStart"/>
            <w:r w:rsidRPr="00E16672">
              <w:rPr>
                <w:rFonts w:ascii="Times New Roman" w:hAnsi="Times New Roman"/>
                <w:color w:val="000000"/>
                <w:sz w:val="16"/>
                <w:szCs w:val="16"/>
                <w:lang w:val="uk-UA"/>
              </w:rPr>
              <w:t>epositor</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for</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the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services</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of</w:t>
            </w:r>
            <w:proofErr w:type="spellEnd"/>
            <w:r w:rsidRPr="00E16672">
              <w:rPr>
                <w:rFonts w:ascii="Times New Roman" w:hAnsi="Times New Roman"/>
                <w:color w:val="000000"/>
                <w:sz w:val="16"/>
                <w:szCs w:val="16"/>
                <w:lang w:val="uk-UA"/>
              </w:rPr>
              <w:t xml:space="preserve"> </w:t>
            </w:r>
            <w:r w:rsidRPr="00E16672">
              <w:rPr>
                <w:rFonts w:ascii="Times New Roman" w:hAnsi="Times New Roman"/>
                <w:color w:val="000000"/>
                <w:sz w:val="16"/>
                <w:szCs w:val="16"/>
                <w:lang w:val="en-US"/>
              </w:rPr>
              <w:t>D</w:t>
            </w:r>
            <w:proofErr w:type="spellStart"/>
            <w:r w:rsidRPr="00E16672">
              <w:rPr>
                <w:rFonts w:ascii="Times New Roman" w:hAnsi="Times New Roman"/>
                <w:color w:val="000000"/>
                <w:sz w:val="16"/>
                <w:szCs w:val="16"/>
                <w:lang w:val="uk-UA"/>
              </w:rPr>
              <w:t>epository</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lastRenderedPageBreak/>
              <w:t>institution</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timing</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of</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the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payment</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income</w:t>
            </w:r>
            <w:proofErr w:type="spellEnd"/>
            <w:r w:rsidRPr="00E16672">
              <w:rPr>
                <w:rFonts w:ascii="Times New Roman" w:hAnsi="Times New Roman"/>
                <w:color w:val="000000"/>
                <w:sz w:val="16"/>
                <w:szCs w:val="16"/>
                <w:lang w:val="uk-UA"/>
              </w:rPr>
              <w:t xml:space="preserve"> </w:t>
            </w:r>
            <w:r w:rsidRPr="00E16672">
              <w:rPr>
                <w:rFonts w:ascii="Times New Roman" w:hAnsi="Times New Roman"/>
                <w:color w:val="000000"/>
                <w:sz w:val="16"/>
                <w:szCs w:val="16"/>
                <w:lang w:val="en-US"/>
              </w:rPr>
              <w:t>on</w:t>
            </w:r>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securities</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money</w:t>
            </w:r>
            <w:proofErr w:type="spellEnd"/>
            <w:r w:rsidRPr="00E16672">
              <w:rPr>
                <w:rFonts w:ascii="Times New Roman" w:hAnsi="Times New Roman"/>
                <w:color w:val="000000"/>
                <w:sz w:val="16"/>
                <w:szCs w:val="16"/>
                <w:lang w:val="en-US"/>
              </w:rPr>
              <w:t>,</w:t>
            </w:r>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received</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by</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results</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redemption</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of</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securities</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of</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the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issuer</w:t>
            </w:r>
            <w:proofErr w:type="spellEnd"/>
            <w:r w:rsidRPr="00E16672">
              <w:rPr>
                <w:rFonts w:ascii="Times New Roman" w:hAnsi="Times New Roman"/>
                <w:color w:val="000000"/>
                <w:sz w:val="16"/>
                <w:szCs w:val="16"/>
                <w:lang w:val="en-US"/>
              </w:rPr>
              <w:t>,</w:t>
            </w:r>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received</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by</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the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Depositor</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on</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the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results</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of</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corporate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operations</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of</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the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issuer</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may</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be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increased</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until</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the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payment</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by</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the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Depositor</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of</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debt</w:t>
            </w:r>
            <w:proofErr w:type="spellEnd"/>
            <w:r w:rsidRPr="00E16672">
              <w:rPr>
                <w:rFonts w:ascii="Times New Roman" w:hAnsi="Times New Roman"/>
                <w:color w:val="000000"/>
                <w:sz w:val="16"/>
                <w:szCs w:val="16"/>
                <w:lang w:val="uk-UA"/>
              </w:rPr>
              <w:t>.</w:t>
            </w:r>
          </w:p>
        </w:tc>
      </w:tr>
      <w:tr w:rsidR="005C5318" w:rsidRPr="00F23413" w14:paraId="415C13E0" w14:textId="77777777" w:rsidTr="005E418B">
        <w:trPr>
          <w:trHeight w:val="192"/>
        </w:trPr>
        <w:tc>
          <w:tcPr>
            <w:tcW w:w="5695" w:type="dxa"/>
            <w:gridSpan w:val="6"/>
            <w:shd w:val="clear" w:color="auto" w:fill="auto"/>
          </w:tcPr>
          <w:p w14:paraId="4990B992" w14:textId="77777777" w:rsidR="005C5318" w:rsidRPr="00F23413" w:rsidRDefault="005C5318" w:rsidP="009D3C4B">
            <w:pPr>
              <w:pStyle w:val="33"/>
              <w:tabs>
                <w:tab w:val="left" w:pos="851"/>
              </w:tabs>
              <w:snapToGrid w:val="0"/>
              <w:spacing w:before="57" w:after="57"/>
              <w:ind w:left="175" w:right="138" w:firstLine="4"/>
              <w:rPr>
                <w:rFonts w:ascii="Times New Roman" w:hAnsi="Times New Roman" w:cs="Times New Roman"/>
                <w:color w:val="000000"/>
                <w:sz w:val="16"/>
                <w:szCs w:val="16"/>
                <w:lang w:val="en-US"/>
              </w:rPr>
            </w:pPr>
            <w:r w:rsidRPr="00F23413">
              <w:rPr>
                <w:rFonts w:ascii="Times New Roman" w:hAnsi="Times New Roman" w:cs="Times New Roman"/>
                <w:color w:val="000000"/>
                <w:sz w:val="16"/>
                <w:szCs w:val="16"/>
                <w:lang w:val="en-US"/>
              </w:rPr>
              <w:lastRenderedPageBreak/>
              <w:t>1</w:t>
            </w:r>
            <w:r w:rsidRPr="00E16672">
              <w:rPr>
                <w:rFonts w:ascii="Times New Roman" w:hAnsi="Times New Roman" w:cs="Times New Roman"/>
                <w:color w:val="000000"/>
                <w:sz w:val="16"/>
                <w:szCs w:val="16"/>
                <w:lang w:val="uk-UA"/>
              </w:rPr>
              <w:t>1</w:t>
            </w:r>
            <w:r w:rsidRPr="00F23413">
              <w:rPr>
                <w:rFonts w:ascii="Times New Roman" w:hAnsi="Times New Roman" w:cs="Times New Roman"/>
                <w:color w:val="000000"/>
                <w:sz w:val="16"/>
                <w:szCs w:val="16"/>
                <w:lang w:val="en-US"/>
              </w:rPr>
              <w:t xml:space="preserve">.5. </w:t>
            </w:r>
            <w:proofErr w:type="spellStart"/>
            <w:r w:rsidRPr="00E16672">
              <w:rPr>
                <w:rFonts w:ascii="Times New Roman" w:hAnsi="Times New Roman" w:cs="Times New Roman"/>
                <w:color w:val="000000"/>
                <w:sz w:val="16"/>
                <w:szCs w:val="16"/>
              </w:rPr>
              <w:t>Виплата</w:t>
            </w:r>
            <w:proofErr w:type="spellEnd"/>
            <w:r w:rsidRPr="00F23413">
              <w:rPr>
                <w:rFonts w:ascii="Times New Roman" w:hAnsi="Times New Roman" w:cs="Times New Roman"/>
                <w:color w:val="000000"/>
                <w:sz w:val="16"/>
                <w:szCs w:val="16"/>
                <w:lang w:val="en-US"/>
              </w:rPr>
              <w:t xml:space="preserve"> </w:t>
            </w:r>
            <w:proofErr w:type="spellStart"/>
            <w:r w:rsidRPr="00E16672">
              <w:rPr>
                <w:rFonts w:ascii="Times New Roman" w:hAnsi="Times New Roman" w:cs="Times New Roman"/>
                <w:color w:val="000000"/>
                <w:sz w:val="16"/>
                <w:szCs w:val="16"/>
              </w:rPr>
              <w:t>дивідендів</w:t>
            </w:r>
            <w:proofErr w:type="spellEnd"/>
            <w:r w:rsidRPr="00F23413">
              <w:rPr>
                <w:rFonts w:ascii="Times New Roman" w:hAnsi="Times New Roman" w:cs="Times New Roman"/>
                <w:color w:val="000000"/>
                <w:sz w:val="16"/>
                <w:szCs w:val="16"/>
                <w:lang w:val="en-US"/>
              </w:rPr>
              <w:t xml:space="preserve"> (</w:t>
            </w:r>
            <w:proofErr w:type="spellStart"/>
            <w:r w:rsidRPr="00E16672">
              <w:rPr>
                <w:rFonts w:ascii="Times New Roman" w:hAnsi="Times New Roman" w:cs="Times New Roman"/>
                <w:color w:val="000000"/>
                <w:sz w:val="16"/>
                <w:szCs w:val="16"/>
              </w:rPr>
              <w:t>доходів</w:t>
            </w:r>
            <w:proofErr w:type="spellEnd"/>
            <w:r w:rsidRPr="00F23413">
              <w:rPr>
                <w:rFonts w:ascii="Times New Roman" w:hAnsi="Times New Roman" w:cs="Times New Roman"/>
                <w:color w:val="000000"/>
                <w:sz w:val="16"/>
                <w:szCs w:val="16"/>
                <w:lang w:val="en-US"/>
              </w:rPr>
              <w:t xml:space="preserve">) </w:t>
            </w:r>
            <w:r w:rsidRPr="00E16672">
              <w:rPr>
                <w:rFonts w:ascii="Times New Roman" w:hAnsi="Times New Roman" w:cs="Times New Roman"/>
                <w:sz w:val="16"/>
                <w:szCs w:val="16"/>
                <w:lang w:val="uk-UA" w:eastAsia="ru-RU"/>
              </w:rPr>
              <w:t xml:space="preserve">та інших виплат, що здійснюються (здійснювалися) відповідно </w:t>
            </w:r>
            <w:proofErr w:type="gramStart"/>
            <w:r w:rsidRPr="00E16672">
              <w:rPr>
                <w:rFonts w:ascii="Times New Roman" w:hAnsi="Times New Roman" w:cs="Times New Roman"/>
                <w:sz w:val="16"/>
                <w:szCs w:val="16"/>
                <w:lang w:val="uk-UA" w:eastAsia="ru-RU"/>
              </w:rPr>
              <w:t>до закону</w:t>
            </w:r>
            <w:proofErr w:type="gramEnd"/>
            <w:r w:rsidRPr="00F23413">
              <w:rPr>
                <w:rFonts w:ascii="Times New Roman" w:hAnsi="Times New Roman" w:cs="Times New Roman"/>
                <w:color w:val="000000"/>
                <w:sz w:val="16"/>
                <w:szCs w:val="16"/>
                <w:lang w:val="en-US"/>
              </w:rPr>
              <w:t xml:space="preserve"> </w:t>
            </w:r>
            <w:r w:rsidRPr="00E16672">
              <w:rPr>
                <w:rFonts w:ascii="Times New Roman" w:hAnsi="Times New Roman" w:cs="Times New Roman"/>
                <w:color w:val="000000"/>
                <w:sz w:val="16"/>
                <w:szCs w:val="16"/>
              </w:rPr>
              <w:t>за</w:t>
            </w:r>
            <w:r w:rsidRPr="00F23413">
              <w:rPr>
                <w:rFonts w:ascii="Times New Roman" w:hAnsi="Times New Roman" w:cs="Times New Roman"/>
                <w:color w:val="000000"/>
                <w:sz w:val="16"/>
                <w:szCs w:val="16"/>
                <w:lang w:val="en-US"/>
              </w:rPr>
              <w:t xml:space="preserve"> </w:t>
            </w:r>
            <w:proofErr w:type="spellStart"/>
            <w:r w:rsidRPr="00E16672">
              <w:rPr>
                <w:rFonts w:ascii="Times New Roman" w:hAnsi="Times New Roman" w:cs="Times New Roman"/>
                <w:color w:val="000000"/>
                <w:sz w:val="16"/>
                <w:szCs w:val="16"/>
              </w:rPr>
              <w:t>цінними</w:t>
            </w:r>
            <w:proofErr w:type="spellEnd"/>
            <w:r w:rsidRPr="00F23413">
              <w:rPr>
                <w:rFonts w:ascii="Times New Roman" w:hAnsi="Times New Roman" w:cs="Times New Roman"/>
                <w:color w:val="000000"/>
                <w:sz w:val="16"/>
                <w:szCs w:val="16"/>
                <w:lang w:val="en-US"/>
              </w:rPr>
              <w:t xml:space="preserve"> </w:t>
            </w:r>
            <w:proofErr w:type="spellStart"/>
            <w:r w:rsidRPr="00E16672">
              <w:rPr>
                <w:rFonts w:ascii="Times New Roman" w:hAnsi="Times New Roman" w:cs="Times New Roman"/>
                <w:color w:val="000000"/>
                <w:sz w:val="16"/>
                <w:szCs w:val="16"/>
              </w:rPr>
              <w:t>паперами</w:t>
            </w:r>
            <w:proofErr w:type="spellEnd"/>
            <w:r w:rsidRPr="00F23413">
              <w:rPr>
                <w:rFonts w:ascii="Times New Roman" w:hAnsi="Times New Roman" w:cs="Times New Roman"/>
                <w:color w:val="000000"/>
                <w:sz w:val="16"/>
                <w:szCs w:val="16"/>
                <w:lang w:val="en-US"/>
              </w:rPr>
              <w:t xml:space="preserve">, </w:t>
            </w:r>
            <w:proofErr w:type="spellStart"/>
            <w:r w:rsidRPr="00E16672">
              <w:rPr>
                <w:rFonts w:ascii="Times New Roman" w:hAnsi="Times New Roman" w:cs="Times New Roman"/>
                <w:color w:val="000000"/>
                <w:sz w:val="16"/>
                <w:szCs w:val="16"/>
              </w:rPr>
              <w:t>які</w:t>
            </w:r>
            <w:proofErr w:type="spellEnd"/>
            <w:r w:rsidRPr="00F23413">
              <w:rPr>
                <w:rFonts w:ascii="Times New Roman" w:hAnsi="Times New Roman" w:cs="Times New Roman"/>
                <w:color w:val="000000"/>
                <w:sz w:val="16"/>
                <w:szCs w:val="16"/>
                <w:lang w:val="en-US"/>
              </w:rPr>
              <w:t xml:space="preserve"> </w:t>
            </w:r>
            <w:proofErr w:type="spellStart"/>
            <w:r w:rsidRPr="00E16672">
              <w:rPr>
                <w:rFonts w:ascii="Times New Roman" w:hAnsi="Times New Roman" w:cs="Times New Roman"/>
                <w:color w:val="000000"/>
                <w:sz w:val="16"/>
                <w:szCs w:val="16"/>
              </w:rPr>
              <w:t>розміщені</w:t>
            </w:r>
            <w:proofErr w:type="spellEnd"/>
            <w:r w:rsidRPr="00F23413">
              <w:rPr>
                <w:rFonts w:ascii="Times New Roman" w:hAnsi="Times New Roman" w:cs="Times New Roman"/>
                <w:color w:val="000000"/>
                <w:sz w:val="16"/>
                <w:szCs w:val="16"/>
                <w:lang w:val="en-US"/>
              </w:rPr>
              <w:t xml:space="preserve"> </w:t>
            </w:r>
            <w:r w:rsidRPr="00E16672">
              <w:rPr>
                <w:rFonts w:ascii="Times New Roman" w:hAnsi="Times New Roman" w:cs="Times New Roman"/>
                <w:color w:val="000000"/>
                <w:sz w:val="16"/>
                <w:szCs w:val="16"/>
              </w:rPr>
              <w:t>за</w:t>
            </w:r>
            <w:r w:rsidRPr="00F23413">
              <w:rPr>
                <w:rFonts w:ascii="Times New Roman" w:hAnsi="Times New Roman" w:cs="Times New Roman"/>
                <w:color w:val="000000"/>
                <w:sz w:val="16"/>
                <w:szCs w:val="16"/>
                <w:lang w:val="en-US"/>
              </w:rPr>
              <w:t xml:space="preserve"> </w:t>
            </w:r>
            <w:r w:rsidRPr="00E16672">
              <w:rPr>
                <w:rFonts w:ascii="Times New Roman" w:hAnsi="Times New Roman" w:cs="Times New Roman"/>
                <w:color w:val="000000"/>
                <w:sz w:val="16"/>
                <w:szCs w:val="16"/>
              </w:rPr>
              <w:t>межами</w:t>
            </w:r>
            <w:r w:rsidRPr="00F23413">
              <w:rPr>
                <w:rFonts w:ascii="Times New Roman" w:hAnsi="Times New Roman" w:cs="Times New Roman"/>
                <w:color w:val="000000"/>
                <w:sz w:val="16"/>
                <w:szCs w:val="16"/>
                <w:lang w:val="en-US"/>
              </w:rPr>
              <w:t xml:space="preserve"> </w:t>
            </w:r>
            <w:proofErr w:type="spellStart"/>
            <w:r w:rsidRPr="00E16672">
              <w:rPr>
                <w:rFonts w:ascii="Times New Roman" w:hAnsi="Times New Roman" w:cs="Times New Roman"/>
                <w:color w:val="000000"/>
                <w:sz w:val="16"/>
                <w:szCs w:val="16"/>
              </w:rPr>
              <w:t>України</w:t>
            </w:r>
            <w:proofErr w:type="spellEnd"/>
            <w:r w:rsidRPr="00F23413">
              <w:rPr>
                <w:rFonts w:ascii="Times New Roman" w:hAnsi="Times New Roman" w:cs="Times New Roman"/>
                <w:color w:val="000000"/>
                <w:sz w:val="16"/>
                <w:szCs w:val="16"/>
                <w:lang w:val="en-US"/>
              </w:rPr>
              <w:t xml:space="preserve">, </w:t>
            </w:r>
            <w:proofErr w:type="spellStart"/>
            <w:r w:rsidRPr="00E16672">
              <w:rPr>
                <w:rFonts w:ascii="Times New Roman" w:hAnsi="Times New Roman" w:cs="Times New Roman"/>
                <w:color w:val="000000"/>
                <w:sz w:val="16"/>
                <w:szCs w:val="16"/>
              </w:rPr>
              <w:t>здійснюється</w:t>
            </w:r>
            <w:proofErr w:type="spellEnd"/>
            <w:r w:rsidRPr="00F23413">
              <w:rPr>
                <w:rFonts w:ascii="Times New Roman" w:hAnsi="Times New Roman" w:cs="Times New Roman"/>
                <w:color w:val="000000"/>
                <w:sz w:val="16"/>
                <w:szCs w:val="16"/>
                <w:lang w:val="en-US"/>
              </w:rPr>
              <w:t xml:space="preserve"> </w:t>
            </w:r>
            <w:r w:rsidRPr="00E16672">
              <w:rPr>
                <w:rFonts w:ascii="Times New Roman" w:hAnsi="Times New Roman" w:cs="Times New Roman"/>
                <w:color w:val="000000"/>
                <w:sz w:val="16"/>
                <w:szCs w:val="16"/>
              </w:rPr>
              <w:t>в</w:t>
            </w:r>
            <w:r w:rsidRPr="00F23413">
              <w:rPr>
                <w:rFonts w:ascii="Times New Roman" w:hAnsi="Times New Roman" w:cs="Times New Roman"/>
                <w:color w:val="000000"/>
                <w:sz w:val="16"/>
                <w:szCs w:val="16"/>
                <w:lang w:val="en-US"/>
              </w:rPr>
              <w:t xml:space="preserve"> </w:t>
            </w:r>
            <w:r w:rsidRPr="00E16672">
              <w:rPr>
                <w:rFonts w:ascii="Times New Roman" w:hAnsi="Times New Roman" w:cs="Times New Roman"/>
                <w:color w:val="000000"/>
                <w:sz w:val="16"/>
                <w:szCs w:val="16"/>
              </w:rPr>
              <w:t>порядку</w:t>
            </w:r>
            <w:r w:rsidRPr="00F23413">
              <w:rPr>
                <w:rFonts w:ascii="Times New Roman" w:hAnsi="Times New Roman" w:cs="Times New Roman"/>
                <w:color w:val="000000"/>
                <w:sz w:val="16"/>
                <w:szCs w:val="16"/>
                <w:lang w:val="en-US"/>
              </w:rPr>
              <w:t xml:space="preserve">, </w:t>
            </w:r>
            <w:proofErr w:type="spellStart"/>
            <w:r w:rsidRPr="00E16672">
              <w:rPr>
                <w:rFonts w:ascii="Times New Roman" w:hAnsi="Times New Roman" w:cs="Times New Roman"/>
                <w:color w:val="000000"/>
                <w:sz w:val="16"/>
                <w:szCs w:val="16"/>
              </w:rPr>
              <w:t>встановленому</w:t>
            </w:r>
            <w:proofErr w:type="spellEnd"/>
            <w:r w:rsidRPr="00F23413">
              <w:rPr>
                <w:rFonts w:ascii="Times New Roman" w:hAnsi="Times New Roman" w:cs="Times New Roman"/>
                <w:color w:val="000000"/>
                <w:sz w:val="16"/>
                <w:szCs w:val="16"/>
                <w:lang w:val="en-US"/>
              </w:rPr>
              <w:t xml:space="preserve"> </w:t>
            </w:r>
            <w:proofErr w:type="spellStart"/>
            <w:r w:rsidRPr="00E16672">
              <w:rPr>
                <w:rFonts w:ascii="Times New Roman" w:hAnsi="Times New Roman" w:cs="Times New Roman"/>
                <w:color w:val="000000"/>
                <w:sz w:val="16"/>
                <w:szCs w:val="16"/>
              </w:rPr>
              <w:t>Положенням</w:t>
            </w:r>
            <w:proofErr w:type="spellEnd"/>
            <w:r w:rsidRPr="00F23413">
              <w:rPr>
                <w:rFonts w:ascii="Times New Roman" w:hAnsi="Times New Roman" w:cs="Times New Roman"/>
                <w:color w:val="000000"/>
                <w:sz w:val="16"/>
                <w:szCs w:val="16"/>
                <w:lang w:val="en-US"/>
              </w:rPr>
              <w:t xml:space="preserve"> </w:t>
            </w:r>
            <w:r w:rsidRPr="00E16672">
              <w:rPr>
                <w:rFonts w:ascii="Times New Roman" w:hAnsi="Times New Roman" w:cs="Times New Roman"/>
                <w:color w:val="000000"/>
                <w:sz w:val="16"/>
                <w:szCs w:val="16"/>
              </w:rPr>
              <w:t>про</w:t>
            </w:r>
            <w:r w:rsidRPr="00F23413">
              <w:rPr>
                <w:rFonts w:ascii="Times New Roman" w:hAnsi="Times New Roman" w:cs="Times New Roman"/>
                <w:color w:val="000000"/>
                <w:sz w:val="16"/>
                <w:szCs w:val="16"/>
                <w:lang w:val="en-US"/>
              </w:rPr>
              <w:t xml:space="preserve"> </w:t>
            </w:r>
            <w:proofErr w:type="spellStart"/>
            <w:r w:rsidRPr="00E16672">
              <w:rPr>
                <w:rFonts w:ascii="Times New Roman" w:hAnsi="Times New Roman" w:cs="Times New Roman"/>
                <w:color w:val="000000"/>
                <w:sz w:val="16"/>
                <w:szCs w:val="16"/>
              </w:rPr>
              <w:t>провадження</w:t>
            </w:r>
            <w:proofErr w:type="spellEnd"/>
            <w:r w:rsidRPr="00F23413">
              <w:rPr>
                <w:rFonts w:ascii="Times New Roman" w:hAnsi="Times New Roman" w:cs="Times New Roman"/>
                <w:color w:val="000000"/>
                <w:sz w:val="16"/>
                <w:szCs w:val="16"/>
                <w:lang w:val="en-US"/>
              </w:rPr>
              <w:t xml:space="preserve"> </w:t>
            </w:r>
            <w:proofErr w:type="spellStart"/>
            <w:r w:rsidRPr="00E16672">
              <w:rPr>
                <w:rFonts w:ascii="Times New Roman" w:hAnsi="Times New Roman" w:cs="Times New Roman"/>
                <w:color w:val="000000"/>
                <w:sz w:val="16"/>
                <w:szCs w:val="16"/>
              </w:rPr>
              <w:t>депозитарної</w:t>
            </w:r>
            <w:proofErr w:type="spellEnd"/>
            <w:r w:rsidRPr="00F23413">
              <w:rPr>
                <w:rFonts w:ascii="Times New Roman" w:hAnsi="Times New Roman" w:cs="Times New Roman"/>
                <w:color w:val="000000"/>
                <w:sz w:val="16"/>
                <w:szCs w:val="16"/>
                <w:lang w:val="en-US"/>
              </w:rPr>
              <w:t xml:space="preserve"> </w:t>
            </w:r>
            <w:proofErr w:type="spellStart"/>
            <w:r w:rsidRPr="00E16672">
              <w:rPr>
                <w:rFonts w:ascii="Times New Roman" w:hAnsi="Times New Roman" w:cs="Times New Roman"/>
                <w:color w:val="000000"/>
                <w:sz w:val="16"/>
                <w:szCs w:val="16"/>
              </w:rPr>
              <w:t>діяльності</w:t>
            </w:r>
            <w:proofErr w:type="spellEnd"/>
            <w:r w:rsidRPr="00F23413">
              <w:rPr>
                <w:rFonts w:ascii="Times New Roman" w:hAnsi="Times New Roman" w:cs="Times New Roman"/>
                <w:color w:val="000000"/>
                <w:sz w:val="16"/>
                <w:szCs w:val="16"/>
                <w:lang w:val="en-US"/>
              </w:rPr>
              <w:t xml:space="preserve"> </w:t>
            </w:r>
            <w:r w:rsidRPr="00E16672">
              <w:rPr>
                <w:rFonts w:ascii="Times New Roman" w:hAnsi="Times New Roman" w:cs="Times New Roman"/>
                <w:color w:val="000000"/>
                <w:sz w:val="16"/>
                <w:szCs w:val="16"/>
              </w:rPr>
              <w:t>та</w:t>
            </w:r>
            <w:r w:rsidRPr="00F23413">
              <w:rPr>
                <w:rFonts w:ascii="Times New Roman" w:hAnsi="Times New Roman" w:cs="Times New Roman"/>
                <w:color w:val="000000"/>
                <w:sz w:val="16"/>
                <w:szCs w:val="16"/>
                <w:lang w:val="en-US"/>
              </w:rPr>
              <w:t xml:space="preserve"> </w:t>
            </w:r>
            <w:proofErr w:type="spellStart"/>
            <w:r w:rsidRPr="00E16672">
              <w:rPr>
                <w:rFonts w:ascii="Times New Roman" w:hAnsi="Times New Roman" w:cs="Times New Roman"/>
                <w:color w:val="000000"/>
                <w:sz w:val="16"/>
                <w:szCs w:val="16"/>
              </w:rPr>
              <w:t>внутрішніми</w:t>
            </w:r>
            <w:proofErr w:type="spellEnd"/>
            <w:r w:rsidRPr="00F23413">
              <w:rPr>
                <w:rFonts w:ascii="Times New Roman" w:hAnsi="Times New Roman" w:cs="Times New Roman"/>
                <w:color w:val="000000"/>
                <w:sz w:val="16"/>
                <w:szCs w:val="16"/>
                <w:lang w:val="en-US"/>
              </w:rPr>
              <w:t xml:space="preserve"> </w:t>
            </w:r>
            <w:r w:rsidRPr="00E16672">
              <w:rPr>
                <w:rFonts w:ascii="Times New Roman" w:hAnsi="Times New Roman" w:cs="Times New Roman"/>
                <w:color w:val="000000"/>
                <w:sz w:val="16"/>
                <w:szCs w:val="16"/>
              </w:rPr>
              <w:t>документами</w:t>
            </w:r>
            <w:r w:rsidRPr="00F23413">
              <w:rPr>
                <w:rFonts w:ascii="Times New Roman" w:hAnsi="Times New Roman" w:cs="Times New Roman"/>
                <w:color w:val="000000"/>
                <w:sz w:val="16"/>
                <w:szCs w:val="16"/>
                <w:lang w:val="en-US"/>
              </w:rPr>
              <w:t xml:space="preserve"> </w:t>
            </w:r>
            <w:proofErr w:type="spellStart"/>
            <w:r w:rsidRPr="00E16672">
              <w:rPr>
                <w:rFonts w:ascii="Times New Roman" w:hAnsi="Times New Roman" w:cs="Times New Roman"/>
                <w:color w:val="000000"/>
                <w:sz w:val="16"/>
                <w:szCs w:val="16"/>
              </w:rPr>
              <w:t>Депозитарної</w:t>
            </w:r>
            <w:proofErr w:type="spellEnd"/>
            <w:r w:rsidRPr="00F23413">
              <w:rPr>
                <w:rFonts w:ascii="Times New Roman" w:hAnsi="Times New Roman" w:cs="Times New Roman"/>
                <w:color w:val="000000"/>
                <w:sz w:val="16"/>
                <w:szCs w:val="16"/>
                <w:lang w:val="en-US"/>
              </w:rPr>
              <w:t xml:space="preserve"> </w:t>
            </w:r>
            <w:r w:rsidRPr="00E16672">
              <w:rPr>
                <w:rFonts w:ascii="Times New Roman" w:hAnsi="Times New Roman" w:cs="Times New Roman"/>
                <w:color w:val="000000"/>
                <w:sz w:val="16"/>
                <w:szCs w:val="16"/>
              </w:rPr>
              <w:t>установи</w:t>
            </w:r>
            <w:r w:rsidRPr="00F23413">
              <w:rPr>
                <w:rFonts w:ascii="Times New Roman" w:hAnsi="Times New Roman" w:cs="Times New Roman"/>
                <w:color w:val="000000"/>
                <w:sz w:val="16"/>
                <w:szCs w:val="16"/>
                <w:lang w:val="en-US"/>
              </w:rPr>
              <w:t>.</w:t>
            </w:r>
          </w:p>
        </w:tc>
        <w:tc>
          <w:tcPr>
            <w:tcW w:w="5495" w:type="dxa"/>
            <w:gridSpan w:val="6"/>
            <w:shd w:val="clear" w:color="auto" w:fill="auto"/>
          </w:tcPr>
          <w:p w14:paraId="502BF4D3" w14:textId="77777777" w:rsidR="005C5318" w:rsidRPr="00E16672" w:rsidRDefault="005C5318" w:rsidP="009D3C4B">
            <w:pPr>
              <w:snapToGrid w:val="0"/>
              <w:spacing w:before="57" w:after="57"/>
              <w:ind w:left="175" w:right="138" w:firstLine="3"/>
              <w:rPr>
                <w:rFonts w:ascii="Times New Roman" w:hAnsi="Times New Roman"/>
                <w:color w:val="000000"/>
                <w:sz w:val="16"/>
                <w:szCs w:val="16"/>
                <w:lang w:val="uk-UA"/>
              </w:rPr>
            </w:pPr>
            <w:r w:rsidRPr="00E16672">
              <w:rPr>
                <w:rFonts w:ascii="Times New Roman" w:hAnsi="Times New Roman"/>
                <w:color w:val="000000"/>
                <w:sz w:val="16"/>
                <w:szCs w:val="16"/>
                <w:lang w:val="en-US"/>
              </w:rPr>
              <w:t>1</w:t>
            </w:r>
            <w:r w:rsidRPr="00E16672">
              <w:rPr>
                <w:rFonts w:ascii="Times New Roman" w:hAnsi="Times New Roman"/>
                <w:color w:val="000000"/>
                <w:sz w:val="16"/>
                <w:szCs w:val="16"/>
                <w:lang w:val="uk-UA"/>
              </w:rPr>
              <w:t>1</w:t>
            </w:r>
            <w:r w:rsidRPr="00E16672">
              <w:rPr>
                <w:rFonts w:ascii="Times New Roman" w:hAnsi="Times New Roman"/>
                <w:color w:val="000000"/>
                <w:sz w:val="16"/>
                <w:szCs w:val="16"/>
                <w:lang w:val="en-US"/>
              </w:rPr>
              <w:t xml:space="preserve">.5. Payment of dividends (income) </w:t>
            </w:r>
            <w:r w:rsidRPr="00F23413">
              <w:rPr>
                <w:rFonts w:ascii="Times New Roman" w:hAnsi="Times New Roman"/>
                <w:sz w:val="16"/>
                <w:lang w:val="en-US"/>
              </w:rPr>
              <w:t>and other payments made (carried out) in accordance with the law</w:t>
            </w:r>
            <w:r w:rsidRPr="00E16672">
              <w:rPr>
                <w:rFonts w:ascii="Times New Roman" w:hAnsi="Times New Roman"/>
                <w:color w:val="000000"/>
                <w:sz w:val="8"/>
                <w:szCs w:val="16"/>
                <w:lang w:val="en-US"/>
              </w:rPr>
              <w:t xml:space="preserve"> </w:t>
            </w:r>
            <w:r w:rsidRPr="00E16672">
              <w:rPr>
                <w:rFonts w:ascii="Times New Roman" w:hAnsi="Times New Roman"/>
                <w:color w:val="000000"/>
                <w:sz w:val="16"/>
                <w:szCs w:val="16"/>
                <w:lang w:val="en-US"/>
              </w:rPr>
              <w:t>on securities, which are located outside the Ukraine made in order, established by the Regulation on depository activities and internal documents of Depository institution</w:t>
            </w:r>
            <w:r w:rsidRPr="00E16672">
              <w:rPr>
                <w:rFonts w:ascii="Times New Roman" w:hAnsi="Times New Roman"/>
                <w:color w:val="000000"/>
                <w:sz w:val="16"/>
                <w:szCs w:val="16"/>
                <w:lang w:val="uk-UA"/>
              </w:rPr>
              <w:t>.</w:t>
            </w:r>
          </w:p>
        </w:tc>
      </w:tr>
      <w:tr w:rsidR="005C5318" w:rsidRPr="00F23413" w14:paraId="239F3FD8" w14:textId="77777777" w:rsidTr="005E418B">
        <w:trPr>
          <w:trHeight w:val="192"/>
        </w:trPr>
        <w:tc>
          <w:tcPr>
            <w:tcW w:w="5695" w:type="dxa"/>
            <w:gridSpan w:val="6"/>
            <w:shd w:val="clear" w:color="auto" w:fill="auto"/>
          </w:tcPr>
          <w:p w14:paraId="04734E52" w14:textId="77777777" w:rsidR="005C5318" w:rsidRPr="00E16672" w:rsidRDefault="005C5318" w:rsidP="005C5318">
            <w:pPr>
              <w:snapToGrid w:val="0"/>
              <w:ind w:left="175" w:right="138"/>
              <w:rPr>
                <w:rFonts w:ascii="Times New Roman" w:hAnsi="Times New Roman"/>
                <w:b/>
                <w:bCs/>
                <w:sz w:val="16"/>
                <w:szCs w:val="16"/>
                <w:shd w:val="clear" w:color="auto" w:fill="FFFFFF"/>
                <w:lang w:val="en-US"/>
              </w:rPr>
            </w:pPr>
          </w:p>
          <w:p w14:paraId="56906060" w14:textId="77777777" w:rsidR="005C5318" w:rsidRPr="00E16672" w:rsidRDefault="005C5318" w:rsidP="005C5318">
            <w:pPr>
              <w:pStyle w:val="33"/>
              <w:tabs>
                <w:tab w:val="left" w:pos="851"/>
              </w:tabs>
              <w:ind w:left="175" w:right="138"/>
              <w:jc w:val="center"/>
              <w:rPr>
                <w:rFonts w:ascii="Times New Roman" w:hAnsi="Times New Roman" w:cs="Times New Roman"/>
                <w:b/>
                <w:sz w:val="16"/>
                <w:szCs w:val="16"/>
                <w:lang w:val="uk-UA"/>
              </w:rPr>
            </w:pPr>
            <w:r w:rsidRPr="00E16672">
              <w:rPr>
                <w:rFonts w:ascii="Times New Roman" w:hAnsi="Times New Roman" w:cs="Times New Roman"/>
                <w:b/>
                <w:sz w:val="16"/>
                <w:szCs w:val="16"/>
                <w:lang w:val="uk-UA"/>
              </w:rPr>
              <w:t>12. ЗАКЛЮЧНІ ПОЛОЖЕННЯ</w:t>
            </w:r>
          </w:p>
          <w:p w14:paraId="7BCE32BD" w14:textId="77777777" w:rsidR="005C5318" w:rsidRPr="00E16672" w:rsidRDefault="005C5318" w:rsidP="005C5318">
            <w:pPr>
              <w:tabs>
                <w:tab w:val="left" w:pos="5954"/>
              </w:tabs>
              <w:ind w:left="175" w:right="138"/>
              <w:rPr>
                <w:rFonts w:ascii="Times New Roman" w:hAnsi="Times New Roman"/>
                <w:sz w:val="16"/>
                <w:szCs w:val="16"/>
                <w:lang w:val="uk-UA"/>
              </w:rPr>
            </w:pPr>
          </w:p>
          <w:p w14:paraId="307D8422" w14:textId="77777777" w:rsidR="005C5318" w:rsidRPr="00E16672" w:rsidRDefault="005C5318" w:rsidP="009D3C4B">
            <w:pPr>
              <w:tabs>
                <w:tab w:val="left" w:pos="5954"/>
              </w:tabs>
              <w:ind w:left="175" w:right="138" w:firstLine="4"/>
              <w:rPr>
                <w:rFonts w:ascii="Times New Roman" w:hAnsi="Times New Roman"/>
                <w:sz w:val="16"/>
                <w:szCs w:val="16"/>
                <w:lang w:val="uk-UA"/>
              </w:rPr>
            </w:pPr>
            <w:r w:rsidRPr="00E16672">
              <w:rPr>
                <w:rFonts w:ascii="Times New Roman" w:hAnsi="Times New Roman"/>
                <w:sz w:val="16"/>
                <w:szCs w:val="16"/>
                <w:lang w:val="uk-UA"/>
              </w:rPr>
              <w:t>12.1. Цей Договір було складено Українською та Англійською мовами (при цьому, договір українською мовою є офіційним, а переклад англійською наданий лише для зручності) у двох примірниках, як</w:t>
            </w:r>
            <w:proofErr w:type="spellStart"/>
            <w:r w:rsidRPr="00E16672">
              <w:rPr>
                <w:rFonts w:ascii="Times New Roman" w:hAnsi="Times New Roman"/>
                <w:sz w:val="16"/>
                <w:szCs w:val="16"/>
                <w:lang w:val="en-US"/>
              </w:rPr>
              <w:t>i</w:t>
            </w:r>
            <w:proofErr w:type="spellEnd"/>
            <w:r w:rsidRPr="00E16672">
              <w:rPr>
                <w:rFonts w:ascii="Times New Roman" w:hAnsi="Times New Roman"/>
                <w:sz w:val="16"/>
                <w:szCs w:val="16"/>
                <w:lang w:val="uk-UA"/>
              </w:rPr>
              <w:t xml:space="preserve"> мають однакову юридичну силу, по одному - Депонентові та Депозитарній установі. </w:t>
            </w:r>
          </w:p>
          <w:p w14:paraId="5A42CF69" w14:textId="77777777" w:rsidR="005C5318" w:rsidRPr="00E16672" w:rsidRDefault="005C5318" w:rsidP="009D3C4B">
            <w:pPr>
              <w:tabs>
                <w:tab w:val="left" w:pos="5954"/>
              </w:tabs>
              <w:ind w:left="175" w:right="138" w:firstLine="4"/>
              <w:rPr>
                <w:rFonts w:ascii="Times New Roman" w:hAnsi="Times New Roman"/>
                <w:color w:val="000000"/>
                <w:sz w:val="16"/>
                <w:szCs w:val="20"/>
                <w:lang w:val="uk-UA"/>
              </w:rPr>
            </w:pPr>
            <w:r w:rsidRPr="00E16672">
              <w:rPr>
                <w:rFonts w:ascii="Times New Roman" w:hAnsi="Times New Roman"/>
                <w:sz w:val="16"/>
                <w:szCs w:val="16"/>
                <w:lang w:val="uk-UA"/>
              </w:rPr>
              <w:t xml:space="preserve">12.2. </w:t>
            </w:r>
            <w:r w:rsidRPr="00E16672">
              <w:rPr>
                <w:rFonts w:ascii="Times New Roman" w:hAnsi="Times New Roman"/>
                <w:color w:val="000000"/>
                <w:sz w:val="16"/>
                <w:szCs w:val="20"/>
                <w:lang w:val="uk-UA"/>
              </w:rPr>
              <w:t>Підписуючи цей Договір, Депонент засвідчує, що він ознайомлений з внутрішніми документами Депозитарної установи, що регламентують провадження депозитарної діяльності, та тарифами Депозитарної установи.</w:t>
            </w:r>
          </w:p>
          <w:p w14:paraId="501BDEC9" w14:textId="77777777" w:rsidR="005C5318" w:rsidRPr="00E16672" w:rsidRDefault="005C5318" w:rsidP="005C5318">
            <w:pPr>
              <w:tabs>
                <w:tab w:val="left" w:pos="5954"/>
              </w:tabs>
              <w:ind w:left="175" w:right="138"/>
              <w:rPr>
                <w:rFonts w:ascii="Times New Roman" w:hAnsi="Times New Roman"/>
                <w:sz w:val="16"/>
                <w:szCs w:val="16"/>
                <w:lang w:val="uk-UA"/>
              </w:rPr>
            </w:pPr>
          </w:p>
        </w:tc>
        <w:tc>
          <w:tcPr>
            <w:tcW w:w="5495" w:type="dxa"/>
            <w:gridSpan w:val="6"/>
            <w:shd w:val="clear" w:color="auto" w:fill="auto"/>
          </w:tcPr>
          <w:p w14:paraId="583EB795" w14:textId="77777777" w:rsidR="005C5318" w:rsidRPr="00E16672" w:rsidRDefault="005C5318" w:rsidP="005C5318">
            <w:pPr>
              <w:tabs>
                <w:tab w:val="left" w:pos="287"/>
              </w:tabs>
              <w:snapToGrid w:val="0"/>
              <w:ind w:left="145" w:right="100"/>
              <w:jc w:val="center"/>
              <w:rPr>
                <w:rFonts w:ascii="Times New Roman" w:hAnsi="Times New Roman"/>
                <w:b/>
                <w:sz w:val="16"/>
                <w:szCs w:val="16"/>
                <w:lang w:val="uk-UA"/>
              </w:rPr>
            </w:pPr>
          </w:p>
          <w:p w14:paraId="7915C4EA" w14:textId="77777777" w:rsidR="005C5318" w:rsidRPr="00E16672" w:rsidRDefault="005C5318" w:rsidP="005C5318">
            <w:pPr>
              <w:tabs>
                <w:tab w:val="left" w:pos="287"/>
              </w:tabs>
              <w:snapToGrid w:val="0"/>
              <w:ind w:left="145" w:right="100"/>
              <w:jc w:val="center"/>
              <w:rPr>
                <w:rFonts w:ascii="Times New Roman" w:hAnsi="Times New Roman"/>
                <w:b/>
                <w:sz w:val="16"/>
                <w:szCs w:val="16"/>
                <w:lang w:val="en-GB"/>
              </w:rPr>
            </w:pPr>
            <w:r w:rsidRPr="00E16672">
              <w:rPr>
                <w:rFonts w:ascii="Times New Roman" w:hAnsi="Times New Roman"/>
                <w:b/>
                <w:sz w:val="16"/>
                <w:szCs w:val="16"/>
                <w:lang w:val="uk-UA"/>
              </w:rPr>
              <w:t>12</w:t>
            </w:r>
            <w:r w:rsidRPr="00E16672">
              <w:rPr>
                <w:rFonts w:ascii="Times New Roman" w:hAnsi="Times New Roman"/>
                <w:b/>
                <w:sz w:val="16"/>
                <w:szCs w:val="16"/>
                <w:lang w:val="en-GB"/>
              </w:rPr>
              <w:t>. FINAL PROVISIONS</w:t>
            </w:r>
          </w:p>
          <w:p w14:paraId="53303387" w14:textId="77777777" w:rsidR="005C5318" w:rsidRPr="00E16672" w:rsidRDefault="005C5318" w:rsidP="005C5318">
            <w:pPr>
              <w:tabs>
                <w:tab w:val="left" w:pos="287"/>
              </w:tabs>
              <w:snapToGrid w:val="0"/>
              <w:ind w:left="145" w:right="100"/>
              <w:rPr>
                <w:rFonts w:ascii="Times New Roman" w:hAnsi="Times New Roman"/>
                <w:sz w:val="16"/>
                <w:szCs w:val="16"/>
                <w:lang w:val="en-GB"/>
              </w:rPr>
            </w:pPr>
          </w:p>
          <w:p w14:paraId="7B3598E2" w14:textId="77777777" w:rsidR="005C5318" w:rsidRPr="00E16672" w:rsidRDefault="005C5318" w:rsidP="009D3C4B">
            <w:pPr>
              <w:tabs>
                <w:tab w:val="left" w:pos="287"/>
              </w:tabs>
              <w:snapToGrid w:val="0"/>
              <w:ind w:left="145" w:right="100" w:firstLine="3"/>
              <w:rPr>
                <w:rFonts w:ascii="Times New Roman" w:hAnsi="Times New Roman"/>
                <w:sz w:val="16"/>
                <w:szCs w:val="16"/>
                <w:lang w:val="en-GB"/>
              </w:rPr>
            </w:pPr>
            <w:r w:rsidRPr="00E16672">
              <w:rPr>
                <w:rFonts w:ascii="Times New Roman" w:hAnsi="Times New Roman"/>
                <w:sz w:val="16"/>
                <w:szCs w:val="16"/>
                <w:lang w:val="en-US"/>
              </w:rPr>
              <w:t>1</w:t>
            </w:r>
            <w:r w:rsidRPr="00E16672">
              <w:rPr>
                <w:rFonts w:ascii="Times New Roman" w:hAnsi="Times New Roman"/>
                <w:sz w:val="16"/>
                <w:szCs w:val="16"/>
                <w:lang w:val="uk-UA"/>
              </w:rPr>
              <w:t>2</w:t>
            </w:r>
            <w:r w:rsidRPr="00E16672">
              <w:rPr>
                <w:rFonts w:ascii="Times New Roman" w:hAnsi="Times New Roman"/>
                <w:sz w:val="16"/>
                <w:szCs w:val="16"/>
                <w:lang w:val="en-US"/>
              </w:rPr>
              <w:t>.1. This Agreement has been made in Ukrainian and English language (</w:t>
            </w:r>
            <w:r w:rsidRPr="00F23413">
              <w:rPr>
                <w:rFonts w:ascii="Times New Roman" w:hAnsi="Times New Roman"/>
                <w:sz w:val="16"/>
                <w:szCs w:val="16"/>
                <w:lang w:val="en-US"/>
              </w:rPr>
              <w:t xml:space="preserve">thus, the </w:t>
            </w:r>
            <w:r w:rsidRPr="00E16672">
              <w:rPr>
                <w:rFonts w:ascii="Times New Roman" w:hAnsi="Times New Roman"/>
                <w:sz w:val="16"/>
                <w:szCs w:val="16"/>
                <w:lang w:val="en-US"/>
              </w:rPr>
              <w:t xml:space="preserve">Agreement in </w:t>
            </w:r>
            <w:r w:rsidRPr="00F23413">
              <w:rPr>
                <w:rFonts w:ascii="Times New Roman" w:hAnsi="Times New Roman"/>
                <w:sz w:val="16"/>
                <w:szCs w:val="16"/>
                <w:lang w:val="en-US"/>
              </w:rPr>
              <w:t>Ukrainian language</w:t>
            </w:r>
            <w:r w:rsidRPr="00E16672">
              <w:rPr>
                <w:rFonts w:ascii="Times New Roman" w:hAnsi="Times New Roman"/>
                <w:sz w:val="16"/>
                <w:szCs w:val="16"/>
                <w:lang w:val="en-US"/>
              </w:rPr>
              <w:t xml:space="preserve"> </w:t>
            </w:r>
            <w:r w:rsidRPr="00F23413">
              <w:rPr>
                <w:rFonts w:ascii="Times New Roman" w:hAnsi="Times New Roman"/>
                <w:sz w:val="16"/>
                <w:szCs w:val="16"/>
                <w:lang w:val="en-US"/>
              </w:rPr>
              <w:t>is the official and English translation provided for convenience only</w:t>
            </w:r>
            <w:r w:rsidRPr="00E16672">
              <w:rPr>
                <w:rFonts w:ascii="Times New Roman" w:hAnsi="Times New Roman"/>
                <w:sz w:val="16"/>
                <w:szCs w:val="16"/>
                <w:lang w:val="en-US"/>
              </w:rPr>
              <w:t xml:space="preserve">) in two </w:t>
            </w:r>
            <w:r w:rsidRPr="00E16672">
              <w:rPr>
                <w:rFonts w:ascii="Times New Roman" w:hAnsi="Times New Roman"/>
                <w:sz w:val="16"/>
                <w:szCs w:val="16"/>
                <w:lang w:val="en-GB"/>
              </w:rPr>
              <w:t xml:space="preserve">in </w:t>
            </w:r>
            <w:r w:rsidRPr="00E16672">
              <w:rPr>
                <w:rFonts w:ascii="Times New Roman" w:hAnsi="Times New Roman"/>
                <w:sz w:val="16"/>
                <w:szCs w:val="16"/>
                <w:lang w:val="en-US"/>
              </w:rPr>
              <w:t>specimens, which have equal legal force, one copy for Depositor, a</w:t>
            </w:r>
            <w:proofErr w:type="spellStart"/>
            <w:r w:rsidRPr="00E16672">
              <w:rPr>
                <w:rFonts w:ascii="Times New Roman" w:hAnsi="Times New Roman"/>
                <w:sz w:val="16"/>
                <w:szCs w:val="16"/>
                <w:lang w:val="en-GB"/>
              </w:rPr>
              <w:t>nd</w:t>
            </w:r>
            <w:proofErr w:type="spellEnd"/>
            <w:r w:rsidRPr="00E16672">
              <w:rPr>
                <w:rFonts w:ascii="Times New Roman" w:hAnsi="Times New Roman"/>
                <w:sz w:val="16"/>
                <w:szCs w:val="16"/>
                <w:lang w:val="en-GB"/>
              </w:rPr>
              <w:t xml:space="preserve"> another one for </w:t>
            </w:r>
            <w:r w:rsidRPr="00E16672">
              <w:rPr>
                <w:rFonts w:ascii="Times New Roman" w:hAnsi="Times New Roman"/>
                <w:sz w:val="16"/>
                <w:szCs w:val="16"/>
                <w:lang w:val="en-US"/>
              </w:rPr>
              <w:t>Depository institution</w:t>
            </w:r>
            <w:r w:rsidRPr="00E16672">
              <w:rPr>
                <w:rFonts w:ascii="Times New Roman" w:hAnsi="Times New Roman"/>
                <w:sz w:val="16"/>
                <w:szCs w:val="16"/>
                <w:lang w:val="en-GB"/>
              </w:rPr>
              <w:t xml:space="preserve">. </w:t>
            </w:r>
          </w:p>
          <w:p w14:paraId="523703F2" w14:textId="77777777" w:rsidR="005C5318" w:rsidRPr="00E16672" w:rsidRDefault="005C5318" w:rsidP="009D3C4B">
            <w:pPr>
              <w:tabs>
                <w:tab w:val="left" w:pos="287"/>
              </w:tabs>
              <w:ind w:left="145" w:right="100" w:firstLine="3"/>
              <w:rPr>
                <w:rFonts w:ascii="Times New Roman" w:hAnsi="Times New Roman"/>
                <w:b/>
                <w:bCs/>
                <w:sz w:val="16"/>
                <w:szCs w:val="16"/>
                <w:lang w:val="en-GB"/>
              </w:rPr>
            </w:pPr>
            <w:r w:rsidRPr="00E16672">
              <w:rPr>
                <w:rFonts w:ascii="Times New Roman" w:hAnsi="Times New Roman"/>
                <w:bCs/>
                <w:sz w:val="16"/>
                <w:szCs w:val="16"/>
                <w:lang w:val="en-GB"/>
              </w:rPr>
              <w:t>1</w:t>
            </w:r>
            <w:r w:rsidRPr="00E16672">
              <w:rPr>
                <w:rFonts w:ascii="Times New Roman" w:hAnsi="Times New Roman"/>
                <w:bCs/>
                <w:sz w:val="16"/>
                <w:szCs w:val="16"/>
                <w:lang w:val="uk-UA"/>
              </w:rPr>
              <w:t>2</w:t>
            </w:r>
            <w:r w:rsidRPr="00E16672">
              <w:rPr>
                <w:rFonts w:ascii="Times New Roman" w:hAnsi="Times New Roman"/>
                <w:bCs/>
                <w:sz w:val="16"/>
                <w:szCs w:val="16"/>
                <w:lang w:val="en-GB"/>
              </w:rPr>
              <w:t>.2.</w:t>
            </w:r>
            <w:r w:rsidRPr="00E16672">
              <w:rPr>
                <w:rFonts w:ascii="Times New Roman" w:hAnsi="Times New Roman"/>
                <w:b/>
                <w:bCs/>
                <w:sz w:val="16"/>
                <w:szCs w:val="16"/>
                <w:lang w:val="en-GB"/>
              </w:rPr>
              <w:t xml:space="preserve"> </w:t>
            </w:r>
            <w:r w:rsidRPr="00F23413">
              <w:rPr>
                <w:rFonts w:ascii="Times New Roman" w:hAnsi="Times New Roman"/>
                <w:sz w:val="16"/>
                <w:szCs w:val="16"/>
                <w:lang w:val="en-US"/>
              </w:rPr>
              <w:t>By signing this Agreement, the Depositor certifies that he is familiar with the internal documents of the Depository, regulating the conduct of depositary activity, and the fees of the Depository.</w:t>
            </w:r>
            <w:r w:rsidRPr="00E16672">
              <w:rPr>
                <w:rFonts w:ascii="Times New Roman" w:hAnsi="Times New Roman"/>
                <w:b/>
                <w:bCs/>
                <w:sz w:val="16"/>
                <w:szCs w:val="16"/>
                <w:lang w:val="en-GB"/>
              </w:rPr>
              <w:t xml:space="preserve"> </w:t>
            </w:r>
          </w:p>
        </w:tc>
      </w:tr>
      <w:tr w:rsidR="005C5318" w:rsidRPr="00E16672" w14:paraId="292489E1" w14:textId="77777777" w:rsidTr="005E418B">
        <w:tc>
          <w:tcPr>
            <w:tcW w:w="5245" w:type="dxa"/>
            <w:gridSpan w:val="3"/>
            <w:shd w:val="clear" w:color="auto" w:fill="auto"/>
          </w:tcPr>
          <w:p w14:paraId="2F610EA5" w14:textId="77777777" w:rsidR="005C5318" w:rsidRPr="00E16672" w:rsidRDefault="005C5318" w:rsidP="005C5318">
            <w:pPr>
              <w:pStyle w:val="1e"/>
              <w:snapToGrid w:val="0"/>
              <w:jc w:val="center"/>
              <w:rPr>
                <w:rFonts w:ascii="Times New Roman" w:hAnsi="Times New Roman"/>
                <w:caps/>
                <w:sz w:val="16"/>
                <w:szCs w:val="16"/>
                <w:lang w:val="uk-UA"/>
              </w:rPr>
            </w:pPr>
            <w:r w:rsidRPr="00E16672">
              <w:rPr>
                <w:rFonts w:ascii="Times New Roman" w:hAnsi="Times New Roman"/>
                <w:caps/>
                <w:sz w:val="16"/>
                <w:szCs w:val="16"/>
                <w:lang w:val="uk-UA"/>
              </w:rPr>
              <w:t>13. Реквізити Сторін</w:t>
            </w:r>
          </w:p>
          <w:p w14:paraId="397BAD3A" w14:textId="77777777" w:rsidR="005C5318" w:rsidRPr="00E16672" w:rsidRDefault="005C5318" w:rsidP="005C5318">
            <w:pPr>
              <w:snapToGrid w:val="0"/>
              <w:ind w:left="57" w:right="57"/>
              <w:jc w:val="center"/>
              <w:rPr>
                <w:rFonts w:ascii="Times New Roman" w:hAnsi="Times New Roman"/>
                <w:b/>
                <w:sz w:val="16"/>
                <w:szCs w:val="16"/>
              </w:rPr>
            </w:pPr>
          </w:p>
        </w:tc>
        <w:tc>
          <w:tcPr>
            <w:tcW w:w="5945" w:type="dxa"/>
            <w:gridSpan w:val="9"/>
            <w:shd w:val="clear" w:color="auto" w:fill="auto"/>
          </w:tcPr>
          <w:p w14:paraId="58B16961" w14:textId="77777777" w:rsidR="005C5318" w:rsidRPr="00E16672" w:rsidRDefault="005C5318" w:rsidP="005C5318">
            <w:pPr>
              <w:snapToGrid w:val="0"/>
              <w:ind w:left="57" w:right="57"/>
              <w:jc w:val="center"/>
              <w:rPr>
                <w:rFonts w:ascii="Times New Roman" w:hAnsi="Times New Roman"/>
                <w:b/>
                <w:caps/>
                <w:sz w:val="16"/>
                <w:szCs w:val="16"/>
              </w:rPr>
            </w:pPr>
            <w:r w:rsidRPr="00E16672">
              <w:rPr>
                <w:rFonts w:ascii="Times New Roman" w:hAnsi="Times New Roman"/>
                <w:b/>
                <w:caps/>
                <w:sz w:val="16"/>
                <w:szCs w:val="16"/>
              </w:rPr>
              <w:t>1</w:t>
            </w:r>
            <w:r w:rsidRPr="00E16672">
              <w:rPr>
                <w:rFonts w:ascii="Times New Roman" w:hAnsi="Times New Roman"/>
                <w:b/>
                <w:caps/>
                <w:sz w:val="16"/>
                <w:szCs w:val="16"/>
                <w:lang w:val="uk-UA"/>
              </w:rPr>
              <w:t>3</w:t>
            </w:r>
            <w:r w:rsidRPr="00E16672">
              <w:rPr>
                <w:rFonts w:ascii="Times New Roman" w:hAnsi="Times New Roman"/>
                <w:b/>
                <w:caps/>
                <w:sz w:val="16"/>
                <w:szCs w:val="16"/>
              </w:rPr>
              <w:t>. DETAILS OF THE PARTIES</w:t>
            </w:r>
          </w:p>
        </w:tc>
      </w:tr>
      <w:tr w:rsidR="005C5318" w:rsidRPr="00F23413" w14:paraId="15D708EF" w14:textId="77777777" w:rsidTr="005E418B">
        <w:tc>
          <w:tcPr>
            <w:tcW w:w="5245" w:type="dxa"/>
            <w:gridSpan w:val="3"/>
            <w:shd w:val="clear" w:color="auto" w:fill="auto"/>
          </w:tcPr>
          <w:p w14:paraId="79CA35D5" w14:textId="5E49D657" w:rsidR="005C5318" w:rsidRPr="00E16672" w:rsidRDefault="005C5318" w:rsidP="005C5318">
            <w:pPr>
              <w:snapToGrid w:val="0"/>
              <w:ind w:left="57" w:right="57"/>
              <w:jc w:val="left"/>
              <w:rPr>
                <w:rFonts w:ascii="Times New Roman" w:hAnsi="Times New Roman"/>
                <w:b/>
                <w:bCs/>
                <w:sz w:val="16"/>
                <w:szCs w:val="16"/>
                <w:u w:val="single"/>
              </w:rPr>
            </w:pPr>
            <w:r w:rsidRPr="00E16672">
              <w:rPr>
                <w:rFonts w:ascii="Times New Roman" w:hAnsi="Times New Roman"/>
                <w:b/>
                <w:iCs/>
                <w:color w:val="000000"/>
                <w:sz w:val="16"/>
                <w:szCs w:val="16"/>
              </w:rPr>
              <w:t>Депонент</w:t>
            </w:r>
            <w:r w:rsidRPr="00E16672">
              <w:rPr>
                <w:rFonts w:ascii="Times New Roman" w:hAnsi="Times New Roman"/>
                <w:b/>
                <w:bCs/>
                <w:sz w:val="16"/>
                <w:szCs w:val="16"/>
                <w:u w:val="single"/>
              </w:rPr>
              <w:t>:</w:t>
            </w:r>
          </w:p>
        </w:tc>
        <w:tc>
          <w:tcPr>
            <w:tcW w:w="5945" w:type="dxa"/>
            <w:gridSpan w:val="9"/>
            <w:shd w:val="clear" w:color="auto" w:fill="auto"/>
          </w:tcPr>
          <w:p w14:paraId="5D8015F4" w14:textId="51B0AF3B" w:rsidR="005C5318" w:rsidRPr="00E16672" w:rsidRDefault="005C5318" w:rsidP="005C5318">
            <w:pPr>
              <w:snapToGrid w:val="0"/>
              <w:ind w:right="57"/>
              <w:jc w:val="center"/>
              <w:rPr>
                <w:rFonts w:ascii="Times New Roman" w:hAnsi="Times New Roman"/>
                <w:b/>
                <w:bCs/>
                <w:sz w:val="16"/>
                <w:szCs w:val="16"/>
                <w:u w:val="single"/>
                <w:lang w:val="en-US"/>
              </w:rPr>
            </w:pPr>
            <w:r w:rsidRPr="00E16672">
              <w:rPr>
                <w:rFonts w:ascii="Times New Roman" w:hAnsi="Times New Roman"/>
                <w:b/>
                <w:bCs/>
                <w:sz w:val="16"/>
                <w:szCs w:val="16"/>
                <w:lang w:val="en-US"/>
              </w:rPr>
              <w:t xml:space="preserve">Depositor </w:t>
            </w:r>
          </w:p>
        </w:tc>
      </w:tr>
      <w:tr w:rsidR="005C5318" w:rsidRPr="00F23413" w14:paraId="2C98E236" w14:textId="77777777" w:rsidTr="005E418B">
        <w:tc>
          <w:tcPr>
            <w:tcW w:w="1740" w:type="dxa"/>
            <w:shd w:val="clear" w:color="auto" w:fill="auto"/>
          </w:tcPr>
          <w:p w14:paraId="757E83C0" w14:textId="6EDFB2A0" w:rsidR="005C5318" w:rsidRPr="00E16672" w:rsidRDefault="005C5318" w:rsidP="005C5318">
            <w:pPr>
              <w:pStyle w:val="4"/>
              <w:keepNext w:val="0"/>
              <w:tabs>
                <w:tab w:val="left" w:pos="57"/>
              </w:tabs>
              <w:snapToGrid w:val="0"/>
              <w:ind w:left="57" w:right="57" w:firstLine="0"/>
              <w:jc w:val="left"/>
              <w:rPr>
                <w:rFonts w:ascii="Times New Roman" w:hAnsi="Times New Roman"/>
                <w:b w:val="0"/>
                <w:iCs/>
                <w:sz w:val="16"/>
                <w:szCs w:val="16"/>
              </w:rPr>
            </w:pPr>
            <w:r w:rsidRPr="00E16672">
              <w:rPr>
                <w:rFonts w:ascii="Times New Roman" w:hAnsi="Times New Roman"/>
                <w:b w:val="0"/>
                <w:color w:val="000000"/>
                <w:sz w:val="16"/>
                <w:szCs w:val="18"/>
              </w:rPr>
              <w:t>Повне найменування</w:t>
            </w:r>
            <w:r w:rsidRPr="00E16672">
              <w:rPr>
                <w:rFonts w:ascii="Times New Roman" w:hAnsi="Times New Roman"/>
                <w:b w:val="0"/>
                <w:color w:val="000000"/>
                <w:sz w:val="16"/>
                <w:szCs w:val="16"/>
                <w:lang w:val="ru-RU"/>
              </w:rPr>
              <w:t>:</w:t>
            </w:r>
          </w:p>
        </w:tc>
        <w:tc>
          <w:tcPr>
            <w:tcW w:w="3522" w:type="dxa"/>
            <w:gridSpan w:val="3"/>
            <w:shd w:val="clear" w:color="auto" w:fill="auto"/>
          </w:tcPr>
          <w:p w14:paraId="11914F2B" w14:textId="77777777" w:rsidR="005C5318" w:rsidRPr="00E16672" w:rsidRDefault="005C5318" w:rsidP="005C5318">
            <w:pPr>
              <w:pStyle w:val="4"/>
              <w:keepNext w:val="0"/>
              <w:tabs>
                <w:tab w:val="left" w:pos="1475"/>
              </w:tabs>
              <w:snapToGrid w:val="0"/>
              <w:ind w:left="57" w:right="57" w:firstLine="0"/>
              <w:jc w:val="left"/>
              <w:rPr>
                <w:rFonts w:ascii="Times New Roman" w:hAnsi="Times New Roman"/>
                <w:i/>
                <w:iCs/>
                <w:sz w:val="16"/>
                <w:szCs w:val="16"/>
              </w:rPr>
            </w:pPr>
          </w:p>
        </w:tc>
        <w:tc>
          <w:tcPr>
            <w:tcW w:w="2249" w:type="dxa"/>
            <w:gridSpan w:val="5"/>
            <w:shd w:val="clear" w:color="auto" w:fill="auto"/>
          </w:tcPr>
          <w:p w14:paraId="0E96E630" w14:textId="023F4C4B" w:rsidR="005C5318" w:rsidRPr="00E16672" w:rsidRDefault="005C5318" w:rsidP="005C5318">
            <w:pPr>
              <w:pStyle w:val="4"/>
              <w:keepNext w:val="0"/>
              <w:tabs>
                <w:tab w:val="left" w:pos="298"/>
              </w:tabs>
              <w:snapToGrid w:val="0"/>
              <w:ind w:left="156" w:right="57" w:firstLine="0"/>
              <w:jc w:val="left"/>
              <w:rPr>
                <w:rFonts w:ascii="Times New Roman" w:hAnsi="Times New Roman"/>
                <w:b w:val="0"/>
                <w:iCs/>
                <w:sz w:val="16"/>
                <w:szCs w:val="16"/>
              </w:rPr>
            </w:pPr>
            <w:r w:rsidRPr="00E16672">
              <w:rPr>
                <w:rFonts w:ascii="Times New Roman" w:hAnsi="Times New Roman"/>
                <w:b w:val="0"/>
                <w:iCs/>
                <w:sz w:val="16"/>
                <w:szCs w:val="16"/>
                <w:lang w:val="en-US"/>
              </w:rPr>
              <w:t>Full name</w:t>
            </w:r>
            <w:r w:rsidRPr="00E16672">
              <w:rPr>
                <w:rFonts w:ascii="Times New Roman" w:hAnsi="Times New Roman"/>
                <w:b w:val="0"/>
                <w:iCs/>
                <w:sz w:val="16"/>
                <w:szCs w:val="16"/>
              </w:rPr>
              <w:t>:</w:t>
            </w:r>
          </w:p>
        </w:tc>
        <w:tc>
          <w:tcPr>
            <w:tcW w:w="3313" w:type="dxa"/>
            <w:gridSpan w:val="2"/>
            <w:shd w:val="clear" w:color="auto" w:fill="auto"/>
          </w:tcPr>
          <w:p w14:paraId="4E097071" w14:textId="77777777" w:rsidR="005C5318" w:rsidRPr="00E16672" w:rsidRDefault="005C5318" w:rsidP="005C5318">
            <w:pPr>
              <w:pStyle w:val="4"/>
              <w:keepNext w:val="0"/>
              <w:tabs>
                <w:tab w:val="left" w:pos="1475"/>
              </w:tabs>
              <w:snapToGrid w:val="0"/>
              <w:ind w:left="57" w:right="57" w:firstLine="0"/>
              <w:jc w:val="left"/>
              <w:rPr>
                <w:rFonts w:ascii="Times New Roman" w:hAnsi="Times New Roman"/>
                <w:i/>
                <w:iCs/>
                <w:sz w:val="16"/>
                <w:szCs w:val="16"/>
              </w:rPr>
            </w:pPr>
          </w:p>
        </w:tc>
        <w:tc>
          <w:tcPr>
            <w:tcW w:w="366" w:type="dxa"/>
            <w:shd w:val="clear" w:color="auto" w:fill="auto"/>
          </w:tcPr>
          <w:p w14:paraId="5B2B70F2" w14:textId="77777777" w:rsidR="005C5318" w:rsidRPr="00E16672" w:rsidRDefault="005C5318" w:rsidP="005C5318">
            <w:pPr>
              <w:snapToGrid w:val="0"/>
              <w:rPr>
                <w:rFonts w:ascii="Times New Roman" w:hAnsi="Times New Roman"/>
                <w:lang w:val="en-US"/>
              </w:rPr>
            </w:pPr>
          </w:p>
        </w:tc>
      </w:tr>
      <w:tr w:rsidR="005C5318" w:rsidRPr="00E16672" w14:paraId="7EA73A97" w14:textId="77777777" w:rsidTr="005E418B">
        <w:tc>
          <w:tcPr>
            <w:tcW w:w="1740" w:type="dxa"/>
            <w:shd w:val="clear" w:color="auto" w:fill="auto"/>
          </w:tcPr>
          <w:p w14:paraId="002AF37C" w14:textId="3AA1EE34" w:rsidR="005C5318" w:rsidRPr="00E16672" w:rsidRDefault="00B54A93" w:rsidP="00B54A93">
            <w:pPr>
              <w:pStyle w:val="4"/>
              <w:keepNext w:val="0"/>
              <w:tabs>
                <w:tab w:val="left" w:pos="57"/>
              </w:tabs>
              <w:snapToGrid w:val="0"/>
              <w:ind w:left="57" w:right="57" w:hanging="14"/>
              <w:jc w:val="left"/>
              <w:rPr>
                <w:rFonts w:ascii="Times New Roman" w:hAnsi="Times New Roman"/>
                <w:b w:val="0"/>
                <w:iCs/>
                <w:color w:val="000000"/>
                <w:sz w:val="16"/>
                <w:szCs w:val="16"/>
              </w:rPr>
            </w:pPr>
            <w:proofErr w:type="spellStart"/>
            <w:r w:rsidRPr="00E16672">
              <w:rPr>
                <w:rFonts w:ascii="Times New Roman" w:hAnsi="Times New Roman"/>
                <w:b w:val="0"/>
                <w:iCs/>
                <w:color w:val="000000"/>
                <w:sz w:val="16"/>
                <w:szCs w:val="16"/>
                <w:lang w:val="ru-RU"/>
              </w:rPr>
              <w:t>Місцезнаходження</w:t>
            </w:r>
            <w:proofErr w:type="spellEnd"/>
            <w:r w:rsidRPr="00E16672">
              <w:rPr>
                <w:rFonts w:ascii="Times New Roman" w:hAnsi="Times New Roman"/>
                <w:b w:val="0"/>
                <w:iCs/>
                <w:color w:val="000000"/>
                <w:sz w:val="16"/>
                <w:szCs w:val="16"/>
                <w:lang w:val="ru-RU"/>
              </w:rPr>
              <w:t xml:space="preserve"> </w:t>
            </w:r>
          </w:p>
        </w:tc>
        <w:tc>
          <w:tcPr>
            <w:tcW w:w="3522" w:type="dxa"/>
            <w:gridSpan w:val="3"/>
            <w:shd w:val="clear" w:color="auto" w:fill="auto"/>
          </w:tcPr>
          <w:p w14:paraId="0ACB8290" w14:textId="77777777" w:rsidR="005C5318" w:rsidRPr="00E16672" w:rsidRDefault="005C5318" w:rsidP="005C5318">
            <w:pPr>
              <w:pStyle w:val="4"/>
              <w:keepNext w:val="0"/>
              <w:tabs>
                <w:tab w:val="left" w:pos="1475"/>
              </w:tabs>
              <w:snapToGrid w:val="0"/>
              <w:ind w:left="57" w:right="57" w:firstLine="0"/>
              <w:jc w:val="left"/>
              <w:rPr>
                <w:rFonts w:ascii="Times New Roman" w:hAnsi="Times New Roman"/>
                <w:i/>
                <w:iCs/>
                <w:color w:val="000000"/>
                <w:sz w:val="16"/>
                <w:szCs w:val="16"/>
              </w:rPr>
            </w:pPr>
          </w:p>
        </w:tc>
        <w:tc>
          <w:tcPr>
            <w:tcW w:w="2249" w:type="dxa"/>
            <w:gridSpan w:val="5"/>
            <w:shd w:val="clear" w:color="auto" w:fill="auto"/>
          </w:tcPr>
          <w:p w14:paraId="3C5C8FBA" w14:textId="27D4E0E3" w:rsidR="005C5318" w:rsidRPr="00E16672" w:rsidRDefault="005C5318" w:rsidP="005C5318">
            <w:pPr>
              <w:pStyle w:val="4"/>
              <w:keepNext w:val="0"/>
              <w:tabs>
                <w:tab w:val="left" w:pos="156"/>
                <w:tab w:val="num" w:pos="200"/>
              </w:tabs>
              <w:snapToGrid w:val="0"/>
              <w:ind w:left="57" w:right="57" w:firstLine="99"/>
              <w:jc w:val="left"/>
              <w:rPr>
                <w:rFonts w:ascii="Times New Roman" w:hAnsi="Times New Roman"/>
                <w:b w:val="0"/>
                <w:iCs/>
                <w:color w:val="000000"/>
                <w:sz w:val="16"/>
                <w:szCs w:val="16"/>
              </w:rPr>
            </w:pPr>
            <w:proofErr w:type="spellStart"/>
            <w:r w:rsidRPr="00E16672">
              <w:rPr>
                <w:rFonts w:ascii="Times New Roman" w:hAnsi="Times New Roman"/>
                <w:b w:val="0"/>
                <w:iCs/>
                <w:color w:val="000000"/>
                <w:sz w:val="16"/>
                <w:szCs w:val="16"/>
              </w:rPr>
              <w:t>Address</w:t>
            </w:r>
            <w:proofErr w:type="spellEnd"/>
          </w:p>
        </w:tc>
        <w:tc>
          <w:tcPr>
            <w:tcW w:w="3313" w:type="dxa"/>
            <w:gridSpan w:val="2"/>
            <w:shd w:val="clear" w:color="auto" w:fill="auto"/>
          </w:tcPr>
          <w:p w14:paraId="4602AA60" w14:textId="77777777" w:rsidR="005C5318" w:rsidRPr="00E16672" w:rsidRDefault="005C5318" w:rsidP="005C5318">
            <w:pPr>
              <w:pStyle w:val="4"/>
              <w:keepNext w:val="0"/>
              <w:tabs>
                <w:tab w:val="left" w:pos="1475"/>
              </w:tabs>
              <w:snapToGrid w:val="0"/>
              <w:ind w:left="57" w:right="57" w:firstLine="0"/>
              <w:jc w:val="left"/>
              <w:rPr>
                <w:rFonts w:ascii="Times New Roman" w:hAnsi="Times New Roman"/>
                <w:i/>
                <w:iCs/>
                <w:sz w:val="16"/>
                <w:szCs w:val="16"/>
              </w:rPr>
            </w:pPr>
          </w:p>
          <w:p w14:paraId="6F4F114B" w14:textId="77777777" w:rsidR="005C5318" w:rsidRPr="00E16672" w:rsidRDefault="005C5318" w:rsidP="005C5318">
            <w:pPr>
              <w:rPr>
                <w:rFonts w:ascii="Times New Roman" w:hAnsi="Times New Roman"/>
                <w:lang w:val="uk-UA"/>
              </w:rPr>
            </w:pPr>
          </w:p>
        </w:tc>
        <w:tc>
          <w:tcPr>
            <w:tcW w:w="366" w:type="dxa"/>
            <w:shd w:val="clear" w:color="auto" w:fill="auto"/>
          </w:tcPr>
          <w:p w14:paraId="47576414" w14:textId="77777777" w:rsidR="005C5318" w:rsidRPr="00E16672" w:rsidRDefault="005C5318" w:rsidP="005C5318">
            <w:pPr>
              <w:snapToGrid w:val="0"/>
              <w:rPr>
                <w:rFonts w:ascii="Times New Roman" w:hAnsi="Times New Roman"/>
              </w:rPr>
            </w:pPr>
          </w:p>
        </w:tc>
      </w:tr>
      <w:tr w:rsidR="005C5318" w:rsidRPr="00E16672" w14:paraId="16D1792B" w14:textId="77777777" w:rsidTr="005E418B">
        <w:tc>
          <w:tcPr>
            <w:tcW w:w="1740" w:type="dxa"/>
            <w:shd w:val="clear" w:color="auto" w:fill="auto"/>
          </w:tcPr>
          <w:p w14:paraId="707F9F33" w14:textId="77777777" w:rsidR="005C5318" w:rsidRPr="00E16672" w:rsidRDefault="005C5318" w:rsidP="005C5318">
            <w:pPr>
              <w:pStyle w:val="4"/>
              <w:keepNext w:val="0"/>
              <w:tabs>
                <w:tab w:val="left" w:pos="57"/>
              </w:tabs>
              <w:snapToGrid w:val="0"/>
              <w:ind w:left="57" w:right="57" w:hanging="14"/>
              <w:jc w:val="left"/>
              <w:rPr>
                <w:rFonts w:ascii="Times New Roman" w:hAnsi="Times New Roman"/>
                <w:b w:val="0"/>
                <w:iCs/>
                <w:color w:val="000000"/>
                <w:sz w:val="16"/>
                <w:szCs w:val="16"/>
              </w:rPr>
            </w:pPr>
            <w:r w:rsidRPr="00E16672">
              <w:rPr>
                <w:rFonts w:ascii="Times New Roman" w:hAnsi="Times New Roman"/>
                <w:b w:val="0"/>
                <w:iCs/>
                <w:color w:val="000000"/>
                <w:sz w:val="16"/>
                <w:szCs w:val="16"/>
              </w:rPr>
              <w:t>Адреса для листування</w:t>
            </w:r>
          </w:p>
        </w:tc>
        <w:tc>
          <w:tcPr>
            <w:tcW w:w="3522" w:type="dxa"/>
            <w:gridSpan w:val="3"/>
            <w:shd w:val="clear" w:color="auto" w:fill="auto"/>
          </w:tcPr>
          <w:p w14:paraId="6B0B5A8A" w14:textId="77777777" w:rsidR="005C5318" w:rsidRPr="00E16672" w:rsidRDefault="005C5318" w:rsidP="005C5318">
            <w:pPr>
              <w:pStyle w:val="4"/>
              <w:keepNext w:val="0"/>
              <w:tabs>
                <w:tab w:val="left" w:pos="1475"/>
              </w:tabs>
              <w:snapToGrid w:val="0"/>
              <w:ind w:left="57" w:right="57" w:firstLine="0"/>
              <w:jc w:val="left"/>
              <w:rPr>
                <w:rFonts w:ascii="Times New Roman" w:hAnsi="Times New Roman"/>
                <w:i/>
                <w:iCs/>
                <w:color w:val="000000"/>
                <w:sz w:val="16"/>
                <w:szCs w:val="16"/>
              </w:rPr>
            </w:pPr>
          </w:p>
        </w:tc>
        <w:tc>
          <w:tcPr>
            <w:tcW w:w="2249" w:type="dxa"/>
            <w:gridSpan w:val="5"/>
            <w:shd w:val="clear" w:color="auto" w:fill="auto"/>
          </w:tcPr>
          <w:p w14:paraId="2D9D5971" w14:textId="77777777" w:rsidR="005C5318" w:rsidRPr="00E16672" w:rsidRDefault="005C5318" w:rsidP="005C5318">
            <w:pPr>
              <w:pStyle w:val="4"/>
              <w:keepNext w:val="0"/>
              <w:tabs>
                <w:tab w:val="left" w:pos="156"/>
                <w:tab w:val="num" w:pos="200"/>
              </w:tabs>
              <w:snapToGrid w:val="0"/>
              <w:ind w:left="57" w:right="57" w:firstLine="99"/>
              <w:jc w:val="left"/>
              <w:rPr>
                <w:rFonts w:ascii="Times New Roman" w:hAnsi="Times New Roman"/>
                <w:b w:val="0"/>
                <w:iCs/>
                <w:color w:val="000000"/>
                <w:sz w:val="16"/>
                <w:szCs w:val="16"/>
                <w:lang w:val="en-US"/>
              </w:rPr>
            </w:pPr>
            <w:r w:rsidRPr="00E16672">
              <w:rPr>
                <w:rFonts w:ascii="Times New Roman" w:hAnsi="Times New Roman"/>
                <w:b w:val="0"/>
                <w:iCs/>
                <w:color w:val="000000"/>
                <w:sz w:val="16"/>
                <w:szCs w:val="16"/>
                <w:lang w:val="en-US"/>
              </w:rPr>
              <w:t>Correspondence address</w:t>
            </w:r>
          </w:p>
          <w:p w14:paraId="087D20E4" w14:textId="77777777" w:rsidR="005C5318" w:rsidRPr="00E16672" w:rsidRDefault="005C5318" w:rsidP="005C5318">
            <w:pPr>
              <w:rPr>
                <w:rFonts w:ascii="Times New Roman" w:hAnsi="Times New Roman"/>
                <w:lang w:val="en-US"/>
              </w:rPr>
            </w:pPr>
          </w:p>
        </w:tc>
        <w:tc>
          <w:tcPr>
            <w:tcW w:w="3313" w:type="dxa"/>
            <w:gridSpan w:val="2"/>
            <w:shd w:val="clear" w:color="auto" w:fill="auto"/>
          </w:tcPr>
          <w:p w14:paraId="43638054" w14:textId="77777777" w:rsidR="005C5318" w:rsidRPr="00E16672" w:rsidRDefault="005C5318" w:rsidP="005C5318">
            <w:pPr>
              <w:pStyle w:val="4"/>
              <w:keepNext w:val="0"/>
              <w:tabs>
                <w:tab w:val="left" w:pos="1475"/>
              </w:tabs>
              <w:snapToGrid w:val="0"/>
              <w:ind w:left="57" w:right="57" w:firstLine="0"/>
              <w:jc w:val="left"/>
              <w:rPr>
                <w:rFonts w:ascii="Times New Roman" w:hAnsi="Times New Roman"/>
                <w:i/>
                <w:iCs/>
                <w:sz w:val="16"/>
                <w:szCs w:val="16"/>
              </w:rPr>
            </w:pPr>
          </w:p>
        </w:tc>
        <w:tc>
          <w:tcPr>
            <w:tcW w:w="366" w:type="dxa"/>
            <w:shd w:val="clear" w:color="auto" w:fill="auto"/>
          </w:tcPr>
          <w:p w14:paraId="5B3EE484" w14:textId="77777777" w:rsidR="005C5318" w:rsidRPr="00E16672" w:rsidRDefault="005C5318" w:rsidP="005C5318">
            <w:pPr>
              <w:snapToGrid w:val="0"/>
              <w:rPr>
                <w:rFonts w:ascii="Times New Roman" w:hAnsi="Times New Roman"/>
              </w:rPr>
            </w:pPr>
          </w:p>
        </w:tc>
      </w:tr>
      <w:tr w:rsidR="005C5318" w:rsidRPr="00F23413" w14:paraId="35B1E06D" w14:textId="77777777" w:rsidTr="005E418B">
        <w:tc>
          <w:tcPr>
            <w:tcW w:w="1740" w:type="dxa"/>
            <w:shd w:val="clear" w:color="auto" w:fill="auto"/>
          </w:tcPr>
          <w:p w14:paraId="7D221898" w14:textId="77777777" w:rsidR="005C5318" w:rsidRPr="00E16672" w:rsidRDefault="005C5318" w:rsidP="005C5318">
            <w:pPr>
              <w:pStyle w:val="4"/>
              <w:keepNext w:val="0"/>
              <w:tabs>
                <w:tab w:val="left" w:pos="57"/>
              </w:tabs>
              <w:snapToGrid w:val="0"/>
              <w:ind w:left="57" w:right="57" w:hanging="14"/>
              <w:jc w:val="left"/>
              <w:rPr>
                <w:rFonts w:ascii="Times New Roman" w:hAnsi="Times New Roman"/>
                <w:b w:val="0"/>
                <w:iCs/>
                <w:color w:val="000000"/>
                <w:sz w:val="16"/>
                <w:szCs w:val="16"/>
              </w:rPr>
            </w:pPr>
            <w:r w:rsidRPr="00E16672">
              <w:rPr>
                <w:rFonts w:ascii="Times New Roman" w:hAnsi="Times New Roman"/>
                <w:b w:val="0"/>
                <w:iCs/>
                <w:color w:val="000000"/>
                <w:sz w:val="16"/>
                <w:szCs w:val="16"/>
              </w:rPr>
              <w:t>Ідентифікаційний код юридичної особи (код за ЄДРПОУ / номер реєстрації юридичної особи в країні її місцезнаходження)</w:t>
            </w:r>
          </w:p>
        </w:tc>
        <w:tc>
          <w:tcPr>
            <w:tcW w:w="3522" w:type="dxa"/>
            <w:gridSpan w:val="3"/>
            <w:shd w:val="clear" w:color="auto" w:fill="auto"/>
          </w:tcPr>
          <w:p w14:paraId="20168558" w14:textId="77777777" w:rsidR="005C5318" w:rsidRPr="00E16672" w:rsidRDefault="005C5318" w:rsidP="005C5318">
            <w:pPr>
              <w:ind w:left="57" w:right="57"/>
              <w:rPr>
                <w:rFonts w:ascii="Times New Roman" w:hAnsi="Times New Roman"/>
                <w:color w:val="000000"/>
                <w:sz w:val="16"/>
                <w:szCs w:val="16"/>
                <w:lang w:val="uk-UA"/>
              </w:rPr>
            </w:pPr>
          </w:p>
        </w:tc>
        <w:tc>
          <w:tcPr>
            <w:tcW w:w="2249" w:type="dxa"/>
            <w:gridSpan w:val="5"/>
            <w:shd w:val="clear" w:color="auto" w:fill="auto"/>
          </w:tcPr>
          <w:p w14:paraId="1B0639D8" w14:textId="77777777" w:rsidR="005C5318" w:rsidRPr="00E16672" w:rsidRDefault="005C5318" w:rsidP="005C5318">
            <w:pPr>
              <w:pStyle w:val="4"/>
              <w:keepNext w:val="0"/>
              <w:tabs>
                <w:tab w:val="left" w:pos="57"/>
              </w:tabs>
              <w:snapToGrid w:val="0"/>
              <w:ind w:left="57" w:right="57" w:hanging="15"/>
              <w:jc w:val="left"/>
              <w:rPr>
                <w:rFonts w:ascii="Times New Roman" w:hAnsi="Times New Roman"/>
                <w:b w:val="0"/>
                <w:iCs/>
                <w:color w:val="000000"/>
                <w:sz w:val="16"/>
                <w:szCs w:val="16"/>
                <w:lang w:val="en-US"/>
              </w:rPr>
            </w:pPr>
            <w:r w:rsidRPr="00E16672">
              <w:rPr>
                <w:rFonts w:ascii="Times New Roman" w:hAnsi="Times New Roman"/>
                <w:b w:val="0"/>
                <w:iCs/>
                <w:color w:val="000000"/>
                <w:sz w:val="16"/>
                <w:szCs w:val="16"/>
                <w:lang w:val="en-US"/>
              </w:rPr>
              <w:t>Registration code of legal entity (in accordance with EDRPOU</w:t>
            </w:r>
            <w:r w:rsidRPr="00E16672">
              <w:rPr>
                <w:rFonts w:ascii="Times New Roman" w:hAnsi="Times New Roman"/>
                <w:b w:val="0"/>
                <w:iCs/>
                <w:color w:val="000000"/>
                <w:sz w:val="16"/>
                <w:szCs w:val="16"/>
              </w:rPr>
              <w:t xml:space="preserve">, </w:t>
            </w:r>
            <w:proofErr w:type="spellStart"/>
            <w:r w:rsidRPr="00E16672">
              <w:rPr>
                <w:rFonts w:ascii="Times New Roman" w:hAnsi="Times New Roman"/>
                <w:b w:val="0"/>
                <w:sz w:val="16"/>
              </w:rPr>
              <w:t>the</w:t>
            </w:r>
            <w:proofErr w:type="spellEnd"/>
            <w:r w:rsidRPr="00E16672">
              <w:rPr>
                <w:rFonts w:ascii="Times New Roman" w:hAnsi="Times New Roman"/>
                <w:b w:val="0"/>
                <w:sz w:val="16"/>
              </w:rPr>
              <w:t xml:space="preserve"> </w:t>
            </w:r>
            <w:proofErr w:type="spellStart"/>
            <w:r w:rsidRPr="00E16672">
              <w:rPr>
                <w:rFonts w:ascii="Times New Roman" w:hAnsi="Times New Roman"/>
                <w:b w:val="0"/>
                <w:sz w:val="16"/>
              </w:rPr>
              <w:t>registration</w:t>
            </w:r>
            <w:proofErr w:type="spellEnd"/>
            <w:r w:rsidRPr="00E16672">
              <w:rPr>
                <w:rFonts w:ascii="Times New Roman" w:hAnsi="Times New Roman"/>
                <w:b w:val="0"/>
                <w:sz w:val="16"/>
              </w:rPr>
              <w:t xml:space="preserve"> </w:t>
            </w:r>
            <w:proofErr w:type="spellStart"/>
            <w:r w:rsidRPr="00E16672">
              <w:rPr>
                <w:rFonts w:ascii="Times New Roman" w:hAnsi="Times New Roman"/>
                <w:b w:val="0"/>
                <w:sz w:val="16"/>
              </w:rPr>
              <w:t>number</w:t>
            </w:r>
            <w:proofErr w:type="spellEnd"/>
            <w:r w:rsidRPr="00E16672">
              <w:rPr>
                <w:rFonts w:ascii="Times New Roman" w:hAnsi="Times New Roman"/>
                <w:b w:val="0"/>
                <w:sz w:val="16"/>
              </w:rPr>
              <w:t xml:space="preserve"> </w:t>
            </w:r>
            <w:proofErr w:type="spellStart"/>
            <w:r w:rsidRPr="00E16672">
              <w:rPr>
                <w:rFonts w:ascii="Times New Roman" w:hAnsi="Times New Roman"/>
                <w:b w:val="0"/>
                <w:sz w:val="16"/>
              </w:rPr>
              <w:t>of</w:t>
            </w:r>
            <w:proofErr w:type="spellEnd"/>
            <w:r w:rsidRPr="00E16672">
              <w:rPr>
                <w:rFonts w:ascii="Times New Roman" w:hAnsi="Times New Roman"/>
                <w:b w:val="0"/>
                <w:sz w:val="16"/>
              </w:rPr>
              <w:t xml:space="preserve"> </w:t>
            </w:r>
            <w:proofErr w:type="spellStart"/>
            <w:r w:rsidRPr="00E16672">
              <w:rPr>
                <w:rFonts w:ascii="Times New Roman" w:hAnsi="Times New Roman"/>
                <w:b w:val="0"/>
                <w:sz w:val="16"/>
              </w:rPr>
              <w:t>the</w:t>
            </w:r>
            <w:proofErr w:type="spellEnd"/>
            <w:r w:rsidRPr="00E16672">
              <w:rPr>
                <w:rFonts w:ascii="Times New Roman" w:hAnsi="Times New Roman"/>
                <w:b w:val="0"/>
                <w:sz w:val="16"/>
              </w:rPr>
              <w:t xml:space="preserve"> </w:t>
            </w:r>
            <w:proofErr w:type="spellStart"/>
            <w:r w:rsidRPr="00E16672">
              <w:rPr>
                <w:rFonts w:ascii="Times New Roman" w:hAnsi="Times New Roman"/>
                <w:b w:val="0"/>
                <w:sz w:val="16"/>
              </w:rPr>
              <w:t>legal</w:t>
            </w:r>
            <w:proofErr w:type="spellEnd"/>
            <w:r w:rsidRPr="00E16672">
              <w:rPr>
                <w:rFonts w:ascii="Times New Roman" w:hAnsi="Times New Roman"/>
                <w:b w:val="0"/>
                <w:sz w:val="16"/>
              </w:rPr>
              <w:t xml:space="preserve"> </w:t>
            </w:r>
            <w:proofErr w:type="spellStart"/>
            <w:r w:rsidRPr="00E16672">
              <w:rPr>
                <w:rFonts w:ascii="Times New Roman" w:hAnsi="Times New Roman"/>
                <w:b w:val="0"/>
                <w:sz w:val="16"/>
              </w:rPr>
              <w:t>entity</w:t>
            </w:r>
            <w:proofErr w:type="spellEnd"/>
            <w:r w:rsidRPr="00E16672">
              <w:rPr>
                <w:rFonts w:ascii="Times New Roman" w:hAnsi="Times New Roman"/>
                <w:b w:val="0"/>
                <w:sz w:val="16"/>
              </w:rPr>
              <w:t xml:space="preserve"> </w:t>
            </w:r>
            <w:proofErr w:type="spellStart"/>
            <w:r w:rsidRPr="00E16672">
              <w:rPr>
                <w:rFonts w:ascii="Times New Roman" w:hAnsi="Times New Roman"/>
                <w:b w:val="0"/>
                <w:sz w:val="16"/>
              </w:rPr>
              <w:t>in</w:t>
            </w:r>
            <w:proofErr w:type="spellEnd"/>
            <w:r w:rsidRPr="00E16672">
              <w:rPr>
                <w:rFonts w:ascii="Times New Roman" w:hAnsi="Times New Roman"/>
                <w:b w:val="0"/>
                <w:sz w:val="16"/>
              </w:rPr>
              <w:t xml:space="preserve"> </w:t>
            </w:r>
            <w:proofErr w:type="spellStart"/>
            <w:r w:rsidRPr="00E16672">
              <w:rPr>
                <w:rFonts w:ascii="Times New Roman" w:hAnsi="Times New Roman"/>
                <w:b w:val="0"/>
                <w:sz w:val="16"/>
              </w:rPr>
              <w:t>the</w:t>
            </w:r>
            <w:proofErr w:type="spellEnd"/>
            <w:r w:rsidRPr="00E16672">
              <w:rPr>
                <w:rFonts w:ascii="Times New Roman" w:hAnsi="Times New Roman"/>
                <w:b w:val="0"/>
                <w:sz w:val="16"/>
              </w:rPr>
              <w:t xml:space="preserve"> </w:t>
            </w:r>
            <w:proofErr w:type="spellStart"/>
            <w:r w:rsidRPr="00E16672">
              <w:rPr>
                <w:rFonts w:ascii="Times New Roman" w:hAnsi="Times New Roman"/>
                <w:b w:val="0"/>
                <w:sz w:val="16"/>
              </w:rPr>
              <w:t>country</w:t>
            </w:r>
            <w:proofErr w:type="spellEnd"/>
            <w:r w:rsidRPr="00E16672">
              <w:rPr>
                <w:rFonts w:ascii="Times New Roman" w:hAnsi="Times New Roman"/>
                <w:b w:val="0"/>
                <w:sz w:val="16"/>
              </w:rPr>
              <w:t xml:space="preserve"> </w:t>
            </w:r>
            <w:proofErr w:type="spellStart"/>
            <w:r w:rsidRPr="00E16672">
              <w:rPr>
                <w:rFonts w:ascii="Times New Roman" w:hAnsi="Times New Roman"/>
                <w:b w:val="0"/>
                <w:sz w:val="16"/>
              </w:rPr>
              <w:t>of</w:t>
            </w:r>
            <w:proofErr w:type="spellEnd"/>
            <w:r w:rsidRPr="00E16672">
              <w:rPr>
                <w:rFonts w:ascii="Times New Roman" w:hAnsi="Times New Roman"/>
                <w:b w:val="0"/>
                <w:sz w:val="16"/>
              </w:rPr>
              <w:t xml:space="preserve"> </w:t>
            </w:r>
            <w:proofErr w:type="spellStart"/>
            <w:r w:rsidRPr="00E16672">
              <w:rPr>
                <w:rFonts w:ascii="Times New Roman" w:hAnsi="Times New Roman"/>
                <w:b w:val="0"/>
                <w:sz w:val="16"/>
              </w:rPr>
              <w:t>its</w:t>
            </w:r>
            <w:proofErr w:type="spellEnd"/>
            <w:r w:rsidRPr="00E16672">
              <w:rPr>
                <w:rFonts w:ascii="Times New Roman" w:hAnsi="Times New Roman"/>
                <w:b w:val="0"/>
                <w:sz w:val="16"/>
              </w:rPr>
              <w:t xml:space="preserve"> </w:t>
            </w:r>
            <w:proofErr w:type="spellStart"/>
            <w:r w:rsidRPr="00E16672">
              <w:rPr>
                <w:rFonts w:ascii="Times New Roman" w:hAnsi="Times New Roman"/>
                <w:b w:val="0"/>
                <w:sz w:val="16"/>
              </w:rPr>
              <w:t>location</w:t>
            </w:r>
            <w:proofErr w:type="spellEnd"/>
            <w:r w:rsidRPr="00E16672">
              <w:rPr>
                <w:rFonts w:ascii="Times New Roman" w:hAnsi="Times New Roman"/>
                <w:b w:val="0"/>
                <w:iCs/>
                <w:color w:val="000000"/>
                <w:sz w:val="16"/>
                <w:szCs w:val="16"/>
                <w:lang w:val="en-US"/>
              </w:rPr>
              <w:t>)</w:t>
            </w:r>
          </w:p>
        </w:tc>
        <w:tc>
          <w:tcPr>
            <w:tcW w:w="3313" w:type="dxa"/>
            <w:gridSpan w:val="2"/>
            <w:shd w:val="clear" w:color="auto" w:fill="auto"/>
          </w:tcPr>
          <w:p w14:paraId="58E5C1C6" w14:textId="77777777" w:rsidR="005C5318" w:rsidRPr="00E16672" w:rsidRDefault="005C5318" w:rsidP="005C5318">
            <w:pPr>
              <w:ind w:left="57" w:right="57"/>
              <w:rPr>
                <w:rFonts w:ascii="Times New Roman" w:hAnsi="Times New Roman"/>
                <w:sz w:val="16"/>
                <w:szCs w:val="16"/>
                <w:lang w:val="en-US"/>
              </w:rPr>
            </w:pPr>
          </w:p>
        </w:tc>
        <w:tc>
          <w:tcPr>
            <w:tcW w:w="366" w:type="dxa"/>
            <w:shd w:val="clear" w:color="auto" w:fill="auto"/>
          </w:tcPr>
          <w:p w14:paraId="0147AC83" w14:textId="77777777" w:rsidR="005C5318" w:rsidRPr="00E16672" w:rsidRDefault="005C5318" w:rsidP="005C5318">
            <w:pPr>
              <w:snapToGrid w:val="0"/>
              <w:rPr>
                <w:rFonts w:ascii="Times New Roman" w:hAnsi="Times New Roman"/>
                <w:lang w:val="en-US"/>
              </w:rPr>
            </w:pPr>
          </w:p>
        </w:tc>
      </w:tr>
      <w:tr w:rsidR="005C5318" w:rsidRPr="00E16672" w14:paraId="13A1DA07" w14:textId="77777777" w:rsidTr="005E418B">
        <w:tc>
          <w:tcPr>
            <w:tcW w:w="1740" w:type="dxa"/>
            <w:shd w:val="clear" w:color="auto" w:fill="auto"/>
          </w:tcPr>
          <w:p w14:paraId="03FB9057" w14:textId="77777777" w:rsidR="005C5318" w:rsidRPr="00E16672" w:rsidRDefault="005C5318" w:rsidP="005C5318">
            <w:pPr>
              <w:pStyle w:val="4"/>
              <w:keepNext w:val="0"/>
              <w:tabs>
                <w:tab w:val="left" w:pos="57"/>
              </w:tabs>
              <w:snapToGrid w:val="0"/>
              <w:ind w:left="57" w:right="57" w:hanging="14"/>
              <w:jc w:val="left"/>
              <w:rPr>
                <w:rFonts w:ascii="Times New Roman" w:hAnsi="Times New Roman"/>
                <w:b w:val="0"/>
                <w:iCs/>
                <w:color w:val="000000"/>
                <w:sz w:val="16"/>
                <w:szCs w:val="16"/>
              </w:rPr>
            </w:pPr>
            <w:r w:rsidRPr="00E16672">
              <w:rPr>
                <w:rFonts w:ascii="Times New Roman" w:hAnsi="Times New Roman"/>
                <w:b w:val="0"/>
                <w:iCs/>
                <w:color w:val="000000"/>
                <w:sz w:val="16"/>
                <w:szCs w:val="16"/>
              </w:rPr>
              <w:t>Банківські реквізити</w:t>
            </w:r>
          </w:p>
        </w:tc>
        <w:tc>
          <w:tcPr>
            <w:tcW w:w="3522" w:type="dxa"/>
            <w:gridSpan w:val="3"/>
            <w:shd w:val="clear" w:color="auto" w:fill="auto"/>
          </w:tcPr>
          <w:p w14:paraId="64DD1745" w14:textId="77777777" w:rsidR="005C5318" w:rsidRPr="00E16672" w:rsidRDefault="005C5318" w:rsidP="005C5318">
            <w:pPr>
              <w:pStyle w:val="4"/>
              <w:keepNext w:val="0"/>
              <w:tabs>
                <w:tab w:val="left" w:pos="1475"/>
              </w:tabs>
              <w:snapToGrid w:val="0"/>
              <w:ind w:left="57" w:right="57" w:firstLine="0"/>
              <w:jc w:val="left"/>
              <w:rPr>
                <w:rFonts w:ascii="Times New Roman" w:hAnsi="Times New Roman"/>
                <w:i/>
                <w:iCs/>
                <w:color w:val="000000"/>
                <w:sz w:val="16"/>
                <w:szCs w:val="16"/>
              </w:rPr>
            </w:pPr>
          </w:p>
        </w:tc>
        <w:tc>
          <w:tcPr>
            <w:tcW w:w="2249" w:type="dxa"/>
            <w:gridSpan w:val="5"/>
            <w:shd w:val="clear" w:color="auto" w:fill="auto"/>
          </w:tcPr>
          <w:p w14:paraId="10D29EB7" w14:textId="77777777" w:rsidR="005C5318" w:rsidRPr="00E16672" w:rsidRDefault="005C5318" w:rsidP="005C5318">
            <w:pPr>
              <w:pStyle w:val="4"/>
              <w:keepNext w:val="0"/>
              <w:tabs>
                <w:tab w:val="left" w:pos="156"/>
                <w:tab w:val="num" w:pos="200"/>
              </w:tabs>
              <w:snapToGrid w:val="0"/>
              <w:ind w:left="57" w:right="57" w:firstLine="99"/>
              <w:jc w:val="left"/>
              <w:rPr>
                <w:rFonts w:ascii="Times New Roman" w:hAnsi="Times New Roman"/>
                <w:b w:val="0"/>
                <w:iCs/>
                <w:color w:val="000000"/>
                <w:sz w:val="16"/>
                <w:szCs w:val="16"/>
                <w:lang w:val="en-US"/>
              </w:rPr>
            </w:pPr>
            <w:r w:rsidRPr="00E16672">
              <w:rPr>
                <w:rFonts w:ascii="Times New Roman" w:hAnsi="Times New Roman"/>
                <w:b w:val="0"/>
                <w:iCs/>
                <w:color w:val="000000"/>
                <w:sz w:val="16"/>
                <w:szCs w:val="16"/>
                <w:lang w:val="en-US"/>
              </w:rPr>
              <w:t>Bank details</w:t>
            </w:r>
          </w:p>
        </w:tc>
        <w:tc>
          <w:tcPr>
            <w:tcW w:w="3313" w:type="dxa"/>
            <w:gridSpan w:val="2"/>
            <w:shd w:val="clear" w:color="auto" w:fill="auto"/>
          </w:tcPr>
          <w:p w14:paraId="7B1F947D" w14:textId="77777777" w:rsidR="005C5318" w:rsidRPr="00E16672" w:rsidRDefault="005C5318" w:rsidP="005C5318">
            <w:pPr>
              <w:pStyle w:val="4"/>
              <w:keepNext w:val="0"/>
              <w:tabs>
                <w:tab w:val="left" w:pos="1475"/>
              </w:tabs>
              <w:snapToGrid w:val="0"/>
              <w:ind w:left="57" w:right="57" w:firstLine="0"/>
              <w:jc w:val="left"/>
              <w:rPr>
                <w:rFonts w:ascii="Times New Roman" w:hAnsi="Times New Roman"/>
                <w:i/>
                <w:iCs/>
                <w:sz w:val="16"/>
                <w:szCs w:val="16"/>
              </w:rPr>
            </w:pPr>
          </w:p>
        </w:tc>
        <w:tc>
          <w:tcPr>
            <w:tcW w:w="366" w:type="dxa"/>
            <w:shd w:val="clear" w:color="auto" w:fill="auto"/>
          </w:tcPr>
          <w:p w14:paraId="05908097" w14:textId="77777777" w:rsidR="005C5318" w:rsidRPr="00E16672" w:rsidRDefault="005C5318" w:rsidP="005C5318">
            <w:pPr>
              <w:snapToGrid w:val="0"/>
              <w:rPr>
                <w:rFonts w:ascii="Times New Roman" w:hAnsi="Times New Roman"/>
              </w:rPr>
            </w:pPr>
          </w:p>
        </w:tc>
      </w:tr>
      <w:tr w:rsidR="005C5318" w:rsidRPr="00E16672" w14:paraId="2977E049" w14:textId="77777777" w:rsidTr="005E418B">
        <w:tc>
          <w:tcPr>
            <w:tcW w:w="1740" w:type="dxa"/>
            <w:shd w:val="clear" w:color="auto" w:fill="auto"/>
          </w:tcPr>
          <w:p w14:paraId="433608B9" w14:textId="77777777" w:rsidR="005C5318" w:rsidRPr="00E16672" w:rsidRDefault="005C5318" w:rsidP="005C5318">
            <w:pPr>
              <w:pStyle w:val="4"/>
              <w:keepNext w:val="0"/>
              <w:tabs>
                <w:tab w:val="left" w:pos="57"/>
              </w:tabs>
              <w:snapToGrid w:val="0"/>
              <w:ind w:left="57" w:right="57" w:hanging="14"/>
              <w:jc w:val="left"/>
              <w:rPr>
                <w:rFonts w:ascii="Times New Roman" w:hAnsi="Times New Roman"/>
                <w:b w:val="0"/>
                <w:iCs/>
                <w:color w:val="000000"/>
                <w:sz w:val="16"/>
                <w:szCs w:val="16"/>
              </w:rPr>
            </w:pPr>
            <w:r w:rsidRPr="00E16672">
              <w:rPr>
                <w:rFonts w:ascii="Times New Roman" w:hAnsi="Times New Roman"/>
                <w:b w:val="0"/>
                <w:iCs/>
                <w:color w:val="000000"/>
                <w:sz w:val="16"/>
                <w:szCs w:val="16"/>
              </w:rPr>
              <w:t>Телефон</w:t>
            </w:r>
          </w:p>
        </w:tc>
        <w:tc>
          <w:tcPr>
            <w:tcW w:w="3522" w:type="dxa"/>
            <w:gridSpan w:val="3"/>
            <w:shd w:val="clear" w:color="auto" w:fill="auto"/>
          </w:tcPr>
          <w:p w14:paraId="0AF9744E" w14:textId="77777777" w:rsidR="005C5318" w:rsidRPr="00E16672" w:rsidRDefault="005C5318" w:rsidP="005C5318">
            <w:pPr>
              <w:pStyle w:val="4"/>
              <w:keepNext w:val="0"/>
              <w:tabs>
                <w:tab w:val="left" w:pos="1475"/>
              </w:tabs>
              <w:snapToGrid w:val="0"/>
              <w:ind w:left="57" w:right="57" w:firstLine="0"/>
              <w:jc w:val="left"/>
              <w:rPr>
                <w:rFonts w:ascii="Times New Roman" w:hAnsi="Times New Roman"/>
                <w:i/>
                <w:iCs/>
                <w:color w:val="000000"/>
                <w:sz w:val="16"/>
                <w:szCs w:val="16"/>
              </w:rPr>
            </w:pPr>
          </w:p>
        </w:tc>
        <w:tc>
          <w:tcPr>
            <w:tcW w:w="2249" w:type="dxa"/>
            <w:gridSpan w:val="5"/>
            <w:shd w:val="clear" w:color="auto" w:fill="auto"/>
          </w:tcPr>
          <w:p w14:paraId="1EEF98AC" w14:textId="77777777" w:rsidR="005C5318" w:rsidRPr="00E16672" w:rsidRDefault="005C5318" w:rsidP="005C5318">
            <w:pPr>
              <w:pStyle w:val="4"/>
              <w:keepNext w:val="0"/>
              <w:tabs>
                <w:tab w:val="left" w:pos="156"/>
                <w:tab w:val="num" w:pos="200"/>
              </w:tabs>
              <w:snapToGrid w:val="0"/>
              <w:ind w:left="57" w:right="57" w:firstLine="99"/>
              <w:jc w:val="left"/>
              <w:rPr>
                <w:rFonts w:ascii="Times New Roman" w:hAnsi="Times New Roman"/>
                <w:b w:val="0"/>
                <w:iCs/>
                <w:color w:val="000000"/>
                <w:sz w:val="16"/>
                <w:szCs w:val="16"/>
              </w:rPr>
            </w:pPr>
            <w:proofErr w:type="spellStart"/>
            <w:r w:rsidRPr="00E16672">
              <w:rPr>
                <w:rFonts w:ascii="Times New Roman" w:hAnsi="Times New Roman"/>
                <w:b w:val="0"/>
                <w:iCs/>
                <w:color w:val="000000"/>
                <w:sz w:val="16"/>
                <w:szCs w:val="16"/>
              </w:rPr>
              <w:t>Tel</w:t>
            </w:r>
            <w:proofErr w:type="spellEnd"/>
            <w:r w:rsidRPr="00E16672">
              <w:rPr>
                <w:rFonts w:ascii="Times New Roman" w:hAnsi="Times New Roman"/>
                <w:b w:val="0"/>
                <w:iCs/>
                <w:color w:val="000000"/>
                <w:sz w:val="16"/>
                <w:szCs w:val="16"/>
              </w:rPr>
              <w:t>.</w:t>
            </w:r>
          </w:p>
        </w:tc>
        <w:tc>
          <w:tcPr>
            <w:tcW w:w="3313" w:type="dxa"/>
            <w:gridSpan w:val="2"/>
            <w:shd w:val="clear" w:color="auto" w:fill="auto"/>
          </w:tcPr>
          <w:p w14:paraId="68C0CB22" w14:textId="77777777" w:rsidR="005C5318" w:rsidRPr="00E16672" w:rsidRDefault="005C5318" w:rsidP="005C5318">
            <w:pPr>
              <w:pStyle w:val="4"/>
              <w:keepNext w:val="0"/>
              <w:tabs>
                <w:tab w:val="left" w:pos="1475"/>
              </w:tabs>
              <w:snapToGrid w:val="0"/>
              <w:ind w:left="57" w:right="57" w:firstLine="0"/>
              <w:jc w:val="left"/>
              <w:rPr>
                <w:rFonts w:ascii="Times New Roman" w:hAnsi="Times New Roman"/>
                <w:i/>
                <w:iCs/>
                <w:sz w:val="16"/>
                <w:szCs w:val="16"/>
              </w:rPr>
            </w:pPr>
          </w:p>
        </w:tc>
        <w:tc>
          <w:tcPr>
            <w:tcW w:w="366" w:type="dxa"/>
            <w:shd w:val="clear" w:color="auto" w:fill="auto"/>
          </w:tcPr>
          <w:p w14:paraId="473DD096" w14:textId="77777777" w:rsidR="005C5318" w:rsidRPr="00E16672" w:rsidRDefault="005C5318" w:rsidP="005C5318">
            <w:pPr>
              <w:snapToGrid w:val="0"/>
              <w:rPr>
                <w:rFonts w:ascii="Times New Roman" w:hAnsi="Times New Roman"/>
              </w:rPr>
            </w:pPr>
          </w:p>
        </w:tc>
      </w:tr>
      <w:tr w:rsidR="005C5318" w:rsidRPr="00E16672" w14:paraId="0B222C7D" w14:textId="77777777" w:rsidTr="005E418B">
        <w:tc>
          <w:tcPr>
            <w:tcW w:w="1740" w:type="dxa"/>
            <w:shd w:val="clear" w:color="auto" w:fill="auto"/>
          </w:tcPr>
          <w:p w14:paraId="76E42988" w14:textId="7BBA347E" w:rsidR="005C5318" w:rsidRPr="00E16672" w:rsidRDefault="005C5318" w:rsidP="005C5318">
            <w:pPr>
              <w:pStyle w:val="4"/>
              <w:keepNext w:val="0"/>
              <w:tabs>
                <w:tab w:val="left" w:pos="57"/>
              </w:tabs>
              <w:snapToGrid w:val="0"/>
              <w:ind w:left="57" w:right="57" w:hanging="14"/>
              <w:jc w:val="left"/>
              <w:rPr>
                <w:rFonts w:ascii="Times New Roman" w:hAnsi="Times New Roman"/>
                <w:b w:val="0"/>
                <w:iCs/>
                <w:color w:val="000000"/>
                <w:sz w:val="16"/>
                <w:szCs w:val="16"/>
              </w:rPr>
            </w:pPr>
          </w:p>
        </w:tc>
        <w:tc>
          <w:tcPr>
            <w:tcW w:w="3522" w:type="dxa"/>
            <w:gridSpan w:val="3"/>
            <w:shd w:val="clear" w:color="auto" w:fill="auto"/>
          </w:tcPr>
          <w:p w14:paraId="2A1A3E85" w14:textId="77777777" w:rsidR="005C5318" w:rsidRPr="00E16672" w:rsidRDefault="005C5318" w:rsidP="005C5318">
            <w:pPr>
              <w:pStyle w:val="4"/>
              <w:keepNext w:val="0"/>
              <w:tabs>
                <w:tab w:val="left" w:pos="1475"/>
              </w:tabs>
              <w:snapToGrid w:val="0"/>
              <w:ind w:left="57" w:right="57" w:firstLine="0"/>
              <w:jc w:val="left"/>
              <w:rPr>
                <w:rFonts w:ascii="Times New Roman" w:hAnsi="Times New Roman"/>
                <w:i/>
                <w:iCs/>
                <w:color w:val="000000"/>
                <w:sz w:val="16"/>
                <w:szCs w:val="16"/>
              </w:rPr>
            </w:pPr>
          </w:p>
        </w:tc>
        <w:tc>
          <w:tcPr>
            <w:tcW w:w="2249" w:type="dxa"/>
            <w:gridSpan w:val="5"/>
            <w:shd w:val="clear" w:color="auto" w:fill="auto"/>
          </w:tcPr>
          <w:p w14:paraId="4BDD2E63" w14:textId="317CC3BB" w:rsidR="005C5318" w:rsidRPr="00E16672" w:rsidRDefault="005C5318" w:rsidP="005C5318">
            <w:pPr>
              <w:pStyle w:val="4"/>
              <w:keepNext w:val="0"/>
              <w:tabs>
                <w:tab w:val="left" w:pos="156"/>
                <w:tab w:val="num" w:pos="200"/>
              </w:tabs>
              <w:snapToGrid w:val="0"/>
              <w:ind w:left="57" w:right="57" w:firstLine="99"/>
              <w:jc w:val="left"/>
              <w:rPr>
                <w:rFonts w:ascii="Times New Roman" w:hAnsi="Times New Roman"/>
                <w:b w:val="0"/>
                <w:iCs/>
                <w:color w:val="000000"/>
                <w:sz w:val="16"/>
                <w:szCs w:val="16"/>
              </w:rPr>
            </w:pPr>
          </w:p>
        </w:tc>
        <w:tc>
          <w:tcPr>
            <w:tcW w:w="3313" w:type="dxa"/>
            <w:gridSpan w:val="2"/>
            <w:shd w:val="clear" w:color="auto" w:fill="auto"/>
          </w:tcPr>
          <w:p w14:paraId="7F495D09" w14:textId="77777777" w:rsidR="005C5318" w:rsidRPr="00E16672" w:rsidRDefault="005C5318" w:rsidP="005C5318">
            <w:pPr>
              <w:pStyle w:val="4"/>
              <w:keepNext w:val="0"/>
              <w:tabs>
                <w:tab w:val="left" w:pos="1475"/>
              </w:tabs>
              <w:snapToGrid w:val="0"/>
              <w:ind w:left="57" w:right="57" w:firstLine="0"/>
              <w:jc w:val="left"/>
              <w:rPr>
                <w:rFonts w:ascii="Times New Roman" w:hAnsi="Times New Roman"/>
                <w:i/>
                <w:iCs/>
                <w:sz w:val="16"/>
                <w:szCs w:val="16"/>
              </w:rPr>
            </w:pPr>
          </w:p>
        </w:tc>
        <w:tc>
          <w:tcPr>
            <w:tcW w:w="366" w:type="dxa"/>
            <w:shd w:val="clear" w:color="auto" w:fill="auto"/>
          </w:tcPr>
          <w:p w14:paraId="3C8310A4" w14:textId="77777777" w:rsidR="005C5318" w:rsidRPr="00E16672" w:rsidRDefault="005C5318" w:rsidP="005C5318">
            <w:pPr>
              <w:snapToGrid w:val="0"/>
              <w:rPr>
                <w:rFonts w:ascii="Times New Roman" w:hAnsi="Times New Roman"/>
              </w:rPr>
            </w:pPr>
          </w:p>
        </w:tc>
      </w:tr>
      <w:tr w:rsidR="005C5318" w:rsidRPr="00E16672" w14:paraId="185754CA" w14:textId="77777777" w:rsidTr="005E418B">
        <w:tc>
          <w:tcPr>
            <w:tcW w:w="1740" w:type="dxa"/>
            <w:shd w:val="clear" w:color="auto" w:fill="auto"/>
          </w:tcPr>
          <w:p w14:paraId="391160C5" w14:textId="77777777" w:rsidR="005C5318" w:rsidRPr="00E16672" w:rsidRDefault="005C5318" w:rsidP="005C5318">
            <w:pPr>
              <w:pStyle w:val="4"/>
              <w:keepNext w:val="0"/>
              <w:tabs>
                <w:tab w:val="left" w:pos="57"/>
              </w:tabs>
              <w:snapToGrid w:val="0"/>
              <w:ind w:left="57" w:right="57" w:hanging="14"/>
              <w:jc w:val="left"/>
              <w:rPr>
                <w:rFonts w:ascii="Times New Roman" w:hAnsi="Times New Roman"/>
                <w:b w:val="0"/>
                <w:iCs/>
                <w:color w:val="000000"/>
                <w:sz w:val="16"/>
                <w:szCs w:val="16"/>
                <w:lang w:val="en-US"/>
              </w:rPr>
            </w:pPr>
            <w:r w:rsidRPr="00E16672">
              <w:rPr>
                <w:rFonts w:ascii="Times New Roman" w:hAnsi="Times New Roman"/>
                <w:b w:val="0"/>
                <w:iCs/>
                <w:color w:val="000000"/>
                <w:sz w:val="16"/>
                <w:szCs w:val="16"/>
                <w:lang w:val="en-US"/>
              </w:rPr>
              <w:t>E-mail</w:t>
            </w:r>
          </w:p>
        </w:tc>
        <w:tc>
          <w:tcPr>
            <w:tcW w:w="3522" w:type="dxa"/>
            <w:gridSpan w:val="3"/>
            <w:shd w:val="clear" w:color="auto" w:fill="auto"/>
          </w:tcPr>
          <w:p w14:paraId="6ABA4998" w14:textId="77777777" w:rsidR="005C5318" w:rsidRPr="00E16672" w:rsidRDefault="005C5318" w:rsidP="005C5318">
            <w:pPr>
              <w:snapToGrid w:val="0"/>
              <w:ind w:left="57" w:right="57"/>
              <w:rPr>
                <w:rFonts w:ascii="Times New Roman" w:hAnsi="Times New Roman"/>
                <w:b/>
                <w:bCs/>
                <w:color w:val="000000"/>
                <w:sz w:val="16"/>
                <w:szCs w:val="16"/>
                <w:lang w:val="en-US"/>
              </w:rPr>
            </w:pPr>
          </w:p>
        </w:tc>
        <w:tc>
          <w:tcPr>
            <w:tcW w:w="2249" w:type="dxa"/>
            <w:gridSpan w:val="5"/>
            <w:shd w:val="clear" w:color="auto" w:fill="auto"/>
          </w:tcPr>
          <w:p w14:paraId="07A638DE" w14:textId="77777777" w:rsidR="005C5318" w:rsidRPr="00E16672" w:rsidRDefault="005C5318" w:rsidP="005C5318">
            <w:pPr>
              <w:pStyle w:val="4"/>
              <w:keepNext w:val="0"/>
              <w:tabs>
                <w:tab w:val="left" w:pos="156"/>
                <w:tab w:val="num" w:pos="200"/>
              </w:tabs>
              <w:snapToGrid w:val="0"/>
              <w:ind w:left="57" w:right="57" w:firstLine="99"/>
              <w:jc w:val="left"/>
              <w:rPr>
                <w:rFonts w:ascii="Times New Roman" w:hAnsi="Times New Roman"/>
                <w:b w:val="0"/>
                <w:iCs/>
                <w:color w:val="000000"/>
                <w:sz w:val="16"/>
                <w:szCs w:val="16"/>
                <w:lang w:val="en-US"/>
              </w:rPr>
            </w:pPr>
            <w:r w:rsidRPr="00E16672">
              <w:rPr>
                <w:rFonts w:ascii="Times New Roman" w:hAnsi="Times New Roman"/>
                <w:b w:val="0"/>
                <w:iCs/>
                <w:color w:val="000000"/>
                <w:sz w:val="16"/>
                <w:szCs w:val="16"/>
                <w:lang w:val="en-US"/>
              </w:rPr>
              <w:t>E-mail</w:t>
            </w:r>
          </w:p>
        </w:tc>
        <w:tc>
          <w:tcPr>
            <w:tcW w:w="3313" w:type="dxa"/>
            <w:gridSpan w:val="2"/>
            <w:shd w:val="clear" w:color="auto" w:fill="auto"/>
          </w:tcPr>
          <w:p w14:paraId="0EE05EAA" w14:textId="77777777" w:rsidR="005C5318" w:rsidRPr="00E16672" w:rsidRDefault="005C5318" w:rsidP="005C5318">
            <w:pPr>
              <w:snapToGrid w:val="0"/>
              <w:ind w:left="57" w:right="57"/>
              <w:rPr>
                <w:rFonts w:ascii="Times New Roman" w:hAnsi="Times New Roman"/>
                <w:b/>
                <w:bCs/>
                <w:sz w:val="16"/>
                <w:szCs w:val="16"/>
                <w:lang w:val="en-US"/>
              </w:rPr>
            </w:pPr>
          </w:p>
        </w:tc>
        <w:tc>
          <w:tcPr>
            <w:tcW w:w="366" w:type="dxa"/>
            <w:shd w:val="clear" w:color="auto" w:fill="auto"/>
          </w:tcPr>
          <w:p w14:paraId="509C5435" w14:textId="77777777" w:rsidR="005C5318" w:rsidRPr="00E16672" w:rsidRDefault="005C5318" w:rsidP="005C5318">
            <w:pPr>
              <w:snapToGrid w:val="0"/>
              <w:rPr>
                <w:rFonts w:ascii="Times New Roman" w:hAnsi="Times New Roman"/>
              </w:rPr>
            </w:pPr>
          </w:p>
        </w:tc>
      </w:tr>
      <w:tr w:rsidR="005C5318" w:rsidRPr="00F23413" w:rsidDel="00D16973" w14:paraId="5CF1AB1D" w14:textId="77777777" w:rsidTr="005E418B">
        <w:trPr>
          <w:trHeight w:val="582"/>
        </w:trPr>
        <w:tc>
          <w:tcPr>
            <w:tcW w:w="1740" w:type="dxa"/>
            <w:shd w:val="clear" w:color="auto" w:fill="auto"/>
          </w:tcPr>
          <w:p w14:paraId="695C938F" w14:textId="77777777" w:rsidR="005C5318" w:rsidRPr="00E16672" w:rsidRDefault="005C5318" w:rsidP="005C5318">
            <w:pPr>
              <w:pStyle w:val="4"/>
              <w:numPr>
                <w:ilvl w:val="3"/>
                <w:numId w:val="0"/>
              </w:numPr>
              <w:tabs>
                <w:tab w:val="num" w:pos="864"/>
              </w:tabs>
              <w:ind w:left="57" w:right="57"/>
              <w:jc w:val="left"/>
              <w:rPr>
                <w:rFonts w:ascii="Times New Roman" w:hAnsi="Times New Roman"/>
                <w:sz w:val="16"/>
              </w:rPr>
            </w:pPr>
            <w:r w:rsidRPr="00E16672">
              <w:rPr>
                <w:rFonts w:ascii="Times New Roman" w:hAnsi="Times New Roman"/>
                <w:b w:val="0"/>
                <w:sz w:val="16"/>
              </w:rPr>
              <w:t>Документ, що підтверджує повноваження особи, яка підписує договір</w:t>
            </w:r>
          </w:p>
        </w:tc>
        <w:tc>
          <w:tcPr>
            <w:tcW w:w="3623" w:type="dxa"/>
            <w:gridSpan w:val="4"/>
            <w:shd w:val="clear" w:color="auto" w:fill="auto"/>
          </w:tcPr>
          <w:p w14:paraId="1F95CE69" w14:textId="77777777" w:rsidR="005C5318" w:rsidRPr="00E16672" w:rsidRDefault="005C5318" w:rsidP="005C5318">
            <w:pPr>
              <w:pStyle w:val="1f2"/>
              <w:tabs>
                <w:tab w:val="num" w:pos="200"/>
              </w:tabs>
              <w:ind w:left="57" w:right="-200" w:hanging="15"/>
              <w:rPr>
                <w:rFonts w:ascii="Times New Roman" w:hAnsi="Times New Roman" w:cs="Times New Roman"/>
                <w:b/>
                <w:color w:val="0000FF"/>
                <w:sz w:val="16"/>
                <w:szCs w:val="16"/>
                <w:lang w:val="ru-RU"/>
              </w:rPr>
            </w:pPr>
          </w:p>
        </w:tc>
        <w:tc>
          <w:tcPr>
            <w:tcW w:w="2106" w:type="dxa"/>
            <w:gridSpan w:val="3"/>
            <w:shd w:val="clear" w:color="auto" w:fill="auto"/>
          </w:tcPr>
          <w:p w14:paraId="511C567A" w14:textId="77777777" w:rsidR="005C5318" w:rsidRPr="00E16672" w:rsidRDefault="005C5318" w:rsidP="005C5318">
            <w:pPr>
              <w:pStyle w:val="4"/>
              <w:widowControl w:val="0"/>
              <w:numPr>
                <w:ilvl w:val="3"/>
                <w:numId w:val="0"/>
              </w:numPr>
              <w:tabs>
                <w:tab w:val="num" w:pos="200"/>
              </w:tabs>
              <w:ind w:left="58" w:right="-200" w:hanging="15"/>
              <w:jc w:val="left"/>
              <w:rPr>
                <w:rFonts w:ascii="Times New Roman" w:hAnsi="Times New Roman"/>
                <w:b w:val="0"/>
                <w:iCs/>
                <w:sz w:val="16"/>
                <w:szCs w:val="16"/>
                <w:lang w:val="en-US"/>
              </w:rPr>
            </w:pPr>
            <w:proofErr w:type="spellStart"/>
            <w:r w:rsidRPr="00E16672">
              <w:rPr>
                <w:rFonts w:ascii="Times New Roman" w:hAnsi="Times New Roman"/>
                <w:b w:val="0"/>
                <w:sz w:val="16"/>
                <w:szCs w:val="16"/>
              </w:rPr>
              <w:t>Document</w:t>
            </w:r>
            <w:proofErr w:type="spellEnd"/>
            <w:r w:rsidRPr="00E16672">
              <w:rPr>
                <w:rFonts w:ascii="Times New Roman" w:hAnsi="Times New Roman"/>
                <w:b w:val="0"/>
                <w:sz w:val="16"/>
                <w:szCs w:val="16"/>
              </w:rPr>
              <w:t xml:space="preserve"> </w:t>
            </w:r>
            <w:proofErr w:type="spellStart"/>
            <w:r w:rsidRPr="00E16672">
              <w:rPr>
                <w:rFonts w:ascii="Times New Roman" w:hAnsi="Times New Roman"/>
                <w:b w:val="0"/>
                <w:sz w:val="16"/>
                <w:szCs w:val="16"/>
              </w:rPr>
              <w:t>confirming</w:t>
            </w:r>
            <w:proofErr w:type="spellEnd"/>
            <w:r w:rsidRPr="00E16672">
              <w:rPr>
                <w:rFonts w:ascii="Times New Roman" w:hAnsi="Times New Roman"/>
                <w:b w:val="0"/>
                <w:sz w:val="16"/>
                <w:szCs w:val="16"/>
              </w:rPr>
              <w:t xml:space="preserve"> </w:t>
            </w:r>
            <w:proofErr w:type="spellStart"/>
            <w:r w:rsidRPr="00E16672">
              <w:rPr>
                <w:rFonts w:ascii="Times New Roman" w:hAnsi="Times New Roman"/>
                <w:b w:val="0"/>
                <w:sz w:val="16"/>
                <w:szCs w:val="16"/>
              </w:rPr>
              <w:t>the</w:t>
            </w:r>
            <w:proofErr w:type="spellEnd"/>
            <w:r w:rsidRPr="00E16672">
              <w:rPr>
                <w:rFonts w:ascii="Times New Roman" w:hAnsi="Times New Roman"/>
                <w:b w:val="0"/>
                <w:sz w:val="16"/>
                <w:szCs w:val="16"/>
              </w:rPr>
              <w:t xml:space="preserve"> </w:t>
            </w:r>
            <w:proofErr w:type="spellStart"/>
            <w:r w:rsidRPr="00E16672">
              <w:rPr>
                <w:rFonts w:ascii="Times New Roman" w:hAnsi="Times New Roman"/>
                <w:b w:val="0"/>
                <w:sz w:val="16"/>
                <w:szCs w:val="16"/>
              </w:rPr>
              <w:t>authority</w:t>
            </w:r>
            <w:proofErr w:type="spellEnd"/>
            <w:r w:rsidRPr="00E16672">
              <w:rPr>
                <w:rFonts w:ascii="Times New Roman" w:hAnsi="Times New Roman"/>
                <w:b w:val="0"/>
                <w:sz w:val="16"/>
                <w:szCs w:val="16"/>
              </w:rPr>
              <w:t xml:space="preserve"> </w:t>
            </w:r>
            <w:proofErr w:type="spellStart"/>
            <w:r w:rsidRPr="00E16672">
              <w:rPr>
                <w:rFonts w:ascii="Times New Roman" w:hAnsi="Times New Roman"/>
                <w:b w:val="0"/>
                <w:sz w:val="16"/>
                <w:szCs w:val="16"/>
              </w:rPr>
              <w:t>of</w:t>
            </w:r>
            <w:proofErr w:type="spellEnd"/>
            <w:r w:rsidRPr="00E16672">
              <w:rPr>
                <w:rFonts w:ascii="Times New Roman" w:hAnsi="Times New Roman"/>
                <w:b w:val="0"/>
                <w:sz w:val="16"/>
                <w:szCs w:val="16"/>
              </w:rPr>
              <w:t xml:space="preserve"> </w:t>
            </w:r>
            <w:proofErr w:type="spellStart"/>
            <w:r w:rsidRPr="00E16672">
              <w:rPr>
                <w:rFonts w:ascii="Times New Roman" w:hAnsi="Times New Roman"/>
                <w:b w:val="0"/>
                <w:sz w:val="16"/>
                <w:szCs w:val="16"/>
              </w:rPr>
              <w:t>the</w:t>
            </w:r>
            <w:proofErr w:type="spellEnd"/>
            <w:r w:rsidRPr="00E16672">
              <w:rPr>
                <w:rFonts w:ascii="Times New Roman" w:hAnsi="Times New Roman"/>
                <w:b w:val="0"/>
                <w:sz w:val="16"/>
                <w:szCs w:val="16"/>
              </w:rPr>
              <w:t xml:space="preserve"> </w:t>
            </w:r>
            <w:proofErr w:type="spellStart"/>
            <w:r w:rsidRPr="00E16672">
              <w:rPr>
                <w:rFonts w:ascii="Times New Roman" w:hAnsi="Times New Roman"/>
                <w:b w:val="0"/>
                <w:sz w:val="16"/>
                <w:szCs w:val="16"/>
              </w:rPr>
              <w:t>person</w:t>
            </w:r>
            <w:proofErr w:type="spellEnd"/>
            <w:r w:rsidRPr="00E16672">
              <w:rPr>
                <w:rFonts w:ascii="Times New Roman" w:hAnsi="Times New Roman"/>
                <w:b w:val="0"/>
                <w:sz w:val="16"/>
                <w:szCs w:val="16"/>
              </w:rPr>
              <w:t xml:space="preserve"> </w:t>
            </w:r>
            <w:proofErr w:type="spellStart"/>
            <w:r w:rsidRPr="00E16672">
              <w:rPr>
                <w:rFonts w:ascii="Times New Roman" w:hAnsi="Times New Roman"/>
                <w:b w:val="0"/>
                <w:sz w:val="16"/>
                <w:szCs w:val="16"/>
              </w:rPr>
              <w:t>signing</w:t>
            </w:r>
            <w:proofErr w:type="spellEnd"/>
            <w:r w:rsidRPr="00E16672">
              <w:rPr>
                <w:rFonts w:ascii="Times New Roman" w:hAnsi="Times New Roman"/>
                <w:b w:val="0"/>
                <w:sz w:val="16"/>
                <w:szCs w:val="16"/>
              </w:rPr>
              <w:t xml:space="preserve"> </w:t>
            </w:r>
            <w:proofErr w:type="spellStart"/>
            <w:r w:rsidRPr="00E16672">
              <w:rPr>
                <w:rFonts w:ascii="Times New Roman" w:hAnsi="Times New Roman"/>
                <w:b w:val="0"/>
                <w:sz w:val="16"/>
                <w:szCs w:val="16"/>
              </w:rPr>
              <w:t>the</w:t>
            </w:r>
            <w:proofErr w:type="spellEnd"/>
            <w:r w:rsidRPr="00E16672">
              <w:rPr>
                <w:rFonts w:ascii="Times New Roman" w:hAnsi="Times New Roman"/>
                <w:b w:val="0"/>
                <w:sz w:val="16"/>
                <w:szCs w:val="16"/>
              </w:rPr>
              <w:t xml:space="preserve"> </w:t>
            </w:r>
            <w:proofErr w:type="spellStart"/>
            <w:r w:rsidRPr="00E16672">
              <w:rPr>
                <w:rFonts w:ascii="Times New Roman" w:hAnsi="Times New Roman"/>
                <w:b w:val="0"/>
                <w:sz w:val="16"/>
                <w:szCs w:val="16"/>
              </w:rPr>
              <w:t>contract</w:t>
            </w:r>
            <w:proofErr w:type="spellEnd"/>
            <w:r w:rsidRPr="00E16672">
              <w:rPr>
                <w:rFonts w:ascii="Times New Roman" w:hAnsi="Times New Roman"/>
                <w:b w:val="0"/>
                <w:sz w:val="16"/>
                <w:szCs w:val="16"/>
              </w:rPr>
              <w:t xml:space="preserve"> </w:t>
            </w:r>
          </w:p>
        </w:tc>
        <w:tc>
          <w:tcPr>
            <w:tcW w:w="3721" w:type="dxa"/>
            <w:gridSpan w:val="4"/>
            <w:shd w:val="clear" w:color="auto" w:fill="auto"/>
          </w:tcPr>
          <w:p w14:paraId="472E7956" w14:textId="77777777" w:rsidR="005C5318" w:rsidRPr="00E16672" w:rsidDel="00D16973" w:rsidRDefault="005C5318" w:rsidP="005C5318">
            <w:pPr>
              <w:pStyle w:val="6"/>
              <w:widowControl w:val="0"/>
              <w:tabs>
                <w:tab w:val="num" w:pos="200"/>
              </w:tabs>
              <w:snapToGrid w:val="0"/>
              <w:ind w:left="0" w:firstLine="0"/>
              <w:jc w:val="left"/>
              <w:rPr>
                <w:rFonts w:ascii="Times New Roman" w:hAnsi="Times New Roman"/>
                <w:color w:val="0000FF"/>
                <w:sz w:val="24"/>
                <w:szCs w:val="24"/>
                <w:lang w:val="en-US"/>
              </w:rPr>
            </w:pPr>
          </w:p>
        </w:tc>
      </w:tr>
      <w:tr w:rsidR="005C5318" w:rsidRPr="00E16672" w14:paraId="717EB7AC" w14:textId="77777777" w:rsidTr="005E418B">
        <w:tc>
          <w:tcPr>
            <w:tcW w:w="5262" w:type="dxa"/>
            <w:gridSpan w:val="4"/>
            <w:shd w:val="clear" w:color="auto" w:fill="auto"/>
          </w:tcPr>
          <w:p w14:paraId="3E3E4D54" w14:textId="77777777" w:rsidR="005C5318" w:rsidRPr="00E16672" w:rsidRDefault="005C5318" w:rsidP="005C5318">
            <w:pPr>
              <w:snapToGrid w:val="0"/>
              <w:ind w:left="57" w:right="57"/>
              <w:jc w:val="center"/>
              <w:rPr>
                <w:rFonts w:ascii="Times New Roman" w:hAnsi="Times New Roman"/>
                <w:b/>
                <w:bCs/>
                <w:iCs/>
                <w:color w:val="000000"/>
                <w:sz w:val="16"/>
                <w:szCs w:val="16"/>
                <w:lang w:val="en-US"/>
              </w:rPr>
            </w:pPr>
          </w:p>
          <w:p w14:paraId="77296887" w14:textId="77777777" w:rsidR="005C5318" w:rsidRPr="00E16672" w:rsidRDefault="005C5318" w:rsidP="005C5318">
            <w:pPr>
              <w:ind w:left="57" w:right="57"/>
              <w:jc w:val="center"/>
              <w:rPr>
                <w:rFonts w:ascii="Times New Roman" w:hAnsi="Times New Roman"/>
                <w:b/>
                <w:bCs/>
                <w:color w:val="000000"/>
                <w:sz w:val="16"/>
                <w:szCs w:val="16"/>
              </w:rPr>
            </w:pPr>
            <w:proofErr w:type="spellStart"/>
            <w:r w:rsidRPr="00E16672">
              <w:rPr>
                <w:rFonts w:ascii="Times New Roman" w:hAnsi="Times New Roman"/>
                <w:b/>
                <w:bCs/>
                <w:color w:val="000000"/>
                <w:sz w:val="16"/>
                <w:szCs w:val="16"/>
              </w:rPr>
              <w:t>Депозитарна</w:t>
            </w:r>
            <w:proofErr w:type="spellEnd"/>
            <w:r w:rsidRPr="00E16672">
              <w:rPr>
                <w:rFonts w:ascii="Times New Roman" w:hAnsi="Times New Roman"/>
                <w:b/>
                <w:bCs/>
                <w:color w:val="000000"/>
                <w:sz w:val="16"/>
                <w:szCs w:val="16"/>
              </w:rPr>
              <w:t xml:space="preserve"> </w:t>
            </w:r>
            <w:proofErr w:type="spellStart"/>
            <w:r w:rsidRPr="00E16672">
              <w:rPr>
                <w:rFonts w:ascii="Times New Roman" w:hAnsi="Times New Roman"/>
                <w:b/>
                <w:bCs/>
                <w:color w:val="000000"/>
                <w:sz w:val="16"/>
                <w:szCs w:val="16"/>
              </w:rPr>
              <w:t>установа</w:t>
            </w:r>
            <w:proofErr w:type="spellEnd"/>
            <w:r w:rsidRPr="00E16672">
              <w:rPr>
                <w:rFonts w:ascii="Times New Roman" w:hAnsi="Times New Roman"/>
                <w:b/>
                <w:bCs/>
                <w:color w:val="000000"/>
                <w:sz w:val="16"/>
                <w:szCs w:val="16"/>
              </w:rPr>
              <w:t>:</w:t>
            </w:r>
          </w:p>
          <w:p w14:paraId="0A9BFB28" w14:textId="77777777" w:rsidR="005C5318" w:rsidRPr="00E16672" w:rsidRDefault="005C5318" w:rsidP="005C5318">
            <w:pPr>
              <w:snapToGrid w:val="0"/>
              <w:ind w:left="57" w:right="57"/>
              <w:jc w:val="center"/>
              <w:rPr>
                <w:rFonts w:ascii="Times New Roman" w:hAnsi="Times New Roman"/>
                <w:color w:val="000000"/>
                <w:sz w:val="16"/>
                <w:szCs w:val="16"/>
                <w:lang w:val="en-US"/>
              </w:rPr>
            </w:pPr>
          </w:p>
        </w:tc>
        <w:tc>
          <w:tcPr>
            <w:tcW w:w="5562" w:type="dxa"/>
            <w:gridSpan w:val="7"/>
            <w:shd w:val="clear" w:color="auto" w:fill="auto"/>
          </w:tcPr>
          <w:p w14:paraId="1CFEE79A" w14:textId="77777777" w:rsidR="005C5318" w:rsidRPr="00E16672" w:rsidRDefault="005C5318" w:rsidP="005C5318">
            <w:pPr>
              <w:snapToGrid w:val="0"/>
              <w:ind w:left="57" w:right="57"/>
              <w:rPr>
                <w:rFonts w:ascii="Times New Roman" w:hAnsi="Times New Roman"/>
                <w:b/>
                <w:bCs/>
                <w:color w:val="000000"/>
                <w:sz w:val="16"/>
                <w:szCs w:val="16"/>
              </w:rPr>
            </w:pPr>
          </w:p>
          <w:p w14:paraId="7A07D004" w14:textId="77777777" w:rsidR="005C5318" w:rsidRPr="00E16672" w:rsidRDefault="005C5318" w:rsidP="005C5318">
            <w:pPr>
              <w:ind w:left="57" w:right="57"/>
              <w:jc w:val="center"/>
              <w:rPr>
                <w:rFonts w:ascii="Times New Roman" w:hAnsi="Times New Roman"/>
                <w:b/>
                <w:bCs/>
                <w:color w:val="000000"/>
                <w:sz w:val="16"/>
                <w:szCs w:val="16"/>
              </w:rPr>
            </w:pPr>
            <w:r w:rsidRPr="00E16672">
              <w:rPr>
                <w:rFonts w:ascii="Times New Roman" w:hAnsi="Times New Roman"/>
                <w:b/>
                <w:color w:val="000000"/>
                <w:sz w:val="16"/>
                <w:szCs w:val="16"/>
                <w:lang w:val="en-US"/>
              </w:rPr>
              <w:t>Depository institution</w:t>
            </w:r>
            <w:r w:rsidRPr="00E16672">
              <w:rPr>
                <w:rFonts w:ascii="Times New Roman" w:hAnsi="Times New Roman"/>
                <w:b/>
                <w:bCs/>
                <w:color w:val="000000"/>
                <w:sz w:val="16"/>
                <w:szCs w:val="16"/>
              </w:rPr>
              <w:t>:</w:t>
            </w:r>
          </w:p>
          <w:p w14:paraId="18C417D3" w14:textId="77777777" w:rsidR="005C5318" w:rsidRPr="00E16672" w:rsidRDefault="005C5318" w:rsidP="005C5318">
            <w:pPr>
              <w:snapToGrid w:val="0"/>
              <w:ind w:left="57" w:right="57"/>
              <w:rPr>
                <w:rFonts w:ascii="Times New Roman" w:hAnsi="Times New Roman"/>
                <w:color w:val="000000"/>
                <w:sz w:val="16"/>
                <w:szCs w:val="16"/>
                <w:lang w:val="en-US"/>
              </w:rPr>
            </w:pPr>
          </w:p>
        </w:tc>
        <w:tc>
          <w:tcPr>
            <w:tcW w:w="366" w:type="dxa"/>
            <w:tcBorders>
              <w:left w:val="nil"/>
            </w:tcBorders>
            <w:shd w:val="clear" w:color="auto" w:fill="auto"/>
          </w:tcPr>
          <w:p w14:paraId="35D2C28F" w14:textId="77777777" w:rsidR="005C5318" w:rsidRPr="00E16672" w:rsidRDefault="005C5318" w:rsidP="005C5318">
            <w:pPr>
              <w:snapToGrid w:val="0"/>
              <w:rPr>
                <w:rFonts w:ascii="Times New Roman" w:hAnsi="Times New Roman"/>
              </w:rPr>
            </w:pPr>
          </w:p>
        </w:tc>
      </w:tr>
      <w:tr w:rsidR="005C5318" w:rsidRPr="00E16672" w14:paraId="0349977E" w14:textId="77777777" w:rsidTr="005E418B">
        <w:tc>
          <w:tcPr>
            <w:tcW w:w="1740" w:type="dxa"/>
            <w:shd w:val="clear" w:color="auto" w:fill="auto"/>
          </w:tcPr>
          <w:p w14:paraId="25592584" w14:textId="77777777" w:rsidR="005C5318" w:rsidRPr="00E16672" w:rsidRDefault="005C5318" w:rsidP="005C5318">
            <w:pPr>
              <w:pStyle w:val="4"/>
              <w:keepNext w:val="0"/>
              <w:tabs>
                <w:tab w:val="left" w:pos="57"/>
              </w:tabs>
              <w:snapToGrid w:val="0"/>
              <w:ind w:left="57" w:right="57" w:hanging="14"/>
              <w:jc w:val="left"/>
              <w:rPr>
                <w:rFonts w:ascii="Times New Roman" w:hAnsi="Times New Roman"/>
                <w:b w:val="0"/>
                <w:iCs/>
                <w:color w:val="000000"/>
                <w:sz w:val="16"/>
                <w:szCs w:val="16"/>
              </w:rPr>
            </w:pPr>
            <w:proofErr w:type="spellStart"/>
            <w:r w:rsidRPr="00E16672">
              <w:rPr>
                <w:rFonts w:ascii="Times New Roman" w:hAnsi="Times New Roman"/>
                <w:b w:val="0"/>
                <w:iCs/>
                <w:color w:val="000000"/>
                <w:sz w:val="16"/>
                <w:szCs w:val="16"/>
                <w:lang w:val="ru-RU"/>
              </w:rPr>
              <w:t>Повне</w:t>
            </w:r>
            <w:proofErr w:type="spellEnd"/>
            <w:r w:rsidRPr="00E16672">
              <w:rPr>
                <w:rFonts w:ascii="Times New Roman" w:hAnsi="Times New Roman"/>
                <w:b w:val="0"/>
                <w:iCs/>
                <w:color w:val="000000"/>
                <w:sz w:val="16"/>
                <w:szCs w:val="16"/>
                <w:lang w:val="ru-RU"/>
              </w:rPr>
              <w:t xml:space="preserve"> </w:t>
            </w:r>
            <w:r w:rsidRPr="00E16672">
              <w:rPr>
                <w:rFonts w:ascii="Times New Roman" w:hAnsi="Times New Roman"/>
                <w:b w:val="0"/>
                <w:iCs/>
                <w:color w:val="000000"/>
                <w:sz w:val="16"/>
                <w:szCs w:val="16"/>
              </w:rPr>
              <w:t>Найменування</w:t>
            </w:r>
          </w:p>
        </w:tc>
        <w:tc>
          <w:tcPr>
            <w:tcW w:w="3522" w:type="dxa"/>
            <w:gridSpan w:val="3"/>
            <w:shd w:val="clear" w:color="auto" w:fill="auto"/>
            <w:vAlign w:val="center"/>
          </w:tcPr>
          <w:p w14:paraId="6800FF4F" w14:textId="77777777" w:rsidR="005C5318" w:rsidRPr="00E16672" w:rsidRDefault="005C5318" w:rsidP="00022F5F">
            <w:pPr>
              <w:widowControl w:val="0"/>
              <w:snapToGrid w:val="0"/>
              <w:ind w:left="57" w:right="57" w:firstLine="0"/>
              <w:jc w:val="left"/>
              <w:rPr>
                <w:rFonts w:ascii="Times New Roman" w:hAnsi="Times New Roman"/>
                <w:caps/>
                <w:color w:val="000000"/>
                <w:sz w:val="16"/>
                <w:szCs w:val="16"/>
              </w:rPr>
            </w:pPr>
            <w:r w:rsidRPr="00E16672">
              <w:rPr>
                <w:rFonts w:ascii="Times New Roman" w:hAnsi="Times New Roman"/>
                <w:sz w:val="16"/>
                <w:szCs w:val="16"/>
              </w:rPr>
              <w:t xml:space="preserve">ТОВАРИСТВО З ОБМЕЖЕНОЮ ВІДПОВІДАЛЬНІСТЮ </w:t>
            </w:r>
            <w:r w:rsidR="00022F5F">
              <w:rPr>
                <w:rFonts w:ascii="Times New Roman" w:hAnsi="Times New Roman"/>
                <w:sz w:val="16"/>
                <w:szCs w:val="16"/>
              </w:rPr>
              <w:t>"</w:t>
            </w:r>
            <w:r w:rsidR="00E16672" w:rsidRPr="00E16672">
              <w:rPr>
                <w:rFonts w:ascii="Times New Roman" w:hAnsi="Times New Roman"/>
                <w:sz w:val="16"/>
                <w:szCs w:val="16"/>
              </w:rPr>
              <w:t>КОМЕКС ЦІННІ ПАПЕРИ</w:t>
            </w:r>
            <w:r w:rsidR="00022F5F">
              <w:rPr>
                <w:rFonts w:ascii="Times New Roman" w:hAnsi="Times New Roman"/>
                <w:sz w:val="16"/>
                <w:szCs w:val="16"/>
              </w:rPr>
              <w:t>"</w:t>
            </w:r>
          </w:p>
        </w:tc>
        <w:tc>
          <w:tcPr>
            <w:tcW w:w="2000" w:type="dxa"/>
            <w:gridSpan w:val="3"/>
            <w:shd w:val="clear" w:color="auto" w:fill="auto"/>
            <w:vAlign w:val="center"/>
          </w:tcPr>
          <w:p w14:paraId="094F690C" w14:textId="77777777" w:rsidR="005C5318" w:rsidRPr="00E16672" w:rsidRDefault="005C5318" w:rsidP="005C5318">
            <w:pPr>
              <w:pStyle w:val="4"/>
              <w:keepNext w:val="0"/>
              <w:tabs>
                <w:tab w:val="left" w:pos="57"/>
              </w:tabs>
              <w:snapToGrid w:val="0"/>
              <w:ind w:left="57" w:right="57" w:hanging="15"/>
              <w:jc w:val="left"/>
              <w:rPr>
                <w:rFonts w:ascii="Times New Roman" w:hAnsi="Times New Roman"/>
                <w:b w:val="0"/>
                <w:iCs/>
                <w:color w:val="000000"/>
                <w:sz w:val="16"/>
                <w:szCs w:val="16"/>
                <w:lang w:val="en-US"/>
              </w:rPr>
            </w:pPr>
            <w:r w:rsidRPr="00E16672">
              <w:rPr>
                <w:rFonts w:ascii="Times New Roman" w:hAnsi="Times New Roman"/>
                <w:b w:val="0"/>
                <w:iCs/>
                <w:color w:val="000000"/>
                <w:sz w:val="16"/>
                <w:szCs w:val="16"/>
                <w:lang w:val="en-US"/>
              </w:rPr>
              <w:t>Full name</w:t>
            </w:r>
          </w:p>
        </w:tc>
        <w:tc>
          <w:tcPr>
            <w:tcW w:w="3562" w:type="dxa"/>
            <w:gridSpan w:val="4"/>
            <w:shd w:val="clear" w:color="auto" w:fill="auto"/>
            <w:vAlign w:val="center"/>
          </w:tcPr>
          <w:p w14:paraId="467DA1B0" w14:textId="77777777" w:rsidR="005C5318" w:rsidRPr="00E16672" w:rsidRDefault="001E62BE" w:rsidP="00003287">
            <w:pPr>
              <w:tabs>
                <w:tab w:val="left" w:pos="1475"/>
              </w:tabs>
              <w:snapToGrid w:val="0"/>
              <w:ind w:left="57" w:right="57" w:firstLine="0"/>
              <w:jc w:val="left"/>
              <w:rPr>
                <w:rFonts w:ascii="Times New Roman" w:hAnsi="Times New Roman"/>
                <w:caps/>
                <w:sz w:val="16"/>
                <w:szCs w:val="16"/>
                <w:lang w:val="en-GB"/>
              </w:rPr>
            </w:pPr>
            <w:r>
              <w:rPr>
                <w:rFonts w:ascii="Times New Roman" w:hAnsi="Times New Roman"/>
                <w:sz w:val="16"/>
                <w:szCs w:val="16"/>
                <w:lang w:val="en-GB"/>
              </w:rPr>
              <w:t>COMEX Securities Limited</w:t>
            </w:r>
          </w:p>
        </w:tc>
        <w:tc>
          <w:tcPr>
            <w:tcW w:w="366" w:type="dxa"/>
            <w:shd w:val="clear" w:color="auto" w:fill="auto"/>
          </w:tcPr>
          <w:p w14:paraId="5CB0BCD8" w14:textId="77777777" w:rsidR="005C5318" w:rsidRPr="00E16672" w:rsidRDefault="005C5318" w:rsidP="005C5318">
            <w:pPr>
              <w:snapToGrid w:val="0"/>
              <w:rPr>
                <w:rFonts w:ascii="Times New Roman" w:hAnsi="Times New Roman"/>
                <w:lang w:val="en-US"/>
              </w:rPr>
            </w:pPr>
          </w:p>
        </w:tc>
      </w:tr>
      <w:tr w:rsidR="005C5318" w:rsidRPr="00F23413" w14:paraId="73D079BF" w14:textId="77777777" w:rsidTr="005E418B">
        <w:tc>
          <w:tcPr>
            <w:tcW w:w="1740" w:type="dxa"/>
            <w:shd w:val="clear" w:color="auto" w:fill="auto"/>
          </w:tcPr>
          <w:p w14:paraId="39457B44" w14:textId="77777777" w:rsidR="005C5318" w:rsidRPr="00E16672" w:rsidRDefault="005C5318" w:rsidP="005C5318">
            <w:pPr>
              <w:pStyle w:val="4"/>
              <w:keepNext w:val="0"/>
              <w:tabs>
                <w:tab w:val="left" w:pos="57"/>
              </w:tabs>
              <w:snapToGrid w:val="0"/>
              <w:ind w:left="57" w:right="57" w:hanging="14"/>
              <w:jc w:val="left"/>
              <w:rPr>
                <w:rFonts w:ascii="Times New Roman" w:hAnsi="Times New Roman"/>
                <w:b w:val="0"/>
                <w:iCs/>
                <w:color w:val="000000"/>
                <w:sz w:val="16"/>
                <w:szCs w:val="16"/>
              </w:rPr>
            </w:pPr>
            <w:r w:rsidRPr="00E16672">
              <w:rPr>
                <w:rFonts w:ascii="Times New Roman" w:hAnsi="Times New Roman"/>
                <w:b w:val="0"/>
                <w:iCs/>
                <w:color w:val="000000"/>
                <w:sz w:val="16"/>
                <w:szCs w:val="16"/>
              </w:rPr>
              <w:t>Місцезнаходження</w:t>
            </w:r>
          </w:p>
        </w:tc>
        <w:tc>
          <w:tcPr>
            <w:tcW w:w="3522" w:type="dxa"/>
            <w:gridSpan w:val="3"/>
            <w:shd w:val="clear" w:color="auto" w:fill="auto"/>
            <w:vAlign w:val="center"/>
          </w:tcPr>
          <w:p w14:paraId="3996A5EA" w14:textId="77777777" w:rsidR="005C5318" w:rsidRPr="00E16672" w:rsidRDefault="001E62BE" w:rsidP="005C5318">
            <w:pPr>
              <w:widowControl w:val="0"/>
              <w:snapToGrid w:val="0"/>
              <w:ind w:left="57" w:right="57" w:firstLine="0"/>
              <w:jc w:val="left"/>
              <w:rPr>
                <w:rFonts w:ascii="Times New Roman" w:hAnsi="Times New Roman"/>
                <w:color w:val="0000FF"/>
                <w:sz w:val="16"/>
                <w:szCs w:val="16"/>
              </w:rPr>
            </w:pPr>
            <w:r>
              <w:rPr>
                <w:rFonts w:ascii="Times New Roman" w:hAnsi="Times New Roman"/>
                <w:bCs/>
                <w:sz w:val="16"/>
                <w:szCs w:val="16"/>
                <w:lang w:val="uk-UA"/>
              </w:rPr>
              <w:t xml:space="preserve">Україна, </w:t>
            </w:r>
            <w:proofErr w:type="spellStart"/>
            <w:r>
              <w:rPr>
                <w:rFonts w:ascii="Times New Roman" w:hAnsi="Times New Roman"/>
                <w:bCs/>
                <w:sz w:val="16"/>
                <w:szCs w:val="16"/>
                <w:lang w:val="uk-UA"/>
              </w:rPr>
              <w:t>м.Київ</w:t>
            </w:r>
            <w:proofErr w:type="spellEnd"/>
            <w:r>
              <w:rPr>
                <w:rFonts w:ascii="Times New Roman" w:hAnsi="Times New Roman"/>
                <w:bCs/>
                <w:sz w:val="16"/>
                <w:szCs w:val="16"/>
                <w:lang w:val="uk-UA"/>
              </w:rPr>
              <w:t>, Велика Васильківська (колишня Червоноармійська) вул., буд. 65</w:t>
            </w:r>
          </w:p>
        </w:tc>
        <w:tc>
          <w:tcPr>
            <w:tcW w:w="2000" w:type="dxa"/>
            <w:gridSpan w:val="3"/>
            <w:shd w:val="clear" w:color="auto" w:fill="auto"/>
            <w:vAlign w:val="center"/>
          </w:tcPr>
          <w:p w14:paraId="6367D40D" w14:textId="77777777" w:rsidR="005C5318" w:rsidRPr="00E16672" w:rsidRDefault="005C5318" w:rsidP="005C5318">
            <w:pPr>
              <w:pStyle w:val="4"/>
              <w:keepNext w:val="0"/>
              <w:tabs>
                <w:tab w:val="left" w:pos="57"/>
              </w:tabs>
              <w:snapToGrid w:val="0"/>
              <w:ind w:left="57" w:right="57" w:hanging="15"/>
              <w:jc w:val="left"/>
              <w:rPr>
                <w:rFonts w:ascii="Times New Roman" w:hAnsi="Times New Roman"/>
                <w:b w:val="0"/>
                <w:iCs/>
                <w:color w:val="000000"/>
                <w:sz w:val="16"/>
                <w:szCs w:val="16"/>
                <w:lang w:val="en-US"/>
              </w:rPr>
            </w:pPr>
            <w:r w:rsidRPr="00E16672">
              <w:rPr>
                <w:rFonts w:ascii="Times New Roman" w:hAnsi="Times New Roman"/>
                <w:b w:val="0"/>
                <w:iCs/>
                <w:color w:val="000000"/>
                <w:sz w:val="16"/>
                <w:szCs w:val="16"/>
                <w:lang w:val="en-US"/>
              </w:rPr>
              <w:t>Residential address</w:t>
            </w:r>
          </w:p>
        </w:tc>
        <w:tc>
          <w:tcPr>
            <w:tcW w:w="3562" w:type="dxa"/>
            <w:gridSpan w:val="4"/>
            <w:shd w:val="clear" w:color="auto" w:fill="auto"/>
            <w:vAlign w:val="center"/>
          </w:tcPr>
          <w:p w14:paraId="213EF2F5" w14:textId="77777777" w:rsidR="005C5318" w:rsidRPr="00E16672" w:rsidRDefault="001E62BE" w:rsidP="005C5318">
            <w:pPr>
              <w:pStyle w:val="4"/>
              <w:keepNext w:val="0"/>
              <w:widowControl w:val="0"/>
              <w:numPr>
                <w:ilvl w:val="0"/>
                <w:numId w:val="0"/>
              </w:numPr>
              <w:snapToGrid w:val="0"/>
              <w:ind w:left="3" w:hanging="3"/>
              <w:jc w:val="left"/>
              <w:rPr>
                <w:rFonts w:ascii="Times New Roman" w:hAnsi="Times New Roman"/>
                <w:b w:val="0"/>
                <w:sz w:val="16"/>
                <w:szCs w:val="16"/>
                <w:lang w:val="en-GB"/>
              </w:rPr>
            </w:pPr>
            <w:r>
              <w:rPr>
                <w:rFonts w:ascii="Times New Roman" w:hAnsi="Times New Roman"/>
                <w:b w:val="0"/>
                <w:sz w:val="16"/>
                <w:szCs w:val="16"/>
                <w:lang w:val="en-GB"/>
              </w:rPr>
              <w:t xml:space="preserve">Ukraine, Kyiv, </w:t>
            </w:r>
            <w:proofErr w:type="spellStart"/>
            <w:r>
              <w:rPr>
                <w:rFonts w:ascii="Times New Roman" w:hAnsi="Times New Roman"/>
                <w:b w:val="0"/>
                <w:sz w:val="16"/>
                <w:szCs w:val="16"/>
                <w:lang w:val="en-GB"/>
              </w:rPr>
              <w:t>Velyka</w:t>
            </w:r>
            <w:proofErr w:type="spellEnd"/>
            <w:r>
              <w:rPr>
                <w:rFonts w:ascii="Times New Roman" w:hAnsi="Times New Roman"/>
                <w:b w:val="0"/>
                <w:sz w:val="16"/>
                <w:szCs w:val="16"/>
                <w:lang w:val="en-GB"/>
              </w:rPr>
              <w:t xml:space="preserve"> </w:t>
            </w:r>
            <w:proofErr w:type="spellStart"/>
            <w:r>
              <w:rPr>
                <w:rFonts w:ascii="Times New Roman" w:hAnsi="Times New Roman"/>
                <w:b w:val="0"/>
                <w:sz w:val="16"/>
                <w:szCs w:val="16"/>
                <w:lang w:val="en-GB"/>
              </w:rPr>
              <w:t>Vasilkivska</w:t>
            </w:r>
            <w:proofErr w:type="spellEnd"/>
            <w:r>
              <w:rPr>
                <w:rFonts w:ascii="Times New Roman" w:hAnsi="Times New Roman"/>
                <w:b w:val="0"/>
                <w:sz w:val="16"/>
                <w:szCs w:val="16"/>
                <w:lang w:val="en-GB"/>
              </w:rPr>
              <w:t xml:space="preserve"> (former </w:t>
            </w:r>
            <w:proofErr w:type="spellStart"/>
            <w:r>
              <w:rPr>
                <w:rFonts w:ascii="Times New Roman" w:hAnsi="Times New Roman"/>
                <w:b w:val="0"/>
                <w:sz w:val="16"/>
                <w:szCs w:val="16"/>
                <w:lang w:val="en-GB"/>
              </w:rPr>
              <w:t>Chervonoarmiyska</w:t>
            </w:r>
            <w:proofErr w:type="spellEnd"/>
            <w:r>
              <w:rPr>
                <w:rFonts w:ascii="Times New Roman" w:hAnsi="Times New Roman"/>
                <w:b w:val="0"/>
                <w:sz w:val="16"/>
                <w:szCs w:val="16"/>
                <w:lang w:val="en-GB"/>
              </w:rPr>
              <w:t>) str., 65</w:t>
            </w:r>
          </w:p>
        </w:tc>
        <w:tc>
          <w:tcPr>
            <w:tcW w:w="366" w:type="dxa"/>
            <w:shd w:val="clear" w:color="auto" w:fill="auto"/>
          </w:tcPr>
          <w:p w14:paraId="06FB5AA1" w14:textId="77777777" w:rsidR="005C5318" w:rsidRPr="00E16672" w:rsidRDefault="005C5318" w:rsidP="005C5318">
            <w:pPr>
              <w:snapToGrid w:val="0"/>
              <w:rPr>
                <w:rFonts w:ascii="Times New Roman" w:hAnsi="Times New Roman"/>
                <w:lang w:val="en-US"/>
              </w:rPr>
            </w:pPr>
          </w:p>
        </w:tc>
      </w:tr>
      <w:tr w:rsidR="005C5318" w:rsidRPr="00F23413" w14:paraId="7DC64B8E" w14:textId="77777777" w:rsidTr="005E418B">
        <w:tc>
          <w:tcPr>
            <w:tcW w:w="1740" w:type="dxa"/>
            <w:shd w:val="clear" w:color="auto" w:fill="auto"/>
          </w:tcPr>
          <w:p w14:paraId="1FDB9B7C" w14:textId="77777777" w:rsidR="005C5318" w:rsidRPr="00E16672" w:rsidRDefault="005C5318" w:rsidP="005C5318">
            <w:pPr>
              <w:pStyle w:val="4"/>
              <w:keepNext w:val="0"/>
              <w:tabs>
                <w:tab w:val="left" w:pos="57"/>
              </w:tabs>
              <w:snapToGrid w:val="0"/>
              <w:ind w:left="57" w:right="57" w:hanging="14"/>
              <w:jc w:val="left"/>
              <w:rPr>
                <w:rFonts w:ascii="Times New Roman" w:hAnsi="Times New Roman"/>
                <w:iCs/>
                <w:color w:val="000000"/>
                <w:sz w:val="16"/>
                <w:szCs w:val="16"/>
              </w:rPr>
            </w:pPr>
            <w:r w:rsidRPr="00E16672">
              <w:rPr>
                <w:rFonts w:ascii="Times New Roman" w:hAnsi="Times New Roman"/>
                <w:iCs/>
                <w:color w:val="000000"/>
                <w:sz w:val="16"/>
                <w:szCs w:val="16"/>
              </w:rPr>
              <w:t>Адреса для листування а</w:t>
            </w:r>
          </w:p>
        </w:tc>
        <w:tc>
          <w:tcPr>
            <w:tcW w:w="3522" w:type="dxa"/>
            <w:gridSpan w:val="3"/>
            <w:shd w:val="clear" w:color="auto" w:fill="auto"/>
            <w:vAlign w:val="center"/>
          </w:tcPr>
          <w:p w14:paraId="46E8AAB4" w14:textId="77777777" w:rsidR="005C5318" w:rsidRPr="00457728" w:rsidRDefault="005770E6" w:rsidP="005C5318">
            <w:pPr>
              <w:widowControl w:val="0"/>
              <w:snapToGrid w:val="0"/>
              <w:ind w:left="57" w:right="57" w:firstLine="0"/>
              <w:jc w:val="left"/>
              <w:rPr>
                <w:rFonts w:ascii="Times New Roman" w:hAnsi="Times New Roman"/>
                <w:color w:val="0000FF"/>
                <w:sz w:val="16"/>
                <w:szCs w:val="16"/>
              </w:rPr>
            </w:pPr>
            <w:r>
              <w:rPr>
                <w:rFonts w:ascii="Times New Roman" w:hAnsi="Times New Roman"/>
                <w:bCs/>
                <w:sz w:val="16"/>
                <w:szCs w:val="16"/>
                <w:lang w:val="uk-UA"/>
              </w:rPr>
              <w:t xml:space="preserve">Україна, </w:t>
            </w:r>
            <w:proofErr w:type="spellStart"/>
            <w:r>
              <w:rPr>
                <w:rFonts w:ascii="Times New Roman" w:hAnsi="Times New Roman"/>
                <w:bCs/>
                <w:sz w:val="16"/>
                <w:szCs w:val="16"/>
                <w:lang w:val="uk-UA"/>
              </w:rPr>
              <w:t>м.Київ</w:t>
            </w:r>
            <w:proofErr w:type="spellEnd"/>
            <w:r>
              <w:rPr>
                <w:rFonts w:ascii="Times New Roman" w:hAnsi="Times New Roman"/>
                <w:bCs/>
                <w:sz w:val="16"/>
                <w:szCs w:val="16"/>
                <w:lang w:val="uk-UA"/>
              </w:rPr>
              <w:t>, Велика Васильківська (колишня Червоноармійська) вул., буд. 65, оф. 409</w:t>
            </w:r>
          </w:p>
        </w:tc>
        <w:tc>
          <w:tcPr>
            <w:tcW w:w="2000" w:type="dxa"/>
            <w:gridSpan w:val="3"/>
            <w:shd w:val="clear" w:color="auto" w:fill="auto"/>
            <w:vAlign w:val="center"/>
          </w:tcPr>
          <w:p w14:paraId="66E9A03E" w14:textId="77777777" w:rsidR="005C5318" w:rsidRPr="00E16672" w:rsidRDefault="005C5318" w:rsidP="005C5318">
            <w:pPr>
              <w:pStyle w:val="4"/>
              <w:keepNext w:val="0"/>
              <w:tabs>
                <w:tab w:val="left" w:pos="57"/>
              </w:tabs>
              <w:snapToGrid w:val="0"/>
              <w:ind w:left="57" w:right="57" w:hanging="15"/>
              <w:jc w:val="left"/>
              <w:rPr>
                <w:rFonts w:ascii="Times New Roman" w:hAnsi="Times New Roman"/>
                <w:b w:val="0"/>
                <w:iCs/>
                <w:color w:val="000000"/>
                <w:sz w:val="16"/>
                <w:szCs w:val="16"/>
                <w:lang w:val="en-US"/>
              </w:rPr>
            </w:pPr>
            <w:r w:rsidRPr="00E16672">
              <w:rPr>
                <w:rFonts w:ascii="Times New Roman" w:hAnsi="Times New Roman"/>
                <w:b w:val="0"/>
                <w:iCs/>
                <w:color w:val="000000"/>
                <w:sz w:val="16"/>
                <w:szCs w:val="16"/>
                <w:lang w:val="en-US"/>
              </w:rPr>
              <w:t>Correspondence address</w:t>
            </w:r>
          </w:p>
        </w:tc>
        <w:tc>
          <w:tcPr>
            <w:tcW w:w="3562" w:type="dxa"/>
            <w:gridSpan w:val="4"/>
            <w:shd w:val="clear" w:color="auto" w:fill="auto"/>
            <w:vAlign w:val="center"/>
          </w:tcPr>
          <w:p w14:paraId="2BB55719" w14:textId="77777777" w:rsidR="005C5318" w:rsidRPr="00E16672" w:rsidRDefault="001E62BE" w:rsidP="005C5318">
            <w:pPr>
              <w:pStyle w:val="4"/>
              <w:widowControl w:val="0"/>
              <w:numPr>
                <w:ilvl w:val="3"/>
                <w:numId w:val="4"/>
              </w:numPr>
              <w:snapToGrid w:val="0"/>
              <w:jc w:val="left"/>
              <w:rPr>
                <w:rFonts w:ascii="Times New Roman" w:hAnsi="Times New Roman"/>
                <w:b w:val="0"/>
                <w:sz w:val="16"/>
                <w:szCs w:val="16"/>
                <w:lang w:val="en-GB"/>
              </w:rPr>
            </w:pPr>
            <w:r>
              <w:rPr>
                <w:rFonts w:ascii="Times New Roman" w:hAnsi="Times New Roman"/>
                <w:b w:val="0"/>
                <w:sz w:val="16"/>
                <w:szCs w:val="16"/>
                <w:lang w:val="en-GB"/>
              </w:rPr>
              <w:t xml:space="preserve">Ukraine, Kyiv, </w:t>
            </w:r>
            <w:proofErr w:type="spellStart"/>
            <w:r>
              <w:rPr>
                <w:rFonts w:ascii="Times New Roman" w:hAnsi="Times New Roman"/>
                <w:b w:val="0"/>
                <w:sz w:val="16"/>
                <w:szCs w:val="16"/>
                <w:lang w:val="en-GB"/>
              </w:rPr>
              <w:t>Velyka</w:t>
            </w:r>
            <w:proofErr w:type="spellEnd"/>
            <w:r>
              <w:rPr>
                <w:rFonts w:ascii="Times New Roman" w:hAnsi="Times New Roman"/>
                <w:b w:val="0"/>
                <w:sz w:val="16"/>
                <w:szCs w:val="16"/>
                <w:lang w:val="en-GB"/>
              </w:rPr>
              <w:t xml:space="preserve"> </w:t>
            </w:r>
            <w:proofErr w:type="spellStart"/>
            <w:r>
              <w:rPr>
                <w:rFonts w:ascii="Times New Roman" w:hAnsi="Times New Roman"/>
                <w:b w:val="0"/>
                <w:sz w:val="16"/>
                <w:szCs w:val="16"/>
                <w:lang w:val="en-GB"/>
              </w:rPr>
              <w:t>Vasilkivska</w:t>
            </w:r>
            <w:proofErr w:type="spellEnd"/>
            <w:r>
              <w:rPr>
                <w:rFonts w:ascii="Times New Roman" w:hAnsi="Times New Roman"/>
                <w:b w:val="0"/>
                <w:sz w:val="16"/>
                <w:szCs w:val="16"/>
                <w:lang w:val="en-GB"/>
              </w:rPr>
              <w:t xml:space="preserve"> (former </w:t>
            </w:r>
            <w:proofErr w:type="spellStart"/>
            <w:r>
              <w:rPr>
                <w:rFonts w:ascii="Times New Roman" w:hAnsi="Times New Roman"/>
                <w:b w:val="0"/>
                <w:sz w:val="16"/>
                <w:szCs w:val="16"/>
                <w:lang w:val="en-GB"/>
              </w:rPr>
              <w:t>Chervonoarmiyska</w:t>
            </w:r>
            <w:proofErr w:type="spellEnd"/>
            <w:r>
              <w:rPr>
                <w:rFonts w:ascii="Times New Roman" w:hAnsi="Times New Roman"/>
                <w:b w:val="0"/>
                <w:sz w:val="16"/>
                <w:szCs w:val="16"/>
                <w:lang w:val="en-GB"/>
              </w:rPr>
              <w:t>) str., 65</w:t>
            </w:r>
            <w:r w:rsidR="005770E6">
              <w:rPr>
                <w:rFonts w:ascii="Times New Roman" w:hAnsi="Times New Roman"/>
                <w:b w:val="0"/>
                <w:sz w:val="16"/>
                <w:szCs w:val="16"/>
                <w:lang w:val="en-GB"/>
              </w:rPr>
              <w:t>, office 409</w:t>
            </w:r>
          </w:p>
        </w:tc>
        <w:tc>
          <w:tcPr>
            <w:tcW w:w="366" w:type="dxa"/>
            <w:shd w:val="clear" w:color="auto" w:fill="auto"/>
          </w:tcPr>
          <w:p w14:paraId="66DB1520" w14:textId="77777777" w:rsidR="005C5318" w:rsidRPr="00E16672" w:rsidRDefault="005C5318" w:rsidP="005C5318">
            <w:pPr>
              <w:snapToGrid w:val="0"/>
              <w:rPr>
                <w:rFonts w:ascii="Times New Roman" w:hAnsi="Times New Roman"/>
                <w:lang w:val="en-US"/>
              </w:rPr>
            </w:pPr>
          </w:p>
        </w:tc>
      </w:tr>
      <w:tr w:rsidR="005C5318" w:rsidRPr="00E16672" w14:paraId="3C08531C" w14:textId="77777777" w:rsidTr="005E418B">
        <w:tc>
          <w:tcPr>
            <w:tcW w:w="1740" w:type="dxa"/>
            <w:shd w:val="clear" w:color="auto" w:fill="auto"/>
          </w:tcPr>
          <w:p w14:paraId="3B4D8C1C" w14:textId="77777777" w:rsidR="005C5318" w:rsidRPr="00E16672" w:rsidRDefault="005C5318" w:rsidP="005C5318">
            <w:pPr>
              <w:pStyle w:val="4"/>
              <w:keepNext w:val="0"/>
              <w:tabs>
                <w:tab w:val="left" w:pos="57"/>
              </w:tabs>
              <w:snapToGrid w:val="0"/>
              <w:ind w:left="57" w:right="57" w:hanging="14"/>
              <w:jc w:val="left"/>
              <w:rPr>
                <w:rFonts w:ascii="Times New Roman" w:hAnsi="Times New Roman"/>
                <w:iCs/>
                <w:color w:val="000000"/>
                <w:sz w:val="16"/>
                <w:szCs w:val="16"/>
              </w:rPr>
            </w:pPr>
            <w:r w:rsidRPr="00E16672">
              <w:rPr>
                <w:rFonts w:ascii="Times New Roman" w:hAnsi="Times New Roman"/>
                <w:iCs/>
                <w:color w:val="000000"/>
                <w:sz w:val="16"/>
                <w:szCs w:val="16"/>
              </w:rPr>
              <w:t>Ідентифікаційний код юридичної особи</w:t>
            </w:r>
            <w:r w:rsidRPr="00E16672">
              <w:rPr>
                <w:rFonts w:ascii="Times New Roman" w:hAnsi="Times New Roman"/>
                <w:iCs/>
                <w:color w:val="000000"/>
                <w:sz w:val="16"/>
                <w:szCs w:val="16"/>
                <w:lang w:val="ru-RU"/>
              </w:rPr>
              <w:t xml:space="preserve"> </w:t>
            </w:r>
            <w:r w:rsidRPr="00E16672">
              <w:rPr>
                <w:rFonts w:ascii="Times New Roman" w:hAnsi="Times New Roman"/>
                <w:iCs/>
                <w:color w:val="000000"/>
                <w:sz w:val="16"/>
                <w:szCs w:val="16"/>
              </w:rPr>
              <w:t>(код за ЄДРПОУ)</w:t>
            </w:r>
          </w:p>
        </w:tc>
        <w:tc>
          <w:tcPr>
            <w:tcW w:w="3522" w:type="dxa"/>
            <w:gridSpan w:val="3"/>
            <w:shd w:val="clear" w:color="auto" w:fill="auto"/>
            <w:vAlign w:val="center"/>
          </w:tcPr>
          <w:p w14:paraId="2904DC06" w14:textId="77777777" w:rsidR="005C5318" w:rsidRPr="00E16672" w:rsidRDefault="00E16672" w:rsidP="005C5318">
            <w:pPr>
              <w:ind w:right="57" w:firstLine="0"/>
              <w:jc w:val="left"/>
              <w:rPr>
                <w:rFonts w:ascii="Times New Roman" w:hAnsi="Times New Roman"/>
                <w:color w:val="000000"/>
                <w:sz w:val="16"/>
                <w:szCs w:val="16"/>
              </w:rPr>
            </w:pPr>
            <w:r w:rsidRPr="00E16672">
              <w:rPr>
                <w:rFonts w:ascii="Times New Roman" w:hAnsi="Times New Roman"/>
                <w:sz w:val="16"/>
                <w:szCs w:val="16"/>
                <w:lang w:val="en-US"/>
              </w:rPr>
              <w:t>33153077</w:t>
            </w:r>
          </w:p>
        </w:tc>
        <w:tc>
          <w:tcPr>
            <w:tcW w:w="2000" w:type="dxa"/>
            <w:gridSpan w:val="3"/>
            <w:shd w:val="clear" w:color="auto" w:fill="auto"/>
            <w:vAlign w:val="center"/>
          </w:tcPr>
          <w:p w14:paraId="3A79A174" w14:textId="77777777" w:rsidR="005C5318" w:rsidRPr="00E16672" w:rsidRDefault="005C5318" w:rsidP="005C5318">
            <w:pPr>
              <w:pStyle w:val="4"/>
              <w:keepNext w:val="0"/>
              <w:tabs>
                <w:tab w:val="left" w:pos="57"/>
              </w:tabs>
              <w:snapToGrid w:val="0"/>
              <w:ind w:left="57" w:right="57" w:hanging="15"/>
              <w:jc w:val="left"/>
              <w:rPr>
                <w:rFonts w:ascii="Times New Roman" w:hAnsi="Times New Roman"/>
                <w:b w:val="0"/>
                <w:iCs/>
                <w:color w:val="000000"/>
                <w:sz w:val="16"/>
                <w:szCs w:val="16"/>
                <w:lang w:val="en-US"/>
              </w:rPr>
            </w:pPr>
            <w:r w:rsidRPr="00E16672">
              <w:rPr>
                <w:rFonts w:ascii="Times New Roman" w:hAnsi="Times New Roman"/>
                <w:b w:val="0"/>
                <w:iCs/>
                <w:color w:val="000000"/>
                <w:sz w:val="16"/>
                <w:szCs w:val="16"/>
                <w:lang w:val="en-US"/>
              </w:rPr>
              <w:t>Registration code of legal entity (in accordance with EDRPOU)</w:t>
            </w:r>
          </w:p>
        </w:tc>
        <w:tc>
          <w:tcPr>
            <w:tcW w:w="3562" w:type="dxa"/>
            <w:gridSpan w:val="4"/>
            <w:shd w:val="clear" w:color="auto" w:fill="auto"/>
            <w:vAlign w:val="center"/>
          </w:tcPr>
          <w:p w14:paraId="6733BFB9" w14:textId="77777777" w:rsidR="005C5318" w:rsidRPr="00E16672" w:rsidRDefault="00E16672" w:rsidP="000D0438">
            <w:pPr>
              <w:pStyle w:val="4"/>
              <w:widowControl w:val="0"/>
              <w:numPr>
                <w:ilvl w:val="3"/>
                <w:numId w:val="21"/>
              </w:numPr>
              <w:snapToGrid w:val="0"/>
              <w:jc w:val="left"/>
              <w:rPr>
                <w:rFonts w:ascii="Times New Roman" w:hAnsi="Times New Roman"/>
                <w:b w:val="0"/>
                <w:sz w:val="16"/>
                <w:szCs w:val="16"/>
                <w:lang w:val="en-GB"/>
              </w:rPr>
            </w:pPr>
            <w:r w:rsidRPr="00E16672">
              <w:rPr>
                <w:rFonts w:ascii="Times New Roman" w:hAnsi="Times New Roman"/>
                <w:b w:val="0"/>
                <w:sz w:val="16"/>
                <w:szCs w:val="16"/>
                <w:lang w:val="en-US"/>
              </w:rPr>
              <w:t>33153077</w:t>
            </w:r>
          </w:p>
        </w:tc>
        <w:tc>
          <w:tcPr>
            <w:tcW w:w="366" w:type="dxa"/>
            <w:shd w:val="clear" w:color="auto" w:fill="auto"/>
          </w:tcPr>
          <w:p w14:paraId="474EFB37" w14:textId="77777777" w:rsidR="005C5318" w:rsidRPr="00E16672" w:rsidRDefault="005C5318" w:rsidP="005C5318">
            <w:pPr>
              <w:snapToGrid w:val="0"/>
              <w:rPr>
                <w:rFonts w:ascii="Times New Roman" w:hAnsi="Times New Roman"/>
                <w:lang w:val="en-US"/>
              </w:rPr>
            </w:pPr>
          </w:p>
        </w:tc>
      </w:tr>
      <w:tr w:rsidR="005C5318" w:rsidRPr="00E16672" w14:paraId="3E91AC16" w14:textId="77777777" w:rsidTr="005E418B">
        <w:tc>
          <w:tcPr>
            <w:tcW w:w="1740" w:type="dxa"/>
            <w:shd w:val="clear" w:color="auto" w:fill="auto"/>
          </w:tcPr>
          <w:p w14:paraId="266922C1" w14:textId="77777777" w:rsidR="005C5318" w:rsidRPr="00E16672" w:rsidRDefault="005C5318" w:rsidP="005C5318">
            <w:pPr>
              <w:pStyle w:val="4"/>
              <w:keepNext w:val="0"/>
              <w:tabs>
                <w:tab w:val="left" w:pos="57"/>
              </w:tabs>
              <w:snapToGrid w:val="0"/>
              <w:ind w:left="57" w:right="57" w:hanging="14"/>
              <w:jc w:val="left"/>
              <w:rPr>
                <w:rFonts w:ascii="Times New Roman" w:hAnsi="Times New Roman"/>
                <w:iCs/>
                <w:sz w:val="16"/>
                <w:szCs w:val="16"/>
              </w:rPr>
            </w:pPr>
            <w:r w:rsidRPr="00E16672">
              <w:rPr>
                <w:rFonts w:ascii="Times New Roman" w:hAnsi="Times New Roman"/>
                <w:iCs/>
                <w:sz w:val="16"/>
                <w:szCs w:val="16"/>
              </w:rPr>
              <w:t>Факс</w:t>
            </w:r>
            <w:r w:rsidRPr="00E16672">
              <w:rPr>
                <w:rFonts w:ascii="Times New Roman" w:hAnsi="Times New Roman"/>
                <w:iCs/>
                <w:sz w:val="16"/>
                <w:szCs w:val="16"/>
                <w:lang w:val="en-US"/>
              </w:rPr>
              <w:t xml:space="preserve"> </w:t>
            </w:r>
            <w:r w:rsidRPr="00E16672">
              <w:rPr>
                <w:rFonts w:ascii="Times New Roman" w:hAnsi="Times New Roman"/>
                <w:i/>
                <w:iCs/>
                <w:color w:val="000000"/>
                <w:sz w:val="16"/>
                <w:szCs w:val="16"/>
              </w:rPr>
              <w:t>(за наявності)</w:t>
            </w:r>
          </w:p>
        </w:tc>
        <w:tc>
          <w:tcPr>
            <w:tcW w:w="3522" w:type="dxa"/>
            <w:gridSpan w:val="3"/>
            <w:shd w:val="clear" w:color="auto" w:fill="auto"/>
            <w:vAlign w:val="center"/>
          </w:tcPr>
          <w:p w14:paraId="2A6707D4" w14:textId="77777777" w:rsidR="005C5318" w:rsidRPr="00E16672" w:rsidRDefault="005C5318" w:rsidP="005C5318">
            <w:pPr>
              <w:snapToGrid w:val="0"/>
              <w:ind w:right="57" w:firstLine="0"/>
              <w:jc w:val="left"/>
              <w:rPr>
                <w:rFonts w:ascii="Times New Roman" w:hAnsi="Times New Roman"/>
                <w:sz w:val="16"/>
                <w:szCs w:val="16"/>
                <w:lang w:val="en-US"/>
              </w:rPr>
            </w:pPr>
            <w:r w:rsidRPr="00E16672">
              <w:rPr>
                <w:rFonts w:ascii="Times New Roman" w:hAnsi="Times New Roman"/>
                <w:sz w:val="16"/>
                <w:szCs w:val="16"/>
                <w:lang w:val="en-US"/>
              </w:rPr>
              <w:t>3-8-</w:t>
            </w:r>
            <w:r w:rsidR="00622BEB">
              <w:rPr>
                <w:rFonts w:ascii="Times New Roman" w:hAnsi="Times New Roman"/>
                <w:sz w:val="16"/>
                <w:szCs w:val="16"/>
                <w:lang w:val="en-US"/>
              </w:rPr>
              <w:t>044 502 65 73</w:t>
            </w:r>
          </w:p>
        </w:tc>
        <w:tc>
          <w:tcPr>
            <w:tcW w:w="2000" w:type="dxa"/>
            <w:gridSpan w:val="3"/>
            <w:shd w:val="clear" w:color="auto" w:fill="auto"/>
            <w:vAlign w:val="center"/>
          </w:tcPr>
          <w:p w14:paraId="4DA40EF4" w14:textId="77777777" w:rsidR="005C5318" w:rsidRPr="00E16672" w:rsidRDefault="005C5318" w:rsidP="005C5318">
            <w:pPr>
              <w:pStyle w:val="4"/>
              <w:keepNext w:val="0"/>
              <w:tabs>
                <w:tab w:val="left" w:pos="57"/>
              </w:tabs>
              <w:snapToGrid w:val="0"/>
              <w:ind w:left="57" w:right="57" w:hanging="15"/>
              <w:jc w:val="left"/>
              <w:rPr>
                <w:rFonts w:ascii="Times New Roman" w:hAnsi="Times New Roman"/>
                <w:b w:val="0"/>
                <w:iCs/>
                <w:sz w:val="16"/>
                <w:szCs w:val="16"/>
                <w:lang w:val="en-US"/>
              </w:rPr>
            </w:pPr>
            <w:r w:rsidRPr="00E16672">
              <w:rPr>
                <w:rFonts w:ascii="Times New Roman" w:hAnsi="Times New Roman"/>
                <w:b w:val="0"/>
                <w:iCs/>
                <w:sz w:val="16"/>
                <w:szCs w:val="16"/>
                <w:lang w:val="en-US"/>
              </w:rPr>
              <w:t xml:space="preserve">Fax </w:t>
            </w:r>
            <w:r w:rsidRPr="00E16672">
              <w:rPr>
                <w:rFonts w:ascii="Times New Roman" w:hAnsi="Times New Roman"/>
                <w:b w:val="0"/>
                <w:i/>
                <w:iCs/>
                <w:color w:val="000000"/>
                <w:sz w:val="16"/>
                <w:szCs w:val="16"/>
              </w:rPr>
              <w:t>(</w:t>
            </w:r>
            <w:r w:rsidRPr="00E16672">
              <w:rPr>
                <w:rFonts w:ascii="Times New Roman" w:hAnsi="Times New Roman"/>
                <w:b w:val="0"/>
                <w:i/>
                <w:iCs/>
                <w:color w:val="000000"/>
                <w:sz w:val="16"/>
                <w:szCs w:val="16"/>
                <w:lang w:val="en-US"/>
              </w:rPr>
              <w:t>if any</w:t>
            </w:r>
            <w:r w:rsidRPr="00E16672">
              <w:rPr>
                <w:rFonts w:ascii="Times New Roman" w:hAnsi="Times New Roman"/>
                <w:b w:val="0"/>
                <w:i/>
                <w:iCs/>
                <w:color w:val="000000"/>
                <w:sz w:val="16"/>
                <w:szCs w:val="16"/>
              </w:rPr>
              <w:t>)</w:t>
            </w:r>
          </w:p>
        </w:tc>
        <w:tc>
          <w:tcPr>
            <w:tcW w:w="3562" w:type="dxa"/>
            <w:gridSpan w:val="4"/>
            <w:shd w:val="clear" w:color="auto" w:fill="auto"/>
            <w:vAlign w:val="center"/>
          </w:tcPr>
          <w:p w14:paraId="29DE96A9" w14:textId="77777777" w:rsidR="005C5318" w:rsidRPr="00E16672" w:rsidRDefault="005C5318" w:rsidP="005C5318">
            <w:pPr>
              <w:snapToGrid w:val="0"/>
              <w:ind w:right="57" w:firstLine="0"/>
              <w:jc w:val="left"/>
              <w:rPr>
                <w:rFonts w:ascii="Times New Roman" w:hAnsi="Times New Roman"/>
                <w:sz w:val="16"/>
                <w:szCs w:val="16"/>
                <w:lang w:val="en-US"/>
              </w:rPr>
            </w:pPr>
            <w:r w:rsidRPr="00E16672">
              <w:rPr>
                <w:rFonts w:ascii="Times New Roman" w:hAnsi="Times New Roman"/>
                <w:sz w:val="16"/>
                <w:szCs w:val="16"/>
                <w:lang w:val="en-US"/>
              </w:rPr>
              <w:t>3-8-</w:t>
            </w:r>
            <w:r w:rsidR="00622BEB">
              <w:rPr>
                <w:rFonts w:ascii="Times New Roman" w:hAnsi="Times New Roman"/>
                <w:sz w:val="16"/>
                <w:szCs w:val="16"/>
                <w:lang w:val="en-US"/>
              </w:rPr>
              <w:t>044 502 65 73</w:t>
            </w:r>
          </w:p>
        </w:tc>
        <w:tc>
          <w:tcPr>
            <w:tcW w:w="366" w:type="dxa"/>
            <w:shd w:val="clear" w:color="auto" w:fill="auto"/>
          </w:tcPr>
          <w:p w14:paraId="5B469A13" w14:textId="77777777" w:rsidR="005C5318" w:rsidRPr="00E16672" w:rsidRDefault="005C5318" w:rsidP="005C5318">
            <w:pPr>
              <w:snapToGrid w:val="0"/>
              <w:rPr>
                <w:rFonts w:ascii="Times New Roman" w:hAnsi="Times New Roman"/>
              </w:rPr>
            </w:pPr>
          </w:p>
        </w:tc>
      </w:tr>
      <w:tr w:rsidR="005C5318" w:rsidRPr="00E16672" w14:paraId="3DDA5E24" w14:textId="77777777" w:rsidTr="005E418B">
        <w:trPr>
          <w:trHeight w:val="87"/>
        </w:trPr>
        <w:tc>
          <w:tcPr>
            <w:tcW w:w="1740" w:type="dxa"/>
            <w:shd w:val="clear" w:color="auto" w:fill="auto"/>
          </w:tcPr>
          <w:p w14:paraId="75839205" w14:textId="77777777" w:rsidR="005C5318" w:rsidRPr="00E16672" w:rsidRDefault="005C5318" w:rsidP="005C5318">
            <w:pPr>
              <w:pStyle w:val="4"/>
              <w:keepNext w:val="0"/>
              <w:tabs>
                <w:tab w:val="left" w:pos="57"/>
              </w:tabs>
              <w:snapToGrid w:val="0"/>
              <w:ind w:left="57" w:right="57" w:hanging="14"/>
              <w:jc w:val="left"/>
              <w:rPr>
                <w:rFonts w:ascii="Times New Roman" w:hAnsi="Times New Roman"/>
                <w:iCs/>
                <w:sz w:val="16"/>
                <w:szCs w:val="16"/>
              </w:rPr>
            </w:pPr>
            <w:r w:rsidRPr="00E16672">
              <w:rPr>
                <w:rFonts w:ascii="Times New Roman" w:hAnsi="Times New Roman"/>
                <w:iCs/>
                <w:sz w:val="16"/>
                <w:szCs w:val="16"/>
              </w:rPr>
              <w:t>Телефон</w:t>
            </w:r>
          </w:p>
        </w:tc>
        <w:tc>
          <w:tcPr>
            <w:tcW w:w="3522" w:type="dxa"/>
            <w:gridSpan w:val="3"/>
            <w:shd w:val="clear" w:color="auto" w:fill="auto"/>
            <w:vAlign w:val="center"/>
          </w:tcPr>
          <w:p w14:paraId="5385B556" w14:textId="77777777" w:rsidR="005C5318" w:rsidRPr="00E16672" w:rsidRDefault="005C5318" w:rsidP="005C5318">
            <w:pPr>
              <w:snapToGrid w:val="0"/>
              <w:ind w:right="57" w:firstLine="0"/>
              <w:jc w:val="left"/>
              <w:rPr>
                <w:rFonts w:ascii="Times New Roman" w:hAnsi="Times New Roman"/>
                <w:sz w:val="16"/>
                <w:szCs w:val="16"/>
                <w:lang w:val="en-US"/>
              </w:rPr>
            </w:pPr>
            <w:r w:rsidRPr="00E16672">
              <w:rPr>
                <w:rFonts w:ascii="Times New Roman" w:hAnsi="Times New Roman"/>
                <w:sz w:val="16"/>
                <w:szCs w:val="16"/>
                <w:lang w:val="en-US"/>
              </w:rPr>
              <w:t>3-8-</w:t>
            </w:r>
            <w:r w:rsidR="00622BEB">
              <w:rPr>
                <w:rFonts w:ascii="Times New Roman" w:hAnsi="Times New Roman"/>
                <w:sz w:val="16"/>
                <w:szCs w:val="16"/>
                <w:lang w:val="en-US"/>
              </w:rPr>
              <w:t>044 502 65 73</w:t>
            </w:r>
          </w:p>
        </w:tc>
        <w:tc>
          <w:tcPr>
            <w:tcW w:w="2000" w:type="dxa"/>
            <w:gridSpan w:val="3"/>
            <w:shd w:val="clear" w:color="auto" w:fill="auto"/>
            <w:vAlign w:val="center"/>
          </w:tcPr>
          <w:p w14:paraId="4B8A9742" w14:textId="77777777" w:rsidR="005C5318" w:rsidRPr="00E16672" w:rsidRDefault="005C5318" w:rsidP="005C5318">
            <w:pPr>
              <w:pStyle w:val="4"/>
              <w:keepNext w:val="0"/>
              <w:tabs>
                <w:tab w:val="left" w:pos="57"/>
              </w:tabs>
              <w:snapToGrid w:val="0"/>
              <w:ind w:left="57" w:right="57" w:hanging="15"/>
              <w:jc w:val="left"/>
              <w:rPr>
                <w:rFonts w:ascii="Times New Roman" w:hAnsi="Times New Roman"/>
                <w:b w:val="0"/>
                <w:iCs/>
                <w:sz w:val="16"/>
                <w:szCs w:val="16"/>
                <w:lang w:val="en-US"/>
              </w:rPr>
            </w:pPr>
            <w:r w:rsidRPr="00E16672">
              <w:rPr>
                <w:rFonts w:ascii="Times New Roman" w:hAnsi="Times New Roman"/>
                <w:b w:val="0"/>
                <w:iCs/>
                <w:sz w:val="16"/>
                <w:szCs w:val="16"/>
                <w:lang w:val="en-US"/>
              </w:rPr>
              <w:t>Telephone</w:t>
            </w:r>
          </w:p>
        </w:tc>
        <w:tc>
          <w:tcPr>
            <w:tcW w:w="3562" w:type="dxa"/>
            <w:gridSpan w:val="4"/>
            <w:shd w:val="clear" w:color="auto" w:fill="auto"/>
            <w:vAlign w:val="center"/>
          </w:tcPr>
          <w:p w14:paraId="1ED991D9" w14:textId="77777777" w:rsidR="005C5318" w:rsidRPr="00E16672" w:rsidRDefault="005C5318" w:rsidP="005C5318">
            <w:pPr>
              <w:snapToGrid w:val="0"/>
              <w:ind w:right="57" w:firstLine="0"/>
              <w:jc w:val="left"/>
              <w:rPr>
                <w:rFonts w:ascii="Times New Roman" w:hAnsi="Times New Roman"/>
                <w:sz w:val="16"/>
                <w:szCs w:val="16"/>
                <w:lang w:val="en-US"/>
              </w:rPr>
            </w:pPr>
            <w:r w:rsidRPr="00E16672">
              <w:rPr>
                <w:rFonts w:ascii="Times New Roman" w:hAnsi="Times New Roman"/>
                <w:sz w:val="16"/>
                <w:szCs w:val="16"/>
                <w:lang w:val="en-US"/>
              </w:rPr>
              <w:t>3-8-</w:t>
            </w:r>
            <w:r w:rsidR="00622BEB">
              <w:rPr>
                <w:rFonts w:ascii="Times New Roman" w:hAnsi="Times New Roman"/>
                <w:sz w:val="16"/>
                <w:szCs w:val="16"/>
                <w:lang w:val="en-US"/>
              </w:rPr>
              <w:t>044 502 65 73</w:t>
            </w:r>
          </w:p>
        </w:tc>
        <w:tc>
          <w:tcPr>
            <w:tcW w:w="366" w:type="dxa"/>
            <w:shd w:val="clear" w:color="auto" w:fill="auto"/>
          </w:tcPr>
          <w:p w14:paraId="1BBD07A1" w14:textId="77777777" w:rsidR="005C5318" w:rsidRPr="00E16672" w:rsidRDefault="005C5318" w:rsidP="005C5318">
            <w:pPr>
              <w:snapToGrid w:val="0"/>
              <w:rPr>
                <w:rFonts w:ascii="Times New Roman" w:hAnsi="Times New Roman"/>
              </w:rPr>
            </w:pPr>
          </w:p>
        </w:tc>
      </w:tr>
      <w:tr w:rsidR="005C5318" w:rsidRPr="00E16672" w14:paraId="0A565D14" w14:textId="77777777" w:rsidTr="005E418B">
        <w:tc>
          <w:tcPr>
            <w:tcW w:w="1740" w:type="dxa"/>
            <w:shd w:val="clear" w:color="auto" w:fill="auto"/>
          </w:tcPr>
          <w:p w14:paraId="7D5A5CD2" w14:textId="77777777" w:rsidR="005C5318" w:rsidRPr="00E16672" w:rsidRDefault="005C5318" w:rsidP="005C5318">
            <w:pPr>
              <w:pStyle w:val="4"/>
              <w:keepNext w:val="0"/>
              <w:tabs>
                <w:tab w:val="left" w:pos="57"/>
              </w:tabs>
              <w:snapToGrid w:val="0"/>
              <w:ind w:left="57" w:right="57" w:hanging="14"/>
              <w:jc w:val="left"/>
              <w:rPr>
                <w:rFonts w:ascii="Times New Roman" w:hAnsi="Times New Roman"/>
                <w:iCs/>
                <w:sz w:val="16"/>
                <w:szCs w:val="16"/>
                <w:lang w:val="en-US"/>
              </w:rPr>
            </w:pPr>
            <w:r w:rsidRPr="00E16672">
              <w:rPr>
                <w:rFonts w:ascii="Times New Roman" w:hAnsi="Times New Roman"/>
                <w:iCs/>
                <w:sz w:val="16"/>
                <w:szCs w:val="16"/>
                <w:lang w:val="en-US"/>
              </w:rPr>
              <w:t>E-mail</w:t>
            </w:r>
          </w:p>
        </w:tc>
        <w:tc>
          <w:tcPr>
            <w:tcW w:w="3522" w:type="dxa"/>
            <w:gridSpan w:val="3"/>
            <w:shd w:val="clear" w:color="auto" w:fill="auto"/>
            <w:vAlign w:val="center"/>
          </w:tcPr>
          <w:p w14:paraId="0EA7EB03" w14:textId="77777777" w:rsidR="005C5318" w:rsidRPr="00E16672" w:rsidRDefault="00622BEB" w:rsidP="005C5318">
            <w:pPr>
              <w:snapToGrid w:val="0"/>
              <w:ind w:right="57" w:firstLine="0"/>
              <w:jc w:val="left"/>
              <w:rPr>
                <w:rFonts w:ascii="Times New Roman" w:hAnsi="Times New Roman"/>
                <w:sz w:val="16"/>
                <w:szCs w:val="16"/>
                <w:lang w:val="en-US"/>
              </w:rPr>
            </w:pPr>
            <w:r>
              <w:rPr>
                <w:rFonts w:ascii="Times New Roman" w:hAnsi="Times New Roman"/>
                <w:sz w:val="16"/>
                <w:szCs w:val="16"/>
                <w:lang w:val="en-US"/>
              </w:rPr>
              <w:t>custody@comex.com.ua</w:t>
            </w:r>
          </w:p>
        </w:tc>
        <w:tc>
          <w:tcPr>
            <w:tcW w:w="2000" w:type="dxa"/>
            <w:gridSpan w:val="3"/>
            <w:shd w:val="clear" w:color="auto" w:fill="auto"/>
            <w:vAlign w:val="center"/>
          </w:tcPr>
          <w:p w14:paraId="5AEF9C58" w14:textId="77777777" w:rsidR="005C5318" w:rsidRPr="00E16672" w:rsidRDefault="005C5318" w:rsidP="005C5318">
            <w:pPr>
              <w:pStyle w:val="4"/>
              <w:keepNext w:val="0"/>
              <w:tabs>
                <w:tab w:val="left" w:pos="57"/>
              </w:tabs>
              <w:snapToGrid w:val="0"/>
              <w:ind w:left="57" w:right="57" w:hanging="15"/>
              <w:jc w:val="left"/>
              <w:rPr>
                <w:rFonts w:ascii="Times New Roman" w:hAnsi="Times New Roman"/>
                <w:b w:val="0"/>
                <w:iCs/>
                <w:sz w:val="16"/>
                <w:szCs w:val="16"/>
                <w:lang w:val="en-US"/>
              </w:rPr>
            </w:pPr>
            <w:r w:rsidRPr="00E16672">
              <w:rPr>
                <w:rFonts w:ascii="Times New Roman" w:hAnsi="Times New Roman"/>
                <w:b w:val="0"/>
                <w:iCs/>
                <w:sz w:val="16"/>
                <w:szCs w:val="16"/>
                <w:lang w:val="en-US"/>
              </w:rPr>
              <w:t>E-mail</w:t>
            </w:r>
          </w:p>
        </w:tc>
        <w:tc>
          <w:tcPr>
            <w:tcW w:w="3562" w:type="dxa"/>
            <w:gridSpan w:val="4"/>
            <w:shd w:val="clear" w:color="auto" w:fill="auto"/>
            <w:vAlign w:val="center"/>
          </w:tcPr>
          <w:p w14:paraId="354DB609" w14:textId="77777777" w:rsidR="005C5318" w:rsidRPr="00E16672" w:rsidRDefault="00622BEB" w:rsidP="005C5318">
            <w:pPr>
              <w:snapToGrid w:val="0"/>
              <w:ind w:right="57" w:firstLine="0"/>
              <w:jc w:val="left"/>
              <w:rPr>
                <w:rFonts w:ascii="Times New Roman" w:hAnsi="Times New Roman"/>
                <w:sz w:val="16"/>
                <w:szCs w:val="16"/>
                <w:lang w:val="en-US"/>
              </w:rPr>
            </w:pPr>
            <w:r>
              <w:rPr>
                <w:rFonts w:ascii="Times New Roman" w:hAnsi="Times New Roman"/>
                <w:sz w:val="16"/>
                <w:szCs w:val="16"/>
                <w:lang w:val="en-US"/>
              </w:rPr>
              <w:t>custody@comex.com.ua</w:t>
            </w:r>
            <w:r w:rsidR="005C5318" w:rsidRPr="00E16672">
              <w:rPr>
                <w:rFonts w:ascii="Times New Roman" w:hAnsi="Times New Roman"/>
                <w:sz w:val="16"/>
                <w:szCs w:val="16"/>
                <w:lang w:val="en-US"/>
              </w:rPr>
              <w:t xml:space="preserve"> </w:t>
            </w:r>
          </w:p>
        </w:tc>
        <w:tc>
          <w:tcPr>
            <w:tcW w:w="366" w:type="dxa"/>
            <w:shd w:val="clear" w:color="auto" w:fill="auto"/>
          </w:tcPr>
          <w:p w14:paraId="014D377D" w14:textId="77777777" w:rsidR="005C5318" w:rsidRPr="00E16672" w:rsidRDefault="005C5318" w:rsidP="005C5318">
            <w:pPr>
              <w:snapToGrid w:val="0"/>
              <w:rPr>
                <w:rFonts w:ascii="Times New Roman" w:hAnsi="Times New Roman"/>
              </w:rPr>
            </w:pPr>
          </w:p>
        </w:tc>
      </w:tr>
      <w:tr w:rsidR="005C5318" w:rsidRPr="00E16672" w14:paraId="5E5C163E" w14:textId="77777777" w:rsidTr="005E418B">
        <w:tc>
          <w:tcPr>
            <w:tcW w:w="5262" w:type="dxa"/>
            <w:gridSpan w:val="4"/>
            <w:shd w:val="clear" w:color="auto" w:fill="auto"/>
          </w:tcPr>
          <w:p w14:paraId="2E3D7141" w14:textId="77777777" w:rsidR="005C5318" w:rsidRPr="00E16672" w:rsidRDefault="005C5318" w:rsidP="005C5318">
            <w:pPr>
              <w:pStyle w:val="4"/>
              <w:keepNext w:val="0"/>
              <w:tabs>
                <w:tab w:val="left" w:pos="57"/>
              </w:tabs>
              <w:snapToGrid w:val="0"/>
              <w:ind w:left="57" w:right="57" w:hanging="14"/>
              <w:rPr>
                <w:rFonts w:ascii="Times New Roman" w:hAnsi="Times New Roman"/>
                <w:bCs/>
                <w:iCs/>
                <w:sz w:val="16"/>
                <w:szCs w:val="16"/>
              </w:rPr>
            </w:pPr>
          </w:p>
          <w:p w14:paraId="062E974E" w14:textId="77777777" w:rsidR="005C5318" w:rsidRPr="00E16672" w:rsidRDefault="005C5318" w:rsidP="005C5318">
            <w:pPr>
              <w:pStyle w:val="4"/>
              <w:tabs>
                <w:tab w:val="left" w:pos="57"/>
              </w:tabs>
              <w:snapToGrid w:val="0"/>
              <w:ind w:left="57" w:right="57" w:hanging="14"/>
              <w:rPr>
                <w:rFonts w:ascii="Times New Roman" w:hAnsi="Times New Roman"/>
                <w:bCs/>
                <w:iCs/>
                <w:sz w:val="16"/>
                <w:szCs w:val="16"/>
              </w:rPr>
            </w:pPr>
            <w:r w:rsidRPr="00E16672">
              <w:rPr>
                <w:rFonts w:ascii="Times New Roman" w:hAnsi="Times New Roman"/>
                <w:bCs/>
                <w:iCs/>
                <w:sz w:val="16"/>
                <w:szCs w:val="16"/>
              </w:rPr>
              <w:t xml:space="preserve">       Банківські реквізити</w:t>
            </w:r>
          </w:p>
        </w:tc>
        <w:tc>
          <w:tcPr>
            <w:tcW w:w="5562" w:type="dxa"/>
            <w:gridSpan w:val="7"/>
            <w:shd w:val="clear" w:color="auto" w:fill="auto"/>
            <w:vAlign w:val="bottom"/>
          </w:tcPr>
          <w:p w14:paraId="446F4E82" w14:textId="77777777" w:rsidR="005C5318" w:rsidRPr="00E16672" w:rsidRDefault="005C5318" w:rsidP="005C5318">
            <w:pPr>
              <w:pStyle w:val="4"/>
              <w:keepNext w:val="0"/>
              <w:tabs>
                <w:tab w:val="left" w:pos="57"/>
              </w:tabs>
              <w:snapToGrid w:val="0"/>
              <w:ind w:left="57" w:right="57" w:hanging="15"/>
              <w:rPr>
                <w:rFonts w:ascii="Times New Roman" w:hAnsi="Times New Roman"/>
                <w:bCs/>
                <w:iCs/>
                <w:sz w:val="16"/>
                <w:szCs w:val="16"/>
                <w:lang w:val="en-US"/>
              </w:rPr>
            </w:pPr>
            <w:r w:rsidRPr="00E16672">
              <w:rPr>
                <w:rFonts w:ascii="Times New Roman" w:hAnsi="Times New Roman"/>
                <w:bCs/>
                <w:iCs/>
                <w:sz w:val="16"/>
                <w:szCs w:val="16"/>
              </w:rPr>
              <w:t xml:space="preserve">        </w:t>
            </w:r>
            <w:r w:rsidRPr="00E16672">
              <w:rPr>
                <w:rFonts w:ascii="Times New Roman" w:hAnsi="Times New Roman"/>
                <w:bCs/>
                <w:iCs/>
                <w:sz w:val="16"/>
                <w:szCs w:val="16"/>
                <w:lang w:val="en-US"/>
              </w:rPr>
              <w:t>Bank Details</w:t>
            </w:r>
          </w:p>
        </w:tc>
        <w:tc>
          <w:tcPr>
            <w:tcW w:w="366" w:type="dxa"/>
            <w:shd w:val="clear" w:color="auto" w:fill="auto"/>
            <w:vAlign w:val="bottom"/>
          </w:tcPr>
          <w:p w14:paraId="7D23B823" w14:textId="77777777" w:rsidR="005C5318" w:rsidRPr="00E16672" w:rsidRDefault="005C5318" w:rsidP="005C5318">
            <w:pPr>
              <w:snapToGrid w:val="0"/>
              <w:jc w:val="center"/>
              <w:rPr>
                <w:rFonts w:ascii="Times New Roman" w:hAnsi="Times New Roman"/>
              </w:rPr>
            </w:pPr>
          </w:p>
        </w:tc>
      </w:tr>
      <w:tr w:rsidR="00E2178F" w:rsidRPr="00E16672" w14:paraId="6DACFFAF" w14:textId="77777777" w:rsidTr="005E418B">
        <w:trPr>
          <w:trHeight w:val="213"/>
        </w:trPr>
        <w:tc>
          <w:tcPr>
            <w:tcW w:w="1740" w:type="dxa"/>
            <w:vMerge w:val="restart"/>
            <w:shd w:val="clear" w:color="auto" w:fill="auto"/>
            <w:vAlign w:val="center"/>
          </w:tcPr>
          <w:p w14:paraId="0DCE285C" w14:textId="77777777" w:rsidR="00E2178F" w:rsidRPr="00E16672" w:rsidRDefault="00E2178F" w:rsidP="00186785">
            <w:pPr>
              <w:pStyle w:val="4"/>
              <w:snapToGrid w:val="0"/>
              <w:ind w:left="57" w:right="57" w:firstLine="0"/>
              <w:jc w:val="left"/>
              <w:rPr>
                <w:rFonts w:ascii="Times New Roman" w:hAnsi="Times New Roman"/>
                <w:sz w:val="16"/>
              </w:rPr>
            </w:pPr>
            <w:r w:rsidRPr="00E16672">
              <w:rPr>
                <w:rFonts w:ascii="Times New Roman" w:hAnsi="Times New Roman"/>
                <w:sz w:val="16"/>
              </w:rPr>
              <w:t>Одержувач</w:t>
            </w:r>
          </w:p>
          <w:p w14:paraId="38EF111D" w14:textId="77777777" w:rsidR="00E2178F" w:rsidRPr="00E16672" w:rsidRDefault="00E2178F" w:rsidP="00186785">
            <w:pPr>
              <w:pStyle w:val="4"/>
              <w:snapToGrid w:val="0"/>
              <w:ind w:left="57" w:right="57" w:firstLine="0"/>
              <w:jc w:val="left"/>
              <w:rPr>
                <w:rFonts w:ascii="Times New Roman" w:hAnsi="Times New Roman"/>
                <w:sz w:val="16"/>
              </w:rPr>
            </w:pPr>
            <w:r w:rsidRPr="00E16672">
              <w:rPr>
                <w:rFonts w:ascii="Times New Roman" w:hAnsi="Times New Roman"/>
                <w:sz w:val="16"/>
              </w:rPr>
              <w:t>Рахунок №</w:t>
            </w:r>
          </w:p>
        </w:tc>
        <w:tc>
          <w:tcPr>
            <w:tcW w:w="3623" w:type="dxa"/>
            <w:gridSpan w:val="4"/>
            <w:shd w:val="clear" w:color="auto" w:fill="auto"/>
            <w:vAlign w:val="center"/>
          </w:tcPr>
          <w:p w14:paraId="46704825" w14:textId="77777777" w:rsidR="00E2178F" w:rsidRPr="00E16672" w:rsidRDefault="00E2178F" w:rsidP="00022F5F">
            <w:pPr>
              <w:pStyle w:val="af7"/>
              <w:snapToGrid w:val="0"/>
              <w:ind w:left="57" w:right="57" w:firstLine="0"/>
              <w:jc w:val="left"/>
              <w:rPr>
                <w:rFonts w:ascii="Times New Roman" w:hAnsi="Times New Roman"/>
                <w:sz w:val="16"/>
                <w:szCs w:val="16"/>
                <w:lang w:val="ru-RU"/>
              </w:rPr>
            </w:pPr>
            <w:r w:rsidRPr="00E16672">
              <w:rPr>
                <w:rFonts w:ascii="Times New Roman" w:hAnsi="Times New Roman"/>
                <w:color w:val="000000"/>
                <w:sz w:val="16"/>
                <w:szCs w:val="16"/>
                <w:lang w:val="en-GB"/>
              </w:rPr>
              <w:t xml:space="preserve">ТОВ </w:t>
            </w:r>
            <w:r w:rsidR="00022F5F">
              <w:rPr>
                <w:rFonts w:ascii="Times New Roman" w:hAnsi="Times New Roman"/>
                <w:color w:val="000000"/>
                <w:sz w:val="16"/>
                <w:szCs w:val="16"/>
                <w:lang w:val="en-GB"/>
              </w:rPr>
              <w:t>"</w:t>
            </w:r>
            <w:r w:rsidRPr="00E16672">
              <w:rPr>
                <w:rFonts w:ascii="Times New Roman" w:hAnsi="Times New Roman"/>
                <w:color w:val="000000"/>
                <w:sz w:val="16"/>
                <w:szCs w:val="16"/>
                <w:lang w:val="en-GB"/>
              </w:rPr>
              <w:t>КОМЕКС ЦІННІ ПАПЕРИ</w:t>
            </w:r>
            <w:r w:rsidR="00022F5F">
              <w:rPr>
                <w:rFonts w:ascii="Times New Roman" w:hAnsi="Times New Roman"/>
                <w:color w:val="000000"/>
                <w:sz w:val="16"/>
                <w:szCs w:val="16"/>
                <w:lang w:val="en-GB"/>
              </w:rPr>
              <w:t>"</w:t>
            </w:r>
          </w:p>
        </w:tc>
        <w:tc>
          <w:tcPr>
            <w:tcW w:w="1899" w:type="dxa"/>
            <w:gridSpan w:val="2"/>
            <w:vMerge w:val="restart"/>
            <w:shd w:val="clear" w:color="auto" w:fill="auto"/>
            <w:vAlign w:val="center"/>
          </w:tcPr>
          <w:p w14:paraId="5C8C9FA3" w14:textId="77777777" w:rsidR="00E2178F" w:rsidRPr="00E16672" w:rsidRDefault="00E2178F" w:rsidP="00186785">
            <w:pPr>
              <w:pStyle w:val="4"/>
              <w:tabs>
                <w:tab w:val="num" w:pos="58"/>
                <w:tab w:val="left" w:pos="210"/>
              </w:tabs>
              <w:snapToGrid w:val="0"/>
              <w:ind w:left="57" w:right="57" w:firstLine="0"/>
              <w:jc w:val="left"/>
              <w:rPr>
                <w:rFonts w:ascii="Times New Roman" w:hAnsi="Times New Roman"/>
                <w:sz w:val="16"/>
                <w:lang w:val="en-GB"/>
              </w:rPr>
            </w:pPr>
            <w:r w:rsidRPr="00E16672">
              <w:rPr>
                <w:rFonts w:ascii="Times New Roman" w:hAnsi="Times New Roman"/>
                <w:sz w:val="16"/>
                <w:lang w:val="en-GB"/>
              </w:rPr>
              <w:t>Beneficiary</w:t>
            </w:r>
          </w:p>
          <w:p w14:paraId="19D51525" w14:textId="77777777" w:rsidR="00E2178F" w:rsidRPr="00E16672" w:rsidRDefault="00E2178F" w:rsidP="00186785">
            <w:pPr>
              <w:pStyle w:val="4"/>
              <w:tabs>
                <w:tab w:val="num" w:pos="58"/>
                <w:tab w:val="left" w:pos="210"/>
              </w:tabs>
              <w:snapToGrid w:val="0"/>
              <w:ind w:left="57" w:right="57" w:firstLine="0"/>
              <w:jc w:val="left"/>
              <w:rPr>
                <w:rFonts w:ascii="Times New Roman" w:hAnsi="Times New Roman"/>
                <w:sz w:val="16"/>
                <w:lang w:val="en-GB"/>
              </w:rPr>
            </w:pPr>
            <w:r w:rsidRPr="00E16672">
              <w:rPr>
                <w:rFonts w:ascii="Times New Roman" w:hAnsi="Times New Roman"/>
                <w:color w:val="000000" w:themeColor="text1"/>
                <w:sz w:val="16"/>
                <w:lang w:val="en-GB"/>
              </w:rPr>
              <w:t>Account No</w:t>
            </w:r>
          </w:p>
        </w:tc>
        <w:tc>
          <w:tcPr>
            <w:tcW w:w="3928" w:type="dxa"/>
            <w:gridSpan w:val="5"/>
            <w:shd w:val="clear" w:color="auto" w:fill="auto"/>
            <w:vAlign w:val="center"/>
          </w:tcPr>
          <w:p w14:paraId="1E98F99F" w14:textId="77777777" w:rsidR="00E2178F" w:rsidRPr="00E16672" w:rsidRDefault="00E2178F" w:rsidP="00186785">
            <w:pPr>
              <w:pStyle w:val="af7"/>
              <w:snapToGrid w:val="0"/>
              <w:ind w:right="57" w:firstLine="0"/>
              <w:jc w:val="left"/>
              <w:rPr>
                <w:rFonts w:ascii="Times New Roman" w:hAnsi="Times New Roman"/>
                <w:sz w:val="16"/>
                <w:szCs w:val="16"/>
                <w:lang w:val="en-GB"/>
              </w:rPr>
            </w:pPr>
            <w:r w:rsidRPr="003048F7">
              <w:rPr>
                <w:rFonts w:ascii="Times New Roman" w:hAnsi="Times New Roman"/>
                <w:caps/>
                <w:sz w:val="16"/>
                <w:szCs w:val="16"/>
                <w:lang w:val="en-US"/>
              </w:rPr>
              <w:t>COMEX Securities Limited</w:t>
            </w:r>
          </w:p>
        </w:tc>
      </w:tr>
      <w:tr w:rsidR="00E2178F" w:rsidRPr="00E16672" w14:paraId="60944B3F" w14:textId="77777777" w:rsidTr="005E418B">
        <w:trPr>
          <w:trHeight w:val="213"/>
        </w:trPr>
        <w:tc>
          <w:tcPr>
            <w:tcW w:w="1740" w:type="dxa"/>
            <w:vMerge/>
            <w:shd w:val="clear" w:color="auto" w:fill="auto"/>
            <w:vAlign w:val="center"/>
          </w:tcPr>
          <w:p w14:paraId="20D9BBE3" w14:textId="77777777" w:rsidR="00E2178F" w:rsidRPr="00E16672" w:rsidRDefault="00E2178F" w:rsidP="00186785">
            <w:pPr>
              <w:pStyle w:val="4"/>
              <w:snapToGrid w:val="0"/>
              <w:ind w:left="57" w:right="57" w:firstLine="0"/>
              <w:jc w:val="left"/>
              <w:rPr>
                <w:rFonts w:ascii="Times New Roman" w:hAnsi="Times New Roman"/>
                <w:sz w:val="16"/>
              </w:rPr>
            </w:pPr>
          </w:p>
        </w:tc>
        <w:tc>
          <w:tcPr>
            <w:tcW w:w="3623" w:type="dxa"/>
            <w:gridSpan w:val="4"/>
            <w:shd w:val="clear" w:color="auto" w:fill="auto"/>
            <w:vAlign w:val="center"/>
          </w:tcPr>
          <w:p w14:paraId="5C09A8BD" w14:textId="77777777" w:rsidR="00E2178F" w:rsidRPr="00E16672" w:rsidRDefault="00E2178F" w:rsidP="00186785">
            <w:pPr>
              <w:snapToGrid w:val="0"/>
              <w:ind w:right="57" w:firstLine="0"/>
              <w:jc w:val="left"/>
              <w:rPr>
                <w:rFonts w:ascii="Times New Roman" w:hAnsi="Times New Roman"/>
                <w:color w:val="000000" w:themeColor="text1"/>
                <w:sz w:val="16"/>
                <w:szCs w:val="16"/>
              </w:rPr>
            </w:pPr>
            <w:r>
              <w:rPr>
                <w:rFonts w:ascii="Times New Roman" w:hAnsi="Times New Roman"/>
                <w:color w:val="000000" w:themeColor="text1"/>
                <w:sz w:val="16"/>
                <w:szCs w:val="16"/>
                <w:lang w:val="uk-UA"/>
              </w:rPr>
              <w:t>UA743281680000000026503815351</w:t>
            </w:r>
            <w:r w:rsidRPr="00E16672">
              <w:rPr>
                <w:rFonts w:ascii="Times New Roman" w:hAnsi="Times New Roman"/>
                <w:color w:val="000000" w:themeColor="text1"/>
                <w:sz w:val="16"/>
                <w:szCs w:val="16"/>
                <w:lang w:val="uk-UA"/>
              </w:rPr>
              <w:t xml:space="preserve">          </w:t>
            </w:r>
          </w:p>
        </w:tc>
        <w:tc>
          <w:tcPr>
            <w:tcW w:w="1899" w:type="dxa"/>
            <w:gridSpan w:val="2"/>
            <w:vMerge/>
            <w:shd w:val="clear" w:color="auto" w:fill="auto"/>
            <w:vAlign w:val="center"/>
          </w:tcPr>
          <w:p w14:paraId="799B3A1E" w14:textId="77777777" w:rsidR="00E2178F" w:rsidRPr="00E16672" w:rsidRDefault="00E2178F" w:rsidP="00186785">
            <w:pPr>
              <w:pStyle w:val="4"/>
              <w:tabs>
                <w:tab w:val="num" w:pos="58"/>
                <w:tab w:val="left" w:pos="210"/>
              </w:tabs>
              <w:snapToGrid w:val="0"/>
              <w:ind w:left="57" w:right="57" w:firstLine="0"/>
              <w:jc w:val="left"/>
              <w:rPr>
                <w:rFonts w:ascii="Times New Roman" w:hAnsi="Times New Roman"/>
                <w:color w:val="000000" w:themeColor="text1"/>
                <w:sz w:val="16"/>
                <w:lang w:val="en-GB"/>
              </w:rPr>
            </w:pPr>
          </w:p>
        </w:tc>
        <w:tc>
          <w:tcPr>
            <w:tcW w:w="3928" w:type="dxa"/>
            <w:gridSpan w:val="5"/>
            <w:shd w:val="clear" w:color="auto" w:fill="auto"/>
            <w:vAlign w:val="center"/>
          </w:tcPr>
          <w:p w14:paraId="53117A79" w14:textId="77777777" w:rsidR="00E2178F" w:rsidRPr="00E16672" w:rsidRDefault="00E2178F" w:rsidP="00186785">
            <w:pPr>
              <w:pStyle w:val="af7"/>
              <w:snapToGrid w:val="0"/>
              <w:ind w:right="57" w:firstLine="0"/>
              <w:jc w:val="left"/>
              <w:rPr>
                <w:rFonts w:ascii="Times New Roman" w:hAnsi="Times New Roman"/>
                <w:color w:val="000000" w:themeColor="text1"/>
                <w:sz w:val="16"/>
                <w:szCs w:val="16"/>
                <w:lang w:val="en-GB"/>
              </w:rPr>
            </w:pPr>
            <w:r>
              <w:rPr>
                <w:rFonts w:ascii="Times New Roman" w:hAnsi="Times New Roman"/>
                <w:color w:val="000000" w:themeColor="text1"/>
                <w:sz w:val="16"/>
                <w:szCs w:val="16"/>
              </w:rPr>
              <w:t>UA743281680000000026503815351</w:t>
            </w:r>
            <w:r w:rsidRPr="00E16672">
              <w:rPr>
                <w:rFonts w:ascii="Times New Roman" w:hAnsi="Times New Roman"/>
                <w:color w:val="000000" w:themeColor="text1"/>
                <w:sz w:val="16"/>
                <w:szCs w:val="16"/>
              </w:rPr>
              <w:t xml:space="preserve"> </w:t>
            </w:r>
          </w:p>
        </w:tc>
      </w:tr>
      <w:tr w:rsidR="00E2178F" w:rsidRPr="00E16672" w14:paraId="0C624A41" w14:textId="77777777" w:rsidTr="005E418B">
        <w:trPr>
          <w:trHeight w:val="1104"/>
        </w:trPr>
        <w:tc>
          <w:tcPr>
            <w:tcW w:w="1740" w:type="dxa"/>
            <w:vMerge/>
            <w:shd w:val="clear" w:color="auto" w:fill="auto"/>
            <w:vAlign w:val="center"/>
          </w:tcPr>
          <w:p w14:paraId="3417A12E" w14:textId="77777777" w:rsidR="00E2178F" w:rsidRPr="00E16672" w:rsidRDefault="00E2178F" w:rsidP="00186785">
            <w:pPr>
              <w:pStyle w:val="4"/>
              <w:tabs>
                <w:tab w:val="num" w:pos="864"/>
              </w:tabs>
              <w:snapToGrid w:val="0"/>
              <w:ind w:left="57" w:right="57" w:firstLine="0"/>
              <w:jc w:val="left"/>
              <w:rPr>
                <w:rFonts w:ascii="Times New Roman" w:hAnsi="Times New Roman"/>
                <w:sz w:val="16"/>
                <w:lang w:val="en-US"/>
              </w:rPr>
            </w:pPr>
          </w:p>
        </w:tc>
        <w:tc>
          <w:tcPr>
            <w:tcW w:w="3623" w:type="dxa"/>
            <w:gridSpan w:val="4"/>
            <w:shd w:val="clear" w:color="auto" w:fill="auto"/>
          </w:tcPr>
          <w:p w14:paraId="098F2DC4" w14:textId="77777777" w:rsidR="00E2178F" w:rsidRPr="003048F7" w:rsidRDefault="00E2178F" w:rsidP="00186785">
            <w:pPr>
              <w:snapToGrid w:val="0"/>
              <w:ind w:left="57" w:right="57" w:hanging="63"/>
              <w:jc w:val="left"/>
              <w:rPr>
                <w:rFonts w:ascii="Times New Roman" w:hAnsi="Times New Roman"/>
                <w:sz w:val="16"/>
                <w:lang w:val="en-US"/>
              </w:rPr>
            </w:pPr>
            <w:r w:rsidRPr="003048F7">
              <w:rPr>
                <w:rFonts w:ascii="Times New Roman" w:hAnsi="Times New Roman"/>
                <w:sz w:val="16"/>
                <w:lang w:val="en-US"/>
              </w:rPr>
              <w:t>UAH:</w:t>
            </w:r>
          </w:p>
          <w:p w14:paraId="54DB79B1" w14:textId="77777777" w:rsidR="00E2178F" w:rsidRPr="003048F7" w:rsidRDefault="00E2178F" w:rsidP="00186785">
            <w:pPr>
              <w:snapToGrid w:val="0"/>
              <w:ind w:left="57" w:right="57" w:hanging="63"/>
              <w:jc w:val="left"/>
              <w:rPr>
                <w:rFonts w:ascii="Times New Roman" w:hAnsi="Times New Roman"/>
                <w:sz w:val="16"/>
                <w:lang w:val="uk-UA"/>
              </w:rPr>
            </w:pPr>
            <w:r w:rsidRPr="003048F7">
              <w:rPr>
                <w:rFonts w:ascii="Times New Roman" w:hAnsi="Times New Roman"/>
                <w:sz w:val="16"/>
                <w:lang w:val="uk-UA"/>
              </w:rPr>
              <w:t>UA743281680000000026503815351</w:t>
            </w:r>
          </w:p>
          <w:p w14:paraId="02D84BB4" w14:textId="77777777" w:rsidR="00E2178F" w:rsidRPr="003048F7" w:rsidRDefault="00E2178F" w:rsidP="00186785">
            <w:pPr>
              <w:snapToGrid w:val="0"/>
              <w:ind w:left="57" w:right="57" w:hanging="63"/>
              <w:jc w:val="left"/>
              <w:rPr>
                <w:rFonts w:ascii="Times New Roman" w:hAnsi="Times New Roman"/>
                <w:sz w:val="16"/>
                <w:lang w:val="uk-UA"/>
              </w:rPr>
            </w:pPr>
            <w:r w:rsidRPr="003048F7">
              <w:rPr>
                <w:rFonts w:ascii="Times New Roman" w:hAnsi="Times New Roman"/>
                <w:sz w:val="16"/>
                <w:lang w:val="uk-UA"/>
              </w:rPr>
              <w:t>USA:</w:t>
            </w:r>
          </w:p>
          <w:p w14:paraId="3EDCE80C" w14:textId="77777777" w:rsidR="00E2178F" w:rsidRPr="003048F7" w:rsidRDefault="00E2178F" w:rsidP="00186785">
            <w:pPr>
              <w:snapToGrid w:val="0"/>
              <w:ind w:left="57" w:right="57" w:hanging="63"/>
              <w:jc w:val="left"/>
              <w:rPr>
                <w:rFonts w:ascii="Times New Roman" w:hAnsi="Times New Roman"/>
                <w:sz w:val="16"/>
                <w:lang w:val="uk-UA"/>
              </w:rPr>
            </w:pPr>
            <w:r w:rsidRPr="009E72B9">
              <w:rPr>
                <w:rFonts w:ascii="Times New Roman" w:hAnsi="Times New Roman"/>
                <w:sz w:val="16"/>
                <w:lang w:val="en-US"/>
              </w:rPr>
              <w:t>IBAN - UA583281680000026506000000001</w:t>
            </w:r>
          </w:p>
          <w:p w14:paraId="3BBEDBEB" w14:textId="77777777" w:rsidR="00E2178F" w:rsidRPr="003048F7" w:rsidRDefault="00E2178F" w:rsidP="00186785">
            <w:pPr>
              <w:snapToGrid w:val="0"/>
              <w:ind w:left="57" w:right="57" w:hanging="63"/>
              <w:jc w:val="left"/>
              <w:rPr>
                <w:rFonts w:ascii="Times New Roman" w:hAnsi="Times New Roman"/>
                <w:sz w:val="16"/>
                <w:lang w:val="uk-UA"/>
              </w:rPr>
            </w:pPr>
            <w:r w:rsidRPr="003048F7">
              <w:rPr>
                <w:rFonts w:ascii="Times New Roman" w:hAnsi="Times New Roman"/>
                <w:sz w:val="16"/>
                <w:lang w:val="uk-UA"/>
              </w:rPr>
              <w:t>EUR:</w:t>
            </w:r>
          </w:p>
          <w:p w14:paraId="2407A2C2" w14:textId="77777777" w:rsidR="00E2178F" w:rsidRPr="009E72B9" w:rsidRDefault="00E2178F" w:rsidP="00186785">
            <w:pPr>
              <w:snapToGrid w:val="0"/>
              <w:ind w:right="57" w:firstLine="0"/>
              <w:jc w:val="left"/>
              <w:rPr>
                <w:rFonts w:ascii="Times New Roman" w:hAnsi="Times New Roman"/>
                <w:color w:val="000000" w:themeColor="text1"/>
                <w:sz w:val="16"/>
                <w:szCs w:val="16"/>
                <w:lang w:val="en-US"/>
              </w:rPr>
            </w:pPr>
            <w:r w:rsidRPr="003048F7">
              <w:rPr>
                <w:rFonts w:ascii="Times New Roman" w:hAnsi="Times New Roman"/>
                <w:sz w:val="16"/>
                <w:lang w:val="uk-UA"/>
              </w:rPr>
              <w:t>IBAN - UA763281680000026505000000002</w:t>
            </w:r>
          </w:p>
        </w:tc>
        <w:tc>
          <w:tcPr>
            <w:tcW w:w="1899" w:type="dxa"/>
            <w:gridSpan w:val="2"/>
            <w:vMerge/>
            <w:shd w:val="clear" w:color="auto" w:fill="auto"/>
            <w:vAlign w:val="center"/>
          </w:tcPr>
          <w:p w14:paraId="53FBC4E4" w14:textId="77777777" w:rsidR="00E2178F" w:rsidRPr="00E16672" w:rsidRDefault="00E2178F" w:rsidP="00186785">
            <w:pPr>
              <w:tabs>
                <w:tab w:val="num" w:pos="58"/>
                <w:tab w:val="left" w:pos="210"/>
              </w:tabs>
              <w:snapToGrid w:val="0"/>
              <w:ind w:left="57" w:right="57" w:firstLine="0"/>
              <w:jc w:val="left"/>
              <w:rPr>
                <w:rFonts w:ascii="Times New Roman" w:hAnsi="Times New Roman"/>
                <w:b/>
                <w:color w:val="000000" w:themeColor="text1"/>
                <w:sz w:val="16"/>
              </w:rPr>
            </w:pPr>
          </w:p>
        </w:tc>
        <w:tc>
          <w:tcPr>
            <w:tcW w:w="3928" w:type="dxa"/>
            <w:gridSpan w:val="5"/>
            <w:shd w:val="clear" w:color="auto" w:fill="auto"/>
          </w:tcPr>
          <w:p w14:paraId="7CBD458D" w14:textId="77777777" w:rsidR="00E2178F" w:rsidRPr="003048F7" w:rsidRDefault="00E2178F" w:rsidP="00186785">
            <w:pPr>
              <w:snapToGrid w:val="0"/>
              <w:ind w:left="57" w:right="57" w:hanging="63"/>
              <w:jc w:val="left"/>
              <w:rPr>
                <w:rFonts w:ascii="Times New Roman" w:hAnsi="Times New Roman"/>
                <w:sz w:val="16"/>
                <w:lang w:val="uk-UA"/>
              </w:rPr>
            </w:pPr>
            <w:r w:rsidRPr="003048F7">
              <w:rPr>
                <w:rFonts w:ascii="Times New Roman" w:hAnsi="Times New Roman"/>
                <w:sz w:val="16"/>
                <w:lang w:val="en-US"/>
              </w:rPr>
              <w:t>UAH:</w:t>
            </w:r>
          </w:p>
          <w:p w14:paraId="0422338E" w14:textId="77777777" w:rsidR="00E2178F" w:rsidRPr="003048F7" w:rsidRDefault="00E2178F" w:rsidP="00186785">
            <w:pPr>
              <w:snapToGrid w:val="0"/>
              <w:ind w:left="57" w:right="57" w:hanging="63"/>
              <w:jc w:val="left"/>
              <w:rPr>
                <w:rFonts w:ascii="Times New Roman" w:hAnsi="Times New Roman"/>
                <w:sz w:val="16"/>
                <w:lang w:val="uk-UA"/>
              </w:rPr>
            </w:pPr>
            <w:r w:rsidRPr="003048F7">
              <w:rPr>
                <w:rFonts w:ascii="Times New Roman" w:hAnsi="Times New Roman"/>
                <w:sz w:val="16"/>
                <w:lang w:val="uk-UA"/>
              </w:rPr>
              <w:t>UA743281680000000026503815351</w:t>
            </w:r>
          </w:p>
          <w:p w14:paraId="2F206F7B" w14:textId="77777777" w:rsidR="00E2178F" w:rsidRPr="003048F7" w:rsidRDefault="00E2178F" w:rsidP="00186785">
            <w:pPr>
              <w:snapToGrid w:val="0"/>
              <w:ind w:left="57" w:right="57" w:hanging="63"/>
              <w:jc w:val="left"/>
              <w:rPr>
                <w:rFonts w:ascii="Times New Roman" w:hAnsi="Times New Roman"/>
                <w:sz w:val="16"/>
                <w:lang w:val="uk-UA"/>
              </w:rPr>
            </w:pPr>
            <w:r w:rsidRPr="003048F7">
              <w:rPr>
                <w:rFonts w:ascii="Times New Roman" w:hAnsi="Times New Roman"/>
                <w:sz w:val="16"/>
                <w:lang w:val="uk-UA"/>
              </w:rPr>
              <w:t>USA:</w:t>
            </w:r>
          </w:p>
          <w:p w14:paraId="0A619190" w14:textId="77777777" w:rsidR="00E2178F" w:rsidRPr="003048F7" w:rsidRDefault="00E2178F" w:rsidP="00186785">
            <w:pPr>
              <w:snapToGrid w:val="0"/>
              <w:ind w:left="57" w:right="57" w:hanging="63"/>
              <w:jc w:val="left"/>
              <w:rPr>
                <w:rFonts w:ascii="Times New Roman" w:hAnsi="Times New Roman"/>
                <w:sz w:val="16"/>
                <w:lang w:val="uk-UA"/>
              </w:rPr>
            </w:pPr>
            <w:r w:rsidRPr="009E72B9">
              <w:rPr>
                <w:rFonts w:ascii="Times New Roman" w:hAnsi="Times New Roman"/>
                <w:sz w:val="16"/>
                <w:lang w:val="en-US"/>
              </w:rPr>
              <w:t>IBAN - UA583281680000026506000000001</w:t>
            </w:r>
          </w:p>
          <w:p w14:paraId="5C19E68D" w14:textId="77777777" w:rsidR="00E2178F" w:rsidRPr="003048F7" w:rsidRDefault="00E2178F" w:rsidP="00186785">
            <w:pPr>
              <w:snapToGrid w:val="0"/>
              <w:ind w:left="57" w:right="57" w:hanging="63"/>
              <w:jc w:val="left"/>
              <w:rPr>
                <w:rFonts w:ascii="Times New Roman" w:hAnsi="Times New Roman"/>
                <w:sz w:val="16"/>
                <w:lang w:val="uk-UA"/>
              </w:rPr>
            </w:pPr>
            <w:r w:rsidRPr="003048F7">
              <w:rPr>
                <w:rFonts w:ascii="Times New Roman" w:hAnsi="Times New Roman"/>
                <w:sz w:val="16"/>
                <w:lang w:val="uk-UA"/>
              </w:rPr>
              <w:t>EUR:</w:t>
            </w:r>
          </w:p>
          <w:p w14:paraId="68AE93A0" w14:textId="77777777" w:rsidR="00E2178F" w:rsidRPr="00E16672" w:rsidRDefault="00E2178F" w:rsidP="00186785">
            <w:pPr>
              <w:snapToGrid w:val="0"/>
              <w:ind w:right="57" w:firstLine="0"/>
              <w:jc w:val="left"/>
              <w:rPr>
                <w:rFonts w:ascii="Times New Roman" w:hAnsi="Times New Roman"/>
                <w:color w:val="000000" w:themeColor="text1"/>
                <w:sz w:val="16"/>
                <w:szCs w:val="16"/>
                <w:lang w:val="en-US"/>
              </w:rPr>
            </w:pPr>
            <w:r w:rsidRPr="003048F7">
              <w:rPr>
                <w:rFonts w:ascii="Times New Roman" w:hAnsi="Times New Roman"/>
                <w:sz w:val="16"/>
              </w:rPr>
              <w:t>IBAN - UA763281680000026505000000002</w:t>
            </w:r>
          </w:p>
        </w:tc>
      </w:tr>
      <w:tr w:rsidR="00E2178F" w:rsidRPr="00F23413" w14:paraId="092F090F" w14:textId="77777777" w:rsidTr="005E418B">
        <w:trPr>
          <w:trHeight w:val="882"/>
        </w:trPr>
        <w:tc>
          <w:tcPr>
            <w:tcW w:w="1740" w:type="dxa"/>
            <w:shd w:val="clear" w:color="auto" w:fill="auto"/>
            <w:vAlign w:val="center"/>
          </w:tcPr>
          <w:p w14:paraId="31C74D05" w14:textId="77777777" w:rsidR="00E2178F" w:rsidRPr="00E16672" w:rsidRDefault="00E2178F" w:rsidP="00186785">
            <w:pPr>
              <w:pStyle w:val="4"/>
              <w:keepNext w:val="0"/>
              <w:widowControl w:val="0"/>
              <w:tabs>
                <w:tab w:val="num" w:pos="864"/>
                <w:tab w:val="left" w:pos="921"/>
              </w:tabs>
              <w:snapToGrid w:val="0"/>
              <w:ind w:left="57" w:right="57" w:firstLine="0"/>
              <w:jc w:val="left"/>
              <w:rPr>
                <w:rFonts w:ascii="Times New Roman" w:hAnsi="Times New Roman"/>
                <w:iCs/>
                <w:sz w:val="16"/>
                <w:szCs w:val="16"/>
              </w:rPr>
            </w:pPr>
            <w:r w:rsidRPr="00E16672">
              <w:rPr>
                <w:rFonts w:ascii="Times New Roman" w:hAnsi="Times New Roman"/>
                <w:sz w:val="16"/>
              </w:rPr>
              <w:t>Банк одержувача</w:t>
            </w:r>
            <w:r w:rsidRPr="00E16672">
              <w:rPr>
                <w:rFonts w:ascii="Times New Roman" w:hAnsi="Times New Roman"/>
                <w:sz w:val="16"/>
                <w:lang w:val="en-US"/>
              </w:rPr>
              <w:t>:</w:t>
            </w:r>
          </w:p>
        </w:tc>
        <w:tc>
          <w:tcPr>
            <w:tcW w:w="3623" w:type="dxa"/>
            <w:gridSpan w:val="4"/>
            <w:shd w:val="clear" w:color="auto" w:fill="auto"/>
            <w:vAlign w:val="center"/>
          </w:tcPr>
          <w:p w14:paraId="45E29581" w14:textId="77777777" w:rsidR="00E2178F" w:rsidRPr="003048F7" w:rsidRDefault="00E2178F" w:rsidP="00022F5F">
            <w:pPr>
              <w:pStyle w:val="1f2"/>
              <w:ind w:left="-6" w:right="57" w:firstLine="0"/>
              <w:jc w:val="left"/>
              <w:rPr>
                <w:rFonts w:ascii="Times New Roman" w:hAnsi="Times New Roman" w:cs="Times New Roman"/>
                <w:sz w:val="16"/>
              </w:rPr>
            </w:pPr>
            <w:r w:rsidRPr="003048F7">
              <w:rPr>
                <w:rFonts w:ascii="Times New Roman" w:hAnsi="Times New Roman" w:cs="Times New Roman"/>
                <w:sz w:val="16"/>
              </w:rPr>
              <w:t xml:space="preserve">ПАТ </w:t>
            </w:r>
            <w:r w:rsidR="00022F5F">
              <w:rPr>
                <w:rFonts w:ascii="Times New Roman" w:hAnsi="Times New Roman" w:cs="Times New Roman"/>
                <w:sz w:val="16"/>
              </w:rPr>
              <w:t>"</w:t>
            </w:r>
            <w:r w:rsidRPr="003048F7">
              <w:rPr>
                <w:rFonts w:ascii="Times New Roman" w:hAnsi="Times New Roman" w:cs="Times New Roman"/>
                <w:sz w:val="16"/>
              </w:rPr>
              <w:t>МТБ БАНК</w:t>
            </w:r>
            <w:r w:rsidR="00022F5F">
              <w:rPr>
                <w:rFonts w:ascii="Times New Roman" w:hAnsi="Times New Roman" w:cs="Times New Roman"/>
                <w:sz w:val="16"/>
              </w:rPr>
              <w:t>"</w:t>
            </w:r>
          </w:p>
          <w:p w14:paraId="208E43CA" w14:textId="77777777" w:rsidR="00E2178F" w:rsidRPr="00E16672" w:rsidRDefault="00E2178F" w:rsidP="00186785">
            <w:pPr>
              <w:snapToGrid w:val="0"/>
              <w:ind w:right="57" w:firstLine="0"/>
              <w:jc w:val="left"/>
              <w:rPr>
                <w:rFonts w:ascii="Times New Roman" w:hAnsi="Times New Roman"/>
                <w:bCs/>
                <w:color w:val="0000FF"/>
                <w:sz w:val="16"/>
                <w:szCs w:val="16"/>
                <w:lang w:val="uk-UA"/>
              </w:rPr>
            </w:pPr>
            <w:proofErr w:type="spellStart"/>
            <w:r w:rsidRPr="003048F7">
              <w:rPr>
                <w:rFonts w:ascii="Times New Roman" w:hAnsi="Times New Roman"/>
                <w:sz w:val="16"/>
              </w:rPr>
              <w:t>Україна</w:t>
            </w:r>
            <w:proofErr w:type="spellEnd"/>
            <w:r w:rsidRPr="001E0BFF">
              <w:rPr>
                <w:rFonts w:ascii="Times New Roman" w:hAnsi="Times New Roman"/>
                <w:sz w:val="16"/>
              </w:rPr>
              <w:t xml:space="preserve">, 68003, </w:t>
            </w:r>
            <w:proofErr w:type="spellStart"/>
            <w:r w:rsidRPr="003048F7">
              <w:rPr>
                <w:rFonts w:ascii="Times New Roman" w:hAnsi="Times New Roman"/>
                <w:sz w:val="16"/>
              </w:rPr>
              <w:t>Одеська</w:t>
            </w:r>
            <w:proofErr w:type="spellEnd"/>
            <w:r w:rsidRPr="003048F7">
              <w:rPr>
                <w:rFonts w:ascii="Times New Roman" w:hAnsi="Times New Roman"/>
                <w:sz w:val="16"/>
              </w:rPr>
              <w:t xml:space="preserve"> область</w:t>
            </w:r>
            <w:r w:rsidRPr="001E0BFF">
              <w:rPr>
                <w:rFonts w:ascii="Times New Roman" w:hAnsi="Times New Roman"/>
                <w:sz w:val="16"/>
              </w:rPr>
              <w:t xml:space="preserve">, </w:t>
            </w:r>
            <w:proofErr w:type="spellStart"/>
            <w:r w:rsidRPr="003048F7">
              <w:rPr>
                <w:rFonts w:ascii="Times New Roman" w:hAnsi="Times New Roman"/>
                <w:sz w:val="16"/>
              </w:rPr>
              <w:t>місто</w:t>
            </w:r>
            <w:proofErr w:type="spellEnd"/>
            <w:r w:rsidRPr="003048F7">
              <w:rPr>
                <w:rFonts w:ascii="Times New Roman" w:hAnsi="Times New Roman"/>
                <w:sz w:val="16"/>
              </w:rPr>
              <w:t xml:space="preserve"> </w:t>
            </w:r>
            <w:proofErr w:type="spellStart"/>
            <w:r w:rsidRPr="003048F7">
              <w:rPr>
                <w:rFonts w:ascii="Times New Roman" w:hAnsi="Times New Roman"/>
                <w:sz w:val="16"/>
              </w:rPr>
              <w:t>Чорноморськ</w:t>
            </w:r>
            <w:proofErr w:type="spellEnd"/>
            <w:r w:rsidRPr="001E0BFF">
              <w:rPr>
                <w:rFonts w:ascii="Times New Roman" w:hAnsi="Times New Roman"/>
                <w:sz w:val="16"/>
              </w:rPr>
              <w:t xml:space="preserve">, </w:t>
            </w:r>
            <w:r w:rsidRPr="003048F7">
              <w:rPr>
                <w:rFonts w:ascii="Times New Roman" w:hAnsi="Times New Roman"/>
                <w:sz w:val="16"/>
              </w:rPr>
              <w:t>пр. Миру</w:t>
            </w:r>
            <w:r w:rsidRPr="003048F7">
              <w:rPr>
                <w:rFonts w:ascii="Times New Roman" w:hAnsi="Times New Roman"/>
                <w:sz w:val="16"/>
                <w:lang w:val="en-US"/>
              </w:rPr>
              <w:t>, 28</w:t>
            </w:r>
          </w:p>
        </w:tc>
        <w:tc>
          <w:tcPr>
            <w:tcW w:w="1899" w:type="dxa"/>
            <w:gridSpan w:val="2"/>
            <w:shd w:val="clear" w:color="auto" w:fill="auto"/>
            <w:vAlign w:val="center"/>
          </w:tcPr>
          <w:p w14:paraId="0CCB72A1" w14:textId="77777777" w:rsidR="00E2178F" w:rsidRPr="00E16672" w:rsidRDefault="00E2178F" w:rsidP="00186785">
            <w:pPr>
              <w:pStyle w:val="4"/>
              <w:keepNext w:val="0"/>
              <w:widowControl w:val="0"/>
              <w:tabs>
                <w:tab w:val="num" w:pos="58"/>
              </w:tabs>
              <w:snapToGrid w:val="0"/>
              <w:ind w:left="58" w:right="57" w:firstLine="0"/>
              <w:jc w:val="left"/>
              <w:rPr>
                <w:rFonts w:ascii="Times New Roman" w:hAnsi="Times New Roman"/>
                <w:iCs/>
                <w:sz w:val="16"/>
                <w:szCs w:val="16"/>
                <w:lang w:val="en-GB"/>
              </w:rPr>
            </w:pPr>
            <w:proofErr w:type="spellStart"/>
            <w:r w:rsidRPr="00E16672">
              <w:rPr>
                <w:rFonts w:ascii="Times New Roman" w:hAnsi="Times New Roman"/>
                <w:color w:val="000000" w:themeColor="text1"/>
                <w:sz w:val="16"/>
              </w:rPr>
              <w:t>Beneficiary's</w:t>
            </w:r>
            <w:proofErr w:type="spellEnd"/>
            <w:r w:rsidRPr="00E16672">
              <w:rPr>
                <w:rFonts w:ascii="Times New Roman" w:hAnsi="Times New Roman"/>
                <w:color w:val="000000" w:themeColor="text1"/>
                <w:sz w:val="16"/>
              </w:rPr>
              <w:t xml:space="preserve"> </w:t>
            </w:r>
            <w:proofErr w:type="spellStart"/>
            <w:r w:rsidRPr="00E16672">
              <w:rPr>
                <w:rFonts w:ascii="Times New Roman" w:hAnsi="Times New Roman"/>
                <w:color w:val="000000" w:themeColor="text1"/>
                <w:sz w:val="16"/>
              </w:rPr>
              <w:t>bank</w:t>
            </w:r>
            <w:proofErr w:type="spellEnd"/>
          </w:p>
        </w:tc>
        <w:tc>
          <w:tcPr>
            <w:tcW w:w="3928" w:type="dxa"/>
            <w:gridSpan w:val="5"/>
            <w:shd w:val="clear" w:color="auto" w:fill="auto"/>
            <w:vAlign w:val="center"/>
          </w:tcPr>
          <w:p w14:paraId="73F94095" w14:textId="77777777" w:rsidR="00E2178F" w:rsidRPr="003048F7" w:rsidRDefault="00E2178F" w:rsidP="00186785">
            <w:pPr>
              <w:snapToGrid w:val="0"/>
              <w:ind w:left="57" w:right="57" w:hanging="57"/>
              <w:rPr>
                <w:rFonts w:ascii="Times New Roman" w:hAnsi="Times New Roman"/>
                <w:sz w:val="16"/>
                <w:lang w:val="en-US"/>
              </w:rPr>
            </w:pPr>
            <w:r w:rsidRPr="003048F7">
              <w:rPr>
                <w:rFonts w:ascii="Times New Roman" w:hAnsi="Times New Roman"/>
                <w:sz w:val="16"/>
                <w:lang w:val="en-US"/>
              </w:rPr>
              <w:t>PJSC “MTB BANK”</w:t>
            </w:r>
          </w:p>
          <w:p w14:paraId="3C2F99E0" w14:textId="77777777" w:rsidR="00E2178F" w:rsidRPr="00E16672" w:rsidRDefault="00E2178F" w:rsidP="00186785">
            <w:pPr>
              <w:snapToGrid w:val="0"/>
              <w:ind w:right="57" w:firstLine="0"/>
              <w:jc w:val="left"/>
              <w:rPr>
                <w:rFonts w:ascii="Times New Roman" w:hAnsi="Times New Roman"/>
                <w:bCs/>
                <w:color w:val="0000FF"/>
                <w:sz w:val="16"/>
                <w:szCs w:val="16"/>
                <w:lang w:val="en-GB"/>
              </w:rPr>
            </w:pPr>
            <w:r w:rsidRPr="003048F7">
              <w:rPr>
                <w:rFonts w:ascii="Times New Roman" w:hAnsi="Times New Roman"/>
                <w:sz w:val="16"/>
                <w:lang w:val="en-US"/>
              </w:rPr>
              <w:t xml:space="preserve">Ukraine, 68003, Odessa region, </w:t>
            </w:r>
            <w:proofErr w:type="spellStart"/>
            <w:r w:rsidRPr="003048F7">
              <w:rPr>
                <w:rFonts w:ascii="Times New Roman" w:hAnsi="Times New Roman"/>
                <w:sz w:val="16"/>
                <w:lang w:val="en-US"/>
              </w:rPr>
              <w:t>Chornomorsk</w:t>
            </w:r>
            <w:proofErr w:type="spellEnd"/>
            <w:r w:rsidRPr="003048F7">
              <w:rPr>
                <w:rFonts w:ascii="Times New Roman" w:hAnsi="Times New Roman"/>
                <w:sz w:val="16"/>
                <w:lang w:val="en-US"/>
              </w:rPr>
              <w:t xml:space="preserve"> city, Mir Avenue, 28</w:t>
            </w:r>
          </w:p>
        </w:tc>
      </w:tr>
      <w:tr w:rsidR="00E2178F" w:rsidRPr="00E16672" w:rsidDel="00D16973" w14:paraId="4BD2CCC6" w14:textId="77777777" w:rsidTr="005E418B">
        <w:trPr>
          <w:trHeight w:val="582"/>
        </w:trPr>
        <w:tc>
          <w:tcPr>
            <w:tcW w:w="3004" w:type="dxa"/>
            <w:gridSpan w:val="2"/>
            <w:shd w:val="clear" w:color="auto" w:fill="auto"/>
            <w:vAlign w:val="center"/>
          </w:tcPr>
          <w:p w14:paraId="6C7B4064" w14:textId="2CF18CB1" w:rsidR="00E2178F" w:rsidRPr="00E16672" w:rsidRDefault="00E2178F" w:rsidP="00186785">
            <w:pPr>
              <w:pStyle w:val="4"/>
              <w:numPr>
                <w:ilvl w:val="3"/>
                <w:numId w:val="0"/>
              </w:numPr>
              <w:tabs>
                <w:tab w:val="num" w:pos="864"/>
              </w:tabs>
              <w:ind w:left="57" w:right="57"/>
              <w:jc w:val="left"/>
              <w:rPr>
                <w:rFonts w:ascii="Times New Roman" w:hAnsi="Times New Roman"/>
                <w:sz w:val="16"/>
              </w:rPr>
            </w:pPr>
            <w:r w:rsidRPr="00E16672">
              <w:rPr>
                <w:rFonts w:ascii="Times New Roman" w:hAnsi="Times New Roman"/>
                <w:sz w:val="16"/>
              </w:rPr>
              <w:t xml:space="preserve">Документ, що підтверджує повноваження особи, яка підписує договір </w:t>
            </w:r>
          </w:p>
        </w:tc>
        <w:tc>
          <w:tcPr>
            <w:tcW w:w="2359" w:type="dxa"/>
            <w:gridSpan w:val="3"/>
            <w:shd w:val="clear" w:color="auto" w:fill="auto"/>
            <w:vAlign w:val="center"/>
          </w:tcPr>
          <w:p w14:paraId="4F622228" w14:textId="77777777" w:rsidR="00E2178F" w:rsidRPr="00E16672" w:rsidRDefault="00E2178F" w:rsidP="00186785">
            <w:pPr>
              <w:pStyle w:val="1f2"/>
              <w:ind w:right="57" w:firstLine="0"/>
              <w:jc w:val="left"/>
              <w:rPr>
                <w:rFonts w:ascii="Times New Roman" w:hAnsi="Times New Roman" w:cs="Times New Roman"/>
                <w:color w:val="0000FF"/>
                <w:sz w:val="16"/>
                <w:lang w:val="ru-RU"/>
              </w:rPr>
            </w:pPr>
            <w:r w:rsidRPr="00E16672">
              <w:rPr>
                <w:rFonts w:ascii="Times New Roman" w:hAnsi="Times New Roman" w:cs="Times New Roman"/>
                <w:sz w:val="16"/>
                <w:lang w:val="ru-RU"/>
              </w:rPr>
              <w:t xml:space="preserve"> Статут</w:t>
            </w:r>
          </w:p>
        </w:tc>
        <w:tc>
          <w:tcPr>
            <w:tcW w:w="3175" w:type="dxa"/>
            <w:gridSpan w:val="5"/>
            <w:shd w:val="clear" w:color="auto" w:fill="auto"/>
            <w:vAlign w:val="center"/>
          </w:tcPr>
          <w:p w14:paraId="02C52CAE" w14:textId="49AF2E6D" w:rsidR="00E2178F" w:rsidRPr="00E16672" w:rsidRDefault="00E2178F" w:rsidP="00186785">
            <w:pPr>
              <w:pStyle w:val="4"/>
              <w:numPr>
                <w:ilvl w:val="3"/>
                <w:numId w:val="0"/>
              </w:numPr>
              <w:tabs>
                <w:tab w:val="num" w:pos="864"/>
              </w:tabs>
              <w:ind w:left="57" w:right="57"/>
              <w:jc w:val="left"/>
              <w:rPr>
                <w:rFonts w:ascii="Times New Roman" w:hAnsi="Times New Roman"/>
                <w:sz w:val="16"/>
              </w:rPr>
            </w:pPr>
            <w:r w:rsidRPr="00E16672">
              <w:rPr>
                <w:rFonts w:ascii="Times New Roman" w:hAnsi="Times New Roman"/>
                <w:sz w:val="16"/>
              </w:rPr>
              <w:t xml:space="preserve">A </w:t>
            </w:r>
            <w:proofErr w:type="spellStart"/>
            <w:r w:rsidRPr="00E16672">
              <w:rPr>
                <w:rFonts w:ascii="Times New Roman" w:hAnsi="Times New Roman"/>
                <w:sz w:val="16"/>
              </w:rPr>
              <w:t>document</w:t>
            </w:r>
            <w:proofErr w:type="spellEnd"/>
            <w:r w:rsidRPr="00E16672">
              <w:rPr>
                <w:rFonts w:ascii="Times New Roman" w:hAnsi="Times New Roman"/>
                <w:sz w:val="16"/>
              </w:rPr>
              <w:t xml:space="preserve"> </w:t>
            </w:r>
            <w:proofErr w:type="spellStart"/>
            <w:r w:rsidRPr="00E16672">
              <w:rPr>
                <w:rFonts w:ascii="Times New Roman" w:hAnsi="Times New Roman"/>
                <w:sz w:val="16"/>
              </w:rPr>
              <w:t>confirming</w:t>
            </w:r>
            <w:proofErr w:type="spellEnd"/>
            <w:r w:rsidRPr="00E16672">
              <w:rPr>
                <w:rFonts w:ascii="Times New Roman" w:hAnsi="Times New Roman"/>
                <w:sz w:val="16"/>
              </w:rPr>
              <w:t xml:space="preserve"> </w:t>
            </w:r>
            <w:proofErr w:type="spellStart"/>
            <w:r w:rsidRPr="00E16672">
              <w:rPr>
                <w:rFonts w:ascii="Times New Roman" w:hAnsi="Times New Roman"/>
                <w:sz w:val="16"/>
              </w:rPr>
              <w:t>the</w:t>
            </w:r>
            <w:proofErr w:type="spellEnd"/>
            <w:r w:rsidRPr="00E16672">
              <w:rPr>
                <w:rFonts w:ascii="Times New Roman" w:hAnsi="Times New Roman"/>
                <w:sz w:val="16"/>
              </w:rPr>
              <w:t xml:space="preserve"> </w:t>
            </w:r>
            <w:proofErr w:type="spellStart"/>
            <w:r w:rsidRPr="00E16672">
              <w:rPr>
                <w:rFonts w:ascii="Times New Roman" w:hAnsi="Times New Roman"/>
                <w:sz w:val="16"/>
              </w:rPr>
              <w:t>authority</w:t>
            </w:r>
            <w:proofErr w:type="spellEnd"/>
            <w:r w:rsidRPr="00E16672">
              <w:rPr>
                <w:rFonts w:ascii="Times New Roman" w:hAnsi="Times New Roman"/>
                <w:sz w:val="16"/>
              </w:rPr>
              <w:t xml:space="preserve"> </w:t>
            </w:r>
            <w:proofErr w:type="spellStart"/>
            <w:r w:rsidRPr="00E16672">
              <w:rPr>
                <w:rFonts w:ascii="Times New Roman" w:hAnsi="Times New Roman"/>
                <w:sz w:val="16"/>
              </w:rPr>
              <w:t>of</w:t>
            </w:r>
            <w:proofErr w:type="spellEnd"/>
            <w:r w:rsidRPr="00E16672">
              <w:rPr>
                <w:rFonts w:ascii="Times New Roman" w:hAnsi="Times New Roman"/>
                <w:sz w:val="16"/>
              </w:rPr>
              <w:t xml:space="preserve"> </w:t>
            </w:r>
            <w:proofErr w:type="spellStart"/>
            <w:r w:rsidRPr="00E16672">
              <w:rPr>
                <w:rFonts w:ascii="Times New Roman" w:hAnsi="Times New Roman"/>
                <w:sz w:val="16"/>
              </w:rPr>
              <w:t>the</w:t>
            </w:r>
            <w:proofErr w:type="spellEnd"/>
            <w:r w:rsidRPr="00E16672">
              <w:rPr>
                <w:rFonts w:ascii="Times New Roman" w:hAnsi="Times New Roman"/>
                <w:sz w:val="16"/>
              </w:rPr>
              <w:t xml:space="preserve"> </w:t>
            </w:r>
            <w:proofErr w:type="spellStart"/>
            <w:r w:rsidRPr="00E16672">
              <w:rPr>
                <w:rFonts w:ascii="Times New Roman" w:hAnsi="Times New Roman"/>
                <w:sz w:val="16"/>
              </w:rPr>
              <w:t>person</w:t>
            </w:r>
            <w:proofErr w:type="spellEnd"/>
            <w:r w:rsidRPr="00E16672">
              <w:rPr>
                <w:rFonts w:ascii="Times New Roman" w:hAnsi="Times New Roman"/>
                <w:sz w:val="16"/>
              </w:rPr>
              <w:t xml:space="preserve"> </w:t>
            </w:r>
            <w:proofErr w:type="spellStart"/>
            <w:r w:rsidRPr="00E16672">
              <w:rPr>
                <w:rFonts w:ascii="Times New Roman" w:hAnsi="Times New Roman"/>
                <w:sz w:val="16"/>
              </w:rPr>
              <w:t>signing</w:t>
            </w:r>
            <w:proofErr w:type="spellEnd"/>
            <w:r w:rsidRPr="00E16672">
              <w:rPr>
                <w:rFonts w:ascii="Times New Roman" w:hAnsi="Times New Roman"/>
                <w:sz w:val="16"/>
              </w:rPr>
              <w:t xml:space="preserve"> </w:t>
            </w:r>
            <w:proofErr w:type="spellStart"/>
            <w:r w:rsidRPr="00E16672">
              <w:rPr>
                <w:rFonts w:ascii="Times New Roman" w:hAnsi="Times New Roman"/>
                <w:sz w:val="16"/>
              </w:rPr>
              <w:t>the</w:t>
            </w:r>
            <w:proofErr w:type="spellEnd"/>
            <w:r w:rsidRPr="00E16672">
              <w:rPr>
                <w:rFonts w:ascii="Times New Roman" w:hAnsi="Times New Roman"/>
                <w:sz w:val="16"/>
              </w:rPr>
              <w:t xml:space="preserve"> </w:t>
            </w:r>
            <w:proofErr w:type="spellStart"/>
            <w:r w:rsidRPr="00E16672">
              <w:rPr>
                <w:rFonts w:ascii="Times New Roman" w:hAnsi="Times New Roman"/>
                <w:sz w:val="16"/>
              </w:rPr>
              <w:t>contract</w:t>
            </w:r>
            <w:proofErr w:type="spellEnd"/>
            <w:r w:rsidRPr="00E16672">
              <w:rPr>
                <w:rFonts w:ascii="Times New Roman" w:hAnsi="Times New Roman"/>
                <w:sz w:val="16"/>
              </w:rPr>
              <w:t xml:space="preserve"> </w:t>
            </w:r>
          </w:p>
        </w:tc>
        <w:tc>
          <w:tcPr>
            <w:tcW w:w="2652" w:type="dxa"/>
            <w:gridSpan w:val="2"/>
            <w:shd w:val="clear" w:color="auto" w:fill="auto"/>
            <w:vAlign w:val="center"/>
          </w:tcPr>
          <w:p w14:paraId="614FC203" w14:textId="77777777" w:rsidR="00E2178F" w:rsidRPr="00E16672" w:rsidDel="00D16973" w:rsidRDefault="00E2178F" w:rsidP="00186785">
            <w:pPr>
              <w:pStyle w:val="4"/>
              <w:numPr>
                <w:ilvl w:val="3"/>
                <w:numId w:val="0"/>
              </w:numPr>
              <w:tabs>
                <w:tab w:val="num" w:pos="864"/>
              </w:tabs>
              <w:ind w:left="57" w:right="57"/>
              <w:jc w:val="left"/>
              <w:rPr>
                <w:rFonts w:ascii="Times New Roman" w:hAnsi="Times New Roman"/>
                <w:b w:val="0"/>
                <w:sz w:val="16"/>
                <w:szCs w:val="16"/>
              </w:rPr>
            </w:pPr>
            <w:r w:rsidRPr="00E16672">
              <w:rPr>
                <w:rFonts w:ascii="Times New Roman" w:hAnsi="Times New Roman"/>
                <w:b w:val="0"/>
                <w:color w:val="000000"/>
                <w:sz w:val="16"/>
                <w:lang w:val="en-US"/>
              </w:rPr>
              <w:t>Statute</w:t>
            </w:r>
          </w:p>
        </w:tc>
      </w:tr>
      <w:tr w:rsidR="00E2178F" w:rsidRPr="00E16672" w:rsidDel="00D16973" w14:paraId="5BF0641B" w14:textId="77777777" w:rsidTr="005E418B">
        <w:trPr>
          <w:trHeight w:val="582"/>
        </w:trPr>
        <w:tc>
          <w:tcPr>
            <w:tcW w:w="3004" w:type="dxa"/>
            <w:gridSpan w:val="2"/>
            <w:shd w:val="clear" w:color="auto" w:fill="auto"/>
            <w:vAlign w:val="center"/>
          </w:tcPr>
          <w:p w14:paraId="7106B70C" w14:textId="77777777" w:rsidR="00E2178F" w:rsidRPr="00E16672" w:rsidRDefault="00E2178F" w:rsidP="00186785">
            <w:pPr>
              <w:pStyle w:val="4"/>
              <w:numPr>
                <w:ilvl w:val="3"/>
                <w:numId w:val="0"/>
              </w:numPr>
              <w:tabs>
                <w:tab w:val="num" w:pos="864"/>
              </w:tabs>
              <w:ind w:left="57" w:right="57"/>
              <w:jc w:val="left"/>
              <w:rPr>
                <w:rFonts w:ascii="Times New Roman" w:hAnsi="Times New Roman"/>
                <w:sz w:val="16"/>
              </w:rPr>
            </w:pPr>
            <w:r w:rsidRPr="00E16672">
              <w:rPr>
                <w:rFonts w:ascii="Times New Roman" w:hAnsi="Times New Roman"/>
                <w:color w:val="000000"/>
                <w:sz w:val="16"/>
                <w:szCs w:val="18"/>
              </w:rPr>
              <w:t>Ліцензія депозитарної установи (серія, номер, дата видачі)</w:t>
            </w:r>
          </w:p>
        </w:tc>
        <w:tc>
          <w:tcPr>
            <w:tcW w:w="2359" w:type="dxa"/>
            <w:gridSpan w:val="3"/>
            <w:shd w:val="clear" w:color="auto" w:fill="auto"/>
            <w:vAlign w:val="center"/>
          </w:tcPr>
          <w:p w14:paraId="29A92F83" w14:textId="77777777" w:rsidR="00E2178F" w:rsidRPr="00E16672" w:rsidRDefault="00E2178F" w:rsidP="00186785">
            <w:pPr>
              <w:pStyle w:val="1f2"/>
              <w:ind w:right="57" w:firstLine="0"/>
              <w:rPr>
                <w:rFonts w:ascii="Times New Roman" w:hAnsi="Times New Roman" w:cs="Times New Roman"/>
                <w:color w:val="0000FF"/>
                <w:sz w:val="16"/>
                <w:lang w:val="ru-RU"/>
              </w:rPr>
            </w:pPr>
            <w:r w:rsidRPr="00E16672">
              <w:rPr>
                <w:rFonts w:ascii="Times New Roman" w:hAnsi="Times New Roman" w:cs="Times New Roman"/>
                <w:bCs/>
                <w:sz w:val="16"/>
                <w:szCs w:val="16"/>
              </w:rPr>
              <w:t xml:space="preserve"> АЕ 263429, 01.10.2013</w:t>
            </w:r>
          </w:p>
        </w:tc>
        <w:tc>
          <w:tcPr>
            <w:tcW w:w="3175" w:type="dxa"/>
            <w:gridSpan w:val="5"/>
            <w:shd w:val="clear" w:color="auto" w:fill="auto"/>
            <w:vAlign w:val="center"/>
          </w:tcPr>
          <w:p w14:paraId="5A907AA6" w14:textId="77777777" w:rsidR="00E2178F" w:rsidRPr="00E16672" w:rsidRDefault="00E2178F" w:rsidP="00186785">
            <w:pPr>
              <w:pStyle w:val="4"/>
              <w:numPr>
                <w:ilvl w:val="3"/>
                <w:numId w:val="0"/>
              </w:numPr>
              <w:tabs>
                <w:tab w:val="num" w:pos="864"/>
              </w:tabs>
              <w:ind w:left="57" w:right="57"/>
              <w:jc w:val="left"/>
              <w:rPr>
                <w:rFonts w:ascii="Times New Roman" w:hAnsi="Times New Roman"/>
                <w:color w:val="0000FF"/>
                <w:sz w:val="16"/>
                <w:szCs w:val="16"/>
              </w:rPr>
            </w:pPr>
            <w:proofErr w:type="spellStart"/>
            <w:r w:rsidRPr="00E16672">
              <w:rPr>
                <w:rFonts w:ascii="Times New Roman" w:hAnsi="Times New Roman"/>
                <w:color w:val="000000"/>
                <w:sz w:val="16"/>
                <w:szCs w:val="18"/>
              </w:rPr>
              <w:t>Depositary</w:t>
            </w:r>
            <w:proofErr w:type="spellEnd"/>
            <w:r w:rsidRPr="00E16672">
              <w:rPr>
                <w:rFonts w:ascii="Times New Roman" w:hAnsi="Times New Roman"/>
                <w:color w:val="000000"/>
                <w:sz w:val="16"/>
                <w:szCs w:val="18"/>
              </w:rPr>
              <w:t xml:space="preserve"> </w:t>
            </w:r>
            <w:proofErr w:type="spellStart"/>
            <w:r w:rsidRPr="00E16672">
              <w:rPr>
                <w:rFonts w:ascii="Times New Roman" w:hAnsi="Times New Roman"/>
                <w:color w:val="000000"/>
                <w:sz w:val="16"/>
                <w:szCs w:val="18"/>
              </w:rPr>
              <w:t>institution</w:t>
            </w:r>
            <w:proofErr w:type="spellEnd"/>
            <w:r w:rsidRPr="00E16672">
              <w:rPr>
                <w:rFonts w:ascii="Times New Roman" w:hAnsi="Times New Roman"/>
                <w:color w:val="000000"/>
                <w:sz w:val="16"/>
                <w:szCs w:val="18"/>
              </w:rPr>
              <w:t xml:space="preserve"> </w:t>
            </w:r>
            <w:proofErr w:type="spellStart"/>
            <w:r w:rsidRPr="00E16672">
              <w:rPr>
                <w:rFonts w:ascii="Times New Roman" w:hAnsi="Times New Roman"/>
                <w:color w:val="000000"/>
                <w:sz w:val="16"/>
                <w:szCs w:val="18"/>
              </w:rPr>
              <w:t>license</w:t>
            </w:r>
            <w:proofErr w:type="spellEnd"/>
            <w:r w:rsidRPr="00E16672">
              <w:rPr>
                <w:rFonts w:ascii="Times New Roman" w:hAnsi="Times New Roman"/>
                <w:color w:val="000000"/>
                <w:sz w:val="16"/>
                <w:szCs w:val="18"/>
              </w:rPr>
              <w:t xml:space="preserve"> (</w:t>
            </w:r>
            <w:proofErr w:type="spellStart"/>
            <w:r w:rsidRPr="00E16672">
              <w:rPr>
                <w:rFonts w:ascii="Times New Roman" w:hAnsi="Times New Roman"/>
                <w:color w:val="000000"/>
                <w:sz w:val="16"/>
                <w:szCs w:val="18"/>
              </w:rPr>
              <w:t>series</w:t>
            </w:r>
            <w:proofErr w:type="spellEnd"/>
            <w:r w:rsidRPr="00E16672">
              <w:rPr>
                <w:rFonts w:ascii="Times New Roman" w:hAnsi="Times New Roman"/>
                <w:color w:val="000000"/>
                <w:sz w:val="16"/>
                <w:szCs w:val="18"/>
              </w:rPr>
              <w:t xml:space="preserve">, </w:t>
            </w:r>
            <w:proofErr w:type="spellStart"/>
            <w:r w:rsidRPr="00E16672">
              <w:rPr>
                <w:rFonts w:ascii="Times New Roman" w:hAnsi="Times New Roman"/>
                <w:color w:val="000000"/>
                <w:sz w:val="16"/>
                <w:szCs w:val="18"/>
              </w:rPr>
              <w:t>number</w:t>
            </w:r>
            <w:proofErr w:type="spellEnd"/>
            <w:r w:rsidRPr="00E16672">
              <w:rPr>
                <w:rFonts w:ascii="Times New Roman" w:hAnsi="Times New Roman"/>
                <w:color w:val="000000"/>
                <w:sz w:val="16"/>
                <w:szCs w:val="18"/>
              </w:rPr>
              <w:t xml:space="preserve">, </w:t>
            </w:r>
            <w:proofErr w:type="spellStart"/>
            <w:r w:rsidRPr="00E16672">
              <w:rPr>
                <w:rFonts w:ascii="Times New Roman" w:hAnsi="Times New Roman"/>
                <w:color w:val="000000"/>
                <w:sz w:val="16"/>
                <w:szCs w:val="18"/>
              </w:rPr>
              <w:t>date</w:t>
            </w:r>
            <w:proofErr w:type="spellEnd"/>
            <w:r w:rsidRPr="00E16672">
              <w:rPr>
                <w:rFonts w:ascii="Times New Roman" w:hAnsi="Times New Roman"/>
                <w:color w:val="000000"/>
                <w:sz w:val="16"/>
                <w:szCs w:val="18"/>
              </w:rPr>
              <w:t xml:space="preserve"> </w:t>
            </w:r>
            <w:proofErr w:type="spellStart"/>
            <w:r w:rsidRPr="00E16672">
              <w:rPr>
                <w:rFonts w:ascii="Times New Roman" w:hAnsi="Times New Roman"/>
                <w:color w:val="000000"/>
                <w:sz w:val="16"/>
                <w:szCs w:val="18"/>
              </w:rPr>
              <w:t>of</w:t>
            </w:r>
            <w:proofErr w:type="spellEnd"/>
            <w:r w:rsidRPr="00E16672">
              <w:rPr>
                <w:rFonts w:ascii="Times New Roman" w:hAnsi="Times New Roman"/>
                <w:color w:val="000000"/>
                <w:sz w:val="16"/>
                <w:szCs w:val="18"/>
              </w:rPr>
              <w:t xml:space="preserve"> </w:t>
            </w:r>
            <w:proofErr w:type="spellStart"/>
            <w:r w:rsidRPr="00E16672">
              <w:rPr>
                <w:rFonts w:ascii="Times New Roman" w:hAnsi="Times New Roman"/>
                <w:color w:val="000000"/>
                <w:sz w:val="16"/>
                <w:szCs w:val="18"/>
              </w:rPr>
              <w:t>issue</w:t>
            </w:r>
            <w:proofErr w:type="spellEnd"/>
            <w:r w:rsidRPr="00E16672">
              <w:rPr>
                <w:rFonts w:ascii="Times New Roman" w:hAnsi="Times New Roman"/>
                <w:color w:val="000000"/>
                <w:sz w:val="16"/>
                <w:szCs w:val="18"/>
              </w:rPr>
              <w:t>)</w:t>
            </w:r>
          </w:p>
        </w:tc>
        <w:tc>
          <w:tcPr>
            <w:tcW w:w="2652" w:type="dxa"/>
            <w:gridSpan w:val="2"/>
            <w:shd w:val="clear" w:color="auto" w:fill="auto"/>
            <w:vAlign w:val="center"/>
          </w:tcPr>
          <w:p w14:paraId="73BE05C6" w14:textId="77777777" w:rsidR="00E2178F" w:rsidRPr="00E16672" w:rsidDel="00D16973" w:rsidRDefault="00E2178F" w:rsidP="00186785">
            <w:pPr>
              <w:pStyle w:val="6"/>
              <w:widowControl w:val="0"/>
              <w:snapToGrid w:val="0"/>
              <w:ind w:left="0" w:firstLine="0"/>
              <w:jc w:val="left"/>
              <w:rPr>
                <w:rFonts w:ascii="Times New Roman" w:hAnsi="Times New Roman"/>
                <w:color w:val="0000FF"/>
                <w:sz w:val="16"/>
                <w:szCs w:val="16"/>
                <w:lang w:val="en-US"/>
              </w:rPr>
            </w:pPr>
            <w:r w:rsidRPr="00E16672">
              <w:rPr>
                <w:rFonts w:ascii="Times New Roman" w:hAnsi="Times New Roman"/>
                <w:bCs/>
                <w:sz w:val="16"/>
                <w:szCs w:val="16"/>
                <w:lang w:val="uk-UA"/>
              </w:rPr>
              <w:t>АЕ 263429, 01.10.2013</w:t>
            </w:r>
          </w:p>
        </w:tc>
      </w:tr>
    </w:tbl>
    <w:p w14:paraId="303D3E4B" w14:textId="77777777" w:rsidR="00B9670D" w:rsidRPr="00E16672" w:rsidRDefault="00B9670D" w:rsidP="00B9670D">
      <w:pPr>
        <w:rPr>
          <w:rFonts w:ascii="Times New Roman" w:hAnsi="Times New Roman"/>
          <w:lang w:val="uk-UA"/>
        </w:rPr>
      </w:pPr>
    </w:p>
    <w:p w14:paraId="388B9EF6" w14:textId="77777777" w:rsidR="00B9670D" w:rsidRPr="00E16672" w:rsidRDefault="00B9670D" w:rsidP="00B9670D">
      <w:pPr>
        <w:rPr>
          <w:rFonts w:ascii="Times New Roman" w:hAnsi="Times New Roman"/>
          <w:lang w:val="uk-UA"/>
        </w:rPr>
      </w:pPr>
    </w:p>
    <w:tbl>
      <w:tblPr>
        <w:tblW w:w="0" w:type="auto"/>
        <w:tblInd w:w="168" w:type="dxa"/>
        <w:tblLayout w:type="fixed"/>
        <w:tblCellMar>
          <w:top w:w="55" w:type="dxa"/>
          <w:left w:w="55" w:type="dxa"/>
          <w:bottom w:w="55" w:type="dxa"/>
          <w:right w:w="55" w:type="dxa"/>
        </w:tblCellMar>
        <w:tblLook w:val="0000" w:firstRow="0" w:lastRow="0" w:firstColumn="0" w:lastColumn="0" w:noHBand="0" w:noVBand="0"/>
      </w:tblPr>
      <w:tblGrid>
        <w:gridCol w:w="5500"/>
        <w:gridCol w:w="5328"/>
      </w:tblGrid>
      <w:tr w:rsidR="00B9670D" w:rsidRPr="00F23413" w14:paraId="4A8C0341" w14:textId="77777777" w:rsidTr="00406FB3">
        <w:tc>
          <w:tcPr>
            <w:tcW w:w="5500" w:type="dxa"/>
            <w:shd w:val="clear" w:color="auto" w:fill="auto"/>
          </w:tcPr>
          <w:p w14:paraId="5F5E036E" w14:textId="77777777" w:rsidR="00B9670D" w:rsidRPr="00E16672" w:rsidRDefault="00B9670D" w:rsidP="00406FB3">
            <w:pPr>
              <w:tabs>
                <w:tab w:val="left" w:pos="5960"/>
              </w:tabs>
              <w:snapToGrid w:val="0"/>
              <w:ind w:left="57" w:right="57" w:hanging="57"/>
              <w:rPr>
                <w:rFonts w:ascii="Times New Roman" w:hAnsi="Times New Roman"/>
                <w:b/>
                <w:bCs/>
                <w:sz w:val="16"/>
                <w:szCs w:val="16"/>
              </w:rPr>
            </w:pPr>
          </w:p>
          <w:p w14:paraId="34B6786A" w14:textId="77777777" w:rsidR="00B9670D" w:rsidRPr="00E16672" w:rsidRDefault="00B9670D" w:rsidP="00406FB3">
            <w:pPr>
              <w:tabs>
                <w:tab w:val="left" w:pos="5960"/>
              </w:tabs>
              <w:snapToGrid w:val="0"/>
              <w:ind w:left="57" w:right="57" w:hanging="57"/>
              <w:rPr>
                <w:rFonts w:ascii="Times New Roman" w:hAnsi="Times New Roman"/>
                <w:b/>
                <w:bCs/>
                <w:sz w:val="16"/>
                <w:szCs w:val="16"/>
              </w:rPr>
            </w:pPr>
            <w:proofErr w:type="spellStart"/>
            <w:r w:rsidRPr="00E16672">
              <w:rPr>
                <w:rFonts w:ascii="Times New Roman" w:hAnsi="Times New Roman"/>
                <w:b/>
                <w:bCs/>
                <w:sz w:val="16"/>
                <w:szCs w:val="16"/>
              </w:rPr>
              <w:t>Депозитарна</w:t>
            </w:r>
            <w:proofErr w:type="spellEnd"/>
            <w:r w:rsidRPr="00E16672">
              <w:rPr>
                <w:rFonts w:ascii="Times New Roman" w:hAnsi="Times New Roman"/>
                <w:b/>
                <w:bCs/>
                <w:sz w:val="16"/>
                <w:szCs w:val="16"/>
              </w:rPr>
              <w:t xml:space="preserve"> </w:t>
            </w:r>
            <w:proofErr w:type="spellStart"/>
            <w:r w:rsidRPr="00E16672">
              <w:rPr>
                <w:rFonts w:ascii="Times New Roman" w:hAnsi="Times New Roman"/>
                <w:b/>
                <w:bCs/>
                <w:sz w:val="16"/>
                <w:szCs w:val="16"/>
              </w:rPr>
              <w:t>установа</w:t>
            </w:r>
            <w:proofErr w:type="spellEnd"/>
            <w:r w:rsidRPr="00E16672">
              <w:rPr>
                <w:rFonts w:ascii="Times New Roman" w:hAnsi="Times New Roman"/>
                <w:b/>
                <w:bCs/>
                <w:sz w:val="16"/>
                <w:szCs w:val="16"/>
              </w:rPr>
              <w:t xml:space="preserve"> </w:t>
            </w:r>
            <w:r w:rsidRPr="00E16672">
              <w:rPr>
                <w:rFonts w:ascii="Times New Roman" w:hAnsi="Times New Roman"/>
                <w:b/>
                <w:bCs/>
                <w:sz w:val="16"/>
                <w:szCs w:val="16"/>
                <w:lang w:val="en-US"/>
              </w:rPr>
              <w:t>(</w:t>
            </w:r>
            <w:proofErr w:type="spellStart"/>
            <w:r w:rsidRPr="00E16672">
              <w:rPr>
                <w:rFonts w:ascii="Times New Roman" w:hAnsi="Times New Roman"/>
                <w:b/>
                <w:bCs/>
                <w:sz w:val="16"/>
                <w:szCs w:val="16"/>
              </w:rPr>
              <w:t>Depository</w:t>
            </w:r>
            <w:proofErr w:type="spellEnd"/>
            <w:r w:rsidRPr="00E16672">
              <w:rPr>
                <w:rFonts w:ascii="Times New Roman" w:hAnsi="Times New Roman"/>
                <w:b/>
                <w:bCs/>
                <w:sz w:val="16"/>
                <w:szCs w:val="16"/>
              </w:rPr>
              <w:t xml:space="preserve"> </w:t>
            </w:r>
            <w:proofErr w:type="spellStart"/>
            <w:r w:rsidRPr="00E16672">
              <w:rPr>
                <w:rFonts w:ascii="Times New Roman" w:hAnsi="Times New Roman"/>
                <w:b/>
                <w:bCs/>
                <w:sz w:val="16"/>
                <w:szCs w:val="16"/>
              </w:rPr>
              <w:t>institution</w:t>
            </w:r>
            <w:proofErr w:type="spellEnd"/>
            <w:r w:rsidRPr="00E16672">
              <w:rPr>
                <w:rFonts w:ascii="Times New Roman" w:hAnsi="Times New Roman"/>
                <w:b/>
                <w:bCs/>
                <w:sz w:val="16"/>
                <w:szCs w:val="16"/>
              </w:rPr>
              <w:t>):</w:t>
            </w:r>
          </w:p>
        </w:tc>
        <w:tc>
          <w:tcPr>
            <w:tcW w:w="5328" w:type="dxa"/>
            <w:shd w:val="clear" w:color="auto" w:fill="auto"/>
          </w:tcPr>
          <w:p w14:paraId="57365219" w14:textId="77777777" w:rsidR="00B9670D" w:rsidRPr="00E16672" w:rsidRDefault="00B9670D" w:rsidP="00406FB3">
            <w:pPr>
              <w:tabs>
                <w:tab w:val="left" w:pos="5960"/>
              </w:tabs>
              <w:snapToGrid w:val="0"/>
              <w:ind w:left="57" w:right="57" w:hanging="57"/>
              <w:rPr>
                <w:rFonts w:ascii="Times New Roman" w:hAnsi="Times New Roman"/>
                <w:b/>
                <w:bCs/>
                <w:sz w:val="16"/>
                <w:szCs w:val="16"/>
                <w:lang w:val="en-US"/>
              </w:rPr>
            </w:pPr>
          </w:p>
          <w:p w14:paraId="59F86FE2" w14:textId="2AF6EF71" w:rsidR="00B9670D" w:rsidRPr="00E16672" w:rsidRDefault="00B9670D" w:rsidP="00406FB3">
            <w:pPr>
              <w:tabs>
                <w:tab w:val="left" w:pos="5960"/>
              </w:tabs>
              <w:snapToGrid w:val="0"/>
              <w:ind w:left="57" w:right="57" w:hanging="57"/>
              <w:rPr>
                <w:rFonts w:ascii="Times New Roman" w:hAnsi="Times New Roman"/>
                <w:b/>
                <w:bCs/>
                <w:sz w:val="16"/>
                <w:szCs w:val="16"/>
                <w:lang w:val="en-US"/>
              </w:rPr>
            </w:pPr>
            <w:r w:rsidRPr="00E16672">
              <w:rPr>
                <w:rFonts w:ascii="Times New Roman" w:hAnsi="Times New Roman"/>
                <w:b/>
                <w:bCs/>
                <w:sz w:val="16"/>
                <w:szCs w:val="16"/>
              </w:rPr>
              <w:t>Депонент</w:t>
            </w:r>
            <w:r w:rsidRPr="00E16672">
              <w:rPr>
                <w:rFonts w:ascii="Times New Roman" w:hAnsi="Times New Roman"/>
                <w:b/>
                <w:bCs/>
                <w:sz w:val="16"/>
                <w:szCs w:val="16"/>
                <w:lang w:val="en-US"/>
              </w:rPr>
              <w:t xml:space="preserve"> / </w:t>
            </w:r>
            <w:r w:rsidR="00B4031C">
              <w:rPr>
                <w:rFonts w:ascii="Times New Roman" w:hAnsi="Times New Roman"/>
                <w:b/>
                <w:bCs/>
                <w:sz w:val="16"/>
                <w:szCs w:val="16"/>
                <w:lang w:val="uk-UA"/>
              </w:rPr>
              <w:t>уповноважена особа</w:t>
            </w:r>
            <w:r w:rsidRPr="00E16672">
              <w:rPr>
                <w:rFonts w:ascii="Times New Roman" w:hAnsi="Times New Roman"/>
                <w:b/>
                <w:bCs/>
                <w:sz w:val="16"/>
                <w:szCs w:val="16"/>
                <w:lang w:val="en-US"/>
              </w:rPr>
              <w:t xml:space="preserve"> (Depositor / </w:t>
            </w:r>
            <w:r w:rsidR="00B4031C" w:rsidRPr="00B4031C">
              <w:rPr>
                <w:rFonts w:ascii="Times New Roman" w:hAnsi="Times New Roman"/>
                <w:b/>
                <w:sz w:val="16"/>
                <w:szCs w:val="16"/>
                <w:lang w:val="en-GB"/>
              </w:rPr>
              <w:t>authorized person</w:t>
            </w:r>
            <w:r w:rsidRPr="00E16672">
              <w:rPr>
                <w:rFonts w:ascii="Times New Roman" w:hAnsi="Times New Roman"/>
                <w:b/>
                <w:bCs/>
                <w:sz w:val="16"/>
                <w:szCs w:val="16"/>
                <w:lang w:val="en-US"/>
              </w:rPr>
              <w:t>):</w:t>
            </w:r>
          </w:p>
          <w:p w14:paraId="2AE91309" w14:textId="77777777" w:rsidR="00B9670D" w:rsidRPr="00E16672" w:rsidRDefault="00B9670D" w:rsidP="00406FB3">
            <w:pPr>
              <w:tabs>
                <w:tab w:val="left" w:pos="5960"/>
              </w:tabs>
              <w:snapToGrid w:val="0"/>
              <w:ind w:left="57" w:right="57" w:hanging="57"/>
              <w:rPr>
                <w:rFonts w:ascii="Times New Roman" w:hAnsi="Times New Roman"/>
                <w:b/>
                <w:bCs/>
                <w:sz w:val="16"/>
                <w:szCs w:val="16"/>
                <w:lang w:val="en-US"/>
              </w:rPr>
            </w:pPr>
          </w:p>
        </w:tc>
      </w:tr>
      <w:tr w:rsidR="00B9670D" w:rsidRPr="00F23413" w14:paraId="386A49C1" w14:textId="77777777" w:rsidTr="00406FB3">
        <w:trPr>
          <w:trHeight w:val="919"/>
        </w:trPr>
        <w:tc>
          <w:tcPr>
            <w:tcW w:w="5500" w:type="dxa"/>
            <w:shd w:val="clear" w:color="auto" w:fill="auto"/>
          </w:tcPr>
          <w:p w14:paraId="7865BD49" w14:textId="77777777" w:rsidR="00B9670D" w:rsidRPr="00E16672" w:rsidRDefault="00B9670D" w:rsidP="00F82710">
            <w:pPr>
              <w:tabs>
                <w:tab w:val="left" w:pos="1560"/>
              </w:tabs>
              <w:ind w:firstLine="102"/>
              <w:jc w:val="left"/>
              <w:rPr>
                <w:rFonts w:ascii="Times New Roman" w:hAnsi="Times New Roman"/>
                <w:color w:val="000000"/>
                <w:sz w:val="18"/>
                <w:szCs w:val="18"/>
                <w:lang w:val="en-US"/>
              </w:rPr>
            </w:pPr>
            <w:r w:rsidRPr="00E16672">
              <w:rPr>
                <w:rFonts w:ascii="Times New Roman" w:hAnsi="Times New Roman"/>
                <w:color w:val="000000"/>
                <w:sz w:val="18"/>
                <w:szCs w:val="18"/>
                <w:lang w:val="en-US"/>
              </w:rPr>
              <w:t>_</w:t>
            </w:r>
            <w:r w:rsidRPr="00E16672">
              <w:rPr>
                <w:rFonts w:ascii="Times New Roman" w:hAnsi="Times New Roman"/>
                <w:color w:val="000000"/>
                <w:sz w:val="18"/>
                <w:szCs w:val="18"/>
                <w:lang w:val="uk-UA"/>
              </w:rPr>
              <w:t>__</w:t>
            </w:r>
            <w:r w:rsidRPr="00E16672">
              <w:rPr>
                <w:rFonts w:ascii="Times New Roman" w:hAnsi="Times New Roman"/>
                <w:color w:val="000000"/>
                <w:sz w:val="18"/>
                <w:szCs w:val="18"/>
                <w:lang w:val="en-US"/>
              </w:rPr>
              <w:t>___________________</w:t>
            </w:r>
            <w:proofErr w:type="gramStart"/>
            <w:r w:rsidRPr="00E16672">
              <w:rPr>
                <w:rFonts w:ascii="Times New Roman" w:hAnsi="Times New Roman"/>
                <w:color w:val="000000"/>
                <w:sz w:val="18"/>
                <w:szCs w:val="18"/>
                <w:lang w:val="en-US"/>
              </w:rPr>
              <w:t>_</w:t>
            </w:r>
            <w:r w:rsidRPr="00E16672">
              <w:rPr>
                <w:rFonts w:ascii="Times New Roman" w:hAnsi="Times New Roman"/>
                <w:color w:val="000000"/>
                <w:sz w:val="16"/>
                <w:szCs w:val="16"/>
                <w:lang w:val="en-US"/>
              </w:rPr>
              <w:t>(</w:t>
            </w:r>
            <w:proofErr w:type="gramEnd"/>
            <w:r w:rsidR="00F82710">
              <w:rPr>
                <w:rFonts w:ascii="Times New Roman" w:hAnsi="Times New Roman"/>
                <w:bCs/>
                <w:sz w:val="16"/>
                <w:szCs w:val="16"/>
              </w:rPr>
              <w:t>Король</w:t>
            </w:r>
            <w:r w:rsidR="00E16672" w:rsidRPr="005770E6">
              <w:rPr>
                <w:rFonts w:ascii="Times New Roman" w:hAnsi="Times New Roman"/>
                <w:bCs/>
                <w:sz w:val="16"/>
                <w:szCs w:val="16"/>
                <w:lang w:val="en-US"/>
              </w:rPr>
              <w:t xml:space="preserve"> </w:t>
            </w:r>
            <w:r w:rsidR="00E16672" w:rsidRPr="00E16672">
              <w:rPr>
                <w:rFonts w:ascii="Times New Roman" w:hAnsi="Times New Roman"/>
                <w:bCs/>
                <w:sz w:val="16"/>
                <w:szCs w:val="16"/>
              </w:rPr>
              <w:t>Оксана</w:t>
            </w:r>
            <w:r w:rsidR="00E16672" w:rsidRPr="005770E6">
              <w:rPr>
                <w:rFonts w:ascii="Times New Roman" w:hAnsi="Times New Roman"/>
                <w:bCs/>
                <w:sz w:val="16"/>
                <w:szCs w:val="16"/>
                <w:lang w:val="en-US"/>
              </w:rPr>
              <w:t xml:space="preserve"> </w:t>
            </w:r>
            <w:proofErr w:type="spellStart"/>
            <w:r w:rsidR="00E16672" w:rsidRPr="00E16672">
              <w:rPr>
                <w:rFonts w:ascii="Times New Roman" w:hAnsi="Times New Roman"/>
                <w:bCs/>
                <w:sz w:val="16"/>
                <w:szCs w:val="16"/>
              </w:rPr>
              <w:t>Іванівна</w:t>
            </w:r>
            <w:proofErr w:type="spellEnd"/>
            <w:r w:rsidRPr="00E16672">
              <w:rPr>
                <w:rFonts w:ascii="Times New Roman" w:hAnsi="Times New Roman"/>
                <w:color w:val="000000"/>
                <w:sz w:val="16"/>
                <w:szCs w:val="16"/>
                <w:lang w:val="en-US"/>
              </w:rPr>
              <w:t>)</w:t>
            </w:r>
            <w:r w:rsidRPr="00E16672">
              <w:rPr>
                <w:rFonts w:ascii="Times New Roman" w:hAnsi="Times New Roman"/>
                <w:color w:val="000000"/>
                <w:sz w:val="18"/>
                <w:szCs w:val="18"/>
                <w:lang w:val="en-US"/>
              </w:rPr>
              <w:t xml:space="preserve"> </w:t>
            </w:r>
          </w:p>
          <w:p w14:paraId="721B9034" w14:textId="77777777" w:rsidR="00B9670D" w:rsidRPr="00E16672" w:rsidRDefault="00B9670D" w:rsidP="00406FB3">
            <w:pPr>
              <w:tabs>
                <w:tab w:val="left" w:pos="1560"/>
              </w:tabs>
              <w:ind w:firstLine="102"/>
              <w:rPr>
                <w:rFonts w:ascii="Times New Roman" w:hAnsi="Times New Roman"/>
                <w:color w:val="000000"/>
                <w:sz w:val="16"/>
                <w:szCs w:val="16"/>
                <w:lang w:val="en-US"/>
              </w:rPr>
            </w:pPr>
            <w:r w:rsidRPr="00E16672">
              <w:rPr>
                <w:rFonts w:ascii="Times New Roman" w:hAnsi="Times New Roman"/>
                <w:color w:val="000000"/>
                <w:sz w:val="16"/>
                <w:szCs w:val="16"/>
                <w:lang w:val="uk-UA"/>
              </w:rPr>
              <w:t xml:space="preserve">                                                            </w:t>
            </w:r>
            <w:r w:rsidRPr="00E16672">
              <w:rPr>
                <w:rFonts w:ascii="Times New Roman" w:hAnsi="Times New Roman"/>
                <w:bCs/>
                <w:color w:val="000000"/>
                <w:sz w:val="16"/>
                <w:szCs w:val="16"/>
                <w:lang w:val="en-GB"/>
              </w:rPr>
              <w:t>(</w:t>
            </w:r>
            <w:proofErr w:type="spellStart"/>
            <w:r w:rsidR="005770E6">
              <w:rPr>
                <w:rFonts w:ascii="Times New Roman" w:hAnsi="Times New Roman"/>
                <w:bCs/>
                <w:sz w:val="16"/>
                <w:szCs w:val="16"/>
                <w:lang w:val="en-US"/>
              </w:rPr>
              <w:t>Korol</w:t>
            </w:r>
            <w:proofErr w:type="spellEnd"/>
            <w:r w:rsidR="005770E6">
              <w:rPr>
                <w:rFonts w:ascii="Times New Roman" w:hAnsi="Times New Roman"/>
                <w:bCs/>
                <w:sz w:val="16"/>
                <w:szCs w:val="16"/>
                <w:lang w:val="en-US"/>
              </w:rPr>
              <w:t xml:space="preserve"> Oxana</w:t>
            </w:r>
            <w:r w:rsidRPr="00E16672">
              <w:rPr>
                <w:rFonts w:ascii="Times New Roman" w:hAnsi="Times New Roman"/>
                <w:bCs/>
                <w:color w:val="000000"/>
                <w:sz w:val="16"/>
                <w:szCs w:val="16"/>
                <w:lang w:val="en-GB"/>
              </w:rPr>
              <w:t>)</w:t>
            </w:r>
            <w:r w:rsidRPr="00E16672">
              <w:rPr>
                <w:rFonts w:ascii="Times New Roman" w:hAnsi="Times New Roman"/>
                <w:color w:val="000000"/>
                <w:sz w:val="16"/>
                <w:szCs w:val="16"/>
                <w:lang w:val="en-US"/>
              </w:rPr>
              <w:t xml:space="preserve">  </w:t>
            </w:r>
          </w:p>
          <w:p w14:paraId="2678104E" w14:textId="264C6C14" w:rsidR="00B9670D" w:rsidRPr="00E16672" w:rsidRDefault="00B9670D" w:rsidP="00406FB3">
            <w:pPr>
              <w:tabs>
                <w:tab w:val="left" w:pos="1560"/>
              </w:tabs>
              <w:ind w:firstLine="244"/>
              <w:rPr>
                <w:rFonts w:ascii="Times New Roman" w:hAnsi="Times New Roman"/>
                <w:color w:val="000000"/>
                <w:sz w:val="14"/>
                <w:szCs w:val="14"/>
                <w:lang w:val="uk-UA"/>
              </w:rPr>
            </w:pPr>
            <w:r w:rsidRPr="00E16672">
              <w:rPr>
                <w:rFonts w:ascii="Times New Roman" w:hAnsi="Times New Roman"/>
                <w:color w:val="000000"/>
                <w:sz w:val="14"/>
                <w:szCs w:val="14"/>
                <w:lang w:val="uk-UA"/>
              </w:rPr>
              <w:t>В.П</w:t>
            </w:r>
            <w:r w:rsidR="00B4031C">
              <w:rPr>
                <w:rFonts w:ascii="Times New Roman" w:hAnsi="Times New Roman"/>
                <w:color w:val="000000"/>
                <w:sz w:val="14"/>
                <w:szCs w:val="14"/>
                <w:lang w:val="uk-UA"/>
              </w:rPr>
              <w:t>*</w:t>
            </w:r>
            <w:r w:rsidRPr="00E16672">
              <w:rPr>
                <w:rFonts w:ascii="Times New Roman" w:hAnsi="Times New Roman"/>
                <w:color w:val="000000"/>
                <w:sz w:val="14"/>
                <w:szCs w:val="14"/>
                <w:lang w:val="uk-UA"/>
              </w:rPr>
              <w:t xml:space="preserve">., підпис/ </w:t>
            </w:r>
            <w:r w:rsidRPr="00E16672">
              <w:rPr>
                <w:rFonts w:ascii="Times New Roman" w:hAnsi="Times New Roman"/>
                <w:i/>
                <w:sz w:val="14"/>
                <w:szCs w:val="14"/>
                <w:lang w:val="en-US"/>
              </w:rPr>
              <w:t>Seal</w:t>
            </w:r>
            <w:r w:rsidRPr="00E16672">
              <w:rPr>
                <w:rFonts w:ascii="Times New Roman" w:hAnsi="Times New Roman"/>
                <w:i/>
                <w:sz w:val="14"/>
                <w:szCs w:val="14"/>
                <w:lang w:val="uk-UA"/>
              </w:rPr>
              <w:t xml:space="preserve">,  </w:t>
            </w:r>
            <w:r w:rsidRPr="00E16672">
              <w:rPr>
                <w:rFonts w:ascii="Times New Roman" w:hAnsi="Times New Roman"/>
                <w:i/>
                <w:sz w:val="14"/>
                <w:szCs w:val="14"/>
                <w:lang w:val="en-US"/>
              </w:rPr>
              <w:t>signature</w:t>
            </w:r>
            <w:r w:rsidRPr="00E16672">
              <w:rPr>
                <w:rFonts w:ascii="Times New Roman" w:hAnsi="Times New Roman"/>
                <w:color w:val="000000"/>
                <w:sz w:val="14"/>
                <w:szCs w:val="14"/>
                <w:lang w:val="uk-UA"/>
              </w:rPr>
              <w:t xml:space="preserve">            Прізвище, ім’я, по батькові </w:t>
            </w:r>
            <w:r w:rsidRPr="00E16672">
              <w:rPr>
                <w:rFonts w:ascii="Times New Roman" w:hAnsi="Times New Roman"/>
                <w:i/>
                <w:color w:val="000000"/>
                <w:sz w:val="14"/>
                <w:szCs w:val="14"/>
                <w:lang w:val="uk-UA"/>
              </w:rPr>
              <w:t>(за наявності)</w:t>
            </w:r>
          </w:p>
          <w:p w14:paraId="67164C16" w14:textId="77777777" w:rsidR="00B9670D" w:rsidRPr="00E16672" w:rsidRDefault="00B9670D" w:rsidP="00406FB3">
            <w:pPr>
              <w:tabs>
                <w:tab w:val="left" w:pos="1560"/>
              </w:tabs>
              <w:ind w:firstLine="244"/>
              <w:rPr>
                <w:rFonts w:ascii="Times New Roman" w:hAnsi="Times New Roman"/>
                <w:b/>
                <w:bCs/>
                <w:sz w:val="18"/>
                <w:szCs w:val="18"/>
                <w:lang w:val="en-US"/>
              </w:rPr>
            </w:pPr>
            <w:r w:rsidRPr="00E16672">
              <w:rPr>
                <w:rFonts w:ascii="Times New Roman" w:hAnsi="Times New Roman"/>
                <w:color w:val="000000"/>
                <w:sz w:val="14"/>
                <w:szCs w:val="14"/>
                <w:lang w:val="uk-UA"/>
              </w:rPr>
              <w:t xml:space="preserve">                                              </w:t>
            </w:r>
            <w:r w:rsidRPr="00E16672">
              <w:rPr>
                <w:rFonts w:ascii="Times New Roman" w:hAnsi="Times New Roman"/>
                <w:i/>
                <w:color w:val="000000"/>
                <w:sz w:val="14"/>
                <w:szCs w:val="14"/>
                <w:lang w:val="uk-UA"/>
              </w:rPr>
              <w:t xml:space="preserve">                  </w:t>
            </w:r>
            <w:r w:rsidRPr="00E16672">
              <w:rPr>
                <w:rFonts w:ascii="Times New Roman" w:hAnsi="Times New Roman"/>
                <w:i/>
                <w:sz w:val="14"/>
                <w:szCs w:val="14"/>
                <w:lang w:val="en-US"/>
              </w:rPr>
              <w:t xml:space="preserve">surname, name, patronymic (if </w:t>
            </w:r>
            <w:proofErr w:type="gramStart"/>
            <w:r w:rsidRPr="00E16672">
              <w:rPr>
                <w:rFonts w:ascii="Times New Roman" w:hAnsi="Times New Roman"/>
                <w:i/>
                <w:sz w:val="14"/>
                <w:szCs w:val="14"/>
                <w:lang w:val="en-US"/>
              </w:rPr>
              <w:t>any)</w:t>
            </w:r>
            <w:r w:rsidRPr="00E16672">
              <w:rPr>
                <w:rFonts w:ascii="Times New Roman" w:hAnsi="Times New Roman"/>
                <w:i/>
                <w:color w:val="000000"/>
                <w:sz w:val="14"/>
                <w:szCs w:val="14"/>
                <w:lang w:val="uk-UA"/>
              </w:rPr>
              <w:t xml:space="preserve">   </w:t>
            </w:r>
            <w:proofErr w:type="gramEnd"/>
            <w:r w:rsidRPr="00E16672">
              <w:rPr>
                <w:rFonts w:ascii="Times New Roman" w:hAnsi="Times New Roman"/>
                <w:i/>
                <w:color w:val="000000"/>
                <w:sz w:val="14"/>
                <w:szCs w:val="14"/>
                <w:lang w:val="uk-UA"/>
              </w:rPr>
              <w:t xml:space="preserve">                       </w:t>
            </w:r>
          </w:p>
        </w:tc>
        <w:tc>
          <w:tcPr>
            <w:tcW w:w="5328" w:type="dxa"/>
            <w:shd w:val="clear" w:color="auto" w:fill="auto"/>
          </w:tcPr>
          <w:p w14:paraId="5D71DA55" w14:textId="77777777" w:rsidR="00B9670D" w:rsidRPr="00E16672" w:rsidRDefault="00B9670D" w:rsidP="00406FB3">
            <w:pPr>
              <w:tabs>
                <w:tab w:val="left" w:pos="1560"/>
              </w:tabs>
              <w:ind w:firstLine="102"/>
              <w:rPr>
                <w:rFonts w:ascii="Times New Roman" w:hAnsi="Times New Roman"/>
                <w:color w:val="000000"/>
                <w:sz w:val="18"/>
                <w:szCs w:val="18"/>
                <w:lang w:val="en-US"/>
              </w:rPr>
            </w:pPr>
            <w:r w:rsidRPr="00E16672">
              <w:rPr>
                <w:rFonts w:ascii="Times New Roman" w:hAnsi="Times New Roman"/>
                <w:color w:val="000000"/>
                <w:sz w:val="18"/>
                <w:szCs w:val="18"/>
                <w:lang w:val="en-US"/>
              </w:rPr>
              <w:t>_</w:t>
            </w:r>
            <w:r w:rsidRPr="00E16672">
              <w:rPr>
                <w:rFonts w:ascii="Times New Roman" w:hAnsi="Times New Roman"/>
                <w:color w:val="000000"/>
                <w:sz w:val="18"/>
                <w:szCs w:val="18"/>
                <w:lang w:val="uk-UA"/>
              </w:rPr>
              <w:t>__</w:t>
            </w:r>
            <w:r w:rsidRPr="00E16672">
              <w:rPr>
                <w:rFonts w:ascii="Times New Roman" w:hAnsi="Times New Roman"/>
                <w:color w:val="000000"/>
                <w:sz w:val="18"/>
                <w:szCs w:val="18"/>
                <w:lang w:val="en-US"/>
              </w:rPr>
              <w:t xml:space="preserve">____________________(__________________________)   </w:t>
            </w:r>
          </w:p>
          <w:p w14:paraId="73D1CFC2" w14:textId="77777777" w:rsidR="00B9670D" w:rsidRPr="00E16672" w:rsidRDefault="00B9670D" w:rsidP="00406FB3">
            <w:pPr>
              <w:tabs>
                <w:tab w:val="left" w:pos="1560"/>
              </w:tabs>
              <w:ind w:firstLine="244"/>
              <w:rPr>
                <w:rFonts w:ascii="Times New Roman" w:hAnsi="Times New Roman"/>
                <w:color w:val="000000"/>
                <w:sz w:val="14"/>
                <w:szCs w:val="14"/>
                <w:lang w:val="uk-UA"/>
              </w:rPr>
            </w:pPr>
            <w:r w:rsidRPr="00E16672">
              <w:rPr>
                <w:rFonts w:ascii="Times New Roman" w:hAnsi="Times New Roman"/>
                <w:color w:val="000000"/>
                <w:sz w:val="14"/>
                <w:szCs w:val="14"/>
                <w:lang w:val="uk-UA"/>
              </w:rPr>
              <w:t xml:space="preserve">В.П.*, підпис/ </w:t>
            </w:r>
            <w:r w:rsidRPr="00E16672">
              <w:rPr>
                <w:rFonts w:ascii="Times New Roman" w:hAnsi="Times New Roman"/>
                <w:i/>
                <w:sz w:val="14"/>
                <w:szCs w:val="14"/>
                <w:lang w:val="en-US"/>
              </w:rPr>
              <w:t>Seal</w:t>
            </w:r>
            <w:r w:rsidRPr="00E16672">
              <w:rPr>
                <w:rFonts w:ascii="Times New Roman" w:hAnsi="Times New Roman"/>
                <w:i/>
                <w:sz w:val="14"/>
                <w:szCs w:val="14"/>
                <w:lang w:val="uk-UA"/>
              </w:rPr>
              <w:t xml:space="preserve">*,  </w:t>
            </w:r>
            <w:r w:rsidRPr="00E16672">
              <w:rPr>
                <w:rFonts w:ascii="Times New Roman" w:hAnsi="Times New Roman"/>
                <w:i/>
                <w:sz w:val="14"/>
                <w:szCs w:val="14"/>
                <w:lang w:val="en-US"/>
              </w:rPr>
              <w:t>signature</w:t>
            </w:r>
            <w:r w:rsidRPr="00E16672">
              <w:rPr>
                <w:rFonts w:ascii="Times New Roman" w:hAnsi="Times New Roman"/>
                <w:color w:val="000000"/>
                <w:sz w:val="14"/>
                <w:szCs w:val="14"/>
                <w:lang w:val="uk-UA"/>
              </w:rPr>
              <w:t xml:space="preserve">      Прізвище, ім’я, по батькові </w:t>
            </w:r>
            <w:r w:rsidRPr="00E16672">
              <w:rPr>
                <w:rFonts w:ascii="Times New Roman" w:hAnsi="Times New Roman"/>
                <w:i/>
                <w:color w:val="000000"/>
                <w:sz w:val="14"/>
                <w:szCs w:val="14"/>
                <w:lang w:val="uk-UA"/>
              </w:rPr>
              <w:t>(за наявності</w:t>
            </w:r>
            <w:r w:rsidRPr="00E16672">
              <w:rPr>
                <w:rFonts w:ascii="Times New Roman" w:hAnsi="Times New Roman"/>
                <w:color w:val="000000"/>
                <w:sz w:val="14"/>
                <w:szCs w:val="14"/>
                <w:lang w:val="uk-UA"/>
              </w:rPr>
              <w:t xml:space="preserve"> </w:t>
            </w:r>
          </w:p>
          <w:p w14:paraId="531C405C" w14:textId="77777777" w:rsidR="00B9670D" w:rsidRPr="00E16672" w:rsidRDefault="00B9670D" w:rsidP="00406FB3">
            <w:pPr>
              <w:tabs>
                <w:tab w:val="left" w:pos="1560"/>
              </w:tabs>
              <w:ind w:firstLine="244"/>
              <w:rPr>
                <w:rFonts w:ascii="Times New Roman" w:hAnsi="Times New Roman"/>
                <w:color w:val="000000"/>
                <w:sz w:val="14"/>
                <w:szCs w:val="14"/>
                <w:lang w:val="uk-UA"/>
              </w:rPr>
            </w:pPr>
            <w:r w:rsidRPr="00E16672">
              <w:rPr>
                <w:rFonts w:ascii="Times New Roman" w:hAnsi="Times New Roman"/>
                <w:i/>
                <w:sz w:val="14"/>
                <w:szCs w:val="14"/>
                <w:lang w:val="uk-UA"/>
              </w:rPr>
              <w:t xml:space="preserve">                                                              </w:t>
            </w:r>
            <w:r w:rsidRPr="00E16672">
              <w:rPr>
                <w:rFonts w:ascii="Times New Roman" w:hAnsi="Times New Roman"/>
                <w:i/>
                <w:sz w:val="14"/>
                <w:szCs w:val="14"/>
                <w:lang w:val="en-US"/>
              </w:rPr>
              <w:t>surname, name, patronymic (if any)</w:t>
            </w:r>
          </w:p>
          <w:p w14:paraId="7DDDDF10" w14:textId="77777777" w:rsidR="00B9670D" w:rsidRPr="00E16672" w:rsidRDefault="00B9670D" w:rsidP="00406FB3">
            <w:pPr>
              <w:tabs>
                <w:tab w:val="left" w:pos="1560"/>
              </w:tabs>
              <w:ind w:firstLine="244"/>
              <w:rPr>
                <w:rFonts w:ascii="Times New Roman" w:hAnsi="Times New Roman"/>
                <w:color w:val="000000"/>
                <w:sz w:val="14"/>
                <w:szCs w:val="14"/>
                <w:lang w:val="uk-UA"/>
              </w:rPr>
            </w:pPr>
            <w:r w:rsidRPr="00E16672">
              <w:rPr>
                <w:rFonts w:ascii="Times New Roman" w:hAnsi="Times New Roman"/>
                <w:color w:val="000000"/>
                <w:sz w:val="14"/>
                <w:szCs w:val="14"/>
                <w:lang w:val="uk-UA"/>
              </w:rPr>
              <w:t xml:space="preserve">                                                       </w:t>
            </w:r>
          </w:p>
          <w:p w14:paraId="43C35A41" w14:textId="77777777" w:rsidR="00B9670D" w:rsidRPr="00E16672" w:rsidRDefault="00B9670D" w:rsidP="00406FB3">
            <w:pPr>
              <w:tabs>
                <w:tab w:val="left" w:pos="5960"/>
              </w:tabs>
              <w:snapToGrid w:val="0"/>
              <w:ind w:left="57" w:right="57" w:hanging="57"/>
              <w:rPr>
                <w:rFonts w:ascii="Times New Roman" w:hAnsi="Times New Roman"/>
                <w:b/>
                <w:bCs/>
                <w:sz w:val="18"/>
                <w:szCs w:val="18"/>
                <w:lang w:val="uk-UA"/>
              </w:rPr>
            </w:pPr>
          </w:p>
        </w:tc>
      </w:tr>
    </w:tbl>
    <w:p w14:paraId="609C384B" w14:textId="77777777" w:rsidR="00B9670D" w:rsidRPr="00E16672" w:rsidRDefault="00B9670D" w:rsidP="00B9670D">
      <w:pPr>
        <w:ind w:right="57"/>
        <w:rPr>
          <w:rFonts w:ascii="Times New Roman" w:hAnsi="Times New Roman"/>
          <w:lang w:val="uk-UA"/>
        </w:rPr>
      </w:pPr>
    </w:p>
    <w:p w14:paraId="64288483" w14:textId="77777777" w:rsidR="00B9670D" w:rsidRPr="00E16672" w:rsidRDefault="00B9670D" w:rsidP="00B9670D">
      <w:pPr>
        <w:ind w:right="57"/>
        <w:rPr>
          <w:rFonts w:ascii="Times New Roman" w:hAnsi="Times New Roman"/>
          <w:color w:val="000000"/>
          <w:lang w:val="uk-UA"/>
        </w:rPr>
      </w:pPr>
    </w:p>
    <w:p w14:paraId="01708BAE" w14:textId="77777777" w:rsidR="00B9670D" w:rsidRPr="00E16672" w:rsidRDefault="00B9670D" w:rsidP="00B9670D">
      <w:pPr>
        <w:pStyle w:val="HTML"/>
        <w:shd w:val="clear" w:color="auto" w:fill="FFFFFF"/>
        <w:rPr>
          <w:rFonts w:ascii="Times New Roman" w:hAnsi="Times New Roman" w:cs="Times New Roman"/>
          <w:sz w:val="16"/>
          <w:szCs w:val="16"/>
          <w:lang w:val="en-US" w:eastAsia="uk-UA"/>
        </w:rPr>
      </w:pPr>
      <w:r w:rsidRPr="00E16672">
        <w:rPr>
          <w:rFonts w:ascii="Times New Roman" w:hAnsi="Times New Roman" w:cs="Times New Roman"/>
          <w:sz w:val="16"/>
          <w:szCs w:val="16"/>
          <w:lang w:val="en-US"/>
        </w:rPr>
        <w:t xml:space="preserve">*  - </w:t>
      </w:r>
      <w:r w:rsidRPr="00E16672">
        <w:rPr>
          <w:rFonts w:ascii="Times New Roman" w:hAnsi="Times New Roman" w:cs="Times New Roman"/>
          <w:sz w:val="16"/>
          <w:szCs w:val="16"/>
          <w:lang w:val="uk-UA"/>
        </w:rPr>
        <w:t>у разі використання</w:t>
      </w:r>
      <w:r w:rsidRPr="00E16672">
        <w:rPr>
          <w:rFonts w:ascii="Times New Roman" w:hAnsi="Times New Roman" w:cs="Times New Roman"/>
          <w:sz w:val="16"/>
          <w:szCs w:val="16"/>
          <w:lang w:val="en-US"/>
        </w:rPr>
        <w:t xml:space="preserve"> / </w:t>
      </w:r>
      <w:proofErr w:type="spellStart"/>
      <w:r w:rsidRPr="00E16672">
        <w:rPr>
          <w:rFonts w:ascii="Times New Roman" w:hAnsi="Times New Roman" w:cs="Times New Roman"/>
          <w:sz w:val="16"/>
          <w:szCs w:val="16"/>
          <w:lang w:val="uk-UA"/>
        </w:rPr>
        <w:t>in</w:t>
      </w:r>
      <w:proofErr w:type="spellEnd"/>
      <w:r w:rsidRPr="00E16672">
        <w:rPr>
          <w:rFonts w:ascii="Times New Roman" w:hAnsi="Times New Roman" w:cs="Times New Roman"/>
          <w:sz w:val="16"/>
          <w:szCs w:val="16"/>
          <w:lang w:val="uk-UA"/>
        </w:rPr>
        <w:t xml:space="preserve"> </w:t>
      </w:r>
      <w:proofErr w:type="spellStart"/>
      <w:r w:rsidRPr="00E16672">
        <w:rPr>
          <w:rFonts w:ascii="Times New Roman" w:hAnsi="Times New Roman" w:cs="Times New Roman"/>
          <w:sz w:val="16"/>
          <w:szCs w:val="16"/>
          <w:lang w:val="uk-UA"/>
        </w:rPr>
        <w:t>case</w:t>
      </w:r>
      <w:proofErr w:type="spellEnd"/>
      <w:r w:rsidRPr="00E16672">
        <w:rPr>
          <w:rFonts w:ascii="Times New Roman" w:hAnsi="Times New Roman" w:cs="Times New Roman"/>
          <w:sz w:val="16"/>
          <w:szCs w:val="16"/>
          <w:lang w:val="uk-UA"/>
        </w:rPr>
        <w:t xml:space="preserve"> </w:t>
      </w:r>
      <w:proofErr w:type="spellStart"/>
      <w:r w:rsidRPr="00E16672">
        <w:rPr>
          <w:rFonts w:ascii="Times New Roman" w:hAnsi="Times New Roman" w:cs="Times New Roman"/>
          <w:sz w:val="16"/>
          <w:szCs w:val="16"/>
          <w:lang w:val="uk-UA"/>
        </w:rPr>
        <w:t>of</w:t>
      </w:r>
      <w:proofErr w:type="spellEnd"/>
      <w:r w:rsidRPr="00E16672">
        <w:rPr>
          <w:rFonts w:ascii="Times New Roman" w:hAnsi="Times New Roman" w:cs="Times New Roman"/>
          <w:sz w:val="16"/>
          <w:szCs w:val="16"/>
          <w:lang w:val="uk-UA"/>
        </w:rPr>
        <w:t xml:space="preserve"> </w:t>
      </w:r>
      <w:proofErr w:type="spellStart"/>
      <w:r w:rsidRPr="00E16672">
        <w:rPr>
          <w:rFonts w:ascii="Times New Roman" w:hAnsi="Times New Roman" w:cs="Times New Roman"/>
          <w:sz w:val="16"/>
          <w:szCs w:val="16"/>
          <w:lang w:val="uk-UA"/>
        </w:rPr>
        <w:t>use</w:t>
      </w:r>
      <w:proofErr w:type="spellEnd"/>
      <w:r w:rsidRPr="00E16672">
        <w:rPr>
          <w:rFonts w:ascii="Times New Roman" w:hAnsi="Times New Roman" w:cs="Times New Roman"/>
          <w:sz w:val="16"/>
          <w:szCs w:val="16"/>
          <w:lang w:val="en-US"/>
        </w:rPr>
        <w:t xml:space="preserve"> </w:t>
      </w:r>
    </w:p>
    <w:p w14:paraId="55AB4FE0" w14:textId="77777777" w:rsidR="00B9670D" w:rsidRPr="00E16672" w:rsidRDefault="00B9670D" w:rsidP="001456E9">
      <w:pPr>
        <w:suppressAutoHyphens w:val="0"/>
        <w:ind w:firstLine="0"/>
        <w:jc w:val="right"/>
        <w:rPr>
          <w:rFonts w:ascii="Times New Roman" w:hAnsi="Times New Roman"/>
          <w:i/>
          <w:iCs/>
          <w:color w:val="000000"/>
          <w:lang w:val="uk-UA"/>
        </w:rPr>
      </w:pPr>
    </w:p>
    <w:p w14:paraId="28243106" w14:textId="77777777" w:rsidR="000D0438" w:rsidRDefault="000D0438" w:rsidP="000A5A99">
      <w:pPr>
        <w:ind w:firstLine="709"/>
        <w:jc w:val="center"/>
        <w:rPr>
          <w:rFonts w:ascii="Times New Roman" w:hAnsi="Times New Roman"/>
          <w:b/>
          <w:color w:val="000000"/>
          <w:szCs w:val="20"/>
          <w:lang w:val="uk-UA"/>
        </w:rPr>
      </w:pPr>
    </w:p>
    <w:p w14:paraId="0F7980A9" w14:textId="77777777" w:rsidR="000D0438" w:rsidRDefault="000D0438" w:rsidP="000A5A99">
      <w:pPr>
        <w:ind w:firstLine="709"/>
        <w:jc w:val="center"/>
        <w:rPr>
          <w:rFonts w:ascii="Times New Roman" w:hAnsi="Times New Roman"/>
          <w:b/>
          <w:color w:val="000000"/>
          <w:szCs w:val="20"/>
          <w:lang w:val="uk-UA"/>
        </w:rPr>
      </w:pPr>
    </w:p>
    <w:p w14:paraId="43497FD4" w14:textId="77777777" w:rsidR="000D0438" w:rsidRDefault="000D0438" w:rsidP="000A5A99">
      <w:pPr>
        <w:ind w:firstLine="709"/>
        <w:jc w:val="center"/>
        <w:rPr>
          <w:rFonts w:ascii="Times New Roman" w:hAnsi="Times New Roman"/>
          <w:b/>
          <w:color w:val="000000"/>
          <w:szCs w:val="20"/>
          <w:lang w:val="uk-UA"/>
        </w:rPr>
      </w:pPr>
    </w:p>
    <w:p w14:paraId="75B9B6D6" w14:textId="77777777" w:rsidR="000D0438" w:rsidRDefault="000D0438" w:rsidP="000A5A99">
      <w:pPr>
        <w:ind w:firstLine="709"/>
        <w:jc w:val="center"/>
        <w:rPr>
          <w:rFonts w:ascii="Times New Roman" w:hAnsi="Times New Roman"/>
          <w:b/>
          <w:color w:val="000000"/>
          <w:szCs w:val="20"/>
          <w:lang w:val="uk-UA"/>
        </w:rPr>
      </w:pPr>
    </w:p>
    <w:p w14:paraId="70A8333D" w14:textId="77777777" w:rsidR="000D0438" w:rsidRDefault="000D0438" w:rsidP="000A5A99">
      <w:pPr>
        <w:ind w:firstLine="709"/>
        <w:jc w:val="center"/>
        <w:rPr>
          <w:rFonts w:ascii="Times New Roman" w:hAnsi="Times New Roman"/>
          <w:b/>
          <w:color w:val="000000"/>
          <w:szCs w:val="20"/>
          <w:lang w:val="uk-UA"/>
        </w:rPr>
      </w:pPr>
    </w:p>
    <w:p w14:paraId="7FC2A2F8" w14:textId="77777777" w:rsidR="000D0438" w:rsidRDefault="000D0438" w:rsidP="000A5A99">
      <w:pPr>
        <w:ind w:firstLine="709"/>
        <w:jc w:val="center"/>
        <w:rPr>
          <w:rFonts w:ascii="Times New Roman" w:hAnsi="Times New Roman"/>
          <w:b/>
          <w:color w:val="000000"/>
          <w:szCs w:val="20"/>
          <w:lang w:val="uk-UA"/>
        </w:rPr>
      </w:pPr>
    </w:p>
    <w:p w14:paraId="68F2EF04" w14:textId="77777777" w:rsidR="000D0438" w:rsidRDefault="000D0438" w:rsidP="000A5A99">
      <w:pPr>
        <w:ind w:firstLine="709"/>
        <w:jc w:val="center"/>
        <w:rPr>
          <w:rFonts w:ascii="Times New Roman" w:hAnsi="Times New Roman"/>
          <w:b/>
          <w:color w:val="000000"/>
          <w:szCs w:val="20"/>
          <w:lang w:val="uk-UA"/>
        </w:rPr>
      </w:pPr>
    </w:p>
    <w:p w14:paraId="4AC84E16" w14:textId="77777777" w:rsidR="000D0438" w:rsidRDefault="000D0438" w:rsidP="000A5A99">
      <w:pPr>
        <w:ind w:firstLine="709"/>
        <w:jc w:val="center"/>
        <w:rPr>
          <w:rFonts w:ascii="Times New Roman" w:hAnsi="Times New Roman"/>
          <w:b/>
          <w:color w:val="000000"/>
          <w:szCs w:val="20"/>
          <w:lang w:val="uk-UA"/>
        </w:rPr>
      </w:pPr>
    </w:p>
    <w:p w14:paraId="01686F79" w14:textId="77777777" w:rsidR="000D0438" w:rsidRDefault="000D0438" w:rsidP="000A5A99">
      <w:pPr>
        <w:ind w:firstLine="709"/>
        <w:jc w:val="center"/>
        <w:rPr>
          <w:rFonts w:ascii="Times New Roman" w:hAnsi="Times New Roman"/>
          <w:b/>
          <w:color w:val="000000"/>
          <w:szCs w:val="20"/>
          <w:lang w:val="uk-UA"/>
        </w:rPr>
      </w:pPr>
    </w:p>
    <w:p w14:paraId="1E892164" w14:textId="77777777" w:rsidR="000D0438" w:rsidRDefault="000D0438" w:rsidP="000A5A99">
      <w:pPr>
        <w:ind w:firstLine="709"/>
        <w:jc w:val="center"/>
        <w:rPr>
          <w:rFonts w:ascii="Times New Roman" w:hAnsi="Times New Roman"/>
          <w:b/>
          <w:color w:val="000000"/>
          <w:szCs w:val="20"/>
          <w:lang w:val="uk-UA"/>
        </w:rPr>
      </w:pPr>
    </w:p>
    <w:p w14:paraId="0DD2C828" w14:textId="77777777" w:rsidR="000D0438" w:rsidRDefault="000D0438" w:rsidP="000A5A99">
      <w:pPr>
        <w:ind w:firstLine="709"/>
        <w:jc w:val="center"/>
        <w:rPr>
          <w:rFonts w:ascii="Times New Roman" w:hAnsi="Times New Roman"/>
          <w:b/>
          <w:color w:val="000000"/>
          <w:szCs w:val="20"/>
          <w:lang w:val="uk-UA"/>
        </w:rPr>
      </w:pPr>
    </w:p>
    <w:p w14:paraId="6A5568CE" w14:textId="77777777" w:rsidR="000D0438" w:rsidRDefault="000D0438" w:rsidP="000A5A99">
      <w:pPr>
        <w:ind w:firstLine="709"/>
        <w:jc w:val="center"/>
        <w:rPr>
          <w:rFonts w:ascii="Times New Roman" w:hAnsi="Times New Roman"/>
          <w:b/>
          <w:color w:val="000000"/>
          <w:szCs w:val="20"/>
          <w:lang w:val="uk-UA"/>
        </w:rPr>
      </w:pPr>
    </w:p>
    <w:p w14:paraId="69A286DB" w14:textId="77777777" w:rsidR="000D0438" w:rsidRDefault="000D0438" w:rsidP="000A5A99">
      <w:pPr>
        <w:ind w:firstLine="709"/>
        <w:jc w:val="center"/>
        <w:rPr>
          <w:rFonts w:ascii="Times New Roman" w:hAnsi="Times New Roman"/>
          <w:b/>
          <w:color w:val="000000"/>
          <w:szCs w:val="20"/>
          <w:lang w:val="uk-UA"/>
        </w:rPr>
      </w:pPr>
    </w:p>
    <w:p w14:paraId="1B1C63D1" w14:textId="77777777" w:rsidR="000D0438" w:rsidRDefault="000D0438" w:rsidP="000A5A99">
      <w:pPr>
        <w:ind w:firstLine="709"/>
        <w:jc w:val="center"/>
        <w:rPr>
          <w:rFonts w:ascii="Times New Roman" w:hAnsi="Times New Roman"/>
          <w:b/>
          <w:color w:val="000000"/>
          <w:szCs w:val="20"/>
          <w:lang w:val="uk-UA"/>
        </w:rPr>
      </w:pPr>
    </w:p>
    <w:p w14:paraId="2B2DFDC0" w14:textId="77777777" w:rsidR="000D0438" w:rsidRDefault="000D0438" w:rsidP="000A5A99">
      <w:pPr>
        <w:ind w:firstLine="709"/>
        <w:jc w:val="center"/>
        <w:rPr>
          <w:rFonts w:ascii="Times New Roman" w:hAnsi="Times New Roman"/>
          <w:b/>
          <w:color w:val="000000"/>
          <w:szCs w:val="20"/>
          <w:lang w:val="uk-UA"/>
        </w:rPr>
      </w:pPr>
    </w:p>
    <w:p w14:paraId="1E6C8AC4" w14:textId="77777777" w:rsidR="000A5A99" w:rsidRPr="00E16672" w:rsidRDefault="000A5A99" w:rsidP="000A5A99">
      <w:pPr>
        <w:ind w:firstLine="709"/>
        <w:jc w:val="center"/>
        <w:rPr>
          <w:rFonts w:ascii="Times New Roman" w:hAnsi="Times New Roman"/>
          <w:b/>
          <w:color w:val="000000"/>
          <w:szCs w:val="20"/>
          <w:lang w:val="uk-UA"/>
        </w:rPr>
      </w:pPr>
      <w:r w:rsidRPr="00E16672">
        <w:rPr>
          <w:rFonts w:ascii="Times New Roman" w:hAnsi="Times New Roman"/>
          <w:b/>
          <w:color w:val="000000"/>
          <w:szCs w:val="20"/>
          <w:lang w:val="uk-UA"/>
        </w:rPr>
        <w:t xml:space="preserve">Договір </w:t>
      </w:r>
    </w:p>
    <w:p w14:paraId="451436C7" w14:textId="77777777" w:rsidR="000A5A99" w:rsidRPr="00E16672" w:rsidRDefault="000A5A99" w:rsidP="000A5A99">
      <w:pPr>
        <w:ind w:firstLine="709"/>
        <w:jc w:val="center"/>
        <w:rPr>
          <w:rFonts w:ascii="Times New Roman" w:hAnsi="Times New Roman"/>
          <w:b/>
          <w:color w:val="000000"/>
          <w:szCs w:val="20"/>
          <w:lang w:val="uk-UA"/>
        </w:rPr>
      </w:pPr>
      <w:r w:rsidRPr="00E16672">
        <w:rPr>
          <w:rFonts w:ascii="Times New Roman" w:hAnsi="Times New Roman"/>
          <w:b/>
          <w:color w:val="000000"/>
          <w:szCs w:val="20"/>
          <w:lang w:val="uk-UA"/>
        </w:rPr>
        <w:t xml:space="preserve">про обслуговування (відкриття) рахунків </w:t>
      </w:r>
      <w:r w:rsidR="00C22309" w:rsidRPr="00E16672">
        <w:rPr>
          <w:rFonts w:ascii="Times New Roman" w:hAnsi="Times New Roman"/>
          <w:b/>
          <w:color w:val="000000"/>
          <w:szCs w:val="20"/>
          <w:lang w:val="uk-UA"/>
        </w:rPr>
        <w:t>в цін</w:t>
      </w:r>
      <w:r w:rsidRPr="00E16672">
        <w:rPr>
          <w:rFonts w:ascii="Times New Roman" w:hAnsi="Times New Roman"/>
          <w:b/>
          <w:color w:val="000000"/>
          <w:szCs w:val="20"/>
          <w:lang w:val="uk-UA"/>
        </w:rPr>
        <w:t>них паперах</w:t>
      </w:r>
    </w:p>
    <w:p w14:paraId="33864543" w14:textId="77777777" w:rsidR="000A5A99" w:rsidRPr="00E16672" w:rsidRDefault="000A5A99" w:rsidP="000A5A99">
      <w:pPr>
        <w:ind w:firstLine="709"/>
        <w:jc w:val="center"/>
        <w:rPr>
          <w:rFonts w:ascii="Times New Roman" w:hAnsi="Times New Roman"/>
          <w:b/>
          <w:color w:val="000000"/>
          <w:szCs w:val="20"/>
          <w:lang w:val="uk-UA"/>
        </w:rPr>
      </w:pPr>
      <w:r w:rsidRPr="00E16672">
        <w:rPr>
          <w:rFonts w:ascii="Times New Roman" w:hAnsi="Times New Roman"/>
          <w:b/>
          <w:color w:val="000000"/>
          <w:szCs w:val="20"/>
          <w:lang w:val="uk-UA"/>
        </w:rPr>
        <w:t>власників іменних цінних паперів  ____________________</w:t>
      </w:r>
    </w:p>
    <w:p w14:paraId="411BF46E" w14:textId="77777777" w:rsidR="000A5A99" w:rsidRPr="00E16672" w:rsidRDefault="000A5A99" w:rsidP="000A5A99">
      <w:pPr>
        <w:ind w:firstLine="709"/>
        <w:jc w:val="center"/>
        <w:rPr>
          <w:rFonts w:ascii="Times New Roman" w:hAnsi="Times New Roman"/>
          <w:b/>
          <w:color w:val="000000"/>
          <w:szCs w:val="20"/>
          <w:lang w:val="uk-UA"/>
        </w:rPr>
      </w:pPr>
      <w:r w:rsidRPr="00E16672">
        <w:rPr>
          <w:rFonts w:ascii="Times New Roman" w:hAnsi="Times New Roman"/>
          <w:b/>
          <w:color w:val="000000"/>
          <w:szCs w:val="20"/>
          <w:lang w:val="uk-UA"/>
        </w:rPr>
        <w:t>№ _________</w:t>
      </w:r>
    </w:p>
    <w:p w14:paraId="687CF8AD" w14:textId="77777777" w:rsidR="000A5A99" w:rsidRPr="00E16672" w:rsidRDefault="000A5A99" w:rsidP="000A5A99">
      <w:pPr>
        <w:ind w:firstLine="709"/>
        <w:rPr>
          <w:rFonts w:ascii="Times New Roman" w:hAnsi="Times New Roman"/>
          <w:color w:val="000000"/>
          <w:szCs w:val="20"/>
          <w:lang w:val="uk-UA"/>
        </w:rPr>
      </w:pPr>
    </w:p>
    <w:p w14:paraId="1D5CE116" w14:textId="77777777" w:rsidR="00186785" w:rsidRDefault="00186785" w:rsidP="00186785">
      <w:pPr>
        <w:jc w:val="center"/>
        <w:rPr>
          <w:rFonts w:ascii="Times New Roman" w:hAnsi="Times New Roman"/>
          <w:szCs w:val="20"/>
          <w:lang w:val="uk-UA"/>
        </w:rPr>
      </w:pPr>
      <w:r w:rsidRPr="00186785">
        <w:rPr>
          <w:rFonts w:ascii="Times New Roman" w:hAnsi="Times New Roman"/>
          <w:szCs w:val="20"/>
          <w:lang w:val="uk-UA"/>
        </w:rPr>
        <w:t xml:space="preserve">м. Київ </w:t>
      </w:r>
      <w:r w:rsidRPr="00186785">
        <w:rPr>
          <w:rFonts w:ascii="Times New Roman" w:hAnsi="Times New Roman"/>
          <w:szCs w:val="20"/>
          <w:lang w:val="uk-UA"/>
        </w:rPr>
        <w:tab/>
      </w:r>
      <w:r w:rsidRPr="00186785">
        <w:rPr>
          <w:rFonts w:ascii="Times New Roman" w:hAnsi="Times New Roman"/>
          <w:szCs w:val="20"/>
          <w:lang w:val="uk-UA"/>
        </w:rPr>
        <w:tab/>
      </w:r>
      <w:r>
        <w:rPr>
          <w:rFonts w:ascii="Times New Roman" w:hAnsi="Times New Roman"/>
          <w:szCs w:val="20"/>
          <w:lang w:val="uk-UA"/>
        </w:rPr>
        <w:tab/>
      </w:r>
      <w:r>
        <w:rPr>
          <w:rFonts w:ascii="Times New Roman" w:hAnsi="Times New Roman"/>
          <w:szCs w:val="20"/>
          <w:lang w:val="uk-UA"/>
        </w:rPr>
        <w:tab/>
      </w:r>
      <w:r>
        <w:rPr>
          <w:rFonts w:ascii="Times New Roman" w:hAnsi="Times New Roman"/>
          <w:szCs w:val="20"/>
          <w:lang w:val="uk-UA"/>
        </w:rPr>
        <w:tab/>
      </w:r>
      <w:r>
        <w:rPr>
          <w:rFonts w:ascii="Times New Roman" w:hAnsi="Times New Roman"/>
          <w:szCs w:val="20"/>
          <w:lang w:val="uk-UA"/>
        </w:rPr>
        <w:tab/>
      </w:r>
      <w:r>
        <w:rPr>
          <w:rFonts w:ascii="Times New Roman" w:hAnsi="Times New Roman"/>
          <w:szCs w:val="20"/>
          <w:lang w:val="uk-UA"/>
        </w:rPr>
        <w:tab/>
      </w:r>
      <w:r>
        <w:rPr>
          <w:rFonts w:ascii="Times New Roman" w:hAnsi="Times New Roman"/>
          <w:szCs w:val="20"/>
          <w:lang w:val="uk-UA"/>
        </w:rPr>
        <w:tab/>
      </w:r>
      <w:r w:rsidRPr="00186785">
        <w:rPr>
          <w:rFonts w:ascii="Times New Roman" w:hAnsi="Times New Roman"/>
          <w:szCs w:val="20"/>
          <w:lang w:val="uk-UA"/>
        </w:rPr>
        <w:tab/>
        <w:t>"       " ____________ 20____р.</w:t>
      </w:r>
    </w:p>
    <w:p w14:paraId="0F33D379" w14:textId="77777777" w:rsidR="00186785" w:rsidRPr="00186785" w:rsidRDefault="00186785" w:rsidP="00186785">
      <w:pPr>
        <w:jc w:val="center"/>
        <w:rPr>
          <w:rFonts w:ascii="Times New Roman" w:hAnsi="Times New Roman"/>
          <w:szCs w:val="20"/>
          <w:lang w:val="uk-UA"/>
        </w:rPr>
      </w:pPr>
    </w:p>
    <w:p w14:paraId="52449190" w14:textId="77777777" w:rsidR="000A5A99" w:rsidRPr="00E16672" w:rsidRDefault="009A7EA8" w:rsidP="006517E7">
      <w:pPr>
        <w:jc w:val="left"/>
        <w:rPr>
          <w:rFonts w:ascii="Times New Roman" w:hAnsi="Times New Roman"/>
          <w:color w:val="000000"/>
          <w:szCs w:val="20"/>
          <w:lang w:val="uk-UA"/>
        </w:rPr>
      </w:pPr>
      <w:r w:rsidRPr="00E16672">
        <w:rPr>
          <w:rFonts w:ascii="Times New Roman" w:hAnsi="Times New Roman"/>
          <w:color w:val="000000"/>
          <w:szCs w:val="20"/>
          <w:lang w:val="uk-UA"/>
        </w:rPr>
        <w:t xml:space="preserve">ТОВАРИСТВО З ОБМЕЖЕНОЮ ВІДПОВІДАЛЬНІСТЮ </w:t>
      </w:r>
      <w:r w:rsidR="00022F5F">
        <w:rPr>
          <w:rFonts w:ascii="Times New Roman" w:hAnsi="Times New Roman"/>
          <w:color w:val="000000"/>
          <w:szCs w:val="20"/>
          <w:lang w:val="uk-UA"/>
        </w:rPr>
        <w:t>"</w:t>
      </w:r>
      <w:r w:rsidR="00E16672" w:rsidRPr="00E16672">
        <w:rPr>
          <w:rFonts w:ascii="Times New Roman" w:hAnsi="Times New Roman"/>
          <w:color w:val="000000"/>
          <w:szCs w:val="20"/>
          <w:lang w:val="uk-UA"/>
        </w:rPr>
        <w:t>КОМЕКС ЦІННІ ПАПЕРИ</w:t>
      </w:r>
      <w:r w:rsidR="00022F5F">
        <w:rPr>
          <w:rFonts w:ascii="Times New Roman" w:hAnsi="Times New Roman"/>
          <w:color w:val="000000"/>
          <w:szCs w:val="20"/>
          <w:lang w:val="uk-UA"/>
        </w:rPr>
        <w:t>"</w:t>
      </w:r>
      <w:r w:rsidRPr="00E16672">
        <w:rPr>
          <w:rFonts w:ascii="Times New Roman" w:hAnsi="Times New Roman"/>
          <w:color w:val="000000"/>
          <w:szCs w:val="20"/>
          <w:lang w:val="uk-UA"/>
        </w:rPr>
        <w:t xml:space="preserve">, код за ЄДРПОУ </w:t>
      </w:r>
      <w:r w:rsidR="00E16672" w:rsidRPr="00E16672">
        <w:rPr>
          <w:rFonts w:ascii="Times New Roman" w:hAnsi="Times New Roman"/>
          <w:color w:val="000000"/>
          <w:szCs w:val="20"/>
          <w:lang w:val="uk-UA"/>
        </w:rPr>
        <w:t>33153077</w:t>
      </w:r>
      <w:r w:rsidRPr="00E16672">
        <w:rPr>
          <w:rFonts w:ascii="Times New Roman" w:hAnsi="Times New Roman"/>
          <w:color w:val="000000"/>
          <w:szCs w:val="20"/>
          <w:lang w:val="uk-UA"/>
        </w:rPr>
        <w:t xml:space="preserve"> (надалі – Депозитарна установа), що здійснює депозитарну діяльність депозитарної установи на підставі ліцензії серія АЕ №</w:t>
      </w:r>
      <w:r w:rsidR="00E16672" w:rsidRPr="00E16672">
        <w:rPr>
          <w:rFonts w:ascii="Times New Roman" w:hAnsi="Times New Roman"/>
          <w:color w:val="000000"/>
          <w:szCs w:val="20"/>
          <w:lang w:val="uk-UA"/>
        </w:rPr>
        <w:t>263429</w:t>
      </w:r>
      <w:r w:rsidRPr="00E16672">
        <w:rPr>
          <w:rFonts w:ascii="Times New Roman" w:hAnsi="Times New Roman"/>
          <w:color w:val="000000"/>
          <w:szCs w:val="20"/>
          <w:lang w:val="uk-UA"/>
        </w:rPr>
        <w:t xml:space="preserve">, виданої </w:t>
      </w:r>
      <w:r w:rsidR="00E16672" w:rsidRPr="00E16672">
        <w:rPr>
          <w:rFonts w:ascii="Times New Roman" w:hAnsi="Times New Roman"/>
          <w:color w:val="000000"/>
          <w:szCs w:val="20"/>
          <w:lang w:val="uk-UA"/>
        </w:rPr>
        <w:t>01.10.2013</w:t>
      </w:r>
      <w:r w:rsidRPr="00E16672">
        <w:rPr>
          <w:rFonts w:ascii="Times New Roman" w:hAnsi="Times New Roman"/>
          <w:color w:val="000000"/>
          <w:szCs w:val="20"/>
          <w:lang w:val="uk-UA"/>
        </w:rPr>
        <w:t xml:space="preserve"> р. Національною комісією з цінних паперів та фондового ринку (надалі – НКЦПФР), в особі директора </w:t>
      </w:r>
      <w:r w:rsidR="006517E7">
        <w:rPr>
          <w:rFonts w:ascii="Times New Roman" w:hAnsi="Times New Roman"/>
          <w:color w:val="000000"/>
          <w:szCs w:val="20"/>
          <w:lang w:val="uk-UA"/>
        </w:rPr>
        <w:t>Король Оксани Іванівни</w:t>
      </w:r>
      <w:r w:rsidRPr="00E16672">
        <w:rPr>
          <w:rFonts w:ascii="Times New Roman" w:hAnsi="Times New Roman"/>
          <w:color w:val="000000"/>
          <w:szCs w:val="20"/>
          <w:lang w:val="uk-UA"/>
        </w:rPr>
        <w:t xml:space="preserve"> , що діє на підставі Статуту,  з однієї сторони,</w:t>
      </w:r>
      <w:r w:rsidRPr="00E16672">
        <w:rPr>
          <w:rFonts w:ascii="Times New Roman" w:hAnsi="Times New Roman"/>
          <w:b/>
          <w:lang w:val="uk-UA"/>
        </w:rPr>
        <w:t xml:space="preserve"> </w:t>
      </w:r>
      <w:r w:rsidR="000A5A99" w:rsidRPr="00E16672">
        <w:rPr>
          <w:rFonts w:ascii="Times New Roman" w:hAnsi="Times New Roman"/>
          <w:color w:val="000000"/>
          <w:szCs w:val="20"/>
          <w:lang w:val="uk-UA"/>
        </w:rPr>
        <w:t>та ______________________________, (далі – Емітент) в особі _________________________________, який діє на підставі ____________, та діє в інтересах власників іменних цінних паперів _________________, (далі-Депоненти), з іншого боку, разом Сторони, окремо Сторона, уклали цей Договір про наступне:</w:t>
      </w:r>
    </w:p>
    <w:p w14:paraId="2B911B87" w14:textId="77777777" w:rsidR="005C5318" w:rsidRPr="00E16672" w:rsidRDefault="005C5318" w:rsidP="000A5A99">
      <w:pPr>
        <w:pStyle w:val="1"/>
        <w:widowControl w:val="0"/>
        <w:tabs>
          <w:tab w:val="left" w:pos="0"/>
          <w:tab w:val="left" w:pos="432"/>
        </w:tabs>
        <w:ind w:left="432" w:hanging="432"/>
        <w:rPr>
          <w:rFonts w:ascii="Times New Roman" w:eastAsia="Arial Unicode MS" w:hAnsi="Times New Roman" w:cs="Times New Roman"/>
          <w:color w:val="000000"/>
          <w:sz w:val="20"/>
          <w:lang w:val="uk-UA"/>
        </w:rPr>
      </w:pPr>
    </w:p>
    <w:p w14:paraId="78D9D831" w14:textId="77777777" w:rsidR="000A5A99" w:rsidRPr="00E16672" w:rsidRDefault="000A5A99" w:rsidP="000A5A99">
      <w:pPr>
        <w:pStyle w:val="1"/>
        <w:widowControl w:val="0"/>
        <w:tabs>
          <w:tab w:val="left" w:pos="0"/>
          <w:tab w:val="left" w:pos="432"/>
        </w:tabs>
        <w:ind w:left="432" w:hanging="432"/>
        <w:rPr>
          <w:rFonts w:ascii="Times New Roman" w:eastAsia="Arial Unicode MS" w:hAnsi="Times New Roman" w:cs="Times New Roman"/>
          <w:color w:val="000000"/>
          <w:sz w:val="20"/>
          <w:lang w:val="uk-UA"/>
        </w:rPr>
      </w:pPr>
      <w:r w:rsidRPr="00E16672">
        <w:rPr>
          <w:rFonts w:ascii="Times New Roman" w:eastAsia="Arial Unicode MS" w:hAnsi="Times New Roman" w:cs="Times New Roman"/>
          <w:color w:val="000000"/>
          <w:sz w:val="20"/>
          <w:lang w:val="uk-UA"/>
        </w:rPr>
        <w:t>1. ПРЕДМЕТ ДОГОВОРУ</w:t>
      </w:r>
    </w:p>
    <w:p w14:paraId="5847BAF2" w14:textId="77777777" w:rsidR="000A5A99" w:rsidRPr="00E16672" w:rsidRDefault="000A5A99" w:rsidP="000A5A99">
      <w:pPr>
        <w:rPr>
          <w:rFonts w:ascii="Times New Roman" w:hAnsi="Times New Roman"/>
          <w:color w:val="000000"/>
          <w:szCs w:val="20"/>
          <w:lang w:val="uk-UA"/>
        </w:rPr>
      </w:pPr>
      <w:r w:rsidRPr="00E16672">
        <w:rPr>
          <w:rFonts w:ascii="Times New Roman" w:eastAsia="Arial Unicode MS" w:hAnsi="Times New Roman"/>
          <w:color w:val="000000"/>
          <w:szCs w:val="20"/>
          <w:lang w:val="uk-UA"/>
        </w:rPr>
        <w:t xml:space="preserve">1.1. </w:t>
      </w:r>
      <w:proofErr w:type="spellStart"/>
      <w:r w:rsidRPr="00E16672">
        <w:rPr>
          <w:rFonts w:ascii="Times New Roman" w:hAnsi="Times New Roman"/>
          <w:color w:val="000000"/>
          <w:szCs w:val="20"/>
        </w:rPr>
        <w:t>Депозитарна</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установа</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зобов’язується</w:t>
      </w:r>
      <w:proofErr w:type="spellEnd"/>
      <w:r w:rsidRPr="00E16672">
        <w:rPr>
          <w:rFonts w:ascii="Times New Roman" w:hAnsi="Times New Roman"/>
          <w:color w:val="000000"/>
          <w:szCs w:val="20"/>
        </w:rPr>
        <w:t xml:space="preserve"> у порядку, </w:t>
      </w:r>
      <w:proofErr w:type="spellStart"/>
      <w:r w:rsidRPr="00E16672">
        <w:rPr>
          <w:rFonts w:ascii="Times New Roman" w:hAnsi="Times New Roman"/>
          <w:color w:val="000000"/>
          <w:szCs w:val="20"/>
        </w:rPr>
        <w:t>передбаченому</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законодавством</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внутрішніми</w:t>
      </w:r>
      <w:proofErr w:type="spellEnd"/>
      <w:r w:rsidRPr="00E16672">
        <w:rPr>
          <w:rFonts w:ascii="Times New Roman" w:hAnsi="Times New Roman"/>
          <w:color w:val="000000"/>
          <w:szCs w:val="20"/>
        </w:rPr>
        <w:t xml:space="preserve"> документами </w:t>
      </w:r>
      <w:proofErr w:type="spellStart"/>
      <w:r w:rsidRPr="00E16672">
        <w:rPr>
          <w:rFonts w:ascii="Times New Roman" w:hAnsi="Times New Roman"/>
          <w:color w:val="000000"/>
          <w:szCs w:val="20"/>
        </w:rPr>
        <w:t>Депозитарної</w:t>
      </w:r>
      <w:proofErr w:type="spellEnd"/>
      <w:r w:rsidRPr="00E16672">
        <w:rPr>
          <w:rFonts w:ascii="Times New Roman" w:hAnsi="Times New Roman"/>
          <w:color w:val="000000"/>
          <w:szCs w:val="20"/>
        </w:rPr>
        <w:t xml:space="preserve"> установи та </w:t>
      </w:r>
      <w:proofErr w:type="spellStart"/>
      <w:r w:rsidRPr="00E16672">
        <w:rPr>
          <w:rFonts w:ascii="Times New Roman" w:hAnsi="Times New Roman"/>
          <w:color w:val="000000"/>
          <w:szCs w:val="20"/>
        </w:rPr>
        <w:t>цим</w:t>
      </w:r>
      <w:proofErr w:type="spellEnd"/>
      <w:r w:rsidRPr="00E16672">
        <w:rPr>
          <w:rFonts w:ascii="Times New Roman" w:hAnsi="Times New Roman"/>
          <w:color w:val="000000"/>
          <w:szCs w:val="20"/>
        </w:rPr>
        <w:t xml:space="preserve"> Договором, </w:t>
      </w:r>
      <w:proofErr w:type="spellStart"/>
      <w:r w:rsidRPr="00E16672">
        <w:rPr>
          <w:rFonts w:ascii="Times New Roman" w:hAnsi="Times New Roman"/>
          <w:color w:val="000000"/>
          <w:szCs w:val="20"/>
        </w:rPr>
        <w:t>прийняти</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від</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Емітента</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реєстр</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власників</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іменних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цінних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паперів</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далі</w:t>
      </w:r>
      <w:proofErr w:type="spellEnd"/>
      <w:r w:rsidRPr="00E16672">
        <w:rPr>
          <w:rFonts w:ascii="Times New Roman" w:hAnsi="Times New Roman"/>
          <w:color w:val="000000"/>
          <w:szCs w:val="20"/>
        </w:rPr>
        <w:t xml:space="preserve"> – </w:t>
      </w:r>
      <w:proofErr w:type="spellStart"/>
      <w:r w:rsidRPr="00E16672">
        <w:rPr>
          <w:rFonts w:ascii="Times New Roman" w:hAnsi="Times New Roman"/>
          <w:color w:val="000000"/>
          <w:szCs w:val="20"/>
        </w:rPr>
        <w:t>Реєстр</w:t>
      </w:r>
      <w:proofErr w:type="spellEnd"/>
      <w:r w:rsidRPr="00E16672">
        <w:rPr>
          <w:rFonts w:ascii="Times New Roman" w:hAnsi="Times New Roman"/>
          <w:color w:val="000000"/>
          <w:szCs w:val="20"/>
        </w:rPr>
        <w:t xml:space="preserve">) та </w:t>
      </w:r>
      <w:proofErr w:type="spellStart"/>
      <w:r w:rsidRPr="00E16672">
        <w:rPr>
          <w:rFonts w:ascii="Times New Roman" w:hAnsi="Times New Roman"/>
          <w:color w:val="000000"/>
          <w:szCs w:val="20"/>
        </w:rPr>
        <w:t>інші</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документи</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визначені</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законодавством</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відкрити</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рахунки</w:t>
      </w:r>
      <w:proofErr w:type="spellEnd"/>
      <w:r w:rsidRPr="00E16672">
        <w:rPr>
          <w:rFonts w:ascii="Times New Roman" w:hAnsi="Times New Roman"/>
          <w:color w:val="000000"/>
          <w:szCs w:val="20"/>
        </w:rPr>
        <w:t xml:space="preserve"> </w:t>
      </w:r>
      <w:r w:rsidR="00C22309" w:rsidRPr="00E16672">
        <w:rPr>
          <w:rFonts w:ascii="Times New Roman" w:hAnsi="Times New Roman"/>
          <w:color w:val="000000"/>
          <w:szCs w:val="20"/>
        </w:rPr>
        <w:t xml:space="preserve">в </w:t>
      </w:r>
      <w:proofErr w:type="spellStart"/>
      <w:r w:rsidR="00C22309" w:rsidRPr="00E16672">
        <w:rPr>
          <w:rFonts w:ascii="Times New Roman" w:hAnsi="Times New Roman"/>
          <w:color w:val="000000"/>
          <w:szCs w:val="20"/>
        </w:rPr>
        <w:t>цін</w:t>
      </w:r>
      <w:r w:rsidRPr="00E16672">
        <w:rPr>
          <w:rFonts w:ascii="Times New Roman" w:hAnsi="Times New Roman"/>
          <w:color w:val="000000"/>
          <w:szCs w:val="20"/>
        </w:rPr>
        <w:t>них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паперах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власникам</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цінних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паперів</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Емітента</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зазначеним</w:t>
      </w:r>
      <w:proofErr w:type="spellEnd"/>
      <w:r w:rsidRPr="00E16672">
        <w:rPr>
          <w:rFonts w:ascii="Times New Roman" w:hAnsi="Times New Roman"/>
          <w:color w:val="000000"/>
          <w:szCs w:val="20"/>
        </w:rPr>
        <w:t xml:space="preserve"> у </w:t>
      </w:r>
      <w:proofErr w:type="spellStart"/>
      <w:r w:rsidRPr="00E16672">
        <w:rPr>
          <w:rFonts w:ascii="Times New Roman" w:hAnsi="Times New Roman"/>
          <w:color w:val="000000"/>
          <w:szCs w:val="20"/>
        </w:rPr>
        <w:t>переданому</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їй</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Реєстрі</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далі</w:t>
      </w:r>
      <w:proofErr w:type="spellEnd"/>
      <w:r w:rsidRPr="00E16672">
        <w:rPr>
          <w:rFonts w:ascii="Times New Roman" w:hAnsi="Times New Roman"/>
          <w:color w:val="000000"/>
          <w:szCs w:val="20"/>
        </w:rPr>
        <w:t xml:space="preserve"> – </w:t>
      </w:r>
      <w:proofErr w:type="spellStart"/>
      <w:r w:rsidRPr="00E16672">
        <w:rPr>
          <w:rFonts w:ascii="Times New Roman" w:hAnsi="Times New Roman"/>
          <w:color w:val="000000"/>
          <w:szCs w:val="20"/>
        </w:rPr>
        <w:t>Власники</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зарахувати</w:t>
      </w:r>
      <w:proofErr w:type="spellEnd"/>
      <w:r w:rsidRPr="00E16672">
        <w:rPr>
          <w:rFonts w:ascii="Times New Roman" w:hAnsi="Times New Roman"/>
          <w:color w:val="000000"/>
          <w:szCs w:val="20"/>
        </w:rPr>
        <w:t xml:space="preserve"> на </w:t>
      </w:r>
      <w:proofErr w:type="spellStart"/>
      <w:r w:rsidRPr="00E16672">
        <w:rPr>
          <w:rFonts w:ascii="Times New Roman" w:hAnsi="Times New Roman"/>
          <w:color w:val="000000"/>
          <w:szCs w:val="20"/>
        </w:rPr>
        <w:t>вказані</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рахунки</w:t>
      </w:r>
      <w:proofErr w:type="spellEnd"/>
      <w:r w:rsidRPr="00E16672">
        <w:rPr>
          <w:rFonts w:ascii="Times New Roman" w:hAnsi="Times New Roman"/>
          <w:color w:val="000000"/>
          <w:szCs w:val="20"/>
        </w:rPr>
        <w:t xml:space="preserve"> права на </w:t>
      </w:r>
      <w:proofErr w:type="spellStart"/>
      <w:r w:rsidRPr="00E16672">
        <w:rPr>
          <w:rFonts w:ascii="Times New Roman" w:hAnsi="Times New Roman"/>
          <w:color w:val="000000"/>
          <w:szCs w:val="20"/>
        </w:rPr>
        <w:t>цінні</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папери</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Емітента</w:t>
      </w:r>
      <w:proofErr w:type="spellEnd"/>
      <w:r w:rsidRPr="00E16672">
        <w:rPr>
          <w:rFonts w:ascii="Times New Roman" w:hAnsi="Times New Roman"/>
          <w:color w:val="000000"/>
          <w:szCs w:val="20"/>
        </w:rPr>
        <w:t xml:space="preserve">, а </w:t>
      </w:r>
      <w:proofErr w:type="spellStart"/>
      <w:r w:rsidRPr="00E16672">
        <w:rPr>
          <w:rFonts w:ascii="Times New Roman" w:hAnsi="Times New Roman"/>
          <w:color w:val="000000"/>
          <w:szCs w:val="20"/>
        </w:rPr>
        <w:t>також</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забезпечити</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депозитарний</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облік</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цінних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паперів</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Емітента</w:t>
      </w:r>
      <w:proofErr w:type="spellEnd"/>
      <w:r w:rsidRPr="00E16672">
        <w:rPr>
          <w:rFonts w:ascii="Times New Roman" w:hAnsi="Times New Roman"/>
          <w:color w:val="000000"/>
          <w:szCs w:val="20"/>
        </w:rPr>
        <w:t xml:space="preserve"> на </w:t>
      </w:r>
      <w:proofErr w:type="spellStart"/>
      <w:r w:rsidRPr="00E16672">
        <w:rPr>
          <w:rFonts w:ascii="Times New Roman" w:hAnsi="Times New Roman"/>
          <w:color w:val="000000"/>
          <w:szCs w:val="20"/>
        </w:rPr>
        <w:t>відповідних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рахунках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Власників</w:t>
      </w:r>
      <w:proofErr w:type="spellEnd"/>
      <w:r w:rsidRPr="00E16672">
        <w:rPr>
          <w:rFonts w:ascii="Times New Roman" w:hAnsi="Times New Roman"/>
          <w:color w:val="000000"/>
          <w:szCs w:val="20"/>
        </w:rPr>
        <w:t xml:space="preserve">, а </w:t>
      </w:r>
      <w:proofErr w:type="spellStart"/>
      <w:r w:rsidRPr="00E16672">
        <w:rPr>
          <w:rFonts w:ascii="Times New Roman" w:hAnsi="Times New Roman"/>
          <w:color w:val="000000"/>
          <w:szCs w:val="20"/>
        </w:rPr>
        <w:t>Емітент</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зобов’язується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оплатити</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послуги</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Депозитарної</w:t>
      </w:r>
      <w:proofErr w:type="spellEnd"/>
      <w:r w:rsidRPr="00E16672">
        <w:rPr>
          <w:rFonts w:ascii="Times New Roman" w:hAnsi="Times New Roman"/>
          <w:color w:val="000000"/>
          <w:szCs w:val="20"/>
        </w:rPr>
        <w:t xml:space="preserve"> установи.</w:t>
      </w:r>
    </w:p>
    <w:p w14:paraId="52DBCC86" w14:textId="77777777" w:rsidR="000A5A99" w:rsidRPr="00E16672" w:rsidRDefault="000A5A99" w:rsidP="000A5A99">
      <w:pPr>
        <w:tabs>
          <w:tab w:val="center" w:pos="5323"/>
        </w:tabs>
        <w:rPr>
          <w:rFonts w:ascii="Times New Roman" w:hAnsi="Times New Roman"/>
          <w:color w:val="000000"/>
          <w:szCs w:val="20"/>
          <w:lang w:val="uk-UA"/>
        </w:rPr>
      </w:pPr>
      <w:r w:rsidRPr="00E16672">
        <w:rPr>
          <w:rFonts w:ascii="Times New Roman" w:hAnsi="Times New Roman"/>
          <w:color w:val="000000"/>
          <w:szCs w:val="20"/>
          <w:lang w:val="uk-UA"/>
        </w:rPr>
        <w:t xml:space="preserve">У разі втрати або несанкціонованого знищення реєстру власників іменних цінних паперів, переданого Центральному депозитарію відповідно до законодавства, Депозитарна установа відкриває рахунки </w:t>
      </w:r>
      <w:r w:rsidR="00C22309" w:rsidRPr="00E16672">
        <w:rPr>
          <w:rFonts w:ascii="Times New Roman" w:hAnsi="Times New Roman"/>
          <w:color w:val="000000"/>
          <w:szCs w:val="20"/>
          <w:lang w:val="uk-UA"/>
        </w:rPr>
        <w:t>в цін</w:t>
      </w:r>
      <w:r w:rsidRPr="00E16672">
        <w:rPr>
          <w:rFonts w:ascii="Times New Roman" w:hAnsi="Times New Roman"/>
          <w:color w:val="000000"/>
          <w:szCs w:val="20"/>
          <w:lang w:val="uk-UA"/>
        </w:rPr>
        <w:t>них паперах власникам цінних паперів Емітента, на підставі інформаційної довідки про власників цінних паперів Емітента та належних їм цінних паперів, отриманої від Центрального депозитарія як уповноваженого на зберігання</w:t>
      </w:r>
    </w:p>
    <w:p w14:paraId="55421F1F" w14:textId="77777777" w:rsidR="000A5A99" w:rsidRPr="00E16672" w:rsidRDefault="000A5A99" w:rsidP="000A5A99">
      <w:pPr>
        <w:tabs>
          <w:tab w:val="center" w:pos="5323"/>
        </w:tabs>
        <w:rPr>
          <w:rFonts w:ascii="Times New Roman" w:hAnsi="Times New Roman"/>
          <w:color w:val="000000"/>
          <w:szCs w:val="20"/>
          <w:lang w:val="uk-UA"/>
        </w:rPr>
      </w:pPr>
      <w:r w:rsidRPr="00E16672">
        <w:rPr>
          <w:rFonts w:ascii="Times New Roman" w:hAnsi="Times New Roman"/>
          <w:color w:val="000000"/>
          <w:szCs w:val="20"/>
          <w:lang w:val="uk-UA"/>
        </w:rPr>
        <w:t xml:space="preserve">У разі, якщо реєстр власників іменних цінних паперів втрачений, Депозитарна установа відкриває рахунки </w:t>
      </w:r>
      <w:r w:rsidR="00C22309" w:rsidRPr="00E16672">
        <w:rPr>
          <w:rFonts w:ascii="Times New Roman" w:hAnsi="Times New Roman"/>
          <w:color w:val="000000"/>
          <w:szCs w:val="20"/>
          <w:lang w:val="uk-UA"/>
        </w:rPr>
        <w:t>в цін</w:t>
      </w:r>
      <w:r w:rsidRPr="00E16672">
        <w:rPr>
          <w:rFonts w:ascii="Times New Roman" w:hAnsi="Times New Roman"/>
          <w:color w:val="000000"/>
          <w:szCs w:val="20"/>
          <w:lang w:val="uk-UA"/>
        </w:rPr>
        <w:t>них паперах власникам цінних паперів Емітента на підставі інформаційної довідки від Емітента про власників цінних паперів Емітента та належних їм цінних паперів.</w:t>
      </w:r>
    </w:p>
    <w:p w14:paraId="64B0DE6C" w14:textId="77777777" w:rsidR="000A5A99" w:rsidRPr="00E16672" w:rsidRDefault="000A5A99" w:rsidP="000A5A99">
      <w:pPr>
        <w:rPr>
          <w:rFonts w:ascii="Times New Roman" w:eastAsia="Arial Unicode MS" w:hAnsi="Times New Roman"/>
          <w:bCs/>
          <w:color w:val="000000"/>
          <w:szCs w:val="20"/>
          <w:lang w:val="uk-UA"/>
        </w:rPr>
      </w:pPr>
      <w:r w:rsidRPr="00E16672">
        <w:rPr>
          <w:rFonts w:ascii="Times New Roman" w:eastAsia="Arial Unicode MS" w:hAnsi="Times New Roman"/>
          <w:color w:val="000000"/>
          <w:szCs w:val="20"/>
          <w:lang w:val="uk-UA"/>
        </w:rPr>
        <w:t xml:space="preserve">1.2. </w:t>
      </w:r>
      <w:r w:rsidRPr="00E16672">
        <w:rPr>
          <w:rFonts w:ascii="Times New Roman" w:eastAsia="Arial Unicode MS" w:hAnsi="Times New Roman"/>
          <w:bCs/>
          <w:color w:val="000000"/>
          <w:szCs w:val="20"/>
          <w:lang w:val="uk-UA"/>
        </w:rPr>
        <w:t>Депозитарні послуги, визначені у п.1.1. Договору, повинні бути якісними  згідно нормативно-правових актів та чинного законодавства України, які регламентують депозитарну діяльність Депозитарної установи.</w:t>
      </w:r>
    </w:p>
    <w:p w14:paraId="7051C03B" w14:textId="22846B75" w:rsidR="000A5A99" w:rsidRPr="00E16672" w:rsidRDefault="000A5A99" w:rsidP="000A5A99">
      <w:pPr>
        <w:pStyle w:val="22"/>
        <w:widowControl w:val="0"/>
        <w:ind w:firstLine="567"/>
        <w:rPr>
          <w:rFonts w:ascii="Times New Roman" w:eastAsia="Arial Unicode MS" w:hAnsi="Times New Roman"/>
          <w:color w:val="000000"/>
        </w:rPr>
      </w:pPr>
      <w:r w:rsidRPr="00E16672">
        <w:rPr>
          <w:rFonts w:ascii="Times New Roman" w:eastAsia="Arial Unicode MS" w:hAnsi="Times New Roman"/>
          <w:color w:val="000000"/>
        </w:rPr>
        <w:t xml:space="preserve">1.3. Виконання Депозитарною установою додаткових послуг та операцій, що не </w:t>
      </w:r>
      <w:r w:rsidR="00C80094" w:rsidRPr="00C80094">
        <w:rPr>
          <w:rFonts w:ascii="Times New Roman" w:eastAsia="Arial Unicode MS" w:hAnsi="Times New Roman"/>
          <w:color w:val="000000"/>
        </w:rPr>
        <w:t>суперечать</w:t>
      </w:r>
      <w:r w:rsidRPr="00E16672">
        <w:rPr>
          <w:rFonts w:ascii="Times New Roman" w:eastAsia="Arial Unicode MS" w:hAnsi="Times New Roman"/>
          <w:color w:val="000000"/>
        </w:rPr>
        <w:t xml:space="preserve"> чинному законодавству України, оформлюється додатковими угодами, які з моменту їх підписання стають невід’ємною частиною цього Договору.</w:t>
      </w:r>
    </w:p>
    <w:p w14:paraId="0B487FF6" w14:textId="77777777" w:rsidR="000A5A99" w:rsidRPr="00E16672" w:rsidRDefault="000A5A99" w:rsidP="000A5A99">
      <w:pPr>
        <w:pStyle w:val="22"/>
        <w:widowControl w:val="0"/>
        <w:ind w:firstLine="567"/>
        <w:rPr>
          <w:rFonts w:ascii="Times New Roman" w:eastAsia="Arial Unicode MS" w:hAnsi="Times New Roman"/>
          <w:color w:val="000000"/>
        </w:rPr>
      </w:pPr>
      <w:r w:rsidRPr="00E16672">
        <w:rPr>
          <w:rFonts w:ascii="Times New Roman" w:eastAsia="Arial Unicode MS" w:hAnsi="Times New Roman"/>
          <w:color w:val="000000"/>
        </w:rPr>
        <w:t>1.4. Депозитарна установа</w:t>
      </w:r>
      <w:r w:rsidRPr="00E16672">
        <w:rPr>
          <w:rFonts w:ascii="Times New Roman" w:hAnsi="Times New Roman"/>
          <w:color w:val="000000"/>
        </w:rPr>
        <w:t xml:space="preserve"> на підставі цього Договору здійснює депозитарну діяльність щодо іменних акцій Емітента, які належать Власникам акцій, загальною номінальною вартістю _____________.</w:t>
      </w:r>
      <w:r w:rsidRPr="00E16672">
        <w:rPr>
          <w:rFonts w:ascii="Times New Roman" w:eastAsia="Arial Unicode MS" w:hAnsi="Times New Roman"/>
          <w:color w:val="000000"/>
        </w:rPr>
        <w:t xml:space="preserve">У разі зміни номінальної вартості/списання/зарахування іменних акцій Емітента з (на) рахунків (рахунки) </w:t>
      </w:r>
      <w:r w:rsidR="00C22309" w:rsidRPr="00E16672">
        <w:rPr>
          <w:rFonts w:ascii="Times New Roman" w:eastAsia="Arial Unicode MS" w:hAnsi="Times New Roman"/>
          <w:color w:val="000000"/>
        </w:rPr>
        <w:t>в цін</w:t>
      </w:r>
      <w:r w:rsidRPr="00E16672">
        <w:rPr>
          <w:rFonts w:ascii="Times New Roman" w:eastAsia="Arial Unicode MS" w:hAnsi="Times New Roman"/>
          <w:color w:val="000000"/>
        </w:rPr>
        <w:t>них паперах Власників акцій у випадках, передбачених цим Договором, загальна номінальна вартість іменних акцій Емітента, щодо яких Депозитарна установа на підставі цього Договору здійснює депозитарну діяльність, змінюється відповідно та не потребує внесення змін до Договору.</w:t>
      </w:r>
    </w:p>
    <w:p w14:paraId="7761C2D3" w14:textId="77777777" w:rsidR="000A5A99" w:rsidRPr="00E16672" w:rsidRDefault="000A5A99" w:rsidP="000A5A99">
      <w:pPr>
        <w:ind w:firstLine="540"/>
        <w:rPr>
          <w:rFonts w:ascii="Times New Roman" w:hAnsi="Times New Roman"/>
          <w:color w:val="000000"/>
          <w:szCs w:val="20"/>
        </w:rPr>
      </w:pPr>
      <w:r w:rsidRPr="00E16672">
        <w:rPr>
          <w:rFonts w:ascii="Times New Roman" w:hAnsi="Times New Roman"/>
          <w:color w:val="000000"/>
          <w:szCs w:val="20"/>
        </w:rPr>
        <w:lastRenderedPageBreak/>
        <w:t xml:space="preserve">1.5. </w:t>
      </w:r>
      <w:proofErr w:type="spellStart"/>
      <w:r w:rsidRPr="00E16672">
        <w:rPr>
          <w:rFonts w:ascii="Times New Roman" w:hAnsi="Times New Roman"/>
          <w:color w:val="000000"/>
          <w:szCs w:val="20"/>
        </w:rPr>
        <w:t>Обслуговування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операцій</w:t>
      </w:r>
      <w:proofErr w:type="spellEnd"/>
      <w:r w:rsidRPr="00E16672">
        <w:rPr>
          <w:rFonts w:ascii="Times New Roman" w:hAnsi="Times New Roman"/>
          <w:color w:val="000000"/>
          <w:szCs w:val="20"/>
        </w:rPr>
        <w:t xml:space="preserve"> на </w:t>
      </w:r>
      <w:proofErr w:type="spellStart"/>
      <w:r w:rsidRPr="00E16672">
        <w:rPr>
          <w:rFonts w:ascii="Times New Roman" w:hAnsi="Times New Roman"/>
          <w:color w:val="000000"/>
          <w:szCs w:val="20"/>
        </w:rPr>
        <w:t>рахунках</w:t>
      </w:r>
      <w:proofErr w:type="spellEnd"/>
      <w:r w:rsidRPr="00E16672">
        <w:rPr>
          <w:rFonts w:ascii="Times New Roman" w:hAnsi="Times New Roman"/>
          <w:color w:val="000000"/>
          <w:szCs w:val="20"/>
        </w:rPr>
        <w:t xml:space="preserve"> в </w:t>
      </w:r>
      <w:proofErr w:type="spellStart"/>
      <w:r w:rsidRPr="00E16672">
        <w:rPr>
          <w:rFonts w:ascii="Times New Roman" w:hAnsi="Times New Roman"/>
          <w:color w:val="000000"/>
          <w:szCs w:val="20"/>
        </w:rPr>
        <w:t>цінних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паперах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Власників</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крім</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операцій</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передбачених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цим</w:t>
      </w:r>
      <w:proofErr w:type="spellEnd"/>
      <w:r w:rsidRPr="00E16672">
        <w:rPr>
          <w:rFonts w:ascii="Times New Roman" w:hAnsi="Times New Roman"/>
          <w:color w:val="000000"/>
          <w:szCs w:val="20"/>
        </w:rPr>
        <w:t xml:space="preserve"> Договором, </w:t>
      </w:r>
      <w:proofErr w:type="spellStart"/>
      <w:r w:rsidRPr="00E16672">
        <w:rPr>
          <w:rFonts w:ascii="Times New Roman" w:hAnsi="Times New Roman"/>
          <w:color w:val="000000"/>
          <w:szCs w:val="20"/>
        </w:rPr>
        <w:t>Депозитарна</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установа</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здійснює</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тільки</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після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укладення</w:t>
      </w:r>
      <w:proofErr w:type="spellEnd"/>
      <w:r w:rsidRPr="00E16672">
        <w:rPr>
          <w:rFonts w:ascii="Times New Roman" w:hAnsi="Times New Roman"/>
          <w:color w:val="000000"/>
          <w:szCs w:val="20"/>
        </w:rPr>
        <w:t xml:space="preserve"> договору про </w:t>
      </w:r>
      <w:proofErr w:type="spellStart"/>
      <w:r w:rsidRPr="00E16672">
        <w:rPr>
          <w:rFonts w:ascii="Times New Roman" w:hAnsi="Times New Roman"/>
          <w:color w:val="000000"/>
          <w:szCs w:val="20"/>
        </w:rPr>
        <w:t>обслуговування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рахунку</w:t>
      </w:r>
      <w:proofErr w:type="spellEnd"/>
      <w:r w:rsidRPr="00E16672">
        <w:rPr>
          <w:rFonts w:ascii="Times New Roman" w:hAnsi="Times New Roman"/>
          <w:color w:val="000000"/>
          <w:szCs w:val="20"/>
        </w:rPr>
        <w:t xml:space="preserve"> </w:t>
      </w:r>
      <w:r w:rsidR="00C22309" w:rsidRPr="00E16672">
        <w:rPr>
          <w:rFonts w:ascii="Times New Roman" w:hAnsi="Times New Roman"/>
          <w:color w:val="000000"/>
          <w:szCs w:val="20"/>
        </w:rPr>
        <w:t xml:space="preserve">в </w:t>
      </w:r>
      <w:proofErr w:type="spellStart"/>
      <w:r w:rsidR="00C22309" w:rsidRPr="00E16672">
        <w:rPr>
          <w:rFonts w:ascii="Times New Roman" w:hAnsi="Times New Roman"/>
          <w:color w:val="000000"/>
          <w:szCs w:val="20"/>
        </w:rPr>
        <w:t>цін</w:t>
      </w:r>
      <w:r w:rsidRPr="00E16672">
        <w:rPr>
          <w:rFonts w:ascii="Times New Roman" w:hAnsi="Times New Roman"/>
          <w:color w:val="000000"/>
          <w:szCs w:val="20"/>
        </w:rPr>
        <w:t>них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паперах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між</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Власником</w:t>
      </w:r>
      <w:proofErr w:type="spellEnd"/>
      <w:r w:rsidRPr="00E16672">
        <w:rPr>
          <w:rFonts w:ascii="Times New Roman" w:hAnsi="Times New Roman"/>
          <w:color w:val="000000"/>
          <w:szCs w:val="20"/>
        </w:rPr>
        <w:t xml:space="preserve"> та Депозитарною </w:t>
      </w:r>
      <w:proofErr w:type="spellStart"/>
      <w:r w:rsidRPr="00E16672">
        <w:rPr>
          <w:rFonts w:ascii="Times New Roman" w:hAnsi="Times New Roman"/>
          <w:color w:val="000000"/>
          <w:szCs w:val="20"/>
        </w:rPr>
        <w:t>установою</w:t>
      </w:r>
      <w:proofErr w:type="spellEnd"/>
      <w:r w:rsidRPr="00E16672">
        <w:rPr>
          <w:rFonts w:ascii="Times New Roman" w:hAnsi="Times New Roman"/>
          <w:color w:val="000000"/>
          <w:szCs w:val="20"/>
        </w:rPr>
        <w:t>.</w:t>
      </w:r>
    </w:p>
    <w:p w14:paraId="7C7C1D46" w14:textId="77777777" w:rsidR="000A5A99" w:rsidRPr="00E16672" w:rsidRDefault="000A5A99" w:rsidP="00022F5F">
      <w:pPr>
        <w:tabs>
          <w:tab w:val="left" w:pos="450"/>
        </w:tabs>
        <w:jc w:val="left"/>
        <w:rPr>
          <w:rFonts w:ascii="Times New Roman" w:hAnsi="Times New Roman"/>
          <w:color w:val="000000"/>
          <w:szCs w:val="20"/>
        </w:rPr>
      </w:pPr>
      <w:r w:rsidRPr="00E16672">
        <w:rPr>
          <w:rFonts w:ascii="Times New Roman" w:hAnsi="Times New Roman"/>
          <w:color w:val="000000"/>
          <w:szCs w:val="20"/>
        </w:rPr>
        <w:t xml:space="preserve">1.6. </w:t>
      </w:r>
      <w:proofErr w:type="spellStart"/>
      <w:r w:rsidRPr="00E16672">
        <w:rPr>
          <w:rFonts w:ascii="Times New Roman" w:hAnsi="Times New Roman"/>
          <w:color w:val="000000"/>
          <w:szCs w:val="20"/>
        </w:rPr>
        <w:t>Цінні</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папери</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фінансовий</w:t>
      </w:r>
      <w:proofErr w:type="spellEnd"/>
      <w:r w:rsidRPr="00E16672">
        <w:rPr>
          <w:rFonts w:ascii="Times New Roman" w:hAnsi="Times New Roman"/>
          <w:color w:val="000000"/>
          <w:szCs w:val="20"/>
        </w:rPr>
        <w:t xml:space="preserve"> актив) </w:t>
      </w:r>
      <w:proofErr w:type="spellStart"/>
      <w:r w:rsidRPr="00E16672">
        <w:rPr>
          <w:rFonts w:ascii="Times New Roman" w:hAnsi="Times New Roman"/>
          <w:color w:val="000000"/>
          <w:szCs w:val="20"/>
        </w:rPr>
        <w:t>Власників</w:t>
      </w:r>
      <w:proofErr w:type="spellEnd"/>
      <w:r w:rsidRPr="00E16672">
        <w:rPr>
          <w:rFonts w:ascii="Times New Roman" w:hAnsi="Times New Roman"/>
          <w:color w:val="000000"/>
          <w:szCs w:val="20"/>
        </w:rPr>
        <w:t xml:space="preserve">, права на </w:t>
      </w:r>
      <w:proofErr w:type="spellStart"/>
      <w:r w:rsidRPr="00E16672">
        <w:rPr>
          <w:rFonts w:ascii="Times New Roman" w:hAnsi="Times New Roman"/>
          <w:color w:val="000000"/>
          <w:szCs w:val="20"/>
        </w:rPr>
        <w:t>які</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обліковуються</w:t>
      </w:r>
      <w:proofErr w:type="spellEnd"/>
      <w:r w:rsidRPr="00E16672">
        <w:rPr>
          <w:rFonts w:ascii="Times New Roman" w:hAnsi="Times New Roman"/>
          <w:color w:val="000000"/>
          <w:szCs w:val="20"/>
        </w:rPr>
        <w:t xml:space="preserve"> Депозитарною </w:t>
      </w:r>
      <w:proofErr w:type="spellStart"/>
      <w:r w:rsidRPr="00E16672">
        <w:rPr>
          <w:rFonts w:ascii="Times New Roman" w:hAnsi="Times New Roman"/>
          <w:color w:val="000000"/>
          <w:szCs w:val="20"/>
        </w:rPr>
        <w:t>установою</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відповідно</w:t>
      </w:r>
      <w:proofErr w:type="spellEnd"/>
      <w:r w:rsidRPr="00E16672">
        <w:rPr>
          <w:rFonts w:ascii="Times New Roman" w:hAnsi="Times New Roman"/>
          <w:color w:val="000000"/>
          <w:szCs w:val="20"/>
        </w:rPr>
        <w:t xml:space="preserve"> до умов </w:t>
      </w:r>
      <w:proofErr w:type="spellStart"/>
      <w:r w:rsidRPr="00E16672">
        <w:rPr>
          <w:rFonts w:ascii="Times New Roman" w:hAnsi="Times New Roman"/>
          <w:color w:val="000000"/>
          <w:szCs w:val="20"/>
        </w:rPr>
        <w:t>цього</w:t>
      </w:r>
      <w:proofErr w:type="spellEnd"/>
      <w:r w:rsidRPr="00E16672">
        <w:rPr>
          <w:rFonts w:ascii="Times New Roman" w:hAnsi="Times New Roman"/>
          <w:color w:val="000000"/>
          <w:szCs w:val="20"/>
        </w:rPr>
        <w:t xml:space="preserve"> Договору, </w:t>
      </w:r>
      <w:proofErr w:type="spellStart"/>
      <w:r w:rsidRPr="00E16672">
        <w:rPr>
          <w:rFonts w:ascii="Times New Roman" w:hAnsi="Times New Roman"/>
          <w:color w:val="000000"/>
          <w:szCs w:val="20"/>
        </w:rPr>
        <w:t>зберігаються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Центральним</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депозитарієм</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цінних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паперів</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відповідно</w:t>
      </w:r>
      <w:proofErr w:type="spellEnd"/>
      <w:r w:rsidRPr="00E16672">
        <w:rPr>
          <w:rFonts w:ascii="Times New Roman" w:hAnsi="Times New Roman"/>
          <w:color w:val="000000"/>
          <w:szCs w:val="20"/>
        </w:rPr>
        <w:t xml:space="preserve"> до Закону </w:t>
      </w:r>
      <w:proofErr w:type="spellStart"/>
      <w:r w:rsidRPr="00E16672">
        <w:rPr>
          <w:rFonts w:ascii="Times New Roman" w:hAnsi="Times New Roman"/>
          <w:color w:val="000000"/>
          <w:szCs w:val="20"/>
        </w:rPr>
        <w:t>України</w:t>
      </w:r>
      <w:proofErr w:type="spellEnd"/>
      <w:r w:rsidRPr="00E16672">
        <w:rPr>
          <w:rFonts w:ascii="Times New Roman" w:hAnsi="Times New Roman"/>
          <w:color w:val="000000"/>
          <w:szCs w:val="20"/>
        </w:rPr>
        <w:t xml:space="preserve"> </w:t>
      </w:r>
      <w:r w:rsidR="00022F5F">
        <w:rPr>
          <w:rFonts w:ascii="Times New Roman" w:hAnsi="Times New Roman"/>
          <w:color w:val="000000"/>
          <w:szCs w:val="20"/>
        </w:rPr>
        <w:t>"</w:t>
      </w:r>
      <w:r w:rsidRPr="00E16672">
        <w:rPr>
          <w:rFonts w:ascii="Times New Roman" w:hAnsi="Times New Roman"/>
          <w:color w:val="000000"/>
          <w:szCs w:val="20"/>
        </w:rPr>
        <w:t xml:space="preserve">Про </w:t>
      </w:r>
      <w:proofErr w:type="spellStart"/>
      <w:r w:rsidRPr="00E16672">
        <w:rPr>
          <w:rFonts w:ascii="Times New Roman" w:hAnsi="Times New Roman"/>
          <w:color w:val="000000"/>
          <w:szCs w:val="20"/>
        </w:rPr>
        <w:t>депозитарну</w:t>
      </w:r>
      <w:proofErr w:type="spellEnd"/>
      <w:r w:rsidRPr="00E16672">
        <w:rPr>
          <w:rFonts w:ascii="Times New Roman" w:hAnsi="Times New Roman"/>
          <w:color w:val="000000"/>
          <w:szCs w:val="20"/>
        </w:rPr>
        <w:t xml:space="preserve"> систему </w:t>
      </w:r>
      <w:proofErr w:type="spellStart"/>
      <w:r w:rsidRPr="00E16672">
        <w:rPr>
          <w:rFonts w:ascii="Times New Roman" w:hAnsi="Times New Roman"/>
          <w:color w:val="000000"/>
          <w:szCs w:val="20"/>
        </w:rPr>
        <w:t>України</w:t>
      </w:r>
      <w:proofErr w:type="spellEnd"/>
      <w:r w:rsidR="00022F5F">
        <w:rPr>
          <w:rFonts w:ascii="Times New Roman" w:hAnsi="Times New Roman"/>
          <w:color w:val="000000"/>
          <w:szCs w:val="20"/>
        </w:rPr>
        <w:t>"</w:t>
      </w:r>
      <w:r w:rsidRPr="00E16672">
        <w:rPr>
          <w:rFonts w:ascii="Times New Roman" w:hAnsi="Times New Roman"/>
          <w:color w:val="000000"/>
          <w:szCs w:val="20"/>
        </w:rPr>
        <w:t>.</w:t>
      </w:r>
    </w:p>
    <w:p w14:paraId="407BF3C0" w14:textId="77777777" w:rsidR="000A5A99" w:rsidRPr="00E16672" w:rsidRDefault="000A5A99" w:rsidP="000A5A99">
      <w:pPr>
        <w:rPr>
          <w:rFonts w:ascii="Times New Roman" w:eastAsia="Arial Unicode MS" w:hAnsi="Times New Roman"/>
          <w:color w:val="000000"/>
          <w:szCs w:val="20"/>
        </w:rPr>
      </w:pPr>
    </w:p>
    <w:p w14:paraId="6E42E730" w14:textId="77777777" w:rsidR="000A5A99" w:rsidRPr="00E16672" w:rsidRDefault="000A5A99" w:rsidP="000A5A99">
      <w:pPr>
        <w:jc w:val="center"/>
        <w:rPr>
          <w:rFonts w:ascii="Times New Roman" w:eastAsia="Arial Unicode MS" w:hAnsi="Times New Roman"/>
          <w:b/>
          <w:color w:val="000000"/>
          <w:szCs w:val="20"/>
          <w:lang w:val="uk-UA"/>
        </w:rPr>
      </w:pPr>
      <w:r w:rsidRPr="00E16672">
        <w:rPr>
          <w:rFonts w:ascii="Times New Roman" w:eastAsia="Arial Unicode MS" w:hAnsi="Times New Roman"/>
          <w:b/>
          <w:color w:val="000000"/>
          <w:szCs w:val="20"/>
          <w:lang w:val="uk-UA"/>
        </w:rPr>
        <w:t>2. ПРАВА ТА ОБОВ`ЯЗКИ СТОРІН</w:t>
      </w:r>
    </w:p>
    <w:p w14:paraId="17ABFF7F" w14:textId="77777777" w:rsidR="000A5A99" w:rsidRPr="00E16672" w:rsidRDefault="000A5A99" w:rsidP="000A5A99">
      <w:pPr>
        <w:tabs>
          <w:tab w:val="left" w:pos="774"/>
        </w:tabs>
        <w:ind w:firstLine="555"/>
        <w:rPr>
          <w:rFonts w:ascii="Times New Roman" w:eastAsia="Arial Unicode MS" w:hAnsi="Times New Roman"/>
          <w:b/>
          <w:color w:val="000000"/>
          <w:szCs w:val="20"/>
          <w:lang w:val="uk-UA"/>
        </w:rPr>
      </w:pPr>
      <w:r w:rsidRPr="00E16672">
        <w:rPr>
          <w:rFonts w:ascii="Times New Roman" w:eastAsia="Arial Unicode MS" w:hAnsi="Times New Roman"/>
          <w:b/>
          <w:color w:val="000000"/>
          <w:szCs w:val="20"/>
          <w:lang w:val="uk-UA"/>
        </w:rPr>
        <w:t>2.1. Депозитарна установа зобов`язана:</w:t>
      </w:r>
    </w:p>
    <w:p w14:paraId="3C7563B5" w14:textId="77777777" w:rsidR="000A5A99" w:rsidRPr="00E16672" w:rsidRDefault="000A5A99" w:rsidP="000A5A99">
      <w:pPr>
        <w:rPr>
          <w:rFonts w:ascii="Times New Roman" w:eastAsia="Arial Unicode MS" w:hAnsi="Times New Roman"/>
          <w:color w:val="000000"/>
          <w:szCs w:val="20"/>
          <w:lang w:val="uk-UA"/>
        </w:rPr>
      </w:pPr>
      <w:r w:rsidRPr="00E16672">
        <w:rPr>
          <w:rFonts w:ascii="Times New Roman" w:eastAsia="Arial Unicode MS" w:hAnsi="Times New Roman"/>
          <w:color w:val="000000"/>
          <w:szCs w:val="20"/>
          <w:lang w:val="uk-UA"/>
        </w:rPr>
        <w:t xml:space="preserve">2.1.1. Прийняти від </w:t>
      </w:r>
      <w:r w:rsidRPr="00E16672">
        <w:rPr>
          <w:rFonts w:ascii="Times New Roman" w:hAnsi="Times New Roman"/>
          <w:color w:val="000000"/>
          <w:szCs w:val="20"/>
          <w:lang w:val="uk-UA"/>
        </w:rPr>
        <w:t>Емітента Реєстр власників іменних цінних паперів та інші документи, визначені законодавством, на підставі акту приймання передачі, який підписується керівниками або уповноваженими представниками та засвідчується печатками Емітента</w:t>
      </w:r>
      <w:r w:rsidRPr="00E16672">
        <w:rPr>
          <w:rFonts w:ascii="Times New Roman" w:hAnsi="Times New Roman"/>
          <w:color w:val="000000"/>
          <w:sz w:val="22"/>
          <w:szCs w:val="22"/>
          <w:lang w:val="uk-UA"/>
        </w:rPr>
        <w:t xml:space="preserve"> </w:t>
      </w:r>
      <w:r w:rsidRPr="00E16672">
        <w:rPr>
          <w:rFonts w:ascii="Times New Roman" w:hAnsi="Times New Roman"/>
          <w:color w:val="000000"/>
          <w:szCs w:val="20"/>
          <w:lang w:val="uk-UA"/>
        </w:rPr>
        <w:t>(</w:t>
      </w:r>
      <w:r w:rsidR="003352AE" w:rsidRPr="00E16672">
        <w:rPr>
          <w:rFonts w:ascii="Times New Roman" w:hAnsi="Times New Roman"/>
          <w:color w:val="000000"/>
          <w:szCs w:val="20"/>
          <w:lang w:val="uk-UA"/>
        </w:rPr>
        <w:t>у разі використання</w:t>
      </w:r>
      <w:r w:rsidRPr="00E16672">
        <w:rPr>
          <w:rFonts w:ascii="Times New Roman" w:hAnsi="Times New Roman"/>
          <w:color w:val="000000"/>
          <w:szCs w:val="20"/>
          <w:lang w:val="uk-UA"/>
        </w:rPr>
        <w:t>)  і Депозитарної установи.</w:t>
      </w:r>
    </w:p>
    <w:p w14:paraId="7E7EF5E9" w14:textId="77777777" w:rsidR="000A5A99" w:rsidRPr="00E16672" w:rsidRDefault="000A5A99" w:rsidP="000A5A99">
      <w:pPr>
        <w:suppressAutoHyphens w:val="0"/>
        <w:rPr>
          <w:rFonts w:ascii="Times New Roman" w:hAnsi="Times New Roman"/>
          <w:color w:val="000000"/>
          <w:szCs w:val="20"/>
        </w:rPr>
      </w:pPr>
      <w:r w:rsidRPr="00E16672">
        <w:rPr>
          <w:rFonts w:ascii="Times New Roman" w:hAnsi="Times New Roman"/>
          <w:color w:val="000000"/>
          <w:szCs w:val="20"/>
          <w:lang w:val="uk-UA"/>
        </w:rPr>
        <w:t xml:space="preserve">Факт відсутності печатки у Емітента підтверджується письмовим документом, виданим та підписаним особою, що відповідно до установчих документів Емітента має право діяти від імені Емітента без довіреності, або її уповноваженою особою, яка має право діяти від імені Емітента. </w:t>
      </w:r>
      <w:r w:rsidRPr="00E16672">
        <w:rPr>
          <w:rFonts w:ascii="Times New Roman" w:hAnsi="Times New Roman"/>
          <w:color w:val="000000"/>
          <w:szCs w:val="20"/>
        </w:rPr>
        <w:t xml:space="preserve">У </w:t>
      </w:r>
      <w:proofErr w:type="spellStart"/>
      <w:r w:rsidRPr="00E16672">
        <w:rPr>
          <w:rFonts w:ascii="Times New Roman" w:hAnsi="Times New Roman"/>
          <w:color w:val="000000"/>
          <w:szCs w:val="20"/>
        </w:rPr>
        <w:t>разі</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надходження</w:t>
      </w:r>
      <w:proofErr w:type="spellEnd"/>
      <w:r w:rsidRPr="00E16672">
        <w:rPr>
          <w:rFonts w:ascii="Times New Roman" w:hAnsi="Times New Roman"/>
          <w:color w:val="000000"/>
          <w:szCs w:val="20"/>
        </w:rPr>
        <w:t xml:space="preserve"> такого документа </w:t>
      </w:r>
      <w:proofErr w:type="spellStart"/>
      <w:r w:rsidRPr="00E16672">
        <w:rPr>
          <w:rFonts w:ascii="Times New Roman" w:hAnsi="Times New Roman"/>
          <w:color w:val="000000"/>
          <w:szCs w:val="20"/>
        </w:rPr>
        <w:t>всі</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надані</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Емітентом</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документи</w:t>
      </w:r>
      <w:proofErr w:type="spellEnd"/>
      <w:r w:rsidRPr="00E16672">
        <w:rPr>
          <w:rFonts w:ascii="Times New Roman" w:hAnsi="Times New Roman"/>
          <w:color w:val="000000"/>
          <w:szCs w:val="20"/>
        </w:rPr>
        <w:t xml:space="preserve"> не </w:t>
      </w:r>
      <w:proofErr w:type="spellStart"/>
      <w:r w:rsidRPr="00E16672">
        <w:rPr>
          <w:rFonts w:ascii="Times New Roman" w:hAnsi="Times New Roman"/>
          <w:color w:val="000000"/>
          <w:szCs w:val="20"/>
        </w:rPr>
        <w:t>засвідчуються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печаткою</w:t>
      </w:r>
      <w:proofErr w:type="spellEnd"/>
      <w:r w:rsidRPr="00E16672">
        <w:rPr>
          <w:rFonts w:ascii="Times New Roman" w:hAnsi="Times New Roman"/>
          <w:color w:val="000000"/>
          <w:szCs w:val="20"/>
        </w:rPr>
        <w:t>.</w:t>
      </w:r>
    </w:p>
    <w:p w14:paraId="67ACDFB5" w14:textId="77777777" w:rsidR="000A5A99" w:rsidRPr="00E16672" w:rsidRDefault="000A5A99" w:rsidP="000A5A99">
      <w:pPr>
        <w:pStyle w:val="HTML"/>
        <w:shd w:val="clear" w:color="auto" w:fill="FFFFFF"/>
        <w:ind w:firstLine="540"/>
        <w:rPr>
          <w:rFonts w:ascii="Times New Roman" w:eastAsia="Arial Unicode MS" w:hAnsi="Times New Roman" w:cs="Times New Roman"/>
          <w:strike/>
          <w:color w:val="000000"/>
          <w:lang w:val="uk-UA"/>
        </w:rPr>
      </w:pPr>
      <w:r w:rsidRPr="00E16672">
        <w:rPr>
          <w:rFonts w:ascii="Times New Roman" w:eastAsia="Arial Unicode MS" w:hAnsi="Times New Roman" w:cs="Times New Roman"/>
          <w:color w:val="000000"/>
          <w:lang w:val="uk-UA"/>
        </w:rPr>
        <w:t xml:space="preserve">2.1.2. </w:t>
      </w:r>
      <w:proofErr w:type="spellStart"/>
      <w:r w:rsidRPr="00E16672">
        <w:rPr>
          <w:rFonts w:ascii="Times New Roman" w:hAnsi="Times New Roman" w:cs="Times New Roman"/>
          <w:color w:val="000000"/>
        </w:rPr>
        <w:t>Відкрити</w:t>
      </w:r>
      <w:proofErr w:type="spellEnd"/>
      <w:r w:rsidRPr="00E16672">
        <w:rPr>
          <w:rFonts w:ascii="Times New Roman" w:hAnsi="Times New Roman" w:cs="Times New Roman"/>
          <w:color w:val="000000"/>
        </w:rPr>
        <w:t xml:space="preserve"> у </w:t>
      </w:r>
      <w:proofErr w:type="spellStart"/>
      <w:r w:rsidRPr="00E16672">
        <w:rPr>
          <w:rFonts w:ascii="Times New Roman" w:hAnsi="Times New Roman" w:cs="Times New Roman"/>
          <w:color w:val="000000"/>
        </w:rPr>
        <w:t>відповідності</w:t>
      </w:r>
      <w:proofErr w:type="spellEnd"/>
      <w:r w:rsidRPr="00E16672">
        <w:rPr>
          <w:rFonts w:ascii="Times New Roman" w:hAnsi="Times New Roman" w:cs="Times New Roman"/>
          <w:color w:val="000000"/>
        </w:rPr>
        <w:t xml:space="preserve"> до </w:t>
      </w:r>
      <w:proofErr w:type="spellStart"/>
      <w:r w:rsidRPr="00E16672">
        <w:rPr>
          <w:rFonts w:ascii="Times New Roman" w:hAnsi="Times New Roman" w:cs="Times New Roman"/>
          <w:color w:val="000000"/>
        </w:rPr>
        <w:t>законодавства</w:t>
      </w:r>
      <w:proofErr w:type="spellEnd"/>
      <w:r w:rsidRPr="00E16672">
        <w:rPr>
          <w:rFonts w:ascii="Times New Roman" w:hAnsi="Times New Roman" w:cs="Times New Roman"/>
          <w:color w:val="000000"/>
        </w:rPr>
        <w:t xml:space="preserve"> кожному </w:t>
      </w:r>
      <w:proofErr w:type="spellStart"/>
      <w:r w:rsidRPr="00E16672">
        <w:rPr>
          <w:rFonts w:ascii="Times New Roman" w:hAnsi="Times New Roman" w:cs="Times New Roman"/>
          <w:color w:val="000000"/>
        </w:rPr>
        <w:t>Власнику</w:t>
      </w:r>
      <w:proofErr w:type="spellEnd"/>
      <w:r w:rsidRPr="00E16672">
        <w:rPr>
          <w:rFonts w:ascii="Times New Roman" w:hAnsi="Times New Roman" w:cs="Times New Roman"/>
          <w:color w:val="000000"/>
        </w:rPr>
        <w:t xml:space="preserve"> </w:t>
      </w:r>
      <w:proofErr w:type="spellStart"/>
      <w:r w:rsidRPr="00E16672">
        <w:rPr>
          <w:rFonts w:ascii="Times New Roman" w:hAnsi="Times New Roman" w:cs="Times New Roman"/>
          <w:color w:val="000000"/>
        </w:rPr>
        <w:t>рахунок</w:t>
      </w:r>
      <w:proofErr w:type="spellEnd"/>
      <w:r w:rsidRPr="00E16672">
        <w:rPr>
          <w:rFonts w:ascii="Times New Roman" w:hAnsi="Times New Roman" w:cs="Times New Roman"/>
          <w:color w:val="000000"/>
        </w:rPr>
        <w:t xml:space="preserve"> </w:t>
      </w:r>
      <w:r w:rsidR="00C22309" w:rsidRPr="00E16672">
        <w:rPr>
          <w:rFonts w:ascii="Times New Roman" w:hAnsi="Times New Roman" w:cs="Times New Roman"/>
          <w:color w:val="000000"/>
        </w:rPr>
        <w:t xml:space="preserve">в </w:t>
      </w:r>
      <w:proofErr w:type="spellStart"/>
      <w:r w:rsidR="00C22309" w:rsidRPr="00E16672">
        <w:rPr>
          <w:rFonts w:ascii="Times New Roman" w:hAnsi="Times New Roman" w:cs="Times New Roman"/>
          <w:color w:val="000000"/>
        </w:rPr>
        <w:t>цін</w:t>
      </w:r>
      <w:r w:rsidRPr="00E16672">
        <w:rPr>
          <w:rFonts w:ascii="Times New Roman" w:hAnsi="Times New Roman" w:cs="Times New Roman"/>
          <w:color w:val="000000"/>
        </w:rPr>
        <w:t>них</w:t>
      </w:r>
      <w:proofErr w:type="spellEnd"/>
      <w:r w:rsidRPr="00E16672">
        <w:rPr>
          <w:rFonts w:ascii="Times New Roman" w:hAnsi="Times New Roman" w:cs="Times New Roman"/>
          <w:color w:val="000000"/>
        </w:rPr>
        <w:t xml:space="preserve"> </w:t>
      </w:r>
      <w:proofErr w:type="spellStart"/>
      <w:r w:rsidRPr="00E16672">
        <w:rPr>
          <w:rFonts w:ascii="Times New Roman" w:hAnsi="Times New Roman" w:cs="Times New Roman"/>
          <w:color w:val="000000"/>
        </w:rPr>
        <w:t>паперах</w:t>
      </w:r>
      <w:proofErr w:type="spellEnd"/>
      <w:r w:rsidRPr="00E16672">
        <w:rPr>
          <w:rFonts w:ascii="Times New Roman" w:hAnsi="Times New Roman" w:cs="Times New Roman"/>
          <w:color w:val="000000"/>
        </w:rPr>
        <w:t xml:space="preserve"> на </w:t>
      </w:r>
      <w:proofErr w:type="spellStart"/>
      <w:r w:rsidRPr="00E16672">
        <w:rPr>
          <w:rFonts w:ascii="Times New Roman" w:hAnsi="Times New Roman" w:cs="Times New Roman"/>
          <w:color w:val="000000"/>
        </w:rPr>
        <w:t>підставі</w:t>
      </w:r>
      <w:proofErr w:type="spellEnd"/>
      <w:r w:rsidRPr="00E16672">
        <w:rPr>
          <w:rFonts w:ascii="Times New Roman" w:hAnsi="Times New Roman" w:cs="Times New Roman"/>
          <w:color w:val="000000"/>
        </w:rPr>
        <w:t xml:space="preserve"> </w:t>
      </w:r>
      <w:proofErr w:type="spellStart"/>
      <w:r w:rsidRPr="00E16672">
        <w:rPr>
          <w:rFonts w:ascii="Times New Roman" w:hAnsi="Times New Roman" w:cs="Times New Roman"/>
          <w:color w:val="000000"/>
        </w:rPr>
        <w:t>цього</w:t>
      </w:r>
      <w:proofErr w:type="spellEnd"/>
      <w:r w:rsidRPr="00E16672">
        <w:rPr>
          <w:rFonts w:ascii="Times New Roman" w:hAnsi="Times New Roman" w:cs="Times New Roman"/>
          <w:color w:val="000000"/>
        </w:rPr>
        <w:t xml:space="preserve"> Договору, </w:t>
      </w:r>
      <w:proofErr w:type="spellStart"/>
      <w:r w:rsidRPr="00E16672">
        <w:rPr>
          <w:rFonts w:ascii="Times New Roman" w:hAnsi="Times New Roman" w:cs="Times New Roman"/>
          <w:color w:val="000000"/>
        </w:rPr>
        <w:t>відповідної</w:t>
      </w:r>
      <w:proofErr w:type="spellEnd"/>
      <w:r w:rsidRPr="00E16672">
        <w:rPr>
          <w:rFonts w:ascii="Times New Roman" w:hAnsi="Times New Roman" w:cs="Times New Roman"/>
          <w:color w:val="000000"/>
        </w:rPr>
        <w:t xml:space="preserve"> заяви </w:t>
      </w:r>
      <w:proofErr w:type="spellStart"/>
      <w:r w:rsidRPr="00E16672">
        <w:rPr>
          <w:rFonts w:ascii="Times New Roman" w:hAnsi="Times New Roman" w:cs="Times New Roman"/>
          <w:color w:val="000000"/>
        </w:rPr>
        <w:t>Емітента</w:t>
      </w:r>
      <w:proofErr w:type="spellEnd"/>
      <w:r w:rsidRPr="00E16672">
        <w:rPr>
          <w:rFonts w:ascii="Times New Roman" w:hAnsi="Times New Roman" w:cs="Times New Roman"/>
          <w:color w:val="000000"/>
        </w:rPr>
        <w:t xml:space="preserve"> на </w:t>
      </w:r>
      <w:proofErr w:type="spellStart"/>
      <w:r w:rsidRPr="00E16672">
        <w:rPr>
          <w:rFonts w:ascii="Times New Roman" w:hAnsi="Times New Roman" w:cs="Times New Roman"/>
          <w:color w:val="000000"/>
        </w:rPr>
        <w:t>відкриття</w:t>
      </w:r>
      <w:proofErr w:type="spellEnd"/>
      <w:r w:rsidRPr="00E16672">
        <w:rPr>
          <w:rFonts w:ascii="Times New Roman" w:hAnsi="Times New Roman" w:cs="Times New Roman"/>
          <w:color w:val="000000"/>
        </w:rPr>
        <w:t xml:space="preserve"> </w:t>
      </w:r>
      <w:proofErr w:type="spellStart"/>
      <w:r w:rsidRPr="00E16672">
        <w:rPr>
          <w:rFonts w:ascii="Times New Roman" w:hAnsi="Times New Roman" w:cs="Times New Roman"/>
          <w:color w:val="000000"/>
        </w:rPr>
        <w:t>рахунків</w:t>
      </w:r>
      <w:proofErr w:type="spellEnd"/>
      <w:r w:rsidRPr="00E16672">
        <w:rPr>
          <w:rFonts w:ascii="Times New Roman" w:hAnsi="Times New Roman" w:cs="Times New Roman"/>
          <w:color w:val="000000"/>
        </w:rPr>
        <w:t xml:space="preserve"> </w:t>
      </w:r>
      <w:r w:rsidR="00C22309" w:rsidRPr="00E16672">
        <w:rPr>
          <w:rFonts w:ascii="Times New Roman" w:hAnsi="Times New Roman" w:cs="Times New Roman"/>
          <w:color w:val="000000"/>
        </w:rPr>
        <w:t xml:space="preserve">в </w:t>
      </w:r>
      <w:proofErr w:type="spellStart"/>
      <w:r w:rsidR="00C22309" w:rsidRPr="00E16672">
        <w:rPr>
          <w:rFonts w:ascii="Times New Roman" w:hAnsi="Times New Roman" w:cs="Times New Roman"/>
          <w:color w:val="000000"/>
        </w:rPr>
        <w:t>цін</w:t>
      </w:r>
      <w:r w:rsidRPr="00E16672">
        <w:rPr>
          <w:rFonts w:ascii="Times New Roman" w:hAnsi="Times New Roman" w:cs="Times New Roman"/>
          <w:color w:val="000000"/>
        </w:rPr>
        <w:t>них</w:t>
      </w:r>
      <w:proofErr w:type="spellEnd"/>
      <w:r w:rsidRPr="00E16672">
        <w:rPr>
          <w:rFonts w:ascii="Times New Roman" w:hAnsi="Times New Roman" w:cs="Times New Roman"/>
          <w:color w:val="000000"/>
        </w:rPr>
        <w:t xml:space="preserve"> </w:t>
      </w:r>
      <w:proofErr w:type="spellStart"/>
      <w:r w:rsidRPr="00E16672">
        <w:rPr>
          <w:rFonts w:ascii="Times New Roman" w:hAnsi="Times New Roman" w:cs="Times New Roman"/>
          <w:color w:val="000000"/>
        </w:rPr>
        <w:t>паперах</w:t>
      </w:r>
      <w:proofErr w:type="spellEnd"/>
      <w:r w:rsidRPr="00E16672">
        <w:rPr>
          <w:rFonts w:ascii="Times New Roman" w:hAnsi="Times New Roman" w:cs="Times New Roman"/>
          <w:color w:val="000000"/>
        </w:rPr>
        <w:t xml:space="preserve"> </w:t>
      </w:r>
      <w:proofErr w:type="spellStart"/>
      <w:r w:rsidRPr="00E16672">
        <w:rPr>
          <w:rFonts w:ascii="Times New Roman" w:hAnsi="Times New Roman" w:cs="Times New Roman"/>
          <w:color w:val="000000"/>
        </w:rPr>
        <w:t>Власникам</w:t>
      </w:r>
      <w:proofErr w:type="spellEnd"/>
      <w:r w:rsidRPr="00E16672">
        <w:rPr>
          <w:rFonts w:ascii="Times New Roman" w:hAnsi="Times New Roman" w:cs="Times New Roman"/>
          <w:color w:val="000000"/>
        </w:rPr>
        <w:t xml:space="preserve">, </w:t>
      </w:r>
      <w:proofErr w:type="spellStart"/>
      <w:r w:rsidRPr="00E16672">
        <w:rPr>
          <w:rFonts w:ascii="Times New Roman" w:hAnsi="Times New Roman" w:cs="Times New Roman"/>
          <w:color w:val="000000"/>
        </w:rPr>
        <w:t>оформленої</w:t>
      </w:r>
      <w:proofErr w:type="spellEnd"/>
      <w:r w:rsidRPr="00E16672">
        <w:rPr>
          <w:rFonts w:ascii="Times New Roman" w:hAnsi="Times New Roman" w:cs="Times New Roman"/>
          <w:color w:val="000000"/>
        </w:rPr>
        <w:t xml:space="preserve"> у </w:t>
      </w:r>
      <w:proofErr w:type="spellStart"/>
      <w:r w:rsidRPr="00E16672">
        <w:rPr>
          <w:rFonts w:ascii="Times New Roman" w:hAnsi="Times New Roman" w:cs="Times New Roman"/>
          <w:color w:val="000000"/>
        </w:rPr>
        <w:t>відповідності</w:t>
      </w:r>
      <w:proofErr w:type="spellEnd"/>
      <w:r w:rsidRPr="00E16672">
        <w:rPr>
          <w:rFonts w:ascii="Times New Roman" w:hAnsi="Times New Roman" w:cs="Times New Roman"/>
          <w:color w:val="000000"/>
        </w:rPr>
        <w:t xml:space="preserve"> до </w:t>
      </w:r>
      <w:proofErr w:type="spellStart"/>
      <w:r w:rsidRPr="00E16672">
        <w:rPr>
          <w:rFonts w:ascii="Times New Roman" w:hAnsi="Times New Roman" w:cs="Times New Roman"/>
          <w:color w:val="000000"/>
        </w:rPr>
        <w:t>вимог</w:t>
      </w:r>
      <w:proofErr w:type="spellEnd"/>
      <w:r w:rsidRPr="00E16672">
        <w:rPr>
          <w:rFonts w:ascii="Times New Roman" w:hAnsi="Times New Roman" w:cs="Times New Roman"/>
          <w:color w:val="000000"/>
        </w:rPr>
        <w:t xml:space="preserve"> </w:t>
      </w:r>
      <w:proofErr w:type="spellStart"/>
      <w:r w:rsidRPr="00E16672">
        <w:rPr>
          <w:rFonts w:ascii="Times New Roman" w:hAnsi="Times New Roman" w:cs="Times New Roman"/>
          <w:color w:val="000000"/>
        </w:rPr>
        <w:t>внутрішніх</w:t>
      </w:r>
      <w:proofErr w:type="spellEnd"/>
      <w:r w:rsidRPr="00E16672">
        <w:rPr>
          <w:rFonts w:ascii="Times New Roman" w:hAnsi="Times New Roman" w:cs="Times New Roman"/>
          <w:color w:val="000000"/>
        </w:rPr>
        <w:t xml:space="preserve"> </w:t>
      </w:r>
      <w:proofErr w:type="spellStart"/>
      <w:r w:rsidRPr="00E16672">
        <w:rPr>
          <w:rFonts w:ascii="Times New Roman" w:hAnsi="Times New Roman" w:cs="Times New Roman"/>
          <w:color w:val="000000"/>
        </w:rPr>
        <w:t>документів</w:t>
      </w:r>
      <w:proofErr w:type="spellEnd"/>
      <w:r w:rsidRPr="00E16672">
        <w:rPr>
          <w:rFonts w:ascii="Times New Roman" w:hAnsi="Times New Roman" w:cs="Times New Roman"/>
          <w:color w:val="000000"/>
        </w:rPr>
        <w:t xml:space="preserve"> </w:t>
      </w:r>
      <w:proofErr w:type="spellStart"/>
      <w:r w:rsidRPr="00E16672">
        <w:rPr>
          <w:rFonts w:ascii="Times New Roman" w:hAnsi="Times New Roman" w:cs="Times New Roman"/>
          <w:color w:val="000000"/>
        </w:rPr>
        <w:t>Депозитарної</w:t>
      </w:r>
      <w:proofErr w:type="spellEnd"/>
      <w:r w:rsidRPr="00E16672">
        <w:rPr>
          <w:rFonts w:ascii="Times New Roman" w:hAnsi="Times New Roman" w:cs="Times New Roman"/>
          <w:color w:val="000000"/>
        </w:rPr>
        <w:t xml:space="preserve"> установи, та </w:t>
      </w:r>
      <w:proofErr w:type="spellStart"/>
      <w:r w:rsidRPr="00E16672">
        <w:rPr>
          <w:rFonts w:ascii="Times New Roman" w:hAnsi="Times New Roman" w:cs="Times New Roman"/>
          <w:color w:val="000000"/>
        </w:rPr>
        <w:t>переданого</w:t>
      </w:r>
      <w:proofErr w:type="spellEnd"/>
      <w:r w:rsidRPr="00E16672">
        <w:rPr>
          <w:rFonts w:ascii="Times New Roman" w:hAnsi="Times New Roman" w:cs="Times New Roman"/>
          <w:color w:val="000000"/>
        </w:rPr>
        <w:t xml:space="preserve"> </w:t>
      </w:r>
      <w:proofErr w:type="spellStart"/>
      <w:r w:rsidRPr="00E16672">
        <w:rPr>
          <w:rFonts w:ascii="Times New Roman" w:hAnsi="Times New Roman" w:cs="Times New Roman"/>
          <w:color w:val="000000"/>
        </w:rPr>
        <w:t>Депозитарній</w:t>
      </w:r>
      <w:proofErr w:type="spellEnd"/>
      <w:r w:rsidRPr="00E16672">
        <w:rPr>
          <w:rFonts w:ascii="Times New Roman" w:hAnsi="Times New Roman" w:cs="Times New Roman"/>
          <w:color w:val="000000"/>
        </w:rPr>
        <w:t xml:space="preserve"> </w:t>
      </w:r>
      <w:proofErr w:type="spellStart"/>
      <w:r w:rsidRPr="00E16672">
        <w:rPr>
          <w:rFonts w:ascii="Times New Roman" w:hAnsi="Times New Roman" w:cs="Times New Roman"/>
          <w:color w:val="000000"/>
        </w:rPr>
        <w:t>установі</w:t>
      </w:r>
      <w:proofErr w:type="spellEnd"/>
      <w:r w:rsidRPr="00E16672">
        <w:rPr>
          <w:rFonts w:ascii="Times New Roman" w:hAnsi="Times New Roman" w:cs="Times New Roman"/>
          <w:color w:val="000000"/>
        </w:rPr>
        <w:t xml:space="preserve"> </w:t>
      </w:r>
      <w:proofErr w:type="spellStart"/>
      <w:r w:rsidRPr="00E16672">
        <w:rPr>
          <w:rFonts w:ascii="Times New Roman" w:hAnsi="Times New Roman" w:cs="Times New Roman"/>
          <w:color w:val="000000"/>
        </w:rPr>
        <w:t>Реєстру</w:t>
      </w:r>
      <w:proofErr w:type="spellEnd"/>
      <w:r w:rsidRPr="00E16672">
        <w:rPr>
          <w:rFonts w:ascii="Times New Roman" w:hAnsi="Times New Roman" w:cs="Times New Roman"/>
          <w:color w:val="000000"/>
        </w:rPr>
        <w:t xml:space="preserve">, у </w:t>
      </w:r>
      <w:proofErr w:type="spellStart"/>
      <w:r w:rsidRPr="00E16672">
        <w:rPr>
          <w:rFonts w:ascii="Times New Roman" w:hAnsi="Times New Roman" w:cs="Times New Roman"/>
          <w:color w:val="000000"/>
        </w:rPr>
        <w:t>термін</w:t>
      </w:r>
      <w:proofErr w:type="spellEnd"/>
      <w:r w:rsidRPr="00E16672">
        <w:rPr>
          <w:rFonts w:ascii="Times New Roman" w:hAnsi="Times New Roman" w:cs="Times New Roman"/>
          <w:color w:val="000000"/>
        </w:rPr>
        <w:t xml:space="preserve">, </w:t>
      </w:r>
      <w:proofErr w:type="spellStart"/>
      <w:r w:rsidRPr="00E16672">
        <w:rPr>
          <w:rFonts w:ascii="Times New Roman" w:hAnsi="Times New Roman" w:cs="Times New Roman"/>
          <w:color w:val="000000"/>
        </w:rPr>
        <w:t>визначений</w:t>
      </w:r>
      <w:proofErr w:type="spellEnd"/>
      <w:r w:rsidRPr="00E16672">
        <w:rPr>
          <w:rFonts w:ascii="Times New Roman" w:hAnsi="Times New Roman" w:cs="Times New Roman"/>
          <w:color w:val="000000"/>
        </w:rPr>
        <w:t xml:space="preserve"> </w:t>
      </w:r>
      <w:proofErr w:type="spellStart"/>
      <w:r w:rsidRPr="00E16672">
        <w:rPr>
          <w:rFonts w:ascii="Times New Roman" w:hAnsi="Times New Roman" w:cs="Times New Roman"/>
          <w:color w:val="000000"/>
        </w:rPr>
        <w:t>законодавством</w:t>
      </w:r>
      <w:proofErr w:type="spellEnd"/>
      <w:r w:rsidRPr="00E16672">
        <w:rPr>
          <w:rFonts w:ascii="Times New Roman" w:hAnsi="Times New Roman" w:cs="Times New Roman"/>
          <w:color w:val="000000"/>
        </w:rPr>
        <w:t xml:space="preserve"> та </w:t>
      </w:r>
      <w:proofErr w:type="spellStart"/>
      <w:r w:rsidRPr="00E16672">
        <w:rPr>
          <w:rFonts w:ascii="Times New Roman" w:hAnsi="Times New Roman" w:cs="Times New Roman"/>
          <w:color w:val="000000"/>
        </w:rPr>
        <w:t>внутрішніми</w:t>
      </w:r>
      <w:proofErr w:type="spellEnd"/>
      <w:r w:rsidRPr="00E16672">
        <w:rPr>
          <w:rFonts w:ascii="Times New Roman" w:hAnsi="Times New Roman" w:cs="Times New Roman"/>
          <w:color w:val="000000"/>
        </w:rPr>
        <w:t xml:space="preserve"> документами </w:t>
      </w:r>
      <w:proofErr w:type="spellStart"/>
      <w:r w:rsidRPr="00E16672">
        <w:rPr>
          <w:rFonts w:ascii="Times New Roman" w:hAnsi="Times New Roman" w:cs="Times New Roman"/>
          <w:color w:val="000000"/>
        </w:rPr>
        <w:t>Депозитарної</w:t>
      </w:r>
      <w:proofErr w:type="spellEnd"/>
      <w:r w:rsidRPr="00E16672">
        <w:rPr>
          <w:rFonts w:ascii="Times New Roman" w:hAnsi="Times New Roman" w:cs="Times New Roman"/>
          <w:color w:val="000000"/>
        </w:rPr>
        <w:t xml:space="preserve"> установи</w:t>
      </w:r>
      <w:r w:rsidRPr="00E16672">
        <w:rPr>
          <w:rFonts w:ascii="Times New Roman" w:hAnsi="Times New Roman" w:cs="Times New Roman"/>
          <w:color w:val="000000"/>
          <w:lang w:val="uk-UA"/>
        </w:rPr>
        <w:t>.</w:t>
      </w:r>
    </w:p>
    <w:p w14:paraId="6E0F0A87" w14:textId="77777777" w:rsidR="000A5A99" w:rsidRPr="00E16672" w:rsidRDefault="000A5A99" w:rsidP="000A5A99">
      <w:pPr>
        <w:rPr>
          <w:rFonts w:ascii="Times New Roman" w:hAnsi="Times New Roman"/>
          <w:szCs w:val="20"/>
        </w:rPr>
      </w:pPr>
      <w:r w:rsidRPr="00E16672">
        <w:rPr>
          <w:rFonts w:ascii="Times New Roman" w:eastAsia="Arial Unicode MS" w:hAnsi="Times New Roman"/>
          <w:color w:val="000000"/>
          <w:szCs w:val="20"/>
          <w:lang w:val="uk-UA"/>
        </w:rPr>
        <w:t xml:space="preserve">2.1.3. </w:t>
      </w:r>
      <w:proofErr w:type="spellStart"/>
      <w:r w:rsidRPr="00E16672">
        <w:rPr>
          <w:rFonts w:ascii="Times New Roman" w:hAnsi="Times New Roman"/>
          <w:color w:val="000000"/>
          <w:szCs w:val="20"/>
        </w:rPr>
        <w:t>Зарахувати</w:t>
      </w:r>
      <w:proofErr w:type="spellEnd"/>
      <w:r w:rsidRPr="00E16672">
        <w:rPr>
          <w:rFonts w:ascii="Times New Roman" w:hAnsi="Times New Roman"/>
          <w:color w:val="000000"/>
          <w:szCs w:val="20"/>
        </w:rPr>
        <w:t xml:space="preserve"> на </w:t>
      </w:r>
      <w:proofErr w:type="spellStart"/>
      <w:r w:rsidRPr="00E16672">
        <w:rPr>
          <w:rFonts w:ascii="Times New Roman" w:hAnsi="Times New Roman"/>
          <w:color w:val="000000"/>
          <w:szCs w:val="20"/>
        </w:rPr>
        <w:t>підставі</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цього</w:t>
      </w:r>
      <w:proofErr w:type="spellEnd"/>
      <w:r w:rsidRPr="00E16672">
        <w:rPr>
          <w:rFonts w:ascii="Times New Roman" w:hAnsi="Times New Roman"/>
          <w:color w:val="000000"/>
          <w:szCs w:val="20"/>
        </w:rPr>
        <w:t xml:space="preserve"> Договору, </w:t>
      </w:r>
      <w:proofErr w:type="spellStart"/>
      <w:r w:rsidRPr="00E16672">
        <w:rPr>
          <w:rFonts w:ascii="Times New Roman" w:hAnsi="Times New Roman"/>
          <w:color w:val="000000"/>
          <w:szCs w:val="20"/>
        </w:rPr>
        <w:t>розпорядження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Емітента</w:t>
      </w:r>
      <w:proofErr w:type="spellEnd"/>
      <w:r w:rsidRPr="00E16672">
        <w:rPr>
          <w:rFonts w:ascii="Times New Roman" w:hAnsi="Times New Roman"/>
          <w:color w:val="000000"/>
          <w:szCs w:val="20"/>
        </w:rPr>
        <w:t xml:space="preserve"> на </w:t>
      </w:r>
      <w:proofErr w:type="spellStart"/>
      <w:r w:rsidRPr="00E16672">
        <w:rPr>
          <w:rFonts w:ascii="Times New Roman" w:hAnsi="Times New Roman"/>
          <w:color w:val="000000"/>
          <w:szCs w:val="20"/>
        </w:rPr>
        <w:t>зарахування</w:t>
      </w:r>
      <w:proofErr w:type="spellEnd"/>
      <w:r w:rsidRPr="00E16672">
        <w:rPr>
          <w:rFonts w:ascii="Times New Roman" w:hAnsi="Times New Roman"/>
          <w:color w:val="000000"/>
          <w:szCs w:val="20"/>
        </w:rPr>
        <w:t xml:space="preserve"> прав на </w:t>
      </w:r>
      <w:proofErr w:type="spellStart"/>
      <w:r w:rsidRPr="00E16672">
        <w:rPr>
          <w:rFonts w:ascii="Times New Roman" w:hAnsi="Times New Roman"/>
          <w:color w:val="000000"/>
          <w:szCs w:val="20"/>
        </w:rPr>
        <w:t>іменні</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цінні</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папери</w:t>
      </w:r>
      <w:proofErr w:type="spellEnd"/>
      <w:r w:rsidRPr="00E16672">
        <w:rPr>
          <w:rFonts w:ascii="Times New Roman" w:hAnsi="Times New Roman"/>
          <w:color w:val="000000"/>
          <w:szCs w:val="20"/>
        </w:rPr>
        <w:t xml:space="preserve"> у </w:t>
      </w:r>
      <w:proofErr w:type="spellStart"/>
      <w:r w:rsidRPr="00E16672">
        <w:rPr>
          <w:rFonts w:ascii="Times New Roman" w:hAnsi="Times New Roman"/>
          <w:color w:val="000000"/>
          <w:szCs w:val="20"/>
        </w:rPr>
        <w:t>бездокументарній</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формі</w:t>
      </w:r>
      <w:proofErr w:type="spellEnd"/>
      <w:r w:rsidRPr="00E16672">
        <w:rPr>
          <w:rFonts w:ascii="Times New Roman" w:hAnsi="Times New Roman"/>
          <w:color w:val="000000"/>
          <w:szCs w:val="20"/>
        </w:rPr>
        <w:t xml:space="preserve"> на </w:t>
      </w:r>
      <w:proofErr w:type="spellStart"/>
      <w:r w:rsidRPr="00E16672">
        <w:rPr>
          <w:rFonts w:ascii="Times New Roman" w:hAnsi="Times New Roman"/>
          <w:color w:val="000000"/>
          <w:szCs w:val="20"/>
        </w:rPr>
        <w:t>рахунки</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Реєстру</w:t>
      </w:r>
      <w:proofErr w:type="spellEnd"/>
      <w:r w:rsidRPr="00E16672">
        <w:rPr>
          <w:rFonts w:ascii="Times New Roman" w:hAnsi="Times New Roman"/>
          <w:color w:val="000000"/>
          <w:szCs w:val="20"/>
        </w:rPr>
        <w:t xml:space="preserve"> та </w:t>
      </w:r>
      <w:proofErr w:type="spellStart"/>
      <w:r w:rsidRPr="00E16672">
        <w:rPr>
          <w:rFonts w:ascii="Times New Roman" w:hAnsi="Times New Roman"/>
          <w:color w:val="000000"/>
          <w:szCs w:val="20"/>
        </w:rPr>
        <w:t>документів</w:t>
      </w:r>
      <w:proofErr w:type="spellEnd"/>
      <w:r w:rsidRPr="00E16672">
        <w:rPr>
          <w:rFonts w:ascii="Times New Roman" w:hAnsi="Times New Roman"/>
          <w:color w:val="000000"/>
          <w:szCs w:val="20"/>
        </w:rPr>
        <w:t xml:space="preserve"> про </w:t>
      </w:r>
      <w:proofErr w:type="spellStart"/>
      <w:r w:rsidRPr="00E16672">
        <w:rPr>
          <w:rFonts w:ascii="Times New Roman" w:hAnsi="Times New Roman"/>
          <w:color w:val="000000"/>
          <w:szCs w:val="20"/>
        </w:rPr>
        <w:t>обтяження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цінних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паперів</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зобов’язаннями</w:t>
      </w:r>
      <w:proofErr w:type="spellEnd"/>
      <w:r w:rsidRPr="00E16672">
        <w:rPr>
          <w:rFonts w:ascii="Times New Roman" w:hAnsi="Times New Roman"/>
          <w:color w:val="000000"/>
          <w:szCs w:val="20"/>
        </w:rPr>
        <w:t xml:space="preserve"> (за </w:t>
      </w:r>
      <w:proofErr w:type="spellStart"/>
      <w:r w:rsidRPr="00E16672">
        <w:rPr>
          <w:rFonts w:ascii="Times New Roman" w:hAnsi="Times New Roman"/>
          <w:color w:val="000000"/>
          <w:szCs w:val="20"/>
        </w:rPr>
        <w:t>наявності</w:t>
      </w:r>
      <w:proofErr w:type="spellEnd"/>
      <w:r w:rsidRPr="00E16672">
        <w:rPr>
          <w:rFonts w:ascii="Times New Roman" w:hAnsi="Times New Roman"/>
          <w:color w:val="000000"/>
          <w:szCs w:val="20"/>
        </w:rPr>
        <w:t xml:space="preserve">), а </w:t>
      </w:r>
      <w:proofErr w:type="spellStart"/>
      <w:r w:rsidRPr="00E16672">
        <w:rPr>
          <w:rFonts w:ascii="Times New Roman" w:hAnsi="Times New Roman"/>
          <w:color w:val="000000"/>
          <w:szCs w:val="20"/>
        </w:rPr>
        <w:t>також</w:t>
      </w:r>
      <w:proofErr w:type="spellEnd"/>
      <w:r w:rsidRPr="00E16672">
        <w:rPr>
          <w:rFonts w:ascii="Times New Roman" w:hAnsi="Times New Roman"/>
          <w:color w:val="000000"/>
          <w:szCs w:val="20"/>
        </w:rPr>
        <w:t xml:space="preserve"> у </w:t>
      </w:r>
      <w:proofErr w:type="spellStart"/>
      <w:r w:rsidRPr="00E16672">
        <w:rPr>
          <w:rFonts w:ascii="Times New Roman" w:hAnsi="Times New Roman"/>
          <w:color w:val="000000"/>
          <w:szCs w:val="20"/>
        </w:rPr>
        <w:t>відповідності</w:t>
      </w:r>
      <w:proofErr w:type="spellEnd"/>
      <w:r w:rsidRPr="00E16672">
        <w:rPr>
          <w:rFonts w:ascii="Times New Roman" w:hAnsi="Times New Roman"/>
          <w:color w:val="000000"/>
          <w:szCs w:val="20"/>
        </w:rPr>
        <w:t xml:space="preserve"> до </w:t>
      </w:r>
      <w:proofErr w:type="spellStart"/>
      <w:r w:rsidRPr="00E16672">
        <w:rPr>
          <w:rFonts w:ascii="Times New Roman" w:hAnsi="Times New Roman"/>
          <w:color w:val="000000"/>
          <w:szCs w:val="20"/>
        </w:rPr>
        <w:t>законодавства</w:t>
      </w:r>
      <w:proofErr w:type="spellEnd"/>
      <w:r w:rsidRPr="00E16672">
        <w:rPr>
          <w:rFonts w:ascii="Times New Roman" w:hAnsi="Times New Roman"/>
          <w:color w:val="000000"/>
          <w:szCs w:val="20"/>
        </w:rPr>
        <w:t xml:space="preserve"> права на </w:t>
      </w:r>
      <w:proofErr w:type="spellStart"/>
      <w:r w:rsidRPr="00E16672">
        <w:rPr>
          <w:rFonts w:ascii="Times New Roman" w:hAnsi="Times New Roman"/>
          <w:color w:val="000000"/>
          <w:szCs w:val="20"/>
        </w:rPr>
        <w:t>цінні</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папери</w:t>
      </w:r>
      <w:proofErr w:type="spellEnd"/>
      <w:r w:rsidRPr="00E16672">
        <w:rPr>
          <w:rFonts w:ascii="Times New Roman" w:hAnsi="Times New Roman"/>
          <w:color w:val="000000"/>
          <w:szCs w:val="20"/>
        </w:rPr>
        <w:t xml:space="preserve"> на </w:t>
      </w:r>
      <w:proofErr w:type="spellStart"/>
      <w:r w:rsidRPr="00E16672">
        <w:rPr>
          <w:rFonts w:ascii="Times New Roman" w:hAnsi="Times New Roman"/>
          <w:color w:val="000000"/>
          <w:szCs w:val="20"/>
        </w:rPr>
        <w:t>рахунки</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Власників</w:t>
      </w:r>
      <w:proofErr w:type="spellEnd"/>
      <w:r w:rsidRPr="00E16672">
        <w:rPr>
          <w:rFonts w:ascii="Times New Roman" w:hAnsi="Times New Roman"/>
          <w:color w:val="000000"/>
          <w:szCs w:val="20"/>
        </w:rPr>
        <w:t xml:space="preserve"> у </w:t>
      </w:r>
      <w:proofErr w:type="spellStart"/>
      <w:r w:rsidRPr="00E16672">
        <w:rPr>
          <w:rFonts w:ascii="Times New Roman" w:hAnsi="Times New Roman"/>
          <w:color w:val="000000"/>
          <w:szCs w:val="20"/>
        </w:rPr>
        <w:t>термін</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що</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обумовлений</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законодавством</w:t>
      </w:r>
      <w:proofErr w:type="spellEnd"/>
      <w:r w:rsidRPr="00E16672">
        <w:rPr>
          <w:rFonts w:ascii="Times New Roman" w:hAnsi="Times New Roman"/>
          <w:color w:val="000000"/>
          <w:szCs w:val="20"/>
        </w:rPr>
        <w:t xml:space="preserve"> та </w:t>
      </w:r>
      <w:proofErr w:type="spellStart"/>
      <w:r w:rsidRPr="00E16672">
        <w:rPr>
          <w:rFonts w:ascii="Times New Roman" w:hAnsi="Times New Roman"/>
          <w:color w:val="000000"/>
          <w:szCs w:val="20"/>
        </w:rPr>
        <w:t>внутрішніми</w:t>
      </w:r>
      <w:proofErr w:type="spellEnd"/>
      <w:r w:rsidRPr="00E16672">
        <w:rPr>
          <w:rFonts w:ascii="Times New Roman" w:hAnsi="Times New Roman"/>
          <w:color w:val="000000"/>
          <w:szCs w:val="20"/>
        </w:rPr>
        <w:t xml:space="preserve"> документами </w:t>
      </w:r>
      <w:proofErr w:type="spellStart"/>
      <w:r w:rsidRPr="00E16672">
        <w:rPr>
          <w:rFonts w:ascii="Times New Roman" w:hAnsi="Times New Roman"/>
          <w:color w:val="000000"/>
          <w:szCs w:val="20"/>
        </w:rPr>
        <w:t>Депозитарної</w:t>
      </w:r>
      <w:proofErr w:type="spellEnd"/>
      <w:r w:rsidRPr="00E16672">
        <w:rPr>
          <w:rFonts w:ascii="Times New Roman" w:hAnsi="Times New Roman"/>
          <w:color w:val="000000"/>
          <w:szCs w:val="20"/>
        </w:rPr>
        <w:t xml:space="preserve"> установи. </w:t>
      </w:r>
      <w:proofErr w:type="spellStart"/>
      <w:r w:rsidRPr="00E16672">
        <w:rPr>
          <w:rFonts w:ascii="Times New Roman" w:hAnsi="Times New Roman"/>
          <w:color w:val="000000"/>
          <w:szCs w:val="20"/>
        </w:rPr>
        <w:t>Встановити</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обмеження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щодо</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врахування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цих</w:t>
      </w:r>
      <w:proofErr w:type="spellEnd"/>
      <w:r w:rsidRPr="00E16672">
        <w:rPr>
          <w:rFonts w:ascii="Times New Roman" w:hAnsi="Times New Roman"/>
          <w:color w:val="000000"/>
          <w:szCs w:val="20"/>
        </w:rPr>
        <w:t xml:space="preserve"> прав при </w:t>
      </w:r>
      <w:proofErr w:type="spellStart"/>
      <w:r w:rsidRPr="00E16672">
        <w:rPr>
          <w:rFonts w:ascii="Times New Roman" w:hAnsi="Times New Roman"/>
          <w:color w:val="000000"/>
          <w:szCs w:val="20"/>
        </w:rPr>
        <w:t>визначенні</w:t>
      </w:r>
      <w:proofErr w:type="spellEnd"/>
      <w:r w:rsidRPr="00E16672">
        <w:rPr>
          <w:rFonts w:ascii="Times New Roman" w:hAnsi="Times New Roman"/>
          <w:color w:val="000000"/>
          <w:szCs w:val="20"/>
        </w:rPr>
        <w:t xml:space="preserve"> кворуму та при </w:t>
      </w:r>
      <w:proofErr w:type="spellStart"/>
      <w:r w:rsidRPr="00E16672">
        <w:rPr>
          <w:rFonts w:ascii="Times New Roman" w:hAnsi="Times New Roman"/>
          <w:color w:val="000000"/>
          <w:szCs w:val="20"/>
        </w:rPr>
        <w:t>головуванні</w:t>
      </w:r>
      <w:proofErr w:type="spellEnd"/>
      <w:r w:rsidRPr="00E16672">
        <w:rPr>
          <w:rFonts w:ascii="Times New Roman" w:hAnsi="Times New Roman"/>
          <w:color w:val="000000"/>
          <w:szCs w:val="20"/>
        </w:rPr>
        <w:t xml:space="preserve"> в органах </w:t>
      </w:r>
      <w:proofErr w:type="spellStart"/>
      <w:r w:rsidRPr="00E16672">
        <w:rPr>
          <w:rFonts w:ascii="Times New Roman" w:hAnsi="Times New Roman"/>
          <w:color w:val="000000"/>
          <w:szCs w:val="20"/>
        </w:rPr>
        <w:t>Емітента</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Надавати</w:t>
      </w:r>
      <w:proofErr w:type="spellEnd"/>
      <w:r w:rsidRPr="00E16672">
        <w:rPr>
          <w:rFonts w:ascii="Times New Roman" w:hAnsi="Times New Roman"/>
          <w:szCs w:val="20"/>
        </w:rPr>
        <w:t xml:space="preserve"> першу </w:t>
      </w:r>
      <w:proofErr w:type="spellStart"/>
      <w:r w:rsidRPr="00E16672">
        <w:rPr>
          <w:rFonts w:ascii="Times New Roman" w:hAnsi="Times New Roman"/>
          <w:szCs w:val="20"/>
        </w:rPr>
        <w:t>виписку</w:t>
      </w:r>
      <w:proofErr w:type="spellEnd"/>
      <w:r w:rsidRPr="00E16672">
        <w:rPr>
          <w:rFonts w:ascii="Times New Roman" w:hAnsi="Times New Roman"/>
          <w:szCs w:val="20"/>
        </w:rPr>
        <w:t xml:space="preserve"> з </w:t>
      </w:r>
      <w:proofErr w:type="spellStart"/>
      <w:r w:rsidRPr="00E16672">
        <w:rPr>
          <w:rFonts w:ascii="Times New Roman" w:hAnsi="Times New Roman"/>
          <w:szCs w:val="20"/>
        </w:rPr>
        <w:t>рахунку</w:t>
      </w:r>
      <w:proofErr w:type="spellEnd"/>
      <w:r w:rsidRPr="00E16672">
        <w:rPr>
          <w:rFonts w:ascii="Times New Roman" w:hAnsi="Times New Roman"/>
          <w:szCs w:val="20"/>
        </w:rPr>
        <w:t xml:space="preserve"> </w:t>
      </w:r>
      <w:r w:rsidR="00C22309" w:rsidRPr="00E16672">
        <w:rPr>
          <w:rFonts w:ascii="Times New Roman" w:hAnsi="Times New Roman"/>
          <w:szCs w:val="20"/>
        </w:rPr>
        <w:t xml:space="preserve">в </w:t>
      </w:r>
      <w:proofErr w:type="spellStart"/>
      <w:r w:rsidR="00C22309" w:rsidRPr="00E16672">
        <w:rPr>
          <w:rFonts w:ascii="Times New Roman" w:hAnsi="Times New Roman"/>
          <w:szCs w:val="20"/>
        </w:rPr>
        <w:t>цін</w:t>
      </w:r>
      <w:r w:rsidRPr="00E16672">
        <w:rPr>
          <w:rFonts w:ascii="Times New Roman" w:hAnsi="Times New Roman"/>
          <w:szCs w:val="20"/>
        </w:rPr>
        <w:t>них</w:t>
      </w:r>
      <w:proofErr w:type="spellEnd"/>
      <w:r w:rsidRPr="00E16672">
        <w:rPr>
          <w:rFonts w:ascii="Times New Roman" w:hAnsi="Times New Roman"/>
          <w:szCs w:val="20"/>
        </w:rPr>
        <w:t xml:space="preserve"> </w:t>
      </w:r>
      <w:proofErr w:type="spellStart"/>
      <w:r w:rsidRPr="00E16672">
        <w:rPr>
          <w:rFonts w:ascii="Times New Roman" w:hAnsi="Times New Roman"/>
          <w:szCs w:val="20"/>
        </w:rPr>
        <w:t>паперах</w:t>
      </w:r>
      <w:proofErr w:type="spellEnd"/>
      <w:r w:rsidRPr="00E16672">
        <w:rPr>
          <w:rFonts w:ascii="Times New Roman" w:hAnsi="Times New Roman"/>
          <w:szCs w:val="20"/>
        </w:rPr>
        <w:t xml:space="preserve"> </w:t>
      </w:r>
      <w:proofErr w:type="spellStart"/>
      <w:r w:rsidRPr="00E16672">
        <w:rPr>
          <w:rFonts w:ascii="Times New Roman" w:hAnsi="Times New Roman"/>
          <w:szCs w:val="20"/>
        </w:rPr>
        <w:t>Власнику</w:t>
      </w:r>
      <w:proofErr w:type="spellEnd"/>
      <w:r w:rsidRPr="00E16672">
        <w:rPr>
          <w:rFonts w:ascii="Times New Roman" w:hAnsi="Times New Roman"/>
          <w:szCs w:val="20"/>
        </w:rPr>
        <w:t xml:space="preserve"> при </w:t>
      </w:r>
      <w:proofErr w:type="spellStart"/>
      <w:r w:rsidRPr="00E16672">
        <w:rPr>
          <w:rFonts w:ascii="Times New Roman" w:hAnsi="Times New Roman"/>
          <w:szCs w:val="20"/>
        </w:rPr>
        <w:t>його</w:t>
      </w:r>
      <w:proofErr w:type="spellEnd"/>
      <w:r w:rsidRPr="00E16672">
        <w:rPr>
          <w:rFonts w:ascii="Times New Roman" w:hAnsi="Times New Roman"/>
          <w:szCs w:val="20"/>
        </w:rPr>
        <w:t xml:space="preserve"> </w:t>
      </w:r>
      <w:proofErr w:type="spellStart"/>
      <w:r w:rsidRPr="00E16672">
        <w:rPr>
          <w:rFonts w:ascii="Times New Roman" w:hAnsi="Times New Roman"/>
          <w:szCs w:val="20"/>
        </w:rPr>
        <w:t>зверненні</w:t>
      </w:r>
      <w:proofErr w:type="spellEnd"/>
      <w:r w:rsidRPr="00E16672">
        <w:rPr>
          <w:rFonts w:ascii="Times New Roman" w:hAnsi="Times New Roman"/>
          <w:szCs w:val="20"/>
        </w:rPr>
        <w:t xml:space="preserve"> до </w:t>
      </w:r>
      <w:proofErr w:type="spellStart"/>
      <w:r w:rsidRPr="00E16672">
        <w:rPr>
          <w:rFonts w:ascii="Times New Roman" w:hAnsi="Times New Roman"/>
          <w:szCs w:val="20"/>
        </w:rPr>
        <w:t>Депозитарної</w:t>
      </w:r>
      <w:proofErr w:type="spellEnd"/>
      <w:r w:rsidRPr="00E16672">
        <w:rPr>
          <w:rFonts w:ascii="Times New Roman" w:hAnsi="Times New Roman"/>
          <w:szCs w:val="20"/>
        </w:rPr>
        <w:t xml:space="preserve"> установи. </w:t>
      </w:r>
    </w:p>
    <w:p w14:paraId="24294C0D" w14:textId="77777777" w:rsidR="00590C2E" w:rsidRPr="00590C2E" w:rsidRDefault="000A5A99" w:rsidP="00590C2E">
      <w:pPr>
        <w:rPr>
          <w:rFonts w:ascii="Times New Roman" w:eastAsia="Arial Unicode MS" w:hAnsi="Times New Roman"/>
          <w:color w:val="000000"/>
          <w:szCs w:val="20"/>
          <w:lang w:val="uk-UA"/>
        </w:rPr>
      </w:pPr>
      <w:r w:rsidRPr="00E16672">
        <w:rPr>
          <w:rFonts w:ascii="Times New Roman" w:eastAsia="Arial Unicode MS" w:hAnsi="Times New Roman"/>
          <w:color w:val="000000"/>
          <w:szCs w:val="20"/>
          <w:lang w:val="uk-UA"/>
        </w:rPr>
        <w:t xml:space="preserve">2.1.4. </w:t>
      </w:r>
      <w:r w:rsidR="00590C2E" w:rsidRPr="00590C2E">
        <w:rPr>
          <w:rFonts w:ascii="Times New Roman" w:eastAsia="Arial Unicode MS" w:hAnsi="Times New Roman"/>
          <w:color w:val="000000"/>
          <w:szCs w:val="20"/>
          <w:lang w:val="uk-UA"/>
        </w:rPr>
        <w:t>До укладення Власником цінних паперів із Депозитарною установою договору про обслуговування рахунку в цінних паперах, Депозитарна установа щодо обслуговування рахунку в цінних паперах, що відкритий власнику Емітентом, здійснює:</w:t>
      </w:r>
    </w:p>
    <w:p w14:paraId="5F5762DE" w14:textId="77777777" w:rsidR="00590C2E" w:rsidRPr="00590C2E" w:rsidRDefault="00590C2E" w:rsidP="00590C2E">
      <w:pPr>
        <w:rPr>
          <w:rFonts w:ascii="Times New Roman" w:eastAsia="Arial Unicode MS" w:hAnsi="Times New Roman"/>
          <w:color w:val="000000"/>
          <w:szCs w:val="20"/>
          <w:lang w:val="uk-UA"/>
        </w:rPr>
      </w:pPr>
      <w:r w:rsidRPr="00590C2E">
        <w:rPr>
          <w:rFonts w:ascii="Times New Roman" w:eastAsia="Arial Unicode MS" w:hAnsi="Times New Roman"/>
          <w:color w:val="000000"/>
          <w:szCs w:val="20"/>
          <w:lang w:val="uk-UA"/>
        </w:rPr>
        <w:t>- депозитарний облік цінних паперів, випуск яких був переведений у бездокументарну форму існування, на рахунку в цінних паперах Власника;</w:t>
      </w:r>
    </w:p>
    <w:p w14:paraId="3678B7D0" w14:textId="77777777" w:rsidR="00590C2E" w:rsidRPr="00590C2E" w:rsidRDefault="00590C2E" w:rsidP="00590C2E">
      <w:pPr>
        <w:rPr>
          <w:rFonts w:ascii="Times New Roman" w:eastAsia="Arial Unicode MS" w:hAnsi="Times New Roman"/>
          <w:color w:val="000000"/>
          <w:szCs w:val="20"/>
          <w:lang w:val="uk-UA"/>
        </w:rPr>
      </w:pPr>
      <w:r w:rsidRPr="00590C2E">
        <w:rPr>
          <w:rFonts w:ascii="Times New Roman" w:eastAsia="Arial Unicode MS" w:hAnsi="Times New Roman"/>
          <w:color w:val="000000"/>
          <w:szCs w:val="20"/>
          <w:lang w:val="uk-UA"/>
        </w:rPr>
        <w:t>- надання першої виписки з рахунку в цінних паперах;</w:t>
      </w:r>
    </w:p>
    <w:p w14:paraId="5030863F" w14:textId="77777777" w:rsidR="00590C2E" w:rsidRPr="00590C2E" w:rsidRDefault="00590C2E" w:rsidP="00590C2E">
      <w:pPr>
        <w:rPr>
          <w:rFonts w:ascii="Times New Roman" w:eastAsia="Arial Unicode MS" w:hAnsi="Times New Roman"/>
          <w:color w:val="000000"/>
          <w:szCs w:val="20"/>
          <w:lang w:val="uk-UA"/>
        </w:rPr>
      </w:pPr>
      <w:r w:rsidRPr="00590C2E">
        <w:rPr>
          <w:rFonts w:ascii="Times New Roman" w:eastAsia="Arial Unicode MS" w:hAnsi="Times New Roman"/>
          <w:color w:val="000000"/>
          <w:szCs w:val="20"/>
          <w:lang w:val="uk-UA"/>
        </w:rPr>
        <w:t xml:space="preserve">- унесення змін до інформації особу власника цінних паперів (крім держави та </w:t>
      </w:r>
      <w:proofErr w:type="spellStart"/>
      <w:r w:rsidRPr="00590C2E">
        <w:rPr>
          <w:rFonts w:ascii="Times New Roman" w:eastAsia="Arial Unicode MS" w:hAnsi="Times New Roman"/>
          <w:color w:val="000000"/>
          <w:szCs w:val="20"/>
          <w:lang w:val="uk-UA"/>
        </w:rPr>
        <w:t>тількипро</w:t>
      </w:r>
      <w:proofErr w:type="spellEnd"/>
      <w:r w:rsidRPr="00590C2E">
        <w:rPr>
          <w:rFonts w:ascii="Times New Roman" w:eastAsia="Arial Unicode MS" w:hAnsi="Times New Roman"/>
          <w:color w:val="000000"/>
          <w:szCs w:val="20"/>
          <w:lang w:val="uk-UA"/>
        </w:rPr>
        <w:t xml:space="preserve"> особу власника (тільки стосовно акціонерів, що є власниками </w:t>
      </w:r>
      <w:proofErr w:type="spellStart"/>
      <w:r w:rsidRPr="00590C2E">
        <w:rPr>
          <w:rFonts w:ascii="Times New Roman" w:eastAsia="Arial Unicode MS" w:hAnsi="Times New Roman"/>
          <w:color w:val="000000"/>
          <w:szCs w:val="20"/>
          <w:lang w:val="uk-UA"/>
        </w:rPr>
        <w:t>дематеріалізованих</w:t>
      </w:r>
      <w:proofErr w:type="spellEnd"/>
      <w:r w:rsidRPr="00590C2E">
        <w:rPr>
          <w:rFonts w:ascii="Times New Roman" w:eastAsia="Arial Unicode MS" w:hAnsi="Times New Roman"/>
          <w:color w:val="000000"/>
          <w:szCs w:val="20"/>
          <w:lang w:val="uk-UA"/>
        </w:rPr>
        <w:t xml:space="preserve"> акцій, сумарна номінальна вартість яких не перевищує 50 неоподатковуваних мінімумів доходів громадян) на підставі відповідного розпорядження Емітента;</w:t>
      </w:r>
    </w:p>
    <w:p w14:paraId="709AF700" w14:textId="77777777" w:rsidR="00590C2E" w:rsidRPr="00590C2E" w:rsidRDefault="00590C2E" w:rsidP="00590C2E">
      <w:pPr>
        <w:rPr>
          <w:rFonts w:ascii="Times New Roman" w:eastAsia="Arial Unicode MS" w:hAnsi="Times New Roman"/>
          <w:color w:val="000000"/>
          <w:szCs w:val="20"/>
          <w:lang w:val="uk-UA"/>
        </w:rPr>
      </w:pPr>
      <w:r w:rsidRPr="00590C2E">
        <w:rPr>
          <w:rFonts w:ascii="Times New Roman" w:eastAsia="Arial Unicode MS" w:hAnsi="Times New Roman"/>
          <w:color w:val="000000"/>
          <w:szCs w:val="20"/>
          <w:lang w:val="uk-UA"/>
        </w:rPr>
        <w:t>- переведення прав на цінні папери з рахунку в цінних паперах власника, відкритого за договором з емітентом, на рахунок в цінних паперах цього ж власника в обраній ним депозитарній установі;</w:t>
      </w:r>
    </w:p>
    <w:p w14:paraId="0402AC38" w14:textId="77777777" w:rsidR="00590C2E" w:rsidRPr="00590C2E" w:rsidRDefault="00590C2E" w:rsidP="00590C2E">
      <w:pPr>
        <w:rPr>
          <w:rFonts w:ascii="Times New Roman" w:eastAsia="Arial Unicode MS" w:hAnsi="Times New Roman"/>
          <w:color w:val="000000"/>
          <w:szCs w:val="20"/>
          <w:lang w:val="uk-UA"/>
        </w:rPr>
      </w:pPr>
      <w:r w:rsidRPr="00590C2E">
        <w:rPr>
          <w:rFonts w:ascii="Times New Roman" w:eastAsia="Arial Unicode MS" w:hAnsi="Times New Roman"/>
          <w:color w:val="000000"/>
          <w:szCs w:val="20"/>
          <w:lang w:val="uk-UA"/>
        </w:rPr>
        <w:t>- виплату власникам іменних цінних паперів випуску, що був переведений у бездокументарну форму існування, дивідендів (доходів за цінними паперами), отриманих депозитарною установою від Центрального депозитарію, якщо це передбачено умовами договору з емітентом;</w:t>
      </w:r>
    </w:p>
    <w:p w14:paraId="7595A580" w14:textId="77777777" w:rsidR="00590C2E" w:rsidRPr="00590C2E" w:rsidRDefault="00590C2E" w:rsidP="00590C2E">
      <w:pPr>
        <w:rPr>
          <w:rFonts w:ascii="Times New Roman" w:eastAsia="Arial Unicode MS" w:hAnsi="Times New Roman"/>
          <w:color w:val="000000"/>
          <w:szCs w:val="20"/>
          <w:lang w:val="uk-UA"/>
        </w:rPr>
      </w:pPr>
      <w:r w:rsidRPr="00590C2E">
        <w:rPr>
          <w:rFonts w:ascii="Times New Roman" w:eastAsia="Arial Unicode MS" w:hAnsi="Times New Roman"/>
          <w:color w:val="000000"/>
          <w:szCs w:val="20"/>
          <w:lang w:val="uk-UA"/>
        </w:rPr>
        <w:t>- закриття рахунків у цінних паперах власників;</w:t>
      </w:r>
    </w:p>
    <w:p w14:paraId="08FB1272" w14:textId="77777777" w:rsidR="00590C2E" w:rsidRPr="00590C2E" w:rsidRDefault="00590C2E" w:rsidP="00590C2E">
      <w:pPr>
        <w:rPr>
          <w:rFonts w:ascii="Times New Roman" w:eastAsia="Arial Unicode MS" w:hAnsi="Times New Roman"/>
          <w:color w:val="000000"/>
          <w:szCs w:val="20"/>
          <w:lang w:val="uk-UA"/>
        </w:rPr>
      </w:pPr>
      <w:r w:rsidRPr="00590C2E">
        <w:rPr>
          <w:rFonts w:ascii="Times New Roman" w:eastAsia="Arial Unicode MS" w:hAnsi="Times New Roman"/>
          <w:color w:val="000000"/>
          <w:szCs w:val="20"/>
          <w:lang w:val="uk-UA"/>
        </w:rPr>
        <w:t>- безумовні операції з управління рахунком в цінних паперах;</w:t>
      </w:r>
    </w:p>
    <w:p w14:paraId="6090CFD1" w14:textId="22FF451B" w:rsidR="000A5A99" w:rsidRPr="00E16672" w:rsidRDefault="00590C2E" w:rsidP="00590C2E">
      <w:pPr>
        <w:rPr>
          <w:rFonts w:ascii="Times New Roman" w:hAnsi="Times New Roman"/>
          <w:color w:val="000000"/>
          <w:lang w:val="uk-UA"/>
        </w:rPr>
      </w:pPr>
      <w:r w:rsidRPr="00590C2E">
        <w:rPr>
          <w:rFonts w:ascii="Times New Roman" w:eastAsia="Arial Unicode MS" w:hAnsi="Times New Roman"/>
          <w:color w:val="000000"/>
          <w:szCs w:val="20"/>
          <w:lang w:val="uk-UA"/>
        </w:rPr>
        <w:t>- переведення прав на цінні папери з рахунку в цінних паперах Власника, відкритого Емітентом (з наступним закриттям цього рахунку), на рахунок в цінних паперах Власника в обраній ним депозитарній установі або рахунок, відкритий в Депозитарній установі до переведення цінних паперів у бездокументарну форму існування.</w:t>
      </w:r>
    </w:p>
    <w:p w14:paraId="4DAC459E" w14:textId="54604849" w:rsidR="00590C2E" w:rsidRPr="00590C2E" w:rsidRDefault="000A5A99" w:rsidP="00590C2E">
      <w:pPr>
        <w:pStyle w:val="HTML"/>
        <w:shd w:val="clear" w:color="auto" w:fill="FFFFFF"/>
        <w:rPr>
          <w:rFonts w:ascii="Times New Roman" w:eastAsia="Arial Unicode MS" w:hAnsi="Times New Roman" w:cs="Times New Roman"/>
          <w:color w:val="000000"/>
          <w:lang w:val="uk-UA"/>
        </w:rPr>
      </w:pPr>
      <w:r w:rsidRPr="00E16672">
        <w:rPr>
          <w:rFonts w:ascii="Times New Roman" w:eastAsia="Arial Unicode MS" w:hAnsi="Times New Roman" w:cs="Times New Roman"/>
          <w:color w:val="000000"/>
          <w:lang w:val="uk-UA"/>
        </w:rPr>
        <w:t xml:space="preserve">2.1.5. </w:t>
      </w:r>
      <w:proofErr w:type="spellStart"/>
      <w:r w:rsidR="00590C2E" w:rsidRPr="00590C2E">
        <w:rPr>
          <w:rFonts w:ascii="Times New Roman" w:eastAsia="Arial Unicode MS" w:hAnsi="Times New Roman" w:cs="Times New Roman"/>
          <w:color w:val="000000"/>
          <w:lang w:val="uk-UA"/>
        </w:rPr>
        <w:t>Якщо</w:t>
      </w:r>
      <w:proofErr w:type="spellEnd"/>
      <w:r w:rsidR="00590C2E" w:rsidRPr="00590C2E">
        <w:rPr>
          <w:rFonts w:ascii="Times New Roman" w:eastAsia="Arial Unicode MS" w:hAnsi="Times New Roman" w:cs="Times New Roman"/>
          <w:color w:val="000000"/>
          <w:lang w:val="uk-UA"/>
        </w:rPr>
        <w:t xml:space="preserve"> </w:t>
      </w:r>
      <w:proofErr w:type="spellStart"/>
      <w:r w:rsidR="00590C2E" w:rsidRPr="00590C2E">
        <w:rPr>
          <w:rFonts w:ascii="Times New Roman" w:eastAsia="Arial Unicode MS" w:hAnsi="Times New Roman" w:cs="Times New Roman"/>
          <w:color w:val="000000"/>
          <w:lang w:val="uk-UA"/>
        </w:rPr>
        <w:t>власник</w:t>
      </w:r>
      <w:proofErr w:type="spellEnd"/>
      <w:r w:rsidR="00590C2E" w:rsidRPr="00590C2E">
        <w:rPr>
          <w:rFonts w:ascii="Times New Roman" w:eastAsia="Arial Unicode MS" w:hAnsi="Times New Roman" w:cs="Times New Roman"/>
          <w:color w:val="000000"/>
          <w:lang w:val="uk-UA"/>
        </w:rPr>
        <w:t xml:space="preserve"> </w:t>
      </w:r>
      <w:proofErr w:type="spellStart"/>
      <w:r w:rsidR="00590C2E" w:rsidRPr="00590C2E">
        <w:rPr>
          <w:rFonts w:ascii="Times New Roman" w:eastAsia="Arial Unicode MS" w:hAnsi="Times New Roman" w:cs="Times New Roman"/>
          <w:color w:val="000000"/>
          <w:lang w:val="uk-UA"/>
        </w:rPr>
        <w:t>іменних</w:t>
      </w:r>
      <w:proofErr w:type="spellEnd"/>
      <w:r w:rsidR="00590C2E" w:rsidRPr="00590C2E">
        <w:rPr>
          <w:rFonts w:ascii="Times New Roman" w:eastAsia="Arial Unicode MS" w:hAnsi="Times New Roman" w:cs="Times New Roman"/>
          <w:color w:val="000000"/>
          <w:lang w:val="uk-UA"/>
        </w:rPr>
        <w:t xml:space="preserve"> </w:t>
      </w:r>
      <w:proofErr w:type="spellStart"/>
      <w:r w:rsidR="00590C2E" w:rsidRPr="00590C2E">
        <w:rPr>
          <w:rFonts w:ascii="Times New Roman" w:eastAsia="Arial Unicode MS" w:hAnsi="Times New Roman" w:cs="Times New Roman"/>
          <w:color w:val="000000"/>
          <w:lang w:val="uk-UA"/>
        </w:rPr>
        <w:t>цінних</w:t>
      </w:r>
      <w:proofErr w:type="spellEnd"/>
      <w:r w:rsidR="00590C2E" w:rsidRPr="00590C2E">
        <w:rPr>
          <w:rFonts w:ascii="Times New Roman" w:eastAsia="Arial Unicode MS" w:hAnsi="Times New Roman" w:cs="Times New Roman"/>
          <w:color w:val="000000"/>
          <w:lang w:val="uk-UA"/>
        </w:rPr>
        <w:t xml:space="preserve"> </w:t>
      </w:r>
      <w:proofErr w:type="spellStart"/>
      <w:r w:rsidR="00590C2E" w:rsidRPr="00590C2E">
        <w:rPr>
          <w:rFonts w:ascii="Times New Roman" w:eastAsia="Arial Unicode MS" w:hAnsi="Times New Roman" w:cs="Times New Roman"/>
          <w:color w:val="000000"/>
          <w:lang w:val="uk-UA"/>
        </w:rPr>
        <w:t>паперів</w:t>
      </w:r>
      <w:proofErr w:type="spellEnd"/>
      <w:r w:rsidR="00590C2E" w:rsidRPr="00590C2E">
        <w:rPr>
          <w:rFonts w:ascii="Times New Roman" w:eastAsia="Arial Unicode MS" w:hAnsi="Times New Roman" w:cs="Times New Roman"/>
          <w:color w:val="000000"/>
          <w:lang w:val="uk-UA"/>
        </w:rPr>
        <w:t xml:space="preserve"> </w:t>
      </w:r>
      <w:proofErr w:type="spellStart"/>
      <w:r w:rsidR="00590C2E" w:rsidRPr="00590C2E">
        <w:rPr>
          <w:rFonts w:ascii="Times New Roman" w:eastAsia="Arial Unicode MS" w:hAnsi="Times New Roman" w:cs="Times New Roman"/>
          <w:color w:val="000000"/>
          <w:lang w:val="uk-UA"/>
        </w:rPr>
        <w:t>випуску</w:t>
      </w:r>
      <w:proofErr w:type="spellEnd"/>
      <w:r w:rsidR="00590C2E" w:rsidRPr="00590C2E">
        <w:rPr>
          <w:rFonts w:ascii="Times New Roman" w:eastAsia="Arial Unicode MS" w:hAnsi="Times New Roman" w:cs="Times New Roman"/>
          <w:color w:val="000000"/>
          <w:lang w:val="uk-UA"/>
        </w:rPr>
        <w:t xml:space="preserve">, </w:t>
      </w:r>
      <w:proofErr w:type="spellStart"/>
      <w:r w:rsidR="00590C2E" w:rsidRPr="00590C2E">
        <w:rPr>
          <w:rFonts w:ascii="Times New Roman" w:eastAsia="Arial Unicode MS" w:hAnsi="Times New Roman" w:cs="Times New Roman"/>
          <w:color w:val="000000"/>
          <w:lang w:val="uk-UA"/>
        </w:rPr>
        <w:t>що</w:t>
      </w:r>
      <w:proofErr w:type="spellEnd"/>
      <w:r w:rsidR="00590C2E" w:rsidRPr="00590C2E">
        <w:rPr>
          <w:rFonts w:ascii="Times New Roman" w:eastAsia="Arial Unicode MS" w:hAnsi="Times New Roman" w:cs="Times New Roman"/>
          <w:color w:val="000000"/>
          <w:lang w:val="uk-UA"/>
        </w:rPr>
        <w:t xml:space="preserve"> </w:t>
      </w:r>
      <w:proofErr w:type="spellStart"/>
      <w:r w:rsidR="00590C2E" w:rsidRPr="00590C2E">
        <w:rPr>
          <w:rFonts w:ascii="Times New Roman" w:eastAsia="Arial Unicode MS" w:hAnsi="Times New Roman" w:cs="Times New Roman"/>
          <w:color w:val="000000"/>
          <w:lang w:val="uk-UA"/>
        </w:rPr>
        <w:t>був</w:t>
      </w:r>
      <w:proofErr w:type="spellEnd"/>
      <w:r w:rsidR="00590C2E" w:rsidRPr="00590C2E">
        <w:rPr>
          <w:rFonts w:ascii="Times New Roman" w:eastAsia="Arial Unicode MS" w:hAnsi="Times New Roman" w:cs="Times New Roman"/>
          <w:color w:val="000000"/>
          <w:lang w:val="uk-UA"/>
        </w:rPr>
        <w:t xml:space="preserve"> переведений у </w:t>
      </w:r>
      <w:proofErr w:type="spellStart"/>
      <w:r w:rsidR="00590C2E" w:rsidRPr="00590C2E">
        <w:rPr>
          <w:rFonts w:ascii="Times New Roman" w:eastAsia="Arial Unicode MS" w:hAnsi="Times New Roman" w:cs="Times New Roman"/>
          <w:color w:val="000000"/>
          <w:lang w:val="uk-UA"/>
        </w:rPr>
        <w:t>бездокументарну</w:t>
      </w:r>
      <w:proofErr w:type="spellEnd"/>
      <w:r w:rsidR="00590C2E" w:rsidRPr="00590C2E">
        <w:rPr>
          <w:rFonts w:ascii="Times New Roman" w:eastAsia="Arial Unicode MS" w:hAnsi="Times New Roman" w:cs="Times New Roman"/>
          <w:color w:val="000000"/>
          <w:lang w:val="uk-UA"/>
        </w:rPr>
        <w:t xml:space="preserve"> форму </w:t>
      </w:r>
      <w:proofErr w:type="spellStart"/>
      <w:r w:rsidR="00590C2E" w:rsidRPr="00590C2E">
        <w:rPr>
          <w:rFonts w:ascii="Times New Roman" w:eastAsia="Arial Unicode MS" w:hAnsi="Times New Roman" w:cs="Times New Roman"/>
          <w:color w:val="000000"/>
          <w:lang w:val="uk-UA"/>
        </w:rPr>
        <w:t>існування</w:t>
      </w:r>
      <w:proofErr w:type="spellEnd"/>
      <w:r w:rsidR="00590C2E" w:rsidRPr="00590C2E">
        <w:rPr>
          <w:rFonts w:ascii="Times New Roman" w:eastAsia="Arial Unicode MS" w:hAnsi="Times New Roman" w:cs="Times New Roman"/>
          <w:color w:val="000000"/>
          <w:lang w:val="uk-UA"/>
        </w:rPr>
        <w:t xml:space="preserve">, </w:t>
      </w:r>
      <w:proofErr w:type="spellStart"/>
      <w:r w:rsidR="00590C2E" w:rsidRPr="00590C2E">
        <w:rPr>
          <w:rFonts w:ascii="Times New Roman" w:eastAsia="Arial Unicode MS" w:hAnsi="Times New Roman" w:cs="Times New Roman"/>
          <w:color w:val="000000"/>
          <w:lang w:val="uk-UA"/>
        </w:rPr>
        <w:t>має</w:t>
      </w:r>
      <w:proofErr w:type="spellEnd"/>
      <w:r w:rsidR="00590C2E" w:rsidRPr="00590C2E">
        <w:rPr>
          <w:rFonts w:ascii="Times New Roman" w:eastAsia="Arial Unicode MS" w:hAnsi="Times New Roman" w:cs="Times New Roman"/>
          <w:color w:val="000000"/>
          <w:lang w:val="uk-UA"/>
        </w:rPr>
        <w:t xml:space="preserve"> </w:t>
      </w:r>
      <w:proofErr w:type="spellStart"/>
      <w:r w:rsidR="00590C2E" w:rsidRPr="00590C2E">
        <w:rPr>
          <w:rFonts w:ascii="Times New Roman" w:eastAsia="Arial Unicode MS" w:hAnsi="Times New Roman" w:cs="Times New Roman"/>
          <w:color w:val="000000"/>
          <w:lang w:val="uk-UA"/>
        </w:rPr>
        <w:t>рахунок</w:t>
      </w:r>
      <w:proofErr w:type="spellEnd"/>
      <w:r w:rsidR="00590C2E" w:rsidRPr="00590C2E">
        <w:rPr>
          <w:rFonts w:ascii="Times New Roman" w:eastAsia="Arial Unicode MS" w:hAnsi="Times New Roman" w:cs="Times New Roman"/>
          <w:color w:val="000000"/>
          <w:lang w:val="uk-UA"/>
        </w:rPr>
        <w:t xml:space="preserve"> у </w:t>
      </w:r>
      <w:proofErr w:type="spellStart"/>
      <w:r w:rsidR="00590C2E" w:rsidRPr="00590C2E">
        <w:rPr>
          <w:rFonts w:ascii="Times New Roman" w:eastAsia="Arial Unicode MS" w:hAnsi="Times New Roman" w:cs="Times New Roman"/>
          <w:color w:val="000000"/>
          <w:lang w:val="uk-UA"/>
        </w:rPr>
        <w:t>цінних</w:t>
      </w:r>
      <w:proofErr w:type="spellEnd"/>
      <w:r w:rsidR="00590C2E" w:rsidRPr="00590C2E">
        <w:rPr>
          <w:rFonts w:ascii="Times New Roman" w:eastAsia="Arial Unicode MS" w:hAnsi="Times New Roman" w:cs="Times New Roman"/>
          <w:color w:val="000000"/>
          <w:lang w:val="uk-UA"/>
        </w:rPr>
        <w:t xml:space="preserve"> </w:t>
      </w:r>
      <w:proofErr w:type="spellStart"/>
      <w:r w:rsidR="00590C2E" w:rsidRPr="00590C2E">
        <w:rPr>
          <w:rFonts w:ascii="Times New Roman" w:eastAsia="Arial Unicode MS" w:hAnsi="Times New Roman" w:cs="Times New Roman"/>
          <w:color w:val="000000"/>
          <w:lang w:val="uk-UA"/>
        </w:rPr>
        <w:t>паперах</w:t>
      </w:r>
      <w:proofErr w:type="spellEnd"/>
      <w:r w:rsidR="00590C2E" w:rsidRPr="00590C2E">
        <w:rPr>
          <w:rFonts w:ascii="Times New Roman" w:eastAsia="Arial Unicode MS" w:hAnsi="Times New Roman" w:cs="Times New Roman"/>
          <w:color w:val="000000"/>
          <w:lang w:val="uk-UA"/>
        </w:rPr>
        <w:t xml:space="preserve"> в </w:t>
      </w:r>
      <w:proofErr w:type="spellStart"/>
      <w:r w:rsidR="00590C2E" w:rsidRPr="00590C2E">
        <w:rPr>
          <w:rFonts w:ascii="Times New Roman" w:eastAsia="Arial Unicode MS" w:hAnsi="Times New Roman" w:cs="Times New Roman"/>
          <w:color w:val="000000"/>
          <w:lang w:val="uk-UA"/>
        </w:rPr>
        <w:t>іншій</w:t>
      </w:r>
      <w:proofErr w:type="spellEnd"/>
      <w:r w:rsidR="00590C2E" w:rsidRPr="00590C2E">
        <w:rPr>
          <w:rFonts w:ascii="Times New Roman" w:eastAsia="Arial Unicode MS" w:hAnsi="Times New Roman" w:cs="Times New Roman"/>
          <w:color w:val="000000"/>
          <w:lang w:val="uk-UA"/>
        </w:rPr>
        <w:t xml:space="preserve"> </w:t>
      </w:r>
      <w:proofErr w:type="spellStart"/>
      <w:r w:rsidR="00590C2E" w:rsidRPr="00590C2E">
        <w:rPr>
          <w:rFonts w:ascii="Times New Roman" w:eastAsia="Arial Unicode MS" w:hAnsi="Times New Roman" w:cs="Times New Roman"/>
          <w:color w:val="000000"/>
          <w:lang w:val="uk-UA"/>
        </w:rPr>
        <w:t>депозитарній</w:t>
      </w:r>
      <w:proofErr w:type="spellEnd"/>
      <w:r w:rsidR="00590C2E" w:rsidRPr="00590C2E">
        <w:rPr>
          <w:rFonts w:ascii="Times New Roman" w:eastAsia="Arial Unicode MS" w:hAnsi="Times New Roman" w:cs="Times New Roman"/>
          <w:color w:val="000000"/>
          <w:lang w:val="uk-UA"/>
        </w:rPr>
        <w:t xml:space="preserve"> </w:t>
      </w:r>
      <w:proofErr w:type="spellStart"/>
      <w:r w:rsidR="00590C2E" w:rsidRPr="00590C2E">
        <w:rPr>
          <w:rFonts w:ascii="Times New Roman" w:eastAsia="Arial Unicode MS" w:hAnsi="Times New Roman" w:cs="Times New Roman"/>
          <w:color w:val="000000"/>
          <w:lang w:val="uk-UA"/>
        </w:rPr>
        <w:t>установі</w:t>
      </w:r>
      <w:proofErr w:type="spellEnd"/>
      <w:r w:rsidR="00590C2E" w:rsidRPr="00590C2E">
        <w:rPr>
          <w:rFonts w:ascii="Times New Roman" w:eastAsia="Arial Unicode MS" w:hAnsi="Times New Roman" w:cs="Times New Roman"/>
          <w:color w:val="000000"/>
          <w:lang w:val="uk-UA"/>
        </w:rPr>
        <w:t xml:space="preserve"> </w:t>
      </w:r>
      <w:proofErr w:type="spellStart"/>
      <w:r w:rsidR="00590C2E" w:rsidRPr="00590C2E">
        <w:rPr>
          <w:rFonts w:ascii="Times New Roman" w:eastAsia="Arial Unicode MS" w:hAnsi="Times New Roman" w:cs="Times New Roman"/>
          <w:color w:val="000000"/>
          <w:lang w:val="uk-UA"/>
        </w:rPr>
        <w:t>або</w:t>
      </w:r>
      <w:proofErr w:type="spellEnd"/>
      <w:r w:rsidR="00590C2E" w:rsidRPr="00590C2E">
        <w:rPr>
          <w:rFonts w:ascii="Times New Roman" w:eastAsia="Arial Unicode MS" w:hAnsi="Times New Roman" w:cs="Times New Roman"/>
          <w:color w:val="000000"/>
          <w:lang w:val="uk-UA"/>
        </w:rPr>
        <w:t xml:space="preserve"> у </w:t>
      </w:r>
      <w:proofErr w:type="spellStart"/>
      <w:r w:rsidR="00590C2E" w:rsidRPr="00590C2E">
        <w:rPr>
          <w:rFonts w:ascii="Times New Roman" w:eastAsia="Arial Unicode MS" w:hAnsi="Times New Roman" w:cs="Times New Roman"/>
          <w:color w:val="000000"/>
          <w:lang w:val="uk-UA"/>
        </w:rPr>
        <w:t>цій</w:t>
      </w:r>
      <w:proofErr w:type="spellEnd"/>
      <w:r w:rsidR="00590C2E" w:rsidRPr="00590C2E">
        <w:rPr>
          <w:rFonts w:ascii="Times New Roman" w:eastAsia="Arial Unicode MS" w:hAnsi="Times New Roman" w:cs="Times New Roman"/>
          <w:color w:val="000000"/>
          <w:lang w:val="uk-UA"/>
        </w:rPr>
        <w:t xml:space="preserve"> </w:t>
      </w:r>
      <w:proofErr w:type="spellStart"/>
      <w:r w:rsidR="00590C2E" w:rsidRPr="00590C2E">
        <w:rPr>
          <w:rFonts w:ascii="Times New Roman" w:eastAsia="Arial Unicode MS" w:hAnsi="Times New Roman" w:cs="Times New Roman"/>
          <w:color w:val="000000"/>
          <w:lang w:val="uk-UA"/>
        </w:rPr>
        <w:t>Депозитарній</w:t>
      </w:r>
      <w:proofErr w:type="spellEnd"/>
      <w:r w:rsidR="00590C2E" w:rsidRPr="00590C2E">
        <w:rPr>
          <w:rFonts w:ascii="Times New Roman" w:eastAsia="Arial Unicode MS" w:hAnsi="Times New Roman" w:cs="Times New Roman"/>
          <w:color w:val="000000"/>
          <w:lang w:val="uk-UA"/>
        </w:rPr>
        <w:t xml:space="preserve"> </w:t>
      </w:r>
      <w:proofErr w:type="spellStart"/>
      <w:r w:rsidR="00590C2E" w:rsidRPr="00590C2E">
        <w:rPr>
          <w:rFonts w:ascii="Times New Roman" w:eastAsia="Arial Unicode MS" w:hAnsi="Times New Roman" w:cs="Times New Roman"/>
          <w:color w:val="000000"/>
          <w:lang w:val="uk-UA"/>
        </w:rPr>
        <w:t>установі</w:t>
      </w:r>
      <w:proofErr w:type="spellEnd"/>
      <w:r w:rsidR="00590C2E" w:rsidRPr="00590C2E">
        <w:rPr>
          <w:rFonts w:ascii="Times New Roman" w:eastAsia="Arial Unicode MS" w:hAnsi="Times New Roman" w:cs="Times New Roman"/>
          <w:color w:val="000000"/>
          <w:lang w:val="uk-UA"/>
        </w:rPr>
        <w:t xml:space="preserve">, </w:t>
      </w:r>
      <w:proofErr w:type="spellStart"/>
      <w:r w:rsidR="00590C2E" w:rsidRPr="00590C2E">
        <w:rPr>
          <w:rFonts w:ascii="Times New Roman" w:eastAsia="Arial Unicode MS" w:hAnsi="Times New Roman" w:cs="Times New Roman"/>
          <w:color w:val="000000"/>
          <w:lang w:val="uk-UA"/>
        </w:rPr>
        <w:t>що</w:t>
      </w:r>
      <w:proofErr w:type="spellEnd"/>
      <w:r w:rsidR="00590C2E" w:rsidRPr="00590C2E">
        <w:rPr>
          <w:rFonts w:ascii="Times New Roman" w:eastAsia="Arial Unicode MS" w:hAnsi="Times New Roman" w:cs="Times New Roman"/>
          <w:color w:val="000000"/>
          <w:lang w:val="uk-UA"/>
        </w:rPr>
        <w:t xml:space="preserve"> </w:t>
      </w:r>
      <w:proofErr w:type="spellStart"/>
      <w:r w:rsidR="00590C2E" w:rsidRPr="00590C2E">
        <w:rPr>
          <w:rFonts w:ascii="Times New Roman" w:eastAsia="Arial Unicode MS" w:hAnsi="Times New Roman" w:cs="Times New Roman"/>
          <w:color w:val="000000"/>
          <w:lang w:val="uk-UA"/>
        </w:rPr>
        <w:t>обслуговується</w:t>
      </w:r>
      <w:proofErr w:type="spellEnd"/>
      <w:r w:rsidR="00590C2E" w:rsidRPr="00590C2E">
        <w:rPr>
          <w:rFonts w:ascii="Times New Roman" w:eastAsia="Arial Unicode MS" w:hAnsi="Times New Roman" w:cs="Times New Roman"/>
          <w:color w:val="000000"/>
          <w:lang w:val="uk-UA"/>
        </w:rPr>
        <w:t xml:space="preserve"> на </w:t>
      </w:r>
      <w:proofErr w:type="spellStart"/>
      <w:r w:rsidR="00590C2E" w:rsidRPr="00590C2E">
        <w:rPr>
          <w:rFonts w:ascii="Times New Roman" w:eastAsia="Arial Unicode MS" w:hAnsi="Times New Roman" w:cs="Times New Roman"/>
          <w:color w:val="000000"/>
          <w:lang w:val="uk-UA"/>
        </w:rPr>
        <w:t>підставі</w:t>
      </w:r>
      <w:proofErr w:type="spellEnd"/>
      <w:r w:rsidR="00590C2E" w:rsidRPr="00590C2E">
        <w:rPr>
          <w:rFonts w:ascii="Times New Roman" w:eastAsia="Arial Unicode MS" w:hAnsi="Times New Roman" w:cs="Times New Roman"/>
          <w:color w:val="000000"/>
          <w:lang w:val="uk-UA"/>
        </w:rPr>
        <w:t xml:space="preserve"> договору про </w:t>
      </w:r>
      <w:proofErr w:type="spellStart"/>
      <w:r w:rsidR="00590C2E" w:rsidRPr="00590C2E">
        <w:rPr>
          <w:rFonts w:ascii="Times New Roman" w:eastAsia="Arial Unicode MS" w:hAnsi="Times New Roman" w:cs="Times New Roman"/>
          <w:color w:val="000000"/>
          <w:lang w:val="uk-UA"/>
        </w:rPr>
        <w:t>відкриття</w:t>
      </w:r>
      <w:proofErr w:type="spellEnd"/>
      <w:r w:rsidR="00590C2E" w:rsidRPr="00590C2E">
        <w:rPr>
          <w:rFonts w:ascii="Times New Roman" w:eastAsia="Arial Unicode MS" w:hAnsi="Times New Roman" w:cs="Times New Roman"/>
          <w:color w:val="000000"/>
          <w:lang w:val="uk-UA"/>
        </w:rPr>
        <w:t>/</w:t>
      </w:r>
      <w:proofErr w:type="spellStart"/>
      <w:r w:rsidR="00590C2E" w:rsidRPr="00590C2E">
        <w:rPr>
          <w:rFonts w:ascii="Times New Roman" w:eastAsia="Arial Unicode MS" w:hAnsi="Times New Roman" w:cs="Times New Roman"/>
          <w:color w:val="000000"/>
          <w:lang w:val="uk-UA"/>
        </w:rPr>
        <w:t>обслуговування</w:t>
      </w:r>
      <w:proofErr w:type="spellEnd"/>
      <w:r w:rsidR="00590C2E" w:rsidRPr="00590C2E">
        <w:rPr>
          <w:rFonts w:ascii="Times New Roman" w:eastAsia="Arial Unicode MS" w:hAnsi="Times New Roman" w:cs="Times New Roman"/>
          <w:color w:val="000000"/>
          <w:lang w:val="uk-UA"/>
        </w:rPr>
        <w:t xml:space="preserve"> </w:t>
      </w:r>
      <w:proofErr w:type="spellStart"/>
      <w:r w:rsidR="00590C2E" w:rsidRPr="00590C2E">
        <w:rPr>
          <w:rFonts w:ascii="Times New Roman" w:eastAsia="Arial Unicode MS" w:hAnsi="Times New Roman" w:cs="Times New Roman"/>
          <w:color w:val="000000"/>
          <w:lang w:val="uk-UA"/>
        </w:rPr>
        <w:t>рахунку</w:t>
      </w:r>
      <w:proofErr w:type="spellEnd"/>
      <w:r w:rsidR="00590C2E" w:rsidRPr="00590C2E">
        <w:rPr>
          <w:rFonts w:ascii="Times New Roman" w:eastAsia="Arial Unicode MS" w:hAnsi="Times New Roman" w:cs="Times New Roman"/>
          <w:color w:val="000000"/>
          <w:lang w:val="uk-UA"/>
        </w:rPr>
        <w:t xml:space="preserve"> в </w:t>
      </w:r>
      <w:proofErr w:type="spellStart"/>
      <w:r w:rsidR="00590C2E" w:rsidRPr="00590C2E">
        <w:rPr>
          <w:rFonts w:ascii="Times New Roman" w:eastAsia="Arial Unicode MS" w:hAnsi="Times New Roman" w:cs="Times New Roman"/>
          <w:color w:val="000000"/>
          <w:lang w:val="uk-UA"/>
        </w:rPr>
        <w:t>цінних</w:t>
      </w:r>
      <w:proofErr w:type="spellEnd"/>
      <w:r w:rsidR="00590C2E" w:rsidRPr="00590C2E">
        <w:rPr>
          <w:rFonts w:ascii="Times New Roman" w:eastAsia="Arial Unicode MS" w:hAnsi="Times New Roman" w:cs="Times New Roman"/>
          <w:color w:val="000000"/>
          <w:lang w:val="uk-UA"/>
        </w:rPr>
        <w:t xml:space="preserve"> </w:t>
      </w:r>
      <w:proofErr w:type="spellStart"/>
      <w:r w:rsidR="00590C2E" w:rsidRPr="00590C2E">
        <w:rPr>
          <w:rFonts w:ascii="Times New Roman" w:eastAsia="Arial Unicode MS" w:hAnsi="Times New Roman" w:cs="Times New Roman"/>
          <w:color w:val="000000"/>
          <w:lang w:val="uk-UA"/>
        </w:rPr>
        <w:t>паперах</w:t>
      </w:r>
      <w:proofErr w:type="spellEnd"/>
      <w:r w:rsidR="00590C2E" w:rsidRPr="00590C2E">
        <w:rPr>
          <w:rFonts w:ascii="Times New Roman" w:eastAsia="Arial Unicode MS" w:hAnsi="Times New Roman" w:cs="Times New Roman"/>
          <w:color w:val="000000"/>
          <w:lang w:val="uk-UA"/>
        </w:rPr>
        <w:t xml:space="preserve">, то </w:t>
      </w:r>
      <w:proofErr w:type="spellStart"/>
      <w:r w:rsidR="00590C2E" w:rsidRPr="00590C2E">
        <w:rPr>
          <w:rFonts w:ascii="Times New Roman" w:eastAsia="Arial Unicode MS" w:hAnsi="Times New Roman" w:cs="Times New Roman"/>
          <w:color w:val="000000"/>
          <w:lang w:val="uk-UA"/>
        </w:rPr>
        <w:t>Депозитарна</w:t>
      </w:r>
      <w:proofErr w:type="spellEnd"/>
      <w:r w:rsidR="00590C2E" w:rsidRPr="00590C2E">
        <w:rPr>
          <w:rFonts w:ascii="Times New Roman" w:eastAsia="Arial Unicode MS" w:hAnsi="Times New Roman" w:cs="Times New Roman"/>
          <w:color w:val="000000"/>
          <w:lang w:val="uk-UA"/>
        </w:rPr>
        <w:t xml:space="preserve"> </w:t>
      </w:r>
      <w:proofErr w:type="spellStart"/>
      <w:r w:rsidR="00590C2E" w:rsidRPr="00590C2E">
        <w:rPr>
          <w:rFonts w:ascii="Times New Roman" w:eastAsia="Arial Unicode MS" w:hAnsi="Times New Roman" w:cs="Times New Roman"/>
          <w:color w:val="000000"/>
          <w:lang w:val="uk-UA"/>
        </w:rPr>
        <w:t>установа</w:t>
      </w:r>
      <w:proofErr w:type="spellEnd"/>
      <w:r w:rsidR="00590C2E" w:rsidRPr="00590C2E">
        <w:rPr>
          <w:rFonts w:ascii="Times New Roman" w:eastAsia="Arial Unicode MS" w:hAnsi="Times New Roman" w:cs="Times New Roman"/>
          <w:color w:val="000000"/>
          <w:lang w:val="uk-UA"/>
        </w:rPr>
        <w:t xml:space="preserve">, у </w:t>
      </w:r>
      <w:proofErr w:type="spellStart"/>
      <w:r w:rsidR="00590C2E" w:rsidRPr="00590C2E">
        <w:rPr>
          <w:rFonts w:ascii="Times New Roman" w:eastAsia="Arial Unicode MS" w:hAnsi="Times New Roman" w:cs="Times New Roman"/>
          <w:color w:val="000000"/>
          <w:lang w:val="uk-UA"/>
        </w:rPr>
        <w:t>якій</w:t>
      </w:r>
      <w:proofErr w:type="spellEnd"/>
      <w:r w:rsidR="00590C2E" w:rsidRPr="00590C2E">
        <w:rPr>
          <w:rFonts w:ascii="Times New Roman" w:eastAsia="Arial Unicode MS" w:hAnsi="Times New Roman" w:cs="Times New Roman"/>
          <w:color w:val="000000"/>
          <w:lang w:val="uk-UA"/>
        </w:rPr>
        <w:t xml:space="preserve"> </w:t>
      </w:r>
      <w:proofErr w:type="spellStart"/>
      <w:r w:rsidR="00590C2E" w:rsidRPr="00590C2E">
        <w:rPr>
          <w:rFonts w:ascii="Times New Roman" w:eastAsia="Arial Unicode MS" w:hAnsi="Times New Roman" w:cs="Times New Roman"/>
          <w:color w:val="000000"/>
          <w:lang w:val="uk-UA"/>
        </w:rPr>
        <w:t>відкрито</w:t>
      </w:r>
      <w:proofErr w:type="spellEnd"/>
      <w:r w:rsidR="00590C2E" w:rsidRPr="00590C2E">
        <w:rPr>
          <w:rFonts w:ascii="Times New Roman" w:eastAsia="Arial Unicode MS" w:hAnsi="Times New Roman" w:cs="Times New Roman"/>
          <w:color w:val="000000"/>
          <w:lang w:val="uk-UA"/>
        </w:rPr>
        <w:t xml:space="preserve"> </w:t>
      </w:r>
      <w:proofErr w:type="spellStart"/>
      <w:r w:rsidR="00590C2E" w:rsidRPr="00590C2E">
        <w:rPr>
          <w:rFonts w:ascii="Times New Roman" w:eastAsia="Arial Unicode MS" w:hAnsi="Times New Roman" w:cs="Times New Roman"/>
          <w:color w:val="000000"/>
          <w:lang w:val="uk-UA"/>
        </w:rPr>
        <w:t>рахунок</w:t>
      </w:r>
      <w:proofErr w:type="spellEnd"/>
      <w:r w:rsidR="00590C2E" w:rsidRPr="00590C2E">
        <w:rPr>
          <w:rFonts w:ascii="Times New Roman" w:eastAsia="Arial Unicode MS" w:hAnsi="Times New Roman" w:cs="Times New Roman"/>
          <w:color w:val="000000"/>
          <w:lang w:val="uk-UA"/>
        </w:rPr>
        <w:t xml:space="preserve"> у </w:t>
      </w:r>
      <w:proofErr w:type="spellStart"/>
      <w:r w:rsidR="00590C2E" w:rsidRPr="00590C2E">
        <w:rPr>
          <w:rFonts w:ascii="Times New Roman" w:eastAsia="Arial Unicode MS" w:hAnsi="Times New Roman" w:cs="Times New Roman"/>
          <w:color w:val="000000"/>
          <w:lang w:val="uk-UA"/>
        </w:rPr>
        <w:t>цінних</w:t>
      </w:r>
      <w:proofErr w:type="spellEnd"/>
      <w:r w:rsidR="00590C2E" w:rsidRPr="00590C2E">
        <w:rPr>
          <w:rFonts w:ascii="Times New Roman" w:eastAsia="Arial Unicode MS" w:hAnsi="Times New Roman" w:cs="Times New Roman"/>
          <w:color w:val="000000"/>
          <w:lang w:val="uk-UA"/>
        </w:rPr>
        <w:t xml:space="preserve"> </w:t>
      </w:r>
      <w:proofErr w:type="spellStart"/>
      <w:r w:rsidR="00590C2E" w:rsidRPr="00590C2E">
        <w:rPr>
          <w:rFonts w:ascii="Times New Roman" w:eastAsia="Arial Unicode MS" w:hAnsi="Times New Roman" w:cs="Times New Roman"/>
          <w:color w:val="000000"/>
          <w:lang w:val="uk-UA"/>
        </w:rPr>
        <w:t>паперах</w:t>
      </w:r>
      <w:proofErr w:type="spellEnd"/>
      <w:r w:rsidR="00590C2E" w:rsidRPr="00590C2E">
        <w:rPr>
          <w:rFonts w:ascii="Times New Roman" w:eastAsia="Arial Unicode MS" w:hAnsi="Times New Roman" w:cs="Times New Roman"/>
          <w:color w:val="000000"/>
          <w:lang w:val="uk-UA"/>
        </w:rPr>
        <w:t xml:space="preserve"> </w:t>
      </w:r>
      <w:proofErr w:type="spellStart"/>
      <w:r w:rsidR="00590C2E" w:rsidRPr="00590C2E">
        <w:rPr>
          <w:rFonts w:ascii="Times New Roman" w:eastAsia="Arial Unicode MS" w:hAnsi="Times New Roman" w:cs="Times New Roman"/>
          <w:color w:val="000000"/>
          <w:lang w:val="uk-UA"/>
        </w:rPr>
        <w:t>цьому</w:t>
      </w:r>
      <w:proofErr w:type="spellEnd"/>
      <w:r w:rsidR="00590C2E" w:rsidRPr="00590C2E">
        <w:rPr>
          <w:rFonts w:ascii="Times New Roman" w:eastAsia="Arial Unicode MS" w:hAnsi="Times New Roman" w:cs="Times New Roman"/>
          <w:color w:val="000000"/>
          <w:lang w:val="uk-UA"/>
        </w:rPr>
        <w:t xml:space="preserve"> </w:t>
      </w:r>
      <w:proofErr w:type="spellStart"/>
      <w:r w:rsidR="00590C2E" w:rsidRPr="00590C2E">
        <w:rPr>
          <w:rFonts w:ascii="Times New Roman" w:eastAsia="Arial Unicode MS" w:hAnsi="Times New Roman" w:cs="Times New Roman"/>
          <w:color w:val="000000"/>
          <w:lang w:val="uk-UA"/>
        </w:rPr>
        <w:t>власнику</w:t>
      </w:r>
      <w:proofErr w:type="spellEnd"/>
      <w:r w:rsidR="00590C2E" w:rsidRPr="00590C2E">
        <w:rPr>
          <w:rFonts w:ascii="Times New Roman" w:eastAsia="Arial Unicode MS" w:hAnsi="Times New Roman" w:cs="Times New Roman"/>
          <w:color w:val="000000"/>
          <w:lang w:val="uk-UA"/>
        </w:rPr>
        <w:t xml:space="preserve"> за договором з </w:t>
      </w:r>
      <w:proofErr w:type="spellStart"/>
      <w:r w:rsidR="00590C2E" w:rsidRPr="00590C2E">
        <w:rPr>
          <w:rFonts w:ascii="Times New Roman" w:eastAsia="Arial Unicode MS" w:hAnsi="Times New Roman" w:cs="Times New Roman"/>
          <w:color w:val="000000"/>
          <w:lang w:val="uk-UA"/>
        </w:rPr>
        <w:t>Емітентом</w:t>
      </w:r>
      <w:proofErr w:type="spellEnd"/>
      <w:r w:rsidR="00590C2E" w:rsidRPr="00590C2E">
        <w:rPr>
          <w:rFonts w:ascii="Times New Roman" w:eastAsia="Arial Unicode MS" w:hAnsi="Times New Roman" w:cs="Times New Roman"/>
          <w:color w:val="000000"/>
          <w:lang w:val="uk-UA"/>
        </w:rPr>
        <w:t xml:space="preserve">, повинна </w:t>
      </w:r>
      <w:proofErr w:type="spellStart"/>
      <w:r w:rsidR="00590C2E" w:rsidRPr="00590C2E">
        <w:rPr>
          <w:rFonts w:ascii="Times New Roman" w:eastAsia="Arial Unicode MS" w:hAnsi="Times New Roman" w:cs="Times New Roman"/>
          <w:color w:val="000000"/>
          <w:lang w:val="uk-UA"/>
        </w:rPr>
        <w:t>здійснити</w:t>
      </w:r>
      <w:proofErr w:type="spellEnd"/>
      <w:r w:rsidR="00590C2E" w:rsidRPr="00590C2E">
        <w:rPr>
          <w:rFonts w:ascii="Times New Roman" w:eastAsia="Arial Unicode MS" w:hAnsi="Times New Roman" w:cs="Times New Roman"/>
          <w:color w:val="000000"/>
          <w:lang w:val="uk-UA"/>
        </w:rPr>
        <w:t xml:space="preserve"> </w:t>
      </w:r>
      <w:proofErr w:type="spellStart"/>
      <w:r w:rsidR="00590C2E" w:rsidRPr="00590C2E">
        <w:rPr>
          <w:rFonts w:ascii="Times New Roman" w:eastAsia="Arial Unicode MS" w:hAnsi="Times New Roman" w:cs="Times New Roman"/>
          <w:color w:val="000000"/>
          <w:lang w:val="uk-UA"/>
        </w:rPr>
        <w:t>переведення</w:t>
      </w:r>
      <w:proofErr w:type="spellEnd"/>
      <w:r w:rsidR="00590C2E" w:rsidRPr="00590C2E">
        <w:rPr>
          <w:rFonts w:ascii="Times New Roman" w:eastAsia="Arial Unicode MS" w:hAnsi="Times New Roman" w:cs="Times New Roman"/>
          <w:color w:val="000000"/>
          <w:lang w:val="uk-UA"/>
        </w:rPr>
        <w:t xml:space="preserve"> прав на </w:t>
      </w:r>
      <w:proofErr w:type="spellStart"/>
      <w:r w:rsidR="00590C2E" w:rsidRPr="00590C2E">
        <w:rPr>
          <w:rFonts w:ascii="Times New Roman" w:eastAsia="Arial Unicode MS" w:hAnsi="Times New Roman" w:cs="Times New Roman"/>
          <w:color w:val="000000"/>
          <w:lang w:val="uk-UA"/>
        </w:rPr>
        <w:t>цінні</w:t>
      </w:r>
      <w:proofErr w:type="spellEnd"/>
      <w:r w:rsidR="00590C2E" w:rsidRPr="00590C2E">
        <w:rPr>
          <w:rFonts w:ascii="Times New Roman" w:eastAsia="Arial Unicode MS" w:hAnsi="Times New Roman" w:cs="Times New Roman"/>
          <w:color w:val="000000"/>
          <w:lang w:val="uk-UA"/>
        </w:rPr>
        <w:t xml:space="preserve"> </w:t>
      </w:r>
      <w:proofErr w:type="spellStart"/>
      <w:r w:rsidR="00590C2E" w:rsidRPr="00590C2E">
        <w:rPr>
          <w:rFonts w:ascii="Times New Roman" w:eastAsia="Arial Unicode MS" w:hAnsi="Times New Roman" w:cs="Times New Roman"/>
          <w:color w:val="000000"/>
          <w:lang w:val="uk-UA"/>
        </w:rPr>
        <w:t>папери</w:t>
      </w:r>
      <w:proofErr w:type="spellEnd"/>
      <w:r w:rsidR="00590C2E" w:rsidRPr="00590C2E">
        <w:rPr>
          <w:rFonts w:ascii="Times New Roman" w:eastAsia="Arial Unicode MS" w:hAnsi="Times New Roman" w:cs="Times New Roman"/>
          <w:color w:val="000000"/>
          <w:lang w:val="uk-UA"/>
        </w:rPr>
        <w:t xml:space="preserve"> з </w:t>
      </w:r>
      <w:proofErr w:type="spellStart"/>
      <w:r w:rsidR="00590C2E" w:rsidRPr="00590C2E">
        <w:rPr>
          <w:rFonts w:ascii="Times New Roman" w:eastAsia="Arial Unicode MS" w:hAnsi="Times New Roman" w:cs="Times New Roman"/>
          <w:color w:val="000000"/>
          <w:lang w:val="uk-UA"/>
        </w:rPr>
        <w:t>рахунку</w:t>
      </w:r>
      <w:proofErr w:type="spellEnd"/>
      <w:r w:rsidR="00590C2E" w:rsidRPr="00590C2E">
        <w:rPr>
          <w:rFonts w:ascii="Times New Roman" w:eastAsia="Arial Unicode MS" w:hAnsi="Times New Roman" w:cs="Times New Roman"/>
          <w:color w:val="000000"/>
          <w:lang w:val="uk-UA"/>
        </w:rPr>
        <w:t xml:space="preserve"> в </w:t>
      </w:r>
      <w:proofErr w:type="spellStart"/>
      <w:r w:rsidR="00590C2E" w:rsidRPr="00590C2E">
        <w:rPr>
          <w:rFonts w:ascii="Times New Roman" w:eastAsia="Arial Unicode MS" w:hAnsi="Times New Roman" w:cs="Times New Roman"/>
          <w:color w:val="000000"/>
          <w:lang w:val="uk-UA"/>
        </w:rPr>
        <w:t>цінних</w:t>
      </w:r>
      <w:proofErr w:type="spellEnd"/>
      <w:r w:rsidR="00590C2E" w:rsidRPr="00590C2E">
        <w:rPr>
          <w:rFonts w:ascii="Times New Roman" w:eastAsia="Arial Unicode MS" w:hAnsi="Times New Roman" w:cs="Times New Roman"/>
          <w:color w:val="000000"/>
          <w:lang w:val="uk-UA"/>
        </w:rPr>
        <w:t xml:space="preserve"> </w:t>
      </w:r>
      <w:proofErr w:type="spellStart"/>
      <w:r w:rsidR="00590C2E" w:rsidRPr="00590C2E">
        <w:rPr>
          <w:rFonts w:ascii="Times New Roman" w:eastAsia="Arial Unicode MS" w:hAnsi="Times New Roman" w:cs="Times New Roman"/>
          <w:color w:val="000000"/>
          <w:lang w:val="uk-UA"/>
        </w:rPr>
        <w:t>паперах</w:t>
      </w:r>
      <w:proofErr w:type="spellEnd"/>
      <w:r w:rsidR="00590C2E" w:rsidRPr="00590C2E">
        <w:rPr>
          <w:rFonts w:ascii="Times New Roman" w:eastAsia="Arial Unicode MS" w:hAnsi="Times New Roman" w:cs="Times New Roman"/>
          <w:color w:val="000000"/>
          <w:lang w:val="uk-UA"/>
        </w:rPr>
        <w:t xml:space="preserve"> </w:t>
      </w:r>
      <w:proofErr w:type="spellStart"/>
      <w:r w:rsidR="00590C2E" w:rsidRPr="00590C2E">
        <w:rPr>
          <w:rFonts w:ascii="Times New Roman" w:eastAsia="Arial Unicode MS" w:hAnsi="Times New Roman" w:cs="Times New Roman"/>
          <w:color w:val="000000"/>
          <w:lang w:val="uk-UA"/>
        </w:rPr>
        <w:t>власника</w:t>
      </w:r>
      <w:proofErr w:type="spellEnd"/>
      <w:r w:rsidR="00590C2E" w:rsidRPr="00590C2E">
        <w:rPr>
          <w:rFonts w:ascii="Times New Roman" w:eastAsia="Arial Unicode MS" w:hAnsi="Times New Roman" w:cs="Times New Roman"/>
          <w:color w:val="000000"/>
          <w:lang w:val="uk-UA"/>
        </w:rPr>
        <w:t xml:space="preserve">, </w:t>
      </w:r>
      <w:proofErr w:type="spellStart"/>
      <w:r w:rsidR="00590C2E" w:rsidRPr="00590C2E">
        <w:rPr>
          <w:rFonts w:ascii="Times New Roman" w:eastAsia="Arial Unicode MS" w:hAnsi="Times New Roman" w:cs="Times New Roman"/>
          <w:color w:val="000000"/>
          <w:lang w:val="uk-UA"/>
        </w:rPr>
        <w:t>відкритого</w:t>
      </w:r>
      <w:proofErr w:type="spellEnd"/>
      <w:r w:rsidR="00590C2E" w:rsidRPr="00590C2E">
        <w:rPr>
          <w:rFonts w:ascii="Times New Roman" w:eastAsia="Arial Unicode MS" w:hAnsi="Times New Roman" w:cs="Times New Roman"/>
          <w:color w:val="000000"/>
          <w:lang w:val="uk-UA"/>
        </w:rPr>
        <w:t xml:space="preserve"> </w:t>
      </w:r>
      <w:proofErr w:type="spellStart"/>
      <w:r w:rsidR="00590C2E" w:rsidRPr="00590C2E">
        <w:rPr>
          <w:rFonts w:ascii="Times New Roman" w:eastAsia="Arial Unicode MS" w:hAnsi="Times New Roman" w:cs="Times New Roman"/>
          <w:color w:val="000000"/>
          <w:lang w:val="uk-UA"/>
        </w:rPr>
        <w:t>Емітентом</w:t>
      </w:r>
      <w:proofErr w:type="spellEnd"/>
      <w:r w:rsidR="00590C2E" w:rsidRPr="00590C2E">
        <w:rPr>
          <w:rFonts w:ascii="Times New Roman" w:eastAsia="Arial Unicode MS" w:hAnsi="Times New Roman" w:cs="Times New Roman"/>
          <w:color w:val="000000"/>
          <w:lang w:val="uk-UA"/>
        </w:rPr>
        <w:t xml:space="preserve"> (з </w:t>
      </w:r>
      <w:proofErr w:type="spellStart"/>
      <w:r w:rsidR="00590C2E" w:rsidRPr="00590C2E">
        <w:rPr>
          <w:rFonts w:ascii="Times New Roman" w:eastAsia="Arial Unicode MS" w:hAnsi="Times New Roman" w:cs="Times New Roman"/>
          <w:color w:val="000000"/>
          <w:lang w:val="uk-UA"/>
        </w:rPr>
        <w:t>наступним</w:t>
      </w:r>
      <w:proofErr w:type="spellEnd"/>
      <w:r w:rsidR="00590C2E" w:rsidRPr="00590C2E">
        <w:rPr>
          <w:rFonts w:ascii="Times New Roman" w:eastAsia="Arial Unicode MS" w:hAnsi="Times New Roman" w:cs="Times New Roman"/>
          <w:color w:val="000000"/>
          <w:lang w:val="uk-UA"/>
        </w:rPr>
        <w:t xml:space="preserve"> </w:t>
      </w:r>
      <w:proofErr w:type="spellStart"/>
      <w:r w:rsidR="00590C2E" w:rsidRPr="00590C2E">
        <w:rPr>
          <w:rFonts w:ascii="Times New Roman" w:eastAsia="Arial Unicode MS" w:hAnsi="Times New Roman" w:cs="Times New Roman"/>
          <w:color w:val="000000"/>
          <w:lang w:val="uk-UA"/>
        </w:rPr>
        <w:t>закриттям</w:t>
      </w:r>
      <w:proofErr w:type="spellEnd"/>
      <w:r w:rsidR="00590C2E" w:rsidRPr="00590C2E">
        <w:rPr>
          <w:rFonts w:ascii="Times New Roman" w:eastAsia="Arial Unicode MS" w:hAnsi="Times New Roman" w:cs="Times New Roman"/>
          <w:color w:val="000000"/>
          <w:lang w:val="uk-UA"/>
        </w:rPr>
        <w:t xml:space="preserve"> </w:t>
      </w:r>
      <w:proofErr w:type="spellStart"/>
      <w:r w:rsidR="00590C2E" w:rsidRPr="00590C2E">
        <w:rPr>
          <w:rFonts w:ascii="Times New Roman" w:eastAsia="Arial Unicode MS" w:hAnsi="Times New Roman" w:cs="Times New Roman"/>
          <w:color w:val="000000"/>
          <w:lang w:val="uk-UA"/>
        </w:rPr>
        <w:t>цього</w:t>
      </w:r>
      <w:proofErr w:type="spellEnd"/>
      <w:r w:rsidR="00590C2E" w:rsidRPr="00590C2E">
        <w:rPr>
          <w:rFonts w:ascii="Times New Roman" w:eastAsia="Arial Unicode MS" w:hAnsi="Times New Roman" w:cs="Times New Roman"/>
          <w:color w:val="000000"/>
          <w:lang w:val="uk-UA"/>
        </w:rPr>
        <w:t xml:space="preserve"> </w:t>
      </w:r>
      <w:proofErr w:type="spellStart"/>
      <w:r w:rsidR="00590C2E" w:rsidRPr="00590C2E">
        <w:rPr>
          <w:rFonts w:ascii="Times New Roman" w:eastAsia="Arial Unicode MS" w:hAnsi="Times New Roman" w:cs="Times New Roman"/>
          <w:color w:val="000000"/>
          <w:lang w:val="uk-UA"/>
        </w:rPr>
        <w:t>рахунку</w:t>
      </w:r>
      <w:proofErr w:type="spellEnd"/>
      <w:r w:rsidR="00590C2E" w:rsidRPr="00590C2E">
        <w:rPr>
          <w:rFonts w:ascii="Times New Roman" w:eastAsia="Arial Unicode MS" w:hAnsi="Times New Roman" w:cs="Times New Roman"/>
          <w:color w:val="000000"/>
          <w:lang w:val="uk-UA"/>
        </w:rPr>
        <w:t xml:space="preserve"> за </w:t>
      </w:r>
      <w:proofErr w:type="spellStart"/>
      <w:r w:rsidR="00590C2E" w:rsidRPr="00590C2E">
        <w:rPr>
          <w:rFonts w:ascii="Times New Roman" w:eastAsia="Arial Unicode MS" w:hAnsi="Times New Roman" w:cs="Times New Roman"/>
          <w:color w:val="000000"/>
          <w:lang w:val="uk-UA"/>
        </w:rPr>
        <w:t>розпорядженням</w:t>
      </w:r>
      <w:proofErr w:type="spellEnd"/>
      <w:r w:rsidR="00590C2E" w:rsidRPr="00590C2E">
        <w:rPr>
          <w:rFonts w:ascii="Times New Roman" w:eastAsia="Arial Unicode MS" w:hAnsi="Times New Roman" w:cs="Times New Roman"/>
          <w:color w:val="000000"/>
          <w:lang w:val="uk-UA"/>
        </w:rPr>
        <w:t xml:space="preserve"> </w:t>
      </w:r>
      <w:proofErr w:type="spellStart"/>
      <w:r w:rsidR="00590C2E" w:rsidRPr="00590C2E">
        <w:rPr>
          <w:rFonts w:ascii="Times New Roman" w:eastAsia="Arial Unicode MS" w:hAnsi="Times New Roman" w:cs="Times New Roman"/>
          <w:color w:val="000000"/>
          <w:lang w:val="uk-UA"/>
        </w:rPr>
        <w:t>керівника</w:t>
      </w:r>
      <w:proofErr w:type="spellEnd"/>
      <w:r w:rsidR="00590C2E" w:rsidRPr="00590C2E">
        <w:rPr>
          <w:rFonts w:ascii="Times New Roman" w:eastAsia="Arial Unicode MS" w:hAnsi="Times New Roman" w:cs="Times New Roman"/>
          <w:color w:val="000000"/>
          <w:lang w:val="uk-UA"/>
        </w:rPr>
        <w:t xml:space="preserve"> </w:t>
      </w:r>
      <w:proofErr w:type="spellStart"/>
      <w:r w:rsidR="00590C2E" w:rsidRPr="00590C2E">
        <w:rPr>
          <w:rFonts w:ascii="Times New Roman" w:eastAsia="Arial Unicode MS" w:hAnsi="Times New Roman" w:cs="Times New Roman"/>
          <w:color w:val="000000"/>
          <w:lang w:val="uk-UA"/>
        </w:rPr>
        <w:t>Депозитарної</w:t>
      </w:r>
      <w:proofErr w:type="spellEnd"/>
      <w:r w:rsidR="00590C2E" w:rsidRPr="00590C2E">
        <w:rPr>
          <w:rFonts w:ascii="Times New Roman" w:eastAsia="Arial Unicode MS" w:hAnsi="Times New Roman" w:cs="Times New Roman"/>
          <w:color w:val="000000"/>
          <w:lang w:val="uk-UA"/>
        </w:rPr>
        <w:t xml:space="preserve"> установи </w:t>
      </w:r>
      <w:proofErr w:type="spellStart"/>
      <w:r w:rsidR="00590C2E" w:rsidRPr="00590C2E">
        <w:rPr>
          <w:rFonts w:ascii="Times New Roman" w:eastAsia="Arial Unicode MS" w:hAnsi="Times New Roman" w:cs="Times New Roman"/>
          <w:color w:val="000000"/>
          <w:lang w:val="uk-UA"/>
        </w:rPr>
        <w:t>або</w:t>
      </w:r>
      <w:proofErr w:type="spellEnd"/>
      <w:r w:rsidR="00590C2E" w:rsidRPr="00590C2E">
        <w:rPr>
          <w:rFonts w:ascii="Times New Roman" w:eastAsia="Arial Unicode MS" w:hAnsi="Times New Roman" w:cs="Times New Roman"/>
          <w:color w:val="000000"/>
          <w:lang w:val="uk-UA"/>
        </w:rPr>
        <w:t xml:space="preserve"> </w:t>
      </w:r>
      <w:proofErr w:type="spellStart"/>
      <w:r w:rsidR="00590C2E" w:rsidRPr="00590C2E">
        <w:rPr>
          <w:rFonts w:ascii="Times New Roman" w:eastAsia="Arial Unicode MS" w:hAnsi="Times New Roman" w:cs="Times New Roman"/>
          <w:color w:val="000000"/>
          <w:lang w:val="uk-UA"/>
        </w:rPr>
        <w:t>уповноваженої</w:t>
      </w:r>
      <w:proofErr w:type="spellEnd"/>
      <w:r w:rsidR="00590C2E" w:rsidRPr="00590C2E">
        <w:rPr>
          <w:rFonts w:ascii="Times New Roman" w:eastAsia="Arial Unicode MS" w:hAnsi="Times New Roman" w:cs="Times New Roman"/>
          <w:color w:val="000000"/>
          <w:lang w:val="uk-UA"/>
        </w:rPr>
        <w:t xml:space="preserve"> ним особи), на </w:t>
      </w:r>
      <w:proofErr w:type="spellStart"/>
      <w:r w:rsidR="00590C2E" w:rsidRPr="00590C2E">
        <w:rPr>
          <w:rFonts w:ascii="Times New Roman" w:eastAsia="Arial Unicode MS" w:hAnsi="Times New Roman" w:cs="Times New Roman"/>
          <w:color w:val="000000"/>
          <w:lang w:val="uk-UA"/>
        </w:rPr>
        <w:t>рахунок</w:t>
      </w:r>
      <w:proofErr w:type="spellEnd"/>
      <w:r w:rsidR="00590C2E" w:rsidRPr="00590C2E">
        <w:rPr>
          <w:rFonts w:ascii="Times New Roman" w:eastAsia="Arial Unicode MS" w:hAnsi="Times New Roman" w:cs="Times New Roman"/>
          <w:color w:val="000000"/>
          <w:lang w:val="uk-UA"/>
        </w:rPr>
        <w:t xml:space="preserve"> у </w:t>
      </w:r>
      <w:proofErr w:type="spellStart"/>
      <w:r w:rsidR="00590C2E" w:rsidRPr="00590C2E">
        <w:rPr>
          <w:rFonts w:ascii="Times New Roman" w:eastAsia="Arial Unicode MS" w:hAnsi="Times New Roman" w:cs="Times New Roman"/>
          <w:color w:val="000000"/>
          <w:lang w:val="uk-UA"/>
        </w:rPr>
        <w:t>цінних</w:t>
      </w:r>
      <w:proofErr w:type="spellEnd"/>
      <w:r w:rsidR="00590C2E" w:rsidRPr="00590C2E">
        <w:rPr>
          <w:rFonts w:ascii="Times New Roman" w:eastAsia="Arial Unicode MS" w:hAnsi="Times New Roman" w:cs="Times New Roman"/>
          <w:color w:val="000000"/>
          <w:lang w:val="uk-UA"/>
        </w:rPr>
        <w:t xml:space="preserve"> </w:t>
      </w:r>
      <w:proofErr w:type="spellStart"/>
      <w:r w:rsidR="00590C2E" w:rsidRPr="00590C2E">
        <w:rPr>
          <w:rFonts w:ascii="Times New Roman" w:eastAsia="Arial Unicode MS" w:hAnsi="Times New Roman" w:cs="Times New Roman"/>
          <w:color w:val="000000"/>
          <w:lang w:val="uk-UA"/>
        </w:rPr>
        <w:t>паперах</w:t>
      </w:r>
      <w:proofErr w:type="spellEnd"/>
      <w:r w:rsidR="00590C2E" w:rsidRPr="00590C2E">
        <w:rPr>
          <w:rFonts w:ascii="Times New Roman" w:eastAsia="Arial Unicode MS" w:hAnsi="Times New Roman" w:cs="Times New Roman"/>
          <w:color w:val="000000"/>
          <w:lang w:val="uk-UA"/>
        </w:rPr>
        <w:t xml:space="preserve"> </w:t>
      </w:r>
      <w:proofErr w:type="spellStart"/>
      <w:r w:rsidR="00590C2E" w:rsidRPr="00590C2E">
        <w:rPr>
          <w:rFonts w:ascii="Times New Roman" w:eastAsia="Arial Unicode MS" w:hAnsi="Times New Roman" w:cs="Times New Roman"/>
          <w:color w:val="000000"/>
          <w:lang w:val="uk-UA"/>
        </w:rPr>
        <w:t>власника</w:t>
      </w:r>
      <w:proofErr w:type="spellEnd"/>
      <w:r w:rsidR="00590C2E" w:rsidRPr="00590C2E">
        <w:rPr>
          <w:rFonts w:ascii="Times New Roman" w:eastAsia="Arial Unicode MS" w:hAnsi="Times New Roman" w:cs="Times New Roman"/>
          <w:color w:val="000000"/>
          <w:lang w:val="uk-UA"/>
        </w:rPr>
        <w:t xml:space="preserve"> в </w:t>
      </w:r>
      <w:proofErr w:type="spellStart"/>
      <w:r w:rsidR="00590C2E" w:rsidRPr="00590C2E">
        <w:rPr>
          <w:rFonts w:ascii="Times New Roman" w:eastAsia="Arial Unicode MS" w:hAnsi="Times New Roman" w:cs="Times New Roman"/>
          <w:color w:val="000000"/>
          <w:lang w:val="uk-UA"/>
        </w:rPr>
        <w:t>обраній</w:t>
      </w:r>
      <w:proofErr w:type="spellEnd"/>
      <w:r w:rsidR="00590C2E" w:rsidRPr="00590C2E">
        <w:rPr>
          <w:rFonts w:ascii="Times New Roman" w:eastAsia="Arial Unicode MS" w:hAnsi="Times New Roman" w:cs="Times New Roman"/>
          <w:color w:val="000000"/>
          <w:lang w:val="uk-UA"/>
        </w:rPr>
        <w:t xml:space="preserve"> ним </w:t>
      </w:r>
      <w:proofErr w:type="spellStart"/>
      <w:r w:rsidR="00590C2E" w:rsidRPr="00590C2E">
        <w:rPr>
          <w:rFonts w:ascii="Times New Roman" w:eastAsia="Arial Unicode MS" w:hAnsi="Times New Roman" w:cs="Times New Roman"/>
          <w:color w:val="000000"/>
          <w:lang w:val="uk-UA"/>
        </w:rPr>
        <w:t>депозитарній</w:t>
      </w:r>
      <w:proofErr w:type="spellEnd"/>
      <w:r w:rsidR="00590C2E" w:rsidRPr="00590C2E">
        <w:rPr>
          <w:rFonts w:ascii="Times New Roman" w:eastAsia="Arial Unicode MS" w:hAnsi="Times New Roman" w:cs="Times New Roman"/>
          <w:color w:val="000000"/>
          <w:lang w:val="uk-UA"/>
        </w:rPr>
        <w:t xml:space="preserve"> </w:t>
      </w:r>
      <w:proofErr w:type="spellStart"/>
      <w:r w:rsidR="00590C2E" w:rsidRPr="00590C2E">
        <w:rPr>
          <w:rFonts w:ascii="Times New Roman" w:eastAsia="Arial Unicode MS" w:hAnsi="Times New Roman" w:cs="Times New Roman"/>
          <w:color w:val="000000"/>
          <w:lang w:val="uk-UA"/>
        </w:rPr>
        <w:t>установі</w:t>
      </w:r>
      <w:proofErr w:type="spellEnd"/>
      <w:r w:rsidR="00590C2E" w:rsidRPr="00590C2E">
        <w:rPr>
          <w:rFonts w:ascii="Times New Roman" w:eastAsia="Arial Unicode MS" w:hAnsi="Times New Roman" w:cs="Times New Roman"/>
          <w:color w:val="000000"/>
          <w:lang w:val="uk-UA"/>
        </w:rPr>
        <w:t xml:space="preserve"> за </w:t>
      </w:r>
      <w:proofErr w:type="spellStart"/>
      <w:r w:rsidR="00590C2E" w:rsidRPr="00590C2E">
        <w:rPr>
          <w:rFonts w:ascii="Times New Roman" w:eastAsia="Arial Unicode MS" w:hAnsi="Times New Roman" w:cs="Times New Roman"/>
          <w:color w:val="000000"/>
          <w:lang w:val="uk-UA"/>
        </w:rPr>
        <w:t>умови</w:t>
      </w:r>
      <w:proofErr w:type="spellEnd"/>
      <w:r w:rsidR="00590C2E" w:rsidRPr="00590C2E">
        <w:rPr>
          <w:rFonts w:ascii="Times New Roman" w:eastAsia="Arial Unicode MS" w:hAnsi="Times New Roman" w:cs="Times New Roman"/>
          <w:color w:val="000000"/>
          <w:lang w:val="uk-UA"/>
        </w:rPr>
        <w:t xml:space="preserve"> </w:t>
      </w:r>
      <w:proofErr w:type="spellStart"/>
      <w:r w:rsidR="00590C2E" w:rsidRPr="00590C2E">
        <w:rPr>
          <w:rFonts w:ascii="Times New Roman" w:eastAsia="Arial Unicode MS" w:hAnsi="Times New Roman" w:cs="Times New Roman"/>
          <w:color w:val="000000"/>
          <w:lang w:val="uk-UA"/>
        </w:rPr>
        <w:t>надання</w:t>
      </w:r>
      <w:proofErr w:type="spellEnd"/>
      <w:r w:rsidR="00590C2E" w:rsidRPr="00590C2E">
        <w:rPr>
          <w:rFonts w:ascii="Times New Roman" w:eastAsia="Arial Unicode MS" w:hAnsi="Times New Roman" w:cs="Times New Roman"/>
          <w:color w:val="000000"/>
          <w:lang w:val="uk-UA"/>
        </w:rPr>
        <w:t xml:space="preserve"> </w:t>
      </w:r>
      <w:proofErr w:type="spellStart"/>
      <w:r w:rsidR="00590C2E" w:rsidRPr="00590C2E">
        <w:rPr>
          <w:rFonts w:ascii="Times New Roman" w:eastAsia="Arial Unicode MS" w:hAnsi="Times New Roman" w:cs="Times New Roman"/>
          <w:color w:val="000000"/>
          <w:lang w:val="uk-UA"/>
        </w:rPr>
        <w:t>їй</w:t>
      </w:r>
      <w:proofErr w:type="spellEnd"/>
      <w:r w:rsidR="00590C2E" w:rsidRPr="00590C2E">
        <w:rPr>
          <w:rFonts w:ascii="Times New Roman" w:eastAsia="Arial Unicode MS" w:hAnsi="Times New Roman" w:cs="Times New Roman"/>
          <w:color w:val="000000"/>
          <w:lang w:val="uk-UA"/>
        </w:rPr>
        <w:t xml:space="preserve"> </w:t>
      </w:r>
      <w:proofErr w:type="spellStart"/>
      <w:r w:rsidR="00590C2E" w:rsidRPr="00590C2E">
        <w:rPr>
          <w:rFonts w:ascii="Times New Roman" w:eastAsia="Arial Unicode MS" w:hAnsi="Times New Roman" w:cs="Times New Roman"/>
          <w:color w:val="000000"/>
          <w:lang w:val="uk-UA"/>
        </w:rPr>
        <w:t>документів</w:t>
      </w:r>
      <w:proofErr w:type="spellEnd"/>
      <w:r w:rsidR="00590C2E" w:rsidRPr="00590C2E">
        <w:rPr>
          <w:rFonts w:ascii="Times New Roman" w:eastAsia="Arial Unicode MS" w:hAnsi="Times New Roman" w:cs="Times New Roman"/>
          <w:color w:val="000000"/>
          <w:lang w:val="uk-UA"/>
        </w:rPr>
        <w:t xml:space="preserve">, </w:t>
      </w:r>
      <w:proofErr w:type="spellStart"/>
      <w:r w:rsidR="00590C2E" w:rsidRPr="00590C2E">
        <w:rPr>
          <w:rFonts w:ascii="Times New Roman" w:eastAsia="Arial Unicode MS" w:hAnsi="Times New Roman" w:cs="Times New Roman"/>
          <w:color w:val="000000"/>
          <w:lang w:val="uk-UA"/>
        </w:rPr>
        <w:t>визначених</w:t>
      </w:r>
      <w:proofErr w:type="spellEnd"/>
      <w:r w:rsidR="00590C2E" w:rsidRPr="00590C2E">
        <w:rPr>
          <w:rFonts w:ascii="Times New Roman" w:eastAsia="Arial Unicode MS" w:hAnsi="Times New Roman" w:cs="Times New Roman"/>
          <w:color w:val="000000"/>
          <w:lang w:val="uk-UA"/>
        </w:rPr>
        <w:t xml:space="preserve"> </w:t>
      </w:r>
      <w:proofErr w:type="spellStart"/>
      <w:r w:rsidR="00590C2E" w:rsidRPr="00590C2E">
        <w:rPr>
          <w:rFonts w:ascii="Times New Roman" w:eastAsia="Arial Unicode MS" w:hAnsi="Times New Roman" w:cs="Times New Roman"/>
          <w:color w:val="000000"/>
          <w:lang w:val="uk-UA"/>
        </w:rPr>
        <w:t>законодавством</w:t>
      </w:r>
      <w:proofErr w:type="spellEnd"/>
      <w:r w:rsidR="00590C2E" w:rsidRPr="00590C2E">
        <w:rPr>
          <w:rFonts w:ascii="Times New Roman" w:eastAsia="Arial Unicode MS" w:hAnsi="Times New Roman" w:cs="Times New Roman"/>
          <w:color w:val="000000"/>
          <w:lang w:val="uk-UA"/>
        </w:rPr>
        <w:t xml:space="preserve"> та </w:t>
      </w:r>
      <w:proofErr w:type="spellStart"/>
      <w:r w:rsidR="00590C2E" w:rsidRPr="00590C2E">
        <w:rPr>
          <w:rFonts w:ascii="Times New Roman" w:eastAsia="Arial Unicode MS" w:hAnsi="Times New Roman" w:cs="Times New Roman"/>
          <w:color w:val="000000"/>
          <w:lang w:val="uk-UA"/>
        </w:rPr>
        <w:t>внутрішніми</w:t>
      </w:r>
      <w:proofErr w:type="spellEnd"/>
      <w:r w:rsidR="00590C2E" w:rsidRPr="00590C2E">
        <w:rPr>
          <w:rFonts w:ascii="Times New Roman" w:eastAsia="Arial Unicode MS" w:hAnsi="Times New Roman" w:cs="Times New Roman"/>
          <w:color w:val="000000"/>
          <w:lang w:val="uk-UA"/>
        </w:rPr>
        <w:t xml:space="preserve"> документами </w:t>
      </w:r>
      <w:proofErr w:type="spellStart"/>
      <w:r w:rsidR="00590C2E" w:rsidRPr="00590C2E">
        <w:rPr>
          <w:rFonts w:ascii="Times New Roman" w:eastAsia="Arial Unicode MS" w:hAnsi="Times New Roman" w:cs="Times New Roman"/>
          <w:color w:val="000000"/>
          <w:lang w:val="uk-UA"/>
        </w:rPr>
        <w:t>Депозитарної</w:t>
      </w:r>
      <w:proofErr w:type="spellEnd"/>
      <w:r w:rsidR="00590C2E" w:rsidRPr="00590C2E">
        <w:rPr>
          <w:rFonts w:ascii="Times New Roman" w:eastAsia="Arial Unicode MS" w:hAnsi="Times New Roman" w:cs="Times New Roman"/>
          <w:color w:val="000000"/>
          <w:lang w:val="uk-UA"/>
        </w:rPr>
        <w:t xml:space="preserve"> установи. Оплата </w:t>
      </w:r>
      <w:proofErr w:type="spellStart"/>
      <w:r w:rsidR="00590C2E" w:rsidRPr="00590C2E">
        <w:rPr>
          <w:rFonts w:ascii="Times New Roman" w:eastAsia="Arial Unicode MS" w:hAnsi="Times New Roman" w:cs="Times New Roman"/>
          <w:color w:val="000000"/>
          <w:lang w:val="uk-UA"/>
        </w:rPr>
        <w:t>послуг</w:t>
      </w:r>
      <w:proofErr w:type="spellEnd"/>
      <w:r w:rsidR="00590C2E" w:rsidRPr="00590C2E">
        <w:rPr>
          <w:rFonts w:ascii="Times New Roman" w:eastAsia="Arial Unicode MS" w:hAnsi="Times New Roman" w:cs="Times New Roman"/>
          <w:color w:val="000000"/>
          <w:lang w:val="uk-UA"/>
        </w:rPr>
        <w:t xml:space="preserve"> за </w:t>
      </w:r>
      <w:proofErr w:type="spellStart"/>
      <w:r w:rsidR="00590C2E" w:rsidRPr="00590C2E">
        <w:rPr>
          <w:rFonts w:ascii="Times New Roman" w:eastAsia="Arial Unicode MS" w:hAnsi="Times New Roman" w:cs="Times New Roman"/>
          <w:color w:val="000000"/>
          <w:lang w:val="uk-UA"/>
        </w:rPr>
        <w:t>проведення</w:t>
      </w:r>
      <w:proofErr w:type="spellEnd"/>
      <w:r w:rsidR="00590C2E" w:rsidRPr="00590C2E">
        <w:rPr>
          <w:rFonts w:ascii="Times New Roman" w:eastAsia="Arial Unicode MS" w:hAnsi="Times New Roman" w:cs="Times New Roman"/>
          <w:color w:val="000000"/>
          <w:lang w:val="uk-UA"/>
        </w:rPr>
        <w:t xml:space="preserve"> депозитарною </w:t>
      </w:r>
      <w:proofErr w:type="spellStart"/>
      <w:r w:rsidR="00590C2E" w:rsidRPr="00590C2E">
        <w:rPr>
          <w:rFonts w:ascii="Times New Roman" w:eastAsia="Arial Unicode MS" w:hAnsi="Times New Roman" w:cs="Times New Roman"/>
          <w:color w:val="000000"/>
          <w:lang w:val="uk-UA"/>
        </w:rPr>
        <w:t>установою</w:t>
      </w:r>
      <w:proofErr w:type="spellEnd"/>
      <w:r w:rsidR="00590C2E" w:rsidRPr="00590C2E">
        <w:rPr>
          <w:rFonts w:ascii="Times New Roman" w:eastAsia="Arial Unicode MS" w:hAnsi="Times New Roman" w:cs="Times New Roman"/>
          <w:color w:val="000000"/>
          <w:lang w:val="uk-UA"/>
        </w:rPr>
        <w:t xml:space="preserve"> </w:t>
      </w:r>
      <w:proofErr w:type="spellStart"/>
      <w:r w:rsidR="00590C2E" w:rsidRPr="00590C2E">
        <w:rPr>
          <w:rFonts w:ascii="Times New Roman" w:eastAsia="Arial Unicode MS" w:hAnsi="Times New Roman" w:cs="Times New Roman"/>
          <w:color w:val="000000"/>
          <w:lang w:val="uk-UA"/>
        </w:rPr>
        <w:t>переведення</w:t>
      </w:r>
      <w:proofErr w:type="spellEnd"/>
      <w:r w:rsidR="00590C2E" w:rsidRPr="00590C2E">
        <w:rPr>
          <w:rFonts w:ascii="Times New Roman" w:eastAsia="Arial Unicode MS" w:hAnsi="Times New Roman" w:cs="Times New Roman"/>
          <w:color w:val="000000"/>
          <w:lang w:val="uk-UA"/>
        </w:rPr>
        <w:t xml:space="preserve"> прав на </w:t>
      </w:r>
      <w:proofErr w:type="spellStart"/>
      <w:r w:rsidR="00590C2E" w:rsidRPr="00590C2E">
        <w:rPr>
          <w:rFonts w:ascii="Times New Roman" w:eastAsia="Arial Unicode MS" w:hAnsi="Times New Roman" w:cs="Times New Roman"/>
          <w:color w:val="000000"/>
          <w:lang w:val="uk-UA"/>
        </w:rPr>
        <w:t>цінні</w:t>
      </w:r>
      <w:proofErr w:type="spellEnd"/>
      <w:r w:rsidR="00590C2E" w:rsidRPr="00590C2E">
        <w:rPr>
          <w:rFonts w:ascii="Times New Roman" w:eastAsia="Arial Unicode MS" w:hAnsi="Times New Roman" w:cs="Times New Roman"/>
          <w:color w:val="000000"/>
          <w:lang w:val="uk-UA"/>
        </w:rPr>
        <w:t xml:space="preserve"> </w:t>
      </w:r>
      <w:proofErr w:type="spellStart"/>
      <w:r w:rsidR="00590C2E" w:rsidRPr="00590C2E">
        <w:rPr>
          <w:rFonts w:ascii="Times New Roman" w:eastAsia="Arial Unicode MS" w:hAnsi="Times New Roman" w:cs="Times New Roman"/>
          <w:color w:val="000000"/>
          <w:lang w:val="uk-UA"/>
        </w:rPr>
        <w:t>папери</w:t>
      </w:r>
      <w:proofErr w:type="spellEnd"/>
      <w:r w:rsidR="00590C2E" w:rsidRPr="00590C2E">
        <w:rPr>
          <w:rFonts w:ascii="Times New Roman" w:eastAsia="Arial Unicode MS" w:hAnsi="Times New Roman" w:cs="Times New Roman"/>
          <w:color w:val="000000"/>
          <w:lang w:val="uk-UA"/>
        </w:rPr>
        <w:t xml:space="preserve"> </w:t>
      </w:r>
      <w:proofErr w:type="spellStart"/>
      <w:r w:rsidR="00590C2E" w:rsidRPr="00590C2E">
        <w:rPr>
          <w:rFonts w:ascii="Times New Roman" w:eastAsia="Arial Unicode MS" w:hAnsi="Times New Roman" w:cs="Times New Roman"/>
          <w:color w:val="000000"/>
          <w:lang w:val="uk-UA"/>
        </w:rPr>
        <w:t>здійснюється</w:t>
      </w:r>
      <w:proofErr w:type="spellEnd"/>
      <w:r w:rsidR="00590C2E" w:rsidRPr="00590C2E">
        <w:rPr>
          <w:rFonts w:ascii="Times New Roman" w:eastAsia="Arial Unicode MS" w:hAnsi="Times New Roman" w:cs="Times New Roman"/>
          <w:color w:val="000000"/>
          <w:lang w:val="uk-UA"/>
        </w:rPr>
        <w:t xml:space="preserve"> за </w:t>
      </w:r>
      <w:proofErr w:type="spellStart"/>
      <w:r w:rsidR="00590C2E" w:rsidRPr="00590C2E">
        <w:rPr>
          <w:rFonts w:ascii="Times New Roman" w:eastAsia="Arial Unicode MS" w:hAnsi="Times New Roman" w:cs="Times New Roman"/>
          <w:color w:val="000000"/>
          <w:lang w:val="uk-UA"/>
        </w:rPr>
        <w:t>рахунок</w:t>
      </w:r>
      <w:proofErr w:type="spellEnd"/>
      <w:r w:rsidR="00590C2E" w:rsidRPr="00590C2E">
        <w:rPr>
          <w:rFonts w:ascii="Times New Roman" w:eastAsia="Arial Unicode MS" w:hAnsi="Times New Roman" w:cs="Times New Roman"/>
          <w:color w:val="000000"/>
          <w:lang w:val="uk-UA"/>
        </w:rPr>
        <w:t xml:space="preserve"> </w:t>
      </w:r>
      <w:proofErr w:type="spellStart"/>
      <w:r w:rsidR="00590C2E" w:rsidRPr="00590C2E">
        <w:rPr>
          <w:rFonts w:ascii="Times New Roman" w:eastAsia="Arial Unicode MS" w:hAnsi="Times New Roman" w:cs="Times New Roman"/>
          <w:color w:val="000000"/>
          <w:lang w:val="uk-UA"/>
        </w:rPr>
        <w:t>емітента</w:t>
      </w:r>
      <w:proofErr w:type="spellEnd"/>
      <w:r w:rsidR="00590C2E" w:rsidRPr="00590C2E">
        <w:rPr>
          <w:rFonts w:ascii="Times New Roman" w:eastAsia="Arial Unicode MS" w:hAnsi="Times New Roman" w:cs="Times New Roman"/>
          <w:color w:val="000000"/>
          <w:lang w:val="uk-UA"/>
        </w:rPr>
        <w:t xml:space="preserve"> на </w:t>
      </w:r>
      <w:proofErr w:type="spellStart"/>
      <w:r w:rsidR="00590C2E" w:rsidRPr="00590C2E">
        <w:rPr>
          <w:rFonts w:ascii="Times New Roman" w:eastAsia="Arial Unicode MS" w:hAnsi="Times New Roman" w:cs="Times New Roman"/>
          <w:color w:val="000000"/>
          <w:lang w:val="uk-UA"/>
        </w:rPr>
        <w:t>підставі</w:t>
      </w:r>
      <w:proofErr w:type="spellEnd"/>
      <w:r w:rsidR="00590C2E" w:rsidRPr="00590C2E">
        <w:rPr>
          <w:rFonts w:ascii="Times New Roman" w:eastAsia="Arial Unicode MS" w:hAnsi="Times New Roman" w:cs="Times New Roman"/>
          <w:color w:val="000000"/>
          <w:lang w:val="uk-UA"/>
        </w:rPr>
        <w:t xml:space="preserve"> </w:t>
      </w:r>
      <w:proofErr w:type="spellStart"/>
      <w:r w:rsidR="00590C2E" w:rsidRPr="00590C2E">
        <w:rPr>
          <w:rFonts w:ascii="Times New Roman" w:eastAsia="Arial Unicode MS" w:hAnsi="Times New Roman" w:cs="Times New Roman"/>
          <w:color w:val="000000"/>
          <w:lang w:val="uk-UA"/>
        </w:rPr>
        <w:t>відповідного</w:t>
      </w:r>
      <w:proofErr w:type="spellEnd"/>
      <w:r w:rsidR="00590C2E" w:rsidRPr="00590C2E">
        <w:rPr>
          <w:rFonts w:ascii="Times New Roman" w:eastAsia="Arial Unicode MS" w:hAnsi="Times New Roman" w:cs="Times New Roman"/>
          <w:color w:val="000000"/>
          <w:lang w:val="uk-UA"/>
        </w:rPr>
        <w:t xml:space="preserve"> акту </w:t>
      </w:r>
      <w:proofErr w:type="spellStart"/>
      <w:r w:rsidR="00590C2E" w:rsidRPr="00590C2E">
        <w:rPr>
          <w:rFonts w:ascii="Times New Roman" w:eastAsia="Arial Unicode MS" w:hAnsi="Times New Roman" w:cs="Times New Roman"/>
          <w:color w:val="000000"/>
          <w:lang w:val="uk-UA"/>
        </w:rPr>
        <w:t>виконаних</w:t>
      </w:r>
      <w:proofErr w:type="spellEnd"/>
      <w:r w:rsidR="00590C2E" w:rsidRPr="00590C2E">
        <w:rPr>
          <w:rFonts w:ascii="Times New Roman" w:eastAsia="Arial Unicode MS" w:hAnsi="Times New Roman" w:cs="Times New Roman"/>
          <w:color w:val="000000"/>
          <w:lang w:val="uk-UA"/>
        </w:rPr>
        <w:t xml:space="preserve"> </w:t>
      </w:r>
      <w:proofErr w:type="spellStart"/>
      <w:r w:rsidR="00590C2E" w:rsidRPr="00590C2E">
        <w:rPr>
          <w:rFonts w:ascii="Times New Roman" w:eastAsia="Arial Unicode MS" w:hAnsi="Times New Roman" w:cs="Times New Roman"/>
          <w:color w:val="000000"/>
          <w:lang w:val="uk-UA"/>
        </w:rPr>
        <w:t>операцій</w:t>
      </w:r>
      <w:proofErr w:type="spellEnd"/>
      <w:r w:rsidR="00590C2E" w:rsidRPr="00590C2E">
        <w:rPr>
          <w:rFonts w:ascii="Times New Roman" w:eastAsia="Arial Unicode MS" w:hAnsi="Times New Roman" w:cs="Times New Roman"/>
          <w:color w:val="000000"/>
          <w:lang w:val="uk-UA"/>
        </w:rPr>
        <w:t xml:space="preserve"> </w:t>
      </w:r>
      <w:proofErr w:type="spellStart"/>
      <w:r w:rsidR="00590C2E" w:rsidRPr="00590C2E">
        <w:rPr>
          <w:rFonts w:ascii="Times New Roman" w:eastAsia="Arial Unicode MS" w:hAnsi="Times New Roman" w:cs="Times New Roman"/>
          <w:color w:val="000000"/>
          <w:lang w:val="uk-UA"/>
        </w:rPr>
        <w:t>або</w:t>
      </w:r>
      <w:proofErr w:type="spellEnd"/>
      <w:r w:rsidR="00590C2E" w:rsidRPr="00590C2E">
        <w:rPr>
          <w:rFonts w:ascii="Times New Roman" w:eastAsia="Arial Unicode MS" w:hAnsi="Times New Roman" w:cs="Times New Roman"/>
          <w:color w:val="000000"/>
          <w:lang w:val="uk-UA"/>
        </w:rPr>
        <w:t xml:space="preserve"> </w:t>
      </w:r>
      <w:proofErr w:type="spellStart"/>
      <w:r w:rsidR="00590C2E" w:rsidRPr="00590C2E">
        <w:rPr>
          <w:rFonts w:ascii="Times New Roman" w:eastAsia="Arial Unicode MS" w:hAnsi="Times New Roman" w:cs="Times New Roman"/>
          <w:color w:val="000000"/>
          <w:lang w:val="uk-UA"/>
        </w:rPr>
        <w:t>рахунку</w:t>
      </w:r>
      <w:proofErr w:type="spellEnd"/>
      <w:r w:rsidR="00590C2E" w:rsidRPr="00590C2E">
        <w:rPr>
          <w:rFonts w:ascii="Times New Roman" w:eastAsia="Arial Unicode MS" w:hAnsi="Times New Roman" w:cs="Times New Roman"/>
          <w:color w:val="000000"/>
          <w:lang w:val="uk-UA"/>
        </w:rPr>
        <w:t xml:space="preserve">. </w:t>
      </w:r>
      <w:proofErr w:type="spellStart"/>
      <w:r w:rsidR="00590C2E" w:rsidRPr="00590C2E">
        <w:rPr>
          <w:rFonts w:ascii="Times New Roman" w:eastAsia="Arial Unicode MS" w:hAnsi="Times New Roman" w:cs="Times New Roman"/>
          <w:color w:val="000000"/>
          <w:lang w:val="uk-UA"/>
        </w:rPr>
        <w:t>Депозитарна</w:t>
      </w:r>
      <w:proofErr w:type="spellEnd"/>
      <w:r w:rsidR="00590C2E" w:rsidRPr="00590C2E">
        <w:rPr>
          <w:rFonts w:ascii="Times New Roman" w:eastAsia="Arial Unicode MS" w:hAnsi="Times New Roman" w:cs="Times New Roman"/>
          <w:color w:val="000000"/>
          <w:lang w:val="uk-UA"/>
        </w:rPr>
        <w:t xml:space="preserve"> </w:t>
      </w:r>
      <w:proofErr w:type="spellStart"/>
      <w:r w:rsidR="00590C2E" w:rsidRPr="00590C2E">
        <w:rPr>
          <w:rFonts w:ascii="Times New Roman" w:eastAsia="Arial Unicode MS" w:hAnsi="Times New Roman" w:cs="Times New Roman"/>
          <w:color w:val="000000"/>
          <w:lang w:val="uk-UA"/>
        </w:rPr>
        <w:t>установа</w:t>
      </w:r>
      <w:proofErr w:type="spellEnd"/>
      <w:r w:rsidR="00590C2E" w:rsidRPr="00590C2E">
        <w:rPr>
          <w:rFonts w:ascii="Times New Roman" w:eastAsia="Arial Unicode MS" w:hAnsi="Times New Roman" w:cs="Times New Roman"/>
          <w:color w:val="000000"/>
          <w:lang w:val="uk-UA"/>
        </w:rPr>
        <w:t xml:space="preserve"> </w:t>
      </w:r>
      <w:proofErr w:type="spellStart"/>
      <w:r w:rsidR="00590C2E" w:rsidRPr="00590C2E">
        <w:rPr>
          <w:rFonts w:ascii="Times New Roman" w:eastAsia="Arial Unicode MS" w:hAnsi="Times New Roman" w:cs="Times New Roman"/>
          <w:color w:val="000000"/>
          <w:lang w:val="uk-UA"/>
        </w:rPr>
        <w:t>має</w:t>
      </w:r>
      <w:proofErr w:type="spellEnd"/>
      <w:r w:rsidR="00590C2E" w:rsidRPr="00590C2E">
        <w:rPr>
          <w:rFonts w:ascii="Times New Roman" w:eastAsia="Arial Unicode MS" w:hAnsi="Times New Roman" w:cs="Times New Roman"/>
          <w:color w:val="000000"/>
          <w:lang w:val="uk-UA"/>
        </w:rPr>
        <w:t xml:space="preserve"> право </w:t>
      </w:r>
      <w:proofErr w:type="spellStart"/>
      <w:r w:rsidR="00590C2E" w:rsidRPr="00590C2E">
        <w:rPr>
          <w:rFonts w:ascii="Times New Roman" w:eastAsia="Arial Unicode MS" w:hAnsi="Times New Roman" w:cs="Times New Roman"/>
          <w:color w:val="000000"/>
          <w:lang w:val="uk-UA"/>
        </w:rPr>
        <w:t>відмовити</w:t>
      </w:r>
      <w:proofErr w:type="spellEnd"/>
      <w:r w:rsidR="00590C2E" w:rsidRPr="00590C2E">
        <w:rPr>
          <w:rFonts w:ascii="Times New Roman" w:eastAsia="Arial Unicode MS" w:hAnsi="Times New Roman" w:cs="Times New Roman"/>
          <w:color w:val="000000"/>
          <w:lang w:val="uk-UA"/>
        </w:rPr>
        <w:t xml:space="preserve"> у </w:t>
      </w:r>
      <w:proofErr w:type="spellStart"/>
      <w:r w:rsidR="00590C2E" w:rsidRPr="00590C2E">
        <w:rPr>
          <w:rFonts w:ascii="Times New Roman" w:eastAsia="Arial Unicode MS" w:hAnsi="Times New Roman" w:cs="Times New Roman"/>
          <w:color w:val="000000"/>
          <w:lang w:val="uk-UA"/>
        </w:rPr>
        <w:t>проведенні</w:t>
      </w:r>
      <w:proofErr w:type="spellEnd"/>
      <w:r w:rsidR="00590C2E" w:rsidRPr="00590C2E">
        <w:rPr>
          <w:rFonts w:ascii="Times New Roman" w:eastAsia="Arial Unicode MS" w:hAnsi="Times New Roman" w:cs="Times New Roman"/>
          <w:color w:val="000000"/>
          <w:lang w:val="uk-UA"/>
        </w:rPr>
        <w:t xml:space="preserve"> </w:t>
      </w:r>
      <w:proofErr w:type="spellStart"/>
      <w:r w:rsidR="00590C2E" w:rsidRPr="00590C2E">
        <w:rPr>
          <w:rFonts w:ascii="Times New Roman" w:eastAsia="Arial Unicode MS" w:hAnsi="Times New Roman" w:cs="Times New Roman"/>
          <w:color w:val="000000"/>
          <w:lang w:val="uk-UA"/>
        </w:rPr>
        <w:t>відповідної</w:t>
      </w:r>
      <w:proofErr w:type="spellEnd"/>
      <w:r w:rsidR="00590C2E" w:rsidRPr="00590C2E">
        <w:rPr>
          <w:rFonts w:ascii="Times New Roman" w:eastAsia="Arial Unicode MS" w:hAnsi="Times New Roman" w:cs="Times New Roman"/>
          <w:color w:val="000000"/>
          <w:lang w:val="uk-UA"/>
        </w:rPr>
        <w:t xml:space="preserve"> </w:t>
      </w:r>
      <w:proofErr w:type="spellStart"/>
      <w:r w:rsidR="00590C2E" w:rsidRPr="00590C2E">
        <w:rPr>
          <w:rFonts w:ascii="Times New Roman" w:eastAsia="Arial Unicode MS" w:hAnsi="Times New Roman" w:cs="Times New Roman"/>
          <w:color w:val="000000"/>
          <w:lang w:val="uk-UA"/>
        </w:rPr>
        <w:t>операції</w:t>
      </w:r>
      <w:proofErr w:type="spellEnd"/>
      <w:r w:rsidR="00590C2E" w:rsidRPr="00590C2E">
        <w:rPr>
          <w:rFonts w:ascii="Times New Roman" w:eastAsia="Arial Unicode MS" w:hAnsi="Times New Roman" w:cs="Times New Roman"/>
          <w:color w:val="000000"/>
          <w:lang w:val="uk-UA"/>
        </w:rPr>
        <w:t xml:space="preserve"> у </w:t>
      </w:r>
      <w:proofErr w:type="spellStart"/>
      <w:r w:rsidR="00590C2E" w:rsidRPr="00590C2E">
        <w:rPr>
          <w:rFonts w:ascii="Times New Roman" w:eastAsia="Arial Unicode MS" w:hAnsi="Times New Roman" w:cs="Times New Roman"/>
          <w:color w:val="000000"/>
          <w:lang w:val="uk-UA"/>
        </w:rPr>
        <w:t>випадку</w:t>
      </w:r>
      <w:proofErr w:type="spellEnd"/>
      <w:r w:rsidR="00590C2E" w:rsidRPr="00590C2E">
        <w:rPr>
          <w:rFonts w:ascii="Times New Roman" w:eastAsia="Arial Unicode MS" w:hAnsi="Times New Roman" w:cs="Times New Roman"/>
          <w:color w:val="000000"/>
          <w:lang w:val="uk-UA"/>
        </w:rPr>
        <w:t xml:space="preserve"> </w:t>
      </w:r>
      <w:proofErr w:type="spellStart"/>
      <w:r w:rsidR="00590C2E" w:rsidRPr="00590C2E">
        <w:rPr>
          <w:rFonts w:ascii="Times New Roman" w:eastAsia="Arial Unicode MS" w:hAnsi="Times New Roman" w:cs="Times New Roman"/>
          <w:color w:val="000000"/>
          <w:lang w:val="uk-UA"/>
        </w:rPr>
        <w:t>несплати</w:t>
      </w:r>
      <w:proofErr w:type="spellEnd"/>
      <w:r w:rsidR="00590C2E" w:rsidRPr="00590C2E">
        <w:rPr>
          <w:rFonts w:ascii="Times New Roman" w:eastAsia="Arial Unicode MS" w:hAnsi="Times New Roman" w:cs="Times New Roman"/>
          <w:color w:val="000000"/>
          <w:lang w:val="uk-UA"/>
        </w:rPr>
        <w:t xml:space="preserve"> </w:t>
      </w:r>
      <w:proofErr w:type="spellStart"/>
      <w:r w:rsidR="00590C2E" w:rsidRPr="00590C2E">
        <w:rPr>
          <w:rFonts w:ascii="Times New Roman" w:eastAsia="Arial Unicode MS" w:hAnsi="Times New Roman" w:cs="Times New Roman"/>
          <w:color w:val="000000"/>
          <w:lang w:val="uk-UA"/>
        </w:rPr>
        <w:t>емітентом</w:t>
      </w:r>
      <w:proofErr w:type="spellEnd"/>
      <w:r w:rsidR="00590C2E" w:rsidRPr="00590C2E">
        <w:rPr>
          <w:rFonts w:ascii="Times New Roman" w:eastAsia="Arial Unicode MS" w:hAnsi="Times New Roman" w:cs="Times New Roman"/>
          <w:color w:val="000000"/>
          <w:lang w:val="uk-UA"/>
        </w:rPr>
        <w:t xml:space="preserve"> </w:t>
      </w:r>
      <w:proofErr w:type="spellStart"/>
      <w:r w:rsidR="00590C2E" w:rsidRPr="00590C2E">
        <w:rPr>
          <w:rFonts w:ascii="Times New Roman" w:eastAsia="Arial Unicode MS" w:hAnsi="Times New Roman" w:cs="Times New Roman"/>
          <w:color w:val="000000"/>
          <w:lang w:val="uk-UA"/>
        </w:rPr>
        <w:t>послуг</w:t>
      </w:r>
      <w:proofErr w:type="spellEnd"/>
      <w:r w:rsidR="00590C2E" w:rsidRPr="00590C2E">
        <w:rPr>
          <w:rFonts w:ascii="Times New Roman" w:eastAsia="Arial Unicode MS" w:hAnsi="Times New Roman" w:cs="Times New Roman"/>
          <w:color w:val="000000"/>
          <w:lang w:val="uk-UA"/>
        </w:rPr>
        <w:t xml:space="preserve"> </w:t>
      </w:r>
      <w:proofErr w:type="spellStart"/>
      <w:r w:rsidR="00590C2E" w:rsidRPr="00590C2E">
        <w:rPr>
          <w:rFonts w:ascii="Times New Roman" w:eastAsia="Arial Unicode MS" w:hAnsi="Times New Roman" w:cs="Times New Roman"/>
          <w:color w:val="000000"/>
          <w:lang w:val="uk-UA"/>
        </w:rPr>
        <w:t>депозитарної</w:t>
      </w:r>
      <w:proofErr w:type="spellEnd"/>
      <w:r w:rsidR="00590C2E" w:rsidRPr="00590C2E">
        <w:rPr>
          <w:rFonts w:ascii="Times New Roman" w:eastAsia="Arial Unicode MS" w:hAnsi="Times New Roman" w:cs="Times New Roman"/>
          <w:color w:val="000000"/>
          <w:lang w:val="uk-UA"/>
        </w:rPr>
        <w:t xml:space="preserve"> установи</w:t>
      </w:r>
      <w:r w:rsidR="00590C2E" w:rsidRPr="00590C2E">
        <w:rPr>
          <w:rFonts w:ascii="Times New Roman" w:eastAsia="Arial Unicode MS" w:hAnsi="Times New Roman" w:cs="Times New Roman"/>
          <w:color w:val="000000"/>
          <w:lang w:val="uk-UA"/>
        </w:rPr>
        <w:t>.</w:t>
      </w:r>
    </w:p>
    <w:p w14:paraId="64F7AF8A" w14:textId="77777777" w:rsidR="00590C2E" w:rsidRPr="00590C2E" w:rsidRDefault="00590C2E" w:rsidP="00590C2E">
      <w:pPr>
        <w:pStyle w:val="HTML"/>
        <w:shd w:val="clear" w:color="auto" w:fill="FFFFFF"/>
        <w:rPr>
          <w:rFonts w:ascii="Times New Roman" w:eastAsia="Arial Unicode MS" w:hAnsi="Times New Roman" w:cs="Times New Roman"/>
          <w:color w:val="000000"/>
          <w:lang w:val="uk-UA"/>
        </w:rPr>
      </w:pPr>
      <w:r w:rsidRPr="00590C2E">
        <w:rPr>
          <w:rFonts w:ascii="Times New Roman" w:eastAsia="Arial Unicode MS" w:hAnsi="Times New Roman" w:cs="Times New Roman"/>
          <w:color w:val="000000"/>
          <w:lang w:val="uk-UA"/>
        </w:rPr>
        <w:t xml:space="preserve">У </w:t>
      </w:r>
      <w:proofErr w:type="spellStart"/>
      <w:r w:rsidRPr="00590C2E">
        <w:rPr>
          <w:rFonts w:ascii="Times New Roman" w:eastAsia="Arial Unicode MS" w:hAnsi="Times New Roman" w:cs="Times New Roman"/>
          <w:color w:val="000000"/>
          <w:lang w:val="uk-UA"/>
        </w:rPr>
        <w:t>випадку</w:t>
      </w:r>
      <w:proofErr w:type="spellEnd"/>
      <w:r w:rsidRPr="00590C2E">
        <w:rPr>
          <w:rFonts w:ascii="Times New Roman" w:eastAsia="Arial Unicode MS" w:hAnsi="Times New Roman" w:cs="Times New Roman"/>
          <w:color w:val="000000"/>
          <w:lang w:val="uk-UA"/>
        </w:rPr>
        <w:t xml:space="preserve">, </w:t>
      </w:r>
      <w:proofErr w:type="spellStart"/>
      <w:r w:rsidRPr="00590C2E">
        <w:rPr>
          <w:rFonts w:ascii="Times New Roman" w:eastAsia="Arial Unicode MS" w:hAnsi="Times New Roman" w:cs="Times New Roman"/>
          <w:color w:val="000000"/>
          <w:lang w:val="uk-UA"/>
        </w:rPr>
        <w:t>якщо</w:t>
      </w:r>
      <w:proofErr w:type="spellEnd"/>
      <w:r w:rsidRPr="00590C2E">
        <w:rPr>
          <w:rFonts w:ascii="Times New Roman" w:eastAsia="Arial Unicode MS" w:hAnsi="Times New Roman" w:cs="Times New Roman"/>
          <w:color w:val="000000"/>
          <w:lang w:val="uk-UA"/>
        </w:rPr>
        <w:t xml:space="preserve"> </w:t>
      </w:r>
      <w:proofErr w:type="spellStart"/>
      <w:r w:rsidRPr="00590C2E">
        <w:rPr>
          <w:rFonts w:ascii="Times New Roman" w:eastAsia="Arial Unicode MS" w:hAnsi="Times New Roman" w:cs="Times New Roman"/>
          <w:color w:val="000000"/>
          <w:lang w:val="uk-UA"/>
        </w:rPr>
        <w:t>інформація</w:t>
      </w:r>
      <w:proofErr w:type="spellEnd"/>
      <w:r w:rsidRPr="00590C2E">
        <w:rPr>
          <w:rFonts w:ascii="Times New Roman" w:eastAsia="Arial Unicode MS" w:hAnsi="Times New Roman" w:cs="Times New Roman"/>
          <w:color w:val="000000"/>
          <w:lang w:val="uk-UA"/>
        </w:rPr>
        <w:t xml:space="preserve"> про особу </w:t>
      </w:r>
      <w:proofErr w:type="spellStart"/>
      <w:r w:rsidRPr="00590C2E">
        <w:rPr>
          <w:rFonts w:ascii="Times New Roman" w:eastAsia="Arial Unicode MS" w:hAnsi="Times New Roman" w:cs="Times New Roman"/>
          <w:color w:val="000000"/>
          <w:lang w:val="uk-UA"/>
        </w:rPr>
        <w:t>власника</w:t>
      </w:r>
      <w:proofErr w:type="spellEnd"/>
      <w:r w:rsidRPr="00590C2E">
        <w:rPr>
          <w:rFonts w:ascii="Times New Roman" w:eastAsia="Arial Unicode MS" w:hAnsi="Times New Roman" w:cs="Times New Roman"/>
          <w:color w:val="000000"/>
          <w:lang w:val="uk-UA"/>
        </w:rPr>
        <w:t xml:space="preserve"> не </w:t>
      </w:r>
      <w:proofErr w:type="spellStart"/>
      <w:r w:rsidRPr="00590C2E">
        <w:rPr>
          <w:rFonts w:ascii="Times New Roman" w:eastAsia="Arial Unicode MS" w:hAnsi="Times New Roman" w:cs="Times New Roman"/>
          <w:color w:val="000000"/>
          <w:lang w:val="uk-UA"/>
        </w:rPr>
        <w:t>відповідає</w:t>
      </w:r>
      <w:proofErr w:type="spellEnd"/>
      <w:r w:rsidRPr="00590C2E">
        <w:rPr>
          <w:rFonts w:ascii="Times New Roman" w:eastAsia="Arial Unicode MS" w:hAnsi="Times New Roman" w:cs="Times New Roman"/>
          <w:color w:val="000000"/>
          <w:lang w:val="uk-UA"/>
        </w:rPr>
        <w:t xml:space="preserve"> </w:t>
      </w:r>
      <w:proofErr w:type="spellStart"/>
      <w:r w:rsidRPr="00590C2E">
        <w:rPr>
          <w:rFonts w:ascii="Times New Roman" w:eastAsia="Arial Unicode MS" w:hAnsi="Times New Roman" w:cs="Times New Roman"/>
          <w:color w:val="000000"/>
          <w:lang w:val="uk-UA"/>
        </w:rPr>
        <w:t>інформації</w:t>
      </w:r>
      <w:proofErr w:type="spellEnd"/>
      <w:r w:rsidRPr="00590C2E">
        <w:rPr>
          <w:rFonts w:ascii="Times New Roman" w:eastAsia="Arial Unicode MS" w:hAnsi="Times New Roman" w:cs="Times New Roman"/>
          <w:color w:val="000000"/>
          <w:lang w:val="uk-UA"/>
        </w:rPr>
        <w:t xml:space="preserve">, яка </w:t>
      </w:r>
      <w:proofErr w:type="spellStart"/>
      <w:r w:rsidRPr="00590C2E">
        <w:rPr>
          <w:rFonts w:ascii="Times New Roman" w:eastAsia="Arial Unicode MS" w:hAnsi="Times New Roman" w:cs="Times New Roman"/>
          <w:color w:val="000000"/>
          <w:lang w:val="uk-UA"/>
        </w:rPr>
        <w:t>міститься</w:t>
      </w:r>
      <w:proofErr w:type="spellEnd"/>
      <w:r w:rsidRPr="00590C2E">
        <w:rPr>
          <w:rFonts w:ascii="Times New Roman" w:eastAsia="Arial Unicode MS" w:hAnsi="Times New Roman" w:cs="Times New Roman"/>
          <w:color w:val="000000"/>
          <w:lang w:val="uk-UA"/>
        </w:rPr>
        <w:t xml:space="preserve"> в </w:t>
      </w:r>
      <w:proofErr w:type="spellStart"/>
      <w:r w:rsidRPr="00590C2E">
        <w:rPr>
          <w:rFonts w:ascii="Times New Roman" w:eastAsia="Arial Unicode MS" w:hAnsi="Times New Roman" w:cs="Times New Roman"/>
          <w:color w:val="000000"/>
          <w:lang w:val="uk-UA"/>
        </w:rPr>
        <w:t>системі</w:t>
      </w:r>
      <w:proofErr w:type="spellEnd"/>
      <w:r w:rsidRPr="00590C2E">
        <w:rPr>
          <w:rFonts w:ascii="Times New Roman" w:eastAsia="Arial Unicode MS" w:hAnsi="Times New Roman" w:cs="Times New Roman"/>
          <w:color w:val="000000"/>
          <w:lang w:val="uk-UA"/>
        </w:rPr>
        <w:t xml:space="preserve"> депозитарного </w:t>
      </w:r>
      <w:proofErr w:type="spellStart"/>
      <w:r w:rsidRPr="00590C2E">
        <w:rPr>
          <w:rFonts w:ascii="Times New Roman" w:eastAsia="Arial Unicode MS" w:hAnsi="Times New Roman" w:cs="Times New Roman"/>
          <w:color w:val="000000"/>
          <w:lang w:val="uk-UA"/>
        </w:rPr>
        <w:t>обліку</w:t>
      </w:r>
      <w:proofErr w:type="spellEnd"/>
      <w:r w:rsidRPr="00590C2E">
        <w:rPr>
          <w:rFonts w:ascii="Times New Roman" w:eastAsia="Arial Unicode MS" w:hAnsi="Times New Roman" w:cs="Times New Roman"/>
          <w:color w:val="000000"/>
          <w:lang w:val="uk-UA"/>
        </w:rPr>
        <w:t xml:space="preserve">, </w:t>
      </w:r>
      <w:proofErr w:type="spellStart"/>
      <w:r w:rsidRPr="00590C2E">
        <w:rPr>
          <w:rFonts w:ascii="Times New Roman" w:eastAsia="Arial Unicode MS" w:hAnsi="Times New Roman" w:cs="Times New Roman"/>
          <w:color w:val="000000"/>
          <w:lang w:val="uk-UA"/>
        </w:rPr>
        <w:t>Депозитарна</w:t>
      </w:r>
      <w:proofErr w:type="spellEnd"/>
      <w:r w:rsidRPr="00590C2E">
        <w:rPr>
          <w:rFonts w:ascii="Times New Roman" w:eastAsia="Arial Unicode MS" w:hAnsi="Times New Roman" w:cs="Times New Roman"/>
          <w:color w:val="000000"/>
          <w:lang w:val="uk-UA"/>
        </w:rPr>
        <w:t xml:space="preserve"> </w:t>
      </w:r>
      <w:proofErr w:type="spellStart"/>
      <w:r w:rsidRPr="00590C2E">
        <w:rPr>
          <w:rFonts w:ascii="Times New Roman" w:eastAsia="Arial Unicode MS" w:hAnsi="Times New Roman" w:cs="Times New Roman"/>
          <w:color w:val="000000"/>
          <w:lang w:val="uk-UA"/>
        </w:rPr>
        <w:t>установа</w:t>
      </w:r>
      <w:proofErr w:type="spellEnd"/>
      <w:r w:rsidRPr="00590C2E">
        <w:rPr>
          <w:rFonts w:ascii="Times New Roman" w:eastAsia="Arial Unicode MS" w:hAnsi="Times New Roman" w:cs="Times New Roman"/>
          <w:color w:val="000000"/>
          <w:lang w:val="uk-UA"/>
        </w:rPr>
        <w:t xml:space="preserve"> для </w:t>
      </w:r>
      <w:proofErr w:type="spellStart"/>
      <w:r w:rsidRPr="00590C2E">
        <w:rPr>
          <w:rFonts w:ascii="Times New Roman" w:eastAsia="Arial Unicode MS" w:hAnsi="Times New Roman" w:cs="Times New Roman"/>
          <w:color w:val="000000"/>
          <w:lang w:val="uk-UA"/>
        </w:rPr>
        <w:t>переведення</w:t>
      </w:r>
      <w:proofErr w:type="spellEnd"/>
      <w:r w:rsidRPr="00590C2E">
        <w:rPr>
          <w:rFonts w:ascii="Times New Roman" w:eastAsia="Arial Unicode MS" w:hAnsi="Times New Roman" w:cs="Times New Roman"/>
          <w:color w:val="000000"/>
          <w:lang w:val="uk-UA"/>
        </w:rPr>
        <w:t xml:space="preserve"> прав на </w:t>
      </w:r>
      <w:proofErr w:type="spellStart"/>
      <w:r w:rsidRPr="00590C2E">
        <w:rPr>
          <w:rFonts w:ascii="Times New Roman" w:eastAsia="Arial Unicode MS" w:hAnsi="Times New Roman" w:cs="Times New Roman"/>
          <w:color w:val="000000"/>
          <w:lang w:val="uk-UA"/>
        </w:rPr>
        <w:t>цінні</w:t>
      </w:r>
      <w:proofErr w:type="spellEnd"/>
      <w:r w:rsidRPr="00590C2E">
        <w:rPr>
          <w:rFonts w:ascii="Times New Roman" w:eastAsia="Arial Unicode MS" w:hAnsi="Times New Roman" w:cs="Times New Roman"/>
          <w:color w:val="000000"/>
          <w:lang w:val="uk-UA"/>
        </w:rPr>
        <w:t xml:space="preserve"> </w:t>
      </w:r>
      <w:proofErr w:type="spellStart"/>
      <w:r w:rsidRPr="00590C2E">
        <w:rPr>
          <w:rFonts w:ascii="Times New Roman" w:eastAsia="Arial Unicode MS" w:hAnsi="Times New Roman" w:cs="Times New Roman"/>
          <w:color w:val="000000"/>
          <w:lang w:val="uk-UA"/>
        </w:rPr>
        <w:t>папери</w:t>
      </w:r>
      <w:proofErr w:type="spellEnd"/>
      <w:r w:rsidRPr="00590C2E">
        <w:rPr>
          <w:rFonts w:ascii="Times New Roman" w:eastAsia="Arial Unicode MS" w:hAnsi="Times New Roman" w:cs="Times New Roman"/>
          <w:color w:val="000000"/>
          <w:lang w:val="uk-UA"/>
        </w:rPr>
        <w:t xml:space="preserve"> до </w:t>
      </w:r>
      <w:proofErr w:type="spellStart"/>
      <w:r w:rsidRPr="00590C2E">
        <w:rPr>
          <w:rFonts w:ascii="Times New Roman" w:eastAsia="Arial Unicode MS" w:hAnsi="Times New Roman" w:cs="Times New Roman"/>
          <w:color w:val="000000"/>
          <w:lang w:val="uk-UA"/>
        </w:rPr>
        <w:t>іншої</w:t>
      </w:r>
      <w:proofErr w:type="spellEnd"/>
      <w:r w:rsidRPr="00590C2E">
        <w:rPr>
          <w:rFonts w:ascii="Times New Roman" w:eastAsia="Arial Unicode MS" w:hAnsi="Times New Roman" w:cs="Times New Roman"/>
          <w:color w:val="000000"/>
          <w:lang w:val="uk-UA"/>
        </w:rPr>
        <w:t xml:space="preserve"> </w:t>
      </w:r>
      <w:proofErr w:type="spellStart"/>
      <w:r w:rsidRPr="00590C2E">
        <w:rPr>
          <w:rFonts w:ascii="Times New Roman" w:eastAsia="Arial Unicode MS" w:hAnsi="Times New Roman" w:cs="Times New Roman"/>
          <w:color w:val="000000"/>
          <w:lang w:val="uk-UA"/>
        </w:rPr>
        <w:t>депозитарної</w:t>
      </w:r>
      <w:proofErr w:type="spellEnd"/>
      <w:r w:rsidRPr="00590C2E">
        <w:rPr>
          <w:rFonts w:ascii="Times New Roman" w:eastAsia="Arial Unicode MS" w:hAnsi="Times New Roman" w:cs="Times New Roman"/>
          <w:color w:val="000000"/>
          <w:lang w:val="uk-UA"/>
        </w:rPr>
        <w:t xml:space="preserve"> установи </w:t>
      </w:r>
      <w:proofErr w:type="spellStart"/>
      <w:r w:rsidRPr="00590C2E">
        <w:rPr>
          <w:rFonts w:ascii="Times New Roman" w:eastAsia="Arial Unicode MS" w:hAnsi="Times New Roman" w:cs="Times New Roman"/>
          <w:color w:val="000000"/>
          <w:lang w:val="uk-UA"/>
        </w:rPr>
        <w:t>має</w:t>
      </w:r>
      <w:proofErr w:type="spellEnd"/>
      <w:r w:rsidRPr="00590C2E">
        <w:rPr>
          <w:rFonts w:ascii="Times New Roman" w:eastAsia="Arial Unicode MS" w:hAnsi="Times New Roman" w:cs="Times New Roman"/>
          <w:color w:val="000000"/>
          <w:lang w:val="uk-UA"/>
        </w:rPr>
        <w:t xml:space="preserve"> право </w:t>
      </w:r>
      <w:proofErr w:type="spellStart"/>
      <w:r w:rsidRPr="00590C2E">
        <w:rPr>
          <w:rFonts w:ascii="Times New Roman" w:eastAsia="Arial Unicode MS" w:hAnsi="Times New Roman" w:cs="Times New Roman"/>
          <w:color w:val="000000"/>
          <w:lang w:val="uk-UA"/>
        </w:rPr>
        <w:t>вимагати</w:t>
      </w:r>
      <w:proofErr w:type="spellEnd"/>
      <w:r w:rsidRPr="00590C2E">
        <w:rPr>
          <w:rFonts w:ascii="Times New Roman" w:eastAsia="Arial Unicode MS" w:hAnsi="Times New Roman" w:cs="Times New Roman"/>
          <w:color w:val="000000"/>
          <w:lang w:val="uk-UA"/>
        </w:rPr>
        <w:t>:</w:t>
      </w:r>
    </w:p>
    <w:p w14:paraId="0D163C9E" w14:textId="77777777" w:rsidR="00590C2E" w:rsidRPr="00590C2E" w:rsidRDefault="00590C2E" w:rsidP="00590C2E">
      <w:pPr>
        <w:pStyle w:val="HTML"/>
        <w:shd w:val="clear" w:color="auto" w:fill="FFFFFF"/>
        <w:rPr>
          <w:rFonts w:ascii="Times New Roman" w:eastAsia="Arial Unicode MS" w:hAnsi="Times New Roman" w:cs="Times New Roman"/>
          <w:color w:val="000000"/>
          <w:lang w:val="uk-UA"/>
        </w:rPr>
      </w:pPr>
      <w:r w:rsidRPr="00590C2E">
        <w:rPr>
          <w:rFonts w:ascii="Times New Roman" w:eastAsia="Arial Unicode MS" w:hAnsi="Times New Roman" w:cs="Times New Roman"/>
          <w:color w:val="000000"/>
          <w:lang w:val="uk-UA"/>
        </w:rPr>
        <w:t xml:space="preserve">- </w:t>
      </w:r>
      <w:proofErr w:type="spellStart"/>
      <w:r w:rsidRPr="00590C2E">
        <w:rPr>
          <w:rFonts w:ascii="Times New Roman" w:eastAsia="Arial Unicode MS" w:hAnsi="Times New Roman" w:cs="Times New Roman"/>
          <w:color w:val="000000"/>
          <w:lang w:val="uk-UA"/>
        </w:rPr>
        <w:t>внесення</w:t>
      </w:r>
      <w:proofErr w:type="spellEnd"/>
      <w:r w:rsidRPr="00590C2E">
        <w:rPr>
          <w:rFonts w:ascii="Times New Roman" w:eastAsia="Arial Unicode MS" w:hAnsi="Times New Roman" w:cs="Times New Roman"/>
          <w:color w:val="000000"/>
          <w:lang w:val="uk-UA"/>
        </w:rPr>
        <w:t xml:space="preserve"> </w:t>
      </w:r>
      <w:proofErr w:type="spellStart"/>
      <w:r w:rsidRPr="00590C2E">
        <w:rPr>
          <w:rFonts w:ascii="Times New Roman" w:eastAsia="Arial Unicode MS" w:hAnsi="Times New Roman" w:cs="Times New Roman"/>
          <w:color w:val="000000"/>
          <w:lang w:val="uk-UA"/>
        </w:rPr>
        <w:t>змін</w:t>
      </w:r>
      <w:proofErr w:type="spellEnd"/>
      <w:r w:rsidRPr="00590C2E">
        <w:rPr>
          <w:rFonts w:ascii="Times New Roman" w:eastAsia="Arial Unicode MS" w:hAnsi="Times New Roman" w:cs="Times New Roman"/>
          <w:color w:val="000000"/>
          <w:lang w:val="uk-UA"/>
        </w:rPr>
        <w:t xml:space="preserve"> до </w:t>
      </w:r>
      <w:proofErr w:type="spellStart"/>
      <w:r w:rsidRPr="00590C2E">
        <w:rPr>
          <w:rFonts w:ascii="Times New Roman" w:eastAsia="Arial Unicode MS" w:hAnsi="Times New Roman" w:cs="Times New Roman"/>
          <w:color w:val="000000"/>
          <w:lang w:val="uk-UA"/>
        </w:rPr>
        <w:t>інформації</w:t>
      </w:r>
      <w:proofErr w:type="spellEnd"/>
      <w:r w:rsidRPr="00590C2E">
        <w:rPr>
          <w:rFonts w:ascii="Times New Roman" w:eastAsia="Arial Unicode MS" w:hAnsi="Times New Roman" w:cs="Times New Roman"/>
          <w:color w:val="000000"/>
          <w:lang w:val="uk-UA"/>
        </w:rPr>
        <w:t xml:space="preserve"> про особу </w:t>
      </w:r>
      <w:proofErr w:type="spellStart"/>
      <w:r w:rsidRPr="00590C2E">
        <w:rPr>
          <w:rFonts w:ascii="Times New Roman" w:eastAsia="Arial Unicode MS" w:hAnsi="Times New Roman" w:cs="Times New Roman"/>
          <w:color w:val="000000"/>
          <w:lang w:val="uk-UA"/>
        </w:rPr>
        <w:t>власника</w:t>
      </w:r>
      <w:proofErr w:type="spellEnd"/>
      <w:r w:rsidRPr="00590C2E">
        <w:rPr>
          <w:rFonts w:ascii="Times New Roman" w:eastAsia="Arial Unicode MS" w:hAnsi="Times New Roman" w:cs="Times New Roman"/>
          <w:color w:val="000000"/>
          <w:lang w:val="uk-UA"/>
        </w:rPr>
        <w:t xml:space="preserve"> за </w:t>
      </w:r>
      <w:proofErr w:type="spellStart"/>
      <w:r w:rsidRPr="00590C2E">
        <w:rPr>
          <w:rFonts w:ascii="Times New Roman" w:eastAsia="Arial Unicode MS" w:hAnsi="Times New Roman" w:cs="Times New Roman"/>
          <w:color w:val="000000"/>
          <w:lang w:val="uk-UA"/>
        </w:rPr>
        <w:t>розпорядженням</w:t>
      </w:r>
      <w:proofErr w:type="spellEnd"/>
      <w:r w:rsidRPr="00590C2E">
        <w:rPr>
          <w:rFonts w:ascii="Times New Roman" w:eastAsia="Arial Unicode MS" w:hAnsi="Times New Roman" w:cs="Times New Roman"/>
          <w:color w:val="000000"/>
          <w:lang w:val="uk-UA"/>
        </w:rPr>
        <w:t xml:space="preserve"> </w:t>
      </w:r>
      <w:proofErr w:type="spellStart"/>
      <w:r w:rsidRPr="00590C2E">
        <w:rPr>
          <w:rFonts w:ascii="Times New Roman" w:eastAsia="Arial Unicode MS" w:hAnsi="Times New Roman" w:cs="Times New Roman"/>
          <w:color w:val="000000"/>
          <w:lang w:val="uk-UA"/>
        </w:rPr>
        <w:t>Емітента</w:t>
      </w:r>
      <w:proofErr w:type="spellEnd"/>
      <w:r w:rsidRPr="00590C2E">
        <w:rPr>
          <w:rFonts w:ascii="Times New Roman" w:eastAsia="Arial Unicode MS" w:hAnsi="Times New Roman" w:cs="Times New Roman"/>
          <w:color w:val="000000"/>
          <w:lang w:val="uk-UA"/>
        </w:rPr>
        <w:t xml:space="preserve"> - </w:t>
      </w:r>
      <w:proofErr w:type="spellStart"/>
      <w:r w:rsidRPr="00590C2E">
        <w:rPr>
          <w:rFonts w:ascii="Times New Roman" w:eastAsia="Arial Unicode MS" w:hAnsi="Times New Roman" w:cs="Times New Roman"/>
          <w:color w:val="000000"/>
          <w:lang w:val="uk-UA"/>
        </w:rPr>
        <w:t>стосовно</w:t>
      </w:r>
      <w:proofErr w:type="spellEnd"/>
      <w:r w:rsidRPr="00590C2E">
        <w:rPr>
          <w:rFonts w:ascii="Times New Roman" w:eastAsia="Arial Unicode MS" w:hAnsi="Times New Roman" w:cs="Times New Roman"/>
          <w:color w:val="000000"/>
          <w:lang w:val="uk-UA"/>
        </w:rPr>
        <w:t xml:space="preserve"> </w:t>
      </w:r>
      <w:proofErr w:type="spellStart"/>
      <w:r w:rsidRPr="00590C2E">
        <w:rPr>
          <w:rFonts w:ascii="Times New Roman" w:eastAsia="Arial Unicode MS" w:hAnsi="Times New Roman" w:cs="Times New Roman"/>
          <w:color w:val="000000"/>
          <w:lang w:val="uk-UA"/>
        </w:rPr>
        <w:t>власників</w:t>
      </w:r>
      <w:proofErr w:type="spellEnd"/>
      <w:r w:rsidRPr="00590C2E">
        <w:rPr>
          <w:rFonts w:ascii="Times New Roman" w:eastAsia="Arial Unicode MS" w:hAnsi="Times New Roman" w:cs="Times New Roman"/>
          <w:color w:val="000000"/>
          <w:lang w:val="uk-UA"/>
        </w:rPr>
        <w:t xml:space="preserve">, </w:t>
      </w:r>
      <w:proofErr w:type="spellStart"/>
      <w:r w:rsidRPr="00590C2E">
        <w:rPr>
          <w:rFonts w:ascii="Times New Roman" w:eastAsia="Arial Unicode MS" w:hAnsi="Times New Roman" w:cs="Times New Roman"/>
          <w:color w:val="000000"/>
          <w:lang w:val="uk-UA"/>
        </w:rPr>
        <w:t>що</w:t>
      </w:r>
      <w:proofErr w:type="spellEnd"/>
      <w:r w:rsidRPr="00590C2E">
        <w:rPr>
          <w:rFonts w:ascii="Times New Roman" w:eastAsia="Arial Unicode MS" w:hAnsi="Times New Roman" w:cs="Times New Roman"/>
          <w:color w:val="000000"/>
          <w:lang w:val="uk-UA"/>
        </w:rPr>
        <w:t xml:space="preserve"> є </w:t>
      </w:r>
      <w:proofErr w:type="spellStart"/>
      <w:r w:rsidRPr="00590C2E">
        <w:rPr>
          <w:rFonts w:ascii="Times New Roman" w:eastAsia="Arial Unicode MS" w:hAnsi="Times New Roman" w:cs="Times New Roman"/>
          <w:color w:val="000000"/>
          <w:lang w:val="uk-UA"/>
        </w:rPr>
        <w:t>власниками</w:t>
      </w:r>
      <w:proofErr w:type="spellEnd"/>
      <w:r w:rsidRPr="00590C2E">
        <w:rPr>
          <w:rFonts w:ascii="Times New Roman" w:eastAsia="Arial Unicode MS" w:hAnsi="Times New Roman" w:cs="Times New Roman"/>
          <w:color w:val="000000"/>
          <w:lang w:val="uk-UA"/>
        </w:rPr>
        <w:t xml:space="preserve"> </w:t>
      </w:r>
      <w:proofErr w:type="spellStart"/>
      <w:r w:rsidRPr="00590C2E">
        <w:rPr>
          <w:rFonts w:ascii="Times New Roman" w:eastAsia="Arial Unicode MS" w:hAnsi="Times New Roman" w:cs="Times New Roman"/>
          <w:color w:val="000000"/>
          <w:lang w:val="uk-UA"/>
        </w:rPr>
        <w:t>іменних</w:t>
      </w:r>
      <w:proofErr w:type="spellEnd"/>
      <w:r w:rsidRPr="00590C2E">
        <w:rPr>
          <w:rFonts w:ascii="Times New Roman" w:eastAsia="Arial Unicode MS" w:hAnsi="Times New Roman" w:cs="Times New Roman"/>
          <w:color w:val="000000"/>
          <w:lang w:val="uk-UA"/>
        </w:rPr>
        <w:t xml:space="preserve"> </w:t>
      </w:r>
      <w:proofErr w:type="spellStart"/>
      <w:r w:rsidRPr="00590C2E">
        <w:rPr>
          <w:rFonts w:ascii="Times New Roman" w:eastAsia="Arial Unicode MS" w:hAnsi="Times New Roman" w:cs="Times New Roman"/>
          <w:color w:val="000000"/>
          <w:lang w:val="uk-UA"/>
        </w:rPr>
        <w:t>цінних</w:t>
      </w:r>
      <w:proofErr w:type="spellEnd"/>
      <w:r w:rsidRPr="00590C2E">
        <w:rPr>
          <w:rFonts w:ascii="Times New Roman" w:eastAsia="Arial Unicode MS" w:hAnsi="Times New Roman" w:cs="Times New Roman"/>
          <w:color w:val="000000"/>
          <w:lang w:val="uk-UA"/>
        </w:rPr>
        <w:t xml:space="preserve"> </w:t>
      </w:r>
      <w:proofErr w:type="spellStart"/>
      <w:r w:rsidRPr="00590C2E">
        <w:rPr>
          <w:rFonts w:ascii="Times New Roman" w:eastAsia="Arial Unicode MS" w:hAnsi="Times New Roman" w:cs="Times New Roman"/>
          <w:color w:val="000000"/>
          <w:lang w:val="uk-UA"/>
        </w:rPr>
        <w:t>паперів</w:t>
      </w:r>
      <w:proofErr w:type="spellEnd"/>
      <w:r w:rsidRPr="00590C2E">
        <w:rPr>
          <w:rFonts w:ascii="Times New Roman" w:eastAsia="Arial Unicode MS" w:hAnsi="Times New Roman" w:cs="Times New Roman"/>
          <w:color w:val="000000"/>
          <w:lang w:val="uk-UA"/>
        </w:rPr>
        <w:t xml:space="preserve">, </w:t>
      </w:r>
      <w:proofErr w:type="spellStart"/>
      <w:r w:rsidRPr="00590C2E">
        <w:rPr>
          <w:rFonts w:ascii="Times New Roman" w:eastAsia="Arial Unicode MS" w:hAnsi="Times New Roman" w:cs="Times New Roman"/>
          <w:color w:val="000000"/>
          <w:lang w:val="uk-UA"/>
        </w:rPr>
        <w:t>що</w:t>
      </w:r>
      <w:proofErr w:type="spellEnd"/>
      <w:r w:rsidRPr="00590C2E">
        <w:rPr>
          <w:rFonts w:ascii="Times New Roman" w:eastAsia="Arial Unicode MS" w:hAnsi="Times New Roman" w:cs="Times New Roman"/>
          <w:color w:val="000000"/>
          <w:lang w:val="uk-UA"/>
        </w:rPr>
        <w:t xml:space="preserve"> </w:t>
      </w:r>
      <w:proofErr w:type="spellStart"/>
      <w:r w:rsidRPr="00590C2E">
        <w:rPr>
          <w:rFonts w:ascii="Times New Roman" w:eastAsia="Arial Unicode MS" w:hAnsi="Times New Roman" w:cs="Times New Roman"/>
          <w:color w:val="000000"/>
          <w:lang w:val="uk-UA"/>
        </w:rPr>
        <w:t>були</w:t>
      </w:r>
      <w:proofErr w:type="spellEnd"/>
      <w:r w:rsidRPr="00590C2E">
        <w:rPr>
          <w:rFonts w:ascii="Times New Roman" w:eastAsia="Arial Unicode MS" w:hAnsi="Times New Roman" w:cs="Times New Roman"/>
          <w:color w:val="000000"/>
          <w:lang w:val="uk-UA"/>
        </w:rPr>
        <w:t xml:space="preserve"> </w:t>
      </w:r>
      <w:proofErr w:type="spellStart"/>
      <w:r w:rsidRPr="00590C2E">
        <w:rPr>
          <w:rFonts w:ascii="Times New Roman" w:eastAsia="Arial Unicode MS" w:hAnsi="Times New Roman" w:cs="Times New Roman"/>
          <w:color w:val="000000"/>
          <w:lang w:val="uk-UA"/>
        </w:rPr>
        <w:t>переведені</w:t>
      </w:r>
      <w:proofErr w:type="spellEnd"/>
      <w:r w:rsidRPr="00590C2E">
        <w:rPr>
          <w:rFonts w:ascii="Times New Roman" w:eastAsia="Arial Unicode MS" w:hAnsi="Times New Roman" w:cs="Times New Roman"/>
          <w:color w:val="000000"/>
          <w:lang w:val="uk-UA"/>
        </w:rPr>
        <w:t xml:space="preserve"> у </w:t>
      </w:r>
      <w:proofErr w:type="spellStart"/>
      <w:r w:rsidRPr="00590C2E">
        <w:rPr>
          <w:rFonts w:ascii="Times New Roman" w:eastAsia="Arial Unicode MS" w:hAnsi="Times New Roman" w:cs="Times New Roman"/>
          <w:color w:val="000000"/>
          <w:lang w:val="uk-UA"/>
        </w:rPr>
        <w:t>бездокументарну</w:t>
      </w:r>
      <w:proofErr w:type="spellEnd"/>
      <w:r w:rsidRPr="00590C2E">
        <w:rPr>
          <w:rFonts w:ascii="Times New Roman" w:eastAsia="Arial Unicode MS" w:hAnsi="Times New Roman" w:cs="Times New Roman"/>
          <w:color w:val="000000"/>
          <w:lang w:val="uk-UA"/>
        </w:rPr>
        <w:t xml:space="preserve"> форму, </w:t>
      </w:r>
      <w:proofErr w:type="spellStart"/>
      <w:r w:rsidRPr="00590C2E">
        <w:rPr>
          <w:rFonts w:ascii="Times New Roman" w:eastAsia="Arial Unicode MS" w:hAnsi="Times New Roman" w:cs="Times New Roman"/>
          <w:color w:val="000000"/>
          <w:lang w:val="uk-UA"/>
        </w:rPr>
        <w:t>сумарна</w:t>
      </w:r>
      <w:proofErr w:type="spellEnd"/>
      <w:r w:rsidRPr="00590C2E">
        <w:rPr>
          <w:rFonts w:ascii="Times New Roman" w:eastAsia="Arial Unicode MS" w:hAnsi="Times New Roman" w:cs="Times New Roman"/>
          <w:color w:val="000000"/>
          <w:lang w:val="uk-UA"/>
        </w:rPr>
        <w:t xml:space="preserve"> </w:t>
      </w:r>
      <w:proofErr w:type="spellStart"/>
      <w:r w:rsidRPr="00590C2E">
        <w:rPr>
          <w:rFonts w:ascii="Times New Roman" w:eastAsia="Arial Unicode MS" w:hAnsi="Times New Roman" w:cs="Times New Roman"/>
          <w:color w:val="000000"/>
          <w:lang w:val="uk-UA"/>
        </w:rPr>
        <w:t>номінальна</w:t>
      </w:r>
      <w:proofErr w:type="spellEnd"/>
      <w:r w:rsidRPr="00590C2E">
        <w:rPr>
          <w:rFonts w:ascii="Times New Roman" w:eastAsia="Arial Unicode MS" w:hAnsi="Times New Roman" w:cs="Times New Roman"/>
          <w:color w:val="000000"/>
          <w:lang w:val="uk-UA"/>
        </w:rPr>
        <w:t xml:space="preserve"> </w:t>
      </w:r>
      <w:proofErr w:type="spellStart"/>
      <w:r w:rsidRPr="00590C2E">
        <w:rPr>
          <w:rFonts w:ascii="Times New Roman" w:eastAsia="Arial Unicode MS" w:hAnsi="Times New Roman" w:cs="Times New Roman"/>
          <w:color w:val="000000"/>
          <w:lang w:val="uk-UA"/>
        </w:rPr>
        <w:t>вартість</w:t>
      </w:r>
      <w:proofErr w:type="spellEnd"/>
      <w:r w:rsidRPr="00590C2E">
        <w:rPr>
          <w:rFonts w:ascii="Times New Roman" w:eastAsia="Arial Unicode MS" w:hAnsi="Times New Roman" w:cs="Times New Roman"/>
          <w:color w:val="000000"/>
          <w:lang w:val="uk-UA"/>
        </w:rPr>
        <w:t xml:space="preserve"> </w:t>
      </w:r>
      <w:proofErr w:type="spellStart"/>
      <w:r w:rsidRPr="00590C2E">
        <w:rPr>
          <w:rFonts w:ascii="Times New Roman" w:eastAsia="Arial Unicode MS" w:hAnsi="Times New Roman" w:cs="Times New Roman"/>
          <w:color w:val="000000"/>
          <w:lang w:val="uk-UA"/>
        </w:rPr>
        <w:t>яких</w:t>
      </w:r>
      <w:proofErr w:type="spellEnd"/>
      <w:r w:rsidRPr="00590C2E">
        <w:rPr>
          <w:rFonts w:ascii="Times New Roman" w:eastAsia="Arial Unicode MS" w:hAnsi="Times New Roman" w:cs="Times New Roman"/>
          <w:color w:val="000000"/>
          <w:lang w:val="uk-UA"/>
        </w:rPr>
        <w:t xml:space="preserve"> не </w:t>
      </w:r>
      <w:proofErr w:type="spellStart"/>
      <w:r w:rsidRPr="00590C2E">
        <w:rPr>
          <w:rFonts w:ascii="Times New Roman" w:eastAsia="Arial Unicode MS" w:hAnsi="Times New Roman" w:cs="Times New Roman"/>
          <w:color w:val="000000"/>
          <w:lang w:val="uk-UA"/>
        </w:rPr>
        <w:t>перевищує</w:t>
      </w:r>
      <w:proofErr w:type="spellEnd"/>
      <w:r w:rsidRPr="00590C2E">
        <w:rPr>
          <w:rFonts w:ascii="Times New Roman" w:eastAsia="Arial Unicode MS" w:hAnsi="Times New Roman" w:cs="Times New Roman"/>
          <w:color w:val="000000"/>
          <w:lang w:val="uk-UA"/>
        </w:rPr>
        <w:t xml:space="preserve"> 50 </w:t>
      </w:r>
      <w:proofErr w:type="spellStart"/>
      <w:r w:rsidRPr="00590C2E">
        <w:rPr>
          <w:rFonts w:ascii="Times New Roman" w:eastAsia="Arial Unicode MS" w:hAnsi="Times New Roman" w:cs="Times New Roman"/>
          <w:color w:val="000000"/>
          <w:lang w:val="uk-UA"/>
        </w:rPr>
        <w:t>неоподатковуваних</w:t>
      </w:r>
      <w:proofErr w:type="spellEnd"/>
      <w:r w:rsidRPr="00590C2E">
        <w:rPr>
          <w:rFonts w:ascii="Times New Roman" w:eastAsia="Arial Unicode MS" w:hAnsi="Times New Roman" w:cs="Times New Roman"/>
          <w:color w:val="000000"/>
          <w:lang w:val="uk-UA"/>
        </w:rPr>
        <w:t xml:space="preserve"> </w:t>
      </w:r>
      <w:proofErr w:type="spellStart"/>
      <w:r w:rsidRPr="00590C2E">
        <w:rPr>
          <w:rFonts w:ascii="Times New Roman" w:eastAsia="Arial Unicode MS" w:hAnsi="Times New Roman" w:cs="Times New Roman"/>
          <w:color w:val="000000"/>
          <w:lang w:val="uk-UA"/>
        </w:rPr>
        <w:t>мінімумів</w:t>
      </w:r>
      <w:proofErr w:type="spellEnd"/>
      <w:r w:rsidRPr="00590C2E">
        <w:rPr>
          <w:rFonts w:ascii="Times New Roman" w:eastAsia="Arial Unicode MS" w:hAnsi="Times New Roman" w:cs="Times New Roman"/>
          <w:color w:val="000000"/>
          <w:lang w:val="uk-UA"/>
        </w:rPr>
        <w:t xml:space="preserve"> </w:t>
      </w:r>
      <w:proofErr w:type="spellStart"/>
      <w:r w:rsidRPr="00590C2E">
        <w:rPr>
          <w:rFonts w:ascii="Times New Roman" w:eastAsia="Arial Unicode MS" w:hAnsi="Times New Roman" w:cs="Times New Roman"/>
          <w:color w:val="000000"/>
          <w:lang w:val="uk-UA"/>
        </w:rPr>
        <w:t>доходів</w:t>
      </w:r>
      <w:proofErr w:type="spellEnd"/>
      <w:r w:rsidRPr="00590C2E">
        <w:rPr>
          <w:rFonts w:ascii="Times New Roman" w:eastAsia="Arial Unicode MS" w:hAnsi="Times New Roman" w:cs="Times New Roman"/>
          <w:color w:val="000000"/>
          <w:lang w:val="uk-UA"/>
        </w:rPr>
        <w:t xml:space="preserve"> </w:t>
      </w:r>
      <w:proofErr w:type="spellStart"/>
      <w:r w:rsidRPr="00590C2E">
        <w:rPr>
          <w:rFonts w:ascii="Times New Roman" w:eastAsia="Arial Unicode MS" w:hAnsi="Times New Roman" w:cs="Times New Roman"/>
          <w:color w:val="000000"/>
          <w:lang w:val="uk-UA"/>
        </w:rPr>
        <w:t>громадян</w:t>
      </w:r>
      <w:proofErr w:type="spellEnd"/>
      <w:r w:rsidRPr="00590C2E">
        <w:rPr>
          <w:rFonts w:ascii="Times New Roman" w:eastAsia="Arial Unicode MS" w:hAnsi="Times New Roman" w:cs="Times New Roman"/>
          <w:color w:val="000000"/>
          <w:lang w:val="uk-UA"/>
        </w:rPr>
        <w:t>;</w:t>
      </w:r>
    </w:p>
    <w:p w14:paraId="3407DF4F" w14:textId="29203A10" w:rsidR="00590C2E" w:rsidRPr="00590C2E" w:rsidRDefault="00590C2E" w:rsidP="00590C2E">
      <w:pPr>
        <w:pStyle w:val="HTML"/>
        <w:shd w:val="clear" w:color="auto" w:fill="FFFFFF"/>
        <w:rPr>
          <w:rFonts w:ascii="Times New Roman" w:eastAsia="Arial Unicode MS" w:hAnsi="Times New Roman" w:cs="Times New Roman"/>
          <w:color w:val="000000"/>
          <w:lang w:val="uk-UA"/>
        </w:rPr>
      </w:pPr>
      <w:r w:rsidRPr="00590C2E">
        <w:rPr>
          <w:rFonts w:ascii="Times New Roman" w:eastAsia="Arial Unicode MS" w:hAnsi="Times New Roman" w:cs="Times New Roman"/>
          <w:color w:val="000000"/>
          <w:lang w:val="uk-UA"/>
        </w:rPr>
        <w:t xml:space="preserve">- </w:t>
      </w:r>
      <w:proofErr w:type="spellStart"/>
      <w:r w:rsidRPr="00590C2E">
        <w:rPr>
          <w:rFonts w:ascii="Times New Roman" w:eastAsia="Arial Unicode MS" w:hAnsi="Times New Roman" w:cs="Times New Roman"/>
          <w:color w:val="000000"/>
          <w:lang w:val="uk-UA"/>
        </w:rPr>
        <w:t>укладення</w:t>
      </w:r>
      <w:proofErr w:type="spellEnd"/>
      <w:r w:rsidRPr="00590C2E">
        <w:rPr>
          <w:rFonts w:ascii="Times New Roman" w:eastAsia="Arial Unicode MS" w:hAnsi="Times New Roman" w:cs="Times New Roman"/>
          <w:color w:val="000000"/>
          <w:lang w:val="uk-UA"/>
        </w:rPr>
        <w:t xml:space="preserve"> </w:t>
      </w:r>
      <w:proofErr w:type="spellStart"/>
      <w:r w:rsidRPr="00590C2E">
        <w:rPr>
          <w:rFonts w:ascii="Times New Roman" w:eastAsia="Arial Unicode MS" w:hAnsi="Times New Roman" w:cs="Times New Roman"/>
          <w:color w:val="000000"/>
          <w:lang w:val="uk-UA"/>
        </w:rPr>
        <w:t>із</w:t>
      </w:r>
      <w:proofErr w:type="spellEnd"/>
      <w:r w:rsidRPr="00590C2E">
        <w:rPr>
          <w:rFonts w:ascii="Times New Roman" w:eastAsia="Arial Unicode MS" w:hAnsi="Times New Roman" w:cs="Times New Roman"/>
          <w:color w:val="000000"/>
          <w:lang w:val="uk-UA"/>
        </w:rPr>
        <w:t xml:space="preserve"> </w:t>
      </w:r>
      <w:proofErr w:type="spellStart"/>
      <w:r w:rsidRPr="00590C2E">
        <w:rPr>
          <w:rFonts w:ascii="Times New Roman" w:eastAsia="Arial Unicode MS" w:hAnsi="Times New Roman" w:cs="Times New Roman"/>
          <w:color w:val="000000"/>
          <w:lang w:val="uk-UA"/>
        </w:rPr>
        <w:t>власником</w:t>
      </w:r>
      <w:proofErr w:type="spellEnd"/>
      <w:r w:rsidRPr="00590C2E">
        <w:rPr>
          <w:rFonts w:ascii="Times New Roman" w:eastAsia="Arial Unicode MS" w:hAnsi="Times New Roman" w:cs="Times New Roman"/>
          <w:color w:val="000000"/>
          <w:lang w:val="uk-UA"/>
        </w:rPr>
        <w:t xml:space="preserve"> договору про </w:t>
      </w:r>
      <w:proofErr w:type="spellStart"/>
      <w:r w:rsidRPr="00590C2E">
        <w:rPr>
          <w:rFonts w:ascii="Times New Roman" w:eastAsia="Arial Unicode MS" w:hAnsi="Times New Roman" w:cs="Times New Roman"/>
          <w:color w:val="000000"/>
          <w:lang w:val="uk-UA"/>
        </w:rPr>
        <w:t>обслуговування</w:t>
      </w:r>
      <w:proofErr w:type="spellEnd"/>
      <w:r w:rsidRPr="00590C2E">
        <w:rPr>
          <w:rFonts w:ascii="Times New Roman" w:eastAsia="Arial Unicode MS" w:hAnsi="Times New Roman" w:cs="Times New Roman"/>
          <w:color w:val="000000"/>
          <w:lang w:val="uk-UA"/>
        </w:rPr>
        <w:t xml:space="preserve"> </w:t>
      </w:r>
      <w:proofErr w:type="spellStart"/>
      <w:r w:rsidRPr="00590C2E">
        <w:rPr>
          <w:rFonts w:ascii="Times New Roman" w:eastAsia="Arial Unicode MS" w:hAnsi="Times New Roman" w:cs="Times New Roman"/>
          <w:color w:val="000000"/>
          <w:lang w:val="uk-UA"/>
        </w:rPr>
        <w:t>рахунку</w:t>
      </w:r>
      <w:proofErr w:type="spellEnd"/>
      <w:r w:rsidRPr="00590C2E">
        <w:rPr>
          <w:rFonts w:ascii="Times New Roman" w:eastAsia="Arial Unicode MS" w:hAnsi="Times New Roman" w:cs="Times New Roman"/>
          <w:color w:val="000000"/>
          <w:lang w:val="uk-UA"/>
        </w:rPr>
        <w:t xml:space="preserve"> в </w:t>
      </w:r>
      <w:proofErr w:type="spellStart"/>
      <w:r w:rsidRPr="00590C2E">
        <w:rPr>
          <w:rFonts w:ascii="Times New Roman" w:eastAsia="Arial Unicode MS" w:hAnsi="Times New Roman" w:cs="Times New Roman"/>
          <w:color w:val="000000"/>
          <w:lang w:val="uk-UA"/>
        </w:rPr>
        <w:t>цінних</w:t>
      </w:r>
      <w:proofErr w:type="spellEnd"/>
      <w:r w:rsidRPr="00590C2E">
        <w:rPr>
          <w:rFonts w:ascii="Times New Roman" w:eastAsia="Arial Unicode MS" w:hAnsi="Times New Roman" w:cs="Times New Roman"/>
          <w:color w:val="000000"/>
          <w:lang w:val="uk-UA"/>
        </w:rPr>
        <w:t xml:space="preserve"> </w:t>
      </w:r>
      <w:proofErr w:type="spellStart"/>
      <w:r w:rsidRPr="00590C2E">
        <w:rPr>
          <w:rFonts w:ascii="Times New Roman" w:eastAsia="Arial Unicode MS" w:hAnsi="Times New Roman" w:cs="Times New Roman"/>
          <w:color w:val="000000"/>
          <w:lang w:val="uk-UA"/>
        </w:rPr>
        <w:t>паперах</w:t>
      </w:r>
      <w:proofErr w:type="spellEnd"/>
      <w:r w:rsidRPr="00590C2E">
        <w:rPr>
          <w:rFonts w:ascii="Times New Roman" w:eastAsia="Arial Unicode MS" w:hAnsi="Times New Roman" w:cs="Times New Roman"/>
          <w:color w:val="000000"/>
          <w:lang w:val="uk-UA"/>
        </w:rPr>
        <w:t xml:space="preserve"> - </w:t>
      </w:r>
      <w:proofErr w:type="spellStart"/>
      <w:r w:rsidRPr="00590C2E">
        <w:rPr>
          <w:rFonts w:ascii="Times New Roman" w:eastAsia="Arial Unicode MS" w:hAnsi="Times New Roman" w:cs="Times New Roman"/>
          <w:color w:val="000000"/>
          <w:lang w:val="uk-UA"/>
        </w:rPr>
        <w:t>стосовно</w:t>
      </w:r>
      <w:proofErr w:type="spellEnd"/>
      <w:r w:rsidRPr="00590C2E">
        <w:rPr>
          <w:rFonts w:ascii="Times New Roman" w:eastAsia="Arial Unicode MS" w:hAnsi="Times New Roman" w:cs="Times New Roman"/>
          <w:color w:val="000000"/>
          <w:lang w:val="uk-UA"/>
        </w:rPr>
        <w:t xml:space="preserve"> </w:t>
      </w:r>
      <w:proofErr w:type="spellStart"/>
      <w:r w:rsidRPr="00590C2E">
        <w:rPr>
          <w:rFonts w:ascii="Times New Roman" w:eastAsia="Arial Unicode MS" w:hAnsi="Times New Roman" w:cs="Times New Roman"/>
          <w:color w:val="000000"/>
          <w:lang w:val="uk-UA"/>
        </w:rPr>
        <w:t>власників</w:t>
      </w:r>
      <w:proofErr w:type="spellEnd"/>
      <w:r w:rsidRPr="00590C2E">
        <w:rPr>
          <w:rFonts w:ascii="Times New Roman" w:eastAsia="Arial Unicode MS" w:hAnsi="Times New Roman" w:cs="Times New Roman"/>
          <w:color w:val="000000"/>
          <w:lang w:val="uk-UA"/>
        </w:rPr>
        <w:t xml:space="preserve">, </w:t>
      </w:r>
      <w:proofErr w:type="spellStart"/>
      <w:r w:rsidRPr="00590C2E">
        <w:rPr>
          <w:rFonts w:ascii="Times New Roman" w:eastAsia="Arial Unicode MS" w:hAnsi="Times New Roman" w:cs="Times New Roman"/>
          <w:color w:val="000000"/>
          <w:lang w:val="uk-UA"/>
        </w:rPr>
        <w:t>що</w:t>
      </w:r>
      <w:proofErr w:type="spellEnd"/>
      <w:r w:rsidRPr="00590C2E">
        <w:rPr>
          <w:rFonts w:ascii="Times New Roman" w:eastAsia="Arial Unicode MS" w:hAnsi="Times New Roman" w:cs="Times New Roman"/>
          <w:color w:val="000000"/>
          <w:lang w:val="uk-UA"/>
        </w:rPr>
        <w:t xml:space="preserve"> є </w:t>
      </w:r>
      <w:proofErr w:type="spellStart"/>
      <w:r w:rsidRPr="00590C2E">
        <w:rPr>
          <w:rFonts w:ascii="Times New Roman" w:eastAsia="Arial Unicode MS" w:hAnsi="Times New Roman" w:cs="Times New Roman"/>
          <w:color w:val="000000"/>
          <w:lang w:val="uk-UA"/>
        </w:rPr>
        <w:t>власниками</w:t>
      </w:r>
      <w:proofErr w:type="spellEnd"/>
      <w:r w:rsidRPr="00590C2E">
        <w:rPr>
          <w:rFonts w:ascii="Times New Roman" w:eastAsia="Arial Unicode MS" w:hAnsi="Times New Roman" w:cs="Times New Roman"/>
          <w:color w:val="000000"/>
          <w:lang w:val="uk-UA"/>
        </w:rPr>
        <w:t xml:space="preserve"> </w:t>
      </w:r>
      <w:proofErr w:type="spellStart"/>
      <w:r w:rsidRPr="00590C2E">
        <w:rPr>
          <w:rFonts w:ascii="Times New Roman" w:eastAsia="Arial Unicode MS" w:hAnsi="Times New Roman" w:cs="Times New Roman"/>
          <w:color w:val="000000"/>
          <w:lang w:val="uk-UA"/>
        </w:rPr>
        <w:t>іменних</w:t>
      </w:r>
      <w:proofErr w:type="spellEnd"/>
      <w:r w:rsidRPr="00590C2E">
        <w:rPr>
          <w:rFonts w:ascii="Times New Roman" w:eastAsia="Arial Unicode MS" w:hAnsi="Times New Roman" w:cs="Times New Roman"/>
          <w:color w:val="000000"/>
          <w:lang w:val="uk-UA"/>
        </w:rPr>
        <w:t xml:space="preserve"> </w:t>
      </w:r>
      <w:proofErr w:type="spellStart"/>
      <w:r w:rsidRPr="00590C2E">
        <w:rPr>
          <w:rFonts w:ascii="Times New Roman" w:eastAsia="Arial Unicode MS" w:hAnsi="Times New Roman" w:cs="Times New Roman"/>
          <w:color w:val="000000"/>
          <w:lang w:val="uk-UA"/>
        </w:rPr>
        <w:t>цінних</w:t>
      </w:r>
      <w:proofErr w:type="spellEnd"/>
      <w:r w:rsidRPr="00590C2E">
        <w:rPr>
          <w:rFonts w:ascii="Times New Roman" w:eastAsia="Arial Unicode MS" w:hAnsi="Times New Roman" w:cs="Times New Roman"/>
          <w:color w:val="000000"/>
          <w:lang w:val="uk-UA"/>
        </w:rPr>
        <w:t xml:space="preserve"> </w:t>
      </w:r>
      <w:proofErr w:type="spellStart"/>
      <w:r w:rsidRPr="00590C2E">
        <w:rPr>
          <w:rFonts w:ascii="Times New Roman" w:eastAsia="Arial Unicode MS" w:hAnsi="Times New Roman" w:cs="Times New Roman"/>
          <w:color w:val="000000"/>
          <w:lang w:val="uk-UA"/>
        </w:rPr>
        <w:t>паперів</w:t>
      </w:r>
      <w:proofErr w:type="spellEnd"/>
      <w:r w:rsidRPr="00590C2E">
        <w:rPr>
          <w:rFonts w:ascii="Times New Roman" w:eastAsia="Arial Unicode MS" w:hAnsi="Times New Roman" w:cs="Times New Roman"/>
          <w:color w:val="000000"/>
          <w:lang w:val="uk-UA"/>
        </w:rPr>
        <w:t xml:space="preserve">, </w:t>
      </w:r>
      <w:proofErr w:type="spellStart"/>
      <w:r w:rsidRPr="00590C2E">
        <w:rPr>
          <w:rFonts w:ascii="Times New Roman" w:eastAsia="Arial Unicode MS" w:hAnsi="Times New Roman" w:cs="Times New Roman"/>
          <w:color w:val="000000"/>
          <w:lang w:val="uk-UA"/>
        </w:rPr>
        <w:t>що</w:t>
      </w:r>
      <w:proofErr w:type="spellEnd"/>
      <w:r w:rsidRPr="00590C2E">
        <w:rPr>
          <w:rFonts w:ascii="Times New Roman" w:eastAsia="Arial Unicode MS" w:hAnsi="Times New Roman" w:cs="Times New Roman"/>
          <w:color w:val="000000"/>
          <w:lang w:val="uk-UA"/>
        </w:rPr>
        <w:t xml:space="preserve"> </w:t>
      </w:r>
      <w:proofErr w:type="spellStart"/>
      <w:r w:rsidRPr="00590C2E">
        <w:rPr>
          <w:rFonts w:ascii="Times New Roman" w:eastAsia="Arial Unicode MS" w:hAnsi="Times New Roman" w:cs="Times New Roman"/>
          <w:color w:val="000000"/>
          <w:lang w:val="uk-UA"/>
        </w:rPr>
        <w:t>були</w:t>
      </w:r>
      <w:proofErr w:type="spellEnd"/>
      <w:r w:rsidRPr="00590C2E">
        <w:rPr>
          <w:rFonts w:ascii="Times New Roman" w:eastAsia="Arial Unicode MS" w:hAnsi="Times New Roman" w:cs="Times New Roman"/>
          <w:color w:val="000000"/>
          <w:lang w:val="uk-UA"/>
        </w:rPr>
        <w:t xml:space="preserve"> </w:t>
      </w:r>
      <w:proofErr w:type="spellStart"/>
      <w:r w:rsidRPr="00590C2E">
        <w:rPr>
          <w:rFonts w:ascii="Times New Roman" w:eastAsia="Arial Unicode MS" w:hAnsi="Times New Roman" w:cs="Times New Roman"/>
          <w:color w:val="000000"/>
          <w:lang w:val="uk-UA"/>
        </w:rPr>
        <w:t>переведені</w:t>
      </w:r>
      <w:proofErr w:type="spellEnd"/>
      <w:r w:rsidRPr="00590C2E">
        <w:rPr>
          <w:rFonts w:ascii="Times New Roman" w:eastAsia="Arial Unicode MS" w:hAnsi="Times New Roman" w:cs="Times New Roman"/>
          <w:color w:val="000000"/>
          <w:lang w:val="uk-UA"/>
        </w:rPr>
        <w:t xml:space="preserve"> у </w:t>
      </w:r>
      <w:proofErr w:type="spellStart"/>
      <w:r w:rsidRPr="00590C2E">
        <w:rPr>
          <w:rFonts w:ascii="Times New Roman" w:eastAsia="Arial Unicode MS" w:hAnsi="Times New Roman" w:cs="Times New Roman"/>
          <w:color w:val="000000"/>
          <w:lang w:val="uk-UA"/>
        </w:rPr>
        <w:t>бездокументарну</w:t>
      </w:r>
      <w:proofErr w:type="spellEnd"/>
      <w:r w:rsidRPr="00590C2E">
        <w:rPr>
          <w:rFonts w:ascii="Times New Roman" w:eastAsia="Arial Unicode MS" w:hAnsi="Times New Roman" w:cs="Times New Roman"/>
          <w:color w:val="000000"/>
          <w:lang w:val="uk-UA"/>
        </w:rPr>
        <w:t xml:space="preserve"> форму, </w:t>
      </w:r>
      <w:proofErr w:type="spellStart"/>
      <w:r w:rsidRPr="00590C2E">
        <w:rPr>
          <w:rFonts w:ascii="Times New Roman" w:eastAsia="Arial Unicode MS" w:hAnsi="Times New Roman" w:cs="Times New Roman"/>
          <w:color w:val="000000"/>
          <w:lang w:val="uk-UA"/>
        </w:rPr>
        <w:t>сумарна</w:t>
      </w:r>
      <w:proofErr w:type="spellEnd"/>
      <w:r w:rsidRPr="00590C2E">
        <w:rPr>
          <w:rFonts w:ascii="Times New Roman" w:eastAsia="Arial Unicode MS" w:hAnsi="Times New Roman" w:cs="Times New Roman"/>
          <w:color w:val="000000"/>
          <w:lang w:val="uk-UA"/>
        </w:rPr>
        <w:t xml:space="preserve"> </w:t>
      </w:r>
      <w:proofErr w:type="spellStart"/>
      <w:r w:rsidRPr="00590C2E">
        <w:rPr>
          <w:rFonts w:ascii="Times New Roman" w:eastAsia="Arial Unicode MS" w:hAnsi="Times New Roman" w:cs="Times New Roman"/>
          <w:color w:val="000000"/>
          <w:lang w:val="uk-UA"/>
        </w:rPr>
        <w:t>номінальна</w:t>
      </w:r>
      <w:proofErr w:type="spellEnd"/>
      <w:r w:rsidRPr="00590C2E">
        <w:rPr>
          <w:rFonts w:ascii="Times New Roman" w:eastAsia="Arial Unicode MS" w:hAnsi="Times New Roman" w:cs="Times New Roman"/>
          <w:color w:val="000000"/>
          <w:lang w:val="uk-UA"/>
        </w:rPr>
        <w:t xml:space="preserve"> </w:t>
      </w:r>
      <w:proofErr w:type="spellStart"/>
      <w:r w:rsidRPr="00590C2E">
        <w:rPr>
          <w:rFonts w:ascii="Times New Roman" w:eastAsia="Arial Unicode MS" w:hAnsi="Times New Roman" w:cs="Times New Roman"/>
          <w:color w:val="000000"/>
          <w:lang w:val="uk-UA"/>
        </w:rPr>
        <w:t>вартість</w:t>
      </w:r>
      <w:proofErr w:type="spellEnd"/>
      <w:r w:rsidRPr="00590C2E">
        <w:rPr>
          <w:rFonts w:ascii="Times New Roman" w:eastAsia="Arial Unicode MS" w:hAnsi="Times New Roman" w:cs="Times New Roman"/>
          <w:color w:val="000000"/>
          <w:lang w:val="uk-UA"/>
        </w:rPr>
        <w:t xml:space="preserve"> </w:t>
      </w:r>
      <w:proofErr w:type="spellStart"/>
      <w:r w:rsidRPr="00590C2E">
        <w:rPr>
          <w:rFonts w:ascii="Times New Roman" w:eastAsia="Arial Unicode MS" w:hAnsi="Times New Roman" w:cs="Times New Roman"/>
          <w:color w:val="000000"/>
          <w:lang w:val="uk-UA"/>
        </w:rPr>
        <w:t>яких</w:t>
      </w:r>
      <w:proofErr w:type="spellEnd"/>
      <w:r w:rsidRPr="00590C2E">
        <w:rPr>
          <w:rFonts w:ascii="Times New Roman" w:eastAsia="Arial Unicode MS" w:hAnsi="Times New Roman" w:cs="Times New Roman"/>
          <w:color w:val="000000"/>
          <w:lang w:val="uk-UA"/>
        </w:rPr>
        <w:t xml:space="preserve"> </w:t>
      </w:r>
      <w:proofErr w:type="spellStart"/>
      <w:r w:rsidRPr="00590C2E">
        <w:rPr>
          <w:rFonts w:ascii="Times New Roman" w:eastAsia="Arial Unicode MS" w:hAnsi="Times New Roman" w:cs="Times New Roman"/>
          <w:color w:val="000000"/>
          <w:lang w:val="uk-UA"/>
        </w:rPr>
        <w:t>перевищує</w:t>
      </w:r>
      <w:proofErr w:type="spellEnd"/>
      <w:r w:rsidRPr="00590C2E">
        <w:rPr>
          <w:rFonts w:ascii="Times New Roman" w:eastAsia="Arial Unicode MS" w:hAnsi="Times New Roman" w:cs="Times New Roman"/>
          <w:color w:val="000000"/>
          <w:lang w:val="uk-UA"/>
        </w:rPr>
        <w:t xml:space="preserve"> 50 </w:t>
      </w:r>
      <w:proofErr w:type="spellStart"/>
      <w:r w:rsidRPr="00590C2E">
        <w:rPr>
          <w:rFonts w:ascii="Times New Roman" w:eastAsia="Arial Unicode MS" w:hAnsi="Times New Roman" w:cs="Times New Roman"/>
          <w:color w:val="000000"/>
          <w:lang w:val="uk-UA"/>
        </w:rPr>
        <w:t>неоподатковуваних</w:t>
      </w:r>
      <w:proofErr w:type="spellEnd"/>
      <w:r w:rsidRPr="00590C2E">
        <w:rPr>
          <w:rFonts w:ascii="Times New Roman" w:eastAsia="Arial Unicode MS" w:hAnsi="Times New Roman" w:cs="Times New Roman"/>
          <w:color w:val="000000"/>
          <w:lang w:val="uk-UA"/>
        </w:rPr>
        <w:t xml:space="preserve"> </w:t>
      </w:r>
      <w:proofErr w:type="spellStart"/>
      <w:r w:rsidRPr="00590C2E">
        <w:rPr>
          <w:rFonts w:ascii="Times New Roman" w:eastAsia="Arial Unicode MS" w:hAnsi="Times New Roman" w:cs="Times New Roman"/>
          <w:color w:val="000000"/>
          <w:lang w:val="uk-UA"/>
        </w:rPr>
        <w:t>мінімумів</w:t>
      </w:r>
      <w:proofErr w:type="spellEnd"/>
      <w:r w:rsidRPr="00590C2E">
        <w:rPr>
          <w:rFonts w:ascii="Times New Roman" w:eastAsia="Arial Unicode MS" w:hAnsi="Times New Roman" w:cs="Times New Roman"/>
          <w:color w:val="000000"/>
          <w:lang w:val="uk-UA"/>
        </w:rPr>
        <w:t xml:space="preserve"> </w:t>
      </w:r>
      <w:proofErr w:type="spellStart"/>
      <w:r w:rsidRPr="00590C2E">
        <w:rPr>
          <w:rFonts w:ascii="Times New Roman" w:eastAsia="Arial Unicode MS" w:hAnsi="Times New Roman" w:cs="Times New Roman"/>
          <w:color w:val="000000"/>
          <w:lang w:val="uk-UA"/>
        </w:rPr>
        <w:t>доходів</w:t>
      </w:r>
      <w:proofErr w:type="spellEnd"/>
      <w:r w:rsidRPr="00590C2E">
        <w:rPr>
          <w:rFonts w:ascii="Times New Roman" w:eastAsia="Arial Unicode MS" w:hAnsi="Times New Roman" w:cs="Times New Roman"/>
          <w:color w:val="000000"/>
          <w:lang w:val="uk-UA"/>
        </w:rPr>
        <w:t xml:space="preserve"> </w:t>
      </w:r>
      <w:proofErr w:type="spellStart"/>
      <w:r w:rsidRPr="00590C2E">
        <w:rPr>
          <w:rFonts w:ascii="Times New Roman" w:eastAsia="Arial Unicode MS" w:hAnsi="Times New Roman" w:cs="Times New Roman"/>
          <w:color w:val="000000"/>
          <w:lang w:val="uk-UA"/>
        </w:rPr>
        <w:t>громадян</w:t>
      </w:r>
      <w:proofErr w:type="spellEnd"/>
      <w:r w:rsidRPr="00590C2E">
        <w:rPr>
          <w:rFonts w:ascii="Times New Roman" w:eastAsia="Arial Unicode MS" w:hAnsi="Times New Roman" w:cs="Times New Roman"/>
          <w:color w:val="000000"/>
          <w:lang w:val="uk-UA"/>
        </w:rPr>
        <w:t xml:space="preserve">, в </w:t>
      </w:r>
      <w:proofErr w:type="spellStart"/>
      <w:r w:rsidRPr="00590C2E">
        <w:rPr>
          <w:rFonts w:ascii="Times New Roman" w:eastAsia="Arial Unicode MS" w:hAnsi="Times New Roman" w:cs="Times New Roman"/>
          <w:color w:val="000000"/>
          <w:lang w:val="uk-UA"/>
        </w:rPr>
        <w:t>інших</w:t>
      </w:r>
      <w:proofErr w:type="spellEnd"/>
      <w:r w:rsidRPr="00590C2E">
        <w:rPr>
          <w:rFonts w:ascii="Times New Roman" w:eastAsia="Arial Unicode MS" w:hAnsi="Times New Roman" w:cs="Times New Roman"/>
          <w:color w:val="000000"/>
          <w:lang w:val="uk-UA"/>
        </w:rPr>
        <w:t xml:space="preserve"> </w:t>
      </w:r>
      <w:proofErr w:type="spellStart"/>
      <w:r w:rsidRPr="00590C2E">
        <w:rPr>
          <w:rFonts w:ascii="Times New Roman" w:eastAsia="Arial Unicode MS" w:hAnsi="Times New Roman" w:cs="Times New Roman"/>
          <w:color w:val="000000"/>
          <w:lang w:val="uk-UA"/>
        </w:rPr>
        <w:t>випадках</w:t>
      </w:r>
      <w:proofErr w:type="spellEnd"/>
      <w:r w:rsidRPr="00590C2E">
        <w:rPr>
          <w:rFonts w:ascii="Times New Roman" w:eastAsia="Arial Unicode MS" w:hAnsi="Times New Roman" w:cs="Times New Roman"/>
          <w:color w:val="000000"/>
          <w:lang w:val="uk-UA"/>
        </w:rPr>
        <w:t xml:space="preserve"> - за </w:t>
      </w:r>
      <w:proofErr w:type="spellStart"/>
      <w:r w:rsidRPr="00590C2E">
        <w:rPr>
          <w:rFonts w:ascii="Times New Roman" w:eastAsia="Arial Unicode MS" w:hAnsi="Times New Roman" w:cs="Times New Roman"/>
          <w:color w:val="000000"/>
          <w:lang w:val="uk-UA"/>
        </w:rPr>
        <w:t>згодою</w:t>
      </w:r>
      <w:proofErr w:type="spellEnd"/>
      <w:r w:rsidRPr="00590C2E">
        <w:rPr>
          <w:rFonts w:ascii="Times New Roman" w:eastAsia="Arial Unicode MS" w:hAnsi="Times New Roman" w:cs="Times New Roman"/>
          <w:color w:val="000000"/>
          <w:lang w:val="uk-UA"/>
        </w:rPr>
        <w:t xml:space="preserve"> </w:t>
      </w:r>
      <w:proofErr w:type="spellStart"/>
      <w:r w:rsidRPr="00590C2E">
        <w:rPr>
          <w:rFonts w:ascii="Times New Roman" w:eastAsia="Arial Unicode MS" w:hAnsi="Times New Roman" w:cs="Times New Roman"/>
          <w:color w:val="000000"/>
          <w:lang w:val="uk-UA"/>
        </w:rPr>
        <w:t>власника</w:t>
      </w:r>
      <w:proofErr w:type="spellEnd"/>
      <w:r w:rsidRPr="00590C2E">
        <w:rPr>
          <w:rFonts w:ascii="Times New Roman" w:eastAsia="Arial Unicode MS" w:hAnsi="Times New Roman" w:cs="Times New Roman"/>
          <w:color w:val="000000"/>
          <w:lang w:val="uk-UA"/>
        </w:rPr>
        <w:t>.</w:t>
      </w:r>
      <w:r w:rsidRPr="00590C2E">
        <w:rPr>
          <w:rFonts w:ascii="Times New Roman" w:eastAsia="Arial Unicode MS" w:hAnsi="Times New Roman" w:cs="Times New Roman"/>
          <w:color w:val="000000"/>
          <w:lang w:val="uk-UA"/>
        </w:rPr>
        <w:t xml:space="preserve"> </w:t>
      </w:r>
    </w:p>
    <w:p w14:paraId="581BD852" w14:textId="52A1CCBF" w:rsidR="000A5A99" w:rsidRPr="00590C2E" w:rsidRDefault="000A5A99" w:rsidP="00590C2E">
      <w:pPr>
        <w:pStyle w:val="HTML"/>
        <w:shd w:val="clear" w:color="auto" w:fill="FFFFFF"/>
        <w:rPr>
          <w:rFonts w:ascii="Times New Roman" w:eastAsia="Arial Unicode MS" w:hAnsi="Times New Roman" w:cs="Times New Roman"/>
          <w:color w:val="000000"/>
          <w:lang w:val="uk-UA"/>
        </w:rPr>
      </w:pPr>
    </w:p>
    <w:p w14:paraId="3F46B255" w14:textId="77777777" w:rsidR="000A5A99" w:rsidRPr="00E16672" w:rsidRDefault="000A5A99" w:rsidP="000A5A99">
      <w:pPr>
        <w:rPr>
          <w:rFonts w:ascii="Times New Roman" w:eastAsia="Arial Unicode MS" w:hAnsi="Times New Roman"/>
          <w:color w:val="000000"/>
          <w:szCs w:val="20"/>
          <w:lang w:val="uk-UA"/>
        </w:rPr>
      </w:pPr>
      <w:r w:rsidRPr="00E16672">
        <w:rPr>
          <w:rFonts w:ascii="Times New Roman" w:eastAsia="Arial Unicode MS" w:hAnsi="Times New Roman"/>
          <w:color w:val="000000"/>
          <w:szCs w:val="20"/>
          <w:lang w:val="uk-UA"/>
        </w:rPr>
        <w:t xml:space="preserve">2.1.6. </w:t>
      </w:r>
      <w:proofErr w:type="spellStart"/>
      <w:r w:rsidRPr="00E16672">
        <w:rPr>
          <w:rFonts w:ascii="Times New Roman" w:eastAsia="Arial Unicode MS" w:hAnsi="Times New Roman"/>
          <w:color w:val="000000"/>
          <w:szCs w:val="20"/>
        </w:rPr>
        <w:t>Здійснювати</w:t>
      </w:r>
      <w:proofErr w:type="spellEnd"/>
      <w:r w:rsidRPr="00E16672">
        <w:rPr>
          <w:rFonts w:ascii="Times New Roman" w:eastAsia="Arial Unicode MS" w:hAnsi="Times New Roman"/>
          <w:color w:val="000000"/>
          <w:szCs w:val="20"/>
        </w:rPr>
        <w:t xml:space="preserve"> </w:t>
      </w:r>
      <w:proofErr w:type="spellStart"/>
      <w:r w:rsidRPr="00E16672">
        <w:rPr>
          <w:rFonts w:ascii="Times New Roman" w:eastAsia="Arial Unicode MS" w:hAnsi="Times New Roman"/>
          <w:color w:val="000000"/>
          <w:szCs w:val="20"/>
        </w:rPr>
        <w:t>ведення</w:t>
      </w:r>
      <w:proofErr w:type="spellEnd"/>
      <w:r w:rsidRPr="00E16672">
        <w:rPr>
          <w:rFonts w:ascii="Times New Roman" w:eastAsia="Arial Unicode MS" w:hAnsi="Times New Roman"/>
          <w:color w:val="000000"/>
          <w:szCs w:val="20"/>
        </w:rPr>
        <w:t xml:space="preserve"> </w:t>
      </w:r>
      <w:proofErr w:type="spellStart"/>
      <w:r w:rsidRPr="00E16672">
        <w:rPr>
          <w:rFonts w:ascii="Times New Roman" w:eastAsia="Arial Unicode MS" w:hAnsi="Times New Roman"/>
          <w:color w:val="000000"/>
          <w:szCs w:val="20"/>
        </w:rPr>
        <w:t>рахунків</w:t>
      </w:r>
      <w:proofErr w:type="spellEnd"/>
      <w:r w:rsidRPr="00E16672">
        <w:rPr>
          <w:rFonts w:ascii="Times New Roman" w:eastAsia="Arial Unicode MS" w:hAnsi="Times New Roman"/>
          <w:color w:val="000000"/>
          <w:szCs w:val="20"/>
        </w:rPr>
        <w:t xml:space="preserve"> </w:t>
      </w:r>
      <w:r w:rsidR="00C22309" w:rsidRPr="00E16672">
        <w:rPr>
          <w:rFonts w:ascii="Times New Roman" w:eastAsia="Arial Unicode MS" w:hAnsi="Times New Roman"/>
          <w:color w:val="000000"/>
          <w:szCs w:val="20"/>
        </w:rPr>
        <w:t xml:space="preserve">в </w:t>
      </w:r>
      <w:proofErr w:type="spellStart"/>
      <w:r w:rsidR="00C22309" w:rsidRPr="00E16672">
        <w:rPr>
          <w:rFonts w:ascii="Times New Roman" w:eastAsia="Arial Unicode MS" w:hAnsi="Times New Roman"/>
          <w:color w:val="000000"/>
          <w:szCs w:val="20"/>
        </w:rPr>
        <w:t>цін</w:t>
      </w:r>
      <w:r w:rsidRPr="00E16672">
        <w:rPr>
          <w:rFonts w:ascii="Times New Roman" w:eastAsia="Arial Unicode MS" w:hAnsi="Times New Roman"/>
          <w:color w:val="000000"/>
          <w:szCs w:val="20"/>
        </w:rPr>
        <w:t>них</w:t>
      </w:r>
      <w:proofErr w:type="spellEnd"/>
      <w:r w:rsidRPr="00E16672">
        <w:rPr>
          <w:rFonts w:ascii="Times New Roman" w:eastAsia="Arial Unicode MS" w:hAnsi="Times New Roman"/>
          <w:color w:val="000000"/>
          <w:szCs w:val="20"/>
        </w:rPr>
        <w:t xml:space="preserve"> </w:t>
      </w:r>
      <w:proofErr w:type="spellStart"/>
      <w:r w:rsidRPr="00E16672">
        <w:rPr>
          <w:rFonts w:ascii="Times New Roman" w:eastAsia="Arial Unicode MS" w:hAnsi="Times New Roman"/>
          <w:color w:val="000000"/>
          <w:szCs w:val="20"/>
        </w:rPr>
        <w:t>паперах</w:t>
      </w:r>
      <w:proofErr w:type="spellEnd"/>
      <w:r w:rsidRPr="00E16672">
        <w:rPr>
          <w:rFonts w:ascii="Times New Roman" w:eastAsia="Arial Unicode MS" w:hAnsi="Times New Roman"/>
          <w:color w:val="000000"/>
          <w:szCs w:val="20"/>
        </w:rPr>
        <w:t xml:space="preserve">, </w:t>
      </w:r>
      <w:proofErr w:type="spellStart"/>
      <w:r w:rsidRPr="00E16672">
        <w:rPr>
          <w:rFonts w:ascii="Times New Roman" w:eastAsia="Arial Unicode MS" w:hAnsi="Times New Roman"/>
          <w:color w:val="000000"/>
          <w:szCs w:val="20"/>
        </w:rPr>
        <w:t>відкритих</w:t>
      </w:r>
      <w:proofErr w:type="spellEnd"/>
      <w:r w:rsidRPr="00E16672">
        <w:rPr>
          <w:rFonts w:ascii="Times New Roman" w:eastAsia="Arial Unicode MS" w:hAnsi="Times New Roman"/>
          <w:color w:val="000000"/>
          <w:szCs w:val="20"/>
        </w:rPr>
        <w:t xml:space="preserve"> </w:t>
      </w:r>
      <w:proofErr w:type="spellStart"/>
      <w:r w:rsidRPr="00E16672">
        <w:rPr>
          <w:rFonts w:ascii="Times New Roman" w:eastAsia="Arial Unicode MS" w:hAnsi="Times New Roman"/>
          <w:color w:val="000000"/>
          <w:szCs w:val="20"/>
        </w:rPr>
        <w:t>Власникам</w:t>
      </w:r>
      <w:proofErr w:type="spellEnd"/>
      <w:r w:rsidRPr="00E16672">
        <w:rPr>
          <w:rFonts w:ascii="Times New Roman" w:eastAsia="Arial Unicode MS" w:hAnsi="Times New Roman"/>
          <w:color w:val="000000"/>
          <w:szCs w:val="20"/>
        </w:rPr>
        <w:t xml:space="preserve">, шляхом </w:t>
      </w:r>
      <w:proofErr w:type="spellStart"/>
      <w:r w:rsidRPr="00E16672">
        <w:rPr>
          <w:rFonts w:ascii="Times New Roman" w:eastAsia="Arial Unicode MS" w:hAnsi="Times New Roman"/>
          <w:color w:val="000000"/>
          <w:szCs w:val="20"/>
        </w:rPr>
        <w:t>виконання</w:t>
      </w:r>
      <w:proofErr w:type="spellEnd"/>
      <w:r w:rsidRPr="00E16672">
        <w:rPr>
          <w:rFonts w:ascii="Times New Roman" w:eastAsia="Arial Unicode MS" w:hAnsi="Times New Roman"/>
          <w:color w:val="000000"/>
          <w:szCs w:val="20"/>
        </w:rPr>
        <w:t xml:space="preserve"> </w:t>
      </w:r>
      <w:proofErr w:type="spellStart"/>
      <w:r w:rsidRPr="00E16672">
        <w:rPr>
          <w:rFonts w:ascii="Times New Roman" w:eastAsia="Arial Unicode MS" w:hAnsi="Times New Roman"/>
          <w:color w:val="000000"/>
          <w:szCs w:val="20"/>
        </w:rPr>
        <w:t>депозитарних</w:t>
      </w:r>
      <w:proofErr w:type="spellEnd"/>
      <w:r w:rsidRPr="00E16672">
        <w:rPr>
          <w:rFonts w:ascii="Times New Roman" w:eastAsia="Arial Unicode MS" w:hAnsi="Times New Roman"/>
          <w:color w:val="000000"/>
          <w:szCs w:val="20"/>
        </w:rPr>
        <w:t xml:space="preserve"> </w:t>
      </w:r>
      <w:proofErr w:type="spellStart"/>
      <w:r w:rsidRPr="00E16672">
        <w:rPr>
          <w:rFonts w:ascii="Times New Roman" w:eastAsia="Arial Unicode MS" w:hAnsi="Times New Roman"/>
          <w:color w:val="000000"/>
          <w:szCs w:val="20"/>
        </w:rPr>
        <w:t>операцій</w:t>
      </w:r>
      <w:proofErr w:type="spellEnd"/>
      <w:r w:rsidRPr="00E16672">
        <w:rPr>
          <w:rFonts w:ascii="Times New Roman" w:eastAsia="Arial Unicode MS" w:hAnsi="Times New Roman"/>
          <w:color w:val="000000"/>
          <w:szCs w:val="20"/>
        </w:rPr>
        <w:t xml:space="preserve"> </w:t>
      </w:r>
      <w:proofErr w:type="spellStart"/>
      <w:r w:rsidRPr="00E16672">
        <w:rPr>
          <w:rFonts w:ascii="Times New Roman" w:eastAsia="Arial Unicode MS" w:hAnsi="Times New Roman"/>
          <w:color w:val="000000"/>
          <w:szCs w:val="20"/>
        </w:rPr>
        <w:t>згідно</w:t>
      </w:r>
      <w:proofErr w:type="spellEnd"/>
      <w:r w:rsidRPr="00E16672">
        <w:rPr>
          <w:rFonts w:ascii="Times New Roman" w:eastAsia="Arial Unicode MS" w:hAnsi="Times New Roman"/>
          <w:color w:val="000000"/>
          <w:szCs w:val="20"/>
        </w:rPr>
        <w:t xml:space="preserve"> </w:t>
      </w:r>
      <w:proofErr w:type="spellStart"/>
      <w:r w:rsidRPr="00E16672">
        <w:rPr>
          <w:rFonts w:ascii="Times New Roman" w:eastAsia="Arial Unicode MS" w:hAnsi="Times New Roman"/>
          <w:color w:val="000000"/>
          <w:szCs w:val="20"/>
        </w:rPr>
        <w:t>із</w:t>
      </w:r>
      <w:proofErr w:type="spellEnd"/>
      <w:r w:rsidRPr="00E16672">
        <w:rPr>
          <w:rFonts w:ascii="Times New Roman" w:eastAsia="Arial Unicode MS" w:hAnsi="Times New Roman"/>
          <w:color w:val="000000"/>
          <w:szCs w:val="20"/>
        </w:rPr>
        <w:t xml:space="preserve"> порядком та у </w:t>
      </w:r>
      <w:proofErr w:type="spellStart"/>
      <w:r w:rsidRPr="00E16672">
        <w:rPr>
          <w:rFonts w:ascii="Times New Roman" w:eastAsia="Arial Unicode MS" w:hAnsi="Times New Roman"/>
          <w:color w:val="000000"/>
          <w:szCs w:val="20"/>
        </w:rPr>
        <w:t>терміни</w:t>
      </w:r>
      <w:proofErr w:type="spellEnd"/>
      <w:r w:rsidRPr="00E16672">
        <w:rPr>
          <w:rFonts w:ascii="Times New Roman" w:eastAsia="Arial Unicode MS" w:hAnsi="Times New Roman"/>
          <w:color w:val="000000"/>
          <w:szCs w:val="20"/>
        </w:rPr>
        <w:t xml:space="preserve">, </w:t>
      </w:r>
      <w:proofErr w:type="spellStart"/>
      <w:r w:rsidRPr="00E16672">
        <w:rPr>
          <w:rFonts w:ascii="Times New Roman" w:eastAsia="Arial Unicode MS" w:hAnsi="Times New Roman"/>
          <w:color w:val="000000"/>
          <w:szCs w:val="20"/>
        </w:rPr>
        <w:t>визначені</w:t>
      </w:r>
      <w:proofErr w:type="spellEnd"/>
      <w:r w:rsidRPr="00E16672">
        <w:rPr>
          <w:rFonts w:ascii="Times New Roman" w:eastAsia="Arial Unicode MS" w:hAnsi="Times New Roman"/>
          <w:color w:val="000000"/>
          <w:szCs w:val="20"/>
        </w:rPr>
        <w:t xml:space="preserve"> </w:t>
      </w:r>
      <w:proofErr w:type="spellStart"/>
      <w:r w:rsidRPr="00E16672">
        <w:rPr>
          <w:rFonts w:ascii="Times New Roman" w:eastAsia="Arial Unicode MS" w:hAnsi="Times New Roman"/>
          <w:color w:val="000000"/>
          <w:szCs w:val="20"/>
        </w:rPr>
        <w:t>чинним</w:t>
      </w:r>
      <w:proofErr w:type="spellEnd"/>
      <w:r w:rsidRPr="00E16672">
        <w:rPr>
          <w:rFonts w:ascii="Times New Roman" w:eastAsia="Arial Unicode MS" w:hAnsi="Times New Roman"/>
          <w:color w:val="000000"/>
          <w:szCs w:val="20"/>
        </w:rPr>
        <w:t xml:space="preserve"> </w:t>
      </w:r>
      <w:proofErr w:type="spellStart"/>
      <w:r w:rsidRPr="00E16672">
        <w:rPr>
          <w:rFonts w:ascii="Times New Roman" w:eastAsia="Arial Unicode MS" w:hAnsi="Times New Roman"/>
          <w:color w:val="000000"/>
          <w:szCs w:val="20"/>
        </w:rPr>
        <w:t>законодавством</w:t>
      </w:r>
      <w:proofErr w:type="spellEnd"/>
      <w:r w:rsidRPr="00E16672">
        <w:rPr>
          <w:rFonts w:ascii="Times New Roman" w:eastAsia="Arial Unicode MS" w:hAnsi="Times New Roman"/>
          <w:color w:val="000000"/>
          <w:szCs w:val="20"/>
        </w:rPr>
        <w:t xml:space="preserve"> та </w:t>
      </w:r>
      <w:proofErr w:type="spellStart"/>
      <w:r w:rsidRPr="00E16672">
        <w:rPr>
          <w:rFonts w:ascii="Times New Roman" w:eastAsia="Arial Unicode MS" w:hAnsi="Times New Roman"/>
          <w:color w:val="000000"/>
          <w:szCs w:val="20"/>
        </w:rPr>
        <w:t>внутрішніми</w:t>
      </w:r>
      <w:proofErr w:type="spellEnd"/>
      <w:r w:rsidRPr="00E16672">
        <w:rPr>
          <w:rFonts w:ascii="Times New Roman" w:eastAsia="Arial Unicode MS" w:hAnsi="Times New Roman"/>
          <w:color w:val="000000"/>
          <w:szCs w:val="20"/>
        </w:rPr>
        <w:t xml:space="preserve"> документами </w:t>
      </w:r>
      <w:proofErr w:type="spellStart"/>
      <w:r w:rsidRPr="00E16672">
        <w:rPr>
          <w:rFonts w:ascii="Times New Roman" w:eastAsia="Arial Unicode MS" w:hAnsi="Times New Roman"/>
          <w:color w:val="000000"/>
          <w:szCs w:val="20"/>
        </w:rPr>
        <w:t>Депозитарної</w:t>
      </w:r>
      <w:proofErr w:type="spellEnd"/>
      <w:r w:rsidRPr="00E16672">
        <w:rPr>
          <w:rFonts w:ascii="Times New Roman" w:eastAsia="Arial Unicode MS" w:hAnsi="Times New Roman"/>
          <w:color w:val="000000"/>
          <w:szCs w:val="20"/>
        </w:rPr>
        <w:t xml:space="preserve"> установи; </w:t>
      </w:r>
    </w:p>
    <w:p w14:paraId="163439FA" w14:textId="77777777" w:rsidR="000A5A99" w:rsidRPr="00E16672" w:rsidRDefault="000A5A99" w:rsidP="000A5A99">
      <w:pPr>
        <w:rPr>
          <w:rFonts w:ascii="Times New Roman" w:eastAsia="Arial Unicode MS" w:hAnsi="Times New Roman"/>
          <w:color w:val="000000"/>
          <w:szCs w:val="20"/>
          <w:lang w:val="uk-UA"/>
        </w:rPr>
      </w:pPr>
      <w:r w:rsidRPr="00E16672">
        <w:rPr>
          <w:rFonts w:ascii="Times New Roman" w:eastAsia="Arial Unicode MS" w:hAnsi="Times New Roman"/>
          <w:color w:val="000000"/>
          <w:szCs w:val="20"/>
          <w:lang w:val="uk-UA"/>
        </w:rPr>
        <w:lastRenderedPageBreak/>
        <w:t>2.1.7. Не виконувати жодних дій та не надавати жодної інформації щодо цінних паперів, які належать Власникам, або інформації щодо самих Власників крім випадків, прямо передбачених законодавством України;</w:t>
      </w:r>
    </w:p>
    <w:p w14:paraId="6CA0F027" w14:textId="77777777" w:rsidR="000A5A99" w:rsidRPr="00E16672" w:rsidRDefault="000A5A99" w:rsidP="000A5A99">
      <w:pPr>
        <w:rPr>
          <w:rFonts w:ascii="Times New Roman" w:eastAsia="Arial Unicode MS" w:hAnsi="Times New Roman"/>
          <w:color w:val="000000"/>
          <w:szCs w:val="20"/>
        </w:rPr>
      </w:pPr>
      <w:r w:rsidRPr="00E16672">
        <w:rPr>
          <w:rFonts w:ascii="Times New Roman" w:eastAsia="Arial Unicode MS" w:hAnsi="Times New Roman"/>
          <w:color w:val="000000"/>
          <w:szCs w:val="20"/>
        </w:rPr>
        <w:t xml:space="preserve">2.1.8. </w:t>
      </w:r>
      <w:proofErr w:type="spellStart"/>
      <w:r w:rsidRPr="00E16672">
        <w:rPr>
          <w:rFonts w:ascii="Times New Roman" w:eastAsia="Arial Unicode MS" w:hAnsi="Times New Roman"/>
          <w:color w:val="000000"/>
          <w:szCs w:val="20"/>
        </w:rPr>
        <w:t>Укласти</w:t>
      </w:r>
      <w:proofErr w:type="spellEnd"/>
      <w:r w:rsidRPr="00E16672">
        <w:rPr>
          <w:rFonts w:ascii="Times New Roman" w:eastAsia="Arial Unicode MS" w:hAnsi="Times New Roman"/>
          <w:color w:val="000000"/>
          <w:szCs w:val="20"/>
        </w:rPr>
        <w:t xml:space="preserve"> договори про </w:t>
      </w:r>
      <w:proofErr w:type="spellStart"/>
      <w:r w:rsidRPr="00E16672">
        <w:rPr>
          <w:rFonts w:ascii="Times New Roman" w:eastAsia="Arial Unicode MS" w:hAnsi="Times New Roman"/>
          <w:color w:val="000000"/>
          <w:szCs w:val="20"/>
        </w:rPr>
        <w:t>обслуговування</w:t>
      </w:r>
      <w:proofErr w:type="spellEnd"/>
      <w:r w:rsidRPr="00E16672">
        <w:rPr>
          <w:rFonts w:ascii="Times New Roman" w:eastAsia="Arial Unicode MS" w:hAnsi="Times New Roman"/>
          <w:color w:val="000000"/>
          <w:szCs w:val="20"/>
        </w:rPr>
        <w:t xml:space="preserve"> </w:t>
      </w:r>
      <w:proofErr w:type="spellStart"/>
      <w:r w:rsidRPr="00E16672">
        <w:rPr>
          <w:rFonts w:ascii="Times New Roman" w:eastAsia="Arial Unicode MS" w:hAnsi="Times New Roman"/>
          <w:color w:val="000000"/>
          <w:szCs w:val="20"/>
        </w:rPr>
        <w:t>рахунку</w:t>
      </w:r>
      <w:proofErr w:type="spellEnd"/>
      <w:r w:rsidRPr="00E16672">
        <w:rPr>
          <w:rFonts w:ascii="Times New Roman" w:eastAsia="Arial Unicode MS" w:hAnsi="Times New Roman"/>
          <w:color w:val="000000"/>
          <w:szCs w:val="20"/>
        </w:rPr>
        <w:t xml:space="preserve"> </w:t>
      </w:r>
      <w:r w:rsidR="00C22309" w:rsidRPr="00E16672">
        <w:rPr>
          <w:rFonts w:ascii="Times New Roman" w:eastAsia="Arial Unicode MS" w:hAnsi="Times New Roman"/>
          <w:color w:val="000000"/>
          <w:szCs w:val="20"/>
        </w:rPr>
        <w:t xml:space="preserve">в </w:t>
      </w:r>
      <w:proofErr w:type="spellStart"/>
      <w:r w:rsidR="00C22309" w:rsidRPr="00E16672">
        <w:rPr>
          <w:rFonts w:ascii="Times New Roman" w:eastAsia="Arial Unicode MS" w:hAnsi="Times New Roman"/>
          <w:color w:val="000000"/>
          <w:szCs w:val="20"/>
        </w:rPr>
        <w:t>цін</w:t>
      </w:r>
      <w:r w:rsidRPr="00E16672">
        <w:rPr>
          <w:rFonts w:ascii="Times New Roman" w:eastAsia="Arial Unicode MS" w:hAnsi="Times New Roman"/>
          <w:color w:val="000000"/>
          <w:szCs w:val="20"/>
        </w:rPr>
        <w:t>них</w:t>
      </w:r>
      <w:proofErr w:type="spellEnd"/>
      <w:r w:rsidRPr="00E16672">
        <w:rPr>
          <w:rFonts w:ascii="Times New Roman" w:eastAsia="Arial Unicode MS" w:hAnsi="Times New Roman"/>
          <w:color w:val="000000"/>
          <w:szCs w:val="20"/>
        </w:rPr>
        <w:t xml:space="preserve"> </w:t>
      </w:r>
      <w:proofErr w:type="spellStart"/>
      <w:r w:rsidRPr="00E16672">
        <w:rPr>
          <w:rFonts w:ascii="Times New Roman" w:eastAsia="Arial Unicode MS" w:hAnsi="Times New Roman"/>
          <w:color w:val="000000"/>
          <w:szCs w:val="20"/>
        </w:rPr>
        <w:t>паперах</w:t>
      </w:r>
      <w:proofErr w:type="spellEnd"/>
      <w:r w:rsidRPr="00E16672">
        <w:rPr>
          <w:rFonts w:ascii="Times New Roman" w:eastAsia="Arial Unicode MS" w:hAnsi="Times New Roman"/>
          <w:color w:val="000000"/>
          <w:szCs w:val="20"/>
        </w:rPr>
        <w:t xml:space="preserve"> з </w:t>
      </w:r>
      <w:proofErr w:type="spellStart"/>
      <w:r w:rsidRPr="00E16672">
        <w:rPr>
          <w:rFonts w:ascii="Times New Roman" w:eastAsia="Arial Unicode MS" w:hAnsi="Times New Roman"/>
          <w:color w:val="000000"/>
          <w:szCs w:val="20"/>
        </w:rPr>
        <w:t>Власниками</w:t>
      </w:r>
      <w:proofErr w:type="spellEnd"/>
      <w:r w:rsidRPr="00E16672">
        <w:rPr>
          <w:rFonts w:ascii="Times New Roman" w:eastAsia="Arial Unicode MS" w:hAnsi="Times New Roman"/>
          <w:color w:val="000000"/>
          <w:szCs w:val="20"/>
        </w:rPr>
        <w:t xml:space="preserve"> у </w:t>
      </w:r>
      <w:proofErr w:type="spellStart"/>
      <w:r w:rsidRPr="00E16672">
        <w:rPr>
          <w:rFonts w:ascii="Times New Roman" w:eastAsia="Arial Unicode MS" w:hAnsi="Times New Roman"/>
          <w:color w:val="000000"/>
          <w:szCs w:val="20"/>
        </w:rPr>
        <w:t>разі</w:t>
      </w:r>
      <w:proofErr w:type="spellEnd"/>
      <w:r w:rsidRPr="00E16672">
        <w:rPr>
          <w:rFonts w:ascii="Times New Roman" w:eastAsia="Arial Unicode MS" w:hAnsi="Times New Roman"/>
          <w:color w:val="000000"/>
          <w:szCs w:val="20"/>
        </w:rPr>
        <w:t xml:space="preserve"> </w:t>
      </w:r>
      <w:proofErr w:type="spellStart"/>
      <w:r w:rsidRPr="00E16672">
        <w:rPr>
          <w:rFonts w:ascii="Times New Roman" w:eastAsia="Arial Unicode MS" w:hAnsi="Times New Roman"/>
          <w:color w:val="000000"/>
          <w:szCs w:val="20"/>
        </w:rPr>
        <w:t>їх</w:t>
      </w:r>
      <w:proofErr w:type="spellEnd"/>
      <w:r w:rsidRPr="00E16672">
        <w:rPr>
          <w:rFonts w:ascii="Times New Roman" w:eastAsia="Arial Unicode MS" w:hAnsi="Times New Roman"/>
          <w:color w:val="000000"/>
          <w:szCs w:val="20"/>
        </w:rPr>
        <w:t xml:space="preserve"> </w:t>
      </w:r>
      <w:proofErr w:type="spellStart"/>
      <w:r w:rsidRPr="00E16672">
        <w:rPr>
          <w:rFonts w:ascii="Times New Roman" w:eastAsia="Arial Unicode MS" w:hAnsi="Times New Roman"/>
          <w:color w:val="000000"/>
          <w:szCs w:val="20"/>
        </w:rPr>
        <w:t>особистого</w:t>
      </w:r>
      <w:proofErr w:type="spellEnd"/>
      <w:r w:rsidRPr="00E16672">
        <w:rPr>
          <w:rFonts w:ascii="Times New Roman" w:eastAsia="Arial Unicode MS" w:hAnsi="Times New Roman"/>
          <w:color w:val="000000"/>
          <w:szCs w:val="20"/>
        </w:rPr>
        <w:t xml:space="preserve"> </w:t>
      </w:r>
      <w:proofErr w:type="spellStart"/>
      <w:r w:rsidRPr="00E16672">
        <w:rPr>
          <w:rFonts w:ascii="Times New Roman" w:eastAsia="Arial Unicode MS" w:hAnsi="Times New Roman"/>
          <w:color w:val="000000"/>
          <w:szCs w:val="20"/>
        </w:rPr>
        <w:t>звернення</w:t>
      </w:r>
      <w:proofErr w:type="spellEnd"/>
      <w:r w:rsidRPr="00E16672">
        <w:rPr>
          <w:rFonts w:ascii="Times New Roman" w:eastAsia="Arial Unicode MS" w:hAnsi="Times New Roman"/>
          <w:color w:val="000000"/>
          <w:szCs w:val="20"/>
        </w:rPr>
        <w:t xml:space="preserve">. </w:t>
      </w:r>
    </w:p>
    <w:p w14:paraId="7529FB2E" w14:textId="77777777" w:rsidR="000A5A99" w:rsidRPr="00E16672" w:rsidRDefault="000A5A99" w:rsidP="000A5A99">
      <w:pPr>
        <w:tabs>
          <w:tab w:val="left" w:pos="0"/>
        </w:tabs>
        <w:rPr>
          <w:rFonts w:ascii="Times New Roman" w:eastAsia="Arial Unicode MS" w:hAnsi="Times New Roman"/>
          <w:color w:val="000000"/>
          <w:szCs w:val="20"/>
        </w:rPr>
      </w:pPr>
      <w:r w:rsidRPr="00E16672">
        <w:rPr>
          <w:rFonts w:ascii="Times New Roman" w:eastAsia="Arial Unicode MS" w:hAnsi="Times New Roman"/>
          <w:color w:val="000000"/>
          <w:szCs w:val="20"/>
        </w:rPr>
        <w:t xml:space="preserve">2.1.9. Не </w:t>
      </w:r>
      <w:proofErr w:type="spellStart"/>
      <w:r w:rsidRPr="00E16672">
        <w:rPr>
          <w:rFonts w:ascii="Times New Roman" w:eastAsia="Arial Unicode MS" w:hAnsi="Times New Roman"/>
          <w:color w:val="000000"/>
          <w:szCs w:val="20"/>
        </w:rPr>
        <w:t>здійснювати</w:t>
      </w:r>
      <w:proofErr w:type="spellEnd"/>
      <w:r w:rsidRPr="00E16672">
        <w:rPr>
          <w:rFonts w:ascii="Times New Roman" w:eastAsia="Arial Unicode MS" w:hAnsi="Times New Roman"/>
          <w:color w:val="000000"/>
          <w:szCs w:val="20"/>
        </w:rPr>
        <w:t xml:space="preserve"> </w:t>
      </w:r>
      <w:proofErr w:type="spellStart"/>
      <w:r w:rsidRPr="00E16672">
        <w:rPr>
          <w:rFonts w:ascii="Times New Roman" w:eastAsia="Arial Unicode MS" w:hAnsi="Times New Roman"/>
          <w:color w:val="000000"/>
          <w:szCs w:val="20"/>
        </w:rPr>
        <w:t>операції</w:t>
      </w:r>
      <w:proofErr w:type="spellEnd"/>
      <w:r w:rsidRPr="00E16672">
        <w:rPr>
          <w:rFonts w:ascii="Times New Roman" w:eastAsia="Arial Unicode MS" w:hAnsi="Times New Roman"/>
          <w:color w:val="000000"/>
          <w:szCs w:val="20"/>
        </w:rPr>
        <w:t xml:space="preserve"> з </w:t>
      </w:r>
      <w:proofErr w:type="spellStart"/>
      <w:r w:rsidRPr="00E16672">
        <w:rPr>
          <w:rFonts w:ascii="Times New Roman" w:eastAsia="Arial Unicode MS" w:hAnsi="Times New Roman"/>
          <w:color w:val="000000"/>
          <w:szCs w:val="20"/>
        </w:rPr>
        <w:t>цінними</w:t>
      </w:r>
      <w:proofErr w:type="spellEnd"/>
      <w:r w:rsidRPr="00E16672">
        <w:rPr>
          <w:rFonts w:ascii="Times New Roman" w:eastAsia="Arial Unicode MS" w:hAnsi="Times New Roman"/>
          <w:color w:val="000000"/>
          <w:szCs w:val="20"/>
        </w:rPr>
        <w:t xml:space="preserve"> </w:t>
      </w:r>
      <w:proofErr w:type="spellStart"/>
      <w:r w:rsidRPr="00E16672">
        <w:rPr>
          <w:rFonts w:ascii="Times New Roman" w:eastAsia="Arial Unicode MS" w:hAnsi="Times New Roman"/>
          <w:color w:val="000000"/>
          <w:szCs w:val="20"/>
        </w:rPr>
        <w:t>паперами</w:t>
      </w:r>
      <w:proofErr w:type="spellEnd"/>
      <w:r w:rsidRPr="00E16672">
        <w:rPr>
          <w:rFonts w:ascii="Times New Roman" w:eastAsia="Arial Unicode MS" w:hAnsi="Times New Roman"/>
          <w:color w:val="000000"/>
          <w:szCs w:val="20"/>
        </w:rPr>
        <w:t xml:space="preserve"> у </w:t>
      </w:r>
      <w:proofErr w:type="spellStart"/>
      <w:r w:rsidRPr="00E16672">
        <w:rPr>
          <w:rFonts w:ascii="Times New Roman" w:eastAsia="Arial Unicode MS" w:hAnsi="Times New Roman"/>
          <w:color w:val="000000"/>
          <w:szCs w:val="20"/>
        </w:rPr>
        <w:t>випадку</w:t>
      </w:r>
      <w:proofErr w:type="spellEnd"/>
      <w:r w:rsidRPr="00E16672">
        <w:rPr>
          <w:rFonts w:ascii="Times New Roman" w:eastAsia="Arial Unicode MS" w:hAnsi="Times New Roman"/>
          <w:color w:val="000000"/>
          <w:szCs w:val="20"/>
        </w:rPr>
        <w:t xml:space="preserve"> </w:t>
      </w:r>
      <w:proofErr w:type="spellStart"/>
      <w:r w:rsidRPr="00E16672">
        <w:rPr>
          <w:rFonts w:ascii="Times New Roman" w:eastAsia="Arial Unicode MS" w:hAnsi="Times New Roman"/>
          <w:color w:val="000000"/>
          <w:szCs w:val="20"/>
        </w:rPr>
        <w:t>виявлення</w:t>
      </w:r>
      <w:proofErr w:type="spellEnd"/>
      <w:r w:rsidRPr="00E16672">
        <w:rPr>
          <w:rFonts w:ascii="Times New Roman" w:eastAsia="Arial Unicode MS" w:hAnsi="Times New Roman"/>
          <w:color w:val="000000"/>
          <w:szCs w:val="20"/>
        </w:rPr>
        <w:t xml:space="preserve"> </w:t>
      </w:r>
      <w:proofErr w:type="spellStart"/>
      <w:r w:rsidRPr="00E16672">
        <w:rPr>
          <w:rFonts w:ascii="Times New Roman" w:eastAsia="Arial Unicode MS" w:hAnsi="Times New Roman"/>
          <w:color w:val="000000"/>
          <w:szCs w:val="20"/>
        </w:rPr>
        <w:t>порушень</w:t>
      </w:r>
      <w:proofErr w:type="spellEnd"/>
      <w:r w:rsidRPr="00E16672">
        <w:rPr>
          <w:rFonts w:ascii="Times New Roman" w:eastAsia="Arial Unicode MS" w:hAnsi="Times New Roman"/>
          <w:color w:val="000000"/>
          <w:szCs w:val="20"/>
        </w:rPr>
        <w:t xml:space="preserve"> </w:t>
      </w:r>
      <w:proofErr w:type="spellStart"/>
      <w:r w:rsidRPr="00E16672">
        <w:rPr>
          <w:rFonts w:ascii="Times New Roman" w:eastAsia="Arial Unicode MS" w:hAnsi="Times New Roman"/>
          <w:color w:val="000000"/>
          <w:szCs w:val="20"/>
        </w:rPr>
        <w:t>оформлення</w:t>
      </w:r>
      <w:proofErr w:type="spellEnd"/>
      <w:r w:rsidRPr="00E16672">
        <w:rPr>
          <w:rFonts w:ascii="Times New Roman" w:eastAsia="Arial Unicode MS" w:hAnsi="Times New Roman"/>
          <w:color w:val="000000"/>
          <w:szCs w:val="20"/>
        </w:rPr>
        <w:t xml:space="preserve"> </w:t>
      </w:r>
      <w:proofErr w:type="spellStart"/>
      <w:r w:rsidRPr="00E16672">
        <w:rPr>
          <w:rFonts w:ascii="Times New Roman" w:eastAsia="Arial Unicode MS" w:hAnsi="Times New Roman"/>
          <w:color w:val="000000"/>
          <w:szCs w:val="20"/>
        </w:rPr>
        <w:t>Емітентом</w:t>
      </w:r>
      <w:proofErr w:type="spellEnd"/>
      <w:r w:rsidRPr="00E16672">
        <w:rPr>
          <w:rFonts w:ascii="Times New Roman" w:eastAsia="Arial Unicode MS" w:hAnsi="Times New Roman"/>
          <w:color w:val="000000"/>
          <w:szCs w:val="20"/>
        </w:rPr>
        <w:t xml:space="preserve"> </w:t>
      </w:r>
      <w:proofErr w:type="spellStart"/>
      <w:r w:rsidRPr="00E16672">
        <w:rPr>
          <w:rFonts w:ascii="Times New Roman" w:eastAsia="Arial Unicode MS" w:hAnsi="Times New Roman"/>
          <w:color w:val="000000"/>
          <w:szCs w:val="20"/>
        </w:rPr>
        <w:t>розпоряджень</w:t>
      </w:r>
      <w:proofErr w:type="spellEnd"/>
      <w:r w:rsidRPr="00E16672">
        <w:rPr>
          <w:rFonts w:ascii="Times New Roman" w:eastAsia="Arial Unicode MS" w:hAnsi="Times New Roman"/>
          <w:color w:val="000000"/>
          <w:szCs w:val="20"/>
        </w:rPr>
        <w:t xml:space="preserve"> та </w:t>
      </w:r>
      <w:proofErr w:type="spellStart"/>
      <w:r w:rsidRPr="00E16672">
        <w:rPr>
          <w:rFonts w:ascii="Times New Roman" w:eastAsia="Arial Unicode MS" w:hAnsi="Times New Roman"/>
          <w:color w:val="000000"/>
          <w:szCs w:val="20"/>
        </w:rPr>
        <w:t>інших</w:t>
      </w:r>
      <w:proofErr w:type="spellEnd"/>
      <w:r w:rsidRPr="00E16672">
        <w:rPr>
          <w:rFonts w:ascii="Times New Roman" w:eastAsia="Arial Unicode MS" w:hAnsi="Times New Roman"/>
          <w:color w:val="000000"/>
          <w:szCs w:val="20"/>
        </w:rPr>
        <w:t xml:space="preserve"> </w:t>
      </w:r>
      <w:proofErr w:type="spellStart"/>
      <w:r w:rsidRPr="00E16672">
        <w:rPr>
          <w:rFonts w:ascii="Times New Roman" w:eastAsia="Arial Unicode MS" w:hAnsi="Times New Roman"/>
          <w:color w:val="000000"/>
          <w:szCs w:val="20"/>
        </w:rPr>
        <w:t>документів</w:t>
      </w:r>
      <w:proofErr w:type="spellEnd"/>
      <w:r w:rsidRPr="00E16672">
        <w:rPr>
          <w:rFonts w:ascii="Times New Roman" w:eastAsia="Arial Unicode MS" w:hAnsi="Times New Roman"/>
          <w:color w:val="000000"/>
          <w:szCs w:val="20"/>
        </w:rPr>
        <w:t xml:space="preserve">, </w:t>
      </w:r>
      <w:proofErr w:type="spellStart"/>
      <w:r w:rsidRPr="00E16672">
        <w:rPr>
          <w:rFonts w:ascii="Times New Roman" w:eastAsia="Arial Unicode MS" w:hAnsi="Times New Roman"/>
          <w:color w:val="000000"/>
          <w:szCs w:val="20"/>
        </w:rPr>
        <w:t>передбачених</w:t>
      </w:r>
      <w:proofErr w:type="spellEnd"/>
      <w:r w:rsidRPr="00E16672">
        <w:rPr>
          <w:rFonts w:ascii="Times New Roman" w:eastAsia="Arial Unicode MS" w:hAnsi="Times New Roman"/>
          <w:color w:val="000000"/>
          <w:szCs w:val="20"/>
        </w:rPr>
        <w:t xml:space="preserve"> </w:t>
      </w:r>
      <w:proofErr w:type="spellStart"/>
      <w:r w:rsidRPr="00E16672">
        <w:rPr>
          <w:rFonts w:ascii="Times New Roman" w:eastAsia="Arial Unicode MS" w:hAnsi="Times New Roman"/>
          <w:color w:val="000000"/>
          <w:szCs w:val="20"/>
        </w:rPr>
        <w:t>чинним</w:t>
      </w:r>
      <w:proofErr w:type="spellEnd"/>
      <w:r w:rsidRPr="00E16672">
        <w:rPr>
          <w:rFonts w:ascii="Times New Roman" w:eastAsia="Arial Unicode MS" w:hAnsi="Times New Roman"/>
          <w:color w:val="000000"/>
          <w:szCs w:val="20"/>
        </w:rPr>
        <w:t xml:space="preserve"> </w:t>
      </w:r>
      <w:proofErr w:type="spellStart"/>
      <w:r w:rsidRPr="00E16672">
        <w:rPr>
          <w:rFonts w:ascii="Times New Roman" w:eastAsia="Arial Unicode MS" w:hAnsi="Times New Roman"/>
          <w:color w:val="000000"/>
          <w:szCs w:val="20"/>
        </w:rPr>
        <w:t>законодавством</w:t>
      </w:r>
      <w:proofErr w:type="spellEnd"/>
      <w:r w:rsidRPr="00E16672">
        <w:rPr>
          <w:rFonts w:ascii="Times New Roman" w:eastAsia="Arial Unicode MS" w:hAnsi="Times New Roman"/>
          <w:color w:val="000000"/>
          <w:szCs w:val="20"/>
        </w:rPr>
        <w:t xml:space="preserve">, а </w:t>
      </w:r>
      <w:proofErr w:type="spellStart"/>
      <w:r w:rsidRPr="00E16672">
        <w:rPr>
          <w:rFonts w:ascii="Times New Roman" w:eastAsia="Arial Unicode MS" w:hAnsi="Times New Roman"/>
          <w:color w:val="000000"/>
          <w:szCs w:val="20"/>
        </w:rPr>
        <w:t>також</w:t>
      </w:r>
      <w:proofErr w:type="spellEnd"/>
      <w:r w:rsidRPr="00E16672">
        <w:rPr>
          <w:rFonts w:ascii="Times New Roman" w:eastAsia="Arial Unicode MS" w:hAnsi="Times New Roman"/>
          <w:color w:val="000000"/>
          <w:szCs w:val="20"/>
        </w:rPr>
        <w:t xml:space="preserve"> </w:t>
      </w:r>
      <w:proofErr w:type="spellStart"/>
      <w:r w:rsidRPr="00E16672">
        <w:rPr>
          <w:rFonts w:ascii="Times New Roman" w:eastAsia="Arial Unicode MS" w:hAnsi="Times New Roman"/>
          <w:color w:val="000000"/>
          <w:szCs w:val="20"/>
        </w:rPr>
        <w:t>наявності</w:t>
      </w:r>
      <w:proofErr w:type="spellEnd"/>
      <w:r w:rsidRPr="00E16672">
        <w:rPr>
          <w:rFonts w:ascii="Times New Roman" w:eastAsia="Arial Unicode MS" w:hAnsi="Times New Roman"/>
          <w:color w:val="000000"/>
          <w:szCs w:val="20"/>
        </w:rPr>
        <w:t xml:space="preserve"> </w:t>
      </w:r>
      <w:proofErr w:type="spellStart"/>
      <w:r w:rsidRPr="00E16672">
        <w:rPr>
          <w:rFonts w:ascii="Times New Roman" w:eastAsia="Arial Unicode MS" w:hAnsi="Times New Roman"/>
          <w:color w:val="000000"/>
          <w:szCs w:val="20"/>
        </w:rPr>
        <w:t>заборгованості</w:t>
      </w:r>
      <w:proofErr w:type="spellEnd"/>
      <w:r w:rsidRPr="00E16672">
        <w:rPr>
          <w:rFonts w:ascii="Times New Roman" w:eastAsia="Arial Unicode MS" w:hAnsi="Times New Roman"/>
          <w:color w:val="000000"/>
          <w:szCs w:val="20"/>
        </w:rPr>
        <w:t xml:space="preserve"> </w:t>
      </w:r>
      <w:proofErr w:type="spellStart"/>
      <w:r w:rsidRPr="00E16672">
        <w:rPr>
          <w:rFonts w:ascii="Times New Roman" w:eastAsia="Arial Unicode MS" w:hAnsi="Times New Roman"/>
          <w:color w:val="000000"/>
          <w:szCs w:val="20"/>
        </w:rPr>
        <w:t>Емітента</w:t>
      </w:r>
      <w:proofErr w:type="spellEnd"/>
      <w:r w:rsidRPr="00E16672">
        <w:rPr>
          <w:rFonts w:ascii="Times New Roman" w:eastAsia="Arial Unicode MS" w:hAnsi="Times New Roman"/>
          <w:color w:val="000000"/>
          <w:szCs w:val="20"/>
        </w:rPr>
        <w:t xml:space="preserve"> перед Депозитарною </w:t>
      </w:r>
      <w:proofErr w:type="spellStart"/>
      <w:r w:rsidRPr="00E16672">
        <w:rPr>
          <w:rFonts w:ascii="Times New Roman" w:eastAsia="Arial Unicode MS" w:hAnsi="Times New Roman"/>
          <w:color w:val="000000"/>
          <w:szCs w:val="20"/>
        </w:rPr>
        <w:t>установою</w:t>
      </w:r>
      <w:proofErr w:type="spellEnd"/>
      <w:r w:rsidRPr="00E16672">
        <w:rPr>
          <w:rFonts w:ascii="Times New Roman" w:eastAsia="Arial Unicode MS" w:hAnsi="Times New Roman"/>
          <w:color w:val="000000"/>
          <w:szCs w:val="20"/>
        </w:rPr>
        <w:t>.</w:t>
      </w:r>
    </w:p>
    <w:p w14:paraId="66960D05" w14:textId="77777777" w:rsidR="000A5A99" w:rsidRPr="00E16672" w:rsidRDefault="000A5A99" w:rsidP="000A5A99">
      <w:pPr>
        <w:tabs>
          <w:tab w:val="left" w:pos="0"/>
        </w:tabs>
        <w:rPr>
          <w:rFonts w:ascii="Times New Roman" w:eastAsia="Arial Unicode MS" w:hAnsi="Times New Roman"/>
          <w:color w:val="000000"/>
          <w:szCs w:val="20"/>
        </w:rPr>
      </w:pPr>
      <w:r w:rsidRPr="00E16672">
        <w:rPr>
          <w:rFonts w:ascii="Times New Roman" w:eastAsia="Arial Unicode MS" w:hAnsi="Times New Roman"/>
          <w:color w:val="000000"/>
          <w:szCs w:val="20"/>
        </w:rPr>
        <w:t xml:space="preserve">2.1.10. </w:t>
      </w:r>
      <w:proofErr w:type="spellStart"/>
      <w:r w:rsidRPr="00E16672">
        <w:rPr>
          <w:rFonts w:ascii="Times New Roman" w:eastAsia="Arial Unicode MS" w:hAnsi="Times New Roman"/>
          <w:color w:val="000000"/>
          <w:szCs w:val="20"/>
        </w:rPr>
        <w:t>Здійснювати</w:t>
      </w:r>
      <w:proofErr w:type="spellEnd"/>
      <w:r w:rsidRPr="00E16672">
        <w:rPr>
          <w:rFonts w:ascii="Times New Roman" w:eastAsia="Arial Unicode MS" w:hAnsi="Times New Roman"/>
          <w:color w:val="000000"/>
          <w:szCs w:val="20"/>
        </w:rPr>
        <w:t xml:space="preserve"> </w:t>
      </w:r>
      <w:proofErr w:type="spellStart"/>
      <w:r w:rsidRPr="00E16672">
        <w:rPr>
          <w:rFonts w:ascii="Times New Roman" w:eastAsia="Arial Unicode MS" w:hAnsi="Times New Roman"/>
          <w:color w:val="000000"/>
          <w:szCs w:val="20"/>
        </w:rPr>
        <w:t>депозитарні</w:t>
      </w:r>
      <w:proofErr w:type="spellEnd"/>
      <w:r w:rsidRPr="00E16672">
        <w:rPr>
          <w:rFonts w:ascii="Times New Roman" w:eastAsia="Arial Unicode MS" w:hAnsi="Times New Roman"/>
          <w:color w:val="000000"/>
          <w:szCs w:val="20"/>
        </w:rPr>
        <w:t xml:space="preserve"> </w:t>
      </w:r>
      <w:proofErr w:type="spellStart"/>
      <w:r w:rsidRPr="00E16672">
        <w:rPr>
          <w:rFonts w:ascii="Times New Roman" w:eastAsia="Arial Unicode MS" w:hAnsi="Times New Roman"/>
          <w:color w:val="000000"/>
          <w:szCs w:val="20"/>
        </w:rPr>
        <w:t>послуги</w:t>
      </w:r>
      <w:proofErr w:type="spellEnd"/>
      <w:r w:rsidRPr="00E16672">
        <w:rPr>
          <w:rFonts w:ascii="Times New Roman" w:eastAsia="Arial Unicode MS" w:hAnsi="Times New Roman"/>
          <w:color w:val="000000"/>
          <w:szCs w:val="20"/>
        </w:rPr>
        <w:t xml:space="preserve"> </w:t>
      </w:r>
      <w:proofErr w:type="spellStart"/>
      <w:r w:rsidRPr="00E16672">
        <w:rPr>
          <w:rFonts w:ascii="Times New Roman" w:eastAsia="Arial Unicode MS" w:hAnsi="Times New Roman"/>
          <w:color w:val="000000"/>
          <w:szCs w:val="20"/>
        </w:rPr>
        <w:t>щодо</w:t>
      </w:r>
      <w:proofErr w:type="spellEnd"/>
      <w:r w:rsidRPr="00E16672">
        <w:rPr>
          <w:rFonts w:ascii="Times New Roman" w:eastAsia="Arial Unicode MS" w:hAnsi="Times New Roman"/>
          <w:color w:val="000000"/>
          <w:szCs w:val="20"/>
        </w:rPr>
        <w:t xml:space="preserve"> </w:t>
      </w:r>
      <w:proofErr w:type="spellStart"/>
      <w:r w:rsidRPr="00E16672">
        <w:rPr>
          <w:rFonts w:ascii="Times New Roman" w:eastAsia="Arial Unicode MS" w:hAnsi="Times New Roman"/>
          <w:color w:val="000000"/>
          <w:szCs w:val="20"/>
        </w:rPr>
        <w:t>обслуговування</w:t>
      </w:r>
      <w:proofErr w:type="spellEnd"/>
      <w:r w:rsidRPr="00E16672">
        <w:rPr>
          <w:rFonts w:ascii="Times New Roman" w:eastAsia="Arial Unicode MS" w:hAnsi="Times New Roman"/>
          <w:color w:val="000000"/>
          <w:szCs w:val="20"/>
        </w:rPr>
        <w:t xml:space="preserve"> </w:t>
      </w:r>
      <w:proofErr w:type="spellStart"/>
      <w:r w:rsidRPr="00E16672">
        <w:rPr>
          <w:rFonts w:ascii="Times New Roman" w:eastAsia="Arial Unicode MS" w:hAnsi="Times New Roman"/>
          <w:color w:val="000000"/>
          <w:szCs w:val="20"/>
        </w:rPr>
        <w:t>рахунку</w:t>
      </w:r>
      <w:proofErr w:type="spellEnd"/>
      <w:r w:rsidRPr="00E16672">
        <w:rPr>
          <w:rFonts w:ascii="Times New Roman" w:eastAsia="Arial Unicode MS" w:hAnsi="Times New Roman"/>
          <w:color w:val="000000"/>
          <w:szCs w:val="20"/>
        </w:rPr>
        <w:t xml:space="preserve"> </w:t>
      </w:r>
      <w:r w:rsidR="00C22309" w:rsidRPr="00E16672">
        <w:rPr>
          <w:rFonts w:ascii="Times New Roman" w:eastAsia="Arial Unicode MS" w:hAnsi="Times New Roman"/>
          <w:color w:val="000000"/>
          <w:szCs w:val="20"/>
        </w:rPr>
        <w:t xml:space="preserve">в </w:t>
      </w:r>
      <w:proofErr w:type="spellStart"/>
      <w:r w:rsidR="00C22309" w:rsidRPr="00E16672">
        <w:rPr>
          <w:rFonts w:ascii="Times New Roman" w:eastAsia="Arial Unicode MS" w:hAnsi="Times New Roman"/>
          <w:color w:val="000000"/>
          <w:szCs w:val="20"/>
        </w:rPr>
        <w:t>цін</w:t>
      </w:r>
      <w:r w:rsidRPr="00E16672">
        <w:rPr>
          <w:rFonts w:ascii="Times New Roman" w:eastAsia="Arial Unicode MS" w:hAnsi="Times New Roman"/>
          <w:color w:val="000000"/>
          <w:szCs w:val="20"/>
        </w:rPr>
        <w:t>них</w:t>
      </w:r>
      <w:proofErr w:type="spellEnd"/>
      <w:r w:rsidRPr="00E16672">
        <w:rPr>
          <w:rFonts w:ascii="Times New Roman" w:eastAsia="Arial Unicode MS" w:hAnsi="Times New Roman"/>
          <w:color w:val="000000"/>
          <w:szCs w:val="20"/>
        </w:rPr>
        <w:t xml:space="preserve"> </w:t>
      </w:r>
      <w:proofErr w:type="spellStart"/>
      <w:r w:rsidRPr="00E16672">
        <w:rPr>
          <w:rFonts w:ascii="Times New Roman" w:eastAsia="Arial Unicode MS" w:hAnsi="Times New Roman"/>
          <w:color w:val="000000"/>
          <w:szCs w:val="20"/>
        </w:rPr>
        <w:t>паперах</w:t>
      </w:r>
      <w:proofErr w:type="spellEnd"/>
      <w:r w:rsidRPr="00E16672">
        <w:rPr>
          <w:rFonts w:ascii="Times New Roman" w:eastAsia="Arial Unicode MS" w:hAnsi="Times New Roman"/>
          <w:color w:val="000000"/>
          <w:szCs w:val="20"/>
        </w:rPr>
        <w:t xml:space="preserve"> </w:t>
      </w:r>
      <w:proofErr w:type="spellStart"/>
      <w:r w:rsidRPr="00E16672">
        <w:rPr>
          <w:rFonts w:ascii="Times New Roman" w:eastAsia="Arial Unicode MS" w:hAnsi="Times New Roman"/>
          <w:color w:val="000000"/>
          <w:szCs w:val="20"/>
        </w:rPr>
        <w:t>Власника</w:t>
      </w:r>
      <w:proofErr w:type="spellEnd"/>
      <w:r w:rsidRPr="00E16672">
        <w:rPr>
          <w:rFonts w:ascii="Times New Roman" w:eastAsia="Arial Unicode MS" w:hAnsi="Times New Roman"/>
          <w:color w:val="000000"/>
          <w:szCs w:val="20"/>
        </w:rPr>
        <w:t xml:space="preserve">, </w:t>
      </w:r>
      <w:proofErr w:type="spellStart"/>
      <w:r w:rsidRPr="00E16672">
        <w:rPr>
          <w:rFonts w:ascii="Times New Roman" w:eastAsia="Arial Unicode MS" w:hAnsi="Times New Roman"/>
          <w:color w:val="000000"/>
          <w:szCs w:val="20"/>
        </w:rPr>
        <w:t>що</w:t>
      </w:r>
      <w:proofErr w:type="spellEnd"/>
      <w:r w:rsidRPr="00E16672">
        <w:rPr>
          <w:rFonts w:ascii="Times New Roman" w:eastAsia="Arial Unicode MS" w:hAnsi="Times New Roman"/>
          <w:color w:val="000000"/>
          <w:szCs w:val="20"/>
        </w:rPr>
        <w:t xml:space="preserve"> не </w:t>
      </w:r>
      <w:proofErr w:type="spellStart"/>
      <w:r w:rsidRPr="00E16672">
        <w:rPr>
          <w:rFonts w:ascii="Times New Roman" w:eastAsia="Arial Unicode MS" w:hAnsi="Times New Roman"/>
          <w:color w:val="000000"/>
          <w:szCs w:val="20"/>
        </w:rPr>
        <w:t>зазначені</w:t>
      </w:r>
      <w:proofErr w:type="spellEnd"/>
      <w:r w:rsidRPr="00E16672">
        <w:rPr>
          <w:rFonts w:ascii="Times New Roman" w:eastAsia="Arial Unicode MS" w:hAnsi="Times New Roman"/>
          <w:color w:val="000000"/>
          <w:szCs w:val="20"/>
        </w:rPr>
        <w:t xml:space="preserve"> в п. 2.1.4 </w:t>
      </w:r>
      <w:proofErr w:type="spellStart"/>
      <w:r w:rsidRPr="00E16672">
        <w:rPr>
          <w:rFonts w:ascii="Times New Roman" w:eastAsia="Arial Unicode MS" w:hAnsi="Times New Roman"/>
          <w:color w:val="000000"/>
          <w:szCs w:val="20"/>
        </w:rPr>
        <w:t>цього</w:t>
      </w:r>
      <w:proofErr w:type="spellEnd"/>
      <w:r w:rsidRPr="00E16672">
        <w:rPr>
          <w:rFonts w:ascii="Times New Roman" w:eastAsia="Arial Unicode MS" w:hAnsi="Times New Roman"/>
          <w:color w:val="000000"/>
          <w:szCs w:val="20"/>
        </w:rPr>
        <w:t xml:space="preserve"> Договору, </w:t>
      </w:r>
      <w:proofErr w:type="spellStart"/>
      <w:r w:rsidRPr="00E16672">
        <w:rPr>
          <w:rFonts w:ascii="Times New Roman" w:eastAsia="Arial Unicode MS" w:hAnsi="Times New Roman"/>
          <w:color w:val="000000"/>
          <w:szCs w:val="20"/>
        </w:rPr>
        <w:t>тільки</w:t>
      </w:r>
      <w:proofErr w:type="spellEnd"/>
      <w:r w:rsidRPr="00E16672">
        <w:rPr>
          <w:rFonts w:ascii="Times New Roman" w:eastAsia="Arial Unicode MS" w:hAnsi="Times New Roman"/>
          <w:color w:val="000000"/>
          <w:szCs w:val="20"/>
        </w:rPr>
        <w:t xml:space="preserve"> </w:t>
      </w:r>
      <w:proofErr w:type="spellStart"/>
      <w:r w:rsidRPr="00E16672">
        <w:rPr>
          <w:rFonts w:ascii="Times New Roman" w:eastAsia="Arial Unicode MS" w:hAnsi="Times New Roman"/>
          <w:color w:val="000000"/>
          <w:szCs w:val="20"/>
        </w:rPr>
        <w:t>після</w:t>
      </w:r>
      <w:proofErr w:type="spellEnd"/>
      <w:r w:rsidRPr="00E16672">
        <w:rPr>
          <w:rFonts w:ascii="Times New Roman" w:eastAsia="Arial Unicode MS" w:hAnsi="Times New Roman"/>
          <w:color w:val="000000"/>
          <w:szCs w:val="20"/>
        </w:rPr>
        <w:t xml:space="preserve"> </w:t>
      </w:r>
      <w:proofErr w:type="spellStart"/>
      <w:r w:rsidRPr="00E16672">
        <w:rPr>
          <w:rFonts w:ascii="Times New Roman" w:eastAsia="Arial Unicode MS" w:hAnsi="Times New Roman"/>
          <w:color w:val="000000"/>
          <w:szCs w:val="20"/>
        </w:rPr>
        <w:t>укладення</w:t>
      </w:r>
      <w:proofErr w:type="spellEnd"/>
      <w:r w:rsidRPr="00E16672">
        <w:rPr>
          <w:rFonts w:ascii="Times New Roman" w:eastAsia="Arial Unicode MS" w:hAnsi="Times New Roman"/>
          <w:color w:val="000000"/>
          <w:szCs w:val="20"/>
        </w:rPr>
        <w:t xml:space="preserve"> </w:t>
      </w:r>
      <w:proofErr w:type="spellStart"/>
      <w:r w:rsidRPr="00E16672">
        <w:rPr>
          <w:rFonts w:ascii="Times New Roman" w:eastAsia="Arial Unicode MS" w:hAnsi="Times New Roman"/>
          <w:color w:val="000000"/>
          <w:szCs w:val="20"/>
        </w:rPr>
        <w:t>Власником</w:t>
      </w:r>
      <w:proofErr w:type="spellEnd"/>
      <w:r w:rsidRPr="00E16672">
        <w:rPr>
          <w:rFonts w:ascii="Times New Roman" w:eastAsia="Arial Unicode MS" w:hAnsi="Times New Roman"/>
          <w:color w:val="000000"/>
          <w:szCs w:val="20"/>
        </w:rPr>
        <w:t xml:space="preserve"> </w:t>
      </w:r>
      <w:proofErr w:type="spellStart"/>
      <w:r w:rsidRPr="00E16672">
        <w:rPr>
          <w:rFonts w:ascii="Times New Roman" w:eastAsia="Arial Unicode MS" w:hAnsi="Times New Roman"/>
          <w:color w:val="000000"/>
          <w:szCs w:val="20"/>
        </w:rPr>
        <w:t>із</w:t>
      </w:r>
      <w:proofErr w:type="spellEnd"/>
      <w:r w:rsidRPr="00E16672">
        <w:rPr>
          <w:rFonts w:ascii="Times New Roman" w:eastAsia="Arial Unicode MS" w:hAnsi="Times New Roman"/>
          <w:color w:val="000000"/>
          <w:szCs w:val="20"/>
        </w:rPr>
        <w:t xml:space="preserve"> Депозитарною </w:t>
      </w:r>
      <w:proofErr w:type="spellStart"/>
      <w:r w:rsidRPr="00E16672">
        <w:rPr>
          <w:rFonts w:ascii="Times New Roman" w:eastAsia="Arial Unicode MS" w:hAnsi="Times New Roman"/>
          <w:color w:val="000000"/>
          <w:szCs w:val="20"/>
        </w:rPr>
        <w:t>установою</w:t>
      </w:r>
      <w:proofErr w:type="spellEnd"/>
      <w:r w:rsidRPr="00E16672">
        <w:rPr>
          <w:rFonts w:ascii="Times New Roman" w:eastAsia="Arial Unicode MS" w:hAnsi="Times New Roman"/>
          <w:color w:val="000000"/>
          <w:szCs w:val="20"/>
        </w:rPr>
        <w:t xml:space="preserve"> договору про </w:t>
      </w:r>
      <w:proofErr w:type="spellStart"/>
      <w:r w:rsidRPr="00E16672">
        <w:rPr>
          <w:rFonts w:ascii="Times New Roman" w:eastAsia="Arial Unicode MS" w:hAnsi="Times New Roman"/>
          <w:color w:val="000000"/>
          <w:szCs w:val="20"/>
        </w:rPr>
        <w:t>обслуговування</w:t>
      </w:r>
      <w:proofErr w:type="spellEnd"/>
      <w:r w:rsidRPr="00E16672">
        <w:rPr>
          <w:rFonts w:ascii="Times New Roman" w:eastAsia="Arial Unicode MS" w:hAnsi="Times New Roman"/>
          <w:color w:val="000000"/>
          <w:szCs w:val="20"/>
        </w:rPr>
        <w:t xml:space="preserve"> </w:t>
      </w:r>
      <w:proofErr w:type="spellStart"/>
      <w:r w:rsidRPr="00E16672">
        <w:rPr>
          <w:rFonts w:ascii="Times New Roman" w:eastAsia="Arial Unicode MS" w:hAnsi="Times New Roman"/>
          <w:color w:val="000000"/>
          <w:szCs w:val="20"/>
        </w:rPr>
        <w:t>рахунку</w:t>
      </w:r>
      <w:proofErr w:type="spellEnd"/>
      <w:r w:rsidRPr="00E16672">
        <w:rPr>
          <w:rFonts w:ascii="Times New Roman" w:eastAsia="Arial Unicode MS" w:hAnsi="Times New Roman"/>
          <w:color w:val="000000"/>
          <w:szCs w:val="20"/>
        </w:rPr>
        <w:t xml:space="preserve"> в </w:t>
      </w:r>
      <w:proofErr w:type="spellStart"/>
      <w:r w:rsidRPr="00E16672">
        <w:rPr>
          <w:rFonts w:ascii="Times New Roman" w:eastAsia="Arial Unicode MS" w:hAnsi="Times New Roman"/>
          <w:color w:val="000000"/>
          <w:szCs w:val="20"/>
        </w:rPr>
        <w:t>цінних</w:t>
      </w:r>
      <w:proofErr w:type="spellEnd"/>
      <w:r w:rsidRPr="00E16672">
        <w:rPr>
          <w:rFonts w:ascii="Times New Roman" w:eastAsia="Arial Unicode MS" w:hAnsi="Times New Roman"/>
          <w:color w:val="000000"/>
          <w:szCs w:val="20"/>
        </w:rPr>
        <w:t xml:space="preserve"> </w:t>
      </w:r>
      <w:proofErr w:type="spellStart"/>
      <w:r w:rsidRPr="00E16672">
        <w:rPr>
          <w:rFonts w:ascii="Times New Roman" w:eastAsia="Arial Unicode MS" w:hAnsi="Times New Roman"/>
          <w:color w:val="000000"/>
          <w:szCs w:val="20"/>
        </w:rPr>
        <w:t>паперах</w:t>
      </w:r>
      <w:proofErr w:type="spellEnd"/>
      <w:r w:rsidRPr="00E16672">
        <w:rPr>
          <w:rFonts w:ascii="Times New Roman" w:eastAsia="Arial Unicode MS" w:hAnsi="Times New Roman"/>
          <w:color w:val="000000"/>
          <w:szCs w:val="20"/>
        </w:rPr>
        <w:t xml:space="preserve"> та </w:t>
      </w:r>
      <w:proofErr w:type="spellStart"/>
      <w:r w:rsidRPr="00E16672">
        <w:rPr>
          <w:rFonts w:ascii="Times New Roman" w:eastAsia="Arial Unicode MS" w:hAnsi="Times New Roman"/>
          <w:color w:val="000000"/>
          <w:szCs w:val="20"/>
        </w:rPr>
        <w:t>надання</w:t>
      </w:r>
      <w:proofErr w:type="spellEnd"/>
      <w:r w:rsidRPr="00E16672">
        <w:rPr>
          <w:rFonts w:ascii="Times New Roman" w:eastAsia="Arial Unicode MS" w:hAnsi="Times New Roman"/>
          <w:color w:val="000000"/>
          <w:szCs w:val="20"/>
        </w:rPr>
        <w:t xml:space="preserve"> </w:t>
      </w:r>
      <w:proofErr w:type="spellStart"/>
      <w:r w:rsidRPr="00E16672">
        <w:rPr>
          <w:rFonts w:ascii="Times New Roman" w:eastAsia="Arial Unicode MS" w:hAnsi="Times New Roman"/>
          <w:color w:val="000000"/>
          <w:szCs w:val="20"/>
        </w:rPr>
        <w:t>Депозитарній</w:t>
      </w:r>
      <w:proofErr w:type="spellEnd"/>
      <w:r w:rsidRPr="00E16672">
        <w:rPr>
          <w:rFonts w:ascii="Times New Roman" w:eastAsia="Arial Unicode MS" w:hAnsi="Times New Roman"/>
          <w:color w:val="000000"/>
          <w:szCs w:val="20"/>
        </w:rPr>
        <w:t xml:space="preserve"> </w:t>
      </w:r>
      <w:proofErr w:type="spellStart"/>
      <w:r w:rsidRPr="00E16672">
        <w:rPr>
          <w:rFonts w:ascii="Times New Roman" w:eastAsia="Arial Unicode MS" w:hAnsi="Times New Roman"/>
          <w:color w:val="000000"/>
          <w:szCs w:val="20"/>
        </w:rPr>
        <w:t>установі</w:t>
      </w:r>
      <w:proofErr w:type="spellEnd"/>
      <w:r w:rsidRPr="00E16672">
        <w:rPr>
          <w:rFonts w:ascii="Times New Roman" w:eastAsia="Arial Unicode MS" w:hAnsi="Times New Roman"/>
          <w:color w:val="000000"/>
          <w:szCs w:val="20"/>
        </w:rPr>
        <w:t xml:space="preserve"> </w:t>
      </w:r>
      <w:proofErr w:type="spellStart"/>
      <w:r w:rsidRPr="00E16672">
        <w:rPr>
          <w:rFonts w:ascii="Times New Roman" w:eastAsia="Arial Unicode MS" w:hAnsi="Times New Roman"/>
          <w:color w:val="000000"/>
          <w:szCs w:val="20"/>
        </w:rPr>
        <w:t>документів</w:t>
      </w:r>
      <w:proofErr w:type="spellEnd"/>
      <w:r w:rsidRPr="00E16672">
        <w:rPr>
          <w:rFonts w:ascii="Times New Roman" w:eastAsia="Arial Unicode MS" w:hAnsi="Times New Roman"/>
          <w:color w:val="000000"/>
          <w:szCs w:val="20"/>
        </w:rPr>
        <w:t xml:space="preserve">, </w:t>
      </w:r>
      <w:proofErr w:type="spellStart"/>
      <w:r w:rsidRPr="00E16672">
        <w:rPr>
          <w:rFonts w:ascii="Times New Roman" w:eastAsia="Arial Unicode MS" w:hAnsi="Times New Roman"/>
          <w:color w:val="000000"/>
          <w:szCs w:val="20"/>
        </w:rPr>
        <w:t>що</w:t>
      </w:r>
      <w:proofErr w:type="spellEnd"/>
      <w:r w:rsidRPr="00E16672">
        <w:rPr>
          <w:rFonts w:ascii="Times New Roman" w:eastAsia="Arial Unicode MS" w:hAnsi="Times New Roman"/>
          <w:color w:val="000000"/>
          <w:szCs w:val="20"/>
        </w:rPr>
        <w:t xml:space="preserve"> </w:t>
      </w:r>
      <w:proofErr w:type="spellStart"/>
      <w:r w:rsidRPr="00E16672">
        <w:rPr>
          <w:rFonts w:ascii="Times New Roman" w:eastAsia="Arial Unicode MS" w:hAnsi="Times New Roman"/>
          <w:color w:val="000000"/>
          <w:szCs w:val="20"/>
        </w:rPr>
        <w:t>передбачені</w:t>
      </w:r>
      <w:proofErr w:type="spellEnd"/>
      <w:r w:rsidRPr="00E16672">
        <w:rPr>
          <w:rFonts w:ascii="Times New Roman" w:eastAsia="Arial Unicode MS" w:hAnsi="Times New Roman"/>
          <w:color w:val="000000"/>
          <w:szCs w:val="20"/>
        </w:rPr>
        <w:t xml:space="preserve"> </w:t>
      </w:r>
      <w:proofErr w:type="spellStart"/>
      <w:r w:rsidRPr="00E16672">
        <w:rPr>
          <w:rFonts w:ascii="Times New Roman" w:eastAsia="Arial Unicode MS" w:hAnsi="Times New Roman"/>
          <w:color w:val="000000"/>
          <w:szCs w:val="20"/>
        </w:rPr>
        <w:t>чинним</w:t>
      </w:r>
      <w:proofErr w:type="spellEnd"/>
      <w:r w:rsidRPr="00E16672">
        <w:rPr>
          <w:rFonts w:ascii="Times New Roman" w:eastAsia="Arial Unicode MS" w:hAnsi="Times New Roman"/>
          <w:color w:val="000000"/>
          <w:szCs w:val="20"/>
        </w:rPr>
        <w:t xml:space="preserve"> </w:t>
      </w:r>
      <w:proofErr w:type="spellStart"/>
      <w:r w:rsidRPr="00E16672">
        <w:rPr>
          <w:rFonts w:ascii="Times New Roman" w:eastAsia="Arial Unicode MS" w:hAnsi="Times New Roman"/>
          <w:color w:val="000000"/>
          <w:szCs w:val="20"/>
        </w:rPr>
        <w:t>законодавством</w:t>
      </w:r>
      <w:proofErr w:type="spellEnd"/>
      <w:r w:rsidRPr="00E16672">
        <w:rPr>
          <w:rFonts w:ascii="Times New Roman" w:eastAsia="Arial Unicode MS" w:hAnsi="Times New Roman"/>
          <w:color w:val="000000"/>
          <w:szCs w:val="20"/>
        </w:rPr>
        <w:t>.</w:t>
      </w:r>
    </w:p>
    <w:p w14:paraId="257E55A8" w14:textId="77777777" w:rsidR="000A5A99" w:rsidRPr="00E16672" w:rsidRDefault="000A5A99" w:rsidP="000A5A99">
      <w:pPr>
        <w:tabs>
          <w:tab w:val="left" w:pos="0"/>
        </w:tabs>
        <w:rPr>
          <w:rFonts w:ascii="Times New Roman" w:eastAsia="Arial Unicode MS" w:hAnsi="Times New Roman"/>
          <w:color w:val="000000"/>
          <w:szCs w:val="20"/>
        </w:rPr>
      </w:pPr>
      <w:r w:rsidRPr="00E16672">
        <w:rPr>
          <w:rFonts w:ascii="Times New Roman" w:eastAsia="Arial Unicode MS" w:hAnsi="Times New Roman"/>
          <w:color w:val="000000"/>
          <w:szCs w:val="20"/>
        </w:rPr>
        <w:t xml:space="preserve">2.1.11. </w:t>
      </w:r>
      <w:proofErr w:type="spellStart"/>
      <w:r w:rsidRPr="00E16672">
        <w:rPr>
          <w:rFonts w:ascii="Times New Roman" w:eastAsia="Arial Unicode MS" w:hAnsi="Times New Roman"/>
          <w:color w:val="000000"/>
          <w:szCs w:val="20"/>
        </w:rPr>
        <w:t>Під</w:t>
      </w:r>
      <w:proofErr w:type="spellEnd"/>
      <w:r w:rsidRPr="00E16672">
        <w:rPr>
          <w:rFonts w:ascii="Times New Roman" w:eastAsia="Arial Unicode MS" w:hAnsi="Times New Roman"/>
          <w:color w:val="000000"/>
          <w:szCs w:val="20"/>
        </w:rPr>
        <w:t xml:space="preserve"> час </w:t>
      </w:r>
      <w:proofErr w:type="spellStart"/>
      <w:r w:rsidRPr="00E16672">
        <w:rPr>
          <w:rFonts w:ascii="Times New Roman" w:eastAsia="Arial Unicode MS" w:hAnsi="Times New Roman"/>
          <w:color w:val="000000"/>
          <w:szCs w:val="20"/>
        </w:rPr>
        <w:t>надання</w:t>
      </w:r>
      <w:proofErr w:type="spellEnd"/>
      <w:r w:rsidRPr="00E16672">
        <w:rPr>
          <w:rFonts w:ascii="Times New Roman" w:eastAsia="Arial Unicode MS" w:hAnsi="Times New Roman"/>
          <w:color w:val="000000"/>
          <w:szCs w:val="20"/>
        </w:rPr>
        <w:t xml:space="preserve"> Депозитарною </w:t>
      </w:r>
      <w:proofErr w:type="spellStart"/>
      <w:r w:rsidRPr="00E16672">
        <w:rPr>
          <w:rFonts w:ascii="Times New Roman" w:eastAsia="Arial Unicode MS" w:hAnsi="Times New Roman"/>
          <w:color w:val="000000"/>
          <w:szCs w:val="20"/>
        </w:rPr>
        <w:t>установою</w:t>
      </w:r>
      <w:proofErr w:type="spellEnd"/>
      <w:r w:rsidRPr="00E16672">
        <w:rPr>
          <w:rFonts w:ascii="Times New Roman" w:eastAsia="Arial Unicode MS" w:hAnsi="Times New Roman"/>
          <w:color w:val="000000"/>
          <w:szCs w:val="20"/>
        </w:rPr>
        <w:t xml:space="preserve"> </w:t>
      </w:r>
      <w:proofErr w:type="spellStart"/>
      <w:r w:rsidRPr="00E16672">
        <w:rPr>
          <w:rFonts w:ascii="Times New Roman" w:eastAsia="Arial Unicode MS" w:hAnsi="Times New Roman"/>
          <w:color w:val="000000"/>
          <w:szCs w:val="20"/>
        </w:rPr>
        <w:t>послуг</w:t>
      </w:r>
      <w:proofErr w:type="spellEnd"/>
      <w:r w:rsidRPr="00E16672">
        <w:rPr>
          <w:rFonts w:ascii="Times New Roman" w:eastAsia="Arial Unicode MS" w:hAnsi="Times New Roman"/>
          <w:color w:val="000000"/>
          <w:szCs w:val="20"/>
        </w:rPr>
        <w:t xml:space="preserve">, </w:t>
      </w:r>
      <w:proofErr w:type="spellStart"/>
      <w:r w:rsidRPr="00E16672">
        <w:rPr>
          <w:rFonts w:ascii="Times New Roman" w:eastAsia="Arial Unicode MS" w:hAnsi="Times New Roman"/>
          <w:color w:val="000000"/>
          <w:szCs w:val="20"/>
        </w:rPr>
        <w:t>які</w:t>
      </w:r>
      <w:proofErr w:type="spellEnd"/>
      <w:r w:rsidRPr="00E16672">
        <w:rPr>
          <w:rFonts w:ascii="Times New Roman" w:eastAsia="Arial Unicode MS" w:hAnsi="Times New Roman"/>
          <w:color w:val="000000"/>
          <w:szCs w:val="20"/>
        </w:rPr>
        <w:t xml:space="preserve"> </w:t>
      </w:r>
      <w:proofErr w:type="spellStart"/>
      <w:r w:rsidRPr="00E16672">
        <w:rPr>
          <w:rFonts w:ascii="Times New Roman" w:eastAsia="Arial Unicode MS" w:hAnsi="Times New Roman"/>
          <w:color w:val="000000"/>
          <w:szCs w:val="20"/>
        </w:rPr>
        <w:t>визначені</w:t>
      </w:r>
      <w:proofErr w:type="spellEnd"/>
      <w:r w:rsidRPr="00E16672">
        <w:rPr>
          <w:rFonts w:ascii="Times New Roman" w:eastAsia="Arial Unicode MS" w:hAnsi="Times New Roman"/>
          <w:color w:val="000000"/>
          <w:szCs w:val="20"/>
        </w:rPr>
        <w:t xml:space="preserve"> в п. 1.1. </w:t>
      </w:r>
      <w:proofErr w:type="spellStart"/>
      <w:r w:rsidRPr="00E16672">
        <w:rPr>
          <w:rFonts w:ascii="Times New Roman" w:eastAsia="Arial Unicode MS" w:hAnsi="Times New Roman"/>
          <w:color w:val="000000"/>
          <w:szCs w:val="20"/>
        </w:rPr>
        <w:t>цього</w:t>
      </w:r>
      <w:proofErr w:type="spellEnd"/>
      <w:r w:rsidRPr="00E16672">
        <w:rPr>
          <w:rFonts w:ascii="Times New Roman" w:eastAsia="Arial Unicode MS" w:hAnsi="Times New Roman"/>
          <w:color w:val="000000"/>
          <w:szCs w:val="20"/>
        </w:rPr>
        <w:t xml:space="preserve"> Договору, у </w:t>
      </w:r>
      <w:proofErr w:type="spellStart"/>
      <w:r w:rsidRPr="00E16672">
        <w:rPr>
          <w:rFonts w:ascii="Times New Roman" w:eastAsia="Arial Unicode MS" w:hAnsi="Times New Roman"/>
          <w:color w:val="000000"/>
          <w:szCs w:val="20"/>
        </w:rPr>
        <w:t>разі</w:t>
      </w:r>
      <w:proofErr w:type="spellEnd"/>
      <w:r w:rsidRPr="00E16672">
        <w:rPr>
          <w:rFonts w:ascii="Times New Roman" w:eastAsia="Arial Unicode MS" w:hAnsi="Times New Roman"/>
          <w:color w:val="000000"/>
          <w:szCs w:val="20"/>
        </w:rPr>
        <w:t xml:space="preserve"> </w:t>
      </w:r>
      <w:proofErr w:type="spellStart"/>
      <w:r w:rsidRPr="00E16672">
        <w:rPr>
          <w:rFonts w:ascii="Times New Roman" w:eastAsia="Arial Unicode MS" w:hAnsi="Times New Roman"/>
          <w:color w:val="000000"/>
          <w:szCs w:val="20"/>
        </w:rPr>
        <w:t>звернення</w:t>
      </w:r>
      <w:proofErr w:type="spellEnd"/>
      <w:r w:rsidRPr="00E16672">
        <w:rPr>
          <w:rFonts w:ascii="Times New Roman" w:eastAsia="Arial Unicode MS" w:hAnsi="Times New Roman"/>
          <w:color w:val="000000"/>
          <w:szCs w:val="20"/>
        </w:rPr>
        <w:t xml:space="preserve"> </w:t>
      </w:r>
      <w:proofErr w:type="spellStart"/>
      <w:proofErr w:type="gramStart"/>
      <w:r w:rsidRPr="00E16672">
        <w:rPr>
          <w:rFonts w:ascii="Times New Roman" w:eastAsia="Arial Unicode MS" w:hAnsi="Times New Roman"/>
          <w:color w:val="000000"/>
          <w:szCs w:val="20"/>
        </w:rPr>
        <w:t>Власника</w:t>
      </w:r>
      <w:proofErr w:type="spellEnd"/>
      <w:r w:rsidRPr="00E16672">
        <w:rPr>
          <w:rFonts w:ascii="Times New Roman" w:eastAsia="Arial Unicode MS" w:hAnsi="Times New Roman"/>
          <w:color w:val="000000"/>
          <w:szCs w:val="20"/>
        </w:rPr>
        <w:t xml:space="preserve">  </w:t>
      </w:r>
      <w:proofErr w:type="spellStart"/>
      <w:r w:rsidRPr="00E16672">
        <w:rPr>
          <w:rFonts w:ascii="Times New Roman" w:eastAsia="Arial Unicode MS" w:hAnsi="Times New Roman"/>
          <w:color w:val="000000"/>
          <w:szCs w:val="20"/>
        </w:rPr>
        <w:t>здійснювати</w:t>
      </w:r>
      <w:proofErr w:type="spellEnd"/>
      <w:proofErr w:type="gramEnd"/>
      <w:r w:rsidRPr="00E16672">
        <w:rPr>
          <w:rFonts w:ascii="Times New Roman" w:eastAsia="Arial Unicode MS" w:hAnsi="Times New Roman"/>
          <w:color w:val="000000"/>
          <w:szCs w:val="20"/>
        </w:rPr>
        <w:t xml:space="preserve"> </w:t>
      </w:r>
      <w:proofErr w:type="spellStart"/>
      <w:r w:rsidRPr="00E16672">
        <w:rPr>
          <w:rFonts w:ascii="Times New Roman" w:eastAsia="Arial Unicode MS" w:hAnsi="Times New Roman"/>
          <w:color w:val="000000"/>
          <w:szCs w:val="20"/>
        </w:rPr>
        <w:t>дії</w:t>
      </w:r>
      <w:proofErr w:type="spellEnd"/>
      <w:r w:rsidRPr="00E16672">
        <w:rPr>
          <w:rFonts w:ascii="Times New Roman" w:eastAsia="Arial Unicode MS" w:hAnsi="Times New Roman"/>
          <w:color w:val="000000"/>
          <w:szCs w:val="20"/>
        </w:rPr>
        <w:t xml:space="preserve">, </w:t>
      </w:r>
      <w:proofErr w:type="spellStart"/>
      <w:r w:rsidRPr="00E16672">
        <w:rPr>
          <w:rFonts w:ascii="Times New Roman" w:eastAsia="Arial Unicode MS" w:hAnsi="Times New Roman"/>
          <w:color w:val="000000"/>
          <w:szCs w:val="20"/>
        </w:rPr>
        <w:t>які</w:t>
      </w:r>
      <w:proofErr w:type="spellEnd"/>
      <w:r w:rsidRPr="00E16672">
        <w:rPr>
          <w:rFonts w:ascii="Times New Roman" w:eastAsia="Arial Unicode MS" w:hAnsi="Times New Roman"/>
          <w:color w:val="000000"/>
          <w:szCs w:val="20"/>
        </w:rPr>
        <w:t xml:space="preserve"> </w:t>
      </w:r>
      <w:proofErr w:type="spellStart"/>
      <w:r w:rsidRPr="00E16672">
        <w:rPr>
          <w:rFonts w:ascii="Times New Roman" w:eastAsia="Arial Unicode MS" w:hAnsi="Times New Roman"/>
          <w:color w:val="000000"/>
          <w:szCs w:val="20"/>
        </w:rPr>
        <w:t>вказані</w:t>
      </w:r>
      <w:proofErr w:type="spellEnd"/>
      <w:r w:rsidRPr="00E16672">
        <w:rPr>
          <w:rFonts w:ascii="Times New Roman" w:eastAsia="Arial Unicode MS" w:hAnsi="Times New Roman"/>
          <w:color w:val="000000"/>
          <w:szCs w:val="20"/>
        </w:rPr>
        <w:t xml:space="preserve"> в пунктах 2.1.4., 2.1.8. </w:t>
      </w:r>
      <w:proofErr w:type="spellStart"/>
      <w:r w:rsidRPr="00E16672">
        <w:rPr>
          <w:rFonts w:ascii="Times New Roman" w:eastAsia="Arial Unicode MS" w:hAnsi="Times New Roman"/>
          <w:color w:val="000000"/>
          <w:szCs w:val="20"/>
        </w:rPr>
        <w:t>цього</w:t>
      </w:r>
      <w:proofErr w:type="spellEnd"/>
      <w:r w:rsidRPr="00E16672">
        <w:rPr>
          <w:rFonts w:ascii="Times New Roman" w:eastAsia="Arial Unicode MS" w:hAnsi="Times New Roman"/>
          <w:color w:val="000000"/>
          <w:szCs w:val="20"/>
        </w:rPr>
        <w:t xml:space="preserve"> Договору, у </w:t>
      </w:r>
      <w:proofErr w:type="spellStart"/>
      <w:r w:rsidRPr="00E16672">
        <w:rPr>
          <w:rFonts w:ascii="Times New Roman" w:eastAsia="Arial Unicode MS" w:hAnsi="Times New Roman"/>
          <w:color w:val="000000"/>
          <w:szCs w:val="20"/>
        </w:rPr>
        <w:t>терміни</w:t>
      </w:r>
      <w:proofErr w:type="spellEnd"/>
      <w:r w:rsidRPr="00E16672">
        <w:rPr>
          <w:rFonts w:ascii="Times New Roman" w:eastAsia="Arial Unicode MS" w:hAnsi="Times New Roman"/>
          <w:color w:val="000000"/>
          <w:szCs w:val="20"/>
        </w:rPr>
        <w:t xml:space="preserve">, </w:t>
      </w:r>
      <w:proofErr w:type="spellStart"/>
      <w:r w:rsidRPr="00E16672">
        <w:rPr>
          <w:rFonts w:ascii="Times New Roman" w:eastAsia="Arial Unicode MS" w:hAnsi="Times New Roman"/>
          <w:color w:val="000000"/>
          <w:szCs w:val="20"/>
        </w:rPr>
        <w:t>встановлені</w:t>
      </w:r>
      <w:proofErr w:type="spellEnd"/>
      <w:r w:rsidRPr="00E16672">
        <w:rPr>
          <w:rFonts w:ascii="Times New Roman" w:eastAsia="Arial Unicode MS" w:hAnsi="Times New Roman"/>
          <w:color w:val="000000"/>
          <w:szCs w:val="20"/>
        </w:rPr>
        <w:t xml:space="preserve">  </w:t>
      </w:r>
      <w:proofErr w:type="spellStart"/>
      <w:r w:rsidRPr="00E16672">
        <w:rPr>
          <w:rFonts w:ascii="Times New Roman" w:eastAsia="Arial Unicode MS" w:hAnsi="Times New Roman"/>
          <w:color w:val="000000"/>
          <w:szCs w:val="20"/>
        </w:rPr>
        <w:t>Положенням</w:t>
      </w:r>
      <w:proofErr w:type="spellEnd"/>
      <w:r w:rsidRPr="00E16672">
        <w:rPr>
          <w:rFonts w:ascii="Times New Roman" w:eastAsia="Arial Unicode MS" w:hAnsi="Times New Roman"/>
          <w:color w:val="000000"/>
          <w:szCs w:val="20"/>
        </w:rPr>
        <w:t xml:space="preserve"> про </w:t>
      </w:r>
      <w:proofErr w:type="spellStart"/>
      <w:r w:rsidRPr="00E16672">
        <w:rPr>
          <w:rFonts w:ascii="Times New Roman" w:eastAsia="Arial Unicode MS" w:hAnsi="Times New Roman"/>
          <w:color w:val="000000"/>
          <w:szCs w:val="20"/>
        </w:rPr>
        <w:t>провадження</w:t>
      </w:r>
      <w:proofErr w:type="spellEnd"/>
      <w:r w:rsidRPr="00E16672">
        <w:rPr>
          <w:rFonts w:ascii="Times New Roman" w:eastAsia="Arial Unicode MS" w:hAnsi="Times New Roman"/>
          <w:color w:val="000000"/>
          <w:szCs w:val="20"/>
        </w:rPr>
        <w:t xml:space="preserve"> </w:t>
      </w:r>
      <w:proofErr w:type="spellStart"/>
      <w:r w:rsidRPr="00E16672">
        <w:rPr>
          <w:rFonts w:ascii="Times New Roman" w:eastAsia="Arial Unicode MS" w:hAnsi="Times New Roman"/>
          <w:color w:val="000000"/>
          <w:szCs w:val="20"/>
        </w:rPr>
        <w:t>депозитарної</w:t>
      </w:r>
      <w:proofErr w:type="spellEnd"/>
      <w:r w:rsidRPr="00E16672">
        <w:rPr>
          <w:rFonts w:ascii="Times New Roman" w:eastAsia="Arial Unicode MS" w:hAnsi="Times New Roman"/>
          <w:color w:val="000000"/>
          <w:szCs w:val="20"/>
        </w:rPr>
        <w:t xml:space="preserve"> </w:t>
      </w:r>
      <w:proofErr w:type="spellStart"/>
      <w:r w:rsidRPr="00E16672">
        <w:rPr>
          <w:rFonts w:ascii="Times New Roman" w:eastAsia="Arial Unicode MS" w:hAnsi="Times New Roman"/>
          <w:color w:val="000000"/>
          <w:szCs w:val="20"/>
        </w:rPr>
        <w:t>діяльності</w:t>
      </w:r>
      <w:proofErr w:type="spellEnd"/>
      <w:r w:rsidRPr="00E16672">
        <w:rPr>
          <w:rFonts w:ascii="Times New Roman" w:eastAsia="Arial Unicode MS" w:hAnsi="Times New Roman"/>
          <w:color w:val="000000"/>
          <w:szCs w:val="20"/>
        </w:rPr>
        <w:t>.</w:t>
      </w:r>
    </w:p>
    <w:p w14:paraId="7AA8C387" w14:textId="77777777" w:rsidR="000A5A99" w:rsidRPr="00E16672" w:rsidRDefault="000A5A99" w:rsidP="000A5A99">
      <w:pPr>
        <w:tabs>
          <w:tab w:val="left" w:pos="851"/>
        </w:tabs>
        <w:snapToGrid w:val="0"/>
        <w:ind w:left="-30" w:firstLine="600"/>
        <w:rPr>
          <w:rFonts w:ascii="Times New Roman" w:eastAsia="Arial Unicode MS" w:hAnsi="Times New Roman"/>
          <w:color w:val="000000"/>
          <w:szCs w:val="20"/>
          <w:lang w:val="uk-UA"/>
        </w:rPr>
      </w:pPr>
      <w:r w:rsidRPr="00E16672">
        <w:rPr>
          <w:rFonts w:ascii="Times New Roman" w:eastAsia="Arial Unicode MS" w:hAnsi="Times New Roman"/>
          <w:color w:val="000000"/>
          <w:szCs w:val="20"/>
          <w:lang w:val="uk-UA"/>
        </w:rPr>
        <w:t xml:space="preserve">2.1.12. Ознайомити Емітента з Внутрішніми документами </w:t>
      </w:r>
      <w:r w:rsidRPr="00E16672">
        <w:rPr>
          <w:rFonts w:ascii="Times New Roman" w:hAnsi="Times New Roman"/>
          <w:color w:val="000000"/>
          <w:szCs w:val="20"/>
          <w:lang w:val="uk-UA"/>
        </w:rPr>
        <w:t>(витягами із внутрішніх документів, діючими тарифами, що є чинними на час підписання цього Договору)</w:t>
      </w:r>
      <w:r w:rsidRPr="00E16672">
        <w:rPr>
          <w:rFonts w:ascii="Times New Roman" w:eastAsia="Arial Unicode MS" w:hAnsi="Times New Roman"/>
          <w:color w:val="000000"/>
          <w:szCs w:val="20"/>
          <w:lang w:val="uk-UA"/>
        </w:rPr>
        <w:t xml:space="preserve"> Депозитарної установи</w:t>
      </w:r>
      <w:r w:rsidRPr="00E16672">
        <w:rPr>
          <w:rFonts w:ascii="Times New Roman" w:hAnsi="Times New Roman"/>
          <w:color w:val="000000"/>
          <w:szCs w:val="20"/>
          <w:lang w:val="uk-UA"/>
        </w:rPr>
        <w:t xml:space="preserve">, які регламентують відносини Емітента та Депозитарної установи стосовно порядку виконання розпоряджень Емітента, видачі інформаційних довідок, шляхом розміщення на </w:t>
      </w:r>
      <w:r w:rsidRPr="00E16672">
        <w:rPr>
          <w:rFonts w:ascii="Times New Roman" w:eastAsia="Arial" w:hAnsi="Times New Roman"/>
          <w:color w:val="000000"/>
          <w:szCs w:val="20"/>
          <w:lang w:val="uk-UA"/>
        </w:rPr>
        <w:t>веб-сторінці Депозитарної установи</w:t>
      </w:r>
      <w:r w:rsidRPr="00E16672">
        <w:rPr>
          <w:rFonts w:ascii="Times New Roman" w:eastAsia="Arial" w:hAnsi="Times New Roman"/>
          <w:color w:val="000000"/>
          <w:sz w:val="16"/>
          <w:szCs w:val="16"/>
          <w:lang w:val="uk-UA"/>
        </w:rPr>
        <w:t xml:space="preserve"> </w:t>
      </w:r>
      <w:r w:rsidR="00E16672">
        <w:rPr>
          <w:rFonts w:ascii="Times New Roman" w:eastAsia="Arial" w:hAnsi="Times New Roman"/>
          <w:color w:val="000000"/>
          <w:szCs w:val="20"/>
          <w:lang w:val="uk-UA"/>
        </w:rPr>
        <w:t>http://comex.uafin.net</w:t>
      </w:r>
      <w:r w:rsidRPr="00E16672">
        <w:rPr>
          <w:rFonts w:ascii="Times New Roman" w:eastAsia="Arial" w:hAnsi="Times New Roman"/>
          <w:color w:val="000000"/>
          <w:szCs w:val="20"/>
          <w:lang w:val="uk-UA"/>
        </w:rPr>
        <w:t>,</w:t>
      </w:r>
      <w:r w:rsidRPr="00E16672">
        <w:rPr>
          <w:rFonts w:ascii="Times New Roman" w:eastAsia="Arial Unicode MS" w:hAnsi="Times New Roman"/>
          <w:color w:val="000000"/>
          <w:szCs w:val="20"/>
          <w:lang w:val="uk-UA"/>
        </w:rPr>
        <w:t xml:space="preserve"> та в подальшому ознайомлювати </w:t>
      </w:r>
      <w:r w:rsidRPr="00E16672">
        <w:rPr>
          <w:rFonts w:ascii="Times New Roman" w:hAnsi="Times New Roman"/>
          <w:color w:val="000000"/>
          <w:szCs w:val="20"/>
          <w:lang w:val="uk-UA"/>
        </w:rPr>
        <w:t>Емітента</w:t>
      </w:r>
      <w:r w:rsidRPr="00E16672">
        <w:rPr>
          <w:rFonts w:ascii="Times New Roman" w:eastAsia="Arial Unicode MS" w:hAnsi="Times New Roman"/>
          <w:color w:val="000000"/>
          <w:szCs w:val="20"/>
          <w:lang w:val="uk-UA"/>
        </w:rPr>
        <w:t xml:space="preserve"> зі змінами та доповненнями до цих документів </w:t>
      </w:r>
      <w:r w:rsidRPr="00E16672">
        <w:rPr>
          <w:rFonts w:ascii="Times New Roman" w:hAnsi="Times New Roman"/>
          <w:color w:val="000000"/>
          <w:szCs w:val="20"/>
          <w:lang w:val="uk-UA"/>
        </w:rPr>
        <w:t xml:space="preserve">(витягів з внутрішніх документів, діючих тарифів) </w:t>
      </w:r>
      <w:r w:rsidRPr="00E16672">
        <w:rPr>
          <w:rFonts w:ascii="Times New Roman" w:eastAsia="Arial Unicode MS" w:hAnsi="Times New Roman"/>
          <w:color w:val="000000"/>
          <w:szCs w:val="20"/>
          <w:lang w:val="uk-UA"/>
        </w:rPr>
        <w:t>шляхом</w:t>
      </w:r>
      <w:r w:rsidRPr="00E16672">
        <w:rPr>
          <w:rFonts w:ascii="Times New Roman" w:hAnsi="Times New Roman"/>
          <w:color w:val="000000"/>
          <w:sz w:val="18"/>
          <w:szCs w:val="18"/>
          <w:shd w:val="clear" w:color="auto" w:fill="FFFFFF"/>
          <w:lang w:val="uk-UA"/>
        </w:rPr>
        <w:t xml:space="preserve"> </w:t>
      </w:r>
      <w:r w:rsidRPr="00E16672">
        <w:rPr>
          <w:rFonts w:ascii="Times New Roman" w:eastAsia="Arial Unicode MS" w:hAnsi="Times New Roman"/>
          <w:color w:val="000000"/>
          <w:szCs w:val="20"/>
          <w:lang w:val="uk-UA"/>
        </w:rPr>
        <w:t xml:space="preserve">розміщення </w:t>
      </w:r>
      <w:r w:rsidRPr="00E16672">
        <w:rPr>
          <w:rFonts w:ascii="Times New Roman" w:hAnsi="Times New Roman"/>
          <w:color w:val="000000"/>
          <w:szCs w:val="20"/>
          <w:lang w:val="uk-UA"/>
        </w:rPr>
        <w:t xml:space="preserve">протягом </w:t>
      </w:r>
      <w:r w:rsidRPr="00E16672">
        <w:rPr>
          <w:rFonts w:ascii="Times New Roman" w:hAnsi="Times New Roman"/>
          <w:i/>
          <w:color w:val="000000"/>
          <w:szCs w:val="20"/>
          <w:lang w:val="uk-UA"/>
        </w:rPr>
        <w:t>п'яти</w:t>
      </w:r>
      <w:r w:rsidRPr="00E16672">
        <w:rPr>
          <w:rFonts w:ascii="Times New Roman" w:hAnsi="Times New Roman"/>
          <w:color w:val="000000"/>
          <w:szCs w:val="20"/>
          <w:lang w:val="uk-UA"/>
        </w:rPr>
        <w:t xml:space="preserve"> робочих днів після затвердження змін відповідної інформації та тексту внутрішніх </w:t>
      </w:r>
      <w:r w:rsidRPr="00E16672">
        <w:rPr>
          <w:rFonts w:ascii="Times New Roman" w:eastAsia="Arial Unicode MS" w:hAnsi="Times New Roman"/>
          <w:color w:val="000000"/>
          <w:szCs w:val="20"/>
          <w:lang w:val="uk-UA"/>
        </w:rPr>
        <w:t xml:space="preserve">документів </w:t>
      </w:r>
      <w:r w:rsidRPr="00E16672">
        <w:rPr>
          <w:rFonts w:ascii="Times New Roman" w:hAnsi="Times New Roman"/>
          <w:color w:val="000000"/>
          <w:szCs w:val="20"/>
          <w:lang w:val="uk-UA"/>
        </w:rPr>
        <w:t xml:space="preserve">(витягів з внутрішніх документів, діючих тарифів) на </w:t>
      </w:r>
      <w:r w:rsidRPr="00E16672">
        <w:rPr>
          <w:rFonts w:ascii="Times New Roman" w:eastAsia="Arial" w:hAnsi="Times New Roman"/>
          <w:color w:val="000000"/>
          <w:szCs w:val="20"/>
          <w:lang w:val="uk-UA"/>
        </w:rPr>
        <w:t>веб-сторінці Депозитарної установи</w:t>
      </w:r>
      <w:r w:rsidRPr="00E16672">
        <w:rPr>
          <w:rFonts w:ascii="Times New Roman" w:eastAsia="Arial" w:hAnsi="Times New Roman"/>
          <w:color w:val="000000"/>
          <w:sz w:val="16"/>
          <w:szCs w:val="16"/>
          <w:lang w:val="uk-UA"/>
        </w:rPr>
        <w:t xml:space="preserve"> </w:t>
      </w:r>
      <w:r w:rsidR="00E16672">
        <w:rPr>
          <w:rFonts w:ascii="Times New Roman" w:eastAsia="Arial" w:hAnsi="Times New Roman"/>
          <w:color w:val="000000"/>
          <w:szCs w:val="20"/>
          <w:lang w:val="uk-UA"/>
        </w:rPr>
        <w:t>http://comex.uafin.net</w:t>
      </w:r>
      <w:r w:rsidRPr="00E16672">
        <w:rPr>
          <w:rFonts w:ascii="Times New Roman" w:eastAsia="Arial" w:hAnsi="Times New Roman"/>
          <w:color w:val="000000"/>
          <w:szCs w:val="20"/>
          <w:lang w:val="uk-UA"/>
        </w:rPr>
        <w:t>.</w:t>
      </w:r>
    </w:p>
    <w:p w14:paraId="37620668" w14:textId="77777777" w:rsidR="000A5A99" w:rsidRPr="00E16672" w:rsidRDefault="000A5A99" w:rsidP="000A5A99">
      <w:pPr>
        <w:rPr>
          <w:rFonts w:ascii="Times New Roman" w:eastAsia="Arial Unicode MS" w:hAnsi="Times New Roman"/>
          <w:color w:val="000000"/>
          <w:szCs w:val="20"/>
          <w:lang w:val="uk-UA"/>
        </w:rPr>
      </w:pPr>
      <w:r w:rsidRPr="00E16672">
        <w:rPr>
          <w:rFonts w:ascii="Times New Roman" w:eastAsia="Arial Unicode MS" w:hAnsi="Times New Roman"/>
          <w:szCs w:val="20"/>
          <w:lang w:val="uk-UA"/>
        </w:rPr>
        <w:t xml:space="preserve">2.1.13. </w:t>
      </w:r>
      <w:r w:rsidRPr="00E16672">
        <w:rPr>
          <w:rFonts w:ascii="Times New Roman" w:eastAsia="Arial Unicode MS" w:hAnsi="Times New Roman"/>
          <w:color w:val="000000"/>
          <w:szCs w:val="20"/>
          <w:lang w:val="uk-UA"/>
        </w:rPr>
        <w:t xml:space="preserve">Забезпечувати збереження та конфіденційність інформації стосовно цінних паперів на рахунках </w:t>
      </w:r>
      <w:r w:rsidR="00C22309" w:rsidRPr="00E16672">
        <w:rPr>
          <w:rFonts w:ascii="Times New Roman" w:eastAsia="Arial Unicode MS" w:hAnsi="Times New Roman"/>
          <w:color w:val="000000"/>
          <w:szCs w:val="20"/>
          <w:lang w:val="uk-UA"/>
        </w:rPr>
        <w:t>в цін</w:t>
      </w:r>
      <w:r w:rsidRPr="00E16672">
        <w:rPr>
          <w:rFonts w:ascii="Times New Roman" w:eastAsia="Arial Unicode MS" w:hAnsi="Times New Roman"/>
          <w:color w:val="000000"/>
          <w:szCs w:val="20"/>
          <w:lang w:val="uk-UA"/>
        </w:rPr>
        <w:t>них паперах Власників , а також будь-якої іншої інформації, розголошення якої може завдати шкоду Власникам. Обов’язки щодо зберігання конфіденційності інформації не виникають у випадках, якщо розголошування подібної інформації мало місце внаслідок дій судових або інших уповноважених чинним законодавством органів.</w:t>
      </w:r>
    </w:p>
    <w:p w14:paraId="469CA111" w14:textId="77777777" w:rsidR="000A5A99" w:rsidRPr="00E16672" w:rsidRDefault="000A5A99" w:rsidP="000A5A99">
      <w:pPr>
        <w:rPr>
          <w:rFonts w:ascii="Times New Roman" w:eastAsia="Arial Unicode MS" w:hAnsi="Times New Roman"/>
          <w:color w:val="000000"/>
          <w:szCs w:val="20"/>
          <w:lang w:val="uk-UA"/>
        </w:rPr>
      </w:pPr>
      <w:r w:rsidRPr="00E16672">
        <w:rPr>
          <w:rFonts w:ascii="Times New Roman" w:eastAsia="Arial Unicode MS" w:hAnsi="Times New Roman"/>
          <w:color w:val="000000"/>
          <w:szCs w:val="20"/>
          <w:lang w:val="uk-UA"/>
        </w:rPr>
        <w:t>2.1.14 Дотримуватися встановлених вимог захисту інформації від несанкціонованого доступу в електронних системах обміну даними.</w:t>
      </w:r>
    </w:p>
    <w:p w14:paraId="01DBE87D" w14:textId="48AE77CA" w:rsidR="000A5A99" w:rsidRDefault="000A5A99" w:rsidP="000A5A99">
      <w:pPr>
        <w:pStyle w:val="rvps2"/>
        <w:spacing w:before="0" w:beforeAutospacing="0" w:after="0" w:afterAutospacing="0"/>
        <w:rPr>
          <w:rFonts w:ascii="Times New Roman" w:hAnsi="Times New Roman"/>
          <w:color w:val="000000"/>
          <w:szCs w:val="20"/>
        </w:rPr>
      </w:pPr>
      <w:r w:rsidRPr="00E16672">
        <w:rPr>
          <w:rFonts w:ascii="Times New Roman" w:eastAsia="Arial Unicode MS" w:hAnsi="Times New Roman"/>
          <w:color w:val="000000"/>
          <w:szCs w:val="20"/>
        </w:rPr>
        <w:t xml:space="preserve">2.1.15 Протягом </w:t>
      </w:r>
      <w:r w:rsidRPr="00E16672">
        <w:rPr>
          <w:rFonts w:ascii="Times New Roman" w:eastAsia="Arial Unicode MS" w:hAnsi="Times New Roman"/>
          <w:i/>
          <w:color w:val="000000"/>
          <w:szCs w:val="20"/>
        </w:rPr>
        <w:t xml:space="preserve">трьох </w:t>
      </w:r>
      <w:r w:rsidRPr="00E16672">
        <w:rPr>
          <w:rFonts w:ascii="Times New Roman" w:hAnsi="Times New Roman"/>
          <w:color w:val="000000"/>
          <w:szCs w:val="20"/>
        </w:rPr>
        <w:t xml:space="preserve">робочих днів з дати початку припинення діяльності, встановленої нормативно-правовим актом, який регулює питання припинення провадження професійної діяльності на фондовому ринку - депозитарної діяльності, а саме депозитарної діяльності депозитарної установи (далі - Положення про припинення), повідомити Емітента рекомендованим листом про припинення діяльності Депозитарної установи, </w:t>
      </w:r>
      <w:r w:rsidR="00101233">
        <w:rPr>
          <w:rFonts w:ascii="Times New Roman" w:hAnsi="Times New Roman"/>
          <w:color w:val="000000"/>
          <w:szCs w:val="20"/>
        </w:rPr>
        <w:t>та необхідність</w:t>
      </w:r>
      <w:r w:rsidRPr="00E16672">
        <w:rPr>
          <w:rFonts w:ascii="Times New Roman" w:hAnsi="Times New Roman"/>
          <w:color w:val="000000"/>
          <w:szCs w:val="20"/>
        </w:rPr>
        <w:t xml:space="preserve"> обрання нової депозитарної установи для відкриття/обслуговування рахунків </w:t>
      </w:r>
      <w:r w:rsidR="00C22309" w:rsidRPr="00E16672">
        <w:rPr>
          <w:rFonts w:ascii="Times New Roman" w:hAnsi="Times New Roman"/>
          <w:color w:val="000000"/>
          <w:szCs w:val="20"/>
        </w:rPr>
        <w:t>в цін</w:t>
      </w:r>
      <w:r w:rsidRPr="00E16672">
        <w:rPr>
          <w:rFonts w:ascii="Times New Roman" w:hAnsi="Times New Roman"/>
          <w:color w:val="000000"/>
          <w:szCs w:val="20"/>
        </w:rPr>
        <w:t xml:space="preserve">них паперах Власників </w:t>
      </w:r>
      <w:r w:rsidR="00101233">
        <w:rPr>
          <w:rFonts w:ascii="Times New Roman" w:hAnsi="Times New Roman"/>
          <w:color w:val="000000"/>
          <w:szCs w:val="20"/>
        </w:rPr>
        <w:t>та</w:t>
      </w:r>
      <w:r w:rsidRPr="00E16672">
        <w:rPr>
          <w:rFonts w:ascii="Times New Roman" w:hAnsi="Times New Roman"/>
          <w:color w:val="000000"/>
          <w:szCs w:val="20"/>
        </w:rPr>
        <w:t xml:space="preserve"> закриття</w:t>
      </w:r>
      <w:r w:rsidR="00101233">
        <w:rPr>
          <w:rFonts w:ascii="Times New Roman" w:hAnsi="Times New Roman"/>
          <w:color w:val="000000"/>
          <w:szCs w:val="20"/>
        </w:rPr>
        <w:t xml:space="preserve"> Емітентом</w:t>
      </w:r>
      <w:r w:rsidRPr="00E16672">
        <w:rPr>
          <w:rFonts w:ascii="Times New Roman" w:hAnsi="Times New Roman"/>
          <w:color w:val="000000"/>
          <w:szCs w:val="20"/>
        </w:rPr>
        <w:t xml:space="preserve"> рахунків </w:t>
      </w:r>
      <w:r w:rsidR="00C22309" w:rsidRPr="00E16672">
        <w:rPr>
          <w:rFonts w:ascii="Times New Roman" w:hAnsi="Times New Roman"/>
          <w:color w:val="000000"/>
          <w:szCs w:val="20"/>
        </w:rPr>
        <w:t>в цін</w:t>
      </w:r>
      <w:r w:rsidRPr="00E16672">
        <w:rPr>
          <w:rFonts w:ascii="Times New Roman" w:hAnsi="Times New Roman"/>
          <w:color w:val="000000"/>
          <w:szCs w:val="20"/>
        </w:rPr>
        <w:t xml:space="preserve">них паперах, що обслуговуються Депозитарною установою відповідно до Договору, протягом </w:t>
      </w:r>
      <w:r w:rsidR="003D69AC" w:rsidRPr="00E16672">
        <w:rPr>
          <w:rFonts w:ascii="Times New Roman" w:hAnsi="Times New Roman"/>
          <w:i/>
          <w:iCs/>
          <w:color w:val="000000"/>
          <w:szCs w:val="20"/>
        </w:rPr>
        <w:t>шістдесяти</w:t>
      </w:r>
      <w:r w:rsidRPr="00E16672">
        <w:rPr>
          <w:rFonts w:ascii="Times New Roman" w:eastAsia="Arial Unicode MS" w:hAnsi="Times New Roman"/>
          <w:color w:val="000000"/>
          <w:szCs w:val="20"/>
        </w:rPr>
        <w:t xml:space="preserve"> </w:t>
      </w:r>
      <w:r w:rsidRPr="00E16672">
        <w:rPr>
          <w:rFonts w:ascii="Times New Roman" w:hAnsi="Times New Roman"/>
          <w:color w:val="000000"/>
          <w:szCs w:val="20"/>
        </w:rPr>
        <w:t>календарних днів з дати початку припинення діяльності Депозитарної установи.</w:t>
      </w:r>
    </w:p>
    <w:p w14:paraId="683655E0" w14:textId="532FBFE2" w:rsidR="00101233" w:rsidRPr="00101233" w:rsidRDefault="00101233" w:rsidP="000A5A99">
      <w:pPr>
        <w:pStyle w:val="rvps2"/>
        <w:spacing w:before="0" w:beforeAutospacing="0" w:after="0" w:afterAutospacing="0"/>
        <w:rPr>
          <w:rFonts w:ascii="Times New Roman" w:hAnsi="Times New Roman"/>
          <w:color w:val="000000"/>
          <w:szCs w:val="20"/>
        </w:rPr>
      </w:pPr>
      <w:r w:rsidRPr="00101233">
        <w:rPr>
          <w:rFonts w:ascii="Times New Roman" w:hAnsi="Times New Roman"/>
          <w:color w:val="000000"/>
          <w:szCs w:val="20"/>
        </w:rPr>
        <w:t xml:space="preserve">Якщо Емітент не обрав нову депозитарну установу та не здійснив дій щодо переведення до нової депозитарної установи цінних паперів власників, рахунки яких обслуговувала попередня Депозитарна установа за укладеним з ним договором, попередня Депозитарна установа повинна у порядку та строки, визначені законодавством, передати депозитарній установі-правонаступнику або уповноваженому на зберігання обліковий реєстр власників цінних паперів, рахунки яких обслуговуються Депозитарною установою відповідно до договору з Емітентом, та інші документи, </w:t>
      </w:r>
      <w:proofErr w:type="spellStart"/>
      <w:r w:rsidRPr="00101233">
        <w:rPr>
          <w:rFonts w:ascii="Times New Roman" w:hAnsi="Times New Roman"/>
          <w:color w:val="000000"/>
          <w:szCs w:val="20"/>
        </w:rPr>
        <w:t>визнзачені</w:t>
      </w:r>
      <w:proofErr w:type="spellEnd"/>
      <w:r w:rsidRPr="00101233">
        <w:rPr>
          <w:rFonts w:ascii="Times New Roman" w:hAnsi="Times New Roman"/>
          <w:color w:val="000000"/>
          <w:szCs w:val="20"/>
        </w:rPr>
        <w:t xml:space="preserve"> нормативними документами.</w:t>
      </w:r>
    </w:p>
    <w:p w14:paraId="6C72B8AF" w14:textId="77777777" w:rsidR="000A5A99" w:rsidRPr="00E16672" w:rsidRDefault="000A5A99" w:rsidP="000A5A99">
      <w:pPr>
        <w:rPr>
          <w:rFonts w:ascii="Times New Roman" w:eastAsia="Arial Unicode MS" w:hAnsi="Times New Roman"/>
          <w:szCs w:val="20"/>
          <w:lang w:val="uk-UA"/>
        </w:rPr>
      </w:pPr>
      <w:r w:rsidRPr="00E16672">
        <w:rPr>
          <w:rFonts w:ascii="Times New Roman" w:eastAsia="Arial Unicode MS" w:hAnsi="Times New Roman"/>
          <w:color w:val="000000"/>
          <w:szCs w:val="20"/>
          <w:lang w:val="uk-UA"/>
        </w:rPr>
        <w:t>2</w:t>
      </w:r>
      <w:r w:rsidRPr="00E16672">
        <w:rPr>
          <w:rFonts w:ascii="Times New Roman" w:eastAsia="Arial Unicode MS" w:hAnsi="Times New Roman"/>
          <w:szCs w:val="20"/>
          <w:lang w:val="uk-UA"/>
        </w:rPr>
        <w:t xml:space="preserve">.1.16  </w:t>
      </w:r>
      <w:proofErr w:type="spellStart"/>
      <w:r w:rsidRPr="00E16672">
        <w:rPr>
          <w:rFonts w:ascii="Times New Roman" w:eastAsia="Arial Unicode MS" w:hAnsi="Times New Roman"/>
          <w:szCs w:val="20"/>
        </w:rPr>
        <w:t>Закрити</w:t>
      </w:r>
      <w:proofErr w:type="spellEnd"/>
      <w:r w:rsidRPr="00E16672">
        <w:rPr>
          <w:rFonts w:ascii="Times New Roman" w:eastAsia="Arial Unicode MS" w:hAnsi="Times New Roman"/>
          <w:szCs w:val="20"/>
        </w:rPr>
        <w:t xml:space="preserve"> у порядку, </w:t>
      </w:r>
      <w:proofErr w:type="spellStart"/>
      <w:r w:rsidRPr="00E16672">
        <w:rPr>
          <w:rFonts w:ascii="Times New Roman" w:eastAsia="Arial Unicode MS" w:hAnsi="Times New Roman"/>
          <w:szCs w:val="20"/>
        </w:rPr>
        <w:t>передбаченому</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законодавством</w:t>
      </w:r>
      <w:proofErr w:type="spellEnd"/>
      <w:r w:rsidRPr="00E16672">
        <w:rPr>
          <w:rFonts w:ascii="Times New Roman" w:eastAsia="Arial Unicode MS" w:hAnsi="Times New Roman"/>
          <w:szCs w:val="20"/>
        </w:rPr>
        <w:t xml:space="preserve"> та/</w:t>
      </w:r>
      <w:proofErr w:type="spellStart"/>
      <w:r w:rsidRPr="00E16672">
        <w:rPr>
          <w:rFonts w:ascii="Times New Roman" w:eastAsia="Arial Unicode MS" w:hAnsi="Times New Roman"/>
          <w:szCs w:val="20"/>
        </w:rPr>
        <w:t>або</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внутрішніми</w:t>
      </w:r>
      <w:proofErr w:type="spellEnd"/>
      <w:r w:rsidRPr="00E16672">
        <w:rPr>
          <w:rFonts w:ascii="Times New Roman" w:eastAsia="Arial Unicode MS" w:hAnsi="Times New Roman"/>
          <w:szCs w:val="20"/>
        </w:rPr>
        <w:t xml:space="preserve"> документами </w:t>
      </w:r>
      <w:proofErr w:type="spellStart"/>
      <w:r w:rsidRPr="00E16672">
        <w:rPr>
          <w:rFonts w:ascii="Times New Roman" w:eastAsia="Arial Unicode MS" w:hAnsi="Times New Roman"/>
          <w:szCs w:val="20"/>
        </w:rPr>
        <w:t>Депозитарної</w:t>
      </w:r>
      <w:proofErr w:type="spellEnd"/>
      <w:r w:rsidRPr="00E16672">
        <w:rPr>
          <w:rFonts w:ascii="Times New Roman" w:eastAsia="Arial Unicode MS" w:hAnsi="Times New Roman"/>
          <w:szCs w:val="20"/>
        </w:rPr>
        <w:t xml:space="preserve"> установи, </w:t>
      </w:r>
      <w:proofErr w:type="spellStart"/>
      <w:r w:rsidRPr="00E16672">
        <w:rPr>
          <w:rFonts w:ascii="Times New Roman" w:eastAsia="Arial Unicode MS" w:hAnsi="Times New Roman"/>
          <w:szCs w:val="20"/>
        </w:rPr>
        <w:t>рахунок</w:t>
      </w:r>
      <w:proofErr w:type="spellEnd"/>
      <w:r w:rsidRPr="00E16672">
        <w:rPr>
          <w:rFonts w:ascii="Times New Roman" w:eastAsia="Arial Unicode MS" w:hAnsi="Times New Roman"/>
          <w:szCs w:val="20"/>
        </w:rPr>
        <w:t xml:space="preserve"> </w:t>
      </w:r>
      <w:r w:rsidR="00C22309" w:rsidRPr="00E16672">
        <w:rPr>
          <w:rFonts w:ascii="Times New Roman" w:eastAsia="Arial Unicode MS" w:hAnsi="Times New Roman"/>
          <w:szCs w:val="20"/>
        </w:rPr>
        <w:t xml:space="preserve">в </w:t>
      </w:r>
      <w:proofErr w:type="spellStart"/>
      <w:r w:rsidR="00C22309" w:rsidRPr="00E16672">
        <w:rPr>
          <w:rFonts w:ascii="Times New Roman" w:eastAsia="Arial Unicode MS" w:hAnsi="Times New Roman"/>
          <w:szCs w:val="20"/>
        </w:rPr>
        <w:t>цін</w:t>
      </w:r>
      <w:r w:rsidRPr="00E16672">
        <w:rPr>
          <w:rFonts w:ascii="Times New Roman" w:eastAsia="Arial Unicode MS" w:hAnsi="Times New Roman"/>
          <w:szCs w:val="20"/>
        </w:rPr>
        <w:t>них</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паперах</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Власника</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якщо</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внаслідок</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виконання</w:t>
      </w:r>
      <w:proofErr w:type="spellEnd"/>
      <w:r w:rsidRPr="00E16672">
        <w:rPr>
          <w:rFonts w:ascii="Times New Roman" w:eastAsia="Arial Unicode MS" w:hAnsi="Times New Roman"/>
          <w:szCs w:val="20"/>
        </w:rPr>
        <w:t xml:space="preserve"> Депозитарною </w:t>
      </w:r>
      <w:proofErr w:type="spellStart"/>
      <w:r w:rsidRPr="00E16672">
        <w:rPr>
          <w:rFonts w:ascii="Times New Roman" w:eastAsia="Arial Unicode MS" w:hAnsi="Times New Roman"/>
          <w:szCs w:val="20"/>
        </w:rPr>
        <w:t>установою</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депозитарних</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операцій</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передбачених</w:t>
      </w:r>
      <w:proofErr w:type="spellEnd"/>
      <w:r w:rsidRPr="00E16672">
        <w:rPr>
          <w:rFonts w:ascii="Times New Roman" w:eastAsia="Arial Unicode MS" w:hAnsi="Times New Roman"/>
          <w:szCs w:val="20"/>
        </w:rPr>
        <w:t xml:space="preserve"> пунктом 2.1.5 </w:t>
      </w:r>
      <w:proofErr w:type="spellStart"/>
      <w:r w:rsidRPr="00E16672">
        <w:rPr>
          <w:rFonts w:ascii="Times New Roman" w:eastAsia="Arial Unicode MS" w:hAnsi="Times New Roman"/>
          <w:szCs w:val="20"/>
        </w:rPr>
        <w:t>розділу</w:t>
      </w:r>
      <w:proofErr w:type="spellEnd"/>
      <w:r w:rsidRPr="00E16672">
        <w:rPr>
          <w:rFonts w:ascii="Times New Roman" w:eastAsia="Arial Unicode MS" w:hAnsi="Times New Roman"/>
          <w:szCs w:val="20"/>
        </w:rPr>
        <w:t xml:space="preserve"> 2 Договору, на такому </w:t>
      </w:r>
      <w:proofErr w:type="spellStart"/>
      <w:r w:rsidRPr="00E16672">
        <w:rPr>
          <w:rFonts w:ascii="Times New Roman" w:eastAsia="Arial Unicode MS" w:hAnsi="Times New Roman"/>
          <w:szCs w:val="20"/>
        </w:rPr>
        <w:t>рахунку</w:t>
      </w:r>
      <w:proofErr w:type="spellEnd"/>
      <w:r w:rsidRPr="00E16672">
        <w:rPr>
          <w:rFonts w:ascii="Times New Roman" w:eastAsia="Arial Unicode MS" w:hAnsi="Times New Roman"/>
          <w:szCs w:val="20"/>
        </w:rPr>
        <w:t xml:space="preserve"> не </w:t>
      </w:r>
      <w:proofErr w:type="spellStart"/>
      <w:r w:rsidRPr="00E16672">
        <w:rPr>
          <w:rFonts w:ascii="Times New Roman" w:eastAsia="Arial Unicode MS" w:hAnsi="Times New Roman"/>
          <w:szCs w:val="20"/>
        </w:rPr>
        <w:t>обліковуються</w:t>
      </w:r>
      <w:proofErr w:type="spellEnd"/>
      <w:r w:rsidRPr="00E16672">
        <w:rPr>
          <w:rFonts w:ascii="Times New Roman" w:eastAsia="Arial Unicode MS" w:hAnsi="Times New Roman"/>
          <w:szCs w:val="20"/>
        </w:rPr>
        <w:t xml:space="preserve"> права на </w:t>
      </w:r>
      <w:proofErr w:type="spellStart"/>
      <w:r w:rsidRPr="00E16672">
        <w:rPr>
          <w:rFonts w:ascii="Times New Roman" w:eastAsia="Arial Unicode MS" w:hAnsi="Times New Roman"/>
          <w:szCs w:val="20"/>
        </w:rPr>
        <w:t>цінні</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папери</w:t>
      </w:r>
      <w:proofErr w:type="spellEnd"/>
      <w:r w:rsidRPr="00E16672">
        <w:rPr>
          <w:rFonts w:ascii="Times New Roman" w:eastAsia="Arial Unicode MS" w:hAnsi="Times New Roman"/>
          <w:szCs w:val="20"/>
        </w:rPr>
        <w:t>.</w:t>
      </w:r>
    </w:p>
    <w:p w14:paraId="0823F10A" w14:textId="77777777" w:rsidR="000A5A99" w:rsidRPr="00E16672" w:rsidRDefault="000A5A99" w:rsidP="00022F5F">
      <w:pPr>
        <w:pStyle w:val="western"/>
        <w:spacing w:before="0" w:after="0"/>
        <w:ind w:firstLine="539"/>
        <w:jc w:val="left"/>
        <w:rPr>
          <w:rFonts w:ascii="Times New Roman" w:hAnsi="Times New Roman"/>
          <w:b w:val="0"/>
          <w:bCs w:val="0"/>
          <w:szCs w:val="20"/>
        </w:rPr>
      </w:pPr>
      <w:r w:rsidRPr="00E16672">
        <w:rPr>
          <w:rFonts w:ascii="Times New Roman" w:hAnsi="Times New Roman"/>
          <w:b w:val="0"/>
          <w:bCs w:val="0"/>
          <w:szCs w:val="20"/>
        </w:rPr>
        <w:t>2.1.1</w:t>
      </w:r>
      <w:r w:rsidRPr="00E16672">
        <w:rPr>
          <w:rFonts w:ascii="Times New Roman" w:hAnsi="Times New Roman"/>
          <w:b w:val="0"/>
          <w:bCs w:val="0"/>
          <w:szCs w:val="20"/>
          <w:lang w:val="uk-UA"/>
        </w:rPr>
        <w:t>7</w:t>
      </w:r>
      <w:r w:rsidRPr="00E16672">
        <w:rPr>
          <w:rFonts w:ascii="Times New Roman" w:hAnsi="Times New Roman"/>
          <w:b w:val="0"/>
          <w:bCs w:val="0"/>
          <w:szCs w:val="20"/>
        </w:rPr>
        <w:t xml:space="preserve">. </w:t>
      </w:r>
      <w:proofErr w:type="spellStart"/>
      <w:r w:rsidRPr="00E16672">
        <w:rPr>
          <w:rFonts w:ascii="Times New Roman" w:hAnsi="Times New Roman"/>
          <w:b w:val="0"/>
          <w:bCs w:val="0"/>
          <w:szCs w:val="20"/>
        </w:rPr>
        <w:t>Направляти</w:t>
      </w:r>
      <w:proofErr w:type="spellEnd"/>
      <w:r w:rsidRPr="00E16672">
        <w:rPr>
          <w:rFonts w:ascii="Times New Roman" w:hAnsi="Times New Roman"/>
          <w:b w:val="0"/>
          <w:bCs w:val="0"/>
          <w:szCs w:val="20"/>
        </w:rPr>
        <w:t xml:space="preserve"> у </w:t>
      </w:r>
      <w:proofErr w:type="spellStart"/>
      <w:r w:rsidRPr="00E16672">
        <w:rPr>
          <w:rFonts w:ascii="Times New Roman" w:hAnsi="Times New Roman"/>
          <w:b w:val="0"/>
          <w:bCs w:val="0"/>
          <w:szCs w:val="20"/>
        </w:rPr>
        <w:t>встановленому</w:t>
      </w:r>
      <w:proofErr w:type="spellEnd"/>
      <w:r w:rsidRPr="00E16672">
        <w:rPr>
          <w:rFonts w:ascii="Times New Roman" w:hAnsi="Times New Roman"/>
          <w:b w:val="0"/>
          <w:bCs w:val="0"/>
          <w:szCs w:val="20"/>
        </w:rPr>
        <w:t xml:space="preserve"> </w:t>
      </w:r>
      <w:proofErr w:type="spellStart"/>
      <w:r w:rsidRPr="00E16672">
        <w:rPr>
          <w:rFonts w:ascii="Times New Roman" w:hAnsi="Times New Roman"/>
          <w:b w:val="0"/>
          <w:bCs w:val="0"/>
          <w:szCs w:val="20"/>
        </w:rPr>
        <w:t>законодавством</w:t>
      </w:r>
      <w:proofErr w:type="spellEnd"/>
      <w:r w:rsidRPr="00E16672">
        <w:rPr>
          <w:rFonts w:ascii="Times New Roman" w:hAnsi="Times New Roman"/>
          <w:b w:val="0"/>
          <w:bCs w:val="0"/>
          <w:szCs w:val="20"/>
        </w:rPr>
        <w:t xml:space="preserve"> порядку депоненту, </w:t>
      </w:r>
      <w:proofErr w:type="spellStart"/>
      <w:r w:rsidRPr="00E16672">
        <w:rPr>
          <w:rFonts w:ascii="Times New Roman" w:hAnsi="Times New Roman"/>
          <w:b w:val="0"/>
          <w:bCs w:val="0"/>
          <w:szCs w:val="20"/>
        </w:rPr>
        <w:t>який</w:t>
      </w:r>
      <w:proofErr w:type="spellEnd"/>
      <w:r w:rsidRPr="00E16672">
        <w:rPr>
          <w:rFonts w:ascii="Times New Roman" w:hAnsi="Times New Roman"/>
          <w:b w:val="0"/>
          <w:bCs w:val="0"/>
          <w:szCs w:val="20"/>
        </w:rPr>
        <w:t xml:space="preserve"> є </w:t>
      </w:r>
      <w:proofErr w:type="spellStart"/>
      <w:r w:rsidRPr="00E16672">
        <w:rPr>
          <w:rFonts w:ascii="Times New Roman" w:hAnsi="Times New Roman"/>
          <w:b w:val="0"/>
          <w:bCs w:val="0"/>
          <w:szCs w:val="20"/>
        </w:rPr>
        <w:t>власником</w:t>
      </w:r>
      <w:proofErr w:type="spellEnd"/>
      <w:r w:rsidRPr="00E16672">
        <w:rPr>
          <w:rFonts w:ascii="Times New Roman" w:hAnsi="Times New Roman"/>
          <w:b w:val="0"/>
          <w:bCs w:val="0"/>
          <w:szCs w:val="20"/>
        </w:rPr>
        <w:t xml:space="preserve"> </w:t>
      </w:r>
      <w:proofErr w:type="spellStart"/>
      <w:r w:rsidRPr="00E16672">
        <w:rPr>
          <w:rFonts w:ascii="Times New Roman" w:hAnsi="Times New Roman"/>
          <w:b w:val="0"/>
          <w:bCs w:val="0"/>
          <w:szCs w:val="20"/>
        </w:rPr>
        <w:t>акцій</w:t>
      </w:r>
      <w:proofErr w:type="spellEnd"/>
      <w:r w:rsidRPr="00E16672">
        <w:rPr>
          <w:rFonts w:ascii="Times New Roman" w:hAnsi="Times New Roman"/>
          <w:b w:val="0"/>
          <w:bCs w:val="0"/>
          <w:szCs w:val="20"/>
        </w:rPr>
        <w:t xml:space="preserve"> </w:t>
      </w:r>
      <w:proofErr w:type="spellStart"/>
      <w:r w:rsidRPr="00E16672">
        <w:rPr>
          <w:rFonts w:ascii="Times New Roman" w:hAnsi="Times New Roman"/>
          <w:b w:val="0"/>
          <w:bCs w:val="0"/>
          <w:szCs w:val="20"/>
        </w:rPr>
        <w:t>акціонерного</w:t>
      </w:r>
      <w:proofErr w:type="spellEnd"/>
      <w:r w:rsidRPr="00E16672">
        <w:rPr>
          <w:rFonts w:ascii="Times New Roman" w:hAnsi="Times New Roman"/>
          <w:b w:val="0"/>
          <w:bCs w:val="0"/>
          <w:szCs w:val="20"/>
        </w:rPr>
        <w:t xml:space="preserve"> </w:t>
      </w:r>
      <w:proofErr w:type="spellStart"/>
      <w:r w:rsidRPr="00E16672">
        <w:rPr>
          <w:rFonts w:ascii="Times New Roman" w:hAnsi="Times New Roman"/>
          <w:b w:val="0"/>
          <w:bCs w:val="0"/>
          <w:szCs w:val="20"/>
        </w:rPr>
        <w:t>товариства</w:t>
      </w:r>
      <w:proofErr w:type="spellEnd"/>
      <w:r w:rsidRPr="00E16672">
        <w:rPr>
          <w:rFonts w:ascii="Times New Roman" w:hAnsi="Times New Roman"/>
          <w:b w:val="0"/>
          <w:bCs w:val="0"/>
          <w:szCs w:val="20"/>
        </w:rPr>
        <w:t xml:space="preserve"> на </w:t>
      </w:r>
      <w:proofErr w:type="spellStart"/>
      <w:r w:rsidRPr="00E16672">
        <w:rPr>
          <w:rFonts w:ascii="Times New Roman" w:hAnsi="Times New Roman"/>
          <w:b w:val="0"/>
          <w:bCs w:val="0"/>
          <w:szCs w:val="20"/>
        </w:rPr>
        <w:t>визначену</w:t>
      </w:r>
      <w:proofErr w:type="spellEnd"/>
      <w:r w:rsidRPr="00E16672">
        <w:rPr>
          <w:rFonts w:ascii="Times New Roman" w:hAnsi="Times New Roman"/>
          <w:b w:val="0"/>
          <w:bCs w:val="0"/>
          <w:szCs w:val="20"/>
        </w:rPr>
        <w:t xml:space="preserve"> </w:t>
      </w:r>
      <w:proofErr w:type="spellStart"/>
      <w:r w:rsidRPr="00E16672">
        <w:rPr>
          <w:rFonts w:ascii="Times New Roman" w:hAnsi="Times New Roman"/>
          <w:b w:val="0"/>
          <w:bCs w:val="0"/>
          <w:szCs w:val="20"/>
        </w:rPr>
        <w:t>відповідно</w:t>
      </w:r>
      <w:proofErr w:type="spellEnd"/>
      <w:r w:rsidRPr="00E16672">
        <w:rPr>
          <w:rFonts w:ascii="Times New Roman" w:hAnsi="Times New Roman"/>
          <w:b w:val="0"/>
          <w:bCs w:val="0"/>
          <w:szCs w:val="20"/>
        </w:rPr>
        <w:t xml:space="preserve"> до закону дату, </w:t>
      </w:r>
      <w:proofErr w:type="spellStart"/>
      <w:r w:rsidRPr="00E16672">
        <w:rPr>
          <w:rFonts w:ascii="Times New Roman" w:hAnsi="Times New Roman"/>
          <w:b w:val="0"/>
          <w:bCs w:val="0"/>
          <w:szCs w:val="20"/>
        </w:rPr>
        <w:t>повідомлення</w:t>
      </w:r>
      <w:proofErr w:type="spellEnd"/>
      <w:r w:rsidRPr="00E16672">
        <w:rPr>
          <w:rFonts w:ascii="Times New Roman" w:hAnsi="Times New Roman"/>
          <w:b w:val="0"/>
          <w:bCs w:val="0"/>
          <w:szCs w:val="20"/>
        </w:rPr>
        <w:t xml:space="preserve"> у </w:t>
      </w:r>
      <w:proofErr w:type="spellStart"/>
      <w:r w:rsidRPr="00E16672">
        <w:rPr>
          <w:rFonts w:ascii="Times New Roman" w:hAnsi="Times New Roman"/>
          <w:b w:val="0"/>
          <w:bCs w:val="0"/>
          <w:szCs w:val="20"/>
        </w:rPr>
        <w:t>разі</w:t>
      </w:r>
      <w:proofErr w:type="spellEnd"/>
      <w:r w:rsidRPr="00E16672">
        <w:rPr>
          <w:rFonts w:ascii="Times New Roman" w:hAnsi="Times New Roman"/>
          <w:b w:val="0"/>
          <w:bCs w:val="0"/>
          <w:szCs w:val="20"/>
        </w:rPr>
        <w:t xml:space="preserve"> </w:t>
      </w:r>
      <w:proofErr w:type="spellStart"/>
      <w:r w:rsidRPr="00E16672">
        <w:rPr>
          <w:rFonts w:ascii="Times New Roman" w:hAnsi="Times New Roman"/>
          <w:b w:val="0"/>
          <w:bCs w:val="0"/>
          <w:szCs w:val="20"/>
        </w:rPr>
        <w:t>направлення</w:t>
      </w:r>
      <w:proofErr w:type="spellEnd"/>
      <w:r w:rsidRPr="00E16672">
        <w:rPr>
          <w:rFonts w:ascii="Times New Roman" w:hAnsi="Times New Roman"/>
          <w:b w:val="0"/>
          <w:bCs w:val="0"/>
          <w:szCs w:val="20"/>
        </w:rPr>
        <w:t xml:space="preserve"> </w:t>
      </w:r>
      <w:proofErr w:type="spellStart"/>
      <w:r w:rsidRPr="00E16672">
        <w:rPr>
          <w:rFonts w:ascii="Times New Roman" w:hAnsi="Times New Roman"/>
          <w:b w:val="0"/>
          <w:bCs w:val="0"/>
          <w:szCs w:val="20"/>
        </w:rPr>
        <w:t>відповідним</w:t>
      </w:r>
      <w:proofErr w:type="spellEnd"/>
      <w:r w:rsidRPr="00E16672">
        <w:rPr>
          <w:rFonts w:ascii="Times New Roman" w:hAnsi="Times New Roman"/>
          <w:b w:val="0"/>
          <w:bCs w:val="0"/>
          <w:szCs w:val="20"/>
        </w:rPr>
        <w:t xml:space="preserve"> </w:t>
      </w:r>
      <w:proofErr w:type="spellStart"/>
      <w:r w:rsidRPr="00E16672">
        <w:rPr>
          <w:rFonts w:ascii="Times New Roman" w:hAnsi="Times New Roman"/>
          <w:b w:val="0"/>
          <w:bCs w:val="0"/>
          <w:szCs w:val="20"/>
        </w:rPr>
        <w:t>акціонерним</w:t>
      </w:r>
      <w:proofErr w:type="spellEnd"/>
      <w:r w:rsidRPr="00E16672">
        <w:rPr>
          <w:rFonts w:ascii="Times New Roman" w:hAnsi="Times New Roman"/>
          <w:b w:val="0"/>
          <w:bCs w:val="0"/>
          <w:szCs w:val="20"/>
        </w:rPr>
        <w:t xml:space="preserve"> </w:t>
      </w:r>
      <w:proofErr w:type="spellStart"/>
      <w:r w:rsidRPr="00E16672">
        <w:rPr>
          <w:rFonts w:ascii="Times New Roman" w:hAnsi="Times New Roman"/>
          <w:b w:val="0"/>
          <w:bCs w:val="0"/>
          <w:szCs w:val="20"/>
        </w:rPr>
        <w:t>товариством</w:t>
      </w:r>
      <w:proofErr w:type="spellEnd"/>
      <w:r w:rsidRPr="00E16672">
        <w:rPr>
          <w:rFonts w:ascii="Times New Roman" w:hAnsi="Times New Roman"/>
          <w:b w:val="0"/>
          <w:bCs w:val="0"/>
          <w:szCs w:val="20"/>
        </w:rPr>
        <w:t xml:space="preserve"> </w:t>
      </w:r>
      <w:proofErr w:type="spellStart"/>
      <w:r w:rsidRPr="00E16672">
        <w:rPr>
          <w:rFonts w:ascii="Times New Roman" w:hAnsi="Times New Roman"/>
          <w:b w:val="0"/>
          <w:bCs w:val="0"/>
          <w:szCs w:val="20"/>
        </w:rPr>
        <w:t>повідомлення</w:t>
      </w:r>
      <w:proofErr w:type="spellEnd"/>
      <w:r w:rsidRPr="00E16672">
        <w:rPr>
          <w:rFonts w:ascii="Times New Roman" w:hAnsi="Times New Roman"/>
          <w:b w:val="0"/>
          <w:bCs w:val="0"/>
          <w:szCs w:val="20"/>
        </w:rPr>
        <w:t xml:space="preserve"> </w:t>
      </w:r>
      <w:proofErr w:type="spellStart"/>
      <w:r w:rsidRPr="00E16672">
        <w:rPr>
          <w:rFonts w:ascii="Times New Roman" w:hAnsi="Times New Roman"/>
          <w:b w:val="0"/>
          <w:bCs w:val="0"/>
          <w:szCs w:val="20"/>
        </w:rPr>
        <w:t>акціонерам</w:t>
      </w:r>
      <w:proofErr w:type="spellEnd"/>
      <w:r w:rsidRPr="00E16672">
        <w:rPr>
          <w:rFonts w:ascii="Times New Roman" w:hAnsi="Times New Roman"/>
          <w:b w:val="0"/>
          <w:bCs w:val="0"/>
          <w:szCs w:val="20"/>
        </w:rPr>
        <w:t xml:space="preserve"> через </w:t>
      </w:r>
      <w:proofErr w:type="spellStart"/>
      <w:r w:rsidRPr="00E16672">
        <w:rPr>
          <w:rFonts w:ascii="Times New Roman" w:hAnsi="Times New Roman"/>
          <w:b w:val="0"/>
          <w:bCs w:val="0"/>
          <w:szCs w:val="20"/>
        </w:rPr>
        <w:t>депозитарну</w:t>
      </w:r>
      <w:proofErr w:type="spellEnd"/>
      <w:r w:rsidRPr="00E16672">
        <w:rPr>
          <w:rFonts w:ascii="Times New Roman" w:hAnsi="Times New Roman"/>
          <w:b w:val="0"/>
          <w:bCs w:val="0"/>
          <w:szCs w:val="20"/>
        </w:rPr>
        <w:t xml:space="preserve"> систему </w:t>
      </w:r>
      <w:proofErr w:type="spellStart"/>
      <w:r w:rsidRPr="00E16672">
        <w:rPr>
          <w:rFonts w:ascii="Times New Roman" w:hAnsi="Times New Roman"/>
          <w:b w:val="0"/>
          <w:bCs w:val="0"/>
          <w:szCs w:val="20"/>
        </w:rPr>
        <w:t>України</w:t>
      </w:r>
      <w:proofErr w:type="spellEnd"/>
      <w:r w:rsidRPr="00E16672">
        <w:rPr>
          <w:rFonts w:ascii="Times New Roman" w:hAnsi="Times New Roman"/>
          <w:b w:val="0"/>
          <w:bCs w:val="0"/>
          <w:szCs w:val="20"/>
        </w:rPr>
        <w:t xml:space="preserve"> </w:t>
      </w:r>
      <w:proofErr w:type="spellStart"/>
      <w:r w:rsidRPr="00E16672">
        <w:rPr>
          <w:rFonts w:ascii="Times New Roman" w:hAnsi="Times New Roman"/>
          <w:b w:val="0"/>
          <w:bCs w:val="0"/>
          <w:szCs w:val="20"/>
        </w:rPr>
        <w:t>відповідно</w:t>
      </w:r>
      <w:proofErr w:type="spellEnd"/>
      <w:r w:rsidRPr="00E16672">
        <w:rPr>
          <w:rFonts w:ascii="Times New Roman" w:hAnsi="Times New Roman"/>
          <w:b w:val="0"/>
          <w:bCs w:val="0"/>
          <w:szCs w:val="20"/>
        </w:rPr>
        <w:t xml:space="preserve"> до </w:t>
      </w:r>
      <w:hyperlink r:id="rId27" w:anchor="n3" w:tgtFrame="_blank" w:history="1">
        <w:r w:rsidRPr="00E16672">
          <w:rPr>
            <w:rFonts w:ascii="Times New Roman" w:hAnsi="Times New Roman"/>
            <w:b w:val="0"/>
            <w:bCs w:val="0"/>
            <w:szCs w:val="20"/>
          </w:rPr>
          <w:t xml:space="preserve">Закону </w:t>
        </w:r>
        <w:proofErr w:type="spellStart"/>
        <w:r w:rsidRPr="00E16672">
          <w:rPr>
            <w:rFonts w:ascii="Times New Roman" w:hAnsi="Times New Roman"/>
            <w:b w:val="0"/>
            <w:bCs w:val="0"/>
            <w:szCs w:val="20"/>
          </w:rPr>
          <w:t>України</w:t>
        </w:r>
        <w:proofErr w:type="spellEnd"/>
      </w:hyperlink>
      <w:r w:rsidRPr="00E16672">
        <w:rPr>
          <w:rFonts w:ascii="Times New Roman" w:hAnsi="Times New Roman"/>
          <w:b w:val="0"/>
          <w:bCs w:val="0"/>
          <w:szCs w:val="20"/>
        </w:rPr>
        <w:t> </w:t>
      </w:r>
      <w:r w:rsidR="00022F5F">
        <w:rPr>
          <w:rFonts w:ascii="Times New Roman" w:hAnsi="Times New Roman"/>
          <w:b w:val="0"/>
          <w:bCs w:val="0"/>
          <w:szCs w:val="20"/>
        </w:rPr>
        <w:t>"</w:t>
      </w:r>
      <w:r w:rsidRPr="00E16672">
        <w:rPr>
          <w:rFonts w:ascii="Times New Roman" w:hAnsi="Times New Roman"/>
          <w:b w:val="0"/>
          <w:bCs w:val="0"/>
          <w:szCs w:val="20"/>
        </w:rPr>
        <w:t xml:space="preserve">Про </w:t>
      </w:r>
      <w:proofErr w:type="spellStart"/>
      <w:r w:rsidRPr="00E16672">
        <w:rPr>
          <w:rFonts w:ascii="Times New Roman" w:hAnsi="Times New Roman"/>
          <w:b w:val="0"/>
          <w:bCs w:val="0"/>
          <w:szCs w:val="20"/>
        </w:rPr>
        <w:t>акціонерні</w:t>
      </w:r>
      <w:proofErr w:type="spellEnd"/>
      <w:r w:rsidRPr="00E16672">
        <w:rPr>
          <w:rFonts w:ascii="Times New Roman" w:hAnsi="Times New Roman"/>
          <w:b w:val="0"/>
          <w:bCs w:val="0"/>
          <w:szCs w:val="20"/>
        </w:rPr>
        <w:t xml:space="preserve"> </w:t>
      </w:r>
      <w:proofErr w:type="spellStart"/>
      <w:r w:rsidRPr="00E16672">
        <w:rPr>
          <w:rFonts w:ascii="Times New Roman" w:hAnsi="Times New Roman"/>
          <w:b w:val="0"/>
          <w:bCs w:val="0"/>
          <w:szCs w:val="20"/>
        </w:rPr>
        <w:t>товариства</w:t>
      </w:r>
      <w:proofErr w:type="spellEnd"/>
      <w:r w:rsidR="00022F5F">
        <w:rPr>
          <w:rFonts w:ascii="Times New Roman" w:hAnsi="Times New Roman"/>
          <w:b w:val="0"/>
          <w:bCs w:val="0"/>
          <w:szCs w:val="20"/>
        </w:rPr>
        <w:t>"</w:t>
      </w:r>
      <w:r w:rsidRPr="00E16672">
        <w:rPr>
          <w:rFonts w:ascii="Times New Roman" w:hAnsi="Times New Roman"/>
          <w:b w:val="0"/>
          <w:bCs w:val="0"/>
          <w:szCs w:val="20"/>
        </w:rPr>
        <w:t>.</w:t>
      </w:r>
    </w:p>
    <w:p w14:paraId="65E2C08E" w14:textId="77777777" w:rsidR="000A5A99" w:rsidRPr="00E16672" w:rsidRDefault="000A5A99" w:rsidP="000A5A99">
      <w:pPr>
        <w:rPr>
          <w:rFonts w:ascii="Times New Roman" w:hAnsi="Times New Roman"/>
          <w:color w:val="000000"/>
          <w:szCs w:val="20"/>
          <w:lang w:val="uk-UA"/>
        </w:rPr>
      </w:pPr>
      <w:r w:rsidRPr="00E16672">
        <w:rPr>
          <w:rFonts w:ascii="Times New Roman" w:hAnsi="Times New Roman"/>
          <w:szCs w:val="20"/>
          <w:lang w:val="uk-UA"/>
        </w:rPr>
        <w:t>2.1.18 Протягом</w:t>
      </w:r>
      <w:r w:rsidRPr="00E16672">
        <w:rPr>
          <w:rFonts w:ascii="Times New Roman" w:hAnsi="Times New Roman"/>
          <w:i/>
          <w:iCs/>
          <w:szCs w:val="20"/>
          <w:lang w:val="uk-UA"/>
        </w:rPr>
        <w:t xml:space="preserve"> </w:t>
      </w:r>
      <w:r w:rsidRPr="00E16672">
        <w:rPr>
          <w:rFonts w:ascii="Times New Roman" w:hAnsi="Times New Roman"/>
          <w:i/>
          <w:iCs/>
          <w:color w:val="000000"/>
          <w:szCs w:val="20"/>
          <w:lang w:val="uk-UA"/>
        </w:rPr>
        <w:t>операційного</w:t>
      </w:r>
      <w:r w:rsidRPr="00E16672">
        <w:rPr>
          <w:rFonts w:ascii="Times New Roman" w:hAnsi="Times New Roman"/>
          <w:color w:val="000000"/>
          <w:szCs w:val="20"/>
          <w:lang w:val="uk-UA"/>
        </w:rPr>
        <w:t xml:space="preserve"> дня виявлення технічної помилки, допущеної при виконанні депозитарної операції, виконати коригувальні операції.</w:t>
      </w:r>
    </w:p>
    <w:p w14:paraId="47020311" w14:textId="77777777" w:rsidR="000A5A99" w:rsidRPr="00E16672" w:rsidRDefault="000A5A99" w:rsidP="000A5A99">
      <w:pPr>
        <w:rPr>
          <w:rFonts w:ascii="Times New Roman" w:hAnsi="Times New Roman"/>
          <w:color w:val="000000"/>
          <w:szCs w:val="20"/>
          <w:lang w:val="uk-UA"/>
        </w:rPr>
      </w:pPr>
      <w:r w:rsidRPr="00E16672">
        <w:rPr>
          <w:rFonts w:ascii="Times New Roman" w:hAnsi="Times New Roman"/>
          <w:color w:val="000000"/>
          <w:szCs w:val="20"/>
          <w:lang w:val="uk-UA"/>
        </w:rPr>
        <w:t xml:space="preserve">2.1.19 Письмово повідомити Емітента про проведення коригувальної операції протягом </w:t>
      </w:r>
      <w:r w:rsidRPr="00E16672">
        <w:rPr>
          <w:rFonts w:ascii="Times New Roman" w:hAnsi="Times New Roman"/>
          <w:i/>
          <w:color w:val="000000"/>
          <w:szCs w:val="20"/>
          <w:lang w:val="uk-UA"/>
        </w:rPr>
        <w:t xml:space="preserve">трьох </w:t>
      </w:r>
      <w:r w:rsidRPr="00E16672">
        <w:rPr>
          <w:rFonts w:ascii="Times New Roman" w:hAnsi="Times New Roman"/>
          <w:color w:val="000000"/>
          <w:szCs w:val="20"/>
          <w:lang w:val="uk-UA"/>
        </w:rPr>
        <w:t>робочих днів з дати її проведення.</w:t>
      </w:r>
    </w:p>
    <w:p w14:paraId="333C8A34" w14:textId="77777777" w:rsidR="000A5A99" w:rsidRPr="00E16672" w:rsidRDefault="000A5A99" w:rsidP="000A5A99">
      <w:pPr>
        <w:rPr>
          <w:rFonts w:ascii="Times New Roman" w:eastAsia="Arial Unicode MS" w:hAnsi="Times New Roman"/>
          <w:color w:val="000000"/>
          <w:szCs w:val="20"/>
          <w:shd w:val="clear" w:color="auto" w:fill="FFFFFF"/>
          <w:lang w:val="uk-UA"/>
        </w:rPr>
      </w:pPr>
      <w:r w:rsidRPr="00E16672">
        <w:rPr>
          <w:rFonts w:ascii="Times New Roman" w:eastAsia="Arial Unicode MS" w:hAnsi="Times New Roman"/>
          <w:color w:val="000000"/>
          <w:szCs w:val="20"/>
          <w:shd w:val="clear" w:color="auto" w:fill="FFFFFF"/>
          <w:lang w:val="uk-UA"/>
        </w:rPr>
        <w:t xml:space="preserve">2.1.20 Відмінити облікові операції, які були ініційовані </w:t>
      </w:r>
      <w:r w:rsidRPr="00E16672">
        <w:rPr>
          <w:rFonts w:ascii="Times New Roman" w:eastAsia="Arial Unicode MS" w:hAnsi="Times New Roman"/>
          <w:color w:val="000000"/>
          <w:szCs w:val="20"/>
          <w:lang w:val="uk-UA"/>
        </w:rPr>
        <w:t>Депозитарною установою</w:t>
      </w:r>
      <w:r w:rsidRPr="00E16672">
        <w:rPr>
          <w:rFonts w:ascii="Times New Roman" w:eastAsia="Arial Unicode MS" w:hAnsi="Times New Roman"/>
          <w:color w:val="000000"/>
          <w:szCs w:val="20"/>
          <w:shd w:val="clear" w:color="auto" w:fill="FFFFFF"/>
          <w:lang w:val="uk-UA"/>
        </w:rPr>
        <w:t xml:space="preserve"> у депозитарії, але не були завершені протягом </w:t>
      </w:r>
      <w:r w:rsidRPr="00E16672">
        <w:rPr>
          <w:rFonts w:ascii="Times New Roman" w:eastAsia="Arial Unicode MS" w:hAnsi="Times New Roman"/>
          <w:i/>
          <w:iCs/>
          <w:color w:val="000000"/>
          <w:szCs w:val="20"/>
          <w:shd w:val="clear" w:color="auto" w:fill="FFFFFF"/>
          <w:lang w:val="uk-UA"/>
        </w:rPr>
        <w:t>трьох</w:t>
      </w:r>
      <w:r w:rsidRPr="00E16672">
        <w:rPr>
          <w:rFonts w:ascii="Times New Roman" w:eastAsia="Arial Unicode MS" w:hAnsi="Times New Roman"/>
          <w:color w:val="000000"/>
          <w:szCs w:val="20"/>
          <w:shd w:val="clear" w:color="auto" w:fill="FFFFFF"/>
          <w:lang w:val="uk-UA"/>
        </w:rPr>
        <w:t xml:space="preserve"> робочих днів за підстав, які не залежать від </w:t>
      </w:r>
      <w:r w:rsidRPr="00E16672">
        <w:rPr>
          <w:rFonts w:ascii="Times New Roman" w:eastAsia="Arial Unicode MS" w:hAnsi="Times New Roman"/>
          <w:color w:val="000000"/>
          <w:szCs w:val="20"/>
          <w:lang w:val="uk-UA"/>
        </w:rPr>
        <w:t>Депозитарної установи</w:t>
      </w:r>
      <w:r w:rsidRPr="00E16672">
        <w:rPr>
          <w:rFonts w:ascii="Times New Roman" w:eastAsia="Arial Unicode MS" w:hAnsi="Times New Roman"/>
          <w:color w:val="000000"/>
          <w:szCs w:val="20"/>
          <w:shd w:val="clear" w:color="auto" w:fill="FFFFFF"/>
          <w:lang w:val="uk-UA"/>
        </w:rPr>
        <w:t>, у випадку отримання відповідного розпорядження відміни (анулювання) його попереднього розпорядження.</w:t>
      </w:r>
    </w:p>
    <w:p w14:paraId="348EBD5D" w14:textId="77777777" w:rsidR="000A5A99" w:rsidRPr="00E16672" w:rsidRDefault="000A5A99" w:rsidP="00022F5F">
      <w:pPr>
        <w:tabs>
          <w:tab w:val="left" w:pos="709"/>
        </w:tabs>
        <w:jc w:val="left"/>
        <w:rPr>
          <w:rFonts w:ascii="Times New Roman" w:hAnsi="Times New Roman"/>
          <w:color w:val="000000"/>
          <w:szCs w:val="20"/>
          <w:lang w:val="uk-UA"/>
        </w:rPr>
      </w:pPr>
      <w:r w:rsidRPr="00E16672">
        <w:rPr>
          <w:rFonts w:ascii="Times New Roman" w:eastAsia="Arial Unicode MS" w:hAnsi="Times New Roman"/>
          <w:color w:val="000000"/>
          <w:szCs w:val="20"/>
          <w:shd w:val="clear" w:color="auto" w:fill="FFFFFF"/>
          <w:lang w:val="uk-UA"/>
        </w:rPr>
        <w:t xml:space="preserve">2.1.21. </w:t>
      </w:r>
      <w:r w:rsidR="00875236" w:rsidRPr="00E16672">
        <w:rPr>
          <w:rFonts w:ascii="Times New Roman" w:hAnsi="Times New Roman"/>
          <w:szCs w:val="20"/>
          <w:lang w:val="uk-UA"/>
        </w:rPr>
        <w:t xml:space="preserve">Розкривати </w:t>
      </w:r>
      <w:r w:rsidR="009018E7" w:rsidRPr="00E16672">
        <w:rPr>
          <w:rFonts w:ascii="Times New Roman" w:hAnsi="Times New Roman"/>
          <w:szCs w:val="20"/>
          <w:lang w:val="uk-UA"/>
        </w:rPr>
        <w:t xml:space="preserve">Емітенту </w:t>
      </w:r>
      <w:r w:rsidR="00875236" w:rsidRPr="00E16672">
        <w:rPr>
          <w:rFonts w:ascii="Times New Roman" w:hAnsi="Times New Roman"/>
          <w:szCs w:val="20"/>
          <w:lang w:val="uk-UA"/>
        </w:rPr>
        <w:t>інформацію про умови та порядок діяльності депозитарної установи з урахуванням вимог, встановлених</w:t>
      </w:r>
      <w:r w:rsidR="00875236" w:rsidRPr="00E16672">
        <w:rPr>
          <w:rFonts w:ascii="Times New Roman" w:hAnsi="Times New Roman"/>
          <w:szCs w:val="20"/>
        </w:rPr>
        <w:t> </w:t>
      </w:r>
      <w:r w:rsidR="00875236" w:rsidRPr="00E16672">
        <w:rPr>
          <w:rFonts w:ascii="Times New Roman" w:hAnsi="Times New Roman"/>
          <w:szCs w:val="20"/>
          <w:lang w:val="uk-UA"/>
        </w:rPr>
        <w:t xml:space="preserve">частиною першою статті 12 Закону України </w:t>
      </w:r>
      <w:r w:rsidR="00022F5F">
        <w:rPr>
          <w:rFonts w:ascii="Times New Roman" w:hAnsi="Times New Roman"/>
          <w:szCs w:val="20"/>
          <w:lang w:val="uk-UA"/>
        </w:rPr>
        <w:t>"</w:t>
      </w:r>
      <w:r w:rsidR="00875236" w:rsidRPr="00E16672">
        <w:rPr>
          <w:rFonts w:ascii="Times New Roman" w:hAnsi="Times New Roman"/>
          <w:szCs w:val="20"/>
          <w:lang w:val="uk-UA"/>
        </w:rPr>
        <w:t>Про фінансові послуги та державне регулювання ринків фінансових послуг</w:t>
      </w:r>
      <w:r w:rsidR="00022F5F">
        <w:rPr>
          <w:rFonts w:ascii="Times New Roman" w:hAnsi="Times New Roman"/>
          <w:szCs w:val="20"/>
          <w:lang w:val="uk-UA"/>
        </w:rPr>
        <w:t>"</w:t>
      </w:r>
      <w:r w:rsidRPr="00E16672">
        <w:rPr>
          <w:rFonts w:ascii="Times New Roman" w:hAnsi="Times New Roman"/>
          <w:color w:val="000000"/>
          <w:szCs w:val="20"/>
          <w:lang w:val="uk-UA"/>
        </w:rPr>
        <w:t>.</w:t>
      </w:r>
    </w:p>
    <w:p w14:paraId="630375C5" w14:textId="77777777" w:rsidR="000A5A99" w:rsidRPr="00E16672" w:rsidRDefault="000A5A99" w:rsidP="000A5A99">
      <w:pPr>
        <w:tabs>
          <w:tab w:val="left" w:pos="851"/>
          <w:tab w:val="left" w:pos="7200"/>
        </w:tabs>
        <w:ind w:firstLine="539"/>
        <w:rPr>
          <w:rFonts w:ascii="Times New Roman" w:hAnsi="Times New Roman"/>
          <w:color w:val="000000"/>
          <w:szCs w:val="20"/>
        </w:rPr>
      </w:pPr>
      <w:r w:rsidRPr="00E16672">
        <w:rPr>
          <w:rFonts w:ascii="Times New Roman" w:hAnsi="Times New Roman"/>
          <w:color w:val="000000"/>
          <w:szCs w:val="20"/>
        </w:rPr>
        <w:t>2.1.2</w:t>
      </w:r>
      <w:r w:rsidRPr="00E16672">
        <w:rPr>
          <w:rFonts w:ascii="Times New Roman" w:hAnsi="Times New Roman"/>
          <w:color w:val="000000"/>
          <w:szCs w:val="20"/>
          <w:lang w:val="uk-UA"/>
        </w:rPr>
        <w:t>2</w:t>
      </w:r>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Ідентифікувати</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Емітента</w:t>
      </w:r>
      <w:proofErr w:type="spellEnd"/>
      <w:r w:rsidRPr="00E16672">
        <w:rPr>
          <w:rFonts w:ascii="Times New Roman" w:hAnsi="Times New Roman"/>
          <w:color w:val="000000"/>
          <w:szCs w:val="20"/>
        </w:rPr>
        <w:t xml:space="preserve"> на </w:t>
      </w:r>
      <w:proofErr w:type="spellStart"/>
      <w:r w:rsidRPr="00E16672">
        <w:rPr>
          <w:rFonts w:ascii="Times New Roman" w:hAnsi="Times New Roman"/>
          <w:color w:val="000000"/>
          <w:szCs w:val="20"/>
        </w:rPr>
        <w:t>підставі</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наданих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оригіналів</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або</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належним</w:t>
      </w:r>
      <w:proofErr w:type="spellEnd"/>
      <w:r w:rsidRPr="00E16672">
        <w:rPr>
          <w:rFonts w:ascii="Times New Roman" w:hAnsi="Times New Roman"/>
          <w:color w:val="000000"/>
          <w:szCs w:val="20"/>
        </w:rPr>
        <w:t xml:space="preserve"> чином </w:t>
      </w:r>
      <w:proofErr w:type="spellStart"/>
      <w:r w:rsidRPr="00E16672">
        <w:rPr>
          <w:rFonts w:ascii="Times New Roman" w:hAnsi="Times New Roman"/>
          <w:color w:val="000000"/>
          <w:szCs w:val="20"/>
        </w:rPr>
        <w:t>завірених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копій</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документів</w:t>
      </w:r>
      <w:proofErr w:type="spellEnd"/>
      <w:r w:rsidRPr="00E16672">
        <w:rPr>
          <w:rFonts w:ascii="Times New Roman" w:hAnsi="Times New Roman"/>
          <w:color w:val="000000"/>
          <w:szCs w:val="20"/>
        </w:rPr>
        <w:t xml:space="preserve"> </w:t>
      </w:r>
      <w:proofErr w:type="gramStart"/>
      <w:r w:rsidRPr="00E16672">
        <w:rPr>
          <w:rFonts w:ascii="Times New Roman" w:hAnsi="Times New Roman"/>
          <w:color w:val="000000"/>
          <w:szCs w:val="20"/>
        </w:rPr>
        <w:t>у порядку</w:t>
      </w:r>
      <w:proofErr w:type="gram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встановленому</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законодавством</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України</w:t>
      </w:r>
      <w:proofErr w:type="spellEnd"/>
      <w:r w:rsidRPr="00E16672">
        <w:rPr>
          <w:rFonts w:ascii="Times New Roman" w:hAnsi="Times New Roman"/>
          <w:color w:val="000000"/>
          <w:szCs w:val="20"/>
        </w:rPr>
        <w:t>.</w:t>
      </w:r>
    </w:p>
    <w:p w14:paraId="16C9F05E" w14:textId="478CC26E" w:rsidR="000A5A99" w:rsidRPr="00E16672" w:rsidRDefault="000A5A99" w:rsidP="000A5A99">
      <w:pPr>
        <w:pStyle w:val="rvps2"/>
        <w:spacing w:before="0" w:beforeAutospacing="0" w:after="0" w:afterAutospacing="0"/>
        <w:ind w:firstLine="563"/>
        <w:rPr>
          <w:rFonts w:ascii="Times New Roman" w:hAnsi="Times New Roman"/>
          <w:color w:val="000000"/>
          <w:szCs w:val="20"/>
        </w:rPr>
      </w:pPr>
      <w:r w:rsidRPr="00E16672">
        <w:rPr>
          <w:rFonts w:ascii="Times New Roman" w:hAnsi="Times New Roman"/>
          <w:color w:val="000000"/>
          <w:szCs w:val="20"/>
        </w:rPr>
        <w:t xml:space="preserve">Ідентифікація та верифікація власників цінних паперів, яким були відкриті рахунки в цінних паперах на підставі Договору з Емітентом, здійснюються Депозитарною установою при укладанні договору про обслуговування рахунку в цінних паперах між власником цінних паперів та Депозитарною установою або при виконанні Депозитарною установою операцій, пов'язаних з переведенням прав на цінні папери з рахунку </w:t>
      </w:r>
      <w:r w:rsidR="00C22309" w:rsidRPr="00E16672">
        <w:rPr>
          <w:rFonts w:ascii="Times New Roman" w:hAnsi="Times New Roman"/>
          <w:color w:val="000000"/>
          <w:szCs w:val="20"/>
        </w:rPr>
        <w:t>в цін</w:t>
      </w:r>
      <w:r w:rsidRPr="00E16672">
        <w:rPr>
          <w:rFonts w:ascii="Times New Roman" w:hAnsi="Times New Roman"/>
          <w:color w:val="000000"/>
          <w:szCs w:val="20"/>
        </w:rPr>
        <w:t xml:space="preserve">них паперах власника, відкритого Емітентом на підставі відповідного договору, на рахунок </w:t>
      </w:r>
      <w:r w:rsidR="00C22309" w:rsidRPr="00E16672">
        <w:rPr>
          <w:rFonts w:ascii="Times New Roman" w:hAnsi="Times New Roman"/>
          <w:color w:val="000000"/>
          <w:szCs w:val="20"/>
        </w:rPr>
        <w:t>в цін</w:t>
      </w:r>
      <w:r w:rsidRPr="00E16672">
        <w:rPr>
          <w:rFonts w:ascii="Times New Roman" w:hAnsi="Times New Roman"/>
          <w:color w:val="000000"/>
          <w:szCs w:val="20"/>
        </w:rPr>
        <w:t xml:space="preserve">них паперах цього власника, відкритий в іншій депозитарній установі, або на рахунок </w:t>
      </w:r>
      <w:r w:rsidR="00C22309" w:rsidRPr="00E16672">
        <w:rPr>
          <w:rFonts w:ascii="Times New Roman" w:hAnsi="Times New Roman"/>
          <w:color w:val="000000"/>
          <w:szCs w:val="20"/>
        </w:rPr>
        <w:t>в цін</w:t>
      </w:r>
      <w:r w:rsidRPr="00E16672">
        <w:rPr>
          <w:rFonts w:ascii="Times New Roman" w:hAnsi="Times New Roman"/>
          <w:color w:val="000000"/>
          <w:szCs w:val="20"/>
        </w:rPr>
        <w:t xml:space="preserve">них паперах цього власника, відкритий йому Депозитарною установою до проведення переведення цінних паперів у бездокументарну форму, якщо сумарна номінальна вартість цінних паперів дорівнює чи перевищує </w:t>
      </w:r>
      <w:r w:rsidR="00800FB1">
        <w:rPr>
          <w:rFonts w:ascii="Times New Roman" w:hAnsi="Times New Roman"/>
          <w:color w:val="000000"/>
          <w:szCs w:val="20"/>
        </w:rPr>
        <w:t>400000</w:t>
      </w:r>
      <w:r w:rsidRPr="00E16672">
        <w:rPr>
          <w:rFonts w:ascii="Times New Roman" w:hAnsi="Times New Roman"/>
          <w:color w:val="000000"/>
          <w:szCs w:val="20"/>
        </w:rPr>
        <w:t xml:space="preserve"> гривень, або суму, еквівалентну зазначеній сумі, у тому числі в іноземній валюті.</w:t>
      </w:r>
    </w:p>
    <w:p w14:paraId="5C170BE8" w14:textId="77777777" w:rsidR="000A5A99" w:rsidRPr="00E16672" w:rsidRDefault="000A5A99" w:rsidP="000A5A99">
      <w:pPr>
        <w:pStyle w:val="rvps2"/>
        <w:spacing w:before="0" w:beforeAutospacing="0" w:after="0" w:afterAutospacing="0"/>
        <w:ind w:firstLine="563"/>
        <w:rPr>
          <w:rFonts w:ascii="Times New Roman" w:hAnsi="Times New Roman"/>
          <w:color w:val="000000"/>
          <w:szCs w:val="20"/>
        </w:rPr>
      </w:pPr>
      <w:r w:rsidRPr="00E16672">
        <w:rPr>
          <w:rStyle w:val="rvts0"/>
          <w:rFonts w:ascii="Times New Roman" w:hAnsi="Times New Roman"/>
          <w:color w:val="000000"/>
          <w:szCs w:val="20"/>
        </w:rPr>
        <w:t xml:space="preserve">Ідентифікація Емітента не є обов’язковою у разі проведення фінансової операції, якщо раніше він були </w:t>
      </w:r>
      <w:proofErr w:type="spellStart"/>
      <w:r w:rsidRPr="00E16672">
        <w:rPr>
          <w:rStyle w:val="rvts0"/>
          <w:rFonts w:ascii="Times New Roman" w:hAnsi="Times New Roman"/>
          <w:color w:val="000000"/>
          <w:szCs w:val="20"/>
        </w:rPr>
        <w:t>ідентифікованйабо</w:t>
      </w:r>
      <w:proofErr w:type="spellEnd"/>
      <w:r w:rsidRPr="00E16672">
        <w:rPr>
          <w:rStyle w:val="rvts0"/>
          <w:rFonts w:ascii="Times New Roman" w:hAnsi="Times New Roman"/>
          <w:color w:val="000000"/>
          <w:szCs w:val="20"/>
        </w:rPr>
        <w:t xml:space="preserve"> </w:t>
      </w:r>
      <w:proofErr w:type="spellStart"/>
      <w:r w:rsidRPr="00E16672">
        <w:rPr>
          <w:rStyle w:val="rvts0"/>
          <w:rFonts w:ascii="Times New Roman" w:hAnsi="Times New Roman"/>
          <w:color w:val="000000"/>
          <w:szCs w:val="20"/>
        </w:rPr>
        <w:t>верифікований</w:t>
      </w:r>
      <w:proofErr w:type="spellEnd"/>
      <w:r w:rsidRPr="00E16672">
        <w:rPr>
          <w:rStyle w:val="rvts0"/>
          <w:rFonts w:ascii="Times New Roman" w:hAnsi="Times New Roman"/>
          <w:color w:val="000000"/>
          <w:szCs w:val="20"/>
        </w:rPr>
        <w:t xml:space="preserve"> згідно з вимогами закону.</w:t>
      </w:r>
    </w:p>
    <w:p w14:paraId="7B30A13D" w14:textId="77777777" w:rsidR="000A5A99" w:rsidRPr="00E16672" w:rsidRDefault="000A5A99" w:rsidP="000A5A99">
      <w:pPr>
        <w:tabs>
          <w:tab w:val="left" w:pos="0"/>
        </w:tabs>
        <w:rPr>
          <w:rFonts w:ascii="Times New Roman" w:eastAsia="Arial Unicode MS" w:hAnsi="Times New Roman"/>
          <w:b/>
          <w:bCs/>
          <w:color w:val="000000"/>
          <w:szCs w:val="20"/>
          <w:lang w:val="uk-UA"/>
        </w:rPr>
      </w:pPr>
    </w:p>
    <w:p w14:paraId="13A698D3" w14:textId="77777777" w:rsidR="000A5A99" w:rsidRPr="00E16672" w:rsidRDefault="000A5A99" w:rsidP="000A5A99">
      <w:pPr>
        <w:tabs>
          <w:tab w:val="left" w:pos="0"/>
        </w:tabs>
        <w:rPr>
          <w:rFonts w:ascii="Times New Roman" w:eastAsia="Arial Unicode MS" w:hAnsi="Times New Roman"/>
          <w:b/>
          <w:bCs/>
          <w:color w:val="000000"/>
          <w:szCs w:val="20"/>
          <w:lang w:val="uk-UA"/>
        </w:rPr>
      </w:pPr>
      <w:r w:rsidRPr="00E16672">
        <w:rPr>
          <w:rFonts w:ascii="Times New Roman" w:eastAsia="Arial Unicode MS" w:hAnsi="Times New Roman"/>
          <w:b/>
          <w:bCs/>
          <w:color w:val="000000"/>
          <w:szCs w:val="20"/>
          <w:lang w:val="uk-UA"/>
        </w:rPr>
        <w:t>2.2. Депозитарна установа має право:</w:t>
      </w:r>
    </w:p>
    <w:p w14:paraId="79418D46" w14:textId="77777777" w:rsidR="000A5A99" w:rsidRPr="00E16672" w:rsidRDefault="000A5A99" w:rsidP="000A5A99">
      <w:pPr>
        <w:pStyle w:val="22"/>
        <w:tabs>
          <w:tab w:val="left" w:pos="0"/>
        </w:tabs>
        <w:ind w:firstLine="567"/>
        <w:rPr>
          <w:rFonts w:ascii="Times New Roman" w:eastAsia="Arial Unicode MS" w:hAnsi="Times New Roman"/>
          <w:color w:val="000000"/>
        </w:rPr>
      </w:pPr>
      <w:r w:rsidRPr="00E16672">
        <w:rPr>
          <w:rFonts w:ascii="Times New Roman" w:eastAsia="Arial Unicode MS" w:hAnsi="Times New Roman"/>
          <w:color w:val="000000"/>
        </w:rPr>
        <w:lastRenderedPageBreak/>
        <w:t xml:space="preserve">2.2.1. Здійснювати підготовку та надання довідково-аналітичних матеріалів, що характеризують ринок цінних паперів, консультування з питань </w:t>
      </w:r>
      <w:proofErr w:type="spellStart"/>
      <w:r w:rsidRPr="00E16672">
        <w:rPr>
          <w:rFonts w:ascii="Times New Roman" w:eastAsia="Arial Unicode MS" w:hAnsi="Times New Roman"/>
          <w:color w:val="000000"/>
        </w:rPr>
        <w:t>обіг</w:t>
      </w:r>
      <w:r w:rsidR="00C22309" w:rsidRPr="00E16672">
        <w:rPr>
          <w:rFonts w:ascii="Times New Roman" w:eastAsia="Arial Unicode MS" w:hAnsi="Times New Roman"/>
          <w:color w:val="000000"/>
        </w:rPr>
        <w:t>в</w:t>
      </w:r>
      <w:proofErr w:type="spellEnd"/>
      <w:r w:rsidR="00C22309" w:rsidRPr="00E16672">
        <w:rPr>
          <w:rFonts w:ascii="Times New Roman" w:eastAsia="Arial Unicode MS" w:hAnsi="Times New Roman"/>
          <w:color w:val="000000"/>
        </w:rPr>
        <w:t xml:space="preserve"> цін</w:t>
      </w:r>
      <w:r w:rsidRPr="00E16672">
        <w:rPr>
          <w:rFonts w:ascii="Times New Roman" w:eastAsia="Arial Unicode MS" w:hAnsi="Times New Roman"/>
          <w:color w:val="000000"/>
        </w:rPr>
        <w:t>них паперів та обліку прав власності на них, надавати іншу інформацію, яка необхідна Емітенту для реалізації своїх прав та обов’язків, надавати інші послуги відповідно до законодавства.</w:t>
      </w:r>
    </w:p>
    <w:p w14:paraId="62D5A03A" w14:textId="77777777" w:rsidR="000A5A99" w:rsidRPr="00E16672" w:rsidRDefault="000A5A99" w:rsidP="000A5A99">
      <w:pPr>
        <w:pStyle w:val="22"/>
        <w:tabs>
          <w:tab w:val="left" w:pos="0"/>
        </w:tabs>
        <w:ind w:firstLine="567"/>
        <w:rPr>
          <w:rFonts w:ascii="Times New Roman" w:eastAsia="Arial Unicode MS" w:hAnsi="Times New Roman"/>
        </w:rPr>
      </w:pPr>
      <w:r w:rsidRPr="00E16672">
        <w:rPr>
          <w:rFonts w:ascii="Times New Roman" w:eastAsia="Arial Unicode MS" w:hAnsi="Times New Roman"/>
          <w:color w:val="000000"/>
        </w:rPr>
        <w:t>2.2.2. Виплачувати доходи у грошових коштах за результатами здійснення корпоративних операцій Емітента, які підлягають виплаті Власникам</w:t>
      </w:r>
      <w:r w:rsidRPr="00E16672">
        <w:rPr>
          <w:rFonts w:ascii="Times New Roman" w:eastAsia="Arial Unicode MS" w:hAnsi="Times New Roman"/>
        </w:rPr>
        <w:t>, рахунки в цінних паперах яких обслуговуються Депозитарною установою на підставі цього Договору, за умови укладення з Емітентом додаткової угоди щодо порядку та умов надання вказаної послуги.</w:t>
      </w:r>
    </w:p>
    <w:p w14:paraId="3870BD31" w14:textId="77777777" w:rsidR="000A5A99" w:rsidRPr="00E16672" w:rsidRDefault="000A5A99" w:rsidP="000A5A99">
      <w:pPr>
        <w:pStyle w:val="22"/>
        <w:tabs>
          <w:tab w:val="left" w:pos="0"/>
        </w:tabs>
        <w:ind w:firstLine="567"/>
        <w:rPr>
          <w:rFonts w:ascii="Times New Roman" w:eastAsia="Arial Unicode MS" w:hAnsi="Times New Roman"/>
          <w:color w:val="000000"/>
        </w:rPr>
      </w:pPr>
      <w:r w:rsidRPr="00E16672">
        <w:rPr>
          <w:rFonts w:ascii="Times New Roman" w:eastAsia="Arial Unicode MS" w:hAnsi="Times New Roman"/>
        </w:rPr>
        <w:t xml:space="preserve">2.2.3. Вимагати від Емітента надання </w:t>
      </w:r>
      <w:r w:rsidRPr="00E16672">
        <w:rPr>
          <w:rFonts w:ascii="Times New Roman" w:eastAsia="Arial Unicode MS" w:hAnsi="Times New Roman"/>
          <w:color w:val="000000"/>
        </w:rPr>
        <w:t xml:space="preserve">усіх необхідних документів для виконання своїх обов’язків згідно умов Договору, обслуговування рахунків </w:t>
      </w:r>
      <w:r w:rsidR="00C22309" w:rsidRPr="00E16672">
        <w:rPr>
          <w:rFonts w:ascii="Times New Roman" w:eastAsia="Arial Unicode MS" w:hAnsi="Times New Roman"/>
          <w:color w:val="000000"/>
        </w:rPr>
        <w:t>в цін</w:t>
      </w:r>
      <w:r w:rsidRPr="00E16672">
        <w:rPr>
          <w:rFonts w:ascii="Times New Roman" w:eastAsia="Arial Unicode MS" w:hAnsi="Times New Roman"/>
          <w:color w:val="000000"/>
        </w:rPr>
        <w:t>них паперах, відкритих Власникам, згідно з чинним законодавством України.</w:t>
      </w:r>
    </w:p>
    <w:p w14:paraId="5816DEC2" w14:textId="77777777" w:rsidR="000A5A99" w:rsidRPr="00E16672" w:rsidRDefault="000A5A99" w:rsidP="000A5A99">
      <w:pPr>
        <w:pStyle w:val="22"/>
        <w:tabs>
          <w:tab w:val="left" w:pos="0"/>
        </w:tabs>
        <w:ind w:firstLine="567"/>
        <w:rPr>
          <w:rFonts w:ascii="Times New Roman" w:eastAsia="Arial Unicode MS" w:hAnsi="Times New Roman"/>
          <w:color w:val="000000"/>
        </w:rPr>
      </w:pPr>
      <w:r w:rsidRPr="00E16672">
        <w:rPr>
          <w:rFonts w:ascii="Times New Roman" w:eastAsia="Arial Unicode MS" w:hAnsi="Times New Roman"/>
          <w:color w:val="000000"/>
        </w:rPr>
        <w:t>2.2.4. Згідно з чинним законодавством України, у випадку необхідності, вимагати від Емітента надання додаткових документів, відомостей та інформації, засвідчених та погоджених належним чином.</w:t>
      </w:r>
    </w:p>
    <w:p w14:paraId="006CB024" w14:textId="77777777" w:rsidR="000A5A99" w:rsidRPr="00E16672" w:rsidRDefault="000A5A99" w:rsidP="000A5A99">
      <w:pPr>
        <w:pStyle w:val="22"/>
        <w:tabs>
          <w:tab w:val="left" w:pos="0"/>
        </w:tabs>
        <w:ind w:firstLine="567"/>
        <w:rPr>
          <w:rFonts w:ascii="Times New Roman" w:eastAsia="Arial Unicode MS" w:hAnsi="Times New Roman"/>
          <w:color w:val="000000"/>
        </w:rPr>
      </w:pPr>
      <w:r w:rsidRPr="00E16672">
        <w:rPr>
          <w:rFonts w:ascii="Times New Roman" w:eastAsia="Arial Unicode MS" w:hAnsi="Times New Roman"/>
          <w:color w:val="000000"/>
        </w:rPr>
        <w:t>2.2.5. Відмовити у взятті до виконання розпорядження у разі його невідповідності вимогам Положення про провадження депозитарної діяльності, а також у випадках, якщо документи, що є підставою для його виконання, містять недостовірну інформацію або суперечать вимогам чинного законодавства України.</w:t>
      </w:r>
    </w:p>
    <w:p w14:paraId="64AE0BA0" w14:textId="77777777" w:rsidR="000A5A99" w:rsidRPr="00E16672" w:rsidRDefault="000A5A99" w:rsidP="000A5A99">
      <w:pPr>
        <w:pStyle w:val="af2"/>
        <w:spacing w:after="0"/>
        <w:ind w:left="0" w:firstLine="540"/>
        <w:rPr>
          <w:rFonts w:ascii="Times New Roman" w:eastAsia="Arial Unicode MS" w:hAnsi="Times New Roman"/>
          <w:color w:val="000000"/>
          <w:szCs w:val="20"/>
          <w:lang w:val="uk-UA" w:eastAsia="hi-IN" w:bidi="hi-IN"/>
        </w:rPr>
      </w:pPr>
      <w:r w:rsidRPr="00E16672">
        <w:rPr>
          <w:rFonts w:ascii="Times New Roman" w:eastAsia="Arial Unicode MS" w:hAnsi="Times New Roman"/>
          <w:color w:val="000000"/>
          <w:szCs w:val="20"/>
          <w:lang w:val="uk-UA" w:eastAsia="hi-IN" w:bidi="hi-IN"/>
        </w:rPr>
        <w:t>2.2.6. Здійснювати інформаційне та організаційне забезпечення проведення загальних зборів Емітента, виконувати функції реєстраційної комісії, лічильної комісії, відповідно до укладеного з Емітентом договору.</w:t>
      </w:r>
    </w:p>
    <w:p w14:paraId="0400DBF6" w14:textId="77777777" w:rsidR="000A5A99" w:rsidRPr="00E16672" w:rsidRDefault="000A5A99" w:rsidP="000A5A99">
      <w:pPr>
        <w:rPr>
          <w:rFonts w:ascii="Times New Roman" w:eastAsia="Arial Unicode MS" w:hAnsi="Times New Roman"/>
          <w:color w:val="000000"/>
          <w:szCs w:val="20"/>
        </w:rPr>
      </w:pPr>
      <w:r w:rsidRPr="00E16672">
        <w:rPr>
          <w:rFonts w:ascii="Times New Roman" w:eastAsia="Arial Unicode MS" w:hAnsi="Times New Roman"/>
          <w:color w:val="000000"/>
          <w:szCs w:val="20"/>
        </w:rPr>
        <w:t xml:space="preserve">2.2.7. </w:t>
      </w:r>
      <w:proofErr w:type="spellStart"/>
      <w:r w:rsidRPr="00E16672">
        <w:rPr>
          <w:rFonts w:ascii="Times New Roman" w:eastAsia="Arial Unicode MS" w:hAnsi="Times New Roman"/>
          <w:color w:val="000000"/>
          <w:szCs w:val="20"/>
        </w:rPr>
        <w:t>Вносити</w:t>
      </w:r>
      <w:proofErr w:type="spellEnd"/>
      <w:r w:rsidRPr="00E16672">
        <w:rPr>
          <w:rFonts w:ascii="Times New Roman" w:eastAsia="Arial Unicode MS" w:hAnsi="Times New Roman"/>
          <w:color w:val="000000"/>
          <w:szCs w:val="20"/>
        </w:rPr>
        <w:t xml:space="preserve"> </w:t>
      </w:r>
      <w:proofErr w:type="spellStart"/>
      <w:r w:rsidRPr="00E16672">
        <w:rPr>
          <w:rFonts w:ascii="Times New Roman" w:eastAsia="Arial Unicode MS" w:hAnsi="Times New Roman"/>
          <w:color w:val="000000"/>
          <w:szCs w:val="20"/>
        </w:rPr>
        <w:t>зміни</w:t>
      </w:r>
      <w:proofErr w:type="spellEnd"/>
      <w:r w:rsidRPr="00E16672">
        <w:rPr>
          <w:rFonts w:ascii="Times New Roman" w:eastAsia="Arial Unicode MS" w:hAnsi="Times New Roman"/>
          <w:color w:val="000000"/>
          <w:szCs w:val="20"/>
        </w:rPr>
        <w:t xml:space="preserve"> до </w:t>
      </w:r>
      <w:proofErr w:type="spellStart"/>
      <w:r w:rsidRPr="00E16672">
        <w:rPr>
          <w:rFonts w:ascii="Times New Roman" w:eastAsia="Arial Unicode MS" w:hAnsi="Times New Roman"/>
          <w:color w:val="000000"/>
          <w:szCs w:val="20"/>
        </w:rPr>
        <w:t>внутрішніх</w:t>
      </w:r>
      <w:proofErr w:type="spellEnd"/>
      <w:r w:rsidRPr="00E16672">
        <w:rPr>
          <w:rFonts w:ascii="Times New Roman" w:eastAsia="Arial Unicode MS" w:hAnsi="Times New Roman"/>
          <w:color w:val="000000"/>
          <w:szCs w:val="20"/>
        </w:rPr>
        <w:t xml:space="preserve"> </w:t>
      </w:r>
      <w:proofErr w:type="spellStart"/>
      <w:r w:rsidRPr="00E16672">
        <w:rPr>
          <w:rFonts w:ascii="Times New Roman" w:eastAsia="Arial Unicode MS" w:hAnsi="Times New Roman"/>
          <w:color w:val="000000"/>
          <w:szCs w:val="20"/>
        </w:rPr>
        <w:t>документів</w:t>
      </w:r>
      <w:proofErr w:type="spellEnd"/>
      <w:r w:rsidRPr="00E16672">
        <w:rPr>
          <w:rFonts w:ascii="Times New Roman" w:eastAsia="Arial Unicode MS" w:hAnsi="Times New Roman"/>
          <w:color w:val="000000"/>
          <w:szCs w:val="20"/>
        </w:rPr>
        <w:t xml:space="preserve"> </w:t>
      </w:r>
      <w:proofErr w:type="spellStart"/>
      <w:r w:rsidRPr="00E16672">
        <w:rPr>
          <w:rFonts w:ascii="Times New Roman" w:eastAsia="Arial Unicode MS" w:hAnsi="Times New Roman"/>
          <w:color w:val="000000"/>
          <w:szCs w:val="20"/>
        </w:rPr>
        <w:t>Депозитарної</w:t>
      </w:r>
      <w:proofErr w:type="spellEnd"/>
      <w:r w:rsidRPr="00E16672">
        <w:rPr>
          <w:rFonts w:ascii="Times New Roman" w:eastAsia="Arial Unicode MS" w:hAnsi="Times New Roman"/>
          <w:color w:val="000000"/>
          <w:szCs w:val="20"/>
        </w:rPr>
        <w:t xml:space="preserve"> установи та </w:t>
      </w:r>
      <w:proofErr w:type="spellStart"/>
      <w:r w:rsidRPr="00E16672">
        <w:rPr>
          <w:rFonts w:ascii="Times New Roman" w:eastAsia="Arial Unicode MS" w:hAnsi="Times New Roman"/>
          <w:color w:val="000000"/>
          <w:szCs w:val="20"/>
        </w:rPr>
        <w:t>тарифів</w:t>
      </w:r>
      <w:proofErr w:type="spellEnd"/>
      <w:r w:rsidRPr="00E16672">
        <w:rPr>
          <w:rFonts w:ascii="Times New Roman" w:eastAsia="Arial Unicode MS" w:hAnsi="Times New Roman"/>
          <w:color w:val="000000"/>
          <w:szCs w:val="20"/>
        </w:rPr>
        <w:t xml:space="preserve"> </w:t>
      </w:r>
      <w:proofErr w:type="spellStart"/>
      <w:r w:rsidRPr="00E16672">
        <w:rPr>
          <w:rFonts w:ascii="Times New Roman" w:eastAsia="Arial Unicode MS" w:hAnsi="Times New Roman"/>
          <w:color w:val="000000"/>
          <w:szCs w:val="20"/>
        </w:rPr>
        <w:t>Депозитарної</w:t>
      </w:r>
      <w:proofErr w:type="spellEnd"/>
      <w:r w:rsidRPr="00E16672">
        <w:rPr>
          <w:rFonts w:ascii="Times New Roman" w:eastAsia="Arial Unicode MS" w:hAnsi="Times New Roman"/>
          <w:color w:val="000000"/>
          <w:szCs w:val="20"/>
        </w:rPr>
        <w:t xml:space="preserve"> установи.</w:t>
      </w:r>
    </w:p>
    <w:p w14:paraId="30031B59" w14:textId="77777777" w:rsidR="000A5A99" w:rsidRPr="00E16672" w:rsidRDefault="000A5A99" w:rsidP="000A5A99">
      <w:pPr>
        <w:pStyle w:val="22"/>
        <w:ind w:firstLine="567"/>
        <w:rPr>
          <w:rFonts w:ascii="Times New Roman" w:eastAsia="Arial Unicode MS" w:hAnsi="Times New Roman"/>
          <w:color w:val="000000"/>
        </w:rPr>
      </w:pPr>
      <w:r w:rsidRPr="00E16672">
        <w:rPr>
          <w:rFonts w:ascii="Times New Roman" w:eastAsia="Arial Unicode MS" w:hAnsi="Times New Roman"/>
          <w:color w:val="000000"/>
        </w:rPr>
        <w:t>2.2.8. У випадку початку Депозитарною установою процедури припинення провадження депозитарної діяльності Депозитарної установи відповідно до вимог Положення про припинення виконувати тільки ті розпорядження Емітента щодо його цінних паперів, виконання яких не заборонено цим Положенням про припинення.</w:t>
      </w:r>
    </w:p>
    <w:p w14:paraId="023CFAE7" w14:textId="77777777" w:rsidR="000A5A99" w:rsidRPr="00E16672" w:rsidRDefault="000A5A99" w:rsidP="000A5A99">
      <w:pPr>
        <w:pStyle w:val="22"/>
        <w:ind w:firstLine="567"/>
        <w:rPr>
          <w:rFonts w:ascii="Times New Roman" w:eastAsia="Arial Unicode MS" w:hAnsi="Times New Roman"/>
        </w:rPr>
      </w:pPr>
      <w:r w:rsidRPr="00E16672">
        <w:rPr>
          <w:rFonts w:ascii="Times New Roman" w:eastAsia="Arial Unicode MS" w:hAnsi="Times New Roman"/>
          <w:color w:val="000000"/>
        </w:rPr>
        <w:t xml:space="preserve">2.2.9. Закрити рахунки </w:t>
      </w:r>
      <w:r w:rsidR="00C22309" w:rsidRPr="00E16672">
        <w:rPr>
          <w:rFonts w:ascii="Times New Roman" w:eastAsia="Arial Unicode MS" w:hAnsi="Times New Roman"/>
          <w:color w:val="000000"/>
        </w:rPr>
        <w:t>в цін</w:t>
      </w:r>
      <w:r w:rsidRPr="00E16672">
        <w:rPr>
          <w:rFonts w:ascii="Times New Roman" w:eastAsia="Arial Unicode MS" w:hAnsi="Times New Roman"/>
          <w:color w:val="000000"/>
        </w:rPr>
        <w:t>них паперах Власників</w:t>
      </w:r>
      <w:r w:rsidRPr="00E16672">
        <w:rPr>
          <w:rFonts w:ascii="Times New Roman" w:eastAsia="Arial Unicode MS" w:hAnsi="Times New Roman"/>
        </w:rPr>
        <w:t xml:space="preserve">, на яких відсутні цінні папери, без розпорядження Емітента про закриття рахунку </w:t>
      </w:r>
      <w:r w:rsidR="00C22309" w:rsidRPr="00E16672">
        <w:rPr>
          <w:rFonts w:ascii="Times New Roman" w:eastAsia="Arial Unicode MS" w:hAnsi="Times New Roman"/>
        </w:rPr>
        <w:t>в цін</w:t>
      </w:r>
      <w:r w:rsidRPr="00E16672">
        <w:rPr>
          <w:rFonts w:ascii="Times New Roman" w:eastAsia="Arial Unicode MS" w:hAnsi="Times New Roman"/>
        </w:rPr>
        <w:t>них паперах у разі припинення здійснення  діяльності Депозитарної установи.</w:t>
      </w:r>
    </w:p>
    <w:p w14:paraId="78723406" w14:textId="77777777" w:rsidR="000A5A99" w:rsidRPr="00E16672" w:rsidRDefault="000A5A99" w:rsidP="000A5A99">
      <w:pPr>
        <w:tabs>
          <w:tab w:val="left" w:pos="540"/>
        </w:tabs>
        <w:ind w:firstLine="540"/>
        <w:rPr>
          <w:rFonts w:ascii="Times New Roman" w:hAnsi="Times New Roman"/>
          <w:color w:val="000000"/>
          <w:szCs w:val="20"/>
          <w:lang w:val="uk-UA"/>
        </w:rPr>
      </w:pPr>
      <w:r w:rsidRPr="00E16672">
        <w:rPr>
          <w:rFonts w:ascii="Times New Roman" w:eastAsia="Arial Unicode MS" w:hAnsi="Times New Roman"/>
          <w:szCs w:val="20"/>
          <w:lang w:val="uk-UA"/>
        </w:rPr>
        <w:t xml:space="preserve">2.2.10. </w:t>
      </w:r>
      <w:r w:rsidRPr="00E16672">
        <w:rPr>
          <w:rFonts w:ascii="Times New Roman" w:hAnsi="Times New Roman"/>
          <w:szCs w:val="20"/>
          <w:lang w:val="uk-UA"/>
        </w:rPr>
        <w:t xml:space="preserve">Вимагати від Емітента повної та своєчасної оплати своїх послуг згідно умов цього Договору та тарифів Депозитарної установи на депозитарні послуги (далі - тарифи Депозитарної установи) та призупинити надання </w:t>
      </w:r>
      <w:r w:rsidRPr="00E16672">
        <w:rPr>
          <w:rFonts w:ascii="Times New Roman" w:hAnsi="Times New Roman"/>
          <w:color w:val="000000"/>
          <w:szCs w:val="20"/>
          <w:lang w:val="uk-UA"/>
        </w:rPr>
        <w:t xml:space="preserve">депозитарних послуг за розпорядженнями (заявами) Емітента у разі відсутності належної оплати з боку Емітента послуг Депозитарної установи. </w:t>
      </w:r>
    </w:p>
    <w:p w14:paraId="5042CEA8" w14:textId="77777777" w:rsidR="000A5A99" w:rsidRPr="00E16672" w:rsidRDefault="000A5A99" w:rsidP="000A5A99">
      <w:pPr>
        <w:tabs>
          <w:tab w:val="left" w:pos="540"/>
        </w:tabs>
        <w:ind w:firstLine="540"/>
        <w:rPr>
          <w:rFonts w:ascii="Times New Roman" w:hAnsi="Times New Roman"/>
          <w:color w:val="000000"/>
          <w:szCs w:val="20"/>
        </w:rPr>
      </w:pPr>
      <w:r w:rsidRPr="00E16672">
        <w:rPr>
          <w:rFonts w:ascii="Times New Roman" w:hAnsi="Times New Roman"/>
          <w:color w:val="000000"/>
          <w:szCs w:val="20"/>
        </w:rPr>
        <w:t xml:space="preserve">2.2.11. </w:t>
      </w:r>
      <w:proofErr w:type="spellStart"/>
      <w:r w:rsidRPr="00E16672">
        <w:rPr>
          <w:rFonts w:ascii="Times New Roman" w:hAnsi="Times New Roman"/>
          <w:color w:val="000000"/>
          <w:szCs w:val="20"/>
        </w:rPr>
        <w:t>Відмовити</w:t>
      </w:r>
      <w:proofErr w:type="spellEnd"/>
      <w:r w:rsidRPr="00E16672">
        <w:rPr>
          <w:rFonts w:ascii="Times New Roman" w:hAnsi="Times New Roman"/>
          <w:color w:val="000000"/>
          <w:szCs w:val="20"/>
        </w:rPr>
        <w:t xml:space="preserve"> у </w:t>
      </w:r>
      <w:proofErr w:type="spellStart"/>
      <w:r w:rsidRPr="00E16672">
        <w:rPr>
          <w:rFonts w:ascii="Times New Roman" w:hAnsi="Times New Roman"/>
          <w:color w:val="000000"/>
          <w:szCs w:val="20"/>
        </w:rPr>
        <w:t>проведенні</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операції</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переведення</w:t>
      </w:r>
      <w:proofErr w:type="spellEnd"/>
      <w:r w:rsidRPr="00E16672">
        <w:rPr>
          <w:rFonts w:ascii="Times New Roman" w:hAnsi="Times New Roman"/>
          <w:color w:val="000000"/>
          <w:szCs w:val="20"/>
        </w:rPr>
        <w:t xml:space="preserve"> прав на </w:t>
      </w:r>
      <w:proofErr w:type="spellStart"/>
      <w:r w:rsidRPr="00E16672">
        <w:rPr>
          <w:rFonts w:ascii="Times New Roman" w:hAnsi="Times New Roman"/>
          <w:color w:val="000000"/>
          <w:szCs w:val="20"/>
        </w:rPr>
        <w:t>цінні</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папери</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Власника</w:t>
      </w:r>
      <w:proofErr w:type="spellEnd"/>
      <w:r w:rsidRPr="00E16672">
        <w:rPr>
          <w:rFonts w:ascii="Times New Roman" w:hAnsi="Times New Roman"/>
          <w:color w:val="000000"/>
          <w:szCs w:val="20"/>
        </w:rPr>
        <w:t xml:space="preserve">, у </w:t>
      </w:r>
      <w:proofErr w:type="spellStart"/>
      <w:r w:rsidRPr="00E16672">
        <w:rPr>
          <w:rFonts w:ascii="Times New Roman" w:hAnsi="Times New Roman"/>
          <w:color w:val="000000"/>
          <w:szCs w:val="20"/>
        </w:rPr>
        <w:t>відповідності</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із</w:t>
      </w:r>
      <w:proofErr w:type="spellEnd"/>
      <w:r w:rsidRPr="00E16672">
        <w:rPr>
          <w:rFonts w:ascii="Times New Roman" w:hAnsi="Times New Roman"/>
          <w:color w:val="000000"/>
          <w:szCs w:val="20"/>
        </w:rPr>
        <w:t xml:space="preserve"> п. 2.1.5. </w:t>
      </w:r>
      <w:proofErr w:type="spellStart"/>
      <w:r w:rsidRPr="00E16672">
        <w:rPr>
          <w:rFonts w:ascii="Times New Roman" w:hAnsi="Times New Roman"/>
          <w:color w:val="000000"/>
          <w:szCs w:val="20"/>
        </w:rPr>
        <w:t>цього</w:t>
      </w:r>
      <w:proofErr w:type="spellEnd"/>
      <w:r w:rsidRPr="00E16672">
        <w:rPr>
          <w:rFonts w:ascii="Times New Roman" w:hAnsi="Times New Roman"/>
          <w:color w:val="000000"/>
          <w:szCs w:val="20"/>
        </w:rPr>
        <w:t xml:space="preserve"> Договору, у </w:t>
      </w:r>
      <w:proofErr w:type="spellStart"/>
      <w:r w:rsidRPr="00E16672">
        <w:rPr>
          <w:rFonts w:ascii="Times New Roman" w:hAnsi="Times New Roman"/>
          <w:color w:val="000000"/>
          <w:szCs w:val="20"/>
        </w:rPr>
        <w:t>випадку</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несплати</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Емітентом</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послуг</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Депозитарної</w:t>
      </w:r>
      <w:proofErr w:type="spellEnd"/>
      <w:r w:rsidRPr="00E16672">
        <w:rPr>
          <w:rFonts w:ascii="Times New Roman" w:hAnsi="Times New Roman"/>
          <w:color w:val="000000"/>
          <w:szCs w:val="20"/>
        </w:rPr>
        <w:t xml:space="preserve"> установи.</w:t>
      </w:r>
    </w:p>
    <w:p w14:paraId="2DFED2FB" w14:textId="77777777" w:rsidR="000A5A99" w:rsidRPr="00E16672" w:rsidRDefault="000A5A99" w:rsidP="000A5A99">
      <w:pPr>
        <w:tabs>
          <w:tab w:val="left" w:pos="540"/>
        </w:tabs>
        <w:ind w:firstLine="540"/>
        <w:rPr>
          <w:rFonts w:ascii="Times New Roman" w:hAnsi="Times New Roman"/>
          <w:color w:val="000000"/>
          <w:szCs w:val="20"/>
        </w:rPr>
      </w:pPr>
      <w:r w:rsidRPr="00E16672">
        <w:rPr>
          <w:rFonts w:ascii="Times New Roman" w:hAnsi="Times New Roman"/>
          <w:color w:val="000000"/>
          <w:szCs w:val="20"/>
        </w:rPr>
        <w:t xml:space="preserve">2.2.12. У </w:t>
      </w:r>
      <w:proofErr w:type="spellStart"/>
      <w:r w:rsidRPr="00E16672">
        <w:rPr>
          <w:rFonts w:ascii="Times New Roman" w:hAnsi="Times New Roman"/>
          <w:color w:val="000000"/>
          <w:szCs w:val="20"/>
        </w:rPr>
        <w:t>разі</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несплати</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Емітентом</w:t>
      </w:r>
      <w:proofErr w:type="spellEnd"/>
      <w:r w:rsidRPr="00E16672">
        <w:rPr>
          <w:rFonts w:ascii="Times New Roman" w:hAnsi="Times New Roman"/>
          <w:color w:val="000000"/>
          <w:szCs w:val="20"/>
        </w:rPr>
        <w:t xml:space="preserve"> за </w:t>
      </w:r>
      <w:proofErr w:type="spellStart"/>
      <w:r w:rsidRPr="00E16672">
        <w:rPr>
          <w:rFonts w:ascii="Times New Roman" w:hAnsi="Times New Roman"/>
          <w:color w:val="000000"/>
          <w:szCs w:val="20"/>
        </w:rPr>
        <w:t>надані</w:t>
      </w:r>
      <w:proofErr w:type="spellEnd"/>
      <w:r w:rsidRPr="00E16672">
        <w:rPr>
          <w:rFonts w:ascii="Times New Roman" w:hAnsi="Times New Roman"/>
          <w:color w:val="000000"/>
          <w:szCs w:val="20"/>
        </w:rPr>
        <w:t xml:space="preserve"> Депозитарною </w:t>
      </w:r>
      <w:proofErr w:type="spellStart"/>
      <w:r w:rsidRPr="00E16672">
        <w:rPr>
          <w:rFonts w:ascii="Times New Roman" w:hAnsi="Times New Roman"/>
          <w:color w:val="000000"/>
          <w:szCs w:val="20"/>
        </w:rPr>
        <w:t>установою</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послуги</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протягом</w:t>
      </w:r>
      <w:proofErr w:type="spellEnd"/>
      <w:r w:rsidRPr="00E16672">
        <w:rPr>
          <w:rFonts w:ascii="Times New Roman" w:hAnsi="Times New Roman"/>
          <w:color w:val="000000"/>
          <w:szCs w:val="20"/>
        </w:rPr>
        <w:t xml:space="preserve"> </w:t>
      </w:r>
      <w:proofErr w:type="spellStart"/>
      <w:r w:rsidRPr="00E16672">
        <w:rPr>
          <w:rFonts w:ascii="Times New Roman" w:hAnsi="Times New Roman"/>
          <w:i/>
          <w:color w:val="000000"/>
          <w:szCs w:val="20"/>
        </w:rPr>
        <w:t>тридцяти</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календарних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днів</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здійснювати</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договірне</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списання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коштів</w:t>
      </w:r>
      <w:proofErr w:type="spellEnd"/>
      <w:r w:rsidRPr="00E16672">
        <w:rPr>
          <w:rFonts w:ascii="Times New Roman" w:hAnsi="Times New Roman"/>
          <w:color w:val="000000"/>
          <w:szCs w:val="20"/>
        </w:rPr>
        <w:t xml:space="preserve"> з будь-</w:t>
      </w:r>
      <w:proofErr w:type="spellStart"/>
      <w:r w:rsidRPr="00E16672">
        <w:rPr>
          <w:rFonts w:ascii="Times New Roman" w:hAnsi="Times New Roman"/>
          <w:color w:val="000000"/>
          <w:szCs w:val="20"/>
        </w:rPr>
        <w:t>якого</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діючого</w:t>
      </w:r>
      <w:proofErr w:type="spellEnd"/>
      <w:r w:rsidRPr="00E16672">
        <w:rPr>
          <w:rFonts w:ascii="Times New Roman" w:hAnsi="Times New Roman"/>
          <w:color w:val="000000"/>
          <w:szCs w:val="20"/>
        </w:rPr>
        <w:t xml:space="preserve"> грошового </w:t>
      </w:r>
      <w:proofErr w:type="spellStart"/>
      <w:r w:rsidRPr="00E16672">
        <w:rPr>
          <w:rFonts w:ascii="Times New Roman" w:hAnsi="Times New Roman"/>
          <w:color w:val="000000"/>
          <w:szCs w:val="20"/>
        </w:rPr>
        <w:t>рахунка</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Емітента</w:t>
      </w:r>
      <w:proofErr w:type="spellEnd"/>
      <w:r w:rsidRPr="00E16672">
        <w:rPr>
          <w:rFonts w:ascii="Times New Roman" w:hAnsi="Times New Roman"/>
          <w:color w:val="000000"/>
          <w:szCs w:val="20"/>
        </w:rPr>
        <w:t xml:space="preserve"> за </w:t>
      </w:r>
      <w:proofErr w:type="spellStart"/>
      <w:r w:rsidRPr="00E16672">
        <w:rPr>
          <w:rFonts w:ascii="Times New Roman" w:hAnsi="Times New Roman"/>
          <w:color w:val="000000"/>
          <w:szCs w:val="20"/>
        </w:rPr>
        <w:t>надані</w:t>
      </w:r>
      <w:proofErr w:type="spellEnd"/>
      <w:r w:rsidRPr="00E16672">
        <w:rPr>
          <w:rFonts w:ascii="Times New Roman" w:hAnsi="Times New Roman"/>
          <w:color w:val="000000"/>
          <w:szCs w:val="20"/>
        </w:rPr>
        <w:t xml:space="preserve"> Депозитарною </w:t>
      </w:r>
      <w:proofErr w:type="spellStart"/>
      <w:r w:rsidRPr="00E16672">
        <w:rPr>
          <w:rFonts w:ascii="Times New Roman" w:hAnsi="Times New Roman"/>
          <w:color w:val="000000"/>
          <w:szCs w:val="20"/>
        </w:rPr>
        <w:t>установою</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послуги</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від</w:t>
      </w:r>
      <w:proofErr w:type="spellEnd"/>
      <w:r w:rsidRPr="00E16672">
        <w:rPr>
          <w:rFonts w:ascii="Times New Roman" w:hAnsi="Times New Roman"/>
          <w:color w:val="000000"/>
          <w:szCs w:val="20"/>
        </w:rPr>
        <w:t xml:space="preserve"> дня </w:t>
      </w:r>
      <w:proofErr w:type="spellStart"/>
      <w:r w:rsidRPr="00E16672">
        <w:rPr>
          <w:rFonts w:ascii="Times New Roman" w:hAnsi="Times New Roman"/>
          <w:color w:val="000000"/>
          <w:szCs w:val="20"/>
        </w:rPr>
        <w:t>надання</w:t>
      </w:r>
      <w:proofErr w:type="spellEnd"/>
      <w:r w:rsidRPr="00E16672">
        <w:rPr>
          <w:rFonts w:ascii="Times New Roman" w:hAnsi="Times New Roman"/>
          <w:color w:val="000000"/>
          <w:szCs w:val="20"/>
        </w:rPr>
        <w:t xml:space="preserve"> Депозитарною </w:t>
      </w:r>
      <w:proofErr w:type="spellStart"/>
      <w:r w:rsidRPr="00E16672">
        <w:rPr>
          <w:rFonts w:ascii="Times New Roman" w:hAnsi="Times New Roman"/>
          <w:color w:val="000000"/>
          <w:szCs w:val="20"/>
        </w:rPr>
        <w:t>установою</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послуг</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Емітентові</w:t>
      </w:r>
      <w:proofErr w:type="spellEnd"/>
      <w:r w:rsidRPr="00E16672">
        <w:rPr>
          <w:rFonts w:ascii="Times New Roman" w:hAnsi="Times New Roman"/>
          <w:color w:val="000000"/>
          <w:szCs w:val="20"/>
        </w:rPr>
        <w:t>.</w:t>
      </w:r>
    </w:p>
    <w:p w14:paraId="23F0B9C2" w14:textId="77777777" w:rsidR="000A5A99" w:rsidRPr="00E16672" w:rsidRDefault="000A5A99" w:rsidP="000A5A99">
      <w:pPr>
        <w:pStyle w:val="22"/>
        <w:ind w:firstLine="567"/>
        <w:rPr>
          <w:rFonts w:ascii="Times New Roman" w:eastAsia="Arial Unicode MS" w:hAnsi="Times New Roman"/>
          <w:color w:val="000000"/>
        </w:rPr>
      </w:pPr>
    </w:p>
    <w:p w14:paraId="65130165" w14:textId="77777777" w:rsidR="000A5A99" w:rsidRPr="00E16672" w:rsidRDefault="000A5A99" w:rsidP="000A5A99">
      <w:pPr>
        <w:rPr>
          <w:rFonts w:ascii="Times New Roman" w:eastAsia="Arial Unicode MS" w:hAnsi="Times New Roman"/>
          <w:b/>
          <w:bCs/>
          <w:color w:val="000000"/>
          <w:szCs w:val="20"/>
          <w:lang w:val="uk-UA"/>
        </w:rPr>
      </w:pPr>
      <w:r w:rsidRPr="00E16672">
        <w:rPr>
          <w:rFonts w:ascii="Times New Roman" w:eastAsia="Arial Unicode MS" w:hAnsi="Times New Roman"/>
          <w:b/>
          <w:bCs/>
          <w:color w:val="000000"/>
          <w:szCs w:val="20"/>
          <w:lang w:val="uk-UA"/>
        </w:rPr>
        <w:t>2.3. Депозитарна установа не має права:</w:t>
      </w:r>
    </w:p>
    <w:p w14:paraId="25296931" w14:textId="77777777" w:rsidR="000A5A99" w:rsidRPr="00E16672" w:rsidRDefault="000A5A99" w:rsidP="000A5A99">
      <w:pPr>
        <w:tabs>
          <w:tab w:val="left" w:pos="284"/>
          <w:tab w:val="left" w:pos="426"/>
        </w:tabs>
        <w:ind w:firstLine="540"/>
        <w:rPr>
          <w:rFonts w:ascii="Times New Roman" w:eastAsia="Arial Unicode MS" w:hAnsi="Times New Roman"/>
          <w:color w:val="000000"/>
          <w:szCs w:val="20"/>
        </w:rPr>
      </w:pPr>
      <w:r w:rsidRPr="00E16672">
        <w:rPr>
          <w:rFonts w:ascii="Times New Roman" w:eastAsia="Arial Unicode MS" w:hAnsi="Times New Roman"/>
          <w:color w:val="000000"/>
          <w:szCs w:val="20"/>
        </w:rPr>
        <w:t xml:space="preserve">2.3.1. </w:t>
      </w:r>
      <w:proofErr w:type="spellStart"/>
      <w:r w:rsidRPr="00E16672">
        <w:rPr>
          <w:rFonts w:ascii="Times New Roman" w:eastAsia="Arial Unicode MS" w:hAnsi="Times New Roman"/>
          <w:color w:val="000000"/>
          <w:szCs w:val="20"/>
        </w:rPr>
        <w:t>Використовувати</w:t>
      </w:r>
      <w:proofErr w:type="spellEnd"/>
      <w:r w:rsidRPr="00E16672">
        <w:rPr>
          <w:rFonts w:ascii="Times New Roman" w:eastAsia="Arial Unicode MS" w:hAnsi="Times New Roman"/>
          <w:color w:val="000000"/>
          <w:szCs w:val="20"/>
        </w:rPr>
        <w:t xml:space="preserve"> як </w:t>
      </w:r>
      <w:proofErr w:type="spellStart"/>
      <w:r w:rsidRPr="00E16672">
        <w:rPr>
          <w:rFonts w:ascii="Times New Roman" w:eastAsia="Arial Unicode MS" w:hAnsi="Times New Roman"/>
          <w:color w:val="000000"/>
          <w:szCs w:val="20"/>
        </w:rPr>
        <w:t>власні</w:t>
      </w:r>
      <w:proofErr w:type="spellEnd"/>
      <w:r w:rsidRPr="00E16672">
        <w:rPr>
          <w:rFonts w:ascii="Times New Roman" w:eastAsia="Arial Unicode MS" w:hAnsi="Times New Roman"/>
          <w:color w:val="000000"/>
          <w:szCs w:val="20"/>
        </w:rPr>
        <w:t xml:space="preserve"> </w:t>
      </w:r>
      <w:proofErr w:type="spellStart"/>
      <w:r w:rsidRPr="00E16672">
        <w:rPr>
          <w:rFonts w:ascii="Times New Roman" w:eastAsia="Arial Unicode MS" w:hAnsi="Times New Roman"/>
          <w:color w:val="000000"/>
          <w:szCs w:val="20"/>
        </w:rPr>
        <w:t>активи</w:t>
      </w:r>
      <w:proofErr w:type="spellEnd"/>
      <w:r w:rsidRPr="00E16672">
        <w:rPr>
          <w:rFonts w:ascii="Times New Roman" w:eastAsia="Arial Unicode MS" w:hAnsi="Times New Roman"/>
          <w:color w:val="000000"/>
          <w:szCs w:val="20"/>
        </w:rPr>
        <w:t xml:space="preserve"> </w:t>
      </w:r>
      <w:proofErr w:type="spellStart"/>
      <w:r w:rsidRPr="00E16672">
        <w:rPr>
          <w:rFonts w:ascii="Times New Roman" w:eastAsia="Arial Unicode MS" w:hAnsi="Times New Roman"/>
          <w:color w:val="000000"/>
          <w:szCs w:val="20"/>
        </w:rPr>
        <w:t>цінні</w:t>
      </w:r>
      <w:proofErr w:type="spellEnd"/>
      <w:r w:rsidRPr="00E16672">
        <w:rPr>
          <w:rFonts w:ascii="Times New Roman" w:eastAsia="Arial Unicode MS" w:hAnsi="Times New Roman"/>
          <w:color w:val="000000"/>
          <w:szCs w:val="20"/>
        </w:rPr>
        <w:t xml:space="preserve"> </w:t>
      </w:r>
      <w:proofErr w:type="spellStart"/>
      <w:r w:rsidRPr="00E16672">
        <w:rPr>
          <w:rFonts w:ascii="Times New Roman" w:eastAsia="Arial Unicode MS" w:hAnsi="Times New Roman"/>
          <w:color w:val="000000"/>
          <w:szCs w:val="20"/>
        </w:rPr>
        <w:t>папери</w:t>
      </w:r>
      <w:proofErr w:type="spellEnd"/>
      <w:r w:rsidRPr="00E16672">
        <w:rPr>
          <w:rFonts w:ascii="Times New Roman" w:eastAsia="Arial Unicode MS" w:hAnsi="Times New Roman"/>
          <w:color w:val="000000"/>
          <w:szCs w:val="20"/>
        </w:rPr>
        <w:t xml:space="preserve">, </w:t>
      </w:r>
      <w:proofErr w:type="spellStart"/>
      <w:r w:rsidRPr="00E16672">
        <w:rPr>
          <w:rFonts w:ascii="Times New Roman" w:eastAsia="Arial Unicode MS" w:hAnsi="Times New Roman"/>
          <w:color w:val="000000"/>
          <w:szCs w:val="20"/>
        </w:rPr>
        <w:t>що</w:t>
      </w:r>
      <w:proofErr w:type="spellEnd"/>
      <w:r w:rsidRPr="00E16672">
        <w:rPr>
          <w:rFonts w:ascii="Times New Roman" w:eastAsia="Arial Unicode MS" w:hAnsi="Times New Roman"/>
          <w:color w:val="000000"/>
          <w:szCs w:val="20"/>
        </w:rPr>
        <w:t xml:space="preserve"> належать </w:t>
      </w:r>
      <w:proofErr w:type="spellStart"/>
      <w:r w:rsidRPr="00E16672">
        <w:rPr>
          <w:rFonts w:ascii="Times New Roman" w:eastAsia="Arial Unicode MS" w:hAnsi="Times New Roman"/>
          <w:color w:val="000000"/>
          <w:szCs w:val="20"/>
        </w:rPr>
        <w:t>Власника</w:t>
      </w:r>
      <w:proofErr w:type="spellEnd"/>
      <w:r w:rsidRPr="00E16672">
        <w:rPr>
          <w:rFonts w:ascii="Times New Roman" w:eastAsia="Arial Unicode MS" w:hAnsi="Times New Roman"/>
          <w:color w:val="000000"/>
          <w:szCs w:val="20"/>
        </w:rPr>
        <w:t xml:space="preserve">. </w:t>
      </w:r>
    </w:p>
    <w:p w14:paraId="40B54D0D" w14:textId="77777777" w:rsidR="000A5A99" w:rsidRPr="00E16672" w:rsidRDefault="000A5A99" w:rsidP="000A5A99">
      <w:pPr>
        <w:tabs>
          <w:tab w:val="left" w:pos="284"/>
          <w:tab w:val="left" w:pos="426"/>
        </w:tabs>
        <w:ind w:firstLine="540"/>
        <w:rPr>
          <w:rFonts w:ascii="Times New Roman" w:eastAsia="Arial Unicode MS" w:hAnsi="Times New Roman"/>
          <w:color w:val="000000"/>
          <w:szCs w:val="20"/>
        </w:rPr>
      </w:pPr>
      <w:r w:rsidRPr="00E16672">
        <w:rPr>
          <w:rFonts w:ascii="Times New Roman" w:eastAsia="Arial Unicode MS" w:hAnsi="Times New Roman"/>
          <w:color w:val="000000"/>
          <w:szCs w:val="20"/>
        </w:rPr>
        <w:t xml:space="preserve">2.3.2. </w:t>
      </w:r>
      <w:proofErr w:type="spellStart"/>
      <w:r w:rsidRPr="00E16672">
        <w:rPr>
          <w:rFonts w:ascii="Times New Roman" w:eastAsia="Arial Unicode MS" w:hAnsi="Times New Roman"/>
          <w:color w:val="000000"/>
          <w:szCs w:val="20"/>
        </w:rPr>
        <w:t>Використовувати</w:t>
      </w:r>
      <w:proofErr w:type="spellEnd"/>
      <w:r w:rsidRPr="00E16672">
        <w:rPr>
          <w:rFonts w:ascii="Times New Roman" w:eastAsia="Arial Unicode MS" w:hAnsi="Times New Roman"/>
          <w:color w:val="000000"/>
          <w:szCs w:val="20"/>
        </w:rPr>
        <w:t xml:space="preserve"> </w:t>
      </w:r>
      <w:proofErr w:type="spellStart"/>
      <w:r w:rsidRPr="00E16672">
        <w:rPr>
          <w:rFonts w:ascii="Times New Roman" w:eastAsia="Arial Unicode MS" w:hAnsi="Times New Roman"/>
          <w:color w:val="000000"/>
          <w:szCs w:val="20"/>
        </w:rPr>
        <w:t>майнові</w:t>
      </w:r>
      <w:proofErr w:type="spellEnd"/>
      <w:r w:rsidRPr="00E16672">
        <w:rPr>
          <w:rFonts w:ascii="Times New Roman" w:eastAsia="Arial Unicode MS" w:hAnsi="Times New Roman"/>
          <w:color w:val="000000"/>
          <w:szCs w:val="20"/>
        </w:rPr>
        <w:t xml:space="preserve"> </w:t>
      </w:r>
      <w:proofErr w:type="spellStart"/>
      <w:r w:rsidRPr="00E16672">
        <w:rPr>
          <w:rFonts w:ascii="Times New Roman" w:eastAsia="Arial Unicode MS" w:hAnsi="Times New Roman"/>
          <w:color w:val="000000"/>
          <w:szCs w:val="20"/>
        </w:rPr>
        <w:t>зобов’язання</w:t>
      </w:r>
      <w:proofErr w:type="spellEnd"/>
      <w:r w:rsidRPr="00E16672">
        <w:rPr>
          <w:rFonts w:ascii="Times New Roman" w:eastAsia="Arial Unicode MS" w:hAnsi="Times New Roman"/>
          <w:color w:val="000000"/>
          <w:szCs w:val="20"/>
        </w:rPr>
        <w:t xml:space="preserve"> одних </w:t>
      </w:r>
      <w:proofErr w:type="spellStart"/>
      <w:r w:rsidRPr="00E16672">
        <w:rPr>
          <w:rFonts w:ascii="Times New Roman" w:eastAsia="Arial Unicode MS" w:hAnsi="Times New Roman"/>
          <w:color w:val="000000"/>
          <w:szCs w:val="20"/>
        </w:rPr>
        <w:t>Власників</w:t>
      </w:r>
      <w:proofErr w:type="spellEnd"/>
      <w:r w:rsidRPr="00E16672">
        <w:rPr>
          <w:rFonts w:ascii="Times New Roman" w:eastAsia="Arial Unicode MS" w:hAnsi="Times New Roman"/>
          <w:color w:val="000000"/>
          <w:szCs w:val="20"/>
        </w:rPr>
        <w:t xml:space="preserve"> для </w:t>
      </w:r>
      <w:proofErr w:type="spellStart"/>
      <w:r w:rsidRPr="00E16672">
        <w:rPr>
          <w:rFonts w:ascii="Times New Roman" w:eastAsia="Arial Unicode MS" w:hAnsi="Times New Roman"/>
          <w:color w:val="000000"/>
          <w:szCs w:val="20"/>
        </w:rPr>
        <w:t>забезпечення</w:t>
      </w:r>
      <w:proofErr w:type="spellEnd"/>
      <w:r w:rsidRPr="00E16672">
        <w:rPr>
          <w:rFonts w:ascii="Times New Roman" w:eastAsia="Arial Unicode MS" w:hAnsi="Times New Roman"/>
          <w:color w:val="000000"/>
          <w:szCs w:val="20"/>
        </w:rPr>
        <w:t xml:space="preserve"> </w:t>
      </w:r>
      <w:proofErr w:type="spellStart"/>
      <w:r w:rsidRPr="00E16672">
        <w:rPr>
          <w:rFonts w:ascii="Times New Roman" w:eastAsia="Arial Unicode MS" w:hAnsi="Times New Roman"/>
          <w:color w:val="000000"/>
          <w:szCs w:val="20"/>
        </w:rPr>
        <w:t>зобов’язань</w:t>
      </w:r>
      <w:proofErr w:type="spellEnd"/>
      <w:r w:rsidRPr="00E16672">
        <w:rPr>
          <w:rFonts w:ascii="Times New Roman" w:eastAsia="Arial Unicode MS" w:hAnsi="Times New Roman"/>
          <w:color w:val="000000"/>
          <w:szCs w:val="20"/>
        </w:rPr>
        <w:t xml:space="preserve"> перед </w:t>
      </w:r>
      <w:proofErr w:type="spellStart"/>
      <w:r w:rsidRPr="00E16672">
        <w:rPr>
          <w:rFonts w:ascii="Times New Roman" w:eastAsia="Arial Unicode MS" w:hAnsi="Times New Roman"/>
          <w:color w:val="000000"/>
          <w:szCs w:val="20"/>
        </w:rPr>
        <w:t>іншими</w:t>
      </w:r>
      <w:proofErr w:type="spellEnd"/>
      <w:r w:rsidRPr="00E16672">
        <w:rPr>
          <w:rFonts w:ascii="Times New Roman" w:eastAsia="Arial Unicode MS" w:hAnsi="Times New Roman"/>
          <w:color w:val="000000"/>
          <w:szCs w:val="20"/>
        </w:rPr>
        <w:t xml:space="preserve"> </w:t>
      </w:r>
      <w:proofErr w:type="spellStart"/>
      <w:r w:rsidRPr="00E16672">
        <w:rPr>
          <w:rFonts w:ascii="Times New Roman" w:eastAsia="Arial Unicode MS" w:hAnsi="Times New Roman"/>
          <w:color w:val="000000"/>
          <w:szCs w:val="20"/>
        </w:rPr>
        <w:t>Власниками</w:t>
      </w:r>
      <w:proofErr w:type="spellEnd"/>
      <w:r w:rsidRPr="00E16672">
        <w:rPr>
          <w:rFonts w:ascii="Times New Roman" w:eastAsia="Arial Unicode MS" w:hAnsi="Times New Roman"/>
          <w:color w:val="000000"/>
          <w:szCs w:val="20"/>
        </w:rPr>
        <w:t xml:space="preserve"> </w:t>
      </w:r>
      <w:proofErr w:type="spellStart"/>
      <w:r w:rsidRPr="00E16672">
        <w:rPr>
          <w:rFonts w:ascii="Times New Roman" w:eastAsia="Arial Unicode MS" w:hAnsi="Times New Roman"/>
          <w:color w:val="000000"/>
          <w:szCs w:val="20"/>
        </w:rPr>
        <w:t>або</w:t>
      </w:r>
      <w:proofErr w:type="spellEnd"/>
      <w:r w:rsidRPr="00E16672">
        <w:rPr>
          <w:rFonts w:ascii="Times New Roman" w:eastAsia="Arial Unicode MS" w:hAnsi="Times New Roman"/>
          <w:color w:val="000000"/>
          <w:szCs w:val="20"/>
        </w:rPr>
        <w:t xml:space="preserve"> </w:t>
      </w:r>
      <w:proofErr w:type="spellStart"/>
      <w:r w:rsidRPr="00E16672">
        <w:rPr>
          <w:rFonts w:ascii="Times New Roman" w:eastAsia="Arial Unicode MS" w:hAnsi="Times New Roman"/>
          <w:color w:val="000000"/>
          <w:szCs w:val="20"/>
        </w:rPr>
        <w:t>третіми</w:t>
      </w:r>
      <w:proofErr w:type="spellEnd"/>
      <w:r w:rsidRPr="00E16672">
        <w:rPr>
          <w:rFonts w:ascii="Times New Roman" w:eastAsia="Arial Unicode MS" w:hAnsi="Times New Roman"/>
          <w:color w:val="000000"/>
          <w:szCs w:val="20"/>
        </w:rPr>
        <w:t xml:space="preserve"> особами. </w:t>
      </w:r>
    </w:p>
    <w:p w14:paraId="0659B3CF" w14:textId="77777777" w:rsidR="000A5A99" w:rsidRPr="00E16672" w:rsidRDefault="000A5A99" w:rsidP="000A5A99">
      <w:pPr>
        <w:tabs>
          <w:tab w:val="left" w:pos="284"/>
          <w:tab w:val="left" w:pos="426"/>
        </w:tabs>
        <w:ind w:firstLine="540"/>
        <w:rPr>
          <w:rFonts w:ascii="Times New Roman" w:eastAsia="Arial Unicode MS" w:hAnsi="Times New Roman"/>
          <w:color w:val="000000"/>
          <w:szCs w:val="20"/>
        </w:rPr>
      </w:pPr>
      <w:r w:rsidRPr="00E16672">
        <w:rPr>
          <w:rFonts w:ascii="Times New Roman" w:eastAsia="Arial Unicode MS" w:hAnsi="Times New Roman"/>
          <w:color w:val="000000"/>
          <w:szCs w:val="20"/>
        </w:rPr>
        <w:t xml:space="preserve">2.3.3. </w:t>
      </w:r>
      <w:proofErr w:type="spellStart"/>
      <w:r w:rsidRPr="00E16672">
        <w:rPr>
          <w:rFonts w:ascii="Times New Roman" w:eastAsia="Arial Unicode MS" w:hAnsi="Times New Roman"/>
          <w:color w:val="000000"/>
          <w:szCs w:val="20"/>
        </w:rPr>
        <w:t>Використовувати</w:t>
      </w:r>
      <w:proofErr w:type="spellEnd"/>
      <w:r w:rsidRPr="00E16672">
        <w:rPr>
          <w:rFonts w:ascii="Times New Roman" w:eastAsia="Arial Unicode MS" w:hAnsi="Times New Roman"/>
          <w:color w:val="000000"/>
          <w:szCs w:val="20"/>
        </w:rPr>
        <w:t xml:space="preserve"> </w:t>
      </w:r>
      <w:proofErr w:type="spellStart"/>
      <w:r w:rsidRPr="00E16672">
        <w:rPr>
          <w:rFonts w:ascii="Times New Roman" w:eastAsia="Arial Unicode MS" w:hAnsi="Times New Roman"/>
          <w:color w:val="000000"/>
          <w:szCs w:val="20"/>
        </w:rPr>
        <w:t>інформацію</w:t>
      </w:r>
      <w:proofErr w:type="spellEnd"/>
      <w:r w:rsidRPr="00E16672">
        <w:rPr>
          <w:rFonts w:ascii="Times New Roman" w:eastAsia="Arial Unicode MS" w:hAnsi="Times New Roman"/>
          <w:color w:val="000000"/>
          <w:szCs w:val="20"/>
        </w:rPr>
        <w:t xml:space="preserve"> про </w:t>
      </w:r>
      <w:proofErr w:type="spellStart"/>
      <w:r w:rsidRPr="00E16672">
        <w:rPr>
          <w:rFonts w:ascii="Times New Roman" w:eastAsia="Arial Unicode MS" w:hAnsi="Times New Roman"/>
          <w:color w:val="000000"/>
          <w:szCs w:val="20"/>
        </w:rPr>
        <w:t>Власників</w:t>
      </w:r>
      <w:proofErr w:type="spellEnd"/>
      <w:r w:rsidRPr="00E16672">
        <w:rPr>
          <w:rFonts w:ascii="Times New Roman" w:eastAsia="Arial Unicode MS" w:hAnsi="Times New Roman"/>
          <w:color w:val="000000"/>
          <w:szCs w:val="20"/>
        </w:rPr>
        <w:t xml:space="preserve"> та </w:t>
      </w:r>
      <w:proofErr w:type="spellStart"/>
      <w:r w:rsidRPr="00E16672">
        <w:rPr>
          <w:rFonts w:ascii="Times New Roman" w:eastAsia="Arial Unicode MS" w:hAnsi="Times New Roman"/>
          <w:color w:val="000000"/>
          <w:szCs w:val="20"/>
        </w:rPr>
        <w:t>їх</w:t>
      </w:r>
      <w:proofErr w:type="spellEnd"/>
      <w:r w:rsidRPr="00E16672">
        <w:rPr>
          <w:rFonts w:ascii="Times New Roman" w:eastAsia="Arial Unicode MS" w:hAnsi="Times New Roman"/>
          <w:color w:val="000000"/>
          <w:szCs w:val="20"/>
        </w:rPr>
        <w:t xml:space="preserve"> </w:t>
      </w:r>
      <w:proofErr w:type="spellStart"/>
      <w:r w:rsidRPr="00E16672">
        <w:rPr>
          <w:rFonts w:ascii="Times New Roman" w:eastAsia="Arial Unicode MS" w:hAnsi="Times New Roman"/>
          <w:color w:val="000000"/>
          <w:szCs w:val="20"/>
        </w:rPr>
        <w:t>рахунки</w:t>
      </w:r>
      <w:proofErr w:type="spellEnd"/>
      <w:r w:rsidRPr="00E16672">
        <w:rPr>
          <w:rFonts w:ascii="Times New Roman" w:eastAsia="Arial Unicode MS" w:hAnsi="Times New Roman"/>
          <w:color w:val="000000"/>
          <w:szCs w:val="20"/>
        </w:rPr>
        <w:t xml:space="preserve"> </w:t>
      </w:r>
      <w:r w:rsidR="00C22309" w:rsidRPr="00E16672">
        <w:rPr>
          <w:rFonts w:ascii="Times New Roman" w:eastAsia="Arial Unicode MS" w:hAnsi="Times New Roman"/>
          <w:color w:val="000000"/>
          <w:szCs w:val="20"/>
        </w:rPr>
        <w:t xml:space="preserve">в </w:t>
      </w:r>
      <w:proofErr w:type="spellStart"/>
      <w:r w:rsidR="00C22309" w:rsidRPr="00E16672">
        <w:rPr>
          <w:rFonts w:ascii="Times New Roman" w:eastAsia="Arial Unicode MS" w:hAnsi="Times New Roman"/>
          <w:color w:val="000000"/>
          <w:szCs w:val="20"/>
        </w:rPr>
        <w:t>цін</w:t>
      </w:r>
      <w:r w:rsidRPr="00E16672">
        <w:rPr>
          <w:rFonts w:ascii="Times New Roman" w:eastAsia="Arial Unicode MS" w:hAnsi="Times New Roman"/>
          <w:color w:val="000000"/>
          <w:szCs w:val="20"/>
        </w:rPr>
        <w:t>них</w:t>
      </w:r>
      <w:proofErr w:type="spellEnd"/>
      <w:r w:rsidRPr="00E16672">
        <w:rPr>
          <w:rFonts w:ascii="Times New Roman" w:eastAsia="Arial Unicode MS" w:hAnsi="Times New Roman"/>
          <w:color w:val="000000"/>
          <w:szCs w:val="20"/>
        </w:rPr>
        <w:t xml:space="preserve"> </w:t>
      </w:r>
      <w:proofErr w:type="spellStart"/>
      <w:r w:rsidRPr="00E16672">
        <w:rPr>
          <w:rFonts w:ascii="Times New Roman" w:eastAsia="Arial Unicode MS" w:hAnsi="Times New Roman"/>
          <w:color w:val="000000"/>
          <w:szCs w:val="20"/>
        </w:rPr>
        <w:t>паперах</w:t>
      </w:r>
      <w:proofErr w:type="spellEnd"/>
      <w:r w:rsidRPr="00E16672">
        <w:rPr>
          <w:rFonts w:ascii="Times New Roman" w:eastAsia="Arial Unicode MS" w:hAnsi="Times New Roman"/>
          <w:color w:val="000000"/>
          <w:szCs w:val="20"/>
        </w:rPr>
        <w:t xml:space="preserve"> для </w:t>
      </w:r>
      <w:proofErr w:type="spellStart"/>
      <w:r w:rsidRPr="00E16672">
        <w:rPr>
          <w:rFonts w:ascii="Times New Roman" w:eastAsia="Arial Unicode MS" w:hAnsi="Times New Roman"/>
          <w:color w:val="000000"/>
          <w:szCs w:val="20"/>
        </w:rPr>
        <w:t>здійснення</w:t>
      </w:r>
      <w:proofErr w:type="spellEnd"/>
      <w:r w:rsidRPr="00E16672">
        <w:rPr>
          <w:rFonts w:ascii="Times New Roman" w:eastAsia="Arial Unicode MS" w:hAnsi="Times New Roman"/>
          <w:color w:val="000000"/>
          <w:szCs w:val="20"/>
        </w:rPr>
        <w:t xml:space="preserve"> </w:t>
      </w:r>
      <w:proofErr w:type="spellStart"/>
      <w:r w:rsidRPr="00E16672">
        <w:rPr>
          <w:rFonts w:ascii="Times New Roman" w:eastAsia="Arial Unicode MS" w:hAnsi="Times New Roman"/>
          <w:color w:val="000000"/>
          <w:szCs w:val="20"/>
        </w:rPr>
        <w:t>дій</w:t>
      </w:r>
      <w:proofErr w:type="spellEnd"/>
      <w:r w:rsidRPr="00E16672">
        <w:rPr>
          <w:rFonts w:ascii="Times New Roman" w:eastAsia="Arial Unicode MS" w:hAnsi="Times New Roman"/>
          <w:color w:val="000000"/>
          <w:szCs w:val="20"/>
        </w:rPr>
        <w:t xml:space="preserve">, </w:t>
      </w:r>
      <w:proofErr w:type="spellStart"/>
      <w:r w:rsidRPr="00E16672">
        <w:rPr>
          <w:rFonts w:ascii="Times New Roman" w:eastAsia="Arial Unicode MS" w:hAnsi="Times New Roman"/>
          <w:color w:val="000000"/>
          <w:szCs w:val="20"/>
        </w:rPr>
        <w:t>які</w:t>
      </w:r>
      <w:proofErr w:type="spellEnd"/>
      <w:r w:rsidRPr="00E16672">
        <w:rPr>
          <w:rFonts w:ascii="Times New Roman" w:eastAsia="Arial Unicode MS" w:hAnsi="Times New Roman"/>
          <w:color w:val="000000"/>
          <w:szCs w:val="20"/>
        </w:rPr>
        <w:t xml:space="preserve"> </w:t>
      </w:r>
      <w:proofErr w:type="spellStart"/>
      <w:r w:rsidRPr="00E16672">
        <w:rPr>
          <w:rFonts w:ascii="Times New Roman" w:eastAsia="Arial Unicode MS" w:hAnsi="Times New Roman"/>
          <w:color w:val="000000"/>
          <w:szCs w:val="20"/>
        </w:rPr>
        <w:t>можуть</w:t>
      </w:r>
      <w:proofErr w:type="spellEnd"/>
      <w:r w:rsidRPr="00E16672">
        <w:rPr>
          <w:rFonts w:ascii="Times New Roman" w:eastAsia="Arial Unicode MS" w:hAnsi="Times New Roman"/>
          <w:color w:val="000000"/>
          <w:szCs w:val="20"/>
        </w:rPr>
        <w:t xml:space="preserve"> нанести шкоду правам та </w:t>
      </w:r>
      <w:proofErr w:type="spellStart"/>
      <w:r w:rsidRPr="00E16672">
        <w:rPr>
          <w:rFonts w:ascii="Times New Roman" w:eastAsia="Arial Unicode MS" w:hAnsi="Times New Roman"/>
          <w:color w:val="000000"/>
          <w:szCs w:val="20"/>
        </w:rPr>
        <w:t>інтересам</w:t>
      </w:r>
      <w:proofErr w:type="spellEnd"/>
      <w:r w:rsidRPr="00E16672">
        <w:rPr>
          <w:rFonts w:ascii="Times New Roman" w:eastAsia="Arial Unicode MS" w:hAnsi="Times New Roman"/>
          <w:color w:val="000000"/>
          <w:szCs w:val="20"/>
        </w:rPr>
        <w:t xml:space="preserve"> </w:t>
      </w:r>
      <w:proofErr w:type="spellStart"/>
      <w:r w:rsidRPr="00E16672">
        <w:rPr>
          <w:rFonts w:ascii="Times New Roman" w:eastAsia="Arial Unicode MS" w:hAnsi="Times New Roman"/>
          <w:color w:val="000000"/>
          <w:szCs w:val="20"/>
        </w:rPr>
        <w:t>Власників</w:t>
      </w:r>
      <w:proofErr w:type="spellEnd"/>
      <w:r w:rsidRPr="00E16672">
        <w:rPr>
          <w:rFonts w:ascii="Times New Roman" w:eastAsia="Arial Unicode MS" w:hAnsi="Times New Roman"/>
          <w:color w:val="000000"/>
          <w:szCs w:val="20"/>
        </w:rPr>
        <w:t>.</w:t>
      </w:r>
    </w:p>
    <w:p w14:paraId="3A53B5A3" w14:textId="77777777" w:rsidR="000A5A99" w:rsidRPr="00E16672" w:rsidRDefault="000A5A99" w:rsidP="000A5A99">
      <w:pPr>
        <w:tabs>
          <w:tab w:val="left" w:pos="284"/>
          <w:tab w:val="left" w:pos="426"/>
        </w:tabs>
        <w:ind w:firstLine="540"/>
        <w:rPr>
          <w:rFonts w:ascii="Times New Roman" w:eastAsia="Arial Unicode MS" w:hAnsi="Times New Roman"/>
          <w:color w:val="000000"/>
          <w:szCs w:val="20"/>
        </w:rPr>
      </w:pPr>
      <w:r w:rsidRPr="00E16672">
        <w:rPr>
          <w:rFonts w:ascii="Times New Roman" w:eastAsia="Arial Unicode MS" w:hAnsi="Times New Roman"/>
          <w:color w:val="000000"/>
          <w:szCs w:val="20"/>
        </w:rPr>
        <w:t xml:space="preserve">2.3.4.  Бути Депонентом у </w:t>
      </w:r>
      <w:proofErr w:type="spellStart"/>
      <w:r w:rsidRPr="00E16672">
        <w:rPr>
          <w:rFonts w:ascii="Times New Roman" w:eastAsia="Arial Unicode MS" w:hAnsi="Times New Roman"/>
          <w:color w:val="000000"/>
          <w:szCs w:val="20"/>
        </w:rPr>
        <w:t>іншої</w:t>
      </w:r>
      <w:proofErr w:type="spellEnd"/>
      <w:r w:rsidRPr="00E16672">
        <w:rPr>
          <w:rFonts w:ascii="Times New Roman" w:eastAsia="Arial Unicode MS" w:hAnsi="Times New Roman"/>
          <w:color w:val="000000"/>
          <w:szCs w:val="20"/>
        </w:rPr>
        <w:t xml:space="preserve"> </w:t>
      </w:r>
      <w:proofErr w:type="spellStart"/>
      <w:r w:rsidRPr="00E16672">
        <w:rPr>
          <w:rFonts w:ascii="Times New Roman" w:eastAsia="Arial Unicode MS" w:hAnsi="Times New Roman"/>
          <w:color w:val="000000"/>
          <w:szCs w:val="20"/>
        </w:rPr>
        <w:t>депозитарної</w:t>
      </w:r>
      <w:proofErr w:type="spellEnd"/>
      <w:r w:rsidRPr="00E16672">
        <w:rPr>
          <w:rFonts w:ascii="Times New Roman" w:eastAsia="Arial Unicode MS" w:hAnsi="Times New Roman"/>
          <w:color w:val="000000"/>
          <w:szCs w:val="20"/>
        </w:rPr>
        <w:t xml:space="preserve"> установи.</w:t>
      </w:r>
    </w:p>
    <w:p w14:paraId="386BF2DA" w14:textId="77777777" w:rsidR="000A5A99" w:rsidRPr="00E16672" w:rsidRDefault="000A5A99" w:rsidP="000A5A99">
      <w:pPr>
        <w:tabs>
          <w:tab w:val="left" w:pos="284"/>
          <w:tab w:val="left" w:pos="426"/>
        </w:tabs>
        <w:ind w:firstLine="540"/>
        <w:rPr>
          <w:rFonts w:ascii="Times New Roman" w:eastAsia="Arial Unicode MS" w:hAnsi="Times New Roman"/>
          <w:color w:val="000000"/>
          <w:szCs w:val="20"/>
        </w:rPr>
      </w:pPr>
      <w:r w:rsidRPr="00E16672">
        <w:rPr>
          <w:rFonts w:ascii="Times New Roman" w:eastAsia="Arial Unicode MS" w:hAnsi="Times New Roman"/>
          <w:color w:val="000000"/>
          <w:szCs w:val="20"/>
        </w:rPr>
        <w:t xml:space="preserve">2.3.5. </w:t>
      </w:r>
      <w:proofErr w:type="spellStart"/>
      <w:r w:rsidRPr="00E16672">
        <w:rPr>
          <w:rFonts w:ascii="Times New Roman" w:eastAsia="Arial Unicode MS" w:hAnsi="Times New Roman"/>
          <w:color w:val="000000"/>
          <w:szCs w:val="20"/>
        </w:rPr>
        <w:t>Користуватися</w:t>
      </w:r>
      <w:proofErr w:type="spellEnd"/>
      <w:r w:rsidRPr="00E16672">
        <w:rPr>
          <w:rFonts w:ascii="Times New Roman" w:eastAsia="Arial Unicode MS" w:hAnsi="Times New Roman"/>
          <w:color w:val="000000"/>
          <w:szCs w:val="20"/>
        </w:rPr>
        <w:t xml:space="preserve"> </w:t>
      </w:r>
      <w:proofErr w:type="spellStart"/>
      <w:r w:rsidRPr="00E16672">
        <w:rPr>
          <w:rFonts w:ascii="Times New Roman" w:eastAsia="Arial Unicode MS" w:hAnsi="Times New Roman"/>
          <w:color w:val="000000"/>
          <w:szCs w:val="20"/>
        </w:rPr>
        <w:t>послугами</w:t>
      </w:r>
      <w:proofErr w:type="spellEnd"/>
      <w:r w:rsidRPr="00E16672">
        <w:rPr>
          <w:rFonts w:ascii="Times New Roman" w:eastAsia="Arial Unicode MS" w:hAnsi="Times New Roman"/>
          <w:color w:val="000000"/>
          <w:szCs w:val="20"/>
        </w:rPr>
        <w:t xml:space="preserve"> </w:t>
      </w:r>
      <w:proofErr w:type="spellStart"/>
      <w:r w:rsidRPr="00E16672">
        <w:rPr>
          <w:rFonts w:ascii="Times New Roman" w:eastAsia="Arial Unicode MS" w:hAnsi="Times New Roman"/>
          <w:color w:val="000000"/>
          <w:szCs w:val="20"/>
        </w:rPr>
        <w:t>іншої</w:t>
      </w:r>
      <w:proofErr w:type="spellEnd"/>
      <w:r w:rsidRPr="00E16672">
        <w:rPr>
          <w:rFonts w:ascii="Times New Roman" w:eastAsia="Arial Unicode MS" w:hAnsi="Times New Roman"/>
          <w:color w:val="000000"/>
          <w:szCs w:val="20"/>
        </w:rPr>
        <w:t xml:space="preserve"> </w:t>
      </w:r>
      <w:proofErr w:type="spellStart"/>
      <w:r w:rsidRPr="00E16672">
        <w:rPr>
          <w:rFonts w:ascii="Times New Roman" w:eastAsia="Arial Unicode MS" w:hAnsi="Times New Roman"/>
          <w:color w:val="000000"/>
          <w:szCs w:val="20"/>
        </w:rPr>
        <w:t>депозитарної</w:t>
      </w:r>
      <w:proofErr w:type="spellEnd"/>
      <w:r w:rsidRPr="00E16672">
        <w:rPr>
          <w:rFonts w:ascii="Times New Roman" w:eastAsia="Arial Unicode MS" w:hAnsi="Times New Roman"/>
          <w:color w:val="000000"/>
          <w:szCs w:val="20"/>
        </w:rPr>
        <w:t xml:space="preserve"> установи для </w:t>
      </w:r>
      <w:proofErr w:type="spellStart"/>
      <w:r w:rsidRPr="00E16672">
        <w:rPr>
          <w:rFonts w:ascii="Times New Roman" w:eastAsia="Arial Unicode MS" w:hAnsi="Times New Roman"/>
          <w:color w:val="000000"/>
          <w:szCs w:val="20"/>
        </w:rPr>
        <w:t>виконання</w:t>
      </w:r>
      <w:proofErr w:type="spellEnd"/>
      <w:r w:rsidRPr="00E16672">
        <w:rPr>
          <w:rFonts w:ascii="Times New Roman" w:eastAsia="Arial Unicode MS" w:hAnsi="Times New Roman"/>
          <w:color w:val="000000"/>
          <w:szCs w:val="20"/>
        </w:rPr>
        <w:t xml:space="preserve"> </w:t>
      </w:r>
      <w:proofErr w:type="spellStart"/>
      <w:r w:rsidRPr="00E16672">
        <w:rPr>
          <w:rFonts w:ascii="Times New Roman" w:eastAsia="Arial Unicode MS" w:hAnsi="Times New Roman"/>
          <w:color w:val="000000"/>
          <w:szCs w:val="20"/>
        </w:rPr>
        <w:t>своїх</w:t>
      </w:r>
      <w:proofErr w:type="spellEnd"/>
      <w:r w:rsidRPr="00E16672">
        <w:rPr>
          <w:rFonts w:ascii="Times New Roman" w:eastAsia="Arial Unicode MS" w:hAnsi="Times New Roman"/>
          <w:color w:val="000000"/>
          <w:szCs w:val="20"/>
        </w:rPr>
        <w:t xml:space="preserve"> </w:t>
      </w:r>
      <w:proofErr w:type="spellStart"/>
      <w:r w:rsidRPr="00E16672">
        <w:rPr>
          <w:rFonts w:ascii="Times New Roman" w:eastAsia="Arial Unicode MS" w:hAnsi="Times New Roman"/>
          <w:color w:val="000000"/>
          <w:szCs w:val="20"/>
        </w:rPr>
        <w:t>зобов’язань</w:t>
      </w:r>
      <w:proofErr w:type="spellEnd"/>
      <w:r w:rsidRPr="00E16672">
        <w:rPr>
          <w:rFonts w:ascii="Times New Roman" w:eastAsia="Arial Unicode MS" w:hAnsi="Times New Roman"/>
          <w:color w:val="000000"/>
          <w:szCs w:val="20"/>
        </w:rPr>
        <w:t xml:space="preserve"> </w:t>
      </w:r>
      <w:proofErr w:type="spellStart"/>
      <w:r w:rsidRPr="00E16672">
        <w:rPr>
          <w:rFonts w:ascii="Times New Roman" w:eastAsia="Arial Unicode MS" w:hAnsi="Times New Roman"/>
          <w:color w:val="000000"/>
          <w:szCs w:val="20"/>
        </w:rPr>
        <w:t>щодо</w:t>
      </w:r>
      <w:proofErr w:type="spellEnd"/>
      <w:r w:rsidRPr="00E16672">
        <w:rPr>
          <w:rFonts w:ascii="Times New Roman" w:eastAsia="Arial Unicode MS" w:hAnsi="Times New Roman"/>
          <w:color w:val="000000"/>
          <w:szCs w:val="20"/>
        </w:rPr>
        <w:t xml:space="preserve"> </w:t>
      </w:r>
      <w:proofErr w:type="spellStart"/>
      <w:r w:rsidRPr="00E16672">
        <w:rPr>
          <w:rFonts w:ascii="Times New Roman" w:eastAsia="Arial Unicode MS" w:hAnsi="Times New Roman"/>
          <w:color w:val="000000"/>
          <w:szCs w:val="20"/>
        </w:rPr>
        <w:t>зберігання</w:t>
      </w:r>
      <w:proofErr w:type="spellEnd"/>
      <w:r w:rsidRPr="00E16672">
        <w:rPr>
          <w:rFonts w:ascii="Times New Roman" w:eastAsia="Arial Unicode MS" w:hAnsi="Times New Roman"/>
          <w:color w:val="000000"/>
          <w:szCs w:val="20"/>
        </w:rPr>
        <w:t xml:space="preserve"> та </w:t>
      </w:r>
      <w:proofErr w:type="spellStart"/>
      <w:r w:rsidRPr="00E16672">
        <w:rPr>
          <w:rFonts w:ascii="Times New Roman" w:eastAsia="Arial Unicode MS" w:hAnsi="Times New Roman"/>
          <w:color w:val="000000"/>
          <w:szCs w:val="20"/>
        </w:rPr>
        <w:t>обліку</w:t>
      </w:r>
      <w:proofErr w:type="spellEnd"/>
      <w:r w:rsidRPr="00E16672">
        <w:rPr>
          <w:rFonts w:ascii="Times New Roman" w:eastAsia="Arial Unicode MS" w:hAnsi="Times New Roman"/>
          <w:color w:val="000000"/>
          <w:szCs w:val="20"/>
        </w:rPr>
        <w:t xml:space="preserve"> прав </w:t>
      </w:r>
      <w:proofErr w:type="spellStart"/>
      <w:r w:rsidRPr="00E16672">
        <w:rPr>
          <w:rFonts w:ascii="Times New Roman" w:eastAsia="Arial Unicode MS" w:hAnsi="Times New Roman"/>
          <w:color w:val="000000"/>
          <w:szCs w:val="20"/>
        </w:rPr>
        <w:t>власності</w:t>
      </w:r>
      <w:proofErr w:type="spellEnd"/>
      <w:r w:rsidRPr="00E16672">
        <w:rPr>
          <w:rFonts w:ascii="Times New Roman" w:eastAsia="Arial Unicode MS" w:hAnsi="Times New Roman"/>
          <w:color w:val="000000"/>
          <w:szCs w:val="20"/>
        </w:rPr>
        <w:t xml:space="preserve"> на </w:t>
      </w:r>
      <w:proofErr w:type="spellStart"/>
      <w:r w:rsidRPr="00E16672">
        <w:rPr>
          <w:rFonts w:ascii="Times New Roman" w:eastAsia="Arial Unicode MS" w:hAnsi="Times New Roman"/>
          <w:color w:val="000000"/>
          <w:szCs w:val="20"/>
        </w:rPr>
        <w:t>цінні</w:t>
      </w:r>
      <w:proofErr w:type="spellEnd"/>
      <w:r w:rsidRPr="00E16672">
        <w:rPr>
          <w:rFonts w:ascii="Times New Roman" w:eastAsia="Arial Unicode MS" w:hAnsi="Times New Roman"/>
          <w:color w:val="000000"/>
          <w:szCs w:val="20"/>
        </w:rPr>
        <w:t xml:space="preserve"> </w:t>
      </w:r>
      <w:proofErr w:type="spellStart"/>
      <w:r w:rsidRPr="00E16672">
        <w:rPr>
          <w:rFonts w:ascii="Times New Roman" w:eastAsia="Arial Unicode MS" w:hAnsi="Times New Roman"/>
          <w:color w:val="000000"/>
          <w:szCs w:val="20"/>
        </w:rPr>
        <w:t>папери</w:t>
      </w:r>
      <w:proofErr w:type="spellEnd"/>
      <w:r w:rsidRPr="00E16672">
        <w:rPr>
          <w:rFonts w:ascii="Times New Roman" w:eastAsia="Arial Unicode MS" w:hAnsi="Times New Roman"/>
          <w:color w:val="000000"/>
          <w:szCs w:val="20"/>
        </w:rPr>
        <w:t xml:space="preserve"> за Договором з </w:t>
      </w:r>
      <w:proofErr w:type="spellStart"/>
      <w:r w:rsidRPr="00E16672">
        <w:rPr>
          <w:rFonts w:ascii="Times New Roman" w:eastAsia="Arial Unicode MS" w:hAnsi="Times New Roman"/>
          <w:color w:val="000000"/>
          <w:szCs w:val="20"/>
        </w:rPr>
        <w:t>Емітентом</w:t>
      </w:r>
      <w:proofErr w:type="spellEnd"/>
      <w:r w:rsidRPr="00E16672">
        <w:rPr>
          <w:rFonts w:ascii="Times New Roman" w:eastAsia="Arial Unicode MS" w:hAnsi="Times New Roman"/>
          <w:color w:val="000000"/>
          <w:szCs w:val="20"/>
        </w:rPr>
        <w:t>.</w:t>
      </w:r>
    </w:p>
    <w:p w14:paraId="2050575C" w14:textId="77777777" w:rsidR="000A5A99" w:rsidRPr="00E16672" w:rsidRDefault="000A5A99" w:rsidP="000A5A99">
      <w:pPr>
        <w:tabs>
          <w:tab w:val="left" w:pos="284"/>
          <w:tab w:val="left" w:pos="426"/>
        </w:tabs>
        <w:ind w:firstLine="540"/>
        <w:rPr>
          <w:rFonts w:ascii="Times New Roman" w:eastAsia="Arial Unicode MS" w:hAnsi="Times New Roman"/>
          <w:color w:val="000000"/>
          <w:szCs w:val="20"/>
        </w:rPr>
      </w:pPr>
      <w:r w:rsidRPr="00E16672">
        <w:rPr>
          <w:rFonts w:ascii="Times New Roman" w:eastAsia="Arial Unicode MS" w:hAnsi="Times New Roman"/>
          <w:color w:val="000000"/>
          <w:szCs w:val="20"/>
        </w:rPr>
        <w:t xml:space="preserve">2.3.6. </w:t>
      </w:r>
      <w:proofErr w:type="spellStart"/>
      <w:r w:rsidRPr="00E16672">
        <w:rPr>
          <w:rFonts w:ascii="Times New Roman" w:eastAsia="Arial Unicode MS" w:hAnsi="Times New Roman"/>
          <w:color w:val="000000"/>
          <w:szCs w:val="20"/>
        </w:rPr>
        <w:t>Порушувати</w:t>
      </w:r>
      <w:proofErr w:type="spellEnd"/>
      <w:r w:rsidRPr="00E16672">
        <w:rPr>
          <w:rFonts w:ascii="Times New Roman" w:eastAsia="Arial Unicode MS" w:hAnsi="Times New Roman"/>
          <w:color w:val="000000"/>
          <w:szCs w:val="20"/>
        </w:rPr>
        <w:t xml:space="preserve"> </w:t>
      </w:r>
      <w:proofErr w:type="spellStart"/>
      <w:r w:rsidRPr="00E16672">
        <w:rPr>
          <w:rFonts w:ascii="Times New Roman" w:eastAsia="Arial Unicode MS" w:hAnsi="Times New Roman"/>
          <w:color w:val="000000"/>
          <w:szCs w:val="20"/>
        </w:rPr>
        <w:t>конфіденційність</w:t>
      </w:r>
      <w:proofErr w:type="spellEnd"/>
      <w:r w:rsidRPr="00E16672">
        <w:rPr>
          <w:rFonts w:ascii="Times New Roman" w:eastAsia="Arial Unicode MS" w:hAnsi="Times New Roman"/>
          <w:color w:val="000000"/>
          <w:szCs w:val="20"/>
        </w:rPr>
        <w:t xml:space="preserve"> </w:t>
      </w:r>
      <w:proofErr w:type="spellStart"/>
      <w:r w:rsidRPr="00E16672">
        <w:rPr>
          <w:rFonts w:ascii="Times New Roman" w:eastAsia="Arial Unicode MS" w:hAnsi="Times New Roman"/>
          <w:color w:val="000000"/>
          <w:szCs w:val="20"/>
        </w:rPr>
        <w:t>інформації</w:t>
      </w:r>
      <w:proofErr w:type="spellEnd"/>
      <w:r w:rsidRPr="00E16672">
        <w:rPr>
          <w:rFonts w:ascii="Times New Roman" w:eastAsia="Arial Unicode MS" w:hAnsi="Times New Roman"/>
          <w:color w:val="000000"/>
          <w:szCs w:val="20"/>
        </w:rPr>
        <w:t xml:space="preserve"> </w:t>
      </w:r>
      <w:proofErr w:type="spellStart"/>
      <w:r w:rsidRPr="00E16672">
        <w:rPr>
          <w:rFonts w:ascii="Times New Roman" w:eastAsia="Arial Unicode MS" w:hAnsi="Times New Roman"/>
          <w:color w:val="000000"/>
          <w:szCs w:val="20"/>
        </w:rPr>
        <w:t>стосовно</w:t>
      </w:r>
      <w:proofErr w:type="spellEnd"/>
      <w:r w:rsidRPr="00E16672">
        <w:rPr>
          <w:rFonts w:ascii="Times New Roman" w:eastAsia="Arial Unicode MS" w:hAnsi="Times New Roman"/>
          <w:color w:val="000000"/>
          <w:szCs w:val="20"/>
        </w:rPr>
        <w:t xml:space="preserve"> </w:t>
      </w:r>
      <w:proofErr w:type="spellStart"/>
      <w:r w:rsidRPr="00E16672">
        <w:rPr>
          <w:rFonts w:ascii="Times New Roman" w:eastAsia="Arial Unicode MS" w:hAnsi="Times New Roman"/>
          <w:color w:val="000000"/>
          <w:szCs w:val="20"/>
        </w:rPr>
        <w:t>рахунків</w:t>
      </w:r>
      <w:proofErr w:type="spellEnd"/>
      <w:r w:rsidRPr="00E16672">
        <w:rPr>
          <w:rFonts w:ascii="Times New Roman" w:eastAsia="Arial Unicode MS" w:hAnsi="Times New Roman"/>
          <w:color w:val="000000"/>
          <w:szCs w:val="20"/>
        </w:rPr>
        <w:t xml:space="preserve"> </w:t>
      </w:r>
      <w:r w:rsidR="00C22309" w:rsidRPr="00E16672">
        <w:rPr>
          <w:rFonts w:ascii="Times New Roman" w:eastAsia="Arial Unicode MS" w:hAnsi="Times New Roman"/>
          <w:color w:val="000000"/>
          <w:szCs w:val="20"/>
        </w:rPr>
        <w:t xml:space="preserve">в </w:t>
      </w:r>
      <w:proofErr w:type="spellStart"/>
      <w:r w:rsidR="00C22309" w:rsidRPr="00E16672">
        <w:rPr>
          <w:rFonts w:ascii="Times New Roman" w:eastAsia="Arial Unicode MS" w:hAnsi="Times New Roman"/>
          <w:color w:val="000000"/>
          <w:szCs w:val="20"/>
        </w:rPr>
        <w:t>цін</w:t>
      </w:r>
      <w:r w:rsidRPr="00E16672">
        <w:rPr>
          <w:rFonts w:ascii="Times New Roman" w:eastAsia="Arial Unicode MS" w:hAnsi="Times New Roman"/>
          <w:color w:val="000000"/>
          <w:szCs w:val="20"/>
        </w:rPr>
        <w:t>них</w:t>
      </w:r>
      <w:proofErr w:type="spellEnd"/>
      <w:r w:rsidRPr="00E16672">
        <w:rPr>
          <w:rFonts w:ascii="Times New Roman" w:eastAsia="Arial Unicode MS" w:hAnsi="Times New Roman"/>
          <w:color w:val="000000"/>
          <w:szCs w:val="20"/>
        </w:rPr>
        <w:t xml:space="preserve"> </w:t>
      </w:r>
      <w:proofErr w:type="spellStart"/>
      <w:r w:rsidRPr="00E16672">
        <w:rPr>
          <w:rFonts w:ascii="Times New Roman" w:eastAsia="Arial Unicode MS" w:hAnsi="Times New Roman"/>
          <w:color w:val="000000"/>
          <w:szCs w:val="20"/>
        </w:rPr>
        <w:t>паперах</w:t>
      </w:r>
      <w:proofErr w:type="spellEnd"/>
      <w:r w:rsidRPr="00E16672">
        <w:rPr>
          <w:rFonts w:ascii="Times New Roman" w:eastAsia="Arial Unicode MS" w:hAnsi="Times New Roman"/>
          <w:color w:val="000000"/>
          <w:szCs w:val="20"/>
        </w:rPr>
        <w:t xml:space="preserve">, </w:t>
      </w:r>
      <w:proofErr w:type="spellStart"/>
      <w:r w:rsidRPr="00E16672">
        <w:rPr>
          <w:rFonts w:ascii="Times New Roman" w:eastAsia="Arial Unicode MS" w:hAnsi="Times New Roman"/>
          <w:color w:val="000000"/>
          <w:szCs w:val="20"/>
        </w:rPr>
        <w:t>крім</w:t>
      </w:r>
      <w:proofErr w:type="spellEnd"/>
      <w:r w:rsidRPr="00E16672">
        <w:rPr>
          <w:rFonts w:ascii="Times New Roman" w:eastAsia="Arial Unicode MS" w:hAnsi="Times New Roman"/>
          <w:color w:val="000000"/>
          <w:szCs w:val="20"/>
        </w:rPr>
        <w:t xml:space="preserve"> </w:t>
      </w:r>
      <w:proofErr w:type="spellStart"/>
      <w:r w:rsidRPr="00E16672">
        <w:rPr>
          <w:rFonts w:ascii="Times New Roman" w:eastAsia="Arial Unicode MS" w:hAnsi="Times New Roman"/>
          <w:color w:val="000000"/>
          <w:szCs w:val="20"/>
        </w:rPr>
        <w:t>випадків</w:t>
      </w:r>
      <w:proofErr w:type="spellEnd"/>
      <w:r w:rsidRPr="00E16672">
        <w:rPr>
          <w:rFonts w:ascii="Times New Roman" w:eastAsia="Arial Unicode MS" w:hAnsi="Times New Roman"/>
          <w:color w:val="000000"/>
          <w:szCs w:val="20"/>
        </w:rPr>
        <w:t xml:space="preserve">, </w:t>
      </w:r>
      <w:proofErr w:type="spellStart"/>
      <w:r w:rsidRPr="00E16672">
        <w:rPr>
          <w:rFonts w:ascii="Times New Roman" w:eastAsia="Arial Unicode MS" w:hAnsi="Times New Roman"/>
          <w:color w:val="000000"/>
          <w:szCs w:val="20"/>
        </w:rPr>
        <w:t>передбачених</w:t>
      </w:r>
      <w:proofErr w:type="spellEnd"/>
      <w:r w:rsidRPr="00E16672">
        <w:rPr>
          <w:rFonts w:ascii="Times New Roman" w:eastAsia="Arial Unicode MS" w:hAnsi="Times New Roman"/>
          <w:color w:val="000000"/>
          <w:szCs w:val="20"/>
        </w:rPr>
        <w:t xml:space="preserve"> </w:t>
      </w:r>
      <w:proofErr w:type="spellStart"/>
      <w:r w:rsidRPr="00E16672">
        <w:rPr>
          <w:rFonts w:ascii="Times New Roman" w:eastAsia="Arial Unicode MS" w:hAnsi="Times New Roman"/>
          <w:color w:val="000000"/>
          <w:szCs w:val="20"/>
        </w:rPr>
        <w:t>чинним</w:t>
      </w:r>
      <w:proofErr w:type="spellEnd"/>
      <w:r w:rsidRPr="00E16672">
        <w:rPr>
          <w:rFonts w:ascii="Times New Roman" w:eastAsia="Arial Unicode MS" w:hAnsi="Times New Roman"/>
          <w:color w:val="000000"/>
          <w:szCs w:val="20"/>
        </w:rPr>
        <w:t xml:space="preserve"> </w:t>
      </w:r>
      <w:proofErr w:type="spellStart"/>
      <w:r w:rsidRPr="00E16672">
        <w:rPr>
          <w:rFonts w:ascii="Times New Roman" w:eastAsia="Arial Unicode MS" w:hAnsi="Times New Roman"/>
          <w:color w:val="000000"/>
          <w:szCs w:val="20"/>
        </w:rPr>
        <w:t>законодавством</w:t>
      </w:r>
      <w:proofErr w:type="spellEnd"/>
      <w:r w:rsidRPr="00E16672">
        <w:rPr>
          <w:rFonts w:ascii="Times New Roman" w:eastAsia="Arial Unicode MS" w:hAnsi="Times New Roman"/>
          <w:color w:val="000000"/>
          <w:szCs w:val="20"/>
        </w:rPr>
        <w:t xml:space="preserve">. </w:t>
      </w:r>
    </w:p>
    <w:p w14:paraId="453426CF" w14:textId="77777777" w:rsidR="000A5A99" w:rsidRPr="00E16672" w:rsidRDefault="000A5A99" w:rsidP="000A5A99">
      <w:pPr>
        <w:pStyle w:val="22"/>
        <w:tabs>
          <w:tab w:val="left" w:pos="284"/>
          <w:tab w:val="left" w:pos="426"/>
        </w:tabs>
        <w:ind w:firstLine="540"/>
        <w:rPr>
          <w:rFonts w:ascii="Times New Roman" w:eastAsia="Arial Unicode MS" w:hAnsi="Times New Roman"/>
          <w:color w:val="000000"/>
        </w:rPr>
      </w:pPr>
      <w:r w:rsidRPr="00E16672">
        <w:rPr>
          <w:rFonts w:ascii="Times New Roman" w:eastAsia="Arial Unicode MS" w:hAnsi="Times New Roman"/>
          <w:color w:val="000000"/>
        </w:rPr>
        <w:t xml:space="preserve">2.3.7. Брати з Власників плату за виконання операцій, наведених у п. 2.1.4. цього Договору, яким Депозитарна установа відкрила рахунки в цінних паперах на підставі договору з Емітентом, до моменту укладення договору про обслуговування рахунку </w:t>
      </w:r>
      <w:r w:rsidR="00C22309" w:rsidRPr="00E16672">
        <w:rPr>
          <w:rFonts w:ascii="Times New Roman" w:eastAsia="Arial Unicode MS" w:hAnsi="Times New Roman"/>
          <w:color w:val="000000"/>
        </w:rPr>
        <w:t>в цін</w:t>
      </w:r>
      <w:r w:rsidRPr="00E16672">
        <w:rPr>
          <w:rFonts w:ascii="Times New Roman" w:eastAsia="Arial Unicode MS" w:hAnsi="Times New Roman"/>
          <w:color w:val="000000"/>
        </w:rPr>
        <w:t>них паперах з Власником.</w:t>
      </w:r>
    </w:p>
    <w:p w14:paraId="7CC1AA7D" w14:textId="77777777" w:rsidR="000A5A99" w:rsidRPr="00E16672" w:rsidRDefault="000A5A99" w:rsidP="000A5A99">
      <w:pPr>
        <w:pStyle w:val="ab"/>
        <w:ind w:firstLine="540"/>
        <w:jc w:val="both"/>
        <w:rPr>
          <w:rFonts w:ascii="Times New Roman" w:eastAsia="Arial Unicode MS" w:hAnsi="Times New Roman"/>
          <w:b w:val="0"/>
          <w:color w:val="000000"/>
        </w:rPr>
      </w:pPr>
      <w:r w:rsidRPr="00E16672">
        <w:rPr>
          <w:rFonts w:ascii="Times New Roman" w:eastAsia="Arial Unicode MS" w:hAnsi="Times New Roman"/>
          <w:b w:val="0"/>
          <w:color w:val="000000"/>
        </w:rPr>
        <w:t>2.3.8. Вносити зміни до реєстру власників іменних цінних паперів та/або Переліку власників, складеного Центральним депозитарієм/або Переліку власників, наданих Емітентом.</w:t>
      </w:r>
    </w:p>
    <w:p w14:paraId="2CB66EB4" w14:textId="77777777" w:rsidR="000A5A99" w:rsidRPr="00E16672" w:rsidRDefault="000A5A99" w:rsidP="000A5A99">
      <w:pPr>
        <w:ind w:firstLine="955"/>
        <w:rPr>
          <w:rFonts w:ascii="Times New Roman" w:eastAsia="Arial Unicode MS" w:hAnsi="Times New Roman"/>
          <w:color w:val="000000"/>
          <w:szCs w:val="20"/>
          <w:lang w:val="uk-UA"/>
        </w:rPr>
      </w:pPr>
    </w:p>
    <w:p w14:paraId="6DC1BB71" w14:textId="77777777" w:rsidR="000A5A99" w:rsidRPr="00E16672" w:rsidRDefault="000A5A99" w:rsidP="000A5A99">
      <w:pPr>
        <w:rPr>
          <w:rFonts w:ascii="Times New Roman" w:eastAsia="Arial Unicode MS" w:hAnsi="Times New Roman"/>
          <w:b/>
          <w:color w:val="000000"/>
          <w:szCs w:val="20"/>
          <w:lang w:val="uk-UA"/>
        </w:rPr>
      </w:pPr>
      <w:r w:rsidRPr="00E16672">
        <w:rPr>
          <w:rFonts w:ascii="Times New Roman" w:eastAsia="Arial Unicode MS" w:hAnsi="Times New Roman"/>
          <w:b/>
          <w:color w:val="000000"/>
          <w:szCs w:val="20"/>
          <w:lang w:val="uk-UA"/>
        </w:rPr>
        <w:t>2.4. Емітент зобов`язаний:</w:t>
      </w:r>
    </w:p>
    <w:p w14:paraId="3C40C5E7" w14:textId="77777777" w:rsidR="000A5A99" w:rsidRPr="00E16672" w:rsidRDefault="000A5A99" w:rsidP="000A5A99">
      <w:pPr>
        <w:pStyle w:val="22"/>
        <w:tabs>
          <w:tab w:val="left" w:pos="709"/>
        </w:tabs>
        <w:ind w:firstLine="567"/>
        <w:rPr>
          <w:rFonts w:ascii="Times New Roman" w:eastAsia="Arial Unicode MS" w:hAnsi="Times New Roman"/>
          <w:color w:val="000000"/>
        </w:rPr>
      </w:pPr>
      <w:r w:rsidRPr="00E16672">
        <w:rPr>
          <w:rFonts w:ascii="Times New Roman" w:eastAsia="Arial Unicode MS" w:hAnsi="Times New Roman"/>
          <w:color w:val="000000"/>
        </w:rPr>
        <w:t>2.4.1. Дотримуватись вимог Положення про провадження депозитарної діяльності, Положення про порядок переведення випуску іменних акцій у бездокументарну форму та інших нормативних документів, які стосуються взаємин Емітента та Депозитарної установи, внутрішніх документів Депозитарної установи, умов цього Договору.</w:t>
      </w:r>
    </w:p>
    <w:p w14:paraId="1BF4FF78" w14:textId="77777777" w:rsidR="000A5A99" w:rsidRPr="00E16672" w:rsidRDefault="000A5A99" w:rsidP="000A5A99">
      <w:pPr>
        <w:rPr>
          <w:rFonts w:ascii="Times New Roman" w:eastAsia="Arial Unicode MS" w:hAnsi="Times New Roman"/>
          <w:color w:val="000000"/>
          <w:szCs w:val="20"/>
        </w:rPr>
      </w:pPr>
      <w:r w:rsidRPr="00E16672">
        <w:rPr>
          <w:rFonts w:ascii="Times New Roman" w:eastAsia="Arial Unicode MS" w:hAnsi="Times New Roman"/>
          <w:color w:val="000000"/>
          <w:szCs w:val="20"/>
          <w:lang w:val="uk-UA"/>
        </w:rPr>
        <w:t xml:space="preserve">2.4.2. </w:t>
      </w:r>
      <w:proofErr w:type="spellStart"/>
      <w:r w:rsidRPr="00E16672">
        <w:rPr>
          <w:rFonts w:ascii="Times New Roman" w:eastAsia="Arial Unicode MS" w:hAnsi="Times New Roman"/>
          <w:color w:val="000000"/>
          <w:szCs w:val="20"/>
        </w:rPr>
        <w:t>Сплатити</w:t>
      </w:r>
      <w:proofErr w:type="spellEnd"/>
      <w:r w:rsidRPr="00E16672">
        <w:rPr>
          <w:rFonts w:ascii="Times New Roman" w:eastAsia="Arial Unicode MS" w:hAnsi="Times New Roman"/>
          <w:color w:val="000000"/>
          <w:szCs w:val="20"/>
        </w:rPr>
        <w:t xml:space="preserve"> </w:t>
      </w:r>
      <w:proofErr w:type="spellStart"/>
      <w:r w:rsidRPr="00E16672">
        <w:rPr>
          <w:rFonts w:ascii="Times New Roman" w:eastAsia="Arial Unicode MS" w:hAnsi="Times New Roman"/>
          <w:color w:val="000000"/>
          <w:szCs w:val="20"/>
        </w:rPr>
        <w:t>Депозитарній</w:t>
      </w:r>
      <w:proofErr w:type="spellEnd"/>
      <w:r w:rsidRPr="00E16672">
        <w:rPr>
          <w:rFonts w:ascii="Times New Roman" w:eastAsia="Arial Unicode MS" w:hAnsi="Times New Roman"/>
          <w:color w:val="000000"/>
          <w:szCs w:val="20"/>
        </w:rPr>
        <w:t xml:space="preserve"> </w:t>
      </w:r>
      <w:proofErr w:type="spellStart"/>
      <w:r w:rsidRPr="00E16672">
        <w:rPr>
          <w:rFonts w:ascii="Times New Roman" w:eastAsia="Arial Unicode MS" w:hAnsi="Times New Roman"/>
          <w:color w:val="000000"/>
          <w:szCs w:val="20"/>
        </w:rPr>
        <w:t>установі</w:t>
      </w:r>
      <w:proofErr w:type="spellEnd"/>
      <w:r w:rsidRPr="00E16672">
        <w:rPr>
          <w:rFonts w:ascii="Times New Roman" w:eastAsia="Arial Unicode MS" w:hAnsi="Times New Roman"/>
          <w:color w:val="000000"/>
          <w:szCs w:val="20"/>
        </w:rPr>
        <w:t xml:space="preserve"> </w:t>
      </w:r>
      <w:proofErr w:type="spellStart"/>
      <w:r w:rsidRPr="00E16672">
        <w:rPr>
          <w:rFonts w:ascii="Times New Roman" w:eastAsia="Arial Unicode MS" w:hAnsi="Times New Roman"/>
          <w:color w:val="000000"/>
          <w:szCs w:val="20"/>
        </w:rPr>
        <w:t>повну</w:t>
      </w:r>
      <w:proofErr w:type="spellEnd"/>
      <w:r w:rsidRPr="00E16672">
        <w:rPr>
          <w:rFonts w:ascii="Times New Roman" w:eastAsia="Arial Unicode MS" w:hAnsi="Times New Roman"/>
          <w:color w:val="000000"/>
          <w:szCs w:val="20"/>
        </w:rPr>
        <w:t xml:space="preserve"> </w:t>
      </w:r>
      <w:proofErr w:type="spellStart"/>
      <w:r w:rsidRPr="00E16672">
        <w:rPr>
          <w:rFonts w:ascii="Times New Roman" w:eastAsia="Arial Unicode MS" w:hAnsi="Times New Roman"/>
          <w:color w:val="000000"/>
          <w:szCs w:val="20"/>
        </w:rPr>
        <w:t>вартість</w:t>
      </w:r>
      <w:proofErr w:type="spellEnd"/>
      <w:r w:rsidRPr="00E16672">
        <w:rPr>
          <w:rFonts w:ascii="Times New Roman" w:eastAsia="Arial Unicode MS" w:hAnsi="Times New Roman"/>
          <w:color w:val="000000"/>
          <w:szCs w:val="20"/>
        </w:rPr>
        <w:t xml:space="preserve"> </w:t>
      </w:r>
      <w:proofErr w:type="spellStart"/>
      <w:r w:rsidRPr="00E16672">
        <w:rPr>
          <w:rFonts w:ascii="Times New Roman" w:eastAsia="Arial Unicode MS" w:hAnsi="Times New Roman"/>
          <w:color w:val="000000"/>
          <w:szCs w:val="20"/>
        </w:rPr>
        <w:t>отриманих</w:t>
      </w:r>
      <w:proofErr w:type="spellEnd"/>
      <w:r w:rsidRPr="00E16672">
        <w:rPr>
          <w:rFonts w:ascii="Times New Roman" w:eastAsia="Arial Unicode MS" w:hAnsi="Times New Roman"/>
          <w:color w:val="000000"/>
          <w:szCs w:val="20"/>
        </w:rPr>
        <w:t xml:space="preserve">, але не </w:t>
      </w:r>
      <w:proofErr w:type="spellStart"/>
      <w:r w:rsidRPr="00E16672">
        <w:rPr>
          <w:rFonts w:ascii="Times New Roman" w:eastAsia="Arial Unicode MS" w:hAnsi="Times New Roman"/>
          <w:color w:val="000000"/>
          <w:szCs w:val="20"/>
        </w:rPr>
        <w:t>сплачених</w:t>
      </w:r>
      <w:proofErr w:type="spellEnd"/>
      <w:r w:rsidRPr="00E16672">
        <w:rPr>
          <w:rFonts w:ascii="Times New Roman" w:eastAsia="Arial Unicode MS" w:hAnsi="Times New Roman"/>
          <w:color w:val="000000"/>
          <w:szCs w:val="20"/>
        </w:rPr>
        <w:t xml:space="preserve"> </w:t>
      </w:r>
      <w:proofErr w:type="spellStart"/>
      <w:r w:rsidRPr="00E16672">
        <w:rPr>
          <w:rFonts w:ascii="Times New Roman" w:eastAsia="Arial Unicode MS" w:hAnsi="Times New Roman"/>
          <w:color w:val="000000"/>
          <w:szCs w:val="20"/>
        </w:rPr>
        <w:t>послуг</w:t>
      </w:r>
      <w:proofErr w:type="spellEnd"/>
      <w:r w:rsidRPr="00E16672">
        <w:rPr>
          <w:rFonts w:ascii="Times New Roman" w:eastAsia="Arial Unicode MS" w:hAnsi="Times New Roman"/>
          <w:color w:val="000000"/>
          <w:szCs w:val="20"/>
        </w:rPr>
        <w:t xml:space="preserve"> </w:t>
      </w:r>
      <w:proofErr w:type="spellStart"/>
      <w:r w:rsidRPr="00E16672">
        <w:rPr>
          <w:rFonts w:ascii="Times New Roman" w:eastAsia="Arial Unicode MS" w:hAnsi="Times New Roman"/>
          <w:color w:val="000000"/>
          <w:szCs w:val="20"/>
        </w:rPr>
        <w:t>протягом</w:t>
      </w:r>
      <w:proofErr w:type="spellEnd"/>
      <w:r w:rsidRPr="00E16672">
        <w:rPr>
          <w:rFonts w:ascii="Times New Roman" w:eastAsia="Arial Unicode MS" w:hAnsi="Times New Roman"/>
          <w:color w:val="000000"/>
          <w:szCs w:val="20"/>
        </w:rPr>
        <w:t xml:space="preserve"> </w:t>
      </w:r>
      <w:r w:rsidRPr="00E16672">
        <w:rPr>
          <w:rFonts w:ascii="Times New Roman" w:eastAsia="Arial Unicode MS" w:hAnsi="Times New Roman"/>
          <w:i/>
          <w:iCs/>
          <w:color w:val="000000"/>
          <w:szCs w:val="20"/>
        </w:rPr>
        <w:t>десяти</w:t>
      </w:r>
      <w:r w:rsidRPr="00E16672">
        <w:rPr>
          <w:rFonts w:ascii="Times New Roman" w:eastAsia="Arial Unicode MS" w:hAnsi="Times New Roman"/>
          <w:color w:val="000000"/>
          <w:szCs w:val="20"/>
        </w:rPr>
        <w:t xml:space="preserve"> </w:t>
      </w:r>
      <w:proofErr w:type="spellStart"/>
      <w:r w:rsidRPr="00E16672">
        <w:rPr>
          <w:rFonts w:ascii="Times New Roman" w:eastAsia="Arial Unicode MS" w:hAnsi="Times New Roman"/>
          <w:color w:val="000000"/>
          <w:szCs w:val="20"/>
        </w:rPr>
        <w:t>банківських</w:t>
      </w:r>
      <w:proofErr w:type="spellEnd"/>
      <w:r w:rsidRPr="00E16672">
        <w:rPr>
          <w:rFonts w:ascii="Times New Roman" w:eastAsia="Arial Unicode MS" w:hAnsi="Times New Roman"/>
          <w:color w:val="000000"/>
          <w:szCs w:val="20"/>
        </w:rPr>
        <w:t xml:space="preserve"> </w:t>
      </w:r>
      <w:proofErr w:type="spellStart"/>
      <w:r w:rsidRPr="00E16672">
        <w:rPr>
          <w:rFonts w:ascii="Times New Roman" w:eastAsia="Arial Unicode MS" w:hAnsi="Times New Roman"/>
          <w:color w:val="000000"/>
          <w:szCs w:val="20"/>
        </w:rPr>
        <w:t>днів</w:t>
      </w:r>
      <w:proofErr w:type="spellEnd"/>
      <w:r w:rsidRPr="00E16672">
        <w:rPr>
          <w:rFonts w:ascii="Times New Roman" w:eastAsia="Arial Unicode MS" w:hAnsi="Times New Roman"/>
          <w:color w:val="000000"/>
          <w:szCs w:val="20"/>
        </w:rPr>
        <w:t xml:space="preserve"> </w:t>
      </w:r>
      <w:proofErr w:type="spellStart"/>
      <w:r w:rsidRPr="00E16672">
        <w:rPr>
          <w:rFonts w:ascii="Times New Roman" w:eastAsia="Arial Unicode MS" w:hAnsi="Times New Roman"/>
          <w:color w:val="000000"/>
          <w:szCs w:val="20"/>
        </w:rPr>
        <w:t>після</w:t>
      </w:r>
      <w:proofErr w:type="spellEnd"/>
      <w:r w:rsidRPr="00E16672">
        <w:rPr>
          <w:rFonts w:ascii="Times New Roman" w:eastAsia="Arial Unicode MS" w:hAnsi="Times New Roman"/>
          <w:color w:val="000000"/>
          <w:szCs w:val="20"/>
        </w:rPr>
        <w:t xml:space="preserve"> </w:t>
      </w:r>
      <w:proofErr w:type="spellStart"/>
      <w:r w:rsidRPr="00E16672">
        <w:rPr>
          <w:rFonts w:ascii="Times New Roman" w:eastAsia="Arial Unicode MS" w:hAnsi="Times New Roman"/>
          <w:color w:val="000000"/>
          <w:szCs w:val="20"/>
        </w:rPr>
        <w:t>отримання</w:t>
      </w:r>
      <w:proofErr w:type="spellEnd"/>
      <w:r w:rsidRPr="00E16672">
        <w:rPr>
          <w:rFonts w:ascii="Times New Roman" w:eastAsia="Arial Unicode MS" w:hAnsi="Times New Roman"/>
          <w:color w:val="000000"/>
          <w:szCs w:val="20"/>
        </w:rPr>
        <w:t xml:space="preserve"> </w:t>
      </w:r>
      <w:proofErr w:type="spellStart"/>
      <w:r w:rsidRPr="00E16672">
        <w:rPr>
          <w:rFonts w:ascii="Times New Roman" w:eastAsia="Arial Unicode MS" w:hAnsi="Times New Roman"/>
          <w:color w:val="000000"/>
          <w:szCs w:val="20"/>
        </w:rPr>
        <w:t>письмового</w:t>
      </w:r>
      <w:proofErr w:type="spellEnd"/>
      <w:r w:rsidRPr="00E16672">
        <w:rPr>
          <w:rFonts w:ascii="Times New Roman" w:eastAsia="Arial Unicode MS" w:hAnsi="Times New Roman"/>
          <w:color w:val="000000"/>
          <w:szCs w:val="20"/>
        </w:rPr>
        <w:t xml:space="preserve"> </w:t>
      </w:r>
      <w:proofErr w:type="spellStart"/>
      <w:r w:rsidRPr="00E16672">
        <w:rPr>
          <w:rFonts w:ascii="Times New Roman" w:eastAsia="Arial Unicode MS" w:hAnsi="Times New Roman"/>
          <w:color w:val="000000"/>
          <w:szCs w:val="20"/>
        </w:rPr>
        <w:t>повідомлення</w:t>
      </w:r>
      <w:proofErr w:type="spellEnd"/>
      <w:r w:rsidRPr="00E16672">
        <w:rPr>
          <w:rFonts w:ascii="Times New Roman" w:eastAsia="Arial Unicode MS" w:hAnsi="Times New Roman"/>
          <w:color w:val="000000"/>
          <w:szCs w:val="20"/>
        </w:rPr>
        <w:t xml:space="preserve"> про </w:t>
      </w:r>
      <w:proofErr w:type="spellStart"/>
      <w:r w:rsidRPr="00E16672">
        <w:rPr>
          <w:rFonts w:ascii="Times New Roman" w:eastAsia="Arial Unicode MS" w:hAnsi="Times New Roman"/>
          <w:color w:val="000000"/>
          <w:szCs w:val="20"/>
        </w:rPr>
        <w:t>розірвання</w:t>
      </w:r>
      <w:proofErr w:type="spellEnd"/>
      <w:r w:rsidRPr="00E16672">
        <w:rPr>
          <w:rFonts w:ascii="Times New Roman" w:eastAsia="Arial Unicode MS" w:hAnsi="Times New Roman"/>
          <w:color w:val="000000"/>
          <w:szCs w:val="20"/>
        </w:rPr>
        <w:t xml:space="preserve"> </w:t>
      </w:r>
      <w:proofErr w:type="spellStart"/>
      <w:r w:rsidRPr="00E16672">
        <w:rPr>
          <w:rFonts w:ascii="Times New Roman" w:eastAsia="Arial Unicode MS" w:hAnsi="Times New Roman"/>
          <w:color w:val="000000"/>
          <w:szCs w:val="20"/>
        </w:rPr>
        <w:t>цього</w:t>
      </w:r>
      <w:proofErr w:type="spellEnd"/>
      <w:r w:rsidRPr="00E16672">
        <w:rPr>
          <w:rFonts w:ascii="Times New Roman" w:eastAsia="Arial Unicode MS" w:hAnsi="Times New Roman"/>
          <w:color w:val="000000"/>
          <w:szCs w:val="20"/>
        </w:rPr>
        <w:t xml:space="preserve"> Договору.</w:t>
      </w:r>
    </w:p>
    <w:p w14:paraId="20F95C30" w14:textId="77777777" w:rsidR="000A5A99" w:rsidRPr="00E16672" w:rsidRDefault="000A5A99" w:rsidP="000A5A99">
      <w:pPr>
        <w:rPr>
          <w:rFonts w:ascii="Times New Roman" w:eastAsia="Arial Unicode MS" w:hAnsi="Times New Roman"/>
          <w:color w:val="000000"/>
          <w:szCs w:val="20"/>
          <w:lang w:val="uk-UA"/>
        </w:rPr>
      </w:pPr>
      <w:r w:rsidRPr="00E16672">
        <w:rPr>
          <w:rFonts w:ascii="Times New Roman" w:eastAsia="Arial Unicode MS" w:hAnsi="Times New Roman"/>
          <w:color w:val="000000"/>
          <w:szCs w:val="20"/>
          <w:lang w:val="uk-UA"/>
        </w:rPr>
        <w:t>2.4.3. Подавати до Депозитарної установи інформацію та документи, передбачені законодавством як обов`язкові для подання або потрібні йому для виконання дій згідно з умовами цього Договору.</w:t>
      </w:r>
    </w:p>
    <w:p w14:paraId="19525CC1" w14:textId="77777777" w:rsidR="000A5A99" w:rsidRPr="00E16672" w:rsidRDefault="000A5A99" w:rsidP="000A5A99">
      <w:pPr>
        <w:rPr>
          <w:rFonts w:ascii="Times New Roman" w:eastAsia="Arial Unicode MS" w:hAnsi="Times New Roman"/>
          <w:color w:val="000000"/>
          <w:szCs w:val="20"/>
          <w:lang w:val="uk-UA"/>
        </w:rPr>
      </w:pPr>
      <w:r w:rsidRPr="00E16672">
        <w:rPr>
          <w:rFonts w:ascii="Times New Roman" w:eastAsia="Arial Unicode MS" w:hAnsi="Times New Roman"/>
          <w:color w:val="000000"/>
          <w:szCs w:val="20"/>
          <w:lang w:val="uk-UA"/>
        </w:rPr>
        <w:t>2.4.4. Забезпечити передачу Депозитарній установі реєстру власників іменних цінних паперів</w:t>
      </w:r>
      <w:r w:rsidRPr="00E16672">
        <w:rPr>
          <w:rFonts w:ascii="Times New Roman" w:eastAsia="Arial Unicode MS" w:hAnsi="Times New Roman"/>
          <w:color w:val="000000"/>
          <w:szCs w:val="20"/>
        </w:rPr>
        <w:t xml:space="preserve"> </w:t>
      </w:r>
      <w:r w:rsidRPr="00E16672">
        <w:rPr>
          <w:rFonts w:ascii="Times New Roman" w:eastAsia="Arial Unicode MS" w:hAnsi="Times New Roman"/>
          <w:color w:val="000000"/>
          <w:szCs w:val="20"/>
          <w:lang w:val="uk-UA"/>
        </w:rPr>
        <w:t xml:space="preserve">та інших документів, </w:t>
      </w:r>
      <w:proofErr w:type="spellStart"/>
      <w:r w:rsidRPr="00E16672">
        <w:rPr>
          <w:rFonts w:ascii="Times New Roman" w:eastAsia="Arial Unicode MS" w:hAnsi="Times New Roman"/>
          <w:color w:val="000000"/>
          <w:szCs w:val="20"/>
        </w:rPr>
        <w:t>передбачених</w:t>
      </w:r>
      <w:proofErr w:type="spellEnd"/>
      <w:r w:rsidRPr="00E16672">
        <w:rPr>
          <w:rFonts w:ascii="Times New Roman" w:eastAsia="Arial Unicode MS" w:hAnsi="Times New Roman"/>
          <w:color w:val="000000"/>
          <w:szCs w:val="20"/>
        </w:rPr>
        <w:t xml:space="preserve"> </w:t>
      </w:r>
      <w:proofErr w:type="spellStart"/>
      <w:r w:rsidRPr="00E16672">
        <w:rPr>
          <w:rFonts w:ascii="Times New Roman" w:eastAsia="Arial Unicode MS" w:hAnsi="Times New Roman"/>
          <w:color w:val="000000"/>
          <w:szCs w:val="20"/>
        </w:rPr>
        <w:t>законодавством</w:t>
      </w:r>
      <w:proofErr w:type="spellEnd"/>
      <w:r w:rsidRPr="00E16672">
        <w:rPr>
          <w:rFonts w:ascii="Times New Roman" w:eastAsia="Arial Unicode MS" w:hAnsi="Times New Roman"/>
          <w:color w:val="000000"/>
          <w:szCs w:val="20"/>
        </w:rPr>
        <w:t xml:space="preserve">, у </w:t>
      </w:r>
      <w:proofErr w:type="spellStart"/>
      <w:r w:rsidRPr="00E16672">
        <w:rPr>
          <w:rFonts w:ascii="Times New Roman" w:eastAsia="Arial Unicode MS" w:hAnsi="Times New Roman"/>
          <w:color w:val="000000"/>
          <w:szCs w:val="20"/>
        </w:rPr>
        <w:t>терміни</w:t>
      </w:r>
      <w:proofErr w:type="spellEnd"/>
      <w:r w:rsidRPr="00E16672">
        <w:rPr>
          <w:rFonts w:ascii="Times New Roman" w:eastAsia="Arial Unicode MS" w:hAnsi="Times New Roman"/>
          <w:color w:val="000000"/>
          <w:szCs w:val="20"/>
        </w:rPr>
        <w:t xml:space="preserve">, </w:t>
      </w:r>
      <w:proofErr w:type="spellStart"/>
      <w:r w:rsidRPr="00E16672">
        <w:rPr>
          <w:rFonts w:ascii="Times New Roman" w:eastAsia="Arial Unicode MS" w:hAnsi="Times New Roman"/>
          <w:color w:val="000000"/>
          <w:szCs w:val="20"/>
        </w:rPr>
        <w:t>передбачені</w:t>
      </w:r>
      <w:proofErr w:type="spellEnd"/>
      <w:r w:rsidRPr="00E16672">
        <w:rPr>
          <w:rFonts w:ascii="Times New Roman" w:eastAsia="Arial Unicode MS" w:hAnsi="Times New Roman"/>
          <w:color w:val="000000"/>
          <w:szCs w:val="20"/>
        </w:rPr>
        <w:t xml:space="preserve"> </w:t>
      </w:r>
      <w:proofErr w:type="spellStart"/>
      <w:r w:rsidRPr="00E16672">
        <w:rPr>
          <w:rFonts w:ascii="Times New Roman" w:eastAsia="Arial Unicode MS" w:hAnsi="Times New Roman"/>
          <w:color w:val="000000"/>
          <w:szCs w:val="20"/>
        </w:rPr>
        <w:t>законодавством</w:t>
      </w:r>
      <w:proofErr w:type="spellEnd"/>
      <w:r w:rsidRPr="00E16672">
        <w:rPr>
          <w:rFonts w:ascii="Times New Roman" w:eastAsia="Arial Unicode MS" w:hAnsi="Times New Roman"/>
          <w:color w:val="000000"/>
          <w:szCs w:val="20"/>
        </w:rPr>
        <w:t xml:space="preserve"> та/</w:t>
      </w:r>
      <w:proofErr w:type="spellStart"/>
      <w:r w:rsidRPr="00E16672">
        <w:rPr>
          <w:rFonts w:ascii="Times New Roman" w:eastAsia="Arial Unicode MS" w:hAnsi="Times New Roman"/>
          <w:color w:val="000000"/>
          <w:szCs w:val="20"/>
        </w:rPr>
        <w:t>або</w:t>
      </w:r>
      <w:proofErr w:type="spellEnd"/>
      <w:r w:rsidRPr="00E16672">
        <w:rPr>
          <w:rFonts w:ascii="Times New Roman" w:eastAsia="Arial Unicode MS" w:hAnsi="Times New Roman"/>
          <w:color w:val="000000"/>
          <w:szCs w:val="20"/>
        </w:rPr>
        <w:t xml:space="preserve"> </w:t>
      </w:r>
      <w:proofErr w:type="spellStart"/>
      <w:r w:rsidRPr="00E16672">
        <w:rPr>
          <w:rFonts w:ascii="Times New Roman" w:eastAsia="Arial Unicode MS" w:hAnsi="Times New Roman"/>
          <w:color w:val="000000"/>
          <w:szCs w:val="20"/>
        </w:rPr>
        <w:t>внутрішніми</w:t>
      </w:r>
      <w:proofErr w:type="spellEnd"/>
      <w:r w:rsidRPr="00E16672">
        <w:rPr>
          <w:rFonts w:ascii="Times New Roman" w:eastAsia="Arial Unicode MS" w:hAnsi="Times New Roman"/>
          <w:color w:val="000000"/>
          <w:szCs w:val="20"/>
        </w:rPr>
        <w:t xml:space="preserve"> документами </w:t>
      </w:r>
      <w:proofErr w:type="spellStart"/>
      <w:r w:rsidRPr="00E16672">
        <w:rPr>
          <w:rFonts w:ascii="Times New Roman" w:eastAsia="Arial Unicode MS" w:hAnsi="Times New Roman"/>
          <w:color w:val="000000"/>
          <w:szCs w:val="20"/>
        </w:rPr>
        <w:t>Депозитарної</w:t>
      </w:r>
      <w:proofErr w:type="spellEnd"/>
      <w:r w:rsidRPr="00E16672">
        <w:rPr>
          <w:rFonts w:ascii="Times New Roman" w:eastAsia="Arial Unicode MS" w:hAnsi="Times New Roman"/>
          <w:color w:val="000000"/>
          <w:szCs w:val="20"/>
        </w:rPr>
        <w:t xml:space="preserve"> установи.</w:t>
      </w:r>
    </w:p>
    <w:p w14:paraId="07BD1E40" w14:textId="77777777" w:rsidR="000A5A99" w:rsidRPr="00E16672" w:rsidRDefault="000A5A99" w:rsidP="000A5A99">
      <w:pPr>
        <w:ind w:firstLine="540"/>
        <w:rPr>
          <w:rFonts w:ascii="Times New Roman" w:eastAsia="Arial Unicode MS" w:hAnsi="Times New Roman"/>
          <w:color w:val="000000"/>
          <w:szCs w:val="20"/>
          <w:lang w:val="uk-UA"/>
        </w:rPr>
      </w:pPr>
      <w:r w:rsidRPr="00E16672">
        <w:rPr>
          <w:rFonts w:ascii="Times New Roman" w:eastAsia="Arial Unicode MS" w:hAnsi="Times New Roman"/>
          <w:color w:val="000000"/>
          <w:szCs w:val="20"/>
          <w:lang w:val="uk-UA"/>
        </w:rPr>
        <w:t xml:space="preserve">2.4.5. </w:t>
      </w:r>
      <w:proofErr w:type="spellStart"/>
      <w:r w:rsidRPr="00E16672">
        <w:rPr>
          <w:rFonts w:ascii="Times New Roman" w:hAnsi="Times New Roman"/>
          <w:color w:val="000000"/>
          <w:szCs w:val="20"/>
        </w:rPr>
        <w:t>Надати</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Депозитарній</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установі</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заяву</w:t>
      </w:r>
      <w:proofErr w:type="spellEnd"/>
      <w:r w:rsidRPr="00E16672">
        <w:rPr>
          <w:rFonts w:ascii="Times New Roman" w:hAnsi="Times New Roman"/>
          <w:color w:val="000000"/>
          <w:szCs w:val="20"/>
        </w:rPr>
        <w:t xml:space="preserve"> на </w:t>
      </w:r>
      <w:proofErr w:type="spellStart"/>
      <w:r w:rsidRPr="00E16672">
        <w:rPr>
          <w:rFonts w:ascii="Times New Roman" w:hAnsi="Times New Roman"/>
          <w:color w:val="000000"/>
          <w:szCs w:val="20"/>
        </w:rPr>
        <w:t>відкриття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рахунків</w:t>
      </w:r>
      <w:proofErr w:type="spellEnd"/>
      <w:r w:rsidRPr="00E16672">
        <w:rPr>
          <w:rFonts w:ascii="Times New Roman" w:hAnsi="Times New Roman"/>
          <w:color w:val="000000"/>
          <w:szCs w:val="20"/>
        </w:rPr>
        <w:t xml:space="preserve"> </w:t>
      </w:r>
      <w:r w:rsidR="00C22309" w:rsidRPr="00E16672">
        <w:rPr>
          <w:rFonts w:ascii="Times New Roman" w:hAnsi="Times New Roman"/>
          <w:color w:val="000000"/>
          <w:szCs w:val="20"/>
        </w:rPr>
        <w:t xml:space="preserve">в </w:t>
      </w:r>
      <w:proofErr w:type="spellStart"/>
      <w:r w:rsidR="00C22309" w:rsidRPr="00E16672">
        <w:rPr>
          <w:rFonts w:ascii="Times New Roman" w:hAnsi="Times New Roman"/>
          <w:color w:val="000000"/>
          <w:szCs w:val="20"/>
        </w:rPr>
        <w:t>цін</w:t>
      </w:r>
      <w:r w:rsidRPr="00E16672">
        <w:rPr>
          <w:rFonts w:ascii="Times New Roman" w:hAnsi="Times New Roman"/>
          <w:color w:val="000000"/>
          <w:szCs w:val="20"/>
        </w:rPr>
        <w:t>них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паперах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Власникам</w:t>
      </w:r>
      <w:proofErr w:type="spellEnd"/>
      <w:r w:rsidRPr="00E16672">
        <w:rPr>
          <w:rFonts w:ascii="Times New Roman" w:hAnsi="Times New Roman"/>
          <w:color w:val="000000"/>
          <w:szCs w:val="20"/>
        </w:rPr>
        <w:t xml:space="preserve"> та </w:t>
      </w:r>
      <w:proofErr w:type="spellStart"/>
      <w:r w:rsidRPr="00E16672">
        <w:rPr>
          <w:rFonts w:ascii="Times New Roman" w:hAnsi="Times New Roman"/>
          <w:color w:val="000000"/>
          <w:szCs w:val="20"/>
        </w:rPr>
        <w:t>розпорядження</w:t>
      </w:r>
      <w:proofErr w:type="spellEnd"/>
      <w:r w:rsidRPr="00E16672">
        <w:rPr>
          <w:rFonts w:ascii="Times New Roman" w:hAnsi="Times New Roman"/>
          <w:color w:val="000000"/>
          <w:szCs w:val="20"/>
        </w:rPr>
        <w:t xml:space="preserve"> на </w:t>
      </w:r>
      <w:proofErr w:type="spellStart"/>
      <w:r w:rsidRPr="00E16672">
        <w:rPr>
          <w:rFonts w:ascii="Times New Roman" w:hAnsi="Times New Roman"/>
          <w:color w:val="000000"/>
          <w:szCs w:val="20"/>
        </w:rPr>
        <w:t>зарахування</w:t>
      </w:r>
      <w:proofErr w:type="spellEnd"/>
      <w:r w:rsidRPr="00E16672">
        <w:rPr>
          <w:rFonts w:ascii="Times New Roman" w:hAnsi="Times New Roman"/>
          <w:color w:val="000000"/>
          <w:szCs w:val="20"/>
        </w:rPr>
        <w:t xml:space="preserve"> прав на </w:t>
      </w:r>
      <w:proofErr w:type="spellStart"/>
      <w:r w:rsidRPr="00E16672">
        <w:rPr>
          <w:rFonts w:ascii="Times New Roman" w:hAnsi="Times New Roman"/>
          <w:color w:val="000000"/>
          <w:szCs w:val="20"/>
        </w:rPr>
        <w:t>цінні</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папери</w:t>
      </w:r>
      <w:proofErr w:type="spellEnd"/>
      <w:r w:rsidRPr="00E16672">
        <w:rPr>
          <w:rFonts w:ascii="Times New Roman" w:hAnsi="Times New Roman"/>
          <w:color w:val="000000"/>
          <w:szCs w:val="20"/>
        </w:rPr>
        <w:t xml:space="preserve"> у </w:t>
      </w:r>
      <w:proofErr w:type="spellStart"/>
      <w:r w:rsidRPr="00E16672">
        <w:rPr>
          <w:rFonts w:ascii="Times New Roman" w:hAnsi="Times New Roman"/>
          <w:color w:val="000000"/>
          <w:szCs w:val="20"/>
        </w:rPr>
        <w:t>бездокументарній</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формі</w:t>
      </w:r>
      <w:proofErr w:type="spellEnd"/>
      <w:r w:rsidRPr="00E16672">
        <w:rPr>
          <w:rFonts w:ascii="Times New Roman" w:hAnsi="Times New Roman"/>
          <w:color w:val="000000"/>
          <w:szCs w:val="20"/>
        </w:rPr>
        <w:t xml:space="preserve"> на </w:t>
      </w:r>
      <w:proofErr w:type="spellStart"/>
      <w:r w:rsidRPr="00E16672">
        <w:rPr>
          <w:rFonts w:ascii="Times New Roman" w:hAnsi="Times New Roman"/>
          <w:color w:val="000000"/>
          <w:szCs w:val="20"/>
        </w:rPr>
        <w:t>рахунки</w:t>
      </w:r>
      <w:proofErr w:type="spellEnd"/>
      <w:r w:rsidRPr="00E16672">
        <w:rPr>
          <w:rFonts w:ascii="Times New Roman" w:hAnsi="Times New Roman"/>
          <w:color w:val="000000"/>
          <w:szCs w:val="20"/>
        </w:rPr>
        <w:t xml:space="preserve"> в </w:t>
      </w:r>
      <w:proofErr w:type="spellStart"/>
      <w:r w:rsidRPr="00E16672">
        <w:rPr>
          <w:rFonts w:ascii="Times New Roman" w:hAnsi="Times New Roman"/>
          <w:color w:val="000000"/>
          <w:szCs w:val="20"/>
        </w:rPr>
        <w:t>цінних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паперах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Власників</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оформлені</w:t>
      </w:r>
      <w:proofErr w:type="spellEnd"/>
      <w:r w:rsidRPr="00E16672">
        <w:rPr>
          <w:rFonts w:ascii="Times New Roman" w:hAnsi="Times New Roman"/>
          <w:color w:val="000000"/>
          <w:szCs w:val="20"/>
        </w:rPr>
        <w:t xml:space="preserve"> у </w:t>
      </w:r>
      <w:proofErr w:type="spellStart"/>
      <w:r w:rsidRPr="00E16672">
        <w:rPr>
          <w:rFonts w:ascii="Times New Roman" w:hAnsi="Times New Roman"/>
          <w:color w:val="000000"/>
          <w:szCs w:val="20"/>
        </w:rPr>
        <w:t>відповідності</w:t>
      </w:r>
      <w:proofErr w:type="spellEnd"/>
      <w:r w:rsidRPr="00E16672">
        <w:rPr>
          <w:rFonts w:ascii="Times New Roman" w:hAnsi="Times New Roman"/>
          <w:color w:val="000000"/>
          <w:szCs w:val="20"/>
        </w:rPr>
        <w:t xml:space="preserve"> до </w:t>
      </w:r>
      <w:proofErr w:type="spellStart"/>
      <w:r w:rsidRPr="00E16672">
        <w:rPr>
          <w:rFonts w:ascii="Times New Roman" w:hAnsi="Times New Roman"/>
          <w:color w:val="000000"/>
          <w:szCs w:val="20"/>
        </w:rPr>
        <w:t>вимог</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внутрішніх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документів</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Депозитарної</w:t>
      </w:r>
      <w:proofErr w:type="spellEnd"/>
      <w:r w:rsidRPr="00E16672">
        <w:rPr>
          <w:rFonts w:ascii="Times New Roman" w:hAnsi="Times New Roman"/>
          <w:color w:val="000000"/>
          <w:szCs w:val="20"/>
        </w:rPr>
        <w:t xml:space="preserve"> установи, не </w:t>
      </w:r>
      <w:proofErr w:type="spellStart"/>
      <w:r w:rsidRPr="00E16672">
        <w:rPr>
          <w:rFonts w:ascii="Times New Roman" w:hAnsi="Times New Roman"/>
          <w:color w:val="000000"/>
          <w:szCs w:val="20"/>
        </w:rPr>
        <w:t>пізніше</w:t>
      </w:r>
      <w:proofErr w:type="spellEnd"/>
      <w:r w:rsidRPr="00E16672">
        <w:rPr>
          <w:rFonts w:ascii="Times New Roman" w:hAnsi="Times New Roman"/>
          <w:color w:val="000000"/>
          <w:szCs w:val="20"/>
        </w:rPr>
        <w:t xml:space="preserve"> 1 </w:t>
      </w:r>
      <w:proofErr w:type="spellStart"/>
      <w:r w:rsidRPr="00E16672">
        <w:rPr>
          <w:rFonts w:ascii="Times New Roman" w:hAnsi="Times New Roman"/>
          <w:color w:val="000000"/>
          <w:szCs w:val="20"/>
        </w:rPr>
        <w:t>робочого</w:t>
      </w:r>
      <w:proofErr w:type="spellEnd"/>
      <w:r w:rsidRPr="00E16672">
        <w:rPr>
          <w:rFonts w:ascii="Times New Roman" w:hAnsi="Times New Roman"/>
          <w:color w:val="000000"/>
          <w:szCs w:val="20"/>
        </w:rPr>
        <w:t xml:space="preserve"> дня (</w:t>
      </w:r>
      <w:proofErr w:type="spellStart"/>
      <w:r w:rsidRPr="00E16672">
        <w:rPr>
          <w:rFonts w:ascii="Times New Roman" w:hAnsi="Times New Roman"/>
          <w:color w:val="000000"/>
          <w:szCs w:val="20"/>
        </w:rPr>
        <w:t>якщо</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інший</w:t>
      </w:r>
      <w:proofErr w:type="spellEnd"/>
      <w:r w:rsidRPr="00E16672">
        <w:rPr>
          <w:rFonts w:ascii="Times New Roman" w:hAnsi="Times New Roman"/>
          <w:color w:val="000000"/>
          <w:szCs w:val="20"/>
        </w:rPr>
        <w:t xml:space="preserve"> строк не </w:t>
      </w:r>
      <w:proofErr w:type="spellStart"/>
      <w:r w:rsidRPr="00E16672">
        <w:rPr>
          <w:rFonts w:ascii="Times New Roman" w:hAnsi="Times New Roman"/>
          <w:color w:val="000000"/>
          <w:szCs w:val="20"/>
        </w:rPr>
        <w:t>передбачено</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законодавством</w:t>
      </w:r>
      <w:proofErr w:type="spellEnd"/>
      <w:r w:rsidRPr="00E16672">
        <w:rPr>
          <w:rFonts w:ascii="Times New Roman" w:hAnsi="Times New Roman"/>
          <w:color w:val="000000"/>
          <w:szCs w:val="20"/>
        </w:rPr>
        <w:t xml:space="preserve">) з дня </w:t>
      </w:r>
      <w:proofErr w:type="spellStart"/>
      <w:r w:rsidRPr="00E16672">
        <w:rPr>
          <w:rFonts w:ascii="Times New Roman" w:hAnsi="Times New Roman"/>
          <w:color w:val="000000"/>
          <w:szCs w:val="20"/>
        </w:rPr>
        <w:t>передачі</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Реєстру</w:t>
      </w:r>
      <w:proofErr w:type="spellEnd"/>
      <w:r w:rsidRPr="00E16672">
        <w:rPr>
          <w:rFonts w:ascii="Times New Roman" w:hAnsi="Times New Roman"/>
          <w:color w:val="000000"/>
          <w:szCs w:val="20"/>
        </w:rPr>
        <w:t xml:space="preserve"> та </w:t>
      </w:r>
      <w:proofErr w:type="spellStart"/>
      <w:r w:rsidRPr="00E16672">
        <w:rPr>
          <w:rFonts w:ascii="Times New Roman" w:hAnsi="Times New Roman"/>
          <w:color w:val="000000"/>
          <w:szCs w:val="20"/>
        </w:rPr>
        <w:t>документів</w:t>
      </w:r>
      <w:proofErr w:type="spellEnd"/>
      <w:r w:rsidRPr="00E16672">
        <w:rPr>
          <w:rFonts w:ascii="Times New Roman" w:hAnsi="Times New Roman"/>
          <w:color w:val="000000"/>
          <w:szCs w:val="20"/>
        </w:rPr>
        <w:t xml:space="preserve"> про </w:t>
      </w:r>
      <w:proofErr w:type="spellStart"/>
      <w:r w:rsidRPr="00E16672">
        <w:rPr>
          <w:rFonts w:ascii="Times New Roman" w:hAnsi="Times New Roman"/>
          <w:color w:val="000000"/>
          <w:szCs w:val="20"/>
        </w:rPr>
        <w:t>існуючі</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обтяження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цінних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паперів</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зобов’язаннями</w:t>
      </w:r>
      <w:proofErr w:type="spellEnd"/>
      <w:r w:rsidRPr="00E16672">
        <w:rPr>
          <w:rFonts w:ascii="Times New Roman" w:hAnsi="Times New Roman"/>
          <w:color w:val="000000"/>
          <w:szCs w:val="20"/>
        </w:rPr>
        <w:t>.</w:t>
      </w:r>
    </w:p>
    <w:p w14:paraId="7D3E3152" w14:textId="77777777" w:rsidR="000A5A99" w:rsidRPr="00E16672" w:rsidRDefault="000A5A99" w:rsidP="000A5A99">
      <w:pPr>
        <w:rPr>
          <w:rFonts w:ascii="Times New Roman" w:hAnsi="Times New Roman"/>
          <w:szCs w:val="20"/>
        </w:rPr>
      </w:pPr>
      <w:proofErr w:type="gramStart"/>
      <w:r w:rsidRPr="00E16672">
        <w:rPr>
          <w:rFonts w:ascii="Times New Roman" w:eastAsia="Arial Unicode MS" w:hAnsi="Times New Roman"/>
          <w:color w:val="000000"/>
          <w:szCs w:val="20"/>
        </w:rPr>
        <w:t>2.4.</w:t>
      </w:r>
      <w:r w:rsidRPr="00E16672">
        <w:rPr>
          <w:rFonts w:ascii="Times New Roman" w:eastAsia="Arial Unicode MS" w:hAnsi="Times New Roman"/>
          <w:color w:val="000000"/>
          <w:szCs w:val="20"/>
          <w:lang w:val="uk-UA"/>
        </w:rPr>
        <w:t>6</w:t>
      </w:r>
      <w:r w:rsidRPr="00E16672">
        <w:rPr>
          <w:rFonts w:ascii="Times New Roman" w:eastAsia="Arial Unicode MS" w:hAnsi="Times New Roman"/>
          <w:color w:val="000000"/>
          <w:szCs w:val="20"/>
        </w:rPr>
        <w:t>.</w:t>
      </w:r>
      <w:r w:rsidRPr="00E16672">
        <w:rPr>
          <w:rFonts w:ascii="Times New Roman" w:eastAsia="Arial Unicode MS" w:hAnsi="Times New Roman"/>
          <w:b/>
          <w:color w:val="000000"/>
          <w:szCs w:val="20"/>
        </w:rPr>
        <w:t xml:space="preserve"> </w:t>
      </w:r>
      <w:r w:rsidRPr="00E16672">
        <w:rPr>
          <w:rFonts w:ascii="Times New Roman" w:hAnsi="Times New Roman"/>
          <w:color w:val="000000"/>
          <w:szCs w:val="20"/>
        </w:rPr>
        <w:t>.</w:t>
      </w:r>
      <w:proofErr w:type="gramEnd"/>
      <w:r w:rsidRPr="00E16672">
        <w:rPr>
          <w:rFonts w:ascii="Times New Roman" w:hAnsi="Times New Roman"/>
          <w:color w:val="000000"/>
          <w:szCs w:val="20"/>
        </w:rPr>
        <w:t xml:space="preserve"> </w:t>
      </w:r>
      <w:proofErr w:type="spellStart"/>
      <w:r w:rsidRPr="00E16672">
        <w:rPr>
          <w:rFonts w:ascii="Times New Roman" w:hAnsi="Times New Roman"/>
          <w:szCs w:val="20"/>
        </w:rPr>
        <w:t>Призначити</w:t>
      </w:r>
      <w:proofErr w:type="spellEnd"/>
      <w:r w:rsidRPr="00E16672">
        <w:rPr>
          <w:rFonts w:ascii="Times New Roman" w:hAnsi="Times New Roman"/>
          <w:szCs w:val="20"/>
        </w:rPr>
        <w:t xml:space="preserve"> особу (</w:t>
      </w:r>
      <w:proofErr w:type="spellStart"/>
      <w:r w:rsidRPr="00E16672">
        <w:rPr>
          <w:rFonts w:ascii="Times New Roman" w:hAnsi="Times New Roman"/>
          <w:szCs w:val="20"/>
        </w:rPr>
        <w:t>осіб</w:t>
      </w:r>
      <w:proofErr w:type="spellEnd"/>
      <w:r w:rsidRPr="00E16672">
        <w:rPr>
          <w:rFonts w:ascii="Times New Roman" w:hAnsi="Times New Roman"/>
          <w:szCs w:val="20"/>
        </w:rPr>
        <w:t>), яка (</w:t>
      </w:r>
      <w:proofErr w:type="spellStart"/>
      <w:r w:rsidRPr="00E16672">
        <w:rPr>
          <w:rFonts w:ascii="Times New Roman" w:hAnsi="Times New Roman"/>
          <w:szCs w:val="20"/>
        </w:rPr>
        <w:t>які</w:t>
      </w:r>
      <w:proofErr w:type="spellEnd"/>
      <w:r w:rsidRPr="00E16672">
        <w:rPr>
          <w:rFonts w:ascii="Times New Roman" w:hAnsi="Times New Roman"/>
          <w:szCs w:val="20"/>
        </w:rPr>
        <w:t xml:space="preserve">) </w:t>
      </w:r>
      <w:proofErr w:type="spellStart"/>
      <w:r w:rsidRPr="00E16672">
        <w:rPr>
          <w:rFonts w:ascii="Times New Roman" w:hAnsi="Times New Roman"/>
          <w:szCs w:val="20"/>
        </w:rPr>
        <w:t>мають</w:t>
      </w:r>
      <w:proofErr w:type="spellEnd"/>
      <w:r w:rsidRPr="00E16672">
        <w:rPr>
          <w:rFonts w:ascii="Times New Roman" w:hAnsi="Times New Roman"/>
          <w:szCs w:val="20"/>
        </w:rPr>
        <w:t xml:space="preserve"> </w:t>
      </w:r>
      <w:proofErr w:type="spellStart"/>
      <w:r w:rsidRPr="00E16672">
        <w:rPr>
          <w:rFonts w:ascii="Times New Roman" w:hAnsi="Times New Roman"/>
          <w:szCs w:val="20"/>
        </w:rPr>
        <w:t>повноваження</w:t>
      </w:r>
      <w:proofErr w:type="spellEnd"/>
      <w:r w:rsidRPr="00E16672">
        <w:rPr>
          <w:rFonts w:ascii="Times New Roman" w:hAnsi="Times New Roman"/>
          <w:szCs w:val="20"/>
        </w:rPr>
        <w:t xml:space="preserve"> </w:t>
      </w:r>
      <w:proofErr w:type="spellStart"/>
      <w:r w:rsidRPr="00E16672">
        <w:rPr>
          <w:rFonts w:ascii="Times New Roman" w:hAnsi="Times New Roman"/>
          <w:szCs w:val="20"/>
        </w:rPr>
        <w:t>від</w:t>
      </w:r>
      <w:proofErr w:type="spellEnd"/>
      <w:r w:rsidRPr="00E16672">
        <w:rPr>
          <w:rFonts w:ascii="Times New Roman" w:hAnsi="Times New Roman"/>
          <w:szCs w:val="20"/>
        </w:rPr>
        <w:t xml:space="preserve"> </w:t>
      </w:r>
      <w:proofErr w:type="spellStart"/>
      <w:r w:rsidRPr="00E16672">
        <w:rPr>
          <w:rFonts w:ascii="Times New Roman" w:hAnsi="Times New Roman"/>
          <w:szCs w:val="20"/>
        </w:rPr>
        <w:t>імені</w:t>
      </w:r>
      <w:proofErr w:type="spellEnd"/>
      <w:r w:rsidRPr="00E16672">
        <w:rPr>
          <w:rFonts w:ascii="Times New Roman" w:hAnsi="Times New Roman"/>
          <w:szCs w:val="20"/>
        </w:rPr>
        <w:t xml:space="preserve"> </w:t>
      </w:r>
      <w:proofErr w:type="spellStart"/>
      <w:r w:rsidRPr="00E16672">
        <w:rPr>
          <w:rFonts w:ascii="Times New Roman" w:hAnsi="Times New Roman"/>
          <w:szCs w:val="20"/>
        </w:rPr>
        <w:t>Емітента</w:t>
      </w:r>
      <w:proofErr w:type="spellEnd"/>
      <w:r w:rsidRPr="00E16672">
        <w:rPr>
          <w:rFonts w:ascii="Times New Roman" w:hAnsi="Times New Roman"/>
          <w:szCs w:val="20"/>
        </w:rPr>
        <w:t xml:space="preserve"> </w:t>
      </w:r>
      <w:proofErr w:type="spellStart"/>
      <w:r w:rsidRPr="00E16672">
        <w:rPr>
          <w:rFonts w:ascii="Times New Roman" w:hAnsi="Times New Roman"/>
          <w:szCs w:val="20"/>
        </w:rPr>
        <w:t>підписувати</w:t>
      </w:r>
      <w:proofErr w:type="spellEnd"/>
      <w:r w:rsidRPr="00E16672">
        <w:rPr>
          <w:rFonts w:ascii="Times New Roman" w:hAnsi="Times New Roman"/>
          <w:szCs w:val="20"/>
        </w:rPr>
        <w:t xml:space="preserve"> </w:t>
      </w:r>
      <w:proofErr w:type="spellStart"/>
      <w:r w:rsidRPr="00E16672">
        <w:rPr>
          <w:rFonts w:ascii="Times New Roman" w:hAnsi="Times New Roman"/>
          <w:szCs w:val="20"/>
        </w:rPr>
        <w:t>розпорядження</w:t>
      </w:r>
      <w:proofErr w:type="spellEnd"/>
      <w:r w:rsidRPr="00E16672">
        <w:rPr>
          <w:rFonts w:ascii="Times New Roman" w:hAnsi="Times New Roman"/>
          <w:szCs w:val="20"/>
        </w:rPr>
        <w:t xml:space="preserve">, заяви </w:t>
      </w:r>
      <w:proofErr w:type="spellStart"/>
      <w:r w:rsidRPr="00E16672">
        <w:rPr>
          <w:rFonts w:ascii="Times New Roman" w:hAnsi="Times New Roman"/>
          <w:szCs w:val="20"/>
        </w:rPr>
        <w:t>або</w:t>
      </w:r>
      <w:proofErr w:type="spellEnd"/>
      <w:r w:rsidRPr="00E16672">
        <w:rPr>
          <w:rFonts w:ascii="Times New Roman" w:hAnsi="Times New Roman"/>
          <w:szCs w:val="20"/>
        </w:rPr>
        <w:t xml:space="preserve"> </w:t>
      </w:r>
      <w:proofErr w:type="spellStart"/>
      <w:r w:rsidRPr="00E16672">
        <w:rPr>
          <w:rFonts w:ascii="Times New Roman" w:hAnsi="Times New Roman"/>
          <w:szCs w:val="20"/>
        </w:rPr>
        <w:t>іншим</w:t>
      </w:r>
      <w:proofErr w:type="spellEnd"/>
      <w:r w:rsidRPr="00E16672">
        <w:rPr>
          <w:rFonts w:ascii="Times New Roman" w:hAnsi="Times New Roman"/>
          <w:szCs w:val="20"/>
        </w:rPr>
        <w:t xml:space="preserve"> чином, </w:t>
      </w:r>
      <w:proofErr w:type="spellStart"/>
      <w:r w:rsidRPr="00E16672">
        <w:rPr>
          <w:rFonts w:ascii="Times New Roman" w:hAnsi="Times New Roman"/>
          <w:szCs w:val="20"/>
        </w:rPr>
        <w:t>передбаченим</w:t>
      </w:r>
      <w:proofErr w:type="spellEnd"/>
      <w:r w:rsidRPr="00E16672">
        <w:rPr>
          <w:rFonts w:ascii="Times New Roman" w:hAnsi="Times New Roman"/>
          <w:szCs w:val="20"/>
        </w:rPr>
        <w:t xml:space="preserve"> </w:t>
      </w:r>
      <w:proofErr w:type="spellStart"/>
      <w:r w:rsidRPr="00E16672">
        <w:rPr>
          <w:rFonts w:ascii="Times New Roman" w:hAnsi="Times New Roman"/>
          <w:szCs w:val="20"/>
        </w:rPr>
        <w:t>законодавством</w:t>
      </w:r>
      <w:proofErr w:type="spellEnd"/>
      <w:r w:rsidRPr="00E16672">
        <w:rPr>
          <w:rFonts w:ascii="Times New Roman" w:hAnsi="Times New Roman"/>
          <w:szCs w:val="20"/>
        </w:rPr>
        <w:t xml:space="preserve">, </w:t>
      </w:r>
      <w:proofErr w:type="spellStart"/>
      <w:r w:rsidRPr="00E16672">
        <w:rPr>
          <w:rFonts w:ascii="Times New Roman" w:hAnsi="Times New Roman"/>
          <w:szCs w:val="20"/>
        </w:rPr>
        <w:t>внутрішніми</w:t>
      </w:r>
      <w:proofErr w:type="spellEnd"/>
      <w:r w:rsidRPr="00E16672">
        <w:rPr>
          <w:rFonts w:ascii="Times New Roman" w:hAnsi="Times New Roman"/>
          <w:szCs w:val="20"/>
        </w:rPr>
        <w:t xml:space="preserve"> документами </w:t>
      </w:r>
      <w:proofErr w:type="spellStart"/>
      <w:r w:rsidRPr="00E16672">
        <w:rPr>
          <w:rFonts w:ascii="Times New Roman" w:hAnsi="Times New Roman"/>
          <w:szCs w:val="20"/>
        </w:rPr>
        <w:t>Депозитарної</w:t>
      </w:r>
      <w:proofErr w:type="spellEnd"/>
      <w:r w:rsidRPr="00E16672">
        <w:rPr>
          <w:rFonts w:ascii="Times New Roman" w:hAnsi="Times New Roman"/>
          <w:szCs w:val="20"/>
        </w:rPr>
        <w:t xml:space="preserve"> установи </w:t>
      </w:r>
      <w:proofErr w:type="spellStart"/>
      <w:r w:rsidRPr="00E16672">
        <w:rPr>
          <w:rFonts w:ascii="Times New Roman" w:hAnsi="Times New Roman"/>
          <w:szCs w:val="20"/>
        </w:rPr>
        <w:t>чи</w:t>
      </w:r>
      <w:proofErr w:type="spellEnd"/>
      <w:r w:rsidRPr="00E16672">
        <w:rPr>
          <w:rFonts w:ascii="Times New Roman" w:hAnsi="Times New Roman"/>
          <w:szCs w:val="20"/>
        </w:rPr>
        <w:t xml:space="preserve"> Договором </w:t>
      </w:r>
      <w:proofErr w:type="spellStart"/>
      <w:r w:rsidRPr="00E16672">
        <w:rPr>
          <w:rFonts w:ascii="Times New Roman" w:hAnsi="Times New Roman"/>
          <w:szCs w:val="20"/>
        </w:rPr>
        <w:t>оформлені</w:t>
      </w:r>
      <w:proofErr w:type="spellEnd"/>
      <w:r w:rsidRPr="00E16672">
        <w:rPr>
          <w:rFonts w:ascii="Times New Roman" w:hAnsi="Times New Roman"/>
          <w:szCs w:val="20"/>
        </w:rPr>
        <w:t xml:space="preserve"> </w:t>
      </w:r>
      <w:proofErr w:type="spellStart"/>
      <w:r w:rsidRPr="00E16672">
        <w:rPr>
          <w:rFonts w:ascii="Times New Roman" w:hAnsi="Times New Roman"/>
          <w:szCs w:val="20"/>
        </w:rPr>
        <w:t>вимоги</w:t>
      </w:r>
      <w:proofErr w:type="spellEnd"/>
      <w:r w:rsidRPr="00E16672">
        <w:rPr>
          <w:rFonts w:ascii="Times New Roman" w:hAnsi="Times New Roman"/>
          <w:szCs w:val="20"/>
        </w:rPr>
        <w:t xml:space="preserve"> </w:t>
      </w:r>
      <w:proofErr w:type="spellStart"/>
      <w:r w:rsidRPr="00E16672">
        <w:rPr>
          <w:rFonts w:ascii="Times New Roman" w:hAnsi="Times New Roman"/>
          <w:szCs w:val="20"/>
        </w:rPr>
        <w:t>щодо</w:t>
      </w:r>
      <w:proofErr w:type="spellEnd"/>
      <w:r w:rsidRPr="00E16672">
        <w:rPr>
          <w:rFonts w:ascii="Times New Roman" w:hAnsi="Times New Roman"/>
          <w:szCs w:val="20"/>
        </w:rPr>
        <w:t xml:space="preserve"> </w:t>
      </w:r>
      <w:proofErr w:type="spellStart"/>
      <w:r w:rsidRPr="00E16672">
        <w:rPr>
          <w:rFonts w:ascii="Times New Roman" w:hAnsi="Times New Roman"/>
          <w:szCs w:val="20"/>
        </w:rPr>
        <w:t>виконання</w:t>
      </w:r>
      <w:proofErr w:type="spellEnd"/>
      <w:r w:rsidRPr="00E16672">
        <w:rPr>
          <w:rFonts w:ascii="Times New Roman" w:hAnsi="Times New Roman"/>
          <w:szCs w:val="20"/>
        </w:rPr>
        <w:t xml:space="preserve"> Депозитарною </w:t>
      </w:r>
      <w:proofErr w:type="spellStart"/>
      <w:r w:rsidRPr="00E16672">
        <w:rPr>
          <w:rFonts w:ascii="Times New Roman" w:hAnsi="Times New Roman"/>
          <w:szCs w:val="20"/>
        </w:rPr>
        <w:t>установою</w:t>
      </w:r>
      <w:proofErr w:type="spellEnd"/>
      <w:r w:rsidRPr="00E16672">
        <w:rPr>
          <w:rFonts w:ascii="Times New Roman" w:hAnsi="Times New Roman"/>
          <w:szCs w:val="20"/>
        </w:rPr>
        <w:t xml:space="preserve"> </w:t>
      </w:r>
      <w:proofErr w:type="spellStart"/>
      <w:r w:rsidRPr="00E16672">
        <w:rPr>
          <w:rFonts w:ascii="Times New Roman" w:hAnsi="Times New Roman"/>
          <w:szCs w:val="20"/>
        </w:rPr>
        <w:t>депозитарних</w:t>
      </w:r>
      <w:proofErr w:type="spellEnd"/>
      <w:r w:rsidRPr="00E16672">
        <w:rPr>
          <w:rFonts w:ascii="Times New Roman" w:hAnsi="Times New Roman"/>
          <w:szCs w:val="20"/>
        </w:rPr>
        <w:t xml:space="preserve"> </w:t>
      </w:r>
      <w:proofErr w:type="spellStart"/>
      <w:r w:rsidRPr="00E16672">
        <w:rPr>
          <w:rFonts w:ascii="Times New Roman" w:hAnsi="Times New Roman"/>
          <w:szCs w:val="20"/>
        </w:rPr>
        <w:t>операцій</w:t>
      </w:r>
      <w:proofErr w:type="spellEnd"/>
      <w:r w:rsidRPr="00E16672">
        <w:rPr>
          <w:rFonts w:ascii="Times New Roman" w:hAnsi="Times New Roman"/>
          <w:szCs w:val="20"/>
        </w:rPr>
        <w:t xml:space="preserve"> в </w:t>
      </w:r>
      <w:proofErr w:type="spellStart"/>
      <w:r w:rsidRPr="00E16672">
        <w:rPr>
          <w:rFonts w:ascii="Times New Roman" w:hAnsi="Times New Roman"/>
          <w:szCs w:val="20"/>
        </w:rPr>
        <w:t>системі</w:t>
      </w:r>
      <w:proofErr w:type="spellEnd"/>
      <w:r w:rsidRPr="00E16672">
        <w:rPr>
          <w:rFonts w:ascii="Times New Roman" w:hAnsi="Times New Roman"/>
          <w:szCs w:val="20"/>
        </w:rPr>
        <w:t xml:space="preserve"> депозитарного </w:t>
      </w:r>
      <w:proofErr w:type="spellStart"/>
      <w:r w:rsidRPr="00E16672">
        <w:rPr>
          <w:rFonts w:ascii="Times New Roman" w:hAnsi="Times New Roman"/>
          <w:szCs w:val="20"/>
        </w:rPr>
        <w:t>обліку</w:t>
      </w:r>
      <w:proofErr w:type="spellEnd"/>
      <w:r w:rsidRPr="00E16672">
        <w:rPr>
          <w:rFonts w:ascii="Times New Roman" w:hAnsi="Times New Roman"/>
          <w:szCs w:val="20"/>
        </w:rPr>
        <w:t xml:space="preserve">, </w:t>
      </w:r>
      <w:proofErr w:type="spellStart"/>
      <w:r w:rsidRPr="00E16672">
        <w:rPr>
          <w:rFonts w:ascii="Times New Roman" w:hAnsi="Times New Roman"/>
          <w:szCs w:val="20"/>
        </w:rPr>
        <w:t>надання</w:t>
      </w:r>
      <w:proofErr w:type="spellEnd"/>
      <w:r w:rsidRPr="00E16672">
        <w:rPr>
          <w:rFonts w:ascii="Times New Roman" w:hAnsi="Times New Roman"/>
          <w:szCs w:val="20"/>
        </w:rPr>
        <w:t xml:space="preserve"> </w:t>
      </w:r>
      <w:proofErr w:type="spellStart"/>
      <w:r w:rsidRPr="00E16672">
        <w:rPr>
          <w:rFonts w:ascii="Times New Roman" w:hAnsi="Times New Roman"/>
          <w:szCs w:val="20"/>
        </w:rPr>
        <w:t>послуг</w:t>
      </w:r>
      <w:proofErr w:type="spellEnd"/>
      <w:r w:rsidRPr="00E16672">
        <w:rPr>
          <w:rFonts w:ascii="Times New Roman" w:hAnsi="Times New Roman"/>
          <w:szCs w:val="20"/>
        </w:rPr>
        <w:t xml:space="preserve"> (</w:t>
      </w:r>
      <w:proofErr w:type="spellStart"/>
      <w:r w:rsidRPr="00E16672">
        <w:rPr>
          <w:rFonts w:ascii="Times New Roman" w:hAnsi="Times New Roman"/>
          <w:szCs w:val="20"/>
        </w:rPr>
        <w:t>надалі</w:t>
      </w:r>
      <w:proofErr w:type="spellEnd"/>
      <w:r w:rsidRPr="00E16672">
        <w:rPr>
          <w:rFonts w:ascii="Times New Roman" w:hAnsi="Times New Roman"/>
          <w:szCs w:val="20"/>
        </w:rPr>
        <w:t xml:space="preserve"> – </w:t>
      </w:r>
      <w:proofErr w:type="spellStart"/>
      <w:r w:rsidRPr="00E16672">
        <w:rPr>
          <w:rFonts w:ascii="Times New Roman" w:hAnsi="Times New Roman"/>
          <w:szCs w:val="20"/>
        </w:rPr>
        <w:t>Уповноважена</w:t>
      </w:r>
      <w:proofErr w:type="spellEnd"/>
      <w:r w:rsidRPr="00E16672">
        <w:rPr>
          <w:rFonts w:ascii="Times New Roman" w:hAnsi="Times New Roman"/>
          <w:szCs w:val="20"/>
        </w:rPr>
        <w:t xml:space="preserve"> особа). </w:t>
      </w:r>
    </w:p>
    <w:p w14:paraId="55F72035" w14:textId="77777777" w:rsidR="000A5A99" w:rsidRPr="00E16672" w:rsidRDefault="000A5A99" w:rsidP="000A5A99">
      <w:pPr>
        <w:rPr>
          <w:rFonts w:ascii="Times New Roman" w:hAnsi="Times New Roman"/>
          <w:color w:val="000000"/>
          <w:szCs w:val="20"/>
        </w:rPr>
      </w:pPr>
      <w:r w:rsidRPr="00E16672">
        <w:rPr>
          <w:rFonts w:ascii="Times New Roman" w:hAnsi="Times New Roman"/>
          <w:szCs w:val="20"/>
        </w:rPr>
        <w:lastRenderedPageBreak/>
        <w:t xml:space="preserve">Для </w:t>
      </w:r>
      <w:proofErr w:type="spellStart"/>
      <w:r w:rsidRPr="00E16672">
        <w:rPr>
          <w:rFonts w:ascii="Times New Roman" w:hAnsi="Times New Roman"/>
          <w:szCs w:val="20"/>
        </w:rPr>
        <w:t>цього</w:t>
      </w:r>
      <w:proofErr w:type="spellEnd"/>
      <w:r w:rsidRPr="00E16672">
        <w:rPr>
          <w:rFonts w:ascii="Times New Roman" w:hAnsi="Times New Roman"/>
          <w:szCs w:val="20"/>
        </w:rPr>
        <w:t xml:space="preserve"> </w:t>
      </w:r>
      <w:proofErr w:type="spellStart"/>
      <w:r w:rsidRPr="00E16672">
        <w:rPr>
          <w:rFonts w:ascii="Times New Roman" w:hAnsi="Times New Roman"/>
          <w:szCs w:val="20"/>
        </w:rPr>
        <w:t>Ем</w:t>
      </w:r>
      <w:r w:rsidRPr="00E16672">
        <w:rPr>
          <w:rFonts w:ascii="Times New Roman" w:hAnsi="Times New Roman"/>
          <w:color w:val="000000"/>
          <w:szCs w:val="20"/>
        </w:rPr>
        <w:t>ітент</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зобов’язаний</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надати</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Депозитарній</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установі</w:t>
      </w:r>
      <w:proofErr w:type="spellEnd"/>
      <w:r w:rsidRPr="00E16672">
        <w:rPr>
          <w:rFonts w:ascii="Times New Roman" w:hAnsi="Times New Roman"/>
          <w:color w:val="000000"/>
          <w:szCs w:val="20"/>
        </w:rPr>
        <w:t xml:space="preserve"> не </w:t>
      </w:r>
      <w:proofErr w:type="spellStart"/>
      <w:r w:rsidRPr="00E16672">
        <w:rPr>
          <w:rFonts w:ascii="Times New Roman" w:hAnsi="Times New Roman"/>
          <w:color w:val="000000"/>
          <w:szCs w:val="20"/>
        </w:rPr>
        <w:t>пізніше</w:t>
      </w:r>
      <w:proofErr w:type="spellEnd"/>
      <w:r w:rsidRPr="00E16672">
        <w:rPr>
          <w:rFonts w:ascii="Times New Roman" w:hAnsi="Times New Roman"/>
          <w:color w:val="000000"/>
          <w:szCs w:val="20"/>
        </w:rPr>
        <w:t xml:space="preserve"> дня </w:t>
      </w:r>
      <w:proofErr w:type="spellStart"/>
      <w:r w:rsidRPr="00E16672">
        <w:rPr>
          <w:rFonts w:ascii="Times New Roman" w:hAnsi="Times New Roman"/>
          <w:color w:val="000000"/>
          <w:szCs w:val="20"/>
        </w:rPr>
        <w:t>підписання</w:t>
      </w:r>
      <w:proofErr w:type="spellEnd"/>
      <w:r w:rsidRPr="00E16672">
        <w:rPr>
          <w:rFonts w:ascii="Times New Roman" w:hAnsi="Times New Roman"/>
          <w:color w:val="000000"/>
          <w:szCs w:val="20"/>
        </w:rPr>
        <w:t xml:space="preserve"> договору </w:t>
      </w:r>
      <w:proofErr w:type="spellStart"/>
      <w:r w:rsidRPr="00E16672">
        <w:rPr>
          <w:rFonts w:ascii="Times New Roman" w:hAnsi="Times New Roman"/>
          <w:color w:val="000000"/>
          <w:szCs w:val="20"/>
        </w:rPr>
        <w:t>документи</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що</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підтверджують</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повноваження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Уповноваженої</w:t>
      </w:r>
      <w:proofErr w:type="spellEnd"/>
      <w:r w:rsidRPr="00E16672">
        <w:rPr>
          <w:rFonts w:ascii="Times New Roman" w:hAnsi="Times New Roman"/>
          <w:color w:val="000000"/>
          <w:szCs w:val="20"/>
        </w:rPr>
        <w:t xml:space="preserve"> (-них) особи (-</w:t>
      </w:r>
      <w:proofErr w:type="spellStart"/>
      <w:r w:rsidRPr="00E16672">
        <w:rPr>
          <w:rFonts w:ascii="Times New Roman" w:hAnsi="Times New Roman"/>
          <w:color w:val="000000"/>
          <w:szCs w:val="20"/>
        </w:rPr>
        <w:t>іб</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картку</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із</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зразком</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ами</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підпису</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ів</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Уповноваженої</w:t>
      </w:r>
      <w:proofErr w:type="spellEnd"/>
      <w:r w:rsidRPr="00E16672">
        <w:rPr>
          <w:rFonts w:ascii="Times New Roman" w:hAnsi="Times New Roman"/>
          <w:color w:val="000000"/>
          <w:szCs w:val="20"/>
        </w:rPr>
        <w:t xml:space="preserve"> (-них) особи (-</w:t>
      </w:r>
      <w:proofErr w:type="spellStart"/>
      <w:r w:rsidRPr="00E16672">
        <w:rPr>
          <w:rFonts w:ascii="Times New Roman" w:hAnsi="Times New Roman"/>
          <w:color w:val="000000"/>
          <w:szCs w:val="20"/>
        </w:rPr>
        <w:t>іб</w:t>
      </w:r>
      <w:proofErr w:type="spellEnd"/>
      <w:r w:rsidRPr="00E16672">
        <w:rPr>
          <w:rFonts w:ascii="Times New Roman" w:hAnsi="Times New Roman"/>
          <w:color w:val="000000"/>
          <w:szCs w:val="20"/>
        </w:rPr>
        <w:t xml:space="preserve">) та </w:t>
      </w:r>
      <w:proofErr w:type="spellStart"/>
      <w:r w:rsidRPr="00E16672">
        <w:rPr>
          <w:rFonts w:ascii="Times New Roman" w:hAnsi="Times New Roman"/>
          <w:color w:val="000000"/>
          <w:szCs w:val="20"/>
        </w:rPr>
        <w:t>відбитка</w:t>
      </w:r>
      <w:proofErr w:type="spellEnd"/>
      <w:r w:rsidRPr="00E16672">
        <w:rPr>
          <w:rFonts w:ascii="Times New Roman" w:hAnsi="Times New Roman"/>
          <w:color w:val="000000"/>
          <w:szCs w:val="20"/>
        </w:rPr>
        <w:t xml:space="preserve"> печатки </w:t>
      </w:r>
      <w:proofErr w:type="spellStart"/>
      <w:r w:rsidRPr="00E16672">
        <w:rPr>
          <w:rFonts w:ascii="Times New Roman" w:hAnsi="Times New Roman"/>
          <w:color w:val="000000"/>
          <w:szCs w:val="20"/>
        </w:rPr>
        <w:t>Емітента</w:t>
      </w:r>
      <w:proofErr w:type="spellEnd"/>
      <w:r w:rsidRPr="00E16672">
        <w:rPr>
          <w:rFonts w:ascii="Times New Roman" w:hAnsi="Times New Roman"/>
          <w:color w:val="000000"/>
          <w:szCs w:val="20"/>
        </w:rPr>
        <w:t>.</w:t>
      </w:r>
    </w:p>
    <w:p w14:paraId="049B7031" w14:textId="77777777" w:rsidR="000A5A99" w:rsidRPr="00E16672" w:rsidRDefault="000A5A99" w:rsidP="000A5A99">
      <w:pPr>
        <w:rPr>
          <w:rFonts w:ascii="Times New Roman" w:hAnsi="Times New Roman"/>
          <w:color w:val="000000"/>
          <w:szCs w:val="20"/>
        </w:rPr>
      </w:pPr>
      <w:proofErr w:type="spellStart"/>
      <w:r w:rsidRPr="00E16672">
        <w:rPr>
          <w:rFonts w:ascii="Times New Roman" w:hAnsi="Times New Roman"/>
          <w:color w:val="000000"/>
          <w:szCs w:val="20"/>
        </w:rPr>
        <w:t>Документи</w:t>
      </w:r>
      <w:proofErr w:type="spellEnd"/>
      <w:r w:rsidRPr="00E16672">
        <w:rPr>
          <w:rFonts w:ascii="Times New Roman" w:hAnsi="Times New Roman"/>
          <w:color w:val="000000"/>
          <w:szCs w:val="20"/>
        </w:rPr>
        <w:t xml:space="preserve"> (заяви, </w:t>
      </w:r>
      <w:proofErr w:type="spellStart"/>
      <w:r w:rsidRPr="00E16672">
        <w:rPr>
          <w:rFonts w:ascii="Times New Roman" w:hAnsi="Times New Roman"/>
          <w:color w:val="000000"/>
          <w:szCs w:val="20"/>
        </w:rPr>
        <w:t>розпорядження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інші</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вимоги</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якими</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Емітентом</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ініціюється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відкриття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рахунків</w:t>
      </w:r>
      <w:proofErr w:type="spellEnd"/>
      <w:r w:rsidRPr="00E16672">
        <w:rPr>
          <w:rFonts w:ascii="Times New Roman" w:hAnsi="Times New Roman"/>
          <w:color w:val="000000"/>
          <w:szCs w:val="20"/>
        </w:rPr>
        <w:t xml:space="preserve"> </w:t>
      </w:r>
      <w:r w:rsidR="00C22309" w:rsidRPr="00E16672">
        <w:rPr>
          <w:rFonts w:ascii="Times New Roman" w:hAnsi="Times New Roman"/>
          <w:color w:val="000000"/>
          <w:szCs w:val="20"/>
        </w:rPr>
        <w:t xml:space="preserve">в </w:t>
      </w:r>
      <w:proofErr w:type="spellStart"/>
      <w:r w:rsidR="00C22309" w:rsidRPr="00E16672">
        <w:rPr>
          <w:rFonts w:ascii="Times New Roman" w:hAnsi="Times New Roman"/>
          <w:color w:val="000000"/>
          <w:szCs w:val="20"/>
        </w:rPr>
        <w:t>цін</w:t>
      </w:r>
      <w:r w:rsidRPr="00E16672">
        <w:rPr>
          <w:rFonts w:ascii="Times New Roman" w:hAnsi="Times New Roman"/>
          <w:color w:val="000000"/>
          <w:szCs w:val="20"/>
        </w:rPr>
        <w:t>них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паперах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Власникам</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проведення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депозитарни</w:t>
      </w:r>
      <w:r w:rsidRPr="00E16672">
        <w:rPr>
          <w:rFonts w:ascii="Times New Roman" w:hAnsi="Times New Roman"/>
          <w:strike/>
          <w:color w:val="000000"/>
          <w:szCs w:val="20"/>
        </w:rPr>
        <w:t>й</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операцій</w:t>
      </w:r>
      <w:proofErr w:type="spellEnd"/>
      <w:r w:rsidRPr="00E16672">
        <w:rPr>
          <w:rFonts w:ascii="Times New Roman" w:hAnsi="Times New Roman"/>
          <w:color w:val="000000"/>
          <w:szCs w:val="20"/>
        </w:rPr>
        <w:t xml:space="preserve"> на </w:t>
      </w:r>
      <w:proofErr w:type="spellStart"/>
      <w:r w:rsidRPr="00E16672">
        <w:rPr>
          <w:rFonts w:ascii="Times New Roman" w:hAnsi="Times New Roman"/>
          <w:color w:val="000000"/>
          <w:szCs w:val="20"/>
        </w:rPr>
        <w:t>цих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рахунках</w:t>
      </w:r>
      <w:proofErr w:type="spellEnd"/>
      <w:r w:rsidRPr="00E16672">
        <w:rPr>
          <w:rFonts w:ascii="Times New Roman" w:hAnsi="Times New Roman"/>
          <w:color w:val="000000"/>
          <w:szCs w:val="20"/>
        </w:rPr>
        <w:t xml:space="preserve">, а </w:t>
      </w:r>
      <w:proofErr w:type="spellStart"/>
      <w:r w:rsidRPr="00E16672">
        <w:rPr>
          <w:rFonts w:ascii="Times New Roman" w:hAnsi="Times New Roman"/>
          <w:color w:val="000000"/>
          <w:szCs w:val="20"/>
        </w:rPr>
        <w:t>також</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надання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інших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послуг</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виконуються</w:t>
      </w:r>
      <w:proofErr w:type="spellEnd"/>
      <w:r w:rsidRPr="00E16672">
        <w:rPr>
          <w:rFonts w:ascii="Times New Roman" w:hAnsi="Times New Roman"/>
          <w:color w:val="000000"/>
          <w:szCs w:val="20"/>
        </w:rPr>
        <w:t xml:space="preserve"> Депозитарною </w:t>
      </w:r>
      <w:proofErr w:type="spellStart"/>
      <w:r w:rsidRPr="00E16672">
        <w:rPr>
          <w:rFonts w:ascii="Times New Roman" w:hAnsi="Times New Roman"/>
          <w:color w:val="000000"/>
          <w:szCs w:val="20"/>
        </w:rPr>
        <w:t>установою</w:t>
      </w:r>
      <w:proofErr w:type="spellEnd"/>
      <w:r w:rsidRPr="00E16672">
        <w:rPr>
          <w:rFonts w:ascii="Times New Roman" w:hAnsi="Times New Roman"/>
          <w:color w:val="000000"/>
          <w:szCs w:val="20"/>
        </w:rPr>
        <w:t xml:space="preserve"> за </w:t>
      </w:r>
      <w:proofErr w:type="spellStart"/>
      <w:r w:rsidRPr="00E16672">
        <w:rPr>
          <w:rFonts w:ascii="Times New Roman" w:hAnsi="Times New Roman"/>
          <w:color w:val="000000"/>
          <w:szCs w:val="20"/>
        </w:rPr>
        <w:t>умови</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підписання</w:t>
      </w:r>
      <w:proofErr w:type="spellEnd"/>
      <w:r w:rsidRPr="00E16672">
        <w:rPr>
          <w:rFonts w:ascii="Times New Roman" w:hAnsi="Times New Roman"/>
          <w:color w:val="000000"/>
          <w:szCs w:val="20"/>
        </w:rPr>
        <w:t xml:space="preserve"> таких </w:t>
      </w:r>
      <w:proofErr w:type="spellStart"/>
      <w:r w:rsidRPr="00E16672">
        <w:rPr>
          <w:rFonts w:ascii="Times New Roman" w:hAnsi="Times New Roman"/>
          <w:color w:val="000000"/>
          <w:szCs w:val="20"/>
        </w:rPr>
        <w:t>документів</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Уповноваженою</w:t>
      </w:r>
      <w:proofErr w:type="spellEnd"/>
      <w:r w:rsidRPr="00E16672">
        <w:rPr>
          <w:rFonts w:ascii="Times New Roman" w:hAnsi="Times New Roman"/>
          <w:color w:val="000000"/>
          <w:szCs w:val="20"/>
        </w:rPr>
        <w:t xml:space="preserve"> особою </w:t>
      </w:r>
      <w:proofErr w:type="spellStart"/>
      <w:r w:rsidRPr="00E16672">
        <w:rPr>
          <w:rFonts w:ascii="Times New Roman" w:hAnsi="Times New Roman"/>
          <w:color w:val="000000"/>
          <w:szCs w:val="20"/>
        </w:rPr>
        <w:t>Емітента</w:t>
      </w:r>
      <w:proofErr w:type="spellEnd"/>
      <w:r w:rsidRPr="00E16672">
        <w:rPr>
          <w:rFonts w:ascii="Times New Roman" w:hAnsi="Times New Roman"/>
          <w:color w:val="000000"/>
          <w:szCs w:val="20"/>
        </w:rPr>
        <w:t>.</w:t>
      </w:r>
    </w:p>
    <w:p w14:paraId="5A2BC098" w14:textId="77777777" w:rsidR="000A5A99" w:rsidRPr="00E16672" w:rsidRDefault="000A5A99" w:rsidP="000A5A99">
      <w:pPr>
        <w:rPr>
          <w:rFonts w:ascii="Times New Roman" w:hAnsi="Times New Roman"/>
          <w:color w:val="000000"/>
          <w:szCs w:val="20"/>
        </w:rPr>
      </w:pPr>
      <w:r w:rsidRPr="00E16672">
        <w:rPr>
          <w:rFonts w:ascii="Times New Roman" w:hAnsi="Times New Roman"/>
          <w:color w:val="000000"/>
          <w:szCs w:val="20"/>
        </w:rPr>
        <w:t xml:space="preserve">2.4.8. </w:t>
      </w:r>
      <w:proofErr w:type="spellStart"/>
      <w:r w:rsidRPr="00E16672">
        <w:rPr>
          <w:rFonts w:ascii="Times New Roman" w:hAnsi="Times New Roman"/>
          <w:color w:val="000000"/>
          <w:szCs w:val="20"/>
        </w:rPr>
        <w:t>Надати</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Депозитарній</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установі</w:t>
      </w:r>
      <w:proofErr w:type="spellEnd"/>
      <w:r w:rsidRPr="00E16672">
        <w:rPr>
          <w:rFonts w:ascii="Times New Roman" w:hAnsi="Times New Roman"/>
          <w:color w:val="000000"/>
          <w:szCs w:val="20"/>
        </w:rPr>
        <w:t xml:space="preserve"> не </w:t>
      </w:r>
      <w:proofErr w:type="spellStart"/>
      <w:r w:rsidRPr="00E16672">
        <w:rPr>
          <w:rFonts w:ascii="Times New Roman" w:hAnsi="Times New Roman"/>
          <w:color w:val="000000"/>
          <w:szCs w:val="20"/>
        </w:rPr>
        <w:t>пізніше</w:t>
      </w:r>
      <w:proofErr w:type="spellEnd"/>
      <w:r w:rsidRPr="00E16672">
        <w:rPr>
          <w:rFonts w:ascii="Times New Roman" w:hAnsi="Times New Roman"/>
          <w:color w:val="000000"/>
          <w:szCs w:val="20"/>
        </w:rPr>
        <w:t xml:space="preserve"> дня </w:t>
      </w:r>
      <w:proofErr w:type="spellStart"/>
      <w:r w:rsidRPr="00E16672">
        <w:rPr>
          <w:rFonts w:ascii="Times New Roman" w:hAnsi="Times New Roman"/>
          <w:color w:val="000000"/>
          <w:szCs w:val="20"/>
        </w:rPr>
        <w:t>укладення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цього</w:t>
      </w:r>
      <w:proofErr w:type="spellEnd"/>
      <w:r w:rsidRPr="00E16672">
        <w:rPr>
          <w:rFonts w:ascii="Times New Roman" w:hAnsi="Times New Roman"/>
          <w:color w:val="000000"/>
          <w:szCs w:val="20"/>
        </w:rPr>
        <w:t xml:space="preserve"> Договору анкету </w:t>
      </w:r>
      <w:proofErr w:type="spellStart"/>
      <w:r w:rsidRPr="00E16672">
        <w:rPr>
          <w:rFonts w:ascii="Times New Roman" w:hAnsi="Times New Roman"/>
          <w:color w:val="000000"/>
          <w:szCs w:val="20"/>
        </w:rPr>
        <w:t>Емітента</w:t>
      </w:r>
      <w:proofErr w:type="spellEnd"/>
      <w:r w:rsidRPr="00E16672">
        <w:rPr>
          <w:rFonts w:ascii="Times New Roman" w:hAnsi="Times New Roman"/>
          <w:color w:val="000000"/>
          <w:szCs w:val="20"/>
        </w:rPr>
        <w:t xml:space="preserve"> за формою, </w:t>
      </w:r>
      <w:proofErr w:type="spellStart"/>
      <w:r w:rsidRPr="00E16672">
        <w:rPr>
          <w:rFonts w:ascii="Times New Roman" w:hAnsi="Times New Roman"/>
          <w:color w:val="000000"/>
          <w:szCs w:val="20"/>
        </w:rPr>
        <w:t>визначеною</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внутрішніми</w:t>
      </w:r>
      <w:proofErr w:type="spellEnd"/>
      <w:r w:rsidRPr="00E16672">
        <w:rPr>
          <w:rFonts w:ascii="Times New Roman" w:hAnsi="Times New Roman"/>
          <w:color w:val="000000"/>
          <w:szCs w:val="20"/>
        </w:rPr>
        <w:t xml:space="preserve"> документами </w:t>
      </w:r>
      <w:proofErr w:type="spellStart"/>
      <w:r w:rsidRPr="00E16672">
        <w:rPr>
          <w:rFonts w:ascii="Times New Roman" w:hAnsi="Times New Roman"/>
          <w:color w:val="000000"/>
          <w:szCs w:val="20"/>
        </w:rPr>
        <w:t>Депозитарної</w:t>
      </w:r>
      <w:proofErr w:type="spellEnd"/>
      <w:r w:rsidRPr="00E16672">
        <w:rPr>
          <w:rFonts w:ascii="Times New Roman" w:hAnsi="Times New Roman"/>
          <w:color w:val="000000"/>
          <w:szCs w:val="20"/>
        </w:rPr>
        <w:t xml:space="preserve"> установи, та </w:t>
      </w:r>
      <w:proofErr w:type="spellStart"/>
      <w:r w:rsidRPr="00E16672">
        <w:rPr>
          <w:rFonts w:ascii="Times New Roman" w:hAnsi="Times New Roman"/>
          <w:color w:val="000000"/>
          <w:szCs w:val="20"/>
        </w:rPr>
        <w:t>інші</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документи</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визначені</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законодавством</w:t>
      </w:r>
      <w:proofErr w:type="spellEnd"/>
      <w:r w:rsidRPr="00E16672">
        <w:rPr>
          <w:rFonts w:ascii="Times New Roman" w:hAnsi="Times New Roman"/>
          <w:color w:val="000000"/>
          <w:szCs w:val="20"/>
        </w:rPr>
        <w:t xml:space="preserve"> </w:t>
      </w:r>
      <w:proofErr w:type="gramStart"/>
      <w:r w:rsidRPr="00E16672">
        <w:rPr>
          <w:rFonts w:ascii="Times New Roman" w:hAnsi="Times New Roman"/>
          <w:color w:val="000000"/>
          <w:szCs w:val="20"/>
        </w:rPr>
        <w:t xml:space="preserve">та  </w:t>
      </w:r>
      <w:proofErr w:type="spellStart"/>
      <w:r w:rsidRPr="00E16672">
        <w:rPr>
          <w:rFonts w:ascii="Times New Roman" w:hAnsi="Times New Roman"/>
          <w:color w:val="000000"/>
          <w:szCs w:val="20"/>
        </w:rPr>
        <w:t>внутрішніми</w:t>
      </w:r>
      <w:proofErr w:type="spellEnd"/>
      <w:proofErr w:type="gramEnd"/>
      <w:r w:rsidRPr="00E16672">
        <w:rPr>
          <w:rFonts w:ascii="Times New Roman" w:hAnsi="Times New Roman"/>
          <w:color w:val="000000"/>
          <w:szCs w:val="20"/>
        </w:rPr>
        <w:t xml:space="preserve"> документами </w:t>
      </w:r>
      <w:proofErr w:type="spellStart"/>
      <w:r w:rsidRPr="00E16672">
        <w:rPr>
          <w:rFonts w:ascii="Times New Roman" w:hAnsi="Times New Roman"/>
          <w:color w:val="000000"/>
          <w:szCs w:val="20"/>
        </w:rPr>
        <w:t>Депозитарної</w:t>
      </w:r>
      <w:proofErr w:type="spellEnd"/>
      <w:r w:rsidRPr="00E16672">
        <w:rPr>
          <w:rFonts w:ascii="Times New Roman" w:hAnsi="Times New Roman"/>
          <w:color w:val="000000"/>
          <w:szCs w:val="20"/>
        </w:rPr>
        <w:t xml:space="preserve"> установи.</w:t>
      </w:r>
    </w:p>
    <w:p w14:paraId="5B887B48" w14:textId="77777777" w:rsidR="000A5A99" w:rsidRPr="00E16672" w:rsidRDefault="000A5A99" w:rsidP="000A5A99">
      <w:pPr>
        <w:pStyle w:val="ab"/>
        <w:tabs>
          <w:tab w:val="left" w:pos="1440"/>
        </w:tabs>
        <w:ind w:firstLine="540"/>
        <w:jc w:val="both"/>
        <w:rPr>
          <w:rFonts w:ascii="Times New Roman" w:eastAsia="Arial Unicode MS" w:hAnsi="Times New Roman"/>
          <w:b w:val="0"/>
          <w:color w:val="000000"/>
        </w:rPr>
      </w:pPr>
      <w:r w:rsidRPr="00E16672">
        <w:rPr>
          <w:rFonts w:ascii="Times New Roman" w:hAnsi="Times New Roman"/>
          <w:b w:val="0"/>
          <w:color w:val="000000"/>
        </w:rPr>
        <w:t>2.4.</w:t>
      </w:r>
      <w:r w:rsidR="00875236" w:rsidRPr="00E16672">
        <w:rPr>
          <w:rFonts w:ascii="Times New Roman" w:hAnsi="Times New Roman"/>
          <w:b w:val="0"/>
          <w:color w:val="000000"/>
        </w:rPr>
        <w:t>9</w:t>
      </w:r>
      <w:r w:rsidRPr="00E16672">
        <w:rPr>
          <w:rFonts w:ascii="Times New Roman" w:hAnsi="Times New Roman"/>
          <w:b w:val="0"/>
          <w:color w:val="000000"/>
        </w:rPr>
        <w:t xml:space="preserve">. Інформувати Депозитарну установу про будь-які зміни реквізитів Емітента, що містяться в анкеті Емітента, протягом </w:t>
      </w:r>
      <w:r w:rsidRPr="00E16672">
        <w:rPr>
          <w:rFonts w:ascii="Times New Roman" w:hAnsi="Times New Roman"/>
          <w:b w:val="0"/>
          <w:i/>
          <w:color w:val="000000"/>
        </w:rPr>
        <w:t>десяти</w:t>
      </w:r>
      <w:r w:rsidRPr="00E16672">
        <w:rPr>
          <w:rFonts w:ascii="Times New Roman" w:hAnsi="Times New Roman"/>
          <w:b w:val="0"/>
          <w:color w:val="000000"/>
        </w:rPr>
        <w:t xml:space="preserve"> робочих днів після дня виникнення таких змін. Для цього Емітент надає Депозитарній установі розпорядження про внесення змін, нову анкету Емітента та документи, що підтверджують зміни.</w:t>
      </w:r>
    </w:p>
    <w:p w14:paraId="1DEE60DC" w14:textId="77777777" w:rsidR="000A5A99" w:rsidRPr="00E16672" w:rsidRDefault="000A5A99" w:rsidP="000A5A99">
      <w:pPr>
        <w:pStyle w:val="ab"/>
        <w:tabs>
          <w:tab w:val="left" w:pos="1440"/>
        </w:tabs>
        <w:ind w:firstLine="540"/>
        <w:jc w:val="both"/>
        <w:rPr>
          <w:rFonts w:ascii="Times New Roman" w:hAnsi="Times New Roman"/>
          <w:b w:val="0"/>
          <w:color w:val="000000"/>
        </w:rPr>
      </w:pPr>
      <w:r w:rsidRPr="00E16672">
        <w:rPr>
          <w:rFonts w:ascii="Times New Roman" w:eastAsia="Arial Unicode MS" w:hAnsi="Times New Roman"/>
          <w:b w:val="0"/>
          <w:color w:val="000000"/>
        </w:rPr>
        <w:t>2.4.</w:t>
      </w:r>
      <w:r w:rsidR="00875236" w:rsidRPr="00E16672">
        <w:rPr>
          <w:rFonts w:ascii="Times New Roman" w:eastAsia="Arial Unicode MS" w:hAnsi="Times New Roman"/>
          <w:b w:val="0"/>
          <w:color w:val="000000"/>
        </w:rPr>
        <w:t>10</w:t>
      </w:r>
      <w:r w:rsidRPr="00E16672">
        <w:rPr>
          <w:rFonts w:ascii="Times New Roman" w:eastAsia="Arial Unicode MS" w:hAnsi="Times New Roman"/>
          <w:b w:val="0"/>
          <w:color w:val="000000"/>
        </w:rPr>
        <w:t>. У</w:t>
      </w:r>
      <w:r w:rsidRPr="00E16672">
        <w:rPr>
          <w:rFonts w:ascii="Times New Roman" w:hAnsi="Times New Roman"/>
          <w:b w:val="0"/>
          <w:color w:val="000000"/>
        </w:rPr>
        <w:t xml:space="preserve"> разі розірвання цього Договору (у тому числі у зв’язку з припиненням Депозитарною установою провадження професійної діяльності на фондовому ринку – депозитарної діяльності) діяти відповідно до вимог законодавства та цього Договору.</w:t>
      </w:r>
    </w:p>
    <w:p w14:paraId="5D069A62" w14:textId="77777777" w:rsidR="000A5A99" w:rsidRPr="00E16672" w:rsidRDefault="000A5A99" w:rsidP="000A5A99">
      <w:pPr>
        <w:pStyle w:val="ab"/>
        <w:tabs>
          <w:tab w:val="left" w:pos="1440"/>
        </w:tabs>
        <w:ind w:firstLine="540"/>
        <w:jc w:val="both"/>
        <w:rPr>
          <w:rFonts w:ascii="Times New Roman" w:eastAsia="Arial Unicode MS" w:hAnsi="Times New Roman"/>
          <w:b w:val="0"/>
          <w:color w:val="000000"/>
        </w:rPr>
      </w:pPr>
      <w:r w:rsidRPr="00E16672">
        <w:rPr>
          <w:rFonts w:ascii="Times New Roman" w:eastAsia="Arial Unicode MS" w:hAnsi="Times New Roman"/>
          <w:b w:val="0"/>
          <w:color w:val="000000"/>
        </w:rPr>
        <w:t xml:space="preserve">Протягом </w:t>
      </w:r>
      <w:r w:rsidR="00F50251" w:rsidRPr="00E16672">
        <w:rPr>
          <w:rFonts w:ascii="Times New Roman" w:hAnsi="Times New Roman"/>
          <w:b w:val="0"/>
          <w:i/>
          <w:iCs/>
          <w:color w:val="000000"/>
        </w:rPr>
        <w:t>шістдесяти</w:t>
      </w:r>
      <w:r w:rsidRPr="00E16672">
        <w:rPr>
          <w:rFonts w:ascii="Times New Roman" w:eastAsia="Arial Unicode MS" w:hAnsi="Times New Roman"/>
          <w:b w:val="0"/>
          <w:color w:val="000000"/>
        </w:rPr>
        <w:t xml:space="preserve"> календарних днів з дати отримання повідомлення, зазначеного в підпункті 2.1.15. пункту 2.1. цього Договору, здійснити всі необхідні дії щодо закриття рахунків в цінних паперах Власників.</w:t>
      </w:r>
    </w:p>
    <w:p w14:paraId="615D7FDC" w14:textId="77777777" w:rsidR="000A5A99" w:rsidRPr="00E16672" w:rsidRDefault="000A5A99" w:rsidP="000A5A99">
      <w:pPr>
        <w:pStyle w:val="ab"/>
        <w:tabs>
          <w:tab w:val="left" w:pos="1440"/>
        </w:tabs>
        <w:ind w:firstLine="540"/>
        <w:jc w:val="both"/>
        <w:rPr>
          <w:rFonts w:ascii="Times New Roman" w:eastAsia="Arial Unicode MS" w:hAnsi="Times New Roman"/>
          <w:b w:val="0"/>
          <w:color w:val="000000"/>
        </w:rPr>
      </w:pPr>
      <w:r w:rsidRPr="00E16672">
        <w:rPr>
          <w:rFonts w:ascii="Times New Roman" w:eastAsia="Arial Unicode MS" w:hAnsi="Times New Roman"/>
          <w:b w:val="0"/>
          <w:color w:val="000000"/>
        </w:rPr>
        <w:t>2.4.1</w:t>
      </w:r>
      <w:r w:rsidR="00875236" w:rsidRPr="00E16672">
        <w:rPr>
          <w:rFonts w:ascii="Times New Roman" w:eastAsia="Arial Unicode MS" w:hAnsi="Times New Roman"/>
          <w:b w:val="0"/>
          <w:color w:val="000000"/>
        </w:rPr>
        <w:t>1</w:t>
      </w:r>
      <w:r w:rsidRPr="00E16672">
        <w:rPr>
          <w:rFonts w:ascii="Times New Roman" w:eastAsia="Arial Unicode MS" w:hAnsi="Times New Roman"/>
          <w:b w:val="0"/>
          <w:color w:val="000000"/>
        </w:rPr>
        <w:t xml:space="preserve">. Компенсувати Депозитарній установі вартість надсилання Власникам повідомлення про проведення загальних зборів акціонерів Емітента. </w:t>
      </w:r>
    </w:p>
    <w:p w14:paraId="5AFF0817" w14:textId="77777777" w:rsidR="000A5A99" w:rsidRPr="00E16672" w:rsidRDefault="000A5A99" w:rsidP="000A5A99">
      <w:pPr>
        <w:tabs>
          <w:tab w:val="left" w:pos="709"/>
        </w:tabs>
        <w:ind w:firstLine="540"/>
        <w:rPr>
          <w:rFonts w:ascii="Times New Roman" w:eastAsia="Arial Unicode MS" w:hAnsi="Times New Roman"/>
          <w:color w:val="000000"/>
          <w:szCs w:val="20"/>
          <w:lang w:val="uk-UA"/>
        </w:rPr>
      </w:pPr>
      <w:r w:rsidRPr="00E16672">
        <w:rPr>
          <w:rFonts w:ascii="Times New Roman" w:eastAsia="Arial Unicode MS" w:hAnsi="Times New Roman"/>
          <w:color w:val="000000"/>
          <w:szCs w:val="20"/>
          <w:lang w:val="uk-UA"/>
        </w:rPr>
        <w:t>2.4.</w:t>
      </w:r>
      <w:r w:rsidR="00875236" w:rsidRPr="00E16672">
        <w:rPr>
          <w:rFonts w:ascii="Times New Roman" w:eastAsia="Arial Unicode MS" w:hAnsi="Times New Roman"/>
          <w:color w:val="000000"/>
          <w:szCs w:val="20"/>
          <w:lang w:val="uk-UA"/>
        </w:rPr>
        <w:t>12</w:t>
      </w:r>
      <w:r w:rsidRPr="00E16672">
        <w:rPr>
          <w:rFonts w:ascii="Times New Roman" w:eastAsia="Arial Unicode MS" w:hAnsi="Times New Roman"/>
          <w:color w:val="000000"/>
          <w:szCs w:val="20"/>
          <w:lang w:val="uk-UA"/>
        </w:rPr>
        <w:t xml:space="preserve">. Своєчасно та в повному обсязі сплачувати послуги Депозитарної установи згідно з умовами та строками, передбаченими Договором, та тарифами, встановленими Депозитарною установою на дату надання послуг </w:t>
      </w:r>
    </w:p>
    <w:p w14:paraId="04E64D26" w14:textId="77777777" w:rsidR="000A5A99" w:rsidRPr="00E16672" w:rsidRDefault="000A5A99" w:rsidP="000A5A99">
      <w:pPr>
        <w:rPr>
          <w:rFonts w:ascii="Times New Roman" w:eastAsia="Arial Unicode MS" w:hAnsi="Times New Roman"/>
          <w:b/>
          <w:bCs/>
          <w:color w:val="000000"/>
          <w:szCs w:val="20"/>
        </w:rPr>
      </w:pPr>
    </w:p>
    <w:p w14:paraId="122A68C6" w14:textId="77777777" w:rsidR="000A5A99" w:rsidRPr="00E16672" w:rsidRDefault="000A5A99" w:rsidP="000A5A99">
      <w:pPr>
        <w:rPr>
          <w:rFonts w:ascii="Times New Roman" w:eastAsia="Arial Unicode MS" w:hAnsi="Times New Roman"/>
          <w:b/>
          <w:bCs/>
          <w:color w:val="000000"/>
          <w:szCs w:val="20"/>
          <w:lang w:val="uk-UA"/>
        </w:rPr>
      </w:pPr>
      <w:r w:rsidRPr="00E16672">
        <w:rPr>
          <w:rFonts w:ascii="Times New Roman" w:eastAsia="Arial Unicode MS" w:hAnsi="Times New Roman"/>
          <w:b/>
          <w:bCs/>
          <w:color w:val="000000"/>
          <w:szCs w:val="20"/>
          <w:lang w:val="uk-UA"/>
        </w:rPr>
        <w:t>2.5. Емітент має право:</w:t>
      </w:r>
    </w:p>
    <w:p w14:paraId="00022FBA" w14:textId="77777777" w:rsidR="000A5A99" w:rsidRPr="00E16672" w:rsidRDefault="000A5A99" w:rsidP="000A5A99">
      <w:pPr>
        <w:pStyle w:val="ab"/>
        <w:jc w:val="both"/>
        <w:rPr>
          <w:rFonts w:ascii="Times New Roman" w:eastAsia="Arial Unicode MS" w:hAnsi="Times New Roman"/>
          <w:b w:val="0"/>
          <w:color w:val="000000"/>
        </w:rPr>
      </w:pPr>
      <w:r w:rsidRPr="00E16672">
        <w:rPr>
          <w:rFonts w:ascii="Times New Roman" w:eastAsia="Arial Unicode MS" w:hAnsi="Times New Roman"/>
          <w:b w:val="0"/>
          <w:color w:val="000000"/>
        </w:rPr>
        <w:t>2.5.1. Вимагати від Депозитарної установи своєчасного виконання своїх розпоряджень.</w:t>
      </w:r>
    </w:p>
    <w:p w14:paraId="6EEDA418" w14:textId="77777777" w:rsidR="00875236" w:rsidRPr="00E16672" w:rsidRDefault="000A5A99" w:rsidP="000A5A99">
      <w:pPr>
        <w:pStyle w:val="ab"/>
        <w:jc w:val="both"/>
        <w:rPr>
          <w:rFonts w:ascii="Times New Roman" w:eastAsia="Arial Unicode MS" w:hAnsi="Times New Roman"/>
          <w:b w:val="0"/>
          <w:color w:val="000000"/>
        </w:rPr>
      </w:pPr>
      <w:r w:rsidRPr="00E16672">
        <w:rPr>
          <w:rFonts w:ascii="Times New Roman" w:eastAsia="Arial Unicode MS" w:hAnsi="Times New Roman"/>
          <w:b w:val="0"/>
          <w:color w:val="000000"/>
        </w:rPr>
        <w:t xml:space="preserve">2.5.2. Вимагати від Депозитарної установи своєчасного та якісного надання депозитарних послуг, передбачених цим Договором. </w:t>
      </w:r>
    </w:p>
    <w:p w14:paraId="2DBD2F66" w14:textId="77777777" w:rsidR="000A5A99" w:rsidRPr="00E16672" w:rsidRDefault="000A5A99" w:rsidP="000A5A99">
      <w:pPr>
        <w:pStyle w:val="ab"/>
        <w:jc w:val="both"/>
        <w:rPr>
          <w:rFonts w:ascii="Times New Roman" w:eastAsia="Arial Unicode MS" w:hAnsi="Times New Roman"/>
          <w:b w:val="0"/>
          <w:color w:val="000000"/>
          <w:sz w:val="22"/>
          <w:szCs w:val="22"/>
        </w:rPr>
      </w:pPr>
      <w:r w:rsidRPr="00E16672">
        <w:rPr>
          <w:rFonts w:ascii="Times New Roman" w:eastAsia="Arial Unicode MS" w:hAnsi="Times New Roman"/>
          <w:b w:val="0"/>
          <w:color w:val="000000"/>
        </w:rPr>
        <w:t>2.5.3. У випадку початку Депозитарною установою процедури припинення нею провадження депозитарної діяльності Депозитарної установи відповідно до вимог Положення про припинення</w:t>
      </w:r>
      <w:r w:rsidRPr="00E16672">
        <w:rPr>
          <w:rFonts w:ascii="Times New Roman" w:eastAsia="Arial Unicode MS" w:hAnsi="Times New Roman"/>
          <w:b w:val="0"/>
          <w:strike/>
          <w:color w:val="000000"/>
        </w:rPr>
        <w:t xml:space="preserve"> </w:t>
      </w:r>
      <w:r w:rsidRPr="00E16672">
        <w:rPr>
          <w:rFonts w:ascii="Times New Roman" w:eastAsia="Arial Unicode MS" w:hAnsi="Times New Roman"/>
          <w:b w:val="0"/>
          <w:color w:val="000000"/>
        </w:rPr>
        <w:t>надавати тільки ті розпорядження щодо цінних паперів, що належать йому, виконання яких не заборонено цим Положенням</w:t>
      </w:r>
      <w:r w:rsidRPr="00E16672">
        <w:rPr>
          <w:rFonts w:ascii="Times New Roman" w:eastAsia="Arial Unicode MS" w:hAnsi="Times New Roman"/>
          <w:b w:val="0"/>
          <w:color w:val="FF0000"/>
          <w:sz w:val="22"/>
          <w:szCs w:val="22"/>
        </w:rPr>
        <w:t xml:space="preserve"> </w:t>
      </w:r>
      <w:r w:rsidRPr="00E16672">
        <w:rPr>
          <w:rFonts w:ascii="Times New Roman" w:eastAsia="Arial Unicode MS" w:hAnsi="Times New Roman"/>
          <w:b w:val="0"/>
          <w:color w:val="000000"/>
        </w:rPr>
        <w:t>про припинення</w:t>
      </w:r>
      <w:r w:rsidRPr="00E16672">
        <w:rPr>
          <w:rFonts w:ascii="Times New Roman" w:eastAsia="Arial Unicode MS" w:hAnsi="Times New Roman"/>
          <w:b w:val="0"/>
          <w:color w:val="000000"/>
          <w:sz w:val="22"/>
          <w:szCs w:val="22"/>
        </w:rPr>
        <w:t>.</w:t>
      </w:r>
    </w:p>
    <w:p w14:paraId="4DD01513" w14:textId="77777777" w:rsidR="00875236" w:rsidRPr="00E16672" w:rsidRDefault="00875236" w:rsidP="00022F5F">
      <w:pPr>
        <w:pStyle w:val="ab"/>
        <w:jc w:val="left"/>
        <w:rPr>
          <w:rFonts w:ascii="Times New Roman" w:eastAsia="Arial Unicode MS" w:hAnsi="Times New Roman"/>
          <w:b w:val="0"/>
          <w:color w:val="000000"/>
        </w:rPr>
      </w:pPr>
      <w:r w:rsidRPr="00E16672">
        <w:rPr>
          <w:rFonts w:ascii="Times New Roman" w:eastAsia="Arial Unicode MS" w:hAnsi="Times New Roman"/>
          <w:b w:val="0"/>
          <w:color w:val="000000"/>
        </w:rPr>
        <w:t xml:space="preserve">2.5.4. Отримувати інформацію про умови та порядок діяльності депозитарної установи з урахуванням вимог, встановлених частиною першою статті 12 Закону України </w:t>
      </w:r>
      <w:r w:rsidR="00022F5F">
        <w:rPr>
          <w:rFonts w:ascii="Times New Roman" w:eastAsia="Arial Unicode MS" w:hAnsi="Times New Roman"/>
          <w:b w:val="0"/>
          <w:color w:val="000000"/>
        </w:rPr>
        <w:t>"</w:t>
      </w:r>
      <w:r w:rsidRPr="00E16672">
        <w:rPr>
          <w:rFonts w:ascii="Times New Roman" w:eastAsia="Arial Unicode MS" w:hAnsi="Times New Roman"/>
          <w:b w:val="0"/>
          <w:color w:val="000000"/>
        </w:rPr>
        <w:t>Про фінансові послуги та державне регулювання ринків фінансових послуг</w:t>
      </w:r>
      <w:r w:rsidR="00022F5F">
        <w:rPr>
          <w:rFonts w:ascii="Times New Roman" w:eastAsia="Arial Unicode MS" w:hAnsi="Times New Roman"/>
          <w:b w:val="0"/>
          <w:color w:val="000000"/>
        </w:rPr>
        <w:t>"</w:t>
      </w:r>
    </w:p>
    <w:p w14:paraId="42C55C82" w14:textId="77777777" w:rsidR="000A5A99" w:rsidRPr="00E16672" w:rsidRDefault="000A5A99" w:rsidP="000A5A99">
      <w:pPr>
        <w:ind w:firstLine="720"/>
        <w:rPr>
          <w:rFonts w:ascii="Times New Roman" w:eastAsia="Arial Unicode MS" w:hAnsi="Times New Roman"/>
          <w:color w:val="000000"/>
          <w:szCs w:val="20"/>
          <w:lang w:val="uk-UA"/>
        </w:rPr>
      </w:pPr>
    </w:p>
    <w:p w14:paraId="287AC291" w14:textId="77777777" w:rsidR="000A5A99" w:rsidRPr="00E16672" w:rsidRDefault="000A5A99" w:rsidP="000A5A99">
      <w:pPr>
        <w:jc w:val="center"/>
        <w:rPr>
          <w:rFonts w:ascii="Times New Roman" w:eastAsia="Arial Unicode MS" w:hAnsi="Times New Roman"/>
          <w:b/>
          <w:bCs/>
          <w:color w:val="000000"/>
          <w:szCs w:val="20"/>
          <w:lang w:val="uk-UA"/>
        </w:rPr>
      </w:pPr>
      <w:r w:rsidRPr="00E16672">
        <w:rPr>
          <w:rFonts w:ascii="Times New Roman" w:eastAsia="Arial Unicode MS" w:hAnsi="Times New Roman"/>
          <w:b/>
          <w:bCs/>
          <w:color w:val="000000"/>
          <w:szCs w:val="20"/>
          <w:lang w:val="uk-UA"/>
        </w:rPr>
        <w:t>3. ПОРЯДОК ОТРИМАННЯ РОЗПОРЯДЖЕНЬ.</w:t>
      </w:r>
    </w:p>
    <w:p w14:paraId="0886F844" w14:textId="77777777" w:rsidR="000A5A99" w:rsidRPr="00E16672" w:rsidRDefault="000A5A99" w:rsidP="000A5A99">
      <w:pPr>
        <w:rPr>
          <w:rFonts w:ascii="Times New Roman" w:eastAsia="Arial Unicode MS" w:hAnsi="Times New Roman"/>
          <w:color w:val="000000"/>
          <w:szCs w:val="20"/>
          <w:lang w:val="uk-UA"/>
        </w:rPr>
      </w:pPr>
      <w:r w:rsidRPr="00E16672">
        <w:rPr>
          <w:rFonts w:ascii="Times New Roman" w:eastAsia="Arial Unicode MS" w:hAnsi="Times New Roman"/>
          <w:color w:val="000000"/>
          <w:szCs w:val="20"/>
          <w:lang w:val="uk-UA"/>
        </w:rPr>
        <w:t xml:space="preserve">3.1. Обслуговування рахунків </w:t>
      </w:r>
      <w:r w:rsidR="00C22309" w:rsidRPr="00E16672">
        <w:rPr>
          <w:rFonts w:ascii="Times New Roman" w:eastAsia="Arial Unicode MS" w:hAnsi="Times New Roman"/>
          <w:color w:val="000000"/>
          <w:szCs w:val="20"/>
          <w:lang w:val="uk-UA"/>
        </w:rPr>
        <w:t>в цін</w:t>
      </w:r>
      <w:r w:rsidRPr="00E16672">
        <w:rPr>
          <w:rFonts w:ascii="Times New Roman" w:eastAsia="Arial Unicode MS" w:hAnsi="Times New Roman"/>
          <w:color w:val="000000"/>
          <w:szCs w:val="20"/>
          <w:lang w:val="uk-UA"/>
        </w:rPr>
        <w:t xml:space="preserve">них паперах, зарахування на них </w:t>
      </w:r>
      <w:r w:rsidRPr="00E16672">
        <w:rPr>
          <w:rFonts w:ascii="Times New Roman" w:eastAsia="Arial Unicode MS" w:hAnsi="Times New Roman"/>
          <w:color w:val="000000"/>
          <w:szCs w:val="20"/>
        </w:rPr>
        <w:t xml:space="preserve">прав на </w:t>
      </w:r>
      <w:proofErr w:type="spellStart"/>
      <w:r w:rsidRPr="00E16672">
        <w:rPr>
          <w:rFonts w:ascii="Times New Roman" w:eastAsia="Arial Unicode MS" w:hAnsi="Times New Roman"/>
          <w:color w:val="000000"/>
          <w:szCs w:val="20"/>
        </w:rPr>
        <w:t>цінні</w:t>
      </w:r>
      <w:proofErr w:type="spellEnd"/>
      <w:r w:rsidRPr="00E16672">
        <w:rPr>
          <w:rFonts w:ascii="Times New Roman" w:eastAsia="Arial Unicode MS" w:hAnsi="Times New Roman"/>
          <w:color w:val="000000"/>
          <w:szCs w:val="20"/>
        </w:rPr>
        <w:t xml:space="preserve"> </w:t>
      </w:r>
      <w:proofErr w:type="spellStart"/>
      <w:r w:rsidRPr="00E16672">
        <w:rPr>
          <w:rFonts w:ascii="Times New Roman" w:eastAsia="Arial Unicode MS" w:hAnsi="Times New Roman"/>
          <w:color w:val="000000"/>
          <w:szCs w:val="20"/>
        </w:rPr>
        <w:t>папери</w:t>
      </w:r>
      <w:proofErr w:type="spellEnd"/>
      <w:r w:rsidRPr="00E16672">
        <w:rPr>
          <w:rFonts w:ascii="Times New Roman" w:eastAsia="Arial Unicode MS" w:hAnsi="Times New Roman"/>
          <w:color w:val="000000"/>
          <w:szCs w:val="20"/>
          <w:lang w:val="uk-UA"/>
        </w:rPr>
        <w:t>, здійснюються Депозитарною установою за письмовим розпорядженням Емітента (уповноваженого представника).</w:t>
      </w:r>
    </w:p>
    <w:p w14:paraId="3CEEF609" w14:textId="77777777" w:rsidR="000A5A99" w:rsidRPr="00E16672" w:rsidRDefault="000A5A99" w:rsidP="000A5A99">
      <w:pPr>
        <w:rPr>
          <w:rFonts w:ascii="Times New Roman" w:eastAsia="Arial Unicode MS" w:hAnsi="Times New Roman"/>
          <w:color w:val="000000"/>
          <w:szCs w:val="20"/>
        </w:rPr>
      </w:pPr>
      <w:r w:rsidRPr="00E16672">
        <w:rPr>
          <w:rFonts w:ascii="Times New Roman" w:eastAsia="Arial Unicode MS" w:hAnsi="Times New Roman"/>
          <w:color w:val="000000"/>
          <w:szCs w:val="20"/>
          <w:lang w:val="uk-UA"/>
        </w:rPr>
        <w:t xml:space="preserve">3.2. </w:t>
      </w:r>
      <w:proofErr w:type="spellStart"/>
      <w:r w:rsidRPr="00E16672">
        <w:rPr>
          <w:rFonts w:ascii="Times New Roman" w:eastAsia="Arial Unicode MS" w:hAnsi="Times New Roman"/>
          <w:color w:val="000000"/>
          <w:szCs w:val="20"/>
        </w:rPr>
        <w:t>Особливості</w:t>
      </w:r>
      <w:proofErr w:type="spellEnd"/>
      <w:r w:rsidRPr="00E16672">
        <w:rPr>
          <w:rFonts w:ascii="Times New Roman" w:eastAsia="Arial Unicode MS" w:hAnsi="Times New Roman"/>
          <w:color w:val="000000"/>
          <w:szCs w:val="20"/>
        </w:rPr>
        <w:t xml:space="preserve"> </w:t>
      </w:r>
      <w:proofErr w:type="spellStart"/>
      <w:r w:rsidRPr="00E16672">
        <w:rPr>
          <w:rFonts w:ascii="Times New Roman" w:eastAsia="Arial Unicode MS" w:hAnsi="Times New Roman"/>
          <w:color w:val="000000"/>
          <w:szCs w:val="20"/>
        </w:rPr>
        <w:t>складання</w:t>
      </w:r>
      <w:proofErr w:type="spellEnd"/>
      <w:r w:rsidRPr="00E16672">
        <w:rPr>
          <w:rFonts w:ascii="Times New Roman" w:eastAsia="Arial Unicode MS" w:hAnsi="Times New Roman"/>
          <w:color w:val="000000"/>
          <w:szCs w:val="20"/>
        </w:rPr>
        <w:t xml:space="preserve"> </w:t>
      </w:r>
      <w:proofErr w:type="spellStart"/>
      <w:r w:rsidRPr="00E16672">
        <w:rPr>
          <w:rFonts w:ascii="Times New Roman" w:eastAsia="Arial Unicode MS" w:hAnsi="Times New Roman"/>
          <w:color w:val="000000"/>
          <w:szCs w:val="20"/>
        </w:rPr>
        <w:t>розпоряджень</w:t>
      </w:r>
      <w:proofErr w:type="spellEnd"/>
      <w:r w:rsidRPr="00E16672">
        <w:rPr>
          <w:rFonts w:ascii="Times New Roman" w:eastAsia="Arial Unicode MS" w:hAnsi="Times New Roman"/>
          <w:color w:val="000000"/>
          <w:szCs w:val="20"/>
        </w:rPr>
        <w:t xml:space="preserve"> </w:t>
      </w:r>
      <w:proofErr w:type="spellStart"/>
      <w:r w:rsidRPr="00E16672">
        <w:rPr>
          <w:rFonts w:ascii="Times New Roman" w:eastAsia="Arial Unicode MS" w:hAnsi="Times New Roman"/>
          <w:color w:val="000000"/>
          <w:szCs w:val="20"/>
        </w:rPr>
        <w:t>встановлені</w:t>
      </w:r>
      <w:proofErr w:type="spellEnd"/>
      <w:r w:rsidRPr="00E16672">
        <w:rPr>
          <w:rFonts w:ascii="Times New Roman" w:eastAsia="Arial Unicode MS" w:hAnsi="Times New Roman"/>
          <w:color w:val="000000"/>
          <w:szCs w:val="20"/>
        </w:rPr>
        <w:t xml:space="preserve"> </w:t>
      </w:r>
      <w:proofErr w:type="spellStart"/>
      <w:r w:rsidRPr="00E16672">
        <w:rPr>
          <w:rFonts w:ascii="Times New Roman" w:eastAsia="Arial Unicode MS" w:hAnsi="Times New Roman"/>
          <w:color w:val="000000"/>
          <w:szCs w:val="20"/>
        </w:rPr>
        <w:t>чинним</w:t>
      </w:r>
      <w:proofErr w:type="spellEnd"/>
      <w:r w:rsidRPr="00E16672">
        <w:rPr>
          <w:rFonts w:ascii="Times New Roman" w:eastAsia="Arial Unicode MS" w:hAnsi="Times New Roman"/>
          <w:color w:val="000000"/>
          <w:szCs w:val="20"/>
        </w:rPr>
        <w:t xml:space="preserve"> </w:t>
      </w:r>
      <w:proofErr w:type="spellStart"/>
      <w:r w:rsidRPr="00E16672">
        <w:rPr>
          <w:rFonts w:ascii="Times New Roman" w:eastAsia="Arial Unicode MS" w:hAnsi="Times New Roman"/>
          <w:color w:val="000000"/>
          <w:szCs w:val="20"/>
        </w:rPr>
        <w:t>законодавством</w:t>
      </w:r>
      <w:proofErr w:type="spellEnd"/>
      <w:r w:rsidRPr="00E16672">
        <w:rPr>
          <w:rFonts w:ascii="Times New Roman" w:eastAsia="Arial Unicode MS" w:hAnsi="Times New Roman"/>
          <w:color w:val="000000"/>
          <w:szCs w:val="20"/>
        </w:rPr>
        <w:t xml:space="preserve"> та </w:t>
      </w:r>
      <w:proofErr w:type="spellStart"/>
      <w:r w:rsidRPr="00E16672">
        <w:rPr>
          <w:rFonts w:ascii="Times New Roman" w:eastAsia="Arial Unicode MS" w:hAnsi="Times New Roman"/>
          <w:color w:val="000000"/>
          <w:szCs w:val="20"/>
        </w:rPr>
        <w:t>внутрішніми</w:t>
      </w:r>
      <w:proofErr w:type="spellEnd"/>
      <w:r w:rsidRPr="00E16672">
        <w:rPr>
          <w:rFonts w:ascii="Times New Roman" w:eastAsia="Arial Unicode MS" w:hAnsi="Times New Roman"/>
          <w:color w:val="000000"/>
          <w:szCs w:val="20"/>
        </w:rPr>
        <w:t xml:space="preserve"> документами </w:t>
      </w:r>
      <w:proofErr w:type="spellStart"/>
      <w:r w:rsidRPr="00E16672">
        <w:rPr>
          <w:rFonts w:ascii="Times New Roman" w:eastAsia="Arial Unicode MS" w:hAnsi="Times New Roman"/>
          <w:color w:val="000000"/>
          <w:szCs w:val="20"/>
        </w:rPr>
        <w:t>Депозитарної</w:t>
      </w:r>
      <w:proofErr w:type="spellEnd"/>
      <w:r w:rsidRPr="00E16672">
        <w:rPr>
          <w:rFonts w:ascii="Times New Roman" w:eastAsia="Arial Unicode MS" w:hAnsi="Times New Roman"/>
          <w:color w:val="000000"/>
          <w:szCs w:val="20"/>
        </w:rPr>
        <w:t xml:space="preserve"> установи.</w:t>
      </w:r>
    </w:p>
    <w:p w14:paraId="36618CFD" w14:textId="77777777" w:rsidR="000A5A99" w:rsidRPr="00E16672" w:rsidRDefault="000A5A99" w:rsidP="000A5A99">
      <w:pPr>
        <w:widowControl w:val="0"/>
        <w:numPr>
          <w:ilvl w:val="1"/>
          <w:numId w:val="4"/>
        </w:numPr>
        <w:tabs>
          <w:tab w:val="left" w:pos="0"/>
          <w:tab w:val="left" w:pos="360"/>
        </w:tabs>
        <w:ind w:firstLine="567"/>
        <w:rPr>
          <w:rFonts w:ascii="Times New Roman" w:eastAsia="Arial Unicode MS" w:hAnsi="Times New Roman"/>
          <w:color w:val="000000"/>
          <w:szCs w:val="20"/>
        </w:rPr>
      </w:pPr>
      <w:proofErr w:type="spellStart"/>
      <w:r w:rsidRPr="00E16672">
        <w:rPr>
          <w:rFonts w:ascii="Times New Roman" w:eastAsia="Arial Unicode MS" w:hAnsi="Times New Roman"/>
          <w:color w:val="000000"/>
          <w:szCs w:val="20"/>
        </w:rPr>
        <w:t>Розпорядження</w:t>
      </w:r>
      <w:proofErr w:type="spellEnd"/>
      <w:r w:rsidRPr="00E16672">
        <w:rPr>
          <w:rFonts w:ascii="Times New Roman" w:eastAsia="Arial Unicode MS" w:hAnsi="Times New Roman"/>
          <w:color w:val="000000"/>
          <w:szCs w:val="20"/>
        </w:rPr>
        <w:t xml:space="preserve"> у </w:t>
      </w:r>
      <w:proofErr w:type="spellStart"/>
      <w:r w:rsidRPr="00E16672">
        <w:rPr>
          <w:rFonts w:ascii="Times New Roman" w:eastAsia="Arial Unicode MS" w:hAnsi="Times New Roman"/>
          <w:color w:val="000000"/>
          <w:szCs w:val="20"/>
        </w:rPr>
        <w:t>паперовому</w:t>
      </w:r>
      <w:proofErr w:type="spellEnd"/>
      <w:r w:rsidRPr="00E16672">
        <w:rPr>
          <w:rFonts w:ascii="Times New Roman" w:eastAsia="Arial Unicode MS" w:hAnsi="Times New Roman"/>
          <w:color w:val="000000"/>
          <w:szCs w:val="20"/>
        </w:rPr>
        <w:t xml:space="preserve"> </w:t>
      </w:r>
      <w:proofErr w:type="spellStart"/>
      <w:r w:rsidRPr="00E16672">
        <w:rPr>
          <w:rFonts w:ascii="Times New Roman" w:eastAsia="Arial Unicode MS" w:hAnsi="Times New Roman"/>
          <w:color w:val="000000"/>
          <w:szCs w:val="20"/>
        </w:rPr>
        <w:t>вигляді</w:t>
      </w:r>
      <w:proofErr w:type="spellEnd"/>
      <w:r w:rsidRPr="00E16672">
        <w:rPr>
          <w:rFonts w:ascii="Times New Roman" w:eastAsia="Arial Unicode MS" w:hAnsi="Times New Roman"/>
          <w:color w:val="000000"/>
          <w:szCs w:val="20"/>
        </w:rPr>
        <w:t xml:space="preserve"> </w:t>
      </w:r>
      <w:proofErr w:type="spellStart"/>
      <w:r w:rsidRPr="00E16672">
        <w:rPr>
          <w:rFonts w:ascii="Times New Roman" w:eastAsia="Arial Unicode MS" w:hAnsi="Times New Roman"/>
          <w:color w:val="000000"/>
          <w:szCs w:val="20"/>
        </w:rPr>
        <w:t>можуть</w:t>
      </w:r>
      <w:proofErr w:type="spellEnd"/>
      <w:r w:rsidRPr="00E16672">
        <w:rPr>
          <w:rFonts w:ascii="Times New Roman" w:eastAsia="Arial Unicode MS" w:hAnsi="Times New Roman"/>
          <w:color w:val="000000"/>
          <w:szCs w:val="20"/>
        </w:rPr>
        <w:t xml:space="preserve"> </w:t>
      </w:r>
      <w:proofErr w:type="spellStart"/>
      <w:r w:rsidRPr="00E16672">
        <w:rPr>
          <w:rFonts w:ascii="Times New Roman" w:eastAsia="Arial Unicode MS" w:hAnsi="Times New Roman"/>
          <w:color w:val="000000"/>
          <w:szCs w:val="20"/>
        </w:rPr>
        <w:t>отримуватися</w:t>
      </w:r>
      <w:proofErr w:type="spellEnd"/>
      <w:r w:rsidRPr="00E16672">
        <w:rPr>
          <w:rFonts w:ascii="Times New Roman" w:eastAsia="Arial Unicode MS" w:hAnsi="Times New Roman"/>
          <w:color w:val="000000"/>
          <w:szCs w:val="20"/>
        </w:rPr>
        <w:t xml:space="preserve"> Депозитарною </w:t>
      </w:r>
      <w:proofErr w:type="spellStart"/>
      <w:r w:rsidRPr="00E16672">
        <w:rPr>
          <w:rFonts w:ascii="Times New Roman" w:eastAsia="Arial Unicode MS" w:hAnsi="Times New Roman"/>
          <w:color w:val="000000"/>
          <w:szCs w:val="20"/>
        </w:rPr>
        <w:t>установою</w:t>
      </w:r>
      <w:proofErr w:type="spellEnd"/>
      <w:r w:rsidRPr="00E16672">
        <w:rPr>
          <w:rFonts w:ascii="Times New Roman" w:eastAsia="Arial Unicode MS" w:hAnsi="Times New Roman"/>
          <w:color w:val="000000"/>
          <w:szCs w:val="20"/>
        </w:rPr>
        <w:t>:</w:t>
      </w:r>
    </w:p>
    <w:p w14:paraId="576A97F5" w14:textId="77777777" w:rsidR="000A5A99" w:rsidRPr="000D0438" w:rsidRDefault="000A5A99" w:rsidP="000D0438">
      <w:pPr>
        <w:pStyle w:val="aff5"/>
        <w:widowControl w:val="0"/>
        <w:numPr>
          <w:ilvl w:val="1"/>
          <w:numId w:val="39"/>
        </w:numPr>
        <w:rPr>
          <w:rFonts w:ascii="Times New Roman" w:eastAsia="Arial Unicode MS" w:hAnsi="Times New Roman"/>
          <w:color w:val="000000"/>
          <w:spacing w:val="-8"/>
          <w:szCs w:val="20"/>
          <w:lang w:val="uk-UA"/>
        </w:rPr>
      </w:pPr>
      <w:proofErr w:type="spellStart"/>
      <w:r w:rsidRPr="000D0438">
        <w:rPr>
          <w:rFonts w:ascii="Times New Roman" w:eastAsia="Arial Unicode MS" w:hAnsi="Times New Roman"/>
          <w:color w:val="000000"/>
          <w:szCs w:val="20"/>
        </w:rPr>
        <w:t>особисто</w:t>
      </w:r>
      <w:proofErr w:type="spellEnd"/>
      <w:r w:rsidRPr="000D0438">
        <w:rPr>
          <w:rFonts w:ascii="Times New Roman" w:eastAsia="Arial Unicode MS" w:hAnsi="Times New Roman"/>
          <w:color w:val="000000"/>
          <w:szCs w:val="20"/>
        </w:rPr>
        <w:t xml:space="preserve"> при </w:t>
      </w:r>
      <w:proofErr w:type="spellStart"/>
      <w:r w:rsidRPr="000D0438">
        <w:rPr>
          <w:rFonts w:ascii="Times New Roman" w:eastAsia="Arial Unicode MS" w:hAnsi="Times New Roman"/>
          <w:color w:val="000000"/>
          <w:spacing w:val="-8"/>
          <w:szCs w:val="20"/>
        </w:rPr>
        <w:t>зверненні</w:t>
      </w:r>
      <w:proofErr w:type="spellEnd"/>
      <w:r w:rsidRPr="000D0438">
        <w:rPr>
          <w:rFonts w:ascii="Times New Roman" w:eastAsia="Arial Unicode MS" w:hAnsi="Times New Roman"/>
          <w:color w:val="000000"/>
          <w:spacing w:val="-8"/>
          <w:szCs w:val="20"/>
        </w:rPr>
        <w:t xml:space="preserve"> </w:t>
      </w:r>
      <w:proofErr w:type="spellStart"/>
      <w:r w:rsidRPr="000D0438">
        <w:rPr>
          <w:rFonts w:ascii="Times New Roman" w:eastAsia="Arial Unicode MS" w:hAnsi="Times New Roman"/>
          <w:color w:val="000000"/>
          <w:spacing w:val="-8"/>
          <w:szCs w:val="20"/>
        </w:rPr>
        <w:t>Емітента</w:t>
      </w:r>
      <w:proofErr w:type="spellEnd"/>
      <w:r w:rsidRPr="000D0438">
        <w:rPr>
          <w:rFonts w:ascii="Times New Roman" w:eastAsia="Arial Unicode MS" w:hAnsi="Times New Roman"/>
          <w:color w:val="000000"/>
          <w:szCs w:val="20"/>
        </w:rPr>
        <w:t xml:space="preserve"> (</w:t>
      </w:r>
      <w:proofErr w:type="spellStart"/>
      <w:r w:rsidRPr="000D0438">
        <w:rPr>
          <w:rFonts w:ascii="Times New Roman" w:eastAsia="Arial Unicode MS" w:hAnsi="Times New Roman"/>
          <w:color w:val="000000"/>
          <w:szCs w:val="20"/>
        </w:rPr>
        <w:t>Уповноваженої</w:t>
      </w:r>
      <w:proofErr w:type="spellEnd"/>
      <w:r w:rsidRPr="000D0438">
        <w:rPr>
          <w:rFonts w:ascii="Times New Roman" w:eastAsia="Arial Unicode MS" w:hAnsi="Times New Roman"/>
          <w:color w:val="000000"/>
          <w:szCs w:val="20"/>
        </w:rPr>
        <w:t xml:space="preserve"> особи)</w:t>
      </w:r>
      <w:r w:rsidRPr="000D0438">
        <w:rPr>
          <w:rFonts w:ascii="Times New Roman" w:eastAsia="Arial Unicode MS" w:hAnsi="Times New Roman"/>
          <w:color w:val="000000"/>
          <w:spacing w:val="-8"/>
          <w:szCs w:val="20"/>
        </w:rPr>
        <w:t>;</w:t>
      </w:r>
    </w:p>
    <w:p w14:paraId="2F5467E0" w14:textId="77777777" w:rsidR="000A5A99" w:rsidRPr="000D0438" w:rsidRDefault="000A5A99" w:rsidP="000D0438">
      <w:pPr>
        <w:pStyle w:val="aff5"/>
        <w:widowControl w:val="0"/>
        <w:numPr>
          <w:ilvl w:val="1"/>
          <w:numId w:val="39"/>
        </w:numPr>
        <w:rPr>
          <w:rFonts w:ascii="Times New Roman" w:eastAsia="Arial Unicode MS" w:hAnsi="Times New Roman"/>
          <w:color w:val="000000"/>
          <w:spacing w:val="-8"/>
          <w:szCs w:val="20"/>
        </w:rPr>
      </w:pPr>
      <w:proofErr w:type="spellStart"/>
      <w:r w:rsidRPr="000D0438">
        <w:rPr>
          <w:rFonts w:ascii="Times New Roman" w:eastAsia="Arial Unicode MS" w:hAnsi="Times New Roman"/>
          <w:color w:val="000000"/>
          <w:spacing w:val="-8"/>
          <w:szCs w:val="20"/>
        </w:rPr>
        <w:t>поштою</w:t>
      </w:r>
      <w:proofErr w:type="spellEnd"/>
      <w:r w:rsidRPr="000D0438">
        <w:rPr>
          <w:rFonts w:ascii="Times New Roman" w:eastAsia="Arial Unicode MS" w:hAnsi="Times New Roman"/>
          <w:color w:val="000000"/>
          <w:spacing w:val="-8"/>
          <w:szCs w:val="20"/>
        </w:rPr>
        <w:t>/</w:t>
      </w:r>
      <w:proofErr w:type="spellStart"/>
      <w:r w:rsidRPr="000D0438">
        <w:rPr>
          <w:rFonts w:ascii="Times New Roman" w:eastAsia="Arial Unicode MS" w:hAnsi="Times New Roman"/>
          <w:color w:val="000000"/>
          <w:spacing w:val="-8"/>
          <w:szCs w:val="20"/>
        </w:rPr>
        <w:t>кур’єрською</w:t>
      </w:r>
      <w:proofErr w:type="spellEnd"/>
      <w:r w:rsidRPr="000D0438">
        <w:rPr>
          <w:rFonts w:ascii="Times New Roman" w:eastAsia="Arial Unicode MS" w:hAnsi="Times New Roman"/>
          <w:color w:val="000000"/>
          <w:spacing w:val="-8"/>
          <w:szCs w:val="20"/>
        </w:rPr>
        <w:t xml:space="preserve"> </w:t>
      </w:r>
      <w:proofErr w:type="spellStart"/>
      <w:r w:rsidRPr="000D0438">
        <w:rPr>
          <w:rFonts w:ascii="Times New Roman" w:eastAsia="Arial Unicode MS" w:hAnsi="Times New Roman"/>
          <w:color w:val="000000"/>
          <w:spacing w:val="-8"/>
          <w:szCs w:val="20"/>
        </w:rPr>
        <w:t>доставкою</w:t>
      </w:r>
      <w:proofErr w:type="spellEnd"/>
      <w:r w:rsidRPr="000D0438">
        <w:rPr>
          <w:rFonts w:ascii="Times New Roman" w:eastAsia="Arial Unicode MS" w:hAnsi="Times New Roman"/>
          <w:color w:val="000000"/>
          <w:spacing w:val="-8"/>
          <w:szCs w:val="20"/>
        </w:rPr>
        <w:t>;</w:t>
      </w:r>
    </w:p>
    <w:p w14:paraId="5421B5FE" w14:textId="77777777" w:rsidR="000A5A99" w:rsidRPr="000D0438" w:rsidRDefault="000A5A99" w:rsidP="000D0438">
      <w:pPr>
        <w:pStyle w:val="aff5"/>
        <w:widowControl w:val="0"/>
        <w:numPr>
          <w:ilvl w:val="1"/>
          <w:numId w:val="39"/>
        </w:numPr>
        <w:rPr>
          <w:rFonts w:ascii="Times New Roman" w:eastAsia="Arial Unicode MS" w:hAnsi="Times New Roman"/>
          <w:szCs w:val="20"/>
        </w:rPr>
      </w:pPr>
      <w:r w:rsidRPr="000D0438">
        <w:rPr>
          <w:rFonts w:ascii="Times New Roman" w:eastAsia="Arial Unicode MS" w:hAnsi="Times New Roman"/>
          <w:color w:val="000000"/>
          <w:szCs w:val="20"/>
        </w:rPr>
        <w:t xml:space="preserve">за </w:t>
      </w:r>
      <w:proofErr w:type="spellStart"/>
      <w:r w:rsidRPr="000D0438">
        <w:rPr>
          <w:rFonts w:ascii="Times New Roman" w:eastAsia="Arial Unicode MS" w:hAnsi="Times New Roman"/>
          <w:color w:val="000000"/>
          <w:szCs w:val="20"/>
        </w:rPr>
        <w:t>допомогою</w:t>
      </w:r>
      <w:proofErr w:type="spellEnd"/>
      <w:r w:rsidRPr="000D0438">
        <w:rPr>
          <w:rFonts w:ascii="Times New Roman" w:eastAsia="Arial Unicode MS" w:hAnsi="Times New Roman"/>
          <w:color w:val="000000"/>
          <w:szCs w:val="20"/>
        </w:rPr>
        <w:t xml:space="preserve"> факсового </w:t>
      </w:r>
      <w:proofErr w:type="spellStart"/>
      <w:r w:rsidRPr="000D0438">
        <w:rPr>
          <w:rFonts w:ascii="Times New Roman" w:eastAsia="Arial Unicode MS" w:hAnsi="Times New Roman"/>
          <w:color w:val="000000"/>
          <w:szCs w:val="20"/>
        </w:rPr>
        <w:t>зв’язку</w:t>
      </w:r>
      <w:proofErr w:type="spellEnd"/>
      <w:r w:rsidRPr="000D0438">
        <w:rPr>
          <w:rFonts w:ascii="Times New Roman" w:eastAsia="Arial Unicode MS" w:hAnsi="Times New Roman"/>
          <w:color w:val="000000"/>
          <w:szCs w:val="20"/>
        </w:rPr>
        <w:t xml:space="preserve"> з </w:t>
      </w:r>
      <w:proofErr w:type="spellStart"/>
      <w:r w:rsidRPr="000D0438">
        <w:rPr>
          <w:rFonts w:ascii="Times New Roman" w:eastAsia="Arial Unicode MS" w:hAnsi="Times New Roman"/>
          <w:color w:val="000000"/>
          <w:szCs w:val="20"/>
        </w:rPr>
        <w:t>наступним</w:t>
      </w:r>
      <w:proofErr w:type="spellEnd"/>
      <w:r w:rsidRPr="000D0438">
        <w:rPr>
          <w:rFonts w:ascii="Times New Roman" w:eastAsia="Arial Unicode MS" w:hAnsi="Times New Roman"/>
          <w:color w:val="000000"/>
          <w:szCs w:val="20"/>
        </w:rPr>
        <w:t xml:space="preserve"> </w:t>
      </w:r>
      <w:proofErr w:type="spellStart"/>
      <w:r w:rsidRPr="000D0438">
        <w:rPr>
          <w:rFonts w:ascii="Times New Roman" w:eastAsia="Arial Unicode MS" w:hAnsi="Times New Roman"/>
          <w:color w:val="000000"/>
          <w:szCs w:val="20"/>
        </w:rPr>
        <w:t>відправленням</w:t>
      </w:r>
      <w:proofErr w:type="spellEnd"/>
      <w:r w:rsidRPr="000D0438">
        <w:rPr>
          <w:rFonts w:ascii="Times New Roman" w:eastAsia="Arial Unicode MS" w:hAnsi="Times New Roman"/>
          <w:color w:val="000000"/>
          <w:szCs w:val="20"/>
        </w:rPr>
        <w:t xml:space="preserve"> </w:t>
      </w:r>
      <w:proofErr w:type="spellStart"/>
      <w:r w:rsidRPr="000D0438">
        <w:rPr>
          <w:rFonts w:ascii="Times New Roman" w:eastAsia="Arial Unicode MS" w:hAnsi="Times New Roman"/>
          <w:color w:val="000000"/>
          <w:szCs w:val="20"/>
        </w:rPr>
        <w:t>оригіналу</w:t>
      </w:r>
      <w:proofErr w:type="spellEnd"/>
      <w:r w:rsidRPr="000D0438">
        <w:rPr>
          <w:rFonts w:ascii="Times New Roman" w:eastAsia="Arial Unicode MS" w:hAnsi="Times New Roman"/>
          <w:color w:val="000000"/>
          <w:szCs w:val="20"/>
        </w:rPr>
        <w:t xml:space="preserve"> </w:t>
      </w:r>
      <w:proofErr w:type="spellStart"/>
      <w:r w:rsidRPr="000D0438">
        <w:rPr>
          <w:rFonts w:ascii="Times New Roman" w:eastAsia="Arial Unicode MS" w:hAnsi="Times New Roman"/>
          <w:color w:val="000000"/>
          <w:szCs w:val="20"/>
        </w:rPr>
        <w:t>рекомендованим</w:t>
      </w:r>
      <w:proofErr w:type="spellEnd"/>
      <w:r w:rsidRPr="000D0438">
        <w:rPr>
          <w:rFonts w:ascii="Times New Roman" w:eastAsia="Arial Unicode MS" w:hAnsi="Times New Roman"/>
          <w:color w:val="000000"/>
          <w:szCs w:val="20"/>
        </w:rPr>
        <w:t xml:space="preserve"> листом </w:t>
      </w:r>
      <w:proofErr w:type="spellStart"/>
      <w:r w:rsidRPr="000D0438">
        <w:rPr>
          <w:rFonts w:ascii="Times New Roman" w:eastAsia="Arial Unicode MS" w:hAnsi="Times New Roman"/>
          <w:color w:val="000000"/>
          <w:szCs w:val="20"/>
        </w:rPr>
        <w:t>або</w:t>
      </w:r>
      <w:proofErr w:type="spellEnd"/>
      <w:r w:rsidRPr="000D0438">
        <w:rPr>
          <w:rFonts w:ascii="Times New Roman" w:eastAsia="Arial Unicode MS" w:hAnsi="Times New Roman"/>
          <w:color w:val="000000"/>
          <w:szCs w:val="20"/>
        </w:rPr>
        <w:t xml:space="preserve"> </w:t>
      </w:r>
      <w:proofErr w:type="spellStart"/>
      <w:r w:rsidRPr="000D0438">
        <w:rPr>
          <w:rFonts w:ascii="Times New Roman" w:eastAsia="Arial Unicode MS" w:hAnsi="Times New Roman"/>
          <w:color w:val="000000"/>
          <w:szCs w:val="20"/>
        </w:rPr>
        <w:t>його</w:t>
      </w:r>
      <w:proofErr w:type="spellEnd"/>
      <w:r w:rsidRPr="000D0438">
        <w:rPr>
          <w:rFonts w:ascii="Times New Roman" w:eastAsia="Arial Unicode MS" w:hAnsi="Times New Roman"/>
          <w:color w:val="000000"/>
          <w:szCs w:val="20"/>
        </w:rPr>
        <w:t xml:space="preserve"> </w:t>
      </w:r>
      <w:proofErr w:type="spellStart"/>
      <w:r w:rsidRPr="000D0438">
        <w:rPr>
          <w:rFonts w:ascii="Times New Roman" w:eastAsia="Arial Unicode MS" w:hAnsi="Times New Roman"/>
          <w:color w:val="000000"/>
          <w:szCs w:val="20"/>
        </w:rPr>
        <w:t>наданням</w:t>
      </w:r>
      <w:proofErr w:type="spellEnd"/>
      <w:r w:rsidRPr="000D0438">
        <w:rPr>
          <w:rFonts w:ascii="Times New Roman" w:eastAsia="Arial Unicode MS" w:hAnsi="Times New Roman"/>
          <w:color w:val="000000"/>
          <w:szCs w:val="20"/>
        </w:rPr>
        <w:t xml:space="preserve"> не </w:t>
      </w:r>
      <w:proofErr w:type="spellStart"/>
      <w:r w:rsidRPr="000D0438">
        <w:rPr>
          <w:rFonts w:ascii="Times New Roman" w:eastAsia="Arial Unicode MS" w:hAnsi="Times New Roman"/>
          <w:color w:val="000000"/>
          <w:szCs w:val="20"/>
        </w:rPr>
        <w:t>пізніше</w:t>
      </w:r>
      <w:proofErr w:type="spellEnd"/>
      <w:r w:rsidRPr="000D0438">
        <w:rPr>
          <w:rFonts w:ascii="Times New Roman" w:eastAsia="Arial Unicode MS" w:hAnsi="Times New Roman"/>
          <w:color w:val="000000"/>
          <w:szCs w:val="20"/>
        </w:rPr>
        <w:t xml:space="preserve"> </w:t>
      </w:r>
      <w:proofErr w:type="spellStart"/>
      <w:r w:rsidRPr="000D0438">
        <w:rPr>
          <w:rFonts w:ascii="Times New Roman" w:eastAsia="Arial Unicode MS" w:hAnsi="Times New Roman"/>
          <w:color w:val="000000"/>
          <w:szCs w:val="20"/>
        </w:rPr>
        <w:t>наступного</w:t>
      </w:r>
      <w:proofErr w:type="spellEnd"/>
      <w:r w:rsidRPr="000D0438">
        <w:rPr>
          <w:rFonts w:ascii="Times New Roman" w:eastAsia="Arial Unicode MS" w:hAnsi="Times New Roman"/>
          <w:color w:val="000000"/>
          <w:szCs w:val="20"/>
        </w:rPr>
        <w:t xml:space="preserve"> дня з моменту </w:t>
      </w:r>
      <w:proofErr w:type="spellStart"/>
      <w:r w:rsidRPr="000D0438">
        <w:rPr>
          <w:rFonts w:ascii="Times New Roman" w:eastAsia="Arial Unicode MS" w:hAnsi="Times New Roman"/>
          <w:color w:val="000000"/>
          <w:szCs w:val="20"/>
        </w:rPr>
        <w:t>отримання</w:t>
      </w:r>
      <w:proofErr w:type="spellEnd"/>
      <w:r w:rsidRPr="000D0438">
        <w:rPr>
          <w:rFonts w:ascii="Times New Roman" w:eastAsia="Arial Unicode MS" w:hAnsi="Times New Roman"/>
          <w:color w:val="000000"/>
          <w:szCs w:val="20"/>
        </w:rPr>
        <w:t xml:space="preserve"> </w:t>
      </w:r>
      <w:proofErr w:type="spellStart"/>
      <w:r w:rsidRPr="000D0438">
        <w:rPr>
          <w:rFonts w:ascii="Times New Roman" w:eastAsia="Arial Unicode MS" w:hAnsi="Times New Roman"/>
          <w:color w:val="000000"/>
          <w:szCs w:val="20"/>
        </w:rPr>
        <w:t>р</w:t>
      </w:r>
      <w:r w:rsidRPr="000D0438">
        <w:rPr>
          <w:rFonts w:ascii="Times New Roman" w:eastAsia="Arial Unicode MS" w:hAnsi="Times New Roman"/>
          <w:szCs w:val="20"/>
        </w:rPr>
        <w:t>озпорядження</w:t>
      </w:r>
      <w:proofErr w:type="spellEnd"/>
      <w:r w:rsidRPr="000D0438">
        <w:rPr>
          <w:rFonts w:ascii="Times New Roman" w:eastAsia="Arial Unicode MS" w:hAnsi="Times New Roman"/>
          <w:szCs w:val="20"/>
        </w:rPr>
        <w:t xml:space="preserve">. </w:t>
      </w:r>
    </w:p>
    <w:p w14:paraId="2C4FC544" w14:textId="77777777" w:rsidR="000A5A99" w:rsidRPr="00E16672" w:rsidRDefault="000A5A99" w:rsidP="000A5A99">
      <w:pPr>
        <w:rPr>
          <w:rFonts w:ascii="Times New Roman" w:eastAsia="Arial Unicode MS" w:hAnsi="Times New Roman"/>
          <w:color w:val="000000"/>
          <w:szCs w:val="20"/>
        </w:rPr>
      </w:pPr>
      <w:r w:rsidRPr="00E16672">
        <w:rPr>
          <w:rFonts w:ascii="Times New Roman" w:eastAsia="Arial Unicode MS" w:hAnsi="Times New Roman"/>
          <w:szCs w:val="20"/>
        </w:rPr>
        <w:t xml:space="preserve">3.3. </w:t>
      </w:r>
      <w:proofErr w:type="spellStart"/>
      <w:r w:rsidRPr="00E16672">
        <w:rPr>
          <w:rFonts w:ascii="Times New Roman" w:eastAsia="Arial Unicode MS" w:hAnsi="Times New Roman"/>
          <w:szCs w:val="20"/>
        </w:rPr>
        <w:t>Емітент</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погоджується</w:t>
      </w:r>
      <w:proofErr w:type="spellEnd"/>
      <w:r w:rsidRPr="00E16672">
        <w:rPr>
          <w:rFonts w:ascii="Times New Roman" w:eastAsia="Arial Unicode MS" w:hAnsi="Times New Roman"/>
          <w:szCs w:val="20"/>
        </w:rPr>
        <w:t xml:space="preserve"> з </w:t>
      </w:r>
      <w:proofErr w:type="spellStart"/>
      <w:r w:rsidRPr="00E16672">
        <w:rPr>
          <w:rFonts w:ascii="Times New Roman" w:eastAsia="Arial Unicode MS" w:hAnsi="Times New Roman"/>
          <w:szCs w:val="20"/>
        </w:rPr>
        <w:t>тим</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що</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він</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був</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повідомлений</w:t>
      </w:r>
      <w:proofErr w:type="spellEnd"/>
      <w:r w:rsidRPr="00E16672">
        <w:rPr>
          <w:rFonts w:ascii="Times New Roman" w:eastAsia="Arial Unicode MS" w:hAnsi="Times New Roman"/>
          <w:szCs w:val="20"/>
        </w:rPr>
        <w:t xml:space="preserve"> про </w:t>
      </w:r>
      <w:proofErr w:type="spellStart"/>
      <w:r w:rsidRPr="00E16672">
        <w:rPr>
          <w:rFonts w:ascii="Times New Roman" w:eastAsia="Arial Unicode MS" w:hAnsi="Times New Roman"/>
          <w:szCs w:val="20"/>
        </w:rPr>
        <w:t>ризик</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пов’язаний</w:t>
      </w:r>
      <w:proofErr w:type="spellEnd"/>
      <w:r w:rsidRPr="00E16672">
        <w:rPr>
          <w:rFonts w:ascii="Times New Roman" w:eastAsia="Arial Unicode MS" w:hAnsi="Times New Roman"/>
          <w:szCs w:val="20"/>
        </w:rPr>
        <w:t xml:space="preserve"> з </w:t>
      </w:r>
      <w:proofErr w:type="spellStart"/>
      <w:r w:rsidRPr="00E16672">
        <w:rPr>
          <w:rFonts w:ascii="Times New Roman" w:eastAsia="Arial Unicode MS" w:hAnsi="Times New Roman"/>
          <w:szCs w:val="20"/>
        </w:rPr>
        <w:t>використанням</w:t>
      </w:r>
      <w:proofErr w:type="spellEnd"/>
      <w:r w:rsidRPr="00E16672">
        <w:rPr>
          <w:rFonts w:ascii="Times New Roman" w:eastAsia="Arial Unicode MS" w:hAnsi="Times New Roman"/>
          <w:szCs w:val="20"/>
        </w:rPr>
        <w:t xml:space="preserve"> такого </w:t>
      </w:r>
      <w:proofErr w:type="spellStart"/>
      <w:r w:rsidRPr="00E16672">
        <w:rPr>
          <w:rFonts w:ascii="Times New Roman" w:eastAsia="Arial Unicode MS" w:hAnsi="Times New Roman"/>
          <w:szCs w:val="20"/>
        </w:rPr>
        <w:t>засобу</w:t>
      </w:r>
      <w:proofErr w:type="spellEnd"/>
      <w:r w:rsidRPr="00E16672">
        <w:rPr>
          <w:rFonts w:ascii="Times New Roman" w:eastAsia="Arial Unicode MS" w:hAnsi="Times New Roman"/>
          <w:szCs w:val="20"/>
        </w:rPr>
        <w:t xml:space="preserve">, як </w:t>
      </w:r>
      <w:proofErr w:type="spellStart"/>
      <w:r w:rsidRPr="00E16672">
        <w:rPr>
          <w:rFonts w:ascii="Times New Roman" w:eastAsia="Arial Unicode MS" w:hAnsi="Times New Roman"/>
          <w:color w:val="000000"/>
          <w:szCs w:val="20"/>
        </w:rPr>
        <w:t>факсовий</w:t>
      </w:r>
      <w:proofErr w:type="spellEnd"/>
      <w:r w:rsidRPr="00E16672">
        <w:rPr>
          <w:rFonts w:ascii="Times New Roman" w:eastAsia="Arial Unicode MS" w:hAnsi="Times New Roman"/>
          <w:color w:val="000000"/>
          <w:szCs w:val="20"/>
        </w:rPr>
        <w:t xml:space="preserve"> </w:t>
      </w:r>
      <w:proofErr w:type="spellStart"/>
      <w:r w:rsidRPr="00E16672">
        <w:rPr>
          <w:rFonts w:ascii="Times New Roman" w:eastAsia="Arial Unicode MS" w:hAnsi="Times New Roman"/>
          <w:color w:val="000000"/>
          <w:szCs w:val="20"/>
        </w:rPr>
        <w:t>зв’язок</w:t>
      </w:r>
      <w:proofErr w:type="spellEnd"/>
      <w:r w:rsidRPr="00E16672">
        <w:rPr>
          <w:rFonts w:ascii="Times New Roman" w:eastAsia="Arial Unicode MS" w:hAnsi="Times New Roman"/>
          <w:color w:val="000000"/>
          <w:szCs w:val="20"/>
        </w:rPr>
        <w:t xml:space="preserve">, </w:t>
      </w:r>
      <w:proofErr w:type="spellStart"/>
      <w:r w:rsidRPr="00E16672">
        <w:rPr>
          <w:rFonts w:ascii="Times New Roman" w:eastAsia="Arial Unicode MS" w:hAnsi="Times New Roman"/>
          <w:color w:val="000000"/>
          <w:szCs w:val="20"/>
        </w:rPr>
        <w:t>можливими</w:t>
      </w:r>
      <w:proofErr w:type="spellEnd"/>
      <w:r w:rsidRPr="00E16672">
        <w:rPr>
          <w:rFonts w:ascii="Times New Roman" w:eastAsia="Arial Unicode MS" w:hAnsi="Times New Roman"/>
          <w:color w:val="000000"/>
          <w:szCs w:val="20"/>
        </w:rPr>
        <w:t xml:space="preserve"> </w:t>
      </w:r>
      <w:proofErr w:type="spellStart"/>
      <w:r w:rsidRPr="00E16672">
        <w:rPr>
          <w:rFonts w:ascii="Times New Roman" w:eastAsia="Arial Unicode MS" w:hAnsi="Times New Roman"/>
          <w:color w:val="000000"/>
          <w:szCs w:val="20"/>
        </w:rPr>
        <w:t>зловживаннями</w:t>
      </w:r>
      <w:proofErr w:type="spellEnd"/>
      <w:r w:rsidRPr="00E16672">
        <w:rPr>
          <w:rFonts w:ascii="Times New Roman" w:eastAsia="Arial Unicode MS" w:hAnsi="Times New Roman"/>
          <w:color w:val="000000"/>
          <w:szCs w:val="20"/>
        </w:rPr>
        <w:t xml:space="preserve">, </w:t>
      </w:r>
      <w:proofErr w:type="spellStart"/>
      <w:r w:rsidRPr="00E16672">
        <w:rPr>
          <w:rFonts w:ascii="Times New Roman" w:eastAsia="Arial Unicode MS" w:hAnsi="Times New Roman"/>
          <w:color w:val="000000"/>
          <w:szCs w:val="20"/>
        </w:rPr>
        <w:t>деформацією</w:t>
      </w:r>
      <w:proofErr w:type="spellEnd"/>
      <w:r w:rsidRPr="00E16672">
        <w:rPr>
          <w:rFonts w:ascii="Times New Roman" w:eastAsia="Arial Unicode MS" w:hAnsi="Times New Roman"/>
          <w:color w:val="000000"/>
          <w:szCs w:val="20"/>
        </w:rPr>
        <w:t xml:space="preserve"> </w:t>
      </w:r>
      <w:proofErr w:type="spellStart"/>
      <w:r w:rsidRPr="00E16672">
        <w:rPr>
          <w:rFonts w:ascii="Times New Roman" w:eastAsia="Arial Unicode MS" w:hAnsi="Times New Roman"/>
          <w:color w:val="000000"/>
          <w:szCs w:val="20"/>
        </w:rPr>
        <w:t>повідомлень</w:t>
      </w:r>
      <w:proofErr w:type="spellEnd"/>
      <w:r w:rsidRPr="00E16672">
        <w:rPr>
          <w:rFonts w:ascii="Times New Roman" w:eastAsia="Arial Unicode MS" w:hAnsi="Times New Roman"/>
          <w:color w:val="000000"/>
          <w:szCs w:val="20"/>
        </w:rPr>
        <w:t xml:space="preserve">, </w:t>
      </w:r>
      <w:proofErr w:type="spellStart"/>
      <w:r w:rsidRPr="00E16672">
        <w:rPr>
          <w:rFonts w:ascii="Times New Roman" w:eastAsia="Arial Unicode MS" w:hAnsi="Times New Roman"/>
          <w:color w:val="000000"/>
          <w:szCs w:val="20"/>
        </w:rPr>
        <w:t>виходу</w:t>
      </w:r>
      <w:proofErr w:type="spellEnd"/>
      <w:r w:rsidRPr="00E16672">
        <w:rPr>
          <w:rFonts w:ascii="Times New Roman" w:eastAsia="Arial Unicode MS" w:hAnsi="Times New Roman"/>
          <w:color w:val="000000"/>
          <w:szCs w:val="20"/>
        </w:rPr>
        <w:t xml:space="preserve"> з ладу систем. </w:t>
      </w:r>
      <w:proofErr w:type="spellStart"/>
      <w:r w:rsidRPr="00E16672">
        <w:rPr>
          <w:rFonts w:ascii="Times New Roman" w:eastAsia="Arial Unicode MS" w:hAnsi="Times New Roman"/>
          <w:color w:val="000000"/>
          <w:szCs w:val="20"/>
        </w:rPr>
        <w:t>Емітент</w:t>
      </w:r>
      <w:proofErr w:type="spellEnd"/>
      <w:r w:rsidRPr="00E16672">
        <w:rPr>
          <w:rFonts w:ascii="Times New Roman" w:eastAsia="Arial Unicode MS" w:hAnsi="Times New Roman"/>
          <w:color w:val="000000"/>
          <w:szCs w:val="20"/>
        </w:rPr>
        <w:t xml:space="preserve"> </w:t>
      </w:r>
      <w:proofErr w:type="spellStart"/>
      <w:r w:rsidRPr="00E16672">
        <w:rPr>
          <w:rFonts w:ascii="Times New Roman" w:eastAsia="Arial Unicode MS" w:hAnsi="Times New Roman"/>
          <w:color w:val="000000"/>
          <w:szCs w:val="20"/>
        </w:rPr>
        <w:t>зобов’язується</w:t>
      </w:r>
      <w:proofErr w:type="spellEnd"/>
      <w:r w:rsidRPr="00E16672">
        <w:rPr>
          <w:rFonts w:ascii="Times New Roman" w:eastAsia="Arial Unicode MS" w:hAnsi="Times New Roman"/>
          <w:color w:val="000000"/>
          <w:szCs w:val="20"/>
        </w:rPr>
        <w:t xml:space="preserve"> </w:t>
      </w:r>
      <w:proofErr w:type="spellStart"/>
      <w:r w:rsidRPr="00E16672">
        <w:rPr>
          <w:rFonts w:ascii="Times New Roman" w:eastAsia="Arial Unicode MS" w:hAnsi="Times New Roman"/>
          <w:color w:val="000000"/>
          <w:szCs w:val="20"/>
        </w:rPr>
        <w:t>прийняти</w:t>
      </w:r>
      <w:proofErr w:type="spellEnd"/>
      <w:r w:rsidRPr="00E16672">
        <w:rPr>
          <w:rFonts w:ascii="Times New Roman" w:eastAsia="Arial Unicode MS" w:hAnsi="Times New Roman"/>
          <w:color w:val="000000"/>
          <w:szCs w:val="20"/>
        </w:rPr>
        <w:t xml:space="preserve"> </w:t>
      </w:r>
      <w:proofErr w:type="spellStart"/>
      <w:r w:rsidRPr="00E16672">
        <w:rPr>
          <w:rFonts w:ascii="Times New Roman" w:eastAsia="Arial Unicode MS" w:hAnsi="Times New Roman"/>
          <w:color w:val="000000"/>
          <w:szCs w:val="20"/>
        </w:rPr>
        <w:t>наслідки</w:t>
      </w:r>
      <w:proofErr w:type="spellEnd"/>
      <w:r w:rsidRPr="00E16672">
        <w:rPr>
          <w:rFonts w:ascii="Times New Roman" w:eastAsia="Arial Unicode MS" w:hAnsi="Times New Roman"/>
          <w:color w:val="000000"/>
          <w:szCs w:val="20"/>
        </w:rPr>
        <w:t xml:space="preserve"> </w:t>
      </w:r>
      <w:proofErr w:type="spellStart"/>
      <w:r w:rsidRPr="00E16672">
        <w:rPr>
          <w:rFonts w:ascii="Times New Roman" w:eastAsia="Arial Unicode MS" w:hAnsi="Times New Roman"/>
          <w:color w:val="000000"/>
          <w:szCs w:val="20"/>
        </w:rPr>
        <w:t>вищевказаного</w:t>
      </w:r>
      <w:proofErr w:type="spellEnd"/>
      <w:r w:rsidRPr="00E16672">
        <w:rPr>
          <w:rFonts w:ascii="Times New Roman" w:eastAsia="Arial Unicode MS" w:hAnsi="Times New Roman"/>
          <w:color w:val="000000"/>
          <w:szCs w:val="20"/>
        </w:rPr>
        <w:t xml:space="preserve"> на себе.</w:t>
      </w:r>
    </w:p>
    <w:p w14:paraId="0B4F7C13" w14:textId="77777777" w:rsidR="000A5A99" w:rsidRPr="00E16672" w:rsidRDefault="000A5A99" w:rsidP="000A5A99">
      <w:pPr>
        <w:rPr>
          <w:rFonts w:ascii="Times New Roman" w:eastAsia="Arial Unicode MS" w:hAnsi="Times New Roman"/>
          <w:color w:val="000000"/>
          <w:szCs w:val="20"/>
        </w:rPr>
      </w:pPr>
      <w:r w:rsidRPr="00E16672">
        <w:rPr>
          <w:rFonts w:ascii="Times New Roman" w:eastAsia="Arial Unicode MS" w:hAnsi="Times New Roman"/>
          <w:color w:val="000000"/>
          <w:szCs w:val="20"/>
        </w:rPr>
        <w:t>3.4.</w:t>
      </w:r>
      <w:r w:rsidRPr="00E16672">
        <w:rPr>
          <w:rFonts w:ascii="Times New Roman" w:eastAsia="Arial Unicode MS" w:hAnsi="Times New Roman"/>
          <w:b/>
          <w:bCs/>
          <w:color w:val="000000"/>
          <w:szCs w:val="20"/>
        </w:rPr>
        <w:t xml:space="preserve"> </w:t>
      </w:r>
      <w:proofErr w:type="spellStart"/>
      <w:r w:rsidRPr="00E16672">
        <w:rPr>
          <w:rFonts w:ascii="Times New Roman" w:eastAsia="Arial Unicode MS" w:hAnsi="Times New Roman"/>
          <w:color w:val="000000"/>
          <w:szCs w:val="20"/>
        </w:rPr>
        <w:t>Розпорядження</w:t>
      </w:r>
      <w:proofErr w:type="spellEnd"/>
      <w:r w:rsidRPr="00E16672">
        <w:rPr>
          <w:rFonts w:ascii="Times New Roman" w:eastAsia="Arial Unicode MS" w:hAnsi="Times New Roman"/>
          <w:color w:val="000000"/>
          <w:szCs w:val="20"/>
        </w:rPr>
        <w:t xml:space="preserve"> </w:t>
      </w:r>
      <w:proofErr w:type="spellStart"/>
      <w:r w:rsidRPr="00E16672">
        <w:rPr>
          <w:rFonts w:ascii="Times New Roman" w:eastAsia="Arial Unicode MS" w:hAnsi="Times New Roman"/>
          <w:color w:val="000000"/>
          <w:szCs w:val="20"/>
        </w:rPr>
        <w:t>підписуються</w:t>
      </w:r>
      <w:proofErr w:type="spellEnd"/>
      <w:r w:rsidRPr="00E16672">
        <w:rPr>
          <w:rFonts w:ascii="Times New Roman" w:eastAsia="Arial Unicode MS" w:hAnsi="Times New Roman"/>
          <w:color w:val="000000"/>
          <w:szCs w:val="20"/>
        </w:rPr>
        <w:t xml:space="preserve"> </w:t>
      </w:r>
      <w:proofErr w:type="spellStart"/>
      <w:r w:rsidRPr="00E16672">
        <w:rPr>
          <w:rFonts w:ascii="Times New Roman" w:eastAsia="Arial Unicode MS" w:hAnsi="Times New Roman"/>
          <w:color w:val="000000"/>
          <w:szCs w:val="20"/>
        </w:rPr>
        <w:t>Уповноваженими</w:t>
      </w:r>
      <w:proofErr w:type="spellEnd"/>
      <w:r w:rsidRPr="00E16672">
        <w:rPr>
          <w:rFonts w:ascii="Times New Roman" w:eastAsia="Arial Unicode MS" w:hAnsi="Times New Roman"/>
          <w:color w:val="000000"/>
          <w:szCs w:val="20"/>
        </w:rPr>
        <w:t xml:space="preserve"> особами </w:t>
      </w:r>
      <w:proofErr w:type="spellStart"/>
      <w:r w:rsidRPr="00E16672">
        <w:rPr>
          <w:rFonts w:ascii="Times New Roman" w:eastAsia="Arial Unicode MS" w:hAnsi="Times New Roman"/>
          <w:color w:val="000000"/>
          <w:szCs w:val="20"/>
        </w:rPr>
        <w:t>Емітента</w:t>
      </w:r>
      <w:proofErr w:type="spellEnd"/>
      <w:r w:rsidRPr="00E16672">
        <w:rPr>
          <w:rFonts w:ascii="Times New Roman" w:eastAsia="Arial Unicode MS" w:hAnsi="Times New Roman"/>
          <w:color w:val="000000"/>
          <w:szCs w:val="20"/>
        </w:rPr>
        <w:t xml:space="preserve">, яка </w:t>
      </w:r>
      <w:proofErr w:type="spellStart"/>
      <w:r w:rsidRPr="00E16672">
        <w:rPr>
          <w:rFonts w:ascii="Times New Roman" w:eastAsia="Arial Unicode MS" w:hAnsi="Times New Roman"/>
          <w:color w:val="000000"/>
          <w:szCs w:val="20"/>
        </w:rPr>
        <w:t>мають</w:t>
      </w:r>
      <w:proofErr w:type="spellEnd"/>
      <w:r w:rsidRPr="00E16672">
        <w:rPr>
          <w:rFonts w:ascii="Times New Roman" w:eastAsia="Arial Unicode MS" w:hAnsi="Times New Roman"/>
          <w:color w:val="000000"/>
          <w:szCs w:val="20"/>
        </w:rPr>
        <w:t xml:space="preserve"> право </w:t>
      </w:r>
      <w:proofErr w:type="spellStart"/>
      <w:r w:rsidRPr="00E16672">
        <w:rPr>
          <w:rFonts w:ascii="Times New Roman" w:eastAsia="Arial Unicode MS" w:hAnsi="Times New Roman"/>
          <w:color w:val="000000"/>
          <w:szCs w:val="20"/>
        </w:rPr>
        <w:t>діяти</w:t>
      </w:r>
      <w:proofErr w:type="spellEnd"/>
      <w:r w:rsidRPr="00E16672">
        <w:rPr>
          <w:rFonts w:ascii="Times New Roman" w:eastAsia="Arial Unicode MS" w:hAnsi="Times New Roman"/>
          <w:color w:val="000000"/>
          <w:szCs w:val="20"/>
        </w:rPr>
        <w:t xml:space="preserve"> </w:t>
      </w:r>
      <w:proofErr w:type="spellStart"/>
      <w:r w:rsidRPr="00E16672">
        <w:rPr>
          <w:rFonts w:ascii="Times New Roman" w:eastAsia="Arial Unicode MS" w:hAnsi="Times New Roman"/>
          <w:color w:val="000000"/>
          <w:szCs w:val="20"/>
        </w:rPr>
        <w:t>від</w:t>
      </w:r>
      <w:proofErr w:type="spellEnd"/>
      <w:r w:rsidRPr="00E16672">
        <w:rPr>
          <w:rFonts w:ascii="Times New Roman" w:eastAsia="Arial Unicode MS" w:hAnsi="Times New Roman"/>
          <w:color w:val="000000"/>
          <w:szCs w:val="20"/>
        </w:rPr>
        <w:t xml:space="preserve"> </w:t>
      </w:r>
      <w:proofErr w:type="spellStart"/>
      <w:r w:rsidRPr="00E16672">
        <w:rPr>
          <w:rFonts w:ascii="Times New Roman" w:eastAsia="Arial Unicode MS" w:hAnsi="Times New Roman"/>
          <w:color w:val="000000"/>
          <w:szCs w:val="20"/>
        </w:rPr>
        <w:t>імені</w:t>
      </w:r>
      <w:proofErr w:type="spellEnd"/>
      <w:r w:rsidRPr="00E16672">
        <w:rPr>
          <w:rFonts w:ascii="Times New Roman" w:eastAsia="Arial Unicode MS" w:hAnsi="Times New Roman"/>
          <w:color w:val="000000"/>
          <w:szCs w:val="20"/>
        </w:rPr>
        <w:t xml:space="preserve"> </w:t>
      </w:r>
      <w:proofErr w:type="spellStart"/>
      <w:r w:rsidRPr="00E16672">
        <w:rPr>
          <w:rFonts w:ascii="Times New Roman" w:eastAsia="Arial Unicode MS" w:hAnsi="Times New Roman"/>
          <w:color w:val="000000"/>
          <w:szCs w:val="20"/>
        </w:rPr>
        <w:t>Емітента</w:t>
      </w:r>
      <w:proofErr w:type="spellEnd"/>
      <w:r w:rsidRPr="00E16672">
        <w:rPr>
          <w:rFonts w:ascii="Times New Roman" w:eastAsia="Arial Unicode MS" w:hAnsi="Times New Roman"/>
          <w:color w:val="000000"/>
          <w:szCs w:val="20"/>
        </w:rPr>
        <w:t xml:space="preserve"> без </w:t>
      </w:r>
      <w:proofErr w:type="spellStart"/>
      <w:r w:rsidRPr="00E16672">
        <w:rPr>
          <w:rFonts w:ascii="Times New Roman" w:eastAsia="Arial Unicode MS" w:hAnsi="Times New Roman"/>
          <w:color w:val="000000"/>
          <w:szCs w:val="20"/>
        </w:rPr>
        <w:t>довіреності</w:t>
      </w:r>
      <w:proofErr w:type="spellEnd"/>
      <w:r w:rsidRPr="00E16672">
        <w:rPr>
          <w:rFonts w:ascii="Times New Roman" w:eastAsia="Arial Unicode MS" w:hAnsi="Times New Roman"/>
          <w:color w:val="000000"/>
          <w:szCs w:val="20"/>
        </w:rPr>
        <w:t xml:space="preserve"> </w:t>
      </w:r>
      <w:proofErr w:type="spellStart"/>
      <w:r w:rsidRPr="00E16672">
        <w:rPr>
          <w:rFonts w:ascii="Times New Roman" w:eastAsia="Arial Unicode MS" w:hAnsi="Times New Roman"/>
          <w:color w:val="000000"/>
          <w:szCs w:val="20"/>
        </w:rPr>
        <w:t>або</w:t>
      </w:r>
      <w:proofErr w:type="spellEnd"/>
      <w:r w:rsidRPr="00E16672">
        <w:rPr>
          <w:rFonts w:ascii="Times New Roman" w:eastAsia="Arial Unicode MS" w:hAnsi="Times New Roman"/>
          <w:color w:val="000000"/>
          <w:szCs w:val="20"/>
        </w:rPr>
        <w:t xml:space="preserve"> </w:t>
      </w:r>
      <w:proofErr w:type="spellStart"/>
      <w:r w:rsidRPr="00E16672">
        <w:rPr>
          <w:rFonts w:ascii="Times New Roman" w:eastAsia="Arial Unicode MS" w:hAnsi="Times New Roman"/>
          <w:color w:val="000000"/>
          <w:szCs w:val="20"/>
        </w:rPr>
        <w:t>діють</w:t>
      </w:r>
      <w:proofErr w:type="spellEnd"/>
      <w:r w:rsidRPr="00E16672">
        <w:rPr>
          <w:rFonts w:ascii="Times New Roman" w:eastAsia="Arial Unicode MS" w:hAnsi="Times New Roman"/>
          <w:color w:val="000000"/>
          <w:szCs w:val="20"/>
        </w:rPr>
        <w:t xml:space="preserve"> на </w:t>
      </w:r>
      <w:proofErr w:type="spellStart"/>
      <w:r w:rsidRPr="00E16672">
        <w:rPr>
          <w:rFonts w:ascii="Times New Roman" w:eastAsia="Arial Unicode MS" w:hAnsi="Times New Roman"/>
          <w:color w:val="000000"/>
          <w:szCs w:val="20"/>
        </w:rPr>
        <w:t>підставі</w:t>
      </w:r>
      <w:proofErr w:type="spellEnd"/>
      <w:r w:rsidRPr="00E16672">
        <w:rPr>
          <w:rFonts w:ascii="Times New Roman" w:eastAsia="Arial Unicode MS" w:hAnsi="Times New Roman"/>
          <w:color w:val="000000"/>
          <w:szCs w:val="20"/>
        </w:rPr>
        <w:t xml:space="preserve"> </w:t>
      </w:r>
      <w:proofErr w:type="spellStart"/>
      <w:r w:rsidRPr="00E16672">
        <w:rPr>
          <w:rFonts w:ascii="Times New Roman" w:eastAsia="Arial Unicode MS" w:hAnsi="Times New Roman"/>
          <w:color w:val="000000"/>
          <w:szCs w:val="20"/>
        </w:rPr>
        <w:t>довіреності</w:t>
      </w:r>
      <w:proofErr w:type="spellEnd"/>
      <w:r w:rsidRPr="00E16672">
        <w:rPr>
          <w:rFonts w:ascii="Times New Roman" w:eastAsia="Arial Unicode MS" w:hAnsi="Times New Roman"/>
          <w:color w:val="000000"/>
          <w:szCs w:val="20"/>
        </w:rPr>
        <w:t xml:space="preserve">, </w:t>
      </w:r>
      <w:proofErr w:type="spellStart"/>
      <w:r w:rsidRPr="00E16672">
        <w:rPr>
          <w:rFonts w:ascii="Times New Roman" w:eastAsia="Arial Unicode MS" w:hAnsi="Times New Roman"/>
          <w:color w:val="000000"/>
          <w:szCs w:val="20"/>
        </w:rPr>
        <w:t>виданої</w:t>
      </w:r>
      <w:proofErr w:type="spellEnd"/>
      <w:r w:rsidRPr="00E16672">
        <w:rPr>
          <w:rFonts w:ascii="Times New Roman" w:eastAsia="Arial Unicode MS" w:hAnsi="Times New Roman"/>
          <w:color w:val="000000"/>
          <w:szCs w:val="20"/>
        </w:rPr>
        <w:t xml:space="preserve"> </w:t>
      </w:r>
      <w:proofErr w:type="spellStart"/>
      <w:r w:rsidRPr="00E16672">
        <w:rPr>
          <w:rFonts w:ascii="Times New Roman" w:eastAsia="Arial Unicode MS" w:hAnsi="Times New Roman"/>
          <w:color w:val="000000"/>
          <w:szCs w:val="20"/>
        </w:rPr>
        <w:t>відповідно</w:t>
      </w:r>
      <w:proofErr w:type="spellEnd"/>
      <w:r w:rsidRPr="00E16672">
        <w:rPr>
          <w:rFonts w:ascii="Times New Roman" w:eastAsia="Arial Unicode MS" w:hAnsi="Times New Roman"/>
          <w:color w:val="000000"/>
          <w:szCs w:val="20"/>
        </w:rPr>
        <w:t xml:space="preserve"> до чинного </w:t>
      </w:r>
      <w:proofErr w:type="spellStart"/>
      <w:r w:rsidRPr="00E16672">
        <w:rPr>
          <w:rFonts w:ascii="Times New Roman" w:eastAsia="Arial Unicode MS" w:hAnsi="Times New Roman"/>
          <w:color w:val="000000"/>
          <w:szCs w:val="20"/>
        </w:rPr>
        <w:t>законодавства</w:t>
      </w:r>
      <w:proofErr w:type="spellEnd"/>
      <w:r w:rsidRPr="00E16672">
        <w:rPr>
          <w:rFonts w:ascii="Times New Roman" w:eastAsia="Arial Unicode MS" w:hAnsi="Times New Roman"/>
          <w:color w:val="000000"/>
          <w:szCs w:val="20"/>
        </w:rPr>
        <w:t xml:space="preserve">, та </w:t>
      </w:r>
      <w:proofErr w:type="spellStart"/>
      <w:r w:rsidRPr="00E16672">
        <w:rPr>
          <w:rFonts w:ascii="Times New Roman" w:eastAsia="Arial Unicode MS" w:hAnsi="Times New Roman"/>
          <w:color w:val="000000"/>
          <w:szCs w:val="20"/>
        </w:rPr>
        <w:t>щодо</w:t>
      </w:r>
      <w:proofErr w:type="spellEnd"/>
      <w:r w:rsidRPr="00E16672">
        <w:rPr>
          <w:rFonts w:ascii="Times New Roman" w:eastAsia="Arial Unicode MS" w:hAnsi="Times New Roman"/>
          <w:color w:val="000000"/>
          <w:szCs w:val="20"/>
        </w:rPr>
        <w:t xml:space="preserve"> </w:t>
      </w:r>
      <w:proofErr w:type="spellStart"/>
      <w:r w:rsidRPr="00E16672">
        <w:rPr>
          <w:rFonts w:ascii="Times New Roman" w:eastAsia="Arial Unicode MS" w:hAnsi="Times New Roman"/>
          <w:color w:val="000000"/>
          <w:szCs w:val="20"/>
        </w:rPr>
        <w:t>яких</w:t>
      </w:r>
      <w:proofErr w:type="spellEnd"/>
      <w:r w:rsidRPr="00E16672">
        <w:rPr>
          <w:rFonts w:ascii="Times New Roman" w:eastAsia="Arial Unicode MS" w:hAnsi="Times New Roman"/>
          <w:color w:val="000000"/>
          <w:szCs w:val="20"/>
        </w:rPr>
        <w:t xml:space="preserve"> до </w:t>
      </w:r>
      <w:proofErr w:type="spellStart"/>
      <w:r w:rsidRPr="00E16672">
        <w:rPr>
          <w:rFonts w:ascii="Times New Roman" w:eastAsia="Arial Unicode MS" w:hAnsi="Times New Roman"/>
          <w:color w:val="000000"/>
          <w:szCs w:val="20"/>
        </w:rPr>
        <w:t>Депозитарної</w:t>
      </w:r>
      <w:proofErr w:type="spellEnd"/>
      <w:r w:rsidRPr="00E16672">
        <w:rPr>
          <w:rFonts w:ascii="Times New Roman" w:eastAsia="Arial Unicode MS" w:hAnsi="Times New Roman"/>
          <w:color w:val="000000"/>
          <w:szCs w:val="20"/>
        </w:rPr>
        <w:t xml:space="preserve"> установи </w:t>
      </w:r>
      <w:proofErr w:type="spellStart"/>
      <w:r w:rsidRPr="00E16672">
        <w:rPr>
          <w:rFonts w:ascii="Times New Roman" w:eastAsia="Arial Unicode MS" w:hAnsi="Times New Roman"/>
          <w:color w:val="000000"/>
          <w:szCs w:val="20"/>
        </w:rPr>
        <w:t>надано</w:t>
      </w:r>
      <w:proofErr w:type="spellEnd"/>
      <w:r w:rsidRPr="00E16672">
        <w:rPr>
          <w:rFonts w:ascii="Times New Roman" w:eastAsia="Arial Unicode MS" w:hAnsi="Times New Roman"/>
          <w:color w:val="000000"/>
          <w:szCs w:val="20"/>
        </w:rPr>
        <w:t xml:space="preserve"> </w:t>
      </w:r>
      <w:proofErr w:type="spellStart"/>
      <w:r w:rsidRPr="00E16672">
        <w:rPr>
          <w:rFonts w:ascii="Times New Roman" w:eastAsia="Arial Unicode MS" w:hAnsi="Times New Roman"/>
          <w:color w:val="000000"/>
          <w:szCs w:val="20"/>
        </w:rPr>
        <w:t>відповідну</w:t>
      </w:r>
      <w:proofErr w:type="spellEnd"/>
      <w:r w:rsidRPr="00E16672">
        <w:rPr>
          <w:rFonts w:ascii="Times New Roman" w:eastAsia="Arial Unicode MS" w:hAnsi="Times New Roman"/>
          <w:color w:val="000000"/>
          <w:szCs w:val="20"/>
        </w:rPr>
        <w:t xml:space="preserve"> </w:t>
      </w:r>
      <w:proofErr w:type="spellStart"/>
      <w:r w:rsidRPr="00E16672">
        <w:rPr>
          <w:rFonts w:ascii="Times New Roman" w:eastAsia="Arial Unicode MS" w:hAnsi="Times New Roman"/>
          <w:color w:val="000000"/>
          <w:szCs w:val="20"/>
        </w:rPr>
        <w:t>картку</w:t>
      </w:r>
      <w:proofErr w:type="spellEnd"/>
      <w:r w:rsidRPr="00E16672">
        <w:rPr>
          <w:rFonts w:ascii="Times New Roman" w:eastAsia="Arial Unicode MS" w:hAnsi="Times New Roman"/>
          <w:color w:val="000000"/>
          <w:szCs w:val="20"/>
        </w:rPr>
        <w:t xml:space="preserve"> </w:t>
      </w:r>
      <w:proofErr w:type="spellStart"/>
      <w:r w:rsidRPr="00E16672">
        <w:rPr>
          <w:rFonts w:ascii="Times New Roman" w:eastAsia="Arial Unicode MS" w:hAnsi="Times New Roman"/>
          <w:color w:val="000000"/>
          <w:szCs w:val="20"/>
        </w:rPr>
        <w:t>зразків</w:t>
      </w:r>
      <w:proofErr w:type="spellEnd"/>
      <w:r w:rsidRPr="00E16672">
        <w:rPr>
          <w:rFonts w:ascii="Times New Roman" w:eastAsia="Arial Unicode MS" w:hAnsi="Times New Roman"/>
          <w:color w:val="000000"/>
          <w:szCs w:val="20"/>
        </w:rPr>
        <w:t xml:space="preserve"> </w:t>
      </w:r>
      <w:proofErr w:type="spellStart"/>
      <w:r w:rsidRPr="00E16672">
        <w:rPr>
          <w:rFonts w:ascii="Times New Roman" w:eastAsia="Arial Unicode MS" w:hAnsi="Times New Roman"/>
          <w:color w:val="000000"/>
          <w:szCs w:val="20"/>
        </w:rPr>
        <w:t>підписів</w:t>
      </w:r>
      <w:proofErr w:type="spellEnd"/>
      <w:r w:rsidRPr="00E16672">
        <w:rPr>
          <w:rFonts w:ascii="Times New Roman" w:eastAsia="Arial Unicode MS" w:hAnsi="Times New Roman"/>
          <w:color w:val="000000"/>
          <w:szCs w:val="20"/>
        </w:rPr>
        <w:t xml:space="preserve"> та </w:t>
      </w:r>
      <w:proofErr w:type="spellStart"/>
      <w:r w:rsidRPr="00E16672">
        <w:rPr>
          <w:rFonts w:ascii="Times New Roman" w:eastAsia="Arial Unicode MS" w:hAnsi="Times New Roman"/>
          <w:color w:val="000000"/>
          <w:szCs w:val="20"/>
        </w:rPr>
        <w:t>довіреність</w:t>
      </w:r>
      <w:proofErr w:type="spellEnd"/>
      <w:r w:rsidRPr="00E16672">
        <w:rPr>
          <w:rFonts w:ascii="Times New Roman" w:eastAsia="Arial Unicode MS" w:hAnsi="Times New Roman"/>
          <w:color w:val="000000"/>
          <w:szCs w:val="20"/>
        </w:rPr>
        <w:t>.</w:t>
      </w:r>
    </w:p>
    <w:p w14:paraId="0357AB7D" w14:textId="77777777" w:rsidR="000A5A99" w:rsidRPr="00E16672" w:rsidRDefault="000A5A99" w:rsidP="000A5A99">
      <w:pPr>
        <w:rPr>
          <w:rFonts w:ascii="Times New Roman" w:eastAsia="Arial Unicode MS" w:hAnsi="Times New Roman"/>
          <w:color w:val="000000"/>
          <w:szCs w:val="20"/>
          <w:lang w:val="uk-UA"/>
        </w:rPr>
      </w:pPr>
      <w:r w:rsidRPr="00E16672">
        <w:rPr>
          <w:rFonts w:ascii="Times New Roman" w:eastAsia="Arial Unicode MS" w:hAnsi="Times New Roman"/>
          <w:color w:val="000000"/>
          <w:szCs w:val="20"/>
        </w:rPr>
        <w:t xml:space="preserve">3.5. </w:t>
      </w:r>
      <w:proofErr w:type="spellStart"/>
      <w:r w:rsidRPr="00E16672">
        <w:rPr>
          <w:rFonts w:ascii="Times New Roman" w:eastAsia="Arial Unicode MS" w:hAnsi="Times New Roman"/>
          <w:color w:val="000000"/>
          <w:szCs w:val="20"/>
        </w:rPr>
        <w:t>Депозитарна</w:t>
      </w:r>
      <w:proofErr w:type="spellEnd"/>
      <w:r w:rsidRPr="00E16672">
        <w:rPr>
          <w:rFonts w:ascii="Times New Roman" w:eastAsia="Arial Unicode MS" w:hAnsi="Times New Roman"/>
          <w:color w:val="000000"/>
          <w:szCs w:val="20"/>
        </w:rPr>
        <w:t xml:space="preserve"> </w:t>
      </w:r>
      <w:proofErr w:type="spellStart"/>
      <w:r w:rsidRPr="00E16672">
        <w:rPr>
          <w:rFonts w:ascii="Times New Roman" w:eastAsia="Arial Unicode MS" w:hAnsi="Times New Roman"/>
          <w:color w:val="000000"/>
          <w:szCs w:val="20"/>
        </w:rPr>
        <w:t>установа</w:t>
      </w:r>
      <w:proofErr w:type="spellEnd"/>
      <w:r w:rsidRPr="00E16672">
        <w:rPr>
          <w:rFonts w:ascii="Times New Roman" w:eastAsia="Arial Unicode MS" w:hAnsi="Times New Roman"/>
          <w:color w:val="000000"/>
          <w:szCs w:val="20"/>
        </w:rPr>
        <w:t xml:space="preserve"> </w:t>
      </w:r>
      <w:proofErr w:type="spellStart"/>
      <w:r w:rsidRPr="00E16672">
        <w:rPr>
          <w:rFonts w:ascii="Times New Roman" w:eastAsia="Arial Unicode MS" w:hAnsi="Times New Roman"/>
          <w:color w:val="000000"/>
          <w:szCs w:val="20"/>
        </w:rPr>
        <w:t>приймає</w:t>
      </w:r>
      <w:proofErr w:type="spellEnd"/>
      <w:r w:rsidRPr="00E16672">
        <w:rPr>
          <w:rFonts w:ascii="Times New Roman" w:eastAsia="Arial Unicode MS" w:hAnsi="Times New Roman"/>
          <w:color w:val="000000"/>
          <w:szCs w:val="20"/>
        </w:rPr>
        <w:t xml:space="preserve"> до </w:t>
      </w:r>
      <w:proofErr w:type="spellStart"/>
      <w:r w:rsidRPr="00E16672">
        <w:rPr>
          <w:rFonts w:ascii="Times New Roman" w:eastAsia="Arial Unicode MS" w:hAnsi="Times New Roman"/>
          <w:color w:val="000000"/>
          <w:szCs w:val="20"/>
        </w:rPr>
        <w:t>виконання</w:t>
      </w:r>
      <w:proofErr w:type="spellEnd"/>
      <w:r w:rsidRPr="00E16672">
        <w:rPr>
          <w:rFonts w:ascii="Times New Roman" w:eastAsia="Arial Unicode MS" w:hAnsi="Times New Roman"/>
          <w:color w:val="000000"/>
          <w:szCs w:val="20"/>
        </w:rPr>
        <w:t xml:space="preserve"> </w:t>
      </w:r>
      <w:proofErr w:type="spellStart"/>
      <w:r w:rsidRPr="00E16672">
        <w:rPr>
          <w:rFonts w:ascii="Times New Roman" w:eastAsia="Arial Unicode MS" w:hAnsi="Times New Roman"/>
          <w:color w:val="000000"/>
          <w:szCs w:val="20"/>
        </w:rPr>
        <w:t>тільки</w:t>
      </w:r>
      <w:proofErr w:type="spellEnd"/>
      <w:r w:rsidRPr="00E16672">
        <w:rPr>
          <w:rFonts w:ascii="Times New Roman" w:eastAsia="Arial Unicode MS" w:hAnsi="Times New Roman"/>
          <w:color w:val="000000"/>
          <w:szCs w:val="20"/>
        </w:rPr>
        <w:t xml:space="preserve"> </w:t>
      </w:r>
      <w:proofErr w:type="spellStart"/>
      <w:r w:rsidRPr="00E16672">
        <w:rPr>
          <w:rFonts w:ascii="Times New Roman" w:eastAsia="Arial Unicode MS" w:hAnsi="Times New Roman"/>
          <w:color w:val="000000"/>
          <w:szCs w:val="20"/>
        </w:rPr>
        <w:t>ті</w:t>
      </w:r>
      <w:proofErr w:type="spellEnd"/>
      <w:r w:rsidRPr="00E16672">
        <w:rPr>
          <w:rFonts w:ascii="Times New Roman" w:eastAsia="Arial Unicode MS" w:hAnsi="Times New Roman"/>
          <w:color w:val="000000"/>
          <w:szCs w:val="20"/>
        </w:rPr>
        <w:t xml:space="preserve"> </w:t>
      </w:r>
      <w:proofErr w:type="spellStart"/>
      <w:r w:rsidRPr="00E16672">
        <w:rPr>
          <w:rFonts w:ascii="Times New Roman" w:eastAsia="Arial Unicode MS" w:hAnsi="Times New Roman"/>
          <w:color w:val="000000"/>
          <w:szCs w:val="20"/>
        </w:rPr>
        <w:t>розпорядження</w:t>
      </w:r>
      <w:proofErr w:type="spellEnd"/>
      <w:r w:rsidRPr="00E16672">
        <w:rPr>
          <w:rFonts w:ascii="Times New Roman" w:eastAsia="Arial Unicode MS" w:hAnsi="Times New Roman"/>
          <w:color w:val="000000"/>
          <w:szCs w:val="20"/>
        </w:rPr>
        <w:t xml:space="preserve"> </w:t>
      </w:r>
      <w:proofErr w:type="spellStart"/>
      <w:r w:rsidRPr="00E16672">
        <w:rPr>
          <w:rFonts w:ascii="Times New Roman" w:eastAsia="Arial Unicode MS" w:hAnsi="Times New Roman"/>
          <w:color w:val="000000"/>
          <w:szCs w:val="20"/>
        </w:rPr>
        <w:t>Емітента</w:t>
      </w:r>
      <w:proofErr w:type="spellEnd"/>
      <w:r w:rsidRPr="00E16672">
        <w:rPr>
          <w:rFonts w:ascii="Times New Roman" w:eastAsia="Arial Unicode MS" w:hAnsi="Times New Roman"/>
          <w:color w:val="000000"/>
          <w:szCs w:val="20"/>
        </w:rPr>
        <w:t xml:space="preserve">, </w:t>
      </w:r>
      <w:proofErr w:type="spellStart"/>
      <w:r w:rsidRPr="00E16672">
        <w:rPr>
          <w:rFonts w:ascii="Times New Roman" w:eastAsia="Arial Unicode MS" w:hAnsi="Times New Roman"/>
          <w:color w:val="000000"/>
          <w:szCs w:val="20"/>
        </w:rPr>
        <w:t>які</w:t>
      </w:r>
      <w:proofErr w:type="spellEnd"/>
      <w:r w:rsidRPr="00E16672">
        <w:rPr>
          <w:rFonts w:ascii="Times New Roman" w:eastAsia="Arial Unicode MS" w:hAnsi="Times New Roman"/>
          <w:color w:val="000000"/>
          <w:szCs w:val="20"/>
        </w:rPr>
        <w:t xml:space="preserve"> </w:t>
      </w:r>
      <w:proofErr w:type="spellStart"/>
      <w:r w:rsidRPr="00E16672">
        <w:rPr>
          <w:rFonts w:ascii="Times New Roman" w:eastAsia="Arial Unicode MS" w:hAnsi="Times New Roman"/>
          <w:color w:val="000000"/>
          <w:szCs w:val="20"/>
        </w:rPr>
        <w:t>підтверджені</w:t>
      </w:r>
      <w:proofErr w:type="spellEnd"/>
      <w:r w:rsidRPr="00E16672">
        <w:rPr>
          <w:rFonts w:ascii="Times New Roman" w:eastAsia="Arial Unicode MS" w:hAnsi="Times New Roman"/>
          <w:color w:val="000000"/>
          <w:szCs w:val="20"/>
        </w:rPr>
        <w:t xml:space="preserve"> </w:t>
      </w:r>
      <w:proofErr w:type="spellStart"/>
      <w:r w:rsidRPr="00E16672">
        <w:rPr>
          <w:rFonts w:ascii="Times New Roman" w:eastAsia="Arial Unicode MS" w:hAnsi="Times New Roman"/>
          <w:color w:val="000000"/>
          <w:szCs w:val="20"/>
        </w:rPr>
        <w:t>підписом</w:t>
      </w:r>
      <w:proofErr w:type="spellEnd"/>
      <w:r w:rsidRPr="00E16672">
        <w:rPr>
          <w:rFonts w:ascii="Times New Roman" w:eastAsia="Arial Unicode MS" w:hAnsi="Times New Roman"/>
          <w:color w:val="000000"/>
          <w:szCs w:val="20"/>
        </w:rPr>
        <w:t xml:space="preserve"> </w:t>
      </w:r>
      <w:proofErr w:type="spellStart"/>
      <w:r w:rsidRPr="00E16672">
        <w:rPr>
          <w:rFonts w:ascii="Times New Roman" w:eastAsia="Arial Unicode MS" w:hAnsi="Times New Roman"/>
          <w:color w:val="000000"/>
          <w:szCs w:val="20"/>
        </w:rPr>
        <w:t>Уповноваженої</w:t>
      </w:r>
      <w:proofErr w:type="spellEnd"/>
      <w:r w:rsidRPr="00E16672">
        <w:rPr>
          <w:rFonts w:ascii="Times New Roman" w:eastAsia="Arial Unicode MS" w:hAnsi="Times New Roman"/>
          <w:color w:val="000000"/>
          <w:szCs w:val="20"/>
        </w:rPr>
        <w:t xml:space="preserve"> особи </w:t>
      </w:r>
      <w:proofErr w:type="spellStart"/>
      <w:r w:rsidRPr="00E16672">
        <w:rPr>
          <w:rFonts w:ascii="Times New Roman" w:eastAsia="Arial Unicode MS" w:hAnsi="Times New Roman"/>
          <w:color w:val="000000"/>
          <w:szCs w:val="20"/>
        </w:rPr>
        <w:t>Емітента</w:t>
      </w:r>
      <w:proofErr w:type="spellEnd"/>
      <w:r w:rsidRPr="00E16672">
        <w:rPr>
          <w:rFonts w:ascii="Times New Roman" w:eastAsia="Arial Unicode MS" w:hAnsi="Times New Roman"/>
          <w:color w:val="000000"/>
          <w:szCs w:val="20"/>
        </w:rPr>
        <w:t xml:space="preserve"> та </w:t>
      </w:r>
      <w:proofErr w:type="spellStart"/>
      <w:r w:rsidRPr="00E16672">
        <w:rPr>
          <w:rFonts w:ascii="Times New Roman" w:eastAsia="Arial Unicode MS" w:hAnsi="Times New Roman"/>
          <w:color w:val="000000"/>
          <w:szCs w:val="20"/>
        </w:rPr>
        <w:t>засвідчені</w:t>
      </w:r>
      <w:proofErr w:type="spellEnd"/>
      <w:r w:rsidRPr="00E16672">
        <w:rPr>
          <w:rFonts w:ascii="Times New Roman" w:eastAsia="Arial Unicode MS" w:hAnsi="Times New Roman"/>
          <w:color w:val="000000"/>
          <w:szCs w:val="20"/>
        </w:rPr>
        <w:t xml:space="preserve"> </w:t>
      </w:r>
      <w:proofErr w:type="spellStart"/>
      <w:r w:rsidRPr="00E16672">
        <w:rPr>
          <w:rFonts w:ascii="Times New Roman" w:eastAsia="Arial Unicode MS" w:hAnsi="Times New Roman"/>
          <w:color w:val="000000"/>
          <w:szCs w:val="20"/>
        </w:rPr>
        <w:t>печаткою</w:t>
      </w:r>
      <w:proofErr w:type="spellEnd"/>
      <w:r w:rsidRPr="00E16672">
        <w:rPr>
          <w:rFonts w:ascii="Times New Roman" w:eastAsia="Arial Unicode MS" w:hAnsi="Times New Roman"/>
          <w:color w:val="000000"/>
          <w:szCs w:val="20"/>
        </w:rPr>
        <w:t xml:space="preserve"> </w:t>
      </w:r>
      <w:proofErr w:type="spellStart"/>
      <w:r w:rsidRPr="00E16672">
        <w:rPr>
          <w:rFonts w:ascii="Times New Roman" w:eastAsia="Arial Unicode MS" w:hAnsi="Times New Roman"/>
          <w:color w:val="000000"/>
          <w:szCs w:val="20"/>
        </w:rPr>
        <w:t>Емітента</w:t>
      </w:r>
      <w:proofErr w:type="spellEnd"/>
      <w:r w:rsidRPr="00E16672">
        <w:rPr>
          <w:rFonts w:ascii="Times New Roman" w:eastAsia="Arial Unicode MS" w:hAnsi="Times New Roman"/>
          <w:color w:val="000000"/>
          <w:szCs w:val="20"/>
        </w:rPr>
        <w:t xml:space="preserve"> (</w:t>
      </w:r>
      <w:r w:rsidR="003352AE" w:rsidRPr="00E16672">
        <w:rPr>
          <w:rFonts w:ascii="Times New Roman" w:eastAsia="Arial Unicode MS" w:hAnsi="Times New Roman"/>
          <w:color w:val="000000"/>
          <w:szCs w:val="20"/>
        </w:rPr>
        <w:t xml:space="preserve">у </w:t>
      </w:r>
      <w:proofErr w:type="spellStart"/>
      <w:r w:rsidR="003352AE" w:rsidRPr="00E16672">
        <w:rPr>
          <w:rFonts w:ascii="Times New Roman" w:eastAsia="Arial Unicode MS" w:hAnsi="Times New Roman"/>
          <w:color w:val="000000"/>
          <w:szCs w:val="20"/>
        </w:rPr>
        <w:t>разі</w:t>
      </w:r>
      <w:proofErr w:type="spellEnd"/>
      <w:r w:rsidR="003352AE" w:rsidRPr="00E16672">
        <w:rPr>
          <w:rFonts w:ascii="Times New Roman" w:eastAsia="Arial Unicode MS" w:hAnsi="Times New Roman"/>
          <w:color w:val="000000"/>
          <w:szCs w:val="20"/>
        </w:rPr>
        <w:t xml:space="preserve"> </w:t>
      </w:r>
      <w:proofErr w:type="spellStart"/>
      <w:r w:rsidR="003352AE" w:rsidRPr="00E16672">
        <w:rPr>
          <w:rFonts w:ascii="Times New Roman" w:eastAsia="Arial Unicode MS" w:hAnsi="Times New Roman"/>
          <w:color w:val="000000"/>
          <w:szCs w:val="20"/>
        </w:rPr>
        <w:t>використання</w:t>
      </w:r>
      <w:proofErr w:type="spellEnd"/>
      <w:r w:rsidRPr="00E16672">
        <w:rPr>
          <w:rFonts w:ascii="Times New Roman" w:eastAsia="Arial Unicode MS" w:hAnsi="Times New Roman"/>
          <w:color w:val="000000"/>
          <w:szCs w:val="20"/>
        </w:rPr>
        <w:t xml:space="preserve">). </w:t>
      </w:r>
      <w:proofErr w:type="spellStart"/>
      <w:r w:rsidRPr="00E16672">
        <w:rPr>
          <w:rFonts w:ascii="Times New Roman" w:eastAsia="Arial Unicode MS" w:hAnsi="Times New Roman"/>
          <w:color w:val="000000"/>
          <w:szCs w:val="20"/>
        </w:rPr>
        <w:t>Достовірність</w:t>
      </w:r>
      <w:proofErr w:type="spellEnd"/>
      <w:r w:rsidRPr="00E16672">
        <w:rPr>
          <w:rFonts w:ascii="Times New Roman" w:eastAsia="Arial Unicode MS" w:hAnsi="Times New Roman"/>
          <w:color w:val="000000"/>
          <w:szCs w:val="20"/>
        </w:rPr>
        <w:t xml:space="preserve"> </w:t>
      </w:r>
      <w:proofErr w:type="spellStart"/>
      <w:r w:rsidRPr="00E16672">
        <w:rPr>
          <w:rFonts w:ascii="Times New Roman" w:eastAsia="Arial Unicode MS" w:hAnsi="Times New Roman"/>
          <w:color w:val="000000"/>
          <w:szCs w:val="20"/>
        </w:rPr>
        <w:t>підписів</w:t>
      </w:r>
      <w:proofErr w:type="spellEnd"/>
      <w:r w:rsidRPr="00E16672">
        <w:rPr>
          <w:rFonts w:ascii="Times New Roman" w:eastAsia="Arial Unicode MS" w:hAnsi="Times New Roman"/>
          <w:color w:val="000000"/>
          <w:szCs w:val="20"/>
        </w:rPr>
        <w:t xml:space="preserve"> та </w:t>
      </w:r>
      <w:proofErr w:type="spellStart"/>
      <w:r w:rsidRPr="00E16672">
        <w:rPr>
          <w:rFonts w:ascii="Times New Roman" w:eastAsia="Arial Unicode MS" w:hAnsi="Times New Roman"/>
          <w:color w:val="000000"/>
          <w:szCs w:val="20"/>
        </w:rPr>
        <w:t>відбитків</w:t>
      </w:r>
      <w:proofErr w:type="spellEnd"/>
      <w:r w:rsidRPr="00E16672">
        <w:rPr>
          <w:rFonts w:ascii="Times New Roman" w:eastAsia="Arial Unicode MS" w:hAnsi="Times New Roman"/>
          <w:color w:val="000000"/>
          <w:szCs w:val="20"/>
        </w:rPr>
        <w:t xml:space="preserve"> печатки на </w:t>
      </w:r>
      <w:proofErr w:type="spellStart"/>
      <w:r w:rsidRPr="00E16672">
        <w:rPr>
          <w:rFonts w:ascii="Times New Roman" w:eastAsia="Arial Unicode MS" w:hAnsi="Times New Roman"/>
          <w:color w:val="000000"/>
          <w:szCs w:val="20"/>
        </w:rPr>
        <w:t>розпорядженнях</w:t>
      </w:r>
      <w:proofErr w:type="spellEnd"/>
      <w:r w:rsidRPr="00E16672">
        <w:rPr>
          <w:rFonts w:ascii="Times New Roman" w:eastAsia="Arial Unicode MS" w:hAnsi="Times New Roman"/>
          <w:color w:val="000000"/>
          <w:szCs w:val="20"/>
        </w:rPr>
        <w:t xml:space="preserve"> </w:t>
      </w:r>
      <w:proofErr w:type="spellStart"/>
      <w:r w:rsidRPr="00E16672">
        <w:rPr>
          <w:rFonts w:ascii="Times New Roman" w:eastAsia="Arial Unicode MS" w:hAnsi="Times New Roman"/>
          <w:color w:val="000000"/>
          <w:szCs w:val="20"/>
        </w:rPr>
        <w:t>підтверджується</w:t>
      </w:r>
      <w:proofErr w:type="spellEnd"/>
      <w:r w:rsidRPr="00E16672">
        <w:rPr>
          <w:rFonts w:ascii="Times New Roman" w:eastAsia="Arial Unicode MS" w:hAnsi="Times New Roman"/>
          <w:color w:val="000000"/>
          <w:szCs w:val="20"/>
        </w:rPr>
        <w:t xml:space="preserve"> шляхом </w:t>
      </w:r>
      <w:proofErr w:type="spellStart"/>
      <w:r w:rsidRPr="00E16672">
        <w:rPr>
          <w:rFonts w:ascii="Times New Roman" w:eastAsia="Arial Unicode MS" w:hAnsi="Times New Roman"/>
          <w:color w:val="000000"/>
          <w:szCs w:val="20"/>
        </w:rPr>
        <w:t>зіставлення</w:t>
      </w:r>
      <w:proofErr w:type="spellEnd"/>
      <w:r w:rsidRPr="00E16672">
        <w:rPr>
          <w:rFonts w:ascii="Times New Roman" w:eastAsia="Arial Unicode MS" w:hAnsi="Times New Roman"/>
          <w:color w:val="000000"/>
          <w:szCs w:val="20"/>
        </w:rPr>
        <w:t xml:space="preserve"> </w:t>
      </w:r>
      <w:proofErr w:type="spellStart"/>
      <w:r w:rsidRPr="00E16672">
        <w:rPr>
          <w:rFonts w:ascii="Times New Roman" w:eastAsia="Arial Unicode MS" w:hAnsi="Times New Roman"/>
          <w:color w:val="000000"/>
          <w:szCs w:val="20"/>
        </w:rPr>
        <w:t>підписів</w:t>
      </w:r>
      <w:proofErr w:type="spellEnd"/>
      <w:r w:rsidRPr="00E16672">
        <w:rPr>
          <w:rFonts w:ascii="Times New Roman" w:eastAsia="Arial Unicode MS" w:hAnsi="Times New Roman"/>
          <w:color w:val="000000"/>
          <w:szCs w:val="20"/>
        </w:rPr>
        <w:t xml:space="preserve"> і </w:t>
      </w:r>
      <w:proofErr w:type="spellStart"/>
      <w:r w:rsidRPr="00E16672">
        <w:rPr>
          <w:rFonts w:ascii="Times New Roman" w:eastAsia="Arial Unicode MS" w:hAnsi="Times New Roman"/>
          <w:color w:val="000000"/>
          <w:szCs w:val="20"/>
        </w:rPr>
        <w:t>відбитка</w:t>
      </w:r>
      <w:proofErr w:type="spellEnd"/>
      <w:r w:rsidRPr="00E16672">
        <w:rPr>
          <w:rFonts w:ascii="Times New Roman" w:eastAsia="Arial Unicode MS" w:hAnsi="Times New Roman"/>
          <w:color w:val="000000"/>
          <w:szCs w:val="20"/>
        </w:rPr>
        <w:t xml:space="preserve"> печатки у </w:t>
      </w:r>
      <w:proofErr w:type="spellStart"/>
      <w:r w:rsidRPr="00E16672">
        <w:rPr>
          <w:rFonts w:ascii="Times New Roman" w:eastAsia="Arial Unicode MS" w:hAnsi="Times New Roman"/>
          <w:color w:val="000000"/>
          <w:szCs w:val="20"/>
        </w:rPr>
        <w:t>розпорядженні</w:t>
      </w:r>
      <w:proofErr w:type="spellEnd"/>
      <w:r w:rsidRPr="00E16672">
        <w:rPr>
          <w:rFonts w:ascii="Times New Roman" w:eastAsia="Arial Unicode MS" w:hAnsi="Times New Roman"/>
          <w:color w:val="000000"/>
          <w:szCs w:val="20"/>
        </w:rPr>
        <w:t xml:space="preserve"> </w:t>
      </w:r>
      <w:proofErr w:type="spellStart"/>
      <w:r w:rsidRPr="00E16672">
        <w:rPr>
          <w:rFonts w:ascii="Times New Roman" w:eastAsia="Arial Unicode MS" w:hAnsi="Times New Roman"/>
          <w:color w:val="000000"/>
          <w:szCs w:val="20"/>
        </w:rPr>
        <w:t>зі</w:t>
      </w:r>
      <w:proofErr w:type="spellEnd"/>
      <w:r w:rsidRPr="00E16672">
        <w:rPr>
          <w:rFonts w:ascii="Times New Roman" w:eastAsia="Arial Unicode MS" w:hAnsi="Times New Roman"/>
          <w:color w:val="000000"/>
          <w:szCs w:val="20"/>
        </w:rPr>
        <w:t xml:space="preserve"> </w:t>
      </w:r>
      <w:proofErr w:type="spellStart"/>
      <w:r w:rsidRPr="00E16672">
        <w:rPr>
          <w:rFonts w:ascii="Times New Roman" w:eastAsia="Arial Unicode MS" w:hAnsi="Times New Roman"/>
          <w:color w:val="000000"/>
          <w:szCs w:val="20"/>
        </w:rPr>
        <w:t>зразками</w:t>
      </w:r>
      <w:proofErr w:type="spellEnd"/>
      <w:r w:rsidRPr="00E16672">
        <w:rPr>
          <w:rFonts w:ascii="Times New Roman" w:eastAsia="Arial Unicode MS" w:hAnsi="Times New Roman"/>
          <w:color w:val="000000"/>
          <w:szCs w:val="20"/>
        </w:rPr>
        <w:t xml:space="preserve"> </w:t>
      </w:r>
      <w:proofErr w:type="spellStart"/>
      <w:r w:rsidRPr="00E16672">
        <w:rPr>
          <w:rFonts w:ascii="Times New Roman" w:eastAsia="Arial Unicode MS" w:hAnsi="Times New Roman"/>
          <w:color w:val="000000"/>
          <w:szCs w:val="20"/>
        </w:rPr>
        <w:t>підписів</w:t>
      </w:r>
      <w:proofErr w:type="spellEnd"/>
      <w:r w:rsidRPr="00E16672">
        <w:rPr>
          <w:rFonts w:ascii="Times New Roman" w:eastAsia="Arial Unicode MS" w:hAnsi="Times New Roman"/>
          <w:color w:val="000000"/>
          <w:szCs w:val="20"/>
        </w:rPr>
        <w:t xml:space="preserve"> та </w:t>
      </w:r>
      <w:proofErr w:type="spellStart"/>
      <w:r w:rsidRPr="00E16672">
        <w:rPr>
          <w:rFonts w:ascii="Times New Roman" w:eastAsia="Arial Unicode MS" w:hAnsi="Times New Roman"/>
          <w:color w:val="000000"/>
          <w:szCs w:val="20"/>
        </w:rPr>
        <w:t>відбитком</w:t>
      </w:r>
      <w:proofErr w:type="spellEnd"/>
      <w:r w:rsidRPr="00E16672">
        <w:rPr>
          <w:rFonts w:ascii="Times New Roman" w:eastAsia="Arial Unicode MS" w:hAnsi="Times New Roman"/>
          <w:color w:val="000000"/>
          <w:szCs w:val="20"/>
        </w:rPr>
        <w:t xml:space="preserve"> печатки у </w:t>
      </w:r>
      <w:proofErr w:type="spellStart"/>
      <w:r w:rsidRPr="00E16672">
        <w:rPr>
          <w:rFonts w:ascii="Times New Roman" w:eastAsia="Arial Unicode MS" w:hAnsi="Times New Roman"/>
          <w:color w:val="000000"/>
          <w:szCs w:val="20"/>
        </w:rPr>
        <w:t>картці</w:t>
      </w:r>
      <w:proofErr w:type="spellEnd"/>
      <w:r w:rsidRPr="00E16672">
        <w:rPr>
          <w:rFonts w:ascii="Times New Roman" w:eastAsia="Arial Unicode MS" w:hAnsi="Times New Roman"/>
          <w:color w:val="000000"/>
          <w:szCs w:val="20"/>
        </w:rPr>
        <w:t xml:space="preserve"> </w:t>
      </w:r>
      <w:proofErr w:type="spellStart"/>
      <w:r w:rsidRPr="00E16672">
        <w:rPr>
          <w:rFonts w:ascii="Times New Roman" w:eastAsia="Arial Unicode MS" w:hAnsi="Times New Roman"/>
          <w:color w:val="000000"/>
          <w:szCs w:val="20"/>
        </w:rPr>
        <w:t>Емітента</w:t>
      </w:r>
      <w:proofErr w:type="spellEnd"/>
      <w:r w:rsidRPr="00E16672">
        <w:rPr>
          <w:rFonts w:ascii="Times New Roman" w:eastAsia="Arial Unicode MS" w:hAnsi="Times New Roman"/>
          <w:color w:val="000000"/>
          <w:szCs w:val="20"/>
        </w:rPr>
        <w:t xml:space="preserve">. </w:t>
      </w:r>
    </w:p>
    <w:p w14:paraId="555A91EE" w14:textId="77777777" w:rsidR="000A5A99" w:rsidRPr="00E16672" w:rsidRDefault="000A5A99" w:rsidP="000A5A99">
      <w:pPr>
        <w:rPr>
          <w:rFonts w:ascii="Times New Roman" w:eastAsia="Arial Unicode MS" w:hAnsi="Times New Roman"/>
          <w:color w:val="000000"/>
          <w:szCs w:val="20"/>
        </w:rPr>
      </w:pPr>
      <w:r w:rsidRPr="00E16672">
        <w:rPr>
          <w:rFonts w:ascii="Times New Roman" w:eastAsia="Arial Unicode MS" w:hAnsi="Times New Roman"/>
          <w:color w:val="000000"/>
          <w:szCs w:val="20"/>
        </w:rPr>
        <w:t xml:space="preserve">3.6. </w:t>
      </w:r>
      <w:proofErr w:type="spellStart"/>
      <w:r w:rsidRPr="00E16672">
        <w:rPr>
          <w:rFonts w:ascii="Times New Roman" w:eastAsia="Arial Unicode MS" w:hAnsi="Times New Roman"/>
          <w:color w:val="000000"/>
          <w:szCs w:val="20"/>
        </w:rPr>
        <w:t>Розпорядження</w:t>
      </w:r>
      <w:proofErr w:type="spellEnd"/>
      <w:r w:rsidRPr="00E16672">
        <w:rPr>
          <w:rFonts w:ascii="Times New Roman" w:eastAsia="Arial Unicode MS" w:hAnsi="Times New Roman"/>
          <w:color w:val="000000"/>
          <w:szCs w:val="20"/>
        </w:rPr>
        <w:t xml:space="preserve"> </w:t>
      </w:r>
      <w:proofErr w:type="spellStart"/>
      <w:r w:rsidRPr="00E16672">
        <w:rPr>
          <w:rFonts w:ascii="Times New Roman" w:eastAsia="Arial Unicode MS" w:hAnsi="Times New Roman"/>
          <w:color w:val="000000"/>
          <w:szCs w:val="20"/>
        </w:rPr>
        <w:t>повинні</w:t>
      </w:r>
      <w:proofErr w:type="spellEnd"/>
      <w:r w:rsidRPr="00E16672">
        <w:rPr>
          <w:rFonts w:ascii="Times New Roman" w:eastAsia="Arial Unicode MS" w:hAnsi="Times New Roman"/>
          <w:color w:val="000000"/>
          <w:szCs w:val="20"/>
        </w:rPr>
        <w:t xml:space="preserve"> бути </w:t>
      </w:r>
      <w:proofErr w:type="spellStart"/>
      <w:r w:rsidRPr="00E16672">
        <w:rPr>
          <w:rFonts w:ascii="Times New Roman" w:eastAsia="Arial Unicode MS" w:hAnsi="Times New Roman"/>
          <w:color w:val="000000"/>
          <w:szCs w:val="20"/>
        </w:rPr>
        <w:t>надані</w:t>
      </w:r>
      <w:proofErr w:type="spellEnd"/>
      <w:r w:rsidRPr="00E16672">
        <w:rPr>
          <w:rFonts w:ascii="Times New Roman" w:eastAsia="Arial Unicode MS" w:hAnsi="Times New Roman"/>
          <w:color w:val="000000"/>
          <w:szCs w:val="20"/>
        </w:rPr>
        <w:t xml:space="preserve"> </w:t>
      </w:r>
      <w:proofErr w:type="spellStart"/>
      <w:r w:rsidRPr="00E16672">
        <w:rPr>
          <w:rFonts w:ascii="Times New Roman" w:eastAsia="Arial Unicode MS" w:hAnsi="Times New Roman"/>
          <w:color w:val="000000"/>
          <w:szCs w:val="20"/>
        </w:rPr>
        <w:t>Депозитарній</w:t>
      </w:r>
      <w:proofErr w:type="spellEnd"/>
      <w:r w:rsidRPr="00E16672">
        <w:rPr>
          <w:rFonts w:ascii="Times New Roman" w:eastAsia="Arial Unicode MS" w:hAnsi="Times New Roman"/>
          <w:color w:val="000000"/>
          <w:szCs w:val="20"/>
        </w:rPr>
        <w:t xml:space="preserve"> </w:t>
      </w:r>
      <w:proofErr w:type="spellStart"/>
      <w:r w:rsidRPr="00E16672">
        <w:rPr>
          <w:rFonts w:ascii="Times New Roman" w:eastAsia="Arial Unicode MS" w:hAnsi="Times New Roman"/>
          <w:color w:val="000000"/>
          <w:szCs w:val="20"/>
        </w:rPr>
        <w:t>установі</w:t>
      </w:r>
      <w:proofErr w:type="spellEnd"/>
      <w:r w:rsidRPr="00E16672">
        <w:rPr>
          <w:rFonts w:ascii="Times New Roman" w:eastAsia="Arial Unicode MS" w:hAnsi="Times New Roman"/>
          <w:color w:val="000000"/>
          <w:szCs w:val="20"/>
        </w:rPr>
        <w:t xml:space="preserve"> без </w:t>
      </w:r>
      <w:proofErr w:type="spellStart"/>
      <w:r w:rsidRPr="00E16672">
        <w:rPr>
          <w:rFonts w:ascii="Times New Roman" w:eastAsia="Arial Unicode MS" w:hAnsi="Times New Roman"/>
          <w:color w:val="000000"/>
          <w:szCs w:val="20"/>
        </w:rPr>
        <w:t>перекручування</w:t>
      </w:r>
      <w:proofErr w:type="spellEnd"/>
      <w:r w:rsidRPr="00E16672">
        <w:rPr>
          <w:rFonts w:ascii="Times New Roman" w:eastAsia="Arial Unicode MS" w:hAnsi="Times New Roman"/>
          <w:color w:val="000000"/>
          <w:szCs w:val="20"/>
        </w:rPr>
        <w:t xml:space="preserve"> та </w:t>
      </w:r>
      <w:proofErr w:type="spellStart"/>
      <w:r w:rsidRPr="00E16672">
        <w:rPr>
          <w:rFonts w:ascii="Times New Roman" w:eastAsia="Arial Unicode MS" w:hAnsi="Times New Roman"/>
          <w:color w:val="000000"/>
          <w:szCs w:val="20"/>
        </w:rPr>
        <w:t>виправлення</w:t>
      </w:r>
      <w:proofErr w:type="spellEnd"/>
      <w:r w:rsidRPr="00E16672">
        <w:rPr>
          <w:rFonts w:ascii="Times New Roman" w:eastAsia="Arial Unicode MS" w:hAnsi="Times New Roman"/>
          <w:color w:val="000000"/>
          <w:szCs w:val="20"/>
        </w:rPr>
        <w:t xml:space="preserve"> тексту, з </w:t>
      </w:r>
      <w:proofErr w:type="spellStart"/>
      <w:r w:rsidRPr="00E16672">
        <w:rPr>
          <w:rFonts w:ascii="Times New Roman" w:eastAsia="Arial Unicode MS" w:hAnsi="Times New Roman"/>
          <w:color w:val="000000"/>
          <w:szCs w:val="20"/>
        </w:rPr>
        <w:t>чітким</w:t>
      </w:r>
      <w:proofErr w:type="spellEnd"/>
      <w:r w:rsidRPr="00E16672">
        <w:rPr>
          <w:rFonts w:ascii="Times New Roman" w:eastAsia="Arial Unicode MS" w:hAnsi="Times New Roman"/>
          <w:color w:val="000000"/>
          <w:szCs w:val="20"/>
        </w:rPr>
        <w:t xml:space="preserve"> </w:t>
      </w:r>
      <w:proofErr w:type="spellStart"/>
      <w:r w:rsidRPr="00E16672">
        <w:rPr>
          <w:rFonts w:ascii="Times New Roman" w:eastAsia="Arial Unicode MS" w:hAnsi="Times New Roman"/>
          <w:color w:val="000000"/>
          <w:szCs w:val="20"/>
        </w:rPr>
        <w:t>відбитком</w:t>
      </w:r>
      <w:proofErr w:type="spellEnd"/>
      <w:r w:rsidRPr="00E16672">
        <w:rPr>
          <w:rFonts w:ascii="Times New Roman" w:eastAsia="Arial Unicode MS" w:hAnsi="Times New Roman"/>
          <w:color w:val="000000"/>
          <w:szCs w:val="20"/>
        </w:rPr>
        <w:t xml:space="preserve"> печатки за </w:t>
      </w:r>
      <w:proofErr w:type="spellStart"/>
      <w:r w:rsidRPr="00E16672">
        <w:rPr>
          <w:rFonts w:ascii="Times New Roman" w:eastAsia="Arial Unicode MS" w:hAnsi="Times New Roman"/>
          <w:color w:val="000000"/>
          <w:szCs w:val="20"/>
        </w:rPr>
        <w:t>підписом</w:t>
      </w:r>
      <w:proofErr w:type="spellEnd"/>
      <w:r w:rsidRPr="00E16672">
        <w:rPr>
          <w:rFonts w:ascii="Times New Roman" w:eastAsia="Arial Unicode MS" w:hAnsi="Times New Roman"/>
          <w:color w:val="000000"/>
          <w:szCs w:val="20"/>
        </w:rPr>
        <w:t xml:space="preserve"> </w:t>
      </w:r>
      <w:proofErr w:type="spellStart"/>
      <w:r w:rsidRPr="00E16672">
        <w:rPr>
          <w:rFonts w:ascii="Times New Roman" w:eastAsia="Arial Unicode MS" w:hAnsi="Times New Roman"/>
          <w:color w:val="000000"/>
          <w:szCs w:val="20"/>
        </w:rPr>
        <w:t>Уповноваженої</w:t>
      </w:r>
      <w:proofErr w:type="spellEnd"/>
      <w:r w:rsidRPr="00E16672">
        <w:rPr>
          <w:rFonts w:ascii="Times New Roman" w:eastAsia="Arial Unicode MS" w:hAnsi="Times New Roman"/>
          <w:color w:val="000000"/>
          <w:szCs w:val="20"/>
        </w:rPr>
        <w:t xml:space="preserve"> особи </w:t>
      </w:r>
      <w:proofErr w:type="spellStart"/>
      <w:r w:rsidRPr="00E16672">
        <w:rPr>
          <w:rFonts w:ascii="Times New Roman" w:eastAsia="Arial Unicode MS" w:hAnsi="Times New Roman"/>
          <w:color w:val="000000"/>
          <w:szCs w:val="20"/>
        </w:rPr>
        <w:t>Емітента</w:t>
      </w:r>
      <w:proofErr w:type="spellEnd"/>
      <w:r w:rsidRPr="00E16672">
        <w:rPr>
          <w:rFonts w:ascii="Times New Roman" w:eastAsia="Arial Unicode MS" w:hAnsi="Times New Roman"/>
          <w:color w:val="000000"/>
          <w:szCs w:val="20"/>
        </w:rPr>
        <w:t>.</w:t>
      </w:r>
    </w:p>
    <w:p w14:paraId="0E9D4828" w14:textId="77777777" w:rsidR="000A5A99" w:rsidRPr="00E16672" w:rsidRDefault="000A5A99" w:rsidP="000A5A99">
      <w:pPr>
        <w:rPr>
          <w:rFonts w:ascii="Times New Roman" w:eastAsia="Arial Unicode MS" w:hAnsi="Times New Roman"/>
          <w:color w:val="000000"/>
          <w:szCs w:val="20"/>
          <w:lang w:val="uk-UA"/>
        </w:rPr>
      </w:pPr>
      <w:r w:rsidRPr="00E16672">
        <w:rPr>
          <w:rFonts w:ascii="Times New Roman" w:eastAsia="Arial Unicode MS" w:hAnsi="Times New Roman"/>
          <w:color w:val="000000"/>
          <w:szCs w:val="20"/>
          <w:lang w:val="uk-UA"/>
        </w:rPr>
        <w:t>3.7. Розпорядження повинні повністю розкривати зміст виконання операцій з рахунками в цінних паперах та відповідати чинному законодавству України.</w:t>
      </w:r>
    </w:p>
    <w:p w14:paraId="42E5E133" w14:textId="77777777" w:rsidR="000A5A99" w:rsidRPr="00E16672" w:rsidRDefault="000A5A99" w:rsidP="000A5A99">
      <w:pPr>
        <w:rPr>
          <w:rFonts w:ascii="Times New Roman" w:eastAsia="Arial Unicode MS" w:hAnsi="Times New Roman"/>
          <w:color w:val="000000"/>
          <w:szCs w:val="20"/>
          <w:lang w:val="uk-UA"/>
        </w:rPr>
      </w:pPr>
      <w:r w:rsidRPr="00E16672">
        <w:rPr>
          <w:rFonts w:ascii="Times New Roman" w:eastAsia="Arial Unicode MS" w:hAnsi="Times New Roman"/>
          <w:color w:val="000000"/>
          <w:szCs w:val="20"/>
          <w:lang w:val="uk-UA"/>
        </w:rPr>
        <w:t xml:space="preserve">3.8. Розпорядження виконується Депозитарною установою тільки за умови виконання пунктів 3.4. - 3.7 цього договору протягом термінів, встановлених п.2.1.3. цього Договору, Положенням про провадження депозитарної діяльності, Положенням про порядок </w:t>
      </w:r>
      <w:proofErr w:type="spellStart"/>
      <w:r w:rsidRPr="00E16672">
        <w:rPr>
          <w:rFonts w:ascii="Times New Roman" w:eastAsia="Arial Unicode MS" w:hAnsi="Times New Roman"/>
          <w:color w:val="000000"/>
          <w:szCs w:val="20"/>
        </w:rPr>
        <w:t>забезпечення</w:t>
      </w:r>
      <w:proofErr w:type="spellEnd"/>
      <w:r w:rsidRPr="00E16672">
        <w:rPr>
          <w:rFonts w:ascii="Times New Roman" w:eastAsia="Arial Unicode MS" w:hAnsi="Times New Roman"/>
          <w:color w:val="000000"/>
          <w:szCs w:val="20"/>
        </w:rPr>
        <w:t xml:space="preserve"> </w:t>
      </w:r>
      <w:proofErr w:type="spellStart"/>
      <w:r w:rsidRPr="00E16672">
        <w:rPr>
          <w:rFonts w:ascii="Times New Roman" w:eastAsia="Arial Unicode MS" w:hAnsi="Times New Roman"/>
          <w:color w:val="000000"/>
          <w:szCs w:val="20"/>
        </w:rPr>
        <w:t>існування</w:t>
      </w:r>
      <w:proofErr w:type="spellEnd"/>
      <w:r w:rsidRPr="00E16672">
        <w:rPr>
          <w:rFonts w:ascii="Times New Roman" w:eastAsia="Arial Unicode MS" w:hAnsi="Times New Roman"/>
          <w:color w:val="000000"/>
          <w:szCs w:val="20"/>
        </w:rPr>
        <w:t xml:space="preserve"> </w:t>
      </w:r>
      <w:proofErr w:type="spellStart"/>
      <w:r w:rsidRPr="00E16672">
        <w:rPr>
          <w:rFonts w:ascii="Times New Roman" w:eastAsia="Arial Unicode MS" w:hAnsi="Times New Roman"/>
          <w:color w:val="000000"/>
          <w:szCs w:val="20"/>
        </w:rPr>
        <w:t>іменних</w:t>
      </w:r>
      <w:proofErr w:type="spellEnd"/>
      <w:r w:rsidRPr="00E16672">
        <w:rPr>
          <w:rFonts w:ascii="Times New Roman" w:eastAsia="Arial Unicode MS" w:hAnsi="Times New Roman"/>
          <w:color w:val="000000"/>
          <w:szCs w:val="20"/>
        </w:rPr>
        <w:t xml:space="preserve"> </w:t>
      </w:r>
      <w:proofErr w:type="spellStart"/>
      <w:r w:rsidRPr="00E16672">
        <w:rPr>
          <w:rFonts w:ascii="Times New Roman" w:eastAsia="Arial Unicode MS" w:hAnsi="Times New Roman"/>
          <w:color w:val="000000"/>
          <w:szCs w:val="20"/>
        </w:rPr>
        <w:t>цінних</w:t>
      </w:r>
      <w:proofErr w:type="spellEnd"/>
      <w:r w:rsidRPr="00E16672">
        <w:rPr>
          <w:rFonts w:ascii="Times New Roman" w:eastAsia="Arial Unicode MS" w:hAnsi="Times New Roman"/>
          <w:color w:val="000000"/>
          <w:szCs w:val="20"/>
        </w:rPr>
        <w:t xml:space="preserve"> </w:t>
      </w:r>
      <w:proofErr w:type="spellStart"/>
      <w:r w:rsidRPr="00E16672">
        <w:rPr>
          <w:rFonts w:ascii="Times New Roman" w:eastAsia="Arial Unicode MS" w:hAnsi="Times New Roman"/>
          <w:color w:val="000000"/>
          <w:szCs w:val="20"/>
        </w:rPr>
        <w:t>паперів</w:t>
      </w:r>
      <w:proofErr w:type="spellEnd"/>
      <w:r w:rsidRPr="00E16672">
        <w:rPr>
          <w:rFonts w:ascii="Times New Roman" w:eastAsia="Arial Unicode MS" w:hAnsi="Times New Roman"/>
          <w:color w:val="000000"/>
          <w:szCs w:val="20"/>
        </w:rPr>
        <w:t xml:space="preserve"> у </w:t>
      </w:r>
      <w:proofErr w:type="spellStart"/>
      <w:r w:rsidRPr="00E16672">
        <w:rPr>
          <w:rFonts w:ascii="Times New Roman" w:eastAsia="Arial Unicode MS" w:hAnsi="Times New Roman"/>
          <w:color w:val="000000"/>
          <w:szCs w:val="20"/>
        </w:rPr>
        <w:t>бездокументарній</w:t>
      </w:r>
      <w:proofErr w:type="spellEnd"/>
      <w:r w:rsidRPr="00E16672">
        <w:rPr>
          <w:rFonts w:ascii="Times New Roman" w:eastAsia="Arial Unicode MS" w:hAnsi="Times New Roman"/>
          <w:color w:val="000000"/>
          <w:szCs w:val="20"/>
        </w:rPr>
        <w:t xml:space="preserve"> </w:t>
      </w:r>
      <w:proofErr w:type="spellStart"/>
      <w:r w:rsidRPr="00E16672">
        <w:rPr>
          <w:rFonts w:ascii="Times New Roman" w:eastAsia="Arial Unicode MS" w:hAnsi="Times New Roman"/>
          <w:color w:val="000000"/>
          <w:szCs w:val="20"/>
        </w:rPr>
        <w:t>формі</w:t>
      </w:r>
      <w:proofErr w:type="spellEnd"/>
      <w:r w:rsidRPr="00E16672">
        <w:rPr>
          <w:rFonts w:ascii="Times New Roman" w:eastAsia="Arial Unicode MS" w:hAnsi="Times New Roman"/>
          <w:color w:val="000000"/>
          <w:szCs w:val="20"/>
        </w:rPr>
        <w:t xml:space="preserve"> </w:t>
      </w:r>
      <w:r w:rsidRPr="00E16672">
        <w:rPr>
          <w:rFonts w:ascii="Times New Roman" w:eastAsia="Arial Unicode MS" w:hAnsi="Times New Roman"/>
          <w:color w:val="000000"/>
          <w:szCs w:val="20"/>
          <w:lang w:val="uk-UA"/>
        </w:rPr>
        <w:t>та Внутрішнім положенням Депозитарної установи.</w:t>
      </w:r>
    </w:p>
    <w:p w14:paraId="07FD43FD" w14:textId="77777777" w:rsidR="00390DBC" w:rsidRPr="00E16672" w:rsidRDefault="00390DBC" w:rsidP="000A5A99">
      <w:pPr>
        <w:pStyle w:val="1"/>
        <w:widowControl w:val="0"/>
        <w:tabs>
          <w:tab w:val="left" w:pos="0"/>
          <w:tab w:val="left" w:pos="432"/>
        </w:tabs>
        <w:ind w:left="432" w:hanging="432"/>
        <w:rPr>
          <w:rFonts w:ascii="Times New Roman" w:eastAsia="Arial Unicode MS" w:hAnsi="Times New Roman" w:cs="Times New Roman"/>
          <w:color w:val="000000"/>
          <w:sz w:val="20"/>
          <w:lang w:val="uk-UA"/>
        </w:rPr>
      </w:pPr>
    </w:p>
    <w:p w14:paraId="1A25E7F3" w14:textId="77777777" w:rsidR="000A5A99" w:rsidRPr="00E16672" w:rsidRDefault="000A5A99" w:rsidP="000A5A99">
      <w:pPr>
        <w:pStyle w:val="1"/>
        <w:widowControl w:val="0"/>
        <w:tabs>
          <w:tab w:val="left" w:pos="0"/>
          <w:tab w:val="left" w:pos="432"/>
        </w:tabs>
        <w:ind w:left="432" w:hanging="432"/>
        <w:rPr>
          <w:rFonts w:ascii="Times New Roman" w:eastAsia="Arial Unicode MS" w:hAnsi="Times New Roman" w:cs="Times New Roman"/>
          <w:color w:val="000000"/>
          <w:sz w:val="20"/>
          <w:lang w:val="uk-UA"/>
        </w:rPr>
      </w:pPr>
      <w:r w:rsidRPr="00E16672">
        <w:rPr>
          <w:rFonts w:ascii="Times New Roman" w:eastAsia="Arial Unicode MS" w:hAnsi="Times New Roman" w:cs="Times New Roman"/>
          <w:color w:val="000000"/>
          <w:sz w:val="20"/>
          <w:lang w:val="uk-UA"/>
        </w:rPr>
        <w:t>4. ТАРИФИ ТА ПОРЯДОК РОЗРАХУНКІВ ЗА НАДАНІ ПОСЛУГИ</w:t>
      </w:r>
    </w:p>
    <w:p w14:paraId="3B40211B" w14:textId="77777777" w:rsidR="000A5A99" w:rsidRPr="00E16672" w:rsidRDefault="000A5A99" w:rsidP="000A5A99">
      <w:pPr>
        <w:rPr>
          <w:rFonts w:ascii="Times New Roman" w:eastAsia="Arial Unicode MS" w:hAnsi="Times New Roman"/>
          <w:color w:val="000000"/>
          <w:szCs w:val="20"/>
          <w:lang w:val="uk-UA"/>
        </w:rPr>
      </w:pPr>
      <w:r w:rsidRPr="00E16672">
        <w:rPr>
          <w:rFonts w:ascii="Times New Roman" w:eastAsia="Arial Unicode MS" w:hAnsi="Times New Roman"/>
          <w:color w:val="000000"/>
          <w:szCs w:val="20"/>
          <w:lang w:val="uk-UA"/>
        </w:rPr>
        <w:t xml:space="preserve">4.1. </w:t>
      </w:r>
      <w:proofErr w:type="spellStart"/>
      <w:r w:rsidRPr="00E16672">
        <w:rPr>
          <w:rFonts w:ascii="Times New Roman" w:eastAsia="Arial Unicode MS" w:hAnsi="Times New Roman"/>
          <w:color w:val="000000"/>
          <w:szCs w:val="20"/>
        </w:rPr>
        <w:t>Відкриття</w:t>
      </w:r>
      <w:proofErr w:type="spellEnd"/>
      <w:r w:rsidRPr="00E16672">
        <w:rPr>
          <w:rFonts w:ascii="Times New Roman" w:eastAsia="Arial Unicode MS" w:hAnsi="Times New Roman"/>
          <w:color w:val="000000"/>
          <w:szCs w:val="20"/>
        </w:rPr>
        <w:t xml:space="preserve"> та </w:t>
      </w:r>
      <w:proofErr w:type="spellStart"/>
      <w:r w:rsidRPr="00E16672">
        <w:rPr>
          <w:rFonts w:ascii="Times New Roman" w:eastAsia="Arial Unicode MS" w:hAnsi="Times New Roman"/>
          <w:color w:val="000000"/>
          <w:szCs w:val="20"/>
        </w:rPr>
        <w:t>ведення</w:t>
      </w:r>
      <w:proofErr w:type="spellEnd"/>
      <w:r w:rsidRPr="00E16672">
        <w:rPr>
          <w:rFonts w:ascii="Times New Roman" w:eastAsia="Arial Unicode MS" w:hAnsi="Times New Roman"/>
          <w:color w:val="000000"/>
          <w:szCs w:val="20"/>
        </w:rPr>
        <w:t xml:space="preserve"> </w:t>
      </w:r>
      <w:proofErr w:type="spellStart"/>
      <w:r w:rsidRPr="00E16672">
        <w:rPr>
          <w:rFonts w:ascii="Times New Roman" w:eastAsia="Arial Unicode MS" w:hAnsi="Times New Roman"/>
          <w:color w:val="000000"/>
          <w:szCs w:val="20"/>
        </w:rPr>
        <w:t>рахунків</w:t>
      </w:r>
      <w:proofErr w:type="spellEnd"/>
      <w:r w:rsidRPr="00E16672">
        <w:rPr>
          <w:rFonts w:ascii="Times New Roman" w:eastAsia="Arial Unicode MS" w:hAnsi="Times New Roman"/>
          <w:color w:val="000000"/>
          <w:szCs w:val="20"/>
        </w:rPr>
        <w:t xml:space="preserve"> </w:t>
      </w:r>
      <w:r w:rsidR="00C22309" w:rsidRPr="00E16672">
        <w:rPr>
          <w:rFonts w:ascii="Times New Roman" w:eastAsia="Arial Unicode MS" w:hAnsi="Times New Roman"/>
          <w:color w:val="000000"/>
          <w:szCs w:val="20"/>
        </w:rPr>
        <w:t xml:space="preserve">в </w:t>
      </w:r>
      <w:proofErr w:type="spellStart"/>
      <w:r w:rsidR="00C22309" w:rsidRPr="00E16672">
        <w:rPr>
          <w:rFonts w:ascii="Times New Roman" w:eastAsia="Arial Unicode MS" w:hAnsi="Times New Roman"/>
          <w:color w:val="000000"/>
          <w:szCs w:val="20"/>
        </w:rPr>
        <w:t>цін</w:t>
      </w:r>
      <w:r w:rsidRPr="00E16672">
        <w:rPr>
          <w:rFonts w:ascii="Times New Roman" w:eastAsia="Arial Unicode MS" w:hAnsi="Times New Roman"/>
          <w:color w:val="000000"/>
          <w:szCs w:val="20"/>
        </w:rPr>
        <w:t>них</w:t>
      </w:r>
      <w:proofErr w:type="spellEnd"/>
      <w:r w:rsidRPr="00E16672">
        <w:rPr>
          <w:rFonts w:ascii="Times New Roman" w:eastAsia="Arial Unicode MS" w:hAnsi="Times New Roman"/>
          <w:color w:val="000000"/>
          <w:szCs w:val="20"/>
        </w:rPr>
        <w:t xml:space="preserve"> </w:t>
      </w:r>
      <w:proofErr w:type="spellStart"/>
      <w:r w:rsidRPr="00E16672">
        <w:rPr>
          <w:rFonts w:ascii="Times New Roman" w:eastAsia="Arial Unicode MS" w:hAnsi="Times New Roman"/>
          <w:color w:val="000000"/>
          <w:szCs w:val="20"/>
        </w:rPr>
        <w:t>паперах</w:t>
      </w:r>
      <w:proofErr w:type="spellEnd"/>
      <w:r w:rsidRPr="00E16672">
        <w:rPr>
          <w:rFonts w:ascii="Times New Roman" w:eastAsia="Arial Unicode MS" w:hAnsi="Times New Roman"/>
          <w:color w:val="000000"/>
          <w:szCs w:val="20"/>
        </w:rPr>
        <w:t xml:space="preserve"> </w:t>
      </w:r>
      <w:proofErr w:type="spellStart"/>
      <w:r w:rsidRPr="00E16672">
        <w:rPr>
          <w:rFonts w:ascii="Times New Roman" w:eastAsia="Arial Unicode MS" w:hAnsi="Times New Roman"/>
          <w:color w:val="000000"/>
          <w:szCs w:val="20"/>
        </w:rPr>
        <w:t>Власників</w:t>
      </w:r>
      <w:proofErr w:type="spellEnd"/>
      <w:r w:rsidRPr="00E16672">
        <w:rPr>
          <w:rFonts w:ascii="Times New Roman" w:eastAsia="Arial Unicode MS" w:hAnsi="Times New Roman"/>
          <w:color w:val="000000"/>
          <w:szCs w:val="20"/>
        </w:rPr>
        <w:t xml:space="preserve">, </w:t>
      </w:r>
      <w:proofErr w:type="spellStart"/>
      <w:r w:rsidRPr="00E16672">
        <w:rPr>
          <w:rFonts w:ascii="Times New Roman" w:eastAsia="Arial Unicode MS" w:hAnsi="Times New Roman"/>
          <w:color w:val="000000"/>
          <w:szCs w:val="20"/>
        </w:rPr>
        <w:t>облік</w:t>
      </w:r>
      <w:proofErr w:type="spellEnd"/>
      <w:r w:rsidRPr="00E16672">
        <w:rPr>
          <w:rFonts w:ascii="Times New Roman" w:eastAsia="Arial Unicode MS" w:hAnsi="Times New Roman"/>
          <w:color w:val="000000"/>
          <w:szCs w:val="20"/>
        </w:rPr>
        <w:t xml:space="preserve"> прав </w:t>
      </w:r>
      <w:proofErr w:type="spellStart"/>
      <w:r w:rsidRPr="00E16672">
        <w:rPr>
          <w:rFonts w:ascii="Times New Roman" w:eastAsia="Arial Unicode MS" w:hAnsi="Times New Roman"/>
          <w:color w:val="000000"/>
          <w:szCs w:val="20"/>
        </w:rPr>
        <w:t>власності</w:t>
      </w:r>
      <w:proofErr w:type="spellEnd"/>
      <w:r w:rsidRPr="00E16672">
        <w:rPr>
          <w:rFonts w:ascii="Times New Roman" w:eastAsia="Arial Unicode MS" w:hAnsi="Times New Roman"/>
          <w:color w:val="000000"/>
          <w:szCs w:val="20"/>
        </w:rPr>
        <w:t xml:space="preserve"> на </w:t>
      </w:r>
      <w:proofErr w:type="spellStart"/>
      <w:r w:rsidRPr="00E16672">
        <w:rPr>
          <w:rFonts w:ascii="Times New Roman" w:eastAsia="Arial Unicode MS" w:hAnsi="Times New Roman"/>
          <w:color w:val="000000"/>
          <w:szCs w:val="20"/>
        </w:rPr>
        <w:t>цінні</w:t>
      </w:r>
      <w:proofErr w:type="spellEnd"/>
      <w:r w:rsidRPr="00E16672">
        <w:rPr>
          <w:rFonts w:ascii="Times New Roman" w:eastAsia="Arial Unicode MS" w:hAnsi="Times New Roman"/>
          <w:color w:val="000000"/>
          <w:szCs w:val="20"/>
        </w:rPr>
        <w:t xml:space="preserve"> </w:t>
      </w:r>
      <w:proofErr w:type="spellStart"/>
      <w:r w:rsidRPr="00E16672">
        <w:rPr>
          <w:rFonts w:ascii="Times New Roman" w:eastAsia="Arial Unicode MS" w:hAnsi="Times New Roman"/>
          <w:color w:val="000000"/>
          <w:szCs w:val="20"/>
        </w:rPr>
        <w:t>папери</w:t>
      </w:r>
      <w:proofErr w:type="spellEnd"/>
      <w:r w:rsidRPr="00E16672">
        <w:rPr>
          <w:rFonts w:ascii="Times New Roman" w:eastAsia="Arial Unicode MS" w:hAnsi="Times New Roman"/>
          <w:color w:val="000000"/>
          <w:szCs w:val="20"/>
        </w:rPr>
        <w:t xml:space="preserve"> на </w:t>
      </w:r>
      <w:proofErr w:type="spellStart"/>
      <w:r w:rsidRPr="00E16672">
        <w:rPr>
          <w:rFonts w:ascii="Times New Roman" w:eastAsia="Arial Unicode MS" w:hAnsi="Times New Roman"/>
          <w:color w:val="000000"/>
          <w:szCs w:val="20"/>
        </w:rPr>
        <w:t>цих</w:t>
      </w:r>
      <w:proofErr w:type="spellEnd"/>
      <w:r w:rsidRPr="00E16672">
        <w:rPr>
          <w:rFonts w:ascii="Times New Roman" w:eastAsia="Arial Unicode MS" w:hAnsi="Times New Roman"/>
          <w:color w:val="000000"/>
          <w:szCs w:val="20"/>
        </w:rPr>
        <w:t xml:space="preserve"> </w:t>
      </w:r>
      <w:proofErr w:type="spellStart"/>
      <w:r w:rsidRPr="00E16672">
        <w:rPr>
          <w:rFonts w:ascii="Times New Roman" w:eastAsia="Arial Unicode MS" w:hAnsi="Times New Roman"/>
          <w:color w:val="000000"/>
          <w:szCs w:val="20"/>
        </w:rPr>
        <w:t>рахунках</w:t>
      </w:r>
      <w:proofErr w:type="spellEnd"/>
      <w:r w:rsidRPr="00E16672">
        <w:rPr>
          <w:rFonts w:ascii="Times New Roman" w:eastAsia="Arial Unicode MS" w:hAnsi="Times New Roman"/>
          <w:color w:val="000000"/>
          <w:szCs w:val="20"/>
        </w:rPr>
        <w:t xml:space="preserve"> </w:t>
      </w:r>
      <w:proofErr w:type="spellStart"/>
      <w:r w:rsidRPr="00E16672">
        <w:rPr>
          <w:rFonts w:ascii="Times New Roman" w:eastAsia="Arial Unicode MS" w:hAnsi="Times New Roman"/>
          <w:color w:val="000000"/>
          <w:szCs w:val="20"/>
        </w:rPr>
        <w:t>здійснюється</w:t>
      </w:r>
      <w:proofErr w:type="spellEnd"/>
      <w:r w:rsidRPr="00E16672">
        <w:rPr>
          <w:rFonts w:ascii="Times New Roman" w:eastAsia="Arial Unicode MS" w:hAnsi="Times New Roman"/>
          <w:color w:val="000000"/>
          <w:szCs w:val="20"/>
        </w:rPr>
        <w:t xml:space="preserve"> за </w:t>
      </w:r>
      <w:proofErr w:type="spellStart"/>
      <w:r w:rsidRPr="00E16672">
        <w:rPr>
          <w:rFonts w:ascii="Times New Roman" w:eastAsia="Arial Unicode MS" w:hAnsi="Times New Roman"/>
          <w:color w:val="000000"/>
          <w:szCs w:val="20"/>
        </w:rPr>
        <w:t>рахунок</w:t>
      </w:r>
      <w:proofErr w:type="spellEnd"/>
      <w:r w:rsidRPr="00E16672">
        <w:rPr>
          <w:rFonts w:ascii="Times New Roman" w:eastAsia="Arial Unicode MS" w:hAnsi="Times New Roman"/>
          <w:color w:val="000000"/>
          <w:szCs w:val="20"/>
        </w:rPr>
        <w:t xml:space="preserve"> </w:t>
      </w:r>
      <w:proofErr w:type="spellStart"/>
      <w:r w:rsidRPr="00E16672">
        <w:rPr>
          <w:rFonts w:ascii="Times New Roman" w:eastAsia="Arial Unicode MS" w:hAnsi="Times New Roman"/>
          <w:color w:val="000000"/>
          <w:szCs w:val="20"/>
        </w:rPr>
        <w:t>Емітента</w:t>
      </w:r>
      <w:proofErr w:type="spellEnd"/>
      <w:r w:rsidRPr="00E16672">
        <w:rPr>
          <w:rFonts w:ascii="Times New Roman" w:eastAsia="Arial Unicode MS" w:hAnsi="Times New Roman"/>
          <w:color w:val="000000"/>
          <w:szCs w:val="20"/>
        </w:rPr>
        <w:t xml:space="preserve"> </w:t>
      </w:r>
      <w:proofErr w:type="gramStart"/>
      <w:r w:rsidRPr="00E16672">
        <w:rPr>
          <w:rFonts w:ascii="Times New Roman" w:eastAsia="Arial Unicode MS" w:hAnsi="Times New Roman"/>
          <w:color w:val="000000"/>
          <w:szCs w:val="20"/>
        </w:rPr>
        <w:t>до моменту</w:t>
      </w:r>
      <w:proofErr w:type="gramEnd"/>
      <w:r w:rsidRPr="00E16672">
        <w:rPr>
          <w:rFonts w:ascii="Times New Roman" w:eastAsia="Arial Unicode MS" w:hAnsi="Times New Roman"/>
          <w:color w:val="000000"/>
          <w:szCs w:val="20"/>
        </w:rPr>
        <w:t xml:space="preserve"> </w:t>
      </w:r>
      <w:proofErr w:type="spellStart"/>
      <w:r w:rsidRPr="00E16672">
        <w:rPr>
          <w:rFonts w:ascii="Times New Roman" w:eastAsia="Arial Unicode MS" w:hAnsi="Times New Roman"/>
          <w:color w:val="000000"/>
          <w:szCs w:val="20"/>
        </w:rPr>
        <w:t>переукладання</w:t>
      </w:r>
      <w:proofErr w:type="spellEnd"/>
      <w:r w:rsidRPr="00E16672">
        <w:rPr>
          <w:rFonts w:ascii="Times New Roman" w:eastAsia="Arial Unicode MS" w:hAnsi="Times New Roman"/>
          <w:color w:val="000000"/>
          <w:szCs w:val="20"/>
        </w:rPr>
        <w:t xml:space="preserve"> договору про </w:t>
      </w:r>
      <w:proofErr w:type="spellStart"/>
      <w:r w:rsidRPr="00E16672">
        <w:rPr>
          <w:rFonts w:ascii="Times New Roman" w:eastAsia="Arial Unicode MS" w:hAnsi="Times New Roman"/>
          <w:color w:val="000000"/>
          <w:szCs w:val="20"/>
        </w:rPr>
        <w:t>обслуговування</w:t>
      </w:r>
      <w:proofErr w:type="spellEnd"/>
      <w:r w:rsidRPr="00E16672">
        <w:rPr>
          <w:rFonts w:ascii="Times New Roman" w:eastAsia="Arial Unicode MS" w:hAnsi="Times New Roman"/>
          <w:color w:val="000000"/>
          <w:szCs w:val="20"/>
        </w:rPr>
        <w:t xml:space="preserve"> </w:t>
      </w:r>
      <w:proofErr w:type="spellStart"/>
      <w:r w:rsidRPr="00E16672">
        <w:rPr>
          <w:rFonts w:ascii="Times New Roman" w:eastAsia="Arial Unicode MS" w:hAnsi="Times New Roman"/>
          <w:color w:val="000000"/>
          <w:szCs w:val="20"/>
        </w:rPr>
        <w:t>рахунку</w:t>
      </w:r>
      <w:proofErr w:type="spellEnd"/>
      <w:r w:rsidRPr="00E16672">
        <w:rPr>
          <w:rFonts w:ascii="Times New Roman" w:eastAsia="Arial Unicode MS" w:hAnsi="Times New Roman"/>
          <w:color w:val="000000"/>
          <w:szCs w:val="20"/>
        </w:rPr>
        <w:t xml:space="preserve"> в </w:t>
      </w:r>
      <w:proofErr w:type="spellStart"/>
      <w:r w:rsidRPr="00E16672">
        <w:rPr>
          <w:rFonts w:ascii="Times New Roman" w:eastAsia="Arial Unicode MS" w:hAnsi="Times New Roman"/>
          <w:color w:val="000000"/>
          <w:szCs w:val="20"/>
        </w:rPr>
        <w:t>цінних</w:t>
      </w:r>
      <w:proofErr w:type="spellEnd"/>
      <w:r w:rsidRPr="00E16672">
        <w:rPr>
          <w:rFonts w:ascii="Times New Roman" w:eastAsia="Arial Unicode MS" w:hAnsi="Times New Roman"/>
          <w:color w:val="000000"/>
          <w:szCs w:val="20"/>
        </w:rPr>
        <w:t xml:space="preserve"> </w:t>
      </w:r>
      <w:proofErr w:type="spellStart"/>
      <w:r w:rsidRPr="00E16672">
        <w:rPr>
          <w:rFonts w:ascii="Times New Roman" w:eastAsia="Arial Unicode MS" w:hAnsi="Times New Roman"/>
          <w:color w:val="000000"/>
          <w:szCs w:val="20"/>
        </w:rPr>
        <w:t>паперах</w:t>
      </w:r>
      <w:proofErr w:type="spellEnd"/>
      <w:r w:rsidRPr="00E16672">
        <w:rPr>
          <w:rFonts w:ascii="Times New Roman" w:eastAsia="Arial Unicode MS" w:hAnsi="Times New Roman"/>
          <w:color w:val="000000"/>
          <w:szCs w:val="20"/>
        </w:rPr>
        <w:t xml:space="preserve"> </w:t>
      </w:r>
      <w:proofErr w:type="spellStart"/>
      <w:r w:rsidRPr="00E16672">
        <w:rPr>
          <w:rFonts w:ascii="Times New Roman" w:eastAsia="Arial Unicode MS" w:hAnsi="Times New Roman"/>
          <w:color w:val="000000"/>
          <w:szCs w:val="20"/>
        </w:rPr>
        <w:t>між</w:t>
      </w:r>
      <w:proofErr w:type="spellEnd"/>
      <w:r w:rsidRPr="00E16672">
        <w:rPr>
          <w:rFonts w:ascii="Times New Roman" w:eastAsia="Arial Unicode MS" w:hAnsi="Times New Roman"/>
          <w:color w:val="000000"/>
          <w:szCs w:val="20"/>
        </w:rPr>
        <w:t xml:space="preserve"> </w:t>
      </w:r>
      <w:proofErr w:type="spellStart"/>
      <w:r w:rsidRPr="00E16672">
        <w:rPr>
          <w:rFonts w:ascii="Times New Roman" w:eastAsia="Arial Unicode MS" w:hAnsi="Times New Roman"/>
          <w:color w:val="000000"/>
          <w:szCs w:val="20"/>
        </w:rPr>
        <w:t>Власником</w:t>
      </w:r>
      <w:proofErr w:type="spellEnd"/>
      <w:r w:rsidRPr="00E16672">
        <w:rPr>
          <w:rFonts w:ascii="Times New Roman" w:eastAsia="Arial Unicode MS" w:hAnsi="Times New Roman"/>
          <w:color w:val="000000"/>
          <w:szCs w:val="20"/>
        </w:rPr>
        <w:t xml:space="preserve"> та Депозитарною </w:t>
      </w:r>
      <w:proofErr w:type="spellStart"/>
      <w:r w:rsidRPr="00E16672">
        <w:rPr>
          <w:rFonts w:ascii="Times New Roman" w:eastAsia="Arial Unicode MS" w:hAnsi="Times New Roman"/>
          <w:color w:val="000000"/>
          <w:szCs w:val="20"/>
        </w:rPr>
        <w:t>установою</w:t>
      </w:r>
      <w:proofErr w:type="spellEnd"/>
      <w:r w:rsidRPr="00E16672">
        <w:rPr>
          <w:rFonts w:ascii="Times New Roman" w:eastAsia="Arial Unicode MS" w:hAnsi="Times New Roman"/>
          <w:color w:val="000000"/>
          <w:szCs w:val="20"/>
          <w:lang w:val="uk-UA"/>
        </w:rPr>
        <w:t>.</w:t>
      </w:r>
    </w:p>
    <w:p w14:paraId="2642DBC2" w14:textId="77777777" w:rsidR="000A5A99" w:rsidRPr="00E16672" w:rsidRDefault="000A5A99" w:rsidP="000A5A99">
      <w:pPr>
        <w:rPr>
          <w:rFonts w:ascii="Times New Roman" w:eastAsia="Arial Unicode MS" w:hAnsi="Times New Roman"/>
          <w:color w:val="000000"/>
          <w:szCs w:val="20"/>
          <w:lang w:val="uk-UA"/>
        </w:rPr>
      </w:pPr>
      <w:r w:rsidRPr="00E16672">
        <w:rPr>
          <w:rFonts w:ascii="Times New Roman" w:hAnsi="Times New Roman"/>
          <w:color w:val="000000"/>
          <w:szCs w:val="20"/>
        </w:rPr>
        <w:lastRenderedPageBreak/>
        <w:t xml:space="preserve">4.2. </w:t>
      </w:r>
      <w:r w:rsidRPr="00E16672">
        <w:rPr>
          <w:rFonts w:ascii="Times New Roman" w:eastAsia="Arial Unicode MS" w:hAnsi="Times New Roman"/>
          <w:color w:val="000000"/>
          <w:szCs w:val="20"/>
          <w:lang w:val="uk-UA"/>
        </w:rPr>
        <w:t xml:space="preserve">Тарифи на депозитарні послуги Депозитарної установи встановлюються Депозитарною установою самостійно. </w:t>
      </w:r>
      <w:proofErr w:type="spellStart"/>
      <w:r w:rsidRPr="00E16672">
        <w:rPr>
          <w:rFonts w:ascii="Times New Roman" w:eastAsia="Arial Unicode MS" w:hAnsi="Times New Roman"/>
          <w:color w:val="000000"/>
          <w:szCs w:val="20"/>
          <w:lang w:val="uk-UA"/>
        </w:rPr>
        <w:t>Підписавші</w:t>
      </w:r>
      <w:proofErr w:type="spellEnd"/>
      <w:r w:rsidRPr="00E16672">
        <w:rPr>
          <w:rFonts w:ascii="Times New Roman" w:eastAsia="Arial Unicode MS" w:hAnsi="Times New Roman"/>
          <w:color w:val="000000"/>
          <w:szCs w:val="20"/>
          <w:lang w:val="uk-UA"/>
        </w:rPr>
        <w:t xml:space="preserve"> цей Договір, Емітент погоджується з тарифами, встановленими Депозитарною установою на дату укладення Договору, які оприлюднені на </w:t>
      </w:r>
      <w:r w:rsidRPr="00E16672">
        <w:rPr>
          <w:rFonts w:ascii="Times New Roman" w:eastAsia="Arial" w:hAnsi="Times New Roman"/>
          <w:color w:val="000000"/>
          <w:szCs w:val="20"/>
          <w:lang w:val="uk-UA"/>
        </w:rPr>
        <w:t xml:space="preserve">веб-сторінці Депозитарної установи </w:t>
      </w:r>
      <w:r w:rsidR="00E16672">
        <w:rPr>
          <w:rFonts w:ascii="Times New Roman" w:eastAsia="Arial" w:hAnsi="Times New Roman"/>
          <w:color w:val="000000"/>
          <w:szCs w:val="20"/>
          <w:lang w:val="uk-UA"/>
        </w:rPr>
        <w:t>http://comex.uafin.net</w:t>
      </w:r>
      <w:r w:rsidRPr="00E16672">
        <w:rPr>
          <w:rFonts w:ascii="Times New Roman" w:eastAsia="Arial" w:hAnsi="Times New Roman"/>
          <w:color w:val="000000"/>
          <w:szCs w:val="20"/>
          <w:lang w:val="uk-UA"/>
        </w:rPr>
        <w:t>.</w:t>
      </w:r>
    </w:p>
    <w:p w14:paraId="6DF557DF" w14:textId="77777777" w:rsidR="000A5A99" w:rsidRPr="00E16672" w:rsidRDefault="000A5A99" w:rsidP="000A5A99">
      <w:pPr>
        <w:rPr>
          <w:rFonts w:ascii="Times New Roman" w:eastAsia="Arial Unicode MS" w:hAnsi="Times New Roman"/>
          <w:color w:val="000000"/>
          <w:szCs w:val="20"/>
          <w:lang w:val="uk-UA"/>
        </w:rPr>
      </w:pPr>
      <w:r w:rsidRPr="00E16672">
        <w:rPr>
          <w:rFonts w:ascii="Times New Roman" w:eastAsia="Arial Unicode MS" w:hAnsi="Times New Roman"/>
          <w:color w:val="000000"/>
          <w:szCs w:val="20"/>
          <w:lang w:val="uk-UA"/>
        </w:rPr>
        <w:t xml:space="preserve">Депозитарна установа повідомляє про зміни до тарифів на послуги  шляхом розміщення змінених тарифів на </w:t>
      </w:r>
      <w:r w:rsidRPr="00E16672">
        <w:rPr>
          <w:rFonts w:ascii="Times New Roman" w:eastAsia="Arial" w:hAnsi="Times New Roman"/>
          <w:color w:val="000000"/>
          <w:szCs w:val="20"/>
          <w:lang w:val="uk-UA"/>
        </w:rPr>
        <w:t xml:space="preserve">веб-сторінці Депозитарної установи </w:t>
      </w:r>
      <w:r w:rsidR="00E16672">
        <w:rPr>
          <w:rFonts w:ascii="Times New Roman" w:eastAsia="Arial" w:hAnsi="Times New Roman"/>
          <w:color w:val="000000"/>
          <w:szCs w:val="20"/>
          <w:lang w:val="uk-UA"/>
        </w:rPr>
        <w:t>http://comex.uafin.net</w:t>
      </w:r>
      <w:r w:rsidRPr="00E16672">
        <w:rPr>
          <w:rFonts w:ascii="Times New Roman" w:eastAsia="Arial" w:hAnsi="Times New Roman"/>
          <w:color w:val="000000"/>
          <w:szCs w:val="20"/>
          <w:lang w:val="uk-UA"/>
        </w:rPr>
        <w:t xml:space="preserve"> </w:t>
      </w:r>
      <w:r w:rsidRPr="00E16672">
        <w:rPr>
          <w:rFonts w:ascii="Times New Roman" w:eastAsia="Arial Unicode MS" w:hAnsi="Times New Roman"/>
          <w:color w:val="000000"/>
          <w:szCs w:val="20"/>
          <w:lang w:val="uk-UA"/>
        </w:rPr>
        <w:t xml:space="preserve">протягом </w:t>
      </w:r>
      <w:r w:rsidRPr="00E16672">
        <w:rPr>
          <w:rFonts w:ascii="Times New Roman" w:eastAsia="Arial Unicode MS" w:hAnsi="Times New Roman"/>
          <w:i/>
          <w:color w:val="000000"/>
          <w:szCs w:val="20"/>
          <w:lang w:val="uk-UA"/>
        </w:rPr>
        <w:t>п'яти</w:t>
      </w:r>
      <w:r w:rsidRPr="00E16672">
        <w:rPr>
          <w:rFonts w:ascii="Times New Roman" w:eastAsia="Arial Unicode MS" w:hAnsi="Times New Roman"/>
          <w:color w:val="000000"/>
          <w:szCs w:val="20"/>
          <w:lang w:val="uk-UA"/>
        </w:rPr>
        <w:t xml:space="preserve"> робочих днів після затвердження відповідних змін. Змінені тарифи використовуються Сторонами для визначення вартості операцій на дату надання послуг.</w:t>
      </w:r>
    </w:p>
    <w:p w14:paraId="78390144" w14:textId="77777777" w:rsidR="000A5A99" w:rsidRPr="00E16672" w:rsidRDefault="000A5A99" w:rsidP="000A5A99">
      <w:pPr>
        <w:rPr>
          <w:rFonts w:ascii="Times New Roman" w:eastAsia="Arial Unicode MS" w:hAnsi="Times New Roman"/>
          <w:color w:val="000000"/>
          <w:szCs w:val="20"/>
          <w:lang w:val="uk-UA"/>
        </w:rPr>
      </w:pPr>
      <w:r w:rsidRPr="00E16672">
        <w:rPr>
          <w:rFonts w:ascii="Times New Roman" w:eastAsia="Arial Unicode MS" w:hAnsi="Times New Roman"/>
          <w:color w:val="000000"/>
          <w:szCs w:val="20"/>
          <w:lang w:val="uk-UA"/>
        </w:rPr>
        <w:t>Емітент оплачує послуги Депозитарної установи відповідно до цього Договору та затверджених тарифів Депозитарної установи,  що є чинними на дату надання послуг.</w:t>
      </w:r>
    </w:p>
    <w:p w14:paraId="3DF28643" w14:textId="77777777" w:rsidR="000A5A99" w:rsidRPr="00E16672" w:rsidRDefault="000A5A99" w:rsidP="000A5A99">
      <w:pPr>
        <w:ind w:firstLine="540"/>
        <w:rPr>
          <w:rFonts w:ascii="Times New Roman" w:hAnsi="Times New Roman"/>
          <w:color w:val="000000"/>
          <w:szCs w:val="20"/>
        </w:rPr>
      </w:pPr>
      <w:r w:rsidRPr="00E16672">
        <w:rPr>
          <w:rFonts w:ascii="Times New Roman" w:hAnsi="Times New Roman"/>
          <w:color w:val="000000"/>
          <w:szCs w:val="20"/>
        </w:rPr>
        <w:t xml:space="preserve">4.3. </w:t>
      </w:r>
      <w:proofErr w:type="spellStart"/>
      <w:r w:rsidRPr="00E16672">
        <w:rPr>
          <w:rFonts w:ascii="Times New Roman" w:hAnsi="Times New Roman"/>
          <w:color w:val="000000"/>
          <w:szCs w:val="20"/>
        </w:rPr>
        <w:t>Емітент</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здійснює</w:t>
      </w:r>
      <w:proofErr w:type="spellEnd"/>
      <w:r w:rsidRPr="00E16672">
        <w:rPr>
          <w:rFonts w:ascii="Times New Roman" w:hAnsi="Times New Roman"/>
          <w:color w:val="000000"/>
          <w:szCs w:val="20"/>
        </w:rPr>
        <w:t xml:space="preserve"> оплату </w:t>
      </w:r>
      <w:proofErr w:type="spellStart"/>
      <w:r w:rsidRPr="00E16672">
        <w:rPr>
          <w:rFonts w:ascii="Times New Roman" w:hAnsi="Times New Roman"/>
          <w:color w:val="000000"/>
          <w:szCs w:val="20"/>
        </w:rPr>
        <w:t>послуг</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Депозитарної</w:t>
      </w:r>
      <w:proofErr w:type="spellEnd"/>
      <w:r w:rsidRPr="00E16672">
        <w:rPr>
          <w:rFonts w:ascii="Times New Roman" w:hAnsi="Times New Roman"/>
          <w:color w:val="000000"/>
          <w:szCs w:val="20"/>
        </w:rPr>
        <w:t xml:space="preserve"> установи на </w:t>
      </w:r>
      <w:proofErr w:type="spellStart"/>
      <w:r w:rsidRPr="00E16672">
        <w:rPr>
          <w:rFonts w:ascii="Times New Roman" w:hAnsi="Times New Roman"/>
          <w:color w:val="000000"/>
          <w:szCs w:val="20"/>
        </w:rPr>
        <w:t>підставі</w:t>
      </w:r>
      <w:proofErr w:type="spellEnd"/>
      <w:r w:rsidRPr="00E16672">
        <w:rPr>
          <w:rFonts w:ascii="Times New Roman" w:hAnsi="Times New Roman"/>
          <w:color w:val="000000"/>
          <w:szCs w:val="20"/>
        </w:rPr>
        <w:t>:</w:t>
      </w:r>
    </w:p>
    <w:p w14:paraId="1C159C39" w14:textId="77777777" w:rsidR="000D0438" w:rsidRPr="000D0438" w:rsidRDefault="000A5A99" w:rsidP="000D0438">
      <w:pPr>
        <w:pStyle w:val="aff5"/>
        <w:numPr>
          <w:ilvl w:val="0"/>
          <w:numId w:val="40"/>
        </w:numPr>
        <w:rPr>
          <w:rFonts w:ascii="Times New Roman" w:hAnsi="Times New Roman"/>
          <w:color w:val="000000"/>
          <w:szCs w:val="20"/>
        </w:rPr>
      </w:pPr>
      <w:proofErr w:type="spellStart"/>
      <w:r w:rsidRPr="000D0438">
        <w:rPr>
          <w:rFonts w:ascii="Times New Roman" w:hAnsi="Times New Roman"/>
          <w:color w:val="000000"/>
          <w:szCs w:val="20"/>
        </w:rPr>
        <w:t>актів</w:t>
      </w:r>
      <w:proofErr w:type="spellEnd"/>
      <w:r w:rsidRPr="000D0438">
        <w:rPr>
          <w:rFonts w:ascii="Times New Roman" w:hAnsi="Times New Roman"/>
          <w:color w:val="000000"/>
          <w:szCs w:val="20"/>
        </w:rPr>
        <w:t xml:space="preserve"> </w:t>
      </w:r>
      <w:proofErr w:type="spellStart"/>
      <w:r w:rsidRPr="000D0438">
        <w:rPr>
          <w:rFonts w:ascii="Times New Roman" w:hAnsi="Times New Roman"/>
          <w:color w:val="000000"/>
          <w:szCs w:val="20"/>
        </w:rPr>
        <w:t>виконаних</w:t>
      </w:r>
      <w:proofErr w:type="spellEnd"/>
      <w:r w:rsidRPr="000D0438">
        <w:rPr>
          <w:rFonts w:ascii="Times New Roman" w:hAnsi="Times New Roman"/>
          <w:color w:val="000000"/>
          <w:szCs w:val="20"/>
        </w:rPr>
        <w:t xml:space="preserve"> </w:t>
      </w:r>
      <w:proofErr w:type="spellStart"/>
      <w:r w:rsidRPr="000D0438">
        <w:rPr>
          <w:rFonts w:ascii="Times New Roman" w:hAnsi="Times New Roman"/>
          <w:color w:val="000000"/>
          <w:szCs w:val="20"/>
        </w:rPr>
        <w:t>операцій</w:t>
      </w:r>
      <w:proofErr w:type="spellEnd"/>
      <w:r w:rsidRPr="000D0438">
        <w:rPr>
          <w:rFonts w:ascii="Times New Roman" w:hAnsi="Times New Roman"/>
          <w:color w:val="000000"/>
          <w:szCs w:val="20"/>
        </w:rPr>
        <w:t xml:space="preserve"> Депозитарною </w:t>
      </w:r>
      <w:proofErr w:type="spellStart"/>
      <w:r w:rsidRPr="000D0438">
        <w:rPr>
          <w:rFonts w:ascii="Times New Roman" w:hAnsi="Times New Roman"/>
          <w:color w:val="000000"/>
          <w:szCs w:val="20"/>
        </w:rPr>
        <w:t>установою</w:t>
      </w:r>
      <w:proofErr w:type="spellEnd"/>
      <w:r w:rsidRPr="000D0438">
        <w:rPr>
          <w:rFonts w:ascii="Times New Roman" w:hAnsi="Times New Roman"/>
          <w:color w:val="000000"/>
          <w:szCs w:val="20"/>
        </w:rPr>
        <w:t xml:space="preserve"> не </w:t>
      </w:r>
      <w:proofErr w:type="spellStart"/>
      <w:r w:rsidRPr="000D0438">
        <w:rPr>
          <w:rFonts w:ascii="Times New Roman" w:hAnsi="Times New Roman"/>
          <w:color w:val="000000"/>
          <w:szCs w:val="20"/>
        </w:rPr>
        <w:t>пізніше</w:t>
      </w:r>
      <w:proofErr w:type="spellEnd"/>
      <w:r w:rsidRPr="000D0438">
        <w:rPr>
          <w:rFonts w:ascii="Times New Roman" w:hAnsi="Times New Roman"/>
          <w:color w:val="000000"/>
          <w:szCs w:val="20"/>
        </w:rPr>
        <w:t xml:space="preserve"> </w:t>
      </w:r>
      <w:r w:rsidRPr="000D0438">
        <w:rPr>
          <w:rFonts w:ascii="Times New Roman" w:hAnsi="Times New Roman"/>
          <w:i/>
          <w:color w:val="000000"/>
          <w:szCs w:val="20"/>
        </w:rPr>
        <w:t>одного</w:t>
      </w:r>
      <w:r w:rsidRPr="000D0438">
        <w:rPr>
          <w:rFonts w:ascii="Times New Roman" w:hAnsi="Times New Roman"/>
          <w:color w:val="000000"/>
          <w:szCs w:val="20"/>
        </w:rPr>
        <w:t xml:space="preserve"> </w:t>
      </w:r>
      <w:proofErr w:type="spellStart"/>
      <w:r w:rsidRPr="000D0438">
        <w:rPr>
          <w:rFonts w:ascii="Times New Roman" w:hAnsi="Times New Roman"/>
          <w:color w:val="000000"/>
          <w:szCs w:val="20"/>
        </w:rPr>
        <w:t>робочого</w:t>
      </w:r>
      <w:proofErr w:type="spellEnd"/>
      <w:r w:rsidRPr="000D0438">
        <w:rPr>
          <w:rFonts w:ascii="Times New Roman" w:hAnsi="Times New Roman"/>
          <w:color w:val="000000"/>
          <w:szCs w:val="20"/>
        </w:rPr>
        <w:t xml:space="preserve"> дня з </w:t>
      </w:r>
      <w:proofErr w:type="spellStart"/>
      <w:r w:rsidRPr="000D0438">
        <w:rPr>
          <w:rFonts w:ascii="Times New Roman" w:hAnsi="Times New Roman"/>
          <w:color w:val="000000"/>
          <w:szCs w:val="20"/>
        </w:rPr>
        <w:t>дати</w:t>
      </w:r>
      <w:proofErr w:type="spellEnd"/>
      <w:r w:rsidRPr="000D0438">
        <w:rPr>
          <w:rFonts w:ascii="Times New Roman" w:hAnsi="Times New Roman"/>
          <w:color w:val="000000"/>
          <w:szCs w:val="20"/>
        </w:rPr>
        <w:t xml:space="preserve"> </w:t>
      </w:r>
      <w:proofErr w:type="spellStart"/>
      <w:r w:rsidRPr="000D0438">
        <w:rPr>
          <w:rFonts w:ascii="Times New Roman" w:hAnsi="Times New Roman"/>
          <w:color w:val="000000"/>
          <w:szCs w:val="20"/>
        </w:rPr>
        <w:t>підписання</w:t>
      </w:r>
      <w:proofErr w:type="spellEnd"/>
      <w:r w:rsidRPr="000D0438">
        <w:rPr>
          <w:rFonts w:ascii="Times New Roman" w:hAnsi="Times New Roman"/>
          <w:color w:val="000000"/>
          <w:szCs w:val="20"/>
        </w:rPr>
        <w:t xml:space="preserve"> акту Депозитарною </w:t>
      </w:r>
      <w:proofErr w:type="spellStart"/>
      <w:r w:rsidRPr="000D0438">
        <w:rPr>
          <w:rFonts w:ascii="Times New Roman" w:hAnsi="Times New Roman"/>
          <w:color w:val="000000"/>
          <w:szCs w:val="20"/>
        </w:rPr>
        <w:t>установою</w:t>
      </w:r>
      <w:proofErr w:type="spellEnd"/>
    </w:p>
    <w:p w14:paraId="0416EF0F" w14:textId="77777777" w:rsidR="000A5A99" w:rsidRPr="000D0438" w:rsidRDefault="000A5A99" w:rsidP="000D0438">
      <w:pPr>
        <w:ind w:left="540" w:firstLine="0"/>
        <w:rPr>
          <w:rFonts w:ascii="Times New Roman" w:hAnsi="Times New Roman"/>
          <w:color w:val="000000"/>
          <w:szCs w:val="20"/>
        </w:rPr>
      </w:pPr>
      <w:proofErr w:type="spellStart"/>
      <w:r w:rsidRPr="000D0438">
        <w:rPr>
          <w:rFonts w:ascii="Times New Roman" w:hAnsi="Times New Roman"/>
          <w:color w:val="000000"/>
          <w:szCs w:val="20"/>
        </w:rPr>
        <w:t>або</w:t>
      </w:r>
      <w:proofErr w:type="spellEnd"/>
    </w:p>
    <w:p w14:paraId="7EDDB656" w14:textId="77777777" w:rsidR="000A5A99" w:rsidRPr="000D0438" w:rsidRDefault="000A5A99" w:rsidP="000D0438">
      <w:pPr>
        <w:pStyle w:val="aff5"/>
        <w:numPr>
          <w:ilvl w:val="0"/>
          <w:numId w:val="40"/>
        </w:numPr>
        <w:rPr>
          <w:rFonts w:ascii="Times New Roman" w:hAnsi="Times New Roman"/>
          <w:color w:val="000000"/>
          <w:szCs w:val="20"/>
          <w:lang w:val="uk-UA"/>
        </w:rPr>
      </w:pPr>
      <w:r w:rsidRPr="000D0438">
        <w:rPr>
          <w:rFonts w:ascii="Times New Roman" w:hAnsi="Times New Roman"/>
          <w:color w:val="000000"/>
          <w:szCs w:val="20"/>
        </w:rPr>
        <w:t xml:space="preserve"> </w:t>
      </w:r>
      <w:proofErr w:type="spellStart"/>
      <w:r w:rsidRPr="000D0438">
        <w:rPr>
          <w:rFonts w:ascii="Times New Roman" w:hAnsi="Times New Roman"/>
          <w:color w:val="000000"/>
          <w:szCs w:val="20"/>
        </w:rPr>
        <w:t>рахунків</w:t>
      </w:r>
      <w:proofErr w:type="spellEnd"/>
      <w:r w:rsidRPr="000D0438">
        <w:rPr>
          <w:rFonts w:ascii="Times New Roman" w:hAnsi="Times New Roman"/>
          <w:color w:val="000000"/>
          <w:szCs w:val="20"/>
        </w:rPr>
        <w:t xml:space="preserve">, </w:t>
      </w:r>
      <w:proofErr w:type="spellStart"/>
      <w:r w:rsidRPr="000D0438">
        <w:rPr>
          <w:rFonts w:ascii="Times New Roman" w:hAnsi="Times New Roman"/>
          <w:color w:val="000000"/>
          <w:szCs w:val="20"/>
        </w:rPr>
        <w:t>виставлених</w:t>
      </w:r>
      <w:proofErr w:type="spellEnd"/>
      <w:r w:rsidRPr="000D0438">
        <w:rPr>
          <w:rFonts w:ascii="Times New Roman" w:hAnsi="Times New Roman"/>
          <w:color w:val="000000"/>
          <w:szCs w:val="20"/>
        </w:rPr>
        <w:t xml:space="preserve"> Депозитарною </w:t>
      </w:r>
      <w:proofErr w:type="spellStart"/>
      <w:r w:rsidRPr="000D0438">
        <w:rPr>
          <w:rFonts w:ascii="Times New Roman" w:hAnsi="Times New Roman"/>
          <w:color w:val="000000"/>
          <w:szCs w:val="20"/>
        </w:rPr>
        <w:t>установою</w:t>
      </w:r>
      <w:proofErr w:type="spellEnd"/>
      <w:r w:rsidRPr="000D0438">
        <w:rPr>
          <w:rFonts w:ascii="Times New Roman" w:hAnsi="Times New Roman"/>
          <w:color w:val="000000"/>
          <w:szCs w:val="20"/>
        </w:rPr>
        <w:t xml:space="preserve"> </w:t>
      </w:r>
      <w:proofErr w:type="spellStart"/>
      <w:r w:rsidRPr="000D0438">
        <w:rPr>
          <w:rFonts w:ascii="Times New Roman" w:hAnsi="Times New Roman"/>
          <w:color w:val="000000"/>
          <w:szCs w:val="20"/>
        </w:rPr>
        <w:t>Емітенту</w:t>
      </w:r>
      <w:proofErr w:type="spellEnd"/>
      <w:r w:rsidRPr="000D0438">
        <w:rPr>
          <w:rFonts w:ascii="Times New Roman" w:hAnsi="Times New Roman"/>
          <w:color w:val="000000"/>
          <w:szCs w:val="20"/>
        </w:rPr>
        <w:t xml:space="preserve">, для </w:t>
      </w:r>
      <w:proofErr w:type="spellStart"/>
      <w:r w:rsidRPr="000D0438">
        <w:rPr>
          <w:rFonts w:ascii="Times New Roman" w:hAnsi="Times New Roman"/>
          <w:color w:val="000000"/>
          <w:szCs w:val="20"/>
        </w:rPr>
        <w:t>попередньої</w:t>
      </w:r>
      <w:proofErr w:type="spellEnd"/>
      <w:r w:rsidRPr="000D0438">
        <w:rPr>
          <w:rFonts w:ascii="Times New Roman" w:hAnsi="Times New Roman"/>
          <w:color w:val="000000"/>
          <w:szCs w:val="20"/>
        </w:rPr>
        <w:t xml:space="preserve"> оплати за </w:t>
      </w:r>
      <w:proofErr w:type="spellStart"/>
      <w:r w:rsidRPr="000D0438">
        <w:rPr>
          <w:rFonts w:ascii="Times New Roman" w:hAnsi="Times New Roman"/>
          <w:color w:val="000000"/>
          <w:szCs w:val="20"/>
        </w:rPr>
        <w:t>операції</w:t>
      </w:r>
      <w:proofErr w:type="spellEnd"/>
      <w:r w:rsidRPr="000D0438">
        <w:rPr>
          <w:rFonts w:ascii="Times New Roman" w:hAnsi="Times New Roman"/>
          <w:color w:val="000000"/>
          <w:szCs w:val="20"/>
        </w:rPr>
        <w:t xml:space="preserve"> у</w:t>
      </w:r>
      <w:r w:rsidR="000D0438" w:rsidRPr="000D0438">
        <w:rPr>
          <w:rFonts w:ascii="Times New Roman" w:hAnsi="Times New Roman"/>
          <w:color w:val="000000"/>
          <w:szCs w:val="20"/>
        </w:rPr>
        <w:t xml:space="preserve"> строки, </w:t>
      </w:r>
      <w:proofErr w:type="spellStart"/>
      <w:r w:rsidR="000D0438" w:rsidRPr="000D0438">
        <w:rPr>
          <w:rFonts w:ascii="Times New Roman" w:hAnsi="Times New Roman"/>
          <w:color w:val="000000"/>
          <w:szCs w:val="20"/>
        </w:rPr>
        <w:t>вказані</w:t>
      </w:r>
      <w:proofErr w:type="spellEnd"/>
      <w:r w:rsidR="000D0438" w:rsidRPr="000D0438">
        <w:rPr>
          <w:rFonts w:ascii="Times New Roman" w:hAnsi="Times New Roman"/>
          <w:color w:val="000000"/>
          <w:szCs w:val="20"/>
        </w:rPr>
        <w:t xml:space="preserve"> в </w:t>
      </w:r>
      <w:proofErr w:type="spellStart"/>
      <w:r w:rsidR="000D0438" w:rsidRPr="000D0438">
        <w:rPr>
          <w:rFonts w:ascii="Times New Roman" w:hAnsi="Times New Roman"/>
          <w:color w:val="000000"/>
          <w:szCs w:val="20"/>
        </w:rPr>
        <w:t>цих</w:t>
      </w:r>
      <w:proofErr w:type="spellEnd"/>
      <w:r w:rsidR="000D0438" w:rsidRPr="000D0438">
        <w:rPr>
          <w:rFonts w:ascii="Times New Roman" w:hAnsi="Times New Roman"/>
          <w:color w:val="000000"/>
          <w:szCs w:val="20"/>
        </w:rPr>
        <w:t xml:space="preserve"> </w:t>
      </w:r>
      <w:proofErr w:type="spellStart"/>
      <w:r w:rsidR="000D0438" w:rsidRPr="000D0438">
        <w:rPr>
          <w:rFonts w:ascii="Times New Roman" w:hAnsi="Times New Roman"/>
          <w:color w:val="000000"/>
          <w:szCs w:val="20"/>
        </w:rPr>
        <w:t>рахунках</w:t>
      </w:r>
      <w:proofErr w:type="spellEnd"/>
      <w:r w:rsidR="000D0438" w:rsidRPr="000D0438">
        <w:rPr>
          <w:rFonts w:ascii="Times New Roman" w:hAnsi="Times New Roman"/>
          <w:color w:val="000000"/>
          <w:szCs w:val="20"/>
          <w:lang w:val="uk-UA"/>
        </w:rPr>
        <w:t>.</w:t>
      </w:r>
    </w:p>
    <w:p w14:paraId="1AA901AC" w14:textId="77777777" w:rsidR="000A5A99" w:rsidRPr="00E16672" w:rsidRDefault="000A5A99" w:rsidP="000A5A99">
      <w:pPr>
        <w:rPr>
          <w:rFonts w:ascii="Times New Roman" w:hAnsi="Times New Roman"/>
          <w:color w:val="000000"/>
          <w:szCs w:val="20"/>
        </w:rPr>
      </w:pPr>
      <w:r w:rsidRPr="00E16672">
        <w:rPr>
          <w:rFonts w:ascii="Times New Roman" w:eastAsia="Arial Unicode MS" w:hAnsi="Times New Roman"/>
          <w:color w:val="000000"/>
          <w:szCs w:val="20"/>
        </w:rPr>
        <w:t>4</w:t>
      </w:r>
      <w:r w:rsidRPr="00E16672">
        <w:rPr>
          <w:rFonts w:ascii="Times New Roman" w:eastAsia="Arial Unicode MS" w:hAnsi="Times New Roman"/>
          <w:color w:val="000000"/>
          <w:szCs w:val="20"/>
          <w:lang w:val="uk-UA"/>
        </w:rPr>
        <w:t xml:space="preserve">.4. </w:t>
      </w:r>
      <w:proofErr w:type="spellStart"/>
      <w:r w:rsidRPr="00E16672">
        <w:rPr>
          <w:rFonts w:ascii="Times New Roman" w:hAnsi="Times New Roman"/>
          <w:color w:val="000000"/>
          <w:szCs w:val="20"/>
        </w:rPr>
        <w:t>Підтвердженням</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виконання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послуг</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Депозитарної</w:t>
      </w:r>
      <w:proofErr w:type="spellEnd"/>
      <w:r w:rsidRPr="00E16672">
        <w:rPr>
          <w:rFonts w:ascii="Times New Roman" w:hAnsi="Times New Roman"/>
          <w:color w:val="000000"/>
          <w:szCs w:val="20"/>
        </w:rPr>
        <w:t xml:space="preserve"> установи є акт </w:t>
      </w:r>
      <w:proofErr w:type="spellStart"/>
      <w:r w:rsidRPr="00E16672">
        <w:rPr>
          <w:rFonts w:ascii="Times New Roman" w:hAnsi="Times New Roman"/>
          <w:color w:val="000000"/>
          <w:szCs w:val="20"/>
        </w:rPr>
        <w:t>виконаних</w:t>
      </w:r>
      <w:proofErr w:type="spellEnd"/>
      <w:r w:rsidRPr="00E16672">
        <w:rPr>
          <w:rFonts w:ascii="Times New Roman" w:hAnsi="Times New Roman"/>
          <w:color w:val="000000"/>
          <w:szCs w:val="20"/>
        </w:rPr>
        <w:t xml:space="preserve"> Депозитарною </w:t>
      </w:r>
      <w:proofErr w:type="spellStart"/>
      <w:r w:rsidRPr="00E16672">
        <w:rPr>
          <w:rFonts w:ascii="Times New Roman" w:hAnsi="Times New Roman"/>
          <w:color w:val="000000"/>
          <w:szCs w:val="20"/>
        </w:rPr>
        <w:t>установою</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операцій</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який</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складається</w:t>
      </w:r>
      <w:proofErr w:type="spellEnd"/>
      <w:r w:rsidRPr="00E16672">
        <w:rPr>
          <w:rFonts w:ascii="Times New Roman" w:hAnsi="Times New Roman"/>
          <w:color w:val="000000"/>
          <w:szCs w:val="20"/>
        </w:rPr>
        <w:t>:</w:t>
      </w:r>
    </w:p>
    <w:p w14:paraId="60B1E3D9" w14:textId="77777777" w:rsidR="000A5A99" w:rsidRPr="00E16672" w:rsidRDefault="000A5A99" w:rsidP="000D0438">
      <w:pPr>
        <w:pStyle w:val="310"/>
        <w:numPr>
          <w:ilvl w:val="0"/>
          <w:numId w:val="41"/>
        </w:numPr>
        <w:rPr>
          <w:rFonts w:ascii="Times New Roman" w:hAnsi="Times New Roman"/>
          <w:color w:val="000000"/>
          <w:sz w:val="20"/>
          <w:szCs w:val="20"/>
        </w:rPr>
      </w:pPr>
      <w:r w:rsidRPr="00E16672">
        <w:rPr>
          <w:rFonts w:ascii="Times New Roman" w:hAnsi="Times New Roman"/>
          <w:color w:val="000000"/>
          <w:sz w:val="20"/>
          <w:szCs w:val="20"/>
        </w:rPr>
        <w:t xml:space="preserve">по виконаним Депозитарною установою адміністративним, обліковим, інформаційним та іншим операціям на рахунках </w:t>
      </w:r>
      <w:r w:rsidR="00C22309" w:rsidRPr="00E16672">
        <w:rPr>
          <w:rFonts w:ascii="Times New Roman" w:hAnsi="Times New Roman"/>
          <w:color w:val="000000"/>
          <w:sz w:val="20"/>
          <w:szCs w:val="20"/>
        </w:rPr>
        <w:t>в цін</w:t>
      </w:r>
      <w:r w:rsidRPr="00E16672">
        <w:rPr>
          <w:rFonts w:ascii="Times New Roman" w:hAnsi="Times New Roman"/>
          <w:color w:val="000000"/>
          <w:sz w:val="20"/>
          <w:szCs w:val="20"/>
        </w:rPr>
        <w:t xml:space="preserve">них паперах - у день проведення операцій або на останній день місяця, в якому їх виконано, підписується Депозитарною установою у одному оригіналі та подається Емітенту для підписання особисто або направляється поштою в адресу Емітента (або іншим способом за домовленістю з Емітентом) протягом не більш як </w:t>
      </w:r>
      <w:r w:rsidRPr="00E16672">
        <w:rPr>
          <w:rFonts w:ascii="Times New Roman" w:hAnsi="Times New Roman"/>
          <w:i/>
          <w:color w:val="000000"/>
          <w:sz w:val="20"/>
          <w:szCs w:val="20"/>
        </w:rPr>
        <w:t>п</w:t>
      </w:r>
      <w:r w:rsidRPr="00E16672">
        <w:rPr>
          <w:rFonts w:ascii="Times New Roman" w:hAnsi="Times New Roman"/>
          <w:i/>
          <w:color w:val="000000"/>
          <w:sz w:val="20"/>
          <w:szCs w:val="20"/>
          <w:lang w:val="ru-RU"/>
        </w:rPr>
        <w:t>’</w:t>
      </w:r>
      <w:proofErr w:type="spellStart"/>
      <w:r w:rsidRPr="00E16672">
        <w:rPr>
          <w:rFonts w:ascii="Times New Roman" w:hAnsi="Times New Roman"/>
          <w:i/>
          <w:color w:val="000000"/>
          <w:sz w:val="20"/>
          <w:szCs w:val="20"/>
        </w:rPr>
        <w:t>яти</w:t>
      </w:r>
      <w:proofErr w:type="spellEnd"/>
      <w:r w:rsidRPr="00E16672">
        <w:rPr>
          <w:rFonts w:ascii="Times New Roman" w:hAnsi="Times New Roman"/>
          <w:color w:val="000000"/>
          <w:sz w:val="20"/>
          <w:szCs w:val="20"/>
        </w:rPr>
        <w:t xml:space="preserve"> робочих днів з моменту підписання;</w:t>
      </w:r>
    </w:p>
    <w:p w14:paraId="237ED6CC" w14:textId="77777777" w:rsidR="000A5A99" w:rsidRPr="00E16672" w:rsidRDefault="000A5A99" w:rsidP="000D0438">
      <w:pPr>
        <w:pStyle w:val="310"/>
        <w:numPr>
          <w:ilvl w:val="0"/>
          <w:numId w:val="41"/>
        </w:numPr>
        <w:rPr>
          <w:rFonts w:ascii="Times New Roman" w:hAnsi="Times New Roman"/>
          <w:color w:val="000000"/>
          <w:sz w:val="20"/>
          <w:szCs w:val="20"/>
        </w:rPr>
      </w:pPr>
      <w:r w:rsidRPr="00E16672">
        <w:rPr>
          <w:rFonts w:ascii="Times New Roman" w:hAnsi="Times New Roman"/>
          <w:color w:val="000000"/>
          <w:sz w:val="20"/>
          <w:szCs w:val="20"/>
        </w:rPr>
        <w:t xml:space="preserve">за  облік цінних паперів на рахунках </w:t>
      </w:r>
      <w:r w:rsidR="00C22309" w:rsidRPr="00E16672">
        <w:rPr>
          <w:rFonts w:ascii="Times New Roman" w:hAnsi="Times New Roman"/>
          <w:color w:val="000000"/>
          <w:sz w:val="20"/>
          <w:szCs w:val="20"/>
        </w:rPr>
        <w:t>в цін</w:t>
      </w:r>
      <w:r w:rsidRPr="00E16672">
        <w:rPr>
          <w:rFonts w:ascii="Times New Roman" w:hAnsi="Times New Roman"/>
          <w:color w:val="000000"/>
          <w:sz w:val="20"/>
          <w:szCs w:val="20"/>
        </w:rPr>
        <w:t xml:space="preserve">них паперах - на останній день кварталу, в якому їх виконано, підписується Депозитарною установою у одному оригіналі та подається Емітенту для підписання особисто або направляється поштою в адресу Емітента (або іншим способом за домовленістю з Емітентом) протягом не більше </w:t>
      </w:r>
      <w:r w:rsidRPr="00E16672">
        <w:rPr>
          <w:rFonts w:ascii="Times New Roman" w:hAnsi="Times New Roman"/>
          <w:i/>
          <w:color w:val="000000"/>
          <w:sz w:val="20"/>
          <w:szCs w:val="20"/>
        </w:rPr>
        <w:t>двадцяти</w:t>
      </w:r>
      <w:r w:rsidRPr="00E16672">
        <w:rPr>
          <w:rFonts w:ascii="Times New Roman" w:hAnsi="Times New Roman"/>
          <w:color w:val="000000"/>
          <w:sz w:val="20"/>
          <w:szCs w:val="20"/>
        </w:rPr>
        <w:t xml:space="preserve"> робочих днів з моменту підписання.</w:t>
      </w:r>
    </w:p>
    <w:p w14:paraId="54031737" w14:textId="77777777" w:rsidR="000A5A99" w:rsidRPr="00E16672" w:rsidRDefault="000A5A99" w:rsidP="000A5A99">
      <w:pPr>
        <w:pStyle w:val="310"/>
        <w:ind w:firstLine="555"/>
        <w:rPr>
          <w:rFonts w:ascii="Times New Roman" w:hAnsi="Times New Roman"/>
          <w:color w:val="000000"/>
          <w:sz w:val="20"/>
          <w:szCs w:val="20"/>
        </w:rPr>
      </w:pPr>
      <w:r w:rsidRPr="00E16672">
        <w:rPr>
          <w:rFonts w:ascii="Times New Roman" w:hAnsi="Times New Roman"/>
          <w:color w:val="000000"/>
          <w:sz w:val="20"/>
          <w:szCs w:val="20"/>
        </w:rPr>
        <w:t>Емітент має підписати та повернути Депозитарній установі один оригінал на протязі </w:t>
      </w:r>
      <w:r w:rsidRPr="00E16672">
        <w:rPr>
          <w:rFonts w:ascii="Times New Roman" w:hAnsi="Times New Roman"/>
          <w:i/>
          <w:iCs/>
          <w:color w:val="000000"/>
          <w:sz w:val="20"/>
          <w:szCs w:val="20"/>
          <w:lang w:val="ru-RU"/>
        </w:rPr>
        <w:t>десяти</w:t>
      </w:r>
      <w:r w:rsidRPr="00E16672">
        <w:rPr>
          <w:rFonts w:ascii="Times New Roman" w:hAnsi="Times New Roman"/>
          <w:color w:val="000000"/>
          <w:sz w:val="20"/>
          <w:szCs w:val="20"/>
          <w:lang w:val="ru-RU"/>
        </w:rPr>
        <w:t xml:space="preserve"> </w:t>
      </w:r>
      <w:proofErr w:type="spellStart"/>
      <w:r w:rsidRPr="00E16672">
        <w:rPr>
          <w:rFonts w:ascii="Times New Roman" w:hAnsi="Times New Roman"/>
          <w:color w:val="000000"/>
          <w:sz w:val="20"/>
          <w:szCs w:val="20"/>
          <w:lang w:val="ru-RU"/>
        </w:rPr>
        <w:t>календарних</w:t>
      </w:r>
      <w:proofErr w:type="spellEnd"/>
      <w:r w:rsidRPr="00E16672">
        <w:rPr>
          <w:rFonts w:ascii="Times New Roman" w:hAnsi="Times New Roman"/>
          <w:color w:val="000000"/>
          <w:sz w:val="20"/>
          <w:szCs w:val="20"/>
        </w:rPr>
        <w:t xml:space="preserve"> днів </w:t>
      </w:r>
      <w:r w:rsidRPr="00E16672">
        <w:rPr>
          <w:rFonts w:ascii="Times New Roman" w:hAnsi="Times New Roman"/>
          <w:color w:val="000000"/>
          <w:sz w:val="20"/>
          <w:szCs w:val="20"/>
          <w:lang w:val="ru-RU"/>
        </w:rPr>
        <w:t>з</w:t>
      </w:r>
      <w:r w:rsidRPr="00E16672">
        <w:rPr>
          <w:rFonts w:ascii="Times New Roman" w:hAnsi="Times New Roman"/>
          <w:color w:val="000000"/>
          <w:sz w:val="20"/>
          <w:szCs w:val="20"/>
        </w:rPr>
        <w:t xml:space="preserve"> моменту отримання. У разі неповернення акту послуги вважаються наданими без заперечень.</w:t>
      </w:r>
    </w:p>
    <w:p w14:paraId="159E8149" w14:textId="77777777" w:rsidR="000A5A99" w:rsidRPr="00E16672" w:rsidRDefault="000A5A99" w:rsidP="000A5A99">
      <w:pPr>
        <w:ind w:firstLine="555"/>
        <w:rPr>
          <w:rFonts w:ascii="Times New Roman" w:hAnsi="Times New Roman"/>
          <w:strike/>
          <w:color w:val="000000"/>
          <w:szCs w:val="20"/>
          <w:lang w:val="uk-UA"/>
        </w:rPr>
      </w:pPr>
      <w:r w:rsidRPr="00E16672">
        <w:rPr>
          <w:rFonts w:ascii="Times New Roman" w:hAnsi="Times New Roman"/>
          <w:color w:val="000000"/>
          <w:szCs w:val="20"/>
          <w:lang w:val="uk-UA"/>
        </w:rPr>
        <w:t xml:space="preserve">Акт виконаних операцій може бути підписаний Депозитарною установою та Емітентом за допомогою </w:t>
      </w:r>
      <w:proofErr w:type="spellStart"/>
      <w:r w:rsidR="00D57400" w:rsidRPr="00E16672">
        <w:rPr>
          <w:rFonts w:ascii="Times New Roman" w:hAnsi="Times New Roman"/>
          <w:color w:val="000000"/>
          <w:szCs w:val="20"/>
        </w:rPr>
        <w:t>кваліфікованого</w:t>
      </w:r>
      <w:proofErr w:type="spellEnd"/>
      <w:r w:rsidR="00D57400" w:rsidRPr="00E16672">
        <w:rPr>
          <w:rFonts w:ascii="Times New Roman" w:hAnsi="Times New Roman"/>
          <w:color w:val="000000"/>
          <w:szCs w:val="20"/>
        </w:rPr>
        <w:t xml:space="preserve"> </w:t>
      </w:r>
      <w:proofErr w:type="spellStart"/>
      <w:r w:rsidR="00D57400" w:rsidRPr="00E16672">
        <w:rPr>
          <w:rFonts w:ascii="Times New Roman" w:hAnsi="Times New Roman"/>
          <w:color w:val="000000"/>
          <w:szCs w:val="20"/>
        </w:rPr>
        <w:t>електронного</w:t>
      </w:r>
      <w:proofErr w:type="spellEnd"/>
      <w:r w:rsidR="00D57400" w:rsidRPr="00E16672">
        <w:rPr>
          <w:rFonts w:ascii="Times New Roman" w:hAnsi="Times New Roman"/>
          <w:color w:val="000000"/>
          <w:szCs w:val="20"/>
        </w:rPr>
        <w:t xml:space="preserve"> </w:t>
      </w:r>
      <w:proofErr w:type="spellStart"/>
      <w:r w:rsidR="00D57400" w:rsidRPr="00E16672">
        <w:rPr>
          <w:rFonts w:ascii="Times New Roman" w:hAnsi="Times New Roman"/>
          <w:color w:val="000000"/>
          <w:szCs w:val="20"/>
        </w:rPr>
        <w:t>підпису</w:t>
      </w:r>
      <w:proofErr w:type="spellEnd"/>
      <w:r w:rsidRPr="00E16672">
        <w:rPr>
          <w:rFonts w:ascii="Times New Roman" w:hAnsi="Times New Roman"/>
          <w:color w:val="000000"/>
          <w:szCs w:val="20"/>
        </w:rPr>
        <w:t xml:space="preserve"> та </w:t>
      </w:r>
      <w:proofErr w:type="spellStart"/>
      <w:r w:rsidR="00D57400" w:rsidRPr="00E16672">
        <w:rPr>
          <w:rFonts w:ascii="Times New Roman" w:hAnsi="Times New Roman"/>
          <w:color w:val="000000"/>
          <w:szCs w:val="20"/>
        </w:rPr>
        <w:t>кваліфікованого</w:t>
      </w:r>
      <w:proofErr w:type="spellEnd"/>
      <w:r w:rsidR="00D57400" w:rsidRPr="00E16672">
        <w:rPr>
          <w:rFonts w:ascii="Times New Roman" w:hAnsi="Times New Roman"/>
          <w:color w:val="000000"/>
          <w:szCs w:val="20"/>
        </w:rPr>
        <w:t xml:space="preserve"> </w:t>
      </w:r>
      <w:proofErr w:type="spellStart"/>
      <w:r w:rsidR="00D57400" w:rsidRPr="00E16672">
        <w:rPr>
          <w:rFonts w:ascii="Times New Roman" w:hAnsi="Times New Roman"/>
          <w:color w:val="000000"/>
          <w:szCs w:val="20"/>
        </w:rPr>
        <w:t>електронного</w:t>
      </w:r>
      <w:proofErr w:type="spellEnd"/>
      <w:r w:rsidR="00D57400" w:rsidRPr="00E16672">
        <w:rPr>
          <w:rFonts w:ascii="Times New Roman" w:hAnsi="Times New Roman"/>
          <w:color w:val="000000"/>
          <w:szCs w:val="20"/>
        </w:rPr>
        <w:t xml:space="preserve"> </w:t>
      </w:r>
      <w:proofErr w:type="spellStart"/>
      <w:r w:rsidR="00D57400" w:rsidRPr="00E16672">
        <w:rPr>
          <w:rFonts w:ascii="Times New Roman" w:hAnsi="Times New Roman"/>
          <w:color w:val="000000"/>
          <w:szCs w:val="20"/>
        </w:rPr>
        <w:t>підпису</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що</w:t>
      </w:r>
      <w:proofErr w:type="spellEnd"/>
      <w:r w:rsidRPr="00E16672">
        <w:rPr>
          <w:rFonts w:ascii="Times New Roman" w:hAnsi="Times New Roman"/>
          <w:color w:val="000000"/>
          <w:szCs w:val="20"/>
        </w:rPr>
        <w:t xml:space="preserve"> за </w:t>
      </w:r>
      <w:proofErr w:type="spellStart"/>
      <w:r w:rsidRPr="00E16672">
        <w:rPr>
          <w:rFonts w:ascii="Times New Roman" w:hAnsi="Times New Roman"/>
          <w:color w:val="000000"/>
          <w:szCs w:val="20"/>
        </w:rPr>
        <w:t>правовим</w:t>
      </w:r>
      <w:proofErr w:type="spellEnd"/>
      <w:r w:rsidRPr="00E16672">
        <w:rPr>
          <w:rFonts w:ascii="Times New Roman" w:hAnsi="Times New Roman"/>
          <w:color w:val="000000"/>
          <w:szCs w:val="20"/>
        </w:rPr>
        <w:t xml:space="preserve"> статусом </w:t>
      </w:r>
      <w:proofErr w:type="spellStart"/>
      <w:r w:rsidRPr="00E16672">
        <w:rPr>
          <w:rFonts w:ascii="Times New Roman" w:hAnsi="Times New Roman"/>
          <w:color w:val="000000"/>
          <w:szCs w:val="20"/>
        </w:rPr>
        <w:t>прирівнюється</w:t>
      </w:r>
      <w:proofErr w:type="spellEnd"/>
      <w:r w:rsidRPr="00E16672">
        <w:rPr>
          <w:rFonts w:ascii="Times New Roman" w:hAnsi="Times New Roman"/>
          <w:color w:val="000000"/>
          <w:szCs w:val="20"/>
        </w:rPr>
        <w:t xml:space="preserve"> до печатки </w:t>
      </w:r>
      <w:proofErr w:type="spellStart"/>
      <w:r w:rsidRPr="00E16672">
        <w:rPr>
          <w:rFonts w:ascii="Times New Roman" w:hAnsi="Times New Roman"/>
          <w:color w:val="000000"/>
          <w:szCs w:val="20"/>
        </w:rPr>
        <w:t>юридичної</w:t>
      </w:r>
      <w:proofErr w:type="spellEnd"/>
      <w:r w:rsidRPr="00E16672">
        <w:rPr>
          <w:rFonts w:ascii="Times New Roman" w:hAnsi="Times New Roman"/>
          <w:color w:val="000000"/>
          <w:szCs w:val="20"/>
        </w:rPr>
        <w:t xml:space="preserve"> особи</w:t>
      </w:r>
      <w:r w:rsidRPr="00E16672">
        <w:rPr>
          <w:rFonts w:ascii="Times New Roman" w:hAnsi="Times New Roman"/>
          <w:color w:val="000000"/>
          <w:szCs w:val="20"/>
          <w:lang w:val="uk-UA"/>
        </w:rPr>
        <w:t xml:space="preserve"> </w:t>
      </w:r>
      <w:r w:rsidRPr="00E16672">
        <w:rPr>
          <w:rFonts w:ascii="Times New Roman" w:hAnsi="Times New Roman"/>
          <w:color w:val="000000"/>
          <w:szCs w:val="20"/>
        </w:rPr>
        <w:t>– Ем</w:t>
      </w:r>
      <w:r w:rsidRPr="00E16672">
        <w:rPr>
          <w:rFonts w:ascii="Times New Roman" w:hAnsi="Times New Roman"/>
          <w:color w:val="000000"/>
          <w:szCs w:val="20"/>
          <w:lang w:val="uk-UA"/>
        </w:rPr>
        <w:t>і</w:t>
      </w:r>
      <w:r w:rsidRPr="00E16672">
        <w:rPr>
          <w:rFonts w:ascii="Times New Roman" w:hAnsi="Times New Roman"/>
          <w:color w:val="000000"/>
          <w:szCs w:val="20"/>
        </w:rPr>
        <w:t>тента</w:t>
      </w:r>
      <w:r w:rsidRPr="00E16672">
        <w:rPr>
          <w:rFonts w:ascii="Times New Roman" w:hAnsi="Times New Roman"/>
          <w:color w:val="000000"/>
          <w:szCs w:val="20"/>
          <w:lang w:val="uk-UA"/>
        </w:rPr>
        <w:t xml:space="preserve">. Рахунок також може бути підписаний Депозитарною установою за допомогою </w:t>
      </w:r>
      <w:proofErr w:type="spellStart"/>
      <w:r w:rsidR="00D57400" w:rsidRPr="00E16672">
        <w:rPr>
          <w:rFonts w:ascii="Times New Roman" w:hAnsi="Times New Roman"/>
          <w:color w:val="000000"/>
          <w:szCs w:val="20"/>
        </w:rPr>
        <w:t>кваліфікованого</w:t>
      </w:r>
      <w:proofErr w:type="spellEnd"/>
      <w:r w:rsidR="00D57400" w:rsidRPr="00E16672">
        <w:rPr>
          <w:rFonts w:ascii="Times New Roman" w:hAnsi="Times New Roman"/>
          <w:color w:val="000000"/>
          <w:szCs w:val="20"/>
        </w:rPr>
        <w:t xml:space="preserve"> </w:t>
      </w:r>
      <w:proofErr w:type="spellStart"/>
      <w:r w:rsidR="00D57400" w:rsidRPr="00E16672">
        <w:rPr>
          <w:rFonts w:ascii="Times New Roman" w:hAnsi="Times New Roman"/>
          <w:color w:val="000000"/>
          <w:szCs w:val="20"/>
        </w:rPr>
        <w:t>електронного</w:t>
      </w:r>
      <w:proofErr w:type="spellEnd"/>
      <w:r w:rsidR="00D57400" w:rsidRPr="00E16672">
        <w:rPr>
          <w:rFonts w:ascii="Times New Roman" w:hAnsi="Times New Roman"/>
          <w:color w:val="000000"/>
          <w:szCs w:val="20"/>
        </w:rPr>
        <w:t xml:space="preserve"> </w:t>
      </w:r>
      <w:proofErr w:type="spellStart"/>
      <w:r w:rsidR="00D57400" w:rsidRPr="00E16672">
        <w:rPr>
          <w:rFonts w:ascii="Times New Roman" w:hAnsi="Times New Roman"/>
          <w:color w:val="000000"/>
          <w:szCs w:val="20"/>
        </w:rPr>
        <w:t>підпису</w:t>
      </w:r>
      <w:proofErr w:type="spellEnd"/>
      <w:r w:rsidRPr="00E16672">
        <w:rPr>
          <w:rFonts w:ascii="Times New Roman" w:hAnsi="Times New Roman"/>
          <w:color w:val="000000"/>
          <w:szCs w:val="20"/>
          <w:lang w:val="uk-UA"/>
        </w:rPr>
        <w:t xml:space="preserve"> </w:t>
      </w:r>
      <w:r w:rsidRPr="00E16672">
        <w:rPr>
          <w:rFonts w:ascii="Times New Roman" w:hAnsi="Times New Roman"/>
          <w:color w:val="000000"/>
          <w:szCs w:val="20"/>
        </w:rPr>
        <w:t xml:space="preserve">та </w:t>
      </w:r>
      <w:proofErr w:type="spellStart"/>
      <w:r w:rsidR="00D57400" w:rsidRPr="00E16672">
        <w:rPr>
          <w:rFonts w:ascii="Times New Roman" w:hAnsi="Times New Roman"/>
          <w:color w:val="000000"/>
          <w:szCs w:val="20"/>
        </w:rPr>
        <w:t>кваліфікованого</w:t>
      </w:r>
      <w:proofErr w:type="spellEnd"/>
      <w:r w:rsidR="00D57400" w:rsidRPr="00E16672">
        <w:rPr>
          <w:rFonts w:ascii="Times New Roman" w:hAnsi="Times New Roman"/>
          <w:color w:val="000000"/>
          <w:szCs w:val="20"/>
        </w:rPr>
        <w:t xml:space="preserve"> </w:t>
      </w:r>
      <w:proofErr w:type="spellStart"/>
      <w:r w:rsidR="00D57400" w:rsidRPr="00E16672">
        <w:rPr>
          <w:rFonts w:ascii="Times New Roman" w:hAnsi="Times New Roman"/>
          <w:color w:val="000000"/>
          <w:szCs w:val="20"/>
        </w:rPr>
        <w:t>електронного</w:t>
      </w:r>
      <w:proofErr w:type="spellEnd"/>
      <w:r w:rsidR="00D57400" w:rsidRPr="00E16672">
        <w:rPr>
          <w:rFonts w:ascii="Times New Roman" w:hAnsi="Times New Roman"/>
          <w:color w:val="000000"/>
          <w:szCs w:val="20"/>
        </w:rPr>
        <w:t xml:space="preserve"> </w:t>
      </w:r>
      <w:proofErr w:type="spellStart"/>
      <w:r w:rsidR="00D57400" w:rsidRPr="00E16672">
        <w:rPr>
          <w:rFonts w:ascii="Times New Roman" w:hAnsi="Times New Roman"/>
          <w:color w:val="000000"/>
          <w:szCs w:val="20"/>
        </w:rPr>
        <w:t>підпису</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що</w:t>
      </w:r>
      <w:proofErr w:type="spellEnd"/>
      <w:r w:rsidRPr="00E16672">
        <w:rPr>
          <w:rFonts w:ascii="Times New Roman" w:hAnsi="Times New Roman"/>
          <w:color w:val="000000"/>
          <w:szCs w:val="20"/>
        </w:rPr>
        <w:t xml:space="preserve"> за </w:t>
      </w:r>
      <w:proofErr w:type="spellStart"/>
      <w:r w:rsidRPr="00E16672">
        <w:rPr>
          <w:rFonts w:ascii="Times New Roman" w:hAnsi="Times New Roman"/>
          <w:color w:val="000000"/>
          <w:szCs w:val="20"/>
        </w:rPr>
        <w:t>правовим</w:t>
      </w:r>
      <w:proofErr w:type="spellEnd"/>
      <w:r w:rsidRPr="00E16672">
        <w:rPr>
          <w:rFonts w:ascii="Times New Roman" w:hAnsi="Times New Roman"/>
          <w:color w:val="000000"/>
          <w:szCs w:val="20"/>
        </w:rPr>
        <w:t xml:space="preserve"> статусом </w:t>
      </w:r>
      <w:proofErr w:type="spellStart"/>
      <w:r w:rsidRPr="00E16672">
        <w:rPr>
          <w:rFonts w:ascii="Times New Roman" w:hAnsi="Times New Roman"/>
          <w:color w:val="000000"/>
          <w:szCs w:val="20"/>
        </w:rPr>
        <w:t>прирівнюється</w:t>
      </w:r>
      <w:proofErr w:type="spellEnd"/>
      <w:r w:rsidRPr="00E16672">
        <w:rPr>
          <w:rFonts w:ascii="Times New Roman" w:hAnsi="Times New Roman"/>
          <w:color w:val="000000"/>
          <w:szCs w:val="20"/>
        </w:rPr>
        <w:t xml:space="preserve"> до печатки </w:t>
      </w:r>
      <w:proofErr w:type="spellStart"/>
      <w:r w:rsidRPr="00E16672">
        <w:rPr>
          <w:rFonts w:ascii="Times New Roman" w:hAnsi="Times New Roman"/>
          <w:color w:val="000000"/>
          <w:szCs w:val="20"/>
        </w:rPr>
        <w:t>юридичної</w:t>
      </w:r>
      <w:proofErr w:type="spellEnd"/>
      <w:r w:rsidRPr="00E16672">
        <w:rPr>
          <w:rFonts w:ascii="Times New Roman" w:hAnsi="Times New Roman"/>
          <w:color w:val="000000"/>
          <w:szCs w:val="20"/>
        </w:rPr>
        <w:t xml:space="preserve"> особ</w:t>
      </w:r>
      <w:r w:rsidRPr="00E16672">
        <w:rPr>
          <w:rFonts w:ascii="Times New Roman" w:hAnsi="Times New Roman"/>
          <w:color w:val="000000"/>
          <w:szCs w:val="20"/>
          <w:lang w:val="uk-UA"/>
        </w:rPr>
        <w:t xml:space="preserve">и </w:t>
      </w:r>
      <w:r w:rsidRPr="00E16672">
        <w:rPr>
          <w:rFonts w:ascii="Times New Roman" w:hAnsi="Times New Roman"/>
          <w:bCs/>
          <w:color w:val="000000"/>
          <w:szCs w:val="20"/>
          <w:lang w:val="uk-UA"/>
        </w:rPr>
        <w:t>(крім керуючих рахунком)</w:t>
      </w:r>
      <w:r w:rsidRPr="00E16672">
        <w:rPr>
          <w:rFonts w:ascii="Times New Roman" w:hAnsi="Times New Roman"/>
          <w:color w:val="000000"/>
          <w:szCs w:val="20"/>
          <w:lang w:val="uk-UA"/>
        </w:rPr>
        <w:t>.</w:t>
      </w:r>
    </w:p>
    <w:p w14:paraId="7CD27AFF" w14:textId="77777777" w:rsidR="000A5A99" w:rsidRPr="00E16672" w:rsidRDefault="000A5A99" w:rsidP="000A5A99">
      <w:pPr>
        <w:ind w:left="-12" w:firstLine="579"/>
        <w:rPr>
          <w:rFonts w:ascii="Times New Roman" w:hAnsi="Times New Roman"/>
          <w:color w:val="000000"/>
          <w:szCs w:val="20"/>
          <w:shd w:val="clear" w:color="auto" w:fill="FFFFFF"/>
        </w:rPr>
      </w:pPr>
      <w:r w:rsidRPr="00E16672">
        <w:rPr>
          <w:rFonts w:ascii="Times New Roman" w:hAnsi="Times New Roman"/>
          <w:color w:val="000000"/>
          <w:szCs w:val="20"/>
          <w:shd w:val="clear" w:color="auto" w:fill="FFFFFF"/>
        </w:rPr>
        <w:t xml:space="preserve">4.5. Плата вноситься </w:t>
      </w:r>
      <w:proofErr w:type="spellStart"/>
      <w:r w:rsidRPr="00E16672">
        <w:rPr>
          <w:rFonts w:ascii="Times New Roman" w:hAnsi="Times New Roman"/>
          <w:color w:val="000000"/>
          <w:szCs w:val="20"/>
          <w:shd w:val="clear" w:color="auto" w:fill="FFFFFF"/>
        </w:rPr>
        <w:t>Емітентом</w:t>
      </w:r>
      <w:proofErr w:type="spellEnd"/>
      <w:r w:rsidRPr="00E16672">
        <w:rPr>
          <w:rFonts w:ascii="Times New Roman" w:hAnsi="Times New Roman"/>
          <w:color w:val="000000"/>
          <w:szCs w:val="20"/>
          <w:shd w:val="clear" w:color="auto" w:fill="FFFFFF"/>
        </w:rPr>
        <w:t xml:space="preserve"> </w:t>
      </w:r>
      <w:proofErr w:type="spellStart"/>
      <w:r w:rsidRPr="00E16672">
        <w:rPr>
          <w:rFonts w:ascii="Times New Roman" w:hAnsi="Times New Roman"/>
          <w:bCs/>
          <w:color w:val="000000"/>
          <w:szCs w:val="20"/>
          <w:shd w:val="clear" w:color="auto" w:fill="FFFFFF"/>
        </w:rPr>
        <w:t>протягом</w:t>
      </w:r>
      <w:proofErr w:type="spellEnd"/>
      <w:r w:rsidRPr="00E16672">
        <w:rPr>
          <w:rFonts w:ascii="Times New Roman" w:hAnsi="Times New Roman"/>
          <w:bCs/>
          <w:color w:val="000000"/>
          <w:szCs w:val="20"/>
          <w:shd w:val="clear" w:color="auto" w:fill="FFFFFF"/>
        </w:rPr>
        <w:t xml:space="preserve"> </w:t>
      </w:r>
      <w:r w:rsidRPr="00E16672">
        <w:rPr>
          <w:rFonts w:ascii="Times New Roman" w:hAnsi="Times New Roman"/>
          <w:bCs/>
          <w:i/>
          <w:color w:val="000000"/>
          <w:szCs w:val="20"/>
          <w:shd w:val="clear" w:color="auto" w:fill="FFFFFF"/>
        </w:rPr>
        <w:t>одного</w:t>
      </w:r>
      <w:r w:rsidRPr="00E16672">
        <w:rPr>
          <w:rFonts w:ascii="Times New Roman" w:hAnsi="Times New Roman"/>
          <w:bCs/>
          <w:color w:val="000000"/>
          <w:szCs w:val="20"/>
          <w:shd w:val="clear" w:color="auto" w:fill="FFFFFF"/>
        </w:rPr>
        <w:t xml:space="preserve"> </w:t>
      </w:r>
      <w:proofErr w:type="spellStart"/>
      <w:r w:rsidRPr="00E16672">
        <w:rPr>
          <w:rFonts w:ascii="Times New Roman" w:hAnsi="Times New Roman"/>
          <w:bCs/>
          <w:color w:val="000000"/>
          <w:szCs w:val="20"/>
          <w:shd w:val="clear" w:color="auto" w:fill="FFFFFF"/>
        </w:rPr>
        <w:t>робочого</w:t>
      </w:r>
      <w:proofErr w:type="spellEnd"/>
      <w:r w:rsidRPr="00E16672">
        <w:rPr>
          <w:rFonts w:ascii="Times New Roman" w:hAnsi="Times New Roman"/>
          <w:bCs/>
          <w:color w:val="000000"/>
          <w:szCs w:val="20"/>
          <w:shd w:val="clear" w:color="auto" w:fill="FFFFFF"/>
        </w:rPr>
        <w:t xml:space="preserve"> дня з дня </w:t>
      </w:r>
      <w:proofErr w:type="spellStart"/>
      <w:r w:rsidRPr="00E16672">
        <w:rPr>
          <w:rFonts w:ascii="Times New Roman" w:hAnsi="Times New Roman"/>
          <w:bCs/>
          <w:color w:val="000000"/>
          <w:szCs w:val="20"/>
          <w:shd w:val="clear" w:color="auto" w:fill="FFFFFF"/>
        </w:rPr>
        <w:t>підписання</w:t>
      </w:r>
      <w:proofErr w:type="spellEnd"/>
      <w:r w:rsidRPr="00E16672">
        <w:rPr>
          <w:rFonts w:ascii="Times New Roman" w:hAnsi="Times New Roman"/>
          <w:bCs/>
          <w:color w:val="000000"/>
          <w:szCs w:val="20"/>
          <w:shd w:val="clear" w:color="auto" w:fill="FFFFFF"/>
        </w:rPr>
        <w:t xml:space="preserve"> акту Депозитарною </w:t>
      </w:r>
      <w:proofErr w:type="spellStart"/>
      <w:r w:rsidRPr="00E16672">
        <w:rPr>
          <w:rFonts w:ascii="Times New Roman" w:hAnsi="Times New Roman"/>
          <w:bCs/>
          <w:color w:val="000000"/>
          <w:szCs w:val="20"/>
          <w:shd w:val="clear" w:color="auto" w:fill="FFFFFF"/>
        </w:rPr>
        <w:t>установою</w:t>
      </w:r>
      <w:proofErr w:type="spellEnd"/>
      <w:r w:rsidRPr="00E16672">
        <w:rPr>
          <w:rFonts w:ascii="Times New Roman" w:hAnsi="Times New Roman"/>
          <w:bCs/>
          <w:color w:val="000000"/>
          <w:szCs w:val="20"/>
          <w:shd w:val="clear" w:color="auto" w:fill="FFFFFF"/>
        </w:rPr>
        <w:t xml:space="preserve"> </w:t>
      </w:r>
      <w:r w:rsidRPr="00E16672">
        <w:rPr>
          <w:rFonts w:ascii="Times New Roman" w:hAnsi="Times New Roman"/>
          <w:color w:val="000000"/>
          <w:szCs w:val="20"/>
        </w:rPr>
        <w:t xml:space="preserve">у </w:t>
      </w:r>
      <w:proofErr w:type="spellStart"/>
      <w:r w:rsidRPr="00E16672">
        <w:rPr>
          <w:rFonts w:ascii="Times New Roman" w:hAnsi="Times New Roman"/>
          <w:color w:val="000000"/>
          <w:szCs w:val="20"/>
        </w:rPr>
        <w:t>безготівковій</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формі</w:t>
      </w:r>
      <w:proofErr w:type="spellEnd"/>
      <w:r w:rsidRPr="00E16672">
        <w:rPr>
          <w:rFonts w:ascii="Times New Roman" w:hAnsi="Times New Roman"/>
          <w:color w:val="000000"/>
          <w:szCs w:val="20"/>
        </w:rPr>
        <w:t xml:space="preserve"> </w:t>
      </w:r>
      <w:r w:rsidRPr="00E16672">
        <w:rPr>
          <w:rFonts w:ascii="Times New Roman" w:hAnsi="Times New Roman"/>
          <w:color w:val="000000"/>
          <w:szCs w:val="20"/>
          <w:shd w:val="clear" w:color="auto" w:fill="FFFFFF"/>
        </w:rPr>
        <w:t xml:space="preserve">шляхом </w:t>
      </w:r>
      <w:proofErr w:type="spellStart"/>
      <w:r w:rsidRPr="00E16672">
        <w:rPr>
          <w:rFonts w:ascii="Times New Roman" w:hAnsi="Times New Roman"/>
          <w:color w:val="000000"/>
          <w:szCs w:val="20"/>
          <w:shd w:val="clear" w:color="auto" w:fill="FFFFFF"/>
        </w:rPr>
        <w:t>перерахування</w:t>
      </w:r>
      <w:proofErr w:type="spellEnd"/>
      <w:r w:rsidRPr="00E16672">
        <w:rPr>
          <w:rFonts w:ascii="Times New Roman" w:hAnsi="Times New Roman"/>
          <w:color w:val="000000"/>
          <w:szCs w:val="20"/>
          <w:shd w:val="clear" w:color="auto" w:fill="FFFFFF"/>
        </w:rPr>
        <w:t xml:space="preserve"> </w:t>
      </w:r>
      <w:proofErr w:type="spellStart"/>
      <w:r w:rsidRPr="00E16672">
        <w:rPr>
          <w:rFonts w:ascii="Times New Roman" w:hAnsi="Times New Roman"/>
          <w:color w:val="000000"/>
          <w:szCs w:val="20"/>
          <w:shd w:val="clear" w:color="auto" w:fill="FFFFFF"/>
        </w:rPr>
        <w:t>грошових</w:t>
      </w:r>
      <w:proofErr w:type="spellEnd"/>
      <w:r w:rsidRPr="00E16672">
        <w:rPr>
          <w:rFonts w:ascii="Times New Roman" w:hAnsi="Times New Roman"/>
          <w:color w:val="000000"/>
          <w:szCs w:val="20"/>
          <w:shd w:val="clear" w:color="auto" w:fill="FFFFFF"/>
        </w:rPr>
        <w:t xml:space="preserve"> </w:t>
      </w:r>
      <w:proofErr w:type="spellStart"/>
      <w:r w:rsidRPr="00E16672">
        <w:rPr>
          <w:rFonts w:ascii="Times New Roman" w:hAnsi="Times New Roman"/>
          <w:color w:val="000000"/>
          <w:szCs w:val="20"/>
          <w:shd w:val="clear" w:color="auto" w:fill="FFFFFF"/>
        </w:rPr>
        <w:t>коштів</w:t>
      </w:r>
      <w:proofErr w:type="spellEnd"/>
      <w:r w:rsidRPr="00E16672">
        <w:rPr>
          <w:rFonts w:ascii="Times New Roman" w:hAnsi="Times New Roman"/>
          <w:color w:val="000000"/>
          <w:szCs w:val="20"/>
          <w:shd w:val="clear" w:color="auto" w:fill="FFFFFF"/>
        </w:rPr>
        <w:t xml:space="preserve"> за </w:t>
      </w:r>
      <w:proofErr w:type="spellStart"/>
      <w:r w:rsidRPr="00E16672">
        <w:rPr>
          <w:rFonts w:ascii="Times New Roman" w:hAnsi="Times New Roman"/>
          <w:color w:val="000000"/>
          <w:szCs w:val="20"/>
          <w:shd w:val="clear" w:color="auto" w:fill="FFFFFF"/>
        </w:rPr>
        <w:t>реквізитами</w:t>
      </w:r>
      <w:proofErr w:type="spellEnd"/>
      <w:r w:rsidRPr="00E16672">
        <w:rPr>
          <w:rFonts w:ascii="Times New Roman" w:hAnsi="Times New Roman"/>
          <w:color w:val="000000"/>
          <w:szCs w:val="20"/>
          <w:shd w:val="clear" w:color="auto" w:fill="FFFFFF"/>
        </w:rPr>
        <w:t xml:space="preserve">, </w:t>
      </w:r>
      <w:proofErr w:type="spellStart"/>
      <w:r w:rsidRPr="00E16672">
        <w:rPr>
          <w:rFonts w:ascii="Times New Roman" w:hAnsi="Times New Roman"/>
          <w:color w:val="000000"/>
          <w:szCs w:val="20"/>
          <w:shd w:val="clear" w:color="auto" w:fill="FFFFFF"/>
        </w:rPr>
        <w:t>вказаними</w:t>
      </w:r>
      <w:proofErr w:type="spellEnd"/>
      <w:r w:rsidRPr="00E16672">
        <w:rPr>
          <w:rFonts w:ascii="Times New Roman" w:hAnsi="Times New Roman"/>
          <w:color w:val="000000"/>
          <w:szCs w:val="20"/>
          <w:shd w:val="clear" w:color="auto" w:fill="FFFFFF"/>
        </w:rPr>
        <w:t xml:space="preserve"> </w:t>
      </w:r>
      <w:r w:rsidRPr="00E16672">
        <w:rPr>
          <w:rFonts w:ascii="Times New Roman" w:eastAsia="Arial Unicode MS" w:hAnsi="Times New Roman"/>
          <w:color w:val="000000"/>
          <w:szCs w:val="20"/>
        </w:rPr>
        <w:t xml:space="preserve">Депозитарною </w:t>
      </w:r>
      <w:proofErr w:type="spellStart"/>
      <w:r w:rsidRPr="00E16672">
        <w:rPr>
          <w:rFonts w:ascii="Times New Roman" w:eastAsia="Arial Unicode MS" w:hAnsi="Times New Roman"/>
          <w:color w:val="000000"/>
          <w:szCs w:val="20"/>
        </w:rPr>
        <w:t>установою</w:t>
      </w:r>
      <w:proofErr w:type="spellEnd"/>
      <w:r w:rsidRPr="00E16672">
        <w:rPr>
          <w:rFonts w:ascii="Times New Roman" w:hAnsi="Times New Roman"/>
          <w:color w:val="000000"/>
          <w:szCs w:val="20"/>
          <w:shd w:val="clear" w:color="auto" w:fill="FFFFFF"/>
        </w:rPr>
        <w:t xml:space="preserve">. </w:t>
      </w:r>
      <w:proofErr w:type="spellStart"/>
      <w:r w:rsidRPr="00E16672">
        <w:rPr>
          <w:rFonts w:ascii="Times New Roman" w:hAnsi="Times New Roman"/>
          <w:color w:val="000000"/>
          <w:szCs w:val="20"/>
          <w:shd w:val="clear" w:color="auto" w:fill="FFFFFF"/>
        </w:rPr>
        <w:t>Операція</w:t>
      </w:r>
      <w:proofErr w:type="spellEnd"/>
      <w:r w:rsidRPr="00E16672">
        <w:rPr>
          <w:rFonts w:ascii="Times New Roman" w:hAnsi="Times New Roman"/>
          <w:color w:val="000000"/>
          <w:szCs w:val="20"/>
          <w:shd w:val="clear" w:color="auto" w:fill="FFFFFF"/>
        </w:rPr>
        <w:t xml:space="preserve"> </w:t>
      </w:r>
      <w:proofErr w:type="spellStart"/>
      <w:r w:rsidRPr="00E16672">
        <w:rPr>
          <w:rFonts w:ascii="Times New Roman" w:hAnsi="Times New Roman"/>
          <w:color w:val="000000"/>
          <w:szCs w:val="20"/>
          <w:shd w:val="clear" w:color="auto" w:fill="FFFFFF"/>
        </w:rPr>
        <w:t>закриття</w:t>
      </w:r>
      <w:proofErr w:type="spellEnd"/>
      <w:r w:rsidRPr="00E16672">
        <w:rPr>
          <w:rFonts w:ascii="Times New Roman" w:hAnsi="Times New Roman"/>
          <w:color w:val="000000"/>
          <w:szCs w:val="20"/>
          <w:shd w:val="clear" w:color="auto" w:fill="FFFFFF"/>
        </w:rPr>
        <w:t xml:space="preserve"> </w:t>
      </w:r>
      <w:proofErr w:type="spellStart"/>
      <w:r w:rsidRPr="00E16672">
        <w:rPr>
          <w:rFonts w:ascii="Times New Roman" w:hAnsi="Times New Roman"/>
          <w:color w:val="000000"/>
          <w:szCs w:val="20"/>
          <w:shd w:val="clear" w:color="auto" w:fill="FFFFFF"/>
        </w:rPr>
        <w:t>рахунків</w:t>
      </w:r>
      <w:proofErr w:type="spellEnd"/>
      <w:r w:rsidRPr="00E16672">
        <w:rPr>
          <w:rFonts w:ascii="Times New Roman" w:hAnsi="Times New Roman"/>
          <w:color w:val="000000"/>
          <w:szCs w:val="20"/>
          <w:shd w:val="clear" w:color="auto" w:fill="FFFFFF"/>
        </w:rPr>
        <w:t xml:space="preserve"> </w:t>
      </w:r>
      <w:r w:rsidR="00C22309" w:rsidRPr="00E16672">
        <w:rPr>
          <w:rFonts w:ascii="Times New Roman" w:hAnsi="Times New Roman"/>
          <w:color w:val="000000"/>
          <w:szCs w:val="20"/>
          <w:shd w:val="clear" w:color="auto" w:fill="FFFFFF"/>
        </w:rPr>
        <w:t xml:space="preserve">в </w:t>
      </w:r>
      <w:proofErr w:type="spellStart"/>
      <w:r w:rsidR="00C22309" w:rsidRPr="00E16672">
        <w:rPr>
          <w:rFonts w:ascii="Times New Roman" w:hAnsi="Times New Roman"/>
          <w:color w:val="000000"/>
          <w:szCs w:val="20"/>
          <w:shd w:val="clear" w:color="auto" w:fill="FFFFFF"/>
        </w:rPr>
        <w:t>цін</w:t>
      </w:r>
      <w:r w:rsidRPr="00E16672">
        <w:rPr>
          <w:rFonts w:ascii="Times New Roman" w:hAnsi="Times New Roman"/>
          <w:color w:val="000000"/>
          <w:szCs w:val="20"/>
          <w:shd w:val="clear" w:color="auto" w:fill="FFFFFF"/>
        </w:rPr>
        <w:t>них</w:t>
      </w:r>
      <w:proofErr w:type="spellEnd"/>
      <w:r w:rsidRPr="00E16672">
        <w:rPr>
          <w:rFonts w:ascii="Times New Roman" w:hAnsi="Times New Roman"/>
          <w:color w:val="000000"/>
          <w:szCs w:val="20"/>
          <w:shd w:val="clear" w:color="auto" w:fill="FFFFFF"/>
        </w:rPr>
        <w:t xml:space="preserve"> </w:t>
      </w:r>
      <w:proofErr w:type="spellStart"/>
      <w:r w:rsidRPr="00E16672">
        <w:rPr>
          <w:rFonts w:ascii="Times New Roman" w:hAnsi="Times New Roman"/>
          <w:color w:val="000000"/>
          <w:szCs w:val="20"/>
          <w:shd w:val="clear" w:color="auto" w:fill="FFFFFF"/>
        </w:rPr>
        <w:t>паперах</w:t>
      </w:r>
      <w:proofErr w:type="spellEnd"/>
      <w:r w:rsidRPr="00E16672">
        <w:rPr>
          <w:rFonts w:ascii="Times New Roman" w:hAnsi="Times New Roman"/>
          <w:color w:val="000000"/>
          <w:szCs w:val="20"/>
          <w:shd w:val="clear" w:color="auto" w:fill="FFFFFF"/>
        </w:rPr>
        <w:t xml:space="preserve"> повинна бути оплачена до </w:t>
      </w:r>
      <w:proofErr w:type="spellStart"/>
      <w:r w:rsidRPr="00E16672">
        <w:rPr>
          <w:rFonts w:ascii="Times New Roman" w:hAnsi="Times New Roman"/>
          <w:color w:val="000000"/>
          <w:szCs w:val="20"/>
          <w:shd w:val="clear" w:color="auto" w:fill="FFFFFF"/>
        </w:rPr>
        <w:t>виконання</w:t>
      </w:r>
      <w:proofErr w:type="spellEnd"/>
      <w:r w:rsidRPr="00E16672">
        <w:rPr>
          <w:rFonts w:ascii="Times New Roman" w:hAnsi="Times New Roman"/>
          <w:color w:val="000000"/>
          <w:szCs w:val="20"/>
          <w:shd w:val="clear" w:color="auto" w:fill="FFFFFF"/>
        </w:rPr>
        <w:t xml:space="preserve"> </w:t>
      </w:r>
      <w:proofErr w:type="spellStart"/>
      <w:r w:rsidRPr="00E16672">
        <w:rPr>
          <w:rFonts w:ascii="Times New Roman" w:hAnsi="Times New Roman"/>
          <w:color w:val="000000"/>
          <w:szCs w:val="20"/>
          <w:shd w:val="clear" w:color="auto" w:fill="FFFFFF"/>
        </w:rPr>
        <w:t>цієї</w:t>
      </w:r>
      <w:proofErr w:type="spellEnd"/>
      <w:r w:rsidRPr="00E16672">
        <w:rPr>
          <w:rFonts w:ascii="Times New Roman" w:hAnsi="Times New Roman"/>
          <w:color w:val="000000"/>
          <w:szCs w:val="20"/>
          <w:shd w:val="clear" w:color="auto" w:fill="FFFFFF"/>
        </w:rPr>
        <w:t xml:space="preserve"> </w:t>
      </w:r>
      <w:proofErr w:type="spellStart"/>
      <w:r w:rsidRPr="00E16672">
        <w:rPr>
          <w:rFonts w:ascii="Times New Roman" w:hAnsi="Times New Roman"/>
          <w:color w:val="000000"/>
          <w:szCs w:val="20"/>
          <w:shd w:val="clear" w:color="auto" w:fill="FFFFFF"/>
        </w:rPr>
        <w:t>послуги</w:t>
      </w:r>
      <w:proofErr w:type="spellEnd"/>
      <w:r w:rsidRPr="00E16672">
        <w:rPr>
          <w:rFonts w:ascii="Times New Roman" w:hAnsi="Times New Roman"/>
          <w:color w:val="000000"/>
          <w:szCs w:val="20"/>
          <w:shd w:val="clear" w:color="auto" w:fill="FFFFFF"/>
        </w:rPr>
        <w:t xml:space="preserve">.  </w:t>
      </w:r>
    </w:p>
    <w:p w14:paraId="31C592A8" w14:textId="77777777" w:rsidR="000A5A99" w:rsidRPr="00E16672" w:rsidRDefault="000A5A99" w:rsidP="000A5A99">
      <w:pPr>
        <w:ind w:firstLine="579"/>
        <w:rPr>
          <w:rFonts w:ascii="Times New Roman" w:hAnsi="Times New Roman"/>
          <w:color w:val="000000"/>
          <w:szCs w:val="20"/>
          <w:shd w:val="clear" w:color="auto" w:fill="FFFFFF"/>
        </w:rPr>
      </w:pPr>
      <w:r w:rsidRPr="00E16672">
        <w:rPr>
          <w:rFonts w:ascii="Times New Roman" w:hAnsi="Times New Roman"/>
          <w:color w:val="000000"/>
          <w:szCs w:val="20"/>
          <w:shd w:val="clear" w:color="auto" w:fill="FFFFFF"/>
        </w:rPr>
        <w:t xml:space="preserve">4.6. У </w:t>
      </w:r>
      <w:proofErr w:type="spellStart"/>
      <w:r w:rsidRPr="00E16672">
        <w:rPr>
          <w:rFonts w:ascii="Times New Roman" w:hAnsi="Times New Roman"/>
          <w:color w:val="000000"/>
          <w:szCs w:val="20"/>
          <w:shd w:val="clear" w:color="auto" w:fill="FFFFFF"/>
        </w:rPr>
        <w:t>разі</w:t>
      </w:r>
      <w:proofErr w:type="spellEnd"/>
      <w:r w:rsidRPr="00E16672">
        <w:rPr>
          <w:rFonts w:ascii="Times New Roman" w:hAnsi="Times New Roman"/>
          <w:color w:val="000000"/>
          <w:szCs w:val="20"/>
          <w:shd w:val="clear" w:color="auto" w:fill="FFFFFF"/>
        </w:rPr>
        <w:t xml:space="preserve"> </w:t>
      </w:r>
      <w:proofErr w:type="spellStart"/>
      <w:r w:rsidRPr="00E16672">
        <w:rPr>
          <w:rFonts w:ascii="Times New Roman" w:hAnsi="Times New Roman"/>
          <w:color w:val="000000"/>
          <w:szCs w:val="20"/>
          <w:shd w:val="clear" w:color="auto" w:fill="FFFFFF"/>
        </w:rPr>
        <w:t>припинення</w:t>
      </w:r>
      <w:proofErr w:type="spellEnd"/>
      <w:r w:rsidRPr="00E16672">
        <w:rPr>
          <w:rFonts w:ascii="Times New Roman" w:hAnsi="Times New Roman"/>
          <w:color w:val="000000"/>
          <w:szCs w:val="20"/>
          <w:shd w:val="clear" w:color="auto" w:fill="FFFFFF"/>
        </w:rPr>
        <w:t xml:space="preserve"> </w:t>
      </w:r>
      <w:proofErr w:type="spellStart"/>
      <w:r w:rsidRPr="00E16672">
        <w:rPr>
          <w:rFonts w:ascii="Times New Roman" w:hAnsi="Times New Roman"/>
          <w:color w:val="000000"/>
          <w:szCs w:val="20"/>
          <w:shd w:val="clear" w:color="auto" w:fill="FFFFFF"/>
        </w:rPr>
        <w:t>дії</w:t>
      </w:r>
      <w:proofErr w:type="spellEnd"/>
      <w:r w:rsidRPr="00E16672">
        <w:rPr>
          <w:rFonts w:ascii="Times New Roman" w:hAnsi="Times New Roman"/>
          <w:color w:val="000000"/>
          <w:szCs w:val="20"/>
          <w:shd w:val="clear" w:color="auto" w:fill="FFFFFF"/>
        </w:rPr>
        <w:t xml:space="preserve"> Договору </w:t>
      </w:r>
      <w:proofErr w:type="spellStart"/>
      <w:r w:rsidRPr="00E16672">
        <w:rPr>
          <w:rFonts w:ascii="Times New Roman" w:hAnsi="Times New Roman"/>
          <w:color w:val="000000"/>
          <w:szCs w:val="20"/>
          <w:shd w:val="clear" w:color="auto" w:fill="FFFFFF"/>
        </w:rPr>
        <w:t>Емітент</w:t>
      </w:r>
      <w:proofErr w:type="spellEnd"/>
      <w:r w:rsidRPr="00E16672">
        <w:rPr>
          <w:rFonts w:ascii="Times New Roman" w:hAnsi="Times New Roman"/>
          <w:color w:val="000000"/>
          <w:szCs w:val="20"/>
          <w:shd w:val="clear" w:color="auto" w:fill="FFFFFF"/>
        </w:rPr>
        <w:t xml:space="preserve"> </w:t>
      </w:r>
      <w:proofErr w:type="spellStart"/>
      <w:r w:rsidRPr="00E16672">
        <w:rPr>
          <w:rFonts w:ascii="Times New Roman" w:hAnsi="Times New Roman"/>
          <w:color w:val="000000"/>
          <w:szCs w:val="20"/>
          <w:shd w:val="clear" w:color="auto" w:fill="FFFFFF"/>
        </w:rPr>
        <w:t>зобов’язаний</w:t>
      </w:r>
      <w:proofErr w:type="spellEnd"/>
      <w:r w:rsidRPr="00E16672">
        <w:rPr>
          <w:rFonts w:ascii="Times New Roman" w:hAnsi="Times New Roman"/>
          <w:color w:val="000000"/>
          <w:szCs w:val="20"/>
          <w:shd w:val="clear" w:color="auto" w:fill="FFFFFF"/>
        </w:rPr>
        <w:t xml:space="preserve"> </w:t>
      </w:r>
      <w:proofErr w:type="spellStart"/>
      <w:r w:rsidRPr="00E16672">
        <w:rPr>
          <w:rFonts w:ascii="Times New Roman" w:hAnsi="Times New Roman"/>
          <w:color w:val="000000"/>
          <w:szCs w:val="20"/>
          <w:shd w:val="clear" w:color="auto" w:fill="FFFFFF"/>
        </w:rPr>
        <w:t>оплатити</w:t>
      </w:r>
      <w:proofErr w:type="spellEnd"/>
      <w:r w:rsidRPr="00E16672">
        <w:rPr>
          <w:rFonts w:ascii="Times New Roman" w:hAnsi="Times New Roman"/>
          <w:color w:val="000000"/>
          <w:szCs w:val="20"/>
          <w:shd w:val="clear" w:color="auto" w:fill="FFFFFF"/>
        </w:rPr>
        <w:t xml:space="preserve"> </w:t>
      </w:r>
      <w:proofErr w:type="spellStart"/>
      <w:r w:rsidRPr="00E16672">
        <w:rPr>
          <w:rFonts w:ascii="Times New Roman" w:hAnsi="Times New Roman"/>
          <w:color w:val="000000"/>
          <w:szCs w:val="20"/>
          <w:shd w:val="clear" w:color="auto" w:fill="FFFFFF"/>
        </w:rPr>
        <w:t>фактично</w:t>
      </w:r>
      <w:proofErr w:type="spellEnd"/>
      <w:r w:rsidRPr="00E16672">
        <w:rPr>
          <w:rFonts w:ascii="Times New Roman" w:hAnsi="Times New Roman"/>
          <w:color w:val="000000"/>
          <w:szCs w:val="20"/>
          <w:shd w:val="clear" w:color="auto" w:fill="FFFFFF"/>
        </w:rPr>
        <w:t xml:space="preserve"> </w:t>
      </w:r>
      <w:proofErr w:type="spellStart"/>
      <w:r w:rsidRPr="00E16672">
        <w:rPr>
          <w:rFonts w:ascii="Times New Roman" w:hAnsi="Times New Roman"/>
          <w:color w:val="000000"/>
          <w:szCs w:val="20"/>
          <w:shd w:val="clear" w:color="auto" w:fill="FFFFFF"/>
        </w:rPr>
        <w:t>надані</w:t>
      </w:r>
      <w:proofErr w:type="spellEnd"/>
      <w:r w:rsidRPr="00E16672">
        <w:rPr>
          <w:rFonts w:ascii="Times New Roman" w:hAnsi="Times New Roman"/>
          <w:color w:val="000000"/>
          <w:szCs w:val="20"/>
          <w:shd w:val="clear" w:color="auto" w:fill="FFFFFF"/>
        </w:rPr>
        <w:t xml:space="preserve"> Депозитарною </w:t>
      </w:r>
      <w:proofErr w:type="spellStart"/>
      <w:r w:rsidRPr="00E16672">
        <w:rPr>
          <w:rFonts w:ascii="Times New Roman" w:hAnsi="Times New Roman"/>
          <w:color w:val="000000"/>
          <w:szCs w:val="20"/>
          <w:shd w:val="clear" w:color="auto" w:fill="FFFFFF"/>
        </w:rPr>
        <w:t>установою</w:t>
      </w:r>
      <w:proofErr w:type="spellEnd"/>
      <w:r w:rsidRPr="00E16672">
        <w:rPr>
          <w:rFonts w:ascii="Times New Roman" w:hAnsi="Times New Roman"/>
          <w:color w:val="000000"/>
          <w:szCs w:val="20"/>
          <w:shd w:val="clear" w:color="auto" w:fill="FFFFFF"/>
        </w:rPr>
        <w:t xml:space="preserve"> </w:t>
      </w:r>
      <w:proofErr w:type="spellStart"/>
      <w:r w:rsidRPr="00E16672">
        <w:rPr>
          <w:rFonts w:ascii="Times New Roman" w:hAnsi="Times New Roman"/>
          <w:color w:val="000000"/>
          <w:szCs w:val="20"/>
          <w:shd w:val="clear" w:color="auto" w:fill="FFFFFF"/>
        </w:rPr>
        <w:t>послуги</w:t>
      </w:r>
      <w:proofErr w:type="spellEnd"/>
      <w:r w:rsidRPr="00E16672">
        <w:rPr>
          <w:rFonts w:ascii="Times New Roman" w:hAnsi="Times New Roman"/>
          <w:color w:val="000000"/>
          <w:szCs w:val="20"/>
          <w:shd w:val="clear" w:color="auto" w:fill="FFFFFF"/>
        </w:rPr>
        <w:t xml:space="preserve"> до </w:t>
      </w:r>
      <w:proofErr w:type="spellStart"/>
      <w:r w:rsidRPr="00E16672">
        <w:rPr>
          <w:rFonts w:ascii="Times New Roman" w:hAnsi="Times New Roman"/>
          <w:color w:val="000000"/>
          <w:szCs w:val="20"/>
          <w:shd w:val="clear" w:color="auto" w:fill="FFFFFF"/>
        </w:rPr>
        <w:t>дати</w:t>
      </w:r>
      <w:proofErr w:type="spellEnd"/>
      <w:r w:rsidRPr="00E16672">
        <w:rPr>
          <w:rFonts w:ascii="Times New Roman" w:hAnsi="Times New Roman"/>
          <w:color w:val="000000"/>
          <w:szCs w:val="20"/>
          <w:shd w:val="clear" w:color="auto" w:fill="FFFFFF"/>
        </w:rPr>
        <w:t xml:space="preserve"> </w:t>
      </w:r>
      <w:proofErr w:type="spellStart"/>
      <w:r w:rsidRPr="00E16672">
        <w:rPr>
          <w:rFonts w:ascii="Times New Roman" w:hAnsi="Times New Roman"/>
          <w:color w:val="000000"/>
          <w:szCs w:val="20"/>
          <w:shd w:val="clear" w:color="auto" w:fill="FFFFFF"/>
        </w:rPr>
        <w:t>припинення</w:t>
      </w:r>
      <w:proofErr w:type="spellEnd"/>
      <w:r w:rsidRPr="00E16672">
        <w:rPr>
          <w:rFonts w:ascii="Times New Roman" w:hAnsi="Times New Roman"/>
          <w:color w:val="000000"/>
          <w:szCs w:val="20"/>
          <w:shd w:val="clear" w:color="auto" w:fill="FFFFFF"/>
        </w:rPr>
        <w:t xml:space="preserve"> </w:t>
      </w:r>
      <w:proofErr w:type="spellStart"/>
      <w:r w:rsidRPr="00E16672">
        <w:rPr>
          <w:rFonts w:ascii="Times New Roman" w:hAnsi="Times New Roman"/>
          <w:color w:val="000000"/>
          <w:szCs w:val="20"/>
          <w:shd w:val="clear" w:color="auto" w:fill="FFFFFF"/>
        </w:rPr>
        <w:t>дії</w:t>
      </w:r>
      <w:proofErr w:type="spellEnd"/>
      <w:r w:rsidRPr="00E16672">
        <w:rPr>
          <w:rFonts w:ascii="Times New Roman" w:hAnsi="Times New Roman"/>
          <w:color w:val="000000"/>
          <w:szCs w:val="20"/>
          <w:shd w:val="clear" w:color="auto" w:fill="FFFFFF"/>
        </w:rPr>
        <w:t xml:space="preserve"> Договору.</w:t>
      </w:r>
    </w:p>
    <w:p w14:paraId="039800FD" w14:textId="77777777" w:rsidR="000A5A99" w:rsidRPr="00E16672" w:rsidRDefault="000A5A99" w:rsidP="000A5A99">
      <w:pPr>
        <w:ind w:firstLine="579"/>
        <w:rPr>
          <w:rFonts w:ascii="Times New Roman" w:hAnsi="Times New Roman"/>
          <w:color w:val="000000"/>
          <w:szCs w:val="20"/>
          <w:shd w:val="clear" w:color="auto" w:fill="FFFFFF"/>
        </w:rPr>
      </w:pPr>
      <w:r w:rsidRPr="00E16672">
        <w:rPr>
          <w:rFonts w:ascii="Times New Roman" w:hAnsi="Times New Roman"/>
          <w:color w:val="000000"/>
          <w:szCs w:val="20"/>
          <w:shd w:val="clear" w:color="auto" w:fill="FFFFFF"/>
        </w:rPr>
        <w:t xml:space="preserve">У </w:t>
      </w:r>
      <w:proofErr w:type="spellStart"/>
      <w:r w:rsidRPr="00E16672">
        <w:rPr>
          <w:rFonts w:ascii="Times New Roman" w:hAnsi="Times New Roman"/>
          <w:color w:val="000000"/>
          <w:szCs w:val="20"/>
          <w:shd w:val="clear" w:color="auto" w:fill="FFFFFF"/>
        </w:rPr>
        <w:t>разі</w:t>
      </w:r>
      <w:proofErr w:type="spellEnd"/>
      <w:r w:rsidRPr="00E16672">
        <w:rPr>
          <w:rFonts w:ascii="Times New Roman" w:hAnsi="Times New Roman"/>
          <w:color w:val="000000"/>
          <w:szCs w:val="20"/>
          <w:shd w:val="clear" w:color="auto" w:fill="FFFFFF"/>
        </w:rPr>
        <w:t xml:space="preserve"> </w:t>
      </w:r>
      <w:proofErr w:type="spellStart"/>
      <w:r w:rsidRPr="00E16672">
        <w:rPr>
          <w:rFonts w:ascii="Times New Roman" w:hAnsi="Times New Roman"/>
          <w:color w:val="000000"/>
          <w:szCs w:val="20"/>
          <w:shd w:val="clear" w:color="auto" w:fill="FFFFFF"/>
        </w:rPr>
        <w:t>припинення</w:t>
      </w:r>
      <w:proofErr w:type="spellEnd"/>
      <w:r w:rsidRPr="00E16672">
        <w:rPr>
          <w:rFonts w:ascii="Times New Roman" w:hAnsi="Times New Roman"/>
          <w:color w:val="000000"/>
          <w:szCs w:val="20"/>
          <w:shd w:val="clear" w:color="auto" w:fill="FFFFFF"/>
        </w:rPr>
        <w:t xml:space="preserve"> </w:t>
      </w:r>
      <w:proofErr w:type="spellStart"/>
      <w:r w:rsidRPr="00E16672">
        <w:rPr>
          <w:rFonts w:ascii="Times New Roman" w:hAnsi="Times New Roman"/>
          <w:color w:val="000000"/>
          <w:szCs w:val="20"/>
          <w:shd w:val="clear" w:color="auto" w:fill="FFFFFF"/>
        </w:rPr>
        <w:t>провадження</w:t>
      </w:r>
      <w:proofErr w:type="spellEnd"/>
      <w:r w:rsidRPr="00E16672">
        <w:rPr>
          <w:rFonts w:ascii="Times New Roman" w:hAnsi="Times New Roman"/>
          <w:color w:val="000000"/>
          <w:szCs w:val="20"/>
          <w:shd w:val="clear" w:color="auto" w:fill="FFFFFF"/>
        </w:rPr>
        <w:t xml:space="preserve"> </w:t>
      </w:r>
      <w:r w:rsidRPr="00E16672">
        <w:rPr>
          <w:rFonts w:ascii="Times New Roman" w:eastAsia="Arial Unicode MS" w:hAnsi="Times New Roman"/>
          <w:color w:val="000000"/>
          <w:szCs w:val="20"/>
        </w:rPr>
        <w:t xml:space="preserve">Депозитарною </w:t>
      </w:r>
      <w:proofErr w:type="spellStart"/>
      <w:r w:rsidRPr="00E16672">
        <w:rPr>
          <w:rFonts w:ascii="Times New Roman" w:eastAsia="Arial Unicode MS" w:hAnsi="Times New Roman"/>
          <w:color w:val="000000"/>
          <w:szCs w:val="20"/>
        </w:rPr>
        <w:t>установою</w:t>
      </w:r>
      <w:proofErr w:type="spellEnd"/>
      <w:r w:rsidRPr="00E16672">
        <w:rPr>
          <w:rFonts w:ascii="Times New Roman" w:hAnsi="Times New Roman"/>
          <w:color w:val="000000"/>
          <w:szCs w:val="20"/>
          <w:shd w:val="clear" w:color="auto" w:fill="FFFFFF"/>
        </w:rPr>
        <w:t xml:space="preserve"> </w:t>
      </w:r>
      <w:proofErr w:type="spellStart"/>
      <w:r w:rsidRPr="00E16672">
        <w:rPr>
          <w:rFonts w:ascii="Times New Roman" w:hAnsi="Times New Roman"/>
          <w:color w:val="000000"/>
          <w:szCs w:val="20"/>
          <w:shd w:val="clear" w:color="auto" w:fill="FFFFFF"/>
        </w:rPr>
        <w:t>депозитарної</w:t>
      </w:r>
      <w:proofErr w:type="spellEnd"/>
      <w:r w:rsidRPr="00E16672">
        <w:rPr>
          <w:rFonts w:ascii="Times New Roman" w:hAnsi="Times New Roman"/>
          <w:color w:val="000000"/>
          <w:szCs w:val="20"/>
          <w:shd w:val="clear" w:color="auto" w:fill="FFFFFF"/>
        </w:rPr>
        <w:t xml:space="preserve"> </w:t>
      </w:r>
      <w:proofErr w:type="spellStart"/>
      <w:r w:rsidRPr="00E16672">
        <w:rPr>
          <w:rFonts w:ascii="Times New Roman" w:hAnsi="Times New Roman"/>
          <w:color w:val="000000"/>
          <w:szCs w:val="20"/>
          <w:shd w:val="clear" w:color="auto" w:fill="FFFFFF"/>
        </w:rPr>
        <w:t>діяльності</w:t>
      </w:r>
      <w:proofErr w:type="spellEnd"/>
      <w:r w:rsidRPr="00E16672">
        <w:rPr>
          <w:rFonts w:ascii="Times New Roman" w:hAnsi="Times New Roman"/>
          <w:color w:val="000000"/>
          <w:szCs w:val="20"/>
          <w:shd w:val="clear" w:color="auto" w:fill="FFFFFF"/>
        </w:rPr>
        <w:t xml:space="preserve"> </w:t>
      </w:r>
      <w:proofErr w:type="spellStart"/>
      <w:r w:rsidRPr="00E16672">
        <w:rPr>
          <w:rFonts w:ascii="Times New Roman" w:eastAsia="Arial Unicode MS" w:hAnsi="Times New Roman"/>
          <w:color w:val="000000"/>
          <w:szCs w:val="20"/>
        </w:rPr>
        <w:t>Депозитарної</w:t>
      </w:r>
      <w:proofErr w:type="spellEnd"/>
      <w:r w:rsidRPr="00E16672">
        <w:rPr>
          <w:rFonts w:ascii="Times New Roman" w:eastAsia="Arial Unicode MS" w:hAnsi="Times New Roman"/>
          <w:color w:val="000000"/>
          <w:szCs w:val="20"/>
        </w:rPr>
        <w:t xml:space="preserve"> установи, </w:t>
      </w:r>
      <w:proofErr w:type="spellStart"/>
      <w:r w:rsidRPr="00E16672">
        <w:rPr>
          <w:rFonts w:ascii="Times New Roman" w:hAnsi="Times New Roman"/>
          <w:color w:val="000000"/>
          <w:szCs w:val="20"/>
          <w:shd w:val="clear" w:color="auto" w:fill="FFFFFF"/>
        </w:rPr>
        <w:t>Емітент</w:t>
      </w:r>
      <w:proofErr w:type="spellEnd"/>
      <w:r w:rsidRPr="00E16672">
        <w:rPr>
          <w:rFonts w:ascii="Times New Roman" w:hAnsi="Times New Roman"/>
          <w:color w:val="000000"/>
          <w:szCs w:val="20"/>
          <w:shd w:val="clear" w:color="auto" w:fill="FFFFFF"/>
        </w:rPr>
        <w:t xml:space="preserve"> за </w:t>
      </w:r>
      <w:proofErr w:type="spellStart"/>
      <w:r w:rsidRPr="00E16672">
        <w:rPr>
          <w:rFonts w:ascii="Times New Roman" w:hAnsi="Times New Roman"/>
          <w:color w:val="000000"/>
          <w:szCs w:val="20"/>
          <w:shd w:val="clear" w:color="auto" w:fill="FFFFFF"/>
        </w:rPr>
        <w:t>проведення</w:t>
      </w:r>
      <w:proofErr w:type="spellEnd"/>
      <w:r w:rsidRPr="00E16672">
        <w:rPr>
          <w:rFonts w:ascii="Times New Roman" w:hAnsi="Times New Roman"/>
          <w:color w:val="000000"/>
          <w:szCs w:val="20"/>
          <w:shd w:val="clear" w:color="auto" w:fill="FFFFFF"/>
        </w:rPr>
        <w:t xml:space="preserve"> </w:t>
      </w:r>
      <w:proofErr w:type="spellStart"/>
      <w:r w:rsidRPr="00E16672">
        <w:rPr>
          <w:rFonts w:ascii="Times New Roman" w:hAnsi="Times New Roman"/>
          <w:color w:val="000000"/>
          <w:szCs w:val="20"/>
          <w:shd w:val="clear" w:color="auto" w:fill="FFFFFF"/>
        </w:rPr>
        <w:t>операцій</w:t>
      </w:r>
      <w:proofErr w:type="spellEnd"/>
      <w:r w:rsidRPr="00E16672">
        <w:rPr>
          <w:rFonts w:ascii="Times New Roman" w:hAnsi="Times New Roman"/>
          <w:color w:val="000000"/>
          <w:szCs w:val="20"/>
          <w:shd w:val="clear" w:color="auto" w:fill="FFFFFF"/>
        </w:rPr>
        <w:t xml:space="preserve"> на </w:t>
      </w:r>
      <w:proofErr w:type="spellStart"/>
      <w:r w:rsidRPr="00E16672">
        <w:rPr>
          <w:rFonts w:ascii="Times New Roman" w:hAnsi="Times New Roman"/>
          <w:color w:val="000000"/>
          <w:szCs w:val="20"/>
          <w:shd w:val="clear" w:color="auto" w:fill="FFFFFF"/>
        </w:rPr>
        <w:t>рахунках</w:t>
      </w:r>
      <w:proofErr w:type="spellEnd"/>
      <w:r w:rsidRPr="00E16672">
        <w:rPr>
          <w:rFonts w:ascii="Times New Roman" w:hAnsi="Times New Roman"/>
          <w:color w:val="000000"/>
          <w:szCs w:val="20"/>
          <w:shd w:val="clear" w:color="auto" w:fill="FFFFFF"/>
        </w:rPr>
        <w:t xml:space="preserve"> в </w:t>
      </w:r>
      <w:proofErr w:type="spellStart"/>
      <w:r w:rsidRPr="00E16672">
        <w:rPr>
          <w:rFonts w:ascii="Times New Roman" w:hAnsi="Times New Roman"/>
          <w:color w:val="000000"/>
          <w:szCs w:val="20"/>
          <w:shd w:val="clear" w:color="auto" w:fill="FFFFFF"/>
        </w:rPr>
        <w:t>цінних</w:t>
      </w:r>
      <w:proofErr w:type="spellEnd"/>
      <w:r w:rsidRPr="00E16672">
        <w:rPr>
          <w:rFonts w:ascii="Times New Roman" w:hAnsi="Times New Roman"/>
          <w:color w:val="000000"/>
          <w:szCs w:val="20"/>
          <w:shd w:val="clear" w:color="auto" w:fill="FFFFFF"/>
        </w:rPr>
        <w:t xml:space="preserve"> </w:t>
      </w:r>
      <w:proofErr w:type="spellStart"/>
      <w:r w:rsidRPr="00E16672">
        <w:rPr>
          <w:rFonts w:ascii="Times New Roman" w:hAnsi="Times New Roman"/>
          <w:color w:val="000000"/>
          <w:szCs w:val="20"/>
          <w:shd w:val="clear" w:color="auto" w:fill="FFFFFF"/>
        </w:rPr>
        <w:t>паперах</w:t>
      </w:r>
      <w:proofErr w:type="spellEnd"/>
      <w:r w:rsidRPr="00E16672">
        <w:rPr>
          <w:rFonts w:ascii="Times New Roman" w:hAnsi="Times New Roman"/>
          <w:color w:val="000000"/>
          <w:szCs w:val="20"/>
          <w:shd w:val="clear" w:color="auto" w:fill="FFFFFF"/>
        </w:rPr>
        <w:t xml:space="preserve">, </w:t>
      </w:r>
      <w:proofErr w:type="spellStart"/>
      <w:r w:rsidRPr="00E16672">
        <w:rPr>
          <w:rFonts w:ascii="Times New Roman" w:hAnsi="Times New Roman"/>
          <w:color w:val="000000"/>
          <w:szCs w:val="20"/>
          <w:shd w:val="clear" w:color="auto" w:fill="FFFFFF"/>
        </w:rPr>
        <w:t>пов'язаних</w:t>
      </w:r>
      <w:proofErr w:type="spellEnd"/>
      <w:r w:rsidRPr="00E16672">
        <w:rPr>
          <w:rFonts w:ascii="Times New Roman" w:hAnsi="Times New Roman"/>
          <w:color w:val="000000"/>
          <w:szCs w:val="20"/>
          <w:shd w:val="clear" w:color="auto" w:fill="FFFFFF"/>
        </w:rPr>
        <w:t xml:space="preserve"> </w:t>
      </w:r>
      <w:proofErr w:type="spellStart"/>
      <w:r w:rsidRPr="00E16672">
        <w:rPr>
          <w:rFonts w:ascii="Times New Roman" w:hAnsi="Times New Roman"/>
          <w:color w:val="000000"/>
          <w:szCs w:val="20"/>
          <w:shd w:val="clear" w:color="auto" w:fill="FFFFFF"/>
        </w:rPr>
        <w:t>із</w:t>
      </w:r>
      <w:proofErr w:type="spellEnd"/>
      <w:r w:rsidRPr="00E16672">
        <w:rPr>
          <w:rFonts w:ascii="Times New Roman" w:hAnsi="Times New Roman"/>
          <w:color w:val="000000"/>
          <w:szCs w:val="20"/>
          <w:shd w:val="clear" w:color="auto" w:fill="FFFFFF"/>
        </w:rPr>
        <w:t xml:space="preserve"> </w:t>
      </w:r>
      <w:proofErr w:type="spellStart"/>
      <w:r w:rsidRPr="00E16672">
        <w:rPr>
          <w:rFonts w:ascii="Times New Roman" w:hAnsi="Times New Roman"/>
          <w:color w:val="000000"/>
          <w:szCs w:val="20"/>
          <w:shd w:val="clear" w:color="auto" w:fill="FFFFFF"/>
        </w:rPr>
        <w:t>закриттям</w:t>
      </w:r>
      <w:proofErr w:type="spellEnd"/>
      <w:r w:rsidRPr="00E16672">
        <w:rPr>
          <w:rFonts w:ascii="Times New Roman" w:hAnsi="Times New Roman"/>
          <w:color w:val="000000"/>
          <w:szCs w:val="20"/>
          <w:shd w:val="clear" w:color="auto" w:fill="FFFFFF"/>
        </w:rPr>
        <w:t xml:space="preserve"> </w:t>
      </w:r>
      <w:proofErr w:type="spellStart"/>
      <w:r w:rsidRPr="00E16672">
        <w:rPr>
          <w:rFonts w:ascii="Times New Roman" w:hAnsi="Times New Roman"/>
          <w:color w:val="000000"/>
          <w:szCs w:val="20"/>
          <w:shd w:val="clear" w:color="auto" w:fill="FFFFFF"/>
        </w:rPr>
        <w:t>цих</w:t>
      </w:r>
      <w:proofErr w:type="spellEnd"/>
      <w:r w:rsidRPr="00E16672">
        <w:rPr>
          <w:rFonts w:ascii="Times New Roman" w:hAnsi="Times New Roman"/>
          <w:color w:val="000000"/>
          <w:szCs w:val="20"/>
          <w:shd w:val="clear" w:color="auto" w:fill="FFFFFF"/>
        </w:rPr>
        <w:t xml:space="preserve"> </w:t>
      </w:r>
      <w:proofErr w:type="spellStart"/>
      <w:r w:rsidRPr="00E16672">
        <w:rPr>
          <w:rFonts w:ascii="Times New Roman" w:hAnsi="Times New Roman"/>
          <w:color w:val="000000"/>
          <w:szCs w:val="20"/>
          <w:shd w:val="clear" w:color="auto" w:fill="FFFFFF"/>
        </w:rPr>
        <w:t>рахунків</w:t>
      </w:r>
      <w:proofErr w:type="spellEnd"/>
      <w:r w:rsidRPr="00E16672">
        <w:rPr>
          <w:rFonts w:ascii="Times New Roman" w:hAnsi="Times New Roman"/>
          <w:color w:val="000000"/>
          <w:szCs w:val="20"/>
          <w:shd w:val="clear" w:color="auto" w:fill="FFFFFF"/>
        </w:rPr>
        <w:t xml:space="preserve">, </w:t>
      </w:r>
      <w:proofErr w:type="spellStart"/>
      <w:r w:rsidRPr="00E16672">
        <w:rPr>
          <w:rFonts w:ascii="Times New Roman" w:hAnsi="Times New Roman"/>
          <w:color w:val="000000"/>
          <w:szCs w:val="20"/>
          <w:shd w:val="clear" w:color="auto" w:fill="FFFFFF"/>
        </w:rPr>
        <w:t>сплачує</w:t>
      </w:r>
      <w:proofErr w:type="spellEnd"/>
      <w:r w:rsidRPr="00E16672">
        <w:rPr>
          <w:rFonts w:ascii="Times New Roman" w:hAnsi="Times New Roman"/>
          <w:color w:val="000000"/>
          <w:szCs w:val="20"/>
          <w:shd w:val="clear" w:color="auto" w:fill="FFFFFF"/>
        </w:rPr>
        <w:t xml:space="preserve"> </w:t>
      </w:r>
      <w:proofErr w:type="spellStart"/>
      <w:r w:rsidRPr="00E16672">
        <w:rPr>
          <w:rFonts w:ascii="Times New Roman" w:eastAsia="Arial Unicode MS" w:hAnsi="Times New Roman"/>
          <w:color w:val="000000"/>
          <w:szCs w:val="20"/>
        </w:rPr>
        <w:t>Депозитарній</w:t>
      </w:r>
      <w:proofErr w:type="spellEnd"/>
      <w:r w:rsidRPr="00E16672">
        <w:rPr>
          <w:rFonts w:ascii="Times New Roman" w:eastAsia="Arial Unicode MS" w:hAnsi="Times New Roman"/>
          <w:color w:val="000000"/>
          <w:szCs w:val="20"/>
        </w:rPr>
        <w:t xml:space="preserve"> </w:t>
      </w:r>
      <w:proofErr w:type="spellStart"/>
      <w:r w:rsidRPr="00E16672">
        <w:rPr>
          <w:rFonts w:ascii="Times New Roman" w:eastAsia="Arial Unicode MS" w:hAnsi="Times New Roman"/>
          <w:color w:val="000000"/>
          <w:szCs w:val="20"/>
        </w:rPr>
        <w:t>установі</w:t>
      </w:r>
      <w:proofErr w:type="spellEnd"/>
      <w:r w:rsidRPr="00E16672">
        <w:rPr>
          <w:rFonts w:ascii="Times New Roman" w:hAnsi="Times New Roman"/>
          <w:color w:val="000000"/>
          <w:szCs w:val="20"/>
          <w:shd w:val="clear" w:color="auto" w:fill="FFFFFF"/>
        </w:rPr>
        <w:t xml:space="preserve"> </w:t>
      </w:r>
      <w:proofErr w:type="spellStart"/>
      <w:r w:rsidRPr="00E16672">
        <w:rPr>
          <w:rFonts w:ascii="Times New Roman" w:hAnsi="Times New Roman"/>
          <w:color w:val="000000"/>
          <w:szCs w:val="20"/>
          <w:shd w:val="clear" w:color="auto" w:fill="FFFFFF"/>
        </w:rPr>
        <w:t>лише</w:t>
      </w:r>
      <w:proofErr w:type="spellEnd"/>
      <w:r w:rsidRPr="00E16672">
        <w:rPr>
          <w:rFonts w:ascii="Times New Roman" w:hAnsi="Times New Roman"/>
          <w:color w:val="000000"/>
          <w:szCs w:val="20"/>
          <w:shd w:val="clear" w:color="auto" w:fill="FFFFFF"/>
        </w:rPr>
        <w:t xml:space="preserve"> </w:t>
      </w:r>
      <w:proofErr w:type="spellStart"/>
      <w:r w:rsidRPr="00E16672">
        <w:rPr>
          <w:rFonts w:ascii="Times New Roman" w:hAnsi="Times New Roman"/>
          <w:color w:val="000000"/>
          <w:szCs w:val="20"/>
          <w:shd w:val="clear" w:color="auto" w:fill="FFFFFF"/>
        </w:rPr>
        <w:t>вартість</w:t>
      </w:r>
      <w:proofErr w:type="spellEnd"/>
      <w:r w:rsidRPr="00E16672">
        <w:rPr>
          <w:rFonts w:ascii="Times New Roman" w:hAnsi="Times New Roman"/>
          <w:color w:val="000000"/>
          <w:szCs w:val="20"/>
          <w:shd w:val="clear" w:color="auto" w:fill="FFFFFF"/>
        </w:rPr>
        <w:t xml:space="preserve"> </w:t>
      </w:r>
      <w:proofErr w:type="spellStart"/>
      <w:r w:rsidRPr="00E16672">
        <w:rPr>
          <w:rFonts w:ascii="Times New Roman" w:hAnsi="Times New Roman"/>
          <w:color w:val="000000"/>
          <w:szCs w:val="20"/>
          <w:shd w:val="clear" w:color="auto" w:fill="FFFFFF"/>
        </w:rPr>
        <w:t>послуг</w:t>
      </w:r>
      <w:proofErr w:type="spellEnd"/>
      <w:r w:rsidRPr="00E16672">
        <w:rPr>
          <w:rFonts w:ascii="Times New Roman" w:hAnsi="Times New Roman"/>
          <w:color w:val="000000"/>
          <w:szCs w:val="20"/>
          <w:shd w:val="clear" w:color="auto" w:fill="FFFFFF"/>
        </w:rPr>
        <w:t xml:space="preserve"> Центрального </w:t>
      </w:r>
      <w:proofErr w:type="spellStart"/>
      <w:r w:rsidRPr="00E16672">
        <w:rPr>
          <w:rFonts w:ascii="Times New Roman" w:hAnsi="Times New Roman"/>
          <w:color w:val="000000"/>
          <w:szCs w:val="20"/>
          <w:shd w:val="clear" w:color="auto" w:fill="FFFFFF"/>
        </w:rPr>
        <w:t>депозитарію</w:t>
      </w:r>
      <w:proofErr w:type="spellEnd"/>
      <w:r w:rsidRPr="00E16672">
        <w:rPr>
          <w:rFonts w:ascii="Times New Roman" w:hAnsi="Times New Roman"/>
          <w:color w:val="000000"/>
          <w:szCs w:val="20"/>
          <w:shd w:val="clear" w:color="auto" w:fill="FFFFFF"/>
        </w:rPr>
        <w:t xml:space="preserve">, </w:t>
      </w:r>
      <w:proofErr w:type="spellStart"/>
      <w:r w:rsidRPr="00E16672">
        <w:rPr>
          <w:rFonts w:ascii="Times New Roman" w:hAnsi="Times New Roman"/>
          <w:color w:val="000000"/>
          <w:szCs w:val="20"/>
          <w:shd w:val="clear" w:color="auto" w:fill="FFFFFF"/>
        </w:rPr>
        <w:t>пов'язаних</w:t>
      </w:r>
      <w:proofErr w:type="spellEnd"/>
      <w:r w:rsidRPr="00E16672">
        <w:rPr>
          <w:rFonts w:ascii="Times New Roman" w:hAnsi="Times New Roman"/>
          <w:color w:val="000000"/>
          <w:szCs w:val="20"/>
          <w:shd w:val="clear" w:color="auto" w:fill="FFFFFF"/>
        </w:rPr>
        <w:t xml:space="preserve"> </w:t>
      </w:r>
      <w:proofErr w:type="spellStart"/>
      <w:r w:rsidRPr="00E16672">
        <w:rPr>
          <w:rFonts w:ascii="Times New Roman" w:hAnsi="Times New Roman"/>
          <w:color w:val="000000"/>
          <w:szCs w:val="20"/>
          <w:shd w:val="clear" w:color="auto" w:fill="FFFFFF"/>
        </w:rPr>
        <w:t>із</w:t>
      </w:r>
      <w:proofErr w:type="spellEnd"/>
      <w:r w:rsidRPr="00E16672">
        <w:rPr>
          <w:rFonts w:ascii="Times New Roman" w:hAnsi="Times New Roman"/>
          <w:color w:val="000000"/>
          <w:szCs w:val="20"/>
          <w:shd w:val="clear" w:color="auto" w:fill="FFFFFF"/>
        </w:rPr>
        <w:t xml:space="preserve"> </w:t>
      </w:r>
      <w:proofErr w:type="spellStart"/>
      <w:r w:rsidRPr="00E16672">
        <w:rPr>
          <w:rFonts w:ascii="Times New Roman" w:hAnsi="Times New Roman"/>
          <w:color w:val="000000"/>
          <w:szCs w:val="20"/>
          <w:shd w:val="clear" w:color="auto" w:fill="FFFFFF"/>
        </w:rPr>
        <w:t>проведенням</w:t>
      </w:r>
      <w:proofErr w:type="spellEnd"/>
      <w:r w:rsidRPr="00E16672">
        <w:rPr>
          <w:rFonts w:ascii="Times New Roman" w:hAnsi="Times New Roman"/>
          <w:color w:val="000000"/>
          <w:szCs w:val="20"/>
          <w:shd w:val="clear" w:color="auto" w:fill="FFFFFF"/>
        </w:rPr>
        <w:t xml:space="preserve"> </w:t>
      </w:r>
      <w:proofErr w:type="spellStart"/>
      <w:r w:rsidRPr="00E16672">
        <w:rPr>
          <w:rFonts w:ascii="Times New Roman" w:hAnsi="Times New Roman"/>
          <w:color w:val="000000"/>
          <w:szCs w:val="20"/>
          <w:shd w:val="clear" w:color="auto" w:fill="FFFFFF"/>
        </w:rPr>
        <w:t>цих</w:t>
      </w:r>
      <w:proofErr w:type="spellEnd"/>
      <w:r w:rsidRPr="00E16672">
        <w:rPr>
          <w:rFonts w:ascii="Times New Roman" w:hAnsi="Times New Roman"/>
          <w:color w:val="000000"/>
          <w:szCs w:val="20"/>
          <w:shd w:val="clear" w:color="auto" w:fill="FFFFFF"/>
        </w:rPr>
        <w:t xml:space="preserve"> </w:t>
      </w:r>
      <w:proofErr w:type="spellStart"/>
      <w:r w:rsidRPr="00E16672">
        <w:rPr>
          <w:rFonts w:ascii="Times New Roman" w:hAnsi="Times New Roman"/>
          <w:color w:val="000000"/>
          <w:szCs w:val="20"/>
          <w:shd w:val="clear" w:color="auto" w:fill="FFFFFF"/>
        </w:rPr>
        <w:t>операцій</w:t>
      </w:r>
      <w:proofErr w:type="spellEnd"/>
      <w:r w:rsidRPr="00E16672">
        <w:rPr>
          <w:rFonts w:ascii="Times New Roman" w:hAnsi="Times New Roman"/>
          <w:color w:val="000000"/>
          <w:szCs w:val="20"/>
          <w:shd w:val="clear" w:color="auto" w:fill="FFFFFF"/>
        </w:rPr>
        <w:t xml:space="preserve">. </w:t>
      </w:r>
    </w:p>
    <w:p w14:paraId="796AA819" w14:textId="77777777" w:rsidR="000A5A99" w:rsidRPr="00E16672" w:rsidRDefault="000A5A99" w:rsidP="000A5A99">
      <w:pPr>
        <w:ind w:firstLine="579"/>
        <w:rPr>
          <w:rFonts w:ascii="Times New Roman" w:hAnsi="Times New Roman"/>
          <w:color w:val="000000"/>
          <w:szCs w:val="20"/>
        </w:rPr>
      </w:pPr>
      <w:r w:rsidRPr="00E16672">
        <w:rPr>
          <w:rFonts w:ascii="Times New Roman" w:hAnsi="Times New Roman"/>
          <w:color w:val="000000"/>
          <w:szCs w:val="20"/>
          <w:shd w:val="clear" w:color="auto" w:fill="FFFFFF"/>
          <w:lang w:val="uk-UA"/>
        </w:rPr>
        <w:t xml:space="preserve">4.7. </w:t>
      </w:r>
      <w:r w:rsidRPr="00E16672">
        <w:rPr>
          <w:rFonts w:ascii="Times New Roman" w:hAnsi="Times New Roman"/>
          <w:color w:val="000000"/>
          <w:szCs w:val="20"/>
        </w:rPr>
        <w:t xml:space="preserve">Оплата за </w:t>
      </w:r>
      <w:proofErr w:type="spellStart"/>
      <w:r w:rsidRPr="00E16672">
        <w:rPr>
          <w:rFonts w:ascii="Times New Roman" w:hAnsi="Times New Roman"/>
          <w:color w:val="000000"/>
          <w:szCs w:val="20"/>
        </w:rPr>
        <w:t>послуги</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надані</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Емітенту</w:t>
      </w:r>
      <w:proofErr w:type="spellEnd"/>
      <w:r w:rsidRPr="00E16672">
        <w:rPr>
          <w:rFonts w:ascii="Times New Roman" w:hAnsi="Times New Roman"/>
          <w:color w:val="000000"/>
          <w:szCs w:val="20"/>
        </w:rPr>
        <w:t xml:space="preserve"> Депозитарною </w:t>
      </w:r>
      <w:proofErr w:type="spellStart"/>
      <w:r w:rsidRPr="00E16672">
        <w:rPr>
          <w:rFonts w:ascii="Times New Roman" w:hAnsi="Times New Roman"/>
          <w:color w:val="000000"/>
          <w:szCs w:val="20"/>
        </w:rPr>
        <w:t>установою</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може</w:t>
      </w:r>
      <w:proofErr w:type="spellEnd"/>
      <w:r w:rsidRPr="00E16672">
        <w:rPr>
          <w:rFonts w:ascii="Times New Roman" w:hAnsi="Times New Roman"/>
          <w:color w:val="000000"/>
          <w:szCs w:val="20"/>
        </w:rPr>
        <w:t xml:space="preserve"> бути </w:t>
      </w:r>
      <w:proofErr w:type="spellStart"/>
      <w:r w:rsidRPr="00E16672">
        <w:rPr>
          <w:rFonts w:ascii="Times New Roman" w:hAnsi="Times New Roman"/>
          <w:color w:val="000000"/>
          <w:szCs w:val="20"/>
        </w:rPr>
        <w:t>здійснена</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третіми</w:t>
      </w:r>
      <w:proofErr w:type="spellEnd"/>
      <w:r w:rsidRPr="00E16672">
        <w:rPr>
          <w:rFonts w:ascii="Times New Roman" w:hAnsi="Times New Roman"/>
          <w:color w:val="000000"/>
          <w:szCs w:val="20"/>
        </w:rPr>
        <w:t xml:space="preserve"> особами. Оплата </w:t>
      </w:r>
      <w:proofErr w:type="spellStart"/>
      <w:r w:rsidRPr="00E16672">
        <w:rPr>
          <w:rFonts w:ascii="Times New Roman" w:hAnsi="Times New Roman"/>
          <w:color w:val="000000"/>
          <w:szCs w:val="20"/>
        </w:rPr>
        <w:t>здійснюється</w:t>
      </w:r>
      <w:proofErr w:type="spellEnd"/>
      <w:r w:rsidRPr="00E16672">
        <w:rPr>
          <w:rFonts w:ascii="Times New Roman" w:hAnsi="Times New Roman"/>
          <w:color w:val="000000"/>
          <w:szCs w:val="20"/>
        </w:rPr>
        <w:t xml:space="preserve"> на </w:t>
      </w:r>
      <w:proofErr w:type="spellStart"/>
      <w:r w:rsidRPr="00E16672">
        <w:rPr>
          <w:rFonts w:ascii="Times New Roman" w:hAnsi="Times New Roman"/>
          <w:color w:val="000000"/>
          <w:szCs w:val="20"/>
        </w:rPr>
        <w:t>підставі</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рахунків</w:t>
      </w:r>
      <w:proofErr w:type="spellEnd"/>
      <w:r w:rsidRPr="00E16672">
        <w:rPr>
          <w:rFonts w:ascii="Times New Roman" w:hAnsi="Times New Roman"/>
          <w:color w:val="000000"/>
          <w:szCs w:val="20"/>
        </w:rPr>
        <w:t>/</w:t>
      </w:r>
      <w:proofErr w:type="spellStart"/>
      <w:r w:rsidRPr="00E16672">
        <w:rPr>
          <w:rFonts w:ascii="Times New Roman" w:hAnsi="Times New Roman"/>
          <w:color w:val="000000"/>
          <w:szCs w:val="20"/>
        </w:rPr>
        <w:t>актів</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виконаних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робіт</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виставлених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Емітенту</w:t>
      </w:r>
      <w:proofErr w:type="spellEnd"/>
      <w:r w:rsidRPr="00E16672">
        <w:rPr>
          <w:rFonts w:ascii="Times New Roman" w:hAnsi="Times New Roman"/>
          <w:color w:val="000000"/>
          <w:szCs w:val="20"/>
        </w:rPr>
        <w:t xml:space="preserve"> Депозитарною </w:t>
      </w:r>
      <w:proofErr w:type="spellStart"/>
      <w:r w:rsidRPr="00E16672">
        <w:rPr>
          <w:rFonts w:ascii="Times New Roman" w:hAnsi="Times New Roman"/>
          <w:color w:val="000000"/>
          <w:szCs w:val="20"/>
        </w:rPr>
        <w:t>установою</w:t>
      </w:r>
      <w:proofErr w:type="spellEnd"/>
      <w:r w:rsidRPr="00E16672">
        <w:rPr>
          <w:rFonts w:ascii="Times New Roman" w:hAnsi="Times New Roman"/>
          <w:color w:val="000000"/>
          <w:szCs w:val="20"/>
        </w:rPr>
        <w:t xml:space="preserve">. У </w:t>
      </w:r>
      <w:proofErr w:type="spellStart"/>
      <w:r w:rsidRPr="00E16672">
        <w:rPr>
          <w:rFonts w:ascii="Times New Roman" w:hAnsi="Times New Roman"/>
          <w:color w:val="000000"/>
          <w:szCs w:val="20"/>
        </w:rPr>
        <w:t>платіжному</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дорученні</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третьої</w:t>
      </w:r>
      <w:proofErr w:type="spellEnd"/>
      <w:r w:rsidRPr="00E16672">
        <w:rPr>
          <w:rFonts w:ascii="Times New Roman" w:hAnsi="Times New Roman"/>
          <w:color w:val="000000"/>
          <w:szCs w:val="20"/>
        </w:rPr>
        <w:t xml:space="preserve"> особи, яка </w:t>
      </w:r>
      <w:proofErr w:type="spellStart"/>
      <w:r w:rsidRPr="00E16672">
        <w:rPr>
          <w:rFonts w:ascii="Times New Roman" w:hAnsi="Times New Roman"/>
          <w:color w:val="000000"/>
          <w:szCs w:val="20"/>
        </w:rPr>
        <w:t>здійснює</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платіж</w:t>
      </w:r>
      <w:proofErr w:type="spellEnd"/>
      <w:r w:rsidRPr="00E16672">
        <w:rPr>
          <w:rFonts w:ascii="Times New Roman" w:hAnsi="Times New Roman"/>
          <w:color w:val="000000"/>
          <w:szCs w:val="20"/>
        </w:rPr>
        <w:t xml:space="preserve"> на </w:t>
      </w:r>
      <w:proofErr w:type="spellStart"/>
      <w:r w:rsidRPr="00E16672">
        <w:rPr>
          <w:rFonts w:ascii="Times New Roman" w:hAnsi="Times New Roman"/>
          <w:color w:val="000000"/>
          <w:szCs w:val="20"/>
        </w:rPr>
        <w:t>користь</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Депозитарної</w:t>
      </w:r>
      <w:proofErr w:type="spellEnd"/>
      <w:r w:rsidRPr="00E16672">
        <w:rPr>
          <w:rFonts w:ascii="Times New Roman" w:hAnsi="Times New Roman"/>
          <w:color w:val="000000"/>
          <w:szCs w:val="20"/>
        </w:rPr>
        <w:t xml:space="preserve"> установи, </w:t>
      </w:r>
      <w:proofErr w:type="spellStart"/>
      <w:r w:rsidRPr="00E16672">
        <w:rPr>
          <w:rFonts w:ascii="Times New Roman" w:hAnsi="Times New Roman"/>
          <w:color w:val="000000"/>
          <w:szCs w:val="20"/>
        </w:rPr>
        <w:t>має</w:t>
      </w:r>
      <w:proofErr w:type="spellEnd"/>
      <w:r w:rsidRPr="00E16672">
        <w:rPr>
          <w:rFonts w:ascii="Times New Roman" w:hAnsi="Times New Roman"/>
          <w:color w:val="000000"/>
          <w:szCs w:val="20"/>
        </w:rPr>
        <w:t xml:space="preserve"> бути </w:t>
      </w:r>
      <w:proofErr w:type="spellStart"/>
      <w:r w:rsidRPr="00E16672">
        <w:rPr>
          <w:rFonts w:ascii="Times New Roman" w:hAnsi="Times New Roman"/>
          <w:color w:val="000000"/>
          <w:szCs w:val="20"/>
        </w:rPr>
        <w:t>зазначено</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що</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призначенням</w:t>
      </w:r>
      <w:proofErr w:type="spellEnd"/>
      <w:r w:rsidRPr="00E16672">
        <w:rPr>
          <w:rFonts w:ascii="Times New Roman" w:hAnsi="Times New Roman"/>
          <w:color w:val="000000"/>
          <w:szCs w:val="20"/>
        </w:rPr>
        <w:t xml:space="preserve"> платежу є </w:t>
      </w:r>
      <w:proofErr w:type="spellStart"/>
      <w:r w:rsidRPr="00E16672">
        <w:rPr>
          <w:rFonts w:ascii="Times New Roman" w:hAnsi="Times New Roman"/>
          <w:color w:val="000000"/>
          <w:szCs w:val="20"/>
        </w:rPr>
        <w:t>сплата</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коштів</w:t>
      </w:r>
      <w:proofErr w:type="spellEnd"/>
      <w:r w:rsidRPr="00E16672">
        <w:rPr>
          <w:rFonts w:ascii="Times New Roman" w:hAnsi="Times New Roman"/>
          <w:color w:val="000000"/>
          <w:szCs w:val="20"/>
        </w:rPr>
        <w:t xml:space="preserve"> за </w:t>
      </w:r>
      <w:proofErr w:type="spellStart"/>
      <w:r w:rsidRPr="00E16672">
        <w:rPr>
          <w:rFonts w:ascii="Times New Roman" w:hAnsi="Times New Roman"/>
          <w:color w:val="000000"/>
          <w:szCs w:val="20"/>
        </w:rPr>
        <w:t>Емітента</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Депозитарної</w:t>
      </w:r>
      <w:proofErr w:type="spellEnd"/>
      <w:r w:rsidRPr="00E16672">
        <w:rPr>
          <w:rFonts w:ascii="Times New Roman" w:hAnsi="Times New Roman"/>
          <w:color w:val="000000"/>
          <w:szCs w:val="20"/>
        </w:rPr>
        <w:t xml:space="preserve"> установи, а </w:t>
      </w:r>
      <w:proofErr w:type="spellStart"/>
      <w:r w:rsidRPr="00E16672">
        <w:rPr>
          <w:rFonts w:ascii="Times New Roman" w:hAnsi="Times New Roman"/>
          <w:color w:val="000000"/>
          <w:szCs w:val="20"/>
        </w:rPr>
        <w:t>також</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реквізити</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відповідних</w:t>
      </w:r>
      <w:proofErr w:type="spellEnd"/>
      <w:r w:rsidRPr="00E16672">
        <w:rPr>
          <w:rFonts w:ascii="Times New Roman" w:hAnsi="Times New Roman"/>
          <w:color w:val="000000"/>
          <w:szCs w:val="20"/>
        </w:rPr>
        <w:t xml:space="preserve"> договору з </w:t>
      </w:r>
      <w:proofErr w:type="spellStart"/>
      <w:r w:rsidRPr="00E16672">
        <w:rPr>
          <w:rFonts w:ascii="Times New Roman" w:hAnsi="Times New Roman"/>
          <w:color w:val="000000"/>
          <w:szCs w:val="20"/>
        </w:rPr>
        <w:t>Емітентом</w:t>
      </w:r>
      <w:proofErr w:type="spellEnd"/>
      <w:r w:rsidRPr="00E16672">
        <w:rPr>
          <w:rFonts w:ascii="Times New Roman" w:hAnsi="Times New Roman"/>
          <w:color w:val="000000"/>
          <w:szCs w:val="20"/>
        </w:rPr>
        <w:t xml:space="preserve"> та </w:t>
      </w:r>
      <w:proofErr w:type="spellStart"/>
      <w:r w:rsidRPr="00E16672">
        <w:rPr>
          <w:rFonts w:ascii="Times New Roman" w:hAnsi="Times New Roman"/>
          <w:color w:val="000000"/>
          <w:szCs w:val="20"/>
        </w:rPr>
        <w:t>рахунку</w:t>
      </w:r>
      <w:proofErr w:type="spellEnd"/>
      <w:r w:rsidRPr="00E16672">
        <w:rPr>
          <w:rFonts w:ascii="Times New Roman" w:hAnsi="Times New Roman"/>
          <w:color w:val="000000"/>
          <w:szCs w:val="20"/>
        </w:rPr>
        <w:t xml:space="preserve">/акту </w:t>
      </w:r>
      <w:proofErr w:type="spellStart"/>
      <w:r w:rsidRPr="00E16672">
        <w:rPr>
          <w:rFonts w:ascii="Times New Roman" w:hAnsi="Times New Roman"/>
          <w:color w:val="000000"/>
          <w:szCs w:val="20"/>
        </w:rPr>
        <w:t>виконаних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робіт</w:t>
      </w:r>
      <w:proofErr w:type="spellEnd"/>
      <w:r w:rsidRPr="00E16672">
        <w:rPr>
          <w:rFonts w:ascii="Times New Roman" w:hAnsi="Times New Roman"/>
          <w:color w:val="000000"/>
          <w:szCs w:val="20"/>
        </w:rPr>
        <w:t>.</w:t>
      </w:r>
    </w:p>
    <w:p w14:paraId="0BBFBE26" w14:textId="77777777" w:rsidR="000A5A99" w:rsidRPr="00E16672" w:rsidRDefault="000A5A99" w:rsidP="000A5A99">
      <w:pPr>
        <w:ind w:firstLine="579"/>
        <w:rPr>
          <w:rFonts w:ascii="Times New Roman" w:hAnsi="Times New Roman"/>
          <w:color w:val="000000"/>
          <w:szCs w:val="20"/>
        </w:rPr>
      </w:pPr>
      <w:r w:rsidRPr="00E16672">
        <w:rPr>
          <w:rFonts w:ascii="Times New Roman" w:hAnsi="Times New Roman"/>
          <w:color w:val="000000"/>
          <w:szCs w:val="20"/>
          <w:shd w:val="clear" w:color="auto" w:fill="FFFFFF"/>
        </w:rPr>
        <w:t xml:space="preserve">4.8. </w:t>
      </w:r>
      <w:proofErr w:type="spellStart"/>
      <w:r w:rsidRPr="00E16672">
        <w:rPr>
          <w:rFonts w:ascii="Times New Roman" w:hAnsi="Times New Roman"/>
          <w:color w:val="000000"/>
          <w:szCs w:val="20"/>
        </w:rPr>
        <w:t>Надання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депозитарних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послуг</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Емітенту</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може</w:t>
      </w:r>
      <w:proofErr w:type="spellEnd"/>
      <w:r w:rsidRPr="00E16672">
        <w:rPr>
          <w:rFonts w:ascii="Times New Roman" w:hAnsi="Times New Roman"/>
          <w:color w:val="000000"/>
          <w:szCs w:val="20"/>
        </w:rPr>
        <w:t xml:space="preserve"> бути </w:t>
      </w:r>
      <w:proofErr w:type="spellStart"/>
      <w:r w:rsidRPr="00E16672">
        <w:rPr>
          <w:rFonts w:ascii="Times New Roman" w:hAnsi="Times New Roman"/>
          <w:color w:val="000000"/>
          <w:szCs w:val="20"/>
        </w:rPr>
        <w:t>призупинено</w:t>
      </w:r>
      <w:proofErr w:type="spellEnd"/>
      <w:r w:rsidRPr="00E16672">
        <w:rPr>
          <w:rFonts w:ascii="Times New Roman" w:hAnsi="Times New Roman"/>
          <w:color w:val="000000"/>
          <w:szCs w:val="20"/>
        </w:rPr>
        <w:t xml:space="preserve"> Депозитарною </w:t>
      </w:r>
      <w:proofErr w:type="spellStart"/>
      <w:r w:rsidRPr="00E16672">
        <w:rPr>
          <w:rFonts w:ascii="Times New Roman" w:hAnsi="Times New Roman"/>
          <w:color w:val="000000"/>
          <w:szCs w:val="20"/>
        </w:rPr>
        <w:t>установою</w:t>
      </w:r>
      <w:proofErr w:type="spellEnd"/>
      <w:r w:rsidRPr="00E16672">
        <w:rPr>
          <w:rFonts w:ascii="Times New Roman" w:hAnsi="Times New Roman"/>
          <w:color w:val="000000"/>
          <w:szCs w:val="20"/>
        </w:rPr>
        <w:t xml:space="preserve"> у </w:t>
      </w:r>
      <w:proofErr w:type="spellStart"/>
      <w:r w:rsidRPr="00E16672">
        <w:rPr>
          <w:rFonts w:ascii="Times New Roman" w:hAnsi="Times New Roman"/>
          <w:color w:val="000000"/>
          <w:szCs w:val="20"/>
        </w:rPr>
        <w:t>разі</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відсутності</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належної</w:t>
      </w:r>
      <w:proofErr w:type="spellEnd"/>
      <w:r w:rsidRPr="00E16672">
        <w:rPr>
          <w:rFonts w:ascii="Times New Roman" w:hAnsi="Times New Roman"/>
          <w:color w:val="000000"/>
          <w:szCs w:val="20"/>
        </w:rPr>
        <w:t xml:space="preserve"> оплати </w:t>
      </w:r>
      <w:proofErr w:type="spellStart"/>
      <w:r w:rsidRPr="00E16672">
        <w:rPr>
          <w:rFonts w:ascii="Times New Roman" w:hAnsi="Times New Roman"/>
          <w:color w:val="000000"/>
          <w:szCs w:val="20"/>
        </w:rPr>
        <w:t>послуг</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Депозитарної</w:t>
      </w:r>
      <w:proofErr w:type="spellEnd"/>
      <w:r w:rsidRPr="00E16672">
        <w:rPr>
          <w:rFonts w:ascii="Times New Roman" w:hAnsi="Times New Roman"/>
          <w:color w:val="000000"/>
          <w:szCs w:val="20"/>
        </w:rPr>
        <w:t xml:space="preserve"> установи з боку </w:t>
      </w:r>
      <w:proofErr w:type="spellStart"/>
      <w:r w:rsidRPr="00E16672">
        <w:rPr>
          <w:rFonts w:ascii="Times New Roman" w:hAnsi="Times New Roman"/>
          <w:color w:val="000000"/>
          <w:szCs w:val="20"/>
        </w:rPr>
        <w:t>Емітента</w:t>
      </w:r>
      <w:proofErr w:type="spellEnd"/>
      <w:r w:rsidRPr="00E16672">
        <w:rPr>
          <w:rFonts w:ascii="Times New Roman" w:hAnsi="Times New Roman"/>
          <w:color w:val="000000"/>
          <w:szCs w:val="20"/>
        </w:rPr>
        <w:t xml:space="preserve"> до </w:t>
      </w:r>
      <w:proofErr w:type="spellStart"/>
      <w:r w:rsidRPr="00E16672">
        <w:rPr>
          <w:rFonts w:ascii="Times New Roman" w:hAnsi="Times New Roman"/>
          <w:color w:val="000000"/>
          <w:szCs w:val="20"/>
        </w:rPr>
        <w:t>повного</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погашення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заборгованості</w:t>
      </w:r>
      <w:proofErr w:type="spellEnd"/>
      <w:r w:rsidRPr="00E16672">
        <w:rPr>
          <w:rFonts w:ascii="Times New Roman" w:hAnsi="Times New Roman"/>
          <w:color w:val="000000"/>
          <w:szCs w:val="20"/>
        </w:rPr>
        <w:t>.</w:t>
      </w:r>
    </w:p>
    <w:p w14:paraId="55EE5D0B" w14:textId="77777777" w:rsidR="000A5A99" w:rsidRPr="00E16672" w:rsidRDefault="000A5A99" w:rsidP="000A5A99">
      <w:pPr>
        <w:ind w:left="-12" w:firstLine="579"/>
        <w:rPr>
          <w:rFonts w:ascii="Times New Roman" w:hAnsi="Times New Roman"/>
          <w:color w:val="000000"/>
          <w:szCs w:val="20"/>
          <w:shd w:val="clear" w:color="auto" w:fill="FFFFFF"/>
          <w:lang w:val="uk-UA"/>
        </w:rPr>
      </w:pPr>
      <w:r w:rsidRPr="00E16672">
        <w:rPr>
          <w:rFonts w:ascii="Times New Roman" w:hAnsi="Times New Roman"/>
          <w:color w:val="000000"/>
          <w:szCs w:val="20"/>
          <w:shd w:val="clear" w:color="auto" w:fill="FFFFFF"/>
        </w:rPr>
        <w:t xml:space="preserve">У </w:t>
      </w:r>
      <w:proofErr w:type="spellStart"/>
      <w:r w:rsidRPr="00E16672">
        <w:rPr>
          <w:rFonts w:ascii="Times New Roman" w:hAnsi="Times New Roman"/>
          <w:color w:val="000000"/>
          <w:szCs w:val="20"/>
          <w:shd w:val="clear" w:color="auto" w:fill="FFFFFF"/>
        </w:rPr>
        <w:t>разі</w:t>
      </w:r>
      <w:proofErr w:type="spellEnd"/>
      <w:r w:rsidRPr="00E16672">
        <w:rPr>
          <w:rFonts w:ascii="Times New Roman" w:hAnsi="Times New Roman"/>
          <w:color w:val="000000"/>
          <w:szCs w:val="20"/>
          <w:shd w:val="clear" w:color="auto" w:fill="FFFFFF"/>
        </w:rPr>
        <w:t xml:space="preserve"> </w:t>
      </w:r>
      <w:proofErr w:type="spellStart"/>
      <w:r w:rsidRPr="00E16672">
        <w:rPr>
          <w:rFonts w:ascii="Times New Roman" w:hAnsi="Times New Roman"/>
          <w:color w:val="000000"/>
          <w:szCs w:val="20"/>
          <w:shd w:val="clear" w:color="auto" w:fill="FFFFFF"/>
        </w:rPr>
        <w:t>наявності</w:t>
      </w:r>
      <w:proofErr w:type="spellEnd"/>
      <w:r w:rsidR="003352AE" w:rsidRPr="00E16672">
        <w:rPr>
          <w:rFonts w:ascii="Times New Roman" w:hAnsi="Times New Roman"/>
          <w:color w:val="000000"/>
          <w:szCs w:val="20"/>
          <w:shd w:val="clear" w:color="auto" w:fill="FFFFFF"/>
          <w:lang w:val="uk-UA"/>
        </w:rPr>
        <w:t xml:space="preserve"> </w:t>
      </w:r>
      <w:proofErr w:type="spellStart"/>
      <w:r w:rsidRPr="00E16672">
        <w:rPr>
          <w:rFonts w:ascii="Times New Roman" w:hAnsi="Times New Roman"/>
          <w:color w:val="000000"/>
          <w:szCs w:val="20"/>
          <w:shd w:val="clear" w:color="auto" w:fill="FFFFFF"/>
        </w:rPr>
        <w:t>заборгованості</w:t>
      </w:r>
      <w:proofErr w:type="spellEnd"/>
      <w:r w:rsidRPr="00E16672">
        <w:rPr>
          <w:rFonts w:ascii="Times New Roman" w:hAnsi="Times New Roman"/>
          <w:color w:val="000000"/>
          <w:szCs w:val="20"/>
          <w:shd w:val="clear" w:color="auto" w:fill="FFFFFF"/>
        </w:rPr>
        <w:t xml:space="preserve"> за </w:t>
      </w:r>
      <w:proofErr w:type="spellStart"/>
      <w:r w:rsidRPr="00E16672">
        <w:rPr>
          <w:rFonts w:ascii="Times New Roman" w:hAnsi="Times New Roman"/>
          <w:color w:val="000000"/>
          <w:szCs w:val="20"/>
          <w:shd w:val="clear" w:color="auto" w:fill="FFFFFF"/>
        </w:rPr>
        <w:t>попередньо</w:t>
      </w:r>
      <w:proofErr w:type="spellEnd"/>
      <w:r w:rsidRPr="00E16672">
        <w:rPr>
          <w:rFonts w:ascii="Times New Roman" w:hAnsi="Times New Roman"/>
          <w:color w:val="000000"/>
          <w:szCs w:val="20"/>
          <w:shd w:val="clear" w:color="auto" w:fill="FFFFFF"/>
        </w:rPr>
        <w:t xml:space="preserve"> </w:t>
      </w:r>
      <w:proofErr w:type="spellStart"/>
      <w:r w:rsidRPr="00E16672">
        <w:rPr>
          <w:rFonts w:ascii="Times New Roman" w:hAnsi="Times New Roman"/>
          <w:color w:val="000000"/>
          <w:szCs w:val="20"/>
          <w:shd w:val="clear" w:color="auto" w:fill="FFFFFF"/>
        </w:rPr>
        <w:t>надані</w:t>
      </w:r>
      <w:proofErr w:type="spellEnd"/>
      <w:r w:rsidRPr="00E16672">
        <w:rPr>
          <w:rFonts w:ascii="Times New Roman" w:hAnsi="Times New Roman"/>
          <w:color w:val="000000"/>
          <w:szCs w:val="20"/>
          <w:shd w:val="clear" w:color="auto" w:fill="FFFFFF"/>
        </w:rPr>
        <w:t xml:space="preserve"> </w:t>
      </w:r>
      <w:proofErr w:type="spellStart"/>
      <w:r w:rsidRPr="00E16672">
        <w:rPr>
          <w:rFonts w:ascii="Times New Roman" w:hAnsi="Times New Roman"/>
          <w:color w:val="000000"/>
          <w:szCs w:val="20"/>
          <w:shd w:val="clear" w:color="auto" w:fill="FFFFFF"/>
        </w:rPr>
        <w:t>депозитарні</w:t>
      </w:r>
      <w:proofErr w:type="spellEnd"/>
      <w:r w:rsidRPr="00E16672">
        <w:rPr>
          <w:rFonts w:ascii="Times New Roman" w:hAnsi="Times New Roman"/>
          <w:color w:val="000000"/>
          <w:szCs w:val="20"/>
          <w:shd w:val="clear" w:color="auto" w:fill="FFFFFF"/>
        </w:rPr>
        <w:t xml:space="preserve"> </w:t>
      </w:r>
      <w:proofErr w:type="spellStart"/>
      <w:r w:rsidRPr="00E16672">
        <w:rPr>
          <w:rFonts w:ascii="Times New Roman" w:hAnsi="Times New Roman"/>
          <w:color w:val="000000"/>
          <w:szCs w:val="20"/>
          <w:shd w:val="clear" w:color="auto" w:fill="FFFFFF"/>
        </w:rPr>
        <w:t>послуги</w:t>
      </w:r>
      <w:proofErr w:type="spellEnd"/>
      <w:r w:rsidRPr="00E16672">
        <w:rPr>
          <w:rFonts w:ascii="Times New Roman" w:hAnsi="Times New Roman"/>
          <w:color w:val="000000"/>
          <w:szCs w:val="20"/>
          <w:shd w:val="clear" w:color="auto" w:fill="FFFFFF"/>
        </w:rPr>
        <w:t xml:space="preserve"> та при </w:t>
      </w:r>
      <w:proofErr w:type="spellStart"/>
      <w:r w:rsidRPr="00E16672">
        <w:rPr>
          <w:rFonts w:ascii="Times New Roman" w:hAnsi="Times New Roman"/>
          <w:color w:val="000000"/>
          <w:szCs w:val="20"/>
          <w:shd w:val="clear" w:color="auto" w:fill="FFFFFF"/>
        </w:rPr>
        <w:t>отриманні</w:t>
      </w:r>
      <w:proofErr w:type="spellEnd"/>
      <w:r w:rsidRPr="00E16672">
        <w:rPr>
          <w:rFonts w:ascii="Times New Roman" w:hAnsi="Times New Roman"/>
          <w:color w:val="000000"/>
          <w:szCs w:val="20"/>
          <w:shd w:val="clear" w:color="auto" w:fill="FFFFFF"/>
        </w:rPr>
        <w:t xml:space="preserve"> нового </w:t>
      </w:r>
      <w:proofErr w:type="spellStart"/>
      <w:r w:rsidRPr="00E16672">
        <w:rPr>
          <w:rFonts w:ascii="Times New Roman" w:hAnsi="Times New Roman"/>
          <w:color w:val="000000"/>
          <w:szCs w:val="20"/>
          <w:shd w:val="clear" w:color="auto" w:fill="FFFFFF"/>
        </w:rPr>
        <w:t>розпорядження</w:t>
      </w:r>
      <w:proofErr w:type="spellEnd"/>
      <w:r w:rsidRPr="00E16672">
        <w:rPr>
          <w:rFonts w:ascii="Times New Roman" w:hAnsi="Times New Roman"/>
          <w:color w:val="000000"/>
          <w:szCs w:val="20"/>
          <w:shd w:val="clear" w:color="auto" w:fill="FFFFFF"/>
        </w:rPr>
        <w:t xml:space="preserve"> на </w:t>
      </w:r>
      <w:proofErr w:type="spellStart"/>
      <w:r w:rsidRPr="00E16672">
        <w:rPr>
          <w:rFonts w:ascii="Times New Roman" w:hAnsi="Times New Roman"/>
          <w:color w:val="000000"/>
          <w:szCs w:val="20"/>
          <w:shd w:val="clear" w:color="auto" w:fill="FFFFFF"/>
        </w:rPr>
        <w:t>виконання</w:t>
      </w:r>
      <w:proofErr w:type="spellEnd"/>
      <w:r w:rsidRPr="00E16672">
        <w:rPr>
          <w:rFonts w:ascii="Times New Roman" w:hAnsi="Times New Roman"/>
          <w:color w:val="000000"/>
          <w:szCs w:val="20"/>
          <w:shd w:val="clear" w:color="auto" w:fill="FFFFFF"/>
        </w:rPr>
        <w:t xml:space="preserve"> </w:t>
      </w:r>
      <w:proofErr w:type="spellStart"/>
      <w:r w:rsidRPr="00E16672">
        <w:rPr>
          <w:rFonts w:ascii="Times New Roman" w:hAnsi="Times New Roman"/>
          <w:color w:val="000000"/>
          <w:szCs w:val="20"/>
          <w:shd w:val="clear" w:color="auto" w:fill="FFFFFF"/>
        </w:rPr>
        <w:t>депозитарних</w:t>
      </w:r>
      <w:proofErr w:type="spellEnd"/>
      <w:r w:rsidRPr="00E16672">
        <w:rPr>
          <w:rFonts w:ascii="Times New Roman" w:hAnsi="Times New Roman"/>
          <w:color w:val="000000"/>
          <w:szCs w:val="20"/>
          <w:shd w:val="clear" w:color="auto" w:fill="FFFFFF"/>
        </w:rPr>
        <w:t xml:space="preserve"> </w:t>
      </w:r>
      <w:proofErr w:type="spellStart"/>
      <w:r w:rsidRPr="00E16672">
        <w:rPr>
          <w:rFonts w:ascii="Times New Roman" w:hAnsi="Times New Roman"/>
          <w:color w:val="000000"/>
          <w:szCs w:val="20"/>
          <w:shd w:val="clear" w:color="auto" w:fill="FFFFFF"/>
        </w:rPr>
        <w:t>операцій</w:t>
      </w:r>
      <w:proofErr w:type="spellEnd"/>
      <w:r w:rsidRPr="00E16672">
        <w:rPr>
          <w:rFonts w:ascii="Times New Roman" w:hAnsi="Times New Roman"/>
          <w:color w:val="000000"/>
          <w:szCs w:val="20"/>
          <w:shd w:val="clear" w:color="auto" w:fill="FFFFFF"/>
        </w:rPr>
        <w:t xml:space="preserve">, </w:t>
      </w:r>
      <w:proofErr w:type="spellStart"/>
      <w:r w:rsidRPr="00E16672">
        <w:rPr>
          <w:rFonts w:ascii="Times New Roman" w:hAnsi="Times New Roman"/>
          <w:color w:val="000000"/>
          <w:szCs w:val="20"/>
          <w:shd w:val="clear" w:color="auto" w:fill="FFFFFF"/>
        </w:rPr>
        <w:t>Депозитарна</w:t>
      </w:r>
      <w:proofErr w:type="spellEnd"/>
      <w:r w:rsidRPr="00E16672">
        <w:rPr>
          <w:rFonts w:ascii="Times New Roman" w:hAnsi="Times New Roman"/>
          <w:color w:val="000000"/>
          <w:szCs w:val="20"/>
          <w:shd w:val="clear" w:color="auto" w:fill="FFFFFF"/>
        </w:rPr>
        <w:t xml:space="preserve"> </w:t>
      </w:r>
      <w:proofErr w:type="spellStart"/>
      <w:r w:rsidRPr="00E16672">
        <w:rPr>
          <w:rFonts w:ascii="Times New Roman" w:hAnsi="Times New Roman"/>
          <w:color w:val="000000"/>
          <w:szCs w:val="20"/>
          <w:shd w:val="clear" w:color="auto" w:fill="FFFFFF"/>
        </w:rPr>
        <w:t>установа</w:t>
      </w:r>
      <w:proofErr w:type="spellEnd"/>
      <w:r w:rsidRPr="00E16672">
        <w:rPr>
          <w:rFonts w:ascii="Times New Roman" w:hAnsi="Times New Roman"/>
          <w:color w:val="000000"/>
          <w:szCs w:val="20"/>
          <w:shd w:val="clear" w:color="auto" w:fill="FFFFFF"/>
        </w:rPr>
        <w:t xml:space="preserve"> </w:t>
      </w:r>
      <w:proofErr w:type="spellStart"/>
      <w:r w:rsidRPr="00E16672">
        <w:rPr>
          <w:rFonts w:ascii="Times New Roman" w:hAnsi="Times New Roman"/>
          <w:color w:val="000000"/>
          <w:szCs w:val="20"/>
          <w:shd w:val="clear" w:color="auto" w:fill="FFFFFF"/>
        </w:rPr>
        <w:t>має</w:t>
      </w:r>
      <w:proofErr w:type="spellEnd"/>
      <w:r w:rsidRPr="00E16672">
        <w:rPr>
          <w:rFonts w:ascii="Times New Roman" w:hAnsi="Times New Roman"/>
          <w:color w:val="000000"/>
          <w:szCs w:val="20"/>
          <w:shd w:val="clear" w:color="auto" w:fill="FFFFFF"/>
        </w:rPr>
        <w:t xml:space="preserve"> право в день </w:t>
      </w:r>
      <w:proofErr w:type="spellStart"/>
      <w:r w:rsidRPr="00E16672">
        <w:rPr>
          <w:rFonts w:ascii="Times New Roman" w:hAnsi="Times New Roman"/>
          <w:color w:val="000000"/>
          <w:szCs w:val="20"/>
          <w:shd w:val="clear" w:color="auto" w:fill="FFFFFF"/>
        </w:rPr>
        <w:t>отримання</w:t>
      </w:r>
      <w:proofErr w:type="spellEnd"/>
      <w:r w:rsidRPr="00E16672">
        <w:rPr>
          <w:rFonts w:ascii="Times New Roman" w:hAnsi="Times New Roman"/>
          <w:color w:val="000000"/>
          <w:szCs w:val="20"/>
          <w:shd w:val="clear" w:color="auto" w:fill="FFFFFF"/>
        </w:rPr>
        <w:t xml:space="preserve"> </w:t>
      </w:r>
      <w:proofErr w:type="spellStart"/>
      <w:r w:rsidRPr="00E16672">
        <w:rPr>
          <w:rFonts w:ascii="Times New Roman" w:hAnsi="Times New Roman"/>
          <w:color w:val="000000"/>
          <w:szCs w:val="20"/>
          <w:shd w:val="clear" w:color="auto" w:fill="FFFFFF"/>
        </w:rPr>
        <w:t>розпорядження</w:t>
      </w:r>
      <w:proofErr w:type="spellEnd"/>
      <w:r w:rsidRPr="00E16672">
        <w:rPr>
          <w:rFonts w:ascii="Times New Roman" w:hAnsi="Times New Roman"/>
          <w:color w:val="000000"/>
          <w:szCs w:val="20"/>
          <w:shd w:val="clear" w:color="auto" w:fill="FFFFFF"/>
        </w:rPr>
        <w:t xml:space="preserve"> </w:t>
      </w:r>
      <w:proofErr w:type="spellStart"/>
      <w:r w:rsidRPr="00E16672">
        <w:rPr>
          <w:rFonts w:ascii="Times New Roman" w:hAnsi="Times New Roman"/>
          <w:color w:val="000000"/>
          <w:szCs w:val="20"/>
          <w:shd w:val="clear" w:color="auto" w:fill="FFFFFF"/>
        </w:rPr>
        <w:t>або</w:t>
      </w:r>
      <w:proofErr w:type="spellEnd"/>
      <w:r w:rsidRPr="00E16672">
        <w:rPr>
          <w:rFonts w:ascii="Times New Roman" w:hAnsi="Times New Roman"/>
          <w:color w:val="000000"/>
          <w:szCs w:val="20"/>
          <w:shd w:val="clear" w:color="auto" w:fill="FFFFFF"/>
        </w:rPr>
        <w:t xml:space="preserve"> </w:t>
      </w:r>
      <w:proofErr w:type="spellStart"/>
      <w:r w:rsidRPr="00E16672">
        <w:rPr>
          <w:rFonts w:ascii="Times New Roman" w:hAnsi="Times New Roman"/>
          <w:color w:val="000000"/>
          <w:szCs w:val="20"/>
          <w:shd w:val="clear" w:color="auto" w:fill="FFFFFF"/>
        </w:rPr>
        <w:t>наступного</w:t>
      </w:r>
      <w:proofErr w:type="spellEnd"/>
      <w:r w:rsidRPr="00E16672">
        <w:rPr>
          <w:rFonts w:ascii="Times New Roman" w:hAnsi="Times New Roman"/>
          <w:color w:val="000000"/>
          <w:szCs w:val="20"/>
          <w:shd w:val="clear" w:color="auto" w:fill="FFFFFF"/>
        </w:rPr>
        <w:t xml:space="preserve"> дня </w:t>
      </w:r>
      <w:proofErr w:type="spellStart"/>
      <w:r w:rsidRPr="00E16672">
        <w:rPr>
          <w:rFonts w:ascii="Times New Roman" w:hAnsi="Times New Roman"/>
          <w:color w:val="000000"/>
          <w:szCs w:val="20"/>
          <w:shd w:val="clear" w:color="auto" w:fill="FFFFFF"/>
        </w:rPr>
        <w:t>надати</w:t>
      </w:r>
      <w:proofErr w:type="spellEnd"/>
      <w:r w:rsidRPr="00E16672">
        <w:rPr>
          <w:rFonts w:ascii="Times New Roman" w:hAnsi="Times New Roman"/>
          <w:color w:val="000000"/>
          <w:szCs w:val="20"/>
          <w:shd w:val="clear" w:color="auto" w:fill="FFFFFF"/>
        </w:rPr>
        <w:t xml:space="preserve"> документ для </w:t>
      </w:r>
      <w:proofErr w:type="spellStart"/>
      <w:r w:rsidRPr="00E16672">
        <w:rPr>
          <w:rFonts w:ascii="Times New Roman" w:hAnsi="Times New Roman"/>
          <w:color w:val="000000"/>
          <w:szCs w:val="20"/>
          <w:shd w:val="clear" w:color="auto" w:fill="FFFFFF"/>
        </w:rPr>
        <w:t>сплати</w:t>
      </w:r>
      <w:proofErr w:type="spellEnd"/>
      <w:r w:rsidRPr="00E16672">
        <w:rPr>
          <w:rFonts w:ascii="Times New Roman" w:hAnsi="Times New Roman"/>
          <w:color w:val="000000"/>
          <w:szCs w:val="20"/>
          <w:shd w:val="clear" w:color="auto" w:fill="FFFFFF"/>
        </w:rPr>
        <w:t xml:space="preserve"> </w:t>
      </w:r>
      <w:proofErr w:type="spellStart"/>
      <w:r w:rsidRPr="00E16672">
        <w:rPr>
          <w:rFonts w:ascii="Times New Roman" w:hAnsi="Times New Roman"/>
          <w:color w:val="000000"/>
          <w:szCs w:val="20"/>
          <w:shd w:val="clear" w:color="auto" w:fill="FFFFFF"/>
        </w:rPr>
        <w:t>депозитарних</w:t>
      </w:r>
      <w:proofErr w:type="spellEnd"/>
      <w:r w:rsidRPr="00E16672">
        <w:rPr>
          <w:rFonts w:ascii="Times New Roman" w:hAnsi="Times New Roman"/>
          <w:color w:val="000000"/>
          <w:szCs w:val="20"/>
          <w:shd w:val="clear" w:color="auto" w:fill="FFFFFF"/>
        </w:rPr>
        <w:t xml:space="preserve"> </w:t>
      </w:r>
      <w:proofErr w:type="spellStart"/>
      <w:r w:rsidRPr="00E16672">
        <w:rPr>
          <w:rFonts w:ascii="Times New Roman" w:hAnsi="Times New Roman"/>
          <w:color w:val="000000"/>
          <w:szCs w:val="20"/>
          <w:shd w:val="clear" w:color="auto" w:fill="FFFFFF"/>
        </w:rPr>
        <w:t>послуг</w:t>
      </w:r>
      <w:proofErr w:type="spellEnd"/>
      <w:r w:rsidRPr="00E16672">
        <w:rPr>
          <w:rFonts w:ascii="Times New Roman" w:hAnsi="Times New Roman"/>
          <w:color w:val="000000"/>
          <w:szCs w:val="20"/>
          <w:shd w:val="clear" w:color="auto" w:fill="FFFFFF"/>
        </w:rPr>
        <w:t xml:space="preserve"> (</w:t>
      </w:r>
      <w:proofErr w:type="spellStart"/>
      <w:r w:rsidRPr="00E16672">
        <w:rPr>
          <w:rFonts w:ascii="Times New Roman" w:hAnsi="Times New Roman"/>
          <w:color w:val="000000"/>
          <w:szCs w:val="20"/>
          <w:shd w:val="clear" w:color="auto" w:fill="FFFFFF"/>
        </w:rPr>
        <w:t>стосовно</w:t>
      </w:r>
      <w:proofErr w:type="spellEnd"/>
      <w:r w:rsidRPr="00E16672">
        <w:rPr>
          <w:rFonts w:ascii="Times New Roman" w:hAnsi="Times New Roman"/>
          <w:color w:val="000000"/>
          <w:szCs w:val="20"/>
          <w:shd w:val="clear" w:color="auto" w:fill="FFFFFF"/>
        </w:rPr>
        <w:t xml:space="preserve"> </w:t>
      </w:r>
      <w:proofErr w:type="spellStart"/>
      <w:r w:rsidRPr="00E16672">
        <w:rPr>
          <w:rFonts w:ascii="Times New Roman" w:hAnsi="Times New Roman"/>
          <w:color w:val="000000"/>
          <w:szCs w:val="20"/>
          <w:shd w:val="clear" w:color="auto" w:fill="FFFFFF"/>
        </w:rPr>
        <w:t>операцій</w:t>
      </w:r>
      <w:proofErr w:type="spellEnd"/>
      <w:r w:rsidRPr="00E16672">
        <w:rPr>
          <w:rFonts w:ascii="Times New Roman" w:hAnsi="Times New Roman"/>
          <w:color w:val="000000"/>
          <w:szCs w:val="20"/>
          <w:shd w:val="clear" w:color="auto" w:fill="FFFFFF"/>
        </w:rPr>
        <w:t xml:space="preserve">, </w:t>
      </w:r>
      <w:proofErr w:type="spellStart"/>
      <w:r w:rsidRPr="00E16672">
        <w:rPr>
          <w:rFonts w:ascii="Times New Roman" w:hAnsi="Times New Roman"/>
          <w:color w:val="000000"/>
          <w:szCs w:val="20"/>
          <w:shd w:val="clear" w:color="auto" w:fill="FFFFFF"/>
        </w:rPr>
        <w:t>проведення</w:t>
      </w:r>
      <w:proofErr w:type="spellEnd"/>
      <w:r w:rsidRPr="00E16672">
        <w:rPr>
          <w:rFonts w:ascii="Times New Roman" w:hAnsi="Times New Roman"/>
          <w:color w:val="000000"/>
          <w:szCs w:val="20"/>
          <w:shd w:val="clear" w:color="auto" w:fill="FFFFFF"/>
        </w:rPr>
        <w:t xml:space="preserve"> </w:t>
      </w:r>
      <w:proofErr w:type="spellStart"/>
      <w:r w:rsidRPr="00E16672">
        <w:rPr>
          <w:rFonts w:ascii="Times New Roman" w:hAnsi="Times New Roman"/>
          <w:color w:val="000000"/>
          <w:szCs w:val="20"/>
          <w:shd w:val="clear" w:color="auto" w:fill="FFFFFF"/>
        </w:rPr>
        <w:t>яких</w:t>
      </w:r>
      <w:proofErr w:type="spellEnd"/>
      <w:r w:rsidRPr="00E16672">
        <w:rPr>
          <w:rFonts w:ascii="Times New Roman" w:hAnsi="Times New Roman"/>
          <w:color w:val="000000"/>
          <w:szCs w:val="20"/>
          <w:shd w:val="clear" w:color="auto" w:fill="FFFFFF"/>
        </w:rPr>
        <w:t xml:space="preserve"> </w:t>
      </w:r>
      <w:proofErr w:type="spellStart"/>
      <w:r w:rsidRPr="00E16672">
        <w:rPr>
          <w:rFonts w:ascii="Times New Roman" w:hAnsi="Times New Roman"/>
          <w:color w:val="000000"/>
          <w:szCs w:val="20"/>
          <w:shd w:val="clear" w:color="auto" w:fill="FFFFFF"/>
        </w:rPr>
        <w:t>вимагається</w:t>
      </w:r>
      <w:proofErr w:type="spellEnd"/>
      <w:r w:rsidRPr="00E16672">
        <w:rPr>
          <w:rFonts w:ascii="Times New Roman" w:hAnsi="Times New Roman"/>
          <w:color w:val="000000"/>
          <w:szCs w:val="20"/>
          <w:shd w:val="clear" w:color="auto" w:fill="FFFFFF"/>
        </w:rPr>
        <w:t xml:space="preserve"> </w:t>
      </w:r>
      <w:proofErr w:type="spellStart"/>
      <w:r w:rsidRPr="00E16672">
        <w:rPr>
          <w:rFonts w:ascii="Times New Roman" w:hAnsi="Times New Roman"/>
          <w:color w:val="000000"/>
          <w:szCs w:val="20"/>
          <w:shd w:val="clear" w:color="auto" w:fill="FFFFFF"/>
        </w:rPr>
        <w:t>наданим</w:t>
      </w:r>
      <w:proofErr w:type="spellEnd"/>
      <w:r w:rsidRPr="00E16672">
        <w:rPr>
          <w:rFonts w:ascii="Times New Roman" w:hAnsi="Times New Roman"/>
          <w:color w:val="000000"/>
          <w:szCs w:val="20"/>
          <w:shd w:val="clear" w:color="auto" w:fill="FFFFFF"/>
        </w:rPr>
        <w:t xml:space="preserve"> </w:t>
      </w:r>
      <w:proofErr w:type="spellStart"/>
      <w:r w:rsidRPr="00E16672">
        <w:rPr>
          <w:rFonts w:ascii="Times New Roman" w:hAnsi="Times New Roman"/>
          <w:color w:val="000000"/>
          <w:szCs w:val="20"/>
          <w:shd w:val="clear" w:color="auto" w:fill="FFFFFF"/>
        </w:rPr>
        <w:t>розпорядженням</w:t>
      </w:r>
      <w:proofErr w:type="spellEnd"/>
      <w:r w:rsidRPr="00E16672">
        <w:rPr>
          <w:rFonts w:ascii="Times New Roman" w:hAnsi="Times New Roman"/>
          <w:color w:val="000000"/>
          <w:szCs w:val="20"/>
          <w:shd w:val="clear" w:color="auto" w:fill="FFFFFF"/>
        </w:rPr>
        <w:t xml:space="preserve">) та </w:t>
      </w:r>
      <w:proofErr w:type="spellStart"/>
      <w:r w:rsidRPr="00E16672">
        <w:rPr>
          <w:rFonts w:ascii="Times New Roman" w:hAnsi="Times New Roman"/>
          <w:color w:val="000000"/>
          <w:szCs w:val="20"/>
          <w:shd w:val="clear" w:color="auto" w:fill="FFFFFF"/>
        </w:rPr>
        <w:t>заборгованості</w:t>
      </w:r>
      <w:proofErr w:type="spellEnd"/>
      <w:r w:rsidRPr="00E16672">
        <w:rPr>
          <w:rFonts w:ascii="Times New Roman" w:hAnsi="Times New Roman"/>
          <w:color w:val="000000"/>
          <w:szCs w:val="20"/>
          <w:shd w:val="clear" w:color="auto" w:fill="FFFFFF"/>
        </w:rPr>
        <w:t xml:space="preserve"> (</w:t>
      </w:r>
      <w:proofErr w:type="spellStart"/>
      <w:r w:rsidRPr="00E16672">
        <w:rPr>
          <w:rFonts w:ascii="Times New Roman" w:hAnsi="Times New Roman"/>
          <w:color w:val="000000"/>
          <w:szCs w:val="20"/>
          <w:shd w:val="clear" w:color="auto" w:fill="FFFFFF"/>
        </w:rPr>
        <w:t>рахунок</w:t>
      </w:r>
      <w:proofErr w:type="spellEnd"/>
      <w:r w:rsidRPr="00E16672">
        <w:rPr>
          <w:rFonts w:ascii="Times New Roman" w:hAnsi="Times New Roman"/>
          <w:color w:val="000000"/>
          <w:szCs w:val="20"/>
          <w:shd w:val="clear" w:color="auto" w:fill="FFFFFF"/>
        </w:rPr>
        <w:t xml:space="preserve"> (</w:t>
      </w:r>
      <w:proofErr w:type="spellStart"/>
      <w:r w:rsidRPr="00E16672">
        <w:rPr>
          <w:rFonts w:ascii="Times New Roman" w:hAnsi="Times New Roman"/>
          <w:color w:val="000000"/>
          <w:szCs w:val="20"/>
          <w:shd w:val="clear" w:color="auto" w:fill="FFFFFF"/>
        </w:rPr>
        <w:t>інвойс</w:t>
      </w:r>
      <w:proofErr w:type="spellEnd"/>
      <w:r w:rsidRPr="00E16672">
        <w:rPr>
          <w:rFonts w:ascii="Times New Roman" w:hAnsi="Times New Roman"/>
          <w:color w:val="000000"/>
          <w:szCs w:val="20"/>
          <w:shd w:val="clear" w:color="auto" w:fill="FFFFFF"/>
        </w:rPr>
        <w:t xml:space="preserve">), акт </w:t>
      </w:r>
      <w:proofErr w:type="spellStart"/>
      <w:r w:rsidRPr="00E16672">
        <w:rPr>
          <w:rFonts w:ascii="Times New Roman" w:hAnsi="Times New Roman"/>
          <w:color w:val="000000"/>
          <w:szCs w:val="20"/>
          <w:shd w:val="clear" w:color="auto" w:fill="FFFFFF"/>
        </w:rPr>
        <w:t>виконаних</w:t>
      </w:r>
      <w:proofErr w:type="spellEnd"/>
      <w:r w:rsidRPr="00E16672">
        <w:rPr>
          <w:rFonts w:ascii="Times New Roman" w:hAnsi="Times New Roman"/>
          <w:color w:val="000000"/>
          <w:szCs w:val="20"/>
          <w:shd w:val="clear" w:color="auto" w:fill="FFFFFF"/>
        </w:rPr>
        <w:t xml:space="preserve"> </w:t>
      </w:r>
      <w:proofErr w:type="spellStart"/>
      <w:r w:rsidRPr="00E16672">
        <w:rPr>
          <w:rFonts w:ascii="Times New Roman" w:hAnsi="Times New Roman"/>
          <w:color w:val="000000"/>
          <w:szCs w:val="20"/>
          <w:shd w:val="clear" w:color="auto" w:fill="FFFFFF"/>
        </w:rPr>
        <w:t>операцій</w:t>
      </w:r>
      <w:proofErr w:type="spellEnd"/>
      <w:r w:rsidRPr="00E16672">
        <w:rPr>
          <w:rFonts w:ascii="Times New Roman" w:hAnsi="Times New Roman"/>
          <w:color w:val="000000"/>
          <w:szCs w:val="20"/>
          <w:shd w:val="clear" w:color="auto" w:fill="FFFFFF"/>
        </w:rPr>
        <w:t xml:space="preserve"> Депозитарною </w:t>
      </w:r>
      <w:proofErr w:type="spellStart"/>
      <w:r w:rsidRPr="00E16672">
        <w:rPr>
          <w:rFonts w:ascii="Times New Roman" w:hAnsi="Times New Roman"/>
          <w:color w:val="000000"/>
          <w:szCs w:val="20"/>
          <w:shd w:val="clear" w:color="auto" w:fill="FFFFFF"/>
        </w:rPr>
        <w:t>установою</w:t>
      </w:r>
      <w:proofErr w:type="spellEnd"/>
      <w:r w:rsidRPr="00E16672">
        <w:rPr>
          <w:rFonts w:ascii="Times New Roman" w:hAnsi="Times New Roman"/>
          <w:color w:val="000000"/>
          <w:szCs w:val="20"/>
          <w:shd w:val="clear" w:color="auto" w:fill="FFFFFF"/>
        </w:rPr>
        <w:t xml:space="preserve">, акт </w:t>
      </w:r>
      <w:proofErr w:type="spellStart"/>
      <w:r w:rsidRPr="00E16672">
        <w:rPr>
          <w:rFonts w:ascii="Times New Roman" w:hAnsi="Times New Roman"/>
          <w:color w:val="000000"/>
          <w:szCs w:val="20"/>
          <w:shd w:val="clear" w:color="auto" w:fill="FFFFFF"/>
        </w:rPr>
        <w:t>звірки</w:t>
      </w:r>
      <w:proofErr w:type="spellEnd"/>
      <w:r w:rsidRPr="00E16672">
        <w:rPr>
          <w:rFonts w:ascii="Times New Roman" w:hAnsi="Times New Roman"/>
          <w:color w:val="000000"/>
          <w:szCs w:val="20"/>
          <w:shd w:val="clear" w:color="auto" w:fill="FFFFFF"/>
        </w:rPr>
        <w:t xml:space="preserve">). Документ для </w:t>
      </w:r>
      <w:proofErr w:type="spellStart"/>
      <w:r w:rsidRPr="00E16672">
        <w:rPr>
          <w:rFonts w:ascii="Times New Roman" w:hAnsi="Times New Roman"/>
          <w:color w:val="000000"/>
          <w:szCs w:val="20"/>
          <w:shd w:val="clear" w:color="auto" w:fill="FFFFFF"/>
        </w:rPr>
        <w:t>сплати</w:t>
      </w:r>
      <w:proofErr w:type="spellEnd"/>
      <w:r w:rsidRPr="00E16672">
        <w:rPr>
          <w:rFonts w:ascii="Times New Roman" w:hAnsi="Times New Roman"/>
          <w:color w:val="000000"/>
          <w:szCs w:val="20"/>
          <w:shd w:val="clear" w:color="auto" w:fill="FFFFFF"/>
        </w:rPr>
        <w:t xml:space="preserve"> </w:t>
      </w:r>
      <w:proofErr w:type="spellStart"/>
      <w:r w:rsidRPr="00E16672">
        <w:rPr>
          <w:rFonts w:ascii="Times New Roman" w:hAnsi="Times New Roman"/>
          <w:color w:val="000000"/>
          <w:szCs w:val="20"/>
          <w:shd w:val="clear" w:color="auto" w:fill="FFFFFF"/>
        </w:rPr>
        <w:t>може</w:t>
      </w:r>
      <w:proofErr w:type="spellEnd"/>
      <w:r w:rsidRPr="00E16672">
        <w:rPr>
          <w:rFonts w:ascii="Times New Roman" w:hAnsi="Times New Roman"/>
          <w:color w:val="000000"/>
          <w:szCs w:val="20"/>
          <w:shd w:val="clear" w:color="auto" w:fill="FFFFFF"/>
        </w:rPr>
        <w:t xml:space="preserve"> бути </w:t>
      </w:r>
      <w:proofErr w:type="spellStart"/>
      <w:r w:rsidRPr="00E16672">
        <w:rPr>
          <w:rFonts w:ascii="Times New Roman" w:hAnsi="Times New Roman"/>
          <w:color w:val="000000"/>
          <w:szCs w:val="20"/>
          <w:shd w:val="clear" w:color="auto" w:fill="FFFFFF"/>
        </w:rPr>
        <w:t>підписаний</w:t>
      </w:r>
      <w:proofErr w:type="spellEnd"/>
      <w:r w:rsidRPr="00E16672">
        <w:rPr>
          <w:rFonts w:ascii="Times New Roman" w:hAnsi="Times New Roman"/>
          <w:color w:val="000000"/>
          <w:szCs w:val="20"/>
          <w:shd w:val="clear" w:color="auto" w:fill="FFFFFF"/>
        </w:rPr>
        <w:t xml:space="preserve"> Сторонами за </w:t>
      </w:r>
      <w:proofErr w:type="spellStart"/>
      <w:r w:rsidRPr="00E16672">
        <w:rPr>
          <w:rFonts w:ascii="Times New Roman" w:hAnsi="Times New Roman"/>
          <w:color w:val="000000"/>
          <w:szCs w:val="20"/>
          <w:shd w:val="clear" w:color="auto" w:fill="FFFFFF"/>
        </w:rPr>
        <w:t>допомогою</w:t>
      </w:r>
      <w:proofErr w:type="spellEnd"/>
      <w:r w:rsidRPr="00E16672">
        <w:rPr>
          <w:rFonts w:ascii="Times New Roman" w:hAnsi="Times New Roman"/>
          <w:color w:val="000000"/>
          <w:szCs w:val="20"/>
          <w:shd w:val="clear" w:color="auto" w:fill="FFFFFF"/>
        </w:rPr>
        <w:t xml:space="preserve"> </w:t>
      </w:r>
      <w:proofErr w:type="spellStart"/>
      <w:r w:rsidR="00D57400" w:rsidRPr="00E16672">
        <w:rPr>
          <w:rFonts w:ascii="Times New Roman" w:hAnsi="Times New Roman"/>
          <w:color w:val="000000"/>
          <w:szCs w:val="20"/>
        </w:rPr>
        <w:t>кваліфікованого</w:t>
      </w:r>
      <w:proofErr w:type="spellEnd"/>
      <w:r w:rsidR="00D57400" w:rsidRPr="00E16672">
        <w:rPr>
          <w:rFonts w:ascii="Times New Roman" w:hAnsi="Times New Roman"/>
          <w:color w:val="000000"/>
          <w:szCs w:val="20"/>
        </w:rPr>
        <w:t xml:space="preserve"> </w:t>
      </w:r>
      <w:proofErr w:type="spellStart"/>
      <w:r w:rsidR="00D57400" w:rsidRPr="00E16672">
        <w:rPr>
          <w:rFonts w:ascii="Times New Roman" w:hAnsi="Times New Roman"/>
          <w:color w:val="000000"/>
          <w:szCs w:val="20"/>
        </w:rPr>
        <w:t>електронного</w:t>
      </w:r>
      <w:proofErr w:type="spellEnd"/>
      <w:r w:rsidR="00D57400" w:rsidRPr="00E16672">
        <w:rPr>
          <w:rFonts w:ascii="Times New Roman" w:hAnsi="Times New Roman"/>
          <w:color w:val="000000"/>
          <w:szCs w:val="20"/>
        </w:rPr>
        <w:t xml:space="preserve"> </w:t>
      </w:r>
      <w:proofErr w:type="spellStart"/>
      <w:r w:rsidR="00D57400" w:rsidRPr="00E16672">
        <w:rPr>
          <w:rFonts w:ascii="Times New Roman" w:hAnsi="Times New Roman"/>
          <w:color w:val="000000"/>
          <w:szCs w:val="20"/>
        </w:rPr>
        <w:t>підпису</w:t>
      </w:r>
      <w:proofErr w:type="spellEnd"/>
      <w:r w:rsidRPr="00E16672">
        <w:rPr>
          <w:rFonts w:ascii="Times New Roman" w:hAnsi="Times New Roman"/>
          <w:color w:val="000000"/>
          <w:szCs w:val="20"/>
          <w:shd w:val="clear" w:color="auto" w:fill="FFFFFF"/>
        </w:rPr>
        <w:t xml:space="preserve">, </w:t>
      </w:r>
      <w:proofErr w:type="spellStart"/>
      <w:r w:rsidRPr="00E16672">
        <w:rPr>
          <w:rFonts w:ascii="Times New Roman" w:hAnsi="Times New Roman"/>
          <w:color w:val="000000"/>
          <w:szCs w:val="20"/>
          <w:shd w:val="clear" w:color="auto" w:fill="FFFFFF"/>
        </w:rPr>
        <w:t>що</w:t>
      </w:r>
      <w:proofErr w:type="spellEnd"/>
      <w:r w:rsidRPr="00E16672">
        <w:rPr>
          <w:rFonts w:ascii="Times New Roman" w:hAnsi="Times New Roman"/>
          <w:color w:val="000000"/>
          <w:szCs w:val="20"/>
          <w:shd w:val="clear" w:color="auto" w:fill="FFFFFF"/>
        </w:rPr>
        <w:t xml:space="preserve"> за </w:t>
      </w:r>
      <w:proofErr w:type="spellStart"/>
      <w:r w:rsidRPr="00E16672">
        <w:rPr>
          <w:rFonts w:ascii="Times New Roman" w:hAnsi="Times New Roman"/>
          <w:color w:val="000000"/>
          <w:szCs w:val="20"/>
          <w:shd w:val="clear" w:color="auto" w:fill="FFFFFF"/>
        </w:rPr>
        <w:t>правовим</w:t>
      </w:r>
      <w:proofErr w:type="spellEnd"/>
      <w:r w:rsidRPr="00E16672">
        <w:rPr>
          <w:rFonts w:ascii="Times New Roman" w:hAnsi="Times New Roman"/>
          <w:color w:val="000000"/>
          <w:szCs w:val="20"/>
          <w:shd w:val="clear" w:color="auto" w:fill="FFFFFF"/>
        </w:rPr>
        <w:t xml:space="preserve"> статусом </w:t>
      </w:r>
      <w:proofErr w:type="spellStart"/>
      <w:r w:rsidRPr="00E16672">
        <w:rPr>
          <w:rFonts w:ascii="Times New Roman" w:hAnsi="Times New Roman"/>
          <w:color w:val="000000"/>
          <w:szCs w:val="20"/>
          <w:shd w:val="clear" w:color="auto" w:fill="FFFFFF"/>
        </w:rPr>
        <w:t>прирівнюється</w:t>
      </w:r>
      <w:proofErr w:type="spellEnd"/>
      <w:r w:rsidRPr="00E16672">
        <w:rPr>
          <w:rFonts w:ascii="Times New Roman" w:hAnsi="Times New Roman"/>
          <w:color w:val="000000"/>
          <w:szCs w:val="20"/>
          <w:shd w:val="clear" w:color="auto" w:fill="FFFFFF"/>
        </w:rPr>
        <w:t xml:space="preserve"> до </w:t>
      </w:r>
      <w:r w:rsidRPr="00E16672">
        <w:rPr>
          <w:rFonts w:ascii="Times New Roman" w:hAnsi="Times New Roman"/>
          <w:color w:val="000000"/>
          <w:szCs w:val="20"/>
        </w:rPr>
        <w:t xml:space="preserve">печатки </w:t>
      </w:r>
      <w:proofErr w:type="spellStart"/>
      <w:r w:rsidRPr="00E16672">
        <w:rPr>
          <w:rFonts w:ascii="Times New Roman" w:hAnsi="Times New Roman"/>
          <w:color w:val="000000"/>
          <w:szCs w:val="20"/>
        </w:rPr>
        <w:t>юридичної</w:t>
      </w:r>
      <w:proofErr w:type="spellEnd"/>
      <w:r w:rsidRPr="00E16672">
        <w:rPr>
          <w:rFonts w:ascii="Times New Roman" w:hAnsi="Times New Roman"/>
          <w:color w:val="000000"/>
          <w:szCs w:val="20"/>
        </w:rPr>
        <w:t xml:space="preserve"> особи (</w:t>
      </w:r>
      <w:proofErr w:type="spellStart"/>
      <w:r w:rsidRPr="00E16672">
        <w:rPr>
          <w:rFonts w:ascii="Times New Roman" w:hAnsi="Times New Roman"/>
          <w:color w:val="000000"/>
          <w:szCs w:val="20"/>
        </w:rPr>
        <w:t>крім</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юридичних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осіб</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нерезидентів</w:t>
      </w:r>
      <w:proofErr w:type="spellEnd"/>
      <w:r w:rsidRPr="00E16672">
        <w:rPr>
          <w:rFonts w:ascii="Times New Roman" w:hAnsi="Times New Roman"/>
          <w:color w:val="000000"/>
          <w:szCs w:val="20"/>
        </w:rPr>
        <w:t xml:space="preserve"> – </w:t>
      </w:r>
      <w:proofErr w:type="spellStart"/>
      <w:r w:rsidRPr="00E16672">
        <w:rPr>
          <w:rFonts w:ascii="Times New Roman" w:hAnsi="Times New Roman"/>
          <w:color w:val="000000"/>
          <w:szCs w:val="20"/>
        </w:rPr>
        <w:t>емітентів</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або</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керуючих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рахунком</w:t>
      </w:r>
      <w:proofErr w:type="spellEnd"/>
      <w:r w:rsidRPr="00E16672">
        <w:rPr>
          <w:rFonts w:ascii="Times New Roman" w:hAnsi="Times New Roman"/>
          <w:color w:val="000000"/>
          <w:szCs w:val="20"/>
        </w:rPr>
        <w:t>).</w:t>
      </w:r>
      <w:r w:rsidRPr="00E16672">
        <w:rPr>
          <w:rFonts w:ascii="Times New Roman" w:hAnsi="Times New Roman"/>
          <w:color w:val="000000"/>
          <w:szCs w:val="20"/>
          <w:shd w:val="clear" w:color="auto" w:fill="FFFFFF"/>
        </w:rPr>
        <w:t xml:space="preserve"> </w:t>
      </w:r>
      <w:proofErr w:type="spellStart"/>
      <w:r w:rsidRPr="00E16672">
        <w:rPr>
          <w:rFonts w:ascii="Times New Roman" w:hAnsi="Times New Roman"/>
          <w:color w:val="000000"/>
          <w:szCs w:val="20"/>
          <w:shd w:val="clear" w:color="auto" w:fill="FFFFFF"/>
        </w:rPr>
        <w:t>Документи</w:t>
      </w:r>
      <w:proofErr w:type="spellEnd"/>
      <w:r w:rsidRPr="00E16672">
        <w:rPr>
          <w:rFonts w:ascii="Times New Roman" w:hAnsi="Times New Roman"/>
          <w:color w:val="000000"/>
          <w:szCs w:val="20"/>
          <w:shd w:val="clear" w:color="auto" w:fill="FFFFFF"/>
        </w:rPr>
        <w:t xml:space="preserve"> для оплати </w:t>
      </w:r>
      <w:proofErr w:type="spellStart"/>
      <w:r w:rsidRPr="00E16672">
        <w:rPr>
          <w:rFonts w:ascii="Times New Roman" w:hAnsi="Times New Roman"/>
          <w:color w:val="000000"/>
          <w:szCs w:val="20"/>
          <w:shd w:val="clear" w:color="auto" w:fill="FFFFFF"/>
        </w:rPr>
        <w:t>можуть</w:t>
      </w:r>
      <w:proofErr w:type="spellEnd"/>
      <w:r w:rsidRPr="00E16672">
        <w:rPr>
          <w:rFonts w:ascii="Times New Roman" w:hAnsi="Times New Roman"/>
          <w:color w:val="000000"/>
          <w:szCs w:val="20"/>
          <w:shd w:val="clear" w:color="auto" w:fill="FFFFFF"/>
        </w:rPr>
        <w:t xml:space="preserve"> </w:t>
      </w:r>
      <w:proofErr w:type="spellStart"/>
      <w:r w:rsidRPr="00E16672">
        <w:rPr>
          <w:rFonts w:ascii="Times New Roman" w:hAnsi="Times New Roman"/>
          <w:color w:val="000000"/>
          <w:szCs w:val="20"/>
          <w:shd w:val="clear" w:color="auto" w:fill="FFFFFF"/>
        </w:rPr>
        <w:t>надаватись</w:t>
      </w:r>
      <w:proofErr w:type="spellEnd"/>
      <w:r w:rsidRPr="00E16672">
        <w:rPr>
          <w:rFonts w:ascii="Times New Roman" w:hAnsi="Times New Roman"/>
          <w:color w:val="000000"/>
          <w:szCs w:val="20"/>
          <w:shd w:val="clear" w:color="auto" w:fill="FFFFFF"/>
        </w:rPr>
        <w:t xml:space="preserve"> </w:t>
      </w:r>
      <w:proofErr w:type="spellStart"/>
      <w:r w:rsidRPr="00E16672">
        <w:rPr>
          <w:rFonts w:ascii="Times New Roman" w:hAnsi="Times New Roman"/>
          <w:color w:val="000000"/>
          <w:szCs w:val="20"/>
          <w:shd w:val="clear" w:color="auto" w:fill="FFFFFF"/>
        </w:rPr>
        <w:t>особисто</w:t>
      </w:r>
      <w:proofErr w:type="spellEnd"/>
      <w:r w:rsidRPr="00E16672">
        <w:rPr>
          <w:rFonts w:ascii="Times New Roman" w:hAnsi="Times New Roman"/>
          <w:color w:val="000000"/>
          <w:szCs w:val="20"/>
          <w:shd w:val="clear" w:color="auto" w:fill="FFFFFF"/>
        </w:rPr>
        <w:t xml:space="preserve">, </w:t>
      </w:r>
      <w:proofErr w:type="spellStart"/>
      <w:r w:rsidRPr="00E16672">
        <w:rPr>
          <w:rFonts w:ascii="Times New Roman" w:hAnsi="Times New Roman"/>
          <w:color w:val="000000"/>
          <w:szCs w:val="20"/>
          <w:shd w:val="clear" w:color="auto" w:fill="FFFFFF"/>
        </w:rPr>
        <w:t>засобами</w:t>
      </w:r>
      <w:proofErr w:type="spellEnd"/>
      <w:r w:rsidRPr="00E16672">
        <w:rPr>
          <w:rFonts w:ascii="Times New Roman" w:hAnsi="Times New Roman"/>
          <w:color w:val="000000"/>
          <w:szCs w:val="20"/>
          <w:shd w:val="clear" w:color="auto" w:fill="FFFFFF"/>
        </w:rPr>
        <w:t xml:space="preserve"> </w:t>
      </w:r>
      <w:proofErr w:type="spellStart"/>
      <w:r w:rsidRPr="00E16672">
        <w:rPr>
          <w:rFonts w:ascii="Times New Roman" w:hAnsi="Times New Roman"/>
          <w:color w:val="000000"/>
          <w:szCs w:val="20"/>
          <w:shd w:val="clear" w:color="auto" w:fill="FFFFFF"/>
        </w:rPr>
        <w:t>електронної</w:t>
      </w:r>
      <w:proofErr w:type="spellEnd"/>
      <w:r w:rsidRPr="00E16672">
        <w:rPr>
          <w:rFonts w:ascii="Times New Roman" w:hAnsi="Times New Roman"/>
          <w:color w:val="000000"/>
          <w:szCs w:val="20"/>
          <w:shd w:val="clear" w:color="auto" w:fill="FFFFFF"/>
        </w:rPr>
        <w:t xml:space="preserve"> </w:t>
      </w:r>
      <w:proofErr w:type="spellStart"/>
      <w:r w:rsidRPr="00E16672">
        <w:rPr>
          <w:rFonts w:ascii="Times New Roman" w:hAnsi="Times New Roman"/>
          <w:color w:val="000000"/>
          <w:szCs w:val="20"/>
          <w:shd w:val="clear" w:color="auto" w:fill="FFFFFF"/>
        </w:rPr>
        <w:t>пошти</w:t>
      </w:r>
      <w:proofErr w:type="spellEnd"/>
      <w:r w:rsidRPr="00E16672">
        <w:rPr>
          <w:rFonts w:ascii="Times New Roman" w:hAnsi="Times New Roman"/>
          <w:color w:val="000000"/>
          <w:szCs w:val="20"/>
          <w:shd w:val="clear" w:color="auto" w:fill="FFFFFF"/>
        </w:rPr>
        <w:t xml:space="preserve">, факсом, </w:t>
      </w:r>
      <w:proofErr w:type="spellStart"/>
      <w:r w:rsidRPr="00E16672">
        <w:rPr>
          <w:rFonts w:ascii="Times New Roman" w:hAnsi="Times New Roman"/>
          <w:color w:val="000000"/>
          <w:szCs w:val="20"/>
          <w:shd w:val="clear" w:color="auto" w:fill="FFFFFF"/>
        </w:rPr>
        <w:t>тощо</w:t>
      </w:r>
      <w:proofErr w:type="spellEnd"/>
      <w:r w:rsidRPr="00E16672">
        <w:rPr>
          <w:rFonts w:ascii="Times New Roman" w:hAnsi="Times New Roman"/>
          <w:color w:val="000000"/>
          <w:szCs w:val="20"/>
          <w:shd w:val="clear" w:color="auto" w:fill="FFFFFF"/>
        </w:rPr>
        <w:t xml:space="preserve">. У </w:t>
      </w:r>
      <w:proofErr w:type="spellStart"/>
      <w:r w:rsidRPr="00E16672">
        <w:rPr>
          <w:rFonts w:ascii="Times New Roman" w:hAnsi="Times New Roman"/>
          <w:color w:val="000000"/>
          <w:szCs w:val="20"/>
          <w:shd w:val="clear" w:color="auto" w:fill="FFFFFF"/>
        </w:rPr>
        <w:t>разі</w:t>
      </w:r>
      <w:proofErr w:type="spellEnd"/>
      <w:r w:rsidRPr="00E16672">
        <w:rPr>
          <w:rFonts w:ascii="Times New Roman" w:hAnsi="Times New Roman"/>
          <w:color w:val="000000"/>
          <w:szCs w:val="20"/>
          <w:shd w:val="clear" w:color="auto" w:fill="FFFFFF"/>
        </w:rPr>
        <w:t xml:space="preserve"> </w:t>
      </w:r>
      <w:proofErr w:type="spellStart"/>
      <w:r w:rsidRPr="00E16672">
        <w:rPr>
          <w:rFonts w:ascii="Times New Roman" w:hAnsi="Times New Roman"/>
          <w:color w:val="000000"/>
          <w:szCs w:val="20"/>
          <w:shd w:val="clear" w:color="auto" w:fill="FFFFFF"/>
        </w:rPr>
        <w:t>несплати</w:t>
      </w:r>
      <w:proofErr w:type="spellEnd"/>
      <w:r w:rsidRPr="00E16672">
        <w:rPr>
          <w:rFonts w:ascii="Times New Roman" w:hAnsi="Times New Roman"/>
          <w:color w:val="000000"/>
          <w:szCs w:val="20"/>
          <w:shd w:val="clear" w:color="auto" w:fill="FFFFFF"/>
        </w:rPr>
        <w:t xml:space="preserve"> </w:t>
      </w:r>
      <w:proofErr w:type="spellStart"/>
      <w:r w:rsidRPr="00E16672">
        <w:rPr>
          <w:rFonts w:ascii="Times New Roman" w:hAnsi="Times New Roman"/>
          <w:color w:val="000000"/>
          <w:szCs w:val="20"/>
          <w:shd w:val="clear" w:color="auto" w:fill="FFFFFF"/>
        </w:rPr>
        <w:t>Емітентом</w:t>
      </w:r>
      <w:proofErr w:type="spellEnd"/>
      <w:r w:rsidRPr="00E16672">
        <w:rPr>
          <w:rFonts w:ascii="Times New Roman" w:hAnsi="Times New Roman"/>
          <w:color w:val="000000"/>
          <w:szCs w:val="20"/>
          <w:shd w:val="clear" w:color="auto" w:fill="FFFFFF"/>
        </w:rPr>
        <w:t xml:space="preserve"> </w:t>
      </w:r>
      <w:proofErr w:type="spellStart"/>
      <w:r w:rsidRPr="00E16672">
        <w:rPr>
          <w:rFonts w:ascii="Times New Roman" w:hAnsi="Times New Roman"/>
          <w:color w:val="000000"/>
          <w:szCs w:val="20"/>
          <w:shd w:val="clear" w:color="auto" w:fill="FFFFFF"/>
        </w:rPr>
        <w:t>заборгованості</w:t>
      </w:r>
      <w:proofErr w:type="spellEnd"/>
      <w:r w:rsidRPr="00E16672">
        <w:rPr>
          <w:rFonts w:ascii="Times New Roman" w:hAnsi="Times New Roman"/>
          <w:color w:val="000000"/>
          <w:szCs w:val="20"/>
          <w:shd w:val="clear" w:color="auto" w:fill="FFFFFF"/>
        </w:rPr>
        <w:t xml:space="preserve">, </w:t>
      </w:r>
      <w:proofErr w:type="spellStart"/>
      <w:r w:rsidRPr="00E16672">
        <w:rPr>
          <w:rFonts w:ascii="Times New Roman" w:hAnsi="Times New Roman"/>
          <w:color w:val="000000"/>
          <w:szCs w:val="20"/>
          <w:shd w:val="clear" w:color="auto" w:fill="FFFFFF"/>
        </w:rPr>
        <w:t>Депозитарна</w:t>
      </w:r>
      <w:proofErr w:type="spellEnd"/>
      <w:r w:rsidRPr="00E16672">
        <w:rPr>
          <w:rFonts w:ascii="Times New Roman" w:hAnsi="Times New Roman"/>
          <w:color w:val="000000"/>
          <w:szCs w:val="20"/>
          <w:shd w:val="clear" w:color="auto" w:fill="FFFFFF"/>
        </w:rPr>
        <w:t xml:space="preserve"> </w:t>
      </w:r>
      <w:proofErr w:type="spellStart"/>
      <w:r w:rsidRPr="00E16672">
        <w:rPr>
          <w:rFonts w:ascii="Times New Roman" w:hAnsi="Times New Roman"/>
          <w:color w:val="000000"/>
          <w:szCs w:val="20"/>
          <w:shd w:val="clear" w:color="auto" w:fill="FFFFFF"/>
        </w:rPr>
        <w:t>установа</w:t>
      </w:r>
      <w:proofErr w:type="spellEnd"/>
      <w:r w:rsidRPr="00E16672">
        <w:rPr>
          <w:rFonts w:ascii="Times New Roman" w:hAnsi="Times New Roman"/>
          <w:color w:val="000000"/>
          <w:szCs w:val="20"/>
          <w:shd w:val="clear" w:color="auto" w:fill="FFFFFF"/>
        </w:rPr>
        <w:t xml:space="preserve"> </w:t>
      </w:r>
      <w:proofErr w:type="spellStart"/>
      <w:r w:rsidRPr="00E16672">
        <w:rPr>
          <w:rFonts w:ascii="Times New Roman" w:hAnsi="Times New Roman"/>
          <w:color w:val="000000"/>
          <w:szCs w:val="20"/>
          <w:shd w:val="clear" w:color="auto" w:fill="FFFFFF"/>
        </w:rPr>
        <w:t>повертає</w:t>
      </w:r>
      <w:proofErr w:type="spellEnd"/>
      <w:r w:rsidRPr="00E16672">
        <w:rPr>
          <w:rFonts w:ascii="Times New Roman" w:hAnsi="Times New Roman"/>
          <w:color w:val="000000"/>
          <w:szCs w:val="20"/>
          <w:shd w:val="clear" w:color="auto" w:fill="FFFFFF"/>
        </w:rPr>
        <w:t xml:space="preserve"> </w:t>
      </w:r>
      <w:proofErr w:type="spellStart"/>
      <w:r w:rsidRPr="00E16672">
        <w:rPr>
          <w:rFonts w:ascii="Times New Roman" w:hAnsi="Times New Roman"/>
          <w:color w:val="000000"/>
          <w:szCs w:val="20"/>
          <w:shd w:val="clear" w:color="auto" w:fill="FFFFFF"/>
        </w:rPr>
        <w:t>надані</w:t>
      </w:r>
      <w:proofErr w:type="spellEnd"/>
      <w:r w:rsidRPr="00E16672">
        <w:rPr>
          <w:rFonts w:ascii="Times New Roman" w:hAnsi="Times New Roman"/>
          <w:color w:val="000000"/>
          <w:szCs w:val="20"/>
          <w:shd w:val="clear" w:color="auto" w:fill="FFFFFF"/>
        </w:rPr>
        <w:t xml:space="preserve"> </w:t>
      </w:r>
      <w:proofErr w:type="spellStart"/>
      <w:r w:rsidRPr="00E16672">
        <w:rPr>
          <w:rFonts w:ascii="Times New Roman" w:hAnsi="Times New Roman"/>
          <w:color w:val="000000"/>
          <w:szCs w:val="20"/>
          <w:shd w:val="clear" w:color="auto" w:fill="FFFFFF"/>
        </w:rPr>
        <w:t>документи</w:t>
      </w:r>
      <w:proofErr w:type="spellEnd"/>
      <w:r w:rsidRPr="00E16672">
        <w:rPr>
          <w:rFonts w:ascii="Times New Roman" w:hAnsi="Times New Roman"/>
          <w:color w:val="000000"/>
          <w:szCs w:val="20"/>
          <w:shd w:val="clear" w:color="auto" w:fill="FFFFFF"/>
        </w:rPr>
        <w:t xml:space="preserve"> </w:t>
      </w:r>
      <w:proofErr w:type="spellStart"/>
      <w:r w:rsidRPr="00E16672">
        <w:rPr>
          <w:rFonts w:ascii="Times New Roman" w:hAnsi="Times New Roman"/>
          <w:color w:val="000000"/>
          <w:szCs w:val="20"/>
          <w:shd w:val="clear" w:color="auto" w:fill="FFFFFF"/>
        </w:rPr>
        <w:t>ініціатору</w:t>
      </w:r>
      <w:proofErr w:type="spellEnd"/>
      <w:r w:rsidRPr="00E16672">
        <w:rPr>
          <w:rFonts w:ascii="Times New Roman" w:hAnsi="Times New Roman"/>
          <w:color w:val="000000"/>
          <w:szCs w:val="20"/>
          <w:shd w:val="clear" w:color="auto" w:fill="FFFFFF"/>
        </w:rPr>
        <w:t xml:space="preserve"> </w:t>
      </w:r>
      <w:proofErr w:type="spellStart"/>
      <w:r w:rsidRPr="00E16672">
        <w:rPr>
          <w:rFonts w:ascii="Times New Roman" w:hAnsi="Times New Roman"/>
          <w:color w:val="000000"/>
          <w:szCs w:val="20"/>
          <w:shd w:val="clear" w:color="auto" w:fill="FFFFFF"/>
        </w:rPr>
        <w:t>розпорядження</w:t>
      </w:r>
      <w:proofErr w:type="spellEnd"/>
      <w:r w:rsidRPr="00E16672">
        <w:rPr>
          <w:rFonts w:ascii="Times New Roman" w:hAnsi="Times New Roman"/>
          <w:color w:val="000000"/>
          <w:szCs w:val="20"/>
          <w:shd w:val="clear" w:color="auto" w:fill="FFFFFF"/>
        </w:rPr>
        <w:t xml:space="preserve">, у строк </w:t>
      </w:r>
      <w:proofErr w:type="spellStart"/>
      <w:r w:rsidRPr="00E16672">
        <w:rPr>
          <w:rFonts w:ascii="Times New Roman" w:hAnsi="Times New Roman"/>
          <w:color w:val="000000"/>
          <w:szCs w:val="20"/>
          <w:shd w:val="clear" w:color="auto" w:fill="FFFFFF"/>
        </w:rPr>
        <w:t>обумовлений</w:t>
      </w:r>
      <w:proofErr w:type="spellEnd"/>
      <w:r w:rsidRPr="00E16672">
        <w:rPr>
          <w:rFonts w:ascii="Times New Roman" w:hAnsi="Times New Roman"/>
          <w:color w:val="000000"/>
          <w:szCs w:val="20"/>
          <w:shd w:val="clear" w:color="auto" w:fill="FFFFFF"/>
        </w:rPr>
        <w:t xml:space="preserve"> </w:t>
      </w:r>
      <w:proofErr w:type="spellStart"/>
      <w:r w:rsidRPr="00E16672">
        <w:rPr>
          <w:rFonts w:ascii="Times New Roman" w:hAnsi="Times New Roman"/>
          <w:color w:val="000000"/>
          <w:szCs w:val="20"/>
          <w:shd w:val="clear" w:color="auto" w:fill="FFFFFF"/>
        </w:rPr>
        <w:t>законодавством</w:t>
      </w:r>
      <w:proofErr w:type="spellEnd"/>
      <w:r w:rsidRPr="00E16672">
        <w:rPr>
          <w:rFonts w:ascii="Times New Roman" w:hAnsi="Times New Roman"/>
          <w:color w:val="000000"/>
          <w:szCs w:val="20"/>
          <w:shd w:val="clear" w:color="auto" w:fill="FFFFFF"/>
        </w:rPr>
        <w:t xml:space="preserve">, та </w:t>
      </w:r>
      <w:proofErr w:type="spellStart"/>
      <w:r w:rsidRPr="00E16672">
        <w:rPr>
          <w:rFonts w:ascii="Times New Roman" w:hAnsi="Times New Roman"/>
          <w:color w:val="000000"/>
          <w:szCs w:val="20"/>
          <w:shd w:val="clear" w:color="auto" w:fill="FFFFFF"/>
        </w:rPr>
        <w:t>надає</w:t>
      </w:r>
      <w:proofErr w:type="spellEnd"/>
      <w:r w:rsidRPr="00E16672">
        <w:rPr>
          <w:rFonts w:ascii="Times New Roman" w:hAnsi="Times New Roman"/>
          <w:color w:val="000000"/>
          <w:szCs w:val="20"/>
          <w:shd w:val="clear" w:color="auto" w:fill="FFFFFF"/>
        </w:rPr>
        <w:t xml:space="preserve"> </w:t>
      </w:r>
      <w:proofErr w:type="spellStart"/>
      <w:r w:rsidRPr="00E16672">
        <w:rPr>
          <w:rFonts w:ascii="Times New Roman" w:hAnsi="Times New Roman"/>
          <w:color w:val="000000"/>
          <w:szCs w:val="20"/>
          <w:shd w:val="clear" w:color="auto" w:fill="FFFFFF"/>
        </w:rPr>
        <w:t>вмотивовану</w:t>
      </w:r>
      <w:proofErr w:type="spellEnd"/>
      <w:r w:rsidRPr="00E16672">
        <w:rPr>
          <w:rFonts w:ascii="Times New Roman" w:hAnsi="Times New Roman"/>
          <w:color w:val="000000"/>
          <w:szCs w:val="20"/>
          <w:shd w:val="clear" w:color="auto" w:fill="FFFFFF"/>
        </w:rPr>
        <w:t xml:space="preserve"> </w:t>
      </w:r>
      <w:proofErr w:type="spellStart"/>
      <w:r w:rsidRPr="00E16672">
        <w:rPr>
          <w:rFonts w:ascii="Times New Roman" w:hAnsi="Times New Roman"/>
          <w:color w:val="000000"/>
          <w:szCs w:val="20"/>
          <w:shd w:val="clear" w:color="auto" w:fill="FFFFFF"/>
        </w:rPr>
        <w:t>відповідь</w:t>
      </w:r>
      <w:proofErr w:type="spellEnd"/>
      <w:r w:rsidRPr="00E16672">
        <w:rPr>
          <w:rFonts w:ascii="Times New Roman" w:hAnsi="Times New Roman"/>
          <w:color w:val="000000"/>
          <w:szCs w:val="20"/>
          <w:shd w:val="clear" w:color="auto" w:fill="FFFFFF"/>
        </w:rPr>
        <w:t xml:space="preserve"> про </w:t>
      </w:r>
      <w:proofErr w:type="spellStart"/>
      <w:r w:rsidRPr="00E16672">
        <w:rPr>
          <w:rFonts w:ascii="Times New Roman" w:hAnsi="Times New Roman"/>
          <w:color w:val="000000"/>
          <w:szCs w:val="20"/>
          <w:shd w:val="clear" w:color="auto" w:fill="FFFFFF"/>
        </w:rPr>
        <w:t>відмову</w:t>
      </w:r>
      <w:proofErr w:type="spellEnd"/>
      <w:r w:rsidRPr="00E16672">
        <w:rPr>
          <w:rFonts w:ascii="Times New Roman" w:hAnsi="Times New Roman"/>
          <w:color w:val="000000"/>
          <w:szCs w:val="20"/>
          <w:shd w:val="clear" w:color="auto" w:fill="FFFFFF"/>
        </w:rPr>
        <w:t xml:space="preserve"> у </w:t>
      </w:r>
      <w:proofErr w:type="spellStart"/>
      <w:r w:rsidRPr="00E16672">
        <w:rPr>
          <w:rFonts w:ascii="Times New Roman" w:hAnsi="Times New Roman"/>
          <w:color w:val="000000"/>
          <w:szCs w:val="20"/>
          <w:shd w:val="clear" w:color="auto" w:fill="FFFFFF"/>
        </w:rPr>
        <w:t>прийнятті</w:t>
      </w:r>
      <w:proofErr w:type="spellEnd"/>
      <w:r w:rsidRPr="00E16672">
        <w:rPr>
          <w:rFonts w:ascii="Times New Roman" w:hAnsi="Times New Roman"/>
          <w:color w:val="000000"/>
          <w:szCs w:val="20"/>
          <w:shd w:val="clear" w:color="auto" w:fill="FFFFFF"/>
        </w:rPr>
        <w:t xml:space="preserve">. Разом </w:t>
      </w:r>
      <w:proofErr w:type="spellStart"/>
      <w:r w:rsidRPr="00E16672">
        <w:rPr>
          <w:rFonts w:ascii="Times New Roman" w:hAnsi="Times New Roman"/>
          <w:color w:val="000000"/>
          <w:szCs w:val="20"/>
          <w:shd w:val="clear" w:color="auto" w:fill="FFFFFF"/>
        </w:rPr>
        <w:t>із</w:t>
      </w:r>
      <w:proofErr w:type="spellEnd"/>
      <w:r w:rsidRPr="00E16672">
        <w:rPr>
          <w:rFonts w:ascii="Times New Roman" w:hAnsi="Times New Roman"/>
          <w:color w:val="000000"/>
          <w:szCs w:val="20"/>
          <w:shd w:val="clear" w:color="auto" w:fill="FFFFFF"/>
        </w:rPr>
        <w:t xml:space="preserve"> </w:t>
      </w:r>
      <w:proofErr w:type="spellStart"/>
      <w:r w:rsidRPr="00E16672">
        <w:rPr>
          <w:rFonts w:ascii="Times New Roman" w:hAnsi="Times New Roman"/>
          <w:color w:val="000000"/>
          <w:szCs w:val="20"/>
          <w:shd w:val="clear" w:color="auto" w:fill="FFFFFF"/>
        </w:rPr>
        <w:t>вищевказаним</w:t>
      </w:r>
      <w:proofErr w:type="spellEnd"/>
      <w:r w:rsidRPr="00E16672">
        <w:rPr>
          <w:rFonts w:ascii="Times New Roman" w:hAnsi="Times New Roman"/>
          <w:color w:val="000000"/>
          <w:szCs w:val="20"/>
          <w:shd w:val="clear" w:color="auto" w:fill="FFFFFF"/>
        </w:rPr>
        <w:t xml:space="preserve"> </w:t>
      </w:r>
      <w:proofErr w:type="spellStart"/>
      <w:r w:rsidRPr="00E16672">
        <w:rPr>
          <w:rFonts w:ascii="Times New Roman" w:hAnsi="Times New Roman"/>
          <w:color w:val="000000"/>
          <w:szCs w:val="20"/>
          <w:shd w:val="clear" w:color="auto" w:fill="FFFFFF"/>
        </w:rPr>
        <w:t>повідомленням</w:t>
      </w:r>
      <w:proofErr w:type="spellEnd"/>
      <w:r w:rsidRPr="00E16672">
        <w:rPr>
          <w:rFonts w:ascii="Times New Roman" w:hAnsi="Times New Roman"/>
          <w:color w:val="000000"/>
          <w:szCs w:val="20"/>
          <w:shd w:val="clear" w:color="auto" w:fill="FFFFFF"/>
        </w:rPr>
        <w:t xml:space="preserve"> про </w:t>
      </w:r>
      <w:proofErr w:type="spellStart"/>
      <w:r w:rsidRPr="00E16672">
        <w:rPr>
          <w:rFonts w:ascii="Times New Roman" w:hAnsi="Times New Roman"/>
          <w:color w:val="000000"/>
          <w:szCs w:val="20"/>
          <w:shd w:val="clear" w:color="auto" w:fill="FFFFFF"/>
        </w:rPr>
        <w:t>відмову</w:t>
      </w:r>
      <w:proofErr w:type="spellEnd"/>
      <w:r w:rsidRPr="00E16672">
        <w:rPr>
          <w:rFonts w:ascii="Times New Roman" w:hAnsi="Times New Roman"/>
          <w:color w:val="000000"/>
          <w:szCs w:val="20"/>
          <w:shd w:val="clear" w:color="auto" w:fill="FFFFFF"/>
        </w:rPr>
        <w:t xml:space="preserve"> </w:t>
      </w:r>
      <w:proofErr w:type="spellStart"/>
      <w:r w:rsidRPr="00E16672">
        <w:rPr>
          <w:rFonts w:ascii="Times New Roman" w:hAnsi="Times New Roman"/>
          <w:color w:val="000000"/>
          <w:szCs w:val="20"/>
          <w:shd w:val="clear" w:color="auto" w:fill="FFFFFF"/>
        </w:rPr>
        <w:t>Депозитарна</w:t>
      </w:r>
      <w:proofErr w:type="spellEnd"/>
      <w:r w:rsidRPr="00E16672">
        <w:rPr>
          <w:rFonts w:ascii="Times New Roman" w:hAnsi="Times New Roman"/>
          <w:color w:val="000000"/>
          <w:szCs w:val="20"/>
          <w:shd w:val="clear" w:color="auto" w:fill="FFFFFF"/>
        </w:rPr>
        <w:t xml:space="preserve"> </w:t>
      </w:r>
      <w:proofErr w:type="spellStart"/>
      <w:r w:rsidRPr="00E16672">
        <w:rPr>
          <w:rFonts w:ascii="Times New Roman" w:hAnsi="Times New Roman"/>
          <w:color w:val="000000"/>
          <w:szCs w:val="20"/>
          <w:shd w:val="clear" w:color="auto" w:fill="FFFFFF"/>
        </w:rPr>
        <w:t>установа</w:t>
      </w:r>
      <w:proofErr w:type="spellEnd"/>
      <w:r w:rsidRPr="00E16672">
        <w:rPr>
          <w:rFonts w:ascii="Times New Roman" w:hAnsi="Times New Roman"/>
          <w:color w:val="000000"/>
          <w:szCs w:val="20"/>
          <w:shd w:val="clear" w:color="auto" w:fill="FFFFFF"/>
        </w:rPr>
        <w:t xml:space="preserve"> </w:t>
      </w:r>
      <w:proofErr w:type="spellStart"/>
      <w:r w:rsidRPr="00E16672">
        <w:rPr>
          <w:rFonts w:ascii="Times New Roman" w:hAnsi="Times New Roman"/>
          <w:color w:val="000000"/>
          <w:szCs w:val="20"/>
          <w:shd w:val="clear" w:color="auto" w:fill="FFFFFF"/>
        </w:rPr>
        <w:t>надає</w:t>
      </w:r>
      <w:proofErr w:type="spellEnd"/>
      <w:r w:rsidRPr="00E16672">
        <w:rPr>
          <w:rFonts w:ascii="Times New Roman" w:hAnsi="Times New Roman"/>
          <w:color w:val="000000"/>
          <w:szCs w:val="20"/>
          <w:shd w:val="clear" w:color="auto" w:fill="FFFFFF"/>
        </w:rPr>
        <w:t xml:space="preserve"> </w:t>
      </w:r>
      <w:proofErr w:type="spellStart"/>
      <w:r w:rsidRPr="00E16672">
        <w:rPr>
          <w:rFonts w:ascii="Times New Roman" w:hAnsi="Times New Roman"/>
          <w:color w:val="000000"/>
          <w:szCs w:val="20"/>
          <w:shd w:val="clear" w:color="auto" w:fill="FFFFFF"/>
        </w:rPr>
        <w:t>ініціатору</w:t>
      </w:r>
      <w:proofErr w:type="spellEnd"/>
      <w:r w:rsidRPr="00E16672">
        <w:rPr>
          <w:rFonts w:ascii="Times New Roman" w:hAnsi="Times New Roman"/>
          <w:color w:val="000000"/>
          <w:szCs w:val="20"/>
          <w:shd w:val="clear" w:color="auto" w:fill="FFFFFF"/>
        </w:rPr>
        <w:t xml:space="preserve"> </w:t>
      </w:r>
      <w:proofErr w:type="spellStart"/>
      <w:r w:rsidRPr="00E16672">
        <w:rPr>
          <w:rFonts w:ascii="Times New Roman" w:hAnsi="Times New Roman"/>
          <w:color w:val="000000"/>
          <w:szCs w:val="20"/>
          <w:shd w:val="clear" w:color="auto" w:fill="FFFFFF"/>
        </w:rPr>
        <w:t>розпорядження</w:t>
      </w:r>
      <w:proofErr w:type="spellEnd"/>
      <w:r w:rsidRPr="00E16672">
        <w:rPr>
          <w:rFonts w:ascii="Times New Roman" w:hAnsi="Times New Roman"/>
          <w:color w:val="000000"/>
          <w:szCs w:val="20"/>
          <w:shd w:val="clear" w:color="auto" w:fill="FFFFFF"/>
        </w:rPr>
        <w:t xml:space="preserve"> </w:t>
      </w:r>
      <w:proofErr w:type="spellStart"/>
      <w:r w:rsidRPr="00E16672">
        <w:rPr>
          <w:rFonts w:ascii="Times New Roman" w:hAnsi="Times New Roman"/>
          <w:color w:val="000000"/>
          <w:szCs w:val="20"/>
          <w:shd w:val="clear" w:color="auto" w:fill="FFFFFF"/>
        </w:rPr>
        <w:t>оригінал</w:t>
      </w:r>
      <w:proofErr w:type="spellEnd"/>
      <w:r w:rsidRPr="00E16672">
        <w:rPr>
          <w:rFonts w:ascii="Times New Roman" w:hAnsi="Times New Roman"/>
          <w:color w:val="000000"/>
          <w:szCs w:val="20"/>
          <w:shd w:val="clear" w:color="auto" w:fill="FFFFFF"/>
        </w:rPr>
        <w:t xml:space="preserve"> документа для </w:t>
      </w:r>
      <w:proofErr w:type="spellStart"/>
      <w:r w:rsidRPr="00E16672">
        <w:rPr>
          <w:rFonts w:ascii="Times New Roman" w:hAnsi="Times New Roman"/>
          <w:color w:val="000000"/>
          <w:szCs w:val="20"/>
          <w:shd w:val="clear" w:color="auto" w:fill="FFFFFF"/>
        </w:rPr>
        <w:t>сплати</w:t>
      </w:r>
      <w:proofErr w:type="spellEnd"/>
      <w:r w:rsidRPr="00E16672">
        <w:rPr>
          <w:rFonts w:ascii="Times New Roman" w:hAnsi="Times New Roman"/>
          <w:color w:val="000000"/>
          <w:szCs w:val="20"/>
          <w:shd w:val="clear" w:color="auto" w:fill="FFFFFF"/>
        </w:rPr>
        <w:t xml:space="preserve"> </w:t>
      </w:r>
      <w:proofErr w:type="spellStart"/>
      <w:r w:rsidRPr="00E16672">
        <w:rPr>
          <w:rFonts w:ascii="Times New Roman" w:hAnsi="Times New Roman"/>
          <w:color w:val="000000"/>
          <w:szCs w:val="20"/>
          <w:shd w:val="clear" w:color="auto" w:fill="FFFFFF"/>
        </w:rPr>
        <w:t>депозитарних</w:t>
      </w:r>
      <w:proofErr w:type="spellEnd"/>
      <w:r w:rsidRPr="00E16672">
        <w:rPr>
          <w:rFonts w:ascii="Times New Roman" w:hAnsi="Times New Roman"/>
          <w:color w:val="000000"/>
          <w:szCs w:val="20"/>
          <w:shd w:val="clear" w:color="auto" w:fill="FFFFFF"/>
        </w:rPr>
        <w:t xml:space="preserve"> </w:t>
      </w:r>
      <w:proofErr w:type="spellStart"/>
      <w:r w:rsidRPr="00E16672">
        <w:rPr>
          <w:rFonts w:ascii="Times New Roman" w:hAnsi="Times New Roman"/>
          <w:color w:val="000000"/>
          <w:szCs w:val="20"/>
          <w:shd w:val="clear" w:color="auto" w:fill="FFFFFF"/>
        </w:rPr>
        <w:t>послуг</w:t>
      </w:r>
      <w:proofErr w:type="spellEnd"/>
      <w:r w:rsidRPr="00E16672">
        <w:rPr>
          <w:rFonts w:ascii="Times New Roman" w:hAnsi="Times New Roman"/>
          <w:color w:val="000000"/>
          <w:szCs w:val="20"/>
          <w:shd w:val="clear" w:color="auto" w:fill="FFFFFF"/>
        </w:rPr>
        <w:t xml:space="preserve"> </w:t>
      </w:r>
      <w:proofErr w:type="spellStart"/>
      <w:r w:rsidRPr="00E16672">
        <w:rPr>
          <w:rFonts w:ascii="Times New Roman" w:hAnsi="Times New Roman"/>
          <w:color w:val="000000"/>
          <w:szCs w:val="20"/>
          <w:shd w:val="clear" w:color="auto" w:fill="FFFFFF"/>
        </w:rPr>
        <w:t>або</w:t>
      </w:r>
      <w:proofErr w:type="spellEnd"/>
      <w:r w:rsidRPr="00E16672">
        <w:rPr>
          <w:rFonts w:ascii="Times New Roman" w:hAnsi="Times New Roman"/>
          <w:color w:val="000000"/>
          <w:szCs w:val="20"/>
          <w:shd w:val="clear" w:color="auto" w:fill="FFFFFF"/>
        </w:rPr>
        <w:t xml:space="preserve"> </w:t>
      </w:r>
      <w:proofErr w:type="spellStart"/>
      <w:r w:rsidRPr="00E16672">
        <w:rPr>
          <w:rFonts w:ascii="Times New Roman" w:hAnsi="Times New Roman"/>
          <w:color w:val="000000"/>
          <w:szCs w:val="20"/>
          <w:shd w:val="clear" w:color="auto" w:fill="FFFFFF"/>
        </w:rPr>
        <w:t>заборгованості</w:t>
      </w:r>
      <w:proofErr w:type="spellEnd"/>
      <w:r w:rsidRPr="00E16672">
        <w:rPr>
          <w:rFonts w:ascii="Times New Roman" w:hAnsi="Times New Roman"/>
          <w:color w:val="000000"/>
          <w:szCs w:val="20"/>
          <w:shd w:val="clear" w:color="auto" w:fill="FFFFFF"/>
        </w:rPr>
        <w:t xml:space="preserve"> (</w:t>
      </w:r>
      <w:proofErr w:type="spellStart"/>
      <w:r w:rsidRPr="00E16672">
        <w:rPr>
          <w:rFonts w:ascii="Times New Roman" w:hAnsi="Times New Roman"/>
          <w:color w:val="000000"/>
          <w:szCs w:val="20"/>
          <w:shd w:val="clear" w:color="auto" w:fill="FFFFFF"/>
        </w:rPr>
        <w:t>рахунок</w:t>
      </w:r>
      <w:proofErr w:type="spellEnd"/>
      <w:r w:rsidRPr="00E16672">
        <w:rPr>
          <w:rFonts w:ascii="Times New Roman" w:hAnsi="Times New Roman"/>
          <w:color w:val="000000"/>
          <w:szCs w:val="20"/>
          <w:shd w:val="clear" w:color="auto" w:fill="FFFFFF"/>
        </w:rPr>
        <w:t xml:space="preserve"> (</w:t>
      </w:r>
      <w:proofErr w:type="spellStart"/>
      <w:r w:rsidRPr="00E16672">
        <w:rPr>
          <w:rFonts w:ascii="Times New Roman" w:hAnsi="Times New Roman"/>
          <w:color w:val="000000"/>
          <w:szCs w:val="20"/>
          <w:shd w:val="clear" w:color="auto" w:fill="FFFFFF"/>
        </w:rPr>
        <w:t>інвойс</w:t>
      </w:r>
      <w:proofErr w:type="spellEnd"/>
      <w:r w:rsidRPr="00E16672">
        <w:rPr>
          <w:rFonts w:ascii="Times New Roman" w:hAnsi="Times New Roman"/>
          <w:color w:val="000000"/>
          <w:szCs w:val="20"/>
          <w:shd w:val="clear" w:color="auto" w:fill="FFFFFF"/>
        </w:rPr>
        <w:t xml:space="preserve">), акт </w:t>
      </w:r>
      <w:proofErr w:type="spellStart"/>
      <w:r w:rsidRPr="00E16672">
        <w:rPr>
          <w:rFonts w:ascii="Times New Roman" w:hAnsi="Times New Roman"/>
          <w:color w:val="000000"/>
          <w:szCs w:val="20"/>
          <w:shd w:val="clear" w:color="auto" w:fill="FFFFFF"/>
        </w:rPr>
        <w:t>виконаних</w:t>
      </w:r>
      <w:proofErr w:type="spellEnd"/>
      <w:r w:rsidRPr="00E16672">
        <w:rPr>
          <w:rFonts w:ascii="Times New Roman" w:hAnsi="Times New Roman"/>
          <w:color w:val="000000"/>
          <w:szCs w:val="20"/>
          <w:shd w:val="clear" w:color="auto" w:fill="FFFFFF"/>
        </w:rPr>
        <w:t xml:space="preserve"> </w:t>
      </w:r>
      <w:proofErr w:type="spellStart"/>
      <w:r w:rsidRPr="00E16672">
        <w:rPr>
          <w:rFonts w:ascii="Times New Roman" w:hAnsi="Times New Roman"/>
          <w:color w:val="000000"/>
          <w:szCs w:val="20"/>
          <w:shd w:val="clear" w:color="auto" w:fill="FFFFFF"/>
        </w:rPr>
        <w:t>операцій</w:t>
      </w:r>
      <w:proofErr w:type="spellEnd"/>
      <w:r w:rsidRPr="00E16672">
        <w:rPr>
          <w:rFonts w:ascii="Times New Roman" w:hAnsi="Times New Roman"/>
          <w:color w:val="000000"/>
          <w:szCs w:val="20"/>
          <w:shd w:val="clear" w:color="auto" w:fill="FFFFFF"/>
        </w:rPr>
        <w:t xml:space="preserve"> Депозитарною </w:t>
      </w:r>
      <w:proofErr w:type="spellStart"/>
      <w:r w:rsidRPr="00E16672">
        <w:rPr>
          <w:rFonts w:ascii="Times New Roman" w:hAnsi="Times New Roman"/>
          <w:color w:val="000000"/>
          <w:szCs w:val="20"/>
          <w:shd w:val="clear" w:color="auto" w:fill="FFFFFF"/>
        </w:rPr>
        <w:t>установою</w:t>
      </w:r>
      <w:proofErr w:type="spellEnd"/>
      <w:r w:rsidRPr="00E16672">
        <w:rPr>
          <w:rFonts w:ascii="Times New Roman" w:hAnsi="Times New Roman"/>
          <w:color w:val="000000"/>
          <w:szCs w:val="20"/>
          <w:shd w:val="clear" w:color="auto" w:fill="FFFFFF"/>
        </w:rPr>
        <w:t xml:space="preserve">, акт </w:t>
      </w:r>
      <w:proofErr w:type="spellStart"/>
      <w:r w:rsidRPr="00E16672">
        <w:rPr>
          <w:rFonts w:ascii="Times New Roman" w:hAnsi="Times New Roman"/>
          <w:color w:val="000000"/>
          <w:szCs w:val="20"/>
          <w:shd w:val="clear" w:color="auto" w:fill="FFFFFF"/>
        </w:rPr>
        <w:t>звірки</w:t>
      </w:r>
      <w:proofErr w:type="spellEnd"/>
      <w:r w:rsidRPr="00E16672">
        <w:rPr>
          <w:rFonts w:ascii="Times New Roman" w:hAnsi="Times New Roman"/>
          <w:color w:val="000000"/>
          <w:szCs w:val="20"/>
          <w:shd w:val="clear" w:color="auto" w:fill="FFFFFF"/>
        </w:rPr>
        <w:t>).</w:t>
      </w:r>
    </w:p>
    <w:p w14:paraId="34745367" w14:textId="77777777" w:rsidR="00390DBC" w:rsidRPr="00E16672" w:rsidRDefault="00390DBC" w:rsidP="000A5A99">
      <w:pPr>
        <w:pStyle w:val="1"/>
        <w:widowControl w:val="0"/>
        <w:tabs>
          <w:tab w:val="left" w:pos="0"/>
          <w:tab w:val="left" w:pos="432"/>
        </w:tabs>
        <w:ind w:left="432" w:hanging="432"/>
        <w:rPr>
          <w:rFonts w:ascii="Times New Roman" w:hAnsi="Times New Roman" w:cs="Times New Roman"/>
          <w:color w:val="000000"/>
          <w:sz w:val="20"/>
          <w:lang w:val="uk-UA"/>
        </w:rPr>
      </w:pPr>
    </w:p>
    <w:p w14:paraId="6DB0592D" w14:textId="77777777" w:rsidR="000A5A99" w:rsidRPr="00E16672" w:rsidRDefault="000A5A99" w:rsidP="000A5A99">
      <w:pPr>
        <w:pStyle w:val="1"/>
        <w:widowControl w:val="0"/>
        <w:tabs>
          <w:tab w:val="left" w:pos="0"/>
          <w:tab w:val="left" w:pos="432"/>
        </w:tabs>
        <w:ind w:left="432" w:hanging="432"/>
        <w:rPr>
          <w:rFonts w:ascii="Times New Roman" w:hAnsi="Times New Roman" w:cs="Times New Roman"/>
          <w:color w:val="000000"/>
          <w:sz w:val="20"/>
          <w:lang w:val="uk-UA"/>
        </w:rPr>
      </w:pPr>
      <w:r w:rsidRPr="00E16672">
        <w:rPr>
          <w:rFonts w:ascii="Times New Roman" w:hAnsi="Times New Roman" w:cs="Times New Roman"/>
          <w:color w:val="000000"/>
          <w:sz w:val="20"/>
          <w:lang w:val="uk-UA"/>
        </w:rPr>
        <w:t>5. ВІДПОВІДАЛЬНІСТЬ СТОРІН</w:t>
      </w:r>
    </w:p>
    <w:p w14:paraId="215A0D7C" w14:textId="77777777" w:rsidR="000A5A99" w:rsidRPr="00E16672" w:rsidRDefault="000A5A99" w:rsidP="000A5A99">
      <w:pPr>
        <w:rPr>
          <w:rFonts w:ascii="Times New Roman" w:eastAsia="Arial Unicode MS" w:hAnsi="Times New Roman"/>
          <w:color w:val="000000"/>
          <w:szCs w:val="20"/>
          <w:lang w:val="uk-UA"/>
        </w:rPr>
      </w:pPr>
      <w:r w:rsidRPr="00E16672">
        <w:rPr>
          <w:rFonts w:ascii="Times New Roman" w:eastAsia="Arial Unicode MS" w:hAnsi="Times New Roman"/>
          <w:color w:val="000000"/>
          <w:szCs w:val="20"/>
          <w:lang w:val="uk-UA"/>
        </w:rPr>
        <w:t>5.1. Кожна Сторона зобов`язується виконувати свої обов`язки належним чином, сприяти іншій стороні у їх виконанні.</w:t>
      </w:r>
    </w:p>
    <w:p w14:paraId="16C40486" w14:textId="77777777" w:rsidR="000A5A99" w:rsidRPr="00E16672" w:rsidRDefault="000A5A99" w:rsidP="000A5A99">
      <w:pPr>
        <w:rPr>
          <w:rFonts w:ascii="Times New Roman" w:eastAsia="Arial Unicode MS" w:hAnsi="Times New Roman"/>
          <w:color w:val="000000"/>
          <w:szCs w:val="20"/>
          <w:lang w:val="uk-UA"/>
        </w:rPr>
      </w:pPr>
      <w:r w:rsidRPr="00E16672">
        <w:rPr>
          <w:rFonts w:ascii="Times New Roman" w:eastAsia="Arial Unicode MS" w:hAnsi="Times New Roman"/>
          <w:color w:val="000000"/>
          <w:szCs w:val="20"/>
          <w:lang w:val="uk-UA"/>
        </w:rPr>
        <w:t>5.2. У разі невиконання чи неналежного виконання однією зі Сторін своїх зобов’язань, передбачених цим Договором або чинним законодавством України, винна Сторона несе майнову відповідальність за завдані збитки.</w:t>
      </w:r>
    </w:p>
    <w:p w14:paraId="78EE3E2D" w14:textId="77777777" w:rsidR="000A5A99" w:rsidRPr="00E16672" w:rsidRDefault="000A5A99" w:rsidP="000A5A99">
      <w:pPr>
        <w:rPr>
          <w:rFonts w:ascii="Times New Roman" w:eastAsia="Arial Unicode MS" w:hAnsi="Times New Roman"/>
          <w:color w:val="000000"/>
          <w:szCs w:val="20"/>
          <w:lang w:val="uk-UA"/>
        </w:rPr>
      </w:pPr>
      <w:r w:rsidRPr="00E16672">
        <w:rPr>
          <w:rFonts w:ascii="Times New Roman" w:eastAsia="Arial Unicode MS" w:hAnsi="Times New Roman"/>
          <w:color w:val="000000"/>
          <w:szCs w:val="20"/>
          <w:lang w:val="uk-UA"/>
        </w:rPr>
        <w:t>5.3. Сторона, яка порушила зобов’язання відповідно до цього Договору, повинна усунути ці порушення в найкоротший строк.</w:t>
      </w:r>
    </w:p>
    <w:p w14:paraId="66D438B6" w14:textId="77777777" w:rsidR="000A5A99" w:rsidRPr="00E16672" w:rsidRDefault="000A5A99" w:rsidP="000A5A99">
      <w:pPr>
        <w:ind w:left="567"/>
        <w:rPr>
          <w:rFonts w:ascii="Times New Roman" w:eastAsia="Arial Unicode MS" w:hAnsi="Times New Roman"/>
          <w:color w:val="000000"/>
          <w:szCs w:val="20"/>
          <w:lang w:val="uk-UA"/>
        </w:rPr>
      </w:pPr>
      <w:r w:rsidRPr="00E16672">
        <w:rPr>
          <w:rFonts w:ascii="Times New Roman" w:eastAsia="Arial Unicode MS" w:hAnsi="Times New Roman"/>
          <w:color w:val="000000"/>
          <w:szCs w:val="20"/>
          <w:lang w:val="uk-UA"/>
        </w:rPr>
        <w:t>5.4. Депозитарна установа несе відповідальність:</w:t>
      </w:r>
    </w:p>
    <w:p w14:paraId="76907B66" w14:textId="77777777" w:rsidR="000A5A99" w:rsidRPr="000D0438" w:rsidRDefault="000A5A99" w:rsidP="000D0438">
      <w:pPr>
        <w:pStyle w:val="aff5"/>
        <w:numPr>
          <w:ilvl w:val="0"/>
          <w:numId w:val="42"/>
        </w:numPr>
        <w:tabs>
          <w:tab w:val="left" w:pos="872"/>
          <w:tab w:val="left" w:pos="1516"/>
        </w:tabs>
        <w:rPr>
          <w:rFonts w:ascii="Times New Roman" w:eastAsia="Arial Unicode MS" w:hAnsi="Times New Roman"/>
          <w:color w:val="000000"/>
          <w:szCs w:val="20"/>
          <w:lang w:val="uk-UA"/>
        </w:rPr>
      </w:pPr>
      <w:r w:rsidRPr="000D0438">
        <w:rPr>
          <w:rFonts w:ascii="Times New Roman" w:eastAsia="Arial Unicode MS" w:hAnsi="Times New Roman"/>
          <w:color w:val="000000"/>
          <w:szCs w:val="20"/>
          <w:lang w:val="uk-UA"/>
        </w:rPr>
        <w:t>за забезпечення режиму конфіденційності щодо власників цінних паперів та належних їм цінних паперів;</w:t>
      </w:r>
    </w:p>
    <w:p w14:paraId="1FDAFDBB" w14:textId="77777777" w:rsidR="000A5A99" w:rsidRPr="000D0438" w:rsidRDefault="000A5A99" w:rsidP="000D0438">
      <w:pPr>
        <w:pStyle w:val="aff5"/>
        <w:numPr>
          <w:ilvl w:val="0"/>
          <w:numId w:val="42"/>
        </w:numPr>
        <w:tabs>
          <w:tab w:val="left" w:pos="872"/>
          <w:tab w:val="left" w:pos="1516"/>
        </w:tabs>
        <w:rPr>
          <w:rFonts w:ascii="Times New Roman" w:eastAsia="Arial Unicode MS" w:hAnsi="Times New Roman"/>
          <w:color w:val="000000"/>
          <w:szCs w:val="20"/>
          <w:lang w:val="uk-UA"/>
        </w:rPr>
      </w:pPr>
      <w:r w:rsidRPr="000D0438">
        <w:rPr>
          <w:rFonts w:ascii="Times New Roman" w:eastAsia="Arial Unicode MS" w:hAnsi="Times New Roman"/>
          <w:color w:val="000000"/>
          <w:szCs w:val="20"/>
          <w:lang w:val="uk-UA"/>
        </w:rPr>
        <w:lastRenderedPageBreak/>
        <w:t>за перевірку розпорядження на правильність складання та інші перевірки, передбачені чиним законодавством України та внутрішніми документами Депозитарної установи;</w:t>
      </w:r>
    </w:p>
    <w:p w14:paraId="2F44A435" w14:textId="77777777" w:rsidR="000A5A99" w:rsidRPr="000D0438" w:rsidRDefault="000A5A99" w:rsidP="000D0438">
      <w:pPr>
        <w:pStyle w:val="aff5"/>
        <w:numPr>
          <w:ilvl w:val="0"/>
          <w:numId w:val="42"/>
        </w:numPr>
        <w:rPr>
          <w:rFonts w:ascii="Times New Roman" w:hAnsi="Times New Roman"/>
          <w:color w:val="000000"/>
          <w:szCs w:val="20"/>
          <w:lang w:val="uk-UA"/>
        </w:rPr>
      </w:pPr>
      <w:r w:rsidRPr="000D0438">
        <w:rPr>
          <w:rFonts w:ascii="Times New Roman" w:hAnsi="Times New Roman"/>
          <w:szCs w:val="20"/>
          <w:lang w:val="uk-UA"/>
        </w:rPr>
        <w:t xml:space="preserve">за </w:t>
      </w:r>
      <w:proofErr w:type="spellStart"/>
      <w:r w:rsidRPr="000D0438">
        <w:rPr>
          <w:rFonts w:ascii="Times New Roman" w:hAnsi="Times New Roman"/>
          <w:color w:val="000000"/>
          <w:szCs w:val="20"/>
        </w:rPr>
        <w:t>правильне</w:t>
      </w:r>
      <w:proofErr w:type="spellEnd"/>
      <w:r w:rsidRPr="000D0438">
        <w:rPr>
          <w:rFonts w:ascii="Times New Roman" w:hAnsi="Times New Roman"/>
          <w:color w:val="000000"/>
          <w:szCs w:val="20"/>
          <w:lang w:val="uk-UA"/>
        </w:rPr>
        <w:t xml:space="preserve"> виконання розпоряджень Депонента, які не суперечать вимогам чинного законодавства України;</w:t>
      </w:r>
    </w:p>
    <w:p w14:paraId="775C64B6" w14:textId="77777777" w:rsidR="000A5A99" w:rsidRPr="000D0438" w:rsidRDefault="000A5A99" w:rsidP="000D0438">
      <w:pPr>
        <w:pStyle w:val="aff5"/>
        <w:numPr>
          <w:ilvl w:val="0"/>
          <w:numId w:val="42"/>
        </w:numPr>
        <w:rPr>
          <w:rFonts w:ascii="Times New Roman" w:eastAsia="Arial Unicode MS" w:hAnsi="Times New Roman"/>
          <w:color w:val="000000"/>
          <w:szCs w:val="20"/>
          <w:lang w:val="uk-UA"/>
        </w:rPr>
      </w:pPr>
      <w:r w:rsidRPr="000D0438">
        <w:rPr>
          <w:rFonts w:ascii="Times New Roman" w:hAnsi="Times New Roman"/>
          <w:color w:val="000000"/>
          <w:szCs w:val="20"/>
          <w:lang w:val="uk-UA"/>
        </w:rPr>
        <w:t xml:space="preserve">за дотримання правил обліку при виконанні своїх обов’язків, за </w:t>
      </w:r>
      <w:proofErr w:type="spellStart"/>
      <w:r w:rsidRPr="000D0438">
        <w:rPr>
          <w:rFonts w:ascii="Times New Roman" w:hAnsi="Times New Roman"/>
          <w:color w:val="000000"/>
          <w:szCs w:val="20"/>
        </w:rPr>
        <w:t>правильність</w:t>
      </w:r>
      <w:proofErr w:type="spellEnd"/>
      <w:r w:rsidRPr="000D0438">
        <w:rPr>
          <w:rFonts w:ascii="Times New Roman" w:hAnsi="Times New Roman"/>
          <w:color w:val="000000"/>
          <w:szCs w:val="20"/>
          <w:lang w:val="uk-UA"/>
        </w:rPr>
        <w:t xml:space="preserve"> ведення записів по рахунку </w:t>
      </w:r>
      <w:r w:rsidR="00C22309" w:rsidRPr="000D0438">
        <w:rPr>
          <w:rFonts w:ascii="Times New Roman" w:hAnsi="Times New Roman"/>
          <w:color w:val="000000"/>
          <w:szCs w:val="20"/>
          <w:lang w:val="uk-UA"/>
        </w:rPr>
        <w:t>в цін</w:t>
      </w:r>
      <w:r w:rsidRPr="000D0438">
        <w:rPr>
          <w:rFonts w:ascii="Times New Roman" w:hAnsi="Times New Roman"/>
          <w:color w:val="000000"/>
          <w:szCs w:val="20"/>
          <w:lang w:val="uk-UA"/>
        </w:rPr>
        <w:t>них паперах;</w:t>
      </w:r>
      <w:r w:rsidRPr="000D0438">
        <w:rPr>
          <w:rFonts w:ascii="Times New Roman" w:eastAsia="Arial Unicode MS" w:hAnsi="Times New Roman"/>
          <w:color w:val="000000"/>
          <w:szCs w:val="20"/>
          <w:lang w:val="uk-UA"/>
        </w:rPr>
        <w:t>;</w:t>
      </w:r>
    </w:p>
    <w:p w14:paraId="2E9083B1" w14:textId="77777777" w:rsidR="000A5A99" w:rsidRPr="000D0438" w:rsidRDefault="000A5A99" w:rsidP="000D0438">
      <w:pPr>
        <w:pStyle w:val="aff5"/>
        <w:numPr>
          <w:ilvl w:val="0"/>
          <w:numId w:val="42"/>
        </w:numPr>
        <w:tabs>
          <w:tab w:val="left" w:pos="872"/>
          <w:tab w:val="left" w:pos="1516"/>
        </w:tabs>
        <w:rPr>
          <w:rFonts w:ascii="Times New Roman" w:eastAsia="Arial Unicode MS" w:hAnsi="Times New Roman"/>
          <w:color w:val="000000"/>
          <w:szCs w:val="20"/>
          <w:lang w:val="uk-UA"/>
        </w:rPr>
      </w:pPr>
      <w:r w:rsidRPr="000D0438">
        <w:rPr>
          <w:rFonts w:ascii="Times New Roman" w:eastAsia="Arial Unicode MS" w:hAnsi="Times New Roman"/>
          <w:color w:val="000000"/>
          <w:szCs w:val="20"/>
          <w:lang w:val="uk-UA"/>
        </w:rPr>
        <w:t xml:space="preserve">за зберігання документів і облік прав власності на цінні папери власників цінних паперів, що обліковуються у Депозитарної установи на рахунках </w:t>
      </w:r>
      <w:r w:rsidR="00C22309" w:rsidRPr="000D0438">
        <w:rPr>
          <w:rFonts w:ascii="Times New Roman" w:eastAsia="Arial Unicode MS" w:hAnsi="Times New Roman"/>
          <w:color w:val="000000"/>
          <w:szCs w:val="20"/>
          <w:lang w:val="uk-UA"/>
        </w:rPr>
        <w:t>в цін</w:t>
      </w:r>
      <w:r w:rsidRPr="000D0438">
        <w:rPr>
          <w:rFonts w:ascii="Times New Roman" w:eastAsia="Arial Unicode MS" w:hAnsi="Times New Roman"/>
          <w:color w:val="000000"/>
          <w:szCs w:val="20"/>
          <w:lang w:val="uk-UA"/>
        </w:rPr>
        <w:t>них паперах власників цінних паперів.</w:t>
      </w:r>
    </w:p>
    <w:p w14:paraId="7918F497" w14:textId="77777777" w:rsidR="000A5A99" w:rsidRPr="00E16672" w:rsidRDefault="000A5A99" w:rsidP="000A5A99">
      <w:pPr>
        <w:ind w:left="567"/>
        <w:rPr>
          <w:rFonts w:ascii="Times New Roman" w:eastAsia="Arial Unicode MS" w:hAnsi="Times New Roman"/>
          <w:color w:val="000000"/>
          <w:szCs w:val="20"/>
          <w:lang w:val="uk-UA"/>
        </w:rPr>
      </w:pPr>
      <w:r w:rsidRPr="00E16672">
        <w:rPr>
          <w:rFonts w:ascii="Times New Roman" w:eastAsia="Arial Unicode MS" w:hAnsi="Times New Roman"/>
          <w:color w:val="000000"/>
          <w:szCs w:val="20"/>
          <w:lang w:val="uk-UA"/>
        </w:rPr>
        <w:t>5.5. Депозитарна установа не несе відповідальності :</w:t>
      </w:r>
    </w:p>
    <w:p w14:paraId="4D6C3626" w14:textId="77777777" w:rsidR="000A5A99" w:rsidRPr="000D0438" w:rsidRDefault="000A5A99" w:rsidP="000D0438">
      <w:pPr>
        <w:pStyle w:val="aff5"/>
        <w:widowControl w:val="0"/>
        <w:numPr>
          <w:ilvl w:val="0"/>
          <w:numId w:val="43"/>
        </w:numPr>
        <w:tabs>
          <w:tab w:val="left" w:pos="0"/>
          <w:tab w:val="left" w:pos="993"/>
        </w:tabs>
        <w:ind w:left="567"/>
        <w:rPr>
          <w:rFonts w:ascii="Times New Roman" w:eastAsia="Arial Unicode MS" w:hAnsi="Times New Roman"/>
          <w:color w:val="000000"/>
          <w:szCs w:val="20"/>
          <w:lang w:val="uk-UA"/>
        </w:rPr>
      </w:pPr>
      <w:r w:rsidRPr="000D0438">
        <w:rPr>
          <w:rFonts w:ascii="Times New Roman" w:eastAsia="Arial Unicode MS" w:hAnsi="Times New Roman"/>
          <w:color w:val="000000"/>
          <w:szCs w:val="20"/>
          <w:lang w:val="uk-UA"/>
        </w:rPr>
        <w:t>за збитки, які є наслідком дій, вчинених відповідно до письмових розпоряджень Емітента;</w:t>
      </w:r>
    </w:p>
    <w:p w14:paraId="4B661BDB" w14:textId="77777777" w:rsidR="000A5A99" w:rsidRPr="000D0438" w:rsidRDefault="000A5A99" w:rsidP="000D0438">
      <w:pPr>
        <w:pStyle w:val="aff5"/>
        <w:widowControl w:val="0"/>
        <w:numPr>
          <w:ilvl w:val="0"/>
          <w:numId w:val="43"/>
        </w:numPr>
        <w:tabs>
          <w:tab w:val="left" w:pos="0"/>
          <w:tab w:val="left" w:pos="993"/>
        </w:tabs>
        <w:ind w:left="567"/>
        <w:rPr>
          <w:rFonts w:ascii="Times New Roman" w:eastAsia="Arial Unicode MS" w:hAnsi="Times New Roman"/>
          <w:color w:val="000000"/>
          <w:szCs w:val="20"/>
          <w:lang w:val="uk-UA"/>
        </w:rPr>
      </w:pPr>
      <w:r w:rsidRPr="000D0438">
        <w:rPr>
          <w:rFonts w:ascii="Times New Roman" w:eastAsia="Arial Unicode MS" w:hAnsi="Times New Roman"/>
          <w:color w:val="000000"/>
          <w:szCs w:val="20"/>
          <w:lang w:val="uk-UA"/>
        </w:rPr>
        <w:t xml:space="preserve">за </w:t>
      </w:r>
      <w:proofErr w:type="spellStart"/>
      <w:r w:rsidRPr="000D0438">
        <w:rPr>
          <w:rFonts w:ascii="Times New Roman" w:eastAsia="Arial Unicode MS" w:hAnsi="Times New Roman"/>
          <w:color w:val="000000"/>
          <w:szCs w:val="20"/>
          <w:lang w:val="uk-UA"/>
        </w:rPr>
        <w:t>несвоечасне</w:t>
      </w:r>
      <w:proofErr w:type="spellEnd"/>
      <w:r w:rsidRPr="000D0438">
        <w:rPr>
          <w:rFonts w:ascii="Times New Roman" w:eastAsia="Arial Unicode MS" w:hAnsi="Times New Roman"/>
          <w:color w:val="000000"/>
          <w:szCs w:val="20"/>
          <w:lang w:val="uk-UA"/>
        </w:rPr>
        <w:t xml:space="preserve"> депонування глобального сертифіката та/або несвоєчасне подання заяви на відкриття рахунків, розпорядження на зарахування акцій власників іменних цінних паперів.</w:t>
      </w:r>
    </w:p>
    <w:p w14:paraId="27478869" w14:textId="77777777" w:rsidR="000A5A99" w:rsidRPr="00E16672" w:rsidRDefault="000A5A99" w:rsidP="000A5A99">
      <w:pPr>
        <w:rPr>
          <w:rFonts w:ascii="Times New Roman" w:eastAsia="Arial Unicode MS" w:hAnsi="Times New Roman"/>
          <w:color w:val="000000"/>
          <w:szCs w:val="20"/>
          <w:lang w:val="uk-UA"/>
        </w:rPr>
      </w:pPr>
      <w:r w:rsidRPr="00E16672">
        <w:rPr>
          <w:rFonts w:ascii="Times New Roman" w:eastAsia="Arial Unicode MS" w:hAnsi="Times New Roman"/>
          <w:color w:val="000000"/>
          <w:szCs w:val="20"/>
          <w:lang w:val="uk-UA"/>
        </w:rPr>
        <w:t xml:space="preserve">5.6. Емітент несе </w:t>
      </w:r>
      <w:proofErr w:type="spellStart"/>
      <w:r w:rsidRPr="00E16672">
        <w:rPr>
          <w:rFonts w:ascii="Times New Roman" w:eastAsia="Arial Unicode MS" w:hAnsi="Times New Roman"/>
          <w:color w:val="000000"/>
          <w:szCs w:val="20"/>
          <w:lang w:val="uk-UA"/>
        </w:rPr>
        <w:t>вiдповiдальнiсть</w:t>
      </w:r>
      <w:proofErr w:type="spellEnd"/>
      <w:r w:rsidRPr="00E16672">
        <w:rPr>
          <w:rFonts w:ascii="Times New Roman" w:eastAsia="Arial Unicode MS" w:hAnsi="Times New Roman"/>
          <w:color w:val="000000"/>
          <w:szCs w:val="20"/>
          <w:lang w:val="uk-UA"/>
        </w:rPr>
        <w:t xml:space="preserve"> за власні дії, за всі дії його уповноважених осіб, а також за наслідки виданих ним розпоряджень.</w:t>
      </w:r>
    </w:p>
    <w:p w14:paraId="7E48F48A" w14:textId="77777777" w:rsidR="000A5A99" w:rsidRPr="00E16672" w:rsidRDefault="000A5A99" w:rsidP="000A5A99">
      <w:pPr>
        <w:ind w:firstLine="555"/>
        <w:rPr>
          <w:rFonts w:ascii="Times New Roman" w:eastAsia="Arial Unicode MS" w:hAnsi="Times New Roman"/>
          <w:color w:val="000000"/>
          <w:szCs w:val="20"/>
          <w:lang w:val="uk-UA"/>
        </w:rPr>
      </w:pPr>
      <w:r w:rsidRPr="00E16672">
        <w:rPr>
          <w:rFonts w:ascii="Times New Roman" w:eastAsia="Arial Unicode MS" w:hAnsi="Times New Roman"/>
          <w:color w:val="000000"/>
          <w:szCs w:val="20"/>
          <w:lang w:val="uk-UA"/>
        </w:rPr>
        <w:t xml:space="preserve">5.7. </w:t>
      </w:r>
      <w:r w:rsidRPr="00E16672">
        <w:rPr>
          <w:rFonts w:ascii="Times New Roman" w:hAnsi="Times New Roman"/>
          <w:color w:val="000000"/>
          <w:szCs w:val="20"/>
          <w:lang w:val="uk-UA"/>
        </w:rPr>
        <w:t xml:space="preserve">Депозитарна установа має право за порушення термінів оплаті нарахувати та стягнути з іншої Сторони пеню у розмірі </w:t>
      </w:r>
      <w:r w:rsidRPr="00E16672">
        <w:rPr>
          <w:rFonts w:ascii="Times New Roman" w:hAnsi="Times New Roman"/>
          <w:i/>
          <w:iCs/>
          <w:color w:val="000000"/>
          <w:szCs w:val="20"/>
          <w:lang w:val="uk-UA"/>
        </w:rPr>
        <w:t>подвійної облікової ставки</w:t>
      </w:r>
      <w:r w:rsidRPr="00E16672">
        <w:rPr>
          <w:rFonts w:ascii="Times New Roman" w:hAnsi="Times New Roman"/>
          <w:color w:val="000000"/>
          <w:szCs w:val="20"/>
          <w:lang w:val="uk-UA"/>
        </w:rPr>
        <w:t xml:space="preserve"> Національного банку України, що діяла у період за який нараховується пеня,</w:t>
      </w:r>
      <w:r w:rsidRPr="00E16672">
        <w:rPr>
          <w:rFonts w:ascii="Times New Roman" w:hAnsi="Times New Roman"/>
          <w:color w:val="000000"/>
          <w:szCs w:val="20"/>
          <w:lang w:eastAsia="hi-IN" w:bidi="hi-IN"/>
        </w:rPr>
        <w:t xml:space="preserve"> </w:t>
      </w:r>
      <w:proofErr w:type="spellStart"/>
      <w:r w:rsidRPr="00E16672">
        <w:rPr>
          <w:rFonts w:ascii="Times New Roman" w:hAnsi="Times New Roman"/>
          <w:color w:val="000000"/>
          <w:szCs w:val="20"/>
          <w:lang w:eastAsia="hi-IN" w:bidi="hi-IN"/>
        </w:rPr>
        <w:t>від</w:t>
      </w:r>
      <w:proofErr w:type="spellEnd"/>
      <w:r w:rsidRPr="00E16672">
        <w:rPr>
          <w:rFonts w:ascii="Times New Roman" w:hAnsi="Times New Roman"/>
          <w:color w:val="000000"/>
          <w:szCs w:val="20"/>
          <w:lang w:eastAsia="hi-IN" w:bidi="hi-IN"/>
        </w:rPr>
        <w:t xml:space="preserve"> </w:t>
      </w:r>
      <w:proofErr w:type="spellStart"/>
      <w:r w:rsidRPr="00E16672">
        <w:rPr>
          <w:rFonts w:ascii="Times New Roman" w:hAnsi="Times New Roman"/>
          <w:color w:val="000000"/>
          <w:szCs w:val="20"/>
          <w:lang w:eastAsia="hi-IN" w:bidi="hi-IN"/>
        </w:rPr>
        <w:t>суми</w:t>
      </w:r>
      <w:proofErr w:type="spellEnd"/>
      <w:r w:rsidRPr="00E16672">
        <w:rPr>
          <w:rFonts w:ascii="Times New Roman" w:hAnsi="Times New Roman"/>
          <w:color w:val="000000"/>
          <w:szCs w:val="20"/>
          <w:lang w:eastAsia="hi-IN" w:bidi="hi-IN"/>
        </w:rPr>
        <w:t xml:space="preserve"> </w:t>
      </w:r>
      <w:proofErr w:type="spellStart"/>
      <w:r w:rsidRPr="00E16672">
        <w:rPr>
          <w:rFonts w:ascii="Times New Roman" w:hAnsi="Times New Roman"/>
          <w:color w:val="000000"/>
          <w:szCs w:val="20"/>
          <w:lang w:eastAsia="hi-IN" w:bidi="hi-IN"/>
        </w:rPr>
        <w:t>простроченого</w:t>
      </w:r>
      <w:proofErr w:type="spellEnd"/>
      <w:r w:rsidRPr="00E16672">
        <w:rPr>
          <w:rFonts w:ascii="Times New Roman" w:hAnsi="Times New Roman"/>
          <w:color w:val="000000"/>
          <w:szCs w:val="20"/>
          <w:lang w:eastAsia="hi-IN" w:bidi="hi-IN"/>
        </w:rPr>
        <w:t xml:space="preserve"> платежу за </w:t>
      </w:r>
      <w:proofErr w:type="spellStart"/>
      <w:r w:rsidRPr="00E16672">
        <w:rPr>
          <w:rFonts w:ascii="Times New Roman" w:hAnsi="Times New Roman"/>
          <w:color w:val="000000"/>
          <w:szCs w:val="20"/>
          <w:lang w:eastAsia="hi-IN" w:bidi="hi-IN"/>
        </w:rPr>
        <w:t>кожен</w:t>
      </w:r>
      <w:proofErr w:type="spellEnd"/>
      <w:r w:rsidRPr="00E16672">
        <w:rPr>
          <w:rFonts w:ascii="Times New Roman" w:hAnsi="Times New Roman"/>
          <w:color w:val="000000"/>
          <w:szCs w:val="20"/>
          <w:lang w:eastAsia="hi-IN" w:bidi="hi-IN"/>
        </w:rPr>
        <w:t xml:space="preserve"> день </w:t>
      </w:r>
      <w:proofErr w:type="spellStart"/>
      <w:r w:rsidRPr="00E16672">
        <w:rPr>
          <w:rFonts w:ascii="Times New Roman" w:hAnsi="Times New Roman"/>
          <w:color w:val="000000"/>
          <w:szCs w:val="20"/>
          <w:lang w:eastAsia="hi-IN" w:bidi="hi-IN"/>
        </w:rPr>
        <w:t>прострочення</w:t>
      </w:r>
      <w:proofErr w:type="spellEnd"/>
      <w:r w:rsidRPr="00E16672">
        <w:rPr>
          <w:rFonts w:ascii="Times New Roman" w:hAnsi="Times New Roman"/>
          <w:color w:val="000000"/>
          <w:szCs w:val="20"/>
          <w:lang w:val="uk-UA"/>
        </w:rPr>
        <w:t>. Формула</w:t>
      </w:r>
      <w:r w:rsidRPr="00E16672">
        <w:rPr>
          <w:rFonts w:ascii="Times New Roman" w:hAnsi="Times New Roman"/>
          <w:szCs w:val="20"/>
          <w:lang w:val="uk-UA"/>
        </w:rPr>
        <w:t>, за якою розраховується пеня</w:t>
      </w:r>
      <w:r w:rsidRPr="00E16672">
        <w:rPr>
          <w:rFonts w:ascii="Times New Roman" w:eastAsia="Arial Unicode MS" w:hAnsi="Times New Roman"/>
          <w:color w:val="000000"/>
          <w:szCs w:val="20"/>
          <w:lang w:val="uk-UA"/>
        </w:rPr>
        <w:t xml:space="preserve">. Формула, за якою розраховується пеня: </w:t>
      </w:r>
    </w:p>
    <w:p w14:paraId="4FDA4E83" w14:textId="77777777" w:rsidR="000A5A99" w:rsidRPr="00E16672" w:rsidRDefault="000A5A99" w:rsidP="000A5A99">
      <w:pPr>
        <w:ind w:firstLine="570"/>
        <w:rPr>
          <w:rFonts w:ascii="Times New Roman" w:eastAsia="Arial Unicode MS" w:hAnsi="Times New Roman"/>
          <w:color w:val="000000"/>
          <w:szCs w:val="20"/>
          <w:lang w:val="uk-UA"/>
        </w:rPr>
      </w:pPr>
      <w:r w:rsidRPr="00E16672">
        <w:rPr>
          <w:rFonts w:ascii="Times New Roman" w:eastAsia="Arial Unicode MS" w:hAnsi="Times New Roman"/>
          <w:color w:val="000000"/>
          <w:szCs w:val="20"/>
          <w:lang w:val="uk-UA"/>
        </w:rPr>
        <w:t>5.7.1. П=</w:t>
      </w:r>
      <w:proofErr w:type="spellStart"/>
      <w:r w:rsidRPr="00E16672">
        <w:rPr>
          <w:rFonts w:ascii="Times New Roman" w:eastAsia="Arial Unicode MS" w:hAnsi="Times New Roman"/>
          <w:color w:val="000000"/>
          <w:szCs w:val="20"/>
          <w:lang w:val="uk-UA"/>
        </w:rPr>
        <w:t>Тнеоплачений</w:t>
      </w:r>
      <w:proofErr w:type="spellEnd"/>
      <w:r w:rsidRPr="00E16672">
        <w:rPr>
          <w:rFonts w:ascii="Times New Roman" w:eastAsia="Arial Unicode MS" w:hAnsi="Times New Roman"/>
          <w:color w:val="000000"/>
          <w:szCs w:val="20"/>
          <w:lang w:val="uk-UA"/>
        </w:rPr>
        <w:t>*2НБУ/</w:t>
      </w:r>
      <w:proofErr w:type="spellStart"/>
      <w:r w:rsidRPr="00E16672">
        <w:rPr>
          <w:rFonts w:ascii="Times New Roman" w:eastAsia="Arial Unicode MS" w:hAnsi="Times New Roman"/>
          <w:color w:val="000000"/>
          <w:szCs w:val="20"/>
          <w:lang w:val="uk-UA"/>
        </w:rPr>
        <w:t>Дрік</w:t>
      </w:r>
      <w:proofErr w:type="spellEnd"/>
      <w:r w:rsidRPr="00E16672">
        <w:rPr>
          <w:rFonts w:ascii="Times New Roman" w:eastAsia="Arial Unicode MS" w:hAnsi="Times New Roman"/>
          <w:color w:val="000000"/>
          <w:szCs w:val="20"/>
          <w:lang w:val="uk-UA"/>
        </w:rPr>
        <w:t>*</w:t>
      </w:r>
      <w:proofErr w:type="spellStart"/>
      <w:r w:rsidRPr="00E16672">
        <w:rPr>
          <w:rFonts w:ascii="Times New Roman" w:eastAsia="Arial Unicode MS" w:hAnsi="Times New Roman"/>
          <w:color w:val="000000"/>
          <w:szCs w:val="20"/>
          <w:lang w:val="uk-UA"/>
        </w:rPr>
        <w:t>Днарахування</w:t>
      </w:r>
      <w:proofErr w:type="spellEnd"/>
      <w:r w:rsidRPr="00E16672">
        <w:rPr>
          <w:rFonts w:ascii="Times New Roman" w:eastAsia="Arial Unicode MS" w:hAnsi="Times New Roman"/>
          <w:color w:val="000000"/>
          <w:szCs w:val="20"/>
          <w:lang w:val="uk-UA"/>
        </w:rPr>
        <w:t>, де:</w:t>
      </w:r>
    </w:p>
    <w:p w14:paraId="0502E583" w14:textId="77777777" w:rsidR="000A5A99" w:rsidRPr="00E16672" w:rsidRDefault="000A5A99" w:rsidP="005C5318">
      <w:pPr>
        <w:ind w:left="709" w:firstLine="11"/>
        <w:jc w:val="left"/>
        <w:rPr>
          <w:rFonts w:ascii="Times New Roman" w:eastAsia="Arial Unicode MS" w:hAnsi="Times New Roman"/>
          <w:color w:val="000000"/>
          <w:szCs w:val="20"/>
          <w:lang w:val="uk-UA"/>
        </w:rPr>
      </w:pPr>
      <w:r w:rsidRPr="00E16672">
        <w:rPr>
          <w:rFonts w:ascii="Times New Roman" w:eastAsia="Arial Unicode MS" w:hAnsi="Times New Roman"/>
          <w:color w:val="000000"/>
          <w:szCs w:val="20"/>
          <w:lang w:val="uk-UA"/>
        </w:rPr>
        <w:t>П – пеня;</w:t>
      </w:r>
      <w:r w:rsidRPr="00E16672">
        <w:rPr>
          <w:rFonts w:ascii="Times New Roman" w:eastAsia="Arial Unicode MS" w:hAnsi="Times New Roman"/>
          <w:color w:val="000000"/>
          <w:szCs w:val="20"/>
          <w:lang w:val="uk-UA"/>
        </w:rPr>
        <w:br/>
        <w:t>Т неоплачений – вартість неоплаченої послуги;</w:t>
      </w:r>
    </w:p>
    <w:p w14:paraId="5B2B97F9" w14:textId="77777777" w:rsidR="000A5A99" w:rsidRPr="00E16672" w:rsidRDefault="000A5A99" w:rsidP="000A5A99">
      <w:pPr>
        <w:ind w:firstLine="720"/>
        <w:rPr>
          <w:rFonts w:ascii="Times New Roman" w:eastAsia="Arial Unicode MS" w:hAnsi="Times New Roman"/>
          <w:color w:val="000000"/>
          <w:szCs w:val="20"/>
          <w:lang w:val="uk-UA"/>
        </w:rPr>
      </w:pPr>
      <w:r w:rsidRPr="00E16672">
        <w:rPr>
          <w:rFonts w:ascii="Times New Roman" w:eastAsia="Arial Unicode MS" w:hAnsi="Times New Roman"/>
          <w:color w:val="000000"/>
          <w:szCs w:val="20"/>
          <w:lang w:val="uk-UA"/>
        </w:rPr>
        <w:t>2НБУ – подвійна облікова ставка Національного Банку України;</w:t>
      </w:r>
    </w:p>
    <w:p w14:paraId="32720CF1" w14:textId="77777777" w:rsidR="000A5A99" w:rsidRPr="00E16672" w:rsidRDefault="000A5A99" w:rsidP="000A5A99">
      <w:pPr>
        <w:ind w:firstLine="720"/>
        <w:rPr>
          <w:rFonts w:ascii="Times New Roman" w:eastAsia="Arial Unicode MS" w:hAnsi="Times New Roman"/>
          <w:color w:val="000000"/>
          <w:szCs w:val="20"/>
          <w:lang w:val="uk-UA"/>
        </w:rPr>
      </w:pPr>
      <w:r w:rsidRPr="00E16672">
        <w:rPr>
          <w:rFonts w:ascii="Times New Roman" w:eastAsia="Arial Unicode MS" w:hAnsi="Times New Roman"/>
          <w:color w:val="000000"/>
          <w:szCs w:val="20"/>
          <w:lang w:val="uk-UA"/>
        </w:rPr>
        <w:t>Д рік – кількість днів у році;</w:t>
      </w:r>
    </w:p>
    <w:p w14:paraId="5C673917" w14:textId="77777777" w:rsidR="000A5A99" w:rsidRPr="00E16672" w:rsidRDefault="000A5A99" w:rsidP="000A5A99">
      <w:pPr>
        <w:ind w:firstLine="720"/>
        <w:rPr>
          <w:rFonts w:ascii="Times New Roman" w:eastAsia="Arial Unicode MS" w:hAnsi="Times New Roman"/>
          <w:color w:val="000000"/>
          <w:szCs w:val="20"/>
          <w:lang w:val="uk-UA"/>
        </w:rPr>
      </w:pPr>
      <w:r w:rsidRPr="00E16672">
        <w:rPr>
          <w:rFonts w:ascii="Times New Roman" w:eastAsia="Arial Unicode MS" w:hAnsi="Times New Roman"/>
          <w:color w:val="000000"/>
          <w:szCs w:val="20"/>
          <w:lang w:val="uk-UA"/>
        </w:rPr>
        <w:t>Д нарахування – кількість днів нарахування пені.</w:t>
      </w:r>
    </w:p>
    <w:p w14:paraId="7F060264" w14:textId="77777777" w:rsidR="000A5A99" w:rsidRPr="00E16672" w:rsidRDefault="000A5A99" w:rsidP="000A5A99">
      <w:pPr>
        <w:rPr>
          <w:rFonts w:ascii="Times New Roman" w:eastAsia="Arial Unicode MS" w:hAnsi="Times New Roman"/>
          <w:color w:val="000000"/>
          <w:szCs w:val="20"/>
          <w:lang w:val="uk-UA"/>
        </w:rPr>
      </w:pPr>
    </w:p>
    <w:p w14:paraId="2496AAC5" w14:textId="77777777" w:rsidR="000A5A99" w:rsidRPr="00E16672" w:rsidRDefault="000A5A99" w:rsidP="000A5A99">
      <w:pPr>
        <w:ind w:firstLine="540"/>
        <w:rPr>
          <w:rFonts w:ascii="Times New Roman" w:eastAsia="Arial Unicode MS" w:hAnsi="Times New Roman"/>
          <w:color w:val="000000"/>
          <w:szCs w:val="20"/>
          <w:lang w:val="uk-UA"/>
        </w:rPr>
      </w:pPr>
      <w:r w:rsidRPr="00E16672">
        <w:rPr>
          <w:rFonts w:ascii="Times New Roman" w:eastAsia="Arial Unicode MS" w:hAnsi="Times New Roman"/>
          <w:color w:val="000000"/>
          <w:szCs w:val="20"/>
          <w:lang w:val="uk-UA"/>
        </w:rPr>
        <w:t xml:space="preserve">5.7.2. Депозитарна установа може пред'являти </w:t>
      </w:r>
      <w:r w:rsidRPr="00E16672">
        <w:rPr>
          <w:rFonts w:ascii="Times New Roman" w:eastAsia="Arial Unicode MS" w:hAnsi="Times New Roman"/>
          <w:color w:val="000000"/>
          <w:lang w:val="uk-UA"/>
        </w:rPr>
        <w:t>Емітенту</w:t>
      </w:r>
      <w:r w:rsidRPr="00E16672">
        <w:rPr>
          <w:rFonts w:ascii="Times New Roman" w:eastAsia="Arial Unicode MS" w:hAnsi="Times New Roman"/>
          <w:color w:val="000000"/>
          <w:szCs w:val="20"/>
          <w:lang w:val="uk-UA"/>
        </w:rPr>
        <w:t xml:space="preserve"> вимоги стосовно сплати пені, як шляхом надіслання платіжної вимоги-доручення, так і шляхом звернення до </w:t>
      </w:r>
      <w:r w:rsidRPr="00E16672">
        <w:rPr>
          <w:rFonts w:ascii="Times New Roman" w:eastAsia="Arial Unicode MS" w:hAnsi="Times New Roman"/>
          <w:color w:val="000000"/>
          <w:lang w:val="uk-UA"/>
        </w:rPr>
        <w:t>Емітента</w:t>
      </w:r>
      <w:r w:rsidRPr="00E16672">
        <w:rPr>
          <w:rFonts w:ascii="Times New Roman" w:eastAsia="Arial Unicode MS" w:hAnsi="Times New Roman"/>
          <w:color w:val="000000"/>
          <w:szCs w:val="20"/>
          <w:lang w:val="uk-UA"/>
        </w:rPr>
        <w:t xml:space="preserve"> з листом, телеграмою тощо.</w:t>
      </w:r>
    </w:p>
    <w:p w14:paraId="43220588" w14:textId="77777777" w:rsidR="000A5A99" w:rsidRPr="00E16672" w:rsidRDefault="000A5A99" w:rsidP="000A5A99">
      <w:pPr>
        <w:rPr>
          <w:rFonts w:ascii="Times New Roman" w:eastAsia="Arial Unicode MS" w:hAnsi="Times New Roman"/>
          <w:color w:val="000000"/>
          <w:szCs w:val="20"/>
          <w:lang w:val="uk-UA"/>
        </w:rPr>
      </w:pPr>
      <w:r w:rsidRPr="00E16672">
        <w:rPr>
          <w:rFonts w:ascii="Times New Roman" w:eastAsia="Arial Unicode MS" w:hAnsi="Times New Roman"/>
          <w:color w:val="000000"/>
          <w:szCs w:val="20"/>
          <w:lang w:val="uk-UA"/>
        </w:rPr>
        <w:t xml:space="preserve">5.7.3. </w:t>
      </w:r>
      <w:r w:rsidRPr="00E16672">
        <w:rPr>
          <w:rFonts w:ascii="Times New Roman" w:eastAsia="Arial Unicode MS" w:hAnsi="Times New Roman"/>
          <w:color w:val="000000"/>
          <w:lang w:val="uk-UA"/>
        </w:rPr>
        <w:t>Емітент</w:t>
      </w:r>
      <w:r w:rsidRPr="00E16672">
        <w:rPr>
          <w:rFonts w:ascii="Times New Roman" w:eastAsia="Arial Unicode MS" w:hAnsi="Times New Roman"/>
          <w:color w:val="000000"/>
          <w:szCs w:val="20"/>
          <w:lang w:val="uk-UA"/>
        </w:rPr>
        <w:t xml:space="preserve"> повинен виконати зобов'язання, визначене п.5.7., у </w:t>
      </w:r>
      <w:r w:rsidRPr="00E16672">
        <w:rPr>
          <w:rFonts w:ascii="Times New Roman" w:eastAsia="Arial Unicode MS" w:hAnsi="Times New Roman"/>
          <w:i/>
          <w:color w:val="000000"/>
          <w:szCs w:val="20"/>
          <w:lang w:val="uk-UA"/>
        </w:rPr>
        <w:t>п’ятиденний</w:t>
      </w:r>
      <w:r w:rsidRPr="00E16672">
        <w:rPr>
          <w:rFonts w:ascii="Times New Roman" w:eastAsia="Arial Unicode MS" w:hAnsi="Times New Roman"/>
          <w:color w:val="000000"/>
          <w:szCs w:val="20"/>
          <w:lang w:val="uk-UA"/>
        </w:rPr>
        <w:t xml:space="preserve"> строк з дня пред'явлення вимоги Депозитарною установою згідно з п.5.7.2.. Таким днем слід вважати дату одержання вимоги </w:t>
      </w:r>
      <w:r w:rsidRPr="00E16672">
        <w:rPr>
          <w:rFonts w:ascii="Times New Roman" w:eastAsia="Arial Unicode MS" w:hAnsi="Times New Roman"/>
          <w:color w:val="000000"/>
          <w:lang w:val="uk-UA"/>
        </w:rPr>
        <w:t>Емітента</w:t>
      </w:r>
      <w:r w:rsidRPr="00E16672">
        <w:rPr>
          <w:rFonts w:ascii="Times New Roman" w:eastAsia="Arial Unicode MS" w:hAnsi="Times New Roman"/>
          <w:color w:val="000000"/>
          <w:szCs w:val="20"/>
          <w:lang w:val="uk-UA"/>
        </w:rPr>
        <w:t>.</w:t>
      </w:r>
    </w:p>
    <w:p w14:paraId="0B3B1491" w14:textId="77777777" w:rsidR="000A5A99" w:rsidRPr="00E16672" w:rsidRDefault="000A5A99" w:rsidP="000A5A99">
      <w:pPr>
        <w:rPr>
          <w:rFonts w:ascii="Times New Roman" w:eastAsia="Arial Unicode MS" w:hAnsi="Times New Roman"/>
          <w:color w:val="000000"/>
          <w:szCs w:val="20"/>
          <w:lang w:val="uk-UA"/>
        </w:rPr>
      </w:pPr>
      <w:r w:rsidRPr="00E16672">
        <w:rPr>
          <w:rFonts w:ascii="Times New Roman" w:eastAsia="Arial Unicode MS" w:hAnsi="Times New Roman"/>
          <w:color w:val="000000"/>
          <w:szCs w:val="20"/>
          <w:lang w:val="uk-UA"/>
        </w:rPr>
        <w:t xml:space="preserve">5.7.4. При цьому визнання </w:t>
      </w:r>
      <w:r w:rsidRPr="00E16672">
        <w:rPr>
          <w:rFonts w:ascii="Times New Roman" w:eastAsia="Arial Unicode MS" w:hAnsi="Times New Roman"/>
          <w:color w:val="000000"/>
          <w:lang w:val="uk-UA"/>
        </w:rPr>
        <w:t>Емітентом</w:t>
      </w:r>
      <w:r w:rsidRPr="00E16672">
        <w:rPr>
          <w:rFonts w:ascii="Times New Roman" w:eastAsia="Arial Unicode MS" w:hAnsi="Times New Roman"/>
          <w:color w:val="000000"/>
          <w:szCs w:val="20"/>
          <w:lang w:val="uk-UA"/>
        </w:rPr>
        <w:t xml:space="preserve"> претензії Депозитарної установи про оплату послуг без перерахування заборгованості не може бути підставою для припинення нарахування пені за прострочку платежу.</w:t>
      </w:r>
    </w:p>
    <w:p w14:paraId="7490B033" w14:textId="77777777" w:rsidR="000A5A99" w:rsidRPr="00E16672" w:rsidRDefault="000A5A99" w:rsidP="000A5A99">
      <w:pPr>
        <w:rPr>
          <w:rFonts w:ascii="Times New Roman" w:eastAsia="Arial Unicode MS" w:hAnsi="Times New Roman"/>
          <w:color w:val="000000"/>
          <w:szCs w:val="20"/>
          <w:lang w:val="uk-UA"/>
        </w:rPr>
      </w:pPr>
      <w:r w:rsidRPr="00E16672">
        <w:rPr>
          <w:rFonts w:ascii="Times New Roman" w:eastAsia="Arial Unicode MS" w:hAnsi="Times New Roman"/>
          <w:color w:val="000000"/>
          <w:szCs w:val="20"/>
          <w:lang w:val="uk-UA"/>
        </w:rPr>
        <w:t xml:space="preserve">5.8. Прострочення платежу більш як на </w:t>
      </w:r>
      <w:r w:rsidRPr="00E16672">
        <w:rPr>
          <w:rFonts w:ascii="Times New Roman" w:eastAsia="Arial Unicode MS" w:hAnsi="Times New Roman"/>
          <w:i/>
          <w:color w:val="000000"/>
          <w:szCs w:val="20"/>
          <w:lang w:val="uk-UA"/>
        </w:rPr>
        <w:t>шістдесят</w:t>
      </w:r>
      <w:r w:rsidRPr="00E16672">
        <w:rPr>
          <w:rFonts w:ascii="Times New Roman" w:eastAsia="Arial Unicode MS" w:hAnsi="Times New Roman"/>
          <w:color w:val="000000"/>
          <w:szCs w:val="20"/>
          <w:lang w:val="uk-UA"/>
        </w:rPr>
        <w:t xml:space="preserve"> днів вважається відмовою від виконання умов Договору, у зв'язку з чим Депозитарна установа має право нарахувати та стягнути з іншої Сторони також і штраф у розмірі 2 000,00 (дві тисячі) гривень.</w:t>
      </w:r>
    </w:p>
    <w:p w14:paraId="6DC49733" w14:textId="77777777" w:rsidR="000A5A99" w:rsidRPr="00E16672" w:rsidRDefault="000A5A99" w:rsidP="000A5A99">
      <w:pPr>
        <w:rPr>
          <w:rFonts w:ascii="Times New Roman" w:eastAsia="Arial Unicode MS" w:hAnsi="Times New Roman"/>
          <w:color w:val="000000"/>
          <w:szCs w:val="20"/>
          <w:lang w:val="uk-UA"/>
        </w:rPr>
      </w:pPr>
      <w:r w:rsidRPr="00E16672">
        <w:rPr>
          <w:rFonts w:ascii="Times New Roman" w:eastAsia="Arial Unicode MS" w:hAnsi="Times New Roman"/>
          <w:color w:val="000000"/>
          <w:szCs w:val="20"/>
          <w:lang w:val="uk-UA"/>
        </w:rPr>
        <w:t xml:space="preserve">5.8.1. Депозитарна установа може пред'являти </w:t>
      </w:r>
      <w:r w:rsidRPr="00E16672">
        <w:rPr>
          <w:rFonts w:ascii="Times New Roman" w:eastAsia="Arial Unicode MS" w:hAnsi="Times New Roman"/>
          <w:color w:val="000000"/>
          <w:lang w:val="uk-UA"/>
        </w:rPr>
        <w:t>Емітенту</w:t>
      </w:r>
      <w:r w:rsidRPr="00E16672">
        <w:rPr>
          <w:rFonts w:ascii="Times New Roman" w:eastAsia="Arial Unicode MS" w:hAnsi="Times New Roman"/>
          <w:color w:val="000000"/>
          <w:szCs w:val="20"/>
          <w:lang w:val="uk-UA"/>
        </w:rPr>
        <w:t xml:space="preserve"> вимоги стосовно сплати штрафу, як шляхом надіслання платіжної вимоги-доручення, так і шляхом звернення до </w:t>
      </w:r>
      <w:r w:rsidRPr="00E16672">
        <w:rPr>
          <w:rFonts w:ascii="Times New Roman" w:eastAsia="Arial Unicode MS" w:hAnsi="Times New Roman"/>
          <w:color w:val="000000"/>
          <w:lang w:val="uk-UA"/>
        </w:rPr>
        <w:t>Емітента</w:t>
      </w:r>
      <w:r w:rsidRPr="00E16672">
        <w:rPr>
          <w:rFonts w:ascii="Times New Roman" w:eastAsia="Arial Unicode MS" w:hAnsi="Times New Roman"/>
          <w:color w:val="000000"/>
          <w:szCs w:val="20"/>
          <w:lang w:val="uk-UA"/>
        </w:rPr>
        <w:t xml:space="preserve"> з листом, телеграмою тощо.</w:t>
      </w:r>
    </w:p>
    <w:p w14:paraId="29E97757" w14:textId="77777777" w:rsidR="000A5A99" w:rsidRPr="00E16672" w:rsidRDefault="000A5A99" w:rsidP="000A5A99">
      <w:pPr>
        <w:rPr>
          <w:rFonts w:ascii="Times New Roman" w:eastAsia="Arial Unicode MS" w:hAnsi="Times New Roman"/>
          <w:color w:val="000000"/>
          <w:szCs w:val="20"/>
          <w:lang w:val="uk-UA"/>
        </w:rPr>
      </w:pPr>
      <w:r w:rsidRPr="00E16672">
        <w:rPr>
          <w:rFonts w:ascii="Times New Roman" w:eastAsia="Arial Unicode MS" w:hAnsi="Times New Roman"/>
          <w:color w:val="000000"/>
          <w:szCs w:val="20"/>
          <w:lang w:val="uk-UA"/>
        </w:rPr>
        <w:t xml:space="preserve">5.8.2. </w:t>
      </w:r>
      <w:r w:rsidRPr="00E16672">
        <w:rPr>
          <w:rFonts w:ascii="Times New Roman" w:eastAsia="Arial Unicode MS" w:hAnsi="Times New Roman"/>
          <w:color w:val="000000"/>
          <w:lang w:val="uk-UA"/>
        </w:rPr>
        <w:t>Емітент</w:t>
      </w:r>
      <w:r w:rsidRPr="00E16672">
        <w:rPr>
          <w:rFonts w:ascii="Times New Roman" w:eastAsia="Arial Unicode MS" w:hAnsi="Times New Roman"/>
          <w:color w:val="000000"/>
          <w:szCs w:val="20"/>
          <w:lang w:val="uk-UA"/>
        </w:rPr>
        <w:t xml:space="preserve"> повинен виконати зобов'язання, визначене п.5.8., у </w:t>
      </w:r>
      <w:r w:rsidRPr="00E16672">
        <w:rPr>
          <w:rFonts w:ascii="Times New Roman" w:eastAsia="Arial Unicode MS" w:hAnsi="Times New Roman"/>
          <w:i/>
          <w:color w:val="000000"/>
          <w:szCs w:val="20"/>
          <w:lang w:val="uk-UA"/>
        </w:rPr>
        <w:t>п’ятиденний</w:t>
      </w:r>
      <w:r w:rsidRPr="00E16672">
        <w:rPr>
          <w:rFonts w:ascii="Times New Roman" w:eastAsia="Arial Unicode MS" w:hAnsi="Times New Roman"/>
          <w:color w:val="000000"/>
          <w:szCs w:val="20"/>
          <w:lang w:val="uk-UA"/>
        </w:rPr>
        <w:t xml:space="preserve"> строк з дня пред'явлення вимоги Депозитарною установою згідно з пп.5.8.1.. Таким днем слід вважати дату одержання вимоги </w:t>
      </w:r>
      <w:r w:rsidRPr="00E16672">
        <w:rPr>
          <w:rFonts w:ascii="Times New Roman" w:eastAsia="Arial Unicode MS" w:hAnsi="Times New Roman"/>
          <w:color w:val="000000"/>
          <w:lang w:val="uk-UA"/>
        </w:rPr>
        <w:t>Емітентом</w:t>
      </w:r>
      <w:r w:rsidRPr="00E16672">
        <w:rPr>
          <w:rFonts w:ascii="Times New Roman" w:eastAsia="Arial Unicode MS" w:hAnsi="Times New Roman"/>
          <w:color w:val="000000"/>
          <w:szCs w:val="20"/>
          <w:lang w:val="uk-UA"/>
        </w:rPr>
        <w:t>.</w:t>
      </w:r>
    </w:p>
    <w:p w14:paraId="7C940929" w14:textId="77777777" w:rsidR="000A5A99" w:rsidRPr="00E16672" w:rsidRDefault="000A5A99" w:rsidP="000A5A99">
      <w:pPr>
        <w:pStyle w:val="22"/>
        <w:ind w:firstLine="567"/>
        <w:rPr>
          <w:rFonts w:ascii="Times New Roman" w:eastAsia="Arial Unicode MS" w:hAnsi="Times New Roman"/>
          <w:color w:val="000000"/>
        </w:rPr>
      </w:pPr>
      <w:r w:rsidRPr="00E16672">
        <w:rPr>
          <w:rFonts w:ascii="Times New Roman" w:eastAsia="Arial Unicode MS" w:hAnsi="Times New Roman"/>
          <w:color w:val="000000"/>
        </w:rPr>
        <w:t>5.9. Виплата пені та штрафів не звільняє Сторони від виконання обов’язків згідно з умовами цього Договору.</w:t>
      </w:r>
    </w:p>
    <w:p w14:paraId="563071D0" w14:textId="77777777" w:rsidR="000A5A99" w:rsidRPr="00E16672" w:rsidRDefault="000A5A99" w:rsidP="000A5A99">
      <w:pPr>
        <w:pStyle w:val="22"/>
        <w:ind w:firstLine="567"/>
        <w:rPr>
          <w:rFonts w:ascii="Times New Roman" w:eastAsia="Arial Unicode MS" w:hAnsi="Times New Roman"/>
          <w:color w:val="000000"/>
        </w:rPr>
      </w:pPr>
      <w:r w:rsidRPr="00E16672">
        <w:rPr>
          <w:rFonts w:ascii="Times New Roman" w:eastAsia="Arial Unicode MS" w:hAnsi="Times New Roman"/>
          <w:color w:val="000000"/>
        </w:rPr>
        <w:t>5.10. Обмін інформацією між Сторонами здійснюється шляхом письмового обміну, засобами телефонного зв`язку, якщо інформація не відноситься до конфіденційної.</w:t>
      </w:r>
    </w:p>
    <w:p w14:paraId="1B8B2596" w14:textId="77777777" w:rsidR="000A5A99" w:rsidRPr="00E16672" w:rsidRDefault="000A5A99" w:rsidP="000A5A99">
      <w:pPr>
        <w:jc w:val="center"/>
        <w:rPr>
          <w:rFonts w:ascii="Times New Roman" w:eastAsia="Arial Unicode MS" w:hAnsi="Times New Roman"/>
          <w:b/>
          <w:bCs/>
          <w:color w:val="000000"/>
          <w:szCs w:val="20"/>
          <w:lang w:val="uk-UA"/>
        </w:rPr>
      </w:pPr>
    </w:p>
    <w:p w14:paraId="442DA9FC" w14:textId="77777777" w:rsidR="000A5A99" w:rsidRPr="00E16672" w:rsidRDefault="000A5A99" w:rsidP="000A5A99">
      <w:pPr>
        <w:jc w:val="center"/>
        <w:rPr>
          <w:rFonts w:ascii="Times New Roman" w:eastAsia="Arial Unicode MS" w:hAnsi="Times New Roman"/>
          <w:b/>
          <w:bCs/>
          <w:color w:val="000000"/>
          <w:szCs w:val="20"/>
          <w:lang w:val="uk-UA"/>
        </w:rPr>
      </w:pPr>
      <w:r w:rsidRPr="00E16672">
        <w:rPr>
          <w:rFonts w:ascii="Times New Roman" w:eastAsia="Arial Unicode MS" w:hAnsi="Times New Roman"/>
          <w:b/>
          <w:bCs/>
          <w:color w:val="000000"/>
          <w:szCs w:val="20"/>
          <w:lang w:val="uk-UA"/>
        </w:rPr>
        <w:t>6. ПОРЯДОК ВИРІШЕННЯ СУПЕРЕЧОК.</w:t>
      </w:r>
    </w:p>
    <w:p w14:paraId="26DEEEC2" w14:textId="77777777" w:rsidR="000A5A99" w:rsidRPr="00E16672" w:rsidRDefault="000A5A99" w:rsidP="000A5A99">
      <w:pPr>
        <w:jc w:val="center"/>
        <w:rPr>
          <w:rFonts w:ascii="Times New Roman" w:eastAsia="Arial Unicode MS" w:hAnsi="Times New Roman"/>
          <w:b/>
          <w:bCs/>
          <w:color w:val="000000"/>
          <w:szCs w:val="20"/>
          <w:lang w:val="uk-UA"/>
        </w:rPr>
      </w:pPr>
    </w:p>
    <w:p w14:paraId="517A4385" w14:textId="77777777" w:rsidR="000A5A99" w:rsidRPr="00E16672" w:rsidRDefault="000A5A99" w:rsidP="000A5A99">
      <w:pPr>
        <w:pStyle w:val="22"/>
        <w:ind w:firstLine="567"/>
        <w:rPr>
          <w:rFonts w:ascii="Times New Roman" w:eastAsia="Arial Unicode MS" w:hAnsi="Times New Roman"/>
          <w:color w:val="000000"/>
        </w:rPr>
      </w:pPr>
      <w:r w:rsidRPr="00E16672">
        <w:rPr>
          <w:rFonts w:ascii="Times New Roman" w:eastAsia="Arial Unicode MS" w:hAnsi="Times New Roman"/>
          <w:color w:val="000000"/>
        </w:rPr>
        <w:t>6.1. Усі суперечки, що виникатимуть між Сторонами у процесі виконання умов цього Договору, підлягають вирішенню шляхом переговорів або у порядку, встановленому чиним законодавством України,  шляхом вирішення у судовому порядку.</w:t>
      </w:r>
    </w:p>
    <w:p w14:paraId="5A7D2440" w14:textId="77777777" w:rsidR="000A5A99" w:rsidRPr="00E16672" w:rsidRDefault="000A5A99" w:rsidP="000A5A99">
      <w:pPr>
        <w:rPr>
          <w:rFonts w:ascii="Times New Roman" w:eastAsia="Arial Unicode MS" w:hAnsi="Times New Roman"/>
          <w:color w:val="000000"/>
          <w:szCs w:val="20"/>
          <w:shd w:val="clear" w:color="auto" w:fill="FFFFFF"/>
          <w:lang w:val="uk-UA"/>
        </w:rPr>
      </w:pPr>
      <w:r w:rsidRPr="00E16672">
        <w:rPr>
          <w:rFonts w:ascii="Times New Roman" w:eastAsia="Arial Unicode MS" w:hAnsi="Times New Roman"/>
          <w:color w:val="000000"/>
          <w:szCs w:val="20"/>
          <w:lang w:val="uk-UA"/>
        </w:rPr>
        <w:t xml:space="preserve">6.2. </w:t>
      </w:r>
      <w:r w:rsidRPr="00E16672">
        <w:rPr>
          <w:rFonts w:ascii="Times New Roman" w:eastAsia="Arial Unicode MS" w:hAnsi="Times New Roman"/>
          <w:color w:val="000000"/>
          <w:szCs w:val="20"/>
          <w:shd w:val="clear" w:color="auto" w:fill="FFFFFF"/>
          <w:lang w:val="uk-UA"/>
        </w:rPr>
        <w:t xml:space="preserve">Строк позовної давності, у межах якого одна із Сторін може звернутися до суду з вимогою про захист </w:t>
      </w:r>
      <w:r w:rsidRPr="00E16672">
        <w:rPr>
          <w:rFonts w:ascii="Times New Roman" w:eastAsia="Arial Unicode MS" w:hAnsi="Times New Roman"/>
          <w:i/>
          <w:iCs/>
          <w:color w:val="000000"/>
          <w:szCs w:val="20"/>
          <w:shd w:val="clear" w:color="auto" w:fill="FFFFFF"/>
          <w:lang w:val="uk-UA"/>
        </w:rPr>
        <w:t xml:space="preserve">основних </w:t>
      </w:r>
      <w:r w:rsidRPr="00E16672">
        <w:rPr>
          <w:rFonts w:ascii="Times New Roman" w:eastAsia="Arial Unicode MS" w:hAnsi="Times New Roman"/>
          <w:color w:val="000000"/>
          <w:szCs w:val="20"/>
          <w:shd w:val="clear" w:color="auto" w:fill="FFFFFF"/>
          <w:lang w:val="uk-UA"/>
        </w:rPr>
        <w:t xml:space="preserve">зобов’язань встановлюється тривалістю у п’ятдесят років. Позовна давність в п'ятдесят років застосовується також до вимог про стягнення </w:t>
      </w:r>
      <w:r w:rsidRPr="00E16672">
        <w:rPr>
          <w:rFonts w:ascii="Times New Roman" w:eastAsia="Arial Unicode MS" w:hAnsi="Times New Roman"/>
          <w:i/>
          <w:iCs/>
          <w:color w:val="000000"/>
          <w:szCs w:val="20"/>
          <w:shd w:val="clear" w:color="auto" w:fill="FFFFFF"/>
          <w:lang w:val="uk-UA"/>
        </w:rPr>
        <w:t>неустойки</w:t>
      </w:r>
      <w:r w:rsidRPr="00E16672">
        <w:rPr>
          <w:rFonts w:ascii="Times New Roman" w:eastAsia="Arial Unicode MS" w:hAnsi="Times New Roman"/>
          <w:color w:val="000000"/>
          <w:szCs w:val="20"/>
          <w:shd w:val="clear" w:color="auto" w:fill="FFFFFF"/>
          <w:lang w:val="uk-UA"/>
        </w:rPr>
        <w:t xml:space="preserve"> (пені).</w:t>
      </w:r>
    </w:p>
    <w:p w14:paraId="0DE48A6A" w14:textId="77777777" w:rsidR="000A5A99" w:rsidRPr="00E16672" w:rsidRDefault="000A5A99" w:rsidP="000A5A99">
      <w:pPr>
        <w:rPr>
          <w:rFonts w:ascii="Times New Roman" w:eastAsia="Arial Unicode MS" w:hAnsi="Times New Roman"/>
          <w:color w:val="000000"/>
          <w:szCs w:val="20"/>
        </w:rPr>
      </w:pPr>
    </w:p>
    <w:p w14:paraId="139EABD9" w14:textId="77777777" w:rsidR="000A5A99" w:rsidRPr="00E16672" w:rsidRDefault="000A5A99" w:rsidP="000A5A99">
      <w:pPr>
        <w:jc w:val="center"/>
        <w:rPr>
          <w:rFonts w:ascii="Times New Roman" w:eastAsia="Arial Unicode MS" w:hAnsi="Times New Roman"/>
          <w:b/>
          <w:bCs/>
          <w:color w:val="000000"/>
          <w:szCs w:val="20"/>
          <w:lang w:val="uk-UA"/>
        </w:rPr>
      </w:pPr>
      <w:r w:rsidRPr="00E16672">
        <w:rPr>
          <w:rFonts w:ascii="Times New Roman" w:eastAsia="Arial Unicode MS" w:hAnsi="Times New Roman"/>
          <w:b/>
          <w:bCs/>
          <w:color w:val="000000"/>
          <w:szCs w:val="20"/>
          <w:lang w:val="uk-UA"/>
        </w:rPr>
        <w:t>7. ФОРС-МАЖОР.</w:t>
      </w:r>
    </w:p>
    <w:p w14:paraId="4933652B" w14:textId="77777777" w:rsidR="000A5A99" w:rsidRPr="00E16672" w:rsidRDefault="000A5A99" w:rsidP="000A5A99">
      <w:pPr>
        <w:jc w:val="center"/>
        <w:rPr>
          <w:rFonts w:ascii="Times New Roman" w:eastAsia="Arial Unicode MS" w:hAnsi="Times New Roman"/>
          <w:b/>
          <w:bCs/>
          <w:color w:val="000000"/>
          <w:szCs w:val="20"/>
          <w:lang w:val="uk-UA"/>
        </w:rPr>
      </w:pPr>
    </w:p>
    <w:p w14:paraId="53BD0B72" w14:textId="77777777" w:rsidR="000A5A99" w:rsidRPr="00E16672" w:rsidRDefault="000A5A99" w:rsidP="000A5A99">
      <w:pPr>
        <w:rPr>
          <w:rFonts w:ascii="Times New Roman" w:eastAsia="Arial Unicode MS" w:hAnsi="Times New Roman"/>
          <w:color w:val="000000"/>
          <w:szCs w:val="20"/>
          <w:lang w:val="uk-UA"/>
        </w:rPr>
      </w:pPr>
      <w:r w:rsidRPr="00E16672">
        <w:rPr>
          <w:rFonts w:ascii="Times New Roman" w:eastAsia="Arial Unicode MS" w:hAnsi="Times New Roman"/>
          <w:color w:val="000000"/>
          <w:szCs w:val="20"/>
          <w:lang w:val="uk-UA"/>
        </w:rPr>
        <w:t>7.1. Сторони звільняються від відповідальності за часткове або повне невиконання зобов’язань по цьому Договору (див.п.7.4.), якщо це невиконання унеможливив вплив обставин непереборної сили, тобто надзвичайних і невідворотних за даних умов подій: стихійного лиха, аварії, пожежі, вихід із ладу мереж зв’язку та системи електропостачання, масових порушень правопорядку, страйків, військових дій, протиправних дій третіх осіб (крім дій працівників Сторони) чи інших обставин, що виникли після підписання Договору та не залежать від волевиявлення Сторін. Не є непереборною силою недодержання своїх обов’язків іншими контрагентами однієї зі Сторін чи відсутність у Сторони достатніх коштів.</w:t>
      </w:r>
    </w:p>
    <w:p w14:paraId="166CF2AD" w14:textId="77777777" w:rsidR="000A5A99" w:rsidRPr="00E16672" w:rsidRDefault="000A5A99" w:rsidP="000A5A99">
      <w:pPr>
        <w:rPr>
          <w:rFonts w:ascii="Times New Roman" w:eastAsia="Arial Unicode MS" w:hAnsi="Times New Roman"/>
          <w:color w:val="000000"/>
          <w:szCs w:val="20"/>
          <w:lang w:val="uk-UA"/>
        </w:rPr>
      </w:pPr>
      <w:r w:rsidRPr="00E16672">
        <w:rPr>
          <w:rFonts w:ascii="Times New Roman" w:eastAsia="Arial Unicode MS" w:hAnsi="Times New Roman"/>
          <w:color w:val="000000"/>
          <w:szCs w:val="20"/>
          <w:lang w:val="uk-UA"/>
        </w:rPr>
        <w:t>7.2. У випадку виникнення обставин непереборної сили термін виконання Сторонами обов`язків по цьому Договору відкладається на термін, протягом якого діють такі обставини та їх наслідки.</w:t>
      </w:r>
    </w:p>
    <w:p w14:paraId="6CA69DA7" w14:textId="77777777" w:rsidR="000A5A99" w:rsidRPr="00E16672" w:rsidRDefault="000A5A99" w:rsidP="000A5A99">
      <w:pPr>
        <w:rPr>
          <w:rFonts w:ascii="Times New Roman" w:eastAsia="Arial Unicode MS" w:hAnsi="Times New Roman"/>
          <w:color w:val="000000"/>
          <w:szCs w:val="20"/>
          <w:lang w:val="uk-UA"/>
        </w:rPr>
      </w:pPr>
      <w:r w:rsidRPr="00E16672">
        <w:rPr>
          <w:rFonts w:ascii="Times New Roman" w:eastAsia="Arial Unicode MS" w:hAnsi="Times New Roman"/>
          <w:color w:val="000000"/>
          <w:szCs w:val="20"/>
          <w:lang w:val="uk-UA"/>
        </w:rPr>
        <w:t xml:space="preserve">7.3. Сторони зобов`язуються після настання форс-мажорних обставин вжити всі заходи для ліквідації наслідків та виконання умов Договору. </w:t>
      </w:r>
    </w:p>
    <w:p w14:paraId="4EFB0275" w14:textId="77777777" w:rsidR="000A5A99" w:rsidRPr="00E16672" w:rsidRDefault="000A5A99" w:rsidP="000A5A99">
      <w:pPr>
        <w:pStyle w:val="210"/>
        <w:snapToGrid w:val="0"/>
        <w:ind w:firstLine="540"/>
        <w:rPr>
          <w:rFonts w:ascii="Times New Roman" w:eastAsia="Arial Unicode MS" w:hAnsi="Times New Roman"/>
          <w:color w:val="000000"/>
          <w:sz w:val="20"/>
          <w:szCs w:val="20"/>
        </w:rPr>
      </w:pPr>
      <w:r w:rsidRPr="00E16672">
        <w:rPr>
          <w:rFonts w:ascii="Times New Roman" w:eastAsia="Arial Unicode MS" w:hAnsi="Times New Roman"/>
          <w:color w:val="000000"/>
          <w:sz w:val="20"/>
          <w:szCs w:val="20"/>
        </w:rPr>
        <w:t xml:space="preserve">7.4. Кожна Сторона зобов’язана документально підтвердити факт виникнення Форс-мажорних обставин іншій стороні протягом </w:t>
      </w:r>
      <w:r w:rsidRPr="00E16672">
        <w:rPr>
          <w:rFonts w:ascii="Times New Roman" w:eastAsia="Arial Unicode MS" w:hAnsi="Times New Roman"/>
          <w:i/>
          <w:iCs/>
          <w:color w:val="000000"/>
          <w:sz w:val="20"/>
          <w:szCs w:val="20"/>
        </w:rPr>
        <w:t>трьох</w:t>
      </w:r>
      <w:r w:rsidRPr="00E16672">
        <w:rPr>
          <w:rFonts w:ascii="Times New Roman" w:eastAsia="Arial Unicode MS" w:hAnsi="Times New Roman"/>
          <w:color w:val="000000"/>
          <w:sz w:val="20"/>
          <w:szCs w:val="20"/>
        </w:rPr>
        <w:t xml:space="preserve"> днів після їх виникнення. </w:t>
      </w:r>
    </w:p>
    <w:p w14:paraId="0E9A26D6" w14:textId="77777777" w:rsidR="000A5A99" w:rsidRPr="00E16672" w:rsidRDefault="000A5A99" w:rsidP="000A5A99">
      <w:pPr>
        <w:ind w:firstLine="540"/>
        <w:rPr>
          <w:rFonts w:ascii="Times New Roman" w:eastAsia="Arial Unicode MS" w:hAnsi="Times New Roman"/>
          <w:color w:val="000000"/>
          <w:szCs w:val="20"/>
          <w:lang w:val="uk-UA"/>
        </w:rPr>
      </w:pPr>
      <w:r w:rsidRPr="00E16672">
        <w:rPr>
          <w:rFonts w:ascii="Times New Roman" w:eastAsia="Arial Unicode MS" w:hAnsi="Times New Roman"/>
          <w:color w:val="000000"/>
          <w:szCs w:val="20"/>
          <w:lang w:val="uk-UA"/>
        </w:rPr>
        <w:t>7.5. Форс-мажорна ситуація між Сторонами розглядається тільки за умови сповіщення протилежної Сторони в письмовій формі із зазначенням обставин, що виникли.</w:t>
      </w:r>
    </w:p>
    <w:p w14:paraId="4AD09B89" w14:textId="77777777" w:rsidR="000A5A99" w:rsidRPr="00E16672" w:rsidRDefault="000A5A99" w:rsidP="000A5A99">
      <w:pPr>
        <w:rPr>
          <w:rFonts w:ascii="Times New Roman" w:eastAsia="Arial Unicode MS" w:hAnsi="Times New Roman"/>
          <w:color w:val="000000"/>
          <w:szCs w:val="20"/>
          <w:lang w:val="uk-UA"/>
        </w:rPr>
      </w:pPr>
    </w:p>
    <w:p w14:paraId="3FEBAEA9" w14:textId="77777777" w:rsidR="000A5A99" w:rsidRPr="00E16672" w:rsidRDefault="000A5A99" w:rsidP="000A5A99">
      <w:pPr>
        <w:jc w:val="center"/>
        <w:rPr>
          <w:rFonts w:ascii="Times New Roman" w:eastAsia="Arial Unicode MS" w:hAnsi="Times New Roman"/>
          <w:b/>
          <w:bCs/>
          <w:color w:val="000000"/>
          <w:szCs w:val="20"/>
          <w:lang w:val="uk-UA"/>
        </w:rPr>
      </w:pPr>
      <w:r w:rsidRPr="00E16672">
        <w:rPr>
          <w:rFonts w:ascii="Times New Roman" w:eastAsia="Arial Unicode MS" w:hAnsi="Times New Roman"/>
          <w:b/>
          <w:bCs/>
          <w:color w:val="000000"/>
          <w:szCs w:val="20"/>
          <w:lang w:val="uk-UA"/>
        </w:rPr>
        <w:t xml:space="preserve">8. </w:t>
      </w:r>
      <w:r w:rsidRPr="00E16672">
        <w:rPr>
          <w:rStyle w:val="a4"/>
          <w:rFonts w:ascii="Times New Roman" w:eastAsia="Arial Unicode MS" w:hAnsi="Times New Roman"/>
          <w:b/>
          <w:bCs/>
          <w:i w:val="0"/>
          <w:iCs w:val="0"/>
          <w:color w:val="000000"/>
          <w:szCs w:val="20"/>
          <w:lang w:val="uk-UA"/>
        </w:rPr>
        <w:t xml:space="preserve">УМОВИ РОЗІРВАННЯ ДОГОВОРУ ТА ЗАКРИТТЯ РАХУНКІВ </w:t>
      </w:r>
      <w:r w:rsidR="00C22309" w:rsidRPr="00E16672">
        <w:rPr>
          <w:rStyle w:val="a4"/>
          <w:rFonts w:ascii="Times New Roman" w:eastAsia="Arial Unicode MS" w:hAnsi="Times New Roman"/>
          <w:b/>
          <w:bCs/>
          <w:i w:val="0"/>
          <w:iCs w:val="0"/>
          <w:color w:val="000000"/>
          <w:szCs w:val="20"/>
          <w:lang w:val="uk-UA"/>
        </w:rPr>
        <w:t>В ЦІН</w:t>
      </w:r>
      <w:r w:rsidRPr="00E16672">
        <w:rPr>
          <w:rStyle w:val="a4"/>
          <w:rFonts w:ascii="Times New Roman" w:eastAsia="Arial Unicode MS" w:hAnsi="Times New Roman"/>
          <w:b/>
          <w:bCs/>
          <w:i w:val="0"/>
          <w:iCs w:val="0"/>
          <w:color w:val="000000"/>
          <w:szCs w:val="20"/>
          <w:lang w:val="uk-UA"/>
        </w:rPr>
        <w:t>НИХ ПАПЕРАХ ВЛАСНИКІВ</w:t>
      </w:r>
      <w:r w:rsidRPr="00E16672">
        <w:rPr>
          <w:rFonts w:ascii="Times New Roman" w:eastAsia="Arial Unicode MS" w:hAnsi="Times New Roman"/>
          <w:b/>
          <w:bCs/>
          <w:color w:val="000000"/>
          <w:szCs w:val="20"/>
          <w:lang w:val="uk-UA"/>
        </w:rPr>
        <w:t xml:space="preserve"> </w:t>
      </w:r>
    </w:p>
    <w:p w14:paraId="4F9865B5" w14:textId="77777777" w:rsidR="000A5A99" w:rsidRPr="00E16672" w:rsidRDefault="000A5A99" w:rsidP="000A5A99">
      <w:pPr>
        <w:rPr>
          <w:rFonts w:ascii="Times New Roman" w:eastAsia="Arial Unicode MS" w:hAnsi="Times New Roman"/>
          <w:szCs w:val="20"/>
        </w:rPr>
      </w:pPr>
      <w:r w:rsidRPr="00E16672">
        <w:rPr>
          <w:rFonts w:ascii="Times New Roman" w:eastAsia="Arial Unicode MS" w:hAnsi="Times New Roman"/>
          <w:color w:val="000000"/>
          <w:szCs w:val="20"/>
          <w:lang w:val="uk-UA"/>
        </w:rPr>
        <w:lastRenderedPageBreak/>
        <w:t xml:space="preserve">8.1 </w:t>
      </w:r>
      <w:proofErr w:type="spellStart"/>
      <w:r w:rsidRPr="00E16672">
        <w:rPr>
          <w:rFonts w:ascii="Times New Roman" w:eastAsia="Arial Unicode MS" w:hAnsi="Times New Roman"/>
          <w:szCs w:val="20"/>
        </w:rPr>
        <w:t>Договір</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може</w:t>
      </w:r>
      <w:proofErr w:type="spellEnd"/>
      <w:r w:rsidRPr="00E16672">
        <w:rPr>
          <w:rFonts w:ascii="Times New Roman" w:eastAsia="Arial Unicode MS" w:hAnsi="Times New Roman"/>
          <w:szCs w:val="20"/>
        </w:rPr>
        <w:t xml:space="preserve"> бути </w:t>
      </w:r>
      <w:proofErr w:type="spellStart"/>
      <w:r w:rsidRPr="00E16672">
        <w:rPr>
          <w:rFonts w:ascii="Times New Roman" w:eastAsia="Arial Unicode MS" w:hAnsi="Times New Roman"/>
          <w:szCs w:val="20"/>
        </w:rPr>
        <w:t>розірваний</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тільки</w:t>
      </w:r>
      <w:proofErr w:type="spellEnd"/>
      <w:r w:rsidRPr="00E16672">
        <w:rPr>
          <w:rFonts w:ascii="Times New Roman" w:eastAsia="Arial Unicode MS" w:hAnsi="Times New Roman"/>
          <w:szCs w:val="20"/>
        </w:rPr>
        <w:t xml:space="preserve"> за </w:t>
      </w:r>
      <w:proofErr w:type="spellStart"/>
      <w:r w:rsidRPr="00E16672">
        <w:rPr>
          <w:rFonts w:ascii="Times New Roman" w:eastAsia="Arial Unicode MS" w:hAnsi="Times New Roman"/>
          <w:szCs w:val="20"/>
        </w:rPr>
        <w:t>умови</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повної</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сплати</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заборгованості</w:t>
      </w:r>
      <w:proofErr w:type="spellEnd"/>
      <w:r w:rsidRPr="00E16672">
        <w:rPr>
          <w:rFonts w:ascii="Times New Roman" w:eastAsia="Arial Unicode MS" w:hAnsi="Times New Roman"/>
          <w:szCs w:val="20"/>
        </w:rPr>
        <w:t xml:space="preserve"> за </w:t>
      </w:r>
      <w:proofErr w:type="spellStart"/>
      <w:r w:rsidRPr="00E16672">
        <w:rPr>
          <w:rFonts w:ascii="Times New Roman" w:eastAsia="Arial Unicode MS" w:hAnsi="Times New Roman"/>
          <w:szCs w:val="20"/>
        </w:rPr>
        <w:t>отримані</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послуги</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Депозитарної</w:t>
      </w:r>
      <w:proofErr w:type="spellEnd"/>
      <w:r w:rsidRPr="00E16672">
        <w:rPr>
          <w:rFonts w:ascii="Times New Roman" w:eastAsia="Arial Unicode MS" w:hAnsi="Times New Roman"/>
          <w:szCs w:val="20"/>
        </w:rPr>
        <w:t xml:space="preserve"> установи у </w:t>
      </w:r>
      <w:proofErr w:type="spellStart"/>
      <w:r w:rsidRPr="00E16672">
        <w:rPr>
          <w:rFonts w:ascii="Times New Roman" w:eastAsia="Arial Unicode MS" w:hAnsi="Times New Roman"/>
          <w:szCs w:val="20"/>
        </w:rPr>
        <w:t>наступних</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випадках</w:t>
      </w:r>
      <w:proofErr w:type="spellEnd"/>
      <w:r w:rsidRPr="00E16672">
        <w:rPr>
          <w:rFonts w:ascii="Times New Roman" w:eastAsia="Arial Unicode MS" w:hAnsi="Times New Roman"/>
          <w:szCs w:val="20"/>
        </w:rPr>
        <w:t>:</w:t>
      </w:r>
    </w:p>
    <w:p w14:paraId="2482A234" w14:textId="77777777" w:rsidR="000A5A99" w:rsidRPr="00E16672" w:rsidRDefault="000A5A99" w:rsidP="000A5A99">
      <w:pPr>
        <w:tabs>
          <w:tab w:val="left" w:pos="0"/>
          <w:tab w:val="left" w:pos="1080"/>
        </w:tabs>
        <w:ind w:firstLine="555"/>
        <w:rPr>
          <w:rFonts w:ascii="Times New Roman" w:eastAsia="Arial Unicode MS" w:hAnsi="Times New Roman"/>
          <w:color w:val="000000"/>
          <w:szCs w:val="20"/>
          <w:lang w:val="uk-UA"/>
        </w:rPr>
      </w:pPr>
      <w:r w:rsidRPr="00E16672">
        <w:rPr>
          <w:rFonts w:ascii="Times New Roman" w:eastAsia="Arial Unicode MS" w:hAnsi="Times New Roman"/>
          <w:color w:val="000000"/>
          <w:szCs w:val="20"/>
          <w:lang w:val="uk-UA"/>
        </w:rPr>
        <w:t>8.1.1. за рішенням суду на вимогу однієї із Сторін у разі істотного порушення договору другою Стороною;</w:t>
      </w:r>
    </w:p>
    <w:p w14:paraId="42956960" w14:textId="77777777" w:rsidR="000A5A99" w:rsidRPr="00E16672" w:rsidRDefault="000A5A99" w:rsidP="000A5A99">
      <w:pPr>
        <w:tabs>
          <w:tab w:val="left" w:pos="0"/>
          <w:tab w:val="left" w:pos="1080"/>
        </w:tabs>
        <w:ind w:firstLine="555"/>
        <w:rPr>
          <w:rFonts w:ascii="Times New Roman" w:eastAsia="Arial Unicode MS" w:hAnsi="Times New Roman"/>
          <w:color w:val="000000"/>
          <w:szCs w:val="20"/>
          <w:lang w:val="uk-UA"/>
        </w:rPr>
      </w:pPr>
      <w:r w:rsidRPr="00E16672">
        <w:rPr>
          <w:rFonts w:ascii="Times New Roman" w:eastAsia="Arial Unicode MS" w:hAnsi="Times New Roman"/>
          <w:color w:val="000000"/>
          <w:szCs w:val="20"/>
          <w:lang w:val="uk-UA"/>
        </w:rPr>
        <w:t xml:space="preserve">8.1.2. за згодою Сторін шляхом обміну листами на припинення дії цього Договору у термін, що не повинен перевищувати </w:t>
      </w:r>
      <w:r w:rsidR="000D0438">
        <w:rPr>
          <w:rFonts w:ascii="Times New Roman" w:eastAsia="Arial Unicode MS" w:hAnsi="Times New Roman"/>
          <w:color w:val="000000"/>
          <w:szCs w:val="20"/>
          <w:lang w:val="uk-UA"/>
        </w:rPr>
        <w:t>20 (</w:t>
      </w:r>
      <w:r w:rsidRPr="00E16672">
        <w:rPr>
          <w:rFonts w:ascii="Times New Roman" w:eastAsia="Arial Unicode MS" w:hAnsi="Times New Roman"/>
          <w:i/>
          <w:iCs/>
          <w:color w:val="000000"/>
          <w:szCs w:val="20"/>
          <w:lang w:val="uk-UA"/>
        </w:rPr>
        <w:t>двадцяти</w:t>
      </w:r>
      <w:r w:rsidR="000D0438">
        <w:rPr>
          <w:rFonts w:ascii="Times New Roman" w:eastAsia="Arial Unicode MS" w:hAnsi="Times New Roman"/>
          <w:i/>
          <w:iCs/>
          <w:color w:val="000000"/>
          <w:szCs w:val="20"/>
          <w:lang w:val="uk-UA"/>
        </w:rPr>
        <w:t>)</w:t>
      </w:r>
      <w:r w:rsidRPr="00E16672">
        <w:rPr>
          <w:rFonts w:ascii="Times New Roman" w:eastAsia="Arial Unicode MS" w:hAnsi="Times New Roman"/>
          <w:color w:val="000000"/>
          <w:szCs w:val="20"/>
          <w:lang w:val="uk-UA"/>
        </w:rPr>
        <w:t xml:space="preserve"> днів з дати отримання листів, або укладанням додаткової угоди з обов’язковим зазначенням терміну припинення дії цього Договору та депозитарної установи - правонаступника; </w:t>
      </w:r>
    </w:p>
    <w:p w14:paraId="78F86276" w14:textId="77777777" w:rsidR="000A5A99" w:rsidRPr="00E16672" w:rsidRDefault="000A5A99" w:rsidP="000A5A99">
      <w:pPr>
        <w:tabs>
          <w:tab w:val="left" w:pos="0"/>
          <w:tab w:val="left" w:pos="1080"/>
        </w:tabs>
        <w:ind w:firstLine="585"/>
        <w:rPr>
          <w:rFonts w:ascii="Times New Roman" w:eastAsia="Arial Unicode MS" w:hAnsi="Times New Roman"/>
          <w:color w:val="000000"/>
          <w:szCs w:val="20"/>
          <w:lang w:val="uk-UA"/>
        </w:rPr>
      </w:pPr>
      <w:r w:rsidRPr="00E16672">
        <w:rPr>
          <w:rFonts w:ascii="Times New Roman" w:eastAsia="Arial Unicode MS" w:hAnsi="Times New Roman"/>
          <w:color w:val="000000"/>
          <w:szCs w:val="20"/>
          <w:lang w:val="uk-UA"/>
        </w:rPr>
        <w:t>8.1.3. з ініціативи однієї із Сторін шляхом направлення повідомлення із зазначенням дати припинення дії Договору:</w:t>
      </w:r>
    </w:p>
    <w:p w14:paraId="6BE639DB" w14:textId="77777777" w:rsidR="000A5A99" w:rsidRPr="00E16672" w:rsidRDefault="000A5A99" w:rsidP="000A5A99">
      <w:pPr>
        <w:rPr>
          <w:rFonts w:ascii="Times New Roman" w:eastAsia="Arial Unicode MS" w:hAnsi="Times New Roman"/>
          <w:color w:val="000000"/>
          <w:szCs w:val="20"/>
          <w:lang w:val="uk-UA"/>
        </w:rPr>
      </w:pPr>
      <w:r w:rsidRPr="00E16672">
        <w:rPr>
          <w:rFonts w:ascii="Times New Roman" w:eastAsia="Arial Unicode MS" w:hAnsi="Times New Roman"/>
          <w:color w:val="000000"/>
          <w:szCs w:val="20"/>
          <w:lang w:val="uk-UA"/>
        </w:rPr>
        <w:t xml:space="preserve">8.1.3.1.- у разі систематичного невиконання іншою стороною умов цього Договору; </w:t>
      </w:r>
    </w:p>
    <w:p w14:paraId="7A468376" w14:textId="77777777" w:rsidR="000A5A99" w:rsidRPr="00E16672" w:rsidRDefault="000A5A99" w:rsidP="000A5A99">
      <w:pPr>
        <w:rPr>
          <w:rFonts w:ascii="Times New Roman" w:eastAsia="Arial Unicode MS" w:hAnsi="Times New Roman"/>
          <w:color w:val="000000"/>
          <w:szCs w:val="20"/>
          <w:lang w:val="uk-UA"/>
        </w:rPr>
      </w:pPr>
      <w:r w:rsidRPr="00E16672">
        <w:rPr>
          <w:rFonts w:ascii="Times New Roman" w:eastAsia="Arial Unicode MS" w:hAnsi="Times New Roman"/>
          <w:color w:val="000000"/>
          <w:szCs w:val="20"/>
          <w:lang w:val="uk-UA"/>
        </w:rPr>
        <w:t>8.1.3.2.- в зв’язку з ліквідацією Депозитарної установи;</w:t>
      </w:r>
    </w:p>
    <w:p w14:paraId="7E2E3E46" w14:textId="77777777" w:rsidR="000A5A99" w:rsidRPr="00E16672" w:rsidRDefault="000A5A99" w:rsidP="000A5A99">
      <w:pPr>
        <w:rPr>
          <w:rFonts w:ascii="Times New Roman" w:eastAsia="Arial Unicode MS" w:hAnsi="Times New Roman"/>
          <w:color w:val="000000"/>
          <w:szCs w:val="20"/>
          <w:lang w:val="uk-UA"/>
        </w:rPr>
      </w:pPr>
      <w:r w:rsidRPr="00E16672">
        <w:rPr>
          <w:rFonts w:ascii="Times New Roman" w:eastAsia="Arial Unicode MS" w:hAnsi="Times New Roman"/>
          <w:color w:val="000000"/>
          <w:szCs w:val="20"/>
          <w:lang w:val="uk-UA"/>
        </w:rPr>
        <w:t>8.1.3.3.- в зв’язку з анулюванням Ліцензії Депозитарної установи на здійснення депозитарної діяльності;</w:t>
      </w:r>
    </w:p>
    <w:p w14:paraId="4F17FFBC" w14:textId="77777777" w:rsidR="000A5A99" w:rsidRPr="00E16672" w:rsidRDefault="000A5A99" w:rsidP="000A5A99">
      <w:pPr>
        <w:rPr>
          <w:rFonts w:ascii="Times New Roman" w:eastAsia="Arial Unicode MS" w:hAnsi="Times New Roman"/>
          <w:color w:val="000000"/>
          <w:szCs w:val="20"/>
          <w:lang w:val="uk-UA"/>
        </w:rPr>
      </w:pPr>
      <w:r w:rsidRPr="00E16672">
        <w:rPr>
          <w:rFonts w:ascii="Times New Roman" w:eastAsia="Arial Unicode MS" w:hAnsi="Times New Roman"/>
          <w:color w:val="000000"/>
          <w:szCs w:val="20"/>
          <w:lang w:val="uk-UA"/>
        </w:rPr>
        <w:t>8.1.3.4.- інших випадках, передбачених чинним законодавством у порядку, передбаченому чинним законодавством.</w:t>
      </w:r>
    </w:p>
    <w:p w14:paraId="66BAB652" w14:textId="77777777" w:rsidR="000A5A99" w:rsidRPr="00E16672" w:rsidRDefault="000A5A99" w:rsidP="000A5A99">
      <w:pPr>
        <w:pStyle w:val="af1"/>
        <w:tabs>
          <w:tab w:val="clear" w:pos="959"/>
          <w:tab w:val="clear" w:pos="9590"/>
          <w:tab w:val="left" w:pos="567"/>
        </w:tabs>
        <w:ind w:right="-1"/>
        <w:rPr>
          <w:rFonts w:ascii="Times New Roman" w:eastAsia="Arial Unicode MS" w:hAnsi="Times New Roman" w:cs="Times New Roman"/>
          <w:color w:val="000000"/>
        </w:rPr>
      </w:pPr>
      <w:r w:rsidRPr="00E16672">
        <w:rPr>
          <w:rFonts w:ascii="Times New Roman" w:eastAsia="Arial Unicode MS" w:hAnsi="Times New Roman" w:cs="Times New Roman"/>
          <w:color w:val="000000"/>
          <w:lang w:val="uk-UA"/>
        </w:rPr>
        <w:t>8.2</w:t>
      </w:r>
      <w:r w:rsidR="00E357FB" w:rsidRPr="00E16672">
        <w:rPr>
          <w:rFonts w:ascii="Times New Roman" w:eastAsia="Arial Unicode MS" w:hAnsi="Times New Roman" w:cs="Times New Roman"/>
          <w:color w:val="000000"/>
          <w:lang w:val="uk-UA"/>
        </w:rPr>
        <w:t>.</w:t>
      </w:r>
      <w:r w:rsidRPr="00E16672">
        <w:rPr>
          <w:rFonts w:ascii="Times New Roman" w:eastAsia="Arial Unicode MS" w:hAnsi="Times New Roman" w:cs="Times New Roman"/>
          <w:color w:val="000000"/>
          <w:lang w:val="uk-UA"/>
        </w:rPr>
        <w:t xml:space="preserve"> </w:t>
      </w:r>
      <w:r w:rsidRPr="00E16672">
        <w:rPr>
          <w:rFonts w:ascii="Times New Roman" w:eastAsia="Arial Unicode MS" w:hAnsi="Times New Roman" w:cs="Times New Roman"/>
          <w:lang w:val="uk-UA"/>
        </w:rPr>
        <w:t xml:space="preserve">У випадках </w:t>
      </w:r>
      <w:r w:rsidRPr="00E16672">
        <w:rPr>
          <w:rFonts w:ascii="Times New Roman" w:eastAsia="Arial Unicode MS" w:hAnsi="Times New Roman" w:cs="Times New Roman"/>
          <w:color w:val="000000"/>
          <w:lang w:val="uk-UA"/>
        </w:rPr>
        <w:t xml:space="preserve">розірвання Договору, що обумовлені в п. 8.1 Депозитарна установа та Емітент зобов’язані здійснити всі необхідні дії щодо переведення належних власникам цінних паперів на рахунки </w:t>
      </w:r>
      <w:r w:rsidR="00C22309" w:rsidRPr="00E16672">
        <w:rPr>
          <w:rFonts w:ascii="Times New Roman" w:eastAsia="Arial Unicode MS" w:hAnsi="Times New Roman" w:cs="Times New Roman"/>
          <w:color w:val="000000"/>
          <w:lang w:val="uk-UA"/>
        </w:rPr>
        <w:t>в цін</w:t>
      </w:r>
      <w:r w:rsidRPr="00E16672">
        <w:rPr>
          <w:rFonts w:ascii="Times New Roman" w:eastAsia="Arial Unicode MS" w:hAnsi="Times New Roman" w:cs="Times New Roman"/>
          <w:color w:val="000000"/>
          <w:lang w:val="uk-UA"/>
        </w:rPr>
        <w:t xml:space="preserve">них паперах власників, що повинні бути відкриті в уповноваженого на зберігання або нової депозитарної установи, та дії щодо закриття рахунків </w:t>
      </w:r>
      <w:r w:rsidR="00C22309" w:rsidRPr="00E16672">
        <w:rPr>
          <w:rFonts w:ascii="Times New Roman" w:eastAsia="Arial Unicode MS" w:hAnsi="Times New Roman" w:cs="Times New Roman"/>
          <w:color w:val="000000"/>
          <w:lang w:val="uk-UA"/>
        </w:rPr>
        <w:t>в цін</w:t>
      </w:r>
      <w:r w:rsidRPr="00E16672">
        <w:rPr>
          <w:rFonts w:ascii="Times New Roman" w:eastAsia="Arial Unicode MS" w:hAnsi="Times New Roman" w:cs="Times New Roman"/>
          <w:color w:val="000000"/>
          <w:lang w:val="uk-UA"/>
        </w:rPr>
        <w:t xml:space="preserve">них паперах власників у відповідності з вимогами Положення про припинення </w:t>
      </w:r>
      <w:r w:rsidRPr="00E16672">
        <w:rPr>
          <w:rStyle w:val="rvts23"/>
          <w:rFonts w:ascii="Times New Roman" w:hAnsi="Times New Roman" w:cs="Times New Roman"/>
          <w:color w:val="000000"/>
          <w:lang w:val="uk-UA"/>
        </w:rPr>
        <w:t>депозитарною установою провадження професійної діяльності на фондовому ринку - депозитарної діяльності</w:t>
      </w:r>
      <w:r w:rsidRPr="00E16672">
        <w:rPr>
          <w:rFonts w:ascii="Times New Roman" w:eastAsia="Arial Unicode MS" w:hAnsi="Times New Roman" w:cs="Times New Roman"/>
          <w:color w:val="000000"/>
          <w:lang w:val="uk-UA"/>
        </w:rPr>
        <w:t xml:space="preserve">, Положення про порядок забезпечення існування іменних цінних паперів у бездокументарній формі та/або інших законодавчих актів. </w:t>
      </w:r>
      <w:proofErr w:type="spellStart"/>
      <w:r w:rsidRPr="00E16672">
        <w:rPr>
          <w:rFonts w:ascii="Times New Roman" w:hAnsi="Times New Roman" w:cs="Times New Roman"/>
          <w:color w:val="000000"/>
        </w:rPr>
        <w:t>Закриття</w:t>
      </w:r>
      <w:proofErr w:type="spellEnd"/>
      <w:r w:rsidRPr="00E16672">
        <w:rPr>
          <w:rFonts w:ascii="Times New Roman" w:hAnsi="Times New Roman" w:cs="Times New Roman"/>
          <w:color w:val="000000"/>
        </w:rPr>
        <w:t xml:space="preserve"> </w:t>
      </w:r>
      <w:proofErr w:type="spellStart"/>
      <w:r w:rsidRPr="00E16672">
        <w:rPr>
          <w:rFonts w:ascii="Times New Roman" w:hAnsi="Times New Roman" w:cs="Times New Roman"/>
          <w:color w:val="000000"/>
        </w:rPr>
        <w:t>рахунків</w:t>
      </w:r>
      <w:proofErr w:type="spellEnd"/>
      <w:r w:rsidRPr="00E16672">
        <w:rPr>
          <w:rFonts w:ascii="Times New Roman" w:hAnsi="Times New Roman" w:cs="Times New Roman"/>
          <w:color w:val="000000"/>
        </w:rPr>
        <w:t xml:space="preserve"> </w:t>
      </w:r>
      <w:r w:rsidR="00C22309" w:rsidRPr="00E16672">
        <w:rPr>
          <w:rFonts w:ascii="Times New Roman" w:hAnsi="Times New Roman" w:cs="Times New Roman"/>
          <w:color w:val="000000"/>
        </w:rPr>
        <w:t xml:space="preserve">в </w:t>
      </w:r>
      <w:proofErr w:type="spellStart"/>
      <w:r w:rsidR="00C22309" w:rsidRPr="00E16672">
        <w:rPr>
          <w:rFonts w:ascii="Times New Roman" w:hAnsi="Times New Roman" w:cs="Times New Roman"/>
          <w:color w:val="000000"/>
        </w:rPr>
        <w:t>цін</w:t>
      </w:r>
      <w:r w:rsidRPr="00E16672">
        <w:rPr>
          <w:rFonts w:ascii="Times New Roman" w:hAnsi="Times New Roman" w:cs="Times New Roman"/>
          <w:color w:val="000000"/>
        </w:rPr>
        <w:t>них</w:t>
      </w:r>
      <w:proofErr w:type="spellEnd"/>
      <w:r w:rsidRPr="00E16672">
        <w:rPr>
          <w:rFonts w:ascii="Times New Roman" w:hAnsi="Times New Roman" w:cs="Times New Roman"/>
          <w:color w:val="000000"/>
        </w:rPr>
        <w:t xml:space="preserve"> </w:t>
      </w:r>
      <w:proofErr w:type="spellStart"/>
      <w:r w:rsidRPr="00E16672">
        <w:rPr>
          <w:rFonts w:ascii="Times New Roman" w:hAnsi="Times New Roman" w:cs="Times New Roman"/>
          <w:color w:val="000000"/>
        </w:rPr>
        <w:t>паперах</w:t>
      </w:r>
      <w:proofErr w:type="spellEnd"/>
      <w:r w:rsidRPr="00E16672">
        <w:rPr>
          <w:rFonts w:ascii="Times New Roman" w:hAnsi="Times New Roman" w:cs="Times New Roman"/>
          <w:color w:val="000000"/>
        </w:rPr>
        <w:t xml:space="preserve"> </w:t>
      </w:r>
      <w:proofErr w:type="spellStart"/>
      <w:r w:rsidRPr="00E16672">
        <w:rPr>
          <w:rFonts w:ascii="Times New Roman" w:hAnsi="Times New Roman" w:cs="Times New Roman"/>
          <w:color w:val="000000"/>
        </w:rPr>
        <w:t>Власників</w:t>
      </w:r>
      <w:proofErr w:type="spellEnd"/>
      <w:r w:rsidRPr="00E16672">
        <w:rPr>
          <w:rFonts w:ascii="Times New Roman" w:hAnsi="Times New Roman" w:cs="Times New Roman"/>
          <w:color w:val="000000"/>
        </w:rPr>
        <w:t xml:space="preserve">, </w:t>
      </w:r>
      <w:proofErr w:type="spellStart"/>
      <w:r w:rsidRPr="00E16672">
        <w:rPr>
          <w:rFonts w:ascii="Times New Roman" w:hAnsi="Times New Roman" w:cs="Times New Roman"/>
          <w:color w:val="000000"/>
        </w:rPr>
        <w:t>що</w:t>
      </w:r>
      <w:proofErr w:type="spellEnd"/>
      <w:r w:rsidRPr="00E16672">
        <w:rPr>
          <w:rFonts w:ascii="Times New Roman" w:hAnsi="Times New Roman" w:cs="Times New Roman"/>
          <w:color w:val="000000"/>
        </w:rPr>
        <w:t xml:space="preserve"> </w:t>
      </w:r>
      <w:proofErr w:type="spellStart"/>
      <w:r w:rsidRPr="00E16672">
        <w:rPr>
          <w:rFonts w:ascii="Times New Roman" w:hAnsi="Times New Roman" w:cs="Times New Roman"/>
          <w:color w:val="000000"/>
        </w:rPr>
        <w:t>обслуговуються</w:t>
      </w:r>
      <w:proofErr w:type="spellEnd"/>
      <w:r w:rsidRPr="00E16672">
        <w:rPr>
          <w:rFonts w:ascii="Times New Roman" w:hAnsi="Times New Roman" w:cs="Times New Roman"/>
          <w:color w:val="000000"/>
        </w:rPr>
        <w:t xml:space="preserve"> Депозитарною </w:t>
      </w:r>
      <w:proofErr w:type="spellStart"/>
      <w:r w:rsidRPr="00E16672">
        <w:rPr>
          <w:rFonts w:ascii="Times New Roman" w:hAnsi="Times New Roman" w:cs="Times New Roman"/>
          <w:color w:val="000000"/>
        </w:rPr>
        <w:t>установою</w:t>
      </w:r>
      <w:proofErr w:type="spellEnd"/>
      <w:r w:rsidRPr="00E16672">
        <w:rPr>
          <w:rFonts w:ascii="Times New Roman" w:hAnsi="Times New Roman" w:cs="Times New Roman"/>
          <w:color w:val="000000"/>
        </w:rPr>
        <w:t xml:space="preserve"> на </w:t>
      </w:r>
      <w:proofErr w:type="spellStart"/>
      <w:r w:rsidRPr="00E16672">
        <w:rPr>
          <w:rFonts w:ascii="Times New Roman" w:hAnsi="Times New Roman" w:cs="Times New Roman"/>
          <w:color w:val="000000"/>
        </w:rPr>
        <w:t>підставі</w:t>
      </w:r>
      <w:proofErr w:type="spellEnd"/>
      <w:r w:rsidRPr="00E16672">
        <w:rPr>
          <w:rFonts w:ascii="Times New Roman" w:hAnsi="Times New Roman" w:cs="Times New Roman"/>
          <w:color w:val="000000"/>
        </w:rPr>
        <w:t xml:space="preserve"> </w:t>
      </w:r>
      <w:proofErr w:type="spellStart"/>
      <w:r w:rsidRPr="00E16672">
        <w:rPr>
          <w:rFonts w:ascii="Times New Roman" w:hAnsi="Times New Roman" w:cs="Times New Roman"/>
          <w:color w:val="000000"/>
        </w:rPr>
        <w:t>цього</w:t>
      </w:r>
      <w:proofErr w:type="spellEnd"/>
      <w:r w:rsidRPr="00E16672">
        <w:rPr>
          <w:rFonts w:ascii="Times New Roman" w:hAnsi="Times New Roman" w:cs="Times New Roman"/>
          <w:color w:val="000000"/>
        </w:rPr>
        <w:t xml:space="preserve"> Договору та на </w:t>
      </w:r>
      <w:proofErr w:type="spellStart"/>
      <w:r w:rsidRPr="00E16672">
        <w:rPr>
          <w:rFonts w:ascii="Times New Roman" w:hAnsi="Times New Roman" w:cs="Times New Roman"/>
          <w:color w:val="000000"/>
        </w:rPr>
        <w:t>яких</w:t>
      </w:r>
      <w:proofErr w:type="spellEnd"/>
      <w:r w:rsidRPr="00E16672">
        <w:rPr>
          <w:rFonts w:ascii="Times New Roman" w:hAnsi="Times New Roman" w:cs="Times New Roman"/>
          <w:color w:val="000000"/>
        </w:rPr>
        <w:t xml:space="preserve"> </w:t>
      </w:r>
      <w:proofErr w:type="spellStart"/>
      <w:r w:rsidRPr="00E16672">
        <w:rPr>
          <w:rFonts w:ascii="Times New Roman" w:hAnsi="Times New Roman" w:cs="Times New Roman"/>
          <w:color w:val="000000"/>
        </w:rPr>
        <w:t>відсутні</w:t>
      </w:r>
      <w:proofErr w:type="spellEnd"/>
      <w:r w:rsidRPr="00E16672">
        <w:rPr>
          <w:rFonts w:ascii="Times New Roman" w:hAnsi="Times New Roman" w:cs="Times New Roman"/>
          <w:color w:val="000000"/>
        </w:rPr>
        <w:t xml:space="preserve"> права на </w:t>
      </w:r>
      <w:proofErr w:type="spellStart"/>
      <w:r w:rsidRPr="00E16672">
        <w:rPr>
          <w:rFonts w:ascii="Times New Roman" w:hAnsi="Times New Roman" w:cs="Times New Roman"/>
          <w:color w:val="000000"/>
        </w:rPr>
        <w:t>цінні</w:t>
      </w:r>
      <w:proofErr w:type="spellEnd"/>
      <w:r w:rsidRPr="00E16672">
        <w:rPr>
          <w:rFonts w:ascii="Times New Roman" w:hAnsi="Times New Roman" w:cs="Times New Roman"/>
          <w:color w:val="000000"/>
        </w:rPr>
        <w:t xml:space="preserve"> </w:t>
      </w:r>
      <w:proofErr w:type="spellStart"/>
      <w:r w:rsidRPr="00E16672">
        <w:rPr>
          <w:rFonts w:ascii="Times New Roman" w:hAnsi="Times New Roman" w:cs="Times New Roman"/>
          <w:color w:val="000000"/>
        </w:rPr>
        <w:t>папери</w:t>
      </w:r>
      <w:proofErr w:type="spellEnd"/>
      <w:r w:rsidRPr="00E16672">
        <w:rPr>
          <w:rFonts w:ascii="Times New Roman" w:hAnsi="Times New Roman" w:cs="Times New Roman"/>
          <w:color w:val="000000"/>
        </w:rPr>
        <w:t xml:space="preserve">, у </w:t>
      </w:r>
      <w:proofErr w:type="spellStart"/>
      <w:r w:rsidRPr="00E16672">
        <w:rPr>
          <w:rFonts w:ascii="Times New Roman" w:hAnsi="Times New Roman" w:cs="Times New Roman"/>
          <w:color w:val="000000"/>
        </w:rPr>
        <w:t>випадку</w:t>
      </w:r>
      <w:proofErr w:type="spellEnd"/>
      <w:r w:rsidRPr="00E16672">
        <w:rPr>
          <w:rFonts w:ascii="Times New Roman" w:hAnsi="Times New Roman" w:cs="Times New Roman"/>
          <w:color w:val="000000"/>
        </w:rPr>
        <w:t xml:space="preserve"> </w:t>
      </w:r>
      <w:proofErr w:type="spellStart"/>
      <w:r w:rsidRPr="00E16672">
        <w:rPr>
          <w:rFonts w:ascii="Times New Roman" w:hAnsi="Times New Roman" w:cs="Times New Roman"/>
          <w:color w:val="000000"/>
        </w:rPr>
        <w:t>розірвання</w:t>
      </w:r>
      <w:proofErr w:type="spellEnd"/>
      <w:r w:rsidRPr="00E16672">
        <w:rPr>
          <w:rFonts w:ascii="Times New Roman" w:hAnsi="Times New Roman" w:cs="Times New Roman"/>
          <w:color w:val="000000"/>
        </w:rPr>
        <w:t xml:space="preserve"> Договору </w:t>
      </w:r>
      <w:proofErr w:type="spellStart"/>
      <w:r w:rsidRPr="00E16672">
        <w:rPr>
          <w:rFonts w:ascii="Times New Roman" w:hAnsi="Times New Roman" w:cs="Times New Roman"/>
          <w:color w:val="000000"/>
        </w:rPr>
        <w:t>здійснюється</w:t>
      </w:r>
      <w:proofErr w:type="spellEnd"/>
      <w:r w:rsidRPr="00E16672">
        <w:rPr>
          <w:rFonts w:ascii="Times New Roman" w:hAnsi="Times New Roman" w:cs="Times New Roman"/>
          <w:color w:val="000000"/>
        </w:rPr>
        <w:t xml:space="preserve"> Депозитарною </w:t>
      </w:r>
      <w:proofErr w:type="spellStart"/>
      <w:r w:rsidRPr="00E16672">
        <w:rPr>
          <w:rFonts w:ascii="Times New Roman" w:hAnsi="Times New Roman" w:cs="Times New Roman"/>
          <w:color w:val="000000"/>
        </w:rPr>
        <w:t>установою</w:t>
      </w:r>
      <w:proofErr w:type="spellEnd"/>
      <w:r w:rsidRPr="00E16672">
        <w:rPr>
          <w:rFonts w:ascii="Times New Roman" w:hAnsi="Times New Roman" w:cs="Times New Roman"/>
          <w:color w:val="000000"/>
        </w:rPr>
        <w:t xml:space="preserve"> </w:t>
      </w:r>
      <w:proofErr w:type="gramStart"/>
      <w:r w:rsidRPr="00E16672">
        <w:rPr>
          <w:rFonts w:ascii="Times New Roman" w:hAnsi="Times New Roman" w:cs="Times New Roman"/>
          <w:color w:val="000000"/>
        </w:rPr>
        <w:t>у порядку</w:t>
      </w:r>
      <w:proofErr w:type="gramEnd"/>
      <w:r w:rsidRPr="00E16672">
        <w:rPr>
          <w:rFonts w:ascii="Times New Roman" w:hAnsi="Times New Roman" w:cs="Times New Roman"/>
          <w:color w:val="000000"/>
        </w:rPr>
        <w:t xml:space="preserve">, </w:t>
      </w:r>
      <w:proofErr w:type="spellStart"/>
      <w:r w:rsidRPr="00E16672">
        <w:rPr>
          <w:rFonts w:ascii="Times New Roman" w:hAnsi="Times New Roman" w:cs="Times New Roman"/>
          <w:color w:val="000000"/>
        </w:rPr>
        <w:t>передбаченому</w:t>
      </w:r>
      <w:proofErr w:type="spellEnd"/>
      <w:r w:rsidRPr="00E16672">
        <w:rPr>
          <w:rFonts w:ascii="Times New Roman" w:hAnsi="Times New Roman" w:cs="Times New Roman"/>
          <w:color w:val="000000"/>
        </w:rPr>
        <w:t xml:space="preserve"> </w:t>
      </w:r>
      <w:proofErr w:type="spellStart"/>
      <w:r w:rsidRPr="00E16672">
        <w:rPr>
          <w:rFonts w:ascii="Times New Roman" w:hAnsi="Times New Roman" w:cs="Times New Roman"/>
          <w:color w:val="000000"/>
        </w:rPr>
        <w:t>внутрішніми</w:t>
      </w:r>
      <w:proofErr w:type="spellEnd"/>
      <w:r w:rsidRPr="00E16672">
        <w:rPr>
          <w:rFonts w:ascii="Times New Roman" w:hAnsi="Times New Roman" w:cs="Times New Roman"/>
          <w:color w:val="000000"/>
        </w:rPr>
        <w:t xml:space="preserve"> документами </w:t>
      </w:r>
      <w:proofErr w:type="spellStart"/>
      <w:r w:rsidRPr="00E16672">
        <w:rPr>
          <w:rFonts w:ascii="Times New Roman" w:hAnsi="Times New Roman" w:cs="Times New Roman"/>
          <w:color w:val="000000"/>
        </w:rPr>
        <w:t>Депозитарної</w:t>
      </w:r>
      <w:proofErr w:type="spellEnd"/>
      <w:r w:rsidRPr="00E16672">
        <w:rPr>
          <w:rFonts w:ascii="Times New Roman" w:hAnsi="Times New Roman" w:cs="Times New Roman"/>
          <w:color w:val="000000"/>
        </w:rPr>
        <w:t xml:space="preserve"> установи та </w:t>
      </w:r>
      <w:proofErr w:type="spellStart"/>
      <w:r w:rsidRPr="00E16672">
        <w:rPr>
          <w:rFonts w:ascii="Times New Roman" w:hAnsi="Times New Roman" w:cs="Times New Roman"/>
          <w:color w:val="000000"/>
        </w:rPr>
        <w:t>законодавством</w:t>
      </w:r>
      <w:proofErr w:type="spellEnd"/>
      <w:r w:rsidRPr="00E16672">
        <w:rPr>
          <w:rFonts w:ascii="Times New Roman" w:hAnsi="Times New Roman" w:cs="Times New Roman"/>
          <w:color w:val="000000"/>
        </w:rPr>
        <w:t>.</w:t>
      </w:r>
    </w:p>
    <w:p w14:paraId="23F15EA1" w14:textId="77777777" w:rsidR="000A5A99" w:rsidRPr="00E16672" w:rsidRDefault="000A5A99" w:rsidP="000A5A99">
      <w:pPr>
        <w:ind w:left="15"/>
        <w:rPr>
          <w:rFonts w:ascii="Times New Roman" w:hAnsi="Times New Roman"/>
          <w:color w:val="000000"/>
          <w:szCs w:val="20"/>
        </w:rPr>
      </w:pPr>
      <w:proofErr w:type="spellStart"/>
      <w:r w:rsidRPr="00E16672">
        <w:rPr>
          <w:rFonts w:ascii="Times New Roman" w:hAnsi="Times New Roman"/>
          <w:color w:val="000000"/>
          <w:szCs w:val="20"/>
        </w:rPr>
        <w:t>Повідомлення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Емітента</w:t>
      </w:r>
      <w:proofErr w:type="spellEnd"/>
      <w:r w:rsidRPr="00E16672">
        <w:rPr>
          <w:rFonts w:ascii="Times New Roman" w:hAnsi="Times New Roman"/>
          <w:color w:val="000000"/>
          <w:szCs w:val="20"/>
        </w:rPr>
        <w:t xml:space="preserve"> про </w:t>
      </w:r>
      <w:proofErr w:type="spellStart"/>
      <w:r w:rsidRPr="00E16672">
        <w:rPr>
          <w:rFonts w:ascii="Times New Roman" w:hAnsi="Times New Roman"/>
          <w:color w:val="000000"/>
          <w:szCs w:val="20"/>
        </w:rPr>
        <w:t>розірвання</w:t>
      </w:r>
      <w:proofErr w:type="spellEnd"/>
      <w:r w:rsidRPr="00E16672">
        <w:rPr>
          <w:rFonts w:ascii="Times New Roman" w:hAnsi="Times New Roman"/>
          <w:color w:val="000000"/>
          <w:szCs w:val="20"/>
        </w:rPr>
        <w:t xml:space="preserve"> Договору в </w:t>
      </w:r>
      <w:proofErr w:type="spellStart"/>
      <w:r w:rsidRPr="00E16672">
        <w:rPr>
          <w:rFonts w:ascii="Times New Roman" w:hAnsi="Times New Roman"/>
          <w:color w:val="000000"/>
          <w:szCs w:val="20"/>
        </w:rPr>
        <w:t>односторонньому</w:t>
      </w:r>
      <w:proofErr w:type="spellEnd"/>
      <w:r w:rsidRPr="00E16672">
        <w:rPr>
          <w:rFonts w:ascii="Times New Roman" w:hAnsi="Times New Roman"/>
          <w:color w:val="000000"/>
          <w:szCs w:val="20"/>
        </w:rPr>
        <w:t xml:space="preserve"> порядку повинно </w:t>
      </w:r>
      <w:proofErr w:type="spellStart"/>
      <w:r w:rsidRPr="00E16672">
        <w:rPr>
          <w:rFonts w:ascii="Times New Roman" w:hAnsi="Times New Roman"/>
          <w:color w:val="000000"/>
          <w:szCs w:val="20"/>
        </w:rPr>
        <w:t>містити</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інформацію</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щодо</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реквізитів</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нової</w:t>
      </w:r>
      <w:proofErr w:type="spellEnd"/>
      <w:r w:rsidRPr="00E16672">
        <w:rPr>
          <w:rFonts w:ascii="Times New Roman" w:hAnsi="Times New Roman"/>
          <w:color w:val="000000"/>
          <w:szCs w:val="20"/>
        </w:rPr>
        <w:t xml:space="preserve"> </w:t>
      </w:r>
      <w:proofErr w:type="spellStart"/>
      <w:r w:rsidRPr="00E16672">
        <w:rPr>
          <w:rFonts w:ascii="Times New Roman" w:eastAsia="Arial Unicode MS" w:hAnsi="Times New Roman"/>
          <w:color w:val="000000"/>
          <w:szCs w:val="20"/>
        </w:rPr>
        <w:t>депозитарної</w:t>
      </w:r>
      <w:proofErr w:type="spellEnd"/>
      <w:r w:rsidRPr="00E16672">
        <w:rPr>
          <w:rFonts w:ascii="Times New Roman" w:eastAsia="Arial Unicode MS" w:hAnsi="Times New Roman"/>
          <w:color w:val="000000"/>
          <w:szCs w:val="20"/>
        </w:rPr>
        <w:t xml:space="preserve"> установи</w:t>
      </w:r>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повне</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найменування</w:t>
      </w:r>
      <w:proofErr w:type="spellEnd"/>
      <w:r w:rsidRPr="00E16672">
        <w:rPr>
          <w:rFonts w:ascii="Times New Roman" w:hAnsi="Times New Roman"/>
          <w:color w:val="000000"/>
          <w:szCs w:val="20"/>
        </w:rPr>
        <w:t xml:space="preserve">, код за ЄДРПОУ, </w:t>
      </w:r>
      <w:proofErr w:type="spellStart"/>
      <w:r w:rsidRPr="00E16672">
        <w:rPr>
          <w:rFonts w:ascii="Times New Roman" w:hAnsi="Times New Roman"/>
          <w:color w:val="000000"/>
          <w:szCs w:val="20"/>
        </w:rPr>
        <w:t>місцезнаходження</w:t>
      </w:r>
      <w:proofErr w:type="spellEnd"/>
      <w:r w:rsidRPr="00E16672">
        <w:rPr>
          <w:rFonts w:ascii="Times New Roman" w:hAnsi="Times New Roman"/>
          <w:color w:val="000000"/>
          <w:szCs w:val="20"/>
        </w:rPr>
        <w:t xml:space="preserve">), про </w:t>
      </w:r>
      <w:proofErr w:type="spellStart"/>
      <w:r w:rsidRPr="00E16672">
        <w:rPr>
          <w:rFonts w:ascii="Times New Roman" w:hAnsi="Times New Roman"/>
          <w:color w:val="000000"/>
          <w:szCs w:val="20"/>
        </w:rPr>
        <w:t>визначену</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його</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уповноваженим</w:t>
      </w:r>
      <w:proofErr w:type="spellEnd"/>
      <w:r w:rsidRPr="00E16672">
        <w:rPr>
          <w:rFonts w:ascii="Times New Roman" w:hAnsi="Times New Roman"/>
          <w:color w:val="000000"/>
          <w:szCs w:val="20"/>
        </w:rPr>
        <w:t xml:space="preserve"> органом дату </w:t>
      </w:r>
      <w:proofErr w:type="spellStart"/>
      <w:r w:rsidRPr="00E16672">
        <w:rPr>
          <w:rFonts w:ascii="Times New Roman" w:hAnsi="Times New Roman"/>
          <w:color w:val="000000"/>
          <w:szCs w:val="20"/>
        </w:rPr>
        <w:t>припинення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дії</w:t>
      </w:r>
      <w:proofErr w:type="spellEnd"/>
      <w:r w:rsidRPr="00E16672">
        <w:rPr>
          <w:rFonts w:ascii="Times New Roman" w:hAnsi="Times New Roman"/>
          <w:color w:val="000000"/>
          <w:szCs w:val="20"/>
        </w:rPr>
        <w:t xml:space="preserve"> договору та дату </w:t>
      </w:r>
      <w:proofErr w:type="spellStart"/>
      <w:r w:rsidRPr="00E16672">
        <w:rPr>
          <w:rFonts w:ascii="Times New Roman" w:hAnsi="Times New Roman"/>
          <w:color w:val="000000"/>
          <w:szCs w:val="20"/>
        </w:rPr>
        <w:t>обліку</w:t>
      </w:r>
      <w:proofErr w:type="spellEnd"/>
      <w:r w:rsidRPr="00E16672">
        <w:rPr>
          <w:rFonts w:ascii="Times New Roman" w:hAnsi="Times New Roman"/>
          <w:color w:val="000000"/>
          <w:szCs w:val="20"/>
        </w:rPr>
        <w:t xml:space="preserve">, </w:t>
      </w:r>
      <w:proofErr w:type="gramStart"/>
      <w:r w:rsidRPr="00E16672">
        <w:rPr>
          <w:rFonts w:ascii="Times New Roman" w:hAnsi="Times New Roman"/>
          <w:color w:val="000000"/>
          <w:szCs w:val="20"/>
        </w:rPr>
        <w:t>на яку</w:t>
      </w:r>
      <w:proofErr w:type="gramEnd"/>
      <w:r w:rsidRPr="00E16672">
        <w:rPr>
          <w:rFonts w:ascii="Times New Roman" w:hAnsi="Times New Roman"/>
          <w:color w:val="000000"/>
          <w:szCs w:val="20"/>
        </w:rPr>
        <w:t xml:space="preserve"> </w:t>
      </w:r>
      <w:proofErr w:type="spellStart"/>
      <w:r w:rsidRPr="00E16672">
        <w:rPr>
          <w:rFonts w:ascii="Times New Roman" w:eastAsia="Arial Unicode MS" w:hAnsi="Times New Roman"/>
          <w:color w:val="000000"/>
          <w:szCs w:val="20"/>
        </w:rPr>
        <w:t>Депозитарна</w:t>
      </w:r>
      <w:proofErr w:type="spellEnd"/>
      <w:r w:rsidRPr="00E16672">
        <w:rPr>
          <w:rFonts w:ascii="Times New Roman" w:eastAsia="Arial Unicode MS" w:hAnsi="Times New Roman"/>
          <w:color w:val="000000"/>
          <w:szCs w:val="20"/>
        </w:rPr>
        <w:t xml:space="preserve"> </w:t>
      </w:r>
      <w:proofErr w:type="spellStart"/>
      <w:r w:rsidRPr="00E16672">
        <w:rPr>
          <w:rFonts w:ascii="Times New Roman" w:eastAsia="Arial Unicode MS" w:hAnsi="Times New Roman"/>
          <w:color w:val="000000"/>
          <w:szCs w:val="20"/>
        </w:rPr>
        <w:t>установа</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має</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скласти</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обліковий</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реєстр</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акціонерів</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рахунки</w:t>
      </w:r>
      <w:proofErr w:type="spellEnd"/>
      <w:r w:rsidRPr="00E16672">
        <w:rPr>
          <w:rFonts w:ascii="Times New Roman" w:hAnsi="Times New Roman"/>
          <w:color w:val="000000"/>
          <w:szCs w:val="20"/>
        </w:rPr>
        <w:t xml:space="preserve"> в </w:t>
      </w:r>
      <w:proofErr w:type="spellStart"/>
      <w:r w:rsidRPr="00E16672">
        <w:rPr>
          <w:rFonts w:ascii="Times New Roman" w:hAnsi="Times New Roman"/>
          <w:color w:val="000000"/>
          <w:szCs w:val="20"/>
        </w:rPr>
        <w:t>цінних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паперах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яких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обслуговуються</w:t>
      </w:r>
      <w:proofErr w:type="spellEnd"/>
      <w:r w:rsidRPr="00E16672">
        <w:rPr>
          <w:rFonts w:ascii="Times New Roman" w:hAnsi="Times New Roman"/>
          <w:color w:val="000000"/>
          <w:szCs w:val="20"/>
        </w:rPr>
        <w:t xml:space="preserve"> нею </w:t>
      </w:r>
      <w:proofErr w:type="spellStart"/>
      <w:r w:rsidRPr="00E16672">
        <w:rPr>
          <w:rFonts w:ascii="Times New Roman" w:hAnsi="Times New Roman"/>
          <w:color w:val="000000"/>
          <w:szCs w:val="20"/>
        </w:rPr>
        <w:t>відповідно</w:t>
      </w:r>
      <w:proofErr w:type="spellEnd"/>
      <w:r w:rsidRPr="00E16672">
        <w:rPr>
          <w:rFonts w:ascii="Times New Roman" w:hAnsi="Times New Roman"/>
          <w:color w:val="000000"/>
          <w:szCs w:val="20"/>
        </w:rPr>
        <w:t xml:space="preserve"> до Договору з </w:t>
      </w:r>
      <w:proofErr w:type="spellStart"/>
      <w:r w:rsidRPr="00E16672">
        <w:rPr>
          <w:rFonts w:ascii="Times New Roman" w:hAnsi="Times New Roman"/>
          <w:color w:val="000000"/>
          <w:szCs w:val="20"/>
        </w:rPr>
        <w:t>Емітентом</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Депозитарна</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установа</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припиняє</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виконання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операцій</w:t>
      </w:r>
      <w:proofErr w:type="spellEnd"/>
      <w:r w:rsidRPr="00E16672">
        <w:rPr>
          <w:rFonts w:ascii="Times New Roman" w:hAnsi="Times New Roman"/>
          <w:color w:val="000000"/>
          <w:szCs w:val="20"/>
        </w:rPr>
        <w:t xml:space="preserve"> за </w:t>
      </w:r>
      <w:proofErr w:type="spellStart"/>
      <w:r w:rsidRPr="00E16672">
        <w:rPr>
          <w:rFonts w:ascii="Times New Roman" w:hAnsi="Times New Roman"/>
          <w:color w:val="000000"/>
          <w:szCs w:val="20"/>
        </w:rPr>
        <w:t>рахунками</w:t>
      </w:r>
      <w:proofErr w:type="spellEnd"/>
      <w:r w:rsidRPr="00E16672">
        <w:rPr>
          <w:rFonts w:ascii="Times New Roman" w:hAnsi="Times New Roman"/>
          <w:color w:val="000000"/>
          <w:szCs w:val="20"/>
        </w:rPr>
        <w:t xml:space="preserve"> </w:t>
      </w:r>
      <w:r w:rsidR="00C22309" w:rsidRPr="00E16672">
        <w:rPr>
          <w:rFonts w:ascii="Times New Roman" w:hAnsi="Times New Roman"/>
          <w:color w:val="000000"/>
          <w:szCs w:val="20"/>
        </w:rPr>
        <w:t xml:space="preserve">в </w:t>
      </w:r>
      <w:proofErr w:type="spellStart"/>
      <w:r w:rsidR="00C22309" w:rsidRPr="00E16672">
        <w:rPr>
          <w:rFonts w:ascii="Times New Roman" w:hAnsi="Times New Roman"/>
          <w:color w:val="000000"/>
          <w:szCs w:val="20"/>
        </w:rPr>
        <w:t>цін</w:t>
      </w:r>
      <w:r w:rsidRPr="00E16672">
        <w:rPr>
          <w:rFonts w:ascii="Times New Roman" w:hAnsi="Times New Roman"/>
          <w:color w:val="000000"/>
          <w:szCs w:val="20"/>
        </w:rPr>
        <w:t>них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паперах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власників</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які</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обслуговуються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відповідно</w:t>
      </w:r>
      <w:proofErr w:type="spellEnd"/>
      <w:r w:rsidRPr="00E16672">
        <w:rPr>
          <w:rFonts w:ascii="Times New Roman" w:hAnsi="Times New Roman"/>
          <w:color w:val="000000"/>
          <w:szCs w:val="20"/>
        </w:rPr>
        <w:t xml:space="preserve"> </w:t>
      </w:r>
      <w:proofErr w:type="gramStart"/>
      <w:r w:rsidRPr="00E16672">
        <w:rPr>
          <w:rFonts w:ascii="Times New Roman" w:hAnsi="Times New Roman"/>
          <w:color w:val="000000"/>
          <w:szCs w:val="20"/>
        </w:rPr>
        <w:t>до  Договору</w:t>
      </w:r>
      <w:proofErr w:type="gramEnd"/>
      <w:r w:rsidRPr="00E16672">
        <w:rPr>
          <w:rFonts w:ascii="Times New Roman" w:hAnsi="Times New Roman"/>
          <w:color w:val="000000"/>
          <w:szCs w:val="20"/>
        </w:rPr>
        <w:t xml:space="preserve"> та </w:t>
      </w:r>
      <w:proofErr w:type="spellStart"/>
      <w:r w:rsidRPr="00E16672">
        <w:rPr>
          <w:rFonts w:ascii="Times New Roman" w:hAnsi="Times New Roman"/>
          <w:color w:val="000000"/>
          <w:szCs w:val="20"/>
        </w:rPr>
        <w:t>включені</w:t>
      </w:r>
      <w:proofErr w:type="spellEnd"/>
      <w:r w:rsidRPr="00E16672">
        <w:rPr>
          <w:rFonts w:ascii="Times New Roman" w:hAnsi="Times New Roman"/>
          <w:color w:val="000000"/>
          <w:szCs w:val="20"/>
        </w:rPr>
        <w:t xml:space="preserve"> до </w:t>
      </w:r>
      <w:proofErr w:type="spellStart"/>
      <w:r w:rsidRPr="00E16672">
        <w:rPr>
          <w:rFonts w:ascii="Times New Roman" w:hAnsi="Times New Roman"/>
          <w:color w:val="000000"/>
          <w:szCs w:val="20"/>
        </w:rPr>
        <w:t>облікового</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реєстру</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акціонерів</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після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дати</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обліку</w:t>
      </w:r>
      <w:proofErr w:type="spellEnd"/>
      <w:r w:rsidRPr="00E16672">
        <w:rPr>
          <w:rFonts w:ascii="Times New Roman" w:hAnsi="Times New Roman"/>
          <w:color w:val="000000"/>
          <w:szCs w:val="20"/>
        </w:rPr>
        <w:t>.</w:t>
      </w:r>
    </w:p>
    <w:p w14:paraId="7DC7FD1C" w14:textId="77777777" w:rsidR="000A5A99" w:rsidRPr="00E16672" w:rsidRDefault="000A5A99" w:rsidP="000A5A99">
      <w:pPr>
        <w:tabs>
          <w:tab w:val="left" w:pos="15"/>
          <w:tab w:val="left" w:pos="582"/>
          <w:tab w:val="left" w:pos="1933"/>
          <w:tab w:val="left" w:pos="2892"/>
          <w:tab w:val="left" w:pos="3851"/>
          <w:tab w:val="left" w:pos="4810"/>
          <w:tab w:val="left" w:pos="5769"/>
          <w:tab w:val="left" w:pos="6728"/>
          <w:tab w:val="left" w:pos="7687"/>
          <w:tab w:val="left" w:pos="8646"/>
        </w:tabs>
        <w:ind w:left="15"/>
        <w:rPr>
          <w:rFonts w:ascii="Times New Roman" w:eastAsia="Arial Unicode MS" w:hAnsi="Times New Roman"/>
          <w:szCs w:val="20"/>
          <w:lang w:val="uk-UA"/>
        </w:rPr>
      </w:pPr>
      <w:proofErr w:type="spellStart"/>
      <w:r w:rsidRPr="00E16672">
        <w:rPr>
          <w:rFonts w:ascii="Times New Roman" w:eastAsia="Arial Unicode MS" w:hAnsi="Times New Roman"/>
          <w:szCs w:val="20"/>
        </w:rPr>
        <w:t>Повідомлення</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Депозитарної</w:t>
      </w:r>
      <w:proofErr w:type="spellEnd"/>
      <w:r w:rsidRPr="00E16672">
        <w:rPr>
          <w:rFonts w:ascii="Times New Roman" w:eastAsia="Arial Unicode MS" w:hAnsi="Times New Roman"/>
          <w:szCs w:val="20"/>
        </w:rPr>
        <w:t xml:space="preserve"> установи про </w:t>
      </w:r>
      <w:proofErr w:type="spellStart"/>
      <w:r w:rsidRPr="00E16672">
        <w:rPr>
          <w:rFonts w:ascii="Times New Roman" w:eastAsia="Arial Unicode MS" w:hAnsi="Times New Roman"/>
          <w:szCs w:val="20"/>
        </w:rPr>
        <w:t>розірвання</w:t>
      </w:r>
      <w:proofErr w:type="spellEnd"/>
      <w:r w:rsidRPr="00E16672">
        <w:rPr>
          <w:rFonts w:ascii="Times New Roman" w:eastAsia="Arial Unicode MS" w:hAnsi="Times New Roman"/>
          <w:szCs w:val="20"/>
        </w:rPr>
        <w:t xml:space="preserve"> в </w:t>
      </w:r>
      <w:proofErr w:type="spellStart"/>
      <w:r w:rsidRPr="00E16672">
        <w:rPr>
          <w:rFonts w:ascii="Times New Roman" w:eastAsia="Arial Unicode MS" w:hAnsi="Times New Roman"/>
          <w:szCs w:val="20"/>
        </w:rPr>
        <w:t>односторонньому</w:t>
      </w:r>
      <w:proofErr w:type="spellEnd"/>
      <w:r w:rsidRPr="00E16672">
        <w:rPr>
          <w:rFonts w:ascii="Times New Roman" w:eastAsia="Arial Unicode MS" w:hAnsi="Times New Roman"/>
          <w:szCs w:val="20"/>
        </w:rPr>
        <w:t xml:space="preserve"> порядку Договору повинно </w:t>
      </w:r>
      <w:proofErr w:type="spellStart"/>
      <w:r w:rsidRPr="00E16672">
        <w:rPr>
          <w:rFonts w:ascii="Times New Roman" w:eastAsia="Arial Unicode MS" w:hAnsi="Times New Roman"/>
          <w:szCs w:val="20"/>
        </w:rPr>
        <w:t>містити</w:t>
      </w:r>
      <w:proofErr w:type="spellEnd"/>
      <w:r w:rsidRPr="00E16672">
        <w:rPr>
          <w:rFonts w:ascii="Times New Roman" w:eastAsia="Arial Unicode MS" w:hAnsi="Times New Roman"/>
          <w:szCs w:val="20"/>
        </w:rPr>
        <w:t xml:space="preserve"> дату </w:t>
      </w:r>
      <w:proofErr w:type="spellStart"/>
      <w:r w:rsidRPr="00E16672">
        <w:rPr>
          <w:rFonts w:ascii="Times New Roman" w:eastAsia="Arial Unicode MS" w:hAnsi="Times New Roman"/>
          <w:szCs w:val="20"/>
        </w:rPr>
        <w:t>припинення</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дії</w:t>
      </w:r>
      <w:proofErr w:type="spellEnd"/>
      <w:r w:rsidRPr="00E16672">
        <w:rPr>
          <w:rFonts w:ascii="Times New Roman" w:eastAsia="Arial Unicode MS" w:hAnsi="Times New Roman"/>
          <w:szCs w:val="20"/>
        </w:rPr>
        <w:t xml:space="preserve"> Договору. </w:t>
      </w:r>
    </w:p>
    <w:p w14:paraId="7C4604F8" w14:textId="77777777" w:rsidR="000A5A99" w:rsidRPr="00E16672" w:rsidRDefault="000A5A99" w:rsidP="000A5A99">
      <w:pPr>
        <w:tabs>
          <w:tab w:val="left" w:pos="15"/>
          <w:tab w:val="left" w:pos="582"/>
          <w:tab w:val="left" w:pos="1933"/>
          <w:tab w:val="left" w:pos="2892"/>
          <w:tab w:val="left" w:pos="3851"/>
          <w:tab w:val="left" w:pos="4810"/>
          <w:tab w:val="left" w:pos="5769"/>
          <w:tab w:val="left" w:pos="6728"/>
          <w:tab w:val="left" w:pos="7687"/>
          <w:tab w:val="left" w:pos="8646"/>
        </w:tabs>
        <w:ind w:left="15"/>
        <w:rPr>
          <w:rFonts w:ascii="Times New Roman" w:eastAsia="Arial Unicode MS" w:hAnsi="Times New Roman"/>
          <w:color w:val="000000"/>
          <w:szCs w:val="20"/>
        </w:rPr>
      </w:pPr>
      <w:proofErr w:type="spellStart"/>
      <w:r w:rsidRPr="00E16672">
        <w:rPr>
          <w:rFonts w:ascii="Times New Roman" w:eastAsia="Arial Unicode MS" w:hAnsi="Times New Roman"/>
          <w:color w:val="000000"/>
          <w:szCs w:val="20"/>
        </w:rPr>
        <w:t>Усі</w:t>
      </w:r>
      <w:proofErr w:type="spellEnd"/>
      <w:r w:rsidRPr="00E16672">
        <w:rPr>
          <w:rFonts w:ascii="Times New Roman" w:eastAsia="Arial Unicode MS" w:hAnsi="Times New Roman"/>
          <w:color w:val="000000"/>
          <w:szCs w:val="20"/>
        </w:rPr>
        <w:t xml:space="preserve"> </w:t>
      </w:r>
      <w:proofErr w:type="spellStart"/>
      <w:r w:rsidRPr="00E16672">
        <w:rPr>
          <w:rFonts w:ascii="Times New Roman" w:eastAsia="Arial Unicode MS" w:hAnsi="Times New Roman"/>
          <w:color w:val="000000"/>
          <w:szCs w:val="20"/>
        </w:rPr>
        <w:t>дії</w:t>
      </w:r>
      <w:proofErr w:type="spellEnd"/>
      <w:r w:rsidRPr="00E16672">
        <w:rPr>
          <w:rFonts w:ascii="Times New Roman" w:eastAsia="Arial Unicode MS" w:hAnsi="Times New Roman"/>
          <w:color w:val="000000"/>
          <w:szCs w:val="20"/>
        </w:rPr>
        <w:t xml:space="preserve"> </w:t>
      </w:r>
      <w:proofErr w:type="spellStart"/>
      <w:r w:rsidRPr="00E16672">
        <w:rPr>
          <w:rFonts w:ascii="Times New Roman" w:eastAsia="Arial Unicode MS" w:hAnsi="Times New Roman"/>
          <w:color w:val="000000"/>
          <w:szCs w:val="20"/>
        </w:rPr>
        <w:t>щодо</w:t>
      </w:r>
      <w:proofErr w:type="spellEnd"/>
      <w:r w:rsidRPr="00E16672">
        <w:rPr>
          <w:rFonts w:ascii="Times New Roman" w:eastAsia="Arial Unicode MS" w:hAnsi="Times New Roman"/>
          <w:color w:val="000000"/>
          <w:szCs w:val="20"/>
        </w:rPr>
        <w:t xml:space="preserve"> </w:t>
      </w:r>
      <w:proofErr w:type="spellStart"/>
      <w:r w:rsidRPr="00E16672">
        <w:rPr>
          <w:rFonts w:ascii="Times New Roman" w:eastAsia="Arial Unicode MS" w:hAnsi="Times New Roman"/>
          <w:color w:val="000000"/>
          <w:szCs w:val="20"/>
        </w:rPr>
        <w:t>передання</w:t>
      </w:r>
      <w:proofErr w:type="spellEnd"/>
      <w:r w:rsidRPr="00E16672">
        <w:rPr>
          <w:rFonts w:ascii="Times New Roman" w:eastAsia="Arial Unicode MS" w:hAnsi="Times New Roman"/>
          <w:color w:val="000000"/>
          <w:szCs w:val="20"/>
        </w:rPr>
        <w:t xml:space="preserve"> </w:t>
      </w:r>
      <w:proofErr w:type="spellStart"/>
      <w:r w:rsidRPr="00E16672">
        <w:rPr>
          <w:rFonts w:ascii="Times New Roman" w:eastAsia="Arial Unicode MS" w:hAnsi="Times New Roman"/>
          <w:color w:val="000000"/>
          <w:szCs w:val="20"/>
        </w:rPr>
        <w:t>обслуговування</w:t>
      </w:r>
      <w:proofErr w:type="spellEnd"/>
      <w:r w:rsidRPr="00E16672">
        <w:rPr>
          <w:rFonts w:ascii="Times New Roman" w:eastAsia="Arial Unicode MS" w:hAnsi="Times New Roman"/>
          <w:color w:val="000000"/>
          <w:szCs w:val="20"/>
        </w:rPr>
        <w:t xml:space="preserve"> </w:t>
      </w:r>
      <w:proofErr w:type="spellStart"/>
      <w:r w:rsidRPr="00E16672">
        <w:rPr>
          <w:rFonts w:ascii="Times New Roman" w:eastAsia="Arial Unicode MS" w:hAnsi="Times New Roman"/>
          <w:color w:val="000000"/>
          <w:szCs w:val="20"/>
        </w:rPr>
        <w:t>рахунків</w:t>
      </w:r>
      <w:proofErr w:type="spellEnd"/>
      <w:r w:rsidRPr="00E16672">
        <w:rPr>
          <w:rFonts w:ascii="Times New Roman" w:eastAsia="Arial Unicode MS" w:hAnsi="Times New Roman"/>
          <w:color w:val="000000"/>
          <w:szCs w:val="20"/>
        </w:rPr>
        <w:t xml:space="preserve"> </w:t>
      </w:r>
      <w:r w:rsidR="00C22309" w:rsidRPr="00E16672">
        <w:rPr>
          <w:rFonts w:ascii="Times New Roman" w:eastAsia="Arial Unicode MS" w:hAnsi="Times New Roman"/>
          <w:color w:val="000000"/>
          <w:szCs w:val="20"/>
        </w:rPr>
        <w:t xml:space="preserve">в </w:t>
      </w:r>
      <w:proofErr w:type="spellStart"/>
      <w:r w:rsidR="00C22309" w:rsidRPr="00E16672">
        <w:rPr>
          <w:rFonts w:ascii="Times New Roman" w:eastAsia="Arial Unicode MS" w:hAnsi="Times New Roman"/>
          <w:color w:val="000000"/>
          <w:szCs w:val="20"/>
        </w:rPr>
        <w:t>цін</w:t>
      </w:r>
      <w:r w:rsidRPr="00E16672">
        <w:rPr>
          <w:rFonts w:ascii="Times New Roman" w:eastAsia="Arial Unicode MS" w:hAnsi="Times New Roman"/>
          <w:color w:val="000000"/>
          <w:szCs w:val="20"/>
        </w:rPr>
        <w:t>них</w:t>
      </w:r>
      <w:proofErr w:type="spellEnd"/>
      <w:r w:rsidRPr="00E16672">
        <w:rPr>
          <w:rFonts w:ascii="Times New Roman" w:eastAsia="Arial Unicode MS" w:hAnsi="Times New Roman"/>
          <w:color w:val="000000"/>
          <w:szCs w:val="20"/>
        </w:rPr>
        <w:t xml:space="preserve"> </w:t>
      </w:r>
      <w:proofErr w:type="spellStart"/>
      <w:r w:rsidRPr="00E16672">
        <w:rPr>
          <w:rFonts w:ascii="Times New Roman" w:eastAsia="Arial Unicode MS" w:hAnsi="Times New Roman"/>
          <w:color w:val="000000"/>
          <w:szCs w:val="20"/>
        </w:rPr>
        <w:t>паперах</w:t>
      </w:r>
      <w:proofErr w:type="spellEnd"/>
      <w:r w:rsidRPr="00E16672">
        <w:rPr>
          <w:rFonts w:ascii="Times New Roman" w:eastAsia="Arial Unicode MS" w:hAnsi="Times New Roman"/>
          <w:color w:val="000000"/>
          <w:szCs w:val="20"/>
        </w:rPr>
        <w:t xml:space="preserve"> </w:t>
      </w:r>
      <w:proofErr w:type="spellStart"/>
      <w:r w:rsidRPr="00E16672">
        <w:rPr>
          <w:rFonts w:ascii="Times New Roman" w:eastAsia="Arial Unicode MS" w:hAnsi="Times New Roman"/>
          <w:color w:val="000000"/>
          <w:szCs w:val="20"/>
        </w:rPr>
        <w:t>власників</w:t>
      </w:r>
      <w:proofErr w:type="spellEnd"/>
      <w:r w:rsidRPr="00E16672">
        <w:rPr>
          <w:rFonts w:ascii="Times New Roman" w:eastAsia="Arial Unicode MS" w:hAnsi="Times New Roman"/>
          <w:color w:val="000000"/>
          <w:szCs w:val="20"/>
        </w:rPr>
        <w:t xml:space="preserve"> </w:t>
      </w:r>
      <w:proofErr w:type="spellStart"/>
      <w:r w:rsidRPr="00E16672">
        <w:rPr>
          <w:rFonts w:ascii="Times New Roman" w:eastAsia="Arial Unicode MS" w:hAnsi="Times New Roman"/>
          <w:color w:val="000000"/>
          <w:szCs w:val="20"/>
        </w:rPr>
        <w:t>цінних</w:t>
      </w:r>
      <w:proofErr w:type="spellEnd"/>
      <w:r w:rsidRPr="00E16672">
        <w:rPr>
          <w:rFonts w:ascii="Times New Roman" w:eastAsia="Arial Unicode MS" w:hAnsi="Times New Roman"/>
          <w:color w:val="000000"/>
          <w:szCs w:val="20"/>
        </w:rPr>
        <w:t xml:space="preserve"> </w:t>
      </w:r>
      <w:proofErr w:type="spellStart"/>
      <w:r w:rsidRPr="00E16672">
        <w:rPr>
          <w:rFonts w:ascii="Times New Roman" w:eastAsia="Arial Unicode MS" w:hAnsi="Times New Roman"/>
          <w:color w:val="000000"/>
          <w:szCs w:val="20"/>
        </w:rPr>
        <w:t>паперів</w:t>
      </w:r>
      <w:proofErr w:type="spellEnd"/>
      <w:r w:rsidRPr="00E16672">
        <w:rPr>
          <w:rFonts w:ascii="Times New Roman" w:eastAsia="Arial Unicode MS" w:hAnsi="Times New Roman"/>
          <w:color w:val="000000"/>
          <w:szCs w:val="20"/>
        </w:rPr>
        <w:t xml:space="preserve"> </w:t>
      </w:r>
      <w:proofErr w:type="spellStart"/>
      <w:r w:rsidRPr="00E16672">
        <w:rPr>
          <w:rFonts w:ascii="Times New Roman" w:eastAsia="Arial Unicode MS" w:hAnsi="Times New Roman"/>
          <w:color w:val="000000"/>
          <w:szCs w:val="20"/>
        </w:rPr>
        <w:t>від</w:t>
      </w:r>
      <w:proofErr w:type="spellEnd"/>
      <w:r w:rsidRPr="00E16672">
        <w:rPr>
          <w:rFonts w:ascii="Times New Roman" w:eastAsia="Arial Unicode MS" w:hAnsi="Times New Roman"/>
          <w:color w:val="000000"/>
          <w:szCs w:val="20"/>
        </w:rPr>
        <w:t xml:space="preserve"> </w:t>
      </w:r>
      <w:proofErr w:type="spellStart"/>
      <w:r w:rsidRPr="00E16672">
        <w:rPr>
          <w:rFonts w:ascii="Times New Roman" w:eastAsia="Arial Unicode MS" w:hAnsi="Times New Roman"/>
          <w:color w:val="000000"/>
          <w:szCs w:val="20"/>
        </w:rPr>
        <w:t>Депозитарної</w:t>
      </w:r>
      <w:proofErr w:type="spellEnd"/>
      <w:r w:rsidRPr="00E16672">
        <w:rPr>
          <w:rFonts w:ascii="Times New Roman" w:eastAsia="Arial Unicode MS" w:hAnsi="Times New Roman"/>
          <w:color w:val="000000"/>
          <w:szCs w:val="20"/>
        </w:rPr>
        <w:t xml:space="preserve"> установи до </w:t>
      </w:r>
      <w:proofErr w:type="spellStart"/>
      <w:r w:rsidRPr="00E16672">
        <w:rPr>
          <w:rFonts w:ascii="Times New Roman" w:eastAsia="Arial Unicode MS" w:hAnsi="Times New Roman"/>
          <w:color w:val="000000"/>
          <w:szCs w:val="20"/>
        </w:rPr>
        <w:t>нової</w:t>
      </w:r>
      <w:proofErr w:type="spellEnd"/>
      <w:r w:rsidRPr="00E16672">
        <w:rPr>
          <w:rFonts w:ascii="Times New Roman" w:eastAsia="Arial Unicode MS" w:hAnsi="Times New Roman"/>
          <w:color w:val="000000"/>
          <w:szCs w:val="20"/>
        </w:rPr>
        <w:t xml:space="preserve"> </w:t>
      </w:r>
      <w:proofErr w:type="spellStart"/>
      <w:r w:rsidRPr="00E16672">
        <w:rPr>
          <w:rFonts w:ascii="Times New Roman" w:eastAsia="Arial Unicode MS" w:hAnsi="Times New Roman"/>
          <w:color w:val="000000"/>
          <w:szCs w:val="20"/>
        </w:rPr>
        <w:t>депозитарної</w:t>
      </w:r>
      <w:proofErr w:type="spellEnd"/>
      <w:r w:rsidRPr="00E16672">
        <w:rPr>
          <w:rFonts w:ascii="Times New Roman" w:eastAsia="Arial Unicode MS" w:hAnsi="Times New Roman"/>
          <w:color w:val="000000"/>
          <w:szCs w:val="20"/>
        </w:rPr>
        <w:t xml:space="preserve"> установи </w:t>
      </w:r>
      <w:proofErr w:type="spellStart"/>
      <w:r w:rsidRPr="00E16672">
        <w:rPr>
          <w:rFonts w:ascii="Times New Roman" w:eastAsia="Arial Unicode MS" w:hAnsi="Times New Roman"/>
          <w:color w:val="000000"/>
          <w:szCs w:val="20"/>
        </w:rPr>
        <w:t>мають</w:t>
      </w:r>
      <w:proofErr w:type="spellEnd"/>
      <w:r w:rsidRPr="00E16672">
        <w:rPr>
          <w:rFonts w:ascii="Times New Roman" w:eastAsia="Arial Unicode MS" w:hAnsi="Times New Roman"/>
          <w:color w:val="000000"/>
          <w:szCs w:val="20"/>
        </w:rPr>
        <w:t xml:space="preserve"> бути </w:t>
      </w:r>
      <w:proofErr w:type="spellStart"/>
      <w:r w:rsidRPr="00E16672">
        <w:rPr>
          <w:rFonts w:ascii="Times New Roman" w:eastAsia="Arial Unicode MS" w:hAnsi="Times New Roman"/>
          <w:color w:val="000000"/>
          <w:szCs w:val="20"/>
        </w:rPr>
        <w:t>завершені</w:t>
      </w:r>
      <w:proofErr w:type="spellEnd"/>
      <w:r w:rsidRPr="00E16672">
        <w:rPr>
          <w:rFonts w:ascii="Times New Roman" w:eastAsia="Arial Unicode MS" w:hAnsi="Times New Roman"/>
          <w:color w:val="000000"/>
          <w:szCs w:val="20"/>
        </w:rPr>
        <w:t xml:space="preserve"> до </w:t>
      </w:r>
      <w:proofErr w:type="spellStart"/>
      <w:r w:rsidRPr="00E16672">
        <w:rPr>
          <w:rFonts w:ascii="Times New Roman" w:eastAsia="Arial Unicode MS" w:hAnsi="Times New Roman"/>
          <w:color w:val="000000"/>
          <w:szCs w:val="20"/>
        </w:rPr>
        <w:t>дати</w:t>
      </w:r>
      <w:proofErr w:type="spellEnd"/>
      <w:r w:rsidRPr="00E16672">
        <w:rPr>
          <w:rFonts w:ascii="Times New Roman" w:eastAsia="Arial Unicode MS" w:hAnsi="Times New Roman"/>
          <w:color w:val="000000"/>
          <w:szCs w:val="20"/>
        </w:rPr>
        <w:t xml:space="preserve"> </w:t>
      </w:r>
      <w:proofErr w:type="spellStart"/>
      <w:r w:rsidRPr="00E16672">
        <w:rPr>
          <w:rFonts w:ascii="Times New Roman" w:eastAsia="Arial Unicode MS" w:hAnsi="Times New Roman"/>
          <w:color w:val="000000"/>
          <w:szCs w:val="20"/>
        </w:rPr>
        <w:t>припинення</w:t>
      </w:r>
      <w:proofErr w:type="spellEnd"/>
      <w:r w:rsidRPr="00E16672">
        <w:rPr>
          <w:rFonts w:ascii="Times New Roman" w:eastAsia="Arial Unicode MS" w:hAnsi="Times New Roman"/>
          <w:color w:val="000000"/>
          <w:szCs w:val="20"/>
        </w:rPr>
        <w:t xml:space="preserve"> </w:t>
      </w:r>
      <w:proofErr w:type="spellStart"/>
      <w:r w:rsidRPr="00E16672">
        <w:rPr>
          <w:rFonts w:ascii="Times New Roman" w:eastAsia="Arial Unicode MS" w:hAnsi="Times New Roman"/>
          <w:color w:val="000000"/>
          <w:szCs w:val="20"/>
        </w:rPr>
        <w:t>дії</w:t>
      </w:r>
      <w:proofErr w:type="spellEnd"/>
      <w:r w:rsidRPr="00E16672">
        <w:rPr>
          <w:rFonts w:ascii="Times New Roman" w:eastAsia="Arial Unicode MS" w:hAnsi="Times New Roman"/>
          <w:color w:val="000000"/>
          <w:szCs w:val="20"/>
        </w:rPr>
        <w:t xml:space="preserve"> Договору. У </w:t>
      </w:r>
      <w:proofErr w:type="spellStart"/>
      <w:r w:rsidRPr="00E16672">
        <w:rPr>
          <w:rFonts w:ascii="Times New Roman" w:eastAsia="Arial Unicode MS" w:hAnsi="Times New Roman"/>
          <w:color w:val="000000"/>
          <w:szCs w:val="20"/>
        </w:rPr>
        <w:t>разі</w:t>
      </w:r>
      <w:proofErr w:type="spellEnd"/>
      <w:r w:rsidRPr="00E16672">
        <w:rPr>
          <w:rFonts w:ascii="Times New Roman" w:eastAsia="Arial Unicode MS" w:hAnsi="Times New Roman"/>
          <w:color w:val="000000"/>
          <w:szCs w:val="20"/>
        </w:rPr>
        <w:t xml:space="preserve"> </w:t>
      </w:r>
      <w:proofErr w:type="spellStart"/>
      <w:r w:rsidRPr="00E16672">
        <w:rPr>
          <w:rFonts w:ascii="Times New Roman" w:eastAsia="Arial Unicode MS" w:hAnsi="Times New Roman"/>
          <w:color w:val="000000"/>
          <w:szCs w:val="20"/>
        </w:rPr>
        <w:t>необхідності</w:t>
      </w:r>
      <w:proofErr w:type="spellEnd"/>
      <w:r w:rsidRPr="00E16672">
        <w:rPr>
          <w:rFonts w:ascii="Times New Roman" w:eastAsia="Arial Unicode MS" w:hAnsi="Times New Roman"/>
          <w:color w:val="000000"/>
          <w:szCs w:val="20"/>
        </w:rPr>
        <w:t xml:space="preserve"> дата </w:t>
      </w:r>
      <w:proofErr w:type="spellStart"/>
      <w:r w:rsidRPr="00E16672">
        <w:rPr>
          <w:rFonts w:ascii="Times New Roman" w:eastAsia="Arial Unicode MS" w:hAnsi="Times New Roman"/>
          <w:color w:val="000000"/>
          <w:szCs w:val="20"/>
        </w:rPr>
        <w:t>припинення</w:t>
      </w:r>
      <w:proofErr w:type="spellEnd"/>
      <w:r w:rsidRPr="00E16672">
        <w:rPr>
          <w:rFonts w:ascii="Times New Roman" w:eastAsia="Arial Unicode MS" w:hAnsi="Times New Roman"/>
          <w:color w:val="000000"/>
          <w:szCs w:val="20"/>
        </w:rPr>
        <w:t xml:space="preserve"> </w:t>
      </w:r>
      <w:proofErr w:type="spellStart"/>
      <w:r w:rsidRPr="00E16672">
        <w:rPr>
          <w:rFonts w:ascii="Times New Roman" w:eastAsia="Arial Unicode MS" w:hAnsi="Times New Roman"/>
          <w:color w:val="000000"/>
          <w:szCs w:val="20"/>
        </w:rPr>
        <w:t>дії</w:t>
      </w:r>
      <w:proofErr w:type="spellEnd"/>
      <w:r w:rsidRPr="00E16672">
        <w:rPr>
          <w:rFonts w:ascii="Times New Roman" w:eastAsia="Arial Unicode MS" w:hAnsi="Times New Roman"/>
          <w:color w:val="000000"/>
          <w:szCs w:val="20"/>
        </w:rPr>
        <w:t xml:space="preserve"> Договору і дата </w:t>
      </w:r>
      <w:proofErr w:type="spellStart"/>
      <w:r w:rsidRPr="00E16672">
        <w:rPr>
          <w:rFonts w:ascii="Times New Roman" w:eastAsia="Arial Unicode MS" w:hAnsi="Times New Roman"/>
          <w:color w:val="000000"/>
          <w:szCs w:val="20"/>
        </w:rPr>
        <w:t>обліку</w:t>
      </w:r>
      <w:proofErr w:type="spellEnd"/>
      <w:r w:rsidRPr="00E16672">
        <w:rPr>
          <w:rFonts w:ascii="Times New Roman" w:eastAsia="Arial Unicode MS" w:hAnsi="Times New Roman"/>
          <w:color w:val="000000"/>
          <w:szCs w:val="20"/>
        </w:rPr>
        <w:t xml:space="preserve"> </w:t>
      </w:r>
      <w:proofErr w:type="spellStart"/>
      <w:r w:rsidRPr="00E16672">
        <w:rPr>
          <w:rFonts w:ascii="Times New Roman" w:eastAsia="Arial Unicode MS" w:hAnsi="Times New Roman"/>
          <w:color w:val="000000"/>
          <w:szCs w:val="20"/>
        </w:rPr>
        <w:t>можуть</w:t>
      </w:r>
      <w:proofErr w:type="spellEnd"/>
      <w:r w:rsidRPr="00E16672">
        <w:rPr>
          <w:rFonts w:ascii="Times New Roman" w:eastAsia="Arial Unicode MS" w:hAnsi="Times New Roman"/>
          <w:color w:val="000000"/>
          <w:szCs w:val="20"/>
        </w:rPr>
        <w:t xml:space="preserve"> бути </w:t>
      </w:r>
      <w:proofErr w:type="spellStart"/>
      <w:r w:rsidRPr="00E16672">
        <w:rPr>
          <w:rFonts w:ascii="Times New Roman" w:eastAsia="Arial Unicode MS" w:hAnsi="Times New Roman"/>
          <w:color w:val="000000"/>
          <w:szCs w:val="20"/>
        </w:rPr>
        <w:t>перенесені</w:t>
      </w:r>
      <w:proofErr w:type="spellEnd"/>
      <w:r w:rsidRPr="00E16672">
        <w:rPr>
          <w:rFonts w:ascii="Times New Roman" w:eastAsia="Arial Unicode MS" w:hAnsi="Times New Roman"/>
          <w:color w:val="000000"/>
          <w:szCs w:val="20"/>
        </w:rPr>
        <w:t xml:space="preserve"> за </w:t>
      </w:r>
      <w:proofErr w:type="spellStart"/>
      <w:r w:rsidRPr="00E16672">
        <w:rPr>
          <w:rFonts w:ascii="Times New Roman" w:eastAsia="Arial Unicode MS" w:hAnsi="Times New Roman"/>
          <w:color w:val="000000"/>
          <w:szCs w:val="20"/>
        </w:rPr>
        <w:t>згодою</w:t>
      </w:r>
      <w:proofErr w:type="spellEnd"/>
      <w:r w:rsidRPr="00E16672">
        <w:rPr>
          <w:rFonts w:ascii="Times New Roman" w:eastAsia="Arial Unicode MS" w:hAnsi="Times New Roman"/>
          <w:color w:val="000000"/>
          <w:szCs w:val="20"/>
        </w:rPr>
        <w:t xml:space="preserve"> </w:t>
      </w:r>
      <w:proofErr w:type="spellStart"/>
      <w:r w:rsidRPr="00E16672">
        <w:rPr>
          <w:rFonts w:ascii="Times New Roman" w:eastAsia="Arial Unicode MS" w:hAnsi="Times New Roman"/>
          <w:color w:val="000000"/>
          <w:szCs w:val="20"/>
        </w:rPr>
        <w:t>між</w:t>
      </w:r>
      <w:proofErr w:type="spellEnd"/>
      <w:r w:rsidRPr="00E16672">
        <w:rPr>
          <w:rFonts w:ascii="Times New Roman" w:eastAsia="Arial Unicode MS" w:hAnsi="Times New Roman"/>
          <w:color w:val="000000"/>
          <w:szCs w:val="20"/>
        </w:rPr>
        <w:t xml:space="preserve"> Депозитарною </w:t>
      </w:r>
      <w:proofErr w:type="spellStart"/>
      <w:r w:rsidRPr="00E16672">
        <w:rPr>
          <w:rFonts w:ascii="Times New Roman" w:eastAsia="Arial Unicode MS" w:hAnsi="Times New Roman"/>
          <w:color w:val="000000"/>
          <w:szCs w:val="20"/>
        </w:rPr>
        <w:t>установою</w:t>
      </w:r>
      <w:proofErr w:type="spellEnd"/>
      <w:r w:rsidRPr="00E16672">
        <w:rPr>
          <w:rFonts w:ascii="Times New Roman" w:eastAsia="Arial Unicode MS" w:hAnsi="Times New Roman"/>
          <w:color w:val="000000"/>
          <w:szCs w:val="20"/>
        </w:rPr>
        <w:t xml:space="preserve"> та </w:t>
      </w:r>
      <w:proofErr w:type="spellStart"/>
      <w:r w:rsidRPr="00E16672">
        <w:rPr>
          <w:rFonts w:ascii="Times New Roman" w:eastAsia="Arial Unicode MS" w:hAnsi="Times New Roman"/>
          <w:color w:val="000000"/>
          <w:szCs w:val="20"/>
        </w:rPr>
        <w:t>Емітентом</w:t>
      </w:r>
      <w:proofErr w:type="spellEnd"/>
      <w:r w:rsidRPr="00E16672">
        <w:rPr>
          <w:rFonts w:ascii="Times New Roman" w:eastAsia="Arial Unicode MS" w:hAnsi="Times New Roman"/>
          <w:color w:val="000000"/>
          <w:szCs w:val="20"/>
        </w:rPr>
        <w:t>.</w:t>
      </w:r>
    </w:p>
    <w:p w14:paraId="25398A38" w14:textId="77777777" w:rsidR="000A5A99" w:rsidRPr="00E16672" w:rsidRDefault="000A5A99" w:rsidP="000A5A99">
      <w:pPr>
        <w:tabs>
          <w:tab w:val="left" w:pos="15"/>
          <w:tab w:val="left" w:pos="582"/>
          <w:tab w:val="left" w:pos="1933"/>
          <w:tab w:val="left" w:pos="2892"/>
          <w:tab w:val="left" w:pos="3851"/>
          <w:tab w:val="left" w:pos="4810"/>
          <w:tab w:val="left" w:pos="5769"/>
          <w:tab w:val="left" w:pos="6728"/>
          <w:tab w:val="left" w:pos="7687"/>
          <w:tab w:val="left" w:pos="8646"/>
        </w:tabs>
        <w:ind w:left="15"/>
        <w:rPr>
          <w:rFonts w:ascii="Times New Roman" w:eastAsia="Arial Unicode MS" w:hAnsi="Times New Roman"/>
          <w:color w:val="000000"/>
          <w:szCs w:val="20"/>
        </w:rPr>
      </w:pPr>
      <w:r w:rsidRPr="00E16672">
        <w:rPr>
          <w:rFonts w:ascii="Times New Roman" w:eastAsia="Arial Unicode MS" w:hAnsi="Times New Roman"/>
          <w:color w:val="000000"/>
          <w:szCs w:val="20"/>
        </w:rPr>
        <w:t xml:space="preserve">У </w:t>
      </w:r>
      <w:proofErr w:type="spellStart"/>
      <w:r w:rsidRPr="00E16672">
        <w:rPr>
          <w:rFonts w:ascii="Times New Roman" w:eastAsia="Arial Unicode MS" w:hAnsi="Times New Roman"/>
          <w:color w:val="000000"/>
          <w:szCs w:val="20"/>
        </w:rPr>
        <w:t>випадку</w:t>
      </w:r>
      <w:proofErr w:type="spellEnd"/>
      <w:r w:rsidRPr="00E16672">
        <w:rPr>
          <w:rFonts w:ascii="Times New Roman" w:eastAsia="Arial Unicode MS" w:hAnsi="Times New Roman"/>
          <w:color w:val="000000"/>
          <w:szCs w:val="20"/>
        </w:rPr>
        <w:t xml:space="preserve"> </w:t>
      </w:r>
      <w:proofErr w:type="spellStart"/>
      <w:r w:rsidRPr="00E16672">
        <w:rPr>
          <w:rFonts w:ascii="Times New Roman" w:eastAsia="Arial Unicode MS" w:hAnsi="Times New Roman"/>
          <w:color w:val="000000"/>
          <w:szCs w:val="20"/>
        </w:rPr>
        <w:t>розірвання</w:t>
      </w:r>
      <w:proofErr w:type="spellEnd"/>
      <w:r w:rsidRPr="00E16672">
        <w:rPr>
          <w:rFonts w:ascii="Times New Roman" w:eastAsia="Arial Unicode MS" w:hAnsi="Times New Roman"/>
          <w:color w:val="000000"/>
          <w:szCs w:val="20"/>
        </w:rPr>
        <w:t xml:space="preserve"> Депозитарною </w:t>
      </w:r>
      <w:proofErr w:type="spellStart"/>
      <w:r w:rsidRPr="00E16672">
        <w:rPr>
          <w:rFonts w:ascii="Times New Roman" w:eastAsia="Arial Unicode MS" w:hAnsi="Times New Roman"/>
          <w:color w:val="000000"/>
          <w:szCs w:val="20"/>
        </w:rPr>
        <w:t>установою</w:t>
      </w:r>
      <w:proofErr w:type="spellEnd"/>
      <w:r w:rsidRPr="00E16672">
        <w:rPr>
          <w:rFonts w:ascii="Times New Roman" w:eastAsia="Arial Unicode MS" w:hAnsi="Times New Roman"/>
          <w:color w:val="000000"/>
          <w:szCs w:val="20"/>
        </w:rPr>
        <w:t xml:space="preserve"> Договору в </w:t>
      </w:r>
      <w:proofErr w:type="spellStart"/>
      <w:r w:rsidRPr="00E16672">
        <w:rPr>
          <w:rFonts w:ascii="Times New Roman" w:eastAsia="Arial Unicode MS" w:hAnsi="Times New Roman"/>
          <w:color w:val="000000"/>
          <w:szCs w:val="20"/>
        </w:rPr>
        <w:t>односторонньому</w:t>
      </w:r>
      <w:proofErr w:type="spellEnd"/>
      <w:r w:rsidRPr="00E16672">
        <w:rPr>
          <w:rFonts w:ascii="Times New Roman" w:eastAsia="Arial Unicode MS" w:hAnsi="Times New Roman"/>
          <w:color w:val="000000"/>
          <w:szCs w:val="20"/>
        </w:rPr>
        <w:t xml:space="preserve"> порядку та </w:t>
      </w:r>
      <w:proofErr w:type="spellStart"/>
      <w:r w:rsidRPr="00E16672">
        <w:rPr>
          <w:rFonts w:ascii="Times New Roman" w:eastAsia="Arial Unicode MS" w:hAnsi="Times New Roman"/>
          <w:i/>
          <w:color w:val="000000"/>
          <w:szCs w:val="20"/>
        </w:rPr>
        <w:t>необрання</w:t>
      </w:r>
      <w:proofErr w:type="spellEnd"/>
      <w:r w:rsidRPr="00E16672">
        <w:rPr>
          <w:rFonts w:ascii="Times New Roman" w:eastAsia="Arial Unicode MS" w:hAnsi="Times New Roman"/>
          <w:color w:val="000000"/>
          <w:szCs w:val="20"/>
        </w:rPr>
        <w:t xml:space="preserve"> </w:t>
      </w:r>
      <w:proofErr w:type="spellStart"/>
      <w:r w:rsidRPr="00E16672">
        <w:rPr>
          <w:rFonts w:ascii="Times New Roman" w:eastAsia="Arial Unicode MS" w:hAnsi="Times New Roman"/>
          <w:color w:val="000000"/>
          <w:szCs w:val="20"/>
        </w:rPr>
        <w:t>Емітентом</w:t>
      </w:r>
      <w:proofErr w:type="spellEnd"/>
      <w:r w:rsidRPr="00E16672">
        <w:rPr>
          <w:rFonts w:ascii="Times New Roman" w:eastAsia="Arial Unicode MS" w:hAnsi="Times New Roman"/>
          <w:color w:val="000000"/>
          <w:szCs w:val="20"/>
        </w:rPr>
        <w:t xml:space="preserve"> до </w:t>
      </w:r>
      <w:proofErr w:type="spellStart"/>
      <w:r w:rsidRPr="00E16672">
        <w:rPr>
          <w:rFonts w:ascii="Times New Roman" w:eastAsia="Arial Unicode MS" w:hAnsi="Times New Roman"/>
          <w:color w:val="000000"/>
          <w:szCs w:val="20"/>
        </w:rPr>
        <w:t>дати</w:t>
      </w:r>
      <w:proofErr w:type="spellEnd"/>
      <w:r w:rsidRPr="00E16672">
        <w:rPr>
          <w:rFonts w:ascii="Times New Roman" w:eastAsia="Arial Unicode MS" w:hAnsi="Times New Roman"/>
          <w:color w:val="000000"/>
          <w:szCs w:val="20"/>
        </w:rPr>
        <w:t xml:space="preserve"> </w:t>
      </w:r>
      <w:proofErr w:type="spellStart"/>
      <w:r w:rsidRPr="00E16672">
        <w:rPr>
          <w:rFonts w:ascii="Times New Roman" w:eastAsia="Arial Unicode MS" w:hAnsi="Times New Roman"/>
          <w:color w:val="000000"/>
          <w:szCs w:val="20"/>
        </w:rPr>
        <w:t>припинення</w:t>
      </w:r>
      <w:proofErr w:type="spellEnd"/>
      <w:r w:rsidRPr="00E16672">
        <w:rPr>
          <w:rFonts w:ascii="Times New Roman" w:eastAsia="Arial Unicode MS" w:hAnsi="Times New Roman"/>
          <w:color w:val="000000"/>
          <w:szCs w:val="20"/>
        </w:rPr>
        <w:t xml:space="preserve"> </w:t>
      </w:r>
      <w:proofErr w:type="spellStart"/>
      <w:r w:rsidRPr="00E16672">
        <w:rPr>
          <w:rFonts w:ascii="Times New Roman" w:eastAsia="Arial Unicode MS" w:hAnsi="Times New Roman"/>
          <w:color w:val="000000"/>
          <w:szCs w:val="20"/>
        </w:rPr>
        <w:t>дії</w:t>
      </w:r>
      <w:proofErr w:type="spellEnd"/>
      <w:r w:rsidRPr="00E16672">
        <w:rPr>
          <w:rFonts w:ascii="Times New Roman" w:eastAsia="Arial Unicode MS" w:hAnsi="Times New Roman"/>
          <w:color w:val="000000"/>
          <w:szCs w:val="20"/>
        </w:rPr>
        <w:t xml:space="preserve"> Договору </w:t>
      </w:r>
      <w:proofErr w:type="spellStart"/>
      <w:r w:rsidRPr="00E16672">
        <w:rPr>
          <w:rFonts w:ascii="Times New Roman" w:eastAsia="Arial Unicode MS" w:hAnsi="Times New Roman"/>
          <w:color w:val="000000"/>
          <w:szCs w:val="20"/>
        </w:rPr>
        <w:t>нової</w:t>
      </w:r>
      <w:proofErr w:type="spellEnd"/>
      <w:r w:rsidRPr="00E16672">
        <w:rPr>
          <w:rFonts w:ascii="Times New Roman" w:eastAsia="Arial Unicode MS" w:hAnsi="Times New Roman"/>
          <w:color w:val="000000"/>
          <w:szCs w:val="20"/>
        </w:rPr>
        <w:t xml:space="preserve"> </w:t>
      </w:r>
      <w:proofErr w:type="spellStart"/>
      <w:r w:rsidRPr="00E16672">
        <w:rPr>
          <w:rFonts w:ascii="Times New Roman" w:eastAsia="Arial Unicode MS" w:hAnsi="Times New Roman"/>
          <w:color w:val="000000"/>
          <w:szCs w:val="20"/>
        </w:rPr>
        <w:t>депозитарної</w:t>
      </w:r>
      <w:proofErr w:type="spellEnd"/>
      <w:r w:rsidRPr="00E16672">
        <w:rPr>
          <w:rFonts w:ascii="Times New Roman" w:eastAsia="Arial Unicode MS" w:hAnsi="Times New Roman"/>
          <w:color w:val="000000"/>
          <w:szCs w:val="20"/>
        </w:rPr>
        <w:t xml:space="preserve"> установи </w:t>
      </w:r>
      <w:proofErr w:type="spellStart"/>
      <w:r w:rsidRPr="00E16672">
        <w:rPr>
          <w:rFonts w:ascii="Times New Roman" w:eastAsia="Arial Unicode MS" w:hAnsi="Times New Roman"/>
          <w:color w:val="000000"/>
          <w:szCs w:val="20"/>
        </w:rPr>
        <w:t>облік</w:t>
      </w:r>
      <w:proofErr w:type="spellEnd"/>
      <w:r w:rsidRPr="00E16672">
        <w:rPr>
          <w:rFonts w:ascii="Times New Roman" w:eastAsia="Arial Unicode MS" w:hAnsi="Times New Roman"/>
          <w:color w:val="000000"/>
          <w:szCs w:val="20"/>
        </w:rPr>
        <w:t xml:space="preserve"> </w:t>
      </w:r>
      <w:proofErr w:type="spellStart"/>
      <w:r w:rsidRPr="00E16672">
        <w:rPr>
          <w:rFonts w:ascii="Times New Roman" w:eastAsia="Arial Unicode MS" w:hAnsi="Times New Roman"/>
          <w:color w:val="000000"/>
          <w:szCs w:val="20"/>
        </w:rPr>
        <w:t>цінних</w:t>
      </w:r>
      <w:proofErr w:type="spellEnd"/>
      <w:r w:rsidRPr="00E16672">
        <w:rPr>
          <w:rFonts w:ascii="Times New Roman" w:eastAsia="Arial Unicode MS" w:hAnsi="Times New Roman"/>
          <w:color w:val="000000"/>
          <w:szCs w:val="20"/>
        </w:rPr>
        <w:t xml:space="preserve"> </w:t>
      </w:r>
      <w:proofErr w:type="spellStart"/>
      <w:r w:rsidRPr="00E16672">
        <w:rPr>
          <w:rFonts w:ascii="Times New Roman" w:eastAsia="Arial Unicode MS" w:hAnsi="Times New Roman"/>
          <w:color w:val="000000"/>
          <w:szCs w:val="20"/>
        </w:rPr>
        <w:t>паперів</w:t>
      </w:r>
      <w:proofErr w:type="spellEnd"/>
      <w:r w:rsidRPr="00E16672">
        <w:rPr>
          <w:rFonts w:ascii="Times New Roman" w:eastAsia="Arial Unicode MS" w:hAnsi="Times New Roman"/>
          <w:color w:val="000000"/>
          <w:szCs w:val="20"/>
        </w:rPr>
        <w:t xml:space="preserve">, прав на </w:t>
      </w:r>
      <w:proofErr w:type="spellStart"/>
      <w:r w:rsidRPr="00E16672">
        <w:rPr>
          <w:rFonts w:ascii="Times New Roman" w:eastAsia="Arial Unicode MS" w:hAnsi="Times New Roman"/>
          <w:color w:val="000000"/>
          <w:szCs w:val="20"/>
        </w:rPr>
        <w:t>цінні</w:t>
      </w:r>
      <w:proofErr w:type="spellEnd"/>
      <w:r w:rsidRPr="00E16672">
        <w:rPr>
          <w:rFonts w:ascii="Times New Roman" w:eastAsia="Arial Unicode MS" w:hAnsi="Times New Roman"/>
          <w:color w:val="000000"/>
          <w:szCs w:val="20"/>
        </w:rPr>
        <w:t xml:space="preserve"> </w:t>
      </w:r>
      <w:proofErr w:type="spellStart"/>
      <w:r w:rsidRPr="00E16672">
        <w:rPr>
          <w:rFonts w:ascii="Times New Roman" w:eastAsia="Arial Unicode MS" w:hAnsi="Times New Roman"/>
          <w:color w:val="000000"/>
          <w:szCs w:val="20"/>
        </w:rPr>
        <w:t>папери</w:t>
      </w:r>
      <w:proofErr w:type="spellEnd"/>
      <w:r w:rsidRPr="00E16672">
        <w:rPr>
          <w:rFonts w:ascii="Times New Roman" w:eastAsia="Arial Unicode MS" w:hAnsi="Times New Roman"/>
          <w:color w:val="000000"/>
          <w:szCs w:val="20"/>
        </w:rPr>
        <w:t xml:space="preserve"> </w:t>
      </w:r>
      <w:proofErr w:type="spellStart"/>
      <w:r w:rsidRPr="00E16672">
        <w:rPr>
          <w:rFonts w:ascii="Times New Roman" w:eastAsia="Arial Unicode MS" w:hAnsi="Times New Roman"/>
          <w:color w:val="000000"/>
          <w:szCs w:val="20"/>
        </w:rPr>
        <w:t>власників</w:t>
      </w:r>
      <w:proofErr w:type="spellEnd"/>
      <w:r w:rsidRPr="00E16672">
        <w:rPr>
          <w:rFonts w:ascii="Times New Roman" w:eastAsia="Arial Unicode MS" w:hAnsi="Times New Roman"/>
          <w:color w:val="000000"/>
          <w:szCs w:val="20"/>
        </w:rPr>
        <w:t xml:space="preserve">, </w:t>
      </w:r>
      <w:proofErr w:type="spellStart"/>
      <w:r w:rsidRPr="00E16672">
        <w:rPr>
          <w:rFonts w:ascii="Times New Roman" w:eastAsia="Arial Unicode MS" w:hAnsi="Times New Roman"/>
          <w:color w:val="000000"/>
          <w:szCs w:val="20"/>
        </w:rPr>
        <w:t>рахунки</w:t>
      </w:r>
      <w:proofErr w:type="spellEnd"/>
      <w:r w:rsidRPr="00E16672">
        <w:rPr>
          <w:rFonts w:ascii="Times New Roman" w:eastAsia="Arial Unicode MS" w:hAnsi="Times New Roman"/>
          <w:color w:val="000000"/>
          <w:szCs w:val="20"/>
        </w:rPr>
        <w:t xml:space="preserve"> </w:t>
      </w:r>
      <w:proofErr w:type="spellStart"/>
      <w:r w:rsidRPr="00E16672">
        <w:rPr>
          <w:rFonts w:ascii="Times New Roman" w:eastAsia="Arial Unicode MS" w:hAnsi="Times New Roman"/>
          <w:color w:val="000000"/>
          <w:szCs w:val="20"/>
        </w:rPr>
        <w:t>яких</w:t>
      </w:r>
      <w:proofErr w:type="spellEnd"/>
      <w:r w:rsidRPr="00E16672">
        <w:rPr>
          <w:rFonts w:ascii="Times New Roman" w:eastAsia="Arial Unicode MS" w:hAnsi="Times New Roman"/>
          <w:color w:val="000000"/>
          <w:szCs w:val="20"/>
        </w:rPr>
        <w:t xml:space="preserve"> </w:t>
      </w:r>
      <w:proofErr w:type="spellStart"/>
      <w:r w:rsidRPr="00E16672">
        <w:rPr>
          <w:rFonts w:ascii="Times New Roman" w:eastAsia="Arial Unicode MS" w:hAnsi="Times New Roman"/>
          <w:color w:val="000000"/>
          <w:szCs w:val="20"/>
        </w:rPr>
        <w:t>обслуговувались</w:t>
      </w:r>
      <w:proofErr w:type="spellEnd"/>
      <w:r w:rsidRPr="00E16672">
        <w:rPr>
          <w:rFonts w:ascii="Times New Roman" w:eastAsia="Arial Unicode MS" w:hAnsi="Times New Roman"/>
          <w:color w:val="000000"/>
          <w:szCs w:val="20"/>
        </w:rPr>
        <w:t xml:space="preserve"> на </w:t>
      </w:r>
      <w:proofErr w:type="spellStart"/>
      <w:r w:rsidRPr="00E16672">
        <w:rPr>
          <w:rFonts w:ascii="Times New Roman" w:eastAsia="Arial Unicode MS" w:hAnsi="Times New Roman"/>
          <w:color w:val="000000"/>
          <w:szCs w:val="20"/>
        </w:rPr>
        <w:t>підставі</w:t>
      </w:r>
      <w:proofErr w:type="spellEnd"/>
      <w:r w:rsidRPr="00E16672">
        <w:rPr>
          <w:rFonts w:ascii="Times New Roman" w:eastAsia="Arial Unicode MS" w:hAnsi="Times New Roman"/>
          <w:color w:val="000000"/>
          <w:szCs w:val="20"/>
        </w:rPr>
        <w:t xml:space="preserve"> Договору, </w:t>
      </w:r>
      <w:proofErr w:type="spellStart"/>
      <w:r w:rsidRPr="00E16672">
        <w:rPr>
          <w:rFonts w:ascii="Times New Roman" w:eastAsia="Arial Unicode MS" w:hAnsi="Times New Roman"/>
          <w:color w:val="000000"/>
          <w:szCs w:val="20"/>
        </w:rPr>
        <w:t>здійснюється</w:t>
      </w:r>
      <w:proofErr w:type="spellEnd"/>
      <w:r w:rsidRPr="00E16672">
        <w:rPr>
          <w:rFonts w:ascii="Times New Roman" w:eastAsia="Arial Unicode MS" w:hAnsi="Times New Roman"/>
          <w:color w:val="000000"/>
          <w:szCs w:val="20"/>
        </w:rPr>
        <w:t>:</w:t>
      </w:r>
    </w:p>
    <w:p w14:paraId="2B783E04" w14:textId="77777777" w:rsidR="000A5A99" w:rsidRPr="00E16672" w:rsidRDefault="000A5A99" w:rsidP="000A5A99">
      <w:pPr>
        <w:rPr>
          <w:rFonts w:ascii="Times New Roman" w:hAnsi="Times New Roman"/>
          <w:color w:val="000000"/>
          <w:szCs w:val="20"/>
        </w:rPr>
      </w:pPr>
      <w:r w:rsidRPr="00E16672">
        <w:rPr>
          <w:rFonts w:ascii="Times New Roman" w:hAnsi="Times New Roman"/>
          <w:color w:val="000000"/>
          <w:szCs w:val="20"/>
        </w:rPr>
        <w:t xml:space="preserve">Депозитарною </w:t>
      </w:r>
      <w:proofErr w:type="spellStart"/>
      <w:r w:rsidRPr="00E16672">
        <w:rPr>
          <w:rFonts w:ascii="Times New Roman" w:hAnsi="Times New Roman"/>
          <w:color w:val="000000"/>
          <w:szCs w:val="20"/>
        </w:rPr>
        <w:t>установою</w:t>
      </w:r>
      <w:proofErr w:type="spellEnd"/>
      <w:r w:rsidRPr="00E16672">
        <w:rPr>
          <w:rFonts w:ascii="Times New Roman" w:hAnsi="Times New Roman"/>
          <w:color w:val="000000"/>
          <w:szCs w:val="20"/>
        </w:rPr>
        <w:t xml:space="preserve">, яка </w:t>
      </w:r>
      <w:proofErr w:type="spellStart"/>
      <w:r w:rsidRPr="00E16672">
        <w:rPr>
          <w:rFonts w:ascii="Times New Roman" w:hAnsi="Times New Roman"/>
          <w:color w:val="000000"/>
          <w:szCs w:val="20"/>
        </w:rPr>
        <w:t>розірвала</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договір</w:t>
      </w:r>
      <w:proofErr w:type="spellEnd"/>
      <w:r w:rsidRPr="00E16672">
        <w:rPr>
          <w:rFonts w:ascii="Times New Roman" w:hAnsi="Times New Roman"/>
          <w:color w:val="000000"/>
          <w:szCs w:val="20"/>
        </w:rPr>
        <w:t xml:space="preserve"> з </w:t>
      </w:r>
      <w:proofErr w:type="spellStart"/>
      <w:r w:rsidRPr="00E16672">
        <w:rPr>
          <w:rFonts w:ascii="Times New Roman" w:hAnsi="Times New Roman"/>
          <w:color w:val="000000"/>
          <w:szCs w:val="20"/>
        </w:rPr>
        <w:t>Емітентом</w:t>
      </w:r>
      <w:proofErr w:type="spellEnd"/>
      <w:r w:rsidRPr="00E16672">
        <w:rPr>
          <w:rFonts w:ascii="Times New Roman" w:hAnsi="Times New Roman"/>
          <w:color w:val="000000"/>
          <w:szCs w:val="20"/>
        </w:rPr>
        <w:t xml:space="preserve">, </w:t>
      </w:r>
      <w:proofErr w:type="gramStart"/>
      <w:r w:rsidRPr="00E16672">
        <w:rPr>
          <w:rFonts w:ascii="Times New Roman" w:hAnsi="Times New Roman"/>
          <w:color w:val="000000"/>
          <w:szCs w:val="20"/>
        </w:rPr>
        <w:t>до моменту</w:t>
      </w:r>
      <w:proofErr w:type="gram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укладення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власником</w:t>
      </w:r>
      <w:proofErr w:type="spellEnd"/>
      <w:r w:rsidRPr="00E16672">
        <w:rPr>
          <w:rFonts w:ascii="Times New Roman" w:hAnsi="Times New Roman"/>
          <w:color w:val="000000"/>
          <w:szCs w:val="20"/>
        </w:rPr>
        <w:t xml:space="preserve"> договору про </w:t>
      </w:r>
      <w:proofErr w:type="spellStart"/>
      <w:r w:rsidRPr="00E16672">
        <w:rPr>
          <w:rFonts w:ascii="Times New Roman" w:hAnsi="Times New Roman"/>
          <w:color w:val="000000"/>
          <w:szCs w:val="20"/>
        </w:rPr>
        <w:t>обслуговування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рахунку</w:t>
      </w:r>
      <w:proofErr w:type="spellEnd"/>
      <w:r w:rsidRPr="00E16672">
        <w:rPr>
          <w:rFonts w:ascii="Times New Roman" w:hAnsi="Times New Roman"/>
          <w:color w:val="000000"/>
          <w:szCs w:val="20"/>
        </w:rPr>
        <w:t xml:space="preserve"> в </w:t>
      </w:r>
      <w:proofErr w:type="spellStart"/>
      <w:r w:rsidRPr="00E16672">
        <w:rPr>
          <w:rFonts w:ascii="Times New Roman" w:hAnsi="Times New Roman"/>
          <w:color w:val="000000"/>
          <w:szCs w:val="20"/>
        </w:rPr>
        <w:t>цінних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паперах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із</w:t>
      </w:r>
      <w:proofErr w:type="spellEnd"/>
      <w:r w:rsidRPr="00E16672">
        <w:rPr>
          <w:rFonts w:ascii="Times New Roman" w:hAnsi="Times New Roman"/>
          <w:color w:val="000000"/>
          <w:szCs w:val="20"/>
        </w:rPr>
        <w:t xml:space="preserve"> Депозитарною </w:t>
      </w:r>
      <w:proofErr w:type="spellStart"/>
      <w:r w:rsidRPr="00E16672">
        <w:rPr>
          <w:rFonts w:ascii="Times New Roman" w:hAnsi="Times New Roman"/>
          <w:color w:val="000000"/>
          <w:szCs w:val="20"/>
        </w:rPr>
        <w:t>установою</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або</w:t>
      </w:r>
      <w:proofErr w:type="spellEnd"/>
      <w:r w:rsidRPr="00E16672">
        <w:rPr>
          <w:rFonts w:ascii="Times New Roman" w:hAnsi="Times New Roman"/>
          <w:color w:val="000000"/>
          <w:szCs w:val="20"/>
        </w:rPr>
        <w:t xml:space="preserve"> повторного </w:t>
      </w:r>
      <w:proofErr w:type="spellStart"/>
      <w:r w:rsidRPr="00E16672">
        <w:rPr>
          <w:rFonts w:ascii="Times New Roman" w:hAnsi="Times New Roman"/>
          <w:color w:val="000000"/>
          <w:szCs w:val="20"/>
        </w:rPr>
        <w:t>укладення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Емітентом</w:t>
      </w:r>
      <w:proofErr w:type="spellEnd"/>
      <w:r w:rsidRPr="00E16672">
        <w:rPr>
          <w:rFonts w:ascii="Times New Roman" w:hAnsi="Times New Roman"/>
          <w:color w:val="000000"/>
          <w:szCs w:val="20"/>
        </w:rPr>
        <w:t xml:space="preserve"> договору про </w:t>
      </w:r>
      <w:proofErr w:type="spellStart"/>
      <w:r w:rsidRPr="00E16672">
        <w:rPr>
          <w:rFonts w:ascii="Times New Roman" w:hAnsi="Times New Roman"/>
          <w:color w:val="000000"/>
          <w:szCs w:val="20"/>
        </w:rPr>
        <w:t>відкриття</w:t>
      </w:r>
      <w:proofErr w:type="spellEnd"/>
      <w:r w:rsidRPr="00E16672">
        <w:rPr>
          <w:rFonts w:ascii="Times New Roman" w:hAnsi="Times New Roman"/>
          <w:color w:val="000000"/>
          <w:szCs w:val="20"/>
        </w:rPr>
        <w:t>/</w:t>
      </w:r>
      <w:proofErr w:type="spellStart"/>
      <w:r w:rsidRPr="00E16672">
        <w:rPr>
          <w:rFonts w:ascii="Times New Roman" w:hAnsi="Times New Roman"/>
          <w:color w:val="000000"/>
          <w:szCs w:val="20"/>
        </w:rPr>
        <w:t>обслуговування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рахунків</w:t>
      </w:r>
      <w:proofErr w:type="spellEnd"/>
      <w:r w:rsidRPr="00E16672">
        <w:rPr>
          <w:rFonts w:ascii="Times New Roman" w:hAnsi="Times New Roman"/>
          <w:color w:val="000000"/>
          <w:szCs w:val="20"/>
        </w:rPr>
        <w:t xml:space="preserve"> </w:t>
      </w:r>
      <w:r w:rsidR="00C22309" w:rsidRPr="00E16672">
        <w:rPr>
          <w:rFonts w:ascii="Times New Roman" w:hAnsi="Times New Roman"/>
          <w:color w:val="000000"/>
          <w:szCs w:val="20"/>
        </w:rPr>
        <w:t xml:space="preserve">в </w:t>
      </w:r>
      <w:proofErr w:type="spellStart"/>
      <w:r w:rsidR="00C22309" w:rsidRPr="00E16672">
        <w:rPr>
          <w:rFonts w:ascii="Times New Roman" w:hAnsi="Times New Roman"/>
          <w:color w:val="000000"/>
          <w:szCs w:val="20"/>
        </w:rPr>
        <w:t>цін</w:t>
      </w:r>
      <w:r w:rsidRPr="00E16672">
        <w:rPr>
          <w:rFonts w:ascii="Times New Roman" w:hAnsi="Times New Roman"/>
          <w:color w:val="000000"/>
          <w:szCs w:val="20"/>
        </w:rPr>
        <w:t>них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паперах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власників</w:t>
      </w:r>
      <w:proofErr w:type="spellEnd"/>
      <w:r w:rsidRPr="00E16672">
        <w:rPr>
          <w:rFonts w:ascii="Times New Roman" w:hAnsi="Times New Roman"/>
          <w:color w:val="000000"/>
          <w:szCs w:val="20"/>
        </w:rPr>
        <w:t xml:space="preserve">. До </w:t>
      </w:r>
      <w:proofErr w:type="spellStart"/>
      <w:r w:rsidRPr="00E16672">
        <w:rPr>
          <w:rFonts w:ascii="Times New Roman" w:hAnsi="Times New Roman"/>
          <w:color w:val="000000"/>
          <w:szCs w:val="20"/>
        </w:rPr>
        <w:t>вказаного</w:t>
      </w:r>
      <w:proofErr w:type="spellEnd"/>
      <w:r w:rsidRPr="00E16672">
        <w:rPr>
          <w:rFonts w:ascii="Times New Roman" w:hAnsi="Times New Roman"/>
          <w:color w:val="000000"/>
          <w:szCs w:val="20"/>
        </w:rPr>
        <w:t xml:space="preserve"> моменту на </w:t>
      </w:r>
      <w:proofErr w:type="spellStart"/>
      <w:r w:rsidRPr="00E16672">
        <w:rPr>
          <w:rFonts w:ascii="Times New Roman" w:hAnsi="Times New Roman"/>
          <w:color w:val="000000"/>
          <w:szCs w:val="20"/>
        </w:rPr>
        <w:t>рахунках</w:t>
      </w:r>
      <w:proofErr w:type="spellEnd"/>
      <w:r w:rsidRPr="00E16672">
        <w:rPr>
          <w:rFonts w:ascii="Times New Roman" w:hAnsi="Times New Roman"/>
          <w:color w:val="000000"/>
          <w:szCs w:val="20"/>
        </w:rPr>
        <w:t xml:space="preserve"> </w:t>
      </w:r>
      <w:r w:rsidR="00C22309" w:rsidRPr="00E16672">
        <w:rPr>
          <w:rFonts w:ascii="Times New Roman" w:hAnsi="Times New Roman"/>
          <w:color w:val="000000"/>
          <w:szCs w:val="20"/>
        </w:rPr>
        <w:t xml:space="preserve">в </w:t>
      </w:r>
      <w:proofErr w:type="spellStart"/>
      <w:r w:rsidR="00C22309" w:rsidRPr="00E16672">
        <w:rPr>
          <w:rFonts w:ascii="Times New Roman" w:hAnsi="Times New Roman"/>
          <w:color w:val="000000"/>
          <w:szCs w:val="20"/>
        </w:rPr>
        <w:t>цін</w:t>
      </w:r>
      <w:r w:rsidRPr="00E16672">
        <w:rPr>
          <w:rFonts w:ascii="Times New Roman" w:hAnsi="Times New Roman"/>
          <w:color w:val="000000"/>
          <w:szCs w:val="20"/>
        </w:rPr>
        <w:t>них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паперах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власників</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які</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обслуговувались</w:t>
      </w:r>
      <w:proofErr w:type="spellEnd"/>
      <w:r w:rsidRPr="00E16672">
        <w:rPr>
          <w:rFonts w:ascii="Times New Roman" w:hAnsi="Times New Roman"/>
          <w:color w:val="000000"/>
          <w:szCs w:val="20"/>
        </w:rPr>
        <w:t xml:space="preserve"> на </w:t>
      </w:r>
      <w:proofErr w:type="spellStart"/>
      <w:r w:rsidRPr="00E16672">
        <w:rPr>
          <w:rFonts w:ascii="Times New Roman" w:hAnsi="Times New Roman"/>
          <w:color w:val="000000"/>
          <w:szCs w:val="20"/>
        </w:rPr>
        <w:t>підставі</w:t>
      </w:r>
      <w:proofErr w:type="spellEnd"/>
      <w:r w:rsidRPr="00E16672">
        <w:rPr>
          <w:rFonts w:ascii="Times New Roman" w:hAnsi="Times New Roman"/>
          <w:color w:val="000000"/>
          <w:szCs w:val="20"/>
        </w:rPr>
        <w:t xml:space="preserve"> Договору з </w:t>
      </w:r>
      <w:proofErr w:type="spellStart"/>
      <w:r w:rsidRPr="00E16672">
        <w:rPr>
          <w:rFonts w:ascii="Times New Roman" w:hAnsi="Times New Roman"/>
          <w:color w:val="000000"/>
          <w:szCs w:val="20"/>
        </w:rPr>
        <w:t>Емітентом</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проводяться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виключно</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безумовні</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операції</w:t>
      </w:r>
      <w:proofErr w:type="spellEnd"/>
      <w:r w:rsidRPr="00E16672">
        <w:rPr>
          <w:rFonts w:ascii="Times New Roman" w:hAnsi="Times New Roman"/>
          <w:color w:val="000000"/>
          <w:szCs w:val="20"/>
        </w:rPr>
        <w:t xml:space="preserve">, а </w:t>
      </w:r>
      <w:proofErr w:type="spellStart"/>
      <w:r w:rsidRPr="00E16672">
        <w:rPr>
          <w:rFonts w:ascii="Times New Roman" w:hAnsi="Times New Roman"/>
          <w:color w:val="000000"/>
          <w:szCs w:val="20"/>
        </w:rPr>
        <w:t>також</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операції</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переведення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власником</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належних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йом</w:t>
      </w:r>
      <w:r w:rsidR="00C22309" w:rsidRPr="00E16672">
        <w:rPr>
          <w:rFonts w:ascii="Times New Roman" w:hAnsi="Times New Roman"/>
          <w:color w:val="000000"/>
          <w:szCs w:val="20"/>
        </w:rPr>
        <w:t>в</w:t>
      </w:r>
      <w:proofErr w:type="spellEnd"/>
      <w:r w:rsidR="00C22309" w:rsidRPr="00E16672">
        <w:rPr>
          <w:rFonts w:ascii="Times New Roman" w:hAnsi="Times New Roman"/>
          <w:color w:val="000000"/>
          <w:szCs w:val="20"/>
        </w:rPr>
        <w:t xml:space="preserve"> </w:t>
      </w:r>
      <w:proofErr w:type="spellStart"/>
      <w:r w:rsidR="00C22309" w:rsidRPr="00E16672">
        <w:rPr>
          <w:rFonts w:ascii="Times New Roman" w:hAnsi="Times New Roman"/>
          <w:color w:val="000000"/>
          <w:szCs w:val="20"/>
        </w:rPr>
        <w:t>цін</w:t>
      </w:r>
      <w:r w:rsidRPr="00E16672">
        <w:rPr>
          <w:rFonts w:ascii="Times New Roman" w:hAnsi="Times New Roman"/>
          <w:color w:val="000000"/>
          <w:szCs w:val="20"/>
        </w:rPr>
        <w:t>них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паперів</w:t>
      </w:r>
      <w:proofErr w:type="spellEnd"/>
      <w:r w:rsidRPr="00E16672">
        <w:rPr>
          <w:rFonts w:ascii="Times New Roman" w:hAnsi="Times New Roman"/>
          <w:color w:val="000000"/>
          <w:szCs w:val="20"/>
        </w:rPr>
        <w:t xml:space="preserve"> на </w:t>
      </w:r>
      <w:proofErr w:type="spellStart"/>
      <w:r w:rsidRPr="00E16672">
        <w:rPr>
          <w:rFonts w:ascii="Times New Roman" w:hAnsi="Times New Roman"/>
          <w:color w:val="000000"/>
          <w:szCs w:val="20"/>
        </w:rPr>
        <w:t>власний</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рахунок</w:t>
      </w:r>
      <w:proofErr w:type="spellEnd"/>
      <w:r w:rsidRPr="00E16672">
        <w:rPr>
          <w:rFonts w:ascii="Times New Roman" w:hAnsi="Times New Roman"/>
          <w:color w:val="000000"/>
          <w:szCs w:val="20"/>
        </w:rPr>
        <w:t xml:space="preserve"> </w:t>
      </w:r>
      <w:r w:rsidR="00C22309" w:rsidRPr="00E16672">
        <w:rPr>
          <w:rFonts w:ascii="Times New Roman" w:hAnsi="Times New Roman"/>
          <w:color w:val="000000"/>
          <w:szCs w:val="20"/>
        </w:rPr>
        <w:t xml:space="preserve">в </w:t>
      </w:r>
      <w:proofErr w:type="spellStart"/>
      <w:r w:rsidR="00C22309" w:rsidRPr="00E16672">
        <w:rPr>
          <w:rFonts w:ascii="Times New Roman" w:hAnsi="Times New Roman"/>
          <w:color w:val="000000"/>
          <w:szCs w:val="20"/>
        </w:rPr>
        <w:t>цін</w:t>
      </w:r>
      <w:r w:rsidRPr="00E16672">
        <w:rPr>
          <w:rFonts w:ascii="Times New Roman" w:hAnsi="Times New Roman"/>
          <w:color w:val="000000"/>
          <w:szCs w:val="20"/>
        </w:rPr>
        <w:t>них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паперах</w:t>
      </w:r>
      <w:proofErr w:type="spellEnd"/>
      <w:r w:rsidRPr="00E16672">
        <w:rPr>
          <w:rFonts w:ascii="Times New Roman" w:hAnsi="Times New Roman"/>
          <w:color w:val="000000"/>
          <w:szCs w:val="20"/>
        </w:rPr>
        <w:t xml:space="preserve"> в </w:t>
      </w:r>
      <w:proofErr w:type="spellStart"/>
      <w:r w:rsidRPr="00E16672">
        <w:rPr>
          <w:rFonts w:ascii="Times New Roman" w:hAnsi="Times New Roman"/>
          <w:color w:val="000000"/>
          <w:szCs w:val="20"/>
        </w:rPr>
        <w:t>обраній</w:t>
      </w:r>
      <w:proofErr w:type="spellEnd"/>
      <w:r w:rsidRPr="00E16672">
        <w:rPr>
          <w:rFonts w:ascii="Times New Roman" w:hAnsi="Times New Roman"/>
          <w:color w:val="000000"/>
          <w:szCs w:val="20"/>
        </w:rPr>
        <w:t xml:space="preserve"> ним </w:t>
      </w:r>
      <w:proofErr w:type="spellStart"/>
      <w:r w:rsidRPr="00E16672">
        <w:rPr>
          <w:rFonts w:ascii="Times New Roman" w:hAnsi="Times New Roman"/>
          <w:color w:val="000000"/>
          <w:szCs w:val="20"/>
        </w:rPr>
        <w:t>депозитарній</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установі</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крім</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випадку</w:t>
      </w:r>
      <w:proofErr w:type="spellEnd"/>
      <w:r w:rsidRPr="00E16672">
        <w:rPr>
          <w:rFonts w:ascii="Times New Roman" w:hAnsi="Times New Roman"/>
          <w:color w:val="000000"/>
          <w:szCs w:val="20"/>
        </w:rPr>
        <w:t xml:space="preserve">, коли </w:t>
      </w:r>
      <w:proofErr w:type="spellStart"/>
      <w:r w:rsidRPr="00E16672">
        <w:rPr>
          <w:rFonts w:ascii="Times New Roman" w:hAnsi="Times New Roman"/>
          <w:color w:val="000000"/>
          <w:szCs w:val="20"/>
        </w:rPr>
        <w:t>інформація</w:t>
      </w:r>
      <w:proofErr w:type="spellEnd"/>
      <w:r w:rsidRPr="00E16672">
        <w:rPr>
          <w:rFonts w:ascii="Times New Roman" w:hAnsi="Times New Roman"/>
          <w:color w:val="000000"/>
          <w:szCs w:val="20"/>
        </w:rPr>
        <w:t xml:space="preserve"> про особу </w:t>
      </w:r>
      <w:proofErr w:type="spellStart"/>
      <w:r w:rsidRPr="00E16672">
        <w:rPr>
          <w:rFonts w:ascii="Times New Roman" w:hAnsi="Times New Roman"/>
          <w:color w:val="000000"/>
          <w:szCs w:val="20"/>
        </w:rPr>
        <w:t>власника</w:t>
      </w:r>
      <w:proofErr w:type="spellEnd"/>
      <w:r w:rsidRPr="00E16672">
        <w:rPr>
          <w:rFonts w:ascii="Times New Roman" w:hAnsi="Times New Roman"/>
          <w:color w:val="000000"/>
          <w:szCs w:val="20"/>
        </w:rPr>
        <w:t xml:space="preserve"> не </w:t>
      </w:r>
      <w:proofErr w:type="spellStart"/>
      <w:r w:rsidRPr="00E16672">
        <w:rPr>
          <w:rFonts w:ascii="Times New Roman" w:hAnsi="Times New Roman"/>
          <w:color w:val="000000"/>
          <w:szCs w:val="20"/>
        </w:rPr>
        <w:t>відповідає</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інформації</w:t>
      </w:r>
      <w:proofErr w:type="spellEnd"/>
      <w:r w:rsidRPr="00E16672">
        <w:rPr>
          <w:rFonts w:ascii="Times New Roman" w:hAnsi="Times New Roman"/>
          <w:color w:val="000000"/>
          <w:szCs w:val="20"/>
        </w:rPr>
        <w:t xml:space="preserve">, яка </w:t>
      </w:r>
      <w:proofErr w:type="spellStart"/>
      <w:r w:rsidRPr="00E16672">
        <w:rPr>
          <w:rFonts w:ascii="Times New Roman" w:hAnsi="Times New Roman"/>
          <w:color w:val="000000"/>
          <w:szCs w:val="20"/>
        </w:rPr>
        <w:t>міститься</w:t>
      </w:r>
      <w:proofErr w:type="spellEnd"/>
      <w:r w:rsidRPr="00E16672">
        <w:rPr>
          <w:rFonts w:ascii="Times New Roman" w:hAnsi="Times New Roman"/>
          <w:color w:val="000000"/>
          <w:szCs w:val="20"/>
        </w:rPr>
        <w:t xml:space="preserve"> в </w:t>
      </w:r>
      <w:proofErr w:type="spellStart"/>
      <w:r w:rsidRPr="00E16672">
        <w:rPr>
          <w:rFonts w:ascii="Times New Roman" w:hAnsi="Times New Roman"/>
          <w:color w:val="000000"/>
          <w:szCs w:val="20"/>
        </w:rPr>
        <w:t>системі</w:t>
      </w:r>
      <w:proofErr w:type="spellEnd"/>
      <w:r w:rsidRPr="00E16672">
        <w:rPr>
          <w:rFonts w:ascii="Times New Roman" w:hAnsi="Times New Roman"/>
          <w:color w:val="000000"/>
          <w:szCs w:val="20"/>
        </w:rPr>
        <w:t xml:space="preserve"> депозитарного </w:t>
      </w:r>
      <w:proofErr w:type="spellStart"/>
      <w:r w:rsidRPr="00E16672">
        <w:rPr>
          <w:rFonts w:ascii="Times New Roman" w:hAnsi="Times New Roman"/>
          <w:color w:val="000000"/>
          <w:szCs w:val="20"/>
        </w:rPr>
        <w:t>обліку</w:t>
      </w:r>
      <w:proofErr w:type="spellEnd"/>
      <w:r w:rsidRPr="00E16672">
        <w:rPr>
          <w:rFonts w:ascii="Times New Roman" w:hAnsi="Times New Roman"/>
          <w:color w:val="000000"/>
          <w:szCs w:val="20"/>
        </w:rPr>
        <w:t>);</w:t>
      </w:r>
    </w:p>
    <w:p w14:paraId="3EEFF7B8" w14:textId="77777777" w:rsidR="000A5A99" w:rsidRPr="00E16672" w:rsidRDefault="000A5A99" w:rsidP="000A5A99">
      <w:pPr>
        <w:rPr>
          <w:rFonts w:ascii="Times New Roman" w:hAnsi="Times New Roman"/>
          <w:color w:val="000000"/>
          <w:szCs w:val="20"/>
        </w:rPr>
      </w:pPr>
      <w:proofErr w:type="spellStart"/>
      <w:r w:rsidRPr="00E16672">
        <w:rPr>
          <w:rFonts w:ascii="Times New Roman" w:hAnsi="Times New Roman"/>
          <w:color w:val="000000"/>
          <w:szCs w:val="20"/>
        </w:rPr>
        <w:t>Центральним</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депозитарієм</w:t>
      </w:r>
      <w:proofErr w:type="spellEnd"/>
      <w:r w:rsidRPr="00E16672">
        <w:rPr>
          <w:rFonts w:ascii="Times New Roman" w:hAnsi="Times New Roman"/>
          <w:color w:val="000000"/>
          <w:szCs w:val="20"/>
        </w:rPr>
        <w:t xml:space="preserve"> як </w:t>
      </w:r>
      <w:proofErr w:type="spellStart"/>
      <w:r w:rsidRPr="00E16672">
        <w:rPr>
          <w:rFonts w:ascii="Times New Roman" w:hAnsi="Times New Roman"/>
          <w:color w:val="000000"/>
          <w:szCs w:val="20"/>
        </w:rPr>
        <w:t>уповноваженим</w:t>
      </w:r>
      <w:proofErr w:type="spellEnd"/>
      <w:r w:rsidRPr="00E16672">
        <w:rPr>
          <w:rFonts w:ascii="Times New Roman" w:hAnsi="Times New Roman"/>
          <w:color w:val="000000"/>
          <w:szCs w:val="20"/>
        </w:rPr>
        <w:t xml:space="preserve"> на </w:t>
      </w:r>
      <w:proofErr w:type="spellStart"/>
      <w:r w:rsidRPr="00E16672">
        <w:rPr>
          <w:rFonts w:ascii="Times New Roman" w:hAnsi="Times New Roman"/>
          <w:color w:val="000000"/>
          <w:szCs w:val="20"/>
        </w:rPr>
        <w:t>зберігання</w:t>
      </w:r>
      <w:proofErr w:type="spellEnd"/>
      <w:r w:rsidRPr="00E16672">
        <w:rPr>
          <w:rFonts w:ascii="Times New Roman" w:hAnsi="Times New Roman"/>
          <w:color w:val="000000"/>
          <w:szCs w:val="20"/>
        </w:rPr>
        <w:t xml:space="preserve"> </w:t>
      </w:r>
      <w:proofErr w:type="gramStart"/>
      <w:r w:rsidRPr="00E16672">
        <w:rPr>
          <w:rFonts w:ascii="Times New Roman" w:hAnsi="Times New Roman"/>
          <w:color w:val="000000"/>
          <w:szCs w:val="20"/>
        </w:rPr>
        <w:t>у порядку</w:t>
      </w:r>
      <w:proofErr w:type="gram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встановленому</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внутрішніми</w:t>
      </w:r>
      <w:proofErr w:type="spellEnd"/>
      <w:r w:rsidRPr="00E16672">
        <w:rPr>
          <w:rFonts w:ascii="Times New Roman" w:hAnsi="Times New Roman"/>
          <w:color w:val="000000"/>
          <w:szCs w:val="20"/>
        </w:rPr>
        <w:t xml:space="preserve"> документами Центрального </w:t>
      </w:r>
      <w:proofErr w:type="spellStart"/>
      <w:r w:rsidRPr="00E16672">
        <w:rPr>
          <w:rFonts w:ascii="Times New Roman" w:hAnsi="Times New Roman"/>
          <w:color w:val="000000"/>
          <w:szCs w:val="20"/>
        </w:rPr>
        <w:t>депозитарію</w:t>
      </w:r>
      <w:proofErr w:type="spellEnd"/>
      <w:r w:rsidRPr="00E16672">
        <w:rPr>
          <w:rFonts w:ascii="Times New Roman" w:hAnsi="Times New Roman"/>
          <w:color w:val="000000"/>
          <w:szCs w:val="20"/>
        </w:rPr>
        <w:t xml:space="preserve">, до моменту </w:t>
      </w:r>
      <w:proofErr w:type="spellStart"/>
      <w:r w:rsidRPr="00E16672">
        <w:rPr>
          <w:rFonts w:ascii="Times New Roman" w:hAnsi="Times New Roman"/>
          <w:color w:val="000000"/>
          <w:szCs w:val="20"/>
        </w:rPr>
        <w:t>переведення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власником</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належних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йом</w:t>
      </w:r>
      <w:r w:rsidR="00C22309" w:rsidRPr="00E16672">
        <w:rPr>
          <w:rFonts w:ascii="Times New Roman" w:hAnsi="Times New Roman"/>
          <w:color w:val="000000"/>
          <w:szCs w:val="20"/>
        </w:rPr>
        <w:t>в</w:t>
      </w:r>
      <w:proofErr w:type="spellEnd"/>
      <w:r w:rsidR="00C22309" w:rsidRPr="00E16672">
        <w:rPr>
          <w:rFonts w:ascii="Times New Roman" w:hAnsi="Times New Roman"/>
          <w:color w:val="000000"/>
          <w:szCs w:val="20"/>
        </w:rPr>
        <w:t xml:space="preserve"> </w:t>
      </w:r>
      <w:proofErr w:type="spellStart"/>
      <w:r w:rsidR="00C22309" w:rsidRPr="00E16672">
        <w:rPr>
          <w:rFonts w:ascii="Times New Roman" w:hAnsi="Times New Roman"/>
          <w:color w:val="000000"/>
          <w:szCs w:val="20"/>
        </w:rPr>
        <w:t>цін</w:t>
      </w:r>
      <w:r w:rsidRPr="00E16672">
        <w:rPr>
          <w:rFonts w:ascii="Times New Roman" w:hAnsi="Times New Roman"/>
          <w:color w:val="000000"/>
          <w:szCs w:val="20"/>
        </w:rPr>
        <w:t>них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паперів</w:t>
      </w:r>
      <w:proofErr w:type="spellEnd"/>
      <w:r w:rsidRPr="00E16672">
        <w:rPr>
          <w:rFonts w:ascii="Times New Roman" w:hAnsi="Times New Roman"/>
          <w:color w:val="000000"/>
          <w:szCs w:val="20"/>
        </w:rPr>
        <w:t xml:space="preserve"> на </w:t>
      </w:r>
      <w:proofErr w:type="spellStart"/>
      <w:r w:rsidRPr="00E16672">
        <w:rPr>
          <w:rFonts w:ascii="Times New Roman" w:hAnsi="Times New Roman"/>
          <w:color w:val="000000"/>
          <w:szCs w:val="20"/>
        </w:rPr>
        <w:t>власний</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рахунок</w:t>
      </w:r>
      <w:proofErr w:type="spellEnd"/>
      <w:r w:rsidRPr="00E16672">
        <w:rPr>
          <w:rFonts w:ascii="Times New Roman" w:hAnsi="Times New Roman"/>
          <w:color w:val="000000"/>
          <w:szCs w:val="20"/>
        </w:rPr>
        <w:t xml:space="preserve"> </w:t>
      </w:r>
      <w:r w:rsidR="00C22309" w:rsidRPr="00E16672">
        <w:rPr>
          <w:rFonts w:ascii="Times New Roman" w:hAnsi="Times New Roman"/>
          <w:color w:val="000000"/>
          <w:szCs w:val="20"/>
        </w:rPr>
        <w:t xml:space="preserve">в </w:t>
      </w:r>
      <w:proofErr w:type="spellStart"/>
      <w:r w:rsidR="00C22309" w:rsidRPr="00E16672">
        <w:rPr>
          <w:rFonts w:ascii="Times New Roman" w:hAnsi="Times New Roman"/>
          <w:color w:val="000000"/>
          <w:szCs w:val="20"/>
        </w:rPr>
        <w:t>цін</w:t>
      </w:r>
      <w:r w:rsidRPr="00E16672">
        <w:rPr>
          <w:rFonts w:ascii="Times New Roman" w:hAnsi="Times New Roman"/>
          <w:color w:val="000000"/>
          <w:szCs w:val="20"/>
        </w:rPr>
        <w:t>них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паперах</w:t>
      </w:r>
      <w:proofErr w:type="spellEnd"/>
      <w:r w:rsidRPr="00E16672">
        <w:rPr>
          <w:rFonts w:ascii="Times New Roman" w:hAnsi="Times New Roman"/>
          <w:color w:val="000000"/>
          <w:szCs w:val="20"/>
        </w:rPr>
        <w:t xml:space="preserve"> у </w:t>
      </w:r>
      <w:proofErr w:type="spellStart"/>
      <w:r w:rsidRPr="00E16672">
        <w:rPr>
          <w:rFonts w:ascii="Times New Roman" w:hAnsi="Times New Roman"/>
          <w:color w:val="000000"/>
          <w:szCs w:val="20"/>
        </w:rPr>
        <w:t>обраній</w:t>
      </w:r>
      <w:proofErr w:type="spellEnd"/>
      <w:r w:rsidRPr="00E16672">
        <w:rPr>
          <w:rFonts w:ascii="Times New Roman" w:hAnsi="Times New Roman"/>
          <w:color w:val="000000"/>
          <w:szCs w:val="20"/>
        </w:rPr>
        <w:t xml:space="preserve"> ним </w:t>
      </w:r>
      <w:proofErr w:type="spellStart"/>
      <w:r w:rsidRPr="00E16672">
        <w:rPr>
          <w:rFonts w:ascii="Times New Roman" w:hAnsi="Times New Roman"/>
          <w:color w:val="000000"/>
          <w:szCs w:val="20"/>
        </w:rPr>
        <w:t>депозитарній</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установі</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або</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переведення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Емітентом</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цінних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паперів</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власників</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які</w:t>
      </w:r>
      <w:proofErr w:type="spellEnd"/>
      <w:r w:rsidRPr="00E16672">
        <w:rPr>
          <w:rFonts w:ascii="Times New Roman" w:hAnsi="Times New Roman"/>
          <w:color w:val="000000"/>
          <w:szCs w:val="20"/>
        </w:rPr>
        <w:t xml:space="preserve"> не </w:t>
      </w:r>
      <w:proofErr w:type="spellStart"/>
      <w:r w:rsidRPr="00E16672">
        <w:rPr>
          <w:rFonts w:ascii="Times New Roman" w:hAnsi="Times New Roman"/>
          <w:color w:val="000000"/>
          <w:szCs w:val="20"/>
        </w:rPr>
        <w:t>уклали</w:t>
      </w:r>
      <w:proofErr w:type="spellEnd"/>
      <w:r w:rsidRPr="00E16672">
        <w:rPr>
          <w:rFonts w:ascii="Times New Roman" w:hAnsi="Times New Roman"/>
          <w:color w:val="000000"/>
          <w:szCs w:val="20"/>
        </w:rPr>
        <w:t xml:space="preserve"> договору </w:t>
      </w:r>
      <w:proofErr w:type="spellStart"/>
      <w:r w:rsidRPr="00E16672">
        <w:rPr>
          <w:rFonts w:ascii="Times New Roman" w:hAnsi="Times New Roman"/>
          <w:color w:val="000000"/>
          <w:szCs w:val="20"/>
        </w:rPr>
        <w:t>із</w:t>
      </w:r>
      <w:proofErr w:type="spellEnd"/>
      <w:r w:rsidRPr="00E16672">
        <w:rPr>
          <w:rFonts w:ascii="Times New Roman" w:hAnsi="Times New Roman"/>
          <w:color w:val="000000"/>
          <w:szCs w:val="20"/>
        </w:rPr>
        <w:t xml:space="preserve"> депозитарною </w:t>
      </w:r>
      <w:proofErr w:type="spellStart"/>
      <w:r w:rsidRPr="00E16672">
        <w:rPr>
          <w:rFonts w:ascii="Times New Roman" w:hAnsi="Times New Roman"/>
          <w:color w:val="000000"/>
          <w:szCs w:val="20"/>
        </w:rPr>
        <w:t>установою</w:t>
      </w:r>
      <w:proofErr w:type="spellEnd"/>
      <w:r w:rsidRPr="00E16672">
        <w:rPr>
          <w:rFonts w:ascii="Times New Roman" w:hAnsi="Times New Roman"/>
          <w:color w:val="000000"/>
          <w:szCs w:val="20"/>
        </w:rPr>
        <w:t xml:space="preserve">, на </w:t>
      </w:r>
      <w:proofErr w:type="spellStart"/>
      <w:r w:rsidRPr="00E16672">
        <w:rPr>
          <w:rFonts w:ascii="Times New Roman" w:hAnsi="Times New Roman"/>
          <w:color w:val="000000"/>
          <w:szCs w:val="20"/>
        </w:rPr>
        <w:t>рахунки</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відповідних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власників</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відкриті</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обраною</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Емітентом</w:t>
      </w:r>
      <w:proofErr w:type="spellEnd"/>
      <w:r w:rsidRPr="00E16672">
        <w:rPr>
          <w:rFonts w:ascii="Times New Roman" w:hAnsi="Times New Roman"/>
          <w:color w:val="000000"/>
          <w:szCs w:val="20"/>
        </w:rPr>
        <w:t xml:space="preserve"> депозитарною </w:t>
      </w:r>
      <w:proofErr w:type="spellStart"/>
      <w:r w:rsidRPr="00E16672">
        <w:rPr>
          <w:rFonts w:ascii="Times New Roman" w:hAnsi="Times New Roman"/>
          <w:color w:val="000000"/>
          <w:szCs w:val="20"/>
        </w:rPr>
        <w:t>установою</w:t>
      </w:r>
      <w:proofErr w:type="spellEnd"/>
      <w:r w:rsidRPr="00E16672">
        <w:rPr>
          <w:rFonts w:ascii="Times New Roman" w:hAnsi="Times New Roman"/>
          <w:color w:val="000000"/>
          <w:szCs w:val="20"/>
        </w:rPr>
        <w:t>.</w:t>
      </w:r>
    </w:p>
    <w:p w14:paraId="16FF26A3" w14:textId="77777777" w:rsidR="000A5A99" w:rsidRPr="00E16672" w:rsidRDefault="000A5A99" w:rsidP="000A5A99">
      <w:pPr>
        <w:pStyle w:val="af1"/>
        <w:tabs>
          <w:tab w:val="clear" w:pos="959"/>
          <w:tab w:val="clear" w:pos="1918"/>
          <w:tab w:val="clear" w:pos="2877"/>
          <w:tab w:val="clear" w:pos="9590"/>
          <w:tab w:val="left" w:pos="567"/>
        </w:tabs>
        <w:ind w:right="-1"/>
        <w:rPr>
          <w:rFonts w:ascii="Times New Roman" w:eastAsia="Arial Unicode MS" w:hAnsi="Times New Roman" w:cs="Times New Roman"/>
          <w:color w:val="000000"/>
          <w:lang w:val="uk-UA"/>
        </w:rPr>
      </w:pPr>
      <w:r w:rsidRPr="00E16672">
        <w:rPr>
          <w:rFonts w:ascii="Times New Roman" w:eastAsia="Arial Unicode MS" w:hAnsi="Times New Roman" w:cs="Times New Roman"/>
          <w:color w:val="000000"/>
          <w:lang w:val="uk-UA"/>
        </w:rPr>
        <w:t xml:space="preserve">8.3. Виконання Депозитарною установою додаткових послуг та операцій, що не </w:t>
      </w:r>
      <w:proofErr w:type="spellStart"/>
      <w:r w:rsidRPr="00E16672">
        <w:rPr>
          <w:rFonts w:ascii="Times New Roman" w:eastAsia="Arial Unicode MS" w:hAnsi="Times New Roman" w:cs="Times New Roman"/>
          <w:color w:val="000000"/>
        </w:rPr>
        <w:t>суперечать</w:t>
      </w:r>
      <w:proofErr w:type="spellEnd"/>
      <w:r w:rsidRPr="00E16672">
        <w:rPr>
          <w:rFonts w:ascii="Times New Roman" w:eastAsia="Arial Unicode MS" w:hAnsi="Times New Roman" w:cs="Times New Roman"/>
          <w:color w:val="000000"/>
          <w:lang w:val="uk-UA"/>
        </w:rPr>
        <w:t xml:space="preserve"> чинному законодавству України, оформлюється додатковими угодами, які з моменту їх підписання стають невід’ємною частиною цього Договору.</w:t>
      </w:r>
    </w:p>
    <w:p w14:paraId="5579F80E" w14:textId="77777777" w:rsidR="000A5A99" w:rsidRPr="00E16672" w:rsidRDefault="000A5A99" w:rsidP="000A5A99">
      <w:pPr>
        <w:pStyle w:val="af1"/>
        <w:tabs>
          <w:tab w:val="clear" w:pos="959"/>
          <w:tab w:val="clear" w:pos="9590"/>
          <w:tab w:val="left" w:pos="567"/>
        </w:tabs>
        <w:ind w:right="-1"/>
        <w:rPr>
          <w:rFonts w:ascii="Times New Roman" w:eastAsia="Arial Unicode MS" w:hAnsi="Times New Roman" w:cs="Times New Roman"/>
          <w:color w:val="000000"/>
          <w:lang w:val="uk-UA"/>
        </w:rPr>
      </w:pPr>
      <w:r w:rsidRPr="00E16672">
        <w:rPr>
          <w:rFonts w:ascii="Times New Roman" w:eastAsia="Arial Unicode MS" w:hAnsi="Times New Roman" w:cs="Times New Roman"/>
          <w:color w:val="000000"/>
          <w:lang w:val="uk-UA"/>
        </w:rPr>
        <w:t>8.4. У випадку невиконання однією з Сторін умов цього Договору він розривається згідно з чинним законодавством України та умовами цього Договору.</w:t>
      </w:r>
    </w:p>
    <w:p w14:paraId="432E1DCF" w14:textId="77777777" w:rsidR="00786738" w:rsidRPr="00E16672" w:rsidRDefault="00786738" w:rsidP="000A5A99">
      <w:pPr>
        <w:pStyle w:val="1"/>
        <w:widowControl w:val="0"/>
        <w:tabs>
          <w:tab w:val="left" w:pos="0"/>
          <w:tab w:val="left" w:pos="432"/>
        </w:tabs>
        <w:ind w:left="432" w:hanging="432"/>
        <w:rPr>
          <w:rFonts w:ascii="Times New Roman" w:eastAsia="Arial Unicode MS" w:hAnsi="Times New Roman" w:cs="Times New Roman"/>
          <w:color w:val="000000"/>
          <w:sz w:val="20"/>
          <w:lang w:val="uk-UA"/>
        </w:rPr>
      </w:pPr>
    </w:p>
    <w:p w14:paraId="5B3A572E" w14:textId="77777777" w:rsidR="000A5A99" w:rsidRPr="00E16672" w:rsidRDefault="000A5A99" w:rsidP="000A5A99">
      <w:pPr>
        <w:pStyle w:val="1"/>
        <w:widowControl w:val="0"/>
        <w:tabs>
          <w:tab w:val="left" w:pos="0"/>
          <w:tab w:val="left" w:pos="432"/>
        </w:tabs>
        <w:ind w:left="432" w:hanging="432"/>
        <w:rPr>
          <w:rFonts w:ascii="Times New Roman" w:eastAsia="Arial Unicode MS" w:hAnsi="Times New Roman" w:cs="Times New Roman"/>
          <w:color w:val="000000"/>
          <w:sz w:val="20"/>
          <w:lang w:val="uk-UA"/>
        </w:rPr>
      </w:pPr>
      <w:r w:rsidRPr="00E16672">
        <w:rPr>
          <w:rFonts w:ascii="Times New Roman" w:eastAsia="Arial Unicode MS" w:hAnsi="Times New Roman" w:cs="Times New Roman"/>
          <w:color w:val="000000"/>
          <w:sz w:val="20"/>
          <w:lang w:val="uk-UA"/>
        </w:rPr>
        <w:t>9. ТЕРМІН ДІЇ ДОГОВОРУ</w:t>
      </w:r>
    </w:p>
    <w:p w14:paraId="682F5667" w14:textId="77777777" w:rsidR="000A5A99" w:rsidRPr="00E16672" w:rsidRDefault="000A5A99" w:rsidP="000A5A99">
      <w:pPr>
        <w:ind w:firstLine="570"/>
        <w:rPr>
          <w:rFonts w:ascii="Times New Roman" w:eastAsia="Arial Unicode MS" w:hAnsi="Times New Roman"/>
          <w:color w:val="000000"/>
          <w:szCs w:val="20"/>
          <w:lang w:val="uk-UA"/>
        </w:rPr>
      </w:pPr>
      <w:r w:rsidRPr="00E16672">
        <w:rPr>
          <w:rFonts w:ascii="Times New Roman" w:eastAsia="Arial Unicode MS" w:hAnsi="Times New Roman"/>
          <w:color w:val="000000"/>
          <w:szCs w:val="20"/>
          <w:lang w:val="uk-UA"/>
        </w:rPr>
        <w:t>9.1. Цей Договір набуває чинності з моменту його підписання та діє до повного виконання Договору.</w:t>
      </w:r>
      <w:r w:rsidRPr="00E16672">
        <w:rPr>
          <w:rFonts w:ascii="Times New Roman" w:eastAsia="Arial Unicode MS" w:hAnsi="Times New Roman"/>
          <w:color w:val="000000"/>
          <w:lang w:val="uk-UA"/>
        </w:rPr>
        <w:t xml:space="preserve"> </w:t>
      </w:r>
      <w:r w:rsidRPr="00E16672">
        <w:rPr>
          <w:rFonts w:ascii="Times New Roman" w:eastAsia="Arial Unicode MS" w:hAnsi="Times New Roman"/>
          <w:color w:val="000000"/>
          <w:szCs w:val="20"/>
          <w:lang w:val="uk-UA"/>
        </w:rPr>
        <w:t xml:space="preserve"> </w:t>
      </w:r>
    </w:p>
    <w:p w14:paraId="7B128D53" w14:textId="77777777" w:rsidR="000A5A99" w:rsidRPr="00E16672" w:rsidRDefault="000A5A99" w:rsidP="000A5A99">
      <w:pPr>
        <w:ind w:firstLine="570"/>
        <w:rPr>
          <w:rFonts w:ascii="Times New Roman" w:eastAsia="Arial Unicode MS" w:hAnsi="Times New Roman"/>
          <w:color w:val="000000"/>
          <w:szCs w:val="20"/>
          <w:lang w:val="uk-UA"/>
        </w:rPr>
      </w:pPr>
      <w:r w:rsidRPr="00E16672">
        <w:rPr>
          <w:rFonts w:ascii="Times New Roman" w:eastAsia="Arial Unicode MS" w:hAnsi="Times New Roman"/>
          <w:color w:val="000000"/>
          <w:szCs w:val="20"/>
          <w:lang w:val="uk-UA"/>
        </w:rPr>
        <w:t xml:space="preserve">9.2. Дія Договору може бути припинена згідно з </w:t>
      </w:r>
      <w:proofErr w:type="spellStart"/>
      <w:r w:rsidRPr="00E16672">
        <w:rPr>
          <w:rFonts w:ascii="Times New Roman" w:eastAsia="Arial Unicode MS" w:hAnsi="Times New Roman"/>
          <w:color w:val="000000"/>
          <w:szCs w:val="20"/>
          <w:lang w:val="uk-UA"/>
        </w:rPr>
        <w:t>пп</w:t>
      </w:r>
      <w:proofErr w:type="spellEnd"/>
      <w:r w:rsidRPr="00E16672">
        <w:rPr>
          <w:rFonts w:ascii="Times New Roman" w:eastAsia="Arial Unicode MS" w:hAnsi="Times New Roman"/>
          <w:color w:val="000000"/>
          <w:szCs w:val="20"/>
          <w:lang w:val="uk-UA"/>
        </w:rPr>
        <w:t>. 8.1., 8.2., 8.4.  цього Договору.</w:t>
      </w:r>
    </w:p>
    <w:p w14:paraId="11C4962D" w14:textId="77777777" w:rsidR="000A5A99" w:rsidRPr="00E16672" w:rsidRDefault="000A5A99" w:rsidP="000A5A99">
      <w:pPr>
        <w:ind w:firstLine="570"/>
        <w:rPr>
          <w:rFonts w:ascii="Times New Roman" w:eastAsia="Arial Unicode MS" w:hAnsi="Times New Roman"/>
          <w:color w:val="000000"/>
          <w:szCs w:val="20"/>
          <w:lang w:val="uk-UA"/>
        </w:rPr>
      </w:pPr>
      <w:r w:rsidRPr="00E16672">
        <w:rPr>
          <w:rFonts w:ascii="Times New Roman" w:eastAsia="Arial Unicode MS" w:hAnsi="Times New Roman"/>
          <w:color w:val="000000"/>
          <w:szCs w:val="20"/>
          <w:lang w:val="uk-UA"/>
        </w:rPr>
        <w:t>9.3</w:t>
      </w:r>
      <w:r w:rsidR="00E357FB" w:rsidRPr="00E16672">
        <w:rPr>
          <w:rFonts w:ascii="Times New Roman" w:eastAsia="Arial Unicode MS" w:hAnsi="Times New Roman"/>
          <w:color w:val="000000"/>
          <w:szCs w:val="20"/>
          <w:lang w:val="uk-UA"/>
        </w:rPr>
        <w:t>.</w:t>
      </w:r>
      <w:r w:rsidRPr="00E16672">
        <w:rPr>
          <w:rFonts w:ascii="Times New Roman" w:eastAsia="Arial Unicode MS" w:hAnsi="Times New Roman"/>
          <w:color w:val="000000"/>
          <w:szCs w:val="20"/>
          <w:lang w:val="uk-UA"/>
        </w:rPr>
        <w:t xml:space="preserve">  У випадку розірвання Договору Сторони мають право на компенсацію всіх своїх витрат по виконанню цього Договору.</w:t>
      </w:r>
    </w:p>
    <w:p w14:paraId="3DC1FAEA" w14:textId="77777777" w:rsidR="000A5A99" w:rsidRPr="00E16672" w:rsidRDefault="000A5A99" w:rsidP="000A5A99">
      <w:pPr>
        <w:pStyle w:val="1"/>
        <w:tabs>
          <w:tab w:val="left" w:pos="432"/>
        </w:tabs>
        <w:rPr>
          <w:rFonts w:ascii="Times New Roman" w:eastAsia="Arial Unicode MS" w:hAnsi="Times New Roman" w:cs="Times New Roman"/>
          <w:bCs w:val="0"/>
          <w:color w:val="000000"/>
          <w:sz w:val="20"/>
          <w:lang w:val="uk-UA"/>
        </w:rPr>
      </w:pPr>
      <w:r w:rsidRPr="00E16672">
        <w:rPr>
          <w:rFonts w:ascii="Times New Roman" w:eastAsia="Arial Unicode MS" w:hAnsi="Times New Roman" w:cs="Times New Roman"/>
          <w:bCs w:val="0"/>
          <w:color w:val="000000"/>
          <w:sz w:val="20"/>
          <w:lang w:val="uk-UA"/>
        </w:rPr>
        <w:t>10.ПОРЯДОК ЗМІНИ УМОВ ДОГОВОРУ</w:t>
      </w:r>
    </w:p>
    <w:p w14:paraId="55C3B02F" w14:textId="77777777" w:rsidR="000A5A99" w:rsidRPr="00E16672" w:rsidRDefault="000A5A99" w:rsidP="000A5A99">
      <w:pPr>
        <w:pStyle w:val="22"/>
        <w:ind w:firstLine="525"/>
        <w:rPr>
          <w:rFonts w:ascii="Times New Roman" w:eastAsia="Arial Unicode MS" w:hAnsi="Times New Roman"/>
          <w:color w:val="000000"/>
        </w:rPr>
      </w:pPr>
      <w:r w:rsidRPr="00E16672">
        <w:rPr>
          <w:rFonts w:ascii="Times New Roman" w:eastAsia="Arial Unicode MS" w:hAnsi="Times New Roman"/>
          <w:color w:val="000000"/>
        </w:rPr>
        <w:t>10.1. Зміни в умови Договору вносяться за взаємною домовленістю Сторін, яка оформлена у письмовій формі, шляхом укладання додаткових угод, які підписуються уповноваженими особами Сторін і скріплюються печатками Сторін (</w:t>
      </w:r>
      <w:r w:rsidR="003352AE" w:rsidRPr="00E16672">
        <w:rPr>
          <w:rFonts w:ascii="Times New Roman" w:eastAsia="Arial Unicode MS" w:hAnsi="Times New Roman"/>
          <w:color w:val="000000"/>
        </w:rPr>
        <w:t>у разі використання</w:t>
      </w:r>
      <w:r w:rsidRPr="00E16672">
        <w:rPr>
          <w:rFonts w:ascii="Times New Roman" w:eastAsia="Arial Unicode MS" w:hAnsi="Times New Roman"/>
          <w:color w:val="000000"/>
        </w:rPr>
        <w:t xml:space="preserve">). </w:t>
      </w:r>
    </w:p>
    <w:p w14:paraId="4F4AD85C" w14:textId="77777777" w:rsidR="000A5A99" w:rsidRPr="00E16672" w:rsidRDefault="000A5A99" w:rsidP="000A5A99">
      <w:pPr>
        <w:pStyle w:val="22"/>
        <w:ind w:firstLine="525"/>
        <w:rPr>
          <w:rFonts w:ascii="Times New Roman" w:hAnsi="Times New Roman"/>
          <w:color w:val="000000"/>
          <w:shd w:val="clear" w:color="auto" w:fill="FFFFFF"/>
        </w:rPr>
      </w:pPr>
      <w:r w:rsidRPr="00E16672">
        <w:rPr>
          <w:rFonts w:ascii="Times New Roman" w:hAnsi="Times New Roman"/>
          <w:color w:val="000000"/>
        </w:rPr>
        <w:t xml:space="preserve">10.2. </w:t>
      </w:r>
      <w:r w:rsidRPr="00E16672">
        <w:rPr>
          <w:rFonts w:ascii="Times New Roman" w:hAnsi="Times New Roman"/>
          <w:color w:val="000000"/>
          <w:shd w:val="clear" w:color="auto" w:fill="FFFFFF"/>
        </w:rPr>
        <w:t xml:space="preserve">Додаткові угоди набирають чинності з моменту їх підписання та є невід’ємною частиною Договору про обслуговування (відкриття) рахунків </w:t>
      </w:r>
      <w:r w:rsidR="00C22309" w:rsidRPr="00E16672">
        <w:rPr>
          <w:rFonts w:ascii="Times New Roman" w:hAnsi="Times New Roman"/>
          <w:color w:val="000000"/>
          <w:shd w:val="clear" w:color="auto" w:fill="FFFFFF"/>
        </w:rPr>
        <w:t>в цін</w:t>
      </w:r>
      <w:r w:rsidRPr="00E16672">
        <w:rPr>
          <w:rFonts w:ascii="Times New Roman" w:hAnsi="Times New Roman"/>
          <w:color w:val="000000"/>
          <w:shd w:val="clear" w:color="auto" w:fill="FFFFFF"/>
        </w:rPr>
        <w:t>них паперах.</w:t>
      </w:r>
    </w:p>
    <w:p w14:paraId="055B20BC" w14:textId="77777777" w:rsidR="00786738" w:rsidRPr="00E16672" w:rsidRDefault="00786738" w:rsidP="000A5A99">
      <w:pPr>
        <w:pStyle w:val="1"/>
        <w:widowControl w:val="0"/>
        <w:tabs>
          <w:tab w:val="left" w:pos="0"/>
          <w:tab w:val="left" w:pos="432"/>
        </w:tabs>
        <w:ind w:left="432" w:hanging="432"/>
        <w:rPr>
          <w:rFonts w:ascii="Times New Roman" w:eastAsia="Arial Unicode MS" w:hAnsi="Times New Roman" w:cs="Times New Roman"/>
          <w:bCs w:val="0"/>
          <w:color w:val="000000"/>
          <w:sz w:val="20"/>
          <w:lang w:val="uk-UA"/>
        </w:rPr>
      </w:pPr>
    </w:p>
    <w:p w14:paraId="14038193" w14:textId="77777777" w:rsidR="000A5A99" w:rsidRPr="00E16672" w:rsidRDefault="000A5A99" w:rsidP="000A5A99">
      <w:pPr>
        <w:pStyle w:val="1"/>
        <w:widowControl w:val="0"/>
        <w:tabs>
          <w:tab w:val="left" w:pos="0"/>
          <w:tab w:val="left" w:pos="432"/>
        </w:tabs>
        <w:ind w:left="432" w:hanging="432"/>
        <w:rPr>
          <w:rFonts w:ascii="Times New Roman" w:eastAsia="Arial Unicode MS" w:hAnsi="Times New Roman" w:cs="Times New Roman"/>
          <w:bCs w:val="0"/>
          <w:color w:val="000000"/>
          <w:sz w:val="20"/>
          <w:lang w:val="uk-UA"/>
        </w:rPr>
      </w:pPr>
      <w:r w:rsidRPr="00E16672">
        <w:rPr>
          <w:rFonts w:ascii="Times New Roman" w:eastAsia="Arial Unicode MS" w:hAnsi="Times New Roman" w:cs="Times New Roman"/>
          <w:bCs w:val="0"/>
          <w:color w:val="000000"/>
          <w:sz w:val="20"/>
          <w:lang w:val="uk-UA"/>
        </w:rPr>
        <w:t>11. ОСОБЛИВІ УМОВИ</w:t>
      </w:r>
    </w:p>
    <w:p w14:paraId="658E9D7F" w14:textId="77777777" w:rsidR="000A5A99" w:rsidRPr="00E16672" w:rsidRDefault="000A5A99" w:rsidP="000A5A99">
      <w:pPr>
        <w:pStyle w:val="22"/>
        <w:ind w:firstLine="555"/>
        <w:rPr>
          <w:rFonts w:ascii="Times New Roman" w:eastAsia="Arial Unicode MS" w:hAnsi="Times New Roman"/>
          <w:color w:val="000000"/>
        </w:rPr>
      </w:pPr>
      <w:r w:rsidRPr="00E16672">
        <w:rPr>
          <w:rFonts w:ascii="Times New Roman" w:eastAsia="Arial Unicode MS" w:hAnsi="Times New Roman"/>
          <w:color w:val="000000"/>
        </w:rPr>
        <w:t>11.1. Депозитарна установа має статус платника податку на прибуток підприємства на загальних умовах.</w:t>
      </w:r>
    </w:p>
    <w:p w14:paraId="2B3CFAB6" w14:textId="77777777" w:rsidR="000A5A99" w:rsidRPr="00E16672" w:rsidRDefault="000A5A99" w:rsidP="000A5A99">
      <w:pPr>
        <w:pStyle w:val="22"/>
        <w:ind w:firstLine="555"/>
        <w:rPr>
          <w:rFonts w:ascii="Times New Roman" w:hAnsi="Times New Roman"/>
          <w:color w:val="000000"/>
          <w:shd w:val="clear" w:color="auto" w:fill="FFFFFF"/>
        </w:rPr>
      </w:pPr>
      <w:r w:rsidRPr="00E16672">
        <w:rPr>
          <w:rFonts w:ascii="Times New Roman" w:hAnsi="Times New Roman"/>
          <w:color w:val="000000"/>
          <w:shd w:val="clear" w:color="auto" w:fill="FFFFFF"/>
        </w:rPr>
        <w:t xml:space="preserve">11.2. Підписанням цього Договору Емітент засвідчує, що до моменту підписання Договору він був ознайомлений з Внутрішніми документами та тарифами </w:t>
      </w:r>
      <w:r w:rsidRPr="00E16672">
        <w:rPr>
          <w:rFonts w:ascii="Times New Roman" w:eastAsia="Arial Unicode MS" w:hAnsi="Times New Roman"/>
          <w:color w:val="000000"/>
        </w:rPr>
        <w:t>Депозитарної установи</w:t>
      </w:r>
      <w:r w:rsidRPr="00E16672">
        <w:rPr>
          <w:rFonts w:ascii="Times New Roman" w:hAnsi="Times New Roman"/>
          <w:color w:val="000000"/>
          <w:shd w:val="clear" w:color="auto" w:fill="FFFFFF"/>
        </w:rPr>
        <w:t xml:space="preserve">, яке врегульовує взаємини Емітента та </w:t>
      </w:r>
      <w:r w:rsidRPr="00E16672">
        <w:rPr>
          <w:rFonts w:ascii="Times New Roman" w:eastAsia="Arial Unicode MS" w:hAnsi="Times New Roman"/>
          <w:color w:val="000000"/>
        </w:rPr>
        <w:t>Депозитарної установи</w:t>
      </w:r>
      <w:r w:rsidRPr="00E16672">
        <w:rPr>
          <w:rFonts w:ascii="Times New Roman" w:hAnsi="Times New Roman"/>
          <w:color w:val="000000"/>
          <w:shd w:val="clear" w:color="auto" w:fill="FFFFFF"/>
        </w:rPr>
        <w:t xml:space="preserve">. </w:t>
      </w:r>
    </w:p>
    <w:p w14:paraId="5D6AEF55" w14:textId="77777777" w:rsidR="000A5A99" w:rsidRPr="00E16672" w:rsidRDefault="000A5A99" w:rsidP="00022F5F">
      <w:pPr>
        <w:pStyle w:val="32"/>
        <w:tabs>
          <w:tab w:val="left" w:pos="1080"/>
          <w:tab w:val="left" w:pos="1134"/>
        </w:tabs>
        <w:ind w:firstLine="555"/>
        <w:jc w:val="left"/>
        <w:rPr>
          <w:rFonts w:ascii="Times New Roman" w:hAnsi="Times New Roman"/>
          <w:color w:val="000000"/>
          <w:sz w:val="20"/>
          <w:lang w:val="uk-UA"/>
        </w:rPr>
      </w:pPr>
      <w:r w:rsidRPr="00E16672">
        <w:rPr>
          <w:rFonts w:ascii="Times New Roman" w:hAnsi="Times New Roman"/>
          <w:color w:val="000000"/>
          <w:sz w:val="20"/>
          <w:lang w:val="uk-UA"/>
        </w:rPr>
        <w:lastRenderedPageBreak/>
        <w:t xml:space="preserve">Підписанням цього Договору Сторони підтверджують, що до моменту підписання Договору Емітенту була надана вичерпна інформація, необхідна для укладення даного Договору, щодо фінансової послуги, що є предметом цього Договору, зазначена в частині другій статті 12 Закону України </w:t>
      </w:r>
      <w:r w:rsidR="00022F5F">
        <w:rPr>
          <w:rFonts w:ascii="Times New Roman" w:hAnsi="Times New Roman"/>
          <w:color w:val="000000"/>
          <w:sz w:val="20"/>
          <w:lang w:val="uk-UA"/>
        </w:rPr>
        <w:t>"</w:t>
      </w:r>
      <w:r w:rsidRPr="00E16672">
        <w:rPr>
          <w:rFonts w:ascii="Times New Roman" w:hAnsi="Times New Roman"/>
          <w:color w:val="000000"/>
          <w:sz w:val="20"/>
          <w:lang w:val="uk-UA"/>
        </w:rPr>
        <w:t>Про фінансові послуги та державне регулювання ринків фінансових послуг</w:t>
      </w:r>
      <w:r w:rsidR="00022F5F">
        <w:rPr>
          <w:rFonts w:ascii="Times New Roman" w:hAnsi="Times New Roman"/>
          <w:color w:val="000000"/>
          <w:sz w:val="20"/>
          <w:lang w:val="uk-UA"/>
        </w:rPr>
        <w:t>"</w:t>
      </w:r>
      <w:r w:rsidRPr="00E16672">
        <w:rPr>
          <w:rFonts w:ascii="Times New Roman" w:hAnsi="Times New Roman"/>
          <w:color w:val="000000"/>
          <w:sz w:val="20"/>
          <w:lang w:val="uk-UA"/>
        </w:rPr>
        <w:t>.</w:t>
      </w:r>
    </w:p>
    <w:p w14:paraId="6A6C7A33" w14:textId="77777777" w:rsidR="000A5A99" w:rsidRPr="00E16672" w:rsidRDefault="000A5A99" w:rsidP="000A5A99">
      <w:pPr>
        <w:pStyle w:val="ae"/>
        <w:tabs>
          <w:tab w:val="left" w:pos="1080"/>
          <w:tab w:val="left" w:pos="1134"/>
        </w:tabs>
        <w:ind w:firstLine="555"/>
        <w:rPr>
          <w:rFonts w:ascii="Times New Roman" w:hAnsi="Times New Roman"/>
          <w:color w:val="000000"/>
          <w:szCs w:val="20"/>
        </w:rPr>
      </w:pPr>
      <w:r w:rsidRPr="00E16672">
        <w:rPr>
          <w:rFonts w:ascii="Times New Roman" w:hAnsi="Times New Roman"/>
          <w:color w:val="000000"/>
          <w:szCs w:val="20"/>
        </w:rPr>
        <w:t>Інформація, що була надана Емітенту, забезпечила правильне розуміння Емітентом суті фінансової послуги, що має надаватись, без нав'язування її придбання.</w:t>
      </w:r>
    </w:p>
    <w:p w14:paraId="5E98ED10" w14:textId="77777777" w:rsidR="000A5A99" w:rsidRPr="00E16672" w:rsidRDefault="000A5A99" w:rsidP="00022F5F">
      <w:pPr>
        <w:pStyle w:val="ae"/>
        <w:tabs>
          <w:tab w:val="left" w:pos="426"/>
        </w:tabs>
        <w:ind w:firstLine="555"/>
        <w:jc w:val="left"/>
        <w:rPr>
          <w:rFonts w:ascii="Times New Roman" w:hAnsi="Times New Roman"/>
          <w:color w:val="000000"/>
          <w:szCs w:val="20"/>
          <w:shd w:val="clear" w:color="auto" w:fill="FFFFFF"/>
        </w:rPr>
      </w:pPr>
      <w:r w:rsidRPr="00E16672">
        <w:rPr>
          <w:rFonts w:ascii="Times New Roman" w:hAnsi="Times New Roman"/>
          <w:color w:val="000000"/>
          <w:szCs w:val="20"/>
          <w:shd w:val="clear" w:color="auto" w:fill="FFFFFF"/>
        </w:rPr>
        <w:t xml:space="preserve">11.3. На виконання вимог Закону України </w:t>
      </w:r>
      <w:r w:rsidR="00022F5F">
        <w:rPr>
          <w:rFonts w:ascii="Times New Roman" w:hAnsi="Times New Roman"/>
          <w:color w:val="000000"/>
          <w:szCs w:val="20"/>
          <w:shd w:val="clear" w:color="auto" w:fill="FFFFFF"/>
        </w:rPr>
        <w:t>"</w:t>
      </w:r>
      <w:r w:rsidRPr="00E16672">
        <w:rPr>
          <w:rFonts w:ascii="Times New Roman" w:hAnsi="Times New Roman"/>
          <w:color w:val="000000"/>
          <w:szCs w:val="20"/>
          <w:shd w:val="clear" w:color="auto" w:fill="FFFFFF"/>
        </w:rPr>
        <w:t>Про захист персональних даних</w:t>
      </w:r>
      <w:r w:rsidR="00022F5F">
        <w:rPr>
          <w:rFonts w:ascii="Times New Roman" w:hAnsi="Times New Roman"/>
          <w:color w:val="000000"/>
          <w:szCs w:val="20"/>
          <w:shd w:val="clear" w:color="auto" w:fill="FFFFFF"/>
        </w:rPr>
        <w:t>"</w:t>
      </w:r>
      <w:r w:rsidRPr="00E16672">
        <w:rPr>
          <w:rFonts w:ascii="Times New Roman" w:hAnsi="Times New Roman"/>
          <w:color w:val="000000"/>
          <w:szCs w:val="20"/>
          <w:shd w:val="clear" w:color="auto" w:fill="FFFFFF"/>
        </w:rPr>
        <w:t xml:space="preserve"> у разі отримання </w:t>
      </w:r>
      <w:r w:rsidRPr="00E16672">
        <w:rPr>
          <w:rFonts w:ascii="Times New Roman" w:eastAsia="Arial Unicode MS" w:hAnsi="Times New Roman"/>
          <w:color w:val="000000"/>
          <w:szCs w:val="20"/>
        </w:rPr>
        <w:t>Депозитарною установою</w:t>
      </w:r>
      <w:r w:rsidRPr="00E16672">
        <w:rPr>
          <w:rFonts w:ascii="Times New Roman" w:hAnsi="Times New Roman"/>
          <w:color w:val="000000"/>
          <w:szCs w:val="20"/>
          <w:shd w:val="clear" w:color="auto" w:fill="FFFFFF"/>
        </w:rPr>
        <w:t xml:space="preserve"> інформації, яка стосується персональних даних фізичних осіб, Сторона, що надала такі дані, підписанням цього Договору підтверджує легітимність їх отримання, та право на передання </w:t>
      </w:r>
      <w:r w:rsidRPr="00E16672">
        <w:rPr>
          <w:rFonts w:ascii="Times New Roman" w:eastAsia="Arial Unicode MS" w:hAnsi="Times New Roman"/>
          <w:color w:val="000000"/>
          <w:szCs w:val="20"/>
        </w:rPr>
        <w:t>Депозитарній установі</w:t>
      </w:r>
      <w:r w:rsidRPr="00E16672">
        <w:rPr>
          <w:rFonts w:ascii="Times New Roman" w:hAnsi="Times New Roman"/>
          <w:color w:val="000000"/>
          <w:szCs w:val="20"/>
          <w:shd w:val="clear" w:color="auto" w:fill="FFFFFF"/>
        </w:rPr>
        <w:t xml:space="preserve"> таких даних для використання (обробки) </w:t>
      </w:r>
      <w:r w:rsidRPr="00E16672">
        <w:rPr>
          <w:rFonts w:ascii="Times New Roman" w:eastAsia="Arial Unicode MS" w:hAnsi="Times New Roman"/>
          <w:color w:val="000000"/>
          <w:szCs w:val="20"/>
        </w:rPr>
        <w:t>Депозитарною установою</w:t>
      </w:r>
      <w:r w:rsidRPr="00E16672">
        <w:rPr>
          <w:rFonts w:ascii="Times New Roman" w:hAnsi="Times New Roman"/>
          <w:color w:val="000000"/>
          <w:szCs w:val="20"/>
          <w:shd w:val="clear" w:color="auto" w:fill="FFFFFF"/>
        </w:rPr>
        <w:t xml:space="preserve"> у випадках, передбачених законодавством, а також – передання </w:t>
      </w:r>
      <w:r w:rsidRPr="00E16672">
        <w:rPr>
          <w:rFonts w:ascii="Times New Roman" w:eastAsia="Arial Unicode MS" w:hAnsi="Times New Roman"/>
          <w:color w:val="000000"/>
          <w:szCs w:val="20"/>
        </w:rPr>
        <w:t>Депозитарною установою</w:t>
      </w:r>
      <w:r w:rsidRPr="00E16672">
        <w:rPr>
          <w:rFonts w:ascii="Times New Roman" w:hAnsi="Times New Roman"/>
          <w:color w:val="000000"/>
          <w:szCs w:val="20"/>
          <w:shd w:val="clear" w:color="auto" w:fill="FFFFFF"/>
        </w:rPr>
        <w:t xml:space="preserve"> таких даних третім особам у випадках, встановлених чинним законодавством України. </w:t>
      </w:r>
    </w:p>
    <w:p w14:paraId="2BCB664A" w14:textId="77777777" w:rsidR="000A5A99" w:rsidRPr="00E16672" w:rsidRDefault="000A5A99" w:rsidP="000D0438">
      <w:pPr>
        <w:pStyle w:val="22"/>
        <w:widowControl w:val="0"/>
        <w:numPr>
          <w:ilvl w:val="1"/>
          <w:numId w:val="5"/>
        </w:numPr>
        <w:tabs>
          <w:tab w:val="left" w:pos="1080"/>
        </w:tabs>
        <w:ind w:firstLine="573"/>
        <w:rPr>
          <w:rFonts w:ascii="Times New Roman" w:eastAsia="Arial Unicode MS" w:hAnsi="Times New Roman"/>
          <w:color w:val="000000"/>
        </w:rPr>
      </w:pPr>
      <w:r w:rsidRPr="00E16672">
        <w:rPr>
          <w:rFonts w:ascii="Times New Roman" w:eastAsia="Arial Unicode MS" w:hAnsi="Times New Roman"/>
          <w:color w:val="000000"/>
        </w:rPr>
        <w:t>11.4. Зміни в умови Договору вносяться за взаємною домовленістю Сторін, яка оформлена у письмовій формі, шляхом укладання додаткових угод, які підписуються уповноваженими особами Сторін і скріплюються печатками Сторін (</w:t>
      </w:r>
      <w:r w:rsidR="003352AE" w:rsidRPr="00E16672">
        <w:rPr>
          <w:rFonts w:ascii="Times New Roman" w:eastAsia="Arial Unicode MS" w:hAnsi="Times New Roman"/>
          <w:color w:val="000000"/>
        </w:rPr>
        <w:t>у разі використання</w:t>
      </w:r>
      <w:r w:rsidRPr="00E16672">
        <w:rPr>
          <w:rFonts w:ascii="Times New Roman" w:eastAsia="Arial Unicode MS" w:hAnsi="Times New Roman"/>
          <w:color w:val="000000"/>
        </w:rPr>
        <w:t>).</w:t>
      </w:r>
    </w:p>
    <w:p w14:paraId="351FF8CE" w14:textId="77777777" w:rsidR="000A5A99" w:rsidRPr="00E16672" w:rsidRDefault="000A5A99" w:rsidP="000D0438">
      <w:pPr>
        <w:pStyle w:val="22"/>
        <w:widowControl w:val="0"/>
        <w:numPr>
          <w:ilvl w:val="1"/>
          <w:numId w:val="5"/>
        </w:numPr>
        <w:tabs>
          <w:tab w:val="left" w:pos="1080"/>
        </w:tabs>
        <w:ind w:firstLine="567"/>
        <w:rPr>
          <w:rFonts w:ascii="Times New Roman" w:eastAsia="Arial Unicode MS" w:hAnsi="Times New Roman"/>
          <w:color w:val="000000"/>
        </w:rPr>
      </w:pPr>
      <w:r w:rsidRPr="00E16672">
        <w:rPr>
          <w:rFonts w:ascii="Times New Roman" w:eastAsia="Arial Unicode MS" w:hAnsi="Times New Roman"/>
          <w:color w:val="000000"/>
        </w:rPr>
        <w:t xml:space="preserve">11.5. Додаткові угоди набирають чинності з моменту їх підписання та є невід’ємною частиною Договору про обслуговування (відкриття) рахунків в цінних паперах власників іменних цінних паперів. </w:t>
      </w:r>
    </w:p>
    <w:p w14:paraId="2698BB19" w14:textId="77777777" w:rsidR="000A5A99" w:rsidRPr="00E16672" w:rsidRDefault="000A5A99" w:rsidP="000D0438">
      <w:pPr>
        <w:pStyle w:val="22"/>
        <w:widowControl w:val="0"/>
        <w:numPr>
          <w:ilvl w:val="1"/>
          <w:numId w:val="5"/>
        </w:numPr>
        <w:tabs>
          <w:tab w:val="left" w:pos="1080"/>
        </w:tabs>
        <w:ind w:firstLine="567"/>
        <w:rPr>
          <w:rFonts w:ascii="Times New Roman" w:eastAsia="Arial Unicode MS" w:hAnsi="Times New Roman"/>
          <w:color w:val="000000"/>
        </w:rPr>
      </w:pPr>
      <w:r w:rsidRPr="00E16672">
        <w:rPr>
          <w:rFonts w:ascii="Times New Roman" w:eastAsia="Arial Unicode MS" w:hAnsi="Times New Roman"/>
          <w:color w:val="000000"/>
        </w:rPr>
        <w:t>11.6. Інші питання, які не регулюються положеннями цього Договору, регулюються чинним законодавством України.</w:t>
      </w:r>
    </w:p>
    <w:p w14:paraId="4C4E73C4" w14:textId="77777777" w:rsidR="000A5A99" w:rsidRPr="00E16672" w:rsidRDefault="000A5A99" w:rsidP="000A5A99">
      <w:pPr>
        <w:rPr>
          <w:rFonts w:ascii="Times New Roman" w:hAnsi="Times New Roman"/>
          <w:szCs w:val="20"/>
        </w:rPr>
      </w:pPr>
      <w:r w:rsidRPr="00E16672">
        <w:rPr>
          <w:rFonts w:ascii="Times New Roman" w:eastAsia="Arial Unicode MS" w:hAnsi="Times New Roman"/>
          <w:color w:val="000000"/>
          <w:szCs w:val="20"/>
        </w:rPr>
        <w:t>11.7.</w:t>
      </w:r>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Емітент</w:t>
      </w:r>
      <w:proofErr w:type="spellEnd"/>
      <w:r w:rsidRPr="00E16672">
        <w:rPr>
          <w:rFonts w:ascii="Times New Roman" w:hAnsi="Times New Roman"/>
          <w:szCs w:val="20"/>
        </w:rPr>
        <w:t xml:space="preserve"> </w:t>
      </w:r>
      <w:proofErr w:type="spellStart"/>
      <w:r w:rsidRPr="00E16672">
        <w:rPr>
          <w:rFonts w:ascii="Times New Roman" w:hAnsi="Times New Roman"/>
          <w:szCs w:val="20"/>
        </w:rPr>
        <w:t>бере</w:t>
      </w:r>
      <w:proofErr w:type="spellEnd"/>
      <w:r w:rsidRPr="00E16672">
        <w:rPr>
          <w:rFonts w:ascii="Times New Roman" w:hAnsi="Times New Roman"/>
          <w:szCs w:val="20"/>
        </w:rPr>
        <w:t xml:space="preserve"> на себе </w:t>
      </w:r>
      <w:proofErr w:type="spellStart"/>
      <w:r w:rsidRPr="00E16672">
        <w:rPr>
          <w:rFonts w:ascii="Times New Roman" w:hAnsi="Times New Roman"/>
          <w:szCs w:val="20"/>
        </w:rPr>
        <w:t>відповідальність</w:t>
      </w:r>
      <w:proofErr w:type="spellEnd"/>
      <w:r w:rsidRPr="00E16672">
        <w:rPr>
          <w:rFonts w:ascii="Times New Roman" w:hAnsi="Times New Roman"/>
          <w:szCs w:val="20"/>
        </w:rPr>
        <w:t xml:space="preserve"> за </w:t>
      </w:r>
      <w:proofErr w:type="spellStart"/>
      <w:r w:rsidRPr="00E16672">
        <w:rPr>
          <w:rFonts w:ascii="Times New Roman" w:hAnsi="Times New Roman"/>
          <w:szCs w:val="20"/>
        </w:rPr>
        <w:t>достовірність</w:t>
      </w:r>
      <w:proofErr w:type="spellEnd"/>
      <w:r w:rsidRPr="00E16672">
        <w:rPr>
          <w:rFonts w:ascii="Times New Roman" w:hAnsi="Times New Roman"/>
          <w:szCs w:val="20"/>
        </w:rPr>
        <w:t xml:space="preserve"> </w:t>
      </w:r>
      <w:proofErr w:type="spellStart"/>
      <w:r w:rsidRPr="00E16672">
        <w:rPr>
          <w:rFonts w:ascii="Times New Roman" w:hAnsi="Times New Roman"/>
          <w:szCs w:val="20"/>
        </w:rPr>
        <w:t>інформації</w:t>
      </w:r>
      <w:proofErr w:type="spellEnd"/>
      <w:r w:rsidRPr="00E16672">
        <w:rPr>
          <w:rFonts w:ascii="Times New Roman" w:hAnsi="Times New Roman"/>
          <w:szCs w:val="20"/>
        </w:rPr>
        <w:t xml:space="preserve">, </w:t>
      </w:r>
      <w:proofErr w:type="spellStart"/>
      <w:r w:rsidRPr="00E16672">
        <w:rPr>
          <w:rFonts w:ascii="Times New Roman" w:hAnsi="Times New Roman"/>
          <w:szCs w:val="20"/>
        </w:rPr>
        <w:t>що</w:t>
      </w:r>
      <w:proofErr w:type="spellEnd"/>
      <w:r w:rsidRPr="00E16672">
        <w:rPr>
          <w:rFonts w:ascii="Times New Roman" w:hAnsi="Times New Roman"/>
          <w:szCs w:val="20"/>
        </w:rPr>
        <w:t xml:space="preserve"> </w:t>
      </w:r>
      <w:proofErr w:type="spellStart"/>
      <w:r w:rsidRPr="00E16672">
        <w:rPr>
          <w:rFonts w:ascii="Times New Roman" w:hAnsi="Times New Roman"/>
          <w:szCs w:val="20"/>
        </w:rPr>
        <w:t>міститься</w:t>
      </w:r>
      <w:proofErr w:type="spellEnd"/>
      <w:r w:rsidRPr="00E16672">
        <w:rPr>
          <w:rFonts w:ascii="Times New Roman" w:hAnsi="Times New Roman"/>
          <w:szCs w:val="20"/>
        </w:rPr>
        <w:t xml:space="preserve"> в документах, </w:t>
      </w:r>
      <w:proofErr w:type="spellStart"/>
      <w:r w:rsidRPr="00E16672">
        <w:rPr>
          <w:rFonts w:ascii="Times New Roman" w:hAnsi="Times New Roman"/>
          <w:szCs w:val="20"/>
        </w:rPr>
        <w:t>які</w:t>
      </w:r>
      <w:proofErr w:type="spellEnd"/>
      <w:r w:rsidRPr="00E16672">
        <w:rPr>
          <w:rFonts w:ascii="Times New Roman" w:hAnsi="Times New Roman"/>
          <w:szCs w:val="20"/>
        </w:rPr>
        <w:t xml:space="preserve"> </w:t>
      </w:r>
      <w:proofErr w:type="spellStart"/>
      <w:r w:rsidRPr="00E16672">
        <w:rPr>
          <w:rFonts w:ascii="Times New Roman" w:hAnsi="Times New Roman"/>
          <w:szCs w:val="20"/>
        </w:rPr>
        <w:t>подаються</w:t>
      </w:r>
      <w:proofErr w:type="spellEnd"/>
      <w:r w:rsidRPr="00E16672">
        <w:rPr>
          <w:rFonts w:ascii="Times New Roman" w:hAnsi="Times New Roman"/>
          <w:szCs w:val="20"/>
        </w:rPr>
        <w:t xml:space="preserve"> </w:t>
      </w:r>
      <w:proofErr w:type="spellStart"/>
      <w:r w:rsidRPr="00E16672">
        <w:rPr>
          <w:rFonts w:ascii="Times New Roman" w:hAnsi="Times New Roman"/>
          <w:szCs w:val="20"/>
        </w:rPr>
        <w:t>Емітентом</w:t>
      </w:r>
      <w:proofErr w:type="spellEnd"/>
      <w:r w:rsidRPr="00E16672">
        <w:rPr>
          <w:rFonts w:ascii="Times New Roman" w:hAnsi="Times New Roman"/>
          <w:szCs w:val="20"/>
        </w:rPr>
        <w:t xml:space="preserve"> </w:t>
      </w:r>
      <w:proofErr w:type="spellStart"/>
      <w:r w:rsidRPr="00E16672">
        <w:rPr>
          <w:rFonts w:ascii="Times New Roman" w:hAnsi="Times New Roman"/>
          <w:szCs w:val="20"/>
        </w:rPr>
        <w:t>Депозитарній</w:t>
      </w:r>
      <w:proofErr w:type="spellEnd"/>
      <w:r w:rsidRPr="00E16672">
        <w:rPr>
          <w:rFonts w:ascii="Times New Roman" w:hAnsi="Times New Roman"/>
          <w:szCs w:val="20"/>
        </w:rPr>
        <w:t xml:space="preserve"> </w:t>
      </w:r>
      <w:proofErr w:type="spellStart"/>
      <w:r w:rsidRPr="00E16672">
        <w:rPr>
          <w:rFonts w:ascii="Times New Roman" w:hAnsi="Times New Roman"/>
          <w:szCs w:val="20"/>
        </w:rPr>
        <w:t>установі</w:t>
      </w:r>
      <w:proofErr w:type="spellEnd"/>
      <w:r w:rsidRPr="00E16672">
        <w:rPr>
          <w:rFonts w:ascii="Times New Roman" w:hAnsi="Times New Roman"/>
          <w:szCs w:val="20"/>
        </w:rPr>
        <w:t xml:space="preserve">, у тому </w:t>
      </w:r>
      <w:proofErr w:type="spellStart"/>
      <w:r w:rsidRPr="00E16672">
        <w:rPr>
          <w:rFonts w:ascii="Times New Roman" w:hAnsi="Times New Roman"/>
          <w:szCs w:val="20"/>
        </w:rPr>
        <w:t>числі</w:t>
      </w:r>
      <w:proofErr w:type="spellEnd"/>
      <w:r w:rsidRPr="00E16672">
        <w:rPr>
          <w:rFonts w:ascii="Times New Roman" w:hAnsi="Times New Roman"/>
          <w:szCs w:val="20"/>
        </w:rPr>
        <w:t xml:space="preserve"> документах, за </w:t>
      </w:r>
      <w:proofErr w:type="spellStart"/>
      <w:r w:rsidRPr="00E16672">
        <w:rPr>
          <w:rFonts w:ascii="Times New Roman" w:hAnsi="Times New Roman"/>
          <w:szCs w:val="20"/>
        </w:rPr>
        <w:t>якими</w:t>
      </w:r>
      <w:proofErr w:type="spellEnd"/>
      <w:r w:rsidRPr="00E16672">
        <w:rPr>
          <w:rFonts w:ascii="Times New Roman" w:hAnsi="Times New Roman"/>
          <w:szCs w:val="20"/>
        </w:rPr>
        <w:t xml:space="preserve"> </w:t>
      </w:r>
      <w:proofErr w:type="spellStart"/>
      <w:r w:rsidRPr="00E16672">
        <w:rPr>
          <w:rFonts w:ascii="Times New Roman" w:hAnsi="Times New Roman"/>
          <w:szCs w:val="20"/>
        </w:rPr>
        <w:t>Депозитарній</w:t>
      </w:r>
      <w:proofErr w:type="spellEnd"/>
      <w:r w:rsidRPr="00E16672">
        <w:rPr>
          <w:rFonts w:ascii="Times New Roman" w:hAnsi="Times New Roman"/>
          <w:szCs w:val="20"/>
        </w:rPr>
        <w:t xml:space="preserve"> </w:t>
      </w:r>
      <w:proofErr w:type="spellStart"/>
      <w:r w:rsidRPr="00E16672">
        <w:rPr>
          <w:rFonts w:ascii="Times New Roman" w:hAnsi="Times New Roman"/>
          <w:szCs w:val="20"/>
        </w:rPr>
        <w:t>установі</w:t>
      </w:r>
      <w:proofErr w:type="spellEnd"/>
      <w:r w:rsidRPr="00E16672">
        <w:rPr>
          <w:rFonts w:ascii="Times New Roman" w:hAnsi="Times New Roman"/>
          <w:szCs w:val="20"/>
        </w:rPr>
        <w:t xml:space="preserve"> </w:t>
      </w:r>
      <w:proofErr w:type="spellStart"/>
      <w:r w:rsidRPr="00E16672">
        <w:rPr>
          <w:rFonts w:ascii="Times New Roman" w:hAnsi="Times New Roman"/>
          <w:szCs w:val="20"/>
        </w:rPr>
        <w:t>Емітентом</w:t>
      </w:r>
      <w:proofErr w:type="spellEnd"/>
      <w:r w:rsidRPr="00E16672">
        <w:rPr>
          <w:rFonts w:ascii="Times New Roman" w:hAnsi="Times New Roman"/>
          <w:szCs w:val="20"/>
        </w:rPr>
        <w:t xml:space="preserve"> </w:t>
      </w:r>
      <w:proofErr w:type="spellStart"/>
      <w:r w:rsidRPr="00E16672">
        <w:rPr>
          <w:rFonts w:ascii="Times New Roman" w:hAnsi="Times New Roman"/>
          <w:szCs w:val="20"/>
        </w:rPr>
        <w:t>доручається</w:t>
      </w:r>
      <w:proofErr w:type="spellEnd"/>
      <w:r w:rsidRPr="00E16672">
        <w:rPr>
          <w:rFonts w:ascii="Times New Roman" w:hAnsi="Times New Roman"/>
          <w:szCs w:val="20"/>
        </w:rPr>
        <w:t xml:space="preserve"> </w:t>
      </w:r>
      <w:proofErr w:type="spellStart"/>
      <w:r w:rsidRPr="00E16672">
        <w:rPr>
          <w:rFonts w:ascii="Times New Roman" w:hAnsi="Times New Roman"/>
          <w:szCs w:val="20"/>
        </w:rPr>
        <w:t>проведення</w:t>
      </w:r>
      <w:proofErr w:type="spellEnd"/>
      <w:r w:rsidRPr="00E16672">
        <w:rPr>
          <w:rFonts w:ascii="Times New Roman" w:hAnsi="Times New Roman"/>
          <w:szCs w:val="20"/>
        </w:rPr>
        <w:t xml:space="preserve"> </w:t>
      </w:r>
      <w:proofErr w:type="spellStart"/>
      <w:r w:rsidRPr="00E16672">
        <w:rPr>
          <w:rFonts w:ascii="Times New Roman" w:hAnsi="Times New Roman"/>
          <w:szCs w:val="20"/>
        </w:rPr>
        <w:t>депозитарних</w:t>
      </w:r>
      <w:proofErr w:type="spellEnd"/>
      <w:r w:rsidRPr="00E16672">
        <w:rPr>
          <w:rFonts w:ascii="Times New Roman" w:hAnsi="Times New Roman"/>
          <w:szCs w:val="20"/>
        </w:rPr>
        <w:t xml:space="preserve"> </w:t>
      </w:r>
      <w:proofErr w:type="spellStart"/>
      <w:r w:rsidRPr="00E16672">
        <w:rPr>
          <w:rFonts w:ascii="Times New Roman" w:hAnsi="Times New Roman"/>
          <w:szCs w:val="20"/>
        </w:rPr>
        <w:t>операцій</w:t>
      </w:r>
      <w:proofErr w:type="spellEnd"/>
      <w:r w:rsidRPr="00E16672">
        <w:rPr>
          <w:rFonts w:ascii="Times New Roman" w:hAnsi="Times New Roman"/>
          <w:szCs w:val="20"/>
        </w:rPr>
        <w:t xml:space="preserve"> на </w:t>
      </w:r>
      <w:proofErr w:type="spellStart"/>
      <w:r w:rsidRPr="00E16672">
        <w:rPr>
          <w:rFonts w:ascii="Times New Roman" w:hAnsi="Times New Roman"/>
          <w:szCs w:val="20"/>
        </w:rPr>
        <w:t>рахунках</w:t>
      </w:r>
      <w:proofErr w:type="spellEnd"/>
      <w:r w:rsidRPr="00E16672">
        <w:rPr>
          <w:rFonts w:ascii="Times New Roman" w:hAnsi="Times New Roman"/>
          <w:szCs w:val="20"/>
        </w:rPr>
        <w:t xml:space="preserve"> </w:t>
      </w:r>
      <w:proofErr w:type="spellStart"/>
      <w:r w:rsidRPr="00E16672">
        <w:rPr>
          <w:rFonts w:ascii="Times New Roman" w:hAnsi="Times New Roman"/>
          <w:szCs w:val="20"/>
        </w:rPr>
        <w:t>Власників</w:t>
      </w:r>
      <w:proofErr w:type="spellEnd"/>
      <w:r w:rsidRPr="00E16672">
        <w:rPr>
          <w:rFonts w:ascii="Times New Roman" w:hAnsi="Times New Roman"/>
          <w:szCs w:val="20"/>
        </w:rPr>
        <w:t>.</w:t>
      </w:r>
    </w:p>
    <w:p w14:paraId="78BBFD31" w14:textId="77777777" w:rsidR="000A5A99" w:rsidRPr="00E16672" w:rsidRDefault="000A5A99" w:rsidP="000A5A99">
      <w:pPr>
        <w:pStyle w:val="22"/>
        <w:ind w:firstLine="573"/>
        <w:rPr>
          <w:rFonts w:ascii="Times New Roman" w:eastAsia="Arial Unicode MS" w:hAnsi="Times New Roman"/>
          <w:color w:val="000000"/>
        </w:rPr>
      </w:pPr>
    </w:p>
    <w:p w14:paraId="5EED3C95" w14:textId="77777777" w:rsidR="000A5A99" w:rsidRPr="00E16672" w:rsidRDefault="000A5A99" w:rsidP="000D0438">
      <w:pPr>
        <w:pStyle w:val="33"/>
        <w:numPr>
          <w:ilvl w:val="0"/>
          <w:numId w:val="7"/>
        </w:numPr>
        <w:tabs>
          <w:tab w:val="left" w:pos="851"/>
        </w:tabs>
        <w:rPr>
          <w:rFonts w:ascii="Times New Roman" w:hAnsi="Times New Roman" w:cs="Times New Roman"/>
          <w:b/>
          <w:bCs/>
          <w:color w:val="000000"/>
          <w:lang w:val="uk-UA"/>
        </w:rPr>
      </w:pPr>
      <w:r w:rsidRPr="00E16672">
        <w:rPr>
          <w:rFonts w:ascii="Times New Roman" w:hAnsi="Times New Roman" w:cs="Times New Roman"/>
          <w:b/>
          <w:bCs/>
          <w:color w:val="000000"/>
          <w:lang w:val="uk-UA"/>
        </w:rPr>
        <w:t xml:space="preserve">ПРО ВИЗНАННЯ </w:t>
      </w:r>
      <w:r w:rsidR="00D57400" w:rsidRPr="00E16672">
        <w:rPr>
          <w:rFonts w:ascii="Times New Roman" w:hAnsi="Times New Roman" w:cs="Times New Roman"/>
          <w:b/>
          <w:bCs/>
          <w:color w:val="000000"/>
          <w:lang w:val="uk-UA"/>
        </w:rPr>
        <w:t>КВАЛІФІКОВАНОГО ЕЛЕКТРОННОГО</w:t>
      </w:r>
      <w:r w:rsidR="00D57400" w:rsidRPr="00E16672">
        <w:rPr>
          <w:rFonts w:ascii="Times New Roman" w:hAnsi="Times New Roman" w:cs="Times New Roman"/>
          <w:b/>
          <w:color w:val="000000"/>
          <w:sz w:val="22"/>
          <w:szCs w:val="22"/>
        </w:rPr>
        <w:t xml:space="preserve"> </w:t>
      </w:r>
      <w:r w:rsidR="00D57400" w:rsidRPr="00E16672">
        <w:rPr>
          <w:rFonts w:ascii="Times New Roman" w:hAnsi="Times New Roman" w:cs="Times New Roman"/>
          <w:b/>
          <w:color w:val="000000"/>
          <w:lang w:val="uk-UA"/>
        </w:rPr>
        <w:t>ПІДПИСУ</w:t>
      </w:r>
    </w:p>
    <w:p w14:paraId="4E39FCAA" w14:textId="77777777" w:rsidR="000A5A99" w:rsidRPr="00E16672" w:rsidRDefault="000A5A99" w:rsidP="000A5A99">
      <w:pPr>
        <w:pStyle w:val="33"/>
        <w:tabs>
          <w:tab w:val="left" w:pos="851"/>
        </w:tabs>
        <w:ind w:firstLine="525"/>
        <w:rPr>
          <w:rFonts w:ascii="Times New Roman" w:hAnsi="Times New Roman" w:cs="Times New Roman"/>
          <w:color w:val="000000"/>
          <w:shd w:val="clear" w:color="auto" w:fill="FFFFFF"/>
          <w:lang w:val="uk-UA"/>
        </w:rPr>
      </w:pPr>
      <w:r w:rsidRPr="00E16672">
        <w:rPr>
          <w:rFonts w:ascii="Times New Roman" w:hAnsi="Times New Roman" w:cs="Times New Roman"/>
          <w:color w:val="000000"/>
          <w:shd w:val="clear" w:color="auto" w:fill="FFFFFF"/>
          <w:lang w:val="uk-UA"/>
        </w:rPr>
        <w:t xml:space="preserve">12.1. В ході виконання договору Сторони можуть обмінюватися електронними документами, які засвідчуються за допомогою </w:t>
      </w:r>
      <w:proofErr w:type="spellStart"/>
      <w:r w:rsidR="00D57400" w:rsidRPr="00E16672">
        <w:rPr>
          <w:rFonts w:ascii="Times New Roman" w:hAnsi="Times New Roman" w:cs="Times New Roman"/>
          <w:color w:val="000000"/>
        </w:rPr>
        <w:t>кваліфікованого</w:t>
      </w:r>
      <w:proofErr w:type="spellEnd"/>
      <w:r w:rsidR="00D57400" w:rsidRPr="00E16672">
        <w:rPr>
          <w:rFonts w:ascii="Times New Roman" w:hAnsi="Times New Roman" w:cs="Times New Roman"/>
          <w:color w:val="000000"/>
        </w:rPr>
        <w:t xml:space="preserve"> </w:t>
      </w:r>
      <w:proofErr w:type="spellStart"/>
      <w:r w:rsidR="00D57400" w:rsidRPr="00E16672">
        <w:rPr>
          <w:rFonts w:ascii="Times New Roman" w:hAnsi="Times New Roman" w:cs="Times New Roman"/>
          <w:color w:val="000000"/>
        </w:rPr>
        <w:t>електронного</w:t>
      </w:r>
      <w:proofErr w:type="spellEnd"/>
      <w:r w:rsidR="00D57400" w:rsidRPr="00E16672">
        <w:rPr>
          <w:rFonts w:ascii="Times New Roman" w:hAnsi="Times New Roman" w:cs="Times New Roman"/>
          <w:color w:val="000000"/>
        </w:rPr>
        <w:t xml:space="preserve"> </w:t>
      </w:r>
      <w:proofErr w:type="spellStart"/>
      <w:r w:rsidR="00D57400" w:rsidRPr="00E16672">
        <w:rPr>
          <w:rFonts w:ascii="Times New Roman" w:hAnsi="Times New Roman" w:cs="Times New Roman"/>
          <w:color w:val="000000"/>
        </w:rPr>
        <w:t>підпису</w:t>
      </w:r>
      <w:proofErr w:type="spellEnd"/>
      <w:r w:rsidRPr="00E16672">
        <w:rPr>
          <w:rFonts w:ascii="Times New Roman" w:hAnsi="Times New Roman" w:cs="Times New Roman"/>
          <w:color w:val="000000"/>
          <w:shd w:val="clear" w:color="auto" w:fill="FFFFFF"/>
          <w:lang w:val="uk-UA"/>
        </w:rPr>
        <w:t>.</w:t>
      </w:r>
    </w:p>
    <w:p w14:paraId="219EEC1D" w14:textId="77777777" w:rsidR="000A5A99" w:rsidRPr="00E16672" w:rsidRDefault="000A5A99" w:rsidP="000A5A99">
      <w:pPr>
        <w:pStyle w:val="33"/>
        <w:tabs>
          <w:tab w:val="left" w:pos="851"/>
        </w:tabs>
        <w:ind w:firstLine="525"/>
        <w:rPr>
          <w:rFonts w:ascii="Times New Roman" w:hAnsi="Times New Roman" w:cs="Times New Roman"/>
          <w:color w:val="000000"/>
          <w:shd w:val="clear" w:color="auto" w:fill="FFFFFF"/>
          <w:lang w:val="uk-UA"/>
        </w:rPr>
      </w:pPr>
      <w:r w:rsidRPr="00E16672">
        <w:rPr>
          <w:rFonts w:ascii="Times New Roman" w:hAnsi="Times New Roman" w:cs="Times New Roman"/>
          <w:color w:val="000000"/>
          <w:shd w:val="clear" w:color="auto" w:fill="FFFFFF"/>
          <w:lang w:val="uk-UA"/>
        </w:rPr>
        <w:t xml:space="preserve">12.2. При виконанні цього Договору кожна Сторона може виступати як </w:t>
      </w:r>
      <w:proofErr w:type="spellStart"/>
      <w:r w:rsidRPr="00E16672">
        <w:rPr>
          <w:rFonts w:ascii="Times New Roman" w:hAnsi="Times New Roman" w:cs="Times New Roman"/>
          <w:color w:val="000000"/>
          <w:shd w:val="clear" w:color="auto" w:fill="FFFFFF"/>
          <w:lang w:val="uk-UA"/>
        </w:rPr>
        <w:t>підписувачем</w:t>
      </w:r>
      <w:proofErr w:type="spellEnd"/>
      <w:r w:rsidRPr="00E16672">
        <w:rPr>
          <w:rFonts w:ascii="Times New Roman" w:hAnsi="Times New Roman" w:cs="Times New Roman"/>
          <w:color w:val="000000"/>
          <w:shd w:val="clear" w:color="auto" w:fill="FFFFFF"/>
          <w:lang w:val="uk-UA"/>
        </w:rPr>
        <w:t>, так і отримувачем електронних документів.</w:t>
      </w:r>
    </w:p>
    <w:p w14:paraId="68D4CCA7" w14:textId="77777777" w:rsidR="000A5A99" w:rsidRPr="00E16672" w:rsidRDefault="000A5A99" w:rsidP="000A5A99">
      <w:pPr>
        <w:pStyle w:val="33"/>
        <w:tabs>
          <w:tab w:val="left" w:pos="851"/>
        </w:tabs>
        <w:ind w:firstLine="525"/>
        <w:rPr>
          <w:rFonts w:ascii="Times New Roman" w:hAnsi="Times New Roman" w:cs="Times New Roman"/>
          <w:color w:val="000000"/>
          <w:shd w:val="clear" w:color="auto" w:fill="FFFFFF"/>
          <w:lang w:val="uk-UA"/>
        </w:rPr>
      </w:pPr>
      <w:r w:rsidRPr="00E16672">
        <w:rPr>
          <w:rFonts w:ascii="Times New Roman" w:hAnsi="Times New Roman" w:cs="Times New Roman"/>
          <w:color w:val="000000"/>
          <w:shd w:val="clear" w:color="auto" w:fill="FFFFFF"/>
          <w:lang w:val="uk-UA"/>
        </w:rPr>
        <w:t xml:space="preserve">12.3. Електронний документ — документ, інформація в якому зафіксована у вигляді електронних даних, включаючи обов'язкові реквізити документа, в тому числі </w:t>
      </w:r>
      <w:proofErr w:type="spellStart"/>
      <w:r w:rsidR="00D57400" w:rsidRPr="00E16672">
        <w:rPr>
          <w:rFonts w:ascii="Times New Roman" w:hAnsi="Times New Roman" w:cs="Times New Roman"/>
          <w:color w:val="000000"/>
        </w:rPr>
        <w:t>кваліфікованого</w:t>
      </w:r>
      <w:proofErr w:type="spellEnd"/>
      <w:r w:rsidR="00D57400" w:rsidRPr="00E16672">
        <w:rPr>
          <w:rFonts w:ascii="Times New Roman" w:hAnsi="Times New Roman" w:cs="Times New Roman"/>
          <w:color w:val="000000"/>
        </w:rPr>
        <w:t xml:space="preserve"> </w:t>
      </w:r>
      <w:proofErr w:type="spellStart"/>
      <w:r w:rsidR="00D57400" w:rsidRPr="00E16672">
        <w:rPr>
          <w:rFonts w:ascii="Times New Roman" w:hAnsi="Times New Roman" w:cs="Times New Roman"/>
          <w:color w:val="000000"/>
        </w:rPr>
        <w:t>електронного</w:t>
      </w:r>
      <w:proofErr w:type="spellEnd"/>
      <w:r w:rsidR="00D57400" w:rsidRPr="00E16672">
        <w:rPr>
          <w:rFonts w:ascii="Times New Roman" w:hAnsi="Times New Roman" w:cs="Times New Roman"/>
          <w:color w:val="000000"/>
        </w:rPr>
        <w:t xml:space="preserve"> </w:t>
      </w:r>
      <w:proofErr w:type="spellStart"/>
      <w:r w:rsidR="00D57400" w:rsidRPr="00E16672">
        <w:rPr>
          <w:rFonts w:ascii="Times New Roman" w:hAnsi="Times New Roman" w:cs="Times New Roman"/>
          <w:color w:val="000000"/>
        </w:rPr>
        <w:t>підпису</w:t>
      </w:r>
      <w:proofErr w:type="spellEnd"/>
      <w:r w:rsidRPr="00E16672">
        <w:rPr>
          <w:rFonts w:ascii="Times New Roman" w:hAnsi="Times New Roman" w:cs="Times New Roman"/>
          <w:color w:val="000000"/>
          <w:shd w:val="clear" w:color="auto" w:fill="FFFFFF"/>
          <w:lang w:val="uk-UA"/>
        </w:rPr>
        <w:t>.</w:t>
      </w:r>
    </w:p>
    <w:p w14:paraId="46BC24BE" w14:textId="77777777" w:rsidR="000A5A99" w:rsidRPr="00E16672" w:rsidRDefault="000A5A99" w:rsidP="000A5A99">
      <w:pPr>
        <w:pStyle w:val="33"/>
        <w:tabs>
          <w:tab w:val="left" w:pos="851"/>
        </w:tabs>
        <w:ind w:firstLine="525"/>
        <w:rPr>
          <w:rFonts w:ascii="Times New Roman" w:hAnsi="Times New Roman" w:cs="Times New Roman"/>
          <w:color w:val="000000"/>
          <w:shd w:val="clear" w:color="auto" w:fill="FFFFFF"/>
          <w:lang w:val="uk-UA"/>
        </w:rPr>
      </w:pPr>
      <w:r w:rsidRPr="00E16672">
        <w:rPr>
          <w:rFonts w:ascii="Times New Roman" w:hAnsi="Times New Roman" w:cs="Times New Roman"/>
          <w:color w:val="000000"/>
          <w:shd w:val="clear" w:color="auto" w:fill="FFFFFF"/>
          <w:lang w:val="uk-UA"/>
        </w:rPr>
        <w:t xml:space="preserve">12.4. </w:t>
      </w:r>
      <w:proofErr w:type="spellStart"/>
      <w:r w:rsidR="00D57400" w:rsidRPr="00E16672">
        <w:rPr>
          <w:rFonts w:ascii="Times New Roman" w:hAnsi="Times New Roman" w:cs="Times New Roman"/>
          <w:color w:val="000000"/>
        </w:rPr>
        <w:t>Кваліфікованого</w:t>
      </w:r>
      <w:proofErr w:type="spellEnd"/>
      <w:r w:rsidR="00D57400" w:rsidRPr="00E16672">
        <w:rPr>
          <w:rFonts w:ascii="Times New Roman" w:hAnsi="Times New Roman" w:cs="Times New Roman"/>
          <w:color w:val="000000"/>
        </w:rPr>
        <w:t xml:space="preserve"> </w:t>
      </w:r>
      <w:proofErr w:type="spellStart"/>
      <w:r w:rsidR="00D57400" w:rsidRPr="00E16672">
        <w:rPr>
          <w:rFonts w:ascii="Times New Roman" w:hAnsi="Times New Roman" w:cs="Times New Roman"/>
          <w:color w:val="000000"/>
        </w:rPr>
        <w:t>електронного</w:t>
      </w:r>
      <w:proofErr w:type="spellEnd"/>
      <w:r w:rsidR="00D57400" w:rsidRPr="00E16672">
        <w:rPr>
          <w:rFonts w:ascii="Times New Roman" w:hAnsi="Times New Roman" w:cs="Times New Roman"/>
          <w:color w:val="000000"/>
        </w:rPr>
        <w:t xml:space="preserve"> </w:t>
      </w:r>
      <w:proofErr w:type="spellStart"/>
      <w:r w:rsidR="00D57400" w:rsidRPr="00E16672">
        <w:rPr>
          <w:rFonts w:ascii="Times New Roman" w:hAnsi="Times New Roman" w:cs="Times New Roman"/>
          <w:color w:val="000000"/>
        </w:rPr>
        <w:t>підпису</w:t>
      </w:r>
      <w:proofErr w:type="spellEnd"/>
      <w:r w:rsidRPr="00E16672">
        <w:rPr>
          <w:rFonts w:ascii="Times New Roman" w:hAnsi="Times New Roman" w:cs="Times New Roman"/>
          <w:color w:val="000000"/>
          <w:shd w:val="clear" w:color="auto" w:fill="FFFFFF"/>
          <w:lang w:val="uk-UA"/>
        </w:rPr>
        <w:t xml:space="preserve"> </w:t>
      </w:r>
      <w:proofErr w:type="gramStart"/>
      <w:r w:rsidRPr="00E16672">
        <w:rPr>
          <w:rFonts w:ascii="Times New Roman" w:hAnsi="Times New Roman" w:cs="Times New Roman"/>
          <w:color w:val="000000"/>
          <w:shd w:val="clear" w:color="auto" w:fill="FFFFFF"/>
          <w:lang w:val="uk-UA"/>
        </w:rPr>
        <w:t>-  обов'язковий</w:t>
      </w:r>
      <w:proofErr w:type="gramEnd"/>
      <w:r w:rsidRPr="00E16672">
        <w:rPr>
          <w:rFonts w:ascii="Times New Roman" w:hAnsi="Times New Roman" w:cs="Times New Roman"/>
          <w:color w:val="000000"/>
          <w:shd w:val="clear" w:color="auto" w:fill="FFFFFF"/>
          <w:lang w:val="uk-UA"/>
        </w:rPr>
        <w:t xml:space="preserve"> реквізит електронного документа, який використовується для ідентифікації отримувачем </w:t>
      </w:r>
      <w:proofErr w:type="spellStart"/>
      <w:r w:rsidRPr="00E16672">
        <w:rPr>
          <w:rFonts w:ascii="Times New Roman" w:hAnsi="Times New Roman" w:cs="Times New Roman"/>
          <w:color w:val="000000"/>
          <w:shd w:val="clear" w:color="auto" w:fill="FFFFFF"/>
          <w:lang w:val="uk-UA"/>
        </w:rPr>
        <w:t>підписувача</w:t>
      </w:r>
      <w:proofErr w:type="spellEnd"/>
      <w:r w:rsidRPr="00E16672">
        <w:rPr>
          <w:rFonts w:ascii="Times New Roman" w:hAnsi="Times New Roman" w:cs="Times New Roman"/>
          <w:color w:val="000000"/>
          <w:shd w:val="clear" w:color="auto" w:fill="FFFFFF"/>
          <w:lang w:val="uk-UA"/>
        </w:rPr>
        <w:t xml:space="preserve"> електронного документа та сформований за допомогою системи криптографічного захисту інформації Акредитованого Центру Сертифікації ключів.</w:t>
      </w:r>
    </w:p>
    <w:p w14:paraId="3ADA7373" w14:textId="77777777" w:rsidR="000A5A99" w:rsidRPr="00E16672" w:rsidRDefault="000A5A99" w:rsidP="000A5A99">
      <w:pPr>
        <w:pStyle w:val="33"/>
        <w:tabs>
          <w:tab w:val="left" w:pos="851"/>
        </w:tabs>
        <w:ind w:firstLine="525"/>
        <w:rPr>
          <w:rFonts w:ascii="Times New Roman" w:hAnsi="Times New Roman" w:cs="Times New Roman"/>
          <w:color w:val="000000"/>
          <w:shd w:val="clear" w:color="auto" w:fill="FFFFFF"/>
          <w:lang w:val="uk-UA"/>
        </w:rPr>
      </w:pPr>
      <w:r w:rsidRPr="00E16672">
        <w:rPr>
          <w:rFonts w:ascii="Times New Roman" w:hAnsi="Times New Roman" w:cs="Times New Roman"/>
          <w:color w:val="000000"/>
          <w:shd w:val="clear" w:color="auto" w:fill="FFFFFF"/>
          <w:lang w:val="uk-UA"/>
        </w:rPr>
        <w:t xml:space="preserve">12.5. </w:t>
      </w:r>
      <w:proofErr w:type="spellStart"/>
      <w:r w:rsidR="00D57400" w:rsidRPr="00E16672">
        <w:rPr>
          <w:rFonts w:ascii="Times New Roman" w:hAnsi="Times New Roman" w:cs="Times New Roman"/>
          <w:color w:val="000000"/>
        </w:rPr>
        <w:t>кваліфікованого</w:t>
      </w:r>
      <w:proofErr w:type="spellEnd"/>
      <w:r w:rsidR="00D57400" w:rsidRPr="00E16672">
        <w:rPr>
          <w:rFonts w:ascii="Times New Roman" w:hAnsi="Times New Roman" w:cs="Times New Roman"/>
          <w:color w:val="000000"/>
        </w:rPr>
        <w:t xml:space="preserve"> </w:t>
      </w:r>
      <w:proofErr w:type="spellStart"/>
      <w:r w:rsidR="00D57400" w:rsidRPr="00E16672">
        <w:rPr>
          <w:rFonts w:ascii="Times New Roman" w:hAnsi="Times New Roman" w:cs="Times New Roman"/>
          <w:color w:val="000000"/>
        </w:rPr>
        <w:t>електронного</w:t>
      </w:r>
      <w:proofErr w:type="spellEnd"/>
      <w:r w:rsidR="00D57400" w:rsidRPr="00E16672">
        <w:rPr>
          <w:rFonts w:ascii="Times New Roman" w:hAnsi="Times New Roman" w:cs="Times New Roman"/>
          <w:color w:val="000000"/>
        </w:rPr>
        <w:t xml:space="preserve"> </w:t>
      </w:r>
      <w:proofErr w:type="spellStart"/>
      <w:r w:rsidR="00D57400" w:rsidRPr="00E16672">
        <w:rPr>
          <w:rFonts w:ascii="Times New Roman" w:hAnsi="Times New Roman" w:cs="Times New Roman"/>
          <w:color w:val="000000"/>
        </w:rPr>
        <w:t>підпису</w:t>
      </w:r>
      <w:proofErr w:type="spellEnd"/>
      <w:r w:rsidRPr="00E16672">
        <w:rPr>
          <w:rFonts w:ascii="Times New Roman" w:hAnsi="Times New Roman" w:cs="Times New Roman"/>
          <w:color w:val="000000"/>
          <w:shd w:val="clear" w:color="auto" w:fill="FFFFFF"/>
          <w:lang w:val="uk-UA"/>
        </w:rPr>
        <w:t xml:space="preserve"> за правовим статусом прирівнюється до власноручного підпису (печатки) особи, яка його вчинила. Юридична сила електронного документа не може бути заперечена виключно через те, що  він має електронну форму.</w:t>
      </w:r>
    </w:p>
    <w:p w14:paraId="698BE83A" w14:textId="77777777" w:rsidR="000A5A99" w:rsidRPr="00E16672" w:rsidRDefault="000A5A99" w:rsidP="000A5A99">
      <w:pPr>
        <w:pStyle w:val="33"/>
        <w:tabs>
          <w:tab w:val="left" w:pos="851"/>
        </w:tabs>
        <w:ind w:firstLine="525"/>
        <w:rPr>
          <w:rFonts w:ascii="Times New Roman" w:hAnsi="Times New Roman" w:cs="Times New Roman"/>
          <w:color w:val="000000"/>
          <w:shd w:val="clear" w:color="auto" w:fill="FFFFFF"/>
          <w:lang w:val="uk-UA"/>
        </w:rPr>
      </w:pPr>
      <w:r w:rsidRPr="00E16672">
        <w:rPr>
          <w:rFonts w:ascii="Times New Roman" w:hAnsi="Times New Roman" w:cs="Times New Roman"/>
          <w:color w:val="000000"/>
          <w:shd w:val="clear" w:color="auto" w:fill="FFFFFF"/>
          <w:lang w:val="uk-UA"/>
        </w:rPr>
        <w:t xml:space="preserve">12.6. </w:t>
      </w:r>
      <w:proofErr w:type="spellStart"/>
      <w:r w:rsidRPr="00E16672">
        <w:rPr>
          <w:rFonts w:ascii="Times New Roman" w:hAnsi="Times New Roman" w:cs="Times New Roman"/>
          <w:color w:val="000000"/>
          <w:shd w:val="clear" w:color="auto" w:fill="FFFFFF"/>
          <w:lang w:val="uk-UA"/>
        </w:rPr>
        <w:t>Підписувач</w:t>
      </w:r>
      <w:proofErr w:type="spellEnd"/>
      <w:r w:rsidRPr="00E16672">
        <w:rPr>
          <w:rFonts w:ascii="Times New Roman" w:hAnsi="Times New Roman" w:cs="Times New Roman"/>
          <w:color w:val="000000"/>
          <w:shd w:val="clear" w:color="auto" w:fill="FFFFFF"/>
          <w:lang w:val="uk-UA"/>
        </w:rPr>
        <w:t xml:space="preserve"> — особа, яка на законних підставах володіє особистим ключем та від свого імені накладає </w:t>
      </w:r>
      <w:proofErr w:type="spellStart"/>
      <w:r w:rsidR="00D57400" w:rsidRPr="00E16672">
        <w:rPr>
          <w:rFonts w:ascii="Times New Roman" w:hAnsi="Times New Roman" w:cs="Times New Roman"/>
          <w:color w:val="000000"/>
        </w:rPr>
        <w:t>кваліфікованого</w:t>
      </w:r>
      <w:proofErr w:type="spellEnd"/>
      <w:r w:rsidR="00D57400" w:rsidRPr="00E16672">
        <w:rPr>
          <w:rFonts w:ascii="Times New Roman" w:hAnsi="Times New Roman" w:cs="Times New Roman"/>
          <w:color w:val="000000"/>
        </w:rPr>
        <w:t xml:space="preserve"> </w:t>
      </w:r>
      <w:proofErr w:type="spellStart"/>
      <w:r w:rsidR="00D57400" w:rsidRPr="00E16672">
        <w:rPr>
          <w:rFonts w:ascii="Times New Roman" w:hAnsi="Times New Roman" w:cs="Times New Roman"/>
          <w:color w:val="000000"/>
        </w:rPr>
        <w:t>електронного</w:t>
      </w:r>
      <w:proofErr w:type="spellEnd"/>
      <w:r w:rsidR="00D57400" w:rsidRPr="00E16672">
        <w:rPr>
          <w:rFonts w:ascii="Times New Roman" w:hAnsi="Times New Roman" w:cs="Times New Roman"/>
          <w:color w:val="000000"/>
        </w:rPr>
        <w:t xml:space="preserve"> </w:t>
      </w:r>
      <w:proofErr w:type="spellStart"/>
      <w:r w:rsidR="00D57400" w:rsidRPr="00E16672">
        <w:rPr>
          <w:rFonts w:ascii="Times New Roman" w:hAnsi="Times New Roman" w:cs="Times New Roman"/>
          <w:color w:val="000000"/>
        </w:rPr>
        <w:t>підпису</w:t>
      </w:r>
      <w:proofErr w:type="spellEnd"/>
      <w:r w:rsidRPr="00E16672">
        <w:rPr>
          <w:rFonts w:ascii="Times New Roman" w:hAnsi="Times New Roman" w:cs="Times New Roman"/>
          <w:color w:val="000000"/>
          <w:shd w:val="clear" w:color="auto" w:fill="FFFFFF"/>
          <w:lang w:val="uk-UA"/>
        </w:rPr>
        <w:t xml:space="preserve"> під час створення та надсилання електронного документа.</w:t>
      </w:r>
    </w:p>
    <w:p w14:paraId="3758F707" w14:textId="77777777" w:rsidR="000A5A99" w:rsidRPr="00E16672" w:rsidRDefault="000A5A99" w:rsidP="000A5A99">
      <w:pPr>
        <w:pStyle w:val="33"/>
        <w:tabs>
          <w:tab w:val="left" w:pos="851"/>
        </w:tabs>
        <w:ind w:firstLine="525"/>
        <w:rPr>
          <w:rFonts w:ascii="Times New Roman" w:hAnsi="Times New Roman" w:cs="Times New Roman"/>
          <w:color w:val="000000"/>
          <w:shd w:val="clear" w:color="auto" w:fill="FFFFFF"/>
          <w:lang w:val="uk-UA"/>
        </w:rPr>
      </w:pPr>
      <w:r w:rsidRPr="00E16672">
        <w:rPr>
          <w:rFonts w:ascii="Times New Roman" w:hAnsi="Times New Roman" w:cs="Times New Roman"/>
          <w:color w:val="000000"/>
          <w:shd w:val="clear" w:color="auto" w:fill="FFFFFF"/>
          <w:lang w:val="uk-UA"/>
        </w:rPr>
        <w:t>12.7. Отримувач — особа, яка отримує електронний документ.</w:t>
      </w:r>
    </w:p>
    <w:p w14:paraId="6B0987FB" w14:textId="77777777" w:rsidR="000A5A99" w:rsidRPr="00E16672" w:rsidRDefault="000A5A99" w:rsidP="000A5A99">
      <w:pPr>
        <w:pStyle w:val="33"/>
        <w:tabs>
          <w:tab w:val="left" w:pos="851"/>
        </w:tabs>
        <w:ind w:firstLine="525"/>
        <w:rPr>
          <w:rFonts w:ascii="Times New Roman" w:hAnsi="Times New Roman" w:cs="Times New Roman"/>
          <w:color w:val="000000"/>
          <w:shd w:val="clear" w:color="auto" w:fill="FFFFFF"/>
          <w:lang w:val="uk-UA"/>
        </w:rPr>
      </w:pPr>
      <w:r w:rsidRPr="00E16672">
        <w:rPr>
          <w:rFonts w:ascii="Times New Roman" w:hAnsi="Times New Roman" w:cs="Times New Roman"/>
          <w:color w:val="000000"/>
          <w:shd w:val="clear" w:color="auto" w:fill="FFFFFF"/>
          <w:lang w:val="uk-UA"/>
        </w:rPr>
        <w:t xml:space="preserve">12.8. </w:t>
      </w:r>
      <w:r w:rsidR="00D57400" w:rsidRPr="00E16672">
        <w:rPr>
          <w:rFonts w:ascii="Times New Roman" w:hAnsi="Times New Roman" w:cs="Times New Roman"/>
          <w:color w:val="000000"/>
          <w:lang w:val="uk-UA"/>
        </w:rPr>
        <w:t>кваліфікованого електронного підпису</w:t>
      </w:r>
      <w:r w:rsidRPr="00E16672">
        <w:rPr>
          <w:rFonts w:ascii="Times New Roman" w:hAnsi="Times New Roman" w:cs="Times New Roman"/>
          <w:color w:val="000000"/>
          <w:shd w:val="clear" w:color="auto" w:fill="FFFFFF"/>
          <w:lang w:val="uk-UA"/>
        </w:rPr>
        <w:t xml:space="preserve"> вважається таким, що відповідає сертифікату відкритого ключа, якщо особистий ключ </w:t>
      </w:r>
      <w:proofErr w:type="spellStart"/>
      <w:r w:rsidRPr="00E16672">
        <w:rPr>
          <w:rFonts w:ascii="Times New Roman" w:hAnsi="Times New Roman" w:cs="Times New Roman"/>
          <w:color w:val="000000"/>
          <w:shd w:val="clear" w:color="auto" w:fill="FFFFFF"/>
          <w:lang w:val="uk-UA"/>
        </w:rPr>
        <w:t>підписувача</w:t>
      </w:r>
      <w:proofErr w:type="spellEnd"/>
      <w:r w:rsidRPr="00E16672">
        <w:rPr>
          <w:rFonts w:ascii="Times New Roman" w:hAnsi="Times New Roman" w:cs="Times New Roman"/>
          <w:color w:val="000000"/>
          <w:shd w:val="clear" w:color="auto" w:fill="FFFFFF"/>
          <w:lang w:val="uk-UA"/>
        </w:rPr>
        <w:t xml:space="preserve">, використаний  при формуванні </w:t>
      </w:r>
      <w:r w:rsidR="00D57400" w:rsidRPr="00E16672">
        <w:rPr>
          <w:rFonts w:ascii="Times New Roman" w:hAnsi="Times New Roman" w:cs="Times New Roman"/>
          <w:color w:val="000000"/>
          <w:lang w:val="uk-UA"/>
        </w:rPr>
        <w:t>кваліфікованого електронного підпису</w:t>
      </w:r>
      <w:r w:rsidRPr="00E16672">
        <w:rPr>
          <w:rFonts w:ascii="Times New Roman" w:hAnsi="Times New Roman" w:cs="Times New Roman"/>
          <w:color w:val="000000"/>
          <w:shd w:val="clear" w:color="auto" w:fill="FFFFFF"/>
          <w:lang w:val="uk-UA"/>
        </w:rPr>
        <w:t>, відповідає відкритому ключу, зазначеному у сертифікаті.</w:t>
      </w:r>
    </w:p>
    <w:p w14:paraId="67B28A1D" w14:textId="77777777" w:rsidR="000A5A99" w:rsidRPr="00E16672" w:rsidRDefault="000A5A99" w:rsidP="000A5A99">
      <w:pPr>
        <w:pStyle w:val="33"/>
        <w:tabs>
          <w:tab w:val="left" w:pos="851"/>
        </w:tabs>
        <w:ind w:firstLine="525"/>
        <w:rPr>
          <w:rFonts w:ascii="Times New Roman" w:hAnsi="Times New Roman" w:cs="Times New Roman"/>
          <w:color w:val="000000"/>
          <w:shd w:val="clear" w:color="auto" w:fill="FFFFFF"/>
          <w:lang w:val="uk-UA"/>
        </w:rPr>
      </w:pPr>
      <w:r w:rsidRPr="00E16672">
        <w:rPr>
          <w:rFonts w:ascii="Times New Roman" w:hAnsi="Times New Roman" w:cs="Times New Roman"/>
          <w:color w:val="000000"/>
          <w:shd w:val="clear" w:color="auto" w:fill="FFFFFF"/>
          <w:lang w:val="uk-UA"/>
        </w:rPr>
        <w:t xml:space="preserve">12.9. Відповідно до цього Договору Сторони зобов'язуються визнавати </w:t>
      </w:r>
      <w:proofErr w:type="spellStart"/>
      <w:r w:rsidR="00D57400" w:rsidRPr="00E16672">
        <w:rPr>
          <w:rFonts w:ascii="Times New Roman" w:hAnsi="Times New Roman" w:cs="Times New Roman"/>
          <w:color w:val="000000"/>
        </w:rPr>
        <w:t>кваліфікованого</w:t>
      </w:r>
      <w:proofErr w:type="spellEnd"/>
      <w:r w:rsidR="00D57400" w:rsidRPr="00E16672">
        <w:rPr>
          <w:rFonts w:ascii="Times New Roman" w:hAnsi="Times New Roman" w:cs="Times New Roman"/>
          <w:color w:val="000000"/>
        </w:rPr>
        <w:t xml:space="preserve"> </w:t>
      </w:r>
      <w:proofErr w:type="spellStart"/>
      <w:r w:rsidR="00D57400" w:rsidRPr="00E16672">
        <w:rPr>
          <w:rFonts w:ascii="Times New Roman" w:hAnsi="Times New Roman" w:cs="Times New Roman"/>
          <w:color w:val="000000"/>
        </w:rPr>
        <w:t>електронного</w:t>
      </w:r>
      <w:proofErr w:type="spellEnd"/>
      <w:r w:rsidR="00D57400" w:rsidRPr="00E16672">
        <w:rPr>
          <w:rFonts w:ascii="Times New Roman" w:hAnsi="Times New Roman" w:cs="Times New Roman"/>
          <w:color w:val="000000"/>
        </w:rPr>
        <w:t xml:space="preserve"> </w:t>
      </w:r>
      <w:proofErr w:type="spellStart"/>
      <w:r w:rsidR="00D57400" w:rsidRPr="00E16672">
        <w:rPr>
          <w:rFonts w:ascii="Times New Roman" w:hAnsi="Times New Roman" w:cs="Times New Roman"/>
          <w:color w:val="000000"/>
        </w:rPr>
        <w:t>підпису</w:t>
      </w:r>
      <w:proofErr w:type="spellEnd"/>
      <w:r w:rsidRPr="00E16672">
        <w:rPr>
          <w:rFonts w:ascii="Times New Roman" w:hAnsi="Times New Roman" w:cs="Times New Roman"/>
          <w:color w:val="000000"/>
          <w:shd w:val="clear" w:color="auto" w:fill="FFFFFF"/>
          <w:lang w:val="uk-UA"/>
        </w:rPr>
        <w:t xml:space="preserve"> як такий, що надає юридичної сили електронним документам, сформованим з його використанням.</w:t>
      </w:r>
    </w:p>
    <w:p w14:paraId="476963F6" w14:textId="77777777" w:rsidR="000A5A99" w:rsidRPr="00E16672" w:rsidRDefault="000A5A99" w:rsidP="000A5A99">
      <w:pPr>
        <w:pStyle w:val="33"/>
        <w:tabs>
          <w:tab w:val="left" w:pos="851"/>
        </w:tabs>
        <w:ind w:firstLine="525"/>
        <w:rPr>
          <w:rFonts w:ascii="Times New Roman" w:hAnsi="Times New Roman" w:cs="Times New Roman"/>
          <w:color w:val="000000"/>
          <w:shd w:val="clear" w:color="auto" w:fill="FFFFFF"/>
          <w:lang w:val="uk-UA"/>
        </w:rPr>
      </w:pPr>
      <w:r w:rsidRPr="00E16672">
        <w:rPr>
          <w:rFonts w:ascii="Times New Roman" w:hAnsi="Times New Roman" w:cs="Times New Roman"/>
          <w:color w:val="000000"/>
          <w:shd w:val="clear" w:color="auto" w:fill="FFFFFF"/>
          <w:lang w:val="uk-UA"/>
        </w:rPr>
        <w:t xml:space="preserve">12.10. Визнання здійснюється отримувачем щодо кожного окремого електронного документа, наданого </w:t>
      </w:r>
      <w:proofErr w:type="spellStart"/>
      <w:r w:rsidRPr="00E16672">
        <w:rPr>
          <w:rFonts w:ascii="Times New Roman" w:hAnsi="Times New Roman" w:cs="Times New Roman"/>
          <w:color w:val="000000"/>
          <w:shd w:val="clear" w:color="auto" w:fill="FFFFFF"/>
          <w:lang w:val="uk-UA"/>
        </w:rPr>
        <w:t>підписувачем</w:t>
      </w:r>
      <w:proofErr w:type="spellEnd"/>
      <w:r w:rsidRPr="00E16672">
        <w:rPr>
          <w:rFonts w:ascii="Times New Roman" w:hAnsi="Times New Roman" w:cs="Times New Roman"/>
          <w:color w:val="000000"/>
          <w:shd w:val="clear" w:color="auto" w:fill="FFFFFF"/>
          <w:lang w:val="uk-UA"/>
        </w:rPr>
        <w:t>.</w:t>
      </w:r>
    </w:p>
    <w:p w14:paraId="312C9DA6" w14:textId="77777777" w:rsidR="000A5A99" w:rsidRPr="00E16672" w:rsidRDefault="000A5A99" w:rsidP="000A5A99">
      <w:pPr>
        <w:pStyle w:val="33"/>
        <w:tabs>
          <w:tab w:val="left" w:pos="851"/>
        </w:tabs>
        <w:ind w:firstLine="525"/>
        <w:rPr>
          <w:rFonts w:ascii="Times New Roman" w:hAnsi="Times New Roman" w:cs="Times New Roman"/>
          <w:color w:val="000000"/>
          <w:shd w:val="clear" w:color="auto" w:fill="FFFFFF"/>
          <w:lang w:val="uk-UA"/>
        </w:rPr>
      </w:pPr>
      <w:r w:rsidRPr="00E16672">
        <w:rPr>
          <w:rFonts w:ascii="Times New Roman" w:hAnsi="Times New Roman" w:cs="Times New Roman"/>
          <w:color w:val="000000"/>
          <w:shd w:val="clear" w:color="auto" w:fill="FFFFFF"/>
          <w:lang w:val="uk-UA"/>
        </w:rPr>
        <w:t xml:space="preserve">12.11. Визнання </w:t>
      </w:r>
      <w:r w:rsidR="00D57400" w:rsidRPr="00E16672">
        <w:rPr>
          <w:rFonts w:ascii="Times New Roman" w:hAnsi="Times New Roman" w:cs="Times New Roman"/>
          <w:color w:val="000000"/>
          <w:lang w:val="uk-UA"/>
        </w:rPr>
        <w:t>кваліфікованого електронного підпису</w:t>
      </w:r>
      <w:r w:rsidRPr="00E16672">
        <w:rPr>
          <w:rFonts w:ascii="Times New Roman" w:hAnsi="Times New Roman" w:cs="Times New Roman"/>
          <w:color w:val="000000"/>
          <w:shd w:val="clear" w:color="auto" w:fill="FFFFFF"/>
          <w:lang w:val="uk-UA"/>
        </w:rPr>
        <w:t xml:space="preserve"> — визначення відповідності </w:t>
      </w:r>
      <w:r w:rsidR="00D57400" w:rsidRPr="00E16672">
        <w:rPr>
          <w:rFonts w:ascii="Times New Roman" w:hAnsi="Times New Roman" w:cs="Times New Roman"/>
          <w:color w:val="000000"/>
          <w:lang w:val="uk-UA"/>
        </w:rPr>
        <w:t>кваліфікованого електронного підпису</w:t>
      </w:r>
      <w:r w:rsidRPr="00E16672">
        <w:rPr>
          <w:rFonts w:ascii="Times New Roman" w:hAnsi="Times New Roman" w:cs="Times New Roman"/>
          <w:color w:val="000000"/>
          <w:shd w:val="clear" w:color="auto" w:fill="FFFFFF"/>
          <w:lang w:val="uk-UA"/>
        </w:rPr>
        <w:t xml:space="preserve"> сертифікату відкритого ключа </w:t>
      </w:r>
      <w:proofErr w:type="spellStart"/>
      <w:r w:rsidRPr="00E16672">
        <w:rPr>
          <w:rFonts w:ascii="Times New Roman" w:hAnsi="Times New Roman" w:cs="Times New Roman"/>
          <w:color w:val="000000"/>
          <w:shd w:val="clear" w:color="auto" w:fill="FFFFFF"/>
          <w:lang w:val="uk-UA"/>
        </w:rPr>
        <w:t>підписувача</w:t>
      </w:r>
      <w:proofErr w:type="spellEnd"/>
      <w:r w:rsidRPr="00E16672">
        <w:rPr>
          <w:rFonts w:ascii="Times New Roman" w:hAnsi="Times New Roman" w:cs="Times New Roman"/>
          <w:color w:val="000000"/>
          <w:shd w:val="clear" w:color="auto" w:fill="FFFFFF"/>
          <w:lang w:val="uk-UA"/>
        </w:rPr>
        <w:t xml:space="preserve">, який є чинним, та визнання підпису таким, що надає юридичної сили отриманим стороною електронним документам, сформованим з його використанням.      </w:t>
      </w:r>
    </w:p>
    <w:p w14:paraId="17A8B582" w14:textId="77777777" w:rsidR="00786738" w:rsidRPr="00E16672" w:rsidRDefault="00786738" w:rsidP="000A5A99">
      <w:pPr>
        <w:pStyle w:val="1"/>
        <w:widowControl w:val="0"/>
        <w:tabs>
          <w:tab w:val="left" w:pos="0"/>
          <w:tab w:val="left" w:pos="432"/>
        </w:tabs>
        <w:ind w:left="432" w:hanging="432"/>
        <w:rPr>
          <w:rFonts w:ascii="Times New Roman" w:hAnsi="Times New Roman" w:cs="Times New Roman"/>
          <w:color w:val="000000"/>
          <w:sz w:val="20"/>
          <w:lang w:val="uk-UA"/>
        </w:rPr>
      </w:pPr>
    </w:p>
    <w:p w14:paraId="3E480BA7" w14:textId="77777777" w:rsidR="000A5A99" w:rsidRPr="00E16672" w:rsidRDefault="000A5A99" w:rsidP="000A5A99">
      <w:pPr>
        <w:pStyle w:val="1"/>
        <w:widowControl w:val="0"/>
        <w:tabs>
          <w:tab w:val="left" w:pos="0"/>
          <w:tab w:val="left" w:pos="432"/>
        </w:tabs>
        <w:ind w:left="432" w:hanging="432"/>
        <w:rPr>
          <w:rFonts w:ascii="Times New Roman" w:hAnsi="Times New Roman" w:cs="Times New Roman"/>
          <w:color w:val="000000"/>
          <w:sz w:val="20"/>
          <w:lang w:val="uk-UA"/>
        </w:rPr>
      </w:pPr>
      <w:r w:rsidRPr="00E16672">
        <w:rPr>
          <w:rFonts w:ascii="Times New Roman" w:hAnsi="Times New Roman" w:cs="Times New Roman"/>
          <w:color w:val="000000"/>
          <w:sz w:val="20"/>
          <w:lang w:val="uk-UA"/>
        </w:rPr>
        <w:t>13. ЗАКЛЮЧНІ ПОЛОЖЕННЯ</w:t>
      </w:r>
    </w:p>
    <w:p w14:paraId="6CF3CDD2" w14:textId="77777777" w:rsidR="000A5A99" w:rsidRPr="00E16672" w:rsidRDefault="000A5A99" w:rsidP="000A5A99">
      <w:pPr>
        <w:ind w:firstLine="720"/>
        <w:rPr>
          <w:rFonts w:ascii="Times New Roman" w:eastAsia="Arial Unicode MS" w:hAnsi="Times New Roman"/>
          <w:color w:val="000000"/>
          <w:szCs w:val="20"/>
          <w:lang w:val="uk-UA"/>
        </w:rPr>
      </w:pPr>
      <w:r w:rsidRPr="00E16672">
        <w:rPr>
          <w:rFonts w:ascii="Times New Roman" w:eastAsia="Arial Unicode MS" w:hAnsi="Times New Roman"/>
          <w:color w:val="000000"/>
          <w:szCs w:val="20"/>
          <w:lang w:val="uk-UA"/>
        </w:rPr>
        <w:t>Цей Договір укладено в двох примірниках, що мають однакову юридичну силу, один – для Емітента, другий – для Депозитарної установи.</w:t>
      </w:r>
    </w:p>
    <w:p w14:paraId="602BEE6B" w14:textId="77777777" w:rsidR="000A5A99" w:rsidRPr="00E16672" w:rsidRDefault="000A5A99" w:rsidP="000A5A99">
      <w:pPr>
        <w:pStyle w:val="1"/>
        <w:widowControl w:val="0"/>
        <w:tabs>
          <w:tab w:val="left" w:pos="0"/>
          <w:tab w:val="left" w:pos="432"/>
        </w:tabs>
        <w:ind w:left="432" w:hanging="432"/>
        <w:rPr>
          <w:rFonts w:ascii="Times New Roman" w:eastAsia="Arial Unicode MS" w:hAnsi="Times New Roman" w:cs="Times New Roman"/>
          <w:color w:val="000000"/>
          <w:sz w:val="20"/>
          <w:lang w:val="uk-UA"/>
        </w:rPr>
      </w:pPr>
      <w:r w:rsidRPr="00E16672">
        <w:rPr>
          <w:rFonts w:ascii="Times New Roman" w:eastAsia="Arial Unicode MS" w:hAnsi="Times New Roman" w:cs="Times New Roman"/>
          <w:color w:val="000000"/>
          <w:sz w:val="20"/>
          <w:lang w:val="uk-UA"/>
        </w:rPr>
        <w:t>14. РЕКВІЗИТИ СТОРІН</w:t>
      </w:r>
    </w:p>
    <w:p w14:paraId="106665E7" w14:textId="77777777" w:rsidR="00390DBC" w:rsidRPr="00E16672" w:rsidRDefault="00390DBC" w:rsidP="00390DBC">
      <w:pPr>
        <w:rPr>
          <w:rFonts w:ascii="Times New Roman" w:hAnsi="Times New Roman"/>
          <w:lang w:val="uk-UA"/>
        </w:rPr>
      </w:pPr>
    </w:p>
    <w:tbl>
      <w:tblPr>
        <w:tblW w:w="10961" w:type="dxa"/>
        <w:tblInd w:w="158" w:type="dxa"/>
        <w:tblLayout w:type="fixed"/>
        <w:tblLook w:val="0000" w:firstRow="0" w:lastRow="0" w:firstColumn="0" w:lastColumn="0" w:noHBand="0" w:noVBand="0"/>
      </w:tblPr>
      <w:tblGrid>
        <w:gridCol w:w="2536"/>
        <w:gridCol w:w="89"/>
        <w:gridCol w:w="2625"/>
        <w:gridCol w:w="236"/>
        <w:gridCol w:w="2720"/>
        <w:gridCol w:w="17"/>
        <w:gridCol w:w="2738"/>
      </w:tblGrid>
      <w:tr w:rsidR="00390DBC" w:rsidRPr="00E16672" w14:paraId="41E8063A" w14:textId="77777777" w:rsidTr="00406FB3">
        <w:trPr>
          <w:trHeight w:val="295"/>
        </w:trPr>
        <w:tc>
          <w:tcPr>
            <w:tcW w:w="5250" w:type="dxa"/>
            <w:gridSpan w:val="3"/>
            <w:shd w:val="clear" w:color="auto" w:fill="auto"/>
          </w:tcPr>
          <w:p w14:paraId="435FF907" w14:textId="77777777" w:rsidR="00390DBC" w:rsidRPr="00E16672" w:rsidRDefault="00390DBC" w:rsidP="00D652DD">
            <w:pPr>
              <w:pStyle w:val="4"/>
              <w:keepNext w:val="0"/>
              <w:numPr>
                <w:ilvl w:val="0"/>
                <w:numId w:val="0"/>
              </w:numPr>
              <w:snapToGrid w:val="0"/>
              <w:ind w:left="-12" w:right="105" w:hanging="25"/>
              <w:rPr>
                <w:rFonts w:ascii="Times New Roman" w:hAnsi="Times New Roman"/>
                <w:iCs/>
                <w:color w:val="000000"/>
                <w:sz w:val="18"/>
                <w:szCs w:val="18"/>
              </w:rPr>
            </w:pPr>
            <w:r w:rsidRPr="00E16672">
              <w:rPr>
                <w:rFonts w:ascii="Times New Roman" w:hAnsi="Times New Roman"/>
                <w:iCs/>
                <w:color w:val="000000"/>
                <w:sz w:val="18"/>
                <w:szCs w:val="18"/>
              </w:rPr>
              <w:t>Емітент:</w:t>
            </w:r>
          </w:p>
        </w:tc>
        <w:tc>
          <w:tcPr>
            <w:tcW w:w="236" w:type="dxa"/>
            <w:shd w:val="clear" w:color="auto" w:fill="auto"/>
          </w:tcPr>
          <w:p w14:paraId="53E15E87" w14:textId="77777777" w:rsidR="00390DBC" w:rsidRPr="00E16672" w:rsidRDefault="00390DBC" w:rsidP="00D652DD">
            <w:pPr>
              <w:snapToGrid w:val="0"/>
              <w:rPr>
                <w:rFonts w:ascii="Times New Roman" w:hAnsi="Times New Roman"/>
                <w:b/>
                <w:bCs/>
                <w:color w:val="000000"/>
                <w:sz w:val="18"/>
                <w:szCs w:val="18"/>
              </w:rPr>
            </w:pPr>
          </w:p>
        </w:tc>
        <w:tc>
          <w:tcPr>
            <w:tcW w:w="5475" w:type="dxa"/>
            <w:gridSpan w:val="3"/>
            <w:shd w:val="clear" w:color="auto" w:fill="auto"/>
          </w:tcPr>
          <w:p w14:paraId="07F44AD8" w14:textId="77777777" w:rsidR="00390DBC" w:rsidRPr="00E16672" w:rsidRDefault="00390DBC" w:rsidP="00D652DD">
            <w:pPr>
              <w:snapToGrid w:val="0"/>
              <w:jc w:val="center"/>
              <w:rPr>
                <w:rFonts w:ascii="Times New Roman" w:hAnsi="Times New Roman"/>
                <w:b/>
                <w:bCs/>
                <w:color w:val="000000"/>
                <w:sz w:val="18"/>
                <w:szCs w:val="18"/>
              </w:rPr>
            </w:pPr>
            <w:proofErr w:type="spellStart"/>
            <w:r w:rsidRPr="00E16672">
              <w:rPr>
                <w:rFonts w:ascii="Times New Roman" w:hAnsi="Times New Roman"/>
                <w:b/>
                <w:bCs/>
                <w:color w:val="000000"/>
                <w:sz w:val="18"/>
                <w:szCs w:val="18"/>
              </w:rPr>
              <w:t>Депозитарна</w:t>
            </w:r>
            <w:proofErr w:type="spellEnd"/>
            <w:r w:rsidRPr="00E16672">
              <w:rPr>
                <w:rFonts w:ascii="Times New Roman" w:hAnsi="Times New Roman"/>
                <w:b/>
                <w:bCs/>
                <w:color w:val="000000"/>
                <w:sz w:val="18"/>
                <w:szCs w:val="18"/>
              </w:rPr>
              <w:t xml:space="preserve"> </w:t>
            </w:r>
            <w:proofErr w:type="spellStart"/>
            <w:r w:rsidRPr="00E16672">
              <w:rPr>
                <w:rFonts w:ascii="Times New Roman" w:hAnsi="Times New Roman"/>
                <w:b/>
                <w:bCs/>
                <w:color w:val="000000"/>
                <w:sz w:val="18"/>
                <w:szCs w:val="18"/>
              </w:rPr>
              <w:t>установа</w:t>
            </w:r>
            <w:proofErr w:type="spellEnd"/>
            <w:r w:rsidRPr="00E16672">
              <w:rPr>
                <w:rFonts w:ascii="Times New Roman" w:hAnsi="Times New Roman"/>
                <w:b/>
                <w:bCs/>
                <w:color w:val="000000"/>
                <w:sz w:val="18"/>
                <w:szCs w:val="18"/>
              </w:rPr>
              <w:t>:</w:t>
            </w:r>
          </w:p>
        </w:tc>
      </w:tr>
      <w:tr w:rsidR="00390DBC" w:rsidRPr="00E16672" w14:paraId="3A68FB2D" w14:textId="77777777" w:rsidTr="00406FB3">
        <w:trPr>
          <w:trHeight w:val="182"/>
        </w:trPr>
        <w:tc>
          <w:tcPr>
            <w:tcW w:w="5250" w:type="dxa"/>
            <w:gridSpan w:val="3"/>
            <w:shd w:val="clear" w:color="auto" w:fill="auto"/>
          </w:tcPr>
          <w:p w14:paraId="7D43BD07" w14:textId="77777777" w:rsidR="00390DBC" w:rsidRPr="00E16672" w:rsidRDefault="00390DBC" w:rsidP="00390DBC">
            <w:pPr>
              <w:snapToGrid w:val="0"/>
              <w:ind w:firstLine="6"/>
              <w:rPr>
                <w:rFonts w:ascii="Times New Roman" w:hAnsi="Times New Roman"/>
                <w:b/>
                <w:i/>
                <w:color w:val="000000"/>
                <w:sz w:val="18"/>
                <w:szCs w:val="18"/>
              </w:rPr>
            </w:pPr>
            <w:proofErr w:type="spellStart"/>
            <w:r w:rsidRPr="00E16672">
              <w:rPr>
                <w:rFonts w:ascii="Times New Roman" w:hAnsi="Times New Roman"/>
                <w:b/>
                <w:i/>
                <w:color w:val="000000"/>
                <w:sz w:val="18"/>
                <w:szCs w:val="18"/>
              </w:rPr>
              <w:t>Повне</w:t>
            </w:r>
            <w:proofErr w:type="spellEnd"/>
            <w:r w:rsidRPr="00E16672">
              <w:rPr>
                <w:rFonts w:ascii="Times New Roman" w:hAnsi="Times New Roman"/>
                <w:b/>
                <w:i/>
                <w:color w:val="000000"/>
                <w:sz w:val="18"/>
                <w:szCs w:val="18"/>
              </w:rPr>
              <w:t xml:space="preserve"> </w:t>
            </w:r>
            <w:proofErr w:type="spellStart"/>
            <w:r w:rsidRPr="00E16672">
              <w:rPr>
                <w:rFonts w:ascii="Times New Roman" w:hAnsi="Times New Roman"/>
                <w:b/>
                <w:i/>
                <w:color w:val="000000"/>
                <w:sz w:val="18"/>
                <w:szCs w:val="18"/>
              </w:rPr>
              <w:t>найменування</w:t>
            </w:r>
            <w:proofErr w:type="spellEnd"/>
            <w:r w:rsidRPr="00E16672">
              <w:rPr>
                <w:rFonts w:ascii="Times New Roman" w:hAnsi="Times New Roman"/>
                <w:b/>
                <w:i/>
                <w:color w:val="000000"/>
                <w:sz w:val="18"/>
                <w:szCs w:val="18"/>
              </w:rPr>
              <w:t xml:space="preserve"> </w:t>
            </w:r>
          </w:p>
        </w:tc>
        <w:tc>
          <w:tcPr>
            <w:tcW w:w="236" w:type="dxa"/>
            <w:shd w:val="clear" w:color="auto" w:fill="auto"/>
          </w:tcPr>
          <w:p w14:paraId="2AB7AD35" w14:textId="77777777" w:rsidR="00390DBC" w:rsidRPr="00E16672" w:rsidRDefault="00390DBC" w:rsidP="00D652DD">
            <w:pPr>
              <w:snapToGrid w:val="0"/>
              <w:rPr>
                <w:rFonts w:ascii="Times New Roman" w:hAnsi="Times New Roman"/>
                <w:b/>
                <w:bCs/>
                <w:color w:val="000000"/>
                <w:sz w:val="18"/>
                <w:szCs w:val="18"/>
              </w:rPr>
            </w:pPr>
          </w:p>
        </w:tc>
        <w:tc>
          <w:tcPr>
            <w:tcW w:w="5475" w:type="dxa"/>
            <w:gridSpan w:val="3"/>
            <w:shd w:val="clear" w:color="auto" w:fill="auto"/>
          </w:tcPr>
          <w:p w14:paraId="637C80E0" w14:textId="77777777" w:rsidR="00390DBC" w:rsidRPr="00E16672" w:rsidRDefault="00390DBC" w:rsidP="00D652DD">
            <w:pPr>
              <w:pStyle w:val="4"/>
              <w:numPr>
                <w:ilvl w:val="0"/>
                <w:numId w:val="0"/>
              </w:numPr>
              <w:snapToGrid w:val="0"/>
              <w:ind w:left="1" w:right="424"/>
              <w:jc w:val="both"/>
              <w:rPr>
                <w:rFonts w:ascii="Times New Roman" w:hAnsi="Times New Roman"/>
                <w:i/>
                <w:color w:val="000000"/>
                <w:sz w:val="18"/>
                <w:szCs w:val="18"/>
              </w:rPr>
            </w:pPr>
            <w:r w:rsidRPr="00E16672">
              <w:rPr>
                <w:rFonts w:ascii="Times New Roman" w:hAnsi="Times New Roman"/>
                <w:i/>
                <w:color w:val="000000"/>
                <w:sz w:val="18"/>
                <w:szCs w:val="18"/>
              </w:rPr>
              <w:t>Повне найменування</w:t>
            </w:r>
          </w:p>
        </w:tc>
      </w:tr>
      <w:tr w:rsidR="00390DBC" w:rsidRPr="00E16672" w14:paraId="34D2A946" w14:textId="77777777" w:rsidTr="00E76246">
        <w:trPr>
          <w:trHeight w:val="353"/>
        </w:trPr>
        <w:tc>
          <w:tcPr>
            <w:tcW w:w="5250" w:type="dxa"/>
            <w:gridSpan w:val="3"/>
            <w:shd w:val="clear" w:color="auto" w:fill="auto"/>
          </w:tcPr>
          <w:p w14:paraId="6878B31B" w14:textId="77777777" w:rsidR="00390DBC" w:rsidRPr="00E16672" w:rsidRDefault="00390DBC" w:rsidP="00D652DD">
            <w:pPr>
              <w:pStyle w:val="4"/>
              <w:keepNext w:val="0"/>
              <w:numPr>
                <w:ilvl w:val="0"/>
                <w:numId w:val="0"/>
              </w:numPr>
              <w:snapToGrid w:val="0"/>
              <w:ind w:left="1440"/>
              <w:rPr>
                <w:rFonts w:ascii="Times New Roman" w:hAnsi="Times New Roman"/>
                <w:b w:val="0"/>
                <w:bCs/>
                <w:color w:val="000000"/>
                <w:sz w:val="18"/>
                <w:szCs w:val="18"/>
              </w:rPr>
            </w:pPr>
          </w:p>
        </w:tc>
        <w:tc>
          <w:tcPr>
            <w:tcW w:w="236" w:type="dxa"/>
            <w:shd w:val="clear" w:color="auto" w:fill="auto"/>
          </w:tcPr>
          <w:p w14:paraId="797BF0C4" w14:textId="77777777" w:rsidR="00390DBC" w:rsidRPr="00E16672" w:rsidRDefault="00390DBC" w:rsidP="00D652DD">
            <w:pPr>
              <w:snapToGrid w:val="0"/>
              <w:rPr>
                <w:rFonts w:ascii="Times New Roman" w:hAnsi="Times New Roman"/>
                <w:b/>
                <w:bCs/>
                <w:color w:val="000000"/>
                <w:sz w:val="18"/>
                <w:szCs w:val="18"/>
              </w:rPr>
            </w:pPr>
          </w:p>
        </w:tc>
        <w:tc>
          <w:tcPr>
            <w:tcW w:w="5475" w:type="dxa"/>
            <w:gridSpan w:val="3"/>
            <w:shd w:val="clear" w:color="auto" w:fill="auto"/>
          </w:tcPr>
          <w:p w14:paraId="22D086DE" w14:textId="77777777" w:rsidR="00390DBC" w:rsidRPr="00E16672" w:rsidRDefault="00390DBC" w:rsidP="00022F5F">
            <w:pPr>
              <w:pStyle w:val="3"/>
              <w:numPr>
                <w:ilvl w:val="0"/>
                <w:numId w:val="0"/>
              </w:numPr>
              <w:snapToGrid w:val="0"/>
              <w:spacing w:before="0" w:after="0"/>
              <w:ind w:left="15" w:right="219"/>
              <w:jc w:val="left"/>
              <w:rPr>
                <w:rFonts w:ascii="Times New Roman" w:hAnsi="Times New Roman" w:cs="Times New Roman"/>
                <w:b w:val="0"/>
                <w:sz w:val="18"/>
                <w:szCs w:val="18"/>
              </w:rPr>
            </w:pPr>
            <w:r w:rsidRPr="00E16672">
              <w:rPr>
                <w:rFonts w:ascii="Times New Roman" w:hAnsi="Times New Roman" w:cs="Times New Roman"/>
                <w:b w:val="0"/>
                <w:sz w:val="18"/>
                <w:szCs w:val="18"/>
              </w:rPr>
              <w:t xml:space="preserve">ТОВАРИСТВО З ОБМЕЖЕНОЮ ВІДПОВІДАЛЬНІСТЮ </w:t>
            </w:r>
            <w:r w:rsidR="00022F5F">
              <w:rPr>
                <w:rFonts w:ascii="Times New Roman" w:hAnsi="Times New Roman" w:cs="Times New Roman"/>
                <w:b w:val="0"/>
                <w:sz w:val="18"/>
                <w:szCs w:val="18"/>
              </w:rPr>
              <w:t>"</w:t>
            </w:r>
            <w:r w:rsidR="00E16672" w:rsidRPr="00E16672">
              <w:rPr>
                <w:rFonts w:ascii="Times New Roman" w:hAnsi="Times New Roman" w:cs="Times New Roman"/>
                <w:b w:val="0"/>
                <w:sz w:val="18"/>
                <w:szCs w:val="18"/>
              </w:rPr>
              <w:t>КОМЕКС ЦІННІ ПАПЕРИ</w:t>
            </w:r>
            <w:r w:rsidR="00022F5F">
              <w:rPr>
                <w:rFonts w:ascii="Times New Roman" w:hAnsi="Times New Roman" w:cs="Times New Roman"/>
                <w:b w:val="0"/>
                <w:sz w:val="18"/>
                <w:szCs w:val="18"/>
              </w:rPr>
              <w:t>"</w:t>
            </w:r>
          </w:p>
        </w:tc>
      </w:tr>
      <w:tr w:rsidR="00390DBC" w:rsidRPr="00E16672" w14:paraId="6CDC7493" w14:textId="77777777" w:rsidTr="00E76246">
        <w:tc>
          <w:tcPr>
            <w:tcW w:w="5250" w:type="dxa"/>
            <w:gridSpan w:val="3"/>
            <w:shd w:val="clear" w:color="auto" w:fill="auto"/>
          </w:tcPr>
          <w:p w14:paraId="10B4A5DE" w14:textId="77777777" w:rsidR="008D2325" w:rsidRPr="00E16672" w:rsidRDefault="008D2325" w:rsidP="00390DBC">
            <w:pPr>
              <w:pStyle w:val="3"/>
              <w:numPr>
                <w:ilvl w:val="0"/>
                <w:numId w:val="0"/>
              </w:numPr>
              <w:snapToGrid w:val="0"/>
              <w:spacing w:before="0" w:after="0"/>
              <w:ind w:right="115"/>
              <w:rPr>
                <w:rFonts w:ascii="Times New Roman" w:hAnsi="Times New Roman" w:cs="Times New Roman"/>
                <w:i/>
                <w:color w:val="000000"/>
                <w:sz w:val="18"/>
                <w:szCs w:val="18"/>
              </w:rPr>
            </w:pPr>
          </w:p>
          <w:p w14:paraId="7D4BFB67" w14:textId="77777777" w:rsidR="00DC1E60" w:rsidRPr="00E16672" w:rsidRDefault="00390DBC" w:rsidP="00390DBC">
            <w:pPr>
              <w:pStyle w:val="3"/>
              <w:numPr>
                <w:ilvl w:val="0"/>
                <w:numId w:val="0"/>
              </w:numPr>
              <w:snapToGrid w:val="0"/>
              <w:spacing w:before="0" w:after="0"/>
              <w:ind w:right="115"/>
              <w:rPr>
                <w:rFonts w:ascii="Times New Roman" w:hAnsi="Times New Roman" w:cs="Times New Roman"/>
                <w:i/>
                <w:color w:val="000000"/>
                <w:sz w:val="18"/>
                <w:szCs w:val="18"/>
              </w:rPr>
            </w:pPr>
            <w:r w:rsidRPr="00E16672">
              <w:rPr>
                <w:rFonts w:ascii="Times New Roman" w:hAnsi="Times New Roman" w:cs="Times New Roman"/>
                <w:i/>
                <w:color w:val="000000"/>
                <w:sz w:val="18"/>
                <w:szCs w:val="18"/>
              </w:rPr>
              <w:t>Ідентифікаційний код юридичної особи</w:t>
            </w:r>
          </w:p>
          <w:p w14:paraId="66F8A2BD" w14:textId="77777777" w:rsidR="00390DBC" w:rsidRPr="00E16672" w:rsidRDefault="00390DBC" w:rsidP="00390DBC">
            <w:pPr>
              <w:pStyle w:val="3"/>
              <w:numPr>
                <w:ilvl w:val="0"/>
                <w:numId w:val="0"/>
              </w:numPr>
              <w:snapToGrid w:val="0"/>
              <w:spacing w:before="0" w:after="0"/>
              <w:ind w:right="115"/>
              <w:rPr>
                <w:rFonts w:ascii="Times New Roman" w:hAnsi="Times New Roman" w:cs="Times New Roman"/>
                <w:i/>
              </w:rPr>
            </w:pPr>
            <w:r w:rsidRPr="00E16672">
              <w:rPr>
                <w:rFonts w:ascii="Times New Roman" w:hAnsi="Times New Roman" w:cs="Times New Roman"/>
                <w:b w:val="0"/>
                <w:i/>
                <w:color w:val="000000"/>
                <w:sz w:val="18"/>
                <w:szCs w:val="18"/>
              </w:rPr>
              <w:t>(код за ЄДРПОУ)</w:t>
            </w:r>
            <w:r w:rsidRPr="00E16672">
              <w:rPr>
                <w:rFonts w:ascii="Times New Roman" w:hAnsi="Times New Roman" w:cs="Times New Roman"/>
                <w:i/>
                <w:sz w:val="18"/>
              </w:rPr>
              <w:t xml:space="preserve"> </w:t>
            </w:r>
          </w:p>
        </w:tc>
        <w:tc>
          <w:tcPr>
            <w:tcW w:w="236" w:type="dxa"/>
            <w:tcBorders>
              <w:left w:val="nil"/>
            </w:tcBorders>
            <w:shd w:val="clear" w:color="auto" w:fill="auto"/>
          </w:tcPr>
          <w:p w14:paraId="6B882478" w14:textId="77777777" w:rsidR="00390DBC" w:rsidRPr="00E16672" w:rsidRDefault="00390DBC" w:rsidP="00D652DD">
            <w:pPr>
              <w:snapToGrid w:val="0"/>
              <w:rPr>
                <w:rFonts w:ascii="Times New Roman" w:hAnsi="Times New Roman"/>
                <w:b/>
                <w:bCs/>
                <w:color w:val="000000"/>
                <w:sz w:val="18"/>
                <w:szCs w:val="18"/>
              </w:rPr>
            </w:pPr>
          </w:p>
        </w:tc>
        <w:tc>
          <w:tcPr>
            <w:tcW w:w="5475" w:type="dxa"/>
            <w:gridSpan w:val="3"/>
            <w:shd w:val="clear" w:color="auto" w:fill="auto"/>
          </w:tcPr>
          <w:p w14:paraId="60EBFA71" w14:textId="77777777" w:rsidR="00406FB3" w:rsidRPr="00E16672" w:rsidRDefault="00406FB3" w:rsidP="00D652DD">
            <w:pPr>
              <w:pStyle w:val="3"/>
              <w:numPr>
                <w:ilvl w:val="0"/>
                <w:numId w:val="0"/>
              </w:numPr>
              <w:snapToGrid w:val="0"/>
              <w:spacing w:before="0" w:after="0"/>
              <w:ind w:left="15" w:right="219"/>
              <w:rPr>
                <w:rFonts w:ascii="Times New Roman" w:hAnsi="Times New Roman" w:cs="Times New Roman"/>
                <w:i/>
                <w:color w:val="000000"/>
                <w:sz w:val="18"/>
                <w:szCs w:val="18"/>
              </w:rPr>
            </w:pPr>
          </w:p>
          <w:p w14:paraId="57F39BCA" w14:textId="77777777" w:rsidR="00DC1E60" w:rsidRPr="00E16672" w:rsidRDefault="00390DBC" w:rsidP="00D652DD">
            <w:pPr>
              <w:pStyle w:val="3"/>
              <w:numPr>
                <w:ilvl w:val="0"/>
                <w:numId w:val="0"/>
              </w:numPr>
              <w:snapToGrid w:val="0"/>
              <w:spacing w:before="0" w:after="0"/>
              <w:ind w:left="15" w:right="219"/>
              <w:rPr>
                <w:rFonts w:ascii="Times New Roman" w:hAnsi="Times New Roman" w:cs="Times New Roman"/>
                <w:i/>
                <w:color w:val="000000"/>
                <w:sz w:val="18"/>
                <w:szCs w:val="18"/>
              </w:rPr>
            </w:pPr>
            <w:r w:rsidRPr="00E16672">
              <w:rPr>
                <w:rFonts w:ascii="Times New Roman" w:hAnsi="Times New Roman" w:cs="Times New Roman"/>
                <w:i/>
                <w:color w:val="000000"/>
                <w:sz w:val="18"/>
                <w:szCs w:val="18"/>
              </w:rPr>
              <w:t>Ідентифікаційний код юридичної особи</w:t>
            </w:r>
          </w:p>
          <w:p w14:paraId="37AC6CF3" w14:textId="77777777" w:rsidR="00390DBC" w:rsidRPr="00E16672" w:rsidRDefault="00390DBC" w:rsidP="00D652DD">
            <w:pPr>
              <w:pStyle w:val="3"/>
              <w:numPr>
                <w:ilvl w:val="0"/>
                <w:numId w:val="0"/>
              </w:numPr>
              <w:snapToGrid w:val="0"/>
              <w:spacing w:before="0" w:after="0"/>
              <w:ind w:left="15" w:right="219"/>
              <w:rPr>
                <w:rFonts w:ascii="Times New Roman" w:hAnsi="Times New Roman" w:cs="Times New Roman"/>
                <w:i/>
                <w:color w:val="000000"/>
                <w:sz w:val="18"/>
                <w:szCs w:val="18"/>
              </w:rPr>
            </w:pPr>
            <w:r w:rsidRPr="00E16672">
              <w:rPr>
                <w:rFonts w:ascii="Times New Roman" w:hAnsi="Times New Roman" w:cs="Times New Roman"/>
                <w:b w:val="0"/>
                <w:i/>
                <w:color w:val="000000"/>
                <w:sz w:val="18"/>
                <w:szCs w:val="18"/>
              </w:rPr>
              <w:t>(код за ЄДРПОУ)</w:t>
            </w:r>
          </w:p>
        </w:tc>
      </w:tr>
      <w:tr w:rsidR="00390DBC" w:rsidRPr="00E16672" w14:paraId="1DE36A84" w14:textId="77777777" w:rsidTr="00E76246">
        <w:tc>
          <w:tcPr>
            <w:tcW w:w="5250" w:type="dxa"/>
            <w:gridSpan w:val="3"/>
            <w:shd w:val="clear" w:color="auto" w:fill="auto"/>
          </w:tcPr>
          <w:p w14:paraId="6071247C" w14:textId="77777777" w:rsidR="00390DBC" w:rsidRPr="00E16672" w:rsidRDefault="00390DBC" w:rsidP="00D652DD">
            <w:pPr>
              <w:snapToGrid w:val="0"/>
              <w:ind w:firstLine="6"/>
              <w:rPr>
                <w:rFonts w:ascii="Times New Roman" w:hAnsi="Times New Roman"/>
                <w:color w:val="000000"/>
                <w:sz w:val="18"/>
                <w:szCs w:val="18"/>
              </w:rPr>
            </w:pPr>
          </w:p>
        </w:tc>
        <w:tc>
          <w:tcPr>
            <w:tcW w:w="236" w:type="dxa"/>
            <w:tcBorders>
              <w:left w:val="nil"/>
            </w:tcBorders>
            <w:shd w:val="clear" w:color="auto" w:fill="auto"/>
          </w:tcPr>
          <w:p w14:paraId="6F919744" w14:textId="77777777" w:rsidR="00390DBC" w:rsidRPr="00E16672" w:rsidRDefault="00390DBC" w:rsidP="00D652DD">
            <w:pPr>
              <w:snapToGrid w:val="0"/>
              <w:rPr>
                <w:rFonts w:ascii="Times New Roman" w:hAnsi="Times New Roman"/>
                <w:b/>
                <w:bCs/>
                <w:color w:val="000000"/>
                <w:sz w:val="18"/>
                <w:szCs w:val="18"/>
              </w:rPr>
            </w:pPr>
          </w:p>
        </w:tc>
        <w:tc>
          <w:tcPr>
            <w:tcW w:w="5475" w:type="dxa"/>
            <w:gridSpan w:val="3"/>
            <w:shd w:val="clear" w:color="auto" w:fill="auto"/>
          </w:tcPr>
          <w:p w14:paraId="3F64ECF6" w14:textId="77777777" w:rsidR="00390DBC" w:rsidRPr="00E16672" w:rsidRDefault="00E16672" w:rsidP="00D652DD">
            <w:pPr>
              <w:pStyle w:val="3"/>
              <w:numPr>
                <w:ilvl w:val="0"/>
                <w:numId w:val="0"/>
              </w:numPr>
              <w:snapToGrid w:val="0"/>
              <w:spacing w:before="0" w:after="0"/>
              <w:ind w:left="28" w:right="110"/>
              <w:rPr>
                <w:rFonts w:ascii="Times New Roman" w:hAnsi="Times New Roman" w:cs="Times New Roman"/>
                <w:b w:val="0"/>
                <w:bCs w:val="0"/>
                <w:color w:val="000000"/>
                <w:sz w:val="18"/>
                <w:szCs w:val="18"/>
              </w:rPr>
            </w:pPr>
            <w:r w:rsidRPr="00E16672">
              <w:rPr>
                <w:rFonts w:ascii="Times New Roman" w:hAnsi="Times New Roman" w:cs="Times New Roman"/>
                <w:b w:val="0"/>
                <w:bCs w:val="0"/>
                <w:color w:val="000000"/>
                <w:sz w:val="18"/>
                <w:szCs w:val="18"/>
              </w:rPr>
              <w:t>33153077</w:t>
            </w:r>
          </w:p>
        </w:tc>
      </w:tr>
      <w:tr w:rsidR="00390DBC" w:rsidRPr="00E16672" w14:paraId="35C64682" w14:textId="77777777" w:rsidTr="00E76246">
        <w:tc>
          <w:tcPr>
            <w:tcW w:w="5250" w:type="dxa"/>
            <w:gridSpan w:val="3"/>
            <w:shd w:val="clear" w:color="auto" w:fill="auto"/>
          </w:tcPr>
          <w:p w14:paraId="387A18EE" w14:textId="77777777" w:rsidR="008D2325" w:rsidRPr="00E16672" w:rsidRDefault="008D2325" w:rsidP="00D652DD">
            <w:pPr>
              <w:pStyle w:val="4"/>
              <w:keepNext w:val="0"/>
              <w:numPr>
                <w:ilvl w:val="0"/>
                <w:numId w:val="0"/>
              </w:numPr>
              <w:snapToGrid w:val="0"/>
              <w:ind w:left="5" w:right="-8" w:hanging="13"/>
              <w:jc w:val="left"/>
              <w:rPr>
                <w:rFonts w:ascii="Times New Roman" w:hAnsi="Times New Roman"/>
                <w:i/>
                <w:iCs/>
                <w:color w:val="000000"/>
                <w:sz w:val="18"/>
                <w:szCs w:val="18"/>
              </w:rPr>
            </w:pPr>
          </w:p>
          <w:p w14:paraId="3F1B272C" w14:textId="77777777" w:rsidR="00390DBC" w:rsidRPr="00E16672" w:rsidRDefault="00390DBC" w:rsidP="00493A17">
            <w:pPr>
              <w:pStyle w:val="4"/>
              <w:keepNext w:val="0"/>
              <w:numPr>
                <w:ilvl w:val="0"/>
                <w:numId w:val="0"/>
              </w:numPr>
              <w:snapToGrid w:val="0"/>
              <w:ind w:left="5" w:right="-8" w:hanging="13"/>
              <w:jc w:val="left"/>
              <w:rPr>
                <w:rFonts w:ascii="Times New Roman" w:hAnsi="Times New Roman"/>
              </w:rPr>
            </w:pPr>
            <w:r w:rsidRPr="00E16672">
              <w:rPr>
                <w:rFonts w:ascii="Times New Roman" w:hAnsi="Times New Roman"/>
                <w:i/>
                <w:iCs/>
                <w:color w:val="000000"/>
                <w:sz w:val="18"/>
                <w:szCs w:val="18"/>
              </w:rPr>
              <w:t>Місцезнаходження</w:t>
            </w:r>
          </w:p>
        </w:tc>
        <w:tc>
          <w:tcPr>
            <w:tcW w:w="236" w:type="dxa"/>
            <w:tcBorders>
              <w:left w:val="nil"/>
            </w:tcBorders>
            <w:shd w:val="clear" w:color="auto" w:fill="auto"/>
          </w:tcPr>
          <w:p w14:paraId="0FBA8C1E" w14:textId="77777777" w:rsidR="00390DBC" w:rsidRPr="00E16672" w:rsidRDefault="00390DBC" w:rsidP="00D652DD">
            <w:pPr>
              <w:snapToGrid w:val="0"/>
              <w:rPr>
                <w:rFonts w:ascii="Times New Roman" w:hAnsi="Times New Roman"/>
                <w:b/>
                <w:bCs/>
                <w:color w:val="000000"/>
                <w:sz w:val="18"/>
                <w:szCs w:val="18"/>
              </w:rPr>
            </w:pPr>
          </w:p>
        </w:tc>
        <w:tc>
          <w:tcPr>
            <w:tcW w:w="5475" w:type="dxa"/>
            <w:gridSpan w:val="3"/>
            <w:shd w:val="clear" w:color="auto" w:fill="auto"/>
          </w:tcPr>
          <w:p w14:paraId="029E192B" w14:textId="77777777" w:rsidR="00406FB3" w:rsidRPr="00E16672" w:rsidRDefault="00406FB3" w:rsidP="00D652DD">
            <w:pPr>
              <w:pStyle w:val="4"/>
              <w:keepNext w:val="0"/>
              <w:numPr>
                <w:ilvl w:val="0"/>
                <w:numId w:val="0"/>
              </w:numPr>
              <w:tabs>
                <w:tab w:val="left" w:pos="5640"/>
              </w:tabs>
              <w:snapToGrid w:val="0"/>
              <w:ind w:right="105"/>
              <w:jc w:val="left"/>
              <w:rPr>
                <w:rFonts w:ascii="Times New Roman" w:hAnsi="Times New Roman"/>
                <w:i/>
                <w:iCs/>
                <w:color w:val="000000"/>
                <w:sz w:val="18"/>
                <w:szCs w:val="18"/>
              </w:rPr>
            </w:pPr>
          </w:p>
          <w:p w14:paraId="063837EE" w14:textId="77777777" w:rsidR="00390DBC" w:rsidRPr="00E16672" w:rsidRDefault="00390DBC" w:rsidP="00D652DD">
            <w:pPr>
              <w:pStyle w:val="4"/>
              <w:keepNext w:val="0"/>
              <w:numPr>
                <w:ilvl w:val="0"/>
                <w:numId w:val="0"/>
              </w:numPr>
              <w:tabs>
                <w:tab w:val="left" w:pos="5640"/>
              </w:tabs>
              <w:snapToGrid w:val="0"/>
              <w:ind w:right="105"/>
              <w:jc w:val="left"/>
              <w:rPr>
                <w:rFonts w:ascii="Times New Roman" w:hAnsi="Times New Roman"/>
                <w:i/>
                <w:iCs/>
                <w:color w:val="000000"/>
                <w:sz w:val="18"/>
                <w:szCs w:val="18"/>
              </w:rPr>
            </w:pPr>
            <w:r w:rsidRPr="00E16672">
              <w:rPr>
                <w:rFonts w:ascii="Times New Roman" w:hAnsi="Times New Roman"/>
                <w:i/>
                <w:iCs/>
                <w:color w:val="000000"/>
                <w:sz w:val="18"/>
                <w:szCs w:val="18"/>
              </w:rPr>
              <w:t>Місцезнаходження</w:t>
            </w:r>
          </w:p>
        </w:tc>
      </w:tr>
      <w:tr w:rsidR="00390DBC" w:rsidRPr="00E16672" w14:paraId="073CC262" w14:textId="77777777" w:rsidTr="00E76246">
        <w:tc>
          <w:tcPr>
            <w:tcW w:w="5250" w:type="dxa"/>
            <w:gridSpan w:val="3"/>
            <w:shd w:val="clear" w:color="auto" w:fill="auto"/>
          </w:tcPr>
          <w:p w14:paraId="128BB7AC" w14:textId="77777777" w:rsidR="00390DBC" w:rsidRPr="00E16672" w:rsidRDefault="00390DBC" w:rsidP="00D652DD">
            <w:pPr>
              <w:pStyle w:val="4"/>
              <w:keepNext w:val="0"/>
              <w:numPr>
                <w:ilvl w:val="0"/>
                <w:numId w:val="0"/>
              </w:numPr>
              <w:snapToGrid w:val="0"/>
              <w:ind w:left="1440"/>
              <w:rPr>
                <w:rFonts w:ascii="Times New Roman" w:hAnsi="Times New Roman"/>
                <w:b w:val="0"/>
                <w:color w:val="000000"/>
                <w:sz w:val="18"/>
                <w:szCs w:val="18"/>
              </w:rPr>
            </w:pPr>
          </w:p>
        </w:tc>
        <w:tc>
          <w:tcPr>
            <w:tcW w:w="236" w:type="dxa"/>
            <w:tcBorders>
              <w:left w:val="nil"/>
            </w:tcBorders>
            <w:shd w:val="clear" w:color="auto" w:fill="auto"/>
          </w:tcPr>
          <w:p w14:paraId="1511EC7F" w14:textId="77777777" w:rsidR="00390DBC" w:rsidRPr="00E16672" w:rsidRDefault="00390DBC" w:rsidP="00D652DD">
            <w:pPr>
              <w:snapToGrid w:val="0"/>
              <w:rPr>
                <w:rFonts w:ascii="Times New Roman" w:hAnsi="Times New Roman"/>
                <w:b/>
                <w:bCs/>
                <w:color w:val="000000"/>
                <w:sz w:val="18"/>
                <w:szCs w:val="18"/>
              </w:rPr>
            </w:pPr>
          </w:p>
        </w:tc>
        <w:tc>
          <w:tcPr>
            <w:tcW w:w="5475" w:type="dxa"/>
            <w:gridSpan w:val="3"/>
            <w:shd w:val="clear" w:color="auto" w:fill="auto"/>
          </w:tcPr>
          <w:p w14:paraId="6BAA81A7" w14:textId="77777777" w:rsidR="00390DBC" w:rsidRPr="00E16672" w:rsidRDefault="00622BEB" w:rsidP="008D2325">
            <w:pPr>
              <w:pStyle w:val="4"/>
              <w:snapToGrid w:val="0"/>
              <w:ind w:left="57" w:right="57" w:firstLine="0"/>
              <w:jc w:val="left"/>
              <w:rPr>
                <w:rFonts w:ascii="Times New Roman" w:hAnsi="Times New Roman"/>
                <w:color w:val="000000"/>
                <w:sz w:val="18"/>
                <w:szCs w:val="18"/>
              </w:rPr>
            </w:pPr>
            <w:r>
              <w:rPr>
                <w:rFonts w:ascii="Times New Roman" w:hAnsi="Times New Roman"/>
                <w:b w:val="0"/>
                <w:bCs/>
                <w:sz w:val="18"/>
                <w:szCs w:val="18"/>
              </w:rPr>
              <w:t xml:space="preserve">Україна, </w:t>
            </w:r>
            <w:proofErr w:type="spellStart"/>
            <w:r>
              <w:rPr>
                <w:rFonts w:ascii="Times New Roman" w:hAnsi="Times New Roman"/>
                <w:b w:val="0"/>
                <w:bCs/>
                <w:sz w:val="18"/>
                <w:szCs w:val="18"/>
              </w:rPr>
              <w:t>м.Київ</w:t>
            </w:r>
            <w:proofErr w:type="spellEnd"/>
            <w:r>
              <w:rPr>
                <w:rFonts w:ascii="Times New Roman" w:hAnsi="Times New Roman"/>
                <w:b w:val="0"/>
                <w:bCs/>
                <w:sz w:val="18"/>
                <w:szCs w:val="18"/>
              </w:rPr>
              <w:t>, Велика Васильківська (колишня Червоноармійська) вул., буд. 65</w:t>
            </w:r>
          </w:p>
        </w:tc>
      </w:tr>
      <w:tr w:rsidR="00390DBC" w:rsidRPr="00E16672" w14:paraId="0789F3FC" w14:textId="77777777" w:rsidTr="00E76246">
        <w:trPr>
          <w:trHeight w:val="166"/>
        </w:trPr>
        <w:tc>
          <w:tcPr>
            <w:tcW w:w="5250" w:type="dxa"/>
            <w:gridSpan w:val="3"/>
            <w:shd w:val="clear" w:color="auto" w:fill="auto"/>
          </w:tcPr>
          <w:p w14:paraId="40F9CD7E" w14:textId="77777777" w:rsidR="008D2325" w:rsidRPr="00E16672" w:rsidRDefault="008D2325" w:rsidP="00D652DD">
            <w:pPr>
              <w:pStyle w:val="4"/>
              <w:keepNext w:val="0"/>
              <w:numPr>
                <w:ilvl w:val="0"/>
                <w:numId w:val="0"/>
              </w:numPr>
              <w:snapToGrid w:val="0"/>
              <w:ind w:left="42" w:right="110"/>
              <w:jc w:val="left"/>
              <w:rPr>
                <w:rFonts w:ascii="Times New Roman" w:hAnsi="Times New Roman"/>
                <w:i/>
                <w:iCs/>
                <w:color w:val="000000"/>
                <w:sz w:val="18"/>
                <w:szCs w:val="18"/>
              </w:rPr>
            </w:pPr>
          </w:p>
          <w:p w14:paraId="4A4D34D6" w14:textId="77777777" w:rsidR="00390DBC" w:rsidRPr="00E16672" w:rsidRDefault="00390DBC" w:rsidP="00810ECC">
            <w:pPr>
              <w:pStyle w:val="4"/>
              <w:keepNext w:val="0"/>
              <w:numPr>
                <w:ilvl w:val="0"/>
                <w:numId w:val="0"/>
              </w:numPr>
              <w:snapToGrid w:val="0"/>
              <w:ind w:left="363" w:right="110" w:hanging="363"/>
              <w:jc w:val="left"/>
              <w:rPr>
                <w:rFonts w:ascii="Times New Roman" w:hAnsi="Times New Roman"/>
                <w:i/>
                <w:iCs/>
                <w:color w:val="000000"/>
                <w:sz w:val="18"/>
                <w:szCs w:val="18"/>
              </w:rPr>
            </w:pPr>
            <w:r w:rsidRPr="00E16672">
              <w:rPr>
                <w:rFonts w:ascii="Times New Roman" w:hAnsi="Times New Roman"/>
                <w:i/>
                <w:iCs/>
                <w:color w:val="000000"/>
                <w:sz w:val="18"/>
                <w:szCs w:val="18"/>
              </w:rPr>
              <w:t>Адреса для листування</w:t>
            </w:r>
          </w:p>
        </w:tc>
        <w:tc>
          <w:tcPr>
            <w:tcW w:w="236" w:type="dxa"/>
            <w:tcBorders>
              <w:left w:val="nil"/>
            </w:tcBorders>
            <w:shd w:val="clear" w:color="auto" w:fill="auto"/>
          </w:tcPr>
          <w:p w14:paraId="0EF0DC53" w14:textId="77777777" w:rsidR="00390DBC" w:rsidRPr="00E16672" w:rsidRDefault="00390DBC" w:rsidP="00D652DD">
            <w:pPr>
              <w:snapToGrid w:val="0"/>
              <w:rPr>
                <w:rFonts w:ascii="Times New Roman" w:hAnsi="Times New Roman"/>
                <w:b/>
                <w:color w:val="000000"/>
                <w:sz w:val="18"/>
                <w:szCs w:val="18"/>
              </w:rPr>
            </w:pPr>
          </w:p>
        </w:tc>
        <w:tc>
          <w:tcPr>
            <w:tcW w:w="5475" w:type="dxa"/>
            <w:gridSpan w:val="3"/>
            <w:shd w:val="clear" w:color="auto" w:fill="auto"/>
          </w:tcPr>
          <w:p w14:paraId="494102D1" w14:textId="77777777" w:rsidR="00406FB3" w:rsidRPr="00E16672" w:rsidRDefault="00406FB3" w:rsidP="00D652DD">
            <w:pPr>
              <w:pStyle w:val="4"/>
              <w:keepNext w:val="0"/>
              <w:numPr>
                <w:ilvl w:val="0"/>
                <w:numId w:val="0"/>
              </w:numPr>
              <w:snapToGrid w:val="0"/>
              <w:ind w:left="-8" w:right="105" w:hanging="13"/>
              <w:jc w:val="left"/>
              <w:rPr>
                <w:rFonts w:ascii="Times New Roman" w:hAnsi="Times New Roman"/>
                <w:i/>
                <w:iCs/>
                <w:color w:val="000000"/>
                <w:sz w:val="18"/>
                <w:szCs w:val="18"/>
              </w:rPr>
            </w:pPr>
          </w:p>
          <w:p w14:paraId="5E15DB46" w14:textId="77777777" w:rsidR="00390DBC" w:rsidRPr="00E16672" w:rsidRDefault="00390DBC" w:rsidP="00D652DD">
            <w:pPr>
              <w:pStyle w:val="4"/>
              <w:keepNext w:val="0"/>
              <w:numPr>
                <w:ilvl w:val="0"/>
                <w:numId w:val="0"/>
              </w:numPr>
              <w:snapToGrid w:val="0"/>
              <w:ind w:left="-8" w:right="105" w:hanging="13"/>
              <w:jc w:val="left"/>
              <w:rPr>
                <w:rFonts w:ascii="Times New Roman" w:hAnsi="Times New Roman"/>
                <w:i/>
                <w:iCs/>
                <w:color w:val="000000"/>
                <w:sz w:val="18"/>
                <w:szCs w:val="18"/>
              </w:rPr>
            </w:pPr>
            <w:r w:rsidRPr="00E16672">
              <w:rPr>
                <w:rFonts w:ascii="Times New Roman" w:hAnsi="Times New Roman"/>
                <w:i/>
                <w:iCs/>
                <w:color w:val="000000"/>
                <w:sz w:val="18"/>
                <w:szCs w:val="18"/>
              </w:rPr>
              <w:t>Адреса для листування</w:t>
            </w:r>
          </w:p>
        </w:tc>
      </w:tr>
      <w:tr w:rsidR="00390DBC" w:rsidRPr="00E16672" w14:paraId="63A9048E" w14:textId="77777777" w:rsidTr="00E76246">
        <w:tc>
          <w:tcPr>
            <w:tcW w:w="5250" w:type="dxa"/>
            <w:gridSpan w:val="3"/>
            <w:shd w:val="clear" w:color="auto" w:fill="auto"/>
          </w:tcPr>
          <w:p w14:paraId="5261BF12" w14:textId="77777777" w:rsidR="00390DBC" w:rsidRPr="00E16672" w:rsidRDefault="00390DBC" w:rsidP="00D652DD">
            <w:pPr>
              <w:pStyle w:val="4"/>
              <w:keepNext w:val="0"/>
              <w:numPr>
                <w:ilvl w:val="0"/>
                <w:numId w:val="0"/>
              </w:numPr>
              <w:snapToGrid w:val="0"/>
              <w:ind w:left="105" w:right="105"/>
              <w:jc w:val="left"/>
              <w:rPr>
                <w:rFonts w:ascii="Times New Roman" w:hAnsi="Times New Roman"/>
                <w:b w:val="0"/>
                <w:color w:val="000000"/>
                <w:sz w:val="18"/>
                <w:szCs w:val="18"/>
              </w:rPr>
            </w:pPr>
          </w:p>
        </w:tc>
        <w:tc>
          <w:tcPr>
            <w:tcW w:w="236" w:type="dxa"/>
            <w:tcBorders>
              <w:left w:val="nil"/>
            </w:tcBorders>
            <w:shd w:val="clear" w:color="auto" w:fill="auto"/>
          </w:tcPr>
          <w:p w14:paraId="0AEBFC0B" w14:textId="77777777" w:rsidR="00390DBC" w:rsidRPr="00E16672" w:rsidRDefault="00390DBC" w:rsidP="00D652DD">
            <w:pPr>
              <w:snapToGrid w:val="0"/>
              <w:rPr>
                <w:rFonts w:ascii="Times New Roman" w:hAnsi="Times New Roman"/>
                <w:color w:val="000000"/>
                <w:sz w:val="18"/>
                <w:szCs w:val="18"/>
              </w:rPr>
            </w:pPr>
          </w:p>
        </w:tc>
        <w:tc>
          <w:tcPr>
            <w:tcW w:w="5475" w:type="dxa"/>
            <w:gridSpan w:val="3"/>
            <w:shd w:val="clear" w:color="auto" w:fill="auto"/>
          </w:tcPr>
          <w:p w14:paraId="1A30F80F" w14:textId="77777777" w:rsidR="00390DBC" w:rsidRPr="00E16672" w:rsidRDefault="00622BEB" w:rsidP="00406FB3">
            <w:pPr>
              <w:pStyle w:val="4"/>
              <w:snapToGrid w:val="0"/>
              <w:ind w:left="57" w:right="57" w:firstLine="0"/>
              <w:jc w:val="left"/>
              <w:rPr>
                <w:rFonts w:ascii="Times New Roman" w:hAnsi="Times New Roman"/>
              </w:rPr>
            </w:pPr>
            <w:r>
              <w:rPr>
                <w:rFonts w:ascii="Times New Roman" w:hAnsi="Times New Roman"/>
                <w:b w:val="0"/>
                <w:bCs/>
                <w:sz w:val="18"/>
                <w:szCs w:val="18"/>
              </w:rPr>
              <w:t xml:space="preserve">Україна, </w:t>
            </w:r>
            <w:proofErr w:type="spellStart"/>
            <w:r>
              <w:rPr>
                <w:rFonts w:ascii="Times New Roman" w:hAnsi="Times New Roman"/>
                <w:b w:val="0"/>
                <w:bCs/>
                <w:sz w:val="18"/>
                <w:szCs w:val="18"/>
              </w:rPr>
              <w:t>м.Київ</w:t>
            </w:r>
            <w:proofErr w:type="spellEnd"/>
            <w:r>
              <w:rPr>
                <w:rFonts w:ascii="Times New Roman" w:hAnsi="Times New Roman"/>
                <w:b w:val="0"/>
                <w:bCs/>
                <w:sz w:val="18"/>
                <w:szCs w:val="18"/>
              </w:rPr>
              <w:t>, Велика Васильківська (колишня Червоноармійська) вул., буд. 65</w:t>
            </w:r>
          </w:p>
        </w:tc>
      </w:tr>
      <w:tr w:rsidR="00390DBC" w:rsidRPr="00E16672" w14:paraId="6B72DC42" w14:textId="77777777" w:rsidTr="00E76246">
        <w:tc>
          <w:tcPr>
            <w:tcW w:w="5250" w:type="dxa"/>
            <w:gridSpan w:val="3"/>
            <w:shd w:val="clear" w:color="auto" w:fill="auto"/>
          </w:tcPr>
          <w:p w14:paraId="6620A2C3" w14:textId="77777777" w:rsidR="008D2325" w:rsidRPr="00E16672" w:rsidRDefault="008D2325" w:rsidP="00D652DD">
            <w:pPr>
              <w:pStyle w:val="4"/>
              <w:keepNext w:val="0"/>
              <w:numPr>
                <w:ilvl w:val="0"/>
                <w:numId w:val="0"/>
              </w:numPr>
              <w:snapToGrid w:val="0"/>
              <w:ind w:left="-20" w:right="105" w:hanging="25"/>
              <w:jc w:val="left"/>
              <w:rPr>
                <w:rFonts w:ascii="Times New Roman" w:hAnsi="Times New Roman"/>
                <w:i/>
                <w:iCs/>
                <w:color w:val="000000"/>
                <w:sz w:val="18"/>
                <w:szCs w:val="18"/>
              </w:rPr>
            </w:pPr>
          </w:p>
          <w:p w14:paraId="0D10F141" w14:textId="77777777" w:rsidR="00390DBC" w:rsidRPr="00E16672" w:rsidRDefault="00390DBC" w:rsidP="00D652DD">
            <w:pPr>
              <w:pStyle w:val="4"/>
              <w:keepNext w:val="0"/>
              <w:numPr>
                <w:ilvl w:val="0"/>
                <w:numId w:val="0"/>
              </w:numPr>
              <w:snapToGrid w:val="0"/>
              <w:ind w:left="-20" w:right="105" w:hanging="25"/>
              <w:jc w:val="left"/>
              <w:rPr>
                <w:rFonts w:ascii="Times New Roman" w:hAnsi="Times New Roman"/>
                <w:i/>
                <w:iCs/>
                <w:color w:val="000000"/>
                <w:sz w:val="18"/>
                <w:szCs w:val="18"/>
              </w:rPr>
            </w:pPr>
            <w:r w:rsidRPr="00E16672">
              <w:rPr>
                <w:rFonts w:ascii="Times New Roman" w:hAnsi="Times New Roman"/>
                <w:i/>
                <w:iCs/>
                <w:color w:val="000000"/>
                <w:sz w:val="18"/>
                <w:szCs w:val="18"/>
              </w:rPr>
              <w:t>Банківські реквізити</w:t>
            </w:r>
          </w:p>
        </w:tc>
        <w:tc>
          <w:tcPr>
            <w:tcW w:w="236" w:type="dxa"/>
            <w:tcBorders>
              <w:left w:val="nil"/>
            </w:tcBorders>
            <w:shd w:val="clear" w:color="auto" w:fill="auto"/>
          </w:tcPr>
          <w:p w14:paraId="5E03F8FE" w14:textId="77777777" w:rsidR="00390DBC" w:rsidRPr="00E16672" w:rsidRDefault="00390DBC" w:rsidP="00D652DD">
            <w:pPr>
              <w:snapToGrid w:val="0"/>
              <w:rPr>
                <w:rFonts w:ascii="Times New Roman" w:hAnsi="Times New Roman"/>
                <w:color w:val="000000"/>
                <w:sz w:val="18"/>
                <w:szCs w:val="18"/>
              </w:rPr>
            </w:pPr>
          </w:p>
        </w:tc>
        <w:tc>
          <w:tcPr>
            <w:tcW w:w="5475" w:type="dxa"/>
            <w:gridSpan w:val="3"/>
            <w:shd w:val="clear" w:color="auto" w:fill="auto"/>
          </w:tcPr>
          <w:p w14:paraId="597412D2" w14:textId="77777777" w:rsidR="00406FB3" w:rsidRPr="00E16672" w:rsidRDefault="00406FB3" w:rsidP="00D652DD">
            <w:pPr>
              <w:pStyle w:val="6"/>
              <w:numPr>
                <w:ilvl w:val="0"/>
                <w:numId w:val="0"/>
              </w:numPr>
              <w:snapToGrid w:val="0"/>
              <w:ind w:left="15" w:right="1"/>
              <w:jc w:val="left"/>
              <w:rPr>
                <w:rFonts w:ascii="Times New Roman" w:hAnsi="Times New Roman"/>
                <w:b/>
                <w:i/>
                <w:color w:val="000000"/>
                <w:sz w:val="18"/>
                <w:szCs w:val="18"/>
                <w:lang w:val="uk-UA"/>
              </w:rPr>
            </w:pPr>
          </w:p>
          <w:p w14:paraId="5502E75E" w14:textId="77777777" w:rsidR="00390DBC" w:rsidRPr="00E16672" w:rsidRDefault="00390DBC" w:rsidP="00D652DD">
            <w:pPr>
              <w:pStyle w:val="6"/>
              <w:numPr>
                <w:ilvl w:val="0"/>
                <w:numId w:val="0"/>
              </w:numPr>
              <w:snapToGrid w:val="0"/>
              <w:ind w:left="15" w:right="1"/>
              <w:jc w:val="left"/>
              <w:rPr>
                <w:rFonts w:ascii="Times New Roman" w:hAnsi="Times New Roman"/>
                <w:b/>
                <w:i/>
                <w:color w:val="000000"/>
                <w:sz w:val="18"/>
                <w:szCs w:val="18"/>
                <w:lang w:val="uk-UA"/>
              </w:rPr>
            </w:pPr>
            <w:r w:rsidRPr="00E16672">
              <w:rPr>
                <w:rFonts w:ascii="Times New Roman" w:hAnsi="Times New Roman"/>
                <w:b/>
                <w:i/>
                <w:color w:val="000000"/>
                <w:sz w:val="18"/>
                <w:szCs w:val="18"/>
                <w:lang w:val="uk-UA"/>
              </w:rPr>
              <w:t>Банківські реквізити</w:t>
            </w:r>
          </w:p>
        </w:tc>
      </w:tr>
      <w:tr w:rsidR="00390DBC" w:rsidRPr="00E16672" w14:paraId="63E0F5C2" w14:textId="77777777" w:rsidTr="00E76246">
        <w:tc>
          <w:tcPr>
            <w:tcW w:w="5250" w:type="dxa"/>
            <w:gridSpan w:val="3"/>
            <w:shd w:val="clear" w:color="auto" w:fill="auto"/>
          </w:tcPr>
          <w:p w14:paraId="3078CB62" w14:textId="77777777" w:rsidR="00390DBC" w:rsidRPr="00E16672" w:rsidRDefault="00390DBC" w:rsidP="00D652DD">
            <w:pPr>
              <w:snapToGrid w:val="0"/>
              <w:ind w:firstLine="6"/>
              <w:rPr>
                <w:rFonts w:ascii="Times New Roman" w:hAnsi="Times New Roman"/>
                <w:color w:val="000000"/>
                <w:sz w:val="18"/>
                <w:szCs w:val="18"/>
              </w:rPr>
            </w:pPr>
          </w:p>
        </w:tc>
        <w:tc>
          <w:tcPr>
            <w:tcW w:w="236" w:type="dxa"/>
            <w:tcBorders>
              <w:left w:val="nil"/>
            </w:tcBorders>
            <w:shd w:val="clear" w:color="auto" w:fill="auto"/>
          </w:tcPr>
          <w:p w14:paraId="251F4EBD" w14:textId="77777777" w:rsidR="00390DBC" w:rsidRPr="00E16672" w:rsidRDefault="00390DBC" w:rsidP="00D652DD">
            <w:pPr>
              <w:snapToGrid w:val="0"/>
              <w:rPr>
                <w:rFonts w:ascii="Times New Roman" w:hAnsi="Times New Roman"/>
                <w:color w:val="000000"/>
                <w:sz w:val="18"/>
                <w:szCs w:val="18"/>
              </w:rPr>
            </w:pPr>
          </w:p>
        </w:tc>
        <w:tc>
          <w:tcPr>
            <w:tcW w:w="5475" w:type="dxa"/>
            <w:gridSpan w:val="3"/>
            <w:shd w:val="clear" w:color="auto" w:fill="auto"/>
          </w:tcPr>
          <w:p w14:paraId="3D1C5DDC" w14:textId="77777777" w:rsidR="00930A41" w:rsidRPr="00E16672" w:rsidRDefault="00622BEB" w:rsidP="00D652DD">
            <w:pPr>
              <w:pStyle w:val="3"/>
              <w:numPr>
                <w:ilvl w:val="0"/>
                <w:numId w:val="0"/>
              </w:numPr>
              <w:snapToGrid w:val="0"/>
              <w:spacing w:before="0" w:after="0"/>
              <w:ind w:left="15" w:right="219"/>
              <w:jc w:val="left"/>
              <w:rPr>
                <w:rFonts w:ascii="Times New Roman" w:hAnsi="Times New Roman" w:cs="Times New Roman"/>
                <w:b w:val="0"/>
                <w:sz w:val="18"/>
                <w:szCs w:val="18"/>
              </w:rPr>
            </w:pPr>
            <w:r>
              <w:rPr>
                <w:rFonts w:ascii="Times New Roman" w:hAnsi="Times New Roman" w:cs="Times New Roman"/>
                <w:b w:val="0"/>
                <w:sz w:val="18"/>
                <w:szCs w:val="18"/>
              </w:rPr>
              <w:t>UA743281680000000026503815351</w:t>
            </w:r>
            <w:r w:rsidR="00A97BE7" w:rsidRPr="00E16672">
              <w:rPr>
                <w:rFonts w:ascii="Times New Roman" w:hAnsi="Times New Roman" w:cs="Times New Roman"/>
                <w:b w:val="0"/>
                <w:sz w:val="18"/>
                <w:szCs w:val="18"/>
              </w:rPr>
              <w:t xml:space="preserve"> </w:t>
            </w:r>
          </w:p>
          <w:p w14:paraId="0449996B" w14:textId="77777777" w:rsidR="00390DBC" w:rsidRDefault="00622BEB" w:rsidP="00022F5F">
            <w:pPr>
              <w:pStyle w:val="3"/>
              <w:numPr>
                <w:ilvl w:val="0"/>
                <w:numId w:val="0"/>
              </w:numPr>
              <w:snapToGrid w:val="0"/>
              <w:spacing w:before="0" w:after="0"/>
              <w:ind w:left="15" w:right="219"/>
              <w:jc w:val="left"/>
              <w:rPr>
                <w:rFonts w:ascii="Times New Roman" w:hAnsi="Times New Roman" w:cs="Times New Roman"/>
                <w:b w:val="0"/>
                <w:sz w:val="18"/>
                <w:szCs w:val="18"/>
              </w:rPr>
            </w:pPr>
            <w:r>
              <w:rPr>
                <w:rFonts w:ascii="Times New Roman" w:hAnsi="Times New Roman" w:cs="Times New Roman"/>
                <w:b w:val="0"/>
                <w:bCs w:val="0"/>
                <w:color w:val="000000"/>
                <w:sz w:val="18"/>
                <w:szCs w:val="18"/>
              </w:rPr>
              <w:t xml:space="preserve">ПАТ </w:t>
            </w:r>
            <w:r w:rsidR="00022F5F">
              <w:rPr>
                <w:rFonts w:ascii="Times New Roman" w:hAnsi="Times New Roman" w:cs="Times New Roman"/>
                <w:b w:val="0"/>
                <w:bCs w:val="0"/>
                <w:color w:val="000000"/>
                <w:sz w:val="18"/>
                <w:szCs w:val="18"/>
              </w:rPr>
              <w:t>"</w:t>
            </w:r>
            <w:r>
              <w:rPr>
                <w:rFonts w:ascii="Times New Roman" w:hAnsi="Times New Roman" w:cs="Times New Roman"/>
                <w:b w:val="0"/>
                <w:bCs w:val="0"/>
                <w:color w:val="000000"/>
                <w:sz w:val="18"/>
                <w:szCs w:val="18"/>
              </w:rPr>
              <w:t>МТБ Банк</w:t>
            </w:r>
            <w:r w:rsidR="00022F5F">
              <w:rPr>
                <w:rFonts w:ascii="Times New Roman" w:hAnsi="Times New Roman" w:cs="Times New Roman"/>
                <w:b w:val="0"/>
                <w:bCs w:val="0"/>
                <w:color w:val="000000"/>
                <w:sz w:val="18"/>
                <w:szCs w:val="18"/>
              </w:rPr>
              <w:t>"</w:t>
            </w:r>
            <w:r>
              <w:rPr>
                <w:rFonts w:ascii="Times New Roman" w:hAnsi="Times New Roman" w:cs="Times New Roman"/>
                <w:b w:val="0"/>
                <w:bCs w:val="0"/>
                <w:color w:val="000000"/>
                <w:sz w:val="18"/>
                <w:szCs w:val="18"/>
              </w:rPr>
              <w:t>, МФО 328168</w:t>
            </w:r>
            <w:r w:rsidR="00390DBC" w:rsidRPr="00E16672">
              <w:rPr>
                <w:rFonts w:ascii="Times New Roman" w:hAnsi="Times New Roman" w:cs="Times New Roman"/>
                <w:b w:val="0"/>
                <w:sz w:val="18"/>
                <w:szCs w:val="18"/>
              </w:rPr>
              <w:t xml:space="preserve">, ЄДРПОУ </w:t>
            </w:r>
            <w:r w:rsidR="0091751C" w:rsidRPr="0091751C">
              <w:rPr>
                <w:rFonts w:ascii="Times New Roman" w:hAnsi="Times New Roman" w:cs="Times New Roman"/>
                <w:b w:val="0"/>
                <w:sz w:val="18"/>
                <w:szCs w:val="18"/>
              </w:rPr>
              <w:t>21650966</w:t>
            </w:r>
          </w:p>
          <w:p w14:paraId="168F3ED8" w14:textId="77777777" w:rsidR="0091751C" w:rsidRPr="0091751C" w:rsidRDefault="0091751C" w:rsidP="0091751C">
            <w:pPr>
              <w:ind w:firstLine="0"/>
              <w:rPr>
                <w:lang w:val="uk-UA"/>
              </w:rPr>
            </w:pPr>
            <w:r w:rsidRPr="004E51A1">
              <w:rPr>
                <w:rFonts w:ascii="Times New Roman" w:hAnsi="Times New Roman"/>
                <w:i/>
                <w:sz w:val="18"/>
                <w:szCs w:val="18"/>
                <w:lang w:val="uk-UA"/>
              </w:rPr>
              <w:t xml:space="preserve">68003, </w:t>
            </w:r>
            <w:proofErr w:type="spellStart"/>
            <w:r w:rsidRPr="004E51A1">
              <w:rPr>
                <w:rFonts w:ascii="Times New Roman" w:hAnsi="Times New Roman"/>
                <w:i/>
                <w:sz w:val="18"/>
                <w:szCs w:val="18"/>
                <w:lang w:val="uk-UA"/>
              </w:rPr>
              <w:t>м.Чорноморськ</w:t>
            </w:r>
            <w:proofErr w:type="spellEnd"/>
            <w:r w:rsidRPr="004E51A1">
              <w:rPr>
                <w:rFonts w:ascii="Times New Roman" w:hAnsi="Times New Roman"/>
                <w:i/>
                <w:sz w:val="18"/>
                <w:szCs w:val="18"/>
                <w:lang w:val="uk-UA"/>
              </w:rPr>
              <w:t xml:space="preserve">, Миру </w:t>
            </w:r>
            <w:proofErr w:type="spellStart"/>
            <w:r w:rsidRPr="004E51A1">
              <w:rPr>
                <w:rFonts w:ascii="Times New Roman" w:hAnsi="Times New Roman"/>
                <w:i/>
                <w:sz w:val="18"/>
                <w:szCs w:val="18"/>
                <w:lang w:val="uk-UA"/>
              </w:rPr>
              <w:t>просп</w:t>
            </w:r>
            <w:proofErr w:type="spellEnd"/>
            <w:r w:rsidRPr="004E51A1">
              <w:rPr>
                <w:rFonts w:ascii="Times New Roman" w:hAnsi="Times New Roman"/>
                <w:i/>
                <w:sz w:val="18"/>
                <w:szCs w:val="18"/>
                <w:lang w:val="uk-UA"/>
              </w:rPr>
              <w:t>., буд. 28</w:t>
            </w:r>
          </w:p>
          <w:p w14:paraId="106A94F3" w14:textId="77777777" w:rsidR="00390DBC" w:rsidRPr="00E16672" w:rsidRDefault="00390DBC" w:rsidP="00D652DD">
            <w:pPr>
              <w:ind w:firstLine="0"/>
              <w:jc w:val="left"/>
              <w:rPr>
                <w:rFonts w:ascii="Times New Roman" w:hAnsi="Times New Roman"/>
                <w:sz w:val="18"/>
                <w:szCs w:val="18"/>
              </w:rPr>
            </w:pPr>
          </w:p>
        </w:tc>
      </w:tr>
      <w:tr w:rsidR="00390DBC" w:rsidRPr="00E16672" w14:paraId="0665B73A" w14:textId="77777777" w:rsidTr="00E76246">
        <w:tc>
          <w:tcPr>
            <w:tcW w:w="2625" w:type="dxa"/>
            <w:gridSpan w:val="2"/>
            <w:shd w:val="clear" w:color="auto" w:fill="auto"/>
          </w:tcPr>
          <w:p w14:paraId="4840F841" w14:textId="77777777" w:rsidR="00390DBC" w:rsidRPr="00E16672" w:rsidRDefault="00390DBC" w:rsidP="00D652DD">
            <w:pPr>
              <w:snapToGrid w:val="0"/>
              <w:ind w:firstLine="6"/>
              <w:rPr>
                <w:rFonts w:ascii="Times New Roman" w:hAnsi="Times New Roman"/>
                <w:b/>
                <w:color w:val="000000"/>
                <w:sz w:val="18"/>
                <w:szCs w:val="18"/>
                <w:lang w:val="uk-UA"/>
              </w:rPr>
            </w:pPr>
            <w:r w:rsidRPr="00E16672">
              <w:rPr>
                <w:rFonts w:ascii="Times New Roman" w:hAnsi="Times New Roman"/>
                <w:b/>
                <w:color w:val="000000"/>
                <w:sz w:val="18"/>
                <w:szCs w:val="18"/>
                <w:lang w:val="uk-UA"/>
              </w:rPr>
              <w:t>Документ, що підтверджує повноваження особи, яка підписує договір</w:t>
            </w:r>
          </w:p>
        </w:tc>
        <w:tc>
          <w:tcPr>
            <w:tcW w:w="2625" w:type="dxa"/>
            <w:tcBorders>
              <w:left w:val="nil"/>
            </w:tcBorders>
            <w:shd w:val="clear" w:color="auto" w:fill="auto"/>
          </w:tcPr>
          <w:p w14:paraId="7F80BB36" w14:textId="77777777" w:rsidR="00390DBC" w:rsidRPr="00E16672" w:rsidRDefault="00390DBC" w:rsidP="00D652DD">
            <w:pPr>
              <w:snapToGrid w:val="0"/>
              <w:ind w:firstLine="6"/>
              <w:rPr>
                <w:rFonts w:ascii="Times New Roman" w:hAnsi="Times New Roman"/>
                <w:b/>
                <w:color w:val="000000"/>
                <w:sz w:val="18"/>
                <w:szCs w:val="18"/>
                <w:lang w:val="uk-UA"/>
              </w:rPr>
            </w:pPr>
          </w:p>
        </w:tc>
        <w:tc>
          <w:tcPr>
            <w:tcW w:w="236" w:type="dxa"/>
            <w:shd w:val="clear" w:color="auto" w:fill="auto"/>
          </w:tcPr>
          <w:p w14:paraId="089B1283" w14:textId="77777777" w:rsidR="00390DBC" w:rsidRPr="00E16672" w:rsidRDefault="00390DBC" w:rsidP="00D652DD">
            <w:pPr>
              <w:snapToGrid w:val="0"/>
              <w:rPr>
                <w:rFonts w:ascii="Times New Roman" w:hAnsi="Times New Roman"/>
                <w:color w:val="000000"/>
                <w:sz w:val="18"/>
                <w:szCs w:val="18"/>
              </w:rPr>
            </w:pPr>
          </w:p>
        </w:tc>
        <w:tc>
          <w:tcPr>
            <w:tcW w:w="2737" w:type="dxa"/>
            <w:gridSpan w:val="2"/>
            <w:shd w:val="clear" w:color="auto" w:fill="auto"/>
          </w:tcPr>
          <w:p w14:paraId="4021E3DC" w14:textId="77777777" w:rsidR="00390DBC" w:rsidRPr="00E16672" w:rsidDel="00D16973" w:rsidRDefault="00390DBC" w:rsidP="00D652DD">
            <w:pPr>
              <w:pStyle w:val="6"/>
              <w:widowControl w:val="0"/>
              <w:snapToGrid w:val="0"/>
              <w:ind w:left="0" w:firstLine="0"/>
              <w:jc w:val="left"/>
              <w:rPr>
                <w:rFonts w:ascii="Times New Roman" w:hAnsi="Times New Roman"/>
                <w:b/>
                <w:bCs/>
                <w:color w:val="0000FF"/>
                <w:sz w:val="20"/>
              </w:rPr>
            </w:pPr>
            <w:r w:rsidRPr="00E16672">
              <w:rPr>
                <w:rFonts w:ascii="Times New Roman" w:hAnsi="Times New Roman"/>
                <w:b/>
                <w:color w:val="000000"/>
                <w:sz w:val="18"/>
                <w:szCs w:val="18"/>
                <w:lang w:val="uk-UA"/>
              </w:rPr>
              <w:t>Документ, що підтверджує повноваження особи, яка підписує договір</w:t>
            </w:r>
          </w:p>
        </w:tc>
        <w:tc>
          <w:tcPr>
            <w:tcW w:w="2738" w:type="dxa"/>
            <w:shd w:val="clear" w:color="auto" w:fill="auto"/>
            <w:vAlign w:val="center"/>
          </w:tcPr>
          <w:p w14:paraId="6F2F5891" w14:textId="77777777" w:rsidR="00390DBC" w:rsidRPr="00E16672" w:rsidDel="00D16973" w:rsidRDefault="00390DBC" w:rsidP="00D652DD">
            <w:pPr>
              <w:pStyle w:val="6"/>
              <w:widowControl w:val="0"/>
              <w:snapToGrid w:val="0"/>
              <w:ind w:left="0" w:firstLine="0"/>
              <w:jc w:val="left"/>
              <w:rPr>
                <w:rFonts w:ascii="Times New Roman" w:hAnsi="Times New Roman"/>
                <w:bCs/>
                <w:sz w:val="18"/>
                <w:szCs w:val="18"/>
              </w:rPr>
            </w:pPr>
            <w:r w:rsidRPr="00E16672">
              <w:rPr>
                <w:rFonts w:ascii="Times New Roman" w:hAnsi="Times New Roman"/>
                <w:bCs/>
                <w:sz w:val="18"/>
                <w:szCs w:val="18"/>
                <w:lang w:val="uk-UA"/>
              </w:rPr>
              <w:t>Статут</w:t>
            </w:r>
          </w:p>
        </w:tc>
      </w:tr>
      <w:tr w:rsidR="00390DBC" w:rsidRPr="00E16672" w14:paraId="2CB0FAFF" w14:textId="77777777" w:rsidTr="00E76246">
        <w:tc>
          <w:tcPr>
            <w:tcW w:w="5250" w:type="dxa"/>
            <w:gridSpan w:val="3"/>
            <w:shd w:val="clear" w:color="auto" w:fill="auto"/>
          </w:tcPr>
          <w:p w14:paraId="0732EBFD" w14:textId="77777777" w:rsidR="00390DBC" w:rsidRPr="00E16672" w:rsidRDefault="00390DBC" w:rsidP="00D652DD">
            <w:pPr>
              <w:snapToGrid w:val="0"/>
              <w:ind w:firstLine="6"/>
              <w:rPr>
                <w:rFonts w:ascii="Times New Roman" w:hAnsi="Times New Roman"/>
                <w:b/>
                <w:bCs/>
                <w:i/>
                <w:iCs/>
                <w:color w:val="000000"/>
                <w:sz w:val="18"/>
                <w:szCs w:val="18"/>
              </w:rPr>
            </w:pPr>
          </w:p>
        </w:tc>
        <w:tc>
          <w:tcPr>
            <w:tcW w:w="236" w:type="dxa"/>
            <w:tcBorders>
              <w:left w:val="nil"/>
            </w:tcBorders>
            <w:shd w:val="clear" w:color="auto" w:fill="auto"/>
          </w:tcPr>
          <w:p w14:paraId="4793FA10" w14:textId="77777777" w:rsidR="00390DBC" w:rsidRPr="00E16672" w:rsidRDefault="00390DBC" w:rsidP="00D652DD">
            <w:pPr>
              <w:snapToGrid w:val="0"/>
              <w:rPr>
                <w:rFonts w:ascii="Times New Roman" w:hAnsi="Times New Roman"/>
                <w:color w:val="000000"/>
                <w:sz w:val="18"/>
                <w:szCs w:val="18"/>
              </w:rPr>
            </w:pPr>
          </w:p>
        </w:tc>
        <w:tc>
          <w:tcPr>
            <w:tcW w:w="5475" w:type="dxa"/>
            <w:gridSpan w:val="3"/>
            <w:shd w:val="clear" w:color="auto" w:fill="auto"/>
            <w:vAlign w:val="center"/>
          </w:tcPr>
          <w:p w14:paraId="12ED17A6" w14:textId="77777777" w:rsidR="00390DBC" w:rsidRPr="00E16672" w:rsidRDefault="00390DBC" w:rsidP="00D652DD">
            <w:pPr>
              <w:snapToGrid w:val="0"/>
              <w:rPr>
                <w:rFonts w:ascii="Times New Roman" w:hAnsi="Times New Roman"/>
                <w:sz w:val="18"/>
                <w:szCs w:val="18"/>
              </w:rPr>
            </w:pPr>
          </w:p>
        </w:tc>
      </w:tr>
      <w:tr w:rsidR="00390DBC" w:rsidRPr="00E16672" w14:paraId="173B32F5" w14:textId="77777777" w:rsidTr="00E76246">
        <w:tc>
          <w:tcPr>
            <w:tcW w:w="2536" w:type="dxa"/>
            <w:shd w:val="clear" w:color="auto" w:fill="auto"/>
          </w:tcPr>
          <w:p w14:paraId="1C99CB40" w14:textId="77777777" w:rsidR="00390DBC" w:rsidRPr="00E16672" w:rsidRDefault="00390DBC" w:rsidP="00D652DD">
            <w:pPr>
              <w:snapToGrid w:val="0"/>
              <w:ind w:firstLine="6"/>
              <w:rPr>
                <w:rFonts w:ascii="Times New Roman" w:hAnsi="Times New Roman"/>
                <w:b/>
                <w:bCs/>
                <w:i/>
                <w:iCs/>
                <w:color w:val="000000"/>
                <w:sz w:val="18"/>
                <w:szCs w:val="18"/>
                <w:lang w:val="en-US"/>
              </w:rPr>
            </w:pPr>
            <w:r w:rsidRPr="00E16672">
              <w:rPr>
                <w:rFonts w:ascii="Times New Roman" w:hAnsi="Times New Roman"/>
                <w:b/>
                <w:bCs/>
                <w:i/>
                <w:iCs/>
                <w:color w:val="000000"/>
                <w:sz w:val="18"/>
                <w:szCs w:val="18"/>
                <w:lang w:val="en-US"/>
              </w:rPr>
              <w:t>E-mail</w:t>
            </w:r>
          </w:p>
        </w:tc>
        <w:tc>
          <w:tcPr>
            <w:tcW w:w="2714" w:type="dxa"/>
            <w:gridSpan w:val="2"/>
            <w:tcBorders>
              <w:left w:val="nil"/>
            </w:tcBorders>
            <w:shd w:val="clear" w:color="auto" w:fill="auto"/>
          </w:tcPr>
          <w:p w14:paraId="53171C15" w14:textId="77777777" w:rsidR="00390DBC" w:rsidRPr="00E16672" w:rsidRDefault="00390DBC" w:rsidP="00D652DD">
            <w:pPr>
              <w:snapToGrid w:val="0"/>
              <w:ind w:firstLine="6"/>
              <w:rPr>
                <w:rFonts w:ascii="Times New Roman" w:hAnsi="Times New Roman"/>
                <w:color w:val="000000"/>
                <w:sz w:val="18"/>
                <w:szCs w:val="18"/>
                <w:lang w:val="en-US"/>
              </w:rPr>
            </w:pPr>
          </w:p>
        </w:tc>
        <w:tc>
          <w:tcPr>
            <w:tcW w:w="236" w:type="dxa"/>
            <w:shd w:val="clear" w:color="auto" w:fill="auto"/>
          </w:tcPr>
          <w:p w14:paraId="389D368F" w14:textId="77777777" w:rsidR="00390DBC" w:rsidRPr="00E16672" w:rsidRDefault="00390DBC" w:rsidP="00D652DD">
            <w:pPr>
              <w:snapToGrid w:val="0"/>
              <w:rPr>
                <w:rFonts w:ascii="Times New Roman" w:hAnsi="Times New Roman"/>
                <w:color w:val="000000"/>
                <w:sz w:val="18"/>
                <w:szCs w:val="18"/>
              </w:rPr>
            </w:pPr>
          </w:p>
        </w:tc>
        <w:tc>
          <w:tcPr>
            <w:tcW w:w="2720" w:type="dxa"/>
            <w:shd w:val="clear" w:color="auto" w:fill="auto"/>
            <w:vAlign w:val="center"/>
          </w:tcPr>
          <w:p w14:paraId="0242D921" w14:textId="77777777" w:rsidR="00390DBC" w:rsidRPr="00E16672" w:rsidRDefault="00390DBC" w:rsidP="00D652DD">
            <w:pPr>
              <w:snapToGrid w:val="0"/>
              <w:ind w:firstLine="6"/>
              <w:jc w:val="left"/>
              <w:rPr>
                <w:rFonts w:ascii="Times New Roman" w:hAnsi="Times New Roman"/>
                <w:b/>
                <w:bCs/>
                <w:i/>
                <w:iCs/>
                <w:color w:val="000000"/>
                <w:sz w:val="18"/>
                <w:szCs w:val="18"/>
                <w:lang w:val="en-US"/>
              </w:rPr>
            </w:pPr>
            <w:r w:rsidRPr="00E16672">
              <w:rPr>
                <w:rFonts w:ascii="Times New Roman" w:hAnsi="Times New Roman"/>
                <w:b/>
                <w:bCs/>
                <w:i/>
                <w:iCs/>
                <w:color w:val="000000"/>
                <w:sz w:val="18"/>
                <w:szCs w:val="18"/>
                <w:lang w:val="en-US"/>
              </w:rPr>
              <w:t>E-mail</w:t>
            </w:r>
          </w:p>
        </w:tc>
        <w:tc>
          <w:tcPr>
            <w:tcW w:w="2755" w:type="dxa"/>
            <w:gridSpan w:val="2"/>
            <w:shd w:val="clear" w:color="auto" w:fill="auto"/>
            <w:vAlign w:val="center"/>
          </w:tcPr>
          <w:p w14:paraId="59907DE9" w14:textId="77777777" w:rsidR="00390DBC" w:rsidRPr="00E16672" w:rsidRDefault="00622BEB" w:rsidP="00D652DD">
            <w:pPr>
              <w:pStyle w:val="6"/>
              <w:widowControl w:val="0"/>
              <w:snapToGrid w:val="0"/>
              <w:ind w:left="0" w:firstLine="0"/>
              <w:jc w:val="left"/>
              <w:rPr>
                <w:rFonts w:ascii="Times New Roman" w:hAnsi="Times New Roman"/>
                <w:bCs/>
                <w:sz w:val="18"/>
                <w:szCs w:val="18"/>
                <w:lang w:val="uk-UA"/>
              </w:rPr>
            </w:pPr>
            <w:r>
              <w:rPr>
                <w:rFonts w:ascii="Times New Roman" w:hAnsi="Times New Roman"/>
                <w:bCs/>
                <w:sz w:val="18"/>
                <w:szCs w:val="18"/>
                <w:lang w:val="uk-UA"/>
              </w:rPr>
              <w:t>custody@comex.com.ua</w:t>
            </w:r>
          </w:p>
        </w:tc>
      </w:tr>
      <w:tr w:rsidR="00390DBC" w:rsidRPr="00E16672" w14:paraId="628857E9" w14:textId="77777777" w:rsidTr="00E76246">
        <w:tc>
          <w:tcPr>
            <w:tcW w:w="2536" w:type="dxa"/>
            <w:shd w:val="clear" w:color="auto" w:fill="auto"/>
          </w:tcPr>
          <w:p w14:paraId="551EAD48" w14:textId="77777777" w:rsidR="00390DBC" w:rsidRPr="00E16672" w:rsidRDefault="00390DBC" w:rsidP="00D652DD">
            <w:pPr>
              <w:pStyle w:val="6"/>
              <w:numPr>
                <w:ilvl w:val="0"/>
                <w:numId w:val="0"/>
              </w:numPr>
              <w:snapToGrid w:val="0"/>
              <w:ind w:right="4"/>
              <w:jc w:val="left"/>
              <w:rPr>
                <w:rFonts w:ascii="Times New Roman" w:hAnsi="Times New Roman"/>
                <w:b/>
                <w:i/>
                <w:color w:val="000000"/>
                <w:sz w:val="18"/>
                <w:szCs w:val="18"/>
                <w:lang w:val="uk-UA"/>
              </w:rPr>
            </w:pPr>
            <w:r w:rsidRPr="00E16672">
              <w:rPr>
                <w:rFonts w:ascii="Times New Roman" w:hAnsi="Times New Roman"/>
                <w:b/>
                <w:i/>
                <w:color w:val="000000"/>
                <w:sz w:val="18"/>
                <w:szCs w:val="18"/>
                <w:lang w:val="uk-UA"/>
              </w:rPr>
              <w:t xml:space="preserve">Телефон </w:t>
            </w:r>
          </w:p>
        </w:tc>
        <w:tc>
          <w:tcPr>
            <w:tcW w:w="2714" w:type="dxa"/>
            <w:gridSpan w:val="2"/>
            <w:tcBorders>
              <w:left w:val="nil"/>
            </w:tcBorders>
            <w:shd w:val="clear" w:color="auto" w:fill="auto"/>
          </w:tcPr>
          <w:p w14:paraId="14EA798D" w14:textId="77777777" w:rsidR="00390DBC" w:rsidRPr="00E16672" w:rsidRDefault="00390DBC" w:rsidP="00D652DD">
            <w:pPr>
              <w:pStyle w:val="6"/>
              <w:numPr>
                <w:ilvl w:val="0"/>
                <w:numId w:val="0"/>
              </w:numPr>
              <w:snapToGrid w:val="0"/>
              <w:ind w:right="4"/>
              <w:jc w:val="left"/>
              <w:rPr>
                <w:rFonts w:ascii="Times New Roman" w:hAnsi="Times New Roman"/>
                <w:color w:val="000000"/>
                <w:sz w:val="18"/>
                <w:szCs w:val="18"/>
                <w:lang w:val="uk-UA"/>
              </w:rPr>
            </w:pPr>
          </w:p>
        </w:tc>
        <w:tc>
          <w:tcPr>
            <w:tcW w:w="236" w:type="dxa"/>
            <w:shd w:val="clear" w:color="auto" w:fill="auto"/>
          </w:tcPr>
          <w:p w14:paraId="0245DA43" w14:textId="77777777" w:rsidR="00390DBC" w:rsidRPr="00E16672" w:rsidRDefault="00390DBC" w:rsidP="00D652DD">
            <w:pPr>
              <w:snapToGrid w:val="0"/>
              <w:rPr>
                <w:rFonts w:ascii="Times New Roman" w:hAnsi="Times New Roman"/>
                <w:color w:val="000000"/>
                <w:sz w:val="18"/>
                <w:szCs w:val="18"/>
              </w:rPr>
            </w:pPr>
          </w:p>
        </w:tc>
        <w:tc>
          <w:tcPr>
            <w:tcW w:w="2720" w:type="dxa"/>
            <w:shd w:val="clear" w:color="auto" w:fill="auto"/>
            <w:vAlign w:val="center"/>
          </w:tcPr>
          <w:p w14:paraId="4CD2ED1E" w14:textId="77777777" w:rsidR="00390DBC" w:rsidRPr="00E16672" w:rsidRDefault="00390DBC" w:rsidP="00D652DD">
            <w:pPr>
              <w:snapToGrid w:val="0"/>
              <w:ind w:firstLine="0"/>
              <w:jc w:val="left"/>
              <w:rPr>
                <w:rFonts w:ascii="Times New Roman" w:hAnsi="Times New Roman"/>
                <w:b/>
                <w:i/>
                <w:color w:val="000000"/>
                <w:sz w:val="18"/>
                <w:szCs w:val="18"/>
              </w:rPr>
            </w:pPr>
            <w:r w:rsidRPr="00E16672">
              <w:rPr>
                <w:rFonts w:ascii="Times New Roman" w:hAnsi="Times New Roman"/>
                <w:b/>
                <w:i/>
                <w:color w:val="000000"/>
                <w:sz w:val="18"/>
                <w:szCs w:val="18"/>
              </w:rPr>
              <w:t>Телефон</w:t>
            </w:r>
          </w:p>
        </w:tc>
        <w:tc>
          <w:tcPr>
            <w:tcW w:w="2755" w:type="dxa"/>
            <w:gridSpan w:val="2"/>
            <w:shd w:val="clear" w:color="auto" w:fill="auto"/>
            <w:vAlign w:val="center"/>
          </w:tcPr>
          <w:p w14:paraId="52DF7B41" w14:textId="77777777" w:rsidR="00390DBC" w:rsidRPr="00E16672" w:rsidRDefault="00622BEB" w:rsidP="00D652DD">
            <w:pPr>
              <w:snapToGrid w:val="0"/>
              <w:ind w:firstLine="0"/>
              <w:rPr>
                <w:rFonts w:ascii="Times New Roman" w:hAnsi="Times New Roman"/>
                <w:bCs/>
                <w:sz w:val="18"/>
                <w:szCs w:val="18"/>
                <w:lang w:val="uk-UA"/>
              </w:rPr>
            </w:pPr>
            <w:r>
              <w:rPr>
                <w:rFonts w:ascii="Times New Roman" w:hAnsi="Times New Roman"/>
                <w:bCs/>
                <w:sz w:val="18"/>
                <w:szCs w:val="18"/>
                <w:lang w:val="uk-UA"/>
              </w:rPr>
              <w:t>044 502 65 73</w:t>
            </w:r>
          </w:p>
        </w:tc>
      </w:tr>
      <w:tr w:rsidR="00390DBC" w:rsidRPr="00E16672" w14:paraId="163ED9C7" w14:textId="77777777" w:rsidTr="00E76246">
        <w:trPr>
          <w:trHeight w:val="56"/>
        </w:trPr>
        <w:tc>
          <w:tcPr>
            <w:tcW w:w="2536" w:type="dxa"/>
            <w:shd w:val="clear" w:color="auto" w:fill="auto"/>
          </w:tcPr>
          <w:p w14:paraId="23A163AE" w14:textId="7E0BD664" w:rsidR="00390DBC" w:rsidRPr="00E16672" w:rsidRDefault="00390DBC" w:rsidP="00D652DD">
            <w:pPr>
              <w:snapToGrid w:val="0"/>
              <w:ind w:firstLine="6"/>
              <w:rPr>
                <w:rFonts w:ascii="Times New Roman" w:hAnsi="Times New Roman"/>
                <w:b/>
                <w:bCs/>
                <w:i/>
                <w:iCs/>
                <w:color w:val="000000"/>
                <w:sz w:val="18"/>
                <w:szCs w:val="18"/>
                <w:lang w:val="uk-UA"/>
              </w:rPr>
            </w:pPr>
          </w:p>
        </w:tc>
        <w:tc>
          <w:tcPr>
            <w:tcW w:w="2714" w:type="dxa"/>
            <w:gridSpan w:val="2"/>
            <w:tcBorders>
              <w:left w:val="nil"/>
            </w:tcBorders>
            <w:shd w:val="clear" w:color="auto" w:fill="auto"/>
          </w:tcPr>
          <w:p w14:paraId="0179E27B" w14:textId="77777777" w:rsidR="00390DBC" w:rsidRPr="00E16672" w:rsidRDefault="00390DBC" w:rsidP="00D652DD">
            <w:pPr>
              <w:snapToGrid w:val="0"/>
              <w:ind w:firstLine="6"/>
              <w:rPr>
                <w:rFonts w:ascii="Times New Roman" w:hAnsi="Times New Roman"/>
                <w:color w:val="000000"/>
                <w:sz w:val="18"/>
                <w:szCs w:val="18"/>
              </w:rPr>
            </w:pPr>
          </w:p>
        </w:tc>
        <w:tc>
          <w:tcPr>
            <w:tcW w:w="236" w:type="dxa"/>
            <w:shd w:val="clear" w:color="auto" w:fill="auto"/>
          </w:tcPr>
          <w:p w14:paraId="3BF23B1C" w14:textId="77777777" w:rsidR="00390DBC" w:rsidRPr="00E16672" w:rsidRDefault="00390DBC" w:rsidP="00D652DD">
            <w:pPr>
              <w:snapToGrid w:val="0"/>
              <w:rPr>
                <w:rFonts w:ascii="Times New Roman" w:hAnsi="Times New Roman"/>
                <w:color w:val="000000"/>
                <w:sz w:val="18"/>
                <w:szCs w:val="18"/>
              </w:rPr>
            </w:pPr>
          </w:p>
        </w:tc>
        <w:tc>
          <w:tcPr>
            <w:tcW w:w="2720" w:type="dxa"/>
            <w:shd w:val="clear" w:color="auto" w:fill="auto"/>
            <w:vAlign w:val="center"/>
          </w:tcPr>
          <w:p w14:paraId="56D28461" w14:textId="272CB1C4" w:rsidR="00390DBC" w:rsidRPr="00E16672" w:rsidRDefault="00390DBC" w:rsidP="00406FB3">
            <w:pPr>
              <w:snapToGrid w:val="0"/>
              <w:ind w:firstLine="0"/>
              <w:jc w:val="left"/>
              <w:rPr>
                <w:rFonts w:ascii="Times New Roman" w:hAnsi="Times New Roman"/>
                <w:color w:val="000000"/>
                <w:sz w:val="18"/>
                <w:szCs w:val="18"/>
              </w:rPr>
            </w:pPr>
          </w:p>
        </w:tc>
        <w:tc>
          <w:tcPr>
            <w:tcW w:w="2755" w:type="dxa"/>
            <w:gridSpan w:val="2"/>
            <w:shd w:val="clear" w:color="auto" w:fill="auto"/>
            <w:vAlign w:val="center"/>
          </w:tcPr>
          <w:p w14:paraId="652D4F0F" w14:textId="77777777" w:rsidR="00390DBC" w:rsidRPr="00E16672" w:rsidRDefault="00390DBC" w:rsidP="00D652DD">
            <w:pPr>
              <w:snapToGrid w:val="0"/>
              <w:rPr>
                <w:rFonts w:ascii="Times New Roman" w:hAnsi="Times New Roman"/>
                <w:bCs/>
                <w:sz w:val="18"/>
                <w:szCs w:val="18"/>
                <w:lang w:val="en-US"/>
              </w:rPr>
            </w:pPr>
          </w:p>
        </w:tc>
      </w:tr>
      <w:tr w:rsidR="00390DBC" w:rsidRPr="00E16672" w14:paraId="426DC587" w14:textId="77777777" w:rsidTr="00E76246">
        <w:tc>
          <w:tcPr>
            <w:tcW w:w="2536" w:type="dxa"/>
            <w:shd w:val="clear" w:color="auto" w:fill="auto"/>
          </w:tcPr>
          <w:p w14:paraId="04356D48" w14:textId="77777777" w:rsidR="00390DBC" w:rsidRPr="00E16672" w:rsidRDefault="00390DBC" w:rsidP="00D652DD">
            <w:pPr>
              <w:snapToGrid w:val="0"/>
              <w:ind w:firstLine="6"/>
              <w:rPr>
                <w:rFonts w:ascii="Times New Roman" w:hAnsi="Times New Roman"/>
                <w:b/>
                <w:bCs/>
                <w:i/>
                <w:iCs/>
                <w:color w:val="000000"/>
                <w:sz w:val="18"/>
                <w:szCs w:val="18"/>
              </w:rPr>
            </w:pPr>
          </w:p>
        </w:tc>
        <w:tc>
          <w:tcPr>
            <w:tcW w:w="2714" w:type="dxa"/>
            <w:gridSpan w:val="2"/>
            <w:shd w:val="clear" w:color="auto" w:fill="auto"/>
          </w:tcPr>
          <w:p w14:paraId="10AE094C" w14:textId="77777777" w:rsidR="00390DBC" w:rsidRPr="00E16672" w:rsidRDefault="00390DBC" w:rsidP="00D652DD">
            <w:pPr>
              <w:snapToGrid w:val="0"/>
              <w:ind w:firstLine="6"/>
              <w:rPr>
                <w:rFonts w:ascii="Times New Roman" w:hAnsi="Times New Roman"/>
                <w:color w:val="000000"/>
                <w:sz w:val="18"/>
                <w:szCs w:val="18"/>
              </w:rPr>
            </w:pPr>
          </w:p>
        </w:tc>
        <w:tc>
          <w:tcPr>
            <w:tcW w:w="236" w:type="dxa"/>
            <w:shd w:val="clear" w:color="auto" w:fill="auto"/>
          </w:tcPr>
          <w:p w14:paraId="7FA76D8A" w14:textId="77777777" w:rsidR="00390DBC" w:rsidRPr="00E16672" w:rsidRDefault="00390DBC" w:rsidP="00D652DD">
            <w:pPr>
              <w:snapToGrid w:val="0"/>
              <w:rPr>
                <w:rFonts w:ascii="Times New Roman" w:hAnsi="Times New Roman"/>
                <w:color w:val="000000"/>
                <w:sz w:val="18"/>
                <w:szCs w:val="18"/>
              </w:rPr>
            </w:pPr>
          </w:p>
        </w:tc>
        <w:tc>
          <w:tcPr>
            <w:tcW w:w="2737" w:type="dxa"/>
            <w:gridSpan w:val="2"/>
            <w:shd w:val="clear" w:color="auto" w:fill="auto"/>
            <w:vAlign w:val="center"/>
          </w:tcPr>
          <w:p w14:paraId="55224B88" w14:textId="77777777" w:rsidR="00E76246" w:rsidRPr="00E16672" w:rsidRDefault="00E76246" w:rsidP="00406FB3">
            <w:pPr>
              <w:snapToGrid w:val="0"/>
              <w:ind w:firstLine="0"/>
              <w:jc w:val="left"/>
              <w:rPr>
                <w:rFonts w:ascii="Times New Roman" w:hAnsi="Times New Roman"/>
                <w:b/>
                <w:i/>
                <w:color w:val="000000"/>
                <w:sz w:val="18"/>
                <w:szCs w:val="18"/>
                <w:lang w:val="uk-UA"/>
              </w:rPr>
            </w:pPr>
          </w:p>
          <w:p w14:paraId="1FB878C0" w14:textId="77777777" w:rsidR="00390DBC" w:rsidRPr="00E16672" w:rsidRDefault="00390DBC" w:rsidP="00406FB3">
            <w:pPr>
              <w:snapToGrid w:val="0"/>
              <w:ind w:firstLine="0"/>
              <w:jc w:val="left"/>
              <w:rPr>
                <w:rFonts w:ascii="Times New Roman" w:hAnsi="Times New Roman"/>
                <w:b/>
                <w:i/>
                <w:color w:val="000000"/>
                <w:sz w:val="18"/>
                <w:szCs w:val="18"/>
              </w:rPr>
            </w:pPr>
            <w:r w:rsidRPr="00E16672">
              <w:rPr>
                <w:rFonts w:ascii="Times New Roman" w:hAnsi="Times New Roman"/>
                <w:b/>
                <w:i/>
                <w:color w:val="000000"/>
                <w:sz w:val="18"/>
                <w:szCs w:val="18"/>
                <w:lang w:val="uk-UA"/>
              </w:rPr>
              <w:t xml:space="preserve">Ліцензія депозитарної установи </w:t>
            </w:r>
            <w:r w:rsidRPr="00E16672">
              <w:rPr>
                <w:rFonts w:ascii="Times New Roman" w:hAnsi="Times New Roman"/>
                <w:i/>
                <w:color w:val="000000"/>
                <w:sz w:val="18"/>
                <w:szCs w:val="18"/>
                <w:lang w:val="uk-UA"/>
              </w:rPr>
              <w:t>(серія, номер, дата видачі)</w:t>
            </w:r>
          </w:p>
        </w:tc>
        <w:tc>
          <w:tcPr>
            <w:tcW w:w="2738" w:type="dxa"/>
            <w:shd w:val="clear" w:color="auto" w:fill="auto"/>
            <w:vAlign w:val="center"/>
          </w:tcPr>
          <w:p w14:paraId="02FD1726" w14:textId="77777777" w:rsidR="00390DBC" w:rsidRPr="00E16672" w:rsidDel="00D16973" w:rsidRDefault="00390DBC" w:rsidP="00D652DD">
            <w:pPr>
              <w:snapToGrid w:val="0"/>
              <w:ind w:firstLine="0"/>
              <w:rPr>
                <w:rFonts w:ascii="Times New Roman" w:hAnsi="Times New Roman"/>
                <w:bCs/>
                <w:sz w:val="18"/>
                <w:szCs w:val="18"/>
                <w:lang w:val="uk-UA"/>
              </w:rPr>
            </w:pPr>
            <w:r w:rsidRPr="00E16672">
              <w:rPr>
                <w:rFonts w:ascii="Times New Roman" w:hAnsi="Times New Roman"/>
                <w:bCs/>
                <w:sz w:val="18"/>
                <w:szCs w:val="18"/>
                <w:lang w:val="uk-UA"/>
              </w:rPr>
              <w:t xml:space="preserve">АЕ </w:t>
            </w:r>
            <w:r w:rsidR="00E16672" w:rsidRPr="00E16672">
              <w:rPr>
                <w:rFonts w:ascii="Times New Roman" w:hAnsi="Times New Roman"/>
                <w:bCs/>
                <w:sz w:val="18"/>
                <w:szCs w:val="18"/>
                <w:lang w:val="uk-UA"/>
              </w:rPr>
              <w:t>263429</w:t>
            </w:r>
            <w:r w:rsidRPr="00E16672">
              <w:rPr>
                <w:rFonts w:ascii="Times New Roman" w:hAnsi="Times New Roman"/>
                <w:bCs/>
                <w:sz w:val="18"/>
                <w:szCs w:val="18"/>
                <w:lang w:val="uk-UA"/>
              </w:rPr>
              <w:t xml:space="preserve">, </w:t>
            </w:r>
            <w:r w:rsidR="00E16672" w:rsidRPr="00E16672">
              <w:rPr>
                <w:rFonts w:ascii="Times New Roman" w:hAnsi="Times New Roman"/>
                <w:bCs/>
                <w:sz w:val="18"/>
                <w:szCs w:val="18"/>
                <w:lang w:val="uk-UA"/>
              </w:rPr>
              <w:t>01.10.2013</w:t>
            </w:r>
            <w:r w:rsidRPr="00E16672">
              <w:rPr>
                <w:rFonts w:ascii="Times New Roman" w:hAnsi="Times New Roman"/>
                <w:bCs/>
                <w:sz w:val="18"/>
                <w:szCs w:val="18"/>
                <w:lang w:val="uk-UA"/>
              </w:rPr>
              <w:t xml:space="preserve"> р.</w:t>
            </w:r>
          </w:p>
        </w:tc>
      </w:tr>
    </w:tbl>
    <w:p w14:paraId="083F92C8" w14:textId="77777777" w:rsidR="00390DBC" w:rsidRPr="00E16672" w:rsidRDefault="00390DBC" w:rsidP="00390DBC">
      <w:pPr>
        <w:tabs>
          <w:tab w:val="left" w:pos="3403"/>
        </w:tabs>
        <w:ind w:left="1843" w:hanging="1395"/>
        <w:jc w:val="center"/>
        <w:rPr>
          <w:rFonts w:ascii="Times New Roman" w:hAnsi="Times New Roman"/>
          <w:color w:val="000000"/>
        </w:rPr>
      </w:pPr>
    </w:p>
    <w:tbl>
      <w:tblPr>
        <w:tblW w:w="0" w:type="auto"/>
        <w:tblInd w:w="183" w:type="dxa"/>
        <w:tblLayout w:type="fixed"/>
        <w:tblLook w:val="0000" w:firstRow="0" w:lastRow="0" w:firstColumn="0" w:lastColumn="0" w:noHBand="0" w:noVBand="0"/>
      </w:tblPr>
      <w:tblGrid>
        <w:gridCol w:w="5550"/>
        <w:gridCol w:w="5200"/>
      </w:tblGrid>
      <w:tr w:rsidR="00390DBC" w:rsidRPr="00E16672" w14:paraId="18B94AC4" w14:textId="77777777" w:rsidTr="00D652DD">
        <w:tc>
          <w:tcPr>
            <w:tcW w:w="5550" w:type="dxa"/>
            <w:shd w:val="clear" w:color="auto" w:fill="auto"/>
          </w:tcPr>
          <w:p w14:paraId="09EEB8C2" w14:textId="77777777" w:rsidR="00390DBC" w:rsidRPr="00E16672" w:rsidRDefault="00390DBC" w:rsidP="00D652DD">
            <w:pPr>
              <w:tabs>
                <w:tab w:val="left" w:pos="1560"/>
              </w:tabs>
              <w:snapToGrid w:val="0"/>
              <w:ind w:left="1843" w:hanging="1395"/>
              <w:rPr>
                <w:rFonts w:ascii="Times New Roman" w:hAnsi="Times New Roman"/>
                <w:b/>
                <w:bCs/>
                <w:color w:val="000000"/>
                <w:sz w:val="18"/>
                <w:szCs w:val="18"/>
                <w:lang w:val="uk-UA"/>
              </w:rPr>
            </w:pPr>
          </w:p>
          <w:p w14:paraId="2632A380" w14:textId="77777777" w:rsidR="00390DBC" w:rsidRPr="00E16672" w:rsidRDefault="00390DBC" w:rsidP="005F45F0">
            <w:pPr>
              <w:tabs>
                <w:tab w:val="left" w:pos="1560"/>
              </w:tabs>
              <w:snapToGrid w:val="0"/>
              <w:ind w:firstLine="423"/>
              <w:jc w:val="left"/>
              <w:rPr>
                <w:rFonts w:ascii="Times New Roman" w:hAnsi="Times New Roman"/>
                <w:b/>
                <w:bCs/>
                <w:color w:val="000000"/>
                <w:sz w:val="18"/>
                <w:szCs w:val="18"/>
              </w:rPr>
            </w:pPr>
            <w:r w:rsidRPr="00E16672">
              <w:rPr>
                <w:rFonts w:ascii="Times New Roman" w:hAnsi="Times New Roman"/>
                <w:b/>
                <w:bCs/>
                <w:color w:val="000000"/>
                <w:sz w:val="18"/>
                <w:szCs w:val="18"/>
                <w:lang w:val="uk-UA"/>
              </w:rPr>
              <w:t>Емітент</w:t>
            </w:r>
            <w:r w:rsidRPr="00E16672">
              <w:rPr>
                <w:rFonts w:ascii="Times New Roman" w:hAnsi="Times New Roman"/>
                <w:b/>
                <w:bCs/>
                <w:color w:val="000000"/>
                <w:sz w:val="18"/>
                <w:szCs w:val="18"/>
              </w:rPr>
              <w:t>:</w:t>
            </w:r>
          </w:p>
          <w:p w14:paraId="7FB721BD" w14:textId="77777777" w:rsidR="00390DBC" w:rsidRPr="00E16672" w:rsidRDefault="00390DBC" w:rsidP="00D652DD">
            <w:pPr>
              <w:tabs>
                <w:tab w:val="left" w:pos="1560"/>
              </w:tabs>
              <w:snapToGrid w:val="0"/>
              <w:ind w:left="1843" w:hanging="1395"/>
              <w:rPr>
                <w:rFonts w:ascii="Times New Roman" w:hAnsi="Times New Roman"/>
                <w:b/>
                <w:bCs/>
                <w:color w:val="000000"/>
                <w:sz w:val="18"/>
                <w:szCs w:val="18"/>
              </w:rPr>
            </w:pPr>
          </w:p>
          <w:p w14:paraId="2F96515D" w14:textId="77777777" w:rsidR="00390DBC" w:rsidRPr="00E16672" w:rsidRDefault="00390DBC" w:rsidP="00D652DD">
            <w:pPr>
              <w:tabs>
                <w:tab w:val="left" w:pos="1560"/>
              </w:tabs>
              <w:ind w:firstLine="0"/>
              <w:rPr>
                <w:rFonts w:ascii="Times New Roman" w:hAnsi="Times New Roman"/>
                <w:color w:val="000000"/>
                <w:sz w:val="18"/>
                <w:szCs w:val="18"/>
              </w:rPr>
            </w:pPr>
            <w:r w:rsidRPr="00E16672">
              <w:rPr>
                <w:rFonts w:ascii="Times New Roman" w:hAnsi="Times New Roman"/>
                <w:color w:val="000000"/>
                <w:sz w:val="18"/>
                <w:szCs w:val="18"/>
              </w:rPr>
              <w:t>_</w:t>
            </w:r>
            <w:r w:rsidRPr="00E16672">
              <w:rPr>
                <w:rFonts w:ascii="Times New Roman" w:hAnsi="Times New Roman"/>
                <w:color w:val="000000"/>
                <w:sz w:val="18"/>
                <w:szCs w:val="18"/>
                <w:lang w:val="uk-UA"/>
              </w:rPr>
              <w:t>__</w:t>
            </w:r>
            <w:r w:rsidRPr="00E16672">
              <w:rPr>
                <w:rFonts w:ascii="Times New Roman" w:hAnsi="Times New Roman"/>
                <w:color w:val="000000"/>
                <w:sz w:val="18"/>
                <w:szCs w:val="18"/>
              </w:rPr>
              <w:t xml:space="preserve">____________________(__________________________)   </w:t>
            </w:r>
          </w:p>
          <w:p w14:paraId="34BC2072" w14:textId="77777777" w:rsidR="0014071D" w:rsidRPr="00E16672" w:rsidRDefault="0014071D" w:rsidP="0014071D">
            <w:pPr>
              <w:tabs>
                <w:tab w:val="left" w:pos="1560"/>
              </w:tabs>
              <w:ind w:firstLine="0"/>
              <w:rPr>
                <w:rFonts w:ascii="Times New Roman" w:hAnsi="Times New Roman"/>
                <w:color w:val="000000"/>
                <w:sz w:val="14"/>
                <w:szCs w:val="14"/>
                <w:lang w:val="uk-UA"/>
              </w:rPr>
            </w:pPr>
            <w:r w:rsidRPr="00E16672">
              <w:rPr>
                <w:rFonts w:ascii="Times New Roman" w:hAnsi="Times New Roman"/>
                <w:color w:val="000000"/>
                <w:sz w:val="14"/>
                <w:szCs w:val="14"/>
                <w:lang w:val="uk-UA"/>
              </w:rPr>
              <w:t>В</w:t>
            </w:r>
            <w:r w:rsidR="00390DBC" w:rsidRPr="00E16672">
              <w:rPr>
                <w:rFonts w:ascii="Times New Roman" w:hAnsi="Times New Roman"/>
                <w:color w:val="000000"/>
                <w:sz w:val="14"/>
                <w:szCs w:val="14"/>
              </w:rPr>
              <w:t>.П</w:t>
            </w:r>
            <w:r w:rsidR="00390DBC" w:rsidRPr="00E16672">
              <w:rPr>
                <w:rFonts w:ascii="Times New Roman" w:hAnsi="Times New Roman"/>
                <w:i/>
                <w:color w:val="000000"/>
                <w:sz w:val="14"/>
                <w:szCs w:val="14"/>
              </w:rPr>
              <w:t>.</w:t>
            </w:r>
            <w:r w:rsidR="00390DBC" w:rsidRPr="00E16672">
              <w:rPr>
                <w:rFonts w:ascii="Times New Roman" w:hAnsi="Times New Roman"/>
                <w:i/>
                <w:color w:val="000000"/>
                <w:sz w:val="14"/>
                <w:szCs w:val="14"/>
                <w:lang w:val="uk-UA"/>
              </w:rPr>
              <w:t xml:space="preserve"> (у разі використання)</w:t>
            </w:r>
            <w:r w:rsidR="00390DBC" w:rsidRPr="00E16672">
              <w:rPr>
                <w:rFonts w:ascii="Times New Roman" w:hAnsi="Times New Roman"/>
                <w:color w:val="000000"/>
                <w:sz w:val="14"/>
                <w:szCs w:val="14"/>
              </w:rPr>
              <w:t xml:space="preserve">, </w:t>
            </w:r>
            <w:r w:rsidR="00390DBC" w:rsidRPr="00E16672">
              <w:rPr>
                <w:rFonts w:ascii="Times New Roman" w:hAnsi="Times New Roman"/>
                <w:color w:val="000000"/>
                <w:sz w:val="14"/>
                <w:szCs w:val="14"/>
                <w:lang w:val="uk-UA"/>
              </w:rPr>
              <w:t xml:space="preserve">      Прізвище, ім’я, по батькові</w:t>
            </w:r>
            <w:r w:rsidRPr="00E16672">
              <w:rPr>
                <w:rFonts w:ascii="Times New Roman" w:hAnsi="Times New Roman"/>
                <w:color w:val="000000"/>
                <w:sz w:val="14"/>
                <w:szCs w:val="14"/>
                <w:lang w:val="uk-UA"/>
              </w:rPr>
              <w:t xml:space="preserve"> </w:t>
            </w:r>
            <w:r w:rsidRPr="00E16672">
              <w:rPr>
                <w:rFonts w:ascii="Times New Roman" w:hAnsi="Times New Roman"/>
                <w:i/>
                <w:color w:val="000000"/>
                <w:sz w:val="14"/>
                <w:szCs w:val="14"/>
                <w:lang w:val="uk-UA"/>
              </w:rPr>
              <w:t>(за наявності)</w:t>
            </w:r>
          </w:p>
          <w:p w14:paraId="30359014" w14:textId="77777777" w:rsidR="00390DBC" w:rsidRPr="00E16672" w:rsidRDefault="00390DBC" w:rsidP="0014071D">
            <w:pPr>
              <w:tabs>
                <w:tab w:val="left" w:pos="1560"/>
              </w:tabs>
              <w:ind w:firstLine="0"/>
              <w:rPr>
                <w:rFonts w:ascii="Times New Roman" w:hAnsi="Times New Roman"/>
                <w:b/>
                <w:bCs/>
                <w:color w:val="000000"/>
                <w:sz w:val="18"/>
                <w:szCs w:val="18"/>
              </w:rPr>
            </w:pPr>
            <w:proofErr w:type="spellStart"/>
            <w:r w:rsidRPr="00E16672">
              <w:rPr>
                <w:rFonts w:ascii="Times New Roman" w:hAnsi="Times New Roman"/>
                <w:color w:val="000000"/>
                <w:sz w:val="14"/>
                <w:szCs w:val="14"/>
              </w:rPr>
              <w:t>підпис</w:t>
            </w:r>
            <w:proofErr w:type="spellEnd"/>
            <w:r w:rsidRPr="00E16672">
              <w:rPr>
                <w:rFonts w:ascii="Times New Roman" w:hAnsi="Times New Roman"/>
                <w:color w:val="000000"/>
                <w:sz w:val="14"/>
                <w:szCs w:val="14"/>
                <w:lang w:val="uk-UA"/>
              </w:rPr>
              <w:t xml:space="preserve">                                              </w:t>
            </w:r>
          </w:p>
        </w:tc>
        <w:tc>
          <w:tcPr>
            <w:tcW w:w="5200" w:type="dxa"/>
            <w:shd w:val="clear" w:color="auto" w:fill="auto"/>
          </w:tcPr>
          <w:p w14:paraId="11E520DE" w14:textId="77777777" w:rsidR="00390DBC" w:rsidRPr="00E16672" w:rsidRDefault="00390DBC" w:rsidP="00D652DD">
            <w:pPr>
              <w:tabs>
                <w:tab w:val="left" w:pos="1560"/>
              </w:tabs>
              <w:snapToGrid w:val="0"/>
              <w:rPr>
                <w:rFonts w:ascii="Times New Roman" w:hAnsi="Times New Roman"/>
                <w:b/>
                <w:bCs/>
                <w:color w:val="000000"/>
                <w:sz w:val="18"/>
                <w:szCs w:val="18"/>
                <w:lang w:val="uk-UA"/>
              </w:rPr>
            </w:pPr>
          </w:p>
          <w:p w14:paraId="1E2A90B5" w14:textId="77777777" w:rsidR="00390DBC" w:rsidRPr="00E16672" w:rsidRDefault="00390DBC" w:rsidP="00D652DD">
            <w:pPr>
              <w:tabs>
                <w:tab w:val="left" w:pos="1560"/>
              </w:tabs>
              <w:snapToGrid w:val="0"/>
              <w:rPr>
                <w:rFonts w:ascii="Times New Roman" w:hAnsi="Times New Roman"/>
                <w:b/>
                <w:bCs/>
                <w:color w:val="000000"/>
                <w:sz w:val="18"/>
                <w:szCs w:val="18"/>
              </w:rPr>
            </w:pPr>
            <w:r w:rsidRPr="00E16672">
              <w:rPr>
                <w:rFonts w:ascii="Times New Roman" w:hAnsi="Times New Roman"/>
                <w:b/>
                <w:bCs/>
                <w:color w:val="000000"/>
                <w:sz w:val="18"/>
                <w:szCs w:val="18"/>
              </w:rPr>
              <w:t xml:space="preserve">ДЕПОЗИТАРНА УСТАНОВА:   </w:t>
            </w:r>
          </w:p>
          <w:p w14:paraId="61FE4219" w14:textId="77777777" w:rsidR="00390DBC" w:rsidRPr="00E16672" w:rsidRDefault="00390DBC" w:rsidP="00D652DD">
            <w:pPr>
              <w:tabs>
                <w:tab w:val="left" w:pos="1560"/>
              </w:tabs>
              <w:snapToGrid w:val="0"/>
              <w:rPr>
                <w:rFonts w:ascii="Times New Roman" w:hAnsi="Times New Roman"/>
                <w:color w:val="000000"/>
                <w:sz w:val="18"/>
                <w:szCs w:val="18"/>
              </w:rPr>
            </w:pPr>
          </w:p>
          <w:p w14:paraId="723AAAD2" w14:textId="77777777" w:rsidR="00390DBC" w:rsidRPr="00E16672" w:rsidRDefault="00390DBC" w:rsidP="00F82710">
            <w:pPr>
              <w:tabs>
                <w:tab w:val="left" w:pos="1560"/>
              </w:tabs>
              <w:snapToGrid w:val="0"/>
              <w:ind w:firstLine="0"/>
              <w:jc w:val="left"/>
              <w:rPr>
                <w:rFonts w:ascii="Times New Roman" w:hAnsi="Times New Roman"/>
                <w:color w:val="000000"/>
                <w:sz w:val="18"/>
                <w:szCs w:val="18"/>
              </w:rPr>
            </w:pPr>
            <w:r w:rsidRPr="00E16672">
              <w:rPr>
                <w:rFonts w:ascii="Times New Roman" w:hAnsi="Times New Roman"/>
                <w:b/>
                <w:bCs/>
                <w:color w:val="000000"/>
                <w:sz w:val="18"/>
                <w:szCs w:val="18"/>
              </w:rPr>
              <w:t xml:space="preserve">  </w:t>
            </w:r>
            <w:r w:rsidRPr="00E16672">
              <w:rPr>
                <w:rFonts w:ascii="Times New Roman" w:hAnsi="Times New Roman"/>
                <w:color w:val="000000"/>
                <w:sz w:val="18"/>
                <w:szCs w:val="18"/>
              </w:rPr>
              <w:t xml:space="preserve">_____________________ </w:t>
            </w:r>
            <w:r w:rsidRPr="00E16672">
              <w:rPr>
                <w:rFonts w:ascii="Times New Roman" w:hAnsi="Times New Roman"/>
                <w:color w:val="000000"/>
                <w:sz w:val="18"/>
                <w:szCs w:val="18"/>
                <w:lang w:val="uk-UA"/>
              </w:rPr>
              <w:t xml:space="preserve">    </w:t>
            </w:r>
            <w:proofErr w:type="gramStart"/>
            <w:r w:rsidRPr="00E16672">
              <w:rPr>
                <w:rFonts w:ascii="Times New Roman" w:hAnsi="Times New Roman"/>
                <w:color w:val="000000"/>
                <w:sz w:val="18"/>
                <w:szCs w:val="18"/>
                <w:lang w:val="uk-UA"/>
              </w:rPr>
              <w:t xml:space="preserve">   (</w:t>
            </w:r>
            <w:proofErr w:type="gramEnd"/>
            <w:r w:rsidR="00F82710">
              <w:rPr>
                <w:rFonts w:ascii="Times New Roman" w:hAnsi="Times New Roman"/>
                <w:color w:val="000000"/>
                <w:sz w:val="18"/>
                <w:szCs w:val="18"/>
                <w:lang w:val="uk-UA"/>
              </w:rPr>
              <w:t>Король</w:t>
            </w:r>
            <w:r w:rsidR="00E16672" w:rsidRPr="00E16672">
              <w:rPr>
                <w:rFonts w:ascii="Times New Roman" w:hAnsi="Times New Roman"/>
                <w:color w:val="000000"/>
                <w:sz w:val="18"/>
                <w:szCs w:val="18"/>
                <w:lang w:val="uk-UA"/>
              </w:rPr>
              <w:t xml:space="preserve"> О.І.</w:t>
            </w:r>
            <w:r w:rsidRPr="00E16672">
              <w:rPr>
                <w:rFonts w:ascii="Times New Roman" w:hAnsi="Times New Roman"/>
                <w:color w:val="000000"/>
                <w:sz w:val="18"/>
                <w:szCs w:val="18"/>
              </w:rPr>
              <w:t xml:space="preserve">)  </w:t>
            </w:r>
          </w:p>
          <w:p w14:paraId="4FB83027" w14:textId="77777777" w:rsidR="00390DBC" w:rsidRPr="00E16672" w:rsidRDefault="0014071D" w:rsidP="00D652DD">
            <w:pPr>
              <w:tabs>
                <w:tab w:val="left" w:pos="1560"/>
              </w:tabs>
              <w:ind w:left="505" w:firstLine="0"/>
              <w:rPr>
                <w:rFonts w:ascii="Times New Roman" w:hAnsi="Times New Roman"/>
                <w:color w:val="000000"/>
                <w:sz w:val="14"/>
                <w:szCs w:val="14"/>
                <w:lang w:val="uk-UA"/>
              </w:rPr>
            </w:pPr>
            <w:r w:rsidRPr="00E16672">
              <w:rPr>
                <w:rFonts w:ascii="Times New Roman" w:hAnsi="Times New Roman"/>
                <w:color w:val="000000"/>
                <w:sz w:val="14"/>
                <w:szCs w:val="14"/>
              </w:rPr>
              <w:t>В</w:t>
            </w:r>
            <w:r w:rsidR="00390DBC" w:rsidRPr="00E16672">
              <w:rPr>
                <w:rFonts w:ascii="Times New Roman" w:hAnsi="Times New Roman"/>
                <w:color w:val="000000"/>
                <w:sz w:val="14"/>
                <w:szCs w:val="14"/>
              </w:rPr>
              <w:t xml:space="preserve">.П., </w:t>
            </w:r>
            <w:proofErr w:type="spellStart"/>
            <w:r w:rsidR="00390DBC" w:rsidRPr="00E16672">
              <w:rPr>
                <w:rFonts w:ascii="Times New Roman" w:hAnsi="Times New Roman"/>
                <w:color w:val="000000"/>
                <w:sz w:val="14"/>
                <w:szCs w:val="14"/>
              </w:rPr>
              <w:t>підпис</w:t>
            </w:r>
            <w:proofErr w:type="spellEnd"/>
            <w:r w:rsidR="00390DBC" w:rsidRPr="00E16672">
              <w:rPr>
                <w:rFonts w:ascii="Times New Roman" w:hAnsi="Times New Roman"/>
                <w:color w:val="000000"/>
                <w:sz w:val="14"/>
                <w:szCs w:val="14"/>
              </w:rPr>
              <w:t xml:space="preserve">     </w:t>
            </w:r>
            <w:r w:rsidR="00390DBC" w:rsidRPr="00E16672">
              <w:rPr>
                <w:rFonts w:ascii="Times New Roman" w:hAnsi="Times New Roman"/>
                <w:color w:val="000000"/>
                <w:sz w:val="14"/>
                <w:szCs w:val="14"/>
                <w:lang w:val="uk-UA"/>
              </w:rPr>
              <w:t xml:space="preserve">               Прізвище, ім’я, по батькові</w:t>
            </w:r>
            <w:r w:rsidRPr="00E16672">
              <w:rPr>
                <w:rFonts w:ascii="Times New Roman" w:hAnsi="Times New Roman"/>
                <w:color w:val="000000"/>
                <w:sz w:val="14"/>
                <w:szCs w:val="14"/>
                <w:lang w:val="uk-UA"/>
              </w:rPr>
              <w:t xml:space="preserve"> </w:t>
            </w:r>
            <w:r w:rsidRPr="00E16672">
              <w:rPr>
                <w:rFonts w:ascii="Times New Roman" w:hAnsi="Times New Roman"/>
                <w:i/>
                <w:color w:val="000000"/>
                <w:sz w:val="14"/>
                <w:szCs w:val="14"/>
                <w:lang w:val="uk-UA"/>
              </w:rPr>
              <w:t>(за наявності)</w:t>
            </w:r>
          </w:p>
          <w:p w14:paraId="681C175D" w14:textId="77777777" w:rsidR="00390DBC" w:rsidRPr="00E16672" w:rsidRDefault="00390DBC" w:rsidP="0014071D">
            <w:pPr>
              <w:tabs>
                <w:tab w:val="left" w:pos="1560"/>
              </w:tabs>
              <w:ind w:firstLine="0"/>
              <w:rPr>
                <w:rFonts w:ascii="Times New Roman" w:hAnsi="Times New Roman"/>
                <w:b/>
                <w:bCs/>
                <w:color w:val="000000"/>
                <w:sz w:val="18"/>
                <w:szCs w:val="18"/>
                <w:lang w:val="uk-UA"/>
              </w:rPr>
            </w:pPr>
            <w:r w:rsidRPr="00E16672">
              <w:rPr>
                <w:rFonts w:ascii="Times New Roman" w:hAnsi="Times New Roman"/>
                <w:b/>
                <w:bCs/>
                <w:color w:val="000000"/>
                <w:sz w:val="14"/>
                <w:szCs w:val="14"/>
                <w:lang w:val="uk-UA"/>
              </w:rPr>
              <w:t xml:space="preserve">                                                                </w:t>
            </w:r>
          </w:p>
        </w:tc>
      </w:tr>
    </w:tbl>
    <w:p w14:paraId="1775FDF9" w14:textId="77777777" w:rsidR="00390DBC" w:rsidRPr="00E16672" w:rsidRDefault="00390DBC" w:rsidP="00390DBC">
      <w:pPr>
        <w:pStyle w:val="western"/>
        <w:spacing w:before="0" w:after="0"/>
        <w:ind w:hanging="1395"/>
        <w:jc w:val="both"/>
        <w:rPr>
          <w:rFonts w:ascii="Times New Roman" w:hAnsi="Times New Roman"/>
          <w:b w:val="0"/>
          <w:bCs w:val="0"/>
          <w:color w:val="0000FF"/>
          <w:sz w:val="16"/>
          <w:szCs w:val="16"/>
          <w:lang w:val="uk-UA"/>
        </w:rPr>
      </w:pPr>
    </w:p>
    <w:p w14:paraId="249CF8D9" w14:textId="77777777" w:rsidR="009A7EA8" w:rsidRPr="00E16672" w:rsidRDefault="00390DBC" w:rsidP="001456E9">
      <w:pPr>
        <w:ind w:firstLine="709"/>
        <w:jc w:val="right"/>
        <w:rPr>
          <w:rFonts w:ascii="Times New Roman" w:hAnsi="Times New Roman"/>
          <w:b/>
          <w:color w:val="000000"/>
          <w:szCs w:val="20"/>
          <w:lang w:val="uk-UA"/>
        </w:rPr>
      </w:pPr>
      <w:r w:rsidRPr="00E16672">
        <w:rPr>
          <w:rFonts w:ascii="Times New Roman" w:hAnsi="Times New Roman"/>
          <w:i/>
          <w:iCs/>
          <w:color w:val="000000"/>
          <w:lang w:val="uk-UA"/>
        </w:rPr>
        <w:br w:type="page"/>
      </w:r>
      <w:r w:rsidR="009A7EA8" w:rsidRPr="00E16672">
        <w:rPr>
          <w:rFonts w:ascii="Times New Roman" w:hAnsi="Times New Roman"/>
          <w:b/>
          <w:color w:val="000000"/>
          <w:szCs w:val="20"/>
          <w:lang w:val="uk-UA"/>
        </w:rPr>
        <w:lastRenderedPageBreak/>
        <w:t xml:space="preserve"> </w:t>
      </w:r>
    </w:p>
    <w:p w14:paraId="350369EF" w14:textId="77777777" w:rsidR="009A7EA8" w:rsidRPr="00E16672" w:rsidRDefault="009A7EA8" w:rsidP="009A7EA8">
      <w:pPr>
        <w:ind w:firstLine="709"/>
        <w:jc w:val="center"/>
        <w:rPr>
          <w:rFonts w:ascii="Times New Roman" w:hAnsi="Times New Roman"/>
          <w:b/>
          <w:color w:val="000000"/>
          <w:szCs w:val="20"/>
          <w:lang w:val="uk-UA"/>
        </w:rPr>
      </w:pPr>
      <w:r w:rsidRPr="00E16672">
        <w:rPr>
          <w:rFonts w:ascii="Times New Roman" w:hAnsi="Times New Roman"/>
          <w:b/>
          <w:color w:val="000000"/>
          <w:szCs w:val="20"/>
          <w:lang w:val="uk-UA"/>
        </w:rPr>
        <w:t xml:space="preserve">Договір </w:t>
      </w:r>
    </w:p>
    <w:p w14:paraId="5F03CC24" w14:textId="77777777" w:rsidR="009A7EA8" w:rsidRPr="00E16672" w:rsidRDefault="009A7EA8" w:rsidP="009A7EA8">
      <w:pPr>
        <w:ind w:firstLine="709"/>
        <w:jc w:val="center"/>
        <w:rPr>
          <w:rFonts w:ascii="Times New Roman" w:hAnsi="Times New Roman"/>
          <w:b/>
          <w:color w:val="000000"/>
          <w:szCs w:val="20"/>
          <w:lang w:val="uk-UA"/>
        </w:rPr>
      </w:pPr>
      <w:r w:rsidRPr="00E16672">
        <w:rPr>
          <w:rFonts w:ascii="Times New Roman" w:hAnsi="Times New Roman"/>
          <w:b/>
          <w:color w:val="000000"/>
          <w:szCs w:val="20"/>
          <w:lang w:val="uk-UA"/>
        </w:rPr>
        <w:t>про надання реєстру власників іменних цінних паперів</w:t>
      </w:r>
      <w:r w:rsidRPr="00E16672">
        <w:rPr>
          <w:rFonts w:ascii="Times New Roman" w:eastAsia="Arial Unicode MS" w:hAnsi="Times New Roman"/>
          <w:b/>
          <w:color w:val="000000"/>
          <w:szCs w:val="20"/>
          <w:lang w:val="uk-UA"/>
        </w:rPr>
        <w:t xml:space="preserve"> та/або переліку власників іменних цінних паперів, довідково-аналітичних матеріалів, виписок і інформаційних довідок, іншої інформації щодо </w:t>
      </w:r>
      <w:r w:rsidRPr="00E16672">
        <w:rPr>
          <w:rFonts w:ascii="Times New Roman" w:hAnsi="Times New Roman"/>
          <w:b/>
          <w:color w:val="000000"/>
          <w:szCs w:val="20"/>
          <w:lang w:val="uk-UA"/>
        </w:rPr>
        <w:t>власників іменних цінних паперів</w:t>
      </w:r>
    </w:p>
    <w:p w14:paraId="2FBB6482" w14:textId="77777777" w:rsidR="009A7EA8" w:rsidRPr="00E16672" w:rsidRDefault="009A7EA8" w:rsidP="009A7EA8">
      <w:pPr>
        <w:ind w:firstLine="709"/>
        <w:jc w:val="center"/>
        <w:rPr>
          <w:rFonts w:ascii="Times New Roman" w:hAnsi="Times New Roman"/>
          <w:b/>
          <w:color w:val="000000"/>
          <w:szCs w:val="20"/>
          <w:lang w:val="uk-UA"/>
        </w:rPr>
      </w:pPr>
      <w:r w:rsidRPr="00E16672">
        <w:rPr>
          <w:rFonts w:ascii="Times New Roman" w:hAnsi="Times New Roman"/>
          <w:b/>
          <w:color w:val="000000"/>
          <w:szCs w:val="20"/>
          <w:lang w:val="uk-UA"/>
        </w:rPr>
        <w:t>№ _________</w:t>
      </w:r>
    </w:p>
    <w:p w14:paraId="430BAA7D" w14:textId="77777777" w:rsidR="009A7EA8" w:rsidRPr="00E16672" w:rsidRDefault="009A7EA8" w:rsidP="009A7EA8">
      <w:pPr>
        <w:ind w:firstLine="709"/>
        <w:rPr>
          <w:rFonts w:ascii="Times New Roman" w:hAnsi="Times New Roman"/>
          <w:color w:val="000000"/>
          <w:szCs w:val="20"/>
          <w:lang w:val="uk-UA"/>
        </w:rPr>
      </w:pPr>
    </w:p>
    <w:p w14:paraId="31986064" w14:textId="77777777" w:rsidR="00186785" w:rsidRDefault="009A7EA8" w:rsidP="00186785">
      <w:pPr>
        <w:jc w:val="center"/>
        <w:rPr>
          <w:rFonts w:ascii="Times New Roman" w:hAnsi="Times New Roman"/>
          <w:szCs w:val="20"/>
          <w:lang w:val="uk-UA"/>
        </w:rPr>
      </w:pPr>
      <w:r w:rsidRPr="00E16672">
        <w:rPr>
          <w:rFonts w:ascii="Times New Roman" w:hAnsi="Times New Roman"/>
          <w:color w:val="000000"/>
          <w:szCs w:val="20"/>
          <w:lang w:val="uk-UA"/>
        </w:rPr>
        <w:t xml:space="preserve"> </w:t>
      </w:r>
      <w:r w:rsidR="00186785" w:rsidRPr="00186785">
        <w:rPr>
          <w:rFonts w:ascii="Times New Roman" w:hAnsi="Times New Roman"/>
          <w:szCs w:val="20"/>
          <w:lang w:val="uk-UA"/>
        </w:rPr>
        <w:t xml:space="preserve">м. Київ </w:t>
      </w:r>
      <w:r w:rsidR="00186785" w:rsidRPr="00186785">
        <w:rPr>
          <w:rFonts w:ascii="Times New Roman" w:hAnsi="Times New Roman"/>
          <w:szCs w:val="20"/>
          <w:lang w:val="uk-UA"/>
        </w:rPr>
        <w:tab/>
      </w:r>
      <w:r w:rsidR="00186785" w:rsidRPr="00186785">
        <w:rPr>
          <w:rFonts w:ascii="Times New Roman" w:hAnsi="Times New Roman"/>
          <w:szCs w:val="20"/>
          <w:lang w:val="uk-UA"/>
        </w:rPr>
        <w:tab/>
      </w:r>
      <w:r w:rsidR="00186785">
        <w:rPr>
          <w:rFonts w:ascii="Times New Roman" w:hAnsi="Times New Roman"/>
          <w:szCs w:val="20"/>
          <w:lang w:val="uk-UA"/>
        </w:rPr>
        <w:tab/>
      </w:r>
      <w:r w:rsidR="00186785">
        <w:rPr>
          <w:rFonts w:ascii="Times New Roman" w:hAnsi="Times New Roman"/>
          <w:szCs w:val="20"/>
          <w:lang w:val="uk-UA"/>
        </w:rPr>
        <w:tab/>
      </w:r>
      <w:r w:rsidR="00186785">
        <w:rPr>
          <w:rFonts w:ascii="Times New Roman" w:hAnsi="Times New Roman"/>
          <w:szCs w:val="20"/>
          <w:lang w:val="uk-UA"/>
        </w:rPr>
        <w:tab/>
      </w:r>
      <w:r w:rsidR="00186785">
        <w:rPr>
          <w:rFonts w:ascii="Times New Roman" w:hAnsi="Times New Roman"/>
          <w:szCs w:val="20"/>
          <w:lang w:val="uk-UA"/>
        </w:rPr>
        <w:tab/>
      </w:r>
      <w:r w:rsidR="00186785">
        <w:rPr>
          <w:rFonts w:ascii="Times New Roman" w:hAnsi="Times New Roman"/>
          <w:szCs w:val="20"/>
          <w:lang w:val="uk-UA"/>
        </w:rPr>
        <w:tab/>
      </w:r>
      <w:r w:rsidR="00186785">
        <w:rPr>
          <w:rFonts w:ascii="Times New Roman" w:hAnsi="Times New Roman"/>
          <w:szCs w:val="20"/>
          <w:lang w:val="uk-UA"/>
        </w:rPr>
        <w:tab/>
      </w:r>
      <w:r w:rsidR="00186785" w:rsidRPr="00186785">
        <w:rPr>
          <w:rFonts w:ascii="Times New Roman" w:hAnsi="Times New Roman"/>
          <w:szCs w:val="20"/>
          <w:lang w:val="uk-UA"/>
        </w:rPr>
        <w:tab/>
        <w:t>"       " ____________ 20____р.</w:t>
      </w:r>
    </w:p>
    <w:p w14:paraId="3DB6B425" w14:textId="77777777" w:rsidR="009A7EA8" w:rsidRPr="00E16672" w:rsidRDefault="009A7EA8" w:rsidP="009A7EA8">
      <w:pPr>
        <w:rPr>
          <w:rFonts w:ascii="Times New Roman" w:hAnsi="Times New Roman"/>
          <w:color w:val="0000FF"/>
          <w:sz w:val="22"/>
          <w:szCs w:val="22"/>
          <w:lang w:val="uk-UA"/>
        </w:rPr>
      </w:pPr>
    </w:p>
    <w:p w14:paraId="2529C4C9" w14:textId="77777777" w:rsidR="009A7EA8" w:rsidRPr="00E16672" w:rsidRDefault="009A7EA8" w:rsidP="006517E7">
      <w:pPr>
        <w:jc w:val="left"/>
        <w:rPr>
          <w:rFonts w:ascii="Times New Roman" w:hAnsi="Times New Roman"/>
          <w:szCs w:val="20"/>
          <w:lang w:val="uk-UA"/>
        </w:rPr>
      </w:pPr>
      <w:r w:rsidRPr="00E16672">
        <w:rPr>
          <w:rFonts w:ascii="Times New Roman" w:hAnsi="Times New Roman"/>
          <w:color w:val="000000"/>
          <w:szCs w:val="20"/>
          <w:lang w:val="uk-UA"/>
        </w:rPr>
        <w:t xml:space="preserve">ТОВАРИСТВО З ОБМЕЖЕНОЮ ВІДПОВІДАЛЬНІСТЮ </w:t>
      </w:r>
      <w:r w:rsidR="00022F5F">
        <w:rPr>
          <w:rFonts w:ascii="Times New Roman" w:hAnsi="Times New Roman"/>
          <w:color w:val="000000"/>
          <w:szCs w:val="20"/>
          <w:lang w:val="uk-UA"/>
        </w:rPr>
        <w:t>"</w:t>
      </w:r>
      <w:r w:rsidR="00E16672" w:rsidRPr="00E16672">
        <w:rPr>
          <w:rFonts w:ascii="Times New Roman" w:hAnsi="Times New Roman"/>
          <w:color w:val="000000"/>
          <w:szCs w:val="20"/>
          <w:lang w:val="uk-UA"/>
        </w:rPr>
        <w:t>КОМЕКС ЦІННІ ПАПЕРИ</w:t>
      </w:r>
      <w:r w:rsidR="00022F5F">
        <w:rPr>
          <w:rFonts w:ascii="Times New Roman" w:hAnsi="Times New Roman"/>
          <w:color w:val="000000"/>
          <w:szCs w:val="20"/>
          <w:lang w:val="uk-UA"/>
        </w:rPr>
        <w:t>"</w:t>
      </w:r>
      <w:r w:rsidRPr="00E16672">
        <w:rPr>
          <w:rFonts w:ascii="Times New Roman" w:hAnsi="Times New Roman"/>
          <w:color w:val="000000"/>
          <w:szCs w:val="20"/>
          <w:lang w:val="uk-UA"/>
        </w:rPr>
        <w:t xml:space="preserve">, код за ЄДРПОУ </w:t>
      </w:r>
      <w:r w:rsidR="00E16672" w:rsidRPr="00E16672">
        <w:rPr>
          <w:rFonts w:ascii="Times New Roman" w:hAnsi="Times New Roman"/>
          <w:color w:val="000000"/>
          <w:szCs w:val="20"/>
          <w:lang w:val="uk-UA"/>
        </w:rPr>
        <w:t>33153077</w:t>
      </w:r>
      <w:r w:rsidRPr="00E16672">
        <w:rPr>
          <w:rFonts w:ascii="Times New Roman" w:hAnsi="Times New Roman"/>
          <w:color w:val="000000"/>
          <w:szCs w:val="20"/>
          <w:lang w:val="uk-UA"/>
        </w:rPr>
        <w:t xml:space="preserve"> (надалі – Депозитарна установа), що здійснює депозитарну діяльність депозитарної установи на підставі ліцензії серія АЕ №</w:t>
      </w:r>
      <w:r w:rsidR="00E16672" w:rsidRPr="00E16672">
        <w:rPr>
          <w:rFonts w:ascii="Times New Roman" w:hAnsi="Times New Roman"/>
          <w:color w:val="000000"/>
          <w:szCs w:val="20"/>
          <w:lang w:val="uk-UA"/>
        </w:rPr>
        <w:t>263429</w:t>
      </w:r>
      <w:r w:rsidRPr="00E16672">
        <w:rPr>
          <w:rFonts w:ascii="Times New Roman" w:hAnsi="Times New Roman"/>
          <w:color w:val="000000"/>
          <w:szCs w:val="20"/>
          <w:lang w:val="uk-UA"/>
        </w:rPr>
        <w:t xml:space="preserve">, виданої </w:t>
      </w:r>
      <w:r w:rsidR="00E16672" w:rsidRPr="00E16672">
        <w:rPr>
          <w:rFonts w:ascii="Times New Roman" w:hAnsi="Times New Roman"/>
          <w:color w:val="000000"/>
          <w:szCs w:val="20"/>
          <w:lang w:val="uk-UA"/>
        </w:rPr>
        <w:t>01.10.2013</w:t>
      </w:r>
      <w:r w:rsidRPr="00E16672">
        <w:rPr>
          <w:rFonts w:ascii="Times New Roman" w:hAnsi="Times New Roman"/>
          <w:color w:val="000000"/>
          <w:szCs w:val="20"/>
          <w:lang w:val="uk-UA"/>
        </w:rPr>
        <w:t xml:space="preserve"> р. Національною комісією з цінних паперів та фондового ринку (надалі – НКЦПФР), в особі директора </w:t>
      </w:r>
      <w:r w:rsidR="006517E7">
        <w:rPr>
          <w:rFonts w:ascii="Times New Roman" w:hAnsi="Times New Roman"/>
          <w:color w:val="000000"/>
          <w:szCs w:val="20"/>
          <w:lang w:val="uk-UA"/>
        </w:rPr>
        <w:t>Король Оксани Іванівни</w:t>
      </w:r>
      <w:r w:rsidRPr="00E16672">
        <w:rPr>
          <w:rFonts w:ascii="Times New Roman" w:hAnsi="Times New Roman"/>
          <w:color w:val="000000"/>
          <w:szCs w:val="20"/>
          <w:lang w:val="uk-UA"/>
        </w:rPr>
        <w:t>, що діє на підставі Статуту,  з однієї сторони,</w:t>
      </w:r>
      <w:r w:rsidRPr="00E16672">
        <w:rPr>
          <w:rFonts w:ascii="Times New Roman" w:hAnsi="Times New Roman"/>
          <w:szCs w:val="20"/>
          <w:lang w:val="uk-UA"/>
        </w:rPr>
        <w:t xml:space="preserve"> та </w:t>
      </w:r>
      <w:r w:rsidR="00022F5F">
        <w:rPr>
          <w:rFonts w:ascii="Times New Roman" w:hAnsi="Times New Roman"/>
          <w:szCs w:val="20"/>
          <w:lang w:val="uk-UA"/>
        </w:rPr>
        <w:t xml:space="preserve">      </w:t>
      </w:r>
      <w:r w:rsidRPr="00E16672">
        <w:rPr>
          <w:rFonts w:ascii="Times New Roman" w:hAnsi="Times New Roman"/>
          <w:szCs w:val="20"/>
          <w:lang w:val="uk-UA"/>
        </w:rPr>
        <w:t>_________________________________</w:t>
      </w:r>
      <w:r w:rsidR="00022F5F">
        <w:rPr>
          <w:rFonts w:ascii="Times New Roman" w:hAnsi="Times New Roman"/>
          <w:szCs w:val="20"/>
          <w:lang w:val="uk-UA"/>
        </w:rPr>
        <w:t xml:space="preserve"> </w:t>
      </w:r>
      <w:r w:rsidRPr="00E16672">
        <w:rPr>
          <w:rFonts w:ascii="Times New Roman" w:hAnsi="Times New Roman"/>
          <w:szCs w:val="20"/>
          <w:lang w:val="uk-UA"/>
        </w:rPr>
        <w:t>____</w:t>
      </w:r>
      <w:r w:rsidR="00186785">
        <w:rPr>
          <w:rFonts w:ascii="Times New Roman" w:hAnsi="Times New Roman"/>
          <w:szCs w:val="20"/>
          <w:lang w:val="uk-UA"/>
        </w:rPr>
        <w:t>__________________________________</w:t>
      </w:r>
      <w:r w:rsidRPr="00E16672">
        <w:rPr>
          <w:rFonts w:ascii="Times New Roman" w:hAnsi="Times New Roman"/>
          <w:szCs w:val="20"/>
          <w:lang w:val="uk-UA"/>
        </w:rPr>
        <w:t xml:space="preserve">___________, (далі – Емітент) в особі </w:t>
      </w:r>
      <w:r w:rsidR="00022F5F">
        <w:rPr>
          <w:rFonts w:ascii="Times New Roman" w:hAnsi="Times New Roman"/>
          <w:szCs w:val="20"/>
          <w:lang w:val="uk-UA"/>
        </w:rPr>
        <w:t xml:space="preserve">    </w:t>
      </w:r>
      <w:r w:rsidRPr="00E16672">
        <w:rPr>
          <w:rFonts w:ascii="Times New Roman" w:hAnsi="Times New Roman"/>
          <w:szCs w:val="20"/>
          <w:lang w:val="uk-UA"/>
        </w:rPr>
        <w:t>___________________________________</w:t>
      </w:r>
      <w:r w:rsidR="00186785">
        <w:rPr>
          <w:rFonts w:ascii="Times New Roman" w:hAnsi="Times New Roman"/>
          <w:szCs w:val="20"/>
          <w:lang w:val="uk-UA"/>
        </w:rPr>
        <w:t>_</w:t>
      </w:r>
      <w:r w:rsidR="00022F5F">
        <w:rPr>
          <w:rFonts w:ascii="Times New Roman" w:hAnsi="Times New Roman"/>
          <w:szCs w:val="20"/>
          <w:lang w:val="uk-UA"/>
        </w:rPr>
        <w:t xml:space="preserve"> </w:t>
      </w:r>
      <w:r w:rsidR="00186785">
        <w:rPr>
          <w:rFonts w:ascii="Times New Roman" w:hAnsi="Times New Roman"/>
          <w:szCs w:val="20"/>
          <w:lang w:val="uk-UA"/>
        </w:rPr>
        <w:t>__________</w:t>
      </w:r>
      <w:r w:rsidRPr="00E16672">
        <w:rPr>
          <w:rFonts w:ascii="Times New Roman" w:hAnsi="Times New Roman"/>
          <w:szCs w:val="20"/>
          <w:lang w:val="uk-UA"/>
        </w:rPr>
        <w:t xml:space="preserve">________________________________________, який діє на підставі </w:t>
      </w:r>
      <w:r w:rsidR="00022F5F">
        <w:rPr>
          <w:rFonts w:ascii="Times New Roman" w:hAnsi="Times New Roman"/>
          <w:szCs w:val="20"/>
          <w:lang w:val="uk-UA"/>
        </w:rPr>
        <w:t>__________</w:t>
      </w:r>
      <w:r w:rsidRPr="00E16672">
        <w:rPr>
          <w:rFonts w:ascii="Times New Roman" w:hAnsi="Times New Roman"/>
          <w:szCs w:val="20"/>
          <w:lang w:val="uk-UA"/>
        </w:rPr>
        <w:t>______________________________</w:t>
      </w:r>
      <w:r w:rsidR="00022F5F">
        <w:rPr>
          <w:rFonts w:ascii="Times New Roman" w:hAnsi="Times New Roman"/>
          <w:szCs w:val="20"/>
          <w:lang w:val="uk-UA"/>
        </w:rPr>
        <w:t xml:space="preserve"> </w:t>
      </w:r>
      <w:r w:rsidRPr="00E16672">
        <w:rPr>
          <w:rFonts w:ascii="Times New Roman" w:hAnsi="Times New Roman"/>
          <w:szCs w:val="20"/>
          <w:lang w:val="uk-UA"/>
        </w:rPr>
        <w:t>, та діє в інтересах власників іменних цінних паперів ____________________________________________________________</w:t>
      </w:r>
      <w:r w:rsidR="00022F5F">
        <w:rPr>
          <w:rFonts w:ascii="Times New Roman" w:hAnsi="Times New Roman"/>
          <w:szCs w:val="20"/>
          <w:lang w:val="uk-UA"/>
        </w:rPr>
        <w:t xml:space="preserve"> </w:t>
      </w:r>
      <w:r w:rsidRPr="00E16672">
        <w:rPr>
          <w:rFonts w:ascii="Times New Roman" w:hAnsi="Times New Roman"/>
          <w:szCs w:val="20"/>
          <w:lang w:val="uk-UA"/>
        </w:rPr>
        <w:t>_____________________________________________________________________________________________ з іншого боку, разом Сторони, окремо Сторона, уклали цей Договір про наступне:</w:t>
      </w:r>
    </w:p>
    <w:p w14:paraId="4E6F2896" w14:textId="77777777" w:rsidR="009A7EA8" w:rsidRPr="00E16672" w:rsidRDefault="009A7EA8" w:rsidP="009A7EA8">
      <w:pPr>
        <w:pStyle w:val="1"/>
        <w:widowControl w:val="0"/>
        <w:tabs>
          <w:tab w:val="left" w:pos="0"/>
          <w:tab w:val="left" w:pos="432"/>
        </w:tabs>
        <w:ind w:left="432" w:hanging="432"/>
        <w:rPr>
          <w:rFonts w:ascii="Times New Roman" w:eastAsia="Arial Unicode MS" w:hAnsi="Times New Roman" w:cs="Times New Roman"/>
          <w:color w:val="000000"/>
          <w:sz w:val="20"/>
          <w:szCs w:val="20"/>
          <w:lang w:val="uk-UA"/>
        </w:rPr>
      </w:pPr>
      <w:r w:rsidRPr="00E16672">
        <w:rPr>
          <w:rFonts w:ascii="Times New Roman" w:eastAsia="Arial Unicode MS" w:hAnsi="Times New Roman" w:cs="Times New Roman"/>
          <w:color w:val="000000"/>
          <w:sz w:val="20"/>
          <w:szCs w:val="20"/>
          <w:lang w:val="uk-UA"/>
        </w:rPr>
        <w:t>1. ПРЕДМЕТ ДОГОВОРУ</w:t>
      </w:r>
    </w:p>
    <w:p w14:paraId="1974ECF8" w14:textId="77777777" w:rsidR="009A7EA8" w:rsidRPr="00E16672" w:rsidRDefault="009A7EA8" w:rsidP="00022F5F">
      <w:pPr>
        <w:jc w:val="left"/>
        <w:rPr>
          <w:rFonts w:ascii="Times New Roman" w:eastAsia="Arial Unicode MS" w:hAnsi="Times New Roman"/>
          <w:color w:val="FF0000"/>
          <w:szCs w:val="20"/>
          <w:lang w:val="uk-UA"/>
        </w:rPr>
      </w:pPr>
      <w:r w:rsidRPr="00E16672">
        <w:rPr>
          <w:rFonts w:ascii="Times New Roman" w:eastAsia="Arial Unicode MS" w:hAnsi="Times New Roman"/>
          <w:szCs w:val="20"/>
          <w:lang w:val="uk-UA"/>
        </w:rPr>
        <w:t xml:space="preserve">1.1. Емітент доручає, а Депозитарна установа зобов`язується надавати Емітенту послуги щодо надання реєстру та/або переліку власників іменних цінних паперів, довідково-аналітичних матеріалів, виписок і інформаційних довідок, іншої інформації щодо власників іменних цінних паперів та інші послуги відповідно до Законів України </w:t>
      </w:r>
      <w:hyperlink r:id="rId28" w:anchor="_blank" w:history="1">
        <w:r w:rsidR="00022F5F">
          <w:rPr>
            <w:rStyle w:val="a6"/>
            <w:rFonts w:ascii="Times New Roman" w:eastAsia="Arial Unicode MS" w:hAnsi="Times New Roman"/>
            <w:color w:val="000000"/>
            <w:szCs w:val="20"/>
            <w:u w:val="none"/>
            <w:lang w:val="uk-UA"/>
          </w:rPr>
          <w:t>"</w:t>
        </w:r>
        <w:r w:rsidRPr="00E16672">
          <w:rPr>
            <w:rStyle w:val="a6"/>
            <w:rFonts w:ascii="Times New Roman" w:eastAsia="Arial Unicode MS" w:hAnsi="Times New Roman"/>
            <w:color w:val="000000"/>
            <w:szCs w:val="20"/>
            <w:lang w:val="uk-UA"/>
          </w:rPr>
          <w:t>Про депозитарну систему України</w:t>
        </w:r>
        <w:r w:rsidR="00022F5F">
          <w:rPr>
            <w:rStyle w:val="a6"/>
            <w:rFonts w:ascii="Times New Roman" w:eastAsia="Arial Unicode MS" w:hAnsi="Times New Roman"/>
            <w:color w:val="000000"/>
            <w:szCs w:val="20"/>
            <w:u w:val="none"/>
            <w:lang w:val="uk-UA"/>
          </w:rPr>
          <w:t>"</w:t>
        </w:r>
      </w:hyperlink>
      <w:r w:rsidRPr="00E16672">
        <w:rPr>
          <w:rFonts w:ascii="Times New Roman" w:eastAsia="Arial Unicode MS" w:hAnsi="Times New Roman"/>
          <w:color w:val="000000"/>
          <w:szCs w:val="20"/>
          <w:lang w:val="uk-UA"/>
        </w:rPr>
        <w:t xml:space="preserve">, </w:t>
      </w:r>
      <w:hyperlink r:id="rId29" w:anchor="_blank" w:history="1">
        <w:r w:rsidR="00022F5F">
          <w:rPr>
            <w:rStyle w:val="a6"/>
            <w:rFonts w:ascii="Times New Roman" w:eastAsia="Arial Unicode MS" w:hAnsi="Times New Roman"/>
            <w:color w:val="000000"/>
            <w:szCs w:val="20"/>
            <w:u w:val="none"/>
            <w:lang w:val="uk-UA"/>
          </w:rPr>
          <w:t>"</w:t>
        </w:r>
        <w:r w:rsidRPr="00E16672">
          <w:rPr>
            <w:rStyle w:val="a6"/>
            <w:rFonts w:ascii="Times New Roman" w:eastAsia="Arial Unicode MS" w:hAnsi="Times New Roman"/>
            <w:color w:val="000000"/>
            <w:szCs w:val="20"/>
            <w:lang w:val="uk-UA"/>
          </w:rPr>
          <w:t>Про акціонерні товариства</w:t>
        </w:r>
        <w:r w:rsidR="00022F5F">
          <w:rPr>
            <w:rStyle w:val="a6"/>
            <w:rFonts w:ascii="Times New Roman" w:eastAsia="Arial Unicode MS" w:hAnsi="Times New Roman"/>
            <w:color w:val="000000"/>
            <w:szCs w:val="20"/>
            <w:u w:val="none"/>
            <w:lang w:val="uk-UA"/>
          </w:rPr>
          <w:t>"</w:t>
        </w:r>
      </w:hyperlink>
      <w:r w:rsidRPr="00E16672">
        <w:rPr>
          <w:rFonts w:ascii="Times New Roman" w:eastAsia="Arial Unicode MS" w:hAnsi="Times New Roman"/>
          <w:color w:val="000000"/>
          <w:szCs w:val="20"/>
          <w:lang w:val="uk-UA"/>
        </w:rPr>
        <w:t>, на в</w:t>
      </w:r>
      <w:r w:rsidRPr="00E16672">
        <w:rPr>
          <w:rFonts w:ascii="Times New Roman" w:eastAsia="Arial Unicode MS" w:hAnsi="Times New Roman"/>
          <w:szCs w:val="20"/>
          <w:lang w:val="uk-UA"/>
        </w:rPr>
        <w:t>икладених нижче умовах, відповідно до діючого Положення про провадження депозитарної діяльності, затвердженого Рішенням Національної комісії з цінних паперів та фондового ринку від 23.04.2013 року №735 (надалі – Положення про провадження депозитарної діяльності),</w:t>
      </w:r>
      <w:r w:rsidRPr="00E16672">
        <w:rPr>
          <w:rFonts w:ascii="Times New Roman" w:eastAsia="Arial Unicode MS" w:hAnsi="Times New Roman"/>
          <w:color w:val="FF0000"/>
          <w:szCs w:val="20"/>
          <w:lang w:val="uk-UA"/>
        </w:rPr>
        <w:t xml:space="preserve"> </w:t>
      </w:r>
      <w:r w:rsidRPr="00E16672">
        <w:rPr>
          <w:rFonts w:ascii="Times New Roman" w:eastAsia="Arial Unicode MS" w:hAnsi="Times New Roman"/>
          <w:szCs w:val="20"/>
          <w:lang w:val="uk-UA"/>
        </w:rPr>
        <w:t>чинного законодавства України.</w:t>
      </w:r>
    </w:p>
    <w:p w14:paraId="35B39DD7" w14:textId="77777777" w:rsidR="009A7EA8" w:rsidRPr="00E16672" w:rsidRDefault="009A7EA8" w:rsidP="009A7EA8">
      <w:pPr>
        <w:rPr>
          <w:rFonts w:ascii="Times New Roman" w:eastAsia="Arial Unicode MS" w:hAnsi="Times New Roman"/>
          <w:szCs w:val="20"/>
        </w:rPr>
      </w:pPr>
      <w:r w:rsidRPr="00E16672">
        <w:rPr>
          <w:rFonts w:ascii="Times New Roman" w:eastAsia="Arial Unicode MS" w:hAnsi="Times New Roman"/>
          <w:szCs w:val="20"/>
        </w:rPr>
        <w:t xml:space="preserve">1.2. </w:t>
      </w:r>
      <w:proofErr w:type="spellStart"/>
      <w:r w:rsidRPr="00E16672">
        <w:rPr>
          <w:rFonts w:ascii="Times New Roman" w:eastAsia="Arial Unicode MS" w:hAnsi="Times New Roman"/>
          <w:szCs w:val="20"/>
        </w:rPr>
        <w:t>Депозитарні</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послуги</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визначені</w:t>
      </w:r>
      <w:proofErr w:type="spellEnd"/>
      <w:r w:rsidRPr="00E16672">
        <w:rPr>
          <w:rFonts w:ascii="Times New Roman" w:eastAsia="Arial Unicode MS" w:hAnsi="Times New Roman"/>
          <w:szCs w:val="20"/>
        </w:rPr>
        <w:t xml:space="preserve"> у п. 1.1 Договору, </w:t>
      </w:r>
      <w:proofErr w:type="spellStart"/>
      <w:r w:rsidRPr="00E16672">
        <w:rPr>
          <w:rFonts w:ascii="Times New Roman" w:eastAsia="Arial Unicode MS" w:hAnsi="Times New Roman"/>
          <w:szCs w:val="20"/>
        </w:rPr>
        <w:t>повинні</w:t>
      </w:r>
      <w:proofErr w:type="spellEnd"/>
      <w:r w:rsidRPr="00E16672">
        <w:rPr>
          <w:rFonts w:ascii="Times New Roman" w:eastAsia="Arial Unicode MS" w:hAnsi="Times New Roman"/>
          <w:szCs w:val="20"/>
        </w:rPr>
        <w:t xml:space="preserve"> бути </w:t>
      </w:r>
      <w:proofErr w:type="spellStart"/>
      <w:r w:rsidRPr="00E16672">
        <w:rPr>
          <w:rFonts w:ascii="Times New Roman" w:eastAsia="Arial Unicode MS" w:hAnsi="Times New Roman"/>
          <w:szCs w:val="20"/>
        </w:rPr>
        <w:t>якісними</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згідно</w:t>
      </w:r>
      <w:proofErr w:type="spellEnd"/>
      <w:r w:rsidRPr="00E16672">
        <w:rPr>
          <w:rFonts w:ascii="Times New Roman" w:eastAsia="Arial Unicode MS" w:hAnsi="Times New Roman"/>
          <w:szCs w:val="20"/>
        </w:rPr>
        <w:t xml:space="preserve"> нормативно-</w:t>
      </w:r>
      <w:proofErr w:type="spellStart"/>
      <w:r w:rsidRPr="00E16672">
        <w:rPr>
          <w:rFonts w:ascii="Times New Roman" w:eastAsia="Arial Unicode MS" w:hAnsi="Times New Roman"/>
          <w:szCs w:val="20"/>
        </w:rPr>
        <w:t>правових</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актів</w:t>
      </w:r>
      <w:proofErr w:type="spellEnd"/>
      <w:r w:rsidRPr="00E16672">
        <w:rPr>
          <w:rFonts w:ascii="Times New Roman" w:eastAsia="Arial Unicode MS" w:hAnsi="Times New Roman"/>
          <w:szCs w:val="20"/>
        </w:rPr>
        <w:t xml:space="preserve"> та чинного </w:t>
      </w:r>
      <w:proofErr w:type="spellStart"/>
      <w:r w:rsidRPr="00E16672">
        <w:rPr>
          <w:rFonts w:ascii="Times New Roman" w:eastAsia="Arial Unicode MS" w:hAnsi="Times New Roman"/>
          <w:szCs w:val="20"/>
        </w:rPr>
        <w:t>законодавства</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України</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які</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регламентують</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депозитарну</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діяльність</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Депозитарної</w:t>
      </w:r>
      <w:proofErr w:type="spellEnd"/>
      <w:r w:rsidRPr="00E16672">
        <w:rPr>
          <w:rFonts w:ascii="Times New Roman" w:eastAsia="Arial Unicode MS" w:hAnsi="Times New Roman"/>
          <w:szCs w:val="20"/>
        </w:rPr>
        <w:t xml:space="preserve"> установи.</w:t>
      </w:r>
    </w:p>
    <w:p w14:paraId="46BB2057" w14:textId="77777777" w:rsidR="009A7EA8" w:rsidRPr="00E16672" w:rsidRDefault="009A7EA8" w:rsidP="009A7EA8">
      <w:pPr>
        <w:rPr>
          <w:rFonts w:ascii="Times New Roman" w:eastAsia="Arial Unicode MS" w:hAnsi="Times New Roman"/>
          <w:szCs w:val="20"/>
        </w:rPr>
      </w:pPr>
      <w:r w:rsidRPr="00E16672">
        <w:rPr>
          <w:rFonts w:ascii="Times New Roman" w:eastAsia="Arial Unicode MS" w:hAnsi="Times New Roman"/>
          <w:szCs w:val="20"/>
        </w:rPr>
        <w:t xml:space="preserve">1.3. </w:t>
      </w:r>
      <w:proofErr w:type="spellStart"/>
      <w:r w:rsidRPr="00E16672">
        <w:rPr>
          <w:rFonts w:ascii="Times New Roman" w:eastAsia="Arial Unicode MS" w:hAnsi="Times New Roman"/>
          <w:szCs w:val="20"/>
        </w:rPr>
        <w:t>Виконання</w:t>
      </w:r>
      <w:proofErr w:type="spellEnd"/>
      <w:r w:rsidRPr="00E16672">
        <w:rPr>
          <w:rFonts w:ascii="Times New Roman" w:eastAsia="Arial Unicode MS" w:hAnsi="Times New Roman"/>
          <w:szCs w:val="20"/>
        </w:rPr>
        <w:t xml:space="preserve"> Депозитарною </w:t>
      </w:r>
      <w:proofErr w:type="spellStart"/>
      <w:r w:rsidRPr="00E16672">
        <w:rPr>
          <w:rFonts w:ascii="Times New Roman" w:eastAsia="Arial Unicode MS" w:hAnsi="Times New Roman"/>
          <w:szCs w:val="20"/>
        </w:rPr>
        <w:t>установою</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додаткових</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послуг</w:t>
      </w:r>
      <w:proofErr w:type="spellEnd"/>
      <w:r w:rsidRPr="00E16672">
        <w:rPr>
          <w:rFonts w:ascii="Times New Roman" w:eastAsia="Arial Unicode MS" w:hAnsi="Times New Roman"/>
          <w:szCs w:val="20"/>
        </w:rPr>
        <w:t xml:space="preserve"> та </w:t>
      </w:r>
      <w:proofErr w:type="spellStart"/>
      <w:r w:rsidRPr="00E16672">
        <w:rPr>
          <w:rFonts w:ascii="Times New Roman" w:eastAsia="Arial Unicode MS" w:hAnsi="Times New Roman"/>
          <w:szCs w:val="20"/>
        </w:rPr>
        <w:t>операцій</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що</w:t>
      </w:r>
      <w:proofErr w:type="spellEnd"/>
      <w:r w:rsidRPr="00E16672">
        <w:rPr>
          <w:rFonts w:ascii="Times New Roman" w:eastAsia="Arial Unicode MS" w:hAnsi="Times New Roman"/>
          <w:szCs w:val="20"/>
        </w:rPr>
        <w:t xml:space="preserve"> не </w:t>
      </w:r>
      <w:proofErr w:type="spellStart"/>
      <w:r w:rsidRPr="00E16672">
        <w:rPr>
          <w:rFonts w:ascii="Times New Roman" w:eastAsia="Arial Unicode MS" w:hAnsi="Times New Roman"/>
          <w:szCs w:val="20"/>
        </w:rPr>
        <w:t>протирічать</w:t>
      </w:r>
      <w:proofErr w:type="spellEnd"/>
      <w:r w:rsidRPr="00E16672">
        <w:rPr>
          <w:rFonts w:ascii="Times New Roman" w:eastAsia="Arial Unicode MS" w:hAnsi="Times New Roman"/>
          <w:szCs w:val="20"/>
        </w:rPr>
        <w:t xml:space="preserve"> чинному </w:t>
      </w:r>
      <w:proofErr w:type="spellStart"/>
      <w:r w:rsidRPr="00E16672">
        <w:rPr>
          <w:rFonts w:ascii="Times New Roman" w:eastAsia="Arial Unicode MS" w:hAnsi="Times New Roman"/>
          <w:szCs w:val="20"/>
        </w:rPr>
        <w:t>законодавству</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України</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оформлюється</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додатковими</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угодами</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які</w:t>
      </w:r>
      <w:proofErr w:type="spellEnd"/>
      <w:r w:rsidRPr="00E16672">
        <w:rPr>
          <w:rFonts w:ascii="Times New Roman" w:eastAsia="Arial Unicode MS" w:hAnsi="Times New Roman"/>
          <w:szCs w:val="20"/>
        </w:rPr>
        <w:t xml:space="preserve"> з моменту </w:t>
      </w:r>
      <w:proofErr w:type="spellStart"/>
      <w:r w:rsidRPr="00E16672">
        <w:rPr>
          <w:rFonts w:ascii="Times New Roman" w:eastAsia="Arial Unicode MS" w:hAnsi="Times New Roman"/>
          <w:szCs w:val="20"/>
        </w:rPr>
        <w:t>їх</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підписання</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стають</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невід’ємною</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частиною</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цього</w:t>
      </w:r>
      <w:proofErr w:type="spellEnd"/>
      <w:r w:rsidRPr="00E16672">
        <w:rPr>
          <w:rFonts w:ascii="Times New Roman" w:eastAsia="Arial Unicode MS" w:hAnsi="Times New Roman"/>
          <w:szCs w:val="20"/>
        </w:rPr>
        <w:t xml:space="preserve"> Договору.</w:t>
      </w:r>
    </w:p>
    <w:p w14:paraId="13D47E47" w14:textId="77777777" w:rsidR="009A7EA8" w:rsidRPr="00E16672" w:rsidRDefault="009A7EA8" w:rsidP="009A7EA8">
      <w:pPr>
        <w:rPr>
          <w:rFonts w:ascii="Times New Roman" w:eastAsia="Arial Unicode MS" w:hAnsi="Times New Roman"/>
          <w:szCs w:val="20"/>
        </w:rPr>
      </w:pPr>
    </w:p>
    <w:p w14:paraId="59FD2702" w14:textId="77777777" w:rsidR="009A7EA8" w:rsidRPr="00E16672" w:rsidRDefault="009A7EA8" w:rsidP="009A7EA8">
      <w:pPr>
        <w:jc w:val="center"/>
        <w:rPr>
          <w:rFonts w:ascii="Times New Roman" w:eastAsia="Arial Unicode MS" w:hAnsi="Times New Roman"/>
          <w:b/>
          <w:color w:val="000000"/>
          <w:szCs w:val="20"/>
          <w:lang w:val="uk-UA"/>
        </w:rPr>
      </w:pPr>
      <w:r w:rsidRPr="00E16672">
        <w:rPr>
          <w:rFonts w:ascii="Times New Roman" w:eastAsia="Arial Unicode MS" w:hAnsi="Times New Roman"/>
          <w:b/>
          <w:color w:val="000000"/>
          <w:szCs w:val="20"/>
          <w:lang w:val="uk-UA"/>
        </w:rPr>
        <w:t>2. ПРАВА ТА ОБОВ`ЯЗКИ СТОРІН</w:t>
      </w:r>
    </w:p>
    <w:p w14:paraId="5FCE60ED" w14:textId="77777777" w:rsidR="009A7EA8" w:rsidRPr="00E16672" w:rsidRDefault="009A7EA8" w:rsidP="009A7EA8">
      <w:pPr>
        <w:tabs>
          <w:tab w:val="left" w:pos="774"/>
        </w:tabs>
        <w:ind w:left="540"/>
        <w:rPr>
          <w:rFonts w:ascii="Times New Roman" w:eastAsia="Arial Unicode MS" w:hAnsi="Times New Roman"/>
          <w:b/>
          <w:szCs w:val="20"/>
        </w:rPr>
      </w:pPr>
      <w:r w:rsidRPr="00E16672">
        <w:rPr>
          <w:rFonts w:ascii="Times New Roman" w:eastAsia="Arial Unicode MS" w:hAnsi="Times New Roman"/>
          <w:b/>
          <w:szCs w:val="20"/>
        </w:rPr>
        <w:t xml:space="preserve">2.1. </w:t>
      </w:r>
      <w:proofErr w:type="spellStart"/>
      <w:r w:rsidRPr="00E16672">
        <w:rPr>
          <w:rFonts w:ascii="Times New Roman" w:eastAsia="Arial Unicode MS" w:hAnsi="Times New Roman"/>
          <w:b/>
          <w:szCs w:val="20"/>
        </w:rPr>
        <w:t>Депозитарна</w:t>
      </w:r>
      <w:proofErr w:type="spellEnd"/>
      <w:r w:rsidRPr="00E16672">
        <w:rPr>
          <w:rFonts w:ascii="Times New Roman" w:eastAsia="Arial Unicode MS" w:hAnsi="Times New Roman"/>
          <w:b/>
          <w:szCs w:val="20"/>
        </w:rPr>
        <w:t xml:space="preserve"> </w:t>
      </w:r>
      <w:proofErr w:type="spellStart"/>
      <w:r w:rsidRPr="00E16672">
        <w:rPr>
          <w:rFonts w:ascii="Times New Roman" w:eastAsia="Arial Unicode MS" w:hAnsi="Times New Roman"/>
          <w:b/>
          <w:szCs w:val="20"/>
        </w:rPr>
        <w:t>установа</w:t>
      </w:r>
      <w:proofErr w:type="spellEnd"/>
      <w:r w:rsidRPr="00E16672">
        <w:rPr>
          <w:rFonts w:ascii="Times New Roman" w:eastAsia="Arial Unicode MS" w:hAnsi="Times New Roman"/>
          <w:b/>
          <w:szCs w:val="20"/>
        </w:rPr>
        <w:t xml:space="preserve"> </w:t>
      </w:r>
      <w:proofErr w:type="spellStart"/>
      <w:r w:rsidRPr="00E16672">
        <w:rPr>
          <w:rFonts w:ascii="Times New Roman" w:eastAsia="Arial Unicode MS" w:hAnsi="Times New Roman"/>
          <w:b/>
          <w:szCs w:val="20"/>
        </w:rPr>
        <w:t>зобов`язана</w:t>
      </w:r>
      <w:proofErr w:type="spellEnd"/>
      <w:r w:rsidRPr="00E16672">
        <w:rPr>
          <w:rFonts w:ascii="Times New Roman" w:eastAsia="Arial Unicode MS" w:hAnsi="Times New Roman"/>
          <w:b/>
          <w:szCs w:val="20"/>
        </w:rPr>
        <w:t>:</w:t>
      </w:r>
    </w:p>
    <w:p w14:paraId="0B693ED7" w14:textId="77777777" w:rsidR="009A7EA8" w:rsidRPr="00E16672" w:rsidRDefault="009A7EA8" w:rsidP="009A7EA8">
      <w:pPr>
        <w:rPr>
          <w:rFonts w:ascii="Times New Roman" w:eastAsia="Arial Unicode MS" w:hAnsi="Times New Roman"/>
          <w:szCs w:val="20"/>
        </w:rPr>
      </w:pPr>
      <w:r w:rsidRPr="00E16672">
        <w:rPr>
          <w:rFonts w:ascii="Times New Roman" w:eastAsia="Arial Unicode MS" w:hAnsi="Times New Roman"/>
          <w:szCs w:val="20"/>
        </w:rPr>
        <w:t xml:space="preserve">2.1.1. </w:t>
      </w:r>
      <w:proofErr w:type="spellStart"/>
      <w:r w:rsidRPr="00E16672">
        <w:rPr>
          <w:rFonts w:ascii="Times New Roman" w:eastAsia="Arial Unicode MS" w:hAnsi="Times New Roman"/>
          <w:szCs w:val="20"/>
        </w:rPr>
        <w:t>Надавати</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послуги</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передбачені</w:t>
      </w:r>
      <w:proofErr w:type="spellEnd"/>
      <w:r w:rsidRPr="00E16672">
        <w:rPr>
          <w:rFonts w:ascii="Times New Roman" w:eastAsia="Arial Unicode MS" w:hAnsi="Times New Roman"/>
          <w:szCs w:val="20"/>
        </w:rPr>
        <w:t xml:space="preserve"> Договором, </w:t>
      </w:r>
      <w:proofErr w:type="spellStart"/>
      <w:r w:rsidRPr="00E16672">
        <w:rPr>
          <w:rFonts w:ascii="Times New Roman" w:eastAsia="Arial Unicode MS" w:hAnsi="Times New Roman"/>
          <w:szCs w:val="20"/>
        </w:rPr>
        <w:t>якісно</w:t>
      </w:r>
      <w:proofErr w:type="spellEnd"/>
      <w:r w:rsidRPr="00E16672">
        <w:rPr>
          <w:rFonts w:ascii="Times New Roman" w:eastAsia="Arial Unicode MS" w:hAnsi="Times New Roman"/>
          <w:szCs w:val="20"/>
        </w:rPr>
        <w:t xml:space="preserve"> та в </w:t>
      </w:r>
      <w:proofErr w:type="spellStart"/>
      <w:r w:rsidRPr="00E16672">
        <w:rPr>
          <w:rFonts w:ascii="Times New Roman" w:eastAsia="Arial Unicode MS" w:hAnsi="Times New Roman"/>
          <w:szCs w:val="20"/>
        </w:rPr>
        <w:t>обумовлені</w:t>
      </w:r>
      <w:proofErr w:type="spellEnd"/>
      <w:r w:rsidRPr="00E16672">
        <w:rPr>
          <w:rFonts w:ascii="Times New Roman" w:eastAsia="Arial Unicode MS" w:hAnsi="Times New Roman"/>
          <w:szCs w:val="20"/>
        </w:rPr>
        <w:t xml:space="preserve"> строки.</w:t>
      </w:r>
    </w:p>
    <w:p w14:paraId="5F9C704E" w14:textId="77777777" w:rsidR="009A7EA8" w:rsidRPr="00E16672" w:rsidRDefault="009A7EA8" w:rsidP="009A7EA8">
      <w:pPr>
        <w:rPr>
          <w:rFonts w:ascii="Times New Roman" w:eastAsia="Arial Unicode MS" w:hAnsi="Times New Roman"/>
          <w:szCs w:val="20"/>
        </w:rPr>
      </w:pPr>
      <w:r w:rsidRPr="00E16672">
        <w:rPr>
          <w:rFonts w:ascii="Times New Roman" w:eastAsia="Arial Unicode MS" w:hAnsi="Times New Roman"/>
          <w:szCs w:val="20"/>
        </w:rPr>
        <w:t xml:space="preserve">2.1.2. </w:t>
      </w:r>
      <w:bookmarkStart w:id="4" w:name="n411"/>
      <w:r w:rsidRPr="00E16672">
        <w:rPr>
          <w:rFonts w:ascii="Times New Roman" w:eastAsia="Arial Unicode MS" w:hAnsi="Times New Roman"/>
          <w:szCs w:val="20"/>
        </w:rPr>
        <w:t>У</w:t>
      </w:r>
      <w:bookmarkEnd w:id="4"/>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разі</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виникнення</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обставин</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які</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перешкоджають</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належному</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виконанню</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своїх</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обов'язків</w:t>
      </w:r>
      <w:proofErr w:type="spellEnd"/>
      <w:r w:rsidRPr="00E16672">
        <w:rPr>
          <w:rFonts w:ascii="Times New Roman" w:eastAsia="Arial Unicode MS" w:hAnsi="Times New Roman"/>
          <w:szCs w:val="20"/>
        </w:rPr>
        <w:t xml:space="preserve"> за Договором, </w:t>
      </w:r>
      <w:proofErr w:type="spellStart"/>
      <w:r w:rsidRPr="00E16672">
        <w:rPr>
          <w:rFonts w:ascii="Times New Roman" w:eastAsia="Arial Unicode MS" w:hAnsi="Times New Roman"/>
          <w:szCs w:val="20"/>
        </w:rPr>
        <w:t>негайно</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повідомляти</w:t>
      </w:r>
      <w:proofErr w:type="spellEnd"/>
      <w:r w:rsidRPr="00E16672">
        <w:rPr>
          <w:rFonts w:ascii="Times New Roman" w:eastAsia="Arial Unicode MS" w:hAnsi="Times New Roman"/>
          <w:szCs w:val="20"/>
        </w:rPr>
        <w:t xml:space="preserve"> про </w:t>
      </w:r>
      <w:proofErr w:type="spellStart"/>
      <w:r w:rsidRPr="00E16672">
        <w:rPr>
          <w:rFonts w:ascii="Times New Roman" w:eastAsia="Arial Unicode MS" w:hAnsi="Times New Roman"/>
          <w:szCs w:val="20"/>
        </w:rPr>
        <w:t>це</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Емітента</w:t>
      </w:r>
      <w:proofErr w:type="spellEnd"/>
      <w:r w:rsidRPr="00E16672">
        <w:rPr>
          <w:rFonts w:ascii="Times New Roman" w:eastAsia="Arial Unicode MS" w:hAnsi="Times New Roman"/>
          <w:szCs w:val="20"/>
        </w:rPr>
        <w:t>.</w:t>
      </w:r>
    </w:p>
    <w:p w14:paraId="0F8D5501" w14:textId="77777777" w:rsidR="009A7EA8" w:rsidRPr="00E16672" w:rsidRDefault="009A7EA8" w:rsidP="009A7EA8">
      <w:pPr>
        <w:rPr>
          <w:rFonts w:ascii="Times New Roman" w:eastAsia="Arial Unicode MS" w:hAnsi="Times New Roman"/>
          <w:szCs w:val="20"/>
        </w:rPr>
      </w:pPr>
      <w:r w:rsidRPr="00E16672">
        <w:rPr>
          <w:rFonts w:ascii="Times New Roman" w:eastAsia="Arial Unicode MS" w:hAnsi="Times New Roman"/>
          <w:szCs w:val="20"/>
        </w:rPr>
        <w:t xml:space="preserve">2.1.3. У </w:t>
      </w:r>
      <w:proofErr w:type="spellStart"/>
      <w:r w:rsidRPr="00E16672">
        <w:rPr>
          <w:rFonts w:ascii="Times New Roman" w:eastAsia="Arial Unicode MS" w:hAnsi="Times New Roman"/>
          <w:szCs w:val="20"/>
        </w:rPr>
        <w:t>разі</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отримання</w:t>
      </w:r>
      <w:proofErr w:type="spellEnd"/>
      <w:r w:rsidRPr="00E16672">
        <w:rPr>
          <w:rFonts w:ascii="Times New Roman" w:eastAsia="Arial Unicode MS" w:hAnsi="Times New Roman"/>
          <w:szCs w:val="20"/>
        </w:rPr>
        <w:t xml:space="preserve"> Депозитарною </w:t>
      </w:r>
      <w:proofErr w:type="spellStart"/>
      <w:r w:rsidRPr="00E16672">
        <w:rPr>
          <w:rFonts w:ascii="Times New Roman" w:eastAsia="Arial Unicode MS" w:hAnsi="Times New Roman"/>
          <w:szCs w:val="20"/>
        </w:rPr>
        <w:t>установою</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від</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Емітента</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розпорядження</w:t>
      </w:r>
      <w:proofErr w:type="spellEnd"/>
      <w:r w:rsidRPr="00E16672">
        <w:rPr>
          <w:rFonts w:ascii="Times New Roman" w:eastAsia="Arial Unicode MS" w:hAnsi="Times New Roman"/>
          <w:szCs w:val="20"/>
        </w:rPr>
        <w:t xml:space="preserve"> про </w:t>
      </w:r>
      <w:proofErr w:type="spellStart"/>
      <w:r w:rsidRPr="00E16672">
        <w:rPr>
          <w:rFonts w:ascii="Times New Roman" w:eastAsia="Arial Unicode MS" w:hAnsi="Times New Roman"/>
          <w:szCs w:val="20"/>
        </w:rPr>
        <w:t>надання</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реєстру</w:t>
      </w:r>
      <w:proofErr w:type="spellEnd"/>
      <w:r w:rsidRPr="00E16672">
        <w:rPr>
          <w:rFonts w:ascii="Times New Roman" w:eastAsia="Arial Unicode MS" w:hAnsi="Times New Roman"/>
          <w:szCs w:val="20"/>
        </w:rPr>
        <w:t xml:space="preserve"> та/</w:t>
      </w:r>
      <w:proofErr w:type="spellStart"/>
      <w:r w:rsidRPr="00E16672">
        <w:rPr>
          <w:rFonts w:ascii="Times New Roman" w:eastAsia="Arial Unicode MS" w:hAnsi="Times New Roman"/>
          <w:szCs w:val="20"/>
        </w:rPr>
        <w:t>або</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переліку</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власників</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іменних</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цінних</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паперів</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довідково-аналітичних</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матеріалів</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виписок</w:t>
      </w:r>
      <w:proofErr w:type="spellEnd"/>
      <w:r w:rsidRPr="00E16672">
        <w:rPr>
          <w:rFonts w:ascii="Times New Roman" w:eastAsia="Arial Unicode MS" w:hAnsi="Times New Roman"/>
          <w:szCs w:val="20"/>
        </w:rPr>
        <w:t xml:space="preserve"> і </w:t>
      </w:r>
      <w:proofErr w:type="spellStart"/>
      <w:r w:rsidRPr="00E16672">
        <w:rPr>
          <w:rFonts w:ascii="Times New Roman" w:eastAsia="Arial Unicode MS" w:hAnsi="Times New Roman"/>
          <w:szCs w:val="20"/>
        </w:rPr>
        <w:t>інформаційних</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довідок</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іншої</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інформації</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щодо</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власників</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іменних</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цінних</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паперів</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надавати</w:t>
      </w:r>
      <w:proofErr w:type="spellEnd"/>
      <w:r w:rsidRPr="00E16672">
        <w:rPr>
          <w:rFonts w:ascii="Times New Roman" w:eastAsia="Arial Unicode MS" w:hAnsi="Times New Roman"/>
          <w:szCs w:val="20"/>
        </w:rPr>
        <w:t xml:space="preserve"> Центральному </w:t>
      </w:r>
      <w:proofErr w:type="spellStart"/>
      <w:r w:rsidRPr="00E16672">
        <w:rPr>
          <w:rFonts w:ascii="Times New Roman" w:eastAsia="Arial Unicode MS" w:hAnsi="Times New Roman"/>
          <w:szCs w:val="20"/>
        </w:rPr>
        <w:t>депозитарію</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розпорядження</w:t>
      </w:r>
      <w:proofErr w:type="spellEnd"/>
      <w:r w:rsidRPr="00E16672">
        <w:rPr>
          <w:rFonts w:ascii="Times New Roman" w:eastAsia="Arial Unicode MS" w:hAnsi="Times New Roman"/>
          <w:szCs w:val="20"/>
        </w:rPr>
        <w:t xml:space="preserve"> про </w:t>
      </w:r>
      <w:proofErr w:type="spellStart"/>
      <w:r w:rsidRPr="00E16672">
        <w:rPr>
          <w:rFonts w:ascii="Times New Roman" w:eastAsia="Arial Unicode MS" w:hAnsi="Times New Roman"/>
          <w:szCs w:val="20"/>
        </w:rPr>
        <w:t>складення</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реєстру</w:t>
      </w:r>
      <w:proofErr w:type="spellEnd"/>
      <w:r w:rsidRPr="00E16672">
        <w:rPr>
          <w:rFonts w:ascii="Times New Roman" w:eastAsia="Arial Unicode MS" w:hAnsi="Times New Roman"/>
          <w:szCs w:val="20"/>
        </w:rPr>
        <w:t xml:space="preserve"> та/</w:t>
      </w:r>
      <w:proofErr w:type="spellStart"/>
      <w:r w:rsidRPr="00E16672">
        <w:rPr>
          <w:rFonts w:ascii="Times New Roman" w:eastAsia="Arial Unicode MS" w:hAnsi="Times New Roman"/>
          <w:szCs w:val="20"/>
        </w:rPr>
        <w:t>або</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переліку</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власників</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іменних</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цінних</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паперів</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Емітента</w:t>
      </w:r>
      <w:proofErr w:type="spellEnd"/>
      <w:r w:rsidRPr="00E16672">
        <w:rPr>
          <w:rFonts w:ascii="Times New Roman" w:eastAsia="Arial Unicode MS" w:hAnsi="Times New Roman"/>
          <w:szCs w:val="20"/>
        </w:rPr>
        <w:t>.</w:t>
      </w:r>
    </w:p>
    <w:p w14:paraId="3C02B3B9" w14:textId="77777777" w:rsidR="009A7EA8" w:rsidRPr="00E16672" w:rsidRDefault="009A7EA8" w:rsidP="009A7EA8">
      <w:pPr>
        <w:rPr>
          <w:rFonts w:ascii="Times New Roman" w:eastAsia="Arial Unicode MS" w:hAnsi="Times New Roman"/>
          <w:szCs w:val="20"/>
        </w:rPr>
      </w:pPr>
      <w:r w:rsidRPr="00E16672">
        <w:rPr>
          <w:rFonts w:ascii="Times New Roman" w:eastAsia="Arial Unicode MS" w:hAnsi="Times New Roman"/>
          <w:szCs w:val="20"/>
        </w:rPr>
        <w:t xml:space="preserve">2.1.4. </w:t>
      </w:r>
      <w:proofErr w:type="spellStart"/>
      <w:r w:rsidRPr="00E16672">
        <w:rPr>
          <w:rFonts w:ascii="Times New Roman" w:eastAsia="Arial Unicode MS" w:hAnsi="Times New Roman"/>
          <w:szCs w:val="20"/>
        </w:rPr>
        <w:t>Надавати</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Емітенту</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реєстр</w:t>
      </w:r>
      <w:proofErr w:type="spellEnd"/>
      <w:r w:rsidRPr="00E16672">
        <w:rPr>
          <w:rFonts w:ascii="Times New Roman" w:eastAsia="Arial Unicode MS" w:hAnsi="Times New Roman"/>
          <w:szCs w:val="20"/>
        </w:rPr>
        <w:t xml:space="preserve"> та/</w:t>
      </w:r>
      <w:proofErr w:type="spellStart"/>
      <w:r w:rsidRPr="00E16672">
        <w:rPr>
          <w:rFonts w:ascii="Times New Roman" w:eastAsia="Arial Unicode MS" w:hAnsi="Times New Roman"/>
          <w:szCs w:val="20"/>
        </w:rPr>
        <w:t>або</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перелік</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власників</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іменних</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цінних</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паперів</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який</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був</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отриманий</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від</w:t>
      </w:r>
      <w:proofErr w:type="spellEnd"/>
      <w:r w:rsidRPr="00E16672">
        <w:rPr>
          <w:rFonts w:ascii="Times New Roman" w:eastAsia="Arial Unicode MS" w:hAnsi="Times New Roman"/>
          <w:szCs w:val="20"/>
        </w:rPr>
        <w:t xml:space="preserve"> Центрального </w:t>
      </w:r>
      <w:proofErr w:type="spellStart"/>
      <w:r w:rsidRPr="00E16672">
        <w:rPr>
          <w:rFonts w:ascii="Times New Roman" w:eastAsia="Arial Unicode MS" w:hAnsi="Times New Roman"/>
          <w:szCs w:val="20"/>
        </w:rPr>
        <w:t>депозитарію</w:t>
      </w:r>
      <w:bookmarkStart w:id="5" w:name="n44"/>
      <w:bookmarkStart w:id="6" w:name="n4311"/>
      <w:bookmarkEnd w:id="5"/>
      <w:bookmarkEnd w:id="6"/>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довідково-аналітичні</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матеріали</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виписки</w:t>
      </w:r>
      <w:proofErr w:type="spellEnd"/>
      <w:r w:rsidRPr="00E16672">
        <w:rPr>
          <w:rFonts w:ascii="Times New Roman" w:eastAsia="Arial Unicode MS" w:hAnsi="Times New Roman"/>
          <w:szCs w:val="20"/>
        </w:rPr>
        <w:t xml:space="preserve"> і </w:t>
      </w:r>
      <w:proofErr w:type="spellStart"/>
      <w:r w:rsidRPr="00E16672">
        <w:rPr>
          <w:rFonts w:ascii="Times New Roman" w:eastAsia="Arial Unicode MS" w:hAnsi="Times New Roman"/>
          <w:szCs w:val="20"/>
        </w:rPr>
        <w:t>інформаційні</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довідки</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іншу</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інформацію</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щодо</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власників</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іменних</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цінних</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паперів</w:t>
      </w:r>
      <w:proofErr w:type="spellEnd"/>
      <w:r w:rsidRPr="00E16672">
        <w:rPr>
          <w:rFonts w:ascii="Times New Roman" w:eastAsia="Arial Unicode MS" w:hAnsi="Times New Roman"/>
          <w:szCs w:val="20"/>
        </w:rPr>
        <w:t>.</w:t>
      </w:r>
    </w:p>
    <w:p w14:paraId="4EB58810" w14:textId="77777777" w:rsidR="009A7EA8" w:rsidRPr="00E16672" w:rsidRDefault="009A7EA8" w:rsidP="009A7EA8">
      <w:pPr>
        <w:rPr>
          <w:rFonts w:ascii="Times New Roman" w:eastAsia="Arial Unicode MS" w:hAnsi="Times New Roman"/>
          <w:szCs w:val="20"/>
        </w:rPr>
      </w:pPr>
      <w:r w:rsidRPr="00E16672">
        <w:rPr>
          <w:rFonts w:ascii="Times New Roman" w:eastAsia="Arial Unicode MS" w:hAnsi="Times New Roman"/>
          <w:szCs w:val="20"/>
        </w:rPr>
        <w:t xml:space="preserve">2.1.5. </w:t>
      </w:r>
      <w:proofErr w:type="spellStart"/>
      <w:r w:rsidRPr="00E16672">
        <w:rPr>
          <w:rFonts w:ascii="Times New Roman" w:eastAsia="Arial Unicode MS" w:hAnsi="Times New Roman"/>
          <w:szCs w:val="20"/>
        </w:rPr>
        <w:t>Надавати</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Емітенту</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інформацію</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щодо</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обмежень</w:t>
      </w:r>
      <w:proofErr w:type="spellEnd"/>
      <w:r w:rsidRPr="00E16672">
        <w:rPr>
          <w:rFonts w:ascii="Times New Roman" w:eastAsia="Arial Unicode MS" w:hAnsi="Times New Roman"/>
          <w:szCs w:val="20"/>
        </w:rPr>
        <w:t xml:space="preserve"> прав за </w:t>
      </w:r>
      <w:proofErr w:type="spellStart"/>
      <w:r w:rsidRPr="00E16672">
        <w:rPr>
          <w:rFonts w:ascii="Times New Roman" w:eastAsia="Arial Unicode MS" w:hAnsi="Times New Roman"/>
          <w:szCs w:val="20"/>
        </w:rPr>
        <w:t>цінними</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паперами</w:t>
      </w:r>
      <w:proofErr w:type="spellEnd"/>
      <w:r w:rsidRPr="00E16672">
        <w:rPr>
          <w:rFonts w:ascii="Times New Roman" w:eastAsia="Arial Unicode MS" w:hAnsi="Times New Roman"/>
          <w:szCs w:val="20"/>
        </w:rPr>
        <w:t xml:space="preserve"> (за </w:t>
      </w:r>
      <w:proofErr w:type="spellStart"/>
      <w:r w:rsidRPr="00E16672">
        <w:rPr>
          <w:rFonts w:ascii="Times New Roman" w:eastAsia="Arial Unicode MS" w:hAnsi="Times New Roman"/>
          <w:szCs w:val="20"/>
        </w:rPr>
        <w:t>наявності</w:t>
      </w:r>
      <w:proofErr w:type="spellEnd"/>
      <w:r w:rsidRPr="00E16672">
        <w:rPr>
          <w:rFonts w:ascii="Times New Roman" w:eastAsia="Arial Unicode MS" w:hAnsi="Times New Roman"/>
          <w:szCs w:val="20"/>
        </w:rPr>
        <w:t>).</w:t>
      </w:r>
    </w:p>
    <w:p w14:paraId="2531AF12" w14:textId="77777777" w:rsidR="009A7EA8" w:rsidRPr="00E16672" w:rsidRDefault="009A7EA8" w:rsidP="009A7EA8">
      <w:pPr>
        <w:rPr>
          <w:rFonts w:ascii="Times New Roman" w:eastAsia="Arial Unicode MS" w:hAnsi="Times New Roman"/>
          <w:szCs w:val="20"/>
        </w:rPr>
      </w:pPr>
      <w:r w:rsidRPr="00E16672">
        <w:rPr>
          <w:rFonts w:ascii="Times New Roman" w:eastAsia="Arial Unicode MS" w:hAnsi="Times New Roman"/>
          <w:szCs w:val="20"/>
        </w:rPr>
        <w:t xml:space="preserve">2.1.6. </w:t>
      </w:r>
      <w:proofErr w:type="spellStart"/>
      <w:r w:rsidRPr="00E16672">
        <w:rPr>
          <w:rFonts w:ascii="Times New Roman" w:eastAsia="Arial Unicode MS" w:hAnsi="Times New Roman"/>
          <w:szCs w:val="20"/>
        </w:rPr>
        <w:t>Надавати</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консультації</w:t>
      </w:r>
      <w:proofErr w:type="spellEnd"/>
      <w:r w:rsidRPr="00E16672">
        <w:rPr>
          <w:rFonts w:ascii="Times New Roman" w:eastAsia="Arial Unicode MS" w:hAnsi="Times New Roman"/>
          <w:szCs w:val="20"/>
        </w:rPr>
        <w:t xml:space="preserve"> з </w:t>
      </w:r>
      <w:proofErr w:type="spellStart"/>
      <w:r w:rsidRPr="00E16672">
        <w:rPr>
          <w:rFonts w:ascii="Times New Roman" w:eastAsia="Arial Unicode MS" w:hAnsi="Times New Roman"/>
          <w:szCs w:val="20"/>
        </w:rPr>
        <w:t>питань</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що</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виникають</w:t>
      </w:r>
      <w:proofErr w:type="spellEnd"/>
      <w:r w:rsidRPr="00E16672">
        <w:rPr>
          <w:rFonts w:ascii="Times New Roman" w:eastAsia="Arial Unicode MS" w:hAnsi="Times New Roman"/>
          <w:szCs w:val="20"/>
        </w:rPr>
        <w:t xml:space="preserve"> у </w:t>
      </w:r>
      <w:proofErr w:type="spellStart"/>
      <w:r w:rsidRPr="00E16672">
        <w:rPr>
          <w:rFonts w:ascii="Times New Roman" w:eastAsia="Arial Unicode MS" w:hAnsi="Times New Roman"/>
          <w:szCs w:val="20"/>
        </w:rPr>
        <w:t>Емітента</w:t>
      </w:r>
      <w:proofErr w:type="spellEnd"/>
      <w:r w:rsidRPr="00E16672">
        <w:rPr>
          <w:rFonts w:ascii="Times New Roman" w:eastAsia="Arial Unicode MS" w:hAnsi="Times New Roman"/>
          <w:szCs w:val="20"/>
        </w:rPr>
        <w:t xml:space="preserve"> у </w:t>
      </w:r>
      <w:proofErr w:type="spellStart"/>
      <w:r w:rsidRPr="00E16672">
        <w:rPr>
          <w:rFonts w:ascii="Times New Roman" w:eastAsia="Arial Unicode MS" w:hAnsi="Times New Roman"/>
          <w:szCs w:val="20"/>
        </w:rPr>
        <w:t>зв’язку</w:t>
      </w:r>
      <w:proofErr w:type="spellEnd"/>
      <w:r w:rsidRPr="00E16672">
        <w:rPr>
          <w:rFonts w:ascii="Times New Roman" w:eastAsia="Arial Unicode MS" w:hAnsi="Times New Roman"/>
          <w:szCs w:val="20"/>
        </w:rPr>
        <w:t xml:space="preserve"> з </w:t>
      </w:r>
      <w:proofErr w:type="spellStart"/>
      <w:r w:rsidRPr="00E16672">
        <w:rPr>
          <w:rFonts w:ascii="Times New Roman" w:eastAsia="Arial Unicode MS" w:hAnsi="Times New Roman"/>
          <w:szCs w:val="20"/>
        </w:rPr>
        <w:t>наданням</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йому</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послуг</w:t>
      </w:r>
      <w:proofErr w:type="spellEnd"/>
      <w:r w:rsidRPr="00E16672">
        <w:rPr>
          <w:rFonts w:ascii="Times New Roman" w:eastAsia="Arial Unicode MS" w:hAnsi="Times New Roman"/>
          <w:szCs w:val="20"/>
        </w:rPr>
        <w:t xml:space="preserve">, на </w:t>
      </w:r>
      <w:proofErr w:type="spellStart"/>
      <w:r w:rsidRPr="00E16672">
        <w:rPr>
          <w:rFonts w:ascii="Times New Roman" w:eastAsia="Arial Unicode MS" w:hAnsi="Times New Roman"/>
          <w:szCs w:val="20"/>
        </w:rPr>
        <w:t>умовах</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передбачених</w:t>
      </w:r>
      <w:proofErr w:type="spellEnd"/>
      <w:r w:rsidRPr="00E16672">
        <w:rPr>
          <w:rFonts w:ascii="Times New Roman" w:eastAsia="Arial Unicode MS" w:hAnsi="Times New Roman"/>
          <w:szCs w:val="20"/>
        </w:rPr>
        <w:t xml:space="preserve"> Договором.</w:t>
      </w:r>
    </w:p>
    <w:p w14:paraId="7E161688" w14:textId="77777777" w:rsidR="009A7EA8" w:rsidRPr="00E16672" w:rsidRDefault="009A7EA8" w:rsidP="009A7EA8">
      <w:pPr>
        <w:rPr>
          <w:rFonts w:ascii="Times New Roman" w:eastAsia="Arial Unicode MS" w:hAnsi="Times New Roman"/>
          <w:szCs w:val="20"/>
        </w:rPr>
      </w:pPr>
      <w:r w:rsidRPr="00E16672">
        <w:rPr>
          <w:rFonts w:ascii="Times New Roman" w:eastAsia="Arial Unicode MS" w:hAnsi="Times New Roman"/>
          <w:szCs w:val="20"/>
        </w:rPr>
        <w:t xml:space="preserve">2.1.7. </w:t>
      </w:r>
      <w:proofErr w:type="spellStart"/>
      <w:r w:rsidRPr="00E16672">
        <w:rPr>
          <w:rFonts w:ascii="Times New Roman" w:eastAsia="Arial Unicode MS" w:hAnsi="Times New Roman"/>
          <w:szCs w:val="20"/>
        </w:rPr>
        <w:t>Забезпечувати</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вжиття</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заходів</w:t>
      </w:r>
      <w:proofErr w:type="spellEnd"/>
      <w:r w:rsidRPr="00E16672">
        <w:rPr>
          <w:rFonts w:ascii="Times New Roman" w:eastAsia="Arial Unicode MS" w:hAnsi="Times New Roman"/>
          <w:szCs w:val="20"/>
        </w:rPr>
        <w:t xml:space="preserve"> до </w:t>
      </w:r>
      <w:proofErr w:type="spellStart"/>
      <w:r w:rsidRPr="00E16672">
        <w:rPr>
          <w:rFonts w:ascii="Times New Roman" w:eastAsia="Arial Unicode MS" w:hAnsi="Times New Roman"/>
          <w:szCs w:val="20"/>
        </w:rPr>
        <w:t>нерозголошення</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інформації</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що</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міститься</w:t>
      </w:r>
      <w:proofErr w:type="spellEnd"/>
      <w:r w:rsidRPr="00E16672">
        <w:rPr>
          <w:rFonts w:ascii="Times New Roman" w:eastAsia="Arial Unicode MS" w:hAnsi="Times New Roman"/>
          <w:szCs w:val="20"/>
        </w:rPr>
        <w:t xml:space="preserve"> у </w:t>
      </w:r>
      <w:proofErr w:type="spellStart"/>
      <w:r w:rsidRPr="00E16672">
        <w:rPr>
          <w:rFonts w:ascii="Times New Roman" w:eastAsia="Arial Unicode MS" w:hAnsi="Times New Roman"/>
          <w:szCs w:val="20"/>
        </w:rPr>
        <w:t>реєстрах</w:t>
      </w:r>
      <w:proofErr w:type="spellEnd"/>
      <w:r w:rsidRPr="00E16672">
        <w:rPr>
          <w:rFonts w:ascii="Times New Roman" w:eastAsia="Arial Unicode MS" w:hAnsi="Times New Roman"/>
          <w:szCs w:val="20"/>
        </w:rPr>
        <w:t xml:space="preserve"> та/</w:t>
      </w:r>
      <w:proofErr w:type="spellStart"/>
      <w:r w:rsidRPr="00E16672">
        <w:rPr>
          <w:rFonts w:ascii="Times New Roman" w:eastAsia="Arial Unicode MS" w:hAnsi="Times New Roman"/>
          <w:szCs w:val="20"/>
        </w:rPr>
        <w:t>або</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переліках</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власників</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іменних</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цінних</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паперів</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довідково-аналітичних</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матеріалах</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виписках</w:t>
      </w:r>
      <w:proofErr w:type="spellEnd"/>
      <w:r w:rsidRPr="00E16672">
        <w:rPr>
          <w:rFonts w:ascii="Times New Roman" w:eastAsia="Arial Unicode MS" w:hAnsi="Times New Roman"/>
          <w:szCs w:val="20"/>
        </w:rPr>
        <w:t xml:space="preserve"> і </w:t>
      </w:r>
      <w:proofErr w:type="spellStart"/>
      <w:r w:rsidRPr="00E16672">
        <w:rPr>
          <w:rFonts w:ascii="Times New Roman" w:eastAsia="Arial Unicode MS" w:hAnsi="Times New Roman"/>
          <w:szCs w:val="20"/>
        </w:rPr>
        <w:t>інформаційних</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довідках</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іншій</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інформації</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щодо</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власників</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іменних</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цінних</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паперів</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крім</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випадків</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визначених</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законодавством</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Обов’язки</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щодо</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зберігання</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конфіденційності</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інформації</w:t>
      </w:r>
      <w:proofErr w:type="spellEnd"/>
      <w:r w:rsidRPr="00E16672">
        <w:rPr>
          <w:rFonts w:ascii="Times New Roman" w:eastAsia="Arial Unicode MS" w:hAnsi="Times New Roman"/>
          <w:szCs w:val="20"/>
        </w:rPr>
        <w:t xml:space="preserve"> не </w:t>
      </w:r>
      <w:proofErr w:type="spellStart"/>
      <w:r w:rsidRPr="00E16672">
        <w:rPr>
          <w:rFonts w:ascii="Times New Roman" w:eastAsia="Arial Unicode MS" w:hAnsi="Times New Roman"/>
          <w:szCs w:val="20"/>
        </w:rPr>
        <w:t>виникають</w:t>
      </w:r>
      <w:proofErr w:type="spellEnd"/>
      <w:r w:rsidRPr="00E16672">
        <w:rPr>
          <w:rFonts w:ascii="Times New Roman" w:eastAsia="Arial Unicode MS" w:hAnsi="Times New Roman"/>
          <w:szCs w:val="20"/>
        </w:rPr>
        <w:t xml:space="preserve"> у </w:t>
      </w:r>
      <w:proofErr w:type="spellStart"/>
      <w:r w:rsidRPr="00E16672">
        <w:rPr>
          <w:rFonts w:ascii="Times New Roman" w:eastAsia="Arial Unicode MS" w:hAnsi="Times New Roman"/>
          <w:szCs w:val="20"/>
        </w:rPr>
        <w:t>випадках</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якщо</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розголошування</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подібної</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інформації</w:t>
      </w:r>
      <w:proofErr w:type="spellEnd"/>
      <w:r w:rsidRPr="00E16672">
        <w:rPr>
          <w:rFonts w:ascii="Times New Roman" w:eastAsia="Arial Unicode MS" w:hAnsi="Times New Roman"/>
          <w:szCs w:val="20"/>
        </w:rPr>
        <w:t xml:space="preserve"> мало </w:t>
      </w:r>
      <w:proofErr w:type="spellStart"/>
      <w:r w:rsidRPr="00E16672">
        <w:rPr>
          <w:rFonts w:ascii="Times New Roman" w:eastAsia="Arial Unicode MS" w:hAnsi="Times New Roman"/>
          <w:szCs w:val="20"/>
        </w:rPr>
        <w:t>місце</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внаслідок</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дій</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судових</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або</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інших</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уповноважених</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чинним</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законодавством</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органів</w:t>
      </w:r>
      <w:proofErr w:type="spellEnd"/>
      <w:r w:rsidRPr="00E16672">
        <w:rPr>
          <w:rFonts w:ascii="Times New Roman" w:eastAsia="Arial Unicode MS" w:hAnsi="Times New Roman"/>
          <w:szCs w:val="20"/>
        </w:rPr>
        <w:t>.</w:t>
      </w:r>
    </w:p>
    <w:p w14:paraId="306B6D2C" w14:textId="77777777" w:rsidR="009A7EA8" w:rsidRPr="00E16672" w:rsidRDefault="009A7EA8" w:rsidP="009A7EA8">
      <w:pPr>
        <w:rPr>
          <w:rFonts w:ascii="Times New Roman" w:eastAsia="Arial Unicode MS" w:hAnsi="Times New Roman"/>
          <w:szCs w:val="20"/>
        </w:rPr>
      </w:pPr>
      <w:r w:rsidRPr="00E16672">
        <w:rPr>
          <w:rFonts w:ascii="Times New Roman" w:eastAsia="Arial Unicode MS" w:hAnsi="Times New Roman"/>
          <w:szCs w:val="20"/>
        </w:rPr>
        <w:t xml:space="preserve">2.1.8. </w:t>
      </w:r>
      <w:proofErr w:type="spellStart"/>
      <w:r w:rsidRPr="00E16672">
        <w:rPr>
          <w:rFonts w:ascii="Times New Roman" w:eastAsia="Arial Unicode MS" w:hAnsi="Times New Roman"/>
          <w:szCs w:val="20"/>
        </w:rPr>
        <w:t>Надавати</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Емітенту</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необхідну</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інформацію</w:t>
      </w:r>
      <w:proofErr w:type="spellEnd"/>
      <w:r w:rsidRPr="00E16672">
        <w:rPr>
          <w:rFonts w:ascii="Times New Roman" w:eastAsia="Arial Unicode MS" w:hAnsi="Times New Roman"/>
          <w:szCs w:val="20"/>
        </w:rPr>
        <w:t xml:space="preserve"> та </w:t>
      </w:r>
      <w:proofErr w:type="spellStart"/>
      <w:r w:rsidRPr="00E16672">
        <w:rPr>
          <w:rFonts w:ascii="Times New Roman" w:eastAsia="Arial Unicode MS" w:hAnsi="Times New Roman"/>
          <w:szCs w:val="20"/>
        </w:rPr>
        <w:t>відомості</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які</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стосуються</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виконання</w:t>
      </w:r>
      <w:proofErr w:type="spellEnd"/>
      <w:r w:rsidRPr="00E16672">
        <w:rPr>
          <w:rFonts w:ascii="Times New Roman" w:eastAsia="Arial Unicode MS" w:hAnsi="Times New Roman"/>
          <w:szCs w:val="20"/>
        </w:rPr>
        <w:t xml:space="preserve"> Договору.</w:t>
      </w:r>
    </w:p>
    <w:p w14:paraId="2447FDF0" w14:textId="77777777" w:rsidR="009A7EA8" w:rsidRPr="00E16672" w:rsidRDefault="009A7EA8" w:rsidP="009A7EA8">
      <w:pPr>
        <w:rPr>
          <w:rFonts w:ascii="Times New Roman" w:eastAsia="Arial Unicode MS" w:hAnsi="Times New Roman"/>
          <w:szCs w:val="20"/>
        </w:rPr>
      </w:pPr>
      <w:r w:rsidRPr="00E16672">
        <w:rPr>
          <w:rFonts w:ascii="Times New Roman" w:eastAsia="Arial Unicode MS" w:hAnsi="Times New Roman"/>
          <w:szCs w:val="20"/>
        </w:rPr>
        <w:t xml:space="preserve">2.1.9. </w:t>
      </w:r>
      <w:proofErr w:type="spellStart"/>
      <w:r w:rsidRPr="00E16672">
        <w:rPr>
          <w:rFonts w:ascii="Times New Roman" w:eastAsia="Arial Unicode MS" w:hAnsi="Times New Roman"/>
          <w:szCs w:val="20"/>
        </w:rPr>
        <w:t>Повідомляти</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Емітента</w:t>
      </w:r>
      <w:proofErr w:type="spellEnd"/>
      <w:r w:rsidRPr="00E16672">
        <w:rPr>
          <w:rFonts w:ascii="Times New Roman" w:eastAsia="Arial Unicode MS" w:hAnsi="Times New Roman"/>
          <w:szCs w:val="20"/>
        </w:rPr>
        <w:t xml:space="preserve"> про </w:t>
      </w:r>
      <w:proofErr w:type="spellStart"/>
      <w:r w:rsidRPr="00E16672">
        <w:rPr>
          <w:rFonts w:ascii="Times New Roman" w:eastAsia="Arial Unicode MS" w:hAnsi="Times New Roman"/>
          <w:szCs w:val="20"/>
        </w:rPr>
        <w:t>розкриття</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конфіденційної</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інформації</w:t>
      </w:r>
      <w:proofErr w:type="spellEnd"/>
      <w:r w:rsidRPr="00E16672">
        <w:rPr>
          <w:rFonts w:ascii="Times New Roman" w:eastAsia="Arial Unicode MS" w:hAnsi="Times New Roman"/>
          <w:szCs w:val="20"/>
        </w:rPr>
        <w:t xml:space="preserve"> та про факт </w:t>
      </w:r>
      <w:proofErr w:type="spellStart"/>
      <w:r w:rsidRPr="00E16672">
        <w:rPr>
          <w:rFonts w:ascii="Times New Roman" w:eastAsia="Arial Unicode MS" w:hAnsi="Times New Roman"/>
          <w:szCs w:val="20"/>
        </w:rPr>
        <w:t>отримання</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вимоги</w:t>
      </w:r>
      <w:proofErr w:type="spellEnd"/>
      <w:r w:rsidRPr="00E16672">
        <w:rPr>
          <w:rFonts w:ascii="Times New Roman" w:eastAsia="Arial Unicode MS" w:hAnsi="Times New Roman"/>
          <w:szCs w:val="20"/>
        </w:rPr>
        <w:t xml:space="preserve"> про </w:t>
      </w:r>
      <w:proofErr w:type="spellStart"/>
      <w:r w:rsidRPr="00E16672">
        <w:rPr>
          <w:rFonts w:ascii="Times New Roman" w:eastAsia="Arial Unicode MS" w:hAnsi="Times New Roman"/>
          <w:szCs w:val="20"/>
        </w:rPr>
        <w:t>надання</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такої</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інформації</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відповідно</w:t>
      </w:r>
      <w:proofErr w:type="spellEnd"/>
      <w:r w:rsidRPr="00E16672">
        <w:rPr>
          <w:rFonts w:ascii="Times New Roman" w:eastAsia="Arial Unicode MS" w:hAnsi="Times New Roman"/>
          <w:szCs w:val="20"/>
        </w:rPr>
        <w:t xml:space="preserve"> до </w:t>
      </w:r>
      <w:proofErr w:type="spellStart"/>
      <w:r w:rsidRPr="00E16672">
        <w:rPr>
          <w:rFonts w:ascii="Times New Roman" w:eastAsia="Arial Unicode MS" w:hAnsi="Times New Roman"/>
          <w:szCs w:val="20"/>
        </w:rPr>
        <w:t>законодавства</w:t>
      </w:r>
      <w:proofErr w:type="spellEnd"/>
      <w:r w:rsidRPr="00E16672">
        <w:rPr>
          <w:rFonts w:ascii="Times New Roman" w:eastAsia="Arial Unicode MS" w:hAnsi="Times New Roman"/>
          <w:szCs w:val="20"/>
        </w:rPr>
        <w:t>.</w:t>
      </w:r>
    </w:p>
    <w:p w14:paraId="78E5A891" w14:textId="77777777" w:rsidR="009A7EA8" w:rsidRPr="00E16672" w:rsidRDefault="009A7EA8" w:rsidP="009A7EA8">
      <w:pPr>
        <w:tabs>
          <w:tab w:val="left" w:pos="0"/>
        </w:tabs>
        <w:rPr>
          <w:rFonts w:ascii="Times New Roman" w:eastAsia="Arial Unicode MS" w:hAnsi="Times New Roman"/>
          <w:szCs w:val="20"/>
        </w:rPr>
      </w:pPr>
      <w:r w:rsidRPr="00E16672">
        <w:rPr>
          <w:rFonts w:ascii="Times New Roman" w:eastAsia="Arial Unicode MS" w:hAnsi="Times New Roman"/>
          <w:szCs w:val="20"/>
        </w:rPr>
        <w:t xml:space="preserve">2.1.10. Не </w:t>
      </w:r>
      <w:proofErr w:type="spellStart"/>
      <w:r w:rsidRPr="00E16672">
        <w:rPr>
          <w:rFonts w:ascii="Times New Roman" w:eastAsia="Arial Unicode MS" w:hAnsi="Times New Roman"/>
          <w:szCs w:val="20"/>
        </w:rPr>
        <w:t>надавати</w:t>
      </w:r>
      <w:proofErr w:type="spellEnd"/>
      <w:r w:rsidRPr="00E16672">
        <w:rPr>
          <w:rFonts w:ascii="Times New Roman" w:eastAsia="Arial Unicode MS" w:hAnsi="Times New Roman"/>
          <w:szCs w:val="20"/>
        </w:rPr>
        <w:t xml:space="preserve"> Центральному </w:t>
      </w:r>
      <w:proofErr w:type="spellStart"/>
      <w:r w:rsidRPr="00E16672">
        <w:rPr>
          <w:rFonts w:ascii="Times New Roman" w:eastAsia="Arial Unicode MS" w:hAnsi="Times New Roman"/>
          <w:szCs w:val="20"/>
        </w:rPr>
        <w:t>депозитарію</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розпорядження</w:t>
      </w:r>
      <w:proofErr w:type="spellEnd"/>
      <w:r w:rsidRPr="00E16672">
        <w:rPr>
          <w:rFonts w:ascii="Times New Roman" w:eastAsia="Arial Unicode MS" w:hAnsi="Times New Roman"/>
          <w:szCs w:val="20"/>
        </w:rPr>
        <w:t xml:space="preserve"> про </w:t>
      </w:r>
      <w:proofErr w:type="spellStart"/>
      <w:r w:rsidRPr="00E16672">
        <w:rPr>
          <w:rFonts w:ascii="Times New Roman" w:eastAsia="Arial Unicode MS" w:hAnsi="Times New Roman"/>
          <w:szCs w:val="20"/>
        </w:rPr>
        <w:t>складення</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реєстру</w:t>
      </w:r>
      <w:proofErr w:type="spellEnd"/>
      <w:r w:rsidRPr="00E16672">
        <w:rPr>
          <w:rFonts w:ascii="Times New Roman" w:eastAsia="Arial Unicode MS" w:hAnsi="Times New Roman"/>
          <w:szCs w:val="20"/>
        </w:rPr>
        <w:t xml:space="preserve"> та/</w:t>
      </w:r>
      <w:proofErr w:type="spellStart"/>
      <w:r w:rsidRPr="00E16672">
        <w:rPr>
          <w:rFonts w:ascii="Times New Roman" w:eastAsia="Arial Unicode MS" w:hAnsi="Times New Roman"/>
          <w:szCs w:val="20"/>
        </w:rPr>
        <w:t>або</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переліку</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власників</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іменних</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цінних</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паперів</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Емітента</w:t>
      </w:r>
      <w:proofErr w:type="spellEnd"/>
      <w:r w:rsidRPr="00E16672">
        <w:rPr>
          <w:rFonts w:ascii="Times New Roman" w:eastAsia="Arial Unicode MS" w:hAnsi="Times New Roman"/>
          <w:szCs w:val="20"/>
        </w:rPr>
        <w:t xml:space="preserve"> у </w:t>
      </w:r>
      <w:proofErr w:type="spellStart"/>
      <w:r w:rsidRPr="00E16672">
        <w:rPr>
          <w:rFonts w:ascii="Times New Roman" w:eastAsia="Arial Unicode MS" w:hAnsi="Times New Roman"/>
          <w:szCs w:val="20"/>
        </w:rPr>
        <w:t>випадку</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виявлення</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порушень</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оформлення</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Емітентом</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розпоряджень</w:t>
      </w:r>
      <w:proofErr w:type="spellEnd"/>
      <w:r w:rsidRPr="00E16672">
        <w:rPr>
          <w:rFonts w:ascii="Times New Roman" w:eastAsia="Arial Unicode MS" w:hAnsi="Times New Roman"/>
          <w:szCs w:val="20"/>
        </w:rPr>
        <w:t xml:space="preserve"> та </w:t>
      </w:r>
      <w:proofErr w:type="spellStart"/>
      <w:r w:rsidRPr="00E16672">
        <w:rPr>
          <w:rFonts w:ascii="Times New Roman" w:eastAsia="Arial Unicode MS" w:hAnsi="Times New Roman"/>
          <w:szCs w:val="20"/>
        </w:rPr>
        <w:t>інших</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документів</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передбачених</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чинним</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законодавством</w:t>
      </w:r>
      <w:proofErr w:type="spellEnd"/>
      <w:r w:rsidRPr="00E16672">
        <w:rPr>
          <w:rFonts w:ascii="Times New Roman" w:eastAsia="Arial Unicode MS" w:hAnsi="Times New Roman"/>
          <w:szCs w:val="20"/>
        </w:rPr>
        <w:t xml:space="preserve">, а </w:t>
      </w:r>
      <w:proofErr w:type="spellStart"/>
      <w:r w:rsidRPr="00E16672">
        <w:rPr>
          <w:rFonts w:ascii="Times New Roman" w:eastAsia="Arial Unicode MS" w:hAnsi="Times New Roman"/>
          <w:szCs w:val="20"/>
        </w:rPr>
        <w:t>також</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наявності</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заборгованості</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Емітента</w:t>
      </w:r>
      <w:proofErr w:type="spellEnd"/>
      <w:r w:rsidRPr="00E16672">
        <w:rPr>
          <w:rFonts w:ascii="Times New Roman" w:eastAsia="Arial Unicode MS" w:hAnsi="Times New Roman"/>
          <w:szCs w:val="20"/>
        </w:rPr>
        <w:t xml:space="preserve"> перед Депозитарною </w:t>
      </w:r>
      <w:proofErr w:type="spellStart"/>
      <w:r w:rsidRPr="00E16672">
        <w:rPr>
          <w:rFonts w:ascii="Times New Roman" w:eastAsia="Arial Unicode MS" w:hAnsi="Times New Roman"/>
          <w:szCs w:val="20"/>
        </w:rPr>
        <w:t>установою</w:t>
      </w:r>
      <w:proofErr w:type="spellEnd"/>
      <w:r w:rsidRPr="00E16672">
        <w:rPr>
          <w:rFonts w:ascii="Times New Roman" w:eastAsia="Arial Unicode MS" w:hAnsi="Times New Roman"/>
          <w:szCs w:val="20"/>
        </w:rPr>
        <w:t xml:space="preserve"> за </w:t>
      </w:r>
      <w:proofErr w:type="spellStart"/>
      <w:r w:rsidRPr="00E16672">
        <w:rPr>
          <w:rFonts w:ascii="Times New Roman" w:eastAsia="Arial Unicode MS" w:hAnsi="Times New Roman"/>
          <w:szCs w:val="20"/>
        </w:rPr>
        <w:t>надані</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послуги</w:t>
      </w:r>
      <w:proofErr w:type="spellEnd"/>
      <w:r w:rsidRPr="00E16672">
        <w:rPr>
          <w:rFonts w:ascii="Times New Roman" w:eastAsia="Arial Unicode MS" w:hAnsi="Times New Roman"/>
          <w:szCs w:val="20"/>
        </w:rPr>
        <w:t xml:space="preserve">. </w:t>
      </w:r>
    </w:p>
    <w:p w14:paraId="1D80AE5A" w14:textId="77777777" w:rsidR="009A7EA8" w:rsidRPr="00E16672" w:rsidRDefault="009A7EA8" w:rsidP="009A7EA8">
      <w:pPr>
        <w:rPr>
          <w:rFonts w:ascii="Times New Roman" w:eastAsia="Arial Unicode MS" w:hAnsi="Times New Roman"/>
          <w:szCs w:val="20"/>
        </w:rPr>
      </w:pPr>
      <w:r w:rsidRPr="00E16672">
        <w:rPr>
          <w:rFonts w:ascii="Times New Roman" w:eastAsia="Arial Unicode MS" w:hAnsi="Times New Roman"/>
          <w:szCs w:val="20"/>
        </w:rPr>
        <w:t xml:space="preserve">2.1.11. </w:t>
      </w:r>
      <w:proofErr w:type="spellStart"/>
      <w:r w:rsidRPr="00E16672">
        <w:rPr>
          <w:rFonts w:ascii="Times New Roman" w:eastAsia="Arial Unicode MS" w:hAnsi="Times New Roman"/>
          <w:szCs w:val="20"/>
        </w:rPr>
        <w:t>Дотримуватися</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встановлених</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вимог</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захисту</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інформації</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від</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несанкціонованого</w:t>
      </w:r>
      <w:proofErr w:type="spellEnd"/>
      <w:r w:rsidRPr="00E16672">
        <w:rPr>
          <w:rFonts w:ascii="Times New Roman" w:eastAsia="Arial Unicode MS" w:hAnsi="Times New Roman"/>
          <w:szCs w:val="20"/>
        </w:rPr>
        <w:t xml:space="preserve"> доступу в </w:t>
      </w:r>
      <w:proofErr w:type="spellStart"/>
      <w:r w:rsidRPr="00E16672">
        <w:rPr>
          <w:rFonts w:ascii="Times New Roman" w:eastAsia="Arial Unicode MS" w:hAnsi="Times New Roman"/>
          <w:szCs w:val="20"/>
        </w:rPr>
        <w:t>електронних</w:t>
      </w:r>
      <w:proofErr w:type="spellEnd"/>
      <w:r w:rsidRPr="00E16672">
        <w:rPr>
          <w:rFonts w:ascii="Times New Roman" w:eastAsia="Arial Unicode MS" w:hAnsi="Times New Roman"/>
          <w:szCs w:val="20"/>
        </w:rPr>
        <w:t xml:space="preserve"> системах </w:t>
      </w:r>
      <w:proofErr w:type="spellStart"/>
      <w:r w:rsidRPr="00E16672">
        <w:rPr>
          <w:rFonts w:ascii="Times New Roman" w:eastAsia="Arial Unicode MS" w:hAnsi="Times New Roman"/>
          <w:szCs w:val="20"/>
        </w:rPr>
        <w:t>обміну</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даними</w:t>
      </w:r>
      <w:proofErr w:type="spellEnd"/>
      <w:r w:rsidRPr="00E16672">
        <w:rPr>
          <w:rFonts w:ascii="Times New Roman" w:eastAsia="Arial Unicode MS" w:hAnsi="Times New Roman"/>
          <w:szCs w:val="20"/>
        </w:rPr>
        <w:t>.</w:t>
      </w:r>
    </w:p>
    <w:p w14:paraId="6CAD66EB" w14:textId="77777777" w:rsidR="009A7EA8" w:rsidRPr="00E16672" w:rsidRDefault="009A7EA8" w:rsidP="009A7EA8">
      <w:pPr>
        <w:rPr>
          <w:rFonts w:ascii="Times New Roman" w:eastAsia="Arial Unicode MS" w:hAnsi="Times New Roman"/>
          <w:szCs w:val="20"/>
        </w:rPr>
      </w:pPr>
      <w:r w:rsidRPr="00E16672">
        <w:rPr>
          <w:rFonts w:ascii="Times New Roman" w:eastAsia="Arial Unicode MS" w:hAnsi="Times New Roman"/>
          <w:szCs w:val="20"/>
        </w:rPr>
        <w:t xml:space="preserve">2.1.12. </w:t>
      </w:r>
      <w:proofErr w:type="spellStart"/>
      <w:r w:rsidRPr="00E16672">
        <w:rPr>
          <w:rFonts w:ascii="Times New Roman" w:eastAsia="Arial Unicode MS" w:hAnsi="Times New Roman"/>
          <w:szCs w:val="20"/>
        </w:rPr>
        <w:t>Ознайомити</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Емітента</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із</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внутрішніми</w:t>
      </w:r>
      <w:proofErr w:type="spellEnd"/>
      <w:r w:rsidRPr="00E16672">
        <w:rPr>
          <w:rFonts w:ascii="Times New Roman" w:eastAsia="Arial Unicode MS" w:hAnsi="Times New Roman"/>
          <w:szCs w:val="20"/>
        </w:rPr>
        <w:t xml:space="preserve"> документами (</w:t>
      </w:r>
      <w:proofErr w:type="spellStart"/>
      <w:r w:rsidRPr="00E16672">
        <w:rPr>
          <w:rFonts w:ascii="Times New Roman" w:eastAsia="Arial Unicode MS" w:hAnsi="Times New Roman"/>
          <w:szCs w:val="20"/>
        </w:rPr>
        <w:t>витягами</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із</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внутрішніх</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документів</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діючими</w:t>
      </w:r>
      <w:proofErr w:type="spellEnd"/>
      <w:r w:rsidRPr="00E16672">
        <w:rPr>
          <w:rFonts w:ascii="Times New Roman" w:eastAsia="Arial Unicode MS" w:hAnsi="Times New Roman"/>
          <w:szCs w:val="20"/>
        </w:rPr>
        <w:t xml:space="preserve"> тарифами, </w:t>
      </w:r>
      <w:proofErr w:type="spellStart"/>
      <w:r w:rsidRPr="00E16672">
        <w:rPr>
          <w:rFonts w:ascii="Times New Roman" w:eastAsia="Arial Unicode MS" w:hAnsi="Times New Roman"/>
          <w:szCs w:val="20"/>
        </w:rPr>
        <w:t>що</w:t>
      </w:r>
      <w:proofErr w:type="spellEnd"/>
      <w:r w:rsidRPr="00E16672">
        <w:rPr>
          <w:rFonts w:ascii="Times New Roman" w:eastAsia="Arial Unicode MS" w:hAnsi="Times New Roman"/>
          <w:szCs w:val="20"/>
        </w:rPr>
        <w:t xml:space="preserve"> є </w:t>
      </w:r>
      <w:proofErr w:type="spellStart"/>
      <w:r w:rsidRPr="00E16672">
        <w:rPr>
          <w:rFonts w:ascii="Times New Roman" w:eastAsia="Arial Unicode MS" w:hAnsi="Times New Roman"/>
          <w:szCs w:val="20"/>
        </w:rPr>
        <w:t>чинними</w:t>
      </w:r>
      <w:proofErr w:type="spellEnd"/>
      <w:r w:rsidRPr="00E16672">
        <w:rPr>
          <w:rFonts w:ascii="Times New Roman" w:eastAsia="Arial Unicode MS" w:hAnsi="Times New Roman"/>
          <w:szCs w:val="20"/>
        </w:rPr>
        <w:t xml:space="preserve"> на час </w:t>
      </w:r>
      <w:proofErr w:type="spellStart"/>
      <w:r w:rsidRPr="00E16672">
        <w:rPr>
          <w:rFonts w:ascii="Times New Roman" w:eastAsia="Arial Unicode MS" w:hAnsi="Times New Roman"/>
          <w:szCs w:val="20"/>
        </w:rPr>
        <w:t>підписання</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цього</w:t>
      </w:r>
      <w:proofErr w:type="spellEnd"/>
      <w:r w:rsidRPr="00E16672">
        <w:rPr>
          <w:rFonts w:ascii="Times New Roman" w:eastAsia="Arial Unicode MS" w:hAnsi="Times New Roman"/>
          <w:szCs w:val="20"/>
        </w:rPr>
        <w:t xml:space="preserve"> Договору) </w:t>
      </w:r>
      <w:proofErr w:type="spellStart"/>
      <w:r w:rsidRPr="00E16672">
        <w:rPr>
          <w:rFonts w:ascii="Times New Roman" w:eastAsia="Arial Unicode MS" w:hAnsi="Times New Roman"/>
          <w:szCs w:val="20"/>
        </w:rPr>
        <w:t>Депозитарної</w:t>
      </w:r>
      <w:proofErr w:type="spellEnd"/>
      <w:r w:rsidRPr="00E16672">
        <w:rPr>
          <w:rFonts w:ascii="Times New Roman" w:eastAsia="Arial Unicode MS" w:hAnsi="Times New Roman"/>
          <w:szCs w:val="20"/>
        </w:rPr>
        <w:t xml:space="preserve"> установи, </w:t>
      </w:r>
      <w:proofErr w:type="spellStart"/>
      <w:r w:rsidRPr="00E16672">
        <w:rPr>
          <w:rFonts w:ascii="Times New Roman" w:eastAsia="Arial Unicode MS" w:hAnsi="Times New Roman"/>
          <w:szCs w:val="20"/>
        </w:rPr>
        <w:t>які</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регламентують</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відносини</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Емітента</w:t>
      </w:r>
      <w:proofErr w:type="spellEnd"/>
      <w:r w:rsidRPr="00E16672">
        <w:rPr>
          <w:rFonts w:ascii="Times New Roman" w:eastAsia="Arial Unicode MS" w:hAnsi="Times New Roman"/>
          <w:szCs w:val="20"/>
        </w:rPr>
        <w:t xml:space="preserve"> та </w:t>
      </w:r>
      <w:proofErr w:type="spellStart"/>
      <w:r w:rsidRPr="00E16672">
        <w:rPr>
          <w:rFonts w:ascii="Times New Roman" w:eastAsia="Arial Unicode MS" w:hAnsi="Times New Roman"/>
          <w:szCs w:val="20"/>
        </w:rPr>
        <w:t>Депозитарної</w:t>
      </w:r>
      <w:proofErr w:type="spellEnd"/>
      <w:r w:rsidRPr="00E16672">
        <w:rPr>
          <w:rFonts w:ascii="Times New Roman" w:eastAsia="Arial Unicode MS" w:hAnsi="Times New Roman"/>
          <w:szCs w:val="20"/>
        </w:rPr>
        <w:t xml:space="preserve"> установи </w:t>
      </w:r>
      <w:proofErr w:type="spellStart"/>
      <w:r w:rsidRPr="00E16672">
        <w:rPr>
          <w:rFonts w:ascii="Times New Roman" w:eastAsia="Arial Unicode MS" w:hAnsi="Times New Roman"/>
          <w:szCs w:val="20"/>
        </w:rPr>
        <w:t>стосовно</w:t>
      </w:r>
      <w:proofErr w:type="spellEnd"/>
      <w:r w:rsidRPr="00E16672">
        <w:rPr>
          <w:rFonts w:ascii="Times New Roman" w:eastAsia="Arial Unicode MS" w:hAnsi="Times New Roman"/>
          <w:szCs w:val="20"/>
        </w:rPr>
        <w:t xml:space="preserve"> порядку </w:t>
      </w:r>
      <w:proofErr w:type="spellStart"/>
      <w:r w:rsidRPr="00E16672">
        <w:rPr>
          <w:rFonts w:ascii="Times New Roman" w:eastAsia="Arial Unicode MS" w:hAnsi="Times New Roman"/>
          <w:szCs w:val="20"/>
        </w:rPr>
        <w:t>виконання</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розпоряджень</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Емітента</w:t>
      </w:r>
      <w:proofErr w:type="spellEnd"/>
      <w:r w:rsidRPr="00E16672">
        <w:rPr>
          <w:rFonts w:ascii="Times New Roman" w:eastAsia="Arial Unicode MS" w:hAnsi="Times New Roman"/>
          <w:szCs w:val="20"/>
        </w:rPr>
        <w:t xml:space="preserve">,  та </w:t>
      </w:r>
      <w:proofErr w:type="spellStart"/>
      <w:r w:rsidRPr="00E16672">
        <w:rPr>
          <w:rFonts w:ascii="Times New Roman" w:eastAsia="Arial Unicode MS" w:hAnsi="Times New Roman"/>
          <w:szCs w:val="20"/>
        </w:rPr>
        <w:t>інших</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інформаційних</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довідок</w:t>
      </w:r>
      <w:proofErr w:type="spellEnd"/>
      <w:r w:rsidRPr="00E16672">
        <w:rPr>
          <w:rFonts w:ascii="Times New Roman" w:eastAsia="Arial Unicode MS" w:hAnsi="Times New Roman"/>
          <w:szCs w:val="20"/>
        </w:rPr>
        <w:t xml:space="preserve">, шляхом </w:t>
      </w:r>
      <w:proofErr w:type="spellStart"/>
      <w:r w:rsidRPr="00E16672">
        <w:rPr>
          <w:rFonts w:ascii="Times New Roman" w:eastAsia="Arial Unicode MS" w:hAnsi="Times New Roman"/>
          <w:szCs w:val="20"/>
        </w:rPr>
        <w:t>оприлюднення</w:t>
      </w:r>
      <w:proofErr w:type="spellEnd"/>
      <w:r w:rsidRPr="00E16672">
        <w:rPr>
          <w:rFonts w:ascii="Times New Roman" w:eastAsia="Arial Unicode MS" w:hAnsi="Times New Roman"/>
          <w:szCs w:val="20"/>
        </w:rPr>
        <w:t xml:space="preserve"> на </w:t>
      </w:r>
      <w:proofErr w:type="spellStart"/>
      <w:r w:rsidRPr="00E16672">
        <w:rPr>
          <w:rFonts w:ascii="Times New Roman" w:eastAsia="Arial Unicode MS" w:hAnsi="Times New Roman"/>
          <w:szCs w:val="20"/>
        </w:rPr>
        <w:t>зовнішньому</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сайті</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Депозитарної</w:t>
      </w:r>
      <w:proofErr w:type="spellEnd"/>
      <w:r w:rsidRPr="00E16672">
        <w:rPr>
          <w:rFonts w:ascii="Times New Roman" w:eastAsia="Arial Unicode MS" w:hAnsi="Times New Roman"/>
          <w:szCs w:val="20"/>
        </w:rPr>
        <w:t xml:space="preserve"> установи </w:t>
      </w:r>
      <w:r w:rsidR="00E16672">
        <w:rPr>
          <w:rFonts w:ascii="Times New Roman" w:eastAsia="Arial Unicode MS" w:hAnsi="Times New Roman"/>
          <w:szCs w:val="20"/>
        </w:rPr>
        <w:t>http://comex.uafin.net</w:t>
      </w:r>
      <w:r w:rsidRPr="00E16672">
        <w:rPr>
          <w:rFonts w:ascii="Times New Roman" w:eastAsia="Arial Unicode MS" w:hAnsi="Times New Roman"/>
          <w:szCs w:val="20"/>
        </w:rPr>
        <w:t xml:space="preserve">, та в </w:t>
      </w:r>
      <w:proofErr w:type="spellStart"/>
      <w:r w:rsidRPr="00E16672">
        <w:rPr>
          <w:rFonts w:ascii="Times New Roman" w:eastAsia="Arial Unicode MS" w:hAnsi="Times New Roman"/>
          <w:szCs w:val="20"/>
        </w:rPr>
        <w:t>подальшому</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ознайомлювати</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Емітента</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зі</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змінами</w:t>
      </w:r>
      <w:proofErr w:type="spellEnd"/>
      <w:r w:rsidRPr="00E16672">
        <w:rPr>
          <w:rFonts w:ascii="Times New Roman" w:eastAsia="Arial Unicode MS" w:hAnsi="Times New Roman"/>
          <w:szCs w:val="20"/>
        </w:rPr>
        <w:t xml:space="preserve"> та </w:t>
      </w:r>
      <w:proofErr w:type="spellStart"/>
      <w:r w:rsidRPr="00E16672">
        <w:rPr>
          <w:rFonts w:ascii="Times New Roman" w:eastAsia="Arial Unicode MS" w:hAnsi="Times New Roman"/>
          <w:szCs w:val="20"/>
        </w:rPr>
        <w:t>доповненнями</w:t>
      </w:r>
      <w:proofErr w:type="spellEnd"/>
      <w:r w:rsidRPr="00E16672">
        <w:rPr>
          <w:rFonts w:ascii="Times New Roman" w:eastAsia="Arial Unicode MS" w:hAnsi="Times New Roman"/>
          <w:szCs w:val="20"/>
        </w:rPr>
        <w:t xml:space="preserve"> до </w:t>
      </w:r>
      <w:proofErr w:type="spellStart"/>
      <w:r w:rsidRPr="00E16672">
        <w:rPr>
          <w:rFonts w:ascii="Times New Roman" w:eastAsia="Arial Unicode MS" w:hAnsi="Times New Roman"/>
          <w:szCs w:val="20"/>
        </w:rPr>
        <w:t>цих</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документів</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витягів</w:t>
      </w:r>
      <w:proofErr w:type="spellEnd"/>
      <w:r w:rsidRPr="00E16672">
        <w:rPr>
          <w:rFonts w:ascii="Times New Roman" w:eastAsia="Arial Unicode MS" w:hAnsi="Times New Roman"/>
          <w:szCs w:val="20"/>
        </w:rPr>
        <w:t xml:space="preserve"> з </w:t>
      </w:r>
      <w:proofErr w:type="spellStart"/>
      <w:r w:rsidRPr="00E16672">
        <w:rPr>
          <w:rFonts w:ascii="Times New Roman" w:eastAsia="Arial Unicode MS" w:hAnsi="Times New Roman"/>
          <w:szCs w:val="20"/>
        </w:rPr>
        <w:t>внутрішніх</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документів</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діючих</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тарифів</w:t>
      </w:r>
      <w:proofErr w:type="spellEnd"/>
      <w:r w:rsidRPr="00E16672">
        <w:rPr>
          <w:rFonts w:ascii="Times New Roman" w:eastAsia="Arial Unicode MS" w:hAnsi="Times New Roman"/>
          <w:szCs w:val="20"/>
        </w:rPr>
        <w:t xml:space="preserve">) шляхом  </w:t>
      </w:r>
      <w:proofErr w:type="spellStart"/>
      <w:r w:rsidRPr="00E16672">
        <w:rPr>
          <w:rFonts w:ascii="Times New Roman" w:eastAsia="Arial Unicode MS" w:hAnsi="Times New Roman"/>
          <w:szCs w:val="20"/>
        </w:rPr>
        <w:t>розміщення</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протягом</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i/>
          <w:szCs w:val="20"/>
        </w:rPr>
        <w:t>п’яти</w:t>
      </w:r>
      <w:proofErr w:type="spellEnd"/>
      <w:r w:rsidRPr="00E16672">
        <w:rPr>
          <w:rFonts w:ascii="Times New Roman" w:eastAsia="Arial Unicode MS" w:hAnsi="Times New Roman"/>
          <w:i/>
          <w:szCs w:val="20"/>
        </w:rPr>
        <w:t xml:space="preserve"> </w:t>
      </w:r>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робочих</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днів</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після</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затвердження</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змін</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відповідної</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інформації</w:t>
      </w:r>
      <w:proofErr w:type="spellEnd"/>
      <w:r w:rsidRPr="00E16672">
        <w:rPr>
          <w:rFonts w:ascii="Times New Roman" w:eastAsia="Arial Unicode MS" w:hAnsi="Times New Roman"/>
          <w:szCs w:val="20"/>
        </w:rPr>
        <w:t xml:space="preserve"> та тексту </w:t>
      </w:r>
      <w:proofErr w:type="spellStart"/>
      <w:r w:rsidRPr="00E16672">
        <w:rPr>
          <w:rFonts w:ascii="Times New Roman" w:eastAsia="Arial Unicode MS" w:hAnsi="Times New Roman"/>
          <w:szCs w:val="20"/>
        </w:rPr>
        <w:t>внутрішніх</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документів</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витягів</w:t>
      </w:r>
      <w:proofErr w:type="spellEnd"/>
      <w:r w:rsidRPr="00E16672">
        <w:rPr>
          <w:rFonts w:ascii="Times New Roman" w:eastAsia="Arial Unicode MS" w:hAnsi="Times New Roman"/>
          <w:szCs w:val="20"/>
        </w:rPr>
        <w:t xml:space="preserve"> з </w:t>
      </w:r>
      <w:proofErr w:type="spellStart"/>
      <w:r w:rsidRPr="00E16672">
        <w:rPr>
          <w:rFonts w:ascii="Times New Roman" w:eastAsia="Arial Unicode MS" w:hAnsi="Times New Roman"/>
          <w:szCs w:val="20"/>
        </w:rPr>
        <w:t>внутрішніх</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документів</w:t>
      </w:r>
      <w:proofErr w:type="spellEnd"/>
      <w:r w:rsidRPr="00E16672">
        <w:rPr>
          <w:rFonts w:ascii="Times New Roman" w:eastAsia="Arial Unicode MS" w:hAnsi="Times New Roman"/>
          <w:szCs w:val="20"/>
        </w:rPr>
        <w:t xml:space="preserve">) на </w:t>
      </w:r>
      <w:proofErr w:type="spellStart"/>
      <w:r w:rsidRPr="00E16672">
        <w:rPr>
          <w:rFonts w:ascii="Times New Roman" w:eastAsia="Arial Unicode MS" w:hAnsi="Times New Roman"/>
          <w:szCs w:val="20"/>
        </w:rPr>
        <w:t>зовнішньому</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сайті</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Депозитарної</w:t>
      </w:r>
      <w:proofErr w:type="spellEnd"/>
      <w:r w:rsidRPr="00E16672">
        <w:rPr>
          <w:rFonts w:ascii="Times New Roman" w:eastAsia="Arial Unicode MS" w:hAnsi="Times New Roman"/>
          <w:szCs w:val="20"/>
        </w:rPr>
        <w:t xml:space="preserve"> установи </w:t>
      </w:r>
      <w:r w:rsidR="00E16672">
        <w:rPr>
          <w:rFonts w:ascii="Times New Roman" w:eastAsia="Arial Unicode MS" w:hAnsi="Times New Roman"/>
          <w:szCs w:val="20"/>
        </w:rPr>
        <w:t>http://comex.uafin.net</w:t>
      </w:r>
      <w:r w:rsidRPr="00E16672">
        <w:rPr>
          <w:rFonts w:ascii="Times New Roman" w:eastAsia="Arial Unicode MS" w:hAnsi="Times New Roman"/>
          <w:szCs w:val="20"/>
        </w:rPr>
        <w:t xml:space="preserve">. </w:t>
      </w:r>
    </w:p>
    <w:p w14:paraId="5352365D" w14:textId="77777777" w:rsidR="009018E7" w:rsidRPr="00E16672" w:rsidRDefault="009018E7" w:rsidP="00022F5F">
      <w:pPr>
        <w:jc w:val="left"/>
        <w:rPr>
          <w:rFonts w:ascii="Times New Roman" w:eastAsia="Arial Unicode MS" w:hAnsi="Times New Roman"/>
          <w:szCs w:val="20"/>
        </w:rPr>
      </w:pPr>
      <w:r w:rsidRPr="00E16672">
        <w:rPr>
          <w:rFonts w:ascii="Times New Roman" w:eastAsia="Arial Unicode MS" w:hAnsi="Times New Roman"/>
          <w:szCs w:val="20"/>
        </w:rPr>
        <w:lastRenderedPageBreak/>
        <w:t xml:space="preserve">2.1.13. </w:t>
      </w:r>
      <w:proofErr w:type="spellStart"/>
      <w:r w:rsidRPr="00E16672">
        <w:rPr>
          <w:rFonts w:ascii="Times New Roman" w:hAnsi="Times New Roman"/>
          <w:szCs w:val="20"/>
        </w:rPr>
        <w:t>Розкривати</w:t>
      </w:r>
      <w:proofErr w:type="spellEnd"/>
      <w:r w:rsidRPr="00E16672">
        <w:rPr>
          <w:rFonts w:ascii="Times New Roman" w:hAnsi="Times New Roman"/>
          <w:szCs w:val="20"/>
        </w:rPr>
        <w:t xml:space="preserve"> Ем</w:t>
      </w:r>
      <w:proofErr w:type="spellStart"/>
      <w:r w:rsidRPr="00E16672">
        <w:rPr>
          <w:rFonts w:ascii="Times New Roman" w:hAnsi="Times New Roman"/>
          <w:szCs w:val="20"/>
          <w:lang w:val="uk-UA"/>
        </w:rPr>
        <w:t>ітенту</w:t>
      </w:r>
      <w:proofErr w:type="spellEnd"/>
      <w:r w:rsidRPr="00E16672">
        <w:rPr>
          <w:rFonts w:ascii="Times New Roman" w:hAnsi="Times New Roman"/>
          <w:szCs w:val="20"/>
        </w:rPr>
        <w:t xml:space="preserve"> </w:t>
      </w:r>
      <w:proofErr w:type="spellStart"/>
      <w:r w:rsidRPr="00E16672">
        <w:rPr>
          <w:rFonts w:ascii="Times New Roman" w:hAnsi="Times New Roman"/>
          <w:szCs w:val="20"/>
        </w:rPr>
        <w:t>інформацію</w:t>
      </w:r>
      <w:proofErr w:type="spellEnd"/>
      <w:r w:rsidRPr="00E16672">
        <w:rPr>
          <w:rFonts w:ascii="Times New Roman" w:hAnsi="Times New Roman"/>
          <w:szCs w:val="20"/>
        </w:rPr>
        <w:t xml:space="preserve"> про </w:t>
      </w:r>
      <w:proofErr w:type="spellStart"/>
      <w:r w:rsidRPr="00E16672">
        <w:rPr>
          <w:rFonts w:ascii="Times New Roman" w:hAnsi="Times New Roman"/>
          <w:szCs w:val="20"/>
        </w:rPr>
        <w:t>умови</w:t>
      </w:r>
      <w:proofErr w:type="spellEnd"/>
      <w:r w:rsidRPr="00E16672">
        <w:rPr>
          <w:rFonts w:ascii="Times New Roman" w:hAnsi="Times New Roman"/>
          <w:szCs w:val="20"/>
        </w:rPr>
        <w:t xml:space="preserve"> та порядок </w:t>
      </w:r>
      <w:proofErr w:type="spellStart"/>
      <w:r w:rsidRPr="00E16672">
        <w:rPr>
          <w:rFonts w:ascii="Times New Roman" w:hAnsi="Times New Roman"/>
          <w:szCs w:val="20"/>
        </w:rPr>
        <w:t>діяльності</w:t>
      </w:r>
      <w:proofErr w:type="spellEnd"/>
      <w:r w:rsidRPr="00E16672">
        <w:rPr>
          <w:rFonts w:ascii="Times New Roman" w:hAnsi="Times New Roman"/>
          <w:szCs w:val="20"/>
        </w:rPr>
        <w:t xml:space="preserve"> </w:t>
      </w:r>
      <w:proofErr w:type="spellStart"/>
      <w:r w:rsidRPr="00E16672">
        <w:rPr>
          <w:rFonts w:ascii="Times New Roman" w:hAnsi="Times New Roman"/>
          <w:szCs w:val="20"/>
        </w:rPr>
        <w:t>депозитарної</w:t>
      </w:r>
      <w:proofErr w:type="spellEnd"/>
      <w:r w:rsidRPr="00E16672">
        <w:rPr>
          <w:rFonts w:ascii="Times New Roman" w:hAnsi="Times New Roman"/>
          <w:szCs w:val="20"/>
        </w:rPr>
        <w:t xml:space="preserve"> установи з </w:t>
      </w:r>
      <w:proofErr w:type="spellStart"/>
      <w:r w:rsidRPr="00E16672">
        <w:rPr>
          <w:rFonts w:ascii="Times New Roman" w:hAnsi="Times New Roman"/>
          <w:szCs w:val="20"/>
        </w:rPr>
        <w:t>урахуванням</w:t>
      </w:r>
      <w:proofErr w:type="spellEnd"/>
      <w:r w:rsidRPr="00E16672">
        <w:rPr>
          <w:rFonts w:ascii="Times New Roman" w:hAnsi="Times New Roman"/>
          <w:szCs w:val="20"/>
        </w:rPr>
        <w:t xml:space="preserve"> </w:t>
      </w:r>
      <w:proofErr w:type="spellStart"/>
      <w:r w:rsidRPr="00E16672">
        <w:rPr>
          <w:rFonts w:ascii="Times New Roman" w:hAnsi="Times New Roman"/>
          <w:szCs w:val="20"/>
        </w:rPr>
        <w:t>вимог</w:t>
      </w:r>
      <w:proofErr w:type="spellEnd"/>
      <w:r w:rsidRPr="00E16672">
        <w:rPr>
          <w:rFonts w:ascii="Times New Roman" w:hAnsi="Times New Roman"/>
          <w:szCs w:val="20"/>
        </w:rPr>
        <w:t xml:space="preserve">, </w:t>
      </w:r>
      <w:proofErr w:type="spellStart"/>
      <w:r w:rsidRPr="00E16672">
        <w:rPr>
          <w:rFonts w:ascii="Times New Roman" w:hAnsi="Times New Roman"/>
          <w:szCs w:val="20"/>
        </w:rPr>
        <w:t>встановлених</w:t>
      </w:r>
      <w:proofErr w:type="spellEnd"/>
      <w:r w:rsidRPr="00E16672">
        <w:rPr>
          <w:rFonts w:ascii="Times New Roman" w:hAnsi="Times New Roman"/>
          <w:szCs w:val="20"/>
        </w:rPr>
        <w:t> </w:t>
      </w:r>
      <w:proofErr w:type="spellStart"/>
      <w:r w:rsidRPr="00E16672">
        <w:rPr>
          <w:rFonts w:ascii="Times New Roman" w:hAnsi="Times New Roman"/>
          <w:szCs w:val="20"/>
        </w:rPr>
        <w:t>частиною</w:t>
      </w:r>
      <w:proofErr w:type="spellEnd"/>
      <w:r w:rsidRPr="00E16672">
        <w:rPr>
          <w:rFonts w:ascii="Times New Roman" w:hAnsi="Times New Roman"/>
          <w:szCs w:val="20"/>
        </w:rPr>
        <w:t xml:space="preserve"> </w:t>
      </w:r>
      <w:proofErr w:type="spellStart"/>
      <w:r w:rsidRPr="00E16672">
        <w:rPr>
          <w:rFonts w:ascii="Times New Roman" w:hAnsi="Times New Roman"/>
          <w:szCs w:val="20"/>
        </w:rPr>
        <w:t>першою</w:t>
      </w:r>
      <w:proofErr w:type="spellEnd"/>
      <w:r w:rsidRPr="00E16672">
        <w:rPr>
          <w:rFonts w:ascii="Times New Roman" w:hAnsi="Times New Roman"/>
          <w:szCs w:val="20"/>
        </w:rPr>
        <w:t xml:space="preserve"> </w:t>
      </w:r>
      <w:proofErr w:type="spellStart"/>
      <w:r w:rsidRPr="00E16672">
        <w:rPr>
          <w:rFonts w:ascii="Times New Roman" w:hAnsi="Times New Roman"/>
          <w:szCs w:val="20"/>
        </w:rPr>
        <w:t>статті</w:t>
      </w:r>
      <w:proofErr w:type="spellEnd"/>
      <w:r w:rsidRPr="00E16672">
        <w:rPr>
          <w:rFonts w:ascii="Times New Roman" w:hAnsi="Times New Roman"/>
          <w:szCs w:val="20"/>
        </w:rPr>
        <w:t xml:space="preserve"> 12 Закону </w:t>
      </w:r>
      <w:proofErr w:type="spellStart"/>
      <w:r w:rsidRPr="00E16672">
        <w:rPr>
          <w:rFonts w:ascii="Times New Roman" w:hAnsi="Times New Roman"/>
          <w:szCs w:val="20"/>
        </w:rPr>
        <w:t>України</w:t>
      </w:r>
      <w:proofErr w:type="spellEnd"/>
      <w:r w:rsidRPr="00E16672">
        <w:rPr>
          <w:rFonts w:ascii="Times New Roman" w:hAnsi="Times New Roman"/>
          <w:szCs w:val="20"/>
        </w:rPr>
        <w:t xml:space="preserve"> </w:t>
      </w:r>
      <w:r w:rsidR="00022F5F">
        <w:rPr>
          <w:rFonts w:ascii="Times New Roman" w:hAnsi="Times New Roman"/>
          <w:szCs w:val="20"/>
        </w:rPr>
        <w:t>"</w:t>
      </w:r>
      <w:r w:rsidRPr="00E16672">
        <w:rPr>
          <w:rFonts w:ascii="Times New Roman" w:hAnsi="Times New Roman"/>
          <w:szCs w:val="20"/>
        </w:rPr>
        <w:t xml:space="preserve">Про </w:t>
      </w:r>
      <w:proofErr w:type="spellStart"/>
      <w:r w:rsidRPr="00E16672">
        <w:rPr>
          <w:rFonts w:ascii="Times New Roman" w:hAnsi="Times New Roman"/>
          <w:szCs w:val="20"/>
        </w:rPr>
        <w:t>фінансові</w:t>
      </w:r>
      <w:proofErr w:type="spellEnd"/>
      <w:r w:rsidRPr="00E16672">
        <w:rPr>
          <w:rFonts w:ascii="Times New Roman" w:hAnsi="Times New Roman"/>
          <w:szCs w:val="20"/>
        </w:rPr>
        <w:t xml:space="preserve"> </w:t>
      </w:r>
      <w:proofErr w:type="spellStart"/>
      <w:r w:rsidRPr="00E16672">
        <w:rPr>
          <w:rFonts w:ascii="Times New Roman" w:hAnsi="Times New Roman"/>
          <w:szCs w:val="20"/>
        </w:rPr>
        <w:t>послуги</w:t>
      </w:r>
      <w:proofErr w:type="spellEnd"/>
      <w:r w:rsidRPr="00E16672">
        <w:rPr>
          <w:rFonts w:ascii="Times New Roman" w:hAnsi="Times New Roman"/>
          <w:szCs w:val="20"/>
        </w:rPr>
        <w:t xml:space="preserve"> та </w:t>
      </w:r>
      <w:proofErr w:type="spellStart"/>
      <w:r w:rsidRPr="00E16672">
        <w:rPr>
          <w:rFonts w:ascii="Times New Roman" w:hAnsi="Times New Roman"/>
          <w:szCs w:val="20"/>
        </w:rPr>
        <w:t>державне</w:t>
      </w:r>
      <w:proofErr w:type="spellEnd"/>
      <w:r w:rsidRPr="00E16672">
        <w:rPr>
          <w:rFonts w:ascii="Times New Roman" w:hAnsi="Times New Roman"/>
          <w:szCs w:val="20"/>
        </w:rPr>
        <w:t xml:space="preserve"> </w:t>
      </w:r>
      <w:proofErr w:type="spellStart"/>
      <w:r w:rsidRPr="00E16672">
        <w:rPr>
          <w:rFonts w:ascii="Times New Roman" w:hAnsi="Times New Roman"/>
          <w:szCs w:val="20"/>
        </w:rPr>
        <w:t>регулювання</w:t>
      </w:r>
      <w:proofErr w:type="spellEnd"/>
      <w:r w:rsidRPr="00E16672">
        <w:rPr>
          <w:rFonts w:ascii="Times New Roman" w:hAnsi="Times New Roman"/>
          <w:szCs w:val="20"/>
        </w:rPr>
        <w:t xml:space="preserve"> </w:t>
      </w:r>
      <w:proofErr w:type="spellStart"/>
      <w:r w:rsidRPr="00E16672">
        <w:rPr>
          <w:rFonts w:ascii="Times New Roman" w:hAnsi="Times New Roman"/>
          <w:szCs w:val="20"/>
        </w:rPr>
        <w:t>ринків</w:t>
      </w:r>
      <w:proofErr w:type="spellEnd"/>
      <w:r w:rsidRPr="00E16672">
        <w:rPr>
          <w:rFonts w:ascii="Times New Roman" w:hAnsi="Times New Roman"/>
          <w:szCs w:val="20"/>
        </w:rPr>
        <w:t xml:space="preserve"> </w:t>
      </w:r>
      <w:proofErr w:type="spellStart"/>
      <w:r w:rsidRPr="00E16672">
        <w:rPr>
          <w:rFonts w:ascii="Times New Roman" w:hAnsi="Times New Roman"/>
          <w:szCs w:val="20"/>
        </w:rPr>
        <w:t>фінансових</w:t>
      </w:r>
      <w:proofErr w:type="spellEnd"/>
      <w:r w:rsidRPr="00E16672">
        <w:rPr>
          <w:rFonts w:ascii="Times New Roman" w:hAnsi="Times New Roman"/>
          <w:szCs w:val="20"/>
        </w:rPr>
        <w:t xml:space="preserve"> </w:t>
      </w:r>
      <w:proofErr w:type="spellStart"/>
      <w:r w:rsidRPr="00E16672">
        <w:rPr>
          <w:rFonts w:ascii="Times New Roman" w:hAnsi="Times New Roman"/>
          <w:szCs w:val="20"/>
        </w:rPr>
        <w:t>послуг</w:t>
      </w:r>
      <w:proofErr w:type="spellEnd"/>
      <w:r w:rsidR="00022F5F">
        <w:rPr>
          <w:rFonts w:ascii="Times New Roman" w:hAnsi="Times New Roman"/>
          <w:szCs w:val="20"/>
        </w:rPr>
        <w:t>"</w:t>
      </w:r>
      <w:r w:rsidRPr="00E16672">
        <w:rPr>
          <w:rFonts w:ascii="Times New Roman" w:hAnsi="Times New Roman"/>
          <w:szCs w:val="20"/>
        </w:rPr>
        <w:t>.</w:t>
      </w:r>
    </w:p>
    <w:p w14:paraId="13FC6455" w14:textId="77777777" w:rsidR="009A7EA8" w:rsidRPr="00E16672" w:rsidRDefault="009A7EA8" w:rsidP="009A7EA8">
      <w:pPr>
        <w:tabs>
          <w:tab w:val="left" w:pos="0"/>
        </w:tabs>
        <w:rPr>
          <w:rFonts w:ascii="Times New Roman" w:eastAsia="Arial Unicode MS" w:hAnsi="Times New Roman"/>
          <w:b/>
          <w:bCs/>
          <w:color w:val="000000"/>
          <w:szCs w:val="20"/>
          <w:lang w:val="uk-UA"/>
        </w:rPr>
      </w:pPr>
    </w:p>
    <w:p w14:paraId="54A1BC7C" w14:textId="77777777" w:rsidR="009A7EA8" w:rsidRPr="00E16672" w:rsidRDefault="009A7EA8" w:rsidP="009A7EA8">
      <w:pPr>
        <w:tabs>
          <w:tab w:val="left" w:pos="0"/>
        </w:tabs>
        <w:rPr>
          <w:rFonts w:ascii="Times New Roman" w:eastAsia="Arial Unicode MS" w:hAnsi="Times New Roman"/>
          <w:b/>
          <w:bCs/>
          <w:szCs w:val="20"/>
        </w:rPr>
      </w:pPr>
      <w:r w:rsidRPr="00E16672">
        <w:rPr>
          <w:rFonts w:ascii="Times New Roman" w:eastAsia="Arial Unicode MS" w:hAnsi="Times New Roman"/>
          <w:b/>
          <w:bCs/>
          <w:szCs w:val="20"/>
        </w:rPr>
        <w:t xml:space="preserve">2.2. </w:t>
      </w:r>
      <w:proofErr w:type="spellStart"/>
      <w:r w:rsidRPr="00E16672">
        <w:rPr>
          <w:rFonts w:ascii="Times New Roman" w:eastAsia="Arial Unicode MS" w:hAnsi="Times New Roman"/>
          <w:b/>
          <w:bCs/>
          <w:szCs w:val="20"/>
        </w:rPr>
        <w:t>Депозитарна</w:t>
      </w:r>
      <w:proofErr w:type="spellEnd"/>
      <w:r w:rsidRPr="00E16672">
        <w:rPr>
          <w:rFonts w:ascii="Times New Roman" w:eastAsia="Arial Unicode MS" w:hAnsi="Times New Roman"/>
          <w:b/>
          <w:bCs/>
          <w:szCs w:val="20"/>
        </w:rPr>
        <w:t xml:space="preserve"> </w:t>
      </w:r>
      <w:proofErr w:type="spellStart"/>
      <w:r w:rsidRPr="00E16672">
        <w:rPr>
          <w:rFonts w:ascii="Times New Roman" w:eastAsia="Arial Unicode MS" w:hAnsi="Times New Roman"/>
          <w:b/>
          <w:bCs/>
          <w:szCs w:val="20"/>
        </w:rPr>
        <w:t>установа</w:t>
      </w:r>
      <w:proofErr w:type="spellEnd"/>
      <w:r w:rsidRPr="00E16672">
        <w:rPr>
          <w:rFonts w:ascii="Times New Roman" w:eastAsia="Arial Unicode MS" w:hAnsi="Times New Roman"/>
          <w:b/>
          <w:bCs/>
          <w:szCs w:val="20"/>
        </w:rPr>
        <w:t xml:space="preserve"> </w:t>
      </w:r>
      <w:proofErr w:type="spellStart"/>
      <w:r w:rsidRPr="00E16672">
        <w:rPr>
          <w:rFonts w:ascii="Times New Roman" w:eastAsia="Arial Unicode MS" w:hAnsi="Times New Roman"/>
          <w:b/>
          <w:bCs/>
          <w:szCs w:val="20"/>
        </w:rPr>
        <w:t>має</w:t>
      </w:r>
      <w:proofErr w:type="spellEnd"/>
      <w:r w:rsidRPr="00E16672">
        <w:rPr>
          <w:rFonts w:ascii="Times New Roman" w:eastAsia="Arial Unicode MS" w:hAnsi="Times New Roman"/>
          <w:b/>
          <w:bCs/>
          <w:szCs w:val="20"/>
        </w:rPr>
        <w:t xml:space="preserve"> право:</w:t>
      </w:r>
    </w:p>
    <w:p w14:paraId="5BC8D64F" w14:textId="77777777" w:rsidR="009A7EA8" w:rsidRPr="00E16672" w:rsidRDefault="009A7EA8" w:rsidP="009A7EA8">
      <w:pPr>
        <w:tabs>
          <w:tab w:val="left" w:pos="0"/>
        </w:tabs>
        <w:rPr>
          <w:rFonts w:ascii="Times New Roman" w:eastAsia="Arial Unicode MS" w:hAnsi="Times New Roman"/>
          <w:szCs w:val="20"/>
        </w:rPr>
      </w:pPr>
      <w:r w:rsidRPr="00E16672">
        <w:rPr>
          <w:rFonts w:ascii="Times New Roman" w:eastAsia="Arial Unicode MS" w:hAnsi="Times New Roman"/>
          <w:szCs w:val="20"/>
        </w:rPr>
        <w:t xml:space="preserve">2.2.1. </w:t>
      </w:r>
      <w:proofErr w:type="spellStart"/>
      <w:r w:rsidRPr="00E16672">
        <w:rPr>
          <w:rFonts w:ascii="Times New Roman" w:eastAsia="Arial Unicode MS" w:hAnsi="Times New Roman"/>
          <w:szCs w:val="20"/>
        </w:rPr>
        <w:t>Надавати</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Емітенту</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додаткові</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послуги</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надання</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яких</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передбачено</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чинним</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законодавством</w:t>
      </w:r>
      <w:proofErr w:type="spellEnd"/>
      <w:r w:rsidRPr="00E16672">
        <w:rPr>
          <w:rFonts w:ascii="Times New Roman" w:eastAsia="Arial Unicode MS" w:hAnsi="Times New Roman"/>
          <w:szCs w:val="20"/>
        </w:rPr>
        <w:t xml:space="preserve">, а </w:t>
      </w:r>
      <w:proofErr w:type="spellStart"/>
      <w:r w:rsidRPr="00E16672">
        <w:rPr>
          <w:rFonts w:ascii="Times New Roman" w:eastAsia="Arial Unicode MS" w:hAnsi="Times New Roman"/>
          <w:szCs w:val="20"/>
        </w:rPr>
        <w:t>саме</w:t>
      </w:r>
      <w:proofErr w:type="spellEnd"/>
      <w:r w:rsidRPr="00E16672">
        <w:rPr>
          <w:rFonts w:ascii="Times New Roman" w:eastAsia="Arial Unicode MS" w:hAnsi="Times New Roman"/>
          <w:szCs w:val="20"/>
        </w:rPr>
        <w:t>:</w:t>
      </w:r>
    </w:p>
    <w:p w14:paraId="42D278CE" w14:textId="77777777" w:rsidR="009A7EA8" w:rsidRPr="00E16672" w:rsidRDefault="009A7EA8" w:rsidP="009A7EA8">
      <w:pPr>
        <w:tabs>
          <w:tab w:val="left" w:pos="0"/>
        </w:tabs>
        <w:rPr>
          <w:rFonts w:ascii="Times New Roman" w:eastAsia="Arial Unicode MS" w:hAnsi="Times New Roman"/>
          <w:szCs w:val="20"/>
        </w:rPr>
      </w:pPr>
      <w:r w:rsidRPr="00E16672">
        <w:rPr>
          <w:rFonts w:ascii="Times New Roman" w:eastAsia="Arial Unicode MS" w:hAnsi="Times New Roman"/>
          <w:szCs w:val="20"/>
        </w:rPr>
        <w:t xml:space="preserve">2.2.1.1. </w:t>
      </w:r>
      <w:proofErr w:type="spellStart"/>
      <w:r w:rsidRPr="00E16672">
        <w:rPr>
          <w:rFonts w:ascii="Times New Roman" w:eastAsia="Arial Unicode MS" w:hAnsi="Times New Roman"/>
          <w:szCs w:val="20"/>
        </w:rPr>
        <w:t>Здійснювати</w:t>
      </w:r>
      <w:proofErr w:type="spellEnd"/>
      <w:r w:rsidRPr="00E16672">
        <w:rPr>
          <w:rFonts w:ascii="Times New Roman" w:eastAsia="Arial Unicode MS" w:hAnsi="Times New Roman"/>
          <w:szCs w:val="20"/>
        </w:rPr>
        <w:t xml:space="preserve"> для </w:t>
      </w:r>
      <w:proofErr w:type="spellStart"/>
      <w:r w:rsidRPr="00E16672">
        <w:rPr>
          <w:rFonts w:ascii="Times New Roman" w:eastAsia="Arial Unicode MS" w:hAnsi="Times New Roman"/>
          <w:szCs w:val="20"/>
        </w:rPr>
        <w:t>Емітента</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підготовку</w:t>
      </w:r>
      <w:proofErr w:type="spellEnd"/>
      <w:r w:rsidRPr="00E16672">
        <w:rPr>
          <w:rFonts w:ascii="Times New Roman" w:eastAsia="Arial Unicode MS" w:hAnsi="Times New Roman"/>
          <w:szCs w:val="20"/>
        </w:rPr>
        <w:t xml:space="preserve"> та </w:t>
      </w:r>
      <w:proofErr w:type="spellStart"/>
      <w:r w:rsidRPr="00E16672">
        <w:rPr>
          <w:rFonts w:ascii="Times New Roman" w:eastAsia="Arial Unicode MS" w:hAnsi="Times New Roman"/>
          <w:szCs w:val="20"/>
        </w:rPr>
        <w:t>надання</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довідково-аналітичних</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матеріалів</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що</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характеризують</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ринок</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цінних</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паперів</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консультування</w:t>
      </w:r>
      <w:proofErr w:type="spellEnd"/>
      <w:r w:rsidRPr="00E16672">
        <w:rPr>
          <w:rFonts w:ascii="Times New Roman" w:eastAsia="Arial Unicode MS" w:hAnsi="Times New Roman"/>
          <w:szCs w:val="20"/>
        </w:rPr>
        <w:t xml:space="preserve"> з </w:t>
      </w:r>
      <w:proofErr w:type="spellStart"/>
      <w:r w:rsidRPr="00E16672">
        <w:rPr>
          <w:rFonts w:ascii="Times New Roman" w:eastAsia="Arial Unicode MS" w:hAnsi="Times New Roman"/>
          <w:szCs w:val="20"/>
        </w:rPr>
        <w:t>питань</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обліку</w:t>
      </w:r>
      <w:proofErr w:type="spellEnd"/>
      <w:r w:rsidRPr="00E16672">
        <w:rPr>
          <w:rFonts w:ascii="Times New Roman" w:eastAsia="Arial Unicode MS" w:hAnsi="Times New Roman"/>
          <w:szCs w:val="20"/>
        </w:rPr>
        <w:t xml:space="preserve"> та/</w:t>
      </w:r>
      <w:proofErr w:type="spellStart"/>
      <w:r w:rsidRPr="00E16672">
        <w:rPr>
          <w:rFonts w:ascii="Times New Roman" w:eastAsia="Arial Unicode MS" w:hAnsi="Times New Roman"/>
          <w:szCs w:val="20"/>
        </w:rPr>
        <w:t>або</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обіг</w:t>
      </w:r>
      <w:r w:rsidR="00C22309" w:rsidRPr="00E16672">
        <w:rPr>
          <w:rFonts w:ascii="Times New Roman" w:eastAsia="Arial Unicode MS" w:hAnsi="Times New Roman"/>
          <w:szCs w:val="20"/>
        </w:rPr>
        <w:t>в</w:t>
      </w:r>
      <w:proofErr w:type="spellEnd"/>
      <w:r w:rsidR="00C22309" w:rsidRPr="00E16672">
        <w:rPr>
          <w:rFonts w:ascii="Times New Roman" w:eastAsia="Arial Unicode MS" w:hAnsi="Times New Roman"/>
          <w:szCs w:val="20"/>
        </w:rPr>
        <w:t xml:space="preserve"> </w:t>
      </w:r>
      <w:proofErr w:type="spellStart"/>
      <w:r w:rsidR="00C22309" w:rsidRPr="00E16672">
        <w:rPr>
          <w:rFonts w:ascii="Times New Roman" w:eastAsia="Arial Unicode MS" w:hAnsi="Times New Roman"/>
          <w:szCs w:val="20"/>
        </w:rPr>
        <w:t>цін</w:t>
      </w:r>
      <w:r w:rsidRPr="00E16672">
        <w:rPr>
          <w:rFonts w:ascii="Times New Roman" w:eastAsia="Arial Unicode MS" w:hAnsi="Times New Roman"/>
          <w:szCs w:val="20"/>
        </w:rPr>
        <w:t>них</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паперів</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чи</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інші</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послуги</w:t>
      </w:r>
      <w:proofErr w:type="spellEnd"/>
      <w:r w:rsidRPr="00E16672">
        <w:rPr>
          <w:rFonts w:ascii="Times New Roman" w:eastAsia="Arial Unicode MS" w:hAnsi="Times New Roman"/>
          <w:szCs w:val="20"/>
        </w:rPr>
        <w:t xml:space="preserve">, не </w:t>
      </w:r>
      <w:proofErr w:type="spellStart"/>
      <w:r w:rsidRPr="00E16672">
        <w:rPr>
          <w:rFonts w:ascii="Times New Roman" w:eastAsia="Arial Unicode MS" w:hAnsi="Times New Roman"/>
          <w:szCs w:val="20"/>
        </w:rPr>
        <w:t>заборонені</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законодавством</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щодо</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цінних</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паперів</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випущених</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Емітентом</w:t>
      </w:r>
      <w:proofErr w:type="spellEnd"/>
      <w:r w:rsidRPr="00E16672">
        <w:rPr>
          <w:rFonts w:ascii="Times New Roman" w:eastAsia="Arial Unicode MS" w:hAnsi="Times New Roman"/>
          <w:szCs w:val="20"/>
        </w:rPr>
        <w:t>.</w:t>
      </w:r>
    </w:p>
    <w:p w14:paraId="1F714417" w14:textId="77777777" w:rsidR="009A7EA8" w:rsidRPr="00E16672" w:rsidRDefault="009A7EA8" w:rsidP="009A7EA8">
      <w:pPr>
        <w:tabs>
          <w:tab w:val="left" w:pos="0"/>
        </w:tabs>
        <w:rPr>
          <w:rFonts w:ascii="Times New Roman" w:eastAsia="Arial Unicode MS" w:hAnsi="Times New Roman"/>
          <w:szCs w:val="20"/>
        </w:rPr>
      </w:pPr>
      <w:r w:rsidRPr="00E16672">
        <w:rPr>
          <w:rFonts w:ascii="Times New Roman" w:eastAsia="Arial Unicode MS" w:hAnsi="Times New Roman"/>
          <w:szCs w:val="20"/>
        </w:rPr>
        <w:t xml:space="preserve">2.2.2. </w:t>
      </w:r>
      <w:proofErr w:type="spellStart"/>
      <w:r w:rsidRPr="00E16672">
        <w:rPr>
          <w:rFonts w:ascii="Times New Roman" w:eastAsia="Arial Unicode MS" w:hAnsi="Times New Roman"/>
          <w:szCs w:val="20"/>
        </w:rPr>
        <w:t>Вимагати</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від</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Емітента</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належного</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виконання</w:t>
      </w:r>
      <w:proofErr w:type="spellEnd"/>
      <w:r w:rsidRPr="00E16672">
        <w:rPr>
          <w:rFonts w:ascii="Times New Roman" w:eastAsia="Arial Unicode MS" w:hAnsi="Times New Roman"/>
          <w:szCs w:val="20"/>
        </w:rPr>
        <w:t xml:space="preserve"> умов </w:t>
      </w:r>
      <w:proofErr w:type="spellStart"/>
      <w:r w:rsidRPr="00E16672">
        <w:rPr>
          <w:rFonts w:ascii="Times New Roman" w:eastAsia="Arial Unicode MS" w:hAnsi="Times New Roman"/>
          <w:szCs w:val="20"/>
        </w:rPr>
        <w:t>цього</w:t>
      </w:r>
      <w:proofErr w:type="spellEnd"/>
      <w:r w:rsidRPr="00E16672">
        <w:rPr>
          <w:rFonts w:ascii="Times New Roman" w:eastAsia="Arial Unicode MS" w:hAnsi="Times New Roman"/>
          <w:szCs w:val="20"/>
        </w:rPr>
        <w:t xml:space="preserve"> Договору.</w:t>
      </w:r>
      <w:bookmarkStart w:id="7" w:name="n60"/>
      <w:bookmarkEnd w:id="7"/>
    </w:p>
    <w:p w14:paraId="574DE43F" w14:textId="77777777" w:rsidR="009A7EA8" w:rsidRPr="00E16672" w:rsidRDefault="009A7EA8" w:rsidP="009A7EA8">
      <w:pPr>
        <w:tabs>
          <w:tab w:val="left" w:pos="0"/>
        </w:tabs>
        <w:rPr>
          <w:rFonts w:ascii="Times New Roman" w:eastAsia="Arial Unicode MS" w:hAnsi="Times New Roman"/>
          <w:szCs w:val="20"/>
        </w:rPr>
      </w:pPr>
      <w:r w:rsidRPr="00E16672">
        <w:rPr>
          <w:rFonts w:ascii="Times New Roman" w:eastAsia="Arial Unicode MS" w:hAnsi="Times New Roman"/>
          <w:szCs w:val="20"/>
        </w:rPr>
        <w:t xml:space="preserve">2.2.3. </w:t>
      </w:r>
      <w:proofErr w:type="spellStart"/>
      <w:r w:rsidRPr="00E16672">
        <w:rPr>
          <w:rFonts w:ascii="Times New Roman" w:eastAsia="Arial Unicode MS" w:hAnsi="Times New Roman"/>
          <w:szCs w:val="20"/>
        </w:rPr>
        <w:t>Вимагати</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від</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Емітента</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надання</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всіх</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документів</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необхідних</w:t>
      </w:r>
      <w:proofErr w:type="spellEnd"/>
      <w:r w:rsidRPr="00E16672">
        <w:rPr>
          <w:rFonts w:ascii="Times New Roman" w:eastAsia="Arial Unicode MS" w:hAnsi="Times New Roman"/>
          <w:szCs w:val="20"/>
        </w:rPr>
        <w:t xml:space="preserve"> для </w:t>
      </w:r>
      <w:proofErr w:type="spellStart"/>
      <w:r w:rsidRPr="00E16672">
        <w:rPr>
          <w:rFonts w:ascii="Times New Roman" w:eastAsia="Arial Unicode MS" w:hAnsi="Times New Roman"/>
          <w:szCs w:val="20"/>
        </w:rPr>
        <w:t>виконання</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обов’язків</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Депозитарної</w:t>
      </w:r>
      <w:proofErr w:type="spellEnd"/>
      <w:r w:rsidRPr="00E16672">
        <w:rPr>
          <w:rFonts w:ascii="Times New Roman" w:eastAsia="Arial Unicode MS" w:hAnsi="Times New Roman"/>
          <w:szCs w:val="20"/>
        </w:rPr>
        <w:t xml:space="preserve"> установи </w:t>
      </w:r>
      <w:proofErr w:type="spellStart"/>
      <w:r w:rsidRPr="00E16672">
        <w:rPr>
          <w:rFonts w:ascii="Times New Roman" w:eastAsia="Arial Unicode MS" w:hAnsi="Times New Roman"/>
          <w:szCs w:val="20"/>
        </w:rPr>
        <w:t>відповідно</w:t>
      </w:r>
      <w:proofErr w:type="spellEnd"/>
      <w:r w:rsidRPr="00E16672">
        <w:rPr>
          <w:rFonts w:ascii="Times New Roman" w:eastAsia="Arial Unicode MS" w:hAnsi="Times New Roman"/>
          <w:szCs w:val="20"/>
        </w:rPr>
        <w:t xml:space="preserve"> до п.1.1 у строки, </w:t>
      </w:r>
      <w:proofErr w:type="spellStart"/>
      <w:r w:rsidRPr="00E16672">
        <w:rPr>
          <w:rFonts w:ascii="Times New Roman" w:eastAsia="Arial Unicode MS" w:hAnsi="Times New Roman"/>
          <w:szCs w:val="20"/>
        </w:rPr>
        <w:t>встановлені</w:t>
      </w:r>
      <w:proofErr w:type="spellEnd"/>
      <w:r w:rsidRPr="00E16672">
        <w:rPr>
          <w:rFonts w:ascii="Times New Roman" w:eastAsia="Arial Unicode MS" w:hAnsi="Times New Roman"/>
          <w:szCs w:val="20"/>
        </w:rPr>
        <w:t xml:space="preserve"> Договором та/</w:t>
      </w:r>
      <w:proofErr w:type="spellStart"/>
      <w:r w:rsidRPr="00E16672">
        <w:rPr>
          <w:rFonts w:ascii="Times New Roman" w:eastAsia="Arial Unicode MS" w:hAnsi="Times New Roman"/>
          <w:szCs w:val="20"/>
        </w:rPr>
        <w:t>або</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внутрішніми</w:t>
      </w:r>
      <w:proofErr w:type="spellEnd"/>
      <w:r w:rsidRPr="00E16672">
        <w:rPr>
          <w:rFonts w:ascii="Times New Roman" w:eastAsia="Arial Unicode MS" w:hAnsi="Times New Roman"/>
          <w:szCs w:val="20"/>
        </w:rPr>
        <w:t xml:space="preserve"> документами </w:t>
      </w:r>
      <w:proofErr w:type="spellStart"/>
      <w:r w:rsidRPr="00E16672">
        <w:rPr>
          <w:rFonts w:ascii="Times New Roman" w:eastAsia="Arial Unicode MS" w:hAnsi="Times New Roman"/>
          <w:szCs w:val="20"/>
        </w:rPr>
        <w:t>Депозитарної</w:t>
      </w:r>
      <w:proofErr w:type="spellEnd"/>
      <w:r w:rsidRPr="00E16672">
        <w:rPr>
          <w:rFonts w:ascii="Times New Roman" w:eastAsia="Arial Unicode MS" w:hAnsi="Times New Roman"/>
          <w:szCs w:val="20"/>
        </w:rPr>
        <w:t xml:space="preserve"> установи.</w:t>
      </w:r>
    </w:p>
    <w:p w14:paraId="623A2013" w14:textId="77777777" w:rsidR="009A7EA8" w:rsidRPr="00E16672" w:rsidRDefault="009A7EA8" w:rsidP="009A7EA8">
      <w:pPr>
        <w:pStyle w:val="22"/>
        <w:tabs>
          <w:tab w:val="left" w:pos="0"/>
        </w:tabs>
        <w:ind w:firstLine="567"/>
        <w:rPr>
          <w:rFonts w:ascii="Times New Roman" w:eastAsia="Arial Unicode MS" w:hAnsi="Times New Roman"/>
        </w:rPr>
      </w:pPr>
      <w:r w:rsidRPr="00E16672">
        <w:rPr>
          <w:rFonts w:ascii="Times New Roman" w:eastAsia="Arial Unicode MS" w:hAnsi="Times New Roman"/>
        </w:rPr>
        <w:t>2.2.4. Згідно з чинним законодавством України, у випадку необхідності, вимагати від Емітента надання додаткових документів, відомостей та інформації, засвідчених та погоджених належним чином.</w:t>
      </w:r>
    </w:p>
    <w:p w14:paraId="6AED54E9" w14:textId="77777777" w:rsidR="009A7EA8" w:rsidRPr="00E16672" w:rsidRDefault="009A7EA8" w:rsidP="009A7EA8">
      <w:pPr>
        <w:tabs>
          <w:tab w:val="left" w:pos="0"/>
        </w:tabs>
        <w:rPr>
          <w:rFonts w:ascii="Times New Roman" w:eastAsia="Arial Unicode MS" w:hAnsi="Times New Roman"/>
          <w:szCs w:val="20"/>
          <w:lang w:val="uk-UA"/>
        </w:rPr>
      </w:pPr>
      <w:r w:rsidRPr="00E16672">
        <w:rPr>
          <w:rFonts w:ascii="Times New Roman" w:eastAsia="Arial Unicode MS" w:hAnsi="Times New Roman"/>
          <w:szCs w:val="20"/>
          <w:lang w:val="uk-UA"/>
        </w:rPr>
        <w:t xml:space="preserve">2.2.5. Відмовити у взятті розпорядження на надання реєстру та/або переліку власників іменних цінних паперів, довідково-аналітичних матеріалів, виписок і інформаційних довідок, іншої інформації щодо власників іменних цінних паперів, якщо: </w:t>
      </w:r>
    </w:p>
    <w:p w14:paraId="2DDF70F2" w14:textId="77777777" w:rsidR="009A7EA8" w:rsidRPr="00FA3078" w:rsidRDefault="009A7EA8" w:rsidP="00FA3078">
      <w:pPr>
        <w:pStyle w:val="aff5"/>
        <w:widowControl w:val="0"/>
        <w:numPr>
          <w:ilvl w:val="0"/>
          <w:numId w:val="44"/>
        </w:numPr>
        <w:tabs>
          <w:tab w:val="left" w:pos="0"/>
          <w:tab w:val="left" w:pos="360"/>
        </w:tabs>
        <w:ind w:left="567" w:firstLine="0"/>
        <w:rPr>
          <w:rFonts w:ascii="Times New Roman" w:eastAsia="Arial Unicode MS" w:hAnsi="Times New Roman"/>
          <w:szCs w:val="20"/>
        </w:rPr>
      </w:pPr>
      <w:proofErr w:type="spellStart"/>
      <w:r w:rsidRPr="00FA3078">
        <w:rPr>
          <w:rFonts w:ascii="Times New Roman" w:eastAsia="Arial Unicode MS" w:hAnsi="Times New Roman"/>
          <w:szCs w:val="20"/>
        </w:rPr>
        <w:t>розпорядження</w:t>
      </w:r>
      <w:proofErr w:type="spellEnd"/>
      <w:r w:rsidRPr="00FA3078">
        <w:rPr>
          <w:rFonts w:ascii="Times New Roman" w:eastAsia="Arial Unicode MS" w:hAnsi="Times New Roman"/>
          <w:szCs w:val="20"/>
        </w:rPr>
        <w:t xml:space="preserve"> не </w:t>
      </w:r>
      <w:proofErr w:type="spellStart"/>
      <w:r w:rsidRPr="00FA3078">
        <w:rPr>
          <w:rFonts w:ascii="Times New Roman" w:eastAsia="Arial Unicode MS" w:hAnsi="Times New Roman"/>
          <w:szCs w:val="20"/>
        </w:rPr>
        <w:t>містить</w:t>
      </w:r>
      <w:proofErr w:type="spellEnd"/>
      <w:r w:rsidRPr="00FA3078">
        <w:rPr>
          <w:rFonts w:ascii="Times New Roman" w:eastAsia="Arial Unicode MS" w:hAnsi="Times New Roman"/>
          <w:szCs w:val="20"/>
        </w:rPr>
        <w:t xml:space="preserve"> </w:t>
      </w:r>
      <w:proofErr w:type="spellStart"/>
      <w:r w:rsidRPr="00FA3078">
        <w:rPr>
          <w:rFonts w:ascii="Times New Roman" w:eastAsia="Arial Unicode MS" w:hAnsi="Times New Roman"/>
          <w:szCs w:val="20"/>
        </w:rPr>
        <w:t>обов'язкових</w:t>
      </w:r>
      <w:proofErr w:type="spellEnd"/>
      <w:r w:rsidRPr="00FA3078">
        <w:rPr>
          <w:rFonts w:ascii="Times New Roman" w:eastAsia="Arial Unicode MS" w:hAnsi="Times New Roman"/>
          <w:szCs w:val="20"/>
        </w:rPr>
        <w:t xml:space="preserve"> </w:t>
      </w:r>
      <w:proofErr w:type="spellStart"/>
      <w:r w:rsidRPr="00FA3078">
        <w:rPr>
          <w:rFonts w:ascii="Times New Roman" w:eastAsia="Arial Unicode MS" w:hAnsi="Times New Roman"/>
          <w:szCs w:val="20"/>
        </w:rPr>
        <w:t>реквізитів</w:t>
      </w:r>
      <w:proofErr w:type="spellEnd"/>
      <w:r w:rsidRPr="00FA3078">
        <w:rPr>
          <w:rFonts w:ascii="Times New Roman" w:eastAsia="Arial Unicode MS" w:hAnsi="Times New Roman"/>
          <w:szCs w:val="20"/>
        </w:rPr>
        <w:t xml:space="preserve"> </w:t>
      </w:r>
      <w:proofErr w:type="spellStart"/>
      <w:r w:rsidRPr="00FA3078">
        <w:rPr>
          <w:rFonts w:ascii="Times New Roman" w:eastAsia="Arial Unicode MS" w:hAnsi="Times New Roman"/>
          <w:szCs w:val="20"/>
        </w:rPr>
        <w:t>або</w:t>
      </w:r>
      <w:proofErr w:type="spellEnd"/>
      <w:r w:rsidRPr="00FA3078">
        <w:rPr>
          <w:rFonts w:ascii="Times New Roman" w:eastAsia="Arial Unicode MS" w:hAnsi="Times New Roman"/>
          <w:szCs w:val="20"/>
        </w:rPr>
        <w:t xml:space="preserve"> не </w:t>
      </w:r>
      <w:proofErr w:type="spellStart"/>
      <w:r w:rsidRPr="00FA3078">
        <w:rPr>
          <w:rFonts w:ascii="Times New Roman" w:eastAsia="Arial Unicode MS" w:hAnsi="Times New Roman"/>
          <w:szCs w:val="20"/>
        </w:rPr>
        <w:t>відповідає</w:t>
      </w:r>
      <w:proofErr w:type="spellEnd"/>
      <w:r w:rsidRPr="00FA3078">
        <w:rPr>
          <w:rFonts w:ascii="Times New Roman" w:eastAsia="Arial Unicode MS" w:hAnsi="Times New Roman"/>
          <w:szCs w:val="20"/>
        </w:rPr>
        <w:t xml:space="preserve"> </w:t>
      </w:r>
      <w:proofErr w:type="spellStart"/>
      <w:r w:rsidRPr="00FA3078">
        <w:rPr>
          <w:rFonts w:ascii="Times New Roman" w:eastAsia="Arial Unicode MS" w:hAnsi="Times New Roman"/>
          <w:szCs w:val="20"/>
        </w:rPr>
        <w:t>вимогам</w:t>
      </w:r>
      <w:proofErr w:type="spellEnd"/>
      <w:r w:rsidRPr="00FA3078">
        <w:rPr>
          <w:rFonts w:ascii="Times New Roman" w:eastAsia="Arial Unicode MS" w:hAnsi="Times New Roman"/>
          <w:szCs w:val="20"/>
        </w:rPr>
        <w:t xml:space="preserve"> </w:t>
      </w:r>
      <w:proofErr w:type="spellStart"/>
      <w:r w:rsidRPr="00FA3078">
        <w:rPr>
          <w:rFonts w:ascii="Times New Roman" w:eastAsia="Arial Unicode MS" w:hAnsi="Times New Roman"/>
          <w:szCs w:val="20"/>
        </w:rPr>
        <w:t>законодавства</w:t>
      </w:r>
      <w:proofErr w:type="spellEnd"/>
      <w:r w:rsidRPr="00FA3078">
        <w:rPr>
          <w:rFonts w:ascii="Times New Roman" w:eastAsia="Arial Unicode MS" w:hAnsi="Times New Roman"/>
          <w:szCs w:val="20"/>
        </w:rPr>
        <w:t xml:space="preserve"> та/</w:t>
      </w:r>
      <w:proofErr w:type="spellStart"/>
      <w:r w:rsidRPr="00FA3078">
        <w:rPr>
          <w:rFonts w:ascii="Times New Roman" w:eastAsia="Arial Unicode MS" w:hAnsi="Times New Roman"/>
          <w:szCs w:val="20"/>
        </w:rPr>
        <w:t>або</w:t>
      </w:r>
      <w:proofErr w:type="spellEnd"/>
      <w:r w:rsidRPr="00FA3078">
        <w:rPr>
          <w:rFonts w:ascii="Times New Roman" w:eastAsia="Arial Unicode MS" w:hAnsi="Times New Roman"/>
          <w:szCs w:val="20"/>
        </w:rPr>
        <w:t xml:space="preserve"> </w:t>
      </w:r>
      <w:proofErr w:type="spellStart"/>
      <w:r w:rsidRPr="00FA3078">
        <w:rPr>
          <w:rFonts w:ascii="Times New Roman" w:eastAsia="Arial Unicode MS" w:hAnsi="Times New Roman"/>
          <w:szCs w:val="20"/>
        </w:rPr>
        <w:t>внутрішніх</w:t>
      </w:r>
      <w:proofErr w:type="spellEnd"/>
      <w:r w:rsidRPr="00FA3078">
        <w:rPr>
          <w:rFonts w:ascii="Times New Roman" w:eastAsia="Arial Unicode MS" w:hAnsi="Times New Roman"/>
          <w:szCs w:val="20"/>
        </w:rPr>
        <w:t xml:space="preserve"> </w:t>
      </w:r>
      <w:proofErr w:type="spellStart"/>
      <w:r w:rsidRPr="00FA3078">
        <w:rPr>
          <w:rFonts w:ascii="Times New Roman" w:eastAsia="Arial Unicode MS" w:hAnsi="Times New Roman"/>
          <w:szCs w:val="20"/>
        </w:rPr>
        <w:t>документів</w:t>
      </w:r>
      <w:proofErr w:type="spellEnd"/>
      <w:r w:rsidRPr="00FA3078">
        <w:rPr>
          <w:rFonts w:ascii="Times New Roman" w:eastAsia="Arial Unicode MS" w:hAnsi="Times New Roman"/>
          <w:szCs w:val="20"/>
        </w:rPr>
        <w:t xml:space="preserve"> </w:t>
      </w:r>
      <w:proofErr w:type="spellStart"/>
      <w:r w:rsidRPr="00FA3078">
        <w:rPr>
          <w:rFonts w:ascii="Times New Roman" w:eastAsia="Arial Unicode MS" w:hAnsi="Times New Roman"/>
          <w:szCs w:val="20"/>
        </w:rPr>
        <w:t>Депозитарної</w:t>
      </w:r>
      <w:proofErr w:type="spellEnd"/>
      <w:r w:rsidRPr="00FA3078">
        <w:rPr>
          <w:rFonts w:ascii="Times New Roman" w:eastAsia="Arial Unicode MS" w:hAnsi="Times New Roman"/>
          <w:szCs w:val="20"/>
        </w:rPr>
        <w:t xml:space="preserve"> установи; </w:t>
      </w:r>
    </w:p>
    <w:p w14:paraId="6FFCC8F4" w14:textId="77777777" w:rsidR="009A7EA8" w:rsidRPr="00FA3078" w:rsidRDefault="009A7EA8" w:rsidP="00FA3078">
      <w:pPr>
        <w:pStyle w:val="aff5"/>
        <w:widowControl w:val="0"/>
        <w:numPr>
          <w:ilvl w:val="0"/>
          <w:numId w:val="44"/>
        </w:numPr>
        <w:tabs>
          <w:tab w:val="left" w:pos="0"/>
          <w:tab w:val="left" w:pos="360"/>
        </w:tabs>
        <w:ind w:left="567" w:firstLine="0"/>
        <w:rPr>
          <w:rFonts w:ascii="Times New Roman" w:eastAsia="Arial Unicode MS" w:hAnsi="Times New Roman"/>
          <w:szCs w:val="20"/>
        </w:rPr>
      </w:pPr>
      <w:r w:rsidRPr="00FA3078">
        <w:rPr>
          <w:rFonts w:ascii="Times New Roman" w:eastAsia="Arial Unicode MS" w:hAnsi="Times New Roman"/>
          <w:szCs w:val="20"/>
        </w:rPr>
        <w:t xml:space="preserve">у </w:t>
      </w:r>
      <w:proofErr w:type="spellStart"/>
      <w:r w:rsidRPr="00FA3078">
        <w:rPr>
          <w:rFonts w:ascii="Times New Roman" w:eastAsia="Arial Unicode MS" w:hAnsi="Times New Roman"/>
          <w:szCs w:val="20"/>
        </w:rPr>
        <w:t>розпорядженні</w:t>
      </w:r>
      <w:proofErr w:type="spellEnd"/>
      <w:r w:rsidRPr="00FA3078">
        <w:rPr>
          <w:rFonts w:ascii="Times New Roman" w:eastAsia="Arial Unicode MS" w:hAnsi="Times New Roman"/>
          <w:szCs w:val="20"/>
        </w:rPr>
        <w:t xml:space="preserve">, яке </w:t>
      </w:r>
      <w:proofErr w:type="spellStart"/>
      <w:r w:rsidRPr="00FA3078">
        <w:rPr>
          <w:rFonts w:ascii="Times New Roman" w:eastAsia="Arial Unicode MS" w:hAnsi="Times New Roman"/>
          <w:szCs w:val="20"/>
        </w:rPr>
        <w:t>надане</w:t>
      </w:r>
      <w:proofErr w:type="spellEnd"/>
      <w:r w:rsidRPr="00FA3078">
        <w:rPr>
          <w:rFonts w:ascii="Times New Roman" w:eastAsia="Arial Unicode MS" w:hAnsi="Times New Roman"/>
          <w:szCs w:val="20"/>
        </w:rPr>
        <w:t xml:space="preserve"> </w:t>
      </w:r>
      <w:proofErr w:type="spellStart"/>
      <w:r w:rsidRPr="00FA3078">
        <w:rPr>
          <w:rFonts w:ascii="Times New Roman" w:eastAsia="Arial Unicode MS" w:hAnsi="Times New Roman"/>
          <w:szCs w:val="20"/>
        </w:rPr>
        <w:t>Депозитарній</w:t>
      </w:r>
      <w:proofErr w:type="spellEnd"/>
      <w:r w:rsidRPr="00FA3078">
        <w:rPr>
          <w:rFonts w:ascii="Times New Roman" w:eastAsia="Arial Unicode MS" w:hAnsi="Times New Roman"/>
          <w:szCs w:val="20"/>
        </w:rPr>
        <w:t xml:space="preserve"> </w:t>
      </w:r>
      <w:proofErr w:type="spellStart"/>
      <w:r w:rsidRPr="00FA3078">
        <w:rPr>
          <w:rFonts w:ascii="Times New Roman" w:eastAsia="Arial Unicode MS" w:hAnsi="Times New Roman"/>
          <w:szCs w:val="20"/>
        </w:rPr>
        <w:t>установі</w:t>
      </w:r>
      <w:proofErr w:type="spellEnd"/>
      <w:r w:rsidRPr="00FA3078">
        <w:rPr>
          <w:rFonts w:ascii="Times New Roman" w:eastAsia="Arial Unicode MS" w:hAnsi="Times New Roman"/>
          <w:szCs w:val="20"/>
        </w:rPr>
        <w:t xml:space="preserve">, </w:t>
      </w:r>
      <w:proofErr w:type="spellStart"/>
      <w:r w:rsidRPr="00FA3078">
        <w:rPr>
          <w:rFonts w:ascii="Times New Roman" w:eastAsia="Arial Unicode MS" w:hAnsi="Times New Roman"/>
          <w:szCs w:val="20"/>
        </w:rPr>
        <w:t>виявлена</w:t>
      </w:r>
      <w:proofErr w:type="spellEnd"/>
      <w:r w:rsidRPr="00FA3078">
        <w:rPr>
          <w:rFonts w:ascii="Times New Roman" w:eastAsia="Arial Unicode MS" w:hAnsi="Times New Roman"/>
          <w:szCs w:val="20"/>
        </w:rPr>
        <w:t xml:space="preserve"> </w:t>
      </w:r>
      <w:proofErr w:type="spellStart"/>
      <w:r w:rsidRPr="00FA3078">
        <w:rPr>
          <w:rFonts w:ascii="Times New Roman" w:eastAsia="Arial Unicode MS" w:hAnsi="Times New Roman"/>
          <w:szCs w:val="20"/>
        </w:rPr>
        <w:t>невідповідність</w:t>
      </w:r>
      <w:proofErr w:type="spellEnd"/>
      <w:r w:rsidRPr="00FA3078">
        <w:rPr>
          <w:rFonts w:ascii="Times New Roman" w:eastAsia="Arial Unicode MS" w:hAnsi="Times New Roman"/>
          <w:szCs w:val="20"/>
        </w:rPr>
        <w:t xml:space="preserve"> </w:t>
      </w:r>
      <w:proofErr w:type="spellStart"/>
      <w:r w:rsidRPr="00FA3078">
        <w:rPr>
          <w:rFonts w:ascii="Times New Roman" w:eastAsia="Arial Unicode MS" w:hAnsi="Times New Roman"/>
          <w:szCs w:val="20"/>
        </w:rPr>
        <w:t>підпису</w:t>
      </w:r>
      <w:proofErr w:type="spellEnd"/>
      <w:r w:rsidRPr="00FA3078">
        <w:rPr>
          <w:rFonts w:ascii="Times New Roman" w:eastAsia="Arial Unicode MS" w:hAnsi="Times New Roman"/>
          <w:szCs w:val="20"/>
        </w:rPr>
        <w:t xml:space="preserve"> </w:t>
      </w:r>
      <w:proofErr w:type="spellStart"/>
      <w:r w:rsidRPr="00FA3078">
        <w:rPr>
          <w:rFonts w:ascii="Times New Roman" w:eastAsia="Arial Unicode MS" w:hAnsi="Times New Roman"/>
          <w:szCs w:val="20"/>
        </w:rPr>
        <w:t>Емітента</w:t>
      </w:r>
      <w:proofErr w:type="spellEnd"/>
      <w:r w:rsidRPr="00FA3078">
        <w:rPr>
          <w:rFonts w:ascii="Times New Roman" w:eastAsia="Arial Unicode MS" w:hAnsi="Times New Roman"/>
          <w:szCs w:val="20"/>
        </w:rPr>
        <w:t xml:space="preserve"> та/</w:t>
      </w:r>
      <w:proofErr w:type="spellStart"/>
      <w:r w:rsidRPr="00FA3078">
        <w:rPr>
          <w:rFonts w:ascii="Times New Roman" w:eastAsia="Arial Unicode MS" w:hAnsi="Times New Roman"/>
          <w:szCs w:val="20"/>
        </w:rPr>
        <w:t>або</w:t>
      </w:r>
      <w:proofErr w:type="spellEnd"/>
      <w:r w:rsidRPr="00FA3078">
        <w:rPr>
          <w:rFonts w:ascii="Times New Roman" w:eastAsia="Arial Unicode MS" w:hAnsi="Times New Roman"/>
          <w:szCs w:val="20"/>
        </w:rPr>
        <w:t xml:space="preserve"> печатки на </w:t>
      </w:r>
      <w:proofErr w:type="spellStart"/>
      <w:r w:rsidRPr="00FA3078">
        <w:rPr>
          <w:rFonts w:ascii="Times New Roman" w:eastAsia="Arial Unicode MS" w:hAnsi="Times New Roman"/>
          <w:szCs w:val="20"/>
        </w:rPr>
        <w:t>розпорядженні</w:t>
      </w:r>
      <w:proofErr w:type="spellEnd"/>
      <w:r w:rsidRPr="00FA3078">
        <w:rPr>
          <w:rFonts w:ascii="Times New Roman" w:eastAsia="Arial Unicode MS" w:hAnsi="Times New Roman"/>
          <w:szCs w:val="20"/>
        </w:rPr>
        <w:t xml:space="preserve"> </w:t>
      </w:r>
      <w:proofErr w:type="spellStart"/>
      <w:r w:rsidRPr="00FA3078">
        <w:rPr>
          <w:rFonts w:ascii="Times New Roman" w:eastAsia="Arial Unicode MS" w:hAnsi="Times New Roman"/>
          <w:szCs w:val="20"/>
        </w:rPr>
        <w:t>зразку</w:t>
      </w:r>
      <w:proofErr w:type="spellEnd"/>
      <w:r w:rsidRPr="00FA3078">
        <w:rPr>
          <w:rFonts w:ascii="Times New Roman" w:eastAsia="Arial Unicode MS" w:hAnsi="Times New Roman"/>
          <w:szCs w:val="20"/>
        </w:rPr>
        <w:t xml:space="preserve"> </w:t>
      </w:r>
      <w:proofErr w:type="spellStart"/>
      <w:r w:rsidRPr="00FA3078">
        <w:rPr>
          <w:rFonts w:ascii="Times New Roman" w:eastAsia="Arial Unicode MS" w:hAnsi="Times New Roman"/>
          <w:szCs w:val="20"/>
        </w:rPr>
        <w:t>підпису</w:t>
      </w:r>
      <w:proofErr w:type="spellEnd"/>
      <w:r w:rsidRPr="00FA3078">
        <w:rPr>
          <w:rFonts w:ascii="Times New Roman" w:eastAsia="Arial Unicode MS" w:hAnsi="Times New Roman"/>
          <w:szCs w:val="20"/>
        </w:rPr>
        <w:t xml:space="preserve"> </w:t>
      </w:r>
      <w:proofErr w:type="spellStart"/>
      <w:r w:rsidRPr="00FA3078">
        <w:rPr>
          <w:rFonts w:ascii="Times New Roman" w:eastAsia="Arial Unicode MS" w:hAnsi="Times New Roman"/>
          <w:szCs w:val="20"/>
        </w:rPr>
        <w:t>Емітента</w:t>
      </w:r>
      <w:proofErr w:type="spellEnd"/>
      <w:r w:rsidRPr="00FA3078">
        <w:rPr>
          <w:rFonts w:ascii="Times New Roman" w:eastAsia="Arial Unicode MS" w:hAnsi="Times New Roman"/>
          <w:szCs w:val="20"/>
        </w:rPr>
        <w:t xml:space="preserve"> та/</w:t>
      </w:r>
      <w:proofErr w:type="spellStart"/>
      <w:r w:rsidRPr="00FA3078">
        <w:rPr>
          <w:rFonts w:ascii="Times New Roman" w:eastAsia="Arial Unicode MS" w:hAnsi="Times New Roman"/>
          <w:szCs w:val="20"/>
        </w:rPr>
        <w:t>або</w:t>
      </w:r>
      <w:proofErr w:type="spellEnd"/>
      <w:r w:rsidRPr="00FA3078">
        <w:rPr>
          <w:rFonts w:ascii="Times New Roman" w:eastAsia="Arial Unicode MS" w:hAnsi="Times New Roman"/>
          <w:szCs w:val="20"/>
        </w:rPr>
        <w:t xml:space="preserve"> печатки </w:t>
      </w:r>
      <w:proofErr w:type="spellStart"/>
      <w:r w:rsidRPr="00FA3078">
        <w:rPr>
          <w:rFonts w:ascii="Times New Roman" w:eastAsia="Arial Unicode MS" w:hAnsi="Times New Roman"/>
          <w:szCs w:val="20"/>
        </w:rPr>
        <w:t>відповідно</w:t>
      </w:r>
      <w:proofErr w:type="spellEnd"/>
      <w:r w:rsidRPr="00FA3078">
        <w:rPr>
          <w:rFonts w:ascii="Times New Roman" w:eastAsia="Arial Unicode MS" w:hAnsi="Times New Roman"/>
          <w:szCs w:val="20"/>
        </w:rPr>
        <w:t xml:space="preserve">, </w:t>
      </w:r>
      <w:proofErr w:type="spellStart"/>
      <w:r w:rsidRPr="00FA3078">
        <w:rPr>
          <w:rFonts w:ascii="Times New Roman" w:eastAsia="Arial Unicode MS" w:hAnsi="Times New Roman"/>
          <w:szCs w:val="20"/>
        </w:rPr>
        <w:t>що</w:t>
      </w:r>
      <w:proofErr w:type="spellEnd"/>
      <w:r w:rsidRPr="00FA3078">
        <w:rPr>
          <w:rFonts w:ascii="Times New Roman" w:eastAsia="Arial Unicode MS" w:hAnsi="Times New Roman"/>
          <w:szCs w:val="20"/>
        </w:rPr>
        <w:t xml:space="preserve"> </w:t>
      </w:r>
      <w:proofErr w:type="spellStart"/>
      <w:r w:rsidRPr="00FA3078">
        <w:rPr>
          <w:rFonts w:ascii="Times New Roman" w:eastAsia="Arial Unicode MS" w:hAnsi="Times New Roman"/>
          <w:szCs w:val="20"/>
        </w:rPr>
        <w:t>містяться</w:t>
      </w:r>
      <w:proofErr w:type="spellEnd"/>
      <w:r w:rsidRPr="00FA3078">
        <w:rPr>
          <w:rFonts w:ascii="Times New Roman" w:eastAsia="Arial Unicode MS" w:hAnsi="Times New Roman"/>
          <w:szCs w:val="20"/>
        </w:rPr>
        <w:t xml:space="preserve"> в </w:t>
      </w:r>
      <w:proofErr w:type="spellStart"/>
      <w:r w:rsidRPr="00FA3078">
        <w:rPr>
          <w:rFonts w:ascii="Times New Roman" w:eastAsia="Arial Unicode MS" w:hAnsi="Times New Roman"/>
          <w:szCs w:val="20"/>
        </w:rPr>
        <w:t>картці</w:t>
      </w:r>
      <w:proofErr w:type="spellEnd"/>
      <w:r w:rsidRPr="00FA3078">
        <w:rPr>
          <w:rFonts w:ascii="Times New Roman" w:eastAsia="Arial Unicode MS" w:hAnsi="Times New Roman"/>
          <w:szCs w:val="20"/>
        </w:rPr>
        <w:t xml:space="preserve"> </w:t>
      </w:r>
      <w:proofErr w:type="spellStart"/>
      <w:r w:rsidRPr="00FA3078">
        <w:rPr>
          <w:rFonts w:ascii="Times New Roman" w:eastAsia="Arial Unicode MS" w:hAnsi="Times New Roman"/>
          <w:szCs w:val="20"/>
        </w:rPr>
        <w:t>зразків</w:t>
      </w:r>
      <w:proofErr w:type="spellEnd"/>
      <w:r w:rsidRPr="00FA3078">
        <w:rPr>
          <w:rFonts w:ascii="Times New Roman" w:eastAsia="Arial Unicode MS" w:hAnsi="Times New Roman"/>
          <w:szCs w:val="20"/>
        </w:rPr>
        <w:t xml:space="preserve"> </w:t>
      </w:r>
      <w:proofErr w:type="spellStart"/>
      <w:r w:rsidRPr="00FA3078">
        <w:rPr>
          <w:rFonts w:ascii="Times New Roman" w:eastAsia="Arial Unicode MS" w:hAnsi="Times New Roman"/>
          <w:szCs w:val="20"/>
        </w:rPr>
        <w:t>підписів</w:t>
      </w:r>
      <w:proofErr w:type="spellEnd"/>
      <w:r w:rsidRPr="00FA3078">
        <w:rPr>
          <w:rFonts w:ascii="Times New Roman" w:eastAsia="Arial Unicode MS" w:hAnsi="Times New Roman"/>
          <w:szCs w:val="20"/>
        </w:rPr>
        <w:t xml:space="preserve"> </w:t>
      </w:r>
      <w:proofErr w:type="spellStart"/>
      <w:r w:rsidRPr="00FA3078">
        <w:rPr>
          <w:rFonts w:ascii="Times New Roman" w:eastAsia="Arial Unicode MS" w:hAnsi="Times New Roman"/>
          <w:szCs w:val="20"/>
        </w:rPr>
        <w:t>Емітента</w:t>
      </w:r>
      <w:proofErr w:type="spellEnd"/>
      <w:r w:rsidRPr="00FA3078">
        <w:rPr>
          <w:rFonts w:ascii="Times New Roman" w:eastAsia="Arial Unicode MS" w:hAnsi="Times New Roman"/>
          <w:szCs w:val="20"/>
        </w:rPr>
        <w:t xml:space="preserve">, та </w:t>
      </w:r>
      <w:proofErr w:type="spellStart"/>
      <w:r w:rsidRPr="00FA3078">
        <w:rPr>
          <w:rFonts w:ascii="Times New Roman" w:eastAsia="Arial Unicode MS" w:hAnsi="Times New Roman"/>
          <w:szCs w:val="20"/>
        </w:rPr>
        <w:t>відбитку</w:t>
      </w:r>
      <w:proofErr w:type="spellEnd"/>
      <w:r w:rsidRPr="00FA3078">
        <w:rPr>
          <w:rFonts w:ascii="Times New Roman" w:eastAsia="Arial Unicode MS" w:hAnsi="Times New Roman"/>
          <w:szCs w:val="20"/>
        </w:rPr>
        <w:t xml:space="preserve"> печатки </w:t>
      </w:r>
      <w:proofErr w:type="spellStart"/>
      <w:r w:rsidRPr="00FA3078">
        <w:rPr>
          <w:rFonts w:ascii="Times New Roman" w:eastAsia="Arial Unicode MS" w:hAnsi="Times New Roman"/>
          <w:szCs w:val="20"/>
        </w:rPr>
        <w:t>Емітента</w:t>
      </w:r>
      <w:proofErr w:type="spellEnd"/>
      <w:r w:rsidRPr="00FA3078">
        <w:rPr>
          <w:rFonts w:ascii="Times New Roman" w:eastAsia="Arial Unicode MS" w:hAnsi="Times New Roman"/>
          <w:szCs w:val="20"/>
        </w:rPr>
        <w:t xml:space="preserve">; </w:t>
      </w:r>
    </w:p>
    <w:p w14:paraId="4FB63F10" w14:textId="77777777" w:rsidR="009A7EA8" w:rsidRPr="00FA3078" w:rsidRDefault="009A7EA8" w:rsidP="00FA3078">
      <w:pPr>
        <w:pStyle w:val="aff5"/>
        <w:widowControl w:val="0"/>
        <w:numPr>
          <w:ilvl w:val="0"/>
          <w:numId w:val="44"/>
        </w:numPr>
        <w:tabs>
          <w:tab w:val="left" w:pos="0"/>
          <w:tab w:val="left" w:pos="360"/>
        </w:tabs>
        <w:ind w:left="567" w:firstLine="0"/>
        <w:rPr>
          <w:rFonts w:ascii="Times New Roman" w:eastAsia="Arial Unicode MS" w:hAnsi="Times New Roman"/>
          <w:szCs w:val="20"/>
        </w:rPr>
      </w:pPr>
      <w:proofErr w:type="spellStart"/>
      <w:r w:rsidRPr="00FA3078">
        <w:rPr>
          <w:rFonts w:ascii="Times New Roman" w:eastAsia="Arial Unicode MS" w:hAnsi="Times New Roman"/>
          <w:szCs w:val="20"/>
        </w:rPr>
        <w:t>розпорядження</w:t>
      </w:r>
      <w:proofErr w:type="spellEnd"/>
      <w:r w:rsidRPr="00FA3078">
        <w:rPr>
          <w:rFonts w:ascii="Times New Roman" w:eastAsia="Arial Unicode MS" w:hAnsi="Times New Roman"/>
          <w:szCs w:val="20"/>
        </w:rPr>
        <w:t xml:space="preserve">, яке </w:t>
      </w:r>
      <w:proofErr w:type="spellStart"/>
      <w:r w:rsidRPr="00FA3078">
        <w:rPr>
          <w:rFonts w:ascii="Times New Roman" w:eastAsia="Arial Unicode MS" w:hAnsi="Times New Roman"/>
          <w:szCs w:val="20"/>
        </w:rPr>
        <w:t>надане</w:t>
      </w:r>
      <w:proofErr w:type="spellEnd"/>
      <w:r w:rsidRPr="00FA3078">
        <w:rPr>
          <w:rFonts w:ascii="Times New Roman" w:eastAsia="Arial Unicode MS" w:hAnsi="Times New Roman"/>
          <w:szCs w:val="20"/>
        </w:rPr>
        <w:t xml:space="preserve"> </w:t>
      </w:r>
      <w:proofErr w:type="spellStart"/>
      <w:r w:rsidRPr="00FA3078">
        <w:rPr>
          <w:rFonts w:ascii="Times New Roman" w:eastAsia="Arial Unicode MS" w:hAnsi="Times New Roman"/>
          <w:szCs w:val="20"/>
        </w:rPr>
        <w:t>Емітентом</w:t>
      </w:r>
      <w:proofErr w:type="spellEnd"/>
      <w:r w:rsidRPr="00FA3078">
        <w:rPr>
          <w:rFonts w:ascii="Times New Roman" w:eastAsia="Arial Unicode MS" w:hAnsi="Times New Roman"/>
          <w:szCs w:val="20"/>
        </w:rPr>
        <w:t xml:space="preserve">, </w:t>
      </w:r>
      <w:proofErr w:type="spellStart"/>
      <w:r w:rsidRPr="00FA3078">
        <w:rPr>
          <w:rFonts w:ascii="Times New Roman" w:eastAsia="Arial Unicode MS" w:hAnsi="Times New Roman"/>
          <w:szCs w:val="20"/>
        </w:rPr>
        <w:t>підписане</w:t>
      </w:r>
      <w:proofErr w:type="spellEnd"/>
      <w:r w:rsidRPr="00FA3078">
        <w:rPr>
          <w:rFonts w:ascii="Times New Roman" w:eastAsia="Arial Unicode MS" w:hAnsi="Times New Roman"/>
          <w:szCs w:val="20"/>
        </w:rPr>
        <w:t xml:space="preserve"> особою, строк </w:t>
      </w:r>
      <w:proofErr w:type="spellStart"/>
      <w:r w:rsidRPr="00FA3078">
        <w:rPr>
          <w:rFonts w:ascii="Times New Roman" w:eastAsia="Arial Unicode MS" w:hAnsi="Times New Roman"/>
          <w:szCs w:val="20"/>
        </w:rPr>
        <w:t>повноважень</w:t>
      </w:r>
      <w:proofErr w:type="spellEnd"/>
      <w:r w:rsidRPr="00FA3078">
        <w:rPr>
          <w:rFonts w:ascii="Times New Roman" w:eastAsia="Arial Unicode MS" w:hAnsi="Times New Roman"/>
          <w:szCs w:val="20"/>
        </w:rPr>
        <w:t xml:space="preserve"> </w:t>
      </w:r>
      <w:proofErr w:type="spellStart"/>
      <w:r w:rsidRPr="00FA3078">
        <w:rPr>
          <w:rFonts w:ascii="Times New Roman" w:eastAsia="Arial Unicode MS" w:hAnsi="Times New Roman"/>
          <w:szCs w:val="20"/>
        </w:rPr>
        <w:t>якої</w:t>
      </w:r>
      <w:proofErr w:type="spellEnd"/>
      <w:r w:rsidRPr="00FA3078">
        <w:rPr>
          <w:rFonts w:ascii="Times New Roman" w:eastAsia="Arial Unicode MS" w:hAnsi="Times New Roman"/>
          <w:szCs w:val="20"/>
        </w:rPr>
        <w:t xml:space="preserve"> </w:t>
      </w:r>
      <w:proofErr w:type="spellStart"/>
      <w:r w:rsidRPr="00FA3078">
        <w:rPr>
          <w:rFonts w:ascii="Times New Roman" w:eastAsia="Arial Unicode MS" w:hAnsi="Times New Roman"/>
          <w:szCs w:val="20"/>
        </w:rPr>
        <w:t>закінчився</w:t>
      </w:r>
      <w:proofErr w:type="spellEnd"/>
      <w:r w:rsidRPr="00FA3078">
        <w:rPr>
          <w:rFonts w:ascii="Times New Roman" w:eastAsia="Arial Unicode MS" w:hAnsi="Times New Roman"/>
          <w:szCs w:val="20"/>
        </w:rPr>
        <w:t xml:space="preserve">; </w:t>
      </w:r>
    </w:p>
    <w:p w14:paraId="1D9E1D8F" w14:textId="77777777" w:rsidR="009A7EA8" w:rsidRPr="00FA3078" w:rsidRDefault="009A7EA8" w:rsidP="00FA3078">
      <w:pPr>
        <w:pStyle w:val="aff5"/>
        <w:widowControl w:val="0"/>
        <w:numPr>
          <w:ilvl w:val="0"/>
          <w:numId w:val="44"/>
        </w:numPr>
        <w:tabs>
          <w:tab w:val="left" w:pos="0"/>
          <w:tab w:val="left" w:pos="360"/>
        </w:tabs>
        <w:ind w:left="567" w:firstLine="0"/>
        <w:rPr>
          <w:rFonts w:ascii="Times New Roman" w:eastAsia="Arial Unicode MS" w:hAnsi="Times New Roman"/>
          <w:szCs w:val="20"/>
        </w:rPr>
      </w:pPr>
      <w:proofErr w:type="spellStart"/>
      <w:r w:rsidRPr="00FA3078">
        <w:rPr>
          <w:rFonts w:ascii="Times New Roman" w:eastAsia="Arial Unicode MS" w:hAnsi="Times New Roman"/>
          <w:szCs w:val="20"/>
        </w:rPr>
        <w:t>розпорядження</w:t>
      </w:r>
      <w:proofErr w:type="spellEnd"/>
      <w:r w:rsidRPr="00FA3078">
        <w:rPr>
          <w:rFonts w:ascii="Times New Roman" w:eastAsia="Arial Unicode MS" w:hAnsi="Times New Roman"/>
          <w:szCs w:val="20"/>
        </w:rPr>
        <w:t xml:space="preserve"> </w:t>
      </w:r>
      <w:proofErr w:type="spellStart"/>
      <w:r w:rsidRPr="00FA3078">
        <w:rPr>
          <w:rFonts w:ascii="Times New Roman" w:eastAsia="Arial Unicode MS" w:hAnsi="Times New Roman"/>
          <w:szCs w:val="20"/>
        </w:rPr>
        <w:t>подане</w:t>
      </w:r>
      <w:proofErr w:type="spellEnd"/>
      <w:r w:rsidRPr="00FA3078">
        <w:rPr>
          <w:rFonts w:ascii="Times New Roman" w:eastAsia="Arial Unicode MS" w:hAnsi="Times New Roman"/>
          <w:szCs w:val="20"/>
        </w:rPr>
        <w:t xml:space="preserve"> з </w:t>
      </w:r>
      <w:proofErr w:type="spellStart"/>
      <w:r w:rsidRPr="00FA3078">
        <w:rPr>
          <w:rFonts w:ascii="Times New Roman" w:eastAsia="Arial Unicode MS" w:hAnsi="Times New Roman"/>
          <w:szCs w:val="20"/>
        </w:rPr>
        <w:t>порушенням</w:t>
      </w:r>
      <w:proofErr w:type="spellEnd"/>
      <w:r w:rsidRPr="00FA3078">
        <w:rPr>
          <w:rFonts w:ascii="Times New Roman" w:eastAsia="Arial Unicode MS" w:hAnsi="Times New Roman"/>
          <w:szCs w:val="20"/>
        </w:rPr>
        <w:t xml:space="preserve"> </w:t>
      </w:r>
      <w:proofErr w:type="spellStart"/>
      <w:r w:rsidRPr="00FA3078">
        <w:rPr>
          <w:rFonts w:ascii="Times New Roman" w:eastAsia="Arial Unicode MS" w:hAnsi="Times New Roman"/>
          <w:szCs w:val="20"/>
        </w:rPr>
        <w:t>строків</w:t>
      </w:r>
      <w:proofErr w:type="spellEnd"/>
      <w:r w:rsidRPr="00FA3078">
        <w:rPr>
          <w:rFonts w:ascii="Times New Roman" w:eastAsia="Arial Unicode MS" w:hAnsi="Times New Roman"/>
          <w:szCs w:val="20"/>
        </w:rPr>
        <w:t xml:space="preserve"> для </w:t>
      </w:r>
      <w:proofErr w:type="spellStart"/>
      <w:r w:rsidRPr="00FA3078">
        <w:rPr>
          <w:rFonts w:ascii="Times New Roman" w:eastAsia="Arial Unicode MS" w:hAnsi="Times New Roman"/>
          <w:szCs w:val="20"/>
        </w:rPr>
        <w:t>його</w:t>
      </w:r>
      <w:proofErr w:type="spellEnd"/>
      <w:r w:rsidRPr="00FA3078">
        <w:rPr>
          <w:rFonts w:ascii="Times New Roman" w:eastAsia="Arial Unicode MS" w:hAnsi="Times New Roman"/>
          <w:szCs w:val="20"/>
        </w:rPr>
        <w:t xml:space="preserve"> </w:t>
      </w:r>
      <w:proofErr w:type="spellStart"/>
      <w:r w:rsidRPr="00FA3078">
        <w:rPr>
          <w:rFonts w:ascii="Times New Roman" w:eastAsia="Arial Unicode MS" w:hAnsi="Times New Roman"/>
          <w:szCs w:val="20"/>
        </w:rPr>
        <w:t>надання</w:t>
      </w:r>
      <w:proofErr w:type="spellEnd"/>
      <w:r w:rsidRPr="00FA3078">
        <w:rPr>
          <w:rFonts w:ascii="Times New Roman" w:eastAsia="Arial Unicode MS" w:hAnsi="Times New Roman"/>
          <w:szCs w:val="20"/>
        </w:rPr>
        <w:t xml:space="preserve">; </w:t>
      </w:r>
    </w:p>
    <w:p w14:paraId="55E0BB22" w14:textId="77777777" w:rsidR="009A7EA8" w:rsidRPr="00FA3078" w:rsidRDefault="009A7EA8" w:rsidP="00FA3078">
      <w:pPr>
        <w:pStyle w:val="aff5"/>
        <w:widowControl w:val="0"/>
        <w:numPr>
          <w:ilvl w:val="0"/>
          <w:numId w:val="44"/>
        </w:numPr>
        <w:tabs>
          <w:tab w:val="left" w:pos="0"/>
          <w:tab w:val="left" w:pos="360"/>
        </w:tabs>
        <w:ind w:left="567" w:firstLine="0"/>
        <w:rPr>
          <w:rFonts w:ascii="Times New Roman" w:eastAsia="Arial Unicode MS" w:hAnsi="Times New Roman"/>
          <w:szCs w:val="20"/>
        </w:rPr>
      </w:pPr>
      <w:proofErr w:type="spellStart"/>
      <w:r w:rsidRPr="00FA3078">
        <w:rPr>
          <w:rFonts w:ascii="Times New Roman" w:eastAsia="Arial Unicode MS" w:hAnsi="Times New Roman"/>
          <w:szCs w:val="20"/>
        </w:rPr>
        <w:t>зазначена</w:t>
      </w:r>
      <w:proofErr w:type="spellEnd"/>
      <w:r w:rsidRPr="00FA3078">
        <w:rPr>
          <w:rFonts w:ascii="Times New Roman" w:eastAsia="Arial Unicode MS" w:hAnsi="Times New Roman"/>
          <w:szCs w:val="20"/>
        </w:rPr>
        <w:t xml:space="preserve"> у </w:t>
      </w:r>
      <w:proofErr w:type="spellStart"/>
      <w:r w:rsidRPr="00FA3078">
        <w:rPr>
          <w:rFonts w:ascii="Times New Roman" w:eastAsia="Arial Unicode MS" w:hAnsi="Times New Roman"/>
          <w:szCs w:val="20"/>
        </w:rPr>
        <w:t>розпорядженні</w:t>
      </w:r>
      <w:proofErr w:type="spellEnd"/>
      <w:r w:rsidRPr="00FA3078">
        <w:rPr>
          <w:rFonts w:ascii="Times New Roman" w:eastAsia="Arial Unicode MS" w:hAnsi="Times New Roman"/>
          <w:szCs w:val="20"/>
        </w:rPr>
        <w:t xml:space="preserve"> </w:t>
      </w:r>
      <w:proofErr w:type="spellStart"/>
      <w:r w:rsidRPr="00FA3078">
        <w:rPr>
          <w:rFonts w:ascii="Times New Roman" w:eastAsia="Arial Unicode MS" w:hAnsi="Times New Roman"/>
          <w:szCs w:val="20"/>
        </w:rPr>
        <w:t>підстава</w:t>
      </w:r>
      <w:proofErr w:type="spellEnd"/>
      <w:r w:rsidRPr="00FA3078">
        <w:rPr>
          <w:rFonts w:ascii="Times New Roman" w:eastAsia="Arial Unicode MS" w:hAnsi="Times New Roman"/>
          <w:szCs w:val="20"/>
        </w:rPr>
        <w:t xml:space="preserve"> для </w:t>
      </w:r>
      <w:proofErr w:type="spellStart"/>
      <w:r w:rsidRPr="00FA3078">
        <w:rPr>
          <w:rFonts w:ascii="Times New Roman" w:eastAsia="Arial Unicode MS" w:hAnsi="Times New Roman"/>
          <w:szCs w:val="20"/>
        </w:rPr>
        <w:t>надання</w:t>
      </w:r>
      <w:proofErr w:type="spellEnd"/>
      <w:r w:rsidRPr="00FA3078">
        <w:rPr>
          <w:rFonts w:ascii="Times New Roman" w:eastAsia="Arial Unicode MS" w:hAnsi="Times New Roman"/>
          <w:szCs w:val="20"/>
        </w:rPr>
        <w:t xml:space="preserve"> </w:t>
      </w:r>
      <w:proofErr w:type="spellStart"/>
      <w:r w:rsidRPr="00FA3078">
        <w:rPr>
          <w:rFonts w:ascii="Times New Roman" w:eastAsia="Arial Unicode MS" w:hAnsi="Times New Roman"/>
          <w:szCs w:val="20"/>
        </w:rPr>
        <w:t>реєстру</w:t>
      </w:r>
      <w:proofErr w:type="spellEnd"/>
      <w:r w:rsidRPr="00FA3078">
        <w:rPr>
          <w:rFonts w:ascii="Times New Roman" w:eastAsia="Arial Unicode MS" w:hAnsi="Times New Roman"/>
          <w:szCs w:val="20"/>
        </w:rPr>
        <w:t xml:space="preserve"> та/</w:t>
      </w:r>
      <w:proofErr w:type="spellStart"/>
      <w:r w:rsidRPr="00FA3078">
        <w:rPr>
          <w:rFonts w:ascii="Times New Roman" w:eastAsia="Arial Unicode MS" w:hAnsi="Times New Roman"/>
          <w:szCs w:val="20"/>
        </w:rPr>
        <w:t>або</w:t>
      </w:r>
      <w:proofErr w:type="spellEnd"/>
      <w:r w:rsidRPr="00FA3078">
        <w:rPr>
          <w:rFonts w:ascii="Times New Roman" w:eastAsia="Arial Unicode MS" w:hAnsi="Times New Roman"/>
          <w:szCs w:val="20"/>
        </w:rPr>
        <w:t xml:space="preserve"> </w:t>
      </w:r>
      <w:proofErr w:type="spellStart"/>
      <w:r w:rsidRPr="00FA3078">
        <w:rPr>
          <w:rFonts w:ascii="Times New Roman" w:eastAsia="Arial Unicode MS" w:hAnsi="Times New Roman"/>
          <w:szCs w:val="20"/>
        </w:rPr>
        <w:t>переліку</w:t>
      </w:r>
      <w:proofErr w:type="spellEnd"/>
      <w:r w:rsidRPr="00FA3078">
        <w:rPr>
          <w:rFonts w:ascii="Times New Roman" w:eastAsia="Arial Unicode MS" w:hAnsi="Times New Roman"/>
          <w:szCs w:val="20"/>
        </w:rPr>
        <w:t xml:space="preserve"> </w:t>
      </w:r>
      <w:proofErr w:type="spellStart"/>
      <w:r w:rsidRPr="00FA3078">
        <w:rPr>
          <w:rFonts w:ascii="Times New Roman" w:eastAsia="Arial Unicode MS" w:hAnsi="Times New Roman"/>
          <w:szCs w:val="20"/>
        </w:rPr>
        <w:t>власників</w:t>
      </w:r>
      <w:proofErr w:type="spellEnd"/>
      <w:r w:rsidRPr="00FA3078">
        <w:rPr>
          <w:rFonts w:ascii="Times New Roman" w:eastAsia="Arial Unicode MS" w:hAnsi="Times New Roman"/>
          <w:szCs w:val="20"/>
        </w:rPr>
        <w:t xml:space="preserve"> </w:t>
      </w:r>
      <w:proofErr w:type="spellStart"/>
      <w:r w:rsidRPr="00FA3078">
        <w:rPr>
          <w:rFonts w:ascii="Times New Roman" w:eastAsia="Arial Unicode MS" w:hAnsi="Times New Roman"/>
          <w:szCs w:val="20"/>
        </w:rPr>
        <w:t>іменних</w:t>
      </w:r>
      <w:proofErr w:type="spellEnd"/>
      <w:r w:rsidRPr="00FA3078">
        <w:rPr>
          <w:rFonts w:ascii="Times New Roman" w:eastAsia="Arial Unicode MS" w:hAnsi="Times New Roman"/>
          <w:szCs w:val="20"/>
        </w:rPr>
        <w:t xml:space="preserve"> </w:t>
      </w:r>
      <w:proofErr w:type="spellStart"/>
      <w:r w:rsidRPr="00FA3078">
        <w:rPr>
          <w:rFonts w:ascii="Times New Roman" w:eastAsia="Arial Unicode MS" w:hAnsi="Times New Roman"/>
          <w:szCs w:val="20"/>
        </w:rPr>
        <w:t>цінних</w:t>
      </w:r>
      <w:proofErr w:type="spellEnd"/>
      <w:r w:rsidRPr="00FA3078">
        <w:rPr>
          <w:rFonts w:ascii="Times New Roman" w:eastAsia="Arial Unicode MS" w:hAnsi="Times New Roman"/>
          <w:szCs w:val="20"/>
        </w:rPr>
        <w:t xml:space="preserve"> </w:t>
      </w:r>
      <w:proofErr w:type="spellStart"/>
      <w:r w:rsidRPr="00FA3078">
        <w:rPr>
          <w:rFonts w:ascii="Times New Roman" w:eastAsia="Arial Unicode MS" w:hAnsi="Times New Roman"/>
          <w:szCs w:val="20"/>
        </w:rPr>
        <w:t>паперів</w:t>
      </w:r>
      <w:proofErr w:type="spellEnd"/>
      <w:r w:rsidRPr="00FA3078">
        <w:rPr>
          <w:rFonts w:ascii="Times New Roman" w:eastAsia="Arial Unicode MS" w:hAnsi="Times New Roman"/>
          <w:szCs w:val="20"/>
        </w:rPr>
        <w:t xml:space="preserve">, </w:t>
      </w:r>
      <w:proofErr w:type="spellStart"/>
      <w:r w:rsidRPr="00FA3078">
        <w:rPr>
          <w:rFonts w:ascii="Times New Roman" w:eastAsia="Arial Unicode MS" w:hAnsi="Times New Roman"/>
          <w:szCs w:val="20"/>
        </w:rPr>
        <w:t>довідково-аналітичних</w:t>
      </w:r>
      <w:proofErr w:type="spellEnd"/>
      <w:r w:rsidRPr="00FA3078">
        <w:rPr>
          <w:rFonts w:ascii="Times New Roman" w:eastAsia="Arial Unicode MS" w:hAnsi="Times New Roman"/>
          <w:szCs w:val="20"/>
        </w:rPr>
        <w:t xml:space="preserve"> </w:t>
      </w:r>
      <w:proofErr w:type="spellStart"/>
      <w:r w:rsidRPr="00FA3078">
        <w:rPr>
          <w:rFonts w:ascii="Times New Roman" w:eastAsia="Arial Unicode MS" w:hAnsi="Times New Roman"/>
          <w:szCs w:val="20"/>
        </w:rPr>
        <w:t>матеріалів</w:t>
      </w:r>
      <w:proofErr w:type="spellEnd"/>
      <w:r w:rsidRPr="00FA3078">
        <w:rPr>
          <w:rFonts w:ascii="Times New Roman" w:eastAsia="Arial Unicode MS" w:hAnsi="Times New Roman"/>
          <w:szCs w:val="20"/>
        </w:rPr>
        <w:t xml:space="preserve">, </w:t>
      </w:r>
      <w:proofErr w:type="spellStart"/>
      <w:r w:rsidRPr="00FA3078">
        <w:rPr>
          <w:rFonts w:ascii="Times New Roman" w:eastAsia="Arial Unicode MS" w:hAnsi="Times New Roman"/>
          <w:szCs w:val="20"/>
        </w:rPr>
        <w:t>виписок</w:t>
      </w:r>
      <w:proofErr w:type="spellEnd"/>
      <w:r w:rsidRPr="00FA3078">
        <w:rPr>
          <w:rFonts w:ascii="Times New Roman" w:eastAsia="Arial Unicode MS" w:hAnsi="Times New Roman"/>
          <w:szCs w:val="20"/>
        </w:rPr>
        <w:t xml:space="preserve"> і </w:t>
      </w:r>
      <w:proofErr w:type="spellStart"/>
      <w:r w:rsidRPr="00FA3078">
        <w:rPr>
          <w:rFonts w:ascii="Times New Roman" w:eastAsia="Arial Unicode MS" w:hAnsi="Times New Roman"/>
          <w:szCs w:val="20"/>
        </w:rPr>
        <w:t>інформаційних</w:t>
      </w:r>
      <w:proofErr w:type="spellEnd"/>
      <w:r w:rsidRPr="00FA3078">
        <w:rPr>
          <w:rFonts w:ascii="Times New Roman" w:eastAsia="Arial Unicode MS" w:hAnsi="Times New Roman"/>
          <w:szCs w:val="20"/>
        </w:rPr>
        <w:t xml:space="preserve"> </w:t>
      </w:r>
      <w:proofErr w:type="spellStart"/>
      <w:r w:rsidRPr="00FA3078">
        <w:rPr>
          <w:rFonts w:ascii="Times New Roman" w:eastAsia="Arial Unicode MS" w:hAnsi="Times New Roman"/>
          <w:szCs w:val="20"/>
        </w:rPr>
        <w:t>довідок</w:t>
      </w:r>
      <w:proofErr w:type="spellEnd"/>
      <w:r w:rsidRPr="00FA3078">
        <w:rPr>
          <w:rFonts w:ascii="Times New Roman" w:eastAsia="Arial Unicode MS" w:hAnsi="Times New Roman"/>
          <w:szCs w:val="20"/>
        </w:rPr>
        <w:t xml:space="preserve">, </w:t>
      </w:r>
      <w:proofErr w:type="spellStart"/>
      <w:r w:rsidRPr="00FA3078">
        <w:rPr>
          <w:rFonts w:ascii="Times New Roman" w:eastAsia="Arial Unicode MS" w:hAnsi="Times New Roman"/>
          <w:szCs w:val="20"/>
        </w:rPr>
        <w:t>іншої</w:t>
      </w:r>
      <w:proofErr w:type="spellEnd"/>
      <w:r w:rsidRPr="00FA3078">
        <w:rPr>
          <w:rFonts w:ascii="Times New Roman" w:eastAsia="Arial Unicode MS" w:hAnsi="Times New Roman"/>
          <w:szCs w:val="20"/>
        </w:rPr>
        <w:t xml:space="preserve"> </w:t>
      </w:r>
      <w:proofErr w:type="spellStart"/>
      <w:r w:rsidRPr="00FA3078">
        <w:rPr>
          <w:rFonts w:ascii="Times New Roman" w:eastAsia="Arial Unicode MS" w:hAnsi="Times New Roman"/>
          <w:szCs w:val="20"/>
        </w:rPr>
        <w:t>інформації</w:t>
      </w:r>
      <w:proofErr w:type="spellEnd"/>
      <w:r w:rsidRPr="00FA3078">
        <w:rPr>
          <w:rFonts w:ascii="Times New Roman" w:eastAsia="Arial Unicode MS" w:hAnsi="Times New Roman"/>
          <w:szCs w:val="20"/>
        </w:rPr>
        <w:t xml:space="preserve"> </w:t>
      </w:r>
      <w:proofErr w:type="spellStart"/>
      <w:r w:rsidRPr="00FA3078">
        <w:rPr>
          <w:rFonts w:ascii="Times New Roman" w:eastAsia="Arial Unicode MS" w:hAnsi="Times New Roman"/>
          <w:szCs w:val="20"/>
        </w:rPr>
        <w:t>щодо</w:t>
      </w:r>
      <w:proofErr w:type="spellEnd"/>
      <w:r w:rsidRPr="00FA3078">
        <w:rPr>
          <w:rFonts w:ascii="Times New Roman" w:eastAsia="Arial Unicode MS" w:hAnsi="Times New Roman"/>
          <w:szCs w:val="20"/>
        </w:rPr>
        <w:t xml:space="preserve"> </w:t>
      </w:r>
      <w:proofErr w:type="spellStart"/>
      <w:r w:rsidRPr="00FA3078">
        <w:rPr>
          <w:rFonts w:ascii="Times New Roman" w:eastAsia="Arial Unicode MS" w:hAnsi="Times New Roman"/>
          <w:szCs w:val="20"/>
        </w:rPr>
        <w:t>власників</w:t>
      </w:r>
      <w:proofErr w:type="spellEnd"/>
      <w:r w:rsidRPr="00FA3078">
        <w:rPr>
          <w:rFonts w:ascii="Times New Roman" w:eastAsia="Arial Unicode MS" w:hAnsi="Times New Roman"/>
          <w:szCs w:val="20"/>
        </w:rPr>
        <w:t xml:space="preserve"> </w:t>
      </w:r>
      <w:proofErr w:type="spellStart"/>
      <w:r w:rsidRPr="00FA3078">
        <w:rPr>
          <w:rFonts w:ascii="Times New Roman" w:eastAsia="Arial Unicode MS" w:hAnsi="Times New Roman"/>
          <w:szCs w:val="20"/>
        </w:rPr>
        <w:t>іменних</w:t>
      </w:r>
      <w:proofErr w:type="spellEnd"/>
      <w:r w:rsidRPr="00FA3078">
        <w:rPr>
          <w:rFonts w:ascii="Times New Roman" w:eastAsia="Arial Unicode MS" w:hAnsi="Times New Roman"/>
          <w:szCs w:val="20"/>
        </w:rPr>
        <w:t xml:space="preserve"> </w:t>
      </w:r>
      <w:proofErr w:type="spellStart"/>
      <w:r w:rsidRPr="00FA3078">
        <w:rPr>
          <w:rFonts w:ascii="Times New Roman" w:eastAsia="Arial Unicode MS" w:hAnsi="Times New Roman"/>
          <w:szCs w:val="20"/>
        </w:rPr>
        <w:t>цінних</w:t>
      </w:r>
      <w:proofErr w:type="spellEnd"/>
      <w:r w:rsidRPr="00FA3078">
        <w:rPr>
          <w:rFonts w:ascii="Times New Roman" w:eastAsia="Arial Unicode MS" w:hAnsi="Times New Roman"/>
          <w:szCs w:val="20"/>
        </w:rPr>
        <w:t xml:space="preserve"> </w:t>
      </w:r>
      <w:proofErr w:type="spellStart"/>
      <w:r w:rsidRPr="00FA3078">
        <w:rPr>
          <w:rFonts w:ascii="Times New Roman" w:eastAsia="Arial Unicode MS" w:hAnsi="Times New Roman"/>
          <w:szCs w:val="20"/>
        </w:rPr>
        <w:t>паперів</w:t>
      </w:r>
      <w:proofErr w:type="spellEnd"/>
      <w:r w:rsidRPr="00FA3078">
        <w:rPr>
          <w:rFonts w:ascii="Times New Roman" w:eastAsia="Arial Unicode MS" w:hAnsi="Times New Roman"/>
          <w:szCs w:val="20"/>
        </w:rPr>
        <w:t xml:space="preserve"> не </w:t>
      </w:r>
      <w:proofErr w:type="spellStart"/>
      <w:r w:rsidRPr="00FA3078">
        <w:rPr>
          <w:rFonts w:ascii="Times New Roman" w:eastAsia="Arial Unicode MS" w:hAnsi="Times New Roman"/>
          <w:szCs w:val="20"/>
        </w:rPr>
        <w:t>передбачена</w:t>
      </w:r>
      <w:proofErr w:type="spellEnd"/>
      <w:r w:rsidRPr="00FA3078">
        <w:rPr>
          <w:rFonts w:ascii="Times New Roman" w:eastAsia="Arial Unicode MS" w:hAnsi="Times New Roman"/>
          <w:szCs w:val="20"/>
        </w:rPr>
        <w:t xml:space="preserve"> </w:t>
      </w:r>
      <w:proofErr w:type="spellStart"/>
      <w:r w:rsidRPr="00FA3078">
        <w:rPr>
          <w:rFonts w:ascii="Times New Roman" w:eastAsia="Arial Unicode MS" w:hAnsi="Times New Roman"/>
          <w:szCs w:val="20"/>
        </w:rPr>
        <w:t>законодавством</w:t>
      </w:r>
      <w:proofErr w:type="spellEnd"/>
      <w:r w:rsidRPr="00FA3078">
        <w:rPr>
          <w:rFonts w:ascii="Times New Roman" w:eastAsia="Arial Unicode MS" w:hAnsi="Times New Roman"/>
          <w:szCs w:val="20"/>
        </w:rPr>
        <w:t xml:space="preserve"> та/</w:t>
      </w:r>
      <w:proofErr w:type="spellStart"/>
      <w:r w:rsidRPr="00FA3078">
        <w:rPr>
          <w:rFonts w:ascii="Times New Roman" w:eastAsia="Arial Unicode MS" w:hAnsi="Times New Roman"/>
          <w:szCs w:val="20"/>
        </w:rPr>
        <w:t>або</w:t>
      </w:r>
      <w:proofErr w:type="spellEnd"/>
      <w:r w:rsidRPr="00FA3078">
        <w:rPr>
          <w:rFonts w:ascii="Times New Roman" w:eastAsia="Arial Unicode MS" w:hAnsi="Times New Roman"/>
          <w:szCs w:val="20"/>
        </w:rPr>
        <w:t xml:space="preserve"> </w:t>
      </w:r>
      <w:proofErr w:type="spellStart"/>
      <w:r w:rsidRPr="00FA3078">
        <w:rPr>
          <w:rFonts w:ascii="Times New Roman" w:eastAsia="Arial Unicode MS" w:hAnsi="Times New Roman"/>
          <w:szCs w:val="20"/>
        </w:rPr>
        <w:t>внутрішніми</w:t>
      </w:r>
      <w:proofErr w:type="spellEnd"/>
      <w:r w:rsidRPr="00FA3078">
        <w:rPr>
          <w:rFonts w:ascii="Times New Roman" w:eastAsia="Arial Unicode MS" w:hAnsi="Times New Roman"/>
          <w:szCs w:val="20"/>
        </w:rPr>
        <w:t xml:space="preserve"> документами </w:t>
      </w:r>
      <w:proofErr w:type="spellStart"/>
      <w:r w:rsidRPr="00FA3078">
        <w:rPr>
          <w:rFonts w:ascii="Times New Roman" w:eastAsia="Arial Unicode MS" w:hAnsi="Times New Roman"/>
          <w:szCs w:val="20"/>
        </w:rPr>
        <w:t>Депозитарної</w:t>
      </w:r>
      <w:proofErr w:type="spellEnd"/>
      <w:r w:rsidRPr="00FA3078">
        <w:rPr>
          <w:rFonts w:ascii="Times New Roman" w:eastAsia="Arial Unicode MS" w:hAnsi="Times New Roman"/>
          <w:szCs w:val="20"/>
        </w:rPr>
        <w:t xml:space="preserve"> установи; </w:t>
      </w:r>
    </w:p>
    <w:p w14:paraId="2977EC6E" w14:textId="77777777" w:rsidR="009A7EA8" w:rsidRPr="00E16672" w:rsidRDefault="009A7EA8" w:rsidP="00022F5F">
      <w:pPr>
        <w:tabs>
          <w:tab w:val="left" w:pos="0"/>
        </w:tabs>
        <w:jc w:val="left"/>
        <w:rPr>
          <w:rFonts w:ascii="Times New Roman" w:eastAsia="Arial Unicode MS" w:hAnsi="Times New Roman"/>
          <w:szCs w:val="20"/>
        </w:rPr>
      </w:pPr>
      <w:proofErr w:type="spellStart"/>
      <w:r w:rsidRPr="00E16672">
        <w:rPr>
          <w:rFonts w:ascii="Times New Roman" w:eastAsia="Arial Unicode MS" w:hAnsi="Times New Roman"/>
          <w:szCs w:val="20"/>
        </w:rPr>
        <w:t>Якщо</w:t>
      </w:r>
      <w:proofErr w:type="spellEnd"/>
      <w:r w:rsidRPr="00E16672">
        <w:rPr>
          <w:rFonts w:ascii="Times New Roman" w:eastAsia="Arial Unicode MS" w:hAnsi="Times New Roman"/>
          <w:szCs w:val="20"/>
        </w:rPr>
        <w:t xml:space="preserve"> у </w:t>
      </w:r>
      <w:proofErr w:type="spellStart"/>
      <w:r w:rsidRPr="00E16672">
        <w:rPr>
          <w:rFonts w:ascii="Times New Roman" w:eastAsia="Arial Unicode MS" w:hAnsi="Times New Roman"/>
          <w:szCs w:val="20"/>
        </w:rPr>
        <w:t>розпорядженні</w:t>
      </w:r>
      <w:proofErr w:type="spellEnd"/>
      <w:r w:rsidRPr="00E16672">
        <w:rPr>
          <w:rFonts w:ascii="Times New Roman" w:eastAsia="Arial Unicode MS" w:hAnsi="Times New Roman"/>
          <w:szCs w:val="20"/>
        </w:rPr>
        <w:t xml:space="preserve"> на </w:t>
      </w:r>
      <w:proofErr w:type="spellStart"/>
      <w:r w:rsidRPr="00E16672">
        <w:rPr>
          <w:rFonts w:ascii="Times New Roman" w:eastAsia="Arial Unicode MS" w:hAnsi="Times New Roman"/>
          <w:szCs w:val="20"/>
        </w:rPr>
        <w:t>надання</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реєстру</w:t>
      </w:r>
      <w:proofErr w:type="spellEnd"/>
      <w:r w:rsidRPr="00E16672">
        <w:rPr>
          <w:rFonts w:ascii="Times New Roman" w:eastAsia="Arial Unicode MS" w:hAnsi="Times New Roman"/>
          <w:szCs w:val="20"/>
        </w:rPr>
        <w:t xml:space="preserve"> та/</w:t>
      </w:r>
      <w:proofErr w:type="spellStart"/>
      <w:r w:rsidRPr="00E16672">
        <w:rPr>
          <w:rFonts w:ascii="Times New Roman" w:eastAsia="Arial Unicode MS" w:hAnsi="Times New Roman"/>
          <w:szCs w:val="20"/>
        </w:rPr>
        <w:t>або</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переліку</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власників</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іменних</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цінних</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паперів</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довідково-аналітичних</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матеріалів</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виписок</w:t>
      </w:r>
      <w:proofErr w:type="spellEnd"/>
      <w:r w:rsidRPr="00E16672">
        <w:rPr>
          <w:rFonts w:ascii="Times New Roman" w:eastAsia="Arial Unicode MS" w:hAnsi="Times New Roman"/>
          <w:szCs w:val="20"/>
        </w:rPr>
        <w:t xml:space="preserve"> і </w:t>
      </w:r>
      <w:proofErr w:type="spellStart"/>
      <w:r w:rsidRPr="00E16672">
        <w:rPr>
          <w:rFonts w:ascii="Times New Roman" w:eastAsia="Arial Unicode MS" w:hAnsi="Times New Roman"/>
          <w:szCs w:val="20"/>
        </w:rPr>
        <w:t>інформаційних</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довідок</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іншої</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інформації</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щодо</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власників</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іменних</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цінних</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паперів</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зазначена</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підстава</w:t>
      </w:r>
      <w:proofErr w:type="spellEnd"/>
      <w:r w:rsidRPr="00E16672">
        <w:rPr>
          <w:rFonts w:ascii="Times New Roman" w:eastAsia="Arial Unicode MS" w:hAnsi="Times New Roman"/>
          <w:szCs w:val="20"/>
        </w:rPr>
        <w:t xml:space="preserve"> </w:t>
      </w:r>
      <w:r w:rsidR="00022F5F">
        <w:rPr>
          <w:rFonts w:ascii="Times New Roman" w:eastAsia="Arial Unicode MS" w:hAnsi="Times New Roman"/>
          <w:szCs w:val="20"/>
        </w:rPr>
        <w:t>"</w:t>
      </w:r>
      <w:r w:rsidRPr="00E16672">
        <w:rPr>
          <w:rFonts w:ascii="Times New Roman" w:eastAsia="Arial Unicode MS" w:hAnsi="Times New Roman"/>
          <w:szCs w:val="20"/>
        </w:rPr>
        <w:t xml:space="preserve">в </w:t>
      </w:r>
      <w:proofErr w:type="spellStart"/>
      <w:r w:rsidRPr="00E16672">
        <w:rPr>
          <w:rFonts w:ascii="Times New Roman" w:eastAsia="Arial Unicode MS" w:hAnsi="Times New Roman"/>
          <w:szCs w:val="20"/>
        </w:rPr>
        <w:t>інших</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випадках</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які</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передбачені</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законодавством</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України</w:t>
      </w:r>
      <w:proofErr w:type="spellEnd"/>
      <w:r w:rsidR="00022F5F">
        <w:rPr>
          <w:rFonts w:ascii="Times New Roman" w:eastAsia="Arial Unicode MS" w:hAnsi="Times New Roman"/>
          <w:szCs w:val="20"/>
        </w:rPr>
        <w:t>"</w:t>
      </w:r>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воно</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має</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містити</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посилання</w:t>
      </w:r>
      <w:proofErr w:type="spellEnd"/>
      <w:r w:rsidRPr="00E16672">
        <w:rPr>
          <w:rFonts w:ascii="Times New Roman" w:eastAsia="Arial Unicode MS" w:hAnsi="Times New Roman"/>
          <w:szCs w:val="20"/>
        </w:rPr>
        <w:t xml:space="preserve"> на </w:t>
      </w:r>
      <w:proofErr w:type="spellStart"/>
      <w:r w:rsidRPr="00E16672">
        <w:rPr>
          <w:rFonts w:ascii="Times New Roman" w:eastAsia="Arial Unicode MS" w:hAnsi="Times New Roman"/>
          <w:szCs w:val="20"/>
        </w:rPr>
        <w:t>відповідну</w:t>
      </w:r>
      <w:proofErr w:type="spellEnd"/>
      <w:r w:rsidRPr="00E16672">
        <w:rPr>
          <w:rFonts w:ascii="Times New Roman" w:eastAsia="Arial Unicode MS" w:hAnsi="Times New Roman"/>
          <w:szCs w:val="20"/>
        </w:rPr>
        <w:t xml:space="preserve"> норму </w:t>
      </w:r>
      <w:proofErr w:type="spellStart"/>
      <w:r w:rsidRPr="00E16672">
        <w:rPr>
          <w:rFonts w:ascii="Times New Roman" w:eastAsia="Arial Unicode MS" w:hAnsi="Times New Roman"/>
          <w:szCs w:val="20"/>
        </w:rPr>
        <w:t>законодавства</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якою</w:t>
      </w:r>
      <w:proofErr w:type="spellEnd"/>
      <w:r w:rsidRPr="00E16672">
        <w:rPr>
          <w:rFonts w:ascii="Times New Roman" w:eastAsia="Arial Unicode MS" w:hAnsi="Times New Roman"/>
          <w:szCs w:val="20"/>
        </w:rPr>
        <w:t xml:space="preserve"> у такому конкретному </w:t>
      </w:r>
      <w:proofErr w:type="spellStart"/>
      <w:r w:rsidRPr="00E16672">
        <w:rPr>
          <w:rFonts w:ascii="Times New Roman" w:eastAsia="Arial Unicode MS" w:hAnsi="Times New Roman"/>
          <w:szCs w:val="20"/>
        </w:rPr>
        <w:t>випадку</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передбачено</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надання</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реєстру</w:t>
      </w:r>
      <w:proofErr w:type="spellEnd"/>
      <w:r w:rsidRPr="00E16672">
        <w:rPr>
          <w:rFonts w:ascii="Times New Roman" w:eastAsia="Arial Unicode MS" w:hAnsi="Times New Roman"/>
          <w:szCs w:val="20"/>
        </w:rPr>
        <w:t xml:space="preserve"> та/</w:t>
      </w:r>
      <w:proofErr w:type="spellStart"/>
      <w:r w:rsidRPr="00E16672">
        <w:rPr>
          <w:rFonts w:ascii="Times New Roman" w:eastAsia="Arial Unicode MS" w:hAnsi="Times New Roman"/>
          <w:szCs w:val="20"/>
        </w:rPr>
        <w:t>або</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переліку</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власників</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іменних</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цінних</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паперів</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довідково-аналітичних</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матеріалів</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виписок</w:t>
      </w:r>
      <w:proofErr w:type="spellEnd"/>
      <w:r w:rsidRPr="00E16672">
        <w:rPr>
          <w:rFonts w:ascii="Times New Roman" w:eastAsia="Arial Unicode MS" w:hAnsi="Times New Roman"/>
          <w:szCs w:val="20"/>
        </w:rPr>
        <w:t xml:space="preserve"> і </w:t>
      </w:r>
      <w:proofErr w:type="spellStart"/>
      <w:r w:rsidRPr="00E16672">
        <w:rPr>
          <w:rFonts w:ascii="Times New Roman" w:eastAsia="Arial Unicode MS" w:hAnsi="Times New Roman"/>
          <w:szCs w:val="20"/>
        </w:rPr>
        <w:t>інформаційних</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довідок</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іншої</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інформації</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щодо</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власників</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іменних</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цінних</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паперів</w:t>
      </w:r>
      <w:proofErr w:type="spellEnd"/>
      <w:r w:rsidRPr="00E16672">
        <w:rPr>
          <w:rFonts w:ascii="Times New Roman" w:eastAsia="Arial Unicode MS" w:hAnsi="Times New Roman"/>
          <w:szCs w:val="20"/>
        </w:rPr>
        <w:t>.</w:t>
      </w:r>
    </w:p>
    <w:p w14:paraId="78B61312" w14:textId="77777777" w:rsidR="009A7EA8" w:rsidRPr="00E16672" w:rsidRDefault="009A7EA8" w:rsidP="009A7EA8">
      <w:pPr>
        <w:pStyle w:val="310"/>
        <w:ind w:firstLine="561"/>
        <w:rPr>
          <w:rFonts w:ascii="Times New Roman" w:hAnsi="Times New Roman"/>
          <w:sz w:val="20"/>
          <w:szCs w:val="20"/>
        </w:rPr>
      </w:pPr>
      <w:r w:rsidRPr="00E16672">
        <w:rPr>
          <w:rFonts w:ascii="Times New Roman" w:hAnsi="Times New Roman"/>
          <w:sz w:val="20"/>
          <w:szCs w:val="20"/>
        </w:rPr>
        <w:t>2.2.6. Вносити зміни до внутрішніх документів Депозитарної установи та тарифів Депозитарної установи.</w:t>
      </w:r>
    </w:p>
    <w:p w14:paraId="7C0694F1" w14:textId="77777777" w:rsidR="009A7EA8" w:rsidRPr="00E16672" w:rsidRDefault="009A7EA8" w:rsidP="009A7EA8">
      <w:pPr>
        <w:rPr>
          <w:rFonts w:ascii="Times New Roman" w:eastAsia="Arial Unicode MS" w:hAnsi="Times New Roman"/>
          <w:b/>
          <w:bCs/>
          <w:szCs w:val="20"/>
          <w:lang w:val="uk-UA"/>
        </w:rPr>
      </w:pPr>
    </w:p>
    <w:p w14:paraId="238CE80D" w14:textId="77777777" w:rsidR="009A7EA8" w:rsidRPr="00E16672" w:rsidRDefault="009A7EA8" w:rsidP="009A7EA8">
      <w:pPr>
        <w:rPr>
          <w:rFonts w:ascii="Times New Roman" w:eastAsia="Arial Unicode MS" w:hAnsi="Times New Roman"/>
          <w:b/>
          <w:bCs/>
          <w:szCs w:val="20"/>
        </w:rPr>
      </w:pPr>
      <w:r w:rsidRPr="00E16672">
        <w:rPr>
          <w:rFonts w:ascii="Times New Roman" w:eastAsia="Arial Unicode MS" w:hAnsi="Times New Roman"/>
          <w:b/>
          <w:bCs/>
          <w:szCs w:val="20"/>
        </w:rPr>
        <w:t xml:space="preserve">2.3. </w:t>
      </w:r>
      <w:proofErr w:type="spellStart"/>
      <w:r w:rsidRPr="00E16672">
        <w:rPr>
          <w:rFonts w:ascii="Times New Roman" w:eastAsia="Arial Unicode MS" w:hAnsi="Times New Roman"/>
          <w:b/>
          <w:bCs/>
          <w:szCs w:val="20"/>
        </w:rPr>
        <w:t>Депозитарна</w:t>
      </w:r>
      <w:proofErr w:type="spellEnd"/>
      <w:r w:rsidRPr="00E16672">
        <w:rPr>
          <w:rFonts w:ascii="Times New Roman" w:eastAsia="Arial Unicode MS" w:hAnsi="Times New Roman"/>
          <w:b/>
          <w:bCs/>
          <w:szCs w:val="20"/>
        </w:rPr>
        <w:t xml:space="preserve"> </w:t>
      </w:r>
      <w:proofErr w:type="spellStart"/>
      <w:r w:rsidRPr="00E16672">
        <w:rPr>
          <w:rFonts w:ascii="Times New Roman" w:eastAsia="Arial Unicode MS" w:hAnsi="Times New Roman"/>
          <w:b/>
          <w:bCs/>
          <w:szCs w:val="20"/>
        </w:rPr>
        <w:t>установа</w:t>
      </w:r>
      <w:proofErr w:type="spellEnd"/>
      <w:r w:rsidRPr="00E16672">
        <w:rPr>
          <w:rFonts w:ascii="Times New Roman" w:eastAsia="Arial Unicode MS" w:hAnsi="Times New Roman"/>
          <w:b/>
          <w:bCs/>
          <w:szCs w:val="20"/>
        </w:rPr>
        <w:t xml:space="preserve"> не </w:t>
      </w:r>
      <w:proofErr w:type="spellStart"/>
      <w:r w:rsidRPr="00E16672">
        <w:rPr>
          <w:rFonts w:ascii="Times New Roman" w:eastAsia="Arial Unicode MS" w:hAnsi="Times New Roman"/>
          <w:b/>
          <w:bCs/>
          <w:szCs w:val="20"/>
        </w:rPr>
        <w:t>має</w:t>
      </w:r>
      <w:proofErr w:type="spellEnd"/>
      <w:r w:rsidRPr="00E16672">
        <w:rPr>
          <w:rFonts w:ascii="Times New Roman" w:eastAsia="Arial Unicode MS" w:hAnsi="Times New Roman"/>
          <w:b/>
          <w:bCs/>
          <w:szCs w:val="20"/>
        </w:rPr>
        <w:t xml:space="preserve"> права:</w:t>
      </w:r>
    </w:p>
    <w:p w14:paraId="6FAEEFFE" w14:textId="77777777" w:rsidR="009A7EA8" w:rsidRPr="00E16672" w:rsidRDefault="009A7EA8" w:rsidP="009A7EA8">
      <w:pPr>
        <w:rPr>
          <w:rFonts w:ascii="Times New Roman" w:eastAsia="Arial Unicode MS" w:hAnsi="Times New Roman"/>
          <w:szCs w:val="20"/>
        </w:rPr>
      </w:pPr>
      <w:r w:rsidRPr="00E16672">
        <w:rPr>
          <w:rFonts w:ascii="Times New Roman" w:eastAsia="Arial Unicode MS" w:hAnsi="Times New Roman"/>
          <w:szCs w:val="20"/>
        </w:rPr>
        <w:t xml:space="preserve">2.3.1. </w:t>
      </w:r>
      <w:proofErr w:type="spellStart"/>
      <w:r w:rsidRPr="00E16672">
        <w:rPr>
          <w:rFonts w:ascii="Times New Roman" w:eastAsia="Arial Unicode MS" w:hAnsi="Times New Roman"/>
          <w:szCs w:val="20"/>
        </w:rPr>
        <w:t>Порушувати</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конфіденційність</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інформації</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що</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міститься</w:t>
      </w:r>
      <w:proofErr w:type="spellEnd"/>
      <w:r w:rsidRPr="00E16672">
        <w:rPr>
          <w:rFonts w:ascii="Times New Roman" w:eastAsia="Arial Unicode MS" w:hAnsi="Times New Roman"/>
          <w:szCs w:val="20"/>
        </w:rPr>
        <w:t xml:space="preserve"> у </w:t>
      </w:r>
      <w:proofErr w:type="spellStart"/>
      <w:r w:rsidRPr="00E16672">
        <w:rPr>
          <w:rFonts w:ascii="Times New Roman" w:eastAsia="Arial Unicode MS" w:hAnsi="Times New Roman"/>
          <w:szCs w:val="20"/>
        </w:rPr>
        <w:t>реєстрі</w:t>
      </w:r>
      <w:proofErr w:type="spellEnd"/>
      <w:r w:rsidRPr="00E16672">
        <w:rPr>
          <w:rFonts w:ascii="Times New Roman" w:eastAsia="Arial Unicode MS" w:hAnsi="Times New Roman"/>
          <w:szCs w:val="20"/>
        </w:rPr>
        <w:t xml:space="preserve"> та/</w:t>
      </w:r>
      <w:proofErr w:type="spellStart"/>
      <w:r w:rsidRPr="00E16672">
        <w:rPr>
          <w:rFonts w:ascii="Times New Roman" w:eastAsia="Arial Unicode MS" w:hAnsi="Times New Roman"/>
          <w:szCs w:val="20"/>
        </w:rPr>
        <w:t>або</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переліку</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власників</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іменних</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цінних</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паперів</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довідково-аналітичних</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матеріалах</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виписках</w:t>
      </w:r>
      <w:proofErr w:type="spellEnd"/>
      <w:r w:rsidRPr="00E16672">
        <w:rPr>
          <w:rFonts w:ascii="Times New Roman" w:eastAsia="Arial Unicode MS" w:hAnsi="Times New Roman"/>
          <w:szCs w:val="20"/>
        </w:rPr>
        <w:t xml:space="preserve"> і </w:t>
      </w:r>
      <w:proofErr w:type="spellStart"/>
      <w:r w:rsidRPr="00E16672">
        <w:rPr>
          <w:rFonts w:ascii="Times New Roman" w:eastAsia="Arial Unicode MS" w:hAnsi="Times New Roman"/>
          <w:szCs w:val="20"/>
        </w:rPr>
        <w:t>інформаційних</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довідках</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іншій</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інформації</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щодо</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власників</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іменних</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цінних</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паперів</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крім</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випадків</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передбачених</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чинним</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законодавством</w:t>
      </w:r>
      <w:proofErr w:type="spellEnd"/>
      <w:r w:rsidRPr="00E16672">
        <w:rPr>
          <w:rFonts w:ascii="Times New Roman" w:eastAsia="Arial Unicode MS" w:hAnsi="Times New Roman"/>
          <w:szCs w:val="20"/>
        </w:rPr>
        <w:t xml:space="preserve">. </w:t>
      </w:r>
    </w:p>
    <w:p w14:paraId="2539E919" w14:textId="77777777" w:rsidR="009A7EA8" w:rsidRPr="00E16672" w:rsidRDefault="009A7EA8" w:rsidP="009A7EA8">
      <w:pPr>
        <w:pStyle w:val="ab"/>
        <w:jc w:val="both"/>
        <w:rPr>
          <w:rFonts w:ascii="Times New Roman" w:eastAsia="Arial Unicode MS" w:hAnsi="Times New Roman"/>
          <w:b w:val="0"/>
        </w:rPr>
      </w:pPr>
      <w:r w:rsidRPr="00E16672">
        <w:rPr>
          <w:rFonts w:ascii="Times New Roman" w:eastAsia="Arial Unicode MS" w:hAnsi="Times New Roman"/>
          <w:b w:val="0"/>
        </w:rPr>
        <w:t>2.3.2. Вносити зміни до реєстру та/або переліку власників іменних цінних паперів, складеного Центральним депозитарієм.</w:t>
      </w:r>
    </w:p>
    <w:p w14:paraId="39B02771" w14:textId="77777777" w:rsidR="009A7EA8" w:rsidRPr="00E16672" w:rsidRDefault="009A7EA8" w:rsidP="009A7EA8">
      <w:pPr>
        <w:rPr>
          <w:rFonts w:ascii="Times New Roman" w:eastAsia="Arial Unicode MS" w:hAnsi="Times New Roman"/>
          <w:b/>
          <w:szCs w:val="20"/>
          <w:lang w:val="uk-UA"/>
        </w:rPr>
      </w:pPr>
    </w:p>
    <w:p w14:paraId="35E5FF34" w14:textId="77777777" w:rsidR="009A7EA8" w:rsidRPr="00E16672" w:rsidRDefault="009A7EA8" w:rsidP="009A7EA8">
      <w:pPr>
        <w:rPr>
          <w:rFonts w:ascii="Times New Roman" w:eastAsia="Arial Unicode MS" w:hAnsi="Times New Roman"/>
          <w:b/>
          <w:szCs w:val="20"/>
          <w:lang w:val="uk-UA"/>
        </w:rPr>
      </w:pPr>
      <w:r w:rsidRPr="00E16672">
        <w:rPr>
          <w:rFonts w:ascii="Times New Roman" w:eastAsia="Arial Unicode MS" w:hAnsi="Times New Roman"/>
          <w:b/>
          <w:szCs w:val="20"/>
          <w:lang w:val="uk-UA"/>
        </w:rPr>
        <w:t>2.4. Емітент зобов`язаний:</w:t>
      </w:r>
    </w:p>
    <w:p w14:paraId="537C4FF9" w14:textId="77777777" w:rsidR="009A7EA8" w:rsidRPr="00E16672" w:rsidRDefault="009A7EA8" w:rsidP="009A7EA8">
      <w:pPr>
        <w:tabs>
          <w:tab w:val="left" w:pos="0"/>
        </w:tabs>
        <w:rPr>
          <w:rFonts w:ascii="Times New Roman" w:eastAsia="Arial Unicode MS" w:hAnsi="Times New Roman"/>
          <w:szCs w:val="20"/>
          <w:lang w:val="uk-UA"/>
        </w:rPr>
      </w:pPr>
      <w:r w:rsidRPr="00E16672">
        <w:rPr>
          <w:rFonts w:ascii="Times New Roman" w:eastAsia="Arial Unicode MS" w:hAnsi="Times New Roman"/>
          <w:szCs w:val="20"/>
          <w:lang w:val="uk-UA"/>
        </w:rPr>
        <w:t>2.4.1. Надавати Депозитарній установі належним чином оформлене розпорядження на надання реєстру та/або переліку власників іменних цінних паперів, довідково-аналітичних матеріалів, виписок і інформаційних довідок, іншої інформації щодо власників іменних цінних паперів із зазначенням дати, станом на яку необхідно скласти такий реєстр/перелік, довідково-аналітичні матеріали, виписки і інформаційні довідки, іншу інформацію щодо власників іменних цінних паперів (дата обліку).</w:t>
      </w:r>
    </w:p>
    <w:p w14:paraId="6314D461" w14:textId="77777777" w:rsidR="009A7EA8" w:rsidRPr="00E16672" w:rsidRDefault="009A7EA8" w:rsidP="009A7EA8">
      <w:pPr>
        <w:tabs>
          <w:tab w:val="left" w:pos="0"/>
        </w:tabs>
        <w:rPr>
          <w:rFonts w:ascii="Times New Roman" w:eastAsia="Arial Unicode MS" w:hAnsi="Times New Roman"/>
          <w:szCs w:val="20"/>
        </w:rPr>
      </w:pPr>
      <w:r w:rsidRPr="00E16672">
        <w:rPr>
          <w:rFonts w:ascii="Times New Roman" w:eastAsia="Arial Unicode MS" w:hAnsi="Times New Roman"/>
          <w:szCs w:val="20"/>
        </w:rPr>
        <w:t xml:space="preserve">2.4.2. </w:t>
      </w:r>
      <w:proofErr w:type="spellStart"/>
      <w:r w:rsidRPr="00E16672">
        <w:rPr>
          <w:rFonts w:ascii="Times New Roman" w:eastAsia="Arial Unicode MS" w:hAnsi="Times New Roman"/>
          <w:szCs w:val="20"/>
        </w:rPr>
        <w:t>Надавати</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необхідні</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документи</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передбачені</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законодавством</w:t>
      </w:r>
      <w:proofErr w:type="spellEnd"/>
      <w:r w:rsidRPr="00E16672">
        <w:rPr>
          <w:rFonts w:ascii="Times New Roman" w:eastAsia="Arial Unicode MS" w:hAnsi="Times New Roman"/>
          <w:szCs w:val="20"/>
        </w:rPr>
        <w:t xml:space="preserve">, для </w:t>
      </w:r>
      <w:proofErr w:type="spellStart"/>
      <w:r w:rsidRPr="00E16672">
        <w:rPr>
          <w:rFonts w:ascii="Times New Roman" w:eastAsia="Arial Unicode MS" w:hAnsi="Times New Roman"/>
          <w:szCs w:val="20"/>
        </w:rPr>
        <w:t>реалізації</w:t>
      </w:r>
      <w:proofErr w:type="spellEnd"/>
      <w:r w:rsidRPr="00E16672">
        <w:rPr>
          <w:rFonts w:ascii="Times New Roman" w:eastAsia="Arial Unicode MS" w:hAnsi="Times New Roman"/>
          <w:szCs w:val="20"/>
        </w:rPr>
        <w:t xml:space="preserve"> Депозитарною </w:t>
      </w:r>
      <w:proofErr w:type="spellStart"/>
      <w:r w:rsidRPr="00E16672">
        <w:rPr>
          <w:rFonts w:ascii="Times New Roman" w:eastAsia="Arial Unicode MS" w:hAnsi="Times New Roman"/>
          <w:szCs w:val="20"/>
        </w:rPr>
        <w:t>установою</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функцій</w:t>
      </w:r>
      <w:proofErr w:type="spellEnd"/>
      <w:r w:rsidRPr="00E16672">
        <w:rPr>
          <w:rFonts w:ascii="Times New Roman" w:eastAsia="Arial Unicode MS" w:hAnsi="Times New Roman"/>
          <w:szCs w:val="20"/>
        </w:rPr>
        <w:t xml:space="preserve"> за Договором.</w:t>
      </w:r>
    </w:p>
    <w:p w14:paraId="31246DAC" w14:textId="77777777" w:rsidR="009A7EA8" w:rsidRPr="00E16672" w:rsidRDefault="009A7EA8" w:rsidP="009A7EA8">
      <w:pPr>
        <w:tabs>
          <w:tab w:val="left" w:pos="0"/>
        </w:tabs>
        <w:rPr>
          <w:rFonts w:ascii="Times New Roman" w:eastAsia="Arial Unicode MS" w:hAnsi="Times New Roman"/>
          <w:szCs w:val="20"/>
        </w:rPr>
      </w:pPr>
      <w:r w:rsidRPr="00E16672">
        <w:rPr>
          <w:rFonts w:ascii="Times New Roman" w:eastAsia="Arial Unicode MS" w:hAnsi="Times New Roman"/>
          <w:szCs w:val="20"/>
        </w:rPr>
        <w:t xml:space="preserve">2.4.3. </w:t>
      </w:r>
      <w:proofErr w:type="spellStart"/>
      <w:r w:rsidRPr="00E16672">
        <w:rPr>
          <w:rFonts w:ascii="Times New Roman" w:eastAsia="Arial Unicode MS" w:hAnsi="Times New Roman"/>
          <w:szCs w:val="20"/>
        </w:rPr>
        <w:t>Надавати</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інформацію</w:t>
      </w:r>
      <w:proofErr w:type="spellEnd"/>
      <w:r w:rsidRPr="00E16672">
        <w:rPr>
          <w:rFonts w:ascii="Times New Roman" w:eastAsia="Arial Unicode MS" w:hAnsi="Times New Roman"/>
          <w:szCs w:val="20"/>
        </w:rPr>
        <w:t xml:space="preserve">, яка є </w:t>
      </w:r>
      <w:proofErr w:type="spellStart"/>
      <w:r w:rsidRPr="00E16672">
        <w:rPr>
          <w:rFonts w:ascii="Times New Roman" w:eastAsia="Arial Unicode MS" w:hAnsi="Times New Roman"/>
          <w:szCs w:val="20"/>
        </w:rPr>
        <w:t>необхідною</w:t>
      </w:r>
      <w:proofErr w:type="spellEnd"/>
      <w:r w:rsidRPr="00E16672">
        <w:rPr>
          <w:rFonts w:ascii="Times New Roman" w:eastAsia="Arial Unicode MS" w:hAnsi="Times New Roman"/>
          <w:szCs w:val="20"/>
        </w:rPr>
        <w:t xml:space="preserve"> та </w:t>
      </w:r>
      <w:proofErr w:type="spellStart"/>
      <w:r w:rsidRPr="00E16672">
        <w:rPr>
          <w:rFonts w:ascii="Times New Roman" w:eastAsia="Arial Unicode MS" w:hAnsi="Times New Roman"/>
          <w:szCs w:val="20"/>
        </w:rPr>
        <w:t>суттєвою</w:t>
      </w:r>
      <w:proofErr w:type="spellEnd"/>
      <w:r w:rsidRPr="00E16672">
        <w:rPr>
          <w:rFonts w:ascii="Times New Roman" w:eastAsia="Arial Unicode MS" w:hAnsi="Times New Roman"/>
          <w:szCs w:val="20"/>
        </w:rPr>
        <w:t xml:space="preserve"> для </w:t>
      </w:r>
      <w:proofErr w:type="spellStart"/>
      <w:r w:rsidRPr="00E16672">
        <w:rPr>
          <w:rFonts w:ascii="Times New Roman" w:eastAsia="Arial Unicode MS" w:hAnsi="Times New Roman"/>
          <w:szCs w:val="20"/>
        </w:rPr>
        <w:t>даного</w:t>
      </w:r>
      <w:proofErr w:type="spellEnd"/>
      <w:r w:rsidRPr="00E16672">
        <w:rPr>
          <w:rFonts w:ascii="Times New Roman" w:eastAsia="Arial Unicode MS" w:hAnsi="Times New Roman"/>
          <w:szCs w:val="20"/>
        </w:rPr>
        <w:t xml:space="preserve"> Договору, в тому </w:t>
      </w:r>
      <w:proofErr w:type="spellStart"/>
      <w:r w:rsidRPr="00E16672">
        <w:rPr>
          <w:rFonts w:ascii="Times New Roman" w:eastAsia="Arial Unicode MS" w:hAnsi="Times New Roman"/>
          <w:szCs w:val="20"/>
        </w:rPr>
        <w:t>числі</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надавати</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інформацію</w:t>
      </w:r>
      <w:proofErr w:type="spellEnd"/>
      <w:r w:rsidRPr="00E16672">
        <w:rPr>
          <w:rFonts w:ascii="Times New Roman" w:eastAsia="Arial Unicode MS" w:hAnsi="Times New Roman"/>
          <w:szCs w:val="20"/>
        </w:rPr>
        <w:t xml:space="preserve"> до Центрального </w:t>
      </w:r>
      <w:proofErr w:type="spellStart"/>
      <w:r w:rsidRPr="00E16672">
        <w:rPr>
          <w:rFonts w:ascii="Times New Roman" w:eastAsia="Arial Unicode MS" w:hAnsi="Times New Roman"/>
          <w:szCs w:val="20"/>
        </w:rPr>
        <w:t>депозитарію</w:t>
      </w:r>
      <w:proofErr w:type="spellEnd"/>
      <w:r w:rsidRPr="00E16672">
        <w:rPr>
          <w:rFonts w:ascii="Times New Roman" w:eastAsia="Arial Unicode MS" w:hAnsi="Times New Roman"/>
          <w:szCs w:val="20"/>
        </w:rPr>
        <w:t xml:space="preserve"> про </w:t>
      </w:r>
      <w:proofErr w:type="spellStart"/>
      <w:r w:rsidRPr="00E16672">
        <w:rPr>
          <w:rFonts w:ascii="Times New Roman" w:eastAsia="Arial Unicode MS" w:hAnsi="Times New Roman"/>
          <w:szCs w:val="20"/>
        </w:rPr>
        <w:t>Депозитарну</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установу</w:t>
      </w:r>
      <w:proofErr w:type="spellEnd"/>
      <w:r w:rsidRPr="00E16672">
        <w:rPr>
          <w:rFonts w:ascii="Times New Roman" w:eastAsia="Arial Unicode MS" w:hAnsi="Times New Roman"/>
          <w:szCs w:val="20"/>
        </w:rPr>
        <w:t xml:space="preserve"> як про особу, </w:t>
      </w:r>
      <w:proofErr w:type="spellStart"/>
      <w:r w:rsidRPr="00E16672">
        <w:rPr>
          <w:rFonts w:ascii="Times New Roman" w:eastAsia="Arial Unicode MS" w:hAnsi="Times New Roman"/>
          <w:szCs w:val="20"/>
        </w:rPr>
        <w:t>визначену</w:t>
      </w:r>
      <w:proofErr w:type="spellEnd"/>
      <w:r w:rsidRPr="00E16672">
        <w:rPr>
          <w:rFonts w:ascii="Times New Roman" w:eastAsia="Arial Unicode MS" w:hAnsi="Times New Roman"/>
          <w:szCs w:val="20"/>
        </w:rPr>
        <w:t xml:space="preserve"> на </w:t>
      </w:r>
      <w:proofErr w:type="spellStart"/>
      <w:r w:rsidRPr="00E16672">
        <w:rPr>
          <w:rFonts w:ascii="Times New Roman" w:eastAsia="Arial Unicode MS" w:hAnsi="Times New Roman"/>
          <w:szCs w:val="20"/>
        </w:rPr>
        <w:t>надання</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Емітенту</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реєстру</w:t>
      </w:r>
      <w:proofErr w:type="spellEnd"/>
      <w:r w:rsidRPr="00E16672">
        <w:rPr>
          <w:rFonts w:ascii="Times New Roman" w:eastAsia="Arial Unicode MS" w:hAnsi="Times New Roman"/>
          <w:szCs w:val="20"/>
        </w:rPr>
        <w:t xml:space="preserve"> та/</w:t>
      </w:r>
      <w:proofErr w:type="spellStart"/>
      <w:r w:rsidRPr="00E16672">
        <w:rPr>
          <w:rFonts w:ascii="Times New Roman" w:eastAsia="Arial Unicode MS" w:hAnsi="Times New Roman"/>
          <w:szCs w:val="20"/>
        </w:rPr>
        <w:t>або</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переліку</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власників</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іменних</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цінних</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паперів</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довідково-аналітичних</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матеріалів</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виписок</w:t>
      </w:r>
      <w:proofErr w:type="spellEnd"/>
      <w:r w:rsidRPr="00E16672">
        <w:rPr>
          <w:rFonts w:ascii="Times New Roman" w:eastAsia="Arial Unicode MS" w:hAnsi="Times New Roman"/>
          <w:szCs w:val="20"/>
        </w:rPr>
        <w:t xml:space="preserve"> і </w:t>
      </w:r>
      <w:proofErr w:type="spellStart"/>
      <w:r w:rsidRPr="00E16672">
        <w:rPr>
          <w:rFonts w:ascii="Times New Roman" w:eastAsia="Arial Unicode MS" w:hAnsi="Times New Roman"/>
          <w:szCs w:val="20"/>
        </w:rPr>
        <w:t>інформаційних</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довідок</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іншої</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інформації</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щодо</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власників</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іменних</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цінних</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паперів</w:t>
      </w:r>
      <w:proofErr w:type="spellEnd"/>
      <w:r w:rsidRPr="00E16672">
        <w:rPr>
          <w:rFonts w:ascii="Times New Roman" w:eastAsia="Arial Unicode MS" w:hAnsi="Times New Roman"/>
          <w:szCs w:val="20"/>
        </w:rPr>
        <w:t>.</w:t>
      </w:r>
    </w:p>
    <w:p w14:paraId="5D90308E" w14:textId="77777777" w:rsidR="009A7EA8" w:rsidRPr="00E16672" w:rsidRDefault="009A7EA8" w:rsidP="009A7EA8">
      <w:pPr>
        <w:tabs>
          <w:tab w:val="left" w:pos="0"/>
        </w:tabs>
        <w:rPr>
          <w:rFonts w:ascii="Times New Roman" w:eastAsia="Arial Unicode MS" w:hAnsi="Times New Roman"/>
          <w:szCs w:val="20"/>
        </w:rPr>
      </w:pPr>
      <w:r w:rsidRPr="00E16672">
        <w:rPr>
          <w:rFonts w:ascii="Times New Roman" w:eastAsia="Arial Unicode MS" w:hAnsi="Times New Roman"/>
          <w:szCs w:val="20"/>
        </w:rPr>
        <w:t xml:space="preserve">2.4.4. </w:t>
      </w:r>
      <w:proofErr w:type="spellStart"/>
      <w:r w:rsidRPr="00E16672">
        <w:rPr>
          <w:rFonts w:ascii="Times New Roman" w:eastAsia="Arial Unicode MS" w:hAnsi="Times New Roman"/>
          <w:szCs w:val="20"/>
        </w:rPr>
        <w:t>Своєчасно</w:t>
      </w:r>
      <w:proofErr w:type="spellEnd"/>
      <w:r w:rsidRPr="00E16672">
        <w:rPr>
          <w:rFonts w:ascii="Times New Roman" w:eastAsia="Arial Unicode MS" w:hAnsi="Times New Roman"/>
          <w:szCs w:val="20"/>
        </w:rPr>
        <w:t xml:space="preserve"> у </w:t>
      </w:r>
      <w:proofErr w:type="spellStart"/>
      <w:r w:rsidRPr="00E16672">
        <w:rPr>
          <w:rFonts w:ascii="Times New Roman" w:eastAsia="Arial Unicode MS" w:hAnsi="Times New Roman"/>
          <w:szCs w:val="20"/>
        </w:rPr>
        <w:t>письмовій</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формі</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повідомляти</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Депозитарну</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установу</w:t>
      </w:r>
      <w:proofErr w:type="spellEnd"/>
      <w:r w:rsidRPr="00E16672">
        <w:rPr>
          <w:rFonts w:ascii="Times New Roman" w:eastAsia="Arial Unicode MS" w:hAnsi="Times New Roman"/>
          <w:szCs w:val="20"/>
        </w:rPr>
        <w:t xml:space="preserve"> про </w:t>
      </w:r>
      <w:proofErr w:type="spellStart"/>
      <w:r w:rsidRPr="00E16672">
        <w:rPr>
          <w:rFonts w:ascii="Times New Roman" w:eastAsia="Arial Unicode MS" w:hAnsi="Times New Roman"/>
          <w:szCs w:val="20"/>
        </w:rPr>
        <w:t>зміну</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реквізитів</w:t>
      </w:r>
      <w:proofErr w:type="spellEnd"/>
      <w:r w:rsidRPr="00E16672">
        <w:rPr>
          <w:rFonts w:ascii="Times New Roman" w:eastAsia="Arial Unicode MS" w:hAnsi="Times New Roman"/>
          <w:szCs w:val="20"/>
        </w:rPr>
        <w:t xml:space="preserve"> та </w:t>
      </w:r>
      <w:proofErr w:type="spellStart"/>
      <w:r w:rsidRPr="00E16672">
        <w:rPr>
          <w:rFonts w:ascii="Times New Roman" w:eastAsia="Arial Unicode MS" w:hAnsi="Times New Roman"/>
          <w:szCs w:val="20"/>
        </w:rPr>
        <w:t>надавати</w:t>
      </w:r>
      <w:proofErr w:type="spellEnd"/>
      <w:r w:rsidRPr="00E16672">
        <w:rPr>
          <w:rFonts w:ascii="Times New Roman" w:eastAsia="Arial Unicode MS" w:hAnsi="Times New Roman"/>
          <w:szCs w:val="20"/>
        </w:rPr>
        <w:t xml:space="preserve"> для </w:t>
      </w:r>
      <w:proofErr w:type="spellStart"/>
      <w:r w:rsidRPr="00E16672">
        <w:rPr>
          <w:rFonts w:ascii="Times New Roman" w:eastAsia="Arial Unicode MS" w:hAnsi="Times New Roman"/>
          <w:szCs w:val="20"/>
        </w:rPr>
        <w:t>внесення</w:t>
      </w:r>
      <w:proofErr w:type="spellEnd"/>
      <w:r w:rsidRPr="00E16672">
        <w:rPr>
          <w:rFonts w:ascii="Times New Roman" w:eastAsia="Arial Unicode MS" w:hAnsi="Times New Roman"/>
          <w:szCs w:val="20"/>
        </w:rPr>
        <w:t xml:space="preserve"> Депозитарною </w:t>
      </w:r>
      <w:proofErr w:type="spellStart"/>
      <w:r w:rsidRPr="00E16672">
        <w:rPr>
          <w:rFonts w:ascii="Times New Roman" w:eastAsia="Arial Unicode MS" w:hAnsi="Times New Roman"/>
          <w:szCs w:val="20"/>
        </w:rPr>
        <w:t>установою</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відповідних</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змін</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документи</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передбачені</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законодавством</w:t>
      </w:r>
      <w:proofErr w:type="spellEnd"/>
      <w:r w:rsidRPr="00E16672">
        <w:rPr>
          <w:rFonts w:ascii="Times New Roman" w:eastAsia="Arial Unicode MS" w:hAnsi="Times New Roman"/>
          <w:szCs w:val="20"/>
        </w:rPr>
        <w:t xml:space="preserve"> та </w:t>
      </w:r>
      <w:proofErr w:type="spellStart"/>
      <w:r w:rsidRPr="00E16672">
        <w:rPr>
          <w:rFonts w:ascii="Times New Roman" w:eastAsia="Arial Unicode MS" w:hAnsi="Times New Roman"/>
          <w:szCs w:val="20"/>
        </w:rPr>
        <w:t>внутрішніми</w:t>
      </w:r>
      <w:proofErr w:type="spellEnd"/>
      <w:r w:rsidRPr="00E16672">
        <w:rPr>
          <w:rFonts w:ascii="Times New Roman" w:eastAsia="Arial Unicode MS" w:hAnsi="Times New Roman"/>
          <w:szCs w:val="20"/>
        </w:rPr>
        <w:t xml:space="preserve"> документами </w:t>
      </w:r>
      <w:proofErr w:type="spellStart"/>
      <w:r w:rsidRPr="00E16672">
        <w:rPr>
          <w:rFonts w:ascii="Times New Roman" w:eastAsia="Arial Unicode MS" w:hAnsi="Times New Roman"/>
          <w:szCs w:val="20"/>
        </w:rPr>
        <w:t>Депозитарної</w:t>
      </w:r>
      <w:proofErr w:type="spellEnd"/>
      <w:r w:rsidRPr="00E16672">
        <w:rPr>
          <w:rFonts w:ascii="Times New Roman" w:eastAsia="Arial Unicode MS" w:hAnsi="Times New Roman"/>
          <w:szCs w:val="20"/>
        </w:rPr>
        <w:t xml:space="preserve"> установи.</w:t>
      </w:r>
    </w:p>
    <w:p w14:paraId="7FA3A5F4" w14:textId="77777777" w:rsidR="009A7EA8" w:rsidRPr="00E16672" w:rsidRDefault="009A7EA8" w:rsidP="009A7EA8">
      <w:pPr>
        <w:pStyle w:val="22"/>
        <w:tabs>
          <w:tab w:val="left" w:pos="709"/>
        </w:tabs>
        <w:ind w:firstLine="567"/>
        <w:rPr>
          <w:rFonts w:ascii="Times New Roman" w:eastAsia="Arial Unicode MS" w:hAnsi="Times New Roman"/>
        </w:rPr>
      </w:pPr>
      <w:r w:rsidRPr="00E16672">
        <w:rPr>
          <w:rFonts w:ascii="Times New Roman" w:eastAsia="Arial Unicode MS" w:hAnsi="Times New Roman"/>
        </w:rPr>
        <w:t>2.4.5. Дотримуватись внутрішніх документів Депозитарної установи, Регламенту Центрального Депозитарія, Положення про провадження депозитарної діяльності та інших нормативних документів, які стосуються взаємин Емітента та Депозитарної установи.</w:t>
      </w:r>
    </w:p>
    <w:p w14:paraId="442270D6" w14:textId="77777777" w:rsidR="009A7EA8" w:rsidRPr="00E16672" w:rsidRDefault="009A7EA8" w:rsidP="009A7EA8">
      <w:pPr>
        <w:tabs>
          <w:tab w:val="left" w:pos="0"/>
        </w:tabs>
        <w:rPr>
          <w:rFonts w:ascii="Times New Roman" w:eastAsia="Arial Unicode MS" w:hAnsi="Times New Roman"/>
          <w:szCs w:val="20"/>
        </w:rPr>
      </w:pPr>
      <w:r w:rsidRPr="00E16672">
        <w:rPr>
          <w:rFonts w:ascii="Times New Roman" w:eastAsia="Arial Unicode MS" w:hAnsi="Times New Roman"/>
          <w:szCs w:val="20"/>
        </w:rPr>
        <w:t xml:space="preserve">2.4.6. </w:t>
      </w:r>
      <w:proofErr w:type="spellStart"/>
      <w:r w:rsidRPr="00E16672">
        <w:rPr>
          <w:rFonts w:ascii="Times New Roman" w:eastAsia="Arial Unicode MS" w:hAnsi="Times New Roman"/>
          <w:szCs w:val="20"/>
        </w:rPr>
        <w:t>Оплачувати</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послуги</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Депозитарної</w:t>
      </w:r>
      <w:proofErr w:type="spellEnd"/>
      <w:r w:rsidRPr="00E16672">
        <w:rPr>
          <w:rFonts w:ascii="Times New Roman" w:eastAsia="Arial Unicode MS" w:hAnsi="Times New Roman"/>
          <w:szCs w:val="20"/>
        </w:rPr>
        <w:t xml:space="preserve"> установи </w:t>
      </w:r>
      <w:proofErr w:type="spellStart"/>
      <w:r w:rsidRPr="00E16672">
        <w:rPr>
          <w:rFonts w:ascii="Times New Roman" w:eastAsia="Arial Unicode MS" w:hAnsi="Times New Roman"/>
          <w:szCs w:val="20"/>
        </w:rPr>
        <w:t>відповідно</w:t>
      </w:r>
      <w:proofErr w:type="spellEnd"/>
      <w:r w:rsidRPr="00E16672">
        <w:rPr>
          <w:rFonts w:ascii="Times New Roman" w:eastAsia="Arial Unicode MS" w:hAnsi="Times New Roman"/>
          <w:szCs w:val="20"/>
        </w:rPr>
        <w:t xml:space="preserve"> до умов та </w:t>
      </w:r>
      <w:proofErr w:type="spellStart"/>
      <w:r w:rsidRPr="00E16672">
        <w:rPr>
          <w:rFonts w:ascii="Times New Roman" w:eastAsia="Arial Unicode MS" w:hAnsi="Times New Roman"/>
          <w:szCs w:val="20"/>
        </w:rPr>
        <w:t>строків</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передбачених</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цим</w:t>
      </w:r>
      <w:proofErr w:type="spellEnd"/>
      <w:r w:rsidRPr="00E16672">
        <w:rPr>
          <w:rFonts w:ascii="Times New Roman" w:eastAsia="Arial Unicode MS" w:hAnsi="Times New Roman"/>
          <w:szCs w:val="20"/>
        </w:rPr>
        <w:t xml:space="preserve"> Договором, </w:t>
      </w:r>
      <w:proofErr w:type="spellStart"/>
      <w:r w:rsidRPr="00E16672">
        <w:rPr>
          <w:rFonts w:ascii="Times New Roman" w:eastAsia="Arial Unicode MS" w:hAnsi="Times New Roman"/>
          <w:szCs w:val="20"/>
        </w:rPr>
        <w:t>додатковими</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угодами</w:t>
      </w:r>
      <w:proofErr w:type="spellEnd"/>
      <w:r w:rsidRPr="00E16672">
        <w:rPr>
          <w:rFonts w:ascii="Times New Roman" w:eastAsia="Arial Unicode MS" w:hAnsi="Times New Roman"/>
          <w:szCs w:val="20"/>
        </w:rPr>
        <w:t xml:space="preserve"> (у </w:t>
      </w:r>
      <w:proofErr w:type="spellStart"/>
      <w:r w:rsidRPr="00E16672">
        <w:rPr>
          <w:rFonts w:ascii="Times New Roman" w:eastAsia="Arial Unicode MS" w:hAnsi="Times New Roman"/>
          <w:szCs w:val="20"/>
        </w:rPr>
        <w:t>разі</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їх</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укладення</w:t>
      </w:r>
      <w:proofErr w:type="spellEnd"/>
      <w:r w:rsidRPr="00E16672">
        <w:rPr>
          <w:rFonts w:ascii="Times New Roman" w:eastAsia="Arial Unicode MS" w:hAnsi="Times New Roman"/>
          <w:szCs w:val="20"/>
        </w:rPr>
        <w:t xml:space="preserve">) та тарифами, </w:t>
      </w:r>
      <w:proofErr w:type="spellStart"/>
      <w:r w:rsidRPr="00E16672">
        <w:rPr>
          <w:rFonts w:ascii="Times New Roman" w:eastAsia="Arial Unicode MS" w:hAnsi="Times New Roman"/>
          <w:szCs w:val="20"/>
        </w:rPr>
        <w:t>чинними</w:t>
      </w:r>
      <w:proofErr w:type="spellEnd"/>
      <w:r w:rsidRPr="00E16672">
        <w:rPr>
          <w:rFonts w:ascii="Times New Roman" w:eastAsia="Arial Unicode MS" w:hAnsi="Times New Roman"/>
          <w:szCs w:val="20"/>
        </w:rPr>
        <w:t xml:space="preserve"> на дату </w:t>
      </w:r>
      <w:proofErr w:type="spellStart"/>
      <w:r w:rsidRPr="00E16672">
        <w:rPr>
          <w:rFonts w:ascii="Times New Roman" w:eastAsia="Arial Unicode MS" w:hAnsi="Times New Roman"/>
          <w:szCs w:val="20"/>
        </w:rPr>
        <w:t>надання</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послуг</w:t>
      </w:r>
      <w:proofErr w:type="spellEnd"/>
      <w:r w:rsidRPr="00E16672">
        <w:rPr>
          <w:rFonts w:ascii="Times New Roman" w:eastAsia="Arial Unicode MS" w:hAnsi="Times New Roman"/>
          <w:szCs w:val="20"/>
        </w:rPr>
        <w:t xml:space="preserve">. </w:t>
      </w:r>
      <w:bookmarkStart w:id="8" w:name="n57"/>
      <w:bookmarkEnd w:id="8"/>
    </w:p>
    <w:p w14:paraId="784F8A7F" w14:textId="77777777" w:rsidR="009A7EA8" w:rsidRPr="00E16672" w:rsidRDefault="009A7EA8" w:rsidP="009A7EA8">
      <w:pPr>
        <w:tabs>
          <w:tab w:val="left" w:pos="0"/>
        </w:tabs>
        <w:rPr>
          <w:rFonts w:ascii="Times New Roman" w:eastAsia="Arial Unicode MS" w:hAnsi="Times New Roman"/>
          <w:szCs w:val="20"/>
        </w:rPr>
      </w:pPr>
      <w:r w:rsidRPr="00E16672">
        <w:rPr>
          <w:rFonts w:ascii="Times New Roman" w:eastAsia="Arial Unicode MS" w:hAnsi="Times New Roman"/>
          <w:szCs w:val="20"/>
        </w:rPr>
        <w:t xml:space="preserve">2.4.7. </w:t>
      </w:r>
      <w:proofErr w:type="spellStart"/>
      <w:r w:rsidRPr="00E16672">
        <w:rPr>
          <w:rFonts w:ascii="Times New Roman" w:eastAsia="Arial Unicode MS" w:hAnsi="Times New Roman"/>
          <w:szCs w:val="20"/>
        </w:rPr>
        <w:t>Повідомляти</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Депозитарну</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установу</w:t>
      </w:r>
      <w:proofErr w:type="spellEnd"/>
      <w:r w:rsidRPr="00E16672">
        <w:rPr>
          <w:rFonts w:ascii="Times New Roman" w:eastAsia="Arial Unicode MS" w:hAnsi="Times New Roman"/>
          <w:szCs w:val="20"/>
        </w:rPr>
        <w:t xml:space="preserve"> про </w:t>
      </w:r>
      <w:proofErr w:type="spellStart"/>
      <w:r w:rsidRPr="00E16672">
        <w:rPr>
          <w:rFonts w:ascii="Times New Roman" w:eastAsia="Arial Unicode MS" w:hAnsi="Times New Roman"/>
          <w:szCs w:val="20"/>
        </w:rPr>
        <w:t>припинення</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господарської</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діяльності</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або</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визнання</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Емітента</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банкрутом</w:t>
      </w:r>
      <w:proofErr w:type="spellEnd"/>
      <w:r w:rsidRPr="00E16672">
        <w:rPr>
          <w:rFonts w:ascii="Times New Roman" w:eastAsia="Arial Unicode MS" w:hAnsi="Times New Roman"/>
          <w:szCs w:val="20"/>
        </w:rPr>
        <w:t>.</w:t>
      </w:r>
    </w:p>
    <w:p w14:paraId="1E81124A" w14:textId="77777777" w:rsidR="009A7EA8" w:rsidRPr="00E16672" w:rsidRDefault="009A7EA8" w:rsidP="009A7EA8">
      <w:pPr>
        <w:pStyle w:val="ab"/>
        <w:jc w:val="both"/>
        <w:rPr>
          <w:rFonts w:ascii="Times New Roman" w:eastAsia="Arial Unicode MS" w:hAnsi="Times New Roman"/>
          <w:b w:val="0"/>
        </w:rPr>
      </w:pPr>
      <w:r w:rsidRPr="00E16672">
        <w:rPr>
          <w:rFonts w:ascii="Times New Roman" w:eastAsia="Arial Unicode MS" w:hAnsi="Times New Roman"/>
          <w:b w:val="0"/>
        </w:rPr>
        <w:t xml:space="preserve">2.4.8. Сплатити Депозитарній установі повну вартість отриманих, але не сплачених послуг протягом </w:t>
      </w:r>
      <w:r w:rsidRPr="00E16672">
        <w:rPr>
          <w:rFonts w:ascii="Times New Roman" w:eastAsia="Arial Unicode MS" w:hAnsi="Times New Roman"/>
          <w:b w:val="0"/>
          <w:i/>
          <w:iCs/>
        </w:rPr>
        <w:t>десяти</w:t>
      </w:r>
      <w:r w:rsidRPr="00E16672">
        <w:rPr>
          <w:rFonts w:ascii="Times New Roman" w:eastAsia="Arial Unicode MS" w:hAnsi="Times New Roman"/>
          <w:b w:val="0"/>
        </w:rPr>
        <w:t xml:space="preserve"> банківських днів після отримання письмового повідомлення про розірвання цього Договору.</w:t>
      </w:r>
    </w:p>
    <w:p w14:paraId="58A766F1" w14:textId="77777777" w:rsidR="009A7EA8" w:rsidRPr="00E16672" w:rsidRDefault="009A7EA8" w:rsidP="009A7EA8">
      <w:pPr>
        <w:ind w:firstLine="720"/>
        <w:rPr>
          <w:rFonts w:ascii="Times New Roman" w:eastAsia="Arial Unicode MS" w:hAnsi="Times New Roman"/>
          <w:szCs w:val="20"/>
        </w:rPr>
      </w:pPr>
    </w:p>
    <w:p w14:paraId="2924FF06" w14:textId="77777777" w:rsidR="009A7EA8" w:rsidRPr="00E16672" w:rsidRDefault="009A7EA8" w:rsidP="009A7EA8">
      <w:pPr>
        <w:rPr>
          <w:rFonts w:ascii="Times New Roman" w:eastAsia="Arial Unicode MS" w:hAnsi="Times New Roman"/>
          <w:b/>
          <w:bCs/>
          <w:szCs w:val="20"/>
        </w:rPr>
      </w:pPr>
      <w:r w:rsidRPr="00E16672">
        <w:rPr>
          <w:rFonts w:ascii="Times New Roman" w:eastAsia="Arial Unicode MS" w:hAnsi="Times New Roman"/>
          <w:b/>
          <w:bCs/>
          <w:szCs w:val="20"/>
        </w:rPr>
        <w:t xml:space="preserve">2.5. </w:t>
      </w:r>
      <w:proofErr w:type="spellStart"/>
      <w:r w:rsidRPr="00E16672">
        <w:rPr>
          <w:rFonts w:ascii="Times New Roman" w:eastAsia="Arial Unicode MS" w:hAnsi="Times New Roman"/>
          <w:b/>
          <w:bCs/>
          <w:szCs w:val="20"/>
        </w:rPr>
        <w:t>Емітент</w:t>
      </w:r>
      <w:proofErr w:type="spellEnd"/>
      <w:r w:rsidRPr="00E16672">
        <w:rPr>
          <w:rFonts w:ascii="Times New Roman" w:eastAsia="Arial Unicode MS" w:hAnsi="Times New Roman"/>
          <w:b/>
          <w:bCs/>
          <w:szCs w:val="20"/>
        </w:rPr>
        <w:t xml:space="preserve"> </w:t>
      </w:r>
      <w:proofErr w:type="spellStart"/>
      <w:r w:rsidRPr="00E16672">
        <w:rPr>
          <w:rFonts w:ascii="Times New Roman" w:eastAsia="Arial Unicode MS" w:hAnsi="Times New Roman"/>
          <w:b/>
          <w:bCs/>
          <w:szCs w:val="20"/>
        </w:rPr>
        <w:t>має</w:t>
      </w:r>
      <w:proofErr w:type="spellEnd"/>
      <w:r w:rsidRPr="00E16672">
        <w:rPr>
          <w:rFonts w:ascii="Times New Roman" w:eastAsia="Arial Unicode MS" w:hAnsi="Times New Roman"/>
          <w:b/>
          <w:bCs/>
          <w:szCs w:val="20"/>
        </w:rPr>
        <w:t xml:space="preserve"> право:</w:t>
      </w:r>
    </w:p>
    <w:p w14:paraId="0B5849FF" w14:textId="77777777" w:rsidR="009A7EA8" w:rsidRPr="00E16672" w:rsidRDefault="009A7EA8" w:rsidP="009A7EA8">
      <w:pPr>
        <w:pStyle w:val="22"/>
        <w:tabs>
          <w:tab w:val="left" w:pos="709"/>
        </w:tabs>
        <w:ind w:firstLine="567"/>
        <w:rPr>
          <w:rFonts w:ascii="Times New Roman" w:eastAsia="Arial Unicode MS" w:hAnsi="Times New Roman"/>
        </w:rPr>
      </w:pPr>
      <w:r w:rsidRPr="00E16672">
        <w:rPr>
          <w:rFonts w:ascii="Times New Roman" w:eastAsia="Arial Unicode MS" w:hAnsi="Times New Roman"/>
        </w:rPr>
        <w:t>2.5.1. Вимагати від Депозитарної установи належного виконання цього Договору.</w:t>
      </w:r>
    </w:p>
    <w:p w14:paraId="551B73AF" w14:textId="77777777" w:rsidR="009A7EA8" w:rsidRPr="00E16672" w:rsidRDefault="009A7EA8" w:rsidP="009A7EA8">
      <w:pPr>
        <w:pStyle w:val="22"/>
        <w:tabs>
          <w:tab w:val="left" w:pos="709"/>
        </w:tabs>
        <w:ind w:firstLine="567"/>
        <w:rPr>
          <w:rFonts w:ascii="Times New Roman" w:eastAsia="Arial Unicode MS" w:hAnsi="Times New Roman"/>
        </w:rPr>
      </w:pPr>
      <w:r w:rsidRPr="00E16672">
        <w:rPr>
          <w:rFonts w:ascii="Times New Roman" w:eastAsia="Arial Unicode MS" w:hAnsi="Times New Roman"/>
        </w:rPr>
        <w:lastRenderedPageBreak/>
        <w:t>2.5.2. Отримувати реєстр та/або перелік власників іменних цінних паперів, довідково-аналітичні матеріали, виписки і інформаційні довідки, іншу інформацію щодо власників іменних цінних паперів, наданий Депозитарною установою.</w:t>
      </w:r>
    </w:p>
    <w:p w14:paraId="1931D552" w14:textId="77777777" w:rsidR="009A7EA8" w:rsidRPr="00E16672" w:rsidRDefault="009A7EA8" w:rsidP="009A7EA8">
      <w:pPr>
        <w:pStyle w:val="22"/>
        <w:tabs>
          <w:tab w:val="left" w:pos="709"/>
        </w:tabs>
        <w:ind w:firstLine="567"/>
        <w:rPr>
          <w:rFonts w:ascii="Times New Roman" w:eastAsia="Arial Unicode MS" w:hAnsi="Times New Roman"/>
        </w:rPr>
      </w:pPr>
      <w:r w:rsidRPr="00E16672">
        <w:rPr>
          <w:rFonts w:ascii="Times New Roman" w:eastAsia="Arial Unicode MS" w:hAnsi="Times New Roman"/>
        </w:rPr>
        <w:t>2.5.3. Отримувати від Депозитарної установи інші послуги, передбачені законодавством, щодо цінних паперів, випущених Емітентом.</w:t>
      </w:r>
    </w:p>
    <w:p w14:paraId="27D16EFA" w14:textId="77777777" w:rsidR="009A7EA8" w:rsidRPr="00E16672" w:rsidRDefault="009A7EA8" w:rsidP="009A7EA8">
      <w:pPr>
        <w:pStyle w:val="22"/>
        <w:tabs>
          <w:tab w:val="left" w:pos="709"/>
        </w:tabs>
        <w:ind w:firstLine="567"/>
        <w:rPr>
          <w:rFonts w:ascii="Times New Roman" w:eastAsia="Arial Unicode MS" w:hAnsi="Times New Roman"/>
        </w:rPr>
      </w:pPr>
      <w:r w:rsidRPr="00E16672">
        <w:rPr>
          <w:rFonts w:ascii="Times New Roman" w:eastAsia="Arial Unicode MS" w:hAnsi="Times New Roman"/>
        </w:rPr>
        <w:t>2.5.4. Отримувати відомості від Депозитарної установи про обмеження прав за цінними паперами (за наявності).</w:t>
      </w:r>
    </w:p>
    <w:p w14:paraId="289B2B89" w14:textId="77777777" w:rsidR="009A7EA8" w:rsidRPr="00E16672" w:rsidRDefault="009A7EA8" w:rsidP="009A7EA8">
      <w:pPr>
        <w:pStyle w:val="22"/>
        <w:tabs>
          <w:tab w:val="left" w:pos="709"/>
        </w:tabs>
        <w:ind w:firstLine="567"/>
        <w:rPr>
          <w:rFonts w:ascii="Times New Roman" w:eastAsia="Arial Unicode MS" w:hAnsi="Times New Roman"/>
        </w:rPr>
      </w:pPr>
      <w:r w:rsidRPr="00E16672">
        <w:rPr>
          <w:rFonts w:ascii="Times New Roman" w:eastAsia="Arial Unicode MS" w:hAnsi="Times New Roman"/>
        </w:rPr>
        <w:t>2.5.5. Отримувати іншу необхідну інформацію, яка стосується Договору.</w:t>
      </w:r>
    </w:p>
    <w:p w14:paraId="63E201E1" w14:textId="77777777" w:rsidR="009A7EA8" w:rsidRPr="00E16672" w:rsidRDefault="009018E7" w:rsidP="00022F5F">
      <w:pPr>
        <w:pStyle w:val="22"/>
        <w:tabs>
          <w:tab w:val="left" w:pos="709"/>
        </w:tabs>
        <w:ind w:firstLine="567"/>
        <w:jc w:val="left"/>
        <w:rPr>
          <w:rFonts w:ascii="Times New Roman" w:eastAsia="Arial Unicode MS" w:hAnsi="Times New Roman"/>
        </w:rPr>
      </w:pPr>
      <w:r w:rsidRPr="00E16672">
        <w:rPr>
          <w:rFonts w:ascii="Times New Roman" w:eastAsia="Arial Unicode MS" w:hAnsi="Times New Roman"/>
        </w:rPr>
        <w:t xml:space="preserve">2.5.6. </w:t>
      </w:r>
      <w:r w:rsidRPr="00E16672">
        <w:rPr>
          <w:rFonts w:ascii="Times New Roman" w:hAnsi="Times New Roman"/>
        </w:rPr>
        <w:t xml:space="preserve">Отримувати інформацію про умови та порядок діяльності депозитарної установи з урахуванням вимог, встановлених частиною першою статті 12 Закону України </w:t>
      </w:r>
      <w:r w:rsidR="00022F5F">
        <w:rPr>
          <w:rFonts w:ascii="Times New Roman" w:hAnsi="Times New Roman"/>
        </w:rPr>
        <w:t>"</w:t>
      </w:r>
      <w:r w:rsidRPr="00E16672">
        <w:rPr>
          <w:rFonts w:ascii="Times New Roman" w:hAnsi="Times New Roman"/>
        </w:rPr>
        <w:t>Про фінансові послуги та державне регулювання ринків фінансових послуг</w:t>
      </w:r>
      <w:r w:rsidR="00022F5F">
        <w:rPr>
          <w:rFonts w:ascii="Times New Roman" w:hAnsi="Times New Roman"/>
        </w:rPr>
        <w:t>"</w:t>
      </w:r>
      <w:r w:rsidRPr="00E16672">
        <w:rPr>
          <w:rFonts w:ascii="Times New Roman" w:hAnsi="Times New Roman"/>
        </w:rPr>
        <w:t>.</w:t>
      </w:r>
    </w:p>
    <w:p w14:paraId="706F1024" w14:textId="77777777" w:rsidR="009A7EA8" w:rsidRPr="00E16672" w:rsidRDefault="009A7EA8" w:rsidP="009A7EA8">
      <w:pPr>
        <w:ind w:firstLine="720"/>
        <w:rPr>
          <w:rFonts w:ascii="Times New Roman" w:eastAsia="Arial Unicode MS" w:hAnsi="Times New Roman"/>
          <w:szCs w:val="20"/>
          <w:lang w:val="uk-UA"/>
        </w:rPr>
      </w:pPr>
    </w:p>
    <w:p w14:paraId="6FCB3B7F" w14:textId="77777777" w:rsidR="009A7EA8" w:rsidRPr="00E16672" w:rsidRDefault="009A7EA8" w:rsidP="009A7EA8">
      <w:pPr>
        <w:jc w:val="center"/>
        <w:rPr>
          <w:rFonts w:ascii="Times New Roman" w:eastAsia="Arial Unicode MS" w:hAnsi="Times New Roman"/>
          <w:b/>
          <w:bCs/>
          <w:szCs w:val="20"/>
          <w:lang w:val="uk-UA"/>
        </w:rPr>
      </w:pPr>
      <w:r w:rsidRPr="00E16672">
        <w:rPr>
          <w:rFonts w:ascii="Times New Roman" w:eastAsia="Arial Unicode MS" w:hAnsi="Times New Roman"/>
          <w:b/>
          <w:bCs/>
          <w:szCs w:val="20"/>
          <w:lang w:val="uk-UA"/>
        </w:rPr>
        <w:t xml:space="preserve">3. ПОРЯДОК НАДАННЯ РЕЄСТРУ </w:t>
      </w:r>
    </w:p>
    <w:p w14:paraId="62B6723E" w14:textId="77777777" w:rsidR="009A7EA8" w:rsidRPr="00E16672" w:rsidRDefault="009A7EA8" w:rsidP="009A7EA8">
      <w:pPr>
        <w:jc w:val="center"/>
        <w:rPr>
          <w:rFonts w:ascii="Times New Roman" w:eastAsia="Arial Unicode MS" w:hAnsi="Times New Roman"/>
          <w:b/>
          <w:bCs/>
          <w:szCs w:val="20"/>
          <w:lang w:val="uk-UA"/>
        </w:rPr>
      </w:pPr>
      <w:r w:rsidRPr="00E16672">
        <w:rPr>
          <w:rFonts w:ascii="Times New Roman" w:eastAsia="Arial Unicode MS" w:hAnsi="Times New Roman"/>
          <w:b/>
          <w:bCs/>
          <w:szCs w:val="20"/>
          <w:lang w:val="uk-UA"/>
        </w:rPr>
        <w:t>ТА/АБО ПЕРЕЛІКУ ВЛАСНИКІВ ІМЕННИХ ЦІННИХ ПАПЕРІВ, ДОВІДКОВО-АНАЛІТИЧНИХ МАТЕРІАЛІВ, ВИПИСОК І ІНФОРМАЦІЙНИХ ДОВІДОК, ІНШОЇ ІНФОРМАЦІЇ ЩОДО АКЦІОНЕРІВ</w:t>
      </w:r>
    </w:p>
    <w:p w14:paraId="0C499F26" w14:textId="77777777" w:rsidR="009A7EA8" w:rsidRPr="00E16672" w:rsidRDefault="009A7EA8" w:rsidP="009A7EA8">
      <w:pPr>
        <w:rPr>
          <w:rFonts w:ascii="Times New Roman" w:eastAsia="Arial Unicode MS" w:hAnsi="Times New Roman"/>
          <w:szCs w:val="20"/>
          <w:lang w:val="uk-UA"/>
        </w:rPr>
      </w:pPr>
      <w:r w:rsidRPr="00E16672">
        <w:rPr>
          <w:rFonts w:ascii="Times New Roman" w:eastAsia="Arial Unicode MS" w:hAnsi="Times New Roman"/>
          <w:szCs w:val="20"/>
          <w:lang w:val="uk-UA"/>
        </w:rPr>
        <w:t xml:space="preserve">3.1. Надання реєстру власників іменних цінних паперів та/або переліку власників іменних цінних паперів, довідково-аналітичних матеріалів, виписок і інформаційних довідок, іншої інформації щодо власників іменних цінних паперів здійснюються Депозитарною установою за письмовим розпорядженням Емітента (уповноваженого представника), форма та зміст якого передбачені внутрішніми документами Депозитарної установи. </w:t>
      </w:r>
    </w:p>
    <w:p w14:paraId="7F6B3A7C" w14:textId="77777777" w:rsidR="009A7EA8" w:rsidRPr="00E16672" w:rsidRDefault="009A7EA8" w:rsidP="009A7EA8">
      <w:pPr>
        <w:rPr>
          <w:rFonts w:ascii="Times New Roman" w:eastAsia="Arial Unicode MS" w:hAnsi="Times New Roman"/>
          <w:szCs w:val="20"/>
        </w:rPr>
      </w:pPr>
      <w:r w:rsidRPr="00E16672">
        <w:rPr>
          <w:rFonts w:ascii="Times New Roman" w:eastAsia="Arial Unicode MS" w:hAnsi="Times New Roman"/>
          <w:szCs w:val="20"/>
        </w:rPr>
        <w:t xml:space="preserve">3.2. </w:t>
      </w:r>
      <w:proofErr w:type="spellStart"/>
      <w:r w:rsidRPr="00E16672">
        <w:rPr>
          <w:rFonts w:ascii="Times New Roman" w:eastAsia="Arial Unicode MS" w:hAnsi="Times New Roman"/>
          <w:szCs w:val="20"/>
        </w:rPr>
        <w:t>Розпорядження</w:t>
      </w:r>
      <w:proofErr w:type="spellEnd"/>
      <w:r w:rsidRPr="00E16672">
        <w:rPr>
          <w:rFonts w:ascii="Times New Roman" w:eastAsia="Arial Unicode MS" w:hAnsi="Times New Roman"/>
          <w:szCs w:val="20"/>
        </w:rPr>
        <w:t xml:space="preserve"> у </w:t>
      </w:r>
      <w:proofErr w:type="spellStart"/>
      <w:r w:rsidRPr="00E16672">
        <w:rPr>
          <w:rFonts w:ascii="Times New Roman" w:eastAsia="Arial Unicode MS" w:hAnsi="Times New Roman"/>
          <w:szCs w:val="20"/>
        </w:rPr>
        <w:t>паперовому</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вигляді</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можуть</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отримуватися</w:t>
      </w:r>
      <w:proofErr w:type="spellEnd"/>
      <w:r w:rsidRPr="00E16672">
        <w:rPr>
          <w:rFonts w:ascii="Times New Roman" w:eastAsia="Arial Unicode MS" w:hAnsi="Times New Roman"/>
          <w:szCs w:val="20"/>
        </w:rPr>
        <w:t xml:space="preserve"> Депозитарною </w:t>
      </w:r>
      <w:proofErr w:type="spellStart"/>
      <w:r w:rsidRPr="00E16672">
        <w:rPr>
          <w:rFonts w:ascii="Times New Roman" w:eastAsia="Arial Unicode MS" w:hAnsi="Times New Roman"/>
          <w:szCs w:val="20"/>
        </w:rPr>
        <w:t>установою</w:t>
      </w:r>
      <w:proofErr w:type="spellEnd"/>
      <w:r w:rsidRPr="00E16672">
        <w:rPr>
          <w:rFonts w:ascii="Times New Roman" w:eastAsia="Arial Unicode MS" w:hAnsi="Times New Roman"/>
          <w:szCs w:val="20"/>
        </w:rPr>
        <w:t>:</w:t>
      </w:r>
    </w:p>
    <w:p w14:paraId="4FAFA467" w14:textId="77777777" w:rsidR="009A7EA8" w:rsidRPr="00E16672" w:rsidRDefault="009A7EA8" w:rsidP="000D0438">
      <w:pPr>
        <w:widowControl w:val="0"/>
        <w:numPr>
          <w:ilvl w:val="0"/>
          <w:numId w:val="9"/>
        </w:numPr>
        <w:tabs>
          <w:tab w:val="clear" w:pos="720"/>
          <w:tab w:val="left" w:pos="968"/>
          <w:tab w:val="num" w:pos="1287"/>
          <w:tab w:val="left" w:pos="1854"/>
        </w:tabs>
        <w:ind w:left="0" w:firstLine="545"/>
        <w:rPr>
          <w:rFonts w:ascii="Times New Roman" w:eastAsia="Arial Unicode MS" w:hAnsi="Times New Roman"/>
          <w:szCs w:val="20"/>
        </w:rPr>
      </w:pPr>
      <w:proofErr w:type="spellStart"/>
      <w:r w:rsidRPr="00E16672">
        <w:rPr>
          <w:rFonts w:ascii="Times New Roman" w:eastAsia="Arial Unicode MS" w:hAnsi="Times New Roman"/>
          <w:szCs w:val="20"/>
        </w:rPr>
        <w:t>особисто</w:t>
      </w:r>
      <w:proofErr w:type="spellEnd"/>
      <w:r w:rsidRPr="00E16672">
        <w:rPr>
          <w:rFonts w:ascii="Times New Roman" w:eastAsia="Arial Unicode MS" w:hAnsi="Times New Roman"/>
          <w:szCs w:val="20"/>
        </w:rPr>
        <w:t xml:space="preserve"> при </w:t>
      </w:r>
      <w:proofErr w:type="spellStart"/>
      <w:r w:rsidRPr="00E16672">
        <w:rPr>
          <w:rFonts w:ascii="Times New Roman" w:eastAsia="Arial Unicode MS" w:hAnsi="Times New Roman"/>
          <w:szCs w:val="20"/>
        </w:rPr>
        <w:t>зверненні</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Емітента</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уповноваженого</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представника</w:t>
      </w:r>
      <w:proofErr w:type="spellEnd"/>
      <w:r w:rsidRPr="00E16672">
        <w:rPr>
          <w:rFonts w:ascii="Times New Roman" w:eastAsia="Arial Unicode MS" w:hAnsi="Times New Roman"/>
          <w:szCs w:val="20"/>
        </w:rPr>
        <w:t>);</w:t>
      </w:r>
    </w:p>
    <w:p w14:paraId="2042D8EA" w14:textId="77777777" w:rsidR="009A7EA8" w:rsidRPr="00E16672" w:rsidRDefault="009A7EA8" w:rsidP="000D0438">
      <w:pPr>
        <w:widowControl w:val="0"/>
        <w:numPr>
          <w:ilvl w:val="0"/>
          <w:numId w:val="9"/>
        </w:numPr>
        <w:tabs>
          <w:tab w:val="clear" w:pos="720"/>
          <w:tab w:val="left" w:pos="968"/>
          <w:tab w:val="num" w:pos="1287"/>
          <w:tab w:val="left" w:pos="1854"/>
        </w:tabs>
        <w:ind w:left="0" w:firstLine="545"/>
        <w:rPr>
          <w:rFonts w:ascii="Times New Roman" w:eastAsia="Arial Unicode MS" w:hAnsi="Times New Roman"/>
          <w:szCs w:val="20"/>
        </w:rPr>
      </w:pPr>
      <w:proofErr w:type="spellStart"/>
      <w:r w:rsidRPr="00E16672">
        <w:rPr>
          <w:rFonts w:ascii="Times New Roman" w:eastAsia="Arial Unicode MS" w:hAnsi="Times New Roman"/>
          <w:szCs w:val="20"/>
        </w:rPr>
        <w:t>поштою</w:t>
      </w:r>
      <w:proofErr w:type="spellEnd"/>
      <w:r w:rsidRPr="00E16672">
        <w:rPr>
          <w:rFonts w:ascii="Times New Roman" w:eastAsia="Arial Unicode MS" w:hAnsi="Times New Roman"/>
          <w:szCs w:val="20"/>
        </w:rPr>
        <w:t>/кур</w:t>
      </w:r>
      <w:r w:rsidRPr="00E16672">
        <w:rPr>
          <w:rFonts w:ascii="Times New Roman" w:eastAsia="Arial Unicode MS" w:hAnsi="Times New Roman"/>
          <w:szCs w:val="20"/>
          <w:lang w:val="en-US"/>
        </w:rPr>
        <w:t>’</w:t>
      </w:r>
      <w:proofErr w:type="spellStart"/>
      <w:r w:rsidRPr="00E16672">
        <w:rPr>
          <w:rFonts w:ascii="Times New Roman" w:eastAsia="Arial Unicode MS" w:hAnsi="Times New Roman"/>
          <w:szCs w:val="20"/>
        </w:rPr>
        <w:t>єрської</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доставкою</w:t>
      </w:r>
      <w:proofErr w:type="spellEnd"/>
      <w:r w:rsidRPr="00E16672">
        <w:rPr>
          <w:rFonts w:ascii="Times New Roman" w:eastAsia="Arial Unicode MS" w:hAnsi="Times New Roman"/>
          <w:szCs w:val="20"/>
        </w:rPr>
        <w:t>;</w:t>
      </w:r>
    </w:p>
    <w:p w14:paraId="3F884626" w14:textId="77777777" w:rsidR="009A7EA8" w:rsidRPr="00E16672" w:rsidRDefault="009A7EA8" w:rsidP="000D0438">
      <w:pPr>
        <w:widowControl w:val="0"/>
        <w:numPr>
          <w:ilvl w:val="0"/>
          <w:numId w:val="9"/>
        </w:numPr>
        <w:tabs>
          <w:tab w:val="clear" w:pos="720"/>
          <w:tab w:val="left" w:pos="968"/>
          <w:tab w:val="num" w:pos="1287"/>
          <w:tab w:val="left" w:pos="1854"/>
        </w:tabs>
        <w:ind w:left="0" w:firstLine="545"/>
        <w:rPr>
          <w:rFonts w:ascii="Times New Roman" w:eastAsia="Arial Unicode MS" w:hAnsi="Times New Roman"/>
          <w:szCs w:val="20"/>
        </w:rPr>
      </w:pPr>
      <w:r w:rsidRPr="00E16672">
        <w:rPr>
          <w:rFonts w:ascii="Times New Roman" w:eastAsia="Arial Unicode MS" w:hAnsi="Times New Roman"/>
          <w:szCs w:val="20"/>
        </w:rPr>
        <w:t xml:space="preserve">за </w:t>
      </w:r>
      <w:proofErr w:type="spellStart"/>
      <w:r w:rsidRPr="00E16672">
        <w:rPr>
          <w:rFonts w:ascii="Times New Roman" w:eastAsia="Arial Unicode MS" w:hAnsi="Times New Roman"/>
          <w:szCs w:val="20"/>
        </w:rPr>
        <w:t>допомогою</w:t>
      </w:r>
      <w:proofErr w:type="spellEnd"/>
      <w:r w:rsidRPr="00E16672">
        <w:rPr>
          <w:rFonts w:ascii="Times New Roman" w:eastAsia="Arial Unicode MS" w:hAnsi="Times New Roman"/>
          <w:szCs w:val="20"/>
        </w:rPr>
        <w:t xml:space="preserve"> факсового </w:t>
      </w:r>
      <w:proofErr w:type="spellStart"/>
      <w:r w:rsidRPr="00E16672">
        <w:rPr>
          <w:rFonts w:ascii="Times New Roman" w:eastAsia="Arial Unicode MS" w:hAnsi="Times New Roman"/>
          <w:szCs w:val="20"/>
        </w:rPr>
        <w:t>зв’язку</w:t>
      </w:r>
      <w:proofErr w:type="spellEnd"/>
      <w:r w:rsidRPr="00E16672">
        <w:rPr>
          <w:rFonts w:ascii="Times New Roman" w:eastAsia="Arial Unicode MS" w:hAnsi="Times New Roman"/>
          <w:szCs w:val="20"/>
        </w:rPr>
        <w:t xml:space="preserve"> з </w:t>
      </w:r>
      <w:proofErr w:type="spellStart"/>
      <w:r w:rsidRPr="00E16672">
        <w:rPr>
          <w:rFonts w:ascii="Times New Roman" w:eastAsia="Arial Unicode MS" w:hAnsi="Times New Roman"/>
          <w:szCs w:val="20"/>
        </w:rPr>
        <w:t>наступним</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відправленням</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оригіналу</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рекомендованим</w:t>
      </w:r>
      <w:proofErr w:type="spellEnd"/>
      <w:r w:rsidRPr="00E16672">
        <w:rPr>
          <w:rFonts w:ascii="Times New Roman" w:eastAsia="Arial Unicode MS" w:hAnsi="Times New Roman"/>
          <w:szCs w:val="20"/>
        </w:rPr>
        <w:t xml:space="preserve"> листом </w:t>
      </w:r>
      <w:proofErr w:type="spellStart"/>
      <w:r w:rsidRPr="00E16672">
        <w:rPr>
          <w:rFonts w:ascii="Times New Roman" w:eastAsia="Arial Unicode MS" w:hAnsi="Times New Roman"/>
          <w:szCs w:val="20"/>
        </w:rPr>
        <w:t>або</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його</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наданням</w:t>
      </w:r>
      <w:proofErr w:type="spellEnd"/>
      <w:r w:rsidRPr="00E16672">
        <w:rPr>
          <w:rFonts w:ascii="Times New Roman" w:eastAsia="Arial Unicode MS" w:hAnsi="Times New Roman"/>
          <w:szCs w:val="20"/>
        </w:rPr>
        <w:t xml:space="preserve"> не </w:t>
      </w:r>
      <w:proofErr w:type="spellStart"/>
      <w:r w:rsidRPr="00E16672">
        <w:rPr>
          <w:rFonts w:ascii="Times New Roman" w:eastAsia="Arial Unicode MS" w:hAnsi="Times New Roman"/>
          <w:szCs w:val="20"/>
        </w:rPr>
        <w:t>пізніше</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наступного</w:t>
      </w:r>
      <w:proofErr w:type="spellEnd"/>
      <w:r w:rsidRPr="00E16672">
        <w:rPr>
          <w:rFonts w:ascii="Times New Roman" w:eastAsia="Arial Unicode MS" w:hAnsi="Times New Roman"/>
          <w:szCs w:val="20"/>
        </w:rPr>
        <w:t xml:space="preserve"> дня з моменту </w:t>
      </w:r>
      <w:proofErr w:type="spellStart"/>
      <w:r w:rsidRPr="00E16672">
        <w:rPr>
          <w:rFonts w:ascii="Times New Roman" w:eastAsia="Arial Unicode MS" w:hAnsi="Times New Roman"/>
          <w:szCs w:val="20"/>
        </w:rPr>
        <w:t>отримання</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розпорядження</w:t>
      </w:r>
      <w:proofErr w:type="spellEnd"/>
      <w:r w:rsidRPr="00E16672">
        <w:rPr>
          <w:rFonts w:ascii="Times New Roman" w:eastAsia="Arial Unicode MS" w:hAnsi="Times New Roman"/>
          <w:szCs w:val="20"/>
        </w:rPr>
        <w:t xml:space="preserve">. </w:t>
      </w:r>
    </w:p>
    <w:p w14:paraId="69F80209" w14:textId="77777777" w:rsidR="009A7EA8" w:rsidRPr="00E16672" w:rsidRDefault="009A7EA8" w:rsidP="009A7EA8">
      <w:pPr>
        <w:rPr>
          <w:rFonts w:ascii="Times New Roman" w:eastAsia="Arial Unicode MS" w:hAnsi="Times New Roman"/>
          <w:szCs w:val="20"/>
        </w:rPr>
      </w:pPr>
      <w:proofErr w:type="spellStart"/>
      <w:r w:rsidRPr="00E16672">
        <w:rPr>
          <w:rFonts w:ascii="Times New Roman" w:eastAsia="Arial Unicode MS" w:hAnsi="Times New Roman"/>
          <w:szCs w:val="20"/>
        </w:rPr>
        <w:t>Емітент</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погоджується</w:t>
      </w:r>
      <w:proofErr w:type="spellEnd"/>
      <w:r w:rsidRPr="00E16672">
        <w:rPr>
          <w:rFonts w:ascii="Times New Roman" w:eastAsia="Arial Unicode MS" w:hAnsi="Times New Roman"/>
          <w:szCs w:val="20"/>
        </w:rPr>
        <w:t xml:space="preserve"> з </w:t>
      </w:r>
      <w:proofErr w:type="spellStart"/>
      <w:r w:rsidRPr="00E16672">
        <w:rPr>
          <w:rFonts w:ascii="Times New Roman" w:eastAsia="Arial Unicode MS" w:hAnsi="Times New Roman"/>
          <w:szCs w:val="20"/>
        </w:rPr>
        <w:t>тим</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що</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він</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був</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повідомлений</w:t>
      </w:r>
      <w:proofErr w:type="spellEnd"/>
      <w:r w:rsidRPr="00E16672">
        <w:rPr>
          <w:rFonts w:ascii="Times New Roman" w:eastAsia="Arial Unicode MS" w:hAnsi="Times New Roman"/>
          <w:szCs w:val="20"/>
        </w:rPr>
        <w:t xml:space="preserve"> про </w:t>
      </w:r>
      <w:proofErr w:type="spellStart"/>
      <w:r w:rsidRPr="00E16672">
        <w:rPr>
          <w:rFonts w:ascii="Times New Roman" w:eastAsia="Arial Unicode MS" w:hAnsi="Times New Roman"/>
          <w:szCs w:val="20"/>
        </w:rPr>
        <w:t>ризик</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пов’язаний</w:t>
      </w:r>
      <w:proofErr w:type="spellEnd"/>
      <w:r w:rsidRPr="00E16672">
        <w:rPr>
          <w:rFonts w:ascii="Times New Roman" w:eastAsia="Arial Unicode MS" w:hAnsi="Times New Roman"/>
          <w:szCs w:val="20"/>
        </w:rPr>
        <w:t xml:space="preserve"> з </w:t>
      </w:r>
      <w:proofErr w:type="spellStart"/>
      <w:r w:rsidRPr="00E16672">
        <w:rPr>
          <w:rFonts w:ascii="Times New Roman" w:eastAsia="Arial Unicode MS" w:hAnsi="Times New Roman"/>
          <w:szCs w:val="20"/>
        </w:rPr>
        <w:t>використанням</w:t>
      </w:r>
      <w:proofErr w:type="spellEnd"/>
      <w:r w:rsidRPr="00E16672">
        <w:rPr>
          <w:rFonts w:ascii="Times New Roman" w:eastAsia="Arial Unicode MS" w:hAnsi="Times New Roman"/>
          <w:szCs w:val="20"/>
        </w:rPr>
        <w:t xml:space="preserve"> такого </w:t>
      </w:r>
      <w:proofErr w:type="spellStart"/>
      <w:r w:rsidRPr="00E16672">
        <w:rPr>
          <w:rFonts w:ascii="Times New Roman" w:eastAsia="Arial Unicode MS" w:hAnsi="Times New Roman"/>
          <w:szCs w:val="20"/>
        </w:rPr>
        <w:t>засобу</w:t>
      </w:r>
      <w:proofErr w:type="spellEnd"/>
      <w:r w:rsidRPr="00E16672">
        <w:rPr>
          <w:rFonts w:ascii="Times New Roman" w:eastAsia="Arial Unicode MS" w:hAnsi="Times New Roman"/>
          <w:szCs w:val="20"/>
        </w:rPr>
        <w:t xml:space="preserve">, як </w:t>
      </w:r>
      <w:proofErr w:type="spellStart"/>
      <w:r w:rsidRPr="00E16672">
        <w:rPr>
          <w:rFonts w:ascii="Times New Roman" w:eastAsia="Arial Unicode MS" w:hAnsi="Times New Roman"/>
          <w:szCs w:val="20"/>
        </w:rPr>
        <w:t>факсовий</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зв’язок</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можливими</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зловживаннями</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деформацією</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повідомлень</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виходу</w:t>
      </w:r>
      <w:proofErr w:type="spellEnd"/>
      <w:r w:rsidRPr="00E16672">
        <w:rPr>
          <w:rFonts w:ascii="Times New Roman" w:eastAsia="Arial Unicode MS" w:hAnsi="Times New Roman"/>
          <w:szCs w:val="20"/>
        </w:rPr>
        <w:t xml:space="preserve"> з ладу систем. </w:t>
      </w:r>
      <w:proofErr w:type="spellStart"/>
      <w:r w:rsidRPr="00E16672">
        <w:rPr>
          <w:rFonts w:ascii="Times New Roman" w:eastAsia="Arial Unicode MS" w:hAnsi="Times New Roman"/>
          <w:szCs w:val="20"/>
        </w:rPr>
        <w:t>Емітент</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зобов’язується</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прийняти</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наслідки</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вищевказаного</w:t>
      </w:r>
      <w:proofErr w:type="spellEnd"/>
      <w:r w:rsidRPr="00E16672">
        <w:rPr>
          <w:rFonts w:ascii="Times New Roman" w:eastAsia="Arial Unicode MS" w:hAnsi="Times New Roman"/>
          <w:szCs w:val="20"/>
        </w:rPr>
        <w:t xml:space="preserve"> на себе.</w:t>
      </w:r>
    </w:p>
    <w:p w14:paraId="6A72F220" w14:textId="77777777" w:rsidR="009A7EA8" w:rsidRPr="00E16672" w:rsidRDefault="009A7EA8" w:rsidP="009A7EA8">
      <w:pPr>
        <w:rPr>
          <w:rFonts w:ascii="Times New Roman" w:eastAsia="Arial Unicode MS" w:hAnsi="Times New Roman"/>
          <w:szCs w:val="20"/>
        </w:rPr>
      </w:pPr>
      <w:r w:rsidRPr="00E16672">
        <w:rPr>
          <w:rFonts w:ascii="Times New Roman" w:eastAsia="Arial Unicode MS" w:hAnsi="Times New Roman"/>
          <w:szCs w:val="20"/>
        </w:rPr>
        <w:t xml:space="preserve">3.3. </w:t>
      </w:r>
      <w:proofErr w:type="spellStart"/>
      <w:r w:rsidRPr="00E16672">
        <w:rPr>
          <w:rFonts w:ascii="Times New Roman" w:eastAsia="Arial Unicode MS" w:hAnsi="Times New Roman"/>
          <w:szCs w:val="20"/>
        </w:rPr>
        <w:t>Розпорядження</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підписуються</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уповноваженими</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представниками</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Емітента</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які</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мають</w:t>
      </w:r>
      <w:proofErr w:type="spellEnd"/>
      <w:r w:rsidRPr="00E16672">
        <w:rPr>
          <w:rFonts w:ascii="Times New Roman" w:eastAsia="Arial Unicode MS" w:hAnsi="Times New Roman"/>
          <w:szCs w:val="20"/>
        </w:rPr>
        <w:t xml:space="preserve"> право </w:t>
      </w:r>
      <w:proofErr w:type="spellStart"/>
      <w:r w:rsidRPr="00E16672">
        <w:rPr>
          <w:rFonts w:ascii="Times New Roman" w:eastAsia="Arial Unicode MS" w:hAnsi="Times New Roman"/>
          <w:szCs w:val="20"/>
        </w:rPr>
        <w:t>діяти</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від</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імені</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Емітента</w:t>
      </w:r>
      <w:proofErr w:type="spellEnd"/>
      <w:r w:rsidRPr="00E16672">
        <w:rPr>
          <w:rFonts w:ascii="Times New Roman" w:eastAsia="Arial Unicode MS" w:hAnsi="Times New Roman"/>
          <w:szCs w:val="20"/>
        </w:rPr>
        <w:t xml:space="preserve"> без </w:t>
      </w:r>
      <w:proofErr w:type="spellStart"/>
      <w:r w:rsidRPr="00E16672">
        <w:rPr>
          <w:rFonts w:ascii="Times New Roman" w:eastAsia="Arial Unicode MS" w:hAnsi="Times New Roman"/>
          <w:szCs w:val="20"/>
        </w:rPr>
        <w:t>довіреності</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або</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діють</w:t>
      </w:r>
      <w:proofErr w:type="spellEnd"/>
      <w:r w:rsidRPr="00E16672">
        <w:rPr>
          <w:rFonts w:ascii="Times New Roman" w:eastAsia="Arial Unicode MS" w:hAnsi="Times New Roman"/>
          <w:szCs w:val="20"/>
        </w:rPr>
        <w:t xml:space="preserve"> на </w:t>
      </w:r>
      <w:proofErr w:type="spellStart"/>
      <w:r w:rsidRPr="00E16672">
        <w:rPr>
          <w:rFonts w:ascii="Times New Roman" w:eastAsia="Arial Unicode MS" w:hAnsi="Times New Roman"/>
          <w:szCs w:val="20"/>
        </w:rPr>
        <w:t>підставі</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довіреності</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виданої</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відповідно</w:t>
      </w:r>
      <w:proofErr w:type="spellEnd"/>
      <w:r w:rsidRPr="00E16672">
        <w:rPr>
          <w:rFonts w:ascii="Times New Roman" w:eastAsia="Arial Unicode MS" w:hAnsi="Times New Roman"/>
          <w:szCs w:val="20"/>
        </w:rPr>
        <w:t xml:space="preserve"> до чинного </w:t>
      </w:r>
      <w:proofErr w:type="spellStart"/>
      <w:r w:rsidRPr="00E16672">
        <w:rPr>
          <w:rFonts w:ascii="Times New Roman" w:eastAsia="Arial Unicode MS" w:hAnsi="Times New Roman"/>
          <w:szCs w:val="20"/>
        </w:rPr>
        <w:t>законодавства</w:t>
      </w:r>
      <w:proofErr w:type="spellEnd"/>
      <w:r w:rsidRPr="00E16672">
        <w:rPr>
          <w:rFonts w:ascii="Times New Roman" w:eastAsia="Arial Unicode MS" w:hAnsi="Times New Roman"/>
          <w:szCs w:val="20"/>
        </w:rPr>
        <w:t xml:space="preserve">, та </w:t>
      </w:r>
      <w:proofErr w:type="spellStart"/>
      <w:r w:rsidRPr="00E16672">
        <w:rPr>
          <w:rFonts w:ascii="Times New Roman" w:eastAsia="Arial Unicode MS" w:hAnsi="Times New Roman"/>
          <w:szCs w:val="20"/>
        </w:rPr>
        <w:t>щодо</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яких</w:t>
      </w:r>
      <w:proofErr w:type="spellEnd"/>
      <w:r w:rsidRPr="00E16672">
        <w:rPr>
          <w:rFonts w:ascii="Times New Roman" w:eastAsia="Arial Unicode MS" w:hAnsi="Times New Roman"/>
          <w:szCs w:val="20"/>
        </w:rPr>
        <w:t xml:space="preserve"> до </w:t>
      </w:r>
      <w:proofErr w:type="spellStart"/>
      <w:r w:rsidRPr="00E16672">
        <w:rPr>
          <w:rFonts w:ascii="Times New Roman" w:eastAsia="Arial Unicode MS" w:hAnsi="Times New Roman"/>
          <w:szCs w:val="20"/>
        </w:rPr>
        <w:t>Депозитарної</w:t>
      </w:r>
      <w:proofErr w:type="spellEnd"/>
      <w:r w:rsidRPr="00E16672">
        <w:rPr>
          <w:rFonts w:ascii="Times New Roman" w:eastAsia="Arial Unicode MS" w:hAnsi="Times New Roman"/>
          <w:szCs w:val="20"/>
        </w:rPr>
        <w:t xml:space="preserve"> установи </w:t>
      </w:r>
      <w:proofErr w:type="spellStart"/>
      <w:r w:rsidRPr="00E16672">
        <w:rPr>
          <w:rFonts w:ascii="Times New Roman" w:eastAsia="Arial Unicode MS" w:hAnsi="Times New Roman"/>
          <w:szCs w:val="20"/>
        </w:rPr>
        <w:t>надано</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відповідну</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картку</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зразків</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підписів</w:t>
      </w:r>
      <w:proofErr w:type="spellEnd"/>
      <w:r w:rsidRPr="00E16672">
        <w:rPr>
          <w:rFonts w:ascii="Times New Roman" w:eastAsia="Arial Unicode MS" w:hAnsi="Times New Roman"/>
          <w:szCs w:val="20"/>
        </w:rPr>
        <w:t xml:space="preserve"> та </w:t>
      </w:r>
      <w:proofErr w:type="spellStart"/>
      <w:r w:rsidRPr="00E16672">
        <w:rPr>
          <w:rFonts w:ascii="Times New Roman" w:eastAsia="Arial Unicode MS" w:hAnsi="Times New Roman"/>
          <w:szCs w:val="20"/>
        </w:rPr>
        <w:t>довіреність</w:t>
      </w:r>
      <w:proofErr w:type="spellEnd"/>
      <w:r w:rsidRPr="00E16672">
        <w:rPr>
          <w:rFonts w:ascii="Times New Roman" w:eastAsia="Arial Unicode MS" w:hAnsi="Times New Roman"/>
          <w:szCs w:val="20"/>
        </w:rPr>
        <w:t>.</w:t>
      </w:r>
    </w:p>
    <w:p w14:paraId="56BFB42E" w14:textId="77777777" w:rsidR="009A7EA8" w:rsidRPr="00E16672" w:rsidRDefault="009A7EA8" w:rsidP="009A7EA8">
      <w:pPr>
        <w:rPr>
          <w:rFonts w:ascii="Times New Roman" w:eastAsia="Arial Unicode MS" w:hAnsi="Times New Roman"/>
          <w:szCs w:val="20"/>
        </w:rPr>
      </w:pPr>
      <w:r w:rsidRPr="00E16672">
        <w:rPr>
          <w:rFonts w:ascii="Times New Roman" w:eastAsia="Arial Unicode MS" w:hAnsi="Times New Roman"/>
          <w:szCs w:val="20"/>
        </w:rPr>
        <w:t xml:space="preserve">3.4. </w:t>
      </w:r>
      <w:proofErr w:type="spellStart"/>
      <w:r w:rsidRPr="00E16672">
        <w:rPr>
          <w:rFonts w:ascii="Times New Roman" w:eastAsia="Arial Unicode MS" w:hAnsi="Times New Roman"/>
          <w:szCs w:val="20"/>
        </w:rPr>
        <w:t>Депозитарна</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установа</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приймає</w:t>
      </w:r>
      <w:proofErr w:type="spellEnd"/>
      <w:r w:rsidRPr="00E16672">
        <w:rPr>
          <w:rFonts w:ascii="Times New Roman" w:eastAsia="Arial Unicode MS" w:hAnsi="Times New Roman"/>
          <w:szCs w:val="20"/>
        </w:rPr>
        <w:t xml:space="preserve"> до </w:t>
      </w:r>
      <w:proofErr w:type="spellStart"/>
      <w:r w:rsidRPr="00E16672">
        <w:rPr>
          <w:rFonts w:ascii="Times New Roman" w:eastAsia="Arial Unicode MS" w:hAnsi="Times New Roman"/>
          <w:szCs w:val="20"/>
        </w:rPr>
        <w:t>виконання</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тільки</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ті</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розпорядження</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Емітента</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які</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підтверджені</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підписом</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уповноваженого</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представника</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Емітента</w:t>
      </w:r>
      <w:proofErr w:type="spellEnd"/>
      <w:r w:rsidRPr="00E16672">
        <w:rPr>
          <w:rFonts w:ascii="Times New Roman" w:eastAsia="Arial Unicode MS" w:hAnsi="Times New Roman"/>
          <w:szCs w:val="20"/>
        </w:rPr>
        <w:t xml:space="preserve"> та </w:t>
      </w:r>
      <w:proofErr w:type="spellStart"/>
      <w:r w:rsidRPr="00E16672">
        <w:rPr>
          <w:rFonts w:ascii="Times New Roman" w:eastAsia="Arial Unicode MS" w:hAnsi="Times New Roman"/>
          <w:szCs w:val="20"/>
        </w:rPr>
        <w:t>засвідчені</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печаткою</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Емітента</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Достовірність</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підписів</w:t>
      </w:r>
      <w:proofErr w:type="spellEnd"/>
      <w:r w:rsidRPr="00E16672">
        <w:rPr>
          <w:rFonts w:ascii="Times New Roman" w:eastAsia="Arial Unicode MS" w:hAnsi="Times New Roman"/>
          <w:szCs w:val="20"/>
        </w:rPr>
        <w:t xml:space="preserve"> на </w:t>
      </w:r>
      <w:proofErr w:type="spellStart"/>
      <w:r w:rsidRPr="00E16672">
        <w:rPr>
          <w:rFonts w:ascii="Times New Roman" w:eastAsia="Arial Unicode MS" w:hAnsi="Times New Roman"/>
          <w:szCs w:val="20"/>
        </w:rPr>
        <w:t>розпорядженнях</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підтверджується</w:t>
      </w:r>
      <w:proofErr w:type="spellEnd"/>
      <w:r w:rsidRPr="00E16672">
        <w:rPr>
          <w:rFonts w:ascii="Times New Roman" w:eastAsia="Arial Unicode MS" w:hAnsi="Times New Roman"/>
          <w:szCs w:val="20"/>
        </w:rPr>
        <w:t xml:space="preserve"> шляхом </w:t>
      </w:r>
      <w:proofErr w:type="spellStart"/>
      <w:r w:rsidRPr="00E16672">
        <w:rPr>
          <w:rFonts w:ascii="Times New Roman" w:eastAsia="Arial Unicode MS" w:hAnsi="Times New Roman"/>
          <w:szCs w:val="20"/>
        </w:rPr>
        <w:t>зіставлення</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підписів</w:t>
      </w:r>
      <w:proofErr w:type="spellEnd"/>
      <w:r w:rsidRPr="00E16672">
        <w:rPr>
          <w:rFonts w:ascii="Times New Roman" w:eastAsia="Arial Unicode MS" w:hAnsi="Times New Roman"/>
          <w:szCs w:val="20"/>
        </w:rPr>
        <w:t xml:space="preserve"> у </w:t>
      </w:r>
      <w:proofErr w:type="spellStart"/>
      <w:r w:rsidRPr="00E16672">
        <w:rPr>
          <w:rFonts w:ascii="Times New Roman" w:eastAsia="Arial Unicode MS" w:hAnsi="Times New Roman"/>
          <w:szCs w:val="20"/>
        </w:rPr>
        <w:t>розпорядженні</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зі</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зразками</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підписів</w:t>
      </w:r>
      <w:proofErr w:type="spellEnd"/>
      <w:r w:rsidRPr="00E16672">
        <w:rPr>
          <w:rFonts w:ascii="Times New Roman" w:eastAsia="Arial Unicode MS" w:hAnsi="Times New Roman"/>
          <w:szCs w:val="20"/>
        </w:rPr>
        <w:t xml:space="preserve"> у </w:t>
      </w:r>
      <w:proofErr w:type="spellStart"/>
      <w:r w:rsidRPr="00E16672">
        <w:rPr>
          <w:rFonts w:ascii="Times New Roman" w:eastAsia="Arial Unicode MS" w:hAnsi="Times New Roman"/>
          <w:szCs w:val="20"/>
        </w:rPr>
        <w:t>картці</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із</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зразками</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підписів</w:t>
      </w:r>
      <w:proofErr w:type="spellEnd"/>
      <w:r w:rsidRPr="00E16672">
        <w:rPr>
          <w:rFonts w:ascii="Times New Roman" w:eastAsia="Arial Unicode MS" w:hAnsi="Times New Roman"/>
          <w:szCs w:val="20"/>
        </w:rPr>
        <w:t xml:space="preserve"> та </w:t>
      </w:r>
      <w:proofErr w:type="spellStart"/>
      <w:r w:rsidRPr="00E16672">
        <w:rPr>
          <w:rFonts w:ascii="Times New Roman" w:eastAsia="Arial Unicode MS" w:hAnsi="Times New Roman"/>
          <w:szCs w:val="20"/>
        </w:rPr>
        <w:t>відбитком</w:t>
      </w:r>
      <w:proofErr w:type="spellEnd"/>
      <w:r w:rsidRPr="00E16672">
        <w:rPr>
          <w:rFonts w:ascii="Times New Roman" w:eastAsia="Arial Unicode MS" w:hAnsi="Times New Roman"/>
          <w:szCs w:val="20"/>
        </w:rPr>
        <w:t xml:space="preserve"> печатки. </w:t>
      </w:r>
      <w:proofErr w:type="spellStart"/>
      <w:r w:rsidRPr="00E16672">
        <w:rPr>
          <w:rFonts w:ascii="Times New Roman" w:eastAsia="Arial Unicode MS" w:hAnsi="Times New Roman"/>
          <w:szCs w:val="20"/>
        </w:rPr>
        <w:t>Депозитарна</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установа</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має</w:t>
      </w:r>
      <w:proofErr w:type="spellEnd"/>
      <w:r w:rsidRPr="00E16672">
        <w:rPr>
          <w:rFonts w:ascii="Times New Roman" w:eastAsia="Arial Unicode MS" w:hAnsi="Times New Roman"/>
          <w:szCs w:val="20"/>
        </w:rPr>
        <w:t xml:space="preserve"> право не </w:t>
      </w:r>
      <w:proofErr w:type="spellStart"/>
      <w:r w:rsidRPr="00E16672">
        <w:rPr>
          <w:rFonts w:ascii="Times New Roman" w:eastAsia="Arial Unicode MS" w:hAnsi="Times New Roman"/>
          <w:szCs w:val="20"/>
        </w:rPr>
        <w:t>приймати</w:t>
      </w:r>
      <w:proofErr w:type="spellEnd"/>
      <w:r w:rsidRPr="00E16672">
        <w:rPr>
          <w:rFonts w:ascii="Times New Roman" w:eastAsia="Arial Unicode MS" w:hAnsi="Times New Roman"/>
          <w:szCs w:val="20"/>
        </w:rPr>
        <w:t xml:space="preserve"> до </w:t>
      </w:r>
      <w:proofErr w:type="spellStart"/>
      <w:r w:rsidRPr="00E16672">
        <w:rPr>
          <w:rFonts w:ascii="Times New Roman" w:eastAsia="Arial Unicode MS" w:hAnsi="Times New Roman"/>
          <w:szCs w:val="20"/>
        </w:rPr>
        <w:t>виконання</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розпорядження</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Емітента</w:t>
      </w:r>
      <w:proofErr w:type="spellEnd"/>
      <w:r w:rsidRPr="00E16672">
        <w:rPr>
          <w:rFonts w:ascii="Times New Roman" w:eastAsia="Arial Unicode MS" w:hAnsi="Times New Roman"/>
          <w:szCs w:val="20"/>
        </w:rPr>
        <w:t xml:space="preserve"> у </w:t>
      </w:r>
      <w:proofErr w:type="spellStart"/>
      <w:r w:rsidRPr="00E16672">
        <w:rPr>
          <w:rFonts w:ascii="Times New Roman" w:eastAsia="Arial Unicode MS" w:hAnsi="Times New Roman"/>
          <w:szCs w:val="20"/>
        </w:rPr>
        <w:t>разі</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несплати</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послуг</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Депозитарної</w:t>
      </w:r>
      <w:proofErr w:type="spellEnd"/>
      <w:r w:rsidRPr="00E16672">
        <w:rPr>
          <w:rFonts w:ascii="Times New Roman" w:eastAsia="Arial Unicode MS" w:hAnsi="Times New Roman"/>
          <w:szCs w:val="20"/>
        </w:rPr>
        <w:t xml:space="preserve"> установи </w:t>
      </w:r>
      <w:proofErr w:type="spellStart"/>
      <w:r w:rsidRPr="00E16672">
        <w:rPr>
          <w:rFonts w:ascii="Times New Roman" w:eastAsia="Arial Unicode MS" w:hAnsi="Times New Roman"/>
          <w:szCs w:val="20"/>
        </w:rPr>
        <w:t>Емітентом</w:t>
      </w:r>
      <w:proofErr w:type="spellEnd"/>
      <w:r w:rsidRPr="00E16672">
        <w:rPr>
          <w:rFonts w:ascii="Times New Roman" w:eastAsia="Arial Unicode MS" w:hAnsi="Times New Roman"/>
          <w:szCs w:val="20"/>
        </w:rPr>
        <w:t>.</w:t>
      </w:r>
    </w:p>
    <w:p w14:paraId="13701A89" w14:textId="77777777" w:rsidR="009A7EA8" w:rsidRPr="00E16672" w:rsidRDefault="009A7EA8" w:rsidP="009A7EA8">
      <w:pPr>
        <w:rPr>
          <w:rFonts w:ascii="Times New Roman" w:eastAsia="Arial Unicode MS" w:hAnsi="Times New Roman"/>
          <w:szCs w:val="20"/>
        </w:rPr>
      </w:pPr>
      <w:r w:rsidRPr="00E16672">
        <w:rPr>
          <w:rFonts w:ascii="Times New Roman" w:eastAsia="Arial Unicode MS" w:hAnsi="Times New Roman"/>
          <w:szCs w:val="20"/>
        </w:rPr>
        <w:t xml:space="preserve">3.5. </w:t>
      </w:r>
      <w:proofErr w:type="spellStart"/>
      <w:r w:rsidRPr="00E16672">
        <w:rPr>
          <w:rFonts w:ascii="Times New Roman" w:eastAsia="Arial Unicode MS" w:hAnsi="Times New Roman"/>
          <w:szCs w:val="20"/>
        </w:rPr>
        <w:t>Розпорядження</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повинні</w:t>
      </w:r>
      <w:proofErr w:type="spellEnd"/>
      <w:r w:rsidRPr="00E16672">
        <w:rPr>
          <w:rFonts w:ascii="Times New Roman" w:eastAsia="Arial Unicode MS" w:hAnsi="Times New Roman"/>
          <w:szCs w:val="20"/>
        </w:rPr>
        <w:t xml:space="preserve"> бути </w:t>
      </w:r>
      <w:proofErr w:type="spellStart"/>
      <w:r w:rsidRPr="00E16672">
        <w:rPr>
          <w:rFonts w:ascii="Times New Roman" w:eastAsia="Arial Unicode MS" w:hAnsi="Times New Roman"/>
          <w:szCs w:val="20"/>
        </w:rPr>
        <w:t>надані</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Депозитарній</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установі</w:t>
      </w:r>
      <w:proofErr w:type="spellEnd"/>
      <w:r w:rsidRPr="00E16672">
        <w:rPr>
          <w:rFonts w:ascii="Times New Roman" w:eastAsia="Arial Unicode MS" w:hAnsi="Times New Roman"/>
          <w:szCs w:val="20"/>
        </w:rPr>
        <w:t xml:space="preserve"> без </w:t>
      </w:r>
      <w:proofErr w:type="spellStart"/>
      <w:r w:rsidRPr="00E16672">
        <w:rPr>
          <w:rFonts w:ascii="Times New Roman" w:eastAsia="Arial Unicode MS" w:hAnsi="Times New Roman"/>
          <w:szCs w:val="20"/>
        </w:rPr>
        <w:t>перекручування</w:t>
      </w:r>
      <w:proofErr w:type="spellEnd"/>
      <w:r w:rsidRPr="00E16672">
        <w:rPr>
          <w:rFonts w:ascii="Times New Roman" w:eastAsia="Arial Unicode MS" w:hAnsi="Times New Roman"/>
          <w:szCs w:val="20"/>
        </w:rPr>
        <w:t xml:space="preserve"> та </w:t>
      </w:r>
      <w:proofErr w:type="spellStart"/>
      <w:r w:rsidRPr="00E16672">
        <w:rPr>
          <w:rFonts w:ascii="Times New Roman" w:eastAsia="Arial Unicode MS" w:hAnsi="Times New Roman"/>
          <w:szCs w:val="20"/>
        </w:rPr>
        <w:t>виправлення</w:t>
      </w:r>
      <w:proofErr w:type="spellEnd"/>
      <w:r w:rsidRPr="00E16672">
        <w:rPr>
          <w:rFonts w:ascii="Times New Roman" w:eastAsia="Arial Unicode MS" w:hAnsi="Times New Roman"/>
          <w:szCs w:val="20"/>
        </w:rPr>
        <w:t xml:space="preserve"> тексту, з </w:t>
      </w:r>
      <w:proofErr w:type="spellStart"/>
      <w:r w:rsidRPr="00E16672">
        <w:rPr>
          <w:rFonts w:ascii="Times New Roman" w:eastAsia="Arial Unicode MS" w:hAnsi="Times New Roman"/>
          <w:szCs w:val="20"/>
        </w:rPr>
        <w:t>чітким</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відбитком</w:t>
      </w:r>
      <w:proofErr w:type="spellEnd"/>
      <w:r w:rsidRPr="00E16672">
        <w:rPr>
          <w:rFonts w:ascii="Times New Roman" w:eastAsia="Arial Unicode MS" w:hAnsi="Times New Roman"/>
          <w:szCs w:val="20"/>
        </w:rPr>
        <w:t xml:space="preserve"> печатки за </w:t>
      </w:r>
      <w:proofErr w:type="spellStart"/>
      <w:r w:rsidRPr="00E16672">
        <w:rPr>
          <w:rFonts w:ascii="Times New Roman" w:eastAsia="Arial Unicode MS" w:hAnsi="Times New Roman"/>
          <w:szCs w:val="20"/>
        </w:rPr>
        <w:t>підписом</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уповноваженого</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представника</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Емітента</w:t>
      </w:r>
      <w:proofErr w:type="spellEnd"/>
      <w:r w:rsidRPr="00E16672">
        <w:rPr>
          <w:rFonts w:ascii="Times New Roman" w:eastAsia="Arial Unicode MS" w:hAnsi="Times New Roman"/>
          <w:szCs w:val="20"/>
        </w:rPr>
        <w:t>.</w:t>
      </w:r>
    </w:p>
    <w:p w14:paraId="4EB6BABB" w14:textId="77777777" w:rsidR="009A7EA8" w:rsidRPr="00E16672" w:rsidRDefault="009A7EA8" w:rsidP="009A7EA8">
      <w:pPr>
        <w:rPr>
          <w:rFonts w:ascii="Times New Roman" w:eastAsia="Arial Unicode MS" w:hAnsi="Times New Roman"/>
          <w:szCs w:val="20"/>
        </w:rPr>
      </w:pPr>
      <w:r w:rsidRPr="00E16672">
        <w:rPr>
          <w:rFonts w:ascii="Times New Roman" w:eastAsia="Arial Unicode MS" w:hAnsi="Times New Roman"/>
          <w:szCs w:val="20"/>
        </w:rPr>
        <w:t xml:space="preserve">3.6. </w:t>
      </w:r>
      <w:proofErr w:type="spellStart"/>
      <w:r w:rsidRPr="00E16672">
        <w:rPr>
          <w:rFonts w:ascii="Times New Roman" w:eastAsia="Arial Unicode MS" w:hAnsi="Times New Roman"/>
          <w:szCs w:val="20"/>
        </w:rPr>
        <w:t>Якщо</w:t>
      </w:r>
      <w:proofErr w:type="spellEnd"/>
      <w:r w:rsidRPr="00E16672">
        <w:rPr>
          <w:rFonts w:ascii="Times New Roman" w:eastAsia="Arial Unicode MS" w:hAnsi="Times New Roman"/>
          <w:szCs w:val="20"/>
        </w:rPr>
        <w:t xml:space="preserve"> дата </w:t>
      </w:r>
      <w:proofErr w:type="spellStart"/>
      <w:r w:rsidRPr="00E16672">
        <w:rPr>
          <w:rFonts w:ascii="Times New Roman" w:eastAsia="Arial Unicode MS" w:hAnsi="Times New Roman"/>
          <w:szCs w:val="20"/>
        </w:rPr>
        <w:t>обліку</w:t>
      </w:r>
      <w:proofErr w:type="spellEnd"/>
      <w:r w:rsidRPr="00E16672">
        <w:rPr>
          <w:rFonts w:ascii="Times New Roman" w:eastAsia="Arial Unicode MS" w:hAnsi="Times New Roman"/>
          <w:szCs w:val="20"/>
        </w:rPr>
        <w:t xml:space="preserve"> є датою у </w:t>
      </w:r>
      <w:proofErr w:type="spellStart"/>
      <w:r w:rsidRPr="00E16672">
        <w:rPr>
          <w:rFonts w:ascii="Times New Roman" w:eastAsia="Arial Unicode MS" w:hAnsi="Times New Roman"/>
          <w:szCs w:val="20"/>
        </w:rPr>
        <w:t>майбутньому</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розпорядження</w:t>
      </w:r>
      <w:proofErr w:type="spellEnd"/>
      <w:r w:rsidRPr="00E16672">
        <w:rPr>
          <w:rFonts w:ascii="Times New Roman" w:eastAsia="Arial Unicode MS" w:hAnsi="Times New Roman"/>
          <w:szCs w:val="20"/>
        </w:rPr>
        <w:t xml:space="preserve"> на </w:t>
      </w:r>
      <w:proofErr w:type="spellStart"/>
      <w:r w:rsidRPr="00E16672">
        <w:rPr>
          <w:rFonts w:ascii="Times New Roman" w:eastAsia="Arial Unicode MS" w:hAnsi="Times New Roman"/>
          <w:szCs w:val="20"/>
        </w:rPr>
        <w:t>надання</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реєстру</w:t>
      </w:r>
      <w:proofErr w:type="spellEnd"/>
      <w:r w:rsidRPr="00E16672">
        <w:rPr>
          <w:rFonts w:ascii="Times New Roman" w:eastAsia="Arial Unicode MS" w:hAnsi="Times New Roman"/>
          <w:szCs w:val="20"/>
        </w:rPr>
        <w:t xml:space="preserve"> та/</w:t>
      </w:r>
      <w:proofErr w:type="spellStart"/>
      <w:r w:rsidRPr="00E16672">
        <w:rPr>
          <w:rFonts w:ascii="Times New Roman" w:eastAsia="Arial Unicode MS" w:hAnsi="Times New Roman"/>
          <w:szCs w:val="20"/>
        </w:rPr>
        <w:t>або</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переліку</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власників</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іменних</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цінних</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паперів</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довідково-аналітичних</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матеріалів</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виписок</w:t>
      </w:r>
      <w:proofErr w:type="spellEnd"/>
      <w:r w:rsidRPr="00E16672">
        <w:rPr>
          <w:rFonts w:ascii="Times New Roman" w:eastAsia="Arial Unicode MS" w:hAnsi="Times New Roman"/>
          <w:szCs w:val="20"/>
        </w:rPr>
        <w:t xml:space="preserve"> і </w:t>
      </w:r>
      <w:proofErr w:type="spellStart"/>
      <w:r w:rsidRPr="00E16672">
        <w:rPr>
          <w:rFonts w:ascii="Times New Roman" w:eastAsia="Arial Unicode MS" w:hAnsi="Times New Roman"/>
          <w:szCs w:val="20"/>
        </w:rPr>
        <w:t>інформаційних</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довідок</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іншої</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інформації</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щодо</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власників</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іменних</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цінних</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паперів</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повинні</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надаватися</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Депозитарній</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установі</w:t>
      </w:r>
      <w:proofErr w:type="spellEnd"/>
      <w:r w:rsidRPr="00E16672">
        <w:rPr>
          <w:rFonts w:ascii="Times New Roman" w:eastAsia="Arial Unicode MS" w:hAnsi="Times New Roman"/>
          <w:szCs w:val="20"/>
        </w:rPr>
        <w:t xml:space="preserve"> не </w:t>
      </w:r>
      <w:proofErr w:type="spellStart"/>
      <w:r w:rsidRPr="00E16672">
        <w:rPr>
          <w:rFonts w:ascii="Times New Roman" w:eastAsia="Arial Unicode MS" w:hAnsi="Times New Roman"/>
          <w:szCs w:val="20"/>
        </w:rPr>
        <w:t>пізніше</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ніж</w:t>
      </w:r>
      <w:proofErr w:type="spellEnd"/>
      <w:r w:rsidRPr="00E16672">
        <w:rPr>
          <w:rFonts w:ascii="Times New Roman" w:eastAsia="Arial Unicode MS" w:hAnsi="Times New Roman"/>
          <w:szCs w:val="20"/>
        </w:rPr>
        <w:t xml:space="preserve"> за 5 (</w:t>
      </w:r>
      <w:proofErr w:type="spellStart"/>
      <w:r w:rsidRPr="00E16672">
        <w:rPr>
          <w:rFonts w:ascii="Times New Roman" w:eastAsia="Arial Unicode MS" w:hAnsi="Times New Roman"/>
          <w:szCs w:val="20"/>
        </w:rPr>
        <w:t>п’ять</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робочих</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днів</w:t>
      </w:r>
      <w:proofErr w:type="spellEnd"/>
      <w:r w:rsidRPr="00E16672">
        <w:rPr>
          <w:rFonts w:ascii="Times New Roman" w:eastAsia="Arial Unicode MS" w:hAnsi="Times New Roman"/>
          <w:szCs w:val="20"/>
        </w:rPr>
        <w:t xml:space="preserve"> до </w:t>
      </w:r>
      <w:proofErr w:type="spellStart"/>
      <w:r w:rsidRPr="00E16672">
        <w:rPr>
          <w:rFonts w:ascii="Times New Roman" w:eastAsia="Arial Unicode MS" w:hAnsi="Times New Roman"/>
          <w:szCs w:val="20"/>
        </w:rPr>
        <w:t>дати</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обліку</w:t>
      </w:r>
      <w:proofErr w:type="spellEnd"/>
      <w:r w:rsidRPr="00E16672">
        <w:rPr>
          <w:rFonts w:ascii="Times New Roman" w:eastAsia="Arial Unicode MS" w:hAnsi="Times New Roman"/>
          <w:szCs w:val="20"/>
        </w:rPr>
        <w:t xml:space="preserve">, на яку повинен </w:t>
      </w:r>
      <w:proofErr w:type="spellStart"/>
      <w:r w:rsidRPr="00E16672">
        <w:rPr>
          <w:rFonts w:ascii="Times New Roman" w:eastAsia="Arial Unicode MS" w:hAnsi="Times New Roman"/>
          <w:szCs w:val="20"/>
        </w:rPr>
        <w:t>формуватися</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реєстр</w:t>
      </w:r>
      <w:proofErr w:type="spellEnd"/>
      <w:r w:rsidRPr="00E16672">
        <w:rPr>
          <w:rFonts w:ascii="Times New Roman" w:eastAsia="Arial Unicode MS" w:hAnsi="Times New Roman"/>
          <w:szCs w:val="20"/>
        </w:rPr>
        <w:t xml:space="preserve"> та/</w:t>
      </w:r>
      <w:proofErr w:type="spellStart"/>
      <w:r w:rsidRPr="00E16672">
        <w:rPr>
          <w:rFonts w:ascii="Times New Roman" w:eastAsia="Arial Unicode MS" w:hAnsi="Times New Roman"/>
          <w:szCs w:val="20"/>
        </w:rPr>
        <w:t>або</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перелік</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власників</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іменних</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цінних</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паперів</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довідково-аналітичні</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матеріали</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виписки</w:t>
      </w:r>
      <w:proofErr w:type="spellEnd"/>
      <w:r w:rsidRPr="00E16672">
        <w:rPr>
          <w:rFonts w:ascii="Times New Roman" w:eastAsia="Arial Unicode MS" w:hAnsi="Times New Roman"/>
          <w:szCs w:val="20"/>
        </w:rPr>
        <w:t xml:space="preserve"> і </w:t>
      </w:r>
      <w:proofErr w:type="spellStart"/>
      <w:r w:rsidRPr="00E16672">
        <w:rPr>
          <w:rFonts w:ascii="Times New Roman" w:eastAsia="Arial Unicode MS" w:hAnsi="Times New Roman"/>
          <w:szCs w:val="20"/>
        </w:rPr>
        <w:t>інформаційні</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довідки</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інша</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інформація</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щодо</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власників</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іменних</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цінних</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паперів</w:t>
      </w:r>
      <w:proofErr w:type="spellEnd"/>
      <w:r w:rsidRPr="00E16672">
        <w:rPr>
          <w:rFonts w:ascii="Times New Roman" w:eastAsia="Arial Unicode MS" w:hAnsi="Times New Roman"/>
          <w:szCs w:val="20"/>
        </w:rPr>
        <w:t>.</w:t>
      </w:r>
    </w:p>
    <w:p w14:paraId="53268447" w14:textId="77777777" w:rsidR="009A7EA8" w:rsidRPr="00E16672" w:rsidRDefault="009A7EA8" w:rsidP="009A7EA8">
      <w:pPr>
        <w:rPr>
          <w:rFonts w:ascii="Times New Roman" w:eastAsia="Arial Unicode MS" w:hAnsi="Times New Roman"/>
          <w:szCs w:val="20"/>
        </w:rPr>
      </w:pPr>
      <w:r w:rsidRPr="00E16672">
        <w:rPr>
          <w:rFonts w:ascii="Times New Roman" w:eastAsia="Arial Unicode MS" w:hAnsi="Times New Roman"/>
          <w:szCs w:val="20"/>
        </w:rPr>
        <w:t xml:space="preserve">3.7. </w:t>
      </w:r>
      <w:proofErr w:type="spellStart"/>
      <w:r w:rsidRPr="00E16672">
        <w:rPr>
          <w:rFonts w:ascii="Times New Roman" w:eastAsia="Arial Unicode MS" w:hAnsi="Times New Roman"/>
          <w:szCs w:val="20"/>
        </w:rPr>
        <w:t>Депозитарна</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установа</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надає</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Емітенту</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реєстр</w:t>
      </w:r>
      <w:proofErr w:type="spellEnd"/>
      <w:r w:rsidRPr="00E16672">
        <w:rPr>
          <w:rFonts w:ascii="Times New Roman" w:eastAsia="Arial Unicode MS" w:hAnsi="Times New Roman"/>
          <w:szCs w:val="20"/>
        </w:rPr>
        <w:t xml:space="preserve"> та/</w:t>
      </w:r>
      <w:proofErr w:type="spellStart"/>
      <w:r w:rsidRPr="00E16672">
        <w:rPr>
          <w:rFonts w:ascii="Times New Roman" w:eastAsia="Arial Unicode MS" w:hAnsi="Times New Roman"/>
          <w:szCs w:val="20"/>
        </w:rPr>
        <w:t>або</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перелік</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власників</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іменних</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цінних</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паперів</w:t>
      </w:r>
      <w:proofErr w:type="spellEnd"/>
      <w:r w:rsidRPr="00E16672">
        <w:rPr>
          <w:rFonts w:ascii="Times New Roman" w:eastAsia="Arial Unicode MS" w:hAnsi="Times New Roman"/>
          <w:szCs w:val="20"/>
        </w:rPr>
        <w:t xml:space="preserve"> та/</w:t>
      </w:r>
      <w:proofErr w:type="spellStart"/>
      <w:r w:rsidRPr="00E16672">
        <w:rPr>
          <w:rFonts w:ascii="Times New Roman" w:eastAsia="Arial Unicode MS" w:hAnsi="Times New Roman"/>
          <w:szCs w:val="20"/>
        </w:rPr>
        <w:t>або</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Перелік</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власників</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довідково-аналітичні</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матеріали</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виписки</w:t>
      </w:r>
      <w:proofErr w:type="spellEnd"/>
      <w:r w:rsidRPr="00E16672">
        <w:rPr>
          <w:rFonts w:ascii="Times New Roman" w:eastAsia="Arial Unicode MS" w:hAnsi="Times New Roman"/>
          <w:szCs w:val="20"/>
        </w:rPr>
        <w:t xml:space="preserve"> і </w:t>
      </w:r>
      <w:proofErr w:type="spellStart"/>
      <w:r w:rsidRPr="00E16672">
        <w:rPr>
          <w:rFonts w:ascii="Times New Roman" w:eastAsia="Arial Unicode MS" w:hAnsi="Times New Roman"/>
          <w:szCs w:val="20"/>
        </w:rPr>
        <w:t>інформаційні</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довідки</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іншу</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інформацію</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щодо</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власників</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іменних</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цінних</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паперів</w:t>
      </w:r>
      <w:proofErr w:type="spellEnd"/>
      <w:r w:rsidRPr="00E16672">
        <w:rPr>
          <w:rFonts w:ascii="Times New Roman" w:eastAsia="Arial Unicode MS" w:hAnsi="Times New Roman"/>
          <w:szCs w:val="20"/>
        </w:rPr>
        <w:t xml:space="preserve"> не </w:t>
      </w:r>
      <w:proofErr w:type="spellStart"/>
      <w:r w:rsidRPr="00E16672">
        <w:rPr>
          <w:rFonts w:ascii="Times New Roman" w:eastAsia="Arial Unicode MS" w:hAnsi="Times New Roman"/>
          <w:szCs w:val="20"/>
        </w:rPr>
        <w:t>пізніше</w:t>
      </w:r>
      <w:proofErr w:type="spellEnd"/>
      <w:r w:rsidRPr="00E16672">
        <w:rPr>
          <w:rFonts w:ascii="Times New Roman" w:eastAsia="Arial Unicode MS" w:hAnsi="Times New Roman"/>
          <w:szCs w:val="20"/>
        </w:rPr>
        <w:t xml:space="preserve"> одного </w:t>
      </w:r>
      <w:proofErr w:type="spellStart"/>
      <w:r w:rsidRPr="00E16672">
        <w:rPr>
          <w:rFonts w:ascii="Times New Roman" w:eastAsia="Arial Unicode MS" w:hAnsi="Times New Roman"/>
          <w:szCs w:val="20"/>
        </w:rPr>
        <w:t>робочого</w:t>
      </w:r>
      <w:proofErr w:type="spellEnd"/>
      <w:r w:rsidRPr="00E16672">
        <w:rPr>
          <w:rFonts w:ascii="Times New Roman" w:eastAsia="Arial Unicode MS" w:hAnsi="Times New Roman"/>
          <w:szCs w:val="20"/>
        </w:rPr>
        <w:t xml:space="preserve"> дня </w:t>
      </w:r>
      <w:proofErr w:type="spellStart"/>
      <w:r w:rsidRPr="00E16672">
        <w:rPr>
          <w:rFonts w:ascii="Times New Roman" w:eastAsia="Arial Unicode MS" w:hAnsi="Times New Roman"/>
          <w:szCs w:val="20"/>
        </w:rPr>
        <w:t>від</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дати</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отримання</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реєстру</w:t>
      </w:r>
      <w:proofErr w:type="spellEnd"/>
      <w:r w:rsidRPr="00E16672">
        <w:rPr>
          <w:rFonts w:ascii="Times New Roman" w:eastAsia="Arial Unicode MS" w:hAnsi="Times New Roman"/>
          <w:szCs w:val="20"/>
        </w:rPr>
        <w:t xml:space="preserve"> та/</w:t>
      </w:r>
      <w:proofErr w:type="spellStart"/>
      <w:r w:rsidRPr="00E16672">
        <w:rPr>
          <w:rFonts w:ascii="Times New Roman" w:eastAsia="Arial Unicode MS" w:hAnsi="Times New Roman"/>
          <w:szCs w:val="20"/>
        </w:rPr>
        <w:t>або</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переліку</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власників</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іменних</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цінних</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паперів</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від</w:t>
      </w:r>
      <w:proofErr w:type="spellEnd"/>
      <w:r w:rsidRPr="00E16672">
        <w:rPr>
          <w:rFonts w:ascii="Times New Roman" w:eastAsia="Arial Unicode MS" w:hAnsi="Times New Roman"/>
          <w:szCs w:val="20"/>
        </w:rPr>
        <w:t xml:space="preserve"> Центрального </w:t>
      </w:r>
      <w:proofErr w:type="spellStart"/>
      <w:r w:rsidRPr="00E16672">
        <w:rPr>
          <w:rFonts w:ascii="Times New Roman" w:eastAsia="Arial Unicode MS" w:hAnsi="Times New Roman"/>
          <w:szCs w:val="20"/>
        </w:rPr>
        <w:t>депозитарію</w:t>
      </w:r>
      <w:proofErr w:type="spellEnd"/>
      <w:r w:rsidRPr="00E16672">
        <w:rPr>
          <w:rFonts w:ascii="Times New Roman" w:eastAsia="Arial Unicode MS" w:hAnsi="Times New Roman"/>
          <w:szCs w:val="20"/>
        </w:rPr>
        <w:t>.</w:t>
      </w:r>
    </w:p>
    <w:p w14:paraId="07AD8AA9" w14:textId="77777777" w:rsidR="009A7EA8" w:rsidRPr="00E16672" w:rsidRDefault="009A7EA8" w:rsidP="009A7EA8">
      <w:pPr>
        <w:rPr>
          <w:rFonts w:ascii="Times New Roman" w:eastAsia="Arial Unicode MS" w:hAnsi="Times New Roman"/>
          <w:szCs w:val="20"/>
        </w:rPr>
      </w:pPr>
      <w:r w:rsidRPr="00E16672">
        <w:rPr>
          <w:rFonts w:ascii="Times New Roman" w:eastAsia="Arial Unicode MS" w:hAnsi="Times New Roman"/>
          <w:szCs w:val="20"/>
        </w:rPr>
        <w:t xml:space="preserve">3.8. </w:t>
      </w:r>
      <w:proofErr w:type="spellStart"/>
      <w:r w:rsidRPr="00E16672">
        <w:rPr>
          <w:rFonts w:ascii="Times New Roman" w:eastAsia="Arial Unicode MS" w:hAnsi="Times New Roman"/>
          <w:szCs w:val="20"/>
        </w:rPr>
        <w:t>Реєстр</w:t>
      </w:r>
      <w:proofErr w:type="spellEnd"/>
      <w:r w:rsidRPr="00E16672">
        <w:rPr>
          <w:rFonts w:ascii="Times New Roman" w:eastAsia="Arial Unicode MS" w:hAnsi="Times New Roman"/>
          <w:szCs w:val="20"/>
        </w:rPr>
        <w:t xml:space="preserve"> та/</w:t>
      </w:r>
      <w:proofErr w:type="spellStart"/>
      <w:r w:rsidRPr="00E16672">
        <w:rPr>
          <w:rFonts w:ascii="Times New Roman" w:eastAsia="Arial Unicode MS" w:hAnsi="Times New Roman"/>
          <w:szCs w:val="20"/>
        </w:rPr>
        <w:t>або</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перелік</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власників</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іменних</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цінних</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паперів</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довідково-аналітичні</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матеріали</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виписки</w:t>
      </w:r>
      <w:proofErr w:type="spellEnd"/>
      <w:r w:rsidRPr="00E16672">
        <w:rPr>
          <w:rFonts w:ascii="Times New Roman" w:eastAsia="Arial Unicode MS" w:hAnsi="Times New Roman"/>
          <w:szCs w:val="20"/>
        </w:rPr>
        <w:t xml:space="preserve"> і </w:t>
      </w:r>
      <w:proofErr w:type="spellStart"/>
      <w:r w:rsidRPr="00E16672">
        <w:rPr>
          <w:rFonts w:ascii="Times New Roman" w:eastAsia="Arial Unicode MS" w:hAnsi="Times New Roman"/>
          <w:szCs w:val="20"/>
        </w:rPr>
        <w:t>інформаційні</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довідки</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інша</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інформація</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щодо</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власників</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іменних</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цінних</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паперів</w:t>
      </w:r>
      <w:proofErr w:type="spellEnd"/>
      <w:r w:rsidRPr="00E16672">
        <w:rPr>
          <w:rFonts w:ascii="Times New Roman" w:eastAsia="Arial Unicode MS" w:hAnsi="Times New Roman"/>
          <w:szCs w:val="20"/>
        </w:rPr>
        <w:t xml:space="preserve"> у </w:t>
      </w:r>
      <w:proofErr w:type="spellStart"/>
      <w:r w:rsidRPr="00E16672">
        <w:rPr>
          <w:rFonts w:ascii="Times New Roman" w:eastAsia="Arial Unicode MS" w:hAnsi="Times New Roman"/>
          <w:szCs w:val="20"/>
        </w:rPr>
        <w:t>формі</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паперового</w:t>
      </w:r>
      <w:proofErr w:type="spellEnd"/>
      <w:r w:rsidRPr="00E16672">
        <w:rPr>
          <w:rFonts w:ascii="Times New Roman" w:eastAsia="Arial Unicode MS" w:hAnsi="Times New Roman"/>
          <w:szCs w:val="20"/>
        </w:rPr>
        <w:t xml:space="preserve"> документа </w:t>
      </w:r>
      <w:proofErr w:type="spellStart"/>
      <w:r w:rsidRPr="00E16672">
        <w:rPr>
          <w:rFonts w:ascii="Times New Roman" w:eastAsia="Arial Unicode MS" w:hAnsi="Times New Roman"/>
          <w:szCs w:val="20"/>
        </w:rPr>
        <w:t>засвідчується</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печаткою</w:t>
      </w:r>
      <w:proofErr w:type="spellEnd"/>
      <w:r w:rsidRPr="00E16672">
        <w:rPr>
          <w:rFonts w:ascii="Times New Roman" w:eastAsia="Arial Unicode MS" w:hAnsi="Times New Roman"/>
          <w:szCs w:val="20"/>
        </w:rPr>
        <w:t xml:space="preserve"> та </w:t>
      </w:r>
      <w:proofErr w:type="spellStart"/>
      <w:r w:rsidRPr="00E16672">
        <w:rPr>
          <w:rFonts w:ascii="Times New Roman" w:eastAsia="Arial Unicode MS" w:hAnsi="Times New Roman"/>
          <w:szCs w:val="20"/>
        </w:rPr>
        <w:t>підписом</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уповноваженої</w:t>
      </w:r>
      <w:proofErr w:type="spellEnd"/>
      <w:r w:rsidRPr="00E16672">
        <w:rPr>
          <w:rFonts w:ascii="Times New Roman" w:eastAsia="Arial Unicode MS" w:hAnsi="Times New Roman"/>
          <w:szCs w:val="20"/>
        </w:rPr>
        <w:t xml:space="preserve"> особи </w:t>
      </w:r>
      <w:proofErr w:type="spellStart"/>
      <w:r w:rsidRPr="00E16672">
        <w:rPr>
          <w:rFonts w:ascii="Times New Roman" w:eastAsia="Arial Unicode MS" w:hAnsi="Times New Roman"/>
          <w:szCs w:val="20"/>
        </w:rPr>
        <w:t>Депозитарної</w:t>
      </w:r>
      <w:proofErr w:type="spellEnd"/>
      <w:r w:rsidRPr="00E16672">
        <w:rPr>
          <w:rFonts w:ascii="Times New Roman" w:eastAsia="Arial Unicode MS" w:hAnsi="Times New Roman"/>
          <w:szCs w:val="20"/>
        </w:rPr>
        <w:t xml:space="preserve"> установи. </w:t>
      </w:r>
      <w:proofErr w:type="spellStart"/>
      <w:r w:rsidRPr="00E16672">
        <w:rPr>
          <w:rFonts w:ascii="Times New Roman" w:eastAsia="Arial Unicode MS" w:hAnsi="Times New Roman"/>
          <w:szCs w:val="20"/>
        </w:rPr>
        <w:t>Усі</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аркуші</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реєстру</w:t>
      </w:r>
      <w:proofErr w:type="spellEnd"/>
      <w:r w:rsidRPr="00E16672">
        <w:rPr>
          <w:rFonts w:ascii="Times New Roman" w:eastAsia="Arial Unicode MS" w:hAnsi="Times New Roman"/>
          <w:szCs w:val="20"/>
        </w:rPr>
        <w:t xml:space="preserve"> та/</w:t>
      </w:r>
      <w:proofErr w:type="spellStart"/>
      <w:r w:rsidRPr="00E16672">
        <w:rPr>
          <w:rFonts w:ascii="Times New Roman" w:eastAsia="Arial Unicode MS" w:hAnsi="Times New Roman"/>
          <w:szCs w:val="20"/>
        </w:rPr>
        <w:t>або</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переліку</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власників</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іменних</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цінних</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паперів</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довідково-аналітичні</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матеріали</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виписки</w:t>
      </w:r>
      <w:proofErr w:type="spellEnd"/>
      <w:r w:rsidRPr="00E16672">
        <w:rPr>
          <w:rFonts w:ascii="Times New Roman" w:eastAsia="Arial Unicode MS" w:hAnsi="Times New Roman"/>
          <w:szCs w:val="20"/>
        </w:rPr>
        <w:t xml:space="preserve"> і </w:t>
      </w:r>
      <w:proofErr w:type="spellStart"/>
      <w:r w:rsidRPr="00E16672">
        <w:rPr>
          <w:rFonts w:ascii="Times New Roman" w:eastAsia="Arial Unicode MS" w:hAnsi="Times New Roman"/>
          <w:szCs w:val="20"/>
        </w:rPr>
        <w:t>інформаційні</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довідки</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інша</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інформація</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щодо</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власників</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іменних</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цінних</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паперів</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повинні</w:t>
      </w:r>
      <w:proofErr w:type="spellEnd"/>
      <w:r w:rsidRPr="00E16672">
        <w:rPr>
          <w:rFonts w:ascii="Times New Roman" w:eastAsia="Arial Unicode MS" w:hAnsi="Times New Roman"/>
          <w:szCs w:val="20"/>
        </w:rPr>
        <w:t xml:space="preserve"> бути </w:t>
      </w:r>
      <w:proofErr w:type="spellStart"/>
      <w:r w:rsidRPr="00E16672">
        <w:rPr>
          <w:rFonts w:ascii="Times New Roman" w:eastAsia="Arial Unicode MS" w:hAnsi="Times New Roman"/>
          <w:szCs w:val="20"/>
        </w:rPr>
        <w:t>пронумеровані</w:t>
      </w:r>
      <w:proofErr w:type="spellEnd"/>
      <w:r w:rsidRPr="00E16672">
        <w:rPr>
          <w:rFonts w:ascii="Times New Roman" w:eastAsia="Arial Unicode MS" w:hAnsi="Times New Roman"/>
          <w:szCs w:val="20"/>
        </w:rPr>
        <w:t xml:space="preserve"> та </w:t>
      </w:r>
      <w:proofErr w:type="spellStart"/>
      <w:r w:rsidRPr="00E16672">
        <w:rPr>
          <w:rFonts w:ascii="Times New Roman" w:eastAsia="Arial Unicode MS" w:hAnsi="Times New Roman"/>
          <w:szCs w:val="20"/>
        </w:rPr>
        <w:t>прошнуровані</w:t>
      </w:r>
      <w:proofErr w:type="spellEnd"/>
      <w:r w:rsidRPr="00E16672">
        <w:rPr>
          <w:rFonts w:ascii="Times New Roman" w:eastAsia="Arial Unicode MS" w:hAnsi="Times New Roman"/>
          <w:szCs w:val="20"/>
        </w:rPr>
        <w:t>.</w:t>
      </w:r>
    </w:p>
    <w:p w14:paraId="27AD3A55" w14:textId="77777777" w:rsidR="009A7EA8" w:rsidRPr="00E16672" w:rsidRDefault="009A7EA8" w:rsidP="009A7EA8">
      <w:pPr>
        <w:rPr>
          <w:rFonts w:ascii="Times New Roman" w:eastAsia="Arial Unicode MS" w:hAnsi="Times New Roman"/>
          <w:szCs w:val="20"/>
        </w:rPr>
      </w:pPr>
      <w:r w:rsidRPr="00E16672">
        <w:rPr>
          <w:rFonts w:ascii="Times New Roman" w:eastAsia="Arial Unicode MS" w:hAnsi="Times New Roman"/>
          <w:szCs w:val="20"/>
        </w:rPr>
        <w:t xml:space="preserve">3.9. </w:t>
      </w:r>
      <w:proofErr w:type="spellStart"/>
      <w:r w:rsidRPr="00E16672">
        <w:rPr>
          <w:rFonts w:ascii="Times New Roman" w:eastAsia="Arial Unicode MS" w:hAnsi="Times New Roman"/>
          <w:szCs w:val="20"/>
        </w:rPr>
        <w:t>Реєстр</w:t>
      </w:r>
      <w:proofErr w:type="spellEnd"/>
      <w:r w:rsidRPr="00E16672">
        <w:rPr>
          <w:rFonts w:ascii="Times New Roman" w:eastAsia="Arial Unicode MS" w:hAnsi="Times New Roman"/>
          <w:szCs w:val="20"/>
        </w:rPr>
        <w:t xml:space="preserve"> та/</w:t>
      </w:r>
      <w:proofErr w:type="spellStart"/>
      <w:r w:rsidRPr="00E16672">
        <w:rPr>
          <w:rFonts w:ascii="Times New Roman" w:eastAsia="Arial Unicode MS" w:hAnsi="Times New Roman"/>
          <w:szCs w:val="20"/>
        </w:rPr>
        <w:t>або</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перелік</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власників</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іменних</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цінних</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паперів</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довідково-аналітичні</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матеріали</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виписки</w:t>
      </w:r>
      <w:proofErr w:type="spellEnd"/>
      <w:r w:rsidRPr="00E16672">
        <w:rPr>
          <w:rFonts w:ascii="Times New Roman" w:eastAsia="Arial Unicode MS" w:hAnsi="Times New Roman"/>
          <w:szCs w:val="20"/>
        </w:rPr>
        <w:t xml:space="preserve"> і </w:t>
      </w:r>
      <w:proofErr w:type="spellStart"/>
      <w:r w:rsidRPr="00E16672">
        <w:rPr>
          <w:rFonts w:ascii="Times New Roman" w:eastAsia="Arial Unicode MS" w:hAnsi="Times New Roman"/>
          <w:szCs w:val="20"/>
        </w:rPr>
        <w:t>інформаційні</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довідки</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інша</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інформація</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щодо</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власників</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іменних</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цінних</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паперів</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емітента</w:t>
      </w:r>
      <w:proofErr w:type="spellEnd"/>
      <w:r w:rsidRPr="00E16672">
        <w:rPr>
          <w:rFonts w:ascii="Times New Roman" w:eastAsia="Arial Unicode MS" w:hAnsi="Times New Roman"/>
          <w:szCs w:val="20"/>
        </w:rPr>
        <w:t xml:space="preserve"> у </w:t>
      </w:r>
      <w:proofErr w:type="spellStart"/>
      <w:r w:rsidRPr="00E16672">
        <w:rPr>
          <w:rFonts w:ascii="Times New Roman" w:eastAsia="Arial Unicode MS" w:hAnsi="Times New Roman"/>
          <w:szCs w:val="20"/>
        </w:rPr>
        <w:t>паперовому</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вигляді</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передається</w:t>
      </w:r>
      <w:proofErr w:type="spellEnd"/>
      <w:r w:rsidRPr="00E16672">
        <w:rPr>
          <w:rFonts w:ascii="Times New Roman" w:eastAsia="Arial Unicode MS" w:hAnsi="Times New Roman"/>
          <w:szCs w:val="20"/>
        </w:rPr>
        <w:t>:</w:t>
      </w:r>
    </w:p>
    <w:p w14:paraId="3BA3868D" w14:textId="77777777" w:rsidR="009A7EA8" w:rsidRPr="00E16672" w:rsidRDefault="009A7EA8" w:rsidP="000D0438">
      <w:pPr>
        <w:widowControl w:val="0"/>
        <w:numPr>
          <w:ilvl w:val="0"/>
          <w:numId w:val="6"/>
        </w:numPr>
        <w:tabs>
          <w:tab w:val="left" w:pos="900"/>
          <w:tab w:val="left" w:pos="1854"/>
        </w:tabs>
        <w:ind w:left="567" w:firstLine="0"/>
        <w:rPr>
          <w:rFonts w:ascii="Times New Roman" w:eastAsia="Arial Unicode MS" w:hAnsi="Times New Roman"/>
          <w:szCs w:val="20"/>
        </w:rPr>
      </w:pPr>
      <w:proofErr w:type="spellStart"/>
      <w:r w:rsidRPr="00E16672">
        <w:rPr>
          <w:rFonts w:ascii="Times New Roman" w:eastAsia="Arial Unicode MS" w:hAnsi="Times New Roman"/>
          <w:szCs w:val="20"/>
        </w:rPr>
        <w:t>рекомендованим</w:t>
      </w:r>
      <w:proofErr w:type="spellEnd"/>
      <w:r w:rsidRPr="00E16672">
        <w:rPr>
          <w:rFonts w:ascii="Times New Roman" w:eastAsia="Arial Unicode MS" w:hAnsi="Times New Roman"/>
          <w:szCs w:val="20"/>
        </w:rPr>
        <w:t xml:space="preserve"> листом </w:t>
      </w:r>
      <w:proofErr w:type="gramStart"/>
      <w:r w:rsidRPr="00E16672">
        <w:rPr>
          <w:rFonts w:ascii="Times New Roman" w:eastAsia="Arial Unicode MS" w:hAnsi="Times New Roman"/>
          <w:szCs w:val="20"/>
        </w:rPr>
        <w:t>на адресу</w:t>
      </w:r>
      <w:proofErr w:type="gram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вказану</w:t>
      </w:r>
      <w:proofErr w:type="spellEnd"/>
      <w:r w:rsidRPr="00E16672">
        <w:rPr>
          <w:rFonts w:ascii="Times New Roman" w:eastAsia="Arial Unicode MS" w:hAnsi="Times New Roman"/>
          <w:szCs w:val="20"/>
        </w:rPr>
        <w:t xml:space="preserve"> у </w:t>
      </w:r>
      <w:proofErr w:type="spellStart"/>
      <w:r w:rsidRPr="00E16672">
        <w:rPr>
          <w:rFonts w:ascii="Times New Roman" w:eastAsia="Arial Unicode MS" w:hAnsi="Times New Roman"/>
          <w:szCs w:val="20"/>
        </w:rPr>
        <w:t>розпорядженні</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або</w:t>
      </w:r>
      <w:proofErr w:type="spellEnd"/>
      <w:r w:rsidRPr="00E16672">
        <w:rPr>
          <w:rFonts w:ascii="Times New Roman" w:eastAsia="Arial Unicode MS" w:hAnsi="Times New Roman"/>
          <w:szCs w:val="20"/>
        </w:rPr>
        <w:t xml:space="preserve"> у </w:t>
      </w:r>
      <w:proofErr w:type="spellStart"/>
      <w:r w:rsidRPr="00E16672">
        <w:rPr>
          <w:rFonts w:ascii="Times New Roman" w:eastAsia="Arial Unicode MS" w:hAnsi="Times New Roman"/>
          <w:szCs w:val="20"/>
        </w:rPr>
        <w:t>анкеті</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рахунку</w:t>
      </w:r>
      <w:proofErr w:type="spellEnd"/>
      <w:r w:rsidRPr="00E16672">
        <w:rPr>
          <w:rFonts w:ascii="Times New Roman" w:eastAsia="Arial Unicode MS" w:hAnsi="Times New Roman"/>
          <w:szCs w:val="20"/>
        </w:rPr>
        <w:t xml:space="preserve"> </w:t>
      </w:r>
      <w:r w:rsidR="00C22309" w:rsidRPr="00E16672">
        <w:rPr>
          <w:rFonts w:ascii="Times New Roman" w:eastAsia="Arial Unicode MS" w:hAnsi="Times New Roman"/>
          <w:szCs w:val="20"/>
        </w:rPr>
        <w:t xml:space="preserve">в </w:t>
      </w:r>
      <w:proofErr w:type="spellStart"/>
      <w:r w:rsidR="00C22309" w:rsidRPr="00E16672">
        <w:rPr>
          <w:rFonts w:ascii="Times New Roman" w:eastAsia="Arial Unicode MS" w:hAnsi="Times New Roman"/>
          <w:szCs w:val="20"/>
        </w:rPr>
        <w:t>цін</w:t>
      </w:r>
      <w:r w:rsidRPr="00E16672">
        <w:rPr>
          <w:rFonts w:ascii="Times New Roman" w:eastAsia="Arial Unicode MS" w:hAnsi="Times New Roman"/>
          <w:szCs w:val="20"/>
        </w:rPr>
        <w:t>них</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паперах</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емітента</w:t>
      </w:r>
      <w:proofErr w:type="spellEnd"/>
      <w:r w:rsidRPr="00E16672">
        <w:rPr>
          <w:rFonts w:ascii="Times New Roman" w:eastAsia="Arial Unicode MS" w:hAnsi="Times New Roman"/>
          <w:szCs w:val="20"/>
        </w:rPr>
        <w:t>;</w:t>
      </w:r>
    </w:p>
    <w:p w14:paraId="0B6DA77E" w14:textId="77777777" w:rsidR="009A7EA8" w:rsidRPr="00E16672" w:rsidRDefault="009A7EA8" w:rsidP="000D0438">
      <w:pPr>
        <w:widowControl w:val="0"/>
        <w:numPr>
          <w:ilvl w:val="0"/>
          <w:numId w:val="6"/>
        </w:numPr>
        <w:tabs>
          <w:tab w:val="left" w:pos="900"/>
          <w:tab w:val="left" w:pos="1854"/>
        </w:tabs>
        <w:ind w:left="567" w:firstLine="0"/>
        <w:rPr>
          <w:rFonts w:ascii="Times New Roman" w:eastAsia="Arial Unicode MS" w:hAnsi="Times New Roman"/>
          <w:szCs w:val="20"/>
        </w:rPr>
      </w:pPr>
      <w:proofErr w:type="spellStart"/>
      <w:r w:rsidRPr="00E16672">
        <w:rPr>
          <w:rFonts w:ascii="Times New Roman" w:eastAsia="Arial Unicode MS" w:hAnsi="Times New Roman"/>
          <w:szCs w:val="20"/>
        </w:rPr>
        <w:t>особисто</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уповноваженому</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представнику</w:t>
      </w:r>
      <w:proofErr w:type="spellEnd"/>
      <w:r w:rsidRPr="00E16672">
        <w:rPr>
          <w:rFonts w:ascii="Times New Roman" w:eastAsia="Arial Unicode MS" w:hAnsi="Times New Roman"/>
          <w:szCs w:val="20"/>
        </w:rPr>
        <w:t xml:space="preserve"> по </w:t>
      </w:r>
      <w:proofErr w:type="spellStart"/>
      <w:r w:rsidRPr="00E16672">
        <w:rPr>
          <w:rFonts w:ascii="Times New Roman" w:eastAsia="Arial Unicode MS" w:hAnsi="Times New Roman"/>
          <w:szCs w:val="20"/>
        </w:rPr>
        <w:t>пред'явленню</w:t>
      </w:r>
      <w:proofErr w:type="spellEnd"/>
      <w:r w:rsidRPr="00E16672">
        <w:rPr>
          <w:rFonts w:ascii="Times New Roman" w:eastAsia="Arial Unicode MS" w:hAnsi="Times New Roman"/>
          <w:szCs w:val="20"/>
        </w:rPr>
        <w:t xml:space="preserve"> документа, </w:t>
      </w:r>
      <w:proofErr w:type="spellStart"/>
      <w:r w:rsidRPr="00E16672">
        <w:rPr>
          <w:rFonts w:ascii="Times New Roman" w:eastAsia="Arial Unicode MS" w:hAnsi="Times New Roman"/>
          <w:szCs w:val="20"/>
        </w:rPr>
        <w:t>який</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посвідчує</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його</w:t>
      </w:r>
      <w:proofErr w:type="spellEnd"/>
      <w:r w:rsidRPr="00E16672">
        <w:rPr>
          <w:rFonts w:ascii="Times New Roman" w:eastAsia="Arial Unicode MS" w:hAnsi="Times New Roman"/>
          <w:szCs w:val="20"/>
        </w:rPr>
        <w:t xml:space="preserve"> особу, </w:t>
      </w:r>
      <w:proofErr w:type="spellStart"/>
      <w:r w:rsidRPr="00E16672">
        <w:rPr>
          <w:rFonts w:ascii="Times New Roman" w:eastAsia="Arial Unicode MS" w:hAnsi="Times New Roman"/>
          <w:szCs w:val="20"/>
        </w:rPr>
        <w:t>довіреності</w:t>
      </w:r>
      <w:proofErr w:type="spellEnd"/>
      <w:r w:rsidRPr="00E16672">
        <w:rPr>
          <w:rFonts w:ascii="Times New Roman" w:eastAsia="Arial Unicode MS" w:hAnsi="Times New Roman"/>
          <w:szCs w:val="20"/>
        </w:rPr>
        <w:t xml:space="preserve"> та </w:t>
      </w:r>
      <w:proofErr w:type="spellStart"/>
      <w:r w:rsidRPr="00E16672">
        <w:rPr>
          <w:rFonts w:ascii="Times New Roman" w:eastAsia="Arial Unicode MS" w:hAnsi="Times New Roman"/>
          <w:szCs w:val="20"/>
        </w:rPr>
        <w:t>оформлюється</w:t>
      </w:r>
      <w:proofErr w:type="spellEnd"/>
      <w:r w:rsidRPr="00E16672">
        <w:rPr>
          <w:rFonts w:ascii="Times New Roman" w:eastAsia="Arial Unicode MS" w:hAnsi="Times New Roman"/>
          <w:szCs w:val="20"/>
        </w:rPr>
        <w:t xml:space="preserve"> актом </w:t>
      </w:r>
      <w:proofErr w:type="spellStart"/>
      <w:r w:rsidRPr="00E16672">
        <w:rPr>
          <w:rFonts w:ascii="Times New Roman" w:eastAsia="Arial Unicode MS" w:hAnsi="Times New Roman"/>
          <w:szCs w:val="20"/>
        </w:rPr>
        <w:t>приймання-передавання</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реєстру</w:t>
      </w:r>
      <w:proofErr w:type="spellEnd"/>
      <w:r w:rsidRPr="00E16672">
        <w:rPr>
          <w:rFonts w:ascii="Times New Roman" w:eastAsia="Arial Unicode MS" w:hAnsi="Times New Roman"/>
          <w:szCs w:val="20"/>
        </w:rPr>
        <w:t xml:space="preserve"> та/</w:t>
      </w:r>
      <w:proofErr w:type="spellStart"/>
      <w:r w:rsidRPr="00E16672">
        <w:rPr>
          <w:rFonts w:ascii="Times New Roman" w:eastAsia="Arial Unicode MS" w:hAnsi="Times New Roman"/>
          <w:szCs w:val="20"/>
        </w:rPr>
        <w:t>або</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переліку</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власників</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іменних</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цінних</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паперів</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довідково-аналітичних</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матеріалів</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виписок</w:t>
      </w:r>
      <w:proofErr w:type="spellEnd"/>
      <w:r w:rsidRPr="00E16672">
        <w:rPr>
          <w:rFonts w:ascii="Times New Roman" w:eastAsia="Arial Unicode MS" w:hAnsi="Times New Roman"/>
          <w:szCs w:val="20"/>
        </w:rPr>
        <w:t xml:space="preserve"> і </w:t>
      </w:r>
      <w:proofErr w:type="spellStart"/>
      <w:r w:rsidRPr="00E16672">
        <w:rPr>
          <w:rFonts w:ascii="Times New Roman" w:eastAsia="Arial Unicode MS" w:hAnsi="Times New Roman"/>
          <w:szCs w:val="20"/>
        </w:rPr>
        <w:t>інформаційних</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довідок</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іншої</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інформації</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щодо</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власників</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іменних</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цінних</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паперів</w:t>
      </w:r>
      <w:proofErr w:type="spellEnd"/>
      <w:r w:rsidRPr="00E16672">
        <w:rPr>
          <w:rFonts w:ascii="Times New Roman" w:eastAsia="Arial Unicode MS" w:hAnsi="Times New Roman"/>
          <w:szCs w:val="20"/>
        </w:rPr>
        <w:t>;</w:t>
      </w:r>
    </w:p>
    <w:p w14:paraId="08BF3F34" w14:textId="77777777" w:rsidR="009A7EA8" w:rsidRPr="00E16672" w:rsidRDefault="009A7EA8" w:rsidP="000D0438">
      <w:pPr>
        <w:widowControl w:val="0"/>
        <w:numPr>
          <w:ilvl w:val="0"/>
          <w:numId w:val="6"/>
        </w:numPr>
        <w:tabs>
          <w:tab w:val="left" w:pos="900"/>
          <w:tab w:val="left" w:pos="1854"/>
        </w:tabs>
        <w:ind w:left="567" w:firstLine="0"/>
        <w:rPr>
          <w:rFonts w:ascii="Times New Roman" w:eastAsia="Arial Unicode MS" w:hAnsi="Times New Roman"/>
          <w:szCs w:val="20"/>
        </w:rPr>
      </w:pPr>
      <w:r w:rsidRPr="00E16672">
        <w:rPr>
          <w:rFonts w:ascii="Times New Roman" w:eastAsia="Arial Unicode MS" w:hAnsi="Times New Roman"/>
          <w:szCs w:val="20"/>
        </w:rPr>
        <w:t xml:space="preserve">службою </w:t>
      </w:r>
      <w:proofErr w:type="spellStart"/>
      <w:r w:rsidRPr="00E16672">
        <w:rPr>
          <w:rFonts w:ascii="Times New Roman" w:eastAsia="Arial Unicode MS" w:hAnsi="Times New Roman"/>
          <w:szCs w:val="20"/>
        </w:rPr>
        <w:t>кур’єрської</w:t>
      </w:r>
      <w:proofErr w:type="spellEnd"/>
      <w:r w:rsidRPr="00E16672">
        <w:rPr>
          <w:rFonts w:ascii="Times New Roman" w:eastAsia="Arial Unicode MS" w:hAnsi="Times New Roman"/>
          <w:szCs w:val="20"/>
        </w:rPr>
        <w:t xml:space="preserve"> доставки (</w:t>
      </w:r>
      <w:proofErr w:type="spellStart"/>
      <w:r w:rsidRPr="00E16672">
        <w:rPr>
          <w:rFonts w:ascii="Times New Roman" w:eastAsia="Arial Unicode MS" w:hAnsi="Times New Roman"/>
          <w:szCs w:val="20"/>
        </w:rPr>
        <w:t>Емітент</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замовляє</w:t>
      </w:r>
      <w:proofErr w:type="spellEnd"/>
      <w:r w:rsidRPr="00E16672">
        <w:rPr>
          <w:rFonts w:ascii="Times New Roman" w:eastAsia="Arial Unicode MS" w:hAnsi="Times New Roman"/>
          <w:szCs w:val="20"/>
        </w:rPr>
        <w:t xml:space="preserve"> та </w:t>
      </w:r>
      <w:proofErr w:type="spellStart"/>
      <w:r w:rsidRPr="00E16672">
        <w:rPr>
          <w:rFonts w:ascii="Times New Roman" w:eastAsia="Arial Unicode MS" w:hAnsi="Times New Roman"/>
          <w:szCs w:val="20"/>
        </w:rPr>
        <w:t>оплачує</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послуги</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кур’єрської</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служби</w:t>
      </w:r>
      <w:proofErr w:type="spellEnd"/>
      <w:r w:rsidRPr="00E16672">
        <w:rPr>
          <w:rFonts w:ascii="Times New Roman" w:eastAsia="Arial Unicode MS" w:hAnsi="Times New Roman"/>
          <w:szCs w:val="20"/>
        </w:rPr>
        <w:t>);</w:t>
      </w:r>
    </w:p>
    <w:p w14:paraId="2BE86ABC" w14:textId="77777777" w:rsidR="009A7EA8" w:rsidRPr="00E16672" w:rsidRDefault="009A7EA8" w:rsidP="00E357FB">
      <w:pPr>
        <w:widowControl w:val="0"/>
        <w:tabs>
          <w:tab w:val="left" w:pos="900"/>
        </w:tabs>
        <w:ind w:left="567" w:firstLine="0"/>
        <w:rPr>
          <w:rFonts w:ascii="Times New Roman" w:eastAsia="Arial Unicode MS" w:hAnsi="Times New Roman"/>
          <w:szCs w:val="20"/>
        </w:rPr>
      </w:pPr>
      <w:r w:rsidRPr="00E16672">
        <w:rPr>
          <w:rFonts w:ascii="Times New Roman" w:eastAsia="Arial Unicode MS" w:hAnsi="Times New Roman"/>
          <w:szCs w:val="20"/>
        </w:rPr>
        <w:t xml:space="preserve">- за </w:t>
      </w:r>
      <w:proofErr w:type="spellStart"/>
      <w:r w:rsidRPr="00E16672">
        <w:rPr>
          <w:rFonts w:ascii="Times New Roman" w:eastAsia="Arial Unicode MS" w:hAnsi="Times New Roman"/>
          <w:szCs w:val="20"/>
        </w:rPr>
        <w:t>допомогою</w:t>
      </w:r>
      <w:proofErr w:type="spellEnd"/>
      <w:r w:rsidRPr="00E16672">
        <w:rPr>
          <w:rFonts w:ascii="Times New Roman" w:eastAsia="Arial Unicode MS" w:hAnsi="Times New Roman"/>
          <w:szCs w:val="20"/>
        </w:rPr>
        <w:t xml:space="preserve"> факсового </w:t>
      </w:r>
      <w:proofErr w:type="spellStart"/>
      <w:r w:rsidRPr="00E16672">
        <w:rPr>
          <w:rFonts w:ascii="Times New Roman" w:eastAsia="Arial Unicode MS" w:hAnsi="Times New Roman"/>
          <w:szCs w:val="20"/>
        </w:rPr>
        <w:t>зв’язку</w:t>
      </w:r>
      <w:proofErr w:type="spellEnd"/>
      <w:r w:rsidRPr="00E16672">
        <w:rPr>
          <w:rFonts w:ascii="Times New Roman" w:eastAsia="Arial Unicode MS" w:hAnsi="Times New Roman"/>
          <w:szCs w:val="20"/>
        </w:rPr>
        <w:t xml:space="preserve"> з </w:t>
      </w:r>
      <w:proofErr w:type="spellStart"/>
      <w:r w:rsidRPr="00E16672">
        <w:rPr>
          <w:rFonts w:ascii="Times New Roman" w:eastAsia="Arial Unicode MS" w:hAnsi="Times New Roman"/>
          <w:szCs w:val="20"/>
        </w:rPr>
        <w:t>наступним</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відправленням</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оригіналу</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рекомендованим</w:t>
      </w:r>
      <w:proofErr w:type="spellEnd"/>
      <w:r w:rsidRPr="00E16672">
        <w:rPr>
          <w:rFonts w:ascii="Times New Roman" w:eastAsia="Arial Unicode MS" w:hAnsi="Times New Roman"/>
          <w:szCs w:val="20"/>
        </w:rPr>
        <w:t xml:space="preserve"> листом </w:t>
      </w:r>
      <w:proofErr w:type="spellStart"/>
      <w:r w:rsidRPr="00E16672">
        <w:rPr>
          <w:rFonts w:ascii="Times New Roman" w:eastAsia="Arial Unicode MS" w:hAnsi="Times New Roman"/>
          <w:szCs w:val="20"/>
        </w:rPr>
        <w:t>або</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його</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наданням</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особисто</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уповноваженому</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представнику</w:t>
      </w:r>
      <w:proofErr w:type="spellEnd"/>
      <w:r w:rsidRPr="00E16672">
        <w:rPr>
          <w:rFonts w:ascii="Times New Roman" w:eastAsia="Arial Unicode MS" w:hAnsi="Times New Roman"/>
          <w:szCs w:val="20"/>
        </w:rPr>
        <w:t xml:space="preserve"> не </w:t>
      </w:r>
      <w:proofErr w:type="spellStart"/>
      <w:r w:rsidRPr="00E16672">
        <w:rPr>
          <w:rFonts w:ascii="Times New Roman" w:eastAsia="Arial Unicode MS" w:hAnsi="Times New Roman"/>
          <w:szCs w:val="20"/>
        </w:rPr>
        <w:t>пізніше</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наступного</w:t>
      </w:r>
      <w:proofErr w:type="spellEnd"/>
      <w:r w:rsidRPr="00E16672">
        <w:rPr>
          <w:rFonts w:ascii="Times New Roman" w:eastAsia="Arial Unicode MS" w:hAnsi="Times New Roman"/>
          <w:szCs w:val="20"/>
        </w:rPr>
        <w:t xml:space="preserve"> дня з моменту </w:t>
      </w:r>
      <w:proofErr w:type="spellStart"/>
      <w:r w:rsidRPr="00E16672">
        <w:rPr>
          <w:rFonts w:ascii="Times New Roman" w:eastAsia="Arial Unicode MS" w:hAnsi="Times New Roman"/>
          <w:szCs w:val="20"/>
        </w:rPr>
        <w:t>передавання</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реєстру</w:t>
      </w:r>
      <w:proofErr w:type="spellEnd"/>
      <w:r w:rsidRPr="00E16672">
        <w:rPr>
          <w:rFonts w:ascii="Times New Roman" w:eastAsia="Arial Unicode MS" w:hAnsi="Times New Roman"/>
          <w:szCs w:val="20"/>
        </w:rPr>
        <w:t xml:space="preserve"> та/</w:t>
      </w:r>
      <w:proofErr w:type="spellStart"/>
      <w:r w:rsidRPr="00E16672">
        <w:rPr>
          <w:rFonts w:ascii="Times New Roman" w:eastAsia="Arial Unicode MS" w:hAnsi="Times New Roman"/>
          <w:szCs w:val="20"/>
        </w:rPr>
        <w:t>або</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переліку</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власників</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іменних</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цінних</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паперів</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довідково-аналітичні</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матеріалів</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виписок</w:t>
      </w:r>
      <w:proofErr w:type="spellEnd"/>
      <w:r w:rsidRPr="00E16672">
        <w:rPr>
          <w:rFonts w:ascii="Times New Roman" w:eastAsia="Arial Unicode MS" w:hAnsi="Times New Roman"/>
          <w:szCs w:val="20"/>
        </w:rPr>
        <w:t xml:space="preserve"> і </w:t>
      </w:r>
      <w:proofErr w:type="spellStart"/>
      <w:r w:rsidRPr="00E16672">
        <w:rPr>
          <w:rFonts w:ascii="Times New Roman" w:eastAsia="Arial Unicode MS" w:hAnsi="Times New Roman"/>
          <w:szCs w:val="20"/>
        </w:rPr>
        <w:t>інформаційних</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довідок</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іншої</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інформації</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щодо</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власників</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іменних</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цінних</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паперів</w:t>
      </w:r>
      <w:proofErr w:type="spellEnd"/>
      <w:r w:rsidRPr="00E16672">
        <w:rPr>
          <w:rFonts w:ascii="Times New Roman" w:eastAsia="Arial Unicode MS" w:hAnsi="Times New Roman"/>
          <w:szCs w:val="20"/>
        </w:rPr>
        <w:t xml:space="preserve"> та </w:t>
      </w:r>
      <w:proofErr w:type="spellStart"/>
      <w:r w:rsidRPr="00E16672">
        <w:rPr>
          <w:rFonts w:ascii="Times New Roman" w:eastAsia="Arial Unicode MS" w:hAnsi="Times New Roman"/>
          <w:szCs w:val="20"/>
        </w:rPr>
        <w:t>оформлюється</w:t>
      </w:r>
      <w:proofErr w:type="spellEnd"/>
      <w:r w:rsidRPr="00E16672">
        <w:rPr>
          <w:rFonts w:ascii="Times New Roman" w:eastAsia="Arial Unicode MS" w:hAnsi="Times New Roman"/>
          <w:szCs w:val="20"/>
        </w:rPr>
        <w:t xml:space="preserve"> актом </w:t>
      </w:r>
      <w:proofErr w:type="spellStart"/>
      <w:r w:rsidRPr="00E16672">
        <w:rPr>
          <w:rFonts w:ascii="Times New Roman" w:eastAsia="Arial Unicode MS" w:hAnsi="Times New Roman"/>
          <w:szCs w:val="20"/>
        </w:rPr>
        <w:t>приймання-передавання</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реєстру</w:t>
      </w:r>
      <w:proofErr w:type="spellEnd"/>
      <w:r w:rsidRPr="00E16672">
        <w:rPr>
          <w:rFonts w:ascii="Times New Roman" w:eastAsia="Arial Unicode MS" w:hAnsi="Times New Roman"/>
          <w:szCs w:val="20"/>
        </w:rPr>
        <w:t xml:space="preserve"> та/</w:t>
      </w:r>
      <w:proofErr w:type="spellStart"/>
      <w:r w:rsidRPr="00E16672">
        <w:rPr>
          <w:rFonts w:ascii="Times New Roman" w:eastAsia="Arial Unicode MS" w:hAnsi="Times New Roman"/>
          <w:szCs w:val="20"/>
        </w:rPr>
        <w:t>або</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переліку</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власників</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іменних</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цінних</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паперів</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довідково-аналітичних</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матеріалів</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виписок</w:t>
      </w:r>
      <w:proofErr w:type="spellEnd"/>
      <w:r w:rsidRPr="00E16672">
        <w:rPr>
          <w:rFonts w:ascii="Times New Roman" w:eastAsia="Arial Unicode MS" w:hAnsi="Times New Roman"/>
          <w:szCs w:val="20"/>
        </w:rPr>
        <w:t xml:space="preserve"> і </w:t>
      </w:r>
      <w:proofErr w:type="spellStart"/>
      <w:r w:rsidRPr="00E16672">
        <w:rPr>
          <w:rFonts w:ascii="Times New Roman" w:eastAsia="Arial Unicode MS" w:hAnsi="Times New Roman"/>
          <w:szCs w:val="20"/>
        </w:rPr>
        <w:t>інформаційних</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довідок</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іншої</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інформації</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щодо</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власників</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іменних</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цінних</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паперів</w:t>
      </w:r>
      <w:proofErr w:type="spellEnd"/>
      <w:r w:rsidRPr="00E16672">
        <w:rPr>
          <w:rFonts w:ascii="Times New Roman" w:hAnsi="Times New Roman"/>
          <w:szCs w:val="20"/>
        </w:rPr>
        <w:t xml:space="preserve"> </w:t>
      </w:r>
      <w:hyperlink w:anchor="Додаток_15" w:history="1">
        <w:r w:rsidRPr="00E16672">
          <w:rPr>
            <w:rStyle w:val="a6"/>
            <w:rFonts w:ascii="Times New Roman" w:hAnsi="Times New Roman"/>
            <w:szCs w:val="20"/>
          </w:rPr>
          <w:t>.</w:t>
        </w:r>
      </w:hyperlink>
    </w:p>
    <w:p w14:paraId="0E5374A8" w14:textId="77777777" w:rsidR="009A7EA8" w:rsidRPr="00E16672" w:rsidRDefault="009A7EA8" w:rsidP="009A7EA8">
      <w:pPr>
        <w:rPr>
          <w:rFonts w:ascii="Times New Roman" w:eastAsia="Arial Unicode MS" w:hAnsi="Times New Roman"/>
          <w:szCs w:val="20"/>
        </w:rPr>
      </w:pPr>
      <w:proofErr w:type="spellStart"/>
      <w:r w:rsidRPr="00E16672">
        <w:rPr>
          <w:rFonts w:ascii="Times New Roman" w:eastAsia="Arial Unicode MS" w:hAnsi="Times New Roman"/>
          <w:szCs w:val="20"/>
        </w:rPr>
        <w:t>Емітент</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погоджується</w:t>
      </w:r>
      <w:proofErr w:type="spellEnd"/>
      <w:r w:rsidRPr="00E16672">
        <w:rPr>
          <w:rFonts w:ascii="Times New Roman" w:eastAsia="Arial Unicode MS" w:hAnsi="Times New Roman"/>
          <w:szCs w:val="20"/>
        </w:rPr>
        <w:t xml:space="preserve"> з </w:t>
      </w:r>
      <w:proofErr w:type="spellStart"/>
      <w:r w:rsidRPr="00E16672">
        <w:rPr>
          <w:rFonts w:ascii="Times New Roman" w:eastAsia="Arial Unicode MS" w:hAnsi="Times New Roman"/>
          <w:szCs w:val="20"/>
        </w:rPr>
        <w:t>тим</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що</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він</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був</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повідомлений</w:t>
      </w:r>
      <w:proofErr w:type="spellEnd"/>
      <w:r w:rsidRPr="00E16672">
        <w:rPr>
          <w:rFonts w:ascii="Times New Roman" w:eastAsia="Arial Unicode MS" w:hAnsi="Times New Roman"/>
          <w:szCs w:val="20"/>
        </w:rPr>
        <w:t xml:space="preserve"> про </w:t>
      </w:r>
      <w:proofErr w:type="spellStart"/>
      <w:r w:rsidRPr="00E16672">
        <w:rPr>
          <w:rFonts w:ascii="Times New Roman" w:eastAsia="Arial Unicode MS" w:hAnsi="Times New Roman"/>
          <w:szCs w:val="20"/>
        </w:rPr>
        <w:t>ризик</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пов’язаний</w:t>
      </w:r>
      <w:proofErr w:type="spellEnd"/>
      <w:r w:rsidRPr="00E16672">
        <w:rPr>
          <w:rFonts w:ascii="Times New Roman" w:eastAsia="Arial Unicode MS" w:hAnsi="Times New Roman"/>
          <w:szCs w:val="20"/>
        </w:rPr>
        <w:t xml:space="preserve"> з </w:t>
      </w:r>
      <w:proofErr w:type="spellStart"/>
      <w:r w:rsidRPr="00E16672">
        <w:rPr>
          <w:rFonts w:ascii="Times New Roman" w:eastAsia="Arial Unicode MS" w:hAnsi="Times New Roman"/>
          <w:szCs w:val="20"/>
        </w:rPr>
        <w:t>використанням</w:t>
      </w:r>
      <w:proofErr w:type="spellEnd"/>
      <w:r w:rsidRPr="00E16672">
        <w:rPr>
          <w:rFonts w:ascii="Times New Roman" w:eastAsia="Arial Unicode MS" w:hAnsi="Times New Roman"/>
          <w:szCs w:val="20"/>
        </w:rPr>
        <w:t xml:space="preserve"> такого </w:t>
      </w:r>
      <w:proofErr w:type="spellStart"/>
      <w:r w:rsidRPr="00E16672">
        <w:rPr>
          <w:rFonts w:ascii="Times New Roman" w:eastAsia="Arial Unicode MS" w:hAnsi="Times New Roman"/>
          <w:szCs w:val="20"/>
        </w:rPr>
        <w:t>засобу</w:t>
      </w:r>
      <w:proofErr w:type="spellEnd"/>
      <w:r w:rsidRPr="00E16672">
        <w:rPr>
          <w:rFonts w:ascii="Times New Roman" w:eastAsia="Arial Unicode MS" w:hAnsi="Times New Roman"/>
          <w:szCs w:val="20"/>
        </w:rPr>
        <w:t xml:space="preserve">, як </w:t>
      </w:r>
      <w:proofErr w:type="spellStart"/>
      <w:r w:rsidRPr="00E16672">
        <w:rPr>
          <w:rFonts w:ascii="Times New Roman" w:eastAsia="Arial Unicode MS" w:hAnsi="Times New Roman"/>
          <w:szCs w:val="20"/>
        </w:rPr>
        <w:t>факсовий</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зв’язок</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можливими</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зловживаннями</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деформацією</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надсилань</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виходу</w:t>
      </w:r>
      <w:proofErr w:type="spellEnd"/>
      <w:r w:rsidRPr="00E16672">
        <w:rPr>
          <w:rFonts w:ascii="Times New Roman" w:eastAsia="Arial Unicode MS" w:hAnsi="Times New Roman"/>
          <w:szCs w:val="20"/>
        </w:rPr>
        <w:t xml:space="preserve"> з ладу систем. </w:t>
      </w:r>
      <w:proofErr w:type="spellStart"/>
      <w:r w:rsidRPr="00E16672">
        <w:rPr>
          <w:rFonts w:ascii="Times New Roman" w:eastAsia="Arial Unicode MS" w:hAnsi="Times New Roman"/>
          <w:szCs w:val="20"/>
        </w:rPr>
        <w:t>Емітент</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зобов’язується</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прийняти</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наслідки</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вищевказаного</w:t>
      </w:r>
      <w:proofErr w:type="spellEnd"/>
      <w:r w:rsidRPr="00E16672">
        <w:rPr>
          <w:rFonts w:ascii="Times New Roman" w:eastAsia="Arial Unicode MS" w:hAnsi="Times New Roman"/>
          <w:szCs w:val="20"/>
        </w:rPr>
        <w:t xml:space="preserve"> на себе.</w:t>
      </w:r>
    </w:p>
    <w:p w14:paraId="32AF1A03" w14:textId="77777777" w:rsidR="009A7EA8" w:rsidRPr="00E16672" w:rsidRDefault="009A7EA8" w:rsidP="009A7EA8">
      <w:pPr>
        <w:rPr>
          <w:rFonts w:ascii="Times New Roman" w:eastAsia="Arial Unicode MS" w:hAnsi="Times New Roman"/>
          <w:szCs w:val="20"/>
        </w:rPr>
      </w:pPr>
      <w:r w:rsidRPr="00E16672">
        <w:rPr>
          <w:rFonts w:ascii="Times New Roman" w:eastAsia="Arial Unicode MS" w:hAnsi="Times New Roman"/>
          <w:szCs w:val="20"/>
        </w:rPr>
        <w:t xml:space="preserve">3.10. </w:t>
      </w:r>
      <w:proofErr w:type="spellStart"/>
      <w:r w:rsidRPr="00E16672">
        <w:rPr>
          <w:rFonts w:ascii="Times New Roman" w:eastAsia="Arial Unicode MS" w:hAnsi="Times New Roman"/>
          <w:szCs w:val="20"/>
        </w:rPr>
        <w:t>Реєстр</w:t>
      </w:r>
      <w:proofErr w:type="spellEnd"/>
      <w:r w:rsidRPr="00E16672">
        <w:rPr>
          <w:rFonts w:ascii="Times New Roman" w:eastAsia="Arial Unicode MS" w:hAnsi="Times New Roman"/>
          <w:szCs w:val="20"/>
        </w:rPr>
        <w:t xml:space="preserve"> та/</w:t>
      </w:r>
      <w:proofErr w:type="spellStart"/>
      <w:r w:rsidRPr="00E16672">
        <w:rPr>
          <w:rFonts w:ascii="Times New Roman" w:eastAsia="Arial Unicode MS" w:hAnsi="Times New Roman"/>
          <w:szCs w:val="20"/>
        </w:rPr>
        <w:t>або</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перелік</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власників</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іменних</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цінних</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паперів</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емітента</w:t>
      </w:r>
      <w:proofErr w:type="spellEnd"/>
      <w:r w:rsidRPr="00E16672">
        <w:rPr>
          <w:rFonts w:ascii="Times New Roman" w:eastAsia="Arial Unicode MS" w:hAnsi="Times New Roman"/>
          <w:szCs w:val="20"/>
        </w:rPr>
        <w:t xml:space="preserve"> у </w:t>
      </w:r>
      <w:proofErr w:type="spellStart"/>
      <w:r w:rsidRPr="00E16672">
        <w:rPr>
          <w:rFonts w:ascii="Times New Roman" w:eastAsia="Arial Unicode MS" w:hAnsi="Times New Roman"/>
          <w:szCs w:val="20"/>
        </w:rPr>
        <w:t>електронному</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вигляді</w:t>
      </w:r>
      <w:proofErr w:type="spellEnd"/>
      <w:r w:rsidRPr="00E16672">
        <w:rPr>
          <w:rFonts w:ascii="Times New Roman" w:eastAsia="Arial Unicode MS" w:hAnsi="Times New Roman"/>
          <w:szCs w:val="20"/>
        </w:rPr>
        <w:t xml:space="preserve"> (формат .XLS у </w:t>
      </w:r>
      <w:proofErr w:type="spellStart"/>
      <w:r w:rsidRPr="00E16672">
        <w:rPr>
          <w:rFonts w:ascii="Times New Roman" w:eastAsia="Arial Unicode MS" w:hAnsi="Times New Roman"/>
          <w:szCs w:val="20"/>
        </w:rPr>
        <w:t>кодуванні</w:t>
      </w:r>
      <w:proofErr w:type="spellEnd"/>
      <w:r w:rsidRPr="00E16672">
        <w:rPr>
          <w:rFonts w:ascii="Times New Roman" w:eastAsia="Arial Unicode MS" w:hAnsi="Times New Roman"/>
          <w:szCs w:val="20"/>
        </w:rPr>
        <w:t xml:space="preserve"> win1251 </w:t>
      </w:r>
      <w:proofErr w:type="spellStart"/>
      <w:r w:rsidRPr="00E16672">
        <w:rPr>
          <w:rFonts w:ascii="Times New Roman" w:eastAsia="Arial Unicode MS" w:hAnsi="Times New Roman"/>
          <w:szCs w:val="20"/>
        </w:rPr>
        <w:t>чи</w:t>
      </w:r>
      <w:proofErr w:type="spellEnd"/>
      <w:r w:rsidRPr="00E16672">
        <w:rPr>
          <w:rFonts w:ascii="Times New Roman" w:eastAsia="Arial Unicode MS" w:hAnsi="Times New Roman"/>
          <w:szCs w:val="20"/>
        </w:rPr>
        <w:t xml:space="preserve"> .DBF у </w:t>
      </w:r>
      <w:proofErr w:type="spellStart"/>
      <w:r w:rsidRPr="00E16672">
        <w:rPr>
          <w:rFonts w:ascii="Times New Roman" w:eastAsia="Arial Unicode MS" w:hAnsi="Times New Roman"/>
          <w:szCs w:val="20"/>
        </w:rPr>
        <w:t>кодуваннях</w:t>
      </w:r>
      <w:proofErr w:type="spellEnd"/>
      <w:r w:rsidRPr="00E16672">
        <w:rPr>
          <w:rFonts w:ascii="Times New Roman" w:eastAsia="Arial Unicode MS" w:hAnsi="Times New Roman"/>
          <w:szCs w:val="20"/>
        </w:rPr>
        <w:t xml:space="preserve"> cp866, cp1125 та win1251) </w:t>
      </w:r>
      <w:proofErr w:type="spellStart"/>
      <w:r w:rsidRPr="00E16672">
        <w:rPr>
          <w:rFonts w:ascii="Times New Roman" w:eastAsia="Arial Unicode MS" w:hAnsi="Times New Roman"/>
          <w:szCs w:val="20"/>
        </w:rPr>
        <w:t>передається</w:t>
      </w:r>
      <w:proofErr w:type="spellEnd"/>
      <w:r w:rsidRPr="00E16672">
        <w:rPr>
          <w:rFonts w:ascii="Times New Roman" w:eastAsia="Arial Unicode MS" w:hAnsi="Times New Roman"/>
          <w:szCs w:val="20"/>
        </w:rPr>
        <w:t xml:space="preserve"> на </w:t>
      </w:r>
      <w:proofErr w:type="spellStart"/>
      <w:r w:rsidRPr="00E16672">
        <w:rPr>
          <w:rFonts w:ascii="Times New Roman" w:eastAsia="Arial Unicode MS" w:hAnsi="Times New Roman"/>
          <w:szCs w:val="20"/>
        </w:rPr>
        <w:t>оптичному</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носії</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даних</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що</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виключає</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lastRenderedPageBreak/>
        <w:t>перезапис</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даних</w:t>
      </w:r>
      <w:proofErr w:type="spellEnd"/>
      <w:r w:rsidRPr="00E16672">
        <w:rPr>
          <w:rFonts w:ascii="Times New Roman" w:eastAsia="Arial Unicode MS" w:hAnsi="Times New Roman"/>
          <w:szCs w:val="20"/>
        </w:rPr>
        <w:t xml:space="preserve"> та </w:t>
      </w:r>
      <w:proofErr w:type="spellStart"/>
      <w:r w:rsidRPr="00E16672">
        <w:rPr>
          <w:rFonts w:ascii="Times New Roman" w:eastAsia="Arial Unicode MS" w:hAnsi="Times New Roman"/>
          <w:szCs w:val="20"/>
        </w:rPr>
        <w:t>внесення</w:t>
      </w:r>
      <w:proofErr w:type="spellEnd"/>
      <w:r w:rsidRPr="00E16672">
        <w:rPr>
          <w:rFonts w:ascii="Times New Roman" w:eastAsia="Arial Unicode MS" w:hAnsi="Times New Roman"/>
          <w:szCs w:val="20"/>
        </w:rPr>
        <w:t xml:space="preserve"> будь-</w:t>
      </w:r>
      <w:proofErr w:type="spellStart"/>
      <w:r w:rsidRPr="00E16672">
        <w:rPr>
          <w:rFonts w:ascii="Times New Roman" w:eastAsia="Arial Unicode MS" w:hAnsi="Times New Roman"/>
          <w:szCs w:val="20"/>
        </w:rPr>
        <w:t>яких</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змін</w:t>
      </w:r>
      <w:proofErr w:type="spellEnd"/>
      <w:r w:rsidRPr="00E16672">
        <w:rPr>
          <w:rFonts w:ascii="Times New Roman" w:eastAsia="Arial Unicode MS" w:hAnsi="Times New Roman"/>
          <w:szCs w:val="20"/>
        </w:rPr>
        <w:t xml:space="preserve"> </w:t>
      </w:r>
      <w:proofErr w:type="gramStart"/>
      <w:r w:rsidRPr="00E16672">
        <w:rPr>
          <w:rFonts w:ascii="Times New Roman" w:eastAsia="Arial Unicode MS" w:hAnsi="Times New Roman"/>
          <w:szCs w:val="20"/>
        </w:rPr>
        <w:t>у файл</w:t>
      </w:r>
      <w:proofErr w:type="gram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реєстру</w:t>
      </w:r>
      <w:proofErr w:type="spellEnd"/>
      <w:r w:rsidRPr="00E16672">
        <w:rPr>
          <w:rFonts w:ascii="Times New Roman" w:eastAsia="Arial Unicode MS" w:hAnsi="Times New Roman"/>
          <w:szCs w:val="20"/>
        </w:rPr>
        <w:t>/</w:t>
      </w:r>
      <w:proofErr w:type="spellStart"/>
      <w:r w:rsidRPr="00E16672">
        <w:rPr>
          <w:rFonts w:ascii="Times New Roman" w:eastAsia="Arial Unicode MS" w:hAnsi="Times New Roman"/>
          <w:szCs w:val="20"/>
        </w:rPr>
        <w:t>переліку</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власників</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іменних</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цінних</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паперів</w:t>
      </w:r>
      <w:proofErr w:type="spellEnd"/>
      <w:r w:rsidRPr="00E16672">
        <w:rPr>
          <w:rFonts w:ascii="Times New Roman" w:eastAsia="Arial Unicode MS" w:hAnsi="Times New Roman"/>
          <w:szCs w:val="20"/>
        </w:rPr>
        <w:t xml:space="preserve"> (CD </w:t>
      </w:r>
      <w:proofErr w:type="spellStart"/>
      <w:r w:rsidRPr="00E16672">
        <w:rPr>
          <w:rFonts w:ascii="Times New Roman" w:eastAsia="Arial Unicode MS" w:hAnsi="Times New Roman"/>
          <w:szCs w:val="20"/>
        </w:rPr>
        <w:t>чи</w:t>
      </w:r>
      <w:proofErr w:type="spellEnd"/>
      <w:r w:rsidRPr="00E16672">
        <w:rPr>
          <w:rFonts w:ascii="Times New Roman" w:eastAsia="Arial Unicode MS" w:hAnsi="Times New Roman"/>
          <w:szCs w:val="20"/>
        </w:rPr>
        <w:t xml:space="preserve"> DVD) – </w:t>
      </w:r>
      <w:proofErr w:type="spellStart"/>
      <w:r w:rsidRPr="00E16672">
        <w:rPr>
          <w:rFonts w:ascii="Times New Roman" w:eastAsia="Arial Unicode MS" w:hAnsi="Times New Roman"/>
          <w:szCs w:val="20"/>
        </w:rPr>
        <w:t>особисто</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уповноваженому</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представнику</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із</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пред’явленням</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останнім</w:t>
      </w:r>
      <w:proofErr w:type="spellEnd"/>
      <w:r w:rsidRPr="00E16672">
        <w:rPr>
          <w:rFonts w:ascii="Times New Roman" w:eastAsia="Arial Unicode MS" w:hAnsi="Times New Roman"/>
          <w:szCs w:val="20"/>
        </w:rPr>
        <w:t xml:space="preserve"> документу, </w:t>
      </w:r>
      <w:proofErr w:type="spellStart"/>
      <w:r w:rsidRPr="00E16672">
        <w:rPr>
          <w:rFonts w:ascii="Times New Roman" w:eastAsia="Arial Unicode MS" w:hAnsi="Times New Roman"/>
          <w:szCs w:val="20"/>
        </w:rPr>
        <w:t>який</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посвідчує</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його</w:t>
      </w:r>
      <w:proofErr w:type="spellEnd"/>
      <w:r w:rsidRPr="00E16672">
        <w:rPr>
          <w:rFonts w:ascii="Times New Roman" w:eastAsia="Arial Unicode MS" w:hAnsi="Times New Roman"/>
          <w:szCs w:val="20"/>
        </w:rPr>
        <w:t xml:space="preserve"> особу, та </w:t>
      </w:r>
      <w:proofErr w:type="spellStart"/>
      <w:r w:rsidRPr="00E16672">
        <w:rPr>
          <w:rFonts w:ascii="Times New Roman" w:eastAsia="Arial Unicode MS" w:hAnsi="Times New Roman"/>
          <w:szCs w:val="20"/>
        </w:rPr>
        <w:t>довіреності</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або</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представнику</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служби</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кур’єрської</w:t>
      </w:r>
      <w:proofErr w:type="spellEnd"/>
      <w:r w:rsidRPr="00E16672">
        <w:rPr>
          <w:rFonts w:ascii="Times New Roman" w:eastAsia="Arial Unicode MS" w:hAnsi="Times New Roman"/>
          <w:szCs w:val="20"/>
        </w:rPr>
        <w:t xml:space="preserve"> доставки.</w:t>
      </w:r>
    </w:p>
    <w:p w14:paraId="0285BBC9" w14:textId="77777777" w:rsidR="009A7EA8" w:rsidRPr="00E16672" w:rsidRDefault="009A7EA8" w:rsidP="009A7EA8">
      <w:pPr>
        <w:rPr>
          <w:rFonts w:ascii="Times New Roman" w:eastAsia="Arial Unicode MS" w:hAnsi="Times New Roman"/>
          <w:szCs w:val="20"/>
        </w:rPr>
      </w:pPr>
      <w:r w:rsidRPr="00E16672">
        <w:rPr>
          <w:rFonts w:ascii="Times New Roman" w:eastAsia="Arial Unicode MS" w:hAnsi="Times New Roman"/>
          <w:szCs w:val="20"/>
        </w:rPr>
        <w:t xml:space="preserve">3.11. Передача </w:t>
      </w:r>
      <w:proofErr w:type="spellStart"/>
      <w:r w:rsidRPr="00E16672">
        <w:rPr>
          <w:rFonts w:ascii="Times New Roman" w:eastAsia="Arial Unicode MS" w:hAnsi="Times New Roman"/>
          <w:szCs w:val="20"/>
        </w:rPr>
        <w:t>реєстру</w:t>
      </w:r>
      <w:proofErr w:type="spellEnd"/>
      <w:r w:rsidRPr="00E16672">
        <w:rPr>
          <w:rFonts w:ascii="Times New Roman" w:eastAsia="Arial Unicode MS" w:hAnsi="Times New Roman"/>
          <w:szCs w:val="20"/>
        </w:rPr>
        <w:t xml:space="preserve"> та/</w:t>
      </w:r>
      <w:proofErr w:type="spellStart"/>
      <w:r w:rsidRPr="00E16672">
        <w:rPr>
          <w:rFonts w:ascii="Times New Roman" w:eastAsia="Arial Unicode MS" w:hAnsi="Times New Roman"/>
          <w:szCs w:val="20"/>
        </w:rPr>
        <w:t>або</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переліку</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власників</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іменних</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цінних</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паперів</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довідково-аналітичних</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матеріалів</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виписок</w:t>
      </w:r>
      <w:proofErr w:type="spellEnd"/>
      <w:r w:rsidRPr="00E16672">
        <w:rPr>
          <w:rFonts w:ascii="Times New Roman" w:eastAsia="Arial Unicode MS" w:hAnsi="Times New Roman"/>
          <w:szCs w:val="20"/>
        </w:rPr>
        <w:t xml:space="preserve"> і </w:t>
      </w:r>
      <w:proofErr w:type="spellStart"/>
      <w:r w:rsidRPr="00E16672">
        <w:rPr>
          <w:rFonts w:ascii="Times New Roman" w:eastAsia="Arial Unicode MS" w:hAnsi="Times New Roman"/>
          <w:szCs w:val="20"/>
        </w:rPr>
        <w:t>інформаційних</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довідок</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іншої</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інформації</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щодо</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власників</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іменних</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цінних</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паперів</w:t>
      </w:r>
      <w:proofErr w:type="spellEnd"/>
      <w:r w:rsidRPr="00E16672">
        <w:rPr>
          <w:rFonts w:ascii="Times New Roman" w:eastAsia="Arial Unicode MS" w:hAnsi="Times New Roman"/>
          <w:szCs w:val="20"/>
        </w:rPr>
        <w:t xml:space="preserve"> у </w:t>
      </w:r>
      <w:proofErr w:type="spellStart"/>
      <w:r w:rsidRPr="00E16672">
        <w:rPr>
          <w:rFonts w:ascii="Times New Roman" w:eastAsia="Arial Unicode MS" w:hAnsi="Times New Roman"/>
          <w:szCs w:val="20"/>
        </w:rPr>
        <w:t>паперовому</w:t>
      </w:r>
      <w:proofErr w:type="spellEnd"/>
      <w:r w:rsidRPr="00E16672">
        <w:rPr>
          <w:rFonts w:ascii="Times New Roman" w:eastAsia="Arial Unicode MS" w:hAnsi="Times New Roman"/>
          <w:szCs w:val="20"/>
        </w:rPr>
        <w:t xml:space="preserve"> та/</w:t>
      </w:r>
      <w:proofErr w:type="spellStart"/>
      <w:r w:rsidRPr="00E16672">
        <w:rPr>
          <w:rFonts w:ascii="Times New Roman" w:eastAsia="Arial Unicode MS" w:hAnsi="Times New Roman"/>
          <w:szCs w:val="20"/>
        </w:rPr>
        <w:t>або</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електронному</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вигляді</w:t>
      </w:r>
      <w:proofErr w:type="spellEnd"/>
      <w:r w:rsidRPr="00E16672">
        <w:rPr>
          <w:rFonts w:ascii="Times New Roman" w:eastAsia="Arial Unicode MS" w:hAnsi="Times New Roman"/>
          <w:szCs w:val="20"/>
        </w:rPr>
        <w:t xml:space="preserve"> (на CD/DVD – диску) </w:t>
      </w:r>
      <w:proofErr w:type="spellStart"/>
      <w:r w:rsidRPr="00E16672">
        <w:rPr>
          <w:rFonts w:ascii="Times New Roman" w:eastAsia="Arial Unicode MS" w:hAnsi="Times New Roman"/>
          <w:szCs w:val="20"/>
        </w:rPr>
        <w:t>оформлюється</w:t>
      </w:r>
      <w:proofErr w:type="spellEnd"/>
      <w:r w:rsidRPr="00E16672">
        <w:rPr>
          <w:rFonts w:ascii="Times New Roman" w:eastAsia="Arial Unicode MS" w:hAnsi="Times New Roman"/>
          <w:szCs w:val="20"/>
        </w:rPr>
        <w:t xml:space="preserve"> актом </w:t>
      </w:r>
      <w:proofErr w:type="spellStart"/>
      <w:r w:rsidRPr="00E16672">
        <w:rPr>
          <w:rFonts w:ascii="Times New Roman" w:eastAsia="Arial Unicode MS" w:hAnsi="Times New Roman"/>
          <w:szCs w:val="20"/>
        </w:rPr>
        <w:t>приймання-передавання</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реєстру</w:t>
      </w:r>
      <w:proofErr w:type="spellEnd"/>
      <w:r w:rsidRPr="00E16672">
        <w:rPr>
          <w:rFonts w:ascii="Times New Roman" w:eastAsia="Arial Unicode MS" w:hAnsi="Times New Roman"/>
          <w:szCs w:val="20"/>
        </w:rPr>
        <w:t xml:space="preserve"> та/</w:t>
      </w:r>
      <w:proofErr w:type="spellStart"/>
      <w:r w:rsidRPr="00E16672">
        <w:rPr>
          <w:rFonts w:ascii="Times New Roman" w:eastAsia="Arial Unicode MS" w:hAnsi="Times New Roman"/>
          <w:szCs w:val="20"/>
        </w:rPr>
        <w:t>або</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переліку</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власників</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іменних</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цінних</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паперів</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довідково-аналітичні</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матеріалів</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виписок</w:t>
      </w:r>
      <w:proofErr w:type="spellEnd"/>
      <w:r w:rsidRPr="00E16672">
        <w:rPr>
          <w:rFonts w:ascii="Times New Roman" w:eastAsia="Arial Unicode MS" w:hAnsi="Times New Roman"/>
          <w:szCs w:val="20"/>
        </w:rPr>
        <w:t xml:space="preserve"> і </w:t>
      </w:r>
      <w:proofErr w:type="spellStart"/>
      <w:r w:rsidRPr="00E16672">
        <w:rPr>
          <w:rFonts w:ascii="Times New Roman" w:eastAsia="Arial Unicode MS" w:hAnsi="Times New Roman"/>
          <w:szCs w:val="20"/>
        </w:rPr>
        <w:t>інформаційних</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довідок</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іншої</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інформації</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щодо</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власників</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іменних</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цінних</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паперів</w:t>
      </w:r>
      <w:proofErr w:type="spellEnd"/>
      <w:r w:rsidRPr="00E16672">
        <w:rPr>
          <w:rFonts w:ascii="Times New Roman" w:eastAsia="Arial Unicode MS" w:hAnsi="Times New Roman"/>
          <w:szCs w:val="20"/>
        </w:rPr>
        <w:t>.</w:t>
      </w:r>
    </w:p>
    <w:p w14:paraId="5F81C790" w14:textId="77777777" w:rsidR="009018E7" w:rsidRPr="00E16672" w:rsidRDefault="009018E7" w:rsidP="009A7EA8">
      <w:pPr>
        <w:rPr>
          <w:rFonts w:ascii="Times New Roman" w:eastAsia="Arial Unicode MS" w:hAnsi="Times New Roman"/>
          <w:szCs w:val="20"/>
        </w:rPr>
      </w:pPr>
    </w:p>
    <w:p w14:paraId="10D1CC57" w14:textId="77777777" w:rsidR="009A7EA8" w:rsidRPr="00E16672" w:rsidRDefault="009A7EA8" w:rsidP="009A7EA8">
      <w:pPr>
        <w:pStyle w:val="1"/>
        <w:widowControl w:val="0"/>
        <w:tabs>
          <w:tab w:val="left" w:pos="0"/>
          <w:tab w:val="left" w:pos="432"/>
        </w:tabs>
        <w:ind w:left="432" w:hanging="432"/>
        <w:rPr>
          <w:rFonts w:ascii="Times New Roman" w:eastAsia="Arial Unicode MS" w:hAnsi="Times New Roman" w:cs="Times New Roman"/>
          <w:sz w:val="20"/>
          <w:szCs w:val="20"/>
        </w:rPr>
      </w:pPr>
      <w:r w:rsidRPr="00E16672">
        <w:rPr>
          <w:rFonts w:ascii="Times New Roman" w:eastAsia="Arial Unicode MS" w:hAnsi="Times New Roman" w:cs="Times New Roman"/>
          <w:sz w:val="20"/>
          <w:szCs w:val="20"/>
        </w:rPr>
        <w:t>4. ВАРТІСТЬ ТА ПОРЯДОК ОПЛАТИ ПОСЛУГ</w:t>
      </w:r>
    </w:p>
    <w:p w14:paraId="5B98D4BC" w14:textId="77777777" w:rsidR="009A7EA8" w:rsidRPr="00E16672" w:rsidRDefault="009A7EA8" w:rsidP="009A7EA8">
      <w:pPr>
        <w:pStyle w:val="310"/>
        <w:ind w:firstLine="561"/>
        <w:rPr>
          <w:rFonts w:ascii="Times New Roman" w:hAnsi="Times New Roman"/>
          <w:color w:val="000000"/>
          <w:sz w:val="20"/>
          <w:szCs w:val="20"/>
        </w:rPr>
      </w:pPr>
      <w:r w:rsidRPr="00E16672">
        <w:rPr>
          <w:rFonts w:ascii="Times New Roman" w:eastAsia="Arial Unicode MS" w:hAnsi="Times New Roman"/>
          <w:sz w:val="20"/>
          <w:szCs w:val="20"/>
        </w:rPr>
        <w:t xml:space="preserve">4.1. </w:t>
      </w:r>
      <w:r w:rsidRPr="00E16672">
        <w:rPr>
          <w:rFonts w:ascii="Times New Roman" w:hAnsi="Times New Roman"/>
          <w:sz w:val="20"/>
          <w:szCs w:val="20"/>
        </w:rPr>
        <w:t>Тарифи на депозитарні послуги Депозитарної установи встановлюються Депозитарною установою самостійно. Підписавши цей Договір</w:t>
      </w:r>
      <w:r w:rsidRPr="00E16672">
        <w:rPr>
          <w:rFonts w:ascii="Times New Roman" w:hAnsi="Times New Roman"/>
          <w:color w:val="000000"/>
          <w:sz w:val="20"/>
          <w:szCs w:val="20"/>
        </w:rPr>
        <w:t xml:space="preserve">, Емітент погоджується з тарифами, встановленими Депозитарною установою на дату укладення Договору, які оприлюднені на зовнішньому сайті Депозитарної установи </w:t>
      </w:r>
      <w:r w:rsidR="00E16672">
        <w:rPr>
          <w:rFonts w:ascii="Times New Roman" w:hAnsi="Times New Roman"/>
          <w:color w:val="000000"/>
          <w:sz w:val="20"/>
          <w:szCs w:val="20"/>
        </w:rPr>
        <w:t>http://comex.uafin.net</w:t>
      </w:r>
      <w:r w:rsidRPr="00E16672">
        <w:rPr>
          <w:rFonts w:ascii="Times New Roman" w:hAnsi="Times New Roman"/>
          <w:color w:val="000000"/>
          <w:sz w:val="20"/>
          <w:szCs w:val="20"/>
        </w:rPr>
        <w:t>.</w:t>
      </w:r>
    </w:p>
    <w:p w14:paraId="112613CE" w14:textId="77777777" w:rsidR="009A7EA8" w:rsidRPr="00E16672" w:rsidRDefault="009A7EA8" w:rsidP="009A7EA8">
      <w:pPr>
        <w:ind w:firstLine="532"/>
        <w:rPr>
          <w:rFonts w:ascii="Times New Roman" w:hAnsi="Times New Roman"/>
          <w:color w:val="000000"/>
          <w:szCs w:val="20"/>
        </w:rPr>
      </w:pPr>
      <w:r w:rsidRPr="00E16672">
        <w:rPr>
          <w:rFonts w:ascii="Times New Roman" w:hAnsi="Times New Roman"/>
          <w:color w:val="000000"/>
          <w:szCs w:val="20"/>
          <w:lang w:val="uk-UA"/>
        </w:rPr>
        <w:t xml:space="preserve">Депозитарна установа  повідомляє про зміни до тарифів на послуги  шляхом розміщення змінених тарифів на зовнішньому сайті Депозитарної установи </w:t>
      </w:r>
      <w:hyperlink r:id="rId30" w:history="1">
        <w:r w:rsidR="00E16672">
          <w:rPr>
            <w:rStyle w:val="a6"/>
            <w:rFonts w:ascii="Times New Roman" w:hAnsi="Times New Roman"/>
            <w:color w:val="000000"/>
            <w:szCs w:val="20"/>
          </w:rPr>
          <w:t>http</w:t>
        </w:r>
        <w:r w:rsidR="00E16672" w:rsidRPr="00E16672">
          <w:rPr>
            <w:rStyle w:val="a6"/>
            <w:rFonts w:ascii="Times New Roman" w:hAnsi="Times New Roman"/>
            <w:color w:val="000000"/>
            <w:szCs w:val="20"/>
            <w:lang w:val="uk-UA"/>
          </w:rPr>
          <w:t>://</w:t>
        </w:r>
        <w:r w:rsidR="00E16672">
          <w:rPr>
            <w:rStyle w:val="a6"/>
            <w:rFonts w:ascii="Times New Roman" w:hAnsi="Times New Roman"/>
            <w:color w:val="000000"/>
            <w:szCs w:val="20"/>
          </w:rPr>
          <w:t>comex</w:t>
        </w:r>
        <w:r w:rsidR="00E16672" w:rsidRPr="00E16672">
          <w:rPr>
            <w:rStyle w:val="a6"/>
            <w:rFonts w:ascii="Times New Roman" w:hAnsi="Times New Roman"/>
            <w:color w:val="000000"/>
            <w:szCs w:val="20"/>
            <w:lang w:val="uk-UA"/>
          </w:rPr>
          <w:t>.</w:t>
        </w:r>
        <w:r w:rsidR="00E16672">
          <w:rPr>
            <w:rStyle w:val="a6"/>
            <w:rFonts w:ascii="Times New Roman" w:hAnsi="Times New Roman"/>
            <w:color w:val="000000"/>
            <w:szCs w:val="20"/>
          </w:rPr>
          <w:t>uafin</w:t>
        </w:r>
        <w:r w:rsidR="00E16672" w:rsidRPr="00E16672">
          <w:rPr>
            <w:rStyle w:val="a6"/>
            <w:rFonts w:ascii="Times New Roman" w:hAnsi="Times New Roman"/>
            <w:color w:val="000000"/>
            <w:szCs w:val="20"/>
            <w:lang w:val="uk-UA"/>
          </w:rPr>
          <w:t>.</w:t>
        </w:r>
        <w:proofErr w:type="spellStart"/>
        <w:r w:rsidR="00E16672">
          <w:rPr>
            <w:rStyle w:val="a6"/>
            <w:rFonts w:ascii="Times New Roman" w:hAnsi="Times New Roman"/>
            <w:color w:val="000000"/>
            <w:szCs w:val="20"/>
          </w:rPr>
          <w:t>net</w:t>
        </w:r>
        <w:proofErr w:type="spellEnd"/>
      </w:hyperlink>
      <w:r w:rsidRPr="00E16672">
        <w:rPr>
          <w:rFonts w:ascii="Times New Roman" w:hAnsi="Times New Roman"/>
          <w:color w:val="000000"/>
          <w:szCs w:val="20"/>
          <w:lang w:val="uk-UA"/>
        </w:rPr>
        <w:t xml:space="preserve"> протягом </w:t>
      </w:r>
      <w:r w:rsidRPr="00E16672">
        <w:rPr>
          <w:rFonts w:ascii="Times New Roman" w:hAnsi="Times New Roman"/>
          <w:i/>
          <w:color w:val="000000"/>
          <w:szCs w:val="20"/>
          <w:lang w:val="uk-UA"/>
        </w:rPr>
        <w:t>п'яти</w:t>
      </w:r>
      <w:r w:rsidRPr="00E16672">
        <w:rPr>
          <w:rFonts w:ascii="Times New Roman" w:hAnsi="Times New Roman"/>
          <w:color w:val="000000"/>
          <w:szCs w:val="20"/>
          <w:lang w:val="uk-UA"/>
        </w:rPr>
        <w:t xml:space="preserve"> робочих днів після затвердження відповідних змін. </w:t>
      </w:r>
      <w:proofErr w:type="spellStart"/>
      <w:r w:rsidRPr="00E16672">
        <w:rPr>
          <w:rFonts w:ascii="Times New Roman" w:hAnsi="Times New Roman"/>
          <w:color w:val="000000"/>
          <w:szCs w:val="20"/>
        </w:rPr>
        <w:t>Змінені</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тарифи</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використовуються</w:t>
      </w:r>
      <w:proofErr w:type="spellEnd"/>
      <w:r w:rsidRPr="00E16672">
        <w:rPr>
          <w:rFonts w:ascii="Times New Roman" w:hAnsi="Times New Roman"/>
          <w:color w:val="000000"/>
          <w:szCs w:val="20"/>
        </w:rPr>
        <w:t xml:space="preserve"> Сторонами для </w:t>
      </w:r>
      <w:proofErr w:type="spellStart"/>
      <w:r w:rsidRPr="00E16672">
        <w:rPr>
          <w:rFonts w:ascii="Times New Roman" w:hAnsi="Times New Roman"/>
          <w:color w:val="000000"/>
          <w:szCs w:val="20"/>
        </w:rPr>
        <w:t>визначення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вартості</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операцій</w:t>
      </w:r>
      <w:proofErr w:type="spellEnd"/>
      <w:r w:rsidRPr="00E16672">
        <w:rPr>
          <w:rFonts w:ascii="Times New Roman" w:hAnsi="Times New Roman"/>
          <w:color w:val="000000"/>
          <w:szCs w:val="20"/>
        </w:rPr>
        <w:t xml:space="preserve"> на дату </w:t>
      </w:r>
      <w:proofErr w:type="spellStart"/>
      <w:r w:rsidRPr="00E16672">
        <w:rPr>
          <w:rFonts w:ascii="Times New Roman" w:hAnsi="Times New Roman"/>
          <w:color w:val="000000"/>
          <w:szCs w:val="20"/>
        </w:rPr>
        <w:t>надання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послуг</w:t>
      </w:r>
      <w:proofErr w:type="spellEnd"/>
      <w:r w:rsidRPr="00E16672">
        <w:rPr>
          <w:rFonts w:ascii="Times New Roman" w:hAnsi="Times New Roman"/>
          <w:color w:val="000000"/>
          <w:szCs w:val="20"/>
        </w:rPr>
        <w:t>.</w:t>
      </w:r>
    </w:p>
    <w:p w14:paraId="7CD281B3" w14:textId="77777777" w:rsidR="009A7EA8" w:rsidRPr="00E16672" w:rsidRDefault="009A7EA8" w:rsidP="009A7EA8">
      <w:pPr>
        <w:ind w:firstLine="532"/>
        <w:rPr>
          <w:rFonts w:ascii="Times New Roman" w:hAnsi="Times New Roman"/>
          <w:szCs w:val="20"/>
        </w:rPr>
      </w:pPr>
      <w:proofErr w:type="spellStart"/>
      <w:r w:rsidRPr="00E16672">
        <w:rPr>
          <w:rFonts w:ascii="Times New Roman" w:hAnsi="Times New Roman"/>
          <w:szCs w:val="20"/>
        </w:rPr>
        <w:t>Емітент</w:t>
      </w:r>
      <w:proofErr w:type="spellEnd"/>
      <w:r w:rsidRPr="00E16672">
        <w:rPr>
          <w:rFonts w:ascii="Times New Roman" w:hAnsi="Times New Roman"/>
          <w:szCs w:val="20"/>
        </w:rPr>
        <w:t xml:space="preserve"> </w:t>
      </w:r>
      <w:proofErr w:type="spellStart"/>
      <w:r w:rsidRPr="00E16672">
        <w:rPr>
          <w:rFonts w:ascii="Times New Roman" w:hAnsi="Times New Roman"/>
          <w:szCs w:val="20"/>
        </w:rPr>
        <w:t>оплачує</w:t>
      </w:r>
      <w:proofErr w:type="spellEnd"/>
      <w:r w:rsidRPr="00E16672">
        <w:rPr>
          <w:rFonts w:ascii="Times New Roman" w:hAnsi="Times New Roman"/>
          <w:szCs w:val="20"/>
        </w:rPr>
        <w:t xml:space="preserve"> </w:t>
      </w:r>
      <w:proofErr w:type="spellStart"/>
      <w:r w:rsidRPr="00E16672">
        <w:rPr>
          <w:rFonts w:ascii="Times New Roman" w:hAnsi="Times New Roman"/>
          <w:szCs w:val="20"/>
        </w:rPr>
        <w:t>послуги</w:t>
      </w:r>
      <w:proofErr w:type="spellEnd"/>
      <w:r w:rsidRPr="00E16672">
        <w:rPr>
          <w:rFonts w:ascii="Times New Roman" w:hAnsi="Times New Roman"/>
          <w:szCs w:val="20"/>
        </w:rPr>
        <w:t xml:space="preserve"> </w:t>
      </w:r>
      <w:proofErr w:type="spellStart"/>
      <w:r w:rsidRPr="00E16672">
        <w:rPr>
          <w:rFonts w:ascii="Times New Roman" w:hAnsi="Times New Roman"/>
          <w:szCs w:val="20"/>
        </w:rPr>
        <w:t>Депозитарної</w:t>
      </w:r>
      <w:proofErr w:type="spellEnd"/>
      <w:r w:rsidRPr="00E16672">
        <w:rPr>
          <w:rFonts w:ascii="Times New Roman" w:hAnsi="Times New Roman"/>
          <w:szCs w:val="20"/>
        </w:rPr>
        <w:t xml:space="preserve"> установи </w:t>
      </w:r>
      <w:proofErr w:type="spellStart"/>
      <w:r w:rsidRPr="00E16672">
        <w:rPr>
          <w:rFonts w:ascii="Times New Roman" w:hAnsi="Times New Roman"/>
          <w:szCs w:val="20"/>
        </w:rPr>
        <w:t>відповідно</w:t>
      </w:r>
      <w:proofErr w:type="spellEnd"/>
      <w:r w:rsidRPr="00E16672">
        <w:rPr>
          <w:rFonts w:ascii="Times New Roman" w:hAnsi="Times New Roman"/>
          <w:szCs w:val="20"/>
        </w:rPr>
        <w:t xml:space="preserve"> до </w:t>
      </w:r>
      <w:proofErr w:type="spellStart"/>
      <w:r w:rsidRPr="00E16672">
        <w:rPr>
          <w:rFonts w:ascii="Times New Roman" w:hAnsi="Times New Roman"/>
          <w:szCs w:val="20"/>
        </w:rPr>
        <w:t>цього</w:t>
      </w:r>
      <w:proofErr w:type="spellEnd"/>
      <w:r w:rsidRPr="00E16672">
        <w:rPr>
          <w:rFonts w:ascii="Times New Roman" w:hAnsi="Times New Roman"/>
          <w:szCs w:val="20"/>
        </w:rPr>
        <w:t xml:space="preserve"> Договору та </w:t>
      </w:r>
      <w:proofErr w:type="spellStart"/>
      <w:r w:rsidRPr="00E16672">
        <w:rPr>
          <w:rFonts w:ascii="Times New Roman" w:hAnsi="Times New Roman"/>
          <w:szCs w:val="20"/>
        </w:rPr>
        <w:t>затверджених</w:t>
      </w:r>
      <w:proofErr w:type="spellEnd"/>
      <w:r w:rsidRPr="00E16672">
        <w:rPr>
          <w:rFonts w:ascii="Times New Roman" w:hAnsi="Times New Roman"/>
          <w:szCs w:val="20"/>
        </w:rPr>
        <w:t xml:space="preserve"> </w:t>
      </w:r>
      <w:proofErr w:type="spellStart"/>
      <w:r w:rsidRPr="00E16672">
        <w:rPr>
          <w:rFonts w:ascii="Times New Roman" w:hAnsi="Times New Roman"/>
          <w:szCs w:val="20"/>
        </w:rPr>
        <w:t>тарифів</w:t>
      </w:r>
      <w:proofErr w:type="spellEnd"/>
      <w:r w:rsidRPr="00E16672">
        <w:rPr>
          <w:rFonts w:ascii="Times New Roman" w:hAnsi="Times New Roman"/>
          <w:szCs w:val="20"/>
        </w:rPr>
        <w:t xml:space="preserve"> </w:t>
      </w:r>
      <w:proofErr w:type="spellStart"/>
      <w:r w:rsidRPr="00E16672">
        <w:rPr>
          <w:rFonts w:ascii="Times New Roman" w:hAnsi="Times New Roman"/>
          <w:szCs w:val="20"/>
        </w:rPr>
        <w:t>Депозитарної</w:t>
      </w:r>
      <w:proofErr w:type="spellEnd"/>
      <w:r w:rsidRPr="00E16672">
        <w:rPr>
          <w:rFonts w:ascii="Times New Roman" w:hAnsi="Times New Roman"/>
          <w:szCs w:val="20"/>
        </w:rPr>
        <w:t xml:space="preserve"> </w:t>
      </w:r>
      <w:proofErr w:type="gramStart"/>
      <w:r w:rsidRPr="00E16672">
        <w:rPr>
          <w:rFonts w:ascii="Times New Roman" w:hAnsi="Times New Roman"/>
          <w:szCs w:val="20"/>
        </w:rPr>
        <w:t xml:space="preserve">установи,  </w:t>
      </w:r>
      <w:proofErr w:type="spellStart"/>
      <w:r w:rsidRPr="00E16672">
        <w:rPr>
          <w:rFonts w:ascii="Times New Roman" w:hAnsi="Times New Roman"/>
          <w:szCs w:val="20"/>
        </w:rPr>
        <w:t>що</w:t>
      </w:r>
      <w:proofErr w:type="spellEnd"/>
      <w:proofErr w:type="gramEnd"/>
      <w:r w:rsidRPr="00E16672">
        <w:rPr>
          <w:rFonts w:ascii="Times New Roman" w:hAnsi="Times New Roman"/>
          <w:szCs w:val="20"/>
        </w:rPr>
        <w:t xml:space="preserve"> є </w:t>
      </w:r>
      <w:proofErr w:type="spellStart"/>
      <w:r w:rsidRPr="00E16672">
        <w:rPr>
          <w:rFonts w:ascii="Times New Roman" w:hAnsi="Times New Roman"/>
          <w:szCs w:val="20"/>
        </w:rPr>
        <w:t>чинними</w:t>
      </w:r>
      <w:proofErr w:type="spellEnd"/>
      <w:r w:rsidRPr="00E16672">
        <w:rPr>
          <w:rFonts w:ascii="Times New Roman" w:hAnsi="Times New Roman"/>
          <w:szCs w:val="20"/>
        </w:rPr>
        <w:t xml:space="preserve"> на дату </w:t>
      </w:r>
      <w:proofErr w:type="spellStart"/>
      <w:r w:rsidRPr="00E16672">
        <w:rPr>
          <w:rFonts w:ascii="Times New Roman" w:hAnsi="Times New Roman"/>
          <w:szCs w:val="20"/>
        </w:rPr>
        <w:t>надання</w:t>
      </w:r>
      <w:proofErr w:type="spellEnd"/>
      <w:r w:rsidRPr="00E16672">
        <w:rPr>
          <w:rFonts w:ascii="Times New Roman" w:hAnsi="Times New Roman"/>
          <w:szCs w:val="20"/>
        </w:rPr>
        <w:t xml:space="preserve"> </w:t>
      </w:r>
      <w:proofErr w:type="spellStart"/>
      <w:r w:rsidRPr="00E16672">
        <w:rPr>
          <w:rFonts w:ascii="Times New Roman" w:hAnsi="Times New Roman"/>
          <w:szCs w:val="20"/>
        </w:rPr>
        <w:t>послуг</w:t>
      </w:r>
      <w:proofErr w:type="spellEnd"/>
      <w:r w:rsidRPr="00E16672">
        <w:rPr>
          <w:rFonts w:ascii="Times New Roman" w:hAnsi="Times New Roman"/>
          <w:szCs w:val="20"/>
        </w:rPr>
        <w:t>.</w:t>
      </w:r>
    </w:p>
    <w:p w14:paraId="32C6B540" w14:textId="77777777" w:rsidR="009A7EA8" w:rsidRPr="00E16672" w:rsidRDefault="009A7EA8" w:rsidP="009A7EA8">
      <w:pPr>
        <w:rPr>
          <w:rFonts w:ascii="Times New Roman" w:eastAsia="Arial Unicode MS" w:hAnsi="Times New Roman"/>
          <w:szCs w:val="20"/>
        </w:rPr>
      </w:pPr>
      <w:r w:rsidRPr="00E16672">
        <w:rPr>
          <w:rFonts w:ascii="Times New Roman" w:eastAsia="Arial Unicode MS" w:hAnsi="Times New Roman"/>
          <w:szCs w:val="20"/>
        </w:rPr>
        <w:t xml:space="preserve">4.2. Оплата за </w:t>
      </w:r>
      <w:proofErr w:type="spellStart"/>
      <w:r w:rsidRPr="00E16672">
        <w:rPr>
          <w:rFonts w:ascii="Times New Roman" w:eastAsia="Arial Unicode MS" w:hAnsi="Times New Roman"/>
          <w:szCs w:val="20"/>
        </w:rPr>
        <w:t>послуги</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Депозитарної</w:t>
      </w:r>
      <w:proofErr w:type="spellEnd"/>
      <w:r w:rsidRPr="00E16672">
        <w:rPr>
          <w:rFonts w:ascii="Times New Roman" w:eastAsia="Arial Unicode MS" w:hAnsi="Times New Roman"/>
          <w:szCs w:val="20"/>
        </w:rPr>
        <w:t xml:space="preserve"> установи </w:t>
      </w:r>
      <w:proofErr w:type="spellStart"/>
      <w:r w:rsidRPr="00E16672">
        <w:rPr>
          <w:rFonts w:ascii="Times New Roman" w:eastAsia="Arial Unicode MS" w:hAnsi="Times New Roman"/>
          <w:szCs w:val="20"/>
        </w:rPr>
        <w:t>здійснюється</w:t>
      </w:r>
      <w:proofErr w:type="spellEnd"/>
      <w:r w:rsidRPr="00E16672">
        <w:rPr>
          <w:rFonts w:ascii="Times New Roman" w:eastAsia="Arial Unicode MS" w:hAnsi="Times New Roman"/>
          <w:szCs w:val="20"/>
        </w:rPr>
        <w:t xml:space="preserve"> на </w:t>
      </w:r>
      <w:proofErr w:type="spellStart"/>
      <w:r w:rsidRPr="00E16672">
        <w:rPr>
          <w:rFonts w:ascii="Times New Roman" w:eastAsia="Arial Unicode MS" w:hAnsi="Times New Roman"/>
          <w:szCs w:val="20"/>
        </w:rPr>
        <w:t>підставі</w:t>
      </w:r>
      <w:proofErr w:type="spellEnd"/>
      <w:r w:rsidRPr="00E16672">
        <w:rPr>
          <w:rFonts w:ascii="Times New Roman" w:eastAsia="Arial Unicode MS" w:hAnsi="Times New Roman"/>
          <w:szCs w:val="20"/>
        </w:rPr>
        <w:t xml:space="preserve"> Акту </w:t>
      </w:r>
      <w:proofErr w:type="spellStart"/>
      <w:r w:rsidRPr="00E16672">
        <w:rPr>
          <w:rFonts w:ascii="Times New Roman" w:eastAsia="Arial Unicode MS" w:hAnsi="Times New Roman"/>
          <w:szCs w:val="20"/>
        </w:rPr>
        <w:t>виконаних</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операцій</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Депозитарної</w:t>
      </w:r>
      <w:proofErr w:type="spellEnd"/>
      <w:r w:rsidRPr="00E16672">
        <w:rPr>
          <w:rFonts w:ascii="Times New Roman" w:eastAsia="Arial Unicode MS" w:hAnsi="Times New Roman"/>
          <w:szCs w:val="20"/>
        </w:rPr>
        <w:t xml:space="preserve"> установи </w:t>
      </w:r>
      <w:proofErr w:type="spellStart"/>
      <w:r w:rsidRPr="00E16672">
        <w:rPr>
          <w:rFonts w:ascii="Times New Roman" w:eastAsia="Arial Unicode MS" w:hAnsi="Times New Roman"/>
          <w:szCs w:val="20"/>
        </w:rPr>
        <w:t>або</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рахунку</w:t>
      </w:r>
      <w:proofErr w:type="spellEnd"/>
      <w:r w:rsidRPr="00E16672">
        <w:rPr>
          <w:rFonts w:ascii="Times New Roman" w:eastAsia="Arial Unicode MS" w:hAnsi="Times New Roman"/>
          <w:szCs w:val="20"/>
        </w:rPr>
        <w:t xml:space="preserve"> (на </w:t>
      </w:r>
      <w:proofErr w:type="spellStart"/>
      <w:r w:rsidRPr="00E16672">
        <w:rPr>
          <w:rFonts w:ascii="Times New Roman" w:eastAsia="Arial Unicode MS" w:hAnsi="Times New Roman"/>
          <w:szCs w:val="20"/>
        </w:rPr>
        <w:t>умовах</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передоплати</w:t>
      </w:r>
      <w:proofErr w:type="spellEnd"/>
      <w:r w:rsidRPr="00E16672">
        <w:rPr>
          <w:rFonts w:ascii="Times New Roman" w:eastAsia="Arial Unicode MS" w:hAnsi="Times New Roman"/>
          <w:szCs w:val="20"/>
        </w:rPr>
        <w:t xml:space="preserve">), за </w:t>
      </w:r>
      <w:proofErr w:type="spellStart"/>
      <w:r w:rsidRPr="00E16672">
        <w:rPr>
          <w:rFonts w:ascii="Times New Roman" w:eastAsia="Arial Unicode MS" w:hAnsi="Times New Roman"/>
          <w:szCs w:val="20"/>
        </w:rPr>
        <w:t>реквізитами</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вказаними</w:t>
      </w:r>
      <w:proofErr w:type="spellEnd"/>
      <w:r w:rsidRPr="00E16672">
        <w:rPr>
          <w:rFonts w:ascii="Times New Roman" w:eastAsia="Arial Unicode MS" w:hAnsi="Times New Roman"/>
          <w:szCs w:val="20"/>
        </w:rPr>
        <w:t xml:space="preserve"> в </w:t>
      </w:r>
      <w:proofErr w:type="spellStart"/>
      <w:r w:rsidRPr="00E16672">
        <w:rPr>
          <w:rFonts w:ascii="Times New Roman" w:eastAsia="Arial Unicode MS" w:hAnsi="Times New Roman"/>
          <w:szCs w:val="20"/>
        </w:rPr>
        <w:t>Акті</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або</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рахунку</w:t>
      </w:r>
      <w:proofErr w:type="spellEnd"/>
      <w:r w:rsidRPr="00E16672">
        <w:rPr>
          <w:rFonts w:ascii="Times New Roman" w:eastAsia="Arial Unicode MS" w:hAnsi="Times New Roman"/>
          <w:szCs w:val="20"/>
        </w:rPr>
        <w:t>.</w:t>
      </w:r>
    </w:p>
    <w:p w14:paraId="0C243098" w14:textId="77777777" w:rsidR="009A7EA8" w:rsidRPr="00E16672" w:rsidRDefault="009A7EA8" w:rsidP="009A7EA8">
      <w:pPr>
        <w:rPr>
          <w:rFonts w:ascii="Times New Roman" w:eastAsia="Arial Unicode MS" w:hAnsi="Times New Roman"/>
          <w:szCs w:val="20"/>
        </w:rPr>
      </w:pPr>
      <w:r w:rsidRPr="00E16672">
        <w:rPr>
          <w:rFonts w:ascii="Times New Roman" w:eastAsia="Arial Unicode MS" w:hAnsi="Times New Roman"/>
          <w:szCs w:val="20"/>
        </w:rPr>
        <w:t xml:space="preserve">4.3. </w:t>
      </w:r>
      <w:proofErr w:type="spellStart"/>
      <w:r w:rsidRPr="00E16672">
        <w:rPr>
          <w:rFonts w:ascii="Times New Roman" w:eastAsia="Arial Unicode MS" w:hAnsi="Times New Roman"/>
          <w:szCs w:val="20"/>
        </w:rPr>
        <w:t>Підтвердженням</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виконання</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послуг</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Депозитарної</w:t>
      </w:r>
      <w:proofErr w:type="spellEnd"/>
      <w:r w:rsidRPr="00E16672">
        <w:rPr>
          <w:rFonts w:ascii="Times New Roman" w:eastAsia="Arial Unicode MS" w:hAnsi="Times New Roman"/>
          <w:szCs w:val="20"/>
        </w:rPr>
        <w:t xml:space="preserve"> установи є Акт </w:t>
      </w:r>
      <w:proofErr w:type="spellStart"/>
      <w:r w:rsidRPr="00E16672">
        <w:rPr>
          <w:rFonts w:ascii="Times New Roman" w:eastAsia="Arial Unicode MS" w:hAnsi="Times New Roman"/>
          <w:szCs w:val="20"/>
        </w:rPr>
        <w:t>виконаних</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операцій</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Акти</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виконаних</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операцій</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підписуються</w:t>
      </w:r>
      <w:proofErr w:type="spellEnd"/>
      <w:r w:rsidRPr="00E16672">
        <w:rPr>
          <w:rFonts w:ascii="Times New Roman" w:eastAsia="Arial Unicode MS" w:hAnsi="Times New Roman"/>
          <w:szCs w:val="20"/>
        </w:rPr>
        <w:t xml:space="preserve"> Депозитарною </w:t>
      </w:r>
      <w:proofErr w:type="spellStart"/>
      <w:r w:rsidRPr="00E16672">
        <w:rPr>
          <w:rFonts w:ascii="Times New Roman" w:eastAsia="Arial Unicode MS" w:hAnsi="Times New Roman"/>
          <w:szCs w:val="20"/>
        </w:rPr>
        <w:t>установою</w:t>
      </w:r>
      <w:proofErr w:type="spellEnd"/>
      <w:r w:rsidRPr="00E16672">
        <w:rPr>
          <w:rFonts w:ascii="Times New Roman" w:eastAsia="Arial Unicode MS" w:hAnsi="Times New Roman"/>
          <w:szCs w:val="20"/>
        </w:rPr>
        <w:t xml:space="preserve"> у </w:t>
      </w:r>
      <w:proofErr w:type="spellStart"/>
      <w:r w:rsidRPr="00E16672">
        <w:rPr>
          <w:rFonts w:ascii="Times New Roman" w:eastAsia="Arial Unicode MS" w:hAnsi="Times New Roman"/>
          <w:szCs w:val="20"/>
        </w:rPr>
        <w:t>двох</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оригіналах</w:t>
      </w:r>
      <w:proofErr w:type="spellEnd"/>
      <w:r w:rsidRPr="00E16672">
        <w:rPr>
          <w:rFonts w:ascii="Times New Roman" w:eastAsia="Arial Unicode MS" w:hAnsi="Times New Roman"/>
          <w:szCs w:val="20"/>
        </w:rPr>
        <w:t xml:space="preserve"> та </w:t>
      </w:r>
      <w:proofErr w:type="spellStart"/>
      <w:r w:rsidRPr="00E16672">
        <w:rPr>
          <w:rFonts w:ascii="Times New Roman" w:eastAsia="Arial Unicode MS" w:hAnsi="Times New Roman"/>
          <w:szCs w:val="20"/>
        </w:rPr>
        <w:t>подаються</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Емітенту</w:t>
      </w:r>
      <w:proofErr w:type="spellEnd"/>
      <w:r w:rsidRPr="00E16672">
        <w:rPr>
          <w:rFonts w:ascii="Times New Roman" w:eastAsia="Arial Unicode MS" w:hAnsi="Times New Roman"/>
          <w:szCs w:val="20"/>
        </w:rPr>
        <w:t xml:space="preserve"> для </w:t>
      </w:r>
      <w:proofErr w:type="spellStart"/>
      <w:r w:rsidRPr="00E16672">
        <w:rPr>
          <w:rFonts w:ascii="Times New Roman" w:eastAsia="Arial Unicode MS" w:hAnsi="Times New Roman"/>
          <w:szCs w:val="20"/>
        </w:rPr>
        <w:t>підписання</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Емітент</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має</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підписати</w:t>
      </w:r>
      <w:proofErr w:type="spellEnd"/>
      <w:r w:rsidRPr="00E16672">
        <w:rPr>
          <w:rFonts w:ascii="Times New Roman" w:eastAsia="Arial Unicode MS" w:hAnsi="Times New Roman"/>
          <w:szCs w:val="20"/>
        </w:rPr>
        <w:t xml:space="preserve"> та </w:t>
      </w:r>
      <w:proofErr w:type="spellStart"/>
      <w:r w:rsidRPr="00E16672">
        <w:rPr>
          <w:rFonts w:ascii="Times New Roman" w:eastAsia="Arial Unicode MS" w:hAnsi="Times New Roman"/>
          <w:szCs w:val="20"/>
        </w:rPr>
        <w:t>повернути</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Депозитарній</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установі</w:t>
      </w:r>
      <w:proofErr w:type="spellEnd"/>
      <w:r w:rsidRPr="00E16672">
        <w:rPr>
          <w:rFonts w:ascii="Times New Roman" w:eastAsia="Arial Unicode MS" w:hAnsi="Times New Roman"/>
          <w:szCs w:val="20"/>
        </w:rPr>
        <w:t xml:space="preserve"> один </w:t>
      </w:r>
      <w:proofErr w:type="spellStart"/>
      <w:r w:rsidRPr="00E16672">
        <w:rPr>
          <w:rFonts w:ascii="Times New Roman" w:eastAsia="Arial Unicode MS" w:hAnsi="Times New Roman"/>
          <w:szCs w:val="20"/>
        </w:rPr>
        <w:t>оригінал</w:t>
      </w:r>
      <w:proofErr w:type="spellEnd"/>
      <w:r w:rsidRPr="00E16672">
        <w:rPr>
          <w:rFonts w:ascii="Times New Roman" w:eastAsia="Arial Unicode MS" w:hAnsi="Times New Roman"/>
          <w:szCs w:val="20"/>
        </w:rPr>
        <w:t xml:space="preserve"> на </w:t>
      </w:r>
      <w:proofErr w:type="spellStart"/>
      <w:r w:rsidRPr="00E16672">
        <w:rPr>
          <w:rFonts w:ascii="Times New Roman" w:eastAsia="Arial Unicode MS" w:hAnsi="Times New Roman"/>
          <w:szCs w:val="20"/>
        </w:rPr>
        <w:t>протязі</w:t>
      </w:r>
      <w:proofErr w:type="spellEnd"/>
      <w:r w:rsidRPr="00E16672">
        <w:rPr>
          <w:rFonts w:ascii="Times New Roman" w:eastAsia="Arial Unicode MS" w:hAnsi="Times New Roman"/>
          <w:szCs w:val="20"/>
        </w:rPr>
        <w:t> </w:t>
      </w:r>
      <w:r w:rsidRPr="00E16672">
        <w:rPr>
          <w:rFonts w:ascii="Times New Roman" w:eastAsia="Arial Unicode MS" w:hAnsi="Times New Roman"/>
          <w:i/>
          <w:szCs w:val="20"/>
        </w:rPr>
        <w:t>десяти</w:t>
      </w:r>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днів</w:t>
      </w:r>
      <w:proofErr w:type="spellEnd"/>
      <w:r w:rsidRPr="00E16672">
        <w:rPr>
          <w:rFonts w:ascii="Times New Roman" w:eastAsia="Arial Unicode MS" w:hAnsi="Times New Roman"/>
          <w:szCs w:val="20"/>
        </w:rPr>
        <w:t xml:space="preserve"> з </w:t>
      </w:r>
      <w:proofErr w:type="spellStart"/>
      <w:r w:rsidRPr="00E16672">
        <w:rPr>
          <w:rFonts w:ascii="Times New Roman" w:eastAsia="Arial Unicode MS" w:hAnsi="Times New Roman"/>
          <w:szCs w:val="20"/>
        </w:rPr>
        <w:t>дати</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настання</w:t>
      </w:r>
      <w:proofErr w:type="spellEnd"/>
      <w:r w:rsidRPr="00E16672">
        <w:rPr>
          <w:rFonts w:ascii="Times New Roman" w:eastAsia="Arial Unicode MS" w:hAnsi="Times New Roman"/>
          <w:szCs w:val="20"/>
        </w:rPr>
        <w:t xml:space="preserve"> оплати. У </w:t>
      </w:r>
      <w:proofErr w:type="spellStart"/>
      <w:r w:rsidRPr="00E16672">
        <w:rPr>
          <w:rFonts w:ascii="Times New Roman" w:eastAsia="Arial Unicode MS" w:hAnsi="Times New Roman"/>
          <w:szCs w:val="20"/>
        </w:rPr>
        <w:t>разі</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неповернення</w:t>
      </w:r>
      <w:proofErr w:type="spellEnd"/>
      <w:r w:rsidRPr="00E16672">
        <w:rPr>
          <w:rFonts w:ascii="Times New Roman" w:eastAsia="Arial Unicode MS" w:hAnsi="Times New Roman"/>
          <w:szCs w:val="20"/>
        </w:rPr>
        <w:t xml:space="preserve"> акту </w:t>
      </w:r>
      <w:proofErr w:type="spellStart"/>
      <w:r w:rsidRPr="00E16672">
        <w:rPr>
          <w:rFonts w:ascii="Times New Roman" w:eastAsia="Arial Unicode MS" w:hAnsi="Times New Roman"/>
          <w:szCs w:val="20"/>
        </w:rPr>
        <w:t>послуги</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вважаються</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наданими</w:t>
      </w:r>
      <w:proofErr w:type="spellEnd"/>
      <w:r w:rsidRPr="00E16672">
        <w:rPr>
          <w:rFonts w:ascii="Times New Roman" w:eastAsia="Arial Unicode MS" w:hAnsi="Times New Roman"/>
          <w:szCs w:val="20"/>
        </w:rPr>
        <w:t xml:space="preserve"> без </w:t>
      </w:r>
      <w:proofErr w:type="spellStart"/>
      <w:r w:rsidRPr="00E16672">
        <w:rPr>
          <w:rFonts w:ascii="Times New Roman" w:eastAsia="Arial Unicode MS" w:hAnsi="Times New Roman"/>
          <w:szCs w:val="20"/>
        </w:rPr>
        <w:t>заперечень</w:t>
      </w:r>
      <w:proofErr w:type="spellEnd"/>
      <w:r w:rsidRPr="00E16672">
        <w:rPr>
          <w:rFonts w:ascii="Times New Roman" w:eastAsia="Arial Unicode MS" w:hAnsi="Times New Roman"/>
          <w:szCs w:val="20"/>
        </w:rPr>
        <w:t>.</w:t>
      </w:r>
    </w:p>
    <w:p w14:paraId="6368F09D" w14:textId="77777777" w:rsidR="009A7EA8" w:rsidRPr="00E16672" w:rsidRDefault="009A7EA8" w:rsidP="009A7EA8">
      <w:pPr>
        <w:pStyle w:val="western"/>
        <w:spacing w:before="0" w:after="0"/>
        <w:jc w:val="both"/>
        <w:rPr>
          <w:rFonts w:ascii="Times New Roman" w:hAnsi="Times New Roman"/>
          <w:b w:val="0"/>
          <w:bCs w:val="0"/>
          <w:color w:val="000000"/>
          <w:szCs w:val="20"/>
          <w:lang w:val="uk-UA"/>
        </w:rPr>
      </w:pPr>
      <w:r w:rsidRPr="00E16672">
        <w:rPr>
          <w:rFonts w:ascii="Times New Roman" w:eastAsia="Arial Unicode MS" w:hAnsi="Times New Roman"/>
          <w:b w:val="0"/>
          <w:szCs w:val="20"/>
        </w:rPr>
        <w:t xml:space="preserve">4.4. </w:t>
      </w:r>
      <w:r w:rsidRPr="00E16672">
        <w:rPr>
          <w:rFonts w:ascii="Times New Roman" w:hAnsi="Times New Roman"/>
          <w:b w:val="0"/>
          <w:bCs w:val="0"/>
          <w:color w:val="000000"/>
          <w:szCs w:val="20"/>
        </w:rPr>
        <w:t xml:space="preserve">Акт </w:t>
      </w:r>
      <w:proofErr w:type="spellStart"/>
      <w:r w:rsidRPr="00E16672">
        <w:rPr>
          <w:rFonts w:ascii="Times New Roman" w:hAnsi="Times New Roman"/>
          <w:b w:val="0"/>
          <w:bCs w:val="0"/>
          <w:color w:val="000000"/>
          <w:szCs w:val="20"/>
        </w:rPr>
        <w:t>виконаних</w:t>
      </w:r>
      <w:proofErr w:type="spellEnd"/>
      <w:r w:rsidRPr="00E16672">
        <w:rPr>
          <w:rFonts w:ascii="Times New Roman" w:hAnsi="Times New Roman"/>
          <w:b w:val="0"/>
          <w:bCs w:val="0"/>
          <w:color w:val="000000"/>
          <w:szCs w:val="20"/>
        </w:rPr>
        <w:t xml:space="preserve"> </w:t>
      </w:r>
      <w:proofErr w:type="spellStart"/>
      <w:r w:rsidRPr="00E16672">
        <w:rPr>
          <w:rFonts w:ascii="Times New Roman" w:hAnsi="Times New Roman"/>
          <w:b w:val="0"/>
          <w:bCs w:val="0"/>
          <w:color w:val="000000"/>
          <w:szCs w:val="20"/>
        </w:rPr>
        <w:t>операцій</w:t>
      </w:r>
      <w:proofErr w:type="spellEnd"/>
      <w:r w:rsidRPr="00E16672">
        <w:rPr>
          <w:rFonts w:ascii="Times New Roman" w:hAnsi="Times New Roman"/>
          <w:b w:val="0"/>
          <w:bCs w:val="0"/>
          <w:color w:val="000000"/>
          <w:szCs w:val="20"/>
        </w:rPr>
        <w:t xml:space="preserve"> </w:t>
      </w:r>
      <w:proofErr w:type="spellStart"/>
      <w:r w:rsidRPr="00E16672">
        <w:rPr>
          <w:rFonts w:ascii="Times New Roman" w:hAnsi="Times New Roman"/>
          <w:b w:val="0"/>
          <w:bCs w:val="0"/>
          <w:color w:val="000000"/>
          <w:szCs w:val="20"/>
        </w:rPr>
        <w:t>може</w:t>
      </w:r>
      <w:proofErr w:type="spellEnd"/>
      <w:r w:rsidRPr="00E16672">
        <w:rPr>
          <w:rFonts w:ascii="Times New Roman" w:hAnsi="Times New Roman"/>
          <w:b w:val="0"/>
          <w:bCs w:val="0"/>
          <w:color w:val="000000"/>
          <w:szCs w:val="20"/>
        </w:rPr>
        <w:t xml:space="preserve"> бути </w:t>
      </w:r>
      <w:proofErr w:type="spellStart"/>
      <w:r w:rsidRPr="00E16672">
        <w:rPr>
          <w:rFonts w:ascii="Times New Roman" w:hAnsi="Times New Roman"/>
          <w:b w:val="0"/>
          <w:bCs w:val="0"/>
          <w:color w:val="000000"/>
          <w:szCs w:val="20"/>
        </w:rPr>
        <w:t>підписаний</w:t>
      </w:r>
      <w:proofErr w:type="spellEnd"/>
      <w:r w:rsidRPr="00E16672">
        <w:rPr>
          <w:rFonts w:ascii="Times New Roman" w:hAnsi="Times New Roman"/>
          <w:b w:val="0"/>
          <w:bCs w:val="0"/>
          <w:color w:val="000000"/>
          <w:szCs w:val="20"/>
        </w:rPr>
        <w:t xml:space="preserve"> Депозитарною </w:t>
      </w:r>
      <w:proofErr w:type="spellStart"/>
      <w:r w:rsidRPr="00E16672">
        <w:rPr>
          <w:rFonts w:ascii="Times New Roman" w:hAnsi="Times New Roman"/>
          <w:b w:val="0"/>
          <w:bCs w:val="0"/>
          <w:color w:val="000000"/>
          <w:szCs w:val="20"/>
        </w:rPr>
        <w:t>установою</w:t>
      </w:r>
      <w:proofErr w:type="spellEnd"/>
      <w:r w:rsidRPr="00E16672">
        <w:rPr>
          <w:rFonts w:ascii="Times New Roman" w:hAnsi="Times New Roman"/>
          <w:b w:val="0"/>
          <w:bCs w:val="0"/>
          <w:color w:val="000000"/>
          <w:szCs w:val="20"/>
        </w:rPr>
        <w:t xml:space="preserve"> та </w:t>
      </w:r>
      <w:r w:rsidRPr="00E16672">
        <w:rPr>
          <w:rFonts w:ascii="Times New Roman" w:hAnsi="Times New Roman"/>
          <w:b w:val="0"/>
          <w:bCs w:val="0"/>
          <w:color w:val="000000"/>
          <w:szCs w:val="20"/>
          <w:lang w:val="uk-UA"/>
        </w:rPr>
        <w:t>Емітентом</w:t>
      </w:r>
      <w:r w:rsidRPr="00E16672">
        <w:rPr>
          <w:rFonts w:ascii="Times New Roman" w:hAnsi="Times New Roman"/>
          <w:b w:val="0"/>
          <w:bCs w:val="0"/>
          <w:color w:val="000000"/>
          <w:szCs w:val="20"/>
        </w:rPr>
        <w:t xml:space="preserve"> за </w:t>
      </w:r>
      <w:proofErr w:type="spellStart"/>
      <w:r w:rsidRPr="00E16672">
        <w:rPr>
          <w:rFonts w:ascii="Times New Roman" w:hAnsi="Times New Roman"/>
          <w:b w:val="0"/>
          <w:bCs w:val="0"/>
          <w:color w:val="000000"/>
          <w:szCs w:val="20"/>
        </w:rPr>
        <w:t>допомогою</w:t>
      </w:r>
      <w:proofErr w:type="spellEnd"/>
      <w:r w:rsidRPr="00E16672">
        <w:rPr>
          <w:rFonts w:ascii="Times New Roman" w:hAnsi="Times New Roman"/>
          <w:b w:val="0"/>
          <w:bCs w:val="0"/>
          <w:color w:val="000000"/>
          <w:szCs w:val="20"/>
        </w:rPr>
        <w:t xml:space="preserve"> </w:t>
      </w:r>
      <w:proofErr w:type="spellStart"/>
      <w:r w:rsidR="00D57400" w:rsidRPr="00E16672">
        <w:rPr>
          <w:rFonts w:ascii="Times New Roman" w:hAnsi="Times New Roman"/>
          <w:b w:val="0"/>
          <w:color w:val="000000"/>
          <w:szCs w:val="20"/>
        </w:rPr>
        <w:t>кваліфікованого</w:t>
      </w:r>
      <w:proofErr w:type="spellEnd"/>
      <w:r w:rsidR="00D57400" w:rsidRPr="00E16672">
        <w:rPr>
          <w:rFonts w:ascii="Times New Roman" w:hAnsi="Times New Roman"/>
          <w:b w:val="0"/>
          <w:color w:val="000000"/>
          <w:szCs w:val="20"/>
        </w:rPr>
        <w:t xml:space="preserve"> </w:t>
      </w:r>
      <w:proofErr w:type="spellStart"/>
      <w:r w:rsidR="00D57400" w:rsidRPr="00E16672">
        <w:rPr>
          <w:rFonts w:ascii="Times New Roman" w:hAnsi="Times New Roman"/>
          <w:b w:val="0"/>
          <w:color w:val="000000"/>
          <w:szCs w:val="20"/>
        </w:rPr>
        <w:t>електронного</w:t>
      </w:r>
      <w:proofErr w:type="spellEnd"/>
      <w:r w:rsidR="00D57400" w:rsidRPr="00E16672">
        <w:rPr>
          <w:rFonts w:ascii="Times New Roman" w:hAnsi="Times New Roman"/>
          <w:b w:val="0"/>
          <w:color w:val="000000"/>
          <w:szCs w:val="20"/>
        </w:rPr>
        <w:t xml:space="preserve"> </w:t>
      </w:r>
      <w:proofErr w:type="spellStart"/>
      <w:r w:rsidR="00D57400" w:rsidRPr="00E16672">
        <w:rPr>
          <w:rFonts w:ascii="Times New Roman" w:hAnsi="Times New Roman"/>
          <w:b w:val="0"/>
          <w:color w:val="000000"/>
          <w:szCs w:val="20"/>
        </w:rPr>
        <w:t>підпису</w:t>
      </w:r>
      <w:proofErr w:type="spellEnd"/>
      <w:r w:rsidRPr="00E16672">
        <w:rPr>
          <w:rFonts w:ascii="Times New Roman" w:hAnsi="Times New Roman"/>
          <w:b w:val="0"/>
          <w:bCs w:val="0"/>
          <w:color w:val="000000"/>
          <w:szCs w:val="20"/>
        </w:rPr>
        <w:t xml:space="preserve"> </w:t>
      </w:r>
      <w:r w:rsidRPr="00E16672">
        <w:rPr>
          <w:rFonts w:ascii="Times New Roman" w:hAnsi="Times New Roman"/>
          <w:b w:val="0"/>
          <w:bCs w:val="0"/>
          <w:color w:val="000000"/>
          <w:szCs w:val="20"/>
          <w:lang w:val="uk-UA"/>
        </w:rPr>
        <w:t xml:space="preserve">та </w:t>
      </w:r>
      <w:proofErr w:type="spellStart"/>
      <w:r w:rsidR="00D57400" w:rsidRPr="00E16672">
        <w:rPr>
          <w:rFonts w:ascii="Times New Roman" w:hAnsi="Times New Roman"/>
          <w:b w:val="0"/>
          <w:color w:val="000000"/>
          <w:szCs w:val="20"/>
        </w:rPr>
        <w:t>кваліфікованого</w:t>
      </w:r>
      <w:proofErr w:type="spellEnd"/>
      <w:r w:rsidR="00D57400" w:rsidRPr="00E16672">
        <w:rPr>
          <w:rFonts w:ascii="Times New Roman" w:hAnsi="Times New Roman"/>
          <w:b w:val="0"/>
          <w:color w:val="000000"/>
          <w:szCs w:val="20"/>
        </w:rPr>
        <w:t xml:space="preserve"> </w:t>
      </w:r>
      <w:proofErr w:type="spellStart"/>
      <w:r w:rsidR="00D57400" w:rsidRPr="00E16672">
        <w:rPr>
          <w:rFonts w:ascii="Times New Roman" w:hAnsi="Times New Roman"/>
          <w:b w:val="0"/>
          <w:color w:val="000000"/>
          <w:szCs w:val="20"/>
        </w:rPr>
        <w:t>електронного</w:t>
      </w:r>
      <w:proofErr w:type="spellEnd"/>
      <w:r w:rsidR="00D57400" w:rsidRPr="00E16672">
        <w:rPr>
          <w:rFonts w:ascii="Times New Roman" w:hAnsi="Times New Roman"/>
          <w:b w:val="0"/>
          <w:color w:val="000000"/>
          <w:szCs w:val="20"/>
        </w:rPr>
        <w:t xml:space="preserve"> </w:t>
      </w:r>
      <w:proofErr w:type="spellStart"/>
      <w:r w:rsidR="00D57400" w:rsidRPr="00E16672">
        <w:rPr>
          <w:rFonts w:ascii="Times New Roman" w:hAnsi="Times New Roman"/>
          <w:b w:val="0"/>
          <w:color w:val="000000"/>
          <w:szCs w:val="20"/>
        </w:rPr>
        <w:t>підпису</w:t>
      </w:r>
      <w:proofErr w:type="spellEnd"/>
      <w:r w:rsidRPr="00E16672">
        <w:rPr>
          <w:rFonts w:ascii="Times New Roman" w:hAnsi="Times New Roman"/>
          <w:b w:val="0"/>
          <w:bCs w:val="0"/>
          <w:color w:val="000000"/>
          <w:szCs w:val="20"/>
        </w:rPr>
        <w:t xml:space="preserve">, </w:t>
      </w:r>
      <w:proofErr w:type="spellStart"/>
      <w:r w:rsidRPr="00E16672">
        <w:rPr>
          <w:rFonts w:ascii="Times New Roman" w:hAnsi="Times New Roman"/>
          <w:b w:val="0"/>
          <w:bCs w:val="0"/>
          <w:color w:val="000000"/>
          <w:szCs w:val="20"/>
        </w:rPr>
        <w:t>що</w:t>
      </w:r>
      <w:proofErr w:type="spellEnd"/>
      <w:r w:rsidRPr="00E16672">
        <w:rPr>
          <w:rFonts w:ascii="Times New Roman" w:hAnsi="Times New Roman"/>
          <w:b w:val="0"/>
          <w:bCs w:val="0"/>
          <w:color w:val="000000"/>
          <w:szCs w:val="20"/>
        </w:rPr>
        <w:t xml:space="preserve"> за </w:t>
      </w:r>
      <w:proofErr w:type="spellStart"/>
      <w:r w:rsidRPr="00E16672">
        <w:rPr>
          <w:rFonts w:ascii="Times New Roman" w:hAnsi="Times New Roman"/>
          <w:b w:val="0"/>
          <w:bCs w:val="0"/>
          <w:color w:val="000000"/>
          <w:szCs w:val="20"/>
        </w:rPr>
        <w:t>правовим</w:t>
      </w:r>
      <w:proofErr w:type="spellEnd"/>
      <w:r w:rsidRPr="00E16672">
        <w:rPr>
          <w:rFonts w:ascii="Times New Roman" w:hAnsi="Times New Roman"/>
          <w:b w:val="0"/>
          <w:bCs w:val="0"/>
          <w:color w:val="000000"/>
          <w:szCs w:val="20"/>
        </w:rPr>
        <w:t xml:space="preserve"> статусом </w:t>
      </w:r>
      <w:proofErr w:type="spellStart"/>
      <w:r w:rsidRPr="00E16672">
        <w:rPr>
          <w:rFonts w:ascii="Times New Roman" w:hAnsi="Times New Roman"/>
          <w:b w:val="0"/>
          <w:bCs w:val="0"/>
          <w:color w:val="000000"/>
          <w:szCs w:val="20"/>
        </w:rPr>
        <w:t>прирівнюється</w:t>
      </w:r>
      <w:proofErr w:type="spellEnd"/>
      <w:r w:rsidRPr="00E16672">
        <w:rPr>
          <w:rFonts w:ascii="Times New Roman" w:hAnsi="Times New Roman"/>
          <w:b w:val="0"/>
          <w:bCs w:val="0"/>
          <w:color w:val="000000"/>
          <w:szCs w:val="20"/>
        </w:rPr>
        <w:t xml:space="preserve"> до печатки </w:t>
      </w:r>
      <w:proofErr w:type="spellStart"/>
      <w:r w:rsidRPr="00E16672">
        <w:rPr>
          <w:rFonts w:ascii="Times New Roman" w:hAnsi="Times New Roman"/>
          <w:b w:val="0"/>
          <w:bCs w:val="0"/>
          <w:color w:val="000000"/>
          <w:szCs w:val="20"/>
        </w:rPr>
        <w:t>юридичної</w:t>
      </w:r>
      <w:proofErr w:type="spellEnd"/>
      <w:r w:rsidRPr="00E16672">
        <w:rPr>
          <w:rFonts w:ascii="Times New Roman" w:hAnsi="Times New Roman"/>
          <w:b w:val="0"/>
          <w:bCs w:val="0"/>
          <w:color w:val="000000"/>
          <w:szCs w:val="20"/>
        </w:rPr>
        <w:t xml:space="preserve"> особи (</w:t>
      </w:r>
      <w:proofErr w:type="spellStart"/>
      <w:r w:rsidRPr="00E16672">
        <w:rPr>
          <w:rFonts w:ascii="Times New Roman" w:hAnsi="Times New Roman"/>
          <w:b w:val="0"/>
          <w:bCs w:val="0"/>
          <w:color w:val="000000"/>
          <w:szCs w:val="20"/>
        </w:rPr>
        <w:t>крім</w:t>
      </w:r>
      <w:proofErr w:type="spellEnd"/>
      <w:r w:rsidRPr="00E16672">
        <w:rPr>
          <w:rFonts w:ascii="Times New Roman" w:hAnsi="Times New Roman"/>
          <w:b w:val="0"/>
          <w:bCs w:val="0"/>
          <w:color w:val="000000"/>
          <w:szCs w:val="20"/>
        </w:rPr>
        <w:t xml:space="preserve"> </w:t>
      </w:r>
      <w:proofErr w:type="spellStart"/>
      <w:r w:rsidRPr="00E16672">
        <w:rPr>
          <w:rFonts w:ascii="Times New Roman" w:hAnsi="Times New Roman"/>
          <w:b w:val="0"/>
          <w:bCs w:val="0"/>
          <w:color w:val="000000"/>
          <w:szCs w:val="20"/>
        </w:rPr>
        <w:t>керуючих</w:t>
      </w:r>
      <w:proofErr w:type="spellEnd"/>
      <w:r w:rsidRPr="00E16672">
        <w:rPr>
          <w:rFonts w:ascii="Times New Roman" w:hAnsi="Times New Roman"/>
          <w:b w:val="0"/>
          <w:bCs w:val="0"/>
          <w:color w:val="000000"/>
          <w:szCs w:val="20"/>
        </w:rPr>
        <w:t xml:space="preserve"> </w:t>
      </w:r>
      <w:proofErr w:type="spellStart"/>
      <w:r w:rsidRPr="00E16672">
        <w:rPr>
          <w:rFonts w:ascii="Times New Roman" w:hAnsi="Times New Roman"/>
          <w:b w:val="0"/>
          <w:bCs w:val="0"/>
          <w:color w:val="000000"/>
          <w:szCs w:val="20"/>
        </w:rPr>
        <w:t>рахунком</w:t>
      </w:r>
      <w:proofErr w:type="spellEnd"/>
      <w:r w:rsidRPr="00E16672">
        <w:rPr>
          <w:rFonts w:ascii="Times New Roman" w:hAnsi="Times New Roman"/>
          <w:b w:val="0"/>
          <w:bCs w:val="0"/>
          <w:color w:val="000000"/>
          <w:szCs w:val="20"/>
        </w:rPr>
        <w:t xml:space="preserve">). </w:t>
      </w:r>
      <w:r w:rsidRPr="00E16672">
        <w:rPr>
          <w:rFonts w:ascii="Times New Roman" w:hAnsi="Times New Roman"/>
          <w:b w:val="0"/>
          <w:bCs w:val="0"/>
          <w:color w:val="000000"/>
          <w:szCs w:val="20"/>
          <w:lang w:val="uk-UA"/>
        </w:rPr>
        <w:t xml:space="preserve">Рахунок також може бути підписаний за допомогою </w:t>
      </w:r>
      <w:proofErr w:type="spellStart"/>
      <w:r w:rsidR="00D57400" w:rsidRPr="00E16672">
        <w:rPr>
          <w:rFonts w:ascii="Times New Roman" w:hAnsi="Times New Roman"/>
          <w:b w:val="0"/>
          <w:color w:val="000000"/>
          <w:szCs w:val="20"/>
        </w:rPr>
        <w:t>кваліфікованого</w:t>
      </w:r>
      <w:proofErr w:type="spellEnd"/>
      <w:r w:rsidR="00D57400" w:rsidRPr="00E16672">
        <w:rPr>
          <w:rFonts w:ascii="Times New Roman" w:hAnsi="Times New Roman"/>
          <w:b w:val="0"/>
          <w:color w:val="000000"/>
          <w:szCs w:val="20"/>
        </w:rPr>
        <w:t xml:space="preserve"> </w:t>
      </w:r>
      <w:proofErr w:type="spellStart"/>
      <w:r w:rsidR="00D57400" w:rsidRPr="00E16672">
        <w:rPr>
          <w:rFonts w:ascii="Times New Roman" w:hAnsi="Times New Roman"/>
          <w:b w:val="0"/>
          <w:color w:val="000000"/>
          <w:szCs w:val="20"/>
        </w:rPr>
        <w:t>електронного</w:t>
      </w:r>
      <w:proofErr w:type="spellEnd"/>
      <w:r w:rsidR="00D57400" w:rsidRPr="00E16672">
        <w:rPr>
          <w:rFonts w:ascii="Times New Roman" w:hAnsi="Times New Roman"/>
          <w:b w:val="0"/>
          <w:color w:val="000000"/>
          <w:szCs w:val="20"/>
        </w:rPr>
        <w:t xml:space="preserve"> </w:t>
      </w:r>
      <w:proofErr w:type="spellStart"/>
      <w:r w:rsidR="00D57400" w:rsidRPr="00E16672">
        <w:rPr>
          <w:rFonts w:ascii="Times New Roman" w:hAnsi="Times New Roman"/>
          <w:b w:val="0"/>
          <w:color w:val="000000"/>
          <w:szCs w:val="20"/>
        </w:rPr>
        <w:t>підпису</w:t>
      </w:r>
      <w:proofErr w:type="spellEnd"/>
      <w:r w:rsidRPr="00E16672">
        <w:rPr>
          <w:rFonts w:ascii="Times New Roman" w:hAnsi="Times New Roman"/>
          <w:b w:val="0"/>
          <w:bCs w:val="0"/>
          <w:color w:val="000000"/>
          <w:szCs w:val="20"/>
          <w:lang w:val="uk-UA"/>
        </w:rPr>
        <w:t xml:space="preserve"> та </w:t>
      </w:r>
      <w:proofErr w:type="spellStart"/>
      <w:r w:rsidR="00D57400" w:rsidRPr="00E16672">
        <w:rPr>
          <w:rFonts w:ascii="Times New Roman" w:hAnsi="Times New Roman"/>
          <w:b w:val="0"/>
          <w:color w:val="000000"/>
          <w:szCs w:val="20"/>
        </w:rPr>
        <w:t>кваліфікованого</w:t>
      </w:r>
      <w:proofErr w:type="spellEnd"/>
      <w:r w:rsidR="00D57400" w:rsidRPr="00E16672">
        <w:rPr>
          <w:rFonts w:ascii="Times New Roman" w:hAnsi="Times New Roman"/>
          <w:b w:val="0"/>
          <w:color w:val="000000"/>
          <w:szCs w:val="20"/>
        </w:rPr>
        <w:t xml:space="preserve"> </w:t>
      </w:r>
      <w:proofErr w:type="spellStart"/>
      <w:r w:rsidR="00D57400" w:rsidRPr="00E16672">
        <w:rPr>
          <w:rFonts w:ascii="Times New Roman" w:hAnsi="Times New Roman"/>
          <w:b w:val="0"/>
          <w:color w:val="000000"/>
          <w:szCs w:val="20"/>
        </w:rPr>
        <w:t>електронного</w:t>
      </w:r>
      <w:proofErr w:type="spellEnd"/>
      <w:r w:rsidR="00D57400" w:rsidRPr="00E16672">
        <w:rPr>
          <w:rFonts w:ascii="Times New Roman" w:hAnsi="Times New Roman"/>
          <w:b w:val="0"/>
          <w:color w:val="000000"/>
          <w:szCs w:val="20"/>
        </w:rPr>
        <w:t xml:space="preserve"> </w:t>
      </w:r>
      <w:proofErr w:type="spellStart"/>
      <w:r w:rsidR="00D57400" w:rsidRPr="00E16672">
        <w:rPr>
          <w:rFonts w:ascii="Times New Roman" w:hAnsi="Times New Roman"/>
          <w:b w:val="0"/>
          <w:color w:val="000000"/>
          <w:szCs w:val="20"/>
        </w:rPr>
        <w:t>підпису</w:t>
      </w:r>
      <w:proofErr w:type="spellEnd"/>
      <w:r w:rsidRPr="00E16672">
        <w:rPr>
          <w:rFonts w:ascii="Times New Roman" w:hAnsi="Times New Roman"/>
          <w:b w:val="0"/>
          <w:bCs w:val="0"/>
          <w:color w:val="000000"/>
          <w:szCs w:val="20"/>
          <w:lang w:val="uk-UA"/>
        </w:rPr>
        <w:t>, що за правовим статусом прирівнюється до печатки юридичної особи (крім керуючих рахунком).</w:t>
      </w:r>
    </w:p>
    <w:p w14:paraId="4BE3961E" w14:textId="77777777" w:rsidR="009A7EA8" w:rsidRPr="00E16672" w:rsidRDefault="009A7EA8" w:rsidP="009A7EA8">
      <w:pPr>
        <w:rPr>
          <w:rFonts w:ascii="Times New Roman" w:hAnsi="Times New Roman"/>
          <w:szCs w:val="20"/>
          <w:shd w:val="clear" w:color="auto" w:fill="FFFFFF"/>
        </w:rPr>
      </w:pPr>
      <w:r w:rsidRPr="00E16672">
        <w:rPr>
          <w:rFonts w:ascii="Times New Roman" w:hAnsi="Times New Roman"/>
          <w:szCs w:val="20"/>
          <w:shd w:val="clear" w:color="auto" w:fill="FFFFFF"/>
        </w:rPr>
        <w:t xml:space="preserve">4.5. Оплата за </w:t>
      </w:r>
      <w:proofErr w:type="spellStart"/>
      <w:r w:rsidRPr="00E16672">
        <w:rPr>
          <w:rFonts w:ascii="Times New Roman" w:eastAsia="Arial Unicode MS" w:hAnsi="Times New Roman"/>
          <w:szCs w:val="20"/>
        </w:rPr>
        <w:t>послуги</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щодо</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надання</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реєстру</w:t>
      </w:r>
      <w:proofErr w:type="spellEnd"/>
      <w:r w:rsidRPr="00E16672">
        <w:rPr>
          <w:rFonts w:ascii="Times New Roman" w:eastAsia="Arial Unicode MS" w:hAnsi="Times New Roman"/>
          <w:szCs w:val="20"/>
        </w:rPr>
        <w:t xml:space="preserve"> та/</w:t>
      </w:r>
      <w:proofErr w:type="spellStart"/>
      <w:r w:rsidRPr="00E16672">
        <w:rPr>
          <w:rFonts w:ascii="Times New Roman" w:eastAsia="Arial Unicode MS" w:hAnsi="Times New Roman"/>
          <w:szCs w:val="20"/>
        </w:rPr>
        <w:t>або</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переліку</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власників</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іменних</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цінних</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паперів</w:t>
      </w:r>
      <w:proofErr w:type="spellEnd"/>
      <w:r w:rsidRPr="00E16672">
        <w:rPr>
          <w:rFonts w:ascii="Times New Roman" w:hAnsi="Times New Roman"/>
          <w:szCs w:val="20"/>
          <w:shd w:val="clear" w:color="auto" w:fill="FFFFFF"/>
        </w:rPr>
        <w:t xml:space="preserve"> вноситься </w:t>
      </w:r>
      <w:proofErr w:type="spellStart"/>
      <w:r w:rsidRPr="00E16672">
        <w:rPr>
          <w:rFonts w:ascii="Times New Roman" w:hAnsi="Times New Roman"/>
          <w:szCs w:val="20"/>
          <w:shd w:val="clear" w:color="auto" w:fill="FFFFFF"/>
        </w:rPr>
        <w:t>Емітентом</w:t>
      </w:r>
      <w:proofErr w:type="spellEnd"/>
      <w:r w:rsidRPr="00E16672">
        <w:rPr>
          <w:rFonts w:ascii="Times New Roman" w:hAnsi="Times New Roman"/>
          <w:szCs w:val="20"/>
          <w:shd w:val="clear" w:color="auto" w:fill="FFFFFF"/>
        </w:rPr>
        <w:t xml:space="preserve"> </w:t>
      </w:r>
      <w:proofErr w:type="spellStart"/>
      <w:r w:rsidRPr="00E16672">
        <w:rPr>
          <w:rFonts w:ascii="Times New Roman" w:hAnsi="Times New Roman"/>
          <w:bCs/>
          <w:szCs w:val="20"/>
          <w:shd w:val="clear" w:color="auto" w:fill="FFFFFF"/>
        </w:rPr>
        <w:t>протягом</w:t>
      </w:r>
      <w:proofErr w:type="spellEnd"/>
      <w:r w:rsidRPr="00E16672">
        <w:rPr>
          <w:rFonts w:ascii="Times New Roman" w:hAnsi="Times New Roman"/>
          <w:bCs/>
          <w:szCs w:val="20"/>
          <w:shd w:val="clear" w:color="auto" w:fill="FFFFFF"/>
        </w:rPr>
        <w:t xml:space="preserve"> </w:t>
      </w:r>
      <w:r w:rsidR="00FA3078">
        <w:rPr>
          <w:rFonts w:ascii="Times New Roman" w:hAnsi="Times New Roman"/>
          <w:bCs/>
          <w:szCs w:val="20"/>
          <w:shd w:val="clear" w:color="auto" w:fill="FFFFFF"/>
          <w:lang w:val="uk-UA"/>
        </w:rPr>
        <w:t>1 (</w:t>
      </w:r>
      <w:r w:rsidRPr="00E16672">
        <w:rPr>
          <w:rFonts w:ascii="Times New Roman" w:hAnsi="Times New Roman"/>
          <w:bCs/>
          <w:i/>
          <w:szCs w:val="20"/>
          <w:shd w:val="clear" w:color="auto" w:fill="FFFFFF"/>
        </w:rPr>
        <w:t>одного</w:t>
      </w:r>
      <w:r w:rsidR="00FA3078">
        <w:rPr>
          <w:rFonts w:ascii="Times New Roman" w:hAnsi="Times New Roman"/>
          <w:bCs/>
          <w:i/>
          <w:szCs w:val="20"/>
          <w:shd w:val="clear" w:color="auto" w:fill="FFFFFF"/>
          <w:lang w:val="uk-UA"/>
        </w:rPr>
        <w:t>)</w:t>
      </w:r>
      <w:r w:rsidRPr="00E16672">
        <w:rPr>
          <w:rFonts w:ascii="Times New Roman" w:hAnsi="Times New Roman"/>
          <w:bCs/>
          <w:szCs w:val="20"/>
          <w:shd w:val="clear" w:color="auto" w:fill="FFFFFF"/>
        </w:rPr>
        <w:t xml:space="preserve"> </w:t>
      </w:r>
      <w:proofErr w:type="spellStart"/>
      <w:r w:rsidRPr="00E16672">
        <w:rPr>
          <w:rFonts w:ascii="Times New Roman" w:hAnsi="Times New Roman"/>
          <w:bCs/>
          <w:szCs w:val="20"/>
          <w:shd w:val="clear" w:color="auto" w:fill="FFFFFF"/>
        </w:rPr>
        <w:t>робочого</w:t>
      </w:r>
      <w:proofErr w:type="spellEnd"/>
      <w:r w:rsidRPr="00E16672">
        <w:rPr>
          <w:rFonts w:ascii="Times New Roman" w:hAnsi="Times New Roman"/>
          <w:bCs/>
          <w:szCs w:val="20"/>
          <w:shd w:val="clear" w:color="auto" w:fill="FFFFFF"/>
        </w:rPr>
        <w:t xml:space="preserve"> дня з дня </w:t>
      </w:r>
      <w:proofErr w:type="spellStart"/>
      <w:r w:rsidRPr="00E16672">
        <w:rPr>
          <w:rFonts w:ascii="Times New Roman" w:hAnsi="Times New Roman"/>
          <w:bCs/>
          <w:szCs w:val="20"/>
          <w:shd w:val="clear" w:color="auto" w:fill="FFFFFF"/>
        </w:rPr>
        <w:t>підписання</w:t>
      </w:r>
      <w:proofErr w:type="spellEnd"/>
      <w:r w:rsidRPr="00E16672">
        <w:rPr>
          <w:rFonts w:ascii="Times New Roman" w:hAnsi="Times New Roman"/>
          <w:bCs/>
          <w:szCs w:val="20"/>
          <w:shd w:val="clear" w:color="auto" w:fill="FFFFFF"/>
        </w:rPr>
        <w:t xml:space="preserve"> акту Депозитарною </w:t>
      </w:r>
      <w:proofErr w:type="spellStart"/>
      <w:r w:rsidRPr="00E16672">
        <w:rPr>
          <w:rFonts w:ascii="Times New Roman" w:hAnsi="Times New Roman"/>
          <w:bCs/>
          <w:szCs w:val="20"/>
          <w:shd w:val="clear" w:color="auto" w:fill="FFFFFF"/>
        </w:rPr>
        <w:t>установою</w:t>
      </w:r>
      <w:proofErr w:type="spellEnd"/>
      <w:r w:rsidRPr="00E16672">
        <w:rPr>
          <w:rFonts w:ascii="Times New Roman" w:hAnsi="Times New Roman"/>
          <w:bCs/>
          <w:szCs w:val="20"/>
          <w:shd w:val="clear" w:color="auto" w:fill="FFFFFF"/>
        </w:rPr>
        <w:t xml:space="preserve"> </w:t>
      </w:r>
      <w:proofErr w:type="spellStart"/>
      <w:r w:rsidRPr="00E16672">
        <w:rPr>
          <w:rFonts w:ascii="Times New Roman" w:hAnsi="Times New Roman"/>
          <w:bCs/>
          <w:szCs w:val="20"/>
          <w:shd w:val="clear" w:color="auto" w:fill="FFFFFF"/>
        </w:rPr>
        <w:t>або</w:t>
      </w:r>
      <w:proofErr w:type="spellEnd"/>
      <w:r w:rsidRPr="00E16672">
        <w:rPr>
          <w:rFonts w:ascii="Times New Roman" w:hAnsi="Times New Roman"/>
          <w:bCs/>
          <w:szCs w:val="20"/>
          <w:shd w:val="clear" w:color="auto" w:fill="FFFFFF"/>
        </w:rPr>
        <w:t xml:space="preserve"> до </w:t>
      </w:r>
      <w:proofErr w:type="spellStart"/>
      <w:r w:rsidRPr="00E16672">
        <w:rPr>
          <w:rFonts w:ascii="Times New Roman" w:hAnsi="Times New Roman"/>
          <w:bCs/>
          <w:szCs w:val="20"/>
          <w:shd w:val="clear" w:color="auto" w:fill="FFFFFF"/>
        </w:rPr>
        <w:t>виконання</w:t>
      </w:r>
      <w:proofErr w:type="spellEnd"/>
      <w:r w:rsidRPr="00E16672">
        <w:rPr>
          <w:rFonts w:ascii="Times New Roman" w:hAnsi="Times New Roman"/>
          <w:bCs/>
          <w:szCs w:val="20"/>
          <w:shd w:val="clear" w:color="auto" w:fill="FFFFFF"/>
        </w:rPr>
        <w:t xml:space="preserve"> Депозитарною </w:t>
      </w:r>
      <w:proofErr w:type="spellStart"/>
      <w:r w:rsidRPr="00E16672">
        <w:rPr>
          <w:rFonts w:ascii="Times New Roman" w:hAnsi="Times New Roman"/>
          <w:bCs/>
          <w:szCs w:val="20"/>
          <w:shd w:val="clear" w:color="auto" w:fill="FFFFFF"/>
        </w:rPr>
        <w:t>установою</w:t>
      </w:r>
      <w:proofErr w:type="spellEnd"/>
      <w:r w:rsidRPr="00E16672">
        <w:rPr>
          <w:rFonts w:ascii="Times New Roman" w:hAnsi="Times New Roman"/>
          <w:bCs/>
          <w:szCs w:val="20"/>
          <w:shd w:val="clear" w:color="auto" w:fill="FFFFFF"/>
        </w:rPr>
        <w:t xml:space="preserve"> </w:t>
      </w:r>
      <w:proofErr w:type="spellStart"/>
      <w:r w:rsidRPr="00E16672">
        <w:rPr>
          <w:rFonts w:ascii="Times New Roman" w:hAnsi="Times New Roman"/>
          <w:bCs/>
          <w:szCs w:val="20"/>
          <w:shd w:val="clear" w:color="auto" w:fill="FFFFFF"/>
        </w:rPr>
        <w:t>послуг</w:t>
      </w:r>
      <w:proofErr w:type="spellEnd"/>
      <w:r w:rsidRPr="00E16672">
        <w:rPr>
          <w:rFonts w:ascii="Times New Roman" w:hAnsi="Times New Roman"/>
          <w:bCs/>
          <w:szCs w:val="20"/>
          <w:shd w:val="clear" w:color="auto" w:fill="FFFFFF"/>
        </w:rPr>
        <w:t xml:space="preserve"> </w:t>
      </w:r>
      <w:proofErr w:type="spellStart"/>
      <w:r w:rsidRPr="00E16672">
        <w:rPr>
          <w:rFonts w:ascii="Times New Roman" w:hAnsi="Times New Roman"/>
          <w:bCs/>
          <w:szCs w:val="20"/>
          <w:shd w:val="clear" w:color="auto" w:fill="FFFFFF"/>
        </w:rPr>
        <w:t>відповідно</w:t>
      </w:r>
      <w:proofErr w:type="spellEnd"/>
      <w:r w:rsidRPr="00E16672">
        <w:rPr>
          <w:rFonts w:ascii="Times New Roman" w:hAnsi="Times New Roman"/>
          <w:bCs/>
          <w:szCs w:val="20"/>
          <w:shd w:val="clear" w:color="auto" w:fill="FFFFFF"/>
        </w:rPr>
        <w:t xml:space="preserve"> до </w:t>
      </w:r>
      <w:proofErr w:type="spellStart"/>
      <w:r w:rsidRPr="00E16672">
        <w:rPr>
          <w:rFonts w:ascii="Times New Roman" w:hAnsi="Times New Roman"/>
          <w:bCs/>
          <w:szCs w:val="20"/>
          <w:shd w:val="clear" w:color="auto" w:fill="FFFFFF"/>
        </w:rPr>
        <w:t>цього</w:t>
      </w:r>
      <w:proofErr w:type="spellEnd"/>
      <w:r w:rsidRPr="00E16672">
        <w:rPr>
          <w:rFonts w:ascii="Times New Roman" w:hAnsi="Times New Roman"/>
          <w:bCs/>
          <w:szCs w:val="20"/>
          <w:shd w:val="clear" w:color="auto" w:fill="FFFFFF"/>
        </w:rPr>
        <w:t xml:space="preserve"> Договору на </w:t>
      </w:r>
      <w:proofErr w:type="spellStart"/>
      <w:r w:rsidRPr="00E16672">
        <w:rPr>
          <w:rFonts w:ascii="Times New Roman" w:hAnsi="Times New Roman"/>
          <w:bCs/>
          <w:szCs w:val="20"/>
          <w:shd w:val="clear" w:color="auto" w:fill="FFFFFF"/>
        </w:rPr>
        <w:t>умовах</w:t>
      </w:r>
      <w:proofErr w:type="spellEnd"/>
      <w:r w:rsidRPr="00E16672">
        <w:rPr>
          <w:rFonts w:ascii="Times New Roman" w:hAnsi="Times New Roman"/>
          <w:bCs/>
          <w:szCs w:val="20"/>
          <w:shd w:val="clear" w:color="auto" w:fill="FFFFFF"/>
        </w:rPr>
        <w:t xml:space="preserve"> </w:t>
      </w:r>
      <w:proofErr w:type="spellStart"/>
      <w:r w:rsidRPr="00E16672">
        <w:rPr>
          <w:rFonts w:ascii="Times New Roman" w:hAnsi="Times New Roman"/>
          <w:bCs/>
          <w:szCs w:val="20"/>
          <w:shd w:val="clear" w:color="auto" w:fill="FFFFFF"/>
        </w:rPr>
        <w:t>передоплати</w:t>
      </w:r>
      <w:proofErr w:type="spellEnd"/>
      <w:r w:rsidRPr="00E16672">
        <w:rPr>
          <w:rFonts w:ascii="Times New Roman" w:hAnsi="Times New Roman"/>
          <w:bCs/>
          <w:szCs w:val="20"/>
          <w:shd w:val="clear" w:color="auto" w:fill="FFFFFF"/>
        </w:rPr>
        <w:t xml:space="preserve"> </w:t>
      </w:r>
      <w:proofErr w:type="spellStart"/>
      <w:r w:rsidRPr="00E16672">
        <w:rPr>
          <w:rFonts w:ascii="Times New Roman" w:hAnsi="Times New Roman"/>
          <w:bCs/>
          <w:szCs w:val="20"/>
          <w:shd w:val="clear" w:color="auto" w:fill="FFFFFF"/>
        </w:rPr>
        <w:t>згідно</w:t>
      </w:r>
      <w:proofErr w:type="spellEnd"/>
      <w:r w:rsidRPr="00E16672">
        <w:rPr>
          <w:rFonts w:ascii="Times New Roman" w:hAnsi="Times New Roman"/>
          <w:bCs/>
          <w:szCs w:val="20"/>
          <w:shd w:val="clear" w:color="auto" w:fill="FFFFFF"/>
        </w:rPr>
        <w:t xml:space="preserve"> </w:t>
      </w:r>
      <w:proofErr w:type="spellStart"/>
      <w:r w:rsidRPr="00E16672">
        <w:rPr>
          <w:rFonts w:ascii="Times New Roman" w:hAnsi="Times New Roman"/>
          <w:bCs/>
          <w:szCs w:val="20"/>
          <w:shd w:val="clear" w:color="auto" w:fill="FFFFFF"/>
        </w:rPr>
        <w:t>рахунку</w:t>
      </w:r>
      <w:proofErr w:type="spellEnd"/>
      <w:r w:rsidRPr="00E16672">
        <w:rPr>
          <w:rFonts w:ascii="Times New Roman" w:hAnsi="Times New Roman"/>
          <w:bCs/>
          <w:szCs w:val="20"/>
          <w:shd w:val="clear" w:color="auto" w:fill="FFFFFF"/>
        </w:rPr>
        <w:t xml:space="preserve"> </w:t>
      </w:r>
      <w:r w:rsidRPr="00E16672">
        <w:rPr>
          <w:rFonts w:ascii="Times New Roman" w:hAnsi="Times New Roman"/>
          <w:szCs w:val="20"/>
          <w:shd w:val="clear" w:color="auto" w:fill="FFFFFF"/>
        </w:rPr>
        <w:t xml:space="preserve">шляхом </w:t>
      </w:r>
      <w:proofErr w:type="spellStart"/>
      <w:r w:rsidRPr="00E16672">
        <w:rPr>
          <w:rFonts w:ascii="Times New Roman" w:hAnsi="Times New Roman"/>
          <w:szCs w:val="20"/>
          <w:shd w:val="clear" w:color="auto" w:fill="FFFFFF"/>
        </w:rPr>
        <w:t>перерахування</w:t>
      </w:r>
      <w:proofErr w:type="spellEnd"/>
      <w:r w:rsidRPr="00E16672">
        <w:rPr>
          <w:rFonts w:ascii="Times New Roman" w:hAnsi="Times New Roman"/>
          <w:szCs w:val="20"/>
          <w:shd w:val="clear" w:color="auto" w:fill="FFFFFF"/>
        </w:rPr>
        <w:t xml:space="preserve"> </w:t>
      </w:r>
      <w:proofErr w:type="spellStart"/>
      <w:r w:rsidRPr="00E16672">
        <w:rPr>
          <w:rFonts w:ascii="Times New Roman" w:hAnsi="Times New Roman"/>
          <w:szCs w:val="20"/>
          <w:shd w:val="clear" w:color="auto" w:fill="FFFFFF"/>
        </w:rPr>
        <w:t>грошових</w:t>
      </w:r>
      <w:proofErr w:type="spellEnd"/>
      <w:r w:rsidRPr="00E16672">
        <w:rPr>
          <w:rFonts w:ascii="Times New Roman" w:hAnsi="Times New Roman"/>
          <w:szCs w:val="20"/>
          <w:shd w:val="clear" w:color="auto" w:fill="FFFFFF"/>
        </w:rPr>
        <w:t xml:space="preserve"> </w:t>
      </w:r>
      <w:proofErr w:type="spellStart"/>
      <w:r w:rsidRPr="00E16672">
        <w:rPr>
          <w:rFonts w:ascii="Times New Roman" w:hAnsi="Times New Roman"/>
          <w:szCs w:val="20"/>
          <w:shd w:val="clear" w:color="auto" w:fill="FFFFFF"/>
        </w:rPr>
        <w:t>коштів</w:t>
      </w:r>
      <w:proofErr w:type="spellEnd"/>
      <w:r w:rsidRPr="00E16672">
        <w:rPr>
          <w:rFonts w:ascii="Times New Roman" w:hAnsi="Times New Roman"/>
          <w:szCs w:val="20"/>
          <w:shd w:val="clear" w:color="auto" w:fill="FFFFFF"/>
        </w:rPr>
        <w:t xml:space="preserve"> за </w:t>
      </w:r>
      <w:proofErr w:type="spellStart"/>
      <w:r w:rsidRPr="00E16672">
        <w:rPr>
          <w:rFonts w:ascii="Times New Roman" w:hAnsi="Times New Roman"/>
          <w:szCs w:val="20"/>
          <w:shd w:val="clear" w:color="auto" w:fill="FFFFFF"/>
        </w:rPr>
        <w:t>реквізитами</w:t>
      </w:r>
      <w:proofErr w:type="spellEnd"/>
      <w:r w:rsidRPr="00E16672">
        <w:rPr>
          <w:rFonts w:ascii="Times New Roman" w:hAnsi="Times New Roman"/>
          <w:szCs w:val="20"/>
          <w:shd w:val="clear" w:color="auto" w:fill="FFFFFF"/>
        </w:rPr>
        <w:t xml:space="preserve">, </w:t>
      </w:r>
      <w:proofErr w:type="spellStart"/>
      <w:r w:rsidRPr="00E16672">
        <w:rPr>
          <w:rFonts w:ascii="Times New Roman" w:hAnsi="Times New Roman"/>
          <w:szCs w:val="20"/>
          <w:shd w:val="clear" w:color="auto" w:fill="FFFFFF"/>
        </w:rPr>
        <w:t>вказаними</w:t>
      </w:r>
      <w:proofErr w:type="spellEnd"/>
      <w:r w:rsidRPr="00E16672">
        <w:rPr>
          <w:rFonts w:ascii="Times New Roman" w:hAnsi="Times New Roman"/>
          <w:szCs w:val="20"/>
          <w:shd w:val="clear" w:color="auto" w:fill="FFFFFF"/>
        </w:rPr>
        <w:t xml:space="preserve"> </w:t>
      </w:r>
      <w:r w:rsidRPr="00E16672">
        <w:rPr>
          <w:rFonts w:ascii="Times New Roman" w:eastAsia="Arial Unicode MS" w:hAnsi="Times New Roman"/>
          <w:szCs w:val="20"/>
        </w:rPr>
        <w:t xml:space="preserve">Депозитарною </w:t>
      </w:r>
      <w:proofErr w:type="spellStart"/>
      <w:r w:rsidRPr="00E16672">
        <w:rPr>
          <w:rFonts w:ascii="Times New Roman" w:eastAsia="Arial Unicode MS" w:hAnsi="Times New Roman"/>
          <w:szCs w:val="20"/>
        </w:rPr>
        <w:t>установою</w:t>
      </w:r>
      <w:proofErr w:type="spellEnd"/>
      <w:r w:rsidRPr="00E16672">
        <w:rPr>
          <w:rFonts w:ascii="Times New Roman" w:hAnsi="Times New Roman"/>
          <w:szCs w:val="20"/>
          <w:shd w:val="clear" w:color="auto" w:fill="FFFFFF"/>
        </w:rPr>
        <w:t xml:space="preserve">. </w:t>
      </w:r>
    </w:p>
    <w:p w14:paraId="7502E9FE" w14:textId="77777777" w:rsidR="009A7EA8" w:rsidRPr="00E16672" w:rsidRDefault="009A7EA8" w:rsidP="00022F5F">
      <w:pPr>
        <w:jc w:val="left"/>
        <w:rPr>
          <w:rFonts w:ascii="Times New Roman" w:eastAsia="Arial Unicode MS" w:hAnsi="Times New Roman"/>
          <w:szCs w:val="20"/>
        </w:rPr>
      </w:pPr>
      <w:r w:rsidRPr="00E16672">
        <w:rPr>
          <w:rFonts w:ascii="Times New Roman" w:eastAsia="Arial Unicode MS" w:hAnsi="Times New Roman"/>
          <w:szCs w:val="20"/>
        </w:rPr>
        <w:t xml:space="preserve">4.6 У </w:t>
      </w:r>
      <w:proofErr w:type="spellStart"/>
      <w:r w:rsidRPr="00E16672">
        <w:rPr>
          <w:rFonts w:ascii="Times New Roman" w:eastAsia="Arial Unicode MS" w:hAnsi="Times New Roman"/>
          <w:szCs w:val="20"/>
        </w:rPr>
        <w:t>разі</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наявності</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заборгованості</w:t>
      </w:r>
      <w:proofErr w:type="spellEnd"/>
      <w:r w:rsidRPr="00E16672">
        <w:rPr>
          <w:rFonts w:ascii="Times New Roman" w:eastAsia="Arial Unicode MS" w:hAnsi="Times New Roman"/>
          <w:szCs w:val="20"/>
        </w:rPr>
        <w:t xml:space="preserve"> за </w:t>
      </w:r>
      <w:proofErr w:type="spellStart"/>
      <w:r w:rsidRPr="00E16672">
        <w:rPr>
          <w:rFonts w:ascii="Times New Roman" w:eastAsia="Arial Unicode MS" w:hAnsi="Times New Roman"/>
          <w:szCs w:val="20"/>
        </w:rPr>
        <w:t>попередньо</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надані</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депозитарні</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послуги</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щодо</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надання</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реєстру</w:t>
      </w:r>
      <w:proofErr w:type="spellEnd"/>
      <w:r w:rsidRPr="00E16672">
        <w:rPr>
          <w:rFonts w:ascii="Times New Roman" w:eastAsia="Arial Unicode MS" w:hAnsi="Times New Roman"/>
          <w:szCs w:val="20"/>
        </w:rPr>
        <w:t xml:space="preserve"> та/</w:t>
      </w:r>
      <w:proofErr w:type="spellStart"/>
      <w:r w:rsidRPr="00E16672">
        <w:rPr>
          <w:rFonts w:ascii="Times New Roman" w:eastAsia="Arial Unicode MS" w:hAnsi="Times New Roman"/>
          <w:szCs w:val="20"/>
        </w:rPr>
        <w:t>або</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переліку</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власників</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іменних</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цінних</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паперів</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довідково-аналітичних</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матеріалів</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виписок</w:t>
      </w:r>
      <w:proofErr w:type="spellEnd"/>
      <w:r w:rsidRPr="00E16672">
        <w:rPr>
          <w:rFonts w:ascii="Times New Roman" w:eastAsia="Arial Unicode MS" w:hAnsi="Times New Roman"/>
          <w:szCs w:val="20"/>
        </w:rPr>
        <w:t xml:space="preserve"> і </w:t>
      </w:r>
      <w:proofErr w:type="spellStart"/>
      <w:r w:rsidRPr="00E16672">
        <w:rPr>
          <w:rFonts w:ascii="Times New Roman" w:eastAsia="Arial Unicode MS" w:hAnsi="Times New Roman"/>
          <w:szCs w:val="20"/>
        </w:rPr>
        <w:t>інформаційних</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довідок</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іншої</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інформації</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щодо</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власників</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іменних</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цінних</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паперів</w:t>
      </w:r>
      <w:proofErr w:type="spellEnd"/>
      <w:r w:rsidRPr="00E16672">
        <w:rPr>
          <w:rFonts w:ascii="Times New Roman" w:eastAsia="Arial Unicode MS" w:hAnsi="Times New Roman"/>
          <w:szCs w:val="20"/>
        </w:rPr>
        <w:t xml:space="preserve">, та при </w:t>
      </w:r>
      <w:proofErr w:type="spellStart"/>
      <w:r w:rsidRPr="00E16672">
        <w:rPr>
          <w:rFonts w:ascii="Times New Roman" w:eastAsia="Arial Unicode MS" w:hAnsi="Times New Roman"/>
          <w:szCs w:val="20"/>
        </w:rPr>
        <w:t>отриманні</w:t>
      </w:r>
      <w:proofErr w:type="spellEnd"/>
      <w:r w:rsidRPr="00E16672">
        <w:rPr>
          <w:rFonts w:ascii="Times New Roman" w:eastAsia="Arial Unicode MS" w:hAnsi="Times New Roman"/>
          <w:szCs w:val="20"/>
        </w:rPr>
        <w:t xml:space="preserve"> нового </w:t>
      </w:r>
      <w:proofErr w:type="spellStart"/>
      <w:r w:rsidRPr="00E16672">
        <w:rPr>
          <w:rFonts w:ascii="Times New Roman" w:eastAsia="Arial Unicode MS" w:hAnsi="Times New Roman"/>
          <w:szCs w:val="20"/>
        </w:rPr>
        <w:t>розпорядження</w:t>
      </w:r>
      <w:proofErr w:type="spellEnd"/>
      <w:r w:rsidRPr="00E16672">
        <w:rPr>
          <w:rFonts w:ascii="Times New Roman" w:eastAsia="Arial Unicode MS" w:hAnsi="Times New Roman"/>
          <w:szCs w:val="20"/>
        </w:rPr>
        <w:t xml:space="preserve"> на </w:t>
      </w:r>
      <w:proofErr w:type="spellStart"/>
      <w:r w:rsidRPr="00E16672">
        <w:rPr>
          <w:rFonts w:ascii="Times New Roman" w:eastAsia="Arial Unicode MS" w:hAnsi="Times New Roman"/>
          <w:szCs w:val="20"/>
        </w:rPr>
        <w:t>виконання</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вищенаведених</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операцій</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Депозитарна</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установа</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має</w:t>
      </w:r>
      <w:proofErr w:type="spellEnd"/>
      <w:r w:rsidRPr="00E16672">
        <w:rPr>
          <w:rFonts w:ascii="Times New Roman" w:eastAsia="Arial Unicode MS" w:hAnsi="Times New Roman"/>
          <w:szCs w:val="20"/>
        </w:rPr>
        <w:t xml:space="preserve"> право не </w:t>
      </w:r>
      <w:proofErr w:type="spellStart"/>
      <w:r w:rsidRPr="00E16672">
        <w:rPr>
          <w:rFonts w:ascii="Times New Roman" w:eastAsia="Arial Unicode MS" w:hAnsi="Times New Roman"/>
          <w:szCs w:val="20"/>
        </w:rPr>
        <w:t>виконувати</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нове</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розпорядженні</w:t>
      </w:r>
      <w:proofErr w:type="spellEnd"/>
      <w:r w:rsidRPr="00E16672">
        <w:rPr>
          <w:rFonts w:ascii="Times New Roman" w:eastAsia="Arial Unicode MS" w:hAnsi="Times New Roman"/>
          <w:szCs w:val="20"/>
        </w:rPr>
        <w:t xml:space="preserve"> до </w:t>
      </w:r>
      <w:proofErr w:type="spellStart"/>
      <w:r w:rsidRPr="00E16672">
        <w:rPr>
          <w:rFonts w:ascii="Times New Roman" w:eastAsia="Arial Unicode MS" w:hAnsi="Times New Roman"/>
          <w:szCs w:val="20"/>
        </w:rPr>
        <w:t>погашення</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заборгованості</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Емітента</w:t>
      </w:r>
      <w:proofErr w:type="spellEnd"/>
      <w:r w:rsidRPr="00E16672">
        <w:rPr>
          <w:rFonts w:ascii="Times New Roman" w:eastAsia="Arial Unicode MS" w:hAnsi="Times New Roman"/>
          <w:szCs w:val="20"/>
        </w:rPr>
        <w:t xml:space="preserve"> перед Депозитарною </w:t>
      </w:r>
      <w:proofErr w:type="spellStart"/>
      <w:r w:rsidRPr="00E16672">
        <w:rPr>
          <w:rFonts w:ascii="Times New Roman" w:eastAsia="Arial Unicode MS" w:hAnsi="Times New Roman"/>
          <w:szCs w:val="20"/>
        </w:rPr>
        <w:t>установою</w:t>
      </w:r>
      <w:proofErr w:type="spellEnd"/>
      <w:r w:rsidRPr="00E16672">
        <w:rPr>
          <w:rFonts w:ascii="Times New Roman" w:eastAsia="Arial Unicode MS" w:hAnsi="Times New Roman"/>
          <w:szCs w:val="20"/>
        </w:rPr>
        <w:t xml:space="preserve">, а </w:t>
      </w:r>
      <w:proofErr w:type="spellStart"/>
      <w:r w:rsidRPr="00E16672">
        <w:rPr>
          <w:rFonts w:ascii="Times New Roman" w:eastAsia="Arial Unicode MS" w:hAnsi="Times New Roman"/>
          <w:szCs w:val="20"/>
        </w:rPr>
        <w:t>також</w:t>
      </w:r>
      <w:proofErr w:type="spellEnd"/>
      <w:r w:rsidRPr="00E16672">
        <w:rPr>
          <w:rFonts w:ascii="Times New Roman" w:eastAsia="Arial Unicode MS" w:hAnsi="Times New Roman"/>
          <w:szCs w:val="20"/>
        </w:rPr>
        <w:t xml:space="preserve"> в день </w:t>
      </w:r>
      <w:proofErr w:type="spellStart"/>
      <w:r w:rsidRPr="00E16672">
        <w:rPr>
          <w:rFonts w:ascii="Times New Roman" w:eastAsia="Arial Unicode MS" w:hAnsi="Times New Roman"/>
          <w:szCs w:val="20"/>
        </w:rPr>
        <w:t>отримання</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розпорядження</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або</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наступного</w:t>
      </w:r>
      <w:proofErr w:type="spellEnd"/>
      <w:r w:rsidRPr="00E16672">
        <w:rPr>
          <w:rFonts w:ascii="Times New Roman" w:eastAsia="Arial Unicode MS" w:hAnsi="Times New Roman"/>
          <w:szCs w:val="20"/>
        </w:rPr>
        <w:t xml:space="preserve"> дня </w:t>
      </w:r>
      <w:proofErr w:type="spellStart"/>
      <w:r w:rsidRPr="00E16672">
        <w:rPr>
          <w:rFonts w:ascii="Times New Roman" w:eastAsia="Arial Unicode MS" w:hAnsi="Times New Roman"/>
          <w:szCs w:val="20"/>
        </w:rPr>
        <w:t>надати</w:t>
      </w:r>
      <w:proofErr w:type="spellEnd"/>
      <w:r w:rsidRPr="00E16672">
        <w:rPr>
          <w:rFonts w:ascii="Times New Roman" w:eastAsia="Arial Unicode MS" w:hAnsi="Times New Roman"/>
          <w:szCs w:val="20"/>
        </w:rPr>
        <w:t xml:space="preserve"> документ для </w:t>
      </w:r>
      <w:proofErr w:type="spellStart"/>
      <w:r w:rsidRPr="00E16672">
        <w:rPr>
          <w:rFonts w:ascii="Times New Roman" w:eastAsia="Arial Unicode MS" w:hAnsi="Times New Roman"/>
          <w:szCs w:val="20"/>
        </w:rPr>
        <w:t>сплати</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депозитарних</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послуг</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стосовно</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операцій</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щодо</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надання</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реєстру</w:t>
      </w:r>
      <w:proofErr w:type="spellEnd"/>
      <w:r w:rsidRPr="00E16672">
        <w:rPr>
          <w:rFonts w:ascii="Times New Roman" w:eastAsia="Arial Unicode MS" w:hAnsi="Times New Roman"/>
          <w:szCs w:val="20"/>
        </w:rPr>
        <w:t xml:space="preserve"> та/</w:t>
      </w:r>
      <w:proofErr w:type="spellStart"/>
      <w:r w:rsidRPr="00E16672">
        <w:rPr>
          <w:rFonts w:ascii="Times New Roman" w:eastAsia="Arial Unicode MS" w:hAnsi="Times New Roman"/>
          <w:szCs w:val="20"/>
        </w:rPr>
        <w:t>або</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переліку</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власників</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іменних</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цінних</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паперів</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довідково-аналітичних</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матеріалів</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виписок</w:t>
      </w:r>
      <w:proofErr w:type="spellEnd"/>
      <w:r w:rsidRPr="00E16672">
        <w:rPr>
          <w:rFonts w:ascii="Times New Roman" w:eastAsia="Arial Unicode MS" w:hAnsi="Times New Roman"/>
          <w:szCs w:val="20"/>
        </w:rPr>
        <w:t xml:space="preserve"> і </w:t>
      </w:r>
      <w:proofErr w:type="spellStart"/>
      <w:r w:rsidRPr="00E16672">
        <w:rPr>
          <w:rFonts w:ascii="Times New Roman" w:eastAsia="Arial Unicode MS" w:hAnsi="Times New Roman"/>
          <w:szCs w:val="20"/>
        </w:rPr>
        <w:t>інформаційних</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довідок</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іншої</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інформації</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щодо</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власників</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іменних</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цінних</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паперів</w:t>
      </w:r>
      <w:proofErr w:type="spellEnd"/>
      <w:r w:rsidRPr="00E16672">
        <w:rPr>
          <w:rFonts w:ascii="Times New Roman" w:eastAsia="Arial Unicode MS" w:hAnsi="Times New Roman"/>
          <w:szCs w:val="20"/>
        </w:rPr>
        <w:t xml:space="preserve">) та </w:t>
      </w:r>
      <w:proofErr w:type="spellStart"/>
      <w:r w:rsidRPr="00E16672">
        <w:rPr>
          <w:rFonts w:ascii="Times New Roman" w:eastAsia="Arial Unicode MS" w:hAnsi="Times New Roman"/>
          <w:szCs w:val="20"/>
        </w:rPr>
        <w:t>заборгованості</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рахунок</w:t>
      </w:r>
      <w:proofErr w:type="spellEnd"/>
      <w:r w:rsidRPr="00E16672">
        <w:rPr>
          <w:rFonts w:ascii="Times New Roman" w:eastAsia="Arial Unicode MS" w:hAnsi="Times New Roman"/>
          <w:color w:val="0000FF"/>
          <w:szCs w:val="20"/>
        </w:rPr>
        <w:t>,</w:t>
      </w:r>
      <w:r w:rsidRPr="00E16672">
        <w:rPr>
          <w:rFonts w:ascii="Times New Roman" w:eastAsia="Arial Unicode MS" w:hAnsi="Times New Roman"/>
          <w:szCs w:val="20"/>
        </w:rPr>
        <w:t xml:space="preserve"> акт </w:t>
      </w:r>
      <w:proofErr w:type="spellStart"/>
      <w:r w:rsidRPr="00E16672">
        <w:rPr>
          <w:rFonts w:ascii="Times New Roman" w:eastAsia="Arial Unicode MS" w:hAnsi="Times New Roman"/>
          <w:szCs w:val="20"/>
        </w:rPr>
        <w:t>виконаних</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операцій</w:t>
      </w:r>
      <w:proofErr w:type="spellEnd"/>
      <w:r w:rsidRPr="00E16672">
        <w:rPr>
          <w:rFonts w:ascii="Times New Roman" w:eastAsia="Arial Unicode MS" w:hAnsi="Times New Roman"/>
          <w:szCs w:val="20"/>
        </w:rPr>
        <w:t xml:space="preserve"> Депозитарною </w:t>
      </w:r>
      <w:proofErr w:type="spellStart"/>
      <w:r w:rsidRPr="00E16672">
        <w:rPr>
          <w:rFonts w:ascii="Times New Roman" w:eastAsia="Arial Unicode MS" w:hAnsi="Times New Roman"/>
          <w:szCs w:val="20"/>
        </w:rPr>
        <w:t>установою</w:t>
      </w:r>
      <w:proofErr w:type="spellEnd"/>
      <w:r w:rsidRPr="00E16672">
        <w:rPr>
          <w:rFonts w:ascii="Times New Roman" w:eastAsia="Arial Unicode MS" w:hAnsi="Times New Roman"/>
          <w:szCs w:val="20"/>
        </w:rPr>
        <w:t xml:space="preserve">, акт </w:t>
      </w:r>
      <w:proofErr w:type="spellStart"/>
      <w:r w:rsidRPr="00E16672">
        <w:rPr>
          <w:rFonts w:ascii="Times New Roman" w:eastAsia="Arial Unicode MS" w:hAnsi="Times New Roman"/>
          <w:szCs w:val="20"/>
        </w:rPr>
        <w:t>звірки</w:t>
      </w:r>
      <w:proofErr w:type="spellEnd"/>
      <w:r w:rsidRPr="00E16672">
        <w:rPr>
          <w:rFonts w:ascii="Times New Roman" w:eastAsia="Arial Unicode MS" w:hAnsi="Times New Roman"/>
          <w:szCs w:val="20"/>
        </w:rPr>
        <w:t xml:space="preserve">). Документ для </w:t>
      </w:r>
      <w:proofErr w:type="spellStart"/>
      <w:r w:rsidRPr="00E16672">
        <w:rPr>
          <w:rFonts w:ascii="Times New Roman" w:eastAsia="Arial Unicode MS" w:hAnsi="Times New Roman"/>
          <w:szCs w:val="20"/>
        </w:rPr>
        <w:t>сплати</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може</w:t>
      </w:r>
      <w:proofErr w:type="spellEnd"/>
      <w:r w:rsidRPr="00E16672">
        <w:rPr>
          <w:rFonts w:ascii="Times New Roman" w:eastAsia="Arial Unicode MS" w:hAnsi="Times New Roman"/>
          <w:szCs w:val="20"/>
        </w:rPr>
        <w:t xml:space="preserve"> бути </w:t>
      </w:r>
      <w:proofErr w:type="spellStart"/>
      <w:r w:rsidRPr="00E16672">
        <w:rPr>
          <w:rFonts w:ascii="Times New Roman" w:eastAsia="Arial Unicode MS" w:hAnsi="Times New Roman"/>
          <w:szCs w:val="20"/>
        </w:rPr>
        <w:t>підписаний</w:t>
      </w:r>
      <w:proofErr w:type="spellEnd"/>
      <w:r w:rsidRPr="00E16672">
        <w:rPr>
          <w:rFonts w:ascii="Times New Roman" w:eastAsia="Arial Unicode MS" w:hAnsi="Times New Roman"/>
          <w:szCs w:val="20"/>
        </w:rPr>
        <w:t xml:space="preserve"> Сторонами за </w:t>
      </w:r>
      <w:proofErr w:type="spellStart"/>
      <w:r w:rsidRPr="00E16672">
        <w:rPr>
          <w:rFonts w:ascii="Times New Roman" w:eastAsia="Arial Unicode MS" w:hAnsi="Times New Roman"/>
          <w:szCs w:val="20"/>
        </w:rPr>
        <w:t>допомогою</w:t>
      </w:r>
      <w:proofErr w:type="spellEnd"/>
      <w:r w:rsidRPr="00E16672">
        <w:rPr>
          <w:rFonts w:ascii="Times New Roman" w:eastAsia="Arial Unicode MS" w:hAnsi="Times New Roman"/>
          <w:szCs w:val="20"/>
        </w:rPr>
        <w:t xml:space="preserve"> </w:t>
      </w:r>
      <w:proofErr w:type="spellStart"/>
      <w:r w:rsidR="00D57400" w:rsidRPr="00E16672">
        <w:rPr>
          <w:rFonts w:ascii="Times New Roman" w:hAnsi="Times New Roman"/>
          <w:color w:val="000000"/>
          <w:szCs w:val="20"/>
        </w:rPr>
        <w:t>кваліфікованого</w:t>
      </w:r>
      <w:proofErr w:type="spellEnd"/>
      <w:r w:rsidR="00D57400" w:rsidRPr="00E16672">
        <w:rPr>
          <w:rFonts w:ascii="Times New Roman" w:hAnsi="Times New Roman"/>
          <w:color w:val="000000"/>
          <w:szCs w:val="20"/>
        </w:rPr>
        <w:t xml:space="preserve"> </w:t>
      </w:r>
      <w:proofErr w:type="spellStart"/>
      <w:r w:rsidR="00D57400" w:rsidRPr="00E16672">
        <w:rPr>
          <w:rFonts w:ascii="Times New Roman" w:hAnsi="Times New Roman"/>
          <w:color w:val="000000"/>
          <w:szCs w:val="20"/>
        </w:rPr>
        <w:t>електронного</w:t>
      </w:r>
      <w:proofErr w:type="spellEnd"/>
      <w:r w:rsidR="00D57400" w:rsidRPr="00E16672">
        <w:rPr>
          <w:rFonts w:ascii="Times New Roman" w:hAnsi="Times New Roman"/>
          <w:color w:val="000000"/>
          <w:szCs w:val="20"/>
        </w:rPr>
        <w:t xml:space="preserve"> </w:t>
      </w:r>
      <w:proofErr w:type="spellStart"/>
      <w:r w:rsidR="00D57400" w:rsidRPr="00E16672">
        <w:rPr>
          <w:rFonts w:ascii="Times New Roman" w:hAnsi="Times New Roman"/>
          <w:color w:val="000000"/>
          <w:szCs w:val="20"/>
        </w:rPr>
        <w:t>підпису</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що</w:t>
      </w:r>
      <w:proofErr w:type="spellEnd"/>
      <w:r w:rsidRPr="00E16672">
        <w:rPr>
          <w:rFonts w:ascii="Times New Roman" w:eastAsia="Arial Unicode MS" w:hAnsi="Times New Roman"/>
          <w:szCs w:val="20"/>
        </w:rPr>
        <w:t xml:space="preserve"> за </w:t>
      </w:r>
      <w:proofErr w:type="spellStart"/>
      <w:r w:rsidRPr="00E16672">
        <w:rPr>
          <w:rFonts w:ascii="Times New Roman" w:eastAsia="Arial Unicode MS" w:hAnsi="Times New Roman"/>
          <w:szCs w:val="20"/>
        </w:rPr>
        <w:t>правовим</w:t>
      </w:r>
      <w:proofErr w:type="spellEnd"/>
      <w:r w:rsidRPr="00E16672">
        <w:rPr>
          <w:rFonts w:ascii="Times New Roman" w:eastAsia="Arial Unicode MS" w:hAnsi="Times New Roman"/>
          <w:szCs w:val="20"/>
        </w:rPr>
        <w:t xml:space="preserve"> статусом </w:t>
      </w:r>
      <w:proofErr w:type="spellStart"/>
      <w:r w:rsidRPr="00E16672">
        <w:rPr>
          <w:rFonts w:ascii="Times New Roman" w:eastAsia="Arial Unicode MS" w:hAnsi="Times New Roman"/>
          <w:szCs w:val="20"/>
        </w:rPr>
        <w:t>прирівнюється</w:t>
      </w:r>
      <w:proofErr w:type="spellEnd"/>
      <w:r w:rsidRPr="00E16672">
        <w:rPr>
          <w:rFonts w:ascii="Times New Roman" w:eastAsia="Arial Unicode MS" w:hAnsi="Times New Roman"/>
          <w:szCs w:val="20"/>
        </w:rPr>
        <w:t xml:space="preserve"> до печатки </w:t>
      </w:r>
      <w:proofErr w:type="spellStart"/>
      <w:r w:rsidRPr="00E16672">
        <w:rPr>
          <w:rFonts w:ascii="Times New Roman" w:eastAsia="Arial Unicode MS" w:hAnsi="Times New Roman"/>
          <w:szCs w:val="20"/>
        </w:rPr>
        <w:t>юридичної</w:t>
      </w:r>
      <w:proofErr w:type="spellEnd"/>
      <w:r w:rsidRPr="00E16672">
        <w:rPr>
          <w:rFonts w:ascii="Times New Roman" w:eastAsia="Arial Unicode MS" w:hAnsi="Times New Roman"/>
          <w:szCs w:val="20"/>
        </w:rPr>
        <w:t xml:space="preserve"> особи. </w:t>
      </w:r>
      <w:proofErr w:type="spellStart"/>
      <w:r w:rsidRPr="00E16672">
        <w:rPr>
          <w:rFonts w:ascii="Times New Roman" w:eastAsia="Arial Unicode MS" w:hAnsi="Times New Roman"/>
          <w:szCs w:val="20"/>
        </w:rPr>
        <w:t>Документи</w:t>
      </w:r>
      <w:proofErr w:type="spellEnd"/>
      <w:r w:rsidRPr="00E16672">
        <w:rPr>
          <w:rFonts w:ascii="Times New Roman" w:eastAsia="Arial Unicode MS" w:hAnsi="Times New Roman"/>
          <w:szCs w:val="20"/>
        </w:rPr>
        <w:t xml:space="preserve"> для оплати </w:t>
      </w:r>
      <w:proofErr w:type="spellStart"/>
      <w:r w:rsidRPr="00E16672">
        <w:rPr>
          <w:rFonts w:ascii="Times New Roman" w:eastAsia="Arial Unicode MS" w:hAnsi="Times New Roman"/>
          <w:szCs w:val="20"/>
        </w:rPr>
        <w:t>можуть</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надаватись</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особисто</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засобами</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електронної</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пошти</w:t>
      </w:r>
      <w:proofErr w:type="spellEnd"/>
      <w:r w:rsidRPr="00E16672">
        <w:rPr>
          <w:rFonts w:ascii="Times New Roman" w:eastAsia="Arial Unicode MS" w:hAnsi="Times New Roman"/>
          <w:szCs w:val="20"/>
        </w:rPr>
        <w:t xml:space="preserve">, факсом, </w:t>
      </w:r>
      <w:proofErr w:type="spellStart"/>
      <w:r w:rsidRPr="00E16672">
        <w:rPr>
          <w:rFonts w:ascii="Times New Roman" w:eastAsia="Arial Unicode MS" w:hAnsi="Times New Roman"/>
          <w:szCs w:val="20"/>
        </w:rPr>
        <w:t>тощо</w:t>
      </w:r>
      <w:proofErr w:type="spellEnd"/>
      <w:r w:rsidRPr="00E16672">
        <w:rPr>
          <w:rFonts w:ascii="Times New Roman" w:eastAsia="Arial Unicode MS" w:hAnsi="Times New Roman"/>
          <w:szCs w:val="20"/>
        </w:rPr>
        <w:t xml:space="preserve">. У </w:t>
      </w:r>
      <w:proofErr w:type="spellStart"/>
      <w:r w:rsidRPr="00E16672">
        <w:rPr>
          <w:rFonts w:ascii="Times New Roman" w:eastAsia="Arial Unicode MS" w:hAnsi="Times New Roman"/>
          <w:szCs w:val="20"/>
        </w:rPr>
        <w:t>разі</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несплати</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Емітентом</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заборгованості</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протягом</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i/>
          <w:szCs w:val="20"/>
        </w:rPr>
        <w:t>п’яти</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робочих</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днів</w:t>
      </w:r>
      <w:proofErr w:type="spellEnd"/>
      <w:r w:rsidRPr="00E16672">
        <w:rPr>
          <w:rFonts w:ascii="Times New Roman" w:eastAsia="Arial Unicode MS" w:hAnsi="Times New Roman"/>
          <w:szCs w:val="20"/>
        </w:rPr>
        <w:t xml:space="preserve"> з моменту </w:t>
      </w:r>
      <w:proofErr w:type="spellStart"/>
      <w:r w:rsidRPr="00E16672">
        <w:rPr>
          <w:rFonts w:ascii="Times New Roman" w:eastAsia="Arial Unicode MS" w:hAnsi="Times New Roman"/>
          <w:szCs w:val="20"/>
        </w:rPr>
        <w:t>отримання</w:t>
      </w:r>
      <w:proofErr w:type="spellEnd"/>
      <w:r w:rsidRPr="00E16672">
        <w:rPr>
          <w:rFonts w:ascii="Times New Roman" w:eastAsia="Arial Unicode MS" w:hAnsi="Times New Roman"/>
          <w:szCs w:val="20"/>
        </w:rPr>
        <w:t xml:space="preserve"> Депозитарною </w:t>
      </w:r>
      <w:proofErr w:type="spellStart"/>
      <w:r w:rsidRPr="00E16672">
        <w:rPr>
          <w:rFonts w:ascii="Times New Roman" w:eastAsia="Arial Unicode MS" w:hAnsi="Times New Roman"/>
          <w:szCs w:val="20"/>
        </w:rPr>
        <w:t>установою</w:t>
      </w:r>
      <w:proofErr w:type="spellEnd"/>
      <w:r w:rsidRPr="00E16672">
        <w:rPr>
          <w:rFonts w:ascii="Times New Roman" w:eastAsia="Arial Unicode MS" w:hAnsi="Times New Roman"/>
          <w:szCs w:val="20"/>
        </w:rPr>
        <w:t xml:space="preserve"> нового </w:t>
      </w:r>
      <w:proofErr w:type="spellStart"/>
      <w:r w:rsidRPr="00E16672">
        <w:rPr>
          <w:rFonts w:ascii="Times New Roman" w:eastAsia="Arial Unicode MS" w:hAnsi="Times New Roman"/>
          <w:szCs w:val="20"/>
        </w:rPr>
        <w:t>розпорядження</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Депозитарна</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установа</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повертає</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надані</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документи</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ініціатору</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розпорядження</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із</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зазначенням</w:t>
      </w:r>
      <w:proofErr w:type="spellEnd"/>
      <w:r w:rsidRPr="00E16672">
        <w:rPr>
          <w:rFonts w:ascii="Times New Roman" w:eastAsia="Arial Unicode MS" w:hAnsi="Times New Roman"/>
          <w:szCs w:val="20"/>
        </w:rPr>
        <w:t xml:space="preserve"> причини </w:t>
      </w:r>
      <w:r w:rsidR="00022F5F">
        <w:rPr>
          <w:rFonts w:ascii="Times New Roman" w:eastAsia="Arial Unicode MS" w:hAnsi="Times New Roman"/>
          <w:szCs w:val="20"/>
        </w:rPr>
        <w:t>"</w:t>
      </w:r>
      <w:proofErr w:type="spellStart"/>
      <w:r w:rsidRPr="00E16672">
        <w:rPr>
          <w:rFonts w:ascii="Times New Roman" w:eastAsia="Arial Unicode MS" w:hAnsi="Times New Roman"/>
          <w:szCs w:val="20"/>
        </w:rPr>
        <w:t>несплата</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послуг</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Депозитарної</w:t>
      </w:r>
      <w:proofErr w:type="spellEnd"/>
      <w:r w:rsidRPr="00E16672">
        <w:rPr>
          <w:rFonts w:ascii="Times New Roman" w:eastAsia="Arial Unicode MS" w:hAnsi="Times New Roman"/>
          <w:szCs w:val="20"/>
        </w:rPr>
        <w:t xml:space="preserve"> установи </w:t>
      </w:r>
      <w:proofErr w:type="spellStart"/>
      <w:r w:rsidRPr="00E16672">
        <w:rPr>
          <w:rFonts w:ascii="Times New Roman" w:eastAsia="Arial Unicode MS" w:hAnsi="Times New Roman"/>
          <w:szCs w:val="20"/>
        </w:rPr>
        <w:t>або</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наявність</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заборгованості</w:t>
      </w:r>
      <w:proofErr w:type="spellEnd"/>
      <w:r w:rsidRPr="00E16672">
        <w:rPr>
          <w:rFonts w:ascii="Times New Roman" w:eastAsia="Arial Unicode MS" w:hAnsi="Times New Roman"/>
          <w:szCs w:val="20"/>
        </w:rPr>
        <w:t xml:space="preserve"> за </w:t>
      </w:r>
      <w:proofErr w:type="spellStart"/>
      <w:r w:rsidRPr="00E16672">
        <w:rPr>
          <w:rFonts w:ascii="Times New Roman" w:eastAsia="Arial Unicode MS" w:hAnsi="Times New Roman"/>
          <w:szCs w:val="20"/>
        </w:rPr>
        <w:t>надані</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депозитарні</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послуги</w:t>
      </w:r>
      <w:proofErr w:type="spellEnd"/>
      <w:r w:rsidR="00022F5F">
        <w:rPr>
          <w:rFonts w:ascii="Times New Roman" w:eastAsia="Arial Unicode MS" w:hAnsi="Times New Roman"/>
          <w:szCs w:val="20"/>
        </w:rPr>
        <w:t>"</w:t>
      </w:r>
      <w:r w:rsidRPr="00E16672">
        <w:rPr>
          <w:rFonts w:ascii="Times New Roman" w:eastAsia="Arial Unicode MS" w:hAnsi="Times New Roman"/>
          <w:szCs w:val="20"/>
        </w:rPr>
        <w:t xml:space="preserve">. Разом </w:t>
      </w:r>
      <w:proofErr w:type="spellStart"/>
      <w:r w:rsidRPr="00E16672">
        <w:rPr>
          <w:rFonts w:ascii="Times New Roman" w:eastAsia="Arial Unicode MS" w:hAnsi="Times New Roman"/>
          <w:szCs w:val="20"/>
        </w:rPr>
        <w:t>із</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вищевказаним</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повідомленням</w:t>
      </w:r>
      <w:proofErr w:type="spellEnd"/>
      <w:r w:rsidRPr="00E16672">
        <w:rPr>
          <w:rFonts w:ascii="Times New Roman" w:eastAsia="Arial Unicode MS" w:hAnsi="Times New Roman"/>
          <w:szCs w:val="20"/>
        </w:rPr>
        <w:t xml:space="preserve"> про </w:t>
      </w:r>
      <w:proofErr w:type="spellStart"/>
      <w:r w:rsidRPr="00E16672">
        <w:rPr>
          <w:rFonts w:ascii="Times New Roman" w:eastAsia="Arial Unicode MS" w:hAnsi="Times New Roman"/>
          <w:szCs w:val="20"/>
        </w:rPr>
        <w:t>відмову</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Депозитарна</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установа</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надає</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уповноваженій</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особі</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Емітента</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оригінал</w:t>
      </w:r>
      <w:proofErr w:type="spellEnd"/>
      <w:r w:rsidRPr="00E16672">
        <w:rPr>
          <w:rFonts w:ascii="Times New Roman" w:eastAsia="Arial Unicode MS" w:hAnsi="Times New Roman"/>
          <w:szCs w:val="20"/>
        </w:rPr>
        <w:t xml:space="preserve"> документа для </w:t>
      </w:r>
      <w:proofErr w:type="spellStart"/>
      <w:r w:rsidRPr="00E16672">
        <w:rPr>
          <w:rFonts w:ascii="Times New Roman" w:eastAsia="Arial Unicode MS" w:hAnsi="Times New Roman"/>
          <w:szCs w:val="20"/>
        </w:rPr>
        <w:t>сплати</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депозитарних</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послуг</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або</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заборгованості</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рахунок</w:t>
      </w:r>
      <w:proofErr w:type="spellEnd"/>
      <w:r w:rsidRPr="00E16672">
        <w:rPr>
          <w:rFonts w:ascii="Times New Roman" w:eastAsia="Arial Unicode MS" w:hAnsi="Times New Roman"/>
          <w:szCs w:val="20"/>
        </w:rPr>
        <w:t xml:space="preserve">, акт </w:t>
      </w:r>
      <w:proofErr w:type="spellStart"/>
      <w:r w:rsidRPr="00E16672">
        <w:rPr>
          <w:rFonts w:ascii="Times New Roman" w:eastAsia="Arial Unicode MS" w:hAnsi="Times New Roman"/>
          <w:szCs w:val="20"/>
        </w:rPr>
        <w:t>виконаних</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операцій</w:t>
      </w:r>
      <w:proofErr w:type="spellEnd"/>
      <w:r w:rsidRPr="00E16672">
        <w:rPr>
          <w:rFonts w:ascii="Times New Roman" w:eastAsia="Arial Unicode MS" w:hAnsi="Times New Roman"/>
          <w:szCs w:val="20"/>
        </w:rPr>
        <w:t xml:space="preserve"> Депозитарною </w:t>
      </w:r>
      <w:proofErr w:type="spellStart"/>
      <w:r w:rsidRPr="00E16672">
        <w:rPr>
          <w:rFonts w:ascii="Times New Roman" w:eastAsia="Arial Unicode MS" w:hAnsi="Times New Roman"/>
          <w:szCs w:val="20"/>
        </w:rPr>
        <w:t>установою</w:t>
      </w:r>
      <w:proofErr w:type="spellEnd"/>
      <w:r w:rsidRPr="00E16672">
        <w:rPr>
          <w:rFonts w:ascii="Times New Roman" w:eastAsia="Arial Unicode MS" w:hAnsi="Times New Roman"/>
          <w:szCs w:val="20"/>
        </w:rPr>
        <w:t xml:space="preserve">, акт </w:t>
      </w:r>
      <w:proofErr w:type="spellStart"/>
      <w:r w:rsidRPr="00E16672">
        <w:rPr>
          <w:rFonts w:ascii="Times New Roman" w:eastAsia="Arial Unicode MS" w:hAnsi="Times New Roman"/>
          <w:szCs w:val="20"/>
        </w:rPr>
        <w:t>звірки</w:t>
      </w:r>
      <w:proofErr w:type="spellEnd"/>
      <w:r w:rsidRPr="00E16672">
        <w:rPr>
          <w:rFonts w:ascii="Times New Roman" w:eastAsia="Arial Unicode MS" w:hAnsi="Times New Roman"/>
          <w:szCs w:val="20"/>
        </w:rPr>
        <w:t>).</w:t>
      </w:r>
    </w:p>
    <w:p w14:paraId="0BD7A119" w14:textId="77777777" w:rsidR="009A7EA8" w:rsidRPr="00E16672" w:rsidRDefault="009A7EA8" w:rsidP="009A7EA8">
      <w:pPr>
        <w:pStyle w:val="1"/>
        <w:widowControl w:val="0"/>
        <w:tabs>
          <w:tab w:val="left" w:pos="0"/>
          <w:tab w:val="left" w:pos="432"/>
        </w:tabs>
        <w:ind w:left="432" w:hanging="432"/>
        <w:rPr>
          <w:rFonts w:ascii="Times New Roman" w:hAnsi="Times New Roman" w:cs="Times New Roman"/>
          <w:sz w:val="20"/>
          <w:szCs w:val="20"/>
        </w:rPr>
      </w:pPr>
      <w:r w:rsidRPr="00E16672">
        <w:rPr>
          <w:rFonts w:ascii="Times New Roman" w:hAnsi="Times New Roman" w:cs="Times New Roman"/>
          <w:sz w:val="20"/>
          <w:szCs w:val="20"/>
        </w:rPr>
        <w:t>5. ВІДПОВІДАЛЬНІСТЬ СТОРІН</w:t>
      </w:r>
    </w:p>
    <w:p w14:paraId="6A4BFE3E" w14:textId="77777777" w:rsidR="009A7EA8" w:rsidRPr="00E16672" w:rsidRDefault="009A7EA8" w:rsidP="009A7EA8">
      <w:pPr>
        <w:ind w:firstLine="709"/>
        <w:rPr>
          <w:rFonts w:ascii="Times New Roman" w:eastAsia="Arial Unicode MS" w:hAnsi="Times New Roman"/>
          <w:szCs w:val="20"/>
        </w:rPr>
      </w:pPr>
      <w:r w:rsidRPr="00E16672">
        <w:rPr>
          <w:rFonts w:ascii="Times New Roman" w:eastAsia="Arial Unicode MS" w:hAnsi="Times New Roman"/>
          <w:szCs w:val="20"/>
        </w:rPr>
        <w:t xml:space="preserve">5.1. </w:t>
      </w:r>
      <w:proofErr w:type="spellStart"/>
      <w:r w:rsidRPr="00E16672">
        <w:rPr>
          <w:rFonts w:ascii="Times New Roman" w:eastAsia="Arial Unicode MS" w:hAnsi="Times New Roman"/>
          <w:szCs w:val="20"/>
        </w:rPr>
        <w:t>Кожна</w:t>
      </w:r>
      <w:proofErr w:type="spellEnd"/>
      <w:r w:rsidRPr="00E16672">
        <w:rPr>
          <w:rFonts w:ascii="Times New Roman" w:eastAsia="Arial Unicode MS" w:hAnsi="Times New Roman"/>
          <w:szCs w:val="20"/>
        </w:rPr>
        <w:t xml:space="preserve"> Сторона </w:t>
      </w:r>
      <w:proofErr w:type="spellStart"/>
      <w:r w:rsidRPr="00E16672">
        <w:rPr>
          <w:rFonts w:ascii="Times New Roman" w:eastAsia="Arial Unicode MS" w:hAnsi="Times New Roman"/>
          <w:szCs w:val="20"/>
        </w:rPr>
        <w:t>зобов`язується</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виконувати</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свої</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обов`язки</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належним</w:t>
      </w:r>
      <w:proofErr w:type="spellEnd"/>
      <w:r w:rsidRPr="00E16672">
        <w:rPr>
          <w:rFonts w:ascii="Times New Roman" w:eastAsia="Arial Unicode MS" w:hAnsi="Times New Roman"/>
          <w:szCs w:val="20"/>
        </w:rPr>
        <w:t xml:space="preserve"> чином, </w:t>
      </w:r>
      <w:proofErr w:type="spellStart"/>
      <w:r w:rsidRPr="00E16672">
        <w:rPr>
          <w:rFonts w:ascii="Times New Roman" w:eastAsia="Arial Unicode MS" w:hAnsi="Times New Roman"/>
          <w:szCs w:val="20"/>
        </w:rPr>
        <w:t>сприяти</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іншій</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Стороні</w:t>
      </w:r>
      <w:proofErr w:type="spellEnd"/>
      <w:r w:rsidRPr="00E16672">
        <w:rPr>
          <w:rFonts w:ascii="Times New Roman" w:eastAsia="Arial Unicode MS" w:hAnsi="Times New Roman"/>
          <w:szCs w:val="20"/>
        </w:rPr>
        <w:t xml:space="preserve"> у </w:t>
      </w:r>
      <w:proofErr w:type="spellStart"/>
      <w:r w:rsidRPr="00E16672">
        <w:rPr>
          <w:rFonts w:ascii="Times New Roman" w:eastAsia="Arial Unicode MS" w:hAnsi="Times New Roman"/>
          <w:szCs w:val="20"/>
        </w:rPr>
        <w:t>їх</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виконанні</w:t>
      </w:r>
      <w:proofErr w:type="spellEnd"/>
      <w:r w:rsidRPr="00E16672">
        <w:rPr>
          <w:rFonts w:ascii="Times New Roman" w:eastAsia="Arial Unicode MS" w:hAnsi="Times New Roman"/>
          <w:szCs w:val="20"/>
        </w:rPr>
        <w:t>.</w:t>
      </w:r>
    </w:p>
    <w:p w14:paraId="00657947" w14:textId="77777777" w:rsidR="009A7EA8" w:rsidRPr="00E16672" w:rsidRDefault="009A7EA8" w:rsidP="009A7EA8">
      <w:pPr>
        <w:ind w:firstLine="709"/>
        <w:rPr>
          <w:rFonts w:ascii="Times New Roman" w:eastAsia="Arial Unicode MS" w:hAnsi="Times New Roman"/>
          <w:szCs w:val="20"/>
        </w:rPr>
      </w:pPr>
      <w:r w:rsidRPr="00E16672">
        <w:rPr>
          <w:rFonts w:ascii="Times New Roman" w:eastAsia="Arial Unicode MS" w:hAnsi="Times New Roman"/>
          <w:szCs w:val="20"/>
        </w:rPr>
        <w:t xml:space="preserve">5.2. У </w:t>
      </w:r>
      <w:proofErr w:type="spellStart"/>
      <w:r w:rsidRPr="00E16672">
        <w:rPr>
          <w:rFonts w:ascii="Times New Roman" w:eastAsia="Arial Unicode MS" w:hAnsi="Times New Roman"/>
          <w:szCs w:val="20"/>
        </w:rPr>
        <w:t>разі</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невиконання</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чи</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неналежного</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виконання</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однією</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зі</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Сторін</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своїх</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зобов’язань</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передбачених</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цим</w:t>
      </w:r>
      <w:proofErr w:type="spellEnd"/>
      <w:r w:rsidRPr="00E16672">
        <w:rPr>
          <w:rFonts w:ascii="Times New Roman" w:eastAsia="Arial Unicode MS" w:hAnsi="Times New Roman"/>
          <w:szCs w:val="20"/>
        </w:rPr>
        <w:t xml:space="preserve"> Договором </w:t>
      </w:r>
      <w:proofErr w:type="spellStart"/>
      <w:r w:rsidRPr="00E16672">
        <w:rPr>
          <w:rFonts w:ascii="Times New Roman" w:eastAsia="Arial Unicode MS" w:hAnsi="Times New Roman"/>
          <w:szCs w:val="20"/>
        </w:rPr>
        <w:t>або</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чинним</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законодавством</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України</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винна</w:t>
      </w:r>
      <w:proofErr w:type="spellEnd"/>
      <w:r w:rsidRPr="00E16672">
        <w:rPr>
          <w:rFonts w:ascii="Times New Roman" w:eastAsia="Arial Unicode MS" w:hAnsi="Times New Roman"/>
          <w:szCs w:val="20"/>
        </w:rPr>
        <w:t xml:space="preserve"> Сторона </w:t>
      </w:r>
      <w:proofErr w:type="spellStart"/>
      <w:r w:rsidRPr="00E16672">
        <w:rPr>
          <w:rFonts w:ascii="Times New Roman" w:eastAsia="Arial Unicode MS" w:hAnsi="Times New Roman"/>
          <w:szCs w:val="20"/>
        </w:rPr>
        <w:t>несе</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майнову</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відповідальність</w:t>
      </w:r>
      <w:proofErr w:type="spellEnd"/>
      <w:r w:rsidRPr="00E16672">
        <w:rPr>
          <w:rFonts w:ascii="Times New Roman" w:eastAsia="Arial Unicode MS" w:hAnsi="Times New Roman"/>
          <w:szCs w:val="20"/>
        </w:rPr>
        <w:t xml:space="preserve"> за </w:t>
      </w:r>
      <w:proofErr w:type="spellStart"/>
      <w:r w:rsidRPr="00E16672">
        <w:rPr>
          <w:rFonts w:ascii="Times New Roman" w:eastAsia="Arial Unicode MS" w:hAnsi="Times New Roman"/>
          <w:szCs w:val="20"/>
        </w:rPr>
        <w:t>завдані</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збитки</w:t>
      </w:r>
      <w:proofErr w:type="spellEnd"/>
      <w:r w:rsidRPr="00E16672">
        <w:rPr>
          <w:rFonts w:ascii="Times New Roman" w:eastAsia="Arial Unicode MS" w:hAnsi="Times New Roman"/>
          <w:szCs w:val="20"/>
        </w:rPr>
        <w:t>.</w:t>
      </w:r>
    </w:p>
    <w:p w14:paraId="4FEA49B8" w14:textId="77777777" w:rsidR="009A7EA8" w:rsidRPr="00E16672" w:rsidRDefault="009A7EA8" w:rsidP="009A7EA8">
      <w:pPr>
        <w:ind w:firstLine="709"/>
        <w:rPr>
          <w:rFonts w:ascii="Times New Roman" w:eastAsia="Arial Unicode MS" w:hAnsi="Times New Roman"/>
          <w:szCs w:val="20"/>
        </w:rPr>
      </w:pPr>
      <w:r w:rsidRPr="00E16672">
        <w:rPr>
          <w:rFonts w:ascii="Times New Roman" w:eastAsia="Arial Unicode MS" w:hAnsi="Times New Roman"/>
          <w:szCs w:val="20"/>
        </w:rPr>
        <w:t xml:space="preserve">5.3. Сторона, яка порушила </w:t>
      </w:r>
      <w:proofErr w:type="spellStart"/>
      <w:r w:rsidRPr="00E16672">
        <w:rPr>
          <w:rFonts w:ascii="Times New Roman" w:eastAsia="Arial Unicode MS" w:hAnsi="Times New Roman"/>
          <w:szCs w:val="20"/>
        </w:rPr>
        <w:t>зобов’язання</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відповідно</w:t>
      </w:r>
      <w:proofErr w:type="spellEnd"/>
      <w:r w:rsidRPr="00E16672">
        <w:rPr>
          <w:rFonts w:ascii="Times New Roman" w:eastAsia="Arial Unicode MS" w:hAnsi="Times New Roman"/>
          <w:szCs w:val="20"/>
        </w:rPr>
        <w:t xml:space="preserve"> до </w:t>
      </w:r>
      <w:proofErr w:type="spellStart"/>
      <w:r w:rsidRPr="00E16672">
        <w:rPr>
          <w:rFonts w:ascii="Times New Roman" w:eastAsia="Arial Unicode MS" w:hAnsi="Times New Roman"/>
          <w:szCs w:val="20"/>
        </w:rPr>
        <w:t>цього</w:t>
      </w:r>
      <w:proofErr w:type="spellEnd"/>
      <w:r w:rsidRPr="00E16672">
        <w:rPr>
          <w:rFonts w:ascii="Times New Roman" w:eastAsia="Arial Unicode MS" w:hAnsi="Times New Roman"/>
          <w:szCs w:val="20"/>
        </w:rPr>
        <w:t xml:space="preserve"> Договору, повинна </w:t>
      </w:r>
      <w:proofErr w:type="spellStart"/>
      <w:r w:rsidRPr="00E16672">
        <w:rPr>
          <w:rFonts w:ascii="Times New Roman" w:eastAsia="Arial Unicode MS" w:hAnsi="Times New Roman"/>
          <w:szCs w:val="20"/>
        </w:rPr>
        <w:t>усунути</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ці</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порушення</w:t>
      </w:r>
      <w:proofErr w:type="spellEnd"/>
      <w:r w:rsidRPr="00E16672">
        <w:rPr>
          <w:rFonts w:ascii="Times New Roman" w:eastAsia="Arial Unicode MS" w:hAnsi="Times New Roman"/>
          <w:szCs w:val="20"/>
        </w:rPr>
        <w:t xml:space="preserve"> в </w:t>
      </w:r>
      <w:proofErr w:type="spellStart"/>
      <w:r w:rsidRPr="00E16672">
        <w:rPr>
          <w:rFonts w:ascii="Times New Roman" w:eastAsia="Arial Unicode MS" w:hAnsi="Times New Roman"/>
          <w:szCs w:val="20"/>
        </w:rPr>
        <w:t>найкоротший</w:t>
      </w:r>
      <w:proofErr w:type="spellEnd"/>
      <w:r w:rsidRPr="00E16672">
        <w:rPr>
          <w:rFonts w:ascii="Times New Roman" w:eastAsia="Arial Unicode MS" w:hAnsi="Times New Roman"/>
          <w:szCs w:val="20"/>
        </w:rPr>
        <w:t xml:space="preserve"> строк.</w:t>
      </w:r>
    </w:p>
    <w:p w14:paraId="6A1B0922" w14:textId="77777777" w:rsidR="009A7EA8" w:rsidRPr="00E16672" w:rsidRDefault="009A7EA8" w:rsidP="009A7EA8">
      <w:pPr>
        <w:ind w:left="567" w:firstLine="142"/>
        <w:rPr>
          <w:rFonts w:ascii="Times New Roman" w:eastAsia="Arial Unicode MS" w:hAnsi="Times New Roman"/>
          <w:szCs w:val="20"/>
        </w:rPr>
      </w:pPr>
      <w:r w:rsidRPr="00E16672">
        <w:rPr>
          <w:rFonts w:ascii="Times New Roman" w:eastAsia="Arial Unicode MS" w:hAnsi="Times New Roman"/>
          <w:szCs w:val="20"/>
        </w:rPr>
        <w:t xml:space="preserve">5.4. </w:t>
      </w:r>
      <w:proofErr w:type="spellStart"/>
      <w:r w:rsidRPr="00E16672">
        <w:rPr>
          <w:rFonts w:ascii="Times New Roman" w:eastAsia="Arial Unicode MS" w:hAnsi="Times New Roman"/>
          <w:szCs w:val="20"/>
        </w:rPr>
        <w:t>Депозитарна</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установа</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несе</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відповідальність</w:t>
      </w:r>
      <w:proofErr w:type="spellEnd"/>
      <w:r w:rsidRPr="00E16672">
        <w:rPr>
          <w:rFonts w:ascii="Times New Roman" w:eastAsia="Arial Unicode MS" w:hAnsi="Times New Roman"/>
          <w:szCs w:val="20"/>
        </w:rPr>
        <w:t>:</w:t>
      </w:r>
    </w:p>
    <w:p w14:paraId="2A3A5E28" w14:textId="77777777" w:rsidR="009A7EA8" w:rsidRPr="00FA3078" w:rsidRDefault="009A7EA8" w:rsidP="00FA3078">
      <w:pPr>
        <w:pStyle w:val="aff5"/>
        <w:widowControl w:val="0"/>
        <w:numPr>
          <w:ilvl w:val="0"/>
          <w:numId w:val="45"/>
        </w:numPr>
        <w:tabs>
          <w:tab w:val="left" w:pos="872"/>
          <w:tab w:val="left" w:pos="1516"/>
        </w:tabs>
        <w:ind w:left="709" w:firstLine="0"/>
        <w:rPr>
          <w:rFonts w:ascii="Times New Roman" w:eastAsia="Arial Unicode MS" w:hAnsi="Times New Roman"/>
          <w:szCs w:val="20"/>
        </w:rPr>
      </w:pPr>
      <w:r w:rsidRPr="00FA3078">
        <w:rPr>
          <w:rFonts w:ascii="Times New Roman" w:eastAsia="Arial Unicode MS" w:hAnsi="Times New Roman"/>
          <w:szCs w:val="20"/>
        </w:rPr>
        <w:t xml:space="preserve">- за </w:t>
      </w:r>
      <w:proofErr w:type="spellStart"/>
      <w:r w:rsidRPr="00FA3078">
        <w:rPr>
          <w:rFonts w:ascii="Times New Roman" w:eastAsia="Arial Unicode MS" w:hAnsi="Times New Roman"/>
          <w:szCs w:val="20"/>
        </w:rPr>
        <w:t>забезпечення</w:t>
      </w:r>
      <w:proofErr w:type="spellEnd"/>
      <w:r w:rsidRPr="00FA3078">
        <w:rPr>
          <w:rFonts w:ascii="Times New Roman" w:eastAsia="Arial Unicode MS" w:hAnsi="Times New Roman"/>
          <w:szCs w:val="20"/>
        </w:rPr>
        <w:t xml:space="preserve"> режиму </w:t>
      </w:r>
      <w:proofErr w:type="spellStart"/>
      <w:r w:rsidRPr="00FA3078">
        <w:rPr>
          <w:rFonts w:ascii="Times New Roman" w:eastAsia="Arial Unicode MS" w:hAnsi="Times New Roman"/>
          <w:szCs w:val="20"/>
        </w:rPr>
        <w:t>конфіденційності</w:t>
      </w:r>
      <w:proofErr w:type="spellEnd"/>
      <w:r w:rsidRPr="00FA3078">
        <w:rPr>
          <w:rFonts w:ascii="Times New Roman" w:eastAsia="Arial Unicode MS" w:hAnsi="Times New Roman"/>
          <w:szCs w:val="20"/>
        </w:rPr>
        <w:t xml:space="preserve"> </w:t>
      </w:r>
      <w:proofErr w:type="spellStart"/>
      <w:r w:rsidRPr="00FA3078">
        <w:rPr>
          <w:rFonts w:ascii="Times New Roman" w:eastAsia="Arial Unicode MS" w:hAnsi="Times New Roman"/>
          <w:szCs w:val="20"/>
        </w:rPr>
        <w:t>щодо</w:t>
      </w:r>
      <w:proofErr w:type="spellEnd"/>
      <w:r w:rsidRPr="00FA3078">
        <w:rPr>
          <w:rFonts w:ascii="Times New Roman" w:eastAsia="Arial Unicode MS" w:hAnsi="Times New Roman"/>
          <w:szCs w:val="20"/>
        </w:rPr>
        <w:t xml:space="preserve"> </w:t>
      </w:r>
      <w:proofErr w:type="spellStart"/>
      <w:r w:rsidRPr="00FA3078">
        <w:rPr>
          <w:rFonts w:ascii="Times New Roman" w:eastAsia="Arial Unicode MS" w:hAnsi="Times New Roman"/>
          <w:szCs w:val="20"/>
        </w:rPr>
        <w:t>даних</w:t>
      </w:r>
      <w:proofErr w:type="spellEnd"/>
      <w:r w:rsidRPr="00FA3078">
        <w:rPr>
          <w:rFonts w:ascii="Times New Roman" w:eastAsia="Arial Unicode MS" w:hAnsi="Times New Roman"/>
          <w:szCs w:val="20"/>
        </w:rPr>
        <w:t xml:space="preserve">, </w:t>
      </w:r>
      <w:proofErr w:type="spellStart"/>
      <w:r w:rsidRPr="00FA3078">
        <w:rPr>
          <w:rFonts w:ascii="Times New Roman" w:eastAsia="Arial Unicode MS" w:hAnsi="Times New Roman"/>
          <w:szCs w:val="20"/>
        </w:rPr>
        <w:t>що</w:t>
      </w:r>
      <w:proofErr w:type="spellEnd"/>
      <w:r w:rsidRPr="00FA3078">
        <w:rPr>
          <w:rFonts w:ascii="Times New Roman" w:eastAsia="Arial Unicode MS" w:hAnsi="Times New Roman"/>
          <w:szCs w:val="20"/>
        </w:rPr>
        <w:t xml:space="preserve"> </w:t>
      </w:r>
      <w:proofErr w:type="spellStart"/>
      <w:r w:rsidRPr="00FA3078">
        <w:rPr>
          <w:rFonts w:ascii="Times New Roman" w:eastAsia="Arial Unicode MS" w:hAnsi="Times New Roman"/>
          <w:szCs w:val="20"/>
        </w:rPr>
        <w:t>містяться</w:t>
      </w:r>
      <w:proofErr w:type="spellEnd"/>
      <w:r w:rsidRPr="00FA3078">
        <w:rPr>
          <w:rFonts w:ascii="Times New Roman" w:eastAsia="Arial Unicode MS" w:hAnsi="Times New Roman"/>
          <w:szCs w:val="20"/>
        </w:rPr>
        <w:t xml:space="preserve"> у </w:t>
      </w:r>
      <w:proofErr w:type="spellStart"/>
      <w:r w:rsidRPr="00FA3078">
        <w:rPr>
          <w:rFonts w:ascii="Times New Roman" w:eastAsia="Arial Unicode MS" w:hAnsi="Times New Roman"/>
          <w:szCs w:val="20"/>
        </w:rPr>
        <w:t>реєстрі</w:t>
      </w:r>
      <w:proofErr w:type="spellEnd"/>
      <w:r w:rsidRPr="00FA3078">
        <w:rPr>
          <w:rFonts w:ascii="Times New Roman" w:eastAsia="Arial Unicode MS" w:hAnsi="Times New Roman"/>
          <w:szCs w:val="20"/>
        </w:rPr>
        <w:t>/</w:t>
      </w:r>
      <w:proofErr w:type="spellStart"/>
      <w:r w:rsidRPr="00FA3078">
        <w:rPr>
          <w:rFonts w:ascii="Times New Roman" w:eastAsia="Arial Unicode MS" w:hAnsi="Times New Roman"/>
          <w:szCs w:val="20"/>
        </w:rPr>
        <w:t>переліку</w:t>
      </w:r>
      <w:proofErr w:type="spellEnd"/>
      <w:r w:rsidRPr="00FA3078">
        <w:rPr>
          <w:rFonts w:ascii="Times New Roman" w:eastAsia="Arial Unicode MS" w:hAnsi="Times New Roman"/>
          <w:szCs w:val="20"/>
        </w:rPr>
        <w:t xml:space="preserve"> </w:t>
      </w:r>
      <w:proofErr w:type="spellStart"/>
      <w:r w:rsidRPr="00FA3078">
        <w:rPr>
          <w:rFonts w:ascii="Times New Roman" w:eastAsia="Arial Unicode MS" w:hAnsi="Times New Roman"/>
          <w:szCs w:val="20"/>
        </w:rPr>
        <w:t>власників</w:t>
      </w:r>
      <w:proofErr w:type="spellEnd"/>
      <w:r w:rsidRPr="00FA3078">
        <w:rPr>
          <w:rFonts w:ascii="Times New Roman" w:eastAsia="Arial Unicode MS" w:hAnsi="Times New Roman"/>
          <w:szCs w:val="20"/>
        </w:rPr>
        <w:t xml:space="preserve"> </w:t>
      </w:r>
      <w:proofErr w:type="spellStart"/>
      <w:r w:rsidRPr="00FA3078">
        <w:rPr>
          <w:rFonts w:ascii="Times New Roman" w:eastAsia="Arial Unicode MS" w:hAnsi="Times New Roman"/>
          <w:szCs w:val="20"/>
        </w:rPr>
        <w:t>іменних</w:t>
      </w:r>
      <w:proofErr w:type="spellEnd"/>
      <w:r w:rsidRPr="00FA3078">
        <w:rPr>
          <w:rFonts w:ascii="Times New Roman" w:eastAsia="Arial Unicode MS" w:hAnsi="Times New Roman"/>
          <w:szCs w:val="20"/>
        </w:rPr>
        <w:t xml:space="preserve"> </w:t>
      </w:r>
      <w:proofErr w:type="spellStart"/>
      <w:r w:rsidRPr="00FA3078">
        <w:rPr>
          <w:rFonts w:ascii="Times New Roman" w:eastAsia="Arial Unicode MS" w:hAnsi="Times New Roman"/>
          <w:szCs w:val="20"/>
        </w:rPr>
        <w:t>цінних</w:t>
      </w:r>
      <w:proofErr w:type="spellEnd"/>
      <w:r w:rsidRPr="00FA3078">
        <w:rPr>
          <w:rFonts w:ascii="Times New Roman" w:eastAsia="Arial Unicode MS" w:hAnsi="Times New Roman"/>
          <w:szCs w:val="20"/>
        </w:rPr>
        <w:t xml:space="preserve"> </w:t>
      </w:r>
      <w:proofErr w:type="spellStart"/>
      <w:r w:rsidRPr="00FA3078">
        <w:rPr>
          <w:rFonts w:ascii="Times New Roman" w:eastAsia="Arial Unicode MS" w:hAnsi="Times New Roman"/>
          <w:szCs w:val="20"/>
        </w:rPr>
        <w:t>паперів</w:t>
      </w:r>
      <w:proofErr w:type="spellEnd"/>
      <w:r w:rsidRPr="00FA3078">
        <w:rPr>
          <w:rFonts w:ascii="Times New Roman" w:eastAsia="Arial Unicode MS" w:hAnsi="Times New Roman"/>
          <w:szCs w:val="20"/>
        </w:rPr>
        <w:t xml:space="preserve">, </w:t>
      </w:r>
      <w:proofErr w:type="spellStart"/>
      <w:r w:rsidRPr="00FA3078">
        <w:rPr>
          <w:rFonts w:ascii="Times New Roman" w:eastAsia="Arial Unicode MS" w:hAnsi="Times New Roman"/>
          <w:szCs w:val="20"/>
        </w:rPr>
        <w:t>довідково-аналітичних</w:t>
      </w:r>
      <w:proofErr w:type="spellEnd"/>
      <w:r w:rsidRPr="00FA3078">
        <w:rPr>
          <w:rFonts w:ascii="Times New Roman" w:eastAsia="Arial Unicode MS" w:hAnsi="Times New Roman"/>
          <w:szCs w:val="20"/>
        </w:rPr>
        <w:t xml:space="preserve"> </w:t>
      </w:r>
      <w:proofErr w:type="spellStart"/>
      <w:r w:rsidRPr="00FA3078">
        <w:rPr>
          <w:rFonts w:ascii="Times New Roman" w:eastAsia="Arial Unicode MS" w:hAnsi="Times New Roman"/>
          <w:szCs w:val="20"/>
        </w:rPr>
        <w:t>матеріалах</w:t>
      </w:r>
      <w:proofErr w:type="spellEnd"/>
      <w:r w:rsidRPr="00FA3078">
        <w:rPr>
          <w:rFonts w:ascii="Times New Roman" w:eastAsia="Arial Unicode MS" w:hAnsi="Times New Roman"/>
          <w:szCs w:val="20"/>
        </w:rPr>
        <w:t xml:space="preserve">, </w:t>
      </w:r>
      <w:proofErr w:type="spellStart"/>
      <w:r w:rsidRPr="00FA3078">
        <w:rPr>
          <w:rFonts w:ascii="Times New Roman" w:eastAsia="Arial Unicode MS" w:hAnsi="Times New Roman"/>
          <w:szCs w:val="20"/>
        </w:rPr>
        <w:t>виписках</w:t>
      </w:r>
      <w:proofErr w:type="spellEnd"/>
      <w:r w:rsidRPr="00FA3078">
        <w:rPr>
          <w:rFonts w:ascii="Times New Roman" w:eastAsia="Arial Unicode MS" w:hAnsi="Times New Roman"/>
          <w:szCs w:val="20"/>
        </w:rPr>
        <w:t xml:space="preserve"> і </w:t>
      </w:r>
      <w:proofErr w:type="spellStart"/>
      <w:r w:rsidRPr="00FA3078">
        <w:rPr>
          <w:rFonts w:ascii="Times New Roman" w:eastAsia="Arial Unicode MS" w:hAnsi="Times New Roman"/>
          <w:szCs w:val="20"/>
        </w:rPr>
        <w:t>інформаційних</w:t>
      </w:r>
      <w:proofErr w:type="spellEnd"/>
      <w:r w:rsidRPr="00FA3078">
        <w:rPr>
          <w:rFonts w:ascii="Times New Roman" w:eastAsia="Arial Unicode MS" w:hAnsi="Times New Roman"/>
          <w:szCs w:val="20"/>
        </w:rPr>
        <w:t xml:space="preserve"> </w:t>
      </w:r>
      <w:proofErr w:type="spellStart"/>
      <w:r w:rsidRPr="00FA3078">
        <w:rPr>
          <w:rFonts w:ascii="Times New Roman" w:eastAsia="Arial Unicode MS" w:hAnsi="Times New Roman"/>
          <w:szCs w:val="20"/>
        </w:rPr>
        <w:t>довідках</w:t>
      </w:r>
      <w:proofErr w:type="spellEnd"/>
      <w:r w:rsidRPr="00FA3078">
        <w:rPr>
          <w:rFonts w:ascii="Times New Roman" w:eastAsia="Arial Unicode MS" w:hAnsi="Times New Roman"/>
          <w:szCs w:val="20"/>
        </w:rPr>
        <w:t xml:space="preserve">, </w:t>
      </w:r>
      <w:proofErr w:type="spellStart"/>
      <w:r w:rsidRPr="00FA3078">
        <w:rPr>
          <w:rFonts w:ascii="Times New Roman" w:eastAsia="Arial Unicode MS" w:hAnsi="Times New Roman"/>
          <w:szCs w:val="20"/>
        </w:rPr>
        <w:t>іншій</w:t>
      </w:r>
      <w:proofErr w:type="spellEnd"/>
      <w:r w:rsidRPr="00FA3078">
        <w:rPr>
          <w:rFonts w:ascii="Times New Roman" w:eastAsia="Arial Unicode MS" w:hAnsi="Times New Roman"/>
          <w:szCs w:val="20"/>
        </w:rPr>
        <w:t xml:space="preserve"> </w:t>
      </w:r>
      <w:proofErr w:type="spellStart"/>
      <w:r w:rsidRPr="00FA3078">
        <w:rPr>
          <w:rFonts w:ascii="Times New Roman" w:eastAsia="Arial Unicode MS" w:hAnsi="Times New Roman"/>
          <w:szCs w:val="20"/>
        </w:rPr>
        <w:t>інформації</w:t>
      </w:r>
      <w:proofErr w:type="spellEnd"/>
      <w:r w:rsidRPr="00FA3078">
        <w:rPr>
          <w:rFonts w:ascii="Times New Roman" w:eastAsia="Arial Unicode MS" w:hAnsi="Times New Roman"/>
          <w:szCs w:val="20"/>
        </w:rPr>
        <w:t xml:space="preserve"> </w:t>
      </w:r>
      <w:proofErr w:type="spellStart"/>
      <w:r w:rsidRPr="00FA3078">
        <w:rPr>
          <w:rFonts w:ascii="Times New Roman" w:eastAsia="Arial Unicode MS" w:hAnsi="Times New Roman"/>
          <w:szCs w:val="20"/>
        </w:rPr>
        <w:t>щодо</w:t>
      </w:r>
      <w:proofErr w:type="spellEnd"/>
      <w:r w:rsidRPr="00FA3078">
        <w:rPr>
          <w:rFonts w:ascii="Times New Roman" w:eastAsia="Arial Unicode MS" w:hAnsi="Times New Roman"/>
          <w:szCs w:val="20"/>
        </w:rPr>
        <w:t xml:space="preserve"> </w:t>
      </w:r>
      <w:proofErr w:type="spellStart"/>
      <w:r w:rsidRPr="00FA3078">
        <w:rPr>
          <w:rFonts w:ascii="Times New Roman" w:eastAsia="Arial Unicode MS" w:hAnsi="Times New Roman"/>
          <w:szCs w:val="20"/>
        </w:rPr>
        <w:t>власників</w:t>
      </w:r>
      <w:proofErr w:type="spellEnd"/>
      <w:r w:rsidRPr="00FA3078">
        <w:rPr>
          <w:rFonts w:ascii="Times New Roman" w:eastAsia="Arial Unicode MS" w:hAnsi="Times New Roman"/>
          <w:szCs w:val="20"/>
        </w:rPr>
        <w:t xml:space="preserve"> </w:t>
      </w:r>
      <w:proofErr w:type="spellStart"/>
      <w:r w:rsidRPr="00FA3078">
        <w:rPr>
          <w:rFonts w:ascii="Times New Roman" w:eastAsia="Arial Unicode MS" w:hAnsi="Times New Roman"/>
          <w:szCs w:val="20"/>
        </w:rPr>
        <w:t>іменних</w:t>
      </w:r>
      <w:proofErr w:type="spellEnd"/>
      <w:r w:rsidRPr="00FA3078">
        <w:rPr>
          <w:rFonts w:ascii="Times New Roman" w:eastAsia="Arial Unicode MS" w:hAnsi="Times New Roman"/>
          <w:szCs w:val="20"/>
        </w:rPr>
        <w:t xml:space="preserve"> </w:t>
      </w:r>
      <w:proofErr w:type="spellStart"/>
      <w:r w:rsidRPr="00FA3078">
        <w:rPr>
          <w:rFonts w:ascii="Times New Roman" w:eastAsia="Arial Unicode MS" w:hAnsi="Times New Roman"/>
          <w:szCs w:val="20"/>
        </w:rPr>
        <w:t>цінних</w:t>
      </w:r>
      <w:proofErr w:type="spellEnd"/>
      <w:r w:rsidRPr="00FA3078">
        <w:rPr>
          <w:rFonts w:ascii="Times New Roman" w:eastAsia="Arial Unicode MS" w:hAnsi="Times New Roman"/>
          <w:szCs w:val="20"/>
        </w:rPr>
        <w:t xml:space="preserve"> </w:t>
      </w:r>
      <w:proofErr w:type="spellStart"/>
      <w:r w:rsidRPr="00FA3078">
        <w:rPr>
          <w:rFonts w:ascii="Times New Roman" w:eastAsia="Arial Unicode MS" w:hAnsi="Times New Roman"/>
          <w:szCs w:val="20"/>
        </w:rPr>
        <w:t>паперів</w:t>
      </w:r>
      <w:proofErr w:type="spellEnd"/>
      <w:r w:rsidRPr="00FA3078">
        <w:rPr>
          <w:rFonts w:ascii="Times New Roman" w:eastAsia="Arial Unicode MS" w:hAnsi="Times New Roman"/>
          <w:szCs w:val="20"/>
        </w:rPr>
        <w:t>;</w:t>
      </w:r>
    </w:p>
    <w:p w14:paraId="1C3AE13A" w14:textId="77777777" w:rsidR="009A7EA8" w:rsidRPr="00FA3078" w:rsidRDefault="009A7EA8" w:rsidP="00FA3078">
      <w:pPr>
        <w:pStyle w:val="aff5"/>
        <w:widowControl w:val="0"/>
        <w:numPr>
          <w:ilvl w:val="0"/>
          <w:numId w:val="45"/>
        </w:numPr>
        <w:tabs>
          <w:tab w:val="left" w:pos="872"/>
          <w:tab w:val="left" w:pos="1516"/>
        </w:tabs>
        <w:ind w:left="709" w:firstLine="0"/>
        <w:rPr>
          <w:rFonts w:ascii="Times New Roman" w:eastAsia="Arial Unicode MS" w:hAnsi="Times New Roman"/>
          <w:szCs w:val="20"/>
        </w:rPr>
      </w:pPr>
      <w:r w:rsidRPr="00FA3078">
        <w:rPr>
          <w:rFonts w:ascii="Times New Roman" w:eastAsia="Arial Unicode MS" w:hAnsi="Times New Roman"/>
          <w:szCs w:val="20"/>
        </w:rPr>
        <w:t xml:space="preserve">- за </w:t>
      </w:r>
      <w:proofErr w:type="spellStart"/>
      <w:r w:rsidRPr="00FA3078">
        <w:rPr>
          <w:rFonts w:ascii="Times New Roman" w:eastAsia="Arial Unicode MS" w:hAnsi="Times New Roman"/>
          <w:szCs w:val="20"/>
        </w:rPr>
        <w:t>підтвердження</w:t>
      </w:r>
      <w:proofErr w:type="spellEnd"/>
      <w:r w:rsidRPr="00FA3078">
        <w:rPr>
          <w:rFonts w:ascii="Times New Roman" w:eastAsia="Arial Unicode MS" w:hAnsi="Times New Roman"/>
          <w:szCs w:val="20"/>
        </w:rPr>
        <w:t xml:space="preserve"> </w:t>
      </w:r>
      <w:proofErr w:type="spellStart"/>
      <w:r w:rsidRPr="00FA3078">
        <w:rPr>
          <w:rFonts w:ascii="Times New Roman" w:eastAsia="Arial Unicode MS" w:hAnsi="Times New Roman"/>
          <w:szCs w:val="20"/>
        </w:rPr>
        <w:t>достовірності</w:t>
      </w:r>
      <w:proofErr w:type="spellEnd"/>
      <w:r w:rsidRPr="00FA3078">
        <w:rPr>
          <w:rFonts w:ascii="Times New Roman" w:eastAsia="Arial Unicode MS" w:hAnsi="Times New Roman"/>
          <w:szCs w:val="20"/>
        </w:rPr>
        <w:t xml:space="preserve"> </w:t>
      </w:r>
      <w:proofErr w:type="spellStart"/>
      <w:r w:rsidRPr="00FA3078">
        <w:rPr>
          <w:rFonts w:ascii="Times New Roman" w:eastAsia="Arial Unicode MS" w:hAnsi="Times New Roman"/>
          <w:szCs w:val="20"/>
        </w:rPr>
        <w:t>підписів</w:t>
      </w:r>
      <w:proofErr w:type="spellEnd"/>
      <w:r w:rsidRPr="00FA3078">
        <w:rPr>
          <w:rFonts w:ascii="Times New Roman" w:eastAsia="Arial Unicode MS" w:hAnsi="Times New Roman"/>
          <w:szCs w:val="20"/>
        </w:rPr>
        <w:t xml:space="preserve"> на </w:t>
      </w:r>
      <w:proofErr w:type="spellStart"/>
      <w:r w:rsidRPr="00FA3078">
        <w:rPr>
          <w:rFonts w:ascii="Times New Roman" w:eastAsia="Arial Unicode MS" w:hAnsi="Times New Roman"/>
          <w:szCs w:val="20"/>
        </w:rPr>
        <w:t>розпорядженнях</w:t>
      </w:r>
      <w:proofErr w:type="spellEnd"/>
      <w:r w:rsidRPr="00FA3078">
        <w:rPr>
          <w:rFonts w:ascii="Times New Roman" w:eastAsia="Arial Unicode MS" w:hAnsi="Times New Roman"/>
          <w:szCs w:val="20"/>
        </w:rPr>
        <w:t xml:space="preserve"> </w:t>
      </w:r>
      <w:proofErr w:type="spellStart"/>
      <w:r w:rsidRPr="00FA3078">
        <w:rPr>
          <w:rFonts w:ascii="Times New Roman" w:eastAsia="Arial Unicode MS" w:hAnsi="Times New Roman"/>
          <w:szCs w:val="20"/>
        </w:rPr>
        <w:t>Емітента</w:t>
      </w:r>
      <w:proofErr w:type="spellEnd"/>
      <w:r w:rsidRPr="00FA3078">
        <w:rPr>
          <w:rFonts w:ascii="Times New Roman" w:eastAsia="Arial Unicode MS" w:hAnsi="Times New Roman"/>
          <w:szCs w:val="20"/>
        </w:rPr>
        <w:t>;</w:t>
      </w:r>
    </w:p>
    <w:p w14:paraId="19DF267E" w14:textId="77777777" w:rsidR="009A7EA8" w:rsidRPr="00FA3078" w:rsidRDefault="009A7EA8" w:rsidP="00FA3078">
      <w:pPr>
        <w:pStyle w:val="aff5"/>
        <w:widowControl w:val="0"/>
        <w:numPr>
          <w:ilvl w:val="0"/>
          <w:numId w:val="45"/>
        </w:numPr>
        <w:tabs>
          <w:tab w:val="left" w:pos="872"/>
          <w:tab w:val="left" w:pos="1516"/>
        </w:tabs>
        <w:ind w:left="709" w:firstLine="0"/>
        <w:rPr>
          <w:rFonts w:ascii="Times New Roman" w:eastAsia="Arial Unicode MS" w:hAnsi="Times New Roman"/>
          <w:szCs w:val="20"/>
        </w:rPr>
      </w:pPr>
      <w:r w:rsidRPr="00FA3078">
        <w:rPr>
          <w:rFonts w:ascii="Times New Roman" w:eastAsia="Arial Unicode MS" w:hAnsi="Times New Roman"/>
          <w:szCs w:val="20"/>
        </w:rPr>
        <w:t xml:space="preserve">- за </w:t>
      </w:r>
      <w:proofErr w:type="spellStart"/>
      <w:r w:rsidRPr="00FA3078">
        <w:rPr>
          <w:rFonts w:ascii="Times New Roman" w:eastAsia="Arial Unicode MS" w:hAnsi="Times New Roman"/>
          <w:szCs w:val="20"/>
        </w:rPr>
        <w:t>перевірку</w:t>
      </w:r>
      <w:proofErr w:type="spellEnd"/>
      <w:r w:rsidRPr="00FA3078">
        <w:rPr>
          <w:rFonts w:ascii="Times New Roman" w:eastAsia="Arial Unicode MS" w:hAnsi="Times New Roman"/>
          <w:szCs w:val="20"/>
        </w:rPr>
        <w:t xml:space="preserve"> </w:t>
      </w:r>
      <w:proofErr w:type="spellStart"/>
      <w:r w:rsidRPr="00FA3078">
        <w:rPr>
          <w:rFonts w:ascii="Times New Roman" w:eastAsia="Arial Unicode MS" w:hAnsi="Times New Roman"/>
          <w:szCs w:val="20"/>
        </w:rPr>
        <w:t>розпорядження</w:t>
      </w:r>
      <w:proofErr w:type="spellEnd"/>
      <w:r w:rsidRPr="00FA3078">
        <w:rPr>
          <w:rFonts w:ascii="Times New Roman" w:eastAsia="Arial Unicode MS" w:hAnsi="Times New Roman"/>
          <w:szCs w:val="20"/>
        </w:rPr>
        <w:t xml:space="preserve"> на </w:t>
      </w:r>
      <w:proofErr w:type="spellStart"/>
      <w:r w:rsidRPr="00FA3078">
        <w:rPr>
          <w:rFonts w:ascii="Times New Roman" w:eastAsia="Arial Unicode MS" w:hAnsi="Times New Roman"/>
          <w:szCs w:val="20"/>
        </w:rPr>
        <w:t>правильність</w:t>
      </w:r>
      <w:proofErr w:type="spellEnd"/>
      <w:r w:rsidRPr="00FA3078">
        <w:rPr>
          <w:rFonts w:ascii="Times New Roman" w:eastAsia="Arial Unicode MS" w:hAnsi="Times New Roman"/>
          <w:szCs w:val="20"/>
        </w:rPr>
        <w:t xml:space="preserve"> </w:t>
      </w:r>
      <w:proofErr w:type="spellStart"/>
      <w:r w:rsidRPr="00FA3078">
        <w:rPr>
          <w:rFonts w:ascii="Times New Roman" w:eastAsia="Arial Unicode MS" w:hAnsi="Times New Roman"/>
          <w:szCs w:val="20"/>
        </w:rPr>
        <w:t>складання</w:t>
      </w:r>
      <w:proofErr w:type="spellEnd"/>
      <w:r w:rsidRPr="00FA3078">
        <w:rPr>
          <w:rFonts w:ascii="Times New Roman" w:eastAsia="Arial Unicode MS" w:hAnsi="Times New Roman"/>
          <w:szCs w:val="20"/>
        </w:rPr>
        <w:t xml:space="preserve"> та </w:t>
      </w:r>
      <w:proofErr w:type="spellStart"/>
      <w:r w:rsidRPr="00FA3078">
        <w:rPr>
          <w:rFonts w:ascii="Times New Roman" w:eastAsia="Arial Unicode MS" w:hAnsi="Times New Roman"/>
          <w:szCs w:val="20"/>
        </w:rPr>
        <w:t>інші</w:t>
      </w:r>
      <w:proofErr w:type="spellEnd"/>
      <w:r w:rsidRPr="00FA3078">
        <w:rPr>
          <w:rFonts w:ascii="Times New Roman" w:eastAsia="Arial Unicode MS" w:hAnsi="Times New Roman"/>
          <w:szCs w:val="20"/>
        </w:rPr>
        <w:t xml:space="preserve"> </w:t>
      </w:r>
      <w:proofErr w:type="spellStart"/>
      <w:r w:rsidRPr="00FA3078">
        <w:rPr>
          <w:rFonts w:ascii="Times New Roman" w:eastAsia="Arial Unicode MS" w:hAnsi="Times New Roman"/>
          <w:szCs w:val="20"/>
        </w:rPr>
        <w:t>перевірки</w:t>
      </w:r>
      <w:proofErr w:type="spellEnd"/>
      <w:r w:rsidRPr="00FA3078">
        <w:rPr>
          <w:rFonts w:ascii="Times New Roman" w:eastAsia="Arial Unicode MS" w:hAnsi="Times New Roman"/>
          <w:szCs w:val="20"/>
        </w:rPr>
        <w:t xml:space="preserve">, </w:t>
      </w:r>
      <w:proofErr w:type="spellStart"/>
      <w:r w:rsidRPr="00FA3078">
        <w:rPr>
          <w:rFonts w:ascii="Times New Roman" w:eastAsia="Arial Unicode MS" w:hAnsi="Times New Roman"/>
          <w:szCs w:val="20"/>
        </w:rPr>
        <w:t>передбачені</w:t>
      </w:r>
      <w:proofErr w:type="spellEnd"/>
      <w:r w:rsidRPr="00FA3078">
        <w:rPr>
          <w:rFonts w:ascii="Times New Roman" w:eastAsia="Arial Unicode MS" w:hAnsi="Times New Roman"/>
          <w:szCs w:val="20"/>
        </w:rPr>
        <w:t xml:space="preserve"> чиним </w:t>
      </w:r>
      <w:proofErr w:type="spellStart"/>
      <w:r w:rsidRPr="00FA3078">
        <w:rPr>
          <w:rFonts w:ascii="Times New Roman" w:eastAsia="Arial Unicode MS" w:hAnsi="Times New Roman"/>
          <w:szCs w:val="20"/>
        </w:rPr>
        <w:t>законодавством</w:t>
      </w:r>
      <w:proofErr w:type="spellEnd"/>
      <w:r w:rsidRPr="00FA3078">
        <w:rPr>
          <w:rFonts w:ascii="Times New Roman" w:eastAsia="Arial Unicode MS" w:hAnsi="Times New Roman"/>
          <w:szCs w:val="20"/>
        </w:rPr>
        <w:t xml:space="preserve"> </w:t>
      </w:r>
      <w:proofErr w:type="spellStart"/>
      <w:r w:rsidRPr="00FA3078">
        <w:rPr>
          <w:rFonts w:ascii="Times New Roman" w:eastAsia="Arial Unicode MS" w:hAnsi="Times New Roman"/>
          <w:szCs w:val="20"/>
        </w:rPr>
        <w:t>України</w:t>
      </w:r>
      <w:proofErr w:type="spellEnd"/>
      <w:r w:rsidRPr="00FA3078">
        <w:rPr>
          <w:rFonts w:ascii="Times New Roman" w:eastAsia="Arial Unicode MS" w:hAnsi="Times New Roman"/>
          <w:szCs w:val="20"/>
        </w:rPr>
        <w:t xml:space="preserve"> та </w:t>
      </w:r>
      <w:proofErr w:type="spellStart"/>
      <w:r w:rsidRPr="00FA3078">
        <w:rPr>
          <w:rFonts w:ascii="Times New Roman" w:eastAsia="Arial Unicode MS" w:hAnsi="Times New Roman"/>
          <w:szCs w:val="20"/>
        </w:rPr>
        <w:t>внутрішніми</w:t>
      </w:r>
      <w:proofErr w:type="spellEnd"/>
      <w:r w:rsidRPr="00FA3078">
        <w:rPr>
          <w:rFonts w:ascii="Times New Roman" w:eastAsia="Arial Unicode MS" w:hAnsi="Times New Roman"/>
          <w:szCs w:val="20"/>
        </w:rPr>
        <w:t xml:space="preserve"> документами </w:t>
      </w:r>
      <w:proofErr w:type="spellStart"/>
      <w:r w:rsidRPr="00FA3078">
        <w:rPr>
          <w:rFonts w:ascii="Times New Roman" w:eastAsia="Arial Unicode MS" w:hAnsi="Times New Roman"/>
          <w:szCs w:val="20"/>
        </w:rPr>
        <w:t>Депозитарної</w:t>
      </w:r>
      <w:proofErr w:type="spellEnd"/>
      <w:r w:rsidRPr="00FA3078">
        <w:rPr>
          <w:rFonts w:ascii="Times New Roman" w:eastAsia="Arial Unicode MS" w:hAnsi="Times New Roman"/>
          <w:szCs w:val="20"/>
        </w:rPr>
        <w:t xml:space="preserve"> установи;</w:t>
      </w:r>
    </w:p>
    <w:p w14:paraId="20D480FF" w14:textId="77777777" w:rsidR="009A7EA8" w:rsidRPr="00FA3078" w:rsidRDefault="009A7EA8" w:rsidP="00FA3078">
      <w:pPr>
        <w:pStyle w:val="aff5"/>
        <w:widowControl w:val="0"/>
        <w:numPr>
          <w:ilvl w:val="0"/>
          <w:numId w:val="45"/>
        </w:numPr>
        <w:tabs>
          <w:tab w:val="left" w:pos="872"/>
          <w:tab w:val="left" w:pos="1516"/>
        </w:tabs>
        <w:ind w:left="709" w:firstLine="0"/>
        <w:rPr>
          <w:rFonts w:ascii="Times New Roman" w:eastAsia="Arial Unicode MS" w:hAnsi="Times New Roman"/>
          <w:szCs w:val="20"/>
        </w:rPr>
      </w:pPr>
      <w:r w:rsidRPr="00FA3078">
        <w:rPr>
          <w:rFonts w:ascii="Times New Roman" w:eastAsia="Arial Unicode MS" w:hAnsi="Times New Roman"/>
          <w:szCs w:val="20"/>
        </w:rPr>
        <w:t xml:space="preserve">- за </w:t>
      </w:r>
      <w:proofErr w:type="spellStart"/>
      <w:r w:rsidRPr="00FA3078">
        <w:rPr>
          <w:rFonts w:ascii="Times New Roman" w:eastAsia="Arial Unicode MS" w:hAnsi="Times New Roman"/>
          <w:szCs w:val="20"/>
        </w:rPr>
        <w:t>вірне</w:t>
      </w:r>
      <w:proofErr w:type="spellEnd"/>
      <w:r w:rsidRPr="00FA3078">
        <w:rPr>
          <w:rFonts w:ascii="Times New Roman" w:eastAsia="Arial Unicode MS" w:hAnsi="Times New Roman"/>
          <w:szCs w:val="20"/>
        </w:rPr>
        <w:t xml:space="preserve"> </w:t>
      </w:r>
      <w:proofErr w:type="spellStart"/>
      <w:r w:rsidRPr="00FA3078">
        <w:rPr>
          <w:rFonts w:ascii="Times New Roman" w:eastAsia="Arial Unicode MS" w:hAnsi="Times New Roman"/>
          <w:szCs w:val="20"/>
        </w:rPr>
        <w:t>виконання</w:t>
      </w:r>
      <w:proofErr w:type="spellEnd"/>
      <w:r w:rsidRPr="00FA3078">
        <w:rPr>
          <w:rFonts w:ascii="Times New Roman" w:eastAsia="Arial Unicode MS" w:hAnsi="Times New Roman"/>
          <w:szCs w:val="20"/>
        </w:rPr>
        <w:t xml:space="preserve"> </w:t>
      </w:r>
      <w:proofErr w:type="spellStart"/>
      <w:r w:rsidRPr="00FA3078">
        <w:rPr>
          <w:rFonts w:ascii="Times New Roman" w:eastAsia="Arial Unicode MS" w:hAnsi="Times New Roman"/>
          <w:szCs w:val="20"/>
        </w:rPr>
        <w:t>розпоряджень</w:t>
      </w:r>
      <w:proofErr w:type="spellEnd"/>
      <w:r w:rsidRPr="00FA3078">
        <w:rPr>
          <w:rFonts w:ascii="Times New Roman" w:eastAsia="Arial Unicode MS" w:hAnsi="Times New Roman"/>
          <w:szCs w:val="20"/>
        </w:rPr>
        <w:t xml:space="preserve"> </w:t>
      </w:r>
      <w:proofErr w:type="spellStart"/>
      <w:r w:rsidRPr="00FA3078">
        <w:rPr>
          <w:rFonts w:ascii="Times New Roman" w:eastAsia="Arial Unicode MS" w:hAnsi="Times New Roman"/>
          <w:szCs w:val="20"/>
        </w:rPr>
        <w:t>Емітента</w:t>
      </w:r>
      <w:proofErr w:type="spellEnd"/>
      <w:r w:rsidRPr="00FA3078">
        <w:rPr>
          <w:rFonts w:ascii="Times New Roman" w:eastAsia="Arial Unicode MS" w:hAnsi="Times New Roman"/>
          <w:szCs w:val="20"/>
        </w:rPr>
        <w:t xml:space="preserve">, </w:t>
      </w:r>
      <w:proofErr w:type="spellStart"/>
      <w:r w:rsidRPr="00FA3078">
        <w:rPr>
          <w:rFonts w:ascii="Times New Roman" w:eastAsia="Arial Unicode MS" w:hAnsi="Times New Roman"/>
          <w:szCs w:val="20"/>
        </w:rPr>
        <w:t>які</w:t>
      </w:r>
      <w:proofErr w:type="spellEnd"/>
      <w:r w:rsidRPr="00FA3078">
        <w:rPr>
          <w:rFonts w:ascii="Times New Roman" w:eastAsia="Arial Unicode MS" w:hAnsi="Times New Roman"/>
          <w:szCs w:val="20"/>
        </w:rPr>
        <w:t xml:space="preserve"> не </w:t>
      </w:r>
      <w:proofErr w:type="spellStart"/>
      <w:r w:rsidRPr="00FA3078">
        <w:rPr>
          <w:rFonts w:ascii="Times New Roman" w:eastAsia="Arial Unicode MS" w:hAnsi="Times New Roman"/>
          <w:szCs w:val="20"/>
        </w:rPr>
        <w:t>суперечать</w:t>
      </w:r>
      <w:proofErr w:type="spellEnd"/>
      <w:r w:rsidRPr="00FA3078">
        <w:rPr>
          <w:rFonts w:ascii="Times New Roman" w:eastAsia="Arial Unicode MS" w:hAnsi="Times New Roman"/>
          <w:szCs w:val="20"/>
        </w:rPr>
        <w:t xml:space="preserve"> </w:t>
      </w:r>
      <w:proofErr w:type="spellStart"/>
      <w:r w:rsidRPr="00FA3078">
        <w:rPr>
          <w:rFonts w:ascii="Times New Roman" w:eastAsia="Arial Unicode MS" w:hAnsi="Times New Roman"/>
          <w:szCs w:val="20"/>
        </w:rPr>
        <w:t>вимогам</w:t>
      </w:r>
      <w:proofErr w:type="spellEnd"/>
      <w:r w:rsidRPr="00FA3078">
        <w:rPr>
          <w:rFonts w:ascii="Times New Roman" w:eastAsia="Arial Unicode MS" w:hAnsi="Times New Roman"/>
          <w:szCs w:val="20"/>
        </w:rPr>
        <w:t xml:space="preserve"> чинного </w:t>
      </w:r>
      <w:proofErr w:type="spellStart"/>
      <w:r w:rsidRPr="00FA3078">
        <w:rPr>
          <w:rFonts w:ascii="Times New Roman" w:eastAsia="Arial Unicode MS" w:hAnsi="Times New Roman"/>
          <w:szCs w:val="20"/>
        </w:rPr>
        <w:t>законодавст</w:t>
      </w:r>
      <w:r w:rsidR="00FA3078">
        <w:rPr>
          <w:rFonts w:ascii="Times New Roman" w:eastAsia="Arial Unicode MS" w:hAnsi="Times New Roman"/>
          <w:szCs w:val="20"/>
        </w:rPr>
        <w:t>ва</w:t>
      </w:r>
      <w:proofErr w:type="spellEnd"/>
      <w:r w:rsidR="00FA3078">
        <w:rPr>
          <w:rFonts w:ascii="Times New Roman" w:eastAsia="Arial Unicode MS" w:hAnsi="Times New Roman"/>
          <w:szCs w:val="20"/>
        </w:rPr>
        <w:t xml:space="preserve"> </w:t>
      </w:r>
      <w:proofErr w:type="spellStart"/>
      <w:r w:rsidR="00FA3078">
        <w:rPr>
          <w:rFonts w:ascii="Times New Roman" w:eastAsia="Arial Unicode MS" w:hAnsi="Times New Roman"/>
          <w:szCs w:val="20"/>
        </w:rPr>
        <w:t>України</w:t>
      </w:r>
      <w:proofErr w:type="spellEnd"/>
      <w:r w:rsidR="00FA3078">
        <w:rPr>
          <w:rFonts w:ascii="Times New Roman" w:eastAsia="Arial Unicode MS" w:hAnsi="Times New Roman"/>
          <w:szCs w:val="20"/>
          <w:lang w:val="uk-UA"/>
        </w:rPr>
        <w:t>.</w:t>
      </w:r>
    </w:p>
    <w:p w14:paraId="13658C95" w14:textId="77777777" w:rsidR="009A7EA8" w:rsidRPr="00E16672" w:rsidRDefault="009A7EA8" w:rsidP="009A7EA8">
      <w:pPr>
        <w:ind w:left="567" w:firstLine="142"/>
        <w:rPr>
          <w:rFonts w:ascii="Times New Roman" w:eastAsia="Arial Unicode MS" w:hAnsi="Times New Roman"/>
          <w:szCs w:val="20"/>
        </w:rPr>
      </w:pPr>
      <w:r w:rsidRPr="00E16672">
        <w:rPr>
          <w:rFonts w:ascii="Times New Roman" w:eastAsia="Arial Unicode MS" w:hAnsi="Times New Roman"/>
          <w:szCs w:val="20"/>
        </w:rPr>
        <w:t xml:space="preserve">5.5. </w:t>
      </w:r>
      <w:proofErr w:type="spellStart"/>
      <w:r w:rsidRPr="00E16672">
        <w:rPr>
          <w:rFonts w:ascii="Times New Roman" w:eastAsia="Arial Unicode MS" w:hAnsi="Times New Roman"/>
          <w:szCs w:val="20"/>
        </w:rPr>
        <w:t>Депозитарна</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установа</w:t>
      </w:r>
      <w:proofErr w:type="spellEnd"/>
      <w:r w:rsidRPr="00E16672">
        <w:rPr>
          <w:rFonts w:ascii="Times New Roman" w:eastAsia="Arial Unicode MS" w:hAnsi="Times New Roman"/>
          <w:szCs w:val="20"/>
        </w:rPr>
        <w:t xml:space="preserve"> не </w:t>
      </w:r>
      <w:proofErr w:type="spellStart"/>
      <w:r w:rsidRPr="00E16672">
        <w:rPr>
          <w:rFonts w:ascii="Times New Roman" w:eastAsia="Arial Unicode MS" w:hAnsi="Times New Roman"/>
          <w:szCs w:val="20"/>
        </w:rPr>
        <w:t>несе</w:t>
      </w:r>
      <w:proofErr w:type="spellEnd"/>
      <w:r w:rsidRPr="00E16672">
        <w:rPr>
          <w:rFonts w:ascii="Times New Roman" w:eastAsia="Arial Unicode MS" w:hAnsi="Times New Roman"/>
          <w:szCs w:val="20"/>
        </w:rPr>
        <w:t xml:space="preserve"> </w:t>
      </w:r>
      <w:proofErr w:type="spellStart"/>
      <w:proofErr w:type="gramStart"/>
      <w:r w:rsidRPr="00E16672">
        <w:rPr>
          <w:rFonts w:ascii="Times New Roman" w:eastAsia="Arial Unicode MS" w:hAnsi="Times New Roman"/>
          <w:szCs w:val="20"/>
        </w:rPr>
        <w:t>відповідальності</w:t>
      </w:r>
      <w:proofErr w:type="spellEnd"/>
      <w:r w:rsidRPr="00E16672">
        <w:rPr>
          <w:rFonts w:ascii="Times New Roman" w:eastAsia="Arial Unicode MS" w:hAnsi="Times New Roman"/>
          <w:szCs w:val="20"/>
        </w:rPr>
        <w:t xml:space="preserve"> :</w:t>
      </w:r>
      <w:proofErr w:type="gramEnd"/>
    </w:p>
    <w:p w14:paraId="39CEF0B8" w14:textId="77777777" w:rsidR="009A7EA8" w:rsidRPr="00E16672" w:rsidRDefault="009A7EA8" w:rsidP="009A7EA8">
      <w:pPr>
        <w:widowControl w:val="0"/>
        <w:numPr>
          <w:ilvl w:val="0"/>
          <w:numId w:val="3"/>
        </w:numPr>
        <w:tabs>
          <w:tab w:val="left" w:pos="709"/>
          <w:tab w:val="left" w:pos="993"/>
        </w:tabs>
        <w:ind w:firstLine="720"/>
        <w:rPr>
          <w:rFonts w:ascii="Times New Roman" w:eastAsia="Arial Unicode MS" w:hAnsi="Times New Roman"/>
          <w:szCs w:val="20"/>
        </w:rPr>
      </w:pPr>
      <w:r w:rsidRPr="00E16672">
        <w:rPr>
          <w:rFonts w:ascii="Times New Roman" w:eastAsia="Arial Unicode MS" w:hAnsi="Times New Roman"/>
          <w:szCs w:val="20"/>
        </w:rPr>
        <w:t xml:space="preserve">за </w:t>
      </w:r>
      <w:proofErr w:type="spellStart"/>
      <w:r w:rsidRPr="00E16672">
        <w:rPr>
          <w:rFonts w:ascii="Times New Roman" w:eastAsia="Arial Unicode MS" w:hAnsi="Times New Roman"/>
          <w:szCs w:val="20"/>
        </w:rPr>
        <w:t>збитки</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які</w:t>
      </w:r>
      <w:proofErr w:type="spellEnd"/>
      <w:r w:rsidRPr="00E16672">
        <w:rPr>
          <w:rFonts w:ascii="Times New Roman" w:eastAsia="Arial Unicode MS" w:hAnsi="Times New Roman"/>
          <w:szCs w:val="20"/>
        </w:rPr>
        <w:t xml:space="preserve"> є </w:t>
      </w:r>
      <w:proofErr w:type="spellStart"/>
      <w:r w:rsidRPr="00E16672">
        <w:rPr>
          <w:rFonts w:ascii="Times New Roman" w:eastAsia="Arial Unicode MS" w:hAnsi="Times New Roman"/>
          <w:szCs w:val="20"/>
        </w:rPr>
        <w:t>наслідком</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дій</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вчинених</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відповідно</w:t>
      </w:r>
      <w:proofErr w:type="spellEnd"/>
      <w:r w:rsidRPr="00E16672">
        <w:rPr>
          <w:rFonts w:ascii="Times New Roman" w:eastAsia="Arial Unicode MS" w:hAnsi="Times New Roman"/>
          <w:szCs w:val="20"/>
        </w:rPr>
        <w:t xml:space="preserve"> до </w:t>
      </w:r>
      <w:proofErr w:type="spellStart"/>
      <w:r w:rsidRPr="00E16672">
        <w:rPr>
          <w:rFonts w:ascii="Times New Roman" w:eastAsia="Arial Unicode MS" w:hAnsi="Times New Roman"/>
          <w:szCs w:val="20"/>
        </w:rPr>
        <w:t>письмових</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розпоряджень</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Емітента</w:t>
      </w:r>
      <w:proofErr w:type="spellEnd"/>
      <w:r w:rsidRPr="00E16672">
        <w:rPr>
          <w:rFonts w:ascii="Times New Roman" w:eastAsia="Arial Unicode MS" w:hAnsi="Times New Roman"/>
          <w:szCs w:val="20"/>
        </w:rPr>
        <w:t>;</w:t>
      </w:r>
    </w:p>
    <w:p w14:paraId="52F58C59" w14:textId="77777777" w:rsidR="009A7EA8" w:rsidRPr="00E16672" w:rsidRDefault="009A7EA8" w:rsidP="009A7EA8">
      <w:pPr>
        <w:widowControl w:val="0"/>
        <w:numPr>
          <w:ilvl w:val="0"/>
          <w:numId w:val="3"/>
        </w:numPr>
        <w:tabs>
          <w:tab w:val="left" w:pos="709"/>
          <w:tab w:val="left" w:pos="993"/>
        </w:tabs>
        <w:ind w:firstLine="720"/>
        <w:rPr>
          <w:rFonts w:ascii="Times New Roman" w:eastAsia="Arial Unicode MS" w:hAnsi="Times New Roman"/>
          <w:szCs w:val="20"/>
        </w:rPr>
      </w:pPr>
      <w:r w:rsidRPr="00E16672">
        <w:rPr>
          <w:rFonts w:ascii="Times New Roman" w:eastAsia="Arial Unicode MS" w:hAnsi="Times New Roman"/>
          <w:szCs w:val="20"/>
        </w:rPr>
        <w:t xml:space="preserve">за </w:t>
      </w:r>
      <w:proofErr w:type="spellStart"/>
      <w:r w:rsidRPr="00E16672">
        <w:rPr>
          <w:rFonts w:ascii="Times New Roman" w:eastAsia="Arial Unicode MS" w:hAnsi="Times New Roman"/>
          <w:szCs w:val="20"/>
        </w:rPr>
        <w:t>несвоєчасне</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подання</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Емітентом</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розпоряджень</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Депозитарній</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установі</w:t>
      </w:r>
      <w:proofErr w:type="spellEnd"/>
      <w:r w:rsidRPr="00E16672">
        <w:rPr>
          <w:rFonts w:ascii="Times New Roman" w:eastAsia="Arial Unicode MS" w:hAnsi="Times New Roman"/>
          <w:szCs w:val="20"/>
        </w:rPr>
        <w:t xml:space="preserve"> на </w:t>
      </w:r>
      <w:proofErr w:type="spellStart"/>
      <w:r w:rsidRPr="00E16672">
        <w:rPr>
          <w:rFonts w:ascii="Times New Roman" w:eastAsia="Arial Unicode MS" w:hAnsi="Times New Roman"/>
          <w:szCs w:val="20"/>
        </w:rPr>
        <w:t>надання</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реєстру</w:t>
      </w:r>
      <w:proofErr w:type="spellEnd"/>
      <w:r w:rsidRPr="00E16672">
        <w:rPr>
          <w:rFonts w:ascii="Times New Roman" w:eastAsia="Arial Unicode MS" w:hAnsi="Times New Roman"/>
          <w:szCs w:val="20"/>
        </w:rPr>
        <w:t xml:space="preserve"> та/</w:t>
      </w:r>
      <w:proofErr w:type="spellStart"/>
      <w:r w:rsidRPr="00E16672">
        <w:rPr>
          <w:rFonts w:ascii="Times New Roman" w:eastAsia="Arial Unicode MS" w:hAnsi="Times New Roman"/>
          <w:szCs w:val="20"/>
        </w:rPr>
        <w:t>або</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переліку</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власників</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іменних</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цінних</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паперів</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довідково-аналітичних</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матеріалів</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виписок</w:t>
      </w:r>
      <w:proofErr w:type="spellEnd"/>
      <w:r w:rsidRPr="00E16672">
        <w:rPr>
          <w:rFonts w:ascii="Times New Roman" w:eastAsia="Arial Unicode MS" w:hAnsi="Times New Roman"/>
          <w:szCs w:val="20"/>
        </w:rPr>
        <w:t xml:space="preserve"> і </w:t>
      </w:r>
      <w:proofErr w:type="spellStart"/>
      <w:r w:rsidRPr="00E16672">
        <w:rPr>
          <w:rFonts w:ascii="Times New Roman" w:eastAsia="Arial Unicode MS" w:hAnsi="Times New Roman"/>
          <w:szCs w:val="20"/>
        </w:rPr>
        <w:t>інформаційних</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довідок</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іншої</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інформації</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щодо</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власників</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іменних</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цінних</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паперів</w:t>
      </w:r>
      <w:proofErr w:type="spellEnd"/>
      <w:r w:rsidRPr="00E16672">
        <w:rPr>
          <w:rFonts w:ascii="Times New Roman" w:eastAsia="Arial Unicode MS" w:hAnsi="Times New Roman"/>
          <w:szCs w:val="20"/>
        </w:rPr>
        <w:t>.</w:t>
      </w:r>
    </w:p>
    <w:p w14:paraId="31161371" w14:textId="77777777" w:rsidR="009A7EA8" w:rsidRPr="00E16672" w:rsidRDefault="009A7EA8" w:rsidP="009A7EA8">
      <w:pPr>
        <w:tabs>
          <w:tab w:val="left" w:pos="709"/>
          <w:tab w:val="left" w:pos="993"/>
        </w:tabs>
        <w:rPr>
          <w:rFonts w:ascii="Times New Roman" w:eastAsia="Arial Unicode MS" w:hAnsi="Times New Roman"/>
          <w:szCs w:val="20"/>
        </w:rPr>
      </w:pPr>
      <w:r w:rsidRPr="00E16672">
        <w:rPr>
          <w:rFonts w:ascii="Times New Roman" w:eastAsia="Arial Unicode MS" w:hAnsi="Times New Roman"/>
          <w:szCs w:val="20"/>
        </w:rPr>
        <w:lastRenderedPageBreak/>
        <w:tab/>
        <w:t xml:space="preserve">5.6. </w:t>
      </w:r>
      <w:proofErr w:type="spellStart"/>
      <w:r w:rsidRPr="00E16672">
        <w:rPr>
          <w:rFonts w:ascii="Times New Roman" w:eastAsia="Arial Unicode MS" w:hAnsi="Times New Roman"/>
          <w:szCs w:val="20"/>
        </w:rPr>
        <w:t>Емітент</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несе</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вiдповiдальнiсть</w:t>
      </w:r>
      <w:proofErr w:type="spellEnd"/>
      <w:r w:rsidRPr="00E16672">
        <w:rPr>
          <w:rFonts w:ascii="Times New Roman" w:eastAsia="Arial Unicode MS" w:hAnsi="Times New Roman"/>
          <w:szCs w:val="20"/>
        </w:rPr>
        <w:t xml:space="preserve"> за </w:t>
      </w:r>
      <w:proofErr w:type="spellStart"/>
      <w:r w:rsidRPr="00E16672">
        <w:rPr>
          <w:rFonts w:ascii="Times New Roman" w:eastAsia="Arial Unicode MS" w:hAnsi="Times New Roman"/>
          <w:szCs w:val="20"/>
        </w:rPr>
        <w:t>власні</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дії</w:t>
      </w:r>
      <w:proofErr w:type="spellEnd"/>
      <w:r w:rsidRPr="00E16672">
        <w:rPr>
          <w:rFonts w:ascii="Times New Roman" w:eastAsia="Arial Unicode MS" w:hAnsi="Times New Roman"/>
          <w:szCs w:val="20"/>
        </w:rPr>
        <w:t xml:space="preserve">, за </w:t>
      </w:r>
      <w:proofErr w:type="spellStart"/>
      <w:r w:rsidRPr="00E16672">
        <w:rPr>
          <w:rFonts w:ascii="Times New Roman" w:eastAsia="Arial Unicode MS" w:hAnsi="Times New Roman"/>
          <w:szCs w:val="20"/>
        </w:rPr>
        <w:t>всі</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дії</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його</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уповноважених</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осіб</w:t>
      </w:r>
      <w:proofErr w:type="spellEnd"/>
      <w:r w:rsidRPr="00E16672">
        <w:rPr>
          <w:rFonts w:ascii="Times New Roman" w:eastAsia="Arial Unicode MS" w:hAnsi="Times New Roman"/>
          <w:szCs w:val="20"/>
        </w:rPr>
        <w:t xml:space="preserve">, а </w:t>
      </w:r>
      <w:proofErr w:type="spellStart"/>
      <w:r w:rsidRPr="00E16672">
        <w:rPr>
          <w:rFonts w:ascii="Times New Roman" w:eastAsia="Arial Unicode MS" w:hAnsi="Times New Roman"/>
          <w:szCs w:val="20"/>
        </w:rPr>
        <w:t>також</w:t>
      </w:r>
      <w:proofErr w:type="spellEnd"/>
      <w:r w:rsidRPr="00E16672">
        <w:rPr>
          <w:rFonts w:ascii="Times New Roman" w:eastAsia="Arial Unicode MS" w:hAnsi="Times New Roman"/>
          <w:szCs w:val="20"/>
        </w:rPr>
        <w:t xml:space="preserve"> за </w:t>
      </w:r>
      <w:proofErr w:type="spellStart"/>
      <w:r w:rsidRPr="00E16672">
        <w:rPr>
          <w:rFonts w:ascii="Times New Roman" w:eastAsia="Arial Unicode MS" w:hAnsi="Times New Roman"/>
          <w:szCs w:val="20"/>
        </w:rPr>
        <w:t>наслідки</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наданих</w:t>
      </w:r>
      <w:proofErr w:type="spellEnd"/>
      <w:r w:rsidRPr="00E16672">
        <w:rPr>
          <w:rFonts w:ascii="Times New Roman" w:eastAsia="Arial Unicode MS" w:hAnsi="Times New Roman"/>
          <w:szCs w:val="20"/>
        </w:rPr>
        <w:t xml:space="preserve"> ним </w:t>
      </w:r>
      <w:proofErr w:type="spellStart"/>
      <w:r w:rsidRPr="00E16672">
        <w:rPr>
          <w:rFonts w:ascii="Times New Roman" w:eastAsia="Arial Unicode MS" w:hAnsi="Times New Roman"/>
          <w:szCs w:val="20"/>
        </w:rPr>
        <w:t>розпоряджень</w:t>
      </w:r>
      <w:proofErr w:type="spellEnd"/>
      <w:r w:rsidRPr="00E16672">
        <w:rPr>
          <w:rFonts w:ascii="Times New Roman" w:eastAsia="Arial Unicode MS" w:hAnsi="Times New Roman"/>
          <w:szCs w:val="20"/>
        </w:rPr>
        <w:t>.</w:t>
      </w:r>
    </w:p>
    <w:p w14:paraId="36F4991D" w14:textId="77777777" w:rsidR="009A7EA8" w:rsidRPr="00E16672" w:rsidRDefault="009A7EA8" w:rsidP="009A7EA8">
      <w:pPr>
        <w:pStyle w:val="22"/>
        <w:ind w:firstLine="709"/>
        <w:rPr>
          <w:rFonts w:ascii="Times New Roman" w:eastAsia="Arial Unicode MS" w:hAnsi="Times New Roman"/>
        </w:rPr>
      </w:pPr>
      <w:r w:rsidRPr="00E16672">
        <w:rPr>
          <w:rFonts w:ascii="Times New Roman" w:eastAsia="Arial Unicode MS" w:hAnsi="Times New Roman"/>
        </w:rPr>
        <w:t>5.7. Депозитарна установа має право за порушення термінів оплаті нарахувати та стягнути з іншої Сторони пеню у розмірі 0,3% від суми простроченого платежу за кожен день прострочки, але не більше подвійної облікової ставки Національного банку України, що діяла у період за який сплачується пеня.</w:t>
      </w:r>
    </w:p>
    <w:p w14:paraId="60A2B6D0" w14:textId="77777777" w:rsidR="009A7EA8" w:rsidRPr="00E16672" w:rsidRDefault="009A7EA8" w:rsidP="009A7EA8">
      <w:pPr>
        <w:ind w:firstLine="709"/>
        <w:rPr>
          <w:rFonts w:ascii="Times New Roman" w:eastAsia="Arial Unicode MS" w:hAnsi="Times New Roman"/>
          <w:szCs w:val="20"/>
        </w:rPr>
      </w:pPr>
      <w:r w:rsidRPr="00E16672">
        <w:rPr>
          <w:rFonts w:ascii="Times New Roman" w:eastAsia="Arial Unicode MS" w:hAnsi="Times New Roman"/>
          <w:szCs w:val="20"/>
        </w:rPr>
        <w:t>5.7.</w:t>
      </w:r>
      <w:proofErr w:type="gramStart"/>
      <w:r w:rsidRPr="00E16672">
        <w:rPr>
          <w:rFonts w:ascii="Times New Roman" w:eastAsia="Arial Unicode MS" w:hAnsi="Times New Roman"/>
          <w:szCs w:val="20"/>
        </w:rPr>
        <w:t>1.Формула</w:t>
      </w:r>
      <w:proofErr w:type="gramEnd"/>
      <w:r w:rsidRPr="00E16672">
        <w:rPr>
          <w:rFonts w:ascii="Times New Roman" w:eastAsia="Arial Unicode MS" w:hAnsi="Times New Roman"/>
          <w:szCs w:val="20"/>
        </w:rPr>
        <w:t xml:space="preserve">, за </w:t>
      </w:r>
      <w:proofErr w:type="spellStart"/>
      <w:r w:rsidRPr="00E16672">
        <w:rPr>
          <w:rFonts w:ascii="Times New Roman" w:eastAsia="Arial Unicode MS" w:hAnsi="Times New Roman"/>
          <w:szCs w:val="20"/>
        </w:rPr>
        <w:t>якою</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розраховується</w:t>
      </w:r>
      <w:proofErr w:type="spellEnd"/>
      <w:r w:rsidRPr="00E16672">
        <w:rPr>
          <w:rFonts w:ascii="Times New Roman" w:eastAsia="Arial Unicode MS" w:hAnsi="Times New Roman"/>
          <w:szCs w:val="20"/>
        </w:rPr>
        <w:t xml:space="preserve"> пеня: </w:t>
      </w:r>
    </w:p>
    <w:p w14:paraId="5D4C3C20" w14:textId="77777777" w:rsidR="009A7EA8" w:rsidRPr="00E16672" w:rsidRDefault="009A7EA8" w:rsidP="009A7EA8">
      <w:pPr>
        <w:ind w:firstLine="709"/>
        <w:rPr>
          <w:rFonts w:ascii="Times New Roman" w:eastAsia="Arial Unicode MS" w:hAnsi="Times New Roman"/>
          <w:szCs w:val="20"/>
        </w:rPr>
      </w:pPr>
      <w:r w:rsidRPr="00E16672">
        <w:rPr>
          <w:rFonts w:ascii="Times New Roman" w:eastAsia="Arial Unicode MS" w:hAnsi="Times New Roman"/>
          <w:szCs w:val="20"/>
        </w:rPr>
        <w:t>П=</w:t>
      </w:r>
      <w:proofErr w:type="spellStart"/>
      <w:r w:rsidRPr="00E16672">
        <w:rPr>
          <w:rFonts w:ascii="Times New Roman" w:eastAsia="Arial Unicode MS" w:hAnsi="Times New Roman"/>
          <w:szCs w:val="20"/>
        </w:rPr>
        <w:t>Тнеоплачений</w:t>
      </w:r>
      <w:proofErr w:type="spellEnd"/>
      <w:r w:rsidRPr="00E16672">
        <w:rPr>
          <w:rFonts w:ascii="Times New Roman" w:eastAsia="Arial Unicode MS" w:hAnsi="Times New Roman"/>
          <w:szCs w:val="20"/>
        </w:rPr>
        <w:t xml:space="preserve">*0,3 </w:t>
      </w:r>
      <w:proofErr w:type="spellStart"/>
      <w:r w:rsidRPr="00E16672">
        <w:rPr>
          <w:rFonts w:ascii="Times New Roman" w:eastAsia="Arial Unicode MS" w:hAnsi="Times New Roman"/>
          <w:szCs w:val="20"/>
        </w:rPr>
        <w:t>або</w:t>
      </w:r>
      <w:proofErr w:type="spellEnd"/>
      <w:r w:rsidRPr="00E16672">
        <w:rPr>
          <w:rFonts w:ascii="Times New Roman" w:eastAsia="Arial Unicode MS" w:hAnsi="Times New Roman"/>
          <w:szCs w:val="20"/>
        </w:rPr>
        <w:t xml:space="preserve"> 2НБУ/</w:t>
      </w:r>
      <w:proofErr w:type="spellStart"/>
      <w:r w:rsidRPr="00E16672">
        <w:rPr>
          <w:rFonts w:ascii="Times New Roman" w:eastAsia="Arial Unicode MS" w:hAnsi="Times New Roman"/>
          <w:szCs w:val="20"/>
        </w:rPr>
        <w:t>Дрік</w:t>
      </w:r>
      <w:proofErr w:type="spellEnd"/>
      <w:r w:rsidRPr="00E16672">
        <w:rPr>
          <w:rFonts w:ascii="Times New Roman" w:eastAsia="Arial Unicode MS" w:hAnsi="Times New Roman"/>
          <w:szCs w:val="20"/>
        </w:rPr>
        <w:t>*</w:t>
      </w:r>
      <w:proofErr w:type="spellStart"/>
      <w:r w:rsidRPr="00E16672">
        <w:rPr>
          <w:rFonts w:ascii="Times New Roman" w:eastAsia="Arial Unicode MS" w:hAnsi="Times New Roman"/>
          <w:szCs w:val="20"/>
        </w:rPr>
        <w:t>Днарахування</w:t>
      </w:r>
      <w:proofErr w:type="spellEnd"/>
      <w:r w:rsidRPr="00E16672">
        <w:rPr>
          <w:rFonts w:ascii="Times New Roman" w:eastAsia="Arial Unicode MS" w:hAnsi="Times New Roman"/>
          <w:szCs w:val="20"/>
        </w:rPr>
        <w:t>, де:</w:t>
      </w:r>
    </w:p>
    <w:p w14:paraId="50AB8D69" w14:textId="77777777" w:rsidR="009A7EA8" w:rsidRPr="00E16672" w:rsidRDefault="009A7EA8" w:rsidP="009A7EA8">
      <w:pPr>
        <w:ind w:firstLine="709"/>
        <w:rPr>
          <w:rFonts w:ascii="Times New Roman" w:eastAsia="Arial Unicode MS" w:hAnsi="Times New Roman"/>
          <w:szCs w:val="20"/>
        </w:rPr>
      </w:pPr>
      <w:r w:rsidRPr="00E16672">
        <w:rPr>
          <w:rFonts w:ascii="Times New Roman" w:eastAsia="Arial Unicode MS" w:hAnsi="Times New Roman"/>
          <w:szCs w:val="20"/>
        </w:rPr>
        <w:t>П – пеня;</w:t>
      </w:r>
    </w:p>
    <w:p w14:paraId="605CE3AA" w14:textId="77777777" w:rsidR="009A7EA8" w:rsidRPr="00E16672" w:rsidRDefault="009A7EA8" w:rsidP="009A7EA8">
      <w:pPr>
        <w:ind w:firstLine="709"/>
        <w:rPr>
          <w:rFonts w:ascii="Times New Roman" w:eastAsia="Arial Unicode MS" w:hAnsi="Times New Roman"/>
          <w:szCs w:val="20"/>
        </w:rPr>
      </w:pPr>
      <w:r w:rsidRPr="00E16672">
        <w:rPr>
          <w:rFonts w:ascii="Times New Roman" w:eastAsia="Arial Unicode MS" w:hAnsi="Times New Roman"/>
          <w:szCs w:val="20"/>
        </w:rPr>
        <w:t xml:space="preserve">Т </w:t>
      </w:r>
      <w:proofErr w:type="spellStart"/>
      <w:r w:rsidRPr="00E16672">
        <w:rPr>
          <w:rFonts w:ascii="Times New Roman" w:eastAsia="Arial Unicode MS" w:hAnsi="Times New Roman"/>
          <w:szCs w:val="20"/>
        </w:rPr>
        <w:t>неоплачений</w:t>
      </w:r>
      <w:proofErr w:type="spellEnd"/>
      <w:r w:rsidRPr="00E16672">
        <w:rPr>
          <w:rFonts w:ascii="Times New Roman" w:eastAsia="Arial Unicode MS" w:hAnsi="Times New Roman"/>
          <w:szCs w:val="20"/>
        </w:rPr>
        <w:t xml:space="preserve"> – </w:t>
      </w:r>
      <w:proofErr w:type="spellStart"/>
      <w:r w:rsidRPr="00E16672">
        <w:rPr>
          <w:rFonts w:ascii="Times New Roman" w:eastAsia="Arial Unicode MS" w:hAnsi="Times New Roman"/>
          <w:szCs w:val="20"/>
        </w:rPr>
        <w:t>вартість</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неоплаченої</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послуги</w:t>
      </w:r>
      <w:proofErr w:type="spellEnd"/>
      <w:r w:rsidRPr="00E16672">
        <w:rPr>
          <w:rFonts w:ascii="Times New Roman" w:eastAsia="Arial Unicode MS" w:hAnsi="Times New Roman"/>
          <w:szCs w:val="20"/>
        </w:rPr>
        <w:t>;</w:t>
      </w:r>
    </w:p>
    <w:p w14:paraId="6696C786" w14:textId="77777777" w:rsidR="009A7EA8" w:rsidRPr="00E16672" w:rsidRDefault="009A7EA8" w:rsidP="009A7EA8">
      <w:pPr>
        <w:ind w:firstLine="709"/>
        <w:rPr>
          <w:rFonts w:ascii="Times New Roman" w:eastAsia="Arial Unicode MS" w:hAnsi="Times New Roman"/>
          <w:szCs w:val="20"/>
        </w:rPr>
      </w:pPr>
      <w:r w:rsidRPr="00E16672">
        <w:rPr>
          <w:rFonts w:ascii="Times New Roman" w:eastAsia="Arial Unicode MS" w:hAnsi="Times New Roman"/>
          <w:szCs w:val="20"/>
        </w:rPr>
        <w:t xml:space="preserve">0,3 – </w:t>
      </w:r>
      <w:proofErr w:type="spellStart"/>
      <w:r w:rsidRPr="00E16672">
        <w:rPr>
          <w:rFonts w:ascii="Times New Roman" w:eastAsia="Arial Unicode MS" w:hAnsi="Times New Roman"/>
          <w:szCs w:val="20"/>
        </w:rPr>
        <w:t>розмір</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пені</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передбачений</w:t>
      </w:r>
      <w:proofErr w:type="spellEnd"/>
      <w:r w:rsidRPr="00E16672">
        <w:rPr>
          <w:rFonts w:ascii="Times New Roman" w:eastAsia="Arial Unicode MS" w:hAnsi="Times New Roman"/>
          <w:szCs w:val="20"/>
        </w:rPr>
        <w:t xml:space="preserve"> п.5.7.</w:t>
      </w:r>
    </w:p>
    <w:p w14:paraId="4171468E" w14:textId="77777777" w:rsidR="009A7EA8" w:rsidRPr="00E16672" w:rsidRDefault="009A7EA8" w:rsidP="009A7EA8">
      <w:pPr>
        <w:ind w:firstLine="709"/>
        <w:rPr>
          <w:rFonts w:ascii="Times New Roman" w:eastAsia="Arial Unicode MS" w:hAnsi="Times New Roman"/>
          <w:szCs w:val="20"/>
        </w:rPr>
      </w:pPr>
      <w:r w:rsidRPr="00E16672">
        <w:rPr>
          <w:rFonts w:ascii="Times New Roman" w:eastAsia="Arial Unicode MS" w:hAnsi="Times New Roman"/>
          <w:szCs w:val="20"/>
        </w:rPr>
        <w:t xml:space="preserve">2НБУ – </w:t>
      </w:r>
      <w:proofErr w:type="spellStart"/>
      <w:r w:rsidRPr="00E16672">
        <w:rPr>
          <w:rFonts w:ascii="Times New Roman" w:eastAsia="Arial Unicode MS" w:hAnsi="Times New Roman"/>
          <w:szCs w:val="20"/>
        </w:rPr>
        <w:t>подвійна</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облікова</w:t>
      </w:r>
      <w:proofErr w:type="spellEnd"/>
      <w:r w:rsidRPr="00E16672">
        <w:rPr>
          <w:rFonts w:ascii="Times New Roman" w:eastAsia="Arial Unicode MS" w:hAnsi="Times New Roman"/>
          <w:szCs w:val="20"/>
        </w:rPr>
        <w:t xml:space="preserve"> ставка </w:t>
      </w:r>
      <w:proofErr w:type="spellStart"/>
      <w:r w:rsidRPr="00E16672">
        <w:rPr>
          <w:rFonts w:ascii="Times New Roman" w:eastAsia="Arial Unicode MS" w:hAnsi="Times New Roman"/>
          <w:szCs w:val="20"/>
        </w:rPr>
        <w:t>Національного</w:t>
      </w:r>
      <w:proofErr w:type="spellEnd"/>
      <w:r w:rsidRPr="00E16672">
        <w:rPr>
          <w:rFonts w:ascii="Times New Roman" w:eastAsia="Arial Unicode MS" w:hAnsi="Times New Roman"/>
          <w:szCs w:val="20"/>
        </w:rPr>
        <w:t xml:space="preserve"> Банку </w:t>
      </w:r>
      <w:proofErr w:type="spellStart"/>
      <w:r w:rsidRPr="00E16672">
        <w:rPr>
          <w:rFonts w:ascii="Times New Roman" w:eastAsia="Arial Unicode MS" w:hAnsi="Times New Roman"/>
          <w:szCs w:val="20"/>
        </w:rPr>
        <w:t>України</w:t>
      </w:r>
      <w:proofErr w:type="spellEnd"/>
      <w:r w:rsidRPr="00E16672">
        <w:rPr>
          <w:rFonts w:ascii="Times New Roman" w:eastAsia="Arial Unicode MS" w:hAnsi="Times New Roman"/>
          <w:szCs w:val="20"/>
        </w:rPr>
        <w:t>;</w:t>
      </w:r>
    </w:p>
    <w:p w14:paraId="31AC9E7D" w14:textId="77777777" w:rsidR="009A7EA8" w:rsidRPr="00E16672" w:rsidRDefault="009A7EA8" w:rsidP="009A7EA8">
      <w:pPr>
        <w:ind w:firstLine="709"/>
        <w:rPr>
          <w:rFonts w:ascii="Times New Roman" w:eastAsia="Arial Unicode MS" w:hAnsi="Times New Roman"/>
          <w:szCs w:val="20"/>
        </w:rPr>
      </w:pPr>
      <w:r w:rsidRPr="00E16672">
        <w:rPr>
          <w:rFonts w:ascii="Times New Roman" w:eastAsia="Arial Unicode MS" w:hAnsi="Times New Roman"/>
          <w:szCs w:val="20"/>
        </w:rPr>
        <w:t xml:space="preserve">Д </w:t>
      </w:r>
      <w:proofErr w:type="spellStart"/>
      <w:r w:rsidRPr="00E16672">
        <w:rPr>
          <w:rFonts w:ascii="Times New Roman" w:eastAsia="Arial Unicode MS" w:hAnsi="Times New Roman"/>
          <w:szCs w:val="20"/>
        </w:rPr>
        <w:t>рік</w:t>
      </w:r>
      <w:proofErr w:type="spellEnd"/>
      <w:r w:rsidRPr="00E16672">
        <w:rPr>
          <w:rFonts w:ascii="Times New Roman" w:eastAsia="Arial Unicode MS" w:hAnsi="Times New Roman"/>
          <w:szCs w:val="20"/>
        </w:rPr>
        <w:t xml:space="preserve"> – </w:t>
      </w:r>
      <w:proofErr w:type="spellStart"/>
      <w:r w:rsidRPr="00E16672">
        <w:rPr>
          <w:rFonts w:ascii="Times New Roman" w:eastAsia="Arial Unicode MS" w:hAnsi="Times New Roman"/>
          <w:szCs w:val="20"/>
        </w:rPr>
        <w:t>кількість</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днів</w:t>
      </w:r>
      <w:proofErr w:type="spellEnd"/>
      <w:r w:rsidRPr="00E16672">
        <w:rPr>
          <w:rFonts w:ascii="Times New Roman" w:eastAsia="Arial Unicode MS" w:hAnsi="Times New Roman"/>
          <w:szCs w:val="20"/>
        </w:rPr>
        <w:t xml:space="preserve"> у </w:t>
      </w:r>
      <w:proofErr w:type="spellStart"/>
      <w:r w:rsidRPr="00E16672">
        <w:rPr>
          <w:rFonts w:ascii="Times New Roman" w:eastAsia="Arial Unicode MS" w:hAnsi="Times New Roman"/>
          <w:szCs w:val="20"/>
        </w:rPr>
        <w:t>році</w:t>
      </w:r>
      <w:proofErr w:type="spellEnd"/>
      <w:r w:rsidRPr="00E16672">
        <w:rPr>
          <w:rFonts w:ascii="Times New Roman" w:eastAsia="Arial Unicode MS" w:hAnsi="Times New Roman"/>
          <w:szCs w:val="20"/>
        </w:rPr>
        <w:t>;</w:t>
      </w:r>
    </w:p>
    <w:p w14:paraId="4648E046" w14:textId="77777777" w:rsidR="009A7EA8" w:rsidRPr="00E16672" w:rsidRDefault="009A7EA8" w:rsidP="009A7EA8">
      <w:pPr>
        <w:ind w:firstLine="709"/>
        <w:rPr>
          <w:rFonts w:ascii="Times New Roman" w:eastAsia="Arial Unicode MS" w:hAnsi="Times New Roman"/>
          <w:szCs w:val="20"/>
        </w:rPr>
      </w:pPr>
      <w:r w:rsidRPr="00E16672">
        <w:rPr>
          <w:rFonts w:ascii="Times New Roman" w:eastAsia="Arial Unicode MS" w:hAnsi="Times New Roman"/>
          <w:szCs w:val="20"/>
        </w:rPr>
        <w:t xml:space="preserve">Д </w:t>
      </w:r>
      <w:proofErr w:type="spellStart"/>
      <w:r w:rsidRPr="00E16672">
        <w:rPr>
          <w:rFonts w:ascii="Times New Roman" w:eastAsia="Arial Unicode MS" w:hAnsi="Times New Roman"/>
          <w:szCs w:val="20"/>
        </w:rPr>
        <w:t>нарахування</w:t>
      </w:r>
      <w:proofErr w:type="spellEnd"/>
      <w:r w:rsidRPr="00E16672">
        <w:rPr>
          <w:rFonts w:ascii="Times New Roman" w:eastAsia="Arial Unicode MS" w:hAnsi="Times New Roman"/>
          <w:szCs w:val="20"/>
        </w:rPr>
        <w:t xml:space="preserve"> – </w:t>
      </w:r>
      <w:proofErr w:type="spellStart"/>
      <w:r w:rsidRPr="00E16672">
        <w:rPr>
          <w:rFonts w:ascii="Times New Roman" w:eastAsia="Arial Unicode MS" w:hAnsi="Times New Roman"/>
          <w:szCs w:val="20"/>
        </w:rPr>
        <w:t>кількість</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днів</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нарахування</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пені</w:t>
      </w:r>
      <w:proofErr w:type="spellEnd"/>
      <w:r w:rsidRPr="00E16672">
        <w:rPr>
          <w:rFonts w:ascii="Times New Roman" w:eastAsia="Arial Unicode MS" w:hAnsi="Times New Roman"/>
          <w:szCs w:val="20"/>
        </w:rPr>
        <w:t>.</w:t>
      </w:r>
    </w:p>
    <w:p w14:paraId="74D0C67A" w14:textId="77777777" w:rsidR="009A7EA8" w:rsidRPr="00E16672" w:rsidRDefault="009A7EA8" w:rsidP="009A7EA8">
      <w:pPr>
        <w:ind w:firstLine="540"/>
        <w:rPr>
          <w:rFonts w:ascii="Times New Roman" w:eastAsia="Arial Unicode MS" w:hAnsi="Times New Roman"/>
          <w:szCs w:val="20"/>
        </w:rPr>
      </w:pPr>
      <w:r w:rsidRPr="00E16672">
        <w:rPr>
          <w:rFonts w:ascii="Times New Roman" w:eastAsia="Arial Unicode MS" w:hAnsi="Times New Roman"/>
          <w:szCs w:val="20"/>
        </w:rPr>
        <w:t xml:space="preserve">5.7.2. </w:t>
      </w:r>
      <w:proofErr w:type="spellStart"/>
      <w:r w:rsidRPr="00E16672">
        <w:rPr>
          <w:rFonts w:ascii="Times New Roman" w:eastAsia="Arial Unicode MS" w:hAnsi="Times New Roman"/>
          <w:szCs w:val="20"/>
        </w:rPr>
        <w:t>Депозитарна</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установа</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може</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пред'являти</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Емітенту</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вимоги</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стосовно</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сплати</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пені</w:t>
      </w:r>
      <w:proofErr w:type="spellEnd"/>
      <w:r w:rsidRPr="00E16672">
        <w:rPr>
          <w:rFonts w:ascii="Times New Roman" w:eastAsia="Arial Unicode MS" w:hAnsi="Times New Roman"/>
          <w:szCs w:val="20"/>
        </w:rPr>
        <w:t xml:space="preserve">, як шляхом </w:t>
      </w:r>
      <w:proofErr w:type="spellStart"/>
      <w:r w:rsidRPr="00E16672">
        <w:rPr>
          <w:rFonts w:ascii="Times New Roman" w:eastAsia="Arial Unicode MS" w:hAnsi="Times New Roman"/>
          <w:szCs w:val="20"/>
        </w:rPr>
        <w:t>надіслання</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платіжної</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вимоги-доручення</w:t>
      </w:r>
      <w:proofErr w:type="spellEnd"/>
      <w:r w:rsidRPr="00E16672">
        <w:rPr>
          <w:rFonts w:ascii="Times New Roman" w:eastAsia="Arial Unicode MS" w:hAnsi="Times New Roman"/>
          <w:szCs w:val="20"/>
        </w:rPr>
        <w:t xml:space="preserve">, так і шляхом </w:t>
      </w:r>
      <w:proofErr w:type="spellStart"/>
      <w:r w:rsidRPr="00E16672">
        <w:rPr>
          <w:rFonts w:ascii="Times New Roman" w:eastAsia="Arial Unicode MS" w:hAnsi="Times New Roman"/>
          <w:szCs w:val="20"/>
        </w:rPr>
        <w:t>звернення</w:t>
      </w:r>
      <w:proofErr w:type="spellEnd"/>
      <w:r w:rsidRPr="00E16672">
        <w:rPr>
          <w:rFonts w:ascii="Times New Roman" w:eastAsia="Arial Unicode MS" w:hAnsi="Times New Roman"/>
          <w:szCs w:val="20"/>
        </w:rPr>
        <w:t xml:space="preserve"> до </w:t>
      </w:r>
      <w:proofErr w:type="spellStart"/>
      <w:r w:rsidRPr="00E16672">
        <w:rPr>
          <w:rFonts w:ascii="Times New Roman" w:eastAsia="Arial Unicode MS" w:hAnsi="Times New Roman"/>
          <w:szCs w:val="20"/>
        </w:rPr>
        <w:t>Емітента</w:t>
      </w:r>
      <w:proofErr w:type="spellEnd"/>
      <w:r w:rsidRPr="00E16672">
        <w:rPr>
          <w:rFonts w:ascii="Times New Roman" w:eastAsia="Arial Unicode MS" w:hAnsi="Times New Roman"/>
          <w:szCs w:val="20"/>
        </w:rPr>
        <w:t xml:space="preserve"> з листом, </w:t>
      </w:r>
      <w:proofErr w:type="spellStart"/>
      <w:r w:rsidRPr="00E16672">
        <w:rPr>
          <w:rFonts w:ascii="Times New Roman" w:eastAsia="Arial Unicode MS" w:hAnsi="Times New Roman"/>
          <w:szCs w:val="20"/>
        </w:rPr>
        <w:t>телеграмою</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тощо</w:t>
      </w:r>
      <w:proofErr w:type="spellEnd"/>
      <w:r w:rsidRPr="00E16672">
        <w:rPr>
          <w:rFonts w:ascii="Times New Roman" w:eastAsia="Arial Unicode MS" w:hAnsi="Times New Roman"/>
          <w:szCs w:val="20"/>
        </w:rPr>
        <w:t>.</w:t>
      </w:r>
    </w:p>
    <w:p w14:paraId="085B297D" w14:textId="77777777" w:rsidR="009A7EA8" w:rsidRPr="00E16672" w:rsidRDefault="009A7EA8" w:rsidP="009A7EA8">
      <w:pPr>
        <w:rPr>
          <w:rFonts w:ascii="Times New Roman" w:eastAsia="Arial Unicode MS" w:hAnsi="Times New Roman"/>
          <w:szCs w:val="20"/>
        </w:rPr>
      </w:pPr>
      <w:r w:rsidRPr="00E16672">
        <w:rPr>
          <w:rFonts w:ascii="Times New Roman" w:eastAsia="Arial Unicode MS" w:hAnsi="Times New Roman"/>
          <w:szCs w:val="20"/>
        </w:rPr>
        <w:t xml:space="preserve">5.7.3. </w:t>
      </w:r>
      <w:proofErr w:type="spellStart"/>
      <w:r w:rsidRPr="00E16672">
        <w:rPr>
          <w:rFonts w:ascii="Times New Roman" w:eastAsia="Arial Unicode MS" w:hAnsi="Times New Roman"/>
          <w:szCs w:val="20"/>
        </w:rPr>
        <w:t>Емітент</w:t>
      </w:r>
      <w:proofErr w:type="spellEnd"/>
      <w:r w:rsidRPr="00E16672">
        <w:rPr>
          <w:rFonts w:ascii="Times New Roman" w:eastAsia="Arial Unicode MS" w:hAnsi="Times New Roman"/>
          <w:szCs w:val="20"/>
        </w:rPr>
        <w:t xml:space="preserve"> повинен </w:t>
      </w:r>
      <w:proofErr w:type="spellStart"/>
      <w:r w:rsidRPr="00E16672">
        <w:rPr>
          <w:rFonts w:ascii="Times New Roman" w:eastAsia="Arial Unicode MS" w:hAnsi="Times New Roman"/>
          <w:szCs w:val="20"/>
        </w:rPr>
        <w:t>виконати</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зобов'язання</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визначене</w:t>
      </w:r>
      <w:proofErr w:type="spellEnd"/>
      <w:r w:rsidRPr="00E16672">
        <w:rPr>
          <w:rFonts w:ascii="Times New Roman" w:eastAsia="Arial Unicode MS" w:hAnsi="Times New Roman"/>
          <w:szCs w:val="20"/>
        </w:rPr>
        <w:t xml:space="preserve"> п.5.7., у </w:t>
      </w:r>
      <w:proofErr w:type="spellStart"/>
      <w:r w:rsidRPr="00E16672">
        <w:rPr>
          <w:rFonts w:ascii="Times New Roman" w:eastAsia="Arial Unicode MS" w:hAnsi="Times New Roman"/>
          <w:i/>
          <w:szCs w:val="20"/>
        </w:rPr>
        <w:t>п’ятиденний</w:t>
      </w:r>
      <w:proofErr w:type="spellEnd"/>
      <w:r w:rsidRPr="00E16672">
        <w:rPr>
          <w:rFonts w:ascii="Times New Roman" w:eastAsia="Arial Unicode MS" w:hAnsi="Times New Roman"/>
          <w:szCs w:val="20"/>
        </w:rPr>
        <w:t xml:space="preserve"> строк з дня </w:t>
      </w:r>
      <w:proofErr w:type="spellStart"/>
      <w:r w:rsidRPr="00E16672">
        <w:rPr>
          <w:rFonts w:ascii="Times New Roman" w:eastAsia="Arial Unicode MS" w:hAnsi="Times New Roman"/>
          <w:szCs w:val="20"/>
        </w:rPr>
        <w:t>пред'явлення</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вимоги</w:t>
      </w:r>
      <w:proofErr w:type="spellEnd"/>
      <w:r w:rsidRPr="00E16672">
        <w:rPr>
          <w:rFonts w:ascii="Times New Roman" w:eastAsia="Arial Unicode MS" w:hAnsi="Times New Roman"/>
          <w:szCs w:val="20"/>
        </w:rPr>
        <w:t xml:space="preserve"> Депозитарною </w:t>
      </w:r>
      <w:proofErr w:type="spellStart"/>
      <w:r w:rsidRPr="00E16672">
        <w:rPr>
          <w:rFonts w:ascii="Times New Roman" w:eastAsia="Arial Unicode MS" w:hAnsi="Times New Roman"/>
          <w:szCs w:val="20"/>
        </w:rPr>
        <w:t>установою</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згідно</w:t>
      </w:r>
      <w:proofErr w:type="spellEnd"/>
      <w:r w:rsidRPr="00E16672">
        <w:rPr>
          <w:rFonts w:ascii="Times New Roman" w:eastAsia="Arial Unicode MS" w:hAnsi="Times New Roman"/>
          <w:szCs w:val="20"/>
        </w:rPr>
        <w:t xml:space="preserve"> з пп.5.7.2. Таким днем </w:t>
      </w:r>
      <w:proofErr w:type="spellStart"/>
      <w:r w:rsidRPr="00E16672">
        <w:rPr>
          <w:rFonts w:ascii="Times New Roman" w:eastAsia="Arial Unicode MS" w:hAnsi="Times New Roman"/>
          <w:szCs w:val="20"/>
        </w:rPr>
        <w:t>слід</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вважати</w:t>
      </w:r>
      <w:proofErr w:type="spellEnd"/>
      <w:r w:rsidRPr="00E16672">
        <w:rPr>
          <w:rFonts w:ascii="Times New Roman" w:eastAsia="Arial Unicode MS" w:hAnsi="Times New Roman"/>
          <w:szCs w:val="20"/>
        </w:rPr>
        <w:t xml:space="preserve"> дату </w:t>
      </w:r>
      <w:proofErr w:type="spellStart"/>
      <w:r w:rsidRPr="00E16672">
        <w:rPr>
          <w:rFonts w:ascii="Times New Roman" w:eastAsia="Arial Unicode MS" w:hAnsi="Times New Roman"/>
          <w:szCs w:val="20"/>
        </w:rPr>
        <w:t>одержання</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вимоги</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Емітента</w:t>
      </w:r>
      <w:proofErr w:type="spellEnd"/>
      <w:r w:rsidRPr="00E16672">
        <w:rPr>
          <w:rFonts w:ascii="Times New Roman" w:eastAsia="Arial Unicode MS" w:hAnsi="Times New Roman"/>
          <w:szCs w:val="20"/>
        </w:rPr>
        <w:t>.</w:t>
      </w:r>
    </w:p>
    <w:p w14:paraId="2C535AEE" w14:textId="77777777" w:rsidR="009A7EA8" w:rsidRPr="00E16672" w:rsidRDefault="009A7EA8" w:rsidP="009A7EA8">
      <w:pPr>
        <w:rPr>
          <w:rFonts w:ascii="Times New Roman" w:eastAsia="Arial Unicode MS" w:hAnsi="Times New Roman"/>
          <w:szCs w:val="20"/>
        </w:rPr>
      </w:pPr>
      <w:r w:rsidRPr="00E16672">
        <w:rPr>
          <w:rFonts w:ascii="Times New Roman" w:eastAsia="Arial Unicode MS" w:hAnsi="Times New Roman"/>
          <w:szCs w:val="20"/>
        </w:rPr>
        <w:t xml:space="preserve">5.7.4. При </w:t>
      </w:r>
      <w:proofErr w:type="spellStart"/>
      <w:r w:rsidRPr="00E16672">
        <w:rPr>
          <w:rFonts w:ascii="Times New Roman" w:eastAsia="Arial Unicode MS" w:hAnsi="Times New Roman"/>
          <w:szCs w:val="20"/>
        </w:rPr>
        <w:t>цьому</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визнання</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Емітентом</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претензії</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Депозитарної</w:t>
      </w:r>
      <w:proofErr w:type="spellEnd"/>
      <w:r w:rsidRPr="00E16672">
        <w:rPr>
          <w:rFonts w:ascii="Times New Roman" w:eastAsia="Arial Unicode MS" w:hAnsi="Times New Roman"/>
          <w:szCs w:val="20"/>
        </w:rPr>
        <w:t xml:space="preserve"> установи про оплату </w:t>
      </w:r>
      <w:proofErr w:type="spellStart"/>
      <w:r w:rsidRPr="00E16672">
        <w:rPr>
          <w:rFonts w:ascii="Times New Roman" w:eastAsia="Arial Unicode MS" w:hAnsi="Times New Roman"/>
          <w:szCs w:val="20"/>
        </w:rPr>
        <w:t>послуг</w:t>
      </w:r>
      <w:proofErr w:type="spellEnd"/>
      <w:r w:rsidRPr="00E16672">
        <w:rPr>
          <w:rFonts w:ascii="Times New Roman" w:eastAsia="Arial Unicode MS" w:hAnsi="Times New Roman"/>
          <w:szCs w:val="20"/>
        </w:rPr>
        <w:t xml:space="preserve"> без </w:t>
      </w:r>
      <w:proofErr w:type="spellStart"/>
      <w:r w:rsidRPr="00E16672">
        <w:rPr>
          <w:rFonts w:ascii="Times New Roman" w:eastAsia="Arial Unicode MS" w:hAnsi="Times New Roman"/>
          <w:szCs w:val="20"/>
        </w:rPr>
        <w:t>перерахування</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заборгованості</w:t>
      </w:r>
      <w:proofErr w:type="spellEnd"/>
      <w:r w:rsidRPr="00E16672">
        <w:rPr>
          <w:rFonts w:ascii="Times New Roman" w:eastAsia="Arial Unicode MS" w:hAnsi="Times New Roman"/>
          <w:szCs w:val="20"/>
        </w:rPr>
        <w:t xml:space="preserve"> не </w:t>
      </w:r>
      <w:proofErr w:type="spellStart"/>
      <w:r w:rsidRPr="00E16672">
        <w:rPr>
          <w:rFonts w:ascii="Times New Roman" w:eastAsia="Arial Unicode MS" w:hAnsi="Times New Roman"/>
          <w:szCs w:val="20"/>
        </w:rPr>
        <w:t>може</w:t>
      </w:r>
      <w:proofErr w:type="spellEnd"/>
      <w:r w:rsidRPr="00E16672">
        <w:rPr>
          <w:rFonts w:ascii="Times New Roman" w:eastAsia="Arial Unicode MS" w:hAnsi="Times New Roman"/>
          <w:szCs w:val="20"/>
        </w:rPr>
        <w:t xml:space="preserve"> бути </w:t>
      </w:r>
      <w:proofErr w:type="spellStart"/>
      <w:r w:rsidRPr="00E16672">
        <w:rPr>
          <w:rFonts w:ascii="Times New Roman" w:eastAsia="Arial Unicode MS" w:hAnsi="Times New Roman"/>
          <w:szCs w:val="20"/>
        </w:rPr>
        <w:t>підставою</w:t>
      </w:r>
      <w:proofErr w:type="spellEnd"/>
      <w:r w:rsidRPr="00E16672">
        <w:rPr>
          <w:rFonts w:ascii="Times New Roman" w:eastAsia="Arial Unicode MS" w:hAnsi="Times New Roman"/>
          <w:szCs w:val="20"/>
        </w:rPr>
        <w:t xml:space="preserve"> для </w:t>
      </w:r>
      <w:proofErr w:type="spellStart"/>
      <w:r w:rsidRPr="00E16672">
        <w:rPr>
          <w:rFonts w:ascii="Times New Roman" w:eastAsia="Arial Unicode MS" w:hAnsi="Times New Roman"/>
          <w:szCs w:val="20"/>
        </w:rPr>
        <w:t>припинення</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нарахування</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пені</w:t>
      </w:r>
      <w:proofErr w:type="spellEnd"/>
      <w:r w:rsidRPr="00E16672">
        <w:rPr>
          <w:rFonts w:ascii="Times New Roman" w:eastAsia="Arial Unicode MS" w:hAnsi="Times New Roman"/>
          <w:szCs w:val="20"/>
        </w:rPr>
        <w:t xml:space="preserve"> за прострочку платежу.</w:t>
      </w:r>
    </w:p>
    <w:p w14:paraId="14D430FC" w14:textId="77777777" w:rsidR="009A7EA8" w:rsidRPr="00E16672" w:rsidRDefault="009A7EA8" w:rsidP="009A7EA8">
      <w:pPr>
        <w:rPr>
          <w:rFonts w:ascii="Times New Roman" w:eastAsia="Arial Unicode MS" w:hAnsi="Times New Roman"/>
          <w:szCs w:val="20"/>
        </w:rPr>
      </w:pPr>
      <w:r w:rsidRPr="00E16672">
        <w:rPr>
          <w:rFonts w:ascii="Times New Roman" w:eastAsia="Arial Unicode MS" w:hAnsi="Times New Roman"/>
          <w:szCs w:val="20"/>
        </w:rPr>
        <w:t xml:space="preserve">5.8. </w:t>
      </w:r>
      <w:proofErr w:type="spellStart"/>
      <w:r w:rsidRPr="00E16672">
        <w:rPr>
          <w:rFonts w:ascii="Times New Roman" w:eastAsia="Arial Unicode MS" w:hAnsi="Times New Roman"/>
          <w:szCs w:val="20"/>
        </w:rPr>
        <w:t>Прострочення</w:t>
      </w:r>
      <w:proofErr w:type="spellEnd"/>
      <w:r w:rsidRPr="00E16672">
        <w:rPr>
          <w:rFonts w:ascii="Times New Roman" w:eastAsia="Arial Unicode MS" w:hAnsi="Times New Roman"/>
          <w:szCs w:val="20"/>
        </w:rPr>
        <w:t xml:space="preserve"> платежу </w:t>
      </w:r>
      <w:proofErr w:type="spellStart"/>
      <w:r w:rsidRPr="00E16672">
        <w:rPr>
          <w:rFonts w:ascii="Times New Roman" w:eastAsia="Arial Unicode MS" w:hAnsi="Times New Roman"/>
          <w:szCs w:val="20"/>
        </w:rPr>
        <w:t>більш</w:t>
      </w:r>
      <w:proofErr w:type="spellEnd"/>
      <w:r w:rsidRPr="00E16672">
        <w:rPr>
          <w:rFonts w:ascii="Times New Roman" w:eastAsia="Arial Unicode MS" w:hAnsi="Times New Roman"/>
          <w:szCs w:val="20"/>
        </w:rPr>
        <w:t xml:space="preserve"> як на 180 </w:t>
      </w:r>
      <w:proofErr w:type="spellStart"/>
      <w:r w:rsidRPr="00E16672">
        <w:rPr>
          <w:rFonts w:ascii="Times New Roman" w:eastAsia="Arial Unicode MS" w:hAnsi="Times New Roman"/>
          <w:szCs w:val="20"/>
        </w:rPr>
        <w:t>днів</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вважається</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відмовою</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від</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виконання</w:t>
      </w:r>
      <w:proofErr w:type="spellEnd"/>
      <w:r w:rsidRPr="00E16672">
        <w:rPr>
          <w:rFonts w:ascii="Times New Roman" w:eastAsia="Arial Unicode MS" w:hAnsi="Times New Roman"/>
          <w:szCs w:val="20"/>
        </w:rPr>
        <w:t xml:space="preserve"> умов Договору, у </w:t>
      </w:r>
      <w:proofErr w:type="spellStart"/>
      <w:r w:rsidRPr="00E16672">
        <w:rPr>
          <w:rFonts w:ascii="Times New Roman" w:eastAsia="Arial Unicode MS" w:hAnsi="Times New Roman"/>
          <w:szCs w:val="20"/>
        </w:rPr>
        <w:t>зв'язку</w:t>
      </w:r>
      <w:proofErr w:type="spellEnd"/>
      <w:r w:rsidRPr="00E16672">
        <w:rPr>
          <w:rFonts w:ascii="Times New Roman" w:eastAsia="Arial Unicode MS" w:hAnsi="Times New Roman"/>
          <w:szCs w:val="20"/>
        </w:rPr>
        <w:t xml:space="preserve"> з </w:t>
      </w:r>
      <w:proofErr w:type="spellStart"/>
      <w:r w:rsidRPr="00E16672">
        <w:rPr>
          <w:rFonts w:ascii="Times New Roman" w:eastAsia="Arial Unicode MS" w:hAnsi="Times New Roman"/>
          <w:szCs w:val="20"/>
        </w:rPr>
        <w:t>чим</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Депозитарна</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установа</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має</w:t>
      </w:r>
      <w:proofErr w:type="spellEnd"/>
      <w:r w:rsidRPr="00E16672">
        <w:rPr>
          <w:rFonts w:ascii="Times New Roman" w:eastAsia="Arial Unicode MS" w:hAnsi="Times New Roman"/>
          <w:szCs w:val="20"/>
        </w:rPr>
        <w:t xml:space="preserve"> право </w:t>
      </w:r>
      <w:proofErr w:type="spellStart"/>
      <w:r w:rsidRPr="00E16672">
        <w:rPr>
          <w:rFonts w:ascii="Times New Roman" w:eastAsia="Arial Unicode MS" w:hAnsi="Times New Roman"/>
          <w:szCs w:val="20"/>
        </w:rPr>
        <w:t>нарахувати</w:t>
      </w:r>
      <w:proofErr w:type="spellEnd"/>
      <w:r w:rsidRPr="00E16672">
        <w:rPr>
          <w:rFonts w:ascii="Times New Roman" w:eastAsia="Arial Unicode MS" w:hAnsi="Times New Roman"/>
          <w:szCs w:val="20"/>
        </w:rPr>
        <w:t xml:space="preserve"> та </w:t>
      </w:r>
      <w:proofErr w:type="spellStart"/>
      <w:r w:rsidRPr="00E16672">
        <w:rPr>
          <w:rFonts w:ascii="Times New Roman" w:eastAsia="Arial Unicode MS" w:hAnsi="Times New Roman"/>
          <w:szCs w:val="20"/>
        </w:rPr>
        <w:t>стягнути</w:t>
      </w:r>
      <w:proofErr w:type="spellEnd"/>
      <w:r w:rsidRPr="00E16672">
        <w:rPr>
          <w:rFonts w:ascii="Times New Roman" w:eastAsia="Arial Unicode MS" w:hAnsi="Times New Roman"/>
          <w:szCs w:val="20"/>
        </w:rPr>
        <w:t xml:space="preserve"> з </w:t>
      </w:r>
      <w:proofErr w:type="spellStart"/>
      <w:r w:rsidRPr="00E16672">
        <w:rPr>
          <w:rFonts w:ascii="Times New Roman" w:eastAsia="Arial Unicode MS" w:hAnsi="Times New Roman"/>
          <w:szCs w:val="20"/>
        </w:rPr>
        <w:t>іншої</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Сторони</w:t>
      </w:r>
      <w:proofErr w:type="spellEnd"/>
      <w:r w:rsidRPr="00E16672">
        <w:rPr>
          <w:rFonts w:ascii="Times New Roman" w:eastAsia="Arial Unicode MS" w:hAnsi="Times New Roman"/>
          <w:szCs w:val="20"/>
        </w:rPr>
        <w:t xml:space="preserve">, штраф у </w:t>
      </w:r>
      <w:proofErr w:type="spellStart"/>
      <w:r w:rsidRPr="00E16672">
        <w:rPr>
          <w:rFonts w:ascii="Times New Roman" w:eastAsia="Arial Unicode MS" w:hAnsi="Times New Roman"/>
          <w:szCs w:val="20"/>
        </w:rPr>
        <w:t>розмірі</w:t>
      </w:r>
      <w:proofErr w:type="spellEnd"/>
      <w:r w:rsidRPr="00E16672">
        <w:rPr>
          <w:rFonts w:ascii="Times New Roman" w:eastAsia="Arial Unicode MS" w:hAnsi="Times New Roman"/>
          <w:szCs w:val="20"/>
        </w:rPr>
        <w:t xml:space="preserve"> 20% </w:t>
      </w:r>
      <w:proofErr w:type="spellStart"/>
      <w:r w:rsidRPr="00E16672">
        <w:rPr>
          <w:rFonts w:ascii="Times New Roman" w:eastAsia="Arial Unicode MS" w:hAnsi="Times New Roman"/>
          <w:szCs w:val="20"/>
        </w:rPr>
        <w:t>від</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суми</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невиконаного</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зобов'язання</w:t>
      </w:r>
      <w:proofErr w:type="spellEnd"/>
      <w:r w:rsidRPr="00E16672">
        <w:rPr>
          <w:rFonts w:ascii="Times New Roman" w:eastAsia="Arial Unicode MS" w:hAnsi="Times New Roman"/>
          <w:szCs w:val="20"/>
        </w:rPr>
        <w:t>.</w:t>
      </w:r>
    </w:p>
    <w:p w14:paraId="2B67E2D4" w14:textId="77777777" w:rsidR="009A7EA8" w:rsidRPr="00E16672" w:rsidRDefault="009A7EA8" w:rsidP="009A7EA8">
      <w:pPr>
        <w:rPr>
          <w:rFonts w:ascii="Times New Roman" w:eastAsia="Arial Unicode MS" w:hAnsi="Times New Roman"/>
          <w:szCs w:val="20"/>
        </w:rPr>
      </w:pPr>
      <w:r w:rsidRPr="00E16672">
        <w:rPr>
          <w:rFonts w:ascii="Times New Roman" w:eastAsia="Arial Unicode MS" w:hAnsi="Times New Roman"/>
          <w:szCs w:val="20"/>
        </w:rPr>
        <w:t xml:space="preserve">5.8.1. </w:t>
      </w:r>
      <w:proofErr w:type="spellStart"/>
      <w:r w:rsidRPr="00E16672">
        <w:rPr>
          <w:rFonts w:ascii="Times New Roman" w:eastAsia="Arial Unicode MS" w:hAnsi="Times New Roman"/>
          <w:szCs w:val="20"/>
        </w:rPr>
        <w:t>Депозитарна</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установа</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може</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пред'являти</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Емітенту</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вимоги</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стосовно</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сплати</w:t>
      </w:r>
      <w:proofErr w:type="spellEnd"/>
      <w:r w:rsidRPr="00E16672">
        <w:rPr>
          <w:rFonts w:ascii="Times New Roman" w:eastAsia="Arial Unicode MS" w:hAnsi="Times New Roman"/>
          <w:szCs w:val="20"/>
        </w:rPr>
        <w:t xml:space="preserve"> штрафу, як шляхом </w:t>
      </w:r>
      <w:proofErr w:type="spellStart"/>
      <w:r w:rsidRPr="00E16672">
        <w:rPr>
          <w:rFonts w:ascii="Times New Roman" w:eastAsia="Arial Unicode MS" w:hAnsi="Times New Roman"/>
          <w:szCs w:val="20"/>
        </w:rPr>
        <w:t>надіслання</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платіжної</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вимоги-доручення</w:t>
      </w:r>
      <w:proofErr w:type="spellEnd"/>
      <w:r w:rsidRPr="00E16672">
        <w:rPr>
          <w:rFonts w:ascii="Times New Roman" w:eastAsia="Arial Unicode MS" w:hAnsi="Times New Roman"/>
          <w:szCs w:val="20"/>
        </w:rPr>
        <w:t xml:space="preserve">, так і шляхом </w:t>
      </w:r>
      <w:proofErr w:type="spellStart"/>
      <w:r w:rsidRPr="00E16672">
        <w:rPr>
          <w:rFonts w:ascii="Times New Roman" w:eastAsia="Arial Unicode MS" w:hAnsi="Times New Roman"/>
          <w:szCs w:val="20"/>
        </w:rPr>
        <w:t>звернення</w:t>
      </w:r>
      <w:proofErr w:type="spellEnd"/>
      <w:r w:rsidRPr="00E16672">
        <w:rPr>
          <w:rFonts w:ascii="Times New Roman" w:eastAsia="Arial Unicode MS" w:hAnsi="Times New Roman"/>
          <w:szCs w:val="20"/>
        </w:rPr>
        <w:t xml:space="preserve"> до </w:t>
      </w:r>
      <w:proofErr w:type="spellStart"/>
      <w:r w:rsidRPr="00E16672">
        <w:rPr>
          <w:rFonts w:ascii="Times New Roman" w:eastAsia="Arial Unicode MS" w:hAnsi="Times New Roman"/>
          <w:szCs w:val="20"/>
        </w:rPr>
        <w:t>Емітента</w:t>
      </w:r>
      <w:proofErr w:type="spellEnd"/>
      <w:r w:rsidRPr="00E16672">
        <w:rPr>
          <w:rFonts w:ascii="Times New Roman" w:eastAsia="Arial Unicode MS" w:hAnsi="Times New Roman"/>
          <w:szCs w:val="20"/>
        </w:rPr>
        <w:t xml:space="preserve"> з листом, </w:t>
      </w:r>
      <w:proofErr w:type="spellStart"/>
      <w:r w:rsidRPr="00E16672">
        <w:rPr>
          <w:rFonts w:ascii="Times New Roman" w:eastAsia="Arial Unicode MS" w:hAnsi="Times New Roman"/>
          <w:szCs w:val="20"/>
        </w:rPr>
        <w:t>телеграмою</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тощо</w:t>
      </w:r>
      <w:proofErr w:type="spellEnd"/>
      <w:r w:rsidRPr="00E16672">
        <w:rPr>
          <w:rFonts w:ascii="Times New Roman" w:eastAsia="Arial Unicode MS" w:hAnsi="Times New Roman"/>
          <w:szCs w:val="20"/>
        </w:rPr>
        <w:t>.</w:t>
      </w:r>
    </w:p>
    <w:p w14:paraId="4B75AA18" w14:textId="77777777" w:rsidR="009A7EA8" w:rsidRPr="00E16672" w:rsidRDefault="009A7EA8" w:rsidP="009A7EA8">
      <w:pPr>
        <w:rPr>
          <w:rFonts w:ascii="Times New Roman" w:eastAsia="Arial Unicode MS" w:hAnsi="Times New Roman"/>
          <w:szCs w:val="20"/>
        </w:rPr>
      </w:pPr>
      <w:r w:rsidRPr="00E16672">
        <w:rPr>
          <w:rFonts w:ascii="Times New Roman" w:eastAsia="Arial Unicode MS" w:hAnsi="Times New Roman"/>
          <w:szCs w:val="20"/>
        </w:rPr>
        <w:t xml:space="preserve">5.8.2. </w:t>
      </w:r>
      <w:proofErr w:type="spellStart"/>
      <w:r w:rsidRPr="00E16672">
        <w:rPr>
          <w:rFonts w:ascii="Times New Roman" w:eastAsia="Arial Unicode MS" w:hAnsi="Times New Roman"/>
          <w:szCs w:val="20"/>
        </w:rPr>
        <w:t>Емітент</w:t>
      </w:r>
      <w:proofErr w:type="spellEnd"/>
      <w:r w:rsidRPr="00E16672">
        <w:rPr>
          <w:rFonts w:ascii="Times New Roman" w:eastAsia="Arial Unicode MS" w:hAnsi="Times New Roman"/>
          <w:szCs w:val="20"/>
        </w:rPr>
        <w:t xml:space="preserve"> повинен </w:t>
      </w:r>
      <w:proofErr w:type="spellStart"/>
      <w:r w:rsidRPr="00E16672">
        <w:rPr>
          <w:rFonts w:ascii="Times New Roman" w:eastAsia="Arial Unicode MS" w:hAnsi="Times New Roman"/>
          <w:szCs w:val="20"/>
        </w:rPr>
        <w:t>виконати</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зобов'язання</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визначене</w:t>
      </w:r>
      <w:proofErr w:type="spellEnd"/>
      <w:r w:rsidRPr="00E16672">
        <w:rPr>
          <w:rFonts w:ascii="Times New Roman" w:eastAsia="Arial Unicode MS" w:hAnsi="Times New Roman"/>
          <w:szCs w:val="20"/>
        </w:rPr>
        <w:t xml:space="preserve"> п.5.8., у </w:t>
      </w:r>
      <w:proofErr w:type="spellStart"/>
      <w:r w:rsidRPr="00E16672">
        <w:rPr>
          <w:rFonts w:ascii="Times New Roman" w:eastAsia="Arial Unicode MS" w:hAnsi="Times New Roman"/>
          <w:i/>
          <w:szCs w:val="20"/>
        </w:rPr>
        <w:t>п’ятиденний</w:t>
      </w:r>
      <w:proofErr w:type="spellEnd"/>
      <w:r w:rsidRPr="00E16672">
        <w:rPr>
          <w:rFonts w:ascii="Times New Roman" w:eastAsia="Arial Unicode MS" w:hAnsi="Times New Roman"/>
          <w:szCs w:val="20"/>
        </w:rPr>
        <w:t xml:space="preserve"> строк з дня </w:t>
      </w:r>
      <w:proofErr w:type="spellStart"/>
      <w:r w:rsidRPr="00E16672">
        <w:rPr>
          <w:rFonts w:ascii="Times New Roman" w:eastAsia="Arial Unicode MS" w:hAnsi="Times New Roman"/>
          <w:szCs w:val="20"/>
        </w:rPr>
        <w:t>пред'явлення</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вимоги</w:t>
      </w:r>
      <w:proofErr w:type="spellEnd"/>
      <w:r w:rsidRPr="00E16672">
        <w:rPr>
          <w:rFonts w:ascii="Times New Roman" w:eastAsia="Arial Unicode MS" w:hAnsi="Times New Roman"/>
          <w:szCs w:val="20"/>
        </w:rPr>
        <w:t xml:space="preserve"> Депозитарною </w:t>
      </w:r>
      <w:proofErr w:type="spellStart"/>
      <w:r w:rsidRPr="00E16672">
        <w:rPr>
          <w:rFonts w:ascii="Times New Roman" w:eastAsia="Arial Unicode MS" w:hAnsi="Times New Roman"/>
          <w:szCs w:val="20"/>
        </w:rPr>
        <w:t>установою</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згідно</w:t>
      </w:r>
      <w:proofErr w:type="spellEnd"/>
      <w:r w:rsidRPr="00E16672">
        <w:rPr>
          <w:rFonts w:ascii="Times New Roman" w:eastAsia="Arial Unicode MS" w:hAnsi="Times New Roman"/>
          <w:szCs w:val="20"/>
        </w:rPr>
        <w:t xml:space="preserve"> з пп.5.</w:t>
      </w:r>
      <w:proofErr w:type="gramStart"/>
      <w:r w:rsidRPr="00E16672">
        <w:rPr>
          <w:rFonts w:ascii="Times New Roman" w:eastAsia="Arial Unicode MS" w:hAnsi="Times New Roman"/>
          <w:szCs w:val="20"/>
        </w:rPr>
        <w:t>8.1..</w:t>
      </w:r>
      <w:proofErr w:type="gramEnd"/>
      <w:r w:rsidRPr="00E16672">
        <w:rPr>
          <w:rFonts w:ascii="Times New Roman" w:eastAsia="Arial Unicode MS" w:hAnsi="Times New Roman"/>
          <w:szCs w:val="20"/>
        </w:rPr>
        <w:t xml:space="preserve"> Таким днем </w:t>
      </w:r>
      <w:proofErr w:type="spellStart"/>
      <w:r w:rsidRPr="00E16672">
        <w:rPr>
          <w:rFonts w:ascii="Times New Roman" w:eastAsia="Arial Unicode MS" w:hAnsi="Times New Roman"/>
          <w:szCs w:val="20"/>
        </w:rPr>
        <w:t>слід</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вважати</w:t>
      </w:r>
      <w:proofErr w:type="spellEnd"/>
      <w:r w:rsidRPr="00E16672">
        <w:rPr>
          <w:rFonts w:ascii="Times New Roman" w:eastAsia="Arial Unicode MS" w:hAnsi="Times New Roman"/>
          <w:szCs w:val="20"/>
        </w:rPr>
        <w:t xml:space="preserve"> дату </w:t>
      </w:r>
      <w:proofErr w:type="spellStart"/>
      <w:r w:rsidRPr="00E16672">
        <w:rPr>
          <w:rFonts w:ascii="Times New Roman" w:eastAsia="Arial Unicode MS" w:hAnsi="Times New Roman"/>
          <w:szCs w:val="20"/>
        </w:rPr>
        <w:t>одержання</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вимоги</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Емітентом</w:t>
      </w:r>
      <w:proofErr w:type="spellEnd"/>
      <w:r w:rsidRPr="00E16672">
        <w:rPr>
          <w:rFonts w:ascii="Times New Roman" w:eastAsia="Arial Unicode MS" w:hAnsi="Times New Roman"/>
          <w:szCs w:val="20"/>
        </w:rPr>
        <w:t>.</w:t>
      </w:r>
    </w:p>
    <w:p w14:paraId="7C0B34B4" w14:textId="77777777" w:rsidR="009A7EA8" w:rsidRPr="00E16672" w:rsidRDefault="009A7EA8" w:rsidP="009A7EA8">
      <w:pPr>
        <w:pStyle w:val="22"/>
        <w:ind w:firstLine="567"/>
        <w:rPr>
          <w:rFonts w:ascii="Times New Roman" w:eastAsia="Arial Unicode MS" w:hAnsi="Times New Roman"/>
        </w:rPr>
      </w:pPr>
      <w:r w:rsidRPr="00E16672">
        <w:rPr>
          <w:rFonts w:ascii="Times New Roman" w:eastAsia="Arial Unicode MS" w:hAnsi="Times New Roman"/>
        </w:rPr>
        <w:t>5.9. Виплата пені та штрафів не звільняє Сторони від виконання обов’язків згідно з умовами цього Договору.</w:t>
      </w:r>
    </w:p>
    <w:p w14:paraId="54F1E35D" w14:textId="77777777" w:rsidR="009A7EA8" w:rsidRPr="00E16672" w:rsidRDefault="009A7EA8" w:rsidP="009A7EA8">
      <w:pPr>
        <w:pStyle w:val="22"/>
        <w:ind w:firstLine="567"/>
        <w:rPr>
          <w:rFonts w:ascii="Times New Roman" w:eastAsia="Arial Unicode MS" w:hAnsi="Times New Roman"/>
        </w:rPr>
      </w:pPr>
      <w:r w:rsidRPr="00E16672">
        <w:rPr>
          <w:rFonts w:ascii="Times New Roman" w:eastAsia="Arial Unicode MS" w:hAnsi="Times New Roman"/>
        </w:rPr>
        <w:t>5.10. Обмін інформацією між Сторонами здійснюється шляхом письмового обміну, засобами телефонного зв`язку, якщо інформація не відноситься до конфіденційної.</w:t>
      </w:r>
    </w:p>
    <w:p w14:paraId="5EAC37EE" w14:textId="77777777" w:rsidR="009A7EA8" w:rsidRPr="00E16672" w:rsidRDefault="009A7EA8" w:rsidP="009A7EA8">
      <w:pPr>
        <w:rPr>
          <w:rFonts w:ascii="Times New Roman" w:eastAsia="Arial Unicode MS" w:hAnsi="Times New Roman"/>
          <w:szCs w:val="20"/>
        </w:rPr>
      </w:pPr>
    </w:p>
    <w:p w14:paraId="0FEA9ACD" w14:textId="77777777" w:rsidR="009A7EA8" w:rsidRPr="00E16672" w:rsidRDefault="009A7EA8" w:rsidP="009A7EA8">
      <w:pPr>
        <w:jc w:val="center"/>
        <w:rPr>
          <w:rFonts w:ascii="Times New Roman" w:eastAsia="Arial Unicode MS" w:hAnsi="Times New Roman"/>
          <w:b/>
          <w:bCs/>
          <w:szCs w:val="20"/>
        </w:rPr>
      </w:pPr>
      <w:r w:rsidRPr="00E16672">
        <w:rPr>
          <w:rFonts w:ascii="Times New Roman" w:eastAsia="Arial Unicode MS" w:hAnsi="Times New Roman"/>
          <w:b/>
          <w:bCs/>
          <w:szCs w:val="20"/>
        </w:rPr>
        <w:t>6. СПОСІБ ТА ПОРЯДОК ОБМІНУ ІНФОРМАЦІЄЮ МІЖ СТОРОНАМИ</w:t>
      </w:r>
    </w:p>
    <w:p w14:paraId="36416F2F" w14:textId="77777777" w:rsidR="009A7EA8" w:rsidRPr="00E16672" w:rsidRDefault="009A7EA8" w:rsidP="009A7EA8">
      <w:pPr>
        <w:rPr>
          <w:rFonts w:ascii="Times New Roman" w:hAnsi="Times New Roman"/>
          <w:szCs w:val="20"/>
        </w:rPr>
      </w:pPr>
      <w:r w:rsidRPr="00E16672">
        <w:rPr>
          <w:rFonts w:ascii="Times New Roman" w:hAnsi="Times New Roman"/>
          <w:szCs w:val="20"/>
        </w:rPr>
        <w:t xml:space="preserve">6.1. </w:t>
      </w:r>
      <w:proofErr w:type="spellStart"/>
      <w:r w:rsidRPr="00E16672">
        <w:rPr>
          <w:rFonts w:ascii="Times New Roman" w:hAnsi="Times New Roman"/>
          <w:szCs w:val="20"/>
        </w:rPr>
        <w:t>Обмін</w:t>
      </w:r>
      <w:proofErr w:type="spellEnd"/>
      <w:r w:rsidRPr="00E16672">
        <w:rPr>
          <w:rFonts w:ascii="Times New Roman" w:hAnsi="Times New Roman"/>
          <w:szCs w:val="20"/>
        </w:rPr>
        <w:t xml:space="preserve"> </w:t>
      </w:r>
      <w:proofErr w:type="spellStart"/>
      <w:r w:rsidRPr="00E16672">
        <w:rPr>
          <w:rFonts w:ascii="Times New Roman" w:hAnsi="Times New Roman"/>
          <w:szCs w:val="20"/>
        </w:rPr>
        <w:t>розпорядженнями</w:t>
      </w:r>
      <w:proofErr w:type="spellEnd"/>
      <w:r w:rsidRPr="00E16672">
        <w:rPr>
          <w:rFonts w:ascii="Times New Roman" w:hAnsi="Times New Roman"/>
          <w:szCs w:val="20"/>
        </w:rPr>
        <w:t xml:space="preserve">, </w:t>
      </w:r>
      <w:proofErr w:type="spellStart"/>
      <w:r w:rsidRPr="00E16672">
        <w:rPr>
          <w:rFonts w:ascii="Times New Roman" w:hAnsi="Times New Roman"/>
          <w:szCs w:val="20"/>
        </w:rPr>
        <w:t>повідомленнями</w:t>
      </w:r>
      <w:proofErr w:type="spellEnd"/>
      <w:r w:rsidRPr="00E16672">
        <w:rPr>
          <w:rFonts w:ascii="Times New Roman" w:hAnsi="Times New Roman"/>
          <w:szCs w:val="20"/>
        </w:rPr>
        <w:t xml:space="preserve">, </w:t>
      </w:r>
      <w:proofErr w:type="spellStart"/>
      <w:r w:rsidRPr="00E16672">
        <w:rPr>
          <w:rFonts w:ascii="Times New Roman" w:hAnsi="Times New Roman"/>
          <w:szCs w:val="20"/>
        </w:rPr>
        <w:t>інформацією</w:t>
      </w:r>
      <w:proofErr w:type="spellEnd"/>
      <w:r w:rsidRPr="00E16672">
        <w:rPr>
          <w:rFonts w:ascii="Times New Roman" w:hAnsi="Times New Roman"/>
          <w:szCs w:val="20"/>
        </w:rPr>
        <w:t xml:space="preserve">, </w:t>
      </w:r>
      <w:proofErr w:type="spellStart"/>
      <w:r w:rsidRPr="00E16672">
        <w:rPr>
          <w:rFonts w:ascii="Times New Roman" w:hAnsi="Times New Roman"/>
          <w:szCs w:val="20"/>
        </w:rPr>
        <w:t>що</w:t>
      </w:r>
      <w:proofErr w:type="spellEnd"/>
      <w:r w:rsidRPr="00E16672">
        <w:rPr>
          <w:rFonts w:ascii="Times New Roman" w:hAnsi="Times New Roman"/>
          <w:szCs w:val="20"/>
        </w:rPr>
        <w:t xml:space="preserve"> </w:t>
      </w:r>
      <w:proofErr w:type="spellStart"/>
      <w:r w:rsidRPr="00E16672">
        <w:rPr>
          <w:rFonts w:ascii="Times New Roman" w:hAnsi="Times New Roman"/>
          <w:szCs w:val="20"/>
        </w:rPr>
        <w:t>надається</w:t>
      </w:r>
      <w:proofErr w:type="spellEnd"/>
      <w:r w:rsidRPr="00E16672">
        <w:rPr>
          <w:rFonts w:ascii="Times New Roman" w:hAnsi="Times New Roman"/>
          <w:szCs w:val="20"/>
        </w:rPr>
        <w:t xml:space="preserve"> у </w:t>
      </w:r>
      <w:proofErr w:type="spellStart"/>
      <w:r w:rsidRPr="00E16672">
        <w:rPr>
          <w:rFonts w:ascii="Times New Roman" w:hAnsi="Times New Roman"/>
          <w:szCs w:val="20"/>
        </w:rPr>
        <w:t>зв’язку</w:t>
      </w:r>
      <w:proofErr w:type="spellEnd"/>
      <w:r w:rsidRPr="00E16672">
        <w:rPr>
          <w:rFonts w:ascii="Times New Roman" w:hAnsi="Times New Roman"/>
          <w:szCs w:val="20"/>
        </w:rPr>
        <w:t xml:space="preserve"> з </w:t>
      </w:r>
      <w:proofErr w:type="spellStart"/>
      <w:r w:rsidRPr="00E16672">
        <w:rPr>
          <w:rFonts w:ascii="Times New Roman" w:hAnsi="Times New Roman"/>
          <w:szCs w:val="20"/>
        </w:rPr>
        <w:t>виконанням</w:t>
      </w:r>
      <w:proofErr w:type="spellEnd"/>
      <w:r w:rsidRPr="00E16672">
        <w:rPr>
          <w:rFonts w:ascii="Times New Roman" w:hAnsi="Times New Roman"/>
          <w:szCs w:val="20"/>
        </w:rPr>
        <w:t xml:space="preserve"> Сторонами Договору </w:t>
      </w:r>
      <w:proofErr w:type="spellStart"/>
      <w:r w:rsidRPr="00E16672">
        <w:rPr>
          <w:rFonts w:ascii="Times New Roman" w:hAnsi="Times New Roman"/>
          <w:szCs w:val="20"/>
        </w:rPr>
        <w:t>може</w:t>
      </w:r>
      <w:proofErr w:type="spellEnd"/>
      <w:r w:rsidRPr="00E16672">
        <w:rPr>
          <w:rFonts w:ascii="Times New Roman" w:hAnsi="Times New Roman"/>
          <w:szCs w:val="20"/>
        </w:rPr>
        <w:t xml:space="preserve"> </w:t>
      </w:r>
      <w:proofErr w:type="spellStart"/>
      <w:r w:rsidRPr="00E16672">
        <w:rPr>
          <w:rFonts w:ascii="Times New Roman" w:hAnsi="Times New Roman"/>
          <w:szCs w:val="20"/>
        </w:rPr>
        <w:t>здійснюватись</w:t>
      </w:r>
      <w:proofErr w:type="spellEnd"/>
      <w:r w:rsidRPr="00E16672">
        <w:rPr>
          <w:rFonts w:ascii="Times New Roman" w:hAnsi="Times New Roman"/>
          <w:szCs w:val="20"/>
        </w:rPr>
        <w:t xml:space="preserve"> </w:t>
      </w:r>
      <w:proofErr w:type="spellStart"/>
      <w:r w:rsidRPr="00E16672">
        <w:rPr>
          <w:rFonts w:ascii="Times New Roman" w:hAnsi="Times New Roman"/>
          <w:szCs w:val="20"/>
        </w:rPr>
        <w:t>особисто</w:t>
      </w:r>
      <w:proofErr w:type="spellEnd"/>
      <w:r w:rsidRPr="00E16672">
        <w:rPr>
          <w:rFonts w:ascii="Times New Roman" w:hAnsi="Times New Roman"/>
          <w:szCs w:val="20"/>
        </w:rPr>
        <w:t xml:space="preserve">, </w:t>
      </w:r>
      <w:proofErr w:type="spellStart"/>
      <w:r w:rsidRPr="00E16672">
        <w:rPr>
          <w:rFonts w:ascii="Times New Roman" w:hAnsi="Times New Roman"/>
          <w:szCs w:val="20"/>
        </w:rPr>
        <w:t>засобами</w:t>
      </w:r>
      <w:proofErr w:type="spellEnd"/>
      <w:r w:rsidRPr="00E16672">
        <w:rPr>
          <w:rFonts w:ascii="Times New Roman" w:hAnsi="Times New Roman"/>
          <w:szCs w:val="20"/>
        </w:rPr>
        <w:t xml:space="preserve"> </w:t>
      </w:r>
      <w:proofErr w:type="spellStart"/>
      <w:r w:rsidRPr="00E16672">
        <w:rPr>
          <w:rFonts w:ascii="Times New Roman" w:hAnsi="Times New Roman"/>
          <w:szCs w:val="20"/>
        </w:rPr>
        <w:t>поштового</w:t>
      </w:r>
      <w:proofErr w:type="spellEnd"/>
      <w:r w:rsidRPr="00E16672">
        <w:rPr>
          <w:rFonts w:ascii="Times New Roman" w:hAnsi="Times New Roman"/>
          <w:szCs w:val="20"/>
        </w:rPr>
        <w:t xml:space="preserve"> </w:t>
      </w:r>
      <w:proofErr w:type="spellStart"/>
      <w:r w:rsidRPr="00E16672">
        <w:rPr>
          <w:rFonts w:ascii="Times New Roman" w:hAnsi="Times New Roman"/>
          <w:szCs w:val="20"/>
        </w:rPr>
        <w:t>зв’язку</w:t>
      </w:r>
      <w:proofErr w:type="spellEnd"/>
      <w:r w:rsidRPr="00E16672">
        <w:rPr>
          <w:rFonts w:ascii="Times New Roman" w:hAnsi="Times New Roman"/>
          <w:szCs w:val="20"/>
        </w:rPr>
        <w:t xml:space="preserve">, </w:t>
      </w:r>
      <w:proofErr w:type="spellStart"/>
      <w:r w:rsidRPr="00E16672">
        <w:rPr>
          <w:rFonts w:ascii="Times New Roman" w:hAnsi="Times New Roman"/>
          <w:szCs w:val="20"/>
        </w:rPr>
        <w:t>кур’єром</w:t>
      </w:r>
      <w:proofErr w:type="spellEnd"/>
      <w:r w:rsidRPr="00E16672">
        <w:rPr>
          <w:rFonts w:ascii="Times New Roman" w:hAnsi="Times New Roman"/>
          <w:szCs w:val="20"/>
        </w:rPr>
        <w:t xml:space="preserve">, у </w:t>
      </w:r>
      <w:proofErr w:type="spellStart"/>
      <w:r w:rsidRPr="00E16672">
        <w:rPr>
          <w:rFonts w:ascii="Times New Roman" w:hAnsi="Times New Roman"/>
          <w:szCs w:val="20"/>
        </w:rPr>
        <w:t>формі</w:t>
      </w:r>
      <w:proofErr w:type="spellEnd"/>
      <w:r w:rsidRPr="00E16672">
        <w:rPr>
          <w:rFonts w:ascii="Times New Roman" w:hAnsi="Times New Roman"/>
          <w:szCs w:val="20"/>
        </w:rPr>
        <w:t xml:space="preserve"> S.W.I.F.T. – </w:t>
      </w:r>
      <w:proofErr w:type="spellStart"/>
      <w:r w:rsidRPr="00E16672">
        <w:rPr>
          <w:rFonts w:ascii="Times New Roman" w:hAnsi="Times New Roman"/>
          <w:szCs w:val="20"/>
        </w:rPr>
        <w:t>повідомлень</w:t>
      </w:r>
      <w:proofErr w:type="spellEnd"/>
      <w:r w:rsidRPr="00E16672">
        <w:rPr>
          <w:rFonts w:ascii="Times New Roman" w:hAnsi="Times New Roman"/>
          <w:szCs w:val="20"/>
        </w:rPr>
        <w:t xml:space="preserve">, у </w:t>
      </w:r>
      <w:proofErr w:type="spellStart"/>
      <w:r w:rsidRPr="00E16672">
        <w:rPr>
          <w:rFonts w:ascii="Times New Roman" w:hAnsi="Times New Roman"/>
          <w:szCs w:val="20"/>
        </w:rPr>
        <w:t>формі</w:t>
      </w:r>
      <w:proofErr w:type="spellEnd"/>
      <w:r w:rsidRPr="00E16672">
        <w:rPr>
          <w:rFonts w:ascii="Times New Roman" w:hAnsi="Times New Roman"/>
          <w:szCs w:val="20"/>
        </w:rPr>
        <w:t xml:space="preserve"> </w:t>
      </w:r>
      <w:proofErr w:type="spellStart"/>
      <w:r w:rsidRPr="00E16672">
        <w:rPr>
          <w:rFonts w:ascii="Times New Roman" w:hAnsi="Times New Roman"/>
          <w:szCs w:val="20"/>
        </w:rPr>
        <w:t>електронних</w:t>
      </w:r>
      <w:proofErr w:type="spellEnd"/>
      <w:r w:rsidRPr="00E16672">
        <w:rPr>
          <w:rFonts w:ascii="Times New Roman" w:hAnsi="Times New Roman"/>
          <w:szCs w:val="20"/>
        </w:rPr>
        <w:t xml:space="preserve"> </w:t>
      </w:r>
      <w:proofErr w:type="spellStart"/>
      <w:r w:rsidRPr="00E16672">
        <w:rPr>
          <w:rFonts w:ascii="Times New Roman" w:hAnsi="Times New Roman"/>
          <w:szCs w:val="20"/>
        </w:rPr>
        <w:t>документів</w:t>
      </w:r>
      <w:proofErr w:type="spellEnd"/>
      <w:r w:rsidRPr="00E16672">
        <w:rPr>
          <w:rFonts w:ascii="Times New Roman" w:hAnsi="Times New Roman"/>
          <w:szCs w:val="20"/>
        </w:rPr>
        <w:t xml:space="preserve">. </w:t>
      </w:r>
    </w:p>
    <w:p w14:paraId="07532735" w14:textId="77777777" w:rsidR="009A7EA8" w:rsidRPr="00E16672" w:rsidRDefault="009A7EA8" w:rsidP="000D0438">
      <w:pPr>
        <w:widowControl w:val="0"/>
        <w:numPr>
          <w:ilvl w:val="1"/>
          <w:numId w:val="10"/>
        </w:numPr>
        <w:tabs>
          <w:tab w:val="left" w:pos="993"/>
        </w:tabs>
        <w:ind w:left="0" w:firstLine="567"/>
        <w:rPr>
          <w:rFonts w:ascii="Times New Roman" w:eastAsia="Arial Unicode MS" w:hAnsi="Times New Roman"/>
          <w:szCs w:val="20"/>
        </w:rPr>
      </w:pPr>
      <w:proofErr w:type="spellStart"/>
      <w:r w:rsidRPr="00E16672">
        <w:rPr>
          <w:rFonts w:ascii="Times New Roman" w:eastAsia="Arial Unicode MS" w:hAnsi="Times New Roman"/>
          <w:szCs w:val="20"/>
        </w:rPr>
        <w:t>Сторони</w:t>
      </w:r>
      <w:proofErr w:type="spellEnd"/>
      <w:r w:rsidRPr="00E16672">
        <w:rPr>
          <w:rFonts w:ascii="Times New Roman" w:eastAsia="Arial Unicode MS" w:hAnsi="Times New Roman"/>
          <w:szCs w:val="20"/>
        </w:rPr>
        <w:t xml:space="preserve"> </w:t>
      </w:r>
      <w:r w:rsidR="007B5C69" w:rsidRPr="00E16672">
        <w:rPr>
          <w:rFonts w:ascii="Times New Roman" w:hAnsi="Times New Roman"/>
          <w:szCs w:val="20"/>
          <w:lang w:val="uk-UA"/>
        </w:rPr>
        <w:t>підтверджують</w:t>
      </w:r>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достовірність</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підписів</w:t>
      </w:r>
      <w:proofErr w:type="spellEnd"/>
      <w:r w:rsidRPr="00E16672">
        <w:rPr>
          <w:rFonts w:ascii="Times New Roman" w:eastAsia="Arial Unicode MS" w:hAnsi="Times New Roman"/>
          <w:szCs w:val="20"/>
        </w:rPr>
        <w:t xml:space="preserve"> на </w:t>
      </w:r>
      <w:proofErr w:type="spellStart"/>
      <w:r w:rsidRPr="00E16672">
        <w:rPr>
          <w:rFonts w:ascii="Times New Roman" w:eastAsia="Arial Unicode MS" w:hAnsi="Times New Roman"/>
          <w:szCs w:val="20"/>
        </w:rPr>
        <w:t>розпорядженнях</w:t>
      </w:r>
      <w:proofErr w:type="spellEnd"/>
      <w:r w:rsidRPr="00E16672">
        <w:rPr>
          <w:rFonts w:ascii="Times New Roman" w:eastAsia="Arial Unicode MS" w:hAnsi="Times New Roman"/>
          <w:szCs w:val="20"/>
        </w:rPr>
        <w:t xml:space="preserve"> Депонента способом, </w:t>
      </w:r>
      <w:proofErr w:type="spellStart"/>
      <w:r w:rsidRPr="00E16672">
        <w:rPr>
          <w:rFonts w:ascii="Times New Roman" w:eastAsia="Arial Unicode MS" w:hAnsi="Times New Roman"/>
          <w:szCs w:val="20"/>
        </w:rPr>
        <w:t>визначеним</w:t>
      </w:r>
      <w:proofErr w:type="spellEnd"/>
      <w:r w:rsidRPr="00E16672">
        <w:rPr>
          <w:rFonts w:ascii="Times New Roman" w:eastAsia="Arial Unicode MS" w:hAnsi="Times New Roman"/>
          <w:szCs w:val="20"/>
        </w:rPr>
        <w:t xml:space="preserve"> у </w:t>
      </w:r>
      <w:proofErr w:type="spellStart"/>
      <w:r w:rsidRPr="00E16672">
        <w:rPr>
          <w:rFonts w:ascii="Times New Roman" w:eastAsia="Arial Unicode MS" w:hAnsi="Times New Roman"/>
          <w:szCs w:val="20"/>
        </w:rPr>
        <w:t>розділі</w:t>
      </w:r>
      <w:proofErr w:type="spellEnd"/>
      <w:r w:rsidRPr="00E16672">
        <w:rPr>
          <w:rFonts w:ascii="Times New Roman" w:eastAsia="Arial Unicode MS" w:hAnsi="Times New Roman"/>
          <w:szCs w:val="20"/>
        </w:rPr>
        <w:t xml:space="preserve"> 3 </w:t>
      </w:r>
      <w:proofErr w:type="spellStart"/>
      <w:r w:rsidRPr="00E16672">
        <w:rPr>
          <w:rFonts w:ascii="Times New Roman" w:eastAsia="Arial Unicode MS" w:hAnsi="Times New Roman"/>
          <w:szCs w:val="20"/>
        </w:rPr>
        <w:t>цього</w:t>
      </w:r>
      <w:proofErr w:type="spellEnd"/>
      <w:r w:rsidRPr="00E16672">
        <w:rPr>
          <w:rFonts w:ascii="Times New Roman" w:eastAsia="Arial Unicode MS" w:hAnsi="Times New Roman"/>
          <w:szCs w:val="20"/>
        </w:rPr>
        <w:t xml:space="preserve"> Договору.</w:t>
      </w:r>
    </w:p>
    <w:p w14:paraId="1C13DA86" w14:textId="77777777" w:rsidR="009A7EA8" w:rsidRPr="00E16672" w:rsidRDefault="009A7EA8" w:rsidP="009A7EA8">
      <w:pPr>
        <w:ind w:firstLine="586"/>
        <w:rPr>
          <w:rFonts w:ascii="Times New Roman" w:eastAsia="Arial Unicode MS" w:hAnsi="Times New Roman"/>
          <w:szCs w:val="20"/>
        </w:rPr>
      </w:pPr>
      <w:r w:rsidRPr="00E16672">
        <w:rPr>
          <w:rFonts w:ascii="Times New Roman" w:eastAsia="Arial Unicode MS" w:hAnsi="Times New Roman"/>
          <w:szCs w:val="20"/>
        </w:rPr>
        <w:t xml:space="preserve">6.3. Форма, </w:t>
      </w:r>
      <w:proofErr w:type="spellStart"/>
      <w:r w:rsidRPr="00E16672">
        <w:rPr>
          <w:rFonts w:ascii="Times New Roman" w:eastAsia="Arial Unicode MS" w:hAnsi="Times New Roman"/>
          <w:szCs w:val="20"/>
        </w:rPr>
        <w:t>зміст</w:t>
      </w:r>
      <w:proofErr w:type="spellEnd"/>
      <w:r w:rsidRPr="00E16672">
        <w:rPr>
          <w:rFonts w:ascii="Times New Roman" w:eastAsia="Arial Unicode MS" w:hAnsi="Times New Roman"/>
          <w:szCs w:val="20"/>
        </w:rPr>
        <w:t xml:space="preserve"> на строки </w:t>
      </w:r>
      <w:proofErr w:type="spellStart"/>
      <w:r w:rsidRPr="00E16672">
        <w:rPr>
          <w:rFonts w:ascii="Times New Roman" w:eastAsia="Arial Unicode MS" w:hAnsi="Times New Roman"/>
          <w:szCs w:val="20"/>
        </w:rPr>
        <w:t>надання</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інформації</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здійснюється</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згідно</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вимог</w:t>
      </w:r>
      <w:proofErr w:type="spellEnd"/>
      <w:r w:rsidRPr="00E16672">
        <w:rPr>
          <w:rFonts w:ascii="Times New Roman" w:eastAsia="Arial Unicode MS" w:hAnsi="Times New Roman"/>
          <w:szCs w:val="20"/>
        </w:rPr>
        <w:t xml:space="preserve"> </w:t>
      </w:r>
      <w:proofErr w:type="spellStart"/>
      <w:proofErr w:type="gramStart"/>
      <w:r w:rsidRPr="00E16672">
        <w:rPr>
          <w:rFonts w:ascii="Times New Roman" w:eastAsia="Arial Unicode MS" w:hAnsi="Times New Roman"/>
          <w:szCs w:val="20"/>
        </w:rPr>
        <w:t>розділу</w:t>
      </w:r>
      <w:proofErr w:type="spellEnd"/>
      <w:r w:rsidRPr="00E16672">
        <w:rPr>
          <w:rFonts w:ascii="Times New Roman" w:eastAsia="Arial Unicode MS" w:hAnsi="Times New Roman"/>
          <w:szCs w:val="20"/>
        </w:rPr>
        <w:t xml:space="preserve">  3</w:t>
      </w:r>
      <w:proofErr w:type="gram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цього</w:t>
      </w:r>
      <w:proofErr w:type="spellEnd"/>
      <w:r w:rsidRPr="00E16672">
        <w:rPr>
          <w:rFonts w:ascii="Times New Roman" w:eastAsia="Arial Unicode MS" w:hAnsi="Times New Roman"/>
          <w:szCs w:val="20"/>
        </w:rPr>
        <w:t xml:space="preserve"> Договору.</w:t>
      </w:r>
    </w:p>
    <w:p w14:paraId="40B2F7FC" w14:textId="77777777" w:rsidR="009A7EA8" w:rsidRPr="00E16672" w:rsidRDefault="009A7EA8" w:rsidP="009A7EA8">
      <w:pPr>
        <w:jc w:val="center"/>
        <w:rPr>
          <w:rFonts w:ascii="Times New Roman" w:eastAsia="Arial Unicode MS" w:hAnsi="Times New Roman"/>
          <w:b/>
          <w:bCs/>
          <w:szCs w:val="20"/>
        </w:rPr>
      </w:pPr>
    </w:p>
    <w:p w14:paraId="2CE045F4" w14:textId="77777777" w:rsidR="009A7EA8" w:rsidRPr="00E16672" w:rsidRDefault="009A7EA8" w:rsidP="009A7EA8">
      <w:pPr>
        <w:jc w:val="center"/>
        <w:rPr>
          <w:rFonts w:ascii="Times New Roman" w:eastAsia="Arial Unicode MS" w:hAnsi="Times New Roman"/>
          <w:b/>
          <w:bCs/>
          <w:szCs w:val="20"/>
        </w:rPr>
      </w:pPr>
      <w:r w:rsidRPr="00E16672">
        <w:rPr>
          <w:rFonts w:ascii="Times New Roman" w:eastAsia="Arial Unicode MS" w:hAnsi="Times New Roman"/>
          <w:b/>
          <w:bCs/>
          <w:szCs w:val="20"/>
        </w:rPr>
        <w:t>7. ПОРЯДОК ВИРІШЕННЯ СПОРІВ</w:t>
      </w:r>
    </w:p>
    <w:p w14:paraId="32E87F74" w14:textId="77777777" w:rsidR="009A7EA8" w:rsidRPr="00E16672" w:rsidRDefault="009A7EA8" w:rsidP="009A7EA8">
      <w:pPr>
        <w:pStyle w:val="22"/>
        <w:ind w:firstLine="567"/>
        <w:rPr>
          <w:rFonts w:ascii="Times New Roman" w:eastAsia="Arial Unicode MS" w:hAnsi="Times New Roman"/>
        </w:rPr>
      </w:pPr>
      <w:r w:rsidRPr="00E16672">
        <w:rPr>
          <w:rFonts w:ascii="Times New Roman" w:eastAsia="Arial Unicode MS" w:hAnsi="Times New Roman"/>
        </w:rPr>
        <w:t>7.1. Усі суперечки, що виникатимуть між Сторонами у процесі виконання умов цього Договору, підлягають вирішенню шляхом переговорів або у порядку, встановленому чинним законодавством України,  шляхом вирішення у судовому порядку.</w:t>
      </w:r>
    </w:p>
    <w:p w14:paraId="1C6E4881" w14:textId="77777777" w:rsidR="009A7EA8" w:rsidRPr="00E16672" w:rsidRDefault="009A7EA8" w:rsidP="009A7EA8">
      <w:pPr>
        <w:rPr>
          <w:rFonts w:ascii="Times New Roman" w:eastAsia="Arial Unicode MS" w:hAnsi="Times New Roman"/>
          <w:szCs w:val="20"/>
          <w:shd w:val="clear" w:color="auto" w:fill="FFFFFF"/>
        </w:rPr>
      </w:pPr>
      <w:r w:rsidRPr="00E16672">
        <w:rPr>
          <w:rFonts w:ascii="Times New Roman" w:eastAsia="Arial Unicode MS" w:hAnsi="Times New Roman"/>
          <w:szCs w:val="20"/>
        </w:rPr>
        <w:t xml:space="preserve">7.2. </w:t>
      </w:r>
      <w:r w:rsidRPr="00E16672">
        <w:rPr>
          <w:rFonts w:ascii="Times New Roman" w:eastAsia="Arial Unicode MS" w:hAnsi="Times New Roman"/>
          <w:szCs w:val="20"/>
          <w:shd w:val="clear" w:color="auto" w:fill="FFFFFF"/>
        </w:rPr>
        <w:t xml:space="preserve">Строк </w:t>
      </w:r>
      <w:proofErr w:type="spellStart"/>
      <w:r w:rsidRPr="00E16672">
        <w:rPr>
          <w:rFonts w:ascii="Times New Roman" w:eastAsia="Arial Unicode MS" w:hAnsi="Times New Roman"/>
          <w:szCs w:val="20"/>
          <w:shd w:val="clear" w:color="auto" w:fill="FFFFFF"/>
        </w:rPr>
        <w:t>позовної</w:t>
      </w:r>
      <w:proofErr w:type="spellEnd"/>
      <w:r w:rsidRPr="00E16672">
        <w:rPr>
          <w:rFonts w:ascii="Times New Roman" w:eastAsia="Arial Unicode MS" w:hAnsi="Times New Roman"/>
          <w:szCs w:val="20"/>
          <w:shd w:val="clear" w:color="auto" w:fill="FFFFFF"/>
        </w:rPr>
        <w:t xml:space="preserve"> </w:t>
      </w:r>
      <w:proofErr w:type="spellStart"/>
      <w:r w:rsidRPr="00E16672">
        <w:rPr>
          <w:rFonts w:ascii="Times New Roman" w:eastAsia="Arial Unicode MS" w:hAnsi="Times New Roman"/>
          <w:szCs w:val="20"/>
          <w:shd w:val="clear" w:color="auto" w:fill="FFFFFF"/>
        </w:rPr>
        <w:t>давності</w:t>
      </w:r>
      <w:proofErr w:type="spellEnd"/>
      <w:r w:rsidRPr="00E16672">
        <w:rPr>
          <w:rFonts w:ascii="Times New Roman" w:eastAsia="Arial Unicode MS" w:hAnsi="Times New Roman"/>
          <w:szCs w:val="20"/>
          <w:shd w:val="clear" w:color="auto" w:fill="FFFFFF"/>
        </w:rPr>
        <w:t xml:space="preserve">, </w:t>
      </w:r>
      <w:proofErr w:type="gramStart"/>
      <w:r w:rsidRPr="00E16672">
        <w:rPr>
          <w:rFonts w:ascii="Times New Roman" w:eastAsia="Arial Unicode MS" w:hAnsi="Times New Roman"/>
          <w:szCs w:val="20"/>
          <w:shd w:val="clear" w:color="auto" w:fill="FFFFFF"/>
        </w:rPr>
        <w:t>у межах</w:t>
      </w:r>
      <w:proofErr w:type="gramEnd"/>
      <w:r w:rsidRPr="00E16672">
        <w:rPr>
          <w:rFonts w:ascii="Times New Roman" w:eastAsia="Arial Unicode MS" w:hAnsi="Times New Roman"/>
          <w:szCs w:val="20"/>
          <w:shd w:val="clear" w:color="auto" w:fill="FFFFFF"/>
        </w:rPr>
        <w:t xml:space="preserve"> </w:t>
      </w:r>
      <w:proofErr w:type="spellStart"/>
      <w:r w:rsidRPr="00E16672">
        <w:rPr>
          <w:rFonts w:ascii="Times New Roman" w:eastAsia="Arial Unicode MS" w:hAnsi="Times New Roman"/>
          <w:szCs w:val="20"/>
          <w:shd w:val="clear" w:color="auto" w:fill="FFFFFF"/>
        </w:rPr>
        <w:t>якого</w:t>
      </w:r>
      <w:proofErr w:type="spellEnd"/>
      <w:r w:rsidRPr="00E16672">
        <w:rPr>
          <w:rFonts w:ascii="Times New Roman" w:eastAsia="Arial Unicode MS" w:hAnsi="Times New Roman"/>
          <w:szCs w:val="20"/>
          <w:shd w:val="clear" w:color="auto" w:fill="FFFFFF"/>
        </w:rPr>
        <w:t xml:space="preserve"> одна </w:t>
      </w:r>
      <w:proofErr w:type="spellStart"/>
      <w:r w:rsidRPr="00E16672">
        <w:rPr>
          <w:rFonts w:ascii="Times New Roman" w:eastAsia="Arial Unicode MS" w:hAnsi="Times New Roman"/>
          <w:szCs w:val="20"/>
          <w:shd w:val="clear" w:color="auto" w:fill="FFFFFF"/>
        </w:rPr>
        <w:t>із</w:t>
      </w:r>
      <w:proofErr w:type="spellEnd"/>
      <w:r w:rsidRPr="00E16672">
        <w:rPr>
          <w:rFonts w:ascii="Times New Roman" w:eastAsia="Arial Unicode MS" w:hAnsi="Times New Roman"/>
          <w:szCs w:val="20"/>
          <w:shd w:val="clear" w:color="auto" w:fill="FFFFFF"/>
        </w:rPr>
        <w:t xml:space="preserve"> </w:t>
      </w:r>
      <w:proofErr w:type="spellStart"/>
      <w:r w:rsidRPr="00E16672">
        <w:rPr>
          <w:rFonts w:ascii="Times New Roman" w:eastAsia="Arial Unicode MS" w:hAnsi="Times New Roman"/>
          <w:szCs w:val="20"/>
          <w:shd w:val="clear" w:color="auto" w:fill="FFFFFF"/>
        </w:rPr>
        <w:t>Сторін</w:t>
      </w:r>
      <w:proofErr w:type="spellEnd"/>
      <w:r w:rsidRPr="00E16672">
        <w:rPr>
          <w:rFonts w:ascii="Times New Roman" w:eastAsia="Arial Unicode MS" w:hAnsi="Times New Roman"/>
          <w:szCs w:val="20"/>
          <w:shd w:val="clear" w:color="auto" w:fill="FFFFFF"/>
        </w:rPr>
        <w:t xml:space="preserve"> </w:t>
      </w:r>
      <w:proofErr w:type="spellStart"/>
      <w:r w:rsidRPr="00E16672">
        <w:rPr>
          <w:rFonts w:ascii="Times New Roman" w:eastAsia="Arial Unicode MS" w:hAnsi="Times New Roman"/>
          <w:szCs w:val="20"/>
          <w:shd w:val="clear" w:color="auto" w:fill="FFFFFF"/>
        </w:rPr>
        <w:t>може</w:t>
      </w:r>
      <w:proofErr w:type="spellEnd"/>
      <w:r w:rsidRPr="00E16672">
        <w:rPr>
          <w:rFonts w:ascii="Times New Roman" w:eastAsia="Arial Unicode MS" w:hAnsi="Times New Roman"/>
          <w:szCs w:val="20"/>
          <w:shd w:val="clear" w:color="auto" w:fill="FFFFFF"/>
        </w:rPr>
        <w:t xml:space="preserve"> </w:t>
      </w:r>
      <w:proofErr w:type="spellStart"/>
      <w:r w:rsidRPr="00E16672">
        <w:rPr>
          <w:rFonts w:ascii="Times New Roman" w:eastAsia="Arial Unicode MS" w:hAnsi="Times New Roman"/>
          <w:szCs w:val="20"/>
          <w:shd w:val="clear" w:color="auto" w:fill="FFFFFF"/>
        </w:rPr>
        <w:t>звернутися</w:t>
      </w:r>
      <w:proofErr w:type="spellEnd"/>
      <w:r w:rsidRPr="00E16672">
        <w:rPr>
          <w:rFonts w:ascii="Times New Roman" w:eastAsia="Arial Unicode MS" w:hAnsi="Times New Roman"/>
          <w:szCs w:val="20"/>
          <w:shd w:val="clear" w:color="auto" w:fill="FFFFFF"/>
        </w:rPr>
        <w:t xml:space="preserve"> до суду з </w:t>
      </w:r>
      <w:proofErr w:type="spellStart"/>
      <w:r w:rsidRPr="00E16672">
        <w:rPr>
          <w:rFonts w:ascii="Times New Roman" w:eastAsia="Arial Unicode MS" w:hAnsi="Times New Roman"/>
          <w:szCs w:val="20"/>
          <w:shd w:val="clear" w:color="auto" w:fill="FFFFFF"/>
        </w:rPr>
        <w:t>вимогою</w:t>
      </w:r>
      <w:proofErr w:type="spellEnd"/>
      <w:r w:rsidRPr="00E16672">
        <w:rPr>
          <w:rFonts w:ascii="Times New Roman" w:eastAsia="Arial Unicode MS" w:hAnsi="Times New Roman"/>
          <w:szCs w:val="20"/>
          <w:shd w:val="clear" w:color="auto" w:fill="FFFFFF"/>
        </w:rPr>
        <w:t xml:space="preserve"> про </w:t>
      </w:r>
      <w:proofErr w:type="spellStart"/>
      <w:r w:rsidRPr="00E16672">
        <w:rPr>
          <w:rFonts w:ascii="Times New Roman" w:eastAsia="Arial Unicode MS" w:hAnsi="Times New Roman"/>
          <w:szCs w:val="20"/>
          <w:shd w:val="clear" w:color="auto" w:fill="FFFFFF"/>
        </w:rPr>
        <w:t>захист</w:t>
      </w:r>
      <w:proofErr w:type="spellEnd"/>
      <w:r w:rsidRPr="00E16672">
        <w:rPr>
          <w:rFonts w:ascii="Times New Roman" w:eastAsia="Arial Unicode MS" w:hAnsi="Times New Roman"/>
          <w:szCs w:val="20"/>
          <w:shd w:val="clear" w:color="auto" w:fill="FFFFFF"/>
        </w:rPr>
        <w:t xml:space="preserve"> </w:t>
      </w:r>
      <w:proofErr w:type="spellStart"/>
      <w:r w:rsidRPr="00E16672">
        <w:rPr>
          <w:rFonts w:ascii="Times New Roman" w:eastAsia="Arial Unicode MS" w:hAnsi="Times New Roman"/>
          <w:i/>
          <w:iCs/>
          <w:szCs w:val="20"/>
          <w:shd w:val="clear" w:color="auto" w:fill="FFFFFF"/>
        </w:rPr>
        <w:t>основних</w:t>
      </w:r>
      <w:proofErr w:type="spellEnd"/>
      <w:r w:rsidRPr="00E16672">
        <w:rPr>
          <w:rFonts w:ascii="Times New Roman" w:eastAsia="Arial Unicode MS" w:hAnsi="Times New Roman"/>
          <w:i/>
          <w:iCs/>
          <w:szCs w:val="20"/>
          <w:shd w:val="clear" w:color="auto" w:fill="FFFFFF"/>
        </w:rPr>
        <w:t xml:space="preserve"> </w:t>
      </w:r>
      <w:proofErr w:type="spellStart"/>
      <w:r w:rsidRPr="00E16672">
        <w:rPr>
          <w:rFonts w:ascii="Times New Roman" w:eastAsia="Arial Unicode MS" w:hAnsi="Times New Roman"/>
          <w:szCs w:val="20"/>
          <w:shd w:val="clear" w:color="auto" w:fill="FFFFFF"/>
        </w:rPr>
        <w:t>зобов’язань</w:t>
      </w:r>
      <w:proofErr w:type="spellEnd"/>
      <w:r w:rsidRPr="00E16672">
        <w:rPr>
          <w:rFonts w:ascii="Times New Roman" w:eastAsia="Arial Unicode MS" w:hAnsi="Times New Roman"/>
          <w:szCs w:val="20"/>
          <w:shd w:val="clear" w:color="auto" w:fill="FFFFFF"/>
        </w:rPr>
        <w:t xml:space="preserve"> </w:t>
      </w:r>
      <w:proofErr w:type="spellStart"/>
      <w:r w:rsidRPr="00E16672">
        <w:rPr>
          <w:rFonts w:ascii="Times New Roman" w:eastAsia="Arial Unicode MS" w:hAnsi="Times New Roman"/>
          <w:szCs w:val="20"/>
          <w:shd w:val="clear" w:color="auto" w:fill="FFFFFF"/>
        </w:rPr>
        <w:t>встановлюється</w:t>
      </w:r>
      <w:proofErr w:type="spellEnd"/>
      <w:r w:rsidRPr="00E16672">
        <w:rPr>
          <w:rFonts w:ascii="Times New Roman" w:eastAsia="Arial Unicode MS" w:hAnsi="Times New Roman"/>
          <w:szCs w:val="20"/>
          <w:shd w:val="clear" w:color="auto" w:fill="FFFFFF"/>
        </w:rPr>
        <w:t xml:space="preserve"> </w:t>
      </w:r>
      <w:proofErr w:type="spellStart"/>
      <w:r w:rsidRPr="00E16672">
        <w:rPr>
          <w:rFonts w:ascii="Times New Roman" w:eastAsia="Arial Unicode MS" w:hAnsi="Times New Roman"/>
          <w:szCs w:val="20"/>
          <w:shd w:val="clear" w:color="auto" w:fill="FFFFFF"/>
        </w:rPr>
        <w:t>тривалістю</w:t>
      </w:r>
      <w:proofErr w:type="spellEnd"/>
      <w:r w:rsidRPr="00E16672">
        <w:rPr>
          <w:rFonts w:ascii="Times New Roman" w:eastAsia="Arial Unicode MS" w:hAnsi="Times New Roman"/>
          <w:szCs w:val="20"/>
          <w:shd w:val="clear" w:color="auto" w:fill="FFFFFF"/>
        </w:rPr>
        <w:t xml:space="preserve"> у </w:t>
      </w:r>
      <w:proofErr w:type="spellStart"/>
      <w:r w:rsidRPr="00E16672">
        <w:rPr>
          <w:rFonts w:ascii="Times New Roman" w:eastAsia="Arial Unicode MS" w:hAnsi="Times New Roman"/>
          <w:szCs w:val="20"/>
          <w:shd w:val="clear" w:color="auto" w:fill="FFFFFF"/>
        </w:rPr>
        <w:t>п’ятдесят</w:t>
      </w:r>
      <w:proofErr w:type="spellEnd"/>
      <w:r w:rsidRPr="00E16672">
        <w:rPr>
          <w:rFonts w:ascii="Times New Roman" w:eastAsia="Arial Unicode MS" w:hAnsi="Times New Roman"/>
          <w:szCs w:val="20"/>
          <w:shd w:val="clear" w:color="auto" w:fill="FFFFFF"/>
        </w:rPr>
        <w:t xml:space="preserve"> </w:t>
      </w:r>
      <w:proofErr w:type="spellStart"/>
      <w:r w:rsidRPr="00E16672">
        <w:rPr>
          <w:rFonts w:ascii="Times New Roman" w:eastAsia="Arial Unicode MS" w:hAnsi="Times New Roman"/>
          <w:szCs w:val="20"/>
          <w:shd w:val="clear" w:color="auto" w:fill="FFFFFF"/>
        </w:rPr>
        <w:t>років</w:t>
      </w:r>
      <w:proofErr w:type="spellEnd"/>
      <w:r w:rsidRPr="00E16672">
        <w:rPr>
          <w:rFonts w:ascii="Times New Roman" w:eastAsia="Arial Unicode MS" w:hAnsi="Times New Roman"/>
          <w:szCs w:val="20"/>
          <w:shd w:val="clear" w:color="auto" w:fill="FFFFFF"/>
        </w:rPr>
        <w:t xml:space="preserve">. </w:t>
      </w:r>
      <w:proofErr w:type="spellStart"/>
      <w:r w:rsidRPr="00E16672">
        <w:rPr>
          <w:rFonts w:ascii="Times New Roman" w:eastAsia="Arial Unicode MS" w:hAnsi="Times New Roman"/>
          <w:szCs w:val="20"/>
          <w:shd w:val="clear" w:color="auto" w:fill="FFFFFF"/>
        </w:rPr>
        <w:t>Позовна</w:t>
      </w:r>
      <w:proofErr w:type="spellEnd"/>
      <w:r w:rsidRPr="00E16672">
        <w:rPr>
          <w:rFonts w:ascii="Times New Roman" w:eastAsia="Arial Unicode MS" w:hAnsi="Times New Roman"/>
          <w:szCs w:val="20"/>
          <w:shd w:val="clear" w:color="auto" w:fill="FFFFFF"/>
        </w:rPr>
        <w:t xml:space="preserve"> </w:t>
      </w:r>
      <w:proofErr w:type="spellStart"/>
      <w:r w:rsidRPr="00E16672">
        <w:rPr>
          <w:rFonts w:ascii="Times New Roman" w:eastAsia="Arial Unicode MS" w:hAnsi="Times New Roman"/>
          <w:szCs w:val="20"/>
          <w:shd w:val="clear" w:color="auto" w:fill="FFFFFF"/>
        </w:rPr>
        <w:t>давність</w:t>
      </w:r>
      <w:proofErr w:type="spellEnd"/>
      <w:r w:rsidRPr="00E16672">
        <w:rPr>
          <w:rFonts w:ascii="Times New Roman" w:eastAsia="Arial Unicode MS" w:hAnsi="Times New Roman"/>
          <w:szCs w:val="20"/>
          <w:shd w:val="clear" w:color="auto" w:fill="FFFFFF"/>
        </w:rPr>
        <w:t xml:space="preserve"> в </w:t>
      </w:r>
      <w:proofErr w:type="spellStart"/>
      <w:r w:rsidRPr="00E16672">
        <w:rPr>
          <w:rFonts w:ascii="Times New Roman" w:eastAsia="Arial Unicode MS" w:hAnsi="Times New Roman"/>
          <w:szCs w:val="20"/>
          <w:shd w:val="clear" w:color="auto" w:fill="FFFFFF"/>
        </w:rPr>
        <w:t>п'ятдесят</w:t>
      </w:r>
      <w:proofErr w:type="spellEnd"/>
      <w:r w:rsidRPr="00E16672">
        <w:rPr>
          <w:rFonts w:ascii="Times New Roman" w:eastAsia="Arial Unicode MS" w:hAnsi="Times New Roman"/>
          <w:szCs w:val="20"/>
          <w:shd w:val="clear" w:color="auto" w:fill="FFFFFF"/>
        </w:rPr>
        <w:t xml:space="preserve"> </w:t>
      </w:r>
      <w:proofErr w:type="spellStart"/>
      <w:r w:rsidRPr="00E16672">
        <w:rPr>
          <w:rFonts w:ascii="Times New Roman" w:eastAsia="Arial Unicode MS" w:hAnsi="Times New Roman"/>
          <w:szCs w:val="20"/>
          <w:shd w:val="clear" w:color="auto" w:fill="FFFFFF"/>
        </w:rPr>
        <w:t>років</w:t>
      </w:r>
      <w:proofErr w:type="spellEnd"/>
      <w:r w:rsidRPr="00E16672">
        <w:rPr>
          <w:rFonts w:ascii="Times New Roman" w:eastAsia="Arial Unicode MS" w:hAnsi="Times New Roman"/>
          <w:szCs w:val="20"/>
          <w:shd w:val="clear" w:color="auto" w:fill="FFFFFF"/>
        </w:rPr>
        <w:t xml:space="preserve"> </w:t>
      </w:r>
      <w:proofErr w:type="spellStart"/>
      <w:r w:rsidRPr="00E16672">
        <w:rPr>
          <w:rFonts w:ascii="Times New Roman" w:eastAsia="Arial Unicode MS" w:hAnsi="Times New Roman"/>
          <w:szCs w:val="20"/>
          <w:shd w:val="clear" w:color="auto" w:fill="FFFFFF"/>
        </w:rPr>
        <w:t>застосовується</w:t>
      </w:r>
      <w:proofErr w:type="spellEnd"/>
      <w:r w:rsidRPr="00E16672">
        <w:rPr>
          <w:rFonts w:ascii="Times New Roman" w:eastAsia="Arial Unicode MS" w:hAnsi="Times New Roman"/>
          <w:szCs w:val="20"/>
          <w:shd w:val="clear" w:color="auto" w:fill="FFFFFF"/>
        </w:rPr>
        <w:t xml:space="preserve"> </w:t>
      </w:r>
      <w:proofErr w:type="spellStart"/>
      <w:r w:rsidRPr="00E16672">
        <w:rPr>
          <w:rFonts w:ascii="Times New Roman" w:eastAsia="Arial Unicode MS" w:hAnsi="Times New Roman"/>
          <w:szCs w:val="20"/>
          <w:shd w:val="clear" w:color="auto" w:fill="FFFFFF"/>
        </w:rPr>
        <w:t>також</w:t>
      </w:r>
      <w:proofErr w:type="spellEnd"/>
      <w:r w:rsidRPr="00E16672">
        <w:rPr>
          <w:rFonts w:ascii="Times New Roman" w:eastAsia="Arial Unicode MS" w:hAnsi="Times New Roman"/>
          <w:szCs w:val="20"/>
          <w:shd w:val="clear" w:color="auto" w:fill="FFFFFF"/>
        </w:rPr>
        <w:t xml:space="preserve"> до </w:t>
      </w:r>
      <w:proofErr w:type="spellStart"/>
      <w:r w:rsidRPr="00E16672">
        <w:rPr>
          <w:rFonts w:ascii="Times New Roman" w:eastAsia="Arial Unicode MS" w:hAnsi="Times New Roman"/>
          <w:szCs w:val="20"/>
          <w:shd w:val="clear" w:color="auto" w:fill="FFFFFF"/>
        </w:rPr>
        <w:t>вимог</w:t>
      </w:r>
      <w:proofErr w:type="spellEnd"/>
      <w:r w:rsidRPr="00E16672">
        <w:rPr>
          <w:rFonts w:ascii="Times New Roman" w:eastAsia="Arial Unicode MS" w:hAnsi="Times New Roman"/>
          <w:szCs w:val="20"/>
          <w:shd w:val="clear" w:color="auto" w:fill="FFFFFF"/>
        </w:rPr>
        <w:t xml:space="preserve"> про </w:t>
      </w:r>
      <w:proofErr w:type="spellStart"/>
      <w:r w:rsidRPr="00E16672">
        <w:rPr>
          <w:rFonts w:ascii="Times New Roman" w:eastAsia="Arial Unicode MS" w:hAnsi="Times New Roman"/>
          <w:szCs w:val="20"/>
          <w:shd w:val="clear" w:color="auto" w:fill="FFFFFF"/>
        </w:rPr>
        <w:t>стягнення</w:t>
      </w:r>
      <w:proofErr w:type="spellEnd"/>
      <w:r w:rsidRPr="00E16672">
        <w:rPr>
          <w:rFonts w:ascii="Times New Roman" w:eastAsia="Arial Unicode MS" w:hAnsi="Times New Roman"/>
          <w:szCs w:val="20"/>
          <w:shd w:val="clear" w:color="auto" w:fill="FFFFFF"/>
        </w:rPr>
        <w:t xml:space="preserve"> </w:t>
      </w:r>
      <w:r w:rsidRPr="00E16672">
        <w:rPr>
          <w:rFonts w:ascii="Times New Roman" w:eastAsia="Arial Unicode MS" w:hAnsi="Times New Roman"/>
          <w:i/>
          <w:iCs/>
          <w:szCs w:val="20"/>
          <w:shd w:val="clear" w:color="auto" w:fill="FFFFFF"/>
        </w:rPr>
        <w:t>неустойки</w:t>
      </w:r>
      <w:r w:rsidRPr="00E16672">
        <w:rPr>
          <w:rFonts w:ascii="Times New Roman" w:eastAsia="Arial Unicode MS" w:hAnsi="Times New Roman"/>
          <w:szCs w:val="20"/>
          <w:shd w:val="clear" w:color="auto" w:fill="FFFFFF"/>
        </w:rPr>
        <w:t xml:space="preserve"> (</w:t>
      </w:r>
      <w:proofErr w:type="spellStart"/>
      <w:r w:rsidRPr="00E16672">
        <w:rPr>
          <w:rFonts w:ascii="Times New Roman" w:eastAsia="Arial Unicode MS" w:hAnsi="Times New Roman"/>
          <w:szCs w:val="20"/>
          <w:shd w:val="clear" w:color="auto" w:fill="FFFFFF"/>
        </w:rPr>
        <w:t>пені</w:t>
      </w:r>
      <w:proofErr w:type="spellEnd"/>
      <w:r w:rsidRPr="00E16672">
        <w:rPr>
          <w:rFonts w:ascii="Times New Roman" w:eastAsia="Arial Unicode MS" w:hAnsi="Times New Roman"/>
          <w:szCs w:val="20"/>
          <w:shd w:val="clear" w:color="auto" w:fill="FFFFFF"/>
        </w:rPr>
        <w:t>).</w:t>
      </w:r>
    </w:p>
    <w:p w14:paraId="4DE03BA7" w14:textId="77777777" w:rsidR="009A7EA8" w:rsidRPr="00E16672" w:rsidRDefault="009A7EA8" w:rsidP="009A7EA8">
      <w:pPr>
        <w:rPr>
          <w:rFonts w:ascii="Times New Roman" w:eastAsia="Arial Unicode MS" w:hAnsi="Times New Roman"/>
          <w:szCs w:val="20"/>
          <w:shd w:val="clear" w:color="auto" w:fill="FFFFFF"/>
        </w:rPr>
      </w:pPr>
      <w:r w:rsidRPr="00E16672">
        <w:rPr>
          <w:rFonts w:ascii="Times New Roman" w:eastAsia="Arial Unicode MS" w:hAnsi="Times New Roman"/>
          <w:szCs w:val="20"/>
          <w:shd w:val="clear" w:color="auto" w:fill="FFFFFF"/>
        </w:rPr>
        <w:t xml:space="preserve">7.3.  Спори, </w:t>
      </w:r>
      <w:proofErr w:type="spellStart"/>
      <w:r w:rsidRPr="00E16672">
        <w:rPr>
          <w:rFonts w:ascii="Times New Roman" w:eastAsia="Arial Unicode MS" w:hAnsi="Times New Roman"/>
          <w:szCs w:val="20"/>
          <w:shd w:val="clear" w:color="auto" w:fill="FFFFFF"/>
        </w:rPr>
        <w:t>які</w:t>
      </w:r>
      <w:proofErr w:type="spellEnd"/>
      <w:r w:rsidRPr="00E16672">
        <w:rPr>
          <w:rFonts w:ascii="Times New Roman" w:eastAsia="Arial Unicode MS" w:hAnsi="Times New Roman"/>
          <w:szCs w:val="20"/>
          <w:shd w:val="clear" w:color="auto" w:fill="FFFFFF"/>
        </w:rPr>
        <w:t xml:space="preserve"> </w:t>
      </w:r>
      <w:proofErr w:type="spellStart"/>
      <w:r w:rsidRPr="00E16672">
        <w:rPr>
          <w:rFonts w:ascii="Times New Roman" w:eastAsia="Arial Unicode MS" w:hAnsi="Times New Roman"/>
          <w:szCs w:val="20"/>
          <w:shd w:val="clear" w:color="auto" w:fill="FFFFFF"/>
        </w:rPr>
        <w:t>виникають</w:t>
      </w:r>
      <w:proofErr w:type="spellEnd"/>
      <w:r w:rsidRPr="00E16672">
        <w:rPr>
          <w:rFonts w:ascii="Times New Roman" w:eastAsia="Arial Unicode MS" w:hAnsi="Times New Roman"/>
          <w:szCs w:val="20"/>
          <w:shd w:val="clear" w:color="auto" w:fill="FFFFFF"/>
        </w:rPr>
        <w:t xml:space="preserve"> </w:t>
      </w:r>
      <w:proofErr w:type="spellStart"/>
      <w:r w:rsidRPr="00E16672">
        <w:rPr>
          <w:rFonts w:ascii="Times New Roman" w:eastAsia="Arial Unicode MS" w:hAnsi="Times New Roman"/>
          <w:szCs w:val="20"/>
          <w:shd w:val="clear" w:color="auto" w:fill="FFFFFF"/>
        </w:rPr>
        <w:t>щодо</w:t>
      </w:r>
      <w:proofErr w:type="spellEnd"/>
      <w:r w:rsidRPr="00E16672">
        <w:rPr>
          <w:rFonts w:ascii="Times New Roman" w:eastAsia="Arial Unicode MS" w:hAnsi="Times New Roman"/>
          <w:szCs w:val="20"/>
          <w:shd w:val="clear" w:color="auto" w:fill="FFFFFF"/>
        </w:rPr>
        <w:t xml:space="preserve"> </w:t>
      </w:r>
      <w:proofErr w:type="spellStart"/>
      <w:r w:rsidRPr="00E16672">
        <w:rPr>
          <w:rFonts w:ascii="Times New Roman" w:eastAsia="Arial Unicode MS" w:hAnsi="Times New Roman"/>
          <w:szCs w:val="20"/>
          <w:shd w:val="clear" w:color="auto" w:fill="FFFFFF"/>
        </w:rPr>
        <w:t>тарифів</w:t>
      </w:r>
      <w:proofErr w:type="spellEnd"/>
      <w:r w:rsidRPr="00E16672">
        <w:rPr>
          <w:rFonts w:ascii="Times New Roman" w:eastAsia="Arial Unicode MS" w:hAnsi="Times New Roman"/>
          <w:szCs w:val="20"/>
          <w:shd w:val="clear" w:color="auto" w:fill="FFFFFF"/>
        </w:rPr>
        <w:t xml:space="preserve">, </w:t>
      </w:r>
      <w:proofErr w:type="spellStart"/>
      <w:r w:rsidRPr="00E16672">
        <w:rPr>
          <w:rFonts w:ascii="Times New Roman" w:eastAsia="Arial Unicode MS" w:hAnsi="Times New Roman"/>
          <w:szCs w:val="20"/>
          <w:shd w:val="clear" w:color="auto" w:fill="FFFFFF"/>
        </w:rPr>
        <w:t>вирішуються</w:t>
      </w:r>
      <w:proofErr w:type="spellEnd"/>
      <w:r w:rsidRPr="00E16672">
        <w:rPr>
          <w:rFonts w:ascii="Times New Roman" w:eastAsia="Arial Unicode MS" w:hAnsi="Times New Roman"/>
          <w:szCs w:val="20"/>
          <w:shd w:val="clear" w:color="auto" w:fill="FFFFFF"/>
        </w:rPr>
        <w:t xml:space="preserve"> </w:t>
      </w:r>
      <w:proofErr w:type="gramStart"/>
      <w:r w:rsidRPr="00E16672">
        <w:rPr>
          <w:rFonts w:ascii="Times New Roman" w:eastAsia="Arial Unicode MS" w:hAnsi="Times New Roman"/>
          <w:szCs w:val="20"/>
          <w:shd w:val="clear" w:color="auto" w:fill="FFFFFF"/>
        </w:rPr>
        <w:t>в судовому порядку</w:t>
      </w:r>
      <w:proofErr w:type="gramEnd"/>
      <w:r w:rsidRPr="00E16672">
        <w:rPr>
          <w:rFonts w:ascii="Times New Roman" w:eastAsia="Arial Unicode MS" w:hAnsi="Times New Roman"/>
          <w:szCs w:val="20"/>
          <w:shd w:val="clear" w:color="auto" w:fill="FFFFFF"/>
        </w:rPr>
        <w:t>.</w:t>
      </w:r>
    </w:p>
    <w:p w14:paraId="2E5D57C0" w14:textId="77777777" w:rsidR="009A7EA8" w:rsidRPr="00E16672" w:rsidRDefault="009A7EA8" w:rsidP="009A7EA8">
      <w:pPr>
        <w:rPr>
          <w:rFonts w:ascii="Times New Roman" w:eastAsia="Arial Unicode MS" w:hAnsi="Times New Roman"/>
          <w:szCs w:val="20"/>
        </w:rPr>
      </w:pPr>
    </w:p>
    <w:p w14:paraId="4DFC31AC" w14:textId="77777777" w:rsidR="009A7EA8" w:rsidRPr="00E16672" w:rsidRDefault="009A7EA8" w:rsidP="009A7EA8">
      <w:pPr>
        <w:jc w:val="center"/>
        <w:rPr>
          <w:rFonts w:ascii="Times New Roman" w:eastAsia="Arial Unicode MS" w:hAnsi="Times New Roman"/>
          <w:b/>
          <w:bCs/>
          <w:szCs w:val="20"/>
        </w:rPr>
      </w:pPr>
      <w:r w:rsidRPr="00E16672">
        <w:rPr>
          <w:rFonts w:ascii="Times New Roman" w:eastAsia="Arial Unicode MS" w:hAnsi="Times New Roman"/>
          <w:b/>
          <w:bCs/>
          <w:szCs w:val="20"/>
        </w:rPr>
        <w:t>8. ФОРС-МАЖОР. УМОВИ ЗВІЛЬНЕННЯ ВІД ВІДПОВІДАЛЬНОСТІ</w:t>
      </w:r>
    </w:p>
    <w:p w14:paraId="5F0A73EA" w14:textId="77777777" w:rsidR="009A7EA8" w:rsidRPr="00E16672" w:rsidRDefault="009A7EA8" w:rsidP="009A7EA8">
      <w:pPr>
        <w:rPr>
          <w:rFonts w:ascii="Times New Roman" w:eastAsia="Arial Unicode MS" w:hAnsi="Times New Roman"/>
          <w:szCs w:val="20"/>
        </w:rPr>
      </w:pPr>
      <w:r w:rsidRPr="00E16672">
        <w:rPr>
          <w:rFonts w:ascii="Times New Roman" w:eastAsia="Arial Unicode MS" w:hAnsi="Times New Roman"/>
          <w:szCs w:val="20"/>
        </w:rPr>
        <w:t xml:space="preserve">8.1. </w:t>
      </w:r>
      <w:proofErr w:type="spellStart"/>
      <w:r w:rsidRPr="00E16672">
        <w:rPr>
          <w:rFonts w:ascii="Times New Roman" w:eastAsia="Arial Unicode MS" w:hAnsi="Times New Roman"/>
          <w:szCs w:val="20"/>
        </w:rPr>
        <w:t>Сторони</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звільняються</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від</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відповідальності</w:t>
      </w:r>
      <w:proofErr w:type="spellEnd"/>
      <w:r w:rsidRPr="00E16672">
        <w:rPr>
          <w:rFonts w:ascii="Times New Roman" w:eastAsia="Arial Unicode MS" w:hAnsi="Times New Roman"/>
          <w:szCs w:val="20"/>
        </w:rPr>
        <w:t xml:space="preserve"> за </w:t>
      </w:r>
      <w:proofErr w:type="spellStart"/>
      <w:r w:rsidRPr="00E16672">
        <w:rPr>
          <w:rFonts w:ascii="Times New Roman" w:eastAsia="Arial Unicode MS" w:hAnsi="Times New Roman"/>
          <w:szCs w:val="20"/>
        </w:rPr>
        <w:t>часткове</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або</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повне</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невиконання</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зобов’язань</w:t>
      </w:r>
      <w:proofErr w:type="spellEnd"/>
      <w:r w:rsidRPr="00E16672">
        <w:rPr>
          <w:rFonts w:ascii="Times New Roman" w:eastAsia="Arial Unicode MS" w:hAnsi="Times New Roman"/>
          <w:szCs w:val="20"/>
        </w:rPr>
        <w:t xml:space="preserve"> по </w:t>
      </w:r>
      <w:proofErr w:type="spellStart"/>
      <w:r w:rsidRPr="00E16672">
        <w:rPr>
          <w:rFonts w:ascii="Times New Roman" w:eastAsia="Arial Unicode MS" w:hAnsi="Times New Roman"/>
          <w:szCs w:val="20"/>
        </w:rPr>
        <w:t>цьому</w:t>
      </w:r>
      <w:proofErr w:type="spellEnd"/>
      <w:r w:rsidRPr="00E16672">
        <w:rPr>
          <w:rFonts w:ascii="Times New Roman" w:eastAsia="Arial Unicode MS" w:hAnsi="Times New Roman"/>
          <w:szCs w:val="20"/>
        </w:rPr>
        <w:t xml:space="preserve"> Договору (див.п.8.4.), </w:t>
      </w:r>
      <w:proofErr w:type="spellStart"/>
      <w:r w:rsidRPr="00E16672">
        <w:rPr>
          <w:rFonts w:ascii="Times New Roman" w:eastAsia="Arial Unicode MS" w:hAnsi="Times New Roman"/>
          <w:szCs w:val="20"/>
        </w:rPr>
        <w:t>якщо</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це</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невиконання</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унеможливив</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вплив</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обставин</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непереборної</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сили</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тобто</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надзвичайних</w:t>
      </w:r>
      <w:proofErr w:type="spellEnd"/>
      <w:r w:rsidRPr="00E16672">
        <w:rPr>
          <w:rFonts w:ascii="Times New Roman" w:eastAsia="Arial Unicode MS" w:hAnsi="Times New Roman"/>
          <w:szCs w:val="20"/>
        </w:rPr>
        <w:t xml:space="preserve"> і </w:t>
      </w:r>
      <w:proofErr w:type="spellStart"/>
      <w:r w:rsidRPr="00E16672">
        <w:rPr>
          <w:rFonts w:ascii="Times New Roman" w:eastAsia="Arial Unicode MS" w:hAnsi="Times New Roman"/>
          <w:szCs w:val="20"/>
        </w:rPr>
        <w:t>невідворотних</w:t>
      </w:r>
      <w:proofErr w:type="spellEnd"/>
      <w:r w:rsidRPr="00E16672">
        <w:rPr>
          <w:rFonts w:ascii="Times New Roman" w:eastAsia="Arial Unicode MS" w:hAnsi="Times New Roman"/>
          <w:szCs w:val="20"/>
        </w:rPr>
        <w:t xml:space="preserve"> за </w:t>
      </w:r>
      <w:proofErr w:type="spellStart"/>
      <w:r w:rsidRPr="00E16672">
        <w:rPr>
          <w:rFonts w:ascii="Times New Roman" w:eastAsia="Arial Unicode MS" w:hAnsi="Times New Roman"/>
          <w:szCs w:val="20"/>
        </w:rPr>
        <w:t>даних</w:t>
      </w:r>
      <w:proofErr w:type="spellEnd"/>
      <w:r w:rsidRPr="00E16672">
        <w:rPr>
          <w:rFonts w:ascii="Times New Roman" w:eastAsia="Arial Unicode MS" w:hAnsi="Times New Roman"/>
          <w:szCs w:val="20"/>
        </w:rPr>
        <w:t xml:space="preserve"> умов </w:t>
      </w:r>
      <w:proofErr w:type="spellStart"/>
      <w:r w:rsidRPr="00E16672">
        <w:rPr>
          <w:rFonts w:ascii="Times New Roman" w:eastAsia="Arial Unicode MS" w:hAnsi="Times New Roman"/>
          <w:szCs w:val="20"/>
        </w:rPr>
        <w:t>подій</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стихійного</w:t>
      </w:r>
      <w:proofErr w:type="spellEnd"/>
      <w:r w:rsidRPr="00E16672">
        <w:rPr>
          <w:rFonts w:ascii="Times New Roman" w:eastAsia="Arial Unicode MS" w:hAnsi="Times New Roman"/>
          <w:szCs w:val="20"/>
        </w:rPr>
        <w:t xml:space="preserve"> лиха, </w:t>
      </w:r>
      <w:proofErr w:type="spellStart"/>
      <w:r w:rsidRPr="00E16672">
        <w:rPr>
          <w:rFonts w:ascii="Times New Roman" w:eastAsia="Arial Unicode MS" w:hAnsi="Times New Roman"/>
          <w:szCs w:val="20"/>
        </w:rPr>
        <w:t>аварії</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пожежі</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вихід</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із</w:t>
      </w:r>
      <w:proofErr w:type="spellEnd"/>
      <w:r w:rsidRPr="00E16672">
        <w:rPr>
          <w:rFonts w:ascii="Times New Roman" w:eastAsia="Arial Unicode MS" w:hAnsi="Times New Roman"/>
          <w:szCs w:val="20"/>
        </w:rPr>
        <w:t xml:space="preserve"> ладу мереж </w:t>
      </w:r>
      <w:proofErr w:type="spellStart"/>
      <w:r w:rsidRPr="00E16672">
        <w:rPr>
          <w:rFonts w:ascii="Times New Roman" w:eastAsia="Arial Unicode MS" w:hAnsi="Times New Roman"/>
          <w:szCs w:val="20"/>
        </w:rPr>
        <w:t>зв’язку</w:t>
      </w:r>
      <w:proofErr w:type="spellEnd"/>
      <w:r w:rsidRPr="00E16672">
        <w:rPr>
          <w:rFonts w:ascii="Times New Roman" w:eastAsia="Arial Unicode MS" w:hAnsi="Times New Roman"/>
          <w:szCs w:val="20"/>
        </w:rPr>
        <w:t xml:space="preserve"> та </w:t>
      </w:r>
      <w:proofErr w:type="spellStart"/>
      <w:r w:rsidRPr="00E16672">
        <w:rPr>
          <w:rFonts w:ascii="Times New Roman" w:eastAsia="Arial Unicode MS" w:hAnsi="Times New Roman"/>
          <w:szCs w:val="20"/>
        </w:rPr>
        <w:t>системи</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електропостачання</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масових</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порушень</w:t>
      </w:r>
      <w:proofErr w:type="spellEnd"/>
      <w:r w:rsidRPr="00E16672">
        <w:rPr>
          <w:rFonts w:ascii="Times New Roman" w:eastAsia="Arial Unicode MS" w:hAnsi="Times New Roman"/>
          <w:szCs w:val="20"/>
        </w:rPr>
        <w:t xml:space="preserve"> правопорядку, </w:t>
      </w:r>
      <w:proofErr w:type="spellStart"/>
      <w:r w:rsidRPr="00E16672">
        <w:rPr>
          <w:rFonts w:ascii="Times New Roman" w:eastAsia="Arial Unicode MS" w:hAnsi="Times New Roman"/>
          <w:szCs w:val="20"/>
        </w:rPr>
        <w:t>страйків</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військових</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дій</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протиправних</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дій</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третіх</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осіб</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крім</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дій</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працівників</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Сторони</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чи</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інших</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обставин</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що</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виникли</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після</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підписання</w:t>
      </w:r>
      <w:proofErr w:type="spellEnd"/>
      <w:r w:rsidRPr="00E16672">
        <w:rPr>
          <w:rFonts w:ascii="Times New Roman" w:eastAsia="Arial Unicode MS" w:hAnsi="Times New Roman"/>
          <w:szCs w:val="20"/>
        </w:rPr>
        <w:t xml:space="preserve"> Договору та не </w:t>
      </w:r>
      <w:proofErr w:type="spellStart"/>
      <w:r w:rsidRPr="00E16672">
        <w:rPr>
          <w:rFonts w:ascii="Times New Roman" w:eastAsia="Arial Unicode MS" w:hAnsi="Times New Roman"/>
          <w:szCs w:val="20"/>
        </w:rPr>
        <w:t>залежать</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від</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волевиявлення</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Сторін</w:t>
      </w:r>
      <w:proofErr w:type="spellEnd"/>
      <w:r w:rsidRPr="00E16672">
        <w:rPr>
          <w:rFonts w:ascii="Times New Roman" w:eastAsia="Arial Unicode MS" w:hAnsi="Times New Roman"/>
          <w:szCs w:val="20"/>
        </w:rPr>
        <w:t xml:space="preserve">. Не є </w:t>
      </w:r>
      <w:proofErr w:type="spellStart"/>
      <w:r w:rsidRPr="00E16672">
        <w:rPr>
          <w:rFonts w:ascii="Times New Roman" w:eastAsia="Arial Unicode MS" w:hAnsi="Times New Roman"/>
          <w:szCs w:val="20"/>
        </w:rPr>
        <w:t>непереборною</w:t>
      </w:r>
      <w:proofErr w:type="spellEnd"/>
      <w:r w:rsidRPr="00E16672">
        <w:rPr>
          <w:rFonts w:ascii="Times New Roman" w:eastAsia="Arial Unicode MS" w:hAnsi="Times New Roman"/>
          <w:szCs w:val="20"/>
        </w:rPr>
        <w:t xml:space="preserve"> силою </w:t>
      </w:r>
      <w:proofErr w:type="spellStart"/>
      <w:r w:rsidRPr="00E16672">
        <w:rPr>
          <w:rFonts w:ascii="Times New Roman" w:eastAsia="Arial Unicode MS" w:hAnsi="Times New Roman"/>
          <w:szCs w:val="20"/>
        </w:rPr>
        <w:t>недодержання</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своїх</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обов’язків</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іншими</w:t>
      </w:r>
      <w:proofErr w:type="spellEnd"/>
      <w:r w:rsidRPr="00E16672">
        <w:rPr>
          <w:rFonts w:ascii="Times New Roman" w:eastAsia="Arial Unicode MS" w:hAnsi="Times New Roman"/>
          <w:szCs w:val="20"/>
        </w:rPr>
        <w:t xml:space="preserve"> контрагентами </w:t>
      </w:r>
      <w:proofErr w:type="spellStart"/>
      <w:r w:rsidRPr="00E16672">
        <w:rPr>
          <w:rFonts w:ascii="Times New Roman" w:eastAsia="Arial Unicode MS" w:hAnsi="Times New Roman"/>
          <w:szCs w:val="20"/>
        </w:rPr>
        <w:t>однієї</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зі</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Сторін</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чи</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відсутність</w:t>
      </w:r>
      <w:proofErr w:type="spellEnd"/>
      <w:r w:rsidRPr="00E16672">
        <w:rPr>
          <w:rFonts w:ascii="Times New Roman" w:eastAsia="Arial Unicode MS" w:hAnsi="Times New Roman"/>
          <w:szCs w:val="20"/>
        </w:rPr>
        <w:t xml:space="preserve"> у </w:t>
      </w:r>
      <w:proofErr w:type="spellStart"/>
      <w:r w:rsidRPr="00E16672">
        <w:rPr>
          <w:rFonts w:ascii="Times New Roman" w:eastAsia="Arial Unicode MS" w:hAnsi="Times New Roman"/>
          <w:szCs w:val="20"/>
        </w:rPr>
        <w:t>Сторони</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достатніх</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коштів</w:t>
      </w:r>
      <w:proofErr w:type="spellEnd"/>
      <w:r w:rsidRPr="00E16672">
        <w:rPr>
          <w:rFonts w:ascii="Times New Roman" w:eastAsia="Arial Unicode MS" w:hAnsi="Times New Roman"/>
          <w:szCs w:val="20"/>
        </w:rPr>
        <w:t>.</w:t>
      </w:r>
    </w:p>
    <w:p w14:paraId="2F0DCF72" w14:textId="77777777" w:rsidR="009A7EA8" w:rsidRPr="00E16672" w:rsidRDefault="009A7EA8" w:rsidP="009A7EA8">
      <w:pPr>
        <w:rPr>
          <w:rFonts w:ascii="Times New Roman" w:eastAsia="Arial Unicode MS" w:hAnsi="Times New Roman"/>
          <w:szCs w:val="20"/>
        </w:rPr>
      </w:pPr>
      <w:r w:rsidRPr="00E16672">
        <w:rPr>
          <w:rFonts w:ascii="Times New Roman" w:eastAsia="Arial Unicode MS" w:hAnsi="Times New Roman"/>
          <w:szCs w:val="20"/>
        </w:rPr>
        <w:t xml:space="preserve">8.2. У </w:t>
      </w:r>
      <w:proofErr w:type="spellStart"/>
      <w:r w:rsidRPr="00E16672">
        <w:rPr>
          <w:rFonts w:ascii="Times New Roman" w:eastAsia="Arial Unicode MS" w:hAnsi="Times New Roman"/>
          <w:szCs w:val="20"/>
        </w:rPr>
        <w:t>випадку</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виникнення</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обставин</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непереборної</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сили</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термін</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виконання</w:t>
      </w:r>
      <w:proofErr w:type="spellEnd"/>
      <w:r w:rsidRPr="00E16672">
        <w:rPr>
          <w:rFonts w:ascii="Times New Roman" w:eastAsia="Arial Unicode MS" w:hAnsi="Times New Roman"/>
          <w:szCs w:val="20"/>
        </w:rPr>
        <w:t xml:space="preserve"> Сторонами </w:t>
      </w:r>
      <w:proofErr w:type="spellStart"/>
      <w:r w:rsidRPr="00E16672">
        <w:rPr>
          <w:rFonts w:ascii="Times New Roman" w:eastAsia="Arial Unicode MS" w:hAnsi="Times New Roman"/>
          <w:szCs w:val="20"/>
        </w:rPr>
        <w:t>обов`язків</w:t>
      </w:r>
      <w:proofErr w:type="spellEnd"/>
      <w:r w:rsidRPr="00E16672">
        <w:rPr>
          <w:rFonts w:ascii="Times New Roman" w:eastAsia="Arial Unicode MS" w:hAnsi="Times New Roman"/>
          <w:szCs w:val="20"/>
        </w:rPr>
        <w:t xml:space="preserve"> по </w:t>
      </w:r>
      <w:proofErr w:type="spellStart"/>
      <w:r w:rsidRPr="00E16672">
        <w:rPr>
          <w:rFonts w:ascii="Times New Roman" w:eastAsia="Arial Unicode MS" w:hAnsi="Times New Roman"/>
          <w:szCs w:val="20"/>
        </w:rPr>
        <w:t>цьому</w:t>
      </w:r>
      <w:proofErr w:type="spellEnd"/>
      <w:r w:rsidRPr="00E16672">
        <w:rPr>
          <w:rFonts w:ascii="Times New Roman" w:eastAsia="Arial Unicode MS" w:hAnsi="Times New Roman"/>
          <w:szCs w:val="20"/>
        </w:rPr>
        <w:t xml:space="preserve"> Договору </w:t>
      </w:r>
      <w:proofErr w:type="spellStart"/>
      <w:r w:rsidRPr="00E16672">
        <w:rPr>
          <w:rFonts w:ascii="Times New Roman" w:eastAsia="Arial Unicode MS" w:hAnsi="Times New Roman"/>
          <w:szCs w:val="20"/>
        </w:rPr>
        <w:t>відкладається</w:t>
      </w:r>
      <w:proofErr w:type="spellEnd"/>
      <w:r w:rsidRPr="00E16672">
        <w:rPr>
          <w:rFonts w:ascii="Times New Roman" w:eastAsia="Arial Unicode MS" w:hAnsi="Times New Roman"/>
          <w:szCs w:val="20"/>
        </w:rPr>
        <w:t xml:space="preserve"> на </w:t>
      </w:r>
      <w:proofErr w:type="spellStart"/>
      <w:r w:rsidRPr="00E16672">
        <w:rPr>
          <w:rFonts w:ascii="Times New Roman" w:eastAsia="Arial Unicode MS" w:hAnsi="Times New Roman"/>
          <w:szCs w:val="20"/>
        </w:rPr>
        <w:t>термін</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протягом</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якого</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діють</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такі</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обставини</w:t>
      </w:r>
      <w:proofErr w:type="spellEnd"/>
      <w:r w:rsidRPr="00E16672">
        <w:rPr>
          <w:rFonts w:ascii="Times New Roman" w:eastAsia="Arial Unicode MS" w:hAnsi="Times New Roman"/>
          <w:szCs w:val="20"/>
        </w:rPr>
        <w:t xml:space="preserve"> та </w:t>
      </w:r>
      <w:proofErr w:type="spellStart"/>
      <w:r w:rsidRPr="00E16672">
        <w:rPr>
          <w:rFonts w:ascii="Times New Roman" w:eastAsia="Arial Unicode MS" w:hAnsi="Times New Roman"/>
          <w:szCs w:val="20"/>
        </w:rPr>
        <w:t>їх</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наслідки</w:t>
      </w:r>
      <w:proofErr w:type="spellEnd"/>
      <w:r w:rsidRPr="00E16672">
        <w:rPr>
          <w:rFonts w:ascii="Times New Roman" w:eastAsia="Arial Unicode MS" w:hAnsi="Times New Roman"/>
          <w:szCs w:val="20"/>
        </w:rPr>
        <w:t>.</w:t>
      </w:r>
    </w:p>
    <w:p w14:paraId="3FDC106C" w14:textId="77777777" w:rsidR="009A7EA8" w:rsidRPr="00E16672" w:rsidRDefault="009A7EA8" w:rsidP="009A7EA8">
      <w:pPr>
        <w:rPr>
          <w:rFonts w:ascii="Times New Roman" w:eastAsia="Arial Unicode MS" w:hAnsi="Times New Roman"/>
          <w:szCs w:val="20"/>
        </w:rPr>
      </w:pPr>
      <w:r w:rsidRPr="00E16672">
        <w:rPr>
          <w:rFonts w:ascii="Times New Roman" w:eastAsia="Arial Unicode MS" w:hAnsi="Times New Roman"/>
          <w:szCs w:val="20"/>
        </w:rPr>
        <w:t xml:space="preserve">8.3. </w:t>
      </w:r>
      <w:proofErr w:type="spellStart"/>
      <w:r w:rsidRPr="00E16672">
        <w:rPr>
          <w:rFonts w:ascii="Times New Roman" w:eastAsia="Arial Unicode MS" w:hAnsi="Times New Roman"/>
          <w:szCs w:val="20"/>
        </w:rPr>
        <w:t>Сторони</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зобов`язуються</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після</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настання</w:t>
      </w:r>
      <w:proofErr w:type="spellEnd"/>
      <w:r w:rsidRPr="00E16672">
        <w:rPr>
          <w:rFonts w:ascii="Times New Roman" w:eastAsia="Arial Unicode MS" w:hAnsi="Times New Roman"/>
          <w:szCs w:val="20"/>
        </w:rPr>
        <w:t xml:space="preserve"> форс-</w:t>
      </w:r>
      <w:proofErr w:type="spellStart"/>
      <w:r w:rsidRPr="00E16672">
        <w:rPr>
          <w:rFonts w:ascii="Times New Roman" w:eastAsia="Arial Unicode MS" w:hAnsi="Times New Roman"/>
          <w:szCs w:val="20"/>
        </w:rPr>
        <w:t>мажорних</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обставин</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вжити</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всі</w:t>
      </w:r>
      <w:proofErr w:type="spellEnd"/>
      <w:r w:rsidRPr="00E16672">
        <w:rPr>
          <w:rFonts w:ascii="Times New Roman" w:eastAsia="Arial Unicode MS" w:hAnsi="Times New Roman"/>
          <w:szCs w:val="20"/>
        </w:rPr>
        <w:t xml:space="preserve"> заходи для </w:t>
      </w:r>
      <w:proofErr w:type="spellStart"/>
      <w:r w:rsidRPr="00E16672">
        <w:rPr>
          <w:rFonts w:ascii="Times New Roman" w:eastAsia="Arial Unicode MS" w:hAnsi="Times New Roman"/>
          <w:szCs w:val="20"/>
        </w:rPr>
        <w:t>ліквідації</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наслідків</w:t>
      </w:r>
      <w:proofErr w:type="spellEnd"/>
      <w:r w:rsidRPr="00E16672">
        <w:rPr>
          <w:rFonts w:ascii="Times New Roman" w:eastAsia="Arial Unicode MS" w:hAnsi="Times New Roman"/>
          <w:szCs w:val="20"/>
        </w:rPr>
        <w:t xml:space="preserve"> та </w:t>
      </w:r>
      <w:proofErr w:type="spellStart"/>
      <w:r w:rsidRPr="00E16672">
        <w:rPr>
          <w:rFonts w:ascii="Times New Roman" w:eastAsia="Arial Unicode MS" w:hAnsi="Times New Roman"/>
          <w:szCs w:val="20"/>
        </w:rPr>
        <w:t>виконання</w:t>
      </w:r>
      <w:proofErr w:type="spellEnd"/>
      <w:r w:rsidRPr="00E16672">
        <w:rPr>
          <w:rFonts w:ascii="Times New Roman" w:eastAsia="Arial Unicode MS" w:hAnsi="Times New Roman"/>
          <w:szCs w:val="20"/>
        </w:rPr>
        <w:t xml:space="preserve"> умов Договору. </w:t>
      </w:r>
    </w:p>
    <w:p w14:paraId="786EC810" w14:textId="77777777" w:rsidR="009A7EA8" w:rsidRPr="00E16672" w:rsidRDefault="009A7EA8" w:rsidP="009A7EA8">
      <w:pPr>
        <w:pStyle w:val="210"/>
        <w:snapToGrid w:val="0"/>
        <w:ind w:firstLine="540"/>
        <w:rPr>
          <w:rFonts w:ascii="Times New Roman" w:eastAsia="Arial Unicode MS" w:hAnsi="Times New Roman"/>
          <w:sz w:val="20"/>
          <w:szCs w:val="20"/>
        </w:rPr>
      </w:pPr>
      <w:r w:rsidRPr="00E16672">
        <w:rPr>
          <w:rFonts w:ascii="Times New Roman" w:eastAsia="Arial Unicode MS" w:hAnsi="Times New Roman"/>
          <w:sz w:val="20"/>
          <w:szCs w:val="20"/>
        </w:rPr>
        <w:t xml:space="preserve">8.4. Кожна Сторона зобов’язана документально підтвердити факт виникнення Форс-мажорних обставин іншій стороні протягом </w:t>
      </w:r>
      <w:r w:rsidRPr="00E16672">
        <w:rPr>
          <w:rFonts w:ascii="Times New Roman" w:eastAsia="Arial Unicode MS" w:hAnsi="Times New Roman"/>
          <w:i/>
          <w:iCs/>
          <w:sz w:val="20"/>
          <w:szCs w:val="20"/>
        </w:rPr>
        <w:t xml:space="preserve">десяти </w:t>
      </w:r>
      <w:r w:rsidRPr="00E16672">
        <w:rPr>
          <w:rFonts w:ascii="Times New Roman" w:eastAsia="Arial Unicode MS" w:hAnsi="Times New Roman"/>
          <w:iCs/>
          <w:sz w:val="20"/>
          <w:szCs w:val="20"/>
        </w:rPr>
        <w:t>робочих</w:t>
      </w:r>
      <w:r w:rsidRPr="00E16672">
        <w:rPr>
          <w:rFonts w:ascii="Times New Roman" w:eastAsia="Arial Unicode MS" w:hAnsi="Times New Roman"/>
          <w:i/>
          <w:iCs/>
          <w:sz w:val="20"/>
          <w:szCs w:val="20"/>
        </w:rPr>
        <w:t xml:space="preserve"> </w:t>
      </w:r>
      <w:r w:rsidRPr="00E16672">
        <w:rPr>
          <w:rFonts w:ascii="Times New Roman" w:eastAsia="Arial Unicode MS" w:hAnsi="Times New Roman"/>
          <w:sz w:val="20"/>
          <w:szCs w:val="20"/>
        </w:rPr>
        <w:t xml:space="preserve"> днів після їх виникнення. </w:t>
      </w:r>
    </w:p>
    <w:p w14:paraId="4CFDFCEE" w14:textId="77777777" w:rsidR="009A7EA8" w:rsidRPr="00E16672" w:rsidRDefault="009A7EA8" w:rsidP="009A7EA8">
      <w:pPr>
        <w:ind w:firstLine="540"/>
        <w:rPr>
          <w:rFonts w:ascii="Times New Roman" w:eastAsia="Arial Unicode MS" w:hAnsi="Times New Roman"/>
          <w:szCs w:val="20"/>
        </w:rPr>
      </w:pPr>
      <w:r w:rsidRPr="00E16672">
        <w:rPr>
          <w:rFonts w:ascii="Times New Roman" w:eastAsia="Arial Unicode MS" w:hAnsi="Times New Roman"/>
          <w:szCs w:val="20"/>
        </w:rPr>
        <w:t xml:space="preserve">8.5. Форс-мажорна </w:t>
      </w:r>
      <w:proofErr w:type="spellStart"/>
      <w:r w:rsidRPr="00E16672">
        <w:rPr>
          <w:rFonts w:ascii="Times New Roman" w:eastAsia="Arial Unicode MS" w:hAnsi="Times New Roman"/>
          <w:szCs w:val="20"/>
        </w:rPr>
        <w:t>ситуація</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між</w:t>
      </w:r>
      <w:proofErr w:type="spellEnd"/>
      <w:r w:rsidRPr="00E16672">
        <w:rPr>
          <w:rFonts w:ascii="Times New Roman" w:eastAsia="Arial Unicode MS" w:hAnsi="Times New Roman"/>
          <w:szCs w:val="20"/>
        </w:rPr>
        <w:t xml:space="preserve"> Сторонами </w:t>
      </w:r>
      <w:proofErr w:type="spellStart"/>
      <w:r w:rsidRPr="00E16672">
        <w:rPr>
          <w:rFonts w:ascii="Times New Roman" w:eastAsia="Arial Unicode MS" w:hAnsi="Times New Roman"/>
          <w:szCs w:val="20"/>
        </w:rPr>
        <w:t>розглядається</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тільки</w:t>
      </w:r>
      <w:proofErr w:type="spellEnd"/>
      <w:r w:rsidRPr="00E16672">
        <w:rPr>
          <w:rFonts w:ascii="Times New Roman" w:eastAsia="Arial Unicode MS" w:hAnsi="Times New Roman"/>
          <w:szCs w:val="20"/>
        </w:rPr>
        <w:t xml:space="preserve"> за </w:t>
      </w:r>
      <w:proofErr w:type="spellStart"/>
      <w:r w:rsidRPr="00E16672">
        <w:rPr>
          <w:rFonts w:ascii="Times New Roman" w:eastAsia="Arial Unicode MS" w:hAnsi="Times New Roman"/>
          <w:szCs w:val="20"/>
        </w:rPr>
        <w:t>умови</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сповіщення</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протилежної</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Сторони</w:t>
      </w:r>
      <w:proofErr w:type="spellEnd"/>
      <w:r w:rsidRPr="00E16672">
        <w:rPr>
          <w:rFonts w:ascii="Times New Roman" w:eastAsia="Arial Unicode MS" w:hAnsi="Times New Roman"/>
          <w:szCs w:val="20"/>
        </w:rPr>
        <w:t xml:space="preserve"> в </w:t>
      </w:r>
      <w:proofErr w:type="spellStart"/>
      <w:r w:rsidRPr="00E16672">
        <w:rPr>
          <w:rFonts w:ascii="Times New Roman" w:eastAsia="Arial Unicode MS" w:hAnsi="Times New Roman"/>
          <w:szCs w:val="20"/>
        </w:rPr>
        <w:t>письмовій</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формі</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із</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зазначенням</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обставин</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що</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виникли</w:t>
      </w:r>
      <w:proofErr w:type="spellEnd"/>
      <w:r w:rsidRPr="00E16672">
        <w:rPr>
          <w:rFonts w:ascii="Times New Roman" w:eastAsia="Arial Unicode MS" w:hAnsi="Times New Roman"/>
          <w:szCs w:val="20"/>
        </w:rPr>
        <w:t>.</w:t>
      </w:r>
    </w:p>
    <w:p w14:paraId="46DD1EB0" w14:textId="77777777" w:rsidR="009A7EA8" w:rsidRPr="00E16672" w:rsidRDefault="009A7EA8" w:rsidP="009A7EA8">
      <w:pPr>
        <w:rPr>
          <w:rFonts w:ascii="Times New Roman" w:eastAsia="Arial Unicode MS" w:hAnsi="Times New Roman"/>
          <w:szCs w:val="20"/>
        </w:rPr>
      </w:pPr>
    </w:p>
    <w:p w14:paraId="2BEF12D1" w14:textId="77777777" w:rsidR="009A7EA8" w:rsidRPr="00E16672" w:rsidRDefault="009A7EA8" w:rsidP="009A7EA8">
      <w:pPr>
        <w:jc w:val="center"/>
        <w:rPr>
          <w:rFonts w:ascii="Times New Roman" w:hAnsi="Times New Roman"/>
          <w:b/>
          <w:szCs w:val="20"/>
        </w:rPr>
      </w:pPr>
      <w:r w:rsidRPr="00E16672">
        <w:rPr>
          <w:rFonts w:ascii="Times New Roman" w:hAnsi="Times New Roman"/>
          <w:b/>
          <w:szCs w:val="20"/>
        </w:rPr>
        <w:t xml:space="preserve">9. ПОРЯДОК РОЗКРИТТЯ ІНФОРМАЦІЇ, ЩО НАЛЕЖИТЬ ДО ІНФОРМАЦІЇ З ОБМЕЖЕНИМ ДОСТУПОМ </w:t>
      </w:r>
    </w:p>
    <w:p w14:paraId="0DB19D57" w14:textId="77777777" w:rsidR="009A7EA8" w:rsidRPr="00E16672" w:rsidRDefault="009A7EA8" w:rsidP="00022F5F">
      <w:pPr>
        <w:jc w:val="left"/>
        <w:rPr>
          <w:rFonts w:ascii="Times New Roman" w:hAnsi="Times New Roman"/>
          <w:szCs w:val="20"/>
        </w:rPr>
      </w:pPr>
      <w:r w:rsidRPr="00E16672">
        <w:rPr>
          <w:rFonts w:ascii="Times New Roman" w:hAnsi="Times New Roman"/>
          <w:szCs w:val="20"/>
        </w:rPr>
        <w:t xml:space="preserve">9.1. </w:t>
      </w:r>
      <w:proofErr w:type="spellStart"/>
      <w:r w:rsidRPr="00E16672">
        <w:rPr>
          <w:rFonts w:ascii="Times New Roman" w:hAnsi="Times New Roman"/>
          <w:szCs w:val="20"/>
        </w:rPr>
        <w:t>Інформація</w:t>
      </w:r>
      <w:proofErr w:type="spellEnd"/>
      <w:r w:rsidRPr="00E16672">
        <w:rPr>
          <w:rFonts w:ascii="Times New Roman" w:hAnsi="Times New Roman"/>
          <w:szCs w:val="20"/>
        </w:rPr>
        <w:t xml:space="preserve">, </w:t>
      </w:r>
      <w:proofErr w:type="spellStart"/>
      <w:r w:rsidRPr="00E16672">
        <w:rPr>
          <w:rFonts w:ascii="Times New Roman" w:hAnsi="Times New Roman"/>
          <w:szCs w:val="20"/>
        </w:rPr>
        <w:t>що</w:t>
      </w:r>
      <w:proofErr w:type="spellEnd"/>
      <w:r w:rsidRPr="00E16672">
        <w:rPr>
          <w:rFonts w:ascii="Times New Roman" w:hAnsi="Times New Roman"/>
          <w:szCs w:val="20"/>
        </w:rPr>
        <w:t xml:space="preserve"> </w:t>
      </w:r>
      <w:proofErr w:type="spellStart"/>
      <w:r w:rsidRPr="00E16672">
        <w:rPr>
          <w:rFonts w:ascii="Times New Roman" w:hAnsi="Times New Roman"/>
          <w:szCs w:val="20"/>
        </w:rPr>
        <w:t>міститься</w:t>
      </w:r>
      <w:proofErr w:type="spellEnd"/>
      <w:r w:rsidRPr="00E16672">
        <w:rPr>
          <w:rFonts w:ascii="Times New Roman" w:hAnsi="Times New Roman"/>
          <w:szCs w:val="20"/>
        </w:rPr>
        <w:t xml:space="preserve"> у </w:t>
      </w:r>
      <w:proofErr w:type="spellStart"/>
      <w:r w:rsidRPr="00E16672">
        <w:rPr>
          <w:rFonts w:ascii="Times New Roman" w:hAnsi="Times New Roman"/>
          <w:szCs w:val="20"/>
        </w:rPr>
        <w:t>системі</w:t>
      </w:r>
      <w:proofErr w:type="spellEnd"/>
      <w:r w:rsidRPr="00E16672">
        <w:rPr>
          <w:rFonts w:ascii="Times New Roman" w:hAnsi="Times New Roman"/>
          <w:szCs w:val="20"/>
        </w:rPr>
        <w:t xml:space="preserve"> депозитарного </w:t>
      </w:r>
      <w:proofErr w:type="spellStart"/>
      <w:r w:rsidRPr="00E16672">
        <w:rPr>
          <w:rFonts w:ascii="Times New Roman" w:hAnsi="Times New Roman"/>
          <w:szCs w:val="20"/>
        </w:rPr>
        <w:t>обліку</w:t>
      </w:r>
      <w:proofErr w:type="spellEnd"/>
      <w:r w:rsidRPr="00E16672">
        <w:rPr>
          <w:rFonts w:ascii="Times New Roman" w:hAnsi="Times New Roman"/>
          <w:szCs w:val="20"/>
        </w:rPr>
        <w:t xml:space="preserve">, є </w:t>
      </w:r>
      <w:proofErr w:type="spellStart"/>
      <w:r w:rsidRPr="00E16672">
        <w:rPr>
          <w:rFonts w:ascii="Times New Roman" w:hAnsi="Times New Roman"/>
          <w:szCs w:val="20"/>
        </w:rPr>
        <w:t>інформацією</w:t>
      </w:r>
      <w:proofErr w:type="spellEnd"/>
      <w:r w:rsidRPr="00E16672">
        <w:rPr>
          <w:rFonts w:ascii="Times New Roman" w:hAnsi="Times New Roman"/>
          <w:szCs w:val="20"/>
        </w:rPr>
        <w:t xml:space="preserve"> з </w:t>
      </w:r>
      <w:proofErr w:type="spellStart"/>
      <w:r w:rsidRPr="00E16672">
        <w:rPr>
          <w:rFonts w:ascii="Times New Roman" w:hAnsi="Times New Roman"/>
          <w:szCs w:val="20"/>
        </w:rPr>
        <w:t>обмеженим</w:t>
      </w:r>
      <w:proofErr w:type="spellEnd"/>
      <w:r w:rsidRPr="00E16672">
        <w:rPr>
          <w:rFonts w:ascii="Times New Roman" w:hAnsi="Times New Roman"/>
          <w:szCs w:val="20"/>
        </w:rPr>
        <w:t xml:space="preserve"> доступом, </w:t>
      </w:r>
      <w:proofErr w:type="spellStart"/>
      <w:r w:rsidRPr="00E16672">
        <w:rPr>
          <w:rFonts w:ascii="Times New Roman" w:hAnsi="Times New Roman"/>
          <w:szCs w:val="20"/>
        </w:rPr>
        <w:t>охороняється</w:t>
      </w:r>
      <w:proofErr w:type="spellEnd"/>
      <w:r w:rsidRPr="00E16672">
        <w:rPr>
          <w:rFonts w:ascii="Times New Roman" w:hAnsi="Times New Roman"/>
          <w:szCs w:val="20"/>
        </w:rPr>
        <w:t xml:space="preserve"> законом та не </w:t>
      </w:r>
      <w:proofErr w:type="spellStart"/>
      <w:r w:rsidRPr="00E16672">
        <w:rPr>
          <w:rFonts w:ascii="Times New Roman" w:hAnsi="Times New Roman"/>
          <w:szCs w:val="20"/>
        </w:rPr>
        <w:t>підлягає</w:t>
      </w:r>
      <w:proofErr w:type="spellEnd"/>
      <w:r w:rsidRPr="00E16672">
        <w:rPr>
          <w:rFonts w:ascii="Times New Roman" w:hAnsi="Times New Roman"/>
          <w:szCs w:val="20"/>
        </w:rPr>
        <w:t xml:space="preserve"> </w:t>
      </w:r>
      <w:proofErr w:type="spellStart"/>
      <w:r w:rsidRPr="00E16672">
        <w:rPr>
          <w:rFonts w:ascii="Times New Roman" w:hAnsi="Times New Roman"/>
          <w:szCs w:val="20"/>
        </w:rPr>
        <w:t>розголошенню</w:t>
      </w:r>
      <w:proofErr w:type="spellEnd"/>
      <w:r w:rsidRPr="00E16672">
        <w:rPr>
          <w:rFonts w:ascii="Times New Roman" w:hAnsi="Times New Roman"/>
          <w:szCs w:val="20"/>
        </w:rPr>
        <w:t xml:space="preserve"> Депозитарною </w:t>
      </w:r>
      <w:proofErr w:type="spellStart"/>
      <w:r w:rsidRPr="00E16672">
        <w:rPr>
          <w:rFonts w:ascii="Times New Roman" w:hAnsi="Times New Roman"/>
          <w:szCs w:val="20"/>
        </w:rPr>
        <w:t>установою</w:t>
      </w:r>
      <w:proofErr w:type="spellEnd"/>
      <w:r w:rsidRPr="00E16672">
        <w:rPr>
          <w:rFonts w:ascii="Times New Roman" w:hAnsi="Times New Roman"/>
          <w:szCs w:val="20"/>
        </w:rPr>
        <w:t xml:space="preserve">, </w:t>
      </w:r>
      <w:proofErr w:type="spellStart"/>
      <w:r w:rsidRPr="00E16672">
        <w:rPr>
          <w:rFonts w:ascii="Times New Roman" w:hAnsi="Times New Roman"/>
          <w:szCs w:val="20"/>
        </w:rPr>
        <w:t>крім</w:t>
      </w:r>
      <w:proofErr w:type="spellEnd"/>
      <w:r w:rsidRPr="00E16672">
        <w:rPr>
          <w:rFonts w:ascii="Times New Roman" w:hAnsi="Times New Roman"/>
          <w:szCs w:val="20"/>
        </w:rPr>
        <w:t xml:space="preserve"> </w:t>
      </w:r>
      <w:proofErr w:type="spellStart"/>
      <w:r w:rsidRPr="00E16672">
        <w:rPr>
          <w:rFonts w:ascii="Times New Roman" w:hAnsi="Times New Roman"/>
          <w:szCs w:val="20"/>
        </w:rPr>
        <w:t>випадків</w:t>
      </w:r>
      <w:proofErr w:type="spellEnd"/>
      <w:r w:rsidRPr="00E16672">
        <w:rPr>
          <w:rFonts w:ascii="Times New Roman" w:hAnsi="Times New Roman"/>
          <w:szCs w:val="20"/>
        </w:rPr>
        <w:t xml:space="preserve">, </w:t>
      </w:r>
      <w:proofErr w:type="spellStart"/>
      <w:r w:rsidRPr="00E16672">
        <w:rPr>
          <w:rFonts w:ascii="Times New Roman" w:hAnsi="Times New Roman"/>
          <w:szCs w:val="20"/>
        </w:rPr>
        <w:t>передбачених</w:t>
      </w:r>
      <w:proofErr w:type="spellEnd"/>
      <w:r w:rsidRPr="00E16672">
        <w:rPr>
          <w:rFonts w:ascii="Times New Roman" w:hAnsi="Times New Roman"/>
          <w:szCs w:val="20"/>
        </w:rPr>
        <w:t xml:space="preserve"> </w:t>
      </w:r>
      <w:proofErr w:type="spellStart"/>
      <w:r w:rsidRPr="00E16672">
        <w:rPr>
          <w:rFonts w:ascii="Times New Roman" w:hAnsi="Times New Roman"/>
          <w:szCs w:val="20"/>
        </w:rPr>
        <w:t>статтею</w:t>
      </w:r>
      <w:proofErr w:type="spellEnd"/>
      <w:r w:rsidRPr="00E16672">
        <w:rPr>
          <w:rFonts w:ascii="Times New Roman" w:hAnsi="Times New Roman"/>
          <w:szCs w:val="20"/>
        </w:rPr>
        <w:t xml:space="preserve"> 25 Закону </w:t>
      </w:r>
      <w:proofErr w:type="spellStart"/>
      <w:r w:rsidRPr="00E16672">
        <w:rPr>
          <w:rFonts w:ascii="Times New Roman" w:hAnsi="Times New Roman"/>
          <w:szCs w:val="20"/>
        </w:rPr>
        <w:t>України</w:t>
      </w:r>
      <w:proofErr w:type="spellEnd"/>
      <w:r w:rsidRPr="00E16672">
        <w:rPr>
          <w:rFonts w:ascii="Times New Roman" w:hAnsi="Times New Roman"/>
          <w:szCs w:val="20"/>
        </w:rPr>
        <w:t xml:space="preserve"> </w:t>
      </w:r>
      <w:r w:rsidR="00022F5F">
        <w:rPr>
          <w:rFonts w:ascii="Times New Roman" w:hAnsi="Times New Roman"/>
          <w:szCs w:val="20"/>
        </w:rPr>
        <w:t>"</w:t>
      </w:r>
      <w:r w:rsidRPr="00E16672">
        <w:rPr>
          <w:rFonts w:ascii="Times New Roman" w:hAnsi="Times New Roman"/>
          <w:szCs w:val="20"/>
        </w:rPr>
        <w:t xml:space="preserve">Про </w:t>
      </w:r>
      <w:proofErr w:type="spellStart"/>
      <w:r w:rsidRPr="00E16672">
        <w:rPr>
          <w:rFonts w:ascii="Times New Roman" w:hAnsi="Times New Roman"/>
          <w:szCs w:val="20"/>
        </w:rPr>
        <w:t>депозитарну</w:t>
      </w:r>
      <w:proofErr w:type="spellEnd"/>
      <w:r w:rsidRPr="00E16672">
        <w:rPr>
          <w:rFonts w:ascii="Times New Roman" w:hAnsi="Times New Roman"/>
          <w:szCs w:val="20"/>
        </w:rPr>
        <w:t xml:space="preserve"> систему </w:t>
      </w:r>
      <w:proofErr w:type="spellStart"/>
      <w:r w:rsidRPr="00E16672">
        <w:rPr>
          <w:rFonts w:ascii="Times New Roman" w:hAnsi="Times New Roman"/>
          <w:szCs w:val="20"/>
        </w:rPr>
        <w:t>України</w:t>
      </w:r>
      <w:proofErr w:type="spellEnd"/>
      <w:r w:rsidR="00022F5F">
        <w:rPr>
          <w:rFonts w:ascii="Times New Roman" w:hAnsi="Times New Roman"/>
          <w:szCs w:val="20"/>
        </w:rPr>
        <w:t>"</w:t>
      </w:r>
      <w:r w:rsidRPr="00E16672">
        <w:rPr>
          <w:rFonts w:ascii="Times New Roman" w:hAnsi="Times New Roman"/>
          <w:szCs w:val="20"/>
        </w:rPr>
        <w:t>.</w:t>
      </w:r>
    </w:p>
    <w:p w14:paraId="71EDDC08" w14:textId="77777777" w:rsidR="009A7EA8" w:rsidRPr="00E16672" w:rsidRDefault="009A7EA8" w:rsidP="009A7EA8">
      <w:pPr>
        <w:rPr>
          <w:rFonts w:ascii="Times New Roman" w:hAnsi="Times New Roman"/>
          <w:szCs w:val="20"/>
        </w:rPr>
      </w:pPr>
      <w:r w:rsidRPr="00E16672">
        <w:rPr>
          <w:rFonts w:ascii="Times New Roman" w:hAnsi="Times New Roman"/>
          <w:szCs w:val="20"/>
        </w:rPr>
        <w:lastRenderedPageBreak/>
        <w:t xml:space="preserve">9.2. </w:t>
      </w:r>
      <w:proofErr w:type="spellStart"/>
      <w:r w:rsidRPr="00E16672">
        <w:rPr>
          <w:rFonts w:ascii="Times New Roman" w:hAnsi="Times New Roman"/>
          <w:szCs w:val="20"/>
        </w:rPr>
        <w:t>Інформація</w:t>
      </w:r>
      <w:proofErr w:type="spellEnd"/>
      <w:r w:rsidRPr="00E16672">
        <w:rPr>
          <w:rFonts w:ascii="Times New Roman" w:hAnsi="Times New Roman"/>
          <w:szCs w:val="20"/>
        </w:rPr>
        <w:t xml:space="preserve">, </w:t>
      </w:r>
      <w:proofErr w:type="spellStart"/>
      <w:r w:rsidRPr="00E16672">
        <w:rPr>
          <w:rFonts w:ascii="Times New Roman" w:hAnsi="Times New Roman"/>
          <w:szCs w:val="20"/>
        </w:rPr>
        <w:t>що</w:t>
      </w:r>
      <w:proofErr w:type="spellEnd"/>
      <w:r w:rsidRPr="00E16672">
        <w:rPr>
          <w:rFonts w:ascii="Times New Roman" w:hAnsi="Times New Roman"/>
          <w:szCs w:val="20"/>
        </w:rPr>
        <w:t xml:space="preserve"> </w:t>
      </w:r>
      <w:proofErr w:type="spellStart"/>
      <w:r w:rsidRPr="00E16672">
        <w:rPr>
          <w:rFonts w:ascii="Times New Roman" w:hAnsi="Times New Roman"/>
          <w:szCs w:val="20"/>
        </w:rPr>
        <w:t>міститься</w:t>
      </w:r>
      <w:proofErr w:type="spellEnd"/>
      <w:r w:rsidRPr="00E16672">
        <w:rPr>
          <w:rFonts w:ascii="Times New Roman" w:hAnsi="Times New Roman"/>
          <w:szCs w:val="20"/>
        </w:rPr>
        <w:t xml:space="preserve"> у </w:t>
      </w:r>
      <w:proofErr w:type="spellStart"/>
      <w:r w:rsidRPr="00E16672">
        <w:rPr>
          <w:rFonts w:ascii="Times New Roman" w:hAnsi="Times New Roman"/>
          <w:szCs w:val="20"/>
        </w:rPr>
        <w:t>системі</w:t>
      </w:r>
      <w:proofErr w:type="spellEnd"/>
      <w:r w:rsidRPr="00E16672">
        <w:rPr>
          <w:rFonts w:ascii="Times New Roman" w:hAnsi="Times New Roman"/>
          <w:szCs w:val="20"/>
        </w:rPr>
        <w:t xml:space="preserve"> депозитарного </w:t>
      </w:r>
      <w:proofErr w:type="spellStart"/>
      <w:r w:rsidRPr="00E16672">
        <w:rPr>
          <w:rFonts w:ascii="Times New Roman" w:hAnsi="Times New Roman"/>
          <w:szCs w:val="20"/>
        </w:rPr>
        <w:t>обліку</w:t>
      </w:r>
      <w:proofErr w:type="spellEnd"/>
      <w:r w:rsidRPr="00E16672">
        <w:rPr>
          <w:rFonts w:ascii="Times New Roman" w:hAnsi="Times New Roman"/>
          <w:szCs w:val="20"/>
        </w:rPr>
        <w:t xml:space="preserve">, </w:t>
      </w:r>
      <w:proofErr w:type="spellStart"/>
      <w:r w:rsidRPr="00E16672">
        <w:rPr>
          <w:rFonts w:ascii="Times New Roman" w:hAnsi="Times New Roman"/>
          <w:szCs w:val="20"/>
        </w:rPr>
        <w:t>надається</w:t>
      </w:r>
      <w:proofErr w:type="spellEnd"/>
      <w:r w:rsidRPr="00E16672">
        <w:rPr>
          <w:rFonts w:ascii="Times New Roman" w:hAnsi="Times New Roman"/>
          <w:szCs w:val="20"/>
        </w:rPr>
        <w:t xml:space="preserve"> </w:t>
      </w:r>
      <w:proofErr w:type="spellStart"/>
      <w:r w:rsidRPr="00E16672">
        <w:rPr>
          <w:rFonts w:ascii="Times New Roman" w:hAnsi="Times New Roman"/>
          <w:szCs w:val="20"/>
        </w:rPr>
        <w:t>власнику</w:t>
      </w:r>
      <w:proofErr w:type="spellEnd"/>
      <w:r w:rsidRPr="00E16672">
        <w:rPr>
          <w:rFonts w:ascii="Times New Roman" w:hAnsi="Times New Roman"/>
          <w:szCs w:val="20"/>
        </w:rPr>
        <w:t xml:space="preserve"> </w:t>
      </w:r>
      <w:proofErr w:type="spellStart"/>
      <w:r w:rsidRPr="00E16672">
        <w:rPr>
          <w:rFonts w:ascii="Times New Roman" w:hAnsi="Times New Roman"/>
          <w:szCs w:val="20"/>
        </w:rPr>
        <w:t>інформації</w:t>
      </w:r>
      <w:proofErr w:type="spellEnd"/>
      <w:r w:rsidRPr="00E16672">
        <w:rPr>
          <w:rFonts w:ascii="Times New Roman" w:hAnsi="Times New Roman"/>
          <w:szCs w:val="20"/>
        </w:rPr>
        <w:t xml:space="preserve"> </w:t>
      </w:r>
      <w:proofErr w:type="spellStart"/>
      <w:r w:rsidRPr="00E16672">
        <w:rPr>
          <w:rFonts w:ascii="Times New Roman" w:hAnsi="Times New Roman"/>
          <w:szCs w:val="20"/>
        </w:rPr>
        <w:t>або</w:t>
      </w:r>
      <w:proofErr w:type="spellEnd"/>
      <w:r w:rsidRPr="00E16672">
        <w:rPr>
          <w:rFonts w:ascii="Times New Roman" w:hAnsi="Times New Roman"/>
          <w:szCs w:val="20"/>
        </w:rPr>
        <w:t xml:space="preserve"> </w:t>
      </w:r>
      <w:proofErr w:type="spellStart"/>
      <w:r w:rsidRPr="00E16672">
        <w:rPr>
          <w:rFonts w:ascii="Times New Roman" w:hAnsi="Times New Roman"/>
          <w:szCs w:val="20"/>
        </w:rPr>
        <w:t>його</w:t>
      </w:r>
      <w:proofErr w:type="spellEnd"/>
      <w:r w:rsidRPr="00E16672">
        <w:rPr>
          <w:rFonts w:ascii="Times New Roman" w:hAnsi="Times New Roman"/>
          <w:szCs w:val="20"/>
        </w:rPr>
        <w:t xml:space="preserve"> </w:t>
      </w:r>
      <w:proofErr w:type="spellStart"/>
      <w:r w:rsidRPr="00E16672">
        <w:rPr>
          <w:rFonts w:ascii="Times New Roman" w:hAnsi="Times New Roman"/>
          <w:szCs w:val="20"/>
        </w:rPr>
        <w:t>представникові</w:t>
      </w:r>
      <w:proofErr w:type="spellEnd"/>
      <w:r w:rsidRPr="00E16672">
        <w:rPr>
          <w:rFonts w:ascii="Times New Roman" w:hAnsi="Times New Roman"/>
          <w:szCs w:val="20"/>
        </w:rPr>
        <w:t xml:space="preserve"> </w:t>
      </w:r>
      <w:proofErr w:type="spellStart"/>
      <w:r w:rsidRPr="00E16672">
        <w:rPr>
          <w:rFonts w:ascii="Times New Roman" w:hAnsi="Times New Roman"/>
          <w:szCs w:val="20"/>
        </w:rPr>
        <w:t>відповідно</w:t>
      </w:r>
      <w:proofErr w:type="spellEnd"/>
      <w:r w:rsidRPr="00E16672">
        <w:rPr>
          <w:rFonts w:ascii="Times New Roman" w:hAnsi="Times New Roman"/>
          <w:szCs w:val="20"/>
        </w:rPr>
        <w:t xml:space="preserve"> до умов Договору, </w:t>
      </w:r>
      <w:proofErr w:type="spellStart"/>
      <w:r w:rsidRPr="00E16672">
        <w:rPr>
          <w:rFonts w:ascii="Times New Roman" w:hAnsi="Times New Roman"/>
          <w:szCs w:val="20"/>
        </w:rPr>
        <w:t>або</w:t>
      </w:r>
      <w:proofErr w:type="spellEnd"/>
      <w:r w:rsidRPr="00E16672">
        <w:rPr>
          <w:rFonts w:ascii="Times New Roman" w:hAnsi="Times New Roman"/>
          <w:szCs w:val="20"/>
        </w:rPr>
        <w:t xml:space="preserve"> </w:t>
      </w:r>
      <w:proofErr w:type="spellStart"/>
      <w:r w:rsidRPr="00E16672">
        <w:rPr>
          <w:rFonts w:ascii="Times New Roman" w:hAnsi="Times New Roman"/>
          <w:szCs w:val="20"/>
        </w:rPr>
        <w:t>іншим</w:t>
      </w:r>
      <w:proofErr w:type="spellEnd"/>
      <w:r w:rsidRPr="00E16672">
        <w:rPr>
          <w:rFonts w:ascii="Times New Roman" w:hAnsi="Times New Roman"/>
          <w:szCs w:val="20"/>
        </w:rPr>
        <w:t xml:space="preserve"> особам у </w:t>
      </w:r>
      <w:proofErr w:type="spellStart"/>
      <w:r w:rsidRPr="00E16672">
        <w:rPr>
          <w:rFonts w:ascii="Times New Roman" w:hAnsi="Times New Roman"/>
          <w:szCs w:val="20"/>
        </w:rPr>
        <w:t>передбачених</w:t>
      </w:r>
      <w:proofErr w:type="spellEnd"/>
      <w:r w:rsidRPr="00E16672">
        <w:rPr>
          <w:rFonts w:ascii="Times New Roman" w:hAnsi="Times New Roman"/>
          <w:szCs w:val="20"/>
        </w:rPr>
        <w:t xml:space="preserve"> законом </w:t>
      </w:r>
      <w:proofErr w:type="spellStart"/>
      <w:r w:rsidRPr="00E16672">
        <w:rPr>
          <w:rFonts w:ascii="Times New Roman" w:hAnsi="Times New Roman"/>
          <w:szCs w:val="20"/>
        </w:rPr>
        <w:t>випадках</w:t>
      </w:r>
      <w:proofErr w:type="spellEnd"/>
      <w:r w:rsidRPr="00E16672">
        <w:rPr>
          <w:rFonts w:ascii="Times New Roman" w:hAnsi="Times New Roman"/>
          <w:szCs w:val="20"/>
        </w:rPr>
        <w:t>.</w:t>
      </w:r>
    </w:p>
    <w:p w14:paraId="4D1F1F68" w14:textId="77777777" w:rsidR="009A7EA8" w:rsidRPr="00E16672" w:rsidRDefault="009A7EA8" w:rsidP="009A7EA8">
      <w:pPr>
        <w:rPr>
          <w:rFonts w:ascii="Times New Roman" w:hAnsi="Times New Roman"/>
          <w:szCs w:val="20"/>
        </w:rPr>
      </w:pPr>
      <w:r w:rsidRPr="00E16672">
        <w:rPr>
          <w:rFonts w:ascii="Times New Roman" w:hAnsi="Times New Roman"/>
          <w:szCs w:val="20"/>
        </w:rPr>
        <w:t xml:space="preserve">9.3. </w:t>
      </w:r>
      <w:proofErr w:type="spellStart"/>
      <w:r w:rsidRPr="00E16672">
        <w:rPr>
          <w:rFonts w:ascii="Times New Roman" w:hAnsi="Times New Roman"/>
          <w:szCs w:val="20"/>
        </w:rPr>
        <w:t>Депозитарна</w:t>
      </w:r>
      <w:proofErr w:type="spellEnd"/>
      <w:r w:rsidRPr="00E16672">
        <w:rPr>
          <w:rFonts w:ascii="Times New Roman" w:hAnsi="Times New Roman"/>
          <w:szCs w:val="20"/>
        </w:rPr>
        <w:t xml:space="preserve"> </w:t>
      </w:r>
      <w:proofErr w:type="spellStart"/>
      <w:r w:rsidRPr="00E16672">
        <w:rPr>
          <w:rFonts w:ascii="Times New Roman" w:hAnsi="Times New Roman"/>
          <w:szCs w:val="20"/>
        </w:rPr>
        <w:t>установа</w:t>
      </w:r>
      <w:proofErr w:type="spellEnd"/>
      <w:r w:rsidRPr="00E16672">
        <w:rPr>
          <w:rFonts w:ascii="Times New Roman" w:hAnsi="Times New Roman"/>
          <w:szCs w:val="20"/>
        </w:rPr>
        <w:t xml:space="preserve"> </w:t>
      </w:r>
      <w:proofErr w:type="spellStart"/>
      <w:r w:rsidRPr="00E16672">
        <w:rPr>
          <w:rFonts w:ascii="Times New Roman" w:hAnsi="Times New Roman"/>
          <w:szCs w:val="20"/>
        </w:rPr>
        <w:t>застосовує</w:t>
      </w:r>
      <w:proofErr w:type="spellEnd"/>
      <w:r w:rsidRPr="00E16672">
        <w:rPr>
          <w:rFonts w:ascii="Times New Roman" w:hAnsi="Times New Roman"/>
          <w:szCs w:val="20"/>
        </w:rPr>
        <w:t xml:space="preserve"> </w:t>
      </w:r>
      <w:proofErr w:type="spellStart"/>
      <w:r w:rsidRPr="00E16672">
        <w:rPr>
          <w:rFonts w:ascii="Times New Roman" w:hAnsi="Times New Roman"/>
          <w:szCs w:val="20"/>
        </w:rPr>
        <w:t>наступний</w:t>
      </w:r>
      <w:proofErr w:type="spellEnd"/>
      <w:r w:rsidRPr="00E16672">
        <w:rPr>
          <w:rFonts w:ascii="Times New Roman" w:hAnsi="Times New Roman"/>
          <w:szCs w:val="20"/>
        </w:rPr>
        <w:t xml:space="preserve"> порядок доступу до </w:t>
      </w:r>
      <w:proofErr w:type="spellStart"/>
      <w:r w:rsidRPr="00E16672">
        <w:rPr>
          <w:rFonts w:ascii="Times New Roman" w:hAnsi="Times New Roman"/>
          <w:szCs w:val="20"/>
        </w:rPr>
        <w:t>інформації</w:t>
      </w:r>
      <w:proofErr w:type="spellEnd"/>
      <w:r w:rsidRPr="00E16672">
        <w:rPr>
          <w:rFonts w:ascii="Times New Roman" w:hAnsi="Times New Roman"/>
          <w:szCs w:val="20"/>
        </w:rPr>
        <w:t xml:space="preserve"> з </w:t>
      </w:r>
      <w:proofErr w:type="spellStart"/>
      <w:r w:rsidRPr="00E16672">
        <w:rPr>
          <w:rFonts w:ascii="Times New Roman" w:hAnsi="Times New Roman"/>
          <w:szCs w:val="20"/>
        </w:rPr>
        <w:t>обмеженим</w:t>
      </w:r>
      <w:proofErr w:type="spellEnd"/>
      <w:r w:rsidRPr="00E16672">
        <w:rPr>
          <w:rFonts w:ascii="Times New Roman" w:hAnsi="Times New Roman"/>
          <w:szCs w:val="20"/>
        </w:rPr>
        <w:t xml:space="preserve"> доступом, </w:t>
      </w:r>
      <w:proofErr w:type="spellStart"/>
      <w:r w:rsidRPr="00E16672">
        <w:rPr>
          <w:rFonts w:ascii="Times New Roman" w:hAnsi="Times New Roman"/>
          <w:szCs w:val="20"/>
        </w:rPr>
        <w:t>що</w:t>
      </w:r>
      <w:proofErr w:type="spellEnd"/>
      <w:r w:rsidRPr="00E16672">
        <w:rPr>
          <w:rFonts w:ascii="Times New Roman" w:hAnsi="Times New Roman"/>
          <w:szCs w:val="20"/>
        </w:rPr>
        <w:t xml:space="preserve"> </w:t>
      </w:r>
      <w:proofErr w:type="spellStart"/>
      <w:r w:rsidRPr="00E16672">
        <w:rPr>
          <w:rFonts w:ascii="Times New Roman" w:hAnsi="Times New Roman"/>
          <w:szCs w:val="20"/>
        </w:rPr>
        <w:t>міститься</w:t>
      </w:r>
      <w:proofErr w:type="spellEnd"/>
      <w:r w:rsidRPr="00E16672">
        <w:rPr>
          <w:rFonts w:ascii="Times New Roman" w:hAnsi="Times New Roman"/>
          <w:szCs w:val="20"/>
        </w:rPr>
        <w:t xml:space="preserve"> у </w:t>
      </w:r>
      <w:proofErr w:type="spellStart"/>
      <w:r w:rsidRPr="00E16672">
        <w:rPr>
          <w:rFonts w:ascii="Times New Roman" w:hAnsi="Times New Roman"/>
          <w:szCs w:val="20"/>
        </w:rPr>
        <w:t>системі</w:t>
      </w:r>
      <w:proofErr w:type="spellEnd"/>
      <w:r w:rsidRPr="00E16672">
        <w:rPr>
          <w:rFonts w:ascii="Times New Roman" w:hAnsi="Times New Roman"/>
          <w:szCs w:val="20"/>
        </w:rPr>
        <w:t xml:space="preserve"> депозитарного </w:t>
      </w:r>
      <w:proofErr w:type="spellStart"/>
      <w:r w:rsidRPr="00E16672">
        <w:rPr>
          <w:rFonts w:ascii="Times New Roman" w:hAnsi="Times New Roman"/>
          <w:szCs w:val="20"/>
        </w:rPr>
        <w:t>обліку</w:t>
      </w:r>
      <w:proofErr w:type="spellEnd"/>
      <w:r w:rsidRPr="00E16672">
        <w:rPr>
          <w:rFonts w:ascii="Times New Roman" w:hAnsi="Times New Roman"/>
          <w:szCs w:val="20"/>
        </w:rPr>
        <w:t>, шляхом:</w:t>
      </w:r>
    </w:p>
    <w:p w14:paraId="3E04C667" w14:textId="77777777" w:rsidR="009A7EA8" w:rsidRPr="00E16672" w:rsidRDefault="009A7EA8" w:rsidP="009A7EA8">
      <w:pPr>
        <w:rPr>
          <w:rFonts w:ascii="Times New Roman" w:hAnsi="Times New Roman"/>
          <w:szCs w:val="20"/>
        </w:rPr>
      </w:pPr>
      <w:r w:rsidRPr="00E16672">
        <w:rPr>
          <w:rFonts w:ascii="Times New Roman" w:hAnsi="Times New Roman"/>
          <w:szCs w:val="20"/>
        </w:rPr>
        <w:t xml:space="preserve">1) </w:t>
      </w:r>
      <w:proofErr w:type="spellStart"/>
      <w:r w:rsidRPr="00E16672">
        <w:rPr>
          <w:rFonts w:ascii="Times New Roman" w:hAnsi="Times New Roman"/>
          <w:szCs w:val="20"/>
        </w:rPr>
        <w:t>обмеження</w:t>
      </w:r>
      <w:proofErr w:type="spellEnd"/>
      <w:r w:rsidRPr="00E16672">
        <w:rPr>
          <w:rFonts w:ascii="Times New Roman" w:hAnsi="Times New Roman"/>
          <w:szCs w:val="20"/>
        </w:rPr>
        <w:t xml:space="preserve"> кола </w:t>
      </w:r>
      <w:proofErr w:type="spellStart"/>
      <w:r w:rsidRPr="00E16672">
        <w:rPr>
          <w:rFonts w:ascii="Times New Roman" w:hAnsi="Times New Roman"/>
          <w:szCs w:val="20"/>
        </w:rPr>
        <w:t>осіб</w:t>
      </w:r>
      <w:proofErr w:type="spellEnd"/>
      <w:r w:rsidRPr="00E16672">
        <w:rPr>
          <w:rFonts w:ascii="Times New Roman" w:hAnsi="Times New Roman"/>
          <w:szCs w:val="20"/>
        </w:rPr>
        <w:t xml:space="preserve">, </w:t>
      </w:r>
      <w:proofErr w:type="spellStart"/>
      <w:r w:rsidRPr="00E16672">
        <w:rPr>
          <w:rFonts w:ascii="Times New Roman" w:hAnsi="Times New Roman"/>
          <w:szCs w:val="20"/>
        </w:rPr>
        <w:t>які</w:t>
      </w:r>
      <w:proofErr w:type="spellEnd"/>
      <w:r w:rsidRPr="00E16672">
        <w:rPr>
          <w:rFonts w:ascii="Times New Roman" w:hAnsi="Times New Roman"/>
          <w:szCs w:val="20"/>
        </w:rPr>
        <w:t xml:space="preserve"> </w:t>
      </w:r>
      <w:proofErr w:type="spellStart"/>
      <w:r w:rsidRPr="00E16672">
        <w:rPr>
          <w:rFonts w:ascii="Times New Roman" w:hAnsi="Times New Roman"/>
          <w:szCs w:val="20"/>
        </w:rPr>
        <w:t>мають</w:t>
      </w:r>
      <w:proofErr w:type="spellEnd"/>
      <w:r w:rsidRPr="00E16672">
        <w:rPr>
          <w:rFonts w:ascii="Times New Roman" w:hAnsi="Times New Roman"/>
          <w:szCs w:val="20"/>
        </w:rPr>
        <w:t xml:space="preserve"> доступ до </w:t>
      </w:r>
      <w:proofErr w:type="spellStart"/>
      <w:r w:rsidRPr="00E16672">
        <w:rPr>
          <w:rFonts w:ascii="Times New Roman" w:hAnsi="Times New Roman"/>
          <w:szCs w:val="20"/>
        </w:rPr>
        <w:t>зазначеної</w:t>
      </w:r>
      <w:proofErr w:type="spellEnd"/>
      <w:r w:rsidRPr="00E16672">
        <w:rPr>
          <w:rFonts w:ascii="Times New Roman" w:hAnsi="Times New Roman"/>
          <w:szCs w:val="20"/>
        </w:rPr>
        <w:t xml:space="preserve"> </w:t>
      </w:r>
      <w:proofErr w:type="spellStart"/>
      <w:r w:rsidRPr="00E16672">
        <w:rPr>
          <w:rFonts w:ascii="Times New Roman" w:hAnsi="Times New Roman"/>
          <w:szCs w:val="20"/>
        </w:rPr>
        <w:t>інформації</w:t>
      </w:r>
      <w:proofErr w:type="spellEnd"/>
      <w:r w:rsidRPr="00E16672">
        <w:rPr>
          <w:rFonts w:ascii="Times New Roman" w:hAnsi="Times New Roman"/>
          <w:szCs w:val="20"/>
        </w:rPr>
        <w:t>;</w:t>
      </w:r>
    </w:p>
    <w:p w14:paraId="583C2D4A" w14:textId="77777777" w:rsidR="009A7EA8" w:rsidRPr="00E16672" w:rsidRDefault="009A7EA8" w:rsidP="009A7EA8">
      <w:pPr>
        <w:rPr>
          <w:rFonts w:ascii="Times New Roman" w:hAnsi="Times New Roman"/>
          <w:szCs w:val="20"/>
        </w:rPr>
      </w:pPr>
      <w:r w:rsidRPr="00E16672">
        <w:rPr>
          <w:rFonts w:ascii="Times New Roman" w:hAnsi="Times New Roman"/>
          <w:szCs w:val="20"/>
        </w:rPr>
        <w:t xml:space="preserve">2) </w:t>
      </w:r>
      <w:proofErr w:type="spellStart"/>
      <w:r w:rsidRPr="00E16672">
        <w:rPr>
          <w:rFonts w:ascii="Times New Roman" w:hAnsi="Times New Roman"/>
          <w:szCs w:val="20"/>
        </w:rPr>
        <w:t>організації</w:t>
      </w:r>
      <w:proofErr w:type="spellEnd"/>
      <w:r w:rsidRPr="00E16672">
        <w:rPr>
          <w:rFonts w:ascii="Times New Roman" w:hAnsi="Times New Roman"/>
          <w:szCs w:val="20"/>
        </w:rPr>
        <w:t xml:space="preserve"> </w:t>
      </w:r>
      <w:proofErr w:type="spellStart"/>
      <w:r w:rsidRPr="00E16672">
        <w:rPr>
          <w:rFonts w:ascii="Times New Roman" w:hAnsi="Times New Roman"/>
          <w:szCs w:val="20"/>
        </w:rPr>
        <w:t>спеціального</w:t>
      </w:r>
      <w:proofErr w:type="spellEnd"/>
      <w:r w:rsidRPr="00E16672">
        <w:rPr>
          <w:rFonts w:ascii="Times New Roman" w:hAnsi="Times New Roman"/>
          <w:szCs w:val="20"/>
        </w:rPr>
        <w:t xml:space="preserve"> </w:t>
      </w:r>
      <w:proofErr w:type="spellStart"/>
      <w:r w:rsidRPr="00E16672">
        <w:rPr>
          <w:rFonts w:ascii="Times New Roman" w:hAnsi="Times New Roman"/>
          <w:szCs w:val="20"/>
        </w:rPr>
        <w:t>діловодства</w:t>
      </w:r>
      <w:proofErr w:type="spellEnd"/>
      <w:r w:rsidRPr="00E16672">
        <w:rPr>
          <w:rFonts w:ascii="Times New Roman" w:hAnsi="Times New Roman"/>
          <w:szCs w:val="20"/>
        </w:rPr>
        <w:t xml:space="preserve"> у </w:t>
      </w:r>
      <w:proofErr w:type="spellStart"/>
      <w:r w:rsidRPr="00E16672">
        <w:rPr>
          <w:rFonts w:ascii="Times New Roman" w:hAnsi="Times New Roman"/>
          <w:szCs w:val="20"/>
        </w:rPr>
        <w:t>системі</w:t>
      </w:r>
      <w:proofErr w:type="spellEnd"/>
      <w:r w:rsidRPr="00E16672">
        <w:rPr>
          <w:rFonts w:ascii="Times New Roman" w:hAnsi="Times New Roman"/>
          <w:szCs w:val="20"/>
        </w:rPr>
        <w:t xml:space="preserve"> депозитарного </w:t>
      </w:r>
      <w:proofErr w:type="spellStart"/>
      <w:r w:rsidRPr="00E16672">
        <w:rPr>
          <w:rFonts w:ascii="Times New Roman" w:hAnsi="Times New Roman"/>
          <w:szCs w:val="20"/>
        </w:rPr>
        <w:t>обліку</w:t>
      </w:r>
      <w:proofErr w:type="spellEnd"/>
      <w:r w:rsidRPr="00E16672">
        <w:rPr>
          <w:rFonts w:ascii="Times New Roman" w:hAnsi="Times New Roman"/>
          <w:szCs w:val="20"/>
        </w:rPr>
        <w:t>;</w:t>
      </w:r>
    </w:p>
    <w:p w14:paraId="17A261DA" w14:textId="77777777" w:rsidR="009A7EA8" w:rsidRPr="00E16672" w:rsidRDefault="009A7EA8" w:rsidP="009A7EA8">
      <w:pPr>
        <w:rPr>
          <w:rFonts w:ascii="Times New Roman" w:hAnsi="Times New Roman"/>
          <w:szCs w:val="20"/>
        </w:rPr>
      </w:pPr>
      <w:r w:rsidRPr="00E16672">
        <w:rPr>
          <w:rFonts w:ascii="Times New Roman" w:hAnsi="Times New Roman"/>
          <w:szCs w:val="20"/>
        </w:rPr>
        <w:t xml:space="preserve">3) </w:t>
      </w:r>
      <w:proofErr w:type="spellStart"/>
      <w:r w:rsidRPr="00E16672">
        <w:rPr>
          <w:rFonts w:ascii="Times New Roman" w:hAnsi="Times New Roman"/>
          <w:szCs w:val="20"/>
        </w:rPr>
        <w:t>застосування</w:t>
      </w:r>
      <w:proofErr w:type="spellEnd"/>
      <w:r w:rsidRPr="00E16672">
        <w:rPr>
          <w:rFonts w:ascii="Times New Roman" w:hAnsi="Times New Roman"/>
          <w:szCs w:val="20"/>
        </w:rPr>
        <w:t xml:space="preserve"> </w:t>
      </w:r>
      <w:proofErr w:type="spellStart"/>
      <w:r w:rsidRPr="00E16672">
        <w:rPr>
          <w:rFonts w:ascii="Times New Roman" w:hAnsi="Times New Roman"/>
          <w:szCs w:val="20"/>
        </w:rPr>
        <w:t>технічних</w:t>
      </w:r>
      <w:proofErr w:type="spellEnd"/>
      <w:r w:rsidRPr="00E16672">
        <w:rPr>
          <w:rFonts w:ascii="Times New Roman" w:hAnsi="Times New Roman"/>
          <w:szCs w:val="20"/>
        </w:rPr>
        <w:t xml:space="preserve"> та </w:t>
      </w:r>
      <w:proofErr w:type="spellStart"/>
      <w:r w:rsidRPr="00E16672">
        <w:rPr>
          <w:rFonts w:ascii="Times New Roman" w:hAnsi="Times New Roman"/>
          <w:szCs w:val="20"/>
        </w:rPr>
        <w:t>програмних</w:t>
      </w:r>
      <w:proofErr w:type="spellEnd"/>
      <w:r w:rsidRPr="00E16672">
        <w:rPr>
          <w:rFonts w:ascii="Times New Roman" w:hAnsi="Times New Roman"/>
          <w:szCs w:val="20"/>
        </w:rPr>
        <w:t xml:space="preserve"> </w:t>
      </w:r>
      <w:proofErr w:type="spellStart"/>
      <w:r w:rsidRPr="00E16672">
        <w:rPr>
          <w:rFonts w:ascii="Times New Roman" w:hAnsi="Times New Roman"/>
          <w:szCs w:val="20"/>
        </w:rPr>
        <w:t>засобів</w:t>
      </w:r>
      <w:proofErr w:type="spellEnd"/>
      <w:r w:rsidRPr="00E16672">
        <w:rPr>
          <w:rFonts w:ascii="Times New Roman" w:hAnsi="Times New Roman"/>
          <w:szCs w:val="20"/>
        </w:rPr>
        <w:t xml:space="preserve"> для </w:t>
      </w:r>
      <w:proofErr w:type="spellStart"/>
      <w:r w:rsidRPr="00E16672">
        <w:rPr>
          <w:rFonts w:ascii="Times New Roman" w:hAnsi="Times New Roman"/>
          <w:szCs w:val="20"/>
        </w:rPr>
        <w:t>запобігання</w:t>
      </w:r>
      <w:proofErr w:type="spellEnd"/>
      <w:r w:rsidRPr="00E16672">
        <w:rPr>
          <w:rFonts w:ascii="Times New Roman" w:hAnsi="Times New Roman"/>
          <w:szCs w:val="20"/>
        </w:rPr>
        <w:t xml:space="preserve"> </w:t>
      </w:r>
      <w:proofErr w:type="spellStart"/>
      <w:r w:rsidRPr="00E16672">
        <w:rPr>
          <w:rFonts w:ascii="Times New Roman" w:hAnsi="Times New Roman"/>
          <w:szCs w:val="20"/>
        </w:rPr>
        <w:t>несанкціонованому</w:t>
      </w:r>
      <w:proofErr w:type="spellEnd"/>
      <w:r w:rsidRPr="00E16672">
        <w:rPr>
          <w:rFonts w:ascii="Times New Roman" w:hAnsi="Times New Roman"/>
          <w:szCs w:val="20"/>
        </w:rPr>
        <w:t xml:space="preserve"> доступу до </w:t>
      </w:r>
      <w:proofErr w:type="spellStart"/>
      <w:r w:rsidRPr="00E16672">
        <w:rPr>
          <w:rFonts w:ascii="Times New Roman" w:hAnsi="Times New Roman"/>
          <w:szCs w:val="20"/>
        </w:rPr>
        <w:t>носіїв</w:t>
      </w:r>
      <w:proofErr w:type="spellEnd"/>
      <w:r w:rsidRPr="00E16672">
        <w:rPr>
          <w:rFonts w:ascii="Times New Roman" w:hAnsi="Times New Roman"/>
          <w:szCs w:val="20"/>
        </w:rPr>
        <w:t xml:space="preserve"> </w:t>
      </w:r>
      <w:proofErr w:type="spellStart"/>
      <w:r w:rsidRPr="00E16672">
        <w:rPr>
          <w:rFonts w:ascii="Times New Roman" w:hAnsi="Times New Roman"/>
          <w:szCs w:val="20"/>
        </w:rPr>
        <w:t>такої</w:t>
      </w:r>
      <w:proofErr w:type="spellEnd"/>
      <w:r w:rsidRPr="00E16672">
        <w:rPr>
          <w:rFonts w:ascii="Times New Roman" w:hAnsi="Times New Roman"/>
          <w:szCs w:val="20"/>
        </w:rPr>
        <w:t xml:space="preserve"> </w:t>
      </w:r>
      <w:proofErr w:type="spellStart"/>
      <w:r w:rsidRPr="00E16672">
        <w:rPr>
          <w:rFonts w:ascii="Times New Roman" w:hAnsi="Times New Roman"/>
          <w:szCs w:val="20"/>
        </w:rPr>
        <w:t>інформації</w:t>
      </w:r>
      <w:proofErr w:type="spellEnd"/>
      <w:r w:rsidRPr="00E16672">
        <w:rPr>
          <w:rFonts w:ascii="Times New Roman" w:hAnsi="Times New Roman"/>
          <w:szCs w:val="20"/>
        </w:rPr>
        <w:t>.</w:t>
      </w:r>
    </w:p>
    <w:p w14:paraId="4B90A63C" w14:textId="77777777" w:rsidR="009A7EA8" w:rsidRPr="00E16672" w:rsidRDefault="009A7EA8" w:rsidP="009A7EA8">
      <w:pPr>
        <w:rPr>
          <w:rFonts w:ascii="Times New Roman" w:eastAsia="Arial Unicode MS" w:hAnsi="Times New Roman"/>
          <w:szCs w:val="20"/>
        </w:rPr>
      </w:pPr>
      <w:r w:rsidRPr="00E16672">
        <w:rPr>
          <w:rFonts w:ascii="Times New Roman" w:eastAsia="Arial Unicode MS" w:hAnsi="Times New Roman"/>
          <w:bCs/>
          <w:szCs w:val="20"/>
        </w:rPr>
        <w:t xml:space="preserve">9.4. </w:t>
      </w:r>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Цілісність</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доступність</w:t>
      </w:r>
      <w:proofErr w:type="spellEnd"/>
      <w:r w:rsidRPr="00E16672">
        <w:rPr>
          <w:rFonts w:ascii="Times New Roman" w:eastAsia="Arial Unicode MS" w:hAnsi="Times New Roman"/>
          <w:szCs w:val="20"/>
        </w:rPr>
        <w:t xml:space="preserve"> та </w:t>
      </w:r>
      <w:proofErr w:type="spellStart"/>
      <w:r w:rsidRPr="00E16672">
        <w:rPr>
          <w:rFonts w:ascii="Times New Roman" w:eastAsia="Arial Unicode MS" w:hAnsi="Times New Roman"/>
          <w:szCs w:val="20"/>
        </w:rPr>
        <w:t>конфіденційність</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інформації</w:t>
      </w:r>
      <w:proofErr w:type="spellEnd"/>
      <w:r w:rsidRPr="00E16672">
        <w:rPr>
          <w:rFonts w:ascii="Times New Roman" w:eastAsia="Arial Unicode MS" w:hAnsi="Times New Roman"/>
          <w:szCs w:val="20"/>
        </w:rPr>
        <w:t xml:space="preserve"> з </w:t>
      </w:r>
      <w:proofErr w:type="spellStart"/>
      <w:r w:rsidRPr="00E16672">
        <w:rPr>
          <w:rFonts w:ascii="Times New Roman" w:eastAsia="Arial Unicode MS" w:hAnsi="Times New Roman"/>
          <w:szCs w:val="20"/>
        </w:rPr>
        <w:t>обмеженим</w:t>
      </w:r>
      <w:proofErr w:type="spellEnd"/>
      <w:r w:rsidRPr="00E16672">
        <w:rPr>
          <w:rFonts w:ascii="Times New Roman" w:eastAsia="Arial Unicode MS" w:hAnsi="Times New Roman"/>
          <w:szCs w:val="20"/>
        </w:rPr>
        <w:t xml:space="preserve"> доступом </w:t>
      </w:r>
      <w:proofErr w:type="spellStart"/>
      <w:r w:rsidRPr="00E16672">
        <w:rPr>
          <w:rFonts w:ascii="Times New Roman" w:eastAsia="Arial Unicode MS" w:hAnsi="Times New Roman"/>
          <w:szCs w:val="20"/>
        </w:rPr>
        <w:t>забезпечується</w:t>
      </w:r>
      <w:proofErr w:type="spellEnd"/>
      <w:r w:rsidRPr="00E16672">
        <w:rPr>
          <w:rFonts w:ascii="Times New Roman" w:eastAsia="Arial Unicode MS" w:hAnsi="Times New Roman"/>
          <w:szCs w:val="20"/>
        </w:rPr>
        <w:t>:</w:t>
      </w:r>
    </w:p>
    <w:p w14:paraId="074634ED" w14:textId="77777777" w:rsidR="009A7EA8" w:rsidRPr="00E16672" w:rsidRDefault="009A7EA8" w:rsidP="009A7EA8">
      <w:pPr>
        <w:pStyle w:val="ab"/>
        <w:tabs>
          <w:tab w:val="left" w:pos="0"/>
        </w:tabs>
        <w:ind w:firstLine="540"/>
        <w:jc w:val="both"/>
        <w:rPr>
          <w:rFonts w:ascii="Times New Roman" w:hAnsi="Times New Roman"/>
          <w:b w:val="0"/>
        </w:rPr>
      </w:pPr>
      <w:r w:rsidRPr="00E16672">
        <w:rPr>
          <w:rFonts w:ascii="Times New Roman" w:hAnsi="Times New Roman"/>
          <w:b w:val="0"/>
        </w:rPr>
        <w:t>1. Доступність - передбачає, що працівник Депозитарної установи, який володіє відповідними правами може використовувати ресурс відповідно до правил встановлених політикою безпеки.</w:t>
      </w:r>
    </w:p>
    <w:p w14:paraId="2B691581" w14:textId="77777777" w:rsidR="009A7EA8" w:rsidRPr="00E16672" w:rsidRDefault="009A7EA8" w:rsidP="009A7EA8">
      <w:pPr>
        <w:pStyle w:val="ab"/>
        <w:tabs>
          <w:tab w:val="left" w:pos="0"/>
        </w:tabs>
        <w:ind w:firstLine="540"/>
        <w:jc w:val="both"/>
        <w:rPr>
          <w:rFonts w:ascii="Times New Roman" w:hAnsi="Times New Roman"/>
          <w:b w:val="0"/>
        </w:rPr>
      </w:pPr>
      <w:r w:rsidRPr="00E16672">
        <w:rPr>
          <w:rFonts w:ascii="Times New Roman" w:hAnsi="Times New Roman"/>
          <w:b w:val="0"/>
        </w:rPr>
        <w:t xml:space="preserve">2. Цілісність даних означає, що дані не можуть бути модифіковані під час їх зберігання, передачі і обробки Депозитарною установою. </w:t>
      </w:r>
    </w:p>
    <w:p w14:paraId="796AD28C" w14:textId="77777777" w:rsidR="009A7EA8" w:rsidRPr="00E16672" w:rsidRDefault="009A7EA8" w:rsidP="009A7EA8">
      <w:pPr>
        <w:pStyle w:val="ab"/>
        <w:tabs>
          <w:tab w:val="left" w:pos="0"/>
        </w:tabs>
        <w:ind w:firstLine="540"/>
        <w:jc w:val="both"/>
        <w:rPr>
          <w:rFonts w:ascii="Times New Roman" w:eastAsia="Arial Unicode MS" w:hAnsi="Times New Roman"/>
          <w:b w:val="0"/>
        </w:rPr>
      </w:pPr>
      <w:r w:rsidRPr="00E16672">
        <w:rPr>
          <w:rFonts w:ascii="Times New Roman" w:eastAsia="Arial Unicode MS" w:hAnsi="Times New Roman"/>
          <w:b w:val="0"/>
        </w:rPr>
        <w:t xml:space="preserve">3. Конфіденційність даних передбачає, що інформація не може бути отримана працівником Депозитарної установи або  особою Емітента, які не мають відповідних повноважень. </w:t>
      </w:r>
    </w:p>
    <w:p w14:paraId="121C3927" w14:textId="77777777" w:rsidR="009A7EA8" w:rsidRPr="00E16672" w:rsidRDefault="009A7EA8" w:rsidP="009A7EA8">
      <w:pPr>
        <w:jc w:val="center"/>
        <w:rPr>
          <w:rFonts w:ascii="Times New Roman" w:hAnsi="Times New Roman"/>
          <w:szCs w:val="20"/>
          <w:lang w:val="uk-UA"/>
        </w:rPr>
      </w:pPr>
    </w:p>
    <w:p w14:paraId="5FC93D0C" w14:textId="77777777" w:rsidR="009A7EA8" w:rsidRPr="00E16672" w:rsidRDefault="009A7EA8" w:rsidP="009A7EA8">
      <w:pPr>
        <w:jc w:val="center"/>
        <w:rPr>
          <w:rStyle w:val="a4"/>
          <w:rFonts w:ascii="Times New Roman" w:eastAsia="Arial Unicode MS" w:hAnsi="Times New Roman"/>
          <w:b/>
          <w:bCs/>
          <w:i w:val="0"/>
          <w:iCs w:val="0"/>
          <w:szCs w:val="20"/>
          <w:lang w:val="uk-UA"/>
        </w:rPr>
      </w:pPr>
      <w:r w:rsidRPr="00E16672">
        <w:rPr>
          <w:rFonts w:ascii="Times New Roman" w:eastAsia="Arial Unicode MS" w:hAnsi="Times New Roman"/>
          <w:b/>
          <w:bCs/>
          <w:szCs w:val="20"/>
          <w:lang w:val="uk-UA"/>
        </w:rPr>
        <w:t xml:space="preserve">10. </w:t>
      </w:r>
      <w:r w:rsidRPr="00E16672">
        <w:rPr>
          <w:rStyle w:val="a4"/>
          <w:rFonts w:ascii="Times New Roman" w:eastAsia="Arial Unicode MS" w:hAnsi="Times New Roman"/>
          <w:b/>
          <w:bCs/>
          <w:i w:val="0"/>
          <w:iCs w:val="0"/>
          <w:szCs w:val="20"/>
          <w:lang w:val="uk-UA"/>
        </w:rPr>
        <w:t xml:space="preserve">УМОВИ РОЗІРВАННЯ ДОГОВОРУ </w:t>
      </w:r>
    </w:p>
    <w:p w14:paraId="4637D1D2" w14:textId="77777777" w:rsidR="009A7EA8" w:rsidRPr="00E16672" w:rsidRDefault="009A7EA8" w:rsidP="009A7EA8">
      <w:pPr>
        <w:rPr>
          <w:rFonts w:ascii="Times New Roman" w:eastAsia="Arial Unicode MS" w:hAnsi="Times New Roman"/>
          <w:szCs w:val="20"/>
          <w:lang w:val="uk-UA"/>
        </w:rPr>
      </w:pPr>
      <w:r w:rsidRPr="00E16672">
        <w:rPr>
          <w:rFonts w:ascii="Times New Roman" w:eastAsia="Arial Unicode MS" w:hAnsi="Times New Roman"/>
          <w:szCs w:val="20"/>
          <w:lang w:val="uk-UA"/>
        </w:rPr>
        <w:t>10.1 Договір може бути розірваний тільки за умови повної сплати заборгованості за отримані послуги Депозитарної установи щодо надання реєстру та/або переліку власників іменних цінних паперів, довідково-аналітичних матеріалів, виписок і інформаційних довідок, іншої інформації щодо акціонерів у наступних випадках:</w:t>
      </w:r>
    </w:p>
    <w:p w14:paraId="667944AC" w14:textId="77777777" w:rsidR="009A7EA8" w:rsidRPr="00E16672" w:rsidRDefault="009A7EA8" w:rsidP="009A7EA8">
      <w:pPr>
        <w:rPr>
          <w:rFonts w:ascii="Times New Roman" w:eastAsia="Arial Unicode MS" w:hAnsi="Times New Roman"/>
          <w:szCs w:val="20"/>
        </w:rPr>
      </w:pPr>
      <w:r w:rsidRPr="00E16672">
        <w:rPr>
          <w:rFonts w:ascii="Times New Roman" w:eastAsia="Arial Unicode MS" w:hAnsi="Times New Roman"/>
          <w:szCs w:val="20"/>
        </w:rPr>
        <w:t xml:space="preserve">10.1.1. за </w:t>
      </w:r>
      <w:proofErr w:type="spellStart"/>
      <w:r w:rsidRPr="00E16672">
        <w:rPr>
          <w:rFonts w:ascii="Times New Roman" w:eastAsia="Arial Unicode MS" w:hAnsi="Times New Roman"/>
          <w:szCs w:val="20"/>
        </w:rPr>
        <w:t>рішенням</w:t>
      </w:r>
      <w:proofErr w:type="spellEnd"/>
      <w:r w:rsidRPr="00E16672">
        <w:rPr>
          <w:rFonts w:ascii="Times New Roman" w:eastAsia="Arial Unicode MS" w:hAnsi="Times New Roman"/>
          <w:szCs w:val="20"/>
        </w:rPr>
        <w:t xml:space="preserve"> суду на </w:t>
      </w:r>
      <w:proofErr w:type="spellStart"/>
      <w:r w:rsidRPr="00E16672">
        <w:rPr>
          <w:rFonts w:ascii="Times New Roman" w:eastAsia="Arial Unicode MS" w:hAnsi="Times New Roman"/>
          <w:szCs w:val="20"/>
        </w:rPr>
        <w:t>вимогу</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однієї</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із</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Сторін</w:t>
      </w:r>
      <w:proofErr w:type="spellEnd"/>
      <w:r w:rsidRPr="00E16672">
        <w:rPr>
          <w:rFonts w:ascii="Times New Roman" w:eastAsia="Arial Unicode MS" w:hAnsi="Times New Roman"/>
          <w:szCs w:val="20"/>
        </w:rPr>
        <w:t xml:space="preserve"> у </w:t>
      </w:r>
      <w:proofErr w:type="spellStart"/>
      <w:r w:rsidRPr="00E16672">
        <w:rPr>
          <w:rFonts w:ascii="Times New Roman" w:eastAsia="Arial Unicode MS" w:hAnsi="Times New Roman"/>
          <w:szCs w:val="20"/>
        </w:rPr>
        <w:t>разі</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істотного</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порушення</w:t>
      </w:r>
      <w:proofErr w:type="spellEnd"/>
      <w:r w:rsidRPr="00E16672">
        <w:rPr>
          <w:rFonts w:ascii="Times New Roman" w:eastAsia="Arial Unicode MS" w:hAnsi="Times New Roman"/>
          <w:szCs w:val="20"/>
        </w:rPr>
        <w:t xml:space="preserve"> Договору другою Стороною;</w:t>
      </w:r>
    </w:p>
    <w:p w14:paraId="554C5D17" w14:textId="77777777" w:rsidR="009A7EA8" w:rsidRPr="00E16672" w:rsidRDefault="009A7EA8" w:rsidP="009A7EA8">
      <w:pPr>
        <w:rPr>
          <w:rFonts w:ascii="Times New Roman" w:eastAsia="Arial Unicode MS" w:hAnsi="Times New Roman"/>
          <w:szCs w:val="20"/>
        </w:rPr>
      </w:pPr>
      <w:r w:rsidRPr="00E16672">
        <w:rPr>
          <w:rFonts w:ascii="Times New Roman" w:eastAsia="Arial Unicode MS" w:hAnsi="Times New Roman"/>
          <w:szCs w:val="20"/>
        </w:rPr>
        <w:t xml:space="preserve">10.1.2. за </w:t>
      </w:r>
      <w:proofErr w:type="spellStart"/>
      <w:r w:rsidRPr="00E16672">
        <w:rPr>
          <w:rFonts w:ascii="Times New Roman" w:eastAsia="Arial Unicode MS" w:hAnsi="Times New Roman"/>
          <w:szCs w:val="20"/>
        </w:rPr>
        <w:t>згодою</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Сторін</w:t>
      </w:r>
      <w:proofErr w:type="spellEnd"/>
      <w:r w:rsidRPr="00E16672">
        <w:rPr>
          <w:rFonts w:ascii="Times New Roman" w:eastAsia="Arial Unicode MS" w:hAnsi="Times New Roman"/>
          <w:szCs w:val="20"/>
        </w:rPr>
        <w:t xml:space="preserve"> шляхом </w:t>
      </w:r>
      <w:proofErr w:type="spellStart"/>
      <w:r w:rsidRPr="00E16672">
        <w:rPr>
          <w:rFonts w:ascii="Times New Roman" w:eastAsia="Arial Unicode MS" w:hAnsi="Times New Roman"/>
          <w:szCs w:val="20"/>
        </w:rPr>
        <w:t>обміну</w:t>
      </w:r>
      <w:proofErr w:type="spellEnd"/>
      <w:r w:rsidRPr="00E16672">
        <w:rPr>
          <w:rFonts w:ascii="Times New Roman" w:eastAsia="Arial Unicode MS" w:hAnsi="Times New Roman"/>
          <w:szCs w:val="20"/>
        </w:rPr>
        <w:t xml:space="preserve"> листами на </w:t>
      </w:r>
      <w:proofErr w:type="spellStart"/>
      <w:r w:rsidRPr="00E16672">
        <w:rPr>
          <w:rFonts w:ascii="Times New Roman" w:eastAsia="Arial Unicode MS" w:hAnsi="Times New Roman"/>
          <w:szCs w:val="20"/>
        </w:rPr>
        <w:t>припинення</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дії</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цього</w:t>
      </w:r>
      <w:proofErr w:type="spellEnd"/>
      <w:r w:rsidRPr="00E16672">
        <w:rPr>
          <w:rFonts w:ascii="Times New Roman" w:eastAsia="Arial Unicode MS" w:hAnsi="Times New Roman"/>
          <w:szCs w:val="20"/>
        </w:rPr>
        <w:t xml:space="preserve"> Договору у </w:t>
      </w:r>
      <w:proofErr w:type="spellStart"/>
      <w:r w:rsidRPr="00E16672">
        <w:rPr>
          <w:rFonts w:ascii="Times New Roman" w:eastAsia="Arial Unicode MS" w:hAnsi="Times New Roman"/>
          <w:szCs w:val="20"/>
        </w:rPr>
        <w:t>термін</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що</w:t>
      </w:r>
      <w:proofErr w:type="spellEnd"/>
      <w:r w:rsidRPr="00E16672">
        <w:rPr>
          <w:rFonts w:ascii="Times New Roman" w:eastAsia="Arial Unicode MS" w:hAnsi="Times New Roman"/>
          <w:szCs w:val="20"/>
        </w:rPr>
        <w:t xml:space="preserve"> не повинен </w:t>
      </w:r>
      <w:proofErr w:type="spellStart"/>
      <w:r w:rsidRPr="00E16672">
        <w:rPr>
          <w:rFonts w:ascii="Times New Roman" w:eastAsia="Arial Unicode MS" w:hAnsi="Times New Roman"/>
          <w:szCs w:val="20"/>
        </w:rPr>
        <w:t>перевищувати</w:t>
      </w:r>
      <w:proofErr w:type="spellEnd"/>
      <w:r w:rsidRPr="00E16672">
        <w:rPr>
          <w:rFonts w:ascii="Times New Roman" w:eastAsia="Arial Unicode MS" w:hAnsi="Times New Roman"/>
          <w:szCs w:val="20"/>
        </w:rPr>
        <w:t xml:space="preserve"> </w:t>
      </w:r>
      <w:r w:rsidR="00FA3078">
        <w:rPr>
          <w:rFonts w:ascii="Times New Roman" w:eastAsia="Arial Unicode MS" w:hAnsi="Times New Roman"/>
          <w:szCs w:val="20"/>
          <w:lang w:val="uk-UA"/>
        </w:rPr>
        <w:t>20 (</w:t>
      </w:r>
      <w:proofErr w:type="spellStart"/>
      <w:r w:rsidRPr="00E16672">
        <w:rPr>
          <w:rFonts w:ascii="Times New Roman" w:eastAsia="Arial Unicode MS" w:hAnsi="Times New Roman"/>
          <w:i/>
          <w:szCs w:val="20"/>
        </w:rPr>
        <w:t>двадцяти</w:t>
      </w:r>
      <w:proofErr w:type="spellEnd"/>
      <w:r w:rsidR="00FA3078">
        <w:rPr>
          <w:rFonts w:ascii="Times New Roman" w:eastAsia="Arial Unicode MS" w:hAnsi="Times New Roman"/>
          <w:i/>
          <w:szCs w:val="20"/>
          <w:lang w:val="uk-UA"/>
        </w:rPr>
        <w:t>)</w:t>
      </w:r>
      <w:r w:rsidRPr="00E16672">
        <w:rPr>
          <w:rFonts w:ascii="Times New Roman" w:eastAsia="Arial Unicode MS" w:hAnsi="Times New Roman"/>
          <w:i/>
          <w:szCs w:val="20"/>
        </w:rPr>
        <w:t xml:space="preserve"> </w:t>
      </w:r>
      <w:proofErr w:type="spellStart"/>
      <w:r w:rsidRPr="00FA3078">
        <w:rPr>
          <w:rFonts w:ascii="Times New Roman" w:eastAsia="Arial Unicode MS" w:hAnsi="Times New Roman"/>
          <w:szCs w:val="20"/>
        </w:rPr>
        <w:t>днів</w:t>
      </w:r>
      <w:proofErr w:type="spellEnd"/>
      <w:r w:rsidRPr="00E16672">
        <w:rPr>
          <w:rFonts w:ascii="Times New Roman" w:eastAsia="Arial Unicode MS" w:hAnsi="Times New Roman"/>
          <w:szCs w:val="20"/>
        </w:rPr>
        <w:t xml:space="preserve"> з </w:t>
      </w:r>
      <w:proofErr w:type="spellStart"/>
      <w:r w:rsidRPr="00E16672">
        <w:rPr>
          <w:rFonts w:ascii="Times New Roman" w:eastAsia="Arial Unicode MS" w:hAnsi="Times New Roman"/>
          <w:szCs w:val="20"/>
        </w:rPr>
        <w:t>дати</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отримання</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листів</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або</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укладанням</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додаткової</w:t>
      </w:r>
      <w:proofErr w:type="spellEnd"/>
      <w:r w:rsidRPr="00E16672">
        <w:rPr>
          <w:rFonts w:ascii="Times New Roman" w:eastAsia="Arial Unicode MS" w:hAnsi="Times New Roman"/>
          <w:szCs w:val="20"/>
        </w:rPr>
        <w:t xml:space="preserve"> угоди з </w:t>
      </w:r>
      <w:proofErr w:type="spellStart"/>
      <w:r w:rsidRPr="00E16672">
        <w:rPr>
          <w:rFonts w:ascii="Times New Roman" w:eastAsia="Arial Unicode MS" w:hAnsi="Times New Roman"/>
          <w:szCs w:val="20"/>
        </w:rPr>
        <w:t>обов’язковим</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зазначенням</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терміну</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припинення</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дії</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цього</w:t>
      </w:r>
      <w:proofErr w:type="spellEnd"/>
      <w:r w:rsidRPr="00E16672">
        <w:rPr>
          <w:rFonts w:ascii="Times New Roman" w:eastAsia="Arial Unicode MS" w:hAnsi="Times New Roman"/>
          <w:szCs w:val="20"/>
        </w:rPr>
        <w:t xml:space="preserve"> Договору; </w:t>
      </w:r>
    </w:p>
    <w:p w14:paraId="6D9C16B1" w14:textId="77777777" w:rsidR="009A7EA8" w:rsidRPr="00E16672" w:rsidRDefault="009A7EA8" w:rsidP="009A7EA8">
      <w:pPr>
        <w:rPr>
          <w:rFonts w:ascii="Times New Roman" w:eastAsia="Arial Unicode MS" w:hAnsi="Times New Roman"/>
          <w:szCs w:val="20"/>
        </w:rPr>
      </w:pPr>
      <w:r w:rsidRPr="00E16672">
        <w:rPr>
          <w:rFonts w:ascii="Times New Roman" w:eastAsia="Arial Unicode MS" w:hAnsi="Times New Roman"/>
          <w:szCs w:val="20"/>
        </w:rPr>
        <w:t xml:space="preserve">10.1.3. з </w:t>
      </w:r>
      <w:proofErr w:type="spellStart"/>
      <w:r w:rsidRPr="00E16672">
        <w:rPr>
          <w:rFonts w:ascii="Times New Roman" w:eastAsia="Arial Unicode MS" w:hAnsi="Times New Roman"/>
          <w:szCs w:val="20"/>
        </w:rPr>
        <w:t>ініціативи</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однієї</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із</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Сторін</w:t>
      </w:r>
      <w:proofErr w:type="spellEnd"/>
      <w:r w:rsidRPr="00E16672">
        <w:rPr>
          <w:rFonts w:ascii="Times New Roman" w:eastAsia="Arial Unicode MS" w:hAnsi="Times New Roman"/>
          <w:szCs w:val="20"/>
        </w:rPr>
        <w:t xml:space="preserve"> шляхом </w:t>
      </w:r>
      <w:proofErr w:type="spellStart"/>
      <w:r w:rsidRPr="00E16672">
        <w:rPr>
          <w:rFonts w:ascii="Times New Roman" w:eastAsia="Arial Unicode MS" w:hAnsi="Times New Roman"/>
          <w:szCs w:val="20"/>
        </w:rPr>
        <w:t>направлення</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повідомлення</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із</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зазначенням</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дати</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припинення</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дії</w:t>
      </w:r>
      <w:proofErr w:type="spellEnd"/>
      <w:r w:rsidRPr="00E16672">
        <w:rPr>
          <w:rFonts w:ascii="Times New Roman" w:eastAsia="Arial Unicode MS" w:hAnsi="Times New Roman"/>
          <w:szCs w:val="20"/>
        </w:rPr>
        <w:t xml:space="preserve"> Договору не </w:t>
      </w:r>
      <w:proofErr w:type="spellStart"/>
      <w:r w:rsidRPr="00E16672">
        <w:rPr>
          <w:rFonts w:ascii="Times New Roman" w:eastAsia="Arial Unicode MS" w:hAnsi="Times New Roman"/>
          <w:szCs w:val="20"/>
        </w:rPr>
        <w:t>пізніше</w:t>
      </w:r>
      <w:proofErr w:type="spellEnd"/>
      <w:r w:rsidRPr="00E16672">
        <w:rPr>
          <w:rFonts w:ascii="Times New Roman" w:eastAsia="Arial Unicode MS" w:hAnsi="Times New Roman"/>
          <w:szCs w:val="20"/>
        </w:rPr>
        <w:t xml:space="preserve"> десяти </w:t>
      </w:r>
      <w:proofErr w:type="spellStart"/>
      <w:r w:rsidRPr="00E16672">
        <w:rPr>
          <w:rFonts w:ascii="Times New Roman" w:eastAsia="Arial Unicode MS" w:hAnsi="Times New Roman"/>
          <w:szCs w:val="20"/>
        </w:rPr>
        <w:t>робочих</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днів</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від</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дати</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прийняття</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цього</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рішення</w:t>
      </w:r>
      <w:proofErr w:type="spellEnd"/>
      <w:r w:rsidRPr="00E16672">
        <w:rPr>
          <w:rFonts w:ascii="Times New Roman" w:eastAsia="Arial Unicode MS" w:hAnsi="Times New Roman"/>
          <w:szCs w:val="20"/>
        </w:rPr>
        <w:t>:</w:t>
      </w:r>
    </w:p>
    <w:p w14:paraId="181F6E41" w14:textId="77777777" w:rsidR="009A7EA8" w:rsidRPr="00E16672" w:rsidRDefault="009A7EA8" w:rsidP="009A7EA8">
      <w:pPr>
        <w:ind w:firstLine="709"/>
        <w:rPr>
          <w:rFonts w:ascii="Times New Roman" w:eastAsia="Arial Unicode MS" w:hAnsi="Times New Roman"/>
          <w:szCs w:val="20"/>
        </w:rPr>
      </w:pPr>
      <w:r w:rsidRPr="00E16672">
        <w:rPr>
          <w:rFonts w:ascii="Times New Roman" w:eastAsia="Arial Unicode MS" w:hAnsi="Times New Roman"/>
          <w:szCs w:val="20"/>
        </w:rPr>
        <w:t xml:space="preserve">10.1.3.1. у </w:t>
      </w:r>
      <w:proofErr w:type="spellStart"/>
      <w:r w:rsidRPr="00E16672">
        <w:rPr>
          <w:rFonts w:ascii="Times New Roman" w:eastAsia="Arial Unicode MS" w:hAnsi="Times New Roman"/>
          <w:szCs w:val="20"/>
        </w:rPr>
        <w:t>разі</w:t>
      </w:r>
      <w:proofErr w:type="spellEnd"/>
      <w:r w:rsidRPr="00E16672">
        <w:rPr>
          <w:rFonts w:ascii="Times New Roman" w:eastAsia="Arial Unicode MS" w:hAnsi="Times New Roman"/>
          <w:szCs w:val="20"/>
        </w:rPr>
        <w:t xml:space="preserve"> систематичного </w:t>
      </w:r>
      <w:proofErr w:type="spellStart"/>
      <w:r w:rsidRPr="00E16672">
        <w:rPr>
          <w:rFonts w:ascii="Times New Roman" w:eastAsia="Arial Unicode MS" w:hAnsi="Times New Roman"/>
          <w:szCs w:val="20"/>
        </w:rPr>
        <w:t>невиконання</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іншою</w:t>
      </w:r>
      <w:proofErr w:type="spellEnd"/>
      <w:r w:rsidRPr="00E16672">
        <w:rPr>
          <w:rFonts w:ascii="Times New Roman" w:eastAsia="Arial Unicode MS" w:hAnsi="Times New Roman"/>
          <w:szCs w:val="20"/>
        </w:rPr>
        <w:t xml:space="preserve"> стороною умов </w:t>
      </w:r>
      <w:proofErr w:type="spellStart"/>
      <w:r w:rsidRPr="00E16672">
        <w:rPr>
          <w:rFonts w:ascii="Times New Roman" w:eastAsia="Arial Unicode MS" w:hAnsi="Times New Roman"/>
          <w:szCs w:val="20"/>
        </w:rPr>
        <w:t>цього</w:t>
      </w:r>
      <w:proofErr w:type="spellEnd"/>
      <w:r w:rsidRPr="00E16672">
        <w:rPr>
          <w:rFonts w:ascii="Times New Roman" w:eastAsia="Arial Unicode MS" w:hAnsi="Times New Roman"/>
          <w:szCs w:val="20"/>
        </w:rPr>
        <w:t xml:space="preserve"> Договору; </w:t>
      </w:r>
    </w:p>
    <w:p w14:paraId="08D56119" w14:textId="77777777" w:rsidR="009A7EA8" w:rsidRPr="00E16672" w:rsidRDefault="009A7EA8" w:rsidP="009A7EA8">
      <w:pPr>
        <w:ind w:firstLine="709"/>
        <w:rPr>
          <w:rFonts w:ascii="Times New Roman" w:eastAsia="Arial Unicode MS" w:hAnsi="Times New Roman"/>
          <w:szCs w:val="20"/>
        </w:rPr>
      </w:pPr>
      <w:r w:rsidRPr="00E16672">
        <w:rPr>
          <w:rFonts w:ascii="Times New Roman" w:eastAsia="Arial Unicode MS" w:hAnsi="Times New Roman"/>
          <w:szCs w:val="20"/>
        </w:rPr>
        <w:t xml:space="preserve">10.1.3.2. у </w:t>
      </w:r>
      <w:proofErr w:type="spellStart"/>
      <w:r w:rsidRPr="00E16672">
        <w:rPr>
          <w:rFonts w:ascii="Times New Roman" w:eastAsia="Arial Unicode MS" w:hAnsi="Times New Roman"/>
          <w:szCs w:val="20"/>
        </w:rPr>
        <w:t>зв’язку</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із</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ліквідацією</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однієї</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зі</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сторін</w:t>
      </w:r>
      <w:proofErr w:type="spellEnd"/>
      <w:r w:rsidRPr="00E16672">
        <w:rPr>
          <w:rFonts w:ascii="Times New Roman" w:eastAsia="Arial Unicode MS" w:hAnsi="Times New Roman"/>
          <w:szCs w:val="20"/>
        </w:rPr>
        <w:t xml:space="preserve"> Договору; </w:t>
      </w:r>
    </w:p>
    <w:p w14:paraId="7CFAB95F" w14:textId="77777777" w:rsidR="009A7EA8" w:rsidRPr="00E16672" w:rsidRDefault="009A7EA8" w:rsidP="009A7EA8">
      <w:pPr>
        <w:ind w:firstLine="709"/>
        <w:rPr>
          <w:rFonts w:ascii="Times New Roman" w:eastAsia="Arial Unicode MS" w:hAnsi="Times New Roman"/>
          <w:szCs w:val="20"/>
        </w:rPr>
      </w:pPr>
      <w:r w:rsidRPr="00E16672">
        <w:rPr>
          <w:rFonts w:ascii="Times New Roman" w:eastAsia="Arial Unicode MS" w:hAnsi="Times New Roman"/>
          <w:szCs w:val="20"/>
        </w:rPr>
        <w:t xml:space="preserve">10.1.3.3. у </w:t>
      </w:r>
      <w:proofErr w:type="spellStart"/>
      <w:r w:rsidRPr="00E16672">
        <w:rPr>
          <w:rFonts w:ascii="Times New Roman" w:eastAsia="Arial Unicode MS" w:hAnsi="Times New Roman"/>
          <w:szCs w:val="20"/>
        </w:rPr>
        <w:t>зв’язку</w:t>
      </w:r>
      <w:proofErr w:type="spellEnd"/>
      <w:r w:rsidRPr="00E16672">
        <w:rPr>
          <w:rFonts w:ascii="Times New Roman" w:eastAsia="Arial Unicode MS" w:hAnsi="Times New Roman"/>
          <w:szCs w:val="20"/>
        </w:rPr>
        <w:t xml:space="preserve"> з </w:t>
      </w:r>
      <w:proofErr w:type="spellStart"/>
      <w:r w:rsidRPr="00E16672">
        <w:rPr>
          <w:rFonts w:ascii="Times New Roman" w:eastAsia="Arial Unicode MS" w:hAnsi="Times New Roman"/>
          <w:szCs w:val="20"/>
        </w:rPr>
        <w:t>анулюванням</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Ліцензії</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Депозитарної</w:t>
      </w:r>
      <w:proofErr w:type="spellEnd"/>
      <w:r w:rsidRPr="00E16672">
        <w:rPr>
          <w:rFonts w:ascii="Times New Roman" w:eastAsia="Arial Unicode MS" w:hAnsi="Times New Roman"/>
          <w:szCs w:val="20"/>
        </w:rPr>
        <w:t xml:space="preserve"> установи на </w:t>
      </w:r>
      <w:proofErr w:type="spellStart"/>
      <w:r w:rsidRPr="00E16672">
        <w:rPr>
          <w:rFonts w:ascii="Times New Roman" w:eastAsia="Arial Unicode MS" w:hAnsi="Times New Roman"/>
          <w:szCs w:val="20"/>
        </w:rPr>
        <w:t>провадження</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депозитарної</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діяльності</w:t>
      </w:r>
      <w:proofErr w:type="spellEnd"/>
      <w:r w:rsidRPr="00E16672">
        <w:rPr>
          <w:rFonts w:ascii="Times New Roman" w:eastAsia="Arial Unicode MS" w:hAnsi="Times New Roman"/>
          <w:szCs w:val="20"/>
        </w:rPr>
        <w:t>;</w:t>
      </w:r>
    </w:p>
    <w:p w14:paraId="39A661AE" w14:textId="77777777" w:rsidR="009A7EA8" w:rsidRPr="00E16672" w:rsidRDefault="009A7EA8" w:rsidP="009A7EA8">
      <w:pPr>
        <w:ind w:firstLine="709"/>
        <w:rPr>
          <w:rFonts w:ascii="Times New Roman" w:eastAsia="Arial Unicode MS" w:hAnsi="Times New Roman"/>
          <w:szCs w:val="20"/>
        </w:rPr>
      </w:pPr>
      <w:r w:rsidRPr="00E16672">
        <w:rPr>
          <w:rFonts w:ascii="Times New Roman" w:eastAsia="Arial Unicode MS" w:hAnsi="Times New Roman"/>
          <w:szCs w:val="20"/>
        </w:rPr>
        <w:t xml:space="preserve">10.1.3.4. у </w:t>
      </w:r>
      <w:proofErr w:type="spellStart"/>
      <w:r w:rsidRPr="00E16672">
        <w:rPr>
          <w:rFonts w:ascii="Times New Roman" w:eastAsia="Arial Unicode MS" w:hAnsi="Times New Roman"/>
          <w:szCs w:val="20"/>
        </w:rPr>
        <w:t>разі</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неможливості</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виконання</w:t>
      </w:r>
      <w:proofErr w:type="spellEnd"/>
      <w:r w:rsidRPr="00E16672">
        <w:rPr>
          <w:rFonts w:ascii="Times New Roman" w:eastAsia="Arial Unicode MS" w:hAnsi="Times New Roman"/>
          <w:szCs w:val="20"/>
        </w:rPr>
        <w:t xml:space="preserve"> умов </w:t>
      </w:r>
      <w:proofErr w:type="spellStart"/>
      <w:r w:rsidRPr="00E16672">
        <w:rPr>
          <w:rFonts w:ascii="Times New Roman" w:eastAsia="Arial Unicode MS" w:hAnsi="Times New Roman"/>
          <w:szCs w:val="20"/>
        </w:rPr>
        <w:t>цього</w:t>
      </w:r>
      <w:proofErr w:type="spellEnd"/>
      <w:r w:rsidRPr="00E16672">
        <w:rPr>
          <w:rFonts w:ascii="Times New Roman" w:eastAsia="Arial Unicode MS" w:hAnsi="Times New Roman"/>
          <w:szCs w:val="20"/>
        </w:rPr>
        <w:t xml:space="preserve"> Договору (з </w:t>
      </w:r>
      <w:proofErr w:type="spellStart"/>
      <w:r w:rsidRPr="00E16672">
        <w:rPr>
          <w:rFonts w:ascii="Times New Roman" w:eastAsia="Arial Unicode MS" w:hAnsi="Times New Roman"/>
          <w:szCs w:val="20"/>
        </w:rPr>
        <w:t>обґрунтуванням</w:t>
      </w:r>
      <w:proofErr w:type="spellEnd"/>
      <w:r w:rsidRPr="00E16672">
        <w:rPr>
          <w:rFonts w:ascii="Times New Roman" w:eastAsia="Arial Unicode MS" w:hAnsi="Times New Roman"/>
          <w:szCs w:val="20"/>
        </w:rPr>
        <w:t xml:space="preserve"> причин);</w:t>
      </w:r>
    </w:p>
    <w:p w14:paraId="3EFE26E7" w14:textId="77777777" w:rsidR="009A7EA8" w:rsidRPr="00E16672" w:rsidRDefault="009A7EA8" w:rsidP="009A7EA8">
      <w:pPr>
        <w:ind w:firstLine="709"/>
        <w:rPr>
          <w:rFonts w:ascii="Times New Roman" w:eastAsia="Arial Unicode MS" w:hAnsi="Times New Roman"/>
          <w:szCs w:val="20"/>
        </w:rPr>
      </w:pPr>
      <w:r w:rsidRPr="00E16672">
        <w:rPr>
          <w:rFonts w:ascii="Times New Roman" w:eastAsia="Arial Unicode MS" w:hAnsi="Times New Roman"/>
          <w:szCs w:val="20"/>
        </w:rPr>
        <w:t xml:space="preserve">10.1.3.5. в </w:t>
      </w:r>
      <w:proofErr w:type="spellStart"/>
      <w:r w:rsidRPr="00E16672">
        <w:rPr>
          <w:rFonts w:ascii="Times New Roman" w:eastAsia="Arial Unicode MS" w:hAnsi="Times New Roman"/>
          <w:szCs w:val="20"/>
        </w:rPr>
        <w:t>інших</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випадках</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передбачених</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чинним</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законодавством</w:t>
      </w:r>
      <w:proofErr w:type="spellEnd"/>
      <w:r w:rsidRPr="00E16672">
        <w:rPr>
          <w:rFonts w:ascii="Times New Roman" w:eastAsia="Arial Unicode MS" w:hAnsi="Times New Roman"/>
          <w:szCs w:val="20"/>
        </w:rPr>
        <w:t xml:space="preserve"> </w:t>
      </w:r>
      <w:proofErr w:type="gramStart"/>
      <w:r w:rsidRPr="00E16672">
        <w:rPr>
          <w:rFonts w:ascii="Times New Roman" w:eastAsia="Arial Unicode MS" w:hAnsi="Times New Roman"/>
          <w:szCs w:val="20"/>
        </w:rPr>
        <w:t>у порядку</w:t>
      </w:r>
      <w:proofErr w:type="gram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передбаченому</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чинним</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законодавством</w:t>
      </w:r>
      <w:proofErr w:type="spellEnd"/>
      <w:r w:rsidRPr="00E16672">
        <w:rPr>
          <w:rFonts w:ascii="Times New Roman" w:eastAsia="Arial Unicode MS" w:hAnsi="Times New Roman"/>
          <w:szCs w:val="20"/>
        </w:rPr>
        <w:t>.</w:t>
      </w:r>
    </w:p>
    <w:p w14:paraId="37274BD4" w14:textId="77777777" w:rsidR="009A7EA8" w:rsidRPr="00E16672" w:rsidRDefault="009A7EA8" w:rsidP="009A7EA8">
      <w:pPr>
        <w:pStyle w:val="af1"/>
        <w:tabs>
          <w:tab w:val="clear" w:pos="959"/>
          <w:tab w:val="clear" w:pos="1918"/>
          <w:tab w:val="clear" w:pos="2877"/>
          <w:tab w:val="clear" w:pos="9590"/>
          <w:tab w:val="left" w:pos="567"/>
        </w:tabs>
        <w:ind w:right="-1"/>
        <w:rPr>
          <w:rFonts w:ascii="Times New Roman" w:eastAsia="Arial Unicode MS" w:hAnsi="Times New Roman" w:cs="Times New Roman"/>
        </w:rPr>
      </w:pPr>
      <w:r w:rsidRPr="00E16672">
        <w:rPr>
          <w:rFonts w:ascii="Times New Roman" w:eastAsia="Arial Unicode MS" w:hAnsi="Times New Roman" w:cs="Times New Roman"/>
        </w:rPr>
        <w:t xml:space="preserve">10.2. </w:t>
      </w:r>
      <w:proofErr w:type="spellStart"/>
      <w:r w:rsidRPr="00E16672">
        <w:rPr>
          <w:rFonts w:ascii="Times New Roman" w:eastAsia="Arial Unicode MS" w:hAnsi="Times New Roman" w:cs="Times New Roman"/>
        </w:rPr>
        <w:t>Виконання</w:t>
      </w:r>
      <w:proofErr w:type="spellEnd"/>
      <w:r w:rsidRPr="00E16672">
        <w:rPr>
          <w:rFonts w:ascii="Times New Roman" w:eastAsia="Arial Unicode MS" w:hAnsi="Times New Roman" w:cs="Times New Roman"/>
        </w:rPr>
        <w:t xml:space="preserve"> Депозитарною </w:t>
      </w:r>
      <w:proofErr w:type="spellStart"/>
      <w:r w:rsidRPr="00E16672">
        <w:rPr>
          <w:rFonts w:ascii="Times New Roman" w:eastAsia="Arial Unicode MS" w:hAnsi="Times New Roman" w:cs="Times New Roman"/>
        </w:rPr>
        <w:t>установою</w:t>
      </w:r>
      <w:proofErr w:type="spellEnd"/>
      <w:r w:rsidRPr="00E16672">
        <w:rPr>
          <w:rFonts w:ascii="Times New Roman" w:eastAsia="Arial Unicode MS" w:hAnsi="Times New Roman" w:cs="Times New Roman"/>
        </w:rPr>
        <w:t xml:space="preserve"> </w:t>
      </w:r>
      <w:proofErr w:type="spellStart"/>
      <w:r w:rsidRPr="00E16672">
        <w:rPr>
          <w:rFonts w:ascii="Times New Roman" w:eastAsia="Arial Unicode MS" w:hAnsi="Times New Roman" w:cs="Times New Roman"/>
        </w:rPr>
        <w:t>додаткових</w:t>
      </w:r>
      <w:proofErr w:type="spellEnd"/>
      <w:r w:rsidRPr="00E16672">
        <w:rPr>
          <w:rFonts w:ascii="Times New Roman" w:eastAsia="Arial Unicode MS" w:hAnsi="Times New Roman" w:cs="Times New Roman"/>
        </w:rPr>
        <w:t xml:space="preserve"> </w:t>
      </w:r>
      <w:proofErr w:type="spellStart"/>
      <w:r w:rsidRPr="00E16672">
        <w:rPr>
          <w:rFonts w:ascii="Times New Roman" w:eastAsia="Arial Unicode MS" w:hAnsi="Times New Roman" w:cs="Times New Roman"/>
        </w:rPr>
        <w:t>послуг</w:t>
      </w:r>
      <w:proofErr w:type="spellEnd"/>
      <w:r w:rsidRPr="00E16672">
        <w:rPr>
          <w:rFonts w:ascii="Times New Roman" w:eastAsia="Arial Unicode MS" w:hAnsi="Times New Roman" w:cs="Times New Roman"/>
        </w:rPr>
        <w:t xml:space="preserve"> та </w:t>
      </w:r>
      <w:proofErr w:type="spellStart"/>
      <w:r w:rsidRPr="00E16672">
        <w:rPr>
          <w:rFonts w:ascii="Times New Roman" w:eastAsia="Arial Unicode MS" w:hAnsi="Times New Roman" w:cs="Times New Roman"/>
        </w:rPr>
        <w:t>операцій</w:t>
      </w:r>
      <w:proofErr w:type="spellEnd"/>
      <w:r w:rsidRPr="00E16672">
        <w:rPr>
          <w:rFonts w:ascii="Times New Roman" w:eastAsia="Arial Unicode MS" w:hAnsi="Times New Roman" w:cs="Times New Roman"/>
        </w:rPr>
        <w:t xml:space="preserve">, </w:t>
      </w:r>
      <w:proofErr w:type="spellStart"/>
      <w:r w:rsidRPr="00E16672">
        <w:rPr>
          <w:rFonts w:ascii="Times New Roman" w:eastAsia="Arial Unicode MS" w:hAnsi="Times New Roman" w:cs="Times New Roman"/>
        </w:rPr>
        <w:t>що</w:t>
      </w:r>
      <w:proofErr w:type="spellEnd"/>
      <w:r w:rsidRPr="00E16672">
        <w:rPr>
          <w:rFonts w:ascii="Times New Roman" w:eastAsia="Arial Unicode MS" w:hAnsi="Times New Roman" w:cs="Times New Roman"/>
        </w:rPr>
        <w:t xml:space="preserve"> не </w:t>
      </w:r>
      <w:proofErr w:type="spellStart"/>
      <w:r w:rsidRPr="00E16672">
        <w:rPr>
          <w:rFonts w:ascii="Times New Roman" w:eastAsia="Arial Unicode MS" w:hAnsi="Times New Roman" w:cs="Times New Roman"/>
        </w:rPr>
        <w:t>протирічать</w:t>
      </w:r>
      <w:proofErr w:type="spellEnd"/>
      <w:r w:rsidRPr="00E16672">
        <w:rPr>
          <w:rFonts w:ascii="Times New Roman" w:eastAsia="Arial Unicode MS" w:hAnsi="Times New Roman" w:cs="Times New Roman"/>
        </w:rPr>
        <w:t xml:space="preserve"> чинному </w:t>
      </w:r>
      <w:proofErr w:type="spellStart"/>
      <w:r w:rsidRPr="00E16672">
        <w:rPr>
          <w:rFonts w:ascii="Times New Roman" w:eastAsia="Arial Unicode MS" w:hAnsi="Times New Roman" w:cs="Times New Roman"/>
        </w:rPr>
        <w:t>законодавству</w:t>
      </w:r>
      <w:proofErr w:type="spellEnd"/>
      <w:r w:rsidRPr="00E16672">
        <w:rPr>
          <w:rFonts w:ascii="Times New Roman" w:eastAsia="Arial Unicode MS" w:hAnsi="Times New Roman" w:cs="Times New Roman"/>
        </w:rPr>
        <w:t xml:space="preserve"> </w:t>
      </w:r>
      <w:proofErr w:type="spellStart"/>
      <w:r w:rsidRPr="00E16672">
        <w:rPr>
          <w:rFonts w:ascii="Times New Roman" w:eastAsia="Arial Unicode MS" w:hAnsi="Times New Roman" w:cs="Times New Roman"/>
        </w:rPr>
        <w:t>України</w:t>
      </w:r>
      <w:proofErr w:type="spellEnd"/>
      <w:r w:rsidRPr="00E16672">
        <w:rPr>
          <w:rFonts w:ascii="Times New Roman" w:eastAsia="Arial Unicode MS" w:hAnsi="Times New Roman" w:cs="Times New Roman"/>
        </w:rPr>
        <w:t xml:space="preserve">, </w:t>
      </w:r>
      <w:proofErr w:type="spellStart"/>
      <w:r w:rsidRPr="00E16672">
        <w:rPr>
          <w:rFonts w:ascii="Times New Roman" w:eastAsia="Arial Unicode MS" w:hAnsi="Times New Roman" w:cs="Times New Roman"/>
        </w:rPr>
        <w:t>оформлюється</w:t>
      </w:r>
      <w:proofErr w:type="spellEnd"/>
      <w:r w:rsidRPr="00E16672">
        <w:rPr>
          <w:rFonts w:ascii="Times New Roman" w:eastAsia="Arial Unicode MS" w:hAnsi="Times New Roman" w:cs="Times New Roman"/>
        </w:rPr>
        <w:t xml:space="preserve"> </w:t>
      </w:r>
      <w:proofErr w:type="spellStart"/>
      <w:r w:rsidRPr="00E16672">
        <w:rPr>
          <w:rFonts w:ascii="Times New Roman" w:eastAsia="Arial Unicode MS" w:hAnsi="Times New Roman" w:cs="Times New Roman"/>
        </w:rPr>
        <w:t>додатковими</w:t>
      </w:r>
      <w:proofErr w:type="spellEnd"/>
      <w:r w:rsidRPr="00E16672">
        <w:rPr>
          <w:rFonts w:ascii="Times New Roman" w:eastAsia="Arial Unicode MS" w:hAnsi="Times New Roman" w:cs="Times New Roman"/>
        </w:rPr>
        <w:t xml:space="preserve"> </w:t>
      </w:r>
      <w:proofErr w:type="spellStart"/>
      <w:r w:rsidRPr="00E16672">
        <w:rPr>
          <w:rFonts w:ascii="Times New Roman" w:eastAsia="Arial Unicode MS" w:hAnsi="Times New Roman" w:cs="Times New Roman"/>
        </w:rPr>
        <w:t>угодами</w:t>
      </w:r>
      <w:proofErr w:type="spellEnd"/>
      <w:r w:rsidRPr="00E16672">
        <w:rPr>
          <w:rFonts w:ascii="Times New Roman" w:eastAsia="Arial Unicode MS" w:hAnsi="Times New Roman" w:cs="Times New Roman"/>
        </w:rPr>
        <w:t xml:space="preserve">, </w:t>
      </w:r>
      <w:proofErr w:type="spellStart"/>
      <w:r w:rsidRPr="00E16672">
        <w:rPr>
          <w:rFonts w:ascii="Times New Roman" w:eastAsia="Arial Unicode MS" w:hAnsi="Times New Roman" w:cs="Times New Roman"/>
        </w:rPr>
        <w:t>які</w:t>
      </w:r>
      <w:proofErr w:type="spellEnd"/>
      <w:r w:rsidRPr="00E16672">
        <w:rPr>
          <w:rFonts w:ascii="Times New Roman" w:eastAsia="Arial Unicode MS" w:hAnsi="Times New Roman" w:cs="Times New Roman"/>
        </w:rPr>
        <w:t xml:space="preserve"> з моменту </w:t>
      </w:r>
      <w:proofErr w:type="spellStart"/>
      <w:r w:rsidRPr="00E16672">
        <w:rPr>
          <w:rFonts w:ascii="Times New Roman" w:eastAsia="Arial Unicode MS" w:hAnsi="Times New Roman" w:cs="Times New Roman"/>
        </w:rPr>
        <w:t>їх</w:t>
      </w:r>
      <w:proofErr w:type="spellEnd"/>
      <w:r w:rsidRPr="00E16672">
        <w:rPr>
          <w:rFonts w:ascii="Times New Roman" w:eastAsia="Arial Unicode MS" w:hAnsi="Times New Roman" w:cs="Times New Roman"/>
        </w:rPr>
        <w:t xml:space="preserve"> </w:t>
      </w:r>
      <w:proofErr w:type="spellStart"/>
      <w:r w:rsidRPr="00E16672">
        <w:rPr>
          <w:rFonts w:ascii="Times New Roman" w:eastAsia="Arial Unicode MS" w:hAnsi="Times New Roman" w:cs="Times New Roman"/>
        </w:rPr>
        <w:t>підписання</w:t>
      </w:r>
      <w:proofErr w:type="spellEnd"/>
      <w:r w:rsidRPr="00E16672">
        <w:rPr>
          <w:rFonts w:ascii="Times New Roman" w:eastAsia="Arial Unicode MS" w:hAnsi="Times New Roman" w:cs="Times New Roman"/>
        </w:rPr>
        <w:t xml:space="preserve"> </w:t>
      </w:r>
      <w:proofErr w:type="spellStart"/>
      <w:r w:rsidRPr="00E16672">
        <w:rPr>
          <w:rFonts w:ascii="Times New Roman" w:eastAsia="Arial Unicode MS" w:hAnsi="Times New Roman" w:cs="Times New Roman"/>
        </w:rPr>
        <w:t>стають</w:t>
      </w:r>
      <w:proofErr w:type="spellEnd"/>
      <w:r w:rsidRPr="00E16672">
        <w:rPr>
          <w:rFonts w:ascii="Times New Roman" w:eastAsia="Arial Unicode MS" w:hAnsi="Times New Roman" w:cs="Times New Roman"/>
        </w:rPr>
        <w:t xml:space="preserve"> </w:t>
      </w:r>
      <w:proofErr w:type="spellStart"/>
      <w:r w:rsidRPr="00E16672">
        <w:rPr>
          <w:rFonts w:ascii="Times New Roman" w:eastAsia="Arial Unicode MS" w:hAnsi="Times New Roman" w:cs="Times New Roman"/>
        </w:rPr>
        <w:t>невід’ємною</w:t>
      </w:r>
      <w:proofErr w:type="spellEnd"/>
      <w:r w:rsidRPr="00E16672">
        <w:rPr>
          <w:rFonts w:ascii="Times New Roman" w:eastAsia="Arial Unicode MS" w:hAnsi="Times New Roman" w:cs="Times New Roman"/>
        </w:rPr>
        <w:t xml:space="preserve"> </w:t>
      </w:r>
      <w:proofErr w:type="spellStart"/>
      <w:r w:rsidRPr="00E16672">
        <w:rPr>
          <w:rFonts w:ascii="Times New Roman" w:eastAsia="Arial Unicode MS" w:hAnsi="Times New Roman" w:cs="Times New Roman"/>
        </w:rPr>
        <w:t>частиною</w:t>
      </w:r>
      <w:proofErr w:type="spellEnd"/>
      <w:r w:rsidRPr="00E16672">
        <w:rPr>
          <w:rFonts w:ascii="Times New Roman" w:eastAsia="Arial Unicode MS" w:hAnsi="Times New Roman" w:cs="Times New Roman"/>
        </w:rPr>
        <w:t xml:space="preserve"> </w:t>
      </w:r>
      <w:proofErr w:type="spellStart"/>
      <w:r w:rsidRPr="00E16672">
        <w:rPr>
          <w:rFonts w:ascii="Times New Roman" w:eastAsia="Arial Unicode MS" w:hAnsi="Times New Roman" w:cs="Times New Roman"/>
        </w:rPr>
        <w:t>цього</w:t>
      </w:r>
      <w:proofErr w:type="spellEnd"/>
      <w:r w:rsidRPr="00E16672">
        <w:rPr>
          <w:rFonts w:ascii="Times New Roman" w:eastAsia="Arial Unicode MS" w:hAnsi="Times New Roman" w:cs="Times New Roman"/>
        </w:rPr>
        <w:t xml:space="preserve"> Договору.</w:t>
      </w:r>
    </w:p>
    <w:p w14:paraId="7994CAAB" w14:textId="77777777" w:rsidR="009A7EA8" w:rsidRPr="00E16672" w:rsidRDefault="009A7EA8" w:rsidP="009A7EA8">
      <w:pPr>
        <w:pStyle w:val="af1"/>
        <w:tabs>
          <w:tab w:val="clear" w:pos="959"/>
          <w:tab w:val="clear" w:pos="9590"/>
          <w:tab w:val="left" w:pos="567"/>
        </w:tabs>
        <w:ind w:right="-1"/>
        <w:rPr>
          <w:rFonts w:ascii="Times New Roman" w:eastAsia="Arial Unicode MS" w:hAnsi="Times New Roman" w:cs="Times New Roman"/>
        </w:rPr>
      </w:pPr>
      <w:r w:rsidRPr="00E16672">
        <w:rPr>
          <w:rFonts w:ascii="Times New Roman" w:eastAsia="Arial Unicode MS" w:hAnsi="Times New Roman" w:cs="Times New Roman"/>
        </w:rPr>
        <w:t xml:space="preserve">10.3. У </w:t>
      </w:r>
      <w:proofErr w:type="spellStart"/>
      <w:r w:rsidRPr="00E16672">
        <w:rPr>
          <w:rFonts w:ascii="Times New Roman" w:eastAsia="Arial Unicode MS" w:hAnsi="Times New Roman" w:cs="Times New Roman"/>
        </w:rPr>
        <w:t>випадку</w:t>
      </w:r>
      <w:proofErr w:type="spellEnd"/>
      <w:r w:rsidRPr="00E16672">
        <w:rPr>
          <w:rFonts w:ascii="Times New Roman" w:eastAsia="Arial Unicode MS" w:hAnsi="Times New Roman" w:cs="Times New Roman"/>
        </w:rPr>
        <w:t xml:space="preserve"> </w:t>
      </w:r>
      <w:proofErr w:type="spellStart"/>
      <w:r w:rsidRPr="00E16672">
        <w:rPr>
          <w:rFonts w:ascii="Times New Roman" w:eastAsia="Arial Unicode MS" w:hAnsi="Times New Roman" w:cs="Times New Roman"/>
        </w:rPr>
        <w:t>невиконання</w:t>
      </w:r>
      <w:proofErr w:type="spellEnd"/>
      <w:r w:rsidRPr="00E16672">
        <w:rPr>
          <w:rFonts w:ascii="Times New Roman" w:eastAsia="Arial Unicode MS" w:hAnsi="Times New Roman" w:cs="Times New Roman"/>
        </w:rPr>
        <w:t xml:space="preserve"> </w:t>
      </w:r>
      <w:proofErr w:type="spellStart"/>
      <w:r w:rsidRPr="00E16672">
        <w:rPr>
          <w:rFonts w:ascii="Times New Roman" w:eastAsia="Arial Unicode MS" w:hAnsi="Times New Roman" w:cs="Times New Roman"/>
        </w:rPr>
        <w:t>однією</w:t>
      </w:r>
      <w:proofErr w:type="spellEnd"/>
      <w:r w:rsidRPr="00E16672">
        <w:rPr>
          <w:rFonts w:ascii="Times New Roman" w:eastAsia="Arial Unicode MS" w:hAnsi="Times New Roman" w:cs="Times New Roman"/>
        </w:rPr>
        <w:t xml:space="preserve"> з </w:t>
      </w:r>
      <w:proofErr w:type="spellStart"/>
      <w:r w:rsidRPr="00E16672">
        <w:rPr>
          <w:rFonts w:ascii="Times New Roman" w:eastAsia="Arial Unicode MS" w:hAnsi="Times New Roman" w:cs="Times New Roman"/>
        </w:rPr>
        <w:t>Сторін</w:t>
      </w:r>
      <w:proofErr w:type="spellEnd"/>
      <w:r w:rsidRPr="00E16672">
        <w:rPr>
          <w:rFonts w:ascii="Times New Roman" w:eastAsia="Arial Unicode MS" w:hAnsi="Times New Roman" w:cs="Times New Roman"/>
        </w:rPr>
        <w:t xml:space="preserve"> умов </w:t>
      </w:r>
      <w:proofErr w:type="spellStart"/>
      <w:r w:rsidRPr="00E16672">
        <w:rPr>
          <w:rFonts w:ascii="Times New Roman" w:eastAsia="Arial Unicode MS" w:hAnsi="Times New Roman" w:cs="Times New Roman"/>
        </w:rPr>
        <w:t>цього</w:t>
      </w:r>
      <w:proofErr w:type="spellEnd"/>
      <w:r w:rsidRPr="00E16672">
        <w:rPr>
          <w:rFonts w:ascii="Times New Roman" w:eastAsia="Arial Unicode MS" w:hAnsi="Times New Roman" w:cs="Times New Roman"/>
        </w:rPr>
        <w:t xml:space="preserve"> Договору </w:t>
      </w:r>
      <w:proofErr w:type="spellStart"/>
      <w:r w:rsidRPr="00E16672">
        <w:rPr>
          <w:rFonts w:ascii="Times New Roman" w:eastAsia="Arial Unicode MS" w:hAnsi="Times New Roman" w:cs="Times New Roman"/>
        </w:rPr>
        <w:t>він</w:t>
      </w:r>
      <w:proofErr w:type="spellEnd"/>
      <w:r w:rsidRPr="00E16672">
        <w:rPr>
          <w:rFonts w:ascii="Times New Roman" w:eastAsia="Arial Unicode MS" w:hAnsi="Times New Roman" w:cs="Times New Roman"/>
        </w:rPr>
        <w:t xml:space="preserve"> </w:t>
      </w:r>
      <w:proofErr w:type="spellStart"/>
      <w:r w:rsidRPr="00E16672">
        <w:rPr>
          <w:rFonts w:ascii="Times New Roman" w:eastAsia="Arial Unicode MS" w:hAnsi="Times New Roman" w:cs="Times New Roman"/>
        </w:rPr>
        <w:t>розривається</w:t>
      </w:r>
      <w:proofErr w:type="spellEnd"/>
      <w:r w:rsidRPr="00E16672">
        <w:rPr>
          <w:rFonts w:ascii="Times New Roman" w:eastAsia="Arial Unicode MS" w:hAnsi="Times New Roman" w:cs="Times New Roman"/>
        </w:rPr>
        <w:t xml:space="preserve"> </w:t>
      </w:r>
      <w:proofErr w:type="spellStart"/>
      <w:r w:rsidRPr="00E16672">
        <w:rPr>
          <w:rFonts w:ascii="Times New Roman" w:eastAsia="Arial Unicode MS" w:hAnsi="Times New Roman" w:cs="Times New Roman"/>
        </w:rPr>
        <w:t>згідно</w:t>
      </w:r>
      <w:proofErr w:type="spellEnd"/>
      <w:r w:rsidRPr="00E16672">
        <w:rPr>
          <w:rFonts w:ascii="Times New Roman" w:eastAsia="Arial Unicode MS" w:hAnsi="Times New Roman" w:cs="Times New Roman"/>
        </w:rPr>
        <w:t xml:space="preserve"> з </w:t>
      </w:r>
      <w:proofErr w:type="spellStart"/>
      <w:r w:rsidRPr="00E16672">
        <w:rPr>
          <w:rFonts w:ascii="Times New Roman" w:eastAsia="Arial Unicode MS" w:hAnsi="Times New Roman" w:cs="Times New Roman"/>
        </w:rPr>
        <w:t>чинним</w:t>
      </w:r>
      <w:proofErr w:type="spellEnd"/>
      <w:r w:rsidRPr="00E16672">
        <w:rPr>
          <w:rFonts w:ascii="Times New Roman" w:eastAsia="Arial Unicode MS" w:hAnsi="Times New Roman" w:cs="Times New Roman"/>
        </w:rPr>
        <w:t xml:space="preserve"> </w:t>
      </w:r>
      <w:proofErr w:type="spellStart"/>
      <w:r w:rsidRPr="00E16672">
        <w:rPr>
          <w:rFonts w:ascii="Times New Roman" w:eastAsia="Arial Unicode MS" w:hAnsi="Times New Roman" w:cs="Times New Roman"/>
        </w:rPr>
        <w:t>законодавством</w:t>
      </w:r>
      <w:proofErr w:type="spellEnd"/>
      <w:r w:rsidRPr="00E16672">
        <w:rPr>
          <w:rFonts w:ascii="Times New Roman" w:eastAsia="Arial Unicode MS" w:hAnsi="Times New Roman" w:cs="Times New Roman"/>
        </w:rPr>
        <w:t xml:space="preserve"> </w:t>
      </w:r>
      <w:proofErr w:type="spellStart"/>
      <w:r w:rsidRPr="00E16672">
        <w:rPr>
          <w:rFonts w:ascii="Times New Roman" w:eastAsia="Arial Unicode MS" w:hAnsi="Times New Roman" w:cs="Times New Roman"/>
        </w:rPr>
        <w:t>України</w:t>
      </w:r>
      <w:proofErr w:type="spellEnd"/>
      <w:r w:rsidRPr="00E16672">
        <w:rPr>
          <w:rFonts w:ascii="Times New Roman" w:eastAsia="Arial Unicode MS" w:hAnsi="Times New Roman" w:cs="Times New Roman"/>
        </w:rPr>
        <w:t xml:space="preserve"> та </w:t>
      </w:r>
      <w:proofErr w:type="spellStart"/>
      <w:r w:rsidRPr="00E16672">
        <w:rPr>
          <w:rFonts w:ascii="Times New Roman" w:eastAsia="Arial Unicode MS" w:hAnsi="Times New Roman" w:cs="Times New Roman"/>
        </w:rPr>
        <w:t>умовами</w:t>
      </w:r>
      <w:proofErr w:type="spellEnd"/>
      <w:r w:rsidRPr="00E16672">
        <w:rPr>
          <w:rFonts w:ascii="Times New Roman" w:eastAsia="Arial Unicode MS" w:hAnsi="Times New Roman" w:cs="Times New Roman"/>
        </w:rPr>
        <w:t xml:space="preserve"> </w:t>
      </w:r>
      <w:proofErr w:type="spellStart"/>
      <w:r w:rsidRPr="00E16672">
        <w:rPr>
          <w:rFonts w:ascii="Times New Roman" w:eastAsia="Arial Unicode MS" w:hAnsi="Times New Roman" w:cs="Times New Roman"/>
        </w:rPr>
        <w:t>цього</w:t>
      </w:r>
      <w:proofErr w:type="spellEnd"/>
      <w:r w:rsidRPr="00E16672">
        <w:rPr>
          <w:rFonts w:ascii="Times New Roman" w:eastAsia="Arial Unicode MS" w:hAnsi="Times New Roman" w:cs="Times New Roman"/>
        </w:rPr>
        <w:t xml:space="preserve"> Договору.</w:t>
      </w:r>
    </w:p>
    <w:p w14:paraId="5C300D56" w14:textId="77777777" w:rsidR="005F45F0" w:rsidRPr="00E16672" w:rsidRDefault="005F45F0" w:rsidP="009A7EA8">
      <w:pPr>
        <w:pStyle w:val="af1"/>
        <w:tabs>
          <w:tab w:val="clear" w:pos="959"/>
          <w:tab w:val="clear" w:pos="9590"/>
          <w:tab w:val="left" w:pos="567"/>
        </w:tabs>
        <w:ind w:right="-1"/>
        <w:rPr>
          <w:rFonts w:ascii="Times New Roman" w:eastAsia="Arial Unicode MS" w:hAnsi="Times New Roman" w:cs="Times New Roman"/>
        </w:rPr>
      </w:pPr>
    </w:p>
    <w:p w14:paraId="3A7C88F7" w14:textId="77777777" w:rsidR="009A7EA8" w:rsidRPr="00E16672" w:rsidRDefault="009A7EA8" w:rsidP="009A7EA8">
      <w:pPr>
        <w:pStyle w:val="1"/>
        <w:widowControl w:val="0"/>
        <w:tabs>
          <w:tab w:val="left" w:pos="0"/>
          <w:tab w:val="left" w:pos="432"/>
        </w:tabs>
        <w:ind w:left="432" w:hanging="432"/>
        <w:rPr>
          <w:rFonts w:ascii="Times New Roman" w:eastAsia="Arial Unicode MS" w:hAnsi="Times New Roman" w:cs="Times New Roman"/>
          <w:sz w:val="20"/>
          <w:szCs w:val="20"/>
        </w:rPr>
      </w:pPr>
      <w:r w:rsidRPr="00E16672">
        <w:rPr>
          <w:rFonts w:ascii="Times New Roman" w:eastAsia="Arial Unicode MS" w:hAnsi="Times New Roman" w:cs="Times New Roman"/>
          <w:sz w:val="20"/>
          <w:szCs w:val="20"/>
        </w:rPr>
        <w:t>11. ТЕРМІН ДІЇ ДОГОВОРУ</w:t>
      </w:r>
    </w:p>
    <w:p w14:paraId="569F34B6" w14:textId="77777777" w:rsidR="009A7EA8" w:rsidRPr="00E16672" w:rsidRDefault="009A7EA8" w:rsidP="009A7EA8">
      <w:pPr>
        <w:ind w:firstLine="586"/>
        <w:rPr>
          <w:rFonts w:ascii="Times New Roman" w:eastAsia="Arial Unicode MS" w:hAnsi="Times New Roman"/>
          <w:szCs w:val="20"/>
        </w:rPr>
      </w:pPr>
      <w:r w:rsidRPr="00E16672">
        <w:rPr>
          <w:rFonts w:ascii="Times New Roman" w:eastAsia="Arial Unicode MS" w:hAnsi="Times New Roman"/>
          <w:szCs w:val="20"/>
        </w:rPr>
        <w:t xml:space="preserve">11.1. </w:t>
      </w:r>
      <w:proofErr w:type="spellStart"/>
      <w:r w:rsidRPr="00E16672">
        <w:rPr>
          <w:rFonts w:ascii="Times New Roman" w:eastAsia="Arial Unicode MS" w:hAnsi="Times New Roman"/>
          <w:szCs w:val="20"/>
        </w:rPr>
        <w:t>Цей</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Договір</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набуває</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чинності</w:t>
      </w:r>
      <w:proofErr w:type="spellEnd"/>
      <w:r w:rsidRPr="00E16672">
        <w:rPr>
          <w:rFonts w:ascii="Times New Roman" w:eastAsia="Arial Unicode MS" w:hAnsi="Times New Roman"/>
          <w:szCs w:val="20"/>
        </w:rPr>
        <w:t xml:space="preserve"> з моменту </w:t>
      </w:r>
      <w:proofErr w:type="spellStart"/>
      <w:r w:rsidRPr="00E16672">
        <w:rPr>
          <w:rFonts w:ascii="Times New Roman" w:eastAsia="Arial Unicode MS" w:hAnsi="Times New Roman"/>
          <w:szCs w:val="20"/>
        </w:rPr>
        <w:t>його</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підписання</w:t>
      </w:r>
      <w:proofErr w:type="spellEnd"/>
      <w:r w:rsidRPr="00E16672">
        <w:rPr>
          <w:rFonts w:ascii="Times New Roman" w:eastAsia="Arial Unicode MS" w:hAnsi="Times New Roman"/>
          <w:szCs w:val="20"/>
        </w:rPr>
        <w:t xml:space="preserve"> та </w:t>
      </w:r>
      <w:proofErr w:type="spellStart"/>
      <w:r w:rsidRPr="00E16672">
        <w:rPr>
          <w:rFonts w:ascii="Times New Roman" w:eastAsia="Arial Unicode MS" w:hAnsi="Times New Roman"/>
          <w:szCs w:val="20"/>
        </w:rPr>
        <w:t>діє</w:t>
      </w:r>
      <w:proofErr w:type="spellEnd"/>
      <w:r w:rsidRPr="00E16672">
        <w:rPr>
          <w:rFonts w:ascii="Times New Roman" w:eastAsia="Arial Unicode MS" w:hAnsi="Times New Roman"/>
          <w:szCs w:val="20"/>
        </w:rPr>
        <w:t xml:space="preserve"> до </w:t>
      </w:r>
      <w:proofErr w:type="spellStart"/>
      <w:r w:rsidRPr="00E16672">
        <w:rPr>
          <w:rFonts w:ascii="Times New Roman" w:eastAsia="Arial Unicode MS" w:hAnsi="Times New Roman"/>
          <w:szCs w:val="20"/>
        </w:rPr>
        <w:t>повного</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виконання</w:t>
      </w:r>
      <w:proofErr w:type="spellEnd"/>
      <w:r w:rsidRPr="00E16672">
        <w:rPr>
          <w:rFonts w:ascii="Times New Roman" w:eastAsia="Arial Unicode MS" w:hAnsi="Times New Roman"/>
          <w:szCs w:val="20"/>
        </w:rPr>
        <w:t xml:space="preserve"> Договору.  </w:t>
      </w:r>
    </w:p>
    <w:p w14:paraId="34B600CF" w14:textId="77777777" w:rsidR="009A7EA8" w:rsidRPr="00E16672" w:rsidRDefault="009A7EA8" w:rsidP="009A7EA8">
      <w:pPr>
        <w:ind w:firstLine="586"/>
        <w:rPr>
          <w:rFonts w:ascii="Times New Roman" w:eastAsia="Arial Unicode MS" w:hAnsi="Times New Roman"/>
          <w:szCs w:val="20"/>
        </w:rPr>
      </w:pPr>
      <w:r w:rsidRPr="00E16672">
        <w:rPr>
          <w:rFonts w:ascii="Times New Roman" w:eastAsia="Arial Unicode MS" w:hAnsi="Times New Roman"/>
          <w:szCs w:val="20"/>
        </w:rPr>
        <w:t xml:space="preserve">11.2. </w:t>
      </w:r>
      <w:proofErr w:type="spellStart"/>
      <w:r w:rsidRPr="00E16672">
        <w:rPr>
          <w:rFonts w:ascii="Times New Roman" w:eastAsia="Arial Unicode MS" w:hAnsi="Times New Roman"/>
          <w:szCs w:val="20"/>
        </w:rPr>
        <w:t>Дія</w:t>
      </w:r>
      <w:proofErr w:type="spellEnd"/>
      <w:r w:rsidRPr="00E16672">
        <w:rPr>
          <w:rFonts w:ascii="Times New Roman" w:eastAsia="Arial Unicode MS" w:hAnsi="Times New Roman"/>
          <w:szCs w:val="20"/>
        </w:rPr>
        <w:t xml:space="preserve"> Договору </w:t>
      </w:r>
      <w:proofErr w:type="spellStart"/>
      <w:r w:rsidRPr="00E16672">
        <w:rPr>
          <w:rFonts w:ascii="Times New Roman" w:eastAsia="Arial Unicode MS" w:hAnsi="Times New Roman"/>
          <w:szCs w:val="20"/>
        </w:rPr>
        <w:t>може</w:t>
      </w:r>
      <w:proofErr w:type="spellEnd"/>
      <w:r w:rsidRPr="00E16672">
        <w:rPr>
          <w:rFonts w:ascii="Times New Roman" w:eastAsia="Arial Unicode MS" w:hAnsi="Times New Roman"/>
          <w:szCs w:val="20"/>
        </w:rPr>
        <w:t xml:space="preserve"> бути </w:t>
      </w:r>
      <w:proofErr w:type="spellStart"/>
      <w:r w:rsidRPr="00E16672">
        <w:rPr>
          <w:rFonts w:ascii="Times New Roman" w:eastAsia="Arial Unicode MS" w:hAnsi="Times New Roman"/>
          <w:szCs w:val="20"/>
        </w:rPr>
        <w:t>припинена</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згідно</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із</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Розділом</w:t>
      </w:r>
      <w:proofErr w:type="spellEnd"/>
      <w:r w:rsidRPr="00E16672">
        <w:rPr>
          <w:rFonts w:ascii="Times New Roman" w:eastAsia="Arial Unicode MS" w:hAnsi="Times New Roman"/>
          <w:szCs w:val="20"/>
        </w:rPr>
        <w:t xml:space="preserve"> 10 </w:t>
      </w:r>
      <w:proofErr w:type="spellStart"/>
      <w:r w:rsidRPr="00E16672">
        <w:rPr>
          <w:rFonts w:ascii="Times New Roman" w:eastAsia="Arial Unicode MS" w:hAnsi="Times New Roman"/>
          <w:szCs w:val="20"/>
        </w:rPr>
        <w:t>цього</w:t>
      </w:r>
      <w:proofErr w:type="spellEnd"/>
      <w:r w:rsidRPr="00E16672">
        <w:rPr>
          <w:rFonts w:ascii="Times New Roman" w:eastAsia="Arial Unicode MS" w:hAnsi="Times New Roman"/>
          <w:szCs w:val="20"/>
        </w:rPr>
        <w:t xml:space="preserve"> Договору.</w:t>
      </w:r>
    </w:p>
    <w:p w14:paraId="4549E51C" w14:textId="77777777" w:rsidR="009A7EA8" w:rsidRPr="00E16672" w:rsidRDefault="009A7EA8" w:rsidP="009A7EA8">
      <w:pPr>
        <w:ind w:firstLine="586"/>
        <w:rPr>
          <w:rFonts w:ascii="Times New Roman" w:eastAsia="Arial Unicode MS" w:hAnsi="Times New Roman"/>
          <w:szCs w:val="20"/>
        </w:rPr>
      </w:pPr>
      <w:r w:rsidRPr="00E16672">
        <w:rPr>
          <w:rFonts w:ascii="Times New Roman" w:eastAsia="Arial Unicode MS" w:hAnsi="Times New Roman"/>
          <w:szCs w:val="20"/>
        </w:rPr>
        <w:t xml:space="preserve">11.3. У </w:t>
      </w:r>
      <w:proofErr w:type="spellStart"/>
      <w:r w:rsidRPr="00E16672">
        <w:rPr>
          <w:rFonts w:ascii="Times New Roman" w:eastAsia="Arial Unicode MS" w:hAnsi="Times New Roman"/>
          <w:szCs w:val="20"/>
        </w:rPr>
        <w:t>випадку</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розірвання</w:t>
      </w:r>
      <w:proofErr w:type="spellEnd"/>
      <w:r w:rsidRPr="00E16672">
        <w:rPr>
          <w:rFonts w:ascii="Times New Roman" w:eastAsia="Arial Unicode MS" w:hAnsi="Times New Roman"/>
          <w:szCs w:val="20"/>
        </w:rPr>
        <w:t xml:space="preserve"> Договору </w:t>
      </w:r>
      <w:proofErr w:type="spellStart"/>
      <w:r w:rsidRPr="00E16672">
        <w:rPr>
          <w:rFonts w:ascii="Times New Roman" w:eastAsia="Arial Unicode MS" w:hAnsi="Times New Roman"/>
          <w:szCs w:val="20"/>
        </w:rPr>
        <w:t>Сторони</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мають</w:t>
      </w:r>
      <w:proofErr w:type="spellEnd"/>
      <w:r w:rsidRPr="00E16672">
        <w:rPr>
          <w:rFonts w:ascii="Times New Roman" w:eastAsia="Arial Unicode MS" w:hAnsi="Times New Roman"/>
          <w:szCs w:val="20"/>
        </w:rPr>
        <w:t xml:space="preserve"> право на </w:t>
      </w:r>
      <w:proofErr w:type="spellStart"/>
      <w:r w:rsidRPr="00E16672">
        <w:rPr>
          <w:rFonts w:ascii="Times New Roman" w:eastAsia="Arial Unicode MS" w:hAnsi="Times New Roman"/>
          <w:szCs w:val="20"/>
        </w:rPr>
        <w:t>компенсацію</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всіх</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своїх</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витрат</w:t>
      </w:r>
      <w:proofErr w:type="spellEnd"/>
      <w:r w:rsidRPr="00E16672">
        <w:rPr>
          <w:rFonts w:ascii="Times New Roman" w:eastAsia="Arial Unicode MS" w:hAnsi="Times New Roman"/>
          <w:szCs w:val="20"/>
        </w:rPr>
        <w:t xml:space="preserve"> по </w:t>
      </w:r>
      <w:proofErr w:type="spellStart"/>
      <w:r w:rsidRPr="00E16672">
        <w:rPr>
          <w:rFonts w:ascii="Times New Roman" w:eastAsia="Arial Unicode MS" w:hAnsi="Times New Roman"/>
          <w:szCs w:val="20"/>
        </w:rPr>
        <w:t>виконанню</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цього</w:t>
      </w:r>
      <w:proofErr w:type="spellEnd"/>
      <w:r w:rsidRPr="00E16672">
        <w:rPr>
          <w:rFonts w:ascii="Times New Roman" w:eastAsia="Arial Unicode MS" w:hAnsi="Times New Roman"/>
          <w:szCs w:val="20"/>
        </w:rPr>
        <w:t xml:space="preserve"> Договору.</w:t>
      </w:r>
    </w:p>
    <w:p w14:paraId="3EE729D4" w14:textId="77777777" w:rsidR="009A7EA8" w:rsidRPr="00E16672" w:rsidRDefault="009A7EA8" w:rsidP="009A7EA8">
      <w:pPr>
        <w:pStyle w:val="1"/>
        <w:tabs>
          <w:tab w:val="left" w:pos="432"/>
        </w:tabs>
        <w:rPr>
          <w:rFonts w:ascii="Times New Roman" w:eastAsia="Arial Unicode MS" w:hAnsi="Times New Roman" w:cs="Times New Roman"/>
          <w:bCs w:val="0"/>
          <w:sz w:val="20"/>
          <w:szCs w:val="20"/>
        </w:rPr>
      </w:pPr>
      <w:r w:rsidRPr="00E16672">
        <w:rPr>
          <w:rFonts w:ascii="Times New Roman" w:eastAsia="Arial Unicode MS" w:hAnsi="Times New Roman" w:cs="Times New Roman"/>
          <w:bCs w:val="0"/>
          <w:sz w:val="20"/>
          <w:szCs w:val="20"/>
        </w:rPr>
        <w:t>12.ПОРЯДОК ЗМІНИ УМОВ ДОГОВОРУ</w:t>
      </w:r>
    </w:p>
    <w:p w14:paraId="453C8EDE" w14:textId="77777777" w:rsidR="009A7EA8" w:rsidRPr="00E16672" w:rsidRDefault="009A7EA8" w:rsidP="009A7EA8">
      <w:pPr>
        <w:pStyle w:val="af1"/>
        <w:tabs>
          <w:tab w:val="clear" w:pos="959"/>
          <w:tab w:val="clear" w:pos="1918"/>
          <w:tab w:val="clear" w:pos="2877"/>
          <w:tab w:val="clear" w:pos="9590"/>
          <w:tab w:val="left" w:pos="567"/>
        </w:tabs>
        <w:ind w:right="-1"/>
        <w:rPr>
          <w:rFonts w:ascii="Times New Roman" w:eastAsia="Arial Unicode MS" w:hAnsi="Times New Roman" w:cs="Times New Roman"/>
        </w:rPr>
      </w:pPr>
      <w:r w:rsidRPr="00E16672">
        <w:rPr>
          <w:rFonts w:ascii="Times New Roman" w:eastAsia="Arial Unicode MS" w:hAnsi="Times New Roman" w:cs="Times New Roman"/>
        </w:rPr>
        <w:t xml:space="preserve">12.1. </w:t>
      </w:r>
      <w:proofErr w:type="spellStart"/>
      <w:r w:rsidRPr="00E16672">
        <w:rPr>
          <w:rFonts w:ascii="Times New Roman" w:eastAsia="Arial Unicode MS" w:hAnsi="Times New Roman" w:cs="Times New Roman"/>
        </w:rPr>
        <w:t>Зміни</w:t>
      </w:r>
      <w:proofErr w:type="spellEnd"/>
      <w:r w:rsidRPr="00E16672">
        <w:rPr>
          <w:rFonts w:ascii="Times New Roman" w:eastAsia="Arial Unicode MS" w:hAnsi="Times New Roman" w:cs="Times New Roman"/>
        </w:rPr>
        <w:t xml:space="preserve"> в </w:t>
      </w:r>
      <w:proofErr w:type="spellStart"/>
      <w:r w:rsidRPr="00E16672">
        <w:rPr>
          <w:rFonts w:ascii="Times New Roman" w:eastAsia="Arial Unicode MS" w:hAnsi="Times New Roman" w:cs="Times New Roman"/>
        </w:rPr>
        <w:t>умови</w:t>
      </w:r>
      <w:proofErr w:type="spellEnd"/>
      <w:r w:rsidRPr="00E16672">
        <w:rPr>
          <w:rFonts w:ascii="Times New Roman" w:eastAsia="Arial Unicode MS" w:hAnsi="Times New Roman" w:cs="Times New Roman"/>
        </w:rPr>
        <w:t xml:space="preserve"> Договору </w:t>
      </w:r>
      <w:proofErr w:type="spellStart"/>
      <w:r w:rsidRPr="00E16672">
        <w:rPr>
          <w:rFonts w:ascii="Times New Roman" w:eastAsia="Arial Unicode MS" w:hAnsi="Times New Roman" w:cs="Times New Roman"/>
        </w:rPr>
        <w:t>вносяться</w:t>
      </w:r>
      <w:proofErr w:type="spellEnd"/>
      <w:r w:rsidRPr="00E16672">
        <w:rPr>
          <w:rFonts w:ascii="Times New Roman" w:eastAsia="Arial Unicode MS" w:hAnsi="Times New Roman" w:cs="Times New Roman"/>
        </w:rPr>
        <w:t xml:space="preserve"> за </w:t>
      </w:r>
      <w:proofErr w:type="spellStart"/>
      <w:r w:rsidRPr="00E16672">
        <w:rPr>
          <w:rFonts w:ascii="Times New Roman" w:eastAsia="Arial Unicode MS" w:hAnsi="Times New Roman" w:cs="Times New Roman"/>
        </w:rPr>
        <w:t>взаємною</w:t>
      </w:r>
      <w:proofErr w:type="spellEnd"/>
      <w:r w:rsidRPr="00E16672">
        <w:rPr>
          <w:rFonts w:ascii="Times New Roman" w:eastAsia="Arial Unicode MS" w:hAnsi="Times New Roman" w:cs="Times New Roman"/>
        </w:rPr>
        <w:t xml:space="preserve"> </w:t>
      </w:r>
      <w:proofErr w:type="spellStart"/>
      <w:r w:rsidRPr="00E16672">
        <w:rPr>
          <w:rFonts w:ascii="Times New Roman" w:eastAsia="Arial Unicode MS" w:hAnsi="Times New Roman" w:cs="Times New Roman"/>
        </w:rPr>
        <w:t>домовленістю</w:t>
      </w:r>
      <w:proofErr w:type="spellEnd"/>
      <w:r w:rsidRPr="00E16672">
        <w:rPr>
          <w:rFonts w:ascii="Times New Roman" w:eastAsia="Arial Unicode MS" w:hAnsi="Times New Roman" w:cs="Times New Roman"/>
        </w:rPr>
        <w:t xml:space="preserve"> </w:t>
      </w:r>
      <w:proofErr w:type="spellStart"/>
      <w:r w:rsidRPr="00E16672">
        <w:rPr>
          <w:rFonts w:ascii="Times New Roman" w:eastAsia="Arial Unicode MS" w:hAnsi="Times New Roman" w:cs="Times New Roman"/>
        </w:rPr>
        <w:t>Сторін</w:t>
      </w:r>
      <w:proofErr w:type="spellEnd"/>
      <w:r w:rsidRPr="00E16672">
        <w:rPr>
          <w:rFonts w:ascii="Times New Roman" w:eastAsia="Arial Unicode MS" w:hAnsi="Times New Roman" w:cs="Times New Roman"/>
        </w:rPr>
        <w:t xml:space="preserve">, яка оформлена у </w:t>
      </w:r>
      <w:proofErr w:type="spellStart"/>
      <w:r w:rsidRPr="00E16672">
        <w:rPr>
          <w:rFonts w:ascii="Times New Roman" w:eastAsia="Arial Unicode MS" w:hAnsi="Times New Roman" w:cs="Times New Roman"/>
        </w:rPr>
        <w:t>письмовій</w:t>
      </w:r>
      <w:proofErr w:type="spellEnd"/>
      <w:r w:rsidRPr="00E16672">
        <w:rPr>
          <w:rFonts w:ascii="Times New Roman" w:eastAsia="Arial Unicode MS" w:hAnsi="Times New Roman" w:cs="Times New Roman"/>
        </w:rPr>
        <w:t xml:space="preserve"> </w:t>
      </w:r>
      <w:proofErr w:type="spellStart"/>
      <w:r w:rsidRPr="00E16672">
        <w:rPr>
          <w:rFonts w:ascii="Times New Roman" w:eastAsia="Arial Unicode MS" w:hAnsi="Times New Roman" w:cs="Times New Roman"/>
        </w:rPr>
        <w:t>формі</w:t>
      </w:r>
      <w:proofErr w:type="spellEnd"/>
      <w:r w:rsidRPr="00E16672">
        <w:rPr>
          <w:rFonts w:ascii="Times New Roman" w:eastAsia="Arial Unicode MS" w:hAnsi="Times New Roman" w:cs="Times New Roman"/>
        </w:rPr>
        <w:t xml:space="preserve">, шляхом </w:t>
      </w:r>
      <w:proofErr w:type="spellStart"/>
      <w:r w:rsidRPr="00E16672">
        <w:rPr>
          <w:rFonts w:ascii="Times New Roman" w:eastAsia="Arial Unicode MS" w:hAnsi="Times New Roman" w:cs="Times New Roman"/>
        </w:rPr>
        <w:t>укладання</w:t>
      </w:r>
      <w:proofErr w:type="spellEnd"/>
      <w:r w:rsidRPr="00E16672">
        <w:rPr>
          <w:rFonts w:ascii="Times New Roman" w:eastAsia="Arial Unicode MS" w:hAnsi="Times New Roman" w:cs="Times New Roman"/>
        </w:rPr>
        <w:t xml:space="preserve"> </w:t>
      </w:r>
      <w:proofErr w:type="spellStart"/>
      <w:r w:rsidRPr="00E16672">
        <w:rPr>
          <w:rFonts w:ascii="Times New Roman" w:eastAsia="Arial Unicode MS" w:hAnsi="Times New Roman" w:cs="Times New Roman"/>
        </w:rPr>
        <w:t>додаткових</w:t>
      </w:r>
      <w:proofErr w:type="spellEnd"/>
      <w:r w:rsidRPr="00E16672">
        <w:rPr>
          <w:rFonts w:ascii="Times New Roman" w:eastAsia="Arial Unicode MS" w:hAnsi="Times New Roman" w:cs="Times New Roman"/>
        </w:rPr>
        <w:t xml:space="preserve"> </w:t>
      </w:r>
      <w:proofErr w:type="spellStart"/>
      <w:r w:rsidRPr="00E16672">
        <w:rPr>
          <w:rFonts w:ascii="Times New Roman" w:eastAsia="Arial Unicode MS" w:hAnsi="Times New Roman" w:cs="Times New Roman"/>
        </w:rPr>
        <w:t>угод</w:t>
      </w:r>
      <w:proofErr w:type="spellEnd"/>
      <w:r w:rsidRPr="00E16672">
        <w:rPr>
          <w:rFonts w:ascii="Times New Roman" w:eastAsia="Arial Unicode MS" w:hAnsi="Times New Roman" w:cs="Times New Roman"/>
        </w:rPr>
        <w:t xml:space="preserve">, </w:t>
      </w:r>
      <w:proofErr w:type="spellStart"/>
      <w:r w:rsidRPr="00E16672">
        <w:rPr>
          <w:rFonts w:ascii="Times New Roman" w:eastAsia="Arial Unicode MS" w:hAnsi="Times New Roman" w:cs="Times New Roman"/>
        </w:rPr>
        <w:t>які</w:t>
      </w:r>
      <w:proofErr w:type="spellEnd"/>
      <w:r w:rsidRPr="00E16672">
        <w:rPr>
          <w:rFonts w:ascii="Times New Roman" w:eastAsia="Arial Unicode MS" w:hAnsi="Times New Roman" w:cs="Times New Roman"/>
        </w:rPr>
        <w:t xml:space="preserve"> </w:t>
      </w:r>
      <w:proofErr w:type="spellStart"/>
      <w:r w:rsidRPr="00E16672">
        <w:rPr>
          <w:rFonts w:ascii="Times New Roman" w:eastAsia="Arial Unicode MS" w:hAnsi="Times New Roman" w:cs="Times New Roman"/>
        </w:rPr>
        <w:t>підписуються</w:t>
      </w:r>
      <w:proofErr w:type="spellEnd"/>
      <w:r w:rsidRPr="00E16672">
        <w:rPr>
          <w:rFonts w:ascii="Times New Roman" w:eastAsia="Arial Unicode MS" w:hAnsi="Times New Roman" w:cs="Times New Roman"/>
        </w:rPr>
        <w:t xml:space="preserve"> </w:t>
      </w:r>
      <w:proofErr w:type="spellStart"/>
      <w:r w:rsidRPr="00E16672">
        <w:rPr>
          <w:rFonts w:ascii="Times New Roman" w:eastAsia="Arial Unicode MS" w:hAnsi="Times New Roman" w:cs="Times New Roman"/>
        </w:rPr>
        <w:t>уповноваженими</w:t>
      </w:r>
      <w:proofErr w:type="spellEnd"/>
      <w:r w:rsidRPr="00E16672">
        <w:rPr>
          <w:rFonts w:ascii="Times New Roman" w:eastAsia="Arial Unicode MS" w:hAnsi="Times New Roman" w:cs="Times New Roman"/>
        </w:rPr>
        <w:t xml:space="preserve"> особами </w:t>
      </w:r>
      <w:proofErr w:type="spellStart"/>
      <w:r w:rsidRPr="00E16672">
        <w:rPr>
          <w:rFonts w:ascii="Times New Roman" w:eastAsia="Arial Unicode MS" w:hAnsi="Times New Roman" w:cs="Times New Roman"/>
        </w:rPr>
        <w:t>Сторін</w:t>
      </w:r>
      <w:proofErr w:type="spellEnd"/>
      <w:r w:rsidRPr="00E16672">
        <w:rPr>
          <w:rFonts w:ascii="Times New Roman" w:eastAsia="Arial Unicode MS" w:hAnsi="Times New Roman" w:cs="Times New Roman"/>
        </w:rPr>
        <w:t xml:space="preserve"> і </w:t>
      </w:r>
      <w:proofErr w:type="spellStart"/>
      <w:r w:rsidRPr="00E16672">
        <w:rPr>
          <w:rFonts w:ascii="Times New Roman" w:eastAsia="Arial Unicode MS" w:hAnsi="Times New Roman" w:cs="Times New Roman"/>
        </w:rPr>
        <w:t>скріплюються</w:t>
      </w:r>
      <w:proofErr w:type="spellEnd"/>
      <w:r w:rsidRPr="00E16672">
        <w:rPr>
          <w:rFonts w:ascii="Times New Roman" w:eastAsia="Arial Unicode MS" w:hAnsi="Times New Roman" w:cs="Times New Roman"/>
        </w:rPr>
        <w:t xml:space="preserve"> печатками </w:t>
      </w:r>
      <w:proofErr w:type="spellStart"/>
      <w:r w:rsidRPr="00E16672">
        <w:rPr>
          <w:rFonts w:ascii="Times New Roman" w:eastAsia="Arial Unicode MS" w:hAnsi="Times New Roman" w:cs="Times New Roman"/>
        </w:rPr>
        <w:t>Сторін</w:t>
      </w:r>
      <w:proofErr w:type="spellEnd"/>
      <w:r w:rsidRPr="00E16672">
        <w:rPr>
          <w:rFonts w:ascii="Times New Roman" w:eastAsia="Arial Unicode MS" w:hAnsi="Times New Roman" w:cs="Times New Roman"/>
        </w:rPr>
        <w:t xml:space="preserve">. </w:t>
      </w:r>
    </w:p>
    <w:p w14:paraId="3F41C738" w14:textId="77777777" w:rsidR="009A7EA8" w:rsidRPr="00E16672" w:rsidRDefault="009A7EA8" w:rsidP="009A7EA8">
      <w:pPr>
        <w:pStyle w:val="af1"/>
        <w:tabs>
          <w:tab w:val="clear" w:pos="959"/>
          <w:tab w:val="clear" w:pos="1918"/>
          <w:tab w:val="clear" w:pos="2877"/>
          <w:tab w:val="clear" w:pos="9590"/>
          <w:tab w:val="left" w:pos="567"/>
        </w:tabs>
        <w:ind w:right="-1"/>
        <w:rPr>
          <w:rFonts w:ascii="Times New Roman" w:eastAsia="Arial Unicode MS" w:hAnsi="Times New Roman" w:cs="Times New Roman"/>
        </w:rPr>
      </w:pPr>
      <w:r w:rsidRPr="00E16672">
        <w:rPr>
          <w:rFonts w:ascii="Times New Roman" w:eastAsia="Arial Unicode MS" w:hAnsi="Times New Roman" w:cs="Times New Roman"/>
        </w:rPr>
        <w:t xml:space="preserve">12.2. </w:t>
      </w:r>
      <w:proofErr w:type="spellStart"/>
      <w:r w:rsidRPr="00E16672">
        <w:rPr>
          <w:rFonts w:ascii="Times New Roman" w:eastAsia="Arial Unicode MS" w:hAnsi="Times New Roman" w:cs="Times New Roman"/>
        </w:rPr>
        <w:t>Додаткові</w:t>
      </w:r>
      <w:proofErr w:type="spellEnd"/>
      <w:r w:rsidRPr="00E16672">
        <w:rPr>
          <w:rFonts w:ascii="Times New Roman" w:eastAsia="Arial Unicode MS" w:hAnsi="Times New Roman" w:cs="Times New Roman"/>
        </w:rPr>
        <w:t xml:space="preserve"> угоди </w:t>
      </w:r>
      <w:proofErr w:type="spellStart"/>
      <w:r w:rsidRPr="00E16672">
        <w:rPr>
          <w:rFonts w:ascii="Times New Roman" w:eastAsia="Arial Unicode MS" w:hAnsi="Times New Roman" w:cs="Times New Roman"/>
        </w:rPr>
        <w:t>набирають</w:t>
      </w:r>
      <w:proofErr w:type="spellEnd"/>
      <w:r w:rsidRPr="00E16672">
        <w:rPr>
          <w:rFonts w:ascii="Times New Roman" w:eastAsia="Arial Unicode MS" w:hAnsi="Times New Roman" w:cs="Times New Roman"/>
        </w:rPr>
        <w:t xml:space="preserve"> </w:t>
      </w:r>
      <w:proofErr w:type="spellStart"/>
      <w:r w:rsidRPr="00E16672">
        <w:rPr>
          <w:rFonts w:ascii="Times New Roman" w:eastAsia="Arial Unicode MS" w:hAnsi="Times New Roman" w:cs="Times New Roman"/>
        </w:rPr>
        <w:t>чинності</w:t>
      </w:r>
      <w:proofErr w:type="spellEnd"/>
      <w:r w:rsidRPr="00E16672">
        <w:rPr>
          <w:rFonts w:ascii="Times New Roman" w:eastAsia="Arial Unicode MS" w:hAnsi="Times New Roman" w:cs="Times New Roman"/>
        </w:rPr>
        <w:t xml:space="preserve"> з моменту </w:t>
      </w:r>
      <w:proofErr w:type="spellStart"/>
      <w:r w:rsidRPr="00E16672">
        <w:rPr>
          <w:rFonts w:ascii="Times New Roman" w:eastAsia="Arial Unicode MS" w:hAnsi="Times New Roman" w:cs="Times New Roman"/>
        </w:rPr>
        <w:t>їх</w:t>
      </w:r>
      <w:proofErr w:type="spellEnd"/>
      <w:r w:rsidRPr="00E16672">
        <w:rPr>
          <w:rFonts w:ascii="Times New Roman" w:eastAsia="Arial Unicode MS" w:hAnsi="Times New Roman" w:cs="Times New Roman"/>
        </w:rPr>
        <w:t xml:space="preserve"> </w:t>
      </w:r>
      <w:proofErr w:type="spellStart"/>
      <w:r w:rsidRPr="00E16672">
        <w:rPr>
          <w:rFonts w:ascii="Times New Roman" w:eastAsia="Arial Unicode MS" w:hAnsi="Times New Roman" w:cs="Times New Roman"/>
        </w:rPr>
        <w:t>підписання</w:t>
      </w:r>
      <w:proofErr w:type="spellEnd"/>
      <w:r w:rsidRPr="00E16672">
        <w:rPr>
          <w:rFonts w:ascii="Times New Roman" w:eastAsia="Arial Unicode MS" w:hAnsi="Times New Roman" w:cs="Times New Roman"/>
        </w:rPr>
        <w:t xml:space="preserve"> та є </w:t>
      </w:r>
      <w:proofErr w:type="spellStart"/>
      <w:r w:rsidRPr="00E16672">
        <w:rPr>
          <w:rFonts w:ascii="Times New Roman" w:eastAsia="Arial Unicode MS" w:hAnsi="Times New Roman" w:cs="Times New Roman"/>
        </w:rPr>
        <w:t>невід’ємною</w:t>
      </w:r>
      <w:proofErr w:type="spellEnd"/>
      <w:r w:rsidRPr="00E16672">
        <w:rPr>
          <w:rFonts w:ascii="Times New Roman" w:eastAsia="Arial Unicode MS" w:hAnsi="Times New Roman" w:cs="Times New Roman"/>
        </w:rPr>
        <w:t xml:space="preserve"> </w:t>
      </w:r>
      <w:proofErr w:type="spellStart"/>
      <w:r w:rsidRPr="00E16672">
        <w:rPr>
          <w:rFonts w:ascii="Times New Roman" w:eastAsia="Arial Unicode MS" w:hAnsi="Times New Roman" w:cs="Times New Roman"/>
        </w:rPr>
        <w:t>частиною</w:t>
      </w:r>
      <w:proofErr w:type="spellEnd"/>
      <w:r w:rsidRPr="00E16672">
        <w:rPr>
          <w:rFonts w:ascii="Times New Roman" w:eastAsia="Arial Unicode MS" w:hAnsi="Times New Roman" w:cs="Times New Roman"/>
        </w:rPr>
        <w:t xml:space="preserve"> </w:t>
      </w:r>
      <w:proofErr w:type="spellStart"/>
      <w:r w:rsidRPr="00E16672">
        <w:rPr>
          <w:rFonts w:ascii="Times New Roman" w:eastAsia="Arial Unicode MS" w:hAnsi="Times New Roman" w:cs="Times New Roman"/>
        </w:rPr>
        <w:t>цього</w:t>
      </w:r>
      <w:proofErr w:type="spellEnd"/>
      <w:r w:rsidRPr="00E16672">
        <w:rPr>
          <w:rFonts w:ascii="Times New Roman" w:eastAsia="Arial Unicode MS" w:hAnsi="Times New Roman" w:cs="Times New Roman"/>
        </w:rPr>
        <w:t xml:space="preserve"> Договору.</w:t>
      </w:r>
    </w:p>
    <w:p w14:paraId="598490C0" w14:textId="77777777" w:rsidR="005C5318" w:rsidRPr="00E16672" w:rsidRDefault="005C5318" w:rsidP="009A7EA8">
      <w:pPr>
        <w:pStyle w:val="1"/>
        <w:widowControl w:val="0"/>
        <w:tabs>
          <w:tab w:val="left" w:pos="0"/>
          <w:tab w:val="left" w:pos="432"/>
        </w:tabs>
        <w:ind w:left="432" w:hanging="432"/>
        <w:rPr>
          <w:rFonts w:ascii="Times New Roman" w:eastAsia="Arial Unicode MS" w:hAnsi="Times New Roman" w:cs="Times New Roman"/>
          <w:bCs w:val="0"/>
          <w:sz w:val="20"/>
          <w:szCs w:val="20"/>
        </w:rPr>
      </w:pPr>
    </w:p>
    <w:p w14:paraId="4DB1F4AF" w14:textId="77777777" w:rsidR="009A7EA8" w:rsidRPr="00E16672" w:rsidRDefault="009A7EA8" w:rsidP="009A7EA8">
      <w:pPr>
        <w:pStyle w:val="1"/>
        <w:widowControl w:val="0"/>
        <w:tabs>
          <w:tab w:val="left" w:pos="0"/>
          <w:tab w:val="left" w:pos="432"/>
        </w:tabs>
        <w:ind w:left="432" w:hanging="432"/>
        <w:rPr>
          <w:rFonts w:ascii="Times New Roman" w:eastAsia="Arial Unicode MS" w:hAnsi="Times New Roman" w:cs="Times New Roman"/>
          <w:bCs w:val="0"/>
          <w:sz w:val="20"/>
          <w:szCs w:val="20"/>
        </w:rPr>
      </w:pPr>
      <w:r w:rsidRPr="00E16672">
        <w:rPr>
          <w:rFonts w:ascii="Times New Roman" w:eastAsia="Arial Unicode MS" w:hAnsi="Times New Roman" w:cs="Times New Roman"/>
          <w:bCs w:val="0"/>
          <w:sz w:val="20"/>
          <w:szCs w:val="20"/>
        </w:rPr>
        <w:t>13. ІНШІ УМОВИ</w:t>
      </w:r>
    </w:p>
    <w:p w14:paraId="3F04BCBC" w14:textId="77777777" w:rsidR="009A7EA8" w:rsidRPr="00E16672" w:rsidRDefault="009A7EA8" w:rsidP="009A7EA8">
      <w:pPr>
        <w:ind w:firstLine="586"/>
        <w:rPr>
          <w:rFonts w:ascii="Times New Roman" w:eastAsia="Arial Unicode MS" w:hAnsi="Times New Roman"/>
          <w:szCs w:val="20"/>
        </w:rPr>
      </w:pPr>
      <w:r w:rsidRPr="00E16672">
        <w:rPr>
          <w:rFonts w:ascii="Times New Roman" w:eastAsia="Arial Unicode MS" w:hAnsi="Times New Roman"/>
          <w:szCs w:val="20"/>
        </w:rPr>
        <w:t xml:space="preserve">13.1. </w:t>
      </w:r>
      <w:proofErr w:type="spellStart"/>
      <w:r w:rsidRPr="00E16672">
        <w:rPr>
          <w:rFonts w:ascii="Times New Roman" w:eastAsia="Arial Unicode MS" w:hAnsi="Times New Roman"/>
          <w:szCs w:val="20"/>
        </w:rPr>
        <w:t>Депозитарна</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установа</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має</w:t>
      </w:r>
      <w:proofErr w:type="spellEnd"/>
      <w:r w:rsidRPr="00E16672">
        <w:rPr>
          <w:rFonts w:ascii="Times New Roman" w:eastAsia="Arial Unicode MS" w:hAnsi="Times New Roman"/>
          <w:szCs w:val="20"/>
        </w:rPr>
        <w:t xml:space="preserve"> статус </w:t>
      </w:r>
      <w:proofErr w:type="spellStart"/>
      <w:r w:rsidRPr="00E16672">
        <w:rPr>
          <w:rFonts w:ascii="Times New Roman" w:eastAsia="Arial Unicode MS" w:hAnsi="Times New Roman"/>
          <w:szCs w:val="20"/>
        </w:rPr>
        <w:t>платника</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податку</w:t>
      </w:r>
      <w:proofErr w:type="spellEnd"/>
      <w:r w:rsidRPr="00E16672">
        <w:rPr>
          <w:rFonts w:ascii="Times New Roman" w:eastAsia="Arial Unicode MS" w:hAnsi="Times New Roman"/>
          <w:szCs w:val="20"/>
        </w:rPr>
        <w:t xml:space="preserve"> на </w:t>
      </w:r>
      <w:proofErr w:type="spellStart"/>
      <w:r w:rsidRPr="00E16672">
        <w:rPr>
          <w:rFonts w:ascii="Times New Roman" w:eastAsia="Arial Unicode MS" w:hAnsi="Times New Roman"/>
          <w:szCs w:val="20"/>
        </w:rPr>
        <w:t>прибуток</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підприємства</w:t>
      </w:r>
      <w:proofErr w:type="spellEnd"/>
      <w:r w:rsidRPr="00E16672">
        <w:rPr>
          <w:rFonts w:ascii="Times New Roman" w:eastAsia="Arial Unicode MS" w:hAnsi="Times New Roman"/>
          <w:szCs w:val="20"/>
        </w:rPr>
        <w:t xml:space="preserve"> на </w:t>
      </w:r>
      <w:proofErr w:type="spellStart"/>
      <w:r w:rsidRPr="00E16672">
        <w:rPr>
          <w:rFonts w:ascii="Times New Roman" w:eastAsia="Arial Unicode MS" w:hAnsi="Times New Roman"/>
          <w:szCs w:val="20"/>
        </w:rPr>
        <w:t>загальних</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умовах</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передбачених</w:t>
      </w:r>
      <w:proofErr w:type="spellEnd"/>
      <w:r w:rsidRPr="00E16672">
        <w:rPr>
          <w:rFonts w:ascii="Times New Roman" w:eastAsia="Arial Unicode MS" w:hAnsi="Times New Roman"/>
          <w:szCs w:val="20"/>
        </w:rPr>
        <w:t xml:space="preserve"> ст. 196 </w:t>
      </w:r>
      <w:proofErr w:type="spellStart"/>
      <w:r w:rsidRPr="00E16672">
        <w:rPr>
          <w:rFonts w:ascii="Times New Roman" w:eastAsia="Arial Unicode MS" w:hAnsi="Times New Roman"/>
          <w:szCs w:val="20"/>
        </w:rPr>
        <w:t>Податкового</w:t>
      </w:r>
      <w:proofErr w:type="spellEnd"/>
      <w:r w:rsidRPr="00E16672">
        <w:rPr>
          <w:rFonts w:ascii="Times New Roman" w:eastAsia="Arial Unicode MS" w:hAnsi="Times New Roman"/>
          <w:szCs w:val="20"/>
        </w:rPr>
        <w:t xml:space="preserve"> Кодексу </w:t>
      </w:r>
      <w:proofErr w:type="spellStart"/>
      <w:r w:rsidRPr="00E16672">
        <w:rPr>
          <w:rFonts w:ascii="Times New Roman" w:eastAsia="Arial Unicode MS" w:hAnsi="Times New Roman"/>
          <w:szCs w:val="20"/>
        </w:rPr>
        <w:t>України</w:t>
      </w:r>
      <w:proofErr w:type="spellEnd"/>
      <w:r w:rsidRPr="00E16672">
        <w:rPr>
          <w:rFonts w:ascii="Times New Roman" w:eastAsia="Arial Unicode MS" w:hAnsi="Times New Roman"/>
          <w:szCs w:val="20"/>
        </w:rPr>
        <w:t xml:space="preserve">. </w:t>
      </w:r>
    </w:p>
    <w:p w14:paraId="33C94600" w14:textId="77777777" w:rsidR="009A7EA8" w:rsidRPr="00E16672" w:rsidRDefault="009A7EA8" w:rsidP="009A7EA8">
      <w:pPr>
        <w:ind w:firstLine="586"/>
        <w:rPr>
          <w:rFonts w:ascii="Times New Roman" w:eastAsia="Arial Unicode MS" w:hAnsi="Times New Roman"/>
          <w:szCs w:val="20"/>
        </w:rPr>
      </w:pPr>
      <w:r w:rsidRPr="00E16672">
        <w:rPr>
          <w:rFonts w:ascii="Times New Roman" w:eastAsia="Arial Unicode MS" w:hAnsi="Times New Roman"/>
          <w:szCs w:val="20"/>
        </w:rPr>
        <w:t xml:space="preserve">13.2. </w:t>
      </w:r>
      <w:proofErr w:type="spellStart"/>
      <w:r w:rsidRPr="00E16672">
        <w:rPr>
          <w:rFonts w:ascii="Times New Roman" w:eastAsia="Arial Unicode MS" w:hAnsi="Times New Roman"/>
          <w:szCs w:val="20"/>
        </w:rPr>
        <w:t>Підписанням</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цього</w:t>
      </w:r>
      <w:proofErr w:type="spellEnd"/>
      <w:r w:rsidRPr="00E16672">
        <w:rPr>
          <w:rFonts w:ascii="Times New Roman" w:eastAsia="Arial Unicode MS" w:hAnsi="Times New Roman"/>
          <w:szCs w:val="20"/>
        </w:rPr>
        <w:t xml:space="preserve"> Договору </w:t>
      </w:r>
      <w:proofErr w:type="spellStart"/>
      <w:r w:rsidRPr="00E16672">
        <w:rPr>
          <w:rFonts w:ascii="Times New Roman" w:eastAsia="Arial Unicode MS" w:hAnsi="Times New Roman"/>
          <w:szCs w:val="20"/>
        </w:rPr>
        <w:t>Емітент</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засвідчує</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що</w:t>
      </w:r>
      <w:proofErr w:type="spellEnd"/>
      <w:r w:rsidRPr="00E16672">
        <w:rPr>
          <w:rFonts w:ascii="Times New Roman" w:eastAsia="Arial Unicode MS" w:hAnsi="Times New Roman"/>
          <w:szCs w:val="20"/>
        </w:rPr>
        <w:t xml:space="preserve"> </w:t>
      </w:r>
      <w:proofErr w:type="gramStart"/>
      <w:r w:rsidRPr="00E16672">
        <w:rPr>
          <w:rFonts w:ascii="Times New Roman" w:eastAsia="Arial Unicode MS" w:hAnsi="Times New Roman"/>
          <w:szCs w:val="20"/>
        </w:rPr>
        <w:t>до моменту</w:t>
      </w:r>
      <w:proofErr w:type="gram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підписання</w:t>
      </w:r>
      <w:proofErr w:type="spellEnd"/>
      <w:r w:rsidRPr="00E16672">
        <w:rPr>
          <w:rFonts w:ascii="Times New Roman" w:eastAsia="Arial Unicode MS" w:hAnsi="Times New Roman"/>
          <w:szCs w:val="20"/>
        </w:rPr>
        <w:t xml:space="preserve"> Договору </w:t>
      </w:r>
      <w:proofErr w:type="spellStart"/>
      <w:r w:rsidRPr="00E16672">
        <w:rPr>
          <w:rFonts w:ascii="Times New Roman" w:eastAsia="Arial Unicode MS" w:hAnsi="Times New Roman"/>
          <w:szCs w:val="20"/>
        </w:rPr>
        <w:t>він</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був</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ознайомлений</w:t>
      </w:r>
      <w:proofErr w:type="spellEnd"/>
      <w:r w:rsidRPr="00E16672">
        <w:rPr>
          <w:rFonts w:ascii="Times New Roman" w:eastAsia="Arial Unicode MS" w:hAnsi="Times New Roman"/>
          <w:szCs w:val="20"/>
        </w:rPr>
        <w:t xml:space="preserve"> з </w:t>
      </w:r>
      <w:proofErr w:type="spellStart"/>
      <w:r w:rsidRPr="00E16672">
        <w:rPr>
          <w:rFonts w:ascii="Times New Roman" w:eastAsia="Arial Unicode MS" w:hAnsi="Times New Roman"/>
          <w:szCs w:val="20"/>
        </w:rPr>
        <w:t>внутрішніми</w:t>
      </w:r>
      <w:proofErr w:type="spellEnd"/>
      <w:r w:rsidRPr="00E16672">
        <w:rPr>
          <w:rFonts w:ascii="Times New Roman" w:eastAsia="Arial Unicode MS" w:hAnsi="Times New Roman"/>
          <w:szCs w:val="20"/>
        </w:rPr>
        <w:t xml:space="preserve"> документами </w:t>
      </w:r>
      <w:proofErr w:type="spellStart"/>
      <w:r w:rsidRPr="00E16672">
        <w:rPr>
          <w:rFonts w:ascii="Times New Roman" w:eastAsia="Arial Unicode MS" w:hAnsi="Times New Roman"/>
          <w:szCs w:val="20"/>
        </w:rPr>
        <w:t>Депозитарної</w:t>
      </w:r>
      <w:proofErr w:type="spellEnd"/>
      <w:r w:rsidRPr="00E16672">
        <w:rPr>
          <w:rFonts w:ascii="Times New Roman" w:eastAsia="Arial Unicode MS" w:hAnsi="Times New Roman"/>
          <w:szCs w:val="20"/>
        </w:rPr>
        <w:t xml:space="preserve"> установи, </w:t>
      </w:r>
      <w:proofErr w:type="spellStart"/>
      <w:r w:rsidRPr="00E16672">
        <w:rPr>
          <w:rFonts w:ascii="Times New Roman" w:eastAsia="Arial Unicode MS" w:hAnsi="Times New Roman"/>
          <w:szCs w:val="20"/>
        </w:rPr>
        <w:t>які</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врегульовують</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взаємини</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Емітента</w:t>
      </w:r>
      <w:proofErr w:type="spellEnd"/>
      <w:r w:rsidRPr="00E16672">
        <w:rPr>
          <w:rFonts w:ascii="Times New Roman" w:eastAsia="Arial Unicode MS" w:hAnsi="Times New Roman"/>
          <w:szCs w:val="20"/>
        </w:rPr>
        <w:t xml:space="preserve"> та </w:t>
      </w:r>
      <w:proofErr w:type="spellStart"/>
      <w:r w:rsidRPr="00E16672">
        <w:rPr>
          <w:rFonts w:ascii="Times New Roman" w:eastAsia="Arial Unicode MS" w:hAnsi="Times New Roman"/>
          <w:szCs w:val="20"/>
        </w:rPr>
        <w:t>Депозитарної</w:t>
      </w:r>
      <w:proofErr w:type="spellEnd"/>
      <w:r w:rsidRPr="00E16672">
        <w:rPr>
          <w:rFonts w:ascii="Times New Roman" w:eastAsia="Arial Unicode MS" w:hAnsi="Times New Roman"/>
          <w:szCs w:val="20"/>
        </w:rPr>
        <w:t xml:space="preserve"> установи. </w:t>
      </w:r>
    </w:p>
    <w:p w14:paraId="4B8F2F56" w14:textId="77777777" w:rsidR="009A7EA8" w:rsidRPr="00E16672" w:rsidRDefault="009A7EA8" w:rsidP="00022F5F">
      <w:pPr>
        <w:ind w:firstLine="586"/>
        <w:jc w:val="left"/>
        <w:rPr>
          <w:rFonts w:ascii="Times New Roman" w:eastAsia="Arial Unicode MS" w:hAnsi="Times New Roman"/>
          <w:szCs w:val="20"/>
        </w:rPr>
      </w:pPr>
      <w:r w:rsidRPr="00E16672">
        <w:rPr>
          <w:rFonts w:ascii="Times New Roman" w:eastAsia="Arial Unicode MS" w:hAnsi="Times New Roman"/>
          <w:szCs w:val="20"/>
        </w:rPr>
        <w:t xml:space="preserve">13.3. </w:t>
      </w:r>
      <w:proofErr w:type="spellStart"/>
      <w:r w:rsidRPr="00E16672">
        <w:rPr>
          <w:rFonts w:ascii="Times New Roman" w:eastAsia="Arial Unicode MS" w:hAnsi="Times New Roman"/>
          <w:szCs w:val="20"/>
        </w:rPr>
        <w:t>Підписанням</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цього</w:t>
      </w:r>
      <w:proofErr w:type="spellEnd"/>
      <w:r w:rsidRPr="00E16672">
        <w:rPr>
          <w:rFonts w:ascii="Times New Roman" w:eastAsia="Arial Unicode MS" w:hAnsi="Times New Roman"/>
          <w:szCs w:val="20"/>
        </w:rPr>
        <w:t xml:space="preserve"> Договору </w:t>
      </w:r>
      <w:proofErr w:type="spellStart"/>
      <w:r w:rsidRPr="00E16672">
        <w:rPr>
          <w:rFonts w:ascii="Times New Roman" w:eastAsia="Arial Unicode MS" w:hAnsi="Times New Roman"/>
          <w:szCs w:val="20"/>
        </w:rPr>
        <w:t>Сторони</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підтверджують</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що</w:t>
      </w:r>
      <w:proofErr w:type="spellEnd"/>
      <w:r w:rsidRPr="00E16672">
        <w:rPr>
          <w:rFonts w:ascii="Times New Roman" w:eastAsia="Arial Unicode MS" w:hAnsi="Times New Roman"/>
          <w:szCs w:val="20"/>
        </w:rPr>
        <w:t xml:space="preserve"> </w:t>
      </w:r>
      <w:proofErr w:type="gramStart"/>
      <w:r w:rsidRPr="00E16672">
        <w:rPr>
          <w:rFonts w:ascii="Times New Roman" w:eastAsia="Arial Unicode MS" w:hAnsi="Times New Roman"/>
          <w:szCs w:val="20"/>
        </w:rPr>
        <w:t>до моменту</w:t>
      </w:r>
      <w:proofErr w:type="gram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підписання</w:t>
      </w:r>
      <w:proofErr w:type="spellEnd"/>
      <w:r w:rsidRPr="00E16672">
        <w:rPr>
          <w:rFonts w:ascii="Times New Roman" w:eastAsia="Arial Unicode MS" w:hAnsi="Times New Roman"/>
          <w:szCs w:val="20"/>
        </w:rPr>
        <w:t xml:space="preserve"> Договору </w:t>
      </w:r>
      <w:proofErr w:type="spellStart"/>
      <w:r w:rsidRPr="00E16672">
        <w:rPr>
          <w:rFonts w:ascii="Times New Roman" w:eastAsia="Arial Unicode MS" w:hAnsi="Times New Roman"/>
          <w:szCs w:val="20"/>
        </w:rPr>
        <w:t>Емітенту</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була</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надана</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вичерпна</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інформація</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необхідна</w:t>
      </w:r>
      <w:proofErr w:type="spellEnd"/>
      <w:r w:rsidRPr="00E16672">
        <w:rPr>
          <w:rFonts w:ascii="Times New Roman" w:eastAsia="Arial Unicode MS" w:hAnsi="Times New Roman"/>
          <w:szCs w:val="20"/>
        </w:rPr>
        <w:t xml:space="preserve"> для </w:t>
      </w:r>
      <w:proofErr w:type="spellStart"/>
      <w:r w:rsidRPr="00E16672">
        <w:rPr>
          <w:rFonts w:ascii="Times New Roman" w:eastAsia="Arial Unicode MS" w:hAnsi="Times New Roman"/>
          <w:szCs w:val="20"/>
        </w:rPr>
        <w:t>укладення</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даного</w:t>
      </w:r>
      <w:proofErr w:type="spellEnd"/>
      <w:r w:rsidRPr="00E16672">
        <w:rPr>
          <w:rFonts w:ascii="Times New Roman" w:eastAsia="Arial Unicode MS" w:hAnsi="Times New Roman"/>
          <w:szCs w:val="20"/>
        </w:rPr>
        <w:t xml:space="preserve"> Договору, </w:t>
      </w:r>
      <w:proofErr w:type="spellStart"/>
      <w:r w:rsidRPr="00E16672">
        <w:rPr>
          <w:rFonts w:ascii="Times New Roman" w:eastAsia="Arial Unicode MS" w:hAnsi="Times New Roman"/>
          <w:szCs w:val="20"/>
        </w:rPr>
        <w:t>щодо</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фінансової</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послуги</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що</w:t>
      </w:r>
      <w:proofErr w:type="spellEnd"/>
      <w:r w:rsidRPr="00E16672">
        <w:rPr>
          <w:rFonts w:ascii="Times New Roman" w:eastAsia="Arial Unicode MS" w:hAnsi="Times New Roman"/>
          <w:szCs w:val="20"/>
        </w:rPr>
        <w:t xml:space="preserve"> є предметом </w:t>
      </w:r>
      <w:proofErr w:type="spellStart"/>
      <w:r w:rsidRPr="00E16672">
        <w:rPr>
          <w:rFonts w:ascii="Times New Roman" w:eastAsia="Arial Unicode MS" w:hAnsi="Times New Roman"/>
          <w:szCs w:val="20"/>
        </w:rPr>
        <w:t>цього</w:t>
      </w:r>
      <w:proofErr w:type="spellEnd"/>
      <w:r w:rsidRPr="00E16672">
        <w:rPr>
          <w:rFonts w:ascii="Times New Roman" w:eastAsia="Arial Unicode MS" w:hAnsi="Times New Roman"/>
          <w:szCs w:val="20"/>
        </w:rPr>
        <w:t xml:space="preserve"> Договору, </w:t>
      </w:r>
      <w:proofErr w:type="spellStart"/>
      <w:r w:rsidRPr="00E16672">
        <w:rPr>
          <w:rFonts w:ascii="Times New Roman" w:eastAsia="Arial Unicode MS" w:hAnsi="Times New Roman"/>
          <w:szCs w:val="20"/>
        </w:rPr>
        <w:t>зазначена</w:t>
      </w:r>
      <w:proofErr w:type="spellEnd"/>
      <w:r w:rsidRPr="00E16672">
        <w:rPr>
          <w:rFonts w:ascii="Times New Roman" w:eastAsia="Arial Unicode MS" w:hAnsi="Times New Roman"/>
          <w:szCs w:val="20"/>
        </w:rPr>
        <w:t xml:space="preserve"> в </w:t>
      </w:r>
      <w:proofErr w:type="spellStart"/>
      <w:r w:rsidRPr="00E16672">
        <w:rPr>
          <w:rFonts w:ascii="Times New Roman" w:eastAsia="Arial Unicode MS" w:hAnsi="Times New Roman"/>
          <w:szCs w:val="20"/>
        </w:rPr>
        <w:t>частині</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другій</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статті</w:t>
      </w:r>
      <w:proofErr w:type="spellEnd"/>
      <w:r w:rsidRPr="00E16672">
        <w:rPr>
          <w:rFonts w:ascii="Times New Roman" w:eastAsia="Arial Unicode MS" w:hAnsi="Times New Roman"/>
          <w:szCs w:val="20"/>
        </w:rPr>
        <w:t xml:space="preserve"> 12 Закону </w:t>
      </w:r>
      <w:proofErr w:type="spellStart"/>
      <w:r w:rsidRPr="00E16672">
        <w:rPr>
          <w:rFonts w:ascii="Times New Roman" w:eastAsia="Arial Unicode MS" w:hAnsi="Times New Roman"/>
          <w:szCs w:val="20"/>
        </w:rPr>
        <w:t>України</w:t>
      </w:r>
      <w:proofErr w:type="spellEnd"/>
      <w:r w:rsidRPr="00E16672">
        <w:rPr>
          <w:rFonts w:ascii="Times New Roman" w:eastAsia="Arial Unicode MS" w:hAnsi="Times New Roman"/>
          <w:szCs w:val="20"/>
        </w:rPr>
        <w:t xml:space="preserve"> </w:t>
      </w:r>
      <w:r w:rsidR="00022F5F">
        <w:rPr>
          <w:rFonts w:ascii="Times New Roman" w:eastAsia="Arial Unicode MS" w:hAnsi="Times New Roman"/>
          <w:szCs w:val="20"/>
        </w:rPr>
        <w:t>"</w:t>
      </w:r>
      <w:r w:rsidRPr="00E16672">
        <w:rPr>
          <w:rFonts w:ascii="Times New Roman" w:eastAsia="Arial Unicode MS" w:hAnsi="Times New Roman"/>
          <w:szCs w:val="20"/>
        </w:rPr>
        <w:t xml:space="preserve">Про </w:t>
      </w:r>
      <w:proofErr w:type="spellStart"/>
      <w:r w:rsidRPr="00E16672">
        <w:rPr>
          <w:rFonts w:ascii="Times New Roman" w:eastAsia="Arial Unicode MS" w:hAnsi="Times New Roman"/>
          <w:szCs w:val="20"/>
        </w:rPr>
        <w:t>фінансові</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послуги</w:t>
      </w:r>
      <w:proofErr w:type="spellEnd"/>
      <w:r w:rsidRPr="00E16672">
        <w:rPr>
          <w:rFonts w:ascii="Times New Roman" w:eastAsia="Arial Unicode MS" w:hAnsi="Times New Roman"/>
          <w:szCs w:val="20"/>
        </w:rPr>
        <w:t xml:space="preserve"> та </w:t>
      </w:r>
      <w:proofErr w:type="spellStart"/>
      <w:r w:rsidRPr="00E16672">
        <w:rPr>
          <w:rFonts w:ascii="Times New Roman" w:eastAsia="Arial Unicode MS" w:hAnsi="Times New Roman"/>
          <w:szCs w:val="20"/>
        </w:rPr>
        <w:t>державне</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регулювання</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ринків</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фінансових</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послуг</w:t>
      </w:r>
      <w:proofErr w:type="spellEnd"/>
      <w:r w:rsidR="00022F5F">
        <w:rPr>
          <w:rFonts w:ascii="Times New Roman" w:eastAsia="Arial Unicode MS" w:hAnsi="Times New Roman"/>
          <w:szCs w:val="20"/>
        </w:rPr>
        <w:t>"</w:t>
      </w:r>
      <w:r w:rsidRPr="00E16672">
        <w:rPr>
          <w:rFonts w:ascii="Times New Roman" w:eastAsia="Arial Unicode MS" w:hAnsi="Times New Roman"/>
          <w:szCs w:val="20"/>
        </w:rPr>
        <w:t>.</w:t>
      </w:r>
    </w:p>
    <w:p w14:paraId="4F17DF11" w14:textId="77777777" w:rsidR="009A7EA8" w:rsidRPr="00E16672" w:rsidRDefault="009A7EA8" w:rsidP="009A7EA8">
      <w:pPr>
        <w:ind w:firstLine="586"/>
        <w:rPr>
          <w:rFonts w:ascii="Times New Roman" w:eastAsia="Arial Unicode MS" w:hAnsi="Times New Roman"/>
          <w:szCs w:val="20"/>
        </w:rPr>
      </w:pPr>
      <w:proofErr w:type="spellStart"/>
      <w:r w:rsidRPr="00E16672">
        <w:rPr>
          <w:rFonts w:ascii="Times New Roman" w:eastAsia="Arial Unicode MS" w:hAnsi="Times New Roman"/>
          <w:szCs w:val="20"/>
        </w:rPr>
        <w:t>Інформація</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що</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була</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надана</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Емітенту</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забезпечила</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правильне</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розуміння</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Емітентом</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суті</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фінансової</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послуги</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що</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має</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надаватись</w:t>
      </w:r>
      <w:proofErr w:type="spellEnd"/>
      <w:r w:rsidRPr="00E16672">
        <w:rPr>
          <w:rFonts w:ascii="Times New Roman" w:eastAsia="Arial Unicode MS" w:hAnsi="Times New Roman"/>
          <w:szCs w:val="20"/>
        </w:rPr>
        <w:t xml:space="preserve">, без </w:t>
      </w:r>
      <w:proofErr w:type="spellStart"/>
      <w:r w:rsidRPr="00E16672">
        <w:rPr>
          <w:rFonts w:ascii="Times New Roman" w:eastAsia="Arial Unicode MS" w:hAnsi="Times New Roman"/>
          <w:szCs w:val="20"/>
        </w:rPr>
        <w:t>нав'язування</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її</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придбання</w:t>
      </w:r>
      <w:proofErr w:type="spellEnd"/>
      <w:r w:rsidRPr="00E16672">
        <w:rPr>
          <w:rFonts w:ascii="Times New Roman" w:eastAsia="Arial Unicode MS" w:hAnsi="Times New Roman"/>
          <w:szCs w:val="20"/>
        </w:rPr>
        <w:t>.</w:t>
      </w:r>
    </w:p>
    <w:p w14:paraId="61D56D6F" w14:textId="77777777" w:rsidR="009A7EA8" w:rsidRPr="00E16672" w:rsidRDefault="009A7EA8" w:rsidP="00022F5F">
      <w:pPr>
        <w:ind w:firstLine="586"/>
        <w:jc w:val="left"/>
        <w:rPr>
          <w:rFonts w:ascii="Times New Roman" w:eastAsia="Arial Unicode MS" w:hAnsi="Times New Roman"/>
          <w:szCs w:val="20"/>
        </w:rPr>
      </w:pPr>
      <w:r w:rsidRPr="00E16672">
        <w:rPr>
          <w:rFonts w:ascii="Times New Roman" w:eastAsia="Arial Unicode MS" w:hAnsi="Times New Roman"/>
          <w:szCs w:val="20"/>
        </w:rPr>
        <w:t xml:space="preserve">13.4. На </w:t>
      </w:r>
      <w:proofErr w:type="spellStart"/>
      <w:r w:rsidRPr="00E16672">
        <w:rPr>
          <w:rFonts w:ascii="Times New Roman" w:eastAsia="Arial Unicode MS" w:hAnsi="Times New Roman"/>
          <w:szCs w:val="20"/>
        </w:rPr>
        <w:t>виконання</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вимог</w:t>
      </w:r>
      <w:proofErr w:type="spellEnd"/>
      <w:r w:rsidRPr="00E16672">
        <w:rPr>
          <w:rFonts w:ascii="Times New Roman" w:eastAsia="Arial Unicode MS" w:hAnsi="Times New Roman"/>
          <w:szCs w:val="20"/>
        </w:rPr>
        <w:t xml:space="preserve"> Закону </w:t>
      </w:r>
      <w:proofErr w:type="spellStart"/>
      <w:r w:rsidRPr="00E16672">
        <w:rPr>
          <w:rFonts w:ascii="Times New Roman" w:eastAsia="Arial Unicode MS" w:hAnsi="Times New Roman"/>
          <w:szCs w:val="20"/>
        </w:rPr>
        <w:t>України</w:t>
      </w:r>
      <w:proofErr w:type="spellEnd"/>
      <w:r w:rsidRPr="00E16672">
        <w:rPr>
          <w:rFonts w:ascii="Times New Roman" w:eastAsia="Arial Unicode MS" w:hAnsi="Times New Roman"/>
          <w:szCs w:val="20"/>
        </w:rPr>
        <w:t xml:space="preserve"> </w:t>
      </w:r>
      <w:r w:rsidR="00022F5F">
        <w:rPr>
          <w:rFonts w:ascii="Times New Roman" w:eastAsia="Arial Unicode MS" w:hAnsi="Times New Roman"/>
          <w:szCs w:val="20"/>
        </w:rPr>
        <w:t>"</w:t>
      </w:r>
      <w:r w:rsidRPr="00E16672">
        <w:rPr>
          <w:rFonts w:ascii="Times New Roman" w:eastAsia="Arial Unicode MS" w:hAnsi="Times New Roman"/>
          <w:szCs w:val="20"/>
        </w:rPr>
        <w:t xml:space="preserve">Про </w:t>
      </w:r>
      <w:proofErr w:type="spellStart"/>
      <w:r w:rsidRPr="00E16672">
        <w:rPr>
          <w:rFonts w:ascii="Times New Roman" w:eastAsia="Arial Unicode MS" w:hAnsi="Times New Roman"/>
          <w:szCs w:val="20"/>
        </w:rPr>
        <w:t>захист</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персональних</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даних</w:t>
      </w:r>
      <w:proofErr w:type="spellEnd"/>
      <w:r w:rsidR="00022F5F">
        <w:rPr>
          <w:rFonts w:ascii="Times New Roman" w:eastAsia="Arial Unicode MS" w:hAnsi="Times New Roman"/>
          <w:szCs w:val="20"/>
        </w:rPr>
        <w:t>"</w:t>
      </w:r>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від</w:t>
      </w:r>
      <w:proofErr w:type="spellEnd"/>
      <w:r w:rsidRPr="00E16672">
        <w:rPr>
          <w:rFonts w:ascii="Times New Roman" w:eastAsia="Arial Unicode MS" w:hAnsi="Times New Roman"/>
          <w:szCs w:val="20"/>
        </w:rPr>
        <w:t xml:space="preserve"> 01.06.2010р. N 2297-VI у </w:t>
      </w:r>
      <w:proofErr w:type="spellStart"/>
      <w:r w:rsidRPr="00E16672">
        <w:rPr>
          <w:rFonts w:ascii="Times New Roman" w:eastAsia="Arial Unicode MS" w:hAnsi="Times New Roman"/>
          <w:szCs w:val="20"/>
        </w:rPr>
        <w:t>разі</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отримання</w:t>
      </w:r>
      <w:proofErr w:type="spellEnd"/>
      <w:r w:rsidRPr="00E16672">
        <w:rPr>
          <w:rFonts w:ascii="Times New Roman" w:eastAsia="Arial Unicode MS" w:hAnsi="Times New Roman"/>
          <w:szCs w:val="20"/>
        </w:rPr>
        <w:t xml:space="preserve"> Депозитарною </w:t>
      </w:r>
      <w:proofErr w:type="spellStart"/>
      <w:r w:rsidRPr="00E16672">
        <w:rPr>
          <w:rFonts w:ascii="Times New Roman" w:eastAsia="Arial Unicode MS" w:hAnsi="Times New Roman"/>
          <w:szCs w:val="20"/>
        </w:rPr>
        <w:t>установою</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інформації</w:t>
      </w:r>
      <w:proofErr w:type="spellEnd"/>
      <w:r w:rsidRPr="00E16672">
        <w:rPr>
          <w:rFonts w:ascii="Times New Roman" w:eastAsia="Arial Unicode MS" w:hAnsi="Times New Roman"/>
          <w:szCs w:val="20"/>
        </w:rPr>
        <w:t xml:space="preserve">, яка </w:t>
      </w:r>
      <w:proofErr w:type="spellStart"/>
      <w:r w:rsidRPr="00E16672">
        <w:rPr>
          <w:rFonts w:ascii="Times New Roman" w:eastAsia="Arial Unicode MS" w:hAnsi="Times New Roman"/>
          <w:szCs w:val="20"/>
        </w:rPr>
        <w:t>стосується</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персональних</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даних</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фізичних</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осіб</w:t>
      </w:r>
      <w:proofErr w:type="spellEnd"/>
      <w:r w:rsidRPr="00E16672">
        <w:rPr>
          <w:rFonts w:ascii="Times New Roman" w:eastAsia="Arial Unicode MS" w:hAnsi="Times New Roman"/>
          <w:szCs w:val="20"/>
        </w:rPr>
        <w:t xml:space="preserve">, Сторона, </w:t>
      </w:r>
      <w:proofErr w:type="spellStart"/>
      <w:r w:rsidRPr="00E16672">
        <w:rPr>
          <w:rFonts w:ascii="Times New Roman" w:eastAsia="Arial Unicode MS" w:hAnsi="Times New Roman"/>
          <w:szCs w:val="20"/>
        </w:rPr>
        <w:t>що</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надала</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такі</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дані</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підписанням</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цього</w:t>
      </w:r>
      <w:proofErr w:type="spellEnd"/>
      <w:r w:rsidRPr="00E16672">
        <w:rPr>
          <w:rFonts w:ascii="Times New Roman" w:eastAsia="Arial Unicode MS" w:hAnsi="Times New Roman"/>
          <w:szCs w:val="20"/>
        </w:rPr>
        <w:t xml:space="preserve"> Договору </w:t>
      </w:r>
      <w:proofErr w:type="spellStart"/>
      <w:r w:rsidRPr="00E16672">
        <w:rPr>
          <w:rFonts w:ascii="Times New Roman" w:eastAsia="Arial Unicode MS" w:hAnsi="Times New Roman"/>
          <w:szCs w:val="20"/>
        </w:rPr>
        <w:t>підтверджує</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легітимність</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їх</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отримання</w:t>
      </w:r>
      <w:proofErr w:type="spellEnd"/>
      <w:r w:rsidRPr="00E16672">
        <w:rPr>
          <w:rFonts w:ascii="Times New Roman" w:eastAsia="Arial Unicode MS" w:hAnsi="Times New Roman"/>
          <w:szCs w:val="20"/>
        </w:rPr>
        <w:t xml:space="preserve">, та право на </w:t>
      </w:r>
      <w:proofErr w:type="spellStart"/>
      <w:r w:rsidRPr="00E16672">
        <w:rPr>
          <w:rFonts w:ascii="Times New Roman" w:eastAsia="Arial Unicode MS" w:hAnsi="Times New Roman"/>
          <w:szCs w:val="20"/>
        </w:rPr>
        <w:t>передання</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Депозитарній</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установі</w:t>
      </w:r>
      <w:proofErr w:type="spellEnd"/>
      <w:r w:rsidRPr="00E16672">
        <w:rPr>
          <w:rFonts w:ascii="Times New Roman" w:eastAsia="Arial Unicode MS" w:hAnsi="Times New Roman"/>
          <w:szCs w:val="20"/>
        </w:rPr>
        <w:t xml:space="preserve"> таких </w:t>
      </w:r>
      <w:proofErr w:type="spellStart"/>
      <w:r w:rsidRPr="00E16672">
        <w:rPr>
          <w:rFonts w:ascii="Times New Roman" w:eastAsia="Arial Unicode MS" w:hAnsi="Times New Roman"/>
          <w:szCs w:val="20"/>
        </w:rPr>
        <w:t>даних</w:t>
      </w:r>
      <w:proofErr w:type="spellEnd"/>
      <w:r w:rsidRPr="00E16672">
        <w:rPr>
          <w:rFonts w:ascii="Times New Roman" w:eastAsia="Arial Unicode MS" w:hAnsi="Times New Roman"/>
          <w:szCs w:val="20"/>
        </w:rPr>
        <w:t xml:space="preserve"> для </w:t>
      </w:r>
      <w:proofErr w:type="spellStart"/>
      <w:r w:rsidRPr="00E16672">
        <w:rPr>
          <w:rFonts w:ascii="Times New Roman" w:eastAsia="Arial Unicode MS" w:hAnsi="Times New Roman"/>
          <w:szCs w:val="20"/>
        </w:rPr>
        <w:t>використання</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обробки</w:t>
      </w:r>
      <w:proofErr w:type="spellEnd"/>
      <w:r w:rsidRPr="00E16672">
        <w:rPr>
          <w:rFonts w:ascii="Times New Roman" w:eastAsia="Arial Unicode MS" w:hAnsi="Times New Roman"/>
          <w:szCs w:val="20"/>
        </w:rPr>
        <w:t xml:space="preserve">) Депозитарною </w:t>
      </w:r>
      <w:proofErr w:type="spellStart"/>
      <w:r w:rsidRPr="00E16672">
        <w:rPr>
          <w:rFonts w:ascii="Times New Roman" w:eastAsia="Arial Unicode MS" w:hAnsi="Times New Roman"/>
          <w:szCs w:val="20"/>
        </w:rPr>
        <w:t>установою</w:t>
      </w:r>
      <w:proofErr w:type="spellEnd"/>
      <w:r w:rsidRPr="00E16672">
        <w:rPr>
          <w:rFonts w:ascii="Times New Roman" w:eastAsia="Arial Unicode MS" w:hAnsi="Times New Roman"/>
          <w:szCs w:val="20"/>
        </w:rPr>
        <w:t xml:space="preserve"> у </w:t>
      </w:r>
      <w:proofErr w:type="spellStart"/>
      <w:r w:rsidRPr="00E16672">
        <w:rPr>
          <w:rFonts w:ascii="Times New Roman" w:eastAsia="Arial Unicode MS" w:hAnsi="Times New Roman"/>
          <w:szCs w:val="20"/>
        </w:rPr>
        <w:t>випадках</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передбачених</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законодавством</w:t>
      </w:r>
      <w:proofErr w:type="spellEnd"/>
      <w:r w:rsidRPr="00E16672">
        <w:rPr>
          <w:rFonts w:ascii="Times New Roman" w:eastAsia="Arial Unicode MS" w:hAnsi="Times New Roman"/>
          <w:szCs w:val="20"/>
        </w:rPr>
        <w:t xml:space="preserve">, а </w:t>
      </w:r>
      <w:proofErr w:type="spellStart"/>
      <w:r w:rsidRPr="00E16672">
        <w:rPr>
          <w:rFonts w:ascii="Times New Roman" w:eastAsia="Arial Unicode MS" w:hAnsi="Times New Roman"/>
          <w:szCs w:val="20"/>
        </w:rPr>
        <w:t>також</w:t>
      </w:r>
      <w:proofErr w:type="spellEnd"/>
      <w:r w:rsidRPr="00E16672">
        <w:rPr>
          <w:rFonts w:ascii="Times New Roman" w:eastAsia="Arial Unicode MS" w:hAnsi="Times New Roman"/>
          <w:szCs w:val="20"/>
        </w:rPr>
        <w:t xml:space="preserve"> – </w:t>
      </w:r>
      <w:proofErr w:type="spellStart"/>
      <w:r w:rsidRPr="00E16672">
        <w:rPr>
          <w:rFonts w:ascii="Times New Roman" w:eastAsia="Arial Unicode MS" w:hAnsi="Times New Roman"/>
          <w:szCs w:val="20"/>
        </w:rPr>
        <w:t>передання</w:t>
      </w:r>
      <w:proofErr w:type="spellEnd"/>
      <w:r w:rsidRPr="00E16672">
        <w:rPr>
          <w:rFonts w:ascii="Times New Roman" w:eastAsia="Arial Unicode MS" w:hAnsi="Times New Roman"/>
          <w:szCs w:val="20"/>
        </w:rPr>
        <w:t xml:space="preserve"> Депозитарною </w:t>
      </w:r>
      <w:proofErr w:type="spellStart"/>
      <w:r w:rsidRPr="00E16672">
        <w:rPr>
          <w:rFonts w:ascii="Times New Roman" w:eastAsia="Arial Unicode MS" w:hAnsi="Times New Roman"/>
          <w:szCs w:val="20"/>
        </w:rPr>
        <w:t>установою</w:t>
      </w:r>
      <w:proofErr w:type="spellEnd"/>
      <w:r w:rsidRPr="00E16672">
        <w:rPr>
          <w:rFonts w:ascii="Times New Roman" w:eastAsia="Arial Unicode MS" w:hAnsi="Times New Roman"/>
          <w:szCs w:val="20"/>
        </w:rPr>
        <w:t xml:space="preserve"> таких </w:t>
      </w:r>
      <w:proofErr w:type="spellStart"/>
      <w:r w:rsidRPr="00E16672">
        <w:rPr>
          <w:rFonts w:ascii="Times New Roman" w:eastAsia="Arial Unicode MS" w:hAnsi="Times New Roman"/>
          <w:szCs w:val="20"/>
        </w:rPr>
        <w:t>даних</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третім</w:t>
      </w:r>
      <w:proofErr w:type="spellEnd"/>
      <w:r w:rsidRPr="00E16672">
        <w:rPr>
          <w:rFonts w:ascii="Times New Roman" w:eastAsia="Arial Unicode MS" w:hAnsi="Times New Roman"/>
          <w:szCs w:val="20"/>
        </w:rPr>
        <w:t xml:space="preserve"> особам у </w:t>
      </w:r>
      <w:proofErr w:type="spellStart"/>
      <w:r w:rsidRPr="00E16672">
        <w:rPr>
          <w:rFonts w:ascii="Times New Roman" w:eastAsia="Arial Unicode MS" w:hAnsi="Times New Roman"/>
          <w:szCs w:val="20"/>
        </w:rPr>
        <w:t>випадках</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встановлених</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чинним</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законодавством</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України</w:t>
      </w:r>
      <w:proofErr w:type="spellEnd"/>
      <w:r w:rsidRPr="00E16672">
        <w:rPr>
          <w:rFonts w:ascii="Times New Roman" w:eastAsia="Arial Unicode MS" w:hAnsi="Times New Roman"/>
          <w:szCs w:val="20"/>
        </w:rPr>
        <w:t xml:space="preserve">. </w:t>
      </w:r>
    </w:p>
    <w:p w14:paraId="53D4287E" w14:textId="77777777" w:rsidR="009A7EA8" w:rsidRPr="00E16672" w:rsidRDefault="009A7EA8" w:rsidP="009A7EA8">
      <w:pPr>
        <w:ind w:firstLine="586"/>
        <w:rPr>
          <w:rFonts w:ascii="Times New Roman" w:eastAsia="Arial Unicode MS" w:hAnsi="Times New Roman"/>
          <w:szCs w:val="20"/>
        </w:rPr>
      </w:pPr>
      <w:r w:rsidRPr="00E16672">
        <w:rPr>
          <w:rFonts w:ascii="Times New Roman" w:eastAsia="Arial Unicode MS" w:hAnsi="Times New Roman"/>
          <w:szCs w:val="20"/>
        </w:rPr>
        <w:t xml:space="preserve">13.5. Одностороння </w:t>
      </w:r>
      <w:proofErr w:type="spellStart"/>
      <w:r w:rsidRPr="00E16672">
        <w:rPr>
          <w:rFonts w:ascii="Times New Roman" w:eastAsia="Arial Unicode MS" w:hAnsi="Times New Roman"/>
          <w:szCs w:val="20"/>
        </w:rPr>
        <w:t>відмова</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Сторін</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від</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виконання</w:t>
      </w:r>
      <w:proofErr w:type="spellEnd"/>
      <w:r w:rsidRPr="00E16672">
        <w:rPr>
          <w:rFonts w:ascii="Times New Roman" w:eastAsia="Arial Unicode MS" w:hAnsi="Times New Roman"/>
          <w:szCs w:val="20"/>
        </w:rPr>
        <w:t xml:space="preserve"> Договору не </w:t>
      </w:r>
      <w:proofErr w:type="spellStart"/>
      <w:r w:rsidRPr="00E16672">
        <w:rPr>
          <w:rFonts w:ascii="Times New Roman" w:eastAsia="Arial Unicode MS" w:hAnsi="Times New Roman"/>
          <w:szCs w:val="20"/>
        </w:rPr>
        <w:t>допускається</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крім</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випадків</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передбачених</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чинним</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законодавством</w:t>
      </w:r>
      <w:proofErr w:type="spellEnd"/>
      <w:r w:rsidRPr="00E16672">
        <w:rPr>
          <w:rFonts w:ascii="Times New Roman" w:eastAsia="Arial Unicode MS" w:hAnsi="Times New Roman"/>
          <w:szCs w:val="20"/>
        </w:rPr>
        <w:t>.</w:t>
      </w:r>
    </w:p>
    <w:p w14:paraId="0D225C91" w14:textId="77777777" w:rsidR="009A7EA8" w:rsidRPr="00E16672" w:rsidRDefault="009A7EA8" w:rsidP="009A7EA8">
      <w:pPr>
        <w:ind w:firstLine="586"/>
        <w:rPr>
          <w:rFonts w:ascii="Times New Roman" w:eastAsia="Arial Unicode MS" w:hAnsi="Times New Roman"/>
          <w:szCs w:val="20"/>
        </w:rPr>
      </w:pPr>
      <w:r w:rsidRPr="00E16672">
        <w:rPr>
          <w:rFonts w:ascii="Times New Roman" w:eastAsia="Arial Unicode MS" w:hAnsi="Times New Roman"/>
          <w:szCs w:val="20"/>
        </w:rPr>
        <w:t xml:space="preserve">13.6. </w:t>
      </w:r>
      <w:proofErr w:type="spellStart"/>
      <w:r w:rsidRPr="00E16672">
        <w:rPr>
          <w:rFonts w:ascii="Times New Roman" w:eastAsia="Arial Unicode MS" w:hAnsi="Times New Roman"/>
          <w:szCs w:val="20"/>
        </w:rPr>
        <w:t>Інші</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питання</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які</w:t>
      </w:r>
      <w:proofErr w:type="spellEnd"/>
      <w:r w:rsidRPr="00E16672">
        <w:rPr>
          <w:rFonts w:ascii="Times New Roman" w:eastAsia="Arial Unicode MS" w:hAnsi="Times New Roman"/>
          <w:szCs w:val="20"/>
        </w:rPr>
        <w:t xml:space="preserve"> не </w:t>
      </w:r>
      <w:proofErr w:type="spellStart"/>
      <w:r w:rsidRPr="00E16672">
        <w:rPr>
          <w:rFonts w:ascii="Times New Roman" w:eastAsia="Arial Unicode MS" w:hAnsi="Times New Roman"/>
          <w:szCs w:val="20"/>
        </w:rPr>
        <w:t>регулюються</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положеннями</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цього</w:t>
      </w:r>
      <w:proofErr w:type="spellEnd"/>
      <w:r w:rsidRPr="00E16672">
        <w:rPr>
          <w:rFonts w:ascii="Times New Roman" w:eastAsia="Arial Unicode MS" w:hAnsi="Times New Roman"/>
          <w:szCs w:val="20"/>
        </w:rPr>
        <w:t xml:space="preserve"> Договору, </w:t>
      </w:r>
      <w:proofErr w:type="spellStart"/>
      <w:r w:rsidRPr="00E16672">
        <w:rPr>
          <w:rFonts w:ascii="Times New Roman" w:eastAsia="Arial Unicode MS" w:hAnsi="Times New Roman"/>
          <w:szCs w:val="20"/>
        </w:rPr>
        <w:t>регулюються</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чинним</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законодавством</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України</w:t>
      </w:r>
      <w:proofErr w:type="spellEnd"/>
      <w:r w:rsidRPr="00E16672">
        <w:rPr>
          <w:rFonts w:ascii="Times New Roman" w:eastAsia="Arial Unicode MS" w:hAnsi="Times New Roman"/>
          <w:szCs w:val="20"/>
        </w:rPr>
        <w:t>.</w:t>
      </w:r>
    </w:p>
    <w:p w14:paraId="7A45E4A3" w14:textId="77777777" w:rsidR="009A7EA8" w:rsidRPr="00E16672" w:rsidRDefault="009A7EA8" w:rsidP="009A7EA8">
      <w:pPr>
        <w:pStyle w:val="22"/>
        <w:tabs>
          <w:tab w:val="left" w:pos="0"/>
          <w:tab w:val="left" w:pos="1276"/>
        </w:tabs>
        <w:ind w:firstLine="709"/>
        <w:rPr>
          <w:rFonts w:ascii="Times New Roman" w:hAnsi="Times New Roman"/>
          <w:shd w:val="clear" w:color="auto" w:fill="FFFFFF"/>
        </w:rPr>
      </w:pPr>
    </w:p>
    <w:p w14:paraId="666149BB" w14:textId="77777777" w:rsidR="009A7EA8" w:rsidRPr="00E16672" w:rsidRDefault="009A7EA8" w:rsidP="009A7EA8">
      <w:pPr>
        <w:pStyle w:val="33"/>
        <w:tabs>
          <w:tab w:val="left" w:pos="851"/>
        </w:tabs>
        <w:jc w:val="center"/>
        <w:rPr>
          <w:rFonts w:ascii="Times New Roman" w:hAnsi="Times New Roman" w:cs="Times New Roman"/>
          <w:b/>
          <w:bCs/>
        </w:rPr>
      </w:pPr>
      <w:r w:rsidRPr="00E16672">
        <w:rPr>
          <w:rFonts w:ascii="Times New Roman" w:hAnsi="Times New Roman" w:cs="Times New Roman"/>
          <w:b/>
          <w:bCs/>
        </w:rPr>
        <w:t xml:space="preserve">14. ПРО ВИЗНАННЯ </w:t>
      </w:r>
      <w:r w:rsidR="00AE695D" w:rsidRPr="00E16672">
        <w:rPr>
          <w:rFonts w:ascii="Times New Roman" w:hAnsi="Times New Roman" w:cs="Times New Roman"/>
          <w:b/>
          <w:bCs/>
        </w:rPr>
        <w:t>КВАЛІФІКОВАНОГО ЕЛЕКТРОННОГО ПІДПИСУ</w:t>
      </w:r>
    </w:p>
    <w:p w14:paraId="3D568957" w14:textId="77777777" w:rsidR="009A7EA8" w:rsidRPr="00E16672" w:rsidRDefault="009A7EA8" w:rsidP="009A7EA8">
      <w:pPr>
        <w:pStyle w:val="33"/>
        <w:tabs>
          <w:tab w:val="left" w:pos="851"/>
        </w:tabs>
        <w:rPr>
          <w:rFonts w:ascii="Times New Roman" w:hAnsi="Times New Roman" w:cs="Times New Roman"/>
        </w:rPr>
      </w:pPr>
      <w:r w:rsidRPr="00E16672">
        <w:rPr>
          <w:rFonts w:ascii="Times New Roman" w:hAnsi="Times New Roman" w:cs="Times New Roman"/>
        </w:rPr>
        <w:t xml:space="preserve">14.1. В </w:t>
      </w:r>
      <w:proofErr w:type="spellStart"/>
      <w:r w:rsidRPr="00E16672">
        <w:rPr>
          <w:rFonts w:ascii="Times New Roman" w:hAnsi="Times New Roman" w:cs="Times New Roman"/>
        </w:rPr>
        <w:t>ході</w:t>
      </w:r>
      <w:proofErr w:type="spellEnd"/>
      <w:r w:rsidRPr="00E16672">
        <w:rPr>
          <w:rFonts w:ascii="Times New Roman" w:hAnsi="Times New Roman" w:cs="Times New Roman"/>
        </w:rPr>
        <w:t xml:space="preserve"> </w:t>
      </w:r>
      <w:proofErr w:type="spellStart"/>
      <w:r w:rsidRPr="00E16672">
        <w:rPr>
          <w:rFonts w:ascii="Times New Roman" w:hAnsi="Times New Roman" w:cs="Times New Roman"/>
        </w:rPr>
        <w:t>виконання</w:t>
      </w:r>
      <w:proofErr w:type="spellEnd"/>
      <w:r w:rsidRPr="00E16672">
        <w:rPr>
          <w:rFonts w:ascii="Times New Roman" w:hAnsi="Times New Roman" w:cs="Times New Roman"/>
        </w:rPr>
        <w:t xml:space="preserve"> договору </w:t>
      </w:r>
      <w:proofErr w:type="spellStart"/>
      <w:r w:rsidRPr="00E16672">
        <w:rPr>
          <w:rFonts w:ascii="Times New Roman" w:hAnsi="Times New Roman" w:cs="Times New Roman"/>
        </w:rPr>
        <w:t>Сторони</w:t>
      </w:r>
      <w:proofErr w:type="spellEnd"/>
      <w:r w:rsidRPr="00E16672">
        <w:rPr>
          <w:rFonts w:ascii="Times New Roman" w:hAnsi="Times New Roman" w:cs="Times New Roman"/>
        </w:rPr>
        <w:t xml:space="preserve"> </w:t>
      </w:r>
      <w:proofErr w:type="spellStart"/>
      <w:r w:rsidRPr="00E16672">
        <w:rPr>
          <w:rFonts w:ascii="Times New Roman" w:hAnsi="Times New Roman" w:cs="Times New Roman"/>
        </w:rPr>
        <w:t>можуть</w:t>
      </w:r>
      <w:proofErr w:type="spellEnd"/>
      <w:r w:rsidRPr="00E16672">
        <w:rPr>
          <w:rFonts w:ascii="Times New Roman" w:hAnsi="Times New Roman" w:cs="Times New Roman"/>
        </w:rPr>
        <w:t xml:space="preserve"> </w:t>
      </w:r>
      <w:proofErr w:type="spellStart"/>
      <w:r w:rsidRPr="00E16672">
        <w:rPr>
          <w:rFonts w:ascii="Times New Roman" w:hAnsi="Times New Roman" w:cs="Times New Roman"/>
        </w:rPr>
        <w:t>обмінюватися</w:t>
      </w:r>
      <w:proofErr w:type="spellEnd"/>
      <w:r w:rsidRPr="00E16672">
        <w:rPr>
          <w:rFonts w:ascii="Times New Roman" w:hAnsi="Times New Roman" w:cs="Times New Roman"/>
        </w:rPr>
        <w:t xml:space="preserve"> </w:t>
      </w:r>
      <w:proofErr w:type="spellStart"/>
      <w:r w:rsidRPr="00E16672">
        <w:rPr>
          <w:rFonts w:ascii="Times New Roman" w:hAnsi="Times New Roman" w:cs="Times New Roman"/>
        </w:rPr>
        <w:t>електронними</w:t>
      </w:r>
      <w:proofErr w:type="spellEnd"/>
      <w:r w:rsidRPr="00E16672">
        <w:rPr>
          <w:rFonts w:ascii="Times New Roman" w:hAnsi="Times New Roman" w:cs="Times New Roman"/>
        </w:rPr>
        <w:t xml:space="preserve"> документами, </w:t>
      </w:r>
      <w:proofErr w:type="spellStart"/>
      <w:r w:rsidRPr="00E16672">
        <w:rPr>
          <w:rFonts w:ascii="Times New Roman" w:hAnsi="Times New Roman" w:cs="Times New Roman"/>
        </w:rPr>
        <w:t>які</w:t>
      </w:r>
      <w:proofErr w:type="spellEnd"/>
      <w:r w:rsidRPr="00E16672">
        <w:rPr>
          <w:rFonts w:ascii="Times New Roman" w:hAnsi="Times New Roman" w:cs="Times New Roman"/>
        </w:rPr>
        <w:t xml:space="preserve"> </w:t>
      </w:r>
      <w:proofErr w:type="spellStart"/>
      <w:r w:rsidRPr="00E16672">
        <w:rPr>
          <w:rFonts w:ascii="Times New Roman" w:hAnsi="Times New Roman" w:cs="Times New Roman"/>
        </w:rPr>
        <w:t>засвідчуються</w:t>
      </w:r>
      <w:proofErr w:type="spellEnd"/>
      <w:r w:rsidRPr="00E16672">
        <w:rPr>
          <w:rFonts w:ascii="Times New Roman" w:hAnsi="Times New Roman" w:cs="Times New Roman"/>
        </w:rPr>
        <w:t xml:space="preserve"> за </w:t>
      </w:r>
      <w:proofErr w:type="spellStart"/>
      <w:r w:rsidRPr="00E16672">
        <w:rPr>
          <w:rFonts w:ascii="Times New Roman" w:hAnsi="Times New Roman" w:cs="Times New Roman"/>
        </w:rPr>
        <w:lastRenderedPageBreak/>
        <w:t>допомогою</w:t>
      </w:r>
      <w:proofErr w:type="spellEnd"/>
      <w:r w:rsidRPr="00E16672">
        <w:rPr>
          <w:rFonts w:ascii="Times New Roman" w:hAnsi="Times New Roman" w:cs="Times New Roman"/>
        </w:rPr>
        <w:t xml:space="preserve"> </w:t>
      </w:r>
      <w:proofErr w:type="spellStart"/>
      <w:r w:rsidR="00D57400" w:rsidRPr="00E16672">
        <w:rPr>
          <w:rFonts w:ascii="Times New Roman" w:hAnsi="Times New Roman" w:cs="Times New Roman"/>
          <w:color w:val="000000"/>
        </w:rPr>
        <w:t>кваліфікованого</w:t>
      </w:r>
      <w:proofErr w:type="spellEnd"/>
      <w:r w:rsidR="00D57400" w:rsidRPr="00E16672">
        <w:rPr>
          <w:rFonts w:ascii="Times New Roman" w:hAnsi="Times New Roman" w:cs="Times New Roman"/>
          <w:color w:val="000000"/>
        </w:rPr>
        <w:t xml:space="preserve"> </w:t>
      </w:r>
      <w:proofErr w:type="spellStart"/>
      <w:r w:rsidR="00D57400" w:rsidRPr="00E16672">
        <w:rPr>
          <w:rFonts w:ascii="Times New Roman" w:hAnsi="Times New Roman" w:cs="Times New Roman"/>
          <w:color w:val="000000"/>
        </w:rPr>
        <w:t>електронного</w:t>
      </w:r>
      <w:proofErr w:type="spellEnd"/>
      <w:r w:rsidR="00D57400" w:rsidRPr="00E16672">
        <w:rPr>
          <w:rFonts w:ascii="Times New Roman" w:hAnsi="Times New Roman" w:cs="Times New Roman"/>
          <w:color w:val="000000"/>
        </w:rPr>
        <w:t xml:space="preserve"> </w:t>
      </w:r>
      <w:proofErr w:type="spellStart"/>
      <w:r w:rsidR="00D57400" w:rsidRPr="00E16672">
        <w:rPr>
          <w:rFonts w:ascii="Times New Roman" w:hAnsi="Times New Roman" w:cs="Times New Roman"/>
          <w:color w:val="000000"/>
        </w:rPr>
        <w:t>підпису</w:t>
      </w:r>
      <w:proofErr w:type="spellEnd"/>
      <w:r w:rsidRPr="00E16672">
        <w:rPr>
          <w:rFonts w:ascii="Times New Roman" w:hAnsi="Times New Roman" w:cs="Times New Roman"/>
        </w:rPr>
        <w:t>.</w:t>
      </w:r>
    </w:p>
    <w:p w14:paraId="3BDF927E" w14:textId="77777777" w:rsidR="009A7EA8" w:rsidRPr="00E16672" w:rsidRDefault="009A7EA8" w:rsidP="009A7EA8">
      <w:pPr>
        <w:ind w:firstLine="586"/>
        <w:rPr>
          <w:rFonts w:ascii="Times New Roman" w:eastAsia="Arial Unicode MS" w:hAnsi="Times New Roman"/>
          <w:szCs w:val="20"/>
        </w:rPr>
      </w:pPr>
      <w:r w:rsidRPr="00E16672">
        <w:rPr>
          <w:rFonts w:ascii="Times New Roman" w:eastAsia="Arial Unicode MS" w:hAnsi="Times New Roman"/>
          <w:szCs w:val="20"/>
        </w:rPr>
        <w:t xml:space="preserve">14.2. При </w:t>
      </w:r>
      <w:proofErr w:type="spellStart"/>
      <w:r w:rsidRPr="00E16672">
        <w:rPr>
          <w:rFonts w:ascii="Times New Roman" w:eastAsia="Arial Unicode MS" w:hAnsi="Times New Roman"/>
          <w:szCs w:val="20"/>
        </w:rPr>
        <w:t>виконанні</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цього</w:t>
      </w:r>
      <w:proofErr w:type="spellEnd"/>
      <w:r w:rsidRPr="00E16672">
        <w:rPr>
          <w:rFonts w:ascii="Times New Roman" w:eastAsia="Arial Unicode MS" w:hAnsi="Times New Roman"/>
          <w:szCs w:val="20"/>
        </w:rPr>
        <w:t xml:space="preserve"> Договору </w:t>
      </w:r>
      <w:proofErr w:type="spellStart"/>
      <w:r w:rsidRPr="00E16672">
        <w:rPr>
          <w:rFonts w:ascii="Times New Roman" w:eastAsia="Arial Unicode MS" w:hAnsi="Times New Roman"/>
          <w:szCs w:val="20"/>
        </w:rPr>
        <w:t>кожна</w:t>
      </w:r>
      <w:proofErr w:type="spellEnd"/>
      <w:r w:rsidRPr="00E16672">
        <w:rPr>
          <w:rFonts w:ascii="Times New Roman" w:eastAsia="Arial Unicode MS" w:hAnsi="Times New Roman"/>
          <w:szCs w:val="20"/>
        </w:rPr>
        <w:t xml:space="preserve"> Сторона </w:t>
      </w:r>
      <w:proofErr w:type="spellStart"/>
      <w:r w:rsidRPr="00E16672">
        <w:rPr>
          <w:rFonts w:ascii="Times New Roman" w:eastAsia="Arial Unicode MS" w:hAnsi="Times New Roman"/>
          <w:szCs w:val="20"/>
        </w:rPr>
        <w:t>може</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виступати</w:t>
      </w:r>
      <w:proofErr w:type="spellEnd"/>
      <w:r w:rsidRPr="00E16672">
        <w:rPr>
          <w:rFonts w:ascii="Times New Roman" w:eastAsia="Arial Unicode MS" w:hAnsi="Times New Roman"/>
          <w:szCs w:val="20"/>
        </w:rPr>
        <w:t xml:space="preserve"> як </w:t>
      </w:r>
      <w:proofErr w:type="spellStart"/>
      <w:r w:rsidRPr="00E16672">
        <w:rPr>
          <w:rFonts w:ascii="Times New Roman" w:eastAsia="Arial Unicode MS" w:hAnsi="Times New Roman"/>
          <w:szCs w:val="20"/>
        </w:rPr>
        <w:t>підписувачем</w:t>
      </w:r>
      <w:proofErr w:type="spellEnd"/>
      <w:r w:rsidRPr="00E16672">
        <w:rPr>
          <w:rFonts w:ascii="Times New Roman" w:eastAsia="Arial Unicode MS" w:hAnsi="Times New Roman"/>
          <w:szCs w:val="20"/>
        </w:rPr>
        <w:t xml:space="preserve">, так і </w:t>
      </w:r>
      <w:proofErr w:type="spellStart"/>
      <w:r w:rsidRPr="00E16672">
        <w:rPr>
          <w:rFonts w:ascii="Times New Roman" w:eastAsia="Arial Unicode MS" w:hAnsi="Times New Roman"/>
          <w:szCs w:val="20"/>
        </w:rPr>
        <w:t>отримувачем</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електронних</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документів</w:t>
      </w:r>
      <w:proofErr w:type="spellEnd"/>
      <w:r w:rsidRPr="00E16672">
        <w:rPr>
          <w:rFonts w:ascii="Times New Roman" w:eastAsia="Arial Unicode MS" w:hAnsi="Times New Roman"/>
          <w:szCs w:val="20"/>
        </w:rPr>
        <w:t>.</w:t>
      </w:r>
    </w:p>
    <w:p w14:paraId="0B03B4FB" w14:textId="77777777" w:rsidR="009A7EA8" w:rsidRPr="00E16672" w:rsidRDefault="009A7EA8" w:rsidP="009A7EA8">
      <w:pPr>
        <w:ind w:firstLine="586"/>
        <w:rPr>
          <w:rFonts w:ascii="Times New Roman" w:eastAsia="Arial Unicode MS" w:hAnsi="Times New Roman"/>
          <w:szCs w:val="20"/>
        </w:rPr>
      </w:pPr>
      <w:r w:rsidRPr="00E16672">
        <w:rPr>
          <w:rFonts w:ascii="Times New Roman" w:eastAsia="Arial Unicode MS" w:hAnsi="Times New Roman"/>
          <w:szCs w:val="20"/>
        </w:rPr>
        <w:t xml:space="preserve">14.3. </w:t>
      </w:r>
      <w:proofErr w:type="spellStart"/>
      <w:r w:rsidRPr="00E16672">
        <w:rPr>
          <w:rFonts w:ascii="Times New Roman" w:eastAsia="Arial Unicode MS" w:hAnsi="Times New Roman"/>
          <w:szCs w:val="20"/>
        </w:rPr>
        <w:t>Електронний</w:t>
      </w:r>
      <w:proofErr w:type="spellEnd"/>
      <w:r w:rsidRPr="00E16672">
        <w:rPr>
          <w:rFonts w:ascii="Times New Roman" w:eastAsia="Arial Unicode MS" w:hAnsi="Times New Roman"/>
          <w:szCs w:val="20"/>
        </w:rPr>
        <w:t xml:space="preserve"> документ — документ, </w:t>
      </w:r>
      <w:proofErr w:type="spellStart"/>
      <w:r w:rsidRPr="00E16672">
        <w:rPr>
          <w:rFonts w:ascii="Times New Roman" w:eastAsia="Arial Unicode MS" w:hAnsi="Times New Roman"/>
          <w:szCs w:val="20"/>
        </w:rPr>
        <w:t>інформація</w:t>
      </w:r>
      <w:proofErr w:type="spellEnd"/>
      <w:r w:rsidRPr="00E16672">
        <w:rPr>
          <w:rFonts w:ascii="Times New Roman" w:eastAsia="Arial Unicode MS" w:hAnsi="Times New Roman"/>
          <w:szCs w:val="20"/>
        </w:rPr>
        <w:t xml:space="preserve"> в </w:t>
      </w:r>
      <w:proofErr w:type="spellStart"/>
      <w:r w:rsidRPr="00E16672">
        <w:rPr>
          <w:rFonts w:ascii="Times New Roman" w:eastAsia="Arial Unicode MS" w:hAnsi="Times New Roman"/>
          <w:szCs w:val="20"/>
        </w:rPr>
        <w:t>якому</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зафіксована</w:t>
      </w:r>
      <w:proofErr w:type="spellEnd"/>
      <w:r w:rsidRPr="00E16672">
        <w:rPr>
          <w:rFonts w:ascii="Times New Roman" w:eastAsia="Arial Unicode MS" w:hAnsi="Times New Roman"/>
          <w:szCs w:val="20"/>
        </w:rPr>
        <w:t xml:space="preserve"> у </w:t>
      </w:r>
      <w:proofErr w:type="spellStart"/>
      <w:r w:rsidRPr="00E16672">
        <w:rPr>
          <w:rFonts w:ascii="Times New Roman" w:eastAsia="Arial Unicode MS" w:hAnsi="Times New Roman"/>
          <w:szCs w:val="20"/>
        </w:rPr>
        <w:t>вигляді</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електронних</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даних</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включаючи</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обов'язкові</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реквізити</w:t>
      </w:r>
      <w:proofErr w:type="spellEnd"/>
      <w:r w:rsidRPr="00E16672">
        <w:rPr>
          <w:rFonts w:ascii="Times New Roman" w:eastAsia="Arial Unicode MS" w:hAnsi="Times New Roman"/>
          <w:szCs w:val="20"/>
        </w:rPr>
        <w:t xml:space="preserve"> документа, в тому </w:t>
      </w:r>
      <w:proofErr w:type="spellStart"/>
      <w:r w:rsidRPr="00E16672">
        <w:rPr>
          <w:rFonts w:ascii="Times New Roman" w:eastAsia="Arial Unicode MS" w:hAnsi="Times New Roman"/>
          <w:szCs w:val="20"/>
        </w:rPr>
        <w:t>числі</w:t>
      </w:r>
      <w:proofErr w:type="spellEnd"/>
      <w:r w:rsidRPr="00E16672">
        <w:rPr>
          <w:rFonts w:ascii="Times New Roman" w:eastAsia="Arial Unicode MS" w:hAnsi="Times New Roman"/>
          <w:szCs w:val="20"/>
        </w:rPr>
        <w:t xml:space="preserve"> </w:t>
      </w:r>
      <w:proofErr w:type="spellStart"/>
      <w:r w:rsidR="00D57400" w:rsidRPr="00E16672">
        <w:rPr>
          <w:rFonts w:ascii="Times New Roman" w:hAnsi="Times New Roman"/>
          <w:color w:val="000000"/>
          <w:szCs w:val="20"/>
        </w:rPr>
        <w:t>кваліфікованого</w:t>
      </w:r>
      <w:proofErr w:type="spellEnd"/>
      <w:r w:rsidR="00D57400" w:rsidRPr="00E16672">
        <w:rPr>
          <w:rFonts w:ascii="Times New Roman" w:hAnsi="Times New Roman"/>
          <w:color w:val="000000"/>
          <w:szCs w:val="20"/>
        </w:rPr>
        <w:t xml:space="preserve"> </w:t>
      </w:r>
      <w:proofErr w:type="spellStart"/>
      <w:r w:rsidR="00D57400" w:rsidRPr="00E16672">
        <w:rPr>
          <w:rFonts w:ascii="Times New Roman" w:hAnsi="Times New Roman"/>
          <w:color w:val="000000"/>
          <w:szCs w:val="20"/>
        </w:rPr>
        <w:t>електронного</w:t>
      </w:r>
      <w:proofErr w:type="spellEnd"/>
      <w:r w:rsidR="00D57400" w:rsidRPr="00E16672">
        <w:rPr>
          <w:rFonts w:ascii="Times New Roman" w:hAnsi="Times New Roman"/>
          <w:color w:val="000000"/>
          <w:szCs w:val="20"/>
        </w:rPr>
        <w:t xml:space="preserve"> </w:t>
      </w:r>
      <w:proofErr w:type="spellStart"/>
      <w:r w:rsidR="00D57400" w:rsidRPr="00E16672">
        <w:rPr>
          <w:rFonts w:ascii="Times New Roman" w:hAnsi="Times New Roman"/>
          <w:color w:val="000000"/>
          <w:szCs w:val="20"/>
        </w:rPr>
        <w:t>підпису</w:t>
      </w:r>
      <w:proofErr w:type="spellEnd"/>
      <w:r w:rsidRPr="00E16672">
        <w:rPr>
          <w:rFonts w:ascii="Times New Roman" w:eastAsia="Arial Unicode MS" w:hAnsi="Times New Roman"/>
          <w:szCs w:val="20"/>
        </w:rPr>
        <w:t>.</w:t>
      </w:r>
    </w:p>
    <w:p w14:paraId="2842C66B" w14:textId="77777777" w:rsidR="009A7EA8" w:rsidRPr="00E16672" w:rsidRDefault="00D57400" w:rsidP="009A7EA8">
      <w:pPr>
        <w:ind w:firstLine="586"/>
        <w:rPr>
          <w:rFonts w:ascii="Times New Roman" w:eastAsia="Arial Unicode MS" w:hAnsi="Times New Roman"/>
          <w:szCs w:val="20"/>
        </w:rPr>
      </w:pPr>
      <w:r w:rsidRPr="00E16672">
        <w:rPr>
          <w:rFonts w:ascii="Times New Roman" w:eastAsia="Arial Unicode MS" w:hAnsi="Times New Roman"/>
          <w:szCs w:val="20"/>
        </w:rPr>
        <w:t xml:space="preserve">14.4. </w:t>
      </w:r>
      <w:proofErr w:type="spellStart"/>
      <w:r w:rsidRPr="00E16672">
        <w:rPr>
          <w:rFonts w:ascii="Times New Roman" w:hAnsi="Times New Roman"/>
          <w:color w:val="000000"/>
          <w:szCs w:val="20"/>
        </w:rPr>
        <w:t>Кваліфікований</w:t>
      </w:r>
      <w:proofErr w:type="spellEnd"/>
      <w:r w:rsidR="00315D1B" w:rsidRPr="00E16672">
        <w:rPr>
          <w:rFonts w:ascii="Times New Roman" w:hAnsi="Times New Roman"/>
          <w:color w:val="000000"/>
          <w:szCs w:val="20"/>
        </w:rPr>
        <w:t xml:space="preserve"> </w:t>
      </w:r>
      <w:proofErr w:type="spellStart"/>
      <w:r w:rsidR="00315D1B" w:rsidRPr="00E16672">
        <w:rPr>
          <w:rFonts w:ascii="Times New Roman" w:hAnsi="Times New Roman"/>
          <w:color w:val="000000"/>
          <w:szCs w:val="20"/>
        </w:rPr>
        <w:t>електронний</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підпис</w:t>
      </w:r>
      <w:proofErr w:type="spellEnd"/>
      <w:r w:rsidR="009A7EA8" w:rsidRPr="00E16672">
        <w:rPr>
          <w:rFonts w:ascii="Times New Roman" w:eastAsia="Arial Unicode MS" w:hAnsi="Times New Roman"/>
          <w:szCs w:val="20"/>
        </w:rPr>
        <w:t xml:space="preserve"> </w:t>
      </w:r>
      <w:proofErr w:type="gramStart"/>
      <w:r w:rsidR="009A7EA8" w:rsidRPr="00E16672">
        <w:rPr>
          <w:rFonts w:ascii="Times New Roman" w:eastAsia="Arial Unicode MS" w:hAnsi="Times New Roman"/>
          <w:szCs w:val="20"/>
        </w:rPr>
        <w:t xml:space="preserve">-  </w:t>
      </w:r>
      <w:proofErr w:type="spellStart"/>
      <w:r w:rsidR="009A7EA8" w:rsidRPr="00E16672">
        <w:rPr>
          <w:rFonts w:ascii="Times New Roman" w:eastAsia="Arial Unicode MS" w:hAnsi="Times New Roman"/>
          <w:szCs w:val="20"/>
        </w:rPr>
        <w:t>обов'язковий</w:t>
      </w:r>
      <w:proofErr w:type="spellEnd"/>
      <w:proofErr w:type="gramEnd"/>
      <w:r w:rsidR="009A7EA8" w:rsidRPr="00E16672">
        <w:rPr>
          <w:rFonts w:ascii="Times New Roman" w:eastAsia="Arial Unicode MS" w:hAnsi="Times New Roman"/>
          <w:szCs w:val="20"/>
        </w:rPr>
        <w:t xml:space="preserve"> </w:t>
      </w:r>
      <w:proofErr w:type="spellStart"/>
      <w:r w:rsidR="009A7EA8" w:rsidRPr="00E16672">
        <w:rPr>
          <w:rFonts w:ascii="Times New Roman" w:eastAsia="Arial Unicode MS" w:hAnsi="Times New Roman"/>
          <w:szCs w:val="20"/>
        </w:rPr>
        <w:t>реквізит</w:t>
      </w:r>
      <w:proofErr w:type="spellEnd"/>
      <w:r w:rsidR="009A7EA8" w:rsidRPr="00E16672">
        <w:rPr>
          <w:rFonts w:ascii="Times New Roman" w:eastAsia="Arial Unicode MS" w:hAnsi="Times New Roman"/>
          <w:szCs w:val="20"/>
        </w:rPr>
        <w:t xml:space="preserve"> </w:t>
      </w:r>
      <w:proofErr w:type="spellStart"/>
      <w:r w:rsidR="009A7EA8" w:rsidRPr="00E16672">
        <w:rPr>
          <w:rFonts w:ascii="Times New Roman" w:eastAsia="Arial Unicode MS" w:hAnsi="Times New Roman"/>
          <w:szCs w:val="20"/>
        </w:rPr>
        <w:t>електронного</w:t>
      </w:r>
      <w:proofErr w:type="spellEnd"/>
      <w:r w:rsidR="009A7EA8" w:rsidRPr="00E16672">
        <w:rPr>
          <w:rFonts w:ascii="Times New Roman" w:eastAsia="Arial Unicode MS" w:hAnsi="Times New Roman"/>
          <w:szCs w:val="20"/>
        </w:rPr>
        <w:t xml:space="preserve"> документа, </w:t>
      </w:r>
      <w:proofErr w:type="spellStart"/>
      <w:r w:rsidR="009A7EA8" w:rsidRPr="00E16672">
        <w:rPr>
          <w:rFonts w:ascii="Times New Roman" w:eastAsia="Arial Unicode MS" w:hAnsi="Times New Roman"/>
          <w:szCs w:val="20"/>
        </w:rPr>
        <w:t>який</w:t>
      </w:r>
      <w:proofErr w:type="spellEnd"/>
      <w:r w:rsidR="009A7EA8" w:rsidRPr="00E16672">
        <w:rPr>
          <w:rFonts w:ascii="Times New Roman" w:eastAsia="Arial Unicode MS" w:hAnsi="Times New Roman"/>
          <w:szCs w:val="20"/>
        </w:rPr>
        <w:t xml:space="preserve"> </w:t>
      </w:r>
      <w:proofErr w:type="spellStart"/>
      <w:r w:rsidR="009A7EA8" w:rsidRPr="00E16672">
        <w:rPr>
          <w:rFonts w:ascii="Times New Roman" w:eastAsia="Arial Unicode MS" w:hAnsi="Times New Roman"/>
          <w:szCs w:val="20"/>
        </w:rPr>
        <w:t>використовується</w:t>
      </w:r>
      <w:proofErr w:type="spellEnd"/>
      <w:r w:rsidR="009A7EA8" w:rsidRPr="00E16672">
        <w:rPr>
          <w:rFonts w:ascii="Times New Roman" w:eastAsia="Arial Unicode MS" w:hAnsi="Times New Roman"/>
          <w:szCs w:val="20"/>
        </w:rPr>
        <w:t xml:space="preserve"> для </w:t>
      </w:r>
      <w:proofErr w:type="spellStart"/>
      <w:r w:rsidR="009A7EA8" w:rsidRPr="00E16672">
        <w:rPr>
          <w:rFonts w:ascii="Times New Roman" w:eastAsia="Arial Unicode MS" w:hAnsi="Times New Roman"/>
          <w:szCs w:val="20"/>
        </w:rPr>
        <w:t>ідентифікації</w:t>
      </w:r>
      <w:proofErr w:type="spellEnd"/>
      <w:r w:rsidR="009A7EA8" w:rsidRPr="00E16672">
        <w:rPr>
          <w:rFonts w:ascii="Times New Roman" w:eastAsia="Arial Unicode MS" w:hAnsi="Times New Roman"/>
          <w:szCs w:val="20"/>
        </w:rPr>
        <w:t xml:space="preserve"> </w:t>
      </w:r>
      <w:proofErr w:type="spellStart"/>
      <w:r w:rsidR="009A7EA8" w:rsidRPr="00E16672">
        <w:rPr>
          <w:rFonts w:ascii="Times New Roman" w:eastAsia="Arial Unicode MS" w:hAnsi="Times New Roman"/>
          <w:szCs w:val="20"/>
        </w:rPr>
        <w:t>отримувачем</w:t>
      </w:r>
      <w:proofErr w:type="spellEnd"/>
      <w:r w:rsidR="009A7EA8" w:rsidRPr="00E16672">
        <w:rPr>
          <w:rFonts w:ascii="Times New Roman" w:eastAsia="Arial Unicode MS" w:hAnsi="Times New Roman"/>
          <w:szCs w:val="20"/>
        </w:rPr>
        <w:t xml:space="preserve"> </w:t>
      </w:r>
      <w:proofErr w:type="spellStart"/>
      <w:r w:rsidR="009A7EA8" w:rsidRPr="00E16672">
        <w:rPr>
          <w:rFonts w:ascii="Times New Roman" w:eastAsia="Arial Unicode MS" w:hAnsi="Times New Roman"/>
          <w:szCs w:val="20"/>
        </w:rPr>
        <w:t>підписувача</w:t>
      </w:r>
      <w:proofErr w:type="spellEnd"/>
      <w:r w:rsidR="009A7EA8" w:rsidRPr="00E16672">
        <w:rPr>
          <w:rFonts w:ascii="Times New Roman" w:eastAsia="Arial Unicode MS" w:hAnsi="Times New Roman"/>
          <w:szCs w:val="20"/>
        </w:rPr>
        <w:t xml:space="preserve"> </w:t>
      </w:r>
      <w:proofErr w:type="spellStart"/>
      <w:r w:rsidR="009A7EA8" w:rsidRPr="00E16672">
        <w:rPr>
          <w:rFonts w:ascii="Times New Roman" w:eastAsia="Arial Unicode MS" w:hAnsi="Times New Roman"/>
          <w:szCs w:val="20"/>
        </w:rPr>
        <w:t>електронного</w:t>
      </w:r>
      <w:proofErr w:type="spellEnd"/>
      <w:r w:rsidR="009A7EA8" w:rsidRPr="00E16672">
        <w:rPr>
          <w:rFonts w:ascii="Times New Roman" w:eastAsia="Arial Unicode MS" w:hAnsi="Times New Roman"/>
          <w:szCs w:val="20"/>
        </w:rPr>
        <w:t xml:space="preserve"> документа та </w:t>
      </w:r>
      <w:proofErr w:type="spellStart"/>
      <w:r w:rsidR="009A7EA8" w:rsidRPr="00E16672">
        <w:rPr>
          <w:rFonts w:ascii="Times New Roman" w:eastAsia="Arial Unicode MS" w:hAnsi="Times New Roman"/>
          <w:szCs w:val="20"/>
        </w:rPr>
        <w:t>сформований</w:t>
      </w:r>
      <w:proofErr w:type="spellEnd"/>
      <w:r w:rsidR="009A7EA8" w:rsidRPr="00E16672">
        <w:rPr>
          <w:rFonts w:ascii="Times New Roman" w:eastAsia="Arial Unicode MS" w:hAnsi="Times New Roman"/>
          <w:szCs w:val="20"/>
        </w:rPr>
        <w:t xml:space="preserve"> за </w:t>
      </w:r>
      <w:proofErr w:type="spellStart"/>
      <w:r w:rsidR="009A7EA8" w:rsidRPr="00E16672">
        <w:rPr>
          <w:rFonts w:ascii="Times New Roman" w:eastAsia="Arial Unicode MS" w:hAnsi="Times New Roman"/>
          <w:szCs w:val="20"/>
        </w:rPr>
        <w:t>допомогою</w:t>
      </w:r>
      <w:proofErr w:type="spellEnd"/>
      <w:r w:rsidR="009A7EA8" w:rsidRPr="00E16672">
        <w:rPr>
          <w:rFonts w:ascii="Times New Roman" w:eastAsia="Arial Unicode MS" w:hAnsi="Times New Roman"/>
          <w:szCs w:val="20"/>
        </w:rPr>
        <w:t xml:space="preserve"> </w:t>
      </w:r>
      <w:proofErr w:type="spellStart"/>
      <w:r w:rsidR="009A7EA8" w:rsidRPr="00E16672">
        <w:rPr>
          <w:rFonts w:ascii="Times New Roman" w:eastAsia="Arial Unicode MS" w:hAnsi="Times New Roman"/>
          <w:szCs w:val="20"/>
        </w:rPr>
        <w:t>системи</w:t>
      </w:r>
      <w:proofErr w:type="spellEnd"/>
      <w:r w:rsidR="009A7EA8" w:rsidRPr="00E16672">
        <w:rPr>
          <w:rFonts w:ascii="Times New Roman" w:eastAsia="Arial Unicode MS" w:hAnsi="Times New Roman"/>
          <w:szCs w:val="20"/>
        </w:rPr>
        <w:t xml:space="preserve"> </w:t>
      </w:r>
      <w:proofErr w:type="spellStart"/>
      <w:r w:rsidR="009A7EA8" w:rsidRPr="00E16672">
        <w:rPr>
          <w:rFonts w:ascii="Times New Roman" w:eastAsia="Arial Unicode MS" w:hAnsi="Times New Roman"/>
          <w:szCs w:val="20"/>
        </w:rPr>
        <w:t>криптографічного</w:t>
      </w:r>
      <w:proofErr w:type="spellEnd"/>
      <w:r w:rsidR="009A7EA8" w:rsidRPr="00E16672">
        <w:rPr>
          <w:rFonts w:ascii="Times New Roman" w:eastAsia="Arial Unicode MS" w:hAnsi="Times New Roman"/>
          <w:szCs w:val="20"/>
        </w:rPr>
        <w:t xml:space="preserve"> </w:t>
      </w:r>
      <w:proofErr w:type="spellStart"/>
      <w:r w:rsidR="009A7EA8" w:rsidRPr="00E16672">
        <w:rPr>
          <w:rFonts w:ascii="Times New Roman" w:eastAsia="Arial Unicode MS" w:hAnsi="Times New Roman"/>
          <w:szCs w:val="20"/>
        </w:rPr>
        <w:t>захисту</w:t>
      </w:r>
      <w:proofErr w:type="spellEnd"/>
      <w:r w:rsidR="009A7EA8" w:rsidRPr="00E16672">
        <w:rPr>
          <w:rFonts w:ascii="Times New Roman" w:eastAsia="Arial Unicode MS" w:hAnsi="Times New Roman"/>
          <w:szCs w:val="20"/>
        </w:rPr>
        <w:t xml:space="preserve"> </w:t>
      </w:r>
      <w:proofErr w:type="spellStart"/>
      <w:r w:rsidR="009A7EA8" w:rsidRPr="00E16672">
        <w:rPr>
          <w:rFonts w:ascii="Times New Roman" w:eastAsia="Arial Unicode MS" w:hAnsi="Times New Roman"/>
          <w:szCs w:val="20"/>
        </w:rPr>
        <w:t>інформації</w:t>
      </w:r>
      <w:proofErr w:type="spellEnd"/>
      <w:r w:rsidR="009A7EA8" w:rsidRPr="00E16672">
        <w:rPr>
          <w:rFonts w:ascii="Times New Roman" w:eastAsia="Arial Unicode MS" w:hAnsi="Times New Roman"/>
          <w:szCs w:val="20"/>
        </w:rPr>
        <w:t xml:space="preserve"> </w:t>
      </w:r>
      <w:proofErr w:type="spellStart"/>
      <w:r w:rsidR="009A7EA8" w:rsidRPr="00E16672">
        <w:rPr>
          <w:rFonts w:ascii="Times New Roman" w:eastAsia="Arial Unicode MS" w:hAnsi="Times New Roman"/>
          <w:szCs w:val="20"/>
        </w:rPr>
        <w:t>Акредитованого</w:t>
      </w:r>
      <w:proofErr w:type="spellEnd"/>
      <w:r w:rsidR="009A7EA8" w:rsidRPr="00E16672">
        <w:rPr>
          <w:rFonts w:ascii="Times New Roman" w:eastAsia="Arial Unicode MS" w:hAnsi="Times New Roman"/>
          <w:szCs w:val="20"/>
        </w:rPr>
        <w:t xml:space="preserve"> Центру </w:t>
      </w:r>
      <w:proofErr w:type="spellStart"/>
      <w:r w:rsidR="009A7EA8" w:rsidRPr="00E16672">
        <w:rPr>
          <w:rFonts w:ascii="Times New Roman" w:eastAsia="Arial Unicode MS" w:hAnsi="Times New Roman"/>
          <w:szCs w:val="20"/>
        </w:rPr>
        <w:t>Сертифікації</w:t>
      </w:r>
      <w:proofErr w:type="spellEnd"/>
      <w:r w:rsidR="009A7EA8" w:rsidRPr="00E16672">
        <w:rPr>
          <w:rFonts w:ascii="Times New Roman" w:eastAsia="Arial Unicode MS" w:hAnsi="Times New Roman"/>
          <w:szCs w:val="20"/>
        </w:rPr>
        <w:t xml:space="preserve"> </w:t>
      </w:r>
      <w:proofErr w:type="spellStart"/>
      <w:r w:rsidR="009A7EA8" w:rsidRPr="00E16672">
        <w:rPr>
          <w:rFonts w:ascii="Times New Roman" w:eastAsia="Arial Unicode MS" w:hAnsi="Times New Roman"/>
          <w:szCs w:val="20"/>
        </w:rPr>
        <w:t>ключів</w:t>
      </w:r>
      <w:proofErr w:type="spellEnd"/>
      <w:r w:rsidR="009A7EA8" w:rsidRPr="00E16672">
        <w:rPr>
          <w:rFonts w:ascii="Times New Roman" w:eastAsia="Arial Unicode MS" w:hAnsi="Times New Roman"/>
          <w:szCs w:val="20"/>
        </w:rPr>
        <w:t>.</w:t>
      </w:r>
    </w:p>
    <w:p w14:paraId="24C2CA6B" w14:textId="77777777" w:rsidR="009A7EA8" w:rsidRPr="00E16672" w:rsidRDefault="009A7EA8" w:rsidP="009A7EA8">
      <w:pPr>
        <w:ind w:firstLine="586"/>
        <w:rPr>
          <w:rFonts w:ascii="Times New Roman" w:eastAsia="Arial Unicode MS" w:hAnsi="Times New Roman"/>
          <w:szCs w:val="20"/>
        </w:rPr>
      </w:pPr>
      <w:r w:rsidRPr="00E16672">
        <w:rPr>
          <w:rFonts w:ascii="Times New Roman" w:eastAsia="Arial Unicode MS" w:hAnsi="Times New Roman"/>
          <w:szCs w:val="20"/>
        </w:rPr>
        <w:t xml:space="preserve">14.5. </w:t>
      </w:r>
      <w:r w:rsidR="00315D1B" w:rsidRPr="00E16672">
        <w:rPr>
          <w:rFonts w:ascii="Times New Roman" w:eastAsia="Arial Unicode MS" w:hAnsi="Times New Roman"/>
          <w:szCs w:val="20"/>
          <w:lang w:val="uk-UA"/>
        </w:rPr>
        <w:t>К</w:t>
      </w:r>
      <w:proofErr w:type="spellStart"/>
      <w:r w:rsidR="00315D1B" w:rsidRPr="00E16672">
        <w:rPr>
          <w:rFonts w:ascii="Times New Roman" w:hAnsi="Times New Roman"/>
          <w:color w:val="000000"/>
          <w:szCs w:val="20"/>
        </w:rPr>
        <w:t>валіфікований</w:t>
      </w:r>
      <w:proofErr w:type="spellEnd"/>
      <w:r w:rsidR="00315D1B" w:rsidRPr="00E16672">
        <w:rPr>
          <w:rFonts w:ascii="Times New Roman" w:hAnsi="Times New Roman"/>
          <w:color w:val="000000"/>
          <w:szCs w:val="20"/>
        </w:rPr>
        <w:t xml:space="preserve"> </w:t>
      </w:r>
      <w:proofErr w:type="spellStart"/>
      <w:r w:rsidR="00315D1B" w:rsidRPr="00E16672">
        <w:rPr>
          <w:rFonts w:ascii="Times New Roman" w:hAnsi="Times New Roman"/>
          <w:color w:val="000000"/>
          <w:szCs w:val="20"/>
        </w:rPr>
        <w:t>електронний</w:t>
      </w:r>
      <w:proofErr w:type="spellEnd"/>
      <w:r w:rsidR="00315D1B" w:rsidRPr="00E16672">
        <w:rPr>
          <w:rFonts w:ascii="Times New Roman" w:hAnsi="Times New Roman"/>
          <w:color w:val="000000"/>
          <w:szCs w:val="20"/>
        </w:rPr>
        <w:t xml:space="preserve"> </w:t>
      </w:r>
      <w:proofErr w:type="spellStart"/>
      <w:r w:rsidR="00315D1B" w:rsidRPr="00E16672">
        <w:rPr>
          <w:rFonts w:ascii="Times New Roman" w:hAnsi="Times New Roman"/>
          <w:color w:val="000000"/>
          <w:szCs w:val="20"/>
        </w:rPr>
        <w:t>підпис</w:t>
      </w:r>
      <w:proofErr w:type="spellEnd"/>
      <w:r w:rsidRPr="00E16672">
        <w:rPr>
          <w:rFonts w:ascii="Times New Roman" w:eastAsia="Arial Unicode MS" w:hAnsi="Times New Roman"/>
          <w:szCs w:val="20"/>
        </w:rPr>
        <w:t xml:space="preserve"> за </w:t>
      </w:r>
      <w:proofErr w:type="spellStart"/>
      <w:r w:rsidRPr="00E16672">
        <w:rPr>
          <w:rFonts w:ascii="Times New Roman" w:eastAsia="Arial Unicode MS" w:hAnsi="Times New Roman"/>
          <w:szCs w:val="20"/>
        </w:rPr>
        <w:t>правовим</w:t>
      </w:r>
      <w:proofErr w:type="spellEnd"/>
      <w:r w:rsidRPr="00E16672">
        <w:rPr>
          <w:rFonts w:ascii="Times New Roman" w:eastAsia="Arial Unicode MS" w:hAnsi="Times New Roman"/>
          <w:szCs w:val="20"/>
        </w:rPr>
        <w:t xml:space="preserve"> статусом </w:t>
      </w:r>
      <w:proofErr w:type="spellStart"/>
      <w:r w:rsidRPr="00E16672">
        <w:rPr>
          <w:rFonts w:ascii="Times New Roman" w:eastAsia="Arial Unicode MS" w:hAnsi="Times New Roman"/>
          <w:szCs w:val="20"/>
        </w:rPr>
        <w:t>прирівнюється</w:t>
      </w:r>
      <w:proofErr w:type="spellEnd"/>
      <w:r w:rsidRPr="00E16672">
        <w:rPr>
          <w:rFonts w:ascii="Times New Roman" w:eastAsia="Arial Unicode MS" w:hAnsi="Times New Roman"/>
          <w:szCs w:val="20"/>
        </w:rPr>
        <w:t xml:space="preserve"> до </w:t>
      </w:r>
      <w:proofErr w:type="spellStart"/>
      <w:r w:rsidRPr="00E16672">
        <w:rPr>
          <w:rFonts w:ascii="Times New Roman" w:eastAsia="Arial Unicode MS" w:hAnsi="Times New Roman"/>
          <w:szCs w:val="20"/>
        </w:rPr>
        <w:t>власноручного</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підпису</w:t>
      </w:r>
      <w:proofErr w:type="spellEnd"/>
      <w:r w:rsidRPr="00E16672">
        <w:rPr>
          <w:rFonts w:ascii="Times New Roman" w:eastAsia="Arial Unicode MS" w:hAnsi="Times New Roman"/>
          <w:szCs w:val="20"/>
        </w:rPr>
        <w:t xml:space="preserve"> (печатки) особи, яка </w:t>
      </w:r>
      <w:proofErr w:type="spellStart"/>
      <w:r w:rsidRPr="00E16672">
        <w:rPr>
          <w:rFonts w:ascii="Times New Roman" w:eastAsia="Arial Unicode MS" w:hAnsi="Times New Roman"/>
          <w:szCs w:val="20"/>
        </w:rPr>
        <w:t>його</w:t>
      </w:r>
      <w:proofErr w:type="spellEnd"/>
      <w:r w:rsidRPr="00E16672">
        <w:rPr>
          <w:rFonts w:ascii="Times New Roman" w:eastAsia="Arial Unicode MS" w:hAnsi="Times New Roman"/>
          <w:szCs w:val="20"/>
        </w:rPr>
        <w:t xml:space="preserve"> вчинила. </w:t>
      </w:r>
      <w:proofErr w:type="spellStart"/>
      <w:r w:rsidRPr="00E16672">
        <w:rPr>
          <w:rFonts w:ascii="Times New Roman" w:eastAsia="Arial Unicode MS" w:hAnsi="Times New Roman"/>
          <w:szCs w:val="20"/>
        </w:rPr>
        <w:t>Юридична</w:t>
      </w:r>
      <w:proofErr w:type="spellEnd"/>
      <w:r w:rsidRPr="00E16672">
        <w:rPr>
          <w:rFonts w:ascii="Times New Roman" w:eastAsia="Arial Unicode MS" w:hAnsi="Times New Roman"/>
          <w:szCs w:val="20"/>
        </w:rPr>
        <w:t xml:space="preserve"> сила </w:t>
      </w:r>
      <w:proofErr w:type="spellStart"/>
      <w:r w:rsidRPr="00E16672">
        <w:rPr>
          <w:rFonts w:ascii="Times New Roman" w:eastAsia="Arial Unicode MS" w:hAnsi="Times New Roman"/>
          <w:szCs w:val="20"/>
        </w:rPr>
        <w:t>електронного</w:t>
      </w:r>
      <w:proofErr w:type="spellEnd"/>
      <w:r w:rsidRPr="00E16672">
        <w:rPr>
          <w:rFonts w:ascii="Times New Roman" w:eastAsia="Arial Unicode MS" w:hAnsi="Times New Roman"/>
          <w:szCs w:val="20"/>
        </w:rPr>
        <w:t xml:space="preserve"> документа не </w:t>
      </w:r>
      <w:proofErr w:type="spellStart"/>
      <w:r w:rsidRPr="00E16672">
        <w:rPr>
          <w:rFonts w:ascii="Times New Roman" w:eastAsia="Arial Unicode MS" w:hAnsi="Times New Roman"/>
          <w:szCs w:val="20"/>
        </w:rPr>
        <w:t>може</w:t>
      </w:r>
      <w:proofErr w:type="spellEnd"/>
      <w:r w:rsidRPr="00E16672">
        <w:rPr>
          <w:rFonts w:ascii="Times New Roman" w:eastAsia="Arial Unicode MS" w:hAnsi="Times New Roman"/>
          <w:szCs w:val="20"/>
        </w:rPr>
        <w:t xml:space="preserve"> бути </w:t>
      </w:r>
      <w:proofErr w:type="spellStart"/>
      <w:r w:rsidRPr="00E16672">
        <w:rPr>
          <w:rFonts w:ascii="Times New Roman" w:eastAsia="Arial Unicode MS" w:hAnsi="Times New Roman"/>
          <w:szCs w:val="20"/>
        </w:rPr>
        <w:t>заперечена</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виключно</w:t>
      </w:r>
      <w:proofErr w:type="spellEnd"/>
      <w:r w:rsidRPr="00E16672">
        <w:rPr>
          <w:rFonts w:ascii="Times New Roman" w:eastAsia="Arial Unicode MS" w:hAnsi="Times New Roman"/>
          <w:szCs w:val="20"/>
        </w:rPr>
        <w:t xml:space="preserve"> через те, </w:t>
      </w:r>
      <w:proofErr w:type="spellStart"/>
      <w:proofErr w:type="gramStart"/>
      <w:r w:rsidRPr="00E16672">
        <w:rPr>
          <w:rFonts w:ascii="Times New Roman" w:eastAsia="Arial Unicode MS" w:hAnsi="Times New Roman"/>
          <w:szCs w:val="20"/>
        </w:rPr>
        <w:t>що</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він</w:t>
      </w:r>
      <w:proofErr w:type="spellEnd"/>
      <w:proofErr w:type="gram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має</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електронну</w:t>
      </w:r>
      <w:proofErr w:type="spellEnd"/>
      <w:r w:rsidRPr="00E16672">
        <w:rPr>
          <w:rFonts w:ascii="Times New Roman" w:eastAsia="Arial Unicode MS" w:hAnsi="Times New Roman"/>
          <w:szCs w:val="20"/>
        </w:rPr>
        <w:t xml:space="preserve"> форму.</w:t>
      </w:r>
    </w:p>
    <w:p w14:paraId="5FDC32A7" w14:textId="77777777" w:rsidR="009A7EA8" w:rsidRPr="00E16672" w:rsidRDefault="009A7EA8" w:rsidP="009A7EA8">
      <w:pPr>
        <w:ind w:firstLine="586"/>
        <w:rPr>
          <w:rFonts w:ascii="Times New Roman" w:eastAsia="Arial Unicode MS" w:hAnsi="Times New Roman"/>
          <w:szCs w:val="20"/>
        </w:rPr>
      </w:pPr>
      <w:r w:rsidRPr="00E16672">
        <w:rPr>
          <w:rFonts w:ascii="Times New Roman" w:eastAsia="Arial Unicode MS" w:hAnsi="Times New Roman"/>
          <w:szCs w:val="20"/>
        </w:rPr>
        <w:t xml:space="preserve">14.6. </w:t>
      </w:r>
      <w:proofErr w:type="spellStart"/>
      <w:r w:rsidRPr="00E16672">
        <w:rPr>
          <w:rFonts w:ascii="Times New Roman" w:eastAsia="Arial Unicode MS" w:hAnsi="Times New Roman"/>
          <w:szCs w:val="20"/>
        </w:rPr>
        <w:t>Підписувач</w:t>
      </w:r>
      <w:proofErr w:type="spellEnd"/>
      <w:r w:rsidRPr="00E16672">
        <w:rPr>
          <w:rFonts w:ascii="Times New Roman" w:eastAsia="Arial Unicode MS" w:hAnsi="Times New Roman"/>
          <w:szCs w:val="20"/>
        </w:rPr>
        <w:t xml:space="preserve"> — особа, яка на </w:t>
      </w:r>
      <w:proofErr w:type="spellStart"/>
      <w:r w:rsidRPr="00E16672">
        <w:rPr>
          <w:rFonts w:ascii="Times New Roman" w:eastAsia="Arial Unicode MS" w:hAnsi="Times New Roman"/>
          <w:szCs w:val="20"/>
        </w:rPr>
        <w:t>законних</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підставах</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володіє</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особистим</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ключем</w:t>
      </w:r>
      <w:proofErr w:type="spellEnd"/>
      <w:r w:rsidRPr="00E16672">
        <w:rPr>
          <w:rFonts w:ascii="Times New Roman" w:eastAsia="Arial Unicode MS" w:hAnsi="Times New Roman"/>
          <w:szCs w:val="20"/>
        </w:rPr>
        <w:t xml:space="preserve"> та </w:t>
      </w:r>
      <w:proofErr w:type="spellStart"/>
      <w:r w:rsidRPr="00E16672">
        <w:rPr>
          <w:rFonts w:ascii="Times New Roman" w:eastAsia="Arial Unicode MS" w:hAnsi="Times New Roman"/>
          <w:szCs w:val="20"/>
        </w:rPr>
        <w:t>від</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свого</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імені</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накладає</w:t>
      </w:r>
      <w:proofErr w:type="spellEnd"/>
      <w:r w:rsidRPr="00E16672">
        <w:rPr>
          <w:rFonts w:ascii="Times New Roman" w:eastAsia="Arial Unicode MS" w:hAnsi="Times New Roman"/>
          <w:szCs w:val="20"/>
        </w:rPr>
        <w:t xml:space="preserve"> </w:t>
      </w:r>
      <w:proofErr w:type="spellStart"/>
      <w:r w:rsidR="00315D1B" w:rsidRPr="00E16672">
        <w:rPr>
          <w:rFonts w:ascii="Times New Roman" w:hAnsi="Times New Roman"/>
          <w:color w:val="000000"/>
          <w:szCs w:val="20"/>
        </w:rPr>
        <w:t>кваліфікованого</w:t>
      </w:r>
      <w:proofErr w:type="spellEnd"/>
      <w:r w:rsidR="00315D1B" w:rsidRPr="00E16672">
        <w:rPr>
          <w:rFonts w:ascii="Times New Roman" w:hAnsi="Times New Roman"/>
          <w:color w:val="000000"/>
          <w:szCs w:val="20"/>
        </w:rPr>
        <w:t xml:space="preserve"> </w:t>
      </w:r>
      <w:proofErr w:type="spellStart"/>
      <w:r w:rsidR="00315D1B" w:rsidRPr="00E16672">
        <w:rPr>
          <w:rFonts w:ascii="Times New Roman" w:hAnsi="Times New Roman"/>
          <w:color w:val="000000"/>
          <w:szCs w:val="20"/>
        </w:rPr>
        <w:t>електронного</w:t>
      </w:r>
      <w:proofErr w:type="spellEnd"/>
      <w:r w:rsidR="00315D1B" w:rsidRPr="00E16672">
        <w:rPr>
          <w:rFonts w:ascii="Times New Roman" w:hAnsi="Times New Roman"/>
          <w:color w:val="000000"/>
          <w:szCs w:val="20"/>
        </w:rPr>
        <w:t xml:space="preserve"> </w:t>
      </w:r>
      <w:proofErr w:type="spellStart"/>
      <w:r w:rsidR="00315D1B" w:rsidRPr="00E16672">
        <w:rPr>
          <w:rFonts w:ascii="Times New Roman" w:hAnsi="Times New Roman"/>
          <w:color w:val="000000"/>
          <w:szCs w:val="20"/>
        </w:rPr>
        <w:t>підпису</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під</w:t>
      </w:r>
      <w:proofErr w:type="spellEnd"/>
      <w:r w:rsidRPr="00E16672">
        <w:rPr>
          <w:rFonts w:ascii="Times New Roman" w:eastAsia="Arial Unicode MS" w:hAnsi="Times New Roman"/>
          <w:szCs w:val="20"/>
        </w:rPr>
        <w:t xml:space="preserve"> час </w:t>
      </w:r>
      <w:proofErr w:type="spellStart"/>
      <w:r w:rsidRPr="00E16672">
        <w:rPr>
          <w:rFonts w:ascii="Times New Roman" w:eastAsia="Arial Unicode MS" w:hAnsi="Times New Roman"/>
          <w:szCs w:val="20"/>
        </w:rPr>
        <w:t>створення</w:t>
      </w:r>
      <w:proofErr w:type="spellEnd"/>
      <w:r w:rsidRPr="00E16672">
        <w:rPr>
          <w:rFonts w:ascii="Times New Roman" w:eastAsia="Arial Unicode MS" w:hAnsi="Times New Roman"/>
          <w:szCs w:val="20"/>
        </w:rPr>
        <w:t xml:space="preserve"> та </w:t>
      </w:r>
      <w:proofErr w:type="spellStart"/>
      <w:r w:rsidRPr="00E16672">
        <w:rPr>
          <w:rFonts w:ascii="Times New Roman" w:eastAsia="Arial Unicode MS" w:hAnsi="Times New Roman"/>
          <w:szCs w:val="20"/>
        </w:rPr>
        <w:t>надсилання</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електронного</w:t>
      </w:r>
      <w:proofErr w:type="spellEnd"/>
      <w:r w:rsidRPr="00E16672">
        <w:rPr>
          <w:rFonts w:ascii="Times New Roman" w:eastAsia="Arial Unicode MS" w:hAnsi="Times New Roman"/>
          <w:szCs w:val="20"/>
        </w:rPr>
        <w:t xml:space="preserve"> документа.</w:t>
      </w:r>
    </w:p>
    <w:p w14:paraId="1D900AF6" w14:textId="77777777" w:rsidR="009A7EA8" w:rsidRPr="00E16672" w:rsidRDefault="009A7EA8" w:rsidP="009A7EA8">
      <w:pPr>
        <w:ind w:firstLine="586"/>
        <w:rPr>
          <w:rFonts w:ascii="Times New Roman" w:eastAsia="Arial Unicode MS" w:hAnsi="Times New Roman"/>
          <w:szCs w:val="20"/>
        </w:rPr>
      </w:pPr>
      <w:r w:rsidRPr="00E16672">
        <w:rPr>
          <w:rFonts w:ascii="Times New Roman" w:eastAsia="Arial Unicode MS" w:hAnsi="Times New Roman"/>
          <w:szCs w:val="20"/>
        </w:rPr>
        <w:t xml:space="preserve">14.7. </w:t>
      </w:r>
      <w:proofErr w:type="spellStart"/>
      <w:r w:rsidRPr="00E16672">
        <w:rPr>
          <w:rFonts w:ascii="Times New Roman" w:eastAsia="Arial Unicode MS" w:hAnsi="Times New Roman"/>
          <w:szCs w:val="20"/>
        </w:rPr>
        <w:t>Отримувач</w:t>
      </w:r>
      <w:proofErr w:type="spellEnd"/>
      <w:r w:rsidRPr="00E16672">
        <w:rPr>
          <w:rFonts w:ascii="Times New Roman" w:eastAsia="Arial Unicode MS" w:hAnsi="Times New Roman"/>
          <w:szCs w:val="20"/>
        </w:rPr>
        <w:t xml:space="preserve"> — особа, яка </w:t>
      </w:r>
      <w:proofErr w:type="spellStart"/>
      <w:r w:rsidRPr="00E16672">
        <w:rPr>
          <w:rFonts w:ascii="Times New Roman" w:eastAsia="Arial Unicode MS" w:hAnsi="Times New Roman"/>
          <w:szCs w:val="20"/>
        </w:rPr>
        <w:t>отримує</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електронний</w:t>
      </w:r>
      <w:proofErr w:type="spellEnd"/>
      <w:r w:rsidRPr="00E16672">
        <w:rPr>
          <w:rFonts w:ascii="Times New Roman" w:eastAsia="Arial Unicode MS" w:hAnsi="Times New Roman"/>
          <w:szCs w:val="20"/>
        </w:rPr>
        <w:t xml:space="preserve"> документ.</w:t>
      </w:r>
    </w:p>
    <w:p w14:paraId="3A012E20" w14:textId="77777777" w:rsidR="009A7EA8" w:rsidRPr="00E16672" w:rsidRDefault="009A7EA8" w:rsidP="009A7EA8">
      <w:pPr>
        <w:ind w:firstLine="586"/>
        <w:rPr>
          <w:rFonts w:ascii="Times New Roman" w:eastAsia="Arial Unicode MS" w:hAnsi="Times New Roman"/>
          <w:szCs w:val="20"/>
        </w:rPr>
      </w:pPr>
      <w:r w:rsidRPr="00E16672">
        <w:rPr>
          <w:rFonts w:ascii="Times New Roman" w:eastAsia="Arial Unicode MS" w:hAnsi="Times New Roman"/>
          <w:szCs w:val="20"/>
        </w:rPr>
        <w:t xml:space="preserve">14.8. </w:t>
      </w:r>
      <w:proofErr w:type="spellStart"/>
      <w:r w:rsidR="00315D1B" w:rsidRPr="00E16672">
        <w:rPr>
          <w:rFonts w:ascii="Times New Roman" w:hAnsi="Times New Roman"/>
          <w:color w:val="000000"/>
          <w:szCs w:val="20"/>
        </w:rPr>
        <w:t>Кваліфікован</w:t>
      </w:r>
      <w:r w:rsidR="00315D1B" w:rsidRPr="00E16672">
        <w:rPr>
          <w:rFonts w:ascii="Times New Roman" w:hAnsi="Times New Roman"/>
          <w:color w:val="000000"/>
          <w:szCs w:val="20"/>
          <w:lang w:val="uk-UA"/>
        </w:rPr>
        <w:t>ий</w:t>
      </w:r>
      <w:proofErr w:type="spellEnd"/>
      <w:r w:rsidR="00315D1B" w:rsidRPr="00E16672">
        <w:rPr>
          <w:rFonts w:ascii="Times New Roman" w:hAnsi="Times New Roman"/>
          <w:color w:val="000000"/>
          <w:szCs w:val="20"/>
        </w:rPr>
        <w:t xml:space="preserve"> </w:t>
      </w:r>
      <w:proofErr w:type="spellStart"/>
      <w:r w:rsidR="00315D1B" w:rsidRPr="00E16672">
        <w:rPr>
          <w:rFonts w:ascii="Times New Roman" w:hAnsi="Times New Roman"/>
          <w:color w:val="000000"/>
          <w:szCs w:val="20"/>
        </w:rPr>
        <w:t>електронн</w:t>
      </w:r>
      <w:r w:rsidR="00315D1B" w:rsidRPr="00E16672">
        <w:rPr>
          <w:rFonts w:ascii="Times New Roman" w:hAnsi="Times New Roman"/>
          <w:color w:val="000000"/>
          <w:szCs w:val="20"/>
          <w:lang w:val="uk-UA"/>
        </w:rPr>
        <w:t>ий</w:t>
      </w:r>
      <w:proofErr w:type="spellEnd"/>
      <w:r w:rsidR="00315D1B" w:rsidRPr="00E16672">
        <w:rPr>
          <w:rFonts w:ascii="Times New Roman" w:hAnsi="Times New Roman"/>
          <w:color w:val="000000"/>
          <w:szCs w:val="20"/>
        </w:rPr>
        <w:t xml:space="preserve"> </w:t>
      </w:r>
      <w:proofErr w:type="spellStart"/>
      <w:r w:rsidR="00315D1B" w:rsidRPr="00E16672">
        <w:rPr>
          <w:rFonts w:ascii="Times New Roman" w:hAnsi="Times New Roman"/>
          <w:color w:val="000000"/>
          <w:szCs w:val="20"/>
        </w:rPr>
        <w:t>підпис</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вважається</w:t>
      </w:r>
      <w:proofErr w:type="spellEnd"/>
      <w:r w:rsidRPr="00E16672">
        <w:rPr>
          <w:rFonts w:ascii="Times New Roman" w:eastAsia="Arial Unicode MS" w:hAnsi="Times New Roman"/>
          <w:szCs w:val="20"/>
        </w:rPr>
        <w:t xml:space="preserve"> таким, </w:t>
      </w:r>
      <w:proofErr w:type="spellStart"/>
      <w:r w:rsidRPr="00E16672">
        <w:rPr>
          <w:rFonts w:ascii="Times New Roman" w:eastAsia="Arial Unicode MS" w:hAnsi="Times New Roman"/>
          <w:szCs w:val="20"/>
        </w:rPr>
        <w:t>що</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відповідає</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сертифікату</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відкритого</w:t>
      </w:r>
      <w:proofErr w:type="spellEnd"/>
      <w:r w:rsidRPr="00E16672">
        <w:rPr>
          <w:rFonts w:ascii="Times New Roman" w:eastAsia="Arial Unicode MS" w:hAnsi="Times New Roman"/>
          <w:szCs w:val="20"/>
        </w:rPr>
        <w:t xml:space="preserve"> ключа, </w:t>
      </w:r>
      <w:proofErr w:type="spellStart"/>
      <w:r w:rsidRPr="00E16672">
        <w:rPr>
          <w:rFonts w:ascii="Times New Roman" w:eastAsia="Arial Unicode MS" w:hAnsi="Times New Roman"/>
          <w:szCs w:val="20"/>
        </w:rPr>
        <w:t>якщо</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особистий</w:t>
      </w:r>
      <w:proofErr w:type="spellEnd"/>
      <w:r w:rsidRPr="00E16672">
        <w:rPr>
          <w:rFonts w:ascii="Times New Roman" w:eastAsia="Arial Unicode MS" w:hAnsi="Times New Roman"/>
          <w:szCs w:val="20"/>
        </w:rPr>
        <w:t xml:space="preserve"> ключ </w:t>
      </w:r>
      <w:proofErr w:type="spellStart"/>
      <w:r w:rsidRPr="00E16672">
        <w:rPr>
          <w:rFonts w:ascii="Times New Roman" w:eastAsia="Arial Unicode MS" w:hAnsi="Times New Roman"/>
          <w:szCs w:val="20"/>
        </w:rPr>
        <w:t>підписувача</w:t>
      </w:r>
      <w:proofErr w:type="spellEnd"/>
      <w:r w:rsidRPr="00E16672">
        <w:rPr>
          <w:rFonts w:ascii="Times New Roman" w:eastAsia="Arial Unicode MS" w:hAnsi="Times New Roman"/>
          <w:szCs w:val="20"/>
        </w:rPr>
        <w:t xml:space="preserve">, </w:t>
      </w:r>
      <w:proofErr w:type="spellStart"/>
      <w:proofErr w:type="gramStart"/>
      <w:r w:rsidRPr="00E16672">
        <w:rPr>
          <w:rFonts w:ascii="Times New Roman" w:eastAsia="Arial Unicode MS" w:hAnsi="Times New Roman"/>
          <w:szCs w:val="20"/>
        </w:rPr>
        <w:t>використаний</w:t>
      </w:r>
      <w:proofErr w:type="spellEnd"/>
      <w:r w:rsidRPr="00E16672">
        <w:rPr>
          <w:rFonts w:ascii="Times New Roman" w:eastAsia="Arial Unicode MS" w:hAnsi="Times New Roman"/>
          <w:szCs w:val="20"/>
        </w:rPr>
        <w:t xml:space="preserve">  при</w:t>
      </w:r>
      <w:proofErr w:type="gram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формуванні</w:t>
      </w:r>
      <w:proofErr w:type="spellEnd"/>
      <w:r w:rsidRPr="00E16672">
        <w:rPr>
          <w:rFonts w:ascii="Times New Roman" w:eastAsia="Arial Unicode MS" w:hAnsi="Times New Roman"/>
          <w:szCs w:val="20"/>
        </w:rPr>
        <w:t xml:space="preserve"> </w:t>
      </w:r>
      <w:proofErr w:type="spellStart"/>
      <w:r w:rsidR="00315D1B" w:rsidRPr="00E16672">
        <w:rPr>
          <w:rFonts w:ascii="Times New Roman" w:hAnsi="Times New Roman"/>
          <w:color w:val="000000"/>
          <w:szCs w:val="20"/>
        </w:rPr>
        <w:t>кваліфікованого</w:t>
      </w:r>
      <w:proofErr w:type="spellEnd"/>
      <w:r w:rsidR="00315D1B" w:rsidRPr="00E16672">
        <w:rPr>
          <w:rFonts w:ascii="Times New Roman" w:hAnsi="Times New Roman"/>
          <w:color w:val="000000"/>
          <w:szCs w:val="20"/>
        </w:rPr>
        <w:t xml:space="preserve"> </w:t>
      </w:r>
      <w:proofErr w:type="spellStart"/>
      <w:r w:rsidR="00315D1B" w:rsidRPr="00E16672">
        <w:rPr>
          <w:rFonts w:ascii="Times New Roman" w:hAnsi="Times New Roman"/>
          <w:color w:val="000000"/>
          <w:szCs w:val="20"/>
        </w:rPr>
        <w:t>електронного</w:t>
      </w:r>
      <w:proofErr w:type="spellEnd"/>
      <w:r w:rsidR="00315D1B" w:rsidRPr="00E16672">
        <w:rPr>
          <w:rFonts w:ascii="Times New Roman" w:hAnsi="Times New Roman"/>
          <w:color w:val="000000"/>
          <w:szCs w:val="20"/>
        </w:rPr>
        <w:t xml:space="preserve"> </w:t>
      </w:r>
      <w:proofErr w:type="spellStart"/>
      <w:r w:rsidR="00315D1B" w:rsidRPr="00E16672">
        <w:rPr>
          <w:rFonts w:ascii="Times New Roman" w:hAnsi="Times New Roman"/>
          <w:color w:val="000000"/>
          <w:szCs w:val="20"/>
        </w:rPr>
        <w:t>підпису</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відповідає</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відкритому</w:t>
      </w:r>
      <w:proofErr w:type="spellEnd"/>
      <w:r w:rsidRPr="00E16672">
        <w:rPr>
          <w:rFonts w:ascii="Times New Roman" w:eastAsia="Arial Unicode MS" w:hAnsi="Times New Roman"/>
          <w:szCs w:val="20"/>
        </w:rPr>
        <w:t xml:space="preserve"> ключу, </w:t>
      </w:r>
      <w:proofErr w:type="spellStart"/>
      <w:r w:rsidRPr="00E16672">
        <w:rPr>
          <w:rFonts w:ascii="Times New Roman" w:eastAsia="Arial Unicode MS" w:hAnsi="Times New Roman"/>
          <w:szCs w:val="20"/>
        </w:rPr>
        <w:t>зазначеному</w:t>
      </w:r>
      <w:proofErr w:type="spellEnd"/>
      <w:r w:rsidRPr="00E16672">
        <w:rPr>
          <w:rFonts w:ascii="Times New Roman" w:eastAsia="Arial Unicode MS" w:hAnsi="Times New Roman"/>
          <w:szCs w:val="20"/>
        </w:rPr>
        <w:t xml:space="preserve"> у </w:t>
      </w:r>
      <w:proofErr w:type="spellStart"/>
      <w:r w:rsidRPr="00E16672">
        <w:rPr>
          <w:rFonts w:ascii="Times New Roman" w:eastAsia="Arial Unicode MS" w:hAnsi="Times New Roman"/>
          <w:szCs w:val="20"/>
        </w:rPr>
        <w:t>сертифікаті</w:t>
      </w:r>
      <w:proofErr w:type="spellEnd"/>
      <w:r w:rsidRPr="00E16672">
        <w:rPr>
          <w:rFonts w:ascii="Times New Roman" w:eastAsia="Arial Unicode MS" w:hAnsi="Times New Roman"/>
          <w:szCs w:val="20"/>
        </w:rPr>
        <w:t>.</w:t>
      </w:r>
    </w:p>
    <w:p w14:paraId="5A534249" w14:textId="77777777" w:rsidR="009A7EA8" w:rsidRPr="00E16672" w:rsidRDefault="009A7EA8" w:rsidP="009A7EA8">
      <w:pPr>
        <w:ind w:firstLine="586"/>
        <w:rPr>
          <w:rFonts w:ascii="Times New Roman" w:eastAsia="Arial Unicode MS" w:hAnsi="Times New Roman"/>
          <w:szCs w:val="20"/>
        </w:rPr>
      </w:pPr>
      <w:r w:rsidRPr="00E16672">
        <w:rPr>
          <w:rFonts w:ascii="Times New Roman" w:eastAsia="Arial Unicode MS" w:hAnsi="Times New Roman"/>
          <w:szCs w:val="20"/>
        </w:rPr>
        <w:t xml:space="preserve">14.9. </w:t>
      </w:r>
      <w:proofErr w:type="spellStart"/>
      <w:r w:rsidRPr="00E16672">
        <w:rPr>
          <w:rFonts w:ascii="Times New Roman" w:eastAsia="Arial Unicode MS" w:hAnsi="Times New Roman"/>
          <w:szCs w:val="20"/>
        </w:rPr>
        <w:t>Відповідно</w:t>
      </w:r>
      <w:proofErr w:type="spellEnd"/>
      <w:r w:rsidRPr="00E16672">
        <w:rPr>
          <w:rFonts w:ascii="Times New Roman" w:eastAsia="Arial Unicode MS" w:hAnsi="Times New Roman"/>
          <w:szCs w:val="20"/>
        </w:rPr>
        <w:t xml:space="preserve"> до </w:t>
      </w:r>
      <w:proofErr w:type="spellStart"/>
      <w:r w:rsidRPr="00E16672">
        <w:rPr>
          <w:rFonts w:ascii="Times New Roman" w:eastAsia="Arial Unicode MS" w:hAnsi="Times New Roman"/>
          <w:szCs w:val="20"/>
        </w:rPr>
        <w:t>цього</w:t>
      </w:r>
      <w:proofErr w:type="spellEnd"/>
      <w:r w:rsidRPr="00E16672">
        <w:rPr>
          <w:rFonts w:ascii="Times New Roman" w:eastAsia="Arial Unicode MS" w:hAnsi="Times New Roman"/>
          <w:szCs w:val="20"/>
        </w:rPr>
        <w:t xml:space="preserve"> Договору </w:t>
      </w:r>
      <w:proofErr w:type="spellStart"/>
      <w:r w:rsidRPr="00E16672">
        <w:rPr>
          <w:rFonts w:ascii="Times New Roman" w:eastAsia="Arial Unicode MS" w:hAnsi="Times New Roman"/>
          <w:szCs w:val="20"/>
        </w:rPr>
        <w:t>Сторони</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зобов'язуються</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визнавати</w:t>
      </w:r>
      <w:proofErr w:type="spellEnd"/>
      <w:r w:rsidRPr="00E16672">
        <w:rPr>
          <w:rFonts w:ascii="Times New Roman" w:eastAsia="Arial Unicode MS" w:hAnsi="Times New Roman"/>
          <w:szCs w:val="20"/>
        </w:rPr>
        <w:t xml:space="preserve"> </w:t>
      </w:r>
      <w:proofErr w:type="spellStart"/>
      <w:r w:rsidR="00315D1B" w:rsidRPr="00E16672">
        <w:rPr>
          <w:rFonts w:ascii="Times New Roman" w:hAnsi="Times New Roman"/>
          <w:color w:val="000000"/>
          <w:szCs w:val="20"/>
        </w:rPr>
        <w:t>кваліфікованого</w:t>
      </w:r>
      <w:proofErr w:type="spellEnd"/>
      <w:r w:rsidR="00315D1B" w:rsidRPr="00E16672">
        <w:rPr>
          <w:rFonts w:ascii="Times New Roman" w:hAnsi="Times New Roman"/>
          <w:color w:val="000000"/>
          <w:szCs w:val="20"/>
        </w:rPr>
        <w:t xml:space="preserve"> </w:t>
      </w:r>
      <w:proofErr w:type="spellStart"/>
      <w:r w:rsidR="00315D1B" w:rsidRPr="00E16672">
        <w:rPr>
          <w:rFonts w:ascii="Times New Roman" w:hAnsi="Times New Roman"/>
          <w:color w:val="000000"/>
          <w:szCs w:val="20"/>
        </w:rPr>
        <w:t>електронного</w:t>
      </w:r>
      <w:proofErr w:type="spellEnd"/>
      <w:r w:rsidR="00315D1B" w:rsidRPr="00E16672">
        <w:rPr>
          <w:rFonts w:ascii="Times New Roman" w:hAnsi="Times New Roman"/>
          <w:color w:val="000000"/>
          <w:szCs w:val="20"/>
        </w:rPr>
        <w:t xml:space="preserve"> </w:t>
      </w:r>
      <w:proofErr w:type="spellStart"/>
      <w:r w:rsidR="00315D1B" w:rsidRPr="00E16672">
        <w:rPr>
          <w:rFonts w:ascii="Times New Roman" w:hAnsi="Times New Roman"/>
          <w:color w:val="000000"/>
          <w:szCs w:val="20"/>
        </w:rPr>
        <w:t>підпису</w:t>
      </w:r>
      <w:proofErr w:type="spellEnd"/>
      <w:r w:rsidRPr="00E16672">
        <w:rPr>
          <w:rFonts w:ascii="Times New Roman" w:eastAsia="Arial Unicode MS" w:hAnsi="Times New Roman"/>
          <w:szCs w:val="20"/>
        </w:rPr>
        <w:t xml:space="preserve"> як </w:t>
      </w:r>
      <w:proofErr w:type="spellStart"/>
      <w:r w:rsidRPr="00E16672">
        <w:rPr>
          <w:rFonts w:ascii="Times New Roman" w:eastAsia="Arial Unicode MS" w:hAnsi="Times New Roman"/>
          <w:szCs w:val="20"/>
        </w:rPr>
        <w:t>такий</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що</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надає</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юридичної</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сили</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електронним</w:t>
      </w:r>
      <w:proofErr w:type="spellEnd"/>
      <w:r w:rsidRPr="00E16672">
        <w:rPr>
          <w:rFonts w:ascii="Times New Roman" w:eastAsia="Arial Unicode MS" w:hAnsi="Times New Roman"/>
          <w:szCs w:val="20"/>
        </w:rPr>
        <w:t xml:space="preserve"> документам, </w:t>
      </w:r>
      <w:proofErr w:type="spellStart"/>
      <w:r w:rsidRPr="00E16672">
        <w:rPr>
          <w:rFonts w:ascii="Times New Roman" w:eastAsia="Arial Unicode MS" w:hAnsi="Times New Roman"/>
          <w:szCs w:val="20"/>
        </w:rPr>
        <w:t>сформованим</w:t>
      </w:r>
      <w:proofErr w:type="spellEnd"/>
      <w:r w:rsidRPr="00E16672">
        <w:rPr>
          <w:rFonts w:ascii="Times New Roman" w:eastAsia="Arial Unicode MS" w:hAnsi="Times New Roman"/>
          <w:szCs w:val="20"/>
        </w:rPr>
        <w:t xml:space="preserve"> з </w:t>
      </w:r>
      <w:proofErr w:type="spellStart"/>
      <w:r w:rsidRPr="00E16672">
        <w:rPr>
          <w:rFonts w:ascii="Times New Roman" w:eastAsia="Arial Unicode MS" w:hAnsi="Times New Roman"/>
          <w:szCs w:val="20"/>
        </w:rPr>
        <w:t>його</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використанням</w:t>
      </w:r>
      <w:proofErr w:type="spellEnd"/>
      <w:r w:rsidRPr="00E16672">
        <w:rPr>
          <w:rFonts w:ascii="Times New Roman" w:eastAsia="Arial Unicode MS" w:hAnsi="Times New Roman"/>
          <w:szCs w:val="20"/>
        </w:rPr>
        <w:t>.</w:t>
      </w:r>
    </w:p>
    <w:p w14:paraId="4722E15B" w14:textId="77777777" w:rsidR="009A7EA8" w:rsidRPr="00E16672" w:rsidRDefault="009A7EA8" w:rsidP="009A7EA8">
      <w:pPr>
        <w:ind w:firstLine="586"/>
        <w:rPr>
          <w:rFonts w:ascii="Times New Roman" w:eastAsia="Arial Unicode MS" w:hAnsi="Times New Roman"/>
          <w:szCs w:val="20"/>
        </w:rPr>
      </w:pPr>
      <w:r w:rsidRPr="00E16672">
        <w:rPr>
          <w:rFonts w:ascii="Times New Roman" w:eastAsia="Arial Unicode MS" w:hAnsi="Times New Roman"/>
          <w:szCs w:val="20"/>
        </w:rPr>
        <w:t xml:space="preserve">14.10. </w:t>
      </w:r>
      <w:proofErr w:type="spellStart"/>
      <w:r w:rsidRPr="00E16672">
        <w:rPr>
          <w:rFonts w:ascii="Times New Roman" w:eastAsia="Arial Unicode MS" w:hAnsi="Times New Roman"/>
          <w:szCs w:val="20"/>
        </w:rPr>
        <w:t>Визнання</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здійснюється</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отримувачем</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щодо</w:t>
      </w:r>
      <w:proofErr w:type="spellEnd"/>
      <w:r w:rsidRPr="00E16672">
        <w:rPr>
          <w:rFonts w:ascii="Times New Roman" w:eastAsia="Arial Unicode MS" w:hAnsi="Times New Roman"/>
          <w:szCs w:val="20"/>
        </w:rPr>
        <w:t xml:space="preserve"> кожного </w:t>
      </w:r>
      <w:proofErr w:type="spellStart"/>
      <w:r w:rsidRPr="00E16672">
        <w:rPr>
          <w:rFonts w:ascii="Times New Roman" w:eastAsia="Arial Unicode MS" w:hAnsi="Times New Roman"/>
          <w:szCs w:val="20"/>
        </w:rPr>
        <w:t>окремого</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електронного</w:t>
      </w:r>
      <w:proofErr w:type="spellEnd"/>
      <w:r w:rsidRPr="00E16672">
        <w:rPr>
          <w:rFonts w:ascii="Times New Roman" w:eastAsia="Arial Unicode MS" w:hAnsi="Times New Roman"/>
          <w:szCs w:val="20"/>
        </w:rPr>
        <w:t xml:space="preserve"> документа, </w:t>
      </w:r>
      <w:proofErr w:type="spellStart"/>
      <w:r w:rsidRPr="00E16672">
        <w:rPr>
          <w:rFonts w:ascii="Times New Roman" w:eastAsia="Arial Unicode MS" w:hAnsi="Times New Roman"/>
          <w:szCs w:val="20"/>
        </w:rPr>
        <w:t>наданого</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підписувачем</w:t>
      </w:r>
      <w:proofErr w:type="spellEnd"/>
      <w:r w:rsidRPr="00E16672">
        <w:rPr>
          <w:rFonts w:ascii="Times New Roman" w:eastAsia="Arial Unicode MS" w:hAnsi="Times New Roman"/>
          <w:szCs w:val="20"/>
        </w:rPr>
        <w:t>.</w:t>
      </w:r>
    </w:p>
    <w:p w14:paraId="202C3D0C" w14:textId="77777777" w:rsidR="009A7EA8" w:rsidRPr="00E16672" w:rsidRDefault="009A7EA8" w:rsidP="009A7EA8">
      <w:pPr>
        <w:ind w:firstLine="586"/>
        <w:rPr>
          <w:rFonts w:ascii="Times New Roman" w:hAnsi="Times New Roman"/>
          <w:szCs w:val="20"/>
          <w:shd w:val="clear" w:color="auto" w:fill="FFFFFF"/>
        </w:rPr>
      </w:pPr>
      <w:r w:rsidRPr="00E16672">
        <w:rPr>
          <w:rFonts w:ascii="Times New Roman" w:eastAsia="Arial Unicode MS" w:hAnsi="Times New Roman"/>
          <w:szCs w:val="20"/>
        </w:rPr>
        <w:t xml:space="preserve">14.11. </w:t>
      </w:r>
      <w:proofErr w:type="spellStart"/>
      <w:r w:rsidRPr="00E16672">
        <w:rPr>
          <w:rFonts w:ascii="Times New Roman" w:eastAsia="Arial Unicode MS" w:hAnsi="Times New Roman"/>
          <w:szCs w:val="20"/>
        </w:rPr>
        <w:t>Визнання</w:t>
      </w:r>
      <w:proofErr w:type="spellEnd"/>
      <w:r w:rsidRPr="00E16672">
        <w:rPr>
          <w:rFonts w:ascii="Times New Roman" w:eastAsia="Arial Unicode MS" w:hAnsi="Times New Roman"/>
          <w:szCs w:val="20"/>
        </w:rPr>
        <w:t xml:space="preserve"> </w:t>
      </w:r>
      <w:proofErr w:type="spellStart"/>
      <w:r w:rsidR="00315D1B" w:rsidRPr="00E16672">
        <w:rPr>
          <w:rFonts w:ascii="Times New Roman" w:hAnsi="Times New Roman"/>
          <w:color w:val="000000"/>
          <w:szCs w:val="20"/>
        </w:rPr>
        <w:t>кваліфікованого</w:t>
      </w:r>
      <w:proofErr w:type="spellEnd"/>
      <w:r w:rsidR="00315D1B" w:rsidRPr="00E16672">
        <w:rPr>
          <w:rFonts w:ascii="Times New Roman" w:hAnsi="Times New Roman"/>
          <w:color w:val="000000"/>
          <w:szCs w:val="20"/>
        </w:rPr>
        <w:t xml:space="preserve"> </w:t>
      </w:r>
      <w:proofErr w:type="spellStart"/>
      <w:r w:rsidR="00315D1B" w:rsidRPr="00E16672">
        <w:rPr>
          <w:rFonts w:ascii="Times New Roman" w:hAnsi="Times New Roman"/>
          <w:color w:val="000000"/>
          <w:szCs w:val="20"/>
        </w:rPr>
        <w:t>електронного</w:t>
      </w:r>
      <w:proofErr w:type="spellEnd"/>
      <w:r w:rsidR="00315D1B" w:rsidRPr="00E16672">
        <w:rPr>
          <w:rFonts w:ascii="Times New Roman" w:hAnsi="Times New Roman"/>
          <w:color w:val="000000"/>
          <w:szCs w:val="20"/>
        </w:rPr>
        <w:t xml:space="preserve"> </w:t>
      </w:r>
      <w:proofErr w:type="spellStart"/>
      <w:r w:rsidR="00315D1B" w:rsidRPr="00E16672">
        <w:rPr>
          <w:rFonts w:ascii="Times New Roman" w:hAnsi="Times New Roman"/>
          <w:color w:val="000000"/>
          <w:szCs w:val="20"/>
        </w:rPr>
        <w:t>підпису</w:t>
      </w:r>
      <w:proofErr w:type="spellEnd"/>
      <w:r w:rsidRPr="00E16672">
        <w:rPr>
          <w:rFonts w:ascii="Times New Roman" w:eastAsia="Arial Unicode MS" w:hAnsi="Times New Roman"/>
          <w:szCs w:val="20"/>
        </w:rPr>
        <w:t xml:space="preserve"> — </w:t>
      </w:r>
      <w:proofErr w:type="spellStart"/>
      <w:r w:rsidRPr="00E16672">
        <w:rPr>
          <w:rFonts w:ascii="Times New Roman" w:eastAsia="Arial Unicode MS" w:hAnsi="Times New Roman"/>
          <w:szCs w:val="20"/>
        </w:rPr>
        <w:t>визначення</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відповідності</w:t>
      </w:r>
      <w:proofErr w:type="spellEnd"/>
      <w:r w:rsidRPr="00E16672">
        <w:rPr>
          <w:rFonts w:ascii="Times New Roman" w:eastAsia="Arial Unicode MS" w:hAnsi="Times New Roman"/>
          <w:szCs w:val="20"/>
        </w:rPr>
        <w:t xml:space="preserve"> </w:t>
      </w:r>
      <w:proofErr w:type="spellStart"/>
      <w:r w:rsidR="00315D1B" w:rsidRPr="00E16672">
        <w:rPr>
          <w:rFonts w:ascii="Times New Roman" w:hAnsi="Times New Roman"/>
          <w:color w:val="000000"/>
          <w:szCs w:val="20"/>
        </w:rPr>
        <w:t>кваліфікованого</w:t>
      </w:r>
      <w:proofErr w:type="spellEnd"/>
      <w:r w:rsidR="00315D1B" w:rsidRPr="00E16672">
        <w:rPr>
          <w:rFonts w:ascii="Times New Roman" w:hAnsi="Times New Roman"/>
          <w:color w:val="000000"/>
          <w:szCs w:val="20"/>
        </w:rPr>
        <w:t xml:space="preserve"> </w:t>
      </w:r>
      <w:proofErr w:type="spellStart"/>
      <w:r w:rsidR="00315D1B" w:rsidRPr="00E16672">
        <w:rPr>
          <w:rFonts w:ascii="Times New Roman" w:hAnsi="Times New Roman"/>
          <w:color w:val="000000"/>
          <w:szCs w:val="20"/>
        </w:rPr>
        <w:t>електронного</w:t>
      </w:r>
      <w:proofErr w:type="spellEnd"/>
      <w:r w:rsidR="00315D1B" w:rsidRPr="00E16672">
        <w:rPr>
          <w:rFonts w:ascii="Times New Roman" w:hAnsi="Times New Roman"/>
          <w:color w:val="000000"/>
          <w:szCs w:val="20"/>
        </w:rPr>
        <w:t xml:space="preserve"> </w:t>
      </w:r>
      <w:proofErr w:type="spellStart"/>
      <w:r w:rsidR="00315D1B" w:rsidRPr="00E16672">
        <w:rPr>
          <w:rFonts w:ascii="Times New Roman" w:hAnsi="Times New Roman"/>
          <w:color w:val="000000"/>
          <w:szCs w:val="20"/>
        </w:rPr>
        <w:t>підпису</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сертифікату</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відкритого</w:t>
      </w:r>
      <w:proofErr w:type="spellEnd"/>
      <w:r w:rsidRPr="00E16672">
        <w:rPr>
          <w:rFonts w:ascii="Times New Roman" w:eastAsia="Arial Unicode MS" w:hAnsi="Times New Roman"/>
          <w:szCs w:val="20"/>
        </w:rPr>
        <w:t xml:space="preserve"> ключа </w:t>
      </w:r>
      <w:proofErr w:type="spellStart"/>
      <w:r w:rsidRPr="00E16672">
        <w:rPr>
          <w:rFonts w:ascii="Times New Roman" w:eastAsia="Arial Unicode MS" w:hAnsi="Times New Roman"/>
          <w:szCs w:val="20"/>
        </w:rPr>
        <w:t>підписувача</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який</w:t>
      </w:r>
      <w:proofErr w:type="spellEnd"/>
      <w:r w:rsidRPr="00E16672">
        <w:rPr>
          <w:rFonts w:ascii="Times New Roman" w:eastAsia="Arial Unicode MS" w:hAnsi="Times New Roman"/>
          <w:szCs w:val="20"/>
        </w:rPr>
        <w:t xml:space="preserve"> є </w:t>
      </w:r>
      <w:proofErr w:type="spellStart"/>
      <w:r w:rsidRPr="00E16672">
        <w:rPr>
          <w:rFonts w:ascii="Times New Roman" w:eastAsia="Arial Unicode MS" w:hAnsi="Times New Roman"/>
          <w:szCs w:val="20"/>
        </w:rPr>
        <w:t>чинним</w:t>
      </w:r>
      <w:proofErr w:type="spellEnd"/>
      <w:r w:rsidRPr="00E16672">
        <w:rPr>
          <w:rFonts w:ascii="Times New Roman" w:eastAsia="Arial Unicode MS" w:hAnsi="Times New Roman"/>
          <w:szCs w:val="20"/>
        </w:rPr>
        <w:t xml:space="preserve">, та </w:t>
      </w:r>
      <w:proofErr w:type="spellStart"/>
      <w:r w:rsidRPr="00E16672">
        <w:rPr>
          <w:rFonts w:ascii="Times New Roman" w:eastAsia="Arial Unicode MS" w:hAnsi="Times New Roman"/>
          <w:szCs w:val="20"/>
        </w:rPr>
        <w:t>визнання</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підпису</w:t>
      </w:r>
      <w:proofErr w:type="spellEnd"/>
      <w:r w:rsidRPr="00E16672">
        <w:rPr>
          <w:rFonts w:ascii="Times New Roman" w:eastAsia="Arial Unicode MS" w:hAnsi="Times New Roman"/>
          <w:szCs w:val="20"/>
        </w:rPr>
        <w:t xml:space="preserve"> таким, </w:t>
      </w:r>
      <w:proofErr w:type="spellStart"/>
      <w:r w:rsidRPr="00E16672">
        <w:rPr>
          <w:rFonts w:ascii="Times New Roman" w:eastAsia="Arial Unicode MS" w:hAnsi="Times New Roman"/>
          <w:szCs w:val="20"/>
        </w:rPr>
        <w:t>що</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надає</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юридичної</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сили</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отриманим</w:t>
      </w:r>
      <w:proofErr w:type="spellEnd"/>
      <w:r w:rsidRPr="00E16672">
        <w:rPr>
          <w:rFonts w:ascii="Times New Roman" w:eastAsia="Arial Unicode MS" w:hAnsi="Times New Roman"/>
          <w:szCs w:val="20"/>
        </w:rPr>
        <w:t xml:space="preserve"> стороною </w:t>
      </w:r>
      <w:proofErr w:type="spellStart"/>
      <w:r w:rsidRPr="00E16672">
        <w:rPr>
          <w:rFonts w:ascii="Times New Roman" w:eastAsia="Arial Unicode MS" w:hAnsi="Times New Roman"/>
          <w:szCs w:val="20"/>
        </w:rPr>
        <w:t>електронним</w:t>
      </w:r>
      <w:proofErr w:type="spellEnd"/>
      <w:r w:rsidRPr="00E16672">
        <w:rPr>
          <w:rFonts w:ascii="Times New Roman" w:eastAsia="Arial Unicode MS" w:hAnsi="Times New Roman"/>
          <w:szCs w:val="20"/>
        </w:rPr>
        <w:t xml:space="preserve"> документам, </w:t>
      </w:r>
      <w:proofErr w:type="spellStart"/>
      <w:r w:rsidRPr="00E16672">
        <w:rPr>
          <w:rFonts w:ascii="Times New Roman" w:eastAsia="Arial Unicode MS" w:hAnsi="Times New Roman"/>
          <w:szCs w:val="20"/>
        </w:rPr>
        <w:t>сформованим</w:t>
      </w:r>
      <w:proofErr w:type="spellEnd"/>
      <w:r w:rsidRPr="00E16672">
        <w:rPr>
          <w:rFonts w:ascii="Times New Roman" w:eastAsia="Arial Unicode MS" w:hAnsi="Times New Roman"/>
          <w:szCs w:val="20"/>
        </w:rPr>
        <w:t xml:space="preserve"> з </w:t>
      </w:r>
      <w:proofErr w:type="spellStart"/>
      <w:r w:rsidRPr="00E16672">
        <w:rPr>
          <w:rFonts w:ascii="Times New Roman" w:eastAsia="Arial Unicode MS" w:hAnsi="Times New Roman"/>
          <w:szCs w:val="20"/>
        </w:rPr>
        <w:t>його</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використанням</w:t>
      </w:r>
      <w:proofErr w:type="spellEnd"/>
      <w:r w:rsidRPr="00E16672">
        <w:rPr>
          <w:rFonts w:ascii="Times New Roman" w:hAnsi="Times New Roman"/>
          <w:szCs w:val="20"/>
          <w:shd w:val="clear" w:color="auto" w:fill="FFFFFF"/>
        </w:rPr>
        <w:t xml:space="preserve">.      </w:t>
      </w:r>
    </w:p>
    <w:p w14:paraId="5C2EB8CB" w14:textId="77777777" w:rsidR="005C5318" w:rsidRPr="00E16672" w:rsidRDefault="005C5318" w:rsidP="009A7EA8">
      <w:pPr>
        <w:pStyle w:val="1"/>
        <w:widowControl w:val="0"/>
        <w:tabs>
          <w:tab w:val="left" w:pos="0"/>
          <w:tab w:val="left" w:pos="432"/>
        </w:tabs>
        <w:ind w:left="432" w:hanging="432"/>
        <w:rPr>
          <w:rFonts w:ascii="Times New Roman" w:hAnsi="Times New Roman" w:cs="Times New Roman"/>
          <w:sz w:val="20"/>
          <w:szCs w:val="20"/>
        </w:rPr>
      </w:pPr>
    </w:p>
    <w:p w14:paraId="07742FDF" w14:textId="77777777" w:rsidR="009A7EA8" w:rsidRPr="00E16672" w:rsidRDefault="009A7EA8" w:rsidP="009A7EA8">
      <w:pPr>
        <w:pStyle w:val="1"/>
        <w:widowControl w:val="0"/>
        <w:tabs>
          <w:tab w:val="left" w:pos="0"/>
          <w:tab w:val="left" w:pos="432"/>
        </w:tabs>
        <w:ind w:left="432" w:hanging="432"/>
        <w:rPr>
          <w:rFonts w:ascii="Times New Roman" w:hAnsi="Times New Roman" w:cs="Times New Roman"/>
          <w:sz w:val="20"/>
          <w:szCs w:val="20"/>
        </w:rPr>
      </w:pPr>
      <w:r w:rsidRPr="00E16672">
        <w:rPr>
          <w:rFonts w:ascii="Times New Roman" w:hAnsi="Times New Roman" w:cs="Times New Roman"/>
          <w:sz w:val="20"/>
          <w:szCs w:val="20"/>
        </w:rPr>
        <w:t>15. ЗАКЛЮЧНІ ПОЛОЖЕННЯ</w:t>
      </w:r>
    </w:p>
    <w:p w14:paraId="0F5D359D" w14:textId="77777777" w:rsidR="009A7EA8" w:rsidRPr="00E16672" w:rsidRDefault="009A7EA8" w:rsidP="001456E9">
      <w:pPr>
        <w:ind w:firstLine="586"/>
        <w:rPr>
          <w:rFonts w:ascii="Times New Roman" w:eastAsia="Arial Unicode MS" w:hAnsi="Times New Roman"/>
          <w:szCs w:val="20"/>
        </w:rPr>
      </w:pPr>
      <w:r w:rsidRPr="00E16672">
        <w:rPr>
          <w:rFonts w:ascii="Times New Roman" w:eastAsia="Arial Unicode MS" w:hAnsi="Times New Roman"/>
          <w:szCs w:val="20"/>
        </w:rPr>
        <w:t xml:space="preserve">15.1. </w:t>
      </w:r>
      <w:proofErr w:type="spellStart"/>
      <w:r w:rsidRPr="00E16672">
        <w:rPr>
          <w:rFonts w:ascii="Times New Roman" w:eastAsia="Arial Unicode MS" w:hAnsi="Times New Roman"/>
          <w:szCs w:val="20"/>
        </w:rPr>
        <w:t>Цей</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Договір</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укладено</w:t>
      </w:r>
      <w:proofErr w:type="spellEnd"/>
      <w:r w:rsidRPr="00E16672">
        <w:rPr>
          <w:rFonts w:ascii="Times New Roman" w:eastAsia="Arial Unicode MS" w:hAnsi="Times New Roman"/>
          <w:szCs w:val="20"/>
        </w:rPr>
        <w:t xml:space="preserve"> в </w:t>
      </w:r>
      <w:proofErr w:type="spellStart"/>
      <w:r w:rsidRPr="00E16672">
        <w:rPr>
          <w:rFonts w:ascii="Times New Roman" w:eastAsia="Arial Unicode MS" w:hAnsi="Times New Roman"/>
          <w:szCs w:val="20"/>
        </w:rPr>
        <w:t>двох</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оригінальних</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примірниках</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що</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мають</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однакову</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юридичну</w:t>
      </w:r>
      <w:proofErr w:type="spellEnd"/>
      <w:r w:rsidRPr="00E16672">
        <w:rPr>
          <w:rFonts w:ascii="Times New Roman" w:eastAsia="Arial Unicode MS" w:hAnsi="Times New Roman"/>
          <w:szCs w:val="20"/>
        </w:rPr>
        <w:t xml:space="preserve"> силу, один – для </w:t>
      </w:r>
      <w:proofErr w:type="spellStart"/>
      <w:r w:rsidRPr="00E16672">
        <w:rPr>
          <w:rFonts w:ascii="Times New Roman" w:eastAsia="Arial Unicode MS" w:hAnsi="Times New Roman"/>
          <w:szCs w:val="20"/>
        </w:rPr>
        <w:t>Емітента</w:t>
      </w:r>
      <w:proofErr w:type="spellEnd"/>
      <w:r w:rsidRPr="00E16672">
        <w:rPr>
          <w:rFonts w:ascii="Times New Roman" w:eastAsia="Arial Unicode MS" w:hAnsi="Times New Roman"/>
          <w:szCs w:val="20"/>
        </w:rPr>
        <w:t xml:space="preserve">, </w:t>
      </w:r>
      <w:proofErr w:type="spellStart"/>
      <w:r w:rsidRPr="00E16672">
        <w:rPr>
          <w:rFonts w:ascii="Times New Roman" w:eastAsia="Arial Unicode MS" w:hAnsi="Times New Roman"/>
          <w:szCs w:val="20"/>
        </w:rPr>
        <w:t>другий</w:t>
      </w:r>
      <w:proofErr w:type="spellEnd"/>
      <w:r w:rsidRPr="00E16672">
        <w:rPr>
          <w:rFonts w:ascii="Times New Roman" w:eastAsia="Arial Unicode MS" w:hAnsi="Times New Roman"/>
          <w:szCs w:val="20"/>
        </w:rPr>
        <w:t xml:space="preserve"> – для </w:t>
      </w:r>
      <w:proofErr w:type="spellStart"/>
      <w:r w:rsidRPr="00E16672">
        <w:rPr>
          <w:rFonts w:ascii="Times New Roman" w:eastAsia="Arial Unicode MS" w:hAnsi="Times New Roman"/>
          <w:szCs w:val="20"/>
        </w:rPr>
        <w:t>Депозитарної</w:t>
      </w:r>
      <w:proofErr w:type="spellEnd"/>
      <w:r w:rsidRPr="00E16672">
        <w:rPr>
          <w:rFonts w:ascii="Times New Roman" w:eastAsia="Arial Unicode MS" w:hAnsi="Times New Roman"/>
          <w:szCs w:val="20"/>
        </w:rPr>
        <w:t xml:space="preserve"> установи.</w:t>
      </w:r>
    </w:p>
    <w:p w14:paraId="05DE72F9" w14:textId="77777777" w:rsidR="005C5318" w:rsidRPr="00E16672" w:rsidRDefault="005C5318" w:rsidP="009A7EA8">
      <w:pPr>
        <w:pStyle w:val="1"/>
        <w:widowControl w:val="0"/>
        <w:tabs>
          <w:tab w:val="left" w:pos="0"/>
          <w:tab w:val="left" w:pos="432"/>
        </w:tabs>
        <w:ind w:left="432" w:hanging="432"/>
        <w:rPr>
          <w:rFonts w:ascii="Times New Roman" w:hAnsi="Times New Roman" w:cs="Times New Roman"/>
          <w:sz w:val="20"/>
          <w:szCs w:val="20"/>
        </w:rPr>
      </w:pPr>
    </w:p>
    <w:p w14:paraId="41ED7101" w14:textId="77777777" w:rsidR="00D652DD" w:rsidRPr="00E16672" w:rsidRDefault="009A7EA8" w:rsidP="009A7EA8">
      <w:pPr>
        <w:pStyle w:val="1"/>
        <w:widowControl w:val="0"/>
        <w:tabs>
          <w:tab w:val="left" w:pos="0"/>
          <w:tab w:val="left" w:pos="432"/>
        </w:tabs>
        <w:ind w:left="432" w:hanging="432"/>
        <w:rPr>
          <w:rFonts w:ascii="Times New Roman" w:hAnsi="Times New Roman" w:cs="Times New Roman"/>
          <w:sz w:val="20"/>
          <w:szCs w:val="20"/>
        </w:rPr>
      </w:pPr>
      <w:r w:rsidRPr="00E16672">
        <w:rPr>
          <w:rFonts w:ascii="Times New Roman" w:hAnsi="Times New Roman" w:cs="Times New Roman"/>
          <w:sz w:val="20"/>
          <w:szCs w:val="20"/>
        </w:rPr>
        <w:t>16</w:t>
      </w:r>
      <w:r w:rsidR="00D652DD" w:rsidRPr="00E16672">
        <w:rPr>
          <w:rFonts w:ascii="Times New Roman" w:hAnsi="Times New Roman" w:cs="Times New Roman"/>
          <w:sz w:val="20"/>
          <w:szCs w:val="20"/>
        </w:rPr>
        <w:t>. РЕКВІЗИТИ СТОРІН</w:t>
      </w:r>
    </w:p>
    <w:p w14:paraId="4D151631" w14:textId="77777777" w:rsidR="00D652DD" w:rsidRPr="00E16672" w:rsidRDefault="00D652DD" w:rsidP="00D652DD">
      <w:pPr>
        <w:rPr>
          <w:rFonts w:ascii="Times New Roman" w:hAnsi="Times New Roman"/>
          <w:lang w:val="uk-UA"/>
        </w:rPr>
      </w:pPr>
    </w:p>
    <w:tbl>
      <w:tblPr>
        <w:tblW w:w="10961" w:type="dxa"/>
        <w:tblInd w:w="158" w:type="dxa"/>
        <w:tblLayout w:type="fixed"/>
        <w:tblLook w:val="0000" w:firstRow="0" w:lastRow="0" w:firstColumn="0" w:lastColumn="0" w:noHBand="0" w:noVBand="0"/>
      </w:tblPr>
      <w:tblGrid>
        <w:gridCol w:w="2394"/>
        <w:gridCol w:w="231"/>
        <w:gridCol w:w="2625"/>
        <w:gridCol w:w="236"/>
        <w:gridCol w:w="2737"/>
        <w:gridCol w:w="124"/>
        <w:gridCol w:w="2614"/>
      </w:tblGrid>
      <w:tr w:rsidR="00D652DD" w:rsidRPr="00E16672" w14:paraId="42B8F66E" w14:textId="77777777" w:rsidTr="008D2325">
        <w:trPr>
          <w:trHeight w:val="295"/>
        </w:trPr>
        <w:tc>
          <w:tcPr>
            <w:tcW w:w="5250" w:type="dxa"/>
            <w:gridSpan w:val="3"/>
            <w:shd w:val="clear" w:color="auto" w:fill="auto"/>
          </w:tcPr>
          <w:p w14:paraId="3D01460B" w14:textId="77777777" w:rsidR="00D652DD" w:rsidRPr="00E16672" w:rsidRDefault="00D652DD" w:rsidP="00D652DD">
            <w:pPr>
              <w:pStyle w:val="4"/>
              <w:keepNext w:val="0"/>
              <w:numPr>
                <w:ilvl w:val="0"/>
                <w:numId w:val="0"/>
              </w:numPr>
              <w:snapToGrid w:val="0"/>
              <w:ind w:left="-12" w:right="105" w:hanging="25"/>
              <w:rPr>
                <w:rFonts w:ascii="Times New Roman" w:hAnsi="Times New Roman"/>
                <w:iCs/>
                <w:color w:val="000000"/>
                <w:sz w:val="18"/>
                <w:szCs w:val="18"/>
              </w:rPr>
            </w:pPr>
            <w:r w:rsidRPr="00E16672">
              <w:rPr>
                <w:rFonts w:ascii="Times New Roman" w:hAnsi="Times New Roman"/>
                <w:iCs/>
                <w:color w:val="000000"/>
                <w:sz w:val="18"/>
                <w:szCs w:val="18"/>
              </w:rPr>
              <w:t>Емітент:</w:t>
            </w:r>
          </w:p>
        </w:tc>
        <w:tc>
          <w:tcPr>
            <w:tcW w:w="236" w:type="dxa"/>
            <w:shd w:val="clear" w:color="auto" w:fill="auto"/>
          </w:tcPr>
          <w:p w14:paraId="74E8F194" w14:textId="77777777" w:rsidR="00D652DD" w:rsidRPr="00E16672" w:rsidRDefault="00D652DD" w:rsidP="00D652DD">
            <w:pPr>
              <w:snapToGrid w:val="0"/>
              <w:rPr>
                <w:rFonts w:ascii="Times New Roman" w:hAnsi="Times New Roman"/>
                <w:b/>
                <w:bCs/>
                <w:color w:val="000000"/>
                <w:sz w:val="18"/>
                <w:szCs w:val="18"/>
              </w:rPr>
            </w:pPr>
          </w:p>
        </w:tc>
        <w:tc>
          <w:tcPr>
            <w:tcW w:w="5475" w:type="dxa"/>
            <w:gridSpan w:val="3"/>
            <w:shd w:val="clear" w:color="auto" w:fill="auto"/>
          </w:tcPr>
          <w:p w14:paraId="2788B5F3" w14:textId="77777777" w:rsidR="00D652DD" w:rsidRPr="00E16672" w:rsidRDefault="00D652DD" w:rsidP="00D652DD">
            <w:pPr>
              <w:snapToGrid w:val="0"/>
              <w:jc w:val="center"/>
              <w:rPr>
                <w:rFonts w:ascii="Times New Roman" w:hAnsi="Times New Roman"/>
                <w:b/>
                <w:bCs/>
                <w:color w:val="000000"/>
                <w:sz w:val="18"/>
                <w:szCs w:val="18"/>
              </w:rPr>
            </w:pPr>
            <w:proofErr w:type="spellStart"/>
            <w:r w:rsidRPr="00E16672">
              <w:rPr>
                <w:rFonts w:ascii="Times New Roman" w:hAnsi="Times New Roman"/>
                <w:b/>
                <w:bCs/>
                <w:color w:val="000000"/>
                <w:sz w:val="18"/>
                <w:szCs w:val="18"/>
              </w:rPr>
              <w:t>Депозитарна</w:t>
            </w:r>
            <w:proofErr w:type="spellEnd"/>
            <w:r w:rsidRPr="00E16672">
              <w:rPr>
                <w:rFonts w:ascii="Times New Roman" w:hAnsi="Times New Roman"/>
                <w:b/>
                <w:bCs/>
                <w:color w:val="000000"/>
                <w:sz w:val="18"/>
                <w:szCs w:val="18"/>
              </w:rPr>
              <w:t xml:space="preserve"> </w:t>
            </w:r>
            <w:proofErr w:type="spellStart"/>
            <w:r w:rsidRPr="00E16672">
              <w:rPr>
                <w:rFonts w:ascii="Times New Roman" w:hAnsi="Times New Roman"/>
                <w:b/>
                <w:bCs/>
                <w:color w:val="000000"/>
                <w:sz w:val="18"/>
                <w:szCs w:val="18"/>
              </w:rPr>
              <w:t>установа</w:t>
            </w:r>
            <w:proofErr w:type="spellEnd"/>
            <w:r w:rsidRPr="00E16672">
              <w:rPr>
                <w:rFonts w:ascii="Times New Roman" w:hAnsi="Times New Roman"/>
                <w:b/>
                <w:bCs/>
                <w:color w:val="000000"/>
                <w:sz w:val="18"/>
                <w:szCs w:val="18"/>
              </w:rPr>
              <w:t>:</w:t>
            </w:r>
          </w:p>
        </w:tc>
      </w:tr>
      <w:tr w:rsidR="00D652DD" w:rsidRPr="00E16672" w14:paraId="7A0BA9DD" w14:textId="77777777" w:rsidTr="008D2325">
        <w:trPr>
          <w:trHeight w:val="182"/>
        </w:trPr>
        <w:tc>
          <w:tcPr>
            <w:tcW w:w="5250" w:type="dxa"/>
            <w:gridSpan w:val="3"/>
            <w:shd w:val="clear" w:color="auto" w:fill="auto"/>
          </w:tcPr>
          <w:p w14:paraId="4CD2BAEB" w14:textId="77777777" w:rsidR="00D652DD" w:rsidRPr="00E16672" w:rsidRDefault="00D652DD" w:rsidP="00D652DD">
            <w:pPr>
              <w:snapToGrid w:val="0"/>
              <w:ind w:firstLine="6"/>
              <w:rPr>
                <w:rFonts w:ascii="Times New Roman" w:hAnsi="Times New Roman"/>
                <w:b/>
                <w:i/>
                <w:color w:val="000000"/>
                <w:sz w:val="18"/>
                <w:szCs w:val="18"/>
              </w:rPr>
            </w:pPr>
            <w:proofErr w:type="spellStart"/>
            <w:r w:rsidRPr="00E16672">
              <w:rPr>
                <w:rFonts w:ascii="Times New Roman" w:hAnsi="Times New Roman"/>
                <w:b/>
                <w:i/>
                <w:color w:val="000000"/>
                <w:sz w:val="18"/>
                <w:szCs w:val="18"/>
              </w:rPr>
              <w:t>Повне</w:t>
            </w:r>
            <w:proofErr w:type="spellEnd"/>
            <w:r w:rsidRPr="00E16672">
              <w:rPr>
                <w:rFonts w:ascii="Times New Roman" w:hAnsi="Times New Roman"/>
                <w:b/>
                <w:i/>
                <w:color w:val="000000"/>
                <w:sz w:val="18"/>
                <w:szCs w:val="18"/>
              </w:rPr>
              <w:t xml:space="preserve"> </w:t>
            </w:r>
            <w:proofErr w:type="spellStart"/>
            <w:r w:rsidRPr="00E16672">
              <w:rPr>
                <w:rFonts w:ascii="Times New Roman" w:hAnsi="Times New Roman"/>
                <w:b/>
                <w:i/>
                <w:color w:val="000000"/>
                <w:sz w:val="18"/>
                <w:szCs w:val="18"/>
              </w:rPr>
              <w:t>найменування</w:t>
            </w:r>
            <w:proofErr w:type="spellEnd"/>
            <w:r w:rsidRPr="00E16672">
              <w:rPr>
                <w:rFonts w:ascii="Times New Roman" w:hAnsi="Times New Roman"/>
                <w:b/>
                <w:i/>
                <w:color w:val="000000"/>
                <w:sz w:val="18"/>
                <w:szCs w:val="18"/>
              </w:rPr>
              <w:t xml:space="preserve"> </w:t>
            </w:r>
          </w:p>
        </w:tc>
        <w:tc>
          <w:tcPr>
            <w:tcW w:w="236" w:type="dxa"/>
            <w:shd w:val="clear" w:color="auto" w:fill="auto"/>
          </w:tcPr>
          <w:p w14:paraId="4B59A4DC" w14:textId="77777777" w:rsidR="00D652DD" w:rsidRPr="00E16672" w:rsidRDefault="00D652DD" w:rsidP="00D652DD">
            <w:pPr>
              <w:snapToGrid w:val="0"/>
              <w:rPr>
                <w:rFonts w:ascii="Times New Roman" w:hAnsi="Times New Roman"/>
                <w:b/>
                <w:bCs/>
                <w:color w:val="000000"/>
                <w:sz w:val="18"/>
                <w:szCs w:val="18"/>
              </w:rPr>
            </w:pPr>
          </w:p>
        </w:tc>
        <w:tc>
          <w:tcPr>
            <w:tcW w:w="5475" w:type="dxa"/>
            <w:gridSpan w:val="3"/>
            <w:shd w:val="clear" w:color="auto" w:fill="auto"/>
          </w:tcPr>
          <w:p w14:paraId="49165D72" w14:textId="77777777" w:rsidR="00D652DD" w:rsidRPr="00E16672" w:rsidRDefault="00D652DD" w:rsidP="00D652DD">
            <w:pPr>
              <w:pStyle w:val="4"/>
              <w:numPr>
                <w:ilvl w:val="0"/>
                <w:numId w:val="0"/>
              </w:numPr>
              <w:snapToGrid w:val="0"/>
              <w:ind w:left="1" w:right="424"/>
              <w:jc w:val="both"/>
              <w:rPr>
                <w:rFonts w:ascii="Times New Roman" w:hAnsi="Times New Roman"/>
                <w:i/>
                <w:color w:val="000000"/>
                <w:sz w:val="18"/>
                <w:szCs w:val="18"/>
              </w:rPr>
            </w:pPr>
            <w:r w:rsidRPr="00E16672">
              <w:rPr>
                <w:rFonts w:ascii="Times New Roman" w:hAnsi="Times New Roman"/>
                <w:i/>
                <w:color w:val="000000"/>
                <w:sz w:val="18"/>
                <w:szCs w:val="18"/>
              </w:rPr>
              <w:t>Повне найменування</w:t>
            </w:r>
          </w:p>
        </w:tc>
      </w:tr>
      <w:tr w:rsidR="00D652DD" w:rsidRPr="00E16672" w14:paraId="1F932FB3" w14:textId="77777777" w:rsidTr="008D2325">
        <w:trPr>
          <w:trHeight w:val="353"/>
        </w:trPr>
        <w:tc>
          <w:tcPr>
            <w:tcW w:w="5250" w:type="dxa"/>
            <w:gridSpan w:val="3"/>
            <w:shd w:val="clear" w:color="auto" w:fill="auto"/>
          </w:tcPr>
          <w:p w14:paraId="2C80801E" w14:textId="77777777" w:rsidR="00D652DD" w:rsidRPr="00E16672" w:rsidRDefault="00D652DD" w:rsidP="00D652DD">
            <w:pPr>
              <w:pStyle w:val="4"/>
              <w:keepNext w:val="0"/>
              <w:numPr>
                <w:ilvl w:val="0"/>
                <w:numId w:val="0"/>
              </w:numPr>
              <w:snapToGrid w:val="0"/>
              <w:ind w:left="1440"/>
              <w:rPr>
                <w:rFonts w:ascii="Times New Roman" w:hAnsi="Times New Roman"/>
                <w:b w:val="0"/>
                <w:bCs/>
                <w:color w:val="000000"/>
                <w:sz w:val="18"/>
                <w:szCs w:val="18"/>
              </w:rPr>
            </w:pPr>
          </w:p>
        </w:tc>
        <w:tc>
          <w:tcPr>
            <w:tcW w:w="236" w:type="dxa"/>
            <w:shd w:val="clear" w:color="auto" w:fill="auto"/>
          </w:tcPr>
          <w:p w14:paraId="58BFCA0D" w14:textId="77777777" w:rsidR="00D652DD" w:rsidRPr="00E16672" w:rsidRDefault="00D652DD" w:rsidP="00D652DD">
            <w:pPr>
              <w:snapToGrid w:val="0"/>
              <w:rPr>
                <w:rFonts w:ascii="Times New Roman" w:hAnsi="Times New Roman"/>
                <w:b/>
                <w:bCs/>
                <w:color w:val="000000"/>
                <w:sz w:val="18"/>
                <w:szCs w:val="18"/>
              </w:rPr>
            </w:pPr>
          </w:p>
        </w:tc>
        <w:tc>
          <w:tcPr>
            <w:tcW w:w="5475" w:type="dxa"/>
            <w:gridSpan w:val="3"/>
            <w:shd w:val="clear" w:color="auto" w:fill="auto"/>
          </w:tcPr>
          <w:p w14:paraId="50B735AE" w14:textId="77777777" w:rsidR="00D652DD" w:rsidRPr="00E16672" w:rsidRDefault="00D652DD" w:rsidP="00022F5F">
            <w:pPr>
              <w:pStyle w:val="3"/>
              <w:numPr>
                <w:ilvl w:val="0"/>
                <w:numId w:val="0"/>
              </w:numPr>
              <w:snapToGrid w:val="0"/>
              <w:spacing w:before="0" w:after="0"/>
              <w:ind w:left="15" w:right="219"/>
              <w:jc w:val="left"/>
              <w:rPr>
                <w:rFonts w:ascii="Times New Roman" w:hAnsi="Times New Roman" w:cs="Times New Roman"/>
                <w:b w:val="0"/>
                <w:sz w:val="18"/>
                <w:szCs w:val="18"/>
              </w:rPr>
            </w:pPr>
            <w:r w:rsidRPr="00E16672">
              <w:rPr>
                <w:rFonts w:ascii="Times New Roman" w:hAnsi="Times New Roman" w:cs="Times New Roman"/>
                <w:b w:val="0"/>
                <w:sz w:val="18"/>
                <w:szCs w:val="18"/>
              </w:rPr>
              <w:t xml:space="preserve">ТОВАРИСТВО З ОБМЕЖЕНОЮ ВІДПОВІДАЛЬНІСТЮ </w:t>
            </w:r>
            <w:r w:rsidR="00022F5F">
              <w:rPr>
                <w:rFonts w:ascii="Times New Roman" w:hAnsi="Times New Roman" w:cs="Times New Roman"/>
                <w:b w:val="0"/>
                <w:sz w:val="18"/>
                <w:szCs w:val="18"/>
              </w:rPr>
              <w:t>"</w:t>
            </w:r>
            <w:r w:rsidR="00E16672" w:rsidRPr="00E16672">
              <w:rPr>
                <w:rFonts w:ascii="Times New Roman" w:hAnsi="Times New Roman" w:cs="Times New Roman"/>
                <w:b w:val="0"/>
                <w:sz w:val="18"/>
                <w:szCs w:val="18"/>
              </w:rPr>
              <w:t>КОМЕКС ЦІННІ ПАПЕРИ</w:t>
            </w:r>
            <w:r w:rsidR="00022F5F">
              <w:rPr>
                <w:rFonts w:ascii="Times New Roman" w:hAnsi="Times New Roman" w:cs="Times New Roman"/>
                <w:b w:val="0"/>
                <w:sz w:val="18"/>
                <w:szCs w:val="18"/>
              </w:rPr>
              <w:t>"</w:t>
            </w:r>
          </w:p>
        </w:tc>
      </w:tr>
      <w:tr w:rsidR="00D652DD" w:rsidRPr="00E16672" w14:paraId="3672EB1E" w14:textId="77777777" w:rsidTr="008D2325">
        <w:tc>
          <w:tcPr>
            <w:tcW w:w="5250" w:type="dxa"/>
            <w:gridSpan w:val="3"/>
            <w:shd w:val="clear" w:color="auto" w:fill="auto"/>
          </w:tcPr>
          <w:p w14:paraId="6C99B78C" w14:textId="77777777" w:rsidR="008D2325" w:rsidRPr="00E16672" w:rsidRDefault="008D2325" w:rsidP="00D652DD">
            <w:pPr>
              <w:pStyle w:val="3"/>
              <w:numPr>
                <w:ilvl w:val="0"/>
                <w:numId w:val="0"/>
              </w:numPr>
              <w:snapToGrid w:val="0"/>
              <w:spacing w:before="0" w:after="0"/>
              <w:ind w:right="115"/>
              <w:rPr>
                <w:rFonts w:ascii="Times New Roman" w:hAnsi="Times New Roman" w:cs="Times New Roman"/>
                <w:i/>
                <w:color w:val="000000"/>
                <w:sz w:val="18"/>
                <w:szCs w:val="18"/>
              </w:rPr>
            </w:pPr>
          </w:p>
          <w:p w14:paraId="602367AC" w14:textId="77777777" w:rsidR="00D652DD" w:rsidRPr="00E16672" w:rsidRDefault="00D652DD" w:rsidP="00D652DD">
            <w:pPr>
              <w:pStyle w:val="3"/>
              <w:numPr>
                <w:ilvl w:val="0"/>
                <w:numId w:val="0"/>
              </w:numPr>
              <w:snapToGrid w:val="0"/>
              <w:spacing w:before="0" w:after="0"/>
              <w:ind w:right="115"/>
              <w:rPr>
                <w:rFonts w:ascii="Times New Roman" w:hAnsi="Times New Roman" w:cs="Times New Roman"/>
                <w:i/>
              </w:rPr>
            </w:pPr>
            <w:r w:rsidRPr="00E16672">
              <w:rPr>
                <w:rFonts w:ascii="Times New Roman" w:hAnsi="Times New Roman" w:cs="Times New Roman"/>
                <w:i/>
                <w:color w:val="000000"/>
                <w:sz w:val="18"/>
                <w:szCs w:val="18"/>
              </w:rPr>
              <w:t xml:space="preserve">Ідентифікаційний код юридичної особи </w:t>
            </w:r>
            <w:r w:rsidRPr="00E16672">
              <w:rPr>
                <w:rFonts w:ascii="Times New Roman" w:hAnsi="Times New Roman" w:cs="Times New Roman"/>
                <w:b w:val="0"/>
                <w:i/>
                <w:color w:val="000000"/>
                <w:sz w:val="18"/>
                <w:szCs w:val="18"/>
              </w:rPr>
              <w:t>(код за ЄДРПОУ)</w:t>
            </w:r>
            <w:r w:rsidRPr="00E16672">
              <w:rPr>
                <w:rFonts w:ascii="Times New Roman" w:hAnsi="Times New Roman" w:cs="Times New Roman"/>
                <w:i/>
                <w:sz w:val="18"/>
              </w:rPr>
              <w:t xml:space="preserve"> </w:t>
            </w:r>
          </w:p>
        </w:tc>
        <w:tc>
          <w:tcPr>
            <w:tcW w:w="236" w:type="dxa"/>
            <w:shd w:val="clear" w:color="auto" w:fill="auto"/>
          </w:tcPr>
          <w:p w14:paraId="494D2E64" w14:textId="77777777" w:rsidR="00D652DD" w:rsidRPr="00E16672" w:rsidRDefault="00D652DD" w:rsidP="00D652DD">
            <w:pPr>
              <w:snapToGrid w:val="0"/>
              <w:rPr>
                <w:rFonts w:ascii="Times New Roman" w:hAnsi="Times New Roman"/>
                <w:b/>
                <w:bCs/>
                <w:color w:val="000000"/>
                <w:sz w:val="18"/>
                <w:szCs w:val="18"/>
              </w:rPr>
            </w:pPr>
          </w:p>
        </w:tc>
        <w:tc>
          <w:tcPr>
            <w:tcW w:w="5475" w:type="dxa"/>
            <w:gridSpan w:val="3"/>
            <w:shd w:val="clear" w:color="auto" w:fill="auto"/>
          </w:tcPr>
          <w:p w14:paraId="30F9844D" w14:textId="77777777" w:rsidR="008D2325" w:rsidRPr="00E16672" w:rsidRDefault="008D2325" w:rsidP="00D652DD">
            <w:pPr>
              <w:pStyle w:val="3"/>
              <w:numPr>
                <w:ilvl w:val="0"/>
                <w:numId w:val="0"/>
              </w:numPr>
              <w:snapToGrid w:val="0"/>
              <w:spacing w:before="0" w:after="0"/>
              <w:ind w:left="15" w:right="219"/>
              <w:rPr>
                <w:rFonts w:ascii="Times New Roman" w:hAnsi="Times New Roman" w:cs="Times New Roman"/>
                <w:i/>
                <w:color w:val="000000"/>
                <w:sz w:val="18"/>
                <w:szCs w:val="18"/>
              </w:rPr>
            </w:pPr>
          </w:p>
          <w:p w14:paraId="6F554CDF" w14:textId="77777777" w:rsidR="00D652DD" w:rsidRPr="00E16672" w:rsidRDefault="00D652DD" w:rsidP="00D652DD">
            <w:pPr>
              <w:pStyle w:val="3"/>
              <w:numPr>
                <w:ilvl w:val="0"/>
                <w:numId w:val="0"/>
              </w:numPr>
              <w:snapToGrid w:val="0"/>
              <w:spacing w:before="0" w:after="0"/>
              <w:ind w:left="15" w:right="219"/>
              <w:rPr>
                <w:rFonts w:ascii="Times New Roman" w:hAnsi="Times New Roman" w:cs="Times New Roman"/>
                <w:i/>
                <w:color w:val="000000"/>
                <w:sz w:val="18"/>
                <w:szCs w:val="18"/>
              </w:rPr>
            </w:pPr>
            <w:r w:rsidRPr="00E16672">
              <w:rPr>
                <w:rFonts w:ascii="Times New Roman" w:hAnsi="Times New Roman" w:cs="Times New Roman"/>
                <w:i/>
                <w:color w:val="000000"/>
                <w:sz w:val="18"/>
                <w:szCs w:val="18"/>
              </w:rPr>
              <w:t>Ідентифікаційний код юридичної особи</w:t>
            </w:r>
            <w:r w:rsidRPr="00E16672">
              <w:rPr>
                <w:rFonts w:ascii="Times New Roman" w:hAnsi="Times New Roman" w:cs="Times New Roman"/>
                <w:color w:val="000000"/>
                <w:sz w:val="18"/>
                <w:szCs w:val="18"/>
              </w:rPr>
              <w:t xml:space="preserve"> </w:t>
            </w:r>
            <w:r w:rsidRPr="00E16672">
              <w:rPr>
                <w:rFonts w:ascii="Times New Roman" w:hAnsi="Times New Roman" w:cs="Times New Roman"/>
                <w:b w:val="0"/>
                <w:i/>
                <w:color w:val="000000"/>
                <w:sz w:val="18"/>
                <w:szCs w:val="18"/>
              </w:rPr>
              <w:t>(код за ЄДРПОУ)</w:t>
            </w:r>
          </w:p>
        </w:tc>
      </w:tr>
      <w:tr w:rsidR="00D652DD" w:rsidRPr="00E16672" w14:paraId="50EE980B" w14:textId="77777777" w:rsidTr="008D2325">
        <w:tc>
          <w:tcPr>
            <w:tcW w:w="5250" w:type="dxa"/>
            <w:gridSpan w:val="3"/>
            <w:shd w:val="clear" w:color="auto" w:fill="auto"/>
          </w:tcPr>
          <w:p w14:paraId="71B2AB26" w14:textId="77777777" w:rsidR="00D652DD" w:rsidRPr="00E16672" w:rsidRDefault="00D652DD" w:rsidP="00D652DD">
            <w:pPr>
              <w:snapToGrid w:val="0"/>
              <w:ind w:firstLine="6"/>
              <w:rPr>
                <w:rFonts w:ascii="Times New Roman" w:hAnsi="Times New Roman"/>
                <w:color w:val="000000"/>
                <w:sz w:val="18"/>
                <w:szCs w:val="18"/>
              </w:rPr>
            </w:pPr>
          </w:p>
        </w:tc>
        <w:tc>
          <w:tcPr>
            <w:tcW w:w="236" w:type="dxa"/>
            <w:shd w:val="clear" w:color="auto" w:fill="auto"/>
          </w:tcPr>
          <w:p w14:paraId="6E5CB50E" w14:textId="77777777" w:rsidR="00D652DD" w:rsidRPr="00E16672" w:rsidRDefault="00D652DD" w:rsidP="00D652DD">
            <w:pPr>
              <w:snapToGrid w:val="0"/>
              <w:rPr>
                <w:rFonts w:ascii="Times New Roman" w:hAnsi="Times New Roman"/>
                <w:b/>
                <w:bCs/>
                <w:color w:val="000000"/>
                <w:sz w:val="18"/>
                <w:szCs w:val="18"/>
              </w:rPr>
            </w:pPr>
          </w:p>
        </w:tc>
        <w:tc>
          <w:tcPr>
            <w:tcW w:w="5475" w:type="dxa"/>
            <w:gridSpan w:val="3"/>
            <w:shd w:val="clear" w:color="auto" w:fill="auto"/>
          </w:tcPr>
          <w:p w14:paraId="759ADBC9" w14:textId="77777777" w:rsidR="00D652DD" w:rsidRPr="00E16672" w:rsidRDefault="00E16672" w:rsidP="00D652DD">
            <w:pPr>
              <w:pStyle w:val="3"/>
              <w:numPr>
                <w:ilvl w:val="0"/>
                <w:numId w:val="0"/>
              </w:numPr>
              <w:snapToGrid w:val="0"/>
              <w:spacing w:before="0" w:after="0"/>
              <w:ind w:left="28" w:right="110"/>
              <w:rPr>
                <w:rFonts w:ascii="Times New Roman" w:hAnsi="Times New Roman" w:cs="Times New Roman"/>
                <w:b w:val="0"/>
                <w:bCs w:val="0"/>
                <w:color w:val="000000"/>
                <w:sz w:val="18"/>
                <w:szCs w:val="18"/>
              </w:rPr>
            </w:pPr>
            <w:r w:rsidRPr="00E16672">
              <w:rPr>
                <w:rFonts w:ascii="Times New Roman" w:hAnsi="Times New Roman" w:cs="Times New Roman"/>
                <w:b w:val="0"/>
                <w:bCs w:val="0"/>
                <w:color w:val="000000"/>
                <w:sz w:val="18"/>
                <w:szCs w:val="18"/>
              </w:rPr>
              <w:t>33153077</w:t>
            </w:r>
          </w:p>
        </w:tc>
      </w:tr>
      <w:tr w:rsidR="00D652DD" w:rsidRPr="00E16672" w14:paraId="6F4E1167" w14:textId="77777777" w:rsidTr="008D2325">
        <w:tc>
          <w:tcPr>
            <w:tcW w:w="5250" w:type="dxa"/>
            <w:gridSpan w:val="3"/>
            <w:shd w:val="clear" w:color="auto" w:fill="auto"/>
          </w:tcPr>
          <w:p w14:paraId="6C4BB8BB" w14:textId="77777777" w:rsidR="008D2325" w:rsidRPr="00E16672" w:rsidRDefault="008D2325" w:rsidP="00D652DD">
            <w:pPr>
              <w:pStyle w:val="4"/>
              <w:keepNext w:val="0"/>
              <w:numPr>
                <w:ilvl w:val="0"/>
                <w:numId w:val="0"/>
              </w:numPr>
              <w:snapToGrid w:val="0"/>
              <w:ind w:left="5" w:right="-8" w:hanging="13"/>
              <w:jc w:val="left"/>
              <w:rPr>
                <w:rFonts w:ascii="Times New Roman" w:hAnsi="Times New Roman"/>
                <w:i/>
                <w:iCs/>
                <w:color w:val="000000"/>
                <w:sz w:val="18"/>
                <w:szCs w:val="18"/>
              </w:rPr>
            </w:pPr>
          </w:p>
          <w:p w14:paraId="2FFADCDD" w14:textId="77777777" w:rsidR="00D652DD" w:rsidRPr="00E16672" w:rsidRDefault="00D652DD" w:rsidP="009018E7">
            <w:pPr>
              <w:pStyle w:val="4"/>
              <w:keepNext w:val="0"/>
              <w:numPr>
                <w:ilvl w:val="0"/>
                <w:numId w:val="0"/>
              </w:numPr>
              <w:snapToGrid w:val="0"/>
              <w:ind w:left="5" w:right="-8" w:hanging="13"/>
              <w:jc w:val="left"/>
              <w:rPr>
                <w:rFonts w:ascii="Times New Roman" w:hAnsi="Times New Roman"/>
              </w:rPr>
            </w:pPr>
            <w:r w:rsidRPr="00E16672">
              <w:rPr>
                <w:rFonts w:ascii="Times New Roman" w:hAnsi="Times New Roman"/>
                <w:i/>
                <w:iCs/>
                <w:color w:val="000000"/>
                <w:sz w:val="18"/>
                <w:szCs w:val="18"/>
              </w:rPr>
              <w:t xml:space="preserve">Місцезнаходження </w:t>
            </w:r>
          </w:p>
        </w:tc>
        <w:tc>
          <w:tcPr>
            <w:tcW w:w="236" w:type="dxa"/>
            <w:shd w:val="clear" w:color="auto" w:fill="auto"/>
          </w:tcPr>
          <w:p w14:paraId="45F7D8BC" w14:textId="77777777" w:rsidR="00D652DD" w:rsidRPr="00E16672" w:rsidRDefault="00D652DD" w:rsidP="00D652DD">
            <w:pPr>
              <w:snapToGrid w:val="0"/>
              <w:rPr>
                <w:rFonts w:ascii="Times New Roman" w:hAnsi="Times New Roman"/>
                <w:b/>
                <w:bCs/>
                <w:color w:val="000000"/>
                <w:sz w:val="18"/>
                <w:szCs w:val="18"/>
              </w:rPr>
            </w:pPr>
          </w:p>
        </w:tc>
        <w:tc>
          <w:tcPr>
            <w:tcW w:w="5475" w:type="dxa"/>
            <w:gridSpan w:val="3"/>
            <w:shd w:val="clear" w:color="auto" w:fill="auto"/>
          </w:tcPr>
          <w:p w14:paraId="504284F4" w14:textId="77777777" w:rsidR="008D2325" w:rsidRPr="00E16672" w:rsidRDefault="008D2325" w:rsidP="00D652DD">
            <w:pPr>
              <w:pStyle w:val="4"/>
              <w:keepNext w:val="0"/>
              <w:numPr>
                <w:ilvl w:val="0"/>
                <w:numId w:val="0"/>
              </w:numPr>
              <w:tabs>
                <w:tab w:val="left" w:pos="5640"/>
              </w:tabs>
              <w:snapToGrid w:val="0"/>
              <w:ind w:right="105"/>
              <w:jc w:val="left"/>
              <w:rPr>
                <w:rFonts w:ascii="Times New Roman" w:hAnsi="Times New Roman"/>
                <w:i/>
                <w:iCs/>
                <w:color w:val="000000"/>
                <w:sz w:val="18"/>
                <w:szCs w:val="18"/>
              </w:rPr>
            </w:pPr>
          </w:p>
          <w:p w14:paraId="22F36A9F" w14:textId="77777777" w:rsidR="00D652DD" w:rsidRPr="00E16672" w:rsidRDefault="00D652DD" w:rsidP="00D652DD">
            <w:pPr>
              <w:pStyle w:val="4"/>
              <w:keepNext w:val="0"/>
              <w:numPr>
                <w:ilvl w:val="0"/>
                <w:numId w:val="0"/>
              </w:numPr>
              <w:tabs>
                <w:tab w:val="left" w:pos="5640"/>
              </w:tabs>
              <w:snapToGrid w:val="0"/>
              <w:ind w:right="105"/>
              <w:jc w:val="left"/>
              <w:rPr>
                <w:rFonts w:ascii="Times New Roman" w:hAnsi="Times New Roman"/>
                <w:i/>
                <w:iCs/>
                <w:color w:val="000000"/>
                <w:sz w:val="18"/>
                <w:szCs w:val="18"/>
              </w:rPr>
            </w:pPr>
            <w:r w:rsidRPr="00E16672">
              <w:rPr>
                <w:rFonts w:ascii="Times New Roman" w:hAnsi="Times New Roman"/>
                <w:i/>
                <w:iCs/>
                <w:color w:val="000000"/>
                <w:sz w:val="18"/>
                <w:szCs w:val="18"/>
              </w:rPr>
              <w:t>Місцезнаходження</w:t>
            </w:r>
          </w:p>
        </w:tc>
      </w:tr>
      <w:tr w:rsidR="00D652DD" w:rsidRPr="00E16672" w14:paraId="23A3819D" w14:textId="77777777" w:rsidTr="008D2325">
        <w:tc>
          <w:tcPr>
            <w:tcW w:w="5250" w:type="dxa"/>
            <w:gridSpan w:val="3"/>
            <w:shd w:val="clear" w:color="auto" w:fill="auto"/>
          </w:tcPr>
          <w:p w14:paraId="20FE8CBD" w14:textId="77777777" w:rsidR="00D652DD" w:rsidRPr="00E16672" w:rsidRDefault="00D652DD" w:rsidP="00D652DD">
            <w:pPr>
              <w:pStyle w:val="4"/>
              <w:keepNext w:val="0"/>
              <w:numPr>
                <w:ilvl w:val="0"/>
                <w:numId w:val="0"/>
              </w:numPr>
              <w:snapToGrid w:val="0"/>
              <w:ind w:left="1440"/>
              <w:rPr>
                <w:rFonts w:ascii="Times New Roman" w:hAnsi="Times New Roman"/>
                <w:b w:val="0"/>
                <w:color w:val="000000"/>
                <w:sz w:val="18"/>
                <w:szCs w:val="18"/>
              </w:rPr>
            </w:pPr>
          </w:p>
        </w:tc>
        <w:tc>
          <w:tcPr>
            <w:tcW w:w="236" w:type="dxa"/>
            <w:shd w:val="clear" w:color="auto" w:fill="auto"/>
          </w:tcPr>
          <w:p w14:paraId="6069ECED" w14:textId="77777777" w:rsidR="00D652DD" w:rsidRPr="00E16672" w:rsidRDefault="00D652DD" w:rsidP="00D652DD">
            <w:pPr>
              <w:snapToGrid w:val="0"/>
              <w:rPr>
                <w:rFonts w:ascii="Times New Roman" w:hAnsi="Times New Roman"/>
                <w:b/>
                <w:bCs/>
                <w:color w:val="000000"/>
                <w:sz w:val="18"/>
                <w:szCs w:val="18"/>
              </w:rPr>
            </w:pPr>
          </w:p>
        </w:tc>
        <w:tc>
          <w:tcPr>
            <w:tcW w:w="5475" w:type="dxa"/>
            <w:gridSpan w:val="3"/>
            <w:shd w:val="clear" w:color="auto" w:fill="auto"/>
          </w:tcPr>
          <w:p w14:paraId="5AB317C3" w14:textId="77777777" w:rsidR="00D652DD" w:rsidRPr="00E16672" w:rsidRDefault="00622BEB" w:rsidP="008D2325">
            <w:pPr>
              <w:pStyle w:val="4"/>
              <w:snapToGrid w:val="0"/>
              <w:ind w:left="57" w:right="57" w:firstLine="0"/>
              <w:jc w:val="left"/>
              <w:rPr>
                <w:rFonts w:ascii="Times New Roman" w:hAnsi="Times New Roman"/>
                <w:color w:val="000000"/>
                <w:sz w:val="18"/>
                <w:szCs w:val="18"/>
              </w:rPr>
            </w:pPr>
            <w:r>
              <w:rPr>
                <w:rFonts w:ascii="Times New Roman" w:hAnsi="Times New Roman"/>
                <w:b w:val="0"/>
                <w:bCs/>
                <w:sz w:val="18"/>
                <w:szCs w:val="18"/>
              </w:rPr>
              <w:t xml:space="preserve">Україна, </w:t>
            </w:r>
            <w:proofErr w:type="spellStart"/>
            <w:r>
              <w:rPr>
                <w:rFonts w:ascii="Times New Roman" w:hAnsi="Times New Roman"/>
                <w:b w:val="0"/>
                <w:bCs/>
                <w:sz w:val="18"/>
                <w:szCs w:val="18"/>
              </w:rPr>
              <w:t>м.Київ</w:t>
            </w:r>
            <w:proofErr w:type="spellEnd"/>
            <w:r>
              <w:rPr>
                <w:rFonts w:ascii="Times New Roman" w:hAnsi="Times New Roman"/>
                <w:b w:val="0"/>
                <w:bCs/>
                <w:sz w:val="18"/>
                <w:szCs w:val="18"/>
              </w:rPr>
              <w:t>, Велика Васильківська (колишня Червоноармійська) вул., буд. 65</w:t>
            </w:r>
          </w:p>
        </w:tc>
      </w:tr>
      <w:tr w:rsidR="00D652DD" w:rsidRPr="00E16672" w14:paraId="76DBC752" w14:textId="77777777" w:rsidTr="008D2325">
        <w:trPr>
          <w:trHeight w:val="166"/>
        </w:trPr>
        <w:tc>
          <w:tcPr>
            <w:tcW w:w="5250" w:type="dxa"/>
            <w:gridSpan w:val="3"/>
            <w:shd w:val="clear" w:color="auto" w:fill="auto"/>
          </w:tcPr>
          <w:p w14:paraId="52B01B7B" w14:textId="77777777" w:rsidR="008D2325" w:rsidRPr="00E16672" w:rsidRDefault="008D2325" w:rsidP="00D652DD">
            <w:pPr>
              <w:pStyle w:val="4"/>
              <w:keepNext w:val="0"/>
              <w:numPr>
                <w:ilvl w:val="0"/>
                <w:numId w:val="0"/>
              </w:numPr>
              <w:snapToGrid w:val="0"/>
              <w:ind w:left="42" w:right="110"/>
              <w:jc w:val="left"/>
              <w:rPr>
                <w:rFonts w:ascii="Times New Roman" w:hAnsi="Times New Roman"/>
                <w:i/>
                <w:iCs/>
                <w:color w:val="000000"/>
                <w:sz w:val="18"/>
                <w:szCs w:val="18"/>
              </w:rPr>
            </w:pPr>
          </w:p>
          <w:p w14:paraId="491B2768" w14:textId="77777777" w:rsidR="00D652DD" w:rsidRPr="00E16672" w:rsidRDefault="00D652DD" w:rsidP="00D652DD">
            <w:pPr>
              <w:pStyle w:val="4"/>
              <w:keepNext w:val="0"/>
              <w:numPr>
                <w:ilvl w:val="0"/>
                <w:numId w:val="0"/>
              </w:numPr>
              <w:snapToGrid w:val="0"/>
              <w:ind w:left="42" w:right="110"/>
              <w:jc w:val="left"/>
              <w:rPr>
                <w:rFonts w:ascii="Times New Roman" w:hAnsi="Times New Roman"/>
                <w:i/>
                <w:iCs/>
                <w:color w:val="000000"/>
                <w:sz w:val="18"/>
                <w:szCs w:val="18"/>
              </w:rPr>
            </w:pPr>
            <w:r w:rsidRPr="00E16672">
              <w:rPr>
                <w:rFonts w:ascii="Times New Roman" w:hAnsi="Times New Roman"/>
                <w:i/>
                <w:iCs/>
                <w:color w:val="000000"/>
                <w:sz w:val="18"/>
                <w:szCs w:val="18"/>
              </w:rPr>
              <w:t>Адреса для листування</w:t>
            </w:r>
          </w:p>
        </w:tc>
        <w:tc>
          <w:tcPr>
            <w:tcW w:w="236" w:type="dxa"/>
            <w:shd w:val="clear" w:color="auto" w:fill="auto"/>
          </w:tcPr>
          <w:p w14:paraId="31C3A5F0" w14:textId="77777777" w:rsidR="00D652DD" w:rsidRPr="00E16672" w:rsidRDefault="00D652DD" w:rsidP="00D652DD">
            <w:pPr>
              <w:snapToGrid w:val="0"/>
              <w:rPr>
                <w:rFonts w:ascii="Times New Roman" w:hAnsi="Times New Roman"/>
                <w:b/>
                <w:color w:val="000000"/>
                <w:sz w:val="18"/>
                <w:szCs w:val="18"/>
              </w:rPr>
            </w:pPr>
          </w:p>
        </w:tc>
        <w:tc>
          <w:tcPr>
            <w:tcW w:w="5475" w:type="dxa"/>
            <w:gridSpan w:val="3"/>
            <w:shd w:val="clear" w:color="auto" w:fill="auto"/>
          </w:tcPr>
          <w:p w14:paraId="39C1A3E8" w14:textId="77777777" w:rsidR="008D2325" w:rsidRPr="00E16672" w:rsidRDefault="008D2325" w:rsidP="00D652DD">
            <w:pPr>
              <w:pStyle w:val="4"/>
              <w:keepNext w:val="0"/>
              <w:numPr>
                <w:ilvl w:val="0"/>
                <w:numId w:val="0"/>
              </w:numPr>
              <w:snapToGrid w:val="0"/>
              <w:ind w:left="-8" w:right="105" w:hanging="13"/>
              <w:jc w:val="left"/>
              <w:rPr>
                <w:rFonts w:ascii="Times New Roman" w:hAnsi="Times New Roman"/>
                <w:i/>
                <w:iCs/>
                <w:color w:val="000000"/>
                <w:sz w:val="18"/>
                <w:szCs w:val="18"/>
              </w:rPr>
            </w:pPr>
          </w:p>
          <w:p w14:paraId="54B9CC34" w14:textId="77777777" w:rsidR="00D652DD" w:rsidRPr="00E16672" w:rsidRDefault="00D652DD" w:rsidP="00D652DD">
            <w:pPr>
              <w:pStyle w:val="4"/>
              <w:keepNext w:val="0"/>
              <w:numPr>
                <w:ilvl w:val="0"/>
                <w:numId w:val="0"/>
              </w:numPr>
              <w:snapToGrid w:val="0"/>
              <w:ind w:left="-8" w:right="105" w:hanging="13"/>
              <w:jc w:val="left"/>
              <w:rPr>
                <w:rFonts w:ascii="Times New Roman" w:hAnsi="Times New Roman"/>
                <w:i/>
                <w:iCs/>
                <w:color w:val="000000"/>
                <w:sz w:val="18"/>
                <w:szCs w:val="18"/>
              </w:rPr>
            </w:pPr>
            <w:r w:rsidRPr="00E16672">
              <w:rPr>
                <w:rFonts w:ascii="Times New Roman" w:hAnsi="Times New Roman"/>
                <w:i/>
                <w:iCs/>
                <w:color w:val="000000"/>
                <w:sz w:val="18"/>
                <w:szCs w:val="18"/>
              </w:rPr>
              <w:t>Адреса для листування</w:t>
            </w:r>
          </w:p>
        </w:tc>
      </w:tr>
      <w:tr w:rsidR="00D652DD" w:rsidRPr="00E16672" w14:paraId="34FEC09F" w14:textId="77777777" w:rsidTr="008D2325">
        <w:tc>
          <w:tcPr>
            <w:tcW w:w="5250" w:type="dxa"/>
            <w:gridSpan w:val="3"/>
            <w:shd w:val="clear" w:color="auto" w:fill="auto"/>
          </w:tcPr>
          <w:p w14:paraId="687A8C39" w14:textId="77777777" w:rsidR="00D652DD" w:rsidRPr="00E16672" w:rsidRDefault="00D652DD" w:rsidP="00D652DD">
            <w:pPr>
              <w:pStyle w:val="4"/>
              <w:keepNext w:val="0"/>
              <w:numPr>
                <w:ilvl w:val="0"/>
                <w:numId w:val="0"/>
              </w:numPr>
              <w:snapToGrid w:val="0"/>
              <w:ind w:left="105" w:right="105"/>
              <w:jc w:val="left"/>
              <w:rPr>
                <w:rFonts w:ascii="Times New Roman" w:hAnsi="Times New Roman"/>
                <w:b w:val="0"/>
                <w:color w:val="000000"/>
                <w:sz w:val="18"/>
                <w:szCs w:val="18"/>
              </w:rPr>
            </w:pPr>
          </w:p>
        </w:tc>
        <w:tc>
          <w:tcPr>
            <w:tcW w:w="236" w:type="dxa"/>
            <w:shd w:val="clear" w:color="auto" w:fill="auto"/>
          </w:tcPr>
          <w:p w14:paraId="4062553A" w14:textId="77777777" w:rsidR="00D652DD" w:rsidRPr="00E16672" w:rsidRDefault="00D652DD" w:rsidP="00D652DD">
            <w:pPr>
              <w:snapToGrid w:val="0"/>
              <w:rPr>
                <w:rFonts w:ascii="Times New Roman" w:hAnsi="Times New Roman"/>
                <w:color w:val="000000"/>
                <w:sz w:val="18"/>
                <w:szCs w:val="18"/>
              </w:rPr>
            </w:pPr>
          </w:p>
        </w:tc>
        <w:tc>
          <w:tcPr>
            <w:tcW w:w="5475" w:type="dxa"/>
            <w:gridSpan w:val="3"/>
            <w:shd w:val="clear" w:color="auto" w:fill="auto"/>
          </w:tcPr>
          <w:p w14:paraId="176C68D7" w14:textId="77777777" w:rsidR="00D652DD" w:rsidRPr="00E16672" w:rsidRDefault="00622BEB" w:rsidP="008D2325">
            <w:pPr>
              <w:pStyle w:val="4"/>
              <w:snapToGrid w:val="0"/>
              <w:ind w:left="57" w:right="57" w:firstLine="0"/>
              <w:jc w:val="left"/>
              <w:rPr>
                <w:rFonts w:ascii="Times New Roman" w:hAnsi="Times New Roman"/>
              </w:rPr>
            </w:pPr>
            <w:r>
              <w:rPr>
                <w:rFonts w:ascii="Times New Roman" w:hAnsi="Times New Roman"/>
                <w:b w:val="0"/>
                <w:bCs/>
                <w:sz w:val="18"/>
                <w:szCs w:val="18"/>
              </w:rPr>
              <w:t xml:space="preserve">Україна, </w:t>
            </w:r>
            <w:proofErr w:type="spellStart"/>
            <w:r>
              <w:rPr>
                <w:rFonts w:ascii="Times New Roman" w:hAnsi="Times New Roman"/>
                <w:b w:val="0"/>
                <w:bCs/>
                <w:sz w:val="18"/>
                <w:szCs w:val="18"/>
              </w:rPr>
              <w:t>м.Київ</w:t>
            </w:r>
            <w:proofErr w:type="spellEnd"/>
            <w:r>
              <w:rPr>
                <w:rFonts w:ascii="Times New Roman" w:hAnsi="Times New Roman"/>
                <w:b w:val="0"/>
                <w:bCs/>
                <w:sz w:val="18"/>
                <w:szCs w:val="18"/>
              </w:rPr>
              <w:t>, Велика Васильківська (колишня Червоноармійська) вул., буд. 65</w:t>
            </w:r>
          </w:p>
        </w:tc>
      </w:tr>
      <w:tr w:rsidR="00D652DD" w:rsidRPr="00E16672" w14:paraId="12D11BAB" w14:textId="77777777" w:rsidTr="008D2325">
        <w:tc>
          <w:tcPr>
            <w:tcW w:w="5250" w:type="dxa"/>
            <w:gridSpan w:val="3"/>
            <w:shd w:val="clear" w:color="auto" w:fill="auto"/>
          </w:tcPr>
          <w:p w14:paraId="2C30564D" w14:textId="77777777" w:rsidR="00D652DD" w:rsidRPr="00E16672" w:rsidRDefault="00D652DD" w:rsidP="00D652DD">
            <w:pPr>
              <w:pStyle w:val="4"/>
              <w:keepNext w:val="0"/>
              <w:numPr>
                <w:ilvl w:val="0"/>
                <w:numId w:val="0"/>
              </w:numPr>
              <w:snapToGrid w:val="0"/>
              <w:ind w:left="-20" w:right="105" w:hanging="25"/>
              <w:jc w:val="left"/>
              <w:rPr>
                <w:rFonts w:ascii="Times New Roman" w:hAnsi="Times New Roman"/>
                <w:i/>
                <w:iCs/>
                <w:color w:val="000000"/>
                <w:sz w:val="18"/>
                <w:szCs w:val="18"/>
              </w:rPr>
            </w:pPr>
            <w:r w:rsidRPr="00E16672">
              <w:rPr>
                <w:rFonts w:ascii="Times New Roman" w:hAnsi="Times New Roman"/>
                <w:i/>
                <w:iCs/>
                <w:color w:val="000000"/>
                <w:sz w:val="18"/>
                <w:szCs w:val="18"/>
              </w:rPr>
              <w:t>Банківські реквізити</w:t>
            </w:r>
          </w:p>
        </w:tc>
        <w:tc>
          <w:tcPr>
            <w:tcW w:w="236" w:type="dxa"/>
            <w:shd w:val="clear" w:color="auto" w:fill="auto"/>
          </w:tcPr>
          <w:p w14:paraId="556B86D6" w14:textId="77777777" w:rsidR="00D652DD" w:rsidRPr="00E16672" w:rsidRDefault="00D652DD" w:rsidP="00D652DD">
            <w:pPr>
              <w:snapToGrid w:val="0"/>
              <w:rPr>
                <w:rFonts w:ascii="Times New Roman" w:hAnsi="Times New Roman"/>
                <w:color w:val="000000"/>
                <w:sz w:val="18"/>
                <w:szCs w:val="18"/>
              </w:rPr>
            </w:pPr>
          </w:p>
        </w:tc>
        <w:tc>
          <w:tcPr>
            <w:tcW w:w="5475" w:type="dxa"/>
            <w:gridSpan w:val="3"/>
            <w:shd w:val="clear" w:color="auto" w:fill="auto"/>
          </w:tcPr>
          <w:p w14:paraId="1920A8CB" w14:textId="77777777" w:rsidR="008D2325" w:rsidRPr="00E16672" w:rsidRDefault="008D2325" w:rsidP="00D652DD">
            <w:pPr>
              <w:pStyle w:val="6"/>
              <w:numPr>
                <w:ilvl w:val="0"/>
                <w:numId w:val="0"/>
              </w:numPr>
              <w:snapToGrid w:val="0"/>
              <w:ind w:left="15" w:right="1"/>
              <w:jc w:val="left"/>
              <w:rPr>
                <w:rFonts w:ascii="Times New Roman" w:hAnsi="Times New Roman"/>
                <w:b/>
                <w:i/>
                <w:color w:val="000000"/>
                <w:sz w:val="18"/>
                <w:szCs w:val="18"/>
                <w:lang w:val="uk-UA"/>
              </w:rPr>
            </w:pPr>
          </w:p>
          <w:p w14:paraId="14F8408D" w14:textId="77777777" w:rsidR="00D652DD" w:rsidRPr="00E16672" w:rsidRDefault="00D652DD" w:rsidP="00D652DD">
            <w:pPr>
              <w:pStyle w:val="6"/>
              <w:numPr>
                <w:ilvl w:val="0"/>
                <w:numId w:val="0"/>
              </w:numPr>
              <w:snapToGrid w:val="0"/>
              <w:ind w:left="15" w:right="1"/>
              <w:jc w:val="left"/>
              <w:rPr>
                <w:rFonts w:ascii="Times New Roman" w:hAnsi="Times New Roman"/>
                <w:b/>
                <w:i/>
                <w:color w:val="000000"/>
                <w:sz w:val="18"/>
                <w:szCs w:val="18"/>
                <w:lang w:val="uk-UA"/>
              </w:rPr>
            </w:pPr>
            <w:r w:rsidRPr="00E16672">
              <w:rPr>
                <w:rFonts w:ascii="Times New Roman" w:hAnsi="Times New Roman"/>
                <w:b/>
                <w:i/>
                <w:color w:val="000000"/>
                <w:sz w:val="18"/>
                <w:szCs w:val="18"/>
                <w:lang w:val="uk-UA"/>
              </w:rPr>
              <w:t>Банківські реквізити</w:t>
            </w:r>
          </w:p>
        </w:tc>
      </w:tr>
      <w:tr w:rsidR="00D652DD" w:rsidRPr="00E16672" w14:paraId="73775662" w14:textId="77777777" w:rsidTr="008D2325">
        <w:tc>
          <w:tcPr>
            <w:tcW w:w="5250" w:type="dxa"/>
            <w:gridSpan w:val="3"/>
            <w:shd w:val="clear" w:color="auto" w:fill="auto"/>
          </w:tcPr>
          <w:p w14:paraId="7B1F3CAB" w14:textId="77777777" w:rsidR="00D652DD" w:rsidRPr="00E16672" w:rsidRDefault="00D652DD" w:rsidP="00D652DD">
            <w:pPr>
              <w:snapToGrid w:val="0"/>
              <w:ind w:firstLine="6"/>
              <w:rPr>
                <w:rFonts w:ascii="Times New Roman" w:hAnsi="Times New Roman"/>
                <w:color w:val="000000"/>
                <w:sz w:val="18"/>
                <w:szCs w:val="18"/>
              </w:rPr>
            </w:pPr>
          </w:p>
        </w:tc>
        <w:tc>
          <w:tcPr>
            <w:tcW w:w="236" w:type="dxa"/>
            <w:shd w:val="clear" w:color="auto" w:fill="auto"/>
          </w:tcPr>
          <w:p w14:paraId="78676C3F" w14:textId="77777777" w:rsidR="00D652DD" w:rsidRPr="00E16672" w:rsidRDefault="00D652DD" w:rsidP="00D652DD">
            <w:pPr>
              <w:snapToGrid w:val="0"/>
              <w:rPr>
                <w:rFonts w:ascii="Times New Roman" w:hAnsi="Times New Roman"/>
                <w:color w:val="000000"/>
                <w:sz w:val="18"/>
                <w:szCs w:val="18"/>
              </w:rPr>
            </w:pPr>
          </w:p>
        </w:tc>
        <w:tc>
          <w:tcPr>
            <w:tcW w:w="5475" w:type="dxa"/>
            <w:gridSpan w:val="3"/>
            <w:shd w:val="clear" w:color="auto" w:fill="auto"/>
          </w:tcPr>
          <w:p w14:paraId="32B09E1B" w14:textId="77777777" w:rsidR="00930A41" w:rsidRPr="00E16672" w:rsidRDefault="00622BEB" w:rsidP="00D652DD">
            <w:pPr>
              <w:pStyle w:val="3"/>
              <w:numPr>
                <w:ilvl w:val="0"/>
                <w:numId w:val="0"/>
              </w:numPr>
              <w:snapToGrid w:val="0"/>
              <w:spacing w:before="0" w:after="0"/>
              <w:ind w:left="15" w:right="219"/>
              <w:jc w:val="left"/>
              <w:rPr>
                <w:rFonts w:ascii="Times New Roman" w:hAnsi="Times New Roman" w:cs="Times New Roman"/>
                <w:b w:val="0"/>
                <w:sz w:val="18"/>
                <w:szCs w:val="18"/>
              </w:rPr>
            </w:pPr>
            <w:r>
              <w:rPr>
                <w:rFonts w:ascii="Times New Roman" w:hAnsi="Times New Roman" w:cs="Times New Roman"/>
                <w:b w:val="0"/>
                <w:sz w:val="18"/>
                <w:szCs w:val="18"/>
              </w:rPr>
              <w:t>UA743281680000000026503815351</w:t>
            </w:r>
            <w:r w:rsidR="00A97BE7" w:rsidRPr="00E16672">
              <w:rPr>
                <w:rFonts w:ascii="Times New Roman" w:hAnsi="Times New Roman" w:cs="Times New Roman"/>
                <w:b w:val="0"/>
                <w:sz w:val="18"/>
                <w:szCs w:val="18"/>
              </w:rPr>
              <w:t xml:space="preserve"> </w:t>
            </w:r>
          </w:p>
          <w:p w14:paraId="3CAE36F8" w14:textId="77777777" w:rsidR="00D652DD" w:rsidRPr="00E16672" w:rsidRDefault="00622BEB" w:rsidP="00022F5F">
            <w:pPr>
              <w:pStyle w:val="3"/>
              <w:numPr>
                <w:ilvl w:val="0"/>
                <w:numId w:val="0"/>
              </w:numPr>
              <w:snapToGrid w:val="0"/>
              <w:spacing w:before="0" w:after="0"/>
              <w:ind w:left="15" w:right="219"/>
              <w:jc w:val="left"/>
              <w:rPr>
                <w:rFonts w:ascii="Times New Roman" w:hAnsi="Times New Roman" w:cs="Times New Roman"/>
                <w:b w:val="0"/>
                <w:sz w:val="18"/>
                <w:szCs w:val="18"/>
              </w:rPr>
            </w:pPr>
            <w:r>
              <w:rPr>
                <w:rFonts w:ascii="Times New Roman" w:hAnsi="Times New Roman" w:cs="Times New Roman"/>
                <w:b w:val="0"/>
                <w:bCs w:val="0"/>
                <w:color w:val="000000"/>
                <w:sz w:val="18"/>
                <w:szCs w:val="18"/>
              </w:rPr>
              <w:t xml:space="preserve">ПАТ </w:t>
            </w:r>
            <w:r w:rsidR="00022F5F">
              <w:rPr>
                <w:rFonts w:ascii="Times New Roman" w:hAnsi="Times New Roman" w:cs="Times New Roman"/>
                <w:b w:val="0"/>
                <w:bCs w:val="0"/>
                <w:color w:val="000000"/>
                <w:sz w:val="18"/>
                <w:szCs w:val="18"/>
              </w:rPr>
              <w:t>"</w:t>
            </w:r>
            <w:r>
              <w:rPr>
                <w:rFonts w:ascii="Times New Roman" w:hAnsi="Times New Roman" w:cs="Times New Roman"/>
                <w:b w:val="0"/>
                <w:bCs w:val="0"/>
                <w:color w:val="000000"/>
                <w:sz w:val="18"/>
                <w:szCs w:val="18"/>
              </w:rPr>
              <w:t>МТБ Банк</w:t>
            </w:r>
            <w:r w:rsidR="00022F5F">
              <w:rPr>
                <w:rFonts w:ascii="Times New Roman" w:hAnsi="Times New Roman" w:cs="Times New Roman"/>
                <w:b w:val="0"/>
                <w:bCs w:val="0"/>
                <w:color w:val="000000"/>
                <w:sz w:val="18"/>
                <w:szCs w:val="18"/>
              </w:rPr>
              <w:t>"</w:t>
            </w:r>
            <w:r>
              <w:rPr>
                <w:rFonts w:ascii="Times New Roman" w:hAnsi="Times New Roman" w:cs="Times New Roman"/>
                <w:b w:val="0"/>
                <w:bCs w:val="0"/>
                <w:color w:val="000000"/>
                <w:sz w:val="18"/>
                <w:szCs w:val="18"/>
              </w:rPr>
              <w:t>, МФО 328168</w:t>
            </w:r>
            <w:r w:rsidR="00D652DD" w:rsidRPr="00E16672">
              <w:rPr>
                <w:rFonts w:ascii="Times New Roman" w:hAnsi="Times New Roman" w:cs="Times New Roman"/>
                <w:b w:val="0"/>
                <w:sz w:val="18"/>
                <w:szCs w:val="18"/>
              </w:rPr>
              <w:t xml:space="preserve">, ЄДРПОУ </w:t>
            </w:r>
            <w:r w:rsidR="00EE2669" w:rsidRPr="00EE2669">
              <w:rPr>
                <w:rFonts w:ascii="Times New Roman" w:hAnsi="Times New Roman" w:cs="Times New Roman"/>
                <w:b w:val="0"/>
                <w:sz w:val="18"/>
                <w:szCs w:val="18"/>
              </w:rPr>
              <w:t>21650966</w:t>
            </w:r>
          </w:p>
          <w:p w14:paraId="027F94AD" w14:textId="77777777" w:rsidR="00D652DD" w:rsidRPr="00E16672" w:rsidRDefault="00EE2669" w:rsidP="00D652DD">
            <w:pPr>
              <w:ind w:firstLine="0"/>
              <w:jc w:val="left"/>
              <w:rPr>
                <w:rFonts w:ascii="Times New Roman" w:hAnsi="Times New Roman"/>
                <w:sz w:val="18"/>
                <w:szCs w:val="18"/>
              </w:rPr>
            </w:pPr>
            <w:r w:rsidRPr="004E51A1">
              <w:rPr>
                <w:rFonts w:ascii="Times New Roman" w:hAnsi="Times New Roman"/>
                <w:i/>
                <w:sz w:val="18"/>
                <w:szCs w:val="18"/>
                <w:lang w:val="uk-UA"/>
              </w:rPr>
              <w:t xml:space="preserve">68003, </w:t>
            </w:r>
            <w:proofErr w:type="spellStart"/>
            <w:r w:rsidRPr="004E51A1">
              <w:rPr>
                <w:rFonts w:ascii="Times New Roman" w:hAnsi="Times New Roman"/>
                <w:i/>
                <w:sz w:val="18"/>
                <w:szCs w:val="18"/>
                <w:lang w:val="uk-UA"/>
              </w:rPr>
              <w:t>м.Чорноморськ</w:t>
            </w:r>
            <w:proofErr w:type="spellEnd"/>
            <w:r w:rsidRPr="004E51A1">
              <w:rPr>
                <w:rFonts w:ascii="Times New Roman" w:hAnsi="Times New Roman"/>
                <w:i/>
                <w:sz w:val="18"/>
                <w:szCs w:val="18"/>
                <w:lang w:val="uk-UA"/>
              </w:rPr>
              <w:t xml:space="preserve">, Миру </w:t>
            </w:r>
            <w:proofErr w:type="spellStart"/>
            <w:r w:rsidRPr="004E51A1">
              <w:rPr>
                <w:rFonts w:ascii="Times New Roman" w:hAnsi="Times New Roman"/>
                <w:i/>
                <w:sz w:val="18"/>
                <w:szCs w:val="18"/>
                <w:lang w:val="uk-UA"/>
              </w:rPr>
              <w:t>просп</w:t>
            </w:r>
            <w:proofErr w:type="spellEnd"/>
            <w:r w:rsidRPr="004E51A1">
              <w:rPr>
                <w:rFonts w:ascii="Times New Roman" w:hAnsi="Times New Roman"/>
                <w:i/>
                <w:sz w:val="18"/>
                <w:szCs w:val="18"/>
                <w:lang w:val="uk-UA"/>
              </w:rPr>
              <w:t>., буд. 28</w:t>
            </w:r>
          </w:p>
        </w:tc>
      </w:tr>
      <w:tr w:rsidR="00D652DD" w:rsidRPr="00E16672" w14:paraId="3DBD88C7" w14:textId="77777777" w:rsidTr="008D2325">
        <w:tc>
          <w:tcPr>
            <w:tcW w:w="2625" w:type="dxa"/>
            <w:gridSpan w:val="2"/>
            <w:shd w:val="clear" w:color="auto" w:fill="auto"/>
          </w:tcPr>
          <w:p w14:paraId="4439EDE2" w14:textId="77777777" w:rsidR="008D2325" w:rsidRPr="00E16672" w:rsidRDefault="008D2325" w:rsidP="00D652DD">
            <w:pPr>
              <w:snapToGrid w:val="0"/>
              <w:ind w:firstLine="6"/>
              <w:rPr>
                <w:rFonts w:ascii="Times New Roman" w:hAnsi="Times New Roman"/>
                <w:b/>
                <w:color w:val="000000"/>
                <w:sz w:val="18"/>
                <w:szCs w:val="18"/>
                <w:lang w:val="uk-UA"/>
              </w:rPr>
            </w:pPr>
          </w:p>
          <w:p w14:paraId="7D67C074" w14:textId="77777777" w:rsidR="00D652DD" w:rsidRPr="00E16672" w:rsidRDefault="00D652DD" w:rsidP="00D652DD">
            <w:pPr>
              <w:snapToGrid w:val="0"/>
              <w:ind w:firstLine="6"/>
              <w:rPr>
                <w:rFonts w:ascii="Times New Roman" w:hAnsi="Times New Roman"/>
                <w:b/>
                <w:color w:val="000000"/>
                <w:sz w:val="18"/>
                <w:szCs w:val="18"/>
                <w:lang w:val="uk-UA"/>
              </w:rPr>
            </w:pPr>
            <w:r w:rsidRPr="00E16672">
              <w:rPr>
                <w:rFonts w:ascii="Times New Roman" w:hAnsi="Times New Roman"/>
                <w:b/>
                <w:color w:val="000000"/>
                <w:sz w:val="18"/>
                <w:szCs w:val="18"/>
                <w:lang w:val="uk-UA"/>
              </w:rPr>
              <w:t>Документ, що підтверджує повноваження особи, яка підписує договір</w:t>
            </w:r>
          </w:p>
        </w:tc>
        <w:tc>
          <w:tcPr>
            <w:tcW w:w="2625" w:type="dxa"/>
            <w:shd w:val="clear" w:color="auto" w:fill="auto"/>
          </w:tcPr>
          <w:p w14:paraId="104F1BAD" w14:textId="77777777" w:rsidR="00D652DD" w:rsidRPr="00E16672" w:rsidRDefault="00D652DD" w:rsidP="00D652DD">
            <w:pPr>
              <w:snapToGrid w:val="0"/>
              <w:ind w:firstLine="6"/>
              <w:rPr>
                <w:rFonts w:ascii="Times New Roman" w:hAnsi="Times New Roman"/>
                <w:b/>
                <w:color w:val="000000"/>
                <w:sz w:val="18"/>
                <w:szCs w:val="18"/>
                <w:lang w:val="uk-UA"/>
              </w:rPr>
            </w:pPr>
          </w:p>
        </w:tc>
        <w:tc>
          <w:tcPr>
            <w:tcW w:w="236" w:type="dxa"/>
            <w:shd w:val="clear" w:color="auto" w:fill="auto"/>
          </w:tcPr>
          <w:p w14:paraId="45E5874D" w14:textId="77777777" w:rsidR="00D652DD" w:rsidRPr="00E16672" w:rsidRDefault="00D652DD" w:rsidP="00D652DD">
            <w:pPr>
              <w:snapToGrid w:val="0"/>
              <w:rPr>
                <w:rFonts w:ascii="Times New Roman" w:hAnsi="Times New Roman"/>
                <w:color w:val="000000"/>
                <w:sz w:val="18"/>
                <w:szCs w:val="18"/>
              </w:rPr>
            </w:pPr>
          </w:p>
        </w:tc>
        <w:tc>
          <w:tcPr>
            <w:tcW w:w="2737" w:type="dxa"/>
            <w:shd w:val="clear" w:color="auto" w:fill="auto"/>
            <w:vAlign w:val="center"/>
          </w:tcPr>
          <w:p w14:paraId="11846B71" w14:textId="77777777" w:rsidR="008D2325" w:rsidRPr="00E16672" w:rsidRDefault="008D2325" w:rsidP="00D652DD">
            <w:pPr>
              <w:pStyle w:val="6"/>
              <w:widowControl w:val="0"/>
              <w:snapToGrid w:val="0"/>
              <w:ind w:left="0" w:firstLine="0"/>
              <w:jc w:val="left"/>
              <w:rPr>
                <w:rFonts w:ascii="Times New Roman" w:hAnsi="Times New Roman"/>
                <w:b/>
                <w:bCs/>
                <w:color w:val="0000FF"/>
                <w:sz w:val="20"/>
              </w:rPr>
            </w:pPr>
          </w:p>
          <w:p w14:paraId="201A990E" w14:textId="77777777" w:rsidR="00D652DD" w:rsidRPr="00E16672" w:rsidDel="00D16973" w:rsidRDefault="00D652DD" w:rsidP="00D652DD">
            <w:pPr>
              <w:pStyle w:val="6"/>
              <w:widowControl w:val="0"/>
              <w:snapToGrid w:val="0"/>
              <w:ind w:left="0" w:firstLine="0"/>
              <w:jc w:val="left"/>
              <w:rPr>
                <w:rFonts w:ascii="Times New Roman" w:hAnsi="Times New Roman"/>
                <w:b/>
                <w:bCs/>
                <w:color w:val="0000FF"/>
                <w:sz w:val="20"/>
              </w:rPr>
            </w:pPr>
            <w:r w:rsidRPr="00E16672">
              <w:rPr>
                <w:rFonts w:ascii="Times New Roman" w:hAnsi="Times New Roman"/>
                <w:b/>
                <w:color w:val="000000"/>
                <w:sz w:val="18"/>
                <w:szCs w:val="18"/>
                <w:lang w:val="uk-UA"/>
              </w:rPr>
              <w:t>Документ, що підтверджує повноваження особи, яка підписує договір</w:t>
            </w:r>
          </w:p>
        </w:tc>
        <w:tc>
          <w:tcPr>
            <w:tcW w:w="2738" w:type="dxa"/>
            <w:gridSpan w:val="2"/>
            <w:shd w:val="clear" w:color="auto" w:fill="auto"/>
            <w:vAlign w:val="center"/>
          </w:tcPr>
          <w:p w14:paraId="376E811B" w14:textId="77777777" w:rsidR="008D2325" w:rsidRPr="00E16672" w:rsidRDefault="008D2325" w:rsidP="008D2325">
            <w:pPr>
              <w:pStyle w:val="6"/>
              <w:widowControl w:val="0"/>
              <w:snapToGrid w:val="0"/>
              <w:ind w:left="0" w:firstLine="0"/>
              <w:jc w:val="left"/>
              <w:rPr>
                <w:rFonts w:ascii="Times New Roman" w:hAnsi="Times New Roman"/>
                <w:bCs/>
                <w:sz w:val="18"/>
                <w:szCs w:val="18"/>
              </w:rPr>
            </w:pPr>
          </w:p>
          <w:p w14:paraId="255BCC8A" w14:textId="77777777" w:rsidR="008D2325" w:rsidRPr="00E16672" w:rsidRDefault="008D2325" w:rsidP="008D2325">
            <w:pPr>
              <w:pStyle w:val="6"/>
              <w:widowControl w:val="0"/>
              <w:snapToGrid w:val="0"/>
              <w:ind w:left="0" w:firstLine="0"/>
              <w:jc w:val="left"/>
              <w:rPr>
                <w:rFonts w:ascii="Times New Roman" w:hAnsi="Times New Roman"/>
                <w:bCs/>
                <w:sz w:val="18"/>
                <w:szCs w:val="18"/>
              </w:rPr>
            </w:pPr>
          </w:p>
          <w:p w14:paraId="4DC29AE8" w14:textId="77777777" w:rsidR="00D652DD" w:rsidRPr="00E16672" w:rsidDel="00D16973" w:rsidRDefault="00D652DD" w:rsidP="008D2325">
            <w:pPr>
              <w:pStyle w:val="6"/>
              <w:widowControl w:val="0"/>
              <w:snapToGrid w:val="0"/>
              <w:ind w:left="0" w:firstLine="0"/>
              <w:jc w:val="left"/>
              <w:rPr>
                <w:rFonts w:ascii="Times New Roman" w:hAnsi="Times New Roman"/>
                <w:bCs/>
                <w:sz w:val="18"/>
                <w:szCs w:val="18"/>
              </w:rPr>
            </w:pPr>
            <w:r w:rsidRPr="00E16672">
              <w:rPr>
                <w:rFonts w:ascii="Times New Roman" w:hAnsi="Times New Roman"/>
                <w:bCs/>
                <w:sz w:val="18"/>
                <w:szCs w:val="18"/>
                <w:lang w:val="uk-UA"/>
              </w:rPr>
              <w:t>Статут</w:t>
            </w:r>
          </w:p>
        </w:tc>
      </w:tr>
      <w:tr w:rsidR="00D652DD" w:rsidRPr="00E16672" w14:paraId="3EE0FED8" w14:textId="77777777" w:rsidTr="008D2325">
        <w:tc>
          <w:tcPr>
            <w:tcW w:w="5250" w:type="dxa"/>
            <w:gridSpan w:val="3"/>
            <w:shd w:val="clear" w:color="auto" w:fill="auto"/>
          </w:tcPr>
          <w:p w14:paraId="2B35139C" w14:textId="77777777" w:rsidR="00D652DD" w:rsidRPr="00E16672" w:rsidRDefault="00D652DD" w:rsidP="00D652DD">
            <w:pPr>
              <w:snapToGrid w:val="0"/>
              <w:ind w:firstLine="6"/>
              <w:rPr>
                <w:rFonts w:ascii="Times New Roman" w:hAnsi="Times New Roman"/>
                <w:b/>
                <w:bCs/>
                <w:i/>
                <w:iCs/>
                <w:color w:val="000000"/>
                <w:sz w:val="18"/>
                <w:szCs w:val="18"/>
              </w:rPr>
            </w:pPr>
          </w:p>
        </w:tc>
        <w:tc>
          <w:tcPr>
            <w:tcW w:w="236" w:type="dxa"/>
            <w:shd w:val="clear" w:color="auto" w:fill="auto"/>
          </w:tcPr>
          <w:p w14:paraId="2E3E0EEE" w14:textId="77777777" w:rsidR="00D652DD" w:rsidRPr="00E16672" w:rsidRDefault="00D652DD" w:rsidP="00D652DD">
            <w:pPr>
              <w:snapToGrid w:val="0"/>
              <w:rPr>
                <w:rFonts w:ascii="Times New Roman" w:hAnsi="Times New Roman"/>
                <w:color w:val="000000"/>
                <w:sz w:val="18"/>
                <w:szCs w:val="18"/>
              </w:rPr>
            </w:pPr>
          </w:p>
        </w:tc>
        <w:tc>
          <w:tcPr>
            <w:tcW w:w="5475" w:type="dxa"/>
            <w:gridSpan w:val="3"/>
            <w:shd w:val="clear" w:color="auto" w:fill="auto"/>
            <w:vAlign w:val="center"/>
          </w:tcPr>
          <w:p w14:paraId="1DCF9056" w14:textId="77777777" w:rsidR="00D652DD" w:rsidRPr="00E16672" w:rsidRDefault="00D652DD" w:rsidP="00D652DD">
            <w:pPr>
              <w:snapToGrid w:val="0"/>
              <w:rPr>
                <w:rFonts w:ascii="Times New Roman" w:hAnsi="Times New Roman"/>
                <w:sz w:val="18"/>
                <w:szCs w:val="18"/>
              </w:rPr>
            </w:pPr>
          </w:p>
        </w:tc>
      </w:tr>
      <w:tr w:rsidR="00D652DD" w:rsidRPr="00E16672" w14:paraId="58F0C1F3" w14:textId="77777777" w:rsidTr="008D2325">
        <w:tc>
          <w:tcPr>
            <w:tcW w:w="2394" w:type="dxa"/>
            <w:shd w:val="clear" w:color="auto" w:fill="auto"/>
          </w:tcPr>
          <w:p w14:paraId="589D88DF" w14:textId="77777777" w:rsidR="00D652DD" w:rsidRPr="00E16672" w:rsidRDefault="00D652DD" w:rsidP="00D652DD">
            <w:pPr>
              <w:snapToGrid w:val="0"/>
              <w:ind w:firstLine="6"/>
              <w:rPr>
                <w:rFonts w:ascii="Times New Roman" w:hAnsi="Times New Roman"/>
                <w:b/>
                <w:bCs/>
                <w:i/>
                <w:iCs/>
                <w:color w:val="000000"/>
                <w:sz w:val="18"/>
                <w:szCs w:val="18"/>
                <w:lang w:val="en-US"/>
              </w:rPr>
            </w:pPr>
            <w:r w:rsidRPr="00E16672">
              <w:rPr>
                <w:rFonts w:ascii="Times New Roman" w:hAnsi="Times New Roman"/>
                <w:b/>
                <w:bCs/>
                <w:i/>
                <w:iCs/>
                <w:color w:val="000000"/>
                <w:sz w:val="18"/>
                <w:szCs w:val="18"/>
                <w:lang w:val="en-US"/>
              </w:rPr>
              <w:t>E-mail</w:t>
            </w:r>
          </w:p>
        </w:tc>
        <w:tc>
          <w:tcPr>
            <w:tcW w:w="2856" w:type="dxa"/>
            <w:gridSpan w:val="2"/>
            <w:shd w:val="clear" w:color="auto" w:fill="auto"/>
          </w:tcPr>
          <w:p w14:paraId="2E98BC23" w14:textId="77777777" w:rsidR="00D652DD" w:rsidRPr="00E16672" w:rsidRDefault="00D652DD" w:rsidP="00D652DD">
            <w:pPr>
              <w:snapToGrid w:val="0"/>
              <w:ind w:firstLine="6"/>
              <w:rPr>
                <w:rFonts w:ascii="Times New Roman" w:hAnsi="Times New Roman"/>
                <w:color w:val="000000"/>
                <w:sz w:val="18"/>
                <w:szCs w:val="18"/>
                <w:lang w:val="en-US"/>
              </w:rPr>
            </w:pPr>
          </w:p>
        </w:tc>
        <w:tc>
          <w:tcPr>
            <w:tcW w:w="236" w:type="dxa"/>
            <w:shd w:val="clear" w:color="auto" w:fill="auto"/>
          </w:tcPr>
          <w:p w14:paraId="34765E7C" w14:textId="77777777" w:rsidR="00D652DD" w:rsidRPr="00E16672" w:rsidRDefault="00D652DD" w:rsidP="00D652DD">
            <w:pPr>
              <w:snapToGrid w:val="0"/>
              <w:rPr>
                <w:rFonts w:ascii="Times New Roman" w:hAnsi="Times New Roman"/>
                <w:color w:val="000000"/>
                <w:sz w:val="18"/>
                <w:szCs w:val="18"/>
              </w:rPr>
            </w:pPr>
          </w:p>
        </w:tc>
        <w:tc>
          <w:tcPr>
            <w:tcW w:w="2861" w:type="dxa"/>
            <w:gridSpan w:val="2"/>
            <w:shd w:val="clear" w:color="auto" w:fill="auto"/>
            <w:vAlign w:val="center"/>
          </w:tcPr>
          <w:p w14:paraId="3C1397BC" w14:textId="77777777" w:rsidR="00D652DD" w:rsidRPr="00E16672" w:rsidRDefault="00D652DD" w:rsidP="00D652DD">
            <w:pPr>
              <w:snapToGrid w:val="0"/>
              <w:ind w:firstLine="6"/>
              <w:jc w:val="left"/>
              <w:rPr>
                <w:rFonts w:ascii="Times New Roman" w:hAnsi="Times New Roman"/>
                <w:b/>
                <w:bCs/>
                <w:i/>
                <w:iCs/>
                <w:sz w:val="18"/>
                <w:szCs w:val="18"/>
                <w:lang w:val="en-US"/>
              </w:rPr>
            </w:pPr>
            <w:r w:rsidRPr="00E16672">
              <w:rPr>
                <w:rFonts w:ascii="Times New Roman" w:hAnsi="Times New Roman"/>
                <w:b/>
                <w:bCs/>
                <w:i/>
                <w:iCs/>
                <w:sz w:val="18"/>
                <w:szCs w:val="18"/>
                <w:lang w:val="en-US"/>
              </w:rPr>
              <w:t>E-mail</w:t>
            </w:r>
          </w:p>
        </w:tc>
        <w:tc>
          <w:tcPr>
            <w:tcW w:w="2614" w:type="dxa"/>
            <w:shd w:val="clear" w:color="auto" w:fill="auto"/>
            <w:vAlign w:val="center"/>
          </w:tcPr>
          <w:p w14:paraId="56B0D539" w14:textId="77777777" w:rsidR="00D652DD" w:rsidRPr="00E16672" w:rsidRDefault="00622BEB" w:rsidP="008D2325">
            <w:pPr>
              <w:pStyle w:val="6"/>
              <w:widowControl w:val="0"/>
              <w:snapToGrid w:val="0"/>
              <w:ind w:left="-112" w:firstLine="0"/>
              <w:jc w:val="left"/>
              <w:rPr>
                <w:rFonts w:ascii="Times New Roman" w:hAnsi="Times New Roman"/>
                <w:bCs/>
                <w:sz w:val="18"/>
                <w:szCs w:val="18"/>
                <w:lang w:val="uk-UA"/>
              </w:rPr>
            </w:pPr>
            <w:r>
              <w:rPr>
                <w:rFonts w:ascii="Times New Roman" w:hAnsi="Times New Roman"/>
                <w:bCs/>
                <w:sz w:val="18"/>
                <w:szCs w:val="18"/>
                <w:lang w:val="uk-UA"/>
              </w:rPr>
              <w:t>custody@comex.com.ua</w:t>
            </w:r>
          </w:p>
        </w:tc>
      </w:tr>
      <w:tr w:rsidR="00D652DD" w:rsidRPr="00E16672" w14:paraId="19B2EB74" w14:textId="77777777" w:rsidTr="008D2325">
        <w:tc>
          <w:tcPr>
            <w:tcW w:w="2394" w:type="dxa"/>
            <w:shd w:val="clear" w:color="auto" w:fill="auto"/>
          </w:tcPr>
          <w:p w14:paraId="274D63BE" w14:textId="77777777" w:rsidR="00D652DD" w:rsidRPr="00E16672" w:rsidRDefault="00D652DD" w:rsidP="00D652DD">
            <w:pPr>
              <w:pStyle w:val="6"/>
              <w:numPr>
                <w:ilvl w:val="0"/>
                <w:numId w:val="0"/>
              </w:numPr>
              <w:snapToGrid w:val="0"/>
              <w:ind w:right="4"/>
              <w:jc w:val="left"/>
              <w:rPr>
                <w:rFonts w:ascii="Times New Roman" w:hAnsi="Times New Roman"/>
                <w:b/>
                <w:i/>
                <w:color w:val="000000"/>
                <w:sz w:val="18"/>
                <w:szCs w:val="18"/>
                <w:lang w:val="uk-UA"/>
              </w:rPr>
            </w:pPr>
            <w:r w:rsidRPr="00E16672">
              <w:rPr>
                <w:rFonts w:ascii="Times New Roman" w:hAnsi="Times New Roman"/>
                <w:b/>
                <w:i/>
                <w:color w:val="000000"/>
                <w:sz w:val="18"/>
                <w:szCs w:val="18"/>
                <w:lang w:val="uk-UA"/>
              </w:rPr>
              <w:t xml:space="preserve">Телефон </w:t>
            </w:r>
          </w:p>
        </w:tc>
        <w:tc>
          <w:tcPr>
            <w:tcW w:w="2856" w:type="dxa"/>
            <w:gridSpan w:val="2"/>
            <w:shd w:val="clear" w:color="auto" w:fill="auto"/>
          </w:tcPr>
          <w:p w14:paraId="5EF8290B" w14:textId="77777777" w:rsidR="00D652DD" w:rsidRPr="00E16672" w:rsidRDefault="00D652DD" w:rsidP="00D652DD">
            <w:pPr>
              <w:pStyle w:val="6"/>
              <w:numPr>
                <w:ilvl w:val="0"/>
                <w:numId w:val="0"/>
              </w:numPr>
              <w:snapToGrid w:val="0"/>
              <w:ind w:right="4"/>
              <w:jc w:val="left"/>
              <w:rPr>
                <w:rFonts w:ascii="Times New Roman" w:hAnsi="Times New Roman"/>
                <w:color w:val="000000"/>
                <w:sz w:val="18"/>
                <w:szCs w:val="18"/>
                <w:lang w:val="uk-UA"/>
              </w:rPr>
            </w:pPr>
          </w:p>
        </w:tc>
        <w:tc>
          <w:tcPr>
            <w:tcW w:w="236" w:type="dxa"/>
            <w:shd w:val="clear" w:color="auto" w:fill="auto"/>
          </w:tcPr>
          <w:p w14:paraId="714B6D99" w14:textId="77777777" w:rsidR="00D652DD" w:rsidRPr="00E16672" w:rsidRDefault="00D652DD" w:rsidP="00D652DD">
            <w:pPr>
              <w:snapToGrid w:val="0"/>
              <w:rPr>
                <w:rFonts w:ascii="Times New Roman" w:hAnsi="Times New Roman"/>
                <w:color w:val="000000"/>
                <w:sz w:val="18"/>
                <w:szCs w:val="18"/>
              </w:rPr>
            </w:pPr>
          </w:p>
        </w:tc>
        <w:tc>
          <w:tcPr>
            <w:tcW w:w="2861" w:type="dxa"/>
            <w:gridSpan w:val="2"/>
            <w:shd w:val="clear" w:color="auto" w:fill="auto"/>
            <w:vAlign w:val="center"/>
          </w:tcPr>
          <w:p w14:paraId="75B88848" w14:textId="77777777" w:rsidR="00D652DD" w:rsidRPr="00E16672" w:rsidRDefault="00D652DD" w:rsidP="00D652DD">
            <w:pPr>
              <w:snapToGrid w:val="0"/>
              <w:ind w:firstLine="0"/>
              <w:jc w:val="left"/>
              <w:rPr>
                <w:rFonts w:ascii="Times New Roman" w:hAnsi="Times New Roman"/>
                <w:b/>
                <w:i/>
                <w:sz w:val="18"/>
                <w:szCs w:val="18"/>
              </w:rPr>
            </w:pPr>
            <w:r w:rsidRPr="00E16672">
              <w:rPr>
                <w:rFonts w:ascii="Times New Roman" w:hAnsi="Times New Roman"/>
                <w:b/>
                <w:i/>
                <w:sz w:val="18"/>
                <w:szCs w:val="18"/>
              </w:rPr>
              <w:t>Телефон</w:t>
            </w:r>
          </w:p>
        </w:tc>
        <w:tc>
          <w:tcPr>
            <w:tcW w:w="2614" w:type="dxa"/>
            <w:shd w:val="clear" w:color="auto" w:fill="auto"/>
            <w:vAlign w:val="center"/>
          </w:tcPr>
          <w:p w14:paraId="43511C2E" w14:textId="77777777" w:rsidR="00D652DD" w:rsidRPr="00E16672" w:rsidRDefault="00622BEB" w:rsidP="008D2325">
            <w:pPr>
              <w:snapToGrid w:val="0"/>
              <w:ind w:left="30" w:hanging="142"/>
              <w:rPr>
                <w:rFonts w:ascii="Times New Roman" w:hAnsi="Times New Roman"/>
                <w:bCs/>
                <w:sz w:val="18"/>
                <w:szCs w:val="18"/>
                <w:lang w:val="uk-UA"/>
              </w:rPr>
            </w:pPr>
            <w:r>
              <w:rPr>
                <w:rFonts w:ascii="Times New Roman" w:hAnsi="Times New Roman"/>
                <w:bCs/>
                <w:sz w:val="18"/>
                <w:szCs w:val="18"/>
                <w:lang w:val="uk-UA"/>
              </w:rPr>
              <w:t>044 502 65 73</w:t>
            </w:r>
          </w:p>
        </w:tc>
      </w:tr>
      <w:tr w:rsidR="00D652DD" w:rsidRPr="00E16672" w14:paraId="12DBE06C" w14:textId="77777777" w:rsidTr="008D2325">
        <w:tc>
          <w:tcPr>
            <w:tcW w:w="2394" w:type="dxa"/>
            <w:shd w:val="clear" w:color="auto" w:fill="auto"/>
          </w:tcPr>
          <w:p w14:paraId="7FFF7357" w14:textId="77777777" w:rsidR="00D652DD" w:rsidRPr="00E16672" w:rsidRDefault="00D652DD" w:rsidP="00D652DD">
            <w:pPr>
              <w:snapToGrid w:val="0"/>
              <w:ind w:firstLine="6"/>
              <w:rPr>
                <w:rFonts w:ascii="Times New Roman" w:hAnsi="Times New Roman"/>
                <w:b/>
                <w:bCs/>
                <w:i/>
                <w:iCs/>
                <w:color w:val="000000"/>
                <w:sz w:val="18"/>
                <w:szCs w:val="18"/>
                <w:lang w:val="uk-UA"/>
              </w:rPr>
            </w:pPr>
            <w:r w:rsidRPr="00E16672">
              <w:rPr>
                <w:rFonts w:ascii="Times New Roman" w:hAnsi="Times New Roman"/>
                <w:b/>
                <w:bCs/>
                <w:i/>
                <w:iCs/>
                <w:color w:val="000000"/>
                <w:sz w:val="18"/>
                <w:szCs w:val="18"/>
              </w:rPr>
              <w:t>Факс</w:t>
            </w:r>
            <w:r w:rsidRPr="00E16672">
              <w:rPr>
                <w:rFonts w:ascii="Times New Roman" w:hAnsi="Times New Roman"/>
                <w:b/>
                <w:bCs/>
                <w:i/>
                <w:iCs/>
                <w:color w:val="000000"/>
                <w:sz w:val="18"/>
                <w:szCs w:val="18"/>
                <w:lang w:val="uk-UA"/>
              </w:rPr>
              <w:t xml:space="preserve"> </w:t>
            </w:r>
            <w:r w:rsidRPr="00E16672">
              <w:rPr>
                <w:rFonts w:ascii="Times New Roman" w:hAnsi="Times New Roman"/>
                <w:bCs/>
                <w:i/>
                <w:iCs/>
                <w:color w:val="000000"/>
                <w:sz w:val="18"/>
                <w:szCs w:val="18"/>
                <w:lang w:val="uk-UA"/>
              </w:rPr>
              <w:t>(за наявності)</w:t>
            </w:r>
          </w:p>
        </w:tc>
        <w:tc>
          <w:tcPr>
            <w:tcW w:w="2856" w:type="dxa"/>
            <w:gridSpan w:val="2"/>
            <w:shd w:val="clear" w:color="auto" w:fill="auto"/>
          </w:tcPr>
          <w:p w14:paraId="05F8C546" w14:textId="77777777" w:rsidR="00D652DD" w:rsidRPr="00E16672" w:rsidRDefault="00D652DD" w:rsidP="00D652DD">
            <w:pPr>
              <w:snapToGrid w:val="0"/>
              <w:ind w:firstLine="6"/>
              <w:rPr>
                <w:rFonts w:ascii="Times New Roman" w:hAnsi="Times New Roman"/>
                <w:color w:val="000000"/>
                <w:sz w:val="18"/>
                <w:szCs w:val="18"/>
              </w:rPr>
            </w:pPr>
          </w:p>
        </w:tc>
        <w:tc>
          <w:tcPr>
            <w:tcW w:w="236" w:type="dxa"/>
            <w:shd w:val="clear" w:color="auto" w:fill="auto"/>
          </w:tcPr>
          <w:p w14:paraId="33B4BADD" w14:textId="77777777" w:rsidR="00D652DD" w:rsidRPr="00E16672" w:rsidRDefault="00D652DD" w:rsidP="00D652DD">
            <w:pPr>
              <w:snapToGrid w:val="0"/>
              <w:rPr>
                <w:rFonts w:ascii="Times New Roman" w:hAnsi="Times New Roman"/>
                <w:color w:val="000000"/>
                <w:sz w:val="18"/>
                <w:szCs w:val="18"/>
              </w:rPr>
            </w:pPr>
          </w:p>
        </w:tc>
        <w:tc>
          <w:tcPr>
            <w:tcW w:w="2861" w:type="dxa"/>
            <w:gridSpan w:val="2"/>
            <w:shd w:val="clear" w:color="auto" w:fill="auto"/>
            <w:vAlign w:val="center"/>
          </w:tcPr>
          <w:p w14:paraId="37717F1C" w14:textId="77777777" w:rsidR="00D652DD" w:rsidRPr="00E16672" w:rsidRDefault="00D652DD" w:rsidP="00D652DD">
            <w:pPr>
              <w:snapToGrid w:val="0"/>
              <w:ind w:firstLine="0"/>
              <w:jc w:val="left"/>
              <w:rPr>
                <w:rFonts w:ascii="Times New Roman" w:hAnsi="Times New Roman"/>
                <w:sz w:val="18"/>
                <w:szCs w:val="18"/>
              </w:rPr>
            </w:pPr>
            <w:r w:rsidRPr="00E16672">
              <w:rPr>
                <w:rFonts w:ascii="Times New Roman" w:hAnsi="Times New Roman"/>
                <w:b/>
                <w:i/>
                <w:sz w:val="18"/>
                <w:szCs w:val="18"/>
              </w:rPr>
              <w:t>Факс</w:t>
            </w:r>
            <w:r w:rsidRPr="00E16672">
              <w:rPr>
                <w:rFonts w:ascii="Times New Roman" w:hAnsi="Times New Roman"/>
                <w:i/>
                <w:sz w:val="18"/>
                <w:szCs w:val="18"/>
              </w:rPr>
              <w:t xml:space="preserve"> </w:t>
            </w:r>
            <w:r w:rsidRPr="00E16672">
              <w:rPr>
                <w:rFonts w:ascii="Times New Roman" w:hAnsi="Times New Roman"/>
                <w:bCs/>
                <w:i/>
                <w:iCs/>
                <w:sz w:val="18"/>
                <w:szCs w:val="18"/>
                <w:lang w:val="uk-UA"/>
              </w:rPr>
              <w:t>(за наявності)</w:t>
            </w:r>
            <w:r w:rsidRPr="00E16672">
              <w:rPr>
                <w:rFonts w:ascii="Times New Roman" w:hAnsi="Times New Roman"/>
                <w:sz w:val="18"/>
                <w:szCs w:val="18"/>
              </w:rPr>
              <w:t xml:space="preserve">   </w:t>
            </w:r>
          </w:p>
          <w:p w14:paraId="1826324F" w14:textId="77777777" w:rsidR="00D652DD" w:rsidRPr="00E16672" w:rsidRDefault="00D652DD" w:rsidP="00D652DD">
            <w:pPr>
              <w:snapToGrid w:val="0"/>
              <w:jc w:val="left"/>
              <w:rPr>
                <w:rFonts w:ascii="Times New Roman" w:hAnsi="Times New Roman"/>
                <w:sz w:val="18"/>
                <w:szCs w:val="18"/>
              </w:rPr>
            </w:pPr>
          </w:p>
        </w:tc>
        <w:tc>
          <w:tcPr>
            <w:tcW w:w="2614" w:type="dxa"/>
            <w:shd w:val="clear" w:color="auto" w:fill="auto"/>
            <w:vAlign w:val="center"/>
          </w:tcPr>
          <w:p w14:paraId="0C64D213" w14:textId="77777777" w:rsidR="00D652DD" w:rsidRPr="00E16672" w:rsidRDefault="00D652DD" w:rsidP="00D652DD">
            <w:pPr>
              <w:snapToGrid w:val="0"/>
              <w:rPr>
                <w:rFonts w:ascii="Times New Roman" w:hAnsi="Times New Roman"/>
                <w:bCs/>
                <w:sz w:val="18"/>
                <w:szCs w:val="18"/>
                <w:lang w:val="en-US"/>
              </w:rPr>
            </w:pPr>
          </w:p>
        </w:tc>
      </w:tr>
      <w:tr w:rsidR="00D652DD" w:rsidRPr="00E16672" w14:paraId="3E2DD4B6" w14:textId="77777777" w:rsidTr="008D2325">
        <w:tc>
          <w:tcPr>
            <w:tcW w:w="2394" w:type="dxa"/>
            <w:shd w:val="clear" w:color="auto" w:fill="auto"/>
          </w:tcPr>
          <w:p w14:paraId="183D4795" w14:textId="77777777" w:rsidR="00D652DD" w:rsidRPr="00E16672" w:rsidRDefault="00D652DD" w:rsidP="00D652DD">
            <w:pPr>
              <w:snapToGrid w:val="0"/>
              <w:ind w:firstLine="6"/>
              <w:rPr>
                <w:rFonts w:ascii="Times New Roman" w:hAnsi="Times New Roman"/>
                <w:b/>
                <w:bCs/>
                <w:i/>
                <w:iCs/>
                <w:color w:val="000000"/>
                <w:sz w:val="18"/>
                <w:szCs w:val="18"/>
              </w:rPr>
            </w:pPr>
          </w:p>
        </w:tc>
        <w:tc>
          <w:tcPr>
            <w:tcW w:w="2856" w:type="dxa"/>
            <w:gridSpan w:val="2"/>
            <w:shd w:val="clear" w:color="auto" w:fill="auto"/>
          </w:tcPr>
          <w:p w14:paraId="01EFE963" w14:textId="77777777" w:rsidR="00D652DD" w:rsidRPr="00E16672" w:rsidRDefault="00D652DD" w:rsidP="00D652DD">
            <w:pPr>
              <w:snapToGrid w:val="0"/>
              <w:ind w:firstLine="6"/>
              <w:rPr>
                <w:rFonts w:ascii="Times New Roman" w:hAnsi="Times New Roman"/>
                <w:color w:val="000000"/>
                <w:sz w:val="18"/>
                <w:szCs w:val="18"/>
              </w:rPr>
            </w:pPr>
          </w:p>
        </w:tc>
        <w:tc>
          <w:tcPr>
            <w:tcW w:w="236" w:type="dxa"/>
            <w:shd w:val="clear" w:color="auto" w:fill="auto"/>
          </w:tcPr>
          <w:p w14:paraId="6BD92EAA" w14:textId="77777777" w:rsidR="00D652DD" w:rsidRPr="00E16672" w:rsidRDefault="00D652DD" w:rsidP="00D652DD">
            <w:pPr>
              <w:snapToGrid w:val="0"/>
              <w:rPr>
                <w:rFonts w:ascii="Times New Roman" w:hAnsi="Times New Roman"/>
                <w:color w:val="000000"/>
                <w:sz w:val="18"/>
                <w:szCs w:val="18"/>
              </w:rPr>
            </w:pPr>
          </w:p>
        </w:tc>
        <w:tc>
          <w:tcPr>
            <w:tcW w:w="2737" w:type="dxa"/>
            <w:shd w:val="clear" w:color="auto" w:fill="auto"/>
            <w:vAlign w:val="center"/>
          </w:tcPr>
          <w:p w14:paraId="05E01657" w14:textId="77777777" w:rsidR="00D652DD" w:rsidRPr="00E16672" w:rsidRDefault="00D652DD" w:rsidP="008D2325">
            <w:pPr>
              <w:snapToGrid w:val="0"/>
              <w:ind w:firstLine="0"/>
              <w:jc w:val="left"/>
              <w:rPr>
                <w:rFonts w:ascii="Times New Roman" w:hAnsi="Times New Roman"/>
                <w:b/>
                <w:i/>
                <w:color w:val="000000"/>
                <w:sz w:val="18"/>
                <w:szCs w:val="18"/>
              </w:rPr>
            </w:pPr>
            <w:r w:rsidRPr="00E16672">
              <w:rPr>
                <w:rFonts w:ascii="Times New Roman" w:hAnsi="Times New Roman"/>
                <w:b/>
                <w:i/>
                <w:color w:val="000000"/>
                <w:sz w:val="18"/>
                <w:szCs w:val="18"/>
                <w:lang w:val="uk-UA"/>
              </w:rPr>
              <w:t xml:space="preserve">Ліцензія депозитарної установи </w:t>
            </w:r>
            <w:r w:rsidRPr="00E16672">
              <w:rPr>
                <w:rFonts w:ascii="Times New Roman" w:hAnsi="Times New Roman"/>
                <w:i/>
                <w:color w:val="000000"/>
                <w:sz w:val="18"/>
                <w:szCs w:val="18"/>
                <w:lang w:val="uk-UA"/>
              </w:rPr>
              <w:t>(серія, номер, дата видачі)</w:t>
            </w:r>
          </w:p>
        </w:tc>
        <w:tc>
          <w:tcPr>
            <w:tcW w:w="2738" w:type="dxa"/>
            <w:gridSpan w:val="2"/>
            <w:shd w:val="clear" w:color="auto" w:fill="auto"/>
            <w:vAlign w:val="center"/>
          </w:tcPr>
          <w:p w14:paraId="00C5C547" w14:textId="77777777" w:rsidR="00D652DD" w:rsidRPr="00E16672" w:rsidDel="00D16973" w:rsidRDefault="00D652DD" w:rsidP="00D652DD">
            <w:pPr>
              <w:snapToGrid w:val="0"/>
              <w:ind w:firstLine="0"/>
              <w:rPr>
                <w:rFonts w:ascii="Times New Roman" w:hAnsi="Times New Roman"/>
                <w:bCs/>
                <w:sz w:val="18"/>
                <w:szCs w:val="18"/>
                <w:lang w:val="uk-UA"/>
              </w:rPr>
            </w:pPr>
            <w:r w:rsidRPr="00E16672">
              <w:rPr>
                <w:rFonts w:ascii="Times New Roman" w:hAnsi="Times New Roman"/>
                <w:bCs/>
                <w:sz w:val="18"/>
                <w:szCs w:val="18"/>
                <w:lang w:val="uk-UA"/>
              </w:rPr>
              <w:t xml:space="preserve">АЕ </w:t>
            </w:r>
            <w:r w:rsidR="00E16672" w:rsidRPr="00E16672">
              <w:rPr>
                <w:rFonts w:ascii="Times New Roman" w:hAnsi="Times New Roman"/>
                <w:bCs/>
                <w:sz w:val="18"/>
                <w:szCs w:val="18"/>
                <w:lang w:val="uk-UA"/>
              </w:rPr>
              <w:t>263429</w:t>
            </w:r>
            <w:r w:rsidRPr="00E16672">
              <w:rPr>
                <w:rFonts w:ascii="Times New Roman" w:hAnsi="Times New Roman"/>
                <w:bCs/>
                <w:sz w:val="18"/>
                <w:szCs w:val="18"/>
                <w:lang w:val="uk-UA"/>
              </w:rPr>
              <w:t xml:space="preserve">, </w:t>
            </w:r>
            <w:r w:rsidR="00E16672" w:rsidRPr="00E16672">
              <w:rPr>
                <w:rFonts w:ascii="Times New Roman" w:hAnsi="Times New Roman"/>
                <w:bCs/>
                <w:sz w:val="18"/>
                <w:szCs w:val="18"/>
                <w:lang w:val="uk-UA"/>
              </w:rPr>
              <w:t>01.10.2013</w:t>
            </w:r>
            <w:r w:rsidRPr="00E16672">
              <w:rPr>
                <w:rFonts w:ascii="Times New Roman" w:hAnsi="Times New Roman"/>
                <w:bCs/>
                <w:sz w:val="18"/>
                <w:szCs w:val="18"/>
                <w:lang w:val="uk-UA"/>
              </w:rPr>
              <w:t xml:space="preserve"> р.</w:t>
            </w:r>
          </w:p>
        </w:tc>
      </w:tr>
    </w:tbl>
    <w:p w14:paraId="7F46327D" w14:textId="77777777" w:rsidR="00D652DD" w:rsidRPr="00E16672" w:rsidRDefault="00D652DD" w:rsidP="00D652DD">
      <w:pPr>
        <w:tabs>
          <w:tab w:val="left" w:pos="3403"/>
        </w:tabs>
        <w:ind w:left="1843" w:hanging="1395"/>
        <w:jc w:val="center"/>
        <w:rPr>
          <w:rFonts w:ascii="Times New Roman" w:hAnsi="Times New Roman"/>
          <w:color w:val="000000"/>
        </w:rPr>
      </w:pPr>
    </w:p>
    <w:tbl>
      <w:tblPr>
        <w:tblW w:w="0" w:type="auto"/>
        <w:tblInd w:w="-67" w:type="dxa"/>
        <w:tblLayout w:type="fixed"/>
        <w:tblLook w:val="0000" w:firstRow="0" w:lastRow="0" w:firstColumn="0" w:lastColumn="0" w:noHBand="0" w:noVBand="0"/>
      </w:tblPr>
      <w:tblGrid>
        <w:gridCol w:w="250"/>
        <w:gridCol w:w="1490"/>
        <w:gridCol w:w="1264"/>
        <w:gridCol w:w="2241"/>
        <w:gridCol w:w="17"/>
        <w:gridCol w:w="101"/>
        <w:gridCol w:w="332"/>
        <w:gridCol w:w="105"/>
        <w:gridCol w:w="1462"/>
        <w:gridCol w:w="207"/>
        <w:gridCol w:w="42"/>
        <w:gridCol w:w="1027"/>
        <w:gridCol w:w="2286"/>
        <w:gridCol w:w="176"/>
        <w:gridCol w:w="190"/>
      </w:tblGrid>
      <w:tr w:rsidR="00D652DD" w:rsidRPr="00E16672" w14:paraId="047ED661" w14:textId="77777777" w:rsidTr="005E418B">
        <w:trPr>
          <w:gridBefore w:val="1"/>
          <w:gridAfter w:val="1"/>
          <w:wBefore w:w="250" w:type="dxa"/>
          <w:wAfter w:w="190" w:type="dxa"/>
        </w:trPr>
        <w:tc>
          <w:tcPr>
            <w:tcW w:w="5550" w:type="dxa"/>
            <w:gridSpan w:val="7"/>
            <w:shd w:val="clear" w:color="auto" w:fill="auto"/>
          </w:tcPr>
          <w:p w14:paraId="430BF20D" w14:textId="77777777" w:rsidR="00D652DD" w:rsidRPr="00E16672" w:rsidRDefault="00D652DD" w:rsidP="00D652DD">
            <w:pPr>
              <w:tabs>
                <w:tab w:val="left" w:pos="1560"/>
              </w:tabs>
              <w:snapToGrid w:val="0"/>
              <w:ind w:left="1843" w:hanging="1395"/>
              <w:rPr>
                <w:rFonts w:ascii="Times New Roman" w:hAnsi="Times New Roman"/>
                <w:b/>
                <w:bCs/>
                <w:color w:val="000000"/>
                <w:sz w:val="18"/>
                <w:szCs w:val="18"/>
                <w:lang w:val="uk-UA"/>
              </w:rPr>
            </w:pPr>
          </w:p>
          <w:p w14:paraId="3C51B450" w14:textId="77777777" w:rsidR="00D652DD" w:rsidRPr="00E16672" w:rsidRDefault="00D652DD" w:rsidP="005F45F0">
            <w:pPr>
              <w:tabs>
                <w:tab w:val="left" w:pos="1560"/>
              </w:tabs>
              <w:snapToGrid w:val="0"/>
              <w:ind w:firstLine="423"/>
              <w:jc w:val="left"/>
              <w:rPr>
                <w:rFonts w:ascii="Times New Roman" w:hAnsi="Times New Roman"/>
                <w:b/>
                <w:bCs/>
                <w:color w:val="000000"/>
                <w:sz w:val="18"/>
                <w:szCs w:val="18"/>
              </w:rPr>
            </w:pPr>
            <w:r w:rsidRPr="00E16672">
              <w:rPr>
                <w:rFonts w:ascii="Times New Roman" w:hAnsi="Times New Roman"/>
                <w:b/>
                <w:bCs/>
                <w:color w:val="000000"/>
                <w:sz w:val="18"/>
                <w:szCs w:val="18"/>
                <w:lang w:val="uk-UA"/>
              </w:rPr>
              <w:t>Емітент</w:t>
            </w:r>
            <w:r w:rsidRPr="00E16672">
              <w:rPr>
                <w:rFonts w:ascii="Times New Roman" w:hAnsi="Times New Roman"/>
                <w:b/>
                <w:bCs/>
                <w:color w:val="000000"/>
                <w:sz w:val="18"/>
                <w:szCs w:val="18"/>
              </w:rPr>
              <w:t>:</w:t>
            </w:r>
          </w:p>
          <w:p w14:paraId="257F47DE" w14:textId="77777777" w:rsidR="00D652DD" w:rsidRPr="00E16672" w:rsidRDefault="00D652DD" w:rsidP="00D652DD">
            <w:pPr>
              <w:tabs>
                <w:tab w:val="left" w:pos="1560"/>
              </w:tabs>
              <w:snapToGrid w:val="0"/>
              <w:ind w:left="1843" w:hanging="1395"/>
              <w:rPr>
                <w:rFonts w:ascii="Times New Roman" w:hAnsi="Times New Roman"/>
                <w:b/>
                <w:bCs/>
                <w:color w:val="000000"/>
                <w:sz w:val="18"/>
                <w:szCs w:val="18"/>
              </w:rPr>
            </w:pPr>
          </w:p>
          <w:p w14:paraId="1EF4CB38" w14:textId="77777777" w:rsidR="00D652DD" w:rsidRPr="00E16672" w:rsidRDefault="00D652DD" w:rsidP="00D652DD">
            <w:pPr>
              <w:tabs>
                <w:tab w:val="left" w:pos="1560"/>
              </w:tabs>
              <w:ind w:firstLine="0"/>
              <w:rPr>
                <w:rFonts w:ascii="Times New Roman" w:hAnsi="Times New Roman"/>
                <w:color w:val="000000"/>
                <w:sz w:val="18"/>
                <w:szCs w:val="18"/>
              </w:rPr>
            </w:pPr>
            <w:r w:rsidRPr="00E16672">
              <w:rPr>
                <w:rFonts w:ascii="Times New Roman" w:hAnsi="Times New Roman"/>
                <w:color w:val="000000"/>
                <w:sz w:val="18"/>
                <w:szCs w:val="18"/>
              </w:rPr>
              <w:t>_</w:t>
            </w:r>
            <w:r w:rsidRPr="00E16672">
              <w:rPr>
                <w:rFonts w:ascii="Times New Roman" w:hAnsi="Times New Roman"/>
                <w:color w:val="000000"/>
                <w:sz w:val="18"/>
                <w:szCs w:val="18"/>
                <w:lang w:val="uk-UA"/>
              </w:rPr>
              <w:t>__</w:t>
            </w:r>
            <w:r w:rsidRPr="00E16672">
              <w:rPr>
                <w:rFonts w:ascii="Times New Roman" w:hAnsi="Times New Roman"/>
                <w:color w:val="000000"/>
                <w:sz w:val="18"/>
                <w:szCs w:val="18"/>
              </w:rPr>
              <w:t xml:space="preserve">____________________(__________________________)   </w:t>
            </w:r>
          </w:p>
          <w:p w14:paraId="3024E655" w14:textId="77777777" w:rsidR="00D652DD" w:rsidRPr="00E16672" w:rsidRDefault="0014071D" w:rsidP="00D652DD">
            <w:pPr>
              <w:tabs>
                <w:tab w:val="left" w:pos="1560"/>
              </w:tabs>
              <w:ind w:firstLine="0"/>
              <w:rPr>
                <w:rFonts w:ascii="Times New Roman" w:hAnsi="Times New Roman"/>
                <w:color w:val="000000"/>
                <w:sz w:val="14"/>
                <w:szCs w:val="14"/>
                <w:lang w:val="uk-UA"/>
              </w:rPr>
            </w:pPr>
            <w:r w:rsidRPr="00E16672">
              <w:rPr>
                <w:rFonts w:ascii="Times New Roman" w:hAnsi="Times New Roman"/>
                <w:color w:val="000000"/>
                <w:sz w:val="14"/>
                <w:szCs w:val="14"/>
              </w:rPr>
              <w:t>В</w:t>
            </w:r>
            <w:r w:rsidR="00D652DD" w:rsidRPr="00E16672">
              <w:rPr>
                <w:rFonts w:ascii="Times New Roman" w:hAnsi="Times New Roman"/>
                <w:color w:val="000000"/>
                <w:sz w:val="14"/>
                <w:szCs w:val="14"/>
              </w:rPr>
              <w:t>.П</w:t>
            </w:r>
            <w:r w:rsidR="00D652DD" w:rsidRPr="00E16672">
              <w:rPr>
                <w:rFonts w:ascii="Times New Roman" w:hAnsi="Times New Roman"/>
                <w:i/>
                <w:color w:val="000000"/>
                <w:sz w:val="14"/>
                <w:szCs w:val="14"/>
              </w:rPr>
              <w:t>.</w:t>
            </w:r>
            <w:r w:rsidR="00D652DD" w:rsidRPr="00E16672">
              <w:rPr>
                <w:rFonts w:ascii="Times New Roman" w:hAnsi="Times New Roman"/>
                <w:i/>
                <w:color w:val="000000"/>
                <w:sz w:val="14"/>
                <w:szCs w:val="14"/>
                <w:lang w:val="uk-UA"/>
              </w:rPr>
              <w:t xml:space="preserve"> (у разі використання</w:t>
            </w:r>
            <w:proofErr w:type="gramStart"/>
            <w:r w:rsidR="00D652DD" w:rsidRPr="00E16672">
              <w:rPr>
                <w:rFonts w:ascii="Times New Roman" w:hAnsi="Times New Roman"/>
                <w:i/>
                <w:color w:val="000000"/>
                <w:sz w:val="14"/>
                <w:szCs w:val="14"/>
                <w:lang w:val="uk-UA"/>
              </w:rPr>
              <w:t>)</w:t>
            </w:r>
            <w:r w:rsidR="00D652DD" w:rsidRPr="00E16672">
              <w:rPr>
                <w:rFonts w:ascii="Times New Roman" w:hAnsi="Times New Roman"/>
                <w:color w:val="000000"/>
                <w:sz w:val="14"/>
                <w:szCs w:val="14"/>
              </w:rPr>
              <w:t xml:space="preserve">, </w:t>
            </w:r>
            <w:r w:rsidR="00D652DD" w:rsidRPr="00E16672">
              <w:rPr>
                <w:rFonts w:ascii="Times New Roman" w:hAnsi="Times New Roman"/>
                <w:color w:val="000000"/>
                <w:sz w:val="14"/>
                <w:szCs w:val="14"/>
                <w:lang w:val="uk-UA"/>
              </w:rPr>
              <w:t xml:space="preserve">  </w:t>
            </w:r>
            <w:proofErr w:type="gramEnd"/>
            <w:r w:rsidR="00D652DD" w:rsidRPr="00E16672">
              <w:rPr>
                <w:rFonts w:ascii="Times New Roman" w:hAnsi="Times New Roman"/>
                <w:color w:val="000000"/>
                <w:sz w:val="14"/>
                <w:szCs w:val="14"/>
                <w:lang w:val="uk-UA"/>
              </w:rPr>
              <w:t xml:space="preserve">  </w:t>
            </w:r>
            <w:r w:rsidRPr="00E16672">
              <w:rPr>
                <w:rFonts w:ascii="Times New Roman" w:hAnsi="Times New Roman"/>
                <w:color w:val="000000"/>
                <w:sz w:val="14"/>
                <w:szCs w:val="14"/>
                <w:lang w:val="uk-UA"/>
              </w:rPr>
              <w:t xml:space="preserve">         </w:t>
            </w:r>
            <w:r w:rsidR="00D652DD" w:rsidRPr="00E16672">
              <w:rPr>
                <w:rFonts w:ascii="Times New Roman" w:hAnsi="Times New Roman"/>
                <w:color w:val="000000"/>
                <w:sz w:val="14"/>
                <w:szCs w:val="14"/>
                <w:lang w:val="uk-UA"/>
              </w:rPr>
              <w:t xml:space="preserve">  Прізвище, ім’я, по батькові</w:t>
            </w:r>
            <w:r w:rsidRPr="00E16672">
              <w:rPr>
                <w:rFonts w:ascii="Times New Roman" w:hAnsi="Times New Roman"/>
                <w:color w:val="000000"/>
                <w:sz w:val="14"/>
                <w:szCs w:val="14"/>
                <w:lang w:val="uk-UA"/>
              </w:rPr>
              <w:t xml:space="preserve"> </w:t>
            </w:r>
            <w:r w:rsidRPr="00E16672">
              <w:rPr>
                <w:rFonts w:ascii="Times New Roman" w:hAnsi="Times New Roman"/>
                <w:i/>
                <w:color w:val="000000"/>
                <w:sz w:val="14"/>
                <w:szCs w:val="14"/>
                <w:lang w:val="uk-UA"/>
              </w:rPr>
              <w:t>(за наявності)</w:t>
            </w:r>
          </w:p>
          <w:p w14:paraId="12A50D32" w14:textId="77777777" w:rsidR="00D652DD" w:rsidRPr="00E16672" w:rsidRDefault="0014071D" w:rsidP="00D652DD">
            <w:pPr>
              <w:tabs>
                <w:tab w:val="left" w:pos="1560"/>
              </w:tabs>
              <w:ind w:firstLine="0"/>
              <w:rPr>
                <w:rFonts w:ascii="Times New Roman" w:hAnsi="Times New Roman"/>
                <w:color w:val="000000"/>
                <w:sz w:val="14"/>
                <w:szCs w:val="14"/>
                <w:lang w:val="uk-UA"/>
              </w:rPr>
            </w:pPr>
            <w:r w:rsidRPr="00E16672">
              <w:rPr>
                <w:rFonts w:ascii="Times New Roman" w:hAnsi="Times New Roman"/>
                <w:color w:val="000000"/>
                <w:sz w:val="14"/>
                <w:szCs w:val="14"/>
                <w:lang w:val="uk-UA"/>
              </w:rPr>
              <w:t xml:space="preserve">            </w:t>
            </w:r>
            <w:proofErr w:type="spellStart"/>
            <w:r w:rsidR="00D652DD" w:rsidRPr="00E16672">
              <w:rPr>
                <w:rFonts w:ascii="Times New Roman" w:hAnsi="Times New Roman"/>
                <w:color w:val="000000"/>
                <w:sz w:val="14"/>
                <w:szCs w:val="14"/>
              </w:rPr>
              <w:t>підпис</w:t>
            </w:r>
            <w:proofErr w:type="spellEnd"/>
            <w:r w:rsidR="00D652DD" w:rsidRPr="00E16672">
              <w:rPr>
                <w:rFonts w:ascii="Times New Roman" w:hAnsi="Times New Roman"/>
                <w:color w:val="000000"/>
                <w:sz w:val="14"/>
                <w:szCs w:val="14"/>
                <w:lang w:val="uk-UA"/>
              </w:rPr>
              <w:t xml:space="preserve">                                              </w:t>
            </w:r>
          </w:p>
          <w:p w14:paraId="60F7E11F" w14:textId="77777777" w:rsidR="00D652DD" w:rsidRDefault="00D652DD" w:rsidP="00D652DD">
            <w:pPr>
              <w:tabs>
                <w:tab w:val="left" w:pos="1560"/>
              </w:tabs>
              <w:rPr>
                <w:rFonts w:ascii="Times New Roman" w:hAnsi="Times New Roman"/>
                <w:b/>
                <w:bCs/>
                <w:color w:val="000000"/>
                <w:sz w:val="18"/>
                <w:szCs w:val="18"/>
                <w:lang w:val="uk-UA"/>
              </w:rPr>
            </w:pPr>
          </w:p>
          <w:p w14:paraId="208457AD" w14:textId="77777777" w:rsidR="005E418B" w:rsidRDefault="005E418B" w:rsidP="00D652DD">
            <w:pPr>
              <w:tabs>
                <w:tab w:val="left" w:pos="1560"/>
              </w:tabs>
              <w:rPr>
                <w:rFonts w:ascii="Times New Roman" w:hAnsi="Times New Roman"/>
                <w:b/>
                <w:bCs/>
                <w:color w:val="000000"/>
                <w:sz w:val="18"/>
                <w:szCs w:val="18"/>
                <w:lang w:val="uk-UA"/>
              </w:rPr>
            </w:pPr>
          </w:p>
          <w:p w14:paraId="10245387" w14:textId="77777777" w:rsidR="005E418B" w:rsidRPr="005E418B" w:rsidRDefault="005E418B" w:rsidP="00D652DD">
            <w:pPr>
              <w:tabs>
                <w:tab w:val="left" w:pos="1560"/>
              </w:tabs>
              <w:rPr>
                <w:rFonts w:ascii="Times New Roman" w:hAnsi="Times New Roman"/>
                <w:b/>
                <w:bCs/>
                <w:color w:val="000000"/>
                <w:sz w:val="18"/>
                <w:szCs w:val="18"/>
                <w:lang w:val="uk-UA"/>
              </w:rPr>
            </w:pPr>
          </w:p>
        </w:tc>
        <w:tc>
          <w:tcPr>
            <w:tcW w:w="5200" w:type="dxa"/>
            <w:gridSpan w:val="6"/>
            <w:shd w:val="clear" w:color="auto" w:fill="auto"/>
          </w:tcPr>
          <w:p w14:paraId="5CA5270D" w14:textId="77777777" w:rsidR="00D652DD" w:rsidRPr="00E16672" w:rsidRDefault="00D652DD" w:rsidP="00D652DD">
            <w:pPr>
              <w:tabs>
                <w:tab w:val="left" w:pos="1560"/>
              </w:tabs>
              <w:snapToGrid w:val="0"/>
              <w:rPr>
                <w:rFonts w:ascii="Times New Roman" w:hAnsi="Times New Roman"/>
                <w:b/>
                <w:bCs/>
                <w:color w:val="000000"/>
                <w:sz w:val="18"/>
                <w:szCs w:val="18"/>
                <w:lang w:val="uk-UA"/>
              </w:rPr>
            </w:pPr>
          </w:p>
          <w:p w14:paraId="46D802BA" w14:textId="77777777" w:rsidR="00D652DD" w:rsidRPr="00E16672" w:rsidRDefault="00D652DD" w:rsidP="00D652DD">
            <w:pPr>
              <w:tabs>
                <w:tab w:val="left" w:pos="1560"/>
              </w:tabs>
              <w:snapToGrid w:val="0"/>
              <w:rPr>
                <w:rFonts w:ascii="Times New Roman" w:hAnsi="Times New Roman"/>
                <w:b/>
                <w:bCs/>
                <w:color w:val="000000"/>
                <w:sz w:val="18"/>
                <w:szCs w:val="18"/>
              </w:rPr>
            </w:pPr>
            <w:r w:rsidRPr="00E16672">
              <w:rPr>
                <w:rFonts w:ascii="Times New Roman" w:hAnsi="Times New Roman"/>
                <w:b/>
                <w:bCs/>
                <w:color w:val="000000"/>
                <w:sz w:val="18"/>
                <w:szCs w:val="18"/>
              </w:rPr>
              <w:t xml:space="preserve">ДЕПОЗИТАРНА УСТАНОВА:   </w:t>
            </w:r>
          </w:p>
          <w:p w14:paraId="67ED6DB6" w14:textId="77777777" w:rsidR="00D652DD" w:rsidRPr="00E16672" w:rsidRDefault="00D652DD" w:rsidP="00D652DD">
            <w:pPr>
              <w:tabs>
                <w:tab w:val="left" w:pos="1560"/>
              </w:tabs>
              <w:snapToGrid w:val="0"/>
              <w:rPr>
                <w:rFonts w:ascii="Times New Roman" w:hAnsi="Times New Roman"/>
                <w:color w:val="000000"/>
                <w:sz w:val="18"/>
                <w:szCs w:val="18"/>
              </w:rPr>
            </w:pPr>
          </w:p>
          <w:p w14:paraId="1A96DEA6" w14:textId="77777777" w:rsidR="00D652DD" w:rsidRPr="00E16672" w:rsidRDefault="00D652DD" w:rsidP="00F82710">
            <w:pPr>
              <w:tabs>
                <w:tab w:val="left" w:pos="1560"/>
              </w:tabs>
              <w:snapToGrid w:val="0"/>
              <w:ind w:firstLine="0"/>
              <w:jc w:val="left"/>
              <w:rPr>
                <w:rFonts w:ascii="Times New Roman" w:hAnsi="Times New Roman"/>
                <w:color w:val="000000"/>
                <w:sz w:val="18"/>
                <w:szCs w:val="18"/>
              </w:rPr>
            </w:pPr>
            <w:r w:rsidRPr="00E16672">
              <w:rPr>
                <w:rFonts w:ascii="Times New Roman" w:hAnsi="Times New Roman"/>
                <w:b/>
                <w:bCs/>
                <w:color w:val="000000"/>
                <w:sz w:val="18"/>
                <w:szCs w:val="18"/>
              </w:rPr>
              <w:t xml:space="preserve">  </w:t>
            </w:r>
            <w:r w:rsidRPr="00E16672">
              <w:rPr>
                <w:rFonts w:ascii="Times New Roman" w:hAnsi="Times New Roman"/>
                <w:color w:val="000000"/>
                <w:sz w:val="18"/>
                <w:szCs w:val="18"/>
              </w:rPr>
              <w:t xml:space="preserve">_____________________ </w:t>
            </w:r>
            <w:r w:rsidRPr="00E16672">
              <w:rPr>
                <w:rFonts w:ascii="Times New Roman" w:hAnsi="Times New Roman"/>
                <w:color w:val="000000"/>
                <w:sz w:val="18"/>
                <w:szCs w:val="18"/>
                <w:lang w:val="uk-UA"/>
              </w:rPr>
              <w:t xml:space="preserve">    </w:t>
            </w:r>
            <w:proofErr w:type="gramStart"/>
            <w:r w:rsidRPr="00E16672">
              <w:rPr>
                <w:rFonts w:ascii="Times New Roman" w:hAnsi="Times New Roman"/>
                <w:color w:val="000000"/>
                <w:sz w:val="18"/>
                <w:szCs w:val="18"/>
                <w:lang w:val="uk-UA"/>
              </w:rPr>
              <w:t xml:space="preserve">   (</w:t>
            </w:r>
            <w:proofErr w:type="gramEnd"/>
            <w:r w:rsidR="00F82710">
              <w:rPr>
                <w:rFonts w:ascii="Times New Roman" w:hAnsi="Times New Roman"/>
                <w:color w:val="000000"/>
                <w:sz w:val="18"/>
                <w:szCs w:val="18"/>
                <w:lang w:val="uk-UA"/>
              </w:rPr>
              <w:t>Король</w:t>
            </w:r>
            <w:r w:rsidR="00E16672" w:rsidRPr="00E16672">
              <w:rPr>
                <w:rFonts w:ascii="Times New Roman" w:hAnsi="Times New Roman"/>
                <w:color w:val="000000"/>
                <w:sz w:val="18"/>
                <w:szCs w:val="18"/>
                <w:lang w:val="uk-UA"/>
              </w:rPr>
              <w:t xml:space="preserve"> О</w:t>
            </w:r>
            <w:r w:rsidR="005E418B">
              <w:rPr>
                <w:rFonts w:ascii="Times New Roman" w:hAnsi="Times New Roman"/>
                <w:color w:val="000000"/>
                <w:sz w:val="18"/>
                <w:szCs w:val="18"/>
                <w:lang w:val="uk-UA"/>
              </w:rPr>
              <w:t>ксана Іванівна</w:t>
            </w:r>
            <w:r w:rsidRPr="00E16672">
              <w:rPr>
                <w:rFonts w:ascii="Times New Roman" w:hAnsi="Times New Roman"/>
                <w:color w:val="000000"/>
                <w:sz w:val="18"/>
                <w:szCs w:val="18"/>
              </w:rPr>
              <w:t xml:space="preserve">)  </w:t>
            </w:r>
          </w:p>
          <w:p w14:paraId="28E83FA0" w14:textId="77777777" w:rsidR="00D652DD" w:rsidRPr="00E16672" w:rsidRDefault="0014071D" w:rsidP="00D652DD">
            <w:pPr>
              <w:tabs>
                <w:tab w:val="left" w:pos="1560"/>
              </w:tabs>
              <w:ind w:left="505" w:firstLine="0"/>
              <w:rPr>
                <w:rFonts w:ascii="Times New Roman" w:hAnsi="Times New Roman"/>
                <w:color w:val="000000"/>
                <w:sz w:val="14"/>
                <w:szCs w:val="14"/>
                <w:lang w:val="uk-UA"/>
              </w:rPr>
            </w:pPr>
            <w:r w:rsidRPr="00E16672">
              <w:rPr>
                <w:rFonts w:ascii="Times New Roman" w:hAnsi="Times New Roman"/>
                <w:color w:val="000000"/>
                <w:sz w:val="14"/>
                <w:szCs w:val="14"/>
              </w:rPr>
              <w:t>В</w:t>
            </w:r>
            <w:r w:rsidR="00D652DD" w:rsidRPr="00E16672">
              <w:rPr>
                <w:rFonts w:ascii="Times New Roman" w:hAnsi="Times New Roman"/>
                <w:color w:val="000000"/>
                <w:sz w:val="14"/>
                <w:szCs w:val="14"/>
              </w:rPr>
              <w:t xml:space="preserve">.П., </w:t>
            </w:r>
            <w:proofErr w:type="spellStart"/>
            <w:r w:rsidR="00D652DD" w:rsidRPr="00E16672">
              <w:rPr>
                <w:rFonts w:ascii="Times New Roman" w:hAnsi="Times New Roman"/>
                <w:color w:val="000000"/>
                <w:sz w:val="14"/>
                <w:szCs w:val="14"/>
              </w:rPr>
              <w:t>підпис</w:t>
            </w:r>
            <w:proofErr w:type="spellEnd"/>
            <w:r w:rsidR="00D652DD" w:rsidRPr="00E16672">
              <w:rPr>
                <w:rFonts w:ascii="Times New Roman" w:hAnsi="Times New Roman"/>
                <w:color w:val="000000"/>
                <w:sz w:val="14"/>
                <w:szCs w:val="14"/>
              </w:rPr>
              <w:t xml:space="preserve">     </w:t>
            </w:r>
            <w:r w:rsidR="00D652DD" w:rsidRPr="00E16672">
              <w:rPr>
                <w:rFonts w:ascii="Times New Roman" w:hAnsi="Times New Roman"/>
                <w:color w:val="000000"/>
                <w:sz w:val="14"/>
                <w:szCs w:val="14"/>
                <w:lang w:val="uk-UA"/>
              </w:rPr>
              <w:t xml:space="preserve">               </w:t>
            </w:r>
            <w:r w:rsidR="005E418B">
              <w:rPr>
                <w:rFonts w:ascii="Times New Roman" w:hAnsi="Times New Roman"/>
                <w:color w:val="000000"/>
                <w:sz w:val="14"/>
                <w:szCs w:val="14"/>
                <w:lang w:val="uk-UA"/>
              </w:rPr>
              <w:t xml:space="preserve">           п</w:t>
            </w:r>
            <w:r w:rsidR="00D652DD" w:rsidRPr="00E16672">
              <w:rPr>
                <w:rFonts w:ascii="Times New Roman" w:hAnsi="Times New Roman"/>
                <w:color w:val="000000"/>
                <w:sz w:val="14"/>
                <w:szCs w:val="14"/>
                <w:lang w:val="uk-UA"/>
              </w:rPr>
              <w:t xml:space="preserve">різвище, ім’я, по </w:t>
            </w:r>
            <w:proofErr w:type="gramStart"/>
            <w:r w:rsidR="00D652DD" w:rsidRPr="00E16672">
              <w:rPr>
                <w:rFonts w:ascii="Times New Roman" w:hAnsi="Times New Roman"/>
                <w:color w:val="000000"/>
                <w:sz w:val="14"/>
                <w:szCs w:val="14"/>
                <w:lang w:val="uk-UA"/>
              </w:rPr>
              <w:t>батькові</w:t>
            </w:r>
            <w:r w:rsidRPr="00E16672">
              <w:rPr>
                <w:rFonts w:ascii="Times New Roman" w:hAnsi="Times New Roman"/>
                <w:color w:val="000000"/>
                <w:sz w:val="14"/>
                <w:szCs w:val="14"/>
                <w:lang w:val="uk-UA"/>
              </w:rPr>
              <w:t xml:space="preserve"> </w:t>
            </w:r>
            <w:r w:rsidRPr="00E16672">
              <w:rPr>
                <w:rFonts w:ascii="Times New Roman" w:hAnsi="Times New Roman"/>
                <w:b/>
                <w:bCs/>
                <w:color w:val="000000"/>
                <w:sz w:val="14"/>
                <w:szCs w:val="14"/>
                <w:lang w:val="uk-UA"/>
              </w:rPr>
              <w:t xml:space="preserve"> </w:t>
            </w:r>
            <w:r w:rsidRPr="00E16672">
              <w:rPr>
                <w:rFonts w:ascii="Times New Roman" w:hAnsi="Times New Roman"/>
                <w:i/>
                <w:color w:val="000000"/>
                <w:sz w:val="14"/>
                <w:szCs w:val="14"/>
                <w:lang w:val="uk-UA"/>
              </w:rPr>
              <w:t>(</w:t>
            </w:r>
            <w:proofErr w:type="gramEnd"/>
            <w:r w:rsidRPr="00E16672">
              <w:rPr>
                <w:rFonts w:ascii="Times New Roman" w:hAnsi="Times New Roman"/>
                <w:i/>
                <w:color w:val="000000"/>
                <w:sz w:val="14"/>
                <w:szCs w:val="14"/>
                <w:lang w:val="uk-UA"/>
              </w:rPr>
              <w:t>за наявності)</w:t>
            </w:r>
          </w:p>
          <w:p w14:paraId="70DDB53D" w14:textId="77777777" w:rsidR="00D652DD" w:rsidRPr="00E16672" w:rsidRDefault="00D652DD" w:rsidP="0014071D">
            <w:pPr>
              <w:tabs>
                <w:tab w:val="left" w:pos="1560"/>
              </w:tabs>
              <w:ind w:firstLine="0"/>
              <w:rPr>
                <w:rFonts w:ascii="Times New Roman" w:hAnsi="Times New Roman"/>
                <w:b/>
                <w:bCs/>
                <w:color w:val="000000"/>
                <w:sz w:val="18"/>
                <w:szCs w:val="18"/>
                <w:lang w:val="uk-UA"/>
              </w:rPr>
            </w:pPr>
            <w:r w:rsidRPr="00E16672">
              <w:rPr>
                <w:rFonts w:ascii="Times New Roman" w:hAnsi="Times New Roman"/>
                <w:b/>
                <w:bCs/>
                <w:color w:val="000000"/>
                <w:sz w:val="14"/>
                <w:szCs w:val="14"/>
                <w:lang w:val="uk-UA"/>
              </w:rPr>
              <w:t xml:space="preserve">                                                               </w:t>
            </w:r>
          </w:p>
        </w:tc>
      </w:tr>
      <w:tr w:rsidR="00EB25FE" w:rsidRPr="00F23413" w14:paraId="2CD9056E" w14:textId="77777777" w:rsidTr="005E418B">
        <w:tblPrEx>
          <w:tblCellMar>
            <w:left w:w="0" w:type="dxa"/>
            <w:right w:w="0" w:type="dxa"/>
          </w:tblCellMar>
        </w:tblPrEx>
        <w:trPr>
          <w:trHeight w:val="192"/>
        </w:trPr>
        <w:tc>
          <w:tcPr>
            <w:tcW w:w="5695" w:type="dxa"/>
            <w:gridSpan w:val="7"/>
            <w:shd w:val="clear" w:color="auto" w:fill="auto"/>
          </w:tcPr>
          <w:p w14:paraId="10F30C66" w14:textId="77777777" w:rsidR="00EB25FE" w:rsidRPr="00E16672" w:rsidRDefault="00EB25FE" w:rsidP="00794B3F">
            <w:pPr>
              <w:snapToGrid w:val="0"/>
              <w:ind w:left="142"/>
              <w:jc w:val="center"/>
              <w:rPr>
                <w:rFonts w:ascii="Times New Roman" w:eastAsia="Arial" w:hAnsi="Times New Roman"/>
                <w:b/>
                <w:caps/>
                <w:sz w:val="16"/>
                <w:szCs w:val="16"/>
              </w:rPr>
            </w:pPr>
            <w:r w:rsidRPr="00E16672">
              <w:rPr>
                <w:rFonts w:ascii="Times New Roman" w:eastAsia="Arial" w:hAnsi="Times New Roman"/>
                <w:b/>
                <w:caps/>
                <w:sz w:val="16"/>
                <w:szCs w:val="16"/>
              </w:rPr>
              <w:t>Договір</w:t>
            </w:r>
          </w:p>
          <w:p w14:paraId="572F71A1" w14:textId="77777777" w:rsidR="00EB25FE" w:rsidRPr="00E16672" w:rsidRDefault="00EB25FE" w:rsidP="00794B3F">
            <w:pPr>
              <w:ind w:left="142"/>
              <w:jc w:val="center"/>
              <w:rPr>
                <w:rFonts w:ascii="Times New Roman" w:eastAsia="Arial" w:hAnsi="Times New Roman"/>
                <w:b/>
                <w:caps/>
                <w:sz w:val="16"/>
                <w:szCs w:val="16"/>
              </w:rPr>
            </w:pPr>
            <w:r w:rsidRPr="00E16672">
              <w:rPr>
                <w:rFonts w:ascii="Times New Roman" w:eastAsia="Arial" w:hAnsi="Times New Roman"/>
                <w:b/>
                <w:caps/>
                <w:sz w:val="16"/>
                <w:szCs w:val="16"/>
              </w:rPr>
              <w:t>про обслуговування рахункУ в цінних паперах</w:t>
            </w:r>
          </w:p>
          <w:p w14:paraId="52271FC1" w14:textId="77777777" w:rsidR="00EB25FE" w:rsidRPr="00D72215" w:rsidRDefault="00EB25FE" w:rsidP="00794B3F">
            <w:pPr>
              <w:ind w:left="142"/>
              <w:jc w:val="center"/>
              <w:rPr>
                <w:rFonts w:ascii="Times New Roman" w:eastAsia="Arial" w:hAnsi="Times New Roman"/>
                <w:b/>
                <w:sz w:val="16"/>
                <w:szCs w:val="16"/>
                <w:lang w:val="uk-UA"/>
              </w:rPr>
            </w:pPr>
            <w:proofErr w:type="gramStart"/>
            <w:r w:rsidRPr="00E16672">
              <w:rPr>
                <w:rFonts w:ascii="Times New Roman" w:eastAsia="Arial" w:hAnsi="Times New Roman"/>
                <w:b/>
                <w:sz w:val="16"/>
                <w:szCs w:val="16"/>
              </w:rPr>
              <w:t>№  _</w:t>
            </w:r>
            <w:proofErr w:type="gramEnd"/>
            <w:r w:rsidRPr="00E16672">
              <w:rPr>
                <w:rFonts w:ascii="Times New Roman" w:eastAsia="Arial" w:hAnsi="Times New Roman"/>
                <w:b/>
                <w:sz w:val="16"/>
                <w:szCs w:val="16"/>
              </w:rPr>
              <w:t>_____/____</w:t>
            </w:r>
            <w:r w:rsidR="00D72215">
              <w:rPr>
                <w:rFonts w:ascii="Times New Roman" w:eastAsia="Arial" w:hAnsi="Times New Roman"/>
                <w:b/>
                <w:sz w:val="16"/>
                <w:szCs w:val="16"/>
                <w:lang w:val="uk-UA"/>
              </w:rPr>
              <w:t>/ДУ</w:t>
            </w:r>
          </w:p>
          <w:p w14:paraId="41FA0907" w14:textId="77777777" w:rsidR="00EB25FE" w:rsidRPr="00E16672" w:rsidRDefault="00EB25FE" w:rsidP="00794B3F">
            <w:pPr>
              <w:ind w:left="142"/>
              <w:jc w:val="center"/>
              <w:rPr>
                <w:rFonts w:ascii="Times New Roman" w:eastAsia="Arial" w:hAnsi="Times New Roman"/>
                <w:b/>
                <w:sz w:val="16"/>
                <w:szCs w:val="16"/>
              </w:rPr>
            </w:pPr>
          </w:p>
          <w:p w14:paraId="30392A2F" w14:textId="77777777" w:rsidR="00EB25FE" w:rsidRPr="00E16672" w:rsidRDefault="00EF78D0" w:rsidP="00794B3F">
            <w:pPr>
              <w:ind w:left="142"/>
              <w:rPr>
                <w:rFonts w:ascii="Times New Roman" w:eastAsia="Arial" w:hAnsi="Times New Roman"/>
                <w:sz w:val="16"/>
                <w:szCs w:val="16"/>
              </w:rPr>
            </w:pPr>
            <w:r w:rsidRPr="00EF78D0">
              <w:rPr>
                <w:rFonts w:ascii="Times New Roman" w:eastAsia="Arial" w:hAnsi="Times New Roman"/>
                <w:sz w:val="16"/>
                <w:szCs w:val="16"/>
              </w:rPr>
              <w:t xml:space="preserve">м. </w:t>
            </w:r>
            <w:proofErr w:type="spellStart"/>
            <w:r w:rsidRPr="00EF78D0">
              <w:rPr>
                <w:rFonts w:ascii="Times New Roman" w:eastAsia="Arial" w:hAnsi="Times New Roman"/>
                <w:sz w:val="16"/>
                <w:szCs w:val="16"/>
              </w:rPr>
              <w:t>Київ</w:t>
            </w:r>
            <w:proofErr w:type="spellEnd"/>
            <w:r w:rsidRPr="00EF78D0">
              <w:rPr>
                <w:rFonts w:ascii="Times New Roman" w:eastAsia="Arial" w:hAnsi="Times New Roman"/>
                <w:sz w:val="16"/>
                <w:szCs w:val="16"/>
              </w:rPr>
              <w:t xml:space="preserve"> </w:t>
            </w:r>
            <w:r w:rsidRPr="00EF78D0">
              <w:rPr>
                <w:rFonts w:ascii="Times New Roman" w:eastAsia="Arial" w:hAnsi="Times New Roman"/>
                <w:sz w:val="16"/>
                <w:szCs w:val="16"/>
              </w:rPr>
              <w:tab/>
            </w:r>
            <w:r w:rsidRPr="00EF78D0">
              <w:rPr>
                <w:rFonts w:ascii="Times New Roman" w:eastAsia="Arial" w:hAnsi="Times New Roman"/>
                <w:sz w:val="16"/>
                <w:szCs w:val="16"/>
              </w:rPr>
              <w:tab/>
            </w:r>
            <w:r w:rsidRPr="00EF78D0">
              <w:rPr>
                <w:rFonts w:ascii="Times New Roman" w:eastAsia="Arial" w:hAnsi="Times New Roman"/>
                <w:sz w:val="16"/>
                <w:szCs w:val="16"/>
              </w:rPr>
              <w:tab/>
            </w:r>
            <w:r w:rsidRPr="00EF78D0">
              <w:rPr>
                <w:rFonts w:ascii="Times New Roman" w:eastAsia="Arial" w:hAnsi="Times New Roman"/>
                <w:sz w:val="16"/>
                <w:szCs w:val="16"/>
              </w:rPr>
              <w:tab/>
              <w:t>"       " ____________ 20____р.</w:t>
            </w:r>
          </w:p>
          <w:p w14:paraId="1C142258" w14:textId="77777777" w:rsidR="00EF78D0" w:rsidRDefault="00EF78D0" w:rsidP="0014071D">
            <w:pPr>
              <w:pStyle w:val="WW-1"/>
              <w:ind w:left="175" w:right="138" w:firstLine="284"/>
              <w:jc w:val="both"/>
              <w:rPr>
                <w:b/>
                <w:i w:val="0"/>
                <w:color w:val="000000"/>
                <w:sz w:val="16"/>
                <w:lang w:val="uk-UA"/>
              </w:rPr>
            </w:pPr>
          </w:p>
          <w:p w14:paraId="4B765891" w14:textId="77777777" w:rsidR="00EB25FE" w:rsidRPr="00E16672" w:rsidRDefault="0014071D" w:rsidP="00893AC3">
            <w:pPr>
              <w:pStyle w:val="WW-1"/>
              <w:ind w:left="175" w:right="138" w:firstLine="284"/>
              <w:jc w:val="both"/>
              <w:rPr>
                <w:i w:val="0"/>
                <w:sz w:val="16"/>
                <w:szCs w:val="16"/>
              </w:rPr>
            </w:pPr>
            <w:r w:rsidRPr="00E16672">
              <w:rPr>
                <w:b/>
                <w:i w:val="0"/>
                <w:color w:val="000000"/>
                <w:sz w:val="16"/>
              </w:rPr>
              <w:t xml:space="preserve">ТОВАРИСТВО З ОБМЕЖЕНОЮ ВІДПОВІДАЛЬНІСТЮ </w:t>
            </w:r>
            <w:r w:rsidR="00022F5F">
              <w:rPr>
                <w:b/>
                <w:i w:val="0"/>
                <w:color w:val="000000"/>
                <w:sz w:val="16"/>
              </w:rPr>
              <w:t>"</w:t>
            </w:r>
            <w:r w:rsidR="00E16672" w:rsidRPr="00E16672">
              <w:rPr>
                <w:b/>
                <w:i w:val="0"/>
                <w:color w:val="000000"/>
                <w:sz w:val="16"/>
              </w:rPr>
              <w:t>КОМЕКС ЦІННІ ПАПЕРИ</w:t>
            </w:r>
            <w:r w:rsidR="00022F5F">
              <w:rPr>
                <w:b/>
                <w:i w:val="0"/>
                <w:color w:val="000000"/>
                <w:sz w:val="16"/>
              </w:rPr>
              <w:t>"</w:t>
            </w:r>
            <w:r w:rsidRPr="00E16672">
              <w:rPr>
                <w:i w:val="0"/>
                <w:color w:val="000000"/>
                <w:sz w:val="16"/>
              </w:rPr>
              <w:t xml:space="preserve">, код за ЄДРПОУ </w:t>
            </w:r>
            <w:r w:rsidR="00E16672" w:rsidRPr="00E16672">
              <w:rPr>
                <w:i w:val="0"/>
                <w:color w:val="000000"/>
                <w:sz w:val="16"/>
              </w:rPr>
              <w:t>33153077</w:t>
            </w:r>
            <w:r w:rsidRPr="00E16672">
              <w:rPr>
                <w:color w:val="000000"/>
              </w:rPr>
              <w:t xml:space="preserve"> </w:t>
            </w:r>
            <w:r w:rsidRPr="00E16672">
              <w:rPr>
                <w:i w:val="0"/>
                <w:sz w:val="16"/>
                <w:szCs w:val="16"/>
              </w:rPr>
              <w:t xml:space="preserve"> (</w:t>
            </w:r>
            <w:proofErr w:type="spellStart"/>
            <w:r w:rsidRPr="00E16672">
              <w:rPr>
                <w:i w:val="0"/>
                <w:sz w:val="16"/>
                <w:szCs w:val="16"/>
              </w:rPr>
              <w:t>надалі</w:t>
            </w:r>
            <w:proofErr w:type="spellEnd"/>
            <w:r w:rsidRPr="00E16672">
              <w:rPr>
                <w:i w:val="0"/>
                <w:sz w:val="16"/>
                <w:szCs w:val="16"/>
              </w:rPr>
              <w:t xml:space="preserve"> – </w:t>
            </w:r>
            <w:proofErr w:type="spellStart"/>
            <w:r w:rsidRPr="00E16672">
              <w:rPr>
                <w:i w:val="0"/>
                <w:sz w:val="16"/>
                <w:szCs w:val="16"/>
              </w:rPr>
              <w:t>Депозитарна</w:t>
            </w:r>
            <w:proofErr w:type="spellEnd"/>
            <w:r w:rsidRPr="00E16672">
              <w:rPr>
                <w:i w:val="0"/>
                <w:sz w:val="16"/>
                <w:szCs w:val="16"/>
              </w:rPr>
              <w:t xml:space="preserve"> </w:t>
            </w:r>
            <w:proofErr w:type="spellStart"/>
            <w:r w:rsidRPr="00E16672">
              <w:rPr>
                <w:i w:val="0"/>
                <w:sz w:val="16"/>
                <w:szCs w:val="16"/>
              </w:rPr>
              <w:t>установа</w:t>
            </w:r>
            <w:proofErr w:type="spellEnd"/>
            <w:r w:rsidRPr="00E16672">
              <w:rPr>
                <w:i w:val="0"/>
                <w:sz w:val="16"/>
                <w:szCs w:val="16"/>
              </w:rPr>
              <w:t xml:space="preserve">), </w:t>
            </w:r>
            <w:proofErr w:type="spellStart"/>
            <w:r w:rsidRPr="00E16672">
              <w:rPr>
                <w:i w:val="0"/>
                <w:sz w:val="16"/>
                <w:szCs w:val="16"/>
              </w:rPr>
              <w:t>що</w:t>
            </w:r>
            <w:proofErr w:type="spellEnd"/>
            <w:r w:rsidRPr="00E16672">
              <w:rPr>
                <w:i w:val="0"/>
                <w:sz w:val="16"/>
                <w:szCs w:val="16"/>
              </w:rPr>
              <w:t xml:space="preserve"> </w:t>
            </w:r>
            <w:proofErr w:type="spellStart"/>
            <w:r w:rsidRPr="00E16672">
              <w:rPr>
                <w:i w:val="0"/>
                <w:sz w:val="16"/>
                <w:szCs w:val="16"/>
              </w:rPr>
              <w:t>здійснює</w:t>
            </w:r>
            <w:proofErr w:type="spellEnd"/>
            <w:r w:rsidRPr="00E16672">
              <w:rPr>
                <w:i w:val="0"/>
                <w:sz w:val="16"/>
                <w:szCs w:val="16"/>
              </w:rPr>
              <w:t xml:space="preserve"> </w:t>
            </w:r>
            <w:proofErr w:type="spellStart"/>
            <w:r w:rsidRPr="00E16672">
              <w:rPr>
                <w:i w:val="0"/>
                <w:sz w:val="16"/>
                <w:szCs w:val="16"/>
              </w:rPr>
              <w:t>депозитарну</w:t>
            </w:r>
            <w:proofErr w:type="spellEnd"/>
            <w:r w:rsidRPr="00E16672">
              <w:rPr>
                <w:i w:val="0"/>
                <w:sz w:val="16"/>
                <w:szCs w:val="16"/>
              </w:rPr>
              <w:t xml:space="preserve"> </w:t>
            </w:r>
            <w:proofErr w:type="spellStart"/>
            <w:r w:rsidRPr="00E16672">
              <w:rPr>
                <w:i w:val="0"/>
                <w:sz w:val="16"/>
                <w:szCs w:val="16"/>
              </w:rPr>
              <w:t>діяльність</w:t>
            </w:r>
            <w:proofErr w:type="spellEnd"/>
            <w:r w:rsidRPr="00E16672">
              <w:rPr>
                <w:i w:val="0"/>
                <w:sz w:val="16"/>
                <w:szCs w:val="16"/>
              </w:rPr>
              <w:t xml:space="preserve"> </w:t>
            </w:r>
            <w:proofErr w:type="spellStart"/>
            <w:r w:rsidRPr="00E16672">
              <w:rPr>
                <w:i w:val="0"/>
                <w:sz w:val="16"/>
                <w:szCs w:val="16"/>
              </w:rPr>
              <w:t>депозитарної</w:t>
            </w:r>
            <w:proofErr w:type="spellEnd"/>
            <w:r w:rsidRPr="00E16672">
              <w:rPr>
                <w:i w:val="0"/>
                <w:sz w:val="16"/>
                <w:szCs w:val="16"/>
              </w:rPr>
              <w:t xml:space="preserve"> установи на </w:t>
            </w:r>
            <w:proofErr w:type="spellStart"/>
            <w:r w:rsidRPr="00E16672">
              <w:rPr>
                <w:i w:val="0"/>
                <w:sz w:val="16"/>
                <w:szCs w:val="16"/>
              </w:rPr>
              <w:t>підставі</w:t>
            </w:r>
            <w:proofErr w:type="spellEnd"/>
            <w:r w:rsidRPr="00E16672">
              <w:rPr>
                <w:i w:val="0"/>
                <w:sz w:val="16"/>
                <w:szCs w:val="16"/>
              </w:rPr>
              <w:t xml:space="preserve"> </w:t>
            </w:r>
            <w:proofErr w:type="spellStart"/>
            <w:r w:rsidRPr="00E16672">
              <w:rPr>
                <w:i w:val="0"/>
                <w:sz w:val="16"/>
                <w:szCs w:val="16"/>
              </w:rPr>
              <w:t>ліцензії</w:t>
            </w:r>
            <w:proofErr w:type="spellEnd"/>
            <w:r w:rsidRPr="00E16672">
              <w:rPr>
                <w:i w:val="0"/>
                <w:sz w:val="16"/>
                <w:szCs w:val="16"/>
              </w:rPr>
              <w:t xml:space="preserve"> </w:t>
            </w:r>
            <w:proofErr w:type="spellStart"/>
            <w:r w:rsidRPr="00E16672">
              <w:rPr>
                <w:i w:val="0"/>
                <w:sz w:val="16"/>
                <w:szCs w:val="16"/>
              </w:rPr>
              <w:t>серія</w:t>
            </w:r>
            <w:proofErr w:type="spellEnd"/>
            <w:r w:rsidRPr="00E16672">
              <w:rPr>
                <w:i w:val="0"/>
                <w:sz w:val="16"/>
                <w:szCs w:val="16"/>
              </w:rPr>
              <w:t xml:space="preserve"> </w:t>
            </w:r>
            <w:r w:rsidRPr="00E16672">
              <w:rPr>
                <w:i w:val="0"/>
                <w:color w:val="000000"/>
                <w:sz w:val="16"/>
              </w:rPr>
              <w:t xml:space="preserve">АЕ № </w:t>
            </w:r>
            <w:r w:rsidR="00E16672" w:rsidRPr="00E16672">
              <w:rPr>
                <w:i w:val="0"/>
                <w:color w:val="000000"/>
                <w:sz w:val="16"/>
              </w:rPr>
              <w:t>263429</w:t>
            </w:r>
            <w:r w:rsidRPr="00E16672">
              <w:rPr>
                <w:i w:val="0"/>
                <w:sz w:val="16"/>
                <w:szCs w:val="16"/>
              </w:rPr>
              <w:t xml:space="preserve">, </w:t>
            </w:r>
            <w:proofErr w:type="spellStart"/>
            <w:r w:rsidRPr="00E16672">
              <w:rPr>
                <w:i w:val="0"/>
                <w:sz w:val="16"/>
                <w:szCs w:val="16"/>
              </w:rPr>
              <w:t>виданої</w:t>
            </w:r>
            <w:proofErr w:type="spellEnd"/>
            <w:r w:rsidRPr="00E16672">
              <w:rPr>
                <w:i w:val="0"/>
                <w:sz w:val="16"/>
                <w:szCs w:val="16"/>
              </w:rPr>
              <w:t xml:space="preserve"> </w:t>
            </w:r>
            <w:proofErr w:type="spellStart"/>
            <w:r w:rsidRPr="00E16672">
              <w:rPr>
                <w:i w:val="0"/>
                <w:sz w:val="16"/>
                <w:szCs w:val="16"/>
              </w:rPr>
              <w:t>Національною</w:t>
            </w:r>
            <w:proofErr w:type="spellEnd"/>
            <w:r w:rsidRPr="00E16672">
              <w:rPr>
                <w:i w:val="0"/>
                <w:sz w:val="16"/>
                <w:szCs w:val="16"/>
              </w:rPr>
              <w:t xml:space="preserve"> </w:t>
            </w:r>
            <w:proofErr w:type="spellStart"/>
            <w:r w:rsidRPr="00E16672">
              <w:rPr>
                <w:i w:val="0"/>
                <w:sz w:val="16"/>
                <w:szCs w:val="16"/>
              </w:rPr>
              <w:t>комісією</w:t>
            </w:r>
            <w:proofErr w:type="spellEnd"/>
            <w:r w:rsidRPr="00E16672">
              <w:rPr>
                <w:i w:val="0"/>
                <w:sz w:val="16"/>
                <w:szCs w:val="16"/>
              </w:rPr>
              <w:t xml:space="preserve"> з </w:t>
            </w:r>
            <w:proofErr w:type="spellStart"/>
            <w:r w:rsidRPr="00E16672">
              <w:rPr>
                <w:i w:val="0"/>
                <w:sz w:val="16"/>
                <w:szCs w:val="16"/>
              </w:rPr>
              <w:t>цінних</w:t>
            </w:r>
            <w:proofErr w:type="spellEnd"/>
            <w:r w:rsidRPr="00E16672">
              <w:rPr>
                <w:i w:val="0"/>
                <w:sz w:val="16"/>
                <w:szCs w:val="16"/>
              </w:rPr>
              <w:t xml:space="preserve"> </w:t>
            </w:r>
            <w:proofErr w:type="spellStart"/>
            <w:r w:rsidRPr="00E16672">
              <w:rPr>
                <w:i w:val="0"/>
                <w:sz w:val="16"/>
                <w:szCs w:val="16"/>
              </w:rPr>
              <w:t>паперів</w:t>
            </w:r>
            <w:proofErr w:type="spellEnd"/>
            <w:r w:rsidRPr="00E16672">
              <w:rPr>
                <w:i w:val="0"/>
                <w:sz w:val="16"/>
                <w:szCs w:val="16"/>
              </w:rPr>
              <w:t xml:space="preserve"> та фондового ринку </w:t>
            </w:r>
            <w:r w:rsidR="00E16672" w:rsidRPr="00E16672">
              <w:rPr>
                <w:i w:val="0"/>
                <w:color w:val="000000"/>
                <w:sz w:val="16"/>
              </w:rPr>
              <w:t>01.10.2013</w:t>
            </w:r>
            <w:r w:rsidRPr="00E16672">
              <w:rPr>
                <w:i w:val="0"/>
                <w:color w:val="000000"/>
                <w:sz w:val="16"/>
              </w:rPr>
              <w:t>р</w:t>
            </w:r>
            <w:r w:rsidRPr="00E16672">
              <w:rPr>
                <w:i w:val="0"/>
                <w:sz w:val="16"/>
                <w:szCs w:val="16"/>
              </w:rPr>
              <w:t xml:space="preserve"> (</w:t>
            </w:r>
            <w:proofErr w:type="spellStart"/>
            <w:r w:rsidRPr="00E16672">
              <w:rPr>
                <w:i w:val="0"/>
                <w:sz w:val="16"/>
                <w:szCs w:val="16"/>
              </w:rPr>
              <w:t>надалі</w:t>
            </w:r>
            <w:proofErr w:type="spellEnd"/>
            <w:r w:rsidRPr="00E16672">
              <w:rPr>
                <w:i w:val="0"/>
                <w:sz w:val="16"/>
                <w:szCs w:val="16"/>
              </w:rPr>
              <w:t xml:space="preserve"> – НКЦПФР), в </w:t>
            </w:r>
            <w:proofErr w:type="spellStart"/>
            <w:r w:rsidRPr="00E16672">
              <w:rPr>
                <w:i w:val="0"/>
                <w:sz w:val="16"/>
                <w:szCs w:val="16"/>
              </w:rPr>
              <w:t>особі</w:t>
            </w:r>
            <w:proofErr w:type="spellEnd"/>
            <w:r w:rsidRPr="00E16672">
              <w:rPr>
                <w:i w:val="0"/>
                <w:sz w:val="16"/>
                <w:szCs w:val="16"/>
              </w:rPr>
              <w:t xml:space="preserve"> </w:t>
            </w:r>
            <w:r w:rsidRPr="00E16672">
              <w:rPr>
                <w:i w:val="0"/>
                <w:color w:val="000000"/>
                <w:sz w:val="16"/>
              </w:rPr>
              <w:t xml:space="preserve">директора </w:t>
            </w:r>
            <w:r w:rsidR="006517E7">
              <w:rPr>
                <w:i w:val="0"/>
                <w:color w:val="000000"/>
                <w:sz w:val="16"/>
                <w:lang w:val="uk-UA"/>
              </w:rPr>
              <w:t>Король Оксани Іванівни</w:t>
            </w:r>
            <w:r w:rsidRPr="00E16672">
              <w:rPr>
                <w:i w:val="0"/>
                <w:color w:val="000000"/>
                <w:sz w:val="16"/>
              </w:rPr>
              <w:t xml:space="preserve">, </w:t>
            </w:r>
            <w:proofErr w:type="spellStart"/>
            <w:r w:rsidRPr="00E16672">
              <w:rPr>
                <w:i w:val="0"/>
                <w:color w:val="000000"/>
                <w:sz w:val="16"/>
              </w:rPr>
              <w:t>що</w:t>
            </w:r>
            <w:proofErr w:type="spellEnd"/>
            <w:r w:rsidRPr="00E16672">
              <w:rPr>
                <w:i w:val="0"/>
                <w:color w:val="000000"/>
                <w:sz w:val="16"/>
              </w:rPr>
              <w:t xml:space="preserve"> </w:t>
            </w:r>
            <w:proofErr w:type="spellStart"/>
            <w:r w:rsidRPr="00E16672">
              <w:rPr>
                <w:i w:val="0"/>
                <w:color w:val="000000"/>
                <w:sz w:val="16"/>
              </w:rPr>
              <w:t>діє</w:t>
            </w:r>
            <w:proofErr w:type="spellEnd"/>
            <w:r w:rsidRPr="00E16672">
              <w:rPr>
                <w:i w:val="0"/>
                <w:color w:val="000000"/>
                <w:sz w:val="16"/>
              </w:rPr>
              <w:t xml:space="preserve"> на </w:t>
            </w:r>
            <w:proofErr w:type="spellStart"/>
            <w:r w:rsidRPr="00E16672">
              <w:rPr>
                <w:i w:val="0"/>
                <w:color w:val="000000"/>
                <w:sz w:val="16"/>
              </w:rPr>
              <w:t>підставі</w:t>
            </w:r>
            <w:proofErr w:type="spellEnd"/>
            <w:r w:rsidRPr="00E16672">
              <w:rPr>
                <w:i w:val="0"/>
                <w:color w:val="000000"/>
                <w:sz w:val="16"/>
              </w:rPr>
              <w:t xml:space="preserve"> Статуту</w:t>
            </w:r>
            <w:r w:rsidRPr="00E16672">
              <w:rPr>
                <w:i w:val="0"/>
                <w:color w:val="000000"/>
                <w:sz w:val="16"/>
                <w:lang w:val="uk-UA"/>
              </w:rPr>
              <w:t>,</w:t>
            </w:r>
            <w:r w:rsidR="00EB25FE" w:rsidRPr="00E16672">
              <w:rPr>
                <w:i w:val="0"/>
                <w:sz w:val="16"/>
                <w:szCs w:val="16"/>
                <w:lang w:val="uk-UA"/>
              </w:rPr>
              <w:t> з одного боку</w:t>
            </w:r>
            <w:r w:rsidR="00EB25FE" w:rsidRPr="00E16672">
              <w:rPr>
                <w:i w:val="0"/>
                <w:sz w:val="16"/>
                <w:szCs w:val="16"/>
              </w:rPr>
              <w:t>, та ________________________________,</w:t>
            </w:r>
          </w:p>
          <w:p w14:paraId="1630A146" w14:textId="77777777" w:rsidR="00EB25FE" w:rsidRPr="00E16672" w:rsidRDefault="00EB25FE" w:rsidP="00893AC3">
            <w:pPr>
              <w:ind w:left="175" w:right="138" w:firstLine="284"/>
              <w:rPr>
                <w:rFonts w:ascii="Times New Roman" w:eastAsia="Arial" w:hAnsi="Times New Roman"/>
                <w:i/>
                <w:sz w:val="16"/>
                <w:szCs w:val="16"/>
              </w:rPr>
            </w:pPr>
            <w:r w:rsidRPr="00E16672">
              <w:rPr>
                <w:rFonts w:ascii="Times New Roman" w:hAnsi="Times New Roman"/>
                <w:i/>
                <w:sz w:val="16"/>
                <w:szCs w:val="20"/>
                <w:lang w:val="uk-UA"/>
              </w:rPr>
              <w:t>(</w:t>
            </w:r>
            <w:r w:rsidRPr="00E16672">
              <w:rPr>
                <w:rFonts w:ascii="Times New Roman" w:hAnsi="Times New Roman"/>
                <w:i/>
                <w:sz w:val="16"/>
                <w:szCs w:val="20"/>
                <w:lang w:val="uk-UA" w:eastAsia="uk-UA"/>
              </w:rPr>
              <w:t>повне найменування,</w:t>
            </w:r>
            <w:r w:rsidRPr="00E16672" w:rsidDel="00D3086A">
              <w:rPr>
                <w:rFonts w:ascii="Times New Roman" w:hAnsi="Times New Roman"/>
                <w:i/>
                <w:sz w:val="16"/>
                <w:szCs w:val="20"/>
                <w:lang w:val="uk-UA" w:eastAsia="uk-UA"/>
              </w:rPr>
              <w:t xml:space="preserve"> </w:t>
            </w:r>
            <w:r w:rsidRPr="00E16672">
              <w:rPr>
                <w:rFonts w:ascii="Times New Roman" w:hAnsi="Times New Roman"/>
                <w:i/>
                <w:iCs/>
                <w:sz w:val="16"/>
                <w:szCs w:val="16"/>
                <w:lang w:val="uk-UA" w:eastAsia="uk-UA"/>
              </w:rPr>
              <w:t>номер реєстрації юридичної особи в країні її місцезнаходження</w:t>
            </w:r>
            <w:r w:rsidR="002A4FA7" w:rsidRPr="00E16672">
              <w:rPr>
                <w:rFonts w:ascii="Times New Roman" w:hAnsi="Times New Roman"/>
                <w:i/>
                <w:iCs/>
                <w:sz w:val="16"/>
                <w:szCs w:val="16"/>
                <w:lang w:val="uk-UA" w:eastAsia="uk-UA"/>
              </w:rPr>
              <w:t>)</w:t>
            </w:r>
          </w:p>
          <w:p w14:paraId="62A7B1CD" w14:textId="77777777" w:rsidR="00C22A8A" w:rsidRPr="00E16672" w:rsidRDefault="00EB25FE" w:rsidP="00893AC3">
            <w:pPr>
              <w:pStyle w:val="WW-1"/>
              <w:ind w:left="175" w:right="138" w:firstLine="7"/>
              <w:jc w:val="both"/>
              <w:rPr>
                <w:i w:val="0"/>
                <w:sz w:val="16"/>
                <w:szCs w:val="16"/>
              </w:rPr>
            </w:pPr>
            <w:r w:rsidRPr="00E16672">
              <w:rPr>
                <w:i w:val="0"/>
                <w:sz w:val="16"/>
                <w:szCs w:val="16"/>
              </w:rPr>
              <w:t xml:space="preserve"> (</w:t>
            </w:r>
            <w:proofErr w:type="spellStart"/>
            <w:r w:rsidRPr="00E16672">
              <w:rPr>
                <w:i w:val="0"/>
                <w:sz w:val="16"/>
                <w:szCs w:val="16"/>
              </w:rPr>
              <w:t>надалі</w:t>
            </w:r>
            <w:proofErr w:type="spellEnd"/>
            <w:r w:rsidRPr="00E16672">
              <w:rPr>
                <w:i w:val="0"/>
                <w:sz w:val="16"/>
                <w:szCs w:val="16"/>
              </w:rPr>
              <w:t xml:space="preserve"> – </w:t>
            </w:r>
            <w:r w:rsidRPr="00E16672">
              <w:rPr>
                <w:i w:val="0"/>
                <w:sz w:val="16"/>
                <w:szCs w:val="16"/>
                <w:lang w:val="uk-UA"/>
              </w:rPr>
              <w:t>Номінальний утримувач</w:t>
            </w:r>
            <w:r w:rsidRPr="00E16672">
              <w:rPr>
                <w:i w:val="0"/>
                <w:sz w:val="16"/>
                <w:szCs w:val="16"/>
              </w:rPr>
              <w:t>)</w:t>
            </w:r>
            <w:r w:rsidR="00C22A8A" w:rsidRPr="00E16672">
              <w:rPr>
                <w:i w:val="0"/>
                <w:sz w:val="16"/>
                <w:szCs w:val="16"/>
                <w:lang w:val="uk-UA"/>
              </w:rPr>
              <w:t>, _____</w:t>
            </w:r>
            <w:r w:rsidR="00C22A8A" w:rsidRPr="00E16672">
              <w:rPr>
                <w:i w:val="0"/>
                <w:sz w:val="16"/>
                <w:szCs w:val="16"/>
              </w:rPr>
              <w:t>______________________</w:t>
            </w:r>
            <w:r w:rsidR="00C22A8A" w:rsidRPr="00E16672">
              <w:rPr>
                <w:i w:val="0"/>
                <w:sz w:val="16"/>
                <w:szCs w:val="16"/>
                <w:lang w:val="uk-UA"/>
              </w:rPr>
              <w:t>__</w:t>
            </w:r>
            <w:r w:rsidR="00C22A8A" w:rsidRPr="00E16672">
              <w:rPr>
                <w:i w:val="0"/>
                <w:sz w:val="16"/>
                <w:szCs w:val="16"/>
              </w:rPr>
              <w:t>_</w:t>
            </w:r>
          </w:p>
          <w:p w14:paraId="565CE83A" w14:textId="77777777" w:rsidR="00893AC3" w:rsidRDefault="00893AC3" w:rsidP="00EB25FE">
            <w:pPr>
              <w:pStyle w:val="WW-1"/>
              <w:ind w:left="175" w:right="138" w:firstLine="7"/>
              <w:jc w:val="both"/>
              <w:rPr>
                <w:sz w:val="16"/>
                <w:lang w:val="uk-UA"/>
              </w:rPr>
            </w:pPr>
          </w:p>
          <w:p w14:paraId="4545E258" w14:textId="77777777" w:rsidR="00C22A8A" w:rsidRPr="00E16672" w:rsidRDefault="00893AC3" w:rsidP="00EB25FE">
            <w:pPr>
              <w:pStyle w:val="WW-1"/>
              <w:ind w:left="175" w:right="138" w:firstLine="7"/>
              <w:jc w:val="both"/>
              <w:rPr>
                <w:i w:val="0"/>
                <w:sz w:val="12"/>
                <w:szCs w:val="16"/>
                <w:lang w:val="uk-UA"/>
              </w:rPr>
            </w:pPr>
            <w:r w:rsidRPr="00E16672">
              <w:rPr>
                <w:sz w:val="16"/>
                <w:lang w:val="uk-UA"/>
              </w:rPr>
              <w:t xml:space="preserve"> </w:t>
            </w:r>
            <w:r w:rsidR="00C22A8A" w:rsidRPr="00E16672">
              <w:rPr>
                <w:sz w:val="16"/>
                <w:lang w:val="uk-UA"/>
              </w:rPr>
              <w:t xml:space="preserve">(інформація (реквізити) про дозвіл (ліцензію, авторизацію) на ведення відповідного виду діяльності особи, виданий (видану) в країні її реєстрації ) </w:t>
            </w:r>
          </w:p>
          <w:p w14:paraId="25092BAD" w14:textId="77777777" w:rsidR="00EB25FE" w:rsidRPr="00E16672" w:rsidRDefault="00EB25FE" w:rsidP="00C22A8A">
            <w:pPr>
              <w:pStyle w:val="WW-1"/>
              <w:ind w:left="175" w:right="138" w:firstLine="7"/>
              <w:jc w:val="both"/>
              <w:rPr>
                <w:i w:val="0"/>
                <w:sz w:val="16"/>
                <w:szCs w:val="16"/>
              </w:rPr>
            </w:pPr>
            <w:r w:rsidRPr="00E16672">
              <w:rPr>
                <w:i w:val="0"/>
                <w:sz w:val="16"/>
                <w:szCs w:val="16"/>
              </w:rPr>
              <w:t xml:space="preserve">в </w:t>
            </w:r>
            <w:proofErr w:type="spellStart"/>
            <w:r w:rsidRPr="00E16672">
              <w:rPr>
                <w:i w:val="0"/>
                <w:sz w:val="16"/>
                <w:szCs w:val="16"/>
              </w:rPr>
              <w:t>особі</w:t>
            </w:r>
            <w:proofErr w:type="spellEnd"/>
            <w:r w:rsidRPr="00E16672">
              <w:rPr>
                <w:i w:val="0"/>
                <w:sz w:val="16"/>
                <w:szCs w:val="16"/>
              </w:rPr>
              <w:t xml:space="preserve"> </w:t>
            </w:r>
            <w:r w:rsidR="00C22A8A" w:rsidRPr="00E16672">
              <w:rPr>
                <w:i w:val="0"/>
                <w:sz w:val="16"/>
                <w:szCs w:val="16"/>
                <w:lang w:val="uk-UA"/>
              </w:rPr>
              <w:t>_____</w:t>
            </w:r>
            <w:r w:rsidRPr="00E16672">
              <w:rPr>
                <w:i w:val="0"/>
                <w:sz w:val="16"/>
                <w:szCs w:val="16"/>
              </w:rPr>
              <w:t>______________________</w:t>
            </w:r>
            <w:r w:rsidR="00C22A8A" w:rsidRPr="00E16672">
              <w:rPr>
                <w:i w:val="0"/>
                <w:sz w:val="16"/>
                <w:szCs w:val="16"/>
                <w:lang w:val="uk-UA"/>
              </w:rPr>
              <w:t>__________________________</w:t>
            </w:r>
            <w:r w:rsidRPr="00E16672">
              <w:rPr>
                <w:i w:val="0"/>
                <w:sz w:val="16"/>
                <w:szCs w:val="16"/>
              </w:rPr>
              <w:t xml:space="preserve">_, </w:t>
            </w:r>
            <w:proofErr w:type="spellStart"/>
            <w:r w:rsidRPr="00E16672">
              <w:rPr>
                <w:i w:val="0"/>
                <w:sz w:val="16"/>
                <w:szCs w:val="16"/>
              </w:rPr>
              <w:t>що</w:t>
            </w:r>
            <w:proofErr w:type="spellEnd"/>
            <w:r w:rsidRPr="00E16672">
              <w:rPr>
                <w:i w:val="0"/>
                <w:sz w:val="16"/>
                <w:szCs w:val="16"/>
              </w:rPr>
              <w:t xml:space="preserve"> </w:t>
            </w:r>
            <w:proofErr w:type="spellStart"/>
            <w:r w:rsidRPr="00E16672">
              <w:rPr>
                <w:i w:val="0"/>
                <w:sz w:val="16"/>
                <w:szCs w:val="16"/>
              </w:rPr>
              <w:t>діє</w:t>
            </w:r>
            <w:proofErr w:type="spellEnd"/>
            <w:r w:rsidRPr="00E16672">
              <w:rPr>
                <w:i w:val="0"/>
                <w:sz w:val="16"/>
                <w:szCs w:val="16"/>
              </w:rPr>
              <w:t xml:space="preserve"> на </w:t>
            </w:r>
            <w:proofErr w:type="spellStart"/>
            <w:r w:rsidRPr="00E16672">
              <w:rPr>
                <w:i w:val="0"/>
                <w:sz w:val="16"/>
                <w:szCs w:val="16"/>
              </w:rPr>
              <w:t>підставі</w:t>
            </w:r>
            <w:proofErr w:type="spellEnd"/>
            <w:r w:rsidRPr="00E16672">
              <w:rPr>
                <w:i w:val="0"/>
                <w:sz w:val="16"/>
                <w:szCs w:val="16"/>
              </w:rPr>
              <w:t xml:space="preserve"> (</w:t>
            </w:r>
            <w:proofErr w:type="spellStart"/>
            <w:r w:rsidRPr="00E16672">
              <w:rPr>
                <w:i w:val="0"/>
                <w:sz w:val="16"/>
                <w:szCs w:val="16"/>
              </w:rPr>
              <w:t>довіреності</w:t>
            </w:r>
            <w:proofErr w:type="spellEnd"/>
            <w:r w:rsidRPr="00E16672">
              <w:rPr>
                <w:i w:val="0"/>
                <w:sz w:val="16"/>
                <w:szCs w:val="16"/>
              </w:rPr>
              <w:t xml:space="preserve"> №____ </w:t>
            </w:r>
            <w:proofErr w:type="spellStart"/>
            <w:r w:rsidRPr="00E16672">
              <w:rPr>
                <w:i w:val="0"/>
                <w:sz w:val="16"/>
                <w:szCs w:val="16"/>
              </w:rPr>
              <w:t>від</w:t>
            </w:r>
            <w:proofErr w:type="spellEnd"/>
            <w:r w:rsidRPr="00E16672">
              <w:rPr>
                <w:i w:val="0"/>
                <w:sz w:val="16"/>
                <w:szCs w:val="16"/>
              </w:rPr>
              <w:t xml:space="preserve"> ________</w:t>
            </w:r>
            <w:r w:rsidRPr="00E16672">
              <w:rPr>
                <w:i w:val="0"/>
                <w:sz w:val="16"/>
                <w:szCs w:val="16"/>
                <w:lang w:val="uk-UA"/>
              </w:rPr>
              <w:t>, інше: _____________</w:t>
            </w:r>
            <w:r w:rsidRPr="00E16672">
              <w:rPr>
                <w:i w:val="0"/>
                <w:sz w:val="16"/>
                <w:szCs w:val="16"/>
              </w:rPr>
              <w:t xml:space="preserve">) з </w:t>
            </w:r>
            <w:proofErr w:type="spellStart"/>
            <w:r w:rsidRPr="00E16672">
              <w:rPr>
                <w:i w:val="0"/>
                <w:sz w:val="16"/>
                <w:szCs w:val="16"/>
              </w:rPr>
              <w:t>другої</w:t>
            </w:r>
            <w:proofErr w:type="spellEnd"/>
            <w:r w:rsidRPr="00E16672">
              <w:rPr>
                <w:i w:val="0"/>
                <w:sz w:val="16"/>
                <w:szCs w:val="16"/>
              </w:rPr>
              <w:t xml:space="preserve"> </w:t>
            </w:r>
            <w:proofErr w:type="spellStart"/>
            <w:r w:rsidRPr="00E16672">
              <w:rPr>
                <w:i w:val="0"/>
                <w:sz w:val="16"/>
                <w:szCs w:val="16"/>
              </w:rPr>
              <w:t>сторони</w:t>
            </w:r>
            <w:proofErr w:type="spellEnd"/>
            <w:r w:rsidRPr="00E16672">
              <w:rPr>
                <w:i w:val="0"/>
                <w:sz w:val="16"/>
                <w:szCs w:val="16"/>
              </w:rPr>
              <w:t xml:space="preserve">, а разом </w:t>
            </w:r>
            <w:proofErr w:type="spellStart"/>
            <w:r w:rsidRPr="00E16672">
              <w:rPr>
                <w:i w:val="0"/>
                <w:sz w:val="16"/>
                <w:szCs w:val="16"/>
              </w:rPr>
              <w:t>надалі</w:t>
            </w:r>
            <w:proofErr w:type="spellEnd"/>
            <w:r w:rsidRPr="00E16672">
              <w:rPr>
                <w:i w:val="0"/>
                <w:sz w:val="16"/>
                <w:szCs w:val="16"/>
              </w:rPr>
              <w:t xml:space="preserve"> </w:t>
            </w:r>
            <w:proofErr w:type="spellStart"/>
            <w:r w:rsidRPr="00E16672">
              <w:rPr>
                <w:i w:val="0"/>
                <w:sz w:val="16"/>
                <w:szCs w:val="16"/>
              </w:rPr>
              <w:t>іменовані</w:t>
            </w:r>
            <w:proofErr w:type="spellEnd"/>
            <w:r w:rsidRPr="00E16672">
              <w:rPr>
                <w:i w:val="0"/>
                <w:sz w:val="16"/>
                <w:szCs w:val="16"/>
              </w:rPr>
              <w:t xml:space="preserve"> </w:t>
            </w:r>
            <w:proofErr w:type="spellStart"/>
            <w:r w:rsidRPr="00E16672">
              <w:rPr>
                <w:i w:val="0"/>
                <w:sz w:val="16"/>
                <w:szCs w:val="16"/>
              </w:rPr>
              <w:t>Сторони</w:t>
            </w:r>
            <w:proofErr w:type="spellEnd"/>
            <w:r w:rsidRPr="00E16672">
              <w:rPr>
                <w:i w:val="0"/>
                <w:sz w:val="16"/>
                <w:szCs w:val="16"/>
              </w:rPr>
              <w:t xml:space="preserve">, </w:t>
            </w:r>
            <w:proofErr w:type="spellStart"/>
            <w:r w:rsidRPr="00E16672">
              <w:rPr>
                <w:i w:val="0"/>
                <w:sz w:val="16"/>
                <w:szCs w:val="16"/>
              </w:rPr>
              <w:t>уклали</w:t>
            </w:r>
            <w:proofErr w:type="spellEnd"/>
            <w:r w:rsidRPr="00E16672">
              <w:rPr>
                <w:i w:val="0"/>
                <w:sz w:val="16"/>
                <w:szCs w:val="16"/>
              </w:rPr>
              <w:t xml:space="preserve"> </w:t>
            </w:r>
            <w:proofErr w:type="spellStart"/>
            <w:r w:rsidRPr="00E16672">
              <w:rPr>
                <w:i w:val="0"/>
                <w:sz w:val="16"/>
                <w:szCs w:val="16"/>
              </w:rPr>
              <w:t>цей</w:t>
            </w:r>
            <w:proofErr w:type="spellEnd"/>
            <w:r w:rsidRPr="00E16672">
              <w:rPr>
                <w:i w:val="0"/>
                <w:sz w:val="16"/>
                <w:szCs w:val="16"/>
              </w:rPr>
              <w:t xml:space="preserve"> </w:t>
            </w:r>
            <w:proofErr w:type="spellStart"/>
            <w:r w:rsidRPr="00E16672">
              <w:rPr>
                <w:i w:val="0"/>
                <w:sz w:val="16"/>
                <w:szCs w:val="16"/>
              </w:rPr>
              <w:t>Договір</w:t>
            </w:r>
            <w:proofErr w:type="spellEnd"/>
            <w:r w:rsidRPr="00E16672">
              <w:rPr>
                <w:i w:val="0"/>
                <w:sz w:val="16"/>
                <w:szCs w:val="16"/>
              </w:rPr>
              <w:t xml:space="preserve"> про </w:t>
            </w:r>
            <w:proofErr w:type="spellStart"/>
            <w:r w:rsidRPr="00E16672">
              <w:rPr>
                <w:i w:val="0"/>
                <w:sz w:val="16"/>
                <w:szCs w:val="16"/>
              </w:rPr>
              <w:t>обслуговування</w:t>
            </w:r>
            <w:proofErr w:type="spellEnd"/>
            <w:r w:rsidRPr="00E16672">
              <w:rPr>
                <w:i w:val="0"/>
                <w:sz w:val="16"/>
                <w:szCs w:val="16"/>
              </w:rPr>
              <w:t xml:space="preserve"> </w:t>
            </w:r>
            <w:proofErr w:type="spellStart"/>
            <w:r w:rsidRPr="00E16672">
              <w:rPr>
                <w:i w:val="0"/>
                <w:sz w:val="16"/>
                <w:szCs w:val="16"/>
              </w:rPr>
              <w:t>рахунк</w:t>
            </w:r>
            <w:proofErr w:type="spellEnd"/>
            <w:r w:rsidRPr="00E16672">
              <w:rPr>
                <w:i w:val="0"/>
                <w:sz w:val="16"/>
                <w:szCs w:val="16"/>
                <w:lang w:val="uk-UA"/>
              </w:rPr>
              <w:t>у</w:t>
            </w:r>
            <w:r w:rsidRPr="00E16672">
              <w:rPr>
                <w:i w:val="0"/>
                <w:sz w:val="16"/>
                <w:szCs w:val="16"/>
              </w:rPr>
              <w:t xml:space="preserve"> в </w:t>
            </w:r>
            <w:proofErr w:type="spellStart"/>
            <w:r w:rsidRPr="00E16672">
              <w:rPr>
                <w:i w:val="0"/>
                <w:sz w:val="16"/>
                <w:szCs w:val="16"/>
              </w:rPr>
              <w:t>цінних</w:t>
            </w:r>
            <w:proofErr w:type="spellEnd"/>
            <w:r w:rsidRPr="00E16672">
              <w:rPr>
                <w:i w:val="0"/>
                <w:sz w:val="16"/>
                <w:szCs w:val="16"/>
              </w:rPr>
              <w:t xml:space="preserve"> </w:t>
            </w:r>
            <w:proofErr w:type="spellStart"/>
            <w:r w:rsidRPr="00E16672">
              <w:rPr>
                <w:i w:val="0"/>
                <w:sz w:val="16"/>
                <w:szCs w:val="16"/>
              </w:rPr>
              <w:t>паперах</w:t>
            </w:r>
            <w:proofErr w:type="spellEnd"/>
            <w:r w:rsidRPr="00E16672">
              <w:rPr>
                <w:i w:val="0"/>
                <w:sz w:val="16"/>
                <w:szCs w:val="16"/>
              </w:rPr>
              <w:t xml:space="preserve"> (</w:t>
            </w:r>
            <w:proofErr w:type="spellStart"/>
            <w:r w:rsidRPr="00E16672">
              <w:rPr>
                <w:i w:val="0"/>
                <w:sz w:val="16"/>
                <w:szCs w:val="16"/>
              </w:rPr>
              <w:t>надалі</w:t>
            </w:r>
            <w:proofErr w:type="spellEnd"/>
            <w:r w:rsidRPr="00E16672">
              <w:rPr>
                <w:i w:val="0"/>
                <w:sz w:val="16"/>
                <w:szCs w:val="16"/>
              </w:rPr>
              <w:t xml:space="preserve"> – </w:t>
            </w:r>
            <w:proofErr w:type="spellStart"/>
            <w:r w:rsidRPr="00E16672">
              <w:rPr>
                <w:i w:val="0"/>
                <w:sz w:val="16"/>
                <w:szCs w:val="16"/>
              </w:rPr>
              <w:t>Договір</w:t>
            </w:r>
            <w:proofErr w:type="spellEnd"/>
            <w:r w:rsidRPr="00E16672">
              <w:rPr>
                <w:i w:val="0"/>
                <w:sz w:val="16"/>
                <w:szCs w:val="16"/>
              </w:rPr>
              <w:t xml:space="preserve">) про </w:t>
            </w:r>
            <w:proofErr w:type="spellStart"/>
            <w:r w:rsidRPr="00E16672">
              <w:rPr>
                <w:i w:val="0"/>
                <w:sz w:val="16"/>
                <w:szCs w:val="16"/>
              </w:rPr>
              <w:t>наступне</w:t>
            </w:r>
            <w:proofErr w:type="spellEnd"/>
            <w:r w:rsidRPr="00E16672">
              <w:rPr>
                <w:i w:val="0"/>
                <w:sz w:val="16"/>
                <w:szCs w:val="16"/>
              </w:rPr>
              <w:t>:</w:t>
            </w:r>
          </w:p>
        </w:tc>
        <w:tc>
          <w:tcPr>
            <w:tcW w:w="5495" w:type="dxa"/>
            <w:gridSpan w:val="8"/>
            <w:shd w:val="clear" w:color="auto" w:fill="auto"/>
          </w:tcPr>
          <w:p w14:paraId="6BDD604A" w14:textId="77777777" w:rsidR="00EB25FE" w:rsidRPr="00E16672" w:rsidRDefault="00EB25FE" w:rsidP="00794B3F">
            <w:pPr>
              <w:snapToGrid w:val="0"/>
              <w:ind w:left="57" w:right="57"/>
              <w:jc w:val="center"/>
              <w:rPr>
                <w:rFonts w:ascii="Times New Roman" w:hAnsi="Times New Roman"/>
                <w:b/>
                <w:bCs/>
                <w:sz w:val="16"/>
                <w:szCs w:val="16"/>
                <w:lang w:val="en-GB"/>
              </w:rPr>
            </w:pPr>
            <w:r w:rsidRPr="00E16672">
              <w:rPr>
                <w:rFonts w:ascii="Times New Roman" w:hAnsi="Times New Roman"/>
                <w:b/>
                <w:bCs/>
                <w:sz w:val="16"/>
                <w:szCs w:val="16"/>
                <w:lang w:val="en-US"/>
              </w:rPr>
              <w:t>AGREEMENT</w:t>
            </w:r>
            <w:r w:rsidRPr="00E16672">
              <w:rPr>
                <w:rFonts w:ascii="Times New Roman" w:hAnsi="Times New Roman"/>
                <w:b/>
                <w:bCs/>
                <w:sz w:val="16"/>
                <w:szCs w:val="16"/>
                <w:lang w:val="en-GB"/>
              </w:rPr>
              <w:t xml:space="preserve"> </w:t>
            </w:r>
          </w:p>
          <w:p w14:paraId="26C3EBEC" w14:textId="77777777" w:rsidR="00EB25FE" w:rsidRPr="00E16672" w:rsidRDefault="00EB25FE" w:rsidP="00794B3F">
            <w:pPr>
              <w:snapToGrid w:val="0"/>
              <w:ind w:left="57" w:right="57"/>
              <w:jc w:val="center"/>
              <w:rPr>
                <w:rFonts w:ascii="Times New Roman" w:hAnsi="Times New Roman"/>
                <w:b/>
                <w:bCs/>
                <w:sz w:val="16"/>
                <w:szCs w:val="16"/>
                <w:lang w:val="en-US"/>
              </w:rPr>
            </w:pPr>
            <w:r w:rsidRPr="00E16672">
              <w:rPr>
                <w:rFonts w:ascii="Times New Roman" w:hAnsi="Times New Roman"/>
                <w:b/>
                <w:bCs/>
                <w:caps/>
                <w:sz w:val="16"/>
                <w:szCs w:val="16"/>
                <w:lang w:val="en-US"/>
              </w:rPr>
              <w:t xml:space="preserve">on </w:t>
            </w:r>
            <w:proofErr w:type="gramStart"/>
            <w:r w:rsidRPr="00E16672">
              <w:rPr>
                <w:rFonts w:ascii="Times New Roman" w:hAnsi="Times New Roman"/>
                <w:b/>
                <w:bCs/>
                <w:caps/>
                <w:sz w:val="16"/>
                <w:szCs w:val="16"/>
                <w:lang w:val="en-US"/>
              </w:rPr>
              <w:t>servicing</w:t>
            </w:r>
            <w:r w:rsidRPr="00F23413">
              <w:rPr>
                <w:rStyle w:val="hpsalt-edited"/>
                <w:rFonts w:ascii="Times New Roman" w:hAnsi="Times New Roman"/>
                <w:sz w:val="16"/>
                <w:szCs w:val="16"/>
                <w:lang w:val="en-US"/>
              </w:rPr>
              <w:t xml:space="preserve"> </w:t>
            </w:r>
            <w:r w:rsidRPr="00E16672">
              <w:rPr>
                <w:rFonts w:ascii="Times New Roman" w:hAnsi="Times New Roman"/>
                <w:b/>
                <w:bCs/>
                <w:sz w:val="16"/>
                <w:szCs w:val="16"/>
                <w:lang w:val="en-GB"/>
              </w:rPr>
              <w:t xml:space="preserve"> </w:t>
            </w:r>
            <w:r w:rsidRPr="00E16672">
              <w:rPr>
                <w:rFonts w:ascii="Times New Roman" w:hAnsi="Times New Roman"/>
                <w:b/>
                <w:bCs/>
                <w:sz w:val="16"/>
                <w:szCs w:val="16"/>
                <w:lang w:val="en-US"/>
              </w:rPr>
              <w:t>THE</w:t>
            </w:r>
            <w:proofErr w:type="gramEnd"/>
            <w:r w:rsidRPr="00E16672">
              <w:rPr>
                <w:rFonts w:ascii="Times New Roman" w:hAnsi="Times New Roman"/>
                <w:b/>
                <w:bCs/>
                <w:sz w:val="16"/>
                <w:szCs w:val="16"/>
                <w:lang w:val="en-GB"/>
              </w:rPr>
              <w:t xml:space="preserve"> </w:t>
            </w:r>
            <w:r w:rsidRPr="00E16672">
              <w:rPr>
                <w:rFonts w:ascii="Times New Roman" w:hAnsi="Times New Roman"/>
                <w:b/>
                <w:bCs/>
                <w:sz w:val="16"/>
                <w:szCs w:val="16"/>
                <w:lang w:val="en-US"/>
              </w:rPr>
              <w:t>ACCOUNT</w:t>
            </w:r>
            <w:r w:rsidRPr="00E16672">
              <w:rPr>
                <w:rFonts w:ascii="Times New Roman" w:hAnsi="Times New Roman"/>
                <w:b/>
                <w:bCs/>
                <w:sz w:val="16"/>
                <w:szCs w:val="16"/>
                <w:lang w:val="en-GB"/>
              </w:rPr>
              <w:t xml:space="preserve"> </w:t>
            </w:r>
            <w:r w:rsidRPr="00E16672">
              <w:rPr>
                <w:rFonts w:ascii="Times New Roman" w:hAnsi="Times New Roman"/>
                <w:b/>
                <w:bCs/>
                <w:sz w:val="16"/>
                <w:szCs w:val="16"/>
                <w:lang w:val="en-US"/>
              </w:rPr>
              <w:t>IN</w:t>
            </w:r>
            <w:r w:rsidRPr="00E16672">
              <w:rPr>
                <w:rFonts w:ascii="Times New Roman" w:hAnsi="Times New Roman"/>
                <w:b/>
                <w:bCs/>
                <w:sz w:val="16"/>
                <w:szCs w:val="16"/>
                <w:lang w:val="en-GB"/>
              </w:rPr>
              <w:t xml:space="preserve"> </w:t>
            </w:r>
            <w:r w:rsidRPr="00E16672">
              <w:rPr>
                <w:rFonts w:ascii="Times New Roman" w:hAnsi="Times New Roman"/>
                <w:b/>
                <w:bCs/>
                <w:sz w:val="16"/>
                <w:szCs w:val="16"/>
                <w:lang w:val="en-US"/>
              </w:rPr>
              <w:t>SECURITIES</w:t>
            </w:r>
          </w:p>
          <w:p w14:paraId="453E8C15" w14:textId="77777777" w:rsidR="00EB25FE" w:rsidRPr="00D72215" w:rsidRDefault="00EB25FE" w:rsidP="00794B3F">
            <w:pPr>
              <w:ind w:left="57" w:right="57"/>
              <w:jc w:val="center"/>
              <w:rPr>
                <w:rFonts w:ascii="Times New Roman" w:hAnsi="Times New Roman"/>
                <w:b/>
                <w:bCs/>
                <w:sz w:val="16"/>
                <w:szCs w:val="16"/>
                <w:lang w:val="en-US"/>
              </w:rPr>
            </w:pPr>
            <w:r w:rsidRPr="00E16672">
              <w:rPr>
                <w:rFonts w:ascii="Times New Roman" w:hAnsi="Times New Roman"/>
                <w:b/>
                <w:bCs/>
                <w:sz w:val="16"/>
                <w:szCs w:val="16"/>
                <w:lang w:val="en-GB"/>
              </w:rPr>
              <w:t xml:space="preserve"># </w:t>
            </w:r>
            <w:r w:rsidRPr="00E16672">
              <w:rPr>
                <w:rFonts w:ascii="Times New Roman" w:eastAsia="Arial" w:hAnsi="Times New Roman"/>
                <w:b/>
                <w:sz w:val="16"/>
                <w:szCs w:val="16"/>
                <w:lang w:val="en-GB"/>
              </w:rPr>
              <w:t>_</w:t>
            </w:r>
            <w:r w:rsidRPr="00E16672">
              <w:rPr>
                <w:rFonts w:ascii="Times New Roman" w:hAnsi="Times New Roman"/>
                <w:b/>
                <w:bCs/>
                <w:sz w:val="16"/>
                <w:szCs w:val="16"/>
                <w:lang w:val="en-GB"/>
              </w:rPr>
              <w:t>_</w:t>
            </w:r>
            <w:r w:rsidRPr="00E16672">
              <w:rPr>
                <w:rFonts w:ascii="Times New Roman" w:hAnsi="Times New Roman"/>
                <w:b/>
                <w:bCs/>
                <w:sz w:val="16"/>
                <w:szCs w:val="16"/>
                <w:lang w:val="en-US"/>
              </w:rPr>
              <w:t>___</w:t>
            </w:r>
            <w:r w:rsidRPr="00E16672">
              <w:rPr>
                <w:rFonts w:ascii="Times New Roman" w:hAnsi="Times New Roman"/>
                <w:b/>
                <w:bCs/>
                <w:sz w:val="16"/>
                <w:szCs w:val="16"/>
                <w:lang w:val="en-GB"/>
              </w:rPr>
              <w:t>/_____</w:t>
            </w:r>
            <w:r w:rsidR="00D72215">
              <w:rPr>
                <w:rFonts w:ascii="Times New Roman" w:hAnsi="Times New Roman"/>
                <w:b/>
                <w:bCs/>
                <w:sz w:val="16"/>
                <w:szCs w:val="16"/>
                <w:lang w:val="uk-UA"/>
              </w:rPr>
              <w:t>/</w:t>
            </w:r>
            <w:r w:rsidR="00D72215">
              <w:rPr>
                <w:rFonts w:ascii="Times New Roman" w:hAnsi="Times New Roman"/>
                <w:b/>
                <w:bCs/>
                <w:sz w:val="16"/>
                <w:szCs w:val="16"/>
                <w:lang w:val="en-US"/>
              </w:rPr>
              <w:t>DU</w:t>
            </w:r>
          </w:p>
          <w:p w14:paraId="0B90E92F" w14:textId="77777777" w:rsidR="00EB25FE" w:rsidRPr="00E16672" w:rsidRDefault="00EB25FE" w:rsidP="00794B3F">
            <w:pPr>
              <w:ind w:right="57"/>
              <w:rPr>
                <w:rFonts w:ascii="Times New Roman" w:hAnsi="Times New Roman"/>
                <w:bCs/>
                <w:sz w:val="16"/>
                <w:szCs w:val="16"/>
                <w:lang w:val="en-GB"/>
              </w:rPr>
            </w:pPr>
          </w:p>
          <w:p w14:paraId="514E6499" w14:textId="77777777" w:rsidR="00EB25FE" w:rsidRDefault="00EF78D0" w:rsidP="00794B3F">
            <w:pPr>
              <w:ind w:left="57" w:right="57"/>
              <w:jc w:val="center"/>
              <w:rPr>
                <w:rFonts w:ascii="Times New Roman" w:hAnsi="Times New Roman"/>
                <w:bCs/>
                <w:sz w:val="16"/>
                <w:szCs w:val="16"/>
                <w:lang w:val="uk-UA"/>
              </w:rPr>
            </w:pPr>
            <w:r>
              <w:rPr>
                <w:rFonts w:ascii="Times New Roman" w:hAnsi="Times New Roman"/>
                <w:bCs/>
                <w:sz w:val="16"/>
                <w:szCs w:val="16"/>
                <w:lang w:val="en-US"/>
              </w:rPr>
              <w:t>Kyiv</w:t>
            </w:r>
            <w:r>
              <w:rPr>
                <w:rFonts w:ascii="Times New Roman" w:hAnsi="Times New Roman"/>
                <w:bCs/>
                <w:sz w:val="16"/>
                <w:szCs w:val="16"/>
                <w:lang w:val="uk-UA"/>
              </w:rPr>
              <w:t xml:space="preserve">                                           ________</w:t>
            </w:r>
            <w:r w:rsidR="00EB25FE" w:rsidRPr="00E16672">
              <w:rPr>
                <w:rFonts w:ascii="Times New Roman" w:hAnsi="Times New Roman"/>
                <w:bCs/>
                <w:sz w:val="16"/>
                <w:szCs w:val="16"/>
                <w:lang w:val="en-GB"/>
              </w:rPr>
              <w:t>_________, 20</w:t>
            </w:r>
            <w:r>
              <w:rPr>
                <w:rFonts w:ascii="Times New Roman" w:hAnsi="Times New Roman"/>
                <w:bCs/>
                <w:sz w:val="16"/>
                <w:szCs w:val="16"/>
                <w:lang w:val="uk-UA"/>
              </w:rPr>
              <w:t>___.</w:t>
            </w:r>
          </w:p>
          <w:p w14:paraId="47762815" w14:textId="77777777" w:rsidR="00EF78D0" w:rsidRPr="00EF78D0" w:rsidRDefault="00EF78D0" w:rsidP="00794B3F">
            <w:pPr>
              <w:ind w:left="57" w:right="57"/>
              <w:jc w:val="center"/>
              <w:rPr>
                <w:rFonts w:ascii="Times New Roman" w:hAnsi="Times New Roman"/>
                <w:b/>
                <w:bCs/>
                <w:sz w:val="16"/>
                <w:szCs w:val="16"/>
                <w:lang w:val="uk-UA"/>
              </w:rPr>
            </w:pPr>
          </w:p>
          <w:p w14:paraId="1AEC9A0D" w14:textId="77777777" w:rsidR="00EB25FE" w:rsidRPr="00E16672" w:rsidRDefault="001E62BE" w:rsidP="00794B3F">
            <w:pPr>
              <w:pStyle w:val="WW-0"/>
              <w:ind w:left="57" w:right="100" w:firstLine="376"/>
              <w:rPr>
                <w:rFonts w:ascii="Times New Roman" w:hAnsi="Times New Roman"/>
                <w:sz w:val="16"/>
                <w:szCs w:val="16"/>
                <w:lang w:val="en-GB"/>
              </w:rPr>
            </w:pPr>
            <w:r>
              <w:rPr>
                <w:rFonts w:ascii="Times New Roman" w:hAnsi="Times New Roman"/>
                <w:b/>
                <w:color w:val="000000"/>
                <w:sz w:val="16"/>
                <w:lang w:val="en-GB"/>
              </w:rPr>
              <w:t>COMEX Securities Limited</w:t>
            </w:r>
            <w:r w:rsidR="0014071D" w:rsidRPr="00E16672">
              <w:rPr>
                <w:rFonts w:ascii="Times New Roman" w:hAnsi="Times New Roman"/>
                <w:sz w:val="16"/>
                <w:szCs w:val="16"/>
                <w:lang w:val="en-US"/>
              </w:rPr>
              <w:t xml:space="preserve">, code according to EDRPOU </w:t>
            </w:r>
            <w:r w:rsidR="00E16672" w:rsidRPr="00E16672">
              <w:rPr>
                <w:rFonts w:ascii="Times New Roman" w:hAnsi="Times New Roman"/>
                <w:color w:val="000000"/>
                <w:sz w:val="16"/>
              </w:rPr>
              <w:t>33153077</w:t>
            </w:r>
            <w:r w:rsidR="0014071D" w:rsidRPr="00E16672">
              <w:rPr>
                <w:rFonts w:ascii="Times New Roman" w:hAnsi="Times New Roman"/>
                <w:sz w:val="16"/>
                <w:szCs w:val="16"/>
                <w:lang w:val="en-US"/>
              </w:rPr>
              <w:t xml:space="preserve"> </w:t>
            </w:r>
            <w:r w:rsidR="0014071D" w:rsidRPr="00E16672">
              <w:rPr>
                <w:rFonts w:ascii="Times New Roman" w:hAnsi="Times New Roman"/>
                <w:sz w:val="16"/>
                <w:szCs w:val="16"/>
                <w:lang w:val="en-GB"/>
              </w:rPr>
              <w:t>(</w:t>
            </w:r>
            <w:r w:rsidR="0014071D" w:rsidRPr="00E16672">
              <w:rPr>
                <w:rFonts w:ascii="Times New Roman" w:hAnsi="Times New Roman"/>
                <w:sz w:val="16"/>
                <w:szCs w:val="16"/>
                <w:lang w:val="en-US"/>
              </w:rPr>
              <w:t>hereinafter referred to as Depository institution</w:t>
            </w:r>
            <w:r w:rsidR="0014071D" w:rsidRPr="00E16672">
              <w:rPr>
                <w:rFonts w:ascii="Times New Roman" w:hAnsi="Times New Roman"/>
                <w:sz w:val="16"/>
                <w:szCs w:val="16"/>
                <w:lang w:val="en-GB"/>
              </w:rPr>
              <w:t>)</w:t>
            </w:r>
            <w:r w:rsidR="0014071D" w:rsidRPr="00E16672">
              <w:rPr>
                <w:rFonts w:ascii="Times New Roman" w:hAnsi="Times New Roman"/>
                <w:sz w:val="16"/>
                <w:szCs w:val="16"/>
                <w:lang w:val="en-US"/>
              </w:rPr>
              <w:t xml:space="preserve">, providing the depository activity of the Depository institution on the basis of License </w:t>
            </w:r>
            <w:r w:rsidR="0014071D" w:rsidRPr="00E16672">
              <w:rPr>
                <w:rFonts w:ascii="Times New Roman" w:hAnsi="Times New Roman"/>
                <w:color w:val="000000"/>
                <w:sz w:val="16"/>
              </w:rPr>
              <w:t xml:space="preserve">АЕ № </w:t>
            </w:r>
            <w:r w:rsidR="00E16672" w:rsidRPr="00E16672">
              <w:rPr>
                <w:rFonts w:ascii="Times New Roman" w:hAnsi="Times New Roman"/>
                <w:color w:val="000000"/>
                <w:sz w:val="16"/>
              </w:rPr>
              <w:t>263429</w:t>
            </w:r>
            <w:r w:rsidR="0014071D" w:rsidRPr="00E16672">
              <w:rPr>
                <w:rFonts w:ascii="Times New Roman" w:hAnsi="Times New Roman"/>
                <w:color w:val="000000"/>
                <w:sz w:val="16"/>
              </w:rPr>
              <w:t xml:space="preserve"> </w:t>
            </w:r>
            <w:r w:rsidR="0014071D" w:rsidRPr="00E16672">
              <w:rPr>
                <w:rFonts w:ascii="Times New Roman" w:hAnsi="Times New Roman"/>
                <w:sz w:val="16"/>
                <w:szCs w:val="16"/>
                <w:lang w:val="en-US"/>
              </w:rPr>
              <w:t xml:space="preserve">issued by the National Commission on Securities and Stock Market on </w:t>
            </w:r>
            <w:r w:rsidR="00E16672" w:rsidRPr="00E16672">
              <w:rPr>
                <w:rFonts w:ascii="Times New Roman" w:hAnsi="Times New Roman"/>
                <w:color w:val="000000"/>
                <w:sz w:val="16"/>
              </w:rPr>
              <w:t>01.10.2013</w:t>
            </w:r>
            <w:r w:rsidR="0014071D" w:rsidRPr="00E16672">
              <w:rPr>
                <w:rFonts w:ascii="Times New Roman" w:hAnsi="Times New Roman"/>
                <w:sz w:val="16"/>
                <w:szCs w:val="16"/>
                <w:lang w:val="en-US"/>
              </w:rPr>
              <w:t xml:space="preserve"> (hereinafter - NCSSM) represented </w:t>
            </w:r>
            <w:proofErr w:type="gramStart"/>
            <w:r w:rsidR="0014071D" w:rsidRPr="00E16672">
              <w:rPr>
                <w:rFonts w:ascii="Times New Roman" w:hAnsi="Times New Roman"/>
                <w:sz w:val="16"/>
                <w:szCs w:val="16"/>
                <w:lang w:val="en-US"/>
              </w:rPr>
              <w:t>by  the</w:t>
            </w:r>
            <w:proofErr w:type="gramEnd"/>
            <w:r w:rsidR="0014071D" w:rsidRPr="00E16672">
              <w:rPr>
                <w:rFonts w:ascii="Times New Roman" w:hAnsi="Times New Roman"/>
                <w:color w:val="000000"/>
                <w:sz w:val="16"/>
                <w:lang w:val="en-US"/>
              </w:rPr>
              <w:t xml:space="preserve"> Director </w:t>
            </w:r>
            <w:r>
              <w:rPr>
                <w:rFonts w:ascii="Times New Roman" w:hAnsi="Times New Roman"/>
                <w:color w:val="000000"/>
                <w:sz w:val="16"/>
                <w:lang w:val="en-US"/>
              </w:rPr>
              <w:t xml:space="preserve">Ms. </w:t>
            </w:r>
            <w:proofErr w:type="spellStart"/>
            <w:r>
              <w:rPr>
                <w:rFonts w:ascii="Times New Roman" w:hAnsi="Times New Roman"/>
                <w:color w:val="000000"/>
                <w:sz w:val="16"/>
                <w:lang w:val="en-US"/>
              </w:rPr>
              <w:t>Korol</w:t>
            </w:r>
            <w:proofErr w:type="spellEnd"/>
            <w:r>
              <w:rPr>
                <w:rFonts w:ascii="Times New Roman" w:hAnsi="Times New Roman"/>
                <w:color w:val="000000"/>
                <w:sz w:val="16"/>
                <w:lang w:val="en-US"/>
              </w:rPr>
              <w:t xml:space="preserve"> Oxana</w:t>
            </w:r>
            <w:r w:rsidR="0014071D" w:rsidRPr="00E16672">
              <w:rPr>
                <w:rFonts w:ascii="Times New Roman" w:hAnsi="Times New Roman"/>
                <w:color w:val="000000"/>
                <w:sz w:val="16"/>
                <w:lang w:val="en-US"/>
              </w:rPr>
              <w:t xml:space="preserve">, acting on the basis of </w:t>
            </w:r>
            <w:r w:rsidR="0014071D" w:rsidRPr="00E16672">
              <w:rPr>
                <w:rFonts w:ascii="Times New Roman" w:hAnsi="Times New Roman"/>
                <w:color w:val="000000"/>
              </w:rPr>
              <w:t xml:space="preserve"> </w:t>
            </w:r>
            <w:r w:rsidR="0014071D" w:rsidRPr="00E16672">
              <w:rPr>
                <w:rFonts w:ascii="Times New Roman" w:hAnsi="Times New Roman"/>
                <w:color w:val="000000"/>
                <w:sz w:val="16"/>
                <w:lang w:val="en-US"/>
              </w:rPr>
              <w:t>Statute</w:t>
            </w:r>
            <w:r w:rsidR="00EB25FE" w:rsidRPr="00E16672">
              <w:rPr>
                <w:rFonts w:ascii="Times New Roman" w:hAnsi="Times New Roman"/>
                <w:sz w:val="16"/>
                <w:szCs w:val="16"/>
                <w:lang w:val="en-US"/>
              </w:rPr>
              <w:t>, on the one hand, and</w:t>
            </w:r>
            <w:r w:rsidR="00EB25FE" w:rsidRPr="00E16672">
              <w:rPr>
                <w:rFonts w:ascii="Times New Roman" w:hAnsi="Times New Roman"/>
                <w:sz w:val="16"/>
                <w:szCs w:val="16"/>
                <w:lang w:val="en-GB"/>
              </w:rPr>
              <w:t xml:space="preserve"> ______________________________________________________</w:t>
            </w:r>
          </w:p>
          <w:p w14:paraId="01DEB832" w14:textId="77777777" w:rsidR="00EB25FE" w:rsidRPr="00E16672" w:rsidRDefault="00EB25FE" w:rsidP="00794B3F">
            <w:pPr>
              <w:pStyle w:val="WW-0"/>
              <w:ind w:left="57" w:right="100"/>
              <w:rPr>
                <w:rFonts w:ascii="Times New Roman" w:hAnsi="Times New Roman"/>
                <w:i/>
                <w:sz w:val="16"/>
                <w:szCs w:val="16"/>
              </w:rPr>
            </w:pPr>
            <w:r w:rsidRPr="00E16672">
              <w:rPr>
                <w:rFonts w:ascii="Times New Roman" w:hAnsi="Times New Roman"/>
                <w:i/>
                <w:sz w:val="16"/>
                <w:szCs w:val="16"/>
                <w:lang w:val="en-US"/>
              </w:rPr>
              <w:t>(</w:t>
            </w:r>
            <w:proofErr w:type="spellStart"/>
            <w:r w:rsidRPr="00E16672">
              <w:rPr>
                <w:rFonts w:ascii="Times New Roman" w:hAnsi="Times New Roman"/>
                <w:i/>
                <w:sz w:val="16"/>
              </w:rPr>
              <w:t>full</w:t>
            </w:r>
            <w:proofErr w:type="spellEnd"/>
            <w:r w:rsidRPr="00E16672">
              <w:rPr>
                <w:rFonts w:ascii="Times New Roman" w:hAnsi="Times New Roman"/>
                <w:i/>
                <w:sz w:val="16"/>
              </w:rPr>
              <w:t xml:space="preserve"> </w:t>
            </w:r>
            <w:proofErr w:type="spellStart"/>
            <w:r w:rsidRPr="00E16672">
              <w:rPr>
                <w:rFonts w:ascii="Times New Roman" w:hAnsi="Times New Roman"/>
                <w:i/>
                <w:sz w:val="16"/>
              </w:rPr>
              <w:t>name</w:t>
            </w:r>
            <w:proofErr w:type="spellEnd"/>
            <w:r w:rsidRPr="00E16672">
              <w:rPr>
                <w:rFonts w:ascii="Times New Roman" w:hAnsi="Times New Roman"/>
                <w:i/>
                <w:sz w:val="16"/>
              </w:rPr>
              <w:t xml:space="preserve">, </w:t>
            </w:r>
            <w:proofErr w:type="spellStart"/>
            <w:r w:rsidRPr="00E16672">
              <w:rPr>
                <w:rFonts w:ascii="Times New Roman" w:hAnsi="Times New Roman"/>
                <w:i/>
                <w:sz w:val="16"/>
              </w:rPr>
              <w:t>number</w:t>
            </w:r>
            <w:proofErr w:type="spellEnd"/>
            <w:r w:rsidRPr="00E16672">
              <w:rPr>
                <w:rFonts w:ascii="Times New Roman" w:hAnsi="Times New Roman"/>
                <w:i/>
                <w:sz w:val="16"/>
              </w:rPr>
              <w:t xml:space="preserve"> </w:t>
            </w:r>
            <w:proofErr w:type="spellStart"/>
            <w:r w:rsidRPr="00E16672">
              <w:rPr>
                <w:rFonts w:ascii="Times New Roman" w:hAnsi="Times New Roman"/>
                <w:i/>
                <w:sz w:val="16"/>
              </w:rPr>
              <w:t>of</w:t>
            </w:r>
            <w:proofErr w:type="spellEnd"/>
            <w:r w:rsidRPr="00E16672">
              <w:rPr>
                <w:rFonts w:ascii="Times New Roman" w:hAnsi="Times New Roman"/>
                <w:i/>
                <w:sz w:val="16"/>
              </w:rPr>
              <w:t xml:space="preserve"> </w:t>
            </w:r>
            <w:proofErr w:type="spellStart"/>
            <w:proofErr w:type="gramStart"/>
            <w:r w:rsidRPr="00E16672">
              <w:rPr>
                <w:rFonts w:ascii="Times New Roman" w:hAnsi="Times New Roman"/>
                <w:i/>
                <w:sz w:val="16"/>
              </w:rPr>
              <w:t>registration</w:t>
            </w:r>
            <w:proofErr w:type="spellEnd"/>
            <w:proofErr w:type="gramEnd"/>
            <w:r w:rsidRPr="00E16672">
              <w:rPr>
                <w:rFonts w:ascii="Times New Roman" w:hAnsi="Times New Roman"/>
                <w:i/>
                <w:sz w:val="16"/>
              </w:rPr>
              <w:t xml:space="preserve"> </w:t>
            </w:r>
            <w:proofErr w:type="spellStart"/>
            <w:r w:rsidRPr="00E16672">
              <w:rPr>
                <w:rFonts w:ascii="Times New Roman" w:hAnsi="Times New Roman"/>
                <w:i/>
                <w:sz w:val="16"/>
              </w:rPr>
              <w:t>of</w:t>
            </w:r>
            <w:proofErr w:type="spellEnd"/>
            <w:r w:rsidRPr="00E16672">
              <w:rPr>
                <w:rFonts w:ascii="Times New Roman" w:hAnsi="Times New Roman"/>
                <w:i/>
                <w:sz w:val="16"/>
              </w:rPr>
              <w:t xml:space="preserve"> a </w:t>
            </w:r>
            <w:proofErr w:type="spellStart"/>
            <w:r w:rsidRPr="00E16672">
              <w:rPr>
                <w:rFonts w:ascii="Times New Roman" w:hAnsi="Times New Roman"/>
                <w:i/>
                <w:sz w:val="16"/>
              </w:rPr>
              <w:t>legal</w:t>
            </w:r>
            <w:proofErr w:type="spellEnd"/>
            <w:r w:rsidRPr="00E16672">
              <w:rPr>
                <w:rFonts w:ascii="Times New Roman" w:hAnsi="Times New Roman"/>
                <w:i/>
                <w:sz w:val="16"/>
              </w:rPr>
              <w:t xml:space="preserve"> </w:t>
            </w:r>
            <w:proofErr w:type="spellStart"/>
            <w:r w:rsidRPr="00E16672">
              <w:rPr>
                <w:rFonts w:ascii="Times New Roman" w:hAnsi="Times New Roman"/>
                <w:i/>
                <w:sz w:val="16"/>
              </w:rPr>
              <w:t>entity</w:t>
            </w:r>
            <w:proofErr w:type="spellEnd"/>
            <w:r w:rsidRPr="00E16672">
              <w:rPr>
                <w:rFonts w:ascii="Times New Roman" w:hAnsi="Times New Roman"/>
                <w:i/>
                <w:sz w:val="16"/>
              </w:rPr>
              <w:t xml:space="preserve"> </w:t>
            </w:r>
            <w:proofErr w:type="spellStart"/>
            <w:r w:rsidRPr="00E16672">
              <w:rPr>
                <w:rFonts w:ascii="Times New Roman" w:hAnsi="Times New Roman"/>
                <w:i/>
                <w:sz w:val="16"/>
              </w:rPr>
              <w:t>in</w:t>
            </w:r>
            <w:proofErr w:type="spellEnd"/>
            <w:r w:rsidRPr="00E16672">
              <w:rPr>
                <w:rFonts w:ascii="Times New Roman" w:hAnsi="Times New Roman"/>
                <w:i/>
                <w:sz w:val="16"/>
              </w:rPr>
              <w:t xml:space="preserve"> </w:t>
            </w:r>
            <w:proofErr w:type="spellStart"/>
            <w:r w:rsidRPr="00E16672">
              <w:rPr>
                <w:rFonts w:ascii="Times New Roman" w:hAnsi="Times New Roman"/>
                <w:i/>
                <w:sz w:val="16"/>
              </w:rPr>
              <w:t>the</w:t>
            </w:r>
            <w:proofErr w:type="spellEnd"/>
            <w:r w:rsidRPr="00E16672">
              <w:rPr>
                <w:rFonts w:ascii="Times New Roman" w:hAnsi="Times New Roman"/>
                <w:i/>
                <w:sz w:val="16"/>
              </w:rPr>
              <w:t xml:space="preserve"> </w:t>
            </w:r>
            <w:proofErr w:type="spellStart"/>
            <w:r w:rsidRPr="00E16672">
              <w:rPr>
                <w:rFonts w:ascii="Times New Roman" w:hAnsi="Times New Roman"/>
                <w:i/>
                <w:sz w:val="16"/>
              </w:rPr>
              <w:t>country</w:t>
            </w:r>
            <w:proofErr w:type="spellEnd"/>
            <w:r w:rsidRPr="00E16672">
              <w:rPr>
                <w:rFonts w:ascii="Times New Roman" w:hAnsi="Times New Roman"/>
                <w:i/>
                <w:sz w:val="16"/>
              </w:rPr>
              <w:t xml:space="preserve"> </w:t>
            </w:r>
            <w:proofErr w:type="spellStart"/>
            <w:r w:rsidRPr="00E16672">
              <w:rPr>
                <w:rFonts w:ascii="Times New Roman" w:hAnsi="Times New Roman"/>
                <w:i/>
                <w:sz w:val="16"/>
              </w:rPr>
              <w:t>of</w:t>
            </w:r>
            <w:proofErr w:type="spellEnd"/>
            <w:r w:rsidRPr="00E16672">
              <w:rPr>
                <w:rFonts w:ascii="Times New Roman" w:hAnsi="Times New Roman"/>
                <w:i/>
                <w:sz w:val="16"/>
              </w:rPr>
              <w:t xml:space="preserve"> </w:t>
            </w:r>
            <w:proofErr w:type="spellStart"/>
            <w:r w:rsidRPr="00E16672">
              <w:rPr>
                <w:rFonts w:ascii="Times New Roman" w:hAnsi="Times New Roman"/>
                <w:i/>
                <w:sz w:val="16"/>
              </w:rPr>
              <w:t>its</w:t>
            </w:r>
            <w:proofErr w:type="spellEnd"/>
            <w:r w:rsidRPr="00E16672">
              <w:rPr>
                <w:rFonts w:ascii="Times New Roman" w:hAnsi="Times New Roman"/>
                <w:i/>
                <w:sz w:val="16"/>
              </w:rPr>
              <w:t xml:space="preserve"> </w:t>
            </w:r>
            <w:proofErr w:type="spellStart"/>
            <w:r w:rsidRPr="00E16672">
              <w:rPr>
                <w:rFonts w:ascii="Times New Roman" w:hAnsi="Times New Roman"/>
                <w:i/>
                <w:sz w:val="16"/>
              </w:rPr>
              <w:t>location</w:t>
            </w:r>
            <w:proofErr w:type="spellEnd"/>
            <w:r w:rsidRPr="00E16672">
              <w:rPr>
                <w:rFonts w:ascii="Times New Roman" w:hAnsi="Times New Roman"/>
                <w:i/>
                <w:sz w:val="16"/>
                <w:szCs w:val="16"/>
              </w:rPr>
              <w:t>)</w:t>
            </w:r>
          </w:p>
          <w:p w14:paraId="584D16FA" w14:textId="77777777" w:rsidR="00BF283F" w:rsidRPr="00E16672" w:rsidRDefault="002A4FA7" w:rsidP="00EB25FE">
            <w:pPr>
              <w:pStyle w:val="WW-0"/>
              <w:ind w:left="57" w:right="100"/>
              <w:rPr>
                <w:rFonts w:ascii="Times New Roman" w:hAnsi="Times New Roman"/>
                <w:sz w:val="16"/>
                <w:szCs w:val="16"/>
                <w:lang w:val="en-GB"/>
              </w:rPr>
            </w:pPr>
            <w:r w:rsidRPr="00E16672">
              <w:rPr>
                <w:rFonts w:ascii="Times New Roman" w:hAnsi="Times New Roman"/>
                <w:sz w:val="16"/>
                <w:szCs w:val="16"/>
              </w:rPr>
              <w:t>(</w:t>
            </w:r>
            <w:r w:rsidR="00EB25FE" w:rsidRPr="00E16672">
              <w:rPr>
                <w:rFonts w:ascii="Times New Roman" w:hAnsi="Times New Roman"/>
                <w:sz w:val="16"/>
                <w:szCs w:val="16"/>
                <w:lang w:val="en-GB"/>
              </w:rPr>
              <w:t>hereinafter referred to as Nominal holder</w:t>
            </w:r>
            <w:r w:rsidRPr="00E16672">
              <w:rPr>
                <w:rFonts w:ascii="Times New Roman" w:hAnsi="Times New Roman"/>
                <w:sz w:val="16"/>
                <w:szCs w:val="16"/>
              </w:rPr>
              <w:t>)</w:t>
            </w:r>
            <w:r w:rsidR="00EB25FE" w:rsidRPr="00E16672">
              <w:rPr>
                <w:rFonts w:ascii="Times New Roman" w:hAnsi="Times New Roman"/>
                <w:sz w:val="16"/>
                <w:szCs w:val="16"/>
                <w:lang w:val="en-GB"/>
              </w:rPr>
              <w:t xml:space="preserve">, </w:t>
            </w:r>
          </w:p>
          <w:p w14:paraId="2077533C" w14:textId="77777777" w:rsidR="00BF283F" w:rsidRPr="00E16672" w:rsidRDefault="00BF283F" w:rsidP="00276FEA">
            <w:pPr>
              <w:pStyle w:val="WW-1"/>
              <w:ind w:left="175" w:right="138" w:firstLine="7"/>
              <w:jc w:val="both"/>
              <w:rPr>
                <w:i w:val="0"/>
                <w:sz w:val="16"/>
                <w:szCs w:val="16"/>
                <w:lang w:val="en-US"/>
              </w:rPr>
            </w:pPr>
            <w:r w:rsidRPr="00E16672">
              <w:rPr>
                <w:i w:val="0"/>
                <w:sz w:val="16"/>
                <w:szCs w:val="16"/>
                <w:lang w:val="uk-UA"/>
              </w:rPr>
              <w:t>__________________________________________________________</w:t>
            </w:r>
          </w:p>
          <w:p w14:paraId="1CC0EA2F" w14:textId="77777777" w:rsidR="00BF283F" w:rsidRPr="00E16672" w:rsidRDefault="00BF283F" w:rsidP="00276FEA">
            <w:pPr>
              <w:pStyle w:val="WW-1"/>
              <w:ind w:left="175" w:right="138" w:firstLine="7"/>
              <w:jc w:val="both"/>
              <w:rPr>
                <w:sz w:val="16"/>
                <w:lang w:val="uk-UA"/>
              </w:rPr>
            </w:pPr>
          </w:p>
          <w:p w14:paraId="2FE4C832" w14:textId="77777777" w:rsidR="00BF283F" w:rsidRPr="00E16672" w:rsidRDefault="00BF283F" w:rsidP="00276FEA">
            <w:pPr>
              <w:pStyle w:val="WW-1"/>
              <w:ind w:left="175" w:right="138" w:firstLine="7"/>
              <w:jc w:val="both"/>
              <w:rPr>
                <w:sz w:val="16"/>
                <w:lang w:val="uk-UA"/>
              </w:rPr>
            </w:pPr>
            <w:r w:rsidRPr="00E16672">
              <w:rPr>
                <w:sz w:val="16"/>
                <w:lang w:val="uk-UA"/>
              </w:rPr>
              <w:t>(</w:t>
            </w:r>
            <w:proofErr w:type="spellStart"/>
            <w:r w:rsidRPr="00E16672">
              <w:rPr>
                <w:sz w:val="16"/>
                <w:lang w:val="uk-UA"/>
              </w:rPr>
              <w:t>information</w:t>
            </w:r>
            <w:proofErr w:type="spellEnd"/>
            <w:r w:rsidRPr="00E16672">
              <w:rPr>
                <w:sz w:val="16"/>
                <w:lang w:val="uk-UA"/>
              </w:rPr>
              <w:t xml:space="preserve"> (</w:t>
            </w:r>
            <w:proofErr w:type="spellStart"/>
            <w:r w:rsidRPr="00E16672">
              <w:rPr>
                <w:sz w:val="16"/>
                <w:lang w:val="uk-UA"/>
              </w:rPr>
              <w:t>requisites</w:t>
            </w:r>
            <w:proofErr w:type="spellEnd"/>
            <w:r w:rsidRPr="00E16672">
              <w:rPr>
                <w:sz w:val="16"/>
                <w:lang w:val="uk-UA"/>
              </w:rPr>
              <w:t xml:space="preserve">) </w:t>
            </w:r>
            <w:proofErr w:type="spellStart"/>
            <w:r w:rsidRPr="00E16672">
              <w:rPr>
                <w:sz w:val="16"/>
                <w:lang w:val="uk-UA"/>
              </w:rPr>
              <w:t>about</w:t>
            </w:r>
            <w:proofErr w:type="spellEnd"/>
            <w:r w:rsidRPr="00E16672">
              <w:rPr>
                <w:sz w:val="16"/>
                <w:lang w:val="uk-UA"/>
              </w:rPr>
              <w:t xml:space="preserve"> </w:t>
            </w:r>
            <w:proofErr w:type="spellStart"/>
            <w:r w:rsidRPr="00E16672">
              <w:rPr>
                <w:sz w:val="16"/>
                <w:lang w:val="uk-UA"/>
              </w:rPr>
              <w:t>the</w:t>
            </w:r>
            <w:proofErr w:type="spellEnd"/>
            <w:r w:rsidRPr="00E16672">
              <w:rPr>
                <w:sz w:val="16"/>
                <w:lang w:val="uk-UA"/>
              </w:rPr>
              <w:t xml:space="preserve"> </w:t>
            </w:r>
            <w:proofErr w:type="spellStart"/>
            <w:r w:rsidRPr="00E16672">
              <w:rPr>
                <w:sz w:val="16"/>
                <w:lang w:val="uk-UA"/>
              </w:rPr>
              <w:t>permit</w:t>
            </w:r>
            <w:proofErr w:type="spellEnd"/>
            <w:r w:rsidRPr="00E16672">
              <w:rPr>
                <w:sz w:val="16"/>
                <w:lang w:val="uk-UA"/>
              </w:rPr>
              <w:t xml:space="preserve"> (</w:t>
            </w:r>
            <w:proofErr w:type="spellStart"/>
            <w:r w:rsidRPr="00E16672">
              <w:rPr>
                <w:sz w:val="16"/>
                <w:lang w:val="uk-UA"/>
              </w:rPr>
              <w:t>license</w:t>
            </w:r>
            <w:proofErr w:type="spellEnd"/>
            <w:r w:rsidRPr="00E16672">
              <w:rPr>
                <w:sz w:val="16"/>
                <w:lang w:val="uk-UA"/>
              </w:rPr>
              <w:t xml:space="preserve">, </w:t>
            </w:r>
            <w:proofErr w:type="spellStart"/>
            <w:r w:rsidRPr="00E16672">
              <w:rPr>
                <w:sz w:val="16"/>
                <w:lang w:val="uk-UA"/>
              </w:rPr>
              <w:t>authorization</w:t>
            </w:r>
            <w:proofErr w:type="spellEnd"/>
            <w:r w:rsidRPr="00E16672">
              <w:rPr>
                <w:sz w:val="16"/>
                <w:lang w:val="uk-UA"/>
              </w:rPr>
              <w:t xml:space="preserve">) </w:t>
            </w:r>
            <w:proofErr w:type="spellStart"/>
            <w:r w:rsidRPr="00E16672">
              <w:rPr>
                <w:sz w:val="16"/>
                <w:lang w:val="uk-UA"/>
              </w:rPr>
              <w:t>for</w:t>
            </w:r>
            <w:proofErr w:type="spellEnd"/>
            <w:r w:rsidRPr="00E16672">
              <w:rPr>
                <w:sz w:val="16"/>
                <w:lang w:val="uk-UA"/>
              </w:rPr>
              <w:t xml:space="preserve"> </w:t>
            </w:r>
            <w:proofErr w:type="spellStart"/>
            <w:r w:rsidRPr="00E16672">
              <w:rPr>
                <w:sz w:val="16"/>
                <w:lang w:val="uk-UA"/>
              </w:rPr>
              <w:t>conducting</w:t>
            </w:r>
            <w:proofErr w:type="spellEnd"/>
            <w:r w:rsidRPr="00E16672">
              <w:rPr>
                <w:sz w:val="16"/>
                <w:lang w:val="uk-UA"/>
              </w:rPr>
              <w:t xml:space="preserve"> </w:t>
            </w:r>
            <w:proofErr w:type="spellStart"/>
            <w:r w:rsidRPr="00E16672">
              <w:rPr>
                <w:sz w:val="16"/>
                <w:lang w:val="uk-UA"/>
              </w:rPr>
              <w:t>the</w:t>
            </w:r>
            <w:proofErr w:type="spellEnd"/>
            <w:r w:rsidRPr="00E16672">
              <w:rPr>
                <w:sz w:val="16"/>
                <w:lang w:val="uk-UA"/>
              </w:rPr>
              <w:t xml:space="preserve"> </w:t>
            </w:r>
            <w:proofErr w:type="spellStart"/>
            <w:r w:rsidRPr="00E16672">
              <w:rPr>
                <w:sz w:val="16"/>
                <w:lang w:val="uk-UA"/>
              </w:rPr>
              <w:t>corresponding</w:t>
            </w:r>
            <w:proofErr w:type="spellEnd"/>
            <w:r w:rsidRPr="00E16672">
              <w:rPr>
                <w:sz w:val="16"/>
                <w:lang w:val="uk-UA"/>
              </w:rPr>
              <w:t xml:space="preserve"> </w:t>
            </w:r>
            <w:proofErr w:type="spellStart"/>
            <w:r w:rsidRPr="00E16672">
              <w:rPr>
                <w:sz w:val="16"/>
                <w:lang w:val="uk-UA"/>
              </w:rPr>
              <w:t>type</w:t>
            </w:r>
            <w:proofErr w:type="spellEnd"/>
            <w:r w:rsidRPr="00E16672">
              <w:rPr>
                <w:sz w:val="16"/>
                <w:lang w:val="uk-UA"/>
              </w:rPr>
              <w:t xml:space="preserve"> </w:t>
            </w:r>
            <w:proofErr w:type="spellStart"/>
            <w:r w:rsidRPr="00E16672">
              <w:rPr>
                <w:sz w:val="16"/>
                <w:lang w:val="uk-UA"/>
              </w:rPr>
              <w:t>of</w:t>
            </w:r>
            <w:proofErr w:type="spellEnd"/>
            <w:r w:rsidRPr="00E16672">
              <w:rPr>
                <w:sz w:val="16"/>
                <w:lang w:val="uk-UA"/>
              </w:rPr>
              <w:t xml:space="preserve"> </w:t>
            </w:r>
            <w:proofErr w:type="spellStart"/>
            <w:r w:rsidRPr="00E16672">
              <w:rPr>
                <w:sz w:val="16"/>
                <w:lang w:val="uk-UA"/>
              </w:rPr>
              <w:t>activity</w:t>
            </w:r>
            <w:proofErr w:type="spellEnd"/>
            <w:r w:rsidRPr="00E16672">
              <w:rPr>
                <w:sz w:val="16"/>
                <w:lang w:val="uk-UA"/>
              </w:rPr>
              <w:t xml:space="preserve"> </w:t>
            </w:r>
            <w:proofErr w:type="spellStart"/>
            <w:r w:rsidRPr="00E16672">
              <w:rPr>
                <w:sz w:val="16"/>
                <w:lang w:val="uk-UA"/>
              </w:rPr>
              <w:t>of</w:t>
            </w:r>
            <w:proofErr w:type="spellEnd"/>
            <w:r w:rsidRPr="00E16672">
              <w:rPr>
                <w:sz w:val="16"/>
                <w:lang w:val="uk-UA"/>
              </w:rPr>
              <w:t xml:space="preserve"> </w:t>
            </w:r>
            <w:proofErr w:type="spellStart"/>
            <w:r w:rsidRPr="00E16672">
              <w:rPr>
                <w:sz w:val="16"/>
                <w:lang w:val="uk-UA"/>
              </w:rPr>
              <w:t>the</w:t>
            </w:r>
            <w:proofErr w:type="spellEnd"/>
            <w:r w:rsidRPr="00E16672">
              <w:rPr>
                <w:sz w:val="16"/>
                <w:lang w:val="uk-UA"/>
              </w:rPr>
              <w:t xml:space="preserve"> </w:t>
            </w:r>
            <w:proofErr w:type="spellStart"/>
            <w:r w:rsidRPr="00E16672">
              <w:rPr>
                <w:sz w:val="16"/>
                <w:lang w:val="uk-UA"/>
              </w:rPr>
              <w:t>person</w:t>
            </w:r>
            <w:proofErr w:type="spellEnd"/>
            <w:r w:rsidRPr="00E16672">
              <w:rPr>
                <w:sz w:val="16"/>
                <w:lang w:val="uk-UA"/>
              </w:rPr>
              <w:t xml:space="preserve"> </w:t>
            </w:r>
            <w:proofErr w:type="spellStart"/>
            <w:r w:rsidRPr="00E16672">
              <w:rPr>
                <w:sz w:val="16"/>
                <w:lang w:val="uk-UA"/>
              </w:rPr>
              <w:t>issued</w:t>
            </w:r>
            <w:proofErr w:type="spellEnd"/>
            <w:r w:rsidRPr="00E16672">
              <w:rPr>
                <w:sz w:val="16"/>
                <w:lang w:val="uk-UA"/>
              </w:rPr>
              <w:t xml:space="preserve"> (</w:t>
            </w:r>
            <w:proofErr w:type="spellStart"/>
            <w:r w:rsidRPr="00E16672">
              <w:rPr>
                <w:sz w:val="16"/>
                <w:lang w:val="uk-UA"/>
              </w:rPr>
              <w:t>issued</w:t>
            </w:r>
            <w:proofErr w:type="spellEnd"/>
            <w:r w:rsidRPr="00E16672">
              <w:rPr>
                <w:sz w:val="16"/>
                <w:lang w:val="uk-UA"/>
              </w:rPr>
              <w:t xml:space="preserve">) </w:t>
            </w:r>
            <w:proofErr w:type="spellStart"/>
            <w:r w:rsidRPr="00E16672">
              <w:rPr>
                <w:sz w:val="16"/>
                <w:lang w:val="uk-UA"/>
              </w:rPr>
              <w:t>in</w:t>
            </w:r>
            <w:proofErr w:type="spellEnd"/>
            <w:r w:rsidRPr="00E16672">
              <w:rPr>
                <w:sz w:val="16"/>
                <w:lang w:val="uk-UA"/>
              </w:rPr>
              <w:t xml:space="preserve"> </w:t>
            </w:r>
            <w:proofErr w:type="spellStart"/>
            <w:r w:rsidRPr="00E16672">
              <w:rPr>
                <w:sz w:val="16"/>
                <w:lang w:val="uk-UA"/>
              </w:rPr>
              <w:t>the</w:t>
            </w:r>
            <w:proofErr w:type="spellEnd"/>
            <w:r w:rsidRPr="00E16672">
              <w:rPr>
                <w:sz w:val="16"/>
                <w:lang w:val="uk-UA"/>
              </w:rPr>
              <w:t xml:space="preserve"> </w:t>
            </w:r>
            <w:proofErr w:type="spellStart"/>
            <w:r w:rsidRPr="00E16672">
              <w:rPr>
                <w:sz w:val="16"/>
                <w:lang w:val="uk-UA"/>
              </w:rPr>
              <w:t>country</w:t>
            </w:r>
            <w:proofErr w:type="spellEnd"/>
            <w:r w:rsidRPr="00E16672">
              <w:rPr>
                <w:sz w:val="16"/>
                <w:lang w:val="uk-UA"/>
              </w:rPr>
              <w:t xml:space="preserve"> </w:t>
            </w:r>
            <w:proofErr w:type="spellStart"/>
            <w:r w:rsidRPr="00E16672">
              <w:rPr>
                <w:sz w:val="16"/>
                <w:lang w:val="uk-UA"/>
              </w:rPr>
              <w:t>of</w:t>
            </w:r>
            <w:proofErr w:type="spellEnd"/>
            <w:r w:rsidRPr="00E16672">
              <w:rPr>
                <w:sz w:val="16"/>
                <w:lang w:val="uk-UA"/>
              </w:rPr>
              <w:t xml:space="preserve"> </w:t>
            </w:r>
            <w:proofErr w:type="spellStart"/>
            <w:r w:rsidRPr="00E16672">
              <w:rPr>
                <w:sz w:val="16"/>
                <w:lang w:val="uk-UA"/>
              </w:rPr>
              <w:t>its</w:t>
            </w:r>
            <w:proofErr w:type="spellEnd"/>
            <w:r w:rsidRPr="00E16672">
              <w:rPr>
                <w:sz w:val="16"/>
                <w:lang w:val="uk-UA"/>
              </w:rPr>
              <w:t xml:space="preserve"> </w:t>
            </w:r>
            <w:proofErr w:type="spellStart"/>
            <w:r w:rsidRPr="00E16672">
              <w:rPr>
                <w:sz w:val="16"/>
                <w:lang w:val="uk-UA"/>
              </w:rPr>
              <w:t>registration</w:t>
            </w:r>
            <w:proofErr w:type="spellEnd"/>
            <w:r w:rsidRPr="00E16672">
              <w:rPr>
                <w:sz w:val="16"/>
                <w:lang w:val="uk-UA"/>
              </w:rPr>
              <w:t>)</w:t>
            </w:r>
          </w:p>
          <w:p w14:paraId="76E0E5B3" w14:textId="77777777" w:rsidR="00EB25FE" w:rsidRPr="00E16672" w:rsidRDefault="00EB25FE" w:rsidP="00EB25FE">
            <w:pPr>
              <w:pStyle w:val="WW-0"/>
              <w:ind w:left="57" w:right="100"/>
              <w:rPr>
                <w:rFonts w:ascii="Times New Roman" w:hAnsi="Times New Roman"/>
                <w:sz w:val="16"/>
                <w:szCs w:val="16"/>
                <w:lang w:val="en-US"/>
              </w:rPr>
            </w:pPr>
            <w:r w:rsidRPr="00E16672">
              <w:rPr>
                <w:rFonts w:ascii="Times New Roman" w:hAnsi="Times New Roman"/>
                <w:sz w:val="16"/>
                <w:szCs w:val="16"/>
                <w:lang w:val="en-GB"/>
              </w:rPr>
              <w:t>represented by ______________________________, acting on the basis of (</w:t>
            </w:r>
            <w:r w:rsidRPr="00E16672">
              <w:rPr>
                <w:rFonts w:ascii="Times New Roman" w:hAnsi="Times New Roman"/>
                <w:sz w:val="16"/>
                <w:szCs w:val="16"/>
                <w:lang w:val="en-US"/>
              </w:rPr>
              <w:t>Power of Attorney No_______ dated ____________</w:t>
            </w:r>
            <w:r w:rsidRPr="00E16672">
              <w:rPr>
                <w:rFonts w:ascii="Times New Roman" w:hAnsi="Times New Roman"/>
                <w:sz w:val="16"/>
                <w:szCs w:val="16"/>
              </w:rPr>
              <w:t xml:space="preserve">, </w:t>
            </w:r>
            <w:proofErr w:type="gramStart"/>
            <w:r w:rsidRPr="00E16672">
              <w:rPr>
                <w:rFonts w:ascii="Times New Roman" w:hAnsi="Times New Roman"/>
                <w:sz w:val="16"/>
                <w:szCs w:val="16"/>
                <w:lang w:val="en-US"/>
              </w:rPr>
              <w:t>other</w:t>
            </w:r>
            <w:r w:rsidRPr="00E16672">
              <w:rPr>
                <w:rFonts w:ascii="Times New Roman" w:hAnsi="Times New Roman"/>
                <w:sz w:val="16"/>
                <w:szCs w:val="16"/>
              </w:rPr>
              <w:t>:_</w:t>
            </w:r>
            <w:proofErr w:type="gramEnd"/>
            <w:r w:rsidRPr="00E16672">
              <w:rPr>
                <w:rFonts w:ascii="Times New Roman" w:hAnsi="Times New Roman"/>
                <w:sz w:val="16"/>
                <w:szCs w:val="16"/>
              </w:rPr>
              <w:t>__________________</w:t>
            </w:r>
            <w:r w:rsidRPr="00E16672">
              <w:rPr>
                <w:rFonts w:ascii="Times New Roman" w:hAnsi="Times New Roman"/>
                <w:sz w:val="16"/>
                <w:szCs w:val="16"/>
                <w:lang w:val="en-GB"/>
              </w:rPr>
              <w:t>)</w:t>
            </w:r>
            <w:r w:rsidRPr="00E16672">
              <w:rPr>
                <w:rFonts w:ascii="Times New Roman" w:hAnsi="Times New Roman"/>
                <w:sz w:val="16"/>
                <w:szCs w:val="16"/>
                <w:lang w:val="en-US"/>
              </w:rPr>
              <w:t>, on the other hand, together referred to as Parties, have concluded this Agreement on servicing the account securities (hereinafter - Agreement) as follows:</w:t>
            </w:r>
          </w:p>
        </w:tc>
      </w:tr>
      <w:tr w:rsidR="00EB25FE" w:rsidRPr="00F23413" w14:paraId="2982195F" w14:textId="77777777" w:rsidTr="005E418B">
        <w:tblPrEx>
          <w:tblCellMar>
            <w:left w:w="0" w:type="dxa"/>
            <w:right w:w="0" w:type="dxa"/>
          </w:tblCellMar>
        </w:tblPrEx>
        <w:trPr>
          <w:trHeight w:val="192"/>
        </w:trPr>
        <w:tc>
          <w:tcPr>
            <w:tcW w:w="5695" w:type="dxa"/>
            <w:gridSpan w:val="7"/>
            <w:shd w:val="clear" w:color="auto" w:fill="auto"/>
          </w:tcPr>
          <w:p w14:paraId="1CB21B1D" w14:textId="77777777" w:rsidR="00EB25FE" w:rsidRPr="00E16672" w:rsidRDefault="00EB25FE" w:rsidP="00794B3F">
            <w:pPr>
              <w:snapToGrid w:val="0"/>
              <w:ind w:left="142" w:right="138"/>
              <w:jc w:val="center"/>
              <w:rPr>
                <w:rFonts w:ascii="Times New Roman" w:eastAsia="Arial" w:hAnsi="Times New Roman"/>
                <w:b/>
                <w:color w:val="000000"/>
                <w:sz w:val="16"/>
                <w:szCs w:val="16"/>
              </w:rPr>
            </w:pPr>
            <w:r w:rsidRPr="00E16672">
              <w:rPr>
                <w:rFonts w:ascii="Times New Roman" w:eastAsia="Arial" w:hAnsi="Times New Roman"/>
                <w:b/>
                <w:color w:val="000000"/>
                <w:sz w:val="16"/>
                <w:szCs w:val="16"/>
              </w:rPr>
              <w:t>1. ПРЕДМЕТ ДОГОВОРУ.</w:t>
            </w:r>
          </w:p>
          <w:p w14:paraId="77C6EC51" w14:textId="77777777" w:rsidR="00EB25FE" w:rsidRPr="00E16672" w:rsidRDefault="00EB25FE" w:rsidP="00794B3F">
            <w:pPr>
              <w:pStyle w:val="WW-0"/>
              <w:spacing w:after="120"/>
              <w:ind w:left="142" w:right="138"/>
              <w:rPr>
                <w:rFonts w:ascii="Times New Roman" w:hAnsi="Times New Roman"/>
                <w:color w:val="000000"/>
                <w:sz w:val="10"/>
                <w:szCs w:val="10"/>
              </w:rPr>
            </w:pPr>
            <w:r w:rsidRPr="00E16672">
              <w:rPr>
                <w:rFonts w:ascii="Times New Roman" w:hAnsi="Times New Roman"/>
                <w:color w:val="000000"/>
                <w:sz w:val="16"/>
                <w:szCs w:val="16"/>
              </w:rPr>
              <w:t xml:space="preserve">1.1. </w:t>
            </w:r>
            <w:r w:rsidR="00DA1471" w:rsidRPr="00E16672">
              <w:rPr>
                <w:rFonts w:ascii="Times New Roman" w:hAnsi="Times New Roman"/>
                <w:color w:val="000000"/>
                <w:sz w:val="16"/>
                <w:szCs w:val="16"/>
              </w:rPr>
              <w:t>Номінальний утримувач</w:t>
            </w:r>
            <w:r w:rsidRPr="00E16672">
              <w:rPr>
                <w:rFonts w:ascii="Times New Roman" w:hAnsi="Times New Roman"/>
                <w:color w:val="000000"/>
                <w:sz w:val="16"/>
                <w:szCs w:val="16"/>
              </w:rPr>
              <w:t xml:space="preserve"> доручає, а депозитарна установа зобов’язується у порядку, передбаченому законодавством, внутрішніми документами Депозитарної установи та цим Договором, надавати послуги щодо відкриття та обслуговування рахунку </w:t>
            </w:r>
            <w:r w:rsidR="00C22309" w:rsidRPr="00E16672">
              <w:rPr>
                <w:rFonts w:ascii="Times New Roman" w:hAnsi="Times New Roman"/>
                <w:color w:val="000000"/>
                <w:sz w:val="16"/>
                <w:szCs w:val="16"/>
              </w:rPr>
              <w:t>в цін</w:t>
            </w:r>
            <w:r w:rsidRPr="00E16672">
              <w:rPr>
                <w:rFonts w:ascii="Times New Roman" w:hAnsi="Times New Roman"/>
                <w:color w:val="000000"/>
                <w:sz w:val="16"/>
                <w:szCs w:val="16"/>
              </w:rPr>
              <w:t xml:space="preserve">них паперах </w:t>
            </w:r>
            <w:r w:rsidR="00794B3F" w:rsidRPr="00E16672">
              <w:rPr>
                <w:rFonts w:ascii="Times New Roman" w:hAnsi="Times New Roman"/>
                <w:color w:val="000000"/>
                <w:sz w:val="16"/>
                <w:szCs w:val="16"/>
              </w:rPr>
              <w:t>Номінального утримувача</w:t>
            </w:r>
            <w:r w:rsidRPr="00E16672">
              <w:rPr>
                <w:rFonts w:ascii="Times New Roman" w:hAnsi="Times New Roman"/>
                <w:color w:val="000000"/>
                <w:sz w:val="16"/>
                <w:szCs w:val="16"/>
              </w:rPr>
              <w:t xml:space="preserve">, та вести на ньому облік цінних паперів, що належать </w:t>
            </w:r>
            <w:r w:rsidR="00794B3F" w:rsidRPr="00E16672">
              <w:rPr>
                <w:rFonts w:ascii="Times New Roman" w:hAnsi="Times New Roman"/>
                <w:color w:val="000000"/>
                <w:sz w:val="16"/>
                <w:szCs w:val="16"/>
              </w:rPr>
              <w:t>Номінальному утримувачу</w:t>
            </w:r>
            <w:r w:rsidRPr="00E16672">
              <w:rPr>
                <w:rFonts w:ascii="Times New Roman" w:hAnsi="Times New Roman"/>
                <w:color w:val="000000"/>
                <w:sz w:val="16"/>
                <w:szCs w:val="16"/>
              </w:rPr>
              <w:t xml:space="preserve">, а також облік прав </w:t>
            </w:r>
            <w:r w:rsidR="00794B3F" w:rsidRPr="00E16672">
              <w:rPr>
                <w:rFonts w:ascii="Times New Roman" w:hAnsi="Times New Roman"/>
                <w:color w:val="000000"/>
                <w:sz w:val="16"/>
                <w:szCs w:val="16"/>
              </w:rPr>
              <w:t>Номінального утримувача</w:t>
            </w:r>
            <w:r w:rsidRPr="00E16672">
              <w:rPr>
                <w:rFonts w:ascii="Times New Roman" w:hAnsi="Times New Roman"/>
                <w:color w:val="000000"/>
                <w:sz w:val="16"/>
                <w:szCs w:val="16"/>
              </w:rPr>
              <w:t xml:space="preserve"> на цінні папери, що обліковуються на  рахунку </w:t>
            </w:r>
            <w:r w:rsidR="00C22309" w:rsidRPr="00E16672">
              <w:rPr>
                <w:rFonts w:ascii="Times New Roman" w:hAnsi="Times New Roman"/>
                <w:color w:val="000000"/>
                <w:sz w:val="16"/>
                <w:szCs w:val="16"/>
              </w:rPr>
              <w:t>в цін</w:t>
            </w:r>
            <w:r w:rsidRPr="00E16672">
              <w:rPr>
                <w:rFonts w:ascii="Times New Roman" w:hAnsi="Times New Roman"/>
                <w:color w:val="000000"/>
                <w:sz w:val="16"/>
                <w:szCs w:val="16"/>
              </w:rPr>
              <w:t xml:space="preserve">них паперах, та обмеження таких прав,  проводити депозитарні операції за рахунком </w:t>
            </w:r>
            <w:r w:rsidR="00C22309" w:rsidRPr="00E16672">
              <w:rPr>
                <w:rFonts w:ascii="Times New Roman" w:hAnsi="Times New Roman"/>
                <w:color w:val="000000"/>
                <w:sz w:val="16"/>
                <w:szCs w:val="16"/>
              </w:rPr>
              <w:t>в цін</w:t>
            </w:r>
            <w:r w:rsidRPr="00E16672">
              <w:rPr>
                <w:rFonts w:ascii="Times New Roman" w:hAnsi="Times New Roman"/>
                <w:color w:val="000000"/>
                <w:sz w:val="16"/>
                <w:szCs w:val="16"/>
              </w:rPr>
              <w:t xml:space="preserve">них паперах </w:t>
            </w:r>
            <w:r w:rsidR="00794B3F" w:rsidRPr="00E16672">
              <w:rPr>
                <w:rFonts w:ascii="Times New Roman" w:hAnsi="Times New Roman"/>
                <w:color w:val="000000"/>
                <w:sz w:val="16"/>
                <w:szCs w:val="16"/>
              </w:rPr>
              <w:t>Номінального утримувача</w:t>
            </w:r>
            <w:r w:rsidRPr="00E16672">
              <w:rPr>
                <w:rFonts w:ascii="Times New Roman" w:hAnsi="Times New Roman"/>
                <w:color w:val="000000"/>
                <w:sz w:val="16"/>
                <w:szCs w:val="16"/>
              </w:rPr>
              <w:t xml:space="preserve"> на підставі розпоряджень </w:t>
            </w:r>
            <w:r w:rsidR="00794B3F" w:rsidRPr="00E16672">
              <w:rPr>
                <w:rFonts w:ascii="Times New Roman" w:hAnsi="Times New Roman"/>
                <w:color w:val="000000"/>
                <w:sz w:val="16"/>
                <w:szCs w:val="16"/>
              </w:rPr>
              <w:t>Номінального утримувача</w:t>
            </w:r>
            <w:r w:rsidRPr="00E16672">
              <w:rPr>
                <w:rFonts w:ascii="Times New Roman" w:hAnsi="Times New Roman"/>
                <w:color w:val="000000"/>
                <w:sz w:val="16"/>
                <w:szCs w:val="16"/>
              </w:rPr>
              <w:t xml:space="preserve"> </w:t>
            </w:r>
            <w:r w:rsidRPr="00E16672">
              <w:rPr>
                <w:rStyle w:val="rvts0"/>
                <w:rFonts w:ascii="Times New Roman" w:hAnsi="Times New Roman"/>
                <w:sz w:val="16"/>
                <w:szCs w:val="16"/>
              </w:rPr>
              <w:t xml:space="preserve">(суб'єкта управління) </w:t>
            </w:r>
            <w:r w:rsidRPr="00E16672">
              <w:rPr>
                <w:rFonts w:ascii="Times New Roman" w:hAnsi="Times New Roman"/>
                <w:color w:val="000000"/>
                <w:sz w:val="16"/>
                <w:szCs w:val="16"/>
              </w:rPr>
              <w:t xml:space="preserve"> та в інший спосіб, передбачений законодавством, а також надавати інші послуги у процесі провадження депозитарної діяльності відповідно до “Положення про провадження депозитарної діяльності”, затвердженого рішенням НКЦПФР від 23.04.2013 року № 735, зареєстрованого в Міністерстві юстиції України 27.06.2013 року № 1084/23616 (далі – Положення</w:t>
            </w:r>
            <w:r w:rsidRPr="00E16672">
              <w:rPr>
                <w:rFonts w:ascii="Times New Roman" w:hAnsi="Times New Roman"/>
                <w:color w:val="000000"/>
                <w:sz w:val="18"/>
                <w:szCs w:val="18"/>
                <w:lang w:val="ru-RU"/>
              </w:rPr>
              <w:t xml:space="preserve"> </w:t>
            </w:r>
            <w:r w:rsidRPr="00E16672">
              <w:rPr>
                <w:rFonts w:ascii="Times New Roman" w:hAnsi="Times New Roman"/>
                <w:color w:val="000000"/>
                <w:sz w:val="16"/>
                <w:szCs w:val="16"/>
                <w:lang w:val="ru-RU"/>
              </w:rPr>
              <w:t xml:space="preserve">про </w:t>
            </w:r>
            <w:proofErr w:type="spellStart"/>
            <w:r w:rsidRPr="00E16672">
              <w:rPr>
                <w:rFonts w:ascii="Times New Roman" w:hAnsi="Times New Roman"/>
                <w:color w:val="000000"/>
                <w:sz w:val="16"/>
                <w:szCs w:val="16"/>
                <w:lang w:val="ru-RU"/>
              </w:rPr>
              <w:t>провадження</w:t>
            </w:r>
            <w:proofErr w:type="spellEnd"/>
            <w:r w:rsidRPr="00E16672">
              <w:rPr>
                <w:rFonts w:ascii="Times New Roman" w:hAnsi="Times New Roman"/>
                <w:color w:val="000000"/>
                <w:sz w:val="16"/>
                <w:szCs w:val="16"/>
                <w:lang w:val="ru-RU"/>
              </w:rPr>
              <w:t xml:space="preserve"> </w:t>
            </w:r>
            <w:proofErr w:type="spellStart"/>
            <w:r w:rsidRPr="00E16672">
              <w:rPr>
                <w:rFonts w:ascii="Times New Roman" w:hAnsi="Times New Roman"/>
                <w:color w:val="000000"/>
                <w:sz w:val="16"/>
                <w:szCs w:val="16"/>
                <w:lang w:val="ru-RU"/>
              </w:rPr>
              <w:t>депозитарно</w:t>
            </w:r>
            <w:proofErr w:type="spellEnd"/>
            <w:r w:rsidRPr="00E16672">
              <w:rPr>
                <w:rFonts w:ascii="Times New Roman" w:hAnsi="Times New Roman"/>
                <w:color w:val="000000"/>
                <w:sz w:val="16"/>
                <w:szCs w:val="16"/>
              </w:rPr>
              <w:t xml:space="preserve">ї діяльності), а </w:t>
            </w:r>
            <w:r w:rsidR="00794B3F" w:rsidRPr="00E16672">
              <w:rPr>
                <w:rFonts w:ascii="Times New Roman" w:hAnsi="Times New Roman"/>
                <w:color w:val="000000"/>
                <w:sz w:val="16"/>
                <w:szCs w:val="16"/>
              </w:rPr>
              <w:t>Номінальний утримувач</w:t>
            </w:r>
            <w:r w:rsidRPr="00E16672">
              <w:rPr>
                <w:rFonts w:ascii="Times New Roman" w:hAnsi="Times New Roman"/>
                <w:color w:val="000000"/>
                <w:sz w:val="16"/>
                <w:szCs w:val="16"/>
              </w:rPr>
              <w:t xml:space="preserve"> зобов’язується оплатити послуги Депозитарної установи.</w:t>
            </w:r>
          </w:p>
        </w:tc>
        <w:tc>
          <w:tcPr>
            <w:tcW w:w="5495" w:type="dxa"/>
            <w:gridSpan w:val="8"/>
            <w:shd w:val="clear" w:color="auto" w:fill="auto"/>
          </w:tcPr>
          <w:p w14:paraId="2564D5E4" w14:textId="77777777" w:rsidR="00EB25FE" w:rsidRPr="00E16672" w:rsidRDefault="00EB25FE" w:rsidP="00794B3F">
            <w:pPr>
              <w:snapToGrid w:val="0"/>
              <w:ind w:left="145" w:right="100"/>
              <w:jc w:val="center"/>
              <w:rPr>
                <w:rFonts w:ascii="Times New Roman" w:hAnsi="Times New Roman"/>
                <w:b/>
                <w:bCs/>
                <w:color w:val="000000"/>
                <w:sz w:val="16"/>
                <w:szCs w:val="16"/>
                <w:lang w:val="en-GB"/>
              </w:rPr>
            </w:pPr>
            <w:r w:rsidRPr="00E16672">
              <w:rPr>
                <w:rFonts w:ascii="Times New Roman" w:hAnsi="Times New Roman"/>
                <w:b/>
                <w:bCs/>
                <w:color w:val="000000"/>
                <w:sz w:val="16"/>
                <w:szCs w:val="16"/>
                <w:lang w:val="en-GB"/>
              </w:rPr>
              <w:t xml:space="preserve">1. </w:t>
            </w:r>
            <w:r w:rsidRPr="00E16672">
              <w:rPr>
                <w:rFonts w:ascii="Times New Roman" w:hAnsi="Times New Roman"/>
                <w:b/>
                <w:bCs/>
                <w:caps/>
                <w:color w:val="000000"/>
                <w:sz w:val="16"/>
                <w:szCs w:val="16"/>
                <w:lang w:val="en-GB"/>
              </w:rPr>
              <w:t>SUBJECT of the AGREEMENT</w:t>
            </w:r>
            <w:r w:rsidRPr="00E16672">
              <w:rPr>
                <w:rFonts w:ascii="Times New Roman" w:hAnsi="Times New Roman"/>
                <w:b/>
                <w:bCs/>
                <w:color w:val="000000"/>
                <w:sz w:val="16"/>
                <w:szCs w:val="16"/>
                <w:lang w:val="en-GB"/>
              </w:rPr>
              <w:t>.</w:t>
            </w:r>
          </w:p>
          <w:p w14:paraId="286E460D" w14:textId="77777777" w:rsidR="00EB25FE" w:rsidRPr="00E16672" w:rsidRDefault="00EB25FE" w:rsidP="00794B3F">
            <w:pPr>
              <w:pStyle w:val="WW-0"/>
              <w:tabs>
                <w:tab w:val="left" w:pos="142"/>
                <w:tab w:val="left" w:pos="432"/>
                <w:tab w:val="left" w:pos="1080"/>
              </w:tabs>
              <w:ind w:left="145" w:right="100"/>
              <w:rPr>
                <w:rFonts w:ascii="Times New Roman" w:hAnsi="Times New Roman"/>
                <w:color w:val="000000"/>
                <w:sz w:val="16"/>
                <w:szCs w:val="16"/>
                <w:lang w:val="en-US"/>
              </w:rPr>
            </w:pPr>
            <w:r w:rsidRPr="00E16672">
              <w:rPr>
                <w:rFonts w:ascii="Times New Roman" w:hAnsi="Times New Roman"/>
                <w:color w:val="000000"/>
                <w:sz w:val="16"/>
                <w:szCs w:val="16"/>
              </w:rPr>
              <w:t xml:space="preserve">1.1.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r w:rsidR="00DA1471" w:rsidRPr="00E16672">
              <w:rPr>
                <w:rFonts w:ascii="Times New Roman" w:hAnsi="Times New Roman"/>
                <w:sz w:val="16"/>
                <w:szCs w:val="16"/>
                <w:lang w:val="en-GB"/>
              </w:rPr>
              <w:t>Nominal holder</w:t>
            </w:r>
            <w:r w:rsidRPr="00E16672">
              <w:rPr>
                <w:rFonts w:ascii="Times New Roman" w:hAnsi="Times New Roman"/>
                <w:sz w:val="16"/>
                <w:szCs w:val="16"/>
              </w:rPr>
              <w:t xml:space="preserve"> </w:t>
            </w:r>
            <w:proofErr w:type="spellStart"/>
            <w:r w:rsidRPr="00E16672">
              <w:rPr>
                <w:rFonts w:ascii="Times New Roman" w:hAnsi="Times New Roman"/>
                <w:sz w:val="16"/>
                <w:szCs w:val="16"/>
              </w:rPr>
              <w:t>entrusts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and</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rPr>
              <w:t xml:space="preserve"> </w:t>
            </w:r>
            <w:r w:rsidRPr="00E16672">
              <w:rPr>
                <w:rFonts w:ascii="Times New Roman" w:hAnsi="Times New Roman"/>
                <w:color w:val="000000"/>
                <w:sz w:val="16"/>
                <w:szCs w:val="16"/>
                <w:lang w:val="en-US"/>
              </w:rPr>
              <w:t xml:space="preserve">Depository institution shall in the manner prescribed by law, internal documents of  Depository institution and this Agreement, provide for opening and servicing the account in securities of </w:t>
            </w:r>
            <w:r w:rsidR="00794B3F" w:rsidRPr="00E16672">
              <w:rPr>
                <w:rFonts w:ascii="Times New Roman" w:hAnsi="Times New Roman"/>
                <w:sz w:val="16"/>
                <w:szCs w:val="16"/>
                <w:lang w:val="en-GB"/>
              </w:rPr>
              <w:t>Nominal holder</w:t>
            </w:r>
            <w:r w:rsidRPr="00E16672">
              <w:rPr>
                <w:rFonts w:ascii="Times New Roman" w:hAnsi="Times New Roman"/>
                <w:color w:val="000000"/>
                <w:sz w:val="16"/>
                <w:szCs w:val="16"/>
                <w:lang w:val="en-US"/>
              </w:rPr>
              <w:t>,</w:t>
            </w:r>
            <w:r w:rsidRPr="00E16672">
              <w:rPr>
                <w:rStyle w:val="WW8Num7z0"/>
                <w:rFonts w:ascii="Times New Roman" w:hAnsi="Times New Roman"/>
                <w:color w:val="000000"/>
              </w:rPr>
              <w:t xml:space="preserve"> </w:t>
            </w:r>
            <w:r w:rsidRPr="00E16672">
              <w:rPr>
                <w:rFonts w:ascii="Times New Roman" w:hAnsi="Times New Roman"/>
                <w:color w:val="000000"/>
                <w:sz w:val="16"/>
                <w:szCs w:val="16"/>
                <w:lang w:val="en-US"/>
              </w:rPr>
              <w:t xml:space="preserve">and keep it records the securities owned by the </w:t>
            </w:r>
            <w:r w:rsidR="00794B3F" w:rsidRPr="00E16672">
              <w:rPr>
                <w:rFonts w:ascii="Times New Roman" w:hAnsi="Times New Roman"/>
                <w:sz w:val="16"/>
                <w:szCs w:val="16"/>
                <w:lang w:val="en-GB"/>
              </w:rPr>
              <w:t>Nominal holder</w:t>
            </w:r>
            <w:r w:rsidR="00794B3F" w:rsidRPr="00E16672">
              <w:rPr>
                <w:rFonts w:ascii="Times New Roman" w:hAnsi="Times New Roman"/>
                <w:color w:val="000000"/>
                <w:sz w:val="16"/>
                <w:szCs w:val="16"/>
                <w:lang w:val="en-US"/>
              </w:rPr>
              <w:t xml:space="preserve"> </w:t>
            </w:r>
            <w:r w:rsidRPr="00E16672">
              <w:rPr>
                <w:rFonts w:ascii="Times New Roman" w:hAnsi="Times New Roman"/>
                <w:color w:val="000000"/>
                <w:sz w:val="16"/>
                <w:szCs w:val="16"/>
                <w:lang w:val="en-US"/>
              </w:rPr>
              <w:t xml:space="preserve">and the </w:t>
            </w:r>
            <w:r w:rsidR="00794B3F" w:rsidRPr="00E16672">
              <w:rPr>
                <w:rFonts w:ascii="Times New Roman" w:hAnsi="Times New Roman"/>
                <w:sz w:val="16"/>
                <w:szCs w:val="16"/>
                <w:lang w:val="en-GB"/>
              </w:rPr>
              <w:t>Nominal holder</w:t>
            </w:r>
            <w:r w:rsidR="00794B3F" w:rsidRPr="00E16672">
              <w:rPr>
                <w:rFonts w:ascii="Times New Roman" w:hAnsi="Times New Roman"/>
                <w:sz w:val="16"/>
                <w:szCs w:val="16"/>
                <w:lang w:val="en-US"/>
              </w:rPr>
              <w:t>’s</w:t>
            </w:r>
            <w:r w:rsidR="00794B3F" w:rsidRPr="00E16672">
              <w:rPr>
                <w:rFonts w:ascii="Times New Roman" w:hAnsi="Times New Roman"/>
                <w:color w:val="000000"/>
                <w:sz w:val="16"/>
                <w:szCs w:val="16"/>
                <w:lang w:val="en-US"/>
              </w:rPr>
              <w:t xml:space="preserve"> </w:t>
            </w:r>
            <w:r w:rsidRPr="00E16672">
              <w:rPr>
                <w:rFonts w:ascii="Times New Roman" w:hAnsi="Times New Roman"/>
                <w:color w:val="000000"/>
                <w:sz w:val="16"/>
                <w:szCs w:val="16"/>
                <w:lang w:val="en-US"/>
              </w:rPr>
              <w:t xml:space="preserve">records of securities rights is accounted for on a securities account and limiting such rights, to conduct depository account transactions in securities on the basis of the orders of the </w:t>
            </w:r>
            <w:r w:rsidR="00C42851" w:rsidRPr="00E16672">
              <w:rPr>
                <w:rFonts w:ascii="Times New Roman" w:hAnsi="Times New Roman"/>
                <w:sz w:val="16"/>
                <w:szCs w:val="16"/>
                <w:lang w:val="en-GB"/>
              </w:rPr>
              <w:t>Nominal holder</w:t>
            </w:r>
            <w:r w:rsidR="00C42851" w:rsidRPr="00E16672">
              <w:rPr>
                <w:rFonts w:ascii="Times New Roman" w:hAnsi="Times New Roman"/>
                <w:color w:val="000000"/>
                <w:sz w:val="16"/>
                <w:szCs w:val="16"/>
              </w:rPr>
              <w:t xml:space="preserve"> </w:t>
            </w:r>
            <w:r w:rsidRPr="00E16672">
              <w:rPr>
                <w:rFonts w:ascii="Times New Roman" w:hAnsi="Times New Roman"/>
                <w:color w:val="000000"/>
                <w:sz w:val="16"/>
                <w:szCs w:val="16"/>
              </w:rPr>
              <w:t>(</w:t>
            </w:r>
            <w:proofErr w:type="spellStart"/>
            <w:r w:rsidRPr="00E16672">
              <w:rPr>
                <w:rStyle w:val="shorttext"/>
                <w:rFonts w:ascii="Times New Roman" w:hAnsi="Times New Roman"/>
                <w:sz w:val="16"/>
                <w:szCs w:val="16"/>
              </w:rPr>
              <w:t>subject</w:t>
            </w:r>
            <w:proofErr w:type="spellEnd"/>
            <w:r w:rsidRPr="00E16672">
              <w:rPr>
                <w:rStyle w:val="shorttext"/>
                <w:rFonts w:ascii="Times New Roman" w:hAnsi="Times New Roman"/>
                <w:sz w:val="16"/>
                <w:szCs w:val="16"/>
              </w:rPr>
              <w:t xml:space="preserve"> </w:t>
            </w:r>
            <w:proofErr w:type="spellStart"/>
            <w:r w:rsidRPr="00E16672">
              <w:rPr>
                <w:rStyle w:val="shorttext"/>
                <w:rFonts w:ascii="Times New Roman" w:hAnsi="Times New Roman"/>
                <w:sz w:val="16"/>
                <w:szCs w:val="16"/>
              </w:rPr>
              <w:t>of</w:t>
            </w:r>
            <w:proofErr w:type="spellEnd"/>
            <w:r w:rsidRPr="00E16672">
              <w:rPr>
                <w:rStyle w:val="shorttext"/>
                <w:rFonts w:ascii="Times New Roman" w:hAnsi="Times New Roman"/>
                <w:sz w:val="16"/>
                <w:szCs w:val="16"/>
              </w:rPr>
              <w:t xml:space="preserve"> </w:t>
            </w:r>
            <w:proofErr w:type="spellStart"/>
            <w:r w:rsidRPr="00E16672">
              <w:rPr>
                <w:rStyle w:val="shorttext"/>
                <w:rFonts w:ascii="Times New Roman" w:hAnsi="Times New Roman"/>
                <w:sz w:val="16"/>
                <w:szCs w:val="16"/>
              </w:rPr>
              <w:t>management</w:t>
            </w:r>
            <w:proofErr w:type="spellEnd"/>
            <w:r w:rsidRPr="00E16672">
              <w:rPr>
                <w:rFonts w:ascii="Times New Roman" w:hAnsi="Times New Roman"/>
                <w:color w:val="000000"/>
                <w:sz w:val="16"/>
                <w:szCs w:val="16"/>
              </w:rPr>
              <w:t xml:space="preserve">) </w:t>
            </w:r>
            <w:r w:rsidRPr="00E16672">
              <w:rPr>
                <w:rFonts w:ascii="Times New Roman" w:hAnsi="Times New Roman"/>
                <w:color w:val="000000"/>
                <w:sz w:val="16"/>
                <w:szCs w:val="16"/>
                <w:lang w:val="en-US"/>
              </w:rPr>
              <w:t xml:space="preserve">otherwise provided legislation and provide other services in the proceedings of the depositary in accordance with the provisions of the proceedings of the depository approved by the NCSSM on 04.23.2013, № 735, registered with the Ministry of Justice of Ukraine  on 06.27.2013, № 1084 / 23616 (hereinafter - </w:t>
            </w:r>
            <w:proofErr w:type="spellStart"/>
            <w:r w:rsidRPr="00E16672">
              <w:rPr>
                <w:rFonts w:ascii="Times New Roman" w:hAnsi="Times New Roman"/>
                <w:bCs/>
                <w:color w:val="000000"/>
                <w:sz w:val="16"/>
                <w:szCs w:val="16"/>
              </w:rPr>
              <w:t>Regulation</w:t>
            </w:r>
            <w:proofErr w:type="spellEnd"/>
            <w:r w:rsidRPr="00E16672">
              <w:rPr>
                <w:rFonts w:ascii="Times New Roman" w:hAnsi="Times New Roman"/>
                <w:bCs/>
                <w:color w:val="000000"/>
                <w:sz w:val="16"/>
                <w:szCs w:val="16"/>
              </w:rPr>
              <w:t xml:space="preserve"> </w:t>
            </w:r>
            <w:proofErr w:type="spellStart"/>
            <w:r w:rsidRPr="00E16672">
              <w:rPr>
                <w:rFonts w:ascii="Times New Roman" w:hAnsi="Times New Roman"/>
                <w:bCs/>
                <w:color w:val="000000"/>
                <w:sz w:val="16"/>
                <w:szCs w:val="16"/>
              </w:rPr>
              <w:t>on</w:t>
            </w:r>
            <w:proofErr w:type="spellEnd"/>
            <w:r w:rsidRPr="00E16672">
              <w:rPr>
                <w:rFonts w:ascii="Times New Roman" w:hAnsi="Times New Roman"/>
                <w:bCs/>
                <w:color w:val="000000"/>
                <w:sz w:val="16"/>
                <w:szCs w:val="16"/>
              </w:rPr>
              <w:t xml:space="preserve"> </w:t>
            </w:r>
            <w:proofErr w:type="spellStart"/>
            <w:r w:rsidRPr="00E16672">
              <w:rPr>
                <w:rFonts w:ascii="Times New Roman" w:hAnsi="Times New Roman"/>
                <w:bCs/>
                <w:color w:val="000000"/>
                <w:sz w:val="16"/>
                <w:szCs w:val="16"/>
              </w:rPr>
              <w:t>depository</w:t>
            </w:r>
            <w:proofErr w:type="spellEnd"/>
            <w:r w:rsidRPr="00E16672">
              <w:rPr>
                <w:rFonts w:ascii="Times New Roman" w:hAnsi="Times New Roman"/>
                <w:bCs/>
                <w:color w:val="000000"/>
                <w:sz w:val="16"/>
                <w:szCs w:val="16"/>
              </w:rPr>
              <w:t xml:space="preserve"> </w:t>
            </w:r>
            <w:proofErr w:type="spellStart"/>
            <w:r w:rsidRPr="00E16672">
              <w:rPr>
                <w:rFonts w:ascii="Times New Roman" w:hAnsi="Times New Roman"/>
                <w:bCs/>
                <w:color w:val="000000"/>
                <w:sz w:val="16"/>
                <w:szCs w:val="16"/>
              </w:rPr>
              <w:t>activities</w:t>
            </w:r>
            <w:proofErr w:type="spellEnd"/>
            <w:r w:rsidRPr="00E16672">
              <w:rPr>
                <w:rFonts w:ascii="Times New Roman" w:hAnsi="Times New Roman"/>
                <w:color w:val="000000"/>
                <w:sz w:val="16"/>
                <w:szCs w:val="16"/>
                <w:lang w:val="en-US"/>
              </w:rPr>
              <w:t xml:space="preserve">), and </w:t>
            </w:r>
            <w:r w:rsidR="00794B3F" w:rsidRPr="00E16672">
              <w:rPr>
                <w:rFonts w:ascii="Times New Roman" w:hAnsi="Times New Roman"/>
                <w:sz w:val="16"/>
                <w:szCs w:val="16"/>
                <w:lang w:val="en-GB"/>
              </w:rPr>
              <w:t>Nominal holder</w:t>
            </w:r>
            <w:r w:rsidR="00794B3F" w:rsidRPr="00E16672">
              <w:rPr>
                <w:rFonts w:ascii="Times New Roman" w:hAnsi="Times New Roman"/>
                <w:color w:val="000000"/>
                <w:sz w:val="16"/>
                <w:szCs w:val="16"/>
                <w:lang w:val="en-US"/>
              </w:rPr>
              <w:t xml:space="preserve"> </w:t>
            </w:r>
            <w:r w:rsidRPr="00E16672">
              <w:rPr>
                <w:rFonts w:ascii="Times New Roman" w:hAnsi="Times New Roman"/>
                <w:color w:val="000000"/>
                <w:sz w:val="16"/>
                <w:szCs w:val="16"/>
                <w:lang w:val="en-US"/>
              </w:rPr>
              <w:t>undertakes to pay depository institution services.</w:t>
            </w:r>
          </w:p>
        </w:tc>
      </w:tr>
      <w:tr w:rsidR="00EB25FE" w:rsidRPr="00F23413" w14:paraId="0AE71D8A" w14:textId="77777777" w:rsidTr="005E418B">
        <w:tblPrEx>
          <w:tblCellMar>
            <w:left w:w="0" w:type="dxa"/>
            <w:right w:w="0" w:type="dxa"/>
          </w:tblCellMar>
        </w:tblPrEx>
        <w:trPr>
          <w:trHeight w:val="192"/>
        </w:trPr>
        <w:tc>
          <w:tcPr>
            <w:tcW w:w="5695" w:type="dxa"/>
            <w:gridSpan w:val="7"/>
            <w:shd w:val="clear" w:color="auto" w:fill="auto"/>
          </w:tcPr>
          <w:p w14:paraId="7F141146" w14:textId="77777777" w:rsidR="00EB25FE" w:rsidRPr="00E16672" w:rsidRDefault="00EB25FE" w:rsidP="00022F5F">
            <w:pPr>
              <w:pStyle w:val="WW-1"/>
              <w:snapToGrid w:val="0"/>
              <w:ind w:left="142" w:right="138"/>
              <w:jc w:val="left"/>
              <w:rPr>
                <w:i w:val="0"/>
                <w:sz w:val="16"/>
                <w:szCs w:val="16"/>
                <w:lang w:val="en-US"/>
              </w:rPr>
            </w:pPr>
            <w:r w:rsidRPr="00E16672">
              <w:rPr>
                <w:i w:val="0"/>
                <w:sz w:val="16"/>
                <w:szCs w:val="16"/>
                <w:lang w:val="en-US"/>
              </w:rPr>
              <w:t xml:space="preserve">1.2. </w:t>
            </w:r>
            <w:proofErr w:type="spellStart"/>
            <w:r w:rsidRPr="00E16672">
              <w:rPr>
                <w:i w:val="0"/>
                <w:sz w:val="16"/>
                <w:szCs w:val="16"/>
              </w:rPr>
              <w:t>Цінні</w:t>
            </w:r>
            <w:proofErr w:type="spellEnd"/>
            <w:r w:rsidRPr="00E16672">
              <w:rPr>
                <w:i w:val="0"/>
                <w:sz w:val="16"/>
                <w:szCs w:val="16"/>
                <w:lang w:val="en-US"/>
              </w:rPr>
              <w:t xml:space="preserve"> </w:t>
            </w:r>
            <w:proofErr w:type="spellStart"/>
            <w:r w:rsidRPr="00E16672">
              <w:rPr>
                <w:i w:val="0"/>
                <w:sz w:val="16"/>
                <w:szCs w:val="16"/>
              </w:rPr>
              <w:t>папери</w:t>
            </w:r>
            <w:proofErr w:type="spellEnd"/>
            <w:r w:rsidRPr="00E16672">
              <w:rPr>
                <w:i w:val="0"/>
                <w:sz w:val="16"/>
                <w:szCs w:val="16"/>
                <w:lang w:val="en-US"/>
              </w:rPr>
              <w:t xml:space="preserve"> (</w:t>
            </w:r>
            <w:proofErr w:type="spellStart"/>
            <w:r w:rsidRPr="00E16672">
              <w:rPr>
                <w:i w:val="0"/>
                <w:sz w:val="16"/>
                <w:szCs w:val="16"/>
              </w:rPr>
              <w:t>фінансовий</w:t>
            </w:r>
            <w:proofErr w:type="spellEnd"/>
            <w:r w:rsidRPr="00E16672">
              <w:rPr>
                <w:i w:val="0"/>
                <w:sz w:val="16"/>
                <w:szCs w:val="16"/>
                <w:lang w:val="en-US"/>
              </w:rPr>
              <w:t xml:space="preserve"> </w:t>
            </w:r>
            <w:r w:rsidRPr="00E16672">
              <w:rPr>
                <w:i w:val="0"/>
                <w:sz w:val="16"/>
                <w:szCs w:val="16"/>
              </w:rPr>
              <w:t>актив</w:t>
            </w:r>
            <w:r w:rsidRPr="00E16672">
              <w:rPr>
                <w:i w:val="0"/>
                <w:sz w:val="16"/>
                <w:szCs w:val="16"/>
                <w:lang w:val="en-US"/>
              </w:rPr>
              <w:t xml:space="preserve">) </w:t>
            </w:r>
            <w:r w:rsidR="00C42851" w:rsidRPr="00E16672">
              <w:rPr>
                <w:i w:val="0"/>
                <w:sz w:val="16"/>
                <w:szCs w:val="16"/>
                <w:lang w:val="uk-UA"/>
              </w:rPr>
              <w:t>Номінального утримувача</w:t>
            </w:r>
            <w:r w:rsidRPr="00E16672">
              <w:rPr>
                <w:i w:val="0"/>
                <w:sz w:val="16"/>
                <w:szCs w:val="16"/>
                <w:lang w:val="en-US"/>
              </w:rPr>
              <w:t xml:space="preserve">, </w:t>
            </w:r>
            <w:r w:rsidRPr="00E16672">
              <w:rPr>
                <w:i w:val="0"/>
                <w:sz w:val="16"/>
                <w:szCs w:val="16"/>
              </w:rPr>
              <w:t>права</w:t>
            </w:r>
            <w:r w:rsidRPr="00E16672">
              <w:rPr>
                <w:i w:val="0"/>
                <w:sz w:val="16"/>
                <w:szCs w:val="16"/>
                <w:lang w:val="en-US"/>
              </w:rPr>
              <w:t xml:space="preserve"> </w:t>
            </w:r>
            <w:r w:rsidRPr="00E16672">
              <w:rPr>
                <w:i w:val="0"/>
                <w:sz w:val="16"/>
                <w:szCs w:val="16"/>
              </w:rPr>
              <w:t>на</w:t>
            </w:r>
            <w:r w:rsidRPr="00E16672">
              <w:rPr>
                <w:i w:val="0"/>
                <w:sz w:val="16"/>
                <w:szCs w:val="16"/>
                <w:lang w:val="en-US"/>
              </w:rPr>
              <w:t xml:space="preserve"> </w:t>
            </w:r>
            <w:proofErr w:type="spellStart"/>
            <w:r w:rsidRPr="00E16672">
              <w:rPr>
                <w:i w:val="0"/>
                <w:sz w:val="16"/>
                <w:szCs w:val="16"/>
              </w:rPr>
              <w:t>які</w:t>
            </w:r>
            <w:proofErr w:type="spellEnd"/>
            <w:r w:rsidRPr="00E16672">
              <w:rPr>
                <w:i w:val="0"/>
                <w:sz w:val="16"/>
                <w:szCs w:val="16"/>
                <w:lang w:val="en-US"/>
              </w:rPr>
              <w:t xml:space="preserve"> </w:t>
            </w:r>
            <w:proofErr w:type="spellStart"/>
            <w:r w:rsidRPr="00E16672">
              <w:rPr>
                <w:i w:val="0"/>
                <w:sz w:val="16"/>
                <w:szCs w:val="16"/>
              </w:rPr>
              <w:t>обліковуються</w:t>
            </w:r>
            <w:proofErr w:type="spellEnd"/>
            <w:r w:rsidRPr="00E16672">
              <w:rPr>
                <w:i w:val="0"/>
                <w:sz w:val="16"/>
                <w:szCs w:val="16"/>
                <w:lang w:val="en-US"/>
              </w:rPr>
              <w:t xml:space="preserve"> </w:t>
            </w:r>
            <w:r w:rsidRPr="00E16672">
              <w:rPr>
                <w:i w:val="0"/>
                <w:sz w:val="16"/>
                <w:szCs w:val="16"/>
              </w:rPr>
              <w:t>Депозитарною</w:t>
            </w:r>
            <w:r w:rsidRPr="00E16672">
              <w:rPr>
                <w:i w:val="0"/>
                <w:sz w:val="16"/>
                <w:szCs w:val="16"/>
                <w:lang w:val="en-US"/>
              </w:rPr>
              <w:t xml:space="preserve"> </w:t>
            </w:r>
            <w:proofErr w:type="spellStart"/>
            <w:r w:rsidRPr="00E16672">
              <w:rPr>
                <w:i w:val="0"/>
                <w:sz w:val="16"/>
                <w:szCs w:val="16"/>
              </w:rPr>
              <w:t>установою</w:t>
            </w:r>
            <w:proofErr w:type="spellEnd"/>
            <w:r w:rsidRPr="00E16672">
              <w:rPr>
                <w:i w:val="0"/>
                <w:sz w:val="16"/>
                <w:szCs w:val="16"/>
                <w:lang w:val="en-US"/>
              </w:rPr>
              <w:t xml:space="preserve"> </w:t>
            </w:r>
            <w:proofErr w:type="spellStart"/>
            <w:r w:rsidRPr="00E16672">
              <w:rPr>
                <w:i w:val="0"/>
                <w:sz w:val="16"/>
                <w:szCs w:val="16"/>
              </w:rPr>
              <w:t>відповідно</w:t>
            </w:r>
            <w:proofErr w:type="spellEnd"/>
            <w:r w:rsidRPr="00E16672">
              <w:rPr>
                <w:i w:val="0"/>
                <w:sz w:val="16"/>
                <w:szCs w:val="16"/>
                <w:lang w:val="en-US"/>
              </w:rPr>
              <w:t xml:space="preserve"> </w:t>
            </w:r>
            <w:r w:rsidRPr="00E16672">
              <w:rPr>
                <w:i w:val="0"/>
                <w:sz w:val="16"/>
                <w:szCs w:val="16"/>
              </w:rPr>
              <w:t>до</w:t>
            </w:r>
            <w:r w:rsidRPr="00E16672">
              <w:rPr>
                <w:i w:val="0"/>
                <w:sz w:val="16"/>
                <w:szCs w:val="16"/>
                <w:lang w:val="en-US"/>
              </w:rPr>
              <w:t xml:space="preserve"> </w:t>
            </w:r>
            <w:r w:rsidRPr="00E16672">
              <w:rPr>
                <w:i w:val="0"/>
                <w:sz w:val="16"/>
                <w:szCs w:val="16"/>
              </w:rPr>
              <w:t>умов</w:t>
            </w:r>
            <w:r w:rsidRPr="00E16672">
              <w:rPr>
                <w:i w:val="0"/>
                <w:sz w:val="16"/>
                <w:szCs w:val="16"/>
                <w:lang w:val="en-US"/>
              </w:rPr>
              <w:t xml:space="preserve"> </w:t>
            </w:r>
            <w:proofErr w:type="spellStart"/>
            <w:r w:rsidRPr="00E16672">
              <w:rPr>
                <w:i w:val="0"/>
                <w:sz w:val="16"/>
                <w:szCs w:val="16"/>
              </w:rPr>
              <w:t>цього</w:t>
            </w:r>
            <w:proofErr w:type="spellEnd"/>
            <w:r w:rsidRPr="00E16672">
              <w:rPr>
                <w:i w:val="0"/>
                <w:sz w:val="16"/>
                <w:szCs w:val="16"/>
                <w:lang w:val="en-US"/>
              </w:rPr>
              <w:t xml:space="preserve"> </w:t>
            </w:r>
            <w:r w:rsidRPr="00E16672">
              <w:rPr>
                <w:i w:val="0"/>
                <w:sz w:val="16"/>
                <w:szCs w:val="16"/>
              </w:rPr>
              <w:t>Договору</w:t>
            </w:r>
            <w:r w:rsidRPr="00E16672">
              <w:rPr>
                <w:i w:val="0"/>
                <w:sz w:val="16"/>
                <w:szCs w:val="16"/>
                <w:lang w:val="en-US"/>
              </w:rPr>
              <w:t xml:space="preserve">, </w:t>
            </w:r>
            <w:proofErr w:type="spellStart"/>
            <w:r w:rsidRPr="00E16672">
              <w:rPr>
                <w:i w:val="0"/>
                <w:sz w:val="16"/>
                <w:szCs w:val="16"/>
              </w:rPr>
              <w:t>зберігаються</w:t>
            </w:r>
            <w:proofErr w:type="spellEnd"/>
            <w:r w:rsidRPr="00E16672">
              <w:rPr>
                <w:i w:val="0"/>
                <w:sz w:val="16"/>
                <w:szCs w:val="16"/>
                <w:lang w:val="en-US"/>
              </w:rPr>
              <w:t xml:space="preserve"> </w:t>
            </w:r>
            <w:proofErr w:type="spellStart"/>
            <w:r w:rsidRPr="00E16672">
              <w:rPr>
                <w:i w:val="0"/>
                <w:sz w:val="16"/>
                <w:szCs w:val="16"/>
              </w:rPr>
              <w:t>Центральним</w:t>
            </w:r>
            <w:proofErr w:type="spellEnd"/>
            <w:r w:rsidRPr="00E16672">
              <w:rPr>
                <w:i w:val="0"/>
                <w:sz w:val="16"/>
                <w:szCs w:val="16"/>
                <w:lang w:val="en-US"/>
              </w:rPr>
              <w:t xml:space="preserve"> </w:t>
            </w:r>
            <w:proofErr w:type="spellStart"/>
            <w:r w:rsidRPr="00E16672">
              <w:rPr>
                <w:i w:val="0"/>
                <w:sz w:val="16"/>
                <w:szCs w:val="16"/>
              </w:rPr>
              <w:t>депозитарієм</w:t>
            </w:r>
            <w:proofErr w:type="spellEnd"/>
            <w:r w:rsidRPr="00E16672">
              <w:rPr>
                <w:i w:val="0"/>
                <w:sz w:val="16"/>
                <w:szCs w:val="16"/>
                <w:lang w:val="en-US"/>
              </w:rPr>
              <w:t xml:space="preserve"> </w:t>
            </w:r>
            <w:proofErr w:type="spellStart"/>
            <w:r w:rsidRPr="00E16672">
              <w:rPr>
                <w:i w:val="0"/>
                <w:sz w:val="16"/>
                <w:szCs w:val="16"/>
              </w:rPr>
              <w:t>цінних</w:t>
            </w:r>
            <w:proofErr w:type="spellEnd"/>
            <w:r w:rsidRPr="00E16672">
              <w:rPr>
                <w:i w:val="0"/>
                <w:sz w:val="16"/>
                <w:szCs w:val="16"/>
                <w:lang w:val="en-US"/>
              </w:rPr>
              <w:t xml:space="preserve"> </w:t>
            </w:r>
            <w:proofErr w:type="spellStart"/>
            <w:r w:rsidRPr="00E16672">
              <w:rPr>
                <w:i w:val="0"/>
                <w:sz w:val="16"/>
                <w:szCs w:val="16"/>
              </w:rPr>
              <w:t>паперів</w:t>
            </w:r>
            <w:proofErr w:type="spellEnd"/>
            <w:r w:rsidRPr="00E16672">
              <w:rPr>
                <w:i w:val="0"/>
                <w:sz w:val="16"/>
                <w:szCs w:val="16"/>
                <w:lang w:val="en-US"/>
              </w:rPr>
              <w:t xml:space="preserve"> </w:t>
            </w:r>
            <w:proofErr w:type="spellStart"/>
            <w:r w:rsidRPr="00E16672">
              <w:rPr>
                <w:i w:val="0"/>
                <w:sz w:val="16"/>
                <w:szCs w:val="16"/>
              </w:rPr>
              <w:t>відповідно</w:t>
            </w:r>
            <w:proofErr w:type="spellEnd"/>
            <w:r w:rsidRPr="00E16672">
              <w:rPr>
                <w:i w:val="0"/>
                <w:sz w:val="16"/>
                <w:szCs w:val="16"/>
                <w:lang w:val="en-US"/>
              </w:rPr>
              <w:t xml:space="preserve"> </w:t>
            </w:r>
            <w:r w:rsidRPr="00E16672">
              <w:rPr>
                <w:i w:val="0"/>
                <w:sz w:val="16"/>
                <w:szCs w:val="16"/>
              </w:rPr>
              <w:t>до</w:t>
            </w:r>
            <w:r w:rsidRPr="00E16672">
              <w:rPr>
                <w:i w:val="0"/>
                <w:sz w:val="16"/>
                <w:szCs w:val="16"/>
                <w:lang w:val="en-US"/>
              </w:rPr>
              <w:t xml:space="preserve"> </w:t>
            </w:r>
            <w:r w:rsidRPr="00E16672">
              <w:rPr>
                <w:i w:val="0"/>
                <w:sz w:val="16"/>
                <w:szCs w:val="16"/>
              </w:rPr>
              <w:t>Закону</w:t>
            </w:r>
            <w:r w:rsidRPr="00E16672">
              <w:rPr>
                <w:i w:val="0"/>
                <w:sz w:val="16"/>
                <w:szCs w:val="16"/>
                <w:lang w:val="en-US"/>
              </w:rPr>
              <w:t xml:space="preserve"> </w:t>
            </w:r>
            <w:proofErr w:type="spellStart"/>
            <w:r w:rsidRPr="00E16672">
              <w:rPr>
                <w:i w:val="0"/>
                <w:sz w:val="16"/>
                <w:szCs w:val="16"/>
              </w:rPr>
              <w:t>України</w:t>
            </w:r>
            <w:proofErr w:type="spellEnd"/>
            <w:r w:rsidRPr="00E16672">
              <w:rPr>
                <w:i w:val="0"/>
                <w:sz w:val="16"/>
                <w:szCs w:val="16"/>
                <w:lang w:val="en-US"/>
              </w:rPr>
              <w:t xml:space="preserve"> </w:t>
            </w:r>
            <w:r w:rsidR="00022F5F">
              <w:rPr>
                <w:i w:val="0"/>
                <w:sz w:val="16"/>
                <w:szCs w:val="16"/>
                <w:lang w:val="en-US"/>
              </w:rPr>
              <w:t>"</w:t>
            </w:r>
            <w:r w:rsidRPr="00E16672">
              <w:rPr>
                <w:i w:val="0"/>
                <w:sz w:val="16"/>
                <w:szCs w:val="16"/>
              </w:rPr>
              <w:t>Про</w:t>
            </w:r>
            <w:r w:rsidRPr="00E16672">
              <w:rPr>
                <w:i w:val="0"/>
                <w:sz w:val="16"/>
                <w:szCs w:val="16"/>
                <w:lang w:val="en-US"/>
              </w:rPr>
              <w:t xml:space="preserve"> </w:t>
            </w:r>
            <w:proofErr w:type="spellStart"/>
            <w:r w:rsidRPr="00E16672">
              <w:rPr>
                <w:i w:val="0"/>
                <w:sz w:val="16"/>
                <w:szCs w:val="16"/>
              </w:rPr>
              <w:t>депозитарну</w:t>
            </w:r>
            <w:proofErr w:type="spellEnd"/>
            <w:r w:rsidRPr="00E16672">
              <w:rPr>
                <w:i w:val="0"/>
                <w:sz w:val="16"/>
                <w:szCs w:val="16"/>
                <w:lang w:val="en-US"/>
              </w:rPr>
              <w:t xml:space="preserve"> </w:t>
            </w:r>
            <w:r w:rsidRPr="00E16672">
              <w:rPr>
                <w:i w:val="0"/>
                <w:sz w:val="16"/>
                <w:szCs w:val="16"/>
              </w:rPr>
              <w:t>систему</w:t>
            </w:r>
            <w:r w:rsidRPr="00E16672">
              <w:rPr>
                <w:i w:val="0"/>
                <w:sz w:val="16"/>
                <w:szCs w:val="16"/>
                <w:lang w:val="en-US"/>
              </w:rPr>
              <w:t xml:space="preserve"> </w:t>
            </w:r>
            <w:proofErr w:type="spellStart"/>
            <w:r w:rsidRPr="00E16672">
              <w:rPr>
                <w:i w:val="0"/>
                <w:sz w:val="16"/>
                <w:szCs w:val="16"/>
              </w:rPr>
              <w:t>України</w:t>
            </w:r>
            <w:proofErr w:type="spellEnd"/>
            <w:r w:rsidR="00022F5F">
              <w:rPr>
                <w:i w:val="0"/>
                <w:sz w:val="16"/>
                <w:szCs w:val="16"/>
                <w:lang w:val="en-US"/>
              </w:rPr>
              <w:t>"</w:t>
            </w:r>
            <w:r w:rsidRPr="00E16672">
              <w:rPr>
                <w:i w:val="0"/>
                <w:sz w:val="16"/>
                <w:szCs w:val="16"/>
                <w:lang w:val="en-US"/>
              </w:rPr>
              <w:t>.</w:t>
            </w:r>
          </w:p>
          <w:p w14:paraId="3FE79A5F" w14:textId="77777777" w:rsidR="00EB25FE" w:rsidRPr="00E16672" w:rsidRDefault="00EB25FE" w:rsidP="00794B3F">
            <w:pPr>
              <w:pStyle w:val="WW-1"/>
              <w:ind w:left="142" w:right="138"/>
              <w:jc w:val="both"/>
              <w:rPr>
                <w:i w:val="0"/>
                <w:sz w:val="16"/>
                <w:szCs w:val="16"/>
                <w:lang w:val="en-US"/>
              </w:rPr>
            </w:pPr>
          </w:p>
        </w:tc>
        <w:tc>
          <w:tcPr>
            <w:tcW w:w="5495" w:type="dxa"/>
            <w:gridSpan w:val="8"/>
            <w:shd w:val="clear" w:color="auto" w:fill="auto"/>
          </w:tcPr>
          <w:p w14:paraId="331A16BD" w14:textId="77777777" w:rsidR="00EB25FE" w:rsidRPr="00E16672" w:rsidRDefault="00EB25FE" w:rsidP="00794B3F">
            <w:pPr>
              <w:pStyle w:val="WW-0"/>
              <w:snapToGrid w:val="0"/>
              <w:spacing w:after="120"/>
              <w:ind w:left="145" w:right="100"/>
              <w:rPr>
                <w:rFonts w:ascii="Times New Roman" w:hAnsi="Times New Roman"/>
                <w:sz w:val="16"/>
                <w:szCs w:val="16"/>
                <w:lang w:val="en-US"/>
              </w:rPr>
            </w:pPr>
            <w:r w:rsidRPr="00E16672">
              <w:rPr>
                <w:rFonts w:ascii="Times New Roman" w:hAnsi="Times New Roman"/>
                <w:sz w:val="16"/>
                <w:szCs w:val="16"/>
                <w:lang w:val="en-US"/>
              </w:rPr>
              <w:t xml:space="preserve">1.2. Securities (financial asset) </w:t>
            </w:r>
            <w:r w:rsidR="00C42851" w:rsidRPr="00E16672">
              <w:rPr>
                <w:rFonts w:ascii="Times New Roman" w:hAnsi="Times New Roman"/>
                <w:sz w:val="16"/>
                <w:szCs w:val="16"/>
                <w:lang w:val="en-GB"/>
              </w:rPr>
              <w:t>Nominal holder</w:t>
            </w:r>
            <w:r w:rsidRPr="00E16672">
              <w:rPr>
                <w:rFonts w:ascii="Times New Roman" w:hAnsi="Times New Roman"/>
                <w:sz w:val="16"/>
                <w:szCs w:val="16"/>
                <w:lang w:val="en-US"/>
              </w:rPr>
              <w:t>, the rights to which are accounted for Depository institutions under this Agreement are saved by the Central Securities Depository in accordance with the Law of Ukraine "On the Depository System of Ukraine".</w:t>
            </w:r>
          </w:p>
        </w:tc>
      </w:tr>
      <w:tr w:rsidR="00EB25FE" w:rsidRPr="00F23413" w14:paraId="1E75F65D" w14:textId="77777777" w:rsidTr="005E418B">
        <w:tblPrEx>
          <w:tblCellMar>
            <w:left w:w="0" w:type="dxa"/>
            <w:right w:w="0" w:type="dxa"/>
          </w:tblCellMar>
        </w:tblPrEx>
        <w:trPr>
          <w:trHeight w:val="192"/>
        </w:trPr>
        <w:tc>
          <w:tcPr>
            <w:tcW w:w="5695" w:type="dxa"/>
            <w:gridSpan w:val="7"/>
            <w:shd w:val="clear" w:color="auto" w:fill="auto"/>
          </w:tcPr>
          <w:p w14:paraId="5F64F88B" w14:textId="77777777" w:rsidR="00EB25FE" w:rsidRPr="00E16672" w:rsidRDefault="00EB25FE" w:rsidP="00794B3F">
            <w:pPr>
              <w:pStyle w:val="WW-1"/>
              <w:snapToGrid w:val="0"/>
              <w:ind w:left="142" w:right="138"/>
              <w:jc w:val="both"/>
              <w:rPr>
                <w:i w:val="0"/>
                <w:sz w:val="16"/>
                <w:szCs w:val="16"/>
              </w:rPr>
            </w:pPr>
            <w:r w:rsidRPr="00E16672">
              <w:rPr>
                <w:i w:val="0"/>
                <w:sz w:val="16"/>
                <w:szCs w:val="16"/>
              </w:rPr>
              <w:t xml:space="preserve">1.3. </w:t>
            </w:r>
            <w:proofErr w:type="spellStart"/>
            <w:r w:rsidRPr="00E16672">
              <w:rPr>
                <w:i w:val="0"/>
                <w:sz w:val="16"/>
                <w:szCs w:val="16"/>
              </w:rPr>
              <w:t>Виконання</w:t>
            </w:r>
            <w:proofErr w:type="spellEnd"/>
            <w:r w:rsidRPr="00E16672">
              <w:rPr>
                <w:i w:val="0"/>
                <w:sz w:val="16"/>
                <w:szCs w:val="16"/>
              </w:rPr>
              <w:t xml:space="preserve"> Депозитарною </w:t>
            </w:r>
            <w:proofErr w:type="spellStart"/>
            <w:r w:rsidRPr="00E16672">
              <w:rPr>
                <w:i w:val="0"/>
                <w:sz w:val="16"/>
                <w:szCs w:val="16"/>
              </w:rPr>
              <w:t>установою</w:t>
            </w:r>
            <w:proofErr w:type="spellEnd"/>
            <w:r w:rsidRPr="00E16672">
              <w:rPr>
                <w:i w:val="0"/>
                <w:sz w:val="16"/>
                <w:szCs w:val="16"/>
              </w:rPr>
              <w:t xml:space="preserve"> </w:t>
            </w:r>
            <w:proofErr w:type="spellStart"/>
            <w:r w:rsidRPr="00E16672">
              <w:rPr>
                <w:i w:val="0"/>
                <w:sz w:val="16"/>
                <w:szCs w:val="16"/>
              </w:rPr>
              <w:t>додаткових</w:t>
            </w:r>
            <w:proofErr w:type="spellEnd"/>
            <w:r w:rsidRPr="00E16672">
              <w:rPr>
                <w:i w:val="0"/>
                <w:sz w:val="16"/>
                <w:szCs w:val="16"/>
              </w:rPr>
              <w:t xml:space="preserve"> </w:t>
            </w:r>
            <w:proofErr w:type="spellStart"/>
            <w:r w:rsidRPr="00E16672">
              <w:rPr>
                <w:i w:val="0"/>
                <w:sz w:val="16"/>
                <w:szCs w:val="16"/>
              </w:rPr>
              <w:t>послуг</w:t>
            </w:r>
            <w:proofErr w:type="spellEnd"/>
            <w:r w:rsidRPr="00E16672">
              <w:rPr>
                <w:i w:val="0"/>
                <w:sz w:val="16"/>
                <w:szCs w:val="16"/>
              </w:rPr>
              <w:t xml:space="preserve"> та </w:t>
            </w:r>
            <w:proofErr w:type="spellStart"/>
            <w:r w:rsidRPr="00E16672">
              <w:rPr>
                <w:i w:val="0"/>
                <w:sz w:val="16"/>
                <w:szCs w:val="16"/>
              </w:rPr>
              <w:t>операцій</w:t>
            </w:r>
            <w:proofErr w:type="spellEnd"/>
            <w:r w:rsidRPr="00E16672">
              <w:rPr>
                <w:i w:val="0"/>
                <w:sz w:val="16"/>
                <w:szCs w:val="16"/>
              </w:rPr>
              <w:t xml:space="preserve">, </w:t>
            </w:r>
            <w:proofErr w:type="spellStart"/>
            <w:r w:rsidRPr="00E16672">
              <w:rPr>
                <w:i w:val="0"/>
                <w:sz w:val="16"/>
                <w:szCs w:val="16"/>
              </w:rPr>
              <w:t>що</w:t>
            </w:r>
            <w:proofErr w:type="spellEnd"/>
            <w:r w:rsidRPr="00E16672">
              <w:rPr>
                <w:i w:val="0"/>
                <w:sz w:val="16"/>
                <w:szCs w:val="16"/>
              </w:rPr>
              <w:t xml:space="preserve"> не </w:t>
            </w:r>
            <w:proofErr w:type="spellStart"/>
            <w:r w:rsidRPr="00E16672">
              <w:rPr>
                <w:i w:val="0"/>
                <w:sz w:val="16"/>
                <w:szCs w:val="16"/>
              </w:rPr>
              <w:t>суперечать</w:t>
            </w:r>
            <w:proofErr w:type="spellEnd"/>
            <w:r w:rsidRPr="00E16672">
              <w:rPr>
                <w:i w:val="0"/>
                <w:sz w:val="16"/>
                <w:szCs w:val="16"/>
              </w:rPr>
              <w:t xml:space="preserve"> чинному </w:t>
            </w:r>
            <w:proofErr w:type="spellStart"/>
            <w:r w:rsidRPr="00E16672">
              <w:rPr>
                <w:i w:val="0"/>
                <w:sz w:val="16"/>
                <w:szCs w:val="16"/>
              </w:rPr>
              <w:t>законодавству</w:t>
            </w:r>
            <w:proofErr w:type="spellEnd"/>
            <w:r w:rsidRPr="00E16672">
              <w:rPr>
                <w:i w:val="0"/>
                <w:sz w:val="16"/>
                <w:szCs w:val="16"/>
              </w:rPr>
              <w:t xml:space="preserve"> </w:t>
            </w:r>
            <w:proofErr w:type="spellStart"/>
            <w:r w:rsidRPr="00E16672">
              <w:rPr>
                <w:i w:val="0"/>
                <w:sz w:val="16"/>
                <w:szCs w:val="16"/>
              </w:rPr>
              <w:t>України</w:t>
            </w:r>
            <w:proofErr w:type="spellEnd"/>
            <w:r w:rsidRPr="00E16672">
              <w:rPr>
                <w:i w:val="0"/>
                <w:sz w:val="16"/>
                <w:szCs w:val="16"/>
              </w:rPr>
              <w:t xml:space="preserve">, </w:t>
            </w:r>
            <w:proofErr w:type="spellStart"/>
            <w:r w:rsidRPr="00E16672">
              <w:rPr>
                <w:i w:val="0"/>
                <w:sz w:val="16"/>
                <w:szCs w:val="16"/>
              </w:rPr>
              <w:t>оформлюється</w:t>
            </w:r>
            <w:proofErr w:type="spellEnd"/>
            <w:r w:rsidRPr="00E16672">
              <w:rPr>
                <w:i w:val="0"/>
                <w:sz w:val="16"/>
                <w:szCs w:val="16"/>
              </w:rPr>
              <w:t xml:space="preserve"> </w:t>
            </w:r>
            <w:proofErr w:type="spellStart"/>
            <w:r w:rsidRPr="00E16672">
              <w:rPr>
                <w:i w:val="0"/>
                <w:sz w:val="16"/>
                <w:szCs w:val="16"/>
              </w:rPr>
              <w:t>додатковими</w:t>
            </w:r>
            <w:proofErr w:type="spellEnd"/>
            <w:r w:rsidRPr="00E16672">
              <w:rPr>
                <w:i w:val="0"/>
                <w:sz w:val="16"/>
                <w:szCs w:val="16"/>
              </w:rPr>
              <w:t xml:space="preserve"> </w:t>
            </w:r>
            <w:proofErr w:type="spellStart"/>
            <w:r w:rsidRPr="00E16672">
              <w:rPr>
                <w:i w:val="0"/>
                <w:sz w:val="16"/>
                <w:szCs w:val="16"/>
              </w:rPr>
              <w:t>угодами</w:t>
            </w:r>
            <w:proofErr w:type="spellEnd"/>
            <w:r w:rsidRPr="00E16672">
              <w:rPr>
                <w:i w:val="0"/>
                <w:sz w:val="16"/>
                <w:szCs w:val="16"/>
              </w:rPr>
              <w:t xml:space="preserve">, </w:t>
            </w:r>
            <w:proofErr w:type="spellStart"/>
            <w:r w:rsidRPr="00E16672">
              <w:rPr>
                <w:i w:val="0"/>
                <w:sz w:val="16"/>
                <w:szCs w:val="16"/>
              </w:rPr>
              <w:t>які</w:t>
            </w:r>
            <w:proofErr w:type="spellEnd"/>
            <w:r w:rsidRPr="00E16672">
              <w:rPr>
                <w:i w:val="0"/>
                <w:sz w:val="16"/>
                <w:szCs w:val="16"/>
              </w:rPr>
              <w:t xml:space="preserve"> з моменту </w:t>
            </w:r>
            <w:proofErr w:type="spellStart"/>
            <w:r w:rsidRPr="00E16672">
              <w:rPr>
                <w:i w:val="0"/>
                <w:sz w:val="16"/>
                <w:szCs w:val="16"/>
              </w:rPr>
              <w:t>їх</w:t>
            </w:r>
            <w:proofErr w:type="spellEnd"/>
            <w:r w:rsidRPr="00E16672">
              <w:rPr>
                <w:i w:val="0"/>
                <w:sz w:val="16"/>
                <w:szCs w:val="16"/>
              </w:rPr>
              <w:t xml:space="preserve"> </w:t>
            </w:r>
            <w:proofErr w:type="spellStart"/>
            <w:r w:rsidRPr="00E16672">
              <w:rPr>
                <w:i w:val="0"/>
                <w:sz w:val="16"/>
                <w:szCs w:val="16"/>
              </w:rPr>
              <w:t>підписання</w:t>
            </w:r>
            <w:proofErr w:type="spellEnd"/>
            <w:r w:rsidRPr="00E16672">
              <w:rPr>
                <w:i w:val="0"/>
                <w:sz w:val="16"/>
                <w:szCs w:val="16"/>
              </w:rPr>
              <w:t xml:space="preserve"> </w:t>
            </w:r>
            <w:proofErr w:type="spellStart"/>
            <w:r w:rsidRPr="00E16672">
              <w:rPr>
                <w:i w:val="0"/>
                <w:sz w:val="16"/>
                <w:szCs w:val="16"/>
              </w:rPr>
              <w:t>стають</w:t>
            </w:r>
            <w:proofErr w:type="spellEnd"/>
            <w:r w:rsidRPr="00E16672">
              <w:rPr>
                <w:i w:val="0"/>
                <w:sz w:val="16"/>
                <w:szCs w:val="16"/>
              </w:rPr>
              <w:t xml:space="preserve"> </w:t>
            </w:r>
            <w:proofErr w:type="spellStart"/>
            <w:r w:rsidRPr="00E16672">
              <w:rPr>
                <w:i w:val="0"/>
                <w:sz w:val="16"/>
                <w:szCs w:val="16"/>
              </w:rPr>
              <w:t>невід’ємною</w:t>
            </w:r>
            <w:proofErr w:type="spellEnd"/>
            <w:r w:rsidRPr="00E16672">
              <w:rPr>
                <w:i w:val="0"/>
                <w:sz w:val="16"/>
                <w:szCs w:val="16"/>
              </w:rPr>
              <w:t xml:space="preserve"> </w:t>
            </w:r>
            <w:proofErr w:type="spellStart"/>
            <w:r w:rsidRPr="00E16672">
              <w:rPr>
                <w:i w:val="0"/>
                <w:sz w:val="16"/>
                <w:szCs w:val="16"/>
              </w:rPr>
              <w:t>частиною</w:t>
            </w:r>
            <w:proofErr w:type="spellEnd"/>
            <w:r w:rsidRPr="00E16672">
              <w:rPr>
                <w:i w:val="0"/>
                <w:sz w:val="16"/>
                <w:szCs w:val="16"/>
              </w:rPr>
              <w:t xml:space="preserve"> </w:t>
            </w:r>
            <w:proofErr w:type="spellStart"/>
            <w:r w:rsidRPr="00E16672">
              <w:rPr>
                <w:i w:val="0"/>
                <w:sz w:val="16"/>
                <w:szCs w:val="16"/>
              </w:rPr>
              <w:t>цього</w:t>
            </w:r>
            <w:proofErr w:type="spellEnd"/>
            <w:r w:rsidRPr="00E16672">
              <w:rPr>
                <w:i w:val="0"/>
                <w:sz w:val="16"/>
                <w:szCs w:val="16"/>
              </w:rPr>
              <w:t xml:space="preserve"> Договору. </w:t>
            </w:r>
          </w:p>
          <w:p w14:paraId="3F9FDC4A" w14:textId="77777777" w:rsidR="00EB25FE" w:rsidRPr="00E16672" w:rsidRDefault="00EB25FE" w:rsidP="00794B3F">
            <w:pPr>
              <w:pStyle w:val="WW-1"/>
              <w:ind w:left="142" w:right="138"/>
              <w:jc w:val="both"/>
              <w:rPr>
                <w:i w:val="0"/>
                <w:sz w:val="16"/>
                <w:szCs w:val="16"/>
              </w:rPr>
            </w:pPr>
          </w:p>
        </w:tc>
        <w:tc>
          <w:tcPr>
            <w:tcW w:w="5495" w:type="dxa"/>
            <w:gridSpan w:val="8"/>
            <w:shd w:val="clear" w:color="auto" w:fill="auto"/>
          </w:tcPr>
          <w:p w14:paraId="72D2DD05" w14:textId="77777777" w:rsidR="00EB25FE" w:rsidRPr="00E16672" w:rsidRDefault="00EB25FE" w:rsidP="00794B3F">
            <w:pPr>
              <w:pStyle w:val="WW-0"/>
              <w:snapToGrid w:val="0"/>
              <w:spacing w:after="120"/>
              <w:ind w:left="145" w:right="100"/>
              <w:rPr>
                <w:rFonts w:ascii="Times New Roman" w:hAnsi="Times New Roman"/>
                <w:sz w:val="16"/>
                <w:szCs w:val="16"/>
                <w:lang w:val="en-GB"/>
              </w:rPr>
            </w:pPr>
            <w:r w:rsidRPr="00E16672">
              <w:rPr>
                <w:rFonts w:ascii="Times New Roman" w:hAnsi="Times New Roman"/>
                <w:sz w:val="16"/>
                <w:szCs w:val="16"/>
                <w:lang w:val="en-GB"/>
              </w:rPr>
              <w:t xml:space="preserve">1.3. Execution by </w:t>
            </w:r>
            <w:r w:rsidRPr="00E16672">
              <w:rPr>
                <w:rFonts w:ascii="Times New Roman" w:hAnsi="Times New Roman"/>
                <w:sz w:val="16"/>
                <w:szCs w:val="16"/>
                <w:lang w:val="en-US"/>
              </w:rPr>
              <w:t xml:space="preserve">Depository institution </w:t>
            </w:r>
            <w:r w:rsidRPr="00E16672">
              <w:rPr>
                <w:rFonts w:ascii="Times New Roman" w:hAnsi="Times New Roman"/>
                <w:sz w:val="16"/>
                <w:szCs w:val="16"/>
                <w:lang w:val="en-GB"/>
              </w:rPr>
              <w:t>of the additional services and operations, which are not prohibited by the current legislation of Ukraine, shall be executed as the additional agreements, that since the signing of becoming an integral part of this Agreement.</w:t>
            </w:r>
          </w:p>
        </w:tc>
      </w:tr>
      <w:tr w:rsidR="00EB25FE" w:rsidRPr="00F23413" w14:paraId="0A7E0010" w14:textId="77777777" w:rsidTr="005E418B">
        <w:tblPrEx>
          <w:tblCellMar>
            <w:left w:w="0" w:type="dxa"/>
            <w:right w:w="0" w:type="dxa"/>
          </w:tblCellMar>
        </w:tblPrEx>
        <w:trPr>
          <w:trHeight w:val="192"/>
        </w:trPr>
        <w:tc>
          <w:tcPr>
            <w:tcW w:w="5695" w:type="dxa"/>
            <w:gridSpan w:val="7"/>
            <w:shd w:val="clear" w:color="auto" w:fill="auto"/>
          </w:tcPr>
          <w:p w14:paraId="2E7916D7" w14:textId="77777777" w:rsidR="00EB25FE" w:rsidRPr="00E16672" w:rsidRDefault="00EB25FE" w:rsidP="00794B3F">
            <w:pPr>
              <w:snapToGrid w:val="0"/>
              <w:ind w:left="142" w:right="138" w:firstLine="40"/>
              <w:jc w:val="center"/>
              <w:rPr>
                <w:rFonts w:ascii="Times New Roman" w:eastAsia="Arial" w:hAnsi="Times New Roman"/>
                <w:b/>
                <w:sz w:val="16"/>
                <w:szCs w:val="16"/>
              </w:rPr>
            </w:pPr>
            <w:r w:rsidRPr="00E16672">
              <w:rPr>
                <w:rFonts w:ascii="Times New Roman" w:eastAsia="Arial" w:hAnsi="Times New Roman"/>
                <w:b/>
                <w:sz w:val="16"/>
                <w:szCs w:val="16"/>
              </w:rPr>
              <w:t>2. ПРАВА ТА ОБОВ’ЯЗКИ СТОРІН.</w:t>
            </w:r>
          </w:p>
          <w:p w14:paraId="766E13C3" w14:textId="77777777" w:rsidR="00EB25FE" w:rsidRPr="00E16672" w:rsidRDefault="00EB25FE" w:rsidP="00794B3F">
            <w:pPr>
              <w:ind w:left="142" w:right="138" w:firstLine="40"/>
              <w:rPr>
                <w:rFonts w:ascii="Times New Roman" w:eastAsia="Arial" w:hAnsi="Times New Roman"/>
                <w:sz w:val="16"/>
                <w:szCs w:val="16"/>
              </w:rPr>
            </w:pPr>
          </w:p>
          <w:p w14:paraId="77F921FD" w14:textId="77777777" w:rsidR="00EB25FE" w:rsidRPr="00E16672" w:rsidRDefault="00EB25FE" w:rsidP="00794B3F">
            <w:pPr>
              <w:ind w:left="142" w:right="138" w:firstLine="40"/>
              <w:rPr>
                <w:rFonts w:ascii="Times New Roman" w:eastAsia="Arial" w:hAnsi="Times New Roman"/>
                <w:b/>
                <w:sz w:val="16"/>
                <w:szCs w:val="16"/>
              </w:rPr>
            </w:pPr>
            <w:r w:rsidRPr="00E16672">
              <w:rPr>
                <w:rFonts w:ascii="Times New Roman" w:eastAsia="Arial" w:hAnsi="Times New Roman"/>
                <w:b/>
                <w:sz w:val="16"/>
                <w:szCs w:val="16"/>
              </w:rPr>
              <w:t xml:space="preserve">2.1. </w:t>
            </w:r>
            <w:proofErr w:type="spellStart"/>
            <w:r w:rsidRPr="00E16672">
              <w:rPr>
                <w:rFonts w:ascii="Times New Roman" w:eastAsia="Arial" w:hAnsi="Times New Roman"/>
                <w:b/>
                <w:sz w:val="16"/>
                <w:szCs w:val="16"/>
              </w:rPr>
              <w:t>Депозитарна</w:t>
            </w:r>
            <w:proofErr w:type="spellEnd"/>
            <w:r w:rsidRPr="00E16672">
              <w:rPr>
                <w:rFonts w:ascii="Times New Roman" w:eastAsia="Arial" w:hAnsi="Times New Roman"/>
                <w:b/>
                <w:sz w:val="16"/>
                <w:szCs w:val="16"/>
              </w:rPr>
              <w:t xml:space="preserve"> </w:t>
            </w:r>
            <w:proofErr w:type="spellStart"/>
            <w:r w:rsidRPr="00E16672">
              <w:rPr>
                <w:rFonts w:ascii="Times New Roman" w:eastAsia="Arial" w:hAnsi="Times New Roman"/>
                <w:b/>
                <w:sz w:val="16"/>
                <w:szCs w:val="16"/>
              </w:rPr>
              <w:t>установа</w:t>
            </w:r>
            <w:proofErr w:type="spellEnd"/>
            <w:r w:rsidRPr="00E16672">
              <w:rPr>
                <w:rFonts w:ascii="Times New Roman" w:eastAsia="Arial" w:hAnsi="Times New Roman"/>
                <w:b/>
                <w:sz w:val="16"/>
                <w:szCs w:val="16"/>
              </w:rPr>
              <w:t xml:space="preserve"> </w:t>
            </w:r>
            <w:proofErr w:type="spellStart"/>
            <w:r w:rsidRPr="00E16672">
              <w:rPr>
                <w:rFonts w:ascii="Times New Roman" w:eastAsia="Arial" w:hAnsi="Times New Roman"/>
                <w:b/>
                <w:sz w:val="16"/>
                <w:szCs w:val="16"/>
              </w:rPr>
              <w:t>зобов’язана</w:t>
            </w:r>
            <w:proofErr w:type="spellEnd"/>
            <w:r w:rsidRPr="00E16672">
              <w:rPr>
                <w:rFonts w:ascii="Times New Roman" w:eastAsia="Arial" w:hAnsi="Times New Roman"/>
                <w:b/>
                <w:sz w:val="16"/>
                <w:szCs w:val="16"/>
              </w:rPr>
              <w:t>:</w:t>
            </w:r>
          </w:p>
          <w:p w14:paraId="2B99D462" w14:textId="77777777" w:rsidR="00EB25FE" w:rsidRPr="00E16672" w:rsidRDefault="00EB25FE" w:rsidP="00794B3F">
            <w:pPr>
              <w:ind w:left="142" w:right="138" w:firstLine="40"/>
              <w:rPr>
                <w:rFonts w:ascii="Times New Roman" w:eastAsia="Arial" w:hAnsi="Times New Roman"/>
                <w:sz w:val="16"/>
                <w:szCs w:val="16"/>
              </w:rPr>
            </w:pPr>
          </w:p>
          <w:p w14:paraId="4775759D" w14:textId="77777777" w:rsidR="00EB25FE" w:rsidRPr="00E16672" w:rsidRDefault="00EB25FE" w:rsidP="001456E9">
            <w:pPr>
              <w:tabs>
                <w:tab w:val="left" w:pos="851"/>
              </w:tabs>
              <w:ind w:left="142" w:right="138" w:firstLine="40"/>
              <w:rPr>
                <w:rFonts w:ascii="Times New Roman" w:eastAsia="Arial" w:hAnsi="Times New Roman"/>
                <w:sz w:val="16"/>
                <w:szCs w:val="16"/>
              </w:rPr>
            </w:pPr>
            <w:r w:rsidRPr="00E16672">
              <w:rPr>
                <w:rFonts w:ascii="Times New Roman" w:eastAsia="Arial" w:hAnsi="Times New Roman"/>
                <w:sz w:val="16"/>
                <w:szCs w:val="16"/>
              </w:rPr>
              <w:t xml:space="preserve">2.1.1 </w:t>
            </w:r>
            <w:proofErr w:type="spellStart"/>
            <w:r w:rsidRPr="00E16672">
              <w:rPr>
                <w:rFonts w:ascii="Times New Roman" w:eastAsia="Arial" w:hAnsi="Times New Roman"/>
                <w:sz w:val="16"/>
                <w:szCs w:val="16"/>
              </w:rPr>
              <w:t>Відкрити</w:t>
            </w:r>
            <w:proofErr w:type="spellEnd"/>
            <w:r w:rsidRPr="00E16672">
              <w:rPr>
                <w:rFonts w:ascii="Times New Roman" w:eastAsia="Arial" w:hAnsi="Times New Roman"/>
                <w:sz w:val="16"/>
                <w:szCs w:val="16"/>
              </w:rPr>
              <w:t xml:space="preserve"> </w:t>
            </w:r>
            <w:r w:rsidR="00C42851" w:rsidRPr="00E16672">
              <w:rPr>
                <w:rFonts w:ascii="Times New Roman" w:eastAsia="Arial" w:hAnsi="Times New Roman"/>
                <w:sz w:val="16"/>
                <w:szCs w:val="16"/>
                <w:lang w:val="uk-UA"/>
              </w:rPr>
              <w:t>Номінальному утримувачу</w:t>
            </w:r>
            <w:r w:rsidRPr="00E16672">
              <w:rPr>
                <w:rFonts w:ascii="Times New Roman" w:eastAsia="Arial" w:hAnsi="Times New Roman"/>
                <w:sz w:val="16"/>
                <w:szCs w:val="16"/>
              </w:rPr>
              <w:t xml:space="preserve"> </w:t>
            </w:r>
            <w:proofErr w:type="spellStart"/>
            <w:r w:rsidRPr="00E16672">
              <w:rPr>
                <w:rFonts w:ascii="Times New Roman" w:eastAsia="Arial" w:hAnsi="Times New Roman"/>
                <w:sz w:val="16"/>
                <w:szCs w:val="16"/>
              </w:rPr>
              <w:t>рахунок</w:t>
            </w:r>
            <w:proofErr w:type="spellEnd"/>
            <w:r w:rsidRPr="00E16672">
              <w:rPr>
                <w:rFonts w:ascii="Times New Roman" w:eastAsia="Arial" w:hAnsi="Times New Roman"/>
                <w:sz w:val="16"/>
                <w:szCs w:val="16"/>
              </w:rPr>
              <w:t xml:space="preserve"> </w:t>
            </w:r>
            <w:r w:rsidR="00983FBE" w:rsidRPr="00E16672">
              <w:rPr>
                <w:rFonts w:ascii="Times New Roman" w:eastAsia="Arial" w:hAnsi="Times New Roman"/>
                <w:sz w:val="16"/>
                <w:szCs w:val="16"/>
                <w:lang w:val="uk-UA"/>
              </w:rPr>
              <w:t xml:space="preserve">(рахунки) </w:t>
            </w:r>
            <w:r w:rsidR="00C22309" w:rsidRPr="00E16672">
              <w:rPr>
                <w:rFonts w:ascii="Times New Roman" w:eastAsia="Arial" w:hAnsi="Times New Roman"/>
                <w:sz w:val="16"/>
                <w:szCs w:val="16"/>
              </w:rPr>
              <w:t xml:space="preserve">в </w:t>
            </w:r>
            <w:proofErr w:type="spellStart"/>
            <w:r w:rsidR="00C22309" w:rsidRPr="00E16672">
              <w:rPr>
                <w:rFonts w:ascii="Times New Roman" w:eastAsia="Arial" w:hAnsi="Times New Roman"/>
                <w:sz w:val="16"/>
                <w:szCs w:val="16"/>
              </w:rPr>
              <w:t>цін</w:t>
            </w:r>
            <w:r w:rsidRPr="00E16672">
              <w:rPr>
                <w:rFonts w:ascii="Times New Roman" w:eastAsia="Arial" w:hAnsi="Times New Roman"/>
                <w:sz w:val="16"/>
                <w:szCs w:val="16"/>
              </w:rPr>
              <w:t>них</w:t>
            </w:r>
            <w:proofErr w:type="spellEnd"/>
            <w:r w:rsidRPr="00E16672">
              <w:rPr>
                <w:rFonts w:ascii="Times New Roman" w:eastAsia="Arial" w:hAnsi="Times New Roman"/>
                <w:sz w:val="16"/>
                <w:szCs w:val="16"/>
              </w:rPr>
              <w:t xml:space="preserve"> </w:t>
            </w:r>
            <w:proofErr w:type="spellStart"/>
            <w:r w:rsidRPr="00E16672">
              <w:rPr>
                <w:rFonts w:ascii="Times New Roman" w:eastAsia="Arial" w:hAnsi="Times New Roman"/>
                <w:sz w:val="16"/>
                <w:szCs w:val="16"/>
              </w:rPr>
              <w:t>паперах</w:t>
            </w:r>
            <w:proofErr w:type="spellEnd"/>
            <w:r w:rsidRPr="00E16672">
              <w:rPr>
                <w:rFonts w:ascii="Times New Roman" w:eastAsia="Arial" w:hAnsi="Times New Roman"/>
                <w:sz w:val="16"/>
                <w:szCs w:val="16"/>
              </w:rPr>
              <w:t xml:space="preserve"> </w:t>
            </w:r>
            <w:proofErr w:type="spellStart"/>
            <w:r w:rsidRPr="00E16672">
              <w:rPr>
                <w:rFonts w:ascii="Times New Roman" w:eastAsia="Arial" w:hAnsi="Times New Roman"/>
                <w:i/>
                <w:sz w:val="16"/>
                <w:szCs w:val="16"/>
              </w:rPr>
              <w:t>протягом</w:t>
            </w:r>
            <w:proofErr w:type="spellEnd"/>
            <w:r w:rsidRPr="00E16672">
              <w:rPr>
                <w:rFonts w:ascii="Times New Roman" w:eastAsia="Arial" w:hAnsi="Times New Roman"/>
                <w:i/>
                <w:sz w:val="16"/>
                <w:szCs w:val="16"/>
              </w:rPr>
              <w:t xml:space="preserve"> </w:t>
            </w:r>
            <w:proofErr w:type="spellStart"/>
            <w:r w:rsidRPr="00E16672">
              <w:rPr>
                <w:rFonts w:ascii="Times New Roman" w:eastAsia="Arial" w:hAnsi="Times New Roman"/>
                <w:i/>
                <w:sz w:val="16"/>
                <w:szCs w:val="16"/>
              </w:rPr>
              <w:t>п'яти</w:t>
            </w:r>
            <w:proofErr w:type="spellEnd"/>
            <w:r w:rsidRPr="00E16672">
              <w:rPr>
                <w:rFonts w:ascii="Times New Roman" w:eastAsia="Arial" w:hAnsi="Times New Roman"/>
                <w:i/>
                <w:sz w:val="16"/>
                <w:szCs w:val="16"/>
              </w:rPr>
              <w:t xml:space="preserve"> </w:t>
            </w:r>
            <w:proofErr w:type="spellStart"/>
            <w:r w:rsidRPr="00E16672">
              <w:rPr>
                <w:rFonts w:ascii="Times New Roman" w:eastAsia="Arial" w:hAnsi="Times New Roman"/>
                <w:i/>
                <w:sz w:val="16"/>
                <w:szCs w:val="16"/>
              </w:rPr>
              <w:t>робочих</w:t>
            </w:r>
            <w:proofErr w:type="spellEnd"/>
            <w:r w:rsidRPr="00E16672">
              <w:rPr>
                <w:rFonts w:ascii="Times New Roman" w:eastAsia="Arial" w:hAnsi="Times New Roman"/>
                <w:i/>
                <w:sz w:val="16"/>
                <w:szCs w:val="16"/>
              </w:rPr>
              <w:t xml:space="preserve"> </w:t>
            </w:r>
            <w:proofErr w:type="spellStart"/>
            <w:r w:rsidRPr="00E16672">
              <w:rPr>
                <w:rFonts w:ascii="Times New Roman" w:eastAsia="Arial" w:hAnsi="Times New Roman"/>
                <w:i/>
                <w:sz w:val="16"/>
                <w:szCs w:val="16"/>
              </w:rPr>
              <w:t>днів</w:t>
            </w:r>
            <w:proofErr w:type="spellEnd"/>
            <w:r w:rsidRPr="00E16672">
              <w:rPr>
                <w:rFonts w:ascii="Times New Roman" w:eastAsia="Arial" w:hAnsi="Times New Roman"/>
                <w:sz w:val="16"/>
                <w:szCs w:val="16"/>
              </w:rPr>
              <w:t xml:space="preserve"> </w:t>
            </w:r>
            <w:proofErr w:type="spellStart"/>
            <w:r w:rsidRPr="00E16672">
              <w:rPr>
                <w:rFonts w:ascii="Times New Roman" w:eastAsia="Arial" w:hAnsi="Times New Roman"/>
                <w:sz w:val="16"/>
                <w:szCs w:val="16"/>
              </w:rPr>
              <w:t>після</w:t>
            </w:r>
            <w:proofErr w:type="spellEnd"/>
            <w:r w:rsidRPr="00E16672">
              <w:rPr>
                <w:rFonts w:ascii="Times New Roman" w:eastAsia="Arial" w:hAnsi="Times New Roman"/>
                <w:sz w:val="16"/>
                <w:szCs w:val="16"/>
              </w:rPr>
              <w:t xml:space="preserve"> </w:t>
            </w:r>
            <w:proofErr w:type="spellStart"/>
            <w:r w:rsidRPr="00E16672">
              <w:rPr>
                <w:rFonts w:ascii="Times New Roman" w:eastAsia="Arial" w:hAnsi="Times New Roman"/>
                <w:sz w:val="16"/>
                <w:szCs w:val="16"/>
              </w:rPr>
              <w:t>подання</w:t>
            </w:r>
            <w:proofErr w:type="spellEnd"/>
            <w:r w:rsidRPr="00E16672">
              <w:rPr>
                <w:rFonts w:ascii="Times New Roman" w:eastAsia="Arial" w:hAnsi="Times New Roman"/>
                <w:sz w:val="16"/>
                <w:szCs w:val="16"/>
              </w:rPr>
              <w:t xml:space="preserve"> </w:t>
            </w:r>
            <w:proofErr w:type="spellStart"/>
            <w:r w:rsidRPr="00E16672">
              <w:rPr>
                <w:rFonts w:ascii="Times New Roman" w:eastAsia="Arial" w:hAnsi="Times New Roman"/>
                <w:sz w:val="16"/>
                <w:szCs w:val="16"/>
              </w:rPr>
              <w:t>визначених</w:t>
            </w:r>
            <w:proofErr w:type="spellEnd"/>
            <w:r w:rsidRPr="00E16672">
              <w:rPr>
                <w:rFonts w:ascii="Times New Roman" w:eastAsia="Arial" w:hAnsi="Times New Roman"/>
                <w:sz w:val="16"/>
                <w:szCs w:val="16"/>
              </w:rPr>
              <w:t xml:space="preserve"> </w:t>
            </w:r>
            <w:proofErr w:type="spellStart"/>
            <w:r w:rsidRPr="00E16672">
              <w:rPr>
                <w:rFonts w:ascii="Times New Roman" w:eastAsia="Arial" w:hAnsi="Times New Roman"/>
                <w:sz w:val="16"/>
                <w:szCs w:val="16"/>
              </w:rPr>
              <w:t>законодавством</w:t>
            </w:r>
            <w:proofErr w:type="spellEnd"/>
            <w:r w:rsidRPr="00E16672">
              <w:rPr>
                <w:rFonts w:ascii="Times New Roman" w:eastAsia="Arial" w:hAnsi="Times New Roman"/>
                <w:sz w:val="16"/>
                <w:szCs w:val="16"/>
              </w:rPr>
              <w:t xml:space="preserve"> </w:t>
            </w:r>
            <w:proofErr w:type="spellStart"/>
            <w:r w:rsidRPr="00E16672">
              <w:rPr>
                <w:rFonts w:ascii="Times New Roman" w:eastAsia="Arial" w:hAnsi="Times New Roman"/>
                <w:sz w:val="16"/>
                <w:szCs w:val="16"/>
              </w:rPr>
              <w:t>документів</w:t>
            </w:r>
            <w:proofErr w:type="spellEnd"/>
            <w:r w:rsidRPr="00E16672">
              <w:rPr>
                <w:rFonts w:ascii="Times New Roman" w:eastAsia="Arial" w:hAnsi="Times New Roman"/>
                <w:sz w:val="16"/>
                <w:szCs w:val="16"/>
              </w:rPr>
              <w:t xml:space="preserve"> для </w:t>
            </w:r>
            <w:proofErr w:type="spellStart"/>
            <w:r w:rsidRPr="00E16672">
              <w:rPr>
                <w:rFonts w:ascii="Times New Roman" w:eastAsia="Arial" w:hAnsi="Times New Roman"/>
                <w:sz w:val="16"/>
                <w:szCs w:val="16"/>
              </w:rPr>
              <w:t>відкриття</w:t>
            </w:r>
            <w:proofErr w:type="spellEnd"/>
            <w:r w:rsidRPr="00E16672">
              <w:rPr>
                <w:rFonts w:ascii="Times New Roman" w:eastAsia="Arial" w:hAnsi="Times New Roman"/>
                <w:sz w:val="16"/>
                <w:szCs w:val="16"/>
              </w:rPr>
              <w:t xml:space="preserve"> </w:t>
            </w:r>
            <w:proofErr w:type="spellStart"/>
            <w:r w:rsidRPr="00E16672">
              <w:rPr>
                <w:rFonts w:ascii="Times New Roman" w:eastAsia="Arial" w:hAnsi="Times New Roman"/>
                <w:sz w:val="16"/>
                <w:szCs w:val="16"/>
              </w:rPr>
              <w:t>рахунку</w:t>
            </w:r>
            <w:proofErr w:type="spellEnd"/>
            <w:r w:rsidRPr="00E16672">
              <w:rPr>
                <w:rFonts w:ascii="Times New Roman" w:eastAsia="Arial" w:hAnsi="Times New Roman"/>
                <w:sz w:val="16"/>
                <w:szCs w:val="16"/>
              </w:rPr>
              <w:t xml:space="preserve"> в </w:t>
            </w:r>
            <w:proofErr w:type="spellStart"/>
            <w:r w:rsidRPr="00E16672">
              <w:rPr>
                <w:rFonts w:ascii="Times New Roman" w:eastAsia="Arial" w:hAnsi="Times New Roman"/>
                <w:sz w:val="16"/>
                <w:szCs w:val="16"/>
              </w:rPr>
              <w:t>цінних</w:t>
            </w:r>
            <w:proofErr w:type="spellEnd"/>
            <w:r w:rsidRPr="00E16672">
              <w:rPr>
                <w:rFonts w:ascii="Times New Roman" w:eastAsia="Arial" w:hAnsi="Times New Roman"/>
                <w:sz w:val="16"/>
                <w:szCs w:val="16"/>
              </w:rPr>
              <w:t xml:space="preserve"> </w:t>
            </w:r>
            <w:proofErr w:type="spellStart"/>
            <w:r w:rsidRPr="00E16672">
              <w:rPr>
                <w:rFonts w:ascii="Times New Roman" w:eastAsia="Arial" w:hAnsi="Times New Roman"/>
                <w:sz w:val="16"/>
                <w:szCs w:val="16"/>
              </w:rPr>
              <w:t>паперах</w:t>
            </w:r>
            <w:proofErr w:type="spellEnd"/>
            <w:r w:rsidR="00983FBE" w:rsidRPr="00E16672">
              <w:rPr>
                <w:rFonts w:ascii="Times New Roman" w:hAnsi="Times New Roman"/>
                <w:sz w:val="16"/>
                <w:szCs w:val="16"/>
              </w:rPr>
              <w:t xml:space="preserve">, у тому </w:t>
            </w:r>
            <w:proofErr w:type="spellStart"/>
            <w:r w:rsidR="00983FBE" w:rsidRPr="00E16672">
              <w:rPr>
                <w:rFonts w:ascii="Times New Roman" w:hAnsi="Times New Roman"/>
                <w:sz w:val="16"/>
                <w:szCs w:val="16"/>
              </w:rPr>
              <w:t>числі</w:t>
            </w:r>
            <w:proofErr w:type="spellEnd"/>
            <w:r w:rsidR="00983FBE" w:rsidRPr="00E16672">
              <w:rPr>
                <w:rFonts w:ascii="Times New Roman" w:hAnsi="Times New Roman"/>
                <w:sz w:val="16"/>
                <w:szCs w:val="16"/>
              </w:rPr>
              <w:t xml:space="preserve"> для </w:t>
            </w:r>
            <w:proofErr w:type="spellStart"/>
            <w:r w:rsidR="00983FBE" w:rsidRPr="00E16672">
              <w:rPr>
                <w:rFonts w:ascii="Times New Roman" w:hAnsi="Times New Roman"/>
                <w:sz w:val="16"/>
                <w:szCs w:val="16"/>
              </w:rPr>
              <w:t>проведення</w:t>
            </w:r>
            <w:proofErr w:type="spellEnd"/>
            <w:r w:rsidR="00983FBE" w:rsidRPr="00E16672">
              <w:rPr>
                <w:rFonts w:ascii="Times New Roman" w:hAnsi="Times New Roman"/>
                <w:sz w:val="16"/>
                <w:szCs w:val="16"/>
              </w:rPr>
              <w:t xml:space="preserve"> </w:t>
            </w:r>
            <w:proofErr w:type="spellStart"/>
            <w:r w:rsidR="00983FBE" w:rsidRPr="00E16672">
              <w:rPr>
                <w:rFonts w:ascii="Times New Roman" w:hAnsi="Times New Roman"/>
                <w:sz w:val="16"/>
                <w:szCs w:val="16"/>
              </w:rPr>
              <w:t>його</w:t>
            </w:r>
            <w:proofErr w:type="spellEnd"/>
            <w:r w:rsidR="00983FBE" w:rsidRPr="00E16672">
              <w:rPr>
                <w:rFonts w:ascii="Times New Roman" w:hAnsi="Times New Roman"/>
                <w:sz w:val="16"/>
                <w:szCs w:val="16"/>
              </w:rPr>
              <w:t xml:space="preserve"> </w:t>
            </w:r>
            <w:proofErr w:type="spellStart"/>
            <w:r w:rsidR="00983FBE" w:rsidRPr="00E16672">
              <w:rPr>
                <w:rFonts w:ascii="Times New Roman" w:hAnsi="Times New Roman"/>
                <w:sz w:val="16"/>
                <w:szCs w:val="16"/>
              </w:rPr>
              <w:t>ідентифікації</w:t>
            </w:r>
            <w:proofErr w:type="spellEnd"/>
            <w:r w:rsidR="00983FBE" w:rsidRPr="00E16672">
              <w:rPr>
                <w:rFonts w:ascii="Times New Roman" w:hAnsi="Times New Roman"/>
                <w:sz w:val="16"/>
                <w:szCs w:val="16"/>
              </w:rPr>
              <w:t xml:space="preserve"> та </w:t>
            </w:r>
            <w:proofErr w:type="spellStart"/>
            <w:r w:rsidR="00983FBE" w:rsidRPr="00E16672">
              <w:rPr>
                <w:rFonts w:ascii="Times New Roman" w:hAnsi="Times New Roman"/>
                <w:sz w:val="16"/>
                <w:szCs w:val="16"/>
              </w:rPr>
              <w:t>верифікації</w:t>
            </w:r>
            <w:proofErr w:type="spellEnd"/>
            <w:r w:rsidR="00983FBE" w:rsidRPr="00E16672">
              <w:rPr>
                <w:rFonts w:ascii="Times New Roman" w:hAnsi="Times New Roman"/>
                <w:sz w:val="16"/>
                <w:szCs w:val="16"/>
              </w:rPr>
              <w:t xml:space="preserve"> (</w:t>
            </w:r>
            <w:proofErr w:type="spellStart"/>
            <w:r w:rsidR="00983FBE" w:rsidRPr="00E16672">
              <w:rPr>
                <w:rFonts w:ascii="Times New Roman" w:hAnsi="Times New Roman"/>
                <w:sz w:val="16"/>
                <w:szCs w:val="16"/>
              </w:rPr>
              <w:t>якщо</w:t>
            </w:r>
            <w:proofErr w:type="spellEnd"/>
            <w:r w:rsidR="00983FBE" w:rsidRPr="00E16672">
              <w:rPr>
                <w:rFonts w:ascii="Times New Roman" w:hAnsi="Times New Roman"/>
                <w:sz w:val="16"/>
                <w:szCs w:val="16"/>
              </w:rPr>
              <w:t xml:space="preserve"> </w:t>
            </w:r>
            <w:proofErr w:type="spellStart"/>
            <w:r w:rsidR="00983FBE" w:rsidRPr="00E16672">
              <w:rPr>
                <w:rFonts w:ascii="Times New Roman" w:hAnsi="Times New Roman"/>
                <w:sz w:val="16"/>
                <w:szCs w:val="16"/>
              </w:rPr>
              <w:t>номінальний</w:t>
            </w:r>
            <w:proofErr w:type="spellEnd"/>
            <w:r w:rsidR="00983FBE" w:rsidRPr="00E16672">
              <w:rPr>
                <w:rFonts w:ascii="Times New Roman" w:hAnsi="Times New Roman"/>
                <w:sz w:val="16"/>
                <w:szCs w:val="16"/>
              </w:rPr>
              <w:t xml:space="preserve"> </w:t>
            </w:r>
            <w:proofErr w:type="spellStart"/>
            <w:r w:rsidR="00983FBE" w:rsidRPr="00E16672">
              <w:rPr>
                <w:rFonts w:ascii="Times New Roman" w:hAnsi="Times New Roman"/>
                <w:sz w:val="16"/>
                <w:szCs w:val="16"/>
              </w:rPr>
              <w:t>утримувач</w:t>
            </w:r>
            <w:proofErr w:type="spellEnd"/>
            <w:r w:rsidR="00983FBE" w:rsidRPr="00E16672">
              <w:rPr>
                <w:rFonts w:ascii="Times New Roman" w:hAnsi="Times New Roman"/>
                <w:sz w:val="16"/>
                <w:szCs w:val="16"/>
              </w:rPr>
              <w:t xml:space="preserve"> </w:t>
            </w:r>
            <w:proofErr w:type="spellStart"/>
            <w:r w:rsidR="00983FBE" w:rsidRPr="00E16672">
              <w:rPr>
                <w:rFonts w:ascii="Times New Roman" w:hAnsi="Times New Roman"/>
                <w:sz w:val="16"/>
                <w:szCs w:val="16"/>
              </w:rPr>
              <w:t>ще</w:t>
            </w:r>
            <w:proofErr w:type="spellEnd"/>
            <w:r w:rsidR="00983FBE" w:rsidRPr="00E16672">
              <w:rPr>
                <w:rFonts w:ascii="Times New Roman" w:hAnsi="Times New Roman"/>
                <w:sz w:val="16"/>
                <w:szCs w:val="16"/>
              </w:rPr>
              <w:t xml:space="preserve"> не </w:t>
            </w:r>
            <w:proofErr w:type="spellStart"/>
            <w:r w:rsidR="00983FBE" w:rsidRPr="00E16672">
              <w:rPr>
                <w:rFonts w:ascii="Times New Roman" w:hAnsi="Times New Roman"/>
                <w:sz w:val="16"/>
                <w:szCs w:val="16"/>
              </w:rPr>
              <w:t>був</w:t>
            </w:r>
            <w:proofErr w:type="spellEnd"/>
            <w:r w:rsidR="00983FBE" w:rsidRPr="00E16672">
              <w:rPr>
                <w:rFonts w:ascii="Times New Roman" w:hAnsi="Times New Roman"/>
                <w:sz w:val="16"/>
                <w:szCs w:val="16"/>
              </w:rPr>
              <w:t xml:space="preserve"> </w:t>
            </w:r>
            <w:proofErr w:type="spellStart"/>
            <w:r w:rsidR="00983FBE" w:rsidRPr="00E16672">
              <w:rPr>
                <w:rFonts w:ascii="Times New Roman" w:hAnsi="Times New Roman"/>
                <w:sz w:val="16"/>
                <w:szCs w:val="16"/>
              </w:rPr>
              <w:t>ідентифікований</w:t>
            </w:r>
            <w:proofErr w:type="spellEnd"/>
            <w:r w:rsidR="00983FBE" w:rsidRPr="00E16672">
              <w:rPr>
                <w:rFonts w:ascii="Times New Roman" w:hAnsi="Times New Roman"/>
                <w:sz w:val="16"/>
                <w:szCs w:val="16"/>
              </w:rPr>
              <w:t xml:space="preserve"> та </w:t>
            </w:r>
            <w:proofErr w:type="spellStart"/>
            <w:r w:rsidR="00983FBE" w:rsidRPr="00E16672">
              <w:rPr>
                <w:rFonts w:ascii="Times New Roman" w:hAnsi="Times New Roman"/>
                <w:sz w:val="16"/>
                <w:szCs w:val="16"/>
              </w:rPr>
              <w:t>верифікований</w:t>
            </w:r>
            <w:proofErr w:type="spellEnd"/>
            <w:r w:rsidR="00983FBE" w:rsidRPr="00E16672">
              <w:rPr>
                <w:rFonts w:ascii="Times New Roman" w:hAnsi="Times New Roman"/>
                <w:sz w:val="16"/>
                <w:szCs w:val="16"/>
              </w:rPr>
              <w:t xml:space="preserve"> депозитарною </w:t>
            </w:r>
            <w:proofErr w:type="spellStart"/>
            <w:r w:rsidR="00983FBE" w:rsidRPr="00E16672">
              <w:rPr>
                <w:rFonts w:ascii="Times New Roman" w:hAnsi="Times New Roman"/>
                <w:sz w:val="16"/>
                <w:szCs w:val="16"/>
              </w:rPr>
              <w:t>установою</w:t>
            </w:r>
            <w:proofErr w:type="spellEnd"/>
            <w:r w:rsidR="00983FBE" w:rsidRPr="00E16672">
              <w:rPr>
                <w:rFonts w:ascii="Times New Roman" w:hAnsi="Times New Roman"/>
                <w:sz w:val="16"/>
                <w:szCs w:val="16"/>
              </w:rPr>
              <w:t>)</w:t>
            </w:r>
            <w:r w:rsidRPr="00E16672">
              <w:rPr>
                <w:rFonts w:ascii="Times New Roman" w:eastAsia="Arial" w:hAnsi="Times New Roman"/>
                <w:sz w:val="16"/>
                <w:szCs w:val="16"/>
              </w:rPr>
              <w:t xml:space="preserve">. </w:t>
            </w:r>
            <w:proofErr w:type="spellStart"/>
            <w:r w:rsidRPr="00E16672">
              <w:rPr>
                <w:rFonts w:ascii="Times New Roman" w:eastAsia="Arial" w:hAnsi="Times New Roman"/>
                <w:sz w:val="16"/>
                <w:szCs w:val="16"/>
              </w:rPr>
              <w:t>Якщо</w:t>
            </w:r>
            <w:proofErr w:type="spellEnd"/>
            <w:r w:rsidRPr="00E16672">
              <w:rPr>
                <w:rFonts w:ascii="Times New Roman" w:eastAsia="Arial" w:hAnsi="Times New Roman"/>
                <w:sz w:val="16"/>
                <w:szCs w:val="16"/>
              </w:rPr>
              <w:t xml:space="preserve"> </w:t>
            </w:r>
            <w:r w:rsidR="00C42851" w:rsidRPr="00E16672">
              <w:rPr>
                <w:rFonts w:ascii="Times New Roman" w:eastAsia="Arial" w:hAnsi="Times New Roman"/>
                <w:sz w:val="16"/>
                <w:szCs w:val="16"/>
                <w:lang w:val="uk-UA"/>
              </w:rPr>
              <w:t>Номінальний утримувач</w:t>
            </w:r>
            <w:r w:rsidRPr="00E16672">
              <w:rPr>
                <w:rFonts w:ascii="Times New Roman" w:eastAsia="Arial" w:hAnsi="Times New Roman"/>
                <w:sz w:val="16"/>
                <w:szCs w:val="16"/>
              </w:rPr>
              <w:t xml:space="preserve"> є </w:t>
            </w:r>
            <w:proofErr w:type="spellStart"/>
            <w:r w:rsidRPr="00E16672">
              <w:rPr>
                <w:rFonts w:ascii="Times New Roman" w:eastAsia="Arial" w:hAnsi="Times New Roman"/>
                <w:sz w:val="16"/>
                <w:szCs w:val="16"/>
              </w:rPr>
              <w:t>платником</w:t>
            </w:r>
            <w:proofErr w:type="spellEnd"/>
            <w:r w:rsidRPr="00E16672">
              <w:rPr>
                <w:rFonts w:ascii="Times New Roman" w:eastAsia="Arial" w:hAnsi="Times New Roman"/>
                <w:sz w:val="16"/>
                <w:szCs w:val="16"/>
              </w:rPr>
              <w:t xml:space="preserve"> </w:t>
            </w:r>
            <w:proofErr w:type="spellStart"/>
            <w:r w:rsidRPr="00E16672">
              <w:rPr>
                <w:rFonts w:ascii="Times New Roman" w:eastAsia="Arial" w:hAnsi="Times New Roman"/>
                <w:sz w:val="16"/>
                <w:szCs w:val="16"/>
              </w:rPr>
              <w:t>податків</w:t>
            </w:r>
            <w:proofErr w:type="spellEnd"/>
            <w:r w:rsidRPr="00E16672">
              <w:rPr>
                <w:rFonts w:ascii="Times New Roman" w:eastAsia="Arial" w:hAnsi="Times New Roman"/>
                <w:sz w:val="16"/>
                <w:szCs w:val="16"/>
              </w:rPr>
              <w:t xml:space="preserve"> в </w:t>
            </w:r>
            <w:proofErr w:type="spellStart"/>
            <w:r w:rsidRPr="00E16672">
              <w:rPr>
                <w:rFonts w:ascii="Times New Roman" w:eastAsia="Arial" w:hAnsi="Times New Roman"/>
                <w:sz w:val="16"/>
                <w:szCs w:val="16"/>
              </w:rPr>
              <w:t>Україні</w:t>
            </w:r>
            <w:proofErr w:type="spellEnd"/>
            <w:r w:rsidRPr="00E16672">
              <w:rPr>
                <w:rFonts w:ascii="Times New Roman" w:eastAsia="Arial" w:hAnsi="Times New Roman"/>
                <w:sz w:val="16"/>
                <w:szCs w:val="16"/>
              </w:rPr>
              <w:t xml:space="preserve">, </w:t>
            </w:r>
            <w:proofErr w:type="spellStart"/>
            <w:r w:rsidRPr="00E16672">
              <w:rPr>
                <w:rFonts w:ascii="Times New Roman" w:eastAsia="Arial" w:hAnsi="Times New Roman"/>
                <w:sz w:val="16"/>
                <w:szCs w:val="16"/>
              </w:rPr>
              <w:t>видаткові</w:t>
            </w:r>
            <w:proofErr w:type="spellEnd"/>
            <w:r w:rsidRPr="00E16672">
              <w:rPr>
                <w:rFonts w:ascii="Times New Roman" w:eastAsia="Arial" w:hAnsi="Times New Roman"/>
                <w:sz w:val="16"/>
                <w:szCs w:val="16"/>
              </w:rPr>
              <w:t xml:space="preserve"> </w:t>
            </w:r>
            <w:proofErr w:type="spellStart"/>
            <w:r w:rsidRPr="00E16672">
              <w:rPr>
                <w:rFonts w:ascii="Times New Roman" w:eastAsia="Arial" w:hAnsi="Times New Roman"/>
                <w:sz w:val="16"/>
                <w:szCs w:val="16"/>
              </w:rPr>
              <w:t>операції</w:t>
            </w:r>
            <w:proofErr w:type="spellEnd"/>
            <w:r w:rsidRPr="00E16672">
              <w:rPr>
                <w:rFonts w:ascii="Times New Roman" w:eastAsia="Arial" w:hAnsi="Times New Roman"/>
                <w:sz w:val="16"/>
                <w:szCs w:val="16"/>
              </w:rPr>
              <w:t xml:space="preserve"> на </w:t>
            </w:r>
            <w:proofErr w:type="spellStart"/>
            <w:r w:rsidRPr="00E16672">
              <w:rPr>
                <w:rFonts w:ascii="Times New Roman" w:eastAsia="Arial" w:hAnsi="Times New Roman"/>
                <w:sz w:val="16"/>
                <w:szCs w:val="16"/>
              </w:rPr>
              <w:t>рахунку</w:t>
            </w:r>
            <w:proofErr w:type="spellEnd"/>
            <w:r w:rsidRPr="00E16672">
              <w:rPr>
                <w:rFonts w:ascii="Times New Roman" w:eastAsia="Arial" w:hAnsi="Times New Roman"/>
                <w:sz w:val="16"/>
                <w:szCs w:val="16"/>
              </w:rPr>
              <w:t xml:space="preserve"> </w:t>
            </w:r>
            <w:r w:rsidR="00C22309" w:rsidRPr="00E16672">
              <w:rPr>
                <w:rFonts w:ascii="Times New Roman" w:eastAsia="Arial" w:hAnsi="Times New Roman"/>
                <w:sz w:val="16"/>
                <w:szCs w:val="16"/>
              </w:rPr>
              <w:t xml:space="preserve">в </w:t>
            </w:r>
            <w:proofErr w:type="spellStart"/>
            <w:r w:rsidR="00C22309" w:rsidRPr="00E16672">
              <w:rPr>
                <w:rFonts w:ascii="Times New Roman" w:eastAsia="Arial" w:hAnsi="Times New Roman"/>
                <w:sz w:val="16"/>
                <w:szCs w:val="16"/>
              </w:rPr>
              <w:t>цін</w:t>
            </w:r>
            <w:r w:rsidRPr="00E16672">
              <w:rPr>
                <w:rFonts w:ascii="Times New Roman" w:eastAsia="Arial" w:hAnsi="Times New Roman"/>
                <w:sz w:val="16"/>
                <w:szCs w:val="16"/>
              </w:rPr>
              <w:t>них</w:t>
            </w:r>
            <w:proofErr w:type="spellEnd"/>
            <w:r w:rsidRPr="00E16672">
              <w:rPr>
                <w:rFonts w:ascii="Times New Roman" w:eastAsia="Arial" w:hAnsi="Times New Roman"/>
                <w:sz w:val="16"/>
                <w:szCs w:val="16"/>
              </w:rPr>
              <w:t xml:space="preserve"> </w:t>
            </w:r>
            <w:proofErr w:type="spellStart"/>
            <w:r w:rsidRPr="00E16672">
              <w:rPr>
                <w:rFonts w:ascii="Times New Roman" w:eastAsia="Arial" w:hAnsi="Times New Roman"/>
                <w:sz w:val="16"/>
                <w:szCs w:val="16"/>
              </w:rPr>
              <w:t>паперах</w:t>
            </w:r>
            <w:proofErr w:type="spellEnd"/>
            <w:r w:rsidRPr="00E16672">
              <w:rPr>
                <w:rFonts w:ascii="Times New Roman" w:eastAsia="Arial" w:hAnsi="Times New Roman"/>
                <w:sz w:val="16"/>
                <w:szCs w:val="16"/>
              </w:rPr>
              <w:t xml:space="preserve"> </w:t>
            </w:r>
            <w:proofErr w:type="spellStart"/>
            <w:r w:rsidRPr="00E16672">
              <w:rPr>
                <w:rFonts w:ascii="Times New Roman" w:eastAsia="Arial" w:hAnsi="Times New Roman"/>
                <w:sz w:val="16"/>
                <w:szCs w:val="16"/>
              </w:rPr>
              <w:t>здійснюються</w:t>
            </w:r>
            <w:proofErr w:type="spellEnd"/>
            <w:r w:rsidRPr="00E16672">
              <w:rPr>
                <w:rFonts w:ascii="Times New Roman" w:eastAsia="Arial" w:hAnsi="Times New Roman"/>
                <w:sz w:val="16"/>
                <w:szCs w:val="16"/>
              </w:rPr>
              <w:t xml:space="preserve"> </w:t>
            </w:r>
            <w:proofErr w:type="spellStart"/>
            <w:r w:rsidRPr="00E16672">
              <w:rPr>
                <w:rFonts w:ascii="Times New Roman" w:eastAsia="Arial" w:hAnsi="Times New Roman"/>
                <w:sz w:val="16"/>
                <w:szCs w:val="16"/>
              </w:rPr>
              <w:t>після</w:t>
            </w:r>
            <w:proofErr w:type="spellEnd"/>
            <w:r w:rsidRPr="00E16672">
              <w:rPr>
                <w:rFonts w:ascii="Times New Roman" w:eastAsia="Arial" w:hAnsi="Times New Roman"/>
                <w:sz w:val="16"/>
                <w:szCs w:val="16"/>
              </w:rPr>
              <w:t xml:space="preserve"> </w:t>
            </w:r>
            <w:proofErr w:type="spellStart"/>
            <w:r w:rsidRPr="00E16672">
              <w:rPr>
                <w:rFonts w:ascii="Times New Roman" w:eastAsia="Arial" w:hAnsi="Times New Roman"/>
                <w:sz w:val="16"/>
                <w:szCs w:val="16"/>
              </w:rPr>
              <w:t>узяття</w:t>
            </w:r>
            <w:proofErr w:type="spellEnd"/>
            <w:r w:rsidRPr="00E16672">
              <w:rPr>
                <w:rFonts w:ascii="Times New Roman" w:eastAsia="Arial" w:hAnsi="Times New Roman"/>
                <w:sz w:val="16"/>
                <w:szCs w:val="16"/>
              </w:rPr>
              <w:t xml:space="preserve"> </w:t>
            </w:r>
            <w:proofErr w:type="spellStart"/>
            <w:r w:rsidRPr="00E16672">
              <w:rPr>
                <w:rFonts w:ascii="Times New Roman" w:eastAsia="Arial" w:hAnsi="Times New Roman"/>
                <w:sz w:val="16"/>
                <w:szCs w:val="16"/>
              </w:rPr>
              <w:t>рахунку</w:t>
            </w:r>
            <w:proofErr w:type="spellEnd"/>
            <w:r w:rsidRPr="00E16672">
              <w:rPr>
                <w:rFonts w:ascii="Times New Roman" w:eastAsia="Arial" w:hAnsi="Times New Roman"/>
                <w:sz w:val="16"/>
                <w:szCs w:val="16"/>
              </w:rPr>
              <w:t xml:space="preserve"> на </w:t>
            </w:r>
            <w:proofErr w:type="spellStart"/>
            <w:r w:rsidRPr="00E16672">
              <w:rPr>
                <w:rFonts w:ascii="Times New Roman" w:eastAsia="Arial" w:hAnsi="Times New Roman"/>
                <w:sz w:val="16"/>
                <w:szCs w:val="16"/>
              </w:rPr>
              <w:t>облік</w:t>
            </w:r>
            <w:proofErr w:type="spellEnd"/>
            <w:r w:rsidRPr="00E16672">
              <w:rPr>
                <w:rFonts w:ascii="Times New Roman" w:eastAsia="Arial" w:hAnsi="Times New Roman"/>
                <w:sz w:val="16"/>
                <w:szCs w:val="16"/>
              </w:rPr>
              <w:t xml:space="preserve"> в органах </w:t>
            </w:r>
            <w:proofErr w:type="spellStart"/>
            <w:r w:rsidRPr="00E16672">
              <w:rPr>
                <w:rFonts w:ascii="Times New Roman" w:eastAsia="Arial" w:hAnsi="Times New Roman"/>
                <w:sz w:val="16"/>
                <w:szCs w:val="16"/>
              </w:rPr>
              <w:t>державної</w:t>
            </w:r>
            <w:proofErr w:type="spellEnd"/>
            <w:r w:rsidRPr="00E16672">
              <w:rPr>
                <w:rFonts w:ascii="Times New Roman" w:eastAsia="Arial" w:hAnsi="Times New Roman"/>
                <w:sz w:val="16"/>
                <w:szCs w:val="16"/>
              </w:rPr>
              <w:t xml:space="preserve"> </w:t>
            </w:r>
            <w:proofErr w:type="spellStart"/>
            <w:r w:rsidRPr="00E16672">
              <w:rPr>
                <w:rFonts w:ascii="Times New Roman" w:eastAsia="Arial" w:hAnsi="Times New Roman"/>
                <w:sz w:val="16"/>
                <w:szCs w:val="16"/>
              </w:rPr>
              <w:t>податкової</w:t>
            </w:r>
            <w:proofErr w:type="spellEnd"/>
            <w:r w:rsidRPr="00E16672">
              <w:rPr>
                <w:rFonts w:ascii="Times New Roman" w:eastAsia="Arial" w:hAnsi="Times New Roman"/>
                <w:sz w:val="16"/>
                <w:szCs w:val="16"/>
              </w:rPr>
              <w:t xml:space="preserve"> </w:t>
            </w:r>
            <w:proofErr w:type="spellStart"/>
            <w:r w:rsidRPr="00E16672">
              <w:rPr>
                <w:rFonts w:ascii="Times New Roman" w:eastAsia="Arial" w:hAnsi="Times New Roman"/>
                <w:sz w:val="16"/>
                <w:szCs w:val="16"/>
              </w:rPr>
              <w:t>служби</w:t>
            </w:r>
            <w:proofErr w:type="spellEnd"/>
            <w:r w:rsidRPr="00E16672">
              <w:rPr>
                <w:rFonts w:ascii="Times New Roman" w:eastAsia="Arial" w:hAnsi="Times New Roman"/>
                <w:sz w:val="16"/>
                <w:szCs w:val="16"/>
              </w:rPr>
              <w:t>.</w:t>
            </w:r>
          </w:p>
        </w:tc>
        <w:tc>
          <w:tcPr>
            <w:tcW w:w="5495" w:type="dxa"/>
            <w:gridSpan w:val="8"/>
            <w:shd w:val="clear" w:color="auto" w:fill="auto"/>
          </w:tcPr>
          <w:p w14:paraId="002DE2DA" w14:textId="77777777" w:rsidR="00EB25FE" w:rsidRPr="00E16672" w:rsidRDefault="00EB25FE" w:rsidP="00794B3F">
            <w:pPr>
              <w:snapToGrid w:val="0"/>
              <w:ind w:left="145" w:right="100"/>
              <w:jc w:val="center"/>
              <w:rPr>
                <w:rFonts w:ascii="Times New Roman" w:hAnsi="Times New Roman"/>
                <w:b/>
                <w:bCs/>
                <w:caps/>
                <w:sz w:val="16"/>
                <w:szCs w:val="16"/>
                <w:lang w:val="en-US"/>
              </w:rPr>
            </w:pPr>
            <w:r w:rsidRPr="00E16672">
              <w:rPr>
                <w:rFonts w:ascii="Times New Roman" w:hAnsi="Times New Roman"/>
                <w:b/>
                <w:bCs/>
                <w:sz w:val="16"/>
                <w:szCs w:val="16"/>
                <w:lang w:val="en-GB"/>
              </w:rPr>
              <w:t>2</w:t>
            </w:r>
            <w:r w:rsidRPr="00E16672">
              <w:rPr>
                <w:rFonts w:ascii="Times New Roman" w:hAnsi="Times New Roman"/>
                <w:b/>
                <w:bCs/>
                <w:sz w:val="16"/>
                <w:szCs w:val="16"/>
                <w:lang w:val="en-US"/>
              </w:rPr>
              <w:t xml:space="preserve">. </w:t>
            </w:r>
            <w:r w:rsidRPr="00E16672">
              <w:rPr>
                <w:rFonts w:ascii="Times New Roman" w:hAnsi="Times New Roman"/>
                <w:b/>
                <w:bCs/>
                <w:caps/>
                <w:sz w:val="16"/>
                <w:szCs w:val="16"/>
                <w:lang w:val="en-US"/>
              </w:rPr>
              <w:t>RIGHTS and RESPONSIBILITIES of the Parties</w:t>
            </w:r>
          </w:p>
          <w:p w14:paraId="7B647E5D" w14:textId="77777777" w:rsidR="00EB25FE" w:rsidRPr="00E16672" w:rsidRDefault="00EB25FE" w:rsidP="00794B3F">
            <w:pPr>
              <w:ind w:left="145" w:right="100"/>
              <w:jc w:val="center"/>
              <w:rPr>
                <w:rFonts w:ascii="Times New Roman" w:hAnsi="Times New Roman"/>
                <w:b/>
                <w:bCs/>
                <w:sz w:val="16"/>
                <w:szCs w:val="16"/>
                <w:lang w:val="en-US"/>
              </w:rPr>
            </w:pPr>
          </w:p>
          <w:p w14:paraId="5950A654" w14:textId="77777777" w:rsidR="00EB25FE" w:rsidRPr="00E16672" w:rsidRDefault="00EB25FE" w:rsidP="008C59B2">
            <w:pPr>
              <w:ind w:left="145" w:right="100" w:firstLine="3"/>
              <w:rPr>
                <w:rFonts w:ascii="Times New Roman" w:hAnsi="Times New Roman"/>
                <w:b/>
                <w:bCs/>
                <w:sz w:val="16"/>
                <w:szCs w:val="16"/>
                <w:lang w:val="en-US"/>
              </w:rPr>
            </w:pPr>
            <w:r w:rsidRPr="00E16672">
              <w:rPr>
                <w:rFonts w:ascii="Times New Roman" w:hAnsi="Times New Roman"/>
                <w:b/>
                <w:bCs/>
                <w:sz w:val="16"/>
                <w:szCs w:val="16"/>
                <w:lang w:val="en-US"/>
              </w:rPr>
              <w:t>2.1. Depository institution shall be obliged:</w:t>
            </w:r>
          </w:p>
          <w:p w14:paraId="0609C600" w14:textId="77777777" w:rsidR="00EB25FE" w:rsidRPr="00E16672" w:rsidRDefault="00EB25FE" w:rsidP="00794B3F">
            <w:pPr>
              <w:ind w:left="145" w:right="100"/>
              <w:rPr>
                <w:rFonts w:ascii="Times New Roman" w:hAnsi="Times New Roman"/>
                <w:b/>
                <w:bCs/>
                <w:sz w:val="16"/>
                <w:szCs w:val="16"/>
                <w:lang w:val="en-US"/>
              </w:rPr>
            </w:pPr>
          </w:p>
          <w:p w14:paraId="3FFDAD8A" w14:textId="77777777" w:rsidR="00EB25FE" w:rsidRPr="00E16672" w:rsidRDefault="00EB25FE" w:rsidP="00794B3F">
            <w:pPr>
              <w:pStyle w:val="23"/>
              <w:ind w:left="145" w:right="100" w:firstLine="0"/>
              <w:rPr>
                <w:rFonts w:ascii="Times New Roman" w:eastAsia="Arial" w:hAnsi="Times New Roman"/>
                <w:sz w:val="16"/>
                <w:szCs w:val="16"/>
                <w:lang w:val="en-US"/>
              </w:rPr>
            </w:pPr>
            <w:r w:rsidRPr="00E16672">
              <w:rPr>
                <w:rFonts w:ascii="Times New Roman" w:eastAsia="Arial" w:hAnsi="Times New Roman"/>
                <w:sz w:val="16"/>
                <w:szCs w:val="16"/>
                <w:lang w:val="en-US"/>
              </w:rPr>
              <w:t xml:space="preserve">2.1.1. To open for </w:t>
            </w:r>
            <w:r w:rsidR="00C42851" w:rsidRPr="00E16672">
              <w:rPr>
                <w:rFonts w:ascii="Times New Roman" w:eastAsia="Arial" w:hAnsi="Times New Roman"/>
                <w:sz w:val="16"/>
                <w:szCs w:val="16"/>
                <w:lang w:val="en-US"/>
              </w:rPr>
              <w:t>Nominal holder</w:t>
            </w:r>
            <w:r w:rsidRPr="00E16672">
              <w:rPr>
                <w:rFonts w:ascii="Times New Roman" w:eastAsia="Arial" w:hAnsi="Times New Roman"/>
                <w:sz w:val="16"/>
                <w:szCs w:val="16"/>
                <w:lang w:val="en-US"/>
              </w:rPr>
              <w:t xml:space="preserve"> the account</w:t>
            </w:r>
            <w:r w:rsidR="00983FBE" w:rsidRPr="00E16672">
              <w:rPr>
                <w:rFonts w:ascii="Times New Roman" w:eastAsia="Arial" w:hAnsi="Times New Roman"/>
                <w:sz w:val="16"/>
                <w:szCs w:val="16"/>
                <w:lang w:val="en-US"/>
              </w:rPr>
              <w:t xml:space="preserve"> (accounts)_</w:t>
            </w:r>
            <w:r w:rsidRPr="00E16672">
              <w:rPr>
                <w:rFonts w:ascii="Times New Roman" w:eastAsia="Arial" w:hAnsi="Times New Roman"/>
                <w:sz w:val="16"/>
                <w:szCs w:val="16"/>
                <w:lang w:val="en-US"/>
              </w:rPr>
              <w:t xml:space="preserve"> in securities </w:t>
            </w:r>
            <w:r w:rsidR="00983FBE" w:rsidRPr="00E16672">
              <w:rPr>
                <w:rFonts w:ascii="Times New Roman" w:eastAsia="Arial" w:hAnsi="Times New Roman"/>
                <w:sz w:val="16"/>
                <w:szCs w:val="16"/>
                <w:lang w:val="en-US"/>
              </w:rPr>
              <w:t>during</w:t>
            </w:r>
            <w:r w:rsidRPr="00E16672">
              <w:rPr>
                <w:rFonts w:ascii="Times New Roman" w:eastAsia="Arial" w:hAnsi="Times New Roman"/>
                <w:sz w:val="16"/>
                <w:szCs w:val="16"/>
                <w:lang w:val="en-US"/>
              </w:rPr>
              <w:t xml:space="preserve"> five working days after the receiving the documents, </w:t>
            </w:r>
            <w:proofErr w:type="spellStart"/>
            <w:r w:rsidRPr="00E16672">
              <w:rPr>
                <w:rFonts w:ascii="Times New Roman" w:eastAsia="Arial" w:hAnsi="Times New Roman"/>
                <w:sz w:val="16"/>
                <w:szCs w:val="16"/>
                <w:lang w:val="en-US"/>
              </w:rPr>
              <w:t>definited</w:t>
            </w:r>
            <w:proofErr w:type="spellEnd"/>
            <w:r w:rsidRPr="00E16672">
              <w:rPr>
                <w:rFonts w:ascii="Times New Roman" w:eastAsia="Arial" w:hAnsi="Times New Roman"/>
                <w:sz w:val="16"/>
                <w:szCs w:val="16"/>
                <w:lang w:val="en-US"/>
              </w:rPr>
              <w:t xml:space="preserve"> by the legislation documents for open account in securities</w:t>
            </w:r>
            <w:r w:rsidR="00983FBE" w:rsidRPr="00E16672">
              <w:rPr>
                <w:rFonts w:ascii="Times New Roman" w:eastAsia="Arial" w:hAnsi="Times New Roman"/>
                <w:sz w:val="16"/>
                <w:szCs w:val="16"/>
                <w:lang w:val="en-US"/>
              </w:rPr>
              <w:t>, including for its identification and verification (if the nominee holder has not yet been identified and verified by the depositary institution)</w:t>
            </w:r>
            <w:r w:rsidRPr="00E16672">
              <w:rPr>
                <w:rFonts w:ascii="Times New Roman" w:eastAsia="Arial" w:hAnsi="Times New Roman"/>
                <w:sz w:val="16"/>
                <w:szCs w:val="16"/>
                <w:lang w:val="en-US"/>
              </w:rPr>
              <w:t xml:space="preserve">. If the </w:t>
            </w:r>
            <w:r w:rsidR="00C42851" w:rsidRPr="00E16672">
              <w:rPr>
                <w:rFonts w:ascii="Times New Roman" w:hAnsi="Times New Roman"/>
                <w:sz w:val="16"/>
                <w:szCs w:val="16"/>
                <w:lang w:val="en-GB"/>
              </w:rPr>
              <w:t>Nominal holder</w:t>
            </w:r>
            <w:r w:rsidRPr="00E16672">
              <w:rPr>
                <w:rFonts w:ascii="Times New Roman" w:eastAsia="Arial" w:hAnsi="Times New Roman"/>
                <w:sz w:val="16"/>
                <w:szCs w:val="16"/>
                <w:lang w:val="en-US"/>
              </w:rPr>
              <w:t xml:space="preserve"> is a taxpayer in Ukraine, expenditure operations on a securities account made after taking account registered in the State Tax Service.</w:t>
            </w:r>
          </w:p>
          <w:p w14:paraId="01F7622D" w14:textId="77777777" w:rsidR="00EB25FE" w:rsidRPr="00E16672" w:rsidRDefault="00EB25FE" w:rsidP="00794B3F">
            <w:pPr>
              <w:pStyle w:val="23"/>
              <w:ind w:left="145" w:right="100" w:firstLine="0"/>
              <w:rPr>
                <w:rFonts w:ascii="Times New Roman" w:hAnsi="Times New Roman"/>
                <w:sz w:val="16"/>
                <w:szCs w:val="16"/>
                <w:lang w:val="en-US"/>
              </w:rPr>
            </w:pPr>
          </w:p>
        </w:tc>
      </w:tr>
      <w:tr w:rsidR="00EB25FE" w:rsidRPr="00F23413" w14:paraId="33E25152" w14:textId="77777777" w:rsidTr="005E418B">
        <w:tblPrEx>
          <w:tblCellMar>
            <w:left w:w="0" w:type="dxa"/>
            <w:right w:w="0" w:type="dxa"/>
          </w:tblCellMar>
        </w:tblPrEx>
        <w:trPr>
          <w:trHeight w:val="192"/>
        </w:trPr>
        <w:tc>
          <w:tcPr>
            <w:tcW w:w="5695" w:type="dxa"/>
            <w:gridSpan w:val="7"/>
            <w:shd w:val="clear" w:color="auto" w:fill="auto"/>
          </w:tcPr>
          <w:p w14:paraId="1ED523A2" w14:textId="77777777" w:rsidR="00EB25FE" w:rsidRPr="00E16672" w:rsidRDefault="00EB25FE" w:rsidP="00794B3F">
            <w:pPr>
              <w:tabs>
                <w:tab w:val="left" w:pos="993"/>
              </w:tabs>
              <w:snapToGrid w:val="0"/>
              <w:ind w:left="142" w:right="138" w:firstLine="40"/>
              <w:rPr>
                <w:rFonts w:ascii="Times New Roman" w:eastAsia="Arial" w:hAnsi="Times New Roman"/>
                <w:strike/>
                <w:color w:val="FF0000"/>
                <w:sz w:val="16"/>
                <w:szCs w:val="16"/>
                <w:lang w:val="en-US"/>
              </w:rPr>
            </w:pPr>
            <w:r w:rsidRPr="00E16672">
              <w:rPr>
                <w:rFonts w:ascii="Times New Roman" w:eastAsia="Arial" w:hAnsi="Times New Roman"/>
                <w:sz w:val="16"/>
                <w:szCs w:val="16"/>
                <w:lang w:val="en-US"/>
              </w:rPr>
              <w:t xml:space="preserve">2.1.2. </w:t>
            </w:r>
            <w:r w:rsidRPr="00E16672">
              <w:rPr>
                <w:rFonts w:ascii="Times New Roman" w:hAnsi="Times New Roman"/>
                <w:sz w:val="16"/>
                <w:szCs w:val="16"/>
                <w:lang w:val="uk-UA"/>
              </w:rPr>
              <w:t xml:space="preserve">Ознайомити </w:t>
            </w:r>
            <w:r w:rsidR="00C42851" w:rsidRPr="00E16672">
              <w:rPr>
                <w:rFonts w:ascii="Times New Roman" w:hAnsi="Times New Roman"/>
                <w:sz w:val="16"/>
                <w:szCs w:val="16"/>
                <w:lang w:val="uk-UA"/>
              </w:rPr>
              <w:t>Номінального утримувача</w:t>
            </w:r>
            <w:r w:rsidRPr="00E16672">
              <w:rPr>
                <w:rFonts w:ascii="Times New Roman" w:hAnsi="Times New Roman"/>
                <w:sz w:val="16"/>
                <w:szCs w:val="16"/>
                <w:lang w:val="uk-UA"/>
              </w:rPr>
              <w:t xml:space="preserve"> з внутрішніми документами (витягами з внутрішніх документів, діючими тарифами</w:t>
            </w:r>
            <w:r w:rsidRPr="00E16672">
              <w:rPr>
                <w:rFonts w:ascii="Times New Roman" w:hAnsi="Times New Roman"/>
                <w:bCs/>
                <w:sz w:val="16"/>
                <w:szCs w:val="16"/>
                <w:lang w:val="uk-UA"/>
              </w:rPr>
              <w:t xml:space="preserve"> на депозитарні операції з цінними паперами Депозитарної установи (далі – тарифи Депозитарної установи)</w:t>
            </w:r>
            <w:r w:rsidRPr="00E16672">
              <w:rPr>
                <w:rFonts w:ascii="Times New Roman" w:hAnsi="Times New Roman"/>
                <w:sz w:val="16"/>
                <w:szCs w:val="16"/>
                <w:lang w:val="uk-UA"/>
              </w:rPr>
              <w:t xml:space="preserve">, що є чинними на час підписання цього Договору) Депозитарної установи, які регламентують відносини </w:t>
            </w:r>
            <w:r w:rsidR="00C42851" w:rsidRPr="00E16672">
              <w:rPr>
                <w:rFonts w:ascii="Times New Roman" w:hAnsi="Times New Roman"/>
                <w:sz w:val="16"/>
                <w:szCs w:val="16"/>
                <w:lang w:val="uk-UA"/>
              </w:rPr>
              <w:t>Номінального утримувача</w:t>
            </w:r>
            <w:r w:rsidRPr="00E16672">
              <w:rPr>
                <w:rFonts w:ascii="Times New Roman" w:hAnsi="Times New Roman"/>
                <w:sz w:val="16"/>
                <w:szCs w:val="16"/>
                <w:lang w:val="uk-UA"/>
              </w:rPr>
              <w:t xml:space="preserve"> та Депозитарної установи стосовно порядку виконання розпоряджень </w:t>
            </w:r>
            <w:r w:rsidR="00C42851" w:rsidRPr="00E16672">
              <w:rPr>
                <w:rFonts w:ascii="Times New Roman" w:hAnsi="Times New Roman"/>
                <w:sz w:val="16"/>
                <w:szCs w:val="16"/>
                <w:lang w:val="uk-UA"/>
              </w:rPr>
              <w:t>Номінального утримувача</w:t>
            </w:r>
            <w:r w:rsidRPr="00E16672">
              <w:rPr>
                <w:rFonts w:ascii="Times New Roman" w:hAnsi="Times New Roman"/>
                <w:sz w:val="16"/>
                <w:szCs w:val="16"/>
                <w:lang w:val="uk-UA"/>
              </w:rPr>
              <w:t xml:space="preserve">, отримання виписок про стан рахунку </w:t>
            </w:r>
            <w:r w:rsidR="00C22309" w:rsidRPr="00E16672">
              <w:rPr>
                <w:rFonts w:ascii="Times New Roman" w:hAnsi="Times New Roman"/>
                <w:sz w:val="16"/>
                <w:szCs w:val="16"/>
                <w:lang w:val="uk-UA"/>
              </w:rPr>
              <w:t>в цін</w:t>
            </w:r>
            <w:r w:rsidRPr="00E16672">
              <w:rPr>
                <w:rFonts w:ascii="Times New Roman" w:hAnsi="Times New Roman"/>
                <w:sz w:val="16"/>
                <w:szCs w:val="16"/>
                <w:lang w:val="uk-UA"/>
              </w:rPr>
              <w:t xml:space="preserve">них </w:t>
            </w:r>
            <w:r w:rsidRPr="00E16672">
              <w:rPr>
                <w:rFonts w:ascii="Times New Roman" w:hAnsi="Times New Roman"/>
                <w:color w:val="000000"/>
                <w:sz w:val="16"/>
                <w:szCs w:val="16"/>
                <w:lang w:val="uk-UA"/>
              </w:rPr>
              <w:t xml:space="preserve">паперах </w:t>
            </w:r>
            <w:r w:rsidR="00C42851" w:rsidRPr="00E16672">
              <w:rPr>
                <w:rFonts w:ascii="Times New Roman" w:hAnsi="Times New Roman"/>
                <w:color w:val="000000"/>
                <w:sz w:val="16"/>
                <w:szCs w:val="16"/>
                <w:lang w:val="uk-UA"/>
              </w:rPr>
              <w:t>Номінального утримувача</w:t>
            </w:r>
            <w:r w:rsidRPr="00E16672">
              <w:rPr>
                <w:rFonts w:ascii="Times New Roman" w:hAnsi="Times New Roman"/>
                <w:color w:val="000000"/>
                <w:sz w:val="16"/>
                <w:szCs w:val="16"/>
                <w:lang w:val="uk-UA"/>
              </w:rPr>
              <w:t xml:space="preserve"> та про операції з цінними паперами, інформаційних довідок про незавершені операції з цінними паперами за рахунками в цінних паперах </w:t>
            </w:r>
            <w:r w:rsidR="00C42851" w:rsidRPr="00E16672">
              <w:rPr>
                <w:rFonts w:ascii="Times New Roman" w:hAnsi="Times New Roman"/>
                <w:color w:val="000000"/>
                <w:sz w:val="16"/>
                <w:szCs w:val="16"/>
                <w:lang w:val="uk-UA"/>
              </w:rPr>
              <w:t>Номінального утримувача</w:t>
            </w:r>
            <w:r w:rsidRPr="00E16672">
              <w:rPr>
                <w:rFonts w:ascii="Times New Roman" w:hAnsi="Times New Roman"/>
                <w:color w:val="000000"/>
                <w:sz w:val="16"/>
                <w:szCs w:val="16"/>
                <w:lang w:val="uk-UA"/>
              </w:rPr>
              <w:t xml:space="preserve"> та інших інформаційних довідок, шляхом оприлюднення на </w:t>
            </w:r>
            <w:r w:rsidRPr="00E16672">
              <w:rPr>
                <w:rFonts w:ascii="Times New Roman" w:hAnsi="Times New Roman"/>
                <w:bCs/>
                <w:sz w:val="16"/>
                <w:szCs w:val="16"/>
                <w:lang w:val="uk-UA"/>
              </w:rPr>
              <w:t xml:space="preserve">веб-сторінці Депозитарної установи </w:t>
            </w:r>
            <w:r w:rsidR="00E16672">
              <w:rPr>
                <w:rFonts w:ascii="Times New Roman" w:hAnsi="Times New Roman"/>
                <w:color w:val="000000"/>
                <w:sz w:val="16"/>
                <w:szCs w:val="16"/>
                <w:lang w:val="uk-UA"/>
              </w:rPr>
              <w:t>http://comex.uafin.net</w:t>
            </w:r>
            <w:r w:rsidRPr="00E16672">
              <w:rPr>
                <w:rFonts w:ascii="Times New Roman" w:hAnsi="Times New Roman"/>
                <w:bCs/>
                <w:sz w:val="16"/>
                <w:szCs w:val="16"/>
                <w:lang w:val="uk-UA"/>
              </w:rPr>
              <w:t xml:space="preserve">, та в подальшому ознайомлювати </w:t>
            </w:r>
            <w:r w:rsidR="00C42851" w:rsidRPr="00E16672">
              <w:rPr>
                <w:rFonts w:ascii="Times New Roman" w:hAnsi="Times New Roman"/>
                <w:bCs/>
                <w:sz w:val="16"/>
                <w:szCs w:val="16"/>
                <w:lang w:val="uk-UA"/>
              </w:rPr>
              <w:t>Номінального утримувача</w:t>
            </w:r>
            <w:r w:rsidRPr="00E16672">
              <w:rPr>
                <w:rFonts w:ascii="Times New Roman" w:hAnsi="Times New Roman"/>
                <w:bCs/>
                <w:sz w:val="16"/>
                <w:szCs w:val="16"/>
                <w:lang w:val="uk-UA"/>
              </w:rPr>
              <w:t xml:space="preserve"> зі змінами та доповненнями до цих документів (витягів з внутрішніх документів, діючих тарифів Депозитарної установи) шляхом розміщення протягом </w:t>
            </w:r>
            <w:r w:rsidRPr="00E16672">
              <w:rPr>
                <w:rFonts w:ascii="Times New Roman" w:hAnsi="Times New Roman"/>
                <w:bCs/>
                <w:i/>
                <w:sz w:val="16"/>
                <w:szCs w:val="16"/>
                <w:lang w:val="uk-UA"/>
              </w:rPr>
              <w:t>п'яти</w:t>
            </w:r>
            <w:r w:rsidRPr="00E16672">
              <w:rPr>
                <w:rFonts w:ascii="Times New Roman" w:hAnsi="Times New Roman"/>
                <w:bCs/>
                <w:sz w:val="16"/>
                <w:szCs w:val="16"/>
                <w:lang w:val="uk-UA"/>
              </w:rPr>
              <w:t xml:space="preserve"> робочих днів після затвердження змін відповідної інформації та тексту внутрішніх документів (витягів з внутрішніх документів) на веб-сторінці Депозитарної установи </w:t>
            </w:r>
            <w:r w:rsidR="00E16672">
              <w:rPr>
                <w:rFonts w:ascii="Times New Roman" w:hAnsi="Times New Roman"/>
                <w:color w:val="000000"/>
                <w:sz w:val="16"/>
                <w:szCs w:val="16"/>
                <w:lang w:val="uk-UA"/>
              </w:rPr>
              <w:t>http://comex.uafin.net</w:t>
            </w:r>
            <w:r w:rsidRPr="00E16672">
              <w:rPr>
                <w:rFonts w:ascii="Times New Roman" w:hAnsi="Times New Roman"/>
                <w:bCs/>
                <w:sz w:val="16"/>
                <w:szCs w:val="16"/>
                <w:lang w:val="en-US"/>
              </w:rPr>
              <w:t>.</w:t>
            </w:r>
          </w:p>
          <w:p w14:paraId="71C4C2B3" w14:textId="77777777" w:rsidR="00EB25FE" w:rsidRPr="00E16672" w:rsidRDefault="00EB25FE" w:rsidP="00794B3F">
            <w:pPr>
              <w:pStyle w:val="210"/>
              <w:snapToGrid w:val="0"/>
              <w:ind w:left="142" w:right="138" w:firstLine="40"/>
              <w:rPr>
                <w:rFonts w:ascii="Times New Roman" w:eastAsia="Arial" w:hAnsi="Times New Roman"/>
                <w:sz w:val="16"/>
                <w:szCs w:val="16"/>
              </w:rPr>
            </w:pPr>
          </w:p>
        </w:tc>
        <w:tc>
          <w:tcPr>
            <w:tcW w:w="5495" w:type="dxa"/>
            <w:gridSpan w:val="8"/>
            <w:shd w:val="clear" w:color="auto" w:fill="auto"/>
          </w:tcPr>
          <w:p w14:paraId="246E3B36" w14:textId="77777777" w:rsidR="00EB25FE" w:rsidRPr="00E16672" w:rsidRDefault="00EB25FE" w:rsidP="00794B3F">
            <w:pPr>
              <w:pStyle w:val="23"/>
              <w:snapToGrid w:val="0"/>
              <w:ind w:left="145" w:right="100" w:firstLine="0"/>
              <w:rPr>
                <w:rFonts w:ascii="Times New Roman" w:eastAsia="Arial" w:hAnsi="Times New Roman"/>
                <w:sz w:val="16"/>
                <w:szCs w:val="16"/>
              </w:rPr>
            </w:pPr>
            <w:r w:rsidRPr="00E16672">
              <w:rPr>
                <w:rFonts w:ascii="Times New Roman" w:eastAsia="Arial" w:hAnsi="Times New Roman"/>
                <w:sz w:val="16"/>
                <w:szCs w:val="16"/>
                <w:lang w:val="en-US"/>
              </w:rPr>
              <w:t>2.1.2.</w:t>
            </w:r>
            <w:r w:rsidRPr="00E16672">
              <w:rPr>
                <w:rFonts w:ascii="Times New Roman" w:eastAsia="Arial" w:hAnsi="Times New Roman"/>
                <w:sz w:val="16"/>
                <w:szCs w:val="16"/>
                <w:lang w:val="en-GB"/>
              </w:rPr>
              <w:t xml:space="preserve"> </w:t>
            </w:r>
            <w:r w:rsidRPr="00E16672">
              <w:rPr>
                <w:rFonts w:ascii="Times New Roman" w:eastAsia="Arial" w:hAnsi="Times New Roman"/>
                <w:sz w:val="16"/>
                <w:szCs w:val="16"/>
                <w:lang w:val="en-US"/>
              </w:rPr>
              <w:t xml:space="preserve">To acquaint </w:t>
            </w:r>
            <w:r w:rsidR="00C42851" w:rsidRPr="00E16672">
              <w:rPr>
                <w:rFonts w:ascii="Times New Roman" w:hAnsi="Times New Roman"/>
                <w:sz w:val="16"/>
                <w:szCs w:val="16"/>
                <w:lang w:val="en-GB"/>
              </w:rPr>
              <w:t>Nominal holder</w:t>
            </w:r>
            <w:r w:rsidRPr="00E16672">
              <w:rPr>
                <w:rFonts w:ascii="Times New Roman" w:eastAsia="Arial" w:hAnsi="Times New Roman"/>
                <w:sz w:val="16"/>
                <w:szCs w:val="16"/>
                <w:lang w:val="en-US"/>
              </w:rPr>
              <w:t xml:space="preserve"> with internal documents (excerpts from internal documents, applicable tariffs</w:t>
            </w:r>
            <w:r w:rsidRPr="00E16672">
              <w:rPr>
                <w:rFonts w:ascii="Times New Roman" w:hAnsi="Times New Roman"/>
                <w:b/>
                <w:sz w:val="18"/>
                <w:szCs w:val="18"/>
                <w:lang w:val="en-US"/>
              </w:rPr>
              <w:t xml:space="preserve"> </w:t>
            </w:r>
            <w:r w:rsidRPr="00E16672">
              <w:rPr>
                <w:rFonts w:ascii="Times New Roman" w:hAnsi="Times New Roman"/>
                <w:sz w:val="16"/>
                <w:szCs w:val="18"/>
                <w:lang w:val="en-US"/>
              </w:rPr>
              <w:t>for depositary operations with securities</w:t>
            </w:r>
            <w:r w:rsidRPr="00E16672">
              <w:rPr>
                <w:rFonts w:ascii="Times New Roman" w:hAnsi="Times New Roman"/>
                <w:sz w:val="16"/>
                <w:szCs w:val="18"/>
              </w:rPr>
              <w:t xml:space="preserve"> (</w:t>
            </w:r>
            <w:r w:rsidRPr="00E16672">
              <w:rPr>
                <w:rFonts w:ascii="Times New Roman" w:hAnsi="Times New Roman"/>
                <w:sz w:val="16"/>
                <w:szCs w:val="18"/>
                <w:lang w:val="en-US"/>
              </w:rPr>
              <w:t xml:space="preserve">hereinafter - tariffs of </w:t>
            </w:r>
            <w:r w:rsidRPr="00E16672">
              <w:rPr>
                <w:rFonts w:ascii="Times New Roman" w:hAnsi="Times New Roman"/>
                <w:bCs/>
                <w:sz w:val="16"/>
                <w:szCs w:val="18"/>
                <w:lang w:val="en-US"/>
              </w:rPr>
              <w:t>Depository institution</w:t>
            </w:r>
            <w:r w:rsidRPr="00E16672">
              <w:rPr>
                <w:rFonts w:ascii="Times New Roman" w:hAnsi="Times New Roman"/>
                <w:sz w:val="16"/>
                <w:szCs w:val="18"/>
              </w:rPr>
              <w:t>)</w:t>
            </w:r>
            <w:r w:rsidRPr="00E16672">
              <w:rPr>
                <w:rFonts w:ascii="Times New Roman" w:eastAsia="Arial" w:hAnsi="Times New Roman"/>
                <w:sz w:val="14"/>
                <w:szCs w:val="16"/>
                <w:lang w:val="en-US"/>
              </w:rPr>
              <w:t xml:space="preserve"> </w:t>
            </w:r>
            <w:r w:rsidRPr="00E16672">
              <w:rPr>
                <w:rFonts w:ascii="Times New Roman" w:eastAsia="Arial" w:hAnsi="Times New Roman"/>
                <w:sz w:val="16"/>
                <w:szCs w:val="16"/>
                <w:lang w:val="en-US"/>
              </w:rPr>
              <w:t xml:space="preserve">in force at the time of signature of this Agreement) of Depository institutions that govern the relationship the </w:t>
            </w:r>
            <w:r w:rsidR="00C42851" w:rsidRPr="00E16672">
              <w:rPr>
                <w:rFonts w:ascii="Times New Roman" w:hAnsi="Times New Roman"/>
                <w:sz w:val="16"/>
                <w:szCs w:val="16"/>
                <w:lang w:val="en-GB"/>
              </w:rPr>
              <w:t>Nominal holder</w:t>
            </w:r>
            <w:r w:rsidR="00C42851" w:rsidRPr="00E16672">
              <w:rPr>
                <w:rFonts w:ascii="Times New Roman" w:eastAsia="Arial" w:hAnsi="Times New Roman"/>
                <w:sz w:val="16"/>
                <w:szCs w:val="16"/>
                <w:lang w:val="en-US"/>
              </w:rPr>
              <w:t xml:space="preserve"> </w:t>
            </w:r>
            <w:r w:rsidRPr="00E16672">
              <w:rPr>
                <w:rFonts w:ascii="Times New Roman" w:eastAsia="Arial" w:hAnsi="Times New Roman"/>
                <w:sz w:val="16"/>
                <w:szCs w:val="16"/>
                <w:lang w:val="en-US"/>
              </w:rPr>
              <w:t xml:space="preserve">and Depository institutions with regard to the order of execution of orders of </w:t>
            </w:r>
            <w:r w:rsidR="00C42851" w:rsidRPr="00E16672">
              <w:rPr>
                <w:rFonts w:ascii="Times New Roman" w:hAnsi="Times New Roman"/>
                <w:sz w:val="16"/>
                <w:szCs w:val="16"/>
                <w:lang w:val="en-GB"/>
              </w:rPr>
              <w:t>Nominal holder</w:t>
            </w:r>
            <w:r w:rsidRPr="00E16672">
              <w:rPr>
                <w:rFonts w:ascii="Times New Roman" w:eastAsia="Arial" w:hAnsi="Times New Roman"/>
                <w:sz w:val="16"/>
                <w:szCs w:val="16"/>
                <w:lang w:val="en-US"/>
              </w:rPr>
              <w:t xml:space="preserve">, obtain extracts of account in securities of </w:t>
            </w:r>
            <w:r w:rsidR="00C42851" w:rsidRPr="00E16672">
              <w:rPr>
                <w:rFonts w:ascii="Times New Roman" w:hAnsi="Times New Roman"/>
                <w:sz w:val="16"/>
                <w:szCs w:val="16"/>
                <w:lang w:val="en-GB"/>
              </w:rPr>
              <w:t>Nominal holder</w:t>
            </w:r>
            <w:r w:rsidR="00C42851" w:rsidRPr="00E16672">
              <w:rPr>
                <w:rFonts w:ascii="Times New Roman" w:eastAsia="Arial" w:hAnsi="Times New Roman"/>
                <w:sz w:val="16"/>
                <w:szCs w:val="16"/>
                <w:lang w:val="en-US"/>
              </w:rPr>
              <w:t xml:space="preserve"> </w:t>
            </w:r>
            <w:r w:rsidRPr="00E16672">
              <w:rPr>
                <w:rFonts w:ascii="Times New Roman" w:eastAsia="Arial" w:hAnsi="Times New Roman"/>
                <w:sz w:val="16"/>
                <w:szCs w:val="16"/>
                <w:lang w:val="en-US"/>
              </w:rPr>
              <w:t xml:space="preserve">and the securities transactions, information sheets about unfinished transactions in securities on the securities account of the </w:t>
            </w:r>
            <w:r w:rsidR="00C42851" w:rsidRPr="00E16672">
              <w:rPr>
                <w:rFonts w:ascii="Times New Roman" w:hAnsi="Times New Roman"/>
                <w:sz w:val="16"/>
                <w:szCs w:val="16"/>
                <w:lang w:val="en-GB"/>
              </w:rPr>
              <w:t>Nominal holder</w:t>
            </w:r>
            <w:r w:rsidR="00C42851" w:rsidRPr="00E16672">
              <w:rPr>
                <w:rFonts w:ascii="Times New Roman" w:eastAsia="Arial" w:hAnsi="Times New Roman"/>
                <w:sz w:val="16"/>
                <w:szCs w:val="16"/>
                <w:lang w:val="en-US"/>
              </w:rPr>
              <w:t xml:space="preserve"> </w:t>
            </w:r>
            <w:r w:rsidRPr="00E16672">
              <w:rPr>
                <w:rFonts w:ascii="Times New Roman" w:eastAsia="Arial" w:hAnsi="Times New Roman"/>
                <w:sz w:val="16"/>
                <w:szCs w:val="16"/>
                <w:lang w:val="en-US"/>
              </w:rPr>
              <w:t xml:space="preserve">and other information sheets, by placement on a website of Depository institution </w:t>
            </w:r>
            <w:r w:rsidR="00E16672">
              <w:rPr>
                <w:rFonts w:ascii="Times New Roman" w:hAnsi="Times New Roman"/>
                <w:color w:val="000000"/>
                <w:sz w:val="16"/>
                <w:szCs w:val="16"/>
              </w:rPr>
              <w:t>http://comex.uafin.net</w:t>
            </w:r>
            <w:r w:rsidRPr="00E16672">
              <w:rPr>
                <w:rFonts w:ascii="Times New Roman" w:eastAsia="Arial" w:hAnsi="Times New Roman"/>
                <w:sz w:val="16"/>
                <w:szCs w:val="16"/>
                <w:lang w:val="en-US"/>
              </w:rPr>
              <w:t xml:space="preserve">, and further acquaint </w:t>
            </w:r>
            <w:r w:rsidR="00C42851" w:rsidRPr="00E16672">
              <w:rPr>
                <w:rFonts w:ascii="Times New Roman" w:hAnsi="Times New Roman"/>
                <w:sz w:val="16"/>
                <w:szCs w:val="16"/>
                <w:lang w:val="en-GB"/>
              </w:rPr>
              <w:t>Nominal holder</w:t>
            </w:r>
            <w:r w:rsidR="00C42851" w:rsidRPr="00E16672">
              <w:rPr>
                <w:rFonts w:ascii="Times New Roman" w:eastAsia="Arial" w:hAnsi="Times New Roman"/>
                <w:sz w:val="16"/>
                <w:szCs w:val="16"/>
                <w:lang w:val="en-US"/>
              </w:rPr>
              <w:t xml:space="preserve"> </w:t>
            </w:r>
            <w:r w:rsidRPr="00E16672">
              <w:rPr>
                <w:rFonts w:ascii="Times New Roman" w:eastAsia="Arial" w:hAnsi="Times New Roman"/>
                <w:sz w:val="16"/>
                <w:szCs w:val="16"/>
                <w:lang w:val="en-US"/>
              </w:rPr>
              <w:t xml:space="preserve">with changes and additions to these documents (excerpts from internal documents, current tariffs </w:t>
            </w:r>
            <w:r w:rsidRPr="00E16672">
              <w:rPr>
                <w:rFonts w:ascii="Times New Roman" w:hAnsi="Times New Roman"/>
                <w:sz w:val="16"/>
                <w:szCs w:val="18"/>
                <w:lang w:val="en-US"/>
              </w:rPr>
              <w:t xml:space="preserve">of </w:t>
            </w:r>
            <w:r w:rsidRPr="00E16672">
              <w:rPr>
                <w:rFonts w:ascii="Times New Roman" w:hAnsi="Times New Roman"/>
                <w:bCs/>
                <w:sz w:val="16"/>
                <w:szCs w:val="18"/>
                <w:lang w:val="en-US"/>
              </w:rPr>
              <w:t>Depository institution</w:t>
            </w:r>
            <w:r w:rsidRPr="00E16672">
              <w:rPr>
                <w:rFonts w:ascii="Times New Roman" w:eastAsia="Arial" w:hAnsi="Times New Roman"/>
                <w:sz w:val="16"/>
                <w:szCs w:val="16"/>
                <w:lang w:val="en-US"/>
              </w:rPr>
              <w:t>)</w:t>
            </w:r>
            <w:r w:rsidRPr="00E16672">
              <w:rPr>
                <w:rFonts w:ascii="Times New Roman" w:eastAsia="Arial" w:hAnsi="Times New Roman"/>
                <w:sz w:val="16"/>
                <w:szCs w:val="16"/>
                <w:lang w:val="en-GB"/>
              </w:rPr>
              <w:t xml:space="preserve"> </w:t>
            </w:r>
            <w:r w:rsidRPr="00E16672">
              <w:rPr>
                <w:rFonts w:ascii="Times New Roman" w:eastAsia="Arial" w:hAnsi="Times New Roman"/>
                <w:sz w:val="16"/>
                <w:szCs w:val="16"/>
                <w:lang w:val="en-US"/>
              </w:rPr>
              <w:t xml:space="preserve">by placing over </w:t>
            </w:r>
            <w:r w:rsidRPr="00E16672">
              <w:rPr>
                <w:rFonts w:ascii="Times New Roman" w:eastAsia="Arial" w:hAnsi="Times New Roman"/>
                <w:i/>
                <w:sz w:val="16"/>
                <w:szCs w:val="16"/>
                <w:lang w:val="en-US"/>
              </w:rPr>
              <w:t>five business days</w:t>
            </w:r>
            <w:r w:rsidRPr="00E16672">
              <w:rPr>
                <w:rFonts w:ascii="Times New Roman" w:eastAsia="Arial" w:hAnsi="Times New Roman"/>
                <w:sz w:val="16"/>
                <w:szCs w:val="16"/>
                <w:lang w:val="en-US"/>
              </w:rPr>
              <w:t xml:space="preserve"> after approval of changes relevant information and internal documents of text (excerpts from internal documents) on a website of Depository institution </w:t>
            </w:r>
            <w:r w:rsidR="00E16672">
              <w:rPr>
                <w:rFonts w:ascii="Times New Roman" w:hAnsi="Times New Roman"/>
                <w:color w:val="000000"/>
                <w:sz w:val="16"/>
                <w:szCs w:val="16"/>
              </w:rPr>
              <w:t>http://comex.uafin.net</w:t>
            </w:r>
            <w:r w:rsidRPr="00E16672">
              <w:rPr>
                <w:rFonts w:ascii="Times New Roman" w:eastAsia="Arial" w:hAnsi="Times New Roman"/>
                <w:sz w:val="16"/>
                <w:szCs w:val="16"/>
                <w:lang w:val="en-US"/>
              </w:rPr>
              <w:t>.</w:t>
            </w:r>
          </w:p>
        </w:tc>
      </w:tr>
      <w:tr w:rsidR="00EB25FE" w:rsidRPr="00F23413" w14:paraId="172A30D5" w14:textId="77777777" w:rsidTr="005E418B">
        <w:tblPrEx>
          <w:tblCellMar>
            <w:left w:w="0" w:type="dxa"/>
            <w:right w:w="0" w:type="dxa"/>
          </w:tblCellMar>
        </w:tblPrEx>
        <w:trPr>
          <w:trHeight w:val="192"/>
        </w:trPr>
        <w:tc>
          <w:tcPr>
            <w:tcW w:w="5695" w:type="dxa"/>
            <w:gridSpan w:val="7"/>
            <w:shd w:val="clear" w:color="auto" w:fill="auto"/>
          </w:tcPr>
          <w:p w14:paraId="0C56944E" w14:textId="77777777" w:rsidR="00EB25FE" w:rsidRPr="00E16672" w:rsidRDefault="00EB25FE" w:rsidP="007956D6">
            <w:pPr>
              <w:tabs>
                <w:tab w:val="left" w:pos="851"/>
              </w:tabs>
              <w:snapToGrid w:val="0"/>
              <w:ind w:left="182" w:right="138" w:firstLine="0"/>
              <w:rPr>
                <w:rFonts w:ascii="Times New Roman" w:eastAsia="Arial" w:hAnsi="Times New Roman"/>
                <w:sz w:val="16"/>
                <w:szCs w:val="16"/>
              </w:rPr>
            </w:pPr>
            <w:r w:rsidRPr="00E16672">
              <w:rPr>
                <w:rFonts w:ascii="Times New Roman" w:eastAsia="Arial" w:hAnsi="Times New Roman"/>
                <w:sz w:val="16"/>
                <w:szCs w:val="16"/>
              </w:rPr>
              <w:t xml:space="preserve">2.1.3. </w:t>
            </w:r>
            <w:proofErr w:type="spellStart"/>
            <w:r w:rsidRPr="00E16672">
              <w:rPr>
                <w:rFonts w:ascii="Times New Roman" w:eastAsia="Arial" w:hAnsi="Times New Roman"/>
                <w:sz w:val="16"/>
                <w:szCs w:val="16"/>
              </w:rPr>
              <w:t>Здійснювати</w:t>
            </w:r>
            <w:proofErr w:type="spellEnd"/>
            <w:r w:rsidRPr="00E16672">
              <w:rPr>
                <w:rFonts w:ascii="Times New Roman" w:eastAsia="Arial" w:hAnsi="Times New Roman"/>
                <w:sz w:val="16"/>
                <w:szCs w:val="16"/>
              </w:rPr>
              <w:t xml:space="preserve"> </w:t>
            </w:r>
            <w:proofErr w:type="spellStart"/>
            <w:r w:rsidRPr="00E16672">
              <w:rPr>
                <w:rFonts w:ascii="Times New Roman" w:eastAsia="Arial" w:hAnsi="Times New Roman"/>
                <w:sz w:val="16"/>
                <w:szCs w:val="16"/>
              </w:rPr>
              <w:t>облік</w:t>
            </w:r>
            <w:proofErr w:type="spellEnd"/>
            <w:r w:rsidRPr="00E16672">
              <w:rPr>
                <w:rFonts w:ascii="Times New Roman" w:eastAsia="Arial" w:hAnsi="Times New Roman"/>
                <w:sz w:val="16"/>
                <w:szCs w:val="16"/>
              </w:rPr>
              <w:t xml:space="preserve"> </w:t>
            </w:r>
            <w:proofErr w:type="spellStart"/>
            <w:r w:rsidRPr="00E16672">
              <w:rPr>
                <w:rFonts w:ascii="Times New Roman" w:eastAsia="Arial" w:hAnsi="Times New Roman"/>
                <w:sz w:val="16"/>
                <w:szCs w:val="16"/>
              </w:rPr>
              <w:t>цінних</w:t>
            </w:r>
            <w:proofErr w:type="spellEnd"/>
            <w:r w:rsidRPr="00E16672">
              <w:rPr>
                <w:rFonts w:ascii="Times New Roman" w:eastAsia="Arial" w:hAnsi="Times New Roman"/>
                <w:sz w:val="16"/>
                <w:szCs w:val="16"/>
              </w:rPr>
              <w:t xml:space="preserve"> </w:t>
            </w:r>
            <w:proofErr w:type="spellStart"/>
            <w:r w:rsidRPr="00E16672">
              <w:rPr>
                <w:rFonts w:ascii="Times New Roman" w:eastAsia="Arial" w:hAnsi="Times New Roman"/>
                <w:sz w:val="16"/>
                <w:szCs w:val="16"/>
              </w:rPr>
              <w:t>паперів</w:t>
            </w:r>
            <w:proofErr w:type="spellEnd"/>
            <w:r w:rsidRPr="00E16672">
              <w:rPr>
                <w:rFonts w:ascii="Times New Roman" w:eastAsia="Arial" w:hAnsi="Times New Roman"/>
                <w:sz w:val="16"/>
                <w:szCs w:val="16"/>
              </w:rPr>
              <w:t xml:space="preserve">, </w:t>
            </w:r>
            <w:r w:rsidR="00CA49BB" w:rsidRPr="00E16672">
              <w:rPr>
                <w:rFonts w:ascii="Times New Roman" w:hAnsi="Times New Roman"/>
                <w:sz w:val="16"/>
                <w:szCs w:val="16"/>
              </w:rPr>
              <w:t xml:space="preserve">прав на </w:t>
            </w:r>
            <w:proofErr w:type="spellStart"/>
            <w:r w:rsidR="00CA49BB" w:rsidRPr="00E16672">
              <w:rPr>
                <w:rFonts w:ascii="Times New Roman" w:hAnsi="Times New Roman"/>
                <w:sz w:val="16"/>
                <w:szCs w:val="16"/>
              </w:rPr>
              <w:t>цінні</w:t>
            </w:r>
            <w:proofErr w:type="spellEnd"/>
            <w:r w:rsidR="00CA49BB" w:rsidRPr="00E16672">
              <w:rPr>
                <w:rFonts w:ascii="Times New Roman" w:hAnsi="Times New Roman"/>
                <w:sz w:val="16"/>
                <w:szCs w:val="16"/>
              </w:rPr>
              <w:t xml:space="preserve"> </w:t>
            </w:r>
            <w:proofErr w:type="spellStart"/>
            <w:r w:rsidR="00CA49BB" w:rsidRPr="00E16672">
              <w:rPr>
                <w:rFonts w:ascii="Times New Roman" w:hAnsi="Times New Roman"/>
                <w:sz w:val="16"/>
                <w:szCs w:val="16"/>
              </w:rPr>
              <w:t>папери</w:t>
            </w:r>
            <w:proofErr w:type="spellEnd"/>
            <w:r w:rsidR="00CA49BB" w:rsidRPr="00E16672">
              <w:rPr>
                <w:rFonts w:ascii="Times New Roman" w:hAnsi="Times New Roman"/>
                <w:sz w:val="16"/>
                <w:szCs w:val="16"/>
              </w:rPr>
              <w:t xml:space="preserve"> та прав за </w:t>
            </w:r>
            <w:proofErr w:type="spellStart"/>
            <w:r w:rsidR="00CA49BB" w:rsidRPr="00E16672">
              <w:rPr>
                <w:rFonts w:ascii="Times New Roman" w:hAnsi="Times New Roman"/>
                <w:sz w:val="16"/>
                <w:szCs w:val="16"/>
              </w:rPr>
              <w:lastRenderedPageBreak/>
              <w:t>цінними</w:t>
            </w:r>
            <w:proofErr w:type="spellEnd"/>
            <w:r w:rsidR="00CA49BB" w:rsidRPr="00E16672">
              <w:rPr>
                <w:rFonts w:ascii="Times New Roman" w:hAnsi="Times New Roman"/>
                <w:sz w:val="16"/>
                <w:szCs w:val="16"/>
              </w:rPr>
              <w:t xml:space="preserve"> </w:t>
            </w:r>
            <w:proofErr w:type="spellStart"/>
            <w:r w:rsidR="00CA49BB" w:rsidRPr="00E16672">
              <w:rPr>
                <w:rFonts w:ascii="Times New Roman" w:hAnsi="Times New Roman"/>
                <w:sz w:val="16"/>
                <w:szCs w:val="16"/>
              </w:rPr>
              <w:t>паперами</w:t>
            </w:r>
            <w:proofErr w:type="spellEnd"/>
            <w:r w:rsidR="00CA49BB" w:rsidRPr="00E16672">
              <w:rPr>
                <w:rFonts w:ascii="Times New Roman" w:hAnsi="Times New Roman"/>
                <w:sz w:val="16"/>
                <w:szCs w:val="16"/>
              </w:rPr>
              <w:t xml:space="preserve">, </w:t>
            </w:r>
            <w:proofErr w:type="spellStart"/>
            <w:r w:rsidR="00CA49BB" w:rsidRPr="00E16672">
              <w:rPr>
                <w:rFonts w:ascii="Times New Roman" w:hAnsi="Times New Roman"/>
                <w:sz w:val="16"/>
                <w:szCs w:val="16"/>
              </w:rPr>
              <w:t>що</w:t>
            </w:r>
            <w:proofErr w:type="spellEnd"/>
            <w:r w:rsidR="00CA49BB" w:rsidRPr="00E16672">
              <w:rPr>
                <w:rFonts w:ascii="Times New Roman" w:hAnsi="Times New Roman"/>
                <w:sz w:val="16"/>
                <w:szCs w:val="16"/>
              </w:rPr>
              <w:t xml:space="preserve"> належать </w:t>
            </w:r>
            <w:proofErr w:type="spellStart"/>
            <w:r w:rsidR="00CA49BB" w:rsidRPr="00E16672">
              <w:rPr>
                <w:rFonts w:ascii="Times New Roman" w:hAnsi="Times New Roman"/>
                <w:sz w:val="16"/>
                <w:szCs w:val="16"/>
              </w:rPr>
              <w:t>клієнтам</w:t>
            </w:r>
            <w:proofErr w:type="spellEnd"/>
            <w:r w:rsidR="00CA49BB" w:rsidRPr="00E16672">
              <w:rPr>
                <w:rFonts w:ascii="Times New Roman" w:hAnsi="Times New Roman"/>
                <w:sz w:val="16"/>
                <w:szCs w:val="16"/>
              </w:rPr>
              <w:t xml:space="preserve"> </w:t>
            </w:r>
            <w:proofErr w:type="spellStart"/>
            <w:r w:rsidR="00CA49BB" w:rsidRPr="00E16672">
              <w:rPr>
                <w:rFonts w:ascii="Times New Roman" w:hAnsi="Times New Roman"/>
                <w:sz w:val="16"/>
                <w:szCs w:val="16"/>
              </w:rPr>
              <w:t>номінального</w:t>
            </w:r>
            <w:proofErr w:type="spellEnd"/>
            <w:r w:rsidR="00CA49BB" w:rsidRPr="00E16672">
              <w:rPr>
                <w:rFonts w:ascii="Times New Roman" w:hAnsi="Times New Roman"/>
                <w:sz w:val="16"/>
                <w:szCs w:val="16"/>
              </w:rPr>
              <w:t xml:space="preserve"> </w:t>
            </w:r>
            <w:proofErr w:type="spellStart"/>
            <w:r w:rsidR="00CA49BB" w:rsidRPr="00E16672">
              <w:rPr>
                <w:rFonts w:ascii="Times New Roman" w:hAnsi="Times New Roman"/>
                <w:sz w:val="16"/>
                <w:szCs w:val="16"/>
              </w:rPr>
              <w:t>утримувача</w:t>
            </w:r>
            <w:proofErr w:type="spellEnd"/>
            <w:r w:rsidR="00CA49BB" w:rsidRPr="00E16672">
              <w:rPr>
                <w:rFonts w:ascii="Times New Roman" w:hAnsi="Times New Roman"/>
                <w:sz w:val="16"/>
                <w:szCs w:val="16"/>
              </w:rPr>
              <w:t xml:space="preserve">, а </w:t>
            </w:r>
            <w:proofErr w:type="spellStart"/>
            <w:r w:rsidR="00CA49BB" w:rsidRPr="00E16672">
              <w:rPr>
                <w:rFonts w:ascii="Times New Roman" w:hAnsi="Times New Roman"/>
                <w:sz w:val="16"/>
                <w:szCs w:val="16"/>
              </w:rPr>
              <w:t>також</w:t>
            </w:r>
            <w:proofErr w:type="spellEnd"/>
            <w:r w:rsidR="00CA49BB" w:rsidRPr="00E16672">
              <w:rPr>
                <w:rFonts w:ascii="Times New Roman" w:hAnsi="Times New Roman"/>
                <w:sz w:val="16"/>
                <w:szCs w:val="16"/>
              </w:rPr>
              <w:t xml:space="preserve"> </w:t>
            </w:r>
            <w:proofErr w:type="spellStart"/>
            <w:r w:rsidR="00CA49BB" w:rsidRPr="00E16672">
              <w:rPr>
                <w:rFonts w:ascii="Times New Roman" w:hAnsi="Times New Roman"/>
                <w:sz w:val="16"/>
                <w:szCs w:val="16"/>
              </w:rPr>
              <w:t>клієнтам</w:t>
            </w:r>
            <w:proofErr w:type="spellEnd"/>
            <w:r w:rsidR="00CA49BB" w:rsidRPr="00E16672">
              <w:rPr>
                <w:rFonts w:ascii="Times New Roman" w:hAnsi="Times New Roman"/>
                <w:sz w:val="16"/>
                <w:szCs w:val="16"/>
              </w:rPr>
              <w:t xml:space="preserve"> </w:t>
            </w:r>
            <w:proofErr w:type="spellStart"/>
            <w:r w:rsidR="00CA49BB" w:rsidRPr="00E16672">
              <w:rPr>
                <w:rFonts w:ascii="Times New Roman" w:hAnsi="Times New Roman"/>
                <w:sz w:val="16"/>
                <w:szCs w:val="16"/>
              </w:rPr>
              <w:t>клієнта</w:t>
            </w:r>
            <w:proofErr w:type="spellEnd"/>
            <w:r w:rsidR="00CA49BB" w:rsidRPr="00E16672">
              <w:rPr>
                <w:rFonts w:ascii="Times New Roman" w:hAnsi="Times New Roman"/>
                <w:sz w:val="16"/>
                <w:szCs w:val="16"/>
              </w:rPr>
              <w:t xml:space="preserve"> </w:t>
            </w:r>
            <w:proofErr w:type="spellStart"/>
            <w:r w:rsidR="00CA49BB" w:rsidRPr="00E16672">
              <w:rPr>
                <w:rFonts w:ascii="Times New Roman" w:hAnsi="Times New Roman"/>
                <w:sz w:val="16"/>
                <w:szCs w:val="16"/>
              </w:rPr>
              <w:t>номінального</w:t>
            </w:r>
            <w:proofErr w:type="spellEnd"/>
            <w:r w:rsidR="00CA49BB" w:rsidRPr="00E16672">
              <w:rPr>
                <w:rFonts w:ascii="Times New Roman" w:hAnsi="Times New Roman"/>
                <w:sz w:val="16"/>
                <w:szCs w:val="16"/>
              </w:rPr>
              <w:t xml:space="preserve"> </w:t>
            </w:r>
            <w:proofErr w:type="spellStart"/>
            <w:r w:rsidR="00CA49BB" w:rsidRPr="00E16672">
              <w:rPr>
                <w:rFonts w:ascii="Times New Roman" w:hAnsi="Times New Roman"/>
                <w:sz w:val="16"/>
                <w:szCs w:val="16"/>
              </w:rPr>
              <w:t>утримувача</w:t>
            </w:r>
            <w:proofErr w:type="spellEnd"/>
            <w:r w:rsidRPr="00E16672">
              <w:rPr>
                <w:rFonts w:ascii="Times New Roman" w:eastAsia="Arial" w:hAnsi="Times New Roman"/>
                <w:sz w:val="16"/>
                <w:szCs w:val="16"/>
              </w:rPr>
              <w:t>.</w:t>
            </w:r>
          </w:p>
          <w:p w14:paraId="70841BD2" w14:textId="77777777" w:rsidR="00EB25FE" w:rsidRPr="00E16672" w:rsidRDefault="00EB25FE" w:rsidP="007956D6">
            <w:pPr>
              <w:pStyle w:val="22"/>
              <w:snapToGrid w:val="0"/>
              <w:ind w:left="182" w:right="138" w:firstLine="0"/>
              <w:rPr>
                <w:rFonts w:ascii="Times New Roman" w:eastAsia="Arial" w:hAnsi="Times New Roman"/>
                <w:sz w:val="16"/>
                <w:szCs w:val="16"/>
                <w:lang w:val="ru-RU"/>
              </w:rPr>
            </w:pPr>
          </w:p>
        </w:tc>
        <w:tc>
          <w:tcPr>
            <w:tcW w:w="5495" w:type="dxa"/>
            <w:gridSpan w:val="8"/>
            <w:shd w:val="clear" w:color="auto" w:fill="auto"/>
          </w:tcPr>
          <w:p w14:paraId="172C3CEE" w14:textId="77777777" w:rsidR="00EB25FE" w:rsidRPr="00E16672" w:rsidRDefault="00EB25FE" w:rsidP="001456E9">
            <w:pPr>
              <w:pStyle w:val="210"/>
              <w:snapToGrid w:val="0"/>
              <w:ind w:left="182" w:right="100" w:firstLine="0"/>
              <w:rPr>
                <w:rFonts w:ascii="Times New Roman" w:hAnsi="Times New Roman"/>
                <w:sz w:val="16"/>
                <w:szCs w:val="16"/>
                <w:lang w:val="en-US"/>
              </w:rPr>
            </w:pPr>
            <w:r w:rsidRPr="00E16672">
              <w:rPr>
                <w:rFonts w:ascii="Times New Roman" w:eastAsia="Arial" w:hAnsi="Times New Roman"/>
                <w:sz w:val="16"/>
                <w:szCs w:val="16"/>
                <w:lang w:val="en-US"/>
              </w:rPr>
              <w:lastRenderedPageBreak/>
              <w:t>2.1.3. To provide accounting of securities</w:t>
            </w:r>
            <w:r w:rsidR="00CA49BB" w:rsidRPr="00E16672">
              <w:rPr>
                <w:rFonts w:ascii="Times New Roman" w:eastAsia="Arial" w:hAnsi="Times New Roman"/>
                <w:sz w:val="16"/>
                <w:szCs w:val="16"/>
                <w:lang w:val="en-US"/>
              </w:rPr>
              <w:t>,</w:t>
            </w:r>
            <w:r w:rsidRPr="00E16672">
              <w:rPr>
                <w:rFonts w:ascii="Times New Roman" w:eastAsia="Arial" w:hAnsi="Times New Roman"/>
                <w:sz w:val="16"/>
                <w:szCs w:val="16"/>
                <w:lang w:val="en-US"/>
              </w:rPr>
              <w:t xml:space="preserve"> </w:t>
            </w:r>
            <w:r w:rsidR="00CA49BB" w:rsidRPr="00E16672">
              <w:rPr>
                <w:rFonts w:ascii="Times New Roman" w:eastAsia="Arial" w:hAnsi="Times New Roman"/>
                <w:sz w:val="16"/>
                <w:szCs w:val="16"/>
                <w:lang w:val="en-US"/>
              </w:rPr>
              <w:t xml:space="preserve">rights to securities and rights under </w:t>
            </w:r>
            <w:r w:rsidR="00CA49BB" w:rsidRPr="00E16672">
              <w:rPr>
                <w:rFonts w:ascii="Times New Roman" w:eastAsia="Arial" w:hAnsi="Times New Roman"/>
                <w:sz w:val="16"/>
                <w:szCs w:val="16"/>
                <w:lang w:val="en-US"/>
              </w:rPr>
              <w:lastRenderedPageBreak/>
              <w:t>securities belonging to nominee clients, as well as to customers of a nominee client</w:t>
            </w:r>
            <w:r w:rsidRPr="00E16672">
              <w:rPr>
                <w:rFonts w:ascii="Times New Roman" w:eastAsia="Arial" w:hAnsi="Times New Roman"/>
                <w:sz w:val="16"/>
                <w:szCs w:val="16"/>
                <w:lang w:val="en-US"/>
              </w:rPr>
              <w:t>.</w:t>
            </w:r>
          </w:p>
        </w:tc>
      </w:tr>
      <w:tr w:rsidR="00EB25FE" w:rsidRPr="00F23413" w14:paraId="3C111396" w14:textId="77777777" w:rsidTr="005E418B">
        <w:tblPrEx>
          <w:tblCellMar>
            <w:left w:w="0" w:type="dxa"/>
            <w:right w:w="0" w:type="dxa"/>
          </w:tblCellMar>
        </w:tblPrEx>
        <w:trPr>
          <w:trHeight w:val="192"/>
        </w:trPr>
        <w:tc>
          <w:tcPr>
            <w:tcW w:w="5695" w:type="dxa"/>
            <w:gridSpan w:val="7"/>
            <w:shd w:val="clear" w:color="auto" w:fill="auto"/>
          </w:tcPr>
          <w:p w14:paraId="48A021F6" w14:textId="77777777" w:rsidR="00EB25FE" w:rsidRPr="00E16672" w:rsidRDefault="00EB25FE" w:rsidP="007956D6">
            <w:pPr>
              <w:tabs>
                <w:tab w:val="left" w:pos="851"/>
              </w:tabs>
              <w:snapToGrid w:val="0"/>
              <w:ind w:left="182" w:right="138" w:firstLine="0"/>
              <w:rPr>
                <w:rFonts w:ascii="Times New Roman" w:eastAsia="Arial" w:hAnsi="Times New Roman"/>
                <w:sz w:val="16"/>
                <w:szCs w:val="16"/>
              </w:rPr>
            </w:pPr>
            <w:r w:rsidRPr="00E16672">
              <w:rPr>
                <w:rFonts w:ascii="Times New Roman" w:eastAsia="Arial" w:hAnsi="Times New Roman"/>
                <w:sz w:val="16"/>
                <w:szCs w:val="16"/>
              </w:rPr>
              <w:lastRenderedPageBreak/>
              <w:t xml:space="preserve">2.1.4. </w:t>
            </w:r>
            <w:proofErr w:type="spellStart"/>
            <w:r w:rsidR="005E67B9" w:rsidRPr="00E16672">
              <w:rPr>
                <w:rFonts w:ascii="Times New Roman" w:hAnsi="Times New Roman"/>
                <w:sz w:val="16"/>
                <w:szCs w:val="16"/>
              </w:rPr>
              <w:t>здійснювати</w:t>
            </w:r>
            <w:proofErr w:type="spellEnd"/>
            <w:r w:rsidR="005E67B9" w:rsidRPr="00E16672">
              <w:rPr>
                <w:rFonts w:ascii="Times New Roman" w:hAnsi="Times New Roman"/>
                <w:sz w:val="16"/>
                <w:szCs w:val="16"/>
              </w:rPr>
              <w:t xml:space="preserve"> </w:t>
            </w:r>
            <w:proofErr w:type="spellStart"/>
            <w:r w:rsidR="005E67B9" w:rsidRPr="00E16672">
              <w:rPr>
                <w:rFonts w:ascii="Times New Roman" w:hAnsi="Times New Roman"/>
                <w:sz w:val="16"/>
                <w:szCs w:val="16"/>
              </w:rPr>
              <w:t>обслуговування</w:t>
            </w:r>
            <w:proofErr w:type="spellEnd"/>
            <w:r w:rsidR="005E67B9" w:rsidRPr="00E16672">
              <w:rPr>
                <w:rFonts w:ascii="Times New Roman" w:hAnsi="Times New Roman"/>
                <w:sz w:val="16"/>
                <w:szCs w:val="16"/>
              </w:rPr>
              <w:t xml:space="preserve"> </w:t>
            </w:r>
            <w:proofErr w:type="spellStart"/>
            <w:r w:rsidR="005E67B9" w:rsidRPr="00E16672">
              <w:rPr>
                <w:rFonts w:ascii="Times New Roman" w:hAnsi="Times New Roman"/>
                <w:sz w:val="16"/>
                <w:szCs w:val="16"/>
              </w:rPr>
              <w:t>обіг</w:t>
            </w:r>
            <w:r w:rsidR="00C22309" w:rsidRPr="00E16672">
              <w:rPr>
                <w:rFonts w:ascii="Times New Roman" w:hAnsi="Times New Roman"/>
                <w:sz w:val="16"/>
                <w:szCs w:val="16"/>
              </w:rPr>
              <w:t>в</w:t>
            </w:r>
            <w:proofErr w:type="spellEnd"/>
            <w:r w:rsidR="00C22309" w:rsidRPr="00E16672">
              <w:rPr>
                <w:rFonts w:ascii="Times New Roman" w:hAnsi="Times New Roman"/>
                <w:sz w:val="16"/>
                <w:szCs w:val="16"/>
              </w:rPr>
              <w:t xml:space="preserve"> </w:t>
            </w:r>
            <w:proofErr w:type="spellStart"/>
            <w:r w:rsidR="00C22309" w:rsidRPr="00E16672">
              <w:rPr>
                <w:rFonts w:ascii="Times New Roman" w:hAnsi="Times New Roman"/>
                <w:sz w:val="16"/>
                <w:szCs w:val="16"/>
              </w:rPr>
              <w:t>цін</w:t>
            </w:r>
            <w:r w:rsidR="005E67B9" w:rsidRPr="00E16672">
              <w:rPr>
                <w:rFonts w:ascii="Times New Roman" w:hAnsi="Times New Roman"/>
                <w:sz w:val="16"/>
                <w:szCs w:val="16"/>
              </w:rPr>
              <w:t>них</w:t>
            </w:r>
            <w:proofErr w:type="spellEnd"/>
            <w:r w:rsidR="005E67B9" w:rsidRPr="00E16672">
              <w:rPr>
                <w:rFonts w:ascii="Times New Roman" w:hAnsi="Times New Roman"/>
                <w:sz w:val="16"/>
                <w:szCs w:val="16"/>
              </w:rPr>
              <w:t xml:space="preserve"> </w:t>
            </w:r>
            <w:proofErr w:type="spellStart"/>
            <w:r w:rsidR="005E67B9" w:rsidRPr="00E16672">
              <w:rPr>
                <w:rFonts w:ascii="Times New Roman" w:hAnsi="Times New Roman"/>
                <w:sz w:val="16"/>
                <w:szCs w:val="16"/>
              </w:rPr>
              <w:t>паперів</w:t>
            </w:r>
            <w:proofErr w:type="spellEnd"/>
            <w:r w:rsidR="005E67B9" w:rsidRPr="00E16672">
              <w:rPr>
                <w:rFonts w:ascii="Times New Roman" w:hAnsi="Times New Roman"/>
                <w:sz w:val="16"/>
                <w:szCs w:val="16"/>
              </w:rPr>
              <w:t xml:space="preserve"> на </w:t>
            </w:r>
            <w:proofErr w:type="spellStart"/>
            <w:r w:rsidR="005E67B9" w:rsidRPr="00E16672">
              <w:rPr>
                <w:rFonts w:ascii="Times New Roman" w:hAnsi="Times New Roman"/>
                <w:sz w:val="16"/>
                <w:szCs w:val="16"/>
              </w:rPr>
              <w:t>рахунку</w:t>
            </w:r>
            <w:proofErr w:type="spellEnd"/>
            <w:r w:rsidR="005E67B9" w:rsidRPr="00E16672">
              <w:rPr>
                <w:rFonts w:ascii="Times New Roman" w:hAnsi="Times New Roman"/>
                <w:sz w:val="16"/>
                <w:szCs w:val="16"/>
              </w:rPr>
              <w:t xml:space="preserve"> </w:t>
            </w:r>
            <w:r w:rsidR="00C22309" w:rsidRPr="00E16672">
              <w:rPr>
                <w:rFonts w:ascii="Times New Roman" w:hAnsi="Times New Roman"/>
                <w:sz w:val="16"/>
                <w:szCs w:val="16"/>
              </w:rPr>
              <w:t xml:space="preserve">в </w:t>
            </w:r>
            <w:proofErr w:type="spellStart"/>
            <w:r w:rsidR="00C22309" w:rsidRPr="00E16672">
              <w:rPr>
                <w:rFonts w:ascii="Times New Roman" w:hAnsi="Times New Roman"/>
                <w:sz w:val="16"/>
                <w:szCs w:val="16"/>
              </w:rPr>
              <w:t>цін</w:t>
            </w:r>
            <w:r w:rsidR="005E67B9" w:rsidRPr="00E16672">
              <w:rPr>
                <w:rFonts w:ascii="Times New Roman" w:hAnsi="Times New Roman"/>
                <w:sz w:val="16"/>
                <w:szCs w:val="16"/>
              </w:rPr>
              <w:t>них</w:t>
            </w:r>
            <w:proofErr w:type="spellEnd"/>
            <w:r w:rsidR="005E67B9" w:rsidRPr="00E16672">
              <w:rPr>
                <w:rFonts w:ascii="Times New Roman" w:hAnsi="Times New Roman"/>
                <w:sz w:val="16"/>
                <w:szCs w:val="16"/>
              </w:rPr>
              <w:t xml:space="preserve"> </w:t>
            </w:r>
            <w:proofErr w:type="spellStart"/>
            <w:r w:rsidR="005E67B9" w:rsidRPr="00E16672">
              <w:rPr>
                <w:rFonts w:ascii="Times New Roman" w:hAnsi="Times New Roman"/>
                <w:sz w:val="16"/>
                <w:szCs w:val="16"/>
              </w:rPr>
              <w:t>паперах</w:t>
            </w:r>
            <w:proofErr w:type="spellEnd"/>
            <w:r w:rsidR="005E67B9" w:rsidRPr="00E16672">
              <w:rPr>
                <w:rFonts w:ascii="Times New Roman" w:hAnsi="Times New Roman"/>
                <w:sz w:val="16"/>
                <w:szCs w:val="16"/>
              </w:rPr>
              <w:t xml:space="preserve"> </w:t>
            </w:r>
            <w:proofErr w:type="spellStart"/>
            <w:r w:rsidR="005E67B9" w:rsidRPr="00E16672">
              <w:rPr>
                <w:rFonts w:ascii="Times New Roman" w:hAnsi="Times New Roman"/>
                <w:sz w:val="16"/>
                <w:szCs w:val="16"/>
              </w:rPr>
              <w:t>номінального</w:t>
            </w:r>
            <w:proofErr w:type="spellEnd"/>
            <w:r w:rsidR="005E67B9" w:rsidRPr="00E16672">
              <w:rPr>
                <w:rFonts w:ascii="Times New Roman" w:hAnsi="Times New Roman"/>
                <w:sz w:val="16"/>
                <w:szCs w:val="16"/>
              </w:rPr>
              <w:t xml:space="preserve"> </w:t>
            </w:r>
            <w:proofErr w:type="spellStart"/>
            <w:r w:rsidR="005E67B9" w:rsidRPr="00E16672">
              <w:rPr>
                <w:rFonts w:ascii="Times New Roman" w:hAnsi="Times New Roman"/>
                <w:sz w:val="16"/>
                <w:szCs w:val="16"/>
              </w:rPr>
              <w:t>утримувача</w:t>
            </w:r>
            <w:proofErr w:type="spellEnd"/>
            <w:r w:rsidR="005E67B9" w:rsidRPr="00E16672">
              <w:rPr>
                <w:rFonts w:ascii="Times New Roman" w:hAnsi="Times New Roman"/>
                <w:sz w:val="16"/>
                <w:szCs w:val="16"/>
              </w:rPr>
              <w:t xml:space="preserve"> шляхом </w:t>
            </w:r>
            <w:proofErr w:type="spellStart"/>
            <w:r w:rsidR="005E67B9" w:rsidRPr="00E16672">
              <w:rPr>
                <w:rFonts w:ascii="Times New Roman" w:hAnsi="Times New Roman"/>
                <w:sz w:val="16"/>
                <w:szCs w:val="16"/>
              </w:rPr>
              <w:t>проведення</w:t>
            </w:r>
            <w:proofErr w:type="spellEnd"/>
            <w:r w:rsidR="005E67B9" w:rsidRPr="00E16672">
              <w:rPr>
                <w:rFonts w:ascii="Times New Roman" w:hAnsi="Times New Roman"/>
                <w:sz w:val="16"/>
                <w:szCs w:val="16"/>
              </w:rPr>
              <w:t xml:space="preserve"> </w:t>
            </w:r>
            <w:proofErr w:type="spellStart"/>
            <w:r w:rsidR="005E67B9" w:rsidRPr="00E16672">
              <w:rPr>
                <w:rFonts w:ascii="Times New Roman" w:hAnsi="Times New Roman"/>
                <w:sz w:val="16"/>
                <w:szCs w:val="16"/>
              </w:rPr>
              <w:t>депозитарних</w:t>
            </w:r>
            <w:proofErr w:type="spellEnd"/>
            <w:r w:rsidR="005E67B9" w:rsidRPr="00E16672">
              <w:rPr>
                <w:rFonts w:ascii="Times New Roman" w:hAnsi="Times New Roman"/>
                <w:sz w:val="16"/>
                <w:szCs w:val="16"/>
              </w:rPr>
              <w:t xml:space="preserve"> </w:t>
            </w:r>
            <w:proofErr w:type="spellStart"/>
            <w:r w:rsidR="005E67B9" w:rsidRPr="00E16672">
              <w:rPr>
                <w:rFonts w:ascii="Times New Roman" w:hAnsi="Times New Roman"/>
                <w:sz w:val="16"/>
                <w:szCs w:val="16"/>
              </w:rPr>
              <w:t>операцій</w:t>
            </w:r>
            <w:proofErr w:type="spellEnd"/>
            <w:r w:rsidR="005E67B9" w:rsidRPr="00E16672">
              <w:rPr>
                <w:rFonts w:ascii="Times New Roman" w:hAnsi="Times New Roman"/>
                <w:sz w:val="16"/>
                <w:szCs w:val="16"/>
              </w:rPr>
              <w:t xml:space="preserve"> за </w:t>
            </w:r>
            <w:proofErr w:type="spellStart"/>
            <w:r w:rsidR="005E67B9" w:rsidRPr="00E16672">
              <w:rPr>
                <w:rFonts w:ascii="Times New Roman" w:hAnsi="Times New Roman"/>
                <w:sz w:val="16"/>
                <w:szCs w:val="16"/>
              </w:rPr>
              <w:t>рахунком</w:t>
            </w:r>
            <w:proofErr w:type="spellEnd"/>
            <w:r w:rsidR="005E67B9" w:rsidRPr="00E16672">
              <w:rPr>
                <w:rFonts w:ascii="Times New Roman" w:hAnsi="Times New Roman"/>
                <w:sz w:val="16"/>
                <w:szCs w:val="16"/>
              </w:rPr>
              <w:t xml:space="preserve"> (</w:t>
            </w:r>
            <w:proofErr w:type="spellStart"/>
            <w:r w:rsidR="005E67B9" w:rsidRPr="00E16672">
              <w:rPr>
                <w:rFonts w:ascii="Times New Roman" w:hAnsi="Times New Roman"/>
                <w:sz w:val="16"/>
                <w:szCs w:val="16"/>
              </w:rPr>
              <w:t>рахунками</w:t>
            </w:r>
            <w:proofErr w:type="spellEnd"/>
            <w:r w:rsidR="005E67B9" w:rsidRPr="00E16672">
              <w:rPr>
                <w:rFonts w:ascii="Times New Roman" w:hAnsi="Times New Roman"/>
                <w:sz w:val="16"/>
                <w:szCs w:val="16"/>
              </w:rPr>
              <w:t xml:space="preserve">) </w:t>
            </w:r>
            <w:r w:rsidR="00C22309" w:rsidRPr="00E16672">
              <w:rPr>
                <w:rFonts w:ascii="Times New Roman" w:hAnsi="Times New Roman"/>
                <w:sz w:val="16"/>
                <w:szCs w:val="16"/>
              </w:rPr>
              <w:t xml:space="preserve">в </w:t>
            </w:r>
            <w:proofErr w:type="spellStart"/>
            <w:r w:rsidR="00C22309" w:rsidRPr="00E16672">
              <w:rPr>
                <w:rFonts w:ascii="Times New Roman" w:hAnsi="Times New Roman"/>
                <w:sz w:val="16"/>
                <w:szCs w:val="16"/>
              </w:rPr>
              <w:t>цін</w:t>
            </w:r>
            <w:r w:rsidR="005E67B9" w:rsidRPr="00E16672">
              <w:rPr>
                <w:rFonts w:ascii="Times New Roman" w:hAnsi="Times New Roman"/>
                <w:sz w:val="16"/>
                <w:szCs w:val="16"/>
              </w:rPr>
              <w:t>них</w:t>
            </w:r>
            <w:proofErr w:type="spellEnd"/>
            <w:r w:rsidR="005E67B9" w:rsidRPr="00E16672">
              <w:rPr>
                <w:rFonts w:ascii="Times New Roman" w:hAnsi="Times New Roman"/>
                <w:sz w:val="16"/>
                <w:szCs w:val="16"/>
              </w:rPr>
              <w:t xml:space="preserve"> </w:t>
            </w:r>
            <w:proofErr w:type="spellStart"/>
            <w:r w:rsidR="005E67B9" w:rsidRPr="00E16672">
              <w:rPr>
                <w:rFonts w:ascii="Times New Roman" w:hAnsi="Times New Roman"/>
                <w:sz w:val="16"/>
                <w:szCs w:val="16"/>
              </w:rPr>
              <w:t>паперах</w:t>
            </w:r>
            <w:proofErr w:type="spellEnd"/>
            <w:r w:rsidR="005E67B9" w:rsidRPr="00E16672">
              <w:rPr>
                <w:rFonts w:ascii="Times New Roman" w:hAnsi="Times New Roman"/>
                <w:sz w:val="16"/>
                <w:szCs w:val="16"/>
              </w:rPr>
              <w:t xml:space="preserve"> </w:t>
            </w:r>
            <w:proofErr w:type="gramStart"/>
            <w:r w:rsidR="005E67B9" w:rsidRPr="00E16672">
              <w:rPr>
                <w:rFonts w:ascii="Times New Roman" w:hAnsi="Times New Roman"/>
                <w:sz w:val="16"/>
                <w:szCs w:val="16"/>
              </w:rPr>
              <w:t>у порядку</w:t>
            </w:r>
            <w:proofErr w:type="gramEnd"/>
            <w:r w:rsidR="005E67B9" w:rsidRPr="00E16672">
              <w:rPr>
                <w:rFonts w:ascii="Times New Roman" w:hAnsi="Times New Roman"/>
                <w:sz w:val="16"/>
                <w:szCs w:val="16"/>
              </w:rPr>
              <w:t xml:space="preserve"> та строки, </w:t>
            </w:r>
            <w:proofErr w:type="spellStart"/>
            <w:r w:rsidR="005E67B9" w:rsidRPr="00E16672">
              <w:rPr>
                <w:rFonts w:ascii="Times New Roman" w:hAnsi="Times New Roman"/>
                <w:sz w:val="16"/>
                <w:szCs w:val="16"/>
              </w:rPr>
              <w:t>визначені</w:t>
            </w:r>
            <w:proofErr w:type="spellEnd"/>
            <w:r w:rsidR="005E67B9" w:rsidRPr="00E16672">
              <w:rPr>
                <w:rFonts w:ascii="Times New Roman" w:hAnsi="Times New Roman"/>
                <w:sz w:val="16"/>
                <w:szCs w:val="16"/>
              </w:rPr>
              <w:t xml:space="preserve"> </w:t>
            </w:r>
            <w:proofErr w:type="spellStart"/>
            <w:r w:rsidR="005E67B9" w:rsidRPr="00E16672">
              <w:rPr>
                <w:rFonts w:ascii="Times New Roman" w:hAnsi="Times New Roman"/>
                <w:sz w:val="16"/>
                <w:szCs w:val="16"/>
              </w:rPr>
              <w:t>законодавством</w:t>
            </w:r>
            <w:proofErr w:type="spellEnd"/>
            <w:r w:rsidR="005E67B9" w:rsidRPr="00E16672">
              <w:rPr>
                <w:rFonts w:ascii="Times New Roman" w:hAnsi="Times New Roman"/>
                <w:sz w:val="16"/>
                <w:szCs w:val="16"/>
              </w:rPr>
              <w:t xml:space="preserve"> та </w:t>
            </w:r>
            <w:proofErr w:type="spellStart"/>
            <w:r w:rsidR="005E67B9" w:rsidRPr="00E16672">
              <w:rPr>
                <w:rFonts w:ascii="Times New Roman" w:hAnsi="Times New Roman"/>
                <w:sz w:val="16"/>
                <w:szCs w:val="16"/>
              </w:rPr>
              <w:t>внутрішніми</w:t>
            </w:r>
            <w:proofErr w:type="spellEnd"/>
            <w:r w:rsidR="005E67B9" w:rsidRPr="00E16672">
              <w:rPr>
                <w:rFonts w:ascii="Times New Roman" w:hAnsi="Times New Roman"/>
                <w:sz w:val="16"/>
                <w:szCs w:val="16"/>
              </w:rPr>
              <w:t xml:space="preserve"> документами </w:t>
            </w:r>
            <w:proofErr w:type="spellStart"/>
            <w:r w:rsidR="005E67B9" w:rsidRPr="00E16672">
              <w:rPr>
                <w:rFonts w:ascii="Times New Roman" w:hAnsi="Times New Roman"/>
                <w:sz w:val="16"/>
                <w:szCs w:val="16"/>
              </w:rPr>
              <w:t>депозитарної</w:t>
            </w:r>
            <w:proofErr w:type="spellEnd"/>
            <w:r w:rsidR="005E67B9" w:rsidRPr="00E16672">
              <w:rPr>
                <w:rFonts w:ascii="Times New Roman" w:hAnsi="Times New Roman"/>
                <w:sz w:val="16"/>
                <w:szCs w:val="16"/>
              </w:rPr>
              <w:t xml:space="preserve"> установи</w:t>
            </w:r>
            <w:r w:rsidRPr="00E16672">
              <w:rPr>
                <w:rFonts w:ascii="Times New Roman" w:eastAsia="Arial" w:hAnsi="Times New Roman"/>
                <w:sz w:val="16"/>
                <w:szCs w:val="16"/>
              </w:rPr>
              <w:t>.</w:t>
            </w:r>
          </w:p>
          <w:p w14:paraId="4243B841" w14:textId="77777777" w:rsidR="00EB25FE" w:rsidRPr="00E16672" w:rsidRDefault="00EB25FE" w:rsidP="007956D6">
            <w:pPr>
              <w:pStyle w:val="210"/>
              <w:snapToGrid w:val="0"/>
              <w:ind w:left="182" w:right="138" w:firstLine="0"/>
              <w:rPr>
                <w:rFonts w:ascii="Times New Roman" w:eastAsia="Arial" w:hAnsi="Times New Roman"/>
                <w:sz w:val="16"/>
                <w:szCs w:val="16"/>
                <w:lang w:val="ru-RU"/>
              </w:rPr>
            </w:pPr>
          </w:p>
        </w:tc>
        <w:tc>
          <w:tcPr>
            <w:tcW w:w="5495" w:type="dxa"/>
            <w:gridSpan w:val="8"/>
            <w:shd w:val="clear" w:color="auto" w:fill="auto"/>
          </w:tcPr>
          <w:p w14:paraId="3B005FF1" w14:textId="77777777" w:rsidR="005E67B9" w:rsidRPr="00E16672" w:rsidRDefault="00EB25FE" w:rsidP="001456E9">
            <w:pPr>
              <w:pStyle w:val="ab"/>
              <w:snapToGrid w:val="0"/>
              <w:ind w:left="182" w:right="57" w:firstLine="0"/>
              <w:jc w:val="both"/>
              <w:rPr>
                <w:rFonts w:ascii="Times New Roman" w:eastAsia="Arial" w:hAnsi="Times New Roman"/>
                <w:color w:val="000000"/>
                <w:sz w:val="16"/>
                <w:szCs w:val="16"/>
                <w:lang w:val="en-US"/>
              </w:rPr>
            </w:pPr>
            <w:r w:rsidRPr="00E16672">
              <w:rPr>
                <w:rFonts w:ascii="Times New Roman" w:eastAsia="Arial" w:hAnsi="Times New Roman"/>
                <w:b w:val="0"/>
                <w:color w:val="000000"/>
                <w:sz w:val="16"/>
                <w:szCs w:val="16"/>
                <w:lang w:val="en-US"/>
              </w:rPr>
              <w:t xml:space="preserve">2.1.4. </w:t>
            </w:r>
            <w:r w:rsidR="005E67B9" w:rsidRPr="00E16672">
              <w:rPr>
                <w:rFonts w:ascii="Times New Roman" w:eastAsia="Arial" w:hAnsi="Times New Roman"/>
                <w:b w:val="0"/>
                <w:color w:val="000000"/>
                <w:sz w:val="16"/>
                <w:szCs w:val="16"/>
                <w:lang w:val="en-US"/>
              </w:rPr>
              <w:t>to conduct servicing of the circulation of securities in the securities account of the nominee holding by means of depositary operations on the account (s) in securities in the manner and in the terms determined by the legislation and internal documents of the depositary institution.</w:t>
            </w:r>
          </w:p>
          <w:p w14:paraId="186D8196" w14:textId="77777777" w:rsidR="00EB25FE" w:rsidRPr="00E16672" w:rsidRDefault="00EB25FE" w:rsidP="001456E9">
            <w:pPr>
              <w:pStyle w:val="210"/>
              <w:snapToGrid w:val="0"/>
              <w:ind w:left="182" w:right="100" w:firstLine="0"/>
              <w:rPr>
                <w:rFonts w:ascii="Times New Roman" w:eastAsia="Arial" w:hAnsi="Times New Roman"/>
                <w:sz w:val="16"/>
                <w:szCs w:val="16"/>
              </w:rPr>
            </w:pPr>
          </w:p>
        </w:tc>
      </w:tr>
      <w:tr w:rsidR="00EB25FE" w:rsidRPr="00F23413" w14:paraId="78C439C2" w14:textId="77777777" w:rsidTr="005E418B">
        <w:tblPrEx>
          <w:tblCellMar>
            <w:left w:w="0" w:type="dxa"/>
            <w:right w:w="0" w:type="dxa"/>
          </w:tblCellMar>
        </w:tblPrEx>
        <w:trPr>
          <w:trHeight w:val="988"/>
        </w:trPr>
        <w:tc>
          <w:tcPr>
            <w:tcW w:w="5695" w:type="dxa"/>
            <w:gridSpan w:val="7"/>
            <w:shd w:val="clear" w:color="auto" w:fill="auto"/>
          </w:tcPr>
          <w:p w14:paraId="76292EE4" w14:textId="200105DC" w:rsidR="00EB25FE" w:rsidRPr="00E16672" w:rsidRDefault="00EB25FE" w:rsidP="007956D6">
            <w:pPr>
              <w:tabs>
                <w:tab w:val="left" w:pos="851"/>
              </w:tabs>
              <w:snapToGrid w:val="0"/>
              <w:ind w:left="182" w:firstLine="0"/>
              <w:rPr>
                <w:rFonts w:ascii="Times New Roman" w:eastAsia="Arial" w:hAnsi="Times New Roman"/>
                <w:color w:val="000000"/>
                <w:sz w:val="16"/>
                <w:szCs w:val="16"/>
              </w:rPr>
            </w:pPr>
            <w:r w:rsidRPr="00E16672">
              <w:rPr>
                <w:rFonts w:ascii="Times New Roman" w:hAnsi="Times New Roman"/>
                <w:color w:val="000000"/>
                <w:sz w:val="16"/>
                <w:szCs w:val="16"/>
              </w:rPr>
              <w:t xml:space="preserve">2.1.5. </w:t>
            </w:r>
            <w:proofErr w:type="spellStart"/>
            <w:r w:rsidRPr="00E16672">
              <w:rPr>
                <w:rFonts w:ascii="Times New Roman" w:hAnsi="Times New Roman"/>
                <w:color w:val="000000"/>
                <w:sz w:val="16"/>
                <w:szCs w:val="16"/>
              </w:rPr>
              <w:t>Здійснювати</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обслуговування</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обіг</w:t>
            </w:r>
            <w:proofErr w:type="spellEnd"/>
            <w:r w:rsidR="008B6F00">
              <w:rPr>
                <w:rFonts w:ascii="Times New Roman" w:hAnsi="Times New Roman"/>
                <w:color w:val="000000"/>
                <w:sz w:val="16"/>
                <w:szCs w:val="16"/>
                <w:lang w:val="uk-UA"/>
              </w:rPr>
              <w:t>у</w:t>
            </w:r>
            <w:r w:rsidR="00C22309" w:rsidRPr="00E16672">
              <w:rPr>
                <w:rFonts w:ascii="Times New Roman" w:hAnsi="Times New Roman"/>
                <w:color w:val="000000"/>
                <w:sz w:val="16"/>
                <w:szCs w:val="16"/>
              </w:rPr>
              <w:t xml:space="preserve"> </w:t>
            </w:r>
            <w:proofErr w:type="spellStart"/>
            <w:r w:rsidR="00C22309" w:rsidRPr="00E16672">
              <w:rPr>
                <w:rFonts w:ascii="Times New Roman" w:hAnsi="Times New Roman"/>
                <w:color w:val="000000"/>
                <w:sz w:val="16"/>
                <w:szCs w:val="16"/>
              </w:rPr>
              <w:t>цін</w:t>
            </w:r>
            <w:r w:rsidRPr="00E16672">
              <w:rPr>
                <w:rFonts w:ascii="Times New Roman" w:hAnsi="Times New Roman"/>
                <w:color w:val="000000"/>
                <w:sz w:val="16"/>
                <w:szCs w:val="16"/>
              </w:rPr>
              <w:t>них</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паперів</w:t>
            </w:r>
            <w:proofErr w:type="spellEnd"/>
            <w:r w:rsidRPr="00E16672">
              <w:rPr>
                <w:rFonts w:ascii="Times New Roman" w:hAnsi="Times New Roman"/>
                <w:color w:val="000000"/>
                <w:sz w:val="16"/>
                <w:szCs w:val="16"/>
              </w:rPr>
              <w:t xml:space="preserve"> на </w:t>
            </w:r>
            <w:proofErr w:type="spellStart"/>
            <w:r w:rsidRPr="00E16672">
              <w:rPr>
                <w:rFonts w:ascii="Times New Roman" w:hAnsi="Times New Roman"/>
                <w:color w:val="000000"/>
                <w:sz w:val="16"/>
                <w:szCs w:val="16"/>
              </w:rPr>
              <w:t>рахунку</w:t>
            </w:r>
            <w:proofErr w:type="spellEnd"/>
            <w:r w:rsidRPr="00E16672">
              <w:rPr>
                <w:rFonts w:ascii="Times New Roman" w:hAnsi="Times New Roman"/>
                <w:color w:val="000000"/>
                <w:sz w:val="16"/>
                <w:szCs w:val="16"/>
              </w:rPr>
              <w:t xml:space="preserve"> </w:t>
            </w:r>
            <w:r w:rsidR="00C22309" w:rsidRPr="00E16672">
              <w:rPr>
                <w:rFonts w:ascii="Times New Roman" w:hAnsi="Times New Roman"/>
                <w:color w:val="000000"/>
                <w:sz w:val="16"/>
                <w:szCs w:val="16"/>
              </w:rPr>
              <w:t xml:space="preserve">в </w:t>
            </w:r>
            <w:proofErr w:type="spellStart"/>
            <w:r w:rsidR="00C22309" w:rsidRPr="00E16672">
              <w:rPr>
                <w:rFonts w:ascii="Times New Roman" w:hAnsi="Times New Roman"/>
                <w:color w:val="000000"/>
                <w:sz w:val="16"/>
                <w:szCs w:val="16"/>
              </w:rPr>
              <w:t>цін</w:t>
            </w:r>
            <w:r w:rsidRPr="00E16672">
              <w:rPr>
                <w:rFonts w:ascii="Times New Roman" w:hAnsi="Times New Roman"/>
                <w:color w:val="000000"/>
                <w:sz w:val="16"/>
                <w:szCs w:val="16"/>
              </w:rPr>
              <w:t>них</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паперах</w:t>
            </w:r>
            <w:proofErr w:type="spellEnd"/>
            <w:r w:rsidRPr="00E16672">
              <w:rPr>
                <w:rFonts w:ascii="Times New Roman" w:hAnsi="Times New Roman"/>
                <w:color w:val="000000"/>
                <w:sz w:val="16"/>
                <w:szCs w:val="16"/>
              </w:rPr>
              <w:t xml:space="preserve"> </w:t>
            </w:r>
            <w:r w:rsidR="00C42851" w:rsidRPr="00E16672">
              <w:rPr>
                <w:rFonts w:ascii="Times New Roman" w:hAnsi="Times New Roman"/>
                <w:color w:val="000000"/>
                <w:sz w:val="16"/>
                <w:szCs w:val="16"/>
                <w:lang w:val="uk-UA"/>
              </w:rPr>
              <w:t>Номінального утримувача</w:t>
            </w:r>
            <w:r w:rsidRPr="00E16672">
              <w:rPr>
                <w:rFonts w:ascii="Times New Roman" w:hAnsi="Times New Roman"/>
                <w:color w:val="000000"/>
                <w:sz w:val="16"/>
                <w:szCs w:val="16"/>
              </w:rPr>
              <w:t xml:space="preserve"> шляхом </w:t>
            </w:r>
            <w:proofErr w:type="spellStart"/>
            <w:r w:rsidRPr="00E16672">
              <w:rPr>
                <w:rFonts w:ascii="Times New Roman" w:hAnsi="Times New Roman"/>
                <w:color w:val="000000"/>
                <w:sz w:val="16"/>
                <w:szCs w:val="16"/>
              </w:rPr>
              <w:t>проведення</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депозитарних</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операцій</w:t>
            </w:r>
            <w:proofErr w:type="spellEnd"/>
            <w:r w:rsidRPr="00E16672">
              <w:rPr>
                <w:rFonts w:ascii="Times New Roman" w:hAnsi="Times New Roman"/>
                <w:color w:val="000000"/>
                <w:sz w:val="16"/>
                <w:szCs w:val="16"/>
              </w:rPr>
              <w:t xml:space="preserve"> за </w:t>
            </w:r>
            <w:proofErr w:type="spellStart"/>
            <w:r w:rsidRPr="00E16672">
              <w:rPr>
                <w:rFonts w:ascii="Times New Roman" w:hAnsi="Times New Roman"/>
                <w:color w:val="000000"/>
                <w:sz w:val="16"/>
                <w:szCs w:val="16"/>
              </w:rPr>
              <w:t>рахунком</w:t>
            </w:r>
            <w:proofErr w:type="spellEnd"/>
            <w:r w:rsidRPr="00E16672">
              <w:rPr>
                <w:rFonts w:ascii="Times New Roman" w:hAnsi="Times New Roman"/>
                <w:color w:val="000000"/>
                <w:sz w:val="16"/>
                <w:szCs w:val="16"/>
              </w:rPr>
              <w:t xml:space="preserve"> </w:t>
            </w:r>
            <w:r w:rsidR="00C22309" w:rsidRPr="00E16672">
              <w:rPr>
                <w:rFonts w:ascii="Times New Roman" w:hAnsi="Times New Roman"/>
                <w:color w:val="000000"/>
                <w:sz w:val="16"/>
                <w:szCs w:val="16"/>
              </w:rPr>
              <w:t xml:space="preserve">в </w:t>
            </w:r>
            <w:proofErr w:type="spellStart"/>
            <w:r w:rsidR="00C22309" w:rsidRPr="00E16672">
              <w:rPr>
                <w:rFonts w:ascii="Times New Roman" w:hAnsi="Times New Roman"/>
                <w:color w:val="000000"/>
                <w:sz w:val="16"/>
                <w:szCs w:val="16"/>
              </w:rPr>
              <w:t>цін</w:t>
            </w:r>
            <w:r w:rsidRPr="00E16672">
              <w:rPr>
                <w:rFonts w:ascii="Times New Roman" w:hAnsi="Times New Roman"/>
                <w:color w:val="000000"/>
                <w:sz w:val="16"/>
                <w:szCs w:val="16"/>
              </w:rPr>
              <w:t>них</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паперах</w:t>
            </w:r>
            <w:proofErr w:type="spellEnd"/>
            <w:r w:rsidRPr="00E16672">
              <w:rPr>
                <w:rFonts w:ascii="Times New Roman" w:hAnsi="Times New Roman"/>
                <w:color w:val="000000"/>
                <w:sz w:val="16"/>
                <w:szCs w:val="16"/>
              </w:rPr>
              <w:t xml:space="preserve"> </w:t>
            </w:r>
            <w:proofErr w:type="gramStart"/>
            <w:r w:rsidRPr="00E16672">
              <w:rPr>
                <w:rFonts w:ascii="Times New Roman" w:hAnsi="Times New Roman"/>
                <w:color w:val="000000"/>
                <w:sz w:val="16"/>
                <w:szCs w:val="16"/>
              </w:rPr>
              <w:t>у порядку</w:t>
            </w:r>
            <w:proofErr w:type="gramEnd"/>
            <w:r w:rsidRPr="00E16672">
              <w:rPr>
                <w:rFonts w:ascii="Times New Roman" w:hAnsi="Times New Roman"/>
                <w:color w:val="000000"/>
                <w:sz w:val="16"/>
                <w:szCs w:val="16"/>
              </w:rPr>
              <w:t xml:space="preserve"> та строки, </w:t>
            </w:r>
            <w:proofErr w:type="spellStart"/>
            <w:r w:rsidRPr="00E16672">
              <w:rPr>
                <w:rFonts w:ascii="Times New Roman" w:hAnsi="Times New Roman"/>
                <w:color w:val="000000"/>
                <w:sz w:val="16"/>
                <w:szCs w:val="16"/>
              </w:rPr>
              <w:t>визначені</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законодавством</w:t>
            </w:r>
            <w:proofErr w:type="spellEnd"/>
            <w:r w:rsidRPr="00E16672">
              <w:rPr>
                <w:rFonts w:ascii="Times New Roman" w:hAnsi="Times New Roman"/>
                <w:color w:val="000000"/>
                <w:sz w:val="16"/>
                <w:szCs w:val="16"/>
              </w:rPr>
              <w:t xml:space="preserve"> та </w:t>
            </w:r>
            <w:proofErr w:type="spellStart"/>
            <w:r w:rsidRPr="00E16672">
              <w:rPr>
                <w:rFonts w:ascii="Times New Roman" w:hAnsi="Times New Roman"/>
                <w:color w:val="000000"/>
                <w:sz w:val="16"/>
                <w:szCs w:val="16"/>
              </w:rPr>
              <w:t>внутрішніми</w:t>
            </w:r>
            <w:proofErr w:type="spellEnd"/>
            <w:r w:rsidRPr="00E16672">
              <w:rPr>
                <w:rFonts w:ascii="Times New Roman" w:hAnsi="Times New Roman"/>
                <w:color w:val="000000"/>
                <w:sz w:val="16"/>
                <w:szCs w:val="16"/>
              </w:rPr>
              <w:t xml:space="preserve"> документами </w:t>
            </w:r>
            <w:proofErr w:type="spellStart"/>
            <w:r w:rsidRPr="00E16672">
              <w:rPr>
                <w:rFonts w:ascii="Times New Roman" w:hAnsi="Times New Roman"/>
                <w:color w:val="000000"/>
                <w:sz w:val="16"/>
                <w:szCs w:val="16"/>
              </w:rPr>
              <w:t>Депозитарної</w:t>
            </w:r>
            <w:proofErr w:type="spellEnd"/>
            <w:r w:rsidRPr="00E16672">
              <w:rPr>
                <w:rFonts w:ascii="Times New Roman" w:hAnsi="Times New Roman"/>
                <w:color w:val="000000"/>
                <w:sz w:val="16"/>
                <w:szCs w:val="16"/>
              </w:rPr>
              <w:t xml:space="preserve"> установи.</w:t>
            </w:r>
          </w:p>
        </w:tc>
        <w:tc>
          <w:tcPr>
            <w:tcW w:w="5495" w:type="dxa"/>
            <w:gridSpan w:val="8"/>
            <w:shd w:val="clear" w:color="auto" w:fill="auto"/>
          </w:tcPr>
          <w:p w14:paraId="24F8D305" w14:textId="77777777" w:rsidR="00EB25FE" w:rsidRPr="00E16672" w:rsidRDefault="00EB25FE" w:rsidP="001456E9">
            <w:pPr>
              <w:pStyle w:val="ab"/>
              <w:snapToGrid w:val="0"/>
              <w:ind w:left="182" w:right="57" w:firstLine="0"/>
              <w:jc w:val="both"/>
              <w:rPr>
                <w:rFonts w:ascii="Times New Roman" w:eastAsia="Arial" w:hAnsi="Times New Roman"/>
                <w:b w:val="0"/>
                <w:color w:val="000000"/>
                <w:sz w:val="16"/>
                <w:szCs w:val="16"/>
                <w:lang w:val="en-US"/>
              </w:rPr>
            </w:pPr>
            <w:r w:rsidRPr="00E16672">
              <w:rPr>
                <w:rFonts w:ascii="Times New Roman" w:hAnsi="Times New Roman"/>
                <w:b w:val="0"/>
                <w:color w:val="000000"/>
                <w:sz w:val="16"/>
                <w:szCs w:val="16"/>
              </w:rPr>
              <w:t xml:space="preserve">2.1.5. </w:t>
            </w:r>
            <w:r w:rsidRPr="00E16672">
              <w:rPr>
                <w:rFonts w:ascii="Times New Roman" w:hAnsi="Times New Roman"/>
                <w:b w:val="0"/>
                <w:color w:val="000000"/>
                <w:sz w:val="16"/>
                <w:szCs w:val="16"/>
                <w:lang w:val="en-US"/>
              </w:rPr>
              <w:t xml:space="preserve"> </w:t>
            </w:r>
            <w:r w:rsidRPr="00E16672">
              <w:rPr>
                <w:rFonts w:ascii="Times New Roman" w:eastAsia="Arial" w:hAnsi="Times New Roman"/>
                <w:b w:val="0"/>
                <w:color w:val="000000"/>
                <w:sz w:val="16"/>
                <w:szCs w:val="16"/>
                <w:lang w:val="en-US"/>
              </w:rPr>
              <w:t xml:space="preserve">To manage servicing </w:t>
            </w:r>
            <w:proofErr w:type="gramStart"/>
            <w:r w:rsidRPr="00E16672">
              <w:rPr>
                <w:rFonts w:ascii="Times New Roman" w:eastAsia="Arial" w:hAnsi="Times New Roman"/>
                <w:b w:val="0"/>
                <w:color w:val="000000"/>
                <w:sz w:val="16"/>
                <w:szCs w:val="16"/>
                <w:lang w:val="en-US"/>
              </w:rPr>
              <w:t>of  securities</w:t>
            </w:r>
            <w:proofErr w:type="gramEnd"/>
            <w:r w:rsidRPr="00E16672">
              <w:rPr>
                <w:rFonts w:ascii="Times New Roman" w:eastAsia="Arial" w:hAnsi="Times New Roman"/>
                <w:b w:val="0"/>
                <w:color w:val="000000"/>
                <w:sz w:val="16"/>
                <w:szCs w:val="16"/>
                <w:lang w:val="en-US"/>
              </w:rPr>
              <w:t xml:space="preserve"> </w:t>
            </w:r>
            <w:proofErr w:type="spellStart"/>
            <w:r w:rsidRPr="00E16672">
              <w:rPr>
                <w:rFonts w:ascii="Times New Roman" w:eastAsia="Arial" w:hAnsi="Times New Roman"/>
                <w:b w:val="0"/>
                <w:color w:val="000000"/>
                <w:sz w:val="16"/>
                <w:szCs w:val="16"/>
                <w:lang w:val="en-US"/>
              </w:rPr>
              <w:t>onthe</w:t>
            </w:r>
            <w:proofErr w:type="spellEnd"/>
            <w:r w:rsidRPr="00E16672">
              <w:rPr>
                <w:rFonts w:ascii="Times New Roman" w:eastAsia="Arial" w:hAnsi="Times New Roman"/>
                <w:b w:val="0"/>
                <w:color w:val="000000"/>
                <w:sz w:val="16"/>
                <w:szCs w:val="16"/>
                <w:lang w:val="en-US"/>
              </w:rPr>
              <w:t xml:space="preserve"> account in securities of </w:t>
            </w:r>
            <w:r w:rsidR="00C42851" w:rsidRPr="00E16672">
              <w:rPr>
                <w:rFonts w:ascii="Times New Roman" w:hAnsi="Times New Roman"/>
                <w:b w:val="0"/>
                <w:sz w:val="16"/>
                <w:szCs w:val="16"/>
                <w:lang w:val="en-GB"/>
              </w:rPr>
              <w:t>Nominal holder</w:t>
            </w:r>
            <w:r w:rsidR="00C42851" w:rsidRPr="00E16672">
              <w:rPr>
                <w:rFonts w:ascii="Times New Roman" w:eastAsia="Arial" w:hAnsi="Times New Roman"/>
                <w:b w:val="0"/>
                <w:color w:val="000000"/>
                <w:sz w:val="16"/>
                <w:szCs w:val="16"/>
                <w:lang w:val="en-US"/>
              </w:rPr>
              <w:t xml:space="preserve"> </w:t>
            </w:r>
            <w:r w:rsidRPr="00E16672">
              <w:rPr>
                <w:rFonts w:ascii="Times New Roman" w:eastAsia="Arial" w:hAnsi="Times New Roman"/>
                <w:b w:val="0"/>
                <w:color w:val="000000"/>
                <w:sz w:val="16"/>
                <w:szCs w:val="16"/>
                <w:lang w:val="en-US"/>
              </w:rPr>
              <w:t>by implementation of depositary operations after this account  in the procedure and time limits set by law and/or internal documents of the Depository institution.</w:t>
            </w:r>
          </w:p>
        </w:tc>
      </w:tr>
      <w:tr w:rsidR="00EB25FE" w:rsidRPr="00F23413" w14:paraId="6695855D" w14:textId="77777777" w:rsidTr="005E418B">
        <w:tblPrEx>
          <w:tblCellMar>
            <w:left w:w="0" w:type="dxa"/>
            <w:right w:w="0" w:type="dxa"/>
          </w:tblCellMar>
        </w:tblPrEx>
        <w:trPr>
          <w:trHeight w:val="192"/>
        </w:trPr>
        <w:tc>
          <w:tcPr>
            <w:tcW w:w="5695" w:type="dxa"/>
            <w:gridSpan w:val="7"/>
            <w:shd w:val="clear" w:color="auto" w:fill="auto"/>
          </w:tcPr>
          <w:p w14:paraId="1AE8CA9B" w14:textId="77777777" w:rsidR="00EB25FE" w:rsidRPr="00E16672" w:rsidRDefault="00EB25FE" w:rsidP="007956D6">
            <w:pPr>
              <w:tabs>
                <w:tab w:val="left" w:pos="867"/>
              </w:tabs>
              <w:snapToGrid w:val="0"/>
              <w:ind w:left="182" w:right="138" w:firstLine="0"/>
              <w:rPr>
                <w:rFonts w:ascii="Times New Roman" w:eastAsia="Arial" w:hAnsi="Times New Roman"/>
                <w:color w:val="000000"/>
                <w:spacing w:val="-9"/>
                <w:sz w:val="16"/>
                <w:szCs w:val="16"/>
                <w:lang w:val="uk-UA"/>
              </w:rPr>
            </w:pPr>
            <w:r w:rsidRPr="00E16672">
              <w:rPr>
                <w:rFonts w:ascii="Times New Roman" w:eastAsia="Arial" w:hAnsi="Times New Roman"/>
                <w:color w:val="000000"/>
                <w:sz w:val="16"/>
                <w:szCs w:val="16"/>
              </w:rPr>
              <w:t>2.1.6.</w:t>
            </w:r>
            <w:r w:rsidRPr="00E16672">
              <w:rPr>
                <w:rFonts w:ascii="Times New Roman" w:hAnsi="Times New Roman"/>
                <w:color w:val="000000"/>
                <w:sz w:val="16"/>
                <w:szCs w:val="16"/>
                <w:lang w:val="uk-UA"/>
              </w:rPr>
              <w:t xml:space="preserve"> </w:t>
            </w:r>
            <w:r w:rsidR="00892E22" w:rsidRPr="00E16672">
              <w:rPr>
                <w:rFonts w:ascii="Times New Roman" w:hAnsi="Times New Roman"/>
                <w:sz w:val="16"/>
                <w:szCs w:val="16"/>
                <w:lang w:val="uk-UA"/>
              </w:rPr>
              <w:t>У</w:t>
            </w:r>
            <w:r w:rsidR="00892E22" w:rsidRPr="00E16672">
              <w:rPr>
                <w:rFonts w:ascii="Times New Roman" w:hAnsi="Times New Roman"/>
                <w:sz w:val="16"/>
                <w:szCs w:val="16"/>
              </w:rPr>
              <w:t xml:space="preserve"> </w:t>
            </w:r>
            <w:proofErr w:type="spellStart"/>
            <w:r w:rsidR="00892E22" w:rsidRPr="00E16672">
              <w:rPr>
                <w:rFonts w:ascii="Times New Roman" w:hAnsi="Times New Roman"/>
                <w:sz w:val="16"/>
                <w:szCs w:val="16"/>
              </w:rPr>
              <w:t>разі</w:t>
            </w:r>
            <w:proofErr w:type="spellEnd"/>
            <w:r w:rsidR="00892E22" w:rsidRPr="00E16672">
              <w:rPr>
                <w:rFonts w:ascii="Times New Roman" w:hAnsi="Times New Roman"/>
                <w:sz w:val="16"/>
                <w:szCs w:val="16"/>
              </w:rPr>
              <w:t xml:space="preserve"> </w:t>
            </w:r>
            <w:proofErr w:type="spellStart"/>
            <w:r w:rsidR="00892E22" w:rsidRPr="00E16672">
              <w:rPr>
                <w:rFonts w:ascii="Times New Roman" w:hAnsi="Times New Roman"/>
                <w:sz w:val="16"/>
                <w:szCs w:val="16"/>
              </w:rPr>
              <w:t>отримання</w:t>
            </w:r>
            <w:proofErr w:type="spellEnd"/>
            <w:r w:rsidR="00892E22" w:rsidRPr="00E16672">
              <w:rPr>
                <w:rFonts w:ascii="Times New Roman" w:hAnsi="Times New Roman"/>
                <w:sz w:val="16"/>
                <w:szCs w:val="16"/>
              </w:rPr>
              <w:t xml:space="preserve"> </w:t>
            </w:r>
            <w:proofErr w:type="spellStart"/>
            <w:r w:rsidR="00892E22" w:rsidRPr="00E16672">
              <w:rPr>
                <w:rFonts w:ascii="Times New Roman" w:hAnsi="Times New Roman"/>
                <w:sz w:val="16"/>
                <w:szCs w:val="16"/>
              </w:rPr>
              <w:t>інформації</w:t>
            </w:r>
            <w:proofErr w:type="spellEnd"/>
            <w:r w:rsidR="00892E22" w:rsidRPr="00E16672">
              <w:rPr>
                <w:rFonts w:ascii="Times New Roman" w:hAnsi="Times New Roman"/>
                <w:sz w:val="16"/>
                <w:szCs w:val="16"/>
              </w:rPr>
              <w:t xml:space="preserve"> / </w:t>
            </w:r>
            <w:proofErr w:type="spellStart"/>
            <w:r w:rsidR="00892E22" w:rsidRPr="00E16672">
              <w:rPr>
                <w:rFonts w:ascii="Times New Roman" w:hAnsi="Times New Roman"/>
                <w:sz w:val="16"/>
                <w:szCs w:val="16"/>
              </w:rPr>
              <w:t>встановлення</w:t>
            </w:r>
            <w:proofErr w:type="spellEnd"/>
            <w:r w:rsidR="00892E22" w:rsidRPr="00E16672">
              <w:rPr>
                <w:rFonts w:ascii="Times New Roman" w:hAnsi="Times New Roman"/>
                <w:sz w:val="16"/>
                <w:szCs w:val="16"/>
              </w:rPr>
              <w:t xml:space="preserve"> факту </w:t>
            </w:r>
            <w:proofErr w:type="spellStart"/>
            <w:r w:rsidR="00892E22" w:rsidRPr="00E16672">
              <w:rPr>
                <w:rFonts w:ascii="Times New Roman" w:hAnsi="Times New Roman"/>
                <w:sz w:val="16"/>
                <w:szCs w:val="16"/>
              </w:rPr>
              <w:t>щодо</w:t>
            </w:r>
            <w:proofErr w:type="spellEnd"/>
            <w:r w:rsidR="00892E22" w:rsidRPr="00E16672">
              <w:rPr>
                <w:rFonts w:ascii="Times New Roman" w:hAnsi="Times New Roman"/>
                <w:sz w:val="16"/>
                <w:szCs w:val="16"/>
              </w:rPr>
              <w:t xml:space="preserve"> </w:t>
            </w:r>
            <w:proofErr w:type="spellStart"/>
            <w:r w:rsidR="00892E22" w:rsidRPr="00E16672">
              <w:rPr>
                <w:rFonts w:ascii="Times New Roman" w:hAnsi="Times New Roman"/>
                <w:sz w:val="16"/>
                <w:szCs w:val="16"/>
              </w:rPr>
              <w:t>порушення</w:t>
            </w:r>
            <w:proofErr w:type="spellEnd"/>
            <w:r w:rsidR="00892E22" w:rsidRPr="00E16672">
              <w:rPr>
                <w:rFonts w:ascii="Times New Roman" w:hAnsi="Times New Roman"/>
                <w:sz w:val="16"/>
                <w:szCs w:val="16"/>
              </w:rPr>
              <w:t xml:space="preserve"> </w:t>
            </w:r>
            <w:proofErr w:type="spellStart"/>
            <w:r w:rsidR="00892E22" w:rsidRPr="00E16672">
              <w:rPr>
                <w:rFonts w:ascii="Times New Roman" w:hAnsi="Times New Roman"/>
                <w:sz w:val="16"/>
                <w:szCs w:val="16"/>
              </w:rPr>
              <w:t>номінальним</w:t>
            </w:r>
            <w:proofErr w:type="spellEnd"/>
            <w:r w:rsidR="00892E22" w:rsidRPr="00E16672">
              <w:rPr>
                <w:rFonts w:ascii="Times New Roman" w:hAnsi="Times New Roman"/>
                <w:sz w:val="16"/>
                <w:szCs w:val="16"/>
              </w:rPr>
              <w:t xml:space="preserve"> </w:t>
            </w:r>
            <w:proofErr w:type="spellStart"/>
            <w:r w:rsidR="00892E22" w:rsidRPr="00E16672">
              <w:rPr>
                <w:rFonts w:ascii="Times New Roman" w:hAnsi="Times New Roman"/>
                <w:sz w:val="16"/>
                <w:szCs w:val="16"/>
              </w:rPr>
              <w:t>утримувачем</w:t>
            </w:r>
            <w:proofErr w:type="spellEnd"/>
            <w:r w:rsidR="00892E22" w:rsidRPr="00E16672">
              <w:rPr>
                <w:rFonts w:ascii="Times New Roman" w:hAnsi="Times New Roman"/>
                <w:sz w:val="16"/>
                <w:szCs w:val="16"/>
              </w:rPr>
              <w:t xml:space="preserve"> </w:t>
            </w:r>
            <w:proofErr w:type="spellStart"/>
            <w:r w:rsidR="00892E22" w:rsidRPr="00E16672">
              <w:rPr>
                <w:rFonts w:ascii="Times New Roman" w:hAnsi="Times New Roman"/>
                <w:sz w:val="16"/>
                <w:szCs w:val="16"/>
              </w:rPr>
              <w:t>визначених</w:t>
            </w:r>
            <w:proofErr w:type="spellEnd"/>
            <w:r w:rsidR="00892E22" w:rsidRPr="00E16672">
              <w:rPr>
                <w:rFonts w:ascii="Times New Roman" w:hAnsi="Times New Roman"/>
                <w:sz w:val="16"/>
                <w:szCs w:val="16"/>
              </w:rPr>
              <w:t xml:space="preserve"> </w:t>
            </w:r>
            <w:proofErr w:type="spellStart"/>
            <w:r w:rsidR="00892E22" w:rsidRPr="00E16672">
              <w:rPr>
                <w:rFonts w:ascii="Times New Roman" w:hAnsi="Times New Roman"/>
                <w:sz w:val="16"/>
                <w:szCs w:val="16"/>
              </w:rPr>
              <w:t>законодавством</w:t>
            </w:r>
            <w:proofErr w:type="spellEnd"/>
            <w:r w:rsidR="00892E22" w:rsidRPr="00E16672">
              <w:rPr>
                <w:rFonts w:ascii="Times New Roman" w:hAnsi="Times New Roman"/>
                <w:sz w:val="16"/>
                <w:szCs w:val="16"/>
              </w:rPr>
              <w:t xml:space="preserve"> </w:t>
            </w:r>
            <w:proofErr w:type="spellStart"/>
            <w:r w:rsidR="00892E22" w:rsidRPr="00E16672">
              <w:rPr>
                <w:rFonts w:ascii="Times New Roman" w:hAnsi="Times New Roman"/>
                <w:sz w:val="16"/>
                <w:szCs w:val="16"/>
              </w:rPr>
              <w:t>України</w:t>
            </w:r>
            <w:proofErr w:type="spellEnd"/>
            <w:r w:rsidR="00892E22" w:rsidRPr="00E16672">
              <w:rPr>
                <w:rFonts w:ascii="Times New Roman" w:hAnsi="Times New Roman"/>
                <w:sz w:val="16"/>
                <w:szCs w:val="16"/>
              </w:rPr>
              <w:t xml:space="preserve"> </w:t>
            </w:r>
            <w:proofErr w:type="spellStart"/>
            <w:r w:rsidR="00892E22" w:rsidRPr="00E16672">
              <w:rPr>
                <w:rFonts w:ascii="Times New Roman" w:hAnsi="Times New Roman"/>
                <w:sz w:val="16"/>
                <w:szCs w:val="16"/>
              </w:rPr>
              <w:t>вимог</w:t>
            </w:r>
            <w:proofErr w:type="spellEnd"/>
            <w:r w:rsidR="00892E22" w:rsidRPr="00E16672">
              <w:rPr>
                <w:rFonts w:ascii="Times New Roman" w:hAnsi="Times New Roman"/>
                <w:sz w:val="16"/>
                <w:szCs w:val="16"/>
              </w:rPr>
              <w:t xml:space="preserve"> до </w:t>
            </w:r>
            <w:proofErr w:type="spellStart"/>
            <w:r w:rsidR="00892E22" w:rsidRPr="00E16672">
              <w:rPr>
                <w:rFonts w:ascii="Times New Roman" w:hAnsi="Times New Roman"/>
                <w:sz w:val="16"/>
                <w:szCs w:val="16"/>
              </w:rPr>
              <w:t>номінального</w:t>
            </w:r>
            <w:proofErr w:type="spellEnd"/>
            <w:r w:rsidR="00892E22" w:rsidRPr="00E16672">
              <w:rPr>
                <w:rFonts w:ascii="Times New Roman" w:hAnsi="Times New Roman"/>
                <w:sz w:val="16"/>
                <w:szCs w:val="16"/>
              </w:rPr>
              <w:t xml:space="preserve"> </w:t>
            </w:r>
            <w:proofErr w:type="spellStart"/>
            <w:r w:rsidR="00892E22" w:rsidRPr="00E16672">
              <w:rPr>
                <w:rFonts w:ascii="Times New Roman" w:hAnsi="Times New Roman"/>
                <w:sz w:val="16"/>
                <w:szCs w:val="16"/>
              </w:rPr>
              <w:t>утримувача</w:t>
            </w:r>
            <w:proofErr w:type="spellEnd"/>
            <w:r w:rsidR="00892E22" w:rsidRPr="00E16672">
              <w:rPr>
                <w:rFonts w:ascii="Times New Roman" w:hAnsi="Times New Roman"/>
                <w:sz w:val="16"/>
                <w:szCs w:val="16"/>
              </w:rPr>
              <w:t xml:space="preserve"> не </w:t>
            </w:r>
            <w:proofErr w:type="spellStart"/>
            <w:r w:rsidR="00892E22" w:rsidRPr="00E16672">
              <w:rPr>
                <w:rFonts w:ascii="Times New Roman" w:hAnsi="Times New Roman"/>
                <w:sz w:val="16"/>
                <w:szCs w:val="16"/>
              </w:rPr>
              <w:t>пізніше</w:t>
            </w:r>
            <w:proofErr w:type="spellEnd"/>
            <w:r w:rsidR="00892E22" w:rsidRPr="00E16672">
              <w:rPr>
                <w:rFonts w:ascii="Times New Roman" w:hAnsi="Times New Roman"/>
                <w:sz w:val="16"/>
                <w:szCs w:val="16"/>
              </w:rPr>
              <w:t xml:space="preserve"> </w:t>
            </w:r>
            <w:proofErr w:type="spellStart"/>
            <w:r w:rsidR="00892E22" w:rsidRPr="00E16672">
              <w:rPr>
                <w:rFonts w:ascii="Times New Roman" w:hAnsi="Times New Roman"/>
                <w:sz w:val="16"/>
                <w:szCs w:val="16"/>
              </w:rPr>
              <w:t>наступного</w:t>
            </w:r>
            <w:proofErr w:type="spellEnd"/>
            <w:r w:rsidR="00892E22" w:rsidRPr="00E16672">
              <w:rPr>
                <w:rFonts w:ascii="Times New Roman" w:hAnsi="Times New Roman"/>
                <w:sz w:val="16"/>
                <w:szCs w:val="16"/>
              </w:rPr>
              <w:t xml:space="preserve"> </w:t>
            </w:r>
            <w:proofErr w:type="spellStart"/>
            <w:r w:rsidR="00892E22" w:rsidRPr="00E16672">
              <w:rPr>
                <w:rFonts w:ascii="Times New Roman" w:hAnsi="Times New Roman"/>
                <w:sz w:val="16"/>
                <w:szCs w:val="16"/>
              </w:rPr>
              <w:t>робочого</w:t>
            </w:r>
            <w:proofErr w:type="spellEnd"/>
            <w:r w:rsidR="00892E22" w:rsidRPr="00E16672">
              <w:rPr>
                <w:rFonts w:ascii="Times New Roman" w:hAnsi="Times New Roman"/>
                <w:sz w:val="16"/>
                <w:szCs w:val="16"/>
              </w:rPr>
              <w:t xml:space="preserve"> дня з дня </w:t>
            </w:r>
            <w:proofErr w:type="spellStart"/>
            <w:r w:rsidR="00892E22" w:rsidRPr="00E16672">
              <w:rPr>
                <w:rFonts w:ascii="Times New Roman" w:hAnsi="Times New Roman"/>
                <w:sz w:val="16"/>
                <w:szCs w:val="16"/>
              </w:rPr>
              <w:t>настання</w:t>
            </w:r>
            <w:proofErr w:type="spellEnd"/>
            <w:r w:rsidR="00892E22" w:rsidRPr="00E16672">
              <w:rPr>
                <w:rFonts w:ascii="Times New Roman" w:hAnsi="Times New Roman"/>
                <w:sz w:val="16"/>
                <w:szCs w:val="16"/>
              </w:rPr>
              <w:t xml:space="preserve"> </w:t>
            </w:r>
            <w:proofErr w:type="spellStart"/>
            <w:r w:rsidR="00892E22" w:rsidRPr="00E16672">
              <w:rPr>
                <w:rFonts w:ascii="Times New Roman" w:hAnsi="Times New Roman"/>
                <w:sz w:val="16"/>
                <w:szCs w:val="16"/>
              </w:rPr>
              <w:t>такої</w:t>
            </w:r>
            <w:proofErr w:type="spellEnd"/>
            <w:r w:rsidR="00892E22" w:rsidRPr="00E16672">
              <w:rPr>
                <w:rFonts w:ascii="Times New Roman" w:hAnsi="Times New Roman"/>
                <w:sz w:val="16"/>
                <w:szCs w:val="16"/>
              </w:rPr>
              <w:t xml:space="preserve"> </w:t>
            </w:r>
            <w:proofErr w:type="spellStart"/>
            <w:r w:rsidR="00892E22" w:rsidRPr="00E16672">
              <w:rPr>
                <w:rFonts w:ascii="Times New Roman" w:hAnsi="Times New Roman"/>
                <w:sz w:val="16"/>
                <w:szCs w:val="16"/>
              </w:rPr>
              <w:t>події</w:t>
            </w:r>
            <w:proofErr w:type="spellEnd"/>
            <w:r w:rsidR="00892E22" w:rsidRPr="00E16672">
              <w:rPr>
                <w:rFonts w:ascii="Times New Roman" w:hAnsi="Times New Roman"/>
                <w:sz w:val="16"/>
                <w:szCs w:val="16"/>
              </w:rPr>
              <w:t xml:space="preserve"> </w:t>
            </w:r>
            <w:proofErr w:type="spellStart"/>
            <w:r w:rsidR="00892E22" w:rsidRPr="00E16672">
              <w:rPr>
                <w:rFonts w:ascii="Times New Roman" w:hAnsi="Times New Roman"/>
                <w:sz w:val="16"/>
                <w:szCs w:val="16"/>
              </w:rPr>
              <w:t>припинити</w:t>
            </w:r>
            <w:proofErr w:type="spellEnd"/>
            <w:r w:rsidR="00892E22" w:rsidRPr="00E16672">
              <w:rPr>
                <w:rFonts w:ascii="Times New Roman" w:hAnsi="Times New Roman"/>
                <w:sz w:val="16"/>
                <w:szCs w:val="16"/>
              </w:rPr>
              <w:t xml:space="preserve"> </w:t>
            </w:r>
            <w:proofErr w:type="spellStart"/>
            <w:r w:rsidR="00892E22" w:rsidRPr="00E16672">
              <w:rPr>
                <w:rFonts w:ascii="Times New Roman" w:hAnsi="Times New Roman"/>
                <w:sz w:val="16"/>
                <w:szCs w:val="16"/>
              </w:rPr>
              <w:t>проведення</w:t>
            </w:r>
            <w:proofErr w:type="spellEnd"/>
            <w:r w:rsidR="00892E22" w:rsidRPr="00E16672">
              <w:rPr>
                <w:rFonts w:ascii="Times New Roman" w:hAnsi="Times New Roman"/>
                <w:sz w:val="16"/>
                <w:szCs w:val="16"/>
              </w:rPr>
              <w:t xml:space="preserve"> </w:t>
            </w:r>
            <w:proofErr w:type="spellStart"/>
            <w:r w:rsidR="00892E22" w:rsidRPr="00E16672">
              <w:rPr>
                <w:rFonts w:ascii="Times New Roman" w:hAnsi="Times New Roman"/>
                <w:sz w:val="16"/>
                <w:szCs w:val="16"/>
              </w:rPr>
              <w:t>облікових</w:t>
            </w:r>
            <w:proofErr w:type="spellEnd"/>
            <w:r w:rsidR="00892E22" w:rsidRPr="00E16672">
              <w:rPr>
                <w:rFonts w:ascii="Times New Roman" w:hAnsi="Times New Roman"/>
                <w:sz w:val="16"/>
                <w:szCs w:val="16"/>
              </w:rPr>
              <w:t xml:space="preserve"> </w:t>
            </w:r>
            <w:proofErr w:type="spellStart"/>
            <w:r w:rsidR="00892E22" w:rsidRPr="00E16672">
              <w:rPr>
                <w:rFonts w:ascii="Times New Roman" w:hAnsi="Times New Roman"/>
                <w:sz w:val="16"/>
                <w:szCs w:val="16"/>
              </w:rPr>
              <w:t>депозитарних</w:t>
            </w:r>
            <w:proofErr w:type="spellEnd"/>
            <w:r w:rsidR="00892E22" w:rsidRPr="00E16672">
              <w:rPr>
                <w:rFonts w:ascii="Times New Roman" w:hAnsi="Times New Roman"/>
                <w:sz w:val="16"/>
                <w:szCs w:val="16"/>
              </w:rPr>
              <w:t xml:space="preserve"> </w:t>
            </w:r>
            <w:proofErr w:type="spellStart"/>
            <w:r w:rsidR="00892E22" w:rsidRPr="00E16672">
              <w:rPr>
                <w:rFonts w:ascii="Times New Roman" w:hAnsi="Times New Roman"/>
                <w:sz w:val="16"/>
                <w:szCs w:val="16"/>
              </w:rPr>
              <w:t>операцій</w:t>
            </w:r>
            <w:proofErr w:type="spellEnd"/>
            <w:r w:rsidR="00892E22" w:rsidRPr="00E16672">
              <w:rPr>
                <w:rFonts w:ascii="Times New Roman" w:hAnsi="Times New Roman"/>
                <w:sz w:val="16"/>
                <w:szCs w:val="16"/>
              </w:rPr>
              <w:t xml:space="preserve"> за </w:t>
            </w:r>
            <w:proofErr w:type="spellStart"/>
            <w:r w:rsidR="00892E22" w:rsidRPr="00E16672">
              <w:rPr>
                <w:rFonts w:ascii="Times New Roman" w:hAnsi="Times New Roman"/>
                <w:sz w:val="16"/>
                <w:szCs w:val="16"/>
              </w:rPr>
              <w:t>рахунком</w:t>
            </w:r>
            <w:proofErr w:type="spellEnd"/>
            <w:r w:rsidR="00892E22" w:rsidRPr="00E16672">
              <w:rPr>
                <w:rFonts w:ascii="Times New Roman" w:hAnsi="Times New Roman"/>
                <w:sz w:val="16"/>
                <w:szCs w:val="16"/>
              </w:rPr>
              <w:t xml:space="preserve"> </w:t>
            </w:r>
            <w:r w:rsidR="00C22309" w:rsidRPr="00E16672">
              <w:rPr>
                <w:rFonts w:ascii="Times New Roman" w:hAnsi="Times New Roman"/>
                <w:sz w:val="16"/>
                <w:szCs w:val="16"/>
              </w:rPr>
              <w:t xml:space="preserve">в </w:t>
            </w:r>
            <w:proofErr w:type="spellStart"/>
            <w:r w:rsidR="00C22309" w:rsidRPr="00E16672">
              <w:rPr>
                <w:rFonts w:ascii="Times New Roman" w:hAnsi="Times New Roman"/>
                <w:sz w:val="16"/>
                <w:szCs w:val="16"/>
              </w:rPr>
              <w:t>цін</w:t>
            </w:r>
            <w:r w:rsidR="00892E22" w:rsidRPr="00E16672">
              <w:rPr>
                <w:rFonts w:ascii="Times New Roman" w:hAnsi="Times New Roman"/>
                <w:sz w:val="16"/>
                <w:szCs w:val="16"/>
              </w:rPr>
              <w:t>них</w:t>
            </w:r>
            <w:proofErr w:type="spellEnd"/>
            <w:r w:rsidR="00892E22" w:rsidRPr="00E16672">
              <w:rPr>
                <w:rFonts w:ascii="Times New Roman" w:hAnsi="Times New Roman"/>
                <w:sz w:val="16"/>
                <w:szCs w:val="16"/>
              </w:rPr>
              <w:t xml:space="preserve"> </w:t>
            </w:r>
            <w:proofErr w:type="spellStart"/>
            <w:r w:rsidR="00892E22" w:rsidRPr="00E16672">
              <w:rPr>
                <w:rFonts w:ascii="Times New Roman" w:hAnsi="Times New Roman"/>
                <w:sz w:val="16"/>
                <w:szCs w:val="16"/>
              </w:rPr>
              <w:t>паперах</w:t>
            </w:r>
            <w:proofErr w:type="spellEnd"/>
            <w:r w:rsidR="00892E22" w:rsidRPr="00E16672">
              <w:rPr>
                <w:rFonts w:ascii="Times New Roman" w:hAnsi="Times New Roman"/>
                <w:sz w:val="16"/>
                <w:szCs w:val="16"/>
              </w:rPr>
              <w:t xml:space="preserve"> </w:t>
            </w:r>
            <w:proofErr w:type="spellStart"/>
            <w:r w:rsidR="00892E22" w:rsidRPr="00E16672">
              <w:rPr>
                <w:rFonts w:ascii="Times New Roman" w:hAnsi="Times New Roman"/>
                <w:sz w:val="16"/>
                <w:szCs w:val="16"/>
              </w:rPr>
              <w:t>номінального</w:t>
            </w:r>
            <w:proofErr w:type="spellEnd"/>
            <w:r w:rsidR="00892E22" w:rsidRPr="00E16672">
              <w:rPr>
                <w:rFonts w:ascii="Times New Roman" w:hAnsi="Times New Roman"/>
                <w:sz w:val="16"/>
                <w:szCs w:val="16"/>
              </w:rPr>
              <w:t xml:space="preserve"> </w:t>
            </w:r>
            <w:proofErr w:type="spellStart"/>
            <w:r w:rsidR="00892E22" w:rsidRPr="00E16672">
              <w:rPr>
                <w:rFonts w:ascii="Times New Roman" w:hAnsi="Times New Roman"/>
                <w:sz w:val="16"/>
                <w:szCs w:val="16"/>
              </w:rPr>
              <w:t>утримувача</w:t>
            </w:r>
            <w:proofErr w:type="spellEnd"/>
            <w:r w:rsidR="00892E22" w:rsidRPr="00E16672">
              <w:rPr>
                <w:rFonts w:ascii="Times New Roman" w:hAnsi="Times New Roman"/>
                <w:sz w:val="16"/>
                <w:szCs w:val="16"/>
              </w:rPr>
              <w:t xml:space="preserve">, </w:t>
            </w:r>
            <w:proofErr w:type="spellStart"/>
            <w:r w:rsidR="00892E22" w:rsidRPr="00E16672">
              <w:rPr>
                <w:rFonts w:ascii="Times New Roman" w:hAnsi="Times New Roman"/>
                <w:sz w:val="16"/>
                <w:szCs w:val="16"/>
              </w:rPr>
              <w:t>крім</w:t>
            </w:r>
            <w:proofErr w:type="spellEnd"/>
            <w:r w:rsidR="00892E22" w:rsidRPr="00E16672">
              <w:rPr>
                <w:rFonts w:ascii="Times New Roman" w:hAnsi="Times New Roman"/>
                <w:sz w:val="16"/>
                <w:szCs w:val="16"/>
              </w:rPr>
              <w:t xml:space="preserve"> </w:t>
            </w:r>
            <w:proofErr w:type="spellStart"/>
            <w:r w:rsidR="00892E22" w:rsidRPr="00E16672">
              <w:rPr>
                <w:rFonts w:ascii="Times New Roman" w:hAnsi="Times New Roman"/>
                <w:sz w:val="16"/>
                <w:szCs w:val="16"/>
              </w:rPr>
              <w:t>незавершених</w:t>
            </w:r>
            <w:proofErr w:type="spellEnd"/>
            <w:r w:rsidR="00892E22" w:rsidRPr="00E16672">
              <w:rPr>
                <w:rFonts w:ascii="Times New Roman" w:hAnsi="Times New Roman"/>
                <w:sz w:val="16"/>
                <w:szCs w:val="16"/>
              </w:rPr>
              <w:t xml:space="preserve"> </w:t>
            </w:r>
            <w:proofErr w:type="spellStart"/>
            <w:r w:rsidR="00892E22" w:rsidRPr="00E16672">
              <w:rPr>
                <w:rFonts w:ascii="Times New Roman" w:hAnsi="Times New Roman"/>
                <w:sz w:val="16"/>
                <w:szCs w:val="16"/>
              </w:rPr>
              <w:t>операцій</w:t>
            </w:r>
            <w:proofErr w:type="spellEnd"/>
            <w:r w:rsidR="00892E22" w:rsidRPr="00E16672">
              <w:rPr>
                <w:rFonts w:ascii="Times New Roman" w:hAnsi="Times New Roman"/>
                <w:sz w:val="16"/>
                <w:szCs w:val="16"/>
              </w:rPr>
              <w:t xml:space="preserve">, </w:t>
            </w:r>
            <w:proofErr w:type="spellStart"/>
            <w:r w:rsidR="00892E22" w:rsidRPr="00E16672">
              <w:rPr>
                <w:rFonts w:ascii="Times New Roman" w:hAnsi="Times New Roman"/>
                <w:sz w:val="16"/>
                <w:szCs w:val="16"/>
              </w:rPr>
              <w:t>розпорядження</w:t>
            </w:r>
            <w:proofErr w:type="spellEnd"/>
            <w:r w:rsidR="00892E22" w:rsidRPr="00E16672">
              <w:rPr>
                <w:rFonts w:ascii="Times New Roman" w:hAnsi="Times New Roman"/>
                <w:sz w:val="16"/>
                <w:szCs w:val="16"/>
              </w:rPr>
              <w:t xml:space="preserve"> та/</w:t>
            </w:r>
            <w:proofErr w:type="spellStart"/>
            <w:r w:rsidR="00892E22" w:rsidRPr="00E16672">
              <w:rPr>
                <w:rFonts w:ascii="Times New Roman" w:hAnsi="Times New Roman"/>
                <w:sz w:val="16"/>
                <w:szCs w:val="16"/>
              </w:rPr>
              <w:t>або</w:t>
            </w:r>
            <w:proofErr w:type="spellEnd"/>
            <w:r w:rsidR="00892E22" w:rsidRPr="00E16672">
              <w:rPr>
                <w:rFonts w:ascii="Times New Roman" w:hAnsi="Times New Roman"/>
                <w:sz w:val="16"/>
                <w:szCs w:val="16"/>
              </w:rPr>
              <w:t xml:space="preserve"> </w:t>
            </w:r>
            <w:proofErr w:type="spellStart"/>
            <w:r w:rsidR="00892E22" w:rsidRPr="00E16672">
              <w:rPr>
                <w:rFonts w:ascii="Times New Roman" w:hAnsi="Times New Roman"/>
                <w:sz w:val="16"/>
                <w:szCs w:val="16"/>
              </w:rPr>
              <w:t>документи</w:t>
            </w:r>
            <w:proofErr w:type="spellEnd"/>
            <w:r w:rsidR="00892E22" w:rsidRPr="00E16672">
              <w:rPr>
                <w:rFonts w:ascii="Times New Roman" w:hAnsi="Times New Roman"/>
                <w:sz w:val="16"/>
                <w:szCs w:val="16"/>
              </w:rPr>
              <w:t xml:space="preserve"> за </w:t>
            </w:r>
            <w:proofErr w:type="spellStart"/>
            <w:r w:rsidR="00892E22" w:rsidRPr="00E16672">
              <w:rPr>
                <w:rFonts w:ascii="Times New Roman" w:hAnsi="Times New Roman"/>
                <w:sz w:val="16"/>
                <w:szCs w:val="16"/>
              </w:rPr>
              <w:t>якими</w:t>
            </w:r>
            <w:proofErr w:type="spellEnd"/>
            <w:r w:rsidR="00892E22" w:rsidRPr="00E16672">
              <w:rPr>
                <w:rFonts w:ascii="Times New Roman" w:hAnsi="Times New Roman"/>
                <w:sz w:val="16"/>
                <w:szCs w:val="16"/>
              </w:rPr>
              <w:t xml:space="preserve"> </w:t>
            </w:r>
            <w:proofErr w:type="spellStart"/>
            <w:r w:rsidR="00892E22" w:rsidRPr="00E16672">
              <w:rPr>
                <w:rFonts w:ascii="Times New Roman" w:hAnsi="Times New Roman"/>
                <w:sz w:val="16"/>
                <w:szCs w:val="16"/>
              </w:rPr>
              <w:t>було</w:t>
            </w:r>
            <w:proofErr w:type="spellEnd"/>
            <w:r w:rsidR="00892E22" w:rsidRPr="00E16672">
              <w:rPr>
                <w:rFonts w:ascii="Times New Roman" w:hAnsi="Times New Roman"/>
                <w:sz w:val="16"/>
                <w:szCs w:val="16"/>
              </w:rPr>
              <w:t xml:space="preserve"> </w:t>
            </w:r>
            <w:proofErr w:type="spellStart"/>
            <w:r w:rsidR="00892E22" w:rsidRPr="00E16672">
              <w:rPr>
                <w:rFonts w:ascii="Times New Roman" w:hAnsi="Times New Roman"/>
                <w:sz w:val="16"/>
                <w:szCs w:val="16"/>
              </w:rPr>
              <w:t>отримано</w:t>
            </w:r>
            <w:proofErr w:type="spellEnd"/>
            <w:r w:rsidR="00892E22" w:rsidRPr="00E16672">
              <w:rPr>
                <w:rFonts w:ascii="Times New Roman" w:hAnsi="Times New Roman"/>
                <w:sz w:val="16"/>
                <w:szCs w:val="16"/>
              </w:rPr>
              <w:t xml:space="preserve"> до </w:t>
            </w:r>
            <w:proofErr w:type="spellStart"/>
            <w:r w:rsidR="00892E22" w:rsidRPr="00E16672">
              <w:rPr>
                <w:rFonts w:ascii="Times New Roman" w:hAnsi="Times New Roman"/>
                <w:sz w:val="16"/>
                <w:szCs w:val="16"/>
              </w:rPr>
              <w:t>настання</w:t>
            </w:r>
            <w:proofErr w:type="spellEnd"/>
            <w:r w:rsidR="00892E22" w:rsidRPr="00E16672">
              <w:rPr>
                <w:rFonts w:ascii="Times New Roman" w:hAnsi="Times New Roman"/>
                <w:sz w:val="16"/>
                <w:szCs w:val="16"/>
              </w:rPr>
              <w:t xml:space="preserve"> </w:t>
            </w:r>
            <w:proofErr w:type="spellStart"/>
            <w:r w:rsidR="00892E22" w:rsidRPr="00E16672">
              <w:rPr>
                <w:rFonts w:ascii="Times New Roman" w:hAnsi="Times New Roman"/>
                <w:sz w:val="16"/>
                <w:szCs w:val="16"/>
              </w:rPr>
              <w:t>такої</w:t>
            </w:r>
            <w:proofErr w:type="spellEnd"/>
            <w:r w:rsidR="00892E22" w:rsidRPr="00E16672">
              <w:rPr>
                <w:rFonts w:ascii="Times New Roman" w:hAnsi="Times New Roman"/>
                <w:sz w:val="16"/>
                <w:szCs w:val="16"/>
              </w:rPr>
              <w:t xml:space="preserve"> </w:t>
            </w:r>
            <w:proofErr w:type="spellStart"/>
            <w:r w:rsidR="00892E22" w:rsidRPr="00E16672">
              <w:rPr>
                <w:rFonts w:ascii="Times New Roman" w:hAnsi="Times New Roman"/>
                <w:sz w:val="16"/>
                <w:szCs w:val="16"/>
              </w:rPr>
              <w:t>події</w:t>
            </w:r>
            <w:proofErr w:type="spellEnd"/>
            <w:r w:rsidR="00892E22" w:rsidRPr="00E16672">
              <w:rPr>
                <w:rFonts w:ascii="Times New Roman" w:hAnsi="Times New Roman"/>
                <w:sz w:val="16"/>
                <w:szCs w:val="16"/>
              </w:rPr>
              <w:t xml:space="preserve">, та </w:t>
            </w:r>
            <w:proofErr w:type="spellStart"/>
            <w:r w:rsidR="00892E22" w:rsidRPr="00E16672">
              <w:rPr>
                <w:rFonts w:ascii="Times New Roman" w:hAnsi="Times New Roman"/>
                <w:sz w:val="16"/>
                <w:szCs w:val="16"/>
              </w:rPr>
              <w:t>операцій</w:t>
            </w:r>
            <w:proofErr w:type="spellEnd"/>
            <w:r w:rsidR="00892E22" w:rsidRPr="00E16672">
              <w:rPr>
                <w:rFonts w:ascii="Times New Roman" w:hAnsi="Times New Roman"/>
                <w:sz w:val="16"/>
                <w:szCs w:val="16"/>
              </w:rPr>
              <w:t xml:space="preserve">, </w:t>
            </w:r>
            <w:proofErr w:type="spellStart"/>
            <w:r w:rsidR="00892E22" w:rsidRPr="00E16672">
              <w:rPr>
                <w:rFonts w:ascii="Times New Roman" w:hAnsi="Times New Roman"/>
                <w:sz w:val="16"/>
                <w:szCs w:val="16"/>
              </w:rPr>
              <w:t>пов’язаних</w:t>
            </w:r>
            <w:proofErr w:type="spellEnd"/>
            <w:r w:rsidR="00892E22" w:rsidRPr="00E16672">
              <w:rPr>
                <w:rFonts w:ascii="Times New Roman" w:hAnsi="Times New Roman"/>
                <w:sz w:val="16"/>
                <w:szCs w:val="16"/>
              </w:rPr>
              <w:t xml:space="preserve"> з </w:t>
            </w:r>
            <w:proofErr w:type="spellStart"/>
            <w:r w:rsidR="00892E22" w:rsidRPr="00E16672">
              <w:rPr>
                <w:rFonts w:ascii="Times New Roman" w:hAnsi="Times New Roman"/>
                <w:sz w:val="16"/>
                <w:szCs w:val="16"/>
              </w:rPr>
              <w:t>переведенням</w:t>
            </w:r>
            <w:proofErr w:type="spellEnd"/>
            <w:r w:rsidR="00892E22" w:rsidRPr="00E16672">
              <w:rPr>
                <w:rFonts w:ascii="Times New Roman" w:hAnsi="Times New Roman"/>
                <w:sz w:val="16"/>
                <w:szCs w:val="16"/>
              </w:rPr>
              <w:t xml:space="preserve"> </w:t>
            </w:r>
            <w:proofErr w:type="spellStart"/>
            <w:r w:rsidR="00892E22" w:rsidRPr="00E16672">
              <w:rPr>
                <w:rFonts w:ascii="Times New Roman" w:hAnsi="Times New Roman"/>
                <w:sz w:val="16"/>
                <w:szCs w:val="16"/>
              </w:rPr>
              <w:t>цінних</w:t>
            </w:r>
            <w:proofErr w:type="spellEnd"/>
            <w:r w:rsidR="00892E22" w:rsidRPr="00E16672">
              <w:rPr>
                <w:rFonts w:ascii="Times New Roman" w:hAnsi="Times New Roman"/>
                <w:sz w:val="16"/>
                <w:szCs w:val="16"/>
              </w:rPr>
              <w:t xml:space="preserve"> </w:t>
            </w:r>
            <w:proofErr w:type="spellStart"/>
            <w:r w:rsidR="00892E22" w:rsidRPr="00E16672">
              <w:rPr>
                <w:rFonts w:ascii="Times New Roman" w:hAnsi="Times New Roman"/>
                <w:sz w:val="16"/>
                <w:szCs w:val="16"/>
              </w:rPr>
              <w:t>паперів</w:t>
            </w:r>
            <w:proofErr w:type="spellEnd"/>
            <w:r w:rsidR="00892E22" w:rsidRPr="00E16672">
              <w:rPr>
                <w:rFonts w:ascii="Times New Roman" w:hAnsi="Times New Roman"/>
                <w:sz w:val="16"/>
                <w:szCs w:val="16"/>
              </w:rPr>
              <w:t xml:space="preserve">, прав на </w:t>
            </w:r>
            <w:proofErr w:type="spellStart"/>
            <w:r w:rsidR="00892E22" w:rsidRPr="00E16672">
              <w:rPr>
                <w:rFonts w:ascii="Times New Roman" w:hAnsi="Times New Roman"/>
                <w:sz w:val="16"/>
                <w:szCs w:val="16"/>
              </w:rPr>
              <w:t>цінні</w:t>
            </w:r>
            <w:proofErr w:type="spellEnd"/>
            <w:r w:rsidR="00892E22" w:rsidRPr="00E16672">
              <w:rPr>
                <w:rFonts w:ascii="Times New Roman" w:hAnsi="Times New Roman"/>
                <w:sz w:val="16"/>
                <w:szCs w:val="16"/>
              </w:rPr>
              <w:t xml:space="preserve"> </w:t>
            </w:r>
            <w:proofErr w:type="spellStart"/>
            <w:r w:rsidR="00892E22" w:rsidRPr="00E16672">
              <w:rPr>
                <w:rFonts w:ascii="Times New Roman" w:hAnsi="Times New Roman"/>
                <w:sz w:val="16"/>
                <w:szCs w:val="16"/>
              </w:rPr>
              <w:t>папери</w:t>
            </w:r>
            <w:proofErr w:type="spellEnd"/>
            <w:r w:rsidR="00892E22" w:rsidRPr="00E16672">
              <w:rPr>
                <w:rFonts w:ascii="Times New Roman" w:hAnsi="Times New Roman"/>
                <w:sz w:val="16"/>
                <w:szCs w:val="16"/>
              </w:rPr>
              <w:t xml:space="preserve"> на </w:t>
            </w:r>
            <w:proofErr w:type="spellStart"/>
            <w:r w:rsidR="00892E22" w:rsidRPr="00E16672">
              <w:rPr>
                <w:rFonts w:ascii="Times New Roman" w:hAnsi="Times New Roman"/>
                <w:sz w:val="16"/>
                <w:szCs w:val="16"/>
              </w:rPr>
              <w:t>рахунок</w:t>
            </w:r>
            <w:proofErr w:type="spellEnd"/>
            <w:r w:rsidR="00892E22" w:rsidRPr="00E16672">
              <w:rPr>
                <w:rFonts w:ascii="Times New Roman" w:hAnsi="Times New Roman"/>
                <w:sz w:val="16"/>
                <w:szCs w:val="16"/>
              </w:rPr>
              <w:t xml:space="preserve"> в </w:t>
            </w:r>
            <w:proofErr w:type="spellStart"/>
            <w:r w:rsidR="00892E22" w:rsidRPr="00E16672">
              <w:rPr>
                <w:rFonts w:ascii="Times New Roman" w:hAnsi="Times New Roman"/>
                <w:sz w:val="16"/>
                <w:szCs w:val="16"/>
              </w:rPr>
              <w:t>цінних</w:t>
            </w:r>
            <w:proofErr w:type="spellEnd"/>
            <w:r w:rsidR="00892E22" w:rsidRPr="00E16672">
              <w:rPr>
                <w:rFonts w:ascii="Times New Roman" w:hAnsi="Times New Roman"/>
                <w:sz w:val="16"/>
                <w:szCs w:val="16"/>
              </w:rPr>
              <w:t xml:space="preserve"> </w:t>
            </w:r>
            <w:proofErr w:type="spellStart"/>
            <w:r w:rsidR="00892E22" w:rsidRPr="00E16672">
              <w:rPr>
                <w:rFonts w:ascii="Times New Roman" w:hAnsi="Times New Roman"/>
                <w:sz w:val="16"/>
                <w:szCs w:val="16"/>
              </w:rPr>
              <w:t>паперах</w:t>
            </w:r>
            <w:proofErr w:type="spellEnd"/>
            <w:r w:rsidR="00892E22" w:rsidRPr="00E16672">
              <w:rPr>
                <w:rFonts w:ascii="Times New Roman" w:hAnsi="Times New Roman"/>
                <w:sz w:val="16"/>
                <w:szCs w:val="16"/>
              </w:rPr>
              <w:t xml:space="preserve"> </w:t>
            </w:r>
            <w:proofErr w:type="spellStart"/>
            <w:r w:rsidR="00892E22" w:rsidRPr="00E16672">
              <w:rPr>
                <w:rFonts w:ascii="Times New Roman" w:hAnsi="Times New Roman"/>
                <w:sz w:val="16"/>
                <w:szCs w:val="16"/>
              </w:rPr>
              <w:t>іншого</w:t>
            </w:r>
            <w:proofErr w:type="spellEnd"/>
            <w:r w:rsidR="00892E22" w:rsidRPr="00E16672">
              <w:rPr>
                <w:rFonts w:ascii="Times New Roman" w:hAnsi="Times New Roman"/>
                <w:sz w:val="16"/>
                <w:szCs w:val="16"/>
              </w:rPr>
              <w:t xml:space="preserve"> </w:t>
            </w:r>
            <w:proofErr w:type="spellStart"/>
            <w:r w:rsidR="00892E22" w:rsidRPr="00E16672">
              <w:rPr>
                <w:rFonts w:ascii="Times New Roman" w:hAnsi="Times New Roman"/>
                <w:sz w:val="16"/>
                <w:szCs w:val="16"/>
              </w:rPr>
              <w:t>номінального</w:t>
            </w:r>
            <w:proofErr w:type="spellEnd"/>
            <w:r w:rsidR="00892E22" w:rsidRPr="00E16672">
              <w:rPr>
                <w:rFonts w:ascii="Times New Roman" w:hAnsi="Times New Roman"/>
                <w:sz w:val="16"/>
                <w:szCs w:val="16"/>
              </w:rPr>
              <w:t xml:space="preserve"> </w:t>
            </w:r>
            <w:proofErr w:type="spellStart"/>
            <w:r w:rsidR="00892E22" w:rsidRPr="00E16672">
              <w:rPr>
                <w:rFonts w:ascii="Times New Roman" w:hAnsi="Times New Roman"/>
                <w:sz w:val="16"/>
                <w:szCs w:val="16"/>
              </w:rPr>
              <w:t>утримувача</w:t>
            </w:r>
            <w:proofErr w:type="spellEnd"/>
            <w:r w:rsidR="00892E22" w:rsidRPr="00E16672">
              <w:rPr>
                <w:rFonts w:ascii="Times New Roman" w:hAnsi="Times New Roman"/>
                <w:sz w:val="16"/>
                <w:szCs w:val="16"/>
              </w:rPr>
              <w:t xml:space="preserve"> </w:t>
            </w:r>
            <w:proofErr w:type="spellStart"/>
            <w:r w:rsidR="00892E22" w:rsidRPr="00E16672">
              <w:rPr>
                <w:rFonts w:ascii="Times New Roman" w:hAnsi="Times New Roman"/>
                <w:sz w:val="16"/>
                <w:szCs w:val="16"/>
              </w:rPr>
              <w:t>або</w:t>
            </w:r>
            <w:proofErr w:type="spellEnd"/>
            <w:r w:rsidR="00892E22" w:rsidRPr="00E16672">
              <w:rPr>
                <w:rFonts w:ascii="Times New Roman" w:hAnsi="Times New Roman"/>
                <w:sz w:val="16"/>
                <w:szCs w:val="16"/>
              </w:rPr>
              <w:t xml:space="preserve"> на </w:t>
            </w:r>
            <w:proofErr w:type="spellStart"/>
            <w:r w:rsidR="00892E22" w:rsidRPr="00E16672">
              <w:rPr>
                <w:rFonts w:ascii="Times New Roman" w:hAnsi="Times New Roman"/>
                <w:sz w:val="16"/>
                <w:szCs w:val="16"/>
              </w:rPr>
              <w:t>рахунок</w:t>
            </w:r>
            <w:proofErr w:type="spellEnd"/>
            <w:r w:rsidR="00892E22" w:rsidRPr="00E16672">
              <w:rPr>
                <w:rFonts w:ascii="Times New Roman" w:hAnsi="Times New Roman"/>
                <w:sz w:val="16"/>
                <w:szCs w:val="16"/>
              </w:rPr>
              <w:t xml:space="preserve"> в </w:t>
            </w:r>
            <w:proofErr w:type="spellStart"/>
            <w:r w:rsidR="00892E22" w:rsidRPr="00E16672">
              <w:rPr>
                <w:rFonts w:ascii="Times New Roman" w:hAnsi="Times New Roman"/>
                <w:sz w:val="16"/>
                <w:szCs w:val="16"/>
              </w:rPr>
              <w:t>цінних</w:t>
            </w:r>
            <w:proofErr w:type="spellEnd"/>
            <w:r w:rsidR="00892E22" w:rsidRPr="00E16672">
              <w:rPr>
                <w:rFonts w:ascii="Times New Roman" w:hAnsi="Times New Roman"/>
                <w:sz w:val="16"/>
                <w:szCs w:val="16"/>
              </w:rPr>
              <w:t xml:space="preserve"> </w:t>
            </w:r>
            <w:proofErr w:type="spellStart"/>
            <w:r w:rsidR="00892E22" w:rsidRPr="00E16672">
              <w:rPr>
                <w:rFonts w:ascii="Times New Roman" w:hAnsi="Times New Roman"/>
                <w:sz w:val="16"/>
                <w:szCs w:val="16"/>
              </w:rPr>
              <w:t>паперах</w:t>
            </w:r>
            <w:proofErr w:type="spellEnd"/>
            <w:r w:rsidR="00892E22" w:rsidRPr="00E16672">
              <w:rPr>
                <w:rFonts w:ascii="Times New Roman" w:hAnsi="Times New Roman"/>
                <w:sz w:val="16"/>
                <w:szCs w:val="16"/>
              </w:rPr>
              <w:t xml:space="preserve"> </w:t>
            </w:r>
            <w:proofErr w:type="spellStart"/>
            <w:r w:rsidR="00892E22" w:rsidRPr="00E16672">
              <w:rPr>
                <w:rFonts w:ascii="Times New Roman" w:hAnsi="Times New Roman"/>
                <w:sz w:val="16"/>
                <w:szCs w:val="16"/>
              </w:rPr>
              <w:t>власника</w:t>
            </w:r>
            <w:proofErr w:type="spellEnd"/>
            <w:r w:rsidR="00892E22" w:rsidRPr="00E16672">
              <w:rPr>
                <w:rFonts w:ascii="Times New Roman" w:hAnsi="Times New Roman"/>
                <w:sz w:val="16"/>
                <w:szCs w:val="16"/>
              </w:rPr>
              <w:t xml:space="preserve">, </w:t>
            </w:r>
            <w:proofErr w:type="spellStart"/>
            <w:r w:rsidR="00892E22" w:rsidRPr="00E16672">
              <w:rPr>
                <w:rFonts w:ascii="Times New Roman" w:hAnsi="Times New Roman"/>
                <w:sz w:val="16"/>
                <w:szCs w:val="16"/>
              </w:rPr>
              <w:t>який</w:t>
            </w:r>
            <w:proofErr w:type="spellEnd"/>
            <w:r w:rsidR="00892E22" w:rsidRPr="00E16672">
              <w:rPr>
                <w:rFonts w:ascii="Times New Roman" w:hAnsi="Times New Roman"/>
                <w:sz w:val="16"/>
                <w:szCs w:val="16"/>
              </w:rPr>
              <w:t xml:space="preserve"> </w:t>
            </w:r>
            <w:proofErr w:type="spellStart"/>
            <w:r w:rsidR="00892E22" w:rsidRPr="00E16672">
              <w:rPr>
                <w:rFonts w:ascii="Times New Roman" w:hAnsi="Times New Roman"/>
                <w:sz w:val="16"/>
                <w:szCs w:val="16"/>
              </w:rPr>
              <w:t>відкрито</w:t>
            </w:r>
            <w:proofErr w:type="spellEnd"/>
            <w:r w:rsidR="00892E22" w:rsidRPr="00E16672">
              <w:rPr>
                <w:rFonts w:ascii="Times New Roman" w:hAnsi="Times New Roman"/>
                <w:sz w:val="16"/>
                <w:szCs w:val="16"/>
              </w:rPr>
              <w:t xml:space="preserve"> в </w:t>
            </w:r>
            <w:proofErr w:type="spellStart"/>
            <w:r w:rsidR="00892E22" w:rsidRPr="00E16672">
              <w:rPr>
                <w:rFonts w:ascii="Times New Roman" w:hAnsi="Times New Roman"/>
                <w:sz w:val="16"/>
                <w:szCs w:val="16"/>
              </w:rPr>
              <w:t>цій</w:t>
            </w:r>
            <w:proofErr w:type="spellEnd"/>
            <w:r w:rsidR="00892E22" w:rsidRPr="00E16672">
              <w:rPr>
                <w:rFonts w:ascii="Times New Roman" w:hAnsi="Times New Roman"/>
                <w:sz w:val="16"/>
                <w:szCs w:val="16"/>
              </w:rPr>
              <w:t xml:space="preserve"> </w:t>
            </w:r>
            <w:proofErr w:type="spellStart"/>
            <w:r w:rsidR="00892E22" w:rsidRPr="00E16672">
              <w:rPr>
                <w:rFonts w:ascii="Times New Roman" w:hAnsi="Times New Roman"/>
                <w:sz w:val="16"/>
                <w:szCs w:val="16"/>
              </w:rPr>
              <w:t>або</w:t>
            </w:r>
            <w:proofErr w:type="spellEnd"/>
            <w:r w:rsidR="00892E22" w:rsidRPr="00E16672">
              <w:rPr>
                <w:rFonts w:ascii="Times New Roman" w:hAnsi="Times New Roman"/>
                <w:sz w:val="16"/>
                <w:szCs w:val="16"/>
              </w:rPr>
              <w:t xml:space="preserve"> </w:t>
            </w:r>
            <w:proofErr w:type="spellStart"/>
            <w:r w:rsidR="00892E22" w:rsidRPr="00E16672">
              <w:rPr>
                <w:rFonts w:ascii="Times New Roman" w:hAnsi="Times New Roman"/>
                <w:sz w:val="16"/>
                <w:szCs w:val="16"/>
              </w:rPr>
              <w:t>іншій</w:t>
            </w:r>
            <w:proofErr w:type="spellEnd"/>
            <w:r w:rsidR="00892E22" w:rsidRPr="00E16672">
              <w:rPr>
                <w:rFonts w:ascii="Times New Roman" w:hAnsi="Times New Roman"/>
                <w:sz w:val="16"/>
                <w:szCs w:val="16"/>
              </w:rPr>
              <w:t xml:space="preserve"> </w:t>
            </w:r>
            <w:proofErr w:type="spellStart"/>
            <w:r w:rsidR="00892E22" w:rsidRPr="00E16672">
              <w:rPr>
                <w:rFonts w:ascii="Times New Roman" w:hAnsi="Times New Roman"/>
                <w:sz w:val="16"/>
                <w:szCs w:val="16"/>
              </w:rPr>
              <w:t>депозитарній</w:t>
            </w:r>
            <w:proofErr w:type="spellEnd"/>
            <w:r w:rsidR="00892E22" w:rsidRPr="00E16672">
              <w:rPr>
                <w:rFonts w:ascii="Times New Roman" w:hAnsi="Times New Roman"/>
                <w:sz w:val="16"/>
                <w:szCs w:val="16"/>
              </w:rPr>
              <w:t xml:space="preserve"> </w:t>
            </w:r>
            <w:proofErr w:type="spellStart"/>
            <w:r w:rsidR="00892E22" w:rsidRPr="00E16672">
              <w:rPr>
                <w:rFonts w:ascii="Times New Roman" w:hAnsi="Times New Roman"/>
                <w:sz w:val="16"/>
                <w:szCs w:val="16"/>
              </w:rPr>
              <w:t>установі</w:t>
            </w:r>
            <w:proofErr w:type="spellEnd"/>
            <w:r w:rsidR="00892E22" w:rsidRPr="00E16672">
              <w:rPr>
                <w:rFonts w:ascii="Times New Roman" w:hAnsi="Times New Roman"/>
                <w:sz w:val="16"/>
                <w:szCs w:val="16"/>
              </w:rPr>
              <w:t xml:space="preserve">, до </w:t>
            </w:r>
            <w:proofErr w:type="spellStart"/>
            <w:r w:rsidR="00892E22" w:rsidRPr="00E16672">
              <w:rPr>
                <w:rFonts w:ascii="Times New Roman" w:hAnsi="Times New Roman"/>
                <w:sz w:val="16"/>
                <w:szCs w:val="16"/>
              </w:rPr>
              <w:t>усунення</w:t>
            </w:r>
            <w:proofErr w:type="spellEnd"/>
            <w:r w:rsidR="00892E22" w:rsidRPr="00E16672">
              <w:rPr>
                <w:rFonts w:ascii="Times New Roman" w:hAnsi="Times New Roman"/>
                <w:sz w:val="16"/>
                <w:szCs w:val="16"/>
              </w:rPr>
              <w:t xml:space="preserve"> </w:t>
            </w:r>
            <w:proofErr w:type="spellStart"/>
            <w:r w:rsidR="00892E22" w:rsidRPr="00E16672">
              <w:rPr>
                <w:rFonts w:ascii="Times New Roman" w:hAnsi="Times New Roman"/>
                <w:sz w:val="16"/>
                <w:szCs w:val="16"/>
              </w:rPr>
              <w:t>номінальним</w:t>
            </w:r>
            <w:proofErr w:type="spellEnd"/>
            <w:r w:rsidR="00892E22" w:rsidRPr="00E16672">
              <w:rPr>
                <w:rFonts w:ascii="Times New Roman" w:hAnsi="Times New Roman"/>
                <w:sz w:val="16"/>
                <w:szCs w:val="16"/>
              </w:rPr>
              <w:t xml:space="preserve"> </w:t>
            </w:r>
            <w:proofErr w:type="spellStart"/>
            <w:r w:rsidR="00892E22" w:rsidRPr="00E16672">
              <w:rPr>
                <w:rFonts w:ascii="Times New Roman" w:hAnsi="Times New Roman"/>
                <w:sz w:val="16"/>
                <w:szCs w:val="16"/>
              </w:rPr>
              <w:t>утримувачем</w:t>
            </w:r>
            <w:proofErr w:type="spellEnd"/>
            <w:r w:rsidR="00892E22" w:rsidRPr="00E16672">
              <w:rPr>
                <w:rFonts w:ascii="Times New Roman" w:hAnsi="Times New Roman"/>
                <w:sz w:val="16"/>
                <w:szCs w:val="16"/>
              </w:rPr>
              <w:t xml:space="preserve"> </w:t>
            </w:r>
            <w:proofErr w:type="spellStart"/>
            <w:r w:rsidR="00892E22" w:rsidRPr="00E16672">
              <w:rPr>
                <w:rFonts w:ascii="Times New Roman" w:hAnsi="Times New Roman"/>
                <w:sz w:val="16"/>
                <w:szCs w:val="16"/>
              </w:rPr>
              <w:t>відповідних</w:t>
            </w:r>
            <w:proofErr w:type="spellEnd"/>
            <w:r w:rsidR="00892E22" w:rsidRPr="00E16672">
              <w:rPr>
                <w:rFonts w:ascii="Times New Roman" w:hAnsi="Times New Roman"/>
                <w:sz w:val="16"/>
                <w:szCs w:val="16"/>
              </w:rPr>
              <w:t xml:space="preserve"> </w:t>
            </w:r>
            <w:proofErr w:type="spellStart"/>
            <w:r w:rsidR="00892E22" w:rsidRPr="00E16672">
              <w:rPr>
                <w:rFonts w:ascii="Times New Roman" w:hAnsi="Times New Roman"/>
                <w:sz w:val="16"/>
                <w:szCs w:val="16"/>
              </w:rPr>
              <w:t>порушень</w:t>
            </w:r>
            <w:proofErr w:type="spellEnd"/>
            <w:r w:rsidR="00892E22" w:rsidRPr="00E16672">
              <w:rPr>
                <w:rFonts w:ascii="Times New Roman" w:hAnsi="Times New Roman"/>
                <w:sz w:val="16"/>
                <w:szCs w:val="16"/>
              </w:rPr>
              <w:t xml:space="preserve"> </w:t>
            </w:r>
            <w:proofErr w:type="spellStart"/>
            <w:r w:rsidR="00892E22" w:rsidRPr="00E16672">
              <w:rPr>
                <w:rFonts w:ascii="Times New Roman" w:hAnsi="Times New Roman"/>
                <w:sz w:val="16"/>
                <w:szCs w:val="16"/>
              </w:rPr>
              <w:t>або</w:t>
            </w:r>
            <w:proofErr w:type="spellEnd"/>
            <w:r w:rsidR="00892E22" w:rsidRPr="00E16672">
              <w:rPr>
                <w:rFonts w:ascii="Times New Roman" w:hAnsi="Times New Roman"/>
                <w:sz w:val="16"/>
                <w:szCs w:val="16"/>
              </w:rPr>
              <w:t xml:space="preserve"> </w:t>
            </w:r>
            <w:proofErr w:type="spellStart"/>
            <w:r w:rsidR="00892E22" w:rsidRPr="00E16672">
              <w:rPr>
                <w:rFonts w:ascii="Times New Roman" w:hAnsi="Times New Roman"/>
                <w:sz w:val="16"/>
                <w:szCs w:val="16"/>
              </w:rPr>
              <w:t>закриття</w:t>
            </w:r>
            <w:proofErr w:type="spellEnd"/>
            <w:r w:rsidR="00892E22" w:rsidRPr="00E16672">
              <w:rPr>
                <w:rFonts w:ascii="Times New Roman" w:hAnsi="Times New Roman"/>
                <w:sz w:val="16"/>
                <w:szCs w:val="16"/>
              </w:rPr>
              <w:t xml:space="preserve"> </w:t>
            </w:r>
            <w:proofErr w:type="spellStart"/>
            <w:r w:rsidR="00892E22" w:rsidRPr="00E16672">
              <w:rPr>
                <w:rFonts w:ascii="Times New Roman" w:hAnsi="Times New Roman"/>
                <w:sz w:val="16"/>
                <w:szCs w:val="16"/>
              </w:rPr>
              <w:t>його</w:t>
            </w:r>
            <w:proofErr w:type="spellEnd"/>
            <w:r w:rsidR="00892E22" w:rsidRPr="00E16672">
              <w:rPr>
                <w:rFonts w:ascii="Times New Roman" w:hAnsi="Times New Roman"/>
                <w:sz w:val="16"/>
                <w:szCs w:val="16"/>
              </w:rPr>
              <w:t xml:space="preserve"> </w:t>
            </w:r>
            <w:proofErr w:type="spellStart"/>
            <w:r w:rsidR="00892E22" w:rsidRPr="00E16672">
              <w:rPr>
                <w:rFonts w:ascii="Times New Roman" w:hAnsi="Times New Roman"/>
                <w:sz w:val="16"/>
                <w:szCs w:val="16"/>
              </w:rPr>
              <w:t>рахунку</w:t>
            </w:r>
            <w:proofErr w:type="spellEnd"/>
            <w:r w:rsidR="00892E22" w:rsidRPr="00E16672">
              <w:rPr>
                <w:rFonts w:ascii="Times New Roman" w:hAnsi="Times New Roman"/>
                <w:sz w:val="16"/>
                <w:szCs w:val="16"/>
              </w:rPr>
              <w:t xml:space="preserve"> в </w:t>
            </w:r>
            <w:proofErr w:type="spellStart"/>
            <w:r w:rsidR="00892E22" w:rsidRPr="00E16672">
              <w:rPr>
                <w:rFonts w:ascii="Times New Roman" w:hAnsi="Times New Roman"/>
                <w:sz w:val="16"/>
                <w:szCs w:val="16"/>
              </w:rPr>
              <w:t>цінних</w:t>
            </w:r>
            <w:proofErr w:type="spellEnd"/>
            <w:r w:rsidR="00892E22" w:rsidRPr="00E16672">
              <w:rPr>
                <w:rFonts w:ascii="Times New Roman" w:hAnsi="Times New Roman"/>
                <w:sz w:val="16"/>
                <w:szCs w:val="16"/>
              </w:rPr>
              <w:t xml:space="preserve"> </w:t>
            </w:r>
            <w:proofErr w:type="spellStart"/>
            <w:r w:rsidR="00892E22" w:rsidRPr="00E16672">
              <w:rPr>
                <w:rFonts w:ascii="Times New Roman" w:hAnsi="Times New Roman"/>
                <w:sz w:val="16"/>
                <w:szCs w:val="16"/>
              </w:rPr>
              <w:t>паперах</w:t>
            </w:r>
            <w:proofErr w:type="spellEnd"/>
            <w:r w:rsidR="00892E22" w:rsidRPr="00E16672">
              <w:rPr>
                <w:rFonts w:ascii="Times New Roman" w:hAnsi="Times New Roman"/>
                <w:sz w:val="16"/>
                <w:szCs w:val="16"/>
              </w:rPr>
              <w:t xml:space="preserve"> в </w:t>
            </w:r>
            <w:proofErr w:type="spellStart"/>
            <w:r w:rsidR="00892E22" w:rsidRPr="00E16672">
              <w:rPr>
                <w:rFonts w:ascii="Times New Roman" w:hAnsi="Times New Roman"/>
                <w:sz w:val="16"/>
                <w:szCs w:val="16"/>
              </w:rPr>
              <w:t>депозитарній</w:t>
            </w:r>
            <w:proofErr w:type="spellEnd"/>
            <w:r w:rsidR="00892E22" w:rsidRPr="00E16672">
              <w:rPr>
                <w:rFonts w:ascii="Times New Roman" w:hAnsi="Times New Roman"/>
                <w:sz w:val="16"/>
                <w:szCs w:val="16"/>
              </w:rPr>
              <w:t xml:space="preserve"> </w:t>
            </w:r>
            <w:proofErr w:type="spellStart"/>
            <w:r w:rsidR="00892E22" w:rsidRPr="00E16672">
              <w:rPr>
                <w:rFonts w:ascii="Times New Roman" w:hAnsi="Times New Roman"/>
                <w:sz w:val="16"/>
                <w:szCs w:val="16"/>
              </w:rPr>
              <w:t>установі</w:t>
            </w:r>
            <w:proofErr w:type="spellEnd"/>
            <w:r w:rsidR="00892E22" w:rsidRPr="00E16672">
              <w:rPr>
                <w:rFonts w:ascii="Times New Roman" w:hAnsi="Times New Roman"/>
                <w:sz w:val="16"/>
                <w:szCs w:val="16"/>
              </w:rPr>
              <w:t xml:space="preserve">, </w:t>
            </w:r>
            <w:proofErr w:type="spellStart"/>
            <w:r w:rsidR="00892E22" w:rsidRPr="00E16672">
              <w:rPr>
                <w:rFonts w:ascii="Times New Roman" w:hAnsi="Times New Roman"/>
                <w:sz w:val="16"/>
                <w:szCs w:val="16"/>
              </w:rPr>
              <w:t>що</w:t>
            </w:r>
            <w:proofErr w:type="spellEnd"/>
            <w:r w:rsidR="00892E22" w:rsidRPr="00E16672">
              <w:rPr>
                <w:rFonts w:ascii="Times New Roman" w:hAnsi="Times New Roman"/>
                <w:sz w:val="16"/>
                <w:szCs w:val="16"/>
              </w:rPr>
              <w:t xml:space="preserve"> </w:t>
            </w:r>
            <w:proofErr w:type="spellStart"/>
            <w:r w:rsidR="00892E22" w:rsidRPr="00E16672">
              <w:rPr>
                <w:rFonts w:ascii="Times New Roman" w:hAnsi="Times New Roman"/>
                <w:sz w:val="16"/>
                <w:szCs w:val="16"/>
              </w:rPr>
              <w:t>має</w:t>
            </w:r>
            <w:proofErr w:type="spellEnd"/>
            <w:r w:rsidR="00892E22" w:rsidRPr="00E16672">
              <w:rPr>
                <w:rFonts w:ascii="Times New Roman" w:hAnsi="Times New Roman"/>
                <w:sz w:val="16"/>
                <w:szCs w:val="16"/>
              </w:rPr>
              <w:t xml:space="preserve"> бути </w:t>
            </w:r>
            <w:proofErr w:type="spellStart"/>
            <w:r w:rsidR="00892E22" w:rsidRPr="00E16672">
              <w:rPr>
                <w:rFonts w:ascii="Times New Roman" w:hAnsi="Times New Roman"/>
                <w:sz w:val="16"/>
                <w:szCs w:val="16"/>
              </w:rPr>
              <w:t>здійснено</w:t>
            </w:r>
            <w:proofErr w:type="spellEnd"/>
            <w:r w:rsidR="00892E22" w:rsidRPr="00E16672">
              <w:rPr>
                <w:rFonts w:ascii="Times New Roman" w:hAnsi="Times New Roman"/>
                <w:sz w:val="16"/>
                <w:szCs w:val="16"/>
              </w:rPr>
              <w:t xml:space="preserve"> </w:t>
            </w:r>
            <w:proofErr w:type="spellStart"/>
            <w:r w:rsidR="00892E22" w:rsidRPr="00E16672">
              <w:rPr>
                <w:rFonts w:ascii="Times New Roman" w:hAnsi="Times New Roman"/>
                <w:sz w:val="16"/>
                <w:szCs w:val="16"/>
              </w:rPr>
              <w:t>номінальним</w:t>
            </w:r>
            <w:proofErr w:type="spellEnd"/>
            <w:r w:rsidR="00892E22" w:rsidRPr="00E16672">
              <w:rPr>
                <w:rFonts w:ascii="Times New Roman" w:hAnsi="Times New Roman"/>
                <w:sz w:val="16"/>
                <w:szCs w:val="16"/>
              </w:rPr>
              <w:t xml:space="preserve"> </w:t>
            </w:r>
            <w:proofErr w:type="spellStart"/>
            <w:r w:rsidR="00892E22" w:rsidRPr="00E16672">
              <w:rPr>
                <w:rFonts w:ascii="Times New Roman" w:hAnsi="Times New Roman"/>
                <w:sz w:val="16"/>
                <w:szCs w:val="16"/>
              </w:rPr>
              <w:t>утримувачем</w:t>
            </w:r>
            <w:proofErr w:type="spellEnd"/>
            <w:r w:rsidR="00892E22" w:rsidRPr="00E16672">
              <w:rPr>
                <w:rFonts w:ascii="Times New Roman" w:hAnsi="Times New Roman"/>
                <w:sz w:val="16"/>
                <w:szCs w:val="16"/>
              </w:rPr>
              <w:t xml:space="preserve"> </w:t>
            </w:r>
            <w:proofErr w:type="spellStart"/>
            <w:r w:rsidR="00892E22" w:rsidRPr="00E16672">
              <w:rPr>
                <w:rFonts w:ascii="Times New Roman" w:hAnsi="Times New Roman"/>
                <w:sz w:val="16"/>
                <w:szCs w:val="16"/>
              </w:rPr>
              <w:t>протягом</w:t>
            </w:r>
            <w:proofErr w:type="spellEnd"/>
            <w:r w:rsidR="00892E22" w:rsidRPr="00E16672">
              <w:rPr>
                <w:rFonts w:ascii="Times New Roman" w:hAnsi="Times New Roman"/>
                <w:sz w:val="16"/>
                <w:szCs w:val="16"/>
              </w:rPr>
              <w:t xml:space="preserve"> 90 </w:t>
            </w:r>
            <w:proofErr w:type="spellStart"/>
            <w:r w:rsidR="00892E22" w:rsidRPr="00E16672">
              <w:rPr>
                <w:rFonts w:ascii="Times New Roman" w:hAnsi="Times New Roman"/>
                <w:sz w:val="16"/>
                <w:szCs w:val="16"/>
              </w:rPr>
              <w:t>календарних</w:t>
            </w:r>
            <w:proofErr w:type="spellEnd"/>
            <w:r w:rsidR="00892E22" w:rsidRPr="00E16672">
              <w:rPr>
                <w:rFonts w:ascii="Times New Roman" w:hAnsi="Times New Roman"/>
                <w:sz w:val="16"/>
                <w:szCs w:val="16"/>
              </w:rPr>
              <w:t xml:space="preserve"> </w:t>
            </w:r>
            <w:proofErr w:type="spellStart"/>
            <w:r w:rsidR="00892E22" w:rsidRPr="00E16672">
              <w:rPr>
                <w:rFonts w:ascii="Times New Roman" w:hAnsi="Times New Roman"/>
                <w:sz w:val="16"/>
                <w:szCs w:val="16"/>
              </w:rPr>
              <w:t>днів</w:t>
            </w:r>
            <w:proofErr w:type="spellEnd"/>
            <w:r w:rsidR="00892E22" w:rsidRPr="00E16672">
              <w:rPr>
                <w:rFonts w:ascii="Times New Roman" w:hAnsi="Times New Roman"/>
                <w:sz w:val="16"/>
                <w:szCs w:val="16"/>
              </w:rPr>
              <w:t xml:space="preserve"> з дня </w:t>
            </w:r>
            <w:proofErr w:type="spellStart"/>
            <w:r w:rsidR="00892E22" w:rsidRPr="00E16672">
              <w:rPr>
                <w:rFonts w:ascii="Times New Roman" w:hAnsi="Times New Roman"/>
                <w:sz w:val="16"/>
                <w:szCs w:val="16"/>
              </w:rPr>
              <w:t>настання</w:t>
            </w:r>
            <w:proofErr w:type="spellEnd"/>
            <w:r w:rsidR="00892E22" w:rsidRPr="00E16672">
              <w:rPr>
                <w:rFonts w:ascii="Times New Roman" w:hAnsi="Times New Roman"/>
                <w:sz w:val="16"/>
                <w:szCs w:val="16"/>
              </w:rPr>
              <w:t xml:space="preserve"> </w:t>
            </w:r>
            <w:proofErr w:type="spellStart"/>
            <w:r w:rsidR="00892E22" w:rsidRPr="00E16672">
              <w:rPr>
                <w:rFonts w:ascii="Times New Roman" w:hAnsi="Times New Roman"/>
                <w:sz w:val="16"/>
                <w:szCs w:val="16"/>
              </w:rPr>
              <w:t>зазначеної</w:t>
            </w:r>
            <w:proofErr w:type="spellEnd"/>
            <w:r w:rsidR="00892E22" w:rsidRPr="00E16672">
              <w:rPr>
                <w:rFonts w:ascii="Times New Roman" w:hAnsi="Times New Roman"/>
                <w:sz w:val="16"/>
                <w:szCs w:val="16"/>
              </w:rPr>
              <w:t xml:space="preserve"> </w:t>
            </w:r>
            <w:proofErr w:type="spellStart"/>
            <w:r w:rsidR="00892E22" w:rsidRPr="00E16672">
              <w:rPr>
                <w:rFonts w:ascii="Times New Roman" w:hAnsi="Times New Roman"/>
                <w:sz w:val="16"/>
                <w:szCs w:val="16"/>
              </w:rPr>
              <w:t>події</w:t>
            </w:r>
            <w:proofErr w:type="spellEnd"/>
            <w:r w:rsidRPr="00E16672">
              <w:rPr>
                <w:rFonts w:ascii="Times New Roman" w:eastAsia="Arial" w:hAnsi="Times New Roman"/>
                <w:color w:val="000000"/>
                <w:spacing w:val="-9"/>
                <w:sz w:val="16"/>
                <w:szCs w:val="16"/>
                <w:lang w:val="uk-UA"/>
              </w:rPr>
              <w:t>.</w:t>
            </w:r>
          </w:p>
          <w:p w14:paraId="6FB14AFD" w14:textId="77777777" w:rsidR="00EB25FE" w:rsidRPr="00E16672" w:rsidRDefault="00EB25FE" w:rsidP="007956D6">
            <w:pPr>
              <w:pStyle w:val="23"/>
              <w:ind w:left="182" w:right="138" w:firstLine="0"/>
              <w:rPr>
                <w:rFonts w:ascii="Times New Roman" w:eastAsia="Arial" w:hAnsi="Times New Roman"/>
                <w:color w:val="000000"/>
                <w:sz w:val="16"/>
                <w:szCs w:val="16"/>
              </w:rPr>
            </w:pPr>
          </w:p>
        </w:tc>
        <w:tc>
          <w:tcPr>
            <w:tcW w:w="5495" w:type="dxa"/>
            <w:gridSpan w:val="8"/>
            <w:shd w:val="clear" w:color="auto" w:fill="auto"/>
          </w:tcPr>
          <w:p w14:paraId="7F96ABF7" w14:textId="77777777" w:rsidR="005206FD" w:rsidRPr="00E16672" w:rsidRDefault="00EB25FE" w:rsidP="001456E9">
            <w:pPr>
              <w:pStyle w:val="HTML"/>
              <w:ind w:left="182" w:firstLine="0"/>
              <w:rPr>
                <w:rFonts w:ascii="Times New Roman" w:hAnsi="Times New Roman" w:cs="Times New Roman"/>
                <w:sz w:val="16"/>
                <w:szCs w:val="16"/>
                <w:lang w:val="uk-UA" w:eastAsia="uk-UA"/>
              </w:rPr>
            </w:pPr>
            <w:r w:rsidRPr="00E16672">
              <w:rPr>
                <w:rFonts w:ascii="Times New Roman" w:eastAsia="Arial" w:hAnsi="Times New Roman" w:cs="Times New Roman"/>
                <w:color w:val="000000"/>
                <w:sz w:val="16"/>
                <w:szCs w:val="16"/>
                <w:lang w:val="en-US"/>
              </w:rPr>
              <w:t xml:space="preserve">2.1.6. </w:t>
            </w:r>
            <w:r w:rsidR="005206FD" w:rsidRPr="00F23413">
              <w:rPr>
                <w:rFonts w:ascii="Times New Roman" w:hAnsi="Times New Roman" w:cs="Times New Roman"/>
                <w:sz w:val="16"/>
                <w:szCs w:val="16"/>
                <w:lang w:val="en-US" w:eastAsia="uk-UA"/>
              </w:rPr>
              <w:t>In case of receiving information / establishing the fact of violation of the nominee holder by the requirements specified by the legislation of Ukraine to the nominee holder, no later than the next business day from the day of such event, to stop carrying out accounting depository operations on the securities account of the nominee holder,</w:t>
            </w:r>
            <w:r w:rsidR="005206FD" w:rsidRPr="00F23413">
              <w:rPr>
                <w:rFonts w:ascii="Times New Roman" w:hAnsi="Times New Roman" w:cs="Times New Roman"/>
                <w:sz w:val="16"/>
                <w:szCs w:val="16"/>
                <w:lang w:val="en-US"/>
              </w:rPr>
              <w:t xml:space="preserve"> </w:t>
            </w:r>
            <w:r w:rsidR="005206FD" w:rsidRPr="00F23413">
              <w:rPr>
                <w:rFonts w:ascii="Times New Roman" w:hAnsi="Times New Roman" w:cs="Times New Roman"/>
                <w:sz w:val="16"/>
                <w:szCs w:val="16"/>
                <w:lang w:val="en-US" w:eastAsia="uk-UA"/>
              </w:rPr>
              <w:t>except for incomplete transactions, orders and / or documents received prior to the occurrence of such an event, and operations related to the transfer of securities, securities rights to a securities account of another nominee holder or to an account in the owner's securities, which is open in this or another depository institution until the nominal holder of the relevant violations is eliminated or the closure of his account with securities in the depositary institution, which must be performed by the nominee holder within 90 calendar days from the day the onset of this event.</w:t>
            </w:r>
          </w:p>
          <w:p w14:paraId="52501DD6" w14:textId="77777777" w:rsidR="00EB25FE" w:rsidRPr="00E16672" w:rsidRDefault="00EB25FE" w:rsidP="001456E9">
            <w:pPr>
              <w:pStyle w:val="23"/>
              <w:ind w:left="182" w:right="138" w:firstLine="0"/>
              <w:rPr>
                <w:rFonts w:ascii="Times New Roman" w:eastAsia="Arial" w:hAnsi="Times New Roman"/>
                <w:color w:val="000000"/>
                <w:sz w:val="16"/>
                <w:szCs w:val="16"/>
              </w:rPr>
            </w:pPr>
          </w:p>
        </w:tc>
      </w:tr>
      <w:tr w:rsidR="00EB25FE" w:rsidRPr="00F23413" w14:paraId="0316D9FE" w14:textId="77777777" w:rsidTr="005E418B">
        <w:tblPrEx>
          <w:tblCellMar>
            <w:left w:w="0" w:type="dxa"/>
            <w:right w:w="0" w:type="dxa"/>
          </w:tblCellMar>
        </w:tblPrEx>
        <w:trPr>
          <w:trHeight w:val="192"/>
        </w:trPr>
        <w:tc>
          <w:tcPr>
            <w:tcW w:w="5695" w:type="dxa"/>
            <w:gridSpan w:val="7"/>
            <w:shd w:val="clear" w:color="auto" w:fill="auto"/>
          </w:tcPr>
          <w:p w14:paraId="112A2CD6" w14:textId="77777777" w:rsidR="00EB25FE" w:rsidRPr="00E16672" w:rsidRDefault="00EB25FE" w:rsidP="007956D6">
            <w:pPr>
              <w:pStyle w:val="210"/>
              <w:snapToGrid w:val="0"/>
              <w:ind w:left="182" w:right="138" w:firstLine="0"/>
              <w:rPr>
                <w:rFonts w:ascii="Times New Roman" w:hAnsi="Times New Roman"/>
                <w:color w:val="000000"/>
                <w:sz w:val="16"/>
                <w:szCs w:val="16"/>
              </w:rPr>
            </w:pPr>
            <w:r w:rsidRPr="00E16672">
              <w:rPr>
                <w:rFonts w:ascii="Times New Roman" w:hAnsi="Times New Roman"/>
                <w:color w:val="000000"/>
                <w:sz w:val="16"/>
                <w:szCs w:val="16"/>
              </w:rPr>
              <w:t xml:space="preserve">2.1.7. </w:t>
            </w:r>
            <w:r w:rsidR="005206FD" w:rsidRPr="00E16672">
              <w:rPr>
                <w:rFonts w:ascii="Times New Roman" w:hAnsi="Times New Roman"/>
                <w:sz w:val="16"/>
                <w:szCs w:val="16"/>
              </w:rPr>
              <w:t>Надавати Центральному депозитарію цінних паперів (далі - Центральний депозитарій) та/або Розрахунковому центру з обслуговування договорів на фінансових ринках (далі - Розрахунковий центр) інформацію щодо номінального утримувача, цінних паперів, що належать клієнтам номінального утримувача, а також клієнтам клієнта номінального утримувача, та іншу інформацію, необхідну для виконання депозитарних операцій, у випадках та порядку, передбачених законодавством та внутрішніми документами Центрального депозитарію та/або Розрахункового центру</w:t>
            </w:r>
            <w:r w:rsidRPr="00E16672">
              <w:rPr>
                <w:rFonts w:ascii="Times New Roman" w:hAnsi="Times New Roman"/>
                <w:color w:val="000000"/>
                <w:sz w:val="16"/>
                <w:szCs w:val="16"/>
              </w:rPr>
              <w:t xml:space="preserve">. </w:t>
            </w:r>
          </w:p>
          <w:p w14:paraId="1A06BE60" w14:textId="77777777" w:rsidR="00EB25FE" w:rsidRPr="00E16672" w:rsidRDefault="00EB25FE" w:rsidP="007956D6">
            <w:pPr>
              <w:pStyle w:val="210"/>
              <w:snapToGrid w:val="0"/>
              <w:ind w:left="182" w:right="138" w:firstLine="0"/>
              <w:rPr>
                <w:rFonts w:ascii="Times New Roman" w:hAnsi="Times New Roman"/>
                <w:color w:val="000000"/>
                <w:sz w:val="16"/>
                <w:szCs w:val="16"/>
              </w:rPr>
            </w:pPr>
          </w:p>
        </w:tc>
        <w:tc>
          <w:tcPr>
            <w:tcW w:w="5495" w:type="dxa"/>
            <w:gridSpan w:val="8"/>
            <w:shd w:val="clear" w:color="auto" w:fill="auto"/>
          </w:tcPr>
          <w:p w14:paraId="0FC217EF" w14:textId="77777777" w:rsidR="00421750" w:rsidRPr="00E16672" w:rsidRDefault="00EB25FE" w:rsidP="001456E9">
            <w:pPr>
              <w:pStyle w:val="HTML"/>
              <w:ind w:left="182" w:firstLine="0"/>
              <w:rPr>
                <w:rFonts w:ascii="Times New Roman" w:hAnsi="Times New Roman" w:cs="Times New Roman"/>
                <w:sz w:val="16"/>
                <w:szCs w:val="16"/>
                <w:lang w:val="uk-UA" w:eastAsia="uk-UA"/>
              </w:rPr>
            </w:pPr>
            <w:r w:rsidRPr="00E16672">
              <w:rPr>
                <w:rFonts w:ascii="Times New Roman" w:hAnsi="Times New Roman" w:cs="Times New Roman"/>
                <w:color w:val="000000"/>
                <w:sz w:val="16"/>
                <w:szCs w:val="16"/>
                <w:lang w:val="en-US"/>
              </w:rPr>
              <w:t xml:space="preserve">2.1.7. To </w:t>
            </w:r>
            <w:r w:rsidR="00421750" w:rsidRPr="00F23413">
              <w:rPr>
                <w:rFonts w:ascii="Times New Roman" w:hAnsi="Times New Roman" w:cs="Times New Roman"/>
                <w:sz w:val="16"/>
                <w:szCs w:val="16"/>
                <w:lang w:val="en-US" w:eastAsia="uk-UA"/>
              </w:rPr>
              <w:t>provide the Central Securities Depository (hereinafter - Central Depository) and / or the Settlement Service Center for servicing financial market agreements (hereinafter - Settlement Center) with information on the nominee holder, securities owned by nominee customers and nominal customer clients holder, and other information necessary for the performance of depositary operations, in the cases and in accordance with the procedure provided by the legislation and internal documents of the Central Depository and / or the Custodian the entree</w:t>
            </w:r>
            <w:r w:rsidR="00421750" w:rsidRPr="00E16672">
              <w:rPr>
                <w:rFonts w:ascii="Times New Roman" w:hAnsi="Times New Roman" w:cs="Times New Roman"/>
                <w:sz w:val="16"/>
                <w:szCs w:val="16"/>
                <w:lang w:val="uk-UA" w:eastAsia="uk-UA"/>
              </w:rPr>
              <w:t>.</w:t>
            </w:r>
          </w:p>
          <w:p w14:paraId="241CE200" w14:textId="77777777" w:rsidR="00EB25FE" w:rsidRPr="00E16672" w:rsidRDefault="00EB25FE" w:rsidP="001456E9">
            <w:pPr>
              <w:pStyle w:val="210"/>
              <w:snapToGrid w:val="0"/>
              <w:ind w:left="182" w:right="100" w:firstLine="0"/>
              <w:rPr>
                <w:rFonts w:ascii="Times New Roman" w:hAnsi="Times New Roman"/>
                <w:color w:val="000000"/>
                <w:sz w:val="16"/>
                <w:szCs w:val="16"/>
              </w:rPr>
            </w:pPr>
          </w:p>
        </w:tc>
      </w:tr>
      <w:tr w:rsidR="00EB25FE" w:rsidRPr="00F23413" w14:paraId="147068D6" w14:textId="77777777" w:rsidTr="005E418B">
        <w:tblPrEx>
          <w:tblCellMar>
            <w:left w:w="0" w:type="dxa"/>
            <w:right w:w="0" w:type="dxa"/>
          </w:tblCellMar>
        </w:tblPrEx>
        <w:trPr>
          <w:trHeight w:val="192"/>
        </w:trPr>
        <w:tc>
          <w:tcPr>
            <w:tcW w:w="5695" w:type="dxa"/>
            <w:gridSpan w:val="7"/>
            <w:shd w:val="clear" w:color="auto" w:fill="auto"/>
          </w:tcPr>
          <w:p w14:paraId="1EB59D66" w14:textId="77777777" w:rsidR="00EB25FE" w:rsidRPr="00E16672" w:rsidRDefault="00EB25FE" w:rsidP="007956D6">
            <w:pPr>
              <w:pStyle w:val="23"/>
              <w:tabs>
                <w:tab w:val="left" w:pos="576"/>
                <w:tab w:val="left" w:pos="588"/>
              </w:tabs>
              <w:ind w:left="182" w:right="138" w:firstLine="0"/>
              <w:rPr>
                <w:rFonts w:ascii="Times New Roman" w:hAnsi="Times New Roman"/>
                <w:color w:val="000000"/>
                <w:sz w:val="16"/>
                <w:szCs w:val="16"/>
              </w:rPr>
            </w:pPr>
            <w:r w:rsidRPr="00E16672">
              <w:rPr>
                <w:rFonts w:ascii="Times New Roman" w:hAnsi="Times New Roman"/>
                <w:color w:val="000000"/>
                <w:sz w:val="16"/>
                <w:szCs w:val="16"/>
              </w:rPr>
              <w:t xml:space="preserve">2.1.8. </w:t>
            </w:r>
            <w:r w:rsidR="004F0E40" w:rsidRPr="00E16672">
              <w:rPr>
                <w:rFonts w:ascii="Times New Roman" w:hAnsi="Times New Roman"/>
                <w:sz w:val="16"/>
                <w:szCs w:val="16"/>
              </w:rPr>
              <w:t xml:space="preserve">Зупиняти або обмежувати проведення всіх або окремих депозитарних операцій на рахунку (рахунках) в цінних паперах номінального утримувача на підставі відповідних рішень Комісії, прийнятих у зв’язку з порушенням вимог законодавства, у разі </w:t>
            </w:r>
            <w:proofErr w:type="spellStart"/>
            <w:r w:rsidR="004F0E40" w:rsidRPr="00E16672">
              <w:rPr>
                <w:rFonts w:ascii="Times New Roman" w:hAnsi="Times New Roman"/>
                <w:sz w:val="16"/>
                <w:szCs w:val="16"/>
              </w:rPr>
              <w:t>нерозкриття</w:t>
            </w:r>
            <w:proofErr w:type="spellEnd"/>
            <w:r w:rsidR="004F0E40" w:rsidRPr="00E16672">
              <w:rPr>
                <w:rFonts w:ascii="Times New Roman" w:hAnsi="Times New Roman"/>
                <w:sz w:val="16"/>
                <w:szCs w:val="16"/>
              </w:rPr>
              <w:t xml:space="preserve"> номінальним утримувачем інформації у випадках, встановлених законом</w:t>
            </w:r>
            <w:r w:rsidRPr="00E16672">
              <w:rPr>
                <w:rFonts w:ascii="Times New Roman" w:hAnsi="Times New Roman"/>
                <w:color w:val="000000"/>
                <w:sz w:val="16"/>
                <w:szCs w:val="16"/>
              </w:rPr>
              <w:t>.</w:t>
            </w:r>
          </w:p>
          <w:p w14:paraId="38640768" w14:textId="77777777" w:rsidR="00EB25FE" w:rsidRPr="00E16672" w:rsidRDefault="00EB25FE" w:rsidP="007956D6">
            <w:pPr>
              <w:pStyle w:val="23"/>
              <w:tabs>
                <w:tab w:val="left" w:pos="576"/>
                <w:tab w:val="left" w:pos="588"/>
              </w:tabs>
              <w:ind w:left="182" w:right="138" w:firstLine="0"/>
              <w:rPr>
                <w:rFonts w:ascii="Times New Roman" w:hAnsi="Times New Roman"/>
                <w:color w:val="000000"/>
                <w:spacing w:val="-9"/>
                <w:sz w:val="16"/>
                <w:szCs w:val="16"/>
                <w:shd w:val="clear" w:color="auto" w:fill="FFFFFF"/>
              </w:rPr>
            </w:pPr>
          </w:p>
        </w:tc>
        <w:tc>
          <w:tcPr>
            <w:tcW w:w="5495" w:type="dxa"/>
            <w:gridSpan w:val="8"/>
            <w:shd w:val="clear" w:color="auto" w:fill="auto"/>
          </w:tcPr>
          <w:p w14:paraId="707CF7D8" w14:textId="77777777" w:rsidR="00CA2500" w:rsidRPr="00E16672" w:rsidRDefault="00EB25FE" w:rsidP="001456E9">
            <w:pPr>
              <w:pStyle w:val="HTML"/>
              <w:ind w:left="182" w:firstLine="0"/>
              <w:rPr>
                <w:rFonts w:ascii="Times New Roman" w:hAnsi="Times New Roman" w:cs="Times New Roman"/>
                <w:sz w:val="16"/>
                <w:szCs w:val="16"/>
                <w:lang w:val="uk-UA" w:eastAsia="uk-UA"/>
              </w:rPr>
            </w:pPr>
            <w:r w:rsidRPr="00E16672">
              <w:rPr>
                <w:rFonts w:ascii="Times New Roman" w:hAnsi="Times New Roman" w:cs="Times New Roman"/>
                <w:color w:val="000000"/>
                <w:sz w:val="16"/>
                <w:szCs w:val="16"/>
                <w:lang w:val="en-US"/>
              </w:rPr>
              <w:t>2.1.</w:t>
            </w:r>
            <w:r w:rsidRPr="00E16672">
              <w:rPr>
                <w:rFonts w:ascii="Times New Roman" w:hAnsi="Times New Roman" w:cs="Times New Roman"/>
                <w:color w:val="000000"/>
                <w:sz w:val="16"/>
                <w:szCs w:val="16"/>
                <w:lang w:val="en-GB"/>
              </w:rPr>
              <w:t>8</w:t>
            </w:r>
            <w:r w:rsidRPr="00E16672">
              <w:rPr>
                <w:rFonts w:ascii="Times New Roman" w:hAnsi="Times New Roman" w:cs="Times New Roman"/>
                <w:color w:val="000000"/>
                <w:sz w:val="16"/>
                <w:szCs w:val="16"/>
                <w:lang w:val="en-US"/>
              </w:rPr>
              <w:t xml:space="preserve">. </w:t>
            </w:r>
            <w:r w:rsidR="00CA2500" w:rsidRPr="00F23413">
              <w:rPr>
                <w:rFonts w:ascii="Times New Roman" w:hAnsi="Times New Roman" w:cs="Times New Roman"/>
                <w:sz w:val="16"/>
                <w:szCs w:val="16"/>
                <w:lang w:val="en-US" w:eastAsia="uk-UA"/>
              </w:rPr>
              <w:t>To suspend or restrict the carrying out of all or separate depositary operations on the account (s) in securities of the nominee on the basis of the relevant decisions of the Commission taken in connection with violation of the requirements of the legislation, if the nominal holder of information is not disclosed in cases established by law</w:t>
            </w:r>
            <w:r w:rsidR="00977BA4" w:rsidRPr="00E16672">
              <w:rPr>
                <w:rFonts w:ascii="Times New Roman" w:hAnsi="Times New Roman" w:cs="Times New Roman"/>
                <w:sz w:val="16"/>
                <w:szCs w:val="16"/>
                <w:lang w:val="uk-UA" w:eastAsia="uk-UA"/>
              </w:rPr>
              <w:t>.</w:t>
            </w:r>
          </w:p>
          <w:p w14:paraId="053D1C39" w14:textId="77777777" w:rsidR="00EB25FE" w:rsidRPr="00E16672" w:rsidRDefault="00EB25FE" w:rsidP="001456E9">
            <w:pPr>
              <w:pStyle w:val="210"/>
              <w:snapToGrid w:val="0"/>
              <w:ind w:left="182" w:right="100" w:firstLine="0"/>
              <w:rPr>
                <w:rFonts w:ascii="Times New Roman" w:hAnsi="Times New Roman"/>
                <w:color w:val="000000"/>
                <w:sz w:val="16"/>
                <w:szCs w:val="16"/>
              </w:rPr>
            </w:pPr>
          </w:p>
        </w:tc>
      </w:tr>
      <w:tr w:rsidR="00EB25FE" w:rsidRPr="00F23413" w14:paraId="5B2A1233" w14:textId="77777777" w:rsidTr="005E418B">
        <w:tblPrEx>
          <w:tblCellMar>
            <w:left w:w="0" w:type="dxa"/>
            <w:right w:w="0" w:type="dxa"/>
          </w:tblCellMar>
        </w:tblPrEx>
        <w:trPr>
          <w:trHeight w:val="192"/>
        </w:trPr>
        <w:tc>
          <w:tcPr>
            <w:tcW w:w="5695" w:type="dxa"/>
            <w:gridSpan w:val="7"/>
            <w:shd w:val="clear" w:color="auto" w:fill="auto"/>
          </w:tcPr>
          <w:p w14:paraId="3772A113" w14:textId="77777777" w:rsidR="00EB25FE" w:rsidRPr="00E16672" w:rsidRDefault="00EB25FE" w:rsidP="007956D6">
            <w:pPr>
              <w:pStyle w:val="af5"/>
              <w:spacing w:after="60"/>
              <w:ind w:left="182" w:right="138" w:firstLine="0"/>
              <w:jc w:val="both"/>
              <w:rPr>
                <w:rFonts w:ascii="Times New Roman" w:hAnsi="Times New Roman" w:cs="Times New Roman"/>
                <w:b w:val="0"/>
                <w:sz w:val="16"/>
                <w:szCs w:val="16"/>
              </w:rPr>
            </w:pPr>
            <w:r w:rsidRPr="00E16672">
              <w:rPr>
                <w:rFonts w:ascii="Times New Roman" w:hAnsi="Times New Roman" w:cs="Times New Roman"/>
                <w:b w:val="0"/>
                <w:sz w:val="16"/>
                <w:szCs w:val="16"/>
              </w:rPr>
              <w:t xml:space="preserve">2.1.9. </w:t>
            </w:r>
            <w:r w:rsidR="00977BA4" w:rsidRPr="00E16672">
              <w:rPr>
                <w:rFonts w:ascii="Times New Roman" w:hAnsi="Times New Roman" w:cs="Times New Roman"/>
                <w:b w:val="0"/>
                <w:sz w:val="16"/>
                <w:szCs w:val="16"/>
              </w:rPr>
              <w:t xml:space="preserve">До завершення робочого дня, протягом якого отримано рішення стосовно обмеження / зняття обмеження прав на цінні папери конкретного власника, цінні папери якого обліковуються на рахунку </w:t>
            </w:r>
            <w:r w:rsidR="00C22309" w:rsidRPr="00E16672">
              <w:rPr>
                <w:rFonts w:ascii="Times New Roman" w:hAnsi="Times New Roman" w:cs="Times New Roman"/>
                <w:b w:val="0"/>
                <w:sz w:val="16"/>
                <w:szCs w:val="16"/>
              </w:rPr>
              <w:t>в цін</w:t>
            </w:r>
            <w:r w:rsidR="00977BA4" w:rsidRPr="00E16672">
              <w:rPr>
                <w:rFonts w:ascii="Times New Roman" w:hAnsi="Times New Roman" w:cs="Times New Roman"/>
                <w:b w:val="0"/>
                <w:sz w:val="16"/>
                <w:szCs w:val="16"/>
              </w:rPr>
              <w:t>них паперах у номінального утримувача, повідомити номінального утримувача про необхідність встановлення/зняття обмеження стосовно цінних паперів цього власника та надати йому копію відповідного судового рішення або копію відповідного рішення уповноваженого законом державного органу чи його посадової особи про встановлення/зняття обмеження у порядку, спосіб та формі, що передбачені Договором</w:t>
            </w:r>
            <w:r w:rsidRPr="00E16672">
              <w:rPr>
                <w:rFonts w:ascii="Times New Roman" w:hAnsi="Times New Roman" w:cs="Times New Roman"/>
                <w:b w:val="0"/>
                <w:sz w:val="16"/>
                <w:szCs w:val="16"/>
              </w:rPr>
              <w:t>.</w:t>
            </w:r>
          </w:p>
          <w:p w14:paraId="439A2CBF" w14:textId="77777777" w:rsidR="00EB25FE" w:rsidRPr="00E16672" w:rsidRDefault="00EB25FE" w:rsidP="007956D6">
            <w:pPr>
              <w:pStyle w:val="ab"/>
              <w:ind w:left="182" w:firstLine="0"/>
              <w:rPr>
                <w:rFonts w:ascii="Times New Roman" w:hAnsi="Times New Roman"/>
                <w:sz w:val="16"/>
                <w:szCs w:val="16"/>
              </w:rPr>
            </w:pPr>
          </w:p>
        </w:tc>
        <w:tc>
          <w:tcPr>
            <w:tcW w:w="5495" w:type="dxa"/>
            <w:gridSpan w:val="8"/>
            <w:shd w:val="clear" w:color="auto" w:fill="auto"/>
          </w:tcPr>
          <w:p w14:paraId="0CB362DF" w14:textId="77777777" w:rsidR="003B04F7" w:rsidRPr="00E16672" w:rsidRDefault="00EB25FE" w:rsidP="001456E9">
            <w:pPr>
              <w:pStyle w:val="HTML"/>
              <w:ind w:left="182" w:firstLine="0"/>
              <w:rPr>
                <w:rFonts w:ascii="Times New Roman" w:hAnsi="Times New Roman" w:cs="Times New Roman"/>
                <w:sz w:val="16"/>
                <w:szCs w:val="16"/>
                <w:lang w:val="uk-UA" w:eastAsia="uk-UA"/>
              </w:rPr>
            </w:pPr>
            <w:r w:rsidRPr="00E16672">
              <w:rPr>
                <w:rFonts w:ascii="Times New Roman" w:hAnsi="Times New Roman" w:cs="Times New Roman"/>
                <w:sz w:val="16"/>
                <w:szCs w:val="16"/>
                <w:lang w:val="en-GB"/>
              </w:rPr>
              <w:t xml:space="preserve">2.1.9. </w:t>
            </w:r>
            <w:r w:rsidR="003B04F7" w:rsidRPr="00F23413">
              <w:rPr>
                <w:rFonts w:ascii="Times New Roman" w:hAnsi="Times New Roman" w:cs="Times New Roman"/>
                <w:sz w:val="16"/>
                <w:szCs w:val="16"/>
                <w:lang w:val="en-US" w:eastAsia="uk-UA"/>
              </w:rPr>
              <w:t>Before the end of the working day, during which a decision was made regarding the restriction / removal of restrictions on the rights of securities of a specific owner whose securities are recorded on a securities account with the nominee holder, to notify the nominee holder of the need to establish / withdraw the restriction regarding securities of this the owner and provide him with a copy of the relevant court decision or a copy of the relevant decision of the state body authorized by the law or its official to establish / remove the restriction in order, manner and form provided for in the Contract</w:t>
            </w:r>
            <w:r w:rsidR="007956D6" w:rsidRPr="00E16672">
              <w:rPr>
                <w:rFonts w:ascii="Times New Roman" w:hAnsi="Times New Roman" w:cs="Times New Roman"/>
                <w:sz w:val="16"/>
                <w:szCs w:val="16"/>
                <w:lang w:val="uk-UA" w:eastAsia="uk-UA"/>
              </w:rPr>
              <w:t>.</w:t>
            </w:r>
          </w:p>
          <w:p w14:paraId="58E4C36D" w14:textId="77777777" w:rsidR="00EB25FE" w:rsidRPr="00E16672" w:rsidRDefault="00EB25FE" w:rsidP="001456E9">
            <w:pPr>
              <w:pStyle w:val="210"/>
              <w:snapToGrid w:val="0"/>
              <w:ind w:left="182" w:right="100" w:firstLine="0"/>
              <w:rPr>
                <w:rFonts w:ascii="Times New Roman" w:hAnsi="Times New Roman"/>
                <w:sz w:val="16"/>
                <w:szCs w:val="16"/>
                <w:lang w:val="en-GB"/>
              </w:rPr>
            </w:pPr>
          </w:p>
        </w:tc>
      </w:tr>
      <w:tr w:rsidR="00EB25FE" w:rsidRPr="00F23413" w14:paraId="0CE474D0" w14:textId="77777777" w:rsidTr="005E418B">
        <w:tblPrEx>
          <w:tblCellMar>
            <w:left w:w="0" w:type="dxa"/>
            <w:right w:w="0" w:type="dxa"/>
          </w:tblCellMar>
        </w:tblPrEx>
        <w:trPr>
          <w:trHeight w:val="192"/>
        </w:trPr>
        <w:tc>
          <w:tcPr>
            <w:tcW w:w="5695" w:type="dxa"/>
            <w:gridSpan w:val="7"/>
            <w:shd w:val="clear" w:color="auto" w:fill="auto"/>
          </w:tcPr>
          <w:p w14:paraId="7809140D" w14:textId="77777777" w:rsidR="00EB25FE" w:rsidRPr="00F23413" w:rsidRDefault="00EB25FE" w:rsidP="001B79A8">
            <w:pPr>
              <w:ind w:left="182" w:firstLine="0"/>
              <w:rPr>
                <w:rFonts w:ascii="Times New Roman" w:hAnsi="Times New Roman"/>
                <w:bCs/>
                <w:color w:val="000000"/>
                <w:sz w:val="16"/>
                <w:szCs w:val="16"/>
                <w:shd w:val="clear" w:color="auto" w:fill="FFFFFF"/>
                <w:lang w:val="en-US"/>
              </w:rPr>
            </w:pPr>
            <w:r w:rsidRPr="00F23413">
              <w:rPr>
                <w:rFonts w:ascii="Times New Roman" w:hAnsi="Times New Roman"/>
                <w:bCs/>
                <w:color w:val="000000"/>
                <w:sz w:val="16"/>
                <w:szCs w:val="16"/>
                <w:lang w:val="en-US"/>
              </w:rPr>
              <w:t xml:space="preserve">2.1.10. </w:t>
            </w:r>
            <w:r w:rsidR="00B801FE" w:rsidRPr="00E16672">
              <w:rPr>
                <w:rFonts w:ascii="Times New Roman" w:hAnsi="Times New Roman"/>
                <w:sz w:val="16"/>
                <w:szCs w:val="16"/>
              </w:rPr>
              <w:t>Не</w:t>
            </w:r>
            <w:r w:rsidR="00B801FE" w:rsidRPr="00F23413">
              <w:rPr>
                <w:rFonts w:ascii="Times New Roman" w:hAnsi="Times New Roman"/>
                <w:sz w:val="16"/>
                <w:szCs w:val="16"/>
                <w:lang w:val="en-US"/>
              </w:rPr>
              <w:t xml:space="preserve"> </w:t>
            </w:r>
            <w:proofErr w:type="spellStart"/>
            <w:r w:rsidR="00B801FE" w:rsidRPr="00E16672">
              <w:rPr>
                <w:rFonts w:ascii="Times New Roman" w:hAnsi="Times New Roman"/>
                <w:sz w:val="16"/>
                <w:szCs w:val="16"/>
              </w:rPr>
              <w:t>пізніше</w:t>
            </w:r>
            <w:proofErr w:type="spellEnd"/>
            <w:r w:rsidR="00B801FE" w:rsidRPr="00F23413">
              <w:rPr>
                <w:rFonts w:ascii="Times New Roman" w:hAnsi="Times New Roman"/>
                <w:sz w:val="16"/>
                <w:szCs w:val="16"/>
                <w:lang w:val="en-US"/>
              </w:rPr>
              <w:t xml:space="preserve"> </w:t>
            </w:r>
            <w:proofErr w:type="spellStart"/>
            <w:r w:rsidR="00B801FE" w:rsidRPr="00E16672">
              <w:rPr>
                <w:rFonts w:ascii="Times New Roman" w:hAnsi="Times New Roman"/>
                <w:sz w:val="16"/>
                <w:szCs w:val="16"/>
              </w:rPr>
              <w:t>наступного</w:t>
            </w:r>
            <w:proofErr w:type="spellEnd"/>
            <w:r w:rsidR="00B801FE" w:rsidRPr="00F23413">
              <w:rPr>
                <w:rFonts w:ascii="Times New Roman" w:hAnsi="Times New Roman"/>
                <w:sz w:val="16"/>
                <w:szCs w:val="16"/>
                <w:lang w:val="en-US"/>
              </w:rPr>
              <w:t xml:space="preserve"> </w:t>
            </w:r>
            <w:proofErr w:type="spellStart"/>
            <w:r w:rsidR="00B801FE" w:rsidRPr="00E16672">
              <w:rPr>
                <w:rFonts w:ascii="Times New Roman" w:hAnsi="Times New Roman"/>
                <w:sz w:val="16"/>
                <w:szCs w:val="16"/>
              </w:rPr>
              <w:t>робочого</w:t>
            </w:r>
            <w:proofErr w:type="spellEnd"/>
            <w:r w:rsidR="00B801FE" w:rsidRPr="00F23413">
              <w:rPr>
                <w:rFonts w:ascii="Times New Roman" w:hAnsi="Times New Roman"/>
                <w:sz w:val="16"/>
                <w:szCs w:val="16"/>
                <w:lang w:val="en-US"/>
              </w:rPr>
              <w:t xml:space="preserve"> </w:t>
            </w:r>
            <w:r w:rsidR="00B801FE" w:rsidRPr="00E16672">
              <w:rPr>
                <w:rFonts w:ascii="Times New Roman" w:hAnsi="Times New Roman"/>
                <w:sz w:val="16"/>
                <w:szCs w:val="16"/>
              </w:rPr>
              <w:t>дня</w:t>
            </w:r>
            <w:r w:rsidR="00B801FE" w:rsidRPr="00F23413">
              <w:rPr>
                <w:rFonts w:ascii="Times New Roman" w:hAnsi="Times New Roman"/>
                <w:sz w:val="16"/>
                <w:szCs w:val="16"/>
                <w:lang w:val="en-US"/>
              </w:rPr>
              <w:t xml:space="preserve"> </w:t>
            </w:r>
            <w:r w:rsidR="00B801FE" w:rsidRPr="00E16672">
              <w:rPr>
                <w:rFonts w:ascii="Times New Roman" w:hAnsi="Times New Roman"/>
                <w:sz w:val="16"/>
                <w:szCs w:val="16"/>
              </w:rPr>
              <w:t>з</w:t>
            </w:r>
            <w:r w:rsidR="00B801FE" w:rsidRPr="00F23413">
              <w:rPr>
                <w:rFonts w:ascii="Times New Roman" w:hAnsi="Times New Roman"/>
                <w:sz w:val="16"/>
                <w:szCs w:val="16"/>
                <w:lang w:val="en-US"/>
              </w:rPr>
              <w:t xml:space="preserve"> </w:t>
            </w:r>
            <w:r w:rsidR="00B801FE" w:rsidRPr="00E16672">
              <w:rPr>
                <w:rFonts w:ascii="Times New Roman" w:hAnsi="Times New Roman"/>
                <w:sz w:val="16"/>
                <w:szCs w:val="16"/>
              </w:rPr>
              <w:t>дня</w:t>
            </w:r>
            <w:r w:rsidR="00B801FE" w:rsidRPr="00F23413">
              <w:rPr>
                <w:rFonts w:ascii="Times New Roman" w:hAnsi="Times New Roman"/>
                <w:sz w:val="16"/>
                <w:szCs w:val="16"/>
                <w:lang w:val="en-US"/>
              </w:rPr>
              <w:t xml:space="preserve"> </w:t>
            </w:r>
            <w:proofErr w:type="spellStart"/>
            <w:r w:rsidR="00B801FE" w:rsidRPr="00E16672">
              <w:rPr>
                <w:rFonts w:ascii="Times New Roman" w:hAnsi="Times New Roman"/>
                <w:sz w:val="16"/>
                <w:szCs w:val="16"/>
              </w:rPr>
              <w:t>набрання</w:t>
            </w:r>
            <w:proofErr w:type="spellEnd"/>
            <w:r w:rsidR="00B801FE" w:rsidRPr="00F23413">
              <w:rPr>
                <w:rFonts w:ascii="Times New Roman" w:hAnsi="Times New Roman"/>
                <w:sz w:val="16"/>
                <w:szCs w:val="16"/>
                <w:lang w:val="en-US"/>
              </w:rPr>
              <w:t xml:space="preserve"> </w:t>
            </w:r>
            <w:proofErr w:type="spellStart"/>
            <w:r w:rsidR="00B801FE" w:rsidRPr="00E16672">
              <w:rPr>
                <w:rFonts w:ascii="Times New Roman" w:hAnsi="Times New Roman"/>
                <w:sz w:val="16"/>
                <w:szCs w:val="16"/>
              </w:rPr>
              <w:t>чинності</w:t>
            </w:r>
            <w:proofErr w:type="spellEnd"/>
            <w:r w:rsidR="00B801FE" w:rsidRPr="00F23413">
              <w:rPr>
                <w:rFonts w:ascii="Times New Roman" w:hAnsi="Times New Roman"/>
                <w:sz w:val="16"/>
                <w:szCs w:val="16"/>
                <w:lang w:val="en-US"/>
              </w:rPr>
              <w:t xml:space="preserve"> </w:t>
            </w:r>
            <w:r w:rsidR="00B801FE" w:rsidRPr="00E16672">
              <w:rPr>
                <w:rFonts w:ascii="Times New Roman" w:hAnsi="Times New Roman"/>
                <w:sz w:val="16"/>
                <w:szCs w:val="16"/>
              </w:rPr>
              <w:t>Указом</w:t>
            </w:r>
            <w:r w:rsidR="00B801FE" w:rsidRPr="00F23413">
              <w:rPr>
                <w:rFonts w:ascii="Times New Roman" w:hAnsi="Times New Roman"/>
                <w:sz w:val="16"/>
                <w:szCs w:val="16"/>
                <w:lang w:val="en-US"/>
              </w:rPr>
              <w:t xml:space="preserve"> </w:t>
            </w:r>
            <w:proofErr w:type="spellStart"/>
            <w:r w:rsidR="00B801FE" w:rsidRPr="00E16672">
              <w:rPr>
                <w:rFonts w:ascii="Times New Roman" w:hAnsi="Times New Roman"/>
                <w:sz w:val="16"/>
                <w:szCs w:val="16"/>
              </w:rPr>
              <w:t>надати</w:t>
            </w:r>
            <w:proofErr w:type="spellEnd"/>
            <w:r w:rsidR="00B801FE" w:rsidRPr="00F23413">
              <w:rPr>
                <w:rFonts w:ascii="Times New Roman" w:hAnsi="Times New Roman"/>
                <w:sz w:val="16"/>
                <w:szCs w:val="16"/>
                <w:lang w:val="en-US"/>
              </w:rPr>
              <w:t xml:space="preserve"> </w:t>
            </w:r>
            <w:proofErr w:type="spellStart"/>
            <w:r w:rsidR="00B801FE" w:rsidRPr="00E16672">
              <w:rPr>
                <w:rFonts w:ascii="Times New Roman" w:hAnsi="Times New Roman"/>
                <w:sz w:val="16"/>
                <w:szCs w:val="16"/>
              </w:rPr>
              <w:t>номінальному</w:t>
            </w:r>
            <w:proofErr w:type="spellEnd"/>
            <w:r w:rsidR="00B801FE" w:rsidRPr="00F23413">
              <w:rPr>
                <w:rFonts w:ascii="Times New Roman" w:hAnsi="Times New Roman"/>
                <w:sz w:val="16"/>
                <w:szCs w:val="16"/>
                <w:lang w:val="en-US"/>
              </w:rPr>
              <w:t xml:space="preserve"> </w:t>
            </w:r>
            <w:proofErr w:type="spellStart"/>
            <w:r w:rsidR="00B801FE" w:rsidRPr="00E16672">
              <w:rPr>
                <w:rFonts w:ascii="Times New Roman" w:hAnsi="Times New Roman"/>
                <w:sz w:val="16"/>
                <w:szCs w:val="16"/>
              </w:rPr>
              <w:t>утримувачу</w:t>
            </w:r>
            <w:proofErr w:type="spellEnd"/>
            <w:r w:rsidR="00B801FE" w:rsidRPr="00F23413">
              <w:rPr>
                <w:rFonts w:ascii="Times New Roman" w:hAnsi="Times New Roman"/>
                <w:sz w:val="16"/>
                <w:szCs w:val="16"/>
                <w:lang w:val="en-US"/>
              </w:rPr>
              <w:t xml:space="preserve"> </w:t>
            </w:r>
            <w:proofErr w:type="spellStart"/>
            <w:r w:rsidR="00B801FE" w:rsidRPr="00E16672">
              <w:rPr>
                <w:rFonts w:ascii="Times New Roman" w:hAnsi="Times New Roman"/>
                <w:sz w:val="16"/>
                <w:szCs w:val="16"/>
              </w:rPr>
              <w:t>відповідне</w:t>
            </w:r>
            <w:proofErr w:type="spellEnd"/>
            <w:r w:rsidR="00B801FE" w:rsidRPr="00F23413">
              <w:rPr>
                <w:rFonts w:ascii="Times New Roman" w:hAnsi="Times New Roman"/>
                <w:sz w:val="16"/>
                <w:szCs w:val="16"/>
                <w:lang w:val="en-US"/>
              </w:rPr>
              <w:t xml:space="preserve"> </w:t>
            </w:r>
            <w:proofErr w:type="spellStart"/>
            <w:r w:rsidR="00B801FE" w:rsidRPr="00E16672">
              <w:rPr>
                <w:rFonts w:ascii="Times New Roman" w:hAnsi="Times New Roman"/>
                <w:sz w:val="16"/>
                <w:szCs w:val="16"/>
              </w:rPr>
              <w:t>повідомлення</w:t>
            </w:r>
            <w:proofErr w:type="spellEnd"/>
            <w:r w:rsidR="00B801FE" w:rsidRPr="00F23413">
              <w:rPr>
                <w:rFonts w:ascii="Times New Roman" w:hAnsi="Times New Roman"/>
                <w:sz w:val="16"/>
                <w:szCs w:val="16"/>
                <w:lang w:val="en-US"/>
              </w:rPr>
              <w:t xml:space="preserve"> </w:t>
            </w:r>
            <w:proofErr w:type="spellStart"/>
            <w:r w:rsidR="00B801FE" w:rsidRPr="00E16672">
              <w:rPr>
                <w:rFonts w:ascii="Times New Roman" w:hAnsi="Times New Roman"/>
                <w:sz w:val="16"/>
                <w:szCs w:val="16"/>
              </w:rPr>
              <w:t>із</w:t>
            </w:r>
            <w:proofErr w:type="spellEnd"/>
            <w:r w:rsidR="00B801FE" w:rsidRPr="00F23413">
              <w:rPr>
                <w:rFonts w:ascii="Times New Roman" w:hAnsi="Times New Roman"/>
                <w:sz w:val="16"/>
                <w:szCs w:val="16"/>
                <w:lang w:val="en-US"/>
              </w:rPr>
              <w:t xml:space="preserve"> </w:t>
            </w:r>
            <w:proofErr w:type="spellStart"/>
            <w:r w:rsidR="00B801FE" w:rsidRPr="00E16672">
              <w:rPr>
                <w:rFonts w:ascii="Times New Roman" w:hAnsi="Times New Roman"/>
                <w:sz w:val="16"/>
                <w:szCs w:val="16"/>
              </w:rPr>
              <w:t>зазначенням</w:t>
            </w:r>
            <w:proofErr w:type="spellEnd"/>
            <w:r w:rsidR="00B801FE" w:rsidRPr="00F23413">
              <w:rPr>
                <w:rFonts w:ascii="Times New Roman" w:hAnsi="Times New Roman"/>
                <w:sz w:val="16"/>
                <w:szCs w:val="16"/>
                <w:lang w:val="en-US"/>
              </w:rPr>
              <w:t xml:space="preserve"> </w:t>
            </w:r>
            <w:proofErr w:type="spellStart"/>
            <w:r w:rsidR="00B801FE" w:rsidRPr="00E16672">
              <w:rPr>
                <w:rFonts w:ascii="Times New Roman" w:hAnsi="Times New Roman"/>
                <w:sz w:val="16"/>
                <w:szCs w:val="16"/>
              </w:rPr>
              <w:t>посилання</w:t>
            </w:r>
            <w:proofErr w:type="spellEnd"/>
            <w:r w:rsidR="00B801FE" w:rsidRPr="00F23413">
              <w:rPr>
                <w:rFonts w:ascii="Times New Roman" w:hAnsi="Times New Roman"/>
                <w:sz w:val="16"/>
                <w:szCs w:val="16"/>
                <w:lang w:val="en-US"/>
              </w:rPr>
              <w:t xml:space="preserve"> </w:t>
            </w:r>
            <w:proofErr w:type="gramStart"/>
            <w:r w:rsidR="00B801FE" w:rsidRPr="00E16672">
              <w:rPr>
                <w:rFonts w:ascii="Times New Roman" w:hAnsi="Times New Roman"/>
                <w:sz w:val="16"/>
                <w:szCs w:val="16"/>
              </w:rPr>
              <w:t>на</w:t>
            </w:r>
            <w:r w:rsidR="00B801FE" w:rsidRPr="00F23413">
              <w:rPr>
                <w:rFonts w:ascii="Times New Roman" w:hAnsi="Times New Roman"/>
                <w:sz w:val="16"/>
                <w:szCs w:val="16"/>
                <w:lang w:val="en-US"/>
              </w:rPr>
              <w:t xml:space="preserve"> </w:t>
            </w:r>
            <w:r w:rsidR="00B801FE" w:rsidRPr="00E16672">
              <w:rPr>
                <w:rFonts w:ascii="Times New Roman" w:hAnsi="Times New Roman"/>
                <w:sz w:val="16"/>
                <w:szCs w:val="16"/>
              </w:rPr>
              <w:t>адресу</w:t>
            </w:r>
            <w:proofErr w:type="gramEnd"/>
            <w:r w:rsidR="00B801FE" w:rsidRPr="00F23413">
              <w:rPr>
                <w:rFonts w:ascii="Times New Roman" w:hAnsi="Times New Roman"/>
                <w:sz w:val="16"/>
                <w:szCs w:val="16"/>
                <w:lang w:val="en-US"/>
              </w:rPr>
              <w:t xml:space="preserve"> </w:t>
            </w:r>
            <w:r w:rsidR="00B801FE" w:rsidRPr="00E16672">
              <w:rPr>
                <w:rFonts w:ascii="Times New Roman" w:hAnsi="Times New Roman"/>
                <w:sz w:val="16"/>
                <w:szCs w:val="16"/>
              </w:rPr>
              <w:t>веб</w:t>
            </w:r>
            <w:r w:rsidR="00B801FE" w:rsidRPr="00F23413">
              <w:rPr>
                <w:rFonts w:ascii="Times New Roman" w:hAnsi="Times New Roman"/>
                <w:sz w:val="16"/>
                <w:szCs w:val="16"/>
                <w:lang w:val="en-US"/>
              </w:rPr>
              <w:t>-</w:t>
            </w:r>
            <w:proofErr w:type="spellStart"/>
            <w:r w:rsidR="00B801FE" w:rsidRPr="00E16672">
              <w:rPr>
                <w:rFonts w:ascii="Times New Roman" w:hAnsi="Times New Roman"/>
                <w:sz w:val="16"/>
                <w:szCs w:val="16"/>
              </w:rPr>
              <w:t>сторінки</w:t>
            </w:r>
            <w:proofErr w:type="spellEnd"/>
            <w:r w:rsidR="00B801FE" w:rsidRPr="00F23413">
              <w:rPr>
                <w:rFonts w:ascii="Times New Roman" w:hAnsi="Times New Roman"/>
                <w:sz w:val="16"/>
                <w:szCs w:val="16"/>
                <w:lang w:val="en-US"/>
              </w:rPr>
              <w:t xml:space="preserve"> </w:t>
            </w:r>
            <w:r w:rsidR="00B801FE" w:rsidRPr="00E16672">
              <w:rPr>
                <w:rFonts w:ascii="Times New Roman" w:hAnsi="Times New Roman"/>
                <w:sz w:val="16"/>
                <w:szCs w:val="16"/>
              </w:rPr>
              <w:t>на</w:t>
            </w:r>
            <w:r w:rsidR="00B801FE" w:rsidRPr="00F23413">
              <w:rPr>
                <w:rFonts w:ascii="Times New Roman" w:hAnsi="Times New Roman"/>
                <w:sz w:val="16"/>
                <w:szCs w:val="16"/>
                <w:lang w:val="en-US"/>
              </w:rPr>
              <w:t xml:space="preserve"> </w:t>
            </w:r>
            <w:r w:rsidR="00B801FE" w:rsidRPr="00E16672">
              <w:rPr>
                <w:rFonts w:ascii="Times New Roman" w:hAnsi="Times New Roman"/>
                <w:sz w:val="16"/>
                <w:szCs w:val="16"/>
              </w:rPr>
              <w:t>веб</w:t>
            </w:r>
            <w:r w:rsidR="00B801FE" w:rsidRPr="00F23413">
              <w:rPr>
                <w:rFonts w:ascii="Times New Roman" w:hAnsi="Times New Roman"/>
                <w:sz w:val="16"/>
                <w:szCs w:val="16"/>
                <w:lang w:val="en-US"/>
              </w:rPr>
              <w:t>-</w:t>
            </w:r>
            <w:proofErr w:type="spellStart"/>
            <w:r w:rsidR="00B801FE" w:rsidRPr="00E16672">
              <w:rPr>
                <w:rFonts w:ascii="Times New Roman" w:hAnsi="Times New Roman"/>
                <w:sz w:val="16"/>
                <w:szCs w:val="16"/>
              </w:rPr>
              <w:t>сайті</w:t>
            </w:r>
            <w:proofErr w:type="spellEnd"/>
            <w:r w:rsidR="00B801FE" w:rsidRPr="00F23413">
              <w:rPr>
                <w:rFonts w:ascii="Times New Roman" w:hAnsi="Times New Roman"/>
                <w:sz w:val="16"/>
                <w:szCs w:val="16"/>
                <w:lang w:val="en-US"/>
              </w:rPr>
              <w:t xml:space="preserve"> </w:t>
            </w:r>
            <w:r w:rsidR="00B801FE" w:rsidRPr="00E16672">
              <w:rPr>
                <w:rFonts w:ascii="Times New Roman" w:hAnsi="Times New Roman"/>
                <w:sz w:val="16"/>
                <w:szCs w:val="16"/>
              </w:rPr>
              <w:t>Президента</w:t>
            </w:r>
            <w:r w:rsidR="00B801FE" w:rsidRPr="00F23413">
              <w:rPr>
                <w:rFonts w:ascii="Times New Roman" w:hAnsi="Times New Roman"/>
                <w:sz w:val="16"/>
                <w:szCs w:val="16"/>
                <w:lang w:val="en-US"/>
              </w:rPr>
              <w:t xml:space="preserve"> </w:t>
            </w:r>
            <w:proofErr w:type="spellStart"/>
            <w:r w:rsidR="00B801FE" w:rsidRPr="00E16672">
              <w:rPr>
                <w:rFonts w:ascii="Times New Roman" w:hAnsi="Times New Roman"/>
                <w:sz w:val="16"/>
                <w:szCs w:val="16"/>
              </w:rPr>
              <w:t>України</w:t>
            </w:r>
            <w:proofErr w:type="spellEnd"/>
            <w:r w:rsidR="00B801FE" w:rsidRPr="00F23413">
              <w:rPr>
                <w:rFonts w:ascii="Times New Roman" w:hAnsi="Times New Roman"/>
                <w:sz w:val="16"/>
                <w:szCs w:val="16"/>
                <w:lang w:val="en-US"/>
              </w:rPr>
              <w:t xml:space="preserve">, </w:t>
            </w:r>
            <w:r w:rsidR="00B801FE" w:rsidRPr="00E16672">
              <w:rPr>
                <w:rFonts w:ascii="Times New Roman" w:hAnsi="Times New Roman"/>
                <w:sz w:val="16"/>
                <w:szCs w:val="16"/>
              </w:rPr>
              <w:t>на</w:t>
            </w:r>
            <w:r w:rsidR="00B801FE" w:rsidRPr="00F23413">
              <w:rPr>
                <w:rFonts w:ascii="Times New Roman" w:hAnsi="Times New Roman"/>
                <w:sz w:val="16"/>
                <w:szCs w:val="16"/>
                <w:lang w:val="en-US"/>
              </w:rPr>
              <w:t xml:space="preserve"> </w:t>
            </w:r>
            <w:proofErr w:type="spellStart"/>
            <w:r w:rsidR="00B801FE" w:rsidRPr="00E16672">
              <w:rPr>
                <w:rFonts w:ascii="Times New Roman" w:hAnsi="Times New Roman"/>
                <w:sz w:val="16"/>
                <w:szCs w:val="16"/>
              </w:rPr>
              <w:t>якій</w:t>
            </w:r>
            <w:proofErr w:type="spellEnd"/>
            <w:r w:rsidR="00B801FE" w:rsidRPr="00F23413">
              <w:rPr>
                <w:rFonts w:ascii="Times New Roman" w:hAnsi="Times New Roman"/>
                <w:sz w:val="16"/>
                <w:szCs w:val="16"/>
                <w:lang w:val="en-US"/>
              </w:rPr>
              <w:t xml:space="preserve"> </w:t>
            </w:r>
            <w:proofErr w:type="spellStart"/>
            <w:r w:rsidR="00B801FE" w:rsidRPr="00E16672">
              <w:rPr>
                <w:rFonts w:ascii="Times New Roman" w:hAnsi="Times New Roman"/>
                <w:sz w:val="16"/>
                <w:szCs w:val="16"/>
              </w:rPr>
              <w:t>розміщено</w:t>
            </w:r>
            <w:proofErr w:type="spellEnd"/>
            <w:r w:rsidR="00B801FE" w:rsidRPr="00F23413">
              <w:rPr>
                <w:rFonts w:ascii="Times New Roman" w:hAnsi="Times New Roman"/>
                <w:sz w:val="16"/>
                <w:szCs w:val="16"/>
                <w:lang w:val="en-US"/>
              </w:rPr>
              <w:t xml:space="preserve"> </w:t>
            </w:r>
            <w:proofErr w:type="spellStart"/>
            <w:r w:rsidR="00B801FE" w:rsidRPr="00E16672">
              <w:rPr>
                <w:rFonts w:ascii="Times New Roman" w:hAnsi="Times New Roman"/>
                <w:sz w:val="16"/>
                <w:szCs w:val="16"/>
              </w:rPr>
              <w:t>відповідний</w:t>
            </w:r>
            <w:proofErr w:type="spellEnd"/>
            <w:r w:rsidR="00B801FE" w:rsidRPr="00F23413">
              <w:rPr>
                <w:rFonts w:ascii="Times New Roman" w:hAnsi="Times New Roman"/>
                <w:sz w:val="16"/>
                <w:szCs w:val="16"/>
                <w:lang w:val="en-US"/>
              </w:rPr>
              <w:t xml:space="preserve"> </w:t>
            </w:r>
            <w:r w:rsidR="00B801FE" w:rsidRPr="00E16672">
              <w:rPr>
                <w:rFonts w:ascii="Times New Roman" w:hAnsi="Times New Roman"/>
                <w:sz w:val="16"/>
                <w:szCs w:val="16"/>
              </w:rPr>
              <w:t>Указ</w:t>
            </w:r>
            <w:r w:rsidR="00B801FE" w:rsidRPr="00F23413">
              <w:rPr>
                <w:rFonts w:ascii="Times New Roman" w:hAnsi="Times New Roman"/>
                <w:sz w:val="16"/>
                <w:szCs w:val="16"/>
                <w:lang w:val="en-US"/>
              </w:rPr>
              <w:t xml:space="preserve">, </w:t>
            </w:r>
            <w:r w:rsidR="00B801FE" w:rsidRPr="00E16672">
              <w:rPr>
                <w:rFonts w:ascii="Times New Roman" w:hAnsi="Times New Roman"/>
                <w:sz w:val="16"/>
                <w:szCs w:val="16"/>
              </w:rPr>
              <w:t>у</w:t>
            </w:r>
            <w:r w:rsidR="00B801FE" w:rsidRPr="00F23413">
              <w:rPr>
                <w:rFonts w:ascii="Times New Roman" w:hAnsi="Times New Roman"/>
                <w:sz w:val="16"/>
                <w:szCs w:val="16"/>
                <w:lang w:val="en-US"/>
              </w:rPr>
              <w:t xml:space="preserve"> </w:t>
            </w:r>
            <w:r w:rsidR="00B801FE" w:rsidRPr="00E16672">
              <w:rPr>
                <w:rFonts w:ascii="Times New Roman" w:hAnsi="Times New Roman"/>
                <w:sz w:val="16"/>
                <w:szCs w:val="16"/>
              </w:rPr>
              <w:t>порядку</w:t>
            </w:r>
            <w:r w:rsidR="00B801FE" w:rsidRPr="00F23413">
              <w:rPr>
                <w:rFonts w:ascii="Times New Roman" w:hAnsi="Times New Roman"/>
                <w:sz w:val="16"/>
                <w:szCs w:val="16"/>
                <w:lang w:val="en-US"/>
              </w:rPr>
              <w:t xml:space="preserve">, </w:t>
            </w:r>
            <w:proofErr w:type="spellStart"/>
            <w:r w:rsidR="00B801FE" w:rsidRPr="00E16672">
              <w:rPr>
                <w:rFonts w:ascii="Times New Roman" w:hAnsi="Times New Roman"/>
                <w:sz w:val="16"/>
                <w:szCs w:val="16"/>
              </w:rPr>
              <w:t>спосіб</w:t>
            </w:r>
            <w:proofErr w:type="spellEnd"/>
            <w:r w:rsidR="00B801FE" w:rsidRPr="00F23413">
              <w:rPr>
                <w:rFonts w:ascii="Times New Roman" w:hAnsi="Times New Roman"/>
                <w:sz w:val="16"/>
                <w:szCs w:val="16"/>
                <w:lang w:val="en-US"/>
              </w:rPr>
              <w:t xml:space="preserve"> </w:t>
            </w:r>
            <w:r w:rsidR="00B801FE" w:rsidRPr="00E16672">
              <w:rPr>
                <w:rFonts w:ascii="Times New Roman" w:hAnsi="Times New Roman"/>
                <w:sz w:val="16"/>
                <w:szCs w:val="16"/>
              </w:rPr>
              <w:t>та</w:t>
            </w:r>
            <w:r w:rsidR="00B801FE" w:rsidRPr="00F23413">
              <w:rPr>
                <w:rFonts w:ascii="Times New Roman" w:hAnsi="Times New Roman"/>
                <w:sz w:val="16"/>
                <w:szCs w:val="16"/>
                <w:lang w:val="en-US"/>
              </w:rPr>
              <w:t xml:space="preserve"> </w:t>
            </w:r>
            <w:proofErr w:type="spellStart"/>
            <w:r w:rsidR="00B801FE" w:rsidRPr="00E16672">
              <w:rPr>
                <w:rFonts w:ascii="Times New Roman" w:hAnsi="Times New Roman"/>
                <w:sz w:val="16"/>
                <w:szCs w:val="16"/>
              </w:rPr>
              <w:t>формі</w:t>
            </w:r>
            <w:proofErr w:type="spellEnd"/>
            <w:r w:rsidR="00B801FE" w:rsidRPr="00F23413">
              <w:rPr>
                <w:rFonts w:ascii="Times New Roman" w:hAnsi="Times New Roman"/>
                <w:sz w:val="16"/>
                <w:szCs w:val="16"/>
                <w:lang w:val="en-US"/>
              </w:rPr>
              <w:t xml:space="preserve">, </w:t>
            </w:r>
            <w:proofErr w:type="spellStart"/>
            <w:r w:rsidR="00B801FE" w:rsidRPr="00E16672">
              <w:rPr>
                <w:rFonts w:ascii="Times New Roman" w:hAnsi="Times New Roman"/>
                <w:sz w:val="16"/>
                <w:szCs w:val="16"/>
              </w:rPr>
              <w:t>що</w:t>
            </w:r>
            <w:proofErr w:type="spellEnd"/>
            <w:r w:rsidR="00B801FE" w:rsidRPr="00F23413">
              <w:rPr>
                <w:rFonts w:ascii="Times New Roman" w:hAnsi="Times New Roman"/>
                <w:sz w:val="16"/>
                <w:szCs w:val="16"/>
                <w:lang w:val="en-US"/>
              </w:rPr>
              <w:t xml:space="preserve"> </w:t>
            </w:r>
            <w:proofErr w:type="spellStart"/>
            <w:r w:rsidR="00B801FE" w:rsidRPr="00E16672">
              <w:rPr>
                <w:rFonts w:ascii="Times New Roman" w:hAnsi="Times New Roman"/>
                <w:sz w:val="16"/>
                <w:szCs w:val="16"/>
              </w:rPr>
              <w:t>передбачені</w:t>
            </w:r>
            <w:proofErr w:type="spellEnd"/>
            <w:r w:rsidR="00B801FE" w:rsidRPr="00F23413">
              <w:rPr>
                <w:rFonts w:ascii="Times New Roman" w:hAnsi="Times New Roman"/>
                <w:sz w:val="16"/>
                <w:szCs w:val="16"/>
                <w:lang w:val="en-US"/>
              </w:rPr>
              <w:t xml:space="preserve"> </w:t>
            </w:r>
            <w:r w:rsidR="00B801FE" w:rsidRPr="00E16672">
              <w:rPr>
                <w:rFonts w:ascii="Times New Roman" w:hAnsi="Times New Roman"/>
                <w:sz w:val="16"/>
                <w:szCs w:val="16"/>
              </w:rPr>
              <w:t>Договором</w:t>
            </w:r>
            <w:r w:rsidR="007956D6" w:rsidRPr="00E16672">
              <w:rPr>
                <w:rFonts w:ascii="Times New Roman" w:hAnsi="Times New Roman"/>
                <w:sz w:val="16"/>
                <w:szCs w:val="16"/>
                <w:lang w:val="uk-UA"/>
              </w:rPr>
              <w:t>.</w:t>
            </w:r>
          </w:p>
        </w:tc>
        <w:tc>
          <w:tcPr>
            <w:tcW w:w="5495" w:type="dxa"/>
            <w:gridSpan w:val="8"/>
            <w:shd w:val="clear" w:color="auto" w:fill="auto"/>
          </w:tcPr>
          <w:p w14:paraId="0F533BA6" w14:textId="77777777" w:rsidR="00D52847" w:rsidRPr="00E16672" w:rsidRDefault="00EB25FE" w:rsidP="001456E9">
            <w:pPr>
              <w:pStyle w:val="HTML"/>
              <w:ind w:left="182" w:firstLine="0"/>
              <w:rPr>
                <w:rFonts w:ascii="Times New Roman" w:hAnsi="Times New Roman" w:cs="Times New Roman"/>
                <w:sz w:val="16"/>
                <w:szCs w:val="16"/>
                <w:lang w:val="uk-UA" w:eastAsia="uk-UA"/>
              </w:rPr>
            </w:pPr>
            <w:r w:rsidRPr="00E16672">
              <w:rPr>
                <w:rFonts w:ascii="Times New Roman" w:hAnsi="Times New Roman" w:cs="Times New Roman"/>
                <w:bCs/>
                <w:color w:val="000000"/>
                <w:sz w:val="16"/>
                <w:szCs w:val="16"/>
                <w:lang w:val="en-GB"/>
              </w:rPr>
              <w:t xml:space="preserve">2.1.10. </w:t>
            </w:r>
            <w:r w:rsidR="007956D6" w:rsidRPr="00F23413">
              <w:rPr>
                <w:rFonts w:ascii="Times New Roman" w:hAnsi="Times New Roman" w:cs="Times New Roman"/>
                <w:sz w:val="16"/>
                <w:szCs w:val="16"/>
                <w:lang w:val="en-US" w:eastAsia="uk-UA"/>
              </w:rPr>
              <w:t>N</w:t>
            </w:r>
            <w:r w:rsidR="00D52847" w:rsidRPr="00F23413">
              <w:rPr>
                <w:rFonts w:ascii="Times New Roman" w:hAnsi="Times New Roman" w:cs="Times New Roman"/>
                <w:sz w:val="16"/>
                <w:szCs w:val="16"/>
                <w:lang w:val="en-US" w:eastAsia="uk-UA"/>
              </w:rPr>
              <w:t>o later than the next working day after the entry into force of the Decree, provide the nominee holder with the corresponding notice indicating the link to the web page address on the website of the President of Ukraine, on which the corresponding Decree is located, in accordance with the procedure, manner and form stipulated by the Agreement</w:t>
            </w:r>
            <w:r w:rsidR="007956D6" w:rsidRPr="00E16672">
              <w:rPr>
                <w:rFonts w:ascii="Times New Roman" w:hAnsi="Times New Roman" w:cs="Times New Roman"/>
                <w:sz w:val="16"/>
                <w:szCs w:val="16"/>
                <w:lang w:val="uk-UA" w:eastAsia="uk-UA"/>
              </w:rPr>
              <w:t>.</w:t>
            </w:r>
          </w:p>
          <w:p w14:paraId="07240BC7" w14:textId="77777777" w:rsidR="00EB25FE" w:rsidRPr="00E16672" w:rsidRDefault="00EB25FE" w:rsidP="001456E9">
            <w:pPr>
              <w:ind w:left="182" w:right="100" w:firstLine="0"/>
              <w:rPr>
                <w:rFonts w:ascii="Times New Roman" w:hAnsi="Times New Roman"/>
                <w:b/>
                <w:bCs/>
                <w:color w:val="000000"/>
                <w:sz w:val="16"/>
                <w:szCs w:val="16"/>
                <w:lang w:val="en-GB"/>
              </w:rPr>
            </w:pPr>
          </w:p>
        </w:tc>
      </w:tr>
      <w:tr w:rsidR="00EB25FE" w:rsidRPr="00F23413" w14:paraId="243BE050" w14:textId="77777777" w:rsidTr="005E418B">
        <w:tblPrEx>
          <w:tblCellMar>
            <w:left w:w="0" w:type="dxa"/>
            <w:right w:w="0" w:type="dxa"/>
          </w:tblCellMar>
        </w:tblPrEx>
        <w:trPr>
          <w:trHeight w:val="192"/>
        </w:trPr>
        <w:tc>
          <w:tcPr>
            <w:tcW w:w="5695" w:type="dxa"/>
            <w:gridSpan w:val="7"/>
            <w:shd w:val="clear" w:color="auto" w:fill="auto"/>
          </w:tcPr>
          <w:p w14:paraId="336206C9" w14:textId="77777777" w:rsidR="00EB25FE" w:rsidRPr="00E16672" w:rsidRDefault="00EB25FE" w:rsidP="001456E9">
            <w:pPr>
              <w:pStyle w:val="1b"/>
              <w:spacing w:before="0" w:after="0"/>
              <w:ind w:left="182" w:right="138" w:firstLine="0"/>
              <w:rPr>
                <w:rFonts w:ascii="Times New Roman" w:hAnsi="Times New Roman" w:cs="Times New Roman"/>
                <w:color w:val="000000"/>
                <w:sz w:val="16"/>
                <w:szCs w:val="16"/>
              </w:rPr>
            </w:pPr>
            <w:r w:rsidRPr="00E16672">
              <w:rPr>
                <w:rFonts w:ascii="Times New Roman" w:hAnsi="Times New Roman" w:cs="Times New Roman"/>
                <w:color w:val="000000"/>
                <w:sz w:val="16"/>
                <w:szCs w:val="16"/>
              </w:rPr>
              <w:t xml:space="preserve">2.1.11. </w:t>
            </w:r>
            <w:r w:rsidR="007956D6" w:rsidRPr="00E16672">
              <w:rPr>
                <w:rFonts w:ascii="Times New Roman" w:hAnsi="Times New Roman" w:cs="Times New Roman"/>
                <w:sz w:val="16"/>
                <w:szCs w:val="16"/>
                <w:lang w:eastAsia="ar-SA"/>
              </w:rPr>
              <w:t>С</w:t>
            </w:r>
            <w:r w:rsidR="00D52847" w:rsidRPr="00E16672">
              <w:rPr>
                <w:rFonts w:ascii="Times New Roman" w:hAnsi="Times New Roman" w:cs="Times New Roman"/>
                <w:sz w:val="16"/>
                <w:szCs w:val="16"/>
                <w:lang w:eastAsia="ar-SA"/>
              </w:rPr>
              <w:t xml:space="preserve">кладати та надавати номінальному утримувачу виписки з його рахунку (рахунків) </w:t>
            </w:r>
            <w:r w:rsidR="00C22309" w:rsidRPr="00E16672">
              <w:rPr>
                <w:rFonts w:ascii="Times New Roman" w:hAnsi="Times New Roman" w:cs="Times New Roman"/>
                <w:sz w:val="16"/>
                <w:szCs w:val="16"/>
                <w:lang w:eastAsia="ar-SA"/>
              </w:rPr>
              <w:t>в цін</w:t>
            </w:r>
            <w:r w:rsidR="00D52847" w:rsidRPr="00E16672">
              <w:rPr>
                <w:rFonts w:ascii="Times New Roman" w:hAnsi="Times New Roman" w:cs="Times New Roman"/>
                <w:sz w:val="16"/>
                <w:szCs w:val="16"/>
                <w:lang w:eastAsia="ar-SA"/>
              </w:rPr>
              <w:t>них паперах, інші інформаційні довідки,  на запит номінального утримувача, шляхом передання (направлення) номінальному утримувачу у спосіб, передбачений запитом (розпорядженням)</w:t>
            </w:r>
            <w:r w:rsidR="00D52847" w:rsidRPr="00E16672">
              <w:rPr>
                <w:rFonts w:ascii="Times New Roman" w:hAnsi="Times New Roman" w:cs="Times New Roman"/>
                <w:bCs/>
                <w:color w:val="000000"/>
                <w:sz w:val="16"/>
                <w:szCs w:val="16"/>
              </w:rPr>
              <w:t>.</w:t>
            </w:r>
            <w:r w:rsidRPr="00E16672">
              <w:rPr>
                <w:rFonts w:ascii="Times New Roman" w:hAnsi="Times New Roman" w:cs="Times New Roman"/>
                <w:color w:val="000000"/>
                <w:sz w:val="16"/>
                <w:szCs w:val="16"/>
              </w:rPr>
              <w:t>.</w:t>
            </w:r>
          </w:p>
          <w:p w14:paraId="52AB21D6" w14:textId="77777777" w:rsidR="00EB25FE" w:rsidRPr="00E16672" w:rsidRDefault="00EB25FE" w:rsidP="001456E9">
            <w:pPr>
              <w:pStyle w:val="ab"/>
              <w:ind w:left="182" w:firstLine="0"/>
              <w:rPr>
                <w:rFonts w:ascii="Times New Roman" w:hAnsi="Times New Roman"/>
                <w:sz w:val="16"/>
                <w:szCs w:val="16"/>
                <w:lang w:eastAsia="hi-IN" w:bidi="hi-IN"/>
              </w:rPr>
            </w:pPr>
          </w:p>
        </w:tc>
        <w:tc>
          <w:tcPr>
            <w:tcW w:w="5495" w:type="dxa"/>
            <w:gridSpan w:val="8"/>
            <w:shd w:val="clear" w:color="auto" w:fill="auto"/>
          </w:tcPr>
          <w:p w14:paraId="0A3E0043" w14:textId="77777777" w:rsidR="00EB25FE" w:rsidRPr="00E16672" w:rsidRDefault="00EB25FE" w:rsidP="001456E9">
            <w:pPr>
              <w:pStyle w:val="HTML"/>
              <w:ind w:left="182" w:firstLine="0"/>
              <w:rPr>
                <w:rFonts w:ascii="Times New Roman" w:hAnsi="Times New Roman" w:cs="Times New Roman"/>
                <w:sz w:val="16"/>
                <w:szCs w:val="16"/>
                <w:lang w:val="en-US" w:eastAsia="uk-UA"/>
              </w:rPr>
            </w:pPr>
            <w:r w:rsidRPr="00E16672">
              <w:rPr>
                <w:rFonts w:ascii="Times New Roman" w:hAnsi="Times New Roman" w:cs="Times New Roman"/>
                <w:color w:val="000000"/>
                <w:sz w:val="16"/>
                <w:szCs w:val="16"/>
                <w:lang w:val="en-US"/>
              </w:rPr>
              <w:t xml:space="preserve">2.1.11. </w:t>
            </w:r>
            <w:r w:rsidR="007956D6" w:rsidRPr="00F23413">
              <w:rPr>
                <w:rFonts w:ascii="Times New Roman" w:hAnsi="Times New Roman" w:cs="Times New Roman"/>
                <w:sz w:val="16"/>
                <w:szCs w:val="16"/>
                <w:lang w:val="en-US" w:eastAsia="uk-UA"/>
              </w:rPr>
              <w:t>T</w:t>
            </w:r>
            <w:r w:rsidR="00ED1C7C" w:rsidRPr="00F23413">
              <w:rPr>
                <w:rFonts w:ascii="Times New Roman" w:hAnsi="Times New Roman" w:cs="Times New Roman"/>
                <w:sz w:val="16"/>
                <w:szCs w:val="16"/>
                <w:lang w:val="en-US" w:eastAsia="uk-UA"/>
              </w:rPr>
              <w:t>o compile and provide to the nominee holding account an extract from its account (accounts) in securities, other information certificates, at the request of the nominee holder, by sending (sending) to the nominee holder in the manner provided by the request (order)</w:t>
            </w:r>
            <w:r w:rsidRPr="00E16672">
              <w:rPr>
                <w:rFonts w:ascii="Times New Roman" w:hAnsi="Times New Roman" w:cs="Times New Roman"/>
                <w:color w:val="000000"/>
                <w:sz w:val="16"/>
                <w:szCs w:val="16"/>
                <w:lang w:val="en-US"/>
              </w:rPr>
              <w:t>.</w:t>
            </w:r>
          </w:p>
          <w:p w14:paraId="079CC4F0" w14:textId="77777777" w:rsidR="00EB25FE" w:rsidRPr="00E16672" w:rsidRDefault="00EB25FE" w:rsidP="001456E9">
            <w:pPr>
              <w:ind w:left="182" w:right="138" w:firstLine="0"/>
              <w:jc w:val="center"/>
              <w:rPr>
                <w:rFonts w:ascii="Times New Roman" w:hAnsi="Times New Roman"/>
                <w:b/>
                <w:bCs/>
                <w:color w:val="000000"/>
                <w:sz w:val="16"/>
                <w:szCs w:val="16"/>
                <w:lang w:val="en-GB"/>
              </w:rPr>
            </w:pPr>
          </w:p>
        </w:tc>
      </w:tr>
      <w:tr w:rsidR="00EB25FE" w:rsidRPr="00F23413" w14:paraId="5CFFBDC2" w14:textId="77777777" w:rsidTr="005E418B">
        <w:tblPrEx>
          <w:tblCellMar>
            <w:left w:w="0" w:type="dxa"/>
            <w:right w:w="0" w:type="dxa"/>
          </w:tblCellMar>
        </w:tblPrEx>
        <w:trPr>
          <w:trHeight w:val="192"/>
        </w:trPr>
        <w:tc>
          <w:tcPr>
            <w:tcW w:w="5695" w:type="dxa"/>
            <w:gridSpan w:val="7"/>
            <w:shd w:val="clear" w:color="auto" w:fill="auto"/>
          </w:tcPr>
          <w:p w14:paraId="28192E96" w14:textId="77777777" w:rsidR="003D4797" w:rsidRPr="00F23413" w:rsidRDefault="00EB25FE" w:rsidP="001456E9">
            <w:pPr>
              <w:ind w:left="182" w:firstLine="0"/>
              <w:rPr>
                <w:rFonts w:ascii="Times New Roman" w:hAnsi="Times New Roman"/>
                <w:sz w:val="16"/>
                <w:szCs w:val="16"/>
                <w:lang w:val="en-US"/>
              </w:rPr>
            </w:pPr>
            <w:r w:rsidRPr="00F23413">
              <w:rPr>
                <w:rFonts w:ascii="Times New Roman" w:hAnsi="Times New Roman"/>
                <w:color w:val="000000"/>
                <w:sz w:val="16"/>
                <w:szCs w:val="16"/>
                <w:lang w:val="en-US"/>
              </w:rPr>
              <w:t xml:space="preserve">2.1.12. </w:t>
            </w:r>
            <w:proofErr w:type="spellStart"/>
            <w:r w:rsidR="007956D6" w:rsidRPr="00E16672">
              <w:rPr>
                <w:rFonts w:ascii="Times New Roman" w:hAnsi="Times New Roman"/>
                <w:sz w:val="16"/>
                <w:szCs w:val="16"/>
              </w:rPr>
              <w:t>П</w:t>
            </w:r>
            <w:r w:rsidR="003D4797" w:rsidRPr="00E16672">
              <w:rPr>
                <w:rFonts w:ascii="Times New Roman" w:hAnsi="Times New Roman"/>
                <w:sz w:val="16"/>
                <w:szCs w:val="16"/>
              </w:rPr>
              <w:t>ротягом</w:t>
            </w:r>
            <w:proofErr w:type="spellEnd"/>
            <w:r w:rsidR="003D4797" w:rsidRPr="00F23413">
              <w:rPr>
                <w:rFonts w:ascii="Times New Roman" w:hAnsi="Times New Roman"/>
                <w:sz w:val="16"/>
                <w:szCs w:val="16"/>
                <w:lang w:val="en-US"/>
              </w:rPr>
              <w:t xml:space="preserve"> 5 </w:t>
            </w:r>
            <w:proofErr w:type="spellStart"/>
            <w:r w:rsidR="003D4797" w:rsidRPr="00E16672">
              <w:rPr>
                <w:rFonts w:ascii="Times New Roman" w:hAnsi="Times New Roman"/>
                <w:sz w:val="16"/>
                <w:szCs w:val="16"/>
              </w:rPr>
              <w:t>робочих</w:t>
            </w:r>
            <w:proofErr w:type="spellEnd"/>
            <w:r w:rsidR="003D4797" w:rsidRPr="00F23413">
              <w:rPr>
                <w:rFonts w:ascii="Times New Roman" w:hAnsi="Times New Roman"/>
                <w:sz w:val="16"/>
                <w:szCs w:val="16"/>
                <w:lang w:val="en-US"/>
              </w:rPr>
              <w:t xml:space="preserve"> </w:t>
            </w:r>
            <w:proofErr w:type="spellStart"/>
            <w:r w:rsidR="003D4797" w:rsidRPr="00E16672">
              <w:rPr>
                <w:rFonts w:ascii="Times New Roman" w:hAnsi="Times New Roman"/>
                <w:sz w:val="16"/>
                <w:szCs w:val="16"/>
              </w:rPr>
              <w:t>днів</w:t>
            </w:r>
            <w:proofErr w:type="spellEnd"/>
            <w:r w:rsidR="003D4797" w:rsidRPr="00F23413">
              <w:rPr>
                <w:rFonts w:ascii="Times New Roman" w:hAnsi="Times New Roman"/>
                <w:sz w:val="16"/>
                <w:szCs w:val="16"/>
                <w:lang w:val="en-US"/>
              </w:rPr>
              <w:t xml:space="preserve"> </w:t>
            </w:r>
            <w:r w:rsidR="003D4797" w:rsidRPr="00E16672">
              <w:rPr>
                <w:rFonts w:ascii="Times New Roman" w:hAnsi="Times New Roman"/>
                <w:sz w:val="16"/>
                <w:szCs w:val="16"/>
              </w:rPr>
              <w:t>з</w:t>
            </w:r>
            <w:r w:rsidR="003D4797" w:rsidRPr="00F23413">
              <w:rPr>
                <w:rFonts w:ascii="Times New Roman" w:hAnsi="Times New Roman"/>
                <w:sz w:val="16"/>
                <w:szCs w:val="16"/>
                <w:lang w:val="en-US"/>
              </w:rPr>
              <w:t xml:space="preserve"> </w:t>
            </w:r>
            <w:proofErr w:type="spellStart"/>
            <w:r w:rsidR="003D4797" w:rsidRPr="00E16672">
              <w:rPr>
                <w:rFonts w:ascii="Times New Roman" w:hAnsi="Times New Roman"/>
                <w:sz w:val="16"/>
                <w:szCs w:val="16"/>
              </w:rPr>
              <w:t>дати</w:t>
            </w:r>
            <w:proofErr w:type="spellEnd"/>
            <w:r w:rsidR="003D4797" w:rsidRPr="00F23413">
              <w:rPr>
                <w:rFonts w:ascii="Times New Roman" w:hAnsi="Times New Roman"/>
                <w:sz w:val="16"/>
                <w:szCs w:val="16"/>
                <w:lang w:val="en-US"/>
              </w:rPr>
              <w:t xml:space="preserve"> </w:t>
            </w:r>
            <w:r w:rsidR="003D4797" w:rsidRPr="00E16672">
              <w:rPr>
                <w:rFonts w:ascii="Times New Roman" w:hAnsi="Times New Roman"/>
                <w:sz w:val="16"/>
                <w:szCs w:val="16"/>
              </w:rPr>
              <w:t>початку</w:t>
            </w:r>
            <w:r w:rsidR="003D4797" w:rsidRPr="00F23413">
              <w:rPr>
                <w:rFonts w:ascii="Times New Roman" w:hAnsi="Times New Roman"/>
                <w:sz w:val="16"/>
                <w:szCs w:val="16"/>
                <w:lang w:val="en-US"/>
              </w:rPr>
              <w:t xml:space="preserve"> </w:t>
            </w:r>
            <w:r w:rsidR="003D4797" w:rsidRPr="00E16672">
              <w:rPr>
                <w:rFonts w:ascii="Times New Roman" w:hAnsi="Times New Roman"/>
                <w:sz w:val="16"/>
                <w:szCs w:val="16"/>
              </w:rPr>
              <w:t>депозитарною</w:t>
            </w:r>
            <w:r w:rsidR="003D4797" w:rsidRPr="00F23413">
              <w:rPr>
                <w:rFonts w:ascii="Times New Roman" w:hAnsi="Times New Roman"/>
                <w:sz w:val="16"/>
                <w:szCs w:val="16"/>
                <w:lang w:val="en-US"/>
              </w:rPr>
              <w:t xml:space="preserve"> </w:t>
            </w:r>
            <w:proofErr w:type="spellStart"/>
            <w:r w:rsidR="003D4797" w:rsidRPr="00E16672">
              <w:rPr>
                <w:rFonts w:ascii="Times New Roman" w:hAnsi="Times New Roman"/>
                <w:sz w:val="16"/>
                <w:szCs w:val="16"/>
              </w:rPr>
              <w:t>установою</w:t>
            </w:r>
            <w:proofErr w:type="spellEnd"/>
            <w:r w:rsidR="003D4797" w:rsidRPr="00F23413">
              <w:rPr>
                <w:rFonts w:ascii="Times New Roman" w:hAnsi="Times New Roman"/>
                <w:sz w:val="16"/>
                <w:szCs w:val="16"/>
                <w:lang w:val="en-US"/>
              </w:rPr>
              <w:t xml:space="preserve"> </w:t>
            </w:r>
            <w:proofErr w:type="spellStart"/>
            <w:r w:rsidR="003D4797" w:rsidRPr="00E16672">
              <w:rPr>
                <w:rFonts w:ascii="Times New Roman" w:hAnsi="Times New Roman"/>
                <w:sz w:val="16"/>
                <w:szCs w:val="16"/>
              </w:rPr>
              <w:t>процедури</w:t>
            </w:r>
            <w:proofErr w:type="spellEnd"/>
            <w:r w:rsidR="003D4797" w:rsidRPr="00F23413">
              <w:rPr>
                <w:rFonts w:ascii="Times New Roman" w:hAnsi="Times New Roman"/>
                <w:sz w:val="16"/>
                <w:szCs w:val="16"/>
                <w:lang w:val="en-US"/>
              </w:rPr>
              <w:t xml:space="preserve"> </w:t>
            </w:r>
            <w:proofErr w:type="spellStart"/>
            <w:r w:rsidR="003D4797" w:rsidRPr="00E16672">
              <w:rPr>
                <w:rFonts w:ascii="Times New Roman" w:hAnsi="Times New Roman"/>
                <w:sz w:val="16"/>
                <w:szCs w:val="16"/>
              </w:rPr>
              <w:t>припинення</w:t>
            </w:r>
            <w:proofErr w:type="spellEnd"/>
            <w:r w:rsidR="003D4797" w:rsidRPr="00F23413">
              <w:rPr>
                <w:rFonts w:ascii="Times New Roman" w:hAnsi="Times New Roman"/>
                <w:sz w:val="16"/>
                <w:szCs w:val="16"/>
                <w:lang w:val="en-US"/>
              </w:rPr>
              <w:t xml:space="preserve"> </w:t>
            </w:r>
            <w:r w:rsidR="003D4797" w:rsidRPr="00E16672">
              <w:rPr>
                <w:rFonts w:ascii="Times New Roman" w:hAnsi="Times New Roman"/>
                <w:sz w:val="16"/>
                <w:szCs w:val="16"/>
              </w:rPr>
              <w:t>нею</w:t>
            </w:r>
            <w:r w:rsidR="003D4797" w:rsidRPr="00F23413">
              <w:rPr>
                <w:rFonts w:ascii="Times New Roman" w:hAnsi="Times New Roman"/>
                <w:sz w:val="16"/>
                <w:szCs w:val="16"/>
                <w:lang w:val="en-US"/>
              </w:rPr>
              <w:t xml:space="preserve"> </w:t>
            </w:r>
            <w:proofErr w:type="spellStart"/>
            <w:r w:rsidR="003D4797" w:rsidRPr="00E16672">
              <w:rPr>
                <w:rFonts w:ascii="Times New Roman" w:hAnsi="Times New Roman"/>
                <w:sz w:val="16"/>
                <w:szCs w:val="16"/>
              </w:rPr>
              <w:t>провадження</w:t>
            </w:r>
            <w:proofErr w:type="spellEnd"/>
            <w:r w:rsidR="003D4797" w:rsidRPr="00F23413">
              <w:rPr>
                <w:rFonts w:ascii="Times New Roman" w:hAnsi="Times New Roman"/>
                <w:sz w:val="16"/>
                <w:szCs w:val="16"/>
                <w:lang w:val="en-US"/>
              </w:rPr>
              <w:t xml:space="preserve"> </w:t>
            </w:r>
            <w:proofErr w:type="spellStart"/>
            <w:r w:rsidR="003D4797" w:rsidRPr="00E16672">
              <w:rPr>
                <w:rFonts w:ascii="Times New Roman" w:hAnsi="Times New Roman"/>
                <w:sz w:val="16"/>
                <w:szCs w:val="16"/>
              </w:rPr>
              <w:t>професійної</w:t>
            </w:r>
            <w:proofErr w:type="spellEnd"/>
            <w:r w:rsidR="003D4797" w:rsidRPr="00F23413">
              <w:rPr>
                <w:rFonts w:ascii="Times New Roman" w:hAnsi="Times New Roman"/>
                <w:sz w:val="16"/>
                <w:szCs w:val="16"/>
                <w:lang w:val="en-US"/>
              </w:rPr>
              <w:t xml:space="preserve"> </w:t>
            </w:r>
            <w:proofErr w:type="spellStart"/>
            <w:r w:rsidR="003D4797" w:rsidRPr="00E16672">
              <w:rPr>
                <w:rFonts w:ascii="Times New Roman" w:hAnsi="Times New Roman"/>
                <w:sz w:val="16"/>
                <w:szCs w:val="16"/>
              </w:rPr>
              <w:t>діяльності</w:t>
            </w:r>
            <w:proofErr w:type="spellEnd"/>
            <w:r w:rsidR="003D4797" w:rsidRPr="00F23413">
              <w:rPr>
                <w:rFonts w:ascii="Times New Roman" w:hAnsi="Times New Roman"/>
                <w:sz w:val="16"/>
                <w:szCs w:val="16"/>
                <w:lang w:val="en-US"/>
              </w:rPr>
              <w:t xml:space="preserve"> </w:t>
            </w:r>
            <w:proofErr w:type="gramStart"/>
            <w:r w:rsidR="003D4797" w:rsidRPr="00E16672">
              <w:rPr>
                <w:rFonts w:ascii="Times New Roman" w:hAnsi="Times New Roman"/>
                <w:sz w:val="16"/>
                <w:szCs w:val="16"/>
              </w:rPr>
              <w:t>на</w:t>
            </w:r>
            <w:r w:rsidR="003D4797" w:rsidRPr="00F23413">
              <w:rPr>
                <w:rFonts w:ascii="Times New Roman" w:hAnsi="Times New Roman"/>
                <w:sz w:val="16"/>
                <w:szCs w:val="16"/>
                <w:lang w:val="en-US"/>
              </w:rPr>
              <w:t xml:space="preserve"> </w:t>
            </w:r>
            <w:r w:rsidR="003D4797" w:rsidRPr="00E16672">
              <w:rPr>
                <w:rFonts w:ascii="Times New Roman" w:hAnsi="Times New Roman"/>
                <w:sz w:val="16"/>
                <w:szCs w:val="16"/>
              </w:rPr>
              <w:t>фондовому</w:t>
            </w:r>
            <w:r w:rsidR="003D4797" w:rsidRPr="00F23413">
              <w:rPr>
                <w:rFonts w:ascii="Times New Roman" w:hAnsi="Times New Roman"/>
                <w:sz w:val="16"/>
                <w:szCs w:val="16"/>
                <w:lang w:val="en-US"/>
              </w:rPr>
              <w:t xml:space="preserve"> </w:t>
            </w:r>
            <w:r w:rsidR="003D4797" w:rsidRPr="00E16672">
              <w:rPr>
                <w:rFonts w:ascii="Times New Roman" w:hAnsi="Times New Roman"/>
                <w:sz w:val="16"/>
                <w:szCs w:val="16"/>
              </w:rPr>
              <w:t>ринку</w:t>
            </w:r>
            <w:proofErr w:type="gramEnd"/>
            <w:r w:rsidR="003D4797" w:rsidRPr="00F23413">
              <w:rPr>
                <w:rFonts w:ascii="Times New Roman" w:hAnsi="Times New Roman"/>
                <w:sz w:val="16"/>
                <w:szCs w:val="16"/>
                <w:lang w:val="en-US"/>
              </w:rPr>
              <w:t xml:space="preserve"> - </w:t>
            </w:r>
            <w:proofErr w:type="spellStart"/>
            <w:r w:rsidR="003D4797" w:rsidRPr="00E16672">
              <w:rPr>
                <w:rFonts w:ascii="Times New Roman" w:hAnsi="Times New Roman"/>
                <w:sz w:val="16"/>
                <w:szCs w:val="16"/>
              </w:rPr>
              <w:t>депозитарної</w:t>
            </w:r>
            <w:proofErr w:type="spellEnd"/>
            <w:r w:rsidR="003D4797" w:rsidRPr="00F23413">
              <w:rPr>
                <w:rFonts w:ascii="Times New Roman" w:hAnsi="Times New Roman"/>
                <w:sz w:val="16"/>
                <w:szCs w:val="16"/>
                <w:lang w:val="en-US"/>
              </w:rPr>
              <w:t xml:space="preserve"> </w:t>
            </w:r>
            <w:proofErr w:type="spellStart"/>
            <w:r w:rsidR="003D4797" w:rsidRPr="00E16672">
              <w:rPr>
                <w:rFonts w:ascii="Times New Roman" w:hAnsi="Times New Roman"/>
                <w:sz w:val="16"/>
                <w:szCs w:val="16"/>
              </w:rPr>
              <w:t>діяльності</w:t>
            </w:r>
            <w:proofErr w:type="spellEnd"/>
            <w:r w:rsidR="003D4797" w:rsidRPr="00F23413">
              <w:rPr>
                <w:rFonts w:ascii="Times New Roman" w:hAnsi="Times New Roman"/>
                <w:sz w:val="16"/>
                <w:szCs w:val="16"/>
                <w:lang w:val="en-US"/>
              </w:rPr>
              <w:t xml:space="preserve"> </w:t>
            </w:r>
            <w:proofErr w:type="spellStart"/>
            <w:r w:rsidR="003D4797" w:rsidRPr="00E16672">
              <w:rPr>
                <w:rFonts w:ascii="Times New Roman" w:hAnsi="Times New Roman"/>
                <w:sz w:val="16"/>
                <w:szCs w:val="16"/>
              </w:rPr>
              <w:t>депозитарної</w:t>
            </w:r>
            <w:proofErr w:type="spellEnd"/>
            <w:r w:rsidR="003D4797" w:rsidRPr="00F23413">
              <w:rPr>
                <w:rFonts w:ascii="Times New Roman" w:hAnsi="Times New Roman"/>
                <w:sz w:val="16"/>
                <w:szCs w:val="16"/>
                <w:lang w:val="en-US"/>
              </w:rPr>
              <w:t xml:space="preserve"> </w:t>
            </w:r>
            <w:r w:rsidR="003D4797" w:rsidRPr="00E16672">
              <w:rPr>
                <w:rFonts w:ascii="Times New Roman" w:hAnsi="Times New Roman"/>
                <w:sz w:val="16"/>
                <w:szCs w:val="16"/>
              </w:rPr>
              <w:t>установи</w:t>
            </w:r>
            <w:r w:rsidR="003D4797" w:rsidRPr="00F23413">
              <w:rPr>
                <w:rFonts w:ascii="Times New Roman" w:hAnsi="Times New Roman"/>
                <w:sz w:val="16"/>
                <w:szCs w:val="16"/>
                <w:lang w:val="en-US"/>
              </w:rPr>
              <w:t xml:space="preserve"> </w:t>
            </w:r>
            <w:proofErr w:type="spellStart"/>
            <w:r w:rsidR="003D4797" w:rsidRPr="00E16672">
              <w:rPr>
                <w:rFonts w:ascii="Times New Roman" w:hAnsi="Times New Roman"/>
                <w:sz w:val="16"/>
                <w:szCs w:val="16"/>
              </w:rPr>
              <w:t>відповідно</w:t>
            </w:r>
            <w:proofErr w:type="spellEnd"/>
            <w:r w:rsidR="003D4797" w:rsidRPr="00F23413">
              <w:rPr>
                <w:rFonts w:ascii="Times New Roman" w:hAnsi="Times New Roman"/>
                <w:sz w:val="16"/>
                <w:szCs w:val="16"/>
                <w:lang w:val="en-US"/>
              </w:rPr>
              <w:t xml:space="preserve"> </w:t>
            </w:r>
            <w:r w:rsidR="003D4797" w:rsidRPr="00E16672">
              <w:rPr>
                <w:rFonts w:ascii="Times New Roman" w:hAnsi="Times New Roman"/>
                <w:sz w:val="16"/>
                <w:szCs w:val="16"/>
              </w:rPr>
              <w:t>до</w:t>
            </w:r>
            <w:r w:rsidR="003D4797" w:rsidRPr="00F23413">
              <w:rPr>
                <w:rFonts w:ascii="Times New Roman" w:hAnsi="Times New Roman"/>
                <w:sz w:val="16"/>
                <w:szCs w:val="16"/>
                <w:lang w:val="en-US"/>
              </w:rPr>
              <w:t xml:space="preserve"> </w:t>
            </w:r>
            <w:proofErr w:type="spellStart"/>
            <w:r w:rsidR="003D4797" w:rsidRPr="00E16672">
              <w:rPr>
                <w:rFonts w:ascii="Times New Roman" w:hAnsi="Times New Roman"/>
                <w:sz w:val="16"/>
                <w:szCs w:val="16"/>
              </w:rPr>
              <w:t>вимог</w:t>
            </w:r>
            <w:proofErr w:type="spellEnd"/>
            <w:r w:rsidR="003D4797" w:rsidRPr="00F23413">
              <w:rPr>
                <w:rFonts w:ascii="Times New Roman" w:hAnsi="Times New Roman"/>
                <w:sz w:val="16"/>
                <w:szCs w:val="16"/>
                <w:lang w:val="en-US"/>
              </w:rPr>
              <w:t xml:space="preserve"> </w:t>
            </w:r>
            <w:r w:rsidR="003D4797" w:rsidRPr="00E16672">
              <w:rPr>
                <w:rFonts w:ascii="Times New Roman" w:hAnsi="Times New Roman"/>
                <w:sz w:val="16"/>
                <w:szCs w:val="16"/>
              </w:rPr>
              <w:t>нормативно</w:t>
            </w:r>
            <w:r w:rsidR="003D4797" w:rsidRPr="00F23413">
              <w:rPr>
                <w:rFonts w:ascii="Times New Roman" w:hAnsi="Times New Roman"/>
                <w:sz w:val="16"/>
                <w:szCs w:val="16"/>
                <w:lang w:val="en-US"/>
              </w:rPr>
              <w:t>-</w:t>
            </w:r>
            <w:r w:rsidR="003D4797" w:rsidRPr="00E16672">
              <w:rPr>
                <w:rFonts w:ascii="Times New Roman" w:hAnsi="Times New Roman"/>
                <w:sz w:val="16"/>
                <w:szCs w:val="16"/>
              </w:rPr>
              <w:t>правового</w:t>
            </w:r>
            <w:r w:rsidR="003D4797" w:rsidRPr="00F23413">
              <w:rPr>
                <w:rFonts w:ascii="Times New Roman" w:hAnsi="Times New Roman"/>
                <w:sz w:val="16"/>
                <w:szCs w:val="16"/>
                <w:lang w:val="en-US"/>
              </w:rPr>
              <w:t xml:space="preserve"> </w:t>
            </w:r>
            <w:r w:rsidR="003D4797" w:rsidRPr="00E16672">
              <w:rPr>
                <w:rFonts w:ascii="Times New Roman" w:hAnsi="Times New Roman"/>
                <w:sz w:val="16"/>
                <w:szCs w:val="16"/>
              </w:rPr>
              <w:t>акта</w:t>
            </w:r>
            <w:r w:rsidR="003D4797" w:rsidRPr="00F23413">
              <w:rPr>
                <w:rFonts w:ascii="Times New Roman" w:hAnsi="Times New Roman"/>
                <w:sz w:val="16"/>
                <w:szCs w:val="16"/>
                <w:lang w:val="en-US"/>
              </w:rPr>
              <w:t xml:space="preserve"> </w:t>
            </w:r>
            <w:proofErr w:type="spellStart"/>
            <w:r w:rsidR="003D4797" w:rsidRPr="00E16672">
              <w:rPr>
                <w:rFonts w:ascii="Times New Roman" w:hAnsi="Times New Roman"/>
                <w:sz w:val="16"/>
                <w:szCs w:val="16"/>
              </w:rPr>
              <w:t>щодо</w:t>
            </w:r>
            <w:proofErr w:type="spellEnd"/>
            <w:r w:rsidR="003D4797" w:rsidRPr="00F23413">
              <w:rPr>
                <w:rFonts w:ascii="Times New Roman" w:hAnsi="Times New Roman"/>
                <w:sz w:val="16"/>
                <w:szCs w:val="16"/>
                <w:lang w:val="en-US"/>
              </w:rPr>
              <w:t xml:space="preserve"> </w:t>
            </w:r>
            <w:proofErr w:type="spellStart"/>
            <w:r w:rsidR="003D4797" w:rsidRPr="00E16672">
              <w:rPr>
                <w:rFonts w:ascii="Times New Roman" w:hAnsi="Times New Roman"/>
                <w:sz w:val="16"/>
                <w:szCs w:val="16"/>
              </w:rPr>
              <w:t>припинення</w:t>
            </w:r>
            <w:proofErr w:type="spellEnd"/>
            <w:r w:rsidR="003D4797" w:rsidRPr="00F23413">
              <w:rPr>
                <w:rFonts w:ascii="Times New Roman" w:hAnsi="Times New Roman"/>
                <w:sz w:val="16"/>
                <w:szCs w:val="16"/>
                <w:lang w:val="en-US"/>
              </w:rPr>
              <w:t xml:space="preserve"> </w:t>
            </w:r>
            <w:proofErr w:type="spellStart"/>
            <w:r w:rsidR="003D4797" w:rsidRPr="00E16672">
              <w:rPr>
                <w:rFonts w:ascii="Times New Roman" w:hAnsi="Times New Roman"/>
                <w:sz w:val="16"/>
                <w:szCs w:val="16"/>
              </w:rPr>
              <w:t>депозитарної</w:t>
            </w:r>
            <w:proofErr w:type="spellEnd"/>
            <w:r w:rsidR="003D4797" w:rsidRPr="00F23413">
              <w:rPr>
                <w:rFonts w:ascii="Times New Roman" w:hAnsi="Times New Roman"/>
                <w:sz w:val="16"/>
                <w:szCs w:val="16"/>
                <w:lang w:val="en-US"/>
              </w:rPr>
              <w:t xml:space="preserve"> </w:t>
            </w:r>
            <w:proofErr w:type="spellStart"/>
            <w:r w:rsidR="003D4797" w:rsidRPr="00E16672">
              <w:rPr>
                <w:rFonts w:ascii="Times New Roman" w:hAnsi="Times New Roman"/>
                <w:sz w:val="16"/>
                <w:szCs w:val="16"/>
              </w:rPr>
              <w:t>діяльності</w:t>
            </w:r>
            <w:proofErr w:type="spellEnd"/>
            <w:r w:rsidR="003D4797" w:rsidRPr="00F23413">
              <w:rPr>
                <w:rFonts w:ascii="Times New Roman" w:hAnsi="Times New Roman"/>
                <w:sz w:val="16"/>
                <w:szCs w:val="16"/>
                <w:lang w:val="en-US"/>
              </w:rPr>
              <w:t xml:space="preserve"> </w:t>
            </w:r>
            <w:proofErr w:type="spellStart"/>
            <w:r w:rsidR="003D4797" w:rsidRPr="00E16672">
              <w:rPr>
                <w:rFonts w:ascii="Times New Roman" w:hAnsi="Times New Roman"/>
                <w:sz w:val="16"/>
                <w:szCs w:val="16"/>
              </w:rPr>
              <w:t>депозитарної</w:t>
            </w:r>
            <w:proofErr w:type="spellEnd"/>
            <w:r w:rsidR="003D4797" w:rsidRPr="00F23413">
              <w:rPr>
                <w:rFonts w:ascii="Times New Roman" w:hAnsi="Times New Roman"/>
                <w:sz w:val="16"/>
                <w:szCs w:val="16"/>
                <w:lang w:val="en-US"/>
              </w:rPr>
              <w:t xml:space="preserve"> </w:t>
            </w:r>
            <w:r w:rsidR="003D4797" w:rsidRPr="00E16672">
              <w:rPr>
                <w:rFonts w:ascii="Times New Roman" w:hAnsi="Times New Roman"/>
                <w:sz w:val="16"/>
                <w:szCs w:val="16"/>
              </w:rPr>
              <w:t>установи</w:t>
            </w:r>
            <w:r w:rsidR="003D4797" w:rsidRPr="00F23413">
              <w:rPr>
                <w:rFonts w:ascii="Times New Roman" w:hAnsi="Times New Roman"/>
                <w:sz w:val="16"/>
                <w:szCs w:val="16"/>
                <w:lang w:val="en-US"/>
              </w:rPr>
              <w:t xml:space="preserve"> </w:t>
            </w:r>
            <w:proofErr w:type="spellStart"/>
            <w:r w:rsidR="003D4797" w:rsidRPr="00E16672">
              <w:rPr>
                <w:rFonts w:ascii="Times New Roman" w:hAnsi="Times New Roman"/>
                <w:sz w:val="16"/>
                <w:szCs w:val="16"/>
              </w:rPr>
              <w:t>повідомити</w:t>
            </w:r>
            <w:proofErr w:type="spellEnd"/>
            <w:r w:rsidR="003D4797" w:rsidRPr="00F23413">
              <w:rPr>
                <w:rFonts w:ascii="Times New Roman" w:hAnsi="Times New Roman"/>
                <w:sz w:val="16"/>
                <w:szCs w:val="16"/>
                <w:lang w:val="en-US"/>
              </w:rPr>
              <w:t xml:space="preserve"> </w:t>
            </w:r>
            <w:proofErr w:type="spellStart"/>
            <w:r w:rsidR="003D4797" w:rsidRPr="00E16672">
              <w:rPr>
                <w:rFonts w:ascii="Times New Roman" w:hAnsi="Times New Roman"/>
                <w:sz w:val="16"/>
                <w:szCs w:val="16"/>
              </w:rPr>
              <w:t>номінального</w:t>
            </w:r>
            <w:proofErr w:type="spellEnd"/>
            <w:r w:rsidR="003D4797" w:rsidRPr="00F23413">
              <w:rPr>
                <w:rFonts w:ascii="Times New Roman" w:hAnsi="Times New Roman"/>
                <w:sz w:val="16"/>
                <w:szCs w:val="16"/>
                <w:lang w:val="en-US"/>
              </w:rPr>
              <w:t xml:space="preserve"> </w:t>
            </w:r>
            <w:proofErr w:type="spellStart"/>
            <w:r w:rsidR="003D4797" w:rsidRPr="00E16672">
              <w:rPr>
                <w:rFonts w:ascii="Times New Roman" w:hAnsi="Times New Roman"/>
                <w:sz w:val="16"/>
                <w:szCs w:val="16"/>
              </w:rPr>
              <w:t>утримувача</w:t>
            </w:r>
            <w:proofErr w:type="spellEnd"/>
            <w:r w:rsidR="003D4797" w:rsidRPr="00F23413">
              <w:rPr>
                <w:rFonts w:ascii="Times New Roman" w:hAnsi="Times New Roman"/>
                <w:sz w:val="16"/>
                <w:szCs w:val="16"/>
                <w:lang w:val="en-US"/>
              </w:rPr>
              <w:t xml:space="preserve"> </w:t>
            </w:r>
            <w:r w:rsidR="003D4797" w:rsidRPr="00E16672">
              <w:rPr>
                <w:rFonts w:ascii="Times New Roman" w:hAnsi="Times New Roman"/>
                <w:sz w:val="16"/>
                <w:szCs w:val="16"/>
              </w:rPr>
              <w:t>у</w:t>
            </w:r>
            <w:r w:rsidR="003D4797" w:rsidRPr="00F23413">
              <w:rPr>
                <w:rFonts w:ascii="Times New Roman" w:hAnsi="Times New Roman"/>
                <w:sz w:val="16"/>
                <w:szCs w:val="16"/>
                <w:lang w:val="en-US"/>
              </w:rPr>
              <w:t xml:space="preserve"> </w:t>
            </w:r>
            <w:proofErr w:type="spellStart"/>
            <w:r w:rsidR="003D4797" w:rsidRPr="00E16672">
              <w:rPr>
                <w:rFonts w:ascii="Times New Roman" w:hAnsi="Times New Roman"/>
                <w:sz w:val="16"/>
                <w:szCs w:val="16"/>
              </w:rPr>
              <w:t>спосіб</w:t>
            </w:r>
            <w:proofErr w:type="spellEnd"/>
            <w:r w:rsidR="003D4797" w:rsidRPr="00F23413">
              <w:rPr>
                <w:rFonts w:ascii="Times New Roman" w:hAnsi="Times New Roman"/>
                <w:sz w:val="16"/>
                <w:szCs w:val="16"/>
                <w:lang w:val="en-US"/>
              </w:rPr>
              <w:t xml:space="preserve">, </w:t>
            </w:r>
            <w:proofErr w:type="spellStart"/>
            <w:r w:rsidR="003D4797" w:rsidRPr="00E16672">
              <w:rPr>
                <w:rFonts w:ascii="Times New Roman" w:hAnsi="Times New Roman"/>
                <w:sz w:val="16"/>
                <w:szCs w:val="16"/>
              </w:rPr>
              <w:t>визначений</w:t>
            </w:r>
            <w:proofErr w:type="spellEnd"/>
            <w:r w:rsidR="003D4797" w:rsidRPr="00F23413">
              <w:rPr>
                <w:rFonts w:ascii="Times New Roman" w:hAnsi="Times New Roman"/>
                <w:sz w:val="16"/>
                <w:szCs w:val="16"/>
                <w:lang w:val="en-US"/>
              </w:rPr>
              <w:t xml:space="preserve"> </w:t>
            </w:r>
            <w:r w:rsidR="003D4797" w:rsidRPr="00E16672">
              <w:rPr>
                <w:rFonts w:ascii="Times New Roman" w:hAnsi="Times New Roman"/>
                <w:sz w:val="16"/>
                <w:szCs w:val="16"/>
              </w:rPr>
              <w:t>Договором</w:t>
            </w:r>
            <w:r w:rsidR="003D4797" w:rsidRPr="00F23413">
              <w:rPr>
                <w:rFonts w:ascii="Times New Roman" w:hAnsi="Times New Roman"/>
                <w:sz w:val="16"/>
                <w:szCs w:val="16"/>
                <w:lang w:val="en-US"/>
              </w:rPr>
              <w:t xml:space="preserve">, </w:t>
            </w:r>
            <w:proofErr w:type="spellStart"/>
            <w:r w:rsidR="003D4797" w:rsidRPr="00E16672">
              <w:rPr>
                <w:rFonts w:ascii="Times New Roman" w:hAnsi="Times New Roman"/>
                <w:sz w:val="16"/>
                <w:szCs w:val="16"/>
              </w:rPr>
              <w:t>щодо</w:t>
            </w:r>
            <w:proofErr w:type="spellEnd"/>
            <w:r w:rsidR="003D4797" w:rsidRPr="00F23413">
              <w:rPr>
                <w:rFonts w:ascii="Times New Roman" w:hAnsi="Times New Roman"/>
                <w:sz w:val="16"/>
                <w:szCs w:val="16"/>
                <w:lang w:val="en-US"/>
              </w:rPr>
              <w:t xml:space="preserve"> </w:t>
            </w:r>
            <w:proofErr w:type="spellStart"/>
            <w:r w:rsidR="003D4797" w:rsidRPr="00E16672">
              <w:rPr>
                <w:rFonts w:ascii="Times New Roman" w:hAnsi="Times New Roman"/>
                <w:sz w:val="16"/>
                <w:szCs w:val="16"/>
              </w:rPr>
              <w:t>необхідності</w:t>
            </w:r>
            <w:proofErr w:type="spellEnd"/>
            <w:r w:rsidR="003D4797" w:rsidRPr="00F23413">
              <w:rPr>
                <w:rFonts w:ascii="Times New Roman" w:hAnsi="Times New Roman"/>
                <w:sz w:val="16"/>
                <w:szCs w:val="16"/>
                <w:lang w:val="en-US"/>
              </w:rPr>
              <w:t xml:space="preserve"> </w:t>
            </w:r>
            <w:proofErr w:type="spellStart"/>
            <w:r w:rsidR="003D4797" w:rsidRPr="00E16672">
              <w:rPr>
                <w:rFonts w:ascii="Times New Roman" w:hAnsi="Times New Roman"/>
                <w:sz w:val="16"/>
                <w:szCs w:val="16"/>
              </w:rPr>
              <w:t>закриття</w:t>
            </w:r>
            <w:proofErr w:type="spellEnd"/>
            <w:r w:rsidR="003D4797" w:rsidRPr="00F23413">
              <w:rPr>
                <w:rFonts w:ascii="Times New Roman" w:hAnsi="Times New Roman"/>
                <w:sz w:val="16"/>
                <w:szCs w:val="16"/>
                <w:lang w:val="en-US"/>
              </w:rPr>
              <w:t xml:space="preserve"> </w:t>
            </w:r>
            <w:proofErr w:type="spellStart"/>
            <w:r w:rsidR="003D4797" w:rsidRPr="00E16672">
              <w:rPr>
                <w:rFonts w:ascii="Times New Roman" w:hAnsi="Times New Roman"/>
                <w:sz w:val="16"/>
                <w:szCs w:val="16"/>
              </w:rPr>
              <w:t>рахунку</w:t>
            </w:r>
            <w:proofErr w:type="spellEnd"/>
            <w:r w:rsidR="003D4797" w:rsidRPr="00F23413">
              <w:rPr>
                <w:rFonts w:ascii="Times New Roman" w:hAnsi="Times New Roman"/>
                <w:sz w:val="16"/>
                <w:szCs w:val="16"/>
                <w:lang w:val="en-US"/>
              </w:rPr>
              <w:t xml:space="preserve"> (</w:t>
            </w:r>
            <w:proofErr w:type="spellStart"/>
            <w:r w:rsidR="003D4797" w:rsidRPr="00E16672">
              <w:rPr>
                <w:rFonts w:ascii="Times New Roman" w:hAnsi="Times New Roman"/>
                <w:sz w:val="16"/>
                <w:szCs w:val="16"/>
              </w:rPr>
              <w:t>рахунків</w:t>
            </w:r>
            <w:proofErr w:type="spellEnd"/>
            <w:r w:rsidR="003D4797" w:rsidRPr="00F23413">
              <w:rPr>
                <w:rFonts w:ascii="Times New Roman" w:hAnsi="Times New Roman"/>
                <w:sz w:val="16"/>
                <w:szCs w:val="16"/>
                <w:lang w:val="en-US"/>
              </w:rPr>
              <w:t xml:space="preserve">) </w:t>
            </w:r>
            <w:r w:rsidR="003D4797" w:rsidRPr="00E16672">
              <w:rPr>
                <w:rFonts w:ascii="Times New Roman" w:hAnsi="Times New Roman"/>
                <w:sz w:val="16"/>
                <w:szCs w:val="16"/>
              </w:rPr>
              <w:t>в</w:t>
            </w:r>
            <w:r w:rsidR="003D4797" w:rsidRPr="00F23413">
              <w:rPr>
                <w:rFonts w:ascii="Times New Roman" w:hAnsi="Times New Roman"/>
                <w:sz w:val="16"/>
                <w:szCs w:val="16"/>
                <w:lang w:val="en-US"/>
              </w:rPr>
              <w:t xml:space="preserve"> </w:t>
            </w:r>
            <w:proofErr w:type="spellStart"/>
            <w:r w:rsidR="003D4797" w:rsidRPr="00E16672">
              <w:rPr>
                <w:rFonts w:ascii="Times New Roman" w:hAnsi="Times New Roman"/>
                <w:sz w:val="16"/>
                <w:szCs w:val="16"/>
              </w:rPr>
              <w:t>цінних</w:t>
            </w:r>
            <w:proofErr w:type="spellEnd"/>
            <w:r w:rsidR="003D4797" w:rsidRPr="00F23413">
              <w:rPr>
                <w:rFonts w:ascii="Times New Roman" w:hAnsi="Times New Roman"/>
                <w:sz w:val="16"/>
                <w:szCs w:val="16"/>
                <w:lang w:val="en-US"/>
              </w:rPr>
              <w:t xml:space="preserve"> </w:t>
            </w:r>
            <w:proofErr w:type="spellStart"/>
            <w:r w:rsidR="003D4797" w:rsidRPr="00E16672">
              <w:rPr>
                <w:rFonts w:ascii="Times New Roman" w:hAnsi="Times New Roman"/>
                <w:sz w:val="16"/>
                <w:szCs w:val="16"/>
              </w:rPr>
              <w:t>паперах</w:t>
            </w:r>
            <w:proofErr w:type="spellEnd"/>
            <w:r w:rsidR="003D4797" w:rsidRPr="00F23413">
              <w:rPr>
                <w:rFonts w:ascii="Times New Roman" w:hAnsi="Times New Roman"/>
                <w:sz w:val="16"/>
                <w:szCs w:val="16"/>
                <w:lang w:val="en-US"/>
              </w:rPr>
              <w:t xml:space="preserve"> </w:t>
            </w:r>
            <w:proofErr w:type="spellStart"/>
            <w:r w:rsidR="003D4797" w:rsidRPr="00E16672">
              <w:rPr>
                <w:rFonts w:ascii="Times New Roman" w:hAnsi="Times New Roman"/>
                <w:sz w:val="16"/>
                <w:szCs w:val="16"/>
              </w:rPr>
              <w:t>протягом</w:t>
            </w:r>
            <w:proofErr w:type="spellEnd"/>
            <w:r w:rsidR="003D4797" w:rsidRPr="00F23413">
              <w:rPr>
                <w:rFonts w:ascii="Times New Roman" w:hAnsi="Times New Roman"/>
                <w:sz w:val="16"/>
                <w:szCs w:val="16"/>
                <w:lang w:val="en-US"/>
              </w:rPr>
              <w:t xml:space="preserve"> 60 </w:t>
            </w:r>
            <w:proofErr w:type="spellStart"/>
            <w:r w:rsidR="003D4797" w:rsidRPr="00E16672">
              <w:rPr>
                <w:rFonts w:ascii="Times New Roman" w:hAnsi="Times New Roman"/>
                <w:sz w:val="16"/>
                <w:szCs w:val="16"/>
              </w:rPr>
              <w:t>календарних</w:t>
            </w:r>
            <w:proofErr w:type="spellEnd"/>
            <w:r w:rsidR="003D4797" w:rsidRPr="00F23413">
              <w:rPr>
                <w:rFonts w:ascii="Times New Roman" w:hAnsi="Times New Roman"/>
                <w:sz w:val="16"/>
                <w:szCs w:val="16"/>
                <w:lang w:val="en-US"/>
              </w:rPr>
              <w:t xml:space="preserve"> </w:t>
            </w:r>
            <w:proofErr w:type="spellStart"/>
            <w:r w:rsidR="003D4797" w:rsidRPr="00E16672">
              <w:rPr>
                <w:rFonts w:ascii="Times New Roman" w:hAnsi="Times New Roman"/>
                <w:sz w:val="16"/>
                <w:szCs w:val="16"/>
              </w:rPr>
              <w:t>днів</w:t>
            </w:r>
            <w:proofErr w:type="spellEnd"/>
            <w:r w:rsidR="003D4797" w:rsidRPr="00F23413">
              <w:rPr>
                <w:rFonts w:ascii="Times New Roman" w:hAnsi="Times New Roman"/>
                <w:sz w:val="16"/>
                <w:szCs w:val="16"/>
                <w:lang w:val="en-US"/>
              </w:rPr>
              <w:t xml:space="preserve"> </w:t>
            </w:r>
            <w:r w:rsidR="003D4797" w:rsidRPr="00E16672">
              <w:rPr>
                <w:rFonts w:ascii="Times New Roman" w:hAnsi="Times New Roman"/>
                <w:sz w:val="16"/>
                <w:szCs w:val="16"/>
              </w:rPr>
              <w:t>з</w:t>
            </w:r>
            <w:r w:rsidR="003D4797" w:rsidRPr="00F23413">
              <w:rPr>
                <w:rFonts w:ascii="Times New Roman" w:hAnsi="Times New Roman"/>
                <w:sz w:val="16"/>
                <w:szCs w:val="16"/>
                <w:lang w:val="en-US"/>
              </w:rPr>
              <w:t xml:space="preserve"> </w:t>
            </w:r>
            <w:proofErr w:type="spellStart"/>
            <w:r w:rsidR="003D4797" w:rsidRPr="00E16672">
              <w:rPr>
                <w:rFonts w:ascii="Times New Roman" w:hAnsi="Times New Roman"/>
                <w:sz w:val="16"/>
                <w:szCs w:val="16"/>
              </w:rPr>
              <w:t>дати</w:t>
            </w:r>
            <w:proofErr w:type="spellEnd"/>
            <w:r w:rsidR="003D4797" w:rsidRPr="00F23413">
              <w:rPr>
                <w:rFonts w:ascii="Times New Roman" w:hAnsi="Times New Roman"/>
                <w:sz w:val="16"/>
                <w:szCs w:val="16"/>
                <w:lang w:val="en-US"/>
              </w:rPr>
              <w:t xml:space="preserve"> </w:t>
            </w:r>
            <w:r w:rsidR="003D4797" w:rsidRPr="00E16672">
              <w:rPr>
                <w:rFonts w:ascii="Times New Roman" w:hAnsi="Times New Roman"/>
                <w:sz w:val="16"/>
                <w:szCs w:val="16"/>
              </w:rPr>
              <w:t>початку</w:t>
            </w:r>
            <w:r w:rsidR="003D4797" w:rsidRPr="00F23413">
              <w:rPr>
                <w:rFonts w:ascii="Times New Roman" w:hAnsi="Times New Roman"/>
                <w:sz w:val="16"/>
                <w:szCs w:val="16"/>
                <w:lang w:val="en-US"/>
              </w:rPr>
              <w:t xml:space="preserve"> </w:t>
            </w:r>
            <w:proofErr w:type="spellStart"/>
            <w:r w:rsidR="003D4797" w:rsidRPr="00E16672">
              <w:rPr>
                <w:rFonts w:ascii="Times New Roman" w:hAnsi="Times New Roman"/>
                <w:sz w:val="16"/>
                <w:szCs w:val="16"/>
              </w:rPr>
              <w:t>цієї</w:t>
            </w:r>
            <w:proofErr w:type="spellEnd"/>
            <w:r w:rsidR="003D4797" w:rsidRPr="00F23413">
              <w:rPr>
                <w:rFonts w:ascii="Times New Roman" w:hAnsi="Times New Roman"/>
                <w:sz w:val="16"/>
                <w:szCs w:val="16"/>
                <w:lang w:val="en-US"/>
              </w:rPr>
              <w:t xml:space="preserve"> </w:t>
            </w:r>
            <w:proofErr w:type="spellStart"/>
            <w:r w:rsidR="003D4797" w:rsidRPr="00E16672">
              <w:rPr>
                <w:rFonts w:ascii="Times New Roman" w:hAnsi="Times New Roman"/>
                <w:sz w:val="16"/>
                <w:szCs w:val="16"/>
              </w:rPr>
              <w:t>процедури</w:t>
            </w:r>
            <w:proofErr w:type="spellEnd"/>
            <w:r w:rsidR="007956D6" w:rsidRPr="00F23413">
              <w:rPr>
                <w:rFonts w:ascii="Times New Roman" w:hAnsi="Times New Roman"/>
                <w:sz w:val="16"/>
                <w:szCs w:val="16"/>
                <w:lang w:val="en-US"/>
              </w:rPr>
              <w:t>.</w:t>
            </w:r>
          </w:p>
          <w:p w14:paraId="691CFBF1" w14:textId="77777777" w:rsidR="007956D6" w:rsidRPr="00F23413" w:rsidRDefault="007956D6" w:rsidP="001456E9">
            <w:pPr>
              <w:ind w:left="182" w:firstLine="0"/>
              <w:rPr>
                <w:rFonts w:ascii="Times New Roman" w:hAnsi="Times New Roman"/>
                <w:sz w:val="16"/>
                <w:szCs w:val="16"/>
                <w:lang w:val="en-US"/>
              </w:rPr>
            </w:pPr>
          </w:p>
          <w:p w14:paraId="17FA4962" w14:textId="77777777" w:rsidR="008C59B2" w:rsidRPr="00E16672" w:rsidRDefault="003D4797" w:rsidP="001456E9">
            <w:pPr>
              <w:ind w:left="182" w:firstLine="0"/>
              <w:rPr>
                <w:rFonts w:ascii="Times New Roman" w:hAnsi="Times New Roman"/>
                <w:sz w:val="16"/>
                <w:szCs w:val="16"/>
                <w:lang w:val="uk-UA"/>
              </w:rPr>
            </w:pPr>
            <w:r w:rsidRPr="00E16672">
              <w:rPr>
                <w:rFonts w:ascii="Times New Roman" w:hAnsi="Times New Roman"/>
                <w:sz w:val="16"/>
                <w:szCs w:val="16"/>
                <w:lang w:val="uk-UA"/>
              </w:rPr>
              <w:t xml:space="preserve">2.1.13. </w:t>
            </w:r>
            <w:proofErr w:type="spellStart"/>
            <w:r w:rsidR="007956D6" w:rsidRPr="00E16672">
              <w:rPr>
                <w:rFonts w:ascii="Times New Roman" w:hAnsi="Times New Roman"/>
                <w:sz w:val="16"/>
                <w:szCs w:val="16"/>
              </w:rPr>
              <w:t>З</w:t>
            </w:r>
            <w:r w:rsidRPr="00E16672">
              <w:rPr>
                <w:rFonts w:ascii="Times New Roman" w:hAnsi="Times New Roman"/>
                <w:sz w:val="16"/>
                <w:szCs w:val="16"/>
              </w:rPr>
              <w:t>акрити</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рахунок</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рахунки</w:t>
            </w:r>
            <w:proofErr w:type="spellEnd"/>
            <w:r w:rsidRPr="00E16672">
              <w:rPr>
                <w:rFonts w:ascii="Times New Roman" w:hAnsi="Times New Roman"/>
                <w:sz w:val="16"/>
                <w:szCs w:val="16"/>
              </w:rPr>
              <w:t xml:space="preserve">) </w:t>
            </w:r>
            <w:r w:rsidR="00C22309" w:rsidRPr="00E16672">
              <w:rPr>
                <w:rFonts w:ascii="Times New Roman" w:hAnsi="Times New Roman"/>
                <w:sz w:val="16"/>
                <w:szCs w:val="16"/>
              </w:rPr>
              <w:t xml:space="preserve">в </w:t>
            </w:r>
            <w:proofErr w:type="spellStart"/>
            <w:r w:rsidR="00C22309" w:rsidRPr="00E16672">
              <w:rPr>
                <w:rFonts w:ascii="Times New Roman" w:hAnsi="Times New Roman"/>
                <w:sz w:val="16"/>
                <w:szCs w:val="16"/>
              </w:rPr>
              <w:t>цін</w:t>
            </w:r>
            <w:r w:rsidRPr="00E16672">
              <w:rPr>
                <w:rFonts w:ascii="Times New Roman" w:hAnsi="Times New Roman"/>
                <w:sz w:val="16"/>
                <w:szCs w:val="16"/>
              </w:rPr>
              <w:t>них</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паперах</w:t>
            </w:r>
            <w:proofErr w:type="spellEnd"/>
            <w:r w:rsidRPr="00E16672">
              <w:rPr>
                <w:rFonts w:ascii="Times New Roman" w:hAnsi="Times New Roman"/>
                <w:sz w:val="16"/>
                <w:szCs w:val="16"/>
              </w:rPr>
              <w:t xml:space="preserve"> </w:t>
            </w:r>
            <w:proofErr w:type="gramStart"/>
            <w:r w:rsidRPr="00E16672">
              <w:rPr>
                <w:rFonts w:ascii="Times New Roman" w:hAnsi="Times New Roman"/>
                <w:sz w:val="16"/>
                <w:szCs w:val="16"/>
              </w:rPr>
              <w:t>у порядку</w:t>
            </w:r>
            <w:proofErr w:type="gramEnd"/>
            <w:r w:rsidRPr="00E16672">
              <w:rPr>
                <w:rFonts w:ascii="Times New Roman" w:hAnsi="Times New Roman"/>
                <w:sz w:val="16"/>
                <w:szCs w:val="16"/>
              </w:rPr>
              <w:t xml:space="preserve">, </w:t>
            </w:r>
            <w:proofErr w:type="spellStart"/>
            <w:r w:rsidRPr="00E16672">
              <w:rPr>
                <w:rFonts w:ascii="Times New Roman" w:hAnsi="Times New Roman"/>
                <w:sz w:val="16"/>
                <w:szCs w:val="16"/>
              </w:rPr>
              <w:t>передбаченому</w:t>
            </w:r>
            <w:proofErr w:type="spellEnd"/>
            <w:r w:rsidRPr="00E16672">
              <w:rPr>
                <w:rFonts w:ascii="Times New Roman" w:hAnsi="Times New Roman"/>
                <w:sz w:val="16"/>
                <w:szCs w:val="16"/>
              </w:rPr>
              <w:t xml:space="preserve"> Договором та </w:t>
            </w:r>
            <w:proofErr w:type="spellStart"/>
            <w:r w:rsidRPr="00E16672">
              <w:rPr>
                <w:rFonts w:ascii="Times New Roman" w:hAnsi="Times New Roman"/>
                <w:sz w:val="16"/>
                <w:szCs w:val="16"/>
              </w:rPr>
              <w:t>законодавством</w:t>
            </w:r>
            <w:proofErr w:type="spellEnd"/>
            <w:r w:rsidR="008C59B2" w:rsidRPr="00E16672">
              <w:rPr>
                <w:rFonts w:ascii="Times New Roman" w:hAnsi="Times New Roman"/>
                <w:sz w:val="16"/>
                <w:szCs w:val="16"/>
                <w:lang w:val="uk-UA"/>
              </w:rPr>
              <w:t>.</w:t>
            </w:r>
          </w:p>
          <w:p w14:paraId="77DDFF9A" w14:textId="77777777" w:rsidR="008C59B2" w:rsidRPr="00E16672" w:rsidRDefault="008C59B2" w:rsidP="001456E9">
            <w:pPr>
              <w:ind w:left="182" w:firstLine="0"/>
              <w:rPr>
                <w:rFonts w:ascii="Times New Roman" w:hAnsi="Times New Roman"/>
                <w:sz w:val="16"/>
                <w:szCs w:val="16"/>
                <w:lang w:val="uk-UA"/>
              </w:rPr>
            </w:pPr>
          </w:p>
          <w:p w14:paraId="1AA3B055" w14:textId="77777777" w:rsidR="008C59B2" w:rsidRPr="00E16672" w:rsidRDefault="008C59B2" w:rsidP="00022F5F">
            <w:pPr>
              <w:ind w:left="175" w:firstLine="0"/>
              <w:jc w:val="left"/>
              <w:rPr>
                <w:rFonts w:ascii="Times New Roman" w:hAnsi="Times New Roman"/>
                <w:sz w:val="16"/>
                <w:szCs w:val="16"/>
                <w:lang w:val="uk-UA"/>
              </w:rPr>
            </w:pPr>
            <w:r w:rsidRPr="00E16672">
              <w:rPr>
                <w:rFonts w:ascii="Times New Roman" w:eastAsia="Arial" w:hAnsi="Times New Roman"/>
                <w:color w:val="000000"/>
                <w:sz w:val="16"/>
                <w:szCs w:val="16"/>
                <w:lang w:val="uk-UA"/>
              </w:rPr>
              <w:t>2.</w:t>
            </w:r>
            <w:r w:rsidRPr="00E16672">
              <w:rPr>
                <w:rFonts w:ascii="Times New Roman" w:hAnsi="Times New Roman"/>
                <w:sz w:val="16"/>
                <w:szCs w:val="16"/>
                <w:lang w:val="uk-UA"/>
              </w:rPr>
              <w:t>1.14. Розкривати Номінальному утримувачу інформацію про умови та порядок діяльності депозитарної установи з урахуванням вимог, встановлених</w:t>
            </w:r>
            <w:r w:rsidRPr="00E16672">
              <w:rPr>
                <w:rFonts w:ascii="Times New Roman" w:hAnsi="Times New Roman"/>
                <w:sz w:val="16"/>
                <w:szCs w:val="16"/>
              </w:rPr>
              <w:t> </w:t>
            </w:r>
            <w:r w:rsidRPr="00E16672">
              <w:rPr>
                <w:rFonts w:ascii="Times New Roman" w:hAnsi="Times New Roman"/>
                <w:sz w:val="16"/>
                <w:szCs w:val="16"/>
                <w:lang w:val="uk-UA"/>
              </w:rPr>
              <w:t xml:space="preserve">частиною першою статті 12 Закону України </w:t>
            </w:r>
            <w:r w:rsidR="00022F5F">
              <w:rPr>
                <w:rFonts w:ascii="Times New Roman" w:hAnsi="Times New Roman"/>
                <w:sz w:val="16"/>
                <w:szCs w:val="16"/>
                <w:lang w:val="uk-UA"/>
              </w:rPr>
              <w:t>"</w:t>
            </w:r>
            <w:r w:rsidRPr="00E16672">
              <w:rPr>
                <w:rFonts w:ascii="Times New Roman" w:hAnsi="Times New Roman"/>
                <w:sz w:val="16"/>
                <w:szCs w:val="16"/>
                <w:lang w:val="uk-UA"/>
              </w:rPr>
              <w:t>Про фінансові послуги та державне регулювання ринків фінансових послуг</w:t>
            </w:r>
            <w:r w:rsidR="00022F5F">
              <w:rPr>
                <w:rFonts w:ascii="Times New Roman" w:hAnsi="Times New Roman"/>
                <w:sz w:val="16"/>
                <w:szCs w:val="16"/>
                <w:lang w:val="uk-UA"/>
              </w:rPr>
              <w:t>"</w:t>
            </w:r>
            <w:r w:rsidRPr="00E16672">
              <w:rPr>
                <w:rFonts w:ascii="Times New Roman" w:hAnsi="Times New Roman"/>
                <w:sz w:val="16"/>
                <w:szCs w:val="16"/>
                <w:lang w:val="uk-UA"/>
              </w:rPr>
              <w:t>.</w:t>
            </w:r>
          </w:p>
          <w:p w14:paraId="14B06A40" w14:textId="77777777" w:rsidR="00EB25FE" w:rsidRPr="00E16672" w:rsidRDefault="00EB25FE" w:rsidP="001456E9">
            <w:pPr>
              <w:pStyle w:val="1b"/>
              <w:snapToGrid w:val="0"/>
              <w:spacing w:before="0" w:after="0"/>
              <w:ind w:left="182" w:right="138" w:firstLine="0"/>
              <w:rPr>
                <w:rFonts w:ascii="Times New Roman" w:hAnsi="Times New Roman" w:cs="Times New Roman"/>
                <w:color w:val="000000"/>
                <w:sz w:val="16"/>
                <w:szCs w:val="16"/>
              </w:rPr>
            </w:pPr>
          </w:p>
        </w:tc>
        <w:tc>
          <w:tcPr>
            <w:tcW w:w="5495" w:type="dxa"/>
            <w:gridSpan w:val="8"/>
            <w:shd w:val="clear" w:color="auto" w:fill="auto"/>
          </w:tcPr>
          <w:p w14:paraId="4EE8C3A9" w14:textId="77777777" w:rsidR="007956D6" w:rsidRPr="00F23413" w:rsidRDefault="00EB25FE" w:rsidP="001456E9">
            <w:pPr>
              <w:pStyle w:val="HTML"/>
              <w:ind w:left="182" w:firstLine="0"/>
              <w:rPr>
                <w:rFonts w:ascii="Times New Roman" w:hAnsi="Times New Roman" w:cs="Times New Roman"/>
                <w:sz w:val="16"/>
                <w:szCs w:val="16"/>
                <w:lang w:val="en-US" w:eastAsia="uk-UA"/>
              </w:rPr>
            </w:pPr>
            <w:r w:rsidRPr="00E16672">
              <w:rPr>
                <w:rFonts w:ascii="Times New Roman" w:hAnsi="Times New Roman" w:cs="Times New Roman"/>
                <w:color w:val="000000"/>
                <w:sz w:val="16"/>
                <w:szCs w:val="16"/>
                <w:lang w:val="en-US"/>
              </w:rPr>
              <w:t>2.1.12</w:t>
            </w:r>
            <w:r w:rsidRPr="00E16672">
              <w:rPr>
                <w:rFonts w:ascii="Times New Roman" w:hAnsi="Times New Roman" w:cs="Times New Roman"/>
                <w:color w:val="000000"/>
                <w:sz w:val="16"/>
                <w:szCs w:val="16"/>
                <w:lang w:val="en-GB"/>
              </w:rPr>
              <w:t xml:space="preserve">. </w:t>
            </w:r>
            <w:r w:rsidR="007956D6" w:rsidRPr="00F23413">
              <w:rPr>
                <w:rFonts w:ascii="Times New Roman" w:hAnsi="Times New Roman" w:cs="Times New Roman"/>
                <w:sz w:val="16"/>
                <w:szCs w:val="16"/>
                <w:lang w:val="en-US" w:eastAsia="uk-UA"/>
              </w:rPr>
              <w:t>During 5 business days from the date of commencement of the procedure by the depositary institution to terminate its professional activity in the stock market - the depositary activity of the depositary institution in accordance with the requirements of the regulatory act on the cessation of the depositary activity of the depositary institution to notify the nominee holder in the manner specified by the Agreement, as necessary closing the account (accounts) in securities within 60 calendar days from the date of commencement of this procedure.</w:t>
            </w:r>
          </w:p>
          <w:p w14:paraId="52A6FCE4" w14:textId="77777777" w:rsidR="007956D6" w:rsidRPr="00F23413" w:rsidRDefault="007956D6" w:rsidP="001456E9">
            <w:pPr>
              <w:pStyle w:val="HTML"/>
              <w:ind w:left="182" w:firstLine="0"/>
              <w:rPr>
                <w:rFonts w:ascii="Times New Roman" w:hAnsi="Times New Roman" w:cs="Times New Roman"/>
                <w:sz w:val="16"/>
                <w:szCs w:val="16"/>
                <w:lang w:val="en-US" w:eastAsia="uk-UA"/>
              </w:rPr>
            </w:pPr>
          </w:p>
          <w:p w14:paraId="6B409024" w14:textId="77777777" w:rsidR="008C59B2" w:rsidRPr="00E16672" w:rsidRDefault="007956D6" w:rsidP="008C59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182" w:firstLine="0"/>
              <w:jc w:val="left"/>
              <w:rPr>
                <w:rFonts w:ascii="Times New Roman" w:hAnsi="Times New Roman"/>
                <w:sz w:val="16"/>
                <w:szCs w:val="16"/>
                <w:lang w:val="uk-UA" w:eastAsia="uk-UA"/>
              </w:rPr>
            </w:pPr>
            <w:r w:rsidRPr="00F23413">
              <w:rPr>
                <w:rFonts w:ascii="Times New Roman" w:hAnsi="Times New Roman"/>
                <w:sz w:val="16"/>
                <w:szCs w:val="16"/>
                <w:lang w:val="en-US" w:eastAsia="uk-UA"/>
              </w:rPr>
              <w:t>2.1.</w:t>
            </w:r>
            <w:r w:rsidRPr="00E16672">
              <w:rPr>
                <w:rFonts w:ascii="Times New Roman" w:hAnsi="Times New Roman"/>
                <w:sz w:val="16"/>
                <w:szCs w:val="16"/>
                <w:lang w:val="uk-UA" w:eastAsia="uk-UA"/>
              </w:rPr>
              <w:t>13.</w:t>
            </w:r>
            <w:r w:rsidRPr="00F23413">
              <w:rPr>
                <w:rFonts w:ascii="Times New Roman" w:hAnsi="Times New Roman"/>
                <w:sz w:val="16"/>
                <w:szCs w:val="16"/>
                <w:lang w:val="en-US" w:eastAsia="uk-UA"/>
              </w:rPr>
              <w:t xml:space="preserve"> To close the securities account in the manner prescribed by the Agreement and legislation</w:t>
            </w:r>
            <w:r w:rsidR="008C59B2" w:rsidRPr="00E16672">
              <w:rPr>
                <w:rFonts w:ascii="Times New Roman" w:hAnsi="Times New Roman"/>
                <w:sz w:val="16"/>
                <w:szCs w:val="16"/>
                <w:lang w:val="uk-UA" w:eastAsia="uk-UA"/>
              </w:rPr>
              <w:t>.</w:t>
            </w:r>
          </w:p>
          <w:p w14:paraId="26E6A2B3" w14:textId="77777777" w:rsidR="008C59B2" w:rsidRPr="00E16672" w:rsidRDefault="008C59B2" w:rsidP="008C59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182" w:firstLine="0"/>
              <w:jc w:val="left"/>
              <w:rPr>
                <w:rFonts w:ascii="Times New Roman" w:hAnsi="Times New Roman"/>
                <w:sz w:val="16"/>
                <w:szCs w:val="16"/>
                <w:lang w:val="uk-UA" w:eastAsia="uk-UA"/>
              </w:rPr>
            </w:pPr>
          </w:p>
          <w:p w14:paraId="78FC7CF9" w14:textId="77777777" w:rsidR="008C59B2" w:rsidRPr="00E16672" w:rsidRDefault="008C59B2" w:rsidP="00022F5F">
            <w:pPr>
              <w:ind w:left="148" w:firstLine="0"/>
              <w:jc w:val="left"/>
              <w:rPr>
                <w:rFonts w:ascii="Times New Roman" w:hAnsi="Times New Roman"/>
                <w:szCs w:val="20"/>
                <w:lang w:val="en-US"/>
              </w:rPr>
            </w:pPr>
            <w:r w:rsidRPr="00E16672">
              <w:rPr>
                <w:rFonts w:ascii="Times New Roman" w:eastAsia="Arial" w:hAnsi="Times New Roman"/>
                <w:color w:val="000000"/>
                <w:sz w:val="16"/>
                <w:szCs w:val="16"/>
                <w:lang w:val="en-US"/>
              </w:rPr>
              <w:t>2.1.14.</w:t>
            </w:r>
            <w:r w:rsidRPr="00E16672">
              <w:rPr>
                <w:rFonts w:ascii="Times New Roman" w:hAnsi="Times New Roman"/>
                <w:color w:val="000000"/>
                <w:sz w:val="16"/>
                <w:szCs w:val="16"/>
                <w:lang w:val="en-US"/>
              </w:rPr>
              <w:t xml:space="preserve"> </w:t>
            </w:r>
            <w:r w:rsidRPr="00E16672">
              <w:rPr>
                <w:rFonts w:ascii="Times New Roman" w:eastAsia="Arial" w:hAnsi="Times New Roman"/>
                <w:color w:val="000000"/>
                <w:sz w:val="16"/>
                <w:szCs w:val="16"/>
                <w:lang w:val="en-US"/>
              </w:rPr>
              <w:t xml:space="preserve">To disclose to the </w:t>
            </w:r>
            <w:r w:rsidRPr="00E16672">
              <w:rPr>
                <w:rFonts w:ascii="Times New Roman" w:hAnsi="Times New Roman"/>
                <w:sz w:val="16"/>
                <w:szCs w:val="16"/>
                <w:lang w:val="en-GB"/>
              </w:rPr>
              <w:t>Nominal holder</w:t>
            </w:r>
            <w:r w:rsidRPr="00E16672">
              <w:rPr>
                <w:rFonts w:ascii="Times New Roman" w:eastAsia="Arial" w:hAnsi="Times New Roman"/>
                <w:color w:val="000000"/>
                <w:sz w:val="16"/>
                <w:szCs w:val="16"/>
                <w:lang w:val="en-US"/>
              </w:rPr>
              <w:t xml:space="preserve"> information on the conditions and procedure of the depository institution taking into account the requirements established by part one of Article 12 of the Law of Ukraine </w:t>
            </w:r>
            <w:r w:rsidR="00022F5F">
              <w:rPr>
                <w:rFonts w:ascii="Times New Roman" w:eastAsia="Arial" w:hAnsi="Times New Roman"/>
                <w:color w:val="000000"/>
                <w:sz w:val="16"/>
                <w:szCs w:val="16"/>
                <w:lang w:val="uk-UA"/>
              </w:rPr>
              <w:t>"</w:t>
            </w:r>
            <w:r w:rsidRPr="00E16672">
              <w:rPr>
                <w:rFonts w:ascii="Times New Roman" w:eastAsia="Arial" w:hAnsi="Times New Roman"/>
                <w:color w:val="000000"/>
                <w:sz w:val="16"/>
                <w:szCs w:val="16"/>
                <w:lang w:val="en-US"/>
              </w:rPr>
              <w:t>On Financial Services and State Regulation of Financial Services Markets</w:t>
            </w:r>
            <w:r w:rsidR="00022F5F">
              <w:rPr>
                <w:rFonts w:ascii="Times New Roman" w:eastAsia="Arial" w:hAnsi="Times New Roman"/>
                <w:color w:val="000000"/>
                <w:sz w:val="16"/>
                <w:szCs w:val="16"/>
                <w:lang w:val="uk-UA"/>
              </w:rPr>
              <w:t>"</w:t>
            </w:r>
            <w:r w:rsidRPr="00E16672">
              <w:rPr>
                <w:rFonts w:ascii="Times New Roman" w:eastAsia="Arial" w:hAnsi="Times New Roman"/>
                <w:color w:val="000000"/>
                <w:sz w:val="16"/>
                <w:szCs w:val="16"/>
                <w:lang w:val="en-US"/>
              </w:rPr>
              <w:t>.</w:t>
            </w:r>
          </w:p>
          <w:p w14:paraId="09535565" w14:textId="77777777" w:rsidR="00EB25FE" w:rsidRPr="00E16672" w:rsidRDefault="008C59B2" w:rsidP="008C59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182" w:firstLine="0"/>
              <w:jc w:val="left"/>
              <w:rPr>
                <w:rFonts w:ascii="Times New Roman" w:hAnsi="Times New Roman"/>
                <w:color w:val="000000"/>
                <w:sz w:val="16"/>
                <w:szCs w:val="16"/>
                <w:lang w:val="en-GB"/>
              </w:rPr>
            </w:pPr>
            <w:r w:rsidRPr="00E16672" w:rsidDel="008C59B2">
              <w:rPr>
                <w:rFonts w:ascii="Times New Roman" w:hAnsi="Times New Roman"/>
                <w:sz w:val="16"/>
                <w:szCs w:val="16"/>
                <w:lang w:val="en-US" w:eastAsia="uk-UA"/>
              </w:rPr>
              <w:t xml:space="preserve"> </w:t>
            </w:r>
          </w:p>
        </w:tc>
      </w:tr>
      <w:tr w:rsidR="008B6F00" w:rsidRPr="008B6F00" w14:paraId="6DCA250A" w14:textId="77777777" w:rsidTr="005E418B">
        <w:tblPrEx>
          <w:tblCellMar>
            <w:left w:w="0" w:type="dxa"/>
            <w:right w:w="0" w:type="dxa"/>
          </w:tblCellMar>
        </w:tblPrEx>
        <w:trPr>
          <w:trHeight w:val="192"/>
        </w:trPr>
        <w:tc>
          <w:tcPr>
            <w:tcW w:w="5695" w:type="dxa"/>
            <w:gridSpan w:val="7"/>
            <w:shd w:val="clear" w:color="auto" w:fill="auto"/>
          </w:tcPr>
          <w:p w14:paraId="4E7E807C" w14:textId="77777777" w:rsidR="008B6F00" w:rsidRPr="008B6F00" w:rsidRDefault="008B6F00" w:rsidP="008B6F00">
            <w:pPr>
              <w:ind w:left="182" w:firstLine="0"/>
              <w:rPr>
                <w:rFonts w:ascii="Times New Roman" w:hAnsi="Times New Roman"/>
                <w:color w:val="000000"/>
                <w:sz w:val="16"/>
                <w:szCs w:val="16"/>
              </w:rPr>
            </w:pPr>
            <w:r w:rsidRPr="008B6F00">
              <w:rPr>
                <w:rFonts w:ascii="Times New Roman" w:hAnsi="Times New Roman"/>
                <w:color w:val="000000"/>
                <w:sz w:val="16"/>
                <w:szCs w:val="16"/>
              </w:rPr>
              <w:t xml:space="preserve">2.1.15. У </w:t>
            </w:r>
            <w:proofErr w:type="spellStart"/>
            <w:r w:rsidRPr="008B6F00">
              <w:rPr>
                <w:rFonts w:ascii="Times New Roman" w:hAnsi="Times New Roman"/>
                <w:color w:val="000000"/>
                <w:sz w:val="16"/>
                <w:szCs w:val="16"/>
              </w:rPr>
              <w:t>разі</w:t>
            </w:r>
            <w:proofErr w:type="spellEnd"/>
            <w:r w:rsidRPr="008B6F00">
              <w:rPr>
                <w:rFonts w:ascii="Times New Roman" w:hAnsi="Times New Roman"/>
                <w:color w:val="000000"/>
                <w:sz w:val="16"/>
                <w:szCs w:val="16"/>
              </w:rPr>
              <w:t xml:space="preserve"> </w:t>
            </w:r>
            <w:proofErr w:type="spellStart"/>
            <w:r w:rsidRPr="008B6F00">
              <w:rPr>
                <w:rFonts w:ascii="Times New Roman" w:hAnsi="Times New Roman"/>
                <w:color w:val="000000"/>
                <w:sz w:val="16"/>
                <w:szCs w:val="16"/>
              </w:rPr>
              <w:t>отримання</w:t>
            </w:r>
            <w:proofErr w:type="spellEnd"/>
            <w:r w:rsidRPr="008B6F00">
              <w:rPr>
                <w:rFonts w:ascii="Times New Roman" w:hAnsi="Times New Roman"/>
                <w:color w:val="000000"/>
                <w:sz w:val="16"/>
                <w:szCs w:val="16"/>
              </w:rPr>
              <w:t xml:space="preserve"> </w:t>
            </w:r>
            <w:proofErr w:type="spellStart"/>
            <w:r w:rsidRPr="008B6F00">
              <w:rPr>
                <w:rFonts w:ascii="Times New Roman" w:hAnsi="Times New Roman"/>
                <w:color w:val="000000"/>
                <w:sz w:val="16"/>
                <w:szCs w:val="16"/>
              </w:rPr>
              <w:t>запиту</w:t>
            </w:r>
            <w:proofErr w:type="spellEnd"/>
            <w:r w:rsidRPr="008B6F00">
              <w:rPr>
                <w:rFonts w:ascii="Times New Roman" w:hAnsi="Times New Roman"/>
                <w:color w:val="000000"/>
                <w:sz w:val="16"/>
                <w:szCs w:val="16"/>
              </w:rPr>
              <w:t xml:space="preserve"> </w:t>
            </w:r>
            <w:proofErr w:type="spellStart"/>
            <w:r w:rsidRPr="008B6F00">
              <w:rPr>
                <w:rFonts w:ascii="Times New Roman" w:hAnsi="Times New Roman"/>
                <w:color w:val="000000"/>
                <w:sz w:val="16"/>
                <w:szCs w:val="16"/>
              </w:rPr>
              <w:t>стосовно</w:t>
            </w:r>
            <w:proofErr w:type="spellEnd"/>
            <w:r w:rsidRPr="008B6F00">
              <w:rPr>
                <w:rFonts w:ascii="Times New Roman" w:hAnsi="Times New Roman"/>
                <w:color w:val="000000"/>
                <w:sz w:val="16"/>
                <w:szCs w:val="16"/>
              </w:rPr>
              <w:t xml:space="preserve"> </w:t>
            </w:r>
            <w:proofErr w:type="spellStart"/>
            <w:r w:rsidRPr="008B6F00">
              <w:rPr>
                <w:rFonts w:ascii="Times New Roman" w:hAnsi="Times New Roman"/>
                <w:color w:val="000000"/>
                <w:sz w:val="16"/>
                <w:szCs w:val="16"/>
              </w:rPr>
              <w:t>Номінального</w:t>
            </w:r>
            <w:proofErr w:type="spellEnd"/>
            <w:r w:rsidRPr="008B6F00">
              <w:rPr>
                <w:rFonts w:ascii="Times New Roman" w:hAnsi="Times New Roman"/>
                <w:color w:val="000000"/>
                <w:sz w:val="16"/>
                <w:szCs w:val="16"/>
              </w:rPr>
              <w:t xml:space="preserve"> </w:t>
            </w:r>
            <w:proofErr w:type="spellStart"/>
            <w:r w:rsidRPr="008B6F00">
              <w:rPr>
                <w:rFonts w:ascii="Times New Roman" w:hAnsi="Times New Roman"/>
                <w:color w:val="000000"/>
                <w:sz w:val="16"/>
                <w:szCs w:val="16"/>
              </w:rPr>
              <w:t>утримувача</w:t>
            </w:r>
            <w:proofErr w:type="spellEnd"/>
            <w:r w:rsidRPr="008B6F00">
              <w:rPr>
                <w:rFonts w:ascii="Times New Roman" w:hAnsi="Times New Roman"/>
                <w:color w:val="000000"/>
                <w:sz w:val="16"/>
                <w:szCs w:val="16"/>
              </w:rPr>
              <w:t xml:space="preserve"> (</w:t>
            </w:r>
            <w:proofErr w:type="spellStart"/>
            <w:r w:rsidRPr="008B6F00">
              <w:rPr>
                <w:rFonts w:ascii="Times New Roman" w:hAnsi="Times New Roman"/>
                <w:color w:val="000000"/>
                <w:sz w:val="16"/>
                <w:szCs w:val="16"/>
              </w:rPr>
              <w:t>крім</w:t>
            </w:r>
            <w:proofErr w:type="spellEnd"/>
            <w:r w:rsidRPr="008B6F00">
              <w:rPr>
                <w:rFonts w:ascii="Times New Roman" w:hAnsi="Times New Roman"/>
                <w:color w:val="000000"/>
                <w:sz w:val="16"/>
                <w:szCs w:val="16"/>
              </w:rPr>
              <w:t xml:space="preserve"> </w:t>
            </w:r>
          </w:p>
          <w:p w14:paraId="3F1BF7CD" w14:textId="77777777" w:rsidR="008B6F00" w:rsidRDefault="008B6F00" w:rsidP="008B6F00">
            <w:pPr>
              <w:ind w:left="182" w:firstLine="0"/>
              <w:rPr>
                <w:rFonts w:ascii="Times New Roman" w:hAnsi="Times New Roman"/>
                <w:color w:val="000000"/>
                <w:sz w:val="16"/>
                <w:szCs w:val="16"/>
              </w:rPr>
            </w:pPr>
            <w:proofErr w:type="spellStart"/>
            <w:r w:rsidRPr="008B6F00">
              <w:rPr>
                <w:rFonts w:ascii="Times New Roman" w:hAnsi="Times New Roman"/>
                <w:color w:val="000000"/>
                <w:sz w:val="16"/>
                <w:szCs w:val="16"/>
              </w:rPr>
              <w:t>інформації</w:t>
            </w:r>
            <w:proofErr w:type="spellEnd"/>
            <w:r w:rsidRPr="008B6F00">
              <w:rPr>
                <w:rFonts w:ascii="Times New Roman" w:hAnsi="Times New Roman"/>
                <w:color w:val="000000"/>
                <w:sz w:val="16"/>
                <w:szCs w:val="16"/>
              </w:rPr>
              <w:t xml:space="preserve"> про </w:t>
            </w:r>
            <w:proofErr w:type="spellStart"/>
            <w:r w:rsidRPr="008B6F00">
              <w:rPr>
                <w:rFonts w:ascii="Times New Roman" w:hAnsi="Times New Roman"/>
                <w:color w:val="000000"/>
                <w:sz w:val="16"/>
                <w:szCs w:val="16"/>
              </w:rPr>
              <w:t>власників</w:t>
            </w:r>
            <w:proofErr w:type="spellEnd"/>
            <w:r w:rsidRPr="008B6F00">
              <w:rPr>
                <w:rFonts w:ascii="Times New Roman" w:hAnsi="Times New Roman"/>
                <w:color w:val="000000"/>
                <w:sz w:val="16"/>
                <w:szCs w:val="16"/>
              </w:rPr>
              <w:t xml:space="preserve"> </w:t>
            </w:r>
            <w:proofErr w:type="spellStart"/>
            <w:r w:rsidRPr="008B6F00">
              <w:rPr>
                <w:rFonts w:ascii="Times New Roman" w:hAnsi="Times New Roman"/>
                <w:color w:val="000000"/>
                <w:sz w:val="16"/>
                <w:szCs w:val="16"/>
              </w:rPr>
              <w:t>цінних</w:t>
            </w:r>
            <w:proofErr w:type="spellEnd"/>
            <w:r w:rsidRPr="008B6F00">
              <w:rPr>
                <w:rFonts w:ascii="Times New Roman" w:hAnsi="Times New Roman"/>
                <w:color w:val="000000"/>
                <w:sz w:val="16"/>
                <w:szCs w:val="16"/>
              </w:rPr>
              <w:t xml:space="preserve"> </w:t>
            </w:r>
            <w:proofErr w:type="spellStart"/>
            <w:r w:rsidRPr="008B6F00">
              <w:rPr>
                <w:rFonts w:ascii="Times New Roman" w:hAnsi="Times New Roman"/>
                <w:color w:val="000000"/>
                <w:sz w:val="16"/>
                <w:szCs w:val="16"/>
              </w:rPr>
              <w:t>паперів</w:t>
            </w:r>
            <w:proofErr w:type="spellEnd"/>
            <w:r w:rsidRPr="008B6F00">
              <w:rPr>
                <w:rFonts w:ascii="Times New Roman" w:hAnsi="Times New Roman"/>
                <w:color w:val="000000"/>
                <w:sz w:val="16"/>
                <w:szCs w:val="16"/>
              </w:rPr>
              <w:t>, та/</w:t>
            </w:r>
            <w:proofErr w:type="spellStart"/>
            <w:r w:rsidRPr="008B6F00">
              <w:rPr>
                <w:rFonts w:ascii="Times New Roman" w:hAnsi="Times New Roman"/>
                <w:color w:val="000000"/>
                <w:sz w:val="16"/>
                <w:szCs w:val="16"/>
              </w:rPr>
              <w:t>або</w:t>
            </w:r>
            <w:proofErr w:type="spellEnd"/>
            <w:r w:rsidRPr="008B6F00">
              <w:rPr>
                <w:rFonts w:ascii="Times New Roman" w:hAnsi="Times New Roman"/>
                <w:color w:val="000000"/>
                <w:sz w:val="16"/>
                <w:szCs w:val="16"/>
              </w:rPr>
              <w:t xml:space="preserve"> </w:t>
            </w:r>
            <w:proofErr w:type="spellStart"/>
            <w:r w:rsidRPr="008B6F00">
              <w:rPr>
                <w:rFonts w:ascii="Times New Roman" w:hAnsi="Times New Roman"/>
                <w:color w:val="000000"/>
                <w:sz w:val="16"/>
                <w:szCs w:val="16"/>
              </w:rPr>
              <w:t>належні</w:t>
            </w:r>
            <w:proofErr w:type="spellEnd"/>
            <w:r w:rsidRPr="008B6F00">
              <w:rPr>
                <w:rFonts w:ascii="Times New Roman" w:hAnsi="Times New Roman"/>
                <w:color w:val="000000"/>
                <w:sz w:val="16"/>
                <w:szCs w:val="16"/>
              </w:rPr>
              <w:t xml:space="preserve"> </w:t>
            </w:r>
            <w:proofErr w:type="spellStart"/>
            <w:r w:rsidRPr="008B6F00">
              <w:rPr>
                <w:rFonts w:ascii="Times New Roman" w:hAnsi="Times New Roman"/>
                <w:color w:val="000000"/>
                <w:sz w:val="16"/>
                <w:szCs w:val="16"/>
              </w:rPr>
              <w:t>їм</w:t>
            </w:r>
            <w:proofErr w:type="spellEnd"/>
            <w:r w:rsidRPr="008B6F00">
              <w:rPr>
                <w:rFonts w:ascii="Times New Roman" w:hAnsi="Times New Roman"/>
                <w:color w:val="000000"/>
                <w:sz w:val="16"/>
                <w:szCs w:val="16"/>
              </w:rPr>
              <w:t xml:space="preserve"> </w:t>
            </w:r>
            <w:proofErr w:type="spellStart"/>
            <w:r w:rsidRPr="008B6F00">
              <w:rPr>
                <w:rFonts w:ascii="Times New Roman" w:hAnsi="Times New Roman"/>
                <w:color w:val="000000"/>
                <w:sz w:val="16"/>
                <w:szCs w:val="16"/>
              </w:rPr>
              <w:t>цінні</w:t>
            </w:r>
            <w:proofErr w:type="spellEnd"/>
            <w:r w:rsidRPr="008B6F00">
              <w:rPr>
                <w:rFonts w:ascii="Times New Roman" w:hAnsi="Times New Roman"/>
                <w:color w:val="000000"/>
                <w:sz w:val="16"/>
                <w:szCs w:val="16"/>
              </w:rPr>
              <w:t xml:space="preserve"> </w:t>
            </w:r>
            <w:proofErr w:type="spellStart"/>
            <w:r w:rsidRPr="008B6F00">
              <w:rPr>
                <w:rFonts w:ascii="Times New Roman" w:hAnsi="Times New Roman"/>
                <w:color w:val="000000"/>
                <w:sz w:val="16"/>
                <w:szCs w:val="16"/>
              </w:rPr>
              <w:t>папери</w:t>
            </w:r>
            <w:proofErr w:type="spellEnd"/>
            <w:r w:rsidRPr="008B6F00">
              <w:rPr>
                <w:rFonts w:ascii="Times New Roman" w:hAnsi="Times New Roman"/>
                <w:color w:val="000000"/>
                <w:sz w:val="16"/>
                <w:szCs w:val="16"/>
              </w:rPr>
              <w:t>, та/</w:t>
            </w:r>
            <w:proofErr w:type="spellStart"/>
            <w:r w:rsidRPr="008B6F00">
              <w:rPr>
                <w:rFonts w:ascii="Times New Roman" w:hAnsi="Times New Roman"/>
                <w:color w:val="000000"/>
                <w:sz w:val="16"/>
                <w:szCs w:val="16"/>
              </w:rPr>
              <w:t>або</w:t>
            </w:r>
            <w:proofErr w:type="spellEnd"/>
            <w:r w:rsidRPr="008B6F00">
              <w:rPr>
                <w:rFonts w:ascii="Times New Roman" w:hAnsi="Times New Roman"/>
                <w:color w:val="000000"/>
                <w:sz w:val="16"/>
                <w:szCs w:val="16"/>
              </w:rPr>
              <w:t xml:space="preserve"> </w:t>
            </w:r>
            <w:proofErr w:type="spellStart"/>
            <w:r w:rsidRPr="008B6F00">
              <w:rPr>
                <w:rFonts w:ascii="Times New Roman" w:hAnsi="Times New Roman"/>
                <w:color w:val="000000"/>
                <w:sz w:val="16"/>
                <w:szCs w:val="16"/>
              </w:rPr>
              <w:lastRenderedPageBreak/>
              <w:t>операції</w:t>
            </w:r>
            <w:proofErr w:type="spellEnd"/>
            <w:r w:rsidRPr="008B6F00">
              <w:rPr>
                <w:rFonts w:ascii="Times New Roman" w:hAnsi="Times New Roman"/>
                <w:color w:val="000000"/>
                <w:sz w:val="16"/>
                <w:szCs w:val="16"/>
              </w:rPr>
              <w:t xml:space="preserve"> з </w:t>
            </w:r>
            <w:proofErr w:type="spellStart"/>
            <w:r w:rsidRPr="008B6F00">
              <w:rPr>
                <w:rFonts w:ascii="Times New Roman" w:hAnsi="Times New Roman"/>
                <w:color w:val="000000"/>
                <w:sz w:val="16"/>
                <w:szCs w:val="16"/>
              </w:rPr>
              <w:t>цінними</w:t>
            </w:r>
            <w:proofErr w:type="spellEnd"/>
            <w:r w:rsidRPr="008B6F00">
              <w:rPr>
                <w:rFonts w:ascii="Times New Roman" w:hAnsi="Times New Roman"/>
                <w:color w:val="000000"/>
                <w:sz w:val="16"/>
                <w:szCs w:val="16"/>
              </w:rPr>
              <w:t xml:space="preserve"> </w:t>
            </w:r>
            <w:proofErr w:type="spellStart"/>
            <w:r w:rsidRPr="008B6F00">
              <w:rPr>
                <w:rFonts w:ascii="Times New Roman" w:hAnsi="Times New Roman"/>
                <w:color w:val="000000"/>
                <w:sz w:val="16"/>
                <w:szCs w:val="16"/>
              </w:rPr>
              <w:t>паперами</w:t>
            </w:r>
            <w:proofErr w:type="spellEnd"/>
            <w:r w:rsidRPr="008B6F00">
              <w:rPr>
                <w:rFonts w:ascii="Times New Roman" w:hAnsi="Times New Roman"/>
                <w:color w:val="000000"/>
                <w:sz w:val="16"/>
                <w:szCs w:val="16"/>
              </w:rPr>
              <w:t xml:space="preserve">, права на </w:t>
            </w:r>
            <w:proofErr w:type="spellStart"/>
            <w:r w:rsidRPr="008B6F00">
              <w:rPr>
                <w:rFonts w:ascii="Times New Roman" w:hAnsi="Times New Roman"/>
                <w:color w:val="000000"/>
                <w:sz w:val="16"/>
                <w:szCs w:val="16"/>
              </w:rPr>
              <w:t>які</w:t>
            </w:r>
            <w:proofErr w:type="spellEnd"/>
            <w:r w:rsidRPr="008B6F00">
              <w:rPr>
                <w:rFonts w:ascii="Times New Roman" w:hAnsi="Times New Roman"/>
                <w:color w:val="000000"/>
                <w:sz w:val="16"/>
                <w:szCs w:val="16"/>
              </w:rPr>
              <w:t xml:space="preserve"> </w:t>
            </w:r>
            <w:proofErr w:type="spellStart"/>
            <w:r w:rsidRPr="008B6F00">
              <w:rPr>
                <w:rFonts w:ascii="Times New Roman" w:hAnsi="Times New Roman"/>
                <w:color w:val="000000"/>
                <w:sz w:val="16"/>
                <w:szCs w:val="16"/>
              </w:rPr>
              <w:t>обліковуються</w:t>
            </w:r>
            <w:proofErr w:type="spellEnd"/>
            <w:r w:rsidRPr="008B6F00">
              <w:rPr>
                <w:rFonts w:ascii="Times New Roman" w:hAnsi="Times New Roman"/>
                <w:color w:val="000000"/>
                <w:sz w:val="16"/>
                <w:szCs w:val="16"/>
              </w:rPr>
              <w:t xml:space="preserve"> на </w:t>
            </w:r>
            <w:proofErr w:type="spellStart"/>
            <w:r w:rsidRPr="008B6F00">
              <w:rPr>
                <w:rFonts w:ascii="Times New Roman" w:hAnsi="Times New Roman"/>
                <w:color w:val="000000"/>
                <w:sz w:val="16"/>
                <w:szCs w:val="16"/>
              </w:rPr>
              <w:t>рахунку</w:t>
            </w:r>
            <w:proofErr w:type="spellEnd"/>
            <w:r w:rsidRPr="008B6F00">
              <w:rPr>
                <w:rFonts w:ascii="Times New Roman" w:hAnsi="Times New Roman"/>
                <w:color w:val="000000"/>
                <w:sz w:val="16"/>
                <w:szCs w:val="16"/>
              </w:rPr>
              <w:t xml:space="preserve"> </w:t>
            </w:r>
            <w:proofErr w:type="spellStart"/>
            <w:r w:rsidRPr="008B6F00">
              <w:rPr>
                <w:rFonts w:ascii="Times New Roman" w:hAnsi="Times New Roman"/>
                <w:color w:val="000000"/>
                <w:sz w:val="16"/>
                <w:szCs w:val="16"/>
              </w:rPr>
              <w:t>номінального</w:t>
            </w:r>
            <w:proofErr w:type="spellEnd"/>
            <w:r w:rsidRPr="008B6F00">
              <w:rPr>
                <w:rFonts w:ascii="Times New Roman" w:hAnsi="Times New Roman"/>
                <w:color w:val="000000"/>
                <w:sz w:val="16"/>
                <w:szCs w:val="16"/>
              </w:rPr>
              <w:t xml:space="preserve"> </w:t>
            </w:r>
            <w:proofErr w:type="spellStart"/>
            <w:r w:rsidRPr="008B6F00">
              <w:rPr>
                <w:rFonts w:ascii="Times New Roman" w:hAnsi="Times New Roman"/>
                <w:color w:val="000000"/>
                <w:sz w:val="16"/>
                <w:szCs w:val="16"/>
              </w:rPr>
              <w:t>утримувача</w:t>
            </w:r>
            <w:proofErr w:type="spellEnd"/>
            <w:r w:rsidRPr="008B6F00">
              <w:rPr>
                <w:rFonts w:ascii="Times New Roman" w:hAnsi="Times New Roman"/>
                <w:color w:val="000000"/>
                <w:sz w:val="16"/>
                <w:szCs w:val="16"/>
              </w:rPr>
              <w:t xml:space="preserve">) </w:t>
            </w:r>
            <w:proofErr w:type="spellStart"/>
            <w:r w:rsidRPr="008B6F00">
              <w:rPr>
                <w:rFonts w:ascii="Times New Roman" w:hAnsi="Times New Roman"/>
                <w:color w:val="000000"/>
                <w:sz w:val="16"/>
                <w:szCs w:val="16"/>
              </w:rPr>
              <w:t>протягом</w:t>
            </w:r>
            <w:proofErr w:type="spellEnd"/>
            <w:r w:rsidRPr="008B6F00">
              <w:rPr>
                <w:rFonts w:ascii="Times New Roman" w:hAnsi="Times New Roman"/>
                <w:color w:val="000000"/>
                <w:sz w:val="16"/>
                <w:szCs w:val="16"/>
              </w:rPr>
              <w:t xml:space="preserve"> </w:t>
            </w:r>
            <w:proofErr w:type="spellStart"/>
            <w:r w:rsidRPr="008B6F00">
              <w:rPr>
                <w:rFonts w:ascii="Times New Roman" w:hAnsi="Times New Roman"/>
                <w:color w:val="000000"/>
                <w:sz w:val="16"/>
                <w:szCs w:val="16"/>
              </w:rPr>
              <w:t>наступного</w:t>
            </w:r>
            <w:proofErr w:type="spellEnd"/>
            <w:r w:rsidRPr="008B6F00">
              <w:rPr>
                <w:rFonts w:ascii="Times New Roman" w:hAnsi="Times New Roman"/>
                <w:color w:val="000000"/>
                <w:sz w:val="16"/>
                <w:szCs w:val="16"/>
              </w:rPr>
              <w:t xml:space="preserve"> </w:t>
            </w:r>
            <w:proofErr w:type="spellStart"/>
            <w:r w:rsidRPr="008B6F00">
              <w:rPr>
                <w:rFonts w:ascii="Times New Roman" w:hAnsi="Times New Roman"/>
                <w:color w:val="000000"/>
                <w:sz w:val="16"/>
                <w:szCs w:val="16"/>
              </w:rPr>
              <w:t>робочого</w:t>
            </w:r>
            <w:proofErr w:type="spellEnd"/>
            <w:r w:rsidRPr="008B6F00">
              <w:rPr>
                <w:rFonts w:ascii="Times New Roman" w:hAnsi="Times New Roman"/>
                <w:color w:val="000000"/>
                <w:sz w:val="16"/>
                <w:szCs w:val="16"/>
              </w:rPr>
              <w:t xml:space="preserve"> дня </w:t>
            </w:r>
            <w:proofErr w:type="spellStart"/>
            <w:r w:rsidRPr="008B6F00">
              <w:rPr>
                <w:rFonts w:ascii="Times New Roman" w:hAnsi="Times New Roman"/>
                <w:color w:val="000000"/>
                <w:sz w:val="16"/>
                <w:szCs w:val="16"/>
              </w:rPr>
              <w:t>після</w:t>
            </w:r>
            <w:proofErr w:type="spellEnd"/>
            <w:r w:rsidRPr="008B6F00">
              <w:rPr>
                <w:rFonts w:ascii="Times New Roman" w:hAnsi="Times New Roman"/>
                <w:color w:val="000000"/>
                <w:sz w:val="16"/>
                <w:szCs w:val="16"/>
              </w:rPr>
              <w:t xml:space="preserve"> </w:t>
            </w:r>
            <w:proofErr w:type="spellStart"/>
            <w:r w:rsidRPr="008B6F00">
              <w:rPr>
                <w:rFonts w:ascii="Times New Roman" w:hAnsi="Times New Roman"/>
                <w:color w:val="000000"/>
                <w:sz w:val="16"/>
                <w:szCs w:val="16"/>
              </w:rPr>
              <w:t>отримання</w:t>
            </w:r>
            <w:proofErr w:type="spellEnd"/>
            <w:r w:rsidRPr="008B6F00">
              <w:rPr>
                <w:rFonts w:ascii="Times New Roman" w:hAnsi="Times New Roman"/>
                <w:color w:val="000000"/>
                <w:sz w:val="16"/>
                <w:szCs w:val="16"/>
              </w:rPr>
              <w:t xml:space="preserve"> такого </w:t>
            </w:r>
            <w:proofErr w:type="spellStart"/>
            <w:r w:rsidRPr="008B6F00">
              <w:rPr>
                <w:rFonts w:ascii="Times New Roman" w:hAnsi="Times New Roman"/>
                <w:color w:val="000000"/>
                <w:sz w:val="16"/>
                <w:szCs w:val="16"/>
              </w:rPr>
              <w:t>запиту</w:t>
            </w:r>
            <w:proofErr w:type="spellEnd"/>
            <w:r w:rsidRPr="008B6F00">
              <w:rPr>
                <w:rFonts w:ascii="Times New Roman" w:hAnsi="Times New Roman"/>
                <w:color w:val="000000"/>
                <w:sz w:val="16"/>
                <w:szCs w:val="16"/>
              </w:rPr>
              <w:t xml:space="preserve"> </w:t>
            </w:r>
            <w:proofErr w:type="spellStart"/>
            <w:r w:rsidRPr="008B6F00">
              <w:rPr>
                <w:rFonts w:ascii="Times New Roman" w:hAnsi="Times New Roman"/>
                <w:color w:val="000000"/>
                <w:sz w:val="16"/>
                <w:szCs w:val="16"/>
              </w:rPr>
              <w:t>повідомити</w:t>
            </w:r>
            <w:proofErr w:type="spellEnd"/>
            <w:r w:rsidRPr="008B6F00">
              <w:rPr>
                <w:rFonts w:ascii="Times New Roman" w:hAnsi="Times New Roman"/>
                <w:color w:val="000000"/>
                <w:sz w:val="16"/>
                <w:szCs w:val="16"/>
              </w:rPr>
              <w:t xml:space="preserve"> про </w:t>
            </w:r>
            <w:proofErr w:type="spellStart"/>
            <w:r w:rsidRPr="008B6F00">
              <w:rPr>
                <w:rFonts w:ascii="Times New Roman" w:hAnsi="Times New Roman"/>
                <w:color w:val="000000"/>
                <w:sz w:val="16"/>
                <w:szCs w:val="16"/>
              </w:rPr>
              <w:t>це</w:t>
            </w:r>
            <w:proofErr w:type="spellEnd"/>
            <w:r w:rsidRPr="008B6F00">
              <w:rPr>
                <w:rFonts w:ascii="Times New Roman" w:hAnsi="Times New Roman"/>
                <w:color w:val="000000"/>
                <w:sz w:val="16"/>
                <w:szCs w:val="16"/>
              </w:rPr>
              <w:t xml:space="preserve"> </w:t>
            </w:r>
            <w:proofErr w:type="spellStart"/>
            <w:r w:rsidRPr="008B6F00">
              <w:rPr>
                <w:rFonts w:ascii="Times New Roman" w:hAnsi="Times New Roman"/>
                <w:color w:val="000000"/>
                <w:sz w:val="16"/>
                <w:szCs w:val="16"/>
              </w:rPr>
              <w:t>номінального</w:t>
            </w:r>
            <w:proofErr w:type="spellEnd"/>
            <w:r w:rsidRPr="008B6F00">
              <w:rPr>
                <w:rFonts w:ascii="Times New Roman" w:hAnsi="Times New Roman"/>
                <w:color w:val="000000"/>
                <w:sz w:val="16"/>
                <w:szCs w:val="16"/>
              </w:rPr>
              <w:t xml:space="preserve"> </w:t>
            </w:r>
            <w:proofErr w:type="spellStart"/>
            <w:r w:rsidRPr="008B6F00">
              <w:rPr>
                <w:rFonts w:ascii="Times New Roman" w:hAnsi="Times New Roman"/>
                <w:color w:val="000000"/>
                <w:sz w:val="16"/>
                <w:szCs w:val="16"/>
              </w:rPr>
              <w:t>утримувача</w:t>
            </w:r>
            <w:proofErr w:type="spellEnd"/>
            <w:r w:rsidRPr="008B6F00">
              <w:rPr>
                <w:rFonts w:ascii="Times New Roman" w:hAnsi="Times New Roman"/>
                <w:color w:val="000000"/>
                <w:sz w:val="16"/>
                <w:szCs w:val="16"/>
              </w:rPr>
              <w:t xml:space="preserve"> та </w:t>
            </w:r>
            <w:proofErr w:type="spellStart"/>
            <w:r w:rsidRPr="008B6F00">
              <w:rPr>
                <w:rFonts w:ascii="Times New Roman" w:hAnsi="Times New Roman"/>
                <w:color w:val="000000"/>
                <w:sz w:val="16"/>
                <w:szCs w:val="16"/>
              </w:rPr>
              <w:t>надати</w:t>
            </w:r>
            <w:proofErr w:type="spellEnd"/>
            <w:r w:rsidRPr="008B6F00">
              <w:rPr>
                <w:rFonts w:ascii="Times New Roman" w:hAnsi="Times New Roman"/>
                <w:color w:val="000000"/>
                <w:sz w:val="16"/>
                <w:szCs w:val="16"/>
              </w:rPr>
              <w:t xml:space="preserve"> </w:t>
            </w:r>
            <w:proofErr w:type="spellStart"/>
            <w:r w:rsidRPr="008B6F00">
              <w:rPr>
                <w:rFonts w:ascii="Times New Roman" w:hAnsi="Times New Roman"/>
                <w:color w:val="000000"/>
                <w:sz w:val="16"/>
                <w:szCs w:val="16"/>
              </w:rPr>
              <w:t>йому</w:t>
            </w:r>
            <w:proofErr w:type="spellEnd"/>
            <w:r w:rsidRPr="008B6F00">
              <w:rPr>
                <w:rFonts w:ascii="Times New Roman" w:hAnsi="Times New Roman"/>
                <w:color w:val="000000"/>
                <w:sz w:val="16"/>
                <w:szCs w:val="16"/>
              </w:rPr>
              <w:t xml:space="preserve"> </w:t>
            </w:r>
            <w:proofErr w:type="spellStart"/>
            <w:r w:rsidRPr="008B6F00">
              <w:rPr>
                <w:rFonts w:ascii="Times New Roman" w:hAnsi="Times New Roman"/>
                <w:color w:val="000000"/>
                <w:sz w:val="16"/>
                <w:szCs w:val="16"/>
              </w:rPr>
              <w:t>копію</w:t>
            </w:r>
            <w:proofErr w:type="spellEnd"/>
            <w:r w:rsidRPr="008B6F00">
              <w:rPr>
                <w:rFonts w:ascii="Times New Roman" w:hAnsi="Times New Roman"/>
                <w:color w:val="000000"/>
                <w:sz w:val="16"/>
                <w:szCs w:val="16"/>
              </w:rPr>
              <w:t xml:space="preserve"> </w:t>
            </w:r>
            <w:proofErr w:type="spellStart"/>
            <w:r w:rsidRPr="008B6F00">
              <w:rPr>
                <w:rFonts w:ascii="Times New Roman" w:hAnsi="Times New Roman"/>
                <w:color w:val="000000"/>
                <w:sz w:val="16"/>
                <w:szCs w:val="16"/>
              </w:rPr>
              <w:t>запиту</w:t>
            </w:r>
            <w:proofErr w:type="spellEnd"/>
            <w:r w:rsidRPr="008B6F00">
              <w:rPr>
                <w:rFonts w:ascii="Times New Roman" w:hAnsi="Times New Roman"/>
                <w:color w:val="000000"/>
                <w:sz w:val="16"/>
                <w:szCs w:val="16"/>
              </w:rPr>
              <w:t>.</w:t>
            </w:r>
          </w:p>
          <w:p w14:paraId="3A81EFAE" w14:textId="08CD17F0" w:rsidR="008B6F00" w:rsidRPr="008B6F00" w:rsidRDefault="008B6F00" w:rsidP="008B6F00">
            <w:pPr>
              <w:ind w:left="182" w:firstLine="0"/>
              <w:rPr>
                <w:rFonts w:ascii="Times New Roman" w:hAnsi="Times New Roman"/>
                <w:color w:val="000000"/>
                <w:sz w:val="16"/>
                <w:szCs w:val="16"/>
              </w:rPr>
            </w:pPr>
          </w:p>
        </w:tc>
        <w:tc>
          <w:tcPr>
            <w:tcW w:w="5495" w:type="dxa"/>
            <w:gridSpan w:val="8"/>
            <w:shd w:val="clear" w:color="auto" w:fill="auto"/>
          </w:tcPr>
          <w:p w14:paraId="25D4BFAD" w14:textId="1BA49723" w:rsidR="008B6F00" w:rsidRPr="008B6F00" w:rsidRDefault="008B6F00" w:rsidP="001456E9">
            <w:pPr>
              <w:pStyle w:val="HTML"/>
              <w:ind w:left="182" w:firstLine="0"/>
              <w:rPr>
                <w:rFonts w:ascii="Times New Roman" w:hAnsi="Times New Roman" w:cs="Times New Roman"/>
                <w:color w:val="000000"/>
                <w:sz w:val="16"/>
                <w:szCs w:val="16"/>
                <w:lang w:val="uk-UA"/>
              </w:rPr>
            </w:pPr>
            <w:r w:rsidRPr="008B6F00">
              <w:rPr>
                <w:rFonts w:ascii="Times New Roman" w:hAnsi="Times New Roman" w:cs="Times New Roman"/>
                <w:color w:val="000000"/>
                <w:sz w:val="16"/>
                <w:szCs w:val="16"/>
                <w:lang w:val="uk-UA"/>
              </w:rPr>
              <w:lastRenderedPageBreak/>
              <w:t xml:space="preserve">2.1.15. </w:t>
            </w:r>
            <w:proofErr w:type="spellStart"/>
            <w:r w:rsidRPr="008B6F00">
              <w:rPr>
                <w:rFonts w:ascii="Times New Roman" w:hAnsi="Times New Roman" w:cs="Times New Roman"/>
                <w:color w:val="000000"/>
                <w:sz w:val="16"/>
                <w:szCs w:val="16"/>
                <w:lang w:val="uk-UA"/>
              </w:rPr>
              <w:t>In</w:t>
            </w:r>
            <w:proofErr w:type="spellEnd"/>
            <w:r w:rsidRPr="008B6F00">
              <w:rPr>
                <w:rFonts w:ascii="Times New Roman" w:hAnsi="Times New Roman" w:cs="Times New Roman"/>
                <w:color w:val="000000"/>
                <w:sz w:val="16"/>
                <w:szCs w:val="16"/>
                <w:lang w:val="uk-UA"/>
              </w:rPr>
              <w:t xml:space="preserve"> </w:t>
            </w:r>
            <w:proofErr w:type="spellStart"/>
            <w:r w:rsidRPr="008B6F00">
              <w:rPr>
                <w:rFonts w:ascii="Times New Roman" w:hAnsi="Times New Roman" w:cs="Times New Roman"/>
                <w:color w:val="000000"/>
                <w:sz w:val="16"/>
                <w:szCs w:val="16"/>
                <w:lang w:val="uk-UA"/>
              </w:rPr>
              <w:t>case</w:t>
            </w:r>
            <w:proofErr w:type="spellEnd"/>
            <w:r w:rsidRPr="008B6F00">
              <w:rPr>
                <w:rFonts w:ascii="Times New Roman" w:hAnsi="Times New Roman" w:cs="Times New Roman"/>
                <w:color w:val="000000"/>
                <w:sz w:val="16"/>
                <w:szCs w:val="16"/>
                <w:lang w:val="uk-UA"/>
              </w:rPr>
              <w:t xml:space="preserve"> </w:t>
            </w:r>
            <w:proofErr w:type="spellStart"/>
            <w:r w:rsidRPr="008B6F00">
              <w:rPr>
                <w:rFonts w:ascii="Times New Roman" w:hAnsi="Times New Roman" w:cs="Times New Roman"/>
                <w:color w:val="000000"/>
                <w:sz w:val="16"/>
                <w:szCs w:val="16"/>
                <w:lang w:val="uk-UA"/>
              </w:rPr>
              <w:t>of</w:t>
            </w:r>
            <w:proofErr w:type="spellEnd"/>
            <w:r w:rsidRPr="008B6F00">
              <w:rPr>
                <w:rFonts w:ascii="Times New Roman" w:hAnsi="Times New Roman" w:cs="Times New Roman"/>
                <w:color w:val="000000"/>
                <w:sz w:val="16"/>
                <w:szCs w:val="16"/>
                <w:lang w:val="uk-UA"/>
              </w:rPr>
              <w:t xml:space="preserve"> </w:t>
            </w:r>
            <w:proofErr w:type="spellStart"/>
            <w:r w:rsidRPr="008B6F00">
              <w:rPr>
                <w:rFonts w:ascii="Times New Roman" w:hAnsi="Times New Roman" w:cs="Times New Roman"/>
                <w:color w:val="000000"/>
                <w:sz w:val="16"/>
                <w:szCs w:val="16"/>
                <w:lang w:val="uk-UA"/>
              </w:rPr>
              <w:t>receipt</w:t>
            </w:r>
            <w:proofErr w:type="spellEnd"/>
            <w:r w:rsidRPr="008B6F00">
              <w:rPr>
                <w:rFonts w:ascii="Times New Roman" w:hAnsi="Times New Roman" w:cs="Times New Roman"/>
                <w:color w:val="000000"/>
                <w:sz w:val="16"/>
                <w:szCs w:val="16"/>
                <w:lang w:val="uk-UA"/>
              </w:rPr>
              <w:t xml:space="preserve"> </w:t>
            </w:r>
            <w:proofErr w:type="spellStart"/>
            <w:r w:rsidRPr="008B6F00">
              <w:rPr>
                <w:rFonts w:ascii="Times New Roman" w:hAnsi="Times New Roman" w:cs="Times New Roman"/>
                <w:color w:val="000000"/>
                <w:sz w:val="16"/>
                <w:szCs w:val="16"/>
                <w:lang w:val="uk-UA"/>
              </w:rPr>
              <w:t>of</w:t>
            </w:r>
            <w:proofErr w:type="spellEnd"/>
            <w:r w:rsidRPr="008B6F00">
              <w:rPr>
                <w:rFonts w:ascii="Times New Roman" w:hAnsi="Times New Roman" w:cs="Times New Roman"/>
                <w:color w:val="000000"/>
                <w:sz w:val="16"/>
                <w:szCs w:val="16"/>
                <w:lang w:val="uk-UA"/>
              </w:rPr>
              <w:t xml:space="preserve"> a </w:t>
            </w:r>
            <w:proofErr w:type="spellStart"/>
            <w:r w:rsidRPr="008B6F00">
              <w:rPr>
                <w:rFonts w:ascii="Times New Roman" w:hAnsi="Times New Roman" w:cs="Times New Roman"/>
                <w:color w:val="000000"/>
                <w:sz w:val="16"/>
                <w:szCs w:val="16"/>
                <w:lang w:val="uk-UA"/>
              </w:rPr>
              <w:t>request</w:t>
            </w:r>
            <w:proofErr w:type="spellEnd"/>
            <w:r w:rsidRPr="008B6F00">
              <w:rPr>
                <w:rFonts w:ascii="Times New Roman" w:hAnsi="Times New Roman" w:cs="Times New Roman"/>
                <w:color w:val="000000"/>
                <w:sz w:val="16"/>
                <w:szCs w:val="16"/>
                <w:lang w:val="uk-UA"/>
              </w:rPr>
              <w:t xml:space="preserve"> </w:t>
            </w:r>
            <w:proofErr w:type="spellStart"/>
            <w:r w:rsidRPr="008B6F00">
              <w:rPr>
                <w:rFonts w:ascii="Times New Roman" w:hAnsi="Times New Roman" w:cs="Times New Roman"/>
                <w:color w:val="000000"/>
                <w:sz w:val="16"/>
                <w:szCs w:val="16"/>
                <w:lang w:val="uk-UA"/>
              </w:rPr>
              <w:t>regarding</w:t>
            </w:r>
            <w:proofErr w:type="spellEnd"/>
            <w:r w:rsidRPr="008B6F00">
              <w:rPr>
                <w:rFonts w:ascii="Times New Roman" w:hAnsi="Times New Roman" w:cs="Times New Roman"/>
                <w:color w:val="000000"/>
                <w:sz w:val="16"/>
                <w:szCs w:val="16"/>
                <w:lang w:val="uk-UA"/>
              </w:rPr>
              <w:t xml:space="preserve"> </w:t>
            </w:r>
            <w:proofErr w:type="spellStart"/>
            <w:r w:rsidRPr="008B6F00">
              <w:rPr>
                <w:rFonts w:ascii="Times New Roman" w:hAnsi="Times New Roman" w:cs="Times New Roman"/>
                <w:color w:val="000000"/>
                <w:sz w:val="16"/>
                <w:szCs w:val="16"/>
                <w:lang w:val="uk-UA"/>
              </w:rPr>
              <w:t>the</w:t>
            </w:r>
            <w:proofErr w:type="spellEnd"/>
            <w:r w:rsidRPr="008B6F00">
              <w:rPr>
                <w:rFonts w:ascii="Times New Roman" w:hAnsi="Times New Roman" w:cs="Times New Roman"/>
                <w:color w:val="000000"/>
                <w:sz w:val="16"/>
                <w:szCs w:val="16"/>
                <w:lang w:val="uk-UA"/>
              </w:rPr>
              <w:t xml:space="preserve"> </w:t>
            </w:r>
            <w:proofErr w:type="spellStart"/>
            <w:r w:rsidRPr="008B6F00">
              <w:rPr>
                <w:rFonts w:ascii="Times New Roman" w:hAnsi="Times New Roman" w:cs="Times New Roman"/>
                <w:color w:val="000000"/>
                <w:sz w:val="16"/>
                <w:szCs w:val="16"/>
                <w:lang w:val="uk-UA"/>
              </w:rPr>
              <w:t>Nominal</w:t>
            </w:r>
            <w:proofErr w:type="spellEnd"/>
            <w:r w:rsidRPr="008B6F00">
              <w:rPr>
                <w:rFonts w:ascii="Times New Roman" w:hAnsi="Times New Roman" w:cs="Times New Roman"/>
                <w:color w:val="000000"/>
                <w:sz w:val="16"/>
                <w:szCs w:val="16"/>
                <w:lang w:val="uk-UA"/>
              </w:rPr>
              <w:t xml:space="preserve"> </w:t>
            </w:r>
            <w:proofErr w:type="spellStart"/>
            <w:r w:rsidRPr="008B6F00">
              <w:rPr>
                <w:rFonts w:ascii="Times New Roman" w:hAnsi="Times New Roman" w:cs="Times New Roman"/>
                <w:color w:val="000000"/>
                <w:sz w:val="16"/>
                <w:szCs w:val="16"/>
                <w:lang w:val="uk-UA"/>
              </w:rPr>
              <w:t>Holder</w:t>
            </w:r>
            <w:proofErr w:type="spellEnd"/>
            <w:r w:rsidRPr="008B6F00">
              <w:rPr>
                <w:rFonts w:ascii="Times New Roman" w:hAnsi="Times New Roman" w:cs="Times New Roman"/>
                <w:color w:val="000000"/>
                <w:sz w:val="16"/>
                <w:szCs w:val="16"/>
                <w:lang w:val="uk-UA"/>
              </w:rPr>
              <w:t xml:space="preserve"> (</w:t>
            </w:r>
            <w:proofErr w:type="spellStart"/>
            <w:r w:rsidRPr="008B6F00">
              <w:rPr>
                <w:rFonts w:ascii="Times New Roman" w:hAnsi="Times New Roman" w:cs="Times New Roman"/>
                <w:color w:val="000000"/>
                <w:sz w:val="16"/>
                <w:szCs w:val="16"/>
                <w:lang w:val="uk-UA"/>
              </w:rPr>
              <w:t>except</w:t>
            </w:r>
            <w:proofErr w:type="spellEnd"/>
            <w:r w:rsidRPr="008B6F00">
              <w:rPr>
                <w:rFonts w:ascii="Times New Roman" w:hAnsi="Times New Roman" w:cs="Times New Roman"/>
                <w:color w:val="000000"/>
                <w:sz w:val="16"/>
                <w:szCs w:val="16"/>
                <w:lang w:val="uk-UA"/>
              </w:rPr>
              <w:t xml:space="preserve"> </w:t>
            </w:r>
            <w:proofErr w:type="spellStart"/>
            <w:r w:rsidRPr="008B6F00">
              <w:rPr>
                <w:rFonts w:ascii="Times New Roman" w:hAnsi="Times New Roman" w:cs="Times New Roman"/>
                <w:color w:val="000000"/>
                <w:sz w:val="16"/>
                <w:szCs w:val="16"/>
                <w:lang w:val="uk-UA"/>
              </w:rPr>
              <w:t>information</w:t>
            </w:r>
            <w:proofErr w:type="spellEnd"/>
            <w:r w:rsidRPr="008B6F00">
              <w:rPr>
                <w:rFonts w:ascii="Times New Roman" w:hAnsi="Times New Roman" w:cs="Times New Roman"/>
                <w:color w:val="000000"/>
                <w:sz w:val="16"/>
                <w:szCs w:val="16"/>
                <w:lang w:val="uk-UA"/>
              </w:rPr>
              <w:t xml:space="preserve"> </w:t>
            </w:r>
            <w:proofErr w:type="spellStart"/>
            <w:r w:rsidRPr="008B6F00">
              <w:rPr>
                <w:rFonts w:ascii="Times New Roman" w:hAnsi="Times New Roman" w:cs="Times New Roman"/>
                <w:color w:val="000000"/>
                <w:sz w:val="16"/>
                <w:szCs w:val="16"/>
                <w:lang w:val="uk-UA"/>
              </w:rPr>
              <w:t>about</w:t>
            </w:r>
            <w:proofErr w:type="spellEnd"/>
            <w:r w:rsidRPr="008B6F00">
              <w:rPr>
                <w:rFonts w:ascii="Times New Roman" w:hAnsi="Times New Roman" w:cs="Times New Roman"/>
                <w:color w:val="000000"/>
                <w:sz w:val="16"/>
                <w:szCs w:val="16"/>
                <w:lang w:val="uk-UA"/>
              </w:rPr>
              <w:t xml:space="preserve"> </w:t>
            </w:r>
            <w:proofErr w:type="spellStart"/>
            <w:r w:rsidRPr="008B6F00">
              <w:rPr>
                <w:rFonts w:ascii="Times New Roman" w:hAnsi="Times New Roman" w:cs="Times New Roman"/>
                <w:color w:val="000000"/>
                <w:sz w:val="16"/>
                <w:szCs w:val="16"/>
                <w:lang w:val="uk-UA"/>
              </w:rPr>
              <w:t>the</w:t>
            </w:r>
            <w:proofErr w:type="spellEnd"/>
            <w:r w:rsidRPr="008B6F00">
              <w:rPr>
                <w:rFonts w:ascii="Times New Roman" w:hAnsi="Times New Roman" w:cs="Times New Roman"/>
                <w:color w:val="000000"/>
                <w:sz w:val="16"/>
                <w:szCs w:val="16"/>
                <w:lang w:val="uk-UA"/>
              </w:rPr>
              <w:t xml:space="preserve"> </w:t>
            </w:r>
            <w:proofErr w:type="spellStart"/>
            <w:r w:rsidRPr="008B6F00">
              <w:rPr>
                <w:rFonts w:ascii="Times New Roman" w:hAnsi="Times New Roman" w:cs="Times New Roman"/>
                <w:color w:val="000000"/>
                <w:sz w:val="16"/>
                <w:szCs w:val="16"/>
                <w:lang w:val="uk-UA"/>
              </w:rPr>
              <w:t>owners</w:t>
            </w:r>
            <w:proofErr w:type="spellEnd"/>
            <w:r w:rsidRPr="008B6F00">
              <w:rPr>
                <w:rFonts w:ascii="Times New Roman" w:hAnsi="Times New Roman" w:cs="Times New Roman"/>
                <w:color w:val="000000"/>
                <w:sz w:val="16"/>
                <w:szCs w:val="16"/>
                <w:lang w:val="uk-UA"/>
              </w:rPr>
              <w:t xml:space="preserve"> </w:t>
            </w:r>
            <w:proofErr w:type="spellStart"/>
            <w:r w:rsidRPr="008B6F00">
              <w:rPr>
                <w:rFonts w:ascii="Times New Roman" w:hAnsi="Times New Roman" w:cs="Times New Roman"/>
                <w:color w:val="000000"/>
                <w:sz w:val="16"/>
                <w:szCs w:val="16"/>
                <w:lang w:val="uk-UA"/>
              </w:rPr>
              <w:t>of</w:t>
            </w:r>
            <w:proofErr w:type="spellEnd"/>
            <w:r w:rsidRPr="008B6F00">
              <w:rPr>
                <w:rFonts w:ascii="Times New Roman" w:hAnsi="Times New Roman" w:cs="Times New Roman"/>
                <w:color w:val="000000"/>
                <w:sz w:val="16"/>
                <w:szCs w:val="16"/>
                <w:lang w:val="uk-UA"/>
              </w:rPr>
              <w:t xml:space="preserve"> </w:t>
            </w:r>
            <w:proofErr w:type="spellStart"/>
            <w:r w:rsidRPr="008B6F00">
              <w:rPr>
                <w:rFonts w:ascii="Times New Roman" w:hAnsi="Times New Roman" w:cs="Times New Roman"/>
                <w:color w:val="000000"/>
                <w:sz w:val="16"/>
                <w:szCs w:val="16"/>
                <w:lang w:val="uk-UA"/>
              </w:rPr>
              <w:t>securities</w:t>
            </w:r>
            <w:proofErr w:type="spellEnd"/>
            <w:r w:rsidRPr="008B6F00">
              <w:rPr>
                <w:rFonts w:ascii="Times New Roman" w:hAnsi="Times New Roman" w:cs="Times New Roman"/>
                <w:color w:val="000000"/>
                <w:sz w:val="16"/>
                <w:szCs w:val="16"/>
                <w:lang w:val="uk-UA"/>
              </w:rPr>
              <w:t xml:space="preserve">, </w:t>
            </w:r>
            <w:proofErr w:type="spellStart"/>
            <w:r w:rsidRPr="008B6F00">
              <w:rPr>
                <w:rFonts w:ascii="Times New Roman" w:hAnsi="Times New Roman" w:cs="Times New Roman"/>
                <w:color w:val="000000"/>
                <w:sz w:val="16"/>
                <w:szCs w:val="16"/>
                <w:lang w:val="uk-UA"/>
              </w:rPr>
              <w:t>and</w:t>
            </w:r>
            <w:proofErr w:type="spellEnd"/>
            <w:r w:rsidRPr="008B6F00">
              <w:rPr>
                <w:rFonts w:ascii="Times New Roman" w:hAnsi="Times New Roman" w:cs="Times New Roman"/>
                <w:color w:val="000000"/>
                <w:sz w:val="16"/>
                <w:szCs w:val="16"/>
                <w:lang w:val="uk-UA"/>
              </w:rPr>
              <w:t xml:space="preserve"> / </w:t>
            </w:r>
            <w:proofErr w:type="spellStart"/>
            <w:r w:rsidRPr="008B6F00">
              <w:rPr>
                <w:rFonts w:ascii="Times New Roman" w:hAnsi="Times New Roman" w:cs="Times New Roman"/>
                <w:color w:val="000000"/>
                <w:sz w:val="16"/>
                <w:szCs w:val="16"/>
                <w:lang w:val="uk-UA"/>
              </w:rPr>
              <w:t>or</w:t>
            </w:r>
            <w:proofErr w:type="spellEnd"/>
            <w:r w:rsidRPr="008B6F00">
              <w:rPr>
                <w:rFonts w:ascii="Times New Roman" w:hAnsi="Times New Roman" w:cs="Times New Roman"/>
                <w:color w:val="000000"/>
                <w:sz w:val="16"/>
                <w:szCs w:val="16"/>
                <w:lang w:val="uk-UA"/>
              </w:rPr>
              <w:t xml:space="preserve"> </w:t>
            </w:r>
            <w:proofErr w:type="spellStart"/>
            <w:r w:rsidRPr="008B6F00">
              <w:rPr>
                <w:rFonts w:ascii="Times New Roman" w:hAnsi="Times New Roman" w:cs="Times New Roman"/>
                <w:color w:val="000000"/>
                <w:sz w:val="16"/>
                <w:szCs w:val="16"/>
                <w:lang w:val="uk-UA"/>
              </w:rPr>
              <w:t>their</w:t>
            </w:r>
            <w:proofErr w:type="spellEnd"/>
            <w:r w:rsidRPr="008B6F00">
              <w:rPr>
                <w:rFonts w:ascii="Times New Roman" w:hAnsi="Times New Roman" w:cs="Times New Roman"/>
                <w:color w:val="000000"/>
                <w:sz w:val="16"/>
                <w:szCs w:val="16"/>
                <w:lang w:val="uk-UA"/>
              </w:rPr>
              <w:t xml:space="preserve"> </w:t>
            </w:r>
            <w:proofErr w:type="spellStart"/>
            <w:r w:rsidRPr="008B6F00">
              <w:rPr>
                <w:rFonts w:ascii="Times New Roman" w:hAnsi="Times New Roman" w:cs="Times New Roman"/>
                <w:color w:val="000000"/>
                <w:sz w:val="16"/>
                <w:szCs w:val="16"/>
                <w:lang w:val="uk-UA"/>
              </w:rPr>
              <w:t>securities</w:t>
            </w:r>
            <w:proofErr w:type="spellEnd"/>
            <w:r w:rsidRPr="008B6F00">
              <w:rPr>
                <w:rFonts w:ascii="Times New Roman" w:hAnsi="Times New Roman" w:cs="Times New Roman"/>
                <w:color w:val="000000"/>
                <w:sz w:val="16"/>
                <w:szCs w:val="16"/>
                <w:lang w:val="uk-UA"/>
              </w:rPr>
              <w:t xml:space="preserve">, </w:t>
            </w:r>
            <w:proofErr w:type="spellStart"/>
            <w:r w:rsidRPr="008B6F00">
              <w:rPr>
                <w:rFonts w:ascii="Times New Roman" w:hAnsi="Times New Roman" w:cs="Times New Roman"/>
                <w:color w:val="000000"/>
                <w:sz w:val="16"/>
                <w:szCs w:val="16"/>
                <w:lang w:val="uk-UA"/>
              </w:rPr>
              <w:t>and</w:t>
            </w:r>
            <w:proofErr w:type="spellEnd"/>
            <w:r w:rsidRPr="008B6F00">
              <w:rPr>
                <w:rFonts w:ascii="Times New Roman" w:hAnsi="Times New Roman" w:cs="Times New Roman"/>
                <w:color w:val="000000"/>
                <w:sz w:val="16"/>
                <w:szCs w:val="16"/>
                <w:lang w:val="uk-UA"/>
              </w:rPr>
              <w:t xml:space="preserve"> / </w:t>
            </w:r>
            <w:proofErr w:type="spellStart"/>
            <w:r w:rsidRPr="008B6F00">
              <w:rPr>
                <w:rFonts w:ascii="Times New Roman" w:hAnsi="Times New Roman" w:cs="Times New Roman"/>
                <w:color w:val="000000"/>
                <w:sz w:val="16"/>
                <w:szCs w:val="16"/>
                <w:lang w:val="uk-UA"/>
              </w:rPr>
              <w:t>or</w:t>
            </w:r>
            <w:proofErr w:type="spellEnd"/>
            <w:r w:rsidRPr="008B6F00">
              <w:rPr>
                <w:rFonts w:ascii="Times New Roman" w:hAnsi="Times New Roman" w:cs="Times New Roman"/>
                <w:color w:val="000000"/>
                <w:sz w:val="16"/>
                <w:szCs w:val="16"/>
                <w:lang w:val="uk-UA"/>
              </w:rPr>
              <w:t xml:space="preserve"> </w:t>
            </w:r>
            <w:proofErr w:type="spellStart"/>
            <w:r w:rsidRPr="008B6F00">
              <w:rPr>
                <w:rFonts w:ascii="Times New Roman" w:hAnsi="Times New Roman" w:cs="Times New Roman"/>
                <w:color w:val="000000"/>
                <w:sz w:val="16"/>
                <w:szCs w:val="16"/>
                <w:lang w:val="uk-UA"/>
              </w:rPr>
              <w:lastRenderedPageBreak/>
              <w:t>transactions</w:t>
            </w:r>
            <w:proofErr w:type="spellEnd"/>
            <w:r w:rsidRPr="008B6F00">
              <w:rPr>
                <w:rFonts w:ascii="Times New Roman" w:hAnsi="Times New Roman" w:cs="Times New Roman"/>
                <w:color w:val="000000"/>
                <w:sz w:val="16"/>
                <w:szCs w:val="16"/>
                <w:lang w:val="uk-UA"/>
              </w:rPr>
              <w:t xml:space="preserve"> </w:t>
            </w:r>
            <w:proofErr w:type="spellStart"/>
            <w:r w:rsidRPr="008B6F00">
              <w:rPr>
                <w:rFonts w:ascii="Times New Roman" w:hAnsi="Times New Roman" w:cs="Times New Roman"/>
                <w:color w:val="000000"/>
                <w:sz w:val="16"/>
                <w:szCs w:val="16"/>
                <w:lang w:val="uk-UA"/>
              </w:rPr>
              <w:t>with</w:t>
            </w:r>
            <w:proofErr w:type="spellEnd"/>
            <w:r w:rsidRPr="008B6F00">
              <w:rPr>
                <w:rFonts w:ascii="Times New Roman" w:hAnsi="Times New Roman" w:cs="Times New Roman"/>
                <w:color w:val="000000"/>
                <w:sz w:val="16"/>
                <w:szCs w:val="16"/>
                <w:lang w:val="uk-UA"/>
              </w:rPr>
              <w:t xml:space="preserve"> </w:t>
            </w:r>
            <w:proofErr w:type="spellStart"/>
            <w:r w:rsidRPr="008B6F00">
              <w:rPr>
                <w:rFonts w:ascii="Times New Roman" w:hAnsi="Times New Roman" w:cs="Times New Roman"/>
                <w:color w:val="000000"/>
                <w:sz w:val="16"/>
                <w:szCs w:val="16"/>
                <w:lang w:val="uk-UA"/>
              </w:rPr>
              <w:t>securities</w:t>
            </w:r>
            <w:proofErr w:type="spellEnd"/>
            <w:r w:rsidRPr="008B6F00">
              <w:rPr>
                <w:rFonts w:ascii="Times New Roman" w:hAnsi="Times New Roman" w:cs="Times New Roman"/>
                <w:color w:val="000000"/>
                <w:sz w:val="16"/>
                <w:szCs w:val="16"/>
                <w:lang w:val="uk-UA"/>
              </w:rPr>
              <w:t xml:space="preserve">, </w:t>
            </w:r>
            <w:proofErr w:type="spellStart"/>
            <w:r w:rsidRPr="008B6F00">
              <w:rPr>
                <w:rFonts w:ascii="Times New Roman" w:hAnsi="Times New Roman" w:cs="Times New Roman"/>
                <w:color w:val="000000"/>
                <w:sz w:val="16"/>
                <w:szCs w:val="16"/>
                <w:lang w:val="uk-UA"/>
              </w:rPr>
              <w:t>the</w:t>
            </w:r>
            <w:proofErr w:type="spellEnd"/>
            <w:r w:rsidRPr="008B6F00">
              <w:rPr>
                <w:rFonts w:ascii="Times New Roman" w:hAnsi="Times New Roman" w:cs="Times New Roman"/>
                <w:color w:val="000000"/>
                <w:sz w:val="16"/>
                <w:szCs w:val="16"/>
                <w:lang w:val="uk-UA"/>
              </w:rPr>
              <w:t xml:space="preserve"> </w:t>
            </w:r>
            <w:proofErr w:type="spellStart"/>
            <w:r w:rsidRPr="008B6F00">
              <w:rPr>
                <w:rFonts w:ascii="Times New Roman" w:hAnsi="Times New Roman" w:cs="Times New Roman"/>
                <w:color w:val="000000"/>
                <w:sz w:val="16"/>
                <w:szCs w:val="16"/>
                <w:lang w:val="uk-UA"/>
              </w:rPr>
              <w:t>rights</w:t>
            </w:r>
            <w:proofErr w:type="spellEnd"/>
            <w:r w:rsidRPr="008B6F00">
              <w:rPr>
                <w:rFonts w:ascii="Times New Roman" w:hAnsi="Times New Roman" w:cs="Times New Roman"/>
                <w:color w:val="000000"/>
                <w:sz w:val="16"/>
                <w:szCs w:val="16"/>
                <w:lang w:val="uk-UA"/>
              </w:rPr>
              <w:t xml:space="preserve"> </w:t>
            </w:r>
            <w:proofErr w:type="spellStart"/>
            <w:r w:rsidRPr="008B6F00">
              <w:rPr>
                <w:rFonts w:ascii="Times New Roman" w:hAnsi="Times New Roman" w:cs="Times New Roman"/>
                <w:color w:val="000000"/>
                <w:sz w:val="16"/>
                <w:szCs w:val="16"/>
                <w:lang w:val="uk-UA"/>
              </w:rPr>
              <w:t>to</w:t>
            </w:r>
            <w:proofErr w:type="spellEnd"/>
            <w:r w:rsidRPr="008B6F00">
              <w:rPr>
                <w:rFonts w:ascii="Times New Roman" w:hAnsi="Times New Roman" w:cs="Times New Roman"/>
                <w:color w:val="000000"/>
                <w:sz w:val="16"/>
                <w:szCs w:val="16"/>
                <w:lang w:val="uk-UA"/>
              </w:rPr>
              <w:t xml:space="preserve"> </w:t>
            </w:r>
            <w:proofErr w:type="spellStart"/>
            <w:r w:rsidRPr="008B6F00">
              <w:rPr>
                <w:rFonts w:ascii="Times New Roman" w:hAnsi="Times New Roman" w:cs="Times New Roman"/>
                <w:color w:val="000000"/>
                <w:sz w:val="16"/>
                <w:szCs w:val="16"/>
                <w:lang w:val="uk-UA"/>
              </w:rPr>
              <w:t>which</w:t>
            </w:r>
            <w:proofErr w:type="spellEnd"/>
            <w:r w:rsidRPr="008B6F00">
              <w:rPr>
                <w:rFonts w:ascii="Times New Roman" w:hAnsi="Times New Roman" w:cs="Times New Roman"/>
                <w:color w:val="000000"/>
                <w:sz w:val="16"/>
                <w:szCs w:val="16"/>
                <w:lang w:val="uk-UA"/>
              </w:rPr>
              <w:t xml:space="preserve"> </w:t>
            </w:r>
            <w:proofErr w:type="spellStart"/>
            <w:r w:rsidRPr="008B6F00">
              <w:rPr>
                <w:rFonts w:ascii="Times New Roman" w:hAnsi="Times New Roman" w:cs="Times New Roman"/>
                <w:color w:val="000000"/>
                <w:sz w:val="16"/>
                <w:szCs w:val="16"/>
                <w:lang w:val="uk-UA"/>
              </w:rPr>
              <w:t>are</w:t>
            </w:r>
            <w:proofErr w:type="spellEnd"/>
            <w:r w:rsidRPr="008B6F00">
              <w:rPr>
                <w:rFonts w:ascii="Times New Roman" w:hAnsi="Times New Roman" w:cs="Times New Roman"/>
                <w:color w:val="000000"/>
                <w:sz w:val="16"/>
                <w:szCs w:val="16"/>
                <w:lang w:val="uk-UA"/>
              </w:rPr>
              <w:t xml:space="preserve"> </w:t>
            </w:r>
            <w:proofErr w:type="spellStart"/>
            <w:r w:rsidRPr="008B6F00">
              <w:rPr>
                <w:rFonts w:ascii="Times New Roman" w:hAnsi="Times New Roman" w:cs="Times New Roman"/>
                <w:color w:val="000000"/>
                <w:sz w:val="16"/>
                <w:szCs w:val="16"/>
                <w:lang w:val="uk-UA"/>
              </w:rPr>
              <w:t>recorded</w:t>
            </w:r>
            <w:proofErr w:type="spellEnd"/>
            <w:r w:rsidRPr="008B6F00">
              <w:rPr>
                <w:rFonts w:ascii="Times New Roman" w:hAnsi="Times New Roman" w:cs="Times New Roman"/>
                <w:color w:val="000000"/>
                <w:sz w:val="16"/>
                <w:szCs w:val="16"/>
                <w:lang w:val="uk-UA"/>
              </w:rPr>
              <w:t xml:space="preserve"> </w:t>
            </w:r>
            <w:proofErr w:type="spellStart"/>
            <w:r w:rsidRPr="008B6F00">
              <w:rPr>
                <w:rFonts w:ascii="Times New Roman" w:hAnsi="Times New Roman" w:cs="Times New Roman"/>
                <w:color w:val="000000"/>
                <w:sz w:val="16"/>
                <w:szCs w:val="16"/>
                <w:lang w:val="uk-UA"/>
              </w:rPr>
              <w:t>in</w:t>
            </w:r>
            <w:proofErr w:type="spellEnd"/>
            <w:r w:rsidRPr="008B6F00">
              <w:rPr>
                <w:rFonts w:ascii="Times New Roman" w:hAnsi="Times New Roman" w:cs="Times New Roman"/>
                <w:color w:val="000000"/>
                <w:sz w:val="16"/>
                <w:szCs w:val="16"/>
                <w:lang w:val="uk-UA"/>
              </w:rPr>
              <w:t xml:space="preserve"> </w:t>
            </w:r>
            <w:proofErr w:type="spellStart"/>
            <w:r w:rsidRPr="008B6F00">
              <w:rPr>
                <w:rFonts w:ascii="Times New Roman" w:hAnsi="Times New Roman" w:cs="Times New Roman"/>
                <w:color w:val="000000"/>
                <w:sz w:val="16"/>
                <w:szCs w:val="16"/>
                <w:lang w:val="uk-UA"/>
              </w:rPr>
              <w:t>the</w:t>
            </w:r>
            <w:proofErr w:type="spellEnd"/>
            <w:r w:rsidRPr="008B6F00">
              <w:rPr>
                <w:rFonts w:ascii="Times New Roman" w:hAnsi="Times New Roman" w:cs="Times New Roman"/>
                <w:color w:val="000000"/>
                <w:sz w:val="16"/>
                <w:szCs w:val="16"/>
                <w:lang w:val="uk-UA"/>
              </w:rPr>
              <w:t xml:space="preserve"> </w:t>
            </w:r>
            <w:proofErr w:type="spellStart"/>
            <w:r w:rsidRPr="008B6F00">
              <w:rPr>
                <w:rFonts w:ascii="Times New Roman" w:hAnsi="Times New Roman" w:cs="Times New Roman"/>
                <w:color w:val="000000"/>
                <w:sz w:val="16"/>
                <w:szCs w:val="16"/>
                <w:lang w:val="uk-UA"/>
              </w:rPr>
              <w:t>account</w:t>
            </w:r>
            <w:proofErr w:type="spellEnd"/>
            <w:r w:rsidRPr="008B6F00">
              <w:rPr>
                <w:rFonts w:ascii="Times New Roman" w:hAnsi="Times New Roman" w:cs="Times New Roman"/>
                <w:color w:val="000000"/>
                <w:sz w:val="16"/>
                <w:szCs w:val="16"/>
                <w:lang w:val="uk-UA"/>
              </w:rPr>
              <w:t xml:space="preserve"> </w:t>
            </w:r>
            <w:proofErr w:type="spellStart"/>
            <w:r w:rsidRPr="008B6F00">
              <w:rPr>
                <w:rFonts w:ascii="Times New Roman" w:hAnsi="Times New Roman" w:cs="Times New Roman"/>
                <w:color w:val="000000"/>
                <w:sz w:val="16"/>
                <w:szCs w:val="16"/>
                <w:lang w:val="uk-UA"/>
              </w:rPr>
              <w:t>of</w:t>
            </w:r>
            <w:proofErr w:type="spellEnd"/>
            <w:r w:rsidRPr="008B6F00">
              <w:rPr>
                <w:rFonts w:ascii="Times New Roman" w:hAnsi="Times New Roman" w:cs="Times New Roman"/>
                <w:color w:val="000000"/>
                <w:sz w:val="16"/>
                <w:szCs w:val="16"/>
                <w:lang w:val="uk-UA"/>
              </w:rPr>
              <w:t xml:space="preserve"> </w:t>
            </w:r>
            <w:proofErr w:type="spellStart"/>
            <w:r w:rsidRPr="008B6F00">
              <w:rPr>
                <w:rFonts w:ascii="Times New Roman" w:hAnsi="Times New Roman" w:cs="Times New Roman"/>
                <w:color w:val="000000"/>
                <w:sz w:val="16"/>
                <w:szCs w:val="16"/>
                <w:lang w:val="uk-UA"/>
              </w:rPr>
              <w:t>the</w:t>
            </w:r>
            <w:proofErr w:type="spellEnd"/>
            <w:r w:rsidRPr="008B6F00">
              <w:rPr>
                <w:rFonts w:ascii="Times New Roman" w:hAnsi="Times New Roman" w:cs="Times New Roman"/>
                <w:color w:val="000000"/>
                <w:sz w:val="16"/>
                <w:szCs w:val="16"/>
                <w:lang w:val="uk-UA"/>
              </w:rPr>
              <w:t xml:space="preserve"> </w:t>
            </w:r>
            <w:proofErr w:type="spellStart"/>
            <w:r w:rsidRPr="008B6F00">
              <w:rPr>
                <w:rFonts w:ascii="Times New Roman" w:hAnsi="Times New Roman" w:cs="Times New Roman"/>
                <w:color w:val="000000"/>
                <w:sz w:val="16"/>
                <w:szCs w:val="16"/>
                <w:lang w:val="uk-UA"/>
              </w:rPr>
              <w:t>nominal</w:t>
            </w:r>
            <w:proofErr w:type="spellEnd"/>
            <w:r w:rsidRPr="008B6F00">
              <w:rPr>
                <w:rFonts w:ascii="Times New Roman" w:hAnsi="Times New Roman" w:cs="Times New Roman"/>
                <w:color w:val="000000"/>
                <w:sz w:val="16"/>
                <w:szCs w:val="16"/>
                <w:lang w:val="uk-UA"/>
              </w:rPr>
              <w:t xml:space="preserve"> </w:t>
            </w:r>
            <w:proofErr w:type="spellStart"/>
            <w:r w:rsidRPr="008B6F00">
              <w:rPr>
                <w:rFonts w:ascii="Times New Roman" w:hAnsi="Times New Roman" w:cs="Times New Roman"/>
                <w:color w:val="000000"/>
                <w:sz w:val="16"/>
                <w:szCs w:val="16"/>
                <w:lang w:val="uk-UA"/>
              </w:rPr>
              <w:t>holder</w:t>
            </w:r>
            <w:proofErr w:type="spellEnd"/>
            <w:r w:rsidRPr="008B6F00">
              <w:rPr>
                <w:rFonts w:ascii="Times New Roman" w:hAnsi="Times New Roman" w:cs="Times New Roman"/>
                <w:color w:val="000000"/>
                <w:sz w:val="16"/>
                <w:szCs w:val="16"/>
                <w:lang w:val="uk-UA"/>
              </w:rPr>
              <w:t xml:space="preserve">) </w:t>
            </w:r>
            <w:proofErr w:type="spellStart"/>
            <w:r w:rsidRPr="008B6F00">
              <w:rPr>
                <w:rFonts w:ascii="Times New Roman" w:hAnsi="Times New Roman" w:cs="Times New Roman"/>
                <w:color w:val="000000"/>
                <w:sz w:val="16"/>
                <w:szCs w:val="16"/>
                <w:lang w:val="uk-UA"/>
              </w:rPr>
              <w:t>within</w:t>
            </w:r>
            <w:proofErr w:type="spellEnd"/>
            <w:r w:rsidRPr="008B6F00">
              <w:rPr>
                <w:rFonts w:ascii="Times New Roman" w:hAnsi="Times New Roman" w:cs="Times New Roman"/>
                <w:color w:val="000000"/>
                <w:sz w:val="16"/>
                <w:szCs w:val="16"/>
                <w:lang w:val="uk-UA"/>
              </w:rPr>
              <w:t xml:space="preserve"> </w:t>
            </w:r>
            <w:proofErr w:type="spellStart"/>
            <w:r w:rsidRPr="008B6F00">
              <w:rPr>
                <w:rFonts w:ascii="Times New Roman" w:hAnsi="Times New Roman" w:cs="Times New Roman"/>
                <w:color w:val="000000"/>
                <w:sz w:val="16"/>
                <w:szCs w:val="16"/>
                <w:lang w:val="uk-UA"/>
              </w:rPr>
              <w:t>the</w:t>
            </w:r>
            <w:proofErr w:type="spellEnd"/>
            <w:r w:rsidRPr="008B6F00">
              <w:rPr>
                <w:rFonts w:ascii="Times New Roman" w:hAnsi="Times New Roman" w:cs="Times New Roman"/>
                <w:color w:val="000000"/>
                <w:sz w:val="16"/>
                <w:szCs w:val="16"/>
                <w:lang w:val="uk-UA"/>
              </w:rPr>
              <w:t xml:space="preserve"> </w:t>
            </w:r>
            <w:proofErr w:type="spellStart"/>
            <w:r w:rsidRPr="008B6F00">
              <w:rPr>
                <w:rFonts w:ascii="Times New Roman" w:hAnsi="Times New Roman" w:cs="Times New Roman"/>
                <w:color w:val="000000"/>
                <w:sz w:val="16"/>
                <w:szCs w:val="16"/>
                <w:lang w:val="uk-UA"/>
              </w:rPr>
              <w:t>next</w:t>
            </w:r>
            <w:proofErr w:type="spellEnd"/>
            <w:r w:rsidRPr="008B6F00">
              <w:rPr>
                <w:rFonts w:ascii="Times New Roman" w:hAnsi="Times New Roman" w:cs="Times New Roman"/>
                <w:color w:val="000000"/>
                <w:sz w:val="16"/>
                <w:szCs w:val="16"/>
                <w:lang w:val="uk-UA"/>
              </w:rPr>
              <w:t xml:space="preserve"> </w:t>
            </w:r>
            <w:proofErr w:type="spellStart"/>
            <w:r w:rsidRPr="008B6F00">
              <w:rPr>
                <w:rFonts w:ascii="Times New Roman" w:hAnsi="Times New Roman" w:cs="Times New Roman"/>
                <w:color w:val="000000"/>
                <w:sz w:val="16"/>
                <w:szCs w:val="16"/>
                <w:lang w:val="uk-UA"/>
              </w:rPr>
              <w:t>business</w:t>
            </w:r>
            <w:proofErr w:type="spellEnd"/>
            <w:r w:rsidRPr="008B6F00">
              <w:rPr>
                <w:rFonts w:ascii="Times New Roman" w:hAnsi="Times New Roman" w:cs="Times New Roman"/>
                <w:color w:val="000000"/>
                <w:sz w:val="16"/>
                <w:szCs w:val="16"/>
                <w:lang w:val="uk-UA"/>
              </w:rPr>
              <w:t xml:space="preserve"> </w:t>
            </w:r>
            <w:proofErr w:type="spellStart"/>
            <w:r w:rsidRPr="008B6F00">
              <w:rPr>
                <w:rFonts w:ascii="Times New Roman" w:hAnsi="Times New Roman" w:cs="Times New Roman"/>
                <w:color w:val="000000"/>
                <w:sz w:val="16"/>
                <w:szCs w:val="16"/>
                <w:lang w:val="uk-UA"/>
              </w:rPr>
              <w:t>day</w:t>
            </w:r>
            <w:proofErr w:type="spellEnd"/>
            <w:r w:rsidRPr="008B6F00">
              <w:rPr>
                <w:rFonts w:ascii="Times New Roman" w:hAnsi="Times New Roman" w:cs="Times New Roman"/>
                <w:color w:val="000000"/>
                <w:sz w:val="16"/>
                <w:szCs w:val="16"/>
                <w:lang w:val="uk-UA"/>
              </w:rPr>
              <w:t xml:space="preserve"> </w:t>
            </w:r>
            <w:proofErr w:type="spellStart"/>
            <w:r w:rsidRPr="008B6F00">
              <w:rPr>
                <w:rFonts w:ascii="Times New Roman" w:hAnsi="Times New Roman" w:cs="Times New Roman"/>
                <w:color w:val="000000"/>
                <w:sz w:val="16"/>
                <w:szCs w:val="16"/>
                <w:lang w:val="uk-UA"/>
              </w:rPr>
              <w:t>after</w:t>
            </w:r>
            <w:proofErr w:type="spellEnd"/>
            <w:r w:rsidRPr="008B6F00">
              <w:rPr>
                <w:rFonts w:ascii="Times New Roman" w:hAnsi="Times New Roman" w:cs="Times New Roman"/>
                <w:color w:val="000000"/>
                <w:sz w:val="16"/>
                <w:szCs w:val="16"/>
                <w:lang w:val="uk-UA"/>
              </w:rPr>
              <w:t xml:space="preserve"> </w:t>
            </w:r>
            <w:proofErr w:type="spellStart"/>
            <w:r w:rsidRPr="008B6F00">
              <w:rPr>
                <w:rFonts w:ascii="Times New Roman" w:hAnsi="Times New Roman" w:cs="Times New Roman"/>
                <w:color w:val="000000"/>
                <w:sz w:val="16"/>
                <w:szCs w:val="16"/>
                <w:lang w:val="uk-UA"/>
              </w:rPr>
              <w:t>receiving</w:t>
            </w:r>
            <w:proofErr w:type="spellEnd"/>
            <w:r w:rsidRPr="008B6F00">
              <w:rPr>
                <w:rFonts w:ascii="Times New Roman" w:hAnsi="Times New Roman" w:cs="Times New Roman"/>
                <w:color w:val="000000"/>
                <w:sz w:val="16"/>
                <w:szCs w:val="16"/>
                <w:lang w:val="uk-UA"/>
              </w:rPr>
              <w:t xml:space="preserve"> </w:t>
            </w:r>
            <w:proofErr w:type="spellStart"/>
            <w:r w:rsidRPr="008B6F00">
              <w:rPr>
                <w:rFonts w:ascii="Times New Roman" w:hAnsi="Times New Roman" w:cs="Times New Roman"/>
                <w:color w:val="000000"/>
                <w:sz w:val="16"/>
                <w:szCs w:val="16"/>
                <w:lang w:val="uk-UA"/>
              </w:rPr>
              <w:t>such</w:t>
            </w:r>
            <w:proofErr w:type="spellEnd"/>
            <w:r w:rsidRPr="008B6F00">
              <w:rPr>
                <w:rFonts w:ascii="Times New Roman" w:hAnsi="Times New Roman" w:cs="Times New Roman"/>
                <w:color w:val="000000"/>
                <w:sz w:val="16"/>
                <w:szCs w:val="16"/>
                <w:lang w:val="uk-UA"/>
              </w:rPr>
              <w:t xml:space="preserve"> </w:t>
            </w:r>
            <w:proofErr w:type="spellStart"/>
            <w:r w:rsidRPr="008B6F00">
              <w:rPr>
                <w:rFonts w:ascii="Times New Roman" w:hAnsi="Times New Roman" w:cs="Times New Roman"/>
                <w:color w:val="000000"/>
                <w:sz w:val="16"/>
                <w:szCs w:val="16"/>
                <w:lang w:val="uk-UA"/>
              </w:rPr>
              <w:t>request</w:t>
            </w:r>
            <w:proofErr w:type="spellEnd"/>
            <w:r w:rsidRPr="008B6F00">
              <w:rPr>
                <w:rFonts w:ascii="Times New Roman" w:hAnsi="Times New Roman" w:cs="Times New Roman"/>
                <w:color w:val="000000"/>
                <w:sz w:val="16"/>
                <w:szCs w:val="16"/>
                <w:lang w:val="uk-UA"/>
              </w:rPr>
              <w:t xml:space="preserve"> </w:t>
            </w:r>
            <w:proofErr w:type="spellStart"/>
            <w:r w:rsidRPr="008B6F00">
              <w:rPr>
                <w:rFonts w:ascii="Times New Roman" w:hAnsi="Times New Roman" w:cs="Times New Roman"/>
                <w:color w:val="000000"/>
                <w:sz w:val="16"/>
                <w:szCs w:val="16"/>
                <w:lang w:val="uk-UA"/>
              </w:rPr>
              <w:t>to</w:t>
            </w:r>
            <w:proofErr w:type="spellEnd"/>
            <w:r w:rsidRPr="008B6F00">
              <w:rPr>
                <w:rFonts w:ascii="Times New Roman" w:hAnsi="Times New Roman" w:cs="Times New Roman"/>
                <w:color w:val="000000"/>
                <w:sz w:val="16"/>
                <w:szCs w:val="16"/>
                <w:lang w:val="uk-UA"/>
              </w:rPr>
              <w:t xml:space="preserve"> </w:t>
            </w:r>
            <w:proofErr w:type="spellStart"/>
            <w:r w:rsidRPr="008B6F00">
              <w:rPr>
                <w:rFonts w:ascii="Times New Roman" w:hAnsi="Times New Roman" w:cs="Times New Roman"/>
                <w:color w:val="000000"/>
                <w:sz w:val="16"/>
                <w:szCs w:val="16"/>
                <w:lang w:val="uk-UA"/>
              </w:rPr>
              <w:t>notify</w:t>
            </w:r>
            <w:proofErr w:type="spellEnd"/>
            <w:r w:rsidRPr="008B6F00">
              <w:rPr>
                <w:rFonts w:ascii="Times New Roman" w:hAnsi="Times New Roman" w:cs="Times New Roman"/>
                <w:color w:val="000000"/>
                <w:sz w:val="16"/>
                <w:szCs w:val="16"/>
                <w:lang w:val="uk-UA"/>
              </w:rPr>
              <w:t xml:space="preserve"> </w:t>
            </w:r>
            <w:proofErr w:type="spellStart"/>
            <w:r w:rsidRPr="008B6F00">
              <w:rPr>
                <w:rFonts w:ascii="Times New Roman" w:hAnsi="Times New Roman" w:cs="Times New Roman"/>
                <w:color w:val="000000"/>
                <w:sz w:val="16"/>
                <w:szCs w:val="16"/>
                <w:lang w:val="uk-UA"/>
              </w:rPr>
              <w:t>the</w:t>
            </w:r>
            <w:proofErr w:type="spellEnd"/>
            <w:r w:rsidRPr="008B6F00">
              <w:rPr>
                <w:rFonts w:ascii="Times New Roman" w:hAnsi="Times New Roman" w:cs="Times New Roman"/>
                <w:color w:val="000000"/>
                <w:sz w:val="16"/>
                <w:szCs w:val="16"/>
                <w:lang w:val="uk-UA"/>
              </w:rPr>
              <w:t xml:space="preserve"> </w:t>
            </w:r>
            <w:proofErr w:type="spellStart"/>
            <w:r w:rsidRPr="008B6F00">
              <w:rPr>
                <w:rFonts w:ascii="Times New Roman" w:hAnsi="Times New Roman" w:cs="Times New Roman"/>
                <w:color w:val="000000"/>
                <w:sz w:val="16"/>
                <w:szCs w:val="16"/>
                <w:lang w:val="uk-UA"/>
              </w:rPr>
              <w:t>nominal</w:t>
            </w:r>
            <w:proofErr w:type="spellEnd"/>
            <w:r w:rsidRPr="008B6F00">
              <w:rPr>
                <w:rFonts w:ascii="Times New Roman" w:hAnsi="Times New Roman" w:cs="Times New Roman"/>
                <w:color w:val="000000"/>
                <w:sz w:val="16"/>
                <w:szCs w:val="16"/>
                <w:lang w:val="uk-UA"/>
              </w:rPr>
              <w:t xml:space="preserve"> </w:t>
            </w:r>
            <w:proofErr w:type="spellStart"/>
            <w:r w:rsidRPr="008B6F00">
              <w:rPr>
                <w:rFonts w:ascii="Times New Roman" w:hAnsi="Times New Roman" w:cs="Times New Roman"/>
                <w:color w:val="000000"/>
                <w:sz w:val="16"/>
                <w:szCs w:val="16"/>
                <w:lang w:val="uk-UA"/>
              </w:rPr>
              <w:t>holder</w:t>
            </w:r>
            <w:proofErr w:type="spellEnd"/>
            <w:r w:rsidRPr="008B6F00">
              <w:rPr>
                <w:rFonts w:ascii="Times New Roman" w:hAnsi="Times New Roman" w:cs="Times New Roman"/>
                <w:color w:val="000000"/>
                <w:sz w:val="16"/>
                <w:szCs w:val="16"/>
                <w:lang w:val="uk-UA"/>
              </w:rPr>
              <w:t xml:space="preserve"> </w:t>
            </w:r>
            <w:proofErr w:type="spellStart"/>
            <w:r w:rsidRPr="008B6F00">
              <w:rPr>
                <w:rFonts w:ascii="Times New Roman" w:hAnsi="Times New Roman" w:cs="Times New Roman"/>
                <w:color w:val="000000"/>
                <w:sz w:val="16"/>
                <w:szCs w:val="16"/>
                <w:lang w:val="uk-UA"/>
              </w:rPr>
              <w:t>and</w:t>
            </w:r>
            <w:proofErr w:type="spellEnd"/>
            <w:r w:rsidRPr="008B6F00">
              <w:rPr>
                <w:rFonts w:ascii="Times New Roman" w:hAnsi="Times New Roman" w:cs="Times New Roman"/>
                <w:color w:val="000000"/>
                <w:sz w:val="16"/>
                <w:szCs w:val="16"/>
                <w:lang w:val="uk-UA"/>
              </w:rPr>
              <w:t xml:space="preserve"> </w:t>
            </w:r>
            <w:proofErr w:type="spellStart"/>
            <w:r w:rsidRPr="008B6F00">
              <w:rPr>
                <w:rFonts w:ascii="Times New Roman" w:hAnsi="Times New Roman" w:cs="Times New Roman"/>
                <w:color w:val="000000"/>
                <w:sz w:val="16"/>
                <w:szCs w:val="16"/>
                <w:lang w:val="uk-UA"/>
              </w:rPr>
              <w:t>provide</w:t>
            </w:r>
            <w:proofErr w:type="spellEnd"/>
            <w:r w:rsidRPr="008B6F00">
              <w:rPr>
                <w:rFonts w:ascii="Times New Roman" w:hAnsi="Times New Roman" w:cs="Times New Roman"/>
                <w:color w:val="000000"/>
                <w:sz w:val="16"/>
                <w:szCs w:val="16"/>
                <w:lang w:val="uk-UA"/>
              </w:rPr>
              <w:t xml:space="preserve"> a </w:t>
            </w:r>
            <w:proofErr w:type="spellStart"/>
            <w:r w:rsidRPr="008B6F00">
              <w:rPr>
                <w:rFonts w:ascii="Times New Roman" w:hAnsi="Times New Roman" w:cs="Times New Roman"/>
                <w:color w:val="000000"/>
                <w:sz w:val="16"/>
                <w:szCs w:val="16"/>
                <w:lang w:val="uk-UA"/>
              </w:rPr>
              <w:t>copy</w:t>
            </w:r>
            <w:proofErr w:type="spellEnd"/>
            <w:r w:rsidRPr="008B6F00">
              <w:rPr>
                <w:rFonts w:ascii="Times New Roman" w:hAnsi="Times New Roman" w:cs="Times New Roman"/>
                <w:color w:val="000000"/>
                <w:sz w:val="16"/>
                <w:szCs w:val="16"/>
                <w:lang w:val="uk-UA"/>
              </w:rPr>
              <w:t xml:space="preserve"> </w:t>
            </w:r>
            <w:proofErr w:type="spellStart"/>
            <w:r w:rsidRPr="008B6F00">
              <w:rPr>
                <w:rFonts w:ascii="Times New Roman" w:hAnsi="Times New Roman" w:cs="Times New Roman"/>
                <w:color w:val="000000"/>
                <w:sz w:val="16"/>
                <w:szCs w:val="16"/>
                <w:lang w:val="uk-UA"/>
              </w:rPr>
              <w:t>of</w:t>
            </w:r>
            <w:proofErr w:type="spellEnd"/>
            <w:r w:rsidRPr="008B6F00">
              <w:rPr>
                <w:rFonts w:ascii="Times New Roman" w:hAnsi="Times New Roman" w:cs="Times New Roman"/>
                <w:color w:val="000000"/>
                <w:sz w:val="16"/>
                <w:szCs w:val="16"/>
                <w:lang w:val="uk-UA"/>
              </w:rPr>
              <w:t xml:space="preserve"> </w:t>
            </w:r>
            <w:proofErr w:type="spellStart"/>
            <w:r w:rsidRPr="008B6F00">
              <w:rPr>
                <w:rFonts w:ascii="Times New Roman" w:hAnsi="Times New Roman" w:cs="Times New Roman"/>
                <w:color w:val="000000"/>
                <w:sz w:val="16"/>
                <w:szCs w:val="16"/>
                <w:lang w:val="uk-UA"/>
              </w:rPr>
              <w:t>the</w:t>
            </w:r>
            <w:proofErr w:type="spellEnd"/>
            <w:r w:rsidRPr="008B6F00">
              <w:rPr>
                <w:rFonts w:ascii="Times New Roman" w:hAnsi="Times New Roman" w:cs="Times New Roman"/>
                <w:color w:val="000000"/>
                <w:sz w:val="16"/>
                <w:szCs w:val="16"/>
                <w:lang w:val="uk-UA"/>
              </w:rPr>
              <w:t xml:space="preserve"> </w:t>
            </w:r>
            <w:proofErr w:type="spellStart"/>
            <w:r w:rsidRPr="008B6F00">
              <w:rPr>
                <w:rFonts w:ascii="Times New Roman" w:hAnsi="Times New Roman" w:cs="Times New Roman"/>
                <w:color w:val="000000"/>
                <w:sz w:val="16"/>
                <w:szCs w:val="16"/>
                <w:lang w:val="uk-UA"/>
              </w:rPr>
              <w:t>request</w:t>
            </w:r>
            <w:proofErr w:type="spellEnd"/>
            <w:r w:rsidRPr="008B6F00">
              <w:rPr>
                <w:rFonts w:ascii="Times New Roman" w:hAnsi="Times New Roman" w:cs="Times New Roman"/>
                <w:color w:val="000000"/>
                <w:sz w:val="16"/>
                <w:szCs w:val="16"/>
                <w:lang w:val="uk-UA"/>
              </w:rPr>
              <w:t>.</w:t>
            </w:r>
          </w:p>
        </w:tc>
      </w:tr>
      <w:tr w:rsidR="00EB25FE" w:rsidRPr="00F23413" w14:paraId="39F52E47" w14:textId="77777777" w:rsidTr="005E418B">
        <w:tblPrEx>
          <w:tblCellMar>
            <w:left w:w="0" w:type="dxa"/>
            <w:right w:w="0" w:type="dxa"/>
          </w:tblCellMar>
        </w:tblPrEx>
        <w:trPr>
          <w:trHeight w:val="192"/>
        </w:trPr>
        <w:tc>
          <w:tcPr>
            <w:tcW w:w="5695" w:type="dxa"/>
            <w:gridSpan w:val="7"/>
            <w:shd w:val="clear" w:color="auto" w:fill="auto"/>
          </w:tcPr>
          <w:p w14:paraId="5A1FB2E9" w14:textId="77777777" w:rsidR="00EB25FE" w:rsidRPr="00E16672" w:rsidRDefault="00EB25FE" w:rsidP="00535433">
            <w:pPr>
              <w:pStyle w:val="1b"/>
              <w:snapToGrid w:val="0"/>
              <w:spacing w:before="0"/>
              <w:ind w:left="175" w:right="138" w:firstLine="7"/>
              <w:rPr>
                <w:rFonts w:ascii="Times New Roman" w:hAnsi="Times New Roman" w:cs="Times New Roman"/>
                <w:color w:val="000000"/>
                <w:sz w:val="16"/>
                <w:szCs w:val="16"/>
              </w:rPr>
            </w:pPr>
            <w:r w:rsidRPr="00E16672">
              <w:rPr>
                <w:rFonts w:ascii="Times New Roman" w:eastAsia="Times New Roman" w:hAnsi="Times New Roman" w:cs="Times New Roman"/>
                <w:b/>
                <w:color w:val="000000"/>
                <w:sz w:val="16"/>
                <w:szCs w:val="16"/>
              </w:rPr>
              <w:lastRenderedPageBreak/>
              <w:t>2.2. Депозитарна установа має право:</w:t>
            </w:r>
          </w:p>
        </w:tc>
        <w:tc>
          <w:tcPr>
            <w:tcW w:w="5495" w:type="dxa"/>
            <w:gridSpan w:val="8"/>
            <w:shd w:val="clear" w:color="auto" w:fill="auto"/>
          </w:tcPr>
          <w:p w14:paraId="0D1F8304" w14:textId="77777777" w:rsidR="00EB25FE" w:rsidRPr="00E16672" w:rsidRDefault="00EB25FE" w:rsidP="00794B3F">
            <w:pPr>
              <w:tabs>
                <w:tab w:val="left" w:pos="287"/>
              </w:tabs>
              <w:snapToGrid w:val="0"/>
              <w:ind w:left="175" w:right="100" w:firstLine="7"/>
              <w:rPr>
                <w:rFonts w:ascii="Times New Roman" w:hAnsi="Times New Roman"/>
                <w:b/>
                <w:color w:val="000000"/>
                <w:sz w:val="16"/>
                <w:szCs w:val="16"/>
                <w:lang w:val="en-GB"/>
              </w:rPr>
            </w:pPr>
            <w:r w:rsidRPr="00E16672">
              <w:rPr>
                <w:rFonts w:ascii="Times New Roman" w:hAnsi="Times New Roman"/>
                <w:b/>
                <w:color w:val="000000"/>
                <w:sz w:val="16"/>
                <w:szCs w:val="16"/>
                <w:lang w:val="en-GB"/>
              </w:rPr>
              <w:t>2.2. Depository institutions may have rights:</w:t>
            </w:r>
          </w:p>
          <w:p w14:paraId="0CF1F949" w14:textId="77777777" w:rsidR="00EB25FE" w:rsidRPr="00E16672" w:rsidRDefault="00EB25FE" w:rsidP="00C03C07">
            <w:pPr>
              <w:tabs>
                <w:tab w:val="left" w:pos="287"/>
              </w:tabs>
              <w:ind w:left="175" w:right="100" w:firstLine="7"/>
              <w:rPr>
                <w:rFonts w:ascii="Times New Roman" w:hAnsi="Times New Roman"/>
                <w:b/>
                <w:color w:val="000000"/>
                <w:sz w:val="16"/>
                <w:szCs w:val="16"/>
                <w:lang w:val="en-GB"/>
              </w:rPr>
            </w:pPr>
          </w:p>
        </w:tc>
      </w:tr>
      <w:tr w:rsidR="00EB25FE" w:rsidRPr="00F23413" w14:paraId="11639683" w14:textId="77777777" w:rsidTr="005E418B">
        <w:tblPrEx>
          <w:tblCellMar>
            <w:left w:w="0" w:type="dxa"/>
            <w:right w:w="0" w:type="dxa"/>
          </w:tblCellMar>
        </w:tblPrEx>
        <w:trPr>
          <w:trHeight w:val="192"/>
        </w:trPr>
        <w:tc>
          <w:tcPr>
            <w:tcW w:w="5695" w:type="dxa"/>
            <w:gridSpan w:val="7"/>
            <w:shd w:val="clear" w:color="auto" w:fill="auto"/>
          </w:tcPr>
          <w:p w14:paraId="0DFD1B95" w14:textId="77777777" w:rsidR="00EB25FE" w:rsidRPr="00E16672" w:rsidRDefault="00EB25FE" w:rsidP="00794B3F">
            <w:pPr>
              <w:tabs>
                <w:tab w:val="left" w:pos="709"/>
              </w:tabs>
              <w:ind w:left="175" w:firstLine="7"/>
              <w:rPr>
                <w:rFonts w:ascii="Times New Roman" w:hAnsi="Times New Roman"/>
                <w:color w:val="000000"/>
                <w:sz w:val="16"/>
                <w:szCs w:val="16"/>
                <w:lang w:val="uk-UA"/>
              </w:rPr>
            </w:pPr>
            <w:r w:rsidRPr="00E16672">
              <w:rPr>
                <w:rFonts w:ascii="Times New Roman" w:hAnsi="Times New Roman"/>
                <w:color w:val="000000"/>
                <w:sz w:val="16"/>
                <w:szCs w:val="16"/>
                <w:lang w:val="en-US"/>
              </w:rPr>
              <w:t>2.2.</w:t>
            </w:r>
            <w:r w:rsidR="00C03C07" w:rsidRPr="00E16672">
              <w:rPr>
                <w:rFonts w:ascii="Times New Roman" w:hAnsi="Times New Roman"/>
                <w:color w:val="000000"/>
                <w:sz w:val="16"/>
                <w:szCs w:val="16"/>
                <w:lang w:val="en-US"/>
              </w:rPr>
              <w:t>1</w:t>
            </w:r>
            <w:r w:rsidRPr="00E16672">
              <w:rPr>
                <w:rFonts w:ascii="Times New Roman" w:hAnsi="Times New Roman"/>
                <w:color w:val="000000"/>
                <w:sz w:val="16"/>
                <w:szCs w:val="16"/>
                <w:lang w:val="en-US"/>
              </w:rPr>
              <w:t xml:space="preserve">. </w:t>
            </w:r>
            <w:proofErr w:type="spellStart"/>
            <w:r w:rsidR="001350CB" w:rsidRPr="00E16672">
              <w:rPr>
                <w:rFonts w:ascii="Times New Roman" w:hAnsi="Times New Roman"/>
                <w:sz w:val="16"/>
                <w:szCs w:val="16"/>
              </w:rPr>
              <w:t>Надавати</w:t>
            </w:r>
            <w:proofErr w:type="spellEnd"/>
            <w:r w:rsidR="001350CB" w:rsidRPr="00E16672">
              <w:rPr>
                <w:rFonts w:ascii="Times New Roman" w:hAnsi="Times New Roman"/>
                <w:sz w:val="16"/>
                <w:szCs w:val="16"/>
                <w:lang w:val="en-US"/>
              </w:rPr>
              <w:t xml:space="preserve"> </w:t>
            </w:r>
            <w:proofErr w:type="spellStart"/>
            <w:r w:rsidR="001350CB" w:rsidRPr="00E16672">
              <w:rPr>
                <w:rFonts w:ascii="Times New Roman" w:hAnsi="Times New Roman"/>
                <w:sz w:val="16"/>
                <w:szCs w:val="16"/>
              </w:rPr>
              <w:t>номінальному</w:t>
            </w:r>
            <w:proofErr w:type="spellEnd"/>
            <w:r w:rsidR="001350CB" w:rsidRPr="00E16672">
              <w:rPr>
                <w:rFonts w:ascii="Times New Roman" w:hAnsi="Times New Roman"/>
                <w:sz w:val="16"/>
                <w:szCs w:val="16"/>
                <w:lang w:val="en-US"/>
              </w:rPr>
              <w:t xml:space="preserve"> </w:t>
            </w:r>
            <w:proofErr w:type="spellStart"/>
            <w:r w:rsidR="001350CB" w:rsidRPr="00E16672">
              <w:rPr>
                <w:rFonts w:ascii="Times New Roman" w:hAnsi="Times New Roman"/>
                <w:sz w:val="16"/>
                <w:szCs w:val="16"/>
              </w:rPr>
              <w:t>утримувачу</w:t>
            </w:r>
            <w:proofErr w:type="spellEnd"/>
            <w:r w:rsidR="001350CB" w:rsidRPr="00E16672">
              <w:rPr>
                <w:rFonts w:ascii="Times New Roman" w:hAnsi="Times New Roman"/>
                <w:sz w:val="16"/>
                <w:szCs w:val="16"/>
                <w:lang w:val="en-US"/>
              </w:rPr>
              <w:t xml:space="preserve"> </w:t>
            </w:r>
            <w:proofErr w:type="spellStart"/>
            <w:r w:rsidR="001350CB" w:rsidRPr="00E16672">
              <w:rPr>
                <w:rFonts w:ascii="Times New Roman" w:hAnsi="Times New Roman"/>
                <w:sz w:val="16"/>
                <w:szCs w:val="16"/>
              </w:rPr>
              <w:t>додаткові</w:t>
            </w:r>
            <w:proofErr w:type="spellEnd"/>
            <w:r w:rsidR="001350CB" w:rsidRPr="00E16672">
              <w:rPr>
                <w:rFonts w:ascii="Times New Roman" w:hAnsi="Times New Roman"/>
                <w:sz w:val="16"/>
                <w:szCs w:val="16"/>
                <w:lang w:val="en-US"/>
              </w:rPr>
              <w:t xml:space="preserve"> </w:t>
            </w:r>
            <w:proofErr w:type="spellStart"/>
            <w:r w:rsidR="001350CB" w:rsidRPr="00E16672">
              <w:rPr>
                <w:rFonts w:ascii="Times New Roman" w:hAnsi="Times New Roman"/>
                <w:sz w:val="16"/>
                <w:szCs w:val="16"/>
              </w:rPr>
              <w:t>послуги</w:t>
            </w:r>
            <w:proofErr w:type="spellEnd"/>
            <w:r w:rsidR="001350CB" w:rsidRPr="00E16672">
              <w:rPr>
                <w:rFonts w:ascii="Times New Roman" w:hAnsi="Times New Roman"/>
                <w:sz w:val="16"/>
                <w:szCs w:val="16"/>
                <w:lang w:val="en-US"/>
              </w:rPr>
              <w:t xml:space="preserve">, </w:t>
            </w:r>
            <w:proofErr w:type="spellStart"/>
            <w:r w:rsidR="001350CB" w:rsidRPr="00E16672">
              <w:rPr>
                <w:rFonts w:ascii="Times New Roman" w:hAnsi="Times New Roman"/>
                <w:sz w:val="16"/>
                <w:szCs w:val="16"/>
              </w:rPr>
              <w:t>зокрема</w:t>
            </w:r>
            <w:proofErr w:type="spellEnd"/>
            <w:r w:rsidR="001350CB" w:rsidRPr="00E16672">
              <w:rPr>
                <w:rFonts w:ascii="Times New Roman" w:hAnsi="Times New Roman"/>
                <w:sz w:val="16"/>
                <w:szCs w:val="16"/>
                <w:lang w:val="en-US"/>
              </w:rPr>
              <w:t xml:space="preserve"> </w:t>
            </w:r>
            <w:r w:rsidR="001350CB" w:rsidRPr="00E16672">
              <w:rPr>
                <w:rFonts w:ascii="Times New Roman" w:hAnsi="Times New Roman"/>
                <w:sz w:val="16"/>
                <w:szCs w:val="16"/>
              </w:rPr>
              <w:t>з</w:t>
            </w:r>
            <w:r w:rsidR="001350CB" w:rsidRPr="00E16672">
              <w:rPr>
                <w:rFonts w:ascii="Times New Roman" w:hAnsi="Times New Roman"/>
                <w:sz w:val="16"/>
                <w:szCs w:val="16"/>
                <w:lang w:val="en-US"/>
              </w:rPr>
              <w:t xml:space="preserve"> </w:t>
            </w:r>
            <w:proofErr w:type="spellStart"/>
            <w:r w:rsidR="001350CB" w:rsidRPr="00E16672">
              <w:rPr>
                <w:rFonts w:ascii="Times New Roman" w:hAnsi="Times New Roman"/>
                <w:sz w:val="16"/>
                <w:szCs w:val="16"/>
              </w:rPr>
              <w:t>реалізації</w:t>
            </w:r>
            <w:proofErr w:type="spellEnd"/>
            <w:r w:rsidR="001350CB" w:rsidRPr="00E16672">
              <w:rPr>
                <w:rFonts w:ascii="Times New Roman" w:hAnsi="Times New Roman"/>
                <w:sz w:val="16"/>
                <w:szCs w:val="16"/>
                <w:lang w:val="en-US"/>
              </w:rPr>
              <w:t xml:space="preserve"> </w:t>
            </w:r>
            <w:r w:rsidR="001350CB" w:rsidRPr="00E16672">
              <w:rPr>
                <w:rFonts w:ascii="Times New Roman" w:hAnsi="Times New Roman"/>
                <w:sz w:val="16"/>
                <w:szCs w:val="16"/>
              </w:rPr>
              <w:t>прав</w:t>
            </w:r>
            <w:r w:rsidR="001350CB" w:rsidRPr="00E16672">
              <w:rPr>
                <w:rFonts w:ascii="Times New Roman" w:hAnsi="Times New Roman"/>
                <w:sz w:val="16"/>
                <w:szCs w:val="16"/>
                <w:lang w:val="en-US"/>
              </w:rPr>
              <w:t xml:space="preserve"> </w:t>
            </w:r>
            <w:r w:rsidR="001350CB" w:rsidRPr="00E16672">
              <w:rPr>
                <w:rFonts w:ascii="Times New Roman" w:hAnsi="Times New Roman"/>
                <w:sz w:val="16"/>
                <w:szCs w:val="16"/>
              </w:rPr>
              <w:t>за</w:t>
            </w:r>
            <w:r w:rsidR="001350CB" w:rsidRPr="00E16672">
              <w:rPr>
                <w:rFonts w:ascii="Times New Roman" w:hAnsi="Times New Roman"/>
                <w:sz w:val="16"/>
                <w:szCs w:val="16"/>
                <w:lang w:val="en-US"/>
              </w:rPr>
              <w:t xml:space="preserve"> </w:t>
            </w:r>
            <w:proofErr w:type="spellStart"/>
            <w:r w:rsidR="001350CB" w:rsidRPr="00E16672">
              <w:rPr>
                <w:rFonts w:ascii="Times New Roman" w:hAnsi="Times New Roman"/>
                <w:sz w:val="16"/>
                <w:szCs w:val="16"/>
              </w:rPr>
              <w:t>цінними</w:t>
            </w:r>
            <w:proofErr w:type="spellEnd"/>
            <w:r w:rsidR="001350CB" w:rsidRPr="00E16672">
              <w:rPr>
                <w:rFonts w:ascii="Times New Roman" w:hAnsi="Times New Roman"/>
                <w:sz w:val="16"/>
                <w:szCs w:val="16"/>
                <w:lang w:val="en-US"/>
              </w:rPr>
              <w:t xml:space="preserve"> </w:t>
            </w:r>
            <w:proofErr w:type="spellStart"/>
            <w:r w:rsidR="001350CB" w:rsidRPr="00E16672">
              <w:rPr>
                <w:rFonts w:ascii="Times New Roman" w:hAnsi="Times New Roman"/>
                <w:sz w:val="16"/>
                <w:szCs w:val="16"/>
              </w:rPr>
              <w:t>паперами</w:t>
            </w:r>
            <w:proofErr w:type="spellEnd"/>
            <w:r w:rsidR="001350CB" w:rsidRPr="00E16672">
              <w:rPr>
                <w:rFonts w:ascii="Times New Roman" w:hAnsi="Times New Roman"/>
                <w:sz w:val="16"/>
                <w:szCs w:val="16"/>
                <w:lang w:val="en-US"/>
              </w:rPr>
              <w:t xml:space="preserve"> </w:t>
            </w:r>
            <w:proofErr w:type="spellStart"/>
            <w:r w:rsidR="001350CB" w:rsidRPr="00E16672">
              <w:rPr>
                <w:rFonts w:ascii="Times New Roman" w:hAnsi="Times New Roman"/>
                <w:sz w:val="16"/>
                <w:szCs w:val="16"/>
              </w:rPr>
              <w:t>клієнтів</w:t>
            </w:r>
            <w:proofErr w:type="spellEnd"/>
            <w:r w:rsidR="001350CB" w:rsidRPr="00E16672">
              <w:rPr>
                <w:rFonts w:ascii="Times New Roman" w:hAnsi="Times New Roman"/>
                <w:sz w:val="16"/>
                <w:szCs w:val="16"/>
                <w:lang w:val="en-US"/>
              </w:rPr>
              <w:t xml:space="preserve"> </w:t>
            </w:r>
            <w:proofErr w:type="spellStart"/>
            <w:r w:rsidR="001350CB" w:rsidRPr="00E16672">
              <w:rPr>
                <w:rFonts w:ascii="Times New Roman" w:hAnsi="Times New Roman"/>
                <w:sz w:val="16"/>
                <w:szCs w:val="16"/>
              </w:rPr>
              <w:t>номінального</w:t>
            </w:r>
            <w:proofErr w:type="spellEnd"/>
            <w:r w:rsidR="001350CB" w:rsidRPr="00E16672">
              <w:rPr>
                <w:rFonts w:ascii="Times New Roman" w:hAnsi="Times New Roman"/>
                <w:sz w:val="16"/>
                <w:szCs w:val="16"/>
                <w:lang w:val="en-US"/>
              </w:rPr>
              <w:t xml:space="preserve"> </w:t>
            </w:r>
            <w:proofErr w:type="spellStart"/>
            <w:r w:rsidR="001350CB" w:rsidRPr="00E16672">
              <w:rPr>
                <w:rFonts w:ascii="Times New Roman" w:hAnsi="Times New Roman"/>
                <w:sz w:val="16"/>
                <w:szCs w:val="16"/>
              </w:rPr>
              <w:t>утримувача</w:t>
            </w:r>
            <w:proofErr w:type="spellEnd"/>
            <w:r w:rsidR="001350CB" w:rsidRPr="00E16672">
              <w:rPr>
                <w:rFonts w:ascii="Times New Roman" w:hAnsi="Times New Roman"/>
                <w:sz w:val="16"/>
                <w:szCs w:val="16"/>
                <w:lang w:val="en-US"/>
              </w:rPr>
              <w:t xml:space="preserve">, </w:t>
            </w:r>
            <w:r w:rsidR="001350CB" w:rsidRPr="00E16672">
              <w:rPr>
                <w:rFonts w:ascii="Times New Roman" w:hAnsi="Times New Roman"/>
                <w:sz w:val="16"/>
                <w:szCs w:val="16"/>
              </w:rPr>
              <w:t>а</w:t>
            </w:r>
            <w:r w:rsidR="001350CB" w:rsidRPr="00E16672">
              <w:rPr>
                <w:rFonts w:ascii="Times New Roman" w:hAnsi="Times New Roman"/>
                <w:sz w:val="16"/>
                <w:szCs w:val="16"/>
                <w:lang w:val="en-US"/>
              </w:rPr>
              <w:t xml:space="preserve"> </w:t>
            </w:r>
            <w:proofErr w:type="spellStart"/>
            <w:r w:rsidR="001350CB" w:rsidRPr="00E16672">
              <w:rPr>
                <w:rFonts w:ascii="Times New Roman" w:hAnsi="Times New Roman"/>
                <w:sz w:val="16"/>
                <w:szCs w:val="16"/>
              </w:rPr>
              <w:t>також</w:t>
            </w:r>
            <w:proofErr w:type="spellEnd"/>
            <w:r w:rsidR="001350CB" w:rsidRPr="00E16672">
              <w:rPr>
                <w:rFonts w:ascii="Times New Roman" w:hAnsi="Times New Roman"/>
                <w:sz w:val="16"/>
                <w:szCs w:val="16"/>
                <w:lang w:val="en-US"/>
              </w:rPr>
              <w:t xml:space="preserve"> </w:t>
            </w:r>
            <w:proofErr w:type="spellStart"/>
            <w:r w:rsidR="001350CB" w:rsidRPr="00E16672">
              <w:rPr>
                <w:rFonts w:ascii="Times New Roman" w:hAnsi="Times New Roman"/>
                <w:sz w:val="16"/>
                <w:szCs w:val="16"/>
              </w:rPr>
              <w:t>клієнтів</w:t>
            </w:r>
            <w:proofErr w:type="spellEnd"/>
            <w:r w:rsidR="001350CB" w:rsidRPr="00E16672">
              <w:rPr>
                <w:rFonts w:ascii="Times New Roman" w:hAnsi="Times New Roman"/>
                <w:sz w:val="16"/>
                <w:szCs w:val="16"/>
                <w:lang w:val="en-US"/>
              </w:rPr>
              <w:t xml:space="preserve"> </w:t>
            </w:r>
            <w:proofErr w:type="spellStart"/>
            <w:r w:rsidR="001350CB" w:rsidRPr="00E16672">
              <w:rPr>
                <w:rFonts w:ascii="Times New Roman" w:hAnsi="Times New Roman"/>
                <w:sz w:val="16"/>
                <w:szCs w:val="16"/>
              </w:rPr>
              <w:t>клієнта</w:t>
            </w:r>
            <w:proofErr w:type="spellEnd"/>
            <w:r w:rsidR="001350CB" w:rsidRPr="00E16672">
              <w:rPr>
                <w:rFonts w:ascii="Times New Roman" w:hAnsi="Times New Roman"/>
                <w:sz w:val="16"/>
                <w:szCs w:val="16"/>
                <w:lang w:val="en-US"/>
              </w:rPr>
              <w:t xml:space="preserve"> </w:t>
            </w:r>
            <w:proofErr w:type="spellStart"/>
            <w:r w:rsidR="001350CB" w:rsidRPr="00E16672">
              <w:rPr>
                <w:rFonts w:ascii="Times New Roman" w:hAnsi="Times New Roman"/>
                <w:sz w:val="16"/>
                <w:szCs w:val="16"/>
              </w:rPr>
              <w:t>номінального</w:t>
            </w:r>
            <w:proofErr w:type="spellEnd"/>
            <w:r w:rsidR="001350CB" w:rsidRPr="00E16672">
              <w:rPr>
                <w:rFonts w:ascii="Times New Roman" w:hAnsi="Times New Roman"/>
                <w:sz w:val="16"/>
                <w:szCs w:val="16"/>
                <w:lang w:val="en-US"/>
              </w:rPr>
              <w:t xml:space="preserve"> </w:t>
            </w:r>
            <w:proofErr w:type="spellStart"/>
            <w:r w:rsidR="001350CB" w:rsidRPr="00E16672">
              <w:rPr>
                <w:rFonts w:ascii="Times New Roman" w:hAnsi="Times New Roman"/>
                <w:sz w:val="16"/>
                <w:szCs w:val="16"/>
              </w:rPr>
              <w:t>утримувача</w:t>
            </w:r>
            <w:proofErr w:type="spellEnd"/>
            <w:r w:rsidRPr="00E16672">
              <w:rPr>
                <w:rFonts w:ascii="Times New Roman" w:hAnsi="Times New Roman"/>
                <w:color w:val="000000"/>
                <w:sz w:val="16"/>
                <w:szCs w:val="16"/>
                <w:lang w:val="en-US"/>
              </w:rPr>
              <w:t>.</w:t>
            </w:r>
          </w:p>
          <w:p w14:paraId="4217E90A" w14:textId="77777777" w:rsidR="00EB25FE" w:rsidRPr="00E16672" w:rsidRDefault="00EB25FE" w:rsidP="00794B3F">
            <w:pPr>
              <w:snapToGrid w:val="0"/>
              <w:ind w:left="175" w:right="138" w:firstLine="7"/>
              <w:rPr>
                <w:rFonts w:ascii="Times New Roman" w:hAnsi="Times New Roman"/>
                <w:color w:val="000000"/>
                <w:sz w:val="16"/>
                <w:szCs w:val="16"/>
                <w:lang w:val="uk-UA"/>
              </w:rPr>
            </w:pPr>
          </w:p>
        </w:tc>
        <w:tc>
          <w:tcPr>
            <w:tcW w:w="5495" w:type="dxa"/>
            <w:gridSpan w:val="8"/>
            <w:shd w:val="clear" w:color="auto" w:fill="auto"/>
          </w:tcPr>
          <w:p w14:paraId="2A53EA2B" w14:textId="77777777" w:rsidR="00EB25FE" w:rsidRPr="00E16672" w:rsidRDefault="00EB25FE" w:rsidP="00535433">
            <w:pPr>
              <w:ind w:left="172" w:firstLine="0"/>
              <w:rPr>
                <w:rFonts w:ascii="Times New Roman" w:hAnsi="Times New Roman"/>
                <w:sz w:val="16"/>
                <w:szCs w:val="16"/>
                <w:lang w:val="en-US"/>
              </w:rPr>
            </w:pPr>
            <w:r w:rsidRPr="00E16672">
              <w:rPr>
                <w:rFonts w:ascii="Times New Roman" w:hAnsi="Times New Roman"/>
                <w:sz w:val="16"/>
                <w:szCs w:val="16"/>
                <w:lang w:val="en-US"/>
              </w:rPr>
              <w:t>2.2.</w:t>
            </w:r>
            <w:r w:rsidR="00C03C07" w:rsidRPr="00E16672">
              <w:rPr>
                <w:rFonts w:ascii="Times New Roman" w:hAnsi="Times New Roman"/>
                <w:sz w:val="16"/>
                <w:szCs w:val="16"/>
                <w:lang w:val="en-US"/>
              </w:rPr>
              <w:t>1</w:t>
            </w:r>
            <w:r w:rsidRPr="00E16672">
              <w:rPr>
                <w:rFonts w:ascii="Times New Roman" w:hAnsi="Times New Roman"/>
                <w:sz w:val="16"/>
                <w:szCs w:val="16"/>
                <w:lang w:val="en-US"/>
              </w:rPr>
              <w:t xml:space="preserve">. </w:t>
            </w:r>
            <w:r w:rsidR="008C26CD" w:rsidRPr="00E16672">
              <w:rPr>
                <w:rFonts w:ascii="Times New Roman" w:hAnsi="Times New Roman"/>
                <w:sz w:val="16"/>
                <w:szCs w:val="16"/>
                <w:lang w:val="en-US"/>
              </w:rPr>
              <w:t>T</w:t>
            </w:r>
            <w:r w:rsidR="009404CE" w:rsidRPr="00E16672">
              <w:rPr>
                <w:rFonts w:ascii="Times New Roman" w:hAnsi="Times New Roman"/>
                <w:sz w:val="16"/>
                <w:szCs w:val="16"/>
                <w:lang w:val="en-US"/>
              </w:rPr>
              <w:t>o provide additional services to the nominee holder, in particular, with the exercise of rights under securities of the nominee holder's clients, as well as client clients of the nominee holder.</w:t>
            </w:r>
          </w:p>
          <w:p w14:paraId="704B3CAC" w14:textId="77777777" w:rsidR="00EB25FE" w:rsidRPr="00E16672" w:rsidRDefault="00EB25FE" w:rsidP="00794B3F">
            <w:pPr>
              <w:tabs>
                <w:tab w:val="left" w:pos="287"/>
              </w:tabs>
              <w:ind w:left="175" w:right="100" w:firstLine="7"/>
              <w:jc w:val="center"/>
              <w:rPr>
                <w:rFonts w:ascii="Times New Roman" w:hAnsi="Times New Roman"/>
                <w:b/>
                <w:bCs/>
                <w:color w:val="000000"/>
                <w:sz w:val="16"/>
                <w:szCs w:val="16"/>
                <w:lang w:val="en-GB"/>
              </w:rPr>
            </w:pPr>
          </w:p>
        </w:tc>
      </w:tr>
      <w:tr w:rsidR="00EB25FE" w:rsidRPr="00F23413" w14:paraId="09B5C203" w14:textId="77777777" w:rsidTr="005E418B">
        <w:tblPrEx>
          <w:tblCellMar>
            <w:left w:w="0" w:type="dxa"/>
            <w:right w:w="0" w:type="dxa"/>
          </w:tblCellMar>
        </w:tblPrEx>
        <w:trPr>
          <w:trHeight w:val="1554"/>
        </w:trPr>
        <w:tc>
          <w:tcPr>
            <w:tcW w:w="5695" w:type="dxa"/>
            <w:gridSpan w:val="7"/>
            <w:shd w:val="clear" w:color="auto" w:fill="auto"/>
          </w:tcPr>
          <w:p w14:paraId="3491D52A" w14:textId="77777777" w:rsidR="009404CE" w:rsidRPr="00E16672" w:rsidRDefault="009404CE" w:rsidP="00C60D12">
            <w:pPr>
              <w:ind w:left="172" w:firstLine="0"/>
              <w:rPr>
                <w:rFonts w:ascii="Times New Roman" w:hAnsi="Times New Roman"/>
                <w:sz w:val="16"/>
                <w:szCs w:val="16"/>
                <w:lang w:val="uk-UA"/>
              </w:rPr>
            </w:pPr>
            <w:r w:rsidRPr="00E16672">
              <w:rPr>
                <w:rFonts w:ascii="Times New Roman" w:hAnsi="Times New Roman"/>
                <w:sz w:val="16"/>
                <w:szCs w:val="16"/>
              </w:rPr>
              <w:t>2</w:t>
            </w:r>
            <w:r w:rsidRPr="00E16672">
              <w:rPr>
                <w:rFonts w:ascii="Times New Roman" w:hAnsi="Times New Roman"/>
                <w:sz w:val="16"/>
                <w:szCs w:val="16"/>
                <w:lang w:val="uk-UA"/>
              </w:rPr>
              <w:t>.2.2</w:t>
            </w:r>
            <w:r w:rsidRPr="00E16672">
              <w:rPr>
                <w:rFonts w:ascii="Times New Roman" w:hAnsi="Times New Roman"/>
                <w:sz w:val="16"/>
                <w:szCs w:val="16"/>
              </w:rPr>
              <w:t xml:space="preserve">. </w:t>
            </w:r>
            <w:r w:rsidRPr="00E16672">
              <w:rPr>
                <w:rFonts w:ascii="Times New Roman" w:hAnsi="Times New Roman"/>
                <w:sz w:val="16"/>
                <w:szCs w:val="16"/>
                <w:lang w:val="uk-UA"/>
              </w:rPr>
              <w:t>З</w:t>
            </w:r>
            <w:proofErr w:type="spellStart"/>
            <w:r w:rsidRPr="00E16672">
              <w:rPr>
                <w:rFonts w:ascii="Times New Roman" w:hAnsi="Times New Roman"/>
                <w:sz w:val="16"/>
                <w:szCs w:val="16"/>
              </w:rPr>
              <w:t>акрити</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рахунок</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рахунки</w:t>
            </w:r>
            <w:proofErr w:type="spellEnd"/>
            <w:r w:rsidRPr="00E16672">
              <w:rPr>
                <w:rFonts w:ascii="Times New Roman" w:hAnsi="Times New Roman"/>
                <w:sz w:val="16"/>
                <w:szCs w:val="16"/>
              </w:rPr>
              <w:t xml:space="preserve">) </w:t>
            </w:r>
            <w:r w:rsidR="00C22309" w:rsidRPr="00E16672">
              <w:rPr>
                <w:rFonts w:ascii="Times New Roman" w:hAnsi="Times New Roman"/>
                <w:sz w:val="16"/>
                <w:szCs w:val="16"/>
              </w:rPr>
              <w:t xml:space="preserve">в </w:t>
            </w:r>
            <w:proofErr w:type="spellStart"/>
            <w:r w:rsidR="00C22309" w:rsidRPr="00E16672">
              <w:rPr>
                <w:rFonts w:ascii="Times New Roman" w:hAnsi="Times New Roman"/>
                <w:sz w:val="16"/>
                <w:szCs w:val="16"/>
              </w:rPr>
              <w:t>цін</w:t>
            </w:r>
            <w:r w:rsidRPr="00E16672">
              <w:rPr>
                <w:rFonts w:ascii="Times New Roman" w:hAnsi="Times New Roman"/>
                <w:sz w:val="16"/>
                <w:szCs w:val="16"/>
              </w:rPr>
              <w:t>них</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паперах</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номінального</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утримувача</w:t>
            </w:r>
            <w:proofErr w:type="spellEnd"/>
            <w:r w:rsidRPr="00E16672">
              <w:rPr>
                <w:rFonts w:ascii="Times New Roman" w:hAnsi="Times New Roman"/>
                <w:sz w:val="16"/>
                <w:szCs w:val="16"/>
              </w:rPr>
              <w:t xml:space="preserve">, на </w:t>
            </w:r>
            <w:proofErr w:type="spellStart"/>
            <w:r w:rsidRPr="00E16672">
              <w:rPr>
                <w:rFonts w:ascii="Times New Roman" w:hAnsi="Times New Roman"/>
                <w:sz w:val="16"/>
                <w:szCs w:val="16"/>
              </w:rPr>
              <w:t>якому</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яких</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відсутні</w:t>
            </w:r>
            <w:proofErr w:type="spellEnd"/>
            <w:r w:rsidRPr="00E16672">
              <w:rPr>
                <w:rFonts w:ascii="Times New Roman" w:hAnsi="Times New Roman"/>
                <w:sz w:val="16"/>
                <w:szCs w:val="16"/>
              </w:rPr>
              <w:t xml:space="preserve"> права на </w:t>
            </w:r>
            <w:proofErr w:type="spellStart"/>
            <w:r w:rsidRPr="00E16672">
              <w:rPr>
                <w:rFonts w:ascii="Times New Roman" w:hAnsi="Times New Roman"/>
                <w:sz w:val="16"/>
                <w:szCs w:val="16"/>
              </w:rPr>
              <w:t>цінні</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папери</w:t>
            </w:r>
            <w:proofErr w:type="spellEnd"/>
            <w:r w:rsidRPr="00E16672">
              <w:rPr>
                <w:rFonts w:ascii="Times New Roman" w:hAnsi="Times New Roman"/>
                <w:sz w:val="16"/>
                <w:szCs w:val="16"/>
              </w:rPr>
              <w:t xml:space="preserve">, без </w:t>
            </w:r>
            <w:proofErr w:type="spellStart"/>
            <w:r w:rsidRPr="00E16672">
              <w:rPr>
                <w:rFonts w:ascii="Times New Roman" w:hAnsi="Times New Roman"/>
                <w:sz w:val="16"/>
                <w:szCs w:val="16"/>
              </w:rPr>
              <w:t>розпорядження</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номінального</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утримувача</w:t>
            </w:r>
            <w:proofErr w:type="spellEnd"/>
            <w:r w:rsidRPr="00E16672">
              <w:rPr>
                <w:rFonts w:ascii="Times New Roman" w:hAnsi="Times New Roman"/>
                <w:sz w:val="16"/>
                <w:szCs w:val="16"/>
              </w:rPr>
              <w:t xml:space="preserve"> про </w:t>
            </w:r>
            <w:proofErr w:type="spellStart"/>
            <w:r w:rsidRPr="00E16672">
              <w:rPr>
                <w:rFonts w:ascii="Times New Roman" w:hAnsi="Times New Roman"/>
                <w:sz w:val="16"/>
                <w:szCs w:val="16"/>
              </w:rPr>
              <w:t>закриття</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рахунку</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рахунків</w:t>
            </w:r>
            <w:proofErr w:type="spellEnd"/>
            <w:r w:rsidRPr="00E16672">
              <w:rPr>
                <w:rFonts w:ascii="Times New Roman" w:hAnsi="Times New Roman"/>
                <w:sz w:val="16"/>
                <w:szCs w:val="16"/>
              </w:rPr>
              <w:t xml:space="preserve">) в </w:t>
            </w:r>
            <w:proofErr w:type="spellStart"/>
            <w:r w:rsidRPr="00E16672">
              <w:rPr>
                <w:rFonts w:ascii="Times New Roman" w:hAnsi="Times New Roman"/>
                <w:sz w:val="16"/>
                <w:szCs w:val="16"/>
              </w:rPr>
              <w:t>цінних</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паперах</w:t>
            </w:r>
            <w:proofErr w:type="spellEnd"/>
            <w:r w:rsidRPr="00E16672">
              <w:rPr>
                <w:rFonts w:ascii="Times New Roman" w:hAnsi="Times New Roman"/>
                <w:sz w:val="16"/>
                <w:szCs w:val="16"/>
              </w:rPr>
              <w:t xml:space="preserve"> та </w:t>
            </w:r>
            <w:proofErr w:type="spellStart"/>
            <w:r w:rsidRPr="00E16672">
              <w:rPr>
                <w:rFonts w:ascii="Times New Roman" w:hAnsi="Times New Roman"/>
                <w:sz w:val="16"/>
                <w:szCs w:val="16"/>
              </w:rPr>
              <w:t>розірвати</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Договір</w:t>
            </w:r>
            <w:proofErr w:type="spellEnd"/>
            <w:r w:rsidRPr="00E16672">
              <w:rPr>
                <w:rFonts w:ascii="Times New Roman" w:hAnsi="Times New Roman"/>
                <w:sz w:val="16"/>
                <w:szCs w:val="16"/>
              </w:rPr>
              <w:t xml:space="preserve"> в </w:t>
            </w:r>
            <w:proofErr w:type="spellStart"/>
            <w:r w:rsidRPr="00E16672">
              <w:rPr>
                <w:rFonts w:ascii="Times New Roman" w:hAnsi="Times New Roman"/>
                <w:sz w:val="16"/>
                <w:szCs w:val="16"/>
              </w:rPr>
              <w:t>односторонньому</w:t>
            </w:r>
            <w:proofErr w:type="spellEnd"/>
            <w:r w:rsidRPr="00E16672">
              <w:rPr>
                <w:rFonts w:ascii="Times New Roman" w:hAnsi="Times New Roman"/>
                <w:sz w:val="16"/>
                <w:szCs w:val="16"/>
              </w:rPr>
              <w:t xml:space="preserve"> порядку у </w:t>
            </w:r>
            <w:proofErr w:type="spellStart"/>
            <w:r w:rsidRPr="00E16672">
              <w:rPr>
                <w:rFonts w:ascii="Times New Roman" w:hAnsi="Times New Roman"/>
                <w:sz w:val="16"/>
                <w:szCs w:val="16"/>
              </w:rPr>
              <w:t>разі</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припинення</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здійснення</w:t>
            </w:r>
            <w:proofErr w:type="spellEnd"/>
            <w:r w:rsidRPr="00E16672">
              <w:rPr>
                <w:rFonts w:ascii="Times New Roman" w:hAnsi="Times New Roman"/>
                <w:sz w:val="16"/>
                <w:szCs w:val="16"/>
              </w:rPr>
              <w:t xml:space="preserve"> ним </w:t>
            </w:r>
            <w:proofErr w:type="spellStart"/>
            <w:r w:rsidRPr="00E16672">
              <w:rPr>
                <w:rFonts w:ascii="Times New Roman" w:hAnsi="Times New Roman"/>
                <w:sz w:val="16"/>
                <w:szCs w:val="16"/>
              </w:rPr>
              <w:t>діяльності</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депозитарної</w:t>
            </w:r>
            <w:proofErr w:type="spellEnd"/>
            <w:r w:rsidRPr="00E16672">
              <w:rPr>
                <w:rFonts w:ascii="Times New Roman" w:hAnsi="Times New Roman"/>
                <w:sz w:val="16"/>
                <w:szCs w:val="16"/>
              </w:rPr>
              <w:t xml:space="preserve"> установи </w:t>
            </w:r>
            <w:proofErr w:type="spellStart"/>
            <w:r w:rsidRPr="00E16672">
              <w:rPr>
                <w:rFonts w:ascii="Times New Roman" w:hAnsi="Times New Roman"/>
                <w:sz w:val="16"/>
                <w:szCs w:val="16"/>
              </w:rPr>
              <w:t>відповідно</w:t>
            </w:r>
            <w:proofErr w:type="spellEnd"/>
            <w:r w:rsidRPr="00E16672">
              <w:rPr>
                <w:rFonts w:ascii="Times New Roman" w:hAnsi="Times New Roman"/>
                <w:sz w:val="16"/>
                <w:szCs w:val="16"/>
              </w:rPr>
              <w:t xml:space="preserve"> до </w:t>
            </w:r>
            <w:proofErr w:type="spellStart"/>
            <w:r w:rsidRPr="00E16672">
              <w:rPr>
                <w:rFonts w:ascii="Times New Roman" w:hAnsi="Times New Roman"/>
                <w:sz w:val="16"/>
                <w:szCs w:val="16"/>
              </w:rPr>
              <w:t>вимог</w:t>
            </w:r>
            <w:proofErr w:type="spellEnd"/>
            <w:r w:rsidRPr="00E16672">
              <w:rPr>
                <w:rFonts w:ascii="Times New Roman" w:hAnsi="Times New Roman"/>
                <w:sz w:val="16"/>
                <w:szCs w:val="16"/>
              </w:rPr>
              <w:t xml:space="preserve"> нормативно-правового акта </w:t>
            </w:r>
            <w:proofErr w:type="spellStart"/>
            <w:r w:rsidRPr="00E16672">
              <w:rPr>
                <w:rFonts w:ascii="Times New Roman" w:hAnsi="Times New Roman"/>
                <w:sz w:val="16"/>
                <w:szCs w:val="16"/>
              </w:rPr>
              <w:t>щодо</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припинення</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депозитарної</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діяльності</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депозитарної</w:t>
            </w:r>
            <w:proofErr w:type="spellEnd"/>
            <w:r w:rsidRPr="00E16672">
              <w:rPr>
                <w:rFonts w:ascii="Times New Roman" w:hAnsi="Times New Roman"/>
                <w:sz w:val="16"/>
                <w:szCs w:val="16"/>
              </w:rPr>
              <w:t xml:space="preserve"> установи</w:t>
            </w:r>
            <w:r w:rsidR="00550837" w:rsidRPr="00E16672">
              <w:rPr>
                <w:rFonts w:ascii="Times New Roman" w:hAnsi="Times New Roman"/>
                <w:sz w:val="16"/>
                <w:szCs w:val="16"/>
                <w:lang w:val="uk-UA"/>
              </w:rPr>
              <w:t>.</w:t>
            </w:r>
          </w:p>
          <w:p w14:paraId="59AB813A" w14:textId="77777777" w:rsidR="008555D5" w:rsidRPr="00E16672" w:rsidRDefault="008555D5" w:rsidP="00C60D12">
            <w:pPr>
              <w:ind w:left="172" w:firstLine="0"/>
              <w:rPr>
                <w:rFonts w:ascii="Times New Roman" w:hAnsi="Times New Roman"/>
                <w:sz w:val="16"/>
                <w:szCs w:val="16"/>
                <w:lang w:val="uk-UA"/>
              </w:rPr>
            </w:pPr>
          </w:p>
          <w:p w14:paraId="2389672A" w14:textId="77777777" w:rsidR="009404CE" w:rsidRPr="00E16672" w:rsidRDefault="00550837" w:rsidP="00EB18F8">
            <w:pPr>
              <w:ind w:left="172" w:firstLine="0"/>
              <w:rPr>
                <w:rFonts w:ascii="Times New Roman" w:hAnsi="Times New Roman"/>
                <w:sz w:val="16"/>
                <w:szCs w:val="16"/>
                <w:lang w:val="uk-UA"/>
              </w:rPr>
            </w:pPr>
            <w:r w:rsidRPr="00E16672">
              <w:rPr>
                <w:rFonts w:ascii="Times New Roman" w:hAnsi="Times New Roman"/>
                <w:sz w:val="16"/>
                <w:szCs w:val="16"/>
                <w:lang w:val="uk-UA"/>
              </w:rPr>
              <w:t>2.2.3. П</w:t>
            </w:r>
            <w:proofErr w:type="spellStart"/>
            <w:r w:rsidR="009404CE" w:rsidRPr="00E16672">
              <w:rPr>
                <w:rFonts w:ascii="Times New Roman" w:hAnsi="Times New Roman"/>
                <w:sz w:val="16"/>
                <w:szCs w:val="16"/>
              </w:rPr>
              <w:t>ризупинити</w:t>
            </w:r>
            <w:proofErr w:type="spellEnd"/>
            <w:r w:rsidR="009404CE" w:rsidRPr="00E16672">
              <w:rPr>
                <w:rFonts w:ascii="Times New Roman" w:hAnsi="Times New Roman"/>
                <w:sz w:val="16"/>
                <w:szCs w:val="16"/>
              </w:rPr>
              <w:t xml:space="preserve"> </w:t>
            </w:r>
            <w:proofErr w:type="spellStart"/>
            <w:r w:rsidR="009404CE" w:rsidRPr="00E16672">
              <w:rPr>
                <w:rFonts w:ascii="Times New Roman" w:hAnsi="Times New Roman"/>
                <w:sz w:val="16"/>
                <w:szCs w:val="16"/>
              </w:rPr>
              <w:t>обслуговування</w:t>
            </w:r>
            <w:proofErr w:type="spellEnd"/>
            <w:r w:rsidR="009404CE" w:rsidRPr="00E16672">
              <w:rPr>
                <w:rFonts w:ascii="Times New Roman" w:hAnsi="Times New Roman"/>
                <w:sz w:val="16"/>
                <w:szCs w:val="16"/>
              </w:rPr>
              <w:t xml:space="preserve"> </w:t>
            </w:r>
            <w:proofErr w:type="spellStart"/>
            <w:r w:rsidR="009404CE" w:rsidRPr="00E16672">
              <w:rPr>
                <w:rFonts w:ascii="Times New Roman" w:hAnsi="Times New Roman"/>
                <w:sz w:val="16"/>
                <w:szCs w:val="16"/>
              </w:rPr>
              <w:t>рахунку</w:t>
            </w:r>
            <w:proofErr w:type="spellEnd"/>
            <w:r w:rsidR="009404CE" w:rsidRPr="00E16672">
              <w:rPr>
                <w:rFonts w:ascii="Times New Roman" w:hAnsi="Times New Roman"/>
                <w:sz w:val="16"/>
                <w:szCs w:val="16"/>
              </w:rPr>
              <w:t xml:space="preserve"> в </w:t>
            </w:r>
            <w:proofErr w:type="spellStart"/>
            <w:r w:rsidR="009404CE" w:rsidRPr="00E16672">
              <w:rPr>
                <w:rFonts w:ascii="Times New Roman" w:hAnsi="Times New Roman"/>
                <w:sz w:val="16"/>
                <w:szCs w:val="16"/>
              </w:rPr>
              <w:t>цінних</w:t>
            </w:r>
            <w:proofErr w:type="spellEnd"/>
            <w:r w:rsidR="009404CE" w:rsidRPr="00E16672">
              <w:rPr>
                <w:rFonts w:ascii="Times New Roman" w:hAnsi="Times New Roman"/>
                <w:sz w:val="16"/>
                <w:szCs w:val="16"/>
              </w:rPr>
              <w:t xml:space="preserve"> </w:t>
            </w:r>
            <w:proofErr w:type="spellStart"/>
            <w:r w:rsidR="009404CE" w:rsidRPr="00E16672">
              <w:rPr>
                <w:rFonts w:ascii="Times New Roman" w:hAnsi="Times New Roman"/>
                <w:sz w:val="16"/>
                <w:szCs w:val="16"/>
              </w:rPr>
              <w:t>паперах</w:t>
            </w:r>
            <w:proofErr w:type="spellEnd"/>
            <w:r w:rsidR="009404CE" w:rsidRPr="00E16672">
              <w:rPr>
                <w:rFonts w:ascii="Times New Roman" w:hAnsi="Times New Roman"/>
                <w:sz w:val="16"/>
                <w:szCs w:val="16"/>
              </w:rPr>
              <w:t xml:space="preserve"> у </w:t>
            </w:r>
            <w:proofErr w:type="spellStart"/>
            <w:r w:rsidR="009404CE" w:rsidRPr="00E16672">
              <w:rPr>
                <w:rFonts w:ascii="Times New Roman" w:hAnsi="Times New Roman"/>
                <w:sz w:val="16"/>
                <w:szCs w:val="16"/>
              </w:rPr>
              <w:t>разі</w:t>
            </w:r>
            <w:proofErr w:type="spellEnd"/>
            <w:r w:rsidR="009404CE" w:rsidRPr="00E16672">
              <w:rPr>
                <w:rFonts w:ascii="Times New Roman" w:hAnsi="Times New Roman"/>
                <w:sz w:val="16"/>
                <w:szCs w:val="16"/>
              </w:rPr>
              <w:t xml:space="preserve"> </w:t>
            </w:r>
            <w:proofErr w:type="spellStart"/>
            <w:r w:rsidR="009404CE" w:rsidRPr="00E16672">
              <w:rPr>
                <w:rFonts w:ascii="Times New Roman" w:hAnsi="Times New Roman"/>
                <w:sz w:val="16"/>
                <w:szCs w:val="16"/>
              </w:rPr>
              <w:t>порушення</w:t>
            </w:r>
            <w:proofErr w:type="spellEnd"/>
            <w:r w:rsidR="009404CE" w:rsidRPr="00E16672">
              <w:rPr>
                <w:rFonts w:ascii="Times New Roman" w:hAnsi="Times New Roman"/>
                <w:sz w:val="16"/>
                <w:szCs w:val="16"/>
              </w:rPr>
              <w:t xml:space="preserve"> </w:t>
            </w:r>
            <w:proofErr w:type="spellStart"/>
            <w:r w:rsidR="009404CE" w:rsidRPr="00E16672">
              <w:rPr>
                <w:rFonts w:ascii="Times New Roman" w:hAnsi="Times New Roman"/>
                <w:sz w:val="16"/>
                <w:szCs w:val="16"/>
              </w:rPr>
              <w:t>номінальним</w:t>
            </w:r>
            <w:proofErr w:type="spellEnd"/>
            <w:r w:rsidR="009404CE" w:rsidRPr="00E16672">
              <w:rPr>
                <w:rFonts w:ascii="Times New Roman" w:hAnsi="Times New Roman"/>
                <w:sz w:val="16"/>
                <w:szCs w:val="16"/>
              </w:rPr>
              <w:t xml:space="preserve"> </w:t>
            </w:r>
            <w:proofErr w:type="spellStart"/>
            <w:r w:rsidR="009404CE" w:rsidRPr="00E16672">
              <w:rPr>
                <w:rFonts w:ascii="Times New Roman" w:hAnsi="Times New Roman"/>
                <w:sz w:val="16"/>
                <w:szCs w:val="16"/>
              </w:rPr>
              <w:t>утримувачем</w:t>
            </w:r>
            <w:proofErr w:type="spellEnd"/>
            <w:r w:rsidR="009404CE" w:rsidRPr="00E16672">
              <w:rPr>
                <w:rFonts w:ascii="Times New Roman" w:hAnsi="Times New Roman"/>
                <w:sz w:val="16"/>
                <w:szCs w:val="16"/>
              </w:rPr>
              <w:t xml:space="preserve"> </w:t>
            </w:r>
            <w:proofErr w:type="spellStart"/>
            <w:r w:rsidR="009404CE" w:rsidRPr="00E16672">
              <w:rPr>
                <w:rFonts w:ascii="Times New Roman" w:hAnsi="Times New Roman"/>
                <w:sz w:val="16"/>
                <w:szCs w:val="16"/>
              </w:rPr>
              <w:t>цього</w:t>
            </w:r>
            <w:proofErr w:type="spellEnd"/>
            <w:r w:rsidR="009404CE" w:rsidRPr="00E16672">
              <w:rPr>
                <w:rFonts w:ascii="Times New Roman" w:hAnsi="Times New Roman"/>
                <w:sz w:val="16"/>
                <w:szCs w:val="16"/>
              </w:rPr>
              <w:t xml:space="preserve"> Договору </w:t>
            </w:r>
            <w:proofErr w:type="spellStart"/>
            <w:r w:rsidR="009404CE" w:rsidRPr="00E16672">
              <w:rPr>
                <w:rFonts w:ascii="Times New Roman" w:hAnsi="Times New Roman"/>
                <w:sz w:val="16"/>
                <w:szCs w:val="16"/>
              </w:rPr>
              <w:t>щодо</w:t>
            </w:r>
            <w:proofErr w:type="spellEnd"/>
            <w:r w:rsidR="009404CE" w:rsidRPr="00E16672">
              <w:rPr>
                <w:rFonts w:ascii="Times New Roman" w:hAnsi="Times New Roman"/>
                <w:sz w:val="16"/>
                <w:szCs w:val="16"/>
              </w:rPr>
              <w:t xml:space="preserve"> оплати </w:t>
            </w:r>
            <w:proofErr w:type="spellStart"/>
            <w:r w:rsidR="009404CE" w:rsidRPr="00E16672">
              <w:rPr>
                <w:rFonts w:ascii="Times New Roman" w:hAnsi="Times New Roman"/>
                <w:sz w:val="16"/>
                <w:szCs w:val="16"/>
              </w:rPr>
              <w:t>послуг</w:t>
            </w:r>
            <w:proofErr w:type="spellEnd"/>
            <w:r w:rsidR="009404CE" w:rsidRPr="00E16672">
              <w:rPr>
                <w:rFonts w:ascii="Times New Roman" w:hAnsi="Times New Roman"/>
                <w:sz w:val="16"/>
                <w:szCs w:val="16"/>
              </w:rPr>
              <w:t xml:space="preserve"> </w:t>
            </w:r>
            <w:proofErr w:type="spellStart"/>
            <w:r w:rsidR="009404CE" w:rsidRPr="00E16672">
              <w:rPr>
                <w:rFonts w:ascii="Times New Roman" w:hAnsi="Times New Roman"/>
                <w:sz w:val="16"/>
                <w:szCs w:val="16"/>
              </w:rPr>
              <w:t>депозитарної</w:t>
            </w:r>
            <w:proofErr w:type="spellEnd"/>
            <w:r w:rsidR="009404CE" w:rsidRPr="00E16672">
              <w:rPr>
                <w:rFonts w:ascii="Times New Roman" w:hAnsi="Times New Roman"/>
                <w:sz w:val="16"/>
                <w:szCs w:val="16"/>
              </w:rPr>
              <w:t xml:space="preserve"> установи а </w:t>
            </w:r>
            <w:proofErr w:type="spellStart"/>
            <w:r w:rsidR="009404CE" w:rsidRPr="00E16672">
              <w:rPr>
                <w:rFonts w:ascii="Times New Roman" w:hAnsi="Times New Roman"/>
                <w:sz w:val="16"/>
                <w:szCs w:val="16"/>
              </w:rPr>
              <w:t>також</w:t>
            </w:r>
            <w:proofErr w:type="spellEnd"/>
            <w:r w:rsidR="009404CE" w:rsidRPr="00E16672">
              <w:rPr>
                <w:rFonts w:ascii="Times New Roman" w:hAnsi="Times New Roman"/>
                <w:sz w:val="16"/>
                <w:szCs w:val="16"/>
              </w:rPr>
              <w:t xml:space="preserve"> у </w:t>
            </w:r>
            <w:proofErr w:type="spellStart"/>
            <w:r w:rsidR="009404CE" w:rsidRPr="00E16672">
              <w:rPr>
                <w:rFonts w:ascii="Times New Roman" w:hAnsi="Times New Roman"/>
                <w:sz w:val="16"/>
                <w:szCs w:val="16"/>
              </w:rPr>
              <w:t>разі</w:t>
            </w:r>
            <w:proofErr w:type="spellEnd"/>
            <w:r w:rsidR="009404CE" w:rsidRPr="00E16672">
              <w:rPr>
                <w:rFonts w:ascii="Times New Roman" w:hAnsi="Times New Roman"/>
                <w:sz w:val="16"/>
                <w:szCs w:val="16"/>
              </w:rPr>
              <w:t xml:space="preserve"> </w:t>
            </w:r>
            <w:proofErr w:type="spellStart"/>
            <w:r w:rsidR="009404CE" w:rsidRPr="00E16672">
              <w:rPr>
                <w:rFonts w:ascii="Times New Roman" w:hAnsi="Times New Roman"/>
                <w:sz w:val="16"/>
                <w:szCs w:val="16"/>
              </w:rPr>
              <w:t>ненадання</w:t>
            </w:r>
            <w:proofErr w:type="spellEnd"/>
            <w:r w:rsidR="009404CE" w:rsidRPr="00E16672">
              <w:rPr>
                <w:rFonts w:ascii="Times New Roman" w:hAnsi="Times New Roman"/>
                <w:sz w:val="16"/>
                <w:szCs w:val="16"/>
              </w:rPr>
              <w:t xml:space="preserve"> </w:t>
            </w:r>
            <w:proofErr w:type="spellStart"/>
            <w:r w:rsidR="009404CE" w:rsidRPr="00E16672">
              <w:rPr>
                <w:rFonts w:ascii="Times New Roman" w:hAnsi="Times New Roman"/>
                <w:sz w:val="16"/>
                <w:szCs w:val="16"/>
              </w:rPr>
              <w:t>документів</w:t>
            </w:r>
            <w:proofErr w:type="spellEnd"/>
            <w:r w:rsidR="009404CE" w:rsidRPr="00E16672">
              <w:rPr>
                <w:rFonts w:ascii="Times New Roman" w:hAnsi="Times New Roman"/>
                <w:sz w:val="16"/>
                <w:szCs w:val="16"/>
              </w:rPr>
              <w:t xml:space="preserve"> для </w:t>
            </w:r>
            <w:proofErr w:type="spellStart"/>
            <w:r w:rsidR="009404CE" w:rsidRPr="00E16672">
              <w:rPr>
                <w:rFonts w:ascii="Times New Roman" w:hAnsi="Times New Roman"/>
                <w:sz w:val="16"/>
                <w:szCs w:val="16"/>
              </w:rPr>
              <w:t>ідентифікації</w:t>
            </w:r>
            <w:proofErr w:type="spellEnd"/>
            <w:r w:rsidR="009404CE" w:rsidRPr="00E16672">
              <w:rPr>
                <w:rFonts w:ascii="Times New Roman" w:hAnsi="Times New Roman"/>
                <w:sz w:val="16"/>
                <w:szCs w:val="16"/>
              </w:rPr>
              <w:t xml:space="preserve">, </w:t>
            </w:r>
            <w:proofErr w:type="spellStart"/>
            <w:r w:rsidR="009404CE" w:rsidRPr="00E16672">
              <w:rPr>
                <w:rFonts w:ascii="Times New Roman" w:hAnsi="Times New Roman"/>
                <w:sz w:val="16"/>
                <w:szCs w:val="16"/>
              </w:rPr>
              <w:t>передбачених</w:t>
            </w:r>
            <w:proofErr w:type="spellEnd"/>
            <w:r w:rsidR="009404CE" w:rsidRPr="00E16672">
              <w:rPr>
                <w:rFonts w:ascii="Times New Roman" w:hAnsi="Times New Roman"/>
                <w:sz w:val="16"/>
                <w:szCs w:val="16"/>
              </w:rPr>
              <w:t xml:space="preserve"> </w:t>
            </w:r>
            <w:proofErr w:type="spellStart"/>
            <w:r w:rsidR="009404CE" w:rsidRPr="00E16672">
              <w:rPr>
                <w:rFonts w:ascii="Times New Roman" w:hAnsi="Times New Roman"/>
                <w:sz w:val="16"/>
                <w:szCs w:val="16"/>
              </w:rPr>
              <w:t>чинним</w:t>
            </w:r>
            <w:proofErr w:type="spellEnd"/>
            <w:r w:rsidR="009404CE" w:rsidRPr="00E16672">
              <w:rPr>
                <w:rFonts w:ascii="Times New Roman" w:hAnsi="Times New Roman"/>
                <w:sz w:val="16"/>
                <w:szCs w:val="16"/>
              </w:rPr>
              <w:t xml:space="preserve"> </w:t>
            </w:r>
            <w:proofErr w:type="spellStart"/>
            <w:r w:rsidR="009404CE" w:rsidRPr="00E16672">
              <w:rPr>
                <w:rFonts w:ascii="Times New Roman" w:hAnsi="Times New Roman"/>
                <w:sz w:val="16"/>
                <w:szCs w:val="16"/>
              </w:rPr>
              <w:t>законодавством</w:t>
            </w:r>
            <w:proofErr w:type="spellEnd"/>
            <w:r w:rsidRPr="00E16672">
              <w:rPr>
                <w:rFonts w:ascii="Times New Roman" w:hAnsi="Times New Roman"/>
                <w:sz w:val="16"/>
                <w:szCs w:val="16"/>
                <w:lang w:val="uk-UA"/>
              </w:rPr>
              <w:t>.</w:t>
            </w:r>
          </w:p>
          <w:p w14:paraId="6947689C" w14:textId="77777777" w:rsidR="002253C8" w:rsidRPr="00E16672" w:rsidRDefault="002253C8" w:rsidP="00EB18F8">
            <w:pPr>
              <w:ind w:left="172" w:firstLine="0"/>
              <w:rPr>
                <w:rFonts w:ascii="Times New Roman" w:hAnsi="Times New Roman"/>
                <w:sz w:val="16"/>
                <w:szCs w:val="16"/>
                <w:lang w:val="uk-UA"/>
              </w:rPr>
            </w:pPr>
          </w:p>
          <w:p w14:paraId="738504E8" w14:textId="77777777" w:rsidR="009404CE" w:rsidRPr="00E16672" w:rsidRDefault="00550837" w:rsidP="00EB18F8">
            <w:pPr>
              <w:ind w:left="172" w:firstLine="0"/>
              <w:rPr>
                <w:rFonts w:ascii="Times New Roman" w:hAnsi="Times New Roman"/>
                <w:sz w:val="16"/>
                <w:szCs w:val="16"/>
                <w:lang w:val="uk-UA"/>
              </w:rPr>
            </w:pPr>
            <w:r w:rsidRPr="00E16672">
              <w:rPr>
                <w:rFonts w:ascii="Times New Roman" w:hAnsi="Times New Roman"/>
                <w:sz w:val="16"/>
                <w:szCs w:val="16"/>
                <w:lang w:val="uk-UA"/>
              </w:rPr>
              <w:t>2.2.4. В</w:t>
            </w:r>
            <w:proofErr w:type="spellStart"/>
            <w:r w:rsidR="009404CE" w:rsidRPr="00E16672">
              <w:rPr>
                <w:rFonts w:ascii="Times New Roman" w:hAnsi="Times New Roman"/>
                <w:sz w:val="16"/>
                <w:szCs w:val="16"/>
              </w:rPr>
              <w:t>имагати</w:t>
            </w:r>
            <w:proofErr w:type="spellEnd"/>
            <w:r w:rsidR="009404CE" w:rsidRPr="00E16672">
              <w:rPr>
                <w:rFonts w:ascii="Times New Roman" w:hAnsi="Times New Roman"/>
                <w:sz w:val="16"/>
                <w:szCs w:val="16"/>
              </w:rPr>
              <w:t xml:space="preserve"> </w:t>
            </w:r>
            <w:proofErr w:type="spellStart"/>
            <w:r w:rsidR="009404CE" w:rsidRPr="00E16672">
              <w:rPr>
                <w:rFonts w:ascii="Times New Roman" w:hAnsi="Times New Roman"/>
                <w:sz w:val="16"/>
                <w:szCs w:val="16"/>
              </w:rPr>
              <w:t>від</w:t>
            </w:r>
            <w:proofErr w:type="spellEnd"/>
            <w:r w:rsidR="009404CE" w:rsidRPr="00E16672">
              <w:rPr>
                <w:rFonts w:ascii="Times New Roman" w:hAnsi="Times New Roman"/>
                <w:sz w:val="16"/>
                <w:szCs w:val="16"/>
              </w:rPr>
              <w:t xml:space="preserve"> </w:t>
            </w:r>
            <w:proofErr w:type="spellStart"/>
            <w:r w:rsidR="009404CE" w:rsidRPr="00E16672">
              <w:rPr>
                <w:rFonts w:ascii="Times New Roman" w:hAnsi="Times New Roman"/>
                <w:sz w:val="16"/>
                <w:szCs w:val="16"/>
              </w:rPr>
              <w:t>Номінального</w:t>
            </w:r>
            <w:proofErr w:type="spellEnd"/>
            <w:r w:rsidR="009404CE" w:rsidRPr="00E16672">
              <w:rPr>
                <w:rFonts w:ascii="Times New Roman" w:hAnsi="Times New Roman"/>
                <w:sz w:val="16"/>
                <w:szCs w:val="16"/>
              </w:rPr>
              <w:t xml:space="preserve"> </w:t>
            </w:r>
            <w:proofErr w:type="spellStart"/>
            <w:r w:rsidR="009404CE" w:rsidRPr="00E16672">
              <w:rPr>
                <w:rFonts w:ascii="Times New Roman" w:hAnsi="Times New Roman"/>
                <w:sz w:val="16"/>
                <w:szCs w:val="16"/>
              </w:rPr>
              <w:t>утримувача</w:t>
            </w:r>
            <w:proofErr w:type="spellEnd"/>
            <w:r w:rsidR="009404CE" w:rsidRPr="00E16672">
              <w:rPr>
                <w:rFonts w:ascii="Times New Roman" w:hAnsi="Times New Roman"/>
                <w:sz w:val="16"/>
                <w:szCs w:val="16"/>
              </w:rPr>
              <w:t xml:space="preserve"> </w:t>
            </w:r>
            <w:proofErr w:type="spellStart"/>
            <w:r w:rsidR="009404CE" w:rsidRPr="00E16672">
              <w:rPr>
                <w:rFonts w:ascii="Times New Roman" w:hAnsi="Times New Roman"/>
                <w:sz w:val="16"/>
                <w:szCs w:val="16"/>
              </w:rPr>
              <w:t>надання</w:t>
            </w:r>
            <w:proofErr w:type="spellEnd"/>
            <w:r w:rsidR="009404CE" w:rsidRPr="00E16672">
              <w:rPr>
                <w:rFonts w:ascii="Times New Roman" w:hAnsi="Times New Roman"/>
                <w:sz w:val="16"/>
                <w:szCs w:val="16"/>
              </w:rPr>
              <w:t xml:space="preserve"> </w:t>
            </w:r>
            <w:proofErr w:type="spellStart"/>
            <w:r w:rsidR="009404CE" w:rsidRPr="00E16672">
              <w:rPr>
                <w:rFonts w:ascii="Times New Roman" w:hAnsi="Times New Roman"/>
                <w:sz w:val="16"/>
                <w:szCs w:val="16"/>
              </w:rPr>
              <w:t>усіх</w:t>
            </w:r>
            <w:proofErr w:type="spellEnd"/>
            <w:r w:rsidR="009404CE" w:rsidRPr="00E16672">
              <w:rPr>
                <w:rFonts w:ascii="Times New Roman" w:hAnsi="Times New Roman"/>
                <w:sz w:val="16"/>
                <w:szCs w:val="16"/>
              </w:rPr>
              <w:t xml:space="preserve"> </w:t>
            </w:r>
            <w:proofErr w:type="spellStart"/>
            <w:r w:rsidR="009404CE" w:rsidRPr="00E16672">
              <w:rPr>
                <w:rFonts w:ascii="Times New Roman" w:hAnsi="Times New Roman"/>
                <w:sz w:val="16"/>
                <w:szCs w:val="16"/>
              </w:rPr>
              <w:t>необхідних</w:t>
            </w:r>
            <w:proofErr w:type="spellEnd"/>
            <w:r w:rsidR="009404CE" w:rsidRPr="00E16672">
              <w:rPr>
                <w:rFonts w:ascii="Times New Roman" w:hAnsi="Times New Roman"/>
                <w:sz w:val="16"/>
                <w:szCs w:val="16"/>
              </w:rPr>
              <w:t xml:space="preserve"> </w:t>
            </w:r>
            <w:proofErr w:type="spellStart"/>
            <w:r w:rsidR="009404CE" w:rsidRPr="00E16672">
              <w:rPr>
                <w:rFonts w:ascii="Times New Roman" w:hAnsi="Times New Roman"/>
                <w:sz w:val="16"/>
                <w:szCs w:val="16"/>
              </w:rPr>
              <w:t>документів</w:t>
            </w:r>
            <w:proofErr w:type="spellEnd"/>
            <w:r w:rsidR="009404CE" w:rsidRPr="00E16672">
              <w:rPr>
                <w:rFonts w:ascii="Times New Roman" w:hAnsi="Times New Roman"/>
                <w:sz w:val="16"/>
                <w:szCs w:val="16"/>
              </w:rPr>
              <w:t xml:space="preserve"> для </w:t>
            </w:r>
            <w:proofErr w:type="spellStart"/>
            <w:r w:rsidR="009404CE" w:rsidRPr="00E16672">
              <w:rPr>
                <w:rFonts w:ascii="Times New Roman" w:hAnsi="Times New Roman"/>
                <w:sz w:val="16"/>
                <w:szCs w:val="16"/>
              </w:rPr>
              <w:t>обслуговування</w:t>
            </w:r>
            <w:proofErr w:type="spellEnd"/>
            <w:r w:rsidR="009404CE" w:rsidRPr="00E16672">
              <w:rPr>
                <w:rFonts w:ascii="Times New Roman" w:hAnsi="Times New Roman"/>
                <w:sz w:val="16"/>
                <w:szCs w:val="16"/>
              </w:rPr>
              <w:t xml:space="preserve"> </w:t>
            </w:r>
            <w:proofErr w:type="spellStart"/>
            <w:r w:rsidR="009404CE" w:rsidRPr="00E16672">
              <w:rPr>
                <w:rFonts w:ascii="Times New Roman" w:hAnsi="Times New Roman"/>
                <w:sz w:val="16"/>
                <w:szCs w:val="16"/>
              </w:rPr>
              <w:t>рахунку</w:t>
            </w:r>
            <w:proofErr w:type="spellEnd"/>
            <w:r w:rsidR="009404CE" w:rsidRPr="00E16672">
              <w:rPr>
                <w:rFonts w:ascii="Times New Roman" w:hAnsi="Times New Roman"/>
                <w:sz w:val="16"/>
                <w:szCs w:val="16"/>
              </w:rPr>
              <w:t xml:space="preserve"> </w:t>
            </w:r>
            <w:r w:rsidR="00C22309" w:rsidRPr="00E16672">
              <w:rPr>
                <w:rFonts w:ascii="Times New Roman" w:hAnsi="Times New Roman"/>
                <w:sz w:val="16"/>
                <w:szCs w:val="16"/>
              </w:rPr>
              <w:t xml:space="preserve">в </w:t>
            </w:r>
            <w:proofErr w:type="spellStart"/>
            <w:r w:rsidR="00C22309" w:rsidRPr="00E16672">
              <w:rPr>
                <w:rFonts w:ascii="Times New Roman" w:hAnsi="Times New Roman"/>
                <w:sz w:val="16"/>
                <w:szCs w:val="16"/>
              </w:rPr>
              <w:t>цін</w:t>
            </w:r>
            <w:r w:rsidR="009404CE" w:rsidRPr="00E16672">
              <w:rPr>
                <w:rFonts w:ascii="Times New Roman" w:hAnsi="Times New Roman"/>
                <w:sz w:val="16"/>
                <w:szCs w:val="16"/>
              </w:rPr>
              <w:t>них</w:t>
            </w:r>
            <w:proofErr w:type="spellEnd"/>
            <w:r w:rsidR="009404CE" w:rsidRPr="00E16672">
              <w:rPr>
                <w:rFonts w:ascii="Times New Roman" w:hAnsi="Times New Roman"/>
                <w:sz w:val="16"/>
                <w:szCs w:val="16"/>
              </w:rPr>
              <w:t xml:space="preserve"> </w:t>
            </w:r>
            <w:proofErr w:type="spellStart"/>
            <w:r w:rsidR="009404CE" w:rsidRPr="00E16672">
              <w:rPr>
                <w:rFonts w:ascii="Times New Roman" w:hAnsi="Times New Roman"/>
                <w:sz w:val="16"/>
                <w:szCs w:val="16"/>
              </w:rPr>
              <w:t>паперах</w:t>
            </w:r>
            <w:proofErr w:type="spellEnd"/>
            <w:r w:rsidR="009404CE" w:rsidRPr="00E16672">
              <w:rPr>
                <w:rFonts w:ascii="Times New Roman" w:hAnsi="Times New Roman"/>
                <w:sz w:val="16"/>
                <w:szCs w:val="16"/>
              </w:rPr>
              <w:t xml:space="preserve"> </w:t>
            </w:r>
            <w:proofErr w:type="spellStart"/>
            <w:r w:rsidR="009404CE" w:rsidRPr="00E16672">
              <w:rPr>
                <w:rFonts w:ascii="Times New Roman" w:hAnsi="Times New Roman"/>
                <w:sz w:val="16"/>
                <w:szCs w:val="16"/>
              </w:rPr>
              <w:t>згідно</w:t>
            </w:r>
            <w:proofErr w:type="spellEnd"/>
            <w:r w:rsidR="009404CE" w:rsidRPr="00E16672">
              <w:rPr>
                <w:rFonts w:ascii="Times New Roman" w:hAnsi="Times New Roman"/>
                <w:sz w:val="16"/>
                <w:szCs w:val="16"/>
              </w:rPr>
              <w:t xml:space="preserve"> з </w:t>
            </w:r>
            <w:proofErr w:type="spellStart"/>
            <w:r w:rsidR="009404CE" w:rsidRPr="00E16672">
              <w:rPr>
                <w:rFonts w:ascii="Times New Roman" w:hAnsi="Times New Roman"/>
                <w:sz w:val="16"/>
                <w:szCs w:val="16"/>
              </w:rPr>
              <w:t>чинним</w:t>
            </w:r>
            <w:proofErr w:type="spellEnd"/>
            <w:r w:rsidR="009404CE" w:rsidRPr="00E16672">
              <w:rPr>
                <w:rFonts w:ascii="Times New Roman" w:hAnsi="Times New Roman"/>
                <w:sz w:val="16"/>
                <w:szCs w:val="16"/>
              </w:rPr>
              <w:t xml:space="preserve"> </w:t>
            </w:r>
            <w:proofErr w:type="spellStart"/>
            <w:r w:rsidR="009404CE" w:rsidRPr="00E16672">
              <w:rPr>
                <w:rFonts w:ascii="Times New Roman" w:hAnsi="Times New Roman"/>
                <w:sz w:val="16"/>
                <w:szCs w:val="16"/>
              </w:rPr>
              <w:t>законодавством</w:t>
            </w:r>
            <w:proofErr w:type="spellEnd"/>
            <w:r w:rsidR="009404CE" w:rsidRPr="00E16672">
              <w:rPr>
                <w:rFonts w:ascii="Times New Roman" w:hAnsi="Times New Roman"/>
                <w:sz w:val="16"/>
                <w:szCs w:val="16"/>
              </w:rPr>
              <w:t xml:space="preserve"> </w:t>
            </w:r>
            <w:proofErr w:type="spellStart"/>
            <w:r w:rsidR="009404CE" w:rsidRPr="00E16672">
              <w:rPr>
                <w:rFonts w:ascii="Times New Roman" w:hAnsi="Times New Roman"/>
                <w:sz w:val="16"/>
                <w:szCs w:val="16"/>
              </w:rPr>
              <w:t>України</w:t>
            </w:r>
            <w:proofErr w:type="spellEnd"/>
            <w:r w:rsidR="009404CE" w:rsidRPr="00E16672">
              <w:rPr>
                <w:rFonts w:ascii="Times New Roman" w:hAnsi="Times New Roman"/>
                <w:sz w:val="16"/>
                <w:szCs w:val="16"/>
              </w:rPr>
              <w:t xml:space="preserve">, а </w:t>
            </w:r>
            <w:proofErr w:type="spellStart"/>
            <w:r w:rsidR="009404CE" w:rsidRPr="00E16672">
              <w:rPr>
                <w:rFonts w:ascii="Times New Roman" w:hAnsi="Times New Roman"/>
                <w:sz w:val="16"/>
                <w:szCs w:val="16"/>
              </w:rPr>
              <w:t>також</w:t>
            </w:r>
            <w:proofErr w:type="spellEnd"/>
            <w:r w:rsidR="009404CE" w:rsidRPr="00E16672">
              <w:rPr>
                <w:rFonts w:ascii="Times New Roman" w:hAnsi="Times New Roman"/>
                <w:sz w:val="16"/>
                <w:szCs w:val="16"/>
              </w:rPr>
              <w:t xml:space="preserve"> </w:t>
            </w:r>
            <w:proofErr w:type="spellStart"/>
            <w:r w:rsidR="009404CE" w:rsidRPr="00E16672">
              <w:rPr>
                <w:rFonts w:ascii="Times New Roman" w:hAnsi="Times New Roman"/>
                <w:sz w:val="16"/>
                <w:szCs w:val="16"/>
              </w:rPr>
              <w:t>вимагати</w:t>
            </w:r>
            <w:proofErr w:type="spellEnd"/>
            <w:r w:rsidR="009404CE" w:rsidRPr="00E16672">
              <w:rPr>
                <w:rFonts w:ascii="Times New Roman" w:hAnsi="Times New Roman"/>
                <w:sz w:val="16"/>
                <w:szCs w:val="16"/>
              </w:rPr>
              <w:t xml:space="preserve"> </w:t>
            </w:r>
            <w:proofErr w:type="spellStart"/>
            <w:r w:rsidR="009404CE" w:rsidRPr="00E16672">
              <w:rPr>
                <w:rFonts w:ascii="Times New Roman" w:hAnsi="Times New Roman"/>
                <w:sz w:val="16"/>
                <w:szCs w:val="16"/>
              </w:rPr>
              <w:t>належного</w:t>
            </w:r>
            <w:proofErr w:type="spellEnd"/>
            <w:r w:rsidR="009404CE" w:rsidRPr="00E16672">
              <w:rPr>
                <w:rFonts w:ascii="Times New Roman" w:hAnsi="Times New Roman"/>
                <w:sz w:val="16"/>
                <w:szCs w:val="16"/>
              </w:rPr>
              <w:t xml:space="preserve"> </w:t>
            </w:r>
            <w:proofErr w:type="spellStart"/>
            <w:r w:rsidR="009404CE" w:rsidRPr="00E16672">
              <w:rPr>
                <w:rFonts w:ascii="Times New Roman" w:hAnsi="Times New Roman"/>
                <w:sz w:val="16"/>
                <w:szCs w:val="16"/>
              </w:rPr>
              <w:t>засвідчення</w:t>
            </w:r>
            <w:proofErr w:type="spellEnd"/>
            <w:r w:rsidR="009404CE" w:rsidRPr="00E16672">
              <w:rPr>
                <w:rFonts w:ascii="Times New Roman" w:hAnsi="Times New Roman"/>
                <w:sz w:val="16"/>
                <w:szCs w:val="16"/>
              </w:rPr>
              <w:t xml:space="preserve"> </w:t>
            </w:r>
            <w:proofErr w:type="spellStart"/>
            <w:r w:rsidR="009404CE" w:rsidRPr="00E16672">
              <w:rPr>
                <w:rFonts w:ascii="Times New Roman" w:hAnsi="Times New Roman"/>
                <w:sz w:val="16"/>
                <w:szCs w:val="16"/>
              </w:rPr>
              <w:t>документів</w:t>
            </w:r>
            <w:proofErr w:type="spellEnd"/>
            <w:r w:rsidR="009404CE" w:rsidRPr="00E16672">
              <w:rPr>
                <w:rFonts w:ascii="Times New Roman" w:hAnsi="Times New Roman"/>
                <w:sz w:val="16"/>
                <w:szCs w:val="16"/>
              </w:rPr>
              <w:t xml:space="preserve"> </w:t>
            </w:r>
            <w:proofErr w:type="spellStart"/>
            <w:r w:rsidR="009404CE" w:rsidRPr="00E16672">
              <w:rPr>
                <w:rFonts w:ascii="Times New Roman" w:hAnsi="Times New Roman"/>
                <w:sz w:val="16"/>
                <w:szCs w:val="16"/>
              </w:rPr>
              <w:t>відповідно</w:t>
            </w:r>
            <w:proofErr w:type="spellEnd"/>
            <w:r w:rsidR="009404CE" w:rsidRPr="00E16672">
              <w:rPr>
                <w:rFonts w:ascii="Times New Roman" w:hAnsi="Times New Roman"/>
                <w:sz w:val="16"/>
                <w:szCs w:val="16"/>
              </w:rPr>
              <w:t xml:space="preserve"> до </w:t>
            </w:r>
            <w:proofErr w:type="spellStart"/>
            <w:r w:rsidR="009404CE" w:rsidRPr="00E16672">
              <w:rPr>
                <w:rFonts w:ascii="Times New Roman" w:hAnsi="Times New Roman"/>
                <w:sz w:val="16"/>
                <w:szCs w:val="16"/>
              </w:rPr>
              <w:t>вимог</w:t>
            </w:r>
            <w:proofErr w:type="spellEnd"/>
            <w:r w:rsidR="009404CE" w:rsidRPr="00E16672">
              <w:rPr>
                <w:rFonts w:ascii="Times New Roman" w:hAnsi="Times New Roman"/>
                <w:sz w:val="16"/>
                <w:szCs w:val="16"/>
              </w:rPr>
              <w:t xml:space="preserve"> чинного </w:t>
            </w:r>
            <w:proofErr w:type="spellStart"/>
            <w:r w:rsidR="009404CE" w:rsidRPr="00E16672">
              <w:rPr>
                <w:rFonts w:ascii="Times New Roman" w:hAnsi="Times New Roman"/>
                <w:sz w:val="16"/>
                <w:szCs w:val="16"/>
              </w:rPr>
              <w:t>законодавства</w:t>
            </w:r>
            <w:proofErr w:type="spellEnd"/>
            <w:r w:rsidRPr="00E16672">
              <w:rPr>
                <w:rFonts w:ascii="Times New Roman" w:hAnsi="Times New Roman"/>
                <w:sz w:val="16"/>
                <w:szCs w:val="16"/>
                <w:lang w:val="uk-UA"/>
              </w:rPr>
              <w:t>.</w:t>
            </w:r>
          </w:p>
          <w:p w14:paraId="511A291F" w14:textId="77777777" w:rsidR="002253C8" w:rsidRPr="00E16672" w:rsidRDefault="002253C8" w:rsidP="00EB18F8">
            <w:pPr>
              <w:ind w:left="172" w:firstLine="0"/>
              <w:rPr>
                <w:rFonts w:ascii="Times New Roman" w:hAnsi="Times New Roman"/>
                <w:sz w:val="16"/>
                <w:szCs w:val="16"/>
                <w:lang w:val="uk-UA"/>
              </w:rPr>
            </w:pPr>
          </w:p>
          <w:p w14:paraId="73A87961" w14:textId="77777777" w:rsidR="009404CE" w:rsidRPr="00E16672" w:rsidRDefault="00550837" w:rsidP="00EB18F8">
            <w:pPr>
              <w:ind w:left="172" w:firstLine="0"/>
              <w:rPr>
                <w:rFonts w:ascii="Times New Roman" w:hAnsi="Times New Roman"/>
                <w:sz w:val="16"/>
                <w:szCs w:val="16"/>
              </w:rPr>
            </w:pPr>
            <w:r w:rsidRPr="00E16672">
              <w:rPr>
                <w:rFonts w:ascii="Times New Roman" w:hAnsi="Times New Roman"/>
                <w:sz w:val="16"/>
                <w:szCs w:val="16"/>
                <w:lang w:val="uk-UA"/>
              </w:rPr>
              <w:t>2.2.5. В</w:t>
            </w:r>
            <w:proofErr w:type="spellStart"/>
            <w:r w:rsidR="009404CE" w:rsidRPr="00E16672">
              <w:rPr>
                <w:rFonts w:ascii="Times New Roman" w:hAnsi="Times New Roman"/>
                <w:sz w:val="16"/>
                <w:szCs w:val="16"/>
              </w:rPr>
              <w:t>ідмовити</w:t>
            </w:r>
            <w:proofErr w:type="spellEnd"/>
            <w:r w:rsidR="009404CE" w:rsidRPr="00E16672">
              <w:rPr>
                <w:rFonts w:ascii="Times New Roman" w:hAnsi="Times New Roman"/>
                <w:sz w:val="16"/>
                <w:szCs w:val="16"/>
              </w:rPr>
              <w:t xml:space="preserve"> у </w:t>
            </w:r>
            <w:proofErr w:type="spellStart"/>
            <w:r w:rsidR="009404CE" w:rsidRPr="00E16672">
              <w:rPr>
                <w:rFonts w:ascii="Times New Roman" w:hAnsi="Times New Roman"/>
                <w:sz w:val="16"/>
                <w:szCs w:val="16"/>
              </w:rPr>
              <w:t>взятті</w:t>
            </w:r>
            <w:proofErr w:type="spellEnd"/>
            <w:r w:rsidR="009404CE" w:rsidRPr="00E16672">
              <w:rPr>
                <w:rFonts w:ascii="Times New Roman" w:hAnsi="Times New Roman"/>
                <w:sz w:val="16"/>
                <w:szCs w:val="16"/>
              </w:rPr>
              <w:t xml:space="preserve"> до </w:t>
            </w:r>
            <w:proofErr w:type="spellStart"/>
            <w:r w:rsidR="009404CE" w:rsidRPr="00E16672">
              <w:rPr>
                <w:rFonts w:ascii="Times New Roman" w:hAnsi="Times New Roman"/>
                <w:sz w:val="16"/>
                <w:szCs w:val="16"/>
              </w:rPr>
              <w:t>виконання</w:t>
            </w:r>
            <w:proofErr w:type="spellEnd"/>
            <w:r w:rsidR="009404CE" w:rsidRPr="00E16672">
              <w:rPr>
                <w:rFonts w:ascii="Times New Roman" w:hAnsi="Times New Roman"/>
                <w:sz w:val="16"/>
                <w:szCs w:val="16"/>
              </w:rPr>
              <w:t xml:space="preserve"> </w:t>
            </w:r>
            <w:proofErr w:type="spellStart"/>
            <w:r w:rsidR="009404CE" w:rsidRPr="00E16672">
              <w:rPr>
                <w:rFonts w:ascii="Times New Roman" w:hAnsi="Times New Roman"/>
                <w:sz w:val="16"/>
                <w:szCs w:val="16"/>
              </w:rPr>
              <w:t>розпорядження</w:t>
            </w:r>
            <w:proofErr w:type="spellEnd"/>
            <w:r w:rsidR="009404CE" w:rsidRPr="00E16672">
              <w:rPr>
                <w:rFonts w:ascii="Times New Roman" w:hAnsi="Times New Roman"/>
                <w:sz w:val="16"/>
                <w:szCs w:val="16"/>
              </w:rPr>
              <w:t xml:space="preserve"> (</w:t>
            </w:r>
            <w:proofErr w:type="spellStart"/>
            <w:r w:rsidR="009404CE" w:rsidRPr="00E16672">
              <w:rPr>
                <w:rFonts w:ascii="Times New Roman" w:hAnsi="Times New Roman"/>
                <w:sz w:val="16"/>
                <w:szCs w:val="16"/>
              </w:rPr>
              <w:t>запиту</w:t>
            </w:r>
            <w:proofErr w:type="spellEnd"/>
            <w:r w:rsidR="009404CE" w:rsidRPr="00E16672">
              <w:rPr>
                <w:rFonts w:ascii="Times New Roman" w:hAnsi="Times New Roman"/>
                <w:sz w:val="16"/>
                <w:szCs w:val="16"/>
              </w:rPr>
              <w:t xml:space="preserve">) </w:t>
            </w:r>
            <w:proofErr w:type="spellStart"/>
            <w:r w:rsidR="009404CE" w:rsidRPr="00E16672">
              <w:rPr>
                <w:rFonts w:ascii="Times New Roman" w:hAnsi="Times New Roman"/>
                <w:sz w:val="16"/>
                <w:szCs w:val="16"/>
              </w:rPr>
              <w:t>Номінального</w:t>
            </w:r>
            <w:proofErr w:type="spellEnd"/>
            <w:r w:rsidR="009404CE" w:rsidRPr="00E16672">
              <w:rPr>
                <w:rFonts w:ascii="Times New Roman" w:hAnsi="Times New Roman"/>
                <w:sz w:val="16"/>
                <w:szCs w:val="16"/>
              </w:rPr>
              <w:t xml:space="preserve"> </w:t>
            </w:r>
            <w:proofErr w:type="spellStart"/>
            <w:r w:rsidR="009404CE" w:rsidRPr="00E16672">
              <w:rPr>
                <w:rFonts w:ascii="Times New Roman" w:hAnsi="Times New Roman"/>
                <w:sz w:val="16"/>
                <w:szCs w:val="16"/>
              </w:rPr>
              <w:t>утримувача</w:t>
            </w:r>
            <w:proofErr w:type="spellEnd"/>
            <w:r w:rsidR="009404CE" w:rsidRPr="00E16672">
              <w:rPr>
                <w:rFonts w:ascii="Times New Roman" w:hAnsi="Times New Roman"/>
                <w:sz w:val="16"/>
                <w:szCs w:val="16"/>
              </w:rPr>
              <w:t xml:space="preserve"> (</w:t>
            </w:r>
            <w:proofErr w:type="spellStart"/>
            <w:r w:rsidR="009404CE" w:rsidRPr="00E16672">
              <w:rPr>
                <w:rFonts w:ascii="Times New Roman" w:hAnsi="Times New Roman"/>
                <w:sz w:val="16"/>
                <w:szCs w:val="16"/>
              </w:rPr>
              <w:t>керуючого</w:t>
            </w:r>
            <w:proofErr w:type="spellEnd"/>
            <w:r w:rsidR="009404CE" w:rsidRPr="00E16672">
              <w:rPr>
                <w:rFonts w:ascii="Times New Roman" w:hAnsi="Times New Roman"/>
                <w:sz w:val="16"/>
                <w:szCs w:val="16"/>
              </w:rPr>
              <w:t xml:space="preserve"> </w:t>
            </w:r>
            <w:proofErr w:type="spellStart"/>
            <w:r w:rsidR="009404CE" w:rsidRPr="00E16672">
              <w:rPr>
                <w:rFonts w:ascii="Times New Roman" w:hAnsi="Times New Roman"/>
                <w:sz w:val="16"/>
                <w:szCs w:val="16"/>
              </w:rPr>
              <w:t>чи</w:t>
            </w:r>
            <w:proofErr w:type="spellEnd"/>
            <w:r w:rsidR="009404CE" w:rsidRPr="00E16672">
              <w:rPr>
                <w:rFonts w:ascii="Times New Roman" w:hAnsi="Times New Roman"/>
                <w:sz w:val="16"/>
                <w:szCs w:val="16"/>
              </w:rPr>
              <w:t xml:space="preserve"> </w:t>
            </w:r>
            <w:proofErr w:type="spellStart"/>
            <w:r w:rsidR="009404CE" w:rsidRPr="00E16672">
              <w:rPr>
                <w:rFonts w:ascii="Times New Roman" w:hAnsi="Times New Roman"/>
                <w:sz w:val="16"/>
                <w:szCs w:val="16"/>
              </w:rPr>
              <w:t>розпорядника</w:t>
            </w:r>
            <w:proofErr w:type="spellEnd"/>
            <w:r w:rsidR="009404CE" w:rsidRPr="00E16672">
              <w:rPr>
                <w:rFonts w:ascii="Times New Roman" w:hAnsi="Times New Roman"/>
                <w:sz w:val="16"/>
                <w:szCs w:val="16"/>
              </w:rPr>
              <w:t xml:space="preserve"> </w:t>
            </w:r>
            <w:proofErr w:type="spellStart"/>
            <w:r w:rsidR="009404CE" w:rsidRPr="00E16672">
              <w:rPr>
                <w:rFonts w:ascii="Times New Roman" w:hAnsi="Times New Roman"/>
                <w:sz w:val="16"/>
                <w:szCs w:val="16"/>
              </w:rPr>
              <w:t>його</w:t>
            </w:r>
            <w:proofErr w:type="spellEnd"/>
            <w:r w:rsidR="009404CE" w:rsidRPr="00E16672">
              <w:rPr>
                <w:rFonts w:ascii="Times New Roman" w:hAnsi="Times New Roman"/>
                <w:sz w:val="16"/>
                <w:szCs w:val="16"/>
              </w:rPr>
              <w:t xml:space="preserve"> </w:t>
            </w:r>
            <w:proofErr w:type="spellStart"/>
            <w:r w:rsidR="009404CE" w:rsidRPr="00E16672">
              <w:rPr>
                <w:rFonts w:ascii="Times New Roman" w:hAnsi="Times New Roman"/>
                <w:sz w:val="16"/>
                <w:szCs w:val="16"/>
              </w:rPr>
              <w:t>рахунку</w:t>
            </w:r>
            <w:proofErr w:type="spellEnd"/>
            <w:r w:rsidR="009404CE" w:rsidRPr="00E16672">
              <w:rPr>
                <w:rFonts w:ascii="Times New Roman" w:hAnsi="Times New Roman"/>
                <w:sz w:val="16"/>
                <w:szCs w:val="16"/>
              </w:rPr>
              <w:t xml:space="preserve"> у  </w:t>
            </w:r>
            <w:proofErr w:type="spellStart"/>
            <w:r w:rsidR="009404CE" w:rsidRPr="00E16672">
              <w:rPr>
                <w:rFonts w:ascii="Times New Roman" w:hAnsi="Times New Roman"/>
                <w:sz w:val="16"/>
                <w:szCs w:val="16"/>
              </w:rPr>
              <w:t>випадках</w:t>
            </w:r>
            <w:proofErr w:type="spellEnd"/>
            <w:r w:rsidR="009404CE" w:rsidRPr="00E16672">
              <w:rPr>
                <w:rFonts w:ascii="Times New Roman" w:hAnsi="Times New Roman"/>
                <w:sz w:val="16"/>
                <w:szCs w:val="16"/>
              </w:rPr>
              <w:t xml:space="preserve">, </w:t>
            </w:r>
            <w:proofErr w:type="spellStart"/>
            <w:r w:rsidR="009404CE" w:rsidRPr="00E16672">
              <w:rPr>
                <w:rFonts w:ascii="Times New Roman" w:hAnsi="Times New Roman"/>
                <w:sz w:val="16"/>
                <w:szCs w:val="16"/>
              </w:rPr>
              <w:t>передбачених</w:t>
            </w:r>
            <w:proofErr w:type="spellEnd"/>
            <w:r w:rsidR="009404CE" w:rsidRPr="00E16672">
              <w:rPr>
                <w:rFonts w:ascii="Times New Roman" w:hAnsi="Times New Roman"/>
                <w:sz w:val="16"/>
                <w:szCs w:val="16"/>
              </w:rPr>
              <w:t xml:space="preserve"> </w:t>
            </w:r>
            <w:proofErr w:type="spellStart"/>
            <w:r w:rsidR="009404CE" w:rsidRPr="00E16672">
              <w:rPr>
                <w:rFonts w:ascii="Times New Roman" w:hAnsi="Times New Roman"/>
                <w:sz w:val="16"/>
                <w:szCs w:val="16"/>
              </w:rPr>
              <w:t>внутрішнім</w:t>
            </w:r>
            <w:proofErr w:type="spellEnd"/>
            <w:r w:rsidR="009404CE" w:rsidRPr="00E16672">
              <w:rPr>
                <w:rFonts w:ascii="Times New Roman" w:hAnsi="Times New Roman"/>
                <w:sz w:val="16"/>
                <w:szCs w:val="16"/>
              </w:rPr>
              <w:t xml:space="preserve"> </w:t>
            </w:r>
            <w:proofErr w:type="spellStart"/>
            <w:r w:rsidR="009404CE" w:rsidRPr="00E16672">
              <w:rPr>
                <w:rFonts w:ascii="Times New Roman" w:hAnsi="Times New Roman"/>
                <w:sz w:val="16"/>
                <w:szCs w:val="16"/>
              </w:rPr>
              <w:t>положенням</w:t>
            </w:r>
            <w:proofErr w:type="spellEnd"/>
            <w:r w:rsidR="009404CE" w:rsidRPr="00E16672">
              <w:rPr>
                <w:rFonts w:ascii="Times New Roman" w:hAnsi="Times New Roman"/>
                <w:sz w:val="16"/>
                <w:szCs w:val="16"/>
              </w:rPr>
              <w:t xml:space="preserve"> та </w:t>
            </w:r>
            <w:proofErr w:type="spellStart"/>
            <w:r w:rsidR="009404CE" w:rsidRPr="00E16672">
              <w:rPr>
                <w:rFonts w:ascii="Times New Roman" w:hAnsi="Times New Roman"/>
                <w:sz w:val="16"/>
                <w:szCs w:val="16"/>
              </w:rPr>
              <w:t>чинним</w:t>
            </w:r>
            <w:proofErr w:type="spellEnd"/>
            <w:r w:rsidR="009404CE" w:rsidRPr="00E16672">
              <w:rPr>
                <w:rFonts w:ascii="Times New Roman" w:hAnsi="Times New Roman"/>
                <w:sz w:val="16"/>
                <w:szCs w:val="16"/>
              </w:rPr>
              <w:t xml:space="preserve"> </w:t>
            </w:r>
            <w:proofErr w:type="spellStart"/>
            <w:r w:rsidR="009404CE" w:rsidRPr="00E16672">
              <w:rPr>
                <w:rFonts w:ascii="Times New Roman" w:hAnsi="Times New Roman"/>
                <w:sz w:val="16"/>
                <w:szCs w:val="16"/>
              </w:rPr>
              <w:t>законодавством</w:t>
            </w:r>
            <w:proofErr w:type="spellEnd"/>
            <w:r w:rsidR="009404CE" w:rsidRPr="00E16672">
              <w:rPr>
                <w:rFonts w:ascii="Times New Roman" w:hAnsi="Times New Roman"/>
                <w:sz w:val="16"/>
                <w:szCs w:val="16"/>
              </w:rPr>
              <w:t xml:space="preserve"> </w:t>
            </w:r>
            <w:proofErr w:type="spellStart"/>
            <w:r w:rsidR="009404CE" w:rsidRPr="00E16672">
              <w:rPr>
                <w:rFonts w:ascii="Times New Roman" w:hAnsi="Times New Roman"/>
                <w:sz w:val="16"/>
                <w:szCs w:val="16"/>
              </w:rPr>
              <w:t>України</w:t>
            </w:r>
            <w:proofErr w:type="spellEnd"/>
            <w:r w:rsidR="009404CE" w:rsidRPr="00E16672">
              <w:rPr>
                <w:rFonts w:ascii="Times New Roman" w:hAnsi="Times New Roman"/>
                <w:sz w:val="16"/>
                <w:szCs w:val="16"/>
              </w:rPr>
              <w:t xml:space="preserve">. </w:t>
            </w:r>
          </w:p>
          <w:p w14:paraId="21456664" w14:textId="77777777" w:rsidR="00EB25FE" w:rsidRPr="00E16672" w:rsidRDefault="00EB25FE" w:rsidP="001456E9">
            <w:pPr>
              <w:snapToGrid w:val="0"/>
              <w:ind w:left="172" w:right="138" w:firstLine="7"/>
              <w:rPr>
                <w:rFonts w:ascii="Times New Roman" w:hAnsi="Times New Roman"/>
                <w:sz w:val="16"/>
                <w:szCs w:val="16"/>
              </w:rPr>
            </w:pPr>
          </w:p>
        </w:tc>
        <w:tc>
          <w:tcPr>
            <w:tcW w:w="5495" w:type="dxa"/>
            <w:gridSpan w:val="8"/>
            <w:shd w:val="clear" w:color="auto" w:fill="auto"/>
          </w:tcPr>
          <w:p w14:paraId="7E75D062" w14:textId="77777777" w:rsidR="008555D5" w:rsidRPr="00E16672" w:rsidRDefault="008555D5" w:rsidP="001456E9">
            <w:pPr>
              <w:ind w:left="172" w:firstLine="0"/>
              <w:rPr>
                <w:rFonts w:ascii="Times New Roman" w:hAnsi="Times New Roman"/>
                <w:sz w:val="16"/>
                <w:szCs w:val="16"/>
                <w:lang w:val="en-US"/>
              </w:rPr>
            </w:pPr>
            <w:r w:rsidRPr="00E16672">
              <w:rPr>
                <w:rFonts w:ascii="Times New Roman" w:hAnsi="Times New Roman"/>
                <w:sz w:val="16"/>
                <w:szCs w:val="16"/>
                <w:lang w:val="en-US"/>
              </w:rPr>
              <w:t>2.2.2. To close the account (s) in the securities of the nominee holder, in which there are no rights to the securities, without the nominee's keeper's instructions to close the securities account (accounts) and to terminate the Unilateral Agreement in the event of termination of its activity by the depositary institution accordingly to the requirements of the regulatory legal act on the custody of the depositary activity of the depositary institution.</w:t>
            </w:r>
          </w:p>
          <w:p w14:paraId="08C83970" w14:textId="77777777" w:rsidR="008555D5" w:rsidRPr="00E16672" w:rsidRDefault="008555D5" w:rsidP="001456E9">
            <w:pPr>
              <w:ind w:left="172" w:firstLine="0"/>
              <w:rPr>
                <w:rFonts w:ascii="Times New Roman" w:hAnsi="Times New Roman"/>
                <w:sz w:val="16"/>
                <w:szCs w:val="16"/>
                <w:lang w:val="en-US"/>
              </w:rPr>
            </w:pPr>
          </w:p>
          <w:p w14:paraId="04503EA8" w14:textId="77777777" w:rsidR="008555D5" w:rsidRPr="00E16672" w:rsidRDefault="008555D5" w:rsidP="001456E9">
            <w:pPr>
              <w:ind w:left="172" w:firstLine="0"/>
              <w:rPr>
                <w:rFonts w:ascii="Times New Roman" w:hAnsi="Times New Roman"/>
                <w:sz w:val="16"/>
                <w:szCs w:val="16"/>
                <w:lang w:val="en-US"/>
              </w:rPr>
            </w:pPr>
          </w:p>
          <w:p w14:paraId="158052A7" w14:textId="77777777" w:rsidR="008555D5" w:rsidRPr="00E16672" w:rsidRDefault="008555D5" w:rsidP="001456E9">
            <w:pPr>
              <w:ind w:left="172" w:firstLine="0"/>
              <w:rPr>
                <w:rFonts w:ascii="Times New Roman" w:hAnsi="Times New Roman"/>
                <w:sz w:val="16"/>
                <w:szCs w:val="16"/>
                <w:lang w:val="en-US"/>
              </w:rPr>
            </w:pPr>
            <w:r w:rsidRPr="00E16672">
              <w:rPr>
                <w:rFonts w:ascii="Times New Roman" w:hAnsi="Times New Roman"/>
                <w:sz w:val="16"/>
                <w:szCs w:val="16"/>
                <w:lang w:val="en-US"/>
              </w:rPr>
              <w:t xml:space="preserve">2.2.3. </w:t>
            </w:r>
            <w:r w:rsidR="002253C8" w:rsidRPr="00E16672">
              <w:rPr>
                <w:rFonts w:ascii="Times New Roman" w:hAnsi="Times New Roman"/>
                <w:sz w:val="16"/>
                <w:szCs w:val="16"/>
                <w:lang w:val="en-US"/>
              </w:rPr>
              <w:t xml:space="preserve">To suspend </w:t>
            </w:r>
            <w:r w:rsidRPr="00E16672">
              <w:rPr>
                <w:rFonts w:ascii="Times New Roman" w:hAnsi="Times New Roman"/>
                <w:sz w:val="16"/>
                <w:szCs w:val="16"/>
                <w:lang w:val="en-US"/>
              </w:rPr>
              <w:t>the servicing of the securities account in case of violation by the nominal holder of this Agreement for the payment of services of the depositary institution as well as in case of failure to provide identification documents stipulated by the current legislation.</w:t>
            </w:r>
          </w:p>
          <w:p w14:paraId="76EF9D2B" w14:textId="77777777" w:rsidR="00BE0773" w:rsidRPr="00E16672" w:rsidRDefault="00BE0773" w:rsidP="001456E9">
            <w:pPr>
              <w:ind w:left="172" w:firstLine="0"/>
              <w:rPr>
                <w:rFonts w:ascii="Times New Roman" w:hAnsi="Times New Roman"/>
                <w:sz w:val="16"/>
                <w:szCs w:val="16"/>
                <w:lang w:val="en-US"/>
              </w:rPr>
            </w:pPr>
          </w:p>
          <w:p w14:paraId="616D65EB" w14:textId="77777777" w:rsidR="008555D5" w:rsidRPr="00E16672" w:rsidRDefault="008555D5" w:rsidP="001456E9">
            <w:pPr>
              <w:ind w:left="172" w:firstLine="0"/>
              <w:rPr>
                <w:rFonts w:ascii="Times New Roman" w:hAnsi="Times New Roman"/>
                <w:sz w:val="16"/>
                <w:szCs w:val="16"/>
                <w:lang w:val="en-US"/>
              </w:rPr>
            </w:pPr>
            <w:r w:rsidRPr="00E16672">
              <w:rPr>
                <w:rFonts w:ascii="Times New Roman" w:hAnsi="Times New Roman"/>
                <w:sz w:val="16"/>
                <w:szCs w:val="16"/>
                <w:lang w:val="en-US"/>
              </w:rPr>
              <w:t xml:space="preserve">2.2.4. </w:t>
            </w:r>
            <w:r w:rsidR="002253C8" w:rsidRPr="00E16672">
              <w:rPr>
                <w:rFonts w:ascii="Times New Roman" w:hAnsi="Times New Roman"/>
                <w:sz w:val="16"/>
                <w:szCs w:val="16"/>
                <w:lang w:val="en-US"/>
              </w:rPr>
              <w:t xml:space="preserve">To require </w:t>
            </w:r>
            <w:r w:rsidRPr="00E16672">
              <w:rPr>
                <w:rFonts w:ascii="Times New Roman" w:hAnsi="Times New Roman"/>
                <w:sz w:val="16"/>
                <w:szCs w:val="16"/>
                <w:lang w:val="en-US"/>
              </w:rPr>
              <w:t xml:space="preserve">the Nominee </w:t>
            </w:r>
            <w:r w:rsidR="003A0443" w:rsidRPr="00E16672">
              <w:rPr>
                <w:rFonts w:ascii="Times New Roman" w:hAnsi="Times New Roman"/>
                <w:sz w:val="16"/>
                <w:szCs w:val="16"/>
                <w:lang w:val="en-US"/>
              </w:rPr>
              <w:t xml:space="preserve">holder </w:t>
            </w:r>
            <w:r w:rsidRPr="00E16672">
              <w:rPr>
                <w:rFonts w:ascii="Times New Roman" w:hAnsi="Times New Roman"/>
                <w:sz w:val="16"/>
                <w:szCs w:val="16"/>
                <w:lang w:val="en-US"/>
              </w:rPr>
              <w:t>to provide all necessary documents for servicing the securities account in accordance with the current legislation of Ukraine, as well as to demand the proper certification of documents in accordance with the requirements of the current legislation.</w:t>
            </w:r>
          </w:p>
          <w:p w14:paraId="3CEBC668" w14:textId="77777777" w:rsidR="00BE0773" w:rsidRPr="00E16672" w:rsidRDefault="00BE0773" w:rsidP="001456E9">
            <w:pPr>
              <w:ind w:left="172" w:firstLine="0"/>
              <w:rPr>
                <w:rFonts w:ascii="Times New Roman" w:hAnsi="Times New Roman"/>
                <w:sz w:val="16"/>
                <w:szCs w:val="16"/>
                <w:lang w:val="en-US"/>
              </w:rPr>
            </w:pPr>
          </w:p>
          <w:p w14:paraId="3C275C0C" w14:textId="77777777" w:rsidR="008555D5" w:rsidRPr="00E16672" w:rsidRDefault="008555D5" w:rsidP="001456E9">
            <w:pPr>
              <w:ind w:left="172" w:firstLine="0"/>
              <w:rPr>
                <w:rFonts w:ascii="Times New Roman" w:hAnsi="Times New Roman"/>
                <w:sz w:val="16"/>
                <w:szCs w:val="16"/>
                <w:lang w:val="en-US"/>
              </w:rPr>
            </w:pPr>
            <w:r w:rsidRPr="00E16672">
              <w:rPr>
                <w:rFonts w:ascii="Times New Roman" w:hAnsi="Times New Roman"/>
                <w:sz w:val="16"/>
                <w:szCs w:val="16"/>
                <w:lang w:val="en-US"/>
              </w:rPr>
              <w:t xml:space="preserve">2.2.5. </w:t>
            </w:r>
            <w:r w:rsidR="002253C8" w:rsidRPr="00E16672">
              <w:rPr>
                <w:rFonts w:ascii="Times New Roman" w:hAnsi="Times New Roman"/>
                <w:sz w:val="16"/>
                <w:szCs w:val="16"/>
                <w:lang w:val="en-US"/>
              </w:rPr>
              <w:t xml:space="preserve">To refuse </w:t>
            </w:r>
            <w:r w:rsidRPr="00E16672">
              <w:rPr>
                <w:rFonts w:ascii="Times New Roman" w:hAnsi="Times New Roman"/>
                <w:sz w:val="16"/>
                <w:szCs w:val="16"/>
                <w:lang w:val="en-US"/>
              </w:rPr>
              <w:t xml:space="preserve">to accept the order (request) of the Nominee </w:t>
            </w:r>
            <w:r w:rsidR="003A0443" w:rsidRPr="00E16672">
              <w:rPr>
                <w:rFonts w:ascii="Times New Roman" w:hAnsi="Times New Roman"/>
                <w:sz w:val="16"/>
                <w:szCs w:val="16"/>
                <w:lang w:val="en-US"/>
              </w:rPr>
              <w:t xml:space="preserve">holder </w:t>
            </w:r>
            <w:r w:rsidRPr="00E16672">
              <w:rPr>
                <w:rFonts w:ascii="Times New Roman" w:hAnsi="Times New Roman"/>
                <w:sz w:val="16"/>
                <w:szCs w:val="16"/>
                <w:lang w:val="en-US"/>
              </w:rPr>
              <w:t>(the manager or manager of his account in cases provided by the internal regulations and the current legislation of Ukraine.</w:t>
            </w:r>
          </w:p>
          <w:p w14:paraId="4D031126" w14:textId="77777777" w:rsidR="00EB25FE" w:rsidRPr="00E16672" w:rsidRDefault="00EB25FE" w:rsidP="001456E9">
            <w:pPr>
              <w:tabs>
                <w:tab w:val="left" w:pos="57"/>
              </w:tabs>
              <w:snapToGrid w:val="0"/>
              <w:ind w:left="172" w:right="138" w:firstLine="7"/>
              <w:rPr>
                <w:rFonts w:ascii="Times New Roman" w:hAnsi="Times New Roman"/>
                <w:sz w:val="16"/>
                <w:szCs w:val="16"/>
                <w:lang w:val="en-US"/>
              </w:rPr>
            </w:pPr>
          </w:p>
        </w:tc>
      </w:tr>
      <w:tr w:rsidR="00EB25FE" w:rsidRPr="00F23413" w14:paraId="35B95D8F" w14:textId="77777777" w:rsidTr="005E418B">
        <w:tblPrEx>
          <w:tblCellMar>
            <w:left w:w="0" w:type="dxa"/>
            <w:right w:w="0" w:type="dxa"/>
          </w:tblCellMar>
        </w:tblPrEx>
        <w:trPr>
          <w:trHeight w:val="192"/>
        </w:trPr>
        <w:tc>
          <w:tcPr>
            <w:tcW w:w="5695" w:type="dxa"/>
            <w:gridSpan w:val="7"/>
            <w:shd w:val="clear" w:color="auto" w:fill="auto"/>
          </w:tcPr>
          <w:p w14:paraId="1CE0B373" w14:textId="77777777" w:rsidR="00EB25FE" w:rsidRPr="00E16672" w:rsidRDefault="00EB25FE" w:rsidP="001456E9">
            <w:pPr>
              <w:snapToGrid w:val="0"/>
              <w:ind w:left="172" w:right="138" w:firstLine="426"/>
              <w:rPr>
                <w:rFonts w:ascii="Times New Roman" w:hAnsi="Times New Roman"/>
                <w:sz w:val="16"/>
                <w:szCs w:val="16"/>
                <w:lang w:val="en-US"/>
              </w:rPr>
            </w:pPr>
          </w:p>
          <w:p w14:paraId="73510BC1" w14:textId="77777777" w:rsidR="00EB25FE" w:rsidRPr="00E16672" w:rsidRDefault="00EB25FE" w:rsidP="008C59B2">
            <w:pPr>
              <w:tabs>
                <w:tab w:val="left" w:pos="709"/>
              </w:tabs>
              <w:ind w:left="172" w:right="138" w:firstLine="7"/>
              <w:rPr>
                <w:rFonts w:ascii="Times New Roman" w:hAnsi="Times New Roman"/>
                <w:sz w:val="16"/>
                <w:szCs w:val="16"/>
              </w:rPr>
            </w:pPr>
            <w:r w:rsidRPr="00E16672">
              <w:rPr>
                <w:rFonts w:ascii="Times New Roman" w:hAnsi="Times New Roman"/>
                <w:b/>
                <w:sz w:val="16"/>
                <w:szCs w:val="16"/>
              </w:rPr>
              <w:t xml:space="preserve">2.3. </w:t>
            </w:r>
            <w:proofErr w:type="spellStart"/>
            <w:r w:rsidR="000706C5" w:rsidRPr="00E16672">
              <w:rPr>
                <w:rFonts w:ascii="Times New Roman" w:hAnsi="Times New Roman"/>
                <w:b/>
                <w:sz w:val="16"/>
                <w:szCs w:val="16"/>
              </w:rPr>
              <w:t>Номінальни</w:t>
            </w:r>
            <w:proofErr w:type="spellEnd"/>
            <w:r w:rsidR="000706C5" w:rsidRPr="00E16672">
              <w:rPr>
                <w:rFonts w:ascii="Times New Roman" w:hAnsi="Times New Roman"/>
                <w:b/>
                <w:sz w:val="16"/>
                <w:szCs w:val="16"/>
                <w:lang w:val="uk-UA"/>
              </w:rPr>
              <w:t>й</w:t>
            </w:r>
            <w:r w:rsidR="000706C5" w:rsidRPr="00E16672">
              <w:rPr>
                <w:rFonts w:ascii="Times New Roman" w:hAnsi="Times New Roman"/>
                <w:b/>
                <w:sz w:val="16"/>
                <w:szCs w:val="16"/>
              </w:rPr>
              <w:t xml:space="preserve"> </w:t>
            </w:r>
            <w:proofErr w:type="spellStart"/>
            <w:r w:rsidR="000706C5" w:rsidRPr="00E16672">
              <w:rPr>
                <w:rFonts w:ascii="Times New Roman" w:hAnsi="Times New Roman"/>
                <w:b/>
                <w:sz w:val="16"/>
                <w:szCs w:val="16"/>
              </w:rPr>
              <w:t>утримувач</w:t>
            </w:r>
            <w:proofErr w:type="spellEnd"/>
            <w:r w:rsidR="000706C5" w:rsidRPr="00E16672">
              <w:rPr>
                <w:rFonts w:ascii="Times New Roman" w:hAnsi="Times New Roman"/>
                <w:b/>
                <w:sz w:val="16"/>
                <w:szCs w:val="16"/>
                <w:lang w:val="uk-UA"/>
              </w:rPr>
              <w:t xml:space="preserve"> </w:t>
            </w:r>
            <w:proofErr w:type="spellStart"/>
            <w:r w:rsidRPr="00E16672">
              <w:rPr>
                <w:rFonts w:ascii="Times New Roman" w:hAnsi="Times New Roman"/>
                <w:b/>
                <w:sz w:val="16"/>
                <w:szCs w:val="16"/>
              </w:rPr>
              <w:t>зобов’язаний</w:t>
            </w:r>
            <w:proofErr w:type="spellEnd"/>
            <w:r w:rsidRPr="00E16672">
              <w:rPr>
                <w:rFonts w:ascii="Times New Roman" w:hAnsi="Times New Roman"/>
                <w:b/>
                <w:sz w:val="16"/>
                <w:szCs w:val="16"/>
              </w:rPr>
              <w:t>:</w:t>
            </w:r>
            <w:r w:rsidRPr="00E16672">
              <w:rPr>
                <w:rFonts w:ascii="Times New Roman" w:hAnsi="Times New Roman"/>
                <w:sz w:val="16"/>
                <w:szCs w:val="16"/>
              </w:rPr>
              <w:t xml:space="preserve"> </w:t>
            </w:r>
          </w:p>
        </w:tc>
        <w:tc>
          <w:tcPr>
            <w:tcW w:w="5495" w:type="dxa"/>
            <w:gridSpan w:val="8"/>
            <w:shd w:val="clear" w:color="auto" w:fill="auto"/>
          </w:tcPr>
          <w:p w14:paraId="073CE82C" w14:textId="77777777" w:rsidR="00EB25FE" w:rsidRPr="00E16672" w:rsidRDefault="00EB25FE" w:rsidP="008C59B2">
            <w:pPr>
              <w:tabs>
                <w:tab w:val="left" w:pos="287"/>
              </w:tabs>
              <w:snapToGrid w:val="0"/>
              <w:ind w:left="145" w:right="100" w:firstLine="3"/>
              <w:rPr>
                <w:rFonts w:ascii="Times New Roman" w:hAnsi="Times New Roman"/>
                <w:b/>
                <w:bCs/>
                <w:sz w:val="16"/>
                <w:szCs w:val="16"/>
                <w:lang w:val="uk-UA"/>
              </w:rPr>
            </w:pPr>
          </w:p>
          <w:p w14:paraId="46A3999B" w14:textId="77777777" w:rsidR="008C26CD" w:rsidRPr="00E16672" w:rsidRDefault="00EB25FE" w:rsidP="008C59B2">
            <w:pPr>
              <w:tabs>
                <w:tab w:val="left" w:pos="287"/>
              </w:tabs>
              <w:ind w:left="145" w:right="100" w:firstLine="3"/>
              <w:rPr>
                <w:rFonts w:ascii="Times New Roman" w:hAnsi="Times New Roman"/>
                <w:b/>
                <w:bCs/>
                <w:sz w:val="16"/>
                <w:szCs w:val="16"/>
                <w:lang w:val="en-GB"/>
              </w:rPr>
            </w:pPr>
            <w:r w:rsidRPr="00E16672">
              <w:rPr>
                <w:rFonts w:ascii="Times New Roman" w:hAnsi="Times New Roman"/>
                <w:b/>
                <w:sz w:val="16"/>
                <w:szCs w:val="16"/>
                <w:lang w:val="en-US"/>
              </w:rPr>
              <w:t>2</w:t>
            </w:r>
            <w:r w:rsidRPr="00E16672">
              <w:rPr>
                <w:rFonts w:ascii="Times New Roman" w:hAnsi="Times New Roman"/>
                <w:b/>
                <w:sz w:val="16"/>
                <w:szCs w:val="16"/>
                <w:lang w:val="en-GB"/>
              </w:rPr>
              <w:t>.</w:t>
            </w:r>
            <w:r w:rsidRPr="00E16672">
              <w:rPr>
                <w:rFonts w:ascii="Times New Roman" w:hAnsi="Times New Roman"/>
                <w:b/>
                <w:sz w:val="16"/>
                <w:szCs w:val="16"/>
                <w:lang w:val="en-US"/>
              </w:rPr>
              <w:t>3</w:t>
            </w:r>
            <w:r w:rsidRPr="00E16672">
              <w:rPr>
                <w:rFonts w:ascii="Times New Roman" w:hAnsi="Times New Roman"/>
                <w:b/>
                <w:bCs/>
                <w:sz w:val="16"/>
                <w:szCs w:val="16"/>
                <w:lang w:val="en-GB"/>
              </w:rPr>
              <w:t xml:space="preserve">. </w:t>
            </w:r>
            <w:r w:rsidR="003A0443" w:rsidRPr="00E16672">
              <w:rPr>
                <w:rFonts w:ascii="Times New Roman" w:hAnsi="Times New Roman"/>
                <w:b/>
                <w:sz w:val="16"/>
                <w:szCs w:val="16"/>
                <w:lang w:val="en-US"/>
              </w:rPr>
              <w:t>Nominee holder</w:t>
            </w:r>
            <w:r w:rsidRPr="00E16672">
              <w:rPr>
                <w:rFonts w:ascii="Times New Roman" w:hAnsi="Times New Roman"/>
                <w:b/>
                <w:bCs/>
                <w:sz w:val="16"/>
                <w:szCs w:val="16"/>
                <w:lang w:val="en-GB"/>
              </w:rPr>
              <w:t xml:space="preserve"> shall be obliged:</w:t>
            </w:r>
          </w:p>
          <w:p w14:paraId="0D489CF0" w14:textId="77777777" w:rsidR="00EB25FE" w:rsidRPr="00E16672" w:rsidRDefault="008C26CD" w:rsidP="008C26CD">
            <w:pPr>
              <w:tabs>
                <w:tab w:val="left" w:pos="287"/>
              </w:tabs>
              <w:ind w:left="145" w:right="100"/>
              <w:rPr>
                <w:rFonts w:ascii="Times New Roman" w:hAnsi="Times New Roman"/>
                <w:b/>
                <w:bCs/>
                <w:sz w:val="16"/>
                <w:szCs w:val="16"/>
                <w:lang w:val="en-GB"/>
              </w:rPr>
            </w:pPr>
            <w:r w:rsidRPr="00E16672">
              <w:rPr>
                <w:rFonts w:ascii="Times New Roman" w:hAnsi="Times New Roman"/>
                <w:b/>
                <w:bCs/>
                <w:sz w:val="16"/>
                <w:szCs w:val="16"/>
                <w:lang w:val="en-GB"/>
              </w:rPr>
              <w:t xml:space="preserve"> </w:t>
            </w:r>
          </w:p>
        </w:tc>
      </w:tr>
      <w:tr w:rsidR="00EB25FE" w:rsidRPr="00F23413" w14:paraId="0A8FDB70" w14:textId="77777777" w:rsidTr="005E418B">
        <w:tblPrEx>
          <w:tblCellMar>
            <w:left w:w="0" w:type="dxa"/>
            <w:right w:w="0" w:type="dxa"/>
          </w:tblCellMar>
        </w:tblPrEx>
        <w:trPr>
          <w:trHeight w:val="192"/>
        </w:trPr>
        <w:tc>
          <w:tcPr>
            <w:tcW w:w="5695" w:type="dxa"/>
            <w:gridSpan w:val="7"/>
            <w:shd w:val="clear" w:color="auto" w:fill="auto"/>
          </w:tcPr>
          <w:p w14:paraId="2346FD89" w14:textId="77777777" w:rsidR="00EB25FE" w:rsidRPr="00E16672" w:rsidRDefault="00EB25FE" w:rsidP="001456E9">
            <w:pPr>
              <w:tabs>
                <w:tab w:val="left" w:pos="709"/>
              </w:tabs>
              <w:snapToGrid w:val="0"/>
              <w:ind w:left="172" w:right="138" w:firstLine="0"/>
              <w:rPr>
                <w:rFonts w:ascii="Times New Roman" w:hAnsi="Times New Roman"/>
                <w:sz w:val="16"/>
                <w:szCs w:val="16"/>
              </w:rPr>
            </w:pPr>
            <w:r w:rsidRPr="00E16672">
              <w:rPr>
                <w:rFonts w:ascii="Times New Roman" w:hAnsi="Times New Roman"/>
                <w:sz w:val="16"/>
                <w:szCs w:val="16"/>
              </w:rPr>
              <w:t>2.3.</w:t>
            </w:r>
            <w:r w:rsidR="008C26CD" w:rsidRPr="00E16672">
              <w:rPr>
                <w:rFonts w:ascii="Times New Roman" w:hAnsi="Times New Roman"/>
                <w:sz w:val="16"/>
                <w:szCs w:val="16"/>
                <w:lang w:val="uk-UA"/>
              </w:rPr>
              <w:t>1</w:t>
            </w:r>
            <w:r w:rsidRPr="00E16672">
              <w:rPr>
                <w:rFonts w:ascii="Times New Roman" w:hAnsi="Times New Roman"/>
                <w:sz w:val="16"/>
                <w:szCs w:val="16"/>
              </w:rPr>
              <w:t xml:space="preserve">. </w:t>
            </w:r>
            <w:proofErr w:type="spellStart"/>
            <w:r w:rsidRPr="00E16672">
              <w:rPr>
                <w:rFonts w:ascii="Times New Roman" w:hAnsi="Times New Roman"/>
                <w:sz w:val="16"/>
                <w:szCs w:val="16"/>
              </w:rPr>
              <w:t>Призначити</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розпорядника</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рахунку</w:t>
            </w:r>
            <w:proofErr w:type="spellEnd"/>
            <w:r w:rsidRPr="00E16672">
              <w:rPr>
                <w:rFonts w:ascii="Times New Roman" w:hAnsi="Times New Roman"/>
                <w:sz w:val="16"/>
                <w:szCs w:val="16"/>
              </w:rPr>
              <w:t xml:space="preserve"> </w:t>
            </w:r>
            <w:r w:rsidR="00C22309" w:rsidRPr="00E16672">
              <w:rPr>
                <w:rFonts w:ascii="Times New Roman" w:hAnsi="Times New Roman"/>
                <w:sz w:val="16"/>
                <w:szCs w:val="16"/>
              </w:rPr>
              <w:t xml:space="preserve">в </w:t>
            </w:r>
            <w:proofErr w:type="spellStart"/>
            <w:r w:rsidR="00C22309" w:rsidRPr="00E16672">
              <w:rPr>
                <w:rFonts w:ascii="Times New Roman" w:hAnsi="Times New Roman"/>
                <w:sz w:val="16"/>
                <w:szCs w:val="16"/>
              </w:rPr>
              <w:t>цін</w:t>
            </w:r>
            <w:r w:rsidRPr="00E16672">
              <w:rPr>
                <w:rFonts w:ascii="Times New Roman" w:hAnsi="Times New Roman"/>
                <w:sz w:val="16"/>
                <w:szCs w:val="16"/>
              </w:rPr>
              <w:t>них</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паперах</w:t>
            </w:r>
            <w:proofErr w:type="spellEnd"/>
            <w:r w:rsidRPr="00E16672">
              <w:rPr>
                <w:rFonts w:ascii="Times New Roman" w:hAnsi="Times New Roman"/>
                <w:sz w:val="16"/>
                <w:szCs w:val="16"/>
              </w:rPr>
              <w:t>.</w:t>
            </w:r>
          </w:p>
          <w:p w14:paraId="7579284A" w14:textId="77777777" w:rsidR="00EB25FE" w:rsidRPr="00E16672" w:rsidRDefault="00EB25FE" w:rsidP="001456E9">
            <w:pPr>
              <w:pStyle w:val="WW-"/>
              <w:spacing w:after="120"/>
              <w:ind w:left="172" w:right="138"/>
              <w:rPr>
                <w:sz w:val="16"/>
                <w:szCs w:val="16"/>
              </w:rPr>
            </w:pPr>
          </w:p>
        </w:tc>
        <w:tc>
          <w:tcPr>
            <w:tcW w:w="5495" w:type="dxa"/>
            <w:gridSpan w:val="8"/>
            <w:shd w:val="clear" w:color="auto" w:fill="auto"/>
          </w:tcPr>
          <w:p w14:paraId="440B8F93" w14:textId="77777777" w:rsidR="00EB25FE" w:rsidRPr="00E16672" w:rsidRDefault="00EB25FE" w:rsidP="008C26CD">
            <w:pPr>
              <w:tabs>
                <w:tab w:val="left" w:pos="287"/>
              </w:tabs>
              <w:snapToGrid w:val="0"/>
              <w:ind w:left="145" w:right="100" w:firstLine="0"/>
              <w:rPr>
                <w:rFonts w:ascii="Times New Roman" w:hAnsi="Times New Roman"/>
                <w:sz w:val="16"/>
                <w:szCs w:val="16"/>
                <w:lang w:val="en-GB"/>
              </w:rPr>
            </w:pPr>
            <w:r w:rsidRPr="00E16672">
              <w:rPr>
                <w:rFonts w:ascii="Times New Roman" w:hAnsi="Times New Roman"/>
                <w:sz w:val="16"/>
                <w:szCs w:val="16"/>
                <w:lang w:val="en-US"/>
              </w:rPr>
              <w:t>2</w:t>
            </w:r>
            <w:r w:rsidRPr="00E16672">
              <w:rPr>
                <w:rFonts w:ascii="Times New Roman" w:hAnsi="Times New Roman"/>
                <w:sz w:val="16"/>
                <w:szCs w:val="16"/>
                <w:lang w:val="en-GB"/>
              </w:rPr>
              <w:t>.</w:t>
            </w:r>
            <w:r w:rsidRPr="00E16672">
              <w:rPr>
                <w:rFonts w:ascii="Times New Roman" w:hAnsi="Times New Roman"/>
                <w:sz w:val="16"/>
                <w:szCs w:val="16"/>
                <w:lang w:val="en-US"/>
              </w:rPr>
              <w:t>3</w:t>
            </w:r>
            <w:r w:rsidRPr="00E16672">
              <w:rPr>
                <w:rFonts w:ascii="Times New Roman" w:hAnsi="Times New Roman"/>
                <w:sz w:val="16"/>
                <w:szCs w:val="16"/>
                <w:lang w:val="en-GB"/>
              </w:rPr>
              <w:t>.</w:t>
            </w:r>
            <w:r w:rsidR="008C26CD" w:rsidRPr="00E16672">
              <w:rPr>
                <w:rFonts w:ascii="Times New Roman" w:hAnsi="Times New Roman"/>
                <w:sz w:val="16"/>
                <w:szCs w:val="16"/>
                <w:lang w:val="uk-UA"/>
              </w:rPr>
              <w:t>1</w:t>
            </w:r>
            <w:r w:rsidRPr="00E16672">
              <w:rPr>
                <w:rFonts w:ascii="Times New Roman" w:hAnsi="Times New Roman"/>
                <w:sz w:val="16"/>
                <w:szCs w:val="16"/>
                <w:lang w:val="en-GB"/>
              </w:rPr>
              <w:t xml:space="preserve">.  </w:t>
            </w:r>
            <w:proofErr w:type="gramStart"/>
            <w:r w:rsidRPr="00E16672">
              <w:rPr>
                <w:rFonts w:ascii="Times New Roman" w:hAnsi="Times New Roman"/>
                <w:sz w:val="16"/>
                <w:szCs w:val="16"/>
                <w:lang w:val="en-GB"/>
              </w:rPr>
              <w:t>Approve  a</w:t>
            </w:r>
            <w:proofErr w:type="gramEnd"/>
            <w:r w:rsidRPr="00E16672">
              <w:rPr>
                <w:rFonts w:ascii="Times New Roman" w:hAnsi="Times New Roman"/>
                <w:sz w:val="16"/>
                <w:szCs w:val="16"/>
                <w:lang w:val="en-GB"/>
              </w:rPr>
              <w:t xml:space="preserve">  manager of the account in securities.</w:t>
            </w:r>
          </w:p>
        </w:tc>
      </w:tr>
      <w:tr w:rsidR="00EB25FE" w:rsidRPr="00F23413" w14:paraId="11364ABE" w14:textId="77777777" w:rsidTr="005E418B">
        <w:tblPrEx>
          <w:tblCellMar>
            <w:left w:w="0" w:type="dxa"/>
            <w:right w:w="0" w:type="dxa"/>
          </w:tblCellMar>
        </w:tblPrEx>
        <w:trPr>
          <w:trHeight w:val="192"/>
        </w:trPr>
        <w:tc>
          <w:tcPr>
            <w:tcW w:w="5695" w:type="dxa"/>
            <w:gridSpan w:val="7"/>
            <w:shd w:val="clear" w:color="auto" w:fill="auto"/>
          </w:tcPr>
          <w:p w14:paraId="4BE213C8" w14:textId="77777777" w:rsidR="00EB25FE" w:rsidRPr="00E16672" w:rsidRDefault="00EB25FE" w:rsidP="001456E9">
            <w:pPr>
              <w:pStyle w:val="WW-"/>
              <w:snapToGrid w:val="0"/>
              <w:spacing w:after="120"/>
              <w:ind w:left="172" w:right="138"/>
              <w:jc w:val="both"/>
              <w:rPr>
                <w:i w:val="0"/>
                <w:sz w:val="16"/>
                <w:szCs w:val="16"/>
              </w:rPr>
            </w:pPr>
            <w:r w:rsidRPr="00E16672">
              <w:rPr>
                <w:i w:val="0"/>
                <w:sz w:val="16"/>
                <w:szCs w:val="16"/>
              </w:rPr>
              <w:t>2.3.</w:t>
            </w:r>
            <w:r w:rsidR="008C26CD" w:rsidRPr="00E16672">
              <w:rPr>
                <w:i w:val="0"/>
                <w:sz w:val="16"/>
                <w:szCs w:val="16"/>
                <w:lang w:val="uk-UA"/>
              </w:rPr>
              <w:t>2</w:t>
            </w:r>
            <w:r w:rsidRPr="00E16672">
              <w:rPr>
                <w:i w:val="0"/>
                <w:sz w:val="16"/>
                <w:szCs w:val="16"/>
              </w:rPr>
              <w:t xml:space="preserve">. </w:t>
            </w:r>
            <w:proofErr w:type="spellStart"/>
            <w:r w:rsidRPr="00E16672">
              <w:rPr>
                <w:i w:val="0"/>
                <w:sz w:val="16"/>
                <w:szCs w:val="16"/>
              </w:rPr>
              <w:t>Дотримуватись</w:t>
            </w:r>
            <w:proofErr w:type="spellEnd"/>
            <w:r w:rsidRPr="00E16672">
              <w:rPr>
                <w:i w:val="0"/>
                <w:sz w:val="16"/>
                <w:szCs w:val="16"/>
              </w:rPr>
              <w:t xml:space="preserve"> </w:t>
            </w:r>
            <w:proofErr w:type="spellStart"/>
            <w:r w:rsidRPr="00E16672">
              <w:rPr>
                <w:i w:val="0"/>
                <w:sz w:val="16"/>
                <w:szCs w:val="16"/>
              </w:rPr>
              <w:t>вимог</w:t>
            </w:r>
            <w:proofErr w:type="spellEnd"/>
            <w:r w:rsidRPr="00E16672">
              <w:rPr>
                <w:i w:val="0"/>
                <w:sz w:val="16"/>
                <w:szCs w:val="16"/>
              </w:rPr>
              <w:t xml:space="preserve"> </w:t>
            </w:r>
            <w:proofErr w:type="spellStart"/>
            <w:r w:rsidRPr="00E16672">
              <w:rPr>
                <w:i w:val="0"/>
                <w:sz w:val="16"/>
                <w:szCs w:val="16"/>
              </w:rPr>
              <w:t>внутрішніх</w:t>
            </w:r>
            <w:proofErr w:type="spellEnd"/>
            <w:r w:rsidRPr="00E16672">
              <w:rPr>
                <w:i w:val="0"/>
                <w:sz w:val="16"/>
                <w:szCs w:val="16"/>
              </w:rPr>
              <w:t xml:space="preserve"> </w:t>
            </w:r>
            <w:proofErr w:type="spellStart"/>
            <w:r w:rsidRPr="00E16672">
              <w:rPr>
                <w:i w:val="0"/>
                <w:sz w:val="16"/>
                <w:szCs w:val="16"/>
              </w:rPr>
              <w:t>документів</w:t>
            </w:r>
            <w:proofErr w:type="spellEnd"/>
            <w:r w:rsidRPr="00E16672">
              <w:rPr>
                <w:i w:val="0"/>
                <w:sz w:val="16"/>
                <w:szCs w:val="16"/>
              </w:rPr>
              <w:t xml:space="preserve"> </w:t>
            </w:r>
            <w:proofErr w:type="spellStart"/>
            <w:r w:rsidRPr="00E16672">
              <w:rPr>
                <w:i w:val="0"/>
                <w:sz w:val="16"/>
                <w:szCs w:val="16"/>
              </w:rPr>
              <w:t>Депозитарної</w:t>
            </w:r>
            <w:proofErr w:type="spellEnd"/>
            <w:r w:rsidRPr="00E16672">
              <w:rPr>
                <w:i w:val="0"/>
                <w:sz w:val="16"/>
                <w:szCs w:val="16"/>
              </w:rPr>
              <w:t xml:space="preserve"> установи, </w:t>
            </w:r>
            <w:proofErr w:type="spellStart"/>
            <w:r w:rsidRPr="00E16672">
              <w:rPr>
                <w:i w:val="0"/>
                <w:sz w:val="16"/>
                <w:szCs w:val="16"/>
              </w:rPr>
              <w:t>які</w:t>
            </w:r>
            <w:proofErr w:type="spellEnd"/>
            <w:r w:rsidRPr="00E16672">
              <w:rPr>
                <w:i w:val="0"/>
                <w:sz w:val="16"/>
                <w:szCs w:val="16"/>
              </w:rPr>
              <w:t xml:space="preserve"> </w:t>
            </w:r>
            <w:proofErr w:type="spellStart"/>
            <w:r w:rsidRPr="00E16672">
              <w:rPr>
                <w:i w:val="0"/>
                <w:sz w:val="16"/>
                <w:szCs w:val="16"/>
              </w:rPr>
              <w:t>регламентують</w:t>
            </w:r>
            <w:proofErr w:type="spellEnd"/>
            <w:r w:rsidRPr="00E16672">
              <w:rPr>
                <w:i w:val="0"/>
                <w:sz w:val="16"/>
                <w:szCs w:val="16"/>
              </w:rPr>
              <w:t xml:space="preserve"> </w:t>
            </w:r>
            <w:proofErr w:type="spellStart"/>
            <w:r w:rsidRPr="00E16672">
              <w:rPr>
                <w:i w:val="0"/>
                <w:sz w:val="16"/>
                <w:szCs w:val="16"/>
              </w:rPr>
              <w:t>відносини</w:t>
            </w:r>
            <w:proofErr w:type="spellEnd"/>
            <w:r w:rsidRPr="00E16672">
              <w:rPr>
                <w:i w:val="0"/>
                <w:sz w:val="16"/>
                <w:szCs w:val="16"/>
              </w:rPr>
              <w:t xml:space="preserve"> </w:t>
            </w:r>
            <w:r w:rsidR="00C63B51" w:rsidRPr="00E16672">
              <w:rPr>
                <w:i w:val="0"/>
                <w:sz w:val="16"/>
                <w:szCs w:val="16"/>
                <w:lang w:val="uk-UA"/>
              </w:rPr>
              <w:t>Номінального утримувача</w:t>
            </w:r>
            <w:r w:rsidRPr="00E16672">
              <w:rPr>
                <w:i w:val="0"/>
                <w:sz w:val="16"/>
                <w:szCs w:val="16"/>
              </w:rPr>
              <w:t xml:space="preserve"> та </w:t>
            </w:r>
            <w:proofErr w:type="spellStart"/>
            <w:r w:rsidRPr="00E16672">
              <w:rPr>
                <w:i w:val="0"/>
                <w:sz w:val="16"/>
                <w:szCs w:val="16"/>
              </w:rPr>
              <w:t>Депозитарної</w:t>
            </w:r>
            <w:proofErr w:type="spellEnd"/>
            <w:r w:rsidRPr="00E16672">
              <w:rPr>
                <w:i w:val="0"/>
                <w:sz w:val="16"/>
                <w:szCs w:val="16"/>
              </w:rPr>
              <w:t xml:space="preserve"> установи.</w:t>
            </w:r>
          </w:p>
        </w:tc>
        <w:tc>
          <w:tcPr>
            <w:tcW w:w="5495" w:type="dxa"/>
            <w:gridSpan w:val="8"/>
            <w:shd w:val="clear" w:color="auto" w:fill="auto"/>
          </w:tcPr>
          <w:p w14:paraId="3B1DAD0F" w14:textId="77777777" w:rsidR="00EB25FE" w:rsidRPr="00E16672" w:rsidRDefault="00EB25FE" w:rsidP="00794B3F">
            <w:pPr>
              <w:tabs>
                <w:tab w:val="left" w:pos="287"/>
              </w:tabs>
              <w:snapToGrid w:val="0"/>
              <w:ind w:left="175" w:right="138" w:firstLine="0"/>
              <w:rPr>
                <w:rFonts w:ascii="Times New Roman" w:hAnsi="Times New Roman"/>
                <w:sz w:val="16"/>
                <w:szCs w:val="16"/>
                <w:lang w:val="en-GB"/>
              </w:rPr>
            </w:pPr>
            <w:r w:rsidRPr="00E16672">
              <w:rPr>
                <w:rFonts w:ascii="Times New Roman" w:hAnsi="Times New Roman"/>
                <w:sz w:val="16"/>
                <w:szCs w:val="16"/>
                <w:lang w:val="en-US"/>
              </w:rPr>
              <w:t>2</w:t>
            </w:r>
            <w:r w:rsidRPr="00E16672">
              <w:rPr>
                <w:rFonts w:ascii="Times New Roman" w:hAnsi="Times New Roman"/>
                <w:sz w:val="16"/>
                <w:szCs w:val="16"/>
                <w:lang w:val="en-GB"/>
              </w:rPr>
              <w:t>.</w:t>
            </w:r>
            <w:r w:rsidRPr="00E16672">
              <w:rPr>
                <w:rFonts w:ascii="Times New Roman" w:hAnsi="Times New Roman"/>
                <w:sz w:val="16"/>
                <w:szCs w:val="16"/>
                <w:lang w:val="en-US"/>
              </w:rPr>
              <w:t>3</w:t>
            </w:r>
            <w:r w:rsidRPr="00E16672">
              <w:rPr>
                <w:rFonts w:ascii="Times New Roman" w:hAnsi="Times New Roman"/>
                <w:sz w:val="16"/>
                <w:szCs w:val="16"/>
                <w:lang w:val="en-GB"/>
              </w:rPr>
              <w:t>.</w:t>
            </w:r>
            <w:r w:rsidR="008C26CD" w:rsidRPr="00E16672">
              <w:rPr>
                <w:rFonts w:ascii="Times New Roman" w:hAnsi="Times New Roman"/>
                <w:sz w:val="16"/>
                <w:szCs w:val="16"/>
                <w:lang w:val="uk-UA"/>
              </w:rPr>
              <w:t>2</w:t>
            </w:r>
            <w:r w:rsidRPr="00E16672">
              <w:rPr>
                <w:rFonts w:ascii="Times New Roman" w:hAnsi="Times New Roman"/>
                <w:sz w:val="16"/>
                <w:szCs w:val="16"/>
                <w:lang w:val="en-GB"/>
              </w:rPr>
              <w:t xml:space="preserve">. Comply with the requirements of internal </w:t>
            </w:r>
            <w:proofErr w:type="gramStart"/>
            <w:r w:rsidRPr="00E16672">
              <w:rPr>
                <w:rFonts w:ascii="Times New Roman" w:hAnsi="Times New Roman"/>
                <w:sz w:val="16"/>
                <w:szCs w:val="16"/>
                <w:lang w:val="en-GB"/>
              </w:rPr>
              <w:t>documents  of</w:t>
            </w:r>
            <w:proofErr w:type="gramEnd"/>
            <w:r w:rsidRPr="00E16672">
              <w:rPr>
                <w:rFonts w:ascii="Times New Roman" w:hAnsi="Times New Roman"/>
                <w:sz w:val="16"/>
                <w:szCs w:val="16"/>
                <w:lang w:val="en-GB"/>
              </w:rPr>
              <w:t xml:space="preserve"> Depository institution that govern the relationship between </w:t>
            </w:r>
            <w:r w:rsidR="0056113F" w:rsidRPr="00E16672">
              <w:rPr>
                <w:rFonts w:ascii="Times New Roman" w:hAnsi="Times New Roman"/>
                <w:sz w:val="16"/>
                <w:szCs w:val="16"/>
                <w:lang w:val="en-US"/>
              </w:rPr>
              <w:t>Nominee holder</w:t>
            </w:r>
            <w:r w:rsidR="0056113F" w:rsidRPr="00E16672">
              <w:rPr>
                <w:rFonts w:ascii="Times New Roman" w:hAnsi="Times New Roman"/>
                <w:b/>
                <w:bCs/>
                <w:sz w:val="16"/>
                <w:szCs w:val="16"/>
                <w:lang w:val="en-GB"/>
              </w:rPr>
              <w:t xml:space="preserve"> </w:t>
            </w:r>
            <w:r w:rsidRPr="00E16672">
              <w:rPr>
                <w:rFonts w:ascii="Times New Roman" w:hAnsi="Times New Roman"/>
                <w:sz w:val="16"/>
                <w:szCs w:val="16"/>
                <w:lang w:val="en-GB"/>
              </w:rPr>
              <w:t>and Depository institution.</w:t>
            </w:r>
          </w:p>
          <w:p w14:paraId="7C84E446" w14:textId="77777777" w:rsidR="00EB25FE" w:rsidRPr="00E16672" w:rsidRDefault="00EB25FE" w:rsidP="00794B3F">
            <w:pPr>
              <w:tabs>
                <w:tab w:val="left" w:pos="287"/>
              </w:tabs>
              <w:snapToGrid w:val="0"/>
              <w:ind w:left="175" w:right="138" w:firstLine="0"/>
              <w:rPr>
                <w:rFonts w:ascii="Times New Roman" w:hAnsi="Times New Roman"/>
                <w:iCs/>
                <w:sz w:val="16"/>
                <w:szCs w:val="16"/>
                <w:lang w:val="en-US"/>
              </w:rPr>
            </w:pPr>
          </w:p>
        </w:tc>
      </w:tr>
      <w:tr w:rsidR="00EB25FE" w:rsidRPr="00F23413" w14:paraId="5F49CBF3" w14:textId="77777777" w:rsidTr="005E418B">
        <w:tblPrEx>
          <w:tblCellMar>
            <w:left w:w="0" w:type="dxa"/>
            <w:right w:w="0" w:type="dxa"/>
          </w:tblCellMar>
        </w:tblPrEx>
        <w:trPr>
          <w:trHeight w:val="192"/>
        </w:trPr>
        <w:tc>
          <w:tcPr>
            <w:tcW w:w="5695" w:type="dxa"/>
            <w:gridSpan w:val="7"/>
            <w:shd w:val="clear" w:color="auto" w:fill="auto"/>
          </w:tcPr>
          <w:p w14:paraId="6ADE117E" w14:textId="77777777" w:rsidR="00EB25FE" w:rsidRPr="00E16672" w:rsidRDefault="00EB25FE" w:rsidP="001456E9">
            <w:pPr>
              <w:tabs>
                <w:tab w:val="left" w:pos="709"/>
              </w:tabs>
              <w:snapToGrid w:val="0"/>
              <w:ind w:left="172" w:right="138" w:firstLine="0"/>
              <w:rPr>
                <w:rFonts w:ascii="Times New Roman" w:hAnsi="Times New Roman"/>
                <w:color w:val="000000"/>
                <w:sz w:val="16"/>
                <w:szCs w:val="16"/>
                <w:lang w:val="en-US"/>
              </w:rPr>
            </w:pPr>
            <w:r w:rsidRPr="00E16672">
              <w:rPr>
                <w:rFonts w:ascii="Times New Roman" w:hAnsi="Times New Roman"/>
                <w:color w:val="000000"/>
                <w:sz w:val="16"/>
                <w:szCs w:val="16"/>
                <w:lang w:val="en-US"/>
              </w:rPr>
              <w:t>2.3.</w:t>
            </w:r>
            <w:r w:rsidR="008C26CD" w:rsidRPr="00E16672">
              <w:rPr>
                <w:rFonts w:ascii="Times New Roman" w:hAnsi="Times New Roman"/>
                <w:color w:val="000000"/>
                <w:sz w:val="16"/>
                <w:szCs w:val="16"/>
                <w:lang w:val="uk-UA"/>
              </w:rPr>
              <w:t>3</w:t>
            </w:r>
            <w:r w:rsidRPr="00E16672">
              <w:rPr>
                <w:rFonts w:ascii="Times New Roman" w:hAnsi="Times New Roman"/>
                <w:color w:val="000000"/>
                <w:sz w:val="16"/>
                <w:szCs w:val="16"/>
                <w:lang w:val="en-US"/>
              </w:rPr>
              <w:t xml:space="preserve">. </w:t>
            </w:r>
            <w:r w:rsidR="00C63B51" w:rsidRPr="00E16672">
              <w:rPr>
                <w:rFonts w:ascii="Times New Roman" w:hAnsi="Times New Roman"/>
                <w:sz w:val="16"/>
                <w:szCs w:val="16"/>
                <w:lang w:val="uk-UA"/>
              </w:rPr>
              <w:t>Н</w:t>
            </w:r>
            <w:proofErr w:type="spellStart"/>
            <w:r w:rsidR="00C63B51" w:rsidRPr="00E16672">
              <w:rPr>
                <w:rFonts w:ascii="Times New Roman" w:hAnsi="Times New Roman"/>
                <w:sz w:val="16"/>
                <w:szCs w:val="16"/>
              </w:rPr>
              <w:t>адавати</w:t>
            </w:r>
            <w:proofErr w:type="spellEnd"/>
            <w:r w:rsidR="00C63B51" w:rsidRPr="00E16672">
              <w:rPr>
                <w:rFonts w:ascii="Times New Roman" w:hAnsi="Times New Roman"/>
                <w:sz w:val="16"/>
                <w:szCs w:val="16"/>
                <w:lang w:val="en-US"/>
              </w:rPr>
              <w:t xml:space="preserve"> </w:t>
            </w:r>
            <w:r w:rsidR="008C26CD" w:rsidRPr="00E16672">
              <w:rPr>
                <w:rFonts w:ascii="Times New Roman" w:hAnsi="Times New Roman"/>
                <w:sz w:val="16"/>
                <w:szCs w:val="16"/>
                <w:lang w:val="uk-UA"/>
              </w:rPr>
              <w:t>Д</w:t>
            </w:r>
            <w:proofErr w:type="spellStart"/>
            <w:r w:rsidR="00C63B51" w:rsidRPr="00E16672">
              <w:rPr>
                <w:rFonts w:ascii="Times New Roman" w:hAnsi="Times New Roman"/>
                <w:sz w:val="16"/>
                <w:szCs w:val="16"/>
              </w:rPr>
              <w:t>епозитарній</w:t>
            </w:r>
            <w:proofErr w:type="spellEnd"/>
            <w:r w:rsidR="00C63B51" w:rsidRPr="00E16672">
              <w:rPr>
                <w:rFonts w:ascii="Times New Roman" w:hAnsi="Times New Roman"/>
                <w:sz w:val="16"/>
                <w:szCs w:val="16"/>
                <w:lang w:val="en-US"/>
              </w:rPr>
              <w:t xml:space="preserve"> </w:t>
            </w:r>
            <w:proofErr w:type="spellStart"/>
            <w:r w:rsidR="00C63B51" w:rsidRPr="00E16672">
              <w:rPr>
                <w:rFonts w:ascii="Times New Roman" w:hAnsi="Times New Roman"/>
                <w:sz w:val="16"/>
                <w:szCs w:val="16"/>
              </w:rPr>
              <w:t>установі</w:t>
            </w:r>
            <w:proofErr w:type="spellEnd"/>
            <w:r w:rsidR="00C63B51" w:rsidRPr="00E16672">
              <w:rPr>
                <w:rFonts w:ascii="Times New Roman" w:hAnsi="Times New Roman"/>
                <w:sz w:val="16"/>
                <w:szCs w:val="16"/>
                <w:lang w:val="en-US"/>
              </w:rPr>
              <w:t xml:space="preserve"> </w:t>
            </w:r>
            <w:proofErr w:type="spellStart"/>
            <w:r w:rsidR="00C63B51" w:rsidRPr="00E16672">
              <w:rPr>
                <w:rFonts w:ascii="Times New Roman" w:hAnsi="Times New Roman"/>
                <w:sz w:val="16"/>
                <w:szCs w:val="16"/>
              </w:rPr>
              <w:t>документи</w:t>
            </w:r>
            <w:proofErr w:type="spellEnd"/>
            <w:r w:rsidR="00C63B51" w:rsidRPr="00E16672">
              <w:rPr>
                <w:rFonts w:ascii="Times New Roman" w:hAnsi="Times New Roman"/>
                <w:sz w:val="16"/>
                <w:szCs w:val="16"/>
                <w:lang w:val="en-US"/>
              </w:rPr>
              <w:t xml:space="preserve"> </w:t>
            </w:r>
            <w:r w:rsidR="00C63B51" w:rsidRPr="00E16672">
              <w:rPr>
                <w:rFonts w:ascii="Times New Roman" w:hAnsi="Times New Roman"/>
                <w:sz w:val="16"/>
                <w:szCs w:val="16"/>
              </w:rPr>
              <w:t>та</w:t>
            </w:r>
            <w:r w:rsidR="00C63B51" w:rsidRPr="00E16672">
              <w:rPr>
                <w:rFonts w:ascii="Times New Roman" w:hAnsi="Times New Roman"/>
                <w:sz w:val="16"/>
                <w:szCs w:val="16"/>
                <w:lang w:val="en-US"/>
              </w:rPr>
              <w:t xml:space="preserve"> </w:t>
            </w:r>
            <w:proofErr w:type="spellStart"/>
            <w:r w:rsidR="00C63B51" w:rsidRPr="00E16672">
              <w:rPr>
                <w:rFonts w:ascii="Times New Roman" w:hAnsi="Times New Roman"/>
                <w:sz w:val="16"/>
                <w:szCs w:val="16"/>
              </w:rPr>
              <w:t>інформацію</w:t>
            </w:r>
            <w:proofErr w:type="spellEnd"/>
            <w:r w:rsidR="00C63B51" w:rsidRPr="00E16672">
              <w:rPr>
                <w:rFonts w:ascii="Times New Roman" w:hAnsi="Times New Roman"/>
                <w:sz w:val="16"/>
                <w:szCs w:val="16"/>
                <w:lang w:val="en-US"/>
              </w:rPr>
              <w:t xml:space="preserve">, </w:t>
            </w:r>
            <w:proofErr w:type="spellStart"/>
            <w:r w:rsidR="00C63B51" w:rsidRPr="00E16672">
              <w:rPr>
                <w:rFonts w:ascii="Times New Roman" w:hAnsi="Times New Roman"/>
                <w:sz w:val="16"/>
                <w:szCs w:val="16"/>
              </w:rPr>
              <w:t>передбачені</w:t>
            </w:r>
            <w:proofErr w:type="spellEnd"/>
            <w:r w:rsidR="00C63B51" w:rsidRPr="00E16672">
              <w:rPr>
                <w:rFonts w:ascii="Times New Roman" w:hAnsi="Times New Roman"/>
                <w:sz w:val="16"/>
                <w:szCs w:val="16"/>
                <w:lang w:val="en-US"/>
              </w:rPr>
              <w:t xml:space="preserve"> </w:t>
            </w:r>
            <w:proofErr w:type="spellStart"/>
            <w:r w:rsidR="00C63B51" w:rsidRPr="00E16672">
              <w:rPr>
                <w:rFonts w:ascii="Times New Roman" w:hAnsi="Times New Roman"/>
                <w:sz w:val="16"/>
                <w:szCs w:val="16"/>
              </w:rPr>
              <w:t>законодавством</w:t>
            </w:r>
            <w:proofErr w:type="spellEnd"/>
            <w:r w:rsidR="00C63B51" w:rsidRPr="00E16672">
              <w:rPr>
                <w:rFonts w:ascii="Times New Roman" w:hAnsi="Times New Roman"/>
                <w:sz w:val="16"/>
                <w:szCs w:val="16"/>
                <w:lang w:val="en-US"/>
              </w:rPr>
              <w:t xml:space="preserve"> </w:t>
            </w:r>
            <w:proofErr w:type="spellStart"/>
            <w:r w:rsidR="00C63B51" w:rsidRPr="00E16672">
              <w:rPr>
                <w:rFonts w:ascii="Times New Roman" w:hAnsi="Times New Roman"/>
                <w:sz w:val="16"/>
                <w:szCs w:val="16"/>
              </w:rPr>
              <w:t>України</w:t>
            </w:r>
            <w:proofErr w:type="spellEnd"/>
            <w:r w:rsidR="00C63B51" w:rsidRPr="00E16672">
              <w:rPr>
                <w:rFonts w:ascii="Times New Roman" w:hAnsi="Times New Roman"/>
                <w:sz w:val="16"/>
                <w:szCs w:val="16"/>
                <w:lang w:val="en-US"/>
              </w:rPr>
              <w:t xml:space="preserve"> </w:t>
            </w:r>
            <w:r w:rsidR="00C63B51" w:rsidRPr="00E16672">
              <w:rPr>
                <w:rFonts w:ascii="Times New Roman" w:hAnsi="Times New Roman"/>
                <w:sz w:val="16"/>
                <w:szCs w:val="16"/>
              </w:rPr>
              <w:t>та</w:t>
            </w:r>
            <w:r w:rsidR="00C63B51" w:rsidRPr="00E16672">
              <w:rPr>
                <w:rFonts w:ascii="Times New Roman" w:hAnsi="Times New Roman"/>
                <w:sz w:val="16"/>
                <w:szCs w:val="16"/>
                <w:lang w:val="en-US"/>
              </w:rPr>
              <w:t xml:space="preserve"> </w:t>
            </w:r>
            <w:proofErr w:type="spellStart"/>
            <w:r w:rsidR="00C63B51" w:rsidRPr="00E16672">
              <w:rPr>
                <w:rFonts w:ascii="Times New Roman" w:hAnsi="Times New Roman"/>
                <w:sz w:val="16"/>
                <w:szCs w:val="16"/>
              </w:rPr>
              <w:t>внутрішніми</w:t>
            </w:r>
            <w:proofErr w:type="spellEnd"/>
            <w:r w:rsidR="00C63B51" w:rsidRPr="00E16672">
              <w:rPr>
                <w:rFonts w:ascii="Times New Roman" w:hAnsi="Times New Roman"/>
                <w:sz w:val="16"/>
                <w:szCs w:val="16"/>
                <w:lang w:val="en-US"/>
              </w:rPr>
              <w:t xml:space="preserve"> </w:t>
            </w:r>
            <w:r w:rsidR="00C63B51" w:rsidRPr="00E16672">
              <w:rPr>
                <w:rFonts w:ascii="Times New Roman" w:hAnsi="Times New Roman"/>
                <w:sz w:val="16"/>
                <w:szCs w:val="16"/>
              </w:rPr>
              <w:t>документами</w:t>
            </w:r>
            <w:r w:rsidR="00C63B51" w:rsidRPr="00E16672">
              <w:rPr>
                <w:rFonts w:ascii="Times New Roman" w:hAnsi="Times New Roman"/>
                <w:sz w:val="16"/>
                <w:szCs w:val="16"/>
                <w:lang w:val="en-US"/>
              </w:rPr>
              <w:t xml:space="preserve"> </w:t>
            </w:r>
            <w:proofErr w:type="spellStart"/>
            <w:r w:rsidR="00C63B51" w:rsidRPr="00E16672">
              <w:rPr>
                <w:rFonts w:ascii="Times New Roman" w:hAnsi="Times New Roman"/>
                <w:sz w:val="16"/>
                <w:szCs w:val="16"/>
              </w:rPr>
              <w:t>депозитарної</w:t>
            </w:r>
            <w:proofErr w:type="spellEnd"/>
            <w:r w:rsidR="00C63B51" w:rsidRPr="00E16672">
              <w:rPr>
                <w:rFonts w:ascii="Times New Roman" w:hAnsi="Times New Roman"/>
                <w:sz w:val="16"/>
                <w:szCs w:val="16"/>
                <w:lang w:val="en-US"/>
              </w:rPr>
              <w:t xml:space="preserve"> </w:t>
            </w:r>
            <w:r w:rsidR="00C63B51" w:rsidRPr="00E16672">
              <w:rPr>
                <w:rFonts w:ascii="Times New Roman" w:hAnsi="Times New Roman"/>
                <w:sz w:val="16"/>
                <w:szCs w:val="16"/>
              </w:rPr>
              <w:t>установи</w:t>
            </w:r>
            <w:r w:rsidR="00C63B51" w:rsidRPr="00E16672">
              <w:rPr>
                <w:rFonts w:ascii="Times New Roman" w:hAnsi="Times New Roman"/>
                <w:sz w:val="16"/>
                <w:szCs w:val="16"/>
                <w:lang w:val="en-US"/>
              </w:rPr>
              <w:t xml:space="preserve"> </w:t>
            </w:r>
            <w:r w:rsidR="00C63B51" w:rsidRPr="00E16672">
              <w:rPr>
                <w:rFonts w:ascii="Times New Roman" w:hAnsi="Times New Roman"/>
                <w:sz w:val="16"/>
                <w:szCs w:val="16"/>
              </w:rPr>
              <w:t>як</w:t>
            </w:r>
            <w:r w:rsidR="00C63B51" w:rsidRPr="00E16672">
              <w:rPr>
                <w:rFonts w:ascii="Times New Roman" w:hAnsi="Times New Roman"/>
                <w:sz w:val="16"/>
                <w:szCs w:val="16"/>
                <w:lang w:val="en-US"/>
              </w:rPr>
              <w:t xml:space="preserve"> </w:t>
            </w:r>
            <w:proofErr w:type="spellStart"/>
            <w:r w:rsidR="00C63B51" w:rsidRPr="00E16672">
              <w:rPr>
                <w:rFonts w:ascii="Times New Roman" w:hAnsi="Times New Roman"/>
                <w:sz w:val="16"/>
                <w:szCs w:val="16"/>
              </w:rPr>
              <w:t>обов</w:t>
            </w:r>
            <w:proofErr w:type="spellEnd"/>
            <w:r w:rsidR="00C63B51" w:rsidRPr="00E16672">
              <w:rPr>
                <w:rFonts w:ascii="Times New Roman" w:hAnsi="Times New Roman"/>
                <w:sz w:val="16"/>
                <w:szCs w:val="16"/>
                <w:lang w:val="en-US"/>
              </w:rPr>
              <w:t>’</w:t>
            </w:r>
            <w:proofErr w:type="spellStart"/>
            <w:r w:rsidR="00C63B51" w:rsidRPr="00E16672">
              <w:rPr>
                <w:rFonts w:ascii="Times New Roman" w:hAnsi="Times New Roman"/>
                <w:sz w:val="16"/>
                <w:szCs w:val="16"/>
              </w:rPr>
              <w:t>язкові</w:t>
            </w:r>
            <w:proofErr w:type="spellEnd"/>
            <w:r w:rsidR="00C63B51" w:rsidRPr="00E16672">
              <w:rPr>
                <w:rFonts w:ascii="Times New Roman" w:hAnsi="Times New Roman"/>
                <w:sz w:val="16"/>
                <w:szCs w:val="16"/>
                <w:lang w:val="en-US"/>
              </w:rPr>
              <w:t xml:space="preserve"> </w:t>
            </w:r>
            <w:r w:rsidR="00C63B51" w:rsidRPr="00E16672">
              <w:rPr>
                <w:rFonts w:ascii="Times New Roman" w:hAnsi="Times New Roman"/>
                <w:sz w:val="16"/>
                <w:szCs w:val="16"/>
              </w:rPr>
              <w:t>для</w:t>
            </w:r>
            <w:r w:rsidR="00C63B51" w:rsidRPr="00E16672">
              <w:rPr>
                <w:rFonts w:ascii="Times New Roman" w:hAnsi="Times New Roman"/>
                <w:sz w:val="16"/>
                <w:szCs w:val="16"/>
                <w:lang w:val="en-US"/>
              </w:rPr>
              <w:t xml:space="preserve"> </w:t>
            </w:r>
            <w:proofErr w:type="spellStart"/>
            <w:r w:rsidR="00C63B51" w:rsidRPr="00E16672">
              <w:rPr>
                <w:rFonts w:ascii="Times New Roman" w:hAnsi="Times New Roman"/>
                <w:sz w:val="16"/>
                <w:szCs w:val="16"/>
              </w:rPr>
              <w:t>подання</w:t>
            </w:r>
            <w:proofErr w:type="spellEnd"/>
            <w:r w:rsidR="00C63B51" w:rsidRPr="00E16672">
              <w:rPr>
                <w:rFonts w:ascii="Times New Roman" w:hAnsi="Times New Roman"/>
                <w:sz w:val="16"/>
                <w:szCs w:val="16"/>
                <w:lang w:val="en-US"/>
              </w:rPr>
              <w:t xml:space="preserve"> </w:t>
            </w:r>
            <w:proofErr w:type="spellStart"/>
            <w:r w:rsidR="00C63B51" w:rsidRPr="00E16672">
              <w:rPr>
                <w:rFonts w:ascii="Times New Roman" w:hAnsi="Times New Roman"/>
                <w:sz w:val="16"/>
                <w:szCs w:val="16"/>
              </w:rPr>
              <w:t>або</w:t>
            </w:r>
            <w:proofErr w:type="spellEnd"/>
            <w:r w:rsidR="00C63B51" w:rsidRPr="00E16672">
              <w:rPr>
                <w:rFonts w:ascii="Times New Roman" w:hAnsi="Times New Roman"/>
                <w:sz w:val="16"/>
                <w:szCs w:val="16"/>
                <w:lang w:val="en-US"/>
              </w:rPr>
              <w:t xml:space="preserve"> </w:t>
            </w:r>
            <w:proofErr w:type="spellStart"/>
            <w:r w:rsidR="00C63B51" w:rsidRPr="00E16672">
              <w:rPr>
                <w:rFonts w:ascii="Times New Roman" w:hAnsi="Times New Roman"/>
                <w:sz w:val="16"/>
                <w:szCs w:val="16"/>
              </w:rPr>
              <w:t>необхідні</w:t>
            </w:r>
            <w:proofErr w:type="spellEnd"/>
            <w:r w:rsidR="00C63B51" w:rsidRPr="00E16672">
              <w:rPr>
                <w:rFonts w:ascii="Times New Roman" w:hAnsi="Times New Roman"/>
                <w:sz w:val="16"/>
                <w:szCs w:val="16"/>
                <w:lang w:val="en-US"/>
              </w:rPr>
              <w:t xml:space="preserve"> </w:t>
            </w:r>
            <w:proofErr w:type="spellStart"/>
            <w:r w:rsidR="00C63B51" w:rsidRPr="00E16672">
              <w:rPr>
                <w:rFonts w:ascii="Times New Roman" w:hAnsi="Times New Roman"/>
                <w:sz w:val="16"/>
                <w:szCs w:val="16"/>
              </w:rPr>
              <w:t>їй</w:t>
            </w:r>
            <w:proofErr w:type="spellEnd"/>
            <w:r w:rsidR="00C63B51" w:rsidRPr="00E16672">
              <w:rPr>
                <w:rFonts w:ascii="Times New Roman" w:hAnsi="Times New Roman"/>
                <w:sz w:val="16"/>
                <w:szCs w:val="16"/>
                <w:lang w:val="en-US"/>
              </w:rPr>
              <w:t xml:space="preserve"> </w:t>
            </w:r>
            <w:r w:rsidR="00C63B51" w:rsidRPr="00E16672">
              <w:rPr>
                <w:rFonts w:ascii="Times New Roman" w:hAnsi="Times New Roman"/>
                <w:sz w:val="16"/>
                <w:szCs w:val="16"/>
              </w:rPr>
              <w:t>для</w:t>
            </w:r>
            <w:r w:rsidR="00C63B51" w:rsidRPr="00E16672">
              <w:rPr>
                <w:rFonts w:ascii="Times New Roman" w:hAnsi="Times New Roman"/>
                <w:sz w:val="16"/>
                <w:szCs w:val="16"/>
                <w:lang w:val="en-US"/>
              </w:rPr>
              <w:t xml:space="preserve"> </w:t>
            </w:r>
            <w:proofErr w:type="spellStart"/>
            <w:r w:rsidR="00C63B51" w:rsidRPr="00E16672">
              <w:rPr>
                <w:rFonts w:ascii="Times New Roman" w:hAnsi="Times New Roman"/>
                <w:sz w:val="16"/>
                <w:szCs w:val="16"/>
              </w:rPr>
              <w:t>виконання</w:t>
            </w:r>
            <w:proofErr w:type="spellEnd"/>
            <w:r w:rsidR="00C63B51" w:rsidRPr="00E16672">
              <w:rPr>
                <w:rFonts w:ascii="Times New Roman" w:hAnsi="Times New Roman"/>
                <w:sz w:val="16"/>
                <w:szCs w:val="16"/>
                <w:lang w:val="en-US"/>
              </w:rPr>
              <w:t xml:space="preserve"> </w:t>
            </w:r>
            <w:proofErr w:type="spellStart"/>
            <w:r w:rsidR="00C63B51" w:rsidRPr="00E16672">
              <w:rPr>
                <w:rFonts w:ascii="Times New Roman" w:hAnsi="Times New Roman"/>
                <w:sz w:val="16"/>
                <w:szCs w:val="16"/>
              </w:rPr>
              <w:t>дій</w:t>
            </w:r>
            <w:proofErr w:type="spellEnd"/>
            <w:r w:rsidR="00C63B51" w:rsidRPr="00E16672">
              <w:rPr>
                <w:rFonts w:ascii="Times New Roman" w:hAnsi="Times New Roman"/>
                <w:sz w:val="16"/>
                <w:szCs w:val="16"/>
                <w:lang w:val="en-US"/>
              </w:rPr>
              <w:t xml:space="preserve"> </w:t>
            </w:r>
            <w:proofErr w:type="spellStart"/>
            <w:r w:rsidR="00C63B51" w:rsidRPr="00E16672">
              <w:rPr>
                <w:rFonts w:ascii="Times New Roman" w:hAnsi="Times New Roman"/>
                <w:sz w:val="16"/>
                <w:szCs w:val="16"/>
              </w:rPr>
              <w:t>згідно</w:t>
            </w:r>
            <w:proofErr w:type="spellEnd"/>
            <w:r w:rsidR="00C63B51" w:rsidRPr="00E16672">
              <w:rPr>
                <w:rFonts w:ascii="Times New Roman" w:hAnsi="Times New Roman"/>
                <w:sz w:val="16"/>
                <w:szCs w:val="16"/>
                <w:lang w:val="en-US"/>
              </w:rPr>
              <w:t xml:space="preserve"> </w:t>
            </w:r>
            <w:r w:rsidR="00C63B51" w:rsidRPr="00E16672">
              <w:rPr>
                <w:rFonts w:ascii="Times New Roman" w:hAnsi="Times New Roman"/>
                <w:sz w:val="16"/>
                <w:szCs w:val="16"/>
              </w:rPr>
              <w:t>з</w:t>
            </w:r>
            <w:r w:rsidR="00C63B51" w:rsidRPr="00E16672">
              <w:rPr>
                <w:rFonts w:ascii="Times New Roman" w:hAnsi="Times New Roman"/>
                <w:sz w:val="16"/>
                <w:szCs w:val="16"/>
                <w:lang w:val="en-US"/>
              </w:rPr>
              <w:t xml:space="preserve"> </w:t>
            </w:r>
            <w:proofErr w:type="spellStart"/>
            <w:r w:rsidR="00C63B51" w:rsidRPr="00E16672">
              <w:rPr>
                <w:rFonts w:ascii="Times New Roman" w:hAnsi="Times New Roman"/>
                <w:sz w:val="16"/>
                <w:szCs w:val="16"/>
              </w:rPr>
              <w:t>вимогами</w:t>
            </w:r>
            <w:proofErr w:type="spellEnd"/>
            <w:r w:rsidR="00C63B51" w:rsidRPr="00E16672">
              <w:rPr>
                <w:rFonts w:ascii="Times New Roman" w:hAnsi="Times New Roman"/>
                <w:sz w:val="16"/>
                <w:szCs w:val="16"/>
                <w:lang w:val="en-US"/>
              </w:rPr>
              <w:t xml:space="preserve"> </w:t>
            </w:r>
            <w:proofErr w:type="spellStart"/>
            <w:r w:rsidR="00C63B51" w:rsidRPr="00E16672">
              <w:rPr>
                <w:rFonts w:ascii="Times New Roman" w:hAnsi="Times New Roman"/>
                <w:sz w:val="16"/>
                <w:szCs w:val="16"/>
              </w:rPr>
              <w:t>законодавства</w:t>
            </w:r>
            <w:proofErr w:type="spellEnd"/>
            <w:r w:rsidR="00C63B51" w:rsidRPr="00E16672">
              <w:rPr>
                <w:rFonts w:ascii="Times New Roman" w:hAnsi="Times New Roman"/>
                <w:sz w:val="16"/>
                <w:szCs w:val="16"/>
                <w:lang w:val="en-US"/>
              </w:rPr>
              <w:t xml:space="preserve"> </w:t>
            </w:r>
            <w:proofErr w:type="spellStart"/>
            <w:r w:rsidR="00C63B51" w:rsidRPr="00E16672">
              <w:rPr>
                <w:rFonts w:ascii="Times New Roman" w:hAnsi="Times New Roman"/>
                <w:sz w:val="16"/>
                <w:szCs w:val="16"/>
              </w:rPr>
              <w:t>України</w:t>
            </w:r>
            <w:proofErr w:type="spellEnd"/>
            <w:r w:rsidR="00C63B51" w:rsidRPr="00E16672">
              <w:rPr>
                <w:rFonts w:ascii="Times New Roman" w:hAnsi="Times New Roman"/>
                <w:sz w:val="16"/>
                <w:szCs w:val="16"/>
                <w:lang w:val="en-US"/>
              </w:rPr>
              <w:t xml:space="preserve">, </w:t>
            </w:r>
            <w:proofErr w:type="spellStart"/>
            <w:r w:rsidR="00C63B51" w:rsidRPr="00E16672">
              <w:rPr>
                <w:rFonts w:ascii="Times New Roman" w:hAnsi="Times New Roman"/>
                <w:sz w:val="16"/>
                <w:szCs w:val="16"/>
              </w:rPr>
              <w:t>зокрема</w:t>
            </w:r>
            <w:proofErr w:type="spellEnd"/>
            <w:r w:rsidR="00C63B51" w:rsidRPr="00E16672">
              <w:rPr>
                <w:rFonts w:ascii="Times New Roman" w:hAnsi="Times New Roman"/>
                <w:sz w:val="16"/>
                <w:szCs w:val="16"/>
                <w:lang w:val="en-US"/>
              </w:rPr>
              <w:t xml:space="preserve"> </w:t>
            </w:r>
            <w:r w:rsidR="00C63B51" w:rsidRPr="00E16672">
              <w:rPr>
                <w:rFonts w:ascii="Times New Roman" w:hAnsi="Times New Roman"/>
                <w:sz w:val="16"/>
                <w:szCs w:val="16"/>
              </w:rPr>
              <w:t>з</w:t>
            </w:r>
            <w:r w:rsidR="00C63B51" w:rsidRPr="00E16672">
              <w:rPr>
                <w:rFonts w:ascii="Times New Roman" w:hAnsi="Times New Roman"/>
                <w:sz w:val="16"/>
                <w:szCs w:val="16"/>
                <w:lang w:val="en-US"/>
              </w:rPr>
              <w:t xml:space="preserve"> </w:t>
            </w:r>
            <w:proofErr w:type="spellStart"/>
            <w:r w:rsidR="00C63B51" w:rsidRPr="00E16672">
              <w:rPr>
                <w:rFonts w:ascii="Times New Roman" w:hAnsi="Times New Roman"/>
                <w:sz w:val="16"/>
                <w:szCs w:val="16"/>
              </w:rPr>
              <w:t>питань</w:t>
            </w:r>
            <w:proofErr w:type="spellEnd"/>
            <w:r w:rsidR="00C63B51" w:rsidRPr="00E16672">
              <w:rPr>
                <w:rFonts w:ascii="Times New Roman" w:hAnsi="Times New Roman"/>
                <w:sz w:val="16"/>
                <w:szCs w:val="16"/>
                <w:lang w:val="en-US"/>
              </w:rPr>
              <w:t xml:space="preserve"> </w:t>
            </w:r>
            <w:proofErr w:type="spellStart"/>
            <w:r w:rsidR="00C63B51" w:rsidRPr="00E16672">
              <w:rPr>
                <w:rFonts w:ascii="Times New Roman" w:hAnsi="Times New Roman"/>
                <w:sz w:val="16"/>
                <w:szCs w:val="16"/>
              </w:rPr>
              <w:t>ідентифікації</w:t>
            </w:r>
            <w:proofErr w:type="spellEnd"/>
            <w:r w:rsidR="00C63B51" w:rsidRPr="00E16672">
              <w:rPr>
                <w:rFonts w:ascii="Times New Roman" w:hAnsi="Times New Roman"/>
                <w:sz w:val="16"/>
                <w:szCs w:val="16"/>
                <w:lang w:val="en-US"/>
              </w:rPr>
              <w:t xml:space="preserve"> </w:t>
            </w:r>
            <w:r w:rsidR="00C63B51" w:rsidRPr="00E16672">
              <w:rPr>
                <w:rFonts w:ascii="Times New Roman" w:hAnsi="Times New Roman"/>
                <w:sz w:val="16"/>
                <w:szCs w:val="16"/>
              </w:rPr>
              <w:t>та</w:t>
            </w:r>
            <w:r w:rsidR="00C63B51" w:rsidRPr="00E16672">
              <w:rPr>
                <w:rFonts w:ascii="Times New Roman" w:hAnsi="Times New Roman"/>
                <w:sz w:val="16"/>
                <w:szCs w:val="16"/>
                <w:lang w:val="en-US"/>
              </w:rPr>
              <w:t xml:space="preserve"> </w:t>
            </w:r>
            <w:proofErr w:type="spellStart"/>
            <w:r w:rsidR="00C63B51" w:rsidRPr="00E16672">
              <w:rPr>
                <w:rFonts w:ascii="Times New Roman" w:hAnsi="Times New Roman"/>
                <w:sz w:val="16"/>
                <w:szCs w:val="16"/>
              </w:rPr>
              <w:t>верифікації</w:t>
            </w:r>
            <w:proofErr w:type="spellEnd"/>
            <w:r w:rsidR="00C63B51" w:rsidRPr="00E16672">
              <w:rPr>
                <w:rFonts w:ascii="Times New Roman" w:hAnsi="Times New Roman"/>
                <w:sz w:val="16"/>
                <w:szCs w:val="16"/>
                <w:lang w:val="en-US"/>
              </w:rPr>
              <w:t xml:space="preserve"> </w:t>
            </w:r>
            <w:proofErr w:type="spellStart"/>
            <w:r w:rsidR="00C63B51" w:rsidRPr="00E16672">
              <w:rPr>
                <w:rFonts w:ascii="Times New Roman" w:hAnsi="Times New Roman"/>
                <w:sz w:val="16"/>
                <w:szCs w:val="16"/>
              </w:rPr>
              <w:t>клієнтів</w:t>
            </w:r>
            <w:proofErr w:type="spellEnd"/>
            <w:r w:rsidR="00C63B51" w:rsidRPr="00E16672">
              <w:rPr>
                <w:rFonts w:ascii="Times New Roman" w:hAnsi="Times New Roman"/>
                <w:sz w:val="16"/>
                <w:szCs w:val="16"/>
                <w:lang w:val="en-US"/>
              </w:rPr>
              <w:t xml:space="preserve">, </w:t>
            </w:r>
            <w:r w:rsidR="00C63B51" w:rsidRPr="00E16672">
              <w:rPr>
                <w:rFonts w:ascii="Times New Roman" w:hAnsi="Times New Roman"/>
                <w:sz w:val="16"/>
                <w:szCs w:val="16"/>
              </w:rPr>
              <w:t>у</w:t>
            </w:r>
            <w:r w:rsidR="00C63B51" w:rsidRPr="00E16672">
              <w:rPr>
                <w:rFonts w:ascii="Times New Roman" w:hAnsi="Times New Roman"/>
                <w:sz w:val="16"/>
                <w:szCs w:val="16"/>
                <w:lang w:val="en-US"/>
              </w:rPr>
              <w:t xml:space="preserve"> </w:t>
            </w:r>
            <w:r w:rsidR="00C63B51" w:rsidRPr="00E16672">
              <w:rPr>
                <w:rFonts w:ascii="Times New Roman" w:hAnsi="Times New Roman"/>
                <w:sz w:val="16"/>
                <w:szCs w:val="16"/>
              </w:rPr>
              <w:t>тому</w:t>
            </w:r>
            <w:r w:rsidR="00C63B51" w:rsidRPr="00E16672">
              <w:rPr>
                <w:rFonts w:ascii="Times New Roman" w:hAnsi="Times New Roman"/>
                <w:sz w:val="16"/>
                <w:szCs w:val="16"/>
                <w:lang w:val="en-US"/>
              </w:rPr>
              <w:t xml:space="preserve"> </w:t>
            </w:r>
            <w:proofErr w:type="spellStart"/>
            <w:r w:rsidR="00C63B51" w:rsidRPr="00E16672">
              <w:rPr>
                <w:rFonts w:ascii="Times New Roman" w:hAnsi="Times New Roman"/>
                <w:sz w:val="16"/>
                <w:szCs w:val="16"/>
              </w:rPr>
              <w:t>числі</w:t>
            </w:r>
            <w:proofErr w:type="spellEnd"/>
            <w:r w:rsidR="00C63B51" w:rsidRPr="00E16672">
              <w:rPr>
                <w:rFonts w:ascii="Times New Roman" w:hAnsi="Times New Roman"/>
                <w:sz w:val="16"/>
                <w:szCs w:val="16"/>
                <w:lang w:val="en-US"/>
              </w:rPr>
              <w:t xml:space="preserve"> </w:t>
            </w:r>
            <w:proofErr w:type="spellStart"/>
            <w:r w:rsidR="00C63B51" w:rsidRPr="00E16672">
              <w:rPr>
                <w:rFonts w:ascii="Times New Roman" w:hAnsi="Times New Roman"/>
                <w:sz w:val="16"/>
                <w:szCs w:val="16"/>
              </w:rPr>
              <w:t>ідентифікації</w:t>
            </w:r>
            <w:proofErr w:type="spellEnd"/>
            <w:r w:rsidR="00C63B51" w:rsidRPr="00E16672">
              <w:rPr>
                <w:rFonts w:ascii="Times New Roman" w:hAnsi="Times New Roman"/>
                <w:sz w:val="16"/>
                <w:szCs w:val="16"/>
                <w:lang w:val="en-US"/>
              </w:rPr>
              <w:t xml:space="preserve"> </w:t>
            </w:r>
            <w:proofErr w:type="spellStart"/>
            <w:r w:rsidR="00C63B51" w:rsidRPr="00E16672">
              <w:rPr>
                <w:rFonts w:ascii="Times New Roman" w:hAnsi="Times New Roman"/>
                <w:sz w:val="16"/>
                <w:szCs w:val="16"/>
              </w:rPr>
              <w:t>клієнтів</w:t>
            </w:r>
            <w:proofErr w:type="spellEnd"/>
            <w:r w:rsidR="00C63B51" w:rsidRPr="00E16672">
              <w:rPr>
                <w:rFonts w:ascii="Times New Roman" w:hAnsi="Times New Roman"/>
                <w:sz w:val="16"/>
                <w:szCs w:val="16"/>
                <w:lang w:val="en-US"/>
              </w:rPr>
              <w:t xml:space="preserve"> </w:t>
            </w:r>
            <w:proofErr w:type="spellStart"/>
            <w:r w:rsidR="00C63B51" w:rsidRPr="00E16672">
              <w:rPr>
                <w:rFonts w:ascii="Times New Roman" w:hAnsi="Times New Roman"/>
                <w:sz w:val="16"/>
                <w:szCs w:val="16"/>
              </w:rPr>
              <w:t>номінального</w:t>
            </w:r>
            <w:proofErr w:type="spellEnd"/>
            <w:r w:rsidR="00C63B51" w:rsidRPr="00E16672">
              <w:rPr>
                <w:rFonts w:ascii="Times New Roman" w:hAnsi="Times New Roman"/>
                <w:sz w:val="16"/>
                <w:szCs w:val="16"/>
                <w:lang w:val="en-US"/>
              </w:rPr>
              <w:t xml:space="preserve"> </w:t>
            </w:r>
            <w:proofErr w:type="spellStart"/>
            <w:r w:rsidR="00C63B51" w:rsidRPr="00E16672">
              <w:rPr>
                <w:rFonts w:ascii="Times New Roman" w:hAnsi="Times New Roman"/>
                <w:sz w:val="16"/>
                <w:szCs w:val="16"/>
              </w:rPr>
              <w:t>утримувача</w:t>
            </w:r>
            <w:proofErr w:type="spellEnd"/>
            <w:r w:rsidR="00C63B51" w:rsidRPr="00E16672">
              <w:rPr>
                <w:rFonts w:ascii="Times New Roman" w:hAnsi="Times New Roman"/>
                <w:sz w:val="16"/>
                <w:szCs w:val="16"/>
                <w:lang w:val="en-US"/>
              </w:rPr>
              <w:t xml:space="preserve"> </w:t>
            </w:r>
            <w:proofErr w:type="spellStart"/>
            <w:r w:rsidR="00C63B51" w:rsidRPr="00E16672">
              <w:rPr>
                <w:rFonts w:ascii="Times New Roman" w:hAnsi="Times New Roman"/>
                <w:sz w:val="16"/>
                <w:szCs w:val="16"/>
              </w:rPr>
              <w:t>або</w:t>
            </w:r>
            <w:proofErr w:type="spellEnd"/>
            <w:r w:rsidR="00C63B51" w:rsidRPr="00E16672">
              <w:rPr>
                <w:rFonts w:ascii="Times New Roman" w:hAnsi="Times New Roman"/>
                <w:sz w:val="16"/>
                <w:szCs w:val="16"/>
                <w:lang w:val="en-US"/>
              </w:rPr>
              <w:t xml:space="preserve"> </w:t>
            </w:r>
            <w:proofErr w:type="spellStart"/>
            <w:r w:rsidR="00C63B51" w:rsidRPr="00E16672">
              <w:rPr>
                <w:rFonts w:ascii="Times New Roman" w:hAnsi="Times New Roman"/>
                <w:sz w:val="16"/>
                <w:szCs w:val="16"/>
              </w:rPr>
              <w:t>клієнтів</w:t>
            </w:r>
            <w:proofErr w:type="spellEnd"/>
            <w:r w:rsidR="00C63B51" w:rsidRPr="00E16672">
              <w:rPr>
                <w:rFonts w:ascii="Times New Roman" w:hAnsi="Times New Roman"/>
                <w:sz w:val="16"/>
                <w:szCs w:val="16"/>
                <w:lang w:val="en-US"/>
              </w:rPr>
              <w:t xml:space="preserve"> </w:t>
            </w:r>
            <w:proofErr w:type="spellStart"/>
            <w:r w:rsidR="00C63B51" w:rsidRPr="00E16672">
              <w:rPr>
                <w:rFonts w:ascii="Times New Roman" w:hAnsi="Times New Roman"/>
                <w:sz w:val="16"/>
                <w:szCs w:val="16"/>
              </w:rPr>
              <w:t>клієнта</w:t>
            </w:r>
            <w:proofErr w:type="spellEnd"/>
            <w:r w:rsidR="00C63B51" w:rsidRPr="00E16672">
              <w:rPr>
                <w:rFonts w:ascii="Times New Roman" w:hAnsi="Times New Roman"/>
                <w:sz w:val="16"/>
                <w:szCs w:val="16"/>
                <w:lang w:val="en-US"/>
              </w:rPr>
              <w:t xml:space="preserve"> </w:t>
            </w:r>
            <w:proofErr w:type="spellStart"/>
            <w:r w:rsidR="00C63B51" w:rsidRPr="00E16672">
              <w:rPr>
                <w:rFonts w:ascii="Times New Roman" w:hAnsi="Times New Roman"/>
                <w:sz w:val="16"/>
                <w:szCs w:val="16"/>
              </w:rPr>
              <w:t>номінального</w:t>
            </w:r>
            <w:proofErr w:type="spellEnd"/>
            <w:r w:rsidR="00C63B51" w:rsidRPr="00E16672">
              <w:rPr>
                <w:rFonts w:ascii="Times New Roman" w:hAnsi="Times New Roman"/>
                <w:sz w:val="16"/>
                <w:szCs w:val="16"/>
                <w:lang w:val="en-US"/>
              </w:rPr>
              <w:t xml:space="preserve"> </w:t>
            </w:r>
            <w:proofErr w:type="spellStart"/>
            <w:r w:rsidR="00C63B51" w:rsidRPr="00E16672">
              <w:rPr>
                <w:rFonts w:ascii="Times New Roman" w:hAnsi="Times New Roman"/>
                <w:sz w:val="16"/>
                <w:szCs w:val="16"/>
              </w:rPr>
              <w:t>утримувача</w:t>
            </w:r>
            <w:proofErr w:type="spellEnd"/>
            <w:r w:rsidRPr="00E16672">
              <w:rPr>
                <w:rFonts w:ascii="Times New Roman" w:hAnsi="Times New Roman"/>
                <w:color w:val="000000"/>
                <w:sz w:val="16"/>
                <w:szCs w:val="16"/>
                <w:lang w:val="en-US"/>
              </w:rPr>
              <w:t>.</w:t>
            </w:r>
          </w:p>
          <w:p w14:paraId="645210FF" w14:textId="77777777" w:rsidR="00EB25FE" w:rsidRPr="00E16672" w:rsidRDefault="00EB25FE" w:rsidP="001456E9">
            <w:pPr>
              <w:tabs>
                <w:tab w:val="left" w:pos="709"/>
              </w:tabs>
              <w:ind w:left="172" w:right="138" w:firstLine="0"/>
              <w:rPr>
                <w:rFonts w:ascii="Times New Roman" w:hAnsi="Times New Roman"/>
                <w:color w:val="000000"/>
                <w:sz w:val="16"/>
                <w:szCs w:val="16"/>
                <w:lang w:val="en-US"/>
              </w:rPr>
            </w:pPr>
          </w:p>
        </w:tc>
        <w:tc>
          <w:tcPr>
            <w:tcW w:w="5495" w:type="dxa"/>
            <w:gridSpan w:val="8"/>
            <w:shd w:val="clear" w:color="auto" w:fill="auto"/>
          </w:tcPr>
          <w:p w14:paraId="3B62FB27" w14:textId="77777777" w:rsidR="00EB25FE" w:rsidRPr="00E16672" w:rsidRDefault="00EB25FE" w:rsidP="001456E9">
            <w:pPr>
              <w:ind w:left="172" w:firstLine="0"/>
              <w:rPr>
                <w:rFonts w:ascii="Times New Roman" w:hAnsi="Times New Roman"/>
                <w:sz w:val="16"/>
                <w:szCs w:val="16"/>
                <w:lang w:val="en-US"/>
              </w:rPr>
            </w:pPr>
            <w:r w:rsidRPr="00E16672">
              <w:rPr>
                <w:rFonts w:ascii="Times New Roman" w:hAnsi="Times New Roman"/>
                <w:sz w:val="16"/>
                <w:szCs w:val="16"/>
                <w:lang w:val="en-US"/>
              </w:rPr>
              <w:t>2.3.</w:t>
            </w:r>
            <w:r w:rsidR="008C26CD" w:rsidRPr="00E16672">
              <w:rPr>
                <w:rFonts w:ascii="Times New Roman" w:hAnsi="Times New Roman"/>
                <w:sz w:val="16"/>
                <w:szCs w:val="16"/>
                <w:lang w:val="en-US"/>
              </w:rPr>
              <w:t>3</w:t>
            </w:r>
            <w:r w:rsidRPr="00E16672">
              <w:rPr>
                <w:rFonts w:ascii="Times New Roman" w:hAnsi="Times New Roman"/>
                <w:sz w:val="16"/>
                <w:szCs w:val="16"/>
                <w:lang w:val="en-US"/>
              </w:rPr>
              <w:t>.</w:t>
            </w:r>
            <w:r w:rsidR="00EB18F8" w:rsidRPr="00E16672">
              <w:rPr>
                <w:rFonts w:ascii="Times New Roman" w:hAnsi="Times New Roman"/>
                <w:sz w:val="16"/>
                <w:szCs w:val="16"/>
                <w:lang w:val="en-US"/>
              </w:rPr>
              <w:t xml:space="preserve"> To provide the Depository with the documents and information stipulated by the legislation of Ukraine and the internal documents of the depositary institution as being mandatory for submission or necessary for it to perform actions in accordance with the requirements of the legislation of Ukraine, in particular regarding identification and verification of clients, including the identification of the nominee's customer or </w:t>
            </w:r>
            <w:proofErr w:type="gramStart"/>
            <w:r w:rsidR="00EB18F8" w:rsidRPr="00E16672">
              <w:rPr>
                <w:rFonts w:ascii="Times New Roman" w:hAnsi="Times New Roman"/>
                <w:sz w:val="16"/>
                <w:szCs w:val="16"/>
                <w:lang w:val="en-US"/>
              </w:rPr>
              <w:t>clients</w:t>
            </w:r>
            <w:proofErr w:type="gramEnd"/>
            <w:r w:rsidR="00EB18F8" w:rsidRPr="00E16672">
              <w:rPr>
                <w:rFonts w:ascii="Times New Roman" w:hAnsi="Times New Roman"/>
                <w:sz w:val="16"/>
                <w:szCs w:val="16"/>
                <w:lang w:val="en-US"/>
              </w:rPr>
              <w:t xml:space="preserve"> customer nominee holder.</w:t>
            </w:r>
          </w:p>
        </w:tc>
      </w:tr>
      <w:tr w:rsidR="00EB25FE" w:rsidRPr="00F23413" w14:paraId="2FE068A5" w14:textId="77777777" w:rsidTr="005E418B">
        <w:tblPrEx>
          <w:tblCellMar>
            <w:left w:w="0" w:type="dxa"/>
            <w:right w:w="0" w:type="dxa"/>
          </w:tblCellMar>
        </w:tblPrEx>
        <w:trPr>
          <w:trHeight w:val="192"/>
        </w:trPr>
        <w:tc>
          <w:tcPr>
            <w:tcW w:w="5695" w:type="dxa"/>
            <w:gridSpan w:val="7"/>
            <w:shd w:val="clear" w:color="auto" w:fill="auto"/>
          </w:tcPr>
          <w:p w14:paraId="2D221FBE" w14:textId="77777777" w:rsidR="00EB25FE" w:rsidRPr="00E16672" w:rsidRDefault="00EB25FE" w:rsidP="001456E9">
            <w:pPr>
              <w:tabs>
                <w:tab w:val="left" w:pos="709"/>
              </w:tabs>
              <w:snapToGrid w:val="0"/>
              <w:ind w:left="172" w:right="138" w:firstLine="0"/>
              <w:rPr>
                <w:rFonts w:ascii="Times New Roman" w:hAnsi="Times New Roman"/>
                <w:sz w:val="16"/>
                <w:szCs w:val="16"/>
                <w:lang w:val="en-US"/>
              </w:rPr>
            </w:pPr>
            <w:r w:rsidRPr="00E16672">
              <w:rPr>
                <w:rFonts w:ascii="Times New Roman" w:hAnsi="Times New Roman"/>
                <w:sz w:val="16"/>
                <w:szCs w:val="16"/>
                <w:lang w:val="en-US"/>
              </w:rPr>
              <w:t>2.3.</w:t>
            </w:r>
            <w:r w:rsidR="008C26CD" w:rsidRPr="00E16672">
              <w:rPr>
                <w:rFonts w:ascii="Times New Roman" w:hAnsi="Times New Roman"/>
                <w:sz w:val="16"/>
                <w:szCs w:val="16"/>
                <w:lang w:val="uk-UA"/>
              </w:rPr>
              <w:t>4</w:t>
            </w:r>
            <w:r w:rsidRPr="00E16672">
              <w:rPr>
                <w:rFonts w:ascii="Times New Roman" w:hAnsi="Times New Roman"/>
                <w:sz w:val="16"/>
                <w:szCs w:val="16"/>
                <w:lang w:val="en-US"/>
              </w:rPr>
              <w:t xml:space="preserve">. </w:t>
            </w:r>
            <w:proofErr w:type="spellStart"/>
            <w:r w:rsidR="008C26CD" w:rsidRPr="00E16672">
              <w:rPr>
                <w:rFonts w:ascii="Times New Roman" w:hAnsi="Times New Roman"/>
                <w:sz w:val="16"/>
                <w:szCs w:val="16"/>
              </w:rPr>
              <w:t>Дотримуватись</w:t>
            </w:r>
            <w:proofErr w:type="spellEnd"/>
            <w:r w:rsidR="008C26CD" w:rsidRPr="00E16672">
              <w:rPr>
                <w:rFonts w:ascii="Times New Roman" w:hAnsi="Times New Roman"/>
                <w:sz w:val="16"/>
                <w:szCs w:val="16"/>
                <w:lang w:val="en-US"/>
              </w:rPr>
              <w:t xml:space="preserve"> (</w:t>
            </w:r>
            <w:proofErr w:type="spellStart"/>
            <w:r w:rsidR="008C26CD" w:rsidRPr="00E16672">
              <w:rPr>
                <w:rFonts w:ascii="Times New Roman" w:hAnsi="Times New Roman"/>
                <w:sz w:val="16"/>
                <w:szCs w:val="16"/>
              </w:rPr>
              <w:t>виконувати</w:t>
            </w:r>
            <w:proofErr w:type="spellEnd"/>
            <w:r w:rsidR="008C26CD" w:rsidRPr="00E16672">
              <w:rPr>
                <w:rFonts w:ascii="Times New Roman" w:hAnsi="Times New Roman"/>
                <w:sz w:val="16"/>
                <w:szCs w:val="16"/>
                <w:lang w:val="en-US"/>
              </w:rPr>
              <w:t xml:space="preserve">) </w:t>
            </w:r>
            <w:proofErr w:type="spellStart"/>
            <w:r w:rsidR="008C26CD" w:rsidRPr="00E16672">
              <w:rPr>
                <w:rFonts w:ascii="Times New Roman" w:hAnsi="Times New Roman"/>
                <w:sz w:val="16"/>
                <w:szCs w:val="16"/>
              </w:rPr>
              <w:t>вимог</w:t>
            </w:r>
            <w:proofErr w:type="spellEnd"/>
            <w:r w:rsidR="008C26CD" w:rsidRPr="00E16672">
              <w:rPr>
                <w:rFonts w:ascii="Times New Roman" w:hAnsi="Times New Roman"/>
                <w:sz w:val="16"/>
                <w:szCs w:val="16"/>
                <w:lang w:val="en-US"/>
              </w:rPr>
              <w:t>(</w:t>
            </w:r>
            <w:r w:rsidR="008C26CD" w:rsidRPr="00E16672">
              <w:rPr>
                <w:rFonts w:ascii="Times New Roman" w:hAnsi="Times New Roman"/>
                <w:sz w:val="16"/>
                <w:szCs w:val="16"/>
              </w:rPr>
              <w:t>и</w:t>
            </w:r>
            <w:r w:rsidR="008C26CD" w:rsidRPr="00E16672">
              <w:rPr>
                <w:rFonts w:ascii="Times New Roman" w:hAnsi="Times New Roman"/>
                <w:sz w:val="16"/>
                <w:szCs w:val="16"/>
                <w:lang w:val="en-US"/>
              </w:rPr>
              <w:t xml:space="preserve">) </w:t>
            </w:r>
            <w:proofErr w:type="spellStart"/>
            <w:r w:rsidR="008C26CD" w:rsidRPr="00E16672">
              <w:rPr>
                <w:rFonts w:ascii="Times New Roman" w:hAnsi="Times New Roman"/>
                <w:sz w:val="16"/>
                <w:szCs w:val="16"/>
              </w:rPr>
              <w:t>законодавства</w:t>
            </w:r>
            <w:proofErr w:type="spellEnd"/>
            <w:r w:rsidR="008C26CD" w:rsidRPr="00E16672">
              <w:rPr>
                <w:rFonts w:ascii="Times New Roman" w:hAnsi="Times New Roman"/>
                <w:sz w:val="16"/>
                <w:szCs w:val="16"/>
                <w:lang w:val="en-US"/>
              </w:rPr>
              <w:t xml:space="preserve">, </w:t>
            </w:r>
            <w:r w:rsidR="008C26CD" w:rsidRPr="00E16672">
              <w:rPr>
                <w:rFonts w:ascii="Times New Roman" w:hAnsi="Times New Roman"/>
                <w:sz w:val="16"/>
                <w:szCs w:val="16"/>
              </w:rPr>
              <w:t>у</w:t>
            </w:r>
            <w:r w:rsidR="008C26CD" w:rsidRPr="00E16672">
              <w:rPr>
                <w:rFonts w:ascii="Times New Roman" w:hAnsi="Times New Roman"/>
                <w:sz w:val="16"/>
                <w:szCs w:val="16"/>
                <w:lang w:val="en-US"/>
              </w:rPr>
              <w:t xml:space="preserve"> </w:t>
            </w:r>
            <w:r w:rsidR="008C26CD" w:rsidRPr="00E16672">
              <w:rPr>
                <w:rFonts w:ascii="Times New Roman" w:hAnsi="Times New Roman"/>
                <w:sz w:val="16"/>
                <w:szCs w:val="16"/>
              </w:rPr>
              <w:t>тому</w:t>
            </w:r>
            <w:r w:rsidR="008C26CD" w:rsidRPr="00E16672">
              <w:rPr>
                <w:rFonts w:ascii="Times New Roman" w:hAnsi="Times New Roman"/>
                <w:sz w:val="16"/>
                <w:szCs w:val="16"/>
                <w:lang w:val="en-US"/>
              </w:rPr>
              <w:t xml:space="preserve"> </w:t>
            </w:r>
            <w:proofErr w:type="spellStart"/>
            <w:r w:rsidR="008C26CD" w:rsidRPr="00E16672">
              <w:rPr>
                <w:rFonts w:ascii="Times New Roman" w:hAnsi="Times New Roman"/>
                <w:sz w:val="16"/>
                <w:szCs w:val="16"/>
              </w:rPr>
              <w:t>числі</w:t>
            </w:r>
            <w:proofErr w:type="spellEnd"/>
            <w:r w:rsidR="008C26CD" w:rsidRPr="00E16672">
              <w:rPr>
                <w:rFonts w:ascii="Times New Roman" w:hAnsi="Times New Roman"/>
                <w:sz w:val="16"/>
                <w:szCs w:val="16"/>
                <w:lang w:val="en-US"/>
              </w:rPr>
              <w:t xml:space="preserve"> </w:t>
            </w:r>
            <w:proofErr w:type="spellStart"/>
            <w:r w:rsidR="008C26CD" w:rsidRPr="00E16672">
              <w:rPr>
                <w:rFonts w:ascii="Times New Roman" w:hAnsi="Times New Roman"/>
                <w:sz w:val="16"/>
                <w:szCs w:val="16"/>
              </w:rPr>
              <w:t>законодавства</w:t>
            </w:r>
            <w:proofErr w:type="spellEnd"/>
            <w:r w:rsidR="008C26CD" w:rsidRPr="00E16672">
              <w:rPr>
                <w:rFonts w:ascii="Times New Roman" w:hAnsi="Times New Roman"/>
                <w:sz w:val="16"/>
                <w:szCs w:val="16"/>
                <w:lang w:val="en-US"/>
              </w:rPr>
              <w:t xml:space="preserve"> </w:t>
            </w:r>
            <w:proofErr w:type="spellStart"/>
            <w:r w:rsidR="008C26CD" w:rsidRPr="00E16672">
              <w:rPr>
                <w:rFonts w:ascii="Times New Roman" w:hAnsi="Times New Roman"/>
                <w:sz w:val="16"/>
                <w:szCs w:val="16"/>
              </w:rPr>
              <w:t>України</w:t>
            </w:r>
            <w:proofErr w:type="spellEnd"/>
            <w:r w:rsidR="008C26CD" w:rsidRPr="00E16672">
              <w:rPr>
                <w:rFonts w:ascii="Times New Roman" w:hAnsi="Times New Roman"/>
                <w:sz w:val="16"/>
                <w:szCs w:val="16"/>
                <w:lang w:val="en-US"/>
              </w:rPr>
              <w:t xml:space="preserve"> </w:t>
            </w:r>
            <w:r w:rsidR="008C26CD" w:rsidRPr="00E16672">
              <w:rPr>
                <w:rFonts w:ascii="Times New Roman" w:hAnsi="Times New Roman"/>
                <w:sz w:val="16"/>
                <w:szCs w:val="16"/>
              </w:rPr>
              <w:t>з</w:t>
            </w:r>
            <w:r w:rsidR="008C26CD" w:rsidRPr="00E16672">
              <w:rPr>
                <w:rFonts w:ascii="Times New Roman" w:hAnsi="Times New Roman"/>
                <w:sz w:val="16"/>
                <w:szCs w:val="16"/>
                <w:lang w:val="en-US"/>
              </w:rPr>
              <w:t xml:space="preserve"> </w:t>
            </w:r>
            <w:proofErr w:type="spellStart"/>
            <w:r w:rsidR="008C26CD" w:rsidRPr="00E16672">
              <w:rPr>
                <w:rFonts w:ascii="Times New Roman" w:hAnsi="Times New Roman"/>
                <w:sz w:val="16"/>
                <w:szCs w:val="16"/>
              </w:rPr>
              <w:t>питань</w:t>
            </w:r>
            <w:proofErr w:type="spellEnd"/>
            <w:r w:rsidR="008C26CD" w:rsidRPr="00E16672">
              <w:rPr>
                <w:rFonts w:ascii="Times New Roman" w:hAnsi="Times New Roman"/>
                <w:sz w:val="16"/>
                <w:szCs w:val="16"/>
                <w:lang w:val="en-US"/>
              </w:rPr>
              <w:t xml:space="preserve"> </w:t>
            </w:r>
            <w:proofErr w:type="spellStart"/>
            <w:r w:rsidR="008C26CD" w:rsidRPr="00E16672">
              <w:rPr>
                <w:rFonts w:ascii="Times New Roman" w:hAnsi="Times New Roman"/>
                <w:sz w:val="16"/>
                <w:szCs w:val="16"/>
              </w:rPr>
              <w:t>застосування</w:t>
            </w:r>
            <w:proofErr w:type="spellEnd"/>
            <w:r w:rsidR="008C26CD" w:rsidRPr="00E16672">
              <w:rPr>
                <w:rFonts w:ascii="Times New Roman" w:hAnsi="Times New Roman"/>
                <w:sz w:val="16"/>
                <w:szCs w:val="16"/>
                <w:lang w:val="en-US"/>
              </w:rPr>
              <w:t xml:space="preserve"> </w:t>
            </w:r>
            <w:proofErr w:type="spellStart"/>
            <w:r w:rsidR="008C26CD" w:rsidRPr="00E16672">
              <w:rPr>
                <w:rFonts w:ascii="Times New Roman" w:hAnsi="Times New Roman"/>
                <w:sz w:val="16"/>
                <w:szCs w:val="16"/>
              </w:rPr>
              <w:t>персональних</w:t>
            </w:r>
            <w:proofErr w:type="spellEnd"/>
            <w:r w:rsidR="008C26CD" w:rsidRPr="00E16672">
              <w:rPr>
                <w:rFonts w:ascii="Times New Roman" w:hAnsi="Times New Roman"/>
                <w:sz w:val="16"/>
                <w:szCs w:val="16"/>
                <w:lang w:val="en-US"/>
              </w:rPr>
              <w:t xml:space="preserve"> </w:t>
            </w:r>
            <w:proofErr w:type="spellStart"/>
            <w:r w:rsidR="008C26CD" w:rsidRPr="00E16672">
              <w:rPr>
                <w:rFonts w:ascii="Times New Roman" w:hAnsi="Times New Roman"/>
                <w:sz w:val="16"/>
                <w:szCs w:val="16"/>
              </w:rPr>
              <w:t>спеціальних</w:t>
            </w:r>
            <w:proofErr w:type="spellEnd"/>
            <w:r w:rsidR="008C26CD" w:rsidRPr="00E16672">
              <w:rPr>
                <w:rFonts w:ascii="Times New Roman" w:hAnsi="Times New Roman"/>
                <w:sz w:val="16"/>
                <w:szCs w:val="16"/>
                <w:lang w:val="en-US"/>
              </w:rPr>
              <w:t xml:space="preserve"> </w:t>
            </w:r>
            <w:proofErr w:type="spellStart"/>
            <w:r w:rsidR="008C26CD" w:rsidRPr="00E16672">
              <w:rPr>
                <w:rFonts w:ascii="Times New Roman" w:hAnsi="Times New Roman"/>
                <w:sz w:val="16"/>
                <w:szCs w:val="16"/>
              </w:rPr>
              <w:t>економічних</w:t>
            </w:r>
            <w:proofErr w:type="spellEnd"/>
            <w:r w:rsidR="008C26CD" w:rsidRPr="00E16672">
              <w:rPr>
                <w:rFonts w:ascii="Times New Roman" w:hAnsi="Times New Roman"/>
                <w:sz w:val="16"/>
                <w:szCs w:val="16"/>
                <w:lang w:val="en-US"/>
              </w:rPr>
              <w:t xml:space="preserve"> </w:t>
            </w:r>
            <w:r w:rsidR="008C26CD" w:rsidRPr="00E16672">
              <w:rPr>
                <w:rFonts w:ascii="Times New Roman" w:hAnsi="Times New Roman"/>
                <w:sz w:val="16"/>
                <w:szCs w:val="16"/>
              </w:rPr>
              <w:t>та</w:t>
            </w:r>
            <w:r w:rsidR="008C26CD" w:rsidRPr="00E16672">
              <w:rPr>
                <w:rFonts w:ascii="Times New Roman" w:hAnsi="Times New Roman"/>
                <w:sz w:val="16"/>
                <w:szCs w:val="16"/>
                <w:lang w:val="en-US"/>
              </w:rPr>
              <w:t xml:space="preserve"> </w:t>
            </w:r>
            <w:proofErr w:type="spellStart"/>
            <w:r w:rsidR="008C26CD" w:rsidRPr="00E16672">
              <w:rPr>
                <w:rFonts w:ascii="Times New Roman" w:hAnsi="Times New Roman"/>
                <w:sz w:val="16"/>
                <w:szCs w:val="16"/>
              </w:rPr>
              <w:t>інших</w:t>
            </w:r>
            <w:proofErr w:type="spellEnd"/>
            <w:r w:rsidR="008C26CD" w:rsidRPr="00E16672">
              <w:rPr>
                <w:rFonts w:ascii="Times New Roman" w:hAnsi="Times New Roman"/>
                <w:sz w:val="16"/>
                <w:szCs w:val="16"/>
                <w:lang w:val="en-US"/>
              </w:rPr>
              <w:t xml:space="preserve"> </w:t>
            </w:r>
            <w:proofErr w:type="spellStart"/>
            <w:r w:rsidR="008C26CD" w:rsidRPr="00E16672">
              <w:rPr>
                <w:rFonts w:ascii="Times New Roman" w:hAnsi="Times New Roman"/>
                <w:sz w:val="16"/>
                <w:szCs w:val="16"/>
              </w:rPr>
              <w:t>обмежувальних</w:t>
            </w:r>
            <w:proofErr w:type="spellEnd"/>
            <w:r w:rsidR="008C26CD" w:rsidRPr="00E16672">
              <w:rPr>
                <w:rFonts w:ascii="Times New Roman" w:hAnsi="Times New Roman"/>
                <w:sz w:val="16"/>
                <w:szCs w:val="16"/>
                <w:lang w:val="en-US"/>
              </w:rPr>
              <w:t xml:space="preserve"> </w:t>
            </w:r>
            <w:proofErr w:type="spellStart"/>
            <w:r w:rsidR="008C26CD" w:rsidRPr="00E16672">
              <w:rPr>
                <w:rFonts w:ascii="Times New Roman" w:hAnsi="Times New Roman"/>
                <w:sz w:val="16"/>
                <w:szCs w:val="16"/>
              </w:rPr>
              <w:t>заходів</w:t>
            </w:r>
            <w:proofErr w:type="spellEnd"/>
            <w:r w:rsidR="008C26CD" w:rsidRPr="00E16672">
              <w:rPr>
                <w:rFonts w:ascii="Times New Roman" w:hAnsi="Times New Roman"/>
                <w:sz w:val="16"/>
                <w:szCs w:val="16"/>
                <w:lang w:val="en-US"/>
              </w:rPr>
              <w:t xml:space="preserve"> (</w:t>
            </w:r>
            <w:proofErr w:type="spellStart"/>
            <w:r w:rsidR="008C26CD" w:rsidRPr="00E16672">
              <w:rPr>
                <w:rFonts w:ascii="Times New Roman" w:hAnsi="Times New Roman"/>
                <w:sz w:val="16"/>
                <w:szCs w:val="16"/>
              </w:rPr>
              <w:t>санкцій</w:t>
            </w:r>
            <w:proofErr w:type="spellEnd"/>
            <w:r w:rsidR="008C26CD" w:rsidRPr="00E16672">
              <w:rPr>
                <w:rFonts w:ascii="Times New Roman" w:hAnsi="Times New Roman"/>
                <w:sz w:val="16"/>
                <w:szCs w:val="16"/>
                <w:lang w:val="en-US"/>
              </w:rPr>
              <w:t xml:space="preserve">), </w:t>
            </w:r>
            <w:proofErr w:type="spellStart"/>
            <w:r w:rsidR="008C26CD" w:rsidRPr="00E16672">
              <w:rPr>
                <w:rFonts w:ascii="Times New Roman" w:hAnsi="Times New Roman"/>
                <w:sz w:val="16"/>
                <w:szCs w:val="16"/>
              </w:rPr>
              <w:t>рішення</w:t>
            </w:r>
            <w:proofErr w:type="spellEnd"/>
            <w:r w:rsidR="008C26CD" w:rsidRPr="00E16672">
              <w:rPr>
                <w:rFonts w:ascii="Times New Roman" w:hAnsi="Times New Roman"/>
                <w:sz w:val="16"/>
                <w:szCs w:val="16"/>
                <w:lang w:val="en-US"/>
              </w:rPr>
              <w:t xml:space="preserve"> </w:t>
            </w:r>
            <w:r w:rsidR="008C26CD" w:rsidRPr="00E16672">
              <w:rPr>
                <w:rFonts w:ascii="Times New Roman" w:hAnsi="Times New Roman"/>
                <w:sz w:val="16"/>
                <w:szCs w:val="16"/>
              </w:rPr>
              <w:t>про</w:t>
            </w:r>
            <w:r w:rsidR="008C26CD" w:rsidRPr="00E16672">
              <w:rPr>
                <w:rFonts w:ascii="Times New Roman" w:hAnsi="Times New Roman"/>
                <w:sz w:val="16"/>
                <w:szCs w:val="16"/>
                <w:lang w:val="en-US"/>
              </w:rPr>
              <w:t xml:space="preserve"> </w:t>
            </w:r>
            <w:proofErr w:type="spellStart"/>
            <w:r w:rsidR="008C26CD" w:rsidRPr="00E16672">
              <w:rPr>
                <w:rFonts w:ascii="Times New Roman" w:hAnsi="Times New Roman"/>
                <w:sz w:val="16"/>
                <w:szCs w:val="16"/>
              </w:rPr>
              <w:t>застосування</w:t>
            </w:r>
            <w:proofErr w:type="spellEnd"/>
            <w:r w:rsidR="008C26CD" w:rsidRPr="00E16672">
              <w:rPr>
                <w:rFonts w:ascii="Times New Roman" w:hAnsi="Times New Roman"/>
                <w:sz w:val="16"/>
                <w:szCs w:val="16"/>
                <w:lang w:val="en-US"/>
              </w:rPr>
              <w:t xml:space="preserve"> </w:t>
            </w:r>
            <w:proofErr w:type="spellStart"/>
            <w:r w:rsidR="008C26CD" w:rsidRPr="00E16672">
              <w:rPr>
                <w:rFonts w:ascii="Times New Roman" w:hAnsi="Times New Roman"/>
                <w:sz w:val="16"/>
                <w:szCs w:val="16"/>
              </w:rPr>
              <w:t>яких</w:t>
            </w:r>
            <w:proofErr w:type="spellEnd"/>
            <w:r w:rsidR="008C26CD" w:rsidRPr="00E16672">
              <w:rPr>
                <w:rFonts w:ascii="Times New Roman" w:hAnsi="Times New Roman"/>
                <w:sz w:val="16"/>
                <w:szCs w:val="16"/>
                <w:lang w:val="en-US"/>
              </w:rPr>
              <w:t xml:space="preserve"> </w:t>
            </w:r>
            <w:proofErr w:type="spellStart"/>
            <w:r w:rsidR="008C26CD" w:rsidRPr="00E16672">
              <w:rPr>
                <w:rFonts w:ascii="Times New Roman" w:hAnsi="Times New Roman"/>
                <w:sz w:val="16"/>
                <w:szCs w:val="16"/>
              </w:rPr>
              <w:t>приймаються</w:t>
            </w:r>
            <w:proofErr w:type="spellEnd"/>
            <w:r w:rsidR="008C26CD" w:rsidRPr="00E16672">
              <w:rPr>
                <w:rFonts w:ascii="Times New Roman" w:hAnsi="Times New Roman"/>
                <w:sz w:val="16"/>
                <w:szCs w:val="16"/>
                <w:lang w:val="en-US"/>
              </w:rPr>
              <w:t xml:space="preserve"> </w:t>
            </w:r>
            <w:r w:rsidR="008C26CD" w:rsidRPr="00E16672">
              <w:rPr>
                <w:rFonts w:ascii="Times New Roman" w:hAnsi="Times New Roman"/>
                <w:sz w:val="16"/>
                <w:szCs w:val="16"/>
              </w:rPr>
              <w:t>державами</w:t>
            </w:r>
            <w:r w:rsidR="008C26CD" w:rsidRPr="00E16672">
              <w:rPr>
                <w:rFonts w:ascii="Times New Roman" w:hAnsi="Times New Roman"/>
                <w:sz w:val="16"/>
                <w:szCs w:val="16"/>
                <w:lang w:val="en-US"/>
              </w:rPr>
              <w:t xml:space="preserve"> </w:t>
            </w:r>
            <w:r w:rsidR="008C26CD" w:rsidRPr="00E16672">
              <w:rPr>
                <w:rFonts w:ascii="Times New Roman" w:hAnsi="Times New Roman"/>
                <w:sz w:val="16"/>
                <w:szCs w:val="16"/>
              </w:rPr>
              <w:t>з</w:t>
            </w:r>
            <w:r w:rsidR="008C26CD" w:rsidRPr="00E16672">
              <w:rPr>
                <w:rFonts w:ascii="Times New Roman" w:hAnsi="Times New Roman"/>
                <w:sz w:val="16"/>
                <w:szCs w:val="16"/>
                <w:lang w:val="en-US"/>
              </w:rPr>
              <w:t xml:space="preserve"> </w:t>
            </w:r>
            <w:r w:rsidR="008C26CD" w:rsidRPr="00E16672">
              <w:rPr>
                <w:rFonts w:ascii="Times New Roman" w:hAnsi="Times New Roman"/>
                <w:sz w:val="16"/>
                <w:szCs w:val="16"/>
              </w:rPr>
              <w:t>метою</w:t>
            </w:r>
            <w:r w:rsidR="008C26CD" w:rsidRPr="00E16672">
              <w:rPr>
                <w:rFonts w:ascii="Times New Roman" w:hAnsi="Times New Roman"/>
                <w:sz w:val="16"/>
                <w:szCs w:val="16"/>
                <w:lang w:val="en-US"/>
              </w:rPr>
              <w:t xml:space="preserve"> </w:t>
            </w:r>
            <w:proofErr w:type="spellStart"/>
            <w:r w:rsidR="008C26CD" w:rsidRPr="00E16672">
              <w:rPr>
                <w:rFonts w:ascii="Times New Roman" w:hAnsi="Times New Roman"/>
                <w:sz w:val="16"/>
                <w:szCs w:val="16"/>
              </w:rPr>
              <w:t>захисту</w:t>
            </w:r>
            <w:proofErr w:type="spellEnd"/>
            <w:r w:rsidR="008C26CD" w:rsidRPr="00E16672">
              <w:rPr>
                <w:rFonts w:ascii="Times New Roman" w:hAnsi="Times New Roman"/>
                <w:sz w:val="16"/>
                <w:szCs w:val="16"/>
                <w:lang w:val="en-US"/>
              </w:rPr>
              <w:t xml:space="preserve"> </w:t>
            </w:r>
            <w:proofErr w:type="spellStart"/>
            <w:r w:rsidR="008C26CD" w:rsidRPr="00E16672">
              <w:rPr>
                <w:rFonts w:ascii="Times New Roman" w:hAnsi="Times New Roman"/>
                <w:sz w:val="16"/>
                <w:szCs w:val="16"/>
              </w:rPr>
              <w:t>національних</w:t>
            </w:r>
            <w:proofErr w:type="spellEnd"/>
            <w:r w:rsidR="008C26CD" w:rsidRPr="00E16672">
              <w:rPr>
                <w:rFonts w:ascii="Times New Roman" w:hAnsi="Times New Roman"/>
                <w:sz w:val="16"/>
                <w:szCs w:val="16"/>
                <w:lang w:val="en-US"/>
              </w:rPr>
              <w:t xml:space="preserve"> </w:t>
            </w:r>
            <w:proofErr w:type="spellStart"/>
            <w:r w:rsidR="008C26CD" w:rsidRPr="00E16672">
              <w:rPr>
                <w:rFonts w:ascii="Times New Roman" w:hAnsi="Times New Roman"/>
                <w:sz w:val="16"/>
                <w:szCs w:val="16"/>
              </w:rPr>
              <w:t>інтересів</w:t>
            </w:r>
            <w:proofErr w:type="spellEnd"/>
            <w:r w:rsidR="008C26CD" w:rsidRPr="00E16672">
              <w:rPr>
                <w:rFonts w:ascii="Times New Roman" w:hAnsi="Times New Roman"/>
                <w:sz w:val="16"/>
                <w:szCs w:val="16"/>
                <w:lang w:val="en-US"/>
              </w:rPr>
              <w:t xml:space="preserve">, </w:t>
            </w:r>
            <w:proofErr w:type="spellStart"/>
            <w:r w:rsidR="008C26CD" w:rsidRPr="00E16672">
              <w:rPr>
                <w:rFonts w:ascii="Times New Roman" w:hAnsi="Times New Roman"/>
                <w:sz w:val="16"/>
                <w:szCs w:val="16"/>
              </w:rPr>
              <w:t>національної</w:t>
            </w:r>
            <w:proofErr w:type="spellEnd"/>
            <w:r w:rsidR="008C26CD" w:rsidRPr="00E16672">
              <w:rPr>
                <w:rFonts w:ascii="Times New Roman" w:hAnsi="Times New Roman"/>
                <w:sz w:val="16"/>
                <w:szCs w:val="16"/>
                <w:lang w:val="en-US"/>
              </w:rPr>
              <w:t xml:space="preserve"> </w:t>
            </w:r>
            <w:proofErr w:type="spellStart"/>
            <w:r w:rsidR="008C26CD" w:rsidRPr="00E16672">
              <w:rPr>
                <w:rFonts w:ascii="Times New Roman" w:hAnsi="Times New Roman"/>
                <w:sz w:val="16"/>
                <w:szCs w:val="16"/>
              </w:rPr>
              <w:t>безпеки</w:t>
            </w:r>
            <w:proofErr w:type="spellEnd"/>
            <w:r w:rsidR="008C26CD" w:rsidRPr="00E16672">
              <w:rPr>
                <w:rFonts w:ascii="Times New Roman" w:hAnsi="Times New Roman"/>
                <w:sz w:val="16"/>
                <w:szCs w:val="16"/>
                <w:lang w:val="en-US"/>
              </w:rPr>
              <w:t xml:space="preserve">, </w:t>
            </w:r>
            <w:proofErr w:type="spellStart"/>
            <w:r w:rsidR="008C26CD" w:rsidRPr="00E16672">
              <w:rPr>
                <w:rFonts w:ascii="Times New Roman" w:hAnsi="Times New Roman"/>
                <w:sz w:val="16"/>
                <w:szCs w:val="16"/>
              </w:rPr>
              <w:t>суверенітету</w:t>
            </w:r>
            <w:proofErr w:type="spellEnd"/>
            <w:r w:rsidR="008C26CD" w:rsidRPr="00E16672">
              <w:rPr>
                <w:rFonts w:ascii="Times New Roman" w:hAnsi="Times New Roman"/>
                <w:sz w:val="16"/>
                <w:szCs w:val="16"/>
                <w:lang w:val="en-US"/>
              </w:rPr>
              <w:t xml:space="preserve"> </w:t>
            </w:r>
            <w:r w:rsidR="008C26CD" w:rsidRPr="00E16672">
              <w:rPr>
                <w:rFonts w:ascii="Times New Roman" w:hAnsi="Times New Roman"/>
                <w:sz w:val="16"/>
                <w:szCs w:val="16"/>
              </w:rPr>
              <w:t>і</w:t>
            </w:r>
            <w:r w:rsidR="008C26CD" w:rsidRPr="00E16672">
              <w:rPr>
                <w:rFonts w:ascii="Times New Roman" w:hAnsi="Times New Roman"/>
                <w:sz w:val="16"/>
                <w:szCs w:val="16"/>
                <w:lang w:val="en-US"/>
              </w:rPr>
              <w:t xml:space="preserve"> </w:t>
            </w:r>
            <w:proofErr w:type="spellStart"/>
            <w:r w:rsidR="008C26CD" w:rsidRPr="00E16672">
              <w:rPr>
                <w:rFonts w:ascii="Times New Roman" w:hAnsi="Times New Roman"/>
                <w:sz w:val="16"/>
                <w:szCs w:val="16"/>
              </w:rPr>
              <w:t>територіальної</w:t>
            </w:r>
            <w:proofErr w:type="spellEnd"/>
            <w:r w:rsidR="008C26CD" w:rsidRPr="00E16672">
              <w:rPr>
                <w:rFonts w:ascii="Times New Roman" w:hAnsi="Times New Roman"/>
                <w:sz w:val="16"/>
                <w:szCs w:val="16"/>
                <w:lang w:val="en-US"/>
              </w:rPr>
              <w:t xml:space="preserve"> </w:t>
            </w:r>
            <w:proofErr w:type="spellStart"/>
            <w:r w:rsidR="008C26CD" w:rsidRPr="00E16672">
              <w:rPr>
                <w:rFonts w:ascii="Times New Roman" w:hAnsi="Times New Roman"/>
                <w:sz w:val="16"/>
                <w:szCs w:val="16"/>
              </w:rPr>
              <w:t>цілісності</w:t>
            </w:r>
            <w:proofErr w:type="spellEnd"/>
            <w:r w:rsidR="008C26CD" w:rsidRPr="00E16672">
              <w:rPr>
                <w:rFonts w:ascii="Times New Roman" w:hAnsi="Times New Roman"/>
                <w:sz w:val="16"/>
                <w:szCs w:val="16"/>
                <w:lang w:val="en-US"/>
              </w:rPr>
              <w:t xml:space="preserve"> </w:t>
            </w:r>
            <w:proofErr w:type="spellStart"/>
            <w:r w:rsidR="008C26CD" w:rsidRPr="00E16672">
              <w:rPr>
                <w:rFonts w:ascii="Times New Roman" w:hAnsi="Times New Roman"/>
                <w:sz w:val="16"/>
                <w:szCs w:val="16"/>
              </w:rPr>
              <w:t>держави</w:t>
            </w:r>
            <w:proofErr w:type="spellEnd"/>
            <w:r w:rsidR="008C26CD" w:rsidRPr="00E16672">
              <w:rPr>
                <w:rFonts w:ascii="Times New Roman" w:hAnsi="Times New Roman"/>
                <w:sz w:val="16"/>
                <w:szCs w:val="16"/>
                <w:lang w:val="en-US"/>
              </w:rPr>
              <w:t xml:space="preserve">, </w:t>
            </w:r>
            <w:proofErr w:type="spellStart"/>
            <w:r w:rsidR="008C26CD" w:rsidRPr="00E16672">
              <w:rPr>
                <w:rFonts w:ascii="Times New Roman" w:hAnsi="Times New Roman"/>
                <w:sz w:val="16"/>
                <w:szCs w:val="16"/>
              </w:rPr>
              <w:t>протидії</w:t>
            </w:r>
            <w:proofErr w:type="spellEnd"/>
            <w:r w:rsidR="008C26CD" w:rsidRPr="00E16672">
              <w:rPr>
                <w:rFonts w:ascii="Times New Roman" w:hAnsi="Times New Roman"/>
                <w:sz w:val="16"/>
                <w:szCs w:val="16"/>
                <w:lang w:val="en-US"/>
              </w:rPr>
              <w:t xml:space="preserve"> </w:t>
            </w:r>
            <w:proofErr w:type="spellStart"/>
            <w:r w:rsidR="008C26CD" w:rsidRPr="00E16672">
              <w:rPr>
                <w:rFonts w:ascii="Times New Roman" w:hAnsi="Times New Roman"/>
                <w:sz w:val="16"/>
                <w:szCs w:val="16"/>
              </w:rPr>
              <w:t>терористичній</w:t>
            </w:r>
            <w:proofErr w:type="spellEnd"/>
            <w:r w:rsidR="008C26CD" w:rsidRPr="00E16672">
              <w:rPr>
                <w:rFonts w:ascii="Times New Roman" w:hAnsi="Times New Roman"/>
                <w:sz w:val="16"/>
                <w:szCs w:val="16"/>
                <w:lang w:val="en-US"/>
              </w:rPr>
              <w:t xml:space="preserve"> </w:t>
            </w:r>
            <w:proofErr w:type="spellStart"/>
            <w:r w:rsidR="008C26CD" w:rsidRPr="00E16672">
              <w:rPr>
                <w:rFonts w:ascii="Times New Roman" w:hAnsi="Times New Roman"/>
                <w:sz w:val="16"/>
                <w:szCs w:val="16"/>
              </w:rPr>
              <w:t>діяльності</w:t>
            </w:r>
            <w:proofErr w:type="spellEnd"/>
            <w:r w:rsidR="008C26CD" w:rsidRPr="00E16672">
              <w:rPr>
                <w:rFonts w:ascii="Times New Roman" w:hAnsi="Times New Roman"/>
                <w:sz w:val="16"/>
                <w:szCs w:val="16"/>
                <w:lang w:val="en-US"/>
              </w:rPr>
              <w:t xml:space="preserve">, </w:t>
            </w:r>
            <w:r w:rsidR="008C26CD" w:rsidRPr="00E16672">
              <w:rPr>
                <w:rFonts w:ascii="Times New Roman" w:hAnsi="Times New Roman"/>
                <w:sz w:val="16"/>
                <w:szCs w:val="16"/>
              </w:rPr>
              <w:t>а</w:t>
            </w:r>
            <w:r w:rsidR="008C26CD" w:rsidRPr="00E16672">
              <w:rPr>
                <w:rFonts w:ascii="Times New Roman" w:hAnsi="Times New Roman"/>
                <w:sz w:val="16"/>
                <w:szCs w:val="16"/>
                <w:lang w:val="en-US"/>
              </w:rPr>
              <w:t xml:space="preserve"> </w:t>
            </w:r>
            <w:proofErr w:type="spellStart"/>
            <w:r w:rsidR="008C26CD" w:rsidRPr="00E16672">
              <w:rPr>
                <w:rFonts w:ascii="Times New Roman" w:hAnsi="Times New Roman"/>
                <w:sz w:val="16"/>
                <w:szCs w:val="16"/>
              </w:rPr>
              <w:t>також</w:t>
            </w:r>
            <w:proofErr w:type="spellEnd"/>
            <w:r w:rsidR="008C26CD" w:rsidRPr="00E16672">
              <w:rPr>
                <w:rFonts w:ascii="Times New Roman" w:hAnsi="Times New Roman"/>
                <w:sz w:val="16"/>
                <w:szCs w:val="16"/>
                <w:lang w:val="en-US"/>
              </w:rPr>
              <w:t xml:space="preserve"> </w:t>
            </w:r>
            <w:proofErr w:type="spellStart"/>
            <w:r w:rsidR="008C26CD" w:rsidRPr="00E16672">
              <w:rPr>
                <w:rFonts w:ascii="Times New Roman" w:hAnsi="Times New Roman"/>
                <w:sz w:val="16"/>
                <w:szCs w:val="16"/>
              </w:rPr>
              <w:t>запобігання</w:t>
            </w:r>
            <w:proofErr w:type="spellEnd"/>
            <w:r w:rsidR="008C26CD" w:rsidRPr="00E16672">
              <w:rPr>
                <w:rFonts w:ascii="Times New Roman" w:hAnsi="Times New Roman"/>
                <w:sz w:val="16"/>
                <w:szCs w:val="16"/>
                <w:lang w:val="en-US"/>
              </w:rPr>
              <w:t xml:space="preserve"> </w:t>
            </w:r>
            <w:proofErr w:type="spellStart"/>
            <w:r w:rsidR="008C26CD" w:rsidRPr="00E16672">
              <w:rPr>
                <w:rFonts w:ascii="Times New Roman" w:hAnsi="Times New Roman"/>
                <w:sz w:val="16"/>
                <w:szCs w:val="16"/>
              </w:rPr>
              <w:t>порушенню</w:t>
            </w:r>
            <w:proofErr w:type="spellEnd"/>
            <w:r w:rsidR="008C26CD" w:rsidRPr="00E16672">
              <w:rPr>
                <w:rFonts w:ascii="Times New Roman" w:hAnsi="Times New Roman"/>
                <w:sz w:val="16"/>
                <w:szCs w:val="16"/>
                <w:lang w:val="en-US"/>
              </w:rPr>
              <w:t xml:space="preserve">, </w:t>
            </w:r>
            <w:proofErr w:type="spellStart"/>
            <w:r w:rsidR="008C26CD" w:rsidRPr="00E16672">
              <w:rPr>
                <w:rFonts w:ascii="Times New Roman" w:hAnsi="Times New Roman"/>
                <w:sz w:val="16"/>
                <w:szCs w:val="16"/>
              </w:rPr>
              <w:t>відновлення</w:t>
            </w:r>
            <w:proofErr w:type="spellEnd"/>
            <w:r w:rsidR="008C26CD" w:rsidRPr="00E16672">
              <w:rPr>
                <w:rFonts w:ascii="Times New Roman" w:hAnsi="Times New Roman"/>
                <w:sz w:val="16"/>
                <w:szCs w:val="16"/>
                <w:lang w:val="en-US"/>
              </w:rPr>
              <w:t xml:space="preserve"> </w:t>
            </w:r>
            <w:proofErr w:type="spellStart"/>
            <w:r w:rsidR="008C26CD" w:rsidRPr="00E16672">
              <w:rPr>
                <w:rFonts w:ascii="Times New Roman" w:hAnsi="Times New Roman"/>
                <w:sz w:val="16"/>
                <w:szCs w:val="16"/>
              </w:rPr>
              <w:t>порушених</w:t>
            </w:r>
            <w:proofErr w:type="spellEnd"/>
            <w:r w:rsidR="008C26CD" w:rsidRPr="00E16672">
              <w:rPr>
                <w:rFonts w:ascii="Times New Roman" w:hAnsi="Times New Roman"/>
                <w:sz w:val="16"/>
                <w:szCs w:val="16"/>
                <w:lang w:val="en-US"/>
              </w:rPr>
              <w:t xml:space="preserve"> </w:t>
            </w:r>
            <w:r w:rsidR="008C26CD" w:rsidRPr="00E16672">
              <w:rPr>
                <w:rFonts w:ascii="Times New Roman" w:hAnsi="Times New Roman"/>
                <w:sz w:val="16"/>
                <w:szCs w:val="16"/>
              </w:rPr>
              <w:t>прав</w:t>
            </w:r>
            <w:r w:rsidR="008C26CD" w:rsidRPr="00E16672">
              <w:rPr>
                <w:rFonts w:ascii="Times New Roman" w:hAnsi="Times New Roman"/>
                <w:sz w:val="16"/>
                <w:szCs w:val="16"/>
                <w:lang w:val="en-US"/>
              </w:rPr>
              <w:t xml:space="preserve">, </w:t>
            </w:r>
            <w:r w:rsidR="008C26CD" w:rsidRPr="00E16672">
              <w:rPr>
                <w:rFonts w:ascii="Times New Roman" w:hAnsi="Times New Roman"/>
                <w:sz w:val="16"/>
                <w:szCs w:val="16"/>
              </w:rPr>
              <w:t>свобод</w:t>
            </w:r>
            <w:r w:rsidR="008C26CD" w:rsidRPr="00E16672">
              <w:rPr>
                <w:rFonts w:ascii="Times New Roman" w:hAnsi="Times New Roman"/>
                <w:sz w:val="16"/>
                <w:szCs w:val="16"/>
                <w:lang w:val="en-US"/>
              </w:rPr>
              <w:t xml:space="preserve"> </w:t>
            </w:r>
            <w:r w:rsidR="008C26CD" w:rsidRPr="00E16672">
              <w:rPr>
                <w:rFonts w:ascii="Times New Roman" w:hAnsi="Times New Roman"/>
                <w:sz w:val="16"/>
                <w:szCs w:val="16"/>
              </w:rPr>
              <w:t>та</w:t>
            </w:r>
            <w:r w:rsidR="008C26CD" w:rsidRPr="00E16672">
              <w:rPr>
                <w:rFonts w:ascii="Times New Roman" w:hAnsi="Times New Roman"/>
                <w:sz w:val="16"/>
                <w:szCs w:val="16"/>
                <w:lang w:val="en-US"/>
              </w:rPr>
              <w:t xml:space="preserve"> </w:t>
            </w:r>
            <w:proofErr w:type="spellStart"/>
            <w:r w:rsidR="008C26CD" w:rsidRPr="00E16672">
              <w:rPr>
                <w:rFonts w:ascii="Times New Roman" w:hAnsi="Times New Roman"/>
                <w:sz w:val="16"/>
                <w:szCs w:val="16"/>
              </w:rPr>
              <w:t>законних</w:t>
            </w:r>
            <w:proofErr w:type="spellEnd"/>
            <w:r w:rsidR="008C26CD" w:rsidRPr="00E16672">
              <w:rPr>
                <w:rFonts w:ascii="Times New Roman" w:hAnsi="Times New Roman"/>
                <w:sz w:val="16"/>
                <w:szCs w:val="16"/>
                <w:lang w:val="en-US"/>
              </w:rPr>
              <w:t xml:space="preserve"> </w:t>
            </w:r>
            <w:proofErr w:type="spellStart"/>
            <w:r w:rsidR="008C26CD" w:rsidRPr="00E16672">
              <w:rPr>
                <w:rFonts w:ascii="Times New Roman" w:hAnsi="Times New Roman"/>
                <w:sz w:val="16"/>
                <w:szCs w:val="16"/>
              </w:rPr>
              <w:t>інтересів</w:t>
            </w:r>
            <w:proofErr w:type="spellEnd"/>
            <w:r w:rsidR="008C26CD" w:rsidRPr="00E16672">
              <w:rPr>
                <w:rFonts w:ascii="Times New Roman" w:hAnsi="Times New Roman"/>
                <w:sz w:val="16"/>
                <w:szCs w:val="16"/>
                <w:lang w:val="en-US"/>
              </w:rPr>
              <w:t xml:space="preserve"> </w:t>
            </w:r>
            <w:proofErr w:type="spellStart"/>
            <w:r w:rsidR="008C26CD" w:rsidRPr="00E16672">
              <w:rPr>
                <w:rFonts w:ascii="Times New Roman" w:hAnsi="Times New Roman"/>
                <w:sz w:val="16"/>
                <w:szCs w:val="16"/>
              </w:rPr>
              <w:t>громадян</w:t>
            </w:r>
            <w:proofErr w:type="spellEnd"/>
            <w:r w:rsidR="008C26CD" w:rsidRPr="00E16672">
              <w:rPr>
                <w:rFonts w:ascii="Times New Roman" w:hAnsi="Times New Roman"/>
                <w:sz w:val="16"/>
                <w:szCs w:val="16"/>
                <w:lang w:val="en-US"/>
              </w:rPr>
              <w:t xml:space="preserve">, </w:t>
            </w:r>
            <w:proofErr w:type="spellStart"/>
            <w:r w:rsidR="008C26CD" w:rsidRPr="00E16672">
              <w:rPr>
                <w:rFonts w:ascii="Times New Roman" w:hAnsi="Times New Roman"/>
                <w:sz w:val="16"/>
                <w:szCs w:val="16"/>
              </w:rPr>
              <w:t>суспільства</w:t>
            </w:r>
            <w:proofErr w:type="spellEnd"/>
            <w:r w:rsidR="008C26CD" w:rsidRPr="00E16672">
              <w:rPr>
                <w:rFonts w:ascii="Times New Roman" w:hAnsi="Times New Roman"/>
                <w:sz w:val="16"/>
                <w:szCs w:val="16"/>
                <w:lang w:val="en-US"/>
              </w:rPr>
              <w:t xml:space="preserve"> </w:t>
            </w:r>
            <w:r w:rsidR="008C26CD" w:rsidRPr="00E16672">
              <w:rPr>
                <w:rFonts w:ascii="Times New Roman" w:hAnsi="Times New Roman"/>
                <w:sz w:val="16"/>
                <w:szCs w:val="16"/>
              </w:rPr>
              <w:t>та</w:t>
            </w:r>
            <w:r w:rsidR="008C26CD" w:rsidRPr="00E16672">
              <w:rPr>
                <w:rFonts w:ascii="Times New Roman" w:hAnsi="Times New Roman"/>
                <w:sz w:val="16"/>
                <w:szCs w:val="16"/>
                <w:lang w:val="en-US"/>
              </w:rPr>
              <w:t xml:space="preserve"> </w:t>
            </w:r>
            <w:proofErr w:type="spellStart"/>
            <w:r w:rsidR="008C26CD" w:rsidRPr="00E16672">
              <w:rPr>
                <w:rFonts w:ascii="Times New Roman" w:hAnsi="Times New Roman"/>
                <w:sz w:val="16"/>
                <w:szCs w:val="16"/>
              </w:rPr>
              <w:t>держави</w:t>
            </w:r>
            <w:proofErr w:type="spellEnd"/>
            <w:r w:rsidRPr="00E16672">
              <w:rPr>
                <w:rFonts w:ascii="Times New Roman" w:hAnsi="Times New Roman"/>
                <w:sz w:val="16"/>
                <w:szCs w:val="16"/>
                <w:lang w:val="en-US"/>
              </w:rPr>
              <w:t>.</w:t>
            </w:r>
          </w:p>
          <w:p w14:paraId="1128762C" w14:textId="77777777" w:rsidR="00EB25FE" w:rsidRPr="00E16672" w:rsidRDefault="00EB25FE" w:rsidP="001456E9">
            <w:pPr>
              <w:tabs>
                <w:tab w:val="left" w:pos="709"/>
              </w:tabs>
              <w:ind w:left="172" w:right="138" w:firstLine="0"/>
              <w:rPr>
                <w:rFonts w:ascii="Times New Roman" w:hAnsi="Times New Roman"/>
                <w:sz w:val="16"/>
                <w:szCs w:val="16"/>
                <w:lang w:val="en-US"/>
              </w:rPr>
            </w:pPr>
          </w:p>
        </w:tc>
        <w:tc>
          <w:tcPr>
            <w:tcW w:w="5495" w:type="dxa"/>
            <w:gridSpan w:val="8"/>
            <w:shd w:val="clear" w:color="auto" w:fill="auto"/>
          </w:tcPr>
          <w:p w14:paraId="584A27A9" w14:textId="77777777" w:rsidR="00EB25FE" w:rsidRPr="00E16672" w:rsidRDefault="00B565D4" w:rsidP="001456E9">
            <w:pPr>
              <w:ind w:left="172" w:firstLine="0"/>
              <w:rPr>
                <w:rFonts w:ascii="Times New Roman" w:hAnsi="Times New Roman"/>
                <w:sz w:val="16"/>
                <w:szCs w:val="16"/>
                <w:lang w:val="en-US"/>
              </w:rPr>
            </w:pPr>
            <w:r w:rsidRPr="00E16672">
              <w:rPr>
                <w:rFonts w:ascii="Times New Roman" w:hAnsi="Times New Roman"/>
                <w:sz w:val="16"/>
                <w:szCs w:val="16"/>
                <w:lang w:val="en-US"/>
              </w:rPr>
              <w:t>2.3.4. Adhere to the requirements (s) of the legislation, including the legislation of Ukraine on the application of personal special economic and other restrictive measures (sanctions), decisions on the application of which are taken by the states in order to protect national interests, national security, sovereignty and territorial integrity of the state, counteracting terrorist activities, as well as preventing violations, restoration of violated rights, freedoms and legitimate interests of citizens, society and the state.</w:t>
            </w:r>
          </w:p>
        </w:tc>
      </w:tr>
      <w:tr w:rsidR="00EB25FE" w:rsidRPr="00F23413" w14:paraId="151CF111" w14:textId="77777777" w:rsidTr="005145B5">
        <w:tblPrEx>
          <w:tblCellMar>
            <w:left w:w="0" w:type="dxa"/>
            <w:right w:w="0" w:type="dxa"/>
          </w:tblCellMar>
        </w:tblPrEx>
        <w:trPr>
          <w:trHeight w:val="192"/>
        </w:trPr>
        <w:tc>
          <w:tcPr>
            <w:tcW w:w="5695" w:type="dxa"/>
            <w:gridSpan w:val="7"/>
            <w:shd w:val="clear" w:color="auto" w:fill="auto"/>
          </w:tcPr>
          <w:p w14:paraId="4F1B4B25" w14:textId="77777777" w:rsidR="00EB25FE" w:rsidRPr="00E16672" w:rsidRDefault="00EB25FE" w:rsidP="001456E9">
            <w:pPr>
              <w:tabs>
                <w:tab w:val="left" w:pos="709"/>
              </w:tabs>
              <w:snapToGrid w:val="0"/>
              <w:ind w:left="172" w:right="138" w:firstLine="0"/>
              <w:rPr>
                <w:rFonts w:ascii="Times New Roman" w:hAnsi="Times New Roman"/>
                <w:sz w:val="16"/>
                <w:szCs w:val="16"/>
              </w:rPr>
            </w:pPr>
            <w:r w:rsidRPr="00E16672">
              <w:rPr>
                <w:rFonts w:ascii="Times New Roman" w:hAnsi="Times New Roman"/>
                <w:sz w:val="16"/>
                <w:szCs w:val="16"/>
              </w:rPr>
              <w:t>2.3.</w:t>
            </w:r>
            <w:r w:rsidR="008C26CD" w:rsidRPr="00E16672">
              <w:rPr>
                <w:rFonts w:ascii="Times New Roman" w:hAnsi="Times New Roman"/>
                <w:sz w:val="16"/>
                <w:szCs w:val="16"/>
                <w:lang w:val="uk-UA"/>
              </w:rPr>
              <w:t>5</w:t>
            </w:r>
            <w:r w:rsidRPr="00E16672">
              <w:rPr>
                <w:rFonts w:ascii="Times New Roman" w:hAnsi="Times New Roman"/>
                <w:sz w:val="16"/>
                <w:szCs w:val="16"/>
              </w:rPr>
              <w:t xml:space="preserve">. </w:t>
            </w:r>
            <w:r w:rsidR="008C26CD" w:rsidRPr="00E16672">
              <w:rPr>
                <w:rFonts w:ascii="Times New Roman" w:hAnsi="Times New Roman"/>
                <w:sz w:val="16"/>
                <w:szCs w:val="16"/>
              </w:rPr>
              <w:t xml:space="preserve">На запит </w:t>
            </w:r>
            <w:proofErr w:type="spellStart"/>
            <w:r w:rsidR="008C26CD" w:rsidRPr="00E16672">
              <w:rPr>
                <w:rFonts w:ascii="Times New Roman" w:hAnsi="Times New Roman"/>
                <w:sz w:val="16"/>
                <w:szCs w:val="16"/>
              </w:rPr>
              <w:t>депозитарної</w:t>
            </w:r>
            <w:proofErr w:type="spellEnd"/>
            <w:r w:rsidR="008C26CD" w:rsidRPr="00E16672">
              <w:rPr>
                <w:rFonts w:ascii="Times New Roman" w:hAnsi="Times New Roman"/>
                <w:sz w:val="16"/>
                <w:szCs w:val="16"/>
              </w:rPr>
              <w:t xml:space="preserve"> установи </w:t>
            </w:r>
            <w:proofErr w:type="spellStart"/>
            <w:r w:rsidR="008C26CD" w:rsidRPr="00E16672">
              <w:rPr>
                <w:rFonts w:ascii="Times New Roman" w:hAnsi="Times New Roman"/>
                <w:sz w:val="16"/>
                <w:szCs w:val="16"/>
              </w:rPr>
              <w:t>надати</w:t>
            </w:r>
            <w:proofErr w:type="spellEnd"/>
            <w:r w:rsidR="008C26CD" w:rsidRPr="00E16672">
              <w:rPr>
                <w:rFonts w:ascii="Times New Roman" w:hAnsi="Times New Roman"/>
                <w:sz w:val="16"/>
                <w:szCs w:val="16"/>
              </w:rPr>
              <w:t xml:space="preserve"> </w:t>
            </w:r>
            <w:proofErr w:type="spellStart"/>
            <w:r w:rsidR="008C26CD" w:rsidRPr="00E16672">
              <w:rPr>
                <w:rFonts w:ascii="Times New Roman" w:hAnsi="Times New Roman"/>
                <w:sz w:val="16"/>
                <w:szCs w:val="16"/>
              </w:rPr>
              <w:t>визначену</w:t>
            </w:r>
            <w:proofErr w:type="spellEnd"/>
            <w:r w:rsidR="008C26CD" w:rsidRPr="00E16672">
              <w:rPr>
                <w:rFonts w:ascii="Times New Roman" w:hAnsi="Times New Roman"/>
                <w:sz w:val="16"/>
                <w:szCs w:val="16"/>
              </w:rPr>
              <w:t xml:space="preserve"> </w:t>
            </w:r>
            <w:proofErr w:type="spellStart"/>
            <w:r w:rsidR="008C26CD" w:rsidRPr="00E16672">
              <w:rPr>
                <w:rFonts w:ascii="Times New Roman" w:hAnsi="Times New Roman"/>
                <w:sz w:val="16"/>
                <w:szCs w:val="16"/>
              </w:rPr>
              <w:t>Комісією</w:t>
            </w:r>
            <w:proofErr w:type="spellEnd"/>
            <w:r w:rsidR="008C26CD" w:rsidRPr="00E16672">
              <w:rPr>
                <w:rFonts w:ascii="Times New Roman" w:hAnsi="Times New Roman"/>
                <w:sz w:val="16"/>
                <w:szCs w:val="16"/>
              </w:rPr>
              <w:t xml:space="preserve"> </w:t>
            </w:r>
            <w:proofErr w:type="spellStart"/>
            <w:r w:rsidR="008C26CD" w:rsidRPr="00E16672">
              <w:rPr>
                <w:rFonts w:ascii="Times New Roman" w:hAnsi="Times New Roman"/>
                <w:sz w:val="16"/>
                <w:szCs w:val="16"/>
              </w:rPr>
              <w:t>інформацію</w:t>
            </w:r>
            <w:proofErr w:type="spellEnd"/>
            <w:r w:rsidR="008C26CD" w:rsidRPr="00E16672">
              <w:rPr>
                <w:rFonts w:ascii="Times New Roman" w:hAnsi="Times New Roman"/>
                <w:sz w:val="16"/>
                <w:szCs w:val="16"/>
              </w:rPr>
              <w:t xml:space="preserve"> про </w:t>
            </w:r>
            <w:proofErr w:type="spellStart"/>
            <w:r w:rsidR="008C26CD" w:rsidRPr="00E16672">
              <w:rPr>
                <w:rFonts w:ascii="Times New Roman" w:hAnsi="Times New Roman"/>
                <w:sz w:val="16"/>
                <w:szCs w:val="16"/>
              </w:rPr>
              <w:t>власників</w:t>
            </w:r>
            <w:proofErr w:type="spellEnd"/>
            <w:r w:rsidR="008C26CD" w:rsidRPr="00E16672">
              <w:rPr>
                <w:rFonts w:ascii="Times New Roman" w:hAnsi="Times New Roman"/>
                <w:sz w:val="16"/>
                <w:szCs w:val="16"/>
              </w:rPr>
              <w:t xml:space="preserve"> </w:t>
            </w:r>
            <w:proofErr w:type="spellStart"/>
            <w:r w:rsidR="008C26CD" w:rsidRPr="00E16672">
              <w:rPr>
                <w:rFonts w:ascii="Times New Roman" w:hAnsi="Times New Roman"/>
                <w:sz w:val="16"/>
                <w:szCs w:val="16"/>
              </w:rPr>
              <w:t>цінних</w:t>
            </w:r>
            <w:proofErr w:type="spellEnd"/>
            <w:r w:rsidR="008C26CD" w:rsidRPr="00E16672">
              <w:rPr>
                <w:rFonts w:ascii="Times New Roman" w:hAnsi="Times New Roman"/>
                <w:sz w:val="16"/>
                <w:szCs w:val="16"/>
              </w:rPr>
              <w:t xml:space="preserve"> </w:t>
            </w:r>
            <w:proofErr w:type="spellStart"/>
            <w:r w:rsidR="008C26CD" w:rsidRPr="00E16672">
              <w:rPr>
                <w:rFonts w:ascii="Times New Roman" w:hAnsi="Times New Roman"/>
                <w:sz w:val="16"/>
                <w:szCs w:val="16"/>
              </w:rPr>
              <w:t>паперів</w:t>
            </w:r>
            <w:proofErr w:type="spellEnd"/>
            <w:r w:rsidR="008C26CD" w:rsidRPr="00E16672">
              <w:rPr>
                <w:rFonts w:ascii="Times New Roman" w:hAnsi="Times New Roman"/>
                <w:sz w:val="16"/>
                <w:szCs w:val="16"/>
              </w:rPr>
              <w:t xml:space="preserve"> та </w:t>
            </w:r>
            <w:proofErr w:type="spellStart"/>
            <w:r w:rsidR="008C26CD" w:rsidRPr="00E16672">
              <w:rPr>
                <w:rFonts w:ascii="Times New Roman" w:hAnsi="Times New Roman"/>
                <w:sz w:val="16"/>
                <w:szCs w:val="16"/>
              </w:rPr>
              <w:t>належні</w:t>
            </w:r>
            <w:proofErr w:type="spellEnd"/>
            <w:r w:rsidR="008C26CD" w:rsidRPr="00E16672">
              <w:rPr>
                <w:rFonts w:ascii="Times New Roman" w:hAnsi="Times New Roman"/>
                <w:sz w:val="16"/>
                <w:szCs w:val="16"/>
              </w:rPr>
              <w:t xml:space="preserve"> </w:t>
            </w:r>
            <w:proofErr w:type="spellStart"/>
            <w:r w:rsidR="008C26CD" w:rsidRPr="00E16672">
              <w:rPr>
                <w:rFonts w:ascii="Times New Roman" w:hAnsi="Times New Roman"/>
                <w:sz w:val="16"/>
                <w:szCs w:val="16"/>
              </w:rPr>
              <w:t>їм</w:t>
            </w:r>
            <w:proofErr w:type="spellEnd"/>
            <w:r w:rsidR="008C26CD" w:rsidRPr="00E16672">
              <w:rPr>
                <w:rFonts w:ascii="Times New Roman" w:hAnsi="Times New Roman"/>
                <w:sz w:val="16"/>
                <w:szCs w:val="16"/>
              </w:rPr>
              <w:t xml:space="preserve"> </w:t>
            </w:r>
            <w:proofErr w:type="spellStart"/>
            <w:r w:rsidR="008C26CD" w:rsidRPr="00E16672">
              <w:rPr>
                <w:rFonts w:ascii="Times New Roman" w:hAnsi="Times New Roman"/>
                <w:sz w:val="16"/>
                <w:szCs w:val="16"/>
              </w:rPr>
              <w:t>цінні</w:t>
            </w:r>
            <w:proofErr w:type="spellEnd"/>
            <w:r w:rsidR="008C26CD" w:rsidRPr="00E16672">
              <w:rPr>
                <w:rFonts w:ascii="Times New Roman" w:hAnsi="Times New Roman"/>
                <w:sz w:val="16"/>
                <w:szCs w:val="16"/>
              </w:rPr>
              <w:t xml:space="preserve"> </w:t>
            </w:r>
            <w:proofErr w:type="spellStart"/>
            <w:r w:rsidR="008C26CD" w:rsidRPr="00E16672">
              <w:rPr>
                <w:rFonts w:ascii="Times New Roman" w:hAnsi="Times New Roman"/>
                <w:sz w:val="16"/>
                <w:szCs w:val="16"/>
              </w:rPr>
              <w:t>папери</w:t>
            </w:r>
            <w:proofErr w:type="spellEnd"/>
            <w:r w:rsidR="008C26CD" w:rsidRPr="00E16672">
              <w:rPr>
                <w:rFonts w:ascii="Times New Roman" w:hAnsi="Times New Roman"/>
                <w:sz w:val="16"/>
                <w:szCs w:val="16"/>
              </w:rPr>
              <w:t xml:space="preserve">, права на </w:t>
            </w:r>
            <w:proofErr w:type="spellStart"/>
            <w:r w:rsidR="008C26CD" w:rsidRPr="00E16672">
              <w:rPr>
                <w:rFonts w:ascii="Times New Roman" w:hAnsi="Times New Roman"/>
                <w:sz w:val="16"/>
                <w:szCs w:val="16"/>
              </w:rPr>
              <w:t>які</w:t>
            </w:r>
            <w:proofErr w:type="spellEnd"/>
            <w:r w:rsidR="008C26CD" w:rsidRPr="00E16672">
              <w:rPr>
                <w:rFonts w:ascii="Times New Roman" w:hAnsi="Times New Roman"/>
                <w:sz w:val="16"/>
                <w:szCs w:val="16"/>
              </w:rPr>
              <w:t xml:space="preserve"> </w:t>
            </w:r>
            <w:proofErr w:type="spellStart"/>
            <w:r w:rsidR="008C26CD" w:rsidRPr="00E16672">
              <w:rPr>
                <w:rFonts w:ascii="Times New Roman" w:hAnsi="Times New Roman"/>
                <w:sz w:val="16"/>
                <w:szCs w:val="16"/>
              </w:rPr>
              <w:t>обліковуються</w:t>
            </w:r>
            <w:proofErr w:type="spellEnd"/>
            <w:r w:rsidR="008C26CD" w:rsidRPr="00E16672">
              <w:rPr>
                <w:rFonts w:ascii="Times New Roman" w:hAnsi="Times New Roman"/>
                <w:sz w:val="16"/>
                <w:szCs w:val="16"/>
              </w:rPr>
              <w:t xml:space="preserve"> на </w:t>
            </w:r>
            <w:proofErr w:type="spellStart"/>
            <w:r w:rsidR="008C26CD" w:rsidRPr="00E16672">
              <w:rPr>
                <w:rFonts w:ascii="Times New Roman" w:hAnsi="Times New Roman"/>
                <w:sz w:val="16"/>
                <w:szCs w:val="16"/>
              </w:rPr>
              <w:t>його</w:t>
            </w:r>
            <w:proofErr w:type="spellEnd"/>
            <w:r w:rsidR="008C26CD" w:rsidRPr="00E16672">
              <w:rPr>
                <w:rFonts w:ascii="Times New Roman" w:hAnsi="Times New Roman"/>
                <w:sz w:val="16"/>
                <w:szCs w:val="16"/>
              </w:rPr>
              <w:t xml:space="preserve"> </w:t>
            </w:r>
            <w:proofErr w:type="spellStart"/>
            <w:r w:rsidR="008C26CD" w:rsidRPr="00E16672">
              <w:rPr>
                <w:rFonts w:ascii="Times New Roman" w:hAnsi="Times New Roman"/>
                <w:sz w:val="16"/>
                <w:szCs w:val="16"/>
              </w:rPr>
              <w:t>рахунку</w:t>
            </w:r>
            <w:proofErr w:type="spellEnd"/>
            <w:r w:rsidR="008C26CD" w:rsidRPr="00E16672">
              <w:rPr>
                <w:rFonts w:ascii="Times New Roman" w:hAnsi="Times New Roman"/>
                <w:sz w:val="16"/>
                <w:szCs w:val="16"/>
              </w:rPr>
              <w:t xml:space="preserve"> (</w:t>
            </w:r>
            <w:proofErr w:type="spellStart"/>
            <w:r w:rsidR="008C26CD" w:rsidRPr="00E16672">
              <w:rPr>
                <w:rFonts w:ascii="Times New Roman" w:hAnsi="Times New Roman"/>
                <w:sz w:val="16"/>
                <w:szCs w:val="16"/>
              </w:rPr>
              <w:t>рахунках</w:t>
            </w:r>
            <w:proofErr w:type="spellEnd"/>
            <w:r w:rsidR="008C26CD" w:rsidRPr="00E16672">
              <w:rPr>
                <w:rFonts w:ascii="Times New Roman" w:hAnsi="Times New Roman"/>
                <w:sz w:val="16"/>
                <w:szCs w:val="16"/>
              </w:rPr>
              <w:t xml:space="preserve">) в </w:t>
            </w:r>
            <w:proofErr w:type="spellStart"/>
            <w:r w:rsidR="008C26CD" w:rsidRPr="00E16672">
              <w:rPr>
                <w:rFonts w:ascii="Times New Roman" w:hAnsi="Times New Roman"/>
                <w:sz w:val="16"/>
                <w:szCs w:val="16"/>
              </w:rPr>
              <w:t>цінних</w:t>
            </w:r>
            <w:proofErr w:type="spellEnd"/>
            <w:r w:rsidR="008C26CD" w:rsidRPr="00E16672">
              <w:rPr>
                <w:rFonts w:ascii="Times New Roman" w:hAnsi="Times New Roman"/>
                <w:sz w:val="16"/>
                <w:szCs w:val="16"/>
              </w:rPr>
              <w:t xml:space="preserve"> </w:t>
            </w:r>
            <w:proofErr w:type="spellStart"/>
            <w:r w:rsidR="008C26CD" w:rsidRPr="00E16672">
              <w:rPr>
                <w:rFonts w:ascii="Times New Roman" w:hAnsi="Times New Roman"/>
                <w:sz w:val="16"/>
                <w:szCs w:val="16"/>
              </w:rPr>
              <w:t>паперах</w:t>
            </w:r>
            <w:proofErr w:type="spellEnd"/>
            <w:r w:rsidR="008C26CD" w:rsidRPr="00E16672">
              <w:rPr>
                <w:rFonts w:ascii="Times New Roman" w:hAnsi="Times New Roman"/>
                <w:sz w:val="16"/>
                <w:szCs w:val="16"/>
              </w:rPr>
              <w:t xml:space="preserve"> </w:t>
            </w:r>
            <w:proofErr w:type="spellStart"/>
            <w:r w:rsidR="008C26CD" w:rsidRPr="00E16672">
              <w:rPr>
                <w:rFonts w:ascii="Times New Roman" w:hAnsi="Times New Roman"/>
                <w:sz w:val="16"/>
                <w:szCs w:val="16"/>
              </w:rPr>
              <w:t>номінального</w:t>
            </w:r>
            <w:proofErr w:type="spellEnd"/>
            <w:r w:rsidR="008C26CD" w:rsidRPr="00E16672">
              <w:rPr>
                <w:rFonts w:ascii="Times New Roman" w:hAnsi="Times New Roman"/>
                <w:sz w:val="16"/>
                <w:szCs w:val="16"/>
              </w:rPr>
              <w:t xml:space="preserve"> </w:t>
            </w:r>
            <w:proofErr w:type="spellStart"/>
            <w:r w:rsidR="008C26CD" w:rsidRPr="00E16672">
              <w:rPr>
                <w:rFonts w:ascii="Times New Roman" w:hAnsi="Times New Roman"/>
                <w:sz w:val="16"/>
                <w:szCs w:val="16"/>
              </w:rPr>
              <w:t>утримувача</w:t>
            </w:r>
            <w:proofErr w:type="spellEnd"/>
            <w:r w:rsidR="008C26CD" w:rsidRPr="00E16672">
              <w:rPr>
                <w:rFonts w:ascii="Times New Roman" w:hAnsi="Times New Roman"/>
                <w:sz w:val="16"/>
                <w:szCs w:val="16"/>
              </w:rPr>
              <w:t xml:space="preserve">, у </w:t>
            </w:r>
            <w:proofErr w:type="spellStart"/>
            <w:r w:rsidR="008C26CD" w:rsidRPr="00E16672">
              <w:rPr>
                <w:rFonts w:ascii="Times New Roman" w:hAnsi="Times New Roman"/>
                <w:sz w:val="16"/>
                <w:szCs w:val="16"/>
              </w:rPr>
              <w:t>разі</w:t>
            </w:r>
            <w:proofErr w:type="spellEnd"/>
            <w:r w:rsidR="008C26CD" w:rsidRPr="00E16672">
              <w:rPr>
                <w:rFonts w:ascii="Times New Roman" w:hAnsi="Times New Roman"/>
                <w:sz w:val="16"/>
                <w:szCs w:val="16"/>
              </w:rPr>
              <w:t xml:space="preserve"> </w:t>
            </w:r>
            <w:proofErr w:type="spellStart"/>
            <w:r w:rsidR="008C26CD" w:rsidRPr="00E16672">
              <w:rPr>
                <w:rFonts w:ascii="Times New Roman" w:hAnsi="Times New Roman"/>
                <w:sz w:val="16"/>
                <w:szCs w:val="16"/>
              </w:rPr>
              <w:t>складення</w:t>
            </w:r>
            <w:proofErr w:type="spellEnd"/>
            <w:r w:rsidR="008C26CD" w:rsidRPr="00E16672">
              <w:rPr>
                <w:rFonts w:ascii="Times New Roman" w:hAnsi="Times New Roman"/>
                <w:sz w:val="16"/>
                <w:szCs w:val="16"/>
              </w:rPr>
              <w:t xml:space="preserve"> </w:t>
            </w:r>
            <w:proofErr w:type="spellStart"/>
            <w:r w:rsidR="008C26CD" w:rsidRPr="00E16672">
              <w:rPr>
                <w:rFonts w:ascii="Times New Roman" w:hAnsi="Times New Roman"/>
                <w:sz w:val="16"/>
                <w:szCs w:val="16"/>
              </w:rPr>
              <w:t>реєстру</w:t>
            </w:r>
            <w:proofErr w:type="spellEnd"/>
            <w:r w:rsidR="008C26CD" w:rsidRPr="00E16672">
              <w:rPr>
                <w:rFonts w:ascii="Times New Roman" w:hAnsi="Times New Roman"/>
                <w:sz w:val="16"/>
                <w:szCs w:val="16"/>
              </w:rPr>
              <w:t xml:space="preserve"> </w:t>
            </w:r>
            <w:proofErr w:type="spellStart"/>
            <w:r w:rsidR="008C26CD" w:rsidRPr="00E16672">
              <w:rPr>
                <w:rFonts w:ascii="Times New Roman" w:hAnsi="Times New Roman"/>
                <w:sz w:val="16"/>
                <w:szCs w:val="16"/>
              </w:rPr>
              <w:t>власників</w:t>
            </w:r>
            <w:proofErr w:type="spellEnd"/>
            <w:r w:rsidR="008C26CD" w:rsidRPr="00E16672">
              <w:rPr>
                <w:rFonts w:ascii="Times New Roman" w:hAnsi="Times New Roman"/>
                <w:sz w:val="16"/>
                <w:szCs w:val="16"/>
              </w:rPr>
              <w:t xml:space="preserve"> </w:t>
            </w:r>
            <w:proofErr w:type="spellStart"/>
            <w:r w:rsidR="008C26CD" w:rsidRPr="00E16672">
              <w:rPr>
                <w:rFonts w:ascii="Times New Roman" w:hAnsi="Times New Roman"/>
                <w:sz w:val="16"/>
                <w:szCs w:val="16"/>
              </w:rPr>
              <w:t>іменних</w:t>
            </w:r>
            <w:proofErr w:type="spellEnd"/>
            <w:r w:rsidR="008C26CD" w:rsidRPr="00E16672">
              <w:rPr>
                <w:rFonts w:ascii="Times New Roman" w:hAnsi="Times New Roman"/>
                <w:sz w:val="16"/>
                <w:szCs w:val="16"/>
              </w:rPr>
              <w:t xml:space="preserve"> </w:t>
            </w:r>
            <w:proofErr w:type="spellStart"/>
            <w:r w:rsidR="008C26CD" w:rsidRPr="00E16672">
              <w:rPr>
                <w:rFonts w:ascii="Times New Roman" w:hAnsi="Times New Roman"/>
                <w:sz w:val="16"/>
                <w:szCs w:val="16"/>
              </w:rPr>
              <w:t>цінних</w:t>
            </w:r>
            <w:proofErr w:type="spellEnd"/>
            <w:r w:rsidR="008C26CD" w:rsidRPr="00E16672">
              <w:rPr>
                <w:rFonts w:ascii="Times New Roman" w:hAnsi="Times New Roman"/>
                <w:sz w:val="16"/>
                <w:szCs w:val="16"/>
              </w:rPr>
              <w:t xml:space="preserve"> </w:t>
            </w:r>
            <w:proofErr w:type="spellStart"/>
            <w:r w:rsidR="008C26CD" w:rsidRPr="00E16672">
              <w:rPr>
                <w:rFonts w:ascii="Times New Roman" w:hAnsi="Times New Roman"/>
                <w:sz w:val="16"/>
                <w:szCs w:val="16"/>
              </w:rPr>
              <w:t>паперів</w:t>
            </w:r>
            <w:proofErr w:type="spellEnd"/>
            <w:r w:rsidR="008C26CD" w:rsidRPr="00E16672">
              <w:rPr>
                <w:rFonts w:ascii="Times New Roman" w:hAnsi="Times New Roman"/>
                <w:sz w:val="16"/>
                <w:szCs w:val="16"/>
              </w:rPr>
              <w:t xml:space="preserve"> у </w:t>
            </w:r>
            <w:proofErr w:type="spellStart"/>
            <w:r w:rsidR="008C26CD" w:rsidRPr="00E16672">
              <w:rPr>
                <w:rFonts w:ascii="Times New Roman" w:hAnsi="Times New Roman"/>
                <w:sz w:val="16"/>
                <w:szCs w:val="16"/>
              </w:rPr>
              <w:t>встановлених</w:t>
            </w:r>
            <w:proofErr w:type="spellEnd"/>
            <w:r w:rsidR="008C26CD" w:rsidRPr="00E16672">
              <w:rPr>
                <w:rFonts w:ascii="Times New Roman" w:hAnsi="Times New Roman"/>
                <w:sz w:val="16"/>
                <w:szCs w:val="16"/>
              </w:rPr>
              <w:t xml:space="preserve"> </w:t>
            </w:r>
            <w:proofErr w:type="spellStart"/>
            <w:r w:rsidR="008C26CD" w:rsidRPr="00E16672">
              <w:rPr>
                <w:rFonts w:ascii="Times New Roman" w:hAnsi="Times New Roman"/>
                <w:sz w:val="16"/>
                <w:szCs w:val="16"/>
              </w:rPr>
              <w:t>законодавством</w:t>
            </w:r>
            <w:proofErr w:type="spellEnd"/>
            <w:r w:rsidR="008C26CD" w:rsidRPr="00E16672">
              <w:rPr>
                <w:rFonts w:ascii="Times New Roman" w:hAnsi="Times New Roman"/>
                <w:sz w:val="16"/>
                <w:szCs w:val="16"/>
              </w:rPr>
              <w:t xml:space="preserve"> </w:t>
            </w:r>
            <w:proofErr w:type="spellStart"/>
            <w:r w:rsidR="008C26CD" w:rsidRPr="00E16672">
              <w:rPr>
                <w:rFonts w:ascii="Times New Roman" w:hAnsi="Times New Roman"/>
                <w:sz w:val="16"/>
                <w:szCs w:val="16"/>
              </w:rPr>
              <w:t>випадках</w:t>
            </w:r>
            <w:proofErr w:type="spellEnd"/>
            <w:r w:rsidRPr="00E16672">
              <w:rPr>
                <w:rFonts w:ascii="Times New Roman" w:hAnsi="Times New Roman"/>
                <w:sz w:val="16"/>
                <w:szCs w:val="16"/>
              </w:rPr>
              <w:t>.</w:t>
            </w:r>
          </w:p>
          <w:p w14:paraId="651EB609" w14:textId="77777777" w:rsidR="00EB25FE" w:rsidRPr="00E16672" w:rsidRDefault="00EB25FE" w:rsidP="001456E9">
            <w:pPr>
              <w:tabs>
                <w:tab w:val="left" w:pos="709"/>
              </w:tabs>
              <w:snapToGrid w:val="0"/>
              <w:ind w:left="172" w:right="138" w:firstLine="0"/>
              <w:rPr>
                <w:rFonts w:ascii="Times New Roman" w:hAnsi="Times New Roman"/>
                <w:sz w:val="16"/>
                <w:szCs w:val="16"/>
              </w:rPr>
            </w:pPr>
          </w:p>
        </w:tc>
        <w:tc>
          <w:tcPr>
            <w:tcW w:w="5495" w:type="dxa"/>
            <w:gridSpan w:val="8"/>
            <w:shd w:val="clear" w:color="auto" w:fill="auto"/>
          </w:tcPr>
          <w:p w14:paraId="663A712D" w14:textId="77777777" w:rsidR="00B565D4" w:rsidRPr="00E16672" w:rsidRDefault="00B565D4" w:rsidP="001456E9">
            <w:pPr>
              <w:ind w:left="172" w:firstLine="0"/>
              <w:rPr>
                <w:rFonts w:ascii="Times New Roman" w:hAnsi="Times New Roman"/>
                <w:sz w:val="16"/>
                <w:szCs w:val="16"/>
                <w:lang w:val="en-US"/>
              </w:rPr>
            </w:pPr>
            <w:r w:rsidRPr="00E16672">
              <w:rPr>
                <w:rFonts w:ascii="Times New Roman" w:hAnsi="Times New Roman"/>
                <w:sz w:val="16"/>
                <w:szCs w:val="16"/>
                <w:lang w:val="en-US"/>
              </w:rPr>
              <w:t>2.3.5. At the request of the depositary institution, provide the information specified by the Commission on the holders of securities and their respective securities, the rights of which are recorded on its account (s) in securities of the nominee holder, in case of the register of registered securities holders in the cases established by the legislation</w:t>
            </w:r>
          </w:p>
          <w:p w14:paraId="6B14B97D" w14:textId="77777777" w:rsidR="00EB25FE" w:rsidRPr="00E16672" w:rsidRDefault="00EB25FE" w:rsidP="001456E9">
            <w:pPr>
              <w:ind w:left="172" w:firstLine="0"/>
              <w:rPr>
                <w:rFonts w:ascii="Times New Roman" w:hAnsi="Times New Roman"/>
                <w:sz w:val="16"/>
                <w:szCs w:val="16"/>
                <w:lang w:val="en-US"/>
              </w:rPr>
            </w:pPr>
          </w:p>
        </w:tc>
      </w:tr>
      <w:tr w:rsidR="00EB25FE" w:rsidRPr="00F23413" w14:paraId="4A994B08" w14:textId="77777777" w:rsidTr="005145B5">
        <w:tblPrEx>
          <w:tblCellMar>
            <w:left w:w="0" w:type="dxa"/>
            <w:right w:w="0" w:type="dxa"/>
          </w:tblCellMar>
        </w:tblPrEx>
        <w:trPr>
          <w:trHeight w:val="192"/>
        </w:trPr>
        <w:tc>
          <w:tcPr>
            <w:tcW w:w="5695" w:type="dxa"/>
            <w:gridSpan w:val="7"/>
            <w:shd w:val="clear" w:color="auto" w:fill="auto"/>
          </w:tcPr>
          <w:p w14:paraId="1258C802" w14:textId="77777777" w:rsidR="00EB25FE" w:rsidRPr="00E16672" w:rsidRDefault="00EB25FE" w:rsidP="001456E9">
            <w:pPr>
              <w:ind w:left="172" w:right="138" w:firstLine="0"/>
              <w:rPr>
                <w:rFonts w:ascii="Times New Roman" w:hAnsi="Times New Roman"/>
                <w:color w:val="000000"/>
                <w:sz w:val="16"/>
                <w:szCs w:val="16"/>
                <w:lang w:val="uk-UA"/>
              </w:rPr>
            </w:pPr>
            <w:r w:rsidRPr="00E16672">
              <w:rPr>
                <w:rFonts w:ascii="Times New Roman" w:hAnsi="Times New Roman"/>
                <w:color w:val="000000"/>
                <w:sz w:val="16"/>
                <w:szCs w:val="16"/>
                <w:lang w:val="uk-UA"/>
              </w:rPr>
              <w:t>2.3.</w:t>
            </w:r>
            <w:r w:rsidR="00345B61" w:rsidRPr="00E16672">
              <w:rPr>
                <w:rFonts w:ascii="Times New Roman" w:hAnsi="Times New Roman"/>
                <w:color w:val="000000"/>
                <w:sz w:val="16"/>
                <w:szCs w:val="16"/>
                <w:lang w:val="uk-UA"/>
              </w:rPr>
              <w:t>6</w:t>
            </w:r>
            <w:r w:rsidRPr="00E16672">
              <w:rPr>
                <w:rFonts w:ascii="Times New Roman" w:hAnsi="Times New Roman"/>
                <w:color w:val="000000"/>
                <w:sz w:val="16"/>
                <w:szCs w:val="16"/>
                <w:lang w:val="uk-UA"/>
              </w:rPr>
              <w:t xml:space="preserve">. </w:t>
            </w:r>
            <w:proofErr w:type="spellStart"/>
            <w:r w:rsidR="008C26CD" w:rsidRPr="00E16672">
              <w:rPr>
                <w:rFonts w:ascii="Times New Roman" w:hAnsi="Times New Roman"/>
                <w:sz w:val="16"/>
                <w:szCs w:val="16"/>
              </w:rPr>
              <w:t>Розкривати</w:t>
            </w:r>
            <w:proofErr w:type="spellEnd"/>
            <w:r w:rsidR="008C26CD" w:rsidRPr="00E16672">
              <w:rPr>
                <w:rFonts w:ascii="Times New Roman" w:hAnsi="Times New Roman"/>
                <w:sz w:val="16"/>
                <w:szCs w:val="16"/>
              </w:rPr>
              <w:t xml:space="preserve"> </w:t>
            </w:r>
            <w:proofErr w:type="spellStart"/>
            <w:r w:rsidR="008C26CD" w:rsidRPr="00E16672">
              <w:rPr>
                <w:rFonts w:ascii="Times New Roman" w:hAnsi="Times New Roman"/>
                <w:sz w:val="16"/>
                <w:szCs w:val="16"/>
              </w:rPr>
              <w:t>інформацію</w:t>
            </w:r>
            <w:proofErr w:type="spellEnd"/>
            <w:r w:rsidR="008C26CD" w:rsidRPr="00E16672">
              <w:rPr>
                <w:rFonts w:ascii="Times New Roman" w:hAnsi="Times New Roman"/>
                <w:sz w:val="16"/>
                <w:szCs w:val="16"/>
              </w:rPr>
              <w:t xml:space="preserve"> </w:t>
            </w:r>
            <w:proofErr w:type="spellStart"/>
            <w:r w:rsidR="008C26CD" w:rsidRPr="00E16672">
              <w:rPr>
                <w:rFonts w:ascii="Times New Roman" w:hAnsi="Times New Roman"/>
                <w:sz w:val="16"/>
                <w:szCs w:val="16"/>
              </w:rPr>
              <w:t>щодо</w:t>
            </w:r>
            <w:proofErr w:type="spellEnd"/>
            <w:r w:rsidR="008C26CD" w:rsidRPr="00E16672">
              <w:rPr>
                <w:rFonts w:ascii="Times New Roman" w:hAnsi="Times New Roman"/>
                <w:sz w:val="16"/>
                <w:szCs w:val="16"/>
              </w:rPr>
              <w:t xml:space="preserve"> </w:t>
            </w:r>
            <w:proofErr w:type="spellStart"/>
            <w:r w:rsidR="008C26CD" w:rsidRPr="00E16672">
              <w:rPr>
                <w:rFonts w:ascii="Times New Roman" w:hAnsi="Times New Roman"/>
                <w:sz w:val="16"/>
                <w:szCs w:val="16"/>
              </w:rPr>
              <w:t>клієнта</w:t>
            </w:r>
            <w:proofErr w:type="spellEnd"/>
            <w:r w:rsidR="008C26CD" w:rsidRPr="00E16672">
              <w:rPr>
                <w:rFonts w:ascii="Times New Roman" w:hAnsi="Times New Roman"/>
                <w:sz w:val="16"/>
                <w:szCs w:val="16"/>
              </w:rPr>
              <w:t xml:space="preserve"> </w:t>
            </w:r>
            <w:proofErr w:type="spellStart"/>
            <w:r w:rsidR="008C26CD" w:rsidRPr="00E16672">
              <w:rPr>
                <w:rFonts w:ascii="Times New Roman" w:hAnsi="Times New Roman"/>
                <w:sz w:val="16"/>
                <w:szCs w:val="16"/>
              </w:rPr>
              <w:t>номінального</w:t>
            </w:r>
            <w:proofErr w:type="spellEnd"/>
            <w:r w:rsidR="008C26CD" w:rsidRPr="00E16672">
              <w:rPr>
                <w:rFonts w:ascii="Times New Roman" w:hAnsi="Times New Roman"/>
                <w:sz w:val="16"/>
                <w:szCs w:val="16"/>
              </w:rPr>
              <w:t xml:space="preserve"> </w:t>
            </w:r>
            <w:proofErr w:type="spellStart"/>
            <w:r w:rsidR="008C26CD" w:rsidRPr="00E16672">
              <w:rPr>
                <w:rFonts w:ascii="Times New Roman" w:hAnsi="Times New Roman"/>
                <w:sz w:val="16"/>
                <w:szCs w:val="16"/>
              </w:rPr>
              <w:t>утримувача</w:t>
            </w:r>
            <w:proofErr w:type="spellEnd"/>
            <w:r w:rsidR="008C26CD" w:rsidRPr="00E16672">
              <w:rPr>
                <w:rFonts w:ascii="Times New Roman" w:hAnsi="Times New Roman"/>
                <w:sz w:val="16"/>
                <w:szCs w:val="16"/>
              </w:rPr>
              <w:t xml:space="preserve"> </w:t>
            </w:r>
            <w:proofErr w:type="spellStart"/>
            <w:r w:rsidR="008C26CD" w:rsidRPr="00E16672">
              <w:rPr>
                <w:rFonts w:ascii="Times New Roman" w:hAnsi="Times New Roman"/>
                <w:sz w:val="16"/>
                <w:szCs w:val="16"/>
              </w:rPr>
              <w:t>або</w:t>
            </w:r>
            <w:proofErr w:type="spellEnd"/>
            <w:r w:rsidR="008C26CD" w:rsidRPr="00E16672">
              <w:rPr>
                <w:rFonts w:ascii="Times New Roman" w:hAnsi="Times New Roman"/>
                <w:sz w:val="16"/>
                <w:szCs w:val="16"/>
              </w:rPr>
              <w:t xml:space="preserve"> </w:t>
            </w:r>
            <w:proofErr w:type="spellStart"/>
            <w:r w:rsidR="008C26CD" w:rsidRPr="00E16672">
              <w:rPr>
                <w:rFonts w:ascii="Times New Roman" w:hAnsi="Times New Roman"/>
                <w:sz w:val="16"/>
                <w:szCs w:val="16"/>
              </w:rPr>
              <w:t>клієнтів</w:t>
            </w:r>
            <w:proofErr w:type="spellEnd"/>
            <w:r w:rsidR="008C26CD" w:rsidRPr="00E16672">
              <w:rPr>
                <w:rFonts w:ascii="Times New Roman" w:hAnsi="Times New Roman"/>
                <w:sz w:val="16"/>
                <w:szCs w:val="16"/>
              </w:rPr>
              <w:t xml:space="preserve"> </w:t>
            </w:r>
            <w:proofErr w:type="spellStart"/>
            <w:r w:rsidR="008C26CD" w:rsidRPr="00E16672">
              <w:rPr>
                <w:rFonts w:ascii="Times New Roman" w:hAnsi="Times New Roman"/>
                <w:sz w:val="16"/>
                <w:szCs w:val="16"/>
              </w:rPr>
              <w:t>клієнта</w:t>
            </w:r>
            <w:proofErr w:type="spellEnd"/>
            <w:r w:rsidR="008C26CD" w:rsidRPr="00E16672">
              <w:rPr>
                <w:rFonts w:ascii="Times New Roman" w:hAnsi="Times New Roman"/>
                <w:sz w:val="16"/>
                <w:szCs w:val="16"/>
              </w:rPr>
              <w:t xml:space="preserve"> </w:t>
            </w:r>
            <w:proofErr w:type="spellStart"/>
            <w:r w:rsidR="008C26CD" w:rsidRPr="00E16672">
              <w:rPr>
                <w:rFonts w:ascii="Times New Roman" w:hAnsi="Times New Roman"/>
                <w:sz w:val="16"/>
                <w:szCs w:val="16"/>
              </w:rPr>
              <w:t>номінального</w:t>
            </w:r>
            <w:proofErr w:type="spellEnd"/>
            <w:r w:rsidR="008C26CD" w:rsidRPr="00E16672">
              <w:rPr>
                <w:rFonts w:ascii="Times New Roman" w:hAnsi="Times New Roman"/>
                <w:sz w:val="16"/>
                <w:szCs w:val="16"/>
              </w:rPr>
              <w:t xml:space="preserve"> </w:t>
            </w:r>
            <w:proofErr w:type="spellStart"/>
            <w:r w:rsidR="008C26CD" w:rsidRPr="00E16672">
              <w:rPr>
                <w:rFonts w:ascii="Times New Roman" w:hAnsi="Times New Roman"/>
                <w:sz w:val="16"/>
                <w:szCs w:val="16"/>
              </w:rPr>
              <w:t>утримувача</w:t>
            </w:r>
            <w:proofErr w:type="spellEnd"/>
            <w:r w:rsidR="008C26CD" w:rsidRPr="00E16672">
              <w:rPr>
                <w:rFonts w:ascii="Times New Roman" w:hAnsi="Times New Roman"/>
                <w:sz w:val="16"/>
                <w:szCs w:val="16"/>
              </w:rPr>
              <w:t xml:space="preserve"> та про </w:t>
            </w:r>
            <w:proofErr w:type="spellStart"/>
            <w:r w:rsidR="008C26CD" w:rsidRPr="00E16672">
              <w:rPr>
                <w:rFonts w:ascii="Times New Roman" w:hAnsi="Times New Roman"/>
                <w:sz w:val="16"/>
                <w:szCs w:val="16"/>
              </w:rPr>
              <w:t>проведені</w:t>
            </w:r>
            <w:proofErr w:type="spellEnd"/>
            <w:r w:rsidR="008C26CD" w:rsidRPr="00E16672">
              <w:rPr>
                <w:rFonts w:ascii="Times New Roman" w:hAnsi="Times New Roman"/>
                <w:sz w:val="16"/>
                <w:szCs w:val="16"/>
              </w:rPr>
              <w:t xml:space="preserve"> </w:t>
            </w:r>
            <w:proofErr w:type="spellStart"/>
            <w:r w:rsidR="008C26CD" w:rsidRPr="00E16672">
              <w:rPr>
                <w:rFonts w:ascii="Times New Roman" w:hAnsi="Times New Roman"/>
                <w:sz w:val="16"/>
                <w:szCs w:val="16"/>
              </w:rPr>
              <w:t>депозитарні</w:t>
            </w:r>
            <w:proofErr w:type="spellEnd"/>
            <w:r w:rsidR="008C26CD" w:rsidRPr="00E16672">
              <w:rPr>
                <w:rFonts w:ascii="Times New Roman" w:hAnsi="Times New Roman"/>
                <w:sz w:val="16"/>
                <w:szCs w:val="16"/>
              </w:rPr>
              <w:t xml:space="preserve"> </w:t>
            </w:r>
            <w:proofErr w:type="spellStart"/>
            <w:r w:rsidR="008C26CD" w:rsidRPr="00E16672">
              <w:rPr>
                <w:rFonts w:ascii="Times New Roman" w:hAnsi="Times New Roman"/>
                <w:sz w:val="16"/>
                <w:szCs w:val="16"/>
              </w:rPr>
              <w:t>операції</w:t>
            </w:r>
            <w:proofErr w:type="spellEnd"/>
            <w:r w:rsidR="008C26CD" w:rsidRPr="00E16672">
              <w:rPr>
                <w:rFonts w:ascii="Times New Roman" w:hAnsi="Times New Roman"/>
                <w:sz w:val="16"/>
                <w:szCs w:val="16"/>
              </w:rPr>
              <w:t xml:space="preserve"> за </w:t>
            </w:r>
            <w:proofErr w:type="spellStart"/>
            <w:r w:rsidR="008C26CD" w:rsidRPr="00E16672">
              <w:rPr>
                <w:rFonts w:ascii="Times New Roman" w:hAnsi="Times New Roman"/>
                <w:sz w:val="16"/>
                <w:szCs w:val="16"/>
              </w:rPr>
              <w:t>їх</w:t>
            </w:r>
            <w:proofErr w:type="spellEnd"/>
            <w:r w:rsidR="008C26CD" w:rsidRPr="00E16672">
              <w:rPr>
                <w:rFonts w:ascii="Times New Roman" w:hAnsi="Times New Roman"/>
                <w:sz w:val="16"/>
                <w:szCs w:val="16"/>
              </w:rPr>
              <w:t xml:space="preserve"> </w:t>
            </w:r>
            <w:proofErr w:type="spellStart"/>
            <w:r w:rsidR="008C26CD" w:rsidRPr="00E16672">
              <w:rPr>
                <w:rFonts w:ascii="Times New Roman" w:hAnsi="Times New Roman"/>
                <w:sz w:val="16"/>
                <w:szCs w:val="16"/>
              </w:rPr>
              <w:t>рахунками</w:t>
            </w:r>
            <w:proofErr w:type="spellEnd"/>
            <w:r w:rsidR="008C26CD" w:rsidRPr="00E16672">
              <w:rPr>
                <w:rFonts w:ascii="Times New Roman" w:hAnsi="Times New Roman"/>
                <w:sz w:val="16"/>
                <w:szCs w:val="16"/>
              </w:rPr>
              <w:t xml:space="preserve"> у </w:t>
            </w:r>
            <w:proofErr w:type="spellStart"/>
            <w:r w:rsidR="008C26CD" w:rsidRPr="00E16672">
              <w:rPr>
                <w:rFonts w:ascii="Times New Roman" w:hAnsi="Times New Roman"/>
                <w:sz w:val="16"/>
                <w:szCs w:val="16"/>
              </w:rPr>
              <w:t>випадках</w:t>
            </w:r>
            <w:proofErr w:type="spellEnd"/>
            <w:r w:rsidR="008C26CD" w:rsidRPr="00E16672">
              <w:rPr>
                <w:rFonts w:ascii="Times New Roman" w:hAnsi="Times New Roman"/>
                <w:sz w:val="16"/>
                <w:szCs w:val="16"/>
              </w:rPr>
              <w:t xml:space="preserve"> та порядку, </w:t>
            </w:r>
            <w:proofErr w:type="spellStart"/>
            <w:r w:rsidR="008C26CD" w:rsidRPr="00E16672">
              <w:rPr>
                <w:rFonts w:ascii="Times New Roman" w:hAnsi="Times New Roman"/>
                <w:sz w:val="16"/>
                <w:szCs w:val="16"/>
              </w:rPr>
              <w:t>передбачених</w:t>
            </w:r>
            <w:proofErr w:type="spellEnd"/>
            <w:r w:rsidR="008C26CD" w:rsidRPr="00E16672">
              <w:rPr>
                <w:rFonts w:ascii="Times New Roman" w:hAnsi="Times New Roman"/>
                <w:sz w:val="16"/>
                <w:szCs w:val="16"/>
              </w:rPr>
              <w:t xml:space="preserve"> </w:t>
            </w:r>
            <w:proofErr w:type="spellStart"/>
            <w:r w:rsidR="008C26CD" w:rsidRPr="00E16672">
              <w:rPr>
                <w:rFonts w:ascii="Times New Roman" w:hAnsi="Times New Roman"/>
                <w:sz w:val="16"/>
                <w:szCs w:val="16"/>
              </w:rPr>
              <w:t>законодавством</w:t>
            </w:r>
            <w:proofErr w:type="spellEnd"/>
            <w:r w:rsidR="008C26CD" w:rsidRPr="00E16672">
              <w:rPr>
                <w:rFonts w:ascii="Times New Roman" w:hAnsi="Times New Roman"/>
                <w:sz w:val="16"/>
                <w:szCs w:val="16"/>
              </w:rPr>
              <w:t xml:space="preserve"> </w:t>
            </w:r>
            <w:proofErr w:type="spellStart"/>
            <w:r w:rsidR="008C26CD" w:rsidRPr="00E16672">
              <w:rPr>
                <w:rFonts w:ascii="Times New Roman" w:hAnsi="Times New Roman"/>
                <w:sz w:val="16"/>
                <w:szCs w:val="16"/>
              </w:rPr>
              <w:t>України</w:t>
            </w:r>
            <w:proofErr w:type="spellEnd"/>
            <w:r w:rsidRPr="00E16672">
              <w:rPr>
                <w:rFonts w:ascii="Times New Roman" w:hAnsi="Times New Roman"/>
                <w:color w:val="000000"/>
                <w:sz w:val="16"/>
                <w:szCs w:val="16"/>
                <w:lang w:val="uk-UA"/>
              </w:rPr>
              <w:t>.</w:t>
            </w:r>
          </w:p>
          <w:p w14:paraId="72FDBC5B" w14:textId="77777777" w:rsidR="00345B61" w:rsidRPr="00E16672" w:rsidRDefault="00345B61" w:rsidP="001456E9">
            <w:pPr>
              <w:ind w:left="172" w:right="138" w:firstLine="0"/>
              <w:rPr>
                <w:rFonts w:ascii="Times New Roman" w:hAnsi="Times New Roman"/>
                <w:color w:val="000000"/>
                <w:sz w:val="16"/>
                <w:szCs w:val="16"/>
                <w:lang w:val="uk-UA"/>
              </w:rPr>
            </w:pPr>
          </w:p>
        </w:tc>
        <w:tc>
          <w:tcPr>
            <w:tcW w:w="5495" w:type="dxa"/>
            <w:gridSpan w:val="8"/>
            <w:shd w:val="clear" w:color="auto" w:fill="auto"/>
          </w:tcPr>
          <w:p w14:paraId="0B2FE1C7" w14:textId="77777777" w:rsidR="00B565D4" w:rsidRPr="00E16672" w:rsidRDefault="00B565D4" w:rsidP="001456E9">
            <w:pPr>
              <w:ind w:left="172" w:firstLine="0"/>
              <w:rPr>
                <w:rFonts w:ascii="Times New Roman" w:hAnsi="Times New Roman"/>
                <w:sz w:val="16"/>
                <w:szCs w:val="16"/>
                <w:lang w:val="en-US"/>
              </w:rPr>
            </w:pPr>
            <w:r w:rsidRPr="00E16672">
              <w:rPr>
                <w:rFonts w:ascii="Times New Roman" w:hAnsi="Times New Roman"/>
                <w:sz w:val="16"/>
                <w:szCs w:val="16"/>
                <w:lang w:val="en-US"/>
              </w:rPr>
              <w:t>2.3.6. To disclose information about the client of the nominee holder or customers of the nominee client and about the depositary operations performed on their accounts in the cases and in accordance with the procedure provided by the legislation of Ukraine.</w:t>
            </w:r>
          </w:p>
          <w:p w14:paraId="46F5465D" w14:textId="77777777" w:rsidR="00EB25FE" w:rsidRPr="00E16672" w:rsidRDefault="00EB25FE" w:rsidP="001456E9">
            <w:pPr>
              <w:ind w:left="172" w:firstLine="0"/>
              <w:rPr>
                <w:rFonts w:ascii="Times New Roman" w:hAnsi="Times New Roman"/>
                <w:sz w:val="16"/>
                <w:szCs w:val="16"/>
                <w:lang w:val="en-US"/>
              </w:rPr>
            </w:pPr>
          </w:p>
        </w:tc>
      </w:tr>
      <w:tr w:rsidR="00EB25FE" w:rsidRPr="00F23413" w14:paraId="12E05800" w14:textId="77777777" w:rsidTr="005145B5">
        <w:tblPrEx>
          <w:tblCellMar>
            <w:left w:w="0" w:type="dxa"/>
            <w:right w:w="0" w:type="dxa"/>
          </w:tblCellMar>
        </w:tblPrEx>
        <w:trPr>
          <w:trHeight w:val="192"/>
        </w:trPr>
        <w:tc>
          <w:tcPr>
            <w:tcW w:w="5695" w:type="dxa"/>
            <w:gridSpan w:val="7"/>
            <w:shd w:val="clear" w:color="auto" w:fill="auto"/>
          </w:tcPr>
          <w:p w14:paraId="75E0454C" w14:textId="77777777" w:rsidR="00EB25FE" w:rsidRPr="00E16672" w:rsidRDefault="00EB25FE" w:rsidP="001456E9">
            <w:pPr>
              <w:suppressAutoHyphens w:val="0"/>
              <w:ind w:left="172" w:right="138" w:firstLine="0"/>
              <w:rPr>
                <w:rStyle w:val="rvts0"/>
                <w:rFonts w:ascii="Times New Roman" w:hAnsi="Times New Roman"/>
                <w:color w:val="000000"/>
                <w:sz w:val="16"/>
                <w:szCs w:val="16"/>
              </w:rPr>
            </w:pPr>
            <w:r w:rsidRPr="00E16672">
              <w:rPr>
                <w:rFonts w:ascii="Times New Roman" w:hAnsi="Times New Roman"/>
                <w:iCs/>
                <w:color w:val="000000"/>
                <w:sz w:val="16"/>
                <w:szCs w:val="16"/>
                <w:lang w:val="uk-UA" w:eastAsia="ru-RU"/>
              </w:rPr>
              <w:t>2.3.</w:t>
            </w:r>
            <w:r w:rsidR="00345B61" w:rsidRPr="00E16672">
              <w:rPr>
                <w:rFonts w:ascii="Times New Roman" w:hAnsi="Times New Roman"/>
                <w:iCs/>
                <w:color w:val="000000"/>
                <w:sz w:val="16"/>
                <w:szCs w:val="16"/>
                <w:lang w:val="uk-UA" w:eastAsia="ru-RU"/>
              </w:rPr>
              <w:t>7</w:t>
            </w:r>
            <w:r w:rsidRPr="00E16672">
              <w:rPr>
                <w:rFonts w:ascii="Times New Roman" w:hAnsi="Times New Roman"/>
                <w:iCs/>
                <w:color w:val="000000"/>
                <w:sz w:val="16"/>
                <w:szCs w:val="16"/>
                <w:lang w:val="uk-UA" w:eastAsia="ru-RU"/>
              </w:rPr>
              <w:t xml:space="preserve">. </w:t>
            </w:r>
            <w:r w:rsidR="00345B61" w:rsidRPr="00E16672">
              <w:rPr>
                <w:rFonts w:ascii="Times New Roman" w:hAnsi="Times New Roman"/>
                <w:sz w:val="16"/>
                <w:szCs w:val="16"/>
                <w:lang w:val="uk-UA"/>
              </w:rPr>
              <w:t>Н</w:t>
            </w:r>
            <w:proofErr w:type="spellStart"/>
            <w:r w:rsidR="008C26CD" w:rsidRPr="00E16672">
              <w:rPr>
                <w:rFonts w:ascii="Times New Roman" w:hAnsi="Times New Roman"/>
                <w:sz w:val="16"/>
                <w:szCs w:val="16"/>
              </w:rPr>
              <w:t>адавати</w:t>
            </w:r>
            <w:proofErr w:type="spellEnd"/>
            <w:r w:rsidR="008C26CD" w:rsidRPr="00E16672">
              <w:rPr>
                <w:rFonts w:ascii="Times New Roman" w:hAnsi="Times New Roman"/>
                <w:sz w:val="16"/>
                <w:szCs w:val="16"/>
              </w:rPr>
              <w:t xml:space="preserve"> </w:t>
            </w:r>
            <w:proofErr w:type="spellStart"/>
            <w:r w:rsidR="008C26CD" w:rsidRPr="00E16672">
              <w:rPr>
                <w:rFonts w:ascii="Times New Roman" w:hAnsi="Times New Roman"/>
                <w:sz w:val="16"/>
                <w:szCs w:val="16"/>
              </w:rPr>
              <w:t>депозитарній</w:t>
            </w:r>
            <w:proofErr w:type="spellEnd"/>
            <w:r w:rsidR="008C26CD" w:rsidRPr="00E16672">
              <w:rPr>
                <w:rFonts w:ascii="Times New Roman" w:hAnsi="Times New Roman"/>
                <w:sz w:val="16"/>
                <w:szCs w:val="16"/>
              </w:rPr>
              <w:t xml:space="preserve"> </w:t>
            </w:r>
            <w:proofErr w:type="spellStart"/>
            <w:r w:rsidR="008C26CD" w:rsidRPr="00E16672">
              <w:rPr>
                <w:rFonts w:ascii="Times New Roman" w:hAnsi="Times New Roman"/>
                <w:sz w:val="16"/>
                <w:szCs w:val="16"/>
              </w:rPr>
              <w:t>установі</w:t>
            </w:r>
            <w:proofErr w:type="spellEnd"/>
            <w:r w:rsidR="008C26CD" w:rsidRPr="00E16672">
              <w:rPr>
                <w:rFonts w:ascii="Times New Roman" w:hAnsi="Times New Roman"/>
                <w:sz w:val="16"/>
                <w:szCs w:val="16"/>
              </w:rPr>
              <w:t xml:space="preserve"> </w:t>
            </w:r>
            <w:proofErr w:type="spellStart"/>
            <w:r w:rsidR="008C26CD" w:rsidRPr="00E16672">
              <w:rPr>
                <w:rFonts w:ascii="Times New Roman" w:hAnsi="Times New Roman"/>
                <w:sz w:val="16"/>
                <w:szCs w:val="16"/>
              </w:rPr>
              <w:t>щокварталу</w:t>
            </w:r>
            <w:proofErr w:type="spellEnd"/>
            <w:r w:rsidR="008C26CD" w:rsidRPr="00E16672">
              <w:rPr>
                <w:rFonts w:ascii="Times New Roman" w:hAnsi="Times New Roman"/>
                <w:sz w:val="16"/>
                <w:szCs w:val="16"/>
              </w:rPr>
              <w:t xml:space="preserve"> не </w:t>
            </w:r>
            <w:proofErr w:type="spellStart"/>
            <w:r w:rsidR="008C26CD" w:rsidRPr="00E16672">
              <w:rPr>
                <w:rFonts w:ascii="Times New Roman" w:hAnsi="Times New Roman"/>
                <w:sz w:val="16"/>
                <w:szCs w:val="16"/>
              </w:rPr>
              <w:t>пізніше</w:t>
            </w:r>
            <w:proofErr w:type="spellEnd"/>
            <w:r w:rsidR="008C26CD" w:rsidRPr="00E16672">
              <w:rPr>
                <w:rFonts w:ascii="Times New Roman" w:hAnsi="Times New Roman"/>
                <w:sz w:val="16"/>
                <w:szCs w:val="16"/>
              </w:rPr>
              <w:t xml:space="preserve"> 10 (</w:t>
            </w:r>
            <w:proofErr w:type="spellStart"/>
            <w:r w:rsidR="008C26CD" w:rsidRPr="00E16672">
              <w:rPr>
                <w:rFonts w:ascii="Times New Roman" w:hAnsi="Times New Roman"/>
                <w:sz w:val="16"/>
                <w:szCs w:val="16"/>
              </w:rPr>
              <w:t>включно</w:t>
            </w:r>
            <w:proofErr w:type="spellEnd"/>
            <w:r w:rsidR="008C26CD" w:rsidRPr="00E16672">
              <w:rPr>
                <w:rFonts w:ascii="Times New Roman" w:hAnsi="Times New Roman"/>
                <w:sz w:val="16"/>
                <w:szCs w:val="16"/>
              </w:rPr>
              <w:t xml:space="preserve">) числа </w:t>
            </w:r>
            <w:proofErr w:type="spellStart"/>
            <w:r w:rsidR="008C26CD" w:rsidRPr="00E16672">
              <w:rPr>
                <w:rFonts w:ascii="Times New Roman" w:hAnsi="Times New Roman"/>
                <w:sz w:val="16"/>
                <w:szCs w:val="16"/>
              </w:rPr>
              <w:t>місяця</w:t>
            </w:r>
            <w:proofErr w:type="spellEnd"/>
            <w:r w:rsidR="008C26CD" w:rsidRPr="00E16672">
              <w:rPr>
                <w:rFonts w:ascii="Times New Roman" w:hAnsi="Times New Roman"/>
                <w:sz w:val="16"/>
                <w:szCs w:val="16"/>
              </w:rPr>
              <w:t xml:space="preserve">, </w:t>
            </w:r>
            <w:proofErr w:type="spellStart"/>
            <w:r w:rsidR="008C26CD" w:rsidRPr="00E16672">
              <w:rPr>
                <w:rFonts w:ascii="Times New Roman" w:hAnsi="Times New Roman"/>
                <w:sz w:val="16"/>
                <w:szCs w:val="16"/>
              </w:rPr>
              <w:t>наступного</w:t>
            </w:r>
            <w:proofErr w:type="spellEnd"/>
            <w:r w:rsidR="008C26CD" w:rsidRPr="00E16672">
              <w:rPr>
                <w:rFonts w:ascii="Times New Roman" w:hAnsi="Times New Roman"/>
                <w:sz w:val="16"/>
                <w:szCs w:val="16"/>
              </w:rPr>
              <w:t xml:space="preserve"> за </w:t>
            </w:r>
            <w:proofErr w:type="spellStart"/>
            <w:r w:rsidR="008C26CD" w:rsidRPr="00E16672">
              <w:rPr>
                <w:rFonts w:ascii="Times New Roman" w:hAnsi="Times New Roman"/>
                <w:sz w:val="16"/>
                <w:szCs w:val="16"/>
              </w:rPr>
              <w:t>звітним</w:t>
            </w:r>
            <w:proofErr w:type="spellEnd"/>
            <w:r w:rsidR="008C26CD" w:rsidRPr="00E16672">
              <w:rPr>
                <w:rFonts w:ascii="Times New Roman" w:hAnsi="Times New Roman"/>
                <w:sz w:val="16"/>
                <w:szCs w:val="16"/>
              </w:rPr>
              <w:t xml:space="preserve"> кварталом, </w:t>
            </w:r>
            <w:proofErr w:type="spellStart"/>
            <w:r w:rsidR="008C26CD" w:rsidRPr="00E16672">
              <w:rPr>
                <w:rFonts w:ascii="Times New Roman" w:hAnsi="Times New Roman"/>
                <w:sz w:val="16"/>
                <w:szCs w:val="16"/>
              </w:rPr>
              <w:t>інформацію</w:t>
            </w:r>
            <w:proofErr w:type="spellEnd"/>
            <w:r w:rsidR="008C26CD" w:rsidRPr="00E16672">
              <w:rPr>
                <w:rFonts w:ascii="Times New Roman" w:hAnsi="Times New Roman"/>
                <w:sz w:val="16"/>
                <w:szCs w:val="16"/>
              </w:rPr>
              <w:t xml:space="preserve"> </w:t>
            </w:r>
            <w:proofErr w:type="spellStart"/>
            <w:r w:rsidR="008C26CD" w:rsidRPr="00E16672">
              <w:rPr>
                <w:rFonts w:ascii="Times New Roman" w:hAnsi="Times New Roman"/>
                <w:sz w:val="16"/>
                <w:szCs w:val="16"/>
              </w:rPr>
              <w:t>щодо</w:t>
            </w:r>
            <w:proofErr w:type="spellEnd"/>
            <w:r w:rsidR="008C26CD" w:rsidRPr="00E16672">
              <w:rPr>
                <w:rFonts w:ascii="Times New Roman" w:hAnsi="Times New Roman"/>
                <w:sz w:val="16"/>
                <w:szCs w:val="16"/>
              </w:rPr>
              <w:t xml:space="preserve"> </w:t>
            </w:r>
            <w:proofErr w:type="spellStart"/>
            <w:r w:rsidR="008C26CD" w:rsidRPr="00E16672">
              <w:rPr>
                <w:rFonts w:ascii="Times New Roman" w:hAnsi="Times New Roman"/>
                <w:sz w:val="16"/>
                <w:szCs w:val="16"/>
              </w:rPr>
              <w:t>власників</w:t>
            </w:r>
            <w:proofErr w:type="spellEnd"/>
            <w:r w:rsidR="008C26CD" w:rsidRPr="00E16672">
              <w:rPr>
                <w:rFonts w:ascii="Times New Roman" w:hAnsi="Times New Roman"/>
                <w:sz w:val="16"/>
                <w:szCs w:val="16"/>
              </w:rPr>
              <w:t xml:space="preserve"> </w:t>
            </w:r>
            <w:proofErr w:type="spellStart"/>
            <w:r w:rsidR="008C26CD" w:rsidRPr="00E16672">
              <w:rPr>
                <w:rFonts w:ascii="Times New Roman" w:hAnsi="Times New Roman"/>
                <w:sz w:val="16"/>
                <w:szCs w:val="16"/>
              </w:rPr>
              <w:t>пакетів</w:t>
            </w:r>
            <w:proofErr w:type="spellEnd"/>
            <w:r w:rsidR="008C26CD" w:rsidRPr="00E16672">
              <w:rPr>
                <w:rFonts w:ascii="Times New Roman" w:hAnsi="Times New Roman"/>
                <w:sz w:val="16"/>
                <w:szCs w:val="16"/>
              </w:rPr>
              <w:t xml:space="preserve"> </w:t>
            </w:r>
            <w:proofErr w:type="spellStart"/>
            <w:r w:rsidR="008C26CD" w:rsidRPr="00E16672">
              <w:rPr>
                <w:rFonts w:ascii="Times New Roman" w:hAnsi="Times New Roman"/>
                <w:sz w:val="16"/>
                <w:szCs w:val="16"/>
              </w:rPr>
              <w:t>голосуючих</w:t>
            </w:r>
            <w:proofErr w:type="spellEnd"/>
            <w:r w:rsidR="008C26CD" w:rsidRPr="00E16672">
              <w:rPr>
                <w:rFonts w:ascii="Times New Roman" w:hAnsi="Times New Roman"/>
                <w:sz w:val="16"/>
                <w:szCs w:val="16"/>
              </w:rPr>
              <w:t xml:space="preserve"> </w:t>
            </w:r>
            <w:proofErr w:type="spellStart"/>
            <w:r w:rsidR="008C26CD" w:rsidRPr="00E16672">
              <w:rPr>
                <w:rFonts w:ascii="Times New Roman" w:hAnsi="Times New Roman"/>
                <w:sz w:val="16"/>
                <w:szCs w:val="16"/>
              </w:rPr>
              <w:t>акцій</w:t>
            </w:r>
            <w:proofErr w:type="spellEnd"/>
            <w:r w:rsidR="008C26CD" w:rsidRPr="00E16672">
              <w:rPr>
                <w:rFonts w:ascii="Times New Roman" w:hAnsi="Times New Roman"/>
                <w:sz w:val="16"/>
                <w:szCs w:val="16"/>
              </w:rPr>
              <w:t xml:space="preserve"> (5 </w:t>
            </w:r>
            <w:proofErr w:type="spellStart"/>
            <w:r w:rsidR="008C26CD" w:rsidRPr="00E16672">
              <w:rPr>
                <w:rFonts w:ascii="Times New Roman" w:hAnsi="Times New Roman"/>
                <w:sz w:val="16"/>
                <w:szCs w:val="16"/>
              </w:rPr>
              <w:t>відсотків</w:t>
            </w:r>
            <w:proofErr w:type="spellEnd"/>
            <w:r w:rsidR="008C26CD" w:rsidRPr="00E16672">
              <w:rPr>
                <w:rFonts w:ascii="Times New Roman" w:hAnsi="Times New Roman"/>
                <w:sz w:val="16"/>
                <w:szCs w:val="16"/>
              </w:rPr>
              <w:t xml:space="preserve"> і </w:t>
            </w:r>
            <w:proofErr w:type="spellStart"/>
            <w:r w:rsidR="008C26CD" w:rsidRPr="00E16672">
              <w:rPr>
                <w:rFonts w:ascii="Times New Roman" w:hAnsi="Times New Roman"/>
                <w:sz w:val="16"/>
                <w:szCs w:val="16"/>
              </w:rPr>
              <w:t>більше</w:t>
            </w:r>
            <w:proofErr w:type="spellEnd"/>
            <w:r w:rsidR="008C26CD" w:rsidRPr="00E16672">
              <w:rPr>
                <w:rFonts w:ascii="Times New Roman" w:hAnsi="Times New Roman"/>
                <w:sz w:val="16"/>
                <w:szCs w:val="16"/>
              </w:rPr>
              <w:t xml:space="preserve"> статутного </w:t>
            </w:r>
            <w:proofErr w:type="spellStart"/>
            <w:r w:rsidR="008C26CD" w:rsidRPr="00E16672">
              <w:rPr>
                <w:rFonts w:ascii="Times New Roman" w:hAnsi="Times New Roman"/>
                <w:sz w:val="16"/>
                <w:szCs w:val="16"/>
              </w:rPr>
              <w:t>капіталу</w:t>
            </w:r>
            <w:proofErr w:type="spellEnd"/>
            <w:r w:rsidR="008C26CD" w:rsidRPr="00E16672">
              <w:rPr>
                <w:rFonts w:ascii="Times New Roman" w:hAnsi="Times New Roman"/>
                <w:sz w:val="16"/>
                <w:szCs w:val="16"/>
              </w:rPr>
              <w:t xml:space="preserve"> </w:t>
            </w:r>
            <w:proofErr w:type="spellStart"/>
            <w:r w:rsidR="008C26CD" w:rsidRPr="00E16672">
              <w:rPr>
                <w:rFonts w:ascii="Times New Roman" w:hAnsi="Times New Roman"/>
                <w:sz w:val="16"/>
                <w:szCs w:val="16"/>
              </w:rPr>
              <w:t>акціонерних</w:t>
            </w:r>
            <w:proofErr w:type="spellEnd"/>
            <w:r w:rsidR="008C26CD" w:rsidRPr="00E16672">
              <w:rPr>
                <w:rFonts w:ascii="Times New Roman" w:hAnsi="Times New Roman"/>
                <w:sz w:val="16"/>
                <w:szCs w:val="16"/>
              </w:rPr>
              <w:t xml:space="preserve"> </w:t>
            </w:r>
            <w:proofErr w:type="spellStart"/>
            <w:r w:rsidR="008C26CD" w:rsidRPr="00E16672">
              <w:rPr>
                <w:rFonts w:ascii="Times New Roman" w:hAnsi="Times New Roman"/>
                <w:sz w:val="16"/>
                <w:szCs w:val="16"/>
              </w:rPr>
              <w:t>товариств</w:t>
            </w:r>
            <w:proofErr w:type="spellEnd"/>
            <w:r w:rsidR="008C26CD" w:rsidRPr="00E16672">
              <w:rPr>
                <w:rFonts w:ascii="Times New Roman" w:hAnsi="Times New Roman"/>
                <w:sz w:val="16"/>
                <w:szCs w:val="16"/>
              </w:rPr>
              <w:t xml:space="preserve">, </w:t>
            </w:r>
            <w:proofErr w:type="spellStart"/>
            <w:r w:rsidR="008C26CD" w:rsidRPr="00E16672">
              <w:rPr>
                <w:rFonts w:ascii="Times New Roman" w:hAnsi="Times New Roman"/>
                <w:sz w:val="16"/>
                <w:szCs w:val="16"/>
              </w:rPr>
              <w:t>які</w:t>
            </w:r>
            <w:proofErr w:type="spellEnd"/>
            <w:r w:rsidR="008C26CD" w:rsidRPr="00E16672">
              <w:rPr>
                <w:rFonts w:ascii="Times New Roman" w:hAnsi="Times New Roman"/>
                <w:sz w:val="16"/>
                <w:szCs w:val="16"/>
              </w:rPr>
              <w:t xml:space="preserve"> є </w:t>
            </w:r>
            <w:proofErr w:type="spellStart"/>
            <w:r w:rsidR="008C26CD" w:rsidRPr="00E16672">
              <w:rPr>
                <w:rFonts w:ascii="Times New Roman" w:hAnsi="Times New Roman"/>
                <w:sz w:val="16"/>
                <w:szCs w:val="16"/>
              </w:rPr>
              <w:t>українськими</w:t>
            </w:r>
            <w:proofErr w:type="spellEnd"/>
            <w:r w:rsidR="008C26CD" w:rsidRPr="00E16672">
              <w:rPr>
                <w:rFonts w:ascii="Times New Roman" w:hAnsi="Times New Roman"/>
                <w:sz w:val="16"/>
                <w:szCs w:val="16"/>
              </w:rPr>
              <w:t xml:space="preserve"> </w:t>
            </w:r>
            <w:proofErr w:type="spellStart"/>
            <w:r w:rsidR="008C26CD" w:rsidRPr="00E16672">
              <w:rPr>
                <w:rFonts w:ascii="Times New Roman" w:hAnsi="Times New Roman"/>
                <w:sz w:val="16"/>
                <w:szCs w:val="16"/>
              </w:rPr>
              <w:t>емітентами</w:t>
            </w:r>
            <w:proofErr w:type="spellEnd"/>
            <w:r w:rsidR="008C26CD" w:rsidRPr="00E16672">
              <w:rPr>
                <w:rFonts w:ascii="Times New Roman" w:hAnsi="Times New Roman"/>
                <w:sz w:val="16"/>
                <w:szCs w:val="16"/>
              </w:rPr>
              <w:t xml:space="preserve">) станом на </w:t>
            </w:r>
            <w:proofErr w:type="spellStart"/>
            <w:r w:rsidR="008C26CD" w:rsidRPr="00E16672">
              <w:rPr>
                <w:rFonts w:ascii="Times New Roman" w:hAnsi="Times New Roman"/>
                <w:sz w:val="16"/>
                <w:szCs w:val="16"/>
              </w:rPr>
              <w:t>останній</w:t>
            </w:r>
            <w:proofErr w:type="spellEnd"/>
            <w:r w:rsidR="008C26CD" w:rsidRPr="00E16672">
              <w:rPr>
                <w:rFonts w:ascii="Times New Roman" w:hAnsi="Times New Roman"/>
                <w:sz w:val="16"/>
                <w:szCs w:val="16"/>
              </w:rPr>
              <w:t xml:space="preserve"> </w:t>
            </w:r>
            <w:proofErr w:type="spellStart"/>
            <w:r w:rsidR="008C26CD" w:rsidRPr="00E16672">
              <w:rPr>
                <w:rFonts w:ascii="Times New Roman" w:hAnsi="Times New Roman"/>
                <w:sz w:val="16"/>
                <w:szCs w:val="16"/>
              </w:rPr>
              <w:t>робочий</w:t>
            </w:r>
            <w:proofErr w:type="spellEnd"/>
            <w:r w:rsidR="008C26CD" w:rsidRPr="00E16672">
              <w:rPr>
                <w:rFonts w:ascii="Times New Roman" w:hAnsi="Times New Roman"/>
                <w:sz w:val="16"/>
                <w:szCs w:val="16"/>
              </w:rPr>
              <w:t xml:space="preserve"> день </w:t>
            </w:r>
            <w:proofErr w:type="spellStart"/>
            <w:r w:rsidR="008C26CD" w:rsidRPr="00E16672">
              <w:rPr>
                <w:rFonts w:ascii="Times New Roman" w:hAnsi="Times New Roman"/>
                <w:sz w:val="16"/>
                <w:szCs w:val="16"/>
              </w:rPr>
              <w:t>звітного</w:t>
            </w:r>
            <w:proofErr w:type="spellEnd"/>
            <w:r w:rsidR="008C26CD" w:rsidRPr="00E16672">
              <w:rPr>
                <w:rFonts w:ascii="Times New Roman" w:hAnsi="Times New Roman"/>
                <w:sz w:val="16"/>
                <w:szCs w:val="16"/>
              </w:rPr>
              <w:t xml:space="preserve"> кварталу за формою, </w:t>
            </w:r>
            <w:proofErr w:type="spellStart"/>
            <w:r w:rsidR="008C26CD" w:rsidRPr="00E16672">
              <w:rPr>
                <w:rFonts w:ascii="Times New Roman" w:hAnsi="Times New Roman"/>
                <w:sz w:val="16"/>
                <w:szCs w:val="16"/>
              </w:rPr>
              <w:t>встановленою</w:t>
            </w:r>
            <w:proofErr w:type="spellEnd"/>
            <w:r w:rsidR="008C26CD" w:rsidRPr="00E16672">
              <w:rPr>
                <w:rFonts w:ascii="Times New Roman" w:hAnsi="Times New Roman"/>
                <w:sz w:val="16"/>
                <w:szCs w:val="16"/>
              </w:rPr>
              <w:t xml:space="preserve"> депозитарною </w:t>
            </w:r>
            <w:proofErr w:type="spellStart"/>
            <w:r w:rsidR="008C26CD" w:rsidRPr="00E16672">
              <w:rPr>
                <w:rFonts w:ascii="Times New Roman" w:hAnsi="Times New Roman"/>
                <w:sz w:val="16"/>
                <w:szCs w:val="16"/>
              </w:rPr>
              <w:t>установою</w:t>
            </w:r>
            <w:proofErr w:type="spellEnd"/>
            <w:r w:rsidRPr="00E16672">
              <w:rPr>
                <w:rStyle w:val="rvts0"/>
                <w:rFonts w:ascii="Times New Roman" w:hAnsi="Times New Roman"/>
                <w:color w:val="000000"/>
                <w:sz w:val="16"/>
                <w:szCs w:val="16"/>
              </w:rPr>
              <w:t>.</w:t>
            </w:r>
          </w:p>
          <w:p w14:paraId="37CF7B2E" w14:textId="77777777" w:rsidR="00345B61" w:rsidRPr="00E16672" w:rsidRDefault="00345B61" w:rsidP="001456E9">
            <w:pPr>
              <w:suppressAutoHyphens w:val="0"/>
              <w:ind w:left="172" w:right="138" w:firstLine="0"/>
              <w:rPr>
                <w:rStyle w:val="rvts0"/>
                <w:rFonts w:ascii="Times New Roman" w:hAnsi="Times New Roman"/>
                <w:color w:val="000000"/>
                <w:sz w:val="16"/>
                <w:szCs w:val="16"/>
              </w:rPr>
            </w:pPr>
          </w:p>
          <w:p w14:paraId="2DB5763E" w14:textId="77777777" w:rsidR="008C26CD" w:rsidRPr="00E16672" w:rsidRDefault="00345B61" w:rsidP="001456E9">
            <w:pPr>
              <w:suppressAutoHyphens w:val="0"/>
              <w:ind w:left="172" w:right="138" w:firstLine="0"/>
              <w:rPr>
                <w:rFonts w:ascii="Times New Roman" w:hAnsi="Times New Roman"/>
                <w:color w:val="000000"/>
                <w:sz w:val="16"/>
                <w:szCs w:val="16"/>
                <w:lang w:val="uk-UA"/>
              </w:rPr>
            </w:pPr>
            <w:r w:rsidRPr="00E16672">
              <w:rPr>
                <w:rStyle w:val="rvts0"/>
                <w:rFonts w:ascii="Times New Roman" w:hAnsi="Times New Roman"/>
                <w:color w:val="000000"/>
                <w:sz w:val="16"/>
                <w:szCs w:val="16"/>
                <w:lang w:val="uk-UA"/>
              </w:rPr>
              <w:t>2.3.8.</w:t>
            </w:r>
            <w:r w:rsidRPr="00E16672">
              <w:rPr>
                <w:rFonts w:ascii="Times New Roman" w:hAnsi="Times New Roman"/>
                <w:sz w:val="16"/>
                <w:szCs w:val="16"/>
                <w:lang w:val="uk-UA"/>
              </w:rPr>
              <w:t>У</w:t>
            </w:r>
            <w:r w:rsidR="008C26CD" w:rsidRPr="00E16672">
              <w:rPr>
                <w:rFonts w:ascii="Times New Roman" w:hAnsi="Times New Roman"/>
                <w:sz w:val="16"/>
                <w:szCs w:val="16"/>
              </w:rPr>
              <w:t xml:space="preserve"> </w:t>
            </w:r>
            <w:proofErr w:type="spellStart"/>
            <w:r w:rsidR="008C26CD" w:rsidRPr="00E16672">
              <w:rPr>
                <w:rFonts w:ascii="Times New Roman" w:hAnsi="Times New Roman"/>
                <w:sz w:val="16"/>
                <w:szCs w:val="16"/>
              </w:rPr>
              <w:t>разі</w:t>
            </w:r>
            <w:proofErr w:type="spellEnd"/>
            <w:r w:rsidR="008C26CD" w:rsidRPr="00E16672">
              <w:rPr>
                <w:rFonts w:ascii="Times New Roman" w:hAnsi="Times New Roman"/>
                <w:sz w:val="16"/>
                <w:szCs w:val="16"/>
              </w:rPr>
              <w:t xml:space="preserve"> </w:t>
            </w:r>
            <w:proofErr w:type="spellStart"/>
            <w:r w:rsidR="008C26CD" w:rsidRPr="00E16672">
              <w:rPr>
                <w:rFonts w:ascii="Times New Roman" w:hAnsi="Times New Roman"/>
                <w:sz w:val="16"/>
                <w:szCs w:val="16"/>
              </w:rPr>
              <w:t>настання</w:t>
            </w:r>
            <w:proofErr w:type="spellEnd"/>
            <w:r w:rsidR="008C26CD" w:rsidRPr="00E16672">
              <w:rPr>
                <w:rFonts w:ascii="Times New Roman" w:hAnsi="Times New Roman"/>
                <w:sz w:val="16"/>
                <w:szCs w:val="16"/>
              </w:rPr>
              <w:t xml:space="preserve"> факту </w:t>
            </w:r>
            <w:proofErr w:type="spellStart"/>
            <w:r w:rsidR="008C26CD" w:rsidRPr="00E16672">
              <w:rPr>
                <w:rFonts w:ascii="Times New Roman" w:hAnsi="Times New Roman"/>
                <w:sz w:val="16"/>
                <w:szCs w:val="16"/>
              </w:rPr>
              <w:t>порушення</w:t>
            </w:r>
            <w:proofErr w:type="spellEnd"/>
            <w:r w:rsidR="008C26CD" w:rsidRPr="00E16672">
              <w:rPr>
                <w:rFonts w:ascii="Times New Roman" w:hAnsi="Times New Roman"/>
                <w:sz w:val="16"/>
                <w:szCs w:val="16"/>
              </w:rPr>
              <w:t xml:space="preserve"> </w:t>
            </w:r>
            <w:proofErr w:type="spellStart"/>
            <w:r w:rsidR="008C26CD" w:rsidRPr="00E16672">
              <w:rPr>
                <w:rFonts w:ascii="Times New Roman" w:hAnsi="Times New Roman"/>
                <w:sz w:val="16"/>
                <w:szCs w:val="16"/>
              </w:rPr>
              <w:t>встановлених</w:t>
            </w:r>
            <w:proofErr w:type="spellEnd"/>
            <w:r w:rsidR="008C26CD" w:rsidRPr="00E16672">
              <w:rPr>
                <w:rFonts w:ascii="Times New Roman" w:hAnsi="Times New Roman"/>
                <w:sz w:val="16"/>
                <w:szCs w:val="16"/>
              </w:rPr>
              <w:t xml:space="preserve"> </w:t>
            </w:r>
            <w:proofErr w:type="spellStart"/>
            <w:r w:rsidR="008C26CD" w:rsidRPr="00E16672">
              <w:rPr>
                <w:rFonts w:ascii="Times New Roman" w:hAnsi="Times New Roman"/>
                <w:sz w:val="16"/>
                <w:szCs w:val="16"/>
              </w:rPr>
              <w:t>законодавством</w:t>
            </w:r>
            <w:proofErr w:type="spellEnd"/>
            <w:r w:rsidR="008C26CD" w:rsidRPr="00E16672">
              <w:rPr>
                <w:rFonts w:ascii="Times New Roman" w:hAnsi="Times New Roman"/>
                <w:sz w:val="16"/>
                <w:szCs w:val="16"/>
              </w:rPr>
              <w:t xml:space="preserve"> </w:t>
            </w:r>
            <w:proofErr w:type="spellStart"/>
            <w:r w:rsidR="008C26CD" w:rsidRPr="00E16672">
              <w:rPr>
                <w:rFonts w:ascii="Times New Roman" w:hAnsi="Times New Roman"/>
                <w:sz w:val="16"/>
                <w:szCs w:val="16"/>
              </w:rPr>
              <w:t>України</w:t>
            </w:r>
            <w:proofErr w:type="spellEnd"/>
            <w:r w:rsidR="008C26CD" w:rsidRPr="00E16672">
              <w:rPr>
                <w:rFonts w:ascii="Times New Roman" w:hAnsi="Times New Roman"/>
                <w:sz w:val="16"/>
                <w:szCs w:val="16"/>
              </w:rPr>
              <w:t xml:space="preserve"> </w:t>
            </w:r>
            <w:proofErr w:type="spellStart"/>
            <w:r w:rsidR="008C26CD" w:rsidRPr="00E16672">
              <w:rPr>
                <w:rFonts w:ascii="Times New Roman" w:hAnsi="Times New Roman"/>
                <w:sz w:val="16"/>
                <w:szCs w:val="16"/>
              </w:rPr>
              <w:t>вимог</w:t>
            </w:r>
            <w:proofErr w:type="spellEnd"/>
            <w:r w:rsidR="008C26CD" w:rsidRPr="00E16672">
              <w:rPr>
                <w:rFonts w:ascii="Times New Roman" w:hAnsi="Times New Roman"/>
                <w:sz w:val="16"/>
                <w:szCs w:val="16"/>
              </w:rPr>
              <w:t xml:space="preserve"> до </w:t>
            </w:r>
            <w:proofErr w:type="spellStart"/>
            <w:r w:rsidR="008C26CD" w:rsidRPr="00E16672">
              <w:rPr>
                <w:rFonts w:ascii="Times New Roman" w:hAnsi="Times New Roman"/>
                <w:sz w:val="16"/>
                <w:szCs w:val="16"/>
              </w:rPr>
              <w:t>номінального</w:t>
            </w:r>
            <w:proofErr w:type="spellEnd"/>
            <w:r w:rsidR="008C26CD" w:rsidRPr="00E16672">
              <w:rPr>
                <w:rFonts w:ascii="Times New Roman" w:hAnsi="Times New Roman"/>
                <w:sz w:val="16"/>
                <w:szCs w:val="16"/>
              </w:rPr>
              <w:t xml:space="preserve"> </w:t>
            </w:r>
            <w:proofErr w:type="spellStart"/>
            <w:r w:rsidR="008C26CD" w:rsidRPr="00E16672">
              <w:rPr>
                <w:rFonts w:ascii="Times New Roman" w:hAnsi="Times New Roman"/>
                <w:sz w:val="16"/>
                <w:szCs w:val="16"/>
              </w:rPr>
              <w:t>утримувача</w:t>
            </w:r>
            <w:proofErr w:type="spellEnd"/>
            <w:r w:rsidR="008C26CD" w:rsidRPr="00E16672">
              <w:rPr>
                <w:rFonts w:ascii="Times New Roman" w:hAnsi="Times New Roman"/>
                <w:sz w:val="16"/>
                <w:szCs w:val="16"/>
              </w:rPr>
              <w:t xml:space="preserve"> не </w:t>
            </w:r>
            <w:proofErr w:type="spellStart"/>
            <w:r w:rsidR="008C26CD" w:rsidRPr="00E16672">
              <w:rPr>
                <w:rFonts w:ascii="Times New Roman" w:hAnsi="Times New Roman"/>
                <w:sz w:val="16"/>
                <w:szCs w:val="16"/>
              </w:rPr>
              <w:t>пізніше</w:t>
            </w:r>
            <w:proofErr w:type="spellEnd"/>
            <w:r w:rsidR="008C26CD" w:rsidRPr="00E16672">
              <w:rPr>
                <w:rFonts w:ascii="Times New Roman" w:hAnsi="Times New Roman"/>
                <w:sz w:val="16"/>
                <w:szCs w:val="16"/>
              </w:rPr>
              <w:t xml:space="preserve"> 3 </w:t>
            </w:r>
            <w:proofErr w:type="spellStart"/>
            <w:r w:rsidR="008C26CD" w:rsidRPr="00E16672">
              <w:rPr>
                <w:rFonts w:ascii="Times New Roman" w:hAnsi="Times New Roman"/>
                <w:sz w:val="16"/>
                <w:szCs w:val="16"/>
              </w:rPr>
              <w:t>робочих</w:t>
            </w:r>
            <w:proofErr w:type="spellEnd"/>
            <w:r w:rsidR="008C26CD" w:rsidRPr="00E16672">
              <w:rPr>
                <w:rFonts w:ascii="Times New Roman" w:hAnsi="Times New Roman"/>
                <w:sz w:val="16"/>
                <w:szCs w:val="16"/>
              </w:rPr>
              <w:t xml:space="preserve"> </w:t>
            </w:r>
            <w:proofErr w:type="spellStart"/>
            <w:r w:rsidR="008C26CD" w:rsidRPr="00E16672">
              <w:rPr>
                <w:rFonts w:ascii="Times New Roman" w:hAnsi="Times New Roman"/>
                <w:sz w:val="16"/>
                <w:szCs w:val="16"/>
              </w:rPr>
              <w:t>днів</w:t>
            </w:r>
            <w:proofErr w:type="spellEnd"/>
            <w:r w:rsidR="008C26CD" w:rsidRPr="00E16672">
              <w:rPr>
                <w:rFonts w:ascii="Times New Roman" w:hAnsi="Times New Roman"/>
                <w:sz w:val="16"/>
                <w:szCs w:val="16"/>
              </w:rPr>
              <w:t xml:space="preserve"> з дня </w:t>
            </w:r>
            <w:proofErr w:type="spellStart"/>
            <w:r w:rsidR="008C26CD" w:rsidRPr="00E16672">
              <w:rPr>
                <w:rFonts w:ascii="Times New Roman" w:hAnsi="Times New Roman"/>
                <w:sz w:val="16"/>
                <w:szCs w:val="16"/>
              </w:rPr>
              <w:t>його</w:t>
            </w:r>
            <w:proofErr w:type="spellEnd"/>
            <w:r w:rsidR="008C26CD" w:rsidRPr="00E16672">
              <w:rPr>
                <w:rFonts w:ascii="Times New Roman" w:hAnsi="Times New Roman"/>
                <w:sz w:val="16"/>
                <w:szCs w:val="16"/>
              </w:rPr>
              <w:t xml:space="preserve"> </w:t>
            </w:r>
            <w:proofErr w:type="spellStart"/>
            <w:r w:rsidR="008C26CD" w:rsidRPr="00E16672">
              <w:rPr>
                <w:rFonts w:ascii="Times New Roman" w:hAnsi="Times New Roman"/>
                <w:sz w:val="16"/>
                <w:szCs w:val="16"/>
              </w:rPr>
              <w:t>настання</w:t>
            </w:r>
            <w:proofErr w:type="spellEnd"/>
            <w:r w:rsidR="008C26CD" w:rsidRPr="00E16672">
              <w:rPr>
                <w:rFonts w:ascii="Times New Roman" w:hAnsi="Times New Roman"/>
                <w:sz w:val="16"/>
                <w:szCs w:val="16"/>
              </w:rPr>
              <w:t xml:space="preserve"> </w:t>
            </w:r>
            <w:proofErr w:type="spellStart"/>
            <w:r w:rsidR="008C26CD" w:rsidRPr="00E16672">
              <w:rPr>
                <w:rFonts w:ascii="Times New Roman" w:hAnsi="Times New Roman"/>
                <w:sz w:val="16"/>
                <w:szCs w:val="16"/>
              </w:rPr>
              <w:t>повідомити</w:t>
            </w:r>
            <w:proofErr w:type="spellEnd"/>
            <w:r w:rsidR="008C26CD" w:rsidRPr="00E16672">
              <w:rPr>
                <w:rFonts w:ascii="Times New Roman" w:hAnsi="Times New Roman"/>
                <w:sz w:val="16"/>
                <w:szCs w:val="16"/>
              </w:rPr>
              <w:t xml:space="preserve"> про </w:t>
            </w:r>
            <w:proofErr w:type="spellStart"/>
            <w:r w:rsidR="008C26CD" w:rsidRPr="00E16672">
              <w:rPr>
                <w:rFonts w:ascii="Times New Roman" w:hAnsi="Times New Roman"/>
                <w:sz w:val="16"/>
                <w:szCs w:val="16"/>
              </w:rPr>
              <w:t>це</w:t>
            </w:r>
            <w:proofErr w:type="spellEnd"/>
            <w:r w:rsidR="008C26CD" w:rsidRPr="00E16672">
              <w:rPr>
                <w:rFonts w:ascii="Times New Roman" w:hAnsi="Times New Roman"/>
                <w:sz w:val="16"/>
                <w:szCs w:val="16"/>
              </w:rPr>
              <w:t xml:space="preserve"> </w:t>
            </w:r>
            <w:proofErr w:type="spellStart"/>
            <w:r w:rsidR="008C26CD" w:rsidRPr="00E16672">
              <w:rPr>
                <w:rFonts w:ascii="Times New Roman" w:hAnsi="Times New Roman"/>
                <w:sz w:val="16"/>
                <w:szCs w:val="16"/>
              </w:rPr>
              <w:t>депозитарну</w:t>
            </w:r>
            <w:proofErr w:type="spellEnd"/>
            <w:r w:rsidR="008C26CD" w:rsidRPr="00E16672">
              <w:rPr>
                <w:rFonts w:ascii="Times New Roman" w:hAnsi="Times New Roman"/>
                <w:sz w:val="16"/>
                <w:szCs w:val="16"/>
              </w:rPr>
              <w:t xml:space="preserve"> </w:t>
            </w:r>
            <w:proofErr w:type="spellStart"/>
            <w:r w:rsidR="008C26CD" w:rsidRPr="00E16672">
              <w:rPr>
                <w:rFonts w:ascii="Times New Roman" w:hAnsi="Times New Roman"/>
                <w:sz w:val="16"/>
                <w:szCs w:val="16"/>
              </w:rPr>
              <w:t>установу</w:t>
            </w:r>
            <w:proofErr w:type="spellEnd"/>
            <w:r w:rsidR="008C26CD" w:rsidRPr="00E16672">
              <w:rPr>
                <w:rFonts w:ascii="Times New Roman" w:hAnsi="Times New Roman"/>
                <w:sz w:val="16"/>
                <w:szCs w:val="16"/>
              </w:rPr>
              <w:t xml:space="preserve"> та </w:t>
            </w:r>
            <w:proofErr w:type="spellStart"/>
            <w:r w:rsidR="008C26CD" w:rsidRPr="00E16672">
              <w:rPr>
                <w:rFonts w:ascii="Times New Roman" w:hAnsi="Times New Roman"/>
                <w:sz w:val="16"/>
                <w:szCs w:val="16"/>
              </w:rPr>
              <w:t>протягом</w:t>
            </w:r>
            <w:proofErr w:type="spellEnd"/>
            <w:r w:rsidR="008C26CD" w:rsidRPr="00E16672">
              <w:rPr>
                <w:rFonts w:ascii="Times New Roman" w:hAnsi="Times New Roman"/>
                <w:sz w:val="16"/>
                <w:szCs w:val="16"/>
              </w:rPr>
              <w:t xml:space="preserve"> 90 </w:t>
            </w:r>
            <w:proofErr w:type="spellStart"/>
            <w:r w:rsidR="008C26CD" w:rsidRPr="00E16672">
              <w:rPr>
                <w:rFonts w:ascii="Times New Roman" w:hAnsi="Times New Roman"/>
                <w:sz w:val="16"/>
                <w:szCs w:val="16"/>
              </w:rPr>
              <w:t>календарних</w:t>
            </w:r>
            <w:proofErr w:type="spellEnd"/>
            <w:r w:rsidR="008C26CD" w:rsidRPr="00E16672">
              <w:rPr>
                <w:rFonts w:ascii="Times New Roman" w:hAnsi="Times New Roman"/>
                <w:sz w:val="16"/>
                <w:szCs w:val="16"/>
              </w:rPr>
              <w:t xml:space="preserve"> </w:t>
            </w:r>
            <w:proofErr w:type="spellStart"/>
            <w:r w:rsidR="008C26CD" w:rsidRPr="00E16672">
              <w:rPr>
                <w:rFonts w:ascii="Times New Roman" w:hAnsi="Times New Roman"/>
                <w:sz w:val="16"/>
                <w:szCs w:val="16"/>
              </w:rPr>
              <w:t>днів</w:t>
            </w:r>
            <w:proofErr w:type="spellEnd"/>
            <w:r w:rsidR="008C26CD" w:rsidRPr="00E16672">
              <w:rPr>
                <w:rFonts w:ascii="Times New Roman" w:hAnsi="Times New Roman"/>
                <w:sz w:val="16"/>
                <w:szCs w:val="16"/>
              </w:rPr>
              <w:t xml:space="preserve"> </w:t>
            </w:r>
            <w:proofErr w:type="spellStart"/>
            <w:r w:rsidR="008C26CD" w:rsidRPr="00E16672">
              <w:rPr>
                <w:rFonts w:ascii="Times New Roman" w:hAnsi="Times New Roman"/>
                <w:sz w:val="16"/>
                <w:szCs w:val="16"/>
              </w:rPr>
              <w:t>вчинити</w:t>
            </w:r>
            <w:proofErr w:type="spellEnd"/>
            <w:r w:rsidR="008C26CD" w:rsidRPr="00E16672">
              <w:rPr>
                <w:rFonts w:ascii="Times New Roman" w:hAnsi="Times New Roman"/>
                <w:sz w:val="16"/>
                <w:szCs w:val="16"/>
              </w:rPr>
              <w:t xml:space="preserve"> </w:t>
            </w:r>
            <w:proofErr w:type="spellStart"/>
            <w:r w:rsidR="008C26CD" w:rsidRPr="00E16672">
              <w:rPr>
                <w:rFonts w:ascii="Times New Roman" w:hAnsi="Times New Roman"/>
                <w:sz w:val="16"/>
                <w:szCs w:val="16"/>
              </w:rPr>
              <w:t>дії</w:t>
            </w:r>
            <w:proofErr w:type="spellEnd"/>
            <w:r w:rsidR="008C26CD" w:rsidRPr="00E16672">
              <w:rPr>
                <w:rFonts w:ascii="Times New Roman" w:hAnsi="Times New Roman"/>
                <w:sz w:val="16"/>
                <w:szCs w:val="16"/>
              </w:rPr>
              <w:t xml:space="preserve"> </w:t>
            </w:r>
            <w:proofErr w:type="spellStart"/>
            <w:r w:rsidR="008C26CD" w:rsidRPr="00E16672">
              <w:rPr>
                <w:rFonts w:ascii="Times New Roman" w:hAnsi="Times New Roman"/>
                <w:sz w:val="16"/>
                <w:szCs w:val="16"/>
              </w:rPr>
              <w:t>щодо</w:t>
            </w:r>
            <w:proofErr w:type="spellEnd"/>
            <w:r w:rsidR="008C26CD" w:rsidRPr="00E16672">
              <w:rPr>
                <w:rFonts w:ascii="Times New Roman" w:hAnsi="Times New Roman"/>
                <w:sz w:val="16"/>
                <w:szCs w:val="16"/>
              </w:rPr>
              <w:t xml:space="preserve"> </w:t>
            </w:r>
            <w:proofErr w:type="spellStart"/>
            <w:r w:rsidR="008C26CD" w:rsidRPr="00E16672">
              <w:rPr>
                <w:rFonts w:ascii="Times New Roman" w:hAnsi="Times New Roman"/>
                <w:sz w:val="16"/>
                <w:szCs w:val="16"/>
              </w:rPr>
              <w:t>його</w:t>
            </w:r>
            <w:proofErr w:type="spellEnd"/>
            <w:r w:rsidR="008C26CD" w:rsidRPr="00E16672">
              <w:rPr>
                <w:rFonts w:ascii="Times New Roman" w:hAnsi="Times New Roman"/>
                <w:sz w:val="16"/>
                <w:szCs w:val="16"/>
              </w:rPr>
              <w:t xml:space="preserve"> </w:t>
            </w:r>
            <w:proofErr w:type="spellStart"/>
            <w:r w:rsidR="008C26CD" w:rsidRPr="00E16672">
              <w:rPr>
                <w:rFonts w:ascii="Times New Roman" w:hAnsi="Times New Roman"/>
                <w:sz w:val="16"/>
                <w:szCs w:val="16"/>
              </w:rPr>
              <w:t>усунення</w:t>
            </w:r>
            <w:proofErr w:type="spellEnd"/>
            <w:r w:rsidR="008C26CD" w:rsidRPr="00E16672">
              <w:rPr>
                <w:rFonts w:ascii="Times New Roman" w:hAnsi="Times New Roman"/>
                <w:sz w:val="16"/>
                <w:szCs w:val="16"/>
              </w:rPr>
              <w:t xml:space="preserve"> </w:t>
            </w:r>
            <w:proofErr w:type="spellStart"/>
            <w:r w:rsidR="008C26CD" w:rsidRPr="00E16672">
              <w:rPr>
                <w:rFonts w:ascii="Times New Roman" w:hAnsi="Times New Roman"/>
                <w:sz w:val="16"/>
                <w:szCs w:val="16"/>
              </w:rPr>
              <w:t>або</w:t>
            </w:r>
            <w:proofErr w:type="spellEnd"/>
            <w:r w:rsidR="008C26CD" w:rsidRPr="00E16672">
              <w:rPr>
                <w:rFonts w:ascii="Times New Roman" w:hAnsi="Times New Roman"/>
                <w:sz w:val="16"/>
                <w:szCs w:val="16"/>
              </w:rPr>
              <w:t xml:space="preserve"> </w:t>
            </w:r>
            <w:proofErr w:type="spellStart"/>
            <w:r w:rsidR="008C26CD" w:rsidRPr="00E16672">
              <w:rPr>
                <w:rFonts w:ascii="Times New Roman" w:hAnsi="Times New Roman"/>
                <w:sz w:val="16"/>
                <w:szCs w:val="16"/>
              </w:rPr>
              <w:t>здійснити</w:t>
            </w:r>
            <w:proofErr w:type="spellEnd"/>
            <w:r w:rsidR="008C26CD" w:rsidRPr="00E16672">
              <w:rPr>
                <w:rFonts w:ascii="Times New Roman" w:hAnsi="Times New Roman"/>
                <w:sz w:val="16"/>
                <w:szCs w:val="16"/>
              </w:rPr>
              <w:t xml:space="preserve"> </w:t>
            </w:r>
            <w:proofErr w:type="spellStart"/>
            <w:r w:rsidR="008C26CD" w:rsidRPr="00E16672">
              <w:rPr>
                <w:rFonts w:ascii="Times New Roman" w:hAnsi="Times New Roman"/>
                <w:sz w:val="16"/>
                <w:szCs w:val="16"/>
              </w:rPr>
              <w:t>закриття</w:t>
            </w:r>
            <w:proofErr w:type="spellEnd"/>
            <w:r w:rsidR="008C26CD" w:rsidRPr="00E16672">
              <w:rPr>
                <w:rFonts w:ascii="Times New Roman" w:hAnsi="Times New Roman"/>
                <w:sz w:val="16"/>
                <w:szCs w:val="16"/>
              </w:rPr>
              <w:t xml:space="preserve"> </w:t>
            </w:r>
            <w:proofErr w:type="spellStart"/>
            <w:r w:rsidR="008C26CD" w:rsidRPr="00E16672">
              <w:rPr>
                <w:rFonts w:ascii="Times New Roman" w:hAnsi="Times New Roman"/>
                <w:sz w:val="16"/>
                <w:szCs w:val="16"/>
              </w:rPr>
              <w:t>свого</w:t>
            </w:r>
            <w:proofErr w:type="spellEnd"/>
            <w:r w:rsidR="008C26CD" w:rsidRPr="00E16672">
              <w:rPr>
                <w:rFonts w:ascii="Times New Roman" w:hAnsi="Times New Roman"/>
                <w:sz w:val="16"/>
                <w:szCs w:val="16"/>
              </w:rPr>
              <w:t xml:space="preserve"> </w:t>
            </w:r>
            <w:proofErr w:type="spellStart"/>
            <w:r w:rsidR="008C26CD" w:rsidRPr="00E16672">
              <w:rPr>
                <w:rFonts w:ascii="Times New Roman" w:hAnsi="Times New Roman"/>
                <w:sz w:val="16"/>
                <w:szCs w:val="16"/>
              </w:rPr>
              <w:t>рахунку</w:t>
            </w:r>
            <w:proofErr w:type="spellEnd"/>
            <w:r w:rsidR="008C26CD" w:rsidRPr="00E16672">
              <w:rPr>
                <w:rFonts w:ascii="Times New Roman" w:hAnsi="Times New Roman"/>
                <w:sz w:val="16"/>
                <w:szCs w:val="16"/>
              </w:rPr>
              <w:t xml:space="preserve"> (</w:t>
            </w:r>
            <w:proofErr w:type="spellStart"/>
            <w:r w:rsidR="008C26CD" w:rsidRPr="00E16672">
              <w:rPr>
                <w:rFonts w:ascii="Times New Roman" w:hAnsi="Times New Roman"/>
                <w:sz w:val="16"/>
                <w:szCs w:val="16"/>
              </w:rPr>
              <w:t>рахунків</w:t>
            </w:r>
            <w:proofErr w:type="spellEnd"/>
            <w:r w:rsidR="008C26CD" w:rsidRPr="00E16672">
              <w:rPr>
                <w:rFonts w:ascii="Times New Roman" w:hAnsi="Times New Roman"/>
                <w:sz w:val="16"/>
                <w:szCs w:val="16"/>
              </w:rPr>
              <w:t>)</w:t>
            </w:r>
            <w:r w:rsidRPr="00E16672">
              <w:rPr>
                <w:rFonts w:ascii="Times New Roman" w:hAnsi="Times New Roman"/>
                <w:sz w:val="16"/>
                <w:szCs w:val="16"/>
                <w:lang w:val="uk-UA"/>
              </w:rPr>
              <w:t>.</w:t>
            </w:r>
          </w:p>
          <w:p w14:paraId="2585FCE5" w14:textId="77777777" w:rsidR="00345B61" w:rsidRPr="00E16672" w:rsidRDefault="00345B61" w:rsidP="001456E9">
            <w:pPr>
              <w:ind w:left="172" w:firstLine="0"/>
              <w:rPr>
                <w:rFonts w:ascii="Times New Roman" w:hAnsi="Times New Roman"/>
                <w:sz w:val="16"/>
                <w:szCs w:val="16"/>
              </w:rPr>
            </w:pPr>
          </w:p>
          <w:p w14:paraId="2043A4E6" w14:textId="77777777" w:rsidR="008C26CD" w:rsidRPr="00E16672" w:rsidRDefault="00345B61" w:rsidP="001456E9">
            <w:pPr>
              <w:ind w:left="172" w:firstLine="0"/>
              <w:rPr>
                <w:rFonts w:ascii="Times New Roman" w:hAnsi="Times New Roman"/>
                <w:sz w:val="16"/>
                <w:szCs w:val="16"/>
                <w:lang w:val="uk-UA"/>
              </w:rPr>
            </w:pPr>
            <w:r w:rsidRPr="00E16672">
              <w:rPr>
                <w:rFonts w:ascii="Times New Roman" w:hAnsi="Times New Roman"/>
                <w:sz w:val="16"/>
                <w:szCs w:val="16"/>
                <w:lang w:val="uk-UA"/>
              </w:rPr>
              <w:t>2.3.9. В</w:t>
            </w:r>
            <w:proofErr w:type="spellStart"/>
            <w:r w:rsidR="008C26CD" w:rsidRPr="00E16672">
              <w:rPr>
                <w:rFonts w:ascii="Times New Roman" w:hAnsi="Times New Roman"/>
                <w:sz w:val="16"/>
                <w:szCs w:val="16"/>
              </w:rPr>
              <w:t>становлювати</w:t>
            </w:r>
            <w:proofErr w:type="spellEnd"/>
            <w:r w:rsidR="008C26CD" w:rsidRPr="00E16672">
              <w:rPr>
                <w:rFonts w:ascii="Times New Roman" w:hAnsi="Times New Roman"/>
                <w:sz w:val="16"/>
                <w:szCs w:val="16"/>
              </w:rPr>
              <w:t xml:space="preserve"> </w:t>
            </w:r>
            <w:proofErr w:type="spellStart"/>
            <w:r w:rsidR="008C26CD" w:rsidRPr="00E16672">
              <w:rPr>
                <w:rFonts w:ascii="Times New Roman" w:hAnsi="Times New Roman"/>
                <w:sz w:val="16"/>
                <w:szCs w:val="16"/>
              </w:rPr>
              <w:t>обмеження</w:t>
            </w:r>
            <w:proofErr w:type="spellEnd"/>
            <w:r w:rsidR="008C26CD" w:rsidRPr="00E16672">
              <w:rPr>
                <w:rFonts w:ascii="Times New Roman" w:hAnsi="Times New Roman"/>
                <w:sz w:val="16"/>
                <w:szCs w:val="16"/>
              </w:rPr>
              <w:t xml:space="preserve"> </w:t>
            </w:r>
            <w:proofErr w:type="spellStart"/>
            <w:r w:rsidR="008C26CD" w:rsidRPr="00E16672">
              <w:rPr>
                <w:rFonts w:ascii="Times New Roman" w:hAnsi="Times New Roman"/>
                <w:sz w:val="16"/>
                <w:szCs w:val="16"/>
              </w:rPr>
              <w:t>щодо</w:t>
            </w:r>
            <w:proofErr w:type="spellEnd"/>
            <w:r w:rsidR="008C26CD" w:rsidRPr="00E16672">
              <w:rPr>
                <w:rFonts w:ascii="Times New Roman" w:hAnsi="Times New Roman"/>
                <w:sz w:val="16"/>
                <w:szCs w:val="16"/>
              </w:rPr>
              <w:t xml:space="preserve"> </w:t>
            </w:r>
            <w:proofErr w:type="spellStart"/>
            <w:r w:rsidR="008C26CD" w:rsidRPr="00E16672">
              <w:rPr>
                <w:rFonts w:ascii="Times New Roman" w:hAnsi="Times New Roman"/>
                <w:sz w:val="16"/>
                <w:szCs w:val="16"/>
              </w:rPr>
              <w:t>цінних</w:t>
            </w:r>
            <w:proofErr w:type="spellEnd"/>
            <w:r w:rsidR="008C26CD" w:rsidRPr="00E16672">
              <w:rPr>
                <w:rFonts w:ascii="Times New Roman" w:hAnsi="Times New Roman"/>
                <w:sz w:val="16"/>
                <w:szCs w:val="16"/>
              </w:rPr>
              <w:t xml:space="preserve"> </w:t>
            </w:r>
            <w:proofErr w:type="spellStart"/>
            <w:r w:rsidR="008C26CD" w:rsidRPr="00E16672">
              <w:rPr>
                <w:rFonts w:ascii="Times New Roman" w:hAnsi="Times New Roman"/>
                <w:sz w:val="16"/>
                <w:szCs w:val="16"/>
              </w:rPr>
              <w:t>паперів</w:t>
            </w:r>
            <w:proofErr w:type="spellEnd"/>
            <w:r w:rsidR="008C26CD" w:rsidRPr="00E16672">
              <w:rPr>
                <w:rFonts w:ascii="Times New Roman" w:hAnsi="Times New Roman"/>
                <w:sz w:val="16"/>
                <w:szCs w:val="16"/>
              </w:rPr>
              <w:t xml:space="preserve"> </w:t>
            </w:r>
            <w:proofErr w:type="spellStart"/>
            <w:r w:rsidR="008C26CD" w:rsidRPr="00E16672">
              <w:rPr>
                <w:rFonts w:ascii="Times New Roman" w:hAnsi="Times New Roman"/>
                <w:sz w:val="16"/>
                <w:szCs w:val="16"/>
              </w:rPr>
              <w:t>власника</w:t>
            </w:r>
            <w:proofErr w:type="spellEnd"/>
            <w:r w:rsidR="008C26CD" w:rsidRPr="00E16672">
              <w:rPr>
                <w:rFonts w:ascii="Times New Roman" w:hAnsi="Times New Roman"/>
                <w:sz w:val="16"/>
                <w:szCs w:val="16"/>
              </w:rPr>
              <w:t xml:space="preserve">, права на </w:t>
            </w:r>
            <w:proofErr w:type="spellStart"/>
            <w:r w:rsidR="008C26CD" w:rsidRPr="00E16672">
              <w:rPr>
                <w:rFonts w:ascii="Times New Roman" w:hAnsi="Times New Roman"/>
                <w:sz w:val="16"/>
                <w:szCs w:val="16"/>
              </w:rPr>
              <w:t>які</w:t>
            </w:r>
            <w:proofErr w:type="spellEnd"/>
            <w:r w:rsidR="008C26CD" w:rsidRPr="00E16672">
              <w:rPr>
                <w:rFonts w:ascii="Times New Roman" w:hAnsi="Times New Roman"/>
                <w:sz w:val="16"/>
                <w:szCs w:val="16"/>
              </w:rPr>
              <w:t xml:space="preserve"> та </w:t>
            </w:r>
            <w:r w:rsidR="008C26CD" w:rsidRPr="00E16672">
              <w:rPr>
                <w:rFonts w:ascii="Times New Roman" w:hAnsi="Times New Roman"/>
                <w:sz w:val="16"/>
                <w:szCs w:val="16"/>
              </w:rPr>
              <w:lastRenderedPageBreak/>
              <w:t xml:space="preserve">права за </w:t>
            </w:r>
            <w:proofErr w:type="spellStart"/>
            <w:r w:rsidR="008C26CD" w:rsidRPr="00E16672">
              <w:rPr>
                <w:rFonts w:ascii="Times New Roman" w:hAnsi="Times New Roman"/>
                <w:sz w:val="16"/>
                <w:szCs w:val="16"/>
              </w:rPr>
              <w:t>якими</w:t>
            </w:r>
            <w:proofErr w:type="spellEnd"/>
            <w:r w:rsidR="008C26CD" w:rsidRPr="00E16672">
              <w:rPr>
                <w:rFonts w:ascii="Times New Roman" w:hAnsi="Times New Roman"/>
                <w:sz w:val="16"/>
                <w:szCs w:val="16"/>
              </w:rPr>
              <w:t xml:space="preserve"> </w:t>
            </w:r>
            <w:proofErr w:type="spellStart"/>
            <w:r w:rsidR="008C26CD" w:rsidRPr="00E16672">
              <w:rPr>
                <w:rFonts w:ascii="Times New Roman" w:hAnsi="Times New Roman"/>
                <w:sz w:val="16"/>
                <w:szCs w:val="16"/>
              </w:rPr>
              <w:t>обліковуються</w:t>
            </w:r>
            <w:proofErr w:type="spellEnd"/>
            <w:r w:rsidR="008C26CD" w:rsidRPr="00E16672">
              <w:rPr>
                <w:rFonts w:ascii="Times New Roman" w:hAnsi="Times New Roman"/>
                <w:sz w:val="16"/>
                <w:szCs w:val="16"/>
              </w:rPr>
              <w:t xml:space="preserve"> на </w:t>
            </w:r>
            <w:proofErr w:type="spellStart"/>
            <w:r w:rsidR="008C26CD" w:rsidRPr="00E16672">
              <w:rPr>
                <w:rFonts w:ascii="Times New Roman" w:hAnsi="Times New Roman"/>
                <w:sz w:val="16"/>
                <w:szCs w:val="16"/>
              </w:rPr>
              <w:t>рахунку</w:t>
            </w:r>
            <w:proofErr w:type="spellEnd"/>
            <w:r w:rsidR="008C26CD" w:rsidRPr="00E16672">
              <w:rPr>
                <w:rFonts w:ascii="Times New Roman" w:hAnsi="Times New Roman"/>
                <w:sz w:val="16"/>
                <w:szCs w:val="16"/>
              </w:rPr>
              <w:t xml:space="preserve"> (</w:t>
            </w:r>
            <w:proofErr w:type="spellStart"/>
            <w:r w:rsidR="008C26CD" w:rsidRPr="00E16672">
              <w:rPr>
                <w:rFonts w:ascii="Times New Roman" w:hAnsi="Times New Roman"/>
                <w:sz w:val="16"/>
                <w:szCs w:val="16"/>
              </w:rPr>
              <w:t>рахунках</w:t>
            </w:r>
            <w:proofErr w:type="spellEnd"/>
            <w:r w:rsidR="008C26CD" w:rsidRPr="00E16672">
              <w:rPr>
                <w:rFonts w:ascii="Times New Roman" w:hAnsi="Times New Roman"/>
                <w:sz w:val="16"/>
                <w:szCs w:val="16"/>
              </w:rPr>
              <w:t xml:space="preserve">) в </w:t>
            </w:r>
            <w:proofErr w:type="spellStart"/>
            <w:r w:rsidR="008C26CD" w:rsidRPr="00E16672">
              <w:rPr>
                <w:rFonts w:ascii="Times New Roman" w:hAnsi="Times New Roman"/>
                <w:sz w:val="16"/>
                <w:szCs w:val="16"/>
              </w:rPr>
              <w:t>цінних</w:t>
            </w:r>
            <w:proofErr w:type="spellEnd"/>
            <w:r w:rsidR="008C26CD" w:rsidRPr="00E16672">
              <w:rPr>
                <w:rFonts w:ascii="Times New Roman" w:hAnsi="Times New Roman"/>
                <w:sz w:val="16"/>
                <w:szCs w:val="16"/>
              </w:rPr>
              <w:t xml:space="preserve"> </w:t>
            </w:r>
            <w:proofErr w:type="spellStart"/>
            <w:r w:rsidR="008C26CD" w:rsidRPr="00E16672">
              <w:rPr>
                <w:rFonts w:ascii="Times New Roman" w:hAnsi="Times New Roman"/>
                <w:sz w:val="16"/>
                <w:szCs w:val="16"/>
              </w:rPr>
              <w:t>паперах</w:t>
            </w:r>
            <w:proofErr w:type="spellEnd"/>
            <w:r w:rsidR="008C26CD" w:rsidRPr="00E16672">
              <w:rPr>
                <w:rFonts w:ascii="Times New Roman" w:hAnsi="Times New Roman"/>
                <w:sz w:val="16"/>
                <w:szCs w:val="16"/>
              </w:rPr>
              <w:t xml:space="preserve"> </w:t>
            </w:r>
            <w:proofErr w:type="spellStart"/>
            <w:r w:rsidR="008C26CD" w:rsidRPr="00E16672">
              <w:rPr>
                <w:rFonts w:ascii="Times New Roman" w:hAnsi="Times New Roman"/>
                <w:sz w:val="16"/>
                <w:szCs w:val="16"/>
              </w:rPr>
              <w:t>номінального</w:t>
            </w:r>
            <w:proofErr w:type="spellEnd"/>
            <w:r w:rsidR="008C26CD" w:rsidRPr="00E16672">
              <w:rPr>
                <w:rFonts w:ascii="Times New Roman" w:hAnsi="Times New Roman"/>
                <w:sz w:val="16"/>
                <w:szCs w:val="16"/>
              </w:rPr>
              <w:t xml:space="preserve"> </w:t>
            </w:r>
            <w:proofErr w:type="spellStart"/>
            <w:r w:rsidR="008C26CD" w:rsidRPr="00E16672">
              <w:rPr>
                <w:rFonts w:ascii="Times New Roman" w:hAnsi="Times New Roman"/>
                <w:sz w:val="16"/>
                <w:szCs w:val="16"/>
              </w:rPr>
              <w:t>утримувача</w:t>
            </w:r>
            <w:proofErr w:type="spellEnd"/>
            <w:r w:rsidR="008C26CD" w:rsidRPr="00E16672">
              <w:rPr>
                <w:rFonts w:ascii="Times New Roman" w:hAnsi="Times New Roman"/>
                <w:sz w:val="16"/>
                <w:szCs w:val="16"/>
              </w:rPr>
              <w:t xml:space="preserve">, на </w:t>
            </w:r>
            <w:proofErr w:type="spellStart"/>
            <w:r w:rsidR="008C26CD" w:rsidRPr="00E16672">
              <w:rPr>
                <w:rFonts w:ascii="Times New Roman" w:hAnsi="Times New Roman"/>
                <w:sz w:val="16"/>
                <w:szCs w:val="16"/>
              </w:rPr>
              <w:t>підставі</w:t>
            </w:r>
            <w:proofErr w:type="spellEnd"/>
            <w:r w:rsidR="008C26CD" w:rsidRPr="00E16672">
              <w:rPr>
                <w:rFonts w:ascii="Times New Roman" w:hAnsi="Times New Roman"/>
                <w:sz w:val="16"/>
                <w:szCs w:val="16"/>
              </w:rPr>
              <w:t xml:space="preserve"> </w:t>
            </w:r>
            <w:proofErr w:type="spellStart"/>
            <w:r w:rsidR="008C26CD" w:rsidRPr="00E16672">
              <w:rPr>
                <w:rFonts w:ascii="Times New Roman" w:hAnsi="Times New Roman"/>
                <w:sz w:val="16"/>
                <w:szCs w:val="16"/>
              </w:rPr>
              <w:t>отриманих</w:t>
            </w:r>
            <w:proofErr w:type="spellEnd"/>
            <w:r w:rsidR="008C26CD" w:rsidRPr="00E16672">
              <w:rPr>
                <w:rFonts w:ascii="Times New Roman" w:hAnsi="Times New Roman"/>
                <w:sz w:val="16"/>
                <w:szCs w:val="16"/>
              </w:rPr>
              <w:t xml:space="preserve"> </w:t>
            </w:r>
            <w:proofErr w:type="spellStart"/>
            <w:r w:rsidR="008C26CD" w:rsidRPr="00E16672">
              <w:rPr>
                <w:rFonts w:ascii="Times New Roman" w:hAnsi="Times New Roman"/>
                <w:sz w:val="16"/>
                <w:szCs w:val="16"/>
              </w:rPr>
              <w:t>від</w:t>
            </w:r>
            <w:proofErr w:type="spellEnd"/>
            <w:r w:rsidR="008C26CD" w:rsidRPr="00E16672">
              <w:rPr>
                <w:rFonts w:ascii="Times New Roman" w:hAnsi="Times New Roman"/>
                <w:sz w:val="16"/>
                <w:szCs w:val="16"/>
              </w:rPr>
              <w:t xml:space="preserve"> </w:t>
            </w:r>
            <w:proofErr w:type="spellStart"/>
            <w:r w:rsidR="008C26CD" w:rsidRPr="00E16672">
              <w:rPr>
                <w:rFonts w:ascii="Times New Roman" w:hAnsi="Times New Roman"/>
                <w:sz w:val="16"/>
                <w:szCs w:val="16"/>
              </w:rPr>
              <w:t>депозитарної</w:t>
            </w:r>
            <w:proofErr w:type="spellEnd"/>
            <w:r w:rsidR="008C26CD" w:rsidRPr="00E16672">
              <w:rPr>
                <w:rFonts w:ascii="Times New Roman" w:hAnsi="Times New Roman"/>
                <w:sz w:val="16"/>
                <w:szCs w:val="16"/>
              </w:rPr>
              <w:t xml:space="preserve"> установи </w:t>
            </w:r>
            <w:proofErr w:type="spellStart"/>
            <w:r w:rsidR="008C26CD" w:rsidRPr="00E16672">
              <w:rPr>
                <w:rFonts w:ascii="Times New Roman" w:hAnsi="Times New Roman"/>
                <w:sz w:val="16"/>
                <w:szCs w:val="16"/>
              </w:rPr>
              <w:t>підтвердних</w:t>
            </w:r>
            <w:proofErr w:type="spellEnd"/>
            <w:r w:rsidR="008C26CD" w:rsidRPr="00E16672">
              <w:rPr>
                <w:rFonts w:ascii="Times New Roman" w:hAnsi="Times New Roman"/>
                <w:sz w:val="16"/>
                <w:szCs w:val="16"/>
              </w:rPr>
              <w:t xml:space="preserve"> </w:t>
            </w:r>
            <w:proofErr w:type="spellStart"/>
            <w:r w:rsidR="008C26CD" w:rsidRPr="00E16672">
              <w:rPr>
                <w:rFonts w:ascii="Times New Roman" w:hAnsi="Times New Roman"/>
                <w:sz w:val="16"/>
                <w:szCs w:val="16"/>
              </w:rPr>
              <w:t>документів</w:t>
            </w:r>
            <w:proofErr w:type="spellEnd"/>
            <w:r w:rsidRPr="00E16672">
              <w:rPr>
                <w:rFonts w:ascii="Times New Roman" w:hAnsi="Times New Roman"/>
                <w:sz w:val="16"/>
                <w:szCs w:val="16"/>
                <w:lang w:val="uk-UA"/>
              </w:rPr>
              <w:t>.</w:t>
            </w:r>
          </w:p>
          <w:p w14:paraId="5E19DEE0" w14:textId="77777777" w:rsidR="00345B61" w:rsidRPr="00E16672" w:rsidRDefault="00345B61" w:rsidP="001456E9">
            <w:pPr>
              <w:ind w:left="172" w:firstLine="0"/>
              <w:rPr>
                <w:rFonts w:ascii="Times New Roman" w:hAnsi="Times New Roman"/>
                <w:sz w:val="16"/>
                <w:szCs w:val="16"/>
                <w:lang w:val="uk-UA"/>
              </w:rPr>
            </w:pPr>
          </w:p>
          <w:p w14:paraId="2188109E" w14:textId="77777777" w:rsidR="008C26CD" w:rsidRPr="00E16672" w:rsidRDefault="00345B61" w:rsidP="001456E9">
            <w:pPr>
              <w:ind w:left="172" w:firstLine="0"/>
              <w:rPr>
                <w:rFonts w:ascii="Times New Roman" w:hAnsi="Times New Roman"/>
                <w:sz w:val="16"/>
                <w:szCs w:val="16"/>
                <w:lang w:val="uk-UA"/>
              </w:rPr>
            </w:pPr>
            <w:r w:rsidRPr="00E16672">
              <w:rPr>
                <w:rFonts w:ascii="Times New Roman" w:hAnsi="Times New Roman"/>
                <w:sz w:val="16"/>
                <w:szCs w:val="16"/>
                <w:lang w:val="uk-UA"/>
              </w:rPr>
              <w:t>2.3.10. П</w:t>
            </w:r>
            <w:r w:rsidR="008C26CD" w:rsidRPr="00E16672">
              <w:rPr>
                <w:rFonts w:ascii="Times New Roman" w:hAnsi="Times New Roman"/>
                <w:sz w:val="16"/>
                <w:szCs w:val="16"/>
                <w:lang w:val="uk-UA"/>
              </w:rPr>
              <w:t xml:space="preserve">ротягом 60 календарних днів з дати початку депозитарною установою процедури припинення нею провадження професійної діяльності на фондовому ринку - депозитарної діяльності депозитарної установи відповідно до вимог нормативно-правового </w:t>
            </w:r>
            <w:proofErr w:type="spellStart"/>
            <w:r w:rsidR="008C26CD" w:rsidRPr="00E16672">
              <w:rPr>
                <w:rFonts w:ascii="Times New Roman" w:hAnsi="Times New Roman"/>
                <w:sz w:val="16"/>
                <w:szCs w:val="16"/>
                <w:lang w:val="uk-UA"/>
              </w:rPr>
              <w:t>акта</w:t>
            </w:r>
            <w:proofErr w:type="spellEnd"/>
            <w:r w:rsidR="008C26CD" w:rsidRPr="00E16672">
              <w:rPr>
                <w:rFonts w:ascii="Times New Roman" w:hAnsi="Times New Roman"/>
                <w:sz w:val="16"/>
                <w:szCs w:val="16"/>
                <w:lang w:val="uk-UA"/>
              </w:rPr>
              <w:t xml:space="preserve"> щодо припинення депозитарної діяльності депозитарної установи здійснити всі необхідні дії щодо закриття рахунку (рахунків) в цінних паперах</w:t>
            </w:r>
            <w:r w:rsidR="00C60D12" w:rsidRPr="00E16672">
              <w:rPr>
                <w:rFonts w:ascii="Times New Roman" w:hAnsi="Times New Roman"/>
                <w:sz w:val="16"/>
                <w:szCs w:val="16"/>
                <w:lang w:val="uk-UA"/>
              </w:rPr>
              <w:t>.</w:t>
            </w:r>
          </w:p>
          <w:p w14:paraId="7BF23DAF" w14:textId="77777777" w:rsidR="00174DA4" w:rsidRPr="00E16672" w:rsidRDefault="00174DA4" w:rsidP="001456E9">
            <w:pPr>
              <w:ind w:left="172" w:firstLine="0"/>
              <w:rPr>
                <w:rFonts w:ascii="Times New Roman" w:hAnsi="Times New Roman"/>
                <w:sz w:val="16"/>
                <w:szCs w:val="16"/>
                <w:lang w:val="uk-UA"/>
              </w:rPr>
            </w:pPr>
          </w:p>
          <w:p w14:paraId="17355CEF" w14:textId="77777777" w:rsidR="00174DA4" w:rsidRPr="00E16672" w:rsidRDefault="00174DA4" w:rsidP="000D0438">
            <w:pPr>
              <w:pStyle w:val="aff5"/>
              <w:numPr>
                <w:ilvl w:val="2"/>
                <w:numId w:val="20"/>
              </w:numPr>
              <w:ind w:left="172" w:firstLine="0"/>
              <w:rPr>
                <w:rFonts w:ascii="Times New Roman" w:hAnsi="Times New Roman"/>
                <w:sz w:val="16"/>
                <w:szCs w:val="16"/>
                <w:lang w:val="uk-UA"/>
              </w:rPr>
            </w:pPr>
            <w:r w:rsidRPr="00E16672">
              <w:rPr>
                <w:rFonts w:ascii="Times New Roman" w:hAnsi="Times New Roman"/>
                <w:sz w:val="16"/>
                <w:szCs w:val="16"/>
                <w:lang w:val="uk-UA"/>
              </w:rPr>
              <w:t>Н</w:t>
            </w:r>
            <w:proofErr w:type="spellStart"/>
            <w:r w:rsidRPr="00E16672">
              <w:rPr>
                <w:rFonts w:ascii="Times New Roman" w:hAnsi="Times New Roman"/>
                <w:sz w:val="16"/>
                <w:szCs w:val="16"/>
              </w:rPr>
              <w:t>адавати</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депозитарній</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установі</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інформацію</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необхідну</w:t>
            </w:r>
            <w:proofErr w:type="spellEnd"/>
            <w:r w:rsidRPr="00E16672">
              <w:rPr>
                <w:rFonts w:ascii="Times New Roman" w:hAnsi="Times New Roman"/>
                <w:sz w:val="16"/>
                <w:szCs w:val="16"/>
              </w:rPr>
              <w:t xml:space="preserve"> для </w:t>
            </w:r>
            <w:proofErr w:type="spellStart"/>
            <w:r w:rsidRPr="00E16672">
              <w:rPr>
                <w:rFonts w:ascii="Times New Roman" w:hAnsi="Times New Roman"/>
                <w:sz w:val="16"/>
                <w:szCs w:val="16"/>
              </w:rPr>
              <w:t>виконання</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депозитарних</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операцій</w:t>
            </w:r>
            <w:proofErr w:type="spellEnd"/>
            <w:r w:rsidRPr="00E16672">
              <w:rPr>
                <w:rFonts w:ascii="Times New Roman" w:hAnsi="Times New Roman"/>
                <w:sz w:val="16"/>
                <w:szCs w:val="16"/>
              </w:rPr>
              <w:t xml:space="preserve"> за </w:t>
            </w:r>
            <w:proofErr w:type="spellStart"/>
            <w:r w:rsidRPr="00E16672">
              <w:rPr>
                <w:rFonts w:ascii="Times New Roman" w:hAnsi="Times New Roman"/>
                <w:sz w:val="16"/>
                <w:szCs w:val="16"/>
              </w:rPr>
              <w:t>рахунком</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рахунками</w:t>
            </w:r>
            <w:proofErr w:type="spellEnd"/>
            <w:r w:rsidRPr="00E16672">
              <w:rPr>
                <w:rFonts w:ascii="Times New Roman" w:hAnsi="Times New Roman"/>
                <w:sz w:val="16"/>
                <w:szCs w:val="16"/>
              </w:rPr>
              <w:t xml:space="preserve">) </w:t>
            </w:r>
            <w:r w:rsidR="00C22309" w:rsidRPr="00E16672">
              <w:rPr>
                <w:rFonts w:ascii="Times New Roman" w:hAnsi="Times New Roman"/>
                <w:sz w:val="16"/>
                <w:szCs w:val="16"/>
              </w:rPr>
              <w:t xml:space="preserve">в </w:t>
            </w:r>
            <w:proofErr w:type="spellStart"/>
            <w:r w:rsidR="00C22309" w:rsidRPr="00E16672">
              <w:rPr>
                <w:rFonts w:ascii="Times New Roman" w:hAnsi="Times New Roman"/>
                <w:sz w:val="16"/>
                <w:szCs w:val="16"/>
              </w:rPr>
              <w:t>цін</w:t>
            </w:r>
            <w:r w:rsidRPr="00E16672">
              <w:rPr>
                <w:rFonts w:ascii="Times New Roman" w:hAnsi="Times New Roman"/>
                <w:sz w:val="16"/>
                <w:szCs w:val="16"/>
              </w:rPr>
              <w:t>них</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паперах</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номінального</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утримувача</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пов’язану</w:t>
            </w:r>
            <w:proofErr w:type="spellEnd"/>
            <w:r w:rsidRPr="00E16672">
              <w:rPr>
                <w:rFonts w:ascii="Times New Roman" w:hAnsi="Times New Roman"/>
                <w:sz w:val="16"/>
                <w:szCs w:val="16"/>
              </w:rPr>
              <w:t xml:space="preserve"> з </w:t>
            </w:r>
            <w:proofErr w:type="spellStart"/>
            <w:r w:rsidRPr="00E16672">
              <w:rPr>
                <w:rFonts w:ascii="Times New Roman" w:hAnsi="Times New Roman"/>
                <w:sz w:val="16"/>
                <w:szCs w:val="16"/>
              </w:rPr>
              <w:t>розрахунками</w:t>
            </w:r>
            <w:proofErr w:type="spellEnd"/>
            <w:r w:rsidRPr="00E16672">
              <w:rPr>
                <w:rFonts w:ascii="Times New Roman" w:hAnsi="Times New Roman"/>
                <w:sz w:val="16"/>
                <w:szCs w:val="16"/>
              </w:rPr>
              <w:t xml:space="preserve"> за </w:t>
            </w:r>
            <w:proofErr w:type="spellStart"/>
            <w:r w:rsidRPr="00E16672">
              <w:rPr>
                <w:rFonts w:ascii="Times New Roman" w:hAnsi="Times New Roman"/>
                <w:sz w:val="16"/>
                <w:szCs w:val="16"/>
              </w:rPr>
              <w:t>правочинами</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щодо</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цінних</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паперів</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що</w:t>
            </w:r>
            <w:proofErr w:type="spellEnd"/>
            <w:r w:rsidRPr="00E16672">
              <w:rPr>
                <w:rFonts w:ascii="Times New Roman" w:hAnsi="Times New Roman"/>
                <w:sz w:val="16"/>
                <w:szCs w:val="16"/>
              </w:rPr>
              <w:t xml:space="preserve"> належать </w:t>
            </w:r>
            <w:proofErr w:type="spellStart"/>
            <w:r w:rsidRPr="00E16672">
              <w:rPr>
                <w:rFonts w:ascii="Times New Roman" w:hAnsi="Times New Roman"/>
                <w:sz w:val="16"/>
                <w:szCs w:val="16"/>
              </w:rPr>
              <w:t>клієнтам</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номінального</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утримувача</w:t>
            </w:r>
            <w:proofErr w:type="spellEnd"/>
            <w:r w:rsidRPr="00E16672">
              <w:rPr>
                <w:rFonts w:ascii="Times New Roman" w:hAnsi="Times New Roman"/>
                <w:sz w:val="16"/>
                <w:szCs w:val="16"/>
              </w:rPr>
              <w:t xml:space="preserve">, а </w:t>
            </w:r>
            <w:proofErr w:type="spellStart"/>
            <w:r w:rsidRPr="00E16672">
              <w:rPr>
                <w:rFonts w:ascii="Times New Roman" w:hAnsi="Times New Roman"/>
                <w:sz w:val="16"/>
                <w:szCs w:val="16"/>
              </w:rPr>
              <w:t>також</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клієнтам</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клієнта</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номінального</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утримувача</w:t>
            </w:r>
            <w:proofErr w:type="spellEnd"/>
            <w:r w:rsidRPr="00E16672">
              <w:rPr>
                <w:rFonts w:ascii="Times New Roman" w:hAnsi="Times New Roman"/>
                <w:sz w:val="16"/>
                <w:szCs w:val="16"/>
              </w:rPr>
              <w:t xml:space="preserve">, яка </w:t>
            </w:r>
            <w:proofErr w:type="spellStart"/>
            <w:r w:rsidRPr="00E16672">
              <w:rPr>
                <w:rFonts w:ascii="Times New Roman" w:hAnsi="Times New Roman"/>
                <w:sz w:val="16"/>
                <w:szCs w:val="16"/>
              </w:rPr>
              <w:t>передбачена</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вимогами</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законодавства</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України</w:t>
            </w:r>
            <w:proofErr w:type="spellEnd"/>
            <w:r w:rsidRPr="00E16672">
              <w:rPr>
                <w:rFonts w:ascii="Times New Roman" w:hAnsi="Times New Roman"/>
                <w:sz w:val="16"/>
                <w:szCs w:val="16"/>
              </w:rPr>
              <w:t xml:space="preserve"> та </w:t>
            </w:r>
            <w:proofErr w:type="spellStart"/>
            <w:r w:rsidRPr="00E16672">
              <w:rPr>
                <w:rFonts w:ascii="Times New Roman" w:hAnsi="Times New Roman"/>
                <w:sz w:val="16"/>
                <w:szCs w:val="16"/>
              </w:rPr>
              <w:t>внутрішніми</w:t>
            </w:r>
            <w:proofErr w:type="spellEnd"/>
            <w:r w:rsidRPr="00E16672">
              <w:rPr>
                <w:rFonts w:ascii="Times New Roman" w:hAnsi="Times New Roman"/>
                <w:sz w:val="16"/>
                <w:szCs w:val="16"/>
              </w:rPr>
              <w:t xml:space="preserve"> документами Центрального </w:t>
            </w:r>
            <w:proofErr w:type="spellStart"/>
            <w:r w:rsidRPr="00E16672">
              <w:rPr>
                <w:rFonts w:ascii="Times New Roman" w:hAnsi="Times New Roman"/>
                <w:sz w:val="16"/>
                <w:szCs w:val="16"/>
              </w:rPr>
              <w:t>депозитарію</w:t>
            </w:r>
            <w:proofErr w:type="spellEnd"/>
            <w:r w:rsidRPr="00E16672">
              <w:rPr>
                <w:rFonts w:ascii="Times New Roman" w:hAnsi="Times New Roman"/>
                <w:sz w:val="16"/>
                <w:szCs w:val="16"/>
              </w:rPr>
              <w:t xml:space="preserve"> та/</w:t>
            </w:r>
            <w:proofErr w:type="spellStart"/>
            <w:r w:rsidRPr="00E16672">
              <w:rPr>
                <w:rFonts w:ascii="Times New Roman" w:hAnsi="Times New Roman"/>
                <w:sz w:val="16"/>
                <w:szCs w:val="16"/>
              </w:rPr>
              <w:t>або</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Розрахункового</w:t>
            </w:r>
            <w:proofErr w:type="spellEnd"/>
            <w:r w:rsidRPr="00E16672">
              <w:rPr>
                <w:rFonts w:ascii="Times New Roman" w:hAnsi="Times New Roman"/>
                <w:sz w:val="16"/>
                <w:szCs w:val="16"/>
              </w:rPr>
              <w:t xml:space="preserve"> центру</w:t>
            </w:r>
            <w:r w:rsidRPr="00E16672">
              <w:rPr>
                <w:rFonts w:ascii="Times New Roman" w:hAnsi="Times New Roman"/>
                <w:sz w:val="16"/>
                <w:szCs w:val="16"/>
                <w:lang w:val="uk-UA"/>
              </w:rPr>
              <w:t>.</w:t>
            </w:r>
          </w:p>
          <w:p w14:paraId="753B0820" w14:textId="77777777" w:rsidR="00174DA4" w:rsidRPr="00E16672" w:rsidRDefault="00174DA4" w:rsidP="001456E9">
            <w:pPr>
              <w:ind w:left="172" w:firstLine="0"/>
              <w:rPr>
                <w:rFonts w:ascii="Times New Roman" w:hAnsi="Times New Roman"/>
                <w:sz w:val="16"/>
                <w:szCs w:val="16"/>
                <w:lang w:val="uk-UA"/>
              </w:rPr>
            </w:pPr>
          </w:p>
          <w:p w14:paraId="74B3A284" w14:textId="77777777" w:rsidR="00174DA4" w:rsidRPr="00E16672" w:rsidRDefault="00174DA4" w:rsidP="001456E9">
            <w:pPr>
              <w:ind w:left="172" w:firstLine="0"/>
              <w:rPr>
                <w:rFonts w:ascii="Times New Roman" w:hAnsi="Times New Roman"/>
                <w:sz w:val="16"/>
                <w:szCs w:val="16"/>
                <w:lang w:val="uk-UA"/>
              </w:rPr>
            </w:pPr>
            <w:r w:rsidRPr="00E16672">
              <w:rPr>
                <w:rFonts w:ascii="Times New Roman" w:hAnsi="Times New Roman"/>
                <w:sz w:val="16"/>
                <w:szCs w:val="16"/>
                <w:lang w:val="uk-UA"/>
              </w:rPr>
              <w:t>2.3.12. С</w:t>
            </w:r>
            <w:proofErr w:type="spellStart"/>
            <w:r w:rsidRPr="00E16672">
              <w:rPr>
                <w:rFonts w:ascii="Times New Roman" w:hAnsi="Times New Roman"/>
                <w:sz w:val="16"/>
                <w:szCs w:val="16"/>
              </w:rPr>
              <w:t>плачувати</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послуги</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депозитарної</w:t>
            </w:r>
            <w:proofErr w:type="spellEnd"/>
            <w:r w:rsidRPr="00E16672">
              <w:rPr>
                <w:rFonts w:ascii="Times New Roman" w:hAnsi="Times New Roman"/>
                <w:sz w:val="16"/>
                <w:szCs w:val="16"/>
              </w:rPr>
              <w:t xml:space="preserve"> установи в </w:t>
            </w:r>
            <w:proofErr w:type="spellStart"/>
            <w:r w:rsidRPr="00E16672">
              <w:rPr>
                <w:rFonts w:ascii="Times New Roman" w:hAnsi="Times New Roman"/>
                <w:sz w:val="16"/>
                <w:szCs w:val="16"/>
              </w:rPr>
              <w:t>терміни</w:t>
            </w:r>
            <w:proofErr w:type="spellEnd"/>
            <w:r w:rsidRPr="00E16672">
              <w:rPr>
                <w:rFonts w:ascii="Times New Roman" w:hAnsi="Times New Roman"/>
                <w:sz w:val="16"/>
                <w:szCs w:val="16"/>
              </w:rPr>
              <w:t xml:space="preserve"> та в порядку, </w:t>
            </w:r>
            <w:proofErr w:type="spellStart"/>
            <w:r w:rsidRPr="00E16672">
              <w:rPr>
                <w:rFonts w:ascii="Times New Roman" w:hAnsi="Times New Roman"/>
                <w:sz w:val="16"/>
                <w:szCs w:val="16"/>
              </w:rPr>
              <w:t>передбачені</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цим</w:t>
            </w:r>
            <w:proofErr w:type="spellEnd"/>
            <w:r w:rsidRPr="00E16672">
              <w:rPr>
                <w:rFonts w:ascii="Times New Roman" w:hAnsi="Times New Roman"/>
                <w:sz w:val="16"/>
                <w:szCs w:val="16"/>
              </w:rPr>
              <w:t xml:space="preserve"> Договором</w:t>
            </w:r>
            <w:r w:rsidR="00B565D4" w:rsidRPr="00E16672">
              <w:rPr>
                <w:rFonts w:ascii="Times New Roman" w:hAnsi="Times New Roman"/>
                <w:sz w:val="16"/>
                <w:szCs w:val="16"/>
                <w:lang w:val="uk-UA"/>
              </w:rPr>
              <w:t>.</w:t>
            </w:r>
          </w:p>
          <w:p w14:paraId="2A6E9B90" w14:textId="14DEC011" w:rsidR="008C26CD" w:rsidRDefault="008C26CD" w:rsidP="001456E9">
            <w:pPr>
              <w:suppressAutoHyphens w:val="0"/>
              <w:ind w:left="172" w:right="138" w:firstLine="0"/>
              <w:rPr>
                <w:rFonts w:ascii="Times New Roman" w:hAnsi="Times New Roman"/>
                <w:iCs/>
                <w:color w:val="000000"/>
                <w:sz w:val="16"/>
                <w:szCs w:val="16"/>
                <w:lang w:eastAsia="ru-RU"/>
              </w:rPr>
            </w:pPr>
          </w:p>
          <w:p w14:paraId="407B0D97" w14:textId="402FE357" w:rsidR="00DF7C1F" w:rsidRPr="00E16672" w:rsidRDefault="00DF7C1F" w:rsidP="001456E9">
            <w:pPr>
              <w:suppressAutoHyphens w:val="0"/>
              <w:ind w:left="172" w:right="138" w:firstLine="0"/>
              <w:rPr>
                <w:rFonts w:ascii="Times New Roman" w:hAnsi="Times New Roman"/>
                <w:iCs/>
                <w:color w:val="000000"/>
                <w:sz w:val="16"/>
                <w:szCs w:val="16"/>
                <w:lang w:eastAsia="ru-RU"/>
              </w:rPr>
            </w:pPr>
            <w:r w:rsidRPr="00DF7C1F">
              <w:rPr>
                <w:rFonts w:ascii="Times New Roman" w:hAnsi="Times New Roman"/>
                <w:iCs/>
                <w:color w:val="000000"/>
                <w:sz w:val="16"/>
                <w:szCs w:val="16"/>
                <w:lang w:eastAsia="ru-RU"/>
              </w:rPr>
              <w:t xml:space="preserve">2.3.13. У строк не </w:t>
            </w:r>
            <w:proofErr w:type="spellStart"/>
            <w:r w:rsidRPr="00DF7C1F">
              <w:rPr>
                <w:rFonts w:ascii="Times New Roman" w:hAnsi="Times New Roman"/>
                <w:iCs/>
                <w:color w:val="000000"/>
                <w:sz w:val="16"/>
                <w:szCs w:val="16"/>
                <w:lang w:eastAsia="ru-RU"/>
              </w:rPr>
              <w:t>більше</w:t>
            </w:r>
            <w:proofErr w:type="spellEnd"/>
            <w:r w:rsidRPr="00DF7C1F">
              <w:rPr>
                <w:rFonts w:ascii="Times New Roman" w:hAnsi="Times New Roman"/>
                <w:iCs/>
                <w:color w:val="000000"/>
                <w:sz w:val="16"/>
                <w:szCs w:val="16"/>
                <w:lang w:eastAsia="ru-RU"/>
              </w:rPr>
              <w:t xml:space="preserve"> </w:t>
            </w:r>
            <w:proofErr w:type="spellStart"/>
            <w:r w:rsidRPr="00DF7C1F">
              <w:rPr>
                <w:rFonts w:ascii="Times New Roman" w:hAnsi="Times New Roman"/>
                <w:iCs/>
                <w:color w:val="000000"/>
                <w:sz w:val="16"/>
                <w:szCs w:val="16"/>
                <w:lang w:eastAsia="ru-RU"/>
              </w:rPr>
              <w:t>ніж</w:t>
            </w:r>
            <w:proofErr w:type="spellEnd"/>
            <w:r w:rsidRPr="00DF7C1F">
              <w:rPr>
                <w:rFonts w:ascii="Times New Roman" w:hAnsi="Times New Roman"/>
                <w:iCs/>
                <w:color w:val="000000"/>
                <w:sz w:val="16"/>
                <w:szCs w:val="16"/>
                <w:lang w:eastAsia="ru-RU"/>
              </w:rPr>
              <w:t xml:space="preserve"> 10 </w:t>
            </w:r>
            <w:proofErr w:type="spellStart"/>
            <w:r w:rsidRPr="00DF7C1F">
              <w:rPr>
                <w:rFonts w:ascii="Times New Roman" w:hAnsi="Times New Roman"/>
                <w:iCs/>
                <w:color w:val="000000"/>
                <w:sz w:val="16"/>
                <w:szCs w:val="16"/>
                <w:lang w:eastAsia="ru-RU"/>
              </w:rPr>
              <w:t>робочих</w:t>
            </w:r>
            <w:proofErr w:type="spellEnd"/>
            <w:r w:rsidRPr="00DF7C1F">
              <w:rPr>
                <w:rFonts w:ascii="Times New Roman" w:hAnsi="Times New Roman"/>
                <w:iCs/>
                <w:color w:val="000000"/>
                <w:sz w:val="16"/>
                <w:szCs w:val="16"/>
                <w:lang w:eastAsia="ru-RU"/>
              </w:rPr>
              <w:t xml:space="preserve"> </w:t>
            </w:r>
            <w:proofErr w:type="spellStart"/>
            <w:r w:rsidRPr="00DF7C1F">
              <w:rPr>
                <w:rFonts w:ascii="Times New Roman" w:hAnsi="Times New Roman"/>
                <w:iCs/>
                <w:color w:val="000000"/>
                <w:sz w:val="16"/>
                <w:szCs w:val="16"/>
                <w:lang w:eastAsia="ru-RU"/>
              </w:rPr>
              <w:t>днів</w:t>
            </w:r>
            <w:proofErr w:type="spellEnd"/>
            <w:r w:rsidRPr="00DF7C1F">
              <w:rPr>
                <w:rFonts w:ascii="Times New Roman" w:hAnsi="Times New Roman"/>
                <w:iCs/>
                <w:color w:val="000000"/>
                <w:sz w:val="16"/>
                <w:szCs w:val="16"/>
                <w:lang w:eastAsia="ru-RU"/>
              </w:rPr>
              <w:t xml:space="preserve"> з дня </w:t>
            </w:r>
            <w:proofErr w:type="spellStart"/>
            <w:r w:rsidRPr="00DF7C1F">
              <w:rPr>
                <w:rFonts w:ascii="Times New Roman" w:hAnsi="Times New Roman"/>
                <w:iCs/>
                <w:color w:val="000000"/>
                <w:sz w:val="16"/>
                <w:szCs w:val="16"/>
                <w:lang w:eastAsia="ru-RU"/>
              </w:rPr>
              <w:t>отримання</w:t>
            </w:r>
            <w:proofErr w:type="spellEnd"/>
            <w:r w:rsidRPr="00DF7C1F">
              <w:rPr>
                <w:rFonts w:ascii="Times New Roman" w:hAnsi="Times New Roman"/>
                <w:iCs/>
                <w:color w:val="000000"/>
                <w:sz w:val="16"/>
                <w:szCs w:val="16"/>
                <w:lang w:eastAsia="ru-RU"/>
              </w:rPr>
              <w:t xml:space="preserve"> </w:t>
            </w:r>
            <w:proofErr w:type="spellStart"/>
            <w:r w:rsidRPr="00DF7C1F">
              <w:rPr>
                <w:rFonts w:ascii="Times New Roman" w:hAnsi="Times New Roman"/>
                <w:iCs/>
                <w:color w:val="000000"/>
                <w:sz w:val="16"/>
                <w:szCs w:val="16"/>
                <w:lang w:eastAsia="ru-RU"/>
              </w:rPr>
              <w:t>від</w:t>
            </w:r>
            <w:proofErr w:type="spellEnd"/>
            <w:r w:rsidRPr="00DF7C1F">
              <w:rPr>
                <w:rFonts w:ascii="Times New Roman" w:hAnsi="Times New Roman"/>
                <w:iCs/>
                <w:color w:val="000000"/>
                <w:sz w:val="16"/>
                <w:szCs w:val="16"/>
                <w:lang w:eastAsia="ru-RU"/>
              </w:rPr>
              <w:t xml:space="preserve"> </w:t>
            </w:r>
            <w:proofErr w:type="spellStart"/>
            <w:r w:rsidRPr="00DF7C1F">
              <w:rPr>
                <w:rFonts w:ascii="Times New Roman" w:hAnsi="Times New Roman"/>
                <w:iCs/>
                <w:color w:val="000000"/>
                <w:sz w:val="16"/>
                <w:szCs w:val="16"/>
                <w:lang w:eastAsia="ru-RU"/>
              </w:rPr>
              <w:t>Депозитарної</w:t>
            </w:r>
            <w:proofErr w:type="spellEnd"/>
            <w:r w:rsidRPr="00DF7C1F">
              <w:rPr>
                <w:rFonts w:ascii="Times New Roman" w:hAnsi="Times New Roman"/>
                <w:iCs/>
                <w:color w:val="000000"/>
                <w:sz w:val="16"/>
                <w:szCs w:val="16"/>
                <w:lang w:eastAsia="ru-RU"/>
              </w:rPr>
              <w:t xml:space="preserve"> установи </w:t>
            </w:r>
            <w:proofErr w:type="spellStart"/>
            <w:r w:rsidRPr="00DF7C1F">
              <w:rPr>
                <w:rFonts w:ascii="Times New Roman" w:hAnsi="Times New Roman"/>
                <w:iCs/>
                <w:color w:val="000000"/>
                <w:sz w:val="16"/>
                <w:szCs w:val="16"/>
                <w:lang w:eastAsia="ru-RU"/>
              </w:rPr>
              <w:t>запиту</w:t>
            </w:r>
            <w:proofErr w:type="spellEnd"/>
            <w:r w:rsidRPr="00DF7C1F">
              <w:rPr>
                <w:rFonts w:ascii="Times New Roman" w:hAnsi="Times New Roman"/>
                <w:iCs/>
                <w:color w:val="000000"/>
                <w:sz w:val="16"/>
                <w:szCs w:val="16"/>
                <w:lang w:eastAsia="ru-RU"/>
              </w:rPr>
              <w:t xml:space="preserve"> </w:t>
            </w:r>
            <w:proofErr w:type="spellStart"/>
            <w:r w:rsidRPr="00DF7C1F">
              <w:rPr>
                <w:rFonts w:ascii="Times New Roman" w:hAnsi="Times New Roman"/>
                <w:iCs/>
                <w:color w:val="000000"/>
                <w:sz w:val="16"/>
                <w:szCs w:val="16"/>
                <w:lang w:eastAsia="ru-RU"/>
              </w:rPr>
              <w:t>згідно</w:t>
            </w:r>
            <w:proofErr w:type="spellEnd"/>
            <w:r w:rsidRPr="00DF7C1F">
              <w:rPr>
                <w:rFonts w:ascii="Times New Roman" w:hAnsi="Times New Roman"/>
                <w:iCs/>
                <w:color w:val="000000"/>
                <w:sz w:val="16"/>
                <w:szCs w:val="16"/>
                <w:lang w:eastAsia="ru-RU"/>
              </w:rPr>
              <w:t xml:space="preserve"> 2.1.15 </w:t>
            </w:r>
            <w:proofErr w:type="spellStart"/>
            <w:r w:rsidRPr="00DF7C1F">
              <w:rPr>
                <w:rFonts w:ascii="Times New Roman" w:hAnsi="Times New Roman"/>
                <w:iCs/>
                <w:color w:val="000000"/>
                <w:sz w:val="16"/>
                <w:szCs w:val="16"/>
                <w:lang w:eastAsia="ru-RU"/>
              </w:rPr>
              <w:t>цього</w:t>
            </w:r>
            <w:proofErr w:type="spellEnd"/>
            <w:r w:rsidRPr="00DF7C1F">
              <w:rPr>
                <w:rFonts w:ascii="Times New Roman" w:hAnsi="Times New Roman"/>
                <w:iCs/>
                <w:color w:val="000000"/>
                <w:sz w:val="16"/>
                <w:szCs w:val="16"/>
                <w:lang w:eastAsia="ru-RU"/>
              </w:rPr>
              <w:t xml:space="preserve"> Договору, </w:t>
            </w:r>
            <w:proofErr w:type="spellStart"/>
            <w:r w:rsidRPr="00DF7C1F">
              <w:rPr>
                <w:rFonts w:ascii="Times New Roman" w:hAnsi="Times New Roman"/>
                <w:iCs/>
                <w:color w:val="000000"/>
                <w:sz w:val="16"/>
                <w:szCs w:val="16"/>
                <w:lang w:eastAsia="ru-RU"/>
              </w:rPr>
              <w:t>якщо</w:t>
            </w:r>
            <w:proofErr w:type="spellEnd"/>
            <w:r w:rsidRPr="00DF7C1F">
              <w:rPr>
                <w:rFonts w:ascii="Times New Roman" w:hAnsi="Times New Roman"/>
                <w:iCs/>
                <w:color w:val="000000"/>
                <w:sz w:val="16"/>
                <w:szCs w:val="16"/>
                <w:lang w:eastAsia="ru-RU"/>
              </w:rPr>
              <w:t xml:space="preserve"> </w:t>
            </w:r>
            <w:proofErr w:type="spellStart"/>
            <w:r w:rsidRPr="00DF7C1F">
              <w:rPr>
                <w:rFonts w:ascii="Times New Roman" w:hAnsi="Times New Roman"/>
                <w:iCs/>
                <w:color w:val="000000"/>
                <w:sz w:val="16"/>
                <w:szCs w:val="16"/>
                <w:lang w:eastAsia="ru-RU"/>
              </w:rPr>
              <w:t>інший</w:t>
            </w:r>
            <w:proofErr w:type="spellEnd"/>
            <w:r w:rsidRPr="00DF7C1F">
              <w:rPr>
                <w:rFonts w:ascii="Times New Roman" w:hAnsi="Times New Roman"/>
                <w:iCs/>
                <w:color w:val="000000"/>
                <w:sz w:val="16"/>
                <w:szCs w:val="16"/>
                <w:lang w:eastAsia="ru-RU"/>
              </w:rPr>
              <w:t xml:space="preserve"> строк не </w:t>
            </w:r>
            <w:proofErr w:type="spellStart"/>
            <w:r w:rsidRPr="00DF7C1F">
              <w:rPr>
                <w:rFonts w:ascii="Times New Roman" w:hAnsi="Times New Roman"/>
                <w:iCs/>
                <w:color w:val="000000"/>
                <w:sz w:val="16"/>
                <w:szCs w:val="16"/>
                <w:lang w:eastAsia="ru-RU"/>
              </w:rPr>
              <w:t>встановлено</w:t>
            </w:r>
            <w:proofErr w:type="spellEnd"/>
            <w:r w:rsidRPr="00DF7C1F">
              <w:rPr>
                <w:rFonts w:ascii="Times New Roman" w:hAnsi="Times New Roman"/>
                <w:iCs/>
                <w:color w:val="000000"/>
                <w:sz w:val="16"/>
                <w:szCs w:val="16"/>
                <w:lang w:eastAsia="ru-RU"/>
              </w:rPr>
              <w:t xml:space="preserve"> у </w:t>
            </w:r>
            <w:proofErr w:type="spellStart"/>
            <w:r w:rsidRPr="00DF7C1F">
              <w:rPr>
                <w:rFonts w:ascii="Times New Roman" w:hAnsi="Times New Roman"/>
                <w:iCs/>
                <w:color w:val="000000"/>
                <w:sz w:val="16"/>
                <w:szCs w:val="16"/>
                <w:lang w:eastAsia="ru-RU"/>
              </w:rPr>
              <w:t>запиті</w:t>
            </w:r>
            <w:proofErr w:type="spellEnd"/>
            <w:r w:rsidRPr="00DF7C1F">
              <w:rPr>
                <w:rFonts w:ascii="Times New Roman" w:hAnsi="Times New Roman"/>
                <w:iCs/>
                <w:color w:val="000000"/>
                <w:sz w:val="16"/>
                <w:szCs w:val="16"/>
                <w:lang w:eastAsia="ru-RU"/>
              </w:rPr>
              <w:t xml:space="preserve">, </w:t>
            </w:r>
            <w:proofErr w:type="spellStart"/>
            <w:r w:rsidRPr="00DF7C1F">
              <w:rPr>
                <w:rFonts w:ascii="Times New Roman" w:hAnsi="Times New Roman"/>
                <w:iCs/>
                <w:color w:val="000000"/>
                <w:sz w:val="16"/>
                <w:szCs w:val="16"/>
                <w:lang w:eastAsia="ru-RU"/>
              </w:rPr>
              <w:t>надати</w:t>
            </w:r>
            <w:proofErr w:type="spellEnd"/>
            <w:r w:rsidRPr="00DF7C1F">
              <w:rPr>
                <w:rFonts w:ascii="Times New Roman" w:hAnsi="Times New Roman"/>
                <w:iCs/>
                <w:color w:val="000000"/>
                <w:sz w:val="16"/>
                <w:szCs w:val="16"/>
                <w:lang w:eastAsia="ru-RU"/>
              </w:rPr>
              <w:t xml:space="preserve"> </w:t>
            </w:r>
            <w:proofErr w:type="spellStart"/>
            <w:r w:rsidRPr="00DF7C1F">
              <w:rPr>
                <w:rFonts w:ascii="Times New Roman" w:hAnsi="Times New Roman"/>
                <w:iCs/>
                <w:color w:val="000000"/>
                <w:sz w:val="16"/>
                <w:szCs w:val="16"/>
                <w:lang w:eastAsia="ru-RU"/>
              </w:rPr>
              <w:t>Депозитарній</w:t>
            </w:r>
            <w:proofErr w:type="spellEnd"/>
            <w:r w:rsidRPr="00DF7C1F">
              <w:rPr>
                <w:rFonts w:ascii="Times New Roman" w:hAnsi="Times New Roman"/>
                <w:iCs/>
                <w:color w:val="000000"/>
                <w:sz w:val="16"/>
                <w:szCs w:val="16"/>
                <w:lang w:eastAsia="ru-RU"/>
              </w:rPr>
              <w:t xml:space="preserve"> </w:t>
            </w:r>
            <w:proofErr w:type="spellStart"/>
            <w:r w:rsidRPr="00DF7C1F">
              <w:rPr>
                <w:rFonts w:ascii="Times New Roman" w:hAnsi="Times New Roman"/>
                <w:iCs/>
                <w:color w:val="000000"/>
                <w:sz w:val="16"/>
                <w:szCs w:val="16"/>
                <w:lang w:eastAsia="ru-RU"/>
              </w:rPr>
              <w:t>установі</w:t>
            </w:r>
            <w:proofErr w:type="spellEnd"/>
            <w:r w:rsidRPr="00DF7C1F">
              <w:rPr>
                <w:rFonts w:ascii="Times New Roman" w:hAnsi="Times New Roman"/>
                <w:iCs/>
                <w:color w:val="000000"/>
                <w:sz w:val="16"/>
                <w:szCs w:val="16"/>
                <w:lang w:eastAsia="ru-RU"/>
              </w:rPr>
              <w:t xml:space="preserve"> </w:t>
            </w:r>
            <w:proofErr w:type="spellStart"/>
            <w:r w:rsidRPr="00DF7C1F">
              <w:rPr>
                <w:rFonts w:ascii="Times New Roman" w:hAnsi="Times New Roman"/>
                <w:iCs/>
                <w:color w:val="000000"/>
                <w:sz w:val="16"/>
                <w:szCs w:val="16"/>
                <w:lang w:eastAsia="ru-RU"/>
              </w:rPr>
              <w:t>запитувану</w:t>
            </w:r>
            <w:proofErr w:type="spellEnd"/>
            <w:r w:rsidRPr="00DF7C1F">
              <w:rPr>
                <w:rFonts w:ascii="Times New Roman" w:hAnsi="Times New Roman"/>
                <w:iCs/>
                <w:color w:val="000000"/>
                <w:sz w:val="16"/>
                <w:szCs w:val="16"/>
                <w:lang w:eastAsia="ru-RU"/>
              </w:rPr>
              <w:t xml:space="preserve"> </w:t>
            </w:r>
            <w:proofErr w:type="spellStart"/>
            <w:r w:rsidRPr="00DF7C1F">
              <w:rPr>
                <w:rFonts w:ascii="Times New Roman" w:hAnsi="Times New Roman"/>
                <w:iCs/>
                <w:color w:val="000000"/>
                <w:sz w:val="16"/>
                <w:szCs w:val="16"/>
                <w:lang w:eastAsia="ru-RU"/>
              </w:rPr>
              <w:t>інформацію</w:t>
            </w:r>
            <w:proofErr w:type="spellEnd"/>
            <w:r w:rsidRPr="00DF7C1F">
              <w:rPr>
                <w:rFonts w:ascii="Times New Roman" w:hAnsi="Times New Roman"/>
                <w:iCs/>
                <w:color w:val="000000"/>
                <w:sz w:val="16"/>
                <w:szCs w:val="16"/>
                <w:lang w:eastAsia="ru-RU"/>
              </w:rPr>
              <w:t>.</w:t>
            </w:r>
          </w:p>
          <w:p w14:paraId="7052B5A8" w14:textId="77777777" w:rsidR="00EB25FE" w:rsidRPr="00E16672" w:rsidRDefault="00EB25FE" w:rsidP="001456E9">
            <w:pPr>
              <w:ind w:left="172" w:right="138" w:firstLine="0"/>
              <w:rPr>
                <w:rFonts w:ascii="Times New Roman" w:hAnsi="Times New Roman"/>
                <w:color w:val="000000"/>
                <w:sz w:val="16"/>
                <w:szCs w:val="16"/>
                <w:lang w:val="uk-UA"/>
              </w:rPr>
            </w:pPr>
          </w:p>
        </w:tc>
        <w:tc>
          <w:tcPr>
            <w:tcW w:w="5495" w:type="dxa"/>
            <w:gridSpan w:val="8"/>
            <w:shd w:val="clear" w:color="auto" w:fill="auto"/>
          </w:tcPr>
          <w:p w14:paraId="300FDFC6" w14:textId="77777777" w:rsidR="00B565D4" w:rsidRPr="00E16672" w:rsidRDefault="00B565D4" w:rsidP="001456E9">
            <w:pPr>
              <w:ind w:left="172" w:firstLine="0"/>
              <w:rPr>
                <w:rFonts w:ascii="Times New Roman" w:hAnsi="Times New Roman"/>
                <w:sz w:val="16"/>
                <w:szCs w:val="16"/>
                <w:lang w:val="en-US"/>
              </w:rPr>
            </w:pPr>
            <w:r w:rsidRPr="00E16672">
              <w:rPr>
                <w:rFonts w:ascii="Times New Roman" w:hAnsi="Times New Roman"/>
                <w:sz w:val="16"/>
                <w:szCs w:val="16"/>
                <w:lang w:val="en-US"/>
              </w:rPr>
              <w:lastRenderedPageBreak/>
              <w:t>2.3.7. Provide the depositary institution on a quarterly basis no later than 10 (inclusive) the number of the month following the reporting quarter, information on the holders of voting shares (5 per cent or more of the authorized capital of joint-stock companies that are Ukrainian issuers) as of the last working day of the reporting quarter in the form established depositary institution.</w:t>
            </w:r>
          </w:p>
          <w:p w14:paraId="6C087E93" w14:textId="77777777" w:rsidR="00B565D4" w:rsidRPr="00E16672" w:rsidRDefault="00B565D4" w:rsidP="001456E9">
            <w:pPr>
              <w:ind w:left="172" w:firstLine="0"/>
              <w:rPr>
                <w:rFonts w:ascii="Times New Roman" w:hAnsi="Times New Roman"/>
                <w:sz w:val="16"/>
                <w:szCs w:val="16"/>
                <w:lang w:val="en-US"/>
              </w:rPr>
            </w:pPr>
          </w:p>
          <w:p w14:paraId="1CECD0D4" w14:textId="77777777" w:rsidR="00FA3078" w:rsidRDefault="00FA3078" w:rsidP="001456E9">
            <w:pPr>
              <w:ind w:left="172" w:firstLine="0"/>
              <w:rPr>
                <w:rFonts w:ascii="Times New Roman" w:hAnsi="Times New Roman"/>
                <w:sz w:val="16"/>
                <w:szCs w:val="16"/>
                <w:lang w:val="uk-UA"/>
              </w:rPr>
            </w:pPr>
          </w:p>
          <w:p w14:paraId="44141F92" w14:textId="77777777" w:rsidR="00B565D4" w:rsidRPr="00E16672" w:rsidRDefault="00B565D4" w:rsidP="001456E9">
            <w:pPr>
              <w:ind w:left="172" w:firstLine="0"/>
              <w:rPr>
                <w:rFonts w:ascii="Times New Roman" w:hAnsi="Times New Roman"/>
                <w:sz w:val="16"/>
                <w:szCs w:val="16"/>
                <w:lang w:val="en-US"/>
              </w:rPr>
            </w:pPr>
            <w:r w:rsidRPr="00E16672">
              <w:rPr>
                <w:rFonts w:ascii="Times New Roman" w:hAnsi="Times New Roman"/>
                <w:sz w:val="16"/>
                <w:szCs w:val="16"/>
                <w:lang w:val="en-US"/>
              </w:rPr>
              <w:t>2.3.8. In case of violation of the requirements established by the legislation of Ukraine to the nominee holder, no later than 3 working days from the date of its occurrence, notify the depositary institution and within 90 calendar days to take actions to eliminate it or to close its account (accounts).</w:t>
            </w:r>
          </w:p>
          <w:p w14:paraId="530BF39D" w14:textId="77777777" w:rsidR="00B565D4" w:rsidRPr="00E16672" w:rsidRDefault="00B565D4" w:rsidP="001456E9">
            <w:pPr>
              <w:ind w:left="172" w:firstLine="0"/>
              <w:rPr>
                <w:rFonts w:ascii="Times New Roman" w:hAnsi="Times New Roman"/>
                <w:sz w:val="16"/>
                <w:szCs w:val="16"/>
                <w:lang w:val="en-US"/>
              </w:rPr>
            </w:pPr>
          </w:p>
          <w:p w14:paraId="0C8DA422" w14:textId="77777777" w:rsidR="00B565D4" w:rsidRPr="00E16672" w:rsidRDefault="00B565D4" w:rsidP="001456E9">
            <w:pPr>
              <w:ind w:left="172" w:firstLine="0"/>
              <w:rPr>
                <w:rFonts w:ascii="Times New Roman" w:hAnsi="Times New Roman"/>
                <w:sz w:val="16"/>
                <w:szCs w:val="16"/>
                <w:lang w:val="en-US"/>
              </w:rPr>
            </w:pPr>
          </w:p>
          <w:p w14:paraId="30DE5484" w14:textId="77777777" w:rsidR="00B565D4" w:rsidRPr="00E16672" w:rsidRDefault="00B565D4" w:rsidP="001456E9">
            <w:pPr>
              <w:ind w:left="172" w:firstLine="0"/>
              <w:rPr>
                <w:rFonts w:ascii="Times New Roman" w:hAnsi="Times New Roman"/>
                <w:sz w:val="16"/>
                <w:szCs w:val="16"/>
                <w:lang w:val="en-US"/>
              </w:rPr>
            </w:pPr>
            <w:r w:rsidRPr="00E16672">
              <w:rPr>
                <w:rFonts w:ascii="Times New Roman" w:hAnsi="Times New Roman"/>
                <w:sz w:val="16"/>
                <w:szCs w:val="16"/>
                <w:lang w:val="en-US"/>
              </w:rPr>
              <w:t xml:space="preserve">2.3.9. Establish restrictions on the owner's securities, the rights to which and rights </w:t>
            </w:r>
            <w:r w:rsidRPr="00E16672">
              <w:rPr>
                <w:rFonts w:ascii="Times New Roman" w:hAnsi="Times New Roman"/>
                <w:sz w:val="16"/>
                <w:szCs w:val="16"/>
                <w:lang w:val="en-US"/>
              </w:rPr>
              <w:lastRenderedPageBreak/>
              <w:t>to which are recorded in the account (s) in securities of the nominee holder, based on documents received from the depositary institution.</w:t>
            </w:r>
          </w:p>
          <w:p w14:paraId="5C5D0D37" w14:textId="77777777" w:rsidR="00FA3078" w:rsidRDefault="00FA3078" w:rsidP="001456E9">
            <w:pPr>
              <w:ind w:left="172" w:firstLine="0"/>
              <w:rPr>
                <w:rFonts w:ascii="Times New Roman" w:hAnsi="Times New Roman"/>
                <w:sz w:val="16"/>
                <w:szCs w:val="16"/>
                <w:lang w:val="uk-UA"/>
              </w:rPr>
            </w:pPr>
          </w:p>
          <w:p w14:paraId="78D0D8D5" w14:textId="77777777" w:rsidR="00FA3078" w:rsidRDefault="00FA3078" w:rsidP="001456E9">
            <w:pPr>
              <w:ind w:left="172" w:firstLine="0"/>
              <w:rPr>
                <w:rFonts w:ascii="Times New Roman" w:hAnsi="Times New Roman"/>
                <w:sz w:val="16"/>
                <w:szCs w:val="16"/>
                <w:lang w:val="uk-UA"/>
              </w:rPr>
            </w:pPr>
          </w:p>
          <w:p w14:paraId="7F1B6C1F" w14:textId="77777777" w:rsidR="00B565D4" w:rsidRPr="00E16672" w:rsidRDefault="00B565D4" w:rsidP="001456E9">
            <w:pPr>
              <w:ind w:left="172" w:firstLine="0"/>
              <w:rPr>
                <w:rFonts w:ascii="Times New Roman" w:hAnsi="Times New Roman"/>
                <w:sz w:val="16"/>
                <w:szCs w:val="16"/>
                <w:lang w:val="en-US"/>
              </w:rPr>
            </w:pPr>
            <w:r w:rsidRPr="00E16672">
              <w:rPr>
                <w:rFonts w:ascii="Times New Roman" w:hAnsi="Times New Roman"/>
                <w:sz w:val="16"/>
                <w:szCs w:val="16"/>
                <w:lang w:val="en-US"/>
              </w:rPr>
              <w:t xml:space="preserve">2.3.10. </w:t>
            </w:r>
            <w:r w:rsidR="00D1293A" w:rsidRPr="00E16672">
              <w:rPr>
                <w:rFonts w:ascii="Times New Roman" w:hAnsi="Times New Roman"/>
                <w:sz w:val="16"/>
                <w:szCs w:val="16"/>
                <w:lang w:val="en-US"/>
              </w:rPr>
              <w:t>During</w:t>
            </w:r>
            <w:r w:rsidRPr="00E16672">
              <w:rPr>
                <w:rFonts w:ascii="Times New Roman" w:hAnsi="Times New Roman"/>
                <w:sz w:val="16"/>
                <w:szCs w:val="16"/>
                <w:lang w:val="en-US"/>
              </w:rPr>
              <w:t xml:space="preserve"> 60 calendar days from the date of commencement of the procedure for termination of its professional activity in the stock market by the depositary institution, the depositary activity of the depositary institution, in accordance with the requirements of the regulatory act on the cessation of depositary activity of the depositary institution, shall take all necessary actions regarding the closure of the securities account (accounts).</w:t>
            </w:r>
          </w:p>
          <w:p w14:paraId="5A0FCE22" w14:textId="77777777" w:rsidR="00B565D4" w:rsidRPr="00E16672" w:rsidRDefault="00B565D4" w:rsidP="001456E9">
            <w:pPr>
              <w:ind w:left="172" w:firstLine="0"/>
              <w:rPr>
                <w:rFonts w:ascii="Times New Roman" w:hAnsi="Times New Roman"/>
                <w:sz w:val="16"/>
                <w:szCs w:val="16"/>
                <w:lang w:val="en-US"/>
              </w:rPr>
            </w:pPr>
          </w:p>
          <w:p w14:paraId="2B63C558" w14:textId="77777777" w:rsidR="00B565D4" w:rsidRPr="00E16672" w:rsidRDefault="00B565D4" w:rsidP="001456E9">
            <w:pPr>
              <w:ind w:left="172" w:firstLine="0"/>
              <w:rPr>
                <w:rFonts w:ascii="Times New Roman" w:hAnsi="Times New Roman"/>
                <w:sz w:val="16"/>
                <w:szCs w:val="16"/>
                <w:lang w:val="en-US"/>
              </w:rPr>
            </w:pPr>
            <w:r w:rsidRPr="00E16672">
              <w:rPr>
                <w:rFonts w:ascii="Times New Roman" w:hAnsi="Times New Roman"/>
                <w:sz w:val="16"/>
                <w:szCs w:val="16"/>
                <w:lang w:val="en-US"/>
              </w:rPr>
              <w:t>2.3.11. Provide the depositary institution with the information necessary for the performance of depository operations on the account (s) in securities of the nominee holder, related to settlement of securities transactions belonging to the nominee's clients, as well as to the client's clients of the nominee holder provided for the requirements of the legislation of Ukraine and internal documents of the Central Depository and / or the Settlement Center.</w:t>
            </w:r>
          </w:p>
          <w:p w14:paraId="2D969663" w14:textId="77777777" w:rsidR="00B565D4" w:rsidRPr="00E16672" w:rsidRDefault="00B565D4" w:rsidP="001456E9">
            <w:pPr>
              <w:ind w:left="172" w:firstLine="0"/>
              <w:rPr>
                <w:rFonts w:ascii="Times New Roman" w:hAnsi="Times New Roman"/>
                <w:sz w:val="16"/>
                <w:szCs w:val="16"/>
                <w:lang w:val="en-US"/>
              </w:rPr>
            </w:pPr>
          </w:p>
          <w:p w14:paraId="05143081" w14:textId="77777777" w:rsidR="00B565D4" w:rsidRPr="00E16672" w:rsidRDefault="00B565D4" w:rsidP="001456E9">
            <w:pPr>
              <w:ind w:left="172" w:firstLine="0"/>
              <w:rPr>
                <w:rFonts w:ascii="Times New Roman" w:hAnsi="Times New Roman"/>
                <w:sz w:val="16"/>
                <w:szCs w:val="16"/>
                <w:lang w:val="en-US"/>
              </w:rPr>
            </w:pPr>
            <w:r w:rsidRPr="00E16672">
              <w:rPr>
                <w:rFonts w:ascii="Times New Roman" w:hAnsi="Times New Roman"/>
                <w:sz w:val="16"/>
                <w:szCs w:val="16"/>
                <w:lang w:val="en-US"/>
              </w:rPr>
              <w:t>2.3.12. To pay the services of the depositary institution in the terms and in the manner provided by this Agreement</w:t>
            </w:r>
          </w:p>
          <w:p w14:paraId="729584D9" w14:textId="77777777" w:rsidR="00B565D4" w:rsidRPr="00E16672" w:rsidRDefault="00B565D4" w:rsidP="001456E9">
            <w:pPr>
              <w:ind w:left="172" w:firstLine="0"/>
              <w:rPr>
                <w:rFonts w:ascii="Times New Roman" w:hAnsi="Times New Roman"/>
                <w:sz w:val="16"/>
                <w:szCs w:val="16"/>
                <w:lang w:val="en-US"/>
              </w:rPr>
            </w:pPr>
          </w:p>
          <w:p w14:paraId="6961ADD5" w14:textId="77777777" w:rsidR="00EB25FE" w:rsidRDefault="00EB25FE" w:rsidP="001456E9">
            <w:pPr>
              <w:ind w:left="172" w:firstLine="0"/>
              <w:rPr>
                <w:rFonts w:ascii="Times New Roman" w:hAnsi="Times New Roman"/>
                <w:sz w:val="16"/>
                <w:szCs w:val="16"/>
                <w:lang w:val="en-US"/>
              </w:rPr>
            </w:pPr>
          </w:p>
          <w:p w14:paraId="6D167DAD" w14:textId="0A42606E" w:rsidR="00DF7C1F" w:rsidRPr="00E16672" w:rsidRDefault="00DF7C1F" w:rsidP="001456E9">
            <w:pPr>
              <w:ind w:left="172" w:firstLine="0"/>
              <w:rPr>
                <w:rFonts w:ascii="Times New Roman" w:hAnsi="Times New Roman"/>
                <w:sz w:val="16"/>
                <w:szCs w:val="16"/>
                <w:lang w:val="en-US"/>
              </w:rPr>
            </w:pPr>
            <w:r w:rsidRPr="00DF7C1F">
              <w:rPr>
                <w:rFonts w:ascii="Times New Roman" w:hAnsi="Times New Roman"/>
                <w:sz w:val="16"/>
                <w:szCs w:val="16"/>
                <w:lang w:val="en-US"/>
              </w:rPr>
              <w:t>2.3.13. Within a period not exceeding 10 working days from the date of receipt of the request from the Depository Institution in accordance with 2.1.15 of this Agreement, unless otherwise specified in the request, provide the Depository Institution with the requested information.</w:t>
            </w:r>
          </w:p>
        </w:tc>
      </w:tr>
      <w:tr w:rsidR="00EB25FE" w:rsidRPr="00E16672" w14:paraId="7BDBFA2E" w14:textId="77777777" w:rsidTr="005145B5">
        <w:tblPrEx>
          <w:tblCellMar>
            <w:left w:w="0" w:type="dxa"/>
            <w:right w:w="0" w:type="dxa"/>
          </w:tblCellMar>
        </w:tblPrEx>
        <w:trPr>
          <w:trHeight w:val="192"/>
        </w:trPr>
        <w:tc>
          <w:tcPr>
            <w:tcW w:w="5695" w:type="dxa"/>
            <w:gridSpan w:val="7"/>
            <w:shd w:val="clear" w:color="auto" w:fill="auto"/>
          </w:tcPr>
          <w:p w14:paraId="439CBF1B" w14:textId="77777777" w:rsidR="00EB25FE" w:rsidRPr="00E16672" w:rsidRDefault="00EB25FE" w:rsidP="001456E9">
            <w:pPr>
              <w:tabs>
                <w:tab w:val="left" w:pos="709"/>
              </w:tabs>
              <w:snapToGrid w:val="0"/>
              <w:ind w:left="175" w:right="138"/>
              <w:rPr>
                <w:rFonts w:ascii="Times New Roman" w:hAnsi="Times New Roman"/>
                <w:sz w:val="16"/>
                <w:szCs w:val="16"/>
                <w:lang w:val="en-US"/>
              </w:rPr>
            </w:pPr>
            <w:r w:rsidRPr="00E16672">
              <w:rPr>
                <w:rFonts w:ascii="Times New Roman" w:hAnsi="Times New Roman"/>
                <w:b/>
                <w:sz w:val="16"/>
                <w:szCs w:val="16"/>
                <w:lang w:val="en-US"/>
              </w:rPr>
              <w:lastRenderedPageBreak/>
              <w:t xml:space="preserve">2.4. </w:t>
            </w:r>
            <w:proofErr w:type="spellStart"/>
            <w:r w:rsidR="000706C5" w:rsidRPr="00E16672">
              <w:rPr>
                <w:rFonts w:ascii="Times New Roman" w:hAnsi="Times New Roman"/>
                <w:b/>
                <w:sz w:val="16"/>
                <w:szCs w:val="16"/>
              </w:rPr>
              <w:t>Номінальни</w:t>
            </w:r>
            <w:proofErr w:type="spellEnd"/>
            <w:r w:rsidR="000706C5" w:rsidRPr="00E16672">
              <w:rPr>
                <w:rFonts w:ascii="Times New Roman" w:hAnsi="Times New Roman"/>
                <w:b/>
                <w:sz w:val="16"/>
                <w:szCs w:val="16"/>
                <w:lang w:val="uk-UA"/>
              </w:rPr>
              <w:t>й</w:t>
            </w:r>
            <w:r w:rsidR="000706C5" w:rsidRPr="00E16672">
              <w:rPr>
                <w:rFonts w:ascii="Times New Roman" w:hAnsi="Times New Roman"/>
                <w:b/>
                <w:sz w:val="16"/>
                <w:szCs w:val="16"/>
                <w:lang w:val="en-US"/>
              </w:rPr>
              <w:t xml:space="preserve"> </w:t>
            </w:r>
            <w:proofErr w:type="spellStart"/>
            <w:r w:rsidR="000706C5" w:rsidRPr="00E16672">
              <w:rPr>
                <w:rFonts w:ascii="Times New Roman" w:hAnsi="Times New Roman"/>
                <w:b/>
                <w:sz w:val="16"/>
                <w:szCs w:val="16"/>
              </w:rPr>
              <w:t>утримувач</w:t>
            </w:r>
            <w:proofErr w:type="spellEnd"/>
            <w:r w:rsidR="000706C5" w:rsidRPr="00E16672">
              <w:rPr>
                <w:rFonts w:ascii="Times New Roman" w:hAnsi="Times New Roman"/>
                <w:b/>
                <w:sz w:val="16"/>
                <w:szCs w:val="16"/>
                <w:lang w:val="uk-UA"/>
              </w:rPr>
              <w:t xml:space="preserve"> </w:t>
            </w:r>
            <w:proofErr w:type="spellStart"/>
            <w:r w:rsidRPr="00E16672">
              <w:rPr>
                <w:rFonts w:ascii="Times New Roman" w:hAnsi="Times New Roman"/>
                <w:b/>
                <w:sz w:val="16"/>
                <w:szCs w:val="16"/>
              </w:rPr>
              <w:t>має</w:t>
            </w:r>
            <w:proofErr w:type="spellEnd"/>
            <w:r w:rsidRPr="00E16672">
              <w:rPr>
                <w:rFonts w:ascii="Times New Roman" w:hAnsi="Times New Roman"/>
                <w:b/>
                <w:sz w:val="16"/>
                <w:szCs w:val="16"/>
                <w:lang w:val="en-US"/>
              </w:rPr>
              <w:t xml:space="preserve"> </w:t>
            </w:r>
            <w:r w:rsidRPr="00E16672">
              <w:rPr>
                <w:rFonts w:ascii="Times New Roman" w:hAnsi="Times New Roman"/>
                <w:b/>
                <w:sz w:val="16"/>
                <w:szCs w:val="16"/>
              </w:rPr>
              <w:t>право</w:t>
            </w:r>
            <w:r w:rsidRPr="00E16672">
              <w:rPr>
                <w:rFonts w:ascii="Times New Roman" w:hAnsi="Times New Roman"/>
                <w:b/>
                <w:sz w:val="16"/>
                <w:szCs w:val="16"/>
                <w:lang w:val="en-US"/>
              </w:rPr>
              <w:t>:</w:t>
            </w:r>
            <w:r w:rsidR="00B86347" w:rsidRPr="00E16672">
              <w:rPr>
                <w:rFonts w:ascii="Times New Roman" w:hAnsi="Times New Roman"/>
                <w:sz w:val="16"/>
                <w:szCs w:val="16"/>
                <w:lang w:val="en-US"/>
              </w:rPr>
              <w:t xml:space="preserve"> </w:t>
            </w:r>
          </w:p>
        </w:tc>
        <w:tc>
          <w:tcPr>
            <w:tcW w:w="5495" w:type="dxa"/>
            <w:gridSpan w:val="8"/>
            <w:shd w:val="clear" w:color="auto" w:fill="auto"/>
          </w:tcPr>
          <w:p w14:paraId="6F5C571B" w14:textId="77777777" w:rsidR="00B86347" w:rsidRPr="00E16672" w:rsidRDefault="00EB25FE" w:rsidP="001456E9">
            <w:pPr>
              <w:tabs>
                <w:tab w:val="left" w:pos="287"/>
              </w:tabs>
              <w:snapToGrid w:val="0"/>
              <w:ind w:left="145" w:right="100"/>
              <w:rPr>
                <w:rFonts w:ascii="Times New Roman" w:hAnsi="Times New Roman"/>
                <w:b/>
                <w:bCs/>
                <w:sz w:val="16"/>
                <w:szCs w:val="16"/>
                <w:lang w:val="en-GB"/>
              </w:rPr>
            </w:pPr>
            <w:r w:rsidRPr="00E16672">
              <w:rPr>
                <w:rFonts w:ascii="Times New Roman" w:hAnsi="Times New Roman"/>
                <w:b/>
                <w:bCs/>
                <w:sz w:val="16"/>
                <w:szCs w:val="16"/>
                <w:lang w:val="en-US"/>
              </w:rPr>
              <w:t>2</w:t>
            </w:r>
            <w:r w:rsidRPr="00E16672">
              <w:rPr>
                <w:rFonts w:ascii="Times New Roman" w:hAnsi="Times New Roman"/>
                <w:b/>
                <w:bCs/>
                <w:sz w:val="16"/>
                <w:szCs w:val="16"/>
                <w:lang w:val="en-GB"/>
              </w:rPr>
              <w:t>.</w:t>
            </w:r>
            <w:r w:rsidRPr="00E16672">
              <w:rPr>
                <w:rFonts w:ascii="Times New Roman" w:hAnsi="Times New Roman"/>
                <w:b/>
                <w:bCs/>
                <w:sz w:val="16"/>
                <w:szCs w:val="16"/>
                <w:lang w:val="en-US"/>
              </w:rPr>
              <w:t>4.</w:t>
            </w:r>
            <w:r w:rsidRPr="00E16672">
              <w:rPr>
                <w:rFonts w:ascii="Times New Roman" w:hAnsi="Times New Roman"/>
                <w:b/>
                <w:bCs/>
                <w:sz w:val="16"/>
                <w:szCs w:val="16"/>
                <w:lang w:val="en-GB"/>
              </w:rPr>
              <w:t xml:space="preserve"> </w:t>
            </w:r>
            <w:r w:rsidR="00B86347" w:rsidRPr="00E16672">
              <w:rPr>
                <w:rFonts w:ascii="Times New Roman" w:hAnsi="Times New Roman"/>
                <w:b/>
                <w:sz w:val="16"/>
                <w:szCs w:val="16"/>
                <w:lang w:val="en-US"/>
              </w:rPr>
              <w:t>Nominee holder</w:t>
            </w:r>
            <w:r w:rsidR="00B86347" w:rsidRPr="00E16672">
              <w:rPr>
                <w:rFonts w:ascii="Times New Roman" w:hAnsi="Times New Roman"/>
                <w:b/>
                <w:bCs/>
                <w:sz w:val="16"/>
                <w:szCs w:val="16"/>
                <w:lang w:val="en-GB"/>
              </w:rPr>
              <w:t xml:space="preserve"> </w:t>
            </w:r>
            <w:r w:rsidRPr="00E16672">
              <w:rPr>
                <w:rFonts w:ascii="Times New Roman" w:hAnsi="Times New Roman"/>
                <w:b/>
                <w:bCs/>
                <w:sz w:val="16"/>
                <w:szCs w:val="16"/>
                <w:lang w:val="en-US"/>
              </w:rPr>
              <w:t>have right</w:t>
            </w:r>
            <w:r w:rsidRPr="00E16672">
              <w:rPr>
                <w:rFonts w:ascii="Times New Roman" w:hAnsi="Times New Roman"/>
                <w:b/>
                <w:bCs/>
                <w:sz w:val="16"/>
                <w:szCs w:val="16"/>
                <w:lang w:val="en-GB"/>
              </w:rPr>
              <w:t>:</w:t>
            </w:r>
          </w:p>
          <w:p w14:paraId="4486A104" w14:textId="77777777" w:rsidR="00EB25FE" w:rsidRPr="00E16672" w:rsidRDefault="00B86347" w:rsidP="001456E9">
            <w:pPr>
              <w:tabs>
                <w:tab w:val="left" w:pos="287"/>
              </w:tabs>
              <w:snapToGrid w:val="0"/>
              <w:ind w:left="145" w:right="100"/>
              <w:rPr>
                <w:rFonts w:ascii="Times New Roman" w:hAnsi="Times New Roman"/>
                <w:bCs/>
                <w:sz w:val="16"/>
                <w:szCs w:val="16"/>
                <w:lang w:val="en-GB"/>
              </w:rPr>
            </w:pPr>
            <w:r w:rsidRPr="00E16672">
              <w:rPr>
                <w:rFonts w:ascii="Times New Roman" w:hAnsi="Times New Roman"/>
                <w:bCs/>
                <w:sz w:val="16"/>
                <w:szCs w:val="16"/>
                <w:lang w:val="en-GB"/>
              </w:rPr>
              <w:t xml:space="preserve"> </w:t>
            </w:r>
          </w:p>
        </w:tc>
      </w:tr>
      <w:tr w:rsidR="00EB25FE" w:rsidRPr="00F23413" w14:paraId="3AED896B" w14:textId="77777777" w:rsidTr="005145B5">
        <w:tblPrEx>
          <w:tblCellMar>
            <w:left w:w="0" w:type="dxa"/>
            <w:right w:w="0" w:type="dxa"/>
          </w:tblCellMar>
        </w:tblPrEx>
        <w:trPr>
          <w:trHeight w:val="192"/>
        </w:trPr>
        <w:tc>
          <w:tcPr>
            <w:tcW w:w="5695" w:type="dxa"/>
            <w:gridSpan w:val="7"/>
            <w:shd w:val="clear" w:color="auto" w:fill="auto"/>
          </w:tcPr>
          <w:p w14:paraId="4119ADD9" w14:textId="77777777" w:rsidR="00EB25FE" w:rsidRPr="00E16672" w:rsidRDefault="00EB25FE" w:rsidP="00794B3F">
            <w:pPr>
              <w:pStyle w:val="WW-1"/>
              <w:snapToGrid w:val="0"/>
              <w:ind w:left="175" w:right="138"/>
              <w:jc w:val="both"/>
              <w:rPr>
                <w:rFonts w:eastAsia="Times New Roman"/>
                <w:i w:val="0"/>
                <w:sz w:val="16"/>
                <w:szCs w:val="16"/>
                <w:lang w:val="uk-UA"/>
              </w:rPr>
            </w:pPr>
            <w:r w:rsidRPr="00E16672">
              <w:rPr>
                <w:i w:val="0"/>
                <w:sz w:val="16"/>
                <w:szCs w:val="16"/>
              </w:rPr>
              <w:t>2.4</w:t>
            </w:r>
            <w:r w:rsidRPr="00E16672">
              <w:rPr>
                <w:rFonts w:eastAsia="Times New Roman"/>
                <w:i w:val="0"/>
                <w:sz w:val="16"/>
                <w:szCs w:val="16"/>
                <w:lang w:val="uk-UA"/>
              </w:rPr>
              <w:t>.</w:t>
            </w:r>
            <w:r w:rsidR="00B86347" w:rsidRPr="00E16672">
              <w:rPr>
                <w:rFonts w:eastAsia="Times New Roman"/>
                <w:i w:val="0"/>
                <w:sz w:val="16"/>
                <w:szCs w:val="16"/>
                <w:lang w:val="uk-UA"/>
              </w:rPr>
              <w:t>1</w:t>
            </w:r>
            <w:r w:rsidRPr="00E16672">
              <w:rPr>
                <w:rFonts w:eastAsia="Times New Roman"/>
                <w:i w:val="0"/>
                <w:sz w:val="16"/>
                <w:szCs w:val="16"/>
                <w:lang w:val="uk-UA"/>
              </w:rPr>
              <w:t xml:space="preserve">.  </w:t>
            </w:r>
            <w:proofErr w:type="spellStart"/>
            <w:r w:rsidRPr="00E16672">
              <w:rPr>
                <w:bCs/>
                <w:i w:val="0"/>
                <w:sz w:val="16"/>
                <w:szCs w:val="16"/>
              </w:rPr>
              <w:t>Призначити</w:t>
            </w:r>
            <w:proofErr w:type="spellEnd"/>
            <w:r w:rsidRPr="00E16672">
              <w:rPr>
                <w:bCs/>
                <w:i w:val="0"/>
                <w:sz w:val="16"/>
                <w:szCs w:val="16"/>
              </w:rPr>
              <w:t xml:space="preserve"> </w:t>
            </w:r>
            <w:proofErr w:type="spellStart"/>
            <w:r w:rsidRPr="00E16672">
              <w:rPr>
                <w:bCs/>
                <w:i w:val="0"/>
                <w:sz w:val="16"/>
                <w:szCs w:val="16"/>
              </w:rPr>
              <w:t>керуючого</w:t>
            </w:r>
            <w:proofErr w:type="spellEnd"/>
            <w:r w:rsidRPr="00E16672">
              <w:rPr>
                <w:bCs/>
                <w:i w:val="0"/>
                <w:sz w:val="16"/>
                <w:szCs w:val="16"/>
              </w:rPr>
              <w:t xml:space="preserve"> (</w:t>
            </w:r>
            <w:proofErr w:type="spellStart"/>
            <w:r w:rsidRPr="00E16672">
              <w:rPr>
                <w:bCs/>
                <w:i w:val="0"/>
                <w:sz w:val="16"/>
                <w:szCs w:val="16"/>
              </w:rPr>
              <w:t>керуючих</w:t>
            </w:r>
            <w:proofErr w:type="spellEnd"/>
            <w:r w:rsidRPr="00E16672">
              <w:rPr>
                <w:bCs/>
                <w:i w:val="0"/>
                <w:sz w:val="16"/>
                <w:szCs w:val="16"/>
              </w:rPr>
              <w:t xml:space="preserve">) </w:t>
            </w:r>
            <w:proofErr w:type="spellStart"/>
            <w:r w:rsidRPr="00E16672">
              <w:rPr>
                <w:bCs/>
                <w:i w:val="0"/>
                <w:sz w:val="16"/>
                <w:szCs w:val="16"/>
              </w:rPr>
              <w:t>рахунком</w:t>
            </w:r>
            <w:proofErr w:type="spellEnd"/>
            <w:r w:rsidRPr="00E16672">
              <w:rPr>
                <w:bCs/>
                <w:i w:val="0"/>
                <w:sz w:val="16"/>
                <w:szCs w:val="16"/>
              </w:rPr>
              <w:t xml:space="preserve"> </w:t>
            </w:r>
            <w:r w:rsidR="00C22309" w:rsidRPr="00E16672">
              <w:rPr>
                <w:bCs/>
                <w:i w:val="0"/>
                <w:sz w:val="16"/>
                <w:szCs w:val="16"/>
              </w:rPr>
              <w:t xml:space="preserve">в </w:t>
            </w:r>
            <w:proofErr w:type="spellStart"/>
            <w:r w:rsidR="00C22309" w:rsidRPr="00E16672">
              <w:rPr>
                <w:bCs/>
                <w:i w:val="0"/>
                <w:sz w:val="16"/>
                <w:szCs w:val="16"/>
              </w:rPr>
              <w:t>цін</w:t>
            </w:r>
            <w:r w:rsidRPr="00E16672">
              <w:rPr>
                <w:bCs/>
                <w:i w:val="0"/>
                <w:sz w:val="16"/>
                <w:szCs w:val="16"/>
              </w:rPr>
              <w:t>них</w:t>
            </w:r>
            <w:proofErr w:type="spellEnd"/>
            <w:r w:rsidRPr="00E16672">
              <w:rPr>
                <w:bCs/>
                <w:i w:val="0"/>
                <w:sz w:val="16"/>
                <w:szCs w:val="16"/>
              </w:rPr>
              <w:t xml:space="preserve"> </w:t>
            </w:r>
            <w:proofErr w:type="spellStart"/>
            <w:r w:rsidRPr="00E16672">
              <w:rPr>
                <w:bCs/>
                <w:i w:val="0"/>
                <w:sz w:val="16"/>
                <w:szCs w:val="16"/>
              </w:rPr>
              <w:t>паперах</w:t>
            </w:r>
            <w:proofErr w:type="spellEnd"/>
            <w:r w:rsidRPr="00E16672">
              <w:rPr>
                <w:bCs/>
                <w:i w:val="0"/>
                <w:sz w:val="16"/>
                <w:szCs w:val="16"/>
              </w:rPr>
              <w:t>.</w:t>
            </w:r>
            <w:r w:rsidRPr="00E16672">
              <w:rPr>
                <w:b/>
                <w:bCs/>
                <w:sz w:val="16"/>
                <w:szCs w:val="16"/>
              </w:rPr>
              <w:t xml:space="preserve"> </w:t>
            </w:r>
            <w:r w:rsidR="000706C5" w:rsidRPr="00E16672">
              <w:rPr>
                <w:i w:val="0"/>
                <w:color w:val="000000"/>
                <w:sz w:val="16"/>
                <w:szCs w:val="16"/>
                <w:lang w:val="uk-UA"/>
              </w:rPr>
              <w:t>Номінального утримувача</w:t>
            </w:r>
            <w:r w:rsidRPr="00E16672">
              <w:rPr>
                <w:rFonts w:eastAsia="Times New Roman"/>
                <w:i w:val="0"/>
                <w:sz w:val="16"/>
                <w:szCs w:val="16"/>
                <w:lang w:val="uk-UA"/>
              </w:rPr>
              <w:t xml:space="preserve"> має право розділити повноваження з управління рахунком </w:t>
            </w:r>
            <w:r w:rsidR="00C22309" w:rsidRPr="00E16672">
              <w:rPr>
                <w:rFonts w:eastAsia="Times New Roman"/>
                <w:i w:val="0"/>
                <w:sz w:val="16"/>
                <w:szCs w:val="16"/>
                <w:lang w:val="uk-UA"/>
              </w:rPr>
              <w:t>в цін</w:t>
            </w:r>
            <w:r w:rsidRPr="00E16672">
              <w:rPr>
                <w:rFonts w:eastAsia="Times New Roman"/>
                <w:i w:val="0"/>
                <w:sz w:val="16"/>
                <w:szCs w:val="16"/>
                <w:lang w:val="uk-UA"/>
              </w:rPr>
              <w:t>них паперах серед декількох керуючих рахунком. Різним керуючим рахунком - професійним учасникам фондового ринку не можуть делегуватися однакові повноваження. За певним випуском цінних паперів може бути визначений тільки один керуючий рахунком.</w:t>
            </w:r>
          </w:p>
          <w:p w14:paraId="112F307B" w14:textId="77777777" w:rsidR="00EB25FE" w:rsidRPr="00E16672" w:rsidRDefault="00EB25FE" w:rsidP="00794B3F">
            <w:pPr>
              <w:pStyle w:val="WW-1"/>
              <w:ind w:left="175" w:right="138"/>
              <w:jc w:val="both"/>
              <w:rPr>
                <w:rFonts w:eastAsia="Times New Roman"/>
                <w:i w:val="0"/>
                <w:sz w:val="16"/>
                <w:szCs w:val="16"/>
              </w:rPr>
            </w:pPr>
          </w:p>
        </w:tc>
        <w:tc>
          <w:tcPr>
            <w:tcW w:w="5495" w:type="dxa"/>
            <w:gridSpan w:val="8"/>
            <w:shd w:val="clear" w:color="auto" w:fill="auto"/>
          </w:tcPr>
          <w:p w14:paraId="5A639F92" w14:textId="77777777" w:rsidR="00EB25FE" w:rsidRPr="00E16672" w:rsidRDefault="00EB25FE" w:rsidP="00B86347">
            <w:pPr>
              <w:tabs>
                <w:tab w:val="left" w:pos="287"/>
              </w:tabs>
              <w:snapToGrid w:val="0"/>
              <w:ind w:left="145" w:right="100" w:firstLine="0"/>
              <w:rPr>
                <w:rFonts w:ascii="Times New Roman" w:hAnsi="Times New Roman"/>
                <w:sz w:val="16"/>
                <w:szCs w:val="16"/>
                <w:lang w:val="en-GB"/>
              </w:rPr>
            </w:pPr>
            <w:r w:rsidRPr="00E16672">
              <w:rPr>
                <w:rFonts w:ascii="Times New Roman" w:hAnsi="Times New Roman"/>
                <w:sz w:val="16"/>
                <w:szCs w:val="16"/>
                <w:lang w:val="en-US"/>
              </w:rPr>
              <w:t>2.4</w:t>
            </w:r>
            <w:r w:rsidRPr="00E16672">
              <w:rPr>
                <w:rFonts w:ascii="Times New Roman" w:hAnsi="Times New Roman"/>
                <w:sz w:val="16"/>
                <w:szCs w:val="16"/>
                <w:lang w:val="en-GB"/>
              </w:rPr>
              <w:t>.</w:t>
            </w:r>
            <w:r w:rsidR="00B86347" w:rsidRPr="00E16672">
              <w:rPr>
                <w:rFonts w:ascii="Times New Roman" w:hAnsi="Times New Roman"/>
                <w:sz w:val="16"/>
                <w:szCs w:val="16"/>
                <w:lang w:val="uk-UA"/>
              </w:rPr>
              <w:t>1</w:t>
            </w:r>
            <w:r w:rsidRPr="00E16672">
              <w:rPr>
                <w:rFonts w:ascii="Times New Roman" w:hAnsi="Times New Roman"/>
                <w:sz w:val="16"/>
                <w:szCs w:val="16"/>
                <w:lang w:val="en-GB"/>
              </w:rPr>
              <w:t xml:space="preserve">. </w:t>
            </w:r>
            <w:r w:rsidRPr="00F23413">
              <w:rPr>
                <w:rFonts w:ascii="Times New Roman" w:hAnsi="Times New Roman"/>
                <w:sz w:val="16"/>
                <w:szCs w:val="16"/>
                <w:lang w:val="en-US"/>
              </w:rPr>
              <w:t>Appoint a manager (manager</w:t>
            </w:r>
            <w:r w:rsidRPr="00E16672">
              <w:rPr>
                <w:rFonts w:ascii="Times New Roman" w:hAnsi="Times New Roman"/>
                <w:sz w:val="16"/>
                <w:szCs w:val="16"/>
                <w:lang w:val="en-US"/>
              </w:rPr>
              <w:t>s</w:t>
            </w:r>
            <w:r w:rsidRPr="00F23413">
              <w:rPr>
                <w:rFonts w:ascii="Times New Roman" w:hAnsi="Times New Roman"/>
                <w:sz w:val="16"/>
                <w:szCs w:val="16"/>
                <w:lang w:val="en-US"/>
              </w:rPr>
              <w:t xml:space="preserve">) </w:t>
            </w:r>
            <w:r w:rsidRPr="00E16672">
              <w:rPr>
                <w:rFonts w:ascii="Times New Roman" w:hAnsi="Times New Roman"/>
                <w:sz w:val="16"/>
                <w:lang w:val="en-US"/>
              </w:rPr>
              <w:t xml:space="preserve">of the account in </w:t>
            </w:r>
            <w:proofErr w:type="gramStart"/>
            <w:r w:rsidRPr="00E16672">
              <w:rPr>
                <w:rFonts w:ascii="Times New Roman" w:hAnsi="Times New Roman"/>
                <w:sz w:val="16"/>
                <w:lang w:val="en-US"/>
              </w:rPr>
              <w:t>securities</w:t>
            </w:r>
            <w:r w:rsidRPr="00F23413">
              <w:rPr>
                <w:rFonts w:ascii="Times New Roman" w:hAnsi="Times New Roman"/>
                <w:sz w:val="16"/>
                <w:szCs w:val="16"/>
                <w:lang w:val="en-US"/>
              </w:rPr>
              <w:t>.</w:t>
            </w:r>
            <w:r w:rsidRPr="00E16672">
              <w:rPr>
                <w:rFonts w:ascii="Times New Roman" w:hAnsi="Times New Roman"/>
                <w:sz w:val="16"/>
                <w:szCs w:val="16"/>
                <w:lang w:val="en-GB"/>
              </w:rPr>
              <w:t>The</w:t>
            </w:r>
            <w:proofErr w:type="gramEnd"/>
            <w:r w:rsidRPr="00E16672">
              <w:rPr>
                <w:rFonts w:ascii="Times New Roman" w:hAnsi="Times New Roman"/>
                <w:sz w:val="16"/>
                <w:szCs w:val="16"/>
                <w:lang w:val="en-GB"/>
              </w:rPr>
              <w:t xml:space="preserve"> </w:t>
            </w:r>
            <w:r w:rsidR="00B43682" w:rsidRPr="00E16672">
              <w:rPr>
                <w:rFonts w:ascii="Times New Roman" w:hAnsi="Times New Roman"/>
                <w:sz w:val="16"/>
                <w:szCs w:val="16"/>
                <w:lang w:val="en-US"/>
              </w:rPr>
              <w:t>Nominee holder</w:t>
            </w:r>
            <w:r w:rsidR="00B43682" w:rsidRPr="00E16672">
              <w:rPr>
                <w:rFonts w:ascii="Times New Roman" w:hAnsi="Times New Roman"/>
                <w:sz w:val="16"/>
                <w:szCs w:val="16"/>
                <w:lang w:val="en-GB"/>
              </w:rPr>
              <w:t xml:space="preserve"> </w:t>
            </w:r>
            <w:r w:rsidRPr="00E16672">
              <w:rPr>
                <w:rFonts w:ascii="Times New Roman" w:hAnsi="Times New Roman"/>
                <w:sz w:val="16"/>
                <w:szCs w:val="16"/>
                <w:lang w:val="en-GB"/>
              </w:rPr>
              <w:t xml:space="preserve">has the right to  </w:t>
            </w:r>
            <w:proofErr w:type="spellStart"/>
            <w:r w:rsidRPr="00E16672">
              <w:rPr>
                <w:rFonts w:ascii="Times New Roman" w:hAnsi="Times New Roman"/>
                <w:sz w:val="16"/>
                <w:szCs w:val="16"/>
                <w:lang w:val="en-GB"/>
              </w:rPr>
              <w:t>to</w:t>
            </w:r>
            <w:proofErr w:type="spellEnd"/>
            <w:r w:rsidRPr="00E16672">
              <w:rPr>
                <w:rFonts w:ascii="Times New Roman" w:hAnsi="Times New Roman"/>
                <w:sz w:val="16"/>
                <w:szCs w:val="16"/>
                <w:lang w:val="en-GB"/>
              </w:rPr>
              <w:t xml:space="preserve"> divide the rights of managing of the account in securities between some of the administrator of the account. Different administrator - professional participants of the stock market </w:t>
            </w:r>
            <w:proofErr w:type="spellStart"/>
            <w:r w:rsidRPr="00E16672">
              <w:rPr>
                <w:rFonts w:ascii="Times New Roman" w:hAnsi="Times New Roman"/>
                <w:sz w:val="16"/>
                <w:szCs w:val="16"/>
                <w:lang w:val="en-GB"/>
              </w:rPr>
              <w:t>can not</w:t>
            </w:r>
            <w:proofErr w:type="spellEnd"/>
            <w:r w:rsidRPr="00E16672">
              <w:rPr>
                <w:rFonts w:ascii="Times New Roman" w:hAnsi="Times New Roman"/>
                <w:sz w:val="16"/>
                <w:szCs w:val="16"/>
                <w:lang w:val="en-GB"/>
              </w:rPr>
              <w:t xml:space="preserve"> be delegated the same powers. In particular issue of securities may be </w:t>
            </w:r>
            <w:proofErr w:type="gramStart"/>
            <w:r w:rsidRPr="00E16672">
              <w:rPr>
                <w:rFonts w:ascii="Times New Roman" w:hAnsi="Times New Roman"/>
                <w:sz w:val="16"/>
                <w:szCs w:val="16"/>
                <w:lang w:val="en-GB"/>
              </w:rPr>
              <w:t>determined  only</w:t>
            </w:r>
            <w:proofErr w:type="gramEnd"/>
            <w:r w:rsidRPr="00E16672">
              <w:rPr>
                <w:rFonts w:ascii="Times New Roman" w:hAnsi="Times New Roman"/>
                <w:sz w:val="16"/>
                <w:szCs w:val="16"/>
                <w:lang w:val="en-GB"/>
              </w:rPr>
              <w:t xml:space="preserve"> one administrator account.</w:t>
            </w:r>
          </w:p>
        </w:tc>
      </w:tr>
      <w:tr w:rsidR="00EB25FE" w:rsidRPr="00F23413" w14:paraId="111CF9E7" w14:textId="77777777" w:rsidTr="005145B5">
        <w:tblPrEx>
          <w:tblCellMar>
            <w:left w:w="0" w:type="dxa"/>
            <w:right w:w="0" w:type="dxa"/>
          </w:tblCellMar>
        </w:tblPrEx>
        <w:trPr>
          <w:trHeight w:val="192"/>
        </w:trPr>
        <w:tc>
          <w:tcPr>
            <w:tcW w:w="5695" w:type="dxa"/>
            <w:gridSpan w:val="7"/>
            <w:shd w:val="clear" w:color="auto" w:fill="auto"/>
          </w:tcPr>
          <w:p w14:paraId="45BD9E7E" w14:textId="77777777" w:rsidR="00EB25FE" w:rsidRPr="00E16672" w:rsidRDefault="00EB25FE" w:rsidP="00794B3F">
            <w:pPr>
              <w:tabs>
                <w:tab w:val="left" w:pos="709"/>
              </w:tabs>
              <w:snapToGrid w:val="0"/>
              <w:ind w:left="175" w:right="138" w:firstLine="0"/>
              <w:rPr>
                <w:rFonts w:ascii="Times New Roman" w:hAnsi="Times New Roman"/>
                <w:sz w:val="16"/>
                <w:szCs w:val="16"/>
              </w:rPr>
            </w:pPr>
            <w:r w:rsidRPr="00E16672">
              <w:rPr>
                <w:rFonts w:ascii="Times New Roman" w:hAnsi="Times New Roman"/>
                <w:sz w:val="16"/>
                <w:szCs w:val="16"/>
              </w:rPr>
              <w:t>2.4.</w:t>
            </w:r>
            <w:r w:rsidR="008C59B2" w:rsidRPr="00E16672">
              <w:rPr>
                <w:rFonts w:ascii="Times New Roman" w:hAnsi="Times New Roman"/>
                <w:sz w:val="16"/>
                <w:szCs w:val="16"/>
                <w:lang w:val="uk-UA"/>
              </w:rPr>
              <w:t>2</w:t>
            </w:r>
            <w:r w:rsidRPr="00E16672">
              <w:rPr>
                <w:rFonts w:ascii="Times New Roman" w:hAnsi="Times New Roman"/>
                <w:sz w:val="16"/>
                <w:szCs w:val="16"/>
              </w:rPr>
              <w:t xml:space="preserve">. </w:t>
            </w:r>
            <w:proofErr w:type="spellStart"/>
            <w:r w:rsidRPr="00E16672">
              <w:rPr>
                <w:rFonts w:ascii="Times New Roman" w:hAnsi="Times New Roman"/>
                <w:sz w:val="16"/>
                <w:szCs w:val="16"/>
              </w:rPr>
              <w:t>Вимагати</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від</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Депозитарної</w:t>
            </w:r>
            <w:proofErr w:type="spellEnd"/>
            <w:r w:rsidRPr="00E16672">
              <w:rPr>
                <w:rFonts w:ascii="Times New Roman" w:hAnsi="Times New Roman"/>
                <w:sz w:val="16"/>
                <w:szCs w:val="16"/>
              </w:rPr>
              <w:t xml:space="preserve"> установи </w:t>
            </w:r>
            <w:proofErr w:type="spellStart"/>
            <w:r w:rsidRPr="00E16672">
              <w:rPr>
                <w:rFonts w:ascii="Times New Roman" w:hAnsi="Times New Roman"/>
                <w:sz w:val="16"/>
                <w:szCs w:val="16"/>
              </w:rPr>
              <w:t>своєчасного</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виконання</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своїх</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розпоряджень</w:t>
            </w:r>
            <w:proofErr w:type="spellEnd"/>
            <w:r w:rsidRPr="00E16672">
              <w:rPr>
                <w:rFonts w:ascii="Times New Roman" w:hAnsi="Times New Roman"/>
                <w:sz w:val="16"/>
                <w:szCs w:val="16"/>
              </w:rPr>
              <w:t xml:space="preserve"> на </w:t>
            </w:r>
            <w:proofErr w:type="spellStart"/>
            <w:r w:rsidRPr="00E16672">
              <w:rPr>
                <w:rFonts w:ascii="Times New Roman" w:hAnsi="Times New Roman"/>
                <w:sz w:val="16"/>
                <w:szCs w:val="16"/>
              </w:rPr>
              <w:t>рахунку</w:t>
            </w:r>
            <w:proofErr w:type="spellEnd"/>
            <w:r w:rsidRPr="00E16672">
              <w:rPr>
                <w:rFonts w:ascii="Times New Roman" w:hAnsi="Times New Roman"/>
                <w:sz w:val="16"/>
                <w:szCs w:val="16"/>
              </w:rPr>
              <w:t xml:space="preserve"> </w:t>
            </w:r>
            <w:r w:rsidR="00C22309" w:rsidRPr="00E16672">
              <w:rPr>
                <w:rFonts w:ascii="Times New Roman" w:hAnsi="Times New Roman"/>
                <w:sz w:val="16"/>
                <w:szCs w:val="16"/>
              </w:rPr>
              <w:t xml:space="preserve">в </w:t>
            </w:r>
            <w:proofErr w:type="spellStart"/>
            <w:r w:rsidR="00C22309" w:rsidRPr="00E16672">
              <w:rPr>
                <w:rFonts w:ascii="Times New Roman" w:hAnsi="Times New Roman"/>
                <w:sz w:val="16"/>
                <w:szCs w:val="16"/>
              </w:rPr>
              <w:t>цін</w:t>
            </w:r>
            <w:r w:rsidRPr="00E16672">
              <w:rPr>
                <w:rFonts w:ascii="Times New Roman" w:hAnsi="Times New Roman"/>
                <w:sz w:val="16"/>
                <w:szCs w:val="16"/>
              </w:rPr>
              <w:t>них</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паперах</w:t>
            </w:r>
            <w:proofErr w:type="spellEnd"/>
            <w:r w:rsidRPr="00E16672">
              <w:rPr>
                <w:rFonts w:ascii="Times New Roman" w:hAnsi="Times New Roman"/>
                <w:sz w:val="16"/>
                <w:szCs w:val="16"/>
              </w:rPr>
              <w:t xml:space="preserve"> та </w:t>
            </w:r>
            <w:proofErr w:type="spellStart"/>
            <w:r w:rsidRPr="00E16672">
              <w:rPr>
                <w:rFonts w:ascii="Times New Roman" w:hAnsi="Times New Roman"/>
                <w:sz w:val="16"/>
                <w:szCs w:val="16"/>
              </w:rPr>
              <w:t>отримувати</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відповідно</w:t>
            </w:r>
            <w:proofErr w:type="spellEnd"/>
            <w:r w:rsidRPr="00E16672">
              <w:rPr>
                <w:rFonts w:ascii="Times New Roman" w:hAnsi="Times New Roman"/>
                <w:sz w:val="16"/>
                <w:szCs w:val="16"/>
              </w:rPr>
              <w:t xml:space="preserve"> до умов Договору </w:t>
            </w:r>
            <w:proofErr w:type="spellStart"/>
            <w:r w:rsidRPr="00E16672">
              <w:rPr>
                <w:rFonts w:ascii="Times New Roman" w:hAnsi="Times New Roman"/>
                <w:sz w:val="16"/>
                <w:szCs w:val="16"/>
              </w:rPr>
              <w:t>повну</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інформацію</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щодо</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цінних</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паперів</w:t>
            </w:r>
            <w:proofErr w:type="spellEnd"/>
            <w:r w:rsidRPr="00E16672">
              <w:rPr>
                <w:rFonts w:ascii="Times New Roman" w:hAnsi="Times New Roman"/>
                <w:sz w:val="16"/>
                <w:szCs w:val="16"/>
              </w:rPr>
              <w:t xml:space="preserve">, прав на </w:t>
            </w:r>
            <w:proofErr w:type="spellStart"/>
            <w:r w:rsidRPr="00E16672">
              <w:rPr>
                <w:rFonts w:ascii="Times New Roman" w:hAnsi="Times New Roman"/>
                <w:sz w:val="16"/>
                <w:szCs w:val="16"/>
              </w:rPr>
              <w:t>цінні</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папери</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які</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обліковуються</w:t>
            </w:r>
            <w:proofErr w:type="spellEnd"/>
            <w:r w:rsidRPr="00E16672">
              <w:rPr>
                <w:rFonts w:ascii="Times New Roman" w:hAnsi="Times New Roman"/>
                <w:sz w:val="16"/>
                <w:szCs w:val="16"/>
              </w:rPr>
              <w:t xml:space="preserve"> на </w:t>
            </w:r>
            <w:proofErr w:type="spellStart"/>
            <w:r w:rsidRPr="00E16672">
              <w:rPr>
                <w:rFonts w:ascii="Times New Roman" w:hAnsi="Times New Roman"/>
                <w:sz w:val="16"/>
                <w:szCs w:val="16"/>
              </w:rPr>
              <w:t>рахунку</w:t>
            </w:r>
            <w:proofErr w:type="spellEnd"/>
            <w:r w:rsidRPr="00E16672">
              <w:rPr>
                <w:rFonts w:ascii="Times New Roman" w:hAnsi="Times New Roman"/>
                <w:sz w:val="16"/>
                <w:szCs w:val="16"/>
              </w:rPr>
              <w:t xml:space="preserve"> </w:t>
            </w:r>
            <w:r w:rsidR="00C22309" w:rsidRPr="00E16672">
              <w:rPr>
                <w:rFonts w:ascii="Times New Roman" w:hAnsi="Times New Roman"/>
                <w:sz w:val="16"/>
                <w:szCs w:val="16"/>
              </w:rPr>
              <w:t xml:space="preserve">в </w:t>
            </w:r>
            <w:proofErr w:type="spellStart"/>
            <w:r w:rsidR="00C22309" w:rsidRPr="00E16672">
              <w:rPr>
                <w:rFonts w:ascii="Times New Roman" w:hAnsi="Times New Roman"/>
                <w:sz w:val="16"/>
                <w:szCs w:val="16"/>
              </w:rPr>
              <w:t>цін</w:t>
            </w:r>
            <w:r w:rsidRPr="00E16672">
              <w:rPr>
                <w:rFonts w:ascii="Times New Roman" w:hAnsi="Times New Roman"/>
                <w:sz w:val="16"/>
                <w:szCs w:val="16"/>
              </w:rPr>
              <w:t>них</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паперах</w:t>
            </w:r>
            <w:proofErr w:type="spellEnd"/>
            <w:r w:rsidRPr="00E16672">
              <w:rPr>
                <w:rFonts w:ascii="Times New Roman" w:hAnsi="Times New Roman"/>
                <w:sz w:val="16"/>
                <w:szCs w:val="16"/>
              </w:rPr>
              <w:t xml:space="preserve"> </w:t>
            </w:r>
            <w:r w:rsidR="000706C5" w:rsidRPr="00E16672">
              <w:rPr>
                <w:rFonts w:ascii="Times New Roman" w:hAnsi="Times New Roman"/>
                <w:color w:val="000000"/>
                <w:sz w:val="16"/>
                <w:szCs w:val="16"/>
                <w:lang w:val="uk-UA"/>
              </w:rPr>
              <w:t>Номінального утримувача</w:t>
            </w:r>
            <w:r w:rsidRPr="00E16672">
              <w:rPr>
                <w:rFonts w:ascii="Times New Roman" w:hAnsi="Times New Roman"/>
                <w:sz w:val="16"/>
                <w:szCs w:val="16"/>
              </w:rPr>
              <w:t>.</w:t>
            </w:r>
          </w:p>
          <w:p w14:paraId="167632B3" w14:textId="77777777" w:rsidR="00EB25FE" w:rsidRPr="00E16672" w:rsidRDefault="00EB25FE" w:rsidP="00794B3F">
            <w:pPr>
              <w:tabs>
                <w:tab w:val="left" w:pos="709"/>
              </w:tabs>
              <w:ind w:left="175" w:right="138"/>
              <w:rPr>
                <w:rFonts w:ascii="Times New Roman" w:hAnsi="Times New Roman"/>
                <w:sz w:val="16"/>
                <w:szCs w:val="16"/>
              </w:rPr>
            </w:pPr>
          </w:p>
        </w:tc>
        <w:tc>
          <w:tcPr>
            <w:tcW w:w="5495" w:type="dxa"/>
            <w:gridSpan w:val="8"/>
            <w:shd w:val="clear" w:color="auto" w:fill="auto"/>
          </w:tcPr>
          <w:p w14:paraId="4F83B838" w14:textId="77777777" w:rsidR="00EB25FE" w:rsidRPr="00E16672" w:rsidRDefault="00EB25FE" w:rsidP="00794B3F">
            <w:pPr>
              <w:tabs>
                <w:tab w:val="left" w:pos="287"/>
              </w:tabs>
              <w:snapToGrid w:val="0"/>
              <w:ind w:left="145" w:right="100" w:firstLine="0"/>
              <w:rPr>
                <w:rFonts w:ascii="Times New Roman" w:hAnsi="Times New Roman"/>
                <w:sz w:val="16"/>
                <w:szCs w:val="16"/>
                <w:lang w:val="en-GB"/>
              </w:rPr>
            </w:pPr>
            <w:r w:rsidRPr="00E16672">
              <w:rPr>
                <w:rFonts w:ascii="Times New Roman" w:hAnsi="Times New Roman"/>
                <w:sz w:val="16"/>
                <w:szCs w:val="16"/>
                <w:lang w:val="en-US"/>
              </w:rPr>
              <w:t>2.4</w:t>
            </w:r>
            <w:r w:rsidRPr="00E16672">
              <w:rPr>
                <w:rFonts w:ascii="Times New Roman" w:hAnsi="Times New Roman"/>
                <w:sz w:val="16"/>
                <w:szCs w:val="16"/>
                <w:lang w:val="en-GB"/>
              </w:rPr>
              <w:t>.</w:t>
            </w:r>
            <w:r w:rsidR="008C59B2" w:rsidRPr="00E16672">
              <w:rPr>
                <w:rFonts w:ascii="Times New Roman" w:hAnsi="Times New Roman"/>
                <w:sz w:val="16"/>
                <w:szCs w:val="16"/>
                <w:lang w:val="uk-UA"/>
              </w:rPr>
              <w:t>2</w:t>
            </w:r>
            <w:r w:rsidRPr="00E16672">
              <w:rPr>
                <w:rFonts w:ascii="Times New Roman" w:hAnsi="Times New Roman"/>
                <w:sz w:val="16"/>
                <w:szCs w:val="16"/>
                <w:lang w:val="en-GB"/>
              </w:rPr>
              <w:t xml:space="preserve">. To demand the Depository institution to keep the terms of execution of the orders on the account in </w:t>
            </w:r>
            <w:proofErr w:type="gramStart"/>
            <w:r w:rsidRPr="00E16672">
              <w:rPr>
                <w:rFonts w:ascii="Times New Roman" w:hAnsi="Times New Roman"/>
                <w:sz w:val="16"/>
                <w:szCs w:val="16"/>
                <w:lang w:val="en-GB"/>
              </w:rPr>
              <w:t>securities  and</w:t>
            </w:r>
            <w:proofErr w:type="gramEnd"/>
            <w:r w:rsidRPr="00E16672">
              <w:rPr>
                <w:rFonts w:ascii="Times New Roman" w:hAnsi="Times New Roman"/>
                <w:sz w:val="16"/>
                <w:szCs w:val="16"/>
                <w:lang w:val="en-GB"/>
              </w:rPr>
              <w:t xml:space="preserve"> receive pursuant to the terms of the Agreement full information concerning securities, rights on securities that are registered on  the account in securities of </w:t>
            </w:r>
            <w:r w:rsidR="00B43682" w:rsidRPr="00E16672">
              <w:rPr>
                <w:rFonts w:ascii="Times New Roman" w:hAnsi="Times New Roman"/>
                <w:sz w:val="16"/>
                <w:szCs w:val="16"/>
                <w:lang w:val="en-US"/>
              </w:rPr>
              <w:t>Nominee holder</w:t>
            </w:r>
            <w:r w:rsidRPr="00E16672">
              <w:rPr>
                <w:rFonts w:ascii="Times New Roman" w:hAnsi="Times New Roman"/>
                <w:sz w:val="16"/>
                <w:szCs w:val="16"/>
                <w:lang w:val="en-GB"/>
              </w:rPr>
              <w:t>.</w:t>
            </w:r>
          </w:p>
          <w:p w14:paraId="0B3F2938" w14:textId="77777777" w:rsidR="00EB25FE" w:rsidRPr="00E16672" w:rsidRDefault="00EB25FE" w:rsidP="00794B3F">
            <w:pPr>
              <w:tabs>
                <w:tab w:val="left" w:pos="287"/>
              </w:tabs>
              <w:snapToGrid w:val="0"/>
              <w:ind w:left="145" w:right="100"/>
              <w:rPr>
                <w:rFonts w:ascii="Times New Roman" w:hAnsi="Times New Roman"/>
                <w:sz w:val="16"/>
                <w:szCs w:val="16"/>
                <w:lang w:val="en-US"/>
              </w:rPr>
            </w:pPr>
          </w:p>
        </w:tc>
      </w:tr>
      <w:tr w:rsidR="00EB25FE" w:rsidRPr="00F23413" w14:paraId="20040A12" w14:textId="77777777" w:rsidTr="005E418B">
        <w:tblPrEx>
          <w:tblCellMar>
            <w:left w:w="0" w:type="dxa"/>
            <w:right w:w="0" w:type="dxa"/>
          </w:tblCellMar>
        </w:tblPrEx>
        <w:trPr>
          <w:trHeight w:val="192"/>
        </w:trPr>
        <w:tc>
          <w:tcPr>
            <w:tcW w:w="5695" w:type="dxa"/>
            <w:gridSpan w:val="7"/>
            <w:shd w:val="clear" w:color="auto" w:fill="auto"/>
          </w:tcPr>
          <w:p w14:paraId="1FABBB02" w14:textId="77777777" w:rsidR="00EB25FE" w:rsidRPr="00E16672" w:rsidRDefault="00EB25FE" w:rsidP="00794B3F">
            <w:pPr>
              <w:pStyle w:val="WW-1"/>
              <w:tabs>
                <w:tab w:val="left" w:pos="709"/>
              </w:tabs>
              <w:snapToGrid w:val="0"/>
              <w:ind w:left="175" w:right="138"/>
              <w:jc w:val="both"/>
              <w:rPr>
                <w:rFonts w:eastAsia="Times New Roman"/>
                <w:i w:val="0"/>
                <w:sz w:val="16"/>
                <w:szCs w:val="16"/>
                <w:lang w:val="uk-UA"/>
              </w:rPr>
            </w:pPr>
            <w:r w:rsidRPr="00E16672">
              <w:rPr>
                <w:i w:val="0"/>
                <w:sz w:val="16"/>
                <w:szCs w:val="16"/>
                <w:lang w:val="en-US"/>
              </w:rPr>
              <w:t>2.4</w:t>
            </w:r>
            <w:r w:rsidRPr="00E16672">
              <w:rPr>
                <w:rFonts w:eastAsia="Times New Roman"/>
                <w:i w:val="0"/>
                <w:sz w:val="16"/>
                <w:szCs w:val="16"/>
                <w:lang w:val="uk-UA"/>
              </w:rPr>
              <w:t>.</w:t>
            </w:r>
            <w:r w:rsidR="00181F4C" w:rsidRPr="00E16672">
              <w:rPr>
                <w:rFonts w:eastAsia="Times New Roman"/>
                <w:i w:val="0"/>
                <w:sz w:val="16"/>
                <w:szCs w:val="16"/>
                <w:lang w:val="en-US"/>
              </w:rPr>
              <w:t>3</w:t>
            </w:r>
            <w:r w:rsidRPr="00E16672">
              <w:rPr>
                <w:rFonts w:eastAsia="Times New Roman"/>
                <w:i w:val="0"/>
                <w:sz w:val="16"/>
                <w:szCs w:val="16"/>
                <w:lang w:val="uk-UA"/>
              </w:rPr>
              <w:t xml:space="preserve">. Вимагати від Депозитарної установи виконання умов обслуговування </w:t>
            </w:r>
            <w:proofErr w:type="spellStart"/>
            <w:r w:rsidRPr="00E16672">
              <w:rPr>
                <w:rFonts w:eastAsia="Times New Roman"/>
                <w:i w:val="0"/>
                <w:sz w:val="16"/>
                <w:szCs w:val="16"/>
                <w:lang w:val="uk-UA"/>
              </w:rPr>
              <w:t>обіг</w:t>
            </w:r>
            <w:r w:rsidR="00C22309" w:rsidRPr="00E16672">
              <w:rPr>
                <w:rFonts w:eastAsia="Times New Roman"/>
                <w:i w:val="0"/>
                <w:sz w:val="16"/>
                <w:szCs w:val="16"/>
                <w:lang w:val="uk-UA"/>
              </w:rPr>
              <w:t>в</w:t>
            </w:r>
            <w:proofErr w:type="spellEnd"/>
            <w:r w:rsidR="00C22309" w:rsidRPr="00E16672">
              <w:rPr>
                <w:rFonts w:eastAsia="Times New Roman"/>
                <w:i w:val="0"/>
                <w:sz w:val="16"/>
                <w:szCs w:val="16"/>
                <w:lang w:val="uk-UA"/>
              </w:rPr>
              <w:t xml:space="preserve"> цін</w:t>
            </w:r>
            <w:r w:rsidRPr="00E16672">
              <w:rPr>
                <w:rFonts w:eastAsia="Times New Roman"/>
                <w:i w:val="0"/>
                <w:sz w:val="16"/>
                <w:szCs w:val="16"/>
                <w:lang w:val="uk-UA"/>
              </w:rPr>
              <w:t xml:space="preserve">них паперів на рахунку </w:t>
            </w:r>
            <w:r w:rsidR="00C22309" w:rsidRPr="00E16672">
              <w:rPr>
                <w:rFonts w:eastAsia="Times New Roman"/>
                <w:i w:val="0"/>
                <w:sz w:val="16"/>
                <w:szCs w:val="16"/>
                <w:lang w:val="uk-UA"/>
              </w:rPr>
              <w:t>в цін</w:t>
            </w:r>
            <w:r w:rsidRPr="00E16672">
              <w:rPr>
                <w:rFonts w:eastAsia="Times New Roman"/>
                <w:i w:val="0"/>
                <w:sz w:val="16"/>
                <w:szCs w:val="16"/>
                <w:lang w:val="uk-UA"/>
              </w:rPr>
              <w:t xml:space="preserve">них паперах </w:t>
            </w:r>
            <w:r w:rsidR="00084686" w:rsidRPr="00E16672">
              <w:rPr>
                <w:rFonts w:eastAsia="Times New Roman"/>
                <w:i w:val="0"/>
                <w:sz w:val="16"/>
                <w:szCs w:val="16"/>
                <w:lang w:val="uk-UA"/>
              </w:rPr>
              <w:t>Номінального утримувача</w:t>
            </w:r>
            <w:r w:rsidRPr="00E16672">
              <w:rPr>
                <w:rFonts w:eastAsia="Times New Roman"/>
                <w:i w:val="0"/>
                <w:sz w:val="16"/>
                <w:szCs w:val="16"/>
                <w:lang w:val="uk-UA"/>
              </w:rPr>
              <w:t xml:space="preserve">, обліку прав на цінні папери та їх обмежень на рахунках </w:t>
            </w:r>
            <w:r w:rsidR="00C22309" w:rsidRPr="00E16672">
              <w:rPr>
                <w:rFonts w:eastAsia="Times New Roman"/>
                <w:i w:val="0"/>
                <w:sz w:val="16"/>
                <w:szCs w:val="16"/>
                <w:lang w:val="uk-UA"/>
              </w:rPr>
              <w:t>в цін</w:t>
            </w:r>
            <w:r w:rsidRPr="00E16672">
              <w:rPr>
                <w:rFonts w:eastAsia="Times New Roman"/>
                <w:i w:val="0"/>
                <w:sz w:val="16"/>
                <w:szCs w:val="16"/>
                <w:lang w:val="uk-UA"/>
              </w:rPr>
              <w:t xml:space="preserve">них паперах </w:t>
            </w:r>
            <w:r w:rsidR="000706C5" w:rsidRPr="00E16672">
              <w:rPr>
                <w:i w:val="0"/>
                <w:color w:val="000000"/>
                <w:sz w:val="16"/>
                <w:szCs w:val="16"/>
                <w:lang w:val="uk-UA"/>
              </w:rPr>
              <w:t>Номінального утримувача</w:t>
            </w:r>
            <w:r w:rsidRPr="00E16672">
              <w:rPr>
                <w:rFonts w:eastAsia="Times New Roman"/>
                <w:i w:val="0"/>
                <w:sz w:val="16"/>
                <w:szCs w:val="16"/>
                <w:lang w:val="uk-UA"/>
              </w:rPr>
              <w:t>.</w:t>
            </w:r>
          </w:p>
          <w:p w14:paraId="1A31F606" w14:textId="77777777" w:rsidR="00EB25FE" w:rsidRPr="00E16672" w:rsidRDefault="00EB25FE" w:rsidP="00794B3F">
            <w:pPr>
              <w:pStyle w:val="WW-1"/>
              <w:tabs>
                <w:tab w:val="left" w:pos="709"/>
              </w:tabs>
              <w:ind w:left="175" w:right="138"/>
              <w:jc w:val="both"/>
              <w:rPr>
                <w:rFonts w:eastAsia="Times New Roman"/>
                <w:i w:val="0"/>
                <w:sz w:val="16"/>
                <w:szCs w:val="16"/>
                <w:lang w:val="uk-UA"/>
              </w:rPr>
            </w:pPr>
          </w:p>
        </w:tc>
        <w:tc>
          <w:tcPr>
            <w:tcW w:w="5495" w:type="dxa"/>
            <w:gridSpan w:val="8"/>
            <w:shd w:val="clear" w:color="auto" w:fill="auto"/>
          </w:tcPr>
          <w:p w14:paraId="09B803CC" w14:textId="77777777" w:rsidR="00EB25FE" w:rsidRPr="00E16672" w:rsidRDefault="00EB25FE" w:rsidP="00794B3F">
            <w:pPr>
              <w:pStyle w:val="210"/>
              <w:tabs>
                <w:tab w:val="left" w:pos="287"/>
                <w:tab w:val="left" w:pos="1191"/>
              </w:tabs>
              <w:snapToGrid w:val="0"/>
              <w:ind w:left="145" w:right="100" w:firstLine="0"/>
              <w:rPr>
                <w:rFonts w:ascii="Times New Roman" w:hAnsi="Times New Roman"/>
                <w:sz w:val="16"/>
                <w:szCs w:val="16"/>
                <w:lang w:val="en-GB"/>
              </w:rPr>
            </w:pPr>
            <w:r w:rsidRPr="00E16672">
              <w:rPr>
                <w:rFonts w:ascii="Times New Roman" w:hAnsi="Times New Roman"/>
                <w:sz w:val="16"/>
                <w:szCs w:val="16"/>
                <w:lang w:val="en-US"/>
              </w:rPr>
              <w:t>2.4</w:t>
            </w:r>
            <w:r w:rsidRPr="00E16672">
              <w:rPr>
                <w:rFonts w:ascii="Times New Roman" w:hAnsi="Times New Roman"/>
                <w:sz w:val="16"/>
                <w:szCs w:val="16"/>
                <w:lang w:val="en-GB"/>
              </w:rPr>
              <w:t>.</w:t>
            </w:r>
            <w:r w:rsidR="008C59B2" w:rsidRPr="00E16672">
              <w:rPr>
                <w:rFonts w:ascii="Times New Roman" w:hAnsi="Times New Roman"/>
                <w:sz w:val="16"/>
                <w:szCs w:val="16"/>
              </w:rPr>
              <w:t>3</w:t>
            </w:r>
            <w:r w:rsidRPr="00E16672">
              <w:rPr>
                <w:rFonts w:ascii="Times New Roman" w:hAnsi="Times New Roman"/>
                <w:sz w:val="16"/>
                <w:szCs w:val="16"/>
                <w:lang w:val="en-GB"/>
              </w:rPr>
              <w:t xml:space="preserve">. To demand the Depository institution to keep the conditions of servicing of securities and </w:t>
            </w:r>
            <w:proofErr w:type="gramStart"/>
            <w:r w:rsidRPr="00E16672">
              <w:rPr>
                <w:rFonts w:ascii="Times New Roman" w:hAnsi="Times New Roman"/>
                <w:sz w:val="16"/>
                <w:szCs w:val="16"/>
                <w:lang w:val="en-GB"/>
              </w:rPr>
              <w:t>on  the</w:t>
            </w:r>
            <w:proofErr w:type="gramEnd"/>
            <w:r w:rsidRPr="00E16672">
              <w:rPr>
                <w:rFonts w:ascii="Times New Roman" w:hAnsi="Times New Roman"/>
                <w:sz w:val="16"/>
                <w:szCs w:val="16"/>
                <w:lang w:val="en-GB"/>
              </w:rPr>
              <w:t xml:space="preserve"> account in securities of Depositor, accounting of  rights on securities and restrictions on the accounts in securities of </w:t>
            </w:r>
            <w:r w:rsidR="0056113F" w:rsidRPr="00E16672">
              <w:rPr>
                <w:rFonts w:ascii="Times New Roman" w:hAnsi="Times New Roman"/>
                <w:sz w:val="16"/>
                <w:szCs w:val="16"/>
                <w:lang w:val="en-US"/>
              </w:rPr>
              <w:t>Nominee holder</w:t>
            </w:r>
            <w:r w:rsidRPr="00E16672">
              <w:rPr>
                <w:rFonts w:ascii="Times New Roman" w:hAnsi="Times New Roman"/>
                <w:sz w:val="16"/>
                <w:szCs w:val="16"/>
                <w:lang w:val="en-GB"/>
              </w:rPr>
              <w:t>.</w:t>
            </w:r>
          </w:p>
          <w:p w14:paraId="737664C0" w14:textId="77777777" w:rsidR="00EB25FE" w:rsidRPr="00E16672" w:rsidRDefault="00EB25FE" w:rsidP="00794B3F">
            <w:pPr>
              <w:tabs>
                <w:tab w:val="left" w:pos="287"/>
              </w:tabs>
              <w:ind w:left="145" w:right="100"/>
              <w:jc w:val="center"/>
              <w:rPr>
                <w:rFonts w:ascii="Times New Roman" w:hAnsi="Times New Roman"/>
                <w:b/>
                <w:bCs/>
                <w:sz w:val="16"/>
                <w:szCs w:val="16"/>
                <w:lang w:val="en-GB"/>
              </w:rPr>
            </w:pPr>
          </w:p>
        </w:tc>
      </w:tr>
      <w:tr w:rsidR="008C59B2" w:rsidRPr="00F23413" w14:paraId="2E009B1A" w14:textId="77777777" w:rsidTr="005E418B">
        <w:tblPrEx>
          <w:tblCellMar>
            <w:left w:w="0" w:type="dxa"/>
            <w:right w:w="0" w:type="dxa"/>
          </w:tblCellMar>
        </w:tblPrEx>
        <w:trPr>
          <w:trHeight w:val="192"/>
        </w:trPr>
        <w:tc>
          <w:tcPr>
            <w:tcW w:w="5695" w:type="dxa"/>
            <w:gridSpan w:val="7"/>
            <w:shd w:val="clear" w:color="auto" w:fill="auto"/>
          </w:tcPr>
          <w:p w14:paraId="560312CE" w14:textId="77777777" w:rsidR="008C59B2" w:rsidRPr="00E16672" w:rsidRDefault="008C59B2" w:rsidP="00022F5F">
            <w:pPr>
              <w:ind w:left="175" w:firstLine="0"/>
              <w:jc w:val="left"/>
              <w:rPr>
                <w:rFonts w:ascii="Times New Roman" w:hAnsi="Times New Roman"/>
                <w:sz w:val="16"/>
                <w:szCs w:val="16"/>
                <w:lang w:val="uk-UA"/>
              </w:rPr>
            </w:pPr>
            <w:r w:rsidRPr="00E16672">
              <w:rPr>
                <w:rFonts w:ascii="Times New Roman" w:hAnsi="Times New Roman"/>
                <w:sz w:val="16"/>
                <w:szCs w:val="16"/>
                <w:lang w:val="uk-UA"/>
              </w:rPr>
              <w:t xml:space="preserve">2.4.4. Отримувати інформацію про умови та порядок діяльності депозитарної установи з урахуванням вимог, встановлених частиною першою статті 12 Закону України </w:t>
            </w:r>
            <w:r w:rsidR="00022F5F">
              <w:rPr>
                <w:rFonts w:ascii="Times New Roman" w:hAnsi="Times New Roman"/>
                <w:sz w:val="16"/>
                <w:szCs w:val="16"/>
                <w:lang w:val="uk-UA"/>
              </w:rPr>
              <w:t>"</w:t>
            </w:r>
            <w:r w:rsidRPr="00E16672">
              <w:rPr>
                <w:rFonts w:ascii="Times New Roman" w:hAnsi="Times New Roman"/>
                <w:sz w:val="16"/>
                <w:szCs w:val="16"/>
                <w:lang w:val="uk-UA"/>
              </w:rPr>
              <w:t>Про фінансові послуги та державне регулювання ринків фінансових послуг</w:t>
            </w:r>
            <w:r w:rsidR="00022F5F">
              <w:rPr>
                <w:rFonts w:ascii="Times New Roman" w:hAnsi="Times New Roman"/>
                <w:sz w:val="16"/>
                <w:szCs w:val="16"/>
                <w:lang w:val="uk-UA"/>
              </w:rPr>
              <w:t>"</w:t>
            </w:r>
            <w:r w:rsidRPr="00E16672">
              <w:rPr>
                <w:rFonts w:ascii="Times New Roman" w:hAnsi="Times New Roman"/>
                <w:sz w:val="16"/>
                <w:szCs w:val="16"/>
                <w:lang w:val="uk-UA"/>
              </w:rPr>
              <w:t>.</w:t>
            </w:r>
          </w:p>
          <w:p w14:paraId="4EF54080" w14:textId="77777777" w:rsidR="008C59B2" w:rsidRPr="00E16672" w:rsidRDefault="008C59B2" w:rsidP="00794B3F">
            <w:pPr>
              <w:pStyle w:val="WW-1"/>
              <w:tabs>
                <w:tab w:val="left" w:pos="709"/>
              </w:tabs>
              <w:snapToGrid w:val="0"/>
              <w:ind w:left="175" w:right="138"/>
              <w:jc w:val="both"/>
              <w:rPr>
                <w:i w:val="0"/>
                <w:sz w:val="16"/>
                <w:szCs w:val="16"/>
                <w:lang w:val="uk-UA"/>
              </w:rPr>
            </w:pPr>
          </w:p>
        </w:tc>
        <w:tc>
          <w:tcPr>
            <w:tcW w:w="5495" w:type="dxa"/>
            <w:gridSpan w:val="8"/>
            <w:shd w:val="clear" w:color="auto" w:fill="auto"/>
          </w:tcPr>
          <w:p w14:paraId="31B85C45" w14:textId="77777777" w:rsidR="00181F4C" w:rsidRPr="00E16672" w:rsidRDefault="00181F4C" w:rsidP="00022F5F">
            <w:pPr>
              <w:ind w:left="148" w:firstLine="0"/>
              <w:jc w:val="left"/>
              <w:rPr>
                <w:rFonts w:ascii="Times New Roman" w:hAnsi="Times New Roman"/>
                <w:sz w:val="16"/>
                <w:szCs w:val="16"/>
                <w:lang w:val="en-GB"/>
              </w:rPr>
            </w:pPr>
            <w:r w:rsidRPr="00E16672">
              <w:rPr>
                <w:rFonts w:ascii="Times New Roman" w:hAnsi="Times New Roman"/>
                <w:sz w:val="16"/>
                <w:szCs w:val="16"/>
                <w:lang w:val="en-GB"/>
              </w:rPr>
              <w:t>2.4.</w:t>
            </w:r>
            <w:r w:rsidRPr="00E16672">
              <w:rPr>
                <w:rFonts w:ascii="Times New Roman" w:hAnsi="Times New Roman"/>
                <w:sz w:val="16"/>
                <w:szCs w:val="16"/>
                <w:lang w:val="en-US"/>
              </w:rPr>
              <w:t>4</w:t>
            </w:r>
            <w:r w:rsidRPr="00E16672">
              <w:rPr>
                <w:rFonts w:ascii="Times New Roman" w:hAnsi="Times New Roman"/>
                <w:sz w:val="16"/>
                <w:szCs w:val="16"/>
                <w:lang w:val="en-GB"/>
              </w:rPr>
              <w:t xml:space="preserve">. To obtain information on the conditions and procedure of the depository institution taking into account the requirements established by part one of Article 12 of the Law of Ukraine </w:t>
            </w:r>
            <w:r w:rsidR="00022F5F">
              <w:rPr>
                <w:rFonts w:ascii="Times New Roman" w:hAnsi="Times New Roman"/>
                <w:sz w:val="16"/>
                <w:szCs w:val="16"/>
                <w:lang w:val="en-US"/>
              </w:rPr>
              <w:t>"</w:t>
            </w:r>
            <w:r w:rsidRPr="00E16672">
              <w:rPr>
                <w:rFonts w:ascii="Times New Roman" w:hAnsi="Times New Roman"/>
                <w:sz w:val="16"/>
                <w:szCs w:val="16"/>
                <w:lang w:val="en-GB"/>
              </w:rPr>
              <w:t>On Financial Services and State Regulation of Financial Services Markets</w:t>
            </w:r>
            <w:r w:rsidR="00022F5F">
              <w:rPr>
                <w:rFonts w:ascii="Times New Roman" w:hAnsi="Times New Roman"/>
                <w:sz w:val="16"/>
                <w:szCs w:val="16"/>
                <w:lang w:val="en-US"/>
              </w:rPr>
              <w:t>"</w:t>
            </w:r>
            <w:r w:rsidRPr="00E16672">
              <w:rPr>
                <w:rFonts w:ascii="Times New Roman" w:hAnsi="Times New Roman"/>
                <w:sz w:val="16"/>
                <w:szCs w:val="16"/>
                <w:lang w:val="en-GB"/>
              </w:rPr>
              <w:t>.</w:t>
            </w:r>
          </w:p>
          <w:p w14:paraId="08B8A0E1" w14:textId="77777777" w:rsidR="008C59B2" w:rsidRPr="00E16672" w:rsidRDefault="008C59B2" w:rsidP="00794B3F">
            <w:pPr>
              <w:pStyle w:val="210"/>
              <w:tabs>
                <w:tab w:val="left" w:pos="287"/>
                <w:tab w:val="left" w:pos="1191"/>
              </w:tabs>
              <w:snapToGrid w:val="0"/>
              <w:ind w:left="145" w:right="100" w:firstLine="0"/>
              <w:rPr>
                <w:rFonts w:ascii="Times New Roman" w:hAnsi="Times New Roman"/>
                <w:sz w:val="16"/>
                <w:szCs w:val="16"/>
                <w:lang w:val="en-GB"/>
              </w:rPr>
            </w:pPr>
          </w:p>
        </w:tc>
      </w:tr>
      <w:tr w:rsidR="00EB25FE" w:rsidRPr="00F23413" w14:paraId="0DE60728" w14:textId="77777777" w:rsidTr="005E418B">
        <w:tblPrEx>
          <w:tblCellMar>
            <w:left w:w="0" w:type="dxa"/>
            <w:right w:w="0" w:type="dxa"/>
          </w:tblCellMar>
        </w:tblPrEx>
        <w:trPr>
          <w:trHeight w:val="1334"/>
        </w:trPr>
        <w:tc>
          <w:tcPr>
            <w:tcW w:w="5695" w:type="dxa"/>
            <w:gridSpan w:val="7"/>
            <w:shd w:val="clear" w:color="auto" w:fill="auto"/>
          </w:tcPr>
          <w:p w14:paraId="684AF33C" w14:textId="77777777" w:rsidR="00EB25FE" w:rsidRPr="00E16672" w:rsidRDefault="00EB25FE" w:rsidP="00794B3F">
            <w:pPr>
              <w:snapToGrid w:val="0"/>
              <w:ind w:left="175" w:right="138"/>
              <w:jc w:val="center"/>
              <w:rPr>
                <w:rFonts w:ascii="Times New Roman" w:hAnsi="Times New Roman"/>
                <w:b/>
                <w:caps/>
                <w:sz w:val="16"/>
                <w:szCs w:val="16"/>
              </w:rPr>
            </w:pPr>
            <w:r w:rsidRPr="00E16672">
              <w:rPr>
                <w:rFonts w:ascii="Times New Roman" w:hAnsi="Times New Roman"/>
                <w:b/>
                <w:caps/>
                <w:sz w:val="16"/>
                <w:szCs w:val="16"/>
              </w:rPr>
              <w:t>3. Порядок отримання розпоряджень</w:t>
            </w:r>
          </w:p>
          <w:p w14:paraId="1E6226E1" w14:textId="77777777" w:rsidR="00EB25FE" w:rsidRPr="00E16672" w:rsidRDefault="00EB25FE" w:rsidP="00794B3F">
            <w:pPr>
              <w:ind w:left="175" w:right="138"/>
              <w:jc w:val="center"/>
              <w:rPr>
                <w:rFonts w:ascii="Times New Roman" w:hAnsi="Times New Roman"/>
                <w:sz w:val="16"/>
                <w:szCs w:val="16"/>
              </w:rPr>
            </w:pPr>
          </w:p>
          <w:p w14:paraId="367A56A9" w14:textId="77777777" w:rsidR="00EB25FE" w:rsidRPr="00E16672" w:rsidRDefault="00EB25FE" w:rsidP="00794B3F">
            <w:pPr>
              <w:ind w:left="175" w:right="138" w:firstLine="0"/>
              <w:rPr>
                <w:rFonts w:ascii="Times New Roman" w:hAnsi="Times New Roman"/>
                <w:sz w:val="16"/>
                <w:szCs w:val="16"/>
              </w:rPr>
            </w:pPr>
            <w:r w:rsidRPr="00E16672">
              <w:rPr>
                <w:rFonts w:ascii="Times New Roman" w:hAnsi="Times New Roman"/>
                <w:sz w:val="16"/>
                <w:szCs w:val="16"/>
              </w:rPr>
              <w:t xml:space="preserve">3.1. </w:t>
            </w:r>
            <w:proofErr w:type="spellStart"/>
            <w:r w:rsidRPr="00E16672">
              <w:rPr>
                <w:rFonts w:ascii="Times New Roman" w:hAnsi="Times New Roman"/>
                <w:sz w:val="16"/>
                <w:szCs w:val="16"/>
              </w:rPr>
              <w:t>Обслуговування</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операцій</w:t>
            </w:r>
            <w:proofErr w:type="spellEnd"/>
            <w:r w:rsidRPr="00E16672">
              <w:rPr>
                <w:rFonts w:ascii="Times New Roman" w:hAnsi="Times New Roman"/>
                <w:sz w:val="16"/>
                <w:szCs w:val="16"/>
              </w:rPr>
              <w:t xml:space="preserve"> з </w:t>
            </w:r>
            <w:proofErr w:type="spellStart"/>
            <w:r w:rsidRPr="00E16672">
              <w:rPr>
                <w:rFonts w:ascii="Times New Roman" w:hAnsi="Times New Roman"/>
                <w:sz w:val="16"/>
                <w:szCs w:val="16"/>
              </w:rPr>
              <w:t>цінними</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паперами</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здійснюються</w:t>
            </w:r>
            <w:proofErr w:type="spellEnd"/>
            <w:r w:rsidRPr="00E16672">
              <w:rPr>
                <w:rFonts w:ascii="Times New Roman" w:hAnsi="Times New Roman"/>
                <w:sz w:val="16"/>
                <w:szCs w:val="16"/>
              </w:rPr>
              <w:t xml:space="preserve"> Депозитарною </w:t>
            </w:r>
            <w:proofErr w:type="spellStart"/>
            <w:r w:rsidRPr="00E16672">
              <w:rPr>
                <w:rFonts w:ascii="Times New Roman" w:hAnsi="Times New Roman"/>
                <w:sz w:val="16"/>
                <w:szCs w:val="16"/>
              </w:rPr>
              <w:t>установою</w:t>
            </w:r>
            <w:proofErr w:type="spellEnd"/>
            <w:r w:rsidRPr="00E16672">
              <w:rPr>
                <w:rFonts w:ascii="Times New Roman" w:hAnsi="Times New Roman"/>
                <w:sz w:val="16"/>
                <w:szCs w:val="16"/>
              </w:rPr>
              <w:t xml:space="preserve"> за </w:t>
            </w:r>
            <w:proofErr w:type="spellStart"/>
            <w:proofErr w:type="gramStart"/>
            <w:r w:rsidRPr="00E16672">
              <w:rPr>
                <w:rFonts w:ascii="Times New Roman" w:hAnsi="Times New Roman"/>
                <w:sz w:val="16"/>
                <w:szCs w:val="16"/>
              </w:rPr>
              <w:t>розпорядженням</w:t>
            </w:r>
            <w:proofErr w:type="spellEnd"/>
            <w:r w:rsidRPr="00E16672">
              <w:rPr>
                <w:rFonts w:ascii="Times New Roman" w:hAnsi="Times New Roman"/>
                <w:sz w:val="16"/>
                <w:szCs w:val="16"/>
              </w:rPr>
              <w:t xml:space="preserve">  </w:t>
            </w:r>
            <w:r w:rsidR="000706C5" w:rsidRPr="00E16672">
              <w:rPr>
                <w:rFonts w:ascii="Times New Roman" w:hAnsi="Times New Roman"/>
                <w:color w:val="000000"/>
                <w:sz w:val="16"/>
                <w:szCs w:val="16"/>
                <w:lang w:val="uk-UA"/>
              </w:rPr>
              <w:t>Номінального</w:t>
            </w:r>
            <w:proofErr w:type="gramEnd"/>
            <w:r w:rsidR="000706C5" w:rsidRPr="00E16672">
              <w:rPr>
                <w:rFonts w:ascii="Times New Roman" w:hAnsi="Times New Roman"/>
                <w:color w:val="000000"/>
                <w:sz w:val="16"/>
                <w:szCs w:val="16"/>
                <w:lang w:val="uk-UA"/>
              </w:rPr>
              <w:t xml:space="preserve"> утримувача</w:t>
            </w:r>
            <w:r w:rsidRPr="00E16672">
              <w:rPr>
                <w:rFonts w:ascii="Times New Roman" w:hAnsi="Times New Roman"/>
                <w:sz w:val="16"/>
                <w:szCs w:val="16"/>
              </w:rPr>
              <w:t xml:space="preserve">, </w:t>
            </w:r>
            <w:proofErr w:type="spellStart"/>
            <w:r w:rsidRPr="00E16672">
              <w:rPr>
                <w:rFonts w:ascii="Times New Roman" w:hAnsi="Times New Roman"/>
                <w:sz w:val="16"/>
                <w:szCs w:val="16"/>
              </w:rPr>
              <w:t>керуючого</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або</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розпорядника</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його</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рахунком</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уповноваженого</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представника</w:t>
            </w:r>
            <w:proofErr w:type="spellEnd"/>
            <w:r w:rsidRPr="00E16672">
              <w:rPr>
                <w:rFonts w:ascii="Times New Roman" w:hAnsi="Times New Roman"/>
                <w:sz w:val="16"/>
                <w:szCs w:val="16"/>
              </w:rPr>
              <w:t>).</w:t>
            </w:r>
          </w:p>
          <w:p w14:paraId="0E5B71D5" w14:textId="77777777" w:rsidR="00EB25FE" w:rsidRPr="00E16672" w:rsidRDefault="00EB25FE" w:rsidP="00794B3F">
            <w:pPr>
              <w:ind w:left="175" w:right="138"/>
              <w:rPr>
                <w:rFonts w:ascii="Times New Roman" w:hAnsi="Times New Roman"/>
                <w:sz w:val="16"/>
                <w:szCs w:val="16"/>
              </w:rPr>
            </w:pPr>
          </w:p>
        </w:tc>
        <w:tc>
          <w:tcPr>
            <w:tcW w:w="5495" w:type="dxa"/>
            <w:gridSpan w:val="8"/>
            <w:shd w:val="clear" w:color="auto" w:fill="auto"/>
          </w:tcPr>
          <w:p w14:paraId="652AA316" w14:textId="77777777" w:rsidR="00EB25FE" w:rsidRPr="00E16672" w:rsidRDefault="00EB25FE" w:rsidP="00794B3F">
            <w:pPr>
              <w:tabs>
                <w:tab w:val="left" w:pos="287"/>
              </w:tabs>
              <w:snapToGrid w:val="0"/>
              <w:ind w:left="145" w:right="100"/>
              <w:jc w:val="center"/>
              <w:rPr>
                <w:rFonts w:ascii="Times New Roman" w:hAnsi="Times New Roman"/>
                <w:b/>
                <w:caps/>
                <w:sz w:val="16"/>
                <w:szCs w:val="16"/>
                <w:lang w:val="en-GB"/>
              </w:rPr>
            </w:pPr>
            <w:r w:rsidRPr="00E16672">
              <w:rPr>
                <w:rFonts w:ascii="Times New Roman" w:hAnsi="Times New Roman"/>
                <w:b/>
                <w:caps/>
                <w:sz w:val="16"/>
                <w:szCs w:val="16"/>
                <w:lang w:val="en-GB"/>
              </w:rPr>
              <w:t>3. Procedures of deriving of the orders</w:t>
            </w:r>
          </w:p>
          <w:p w14:paraId="2FBF715D" w14:textId="77777777" w:rsidR="00EB25FE" w:rsidRPr="00E16672" w:rsidRDefault="00EB25FE" w:rsidP="00794B3F">
            <w:pPr>
              <w:tabs>
                <w:tab w:val="left" w:pos="287"/>
              </w:tabs>
              <w:ind w:left="145" w:right="100"/>
              <w:rPr>
                <w:rFonts w:ascii="Times New Roman" w:hAnsi="Times New Roman"/>
                <w:sz w:val="16"/>
                <w:szCs w:val="16"/>
                <w:lang w:val="en-GB"/>
              </w:rPr>
            </w:pPr>
          </w:p>
          <w:p w14:paraId="5E6CC59D" w14:textId="77777777" w:rsidR="00EB25FE" w:rsidRPr="00E16672" w:rsidRDefault="00EB25FE" w:rsidP="00794B3F">
            <w:pPr>
              <w:tabs>
                <w:tab w:val="left" w:pos="287"/>
              </w:tabs>
              <w:ind w:left="145" w:right="100" w:firstLine="0"/>
              <w:rPr>
                <w:rFonts w:ascii="Times New Roman" w:hAnsi="Times New Roman"/>
                <w:sz w:val="16"/>
                <w:szCs w:val="16"/>
                <w:lang w:val="en-GB"/>
              </w:rPr>
            </w:pPr>
            <w:r w:rsidRPr="00E16672">
              <w:rPr>
                <w:rFonts w:ascii="Times New Roman" w:hAnsi="Times New Roman"/>
                <w:sz w:val="16"/>
                <w:szCs w:val="16"/>
                <w:lang w:val="en-GB"/>
              </w:rPr>
              <w:t xml:space="preserve">3.1. Service of all of the operations with securities is to be </w:t>
            </w:r>
            <w:proofErr w:type="gramStart"/>
            <w:r w:rsidRPr="00E16672">
              <w:rPr>
                <w:rFonts w:ascii="Times New Roman" w:hAnsi="Times New Roman"/>
                <w:sz w:val="16"/>
                <w:szCs w:val="16"/>
                <w:lang w:val="en-GB"/>
              </w:rPr>
              <w:t>done  by</w:t>
            </w:r>
            <w:proofErr w:type="gramEnd"/>
            <w:r w:rsidRPr="00E16672">
              <w:rPr>
                <w:rFonts w:ascii="Times New Roman" w:hAnsi="Times New Roman"/>
                <w:sz w:val="16"/>
                <w:szCs w:val="16"/>
                <w:lang w:val="en-GB"/>
              </w:rPr>
              <w:t xml:space="preserve"> Depository institution  only by written orders given by </w:t>
            </w:r>
            <w:r w:rsidR="002A33D6" w:rsidRPr="00E16672">
              <w:rPr>
                <w:rFonts w:ascii="Times New Roman" w:hAnsi="Times New Roman"/>
                <w:sz w:val="16"/>
                <w:szCs w:val="16"/>
                <w:lang w:val="en-US"/>
              </w:rPr>
              <w:t>Nominee holder</w:t>
            </w:r>
            <w:r w:rsidRPr="00E16672">
              <w:rPr>
                <w:rFonts w:ascii="Times New Roman" w:hAnsi="Times New Roman"/>
                <w:sz w:val="16"/>
                <w:szCs w:val="16"/>
                <w:lang w:val="en-GB"/>
              </w:rPr>
              <w:t>, his administrator or account manager of the account (authorized representative person).</w:t>
            </w:r>
          </w:p>
        </w:tc>
      </w:tr>
      <w:tr w:rsidR="00EB25FE" w:rsidRPr="00A26EFC" w14:paraId="6DABD0E1" w14:textId="77777777" w:rsidTr="005E418B">
        <w:tblPrEx>
          <w:tblCellMar>
            <w:left w:w="0" w:type="dxa"/>
            <w:right w:w="0" w:type="dxa"/>
          </w:tblCellMar>
        </w:tblPrEx>
        <w:trPr>
          <w:trHeight w:val="1453"/>
        </w:trPr>
        <w:tc>
          <w:tcPr>
            <w:tcW w:w="5695" w:type="dxa"/>
            <w:gridSpan w:val="7"/>
            <w:shd w:val="clear" w:color="auto" w:fill="auto"/>
          </w:tcPr>
          <w:p w14:paraId="4CAD4B51" w14:textId="77777777" w:rsidR="00EB25FE" w:rsidRPr="00E16672" w:rsidRDefault="00EB25FE" w:rsidP="00794B3F">
            <w:pPr>
              <w:ind w:left="175" w:right="138" w:firstLine="7"/>
              <w:rPr>
                <w:rFonts w:ascii="Times New Roman" w:hAnsi="Times New Roman"/>
                <w:color w:val="000000"/>
                <w:sz w:val="16"/>
                <w:szCs w:val="16"/>
              </w:rPr>
            </w:pPr>
            <w:r w:rsidRPr="00E16672">
              <w:rPr>
                <w:rFonts w:ascii="Times New Roman" w:hAnsi="Times New Roman"/>
                <w:color w:val="000000"/>
                <w:sz w:val="16"/>
                <w:szCs w:val="16"/>
              </w:rPr>
              <w:t>3.</w:t>
            </w:r>
            <w:r w:rsidR="002A33D6" w:rsidRPr="00E16672">
              <w:rPr>
                <w:rFonts w:ascii="Times New Roman" w:hAnsi="Times New Roman"/>
                <w:color w:val="000000"/>
                <w:sz w:val="16"/>
                <w:szCs w:val="16"/>
                <w:lang w:val="uk-UA"/>
              </w:rPr>
              <w:t>2</w:t>
            </w:r>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Розпорядження</w:t>
            </w:r>
            <w:proofErr w:type="spellEnd"/>
            <w:r w:rsidRPr="00E16672">
              <w:rPr>
                <w:rFonts w:ascii="Times New Roman" w:hAnsi="Times New Roman"/>
                <w:color w:val="000000"/>
                <w:sz w:val="16"/>
                <w:szCs w:val="16"/>
              </w:rPr>
              <w:t xml:space="preserve"> у </w:t>
            </w:r>
            <w:proofErr w:type="spellStart"/>
            <w:r w:rsidRPr="00E16672">
              <w:rPr>
                <w:rFonts w:ascii="Times New Roman" w:hAnsi="Times New Roman"/>
                <w:color w:val="000000"/>
                <w:sz w:val="16"/>
                <w:szCs w:val="16"/>
              </w:rPr>
              <w:t>паперовому</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вигляді</w:t>
            </w:r>
            <w:proofErr w:type="spellEnd"/>
            <w:r w:rsidRPr="00E16672">
              <w:rPr>
                <w:rFonts w:ascii="Times New Roman" w:hAnsi="Times New Roman"/>
                <w:color w:val="000000"/>
                <w:sz w:val="16"/>
                <w:szCs w:val="16"/>
              </w:rPr>
              <w:t xml:space="preserve">, а </w:t>
            </w:r>
            <w:proofErr w:type="spellStart"/>
            <w:r w:rsidRPr="00E16672">
              <w:rPr>
                <w:rFonts w:ascii="Times New Roman" w:hAnsi="Times New Roman"/>
                <w:color w:val="000000"/>
                <w:sz w:val="16"/>
                <w:szCs w:val="16"/>
              </w:rPr>
              <w:t>також</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повідомлення</w:t>
            </w:r>
            <w:proofErr w:type="spellEnd"/>
            <w:r w:rsidRPr="00E16672">
              <w:rPr>
                <w:rFonts w:ascii="Times New Roman" w:hAnsi="Times New Roman"/>
                <w:color w:val="000000"/>
                <w:sz w:val="16"/>
                <w:szCs w:val="16"/>
              </w:rPr>
              <w:t xml:space="preserve"> та </w:t>
            </w:r>
            <w:proofErr w:type="spellStart"/>
            <w:r w:rsidRPr="00E16672">
              <w:rPr>
                <w:rFonts w:ascii="Times New Roman" w:hAnsi="Times New Roman"/>
                <w:color w:val="000000"/>
                <w:sz w:val="16"/>
                <w:szCs w:val="16"/>
              </w:rPr>
              <w:t>інформація</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що</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надаються</w:t>
            </w:r>
            <w:proofErr w:type="spellEnd"/>
            <w:r w:rsidRPr="00E16672">
              <w:rPr>
                <w:rFonts w:ascii="Times New Roman" w:hAnsi="Times New Roman"/>
                <w:color w:val="000000"/>
                <w:sz w:val="16"/>
                <w:szCs w:val="16"/>
              </w:rPr>
              <w:t xml:space="preserve"> у </w:t>
            </w:r>
            <w:proofErr w:type="spellStart"/>
            <w:r w:rsidRPr="00E16672">
              <w:rPr>
                <w:rFonts w:ascii="Times New Roman" w:hAnsi="Times New Roman"/>
                <w:color w:val="000000"/>
                <w:sz w:val="16"/>
                <w:szCs w:val="16"/>
              </w:rPr>
              <w:t>зв’язку</w:t>
            </w:r>
            <w:proofErr w:type="spellEnd"/>
            <w:r w:rsidRPr="00E16672">
              <w:rPr>
                <w:rFonts w:ascii="Times New Roman" w:hAnsi="Times New Roman"/>
                <w:color w:val="000000"/>
                <w:sz w:val="16"/>
                <w:szCs w:val="16"/>
              </w:rPr>
              <w:t xml:space="preserve"> з </w:t>
            </w:r>
            <w:proofErr w:type="spellStart"/>
            <w:r w:rsidRPr="00E16672">
              <w:rPr>
                <w:rFonts w:ascii="Times New Roman" w:hAnsi="Times New Roman"/>
                <w:color w:val="000000"/>
                <w:sz w:val="16"/>
                <w:szCs w:val="16"/>
              </w:rPr>
              <w:t>виконанням</w:t>
            </w:r>
            <w:proofErr w:type="spellEnd"/>
            <w:r w:rsidRPr="00E16672">
              <w:rPr>
                <w:rFonts w:ascii="Times New Roman" w:hAnsi="Times New Roman"/>
                <w:color w:val="000000"/>
                <w:sz w:val="16"/>
                <w:szCs w:val="16"/>
              </w:rPr>
              <w:t xml:space="preserve"> Сторонами Договору </w:t>
            </w:r>
            <w:proofErr w:type="spellStart"/>
            <w:r w:rsidRPr="00E16672">
              <w:rPr>
                <w:rFonts w:ascii="Times New Roman" w:hAnsi="Times New Roman"/>
                <w:color w:val="000000"/>
                <w:sz w:val="16"/>
                <w:szCs w:val="16"/>
              </w:rPr>
              <w:t>можуть</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отримуватися</w:t>
            </w:r>
            <w:proofErr w:type="spellEnd"/>
            <w:r w:rsidRPr="00E16672">
              <w:rPr>
                <w:rFonts w:ascii="Times New Roman" w:hAnsi="Times New Roman"/>
                <w:color w:val="000000"/>
                <w:sz w:val="16"/>
                <w:szCs w:val="16"/>
              </w:rPr>
              <w:t xml:space="preserve"> Депозитарною </w:t>
            </w:r>
            <w:proofErr w:type="spellStart"/>
            <w:r w:rsidRPr="00E16672">
              <w:rPr>
                <w:rFonts w:ascii="Times New Roman" w:hAnsi="Times New Roman"/>
                <w:color w:val="000000"/>
                <w:sz w:val="16"/>
                <w:szCs w:val="16"/>
              </w:rPr>
              <w:t>установою</w:t>
            </w:r>
            <w:proofErr w:type="spellEnd"/>
            <w:r w:rsidRPr="00E16672">
              <w:rPr>
                <w:rFonts w:ascii="Times New Roman" w:hAnsi="Times New Roman"/>
                <w:color w:val="000000"/>
                <w:sz w:val="16"/>
                <w:szCs w:val="16"/>
              </w:rPr>
              <w:t xml:space="preserve"> та </w:t>
            </w:r>
            <w:r w:rsidR="002A33D6" w:rsidRPr="00E16672">
              <w:rPr>
                <w:rFonts w:ascii="Times New Roman" w:hAnsi="Times New Roman"/>
                <w:color w:val="000000"/>
                <w:sz w:val="16"/>
                <w:szCs w:val="16"/>
                <w:lang w:val="uk-UA"/>
              </w:rPr>
              <w:t>Номінальним утримувачем</w:t>
            </w:r>
            <w:r w:rsidRPr="00E16672">
              <w:rPr>
                <w:rFonts w:ascii="Times New Roman" w:hAnsi="Times New Roman"/>
                <w:color w:val="000000"/>
                <w:sz w:val="16"/>
                <w:szCs w:val="16"/>
              </w:rPr>
              <w:t>:</w:t>
            </w:r>
          </w:p>
          <w:p w14:paraId="2F2F4EB3" w14:textId="77777777" w:rsidR="00EB25FE" w:rsidRPr="00E16672" w:rsidRDefault="00EB25FE" w:rsidP="00794B3F">
            <w:pPr>
              <w:ind w:left="175" w:right="138" w:firstLine="7"/>
              <w:rPr>
                <w:rFonts w:ascii="Times New Roman" w:hAnsi="Times New Roman"/>
                <w:strike/>
                <w:color w:val="000000"/>
                <w:sz w:val="16"/>
                <w:szCs w:val="16"/>
              </w:rPr>
            </w:pPr>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rPr>
              <w:t>особисто</w:t>
            </w:r>
            <w:proofErr w:type="spellEnd"/>
            <w:r w:rsidRPr="00E16672">
              <w:rPr>
                <w:rFonts w:ascii="Times New Roman" w:hAnsi="Times New Roman"/>
                <w:color w:val="000000"/>
                <w:sz w:val="16"/>
                <w:szCs w:val="16"/>
              </w:rPr>
              <w:t xml:space="preserve"> при </w:t>
            </w:r>
            <w:proofErr w:type="spellStart"/>
            <w:r w:rsidRPr="00E16672">
              <w:rPr>
                <w:rFonts w:ascii="Times New Roman" w:hAnsi="Times New Roman"/>
                <w:color w:val="000000"/>
                <w:spacing w:val="-8"/>
                <w:sz w:val="16"/>
                <w:szCs w:val="16"/>
              </w:rPr>
              <w:t>зверненні</w:t>
            </w:r>
            <w:proofErr w:type="spellEnd"/>
            <w:r w:rsidRPr="00E16672">
              <w:rPr>
                <w:rFonts w:ascii="Times New Roman" w:hAnsi="Times New Roman"/>
                <w:color w:val="000000"/>
                <w:spacing w:val="-8"/>
                <w:sz w:val="16"/>
                <w:szCs w:val="16"/>
              </w:rPr>
              <w:t xml:space="preserve"> </w:t>
            </w:r>
            <w:r w:rsidR="00231FAB" w:rsidRPr="00E16672">
              <w:rPr>
                <w:rFonts w:ascii="Times New Roman" w:hAnsi="Times New Roman"/>
                <w:color w:val="000000"/>
                <w:sz w:val="16"/>
                <w:szCs w:val="16"/>
                <w:lang w:val="uk-UA"/>
              </w:rPr>
              <w:t>Номінального утримувача</w:t>
            </w:r>
            <w:r w:rsidRPr="00E16672">
              <w:rPr>
                <w:rFonts w:ascii="Times New Roman" w:hAnsi="Times New Roman"/>
                <w:color w:val="000000"/>
                <w:spacing w:val="-8"/>
                <w:sz w:val="16"/>
                <w:szCs w:val="16"/>
              </w:rPr>
              <w:t>,</w:t>
            </w:r>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керуючого</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або</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розпорядника</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його</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рахунком</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уповноваженого</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представника</w:t>
            </w:r>
            <w:proofErr w:type="spellEnd"/>
            <w:r w:rsidRPr="00E16672">
              <w:rPr>
                <w:rFonts w:ascii="Times New Roman" w:hAnsi="Times New Roman"/>
                <w:color w:val="000000"/>
                <w:sz w:val="16"/>
                <w:szCs w:val="16"/>
              </w:rPr>
              <w:t>)</w:t>
            </w:r>
            <w:r w:rsidRPr="00E16672">
              <w:rPr>
                <w:rFonts w:ascii="Times New Roman" w:hAnsi="Times New Roman"/>
                <w:color w:val="000000"/>
                <w:spacing w:val="-8"/>
                <w:sz w:val="16"/>
                <w:szCs w:val="16"/>
              </w:rPr>
              <w:t>;</w:t>
            </w:r>
          </w:p>
          <w:p w14:paraId="44EAEE90" w14:textId="77777777" w:rsidR="00EB25FE" w:rsidRPr="00E16672" w:rsidRDefault="00EB25FE" w:rsidP="00794B3F">
            <w:pPr>
              <w:ind w:left="175" w:right="138" w:firstLine="7"/>
              <w:rPr>
                <w:rFonts w:ascii="Times New Roman" w:hAnsi="Times New Roman"/>
                <w:strike/>
                <w:color w:val="000000"/>
                <w:sz w:val="16"/>
                <w:szCs w:val="16"/>
              </w:rPr>
            </w:pPr>
            <w:r w:rsidRPr="00E16672">
              <w:rPr>
                <w:rFonts w:ascii="Times New Roman" w:hAnsi="Times New Roman"/>
                <w:color w:val="000000"/>
                <w:spacing w:val="-8"/>
                <w:sz w:val="16"/>
                <w:szCs w:val="16"/>
                <w:lang w:val="uk-UA"/>
              </w:rPr>
              <w:t xml:space="preserve">- </w:t>
            </w:r>
            <w:r w:rsidRPr="00E16672">
              <w:rPr>
                <w:rFonts w:ascii="Times New Roman" w:hAnsi="Times New Roman"/>
                <w:color w:val="000000"/>
                <w:spacing w:val="-8"/>
                <w:sz w:val="16"/>
                <w:szCs w:val="16"/>
              </w:rPr>
              <w:t xml:space="preserve"> </w:t>
            </w:r>
            <w:proofErr w:type="spellStart"/>
            <w:r w:rsidRPr="00E16672">
              <w:rPr>
                <w:rFonts w:ascii="Times New Roman" w:hAnsi="Times New Roman"/>
                <w:color w:val="000000"/>
                <w:spacing w:val="-8"/>
                <w:sz w:val="16"/>
                <w:szCs w:val="16"/>
              </w:rPr>
              <w:t>засобами</w:t>
            </w:r>
            <w:proofErr w:type="spellEnd"/>
            <w:r w:rsidRPr="00E16672">
              <w:rPr>
                <w:rFonts w:ascii="Times New Roman" w:hAnsi="Times New Roman"/>
                <w:color w:val="000000"/>
                <w:spacing w:val="-8"/>
                <w:sz w:val="16"/>
                <w:szCs w:val="16"/>
              </w:rPr>
              <w:t xml:space="preserve"> </w:t>
            </w:r>
            <w:proofErr w:type="spellStart"/>
            <w:r w:rsidRPr="00E16672">
              <w:rPr>
                <w:rFonts w:ascii="Times New Roman" w:hAnsi="Times New Roman"/>
                <w:color w:val="000000"/>
                <w:spacing w:val="-8"/>
                <w:sz w:val="16"/>
                <w:szCs w:val="16"/>
              </w:rPr>
              <w:t>поштового</w:t>
            </w:r>
            <w:proofErr w:type="spellEnd"/>
            <w:r w:rsidRPr="00E16672">
              <w:rPr>
                <w:rFonts w:ascii="Times New Roman" w:hAnsi="Times New Roman"/>
                <w:color w:val="000000"/>
                <w:spacing w:val="-8"/>
                <w:sz w:val="16"/>
                <w:szCs w:val="16"/>
              </w:rPr>
              <w:t xml:space="preserve"> </w:t>
            </w:r>
            <w:proofErr w:type="spellStart"/>
            <w:r w:rsidRPr="00E16672">
              <w:rPr>
                <w:rFonts w:ascii="Times New Roman" w:hAnsi="Times New Roman"/>
                <w:color w:val="000000"/>
                <w:spacing w:val="-8"/>
                <w:sz w:val="16"/>
                <w:szCs w:val="16"/>
              </w:rPr>
              <w:t>зв’язку</w:t>
            </w:r>
            <w:proofErr w:type="spellEnd"/>
            <w:r w:rsidRPr="00E16672">
              <w:rPr>
                <w:rFonts w:ascii="Times New Roman" w:hAnsi="Times New Roman"/>
                <w:color w:val="000000"/>
                <w:spacing w:val="-8"/>
                <w:sz w:val="16"/>
                <w:szCs w:val="16"/>
              </w:rPr>
              <w:t xml:space="preserve"> </w:t>
            </w:r>
            <w:proofErr w:type="spellStart"/>
            <w:r w:rsidRPr="00E16672">
              <w:rPr>
                <w:rFonts w:ascii="Times New Roman" w:hAnsi="Times New Roman"/>
                <w:color w:val="000000"/>
                <w:spacing w:val="-8"/>
                <w:sz w:val="16"/>
                <w:szCs w:val="16"/>
              </w:rPr>
              <w:t>або</w:t>
            </w:r>
            <w:proofErr w:type="spellEnd"/>
            <w:r w:rsidRPr="00E16672">
              <w:rPr>
                <w:rFonts w:ascii="Times New Roman" w:hAnsi="Times New Roman"/>
                <w:color w:val="000000"/>
                <w:spacing w:val="-8"/>
                <w:sz w:val="16"/>
                <w:szCs w:val="16"/>
              </w:rPr>
              <w:t xml:space="preserve"> </w:t>
            </w:r>
            <w:proofErr w:type="spellStart"/>
            <w:r w:rsidRPr="00E16672">
              <w:rPr>
                <w:rFonts w:ascii="Times New Roman" w:hAnsi="Times New Roman"/>
                <w:color w:val="000000"/>
                <w:spacing w:val="-8"/>
                <w:sz w:val="16"/>
                <w:szCs w:val="16"/>
              </w:rPr>
              <w:t>кур’єром</w:t>
            </w:r>
            <w:proofErr w:type="spellEnd"/>
            <w:r w:rsidRPr="00E16672">
              <w:rPr>
                <w:rFonts w:ascii="Times New Roman" w:hAnsi="Times New Roman"/>
                <w:color w:val="000000"/>
                <w:spacing w:val="-8"/>
                <w:sz w:val="16"/>
                <w:szCs w:val="16"/>
              </w:rPr>
              <w:t>.</w:t>
            </w:r>
          </w:p>
          <w:p w14:paraId="03CED35F" w14:textId="77777777" w:rsidR="00EB25FE" w:rsidRPr="00E16672" w:rsidRDefault="00EB25FE" w:rsidP="00794B3F">
            <w:pPr>
              <w:pStyle w:val="1b"/>
              <w:spacing w:before="0" w:after="0"/>
              <w:ind w:left="175" w:right="138" w:firstLine="7"/>
              <w:rPr>
                <w:rFonts w:ascii="Times New Roman" w:eastAsia="Times New Roman" w:hAnsi="Times New Roman" w:cs="Times New Roman"/>
                <w:color w:val="000000"/>
                <w:sz w:val="16"/>
                <w:szCs w:val="16"/>
              </w:rPr>
            </w:pPr>
          </w:p>
        </w:tc>
        <w:tc>
          <w:tcPr>
            <w:tcW w:w="5495" w:type="dxa"/>
            <w:gridSpan w:val="8"/>
            <w:shd w:val="clear" w:color="auto" w:fill="auto"/>
          </w:tcPr>
          <w:p w14:paraId="308F9ACF" w14:textId="77777777" w:rsidR="00EB25FE" w:rsidRPr="00E16672" w:rsidRDefault="00EB25FE" w:rsidP="002A33D6">
            <w:pPr>
              <w:snapToGrid w:val="0"/>
              <w:ind w:left="175" w:right="138" w:firstLine="7"/>
              <w:rPr>
                <w:rFonts w:ascii="Times New Roman" w:hAnsi="Times New Roman"/>
                <w:color w:val="000000"/>
                <w:sz w:val="16"/>
                <w:szCs w:val="16"/>
                <w:lang w:val="en-GB"/>
              </w:rPr>
            </w:pPr>
            <w:r w:rsidRPr="00E16672">
              <w:rPr>
                <w:rFonts w:ascii="Times New Roman" w:hAnsi="Times New Roman"/>
                <w:color w:val="000000"/>
                <w:sz w:val="16"/>
                <w:szCs w:val="16"/>
                <w:lang w:val="en-GB"/>
              </w:rPr>
              <w:t>3.</w:t>
            </w:r>
            <w:r w:rsidR="002A33D6" w:rsidRPr="00E16672">
              <w:rPr>
                <w:rFonts w:ascii="Times New Roman" w:hAnsi="Times New Roman"/>
                <w:color w:val="000000"/>
                <w:sz w:val="16"/>
                <w:szCs w:val="16"/>
                <w:lang w:val="uk-UA"/>
              </w:rPr>
              <w:t>2</w:t>
            </w:r>
            <w:r w:rsidRPr="00E16672">
              <w:rPr>
                <w:rFonts w:ascii="Times New Roman" w:hAnsi="Times New Roman"/>
                <w:color w:val="000000"/>
                <w:sz w:val="16"/>
                <w:szCs w:val="16"/>
                <w:lang w:val="en-GB"/>
              </w:rPr>
              <w:t xml:space="preserve">. The </w:t>
            </w:r>
            <w:proofErr w:type="gramStart"/>
            <w:r w:rsidRPr="00E16672">
              <w:rPr>
                <w:rFonts w:ascii="Times New Roman" w:hAnsi="Times New Roman"/>
                <w:color w:val="000000"/>
                <w:sz w:val="16"/>
                <w:szCs w:val="16"/>
                <w:lang w:val="en-US"/>
              </w:rPr>
              <w:t xml:space="preserve">orders </w:t>
            </w:r>
            <w:r w:rsidRPr="00E16672">
              <w:rPr>
                <w:rFonts w:ascii="Times New Roman" w:hAnsi="Times New Roman"/>
                <w:color w:val="000000"/>
                <w:sz w:val="16"/>
                <w:szCs w:val="16"/>
                <w:lang w:val="en-GB"/>
              </w:rPr>
              <w:t xml:space="preserve"> in</w:t>
            </w:r>
            <w:proofErr w:type="gramEnd"/>
            <w:r w:rsidRPr="00E16672">
              <w:rPr>
                <w:rFonts w:ascii="Times New Roman" w:hAnsi="Times New Roman"/>
                <w:color w:val="000000"/>
                <w:sz w:val="16"/>
                <w:szCs w:val="16"/>
                <w:lang w:val="en-GB"/>
              </w:rPr>
              <w:t xml:space="preserve"> the paper form </w:t>
            </w:r>
            <w:r w:rsidRPr="00E16672">
              <w:rPr>
                <w:rFonts w:ascii="Times New Roman" w:hAnsi="Times New Roman"/>
                <w:color w:val="000000"/>
                <w:sz w:val="16"/>
                <w:szCs w:val="16"/>
                <w:lang w:val="en-US"/>
              </w:rPr>
              <w:t>and messages and information</w:t>
            </w:r>
            <w:r w:rsidRPr="00A26EFC">
              <w:rPr>
                <w:rStyle w:val="shorttext"/>
                <w:rFonts w:ascii="Times New Roman" w:hAnsi="Times New Roman"/>
                <w:color w:val="000000"/>
                <w:sz w:val="16"/>
                <w:szCs w:val="16"/>
                <w:lang w:val="en-US"/>
              </w:rPr>
              <w:t>,</w:t>
            </w:r>
            <w:r w:rsidRPr="00E16672">
              <w:rPr>
                <w:rFonts w:ascii="Times New Roman" w:hAnsi="Times New Roman"/>
                <w:color w:val="000000"/>
                <w:sz w:val="16"/>
                <w:szCs w:val="16"/>
                <w:lang w:val="en-GB"/>
              </w:rPr>
              <w:t xml:space="preserve"> </w:t>
            </w:r>
            <w:r w:rsidRPr="00E16672">
              <w:rPr>
                <w:rFonts w:ascii="Times New Roman" w:hAnsi="Times New Roman"/>
                <w:color w:val="000000"/>
                <w:sz w:val="16"/>
                <w:szCs w:val="16"/>
                <w:lang w:val="en-US"/>
              </w:rPr>
              <w:t>which given in connection with execution the Agreement by the Parties,</w:t>
            </w:r>
            <w:r w:rsidRPr="00E16672">
              <w:rPr>
                <w:rFonts w:ascii="Times New Roman" w:hAnsi="Times New Roman"/>
                <w:color w:val="000000"/>
                <w:sz w:val="16"/>
                <w:szCs w:val="16"/>
                <w:lang w:val="en-GB"/>
              </w:rPr>
              <w:t xml:space="preserve"> may be derived by the Depository institution and </w:t>
            </w:r>
            <w:r w:rsidR="002A33D6" w:rsidRPr="00E16672">
              <w:rPr>
                <w:rFonts w:ascii="Times New Roman" w:hAnsi="Times New Roman"/>
                <w:sz w:val="16"/>
                <w:szCs w:val="16"/>
                <w:lang w:val="en-US"/>
              </w:rPr>
              <w:t>Nominee holder</w:t>
            </w:r>
            <w:r w:rsidRPr="00E16672">
              <w:rPr>
                <w:rFonts w:ascii="Times New Roman" w:hAnsi="Times New Roman"/>
                <w:color w:val="000000"/>
                <w:sz w:val="16"/>
                <w:szCs w:val="16"/>
                <w:lang w:val="en-GB"/>
              </w:rPr>
              <w:t>:</w:t>
            </w:r>
          </w:p>
          <w:p w14:paraId="1032D2FD" w14:textId="77777777" w:rsidR="00EB25FE" w:rsidRPr="00E16672" w:rsidRDefault="00EB25FE" w:rsidP="00231FAB">
            <w:pPr>
              <w:ind w:left="175" w:right="138" w:firstLine="7"/>
              <w:rPr>
                <w:rFonts w:ascii="Times New Roman" w:hAnsi="Times New Roman"/>
                <w:color w:val="000000"/>
                <w:sz w:val="16"/>
                <w:szCs w:val="16"/>
                <w:lang w:val="en-GB"/>
              </w:rPr>
            </w:pPr>
            <w:r w:rsidRPr="00E16672">
              <w:rPr>
                <w:rFonts w:ascii="Times New Roman" w:hAnsi="Times New Roman"/>
                <w:color w:val="000000"/>
                <w:sz w:val="16"/>
                <w:szCs w:val="16"/>
                <w:lang w:val="en-GB"/>
              </w:rPr>
              <w:t xml:space="preserve">- </w:t>
            </w:r>
            <w:proofErr w:type="gramStart"/>
            <w:r w:rsidRPr="00E16672">
              <w:rPr>
                <w:rFonts w:ascii="Times New Roman" w:hAnsi="Times New Roman"/>
                <w:color w:val="000000"/>
                <w:sz w:val="16"/>
                <w:szCs w:val="16"/>
                <w:lang w:val="en-GB"/>
              </w:rPr>
              <w:t>Personally</w:t>
            </w:r>
            <w:proofErr w:type="gramEnd"/>
            <w:r w:rsidRPr="00E16672">
              <w:rPr>
                <w:rFonts w:ascii="Times New Roman" w:hAnsi="Times New Roman"/>
                <w:color w:val="000000"/>
                <w:sz w:val="16"/>
                <w:szCs w:val="16"/>
                <w:lang w:val="en-GB"/>
              </w:rPr>
              <w:t xml:space="preserve"> through the personal reversion of the </w:t>
            </w:r>
            <w:r w:rsidR="002A33D6" w:rsidRPr="00E16672">
              <w:rPr>
                <w:rFonts w:ascii="Times New Roman" w:hAnsi="Times New Roman"/>
                <w:sz w:val="16"/>
                <w:szCs w:val="16"/>
                <w:lang w:val="en-US"/>
              </w:rPr>
              <w:t>Nominee holder</w:t>
            </w:r>
            <w:r w:rsidRPr="00E16672">
              <w:rPr>
                <w:rFonts w:ascii="Times New Roman" w:hAnsi="Times New Roman"/>
                <w:color w:val="000000"/>
                <w:sz w:val="16"/>
                <w:szCs w:val="16"/>
                <w:lang w:val="en-GB"/>
              </w:rPr>
              <w:t>, administrator or his manager of the account (authorized representative person);</w:t>
            </w:r>
          </w:p>
          <w:p w14:paraId="08D4FAF2" w14:textId="77777777" w:rsidR="00EB25FE" w:rsidRPr="00E16672" w:rsidRDefault="00EB25FE" w:rsidP="00231FAB">
            <w:pPr>
              <w:ind w:left="175" w:right="138" w:firstLine="7"/>
              <w:rPr>
                <w:rFonts w:ascii="Times New Roman" w:hAnsi="Times New Roman"/>
                <w:color w:val="000000"/>
                <w:sz w:val="16"/>
                <w:szCs w:val="16"/>
                <w:lang w:val="en-US"/>
              </w:rPr>
            </w:pPr>
            <w:r w:rsidRPr="00E16672">
              <w:rPr>
                <w:rFonts w:ascii="Times New Roman" w:hAnsi="Times New Roman"/>
                <w:color w:val="000000"/>
                <w:spacing w:val="-8"/>
                <w:sz w:val="16"/>
                <w:szCs w:val="16"/>
                <w:lang w:val="en-US"/>
              </w:rPr>
              <w:t>-  by means of postal communication or courier.</w:t>
            </w:r>
          </w:p>
        </w:tc>
      </w:tr>
      <w:tr w:rsidR="002A33D6" w:rsidRPr="00A26EFC" w14:paraId="797EC9E3" w14:textId="77777777" w:rsidTr="005E418B">
        <w:tblPrEx>
          <w:tblCellMar>
            <w:left w:w="0" w:type="dxa"/>
            <w:right w:w="0" w:type="dxa"/>
          </w:tblCellMar>
        </w:tblPrEx>
        <w:trPr>
          <w:trHeight w:val="615"/>
        </w:trPr>
        <w:tc>
          <w:tcPr>
            <w:tcW w:w="5695" w:type="dxa"/>
            <w:gridSpan w:val="7"/>
            <w:shd w:val="clear" w:color="auto" w:fill="auto"/>
          </w:tcPr>
          <w:p w14:paraId="73794611" w14:textId="77777777" w:rsidR="002A33D6" w:rsidRPr="00E16672" w:rsidRDefault="002A33D6" w:rsidP="00794B3F">
            <w:pPr>
              <w:ind w:left="175" w:right="138" w:firstLine="7"/>
              <w:rPr>
                <w:rFonts w:ascii="Times New Roman" w:hAnsi="Times New Roman"/>
                <w:sz w:val="16"/>
                <w:szCs w:val="16"/>
                <w:lang w:val="uk-UA"/>
              </w:rPr>
            </w:pPr>
            <w:r w:rsidRPr="00E16672">
              <w:rPr>
                <w:rFonts w:ascii="Times New Roman" w:hAnsi="Times New Roman"/>
                <w:sz w:val="16"/>
                <w:szCs w:val="16"/>
                <w:lang w:val="uk-UA"/>
              </w:rPr>
              <w:t xml:space="preserve">3.3. </w:t>
            </w:r>
            <w:proofErr w:type="spellStart"/>
            <w:r w:rsidRPr="00E16672">
              <w:rPr>
                <w:rFonts w:ascii="Times New Roman" w:hAnsi="Times New Roman"/>
                <w:sz w:val="16"/>
                <w:szCs w:val="20"/>
              </w:rPr>
              <w:t>Розпорядження</w:t>
            </w:r>
            <w:proofErr w:type="spellEnd"/>
            <w:r w:rsidRPr="00E16672">
              <w:rPr>
                <w:rFonts w:ascii="Times New Roman" w:hAnsi="Times New Roman"/>
                <w:sz w:val="16"/>
                <w:szCs w:val="20"/>
              </w:rPr>
              <w:t xml:space="preserve">, </w:t>
            </w:r>
            <w:proofErr w:type="spellStart"/>
            <w:r w:rsidRPr="00E16672">
              <w:rPr>
                <w:rFonts w:ascii="Times New Roman" w:hAnsi="Times New Roman"/>
                <w:sz w:val="16"/>
                <w:szCs w:val="20"/>
              </w:rPr>
              <w:t>запити</w:t>
            </w:r>
            <w:proofErr w:type="spellEnd"/>
            <w:r w:rsidRPr="00E16672">
              <w:rPr>
                <w:rFonts w:ascii="Times New Roman" w:hAnsi="Times New Roman"/>
                <w:sz w:val="16"/>
                <w:szCs w:val="20"/>
              </w:rPr>
              <w:t xml:space="preserve">, </w:t>
            </w:r>
            <w:proofErr w:type="spellStart"/>
            <w:proofErr w:type="gramStart"/>
            <w:r w:rsidRPr="00E16672">
              <w:rPr>
                <w:rFonts w:ascii="Times New Roman" w:hAnsi="Times New Roman"/>
                <w:sz w:val="16"/>
                <w:szCs w:val="20"/>
              </w:rPr>
              <w:t>повідомлення</w:t>
            </w:r>
            <w:proofErr w:type="spellEnd"/>
            <w:r w:rsidRPr="00E16672">
              <w:rPr>
                <w:rFonts w:ascii="Times New Roman" w:hAnsi="Times New Roman"/>
                <w:sz w:val="16"/>
                <w:szCs w:val="20"/>
              </w:rPr>
              <w:t xml:space="preserve">  </w:t>
            </w:r>
            <w:proofErr w:type="spellStart"/>
            <w:r w:rsidRPr="00E16672">
              <w:rPr>
                <w:rFonts w:ascii="Times New Roman" w:hAnsi="Times New Roman"/>
                <w:sz w:val="16"/>
                <w:szCs w:val="20"/>
              </w:rPr>
              <w:t>можуть</w:t>
            </w:r>
            <w:proofErr w:type="spellEnd"/>
            <w:proofErr w:type="gramEnd"/>
            <w:r w:rsidRPr="00E16672">
              <w:rPr>
                <w:rFonts w:ascii="Times New Roman" w:hAnsi="Times New Roman"/>
                <w:sz w:val="16"/>
                <w:szCs w:val="20"/>
              </w:rPr>
              <w:t xml:space="preserve"> бути </w:t>
            </w:r>
            <w:proofErr w:type="spellStart"/>
            <w:r w:rsidRPr="00E16672">
              <w:rPr>
                <w:rFonts w:ascii="Times New Roman" w:hAnsi="Times New Roman"/>
                <w:sz w:val="16"/>
                <w:szCs w:val="20"/>
              </w:rPr>
              <w:t>надані</w:t>
            </w:r>
            <w:proofErr w:type="spellEnd"/>
            <w:r w:rsidRPr="00E16672">
              <w:rPr>
                <w:rFonts w:ascii="Times New Roman" w:hAnsi="Times New Roman"/>
                <w:sz w:val="16"/>
                <w:szCs w:val="20"/>
              </w:rPr>
              <w:t xml:space="preserve"> Сторонам в </w:t>
            </w:r>
            <w:proofErr w:type="spellStart"/>
            <w:r w:rsidRPr="00E16672">
              <w:rPr>
                <w:rFonts w:ascii="Times New Roman" w:hAnsi="Times New Roman"/>
                <w:sz w:val="16"/>
                <w:szCs w:val="20"/>
              </w:rPr>
              <w:t>електронному</w:t>
            </w:r>
            <w:proofErr w:type="spellEnd"/>
            <w:r w:rsidRPr="00E16672">
              <w:rPr>
                <w:rFonts w:ascii="Times New Roman" w:hAnsi="Times New Roman"/>
                <w:sz w:val="16"/>
                <w:szCs w:val="20"/>
              </w:rPr>
              <w:t xml:space="preserve"> </w:t>
            </w:r>
            <w:proofErr w:type="spellStart"/>
            <w:r w:rsidRPr="00E16672">
              <w:rPr>
                <w:rFonts w:ascii="Times New Roman" w:hAnsi="Times New Roman"/>
                <w:sz w:val="16"/>
                <w:szCs w:val="20"/>
              </w:rPr>
              <w:t>вигляді</w:t>
            </w:r>
            <w:proofErr w:type="spellEnd"/>
            <w:r w:rsidRPr="00E16672">
              <w:rPr>
                <w:rFonts w:ascii="Times New Roman" w:hAnsi="Times New Roman"/>
                <w:sz w:val="16"/>
                <w:szCs w:val="20"/>
              </w:rPr>
              <w:t xml:space="preserve"> у </w:t>
            </w:r>
            <w:proofErr w:type="spellStart"/>
            <w:r w:rsidRPr="00E16672">
              <w:rPr>
                <w:rFonts w:ascii="Times New Roman" w:hAnsi="Times New Roman"/>
                <w:sz w:val="16"/>
                <w:szCs w:val="20"/>
              </w:rPr>
              <w:t>випадках</w:t>
            </w:r>
            <w:proofErr w:type="spellEnd"/>
            <w:r w:rsidRPr="00E16672">
              <w:rPr>
                <w:rFonts w:ascii="Times New Roman" w:hAnsi="Times New Roman"/>
                <w:sz w:val="16"/>
                <w:szCs w:val="20"/>
              </w:rPr>
              <w:t xml:space="preserve">, </w:t>
            </w:r>
            <w:proofErr w:type="spellStart"/>
            <w:r w:rsidRPr="00E16672">
              <w:rPr>
                <w:rFonts w:ascii="Times New Roman" w:hAnsi="Times New Roman"/>
                <w:sz w:val="16"/>
                <w:szCs w:val="20"/>
              </w:rPr>
              <w:t>передбачених</w:t>
            </w:r>
            <w:proofErr w:type="spellEnd"/>
            <w:r w:rsidRPr="00E16672">
              <w:rPr>
                <w:rFonts w:ascii="Times New Roman" w:hAnsi="Times New Roman"/>
                <w:sz w:val="16"/>
                <w:szCs w:val="20"/>
              </w:rPr>
              <w:t xml:space="preserve"> </w:t>
            </w:r>
            <w:proofErr w:type="spellStart"/>
            <w:r w:rsidRPr="00E16672">
              <w:rPr>
                <w:rFonts w:ascii="Times New Roman" w:hAnsi="Times New Roman"/>
                <w:sz w:val="16"/>
                <w:szCs w:val="20"/>
              </w:rPr>
              <w:t>чинним</w:t>
            </w:r>
            <w:proofErr w:type="spellEnd"/>
            <w:r w:rsidRPr="00E16672">
              <w:rPr>
                <w:rFonts w:ascii="Times New Roman" w:hAnsi="Times New Roman"/>
                <w:sz w:val="16"/>
                <w:szCs w:val="20"/>
              </w:rPr>
              <w:t xml:space="preserve"> </w:t>
            </w:r>
            <w:proofErr w:type="spellStart"/>
            <w:r w:rsidRPr="00E16672">
              <w:rPr>
                <w:rFonts w:ascii="Times New Roman" w:hAnsi="Times New Roman"/>
                <w:sz w:val="16"/>
                <w:szCs w:val="20"/>
              </w:rPr>
              <w:t>законодавством</w:t>
            </w:r>
            <w:proofErr w:type="spellEnd"/>
            <w:r w:rsidRPr="00E16672">
              <w:rPr>
                <w:rFonts w:ascii="Times New Roman" w:hAnsi="Times New Roman"/>
                <w:sz w:val="16"/>
                <w:szCs w:val="20"/>
              </w:rPr>
              <w:t xml:space="preserve"> та </w:t>
            </w:r>
            <w:proofErr w:type="spellStart"/>
            <w:r w:rsidRPr="00E16672">
              <w:rPr>
                <w:rFonts w:ascii="Times New Roman" w:hAnsi="Times New Roman"/>
                <w:sz w:val="16"/>
                <w:szCs w:val="20"/>
              </w:rPr>
              <w:t>внутрішніми</w:t>
            </w:r>
            <w:proofErr w:type="spellEnd"/>
            <w:r w:rsidRPr="00E16672">
              <w:rPr>
                <w:rFonts w:ascii="Times New Roman" w:hAnsi="Times New Roman"/>
                <w:sz w:val="16"/>
                <w:szCs w:val="20"/>
              </w:rPr>
              <w:t xml:space="preserve"> документами </w:t>
            </w:r>
            <w:proofErr w:type="spellStart"/>
            <w:r w:rsidRPr="00E16672">
              <w:rPr>
                <w:rFonts w:ascii="Times New Roman" w:hAnsi="Times New Roman"/>
                <w:sz w:val="16"/>
                <w:szCs w:val="20"/>
              </w:rPr>
              <w:t>депозитарної</w:t>
            </w:r>
            <w:proofErr w:type="spellEnd"/>
            <w:r w:rsidRPr="00E16672">
              <w:rPr>
                <w:rFonts w:ascii="Times New Roman" w:hAnsi="Times New Roman"/>
                <w:sz w:val="16"/>
                <w:szCs w:val="20"/>
              </w:rPr>
              <w:t xml:space="preserve"> установи</w:t>
            </w:r>
            <w:r w:rsidRPr="00E16672">
              <w:rPr>
                <w:rFonts w:ascii="Times New Roman" w:hAnsi="Times New Roman"/>
                <w:sz w:val="16"/>
                <w:szCs w:val="20"/>
                <w:lang w:val="uk-UA"/>
              </w:rPr>
              <w:t>.</w:t>
            </w:r>
          </w:p>
        </w:tc>
        <w:tc>
          <w:tcPr>
            <w:tcW w:w="5495" w:type="dxa"/>
            <w:gridSpan w:val="8"/>
            <w:shd w:val="clear" w:color="auto" w:fill="auto"/>
          </w:tcPr>
          <w:p w14:paraId="0E81DD9C" w14:textId="77777777" w:rsidR="002A33D6" w:rsidRPr="00E16672" w:rsidRDefault="002A33D6" w:rsidP="001456E9">
            <w:pPr>
              <w:pStyle w:val="HTML"/>
              <w:ind w:left="175" w:firstLine="7"/>
              <w:rPr>
                <w:rFonts w:ascii="Times New Roman" w:hAnsi="Times New Roman" w:cs="Times New Roman"/>
                <w:sz w:val="16"/>
                <w:lang w:val="en-US"/>
              </w:rPr>
            </w:pPr>
            <w:r w:rsidRPr="00E16672">
              <w:rPr>
                <w:rFonts w:ascii="Times New Roman" w:hAnsi="Times New Roman" w:cs="Times New Roman"/>
                <w:sz w:val="16"/>
                <w:szCs w:val="16"/>
                <w:lang w:val="uk-UA"/>
              </w:rPr>
              <w:t>3.</w:t>
            </w:r>
            <w:r w:rsidRPr="00E16672">
              <w:rPr>
                <w:rFonts w:ascii="Times New Roman" w:hAnsi="Times New Roman" w:cs="Times New Roman"/>
                <w:sz w:val="16"/>
                <w:lang w:val="en-US"/>
              </w:rPr>
              <w:t>3. Orders, requests, and communications may be provided to the Parties electronically in cases stipulated by the current legislation and internal documents of the depositary institution.</w:t>
            </w:r>
          </w:p>
          <w:p w14:paraId="271F5EA6" w14:textId="77777777" w:rsidR="002A33D6" w:rsidRPr="00E16672" w:rsidRDefault="002A33D6" w:rsidP="002A33D6">
            <w:pPr>
              <w:snapToGrid w:val="0"/>
              <w:ind w:left="175" w:right="138" w:firstLine="7"/>
              <w:rPr>
                <w:rFonts w:ascii="Times New Roman" w:hAnsi="Times New Roman"/>
                <w:sz w:val="16"/>
                <w:szCs w:val="16"/>
                <w:lang w:val="uk-UA"/>
              </w:rPr>
            </w:pPr>
          </w:p>
        </w:tc>
      </w:tr>
      <w:tr w:rsidR="00EB25FE" w:rsidRPr="00A26EFC" w14:paraId="29E4BD35" w14:textId="77777777" w:rsidTr="005E418B">
        <w:tblPrEx>
          <w:tblCellMar>
            <w:left w:w="0" w:type="dxa"/>
            <w:right w:w="0" w:type="dxa"/>
          </w:tblCellMar>
        </w:tblPrEx>
        <w:trPr>
          <w:trHeight w:val="454"/>
        </w:trPr>
        <w:tc>
          <w:tcPr>
            <w:tcW w:w="5695" w:type="dxa"/>
            <w:gridSpan w:val="7"/>
            <w:shd w:val="clear" w:color="auto" w:fill="auto"/>
          </w:tcPr>
          <w:p w14:paraId="10140387" w14:textId="77777777" w:rsidR="00EB25FE" w:rsidRPr="00E16672" w:rsidRDefault="00EB25FE" w:rsidP="001456E9">
            <w:pPr>
              <w:ind w:left="175" w:right="138" w:firstLine="7"/>
              <w:rPr>
                <w:rFonts w:ascii="Times New Roman" w:hAnsi="Times New Roman"/>
                <w:sz w:val="16"/>
                <w:szCs w:val="16"/>
              </w:rPr>
            </w:pPr>
            <w:r w:rsidRPr="00E16672">
              <w:rPr>
                <w:rFonts w:ascii="Times New Roman" w:hAnsi="Times New Roman"/>
                <w:sz w:val="16"/>
                <w:szCs w:val="16"/>
              </w:rPr>
              <w:t>3.4.</w:t>
            </w:r>
            <w:r w:rsidRPr="00E16672">
              <w:rPr>
                <w:rFonts w:ascii="Times New Roman" w:hAnsi="Times New Roman"/>
                <w:b/>
                <w:bCs/>
                <w:sz w:val="16"/>
                <w:szCs w:val="16"/>
              </w:rPr>
              <w:t xml:space="preserve"> </w:t>
            </w:r>
            <w:proofErr w:type="spellStart"/>
            <w:r w:rsidRPr="00E16672">
              <w:rPr>
                <w:rFonts w:ascii="Times New Roman" w:hAnsi="Times New Roman"/>
                <w:sz w:val="16"/>
                <w:szCs w:val="16"/>
              </w:rPr>
              <w:t>Розпорядження</w:t>
            </w:r>
            <w:proofErr w:type="spellEnd"/>
            <w:r w:rsidR="00A62A96" w:rsidRPr="00E16672">
              <w:rPr>
                <w:rFonts w:ascii="Times New Roman" w:hAnsi="Times New Roman"/>
                <w:sz w:val="16"/>
                <w:szCs w:val="16"/>
                <w:lang w:val="uk-UA"/>
              </w:rPr>
              <w:t>, запит, повідомлення</w:t>
            </w:r>
            <w:r w:rsidRPr="00E16672">
              <w:rPr>
                <w:rFonts w:ascii="Times New Roman" w:hAnsi="Times New Roman"/>
                <w:sz w:val="16"/>
                <w:szCs w:val="16"/>
              </w:rPr>
              <w:t xml:space="preserve"> </w:t>
            </w:r>
            <w:proofErr w:type="spellStart"/>
            <w:r w:rsidRPr="00E16672">
              <w:rPr>
                <w:rFonts w:ascii="Times New Roman" w:hAnsi="Times New Roman"/>
                <w:sz w:val="16"/>
                <w:szCs w:val="16"/>
              </w:rPr>
              <w:t>має</w:t>
            </w:r>
            <w:proofErr w:type="spellEnd"/>
            <w:r w:rsidRPr="00E16672">
              <w:rPr>
                <w:rFonts w:ascii="Times New Roman" w:hAnsi="Times New Roman"/>
                <w:sz w:val="16"/>
                <w:szCs w:val="16"/>
              </w:rPr>
              <w:t xml:space="preserve"> бути </w:t>
            </w:r>
            <w:proofErr w:type="spellStart"/>
            <w:r w:rsidRPr="00E16672">
              <w:rPr>
                <w:rFonts w:ascii="Times New Roman" w:hAnsi="Times New Roman"/>
                <w:sz w:val="16"/>
                <w:szCs w:val="16"/>
              </w:rPr>
              <w:t>підписане</w:t>
            </w:r>
            <w:proofErr w:type="spellEnd"/>
            <w:r w:rsidRPr="00E16672">
              <w:rPr>
                <w:rFonts w:ascii="Times New Roman" w:hAnsi="Times New Roman"/>
                <w:sz w:val="16"/>
                <w:szCs w:val="16"/>
              </w:rPr>
              <w:t xml:space="preserve"> </w:t>
            </w:r>
            <w:r w:rsidR="00231FAB" w:rsidRPr="00E16672">
              <w:rPr>
                <w:rFonts w:ascii="Times New Roman" w:hAnsi="Times New Roman"/>
                <w:color w:val="000000"/>
                <w:sz w:val="16"/>
                <w:szCs w:val="16"/>
                <w:lang w:val="uk-UA"/>
              </w:rPr>
              <w:t>Номінальним утримувачем</w:t>
            </w:r>
            <w:r w:rsidRPr="00E16672">
              <w:rPr>
                <w:rFonts w:ascii="Times New Roman" w:hAnsi="Times New Roman"/>
                <w:sz w:val="16"/>
                <w:szCs w:val="16"/>
              </w:rPr>
              <w:t xml:space="preserve">, </w:t>
            </w:r>
            <w:proofErr w:type="spellStart"/>
            <w:r w:rsidRPr="00E16672">
              <w:rPr>
                <w:rFonts w:ascii="Times New Roman" w:hAnsi="Times New Roman"/>
                <w:sz w:val="16"/>
                <w:szCs w:val="16"/>
              </w:rPr>
              <w:t>розпорядником</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рахунку</w:t>
            </w:r>
            <w:proofErr w:type="spellEnd"/>
            <w:r w:rsidRPr="00E16672">
              <w:rPr>
                <w:rFonts w:ascii="Times New Roman" w:hAnsi="Times New Roman"/>
                <w:sz w:val="16"/>
                <w:szCs w:val="16"/>
              </w:rPr>
              <w:t xml:space="preserve"> </w:t>
            </w:r>
            <w:r w:rsidR="00C22309" w:rsidRPr="00E16672">
              <w:rPr>
                <w:rFonts w:ascii="Times New Roman" w:hAnsi="Times New Roman"/>
                <w:sz w:val="16"/>
                <w:szCs w:val="16"/>
              </w:rPr>
              <w:t xml:space="preserve">в </w:t>
            </w:r>
            <w:proofErr w:type="spellStart"/>
            <w:r w:rsidR="00C22309" w:rsidRPr="00E16672">
              <w:rPr>
                <w:rFonts w:ascii="Times New Roman" w:hAnsi="Times New Roman"/>
                <w:sz w:val="16"/>
                <w:szCs w:val="16"/>
              </w:rPr>
              <w:t>цін</w:t>
            </w:r>
            <w:r w:rsidRPr="00E16672">
              <w:rPr>
                <w:rFonts w:ascii="Times New Roman" w:hAnsi="Times New Roman"/>
                <w:sz w:val="16"/>
                <w:szCs w:val="16"/>
              </w:rPr>
              <w:t>них</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паперах</w:t>
            </w:r>
            <w:proofErr w:type="spellEnd"/>
            <w:r w:rsidRPr="00E16672">
              <w:rPr>
                <w:rFonts w:ascii="Times New Roman" w:hAnsi="Times New Roman"/>
                <w:color w:val="000000"/>
                <w:sz w:val="16"/>
                <w:szCs w:val="20"/>
                <w:lang w:val="uk-UA"/>
              </w:rPr>
              <w:t xml:space="preserve"> або керуючим рахунком </w:t>
            </w:r>
            <w:r w:rsidR="00C22309" w:rsidRPr="00E16672">
              <w:rPr>
                <w:rFonts w:ascii="Times New Roman" w:hAnsi="Times New Roman"/>
                <w:color w:val="000000"/>
                <w:sz w:val="16"/>
                <w:szCs w:val="20"/>
                <w:lang w:val="uk-UA"/>
              </w:rPr>
              <w:t>в цін</w:t>
            </w:r>
            <w:r w:rsidRPr="00E16672">
              <w:rPr>
                <w:rFonts w:ascii="Times New Roman" w:hAnsi="Times New Roman"/>
                <w:color w:val="000000"/>
                <w:sz w:val="16"/>
                <w:szCs w:val="20"/>
                <w:lang w:val="uk-UA"/>
              </w:rPr>
              <w:t>них паперах</w:t>
            </w:r>
            <w:r w:rsidRPr="00E16672">
              <w:rPr>
                <w:rFonts w:ascii="Times New Roman" w:hAnsi="Times New Roman"/>
                <w:sz w:val="16"/>
                <w:szCs w:val="16"/>
              </w:rPr>
              <w:t xml:space="preserve">. </w:t>
            </w:r>
          </w:p>
          <w:p w14:paraId="6AD80178" w14:textId="77777777" w:rsidR="00231FAB" w:rsidRPr="00E16672" w:rsidRDefault="00231FAB" w:rsidP="001456E9">
            <w:pPr>
              <w:ind w:left="175" w:right="138" w:firstLine="7"/>
              <w:rPr>
                <w:rFonts w:ascii="Times New Roman" w:hAnsi="Times New Roman"/>
                <w:sz w:val="16"/>
                <w:szCs w:val="16"/>
              </w:rPr>
            </w:pPr>
          </w:p>
        </w:tc>
        <w:tc>
          <w:tcPr>
            <w:tcW w:w="5495" w:type="dxa"/>
            <w:gridSpan w:val="8"/>
            <w:shd w:val="clear" w:color="auto" w:fill="auto"/>
          </w:tcPr>
          <w:p w14:paraId="7BBD57F8" w14:textId="77777777" w:rsidR="00EB25FE" w:rsidRPr="00E16672" w:rsidRDefault="00EB25FE" w:rsidP="00231FAB">
            <w:pPr>
              <w:snapToGrid w:val="0"/>
              <w:ind w:left="175" w:right="138" w:firstLine="7"/>
              <w:rPr>
                <w:rFonts w:ascii="Times New Roman" w:hAnsi="Times New Roman"/>
                <w:sz w:val="16"/>
                <w:szCs w:val="16"/>
                <w:lang w:val="en-GB"/>
              </w:rPr>
            </w:pPr>
            <w:r w:rsidRPr="00E16672">
              <w:rPr>
                <w:rFonts w:ascii="Times New Roman" w:hAnsi="Times New Roman"/>
                <w:sz w:val="16"/>
                <w:szCs w:val="16"/>
                <w:lang w:val="en-GB"/>
              </w:rPr>
              <w:t xml:space="preserve">3.4. The order </w:t>
            </w:r>
            <w:proofErr w:type="gramStart"/>
            <w:r w:rsidRPr="00E16672">
              <w:rPr>
                <w:rFonts w:ascii="Times New Roman" w:hAnsi="Times New Roman"/>
                <w:sz w:val="16"/>
                <w:szCs w:val="16"/>
                <w:lang w:val="en-GB"/>
              </w:rPr>
              <w:t>have</w:t>
            </w:r>
            <w:proofErr w:type="gramEnd"/>
            <w:r w:rsidRPr="00E16672">
              <w:rPr>
                <w:rFonts w:ascii="Times New Roman" w:hAnsi="Times New Roman"/>
                <w:sz w:val="16"/>
                <w:szCs w:val="16"/>
                <w:lang w:val="en-GB"/>
              </w:rPr>
              <w:t xml:space="preserve"> to be signed by </w:t>
            </w:r>
            <w:r w:rsidR="00231FAB" w:rsidRPr="00E16672">
              <w:rPr>
                <w:rFonts w:ascii="Times New Roman" w:hAnsi="Times New Roman"/>
                <w:sz w:val="16"/>
                <w:szCs w:val="16"/>
                <w:lang w:val="en-US"/>
              </w:rPr>
              <w:t>Nominee holder</w:t>
            </w:r>
            <w:r w:rsidRPr="00E16672">
              <w:rPr>
                <w:rFonts w:ascii="Times New Roman" w:hAnsi="Times New Roman"/>
                <w:sz w:val="16"/>
                <w:szCs w:val="16"/>
                <w:lang w:val="en-US"/>
              </w:rPr>
              <w:t xml:space="preserve">, </w:t>
            </w:r>
            <w:r w:rsidRPr="00E16672">
              <w:rPr>
                <w:rFonts w:ascii="Times New Roman" w:hAnsi="Times New Roman"/>
                <w:sz w:val="16"/>
                <w:szCs w:val="16"/>
                <w:lang w:val="en-GB"/>
              </w:rPr>
              <w:t>manager of the account in securities</w:t>
            </w:r>
            <w:r w:rsidRPr="00E16672">
              <w:rPr>
                <w:rFonts w:ascii="Times New Roman" w:hAnsi="Times New Roman"/>
                <w:sz w:val="16"/>
                <w:szCs w:val="16"/>
                <w:lang w:val="en-US"/>
              </w:rPr>
              <w:t xml:space="preserve"> </w:t>
            </w:r>
            <w:r w:rsidRPr="00E16672">
              <w:rPr>
                <w:rFonts w:ascii="Times New Roman" w:hAnsi="Times New Roman"/>
                <w:color w:val="000000"/>
                <w:sz w:val="16"/>
                <w:szCs w:val="16"/>
                <w:lang w:val="en-GB"/>
              </w:rPr>
              <w:t>or</w:t>
            </w:r>
            <w:r w:rsidRPr="00E16672">
              <w:rPr>
                <w:rFonts w:ascii="Times New Roman" w:hAnsi="Times New Roman"/>
                <w:sz w:val="16"/>
                <w:szCs w:val="16"/>
                <w:lang w:val="en-US"/>
              </w:rPr>
              <w:t xml:space="preserve"> </w:t>
            </w:r>
            <w:r w:rsidRPr="00E16672">
              <w:rPr>
                <w:rFonts w:ascii="Times New Roman" w:hAnsi="Times New Roman"/>
                <w:sz w:val="16"/>
              </w:rPr>
              <w:t>а</w:t>
            </w:r>
            <w:proofErr w:type="spellStart"/>
            <w:r w:rsidRPr="00E16672">
              <w:rPr>
                <w:rFonts w:ascii="Times New Roman" w:hAnsi="Times New Roman"/>
                <w:sz w:val="16"/>
                <w:lang w:val="en-US"/>
              </w:rPr>
              <w:t>dministrator</w:t>
            </w:r>
            <w:proofErr w:type="spellEnd"/>
            <w:r w:rsidRPr="00E16672">
              <w:rPr>
                <w:rFonts w:ascii="Times New Roman" w:hAnsi="Times New Roman"/>
                <w:sz w:val="16"/>
                <w:lang w:val="en-US"/>
              </w:rPr>
              <w:t xml:space="preserve"> of the account in securities</w:t>
            </w:r>
            <w:r w:rsidRPr="00E16672">
              <w:rPr>
                <w:rFonts w:ascii="Times New Roman" w:hAnsi="Times New Roman"/>
                <w:sz w:val="16"/>
                <w:szCs w:val="16"/>
                <w:lang w:val="en-GB"/>
              </w:rPr>
              <w:t xml:space="preserve">. </w:t>
            </w:r>
          </w:p>
        </w:tc>
      </w:tr>
      <w:tr w:rsidR="00EB25FE" w:rsidRPr="00A26EFC" w14:paraId="19810A14" w14:textId="77777777" w:rsidTr="00FA3078">
        <w:tblPrEx>
          <w:tblCellMar>
            <w:left w:w="0" w:type="dxa"/>
            <w:right w:w="0" w:type="dxa"/>
          </w:tblCellMar>
        </w:tblPrEx>
        <w:trPr>
          <w:trHeight w:val="1183"/>
        </w:trPr>
        <w:tc>
          <w:tcPr>
            <w:tcW w:w="5695" w:type="dxa"/>
            <w:gridSpan w:val="7"/>
            <w:shd w:val="clear" w:color="auto" w:fill="auto"/>
          </w:tcPr>
          <w:p w14:paraId="473B5453" w14:textId="77777777" w:rsidR="00A62A96" w:rsidRPr="00E16672" w:rsidRDefault="00EB25FE" w:rsidP="001456E9">
            <w:pPr>
              <w:snapToGrid w:val="0"/>
              <w:ind w:left="170" w:right="138" w:firstLine="7"/>
              <w:rPr>
                <w:rFonts w:ascii="Times New Roman" w:hAnsi="Times New Roman"/>
                <w:sz w:val="16"/>
                <w:szCs w:val="16"/>
                <w:lang w:val="en-US"/>
              </w:rPr>
            </w:pPr>
            <w:r w:rsidRPr="00E16672">
              <w:rPr>
                <w:rFonts w:ascii="Times New Roman" w:hAnsi="Times New Roman"/>
                <w:sz w:val="16"/>
                <w:szCs w:val="16"/>
                <w:lang w:val="en-US"/>
              </w:rPr>
              <w:t xml:space="preserve">3.5. </w:t>
            </w:r>
            <w:proofErr w:type="spellStart"/>
            <w:r w:rsidR="00A62A96" w:rsidRPr="00E16672">
              <w:rPr>
                <w:rFonts w:ascii="Times New Roman" w:hAnsi="Times New Roman"/>
                <w:sz w:val="16"/>
                <w:szCs w:val="16"/>
              </w:rPr>
              <w:t>Обмін</w:t>
            </w:r>
            <w:proofErr w:type="spellEnd"/>
            <w:r w:rsidR="00A62A96" w:rsidRPr="00E16672">
              <w:rPr>
                <w:rFonts w:ascii="Times New Roman" w:hAnsi="Times New Roman"/>
                <w:sz w:val="16"/>
                <w:szCs w:val="16"/>
                <w:lang w:val="en-US"/>
              </w:rPr>
              <w:t xml:space="preserve"> </w:t>
            </w:r>
            <w:proofErr w:type="spellStart"/>
            <w:r w:rsidR="00A62A96" w:rsidRPr="00E16672">
              <w:rPr>
                <w:rFonts w:ascii="Times New Roman" w:hAnsi="Times New Roman"/>
                <w:sz w:val="16"/>
                <w:szCs w:val="16"/>
              </w:rPr>
              <w:t>інформацією</w:t>
            </w:r>
            <w:proofErr w:type="spellEnd"/>
            <w:r w:rsidR="00A62A96" w:rsidRPr="00E16672">
              <w:rPr>
                <w:rFonts w:ascii="Times New Roman" w:hAnsi="Times New Roman"/>
                <w:sz w:val="16"/>
                <w:szCs w:val="16"/>
                <w:lang w:val="en-US"/>
              </w:rPr>
              <w:t xml:space="preserve"> </w:t>
            </w:r>
            <w:proofErr w:type="spellStart"/>
            <w:r w:rsidR="00A62A96" w:rsidRPr="00E16672">
              <w:rPr>
                <w:rFonts w:ascii="Times New Roman" w:hAnsi="Times New Roman"/>
                <w:sz w:val="16"/>
                <w:szCs w:val="16"/>
              </w:rPr>
              <w:t>між</w:t>
            </w:r>
            <w:proofErr w:type="spellEnd"/>
            <w:r w:rsidR="00A62A96" w:rsidRPr="00E16672">
              <w:rPr>
                <w:rFonts w:ascii="Times New Roman" w:hAnsi="Times New Roman"/>
                <w:sz w:val="16"/>
                <w:szCs w:val="16"/>
                <w:lang w:val="en-US"/>
              </w:rPr>
              <w:t xml:space="preserve"> </w:t>
            </w:r>
            <w:r w:rsidR="00A62A96" w:rsidRPr="00E16672">
              <w:rPr>
                <w:rFonts w:ascii="Times New Roman" w:hAnsi="Times New Roman"/>
                <w:sz w:val="16"/>
                <w:szCs w:val="16"/>
              </w:rPr>
              <w:t>Сторонами</w:t>
            </w:r>
            <w:r w:rsidR="00A62A96" w:rsidRPr="00E16672">
              <w:rPr>
                <w:rFonts w:ascii="Times New Roman" w:hAnsi="Times New Roman"/>
                <w:sz w:val="16"/>
                <w:szCs w:val="16"/>
                <w:lang w:val="en-US"/>
              </w:rPr>
              <w:t xml:space="preserve"> </w:t>
            </w:r>
            <w:proofErr w:type="spellStart"/>
            <w:r w:rsidR="00A62A96" w:rsidRPr="00E16672">
              <w:rPr>
                <w:rFonts w:ascii="Times New Roman" w:hAnsi="Times New Roman"/>
                <w:sz w:val="16"/>
                <w:szCs w:val="16"/>
              </w:rPr>
              <w:t>здійснюється</w:t>
            </w:r>
            <w:proofErr w:type="spellEnd"/>
            <w:r w:rsidR="00A62A96" w:rsidRPr="00E16672">
              <w:rPr>
                <w:rFonts w:ascii="Times New Roman" w:hAnsi="Times New Roman"/>
                <w:sz w:val="16"/>
                <w:szCs w:val="16"/>
                <w:lang w:val="en-US"/>
              </w:rPr>
              <w:t xml:space="preserve"> </w:t>
            </w:r>
            <w:r w:rsidR="00A62A96" w:rsidRPr="00E16672">
              <w:rPr>
                <w:rFonts w:ascii="Times New Roman" w:hAnsi="Times New Roman"/>
                <w:sz w:val="16"/>
                <w:szCs w:val="16"/>
              </w:rPr>
              <w:t>шляхом</w:t>
            </w:r>
            <w:r w:rsidR="00A62A96" w:rsidRPr="00E16672">
              <w:rPr>
                <w:rFonts w:ascii="Times New Roman" w:hAnsi="Times New Roman"/>
                <w:sz w:val="16"/>
                <w:szCs w:val="16"/>
                <w:lang w:val="en-US"/>
              </w:rPr>
              <w:t xml:space="preserve"> </w:t>
            </w:r>
            <w:proofErr w:type="spellStart"/>
            <w:proofErr w:type="gramStart"/>
            <w:r w:rsidR="00A62A96" w:rsidRPr="00E16672">
              <w:rPr>
                <w:rFonts w:ascii="Times New Roman" w:hAnsi="Times New Roman"/>
                <w:sz w:val="16"/>
                <w:szCs w:val="16"/>
              </w:rPr>
              <w:t>направлення</w:t>
            </w:r>
            <w:proofErr w:type="spellEnd"/>
            <w:r w:rsidR="00A62A96" w:rsidRPr="00E16672">
              <w:rPr>
                <w:rFonts w:ascii="Times New Roman" w:hAnsi="Times New Roman"/>
                <w:sz w:val="16"/>
                <w:szCs w:val="16"/>
                <w:lang w:val="en-US"/>
              </w:rPr>
              <w:t xml:space="preserve">  </w:t>
            </w:r>
            <w:proofErr w:type="spellStart"/>
            <w:r w:rsidR="00A62A96" w:rsidRPr="00E16672">
              <w:rPr>
                <w:rFonts w:ascii="Times New Roman" w:hAnsi="Times New Roman"/>
                <w:sz w:val="16"/>
                <w:szCs w:val="16"/>
              </w:rPr>
              <w:t>листів</w:t>
            </w:r>
            <w:proofErr w:type="spellEnd"/>
            <w:proofErr w:type="gramEnd"/>
            <w:r w:rsidR="00A62A96" w:rsidRPr="00E16672">
              <w:rPr>
                <w:rFonts w:ascii="Times New Roman" w:hAnsi="Times New Roman"/>
                <w:sz w:val="16"/>
                <w:szCs w:val="16"/>
                <w:lang w:val="en-US"/>
              </w:rPr>
              <w:t xml:space="preserve">, </w:t>
            </w:r>
            <w:proofErr w:type="spellStart"/>
            <w:r w:rsidR="00A62A96" w:rsidRPr="00E16672">
              <w:rPr>
                <w:rFonts w:ascii="Times New Roman" w:hAnsi="Times New Roman"/>
                <w:sz w:val="16"/>
                <w:szCs w:val="16"/>
              </w:rPr>
              <w:t>повідомлень</w:t>
            </w:r>
            <w:proofErr w:type="spellEnd"/>
            <w:r w:rsidR="00A62A96" w:rsidRPr="00E16672">
              <w:rPr>
                <w:rFonts w:ascii="Times New Roman" w:hAnsi="Times New Roman"/>
                <w:sz w:val="16"/>
                <w:szCs w:val="16"/>
                <w:lang w:val="en-US"/>
              </w:rPr>
              <w:t xml:space="preserve">, </w:t>
            </w:r>
            <w:proofErr w:type="spellStart"/>
            <w:r w:rsidR="00A62A96" w:rsidRPr="00E16672">
              <w:rPr>
                <w:rFonts w:ascii="Times New Roman" w:hAnsi="Times New Roman"/>
                <w:sz w:val="16"/>
                <w:szCs w:val="16"/>
              </w:rPr>
              <w:t>звітів</w:t>
            </w:r>
            <w:proofErr w:type="spellEnd"/>
            <w:r w:rsidR="00A62A96" w:rsidRPr="00E16672">
              <w:rPr>
                <w:rFonts w:ascii="Times New Roman" w:hAnsi="Times New Roman"/>
                <w:sz w:val="16"/>
                <w:szCs w:val="16"/>
                <w:lang w:val="en-US"/>
              </w:rPr>
              <w:t xml:space="preserve">, </w:t>
            </w:r>
            <w:proofErr w:type="spellStart"/>
            <w:r w:rsidR="00A62A96" w:rsidRPr="00E16672">
              <w:rPr>
                <w:rFonts w:ascii="Times New Roman" w:hAnsi="Times New Roman"/>
                <w:sz w:val="16"/>
                <w:szCs w:val="16"/>
              </w:rPr>
              <w:t>розпоряджень</w:t>
            </w:r>
            <w:proofErr w:type="spellEnd"/>
            <w:r w:rsidR="00A62A96" w:rsidRPr="00E16672">
              <w:rPr>
                <w:rFonts w:ascii="Times New Roman" w:hAnsi="Times New Roman"/>
                <w:sz w:val="16"/>
                <w:szCs w:val="16"/>
                <w:lang w:val="en-US"/>
              </w:rPr>
              <w:t xml:space="preserve"> </w:t>
            </w:r>
            <w:r w:rsidR="00A62A96" w:rsidRPr="00E16672">
              <w:rPr>
                <w:rFonts w:ascii="Times New Roman" w:hAnsi="Times New Roman"/>
                <w:sz w:val="16"/>
                <w:szCs w:val="16"/>
              </w:rPr>
              <w:t>та</w:t>
            </w:r>
            <w:r w:rsidR="00A62A96" w:rsidRPr="00E16672">
              <w:rPr>
                <w:rFonts w:ascii="Times New Roman" w:hAnsi="Times New Roman"/>
                <w:sz w:val="16"/>
                <w:szCs w:val="16"/>
                <w:lang w:val="en-US"/>
              </w:rPr>
              <w:t xml:space="preserve"> </w:t>
            </w:r>
            <w:proofErr w:type="spellStart"/>
            <w:r w:rsidR="00A62A96" w:rsidRPr="00E16672">
              <w:rPr>
                <w:rFonts w:ascii="Times New Roman" w:hAnsi="Times New Roman"/>
                <w:sz w:val="16"/>
                <w:szCs w:val="16"/>
              </w:rPr>
              <w:t>інших</w:t>
            </w:r>
            <w:proofErr w:type="spellEnd"/>
            <w:r w:rsidR="00A62A96" w:rsidRPr="00E16672">
              <w:rPr>
                <w:rFonts w:ascii="Times New Roman" w:hAnsi="Times New Roman"/>
                <w:sz w:val="16"/>
                <w:szCs w:val="16"/>
                <w:lang w:val="en-US"/>
              </w:rPr>
              <w:t xml:space="preserve"> </w:t>
            </w:r>
            <w:proofErr w:type="spellStart"/>
            <w:r w:rsidR="00A62A96" w:rsidRPr="00E16672">
              <w:rPr>
                <w:rFonts w:ascii="Times New Roman" w:hAnsi="Times New Roman"/>
                <w:sz w:val="16"/>
                <w:szCs w:val="16"/>
              </w:rPr>
              <w:t>документів</w:t>
            </w:r>
            <w:proofErr w:type="spellEnd"/>
            <w:r w:rsidR="00A62A96" w:rsidRPr="00E16672">
              <w:rPr>
                <w:rFonts w:ascii="Times New Roman" w:hAnsi="Times New Roman"/>
                <w:sz w:val="16"/>
                <w:szCs w:val="16"/>
                <w:lang w:val="en-US"/>
              </w:rPr>
              <w:t xml:space="preserve"> </w:t>
            </w:r>
            <w:r w:rsidR="00A62A96" w:rsidRPr="00E16672">
              <w:rPr>
                <w:rFonts w:ascii="Times New Roman" w:hAnsi="Times New Roman"/>
                <w:sz w:val="16"/>
                <w:szCs w:val="16"/>
              </w:rPr>
              <w:t>та</w:t>
            </w:r>
            <w:r w:rsidR="00A62A96" w:rsidRPr="00E16672">
              <w:rPr>
                <w:rFonts w:ascii="Times New Roman" w:hAnsi="Times New Roman"/>
                <w:sz w:val="16"/>
                <w:szCs w:val="16"/>
                <w:lang w:val="en-US"/>
              </w:rPr>
              <w:t xml:space="preserve"> </w:t>
            </w:r>
            <w:proofErr w:type="spellStart"/>
            <w:r w:rsidR="00A62A96" w:rsidRPr="00E16672">
              <w:rPr>
                <w:rFonts w:ascii="Times New Roman" w:hAnsi="Times New Roman"/>
                <w:sz w:val="16"/>
                <w:szCs w:val="16"/>
              </w:rPr>
              <w:t>інформації</w:t>
            </w:r>
            <w:proofErr w:type="spellEnd"/>
            <w:r w:rsidR="00A62A96" w:rsidRPr="00E16672">
              <w:rPr>
                <w:rFonts w:ascii="Times New Roman" w:hAnsi="Times New Roman"/>
                <w:sz w:val="16"/>
                <w:szCs w:val="16"/>
                <w:lang w:val="en-US"/>
              </w:rPr>
              <w:t xml:space="preserve"> </w:t>
            </w:r>
            <w:r w:rsidR="00A62A96" w:rsidRPr="00E16672">
              <w:rPr>
                <w:rFonts w:ascii="Times New Roman" w:hAnsi="Times New Roman"/>
                <w:sz w:val="16"/>
                <w:szCs w:val="16"/>
              </w:rPr>
              <w:t>кур</w:t>
            </w:r>
            <w:r w:rsidR="00A62A96" w:rsidRPr="00E16672">
              <w:rPr>
                <w:rFonts w:ascii="Times New Roman" w:hAnsi="Times New Roman"/>
                <w:sz w:val="16"/>
                <w:szCs w:val="16"/>
                <w:lang w:val="en-US"/>
              </w:rPr>
              <w:t>’</w:t>
            </w:r>
            <w:proofErr w:type="spellStart"/>
            <w:r w:rsidR="00A62A96" w:rsidRPr="00E16672">
              <w:rPr>
                <w:rFonts w:ascii="Times New Roman" w:hAnsi="Times New Roman"/>
                <w:sz w:val="16"/>
                <w:szCs w:val="16"/>
              </w:rPr>
              <w:t>єром</w:t>
            </w:r>
            <w:proofErr w:type="spellEnd"/>
            <w:r w:rsidR="00A62A96" w:rsidRPr="00E16672">
              <w:rPr>
                <w:rFonts w:ascii="Times New Roman" w:hAnsi="Times New Roman"/>
                <w:sz w:val="16"/>
                <w:szCs w:val="16"/>
                <w:lang w:val="en-US"/>
              </w:rPr>
              <w:t xml:space="preserve">, </w:t>
            </w:r>
            <w:proofErr w:type="spellStart"/>
            <w:r w:rsidR="00A62A96" w:rsidRPr="00E16672">
              <w:rPr>
                <w:rFonts w:ascii="Times New Roman" w:hAnsi="Times New Roman"/>
                <w:sz w:val="16"/>
                <w:szCs w:val="16"/>
              </w:rPr>
              <w:t>поштою</w:t>
            </w:r>
            <w:proofErr w:type="spellEnd"/>
            <w:r w:rsidR="00A62A96" w:rsidRPr="00E16672">
              <w:rPr>
                <w:rFonts w:ascii="Times New Roman" w:hAnsi="Times New Roman"/>
                <w:sz w:val="16"/>
                <w:szCs w:val="16"/>
                <w:lang w:val="en-US"/>
              </w:rPr>
              <w:t xml:space="preserve">, </w:t>
            </w:r>
            <w:r w:rsidR="00A62A96" w:rsidRPr="00E16672">
              <w:rPr>
                <w:rFonts w:ascii="Times New Roman" w:hAnsi="Times New Roman"/>
                <w:sz w:val="16"/>
                <w:szCs w:val="16"/>
              </w:rPr>
              <w:t>шляхом</w:t>
            </w:r>
            <w:r w:rsidR="00A62A96" w:rsidRPr="00E16672">
              <w:rPr>
                <w:rFonts w:ascii="Times New Roman" w:hAnsi="Times New Roman"/>
                <w:sz w:val="16"/>
                <w:szCs w:val="16"/>
                <w:lang w:val="en-US"/>
              </w:rPr>
              <w:t xml:space="preserve"> </w:t>
            </w:r>
            <w:proofErr w:type="spellStart"/>
            <w:r w:rsidR="00A62A96" w:rsidRPr="00E16672">
              <w:rPr>
                <w:rFonts w:ascii="Times New Roman" w:hAnsi="Times New Roman"/>
                <w:sz w:val="16"/>
                <w:szCs w:val="16"/>
              </w:rPr>
              <w:t>направлення</w:t>
            </w:r>
            <w:proofErr w:type="spellEnd"/>
            <w:r w:rsidR="00A62A96" w:rsidRPr="00E16672">
              <w:rPr>
                <w:rFonts w:ascii="Times New Roman" w:hAnsi="Times New Roman"/>
                <w:sz w:val="16"/>
                <w:szCs w:val="16"/>
                <w:lang w:val="en-US"/>
              </w:rPr>
              <w:t xml:space="preserve"> </w:t>
            </w:r>
            <w:r w:rsidR="00A62A96" w:rsidRPr="00E16672">
              <w:rPr>
                <w:rFonts w:ascii="Times New Roman" w:hAnsi="Times New Roman"/>
                <w:sz w:val="16"/>
                <w:szCs w:val="16"/>
              </w:rPr>
              <w:t>на</w:t>
            </w:r>
            <w:r w:rsidR="00A62A96" w:rsidRPr="00E16672">
              <w:rPr>
                <w:rFonts w:ascii="Times New Roman" w:hAnsi="Times New Roman"/>
                <w:sz w:val="16"/>
                <w:szCs w:val="16"/>
                <w:lang w:val="en-US"/>
              </w:rPr>
              <w:t xml:space="preserve"> </w:t>
            </w:r>
            <w:proofErr w:type="spellStart"/>
            <w:r w:rsidR="00A62A96" w:rsidRPr="00E16672">
              <w:rPr>
                <w:rFonts w:ascii="Times New Roman" w:hAnsi="Times New Roman"/>
                <w:sz w:val="16"/>
                <w:szCs w:val="16"/>
              </w:rPr>
              <w:t>офіційну</w:t>
            </w:r>
            <w:proofErr w:type="spellEnd"/>
            <w:r w:rsidR="00A62A96" w:rsidRPr="00E16672">
              <w:rPr>
                <w:rFonts w:ascii="Times New Roman" w:hAnsi="Times New Roman"/>
                <w:sz w:val="16"/>
                <w:szCs w:val="16"/>
                <w:lang w:val="en-US"/>
              </w:rPr>
              <w:t xml:space="preserve"> </w:t>
            </w:r>
            <w:proofErr w:type="spellStart"/>
            <w:r w:rsidR="00A62A96" w:rsidRPr="00E16672">
              <w:rPr>
                <w:rFonts w:ascii="Times New Roman" w:hAnsi="Times New Roman"/>
                <w:sz w:val="16"/>
                <w:szCs w:val="16"/>
              </w:rPr>
              <w:t>електронну</w:t>
            </w:r>
            <w:proofErr w:type="spellEnd"/>
            <w:r w:rsidR="00A62A96" w:rsidRPr="00E16672">
              <w:rPr>
                <w:rFonts w:ascii="Times New Roman" w:hAnsi="Times New Roman"/>
                <w:sz w:val="16"/>
                <w:szCs w:val="16"/>
                <w:lang w:val="en-US"/>
              </w:rPr>
              <w:t xml:space="preserve"> </w:t>
            </w:r>
            <w:r w:rsidR="00A62A96" w:rsidRPr="00E16672">
              <w:rPr>
                <w:rFonts w:ascii="Times New Roman" w:hAnsi="Times New Roman"/>
                <w:sz w:val="16"/>
                <w:szCs w:val="16"/>
              </w:rPr>
              <w:t>адресу</w:t>
            </w:r>
            <w:r w:rsidR="00A62A96" w:rsidRPr="00E16672">
              <w:rPr>
                <w:rFonts w:ascii="Times New Roman" w:hAnsi="Times New Roman"/>
                <w:sz w:val="16"/>
                <w:szCs w:val="16"/>
                <w:lang w:val="en-US"/>
              </w:rPr>
              <w:t xml:space="preserve">, </w:t>
            </w:r>
            <w:proofErr w:type="spellStart"/>
            <w:r w:rsidR="00A62A96" w:rsidRPr="00E16672">
              <w:rPr>
                <w:rFonts w:ascii="Times New Roman" w:hAnsi="Times New Roman"/>
                <w:sz w:val="16"/>
                <w:szCs w:val="16"/>
              </w:rPr>
              <w:t>розміщення</w:t>
            </w:r>
            <w:proofErr w:type="spellEnd"/>
            <w:r w:rsidR="00A62A96" w:rsidRPr="00E16672">
              <w:rPr>
                <w:rFonts w:ascii="Times New Roman" w:hAnsi="Times New Roman"/>
                <w:sz w:val="16"/>
                <w:szCs w:val="16"/>
                <w:lang w:val="en-US"/>
              </w:rPr>
              <w:t xml:space="preserve"> </w:t>
            </w:r>
            <w:r w:rsidR="00A62A96" w:rsidRPr="00E16672">
              <w:rPr>
                <w:rFonts w:ascii="Times New Roman" w:hAnsi="Times New Roman"/>
                <w:sz w:val="16"/>
                <w:szCs w:val="16"/>
              </w:rPr>
              <w:t>на</w:t>
            </w:r>
            <w:r w:rsidR="00A62A96" w:rsidRPr="00E16672">
              <w:rPr>
                <w:rFonts w:ascii="Times New Roman" w:hAnsi="Times New Roman"/>
                <w:sz w:val="16"/>
                <w:szCs w:val="16"/>
                <w:lang w:val="en-US"/>
              </w:rPr>
              <w:t xml:space="preserve"> </w:t>
            </w:r>
            <w:proofErr w:type="spellStart"/>
            <w:r w:rsidR="00A62A96" w:rsidRPr="00E16672">
              <w:rPr>
                <w:rFonts w:ascii="Times New Roman" w:hAnsi="Times New Roman"/>
                <w:sz w:val="16"/>
                <w:szCs w:val="16"/>
              </w:rPr>
              <w:t>сайті</w:t>
            </w:r>
            <w:proofErr w:type="spellEnd"/>
            <w:r w:rsidR="00A62A96" w:rsidRPr="00E16672">
              <w:rPr>
                <w:rFonts w:ascii="Times New Roman" w:hAnsi="Times New Roman"/>
                <w:sz w:val="16"/>
                <w:szCs w:val="16"/>
                <w:lang w:val="en-US"/>
              </w:rPr>
              <w:t xml:space="preserve"> </w:t>
            </w:r>
            <w:proofErr w:type="spellStart"/>
            <w:r w:rsidR="00A62A96" w:rsidRPr="00E16672">
              <w:rPr>
                <w:rFonts w:ascii="Times New Roman" w:hAnsi="Times New Roman"/>
                <w:sz w:val="16"/>
                <w:szCs w:val="16"/>
              </w:rPr>
              <w:t>депозитарної</w:t>
            </w:r>
            <w:proofErr w:type="spellEnd"/>
            <w:r w:rsidR="00A62A96" w:rsidRPr="00E16672">
              <w:rPr>
                <w:rFonts w:ascii="Times New Roman" w:hAnsi="Times New Roman"/>
                <w:sz w:val="16"/>
                <w:szCs w:val="16"/>
                <w:lang w:val="en-US"/>
              </w:rPr>
              <w:t xml:space="preserve"> </w:t>
            </w:r>
            <w:r w:rsidR="00A62A96" w:rsidRPr="00E16672">
              <w:rPr>
                <w:rFonts w:ascii="Times New Roman" w:hAnsi="Times New Roman"/>
                <w:sz w:val="16"/>
                <w:szCs w:val="16"/>
              </w:rPr>
              <w:t>установи</w:t>
            </w:r>
            <w:r w:rsidR="00A62A96" w:rsidRPr="00E16672">
              <w:rPr>
                <w:rFonts w:ascii="Times New Roman" w:hAnsi="Times New Roman"/>
                <w:sz w:val="16"/>
                <w:szCs w:val="16"/>
                <w:lang w:val="en-US"/>
              </w:rPr>
              <w:t xml:space="preserve"> </w:t>
            </w:r>
            <w:proofErr w:type="spellStart"/>
            <w:r w:rsidR="00A62A96" w:rsidRPr="00E16672">
              <w:rPr>
                <w:rFonts w:ascii="Times New Roman" w:hAnsi="Times New Roman"/>
                <w:sz w:val="16"/>
                <w:szCs w:val="16"/>
              </w:rPr>
              <w:t>або</w:t>
            </w:r>
            <w:proofErr w:type="spellEnd"/>
            <w:r w:rsidR="00A62A96" w:rsidRPr="00E16672">
              <w:rPr>
                <w:rFonts w:ascii="Times New Roman" w:hAnsi="Times New Roman"/>
                <w:sz w:val="16"/>
                <w:szCs w:val="16"/>
                <w:lang w:val="en-US"/>
              </w:rPr>
              <w:t xml:space="preserve"> </w:t>
            </w:r>
            <w:proofErr w:type="spellStart"/>
            <w:r w:rsidR="00A62A96" w:rsidRPr="00E16672">
              <w:rPr>
                <w:rFonts w:ascii="Times New Roman" w:hAnsi="Times New Roman"/>
                <w:sz w:val="16"/>
                <w:szCs w:val="16"/>
              </w:rPr>
              <w:t>надання</w:t>
            </w:r>
            <w:proofErr w:type="spellEnd"/>
            <w:r w:rsidR="00A62A96" w:rsidRPr="00E16672">
              <w:rPr>
                <w:rFonts w:ascii="Times New Roman" w:hAnsi="Times New Roman"/>
                <w:sz w:val="16"/>
                <w:szCs w:val="16"/>
                <w:lang w:val="en-US"/>
              </w:rPr>
              <w:t xml:space="preserve"> </w:t>
            </w:r>
            <w:proofErr w:type="spellStart"/>
            <w:r w:rsidR="00A62A96" w:rsidRPr="00E16672">
              <w:rPr>
                <w:rFonts w:ascii="Times New Roman" w:hAnsi="Times New Roman"/>
                <w:sz w:val="16"/>
                <w:szCs w:val="16"/>
              </w:rPr>
              <w:t>особисто</w:t>
            </w:r>
            <w:proofErr w:type="spellEnd"/>
            <w:r w:rsidR="00A62A96" w:rsidRPr="00E16672">
              <w:rPr>
                <w:rFonts w:ascii="Times New Roman" w:hAnsi="Times New Roman"/>
                <w:sz w:val="16"/>
                <w:szCs w:val="16"/>
                <w:lang w:val="en-US"/>
              </w:rPr>
              <w:t xml:space="preserve"> </w:t>
            </w:r>
            <w:proofErr w:type="spellStart"/>
            <w:r w:rsidR="00A62A96" w:rsidRPr="00E16672">
              <w:rPr>
                <w:rFonts w:ascii="Times New Roman" w:hAnsi="Times New Roman"/>
                <w:sz w:val="16"/>
                <w:szCs w:val="16"/>
              </w:rPr>
              <w:t>чи</w:t>
            </w:r>
            <w:proofErr w:type="spellEnd"/>
            <w:r w:rsidR="00A62A96" w:rsidRPr="00E16672">
              <w:rPr>
                <w:rFonts w:ascii="Times New Roman" w:hAnsi="Times New Roman"/>
                <w:sz w:val="16"/>
                <w:szCs w:val="16"/>
                <w:lang w:val="en-US"/>
              </w:rPr>
              <w:t xml:space="preserve"> </w:t>
            </w:r>
            <w:r w:rsidR="00A62A96" w:rsidRPr="00E16672">
              <w:rPr>
                <w:rFonts w:ascii="Times New Roman" w:hAnsi="Times New Roman"/>
                <w:sz w:val="16"/>
                <w:szCs w:val="16"/>
              </w:rPr>
              <w:t>через</w:t>
            </w:r>
            <w:r w:rsidR="00A62A96" w:rsidRPr="00E16672">
              <w:rPr>
                <w:rFonts w:ascii="Times New Roman" w:hAnsi="Times New Roman"/>
                <w:sz w:val="16"/>
                <w:szCs w:val="16"/>
                <w:lang w:val="en-US"/>
              </w:rPr>
              <w:t xml:space="preserve"> </w:t>
            </w:r>
            <w:proofErr w:type="spellStart"/>
            <w:r w:rsidR="00A62A96" w:rsidRPr="00E16672">
              <w:rPr>
                <w:rFonts w:ascii="Times New Roman" w:hAnsi="Times New Roman"/>
                <w:sz w:val="16"/>
                <w:szCs w:val="16"/>
              </w:rPr>
              <w:t>уповноваженого</w:t>
            </w:r>
            <w:proofErr w:type="spellEnd"/>
            <w:r w:rsidR="00A62A96" w:rsidRPr="00E16672">
              <w:rPr>
                <w:rFonts w:ascii="Times New Roman" w:hAnsi="Times New Roman"/>
                <w:sz w:val="16"/>
                <w:szCs w:val="16"/>
                <w:lang w:val="en-US"/>
              </w:rPr>
              <w:t xml:space="preserve"> </w:t>
            </w:r>
            <w:proofErr w:type="spellStart"/>
            <w:r w:rsidR="00A62A96" w:rsidRPr="00E16672">
              <w:rPr>
                <w:rFonts w:ascii="Times New Roman" w:hAnsi="Times New Roman"/>
                <w:sz w:val="16"/>
                <w:szCs w:val="16"/>
              </w:rPr>
              <w:t>представника</w:t>
            </w:r>
            <w:proofErr w:type="spellEnd"/>
            <w:r w:rsidR="00A62A96" w:rsidRPr="00E16672">
              <w:rPr>
                <w:rFonts w:ascii="Times New Roman" w:hAnsi="Times New Roman"/>
                <w:sz w:val="16"/>
                <w:szCs w:val="16"/>
                <w:lang w:val="uk-UA"/>
              </w:rPr>
              <w:t>.</w:t>
            </w:r>
          </w:p>
        </w:tc>
        <w:tc>
          <w:tcPr>
            <w:tcW w:w="5495" w:type="dxa"/>
            <w:gridSpan w:val="8"/>
            <w:shd w:val="clear" w:color="auto" w:fill="auto"/>
          </w:tcPr>
          <w:p w14:paraId="4A1EC539" w14:textId="77777777" w:rsidR="00EB25FE" w:rsidRPr="00E16672" w:rsidRDefault="00EB25FE" w:rsidP="001456E9">
            <w:pPr>
              <w:snapToGrid w:val="0"/>
              <w:ind w:left="170" w:right="138" w:firstLine="7"/>
              <w:rPr>
                <w:rFonts w:ascii="Times New Roman" w:hAnsi="Times New Roman"/>
                <w:sz w:val="16"/>
                <w:szCs w:val="16"/>
                <w:lang w:val="en-US"/>
              </w:rPr>
            </w:pPr>
            <w:r w:rsidRPr="00E16672">
              <w:rPr>
                <w:rFonts w:ascii="Times New Roman" w:hAnsi="Times New Roman"/>
                <w:sz w:val="16"/>
                <w:szCs w:val="16"/>
                <w:lang w:val="en-US"/>
              </w:rPr>
              <w:t xml:space="preserve">3.5. </w:t>
            </w:r>
            <w:r w:rsidR="00A62A96" w:rsidRPr="00E16672">
              <w:rPr>
                <w:rFonts w:ascii="Times New Roman" w:hAnsi="Times New Roman"/>
                <w:sz w:val="16"/>
                <w:szCs w:val="16"/>
                <w:lang w:val="en-US"/>
              </w:rPr>
              <w:t>The exchange of information between the Parties is carried out by sending letters, messages, reports, orders and other documents and information by courier, by post, by sending to the official electronic address, placing on the website of the depositary institution or providing personally or through an authorized representative.</w:t>
            </w:r>
          </w:p>
        </w:tc>
      </w:tr>
      <w:tr w:rsidR="00EB25FE" w:rsidRPr="00E16672" w14:paraId="46119AD2" w14:textId="77777777" w:rsidTr="005E418B">
        <w:tblPrEx>
          <w:tblCellMar>
            <w:left w:w="0" w:type="dxa"/>
            <w:right w:w="0" w:type="dxa"/>
          </w:tblCellMar>
        </w:tblPrEx>
        <w:trPr>
          <w:trHeight w:val="1163"/>
        </w:trPr>
        <w:tc>
          <w:tcPr>
            <w:tcW w:w="5695" w:type="dxa"/>
            <w:gridSpan w:val="7"/>
            <w:shd w:val="clear" w:color="auto" w:fill="auto"/>
          </w:tcPr>
          <w:p w14:paraId="066C6A1A" w14:textId="77777777" w:rsidR="00A62A96" w:rsidRPr="00E16672" w:rsidRDefault="00EB25FE" w:rsidP="001456E9">
            <w:pPr>
              <w:tabs>
                <w:tab w:val="left" w:pos="28"/>
                <w:tab w:val="left" w:pos="1134"/>
              </w:tabs>
              <w:ind w:left="170" w:firstLine="0"/>
              <w:rPr>
                <w:rFonts w:ascii="Times New Roman" w:hAnsi="Times New Roman"/>
                <w:sz w:val="16"/>
                <w:szCs w:val="16"/>
              </w:rPr>
            </w:pPr>
            <w:r w:rsidRPr="00E16672">
              <w:rPr>
                <w:rFonts w:ascii="Times New Roman" w:hAnsi="Times New Roman"/>
                <w:sz w:val="16"/>
                <w:szCs w:val="16"/>
              </w:rPr>
              <w:lastRenderedPageBreak/>
              <w:t xml:space="preserve">3.6. </w:t>
            </w:r>
            <w:proofErr w:type="spellStart"/>
            <w:r w:rsidR="00A62A96" w:rsidRPr="00E16672">
              <w:rPr>
                <w:rFonts w:ascii="Times New Roman" w:hAnsi="Times New Roman"/>
                <w:sz w:val="16"/>
                <w:szCs w:val="16"/>
              </w:rPr>
              <w:t>Депозитарна</w:t>
            </w:r>
            <w:proofErr w:type="spellEnd"/>
            <w:r w:rsidR="00A62A96" w:rsidRPr="00E16672">
              <w:rPr>
                <w:rFonts w:ascii="Times New Roman" w:hAnsi="Times New Roman"/>
                <w:sz w:val="16"/>
                <w:szCs w:val="16"/>
              </w:rPr>
              <w:t xml:space="preserve"> </w:t>
            </w:r>
            <w:proofErr w:type="spellStart"/>
            <w:r w:rsidR="00A62A96" w:rsidRPr="00E16672">
              <w:rPr>
                <w:rFonts w:ascii="Times New Roman" w:hAnsi="Times New Roman"/>
                <w:sz w:val="16"/>
                <w:szCs w:val="16"/>
              </w:rPr>
              <w:t>установа</w:t>
            </w:r>
            <w:proofErr w:type="spellEnd"/>
            <w:r w:rsidR="00A62A96" w:rsidRPr="00E16672">
              <w:rPr>
                <w:rFonts w:ascii="Times New Roman" w:hAnsi="Times New Roman"/>
                <w:sz w:val="16"/>
                <w:szCs w:val="16"/>
              </w:rPr>
              <w:t xml:space="preserve"> у </w:t>
            </w:r>
            <w:proofErr w:type="spellStart"/>
            <w:r w:rsidR="00A62A96" w:rsidRPr="00E16672">
              <w:rPr>
                <w:rFonts w:ascii="Times New Roman" w:hAnsi="Times New Roman"/>
                <w:sz w:val="16"/>
                <w:szCs w:val="16"/>
              </w:rPr>
              <w:t>випадках</w:t>
            </w:r>
            <w:proofErr w:type="spellEnd"/>
            <w:r w:rsidR="00A62A96" w:rsidRPr="00E16672">
              <w:rPr>
                <w:rFonts w:ascii="Times New Roman" w:hAnsi="Times New Roman"/>
                <w:sz w:val="16"/>
                <w:szCs w:val="16"/>
              </w:rPr>
              <w:t xml:space="preserve">, </w:t>
            </w:r>
            <w:proofErr w:type="spellStart"/>
            <w:r w:rsidR="00A62A96" w:rsidRPr="00E16672">
              <w:rPr>
                <w:rFonts w:ascii="Times New Roman" w:hAnsi="Times New Roman"/>
                <w:sz w:val="16"/>
                <w:szCs w:val="16"/>
              </w:rPr>
              <w:t>передбачених</w:t>
            </w:r>
            <w:proofErr w:type="spellEnd"/>
            <w:r w:rsidR="00A62A96" w:rsidRPr="00E16672">
              <w:rPr>
                <w:rFonts w:ascii="Times New Roman" w:hAnsi="Times New Roman"/>
                <w:sz w:val="16"/>
                <w:szCs w:val="16"/>
              </w:rPr>
              <w:t xml:space="preserve"> </w:t>
            </w:r>
            <w:proofErr w:type="spellStart"/>
            <w:r w:rsidR="00A62A96" w:rsidRPr="00E16672">
              <w:rPr>
                <w:rFonts w:ascii="Times New Roman" w:hAnsi="Times New Roman"/>
                <w:sz w:val="16"/>
                <w:szCs w:val="16"/>
              </w:rPr>
              <w:t>чинним</w:t>
            </w:r>
            <w:proofErr w:type="spellEnd"/>
            <w:r w:rsidR="00A62A96" w:rsidRPr="00E16672">
              <w:rPr>
                <w:rFonts w:ascii="Times New Roman" w:hAnsi="Times New Roman"/>
                <w:sz w:val="16"/>
                <w:szCs w:val="16"/>
              </w:rPr>
              <w:t xml:space="preserve"> </w:t>
            </w:r>
            <w:proofErr w:type="spellStart"/>
            <w:r w:rsidR="00A62A96" w:rsidRPr="00E16672">
              <w:rPr>
                <w:rFonts w:ascii="Times New Roman" w:hAnsi="Times New Roman"/>
                <w:sz w:val="16"/>
                <w:szCs w:val="16"/>
              </w:rPr>
              <w:t>законодавством</w:t>
            </w:r>
            <w:proofErr w:type="spellEnd"/>
            <w:r w:rsidR="00A62A96" w:rsidRPr="00E16672">
              <w:rPr>
                <w:rFonts w:ascii="Times New Roman" w:hAnsi="Times New Roman"/>
                <w:sz w:val="16"/>
                <w:szCs w:val="16"/>
              </w:rPr>
              <w:t xml:space="preserve"> та </w:t>
            </w:r>
            <w:proofErr w:type="spellStart"/>
            <w:r w:rsidR="00A62A96" w:rsidRPr="00E16672">
              <w:rPr>
                <w:rFonts w:ascii="Times New Roman" w:hAnsi="Times New Roman"/>
                <w:sz w:val="16"/>
                <w:szCs w:val="16"/>
              </w:rPr>
              <w:t>внутрішніми</w:t>
            </w:r>
            <w:proofErr w:type="spellEnd"/>
            <w:r w:rsidR="00A62A96" w:rsidRPr="00E16672">
              <w:rPr>
                <w:rFonts w:ascii="Times New Roman" w:hAnsi="Times New Roman"/>
                <w:sz w:val="16"/>
                <w:szCs w:val="16"/>
              </w:rPr>
              <w:t xml:space="preserve"> документами </w:t>
            </w:r>
            <w:proofErr w:type="spellStart"/>
            <w:r w:rsidR="00A62A96" w:rsidRPr="00E16672">
              <w:rPr>
                <w:rFonts w:ascii="Times New Roman" w:hAnsi="Times New Roman"/>
                <w:sz w:val="16"/>
                <w:szCs w:val="16"/>
              </w:rPr>
              <w:t>депозитарної</w:t>
            </w:r>
            <w:proofErr w:type="spellEnd"/>
            <w:r w:rsidR="00A62A96" w:rsidRPr="00E16672">
              <w:rPr>
                <w:rFonts w:ascii="Times New Roman" w:hAnsi="Times New Roman"/>
                <w:sz w:val="16"/>
                <w:szCs w:val="16"/>
              </w:rPr>
              <w:t xml:space="preserve"> установи, </w:t>
            </w:r>
            <w:proofErr w:type="spellStart"/>
            <w:proofErr w:type="gramStart"/>
            <w:r w:rsidR="00A62A96" w:rsidRPr="00E16672">
              <w:rPr>
                <w:rFonts w:ascii="Times New Roman" w:hAnsi="Times New Roman"/>
                <w:sz w:val="16"/>
                <w:szCs w:val="16"/>
              </w:rPr>
              <w:t>розміщує</w:t>
            </w:r>
            <w:proofErr w:type="spellEnd"/>
            <w:r w:rsidR="00A62A96" w:rsidRPr="00E16672">
              <w:rPr>
                <w:rFonts w:ascii="Times New Roman" w:hAnsi="Times New Roman"/>
                <w:sz w:val="16"/>
                <w:szCs w:val="16"/>
              </w:rPr>
              <w:t xml:space="preserve">  </w:t>
            </w:r>
            <w:proofErr w:type="spellStart"/>
            <w:r w:rsidR="00A62A96" w:rsidRPr="00E16672">
              <w:rPr>
                <w:rFonts w:ascii="Times New Roman" w:hAnsi="Times New Roman"/>
                <w:sz w:val="16"/>
                <w:szCs w:val="16"/>
              </w:rPr>
              <w:t>повідомлення</w:t>
            </w:r>
            <w:proofErr w:type="spellEnd"/>
            <w:proofErr w:type="gramEnd"/>
            <w:r w:rsidR="00A62A96" w:rsidRPr="00E16672">
              <w:rPr>
                <w:rFonts w:ascii="Times New Roman" w:hAnsi="Times New Roman"/>
                <w:sz w:val="16"/>
                <w:szCs w:val="16"/>
              </w:rPr>
              <w:t xml:space="preserve">, </w:t>
            </w:r>
            <w:proofErr w:type="spellStart"/>
            <w:r w:rsidR="00A62A96" w:rsidRPr="00E16672">
              <w:rPr>
                <w:rFonts w:ascii="Times New Roman" w:hAnsi="Times New Roman"/>
                <w:sz w:val="16"/>
                <w:szCs w:val="16"/>
              </w:rPr>
              <w:t>зміни</w:t>
            </w:r>
            <w:proofErr w:type="spellEnd"/>
            <w:r w:rsidR="00A62A96" w:rsidRPr="00E16672">
              <w:rPr>
                <w:rFonts w:ascii="Times New Roman" w:hAnsi="Times New Roman"/>
                <w:sz w:val="16"/>
                <w:szCs w:val="16"/>
              </w:rPr>
              <w:t xml:space="preserve"> до </w:t>
            </w:r>
            <w:proofErr w:type="spellStart"/>
            <w:r w:rsidR="00A62A96" w:rsidRPr="00E16672">
              <w:rPr>
                <w:rFonts w:ascii="Times New Roman" w:hAnsi="Times New Roman"/>
                <w:sz w:val="16"/>
                <w:szCs w:val="16"/>
              </w:rPr>
              <w:t>внутрішніх</w:t>
            </w:r>
            <w:proofErr w:type="spellEnd"/>
            <w:r w:rsidR="00A62A96" w:rsidRPr="00E16672">
              <w:rPr>
                <w:rFonts w:ascii="Times New Roman" w:hAnsi="Times New Roman"/>
                <w:sz w:val="16"/>
                <w:szCs w:val="16"/>
              </w:rPr>
              <w:t xml:space="preserve"> </w:t>
            </w:r>
            <w:proofErr w:type="spellStart"/>
            <w:r w:rsidR="00A62A96" w:rsidRPr="00E16672">
              <w:rPr>
                <w:rFonts w:ascii="Times New Roman" w:hAnsi="Times New Roman"/>
                <w:sz w:val="16"/>
                <w:szCs w:val="16"/>
              </w:rPr>
              <w:t>документів</w:t>
            </w:r>
            <w:proofErr w:type="spellEnd"/>
            <w:r w:rsidR="00A62A96" w:rsidRPr="00E16672">
              <w:rPr>
                <w:rFonts w:ascii="Times New Roman" w:hAnsi="Times New Roman"/>
                <w:sz w:val="16"/>
                <w:szCs w:val="16"/>
              </w:rPr>
              <w:t xml:space="preserve"> та </w:t>
            </w:r>
            <w:proofErr w:type="spellStart"/>
            <w:r w:rsidR="00A62A96" w:rsidRPr="00E16672">
              <w:rPr>
                <w:rFonts w:ascii="Times New Roman" w:hAnsi="Times New Roman"/>
                <w:sz w:val="16"/>
                <w:szCs w:val="16"/>
              </w:rPr>
              <w:t>іншу</w:t>
            </w:r>
            <w:proofErr w:type="spellEnd"/>
            <w:r w:rsidR="00A62A96" w:rsidRPr="00E16672">
              <w:rPr>
                <w:rFonts w:ascii="Times New Roman" w:hAnsi="Times New Roman"/>
                <w:sz w:val="16"/>
                <w:szCs w:val="16"/>
              </w:rPr>
              <w:t xml:space="preserve"> </w:t>
            </w:r>
            <w:proofErr w:type="spellStart"/>
            <w:r w:rsidR="00A62A96" w:rsidRPr="00E16672">
              <w:rPr>
                <w:rFonts w:ascii="Times New Roman" w:hAnsi="Times New Roman"/>
                <w:sz w:val="16"/>
                <w:szCs w:val="16"/>
              </w:rPr>
              <w:t>інформацію</w:t>
            </w:r>
            <w:proofErr w:type="spellEnd"/>
            <w:r w:rsidR="00A62A96" w:rsidRPr="00E16672">
              <w:rPr>
                <w:rFonts w:ascii="Times New Roman" w:hAnsi="Times New Roman"/>
                <w:sz w:val="16"/>
                <w:szCs w:val="16"/>
              </w:rPr>
              <w:t xml:space="preserve">, яка є </w:t>
            </w:r>
            <w:proofErr w:type="spellStart"/>
            <w:r w:rsidR="00A62A96" w:rsidRPr="00E16672">
              <w:rPr>
                <w:rFonts w:ascii="Times New Roman" w:hAnsi="Times New Roman"/>
                <w:sz w:val="16"/>
                <w:szCs w:val="16"/>
              </w:rPr>
              <w:t>обов’язковою</w:t>
            </w:r>
            <w:proofErr w:type="spellEnd"/>
            <w:r w:rsidR="00A62A96" w:rsidRPr="00E16672">
              <w:rPr>
                <w:rFonts w:ascii="Times New Roman" w:hAnsi="Times New Roman"/>
                <w:sz w:val="16"/>
                <w:szCs w:val="16"/>
              </w:rPr>
              <w:t xml:space="preserve"> для </w:t>
            </w:r>
            <w:proofErr w:type="spellStart"/>
            <w:r w:rsidR="00A62A96" w:rsidRPr="00E16672">
              <w:rPr>
                <w:rFonts w:ascii="Times New Roman" w:hAnsi="Times New Roman"/>
                <w:sz w:val="16"/>
                <w:szCs w:val="16"/>
              </w:rPr>
              <w:t>розміщення</w:t>
            </w:r>
            <w:proofErr w:type="spellEnd"/>
            <w:r w:rsidR="00A62A96" w:rsidRPr="00E16672">
              <w:rPr>
                <w:rFonts w:ascii="Times New Roman" w:hAnsi="Times New Roman"/>
                <w:sz w:val="16"/>
                <w:szCs w:val="16"/>
              </w:rPr>
              <w:t xml:space="preserve">. </w:t>
            </w:r>
            <w:proofErr w:type="spellStart"/>
            <w:r w:rsidR="00A62A96" w:rsidRPr="00E16672">
              <w:rPr>
                <w:rFonts w:ascii="Times New Roman" w:hAnsi="Times New Roman"/>
                <w:sz w:val="16"/>
                <w:szCs w:val="16"/>
              </w:rPr>
              <w:t>Номінальний</w:t>
            </w:r>
            <w:proofErr w:type="spellEnd"/>
            <w:r w:rsidR="00A62A96" w:rsidRPr="00E16672">
              <w:rPr>
                <w:rFonts w:ascii="Times New Roman" w:hAnsi="Times New Roman"/>
                <w:sz w:val="16"/>
                <w:szCs w:val="16"/>
              </w:rPr>
              <w:t xml:space="preserve"> </w:t>
            </w:r>
            <w:proofErr w:type="spellStart"/>
            <w:r w:rsidR="00A62A96" w:rsidRPr="00E16672">
              <w:rPr>
                <w:rFonts w:ascii="Times New Roman" w:hAnsi="Times New Roman"/>
                <w:sz w:val="16"/>
                <w:szCs w:val="16"/>
              </w:rPr>
              <w:t>утримувач</w:t>
            </w:r>
            <w:proofErr w:type="spellEnd"/>
            <w:r w:rsidR="00A62A96" w:rsidRPr="00E16672">
              <w:rPr>
                <w:rFonts w:ascii="Times New Roman" w:hAnsi="Times New Roman"/>
                <w:sz w:val="16"/>
                <w:szCs w:val="16"/>
              </w:rPr>
              <w:t xml:space="preserve"> </w:t>
            </w:r>
            <w:proofErr w:type="spellStart"/>
            <w:r w:rsidR="00A62A96" w:rsidRPr="00E16672">
              <w:rPr>
                <w:rFonts w:ascii="Times New Roman" w:hAnsi="Times New Roman"/>
                <w:sz w:val="16"/>
                <w:szCs w:val="16"/>
              </w:rPr>
              <w:t>вважається</w:t>
            </w:r>
            <w:proofErr w:type="spellEnd"/>
            <w:r w:rsidR="00A62A96" w:rsidRPr="00E16672">
              <w:rPr>
                <w:rFonts w:ascii="Times New Roman" w:hAnsi="Times New Roman"/>
                <w:sz w:val="16"/>
                <w:szCs w:val="16"/>
              </w:rPr>
              <w:t xml:space="preserve"> </w:t>
            </w:r>
            <w:proofErr w:type="spellStart"/>
            <w:r w:rsidR="00A62A96" w:rsidRPr="00E16672">
              <w:rPr>
                <w:rFonts w:ascii="Times New Roman" w:hAnsi="Times New Roman"/>
                <w:sz w:val="16"/>
                <w:szCs w:val="16"/>
              </w:rPr>
              <w:t>ознайомленим</w:t>
            </w:r>
            <w:proofErr w:type="spellEnd"/>
            <w:r w:rsidR="00A62A96" w:rsidRPr="00E16672">
              <w:rPr>
                <w:rFonts w:ascii="Times New Roman" w:hAnsi="Times New Roman"/>
                <w:sz w:val="16"/>
                <w:szCs w:val="16"/>
              </w:rPr>
              <w:t xml:space="preserve"> з такою </w:t>
            </w:r>
            <w:proofErr w:type="spellStart"/>
            <w:r w:rsidR="00A62A96" w:rsidRPr="00E16672">
              <w:rPr>
                <w:rFonts w:ascii="Times New Roman" w:hAnsi="Times New Roman"/>
                <w:sz w:val="16"/>
                <w:szCs w:val="16"/>
              </w:rPr>
              <w:t>інформацією</w:t>
            </w:r>
            <w:proofErr w:type="spellEnd"/>
            <w:r w:rsidR="00A62A96" w:rsidRPr="00E16672">
              <w:rPr>
                <w:rFonts w:ascii="Times New Roman" w:hAnsi="Times New Roman"/>
                <w:sz w:val="16"/>
                <w:szCs w:val="16"/>
              </w:rPr>
              <w:t xml:space="preserve"> з </w:t>
            </w:r>
            <w:proofErr w:type="spellStart"/>
            <w:r w:rsidR="00A62A96" w:rsidRPr="00E16672">
              <w:rPr>
                <w:rFonts w:ascii="Times New Roman" w:hAnsi="Times New Roman"/>
                <w:sz w:val="16"/>
                <w:szCs w:val="16"/>
              </w:rPr>
              <w:t>дати</w:t>
            </w:r>
            <w:proofErr w:type="spellEnd"/>
            <w:r w:rsidR="00A62A96" w:rsidRPr="00E16672">
              <w:rPr>
                <w:rFonts w:ascii="Times New Roman" w:hAnsi="Times New Roman"/>
                <w:sz w:val="16"/>
                <w:szCs w:val="16"/>
              </w:rPr>
              <w:t xml:space="preserve"> </w:t>
            </w:r>
            <w:proofErr w:type="spellStart"/>
            <w:r w:rsidR="00A62A96" w:rsidRPr="00E16672">
              <w:rPr>
                <w:rFonts w:ascii="Times New Roman" w:hAnsi="Times New Roman"/>
                <w:sz w:val="16"/>
                <w:szCs w:val="16"/>
              </w:rPr>
              <w:t>її</w:t>
            </w:r>
            <w:proofErr w:type="spellEnd"/>
            <w:r w:rsidR="00A62A96" w:rsidRPr="00E16672">
              <w:rPr>
                <w:rFonts w:ascii="Times New Roman" w:hAnsi="Times New Roman"/>
                <w:sz w:val="16"/>
                <w:szCs w:val="16"/>
              </w:rPr>
              <w:t xml:space="preserve"> </w:t>
            </w:r>
            <w:proofErr w:type="spellStart"/>
            <w:r w:rsidR="00A62A96" w:rsidRPr="00E16672">
              <w:rPr>
                <w:rFonts w:ascii="Times New Roman" w:hAnsi="Times New Roman"/>
                <w:sz w:val="16"/>
                <w:szCs w:val="16"/>
              </w:rPr>
              <w:t>розміщення</w:t>
            </w:r>
            <w:proofErr w:type="spellEnd"/>
            <w:r w:rsidR="00A62A96" w:rsidRPr="00E16672">
              <w:rPr>
                <w:rFonts w:ascii="Times New Roman" w:hAnsi="Times New Roman"/>
                <w:sz w:val="16"/>
                <w:szCs w:val="16"/>
              </w:rPr>
              <w:t xml:space="preserve"> депозитарною </w:t>
            </w:r>
            <w:proofErr w:type="spellStart"/>
            <w:r w:rsidR="00A62A96" w:rsidRPr="00E16672">
              <w:rPr>
                <w:rFonts w:ascii="Times New Roman" w:hAnsi="Times New Roman"/>
                <w:sz w:val="16"/>
                <w:szCs w:val="16"/>
              </w:rPr>
              <w:t>установою</w:t>
            </w:r>
            <w:proofErr w:type="spellEnd"/>
            <w:r w:rsidR="00A62A96" w:rsidRPr="00E16672">
              <w:rPr>
                <w:rFonts w:ascii="Times New Roman" w:hAnsi="Times New Roman"/>
                <w:sz w:val="16"/>
                <w:szCs w:val="16"/>
              </w:rPr>
              <w:t>.</w:t>
            </w:r>
          </w:p>
          <w:p w14:paraId="082F09D7" w14:textId="77777777" w:rsidR="00EB25FE" w:rsidRPr="00E16672" w:rsidRDefault="00EB25FE" w:rsidP="001456E9">
            <w:pPr>
              <w:snapToGrid w:val="0"/>
              <w:ind w:left="170" w:right="138" w:firstLine="7"/>
              <w:rPr>
                <w:rFonts w:ascii="Times New Roman" w:hAnsi="Times New Roman"/>
                <w:sz w:val="16"/>
                <w:szCs w:val="16"/>
              </w:rPr>
            </w:pPr>
          </w:p>
          <w:p w14:paraId="0F993EE5" w14:textId="77777777" w:rsidR="00EB25FE" w:rsidRPr="00E16672" w:rsidRDefault="00EB25FE" w:rsidP="001456E9">
            <w:pPr>
              <w:snapToGrid w:val="0"/>
              <w:ind w:left="170" w:right="138" w:firstLine="7"/>
              <w:rPr>
                <w:rFonts w:ascii="Times New Roman" w:hAnsi="Times New Roman"/>
                <w:sz w:val="16"/>
                <w:szCs w:val="16"/>
              </w:rPr>
            </w:pPr>
          </w:p>
        </w:tc>
        <w:tc>
          <w:tcPr>
            <w:tcW w:w="5495" w:type="dxa"/>
            <w:gridSpan w:val="8"/>
            <w:shd w:val="clear" w:color="auto" w:fill="auto"/>
          </w:tcPr>
          <w:p w14:paraId="050E9D1A" w14:textId="77777777" w:rsidR="005052E0" w:rsidRPr="00E16672" w:rsidRDefault="00EB25FE" w:rsidP="001456E9">
            <w:pPr>
              <w:snapToGrid w:val="0"/>
              <w:ind w:left="170" w:right="138" w:firstLine="7"/>
              <w:rPr>
                <w:rFonts w:ascii="Times New Roman" w:hAnsi="Times New Roman"/>
                <w:sz w:val="16"/>
                <w:szCs w:val="16"/>
                <w:lang w:val="en-US"/>
              </w:rPr>
            </w:pPr>
            <w:r w:rsidRPr="00E16672">
              <w:rPr>
                <w:rFonts w:ascii="Times New Roman" w:hAnsi="Times New Roman"/>
                <w:sz w:val="16"/>
                <w:szCs w:val="16"/>
                <w:lang w:val="en-US"/>
              </w:rPr>
              <w:t xml:space="preserve">3.6. </w:t>
            </w:r>
            <w:r w:rsidR="005052E0" w:rsidRPr="00E16672">
              <w:rPr>
                <w:rFonts w:ascii="Times New Roman" w:hAnsi="Times New Roman"/>
                <w:sz w:val="16"/>
                <w:szCs w:val="16"/>
                <w:lang w:val="en-US"/>
              </w:rPr>
              <w:t>The depositary institution, in cases stipulated by the current legislation and the internal documents of the depositary institution, posts the notice, changes to the internal documents and other information that is mandatory for placing. The nominee holder is deemed to be familiar with such information from the date of its placement by the depositary institution.</w:t>
            </w:r>
          </w:p>
          <w:p w14:paraId="1CADB3FB" w14:textId="77777777" w:rsidR="00EB25FE" w:rsidRPr="00E16672" w:rsidRDefault="00EB25FE" w:rsidP="001456E9">
            <w:pPr>
              <w:snapToGrid w:val="0"/>
              <w:ind w:left="170" w:right="138" w:firstLine="7"/>
              <w:rPr>
                <w:rFonts w:ascii="Times New Roman" w:hAnsi="Times New Roman"/>
                <w:sz w:val="16"/>
                <w:szCs w:val="16"/>
                <w:lang w:val="en-US"/>
              </w:rPr>
            </w:pPr>
            <w:r w:rsidRPr="00E16672">
              <w:rPr>
                <w:rFonts w:ascii="Times New Roman" w:hAnsi="Times New Roman"/>
                <w:sz w:val="16"/>
                <w:szCs w:val="16"/>
                <w:lang w:val="en-US"/>
              </w:rPr>
              <w:t>.</w:t>
            </w:r>
          </w:p>
          <w:p w14:paraId="4EDE6D3D" w14:textId="77777777" w:rsidR="00EB25FE" w:rsidRPr="00E16672" w:rsidRDefault="00EB25FE" w:rsidP="001456E9">
            <w:pPr>
              <w:snapToGrid w:val="0"/>
              <w:ind w:left="170" w:right="138" w:firstLine="7"/>
              <w:rPr>
                <w:rFonts w:ascii="Times New Roman" w:hAnsi="Times New Roman"/>
                <w:sz w:val="16"/>
                <w:szCs w:val="16"/>
                <w:lang w:val="en-US"/>
              </w:rPr>
            </w:pPr>
          </w:p>
        </w:tc>
      </w:tr>
      <w:tr w:rsidR="00EB25FE" w:rsidRPr="00A26EFC" w14:paraId="34EAF41B" w14:textId="77777777" w:rsidTr="005E418B">
        <w:tblPrEx>
          <w:tblCellMar>
            <w:left w:w="0" w:type="dxa"/>
            <w:right w:w="0" w:type="dxa"/>
          </w:tblCellMar>
        </w:tblPrEx>
        <w:trPr>
          <w:trHeight w:val="677"/>
        </w:trPr>
        <w:tc>
          <w:tcPr>
            <w:tcW w:w="5695" w:type="dxa"/>
            <w:gridSpan w:val="7"/>
            <w:shd w:val="clear" w:color="auto" w:fill="auto"/>
          </w:tcPr>
          <w:p w14:paraId="2C6D4614" w14:textId="77777777" w:rsidR="00EB25FE" w:rsidRPr="00E16672" w:rsidRDefault="00EB25FE" w:rsidP="001456E9">
            <w:pPr>
              <w:snapToGrid w:val="0"/>
              <w:ind w:left="170" w:right="138" w:firstLine="7"/>
              <w:rPr>
                <w:rFonts w:ascii="Times New Roman" w:hAnsi="Times New Roman"/>
                <w:sz w:val="16"/>
                <w:szCs w:val="16"/>
                <w:lang w:val="uk-UA"/>
              </w:rPr>
            </w:pPr>
            <w:r w:rsidRPr="00E16672">
              <w:rPr>
                <w:rFonts w:ascii="Times New Roman" w:hAnsi="Times New Roman"/>
                <w:sz w:val="16"/>
                <w:szCs w:val="16"/>
              </w:rPr>
              <w:t xml:space="preserve">3.7. </w:t>
            </w:r>
            <w:proofErr w:type="spellStart"/>
            <w:r w:rsidR="005052E0" w:rsidRPr="00E16672">
              <w:rPr>
                <w:rFonts w:ascii="Times New Roman" w:hAnsi="Times New Roman"/>
                <w:sz w:val="16"/>
                <w:szCs w:val="16"/>
              </w:rPr>
              <w:t>Номінальний</w:t>
            </w:r>
            <w:proofErr w:type="spellEnd"/>
            <w:r w:rsidR="005052E0" w:rsidRPr="00E16672">
              <w:rPr>
                <w:rFonts w:ascii="Times New Roman" w:hAnsi="Times New Roman"/>
                <w:sz w:val="16"/>
                <w:szCs w:val="16"/>
              </w:rPr>
              <w:t xml:space="preserve"> </w:t>
            </w:r>
            <w:proofErr w:type="spellStart"/>
            <w:r w:rsidR="005052E0" w:rsidRPr="00E16672">
              <w:rPr>
                <w:rFonts w:ascii="Times New Roman" w:hAnsi="Times New Roman"/>
                <w:sz w:val="16"/>
                <w:szCs w:val="16"/>
              </w:rPr>
              <w:t>утримувач</w:t>
            </w:r>
            <w:proofErr w:type="spellEnd"/>
            <w:r w:rsidR="005052E0" w:rsidRPr="00E16672">
              <w:rPr>
                <w:rFonts w:ascii="Times New Roman" w:hAnsi="Times New Roman"/>
                <w:sz w:val="16"/>
                <w:szCs w:val="16"/>
              </w:rPr>
              <w:t xml:space="preserve"> </w:t>
            </w:r>
            <w:proofErr w:type="spellStart"/>
            <w:r w:rsidR="005052E0" w:rsidRPr="00E16672">
              <w:rPr>
                <w:rFonts w:ascii="Times New Roman" w:hAnsi="Times New Roman"/>
                <w:sz w:val="16"/>
                <w:szCs w:val="16"/>
              </w:rPr>
              <w:t>бере</w:t>
            </w:r>
            <w:proofErr w:type="spellEnd"/>
            <w:r w:rsidR="005052E0" w:rsidRPr="00E16672">
              <w:rPr>
                <w:rFonts w:ascii="Times New Roman" w:hAnsi="Times New Roman"/>
                <w:sz w:val="16"/>
                <w:szCs w:val="16"/>
              </w:rPr>
              <w:t xml:space="preserve"> на себе </w:t>
            </w:r>
            <w:proofErr w:type="spellStart"/>
            <w:r w:rsidR="005052E0" w:rsidRPr="00E16672">
              <w:rPr>
                <w:rFonts w:ascii="Times New Roman" w:hAnsi="Times New Roman"/>
                <w:sz w:val="16"/>
                <w:szCs w:val="16"/>
              </w:rPr>
              <w:t>відповідальність</w:t>
            </w:r>
            <w:proofErr w:type="spellEnd"/>
            <w:r w:rsidR="005052E0" w:rsidRPr="00E16672">
              <w:rPr>
                <w:rFonts w:ascii="Times New Roman" w:hAnsi="Times New Roman"/>
                <w:sz w:val="16"/>
                <w:szCs w:val="16"/>
              </w:rPr>
              <w:t xml:space="preserve"> за </w:t>
            </w:r>
            <w:proofErr w:type="spellStart"/>
            <w:r w:rsidR="005052E0" w:rsidRPr="00E16672">
              <w:rPr>
                <w:rFonts w:ascii="Times New Roman" w:hAnsi="Times New Roman"/>
                <w:sz w:val="16"/>
                <w:szCs w:val="16"/>
              </w:rPr>
              <w:t>достовірність</w:t>
            </w:r>
            <w:proofErr w:type="spellEnd"/>
            <w:r w:rsidR="005052E0" w:rsidRPr="00E16672">
              <w:rPr>
                <w:rFonts w:ascii="Times New Roman" w:hAnsi="Times New Roman"/>
                <w:sz w:val="16"/>
                <w:szCs w:val="16"/>
              </w:rPr>
              <w:t xml:space="preserve"> </w:t>
            </w:r>
            <w:proofErr w:type="spellStart"/>
            <w:r w:rsidR="005052E0" w:rsidRPr="00E16672">
              <w:rPr>
                <w:rFonts w:ascii="Times New Roman" w:hAnsi="Times New Roman"/>
                <w:sz w:val="16"/>
                <w:szCs w:val="16"/>
              </w:rPr>
              <w:t>інформації</w:t>
            </w:r>
            <w:proofErr w:type="spellEnd"/>
            <w:r w:rsidR="005052E0" w:rsidRPr="00E16672">
              <w:rPr>
                <w:rFonts w:ascii="Times New Roman" w:hAnsi="Times New Roman"/>
                <w:sz w:val="16"/>
                <w:szCs w:val="16"/>
              </w:rPr>
              <w:t xml:space="preserve">, </w:t>
            </w:r>
            <w:proofErr w:type="spellStart"/>
            <w:r w:rsidR="005052E0" w:rsidRPr="00E16672">
              <w:rPr>
                <w:rFonts w:ascii="Times New Roman" w:hAnsi="Times New Roman"/>
                <w:sz w:val="16"/>
                <w:szCs w:val="16"/>
              </w:rPr>
              <w:t>що</w:t>
            </w:r>
            <w:proofErr w:type="spellEnd"/>
            <w:r w:rsidR="005052E0" w:rsidRPr="00E16672">
              <w:rPr>
                <w:rFonts w:ascii="Times New Roman" w:hAnsi="Times New Roman"/>
                <w:sz w:val="16"/>
                <w:szCs w:val="16"/>
              </w:rPr>
              <w:t xml:space="preserve"> </w:t>
            </w:r>
            <w:proofErr w:type="spellStart"/>
            <w:r w:rsidR="005052E0" w:rsidRPr="00E16672">
              <w:rPr>
                <w:rFonts w:ascii="Times New Roman" w:hAnsi="Times New Roman"/>
                <w:sz w:val="16"/>
                <w:szCs w:val="16"/>
              </w:rPr>
              <w:t>міститься</w:t>
            </w:r>
            <w:proofErr w:type="spellEnd"/>
            <w:r w:rsidR="005052E0" w:rsidRPr="00E16672">
              <w:rPr>
                <w:rFonts w:ascii="Times New Roman" w:hAnsi="Times New Roman"/>
                <w:sz w:val="16"/>
                <w:szCs w:val="16"/>
              </w:rPr>
              <w:t xml:space="preserve"> в документах, </w:t>
            </w:r>
            <w:proofErr w:type="spellStart"/>
            <w:r w:rsidR="005052E0" w:rsidRPr="00E16672">
              <w:rPr>
                <w:rFonts w:ascii="Times New Roman" w:hAnsi="Times New Roman"/>
                <w:sz w:val="16"/>
                <w:szCs w:val="16"/>
              </w:rPr>
              <w:t>які</w:t>
            </w:r>
            <w:proofErr w:type="spellEnd"/>
            <w:r w:rsidR="005052E0" w:rsidRPr="00E16672">
              <w:rPr>
                <w:rFonts w:ascii="Times New Roman" w:hAnsi="Times New Roman"/>
                <w:sz w:val="16"/>
                <w:szCs w:val="16"/>
              </w:rPr>
              <w:t xml:space="preserve"> </w:t>
            </w:r>
            <w:proofErr w:type="spellStart"/>
            <w:r w:rsidR="005052E0" w:rsidRPr="00E16672">
              <w:rPr>
                <w:rFonts w:ascii="Times New Roman" w:hAnsi="Times New Roman"/>
                <w:sz w:val="16"/>
                <w:szCs w:val="16"/>
              </w:rPr>
              <w:t>подаються</w:t>
            </w:r>
            <w:proofErr w:type="spellEnd"/>
            <w:r w:rsidR="005052E0" w:rsidRPr="00E16672">
              <w:rPr>
                <w:rFonts w:ascii="Times New Roman" w:hAnsi="Times New Roman"/>
                <w:sz w:val="16"/>
                <w:szCs w:val="16"/>
              </w:rPr>
              <w:t xml:space="preserve"> </w:t>
            </w:r>
            <w:proofErr w:type="spellStart"/>
            <w:r w:rsidR="005052E0" w:rsidRPr="00E16672">
              <w:rPr>
                <w:rFonts w:ascii="Times New Roman" w:hAnsi="Times New Roman"/>
                <w:sz w:val="16"/>
                <w:szCs w:val="16"/>
              </w:rPr>
              <w:t>Номінальним</w:t>
            </w:r>
            <w:proofErr w:type="spellEnd"/>
            <w:r w:rsidR="005052E0" w:rsidRPr="00E16672">
              <w:rPr>
                <w:rFonts w:ascii="Times New Roman" w:hAnsi="Times New Roman"/>
                <w:sz w:val="16"/>
                <w:szCs w:val="16"/>
              </w:rPr>
              <w:t xml:space="preserve"> </w:t>
            </w:r>
            <w:proofErr w:type="spellStart"/>
            <w:r w:rsidR="005052E0" w:rsidRPr="00E16672">
              <w:rPr>
                <w:rFonts w:ascii="Times New Roman" w:hAnsi="Times New Roman"/>
                <w:sz w:val="16"/>
                <w:szCs w:val="16"/>
              </w:rPr>
              <w:t>утримувачем</w:t>
            </w:r>
            <w:proofErr w:type="spellEnd"/>
            <w:r w:rsidR="005052E0" w:rsidRPr="00E16672">
              <w:rPr>
                <w:rFonts w:ascii="Times New Roman" w:hAnsi="Times New Roman"/>
                <w:sz w:val="16"/>
                <w:szCs w:val="16"/>
              </w:rPr>
              <w:t xml:space="preserve">, </w:t>
            </w:r>
            <w:proofErr w:type="spellStart"/>
            <w:r w:rsidR="005052E0" w:rsidRPr="00E16672">
              <w:rPr>
                <w:rFonts w:ascii="Times New Roman" w:hAnsi="Times New Roman"/>
                <w:sz w:val="16"/>
                <w:szCs w:val="16"/>
              </w:rPr>
              <w:t>керуючим</w:t>
            </w:r>
            <w:proofErr w:type="spellEnd"/>
            <w:r w:rsidR="005052E0" w:rsidRPr="00E16672">
              <w:rPr>
                <w:rFonts w:ascii="Times New Roman" w:hAnsi="Times New Roman"/>
                <w:sz w:val="16"/>
                <w:szCs w:val="16"/>
              </w:rPr>
              <w:t xml:space="preserve"> </w:t>
            </w:r>
            <w:proofErr w:type="spellStart"/>
            <w:r w:rsidR="005052E0" w:rsidRPr="00E16672">
              <w:rPr>
                <w:rFonts w:ascii="Times New Roman" w:hAnsi="Times New Roman"/>
                <w:sz w:val="16"/>
                <w:szCs w:val="16"/>
              </w:rPr>
              <w:t>рахунку</w:t>
            </w:r>
            <w:proofErr w:type="spellEnd"/>
            <w:r w:rsidR="005052E0" w:rsidRPr="00E16672">
              <w:rPr>
                <w:rFonts w:ascii="Times New Roman" w:hAnsi="Times New Roman"/>
                <w:sz w:val="16"/>
                <w:szCs w:val="16"/>
              </w:rPr>
              <w:t xml:space="preserve"> </w:t>
            </w:r>
            <w:proofErr w:type="spellStart"/>
            <w:r w:rsidR="005052E0" w:rsidRPr="00E16672">
              <w:rPr>
                <w:rFonts w:ascii="Times New Roman" w:hAnsi="Times New Roman"/>
                <w:sz w:val="16"/>
                <w:szCs w:val="16"/>
              </w:rPr>
              <w:t>або</w:t>
            </w:r>
            <w:proofErr w:type="spellEnd"/>
            <w:r w:rsidR="005052E0" w:rsidRPr="00E16672">
              <w:rPr>
                <w:rFonts w:ascii="Times New Roman" w:hAnsi="Times New Roman"/>
                <w:sz w:val="16"/>
                <w:szCs w:val="16"/>
              </w:rPr>
              <w:t xml:space="preserve"> </w:t>
            </w:r>
            <w:proofErr w:type="spellStart"/>
            <w:r w:rsidR="005052E0" w:rsidRPr="00E16672">
              <w:rPr>
                <w:rFonts w:ascii="Times New Roman" w:hAnsi="Times New Roman"/>
                <w:sz w:val="16"/>
                <w:szCs w:val="16"/>
              </w:rPr>
              <w:t>розпорядним</w:t>
            </w:r>
            <w:proofErr w:type="spellEnd"/>
            <w:r w:rsidR="005052E0" w:rsidRPr="00E16672">
              <w:rPr>
                <w:rFonts w:ascii="Times New Roman" w:hAnsi="Times New Roman"/>
                <w:sz w:val="16"/>
                <w:szCs w:val="16"/>
              </w:rPr>
              <w:t xml:space="preserve"> </w:t>
            </w:r>
            <w:proofErr w:type="spellStart"/>
            <w:r w:rsidR="005052E0" w:rsidRPr="00E16672">
              <w:rPr>
                <w:rFonts w:ascii="Times New Roman" w:hAnsi="Times New Roman"/>
                <w:sz w:val="16"/>
                <w:szCs w:val="16"/>
              </w:rPr>
              <w:t>його</w:t>
            </w:r>
            <w:proofErr w:type="spellEnd"/>
            <w:r w:rsidR="005052E0" w:rsidRPr="00E16672">
              <w:rPr>
                <w:rFonts w:ascii="Times New Roman" w:hAnsi="Times New Roman"/>
                <w:sz w:val="16"/>
                <w:szCs w:val="16"/>
              </w:rPr>
              <w:t xml:space="preserve"> </w:t>
            </w:r>
            <w:proofErr w:type="spellStart"/>
            <w:r w:rsidR="005052E0" w:rsidRPr="00E16672">
              <w:rPr>
                <w:rFonts w:ascii="Times New Roman" w:hAnsi="Times New Roman"/>
                <w:sz w:val="16"/>
                <w:szCs w:val="16"/>
              </w:rPr>
              <w:t>рахунку</w:t>
            </w:r>
            <w:proofErr w:type="spellEnd"/>
            <w:r w:rsidR="005052E0" w:rsidRPr="00E16672">
              <w:rPr>
                <w:rFonts w:ascii="Times New Roman" w:hAnsi="Times New Roman"/>
                <w:sz w:val="16"/>
                <w:szCs w:val="16"/>
              </w:rPr>
              <w:t xml:space="preserve"> </w:t>
            </w:r>
            <w:proofErr w:type="spellStart"/>
            <w:r w:rsidR="005052E0" w:rsidRPr="00E16672">
              <w:rPr>
                <w:rFonts w:ascii="Times New Roman" w:hAnsi="Times New Roman"/>
                <w:sz w:val="16"/>
                <w:szCs w:val="16"/>
              </w:rPr>
              <w:t>Депозитарній</w:t>
            </w:r>
            <w:proofErr w:type="spellEnd"/>
            <w:r w:rsidR="005052E0" w:rsidRPr="00E16672">
              <w:rPr>
                <w:rFonts w:ascii="Times New Roman" w:hAnsi="Times New Roman"/>
                <w:sz w:val="16"/>
                <w:szCs w:val="16"/>
              </w:rPr>
              <w:t xml:space="preserve"> </w:t>
            </w:r>
            <w:proofErr w:type="spellStart"/>
            <w:r w:rsidR="005052E0" w:rsidRPr="00E16672">
              <w:rPr>
                <w:rFonts w:ascii="Times New Roman" w:hAnsi="Times New Roman"/>
                <w:sz w:val="16"/>
                <w:szCs w:val="16"/>
              </w:rPr>
              <w:t>установі</w:t>
            </w:r>
            <w:proofErr w:type="spellEnd"/>
            <w:r w:rsidRPr="00E16672">
              <w:rPr>
                <w:rFonts w:ascii="Times New Roman" w:hAnsi="Times New Roman"/>
                <w:sz w:val="16"/>
                <w:szCs w:val="16"/>
              </w:rPr>
              <w:t>.</w:t>
            </w:r>
          </w:p>
          <w:p w14:paraId="7726344B" w14:textId="77777777" w:rsidR="005052E0" w:rsidRPr="00E16672" w:rsidRDefault="005052E0" w:rsidP="001456E9">
            <w:pPr>
              <w:snapToGrid w:val="0"/>
              <w:ind w:left="170" w:right="138" w:firstLine="7"/>
              <w:rPr>
                <w:rFonts w:ascii="Times New Roman" w:hAnsi="Times New Roman"/>
                <w:sz w:val="16"/>
                <w:szCs w:val="16"/>
                <w:lang w:val="uk-UA"/>
              </w:rPr>
            </w:pPr>
          </w:p>
        </w:tc>
        <w:tc>
          <w:tcPr>
            <w:tcW w:w="5495" w:type="dxa"/>
            <w:gridSpan w:val="8"/>
            <w:shd w:val="clear" w:color="auto" w:fill="auto"/>
          </w:tcPr>
          <w:p w14:paraId="0FB128F2" w14:textId="77777777" w:rsidR="00EB25FE" w:rsidRPr="00E16672" w:rsidRDefault="00EB25FE" w:rsidP="00794B3F">
            <w:pPr>
              <w:pStyle w:val="210"/>
              <w:tabs>
                <w:tab w:val="left" w:pos="1191"/>
              </w:tabs>
              <w:snapToGrid w:val="0"/>
              <w:ind w:left="175" w:right="138" w:firstLine="7"/>
              <w:rPr>
                <w:rFonts w:ascii="Times New Roman" w:hAnsi="Times New Roman"/>
                <w:sz w:val="16"/>
              </w:rPr>
            </w:pPr>
            <w:r w:rsidRPr="00E16672">
              <w:rPr>
                <w:rFonts w:ascii="Times New Roman" w:hAnsi="Times New Roman"/>
                <w:sz w:val="16"/>
                <w:szCs w:val="16"/>
              </w:rPr>
              <w:t xml:space="preserve">3.7. </w:t>
            </w:r>
            <w:proofErr w:type="spellStart"/>
            <w:r w:rsidR="005052E0" w:rsidRPr="00E16672">
              <w:rPr>
                <w:rFonts w:ascii="Times New Roman" w:hAnsi="Times New Roman"/>
                <w:sz w:val="16"/>
              </w:rPr>
              <w:t>The</w:t>
            </w:r>
            <w:proofErr w:type="spellEnd"/>
            <w:r w:rsidR="005052E0" w:rsidRPr="00E16672">
              <w:rPr>
                <w:rFonts w:ascii="Times New Roman" w:hAnsi="Times New Roman"/>
                <w:sz w:val="16"/>
              </w:rPr>
              <w:t xml:space="preserve"> </w:t>
            </w:r>
            <w:proofErr w:type="spellStart"/>
            <w:r w:rsidR="005052E0" w:rsidRPr="00E16672">
              <w:rPr>
                <w:rFonts w:ascii="Times New Roman" w:hAnsi="Times New Roman"/>
                <w:sz w:val="16"/>
              </w:rPr>
              <w:t>Nominee</w:t>
            </w:r>
            <w:proofErr w:type="spellEnd"/>
            <w:r w:rsidR="005052E0" w:rsidRPr="00E16672">
              <w:rPr>
                <w:rFonts w:ascii="Times New Roman" w:hAnsi="Times New Roman"/>
                <w:sz w:val="16"/>
              </w:rPr>
              <w:t xml:space="preserve"> </w:t>
            </w:r>
            <w:proofErr w:type="spellStart"/>
            <w:r w:rsidR="005052E0" w:rsidRPr="00E16672">
              <w:rPr>
                <w:rFonts w:ascii="Times New Roman" w:hAnsi="Times New Roman"/>
                <w:sz w:val="16"/>
              </w:rPr>
              <w:t>holder</w:t>
            </w:r>
            <w:proofErr w:type="spellEnd"/>
            <w:r w:rsidR="005052E0" w:rsidRPr="00E16672">
              <w:rPr>
                <w:rFonts w:ascii="Times New Roman" w:hAnsi="Times New Roman"/>
                <w:sz w:val="16"/>
              </w:rPr>
              <w:t xml:space="preserve"> </w:t>
            </w:r>
            <w:proofErr w:type="spellStart"/>
            <w:r w:rsidR="005052E0" w:rsidRPr="00E16672">
              <w:rPr>
                <w:rFonts w:ascii="Times New Roman" w:hAnsi="Times New Roman"/>
                <w:sz w:val="16"/>
              </w:rPr>
              <w:t>assumes</w:t>
            </w:r>
            <w:proofErr w:type="spellEnd"/>
            <w:r w:rsidR="005052E0" w:rsidRPr="00E16672">
              <w:rPr>
                <w:rFonts w:ascii="Times New Roman" w:hAnsi="Times New Roman"/>
                <w:sz w:val="16"/>
              </w:rPr>
              <w:t xml:space="preserve"> </w:t>
            </w:r>
            <w:proofErr w:type="spellStart"/>
            <w:r w:rsidR="005052E0" w:rsidRPr="00E16672">
              <w:rPr>
                <w:rFonts w:ascii="Times New Roman" w:hAnsi="Times New Roman"/>
                <w:sz w:val="16"/>
              </w:rPr>
              <w:t>responsibility</w:t>
            </w:r>
            <w:proofErr w:type="spellEnd"/>
            <w:r w:rsidR="005052E0" w:rsidRPr="00E16672">
              <w:rPr>
                <w:rFonts w:ascii="Times New Roman" w:hAnsi="Times New Roman"/>
                <w:sz w:val="16"/>
              </w:rPr>
              <w:t xml:space="preserve"> </w:t>
            </w:r>
            <w:proofErr w:type="spellStart"/>
            <w:r w:rsidR="005052E0" w:rsidRPr="00E16672">
              <w:rPr>
                <w:rFonts w:ascii="Times New Roman" w:hAnsi="Times New Roman"/>
                <w:sz w:val="16"/>
              </w:rPr>
              <w:t>for</w:t>
            </w:r>
            <w:proofErr w:type="spellEnd"/>
            <w:r w:rsidR="005052E0" w:rsidRPr="00E16672">
              <w:rPr>
                <w:rFonts w:ascii="Times New Roman" w:hAnsi="Times New Roman"/>
                <w:sz w:val="16"/>
              </w:rPr>
              <w:t xml:space="preserve"> </w:t>
            </w:r>
            <w:proofErr w:type="spellStart"/>
            <w:r w:rsidR="005052E0" w:rsidRPr="00E16672">
              <w:rPr>
                <w:rFonts w:ascii="Times New Roman" w:hAnsi="Times New Roman"/>
                <w:sz w:val="16"/>
              </w:rPr>
              <w:t>the</w:t>
            </w:r>
            <w:proofErr w:type="spellEnd"/>
            <w:r w:rsidR="005052E0" w:rsidRPr="00E16672">
              <w:rPr>
                <w:rFonts w:ascii="Times New Roman" w:hAnsi="Times New Roman"/>
                <w:sz w:val="16"/>
              </w:rPr>
              <w:t xml:space="preserve"> </w:t>
            </w:r>
            <w:proofErr w:type="spellStart"/>
            <w:r w:rsidR="005052E0" w:rsidRPr="00E16672">
              <w:rPr>
                <w:rFonts w:ascii="Times New Roman" w:hAnsi="Times New Roman"/>
                <w:sz w:val="16"/>
              </w:rPr>
              <w:t>accuracy</w:t>
            </w:r>
            <w:proofErr w:type="spellEnd"/>
            <w:r w:rsidR="005052E0" w:rsidRPr="00E16672">
              <w:rPr>
                <w:rFonts w:ascii="Times New Roman" w:hAnsi="Times New Roman"/>
                <w:sz w:val="16"/>
              </w:rPr>
              <w:t xml:space="preserve"> </w:t>
            </w:r>
            <w:proofErr w:type="spellStart"/>
            <w:r w:rsidR="005052E0" w:rsidRPr="00E16672">
              <w:rPr>
                <w:rFonts w:ascii="Times New Roman" w:hAnsi="Times New Roman"/>
                <w:sz w:val="16"/>
              </w:rPr>
              <w:t>of</w:t>
            </w:r>
            <w:proofErr w:type="spellEnd"/>
            <w:r w:rsidR="005052E0" w:rsidRPr="00E16672">
              <w:rPr>
                <w:rFonts w:ascii="Times New Roman" w:hAnsi="Times New Roman"/>
                <w:sz w:val="16"/>
              </w:rPr>
              <w:t xml:space="preserve"> </w:t>
            </w:r>
            <w:proofErr w:type="spellStart"/>
            <w:r w:rsidR="005052E0" w:rsidRPr="00E16672">
              <w:rPr>
                <w:rFonts w:ascii="Times New Roman" w:hAnsi="Times New Roman"/>
                <w:sz w:val="16"/>
              </w:rPr>
              <w:t>the</w:t>
            </w:r>
            <w:proofErr w:type="spellEnd"/>
            <w:r w:rsidR="005052E0" w:rsidRPr="00E16672">
              <w:rPr>
                <w:rFonts w:ascii="Times New Roman" w:hAnsi="Times New Roman"/>
                <w:sz w:val="16"/>
              </w:rPr>
              <w:t xml:space="preserve"> </w:t>
            </w:r>
            <w:proofErr w:type="spellStart"/>
            <w:r w:rsidR="005052E0" w:rsidRPr="00E16672">
              <w:rPr>
                <w:rFonts w:ascii="Times New Roman" w:hAnsi="Times New Roman"/>
                <w:sz w:val="16"/>
              </w:rPr>
              <w:t>information</w:t>
            </w:r>
            <w:proofErr w:type="spellEnd"/>
            <w:r w:rsidR="005052E0" w:rsidRPr="00E16672">
              <w:rPr>
                <w:rFonts w:ascii="Times New Roman" w:hAnsi="Times New Roman"/>
                <w:sz w:val="16"/>
              </w:rPr>
              <w:t xml:space="preserve"> </w:t>
            </w:r>
            <w:proofErr w:type="spellStart"/>
            <w:r w:rsidR="005052E0" w:rsidRPr="00E16672">
              <w:rPr>
                <w:rFonts w:ascii="Times New Roman" w:hAnsi="Times New Roman"/>
                <w:sz w:val="16"/>
              </w:rPr>
              <w:t>contained</w:t>
            </w:r>
            <w:proofErr w:type="spellEnd"/>
            <w:r w:rsidR="005052E0" w:rsidRPr="00E16672">
              <w:rPr>
                <w:rFonts w:ascii="Times New Roman" w:hAnsi="Times New Roman"/>
                <w:sz w:val="16"/>
              </w:rPr>
              <w:t xml:space="preserve"> </w:t>
            </w:r>
            <w:proofErr w:type="spellStart"/>
            <w:r w:rsidR="005052E0" w:rsidRPr="00E16672">
              <w:rPr>
                <w:rFonts w:ascii="Times New Roman" w:hAnsi="Times New Roman"/>
                <w:sz w:val="16"/>
              </w:rPr>
              <w:t>in</w:t>
            </w:r>
            <w:proofErr w:type="spellEnd"/>
            <w:r w:rsidR="005052E0" w:rsidRPr="00E16672">
              <w:rPr>
                <w:rFonts w:ascii="Times New Roman" w:hAnsi="Times New Roman"/>
                <w:sz w:val="16"/>
              </w:rPr>
              <w:t xml:space="preserve"> </w:t>
            </w:r>
            <w:proofErr w:type="spellStart"/>
            <w:r w:rsidR="005052E0" w:rsidRPr="00E16672">
              <w:rPr>
                <w:rFonts w:ascii="Times New Roman" w:hAnsi="Times New Roman"/>
                <w:sz w:val="16"/>
              </w:rPr>
              <w:t>the</w:t>
            </w:r>
            <w:proofErr w:type="spellEnd"/>
            <w:r w:rsidR="005052E0" w:rsidRPr="00E16672">
              <w:rPr>
                <w:rFonts w:ascii="Times New Roman" w:hAnsi="Times New Roman"/>
                <w:sz w:val="16"/>
              </w:rPr>
              <w:t xml:space="preserve"> </w:t>
            </w:r>
            <w:proofErr w:type="spellStart"/>
            <w:r w:rsidR="005052E0" w:rsidRPr="00E16672">
              <w:rPr>
                <w:rFonts w:ascii="Times New Roman" w:hAnsi="Times New Roman"/>
                <w:sz w:val="16"/>
              </w:rPr>
              <w:t>documents</w:t>
            </w:r>
            <w:proofErr w:type="spellEnd"/>
            <w:r w:rsidR="005052E0" w:rsidRPr="00E16672">
              <w:rPr>
                <w:rFonts w:ascii="Times New Roman" w:hAnsi="Times New Roman"/>
                <w:sz w:val="16"/>
              </w:rPr>
              <w:t xml:space="preserve"> </w:t>
            </w:r>
            <w:proofErr w:type="spellStart"/>
            <w:r w:rsidR="005052E0" w:rsidRPr="00E16672">
              <w:rPr>
                <w:rFonts w:ascii="Times New Roman" w:hAnsi="Times New Roman"/>
                <w:sz w:val="16"/>
              </w:rPr>
              <w:t>provided</w:t>
            </w:r>
            <w:proofErr w:type="spellEnd"/>
            <w:r w:rsidR="005052E0" w:rsidRPr="00E16672">
              <w:rPr>
                <w:rFonts w:ascii="Times New Roman" w:hAnsi="Times New Roman"/>
                <w:sz w:val="16"/>
              </w:rPr>
              <w:t xml:space="preserve"> </w:t>
            </w:r>
            <w:proofErr w:type="spellStart"/>
            <w:r w:rsidR="005052E0" w:rsidRPr="00E16672">
              <w:rPr>
                <w:rFonts w:ascii="Times New Roman" w:hAnsi="Times New Roman"/>
                <w:sz w:val="16"/>
              </w:rPr>
              <w:t>by</w:t>
            </w:r>
            <w:proofErr w:type="spellEnd"/>
            <w:r w:rsidR="005052E0" w:rsidRPr="00E16672">
              <w:rPr>
                <w:rFonts w:ascii="Times New Roman" w:hAnsi="Times New Roman"/>
                <w:sz w:val="16"/>
              </w:rPr>
              <w:t xml:space="preserve"> </w:t>
            </w:r>
            <w:proofErr w:type="spellStart"/>
            <w:r w:rsidR="005052E0" w:rsidRPr="00E16672">
              <w:rPr>
                <w:rFonts w:ascii="Times New Roman" w:hAnsi="Times New Roman"/>
                <w:sz w:val="16"/>
              </w:rPr>
              <w:t>the</w:t>
            </w:r>
            <w:proofErr w:type="spellEnd"/>
            <w:r w:rsidR="005052E0" w:rsidRPr="00E16672">
              <w:rPr>
                <w:rFonts w:ascii="Times New Roman" w:hAnsi="Times New Roman"/>
                <w:sz w:val="16"/>
              </w:rPr>
              <w:t xml:space="preserve"> </w:t>
            </w:r>
            <w:proofErr w:type="spellStart"/>
            <w:r w:rsidR="005052E0" w:rsidRPr="00E16672">
              <w:rPr>
                <w:rFonts w:ascii="Times New Roman" w:hAnsi="Times New Roman"/>
                <w:sz w:val="16"/>
              </w:rPr>
              <w:t>Nominee</w:t>
            </w:r>
            <w:proofErr w:type="spellEnd"/>
            <w:r w:rsidR="005052E0" w:rsidRPr="00E16672">
              <w:rPr>
                <w:rFonts w:ascii="Times New Roman" w:hAnsi="Times New Roman"/>
                <w:sz w:val="16"/>
              </w:rPr>
              <w:t xml:space="preserve"> </w:t>
            </w:r>
            <w:proofErr w:type="spellStart"/>
            <w:r w:rsidR="005052E0" w:rsidRPr="00E16672">
              <w:rPr>
                <w:rFonts w:ascii="Times New Roman" w:hAnsi="Times New Roman"/>
                <w:sz w:val="16"/>
              </w:rPr>
              <w:t>holder</w:t>
            </w:r>
            <w:proofErr w:type="spellEnd"/>
            <w:r w:rsidR="005052E0" w:rsidRPr="00E16672">
              <w:rPr>
                <w:rFonts w:ascii="Times New Roman" w:hAnsi="Times New Roman"/>
                <w:sz w:val="16"/>
              </w:rPr>
              <w:t xml:space="preserve">, </w:t>
            </w:r>
            <w:proofErr w:type="spellStart"/>
            <w:r w:rsidR="005052E0" w:rsidRPr="00E16672">
              <w:rPr>
                <w:rFonts w:ascii="Times New Roman" w:hAnsi="Times New Roman"/>
                <w:sz w:val="16"/>
              </w:rPr>
              <w:t>the</w:t>
            </w:r>
            <w:proofErr w:type="spellEnd"/>
            <w:r w:rsidR="005052E0" w:rsidRPr="00E16672">
              <w:rPr>
                <w:rFonts w:ascii="Times New Roman" w:hAnsi="Times New Roman"/>
                <w:sz w:val="16"/>
              </w:rPr>
              <w:t xml:space="preserve"> </w:t>
            </w:r>
            <w:proofErr w:type="spellStart"/>
            <w:r w:rsidR="005052E0" w:rsidRPr="00E16672">
              <w:rPr>
                <w:rFonts w:ascii="Times New Roman" w:hAnsi="Times New Roman"/>
                <w:sz w:val="16"/>
              </w:rPr>
              <w:t>manager</w:t>
            </w:r>
            <w:proofErr w:type="spellEnd"/>
            <w:r w:rsidR="005052E0" w:rsidRPr="00E16672">
              <w:rPr>
                <w:rFonts w:ascii="Times New Roman" w:hAnsi="Times New Roman"/>
                <w:sz w:val="16"/>
              </w:rPr>
              <w:t xml:space="preserve"> </w:t>
            </w:r>
            <w:proofErr w:type="spellStart"/>
            <w:r w:rsidR="005052E0" w:rsidRPr="00E16672">
              <w:rPr>
                <w:rFonts w:ascii="Times New Roman" w:hAnsi="Times New Roman"/>
                <w:sz w:val="16"/>
              </w:rPr>
              <w:t>of</w:t>
            </w:r>
            <w:proofErr w:type="spellEnd"/>
            <w:r w:rsidR="005052E0" w:rsidRPr="00E16672">
              <w:rPr>
                <w:rFonts w:ascii="Times New Roman" w:hAnsi="Times New Roman"/>
                <w:sz w:val="16"/>
              </w:rPr>
              <w:t xml:space="preserve"> </w:t>
            </w:r>
            <w:proofErr w:type="spellStart"/>
            <w:r w:rsidR="005052E0" w:rsidRPr="00E16672">
              <w:rPr>
                <w:rFonts w:ascii="Times New Roman" w:hAnsi="Times New Roman"/>
                <w:sz w:val="16"/>
              </w:rPr>
              <w:t>the</w:t>
            </w:r>
            <w:proofErr w:type="spellEnd"/>
            <w:r w:rsidR="005052E0" w:rsidRPr="00E16672">
              <w:rPr>
                <w:rFonts w:ascii="Times New Roman" w:hAnsi="Times New Roman"/>
                <w:sz w:val="16"/>
              </w:rPr>
              <w:t xml:space="preserve"> </w:t>
            </w:r>
            <w:proofErr w:type="spellStart"/>
            <w:r w:rsidR="005052E0" w:rsidRPr="00E16672">
              <w:rPr>
                <w:rFonts w:ascii="Times New Roman" w:hAnsi="Times New Roman"/>
                <w:sz w:val="16"/>
              </w:rPr>
              <w:t>account</w:t>
            </w:r>
            <w:proofErr w:type="spellEnd"/>
            <w:r w:rsidR="005052E0" w:rsidRPr="00E16672">
              <w:rPr>
                <w:rFonts w:ascii="Times New Roman" w:hAnsi="Times New Roman"/>
                <w:sz w:val="16"/>
                <w:lang w:val="en-US"/>
              </w:rPr>
              <w:t xml:space="preserve">, </w:t>
            </w:r>
            <w:r w:rsidR="005052E0" w:rsidRPr="00E16672">
              <w:rPr>
                <w:rFonts w:ascii="Times New Roman" w:hAnsi="Times New Roman"/>
                <w:sz w:val="16"/>
              </w:rPr>
              <w:t>а</w:t>
            </w:r>
            <w:proofErr w:type="spellStart"/>
            <w:r w:rsidR="005052E0" w:rsidRPr="00E16672">
              <w:rPr>
                <w:rFonts w:ascii="Times New Roman" w:hAnsi="Times New Roman"/>
                <w:sz w:val="16"/>
                <w:lang w:val="en-US"/>
              </w:rPr>
              <w:t>dministrator</w:t>
            </w:r>
            <w:proofErr w:type="spellEnd"/>
            <w:r w:rsidR="005052E0" w:rsidRPr="00E16672">
              <w:rPr>
                <w:rFonts w:ascii="Times New Roman" w:hAnsi="Times New Roman"/>
                <w:sz w:val="16"/>
                <w:lang w:val="en-US"/>
              </w:rPr>
              <w:t xml:space="preserve">  of the account in securities</w:t>
            </w:r>
            <w:r w:rsidR="005052E0" w:rsidRPr="00E16672">
              <w:rPr>
                <w:rFonts w:ascii="Times New Roman" w:hAnsi="Times New Roman"/>
                <w:sz w:val="16"/>
              </w:rPr>
              <w:t xml:space="preserve"> </w:t>
            </w:r>
            <w:proofErr w:type="spellStart"/>
            <w:r w:rsidR="005052E0" w:rsidRPr="00E16672">
              <w:rPr>
                <w:rFonts w:ascii="Times New Roman" w:hAnsi="Times New Roman"/>
                <w:sz w:val="16"/>
              </w:rPr>
              <w:t>of</w:t>
            </w:r>
            <w:proofErr w:type="spellEnd"/>
            <w:r w:rsidR="005052E0" w:rsidRPr="00E16672">
              <w:rPr>
                <w:rFonts w:ascii="Times New Roman" w:hAnsi="Times New Roman"/>
                <w:sz w:val="16"/>
              </w:rPr>
              <w:t xml:space="preserve"> </w:t>
            </w:r>
            <w:proofErr w:type="spellStart"/>
            <w:r w:rsidR="005052E0" w:rsidRPr="00E16672">
              <w:rPr>
                <w:rFonts w:ascii="Times New Roman" w:hAnsi="Times New Roman"/>
                <w:sz w:val="16"/>
              </w:rPr>
              <w:t>the</w:t>
            </w:r>
            <w:proofErr w:type="spellEnd"/>
            <w:r w:rsidR="005052E0" w:rsidRPr="00E16672">
              <w:rPr>
                <w:rFonts w:ascii="Times New Roman" w:hAnsi="Times New Roman"/>
                <w:sz w:val="16"/>
              </w:rPr>
              <w:t xml:space="preserve"> </w:t>
            </w:r>
            <w:proofErr w:type="spellStart"/>
            <w:r w:rsidR="005052E0" w:rsidRPr="00E16672">
              <w:rPr>
                <w:rFonts w:ascii="Times New Roman" w:hAnsi="Times New Roman"/>
                <w:sz w:val="16"/>
              </w:rPr>
              <w:t>Depository</w:t>
            </w:r>
            <w:proofErr w:type="spellEnd"/>
            <w:r w:rsidR="005052E0" w:rsidRPr="00E16672">
              <w:rPr>
                <w:rFonts w:ascii="Times New Roman" w:hAnsi="Times New Roman"/>
                <w:sz w:val="16"/>
              </w:rPr>
              <w:t xml:space="preserve"> </w:t>
            </w:r>
            <w:proofErr w:type="spellStart"/>
            <w:r w:rsidR="005052E0" w:rsidRPr="00E16672">
              <w:rPr>
                <w:rFonts w:ascii="Times New Roman" w:hAnsi="Times New Roman"/>
                <w:sz w:val="16"/>
              </w:rPr>
              <w:t>institution</w:t>
            </w:r>
            <w:proofErr w:type="spellEnd"/>
            <w:r w:rsidR="005052E0" w:rsidRPr="00E16672">
              <w:rPr>
                <w:rFonts w:ascii="Times New Roman" w:hAnsi="Times New Roman"/>
                <w:sz w:val="16"/>
              </w:rPr>
              <w:t>.</w:t>
            </w:r>
          </w:p>
          <w:p w14:paraId="1A7C7D98" w14:textId="77777777" w:rsidR="005052E0" w:rsidRPr="00E16672" w:rsidRDefault="005052E0" w:rsidP="00794B3F">
            <w:pPr>
              <w:pStyle w:val="210"/>
              <w:tabs>
                <w:tab w:val="left" w:pos="1191"/>
              </w:tabs>
              <w:snapToGrid w:val="0"/>
              <w:ind w:left="175" w:right="138" w:firstLine="7"/>
              <w:rPr>
                <w:rFonts w:ascii="Times New Roman" w:hAnsi="Times New Roman"/>
                <w:sz w:val="16"/>
                <w:szCs w:val="16"/>
                <w:lang w:val="en-GB"/>
              </w:rPr>
            </w:pPr>
          </w:p>
        </w:tc>
      </w:tr>
      <w:tr w:rsidR="00EB25FE" w:rsidRPr="00A26EFC" w14:paraId="008D0EE8" w14:textId="77777777" w:rsidTr="005E418B">
        <w:tblPrEx>
          <w:tblCellMar>
            <w:left w:w="0" w:type="dxa"/>
            <w:right w:w="0" w:type="dxa"/>
          </w:tblCellMar>
        </w:tblPrEx>
        <w:trPr>
          <w:trHeight w:val="517"/>
        </w:trPr>
        <w:tc>
          <w:tcPr>
            <w:tcW w:w="5695" w:type="dxa"/>
            <w:gridSpan w:val="7"/>
            <w:shd w:val="clear" w:color="auto" w:fill="auto"/>
          </w:tcPr>
          <w:p w14:paraId="34A37904" w14:textId="77777777" w:rsidR="00EB25FE" w:rsidRPr="00E16672" w:rsidRDefault="00EB25FE" w:rsidP="00794B3F">
            <w:pPr>
              <w:ind w:left="175" w:right="138" w:firstLine="7"/>
              <w:rPr>
                <w:rFonts w:ascii="Times New Roman" w:hAnsi="Times New Roman"/>
                <w:color w:val="000000"/>
                <w:sz w:val="16"/>
                <w:szCs w:val="16"/>
                <w:lang w:val="uk-UA"/>
              </w:rPr>
            </w:pPr>
            <w:r w:rsidRPr="00E16672">
              <w:rPr>
                <w:rFonts w:ascii="Times New Roman" w:hAnsi="Times New Roman"/>
                <w:color w:val="000000"/>
                <w:sz w:val="16"/>
                <w:szCs w:val="16"/>
                <w:lang w:val="uk-UA"/>
              </w:rPr>
              <w:t xml:space="preserve">3.8. </w:t>
            </w:r>
            <w:proofErr w:type="spellStart"/>
            <w:r w:rsidR="005052E0" w:rsidRPr="00E16672">
              <w:rPr>
                <w:rFonts w:ascii="Times New Roman" w:hAnsi="Times New Roman"/>
                <w:sz w:val="16"/>
                <w:szCs w:val="16"/>
              </w:rPr>
              <w:t>Депозитарна</w:t>
            </w:r>
            <w:proofErr w:type="spellEnd"/>
            <w:r w:rsidR="005052E0" w:rsidRPr="00E16672">
              <w:rPr>
                <w:rFonts w:ascii="Times New Roman" w:hAnsi="Times New Roman"/>
                <w:sz w:val="16"/>
                <w:szCs w:val="16"/>
                <w:lang w:val="en-US"/>
              </w:rPr>
              <w:t xml:space="preserve"> </w:t>
            </w:r>
            <w:proofErr w:type="spellStart"/>
            <w:r w:rsidR="005052E0" w:rsidRPr="00E16672">
              <w:rPr>
                <w:rFonts w:ascii="Times New Roman" w:hAnsi="Times New Roman"/>
                <w:sz w:val="16"/>
                <w:szCs w:val="16"/>
              </w:rPr>
              <w:t>установа</w:t>
            </w:r>
            <w:proofErr w:type="spellEnd"/>
            <w:r w:rsidR="005052E0" w:rsidRPr="00E16672">
              <w:rPr>
                <w:rFonts w:ascii="Times New Roman" w:hAnsi="Times New Roman"/>
                <w:sz w:val="16"/>
                <w:szCs w:val="16"/>
                <w:lang w:val="en-US"/>
              </w:rPr>
              <w:t xml:space="preserve"> </w:t>
            </w:r>
            <w:proofErr w:type="spellStart"/>
            <w:r w:rsidR="005052E0" w:rsidRPr="00E16672">
              <w:rPr>
                <w:rFonts w:ascii="Times New Roman" w:hAnsi="Times New Roman"/>
                <w:sz w:val="16"/>
                <w:szCs w:val="16"/>
              </w:rPr>
              <w:t>направляє</w:t>
            </w:r>
            <w:proofErr w:type="spellEnd"/>
            <w:r w:rsidR="005052E0" w:rsidRPr="00E16672">
              <w:rPr>
                <w:rFonts w:ascii="Times New Roman" w:hAnsi="Times New Roman"/>
                <w:sz w:val="16"/>
                <w:szCs w:val="16"/>
                <w:lang w:val="en-US"/>
              </w:rPr>
              <w:t xml:space="preserve"> </w:t>
            </w:r>
            <w:proofErr w:type="spellStart"/>
            <w:r w:rsidR="005052E0" w:rsidRPr="00E16672">
              <w:rPr>
                <w:rFonts w:ascii="Times New Roman" w:hAnsi="Times New Roman"/>
                <w:sz w:val="16"/>
                <w:szCs w:val="16"/>
              </w:rPr>
              <w:t>поштові</w:t>
            </w:r>
            <w:proofErr w:type="spellEnd"/>
            <w:r w:rsidR="005052E0" w:rsidRPr="00E16672">
              <w:rPr>
                <w:rFonts w:ascii="Times New Roman" w:hAnsi="Times New Roman"/>
                <w:sz w:val="16"/>
                <w:szCs w:val="16"/>
                <w:lang w:val="en-US"/>
              </w:rPr>
              <w:t xml:space="preserve"> </w:t>
            </w:r>
            <w:proofErr w:type="spellStart"/>
            <w:r w:rsidR="005052E0" w:rsidRPr="00E16672">
              <w:rPr>
                <w:rFonts w:ascii="Times New Roman" w:hAnsi="Times New Roman"/>
                <w:sz w:val="16"/>
                <w:szCs w:val="16"/>
              </w:rPr>
              <w:t>повідомлення</w:t>
            </w:r>
            <w:proofErr w:type="spellEnd"/>
            <w:r w:rsidR="005052E0" w:rsidRPr="00E16672">
              <w:rPr>
                <w:rFonts w:ascii="Times New Roman" w:hAnsi="Times New Roman"/>
                <w:sz w:val="16"/>
                <w:szCs w:val="16"/>
                <w:lang w:val="en-US"/>
              </w:rPr>
              <w:t xml:space="preserve">, </w:t>
            </w:r>
            <w:proofErr w:type="spellStart"/>
            <w:r w:rsidR="005052E0" w:rsidRPr="00E16672">
              <w:rPr>
                <w:rFonts w:ascii="Times New Roman" w:hAnsi="Times New Roman"/>
                <w:sz w:val="16"/>
                <w:szCs w:val="16"/>
              </w:rPr>
              <w:t>інформацію</w:t>
            </w:r>
            <w:proofErr w:type="spellEnd"/>
            <w:r w:rsidR="005052E0" w:rsidRPr="00E16672">
              <w:rPr>
                <w:rFonts w:ascii="Times New Roman" w:hAnsi="Times New Roman"/>
                <w:sz w:val="16"/>
                <w:szCs w:val="16"/>
                <w:lang w:val="en-US"/>
              </w:rPr>
              <w:t xml:space="preserve"> </w:t>
            </w:r>
            <w:r w:rsidR="005052E0" w:rsidRPr="00E16672">
              <w:rPr>
                <w:rFonts w:ascii="Times New Roman" w:hAnsi="Times New Roman"/>
                <w:sz w:val="16"/>
                <w:szCs w:val="16"/>
              </w:rPr>
              <w:t>та</w:t>
            </w:r>
            <w:r w:rsidR="005052E0" w:rsidRPr="00E16672">
              <w:rPr>
                <w:rFonts w:ascii="Times New Roman" w:hAnsi="Times New Roman"/>
                <w:sz w:val="16"/>
                <w:szCs w:val="16"/>
                <w:lang w:val="en-US"/>
              </w:rPr>
              <w:t xml:space="preserve"> </w:t>
            </w:r>
            <w:proofErr w:type="spellStart"/>
            <w:r w:rsidR="005052E0" w:rsidRPr="00E16672">
              <w:rPr>
                <w:rFonts w:ascii="Times New Roman" w:hAnsi="Times New Roman"/>
                <w:sz w:val="16"/>
                <w:szCs w:val="16"/>
              </w:rPr>
              <w:t>інші</w:t>
            </w:r>
            <w:proofErr w:type="spellEnd"/>
            <w:r w:rsidR="005052E0" w:rsidRPr="00E16672">
              <w:rPr>
                <w:rFonts w:ascii="Times New Roman" w:hAnsi="Times New Roman"/>
                <w:sz w:val="16"/>
                <w:szCs w:val="16"/>
                <w:lang w:val="en-US"/>
              </w:rPr>
              <w:t xml:space="preserve"> </w:t>
            </w:r>
            <w:proofErr w:type="spellStart"/>
            <w:proofErr w:type="gramStart"/>
            <w:r w:rsidR="005052E0" w:rsidRPr="00E16672">
              <w:rPr>
                <w:rFonts w:ascii="Times New Roman" w:hAnsi="Times New Roman"/>
                <w:sz w:val="16"/>
                <w:szCs w:val="16"/>
              </w:rPr>
              <w:t>документи</w:t>
            </w:r>
            <w:proofErr w:type="spellEnd"/>
            <w:r w:rsidR="005052E0" w:rsidRPr="00E16672">
              <w:rPr>
                <w:rFonts w:ascii="Times New Roman" w:hAnsi="Times New Roman"/>
                <w:sz w:val="16"/>
                <w:szCs w:val="16"/>
                <w:lang w:val="en-US"/>
              </w:rPr>
              <w:t xml:space="preserve">  </w:t>
            </w:r>
            <w:r w:rsidR="005052E0" w:rsidRPr="00E16672">
              <w:rPr>
                <w:rFonts w:ascii="Times New Roman" w:hAnsi="Times New Roman"/>
                <w:sz w:val="16"/>
                <w:szCs w:val="16"/>
              </w:rPr>
              <w:t>за</w:t>
            </w:r>
            <w:proofErr w:type="gramEnd"/>
            <w:r w:rsidR="005052E0" w:rsidRPr="00E16672">
              <w:rPr>
                <w:rFonts w:ascii="Times New Roman" w:hAnsi="Times New Roman"/>
                <w:sz w:val="16"/>
                <w:szCs w:val="16"/>
                <w:lang w:val="en-US"/>
              </w:rPr>
              <w:t xml:space="preserve"> </w:t>
            </w:r>
            <w:r w:rsidR="005052E0" w:rsidRPr="00E16672">
              <w:rPr>
                <w:rFonts w:ascii="Times New Roman" w:hAnsi="Times New Roman"/>
                <w:sz w:val="16"/>
                <w:szCs w:val="16"/>
              </w:rPr>
              <w:t>результатами</w:t>
            </w:r>
            <w:r w:rsidR="005052E0" w:rsidRPr="00E16672">
              <w:rPr>
                <w:rFonts w:ascii="Times New Roman" w:hAnsi="Times New Roman"/>
                <w:sz w:val="16"/>
                <w:szCs w:val="16"/>
                <w:lang w:val="en-US"/>
              </w:rPr>
              <w:t xml:space="preserve"> </w:t>
            </w:r>
            <w:proofErr w:type="spellStart"/>
            <w:r w:rsidR="005052E0" w:rsidRPr="00E16672">
              <w:rPr>
                <w:rFonts w:ascii="Times New Roman" w:hAnsi="Times New Roman"/>
                <w:sz w:val="16"/>
                <w:szCs w:val="16"/>
              </w:rPr>
              <w:t>виконання</w:t>
            </w:r>
            <w:proofErr w:type="spellEnd"/>
            <w:r w:rsidR="005052E0" w:rsidRPr="00E16672">
              <w:rPr>
                <w:rFonts w:ascii="Times New Roman" w:hAnsi="Times New Roman"/>
                <w:sz w:val="16"/>
                <w:szCs w:val="16"/>
                <w:lang w:val="en-US"/>
              </w:rPr>
              <w:t xml:space="preserve"> </w:t>
            </w:r>
            <w:proofErr w:type="spellStart"/>
            <w:r w:rsidR="005052E0" w:rsidRPr="00E16672">
              <w:rPr>
                <w:rFonts w:ascii="Times New Roman" w:hAnsi="Times New Roman"/>
                <w:sz w:val="16"/>
                <w:szCs w:val="16"/>
              </w:rPr>
              <w:t>цього</w:t>
            </w:r>
            <w:proofErr w:type="spellEnd"/>
            <w:r w:rsidR="005052E0" w:rsidRPr="00E16672">
              <w:rPr>
                <w:rFonts w:ascii="Times New Roman" w:hAnsi="Times New Roman"/>
                <w:sz w:val="16"/>
                <w:szCs w:val="16"/>
                <w:lang w:val="en-US"/>
              </w:rPr>
              <w:t xml:space="preserve"> </w:t>
            </w:r>
            <w:r w:rsidR="005052E0" w:rsidRPr="00E16672">
              <w:rPr>
                <w:rFonts w:ascii="Times New Roman" w:hAnsi="Times New Roman"/>
                <w:sz w:val="16"/>
                <w:szCs w:val="16"/>
              </w:rPr>
              <w:t>Договору</w:t>
            </w:r>
            <w:r w:rsidR="005052E0" w:rsidRPr="00E16672">
              <w:rPr>
                <w:rFonts w:ascii="Times New Roman" w:hAnsi="Times New Roman"/>
                <w:sz w:val="16"/>
                <w:szCs w:val="16"/>
                <w:lang w:val="en-US"/>
              </w:rPr>
              <w:t xml:space="preserve"> </w:t>
            </w:r>
            <w:r w:rsidR="005052E0" w:rsidRPr="00E16672">
              <w:rPr>
                <w:rFonts w:ascii="Times New Roman" w:hAnsi="Times New Roman"/>
                <w:sz w:val="16"/>
                <w:szCs w:val="16"/>
              </w:rPr>
              <w:t>та</w:t>
            </w:r>
            <w:r w:rsidR="005052E0" w:rsidRPr="00E16672">
              <w:rPr>
                <w:rFonts w:ascii="Times New Roman" w:hAnsi="Times New Roman"/>
                <w:sz w:val="16"/>
                <w:szCs w:val="16"/>
                <w:lang w:val="en-US"/>
              </w:rPr>
              <w:t xml:space="preserve"> </w:t>
            </w:r>
            <w:proofErr w:type="spellStart"/>
            <w:r w:rsidR="005052E0" w:rsidRPr="00E16672">
              <w:rPr>
                <w:rFonts w:ascii="Times New Roman" w:hAnsi="Times New Roman"/>
                <w:sz w:val="16"/>
                <w:szCs w:val="16"/>
              </w:rPr>
              <w:t>виконання</w:t>
            </w:r>
            <w:proofErr w:type="spellEnd"/>
            <w:r w:rsidR="005052E0" w:rsidRPr="00E16672">
              <w:rPr>
                <w:rFonts w:ascii="Times New Roman" w:hAnsi="Times New Roman"/>
                <w:sz w:val="16"/>
                <w:szCs w:val="16"/>
                <w:lang w:val="en-US"/>
              </w:rPr>
              <w:t xml:space="preserve"> </w:t>
            </w:r>
            <w:proofErr w:type="spellStart"/>
            <w:r w:rsidR="005052E0" w:rsidRPr="00E16672">
              <w:rPr>
                <w:rFonts w:ascii="Times New Roman" w:hAnsi="Times New Roman"/>
                <w:sz w:val="16"/>
                <w:szCs w:val="16"/>
              </w:rPr>
              <w:t>депозитарних</w:t>
            </w:r>
            <w:proofErr w:type="spellEnd"/>
            <w:r w:rsidR="005052E0" w:rsidRPr="00E16672">
              <w:rPr>
                <w:rFonts w:ascii="Times New Roman" w:hAnsi="Times New Roman"/>
                <w:sz w:val="16"/>
                <w:szCs w:val="16"/>
                <w:lang w:val="en-US"/>
              </w:rPr>
              <w:t xml:space="preserve"> </w:t>
            </w:r>
            <w:proofErr w:type="spellStart"/>
            <w:r w:rsidR="005052E0" w:rsidRPr="00E16672">
              <w:rPr>
                <w:rFonts w:ascii="Times New Roman" w:hAnsi="Times New Roman"/>
                <w:sz w:val="16"/>
                <w:szCs w:val="16"/>
              </w:rPr>
              <w:t>операцій</w:t>
            </w:r>
            <w:proofErr w:type="spellEnd"/>
            <w:r w:rsidR="005052E0" w:rsidRPr="00E16672">
              <w:rPr>
                <w:rFonts w:ascii="Times New Roman" w:hAnsi="Times New Roman"/>
                <w:sz w:val="16"/>
                <w:szCs w:val="16"/>
                <w:lang w:val="en-US"/>
              </w:rPr>
              <w:t xml:space="preserve"> </w:t>
            </w:r>
            <w:r w:rsidR="005052E0" w:rsidRPr="00E16672">
              <w:rPr>
                <w:rFonts w:ascii="Times New Roman" w:hAnsi="Times New Roman"/>
                <w:sz w:val="16"/>
                <w:szCs w:val="16"/>
              </w:rPr>
              <w:t>на</w:t>
            </w:r>
            <w:r w:rsidR="005052E0" w:rsidRPr="00E16672">
              <w:rPr>
                <w:rFonts w:ascii="Times New Roman" w:hAnsi="Times New Roman"/>
                <w:sz w:val="16"/>
                <w:szCs w:val="16"/>
                <w:lang w:val="en-US"/>
              </w:rPr>
              <w:t xml:space="preserve"> </w:t>
            </w:r>
            <w:proofErr w:type="spellStart"/>
            <w:r w:rsidR="005052E0" w:rsidRPr="00E16672">
              <w:rPr>
                <w:rFonts w:ascii="Times New Roman" w:hAnsi="Times New Roman"/>
                <w:sz w:val="16"/>
                <w:szCs w:val="16"/>
              </w:rPr>
              <w:t>поштову</w:t>
            </w:r>
            <w:proofErr w:type="spellEnd"/>
            <w:r w:rsidR="005052E0" w:rsidRPr="00E16672">
              <w:rPr>
                <w:rFonts w:ascii="Times New Roman" w:hAnsi="Times New Roman"/>
                <w:sz w:val="16"/>
                <w:szCs w:val="16"/>
                <w:lang w:val="en-US"/>
              </w:rPr>
              <w:t xml:space="preserve">  </w:t>
            </w:r>
            <w:r w:rsidR="005052E0" w:rsidRPr="00E16672">
              <w:rPr>
                <w:rFonts w:ascii="Times New Roman" w:hAnsi="Times New Roman"/>
                <w:sz w:val="16"/>
                <w:szCs w:val="16"/>
              </w:rPr>
              <w:t>та</w:t>
            </w:r>
            <w:r w:rsidR="005052E0" w:rsidRPr="00E16672">
              <w:rPr>
                <w:rFonts w:ascii="Times New Roman" w:hAnsi="Times New Roman"/>
                <w:sz w:val="16"/>
                <w:szCs w:val="16"/>
                <w:lang w:val="en-US"/>
              </w:rPr>
              <w:t xml:space="preserve"> /</w:t>
            </w:r>
            <w:proofErr w:type="spellStart"/>
            <w:r w:rsidR="005052E0" w:rsidRPr="00E16672">
              <w:rPr>
                <w:rFonts w:ascii="Times New Roman" w:hAnsi="Times New Roman"/>
                <w:sz w:val="16"/>
                <w:szCs w:val="16"/>
              </w:rPr>
              <w:t>або</w:t>
            </w:r>
            <w:proofErr w:type="spellEnd"/>
            <w:r w:rsidR="005052E0" w:rsidRPr="00E16672">
              <w:rPr>
                <w:rFonts w:ascii="Times New Roman" w:hAnsi="Times New Roman"/>
                <w:sz w:val="16"/>
                <w:szCs w:val="16"/>
                <w:lang w:val="en-US"/>
              </w:rPr>
              <w:t xml:space="preserve"> </w:t>
            </w:r>
            <w:proofErr w:type="spellStart"/>
            <w:r w:rsidR="005052E0" w:rsidRPr="00E16672">
              <w:rPr>
                <w:rFonts w:ascii="Times New Roman" w:hAnsi="Times New Roman"/>
                <w:sz w:val="16"/>
                <w:szCs w:val="16"/>
              </w:rPr>
              <w:t>електронну</w:t>
            </w:r>
            <w:proofErr w:type="spellEnd"/>
            <w:r w:rsidR="005052E0" w:rsidRPr="00E16672">
              <w:rPr>
                <w:rFonts w:ascii="Times New Roman" w:hAnsi="Times New Roman"/>
                <w:sz w:val="16"/>
                <w:szCs w:val="16"/>
                <w:lang w:val="en-US"/>
              </w:rPr>
              <w:t xml:space="preserve"> </w:t>
            </w:r>
            <w:r w:rsidR="005052E0" w:rsidRPr="00E16672">
              <w:rPr>
                <w:rFonts w:ascii="Times New Roman" w:hAnsi="Times New Roman"/>
                <w:sz w:val="16"/>
                <w:szCs w:val="16"/>
              </w:rPr>
              <w:t>адресу</w:t>
            </w:r>
            <w:r w:rsidR="005052E0" w:rsidRPr="00E16672">
              <w:rPr>
                <w:rFonts w:ascii="Times New Roman" w:hAnsi="Times New Roman"/>
                <w:sz w:val="16"/>
                <w:szCs w:val="16"/>
                <w:lang w:val="en-US"/>
              </w:rPr>
              <w:t xml:space="preserve"> </w:t>
            </w:r>
            <w:proofErr w:type="spellStart"/>
            <w:r w:rsidR="005052E0" w:rsidRPr="00E16672">
              <w:rPr>
                <w:rFonts w:ascii="Times New Roman" w:hAnsi="Times New Roman"/>
                <w:sz w:val="16"/>
                <w:szCs w:val="16"/>
              </w:rPr>
              <w:t>Номінального</w:t>
            </w:r>
            <w:proofErr w:type="spellEnd"/>
            <w:r w:rsidR="005052E0" w:rsidRPr="00E16672">
              <w:rPr>
                <w:rFonts w:ascii="Times New Roman" w:hAnsi="Times New Roman"/>
                <w:sz w:val="16"/>
                <w:szCs w:val="16"/>
                <w:lang w:val="en-US"/>
              </w:rPr>
              <w:t xml:space="preserve"> </w:t>
            </w:r>
            <w:proofErr w:type="spellStart"/>
            <w:r w:rsidR="005052E0" w:rsidRPr="00E16672">
              <w:rPr>
                <w:rFonts w:ascii="Times New Roman" w:hAnsi="Times New Roman"/>
                <w:sz w:val="16"/>
                <w:szCs w:val="16"/>
              </w:rPr>
              <w:t>утримувача</w:t>
            </w:r>
            <w:proofErr w:type="spellEnd"/>
            <w:r w:rsidR="005052E0" w:rsidRPr="00E16672">
              <w:rPr>
                <w:rFonts w:ascii="Times New Roman" w:hAnsi="Times New Roman"/>
                <w:sz w:val="16"/>
                <w:szCs w:val="16"/>
                <w:lang w:val="en-US"/>
              </w:rPr>
              <w:t xml:space="preserve">, </w:t>
            </w:r>
            <w:proofErr w:type="spellStart"/>
            <w:r w:rsidR="005052E0" w:rsidRPr="00E16672">
              <w:rPr>
                <w:rFonts w:ascii="Times New Roman" w:hAnsi="Times New Roman"/>
                <w:sz w:val="16"/>
                <w:szCs w:val="16"/>
              </w:rPr>
              <w:t>зазначену</w:t>
            </w:r>
            <w:proofErr w:type="spellEnd"/>
            <w:r w:rsidR="005052E0" w:rsidRPr="00E16672">
              <w:rPr>
                <w:rFonts w:ascii="Times New Roman" w:hAnsi="Times New Roman"/>
                <w:sz w:val="16"/>
                <w:szCs w:val="16"/>
                <w:lang w:val="en-US"/>
              </w:rPr>
              <w:t xml:space="preserve"> </w:t>
            </w:r>
            <w:r w:rsidR="005052E0" w:rsidRPr="00E16672">
              <w:rPr>
                <w:rFonts w:ascii="Times New Roman" w:hAnsi="Times New Roman"/>
                <w:sz w:val="16"/>
                <w:szCs w:val="16"/>
              </w:rPr>
              <w:t>в</w:t>
            </w:r>
            <w:r w:rsidR="005052E0" w:rsidRPr="00E16672">
              <w:rPr>
                <w:rFonts w:ascii="Times New Roman" w:hAnsi="Times New Roman"/>
                <w:sz w:val="16"/>
                <w:szCs w:val="16"/>
                <w:lang w:val="en-US"/>
              </w:rPr>
              <w:t xml:space="preserve"> </w:t>
            </w:r>
            <w:proofErr w:type="spellStart"/>
            <w:r w:rsidR="005052E0" w:rsidRPr="00E16672">
              <w:rPr>
                <w:rFonts w:ascii="Times New Roman" w:hAnsi="Times New Roman"/>
                <w:sz w:val="16"/>
                <w:szCs w:val="16"/>
              </w:rPr>
              <w:t>анкеті</w:t>
            </w:r>
            <w:proofErr w:type="spellEnd"/>
            <w:r w:rsidR="005052E0" w:rsidRPr="00E16672">
              <w:rPr>
                <w:rFonts w:ascii="Times New Roman" w:hAnsi="Times New Roman"/>
                <w:sz w:val="16"/>
                <w:szCs w:val="16"/>
                <w:lang w:val="en-US"/>
              </w:rPr>
              <w:t xml:space="preserve"> </w:t>
            </w:r>
            <w:proofErr w:type="spellStart"/>
            <w:r w:rsidR="005052E0" w:rsidRPr="00E16672">
              <w:rPr>
                <w:rFonts w:ascii="Times New Roman" w:hAnsi="Times New Roman"/>
                <w:sz w:val="16"/>
                <w:szCs w:val="16"/>
              </w:rPr>
              <w:t>або</w:t>
            </w:r>
            <w:proofErr w:type="spellEnd"/>
            <w:r w:rsidR="005052E0" w:rsidRPr="00E16672">
              <w:rPr>
                <w:rFonts w:ascii="Times New Roman" w:hAnsi="Times New Roman"/>
                <w:sz w:val="16"/>
                <w:szCs w:val="16"/>
                <w:lang w:val="en-US"/>
              </w:rPr>
              <w:t xml:space="preserve"> </w:t>
            </w:r>
            <w:proofErr w:type="spellStart"/>
            <w:r w:rsidR="005052E0" w:rsidRPr="00E16672">
              <w:rPr>
                <w:rFonts w:ascii="Times New Roman" w:hAnsi="Times New Roman"/>
                <w:sz w:val="16"/>
                <w:szCs w:val="16"/>
              </w:rPr>
              <w:t>офіційних</w:t>
            </w:r>
            <w:proofErr w:type="spellEnd"/>
            <w:r w:rsidR="005052E0" w:rsidRPr="00E16672">
              <w:rPr>
                <w:rFonts w:ascii="Times New Roman" w:hAnsi="Times New Roman"/>
                <w:sz w:val="16"/>
                <w:szCs w:val="16"/>
                <w:lang w:val="en-US"/>
              </w:rPr>
              <w:t xml:space="preserve"> </w:t>
            </w:r>
            <w:proofErr w:type="spellStart"/>
            <w:r w:rsidR="005052E0" w:rsidRPr="00E16672">
              <w:rPr>
                <w:rFonts w:ascii="Times New Roman" w:hAnsi="Times New Roman"/>
                <w:sz w:val="16"/>
                <w:szCs w:val="16"/>
              </w:rPr>
              <w:t>повідомленнях</w:t>
            </w:r>
            <w:proofErr w:type="spellEnd"/>
            <w:r w:rsidR="005052E0" w:rsidRPr="00E16672">
              <w:rPr>
                <w:rFonts w:ascii="Times New Roman" w:hAnsi="Times New Roman"/>
                <w:sz w:val="16"/>
                <w:szCs w:val="16"/>
                <w:lang w:val="en-US"/>
              </w:rPr>
              <w:t xml:space="preserve"> </w:t>
            </w:r>
            <w:proofErr w:type="spellStart"/>
            <w:r w:rsidR="005052E0" w:rsidRPr="00E16672">
              <w:rPr>
                <w:rFonts w:ascii="Times New Roman" w:hAnsi="Times New Roman"/>
                <w:sz w:val="16"/>
                <w:szCs w:val="16"/>
              </w:rPr>
              <w:t>номінального</w:t>
            </w:r>
            <w:proofErr w:type="spellEnd"/>
            <w:r w:rsidR="005052E0" w:rsidRPr="00E16672">
              <w:rPr>
                <w:rFonts w:ascii="Times New Roman" w:hAnsi="Times New Roman"/>
                <w:sz w:val="16"/>
                <w:szCs w:val="16"/>
                <w:lang w:val="en-US"/>
              </w:rPr>
              <w:t xml:space="preserve"> </w:t>
            </w:r>
            <w:proofErr w:type="spellStart"/>
            <w:r w:rsidR="005052E0" w:rsidRPr="00E16672">
              <w:rPr>
                <w:rFonts w:ascii="Times New Roman" w:hAnsi="Times New Roman"/>
                <w:sz w:val="16"/>
                <w:szCs w:val="16"/>
              </w:rPr>
              <w:t>утримувача</w:t>
            </w:r>
            <w:proofErr w:type="spellEnd"/>
            <w:r w:rsidR="005052E0" w:rsidRPr="00E16672">
              <w:rPr>
                <w:rFonts w:ascii="Times New Roman" w:hAnsi="Times New Roman"/>
                <w:sz w:val="16"/>
                <w:szCs w:val="16"/>
                <w:lang w:val="en-US"/>
              </w:rPr>
              <w:t xml:space="preserve">, </w:t>
            </w:r>
            <w:proofErr w:type="spellStart"/>
            <w:r w:rsidR="005052E0" w:rsidRPr="00E16672">
              <w:rPr>
                <w:rFonts w:ascii="Times New Roman" w:hAnsi="Times New Roman"/>
                <w:sz w:val="16"/>
                <w:szCs w:val="16"/>
              </w:rPr>
              <w:t>якщо</w:t>
            </w:r>
            <w:proofErr w:type="spellEnd"/>
            <w:r w:rsidR="005052E0" w:rsidRPr="00E16672">
              <w:rPr>
                <w:rFonts w:ascii="Times New Roman" w:hAnsi="Times New Roman"/>
                <w:sz w:val="16"/>
                <w:szCs w:val="16"/>
                <w:lang w:val="en-US"/>
              </w:rPr>
              <w:t xml:space="preserve"> </w:t>
            </w:r>
            <w:proofErr w:type="spellStart"/>
            <w:r w:rsidR="005052E0" w:rsidRPr="00E16672">
              <w:rPr>
                <w:rFonts w:ascii="Times New Roman" w:hAnsi="Times New Roman"/>
                <w:sz w:val="16"/>
                <w:szCs w:val="16"/>
              </w:rPr>
              <w:t>інші</w:t>
            </w:r>
            <w:proofErr w:type="spellEnd"/>
            <w:r w:rsidR="005052E0" w:rsidRPr="00E16672">
              <w:rPr>
                <w:rFonts w:ascii="Times New Roman" w:hAnsi="Times New Roman"/>
                <w:sz w:val="16"/>
                <w:szCs w:val="16"/>
                <w:lang w:val="en-US"/>
              </w:rPr>
              <w:t xml:space="preserve"> </w:t>
            </w:r>
            <w:proofErr w:type="spellStart"/>
            <w:r w:rsidR="005052E0" w:rsidRPr="00E16672">
              <w:rPr>
                <w:rFonts w:ascii="Times New Roman" w:hAnsi="Times New Roman"/>
                <w:sz w:val="16"/>
                <w:szCs w:val="16"/>
              </w:rPr>
              <w:t>вимоги</w:t>
            </w:r>
            <w:proofErr w:type="spellEnd"/>
            <w:r w:rsidR="005052E0" w:rsidRPr="00E16672">
              <w:rPr>
                <w:rFonts w:ascii="Times New Roman" w:hAnsi="Times New Roman"/>
                <w:sz w:val="16"/>
                <w:szCs w:val="16"/>
                <w:lang w:val="en-US"/>
              </w:rPr>
              <w:t xml:space="preserve"> </w:t>
            </w:r>
            <w:r w:rsidR="005052E0" w:rsidRPr="00E16672">
              <w:rPr>
                <w:rFonts w:ascii="Times New Roman" w:hAnsi="Times New Roman"/>
                <w:sz w:val="16"/>
                <w:szCs w:val="16"/>
              </w:rPr>
              <w:t>не</w:t>
            </w:r>
            <w:r w:rsidR="005052E0" w:rsidRPr="00E16672">
              <w:rPr>
                <w:rFonts w:ascii="Times New Roman" w:hAnsi="Times New Roman"/>
                <w:sz w:val="16"/>
                <w:szCs w:val="16"/>
                <w:lang w:val="en-US"/>
              </w:rPr>
              <w:t xml:space="preserve"> </w:t>
            </w:r>
            <w:proofErr w:type="spellStart"/>
            <w:r w:rsidR="005052E0" w:rsidRPr="00E16672">
              <w:rPr>
                <w:rFonts w:ascii="Times New Roman" w:hAnsi="Times New Roman"/>
                <w:sz w:val="16"/>
                <w:szCs w:val="16"/>
              </w:rPr>
              <w:t>вказані</w:t>
            </w:r>
            <w:proofErr w:type="spellEnd"/>
            <w:r w:rsidR="005052E0" w:rsidRPr="00E16672">
              <w:rPr>
                <w:rFonts w:ascii="Times New Roman" w:hAnsi="Times New Roman"/>
                <w:sz w:val="16"/>
                <w:szCs w:val="16"/>
                <w:lang w:val="en-US"/>
              </w:rPr>
              <w:t xml:space="preserve"> </w:t>
            </w:r>
            <w:r w:rsidR="005052E0" w:rsidRPr="00E16672">
              <w:rPr>
                <w:rFonts w:ascii="Times New Roman" w:hAnsi="Times New Roman"/>
                <w:sz w:val="16"/>
                <w:szCs w:val="16"/>
              </w:rPr>
              <w:t>в</w:t>
            </w:r>
            <w:r w:rsidR="005052E0" w:rsidRPr="00E16672">
              <w:rPr>
                <w:rFonts w:ascii="Times New Roman" w:hAnsi="Times New Roman"/>
                <w:sz w:val="16"/>
                <w:szCs w:val="16"/>
                <w:lang w:val="en-US"/>
              </w:rPr>
              <w:t xml:space="preserve"> </w:t>
            </w:r>
            <w:proofErr w:type="spellStart"/>
            <w:r w:rsidR="005052E0" w:rsidRPr="00E16672">
              <w:rPr>
                <w:rFonts w:ascii="Times New Roman" w:hAnsi="Times New Roman"/>
                <w:sz w:val="16"/>
                <w:szCs w:val="16"/>
              </w:rPr>
              <w:t>розпорядженні</w:t>
            </w:r>
            <w:proofErr w:type="spellEnd"/>
            <w:r w:rsidR="005052E0" w:rsidRPr="00E16672">
              <w:rPr>
                <w:rFonts w:ascii="Times New Roman" w:hAnsi="Times New Roman"/>
                <w:sz w:val="16"/>
                <w:szCs w:val="16"/>
                <w:lang w:val="en-US"/>
              </w:rPr>
              <w:t xml:space="preserve"> (</w:t>
            </w:r>
            <w:proofErr w:type="spellStart"/>
            <w:r w:rsidR="005052E0" w:rsidRPr="00E16672">
              <w:rPr>
                <w:rFonts w:ascii="Times New Roman" w:hAnsi="Times New Roman"/>
                <w:sz w:val="16"/>
                <w:szCs w:val="16"/>
              </w:rPr>
              <w:t>запиті</w:t>
            </w:r>
            <w:proofErr w:type="spellEnd"/>
            <w:r w:rsidR="005052E0" w:rsidRPr="00E16672">
              <w:rPr>
                <w:rFonts w:ascii="Times New Roman" w:hAnsi="Times New Roman"/>
                <w:sz w:val="16"/>
                <w:szCs w:val="16"/>
                <w:lang w:val="en-US"/>
              </w:rPr>
              <w:t xml:space="preserve">) </w:t>
            </w:r>
            <w:proofErr w:type="spellStart"/>
            <w:r w:rsidR="005052E0" w:rsidRPr="00E16672">
              <w:rPr>
                <w:rFonts w:ascii="Times New Roman" w:hAnsi="Times New Roman"/>
                <w:sz w:val="16"/>
                <w:szCs w:val="16"/>
              </w:rPr>
              <w:t>номінального</w:t>
            </w:r>
            <w:proofErr w:type="spellEnd"/>
            <w:r w:rsidR="005052E0" w:rsidRPr="00E16672">
              <w:rPr>
                <w:rFonts w:ascii="Times New Roman" w:hAnsi="Times New Roman"/>
                <w:sz w:val="16"/>
                <w:szCs w:val="16"/>
                <w:lang w:val="en-US"/>
              </w:rPr>
              <w:t xml:space="preserve"> </w:t>
            </w:r>
            <w:proofErr w:type="spellStart"/>
            <w:r w:rsidR="005052E0" w:rsidRPr="00E16672">
              <w:rPr>
                <w:rFonts w:ascii="Times New Roman" w:hAnsi="Times New Roman"/>
                <w:sz w:val="16"/>
                <w:szCs w:val="16"/>
              </w:rPr>
              <w:t>утримувача</w:t>
            </w:r>
            <w:proofErr w:type="spellEnd"/>
            <w:r w:rsidRPr="00E16672">
              <w:rPr>
                <w:rFonts w:ascii="Times New Roman" w:hAnsi="Times New Roman"/>
                <w:color w:val="000000"/>
                <w:sz w:val="16"/>
                <w:szCs w:val="16"/>
                <w:lang w:val="uk-UA"/>
              </w:rPr>
              <w:t xml:space="preserve">. </w:t>
            </w:r>
          </w:p>
          <w:p w14:paraId="7E6653AF" w14:textId="77777777" w:rsidR="00EB25FE" w:rsidRPr="00E16672" w:rsidRDefault="00EB25FE" w:rsidP="00794B3F">
            <w:pPr>
              <w:pStyle w:val="ab"/>
              <w:ind w:left="175" w:right="138" w:firstLine="7"/>
              <w:jc w:val="both"/>
              <w:rPr>
                <w:rFonts w:ascii="Times New Roman" w:hAnsi="Times New Roman"/>
                <w:color w:val="000000"/>
                <w:sz w:val="16"/>
                <w:szCs w:val="16"/>
              </w:rPr>
            </w:pPr>
          </w:p>
        </w:tc>
        <w:tc>
          <w:tcPr>
            <w:tcW w:w="5495" w:type="dxa"/>
            <w:gridSpan w:val="8"/>
            <w:shd w:val="clear" w:color="auto" w:fill="auto"/>
          </w:tcPr>
          <w:p w14:paraId="36A55A7C" w14:textId="77777777" w:rsidR="00EB25FE" w:rsidRPr="00E16672" w:rsidRDefault="00EB25FE" w:rsidP="00266465">
            <w:pPr>
              <w:ind w:left="175" w:right="138" w:firstLine="7"/>
              <w:rPr>
                <w:rFonts w:ascii="Times New Roman" w:hAnsi="Times New Roman"/>
                <w:sz w:val="16"/>
                <w:szCs w:val="16"/>
                <w:lang w:val="en-US"/>
              </w:rPr>
            </w:pPr>
            <w:r w:rsidRPr="00E16672">
              <w:rPr>
                <w:rFonts w:ascii="Times New Roman" w:hAnsi="Times New Roman"/>
                <w:sz w:val="16"/>
                <w:szCs w:val="16"/>
                <w:lang w:val="en-US"/>
              </w:rPr>
              <w:t xml:space="preserve">3.8. </w:t>
            </w:r>
            <w:r w:rsidR="00266465" w:rsidRPr="00E16672">
              <w:rPr>
                <w:rFonts w:ascii="Times New Roman" w:hAnsi="Times New Roman"/>
                <w:sz w:val="16"/>
                <w:szCs w:val="16"/>
                <w:lang w:val="en-US"/>
              </w:rPr>
              <w:t>The depositary institution sends postal messages, information and other documents on the results of execution of this Agreement and execution of depositary operations on the postal and / or electronic address of the Nominee holder, indicated in the questionnaire or official messages of the nominee holder, if other requirements are not specified at the disposal (request) of the nominee holder</w:t>
            </w:r>
            <w:r w:rsidR="00266465" w:rsidRPr="00E16672">
              <w:rPr>
                <w:rFonts w:ascii="Times New Roman" w:hAnsi="Times New Roman"/>
                <w:sz w:val="16"/>
                <w:szCs w:val="16"/>
                <w:lang w:val="uk-UA"/>
              </w:rPr>
              <w:t>.</w:t>
            </w:r>
          </w:p>
        </w:tc>
      </w:tr>
      <w:tr w:rsidR="00EB25FE" w:rsidRPr="00A26EFC" w14:paraId="659157C3" w14:textId="77777777" w:rsidTr="005E418B">
        <w:tblPrEx>
          <w:tblCellMar>
            <w:left w:w="0" w:type="dxa"/>
            <w:right w:w="0" w:type="dxa"/>
          </w:tblCellMar>
        </w:tblPrEx>
        <w:trPr>
          <w:trHeight w:val="192"/>
        </w:trPr>
        <w:tc>
          <w:tcPr>
            <w:tcW w:w="5695" w:type="dxa"/>
            <w:gridSpan w:val="7"/>
            <w:shd w:val="clear" w:color="auto" w:fill="auto"/>
          </w:tcPr>
          <w:p w14:paraId="3E81952D" w14:textId="77777777" w:rsidR="00EB25FE" w:rsidRPr="00E16672" w:rsidRDefault="00EB25FE" w:rsidP="00794B3F">
            <w:pPr>
              <w:tabs>
                <w:tab w:val="left" w:pos="182"/>
              </w:tabs>
              <w:snapToGrid w:val="0"/>
              <w:ind w:left="175" w:right="138" w:firstLine="7"/>
              <w:jc w:val="center"/>
              <w:rPr>
                <w:rFonts w:ascii="Times New Roman" w:hAnsi="Times New Roman"/>
                <w:b/>
                <w:caps/>
                <w:kern w:val="1"/>
                <w:sz w:val="16"/>
                <w:szCs w:val="16"/>
              </w:rPr>
            </w:pPr>
            <w:r w:rsidRPr="00E16672">
              <w:rPr>
                <w:rFonts w:ascii="Times New Roman" w:hAnsi="Times New Roman"/>
                <w:b/>
                <w:caps/>
                <w:sz w:val="16"/>
                <w:szCs w:val="16"/>
              </w:rPr>
              <w:t xml:space="preserve">4. </w:t>
            </w:r>
            <w:r w:rsidRPr="00E16672">
              <w:rPr>
                <w:rFonts w:ascii="Times New Roman" w:hAnsi="Times New Roman"/>
                <w:b/>
                <w:caps/>
                <w:kern w:val="1"/>
                <w:sz w:val="16"/>
                <w:szCs w:val="16"/>
              </w:rPr>
              <w:t xml:space="preserve">Тарифи на послуги та порядок розрахунків </w:t>
            </w:r>
          </w:p>
          <w:p w14:paraId="0C44B05A" w14:textId="77777777" w:rsidR="00EB25FE" w:rsidRPr="00E16672" w:rsidRDefault="00EB25FE" w:rsidP="00794B3F">
            <w:pPr>
              <w:tabs>
                <w:tab w:val="left" w:pos="182"/>
              </w:tabs>
              <w:snapToGrid w:val="0"/>
              <w:ind w:left="175" w:right="138" w:firstLine="7"/>
              <w:jc w:val="center"/>
              <w:rPr>
                <w:rFonts w:ascii="Times New Roman" w:hAnsi="Times New Roman"/>
                <w:b/>
                <w:caps/>
                <w:kern w:val="1"/>
                <w:sz w:val="16"/>
                <w:szCs w:val="16"/>
              </w:rPr>
            </w:pPr>
            <w:r w:rsidRPr="00E16672">
              <w:rPr>
                <w:rFonts w:ascii="Times New Roman" w:hAnsi="Times New Roman"/>
                <w:b/>
                <w:caps/>
                <w:kern w:val="1"/>
                <w:sz w:val="16"/>
                <w:szCs w:val="16"/>
              </w:rPr>
              <w:t>за надані послуги</w:t>
            </w:r>
          </w:p>
          <w:p w14:paraId="422E12D6" w14:textId="77777777" w:rsidR="00EB25FE" w:rsidRPr="00E16672" w:rsidRDefault="00EB25FE" w:rsidP="00794B3F">
            <w:pPr>
              <w:tabs>
                <w:tab w:val="left" w:pos="182"/>
              </w:tabs>
              <w:ind w:left="175" w:right="138" w:firstLine="7"/>
              <w:jc w:val="center"/>
              <w:rPr>
                <w:rFonts w:ascii="Times New Roman" w:hAnsi="Times New Roman"/>
                <w:sz w:val="16"/>
                <w:szCs w:val="16"/>
              </w:rPr>
            </w:pPr>
          </w:p>
          <w:p w14:paraId="7C9560AC" w14:textId="77777777" w:rsidR="00EB25FE" w:rsidRPr="00E16672" w:rsidRDefault="00EB25FE" w:rsidP="00794B3F">
            <w:pPr>
              <w:tabs>
                <w:tab w:val="left" w:pos="182"/>
              </w:tabs>
              <w:ind w:left="175" w:right="138" w:firstLine="7"/>
              <w:rPr>
                <w:rFonts w:ascii="Times New Roman" w:hAnsi="Times New Roman"/>
                <w:color w:val="0000FF"/>
                <w:sz w:val="16"/>
                <w:szCs w:val="16"/>
                <w:lang w:val="uk-UA"/>
              </w:rPr>
            </w:pPr>
            <w:r w:rsidRPr="00E16672">
              <w:rPr>
                <w:rFonts w:ascii="Times New Roman" w:hAnsi="Times New Roman"/>
                <w:sz w:val="16"/>
                <w:szCs w:val="16"/>
              </w:rPr>
              <w:t xml:space="preserve">4.1. </w:t>
            </w:r>
            <w:r w:rsidRPr="00E16672">
              <w:rPr>
                <w:rFonts w:ascii="Times New Roman" w:hAnsi="Times New Roman"/>
                <w:sz w:val="16"/>
                <w:szCs w:val="16"/>
                <w:lang w:val="uk-UA"/>
              </w:rPr>
              <w:t xml:space="preserve">Тарифи на </w:t>
            </w:r>
            <w:proofErr w:type="spellStart"/>
            <w:r w:rsidRPr="00E16672">
              <w:rPr>
                <w:rFonts w:ascii="Times New Roman" w:hAnsi="Times New Roman"/>
                <w:bCs/>
                <w:sz w:val="16"/>
                <w:szCs w:val="16"/>
              </w:rPr>
              <w:t>операції</w:t>
            </w:r>
            <w:proofErr w:type="spellEnd"/>
            <w:r w:rsidRPr="00E16672">
              <w:rPr>
                <w:rFonts w:ascii="Times New Roman" w:hAnsi="Times New Roman"/>
                <w:bCs/>
                <w:sz w:val="16"/>
                <w:szCs w:val="16"/>
              </w:rPr>
              <w:t xml:space="preserve"> з </w:t>
            </w:r>
            <w:proofErr w:type="spellStart"/>
            <w:r w:rsidRPr="00E16672">
              <w:rPr>
                <w:rFonts w:ascii="Times New Roman" w:hAnsi="Times New Roman"/>
                <w:bCs/>
                <w:sz w:val="16"/>
                <w:szCs w:val="16"/>
              </w:rPr>
              <w:t>цінними</w:t>
            </w:r>
            <w:proofErr w:type="spellEnd"/>
            <w:r w:rsidRPr="00E16672">
              <w:rPr>
                <w:rFonts w:ascii="Times New Roman" w:hAnsi="Times New Roman"/>
                <w:bCs/>
                <w:sz w:val="16"/>
                <w:szCs w:val="16"/>
              </w:rPr>
              <w:t xml:space="preserve"> </w:t>
            </w:r>
            <w:proofErr w:type="spellStart"/>
            <w:r w:rsidRPr="00E16672">
              <w:rPr>
                <w:rFonts w:ascii="Times New Roman" w:hAnsi="Times New Roman"/>
                <w:bCs/>
                <w:sz w:val="16"/>
                <w:szCs w:val="16"/>
              </w:rPr>
              <w:t>паперами</w:t>
            </w:r>
            <w:proofErr w:type="spellEnd"/>
            <w:r w:rsidRPr="00E16672">
              <w:rPr>
                <w:rFonts w:ascii="Times New Roman" w:hAnsi="Times New Roman"/>
                <w:sz w:val="16"/>
                <w:szCs w:val="16"/>
                <w:lang w:val="uk-UA"/>
              </w:rPr>
              <w:t xml:space="preserve"> Депозитарної установи встановлюються Депозитарною установою самостійно. Підписавши цей Договір, </w:t>
            </w:r>
            <w:r w:rsidR="00D1293A" w:rsidRPr="00E16672">
              <w:rPr>
                <w:rFonts w:ascii="Times New Roman" w:hAnsi="Times New Roman"/>
                <w:sz w:val="16"/>
                <w:szCs w:val="16"/>
                <w:lang w:val="uk-UA"/>
              </w:rPr>
              <w:t>Номінальний утримувач</w:t>
            </w:r>
            <w:r w:rsidRPr="00E16672">
              <w:rPr>
                <w:rFonts w:ascii="Times New Roman" w:hAnsi="Times New Roman"/>
                <w:sz w:val="16"/>
                <w:szCs w:val="16"/>
                <w:lang w:val="uk-UA"/>
              </w:rPr>
              <w:t xml:space="preserve"> погоджується з тарифами</w:t>
            </w:r>
            <w:r w:rsidRPr="00E16672">
              <w:rPr>
                <w:rFonts w:ascii="Times New Roman" w:hAnsi="Times New Roman"/>
                <w:sz w:val="16"/>
                <w:szCs w:val="16"/>
              </w:rPr>
              <w:t xml:space="preserve"> </w:t>
            </w:r>
            <w:r w:rsidRPr="00E16672">
              <w:rPr>
                <w:rFonts w:ascii="Times New Roman" w:hAnsi="Times New Roman"/>
                <w:sz w:val="16"/>
                <w:szCs w:val="16"/>
                <w:lang w:val="uk-UA"/>
              </w:rPr>
              <w:t xml:space="preserve">Депозитарної установи, встановленими Депозитарною установою на дату укладення Договору, які оприлюднені на </w:t>
            </w:r>
            <w:r w:rsidRPr="00E16672">
              <w:rPr>
                <w:rFonts w:ascii="Times New Roman" w:hAnsi="Times New Roman"/>
                <w:bCs/>
                <w:sz w:val="16"/>
                <w:szCs w:val="16"/>
                <w:lang w:val="uk-UA"/>
              </w:rPr>
              <w:t xml:space="preserve">веб-сторінці Депозитарної установи </w:t>
            </w:r>
            <w:r w:rsidR="00E16672">
              <w:rPr>
                <w:rFonts w:ascii="Times New Roman" w:hAnsi="Times New Roman"/>
                <w:color w:val="000000"/>
                <w:sz w:val="16"/>
                <w:szCs w:val="16"/>
              </w:rPr>
              <w:t>http://comex.uafin.net</w:t>
            </w:r>
            <w:r w:rsidRPr="00E16672">
              <w:rPr>
                <w:rFonts w:ascii="Times New Roman" w:hAnsi="Times New Roman"/>
                <w:color w:val="0000FF"/>
                <w:sz w:val="16"/>
                <w:szCs w:val="16"/>
                <w:lang w:val="uk-UA"/>
              </w:rPr>
              <w:t>.</w:t>
            </w:r>
          </w:p>
          <w:p w14:paraId="09AAAAE3" w14:textId="77777777" w:rsidR="00EB25FE" w:rsidRPr="00E16672" w:rsidRDefault="00EB25FE" w:rsidP="00794B3F">
            <w:pPr>
              <w:tabs>
                <w:tab w:val="left" w:pos="182"/>
              </w:tabs>
              <w:ind w:left="175" w:right="138" w:firstLine="7"/>
              <w:rPr>
                <w:rFonts w:ascii="Times New Roman" w:hAnsi="Times New Roman"/>
                <w:sz w:val="16"/>
                <w:szCs w:val="16"/>
                <w:lang w:val="uk-UA"/>
              </w:rPr>
            </w:pPr>
            <w:r w:rsidRPr="00E16672">
              <w:rPr>
                <w:rFonts w:ascii="Times New Roman" w:hAnsi="Times New Roman"/>
                <w:sz w:val="16"/>
                <w:szCs w:val="16"/>
                <w:lang w:val="uk-UA"/>
              </w:rPr>
              <w:t xml:space="preserve">Депозитарна установа  повідомляє про зміни до тарифів на послуги  шляхом розміщення змінених тарифів Депозитарної установи на </w:t>
            </w:r>
            <w:r w:rsidRPr="00E16672">
              <w:rPr>
                <w:rFonts w:ascii="Times New Roman" w:hAnsi="Times New Roman"/>
                <w:bCs/>
                <w:sz w:val="16"/>
                <w:szCs w:val="16"/>
                <w:lang w:val="uk-UA"/>
              </w:rPr>
              <w:t xml:space="preserve">веб-сторінці Депозитарної установи </w:t>
            </w:r>
            <w:proofErr w:type="spellStart"/>
            <w:r w:rsidR="00E16672">
              <w:rPr>
                <w:rFonts w:ascii="Times New Roman" w:hAnsi="Times New Roman"/>
                <w:color w:val="000000"/>
                <w:sz w:val="16"/>
                <w:szCs w:val="16"/>
              </w:rPr>
              <w:t>http</w:t>
            </w:r>
            <w:proofErr w:type="spellEnd"/>
            <w:r w:rsidR="00E16672" w:rsidRPr="00E16672">
              <w:rPr>
                <w:rFonts w:ascii="Times New Roman" w:hAnsi="Times New Roman"/>
                <w:color w:val="000000"/>
                <w:sz w:val="16"/>
                <w:szCs w:val="16"/>
                <w:lang w:val="uk-UA"/>
              </w:rPr>
              <w:t>://</w:t>
            </w:r>
            <w:proofErr w:type="spellStart"/>
            <w:r w:rsidR="00E16672">
              <w:rPr>
                <w:rFonts w:ascii="Times New Roman" w:hAnsi="Times New Roman"/>
                <w:color w:val="000000"/>
                <w:sz w:val="16"/>
                <w:szCs w:val="16"/>
              </w:rPr>
              <w:t>comex</w:t>
            </w:r>
            <w:proofErr w:type="spellEnd"/>
            <w:r w:rsidR="00E16672" w:rsidRPr="00E16672">
              <w:rPr>
                <w:rFonts w:ascii="Times New Roman" w:hAnsi="Times New Roman"/>
                <w:color w:val="000000"/>
                <w:sz w:val="16"/>
                <w:szCs w:val="16"/>
                <w:lang w:val="uk-UA"/>
              </w:rPr>
              <w:t>.</w:t>
            </w:r>
            <w:proofErr w:type="spellStart"/>
            <w:r w:rsidR="00E16672">
              <w:rPr>
                <w:rFonts w:ascii="Times New Roman" w:hAnsi="Times New Roman"/>
                <w:color w:val="000000"/>
                <w:sz w:val="16"/>
                <w:szCs w:val="16"/>
              </w:rPr>
              <w:t>uafin</w:t>
            </w:r>
            <w:proofErr w:type="spellEnd"/>
            <w:r w:rsidR="00E16672" w:rsidRPr="00E16672">
              <w:rPr>
                <w:rFonts w:ascii="Times New Roman" w:hAnsi="Times New Roman"/>
                <w:color w:val="000000"/>
                <w:sz w:val="16"/>
                <w:szCs w:val="16"/>
                <w:lang w:val="uk-UA"/>
              </w:rPr>
              <w:t>.</w:t>
            </w:r>
            <w:proofErr w:type="spellStart"/>
            <w:r w:rsidR="00E16672">
              <w:rPr>
                <w:rFonts w:ascii="Times New Roman" w:hAnsi="Times New Roman"/>
                <w:color w:val="000000"/>
                <w:sz w:val="16"/>
                <w:szCs w:val="16"/>
              </w:rPr>
              <w:t>net</w:t>
            </w:r>
            <w:proofErr w:type="spellEnd"/>
            <w:r w:rsidRPr="00E16672">
              <w:rPr>
                <w:rFonts w:ascii="Times New Roman" w:hAnsi="Times New Roman"/>
                <w:bCs/>
                <w:sz w:val="16"/>
                <w:szCs w:val="16"/>
                <w:lang w:val="uk-UA"/>
              </w:rPr>
              <w:t xml:space="preserve"> </w:t>
            </w:r>
            <w:r w:rsidRPr="00E16672">
              <w:rPr>
                <w:rFonts w:ascii="Times New Roman" w:hAnsi="Times New Roman"/>
                <w:sz w:val="16"/>
                <w:szCs w:val="16"/>
                <w:lang w:val="uk-UA"/>
              </w:rPr>
              <w:t xml:space="preserve">протягом </w:t>
            </w:r>
            <w:r w:rsidRPr="00E16672">
              <w:rPr>
                <w:rFonts w:ascii="Times New Roman" w:hAnsi="Times New Roman"/>
                <w:i/>
                <w:sz w:val="16"/>
                <w:szCs w:val="16"/>
                <w:lang w:val="uk-UA"/>
              </w:rPr>
              <w:t>п'яти</w:t>
            </w:r>
            <w:r w:rsidRPr="00E16672">
              <w:rPr>
                <w:rFonts w:ascii="Times New Roman" w:hAnsi="Times New Roman"/>
                <w:sz w:val="16"/>
                <w:szCs w:val="16"/>
                <w:lang w:val="uk-UA"/>
              </w:rPr>
              <w:t xml:space="preserve"> робочих днів після затвердження відповідних змін. Змінені тарифи Депозитарної установи використовуються Сторонами для визначення вартості операцій на дату надання послуг.</w:t>
            </w:r>
          </w:p>
          <w:p w14:paraId="736A7870" w14:textId="77777777" w:rsidR="00EB25FE" w:rsidRPr="00E16672" w:rsidRDefault="00084686" w:rsidP="00794B3F">
            <w:pPr>
              <w:tabs>
                <w:tab w:val="left" w:pos="182"/>
              </w:tabs>
              <w:ind w:left="175" w:right="138" w:firstLine="7"/>
              <w:rPr>
                <w:rFonts w:ascii="Times New Roman" w:hAnsi="Times New Roman"/>
                <w:sz w:val="16"/>
                <w:szCs w:val="16"/>
                <w:lang w:val="uk-UA"/>
              </w:rPr>
            </w:pPr>
            <w:r w:rsidRPr="00E16672">
              <w:rPr>
                <w:rFonts w:ascii="Times New Roman" w:hAnsi="Times New Roman"/>
                <w:sz w:val="16"/>
                <w:szCs w:val="16"/>
                <w:lang w:val="uk-UA"/>
              </w:rPr>
              <w:t>Номінальний утримувач</w:t>
            </w:r>
            <w:r w:rsidR="00EB25FE" w:rsidRPr="00E16672">
              <w:rPr>
                <w:rFonts w:ascii="Times New Roman" w:hAnsi="Times New Roman"/>
                <w:sz w:val="16"/>
                <w:szCs w:val="16"/>
                <w:lang w:val="uk-UA"/>
              </w:rPr>
              <w:t xml:space="preserve"> оплачує послуги Депозитарної установи відповідно до цього Договору та затверджених тарифів Депозитарної установи, що є чинними на дату надання послуг.</w:t>
            </w:r>
          </w:p>
          <w:p w14:paraId="569B66CF" w14:textId="77777777" w:rsidR="00EB25FE" w:rsidRPr="00E16672" w:rsidRDefault="00EB25FE" w:rsidP="00794B3F">
            <w:pPr>
              <w:tabs>
                <w:tab w:val="left" w:pos="182"/>
              </w:tabs>
              <w:ind w:left="175" w:right="138" w:firstLine="7"/>
              <w:rPr>
                <w:rFonts w:ascii="Times New Roman" w:hAnsi="Times New Roman"/>
                <w:sz w:val="16"/>
                <w:szCs w:val="16"/>
                <w:lang w:val="uk-UA"/>
              </w:rPr>
            </w:pPr>
          </w:p>
        </w:tc>
        <w:tc>
          <w:tcPr>
            <w:tcW w:w="5495" w:type="dxa"/>
            <w:gridSpan w:val="8"/>
            <w:shd w:val="clear" w:color="auto" w:fill="auto"/>
          </w:tcPr>
          <w:p w14:paraId="22C3F26F" w14:textId="77777777" w:rsidR="00EB25FE" w:rsidRPr="00E16672" w:rsidRDefault="00EB25FE" w:rsidP="00794B3F">
            <w:pPr>
              <w:pStyle w:val="1"/>
              <w:tabs>
                <w:tab w:val="left" w:pos="182"/>
                <w:tab w:val="left" w:pos="287"/>
              </w:tabs>
              <w:snapToGrid w:val="0"/>
              <w:ind w:left="145" w:right="100" w:firstLine="7"/>
              <w:rPr>
                <w:rFonts w:ascii="Times New Roman" w:hAnsi="Times New Roman" w:cs="Times New Roman"/>
                <w:caps/>
                <w:sz w:val="16"/>
                <w:szCs w:val="16"/>
                <w:lang w:val="uk-UA"/>
              </w:rPr>
            </w:pPr>
            <w:r w:rsidRPr="00E16672">
              <w:rPr>
                <w:rFonts w:ascii="Times New Roman" w:hAnsi="Times New Roman" w:cs="Times New Roman"/>
                <w:caps/>
                <w:sz w:val="16"/>
                <w:szCs w:val="16"/>
                <w:lang w:val="uk-UA"/>
              </w:rPr>
              <w:t>4</w:t>
            </w:r>
            <w:r w:rsidRPr="00E16672">
              <w:rPr>
                <w:rFonts w:ascii="Times New Roman" w:hAnsi="Times New Roman" w:cs="Times New Roman"/>
                <w:caps/>
                <w:sz w:val="16"/>
                <w:szCs w:val="16"/>
                <w:lang w:val="en-US"/>
              </w:rPr>
              <w:t>.</w:t>
            </w:r>
            <w:r w:rsidRPr="00E16672">
              <w:rPr>
                <w:rFonts w:ascii="Times New Roman" w:hAnsi="Times New Roman" w:cs="Times New Roman"/>
                <w:caps/>
                <w:sz w:val="16"/>
                <w:szCs w:val="16"/>
                <w:lang w:val="uk-UA"/>
              </w:rPr>
              <w:t xml:space="preserve">  TARIFFS FOR SERVICES AND PAYMENT</w:t>
            </w:r>
          </w:p>
          <w:p w14:paraId="523860FE" w14:textId="77777777" w:rsidR="00EB25FE" w:rsidRPr="00E16672" w:rsidRDefault="00EB25FE" w:rsidP="00794B3F">
            <w:pPr>
              <w:pStyle w:val="1"/>
              <w:tabs>
                <w:tab w:val="left" w:pos="182"/>
                <w:tab w:val="left" w:pos="287"/>
              </w:tabs>
              <w:snapToGrid w:val="0"/>
              <w:ind w:left="145" w:right="100" w:firstLine="7"/>
              <w:rPr>
                <w:rFonts w:ascii="Times New Roman" w:hAnsi="Times New Roman" w:cs="Times New Roman"/>
                <w:caps/>
                <w:sz w:val="16"/>
                <w:szCs w:val="16"/>
                <w:lang w:val="uk-UA"/>
              </w:rPr>
            </w:pPr>
            <w:r w:rsidRPr="00E16672">
              <w:rPr>
                <w:rFonts w:ascii="Times New Roman" w:hAnsi="Times New Roman" w:cs="Times New Roman"/>
                <w:caps/>
                <w:sz w:val="16"/>
                <w:szCs w:val="16"/>
                <w:lang w:val="uk-UA"/>
              </w:rPr>
              <w:t>For services</w:t>
            </w:r>
          </w:p>
          <w:p w14:paraId="57EDD3DA" w14:textId="77777777" w:rsidR="00EB25FE" w:rsidRPr="00E16672" w:rsidRDefault="00EB25FE" w:rsidP="00794B3F">
            <w:pPr>
              <w:tabs>
                <w:tab w:val="left" w:pos="182"/>
                <w:tab w:val="left" w:pos="287"/>
              </w:tabs>
              <w:ind w:left="145" w:right="100" w:firstLine="7"/>
              <w:rPr>
                <w:rFonts w:ascii="Times New Roman" w:hAnsi="Times New Roman"/>
                <w:sz w:val="10"/>
                <w:szCs w:val="10"/>
                <w:lang w:val="en-US"/>
              </w:rPr>
            </w:pPr>
          </w:p>
          <w:p w14:paraId="59E53B65" w14:textId="77777777" w:rsidR="00EB25FE" w:rsidRPr="00E16672" w:rsidRDefault="00EB25FE" w:rsidP="00794B3F">
            <w:pPr>
              <w:tabs>
                <w:tab w:val="left" w:pos="182"/>
              </w:tabs>
              <w:spacing w:before="57" w:after="57"/>
              <w:ind w:left="57" w:right="100" w:firstLine="7"/>
              <w:rPr>
                <w:rFonts w:ascii="Times New Roman" w:hAnsi="Times New Roman"/>
                <w:sz w:val="16"/>
                <w:szCs w:val="16"/>
                <w:lang w:val="en-GB"/>
              </w:rPr>
            </w:pPr>
            <w:r w:rsidRPr="00E16672">
              <w:rPr>
                <w:rFonts w:ascii="Times New Roman" w:hAnsi="Times New Roman"/>
                <w:sz w:val="16"/>
                <w:szCs w:val="16"/>
                <w:lang w:val="en-GB"/>
              </w:rPr>
              <w:t xml:space="preserve">4.1. Tariffs on depositary </w:t>
            </w:r>
            <w:r w:rsidRPr="00A26EFC">
              <w:rPr>
                <w:rFonts w:ascii="Times New Roman" w:hAnsi="Times New Roman"/>
                <w:sz w:val="16"/>
                <w:szCs w:val="16"/>
                <w:lang w:val="en-US"/>
              </w:rPr>
              <w:t xml:space="preserve">transactions </w:t>
            </w:r>
            <w:r w:rsidRPr="00E16672">
              <w:rPr>
                <w:rFonts w:ascii="Times New Roman" w:hAnsi="Times New Roman"/>
                <w:sz w:val="16"/>
                <w:szCs w:val="16"/>
                <w:lang w:val="en-GB"/>
              </w:rPr>
              <w:t xml:space="preserve">of Depository institution are set </w:t>
            </w:r>
            <w:proofErr w:type="gramStart"/>
            <w:r w:rsidRPr="00E16672">
              <w:rPr>
                <w:rFonts w:ascii="Times New Roman" w:hAnsi="Times New Roman"/>
                <w:sz w:val="16"/>
                <w:szCs w:val="16"/>
                <w:lang w:val="en-GB"/>
              </w:rPr>
              <w:t>by  Depository</w:t>
            </w:r>
            <w:proofErr w:type="gramEnd"/>
            <w:r w:rsidRPr="00E16672">
              <w:rPr>
                <w:rFonts w:ascii="Times New Roman" w:hAnsi="Times New Roman"/>
                <w:sz w:val="16"/>
                <w:szCs w:val="16"/>
                <w:lang w:val="en-GB"/>
              </w:rPr>
              <w:t xml:space="preserve"> institution independently. By signing this </w:t>
            </w:r>
            <w:r w:rsidRPr="00E16672">
              <w:rPr>
                <w:rFonts w:ascii="Times New Roman" w:hAnsi="Times New Roman"/>
                <w:sz w:val="16"/>
                <w:szCs w:val="16"/>
              </w:rPr>
              <w:t>А</w:t>
            </w:r>
            <w:proofErr w:type="spellStart"/>
            <w:r w:rsidRPr="00E16672">
              <w:rPr>
                <w:rFonts w:ascii="Times New Roman" w:hAnsi="Times New Roman"/>
                <w:sz w:val="16"/>
                <w:szCs w:val="16"/>
                <w:lang w:val="en-GB"/>
              </w:rPr>
              <w:t>greement</w:t>
            </w:r>
            <w:proofErr w:type="spellEnd"/>
            <w:r w:rsidRPr="00E16672">
              <w:rPr>
                <w:rFonts w:ascii="Times New Roman" w:hAnsi="Times New Roman"/>
                <w:sz w:val="16"/>
                <w:szCs w:val="16"/>
                <w:lang w:val="en-GB"/>
              </w:rPr>
              <w:t xml:space="preserve">, the </w:t>
            </w:r>
            <w:r w:rsidR="003E76E1" w:rsidRPr="00E16672">
              <w:rPr>
                <w:rFonts w:ascii="Times New Roman" w:hAnsi="Times New Roman"/>
                <w:sz w:val="16"/>
                <w:szCs w:val="16"/>
                <w:lang w:val="en-US"/>
              </w:rPr>
              <w:t>Nominee holder</w:t>
            </w:r>
            <w:r w:rsidRPr="00E16672">
              <w:rPr>
                <w:rFonts w:ascii="Times New Roman" w:hAnsi="Times New Roman"/>
                <w:sz w:val="16"/>
                <w:szCs w:val="16"/>
                <w:lang w:val="en-GB"/>
              </w:rPr>
              <w:t xml:space="preserve"> agrees to tariff</w:t>
            </w:r>
            <w:r w:rsidRPr="00E16672">
              <w:rPr>
                <w:rFonts w:ascii="Times New Roman" w:hAnsi="Times New Roman"/>
                <w:sz w:val="16"/>
                <w:szCs w:val="16"/>
                <w:lang w:val="uk-UA"/>
              </w:rPr>
              <w:t xml:space="preserve"> </w:t>
            </w:r>
            <w:proofErr w:type="spellStart"/>
            <w:r w:rsidRPr="00E16672">
              <w:rPr>
                <w:rFonts w:ascii="Times New Roman" w:hAnsi="Times New Roman"/>
                <w:sz w:val="16"/>
                <w:szCs w:val="16"/>
                <w:lang w:val="uk-UA"/>
              </w:rPr>
              <w:t>for</w:t>
            </w:r>
            <w:proofErr w:type="spellEnd"/>
            <w:r w:rsidRPr="00E16672">
              <w:rPr>
                <w:rFonts w:ascii="Times New Roman" w:hAnsi="Times New Roman"/>
                <w:sz w:val="16"/>
                <w:szCs w:val="16"/>
                <w:lang w:val="uk-UA"/>
              </w:rPr>
              <w:t xml:space="preserve"> </w:t>
            </w:r>
            <w:proofErr w:type="spellStart"/>
            <w:r w:rsidRPr="00E16672">
              <w:rPr>
                <w:rFonts w:ascii="Times New Roman" w:hAnsi="Times New Roman"/>
                <w:sz w:val="16"/>
                <w:szCs w:val="16"/>
                <w:lang w:val="uk-UA"/>
              </w:rPr>
              <w:t>legal</w:t>
            </w:r>
            <w:proofErr w:type="spellEnd"/>
            <w:r w:rsidRPr="00E16672">
              <w:rPr>
                <w:rFonts w:ascii="Times New Roman" w:hAnsi="Times New Roman"/>
                <w:sz w:val="16"/>
                <w:szCs w:val="16"/>
                <w:lang w:val="uk-UA"/>
              </w:rPr>
              <w:t xml:space="preserve"> </w:t>
            </w:r>
            <w:proofErr w:type="spellStart"/>
            <w:r w:rsidRPr="00E16672">
              <w:rPr>
                <w:rFonts w:ascii="Times New Roman" w:hAnsi="Times New Roman"/>
                <w:sz w:val="16"/>
                <w:szCs w:val="16"/>
                <w:lang w:val="uk-UA"/>
              </w:rPr>
              <w:t>entities</w:t>
            </w:r>
            <w:proofErr w:type="spellEnd"/>
            <w:r w:rsidRPr="00E16672">
              <w:rPr>
                <w:rFonts w:ascii="Times New Roman" w:hAnsi="Times New Roman"/>
                <w:sz w:val="16"/>
                <w:szCs w:val="16"/>
                <w:lang w:val="uk-UA"/>
              </w:rPr>
              <w:t xml:space="preserve"> </w:t>
            </w:r>
            <w:proofErr w:type="spellStart"/>
            <w:r w:rsidRPr="00E16672">
              <w:rPr>
                <w:rFonts w:ascii="Times New Roman" w:hAnsi="Times New Roman"/>
                <w:sz w:val="16"/>
                <w:szCs w:val="16"/>
                <w:lang w:val="uk-UA"/>
              </w:rPr>
              <w:t>nonresidents</w:t>
            </w:r>
            <w:proofErr w:type="spellEnd"/>
            <w:r w:rsidRPr="00E16672">
              <w:rPr>
                <w:rFonts w:ascii="Times New Roman" w:hAnsi="Times New Roman"/>
                <w:sz w:val="16"/>
                <w:szCs w:val="16"/>
                <w:lang w:val="uk-UA"/>
              </w:rPr>
              <w:t xml:space="preserve"> </w:t>
            </w:r>
            <w:proofErr w:type="spellStart"/>
            <w:r w:rsidRPr="00E16672">
              <w:rPr>
                <w:rFonts w:ascii="Times New Roman" w:hAnsi="Times New Roman"/>
                <w:sz w:val="16"/>
                <w:szCs w:val="16"/>
                <w:lang w:val="uk-UA"/>
              </w:rPr>
              <w:t>for</w:t>
            </w:r>
            <w:proofErr w:type="spellEnd"/>
            <w:r w:rsidRPr="00E16672">
              <w:rPr>
                <w:rFonts w:ascii="Times New Roman" w:hAnsi="Times New Roman"/>
                <w:sz w:val="16"/>
                <w:szCs w:val="16"/>
                <w:lang w:val="uk-UA"/>
              </w:rPr>
              <w:t xml:space="preserve"> a </w:t>
            </w:r>
            <w:proofErr w:type="spellStart"/>
            <w:r w:rsidRPr="00E16672">
              <w:rPr>
                <w:rFonts w:ascii="Times New Roman" w:hAnsi="Times New Roman"/>
                <w:sz w:val="16"/>
                <w:szCs w:val="16"/>
                <w:lang w:val="uk-UA"/>
              </w:rPr>
              <w:t>monthly</w:t>
            </w:r>
            <w:proofErr w:type="spellEnd"/>
            <w:r w:rsidRPr="00E16672">
              <w:rPr>
                <w:rFonts w:ascii="Times New Roman" w:hAnsi="Times New Roman"/>
                <w:sz w:val="16"/>
                <w:szCs w:val="16"/>
                <w:lang w:val="uk-UA"/>
              </w:rPr>
              <w:t xml:space="preserve"> </w:t>
            </w:r>
            <w:proofErr w:type="spellStart"/>
            <w:r w:rsidRPr="00E16672">
              <w:rPr>
                <w:rFonts w:ascii="Times New Roman" w:hAnsi="Times New Roman"/>
                <w:sz w:val="16"/>
                <w:szCs w:val="16"/>
                <w:lang w:val="uk-UA"/>
              </w:rPr>
              <w:t>payment</w:t>
            </w:r>
            <w:proofErr w:type="spellEnd"/>
            <w:r w:rsidRPr="00E16672">
              <w:rPr>
                <w:rFonts w:ascii="Times New Roman" w:hAnsi="Times New Roman"/>
                <w:sz w:val="16"/>
                <w:szCs w:val="16"/>
                <w:lang w:val="en-GB"/>
              </w:rPr>
              <w:t xml:space="preserve"> set by the Depository institution on the date of conclusion the Agreement, placed</w:t>
            </w:r>
            <w:r w:rsidRPr="00E16672">
              <w:rPr>
                <w:rFonts w:ascii="Times New Roman" w:eastAsia="Arial" w:hAnsi="Times New Roman"/>
                <w:sz w:val="16"/>
                <w:szCs w:val="16"/>
                <w:lang w:val="uk-UA"/>
              </w:rPr>
              <w:t xml:space="preserve"> </w:t>
            </w:r>
            <w:proofErr w:type="spellStart"/>
            <w:r w:rsidRPr="00E16672">
              <w:rPr>
                <w:rFonts w:ascii="Times New Roman" w:eastAsia="Arial" w:hAnsi="Times New Roman"/>
                <w:sz w:val="16"/>
                <w:szCs w:val="16"/>
                <w:lang w:val="uk-UA"/>
              </w:rPr>
              <w:t>on</w:t>
            </w:r>
            <w:proofErr w:type="spellEnd"/>
            <w:r w:rsidRPr="00E16672">
              <w:rPr>
                <w:rFonts w:ascii="Times New Roman" w:eastAsia="Arial" w:hAnsi="Times New Roman"/>
                <w:sz w:val="16"/>
                <w:szCs w:val="16"/>
                <w:lang w:val="uk-UA"/>
              </w:rPr>
              <w:t xml:space="preserve"> a </w:t>
            </w:r>
            <w:proofErr w:type="spellStart"/>
            <w:r w:rsidRPr="00E16672">
              <w:rPr>
                <w:rFonts w:ascii="Times New Roman" w:eastAsia="Arial" w:hAnsi="Times New Roman"/>
                <w:sz w:val="16"/>
                <w:szCs w:val="16"/>
                <w:lang w:val="uk-UA"/>
              </w:rPr>
              <w:t>website</w:t>
            </w:r>
            <w:proofErr w:type="spellEnd"/>
            <w:r w:rsidRPr="00E16672">
              <w:rPr>
                <w:rFonts w:ascii="Times New Roman" w:eastAsia="Arial" w:hAnsi="Times New Roman"/>
                <w:sz w:val="16"/>
                <w:szCs w:val="16"/>
                <w:lang w:val="uk-UA"/>
              </w:rPr>
              <w:t xml:space="preserve"> </w:t>
            </w:r>
            <w:proofErr w:type="spellStart"/>
            <w:r w:rsidRPr="00E16672">
              <w:rPr>
                <w:rFonts w:ascii="Times New Roman" w:eastAsia="Arial" w:hAnsi="Times New Roman"/>
                <w:sz w:val="16"/>
                <w:szCs w:val="16"/>
                <w:lang w:val="uk-UA"/>
              </w:rPr>
              <w:t>of</w:t>
            </w:r>
            <w:proofErr w:type="spellEnd"/>
            <w:r w:rsidRPr="00E16672">
              <w:rPr>
                <w:rFonts w:ascii="Times New Roman" w:eastAsia="Arial" w:hAnsi="Times New Roman"/>
                <w:sz w:val="16"/>
                <w:szCs w:val="16"/>
                <w:lang w:val="uk-UA"/>
              </w:rPr>
              <w:t xml:space="preserve"> </w:t>
            </w:r>
            <w:proofErr w:type="spellStart"/>
            <w:r w:rsidRPr="00E16672">
              <w:rPr>
                <w:rFonts w:ascii="Times New Roman" w:eastAsia="Arial" w:hAnsi="Times New Roman"/>
                <w:sz w:val="16"/>
                <w:szCs w:val="16"/>
                <w:lang w:val="uk-UA"/>
              </w:rPr>
              <w:t>Depository</w:t>
            </w:r>
            <w:proofErr w:type="spellEnd"/>
            <w:r w:rsidRPr="00E16672">
              <w:rPr>
                <w:rFonts w:ascii="Times New Roman" w:eastAsia="Arial" w:hAnsi="Times New Roman"/>
                <w:sz w:val="16"/>
                <w:szCs w:val="16"/>
                <w:lang w:val="uk-UA"/>
              </w:rPr>
              <w:t xml:space="preserve"> </w:t>
            </w:r>
            <w:proofErr w:type="spellStart"/>
            <w:r w:rsidRPr="00E16672">
              <w:rPr>
                <w:rFonts w:ascii="Times New Roman" w:eastAsia="Arial" w:hAnsi="Times New Roman"/>
                <w:sz w:val="16"/>
                <w:szCs w:val="16"/>
                <w:lang w:val="uk-UA"/>
              </w:rPr>
              <w:t>institution</w:t>
            </w:r>
            <w:proofErr w:type="spellEnd"/>
            <w:r w:rsidRPr="00E16672">
              <w:rPr>
                <w:rFonts w:ascii="Times New Roman" w:eastAsia="Arial" w:hAnsi="Times New Roman"/>
                <w:sz w:val="16"/>
                <w:szCs w:val="16"/>
                <w:lang w:val="uk-UA"/>
              </w:rPr>
              <w:t xml:space="preserve"> </w:t>
            </w:r>
            <w:r w:rsidR="00E16672">
              <w:rPr>
                <w:rFonts w:ascii="Times New Roman" w:hAnsi="Times New Roman"/>
                <w:color w:val="000000"/>
                <w:sz w:val="16"/>
                <w:szCs w:val="16"/>
                <w:lang w:val="en-US"/>
              </w:rPr>
              <w:t>http://comex.uafin.net</w:t>
            </w:r>
            <w:r w:rsidRPr="00E16672">
              <w:rPr>
                <w:rFonts w:ascii="Times New Roman" w:hAnsi="Times New Roman"/>
                <w:sz w:val="16"/>
                <w:szCs w:val="16"/>
                <w:lang w:val="en-GB"/>
              </w:rPr>
              <w:t>.</w:t>
            </w:r>
          </w:p>
          <w:p w14:paraId="4A246C6E" w14:textId="77777777" w:rsidR="00EB25FE" w:rsidRPr="00E16672" w:rsidRDefault="00EB25FE" w:rsidP="00794B3F">
            <w:pPr>
              <w:tabs>
                <w:tab w:val="left" w:pos="182"/>
              </w:tabs>
              <w:spacing w:before="57" w:after="57"/>
              <w:ind w:left="57" w:right="100" w:firstLine="7"/>
              <w:rPr>
                <w:rFonts w:ascii="Times New Roman" w:hAnsi="Times New Roman"/>
                <w:sz w:val="16"/>
                <w:szCs w:val="16"/>
                <w:lang w:val="en-GB"/>
              </w:rPr>
            </w:pPr>
            <w:r w:rsidRPr="00E16672">
              <w:rPr>
                <w:rFonts w:ascii="Times New Roman" w:hAnsi="Times New Roman"/>
                <w:sz w:val="16"/>
                <w:szCs w:val="16"/>
                <w:lang w:val="en-GB"/>
              </w:rPr>
              <w:t>Depository institution reports</w:t>
            </w:r>
            <w:r w:rsidRPr="00E16672">
              <w:rPr>
                <w:rFonts w:ascii="Times New Roman" w:hAnsi="Times New Roman"/>
                <w:sz w:val="16"/>
                <w:szCs w:val="16"/>
                <w:lang w:val="en-US"/>
              </w:rPr>
              <w:t xml:space="preserve"> about </w:t>
            </w:r>
            <w:r w:rsidRPr="00E16672">
              <w:rPr>
                <w:rFonts w:ascii="Times New Roman" w:hAnsi="Times New Roman"/>
                <w:sz w:val="16"/>
                <w:szCs w:val="16"/>
                <w:lang w:val="en-GB"/>
              </w:rPr>
              <w:t xml:space="preserve">changes to tariffs </w:t>
            </w:r>
            <w:r w:rsidRPr="00E16672">
              <w:rPr>
                <w:rFonts w:ascii="Times New Roman" w:hAnsi="Times New Roman"/>
                <w:sz w:val="16"/>
                <w:szCs w:val="16"/>
                <w:lang w:val="en-US"/>
              </w:rPr>
              <w:t>for services by placing changed</w:t>
            </w:r>
            <w:r w:rsidRPr="00E16672">
              <w:rPr>
                <w:rFonts w:ascii="Times New Roman" w:hAnsi="Times New Roman"/>
                <w:sz w:val="16"/>
                <w:szCs w:val="16"/>
                <w:lang w:val="en-GB"/>
              </w:rPr>
              <w:t xml:space="preserve"> tariffs</w:t>
            </w:r>
            <w:r w:rsidRPr="00E16672">
              <w:rPr>
                <w:rFonts w:ascii="Times New Roman" w:hAnsi="Times New Roman"/>
                <w:sz w:val="16"/>
                <w:szCs w:val="16"/>
                <w:lang w:val="en-US"/>
              </w:rPr>
              <w:t xml:space="preserve"> </w:t>
            </w:r>
            <w:r w:rsidRPr="00E16672">
              <w:rPr>
                <w:rFonts w:ascii="Times New Roman" w:hAnsi="Times New Roman"/>
                <w:sz w:val="16"/>
                <w:szCs w:val="16"/>
                <w:lang w:val="en-GB"/>
              </w:rPr>
              <w:t xml:space="preserve">of Depository institution </w:t>
            </w:r>
            <w:r w:rsidRPr="00E16672">
              <w:rPr>
                <w:rFonts w:ascii="Times New Roman" w:hAnsi="Times New Roman"/>
                <w:sz w:val="16"/>
                <w:szCs w:val="16"/>
                <w:lang w:val="en-US"/>
              </w:rPr>
              <w:t xml:space="preserve">on </w:t>
            </w:r>
            <w:r w:rsidRPr="00E16672">
              <w:rPr>
                <w:rFonts w:ascii="Times New Roman" w:hAnsi="Times New Roman"/>
                <w:sz w:val="16"/>
                <w:szCs w:val="16"/>
                <w:lang w:val="en-GB"/>
              </w:rPr>
              <w:t>website</w:t>
            </w:r>
            <w:r w:rsidRPr="00E16672">
              <w:rPr>
                <w:rFonts w:ascii="Times New Roman" w:hAnsi="Times New Roman"/>
                <w:sz w:val="16"/>
                <w:szCs w:val="16"/>
                <w:lang w:val="en-US"/>
              </w:rPr>
              <w:t xml:space="preserve"> of D</w:t>
            </w:r>
            <w:proofErr w:type="spellStart"/>
            <w:r w:rsidRPr="00E16672">
              <w:rPr>
                <w:rFonts w:ascii="Times New Roman" w:hAnsi="Times New Roman"/>
                <w:sz w:val="16"/>
                <w:szCs w:val="16"/>
                <w:lang w:val="en-GB"/>
              </w:rPr>
              <w:t>epository</w:t>
            </w:r>
            <w:proofErr w:type="spellEnd"/>
            <w:r w:rsidRPr="00E16672">
              <w:rPr>
                <w:rFonts w:ascii="Times New Roman" w:hAnsi="Times New Roman"/>
                <w:sz w:val="16"/>
                <w:szCs w:val="16"/>
                <w:lang w:val="en-GB"/>
              </w:rPr>
              <w:t xml:space="preserve"> institution </w:t>
            </w:r>
            <w:r w:rsidR="00E16672">
              <w:rPr>
                <w:rFonts w:ascii="Times New Roman" w:hAnsi="Times New Roman"/>
                <w:color w:val="000000"/>
                <w:sz w:val="16"/>
                <w:szCs w:val="16"/>
                <w:lang w:val="en-US"/>
              </w:rPr>
              <w:t>http://comex.uafin.net</w:t>
            </w:r>
            <w:r w:rsidRPr="00E16672">
              <w:rPr>
                <w:rFonts w:ascii="Times New Roman" w:hAnsi="Times New Roman"/>
                <w:bCs/>
                <w:sz w:val="16"/>
                <w:szCs w:val="16"/>
                <w:lang w:val="uk-UA"/>
              </w:rPr>
              <w:t xml:space="preserve"> </w:t>
            </w:r>
            <w:r w:rsidRPr="00E16672">
              <w:rPr>
                <w:rFonts w:ascii="Times New Roman" w:hAnsi="Times New Roman"/>
                <w:sz w:val="16"/>
                <w:szCs w:val="16"/>
                <w:lang w:val="en-GB"/>
              </w:rPr>
              <w:t xml:space="preserve">within </w:t>
            </w:r>
            <w:r w:rsidRPr="00E16672">
              <w:rPr>
                <w:rFonts w:ascii="Times New Roman" w:hAnsi="Times New Roman"/>
                <w:i/>
                <w:sz w:val="16"/>
                <w:szCs w:val="16"/>
                <w:lang w:val="en-GB"/>
              </w:rPr>
              <w:t xml:space="preserve">five </w:t>
            </w:r>
            <w:r w:rsidRPr="00A26EFC">
              <w:rPr>
                <w:rStyle w:val="shorttext"/>
                <w:rFonts w:ascii="Times New Roman" w:hAnsi="Times New Roman"/>
                <w:i/>
                <w:sz w:val="16"/>
                <w:szCs w:val="16"/>
                <w:lang w:val="en-US"/>
              </w:rPr>
              <w:t>business</w:t>
            </w:r>
            <w:r w:rsidRPr="00E16672">
              <w:rPr>
                <w:rFonts w:ascii="Times New Roman" w:hAnsi="Times New Roman"/>
                <w:i/>
                <w:sz w:val="16"/>
                <w:szCs w:val="16"/>
                <w:lang w:val="en-GB"/>
              </w:rPr>
              <w:t>days</w:t>
            </w:r>
            <w:r w:rsidRPr="00E16672">
              <w:rPr>
                <w:rFonts w:ascii="Times New Roman" w:hAnsi="Times New Roman"/>
                <w:sz w:val="16"/>
                <w:szCs w:val="16"/>
                <w:lang w:val="en-GB"/>
              </w:rPr>
              <w:t xml:space="preserve"> after approval of the relevant changes. Changed tariffs of Depository institution used by the Parties to determine the value of </w:t>
            </w:r>
            <w:r w:rsidRPr="00E16672">
              <w:rPr>
                <w:rFonts w:ascii="Times New Roman" w:hAnsi="Times New Roman"/>
                <w:sz w:val="16"/>
                <w:szCs w:val="16"/>
                <w:lang w:val="en-US"/>
              </w:rPr>
              <w:t>operations</w:t>
            </w:r>
            <w:r w:rsidRPr="00E16672">
              <w:rPr>
                <w:rFonts w:ascii="Times New Roman" w:hAnsi="Times New Roman"/>
                <w:sz w:val="16"/>
                <w:szCs w:val="16"/>
                <w:lang w:val="en-GB"/>
              </w:rPr>
              <w:t xml:space="preserve"> on the date of service.</w:t>
            </w:r>
          </w:p>
          <w:p w14:paraId="72609086" w14:textId="77777777" w:rsidR="00EB25FE" w:rsidRPr="00E16672" w:rsidRDefault="00EB25FE" w:rsidP="00794B3F">
            <w:pPr>
              <w:tabs>
                <w:tab w:val="left" w:pos="182"/>
                <w:tab w:val="left" w:pos="287"/>
              </w:tabs>
              <w:ind w:left="145" w:right="100" w:firstLine="7"/>
              <w:rPr>
                <w:rFonts w:ascii="Times New Roman" w:hAnsi="Times New Roman"/>
                <w:sz w:val="16"/>
                <w:szCs w:val="16"/>
                <w:lang w:val="en-GB"/>
              </w:rPr>
            </w:pPr>
          </w:p>
          <w:p w14:paraId="7D955957" w14:textId="77777777" w:rsidR="00EB25FE" w:rsidRPr="00E16672" w:rsidRDefault="00EB25FE" w:rsidP="00794B3F">
            <w:pPr>
              <w:tabs>
                <w:tab w:val="left" w:pos="182"/>
                <w:tab w:val="left" w:pos="287"/>
              </w:tabs>
              <w:ind w:left="145" w:right="100" w:firstLine="7"/>
              <w:rPr>
                <w:rFonts w:ascii="Times New Roman" w:hAnsi="Times New Roman"/>
                <w:sz w:val="16"/>
                <w:szCs w:val="16"/>
                <w:lang w:val="en-GB"/>
              </w:rPr>
            </w:pPr>
            <w:r w:rsidRPr="00E16672">
              <w:rPr>
                <w:rFonts w:ascii="Times New Roman" w:hAnsi="Times New Roman"/>
                <w:sz w:val="16"/>
                <w:szCs w:val="16"/>
                <w:lang w:val="en-GB"/>
              </w:rPr>
              <w:t xml:space="preserve">A </w:t>
            </w:r>
            <w:r w:rsidR="00620A92" w:rsidRPr="00E16672">
              <w:rPr>
                <w:rFonts w:ascii="Times New Roman" w:hAnsi="Times New Roman"/>
                <w:sz w:val="16"/>
                <w:szCs w:val="16"/>
                <w:lang w:val="en-US"/>
              </w:rPr>
              <w:t>Nominee holder</w:t>
            </w:r>
            <w:r w:rsidR="00620A92" w:rsidRPr="00E16672">
              <w:rPr>
                <w:rFonts w:ascii="Times New Roman" w:hAnsi="Times New Roman"/>
                <w:sz w:val="16"/>
                <w:szCs w:val="16"/>
                <w:lang w:val="en-GB"/>
              </w:rPr>
              <w:t xml:space="preserve"> </w:t>
            </w:r>
            <w:r w:rsidRPr="00E16672">
              <w:rPr>
                <w:rFonts w:ascii="Times New Roman" w:hAnsi="Times New Roman"/>
                <w:sz w:val="16"/>
                <w:szCs w:val="16"/>
                <w:lang w:val="en-GB"/>
              </w:rPr>
              <w:t>pays services of Depository institution in accordance with this Agreement and ratified tariffs of Depository institution, in force on the date of service.</w:t>
            </w:r>
          </w:p>
        </w:tc>
      </w:tr>
      <w:tr w:rsidR="00EB25FE" w:rsidRPr="00A26EFC" w14:paraId="567315FC" w14:textId="77777777" w:rsidTr="005E418B">
        <w:tblPrEx>
          <w:tblCellMar>
            <w:left w:w="0" w:type="dxa"/>
            <w:right w:w="0" w:type="dxa"/>
          </w:tblCellMar>
        </w:tblPrEx>
        <w:trPr>
          <w:trHeight w:val="192"/>
        </w:trPr>
        <w:tc>
          <w:tcPr>
            <w:tcW w:w="5695" w:type="dxa"/>
            <w:gridSpan w:val="7"/>
            <w:shd w:val="clear" w:color="auto" w:fill="auto"/>
          </w:tcPr>
          <w:p w14:paraId="13E0C91B" w14:textId="77777777" w:rsidR="00EB25FE" w:rsidRPr="00E16672" w:rsidRDefault="00EB25FE" w:rsidP="00794B3F">
            <w:pPr>
              <w:pStyle w:val="310"/>
              <w:tabs>
                <w:tab w:val="left" w:pos="182"/>
              </w:tabs>
              <w:snapToGrid w:val="0"/>
              <w:ind w:left="175" w:right="138" w:firstLine="7"/>
              <w:rPr>
                <w:rFonts w:ascii="Times New Roman" w:hAnsi="Times New Roman"/>
                <w:sz w:val="16"/>
                <w:szCs w:val="16"/>
              </w:rPr>
            </w:pPr>
            <w:r w:rsidRPr="00E16672">
              <w:rPr>
                <w:rFonts w:ascii="Times New Roman" w:hAnsi="Times New Roman"/>
                <w:sz w:val="16"/>
                <w:szCs w:val="16"/>
              </w:rPr>
              <w:t xml:space="preserve">4.2.Оплата за послуги Депозитарної установи здійснюється на підставі </w:t>
            </w:r>
            <w:r w:rsidRPr="00E16672">
              <w:rPr>
                <w:rFonts w:ascii="Times New Roman" w:hAnsi="Times New Roman"/>
                <w:sz w:val="16"/>
                <w:szCs w:val="16"/>
                <w:lang w:val="ru-RU"/>
              </w:rPr>
              <w:t xml:space="preserve">акту </w:t>
            </w:r>
            <w:r w:rsidRPr="00E16672">
              <w:rPr>
                <w:rFonts w:ascii="Times New Roman" w:hAnsi="Times New Roman"/>
                <w:sz w:val="16"/>
                <w:szCs w:val="16"/>
              </w:rPr>
              <w:t xml:space="preserve">виконаних операцій Депозитарної установи або рахунку по реквізитах, вказаних в </w:t>
            </w:r>
            <w:r w:rsidRPr="00E16672">
              <w:rPr>
                <w:rFonts w:ascii="Times New Roman" w:hAnsi="Times New Roman"/>
                <w:sz w:val="16"/>
                <w:szCs w:val="16"/>
                <w:lang w:val="ru-RU"/>
              </w:rPr>
              <w:t>а</w:t>
            </w:r>
            <w:proofErr w:type="spellStart"/>
            <w:r w:rsidRPr="00E16672">
              <w:rPr>
                <w:rFonts w:ascii="Times New Roman" w:hAnsi="Times New Roman"/>
                <w:sz w:val="16"/>
                <w:szCs w:val="16"/>
              </w:rPr>
              <w:t>кті</w:t>
            </w:r>
            <w:proofErr w:type="spellEnd"/>
            <w:r w:rsidRPr="00E16672">
              <w:rPr>
                <w:rFonts w:ascii="Times New Roman" w:hAnsi="Times New Roman"/>
                <w:sz w:val="16"/>
                <w:szCs w:val="16"/>
              </w:rPr>
              <w:t xml:space="preserve"> або рахунку.</w:t>
            </w:r>
          </w:p>
          <w:p w14:paraId="318FCE8D" w14:textId="77777777" w:rsidR="00EB25FE" w:rsidRPr="00E16672" w:rsidRDefault="00EB25FE" w:rsidP="00794B3F">
            <w:pPr>
              <w:pStyle w:val="310"/>
              <w:tabs>
                <w:tab w:val="left" w:pos="182"/>
              </w:tabs>
              <w:ind w:left="175" w:right="138" w:firstLine="7"/>
              <w:rPr>
                <w:rFonts w:ascii="Times New Roman" w:hAnsi="Times New Roman"/>
                <w:sz w:val="16"/>
                <w:szCs w:val="16"/>
                <w:lang w:val="ru-RU"/>
              </w:rPr>
            </w:pPr>
          </w:p>
          <w:p w14:paraId="74F3C479" w14:textId="77777777" w:rsidR="00EB25FE" w:rsidRPr="00E16672" w:rsidRDefault="00EB25FE" w:rsidP="00794B3F">
            <w:pPr>
              <w:pStyle w:val="310"/>
              <w:tabs>
                <w:tab w:val="left" w:pos="182"/>
              </w:tabs>
              <w:ind w:left="175" w:right="138" w:firstLine="7"/>
              <w:rPr>
                <w:rFonts w:ascii="Times New Roman" w:hAnsi="Times New Roman"/>
                <w:bCs/>
                <w:sz w:val="16"/>
                <w:szCs w:val="16"/>
              </w:rPr>
            </w:pPr>
            <w:r w:rsidRPr="00E16672">
              <w:rPr>
                <w:rFonts w:ascii="Times New Roman" w:hAnsi="Times New Roman"/>
                <w:bCs/>
                <w:sz w:val="16"/>
                <w:szCs w:val="16"/>
              </w:rPr>
              <w:t xml:space="preserve">Оплата послуг </w:t>
            </w:r>
            <w:r w:rsidRPr="00E16672">
              <w:rPr>
                <w:rFonts w:ascii="Times New Roman" w:hAnsi="Times New Roman"/>
                <w:sz w:val="16"/>
                <w:szCs w:val="16"/>
              </w:rPr>
              <w:t>Депозитарної установи</w:t>
            </w:r>
            <w:r w:rsidRPr="00E16672">
              <w:rPr>
                <w:rFonts w:ascii="Times New Roman" w:hAnsi="Times New Roman"/>
                <w:bCs/>
                <w:sz w:val="16"/>
                <w:szCs w:val="16"/>
              </w:rPr>
              <w:t xml:space="preserve"> згідно з цим Договором та відповідно до затверджених тарифів </w:t>
            </w:r>
            <w:r w:rsidRPr="00E16672">
              <w:rPr>
                <w:rFonts w:ascii="Times New Roman" w:hAnsi="Times New Roman"/>
                <w:sz w:val="16"/>
                <w:szCs w:val="16"/>
              </w:rPr>
              <w:t xml:space="preserve">Депозитарної установи </w:t>
            </w:r>
            <w:r w:rsidRPr="00E16672">
              <w:rPr>
                <w:rFonts w:ascii="Times New Roman" w:hAnsi="Times New Roman"/>
                <w:bCs/>
                <w:sz w:val="16"/>
                <w:szCs w:val="16"/>
              </w:rPr>
              <w:t xml:space="preserve"> здійснюється в ___________________(</w:t>
            </w:r>
            <w:r w:rsidRPr="00E16672">
              <w:rPr>
                <w:rFonts w:ascii="Times New Roman" w:hAnsi="Times New Roman"/>
                <w:bCs/>
                <w:i/>
                <w:sz w:val="16"/>
                <w:szCs w:val="16"/>
              </w:rPr>
              <w:t>доларах США</w:t>
            </w:r>
            <w:r w:rsidRPr="00E16672">
              <w:rPr>
                <w:rFonts w:ascii="Times New Roman" w:hAnsi="Times New Roman"/>
                <w:bCs/>
                <w:i/>
                <w:sz w:val="16"/>
                <w:szCs w:val="16"/>
                <w:lang w:val="ru-RU"/>
              </w:rPr>
              <w:t>/</w:t>
            </w:r>
            <w:r w:rsidRPr="00E16672">
              <w:rPr>
                <w:rFonts w:ascii="Times New Roman" w:hAnsi="Times New Roman"/>
                <w:bCs/>
                <w:i/>
                <w:sz w:val="16"/>
                <w:szCs w:val="16"/>
              </w:rPr>
              <w:t>Є</w:t>
            </w:r>
            <w:r w:rsidRPr="00E16672">
              <w:rPr>
                <w:rFonts w:ascii="Times New Roman" w:hAnsi="Times New Roman"/>
                <w:bCs/>
                <w:i/>
                <w:sz w:val="16"/>
                <w:szCs w:val="16"/>
                <w:lang w:val="ru-RU"/>
              </w:rPr>
              <w:t>ВРО/</w:t>
            </w:r>
            <w:proofErr w:type="spellStart"/>
            <w:r w:rsidRPr="00E16672">
              <w:rPr>
                <w:rFonts w:ascii="Times New Roman" w:hAnsi="Times New Roman"/>
                <w:bCs/>
                <w:i/>
                <w:sz w:val="16"/>
                <w:szCs w:val="16"/>
                <w:lang w:val="ru-RU"/>
              </w:rPr>
              <w:t>інша</w:t>
            </w:r>
            <w:proofErr w:type="spellEnd"/>
            <w:r w:rsidRPr="00E16672">
              <w:rPr>
                <w:rFonts w:ascii="Times New Roman" w:hAnsi="Times New Roman"/>
                <w:bCs/>
                <w:i/>
                <w:sz w:val="16"/>
                <w:szCs w:val="16"/>
                <w:lang w:val="ru-RU"/>
              </w:rPr>
              <w:t xml:space="preserve"> валюта</w:t>
            </w:r>
            <w:r w:rsidRPr="00E16672">
              <w:rPr>
                <w:rFonts w:ascii="Times New Roman" w:hAnsi="Times New Roman"/>
                <w:bCs/>
                <w:sz w:val="16"/>
                <w:szCs w:val="16"/>
                <w:lang w:val="ru-RU"/>
              </w:rPr>
              <w:t>)</w:t>
            </w:r>
            <w:r w:rsidRPr="00E16672">
              <w:rPr>
                <w:rFonts w:ascii="Times New Roman" w:hAnsi="Times New Roman"/>
                <w:bCs/>
                <w:sz w:val="16"/>
                <w:szCs w:val="16"/>
              </w:rPr>
              <w:t xml:space="preserve"> по курсу НБУ на дату складання акту</w:t>
            </w:r>
            <w:r w:rsidRPr="00E16672">
              <w:rPr>
                <w:rFonts w:ascii="Times New Roman" w:hAnsi="Times New Roman"/>
                <w:bCs/>
                <w:sz w:val="16"/>
                <w:szCs w:val="16"/>
                <w:lang w:val="ru-RU"/>
              </w:rPr>
              <w:t xml:space="preserve"> </w:t>
            </w:r>
            <w:r w:rsidRPr="00E16672">
              <w:rPr>
                <w:rFonts w:ascii="Times New Roman" w:hAnsi="Times New Roman"/>
                <w:bCs/>
                <w:sz w:val="16"/>
                <w:szCs w:val="16"/>
              </w:rPr>
              <w:t>або рахунку.</w:t>
            </w:r>
          </w:p>
          <w:p w14:paraId="46C53A36" w14:textId="77777777" w:rsidR="00EB25FE" w:rsidRPr="00E16672" w:rsidRDefault="00EB25FE" w:rsidP="00794B3F">
            <w:pPr>
              <w:pStyle w:val="310"/>
              <w:tabs>
                <w:tab w:val="left" w:pos="182"/>
              </w:tabs>
              <w:ind w:left="175" w:right="138" w:firstLine="7"/>
              <w:rPr>
                <w:rFonts w:ascii="Times New Roman" w:hAnsi="Times New Roman"/>
                <w:sz w:val="16"/>
                <w:szCs w:val="16"/>
                <w:lang w:val="ru-RU"/>
              </w:rPr>
            </w:pPr>
          </w:p>
        </w:tc>
        <w:tc>
          <w:tcPr>
            <w:tcW w:w="5495" w:type="dxa"/>
            <w:gridSpan w:val="8"/>
            <w:shd w:val="clear" w:color="auto" w:fill="auto"/>
          </w:tcPr>
          <w:p w14:paraId="175704F5" w14:textId="77777777" w:rsidR="00EB25FE" w:rsidRPr="00E16672" w:rsidRDefault="00EB25FE" w:rsidP="00794B3F">
            <w:pPr>
              <w:pStyle w:val="210"/>
              <w:tabs>
                <w:tab w:val="left" w:pos="182"/>
                <w:tab w:val="left" w:pos="287"/>
                <w:tab w:val="left" w:pos="1191"/>
              </w:tabs>
              <w:snapToGrid w:val="0"/>
              <w:ind w:left="145" w:right="100" w:firstLine="7"/>
              <w:rPr>
                <w:rFonts w:ascii="Times New Roman" w:hAnsi="Times New Roman"/>
                <w:sz w:val="16"/>
                <w:szCs w:val="16"/>
              </w:rPr>
            </w:pPr>
            <w:r w:rsidRPr="00E16672">
              <w:rPr>
                <w:rFonts w:ascii="Times New Roman" w:hAnsi="Times New Roman"/>
                <w:sz w:val="16"/>
                <w:szCs w:val="16"/>
              </w:rPr>
              <w:t xml:space="preserve">4.2. </w:t>
            </w:r>
            <w:proofErr w:type="spellStart"/>
            <w:r w:rsidRPr="00E16672">
              <w:rPr>
                <w:rFonts w:ascii="Times New Roman" w:hAnsi="Times New Roman"/>
                <w:sz w:val="16"/>
                <w:szCs w:val="16"/>
              </w:rPr>
              <w:t>Payment</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for</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services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of</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Depository</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institution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is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carried</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out</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basis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of</w:t>
            </w:r>
            <w:proofErr w:type="spellEnd"/>
            <w:r w:rsidRPr="00E16672">
              <w:rPr>
                <w:rFonts w:ascii="Times New Roman" w:hAnsi="Times New Roman"/>
                <w:sz w:val="16"/>
                <w:szCs w:val="16"/>
              </w:rPr>
              <w:t xml:space="preserve"> </w:t>
            </w:r>
            <w:r w:rsidRPr="00E16672">
              <w:rPr>
                <w:rFonts w:ascii="Times New Roman" w:hAnsi="Times New Roman"/>
                <w:sz w:val="16"/>
                <w:szCs w:val="16"/>
                <w:lang w:val="en-US"/>
              </w:rPr>
              <w:t>s</w:t>
            </w:r>
            <w:proofErr w:type="spellStart"/>
            <w:r w:rsidRPr="00E16672">
              <w:rPr>
                <w:rFonts w:ascii="Times New Roman" w:hAnsi="Times New Roman"/>
                <w:sz w:val="16"/>
                <w:szCs w:val="16"/>
              </w:rPr>
              <w:t>tatement</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of</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executed</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operations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of</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Depository</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institution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or</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Invoice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essential</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elements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indicated</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in</w:t>
            </w:r>
            <w:proofErr w:type="spellEnd"/>
            <w:r w:rsidRPr="00E16672">
              <w:rPr>
                <w:rFonts w:ascii="Times New Roman" w:hAnsi="Times New Roman"/>
                <w:sz w:val="16"/>
                <w:szCs w:val="16"/>
              </w:rPr>
              <w:t xml:space="preserve"> </w:t>
            </w:r>
            <w:r w:rsidRPr="00E16672">
              <w:rPr>
                <w:rFonts w:ascii="Times New Roman" w:hAnsi="Times New Roman"/>
                <w:sz w:val="16"/>
                <w:szCs w:val="16"/>
                <w:lang w:val="en-US"/>
              </w:rPr>
              <w:t>s</w:t>
            </w:r>
            <w:proofErr w:type="spellStart"/>
            <w:r w:rsidRPr="00E16672">
              <w:rPr>
                <w:rFonts w:ascii="Times New Roman" w:hAnsi="Times New Roman"/>
                <w:sz w:val="16"/>
                <w:szCs w:val="16"/>
              </w:rPr>
              <w:t>tatement</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or</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lang w:val="en-US"/>
              </w:rPr>
              <w:t>i</w:t>
            </w:r>
            <w:r w:rsidRPr="00E16672">
              <w:rPr>
                <w:rFonts w:ascii="Times New Roman" w:hAnsi="Times New Roman"/>
                <w:sz w:val="16"/>
                <w:szCs w:val="16"/>
              </w:rPr>
              <w:t>nvoice</w:t>
            </w:r>
            <w:proofErr w:type="spellEnd"/>
            <w:r w:rsidRPr="00E16672">
              <w:rPr>
                <w:rFonts w:ascii="Times New Roman" w:hAnsi="Times New Roman"/>
                <w:sz w:val="16"/>
                <w:szCs w:val="16"/>
              </w:rPr>
              <w:t xml:space="preserve">. </w:t>
            </w:r>
          </w:p>
          <w:p w14:paraId="0065EE98" w14:textId="77777777" w:rsidR="00EB25FE" w:rsidRPr="00E16672" w:rsidRDefault="00EB25FE" w:rsidP="00794B3F">
            <w:pPr>
              <w:tabs>
                <w:tab w:val="left" w:pos="182"/>
                <w:tab w:val="left" w:pos="287"/>
              </w:tabs>
              <w:ind w:left="145" w:right="100" w:firstLine="7"/>
              <w:rPr>
                <w:rFonts w:ascii="Times New Roman" w:hAnsi="Times New Roman"/>
                <w:sz w:val="16"/>
                <w:szCs w:val="16"/>
                <w:lang w:val="en-US"/>
              </w:rPr>
            </w:pPr>
          </w:p>
          <w:p w14:paraId="617EEA8C" w14:textId="77777777" w:rsidR="00EB25FE" w:rsidRPr="00E16672" w:rsidRDefault="00EB25FE" w:rsidP="00794B3F">
            <w:pPr>
              <w:tabs>
                <w:tab w:val="left" w:pos="182"/>
                <w:tab w:val="left" w:pos="287"/>
              </w:tabs>
              <w:ind w:left="145" w:right="100" w:firstLine="7"/>
              <w:rPr>
                <w:rFonts w:ascii="Times New Roman" w:hAnsi="Times New Roman"/>
                <w:sz w:val="16"/>
                <w:szCs w:val="16"/>
                <w:lang w:val="en-GB"/>
              </w:rPr>
            </w:pPr>
            <w:r w:rsidRPr="00E16672">
              <w:rPr>
                <w:rFonts w:ascii="Times New Roman" w:hAnsi="Times New Roman"/>
                <w:sz w:val="16"/>
                <w:szCs w:val="16"/>
                <w:lang w:val="en-GB"/>
              </w:rPr>
              <w:t xml:space="preserve">Payment for the Depository institution services according to this Agreement and the tariffs of the Depository </w:t>
            </w:r>
            <w:proofErr w:type="gramStart"/>
            <w:r w:rsidRPr="00E16672">
              <w:rPr>
                <w:rFonts w:ascii="Times New Roman" w:hAnsi="Times New Roman"/>
                <w:sz w:val="16"/>
                <w:szCs w:val="16"/>
                <w:lang w:val="en-GB"/>
              </w:rPr>
              <w:t>institution  is</w:t>
            </w:r>
            <w:proofErr w:type="gramEnd"/>
            <w:r w:rsidRPr="00E16672">
              <w:rPr>
                <w:rFonts w:ascii="Times New Roman" w:hAnsi="Times New Roman"/>
                <w:sz w:val="16"/>
                <w:szCs w:val="16"/>
                <w:lang w:val="en-GB"/>
              </w:rPr>
              <w:t xml:space="preserve"> made in _____________(</w:t>
            </w:r>
            <w:r w:rsidRPr="00E16672">
              <w:rPr>
                <w:rFonts w:ascii="Times New Roman" w:hAnsi="Times New Roman"/>
                <w:i/>
                <w:sz w:val="16"/>
                <w:szCs w:val="16"/>
                <w:lang w:val="en-GB"/>
              </w:rPr>
              <w:t>USD/EUR/ other currency</w:t>
            </w:r>
            <w:r w:rsidRPr="00E16672">
              <w:rPr>
                <w:rFonts w:ascii="Times New Roman" w:hAnsi="Times New Roman"/>
                <w:sz w:val="16"/>
                <w:szCs w:val="16"/>
                <w:lang w:val="en-GB"/>
              </w:rPr>
              <w:t xml:space="preserve">) on the basis of NBU rate on </w:t>
            </w:r>
            <w:r w:rsidRPr="00E16672">
              <w:rPr>
                <w:rFonts w:ascii="Times New Roman" w:hAnsi="Times New Roman"/>
                <w:sz w:val="16"/>
                <w:szCs w:val="16"/>
                <w:lang w:val="en-US"/>
              </w:rPr>
              <w:t>s</w:t>
            </w:r>
            <w:proofErr w:type="spellStart"/>
            <w:r w:rsidRPr="00E16672">
              <w:rPr>
                <w:rFonts w:ascii="Times New Roman" w:hAnsi="Times New Roman"/>
                <w:sz w:val="16"/>
                <w:szCs w:val="16"/>
                <w:lang w:val="en-GB"/>
              </w:rPr>
              <w:t>tatement</w:t>
            </w:r>
            <w:proofErr w:type="spellEnd"/>
            <w:r w:rsidRPr="00E16672">
              <w:rPr>
                <w:rFonts w:ascii="Times New Roman" w:hAnsi="Times New Roman"/>
                <w:sz w:val="16"/>
                <w:szCs w:val="16"/>
                <w:lang w:val="en-GB"/>
              </w:rPr>
              <w:t>’ date</w:t>
            </w:r>
            <w:r w:rsidRPr="00E16672">
              <w:rPr>
                <w:rFonts w:ascii="Times New Roman" w:hAnsi="Times New Roman"/>
                <w:sz w:val="16"/>
                <w:szCs w:val="16"/>
                <w:lang w:val="en-US"/>
              </w:rPr>
              <w:t xml:space="preserve"> or invoice’s date</w:t>
            </w:r>
            <w:r w:rsidRPr="00E16672">
              <w:rPr>
                <w:rFonts w:ascii="Times New Roman" w:hAnsi="Times New Roman"/>
                <w:sz w:val="16"/>
                <w:szCs w:val="16"/>
                <w:lang w:val="en-GB"/>
              </w:rPr>
              <w:t>.</w:t>
            </w:r>
          </w:p>
          <w:p w14:paraId="5CF8F8F1" w14:textId="77777777" w:rsidR="00EB25FE" w:rsidRPr="00E16672" w:rsidRDefault="00EB25FE" w:rsidP="00794B3F">
            <w:pPr>
              <w:pStyle w:val="210"/>
              <w:tabs>
                <w:tab w:val="left" w:pos="182"/>
                <w:tab w:val="left" w:pos="287"/>
                <w:tab w:val="left" w:pos="1191"/>
              </w:tabs>
              <w:snapToGrid w:val="0"/>
              <w:ind w:left="145" w:right="100" w:firstLine="7"/>
              <w:rPr>
                <w:rFonts w:ascii="Times New Roman" w:hAnsi="Times New Roman"/>
                <w:sz w:val="16"/>
                <w:szCs w:val="16"/>
                <w:lang w:val="en-GB"/>
              </w:rPr>
            </w:pPr>
          </w:p>
        </w:tc>
      </w:tr>
      <w:tr w:rsidR="00EB25FE" w:rsidRPr="00A26EFC" w14:paraId="453F23D0" w14:textId="77777777" w:rsidTr="005E418B">
        <w:tblPrEx>
          <w:tblCellMar>
            <w:left w:w="0" w:type="dxa"/>
            <w:right w:w="0" w:type="dxa"/>
          </w:tblCellMar>
        </w:tblPrEx>
        <w:trPr>
          <w:trHeight w:val="192"/>
        </w:trPr>
        <w:tc>
          <w:tcPr>
            <w:tcW w:w="5695" w:type="dxa"/>
            <w:gridSpan w:val="7"/>
            <w:shd w:val="clear" w:color="auto" w:fill="auto"/>
          </w:tcPr>
          <w:p w14:paraId="181F359F" w14:textId="77777777" w:rsidR="00EB25FE" w:rsidRPr="00E16672" w:rsidRDefault="00EB25FE" w:rsidP="00794B3F">
            <w:pPr>
              <w:pStyle w:val="310"/>
              <w:tabs>
                <w:tab w:val="left" w:pos="182"/>
              </w:tabs>
              <w:ind w:left="175" w:right="138" w:firstLine="7"/>
              <w:rPr>
                <w:rFonts w:ascii="Times New Roman" w:hAnsi="Times New Roman"/>
                <w:sz w:val="16"/>
                <w:szCs w:val="16"/>
              </w:rPr>
            </w:pPr>
            <w:r w:rsidRPr="00E16672">
              <w:rPr>
                <w:rFonts w:ascii="Times New Roman" w:hAnsi="Times New Roman"/>
                <w:sz w:val="16"/>
                <w:szCs w:val="16"/>
              </w:rPr>
              <w:t>4.3. Підтвердженням виконання послуг Депозитарної установи є акт виконаних Депозитарною установою операцій, який складається:</w:t>
            </w:r>
          </w:p>
          <w:p w14:paraId="0058DCC6" w14:textId="77777777" w:rsidR="00EB25FE" w:rsidRPr="00E16672" w:rsidRDefault="00EB25FE" w:rsidP="00794B3F">
            <w:pPr>
              <w:pStyle w:val="310"/>
              <w:tabs>
                <w:tab w:val="left" w:pos="182"/>
              </w:tabs>
              <w:snapToGrid w:val="0"/>
              <w:ind w:left="175" w:right="138" w:firstLine="7"/>
              <w:rPr>
                <w:rFonts w:ascii="Times New Roman" w:hAnsi="Times New Roman"/>
                <w:sz w:val="16"/>
                <w:szCs w:val="16"/>
              </w:rPr>
            </w:pPr>
          </w:p>
        </w:tc>
        <w:tc>
          <w:tcPr>
            <w:tcW w:w="5495" w:type="dxa"/>
            <w:gridSpan w:val="8"/>
            <w:shd w:val="clear" w:color="auto" w:fill="auto"/>
          </w:tcPr>
          <w:p w14:paraId="6C1A3A65" w14:textId="77777777" w:rsidR="00EB25FE" w:rsidRPr="00E16672" w:rsidRDefault="00EB25FE" w:rsidP="00794B3F">
            <w:pPr>
              <w:tabs>
                <w:tab w:val="left" w:pos="182"/>
                <w:tab w:val="left" w:pos="287"/>
              </w:tabs>
              <w:snapToGrid w:val="0"/>
              <w:ind w:left="145" w:right="100" w:firstLine="7"/>
              <w:rPr>
                <w:rFonts w:ascii="Times New Roman" w:hAnsi="Times New Roman"/>
                <w:sz w:val="16"/>
                <w:szCs w:val="16"/>
                <w:lang w:val="en-US"/>
              </w:rPr>
            </w:pPr>
            <w:r w:rsidRPr="00E16672">
              <w:rPr>
                <w:rFonts w:ascii="Times New Roman" w:hAnsi="Times New Roman"/>
                <w:sz w:val="16"/>
                <w:szCs w:val="16"/>
                <w:lang w:val="en-GB"/>
              </w:rPr>
              <w:t xml:space="preserve">4.3. </w:t>
            </w:r>
            <w:r w:rsidRPr="00E16672">
              <w:rPr>
                <w:rFonts w:ascii="Times New Roman" w:hAnsi="Times New Roman"/>
                <w:sz w:val="16"/>
                <w:szCs w:val="16"/>
                <w:shd w:val="clear" w:color="auto" w:fill="FFFFFF"/>
                <w:lang w:val="en-GB"/>
              </w:rPr>
              <w:t xml:space="preserve">Confirmation of implementation of services of </w:t>
            </w:r>
            <w:r w:rsidRPr="00E16672">
              <w:rPr>
                <w:rFonts w:ascii="Times New Roman" w:hAnsi="Times New Roman"/>
                <w:sz w:val="16"/>
                <w:szCs w:val="16"/>
                <w:lang w:val="en-GB"/>
              </w:rPr>
              <w:t xml:space="preserve">Depository </w:t>
            </w:r>
            <w:proofErr w:type="gramStart"/>
            <w:r w:rsidRPr="00E16672">
              <w:rPr>
                <w:rFonts w:ascii="Times New Roman" w:hAnsi="Times New Roman"/>
                <w:sz w:val="16"/>
                <w:szCs w:val="16"/>
                <w:lang w:val="en-GB"/>
              </w:rPr>
              <w:t xml:space="preserve">institution  </w:t>
            </w:r>
            <w:r w:rsidRPr="00E16672">
              <w:rPr>
                <w:rFonts w:ascii="Times New Roman" w:hAnsi="Times New Roman"/>
                <w:sz w:val="16"/>
                <w:szCs w:val="16"/>
                <w:shd w:val="clear" w:color="auto" w:fill="FFFFFF"/>
                <w:lang w:val="en-GB"/>
              </w:rPr>
              <w:t>is</w:t>
            </w:r>
            <w:proofErr w:type="gramEnd"/>
            <w:r w:rsidRPr="00E16672">
              <w:rPr>
                <w:rFonts w:ascii="Times New Roman" w:hAnsi="Times New Roman"/>
                <w:sz w:val="16"/>
                <w:szCs w:val="16"/>
                <w:shd w:val="clear" w:color="auto" w:fill="FFFFFF"/>
                <w:lang w:val="en-GB"/>
              </w:rPr>
              <w:t xml:space="preserve"> a Statement of executed by Depository institution of operations, which is folded:</w:t>
            </w:r>
          </w:p>
        </w:tc>
      </w:tr>
      <w:tr w:rsidR="00EB25FE" w:rsidRPr="00A26EFC" w14:paraId="199992BE" w14:textId="77777777" w:rsidTr="005E418B">
        <w:tblPrEx>
          <w:tblCellMar>
            <w:left w:w="0" w:type="dxa"/>
            <w:right w:w="0" w:type="dxa"/>
          </w:tblCellMar>
        </w:tblPrEx>
        <w:trPr>
          <w:trHeight w:val="192"/>
        </w:trPr>
        <w:tc>
          <w:tcPr>
            <w:tcW w:w="5695" w:type="dxa"/>
            <w:gridSpan w:val="7"/>
            <w:shd w:val="clear" w:color="auto" w:fill="auto"/>
          </w:tcPr>
          <w:p w14:paraId="224DB2D0" w14:textId="77777777" w:rsidR="00EB25FE" w:rsidRPr="00E16672" w:rsidRDefault="00EB25FE" w:rsidP="000179AC">
            <w:pPr>
              <w:pStyle w:val="310"/>
              <w:tabs>
                <w:tab w:val="left" w:pos="182"/>
              </w:tabs>
              <w:ind w:left="175" w:right="138" w:firstLine="7"/>
              <w:rPr>
                <w:rFonts w:ascii="Times New Roman" w:hAnsi="Times New Roman"/>
                <w:color w:val="000000"/>
                <w:sz w:val="16"/>
                <w:szCs w:val="16"/>
              </w:rPr>
            </w:pPr>
            <w:r w:rsidRPr="00E16672">
              <w:rPr>
                <w:rFonts w:ascii="Times New Roman" w:hAnsi="Times New Roman"/>
                <w:color w:val="000000"/>
                <w:sz w:val="16"/>
                <w:szCs w:val="16"/>
              </w:rPr>
              <w:t xml:space="preserve">- по виконаним Депозитарною установою адміністративним, обліковим, інформаційним та іншим операціям по рахунку </w:t>
            </w:r>
            <w:r w:rsidR="00C22309" w:rsidRPr="00E16672">
              <w:rPr>
                <w:rFonts w:ascii="Times New Roman" w:hAnsi="Times New Roman"/>
                <w:color w:val="000000"/>
                <w:sz w:val="16"/>
                <w:szCs w:val="16"/>
              </w:rPr>
              <w:t>в цін</w:t>
            </w:r>
            <w:r w:rsidRPr="00E16672">
              <w:rPr>
                <w:rFonts w:ascii="Times New Roman" w:hAnsi="Times New Roman"/>
                <w:color w:val="000000"/>
                <w:sz w:val="16"/>
                <w:szCs w:val="16"/>
              </w:rPr>
              <w:t xml:space="preserve">них паперах - у день проведення операцій або на останній день місяця, в якому їх виконано, підписується Депозитарною установою у двох оригіналах та подається </w:t>
            </w:r>
            <w:r w:rsidR="000179AC" w:rsidRPr="00E16672">
              <w:rPr>
                <w:rFonts w:ascii="Times New Roman" w:hAnsi="Times New Roman"/>
                <w:color w:val="000000"/>
                <w:sz w:val="16"/>
                <w:szCs w:val="16"/>
              </w:rPr>
              <w:t>Номінальному утримувачу</w:t>
            </w:r>
            <w:r w:rsidRPr="00E16672">
              <w:rPr>
                <w:rFonts w:ascii="Times New Roman" w:hAnsi="Times New Roman"/>
                <w:color w:val="000000"/>
                <w:sz w:val="16"/>
                <w:szCs w:val="16"/>
              </w:rPr>
              <w:t xml:space="preserve"> для підписання особисто або направляється поштою в адресу </w:t>
            </w:r>
            <w:r w:rsidR="000179AC" w:rsidRPr="00E16672">
              <w:rPr>
                <w:rFonts w:ascii="Times New Roman" w:hAnsi="Times New Roman"/>
                <w:color w:val="000000"/>
                <w:sz w:val="16"/>
                <w:szCs w:val="16"/>
              </w:rPr>
              <w:t>Номінального утримувача</w:t>
            </w:r>
            <w:r w:rsidRPr="00E16672">
              <w:rPr>
                <w:rFonts w:ascii="Times New Roman" w:hAnsi="Times New Roman"/>
                <w:color w:val="000000"/>
                <w:sz w:val="16"/>
                <w:szCs w:val="16"/>
              </w:rPr>
              <w:t xml:space="preserve"> (або іншим способом за домовленістю з </w:t>
            </w:r>
            <w:r w:rsidR="000179AC" w:rsidRPr="00E16672">
              <w:rPr>
                <w:rFonts w:ascii="Times New Roman" w:hAnsi="Times New Roman"/>
                <w:color w:val="000000"/>
                <w:sz w:val="16"/>
                <w:szCs w:val="16"/>
              </w:rPr>
              <w:t>Номінальним утримувачем</w:t>
            </w:r>
            <w:r w:rsidRPr="00E16672">
              <w:rPr>
                <w:rFonts w:ascii="Times New Roman" w:hAnsi="Times New Roman"/>
                <w:color w:val="000000"/>
                <w:sz w:val="16"/>
                <w:szCs w:val="16"/>
              </w:rPr>
              <w:t xml:space="preserve">) протягом не більш як </w:t>
            </w:r>
            <w:r w:rsidRPr="00E16672">
              <w:rPr>
                <w:rFonts w:ascii="Times New Roman" w:hAnsi="Times New Roman"/>
                <w:i/>
                <w:color w:val="000000"/>
                <w:sz w:val="16"/>
                <w:szCs w:val="16"/>
              </w:rPr>
              <w:t>п’ять</w:t>
            </w:r>
            <w:r w:rsidRPr="00E16672">
              <w:rPr>
                <w:rFonts w:ascii="Times New Roman" w:hAnsi="Times New Roman"/>
                <w:color w:val="000000"/>
                <w:sz w:val="16"/>
                <w:szCs w:val="16"/>
              </w:rPr>
              <w:t xml:space="preserve"> робочих днів з моменту підписання;</w:t>
            </w:r>
          </w:p>
        </w:tc>
        <w:tc>
          <w:tcPr>
            <w:tcW w:w="5495" w:type="dxa"/>
            <w:gridSpan w:val="8"/>
            <w:shd w:val="clear" w:color="auto" w:fill="auto"/>
          </w:tcPr>
          <w:p w14:paraId="19D19DA5" w14:textId="77777777" w:rsidR="00EB25FE" w:rsidRPr="00E16672" w:rsidRDefault="00EB25FE" w:rsidP="000179AC">
            <w:pPr>
              <w:pStyle w:val="210"/>
              <w:tabs>
                <w:tab w:val="left" w:pos="182"/>
                <w:tab w:val="left" w:pos="287"/>
                <w:tab w:val="left" w:pos="1191"/>
              </w:tabs>
              <w:snapToGrid w:val="0"/>
              <w:ind w:left="145" w:right="100" w:firstLine="7"/>
              <w:rPr>
                <w:rFonts w:ascii="Times New Roman" w:hAnsi="Times New Roman"/>
                <w:color w:val="000000"/>
                <w:sz w:val="16"/>
                <w:szCs w:val="16"/>
              </w:rPr>
            </w:pPr>
            <w:r w:rsidRPr="00E16672">
              <w:rPr>
                <w:rFonts w:ascii="Times New Roman" w:hAnsi="Times New Roman"/>
                <w:color w:val="000000"/>
                <w:sz w:val="16"/>
                <w:szCs w:val="16"/>
                <w:shd w:val="clear" w:color="auto" w:fill="FFFFFF"/>
                <w:lang w:val="en-GB"/>
              </w:rPr>
              <w:t xml:space="preserve">- performed by the </w:t>
            </w:r>
            <w:r w:rsidRPr="00E16672">
              <w:rPr>
                <w:rFonts w:ascii="Times New Roman" w:hAnsi="Times New Roman"/>
                <w:color w:val="000000"/>
                <w:sz w:val="16"/>
                <w:szCs w:val="16"/>
                <w:lang w:val="en-GB"/>
              </w:rPr>
              <w:t xml:space="preserve">Depository institution  </w:t>
            </w:r>
            <w:r w:rsidRPr="00E16672">
              <w:rPr>
                <w:rFonts w:ascii="Times New Roman" w:hAnsi="Times New Roman"/>
                <w:color w:val="000000"/>
                <w:sz w:val="16"/>
                <w:szCs w:val="16"/>
                <w:shd w:val="clear" w:color="auto" w:fill="FFFFFF"/>
                <w:lang w:val="en-GB"/>
              </w:rPr>
              <w:t xml:space="preserve">of the administrative, accounting, information and other operations on the securities account – on the day of the operation or the last day of the month in which they are performed, </w:t>
            </w:r>
            <w:proofErr w:type="spellStart"/>
            <w:r w:rsidRPr="00E16672">
              <w:rPr>
                <w:rFonts w:ascii="Times New Roman" w:hAnsi="Times New Roman"/>
                <w:color w:val="000000"/>
                <w:sz w:val="16"/>
                <w:szCs w:val="16"/>
              </w:rPr>
              <w:t>signed</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by</w:t>
            </w:r>
            <w:proofErr w:type="spellEnd"/>
            <w:r w:rsidRPr="00E16672">
              <w:rPr>
                <w:rFonts w:ascii="Times New Roman" w:hAnsi="Times New Roman"/>
                <w:color w:val="000000"/>
                <w:sz w:val="16"/>
                <w:szCs w:val="16"/>
              </w:rPr>
              <w:t xml:space="preserve"> </w:t>
            </w:r>
            <w:r w:rsidRPr="00E16672">
              <w:rPr>
                <w:rFonts w:ascii="Times New Roman" w:hAnsi="Times New Roman"/>
                <w:color w:val="000000"/>
                <w:sz w:val="16"/>
                <w:szCs w:val="16"/>
                <w:lang w:val="en-US"/>
              </w:rPr>
              <w:t>D</w:t>
            </w:r>
            <w:proofErr w:type="spellStart"/>
            <w:r w:rsidRPr="00E16672">
              <w:rPr>
                <w:rFonts w:ascii="Times New Roman" w:hAnsi="Times New Roman"/>
                <w:color w:val="000000"/>
                <w:sz w:val="16"/>
                <w:szCs w:val="16"/>
              </w:rPr>
              <w:t>epository</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institutions</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in</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two</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originals</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and</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submitted</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for</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signature</w:t>
            </w:r>
            <w:proofErr w:type="spellEnd"/>
            <w:r w:rsidRPr="00E16672">
              <w:rPr>
                <w:rFonts w:ascii="Times New Roman" w:hAnsi="Times New Roman"/>
                <w:color w:val="000000"/>
                <w:sz w:val="16"/>
                <w:szCs w:val="16"/>
              </w:rPr>
              <w:t xml:space="preserve"> </w:t>
            </w:r>
            <w:r w:rsidRPr="00E16672">
              <w:rPr>
                <w:rFonts w:ascii="Times New Roman" w:hAnsi="Times New Roman"/>
                <w:color w:val="000000"/>
                <w:sz w:val="16"/>
                <w:szCs w:val="16"/>
                <w:lang w:val="en-US"/>
              </w:rPr>
              <w:t>to</w:t>
            </w:r>
            <w:r w:rsidRPr="00E16672">
              <w:rPr>
                <w:rFonts w:ascii="Times New Roman" w:hAnsi="Times New Roman"/>
                <w:color w:val="000000"/>
                <w:sz w:val="16"/>
                <w:szCs w:val="16"/>
              </w:rPr>
              <w:t xml:space="preserve"> </w:t>
            </w:r>
            <w:r w:rsidR="000179AC" w:rsidRPr="00E16672">
              <w:rPr>
                <w:rFonts w:ascii="Times New Roman" w:hAnsi="Times New Roman"/>
                <w:sz w:val="16"/>
                <w:szCs w:val="16"/>
                <w:lang w:val="en-US"/>
              </w:rPr>
              <w:t>Nominee holder</w:t>
            </w:r>
            <w:r w:rsidR="000179AC"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in</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person</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or</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sent</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by</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post</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to</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the</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address</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of</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the</w:t>
            </w:r>
            <w:proofErr w:type="spellEnd"/>
            <w:r w:rsidRPr="00E16672">
              <w:rPr>
                <w:rFonts w:ascii="Times New Roman" w:hAnsi="Times New Roman"/>
                <w:color w:val="000000"/>
                <w:sz w:val="16"/>
                <w:szCs w:val="16"/>
              </w:rPr>
              <w:t xml:space="preserve"> </w:t>
            </w:r>
            <w:r w:rsidR="000179AC" w:rsidRPr="00E16672">
              <w:rPr>
                <w:rFonts w:ascii="Times New Roman" w:hAnsi="Times New Roman"/>
                <w:sz w:val="16"/>
                <w:szCs w:val="16"/>
                <w:lang w:val="en-US"/>
              </w:rPr>
              <w:t>Nominee holder</w:t>
            </w:r>
            <w:r w:rsidRPr="00E16672">
              <w:rPr>
                <w:rFonts w:ascii="Times New Roman" w:hAnsi="Times New Roman"/>
                <w:color w:val="000000"/>
                <w:sz w:val="16"/>
                <w:szCs w:val="16"/>
                <w:lang w:val="en-US"/>
              </w:rPr>
              <w:t xml:space="preserve"> </w:t>
            </w:r>
            <w:r w:rsidRPr="00E16672">
              <w:rPr>
                <w:rStyle w:val="hps"/>
                <w:rFonts w:ascii="Times New Roman" w:hAnsi="Times New Roman"/>
                <w:color w:val="000000"/>
                <w:sz w:val="16"/>
                <w:szCs w:val="16"/>
              </w:rPr>
              <w:t>(</w:t>
            </w:r>
            <w:proofErr w:type="spellStart"/>
            <w:r w:rsidRPr="00E16672">
              <w:rPr>
                <w:rStyle w:val="hps"/>
                <w:rFonts w:ascii="Times New Roman" w:hAnsi="Times New Roman"/>
                <w:color w:val="000000"/>
                <w:sz w:val="16"/>
                <w:szCs w:val="16"/>
              </w:rPr>
              <w:t>or</w:t>
            </w:r>
            <w:proofErr w:type="spellEnd"/>
            <w:r w:rsidRPr="00E16672">
              <w:rPr>
                <w:rStyle w:val="shorttext"/>
                <w:rFonts w:ascii="Times New Roman" w:hAnsi="Times New Roman"/>
                <w:color w:val="000000"/>
                <w:sz w:val="16"/>
                <w:szCs w:val="16"/>
              </w:rPr>
              <w:t xml:space="preserve"> </w:t>
            </w:r>
            <w:proofErr w:type="spellStart"/>
            <w:r w:rsidRPr="00E16672">
              <w:rPr>
                <w:rStyle w:val="hpsalt-edited"/>
                <w:rFonts w:ascii="Times New Roman" w:hAnsi="Times New Roman"/>
                <w:color w:val="000000"/>
                <w:sz w:val="16"/>
                <w:szCs w:val="16"/>
              </w:rPr>
              <w:t>another</w:t>
            </w:r>
            <w:proofErr w:type="spellEnd"/>
            <w:r w:rsidRPr="00E16672">
              <w:rPr>
                <w:rStyle w:val="hpsalt-edited"/>
                <w:rFonts w:ascii="Times New Roman" w:hAnsi="Times New Roman"/>
                <w:color w:val="000000"/>
                <w:sz w:val="16"/>
                <w:szCs w:val="16"/>
              </w:rPr>
              <w:t xml:space="preserve"> </w:t>
            </w:r>
            <w:proofErr w:type="spellStart"/>
            <w:r w:rsidRPr="00E16672">
              <w:rPr>
                <w:rStyle w:val="hpsalt-edited"/>
                <w:rFonts w:ascii="Times New Roman" w:hAnsi="Times New Roman"/>
                <w:color w:val="000000"/>
                <w:sz w:val="16"/>
                <w:szCs w:val="16"/>
              </w:rPr>
              <w:t>way</w:t>
            </w:r>
            <w:proofErr w:type="spellEnd"/>
            <w:r w:rsidRPr="00E16672">
              <w:rPr>
                <w:rStyle w:val="shorttext"/>
                <w:rFonts w:ascii="Times New Roman" w:hAnsi="Times New Roman"/>
                <w:color w:val="000000"/>
                <w:sz w:val="16"/>
                <w:szCs w:val="16"/>
              </w:rPr>
              <w:t xml:space="preserve"> </w:t>
            </w:r>
            <w:proofErr w:type="spellStart"/>
            <w:r w:rsidRPr="00E16672">
              <w:rPr>
                <w:rStyle w:val="hps"/>
                <w:rFonts w:ascii="Times New Roman" w:hAnsi="Times New Roman"/>
                <w:color w:val="000000"/>
                <w:sz w:val="16"/>
                <w:szCs w:val="16"/>
              </w:rPr>
              <w:t>by</w:t>
            </w:r>
            <w:proofErr w:type="spellEnd"/>
            <w:r w:rsidRPr="00E16672">
              <w:rPr>
                <w:rStyle w:val="hps"/>
                <w:rFonts w:ascii="Times New Roman" w:hAnsi="Times New Roman"/>
                <w:color w:val="000000"/>
                <w:sz w:val="16"/>
                <w:szCs w:val="16"/>
              </w:rPr>
              <w:t xml:space="preserve"> </w:t>
            </w:r>
            <w:proofErr w:type="spellStart"/>
            <w:r w:rsidRPr="00E16672">
              <w:rPr>
                <w:rStyle w:val="hpsalt-edited"/>
                <w:rFonts w:ascii="Times New Roman" w:hAnsi="Times New Roman"/>
                <w:color w:val="000000"/>
                <w:sz w:val="16"/>
                <w:szCs w:val="16"/>
              </w:rPr>
              <w:t>understanding</w:t>
            </w:r>
            <w:proofErr w:type="spellEnd"/>
            <w:r w:rsidRPr="00E16672">
              <w:rPr>
                <w:rStyle w:val="hpsalt-edited"/>
                <w:rFonts w:ascii="Times New Roman" w:hAnsi="Times New Roman"/>
                <w:color w:val="000000"/>
                <w:sz w:val="16"/>
                <w:szCs w:val="16"/>
              </w:rPr>
              <w:t xml:space="preserve"> </w:t>
            </w:r>
            <w:proofErr w:type="spellStart"/>
            <w:r w:rsidRPr="00E16672">
              <w:rPr>
                <w:rStyle w:val="hps"/>
                <w:rFonts w:ascii="Times New Roman" w:hAnsi="Times New Roman"/>
                <w:color w:val="000000"/>
                <w:sz w:val="16"/>
                <w:szCs w:val="16"/>
              </w:rPr>
              <w:t>with</w:t>
            </w:r>
            <w:proofErr w:type="spellEnd"/>
            <w:r w:rsidRPr="00E16672">
              <w:rPr>
                <w:rStyle w:val="hps"/>
                <w:rFonts w:ascii="Times New Roman" w:hAnsi="Times New Roman"/>
                <w:color w:val="000000"/>
                <w:sz w:val="16"/>
                <w:szCs w:val="16"/>
              </w:rPr>
              <w:t xml:space="preserve"> </w:t>
            </w:r>
            <w:proofErr w:type="spellStart"/>
            <w:r w:rsidRPr="00E16672">
              <w:rPr>
                <w:rStyle w:val="hps"/>
                <w:rFonts w:ascii="Times New Roman" w:hAnsi="Times New Roman"/>
                <w:color w:val="000000"/>
                <w:sz w:val="16"/>
                <w:szCs w:val="16"/>
              </w:rPr>
              <w:t>the</w:t>
            </w:r>
            <w:proofErr w:type="spellEnd"/>
            <w:r w:rsidRPr="00E16672">
              <w:rPr>
                <w:rStyle w:val="shorttext"/>
                <w:rFonts w:ascii="Times New Roman" w:hAnsi="Times New Roman"/>
                <w:color w:val="000000"/>
                <w:sz w:val="16"/>
                <w:szCs w:val="16"/>
              </w:rPr>
              <w:t xml:space="preserve"> </w:t>
            </w:r>
            <w:r w:rsidR="000179AC" w:rsidRPr="00E16672">
              <w:rPr>
                <w:rFonts w:ascii="Times New Roman" w:hAnsi="Times New Roman"/>
                <w:sz w:val="16"/>
                <w:szCs w:val="16"/>
                <w:lang w:val="en-US"/>
              </w:rPr>
              <w:t>Nominee holder</w:t>
            </w:r>
            <w:r w:rsidRPr="00E16672">
              <w:rPr>
                <w:rStyle w:val="shorttext"/>
                <w:rFonts w:ascii="Times New Roman" w:hAnsi="Times New Roman"/>
                <w:color w:val="000000"/>
                <w:sz w:val="16"/>
                <w:szCs w:val="16"/>
              </w:rPr>
              <w:t>)</w:t>
            </w:r>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for</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no</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more</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than</w:t>
            </w:r>
            <w:proofErr w:type="spellEnd"/>
            <w:r w:rsidRPr="00E16672">
              <w:rPr>
                <w:rFonts w:ascii="Times New Roman" w:hAnsi="Times New Roman"/>
                <w:color w:val="000000"/>
                <w:sz w:val="16"/>
                <w:szCs w:val="16"/>
              </w:rPr>
              <w:t xml:space="preserve"> 5 </w:t>
            </w:r>
            <w:proofErr w:type="spellStart"/>
            <w:r w:rsidRPr="00E16672">
              <w:rPr>
                <w:rFonts w:ascii="Times New Roman" w:hAnsi="Times New Roman"/>
                <w:color w:val="000000"/>
                <w:sz w:val="16"/>
                <w:szCs w:val="16"/>
              </w:rPr>
              <w:t>business</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days</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from</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the</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date</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of</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signing</w:t>
            </w:r>
            <w:proofErr w:type="spellEnd"/>
            <w:r w:rsidRPr="00E16672">
              <w:rPr>
                <w:rFonts w:ascii="Times New Roman" w:hAnsi="Times New Roman"/>
                <w:color w:val="000000"/>
                <w:sz w:val="16"/>
                <w:szCs w:val="16"/>
              </w:rPr>
              <w:t>;</w:t>
            </w:r>
          </w:p>
        </w:tc>
      </w:tr>
      <w:tr w:rsidR="00EB25FE" w:rsidRPr="00A26EFC" w14:paraId="378F9056" w14:textId="77777777" w:rsidTr="005E418B">
        <w:tblPrEx>
          <w:tblCellMar>
            <w:left w:w="0" w:type="dxa"/>
            <w:right w:w="0" w:type="dxa"/>
          </w:tblCellMar>
        </w:tblPrEx>
        <w:trPr>
          <w:trHeight w:val="192"/>
        </w:trPr>
        <w:tc>
          <w:tcPr>
            <w:tcW w:w="5695" w:type="dxa"/>
            <w:gridSpan w:val="7"/>
            <w:shd w:val="clear" w:color="auto" w:fill="auto"/>
          </w:tcPr>
          <w:p w14:paraId="339F47A9" w14:textId="77777777" w:rsidR="00EB25FE" w:rsidRPr="00E16672" w:rsidRDefault="00EB25FE" w:rsidP="000179AC">
            <w:pPr>
              <w:pStyle w:val="310"/>
              <w:tabs>
                <w:tab w:val="left" w:pos="182"/>
              </w:tabs>
              <w:ind w:left="175" w:right="138" w:firstLine="7"/>
              <w:rPr>
                <w:rFonts w:ascii="Times New Roman" w:hAnsi="Times New Roman"/>
                <w:color w:val="000000"/>
                <w:sz w:val="16"/>
                <w:szCs w:val="16"/>
              </w:rPr>
            </w:pPr>
            <w:r w:rsidRPr="00E16672">
              <w:rPr>
                <w:rFonts w:ascii="Times New Roman" w:hAnsi="Times New Roman"/>
                <w:color w:val="000000"/>
                <w:sz w:val="16"/>
                <w:szCs w:val="16"/>
              </w:rPr>
              <w:t xml:space="preserve">-за облік ЦП на рахунку у ЦП - на останній день кварталу, в якому їх виконано, підписується Депозитарною установою у двох оригіналах та подається </w:t>
            </w:r>
            <w:r w:rsidR="000179AC" w:rsidRPr="00E16672">
              <w:rPr>
                <w:rFonts w:ascii="Times New Roman" w:hAnsi="Times New Roman"/>
                <w:color w:val="000000"/>
                <w:sz w:val="16"/>
                <w:szCs w:val="16"/>
              </w:rPr>
              <w:t>Номінальному утримувачу</w:t>
            </w:r>
            <w:r w:rsidRPr="00E16672">
              <w:rPr>
                <w:rFonts w:ascii="Times New Roman" w:hAnsi="Times New Roman"/>
                <w:color w:val="000000"/>
                <w:sz w:val="16"/>
                <w:szCs w:val="16"/>
              </w:rPr>
              <w:t xml:space="preserve"> для підписання особисто або направляється поштою в адресу </w:t>
            </w:r>
            <w:r w:rsidR="000179AC" w:rsidRPr="00E16672">
              <w:rPr>
                <w:rFonts w:ascii="Times New Roman" w:hAnsi="Times New Roman"/>
                <w:color w:val="000000"/>
                <w:sz w:val="16"/>
                <w:szCs w:val="16"/>
              </w:rPr>
              <w:t>Номінального утримувача</w:t>
            </w:r>
            <w:r w:rsidRPr="00E16672">
              <w:rPr>
                <w:rFonts w:ascii="Times New Roman" w:hAnsi="Times New Roman"/>
                <w:color w:val="000000"/>
                <w:sz w:val="16"/>
                <w:szCs w:val="16"/>
              </w:rPr>
              <w:t xml:space="preserve"> (або іншим способом за домовленістю з </w:t>
            </w:r>
            <w:r w:rsidR="000179AC" w:rsidRPr="00E16672">
              <w:rPr>
                <w:rFonts w:ascii="Times New Roman" w:hAnsi="Times New Roman"/>
                <w:color w:val="000000"/>
                <w:sz w:val="16"/>
                <w:szCs w:val="16"/>
              </w:rPr>
              <w:t xml:space="preserve">Номінальним </w:t>
            </w:r>
            <w:proofErr w:type="spellStart"/>
            <w:r w:rsidR="000179AC" w:rsidRPr="00E16672">
              <w:rPr>
                <w:rFonts w:ascii="Times New Roman" w:hAnsi="Times New Roman"/>
                <w:color w:val="000000"/>
                <w:sz w:val="16"/>
                <w:szCs w:val="16"/>
              </w:rPr>
              <w:t>уримувачем</w:t>
            </w:r>
            <w:proofErr w:type="spellEnd"/>
            <w:r w:rsidRPr="00E16672">
              <w:rPr>
                <w:rFonts w:ascii="Times New Roman" w:hAnsi="Times New Roman"/>
                <w:color w:val="000000"/>
                <w:sz w:val="16"/>
                <w:szCs w:val="16"/>
              </w:rPr>
              <w:t xml:space="preserve">) протягом не більше </w:t>
            </w:r>
            <w:r w:rsidRPr="00E16672">
              <w:rPr>
                <w:rFonts w:ascii="Times New Roman" w:hAnsi="Times New Roman"/>
                <w:i/>
                <w:color w:val="000000"/>
                <w:sz w:val="16"/>
                <w:szCs w:val="16"/>
              </w:rPr>
              <w:t>двадцяти</w:t>
            </w:r>
            <w:r w:rsidRPr="00E16672">
              <w:rPr>
                <w:rFonts w:ascii="Times New Roman" w:hAnsi="Times New Roman"/>
                <w:color w:val="000000"/>
                <w:sz w:val="16"/>
                <w:szCs w:val="16"/>
              </w:rPr>
              <w:t xml:space="preserve"> робочих днів з моменту підписання. </w:t>
            </w:r>
          </w:p>
        </w:tc>
        <w:tc>
          <w:tcPr>
            <w:tcW w:w="5495" w:type="dxa"/>
            <w:gridSpan w:val="8"/>
            <w:shd w:val="clear" w:color="auto" w:fill="auto"/>
          </w:tcPr>
          <w:p w14:paraId="008CE08F" w14:textId="77777777" w:rsidR="00EB25FE" w:rsidRPr="00E16672" w:rsidRDefault="00EB25FE" w:rsidP="00794B3F">
            <w:pPr>
              <w:tabs>
                <w:tab w:val="left" w:pos="182"/>
                <w:tab w:val="left" w:pos="287"/>
              </w:tabs>
              <w:ind w:left="175" w:right="138" w:firstLine="7"/>
              <w:rPr>
                <w:rFonts w:ascii="Times New Roman" w:hAnsi="Times New Roman"/>
                <w:color w:val="000000"/>
                <w:sz w:val="16"/>
                <w:szCs w:val="16"/>
                <w:lang w:val="en-US"/>
              </w:rPr>
            </w:pPr>
            <w:r w:rsidRPr="00E16672">
              <w:rPr>
                <w:rFonts w:ascii="Times New Roman" w:hAnsi="Times New Roman"/>
                <w:color w:val="000000"/>
                <w:sz w:val="16"/>
                <w:szCs w:val="16"/>
                <w:shd w:val="clear" w:color="auto" w:fill="FFFFFF"/>
                <w:lang w:val="en-GB"/>
              </w:rPr>
              <w:t xml:space="preserve">- for accounting securities in </w:t>
            </w:r>
            <w:proofErr w:type="gramStart"/>
            <w:r w:rsidRPr="00E16672">
              <w:rPr>
                <w:rFonts w:ascii="Times New Roman" w:hAnsi="Times New Roman"/>
                <w:color w:val="000000"/>
                <w:sz w:val="16"/>
                <w:szCs w:val="16"/>
                <w:shd w:val="clear" w:color="auto" w:fill="FFFFFF"/>
                <w:lang w:val="en-GB"/>
              </w:rPr>
              <w:t>account  in</w:t>
            </w:r>
            <w:proofErr w:type="gramEnd"/>
            <w:r w:rsidRPr="00E16672">
              <w:rPr>
                <w:rFonts w:ascii="Times New Roman" w:hAnsi="Times New Roman"/>
                <w:color w:val="000000"/>
                <w:sz w:val="16"/>
                <w:szCs w:val="16"/>
                <w:shd w:val="clear" w:color="auto" w:fill="FFFFFF"/>
                <w:lang w:val="en-GB"/>
              </w:rPr>
              <w:t xml:space="preserve"> securities  - on the last day of the quarter in which they made, </w:t>
            </w:r>
            <w:proofErr w:type="spellStart"/>
            <w:r w:rsidRPr="00E16672">
              <w:rPr>
                <w:rFonts w:ascii="Times New Roman" w:hAnsi="Times New Roman"/>
                <w:color w:val="000000"/>
                <w:sz w:val="16"/>
                <w:szCs w:val="16"/>
                <w:lang w:val="uk-UA"/>
              </w:rPr>
              <w:t>signed</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by</w:t>
            </w:r>
            <w:proofErr w:type="spellEnd"/>
            <w:r w:rsidRPr="00E16672">
              <w:rPr>
                <w:rFonts w:ascii="Times New Roman" w:hAnsi="Times New Roman"/>
                <w:color w:val="000000"/>
                <w:sz w:val="16"/>
                <w:szCs w:val="16"/>
                <w:lang w:val="uk-UA"/>
              </w:rPr>
              <w:t xml:space="preserve"> </w:t>
            </w:r>
            <w:r w:rsidRPr="00E16672">
              <w:rPr>
                <w:rFonts w:ascii="Times New Roman" w:hAnsi="Times New Roman"/>
                <w:color w:val="000000"/>
                <w:sz w:val="16"/>
                <w:szCs w:val="16"/>
                <w:lang w:val="en-US"/>
              </w:rPr>
              <w:t>D</w:t>
            </w:r>
            <w:proofErr w:type="spellStart"/>
            <w:r w:rsidRPr="00E16672">
              <w:rPr>
                <w:rFonts w:ascii="Times New Roman" w:hAnsi="Times New Roman"/>
                <w:color w:val="000000"/>
                <w:sz w:val="16"/>
                <w:szCs w:val="16"/>
                <w:lang w:val="uk-UA"/>
              </w:rPr>
              <w:t>epository</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institutions</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in</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two</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originals</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and</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submitted</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for</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signature</w:t>
            </w:r>
            <w:proofErr w:type="spellEnd"/>
            <w:r w:rsidRPr="00E16672">
              <w:rPr>
                <w:rFonts w:ascii="Times New Roman" w:hAnsi="Times New Roman"/>
                <w:color w:val="000000"/>
                <w:sz w:val="16"/>
                <w:szCs w:val="16"/>
                <w:lang w:val="uk-UA"/>
              </w:rPr>
              <w:t xml:space="preserve"> </w:t>
            </w:r>
            <w:r w:rsidRPr="00E16672">
              <w:rPr>
                <w:rFonts w:ascii="Times New Roman" w:hAnsi="Times New Roman"/>
                <w:color w:val="000000"/>
                <w:sz w:val="16"/>
                <w:szCs w:val="16"/>
                <w:lang w:val="en-US"/>
              </w:rPr>
              <w:t>to</w:t>
            </w:r>
            <w:r w:rsidRPr="00E16672">
              <w:rPr>
                <w:rFonts w:ascii="Times New Roman" w:hAnsi="Times New Roman"/>
                <w:color w:val="000000"/>
                <w:sz w:val="16"/>
                <w:szCs w:val="16"/>
                <w:lang w:val="uk-UA"/>
              </w:rPr>
              <w:t xml:space="preserve"> </w:t>
            </w:r>
            <w:r w:rsidR="000179AC" w:rsidRPr="00E16672">
              <w:rPr>
                <w:rFonts w:ascii="Times New Roman" w:hAnsi="Times New Roman"/>
                <w:sz w:val="16"/>
                <w:szCs w:val="16"/>
                <w:lang w:val="en-US"/>
              </w:rPr>
              <w:t>Nominee holder</w:t>
            </w:r>
            <w:r w:rsidR="000179AC"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in</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person</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or</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sent</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by</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post</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to</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the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address</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of</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the</w:t>
            </w:r>
            <w:proofErr w:type="spellEnd"/>
            <w:r w:rsidRPr="00E16672">
              <w:rPr>
                <w:rFonts w:ascii="Times New Roman" w:hAnsi="Times New Roman"/>
                <w:color w:val="000000"/>
                <w:sz w:val="16"/>
                <w:szCs w:val="16"/>
                <w:lang w:val="uk-UA"/>
              </w:rPr>
              <w:t xml:space="preserve"> </w:t>
            </w:r>
            <w:r w:rsidR="000179AC" w:rsidRPr="00E16672">
              <w:rPr>
                <w:rFonts w:ascii="Times New Roman" w:hAnsi="Times New Roman"/>
                <w:sz w:val="16"/>
                <w:szCs w:val="16"/>
                <w:lang w:val="en-US"/>
              </w:rPr>
              <w:t>Nominee holder</w:t>
            </w:r>
            <w:r w:rsidR="000179AC" w:rsidRPr="00A26EFC">
              <w:rPr>
                <w:rStyle w:val="hps"/>
                <w:rFonts w:ascii="Times New Roman" w:hAnsi="Times New Roman"/>
                <w:color w:val="000000"/>
                <w:sz w:val="16"/>
                <w:szCs w:val="16"/>
                <w:lang w:val="en-US"/>
              </w:rPr>
              <w:t xml:space="preserve"> </w:t>
            </w:r>
            <w:r w:rsidRPr="00A26EFC">
              <w:rPr>
                <w:rStyle w:val="hps"/>
                <w:rFonts w:ascii="Times New Roman" w:hAnsi="Times New Roman"/>
                <w:color w:val="000000"/>
                <w:sz w:val="16"/>
                <w:szCs w:val="16"/>
                <w:lang w:val="en-US"/>
              </w:rPr>
              <w:t>(or</w:t>
            </w:r>
            <w:r w:rsidRPr="00A26EFC">
              <w:rPr>
                <w:rStyle w:val="shorttext"/>
                <w:rFonts w:ascii="Times New Roman" w:hAnsi="Times New Roman"/>
                <w:color w:val="000000"/>
                <w:sz w:val="16"/>
                <w:szCs w:val="16"/>
                <w:lang w:val="en-US"/>
              </w:rPr>
              <w:t xml:space="preserve"> </w:t>
            </w:r>
            <w:r w:rsidRPr="00A26EFC">
              <w:rPr>
                <w:rStyle w:val="hpsalt-edited"/>
                <w:rFonts w:ascii="Times New Roman" w:hAnsi="Times New Roman"/>
                <w:color w:val="000000"/>
                <w:sz w:val="16"/>
                <w:szCs w:val="16"/>
                <w:lang w:val="en-US"/>
              </w:rPr>
              <w:t>another way</w:t>
            </w:r>
            <w:r w:rsidRPr="00A26EFC">
              <w:rPr>
                <w:rStyle w:val="shorttext"/>
                <w:rFonts w:ascii="Times New Roman" w:hAnsi="Times New Roman"/>
                <w:color w:val="000000"/>
                <w:sz w:val="16"/>
                <w:szCs w:val="16"/>
                <w:lang w:val="en-US"/>
              </w:rPr>
              <w:t xml:space="preserve"> </w:t>
            </w:r>
            <w:r w:rsidRPr="00A26EFC">
              <w:rPr>
                <w:rStyle w:val="hps"/>
                <w:rFonts w:ascii="Times New Roman" w:hAnsi="Times New Roman"/>
                <w:color w:val="000000"/>
                <w:sz w:val="16"/>
                <w:szCs w:val="16"/>
                <w:lang w:val="en-US"/>
              </w:rPr>
              <w:t xml:space="preserve">by </w:t>
            </w:r>
            <w:r w:rsidRPr="00A26EFC">
              <w:rPr>
                <w:rStyle w:val="hpsalt-edited"/>
                <w:rFonts w:ascii="Times New Roman" w:hAnsi="Times New Roman"/>
                <w:color w:val="000000"/>
                <w:sz w:val="16"/>
                <w:szCs w:val="16"/>
                <w:lang w:val="en-US"/>
              </w:rPr>
              <w:t xml:space="preserve">understanding </w:t>
            </w:r>
            <w:r w:rsidRPr="00A26EFC">
              <w:rPr>
                <w:rStyle w:val="hps"/>
                <w:rFonts w:ascii="Times New Roman" w:hAnsi="Times New Roman"/>
                <w:color w:val="000000"/>
                <w:sz w:val="16"/>
                <w:szCs w:val="16"/>
                <w:lang w:val="en-US"/>
              </w:rPr>
              <w:t>with the</w:t>
            </w:r>
            <w:r w:rsidRPr="00A26EFC">
              <w:rPr>
                <w:rStyle w:val="shorttext"/>
                <w:rFonts w:ascii="Times New Roman" w:hAnsi="Times New Roman"/>
                <w:color w:val="000000"/>
                <w:sz w:val="16"/>
                <w:szCs w:val="16"/>
                <w:lang w:val="en-US"/>
              </w:rPr>
              <w:t xml:space="preserve"> </w:t>
            </w:r>
            <w:r w:rsidR="000179AC" w:rsidRPr="00E16672">
              <w:rPr>
                <w:rFonts w:ascii="Times New Roman" w:hAnsi="Times New Roman"/>
                <w:sz w:val="16"/>
                <w:szCs w:val="16"/>
                <w:lang w:val="en-US"/>
              </w:rPr>
              <w:t>Nominee holder</w:t>
            </w:r>
            <w:r w:rsidRPr="00A26EFC">
              <w:rPr>
                <w:rStyle w:val="shorttext"/>
                <w:rFonts w:ascii="Times New Roman" w:hAnsi="Times New Roman"/>
                <w:color w:val="000000"/>
                <w:sz w:val="16"/>
                <w:szCs w:val="16"/>
                <w:lang w:val="en-US"/>
              </w:rPr>
              <w:t>)</w:t>
            </w:r>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for</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not</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more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than</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twenty</w:t>
            </w:r>
            <w:proofErr w:type="spellEnd"/>
            <w:r w:rsidRPr="00E16672">
              <w:rPr>
                <w:rFonts w:ascii="Times New Roman" w:hAnsi="Times New Roman"/>
                <w:color w:val="000000"/>
                <w:sz w:val="16"/>
                <w:szCs w:val="16"/>
                <w:lang w:val="uk-UA"/>
              </w:rPr>
              <w:t xml:space="preserve"> (20) </w:t>
            </w:r>
            <w:proofErr w:type="spellStart"/>
            <w:r w:rsidRPr="00E16672">
              <w:rPr>
                <w:rFonts w:ascii="Times New Roman" w:hAnsi="Times New Roman"/>
                <w:color w:val="000000"/>
                <w:sz w:val="16"/>
                <w:szCs w:val="16"/>
                <w:lang w:val="uk-UA"/>
              </w:rPr>
              <w:t>working</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days</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from</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the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date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of</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signing</w:t>
            </w:r>
            <w:proofErr w:type="spellEnd"/>
            <w:r w:rsidRPr="00E16672">
              <w:rPr>
                <w:rFonts w:ascii="Times New Roman" w:hAnsi="Times New Roman"/>
                <w:color w:val="000000"/>
                <w:sz w:val="16"/>
                <w:szCs w:val="16"/>
                <w:lang w:val="en-US"/>
              </w:rPr>
              <w:t>.</w:t>
            </w:r>
          </w:p>
        </w:tc>
      </w:tr>
      <w:tr w:rsidR="00EB25FE" w:rsidRPr="00A26EFC" w14:paraId="63F90F4A" w14:textId="77777777" w:rsidTr="005E418B">
        <w:tblPrEx>
          <w:tblCellMar>
            <w:left w:w="0" w:type="dxa"/>
            <w:right w:w="0" w:type="dxa"/>
          </w:tblCellMar>
        </w:tblPrEx>
        <w:trPr>
          <w:trHeight w:val="192"/>
        </w:trPr>
        <w:tc>
          <w:tcPr>
            <w:tcW w:w="5695" w:type="dxa"/>
            <w:gridSpan w:val="7"/>
            <w:shd w:val="clear" w:color="auto" w:fill="auto"/>
          </w:tcPr>
          <w:p w14:paraId="19A10A8A" w14:textId="77777777" w:rsidR="00EB25FE" w:rsidRPr="00E16672" w:rsidRDefault="000179AC" w:rsidP="00794B3F">
            <w:pPr>
              <w:pStyle w:val="310"/>
              <w:tabs>
                <w:tab w:val="left" w:pos="182"/>
              </w:tabs>
              <w:snapToGrid w:val="0"/>
              <w:ind w:left="175" w:right="138" w:firstLine="7"/>
              <w:rPr>
                <w:rFonts w:ascii="Times New Roman" w:hAnsi="Times New Roman"/>
                <w:color w:val="000000"/>
                <w:sz w:val="16"/>
                <w:szCs w:val="16"/>
              </w:rPr>
            </w:pPr>
            <w:r w:rsidRPr="00E16672">
              <w:rPr>
                <w:rFonts w:ascii="Times New Roman" w:hAnsi="Times New Roman"/>
                <w:color w:val="000000"/>
                <w:sz w:val="16"/>
                <w:szCs w:val="16"/>
              </w:rPr>
              <w:t>Номінальний утримувач</w:t>
            </w:r>
            <w:r w:rsidR="00EB25FE" w:rsidRPr="00E16672">
              <w:rPr>
                <w:rFonts w:ascii="Times New Roman" w:hAnsi="Times New Roman"/>
                <w:color w:val="000000"/>
                <w:sz w:val="16"/>
                <w:szCs w:val="16"/>
              </w:rPr>
              <w:t xml:space="preserve"> має підписати та повернути Депозитарній установі один оригінал протягом </w:t>
            </w:r>
            <w:r w:rsidR="00EB25FE" w:rsidRPr="00E16672">
              <w:rPr>
                <w:rFonts w:ascii="Times New Roman" w:hAnsi="Times New Roman"/>
                <w:i/>
                <w:color w:val="000000"/>
                <w:sz w:val="16"/>
                <w:szCs w:val="16"/>
              </w:rPr>
              <w:t>тридцяти</w:t>
            </w:r>
            <w:r w:rsidR="00EB25FE" w:rsidRPr="00E16672">
              <w:rPr>
                <w:rFonts w:ascii="Times New Roman" w:hAnsi="Times New Roman"/>
                <w:i/>
                <w:color w:val="000000"/>
                <w:sz w:val="16"/>
                <w:szCs w:val="16"/>
                <w:lang w:val="ru-RU"/>
              </w:rPr>
              <w:t xml:space="preserve"> </w:t>
            </w:r>
            <w:proofErr w:type="spellStart"/>
            <w:r w:rsidR="00EB25FE" w:rsidRPr="00E16672">
              <w:rPr>
                <w:rFonts w:ascii="Times New Roman" w:hAnsi="Times New Roman"/>
                <w:i/>
                <w:color w:val="000000"/>
                <w:sz w:val="16"/>
                <w:szCs w:val="16"/>
                <w:lang w:val="ru-RU"/>
              </w:rPr>
              <w:t>календарних</w:t>
            </w:r>
            <w:proofErr w:type="spellEnd"/>
            <w:r w:rsidR="00EB25FE" w:rsidRPr="00E16672">
              <w:rPr>
                <w:rFonts w:ascii="Times New Roman" w:hAnsi="Times New Roman"/>
                <w:i/>
                <w:color w:val="000000"/>
                <w:sz w:val="16"/>
                <w:szCs w:val="16"/>
              </w:rPr>
              <w:t xml:space="preserve"> днів</w:t>
            </w:r>
            <w:r w:rsidR="00EB25FE" w:rsidRPr="00E16672">
              <w:rPr>
                <w:rFonts w:ascii="Times New Roman" w:hAnsi="Times New Roman"/>
                <w:color w:val="000000"/>
                <w:sz w:val="16"/>
                <w:szCs w:val="16"/>
              </w:rPr>
              <w:t xml:space="preserve"> </w:t>
            </w:r>
            <w:r w:rsidR="00EB25FE" w:rsidRPr="00E16672">
              <w:rPr>
                <w:rFonts w:ascii="Times New Roman" w:hAnsi="Times New Roman"/>
                <w:color w:val="000000"/>
                <w:sz w:val="16"/>
                <w:szCs w:val="16"/>
                <w:lang w:val="ru-RU"/>
              </w:rPr>
              <w:t>з</w:t>
            </w:r>
            <w:r w:rsidR="00EB25FE" w:rsidRPr="00E16672">
              <w:rPr>
                <w:rFonts w:ascii="Times New Roman" w:hAnsi="Times New Roman"/>
                <w:color w:val="000000"/>
                <w:sz w:val="16"/>
                <w:szCs w:val="16"/>
              </w:rPr>
              <w:t xml:space="preserve"> дня підписання акту Депозитарною установою. У разі неповернення акту послуги вважаються наданими без заперечень.</w:t>
            </w:r>
          </w:p>
        </w:tc>
        <w:tc>
          <w:tcPr>
            <w:tcW w:w="5495" w:type="dxa"/>
            <w:gridSpan w:val="8"/>
            <w:shd w:val="clear" w:color="auto" w:fill="auto"/>
          </w:tcPr>
          <w:p w14:paraId="521E0029" w14:textId="77777777" w:rsidR="00EB25FE" w:rsidRPr="00E16672" w:rsidRDefault="00EB25FE" w:rsidP="00794B3F">
            <w:pPr>
              <w:pStyle w:val="210"/>
              <w:tabs>
                <w:tab w:val="left" w:pos="182"/>
                <w:tab w:val="left" w:pos="287"/>
                <w:tab w:val="left" w:pos="1191"/>
              </w:tabs>
              <w:snapToGrid w:val="0"/>
              <w:ind w:left="175" w:right="138" w:firstLine="7"/>
              <w:rPr>
                <w:rFonts w:ascii="Times New Roman" w:hAnsi="Times New Roman"/>
                <w:color w:val="000000"/>
                <w:sz w:val="16"/>
                <w:szCs w:val="16"/>
              </w:rPr>
            </w:pPr>
            <w:r w:rsidRPr="00E16672">
              <w:rPr>
                <w:rFonts w:ascii="Times New Roman" w:hAnsi="Times New Roman"/>
                <w:color w:val="000000"/>
                <w:sz w:val="16"/>
                <w:szCs w:val="16"/>
                <w:shd w:val="clear" w:color="auto" w:fill="FFFFFF"/>
                <w:lang w:val="en-GB"/>
              </w:rPr>
              <w:t xml:space="preserve">A </w:t>
            </w:r>
            <w:r w:rsidR="000179AC" w:rsidRPr="00E16672">
              <w:rPr>
                <w:rFonts w:ascii="Times New Roman" w:hAnsi="Times New Roman"/>
                <w:sz w:val="16"/>
                <w:szCs w:val="16"/>
                <w:lang w:val="en-US"/>
              </w:rPr>
              <w:t>Nominee holder</w:t>
            </w:r>
            <w:r w:rsidR="000179AC" w:rsidRPr="00E16672">
              <w:rPr>
                <w:rFonts w:ascii="Times New Roman" w:hAnsi="Times New Roman"/>
                <w:color w:val="000000"/>
                <w:sz w:val="16"/>
                <w:szCs w:val="16"/>
                <w:shd w:val="clear" w:color="auto" w:fill="FFFFFF"/>
                <w:lang w:val="en-GB"/>
              </w:rPr>
              <w:t xml:space="preserve"> </w:t>
            </w:r>
            <w:r w:rsidRPr="00E16672">
              <w:rPr>
                <w:rFonts w:ascii="Times New Roman" w:hAnsi="Times New Roman"/>
                <w:color w:val="000000"/>
                <w:sz w:val="16"/>
                <w:szCs w:val="16"/>
                <w:shd w:val="clear" w:color="auto" w:fill="FFFFFF"/>
                <w:lang w:val="en-GB"/>
              </w:rPr>
              <w:t xml:space="preserve">must sign and return to </w:t>
            </w:r>
            <w:r w:rsidRPr="00E16672">
              <w:rPr>
                <w:rFonts w:ascii="Times New Roman" w:hAnsi="Times New Roman"/>
                <w:color w:val="000000"/>
                <w:sz w:val="16"/>
                <w:szCs w:val="16"/>
                <w:lang w:val="en-GB"/>
              </w:rPr>
              <w:t xml:space="preserve">Depository </w:t>
            </w:r>
            <w:proofErr w:type="gramStart"/>
            <w:r w:rsidRPr="00E16672">
              <w:rPr>
                <w:rFonts w:ascii="Times New Roman" w:hAnsi="Times New Roman"/>
                <w:color w:val="000000"/>
                <w:sz w:val="16"/>
                <w:szCs w:val="16"/>
                <w:lang w:val="en-GB"/>
              </w:rPr>
              <w:t xml:space="preserve">institution  </w:t>
            </w:r>
            <w:r w:rsidRPr="00E16672">
              <w:rPr>
                <w:rFonts w:ascii="Times New Roman" w:hAnsi="Times New Roman"/>
                <w:color w:val="000000"/>
                <w:sz w:val="16"/>
                <w:szCs w:val="16"/>
                <w:shd w:val="clear" w:color="auto" w:fill="FFFFFF"/>
                <w:lang w:val="en-GB"/>
              </w:rPr>
              <w:t>one</w:t>
            </w:r>
            <w:proofErr w:type="gramEnd"/>
            <w:r w:rsidRPr="00E16672">
              <w:rPr>
                <w:rFonts w:ascii="Times New Roman" w:hAnsi="Times New Roman"/>
                <w:color w:val="000000"/>
                <w:sz w:val="16"/>
                <w:szCs w:val="16"/>
                <w:shd w:val="clear" w:color="auto" w:fill="FFFFFF"/>
                <w:lang w:val="en-GB"/>
              </w:rPr>
              <w:t xml:space="preserve"> original within </w:t>
            </w:r>
            <w:proofErr w:type="spellStart"/>
            <w:r w:rsidRPr="00E16672">
              <w:rPr>
                <w:rFonts w:ascii="Times New Roman" w:hAnsi="Times New Roman"/>
                <w:i/>
                <w:color w:val="000000"/>
                <w:sz w:val="16"/>
                <w:szCs w:val="16"/>
              </w:rPr>
              <w:t>thirty</w:t>
            </w:r>
            <w:proofErr w:type="spellEnd"/>
            <w:r w:rsidRPr="00E16672">
              <w:rPr>
                <w:rFonts w:ascii="Times New Roman" w:hAnsi="Times New Roman"/>
                <w:i/>
                <w:color w:val="000000"/>
                <w:sz w:val="16"/>
                <w:szCs w:val="16"/>
              </w:rPr>
              <w:t xml:space="preserve"> </w:t>
            </w:r>
            <w:proofErr w:type="spellStart"/>
            <w:r w:rsidRPr="00E16672">
              <w:rPr>
                <w:rFonts w:ascii="Times New Roman" w:hAnsi="Times New Roman"/>
                <w:i/>
                <w:color w:val="000000"/>
                <w:sz w:val="16"/>
                <w:szCs w:val="16"/>
              </w:rPr>
              <w:t>calendar</w:t>
            </w:r>
            <w:proofErr w:type="spellEnd"/>
            <w:r w:rsidRPr="00E16672">
              <w:rPr>
                <w:rFonts w:ascii="Times New Roman" w:hAnsi="Times New Roman"/>
                <w:i/>
                <w:color w:val="000000"/>
                <w:sz w:val="16"/>
                <w:szCs w:val="16"/>
              </w:rPr>
              <w:t xml:space="preserve"> </w:t>
            </w:r>
            <w:proofErr w:type="spellStart"/>
            <w:r w:rsidRPr="00E16672">
              <w:rPr>
                <w:rFonts w:ascii="Times New Roman" w:hAnsi="Times New Roman"/>
                <w:i/>
                <w:color w:val="000000"/>
                <w:sz w:val="16"/>
                <w:szCs w:val="16"/>
              </w:rPr>
              <w:t>days</w:t>
            </w:r>
            <w:proofErr w:type="spellEnd"/>
            <w:r w:rsidRPr="00E16672">
              <w:rPr>
                <w:rFonts w:ascii="Times New Roman" w:hAnsi="Times New Roman"/>
                <w:i/>
                <w:color w:val="000000"/>
                <w:sz w:val="16"/>
                <w:szCs w:val="16"/>
              </w:rPr>
              <w:t xml:space="preserve"> </w:t>
            </w:r>
            <w:proofErr w:type="spellStart"/>
            <w:r w:rsidRPr="00E16672">
              <w:rPr>
                <w:rFonts w:ascii="Times New Roman" w:hAnsi="Times New Roman"/>
                <w:color w:val="000000"/>
                <w:sz w:val="16"/>
                <w:szCs w:val="16"/>
              </w:rPr>
              <w:t>from</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the</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day</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of</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signing</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the</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Statement</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by</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Depositary</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institution</w:t>
            </w:r>
            <w:proofErr w:type="spellEnd"/>
            <w:r w:rsidRPr="00E16672">
              <w:rPr>
                <w:rFonts w:ascii="Times New Roman" w:hAnsi="Times New Roman"/>
                <w:color w:val="000000"/>
                <w:sz w:val="16"/>
                <w:szCs w:val="16"/>
                <w:shd w:val="clear" w:color="auto" w:fill="FFFFFF"/>
                <w:lang w:val="en-GB"/>
              </w:rPr>
              <w:t>. In the case of failure to return of statement services are considered given without denials.</w:t>
            </w:r>
          </w:p>
        </w:tc>
      </w:tr>
      <w:tr w:rsidR="00EB25FE" w:rsidRPr="00A26EFC" w14:paraId="7B73D6BA" w14:textId="77777777" w:rsidTr="005E418B">
        <w:tblPrEx>
          <w:tblCellMar>
            <w:left w:w="0" w:type="dxa"/>
            <w:right w:w="0" w:type="dxa"/>
          </w:tblCellMar>
        </w:tblPrEx>
        <w:trPr>
          <w:trHeight w:val="748"/>
        </w:trPr>
        <w:tc>
          <w:tcPr>
            <w:tcW w:w="5695" w:type="dxa"/>
            <w:gridSpan w:val="7"/>
            <w:shd w:val="clear" w:color="auto" w:fill="auto"/>
          </w:tcPr>
          <w:p w14:paraId="64CC8763" w14:textId="77777777" w:rsidR="00EB25FE" w:rsidRDefault="00EB25FE" w:rsidP="00FA3078">
            <w:pPr>
              <w:tabs>
                <w:tab w:val="left" w:pos="182"/>
                <w:tab w:val="left" w:pos="654"/>
              </w:tabs>
              <w:snapToGrid w:val="0"/>
              <w:spacing w:before="57" w:after="57"/>
              <w:ind w:left="175" w:right="138" w:firstLine="7"/>
              <w:rPr>
                <w:rFonts w:ascii="Times New Roman" w:hAnsi="Times New Roman"/>
                <w:color w:val="000000"/>
                <w:sz w:val="16"/>
                <w:szCs w:val="16"/>
                <w:lang w:val="uk-UA"/>
              </w:rPr>
            </w:pPr>
            <w:r w:rsidRPr="00E16672">
              <w:rPr>
                <w:rFonts w:ascii="Times New Roman" w:hAnsi="Times New Roman"/>
                <w:color w:val="000000"/>
                <w:sz w:val="16"/>
                <w:szCs w:val="16"/>
              </w:rPr>
              <w:t xml:space="preserve">Акт </w:t>
            </w:r>
            <w:proofErr w:type="spellStart"/>
            <w:r w:rsidRPr="00E16672">
              <w:rPr>
                <w:rFonts w:ascii="Times New Roman" w:hAnsi="Times New Roman"/>
                <w:color w:val="000000"/>
                <w:sz w:val="16"/>
                <w:szCs w:val="16"/>
              </w:rPr>
              <w:t>виконаних</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операцій</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може</w:t>
            </w:r>
            <w:proofErr w:type="spellEnd"/>
            <w:r w:rsidRPr="00E16672">
              <w:rPr>
                <w:rFonts w:ascii="Times New Roman" w:hAnsi="Times New Roman"/>
                <w:color w:val="000000"/>
                <w:sz w:val="16"/>
                <w:szCs w:val="16"/>
              </w:rPr>
              <w:t xml:space="preserve"> бути </w:t>
            </w:r>
            <w:proofErr w:type="spellStart"/>
            <w:r w:rsidRPr="00E16672">
              <w:rPr>
                <w:rFonts w:ascii="Times New Roman" w:hAnsi="Times New Roman"/>
                <w:color w:val="000000"/>
                <w:sz w:val="16"/>
                <w:szCs w:val="16"/>
              </w:rPr>
              <w:t>підписаний</w:t>
            </w:r>
            <w:proofErr w:type="spellEnd"/>
            <w:r w:rsidRPr="00E16672">
              <w:rPr>
                <w:rFonts w:ascii="Times New Roman" w:hAnsi="Times New Roman"/>
                <w:color w:val="000000"/>
                <w:sz w:val="16"/>
                <w:szCs w:val="16"/>
              </w:rPr>
              <w:t xml:space="preserve"> Депозитарною </w:t>
            </w:r>
            <w:proofErr w:type="spellStart"/>
            <w:r w:rsidRPr="00E16672">
              <w:rPr>
                <w:rFonts w:ascii="Times New Roman" w:hAnsi="Times New Roman"/>
                <w:color w:val="000000"/>
                <w:sz w:val="16"/>
                <w:szCs w:val="16"/>
              </w:rPr>
              <w:t>установою</w:t>
            </w:r>
            <w:proofErr w:type="spellEnd"/>
            <w:r w:rsidRPr="00E16672">
              <w:rPr>
                <w:rFonts w:ascii="Times New Roman" w:hAnsi="Times New Roman"/>
                <w:color w:val="000000"/>
                <w:sz w:val="16"/>
                <w:szCs w:val="16"/>
              </w:rPr>
              <w:t xml:space="preserve"> та </w:t>
            </w:r>
            <w:r w:rsidR="000179AC" w:rsidRPr="00E16672">
              <w:rPr>
                <w:rFonts w:ascii="Times New Roman" w:hAnsi="Times New Roman"/>
                <w:color w:val="000000"/>
                <w:sz w:val="16"/>
                <w:szCs w:val="16"/>
                <w:lang w:val="uk-UA"/>
              </w:rPr>
              <w:t>Номінальним утримувачем</w:t>
            </w:r>
            <w:r w:rsidRPr="00E16672">
              <w:rPr>
                <w:rFonts w:ascii="Times New Roman" w:hAnsi="Times New Roman"/>
                <w:color w:val="000000"/>
                <w:sz w:val="16"/>
                <w:szCs w:val="16"/>
              </w:rPr>
              <w:t xml:space="preserve"> за </w:t>
            </w:r>
            <w:proofErr w:type="spellStart"/>
            <w:r w:rsidRPr="00E16672">
              <w:rPr>
                <w:rFonts w:ascii="Times New Roman" w:hAnsi="Times New Roman"/>
                <w:color w:val="000000"/>
                <w:sz w:val="16"/>
                <w:szCs w:val="16"/>
              </w:rPr>
              <w:t>допомогою</w:t>
            </w:r>
            <w:proofErr w:type="spellEnd"/>
            <w:r w:rsidRPr="00E16672">
              <w:rPr>
                <w:rFonts w:ascii="Times New Roman" w:hAnsi="Times New Roman"/>
                <w:color w:val="000000"/>
                <w:sz w:val="16"/>
                <w:szCs w:val="16"/>
              </w:rPr>
              <w:t xml:space="preserve"> </w:t>
            </w:r>
            <w:proofErr w:type="spellStart"/>
            <w:r w:rsidR="002A5E07" w:rsidRPr="00E16672">
              <w:rPr>
                <w:rFonts w:ascii="Times New Roman" w:hAnsi="Times New Roman"/>
                <w:color w:val="000000"/>
                <w:sz w:val="16"/>
                <w:szCs w:val="16"/>
              </w:rPr>
              <w:t>кваліфікованого</w:t>
            </w:r>
            <w:proofErr w:type="spellEnd"/>
            <w:r w:rsidR="002A5E07" w:rsidRPr="00E16672">
              <w:rPr>
                <w:rFonts w:ascii="Times New Roman" w:hAnsi="Times New Roman"/>
                <w:color w:val="000000"/>
                <w:sz w:val="16"/>
                <w:szCs w:val="16"/>
              </w:rPr>
              <w:t xml:space="preserve"> </w:t>
            </w:r>
            <w:proofErr w:type="spellStart"/>
            <w:r w:rsidR="002A5E07" w:rsidRPr="00E16672">
              <w:rPr>
                <w:rFonts w:ascii="Times New Roman" w:hAnsi="Times New Roman"/>
                <w:color w:val="000000"/>
                <w:sz w:val="16"/>
                <w:szCs w:val="16"/>
              </w:rPr>
              <w:t>електронного</w:t>
            </w:r>
            <w:proofErr w:type="spellEnd"/>
            <w:r w:rsidR="002A5E07" w:rsidRPr="00E16672">
              <w:rPr>
                <w:rFonts w:ascii="Times New Roman" w:hAnsi="Times New Roman"/>
                <w:color w:val="000000"/>
                <w:sz w:val="16"/>
                <w:szCs w:val="16"/>
              </w:rPr>
              <w:t xml:space="preserve"> </w:t>
            </w:r>
            <w:proofErr w:type="spellStart"/>
            <w:r w:rsidR="002A5E07" w:rsidRPr="00E16672">
              <w:rPr>
                <w:rFonts w:ascii="Times New Roman" w:hAnsi="Times New Roman"/>
                <w:color w:val="000000"/>
                <w:sz w:val="16"/>
                <w:szCs w:val="16"/>
              </w:rPr>
              <w:t>підпису</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Рахунок</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також</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можє</w:t>
            </w:r>
            <w:proofErr w:type="spellEnd"/>
            <w:r w:rsidRPr="00E16672">
              <w:rPr>
                <w:rFonts w:ascii="Times New Roman" w:hAnsi="Times New Roman"/>
                <w:color w:val="000000"/>
                <w:sz w:val="16"/>
                <w:szCs w:val="16"/>
              </w:rPr>
              <w:t xml:space="preserve"> бути </w:t>
            </w:r>
            <w:proofErr w:type="spellStart"/>
            <w:r w:rsidRPr="00E16672">
              <w:rPr>
                <w:rFonts w:ascii="Times New Roman" w:hAnsi="Times New Roman"/>
                <w:color w:val="000000"/>
                <w:sz w:val="16"/>
                <w:szCs w:val="16"/>
              </w:rPr>
              <w:t>підписаний</w:t>
            </w:r>
            <w:proofErr w:type="spellEnd"/>
            <w:r w:rsidRPr="00E16672">
              <w:rPr>
                <w:rFonts w:ascii="Times New Roman" w:hAnsi="Times New Roman"/>
                <w:color w:val="000000"/>
                <w:sz w:val="16"/>
                <w:szCs w:val="16"/>
              </w:rPr>
              <w:t xml:space="preserve"> за </w:t>
            </w:r>
            <w:proofErr w:type="spellStart"/>
            <w:r w:rsidRPr="00E16672">
              <w:rPr>
                <w:rFonts w:ascii="Times New Roman" w:hAnsi="Times New Roman"/>
                <w:color w:val="000000"/>
                <w:sz w:val="16"/>
                <w:szCs w:val="16"/>
              </w:rPr>
              <w:t>допомогою</w:t>
            </w:r>
            <w:proofErr w:type="spellEnd"/>
            <w:r w:rsidRPr="00E16672">
              <w:rPr>
                <w:rFonts w:ascii="Times New Roman" w:hAnsi="Times New Roman"/>
                <w:color w:val="000000"/>
                <w:sz w:val="16"/>
                <w:szCs w:val="16"/>
              </w:rPr>
              <w:t xml:space="preserve"> </w:t>
            </w:r>
            <w:proofErr w:type="spellStart"/>
            <w:r w:rsidR="002A5E07" w:rsidRPr="00E16672">
              <w:rPr>
                <w:rFonts w:ascii="Times New Roman" w:hAnsi="Times New Roman"/>
                <w:color w:val="000000"/>
                <w:sz w:val="16"/>
                <w:szCs w:val="16"/>
              </w:rPr>
              <w:t>кваліфікованого</w:t>
            </w:r>
            <w:proofErr w:type="spellEnd"/>
            <w:r w:rsidR="002A5E07" w:rsidRPr="00E16672">
              <w:rPr>
                <w:rFonts w:ascii="Times New Roman" w:hAnsi="Times New Roman"/>
                <w:color w:val="000000"/>
                <w:sz w:val="16"/>
                <w:szCs w:val="16"/>
              </w:rPr>
              <w:t xml:space="preserve"> </w:t>
            </w:r>
            <w:proofErr w:type="spellStart"/>
            <w:r w:rsidR="002A5E07" w:rsidRPr="00E16672">
              <w:rPr>
                <w:rFonts w:ascii="Times New Roman" w:hAnsi="Times New Roman"/>
                <w:color w:val="000000"/>
                <w:sz w:val="16"/>
                <w:szCs w:val="16"/>
              </w:rPr>
              <w:t>електронного</w:t>
            </w:r>
            <w:proofErr w:type="spellEnd"/>
            <w:r w:rsidR="002A5E07" w:rsidRPr="00E16672">
              <w:rPr>
                <w:rFonts w:ascii="Times New Roman" w:hAnsi="Times New Roman"/>
                <w:color w:val="000000"/>
                <w:sz w:val="16"/>
                <w:szCs w:val="16"/>
              </w:rPr>
              <w:t xml:space="preserve"> </w:t>
            </w:r>
            <w:proofErr w:type="spellStart"/>
            <w:r w:rsidR="002A5E07" w:rsidRPr="00E16672">
              <w:rPr>
                <w:rFonts w:ascii="Times New Roman" w:hAnsi="Times New Roman"/>
                <w:color w:val="000000"/>
                <w:sz w:val="16"/>
                <w:szCs w:val="16"/>
              </w:rPr>
              <w:t>підпису</w:t>
            </w:r>
            <w:proofErr w:type="spellEnd"/>
            <w:r w:rsidRPr="00E16672">
              <w:rPr>
                <w:rFonts w:ascii="Times New Roman" w:hAnsi="Times New Roman"/>
                <w:color w:val="000000"/>
                <w:sz w:val="16"/>
                <w:szCs w:val="16"/>
              </w:rPr>
              <w:t>.</w:t>
            </w:r>
          </w:p>
          <w:p w14:paraId="1572C453" w14:textId="77777777" w:rsidR="00FA3078" w:rsidRPr="00FA3078" w:rsidRDefault="00FA3078" w:rsidP="00FA3078">
            <w:pPr>
              <w:tabs>
                <w:tab w:val="left" w:pos="182"/>
                <w:tab w:val="left" w:pos="654"/>
              </w:tabs>
              <w:snapToGrid w:val="0"/>
              <w:spacing w:before="57" w:after="57"/>
              <w:ind w:left="175" w:right="138" w:firstLine="7"/>
              <w:rPr>
                <w:rFonts w:ascii="Times New Roman" w:hAnsi="Times New Roman"/>
                <w:color w:val="000000"/>
                <w:sz w:val="16"/>
                <w:szCs w:val="16"/>
                <w:lang w:val="uk-UA"/>
              </w:rPr>
            </w:pPr>
          </w:p>
        </w:tc>
        <w:tc>
          <w:tcPr>
            <w:tcW w:w="5495" w:type="dxa"/>
            <w:gridSpan w:val="8"/>
            <w:shd w:val="clear" w:color="auto" w:fill="auto"/>
          </w:tcPr>
          <w:p w14:paraId="6EE25215" w14:textId="77777777" w:rsidR="00EB25FE" w:rsidRPr="00E16672" w:rsidRDefault="00EB25FE" w:rsidP="00794B3F">
            <w:pPr>
              <w:tabs>
                <w:tab w:val="left" w:pos="182"/>
              </w:tabs>
              <w:snapToGrid w:val="0"/>
              <w:spacing w:before="57" w:after="57"/>
              <w:ind w:left="175" w:right="138" w:firstLine="7"/>
              <w:rPr>
                <w:rFonts w:ascii="Times New Roman" w:hAnsi="Times New Roman"/>
                <w:color w:val="000000"/>
                <w:sz w:val="16"/>
                <w:szCs w:val="16"/>
                <w:lang w:val="en-GB"/>
              </w:rPr>
            </w:pPr>
            <w:r w:rsidRPr="00E16672">
              <w:rPr>
                <w:rFonts w:ascii="Times New Roman" w:hAnsi="Times New Roman"/>
                <w:color w:val="000000"/>
                <w:sz w:val="16"/>
                <w:szCs w:val="16"/>
                <w:shd w:val="clear" w:color="auto" w:fill="FFFFFF"/>
                <w:lang w:val="en-GB"/>
              </w:rPr>
              <w:t xml:space="preserve">Statement of fulfilled operations can be signed by the Depository </w:t>
            </w:r>
            <w:proofErr w:type="gramStart"/>
            <w:r w:rsidRPr="00E16672">
              <w:rPr>
                <w:rFonts w:ascii="Times New Roman" w:hAnsi="Times New Roman"/>
                <w:color w:val="000000"/>
                <w:sz w:val="16"/>
                <w:szCs w:val="16"/>
                <w:shd w:val="clear" w:color="auto" w:fill="FFFFFF"/>
                <w:lang w:val="en-GB"/>
              </w:rPr>
              <w:t>institution  and</w:t>
            </w:r>
            <w:proofErr w:type="gramEnd"/>
            <w:r w:rsidRPr="00E16672">
              <w:rPr>
                <w:rFonts w:ascii="Times New Roman" w:hAnsi="Times New Roman"/>
                <w:color w:val="000000"/>
                <w:sz w:val="16"/>
                <w:szCs w:val="16"/>
                <w:shd w:val="clear" w:color="auto" w:fill="FFFFFF"/>
                <w:lang w:val="en-GB"/>
              </w:rPr>
              <w:t xml:space="preserve"> the </w:t>
            </w:r>
            <w:r w:rsidR="000179AC" w:rsidRPr="00E16672">
              <w:rPr>
                <w:rFonts w:ascii="Times New Roman" w:hAnsi="Times New Roman"/>
                <w:sz w:val="16"/>
                <w:szCs w:val="16"/>
                <w:lang w:val="en-US"/>
              </w:rPr>
              <w:t>Nominee holder</w:t>
            </w:r>
            <w:r w:rsidR="000179AC" w:rsidRPr="00E16672">
              <w:rPr>
                <w:rFonts w:ascii="Times New Roman" w:hAnsi="Times New Roman"/>
                <w:color w:val="000000"/>
                <w:sz w:val="16"/>
                <w:szCs w:val="16"/>
                <w:shd w:val="clear" w:color="auto" w:fill="FFFFFF"/>
                <w:lang w:val="en-GB"/>
              </w:rPr>
              <w:t xml:space="preserve"> </w:t>
            </w:r>
            <w:r w:rsidRPr="00E16672">
              <w:rPr>
                <w:rFonts w:ascii="Times New Roman" w:hAnsi="Times New Roman"/>
                <w:color w:val="000000"/>
                <w:sz w:val="16"/>
                <w:szCs w:val="16"/>
                <w:shd w:val="clear" w:color="auto" w:fill="FFFFFF"/>
                <w:lang w:val="en-GB"/>
              </w:rPr>
              <w:t xml:space="preserve">with an electronic digital signature. </w:t>
            </w:r>
            <w:r w:rsidRPr="00E16672">
              <w:rPr>
                <w:rFonts w:ascii="Times New Roman" w:hAnsi="Times New Roman"/>
                <w:color w:val="000000"/>
                <w:sz w:val="16"/>
                <w:szCs w:val="16"/>
                <w:lang w:val="en-GB"/>
              </w:rPr>
              <w:t>Invoice also could be signed using the electronic digital signature.</w:t>
            </w:r>
          </w:p>
        </w:tc>
      </w:tr>
      <w:tr w:rsidR="00EB25FE" w:rsidRPr="00A26EFC" w14:paraId="29122BBE" w14:textId="77777777" w:rsidTr="005E418B">
        <w:tblPrEx>
          <w:tblCellMar>
            <w:left w:w="0" w:type="dxa"/>
            <w:right w:w="0" w:type="dxa"/>
          </w:tblCellMar>
        </w:tblPrEx>
        <w:trPr>
          <w:trHeight w:val="192"/>
        </w:trPr>
        <w:tc>
          <w:tcPr>
            <w:tcW w:w="5695" w:type="dxa"/>
            <w:gridSpan w:val="7"/>
            <w:shd w:val="clear" w:color="auto" w:fill="auto"/>
          </w:tcPr>
          <w:p w14:paraId="26019B60" w14:textId="77777777" w:rsidR="00EB25FE" w:rsidRPr="00E16672" w:rsidRDefault="00EB25FE" w:rsidP="00794B3F">
            <w:pPr>
              <w:tabs>
                <w:tab w:val="left" w:pos="182"/>
              </w:tabs>
              <w:snapToGrid w:val="0"/>
              <w:ind w:left="175" w:right="138" w:firstLine="7"/>
              <w:rPr>
                <w:rFonts w:ascii="Times New Roman" w:hAnsi="Times New Roman"/>
                <w:color w:val="000000"/>
                <w:sz w:val="16"/>
                <w:szCs w:val="16"/>
              </w:rPr>
            </w:pPr>
            <w:r w:rsidRPr="00E16672">
              <w:rPr>
                <w:rFonts w:ascii="Times New Roman" w:hAnsi="Times New Roman"/>
                <w:color w:val="000000"/>
                <w:sz w:val="16"/>
                <w:szCs w:val="16"/>
              </w:rPr>
              <w:t xml:space="preserve">4.4. Плата вноситься </w:t>
            </w:r>
            <w:r w:rsidR="000179AC" w:rsidRPr="00E16672">
              <w:rPr>
                <w:rFonts w:ascii="Times New Roman" w:hAnsi="Times New Roman"/>
                <w:color w:val="000000"/>
                <w:sz w:val="16"/>
                <w:szCs w:val="16"/>
                <w:lang w:val="uk-UA"/>
              </w:rPr>
              <w:t>Номінальним утримувачем</w:t>
            </w:r>
            <w:r w:rsidRPr="00E16672">
              <w:rPr>
                <w:rFonts w:ascii="Times New Roman" w:hAnsi="Times New Roman"/>
                <w:color w:val="000000"/>
                <w:sz w:val="16"/>
                <w:szCs w:val="16"/>
              </w:rPr>
              <w:t xml:space="preserve"> у </w:t>
            </w:r>
            <w:proofErr w:type="spellStart"/>
            <w:r w:rsidRPr="00E16672">
              <w:rPr>
                <w:rFonts w:ascii="Times New Roman" w:hAnsi="Times New Roman"/>
                <w:color w:val="000000"/>
                <w:sz w:val="16"/>
                <w:szCs w:val="16"/>
              </w:rPr>
              <w:t>безготівковій</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формі</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протягом</w:t>
            </w:r>
            <w:proofErr w:type="spellEnd"/>
            <w:r w:rsidRPr="00E16672">
              <w:rPr>
                <w:rFonts w:ascii="Times New Roman" w:hAnsi="Times New Roman"/>
                <w:color w:val="000000"/>
                <w:sz w:val="16"/>
                <w:szCs w:val="16"/>
              </w:rPr>
              <w:t xml:space="preserve"> </w:t>
            </w:r>
            <w:proofErr w:type="spellStart"/>
            <w:r w:rsidR="00E07589" w:rsidRPr="00E16672">
              <w:rPr>
                <w:rFonts w:ascii="Times New Roman" w:hAnsi="Times New Roman"/>
                <w:i/>
                <w:color w:val="000000"/>
                <w:sz w:val="16"/>
                <w:szCs w:val="16"/>
              </w:rPr>
              <w:t>вісімдесяти</w:t>
            </w:r>
            <w:proofErr w:type="spellEnd"/>
            <w:r w:rsidRPr="00E16672">
              <w:rPr>
                <w:rFonts w:ascii="Times New Roman" w:hAnsi="Times New Roman"/>
                <w:i/>
                <w:color w:val="000000"/>
                <w:sz w:val="16"/>
                <w:szCs w:val="16"/>
              </w:rPr>
              <w:t xml:space="preserve"> </w:t>
            </w:r>
            <w:proofErr w:type="spellStart"/>
            <w:r w:rsidRPr="00E16672">
              <w:rPr>
                <w:rFonts w:ascii="Times New Roman" w:hAnsi="Times New Roman"/>
                <w:i/>
                <w:color w:val="000000"/>
                <w:sz w:val="16"/>
                <w:szCs w:val="16"/>
              </w:rPr>
              <w:t>календарних</w:t>
            </w:r>
            <w:proofErr w:type="spellEnd"/>
            <w:r w:rsidRPr="00E16672">
              <w:rPr>
                <w:rFonts w:ascii="Times New Roman" w:hAnsi="Times New Roman"/>
                <w:i/>
                <w:color w:val="000000"/>
                <w:sz w:val="16"/>
                <w:szCs w:val="16"/>
              </w:rPr>
              <w:t xml:space="preserve"> </w:t>
            </w:r>
            <w:proofErr w:type="spellStart"/>
            <w:r w:rsidRPr="00E16672">
              <w:rPr>
                <w:rFonts w:ascii="Times New Roman" w:hAnsi="Times New Roman"/>
                <w:i/>
                <w:color w:val="000000"/>
                <w:sz w:val="16"/>
                <w:szCs w:val="16"/>
              </w:rPr>
              <w:t>днів</w:t>
            </w:r>
            <w:proofErr w:type="spellEnd"/>
            <w:r w:rsidRPr="00E16672">
              <w:rPr>
                <w:rFonts w:ascii="Times New Roman" w:hAnsi="Times New Roman"/>
                <w:color w:val="000000"/>
                <w:sz w:val="16"/>
                <w:szCs w:val="16"/>
              </w:rPr>
              <w:t xml:space="preserve"> з дня </w:t>
            </w:r>
            <w:proofErr w:type="spellStart"/>
            <w:r w:rsidRPr="00E16672">
              <w:rPr>
                <w:rFonts w:ascii="Times New Roman" w:hAnsi="Times New Roman"/>
                <w:color w:val="000000"/>
                <w:sz w:val="16"/>
                <w:szCs w:val="16"/>
              </w:rPr>
              <w:t>підписання</w:t>
            </w:r>
            <w:proofErr w:type="spellEnd"/>
            <w:r w:rsidRPr="00E16672">
              <w:rPr>
                <w:rFonts w:ascii="Times New Roman" w:hAnsi="Times New Roman"/>
                <w:color w:val="000000"/>
                <w:sz w:val="16"/>
                <w:szCs w:val="16"/>
              </w:rPr>
              <w:t xml:space="preserve"> акту Депозитарною </w:t>
            </w:r>
            <w:proofErr w:type="spellStart"/>
            <w:r w:rsidRPr="00E16672">
              <w:rPr>
                <w:rFonts w:ascii="Times New Roman" w:hAnsi="Times New Roman"/>
                <w:color w:val="000000"/>
                <w:sz w:val="16"/>
                <w:szCs w:val="16"/>
              </w:rPr>
              <w:t>установою</w:t>
            </w:r>
            <w:proofErr w:type="spellEnd"/>
            <w:r w:rsidRPr="00E16672">
              <w:rPr>
                <w:rFonts w:ascii="Times New Roman" w:hAnsi="Times New Roman"/>
                <w:color w:val="000000"/>
                <w:sz w:val="16"/>
                <w:szCs w:val="16"/>
              </w:rPr>
              <w:t xml:space="preserve"> шляхом </w:t>
            </w:r>
            <w:proofErr w:type="spellStart"/>
            <w:r w:rsidRPr="00E16672">
              <w:rPr>
                <w:rFonts w:ascii="Times New Roman" w:hAnsi="Times New Roman"/>
                <w:color w:val="000000"/>
                <w:sz w:val="16"/>
                <w:szCs w:val="16"/>
              </w:rPr>
              <w:t>перерахування</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грошових</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коштів</w:t>
            </w:r>
            <w:proofErr w:type="spellEnd"/>
            <w:r w:rsidRPr="00E16672">
              <w:rPr>
                <w:rFonts w:ascii="Times New Roman" w:hAnsi="Times New Roman"/>
                <w:color w:val="000000"/>
                <w:sz w:val="16"/>
                <w:szCs w:val="16"/>
              </w:rPr>
              <w:t xml:space="preserve"> на </w:t>
            </w:r>
            <w:proofErr w:type="spellStart"/>
            <w:r w:rsidRPr="00E16672">
              <w:rPr>
                <w:rFonts w:ascii="Times New Roman" w:hAnsi="Times New Roman"/>
                <w:color w:val="000000"/>
                <w:sz w:val="16"/>
                <w:szCs w:val="16"/>
              </w:rPr>
              <w:t>рахунок</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Депозитарної</w:t>
            </w:r>
            <w:proofErr w:type="spellEnd"/>
            <w:r w:rsidRPr="00E16672">
              <w:rPr>
                <w:rFonts w:ascii="Times New Roman" w:hAnsi="Times New Roman"/>
                <w:color w:val="000000"/>
                <w:sz w:val="16"/>
                <w:szCs w:val="16"/>
              </w:rPr>
              <w:t xml:space="preserve"> установи за </w:t>
            </w:r>
            <w:proofErr w:type="spellStart"/>
            <w:r w:rsidRPr="00E16672">
              <w:rPr>
                <w:rFonts w:ascii="Times New Roman" w:hAnsi="Times New Roman"/>
                <w:color w:val="000000"/>
                <w:sz w:val="16"/>
                <w:szCs w:val="16"/>
              </w:rPr>
              <w:t>реквізитами</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вказаними</w:t>
            </w:r>
            <w:proofErr w:type="spellEnd"/>
            <w:r w:rsidRPr="00E16672">
              <w:rPr>
                <w:rFonts w:ascii="Times New Roman" w:hAnsi="Times New Roman"/>
                <w:color w:val="000000"/>
                <w:sz w:val="16"/>
                <w:szCs w:val="16"/>
              </w:rPr>
              <w:t xml:space="preserve"> Депозитарною </w:t>
            </w:r>
            <w:proofErr w:type="spellStart"/>
            <w:r w:rsidRPr="00E16672">
              <w:rPr>
                <w:rFonts w:ascii="Times New Roman" w:hAnsi="Times New Roman"/>
                <w:color w:val="000000"/>
                <w:sz w:val="16"/>
                <w:szCs w:val="16"/>
              </w:rPr>
              <w:t>установою</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Операція</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закриття</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рахунку</w:t>
            </w:r>
            <w:proofErr w:type="spellEnd"/>
            <w:r w:rsidRPr="00E16672">
              <w:rPr>
                <w:rFonts w:ascii="Times New Roman" w:hAnsi="Times New Roman"/>
                <w:color w:val="000000"/>
                <w:sz w:val="16"/>
                <w:szCs w:val="16"/>
              </w:rPr>
              <w:t xml:space="preserve"> </w:t>
            </w:r>
            <w:r w:rsidR="00C22309" w:rsidRPr="00E16672">
              <w:rPr>
                <w:rFonts w:ascii="Times New Roman" w:hAnsi="Times New Roman"/>
                <w:color w:val="000000"/>
                <w:sz w:val="16"/>
                <w:szCs w:val="16"/>
              </w:rPr>
              <w:t xml:space="preserve">в </w:t>
            </w:r>
            <w:proofErr w:type="spellStart"/>
            <w:r w:rsidR="00C22309" w:rsidRPr="00E16672">
              <w:rPr>
                <w:rFonts w:ascii="Times New Roman" w:hAnsi="Times New Roman"/>
                <w:color w:val="000000"/>
                <w:sz w:val="16"/>
                <w:szCs w:val="16"/>
              </w:rPr>
              <w:t>цін</w:t>
            </w:r>
            <w:r w:rsidRPr="00E16672">
              <w:rPr>
                <w:rFonts w:ascii="Times New Roman" w:hAnsi="Times New Roman"/>
                <w:color w:val="000000"/>
                <w:sz w:val="16"/>
                <w:szCs w:val="16"/>
              </w:rPr>
              <w:t>них</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паперах</w:t>
            </w:r>
            <w:proofErr w:type="spellEnd"/>
            <w:r w:rsidRPr="00E16672">
              <w:rPr>
                <w:rFonts w:ascii="Times New Roman" w:hAnsi="Times New Roman"/>
                <w:color w:val="000000"/>
                <w:sz w:val="16"/>
                <w:szCs w:val="16"/>
              </w:rPr>
              <w:t xml:space="preserve"> повинна бути оплачена до </w:t>
            </w:r>
            <w:proofErr w:type="spellStart"/>
            <w:r w:rsidRPr="00E16672">
              <w:rPr>
                <w:rFonts w:ascii="Times New Roman" w:hAnsi="Times New Roman"/>
                <w:color w:val="000000"/>
                <w:sz w:val="16"/>
                <w:szCs w:val="16"/>
              </w:rPr>
              <w:t>виконання</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цієї</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послуги</w:t>
            </w:r>
            <w:proofErr w:type="spellEnd"/>
            <w:r w:rsidRPr="00E16672">
              <w:rPr>
                <w:rFonts w:ascii="Times New Roman" w:hAnsi="Times New Roman"/>
                <w:color w:val="000000"/>
                <w:sz w:val="16"/>
                <w:szCs w:val="16"/>
              </w:rPr>
              <w:t xml:space="preserve">.  </w:t>
            </w:r>
          </w:p>
          <w:p w14:paraId="26B28AD1" w14:textId="77777777" w:rsidR="00EB25FE" w:rsidRPr="00E16672" w:rsidRDefault="00EB25FE" w:rsidP="00794B3F">
            <w:pPr>
              <w:pStyle w:val="310"/>
              <w:tabs>
                <w:tab w:val="left" w:pos="182"/>
              </w:tabs>
              <w:ind w:left="175" w:right="138" w:firstLine="7"/>
              <w:rPr>
                <w:rFonts w:ascii="Times New Roman" w:hAnsi="Times New Roman"/>
                <w:color w:val="000000"/>
                <w:sz w:val="16"/>
                <w:szCs w:val="16"/>
              </w:rPr>
            </w:pPr>
          </w:p>
        </w:tc>
        <w:tc>
          <w:tcPr>
            <w:tcW w:w="5495" w:type="dxa"/>
            <w:gridSpan w:val="8"/>
            <w:shd w:val="clear" w:color="auto" w:fill="auto"/>
          </w:tcPr>
          <w:p w14:paraId="2A843EB5" w14:textId="77777777" w:rsidR="00EB25FE" w:rsidRPr="00E16672" w:rsidRDefault="00EB25FE" w:rsidP="00794B3F">
            <w:pPr>
              <w:tabs>
                <w:tab w:val="left" w:pos="182"/>
                <w:tab w:val="left" w:pos="287"/>
              </w:tabs>
              <w:snapToGrid w:val="0"/>
              <w:ind w:left="175" w:right="138" w:firstLine="7"/>
              <w:rPr>
                <w:rFonts w:ascii="Times New Roman" w:hAnsi="Times New Roman"/>
                <w:color w:val="000000"/>
                <w:sz w:val="16"/>
                <w:szCs w:val="16"/>
                <w:lang w:val="en-GB"/>
              </w:rPr>
            </w:pPr>
            <w:r w:rsidRPr="00E16672">
              <w:rPr>
                <w:rFonts w:ascii="Times New Roman" w:hAnsi="Times New Roman"/>
                <w:color w:val="000000"/>
                <w:sz w:val="16"/>
                <w:szCs w:val="16"/>
                <w:lang w:val="en-GB"/>
              </w:rPr>
              <w:t xml:space="preserve">4.4. A pay is brought by </w:t>
            </w:r>
            <w:r w:rsidR="000179AC" w:rsidRPr="00E16672">
              <w:rPr>
                <w:rFonts w:ascii="Times New Roman" w:hAnsi="Times New Roman"/>
                <w:sz w:val="16"/>
                <w:szCs w:val="16"/>
                <w:lang w:val="en-US"/>
              </w:rPr>
              <w:t>Nominee holder</w:t>
            </w:r>
            <w:r w:rsidR="000179AC" w:rsidRPr="00E16672">
              <w:rPr>
                <w:rFonts w:ascii="Times New Roman" w:hAnsi="Times New Roman"/>
                <w:color w:val="000000"/>
                <w:sz w:val="16"/>
                <w:szCs w:val="16"/>
                <w:lang w:val="en-GB"/>
              </w:rPr>
              <w:t xml:space="preserve"> </w:t>
            </w:r>
            <w:r w:rsidRPr="00E16672">
              <w:rPr>
                <w:rFonts w:ascii="Times New Roman" w:hAnsi="Times New Roman"/>
                <w:color w:val="000000"/>
                <w:sz w:val="16"/>
                <w:szCs w:val="16"/>
                <w:lang w:val="en-GB"/>
              </w:rPr>
              <w:t xml:space="preserve">in cashless form till </w:t>
            </w:r>
            <w:r w:rsidRPr="00E16672">
              <w:rPr>
                <w:rFonts w:ascii="Times New Roman" w:hAnsi="Times New Roman"/>
                <w:i/>
                <w:color w:val="000000"/>
                <w:sz w:val="16"/>
                <w:szCs w:val="16"/>
                <w:lang w:val="en-US"/>
              </w:rPr>
              <w:t xml:space="preserve">eighty </w:t>
            </w:r>
            <w:r w:rsidRPr="00E16672">
              <w:rPr>
                <w:rFonts w:ascii="Times New Roman" w:hAnsi="Times New Roman"/>
                <w:i/>
                <w:color w:val="000000"/>
                <w:sz w:val="16"/>
                <w:szCs w:val="16"/>
                <w:lang w:val="en-GB"/>
              </w:rPr>
              <w:t>calendar days</w:t>
            </w:r>
            <w:r w:rsidRPr="00E16672">
              <w:rPr>
                <w:rFonts w:ascii="Times New Roman" w:hAnsi="Times New Roman"/>
                <w:color w:val="000000"/>
                <w:sz w:val="16"/>
                <w:szCs w:val="16"/>
                <w:lang w:val="en-GB"/>
              </w:rPr>
              <w:t xml:space="preserve"> from the day of </w:t>
            </w:r>
            <w:proofErr w:type="gramStart"/>
            <w:r w:rsidRPr="00E16672">
              <w:rPr>
                <w:rFonts w:ascii="Times New Roman" w:hAnsi="Times New Roman"/>
                <w:color w:val="000000"/>
                <w:sz w:val="16"/>
                <w:szCs w:val="16"/>
                <w:lang w:val="en-GB"/>
              </w:rPr>
              <w:t>signing  the</w:t>
            </w:r>
            <w:proofErr w:type="gramEnd"/>
            <w:r w:rsidRPr="00E16672">
              <w:rPr>
                <w:rFonts w:ascii="Times New Roman" w:hAnsi="Times New Roman"/>
                <w:color w:val="000000"/>
                <w:sz w:val="16"/>
                <w:szCs w:val="16"/>
                <w:lang w:val="en-GB"/>
              </w:rPr>
              <w:t xml:space="preserve">  Statement by Depositary institution by transfer funds  on the account of the Depository institution after for details, indicated by Depository institution.  Operation </w:t>
            </w:r>
            <w:proofErr w:type="gramStart"/>
            <w:r w:rsidRPr="00E16672">
              <w:rPr>
                <w:rFonts w:ascii="Times New Roman" w:hAnsi="Times New Roman"/>
                <w:color w:val="000000"/>
                <w:sz w:val="16"/>
                <w:szCs w:val="16"/>
                <w:lang w:val="en-GB"/>
              </w:rPr>
              <w:t>of  closing</w:t>
            </w:r>
            <w:proofErr w:type="gramEnd"/>
            <w:r w:rsidRPr="00E16672">
              <w:rPr>
                <w:rFonts w:ascii="Times New Roman" w:hAnsi="Times New Roman"/>
                <w:color w:val="000000"/>
                <w:sz w:val="16"/>
                <w:szCs w:val="16"/>
                <w:lang w:val="en-GB"/>
              </w:rPr>
              <w:t xml:space="preserve">  an account in securities has to be paid till  the fulfilling this service.</w:t>
            </w:r>
          </w:p>
          <w:p w14:paraId="2E6663DF" w14:textId="77777777" w:rsidR="00EB25FE" w:rsidRPr="00E16672" w:rsidRDefault="00EB25FE" w:rsidP="00794B3F">
            <w:pPr>
              <w:tabs>
                <w:tab w:val="left" w:pos="182"/>
                <w:tab w:val="left" w:pos="287"/>
              </w:tabs>
              <w:snapToGrid w:val="0"/>
              <w:ind w:left="175" w:right="138" w:firstLine="7"/>
              <w:rPr>
                <w:rFonts w:ascii="Times New Roman" w:hAnsi="Times New Roman"/>
                <w:bCs/>
                <w:color w:val="000000"/>
                <w:sz w:val="16"/>
                <w:szCs w:val="16"/>
                <w:lang w:val="en-GB"/>
              </w:rPr>
            </w:pPr>
          </w:p>
        </w:tc>
      </w:tr>
      <w:tr w:rsidR="00EB25FE" w:rsidRPr="00A26EFC" w14:paraId="017B44F2" w14:textId="77777777" w:rsidTr="005E418B">
        <w:tblPrEx>
          <w:tblCellMar>
            <w:left w:w="0" w:type="dxa"/>
            <w:right w:w="0" w:type="dxa"/>
          </w:tblCellMar>
        </w:tblPrEx>
        <w:trPr>
          <w:trHeight w:val="192"/>
        </w:trPr>
        <w:tc>
          <w:tcPr>
            <w:tcW w:w="5695" w:type="dxa"/>
            <w:gridSpan w:val="7"/>
            <w:shd w:val="clear" w:color="auto" w:fill="auto"/>
          </w:tcPr>
          <w:p w14:paraId="3924E7AC" w14:textId="77777777" w:rsidR="00EB25FE" w:rsidRPr="00E16672" w:rsidRDefault="00EB25FE" w:rsidP="00794B3F">
            <w:pPr>
              <w:tabs>
                <w:tab w:val="left" w:pos="182"/>
              </w:tabs>
              <w:snapToGrid w:val="0"/>
              <w:ind w:left="175" w:right="138" w:firstLine="7"/>
              <w:rPr>
                <w:rFonts w:ascii="Times New Roman" w:hAnsi="Times New Roman"/>
                <w:sz w:val="16"/>
                <w:szCs w:val="16"/>
              </w:rPr>
            </w:pPr>
            <w:r w:rsidRPr="00E16672">
              <w:rPr>
                <w:rFonts w:ascii="Times New Roman" w:hAnsi="Times New Roman"/>
                <w:sz w:val="16"/>
                <w:szCs w:val="16"/>
              </w:rPr>
              <w:t xml:space="preserve">4.5. У </w:t>
            </w:r>
            <w:proofErr w:type="spellStart"/>
            <w:r w:rsidRPr="00E16672">
              <w:rPr>
                <w:rFonts w:ascii="Times New Roman" w:hAnsi="Times New Roman"/>
                <w:sz w:val="16"/>
                <w:szCs w:val="16"/>
              </w:rPr>
              <w:t>разі</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припинення</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дії</w:t>
            </w:r>
            <w:proofErr w:type="spellEnd"/>
            <w:r w:rsidRPr="00E16672">
              <w:rPr>
                <w:rFonts w:ascii="Times New Roman" w:hAnsi="Times New Roman"/>
                <w:sz w:val="16"/>
                <w:szCs w:val="16"/>
              </w:rPr>
              <w:t xml:space="preserve"> Договору </w:t>
            </w:r>
            <w:r w:rsidR="000179AC" w:rsidRPr="00E16672">
              <w:rPr>
                <w:rFonts w:ascii="Times New Roman" w:hAnsi="Times New Roman"/>
                <w:sz w:val="16"/>
                <w:szCs w:val="16"/>
                <w:lang w:val="uk-UA"/>
              </w:rPr>
              <w:t>Номінальний утримувач</w:t>
            </w:r>
            <w:r w:rsidRPr="00E16672">
              <w:rPr>
                <w:rFonts w:ascii="Times New Roman" w:hAnsi="Times New Roman"/>
                <w:sz w:val="16"/>
                <w:szCs w:val="16"/>
              </w:rPr>
              <w:t xml:space="preserve"> </w:t>
            </w:r>
            <w:proofErr w:type="spellStart"/>
            <w:r w:rsidRPr="00E16672">
              <w:rPr>
                <w:rFonts w:ascii="Times New Roman" w:hAnsi="Times New Roman"/>
                <w:sz w:val="16"/>
                <w:szCs w:val="16"/>
              </w:rPr>
              <w:t>зобов’язаний</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сплатити</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фактично</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надані</w:t>
            </w:r>
            <w:proofErr w:type="spellEnd"/>
            <w:r w:rsidRPr="00E16672">
              <w:rPr>
                <w:rFonts w:ascii="Times New Roman" w:hAnsi="Times New Roman"/>
                <w:sz w:val="16"/>
                <w:szCs w:val="16"/>
              </w:rPr>
              <w:t xml:space="preserve"> Депозитарною </w:t>
            </w:r>
            <w:proofErr w:type="spellStart"/>
            <w:r w:rsidRPr="00E16672">
              <w:rPr>
                <w:rFonts w:ascii="Times New Roman" w:hAnsi="Times New Roman"/>
                <w:sz w:val="16"/>
                <w:szCs w:val="16"/>
              </w:rPr>
              <w:t>установою</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послуги</w:t>
            </w:r>
            <w:proofErr w:type="spellEnd"/>
            <w:r w:rsidRPr="00E16672">
              <w:rPr>
                <w:rFonts w:ascii="Times New Roman" w:hAnsi="Times New Roman"/>
                <w:sz w:val="16"/>
                <w:szCs w:val="16"/>
              </w:rPr>
              <w:t xml:space="preserve"> </w:t>
            </w:r>
            <w:proofErr w:type="gramStart"/>
            <w:r w:rsidRPr="00E16672">
              <w:rPr>
                <w:rFonts w:ascii="Times New Roman" w:hAnsi="Times New Roman"/>
                <w:sz w:val="16"/>
                <w:szCs w:val="16"/>
              </w:rPr>
              <w:t>до моменту</w:t>
            </w:r>
            <w:proofErr w:type="gramEnd"/>
            <w:r w:rsidRPr="00E16672">
              <w:rPr>
                <w:rFonts w:ascii="Times New Roman" w:hAnsi="Times New Roman"/>
                <w:sz w:val="16"/>
                <w:szCs w:val="16"/>
              </w:rPr>
              <w:t xml:space="preserve"> </w:t>
            </w:r>
            <w:proofErr w:type="spellStart"/>
            <w:r w:rsidRPr="00E16672">
              <w:rPr>
                <w:rFonts w:ascii="Times New Roman" w:hAnsi="Times New Roman"/>
                <w:sz w:val="16"/>
                <w:szCs w:val="16"/>
              </w:rPr>
              <w:t>припинення</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дії</w:t>
            </w:r>
            <w:proofErr w:type="spellEnd"/>
            <w:r w:rsidRPr="00E16672">
              <w:rPr>
                <w:rFonts w:ascii="Times New Roman" w:hAnsi="Times New Roman"/>
                <w:sz w:val="16"/>
                <w:szCs w:val="16"/>
              </w:rPr>
              <w:t xml:space="preserve"> Договору.</w:t>
            </w:r>
          </w:p>
          <w:p w14:paraId="57D88E8B" w14:textId="77777777" w:rsidR="00EB25FE" w:rsidRPr="00E16672" w:rsidRDefault="00EB25FE" w:rsidP="00794B3F">
            <w:pPr>
              <w:pStyle w:val="310"/>
              <w:tabs>
                <w:tab w:val="left" w:pos="182"/>
              </w:tabs>
              <w:ind w:left="175" w:right="138" w:firstLine="7"/>
              <w:rPr>
                <w:rFonts w:ascii="Times New Roman" w:hAnsi="Times New Roman"/>
                <w:sz w:val="16"/>
                <w:szCs w:val="16"/>
              </w:rPr>
            </w:pPr>
          </w:p>
        </w:tc>
        <w:tc>
          <w:tcPr>
            <w:tcW w:w="5495" w:type="dxa"/>
            <w:gridSpan w:val="8"/>
            <w:shd w:val="clear" w:color="auto" w:fill="auto"/>
          </w:tcPr>
          <w:p w14:paraId="29E15B44" w14:textId="77777777" w:rsidR="00EB25FE" w:rsidRPr="00E16672" w:rsidRDefault="00EB25FE" w:rsidP="00794B3F">
            <w:pPr>
              <w:tabs>
                <w:tab w:val="left" w:pos="182"/>
                <w:tab w:val="left" w:pos="287"/>
              </w:tabs>
              <w:snapToGrid w:val="0"/>
              <w:ind w:left="145" w:right="100" w:firstLine="7"/>
              <w:rPr>
                <w:rFonts w:ascii="Times New Roman" w:hAnsi="Times New Roman"/>
                <w:sz w:val="16"/>
                <w:szCs w:val="16"/>
                <w:lang w:val="en-GB"/>
              </w:rPr>
            </w:pPr>
            <w:r w:rsidRPr="00E16672">
              <w:rPr>
                <w:rFonts w:ascii="Times New Roman" w:hAnsi="Times New Roman"/>
                <w:sz w:val="16"/>
                <w:szCs w:val="16"/>
                <w:lang w:val="en-GB"/>
              </w:rPr>
              <w:lastRenderedPageBreak/>
              <w:t xml:space="preserve">4.5.  In the event of termination of the Agreement </w:t>
            </w:r>
            <w:r w:rsidR="000179AC" w:rsidRPr="00E16672">
              <w:rPr>
                <w:rFonts w:ascii="Times New Roman" w:hAnsi="Times New Roman"/>
                <w:sz w:val="16"/>
                <w:szCs w:val="16"/>
                <w:lang w:val="en-US"/>
              </w:rPr>
              <w:t>Nominee holder</w:t>
            </w:r>
            <w:r w:rsidR="000179AC" w:rsidRPr="00E16672">
              <w:rPr>
                <w:rFonts w:ascii="Times New Roman" w:hAnsi="Times New Roman"/>
                <w:sz w:val="16"/>
                <w:szCs w:val="16"/>
                <w:lang w:val="en-GB"/>
              </w:rPr>
              <w:t xml:space="preserve"> </w:t>
            </w:r>
            <w:r w:rsidRPr="00E16672">
              <w:rPr>
                <w:rFonts w:ascii="Times New Roman" w:hAnsi="Times New Roman"/>
                <w:sz w:val="16"/>
                <w:szCs w:val="16"/>
                <w:lang w:val="en-GB"/>
              </w:rPr>
              <w:t>shall pay the actual services provided by Depository institutions at the time of termination of the Agreement.</w:t>
            </w:r>
          </w:p>
          <w:p w14:paraId="45770157" w14:textId="77777777" w:rsidR="00EB25FE" w:rsidRPr="00E16672" w:rsidRDefault="00EB25FE" w:rsidP="00794B3F">
            <w:pPr>
              <w:tabs>
                <w:tab w:val="left" w:pos="182"/>
                <w:tab w:val="left" w:pos="287"/>
              </w:tabs>
              <w:ind w:left="145" w:right="100" w:firstLine="7"/>
              <w:rPr>
                <w:rFonts w:ascii="Times New Roman" w:hAnsi="Times New Roman"/>
                <w:sz w:val="16"/>
                <w:szCs w:val="16"/>
                <w:shd w:val="clear" w:color="auto" w:fill="FFFFFF"/>
                <w:lang w:val="en-GB"/>
              </w:rPr>
            </w:pPr>
          </w:p>
        </w:tc>
      </w:tr>
      <w:tr w:rsidR="00EB25FE" w:rsidRPr="00A26EFC" w14:paraId="7391CFDC" w14:textId="77777777" w:rsidTr="005E418B">
        <w:tblPrEx>
          <w:tblCellMar>
            <w:left w:w="0" w:type="dxa"/>
            <w:right w:w="0" w:type="dxa"/>
          </w:tblCellMar>
        </w:tblPrEx>
        <w:trPr>
          <w:trHeight w:val="192"/>
        </w:trPr>
        <w:tc>
          <w:tcPr>
            <w:tcW w:w="5695" w:type="dxa"/>
            <w:gridSpan w:val="7"/>
            <w:shd w:val="clear" w:color="auto" w:fill="auto"/>
          </w:tcPr>
          <w:p w14:paraId="71109F53" w14:textId="77777777" w:rsidR="00EB25FE" w:rsidRPr="00E16672" w:rsidRDefault="00EB25FE" w:rsidP="00794B3F">
            <w:pPr>
              <w:tabs>
                <w:tab w:val="left" w:pos="182"/>
              </w:tabs>
              <w:snapToGrid w:val="0"/>
              <w:ind w:left="175" w:right="138" w:firstLine="7"/>
              <w:rPr>
                <w:rFonts w:ascii="Times New Roman" w:hAnsi="Times New Roman"/>
                <w:color w:val="000000"/>
                <w:sz w:val="16"/>
                <w:szCs w:val="16"/>
                <w:lang w:val="uk-UA"/>
              </w:rPr>
            </w:pPr>
            <w:r w:rsidRPr="00E16672">
              <w:rPr>
                <w:rFonts w:ascii="Times New Roman" w:hAnsi="Times New Roman"/>
                <w:color w:val="000000"/>
                <w:sz w:val="16"/>
                <w:szCs w:val="16"/>
                <w:lang w:val="uk-UA"/>
              </w:rPr>
              <w:lastRenderedPageBreak/>
              <w:t xml:space="preserve">4.6. Надання депозитарних послуг </w:t>
            </w:r>
            <w:r w:rsidR="000179AC" w:rsidRPr="00E16672">
              <w:rPr>
                <w:rFonts w:ascii="Times New Roman" w:hAnsi="Times New Roman"/>
                <w:color w:val="000000"/>
                <w:sz w:val="16"/>
                <w:szCs w:val="16"/>
                <w:lang w:val="uk-UA"/>
              </w:rPr>
              <w:t>Номінальному утримувачу</w:t>
            </w:r>
            <w:r w:rsidRPr="00E16672">
              <w:rPr>
                <w:rFonts w:ascii="Times New Roman" w:hAnsi="Times New Roman"/>
                <w:color w:val="000000"/>
                <w:sz w:val="16"/>
                <w:szCs w:val="16"/>
                <w:lang w:val="uk-UA"/>
              </w:rPr>
              <w:t xml:space="preserve"> може бути призупинено Депозитарною установою у разі відсутності належної оплати послуг Депозитарної установи з боку </w:t>
            </w:r>
            <w:r w:rsidR="000179AC" w:rsidRPr="00E16672">
              <w:rPr>
                <w:rFonts w:ascii="Times New Roman" w:hAnsi="Times New Roman"/>
                <w:color w:val="000000"/>
                <w:sz w:val="16"/>
                <w:szCs w:val="16"/>
                <w:lang w:val="uk-UA"/>
              </w:rPr>
              <w:t>Номінального утримувача</w:t>
            </w:r>
            <w:r w:rsidRPr="00E16672">
              <w:rPr>
                <w:rFonts w:ascii="Times New Roman" w:hAnsi="Times New Roman"/>
                <w:color w:val="000000"/>
                <w:sz w:val="16"/>
                <w:szCs w:val="16"/>
                <w:lang w:val="uk-UA"/>
              </w:rPr>
              <w:t xml:space="preserve"> до повного погашення заборгованості.</w:t>
            </w:r>
          </w:p>
          <w:p w14:paraId="25BD21D3" w14:textId="77777777" w:rsidR="00EB25FE" w:rsidRPr="00E16672" w:rsidRDefault="00EB25FE" w:rsidP="00794B3F">
            <w:pPr>
              <w:tabs>
                <w:tab w:val="left" w:pos="182"/>
              </w:tabs>
              <w:snapToGrid w:val="0"/>
              <w:ind w:left="175" w:right="138" w:firstLine="7"/>
              <w:rPr>
                <w:rFonts w:ascii="Times New Roman" w:hAnsi="Times New Roman"/>
                <w:color w:val="000000"/>
                <w:sz w:val="16"/>
                <w:szCs w:val="16"/>
              </w:rPr>
            </w:pPr>
          </w:p>
        </w:tc>
        <w:tc>
          <w:tcPr>
            <w:tcW w:w="5495" w:type="dxa"/>
            <w:gridSpan w:val="8"/>
            <w:shd w:val="clear" w:color="auto" w:fill="auto"/>
          </w:tcPr>
          <w:p w14:paraId="63C7659B" w14:textId="77777777" w:rsidR="00EB25FE" w:rsidRPr="00E16672" w:rsidRDefault="00EB25FE" w:rsidP="00794B3F">
            <w:pPr>
              <w:tabs>
                <w:tab w:val="left" w:pos="182"/>
                <w:tab w:val="left" w:pos="287"/>
              </w:tabs>
              <w:snapToGrid w:val="0"/>
              <w:ind w:left="145" w:right="100" w:firstLine="7"/>
              <w:rPr>
                <w:rFonts w:ascii="Times New Roman" w:hAnsi="Times New Roman"/>
                <w:color w:val="000000"/>
                <w:sz w:val="16"/>
                <w:szCs w:val="16"/>
                <w:lang w:val="en-US"/>
              </w:rPr>
            </w:pPr>
            <w:r w:rsidRPr="00E16672">
              <w:rPr>
                <w:rFonts w:ascii="Times New Roman" w:hAnsi="Times New Roman"/>
                <w:color w:val="000000"/>
                <w:sz w:val="16"/>
                <w:szCs w:val="16"/>
                <w:lang w:val="uk-UA"/>
              </w:rPr>
              <w:t xml:space="preserve">4.6. </w:t>
            </w:r>
            <w:proofErr w:type="spellStart"/>
            <w:r w:rsidRPr="00E16672">
              <w:rPr>
                <w:rFonts w:ascii="Times New Roman" w:hAnsi="Times New Roman"/>
                <w:color w:val="000000"/>
                <w:sz w:val="16"/>
                <w:szCs w:val="16"/>
                <w:lang w:val="uk-UA"/>
              </w:rPr>
              <w:t>Providing</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depositary</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services</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to</w:t>
            </w:r>
            <w:proofErr w:type="spellEnd"/>
            <w:r w:rsidRPr="00E16672">
              <w:rPr>
                <w:rFonts w:ascii="Times New Roman" w:hAnsi="Times New Roman"/>
                <w:color w:val="000000"/>
                <w:sz w:val="16"/>
                <w:szCs w:val="16"/>
                <w:lang w:val="uk-UA"/>
              </w:rPr>
              <w:t xml:space="preserve"> </w:t>
            </w:r>
            <w:r w:rsidR="000179AC" w:rsidRPr="00E16672">
              <w:rPr>
                <w:rFonts w:ascii="Times New Roman" w:hAnsi="Times New Roman"/>
                <w:sz w:val="16"/>
                <w:szCs w:val="16"/>
                <w:lang w:val="en-US"/>
              </w:rPr>
              <w:t>Nominee holder</w:t>
            </w:r>
            <w:r w:rsidR="000179AC"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may</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be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suspended</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by</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Depository</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institution</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in</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the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absence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of</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proper</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payment</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to</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the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Depository</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institution</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by</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the</w:t>
            </w:r>
            <w:proofErr w:type="spellEnd"/>
            <w:r w:rsidRPr="00E16672">
              <w:rPr>
                <w:rFonts w:ascii="Times New Roman" w:hAnsi="Times New Roman"/>
                <w:color w:val="000000"/>
                <w:sz w:val="16"/>
                <w:szCs w:val="16"/>
                <w:lang w:val="uk-UA"/>
              </w:rPr>
              <w:t xml:space="preserve"> </w:t>
            </w:r>
            <w:r w:rsidR="000179AC" w:rsidRPr="00E16672">
              <w:rPr>
                <w:rFonts w:ascii="Times New Roman" w:hAnsi="Times New Roman"/>
                <w:sz w:val="16"/>
                <w:szCs w:val="16"/>
                <w:lang w:val="en-US"/>
              </w:rPr>
              <w:t>Nominee holder</w:t>
            </w:r>
            <w:r w:rsidR="000179AC"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to</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the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full</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repayment</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of</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debt</w:t>
            </w:r>
            <w:proofErr w:type="spellEnd"/>
            <w:r w:rsidRPr="00E16672">
              <w:rPr>
                <w:rFonts w:ascii="Times New Roman" w:hAnsi="Times New Roman"/>
                <w:color w:val="000000"/>
                <w:sz w:val="16"/>
                <w:szCs w:val="16"/>
                <w:lang w:val="uk-UA"/>
              </w:rPr>
              <w:t>.</w:t>
            </w:r>
          </w:p>
        </w:tc>
      </w:tr>
      <w:tr w:rsidR="00EB25FE" w:rsidRPr="00A26EFC" w14:paraId="196BEAF1" w14:textId="77777777" w:rsidTr="005E418B">
        <w:tblPrEx>
          <w:tblCellMar>
            <w:left w:w="0" w:type="dxa"/>
            <w:right w:w="0" w:type="dxa"/>
          </w:tblCellMar>
        </w:tblPrEx>
        <w:trPr>
          <w:trHeight w:val="192"/>
        </w:trPr>
        <w:tc>
          <w:tcPr>
            <w:tcW w:w="5695" w:type="dxa"/>
            <w:gridSpan w:val="7"/>
            <w:shd w:val="clear" w:color="auto" w:fill="auto"/>
          </w:tcPr>
          <w:p w14:paraId="3BE021FC" w14:textId="77777777" w:rsidR="00EB25FE" w:rsidRPr="00E16672" w:rsidRDefault="00EB25FE" w:rsidP="00794B3F">
            <w:pPr>
              <w:snapToGrid w:val="0"/>
              <w:ind w:left="175" w:right="138"/>
              <w:jc w:val="center"/>
              <w:rPr>
                <w:rFonts w:ascii="Times New Roman" w:hAnsi="Times New Roman"/>
                <w:b/>
                <w:caps/>
                <w:sz w:val="16"/>
                <w:szCs w:val="16"/>
              </w:rPr>
            </w:pPr>
            <w:r w:rsidRPr="00E16672">
              <w:rPr>
                <w:rFonts w:ascii="Times New Roman" w:hAnsi="Times New Roman"/>
                <w:b/>
                <w:caps/>
                <w:sz w:val="16"/>
                <w:szCs w:val="16"/>
              </w:rPr>
              <w:t>5. Відповідальність Сторін</w:t>
            </w:r>
          </w:p>
          <w:p w14:paraId="20848C27" w14:textId="77777777" w:rsidR="00EB25FE" w:rsidRPr="00E16672" w:rsidRDefault="00EB25FE" w:rsidP="00794B3F">
            <w:pPr>
              <w:ind w:left="175" w:right="138"/>
              <w:jc w:val="center"/>
              <w:rPr>
                <w:rFonts w:ascii="Times New Roman" w:hAnsi="Times New Roman"/>
                <w:b/>
                <w:caps/>
                <w:sz w:val="16"/>
                <w:szCs w:val="16"/>
              </w:rPr>
            </w:pPr>
            <w:r w:rsidRPr="00E16672">
              <w:rPr>
                <w:rFonts w:ascii="Times New Roman" w:hAnsi="Times New Roman"/>
                <w:b/>
                <w:caps/>
                <w:sz w:val="16"/>
                <w:szCs w:val="16"/>
              </w:rPr>
              <w:t>Порядок розгляду спорів, що можуть виникнути між сторонами в процесі виконання, зміни чи розірвання Договору.</w:t>
            </w:r>
          </w:p>
          <w:p w14:paraId="18017236" w14:textId="77777777" w:rsidR="00EB25FE" w:rsidRPr="00E16672" w:rsidRDefault="00EB25FE" w:rsidP="00794B3F">
            <w:pPr>
              <w:ind w:left="175" w:right="138"/>
              <w:jc w:val="center"/>
              <w:rPr>
                <w:rFonts w:ascii="Times New Roman" w:hAnsi="Times New Roman"/>
                <w:b/>
                <w:caps/>
                <w:sz w:val="16"/>
                <w:szCs w:val="16"/>
              </w:rPr>
            </w:pPr>
          </w:p>
          <w:p w14:paraId="0A874462" w14:textId="77777777" w:rsidR="00EB25FE" w:rsidRPr="00E16672" w:rsidRDefault="00EB25FE" w:rsidP="00794B3F">
            <w:pPr>
              <w:ind w:left="175" w:right="138" w:firstLine="0"/>
              <w:rPr>
                <w:rFonts w:ascii="Times New Roman" w:hAnsi="Times New Roman"/>
                <w:sz w:val="16"/>
                <w:szCs w:val="16"/>
              </w:rPr>
            </w:pPr>
            <w:r w:rsidRPr="00E16672">
              <w:rPr>
                <w:rFonts w:ascii="Times New Roman" w:hAnsi="Times New Roman"/>
                <w:sz w:val="16"/>
                <w:szCs w:val="16"/>
              </w:rPr>
              <w:t xml:space="preserve">5.1. </w:t>
            </w:r>
            <w:proofErr w:type="spellStart"/>
            <w:r w:rsidRPr="00E16672">
              <w:rPr>
                <w:rFonts w:ascii="Times New Roman" w:hAnsi="Times New Roman"/>
                <w:sz w:val="16"/>
                <w:szCs w:val="16"/>
              </w:rPr>
              <w:t>Кожна</w:t>
            </w:r>
            <w:proofErr w:type="spellEnd"/>
            <w:r w:rsidRPr="00E16672">
              <w:rPr>
                <w:rFonts w:ascii="Times New Roman" w:hAnsi="Times New Roman"/>
                <w:sz w:val="16"/>
                <w:szCs w:val="16"/>
              </w:rPr>
              <w:t xml:space="preserve"> сторона </w:t>
            </w:r>
            <w:proofErr w:type="spellStart"/>
            <w:r w:rsidRPr="00E16672">
              <w:rPr>
                <w:rFonts w:ascii="Times New Roman" w:hAnsi="Times New Roman"/>
                <w:sz w:val="16"/>
                <w:szCs w:val="16"/>
              </w:rPr>
              <w:t>зобов’язується</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виконувати</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свої</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обов’язки</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належним</w:t>
            </w:r>
            <w:proofErr w:type="spellEnd"/>
            <w:r w:rsidRPr="00E16672">
              <w:rPr>
                <w:rFonts w:ascii="Times New Roman" w:hAnsi="Times New Roman"/>
                <w:sz w:val="16"/>
                <w:szCs w:val="16"/>
              </w:rPr>
              <w:t xml:space="preserve"> чином та </w:t>
            </w:r>
            <w:proofErr w:type="spellStart"/>
            <w:r w:rsidRPr="00E16672">
              <w:rPr>
                <w:rFonts w:ascii="Times New Roman" w:hAnsi="Times New Roman"/>
                <w:sz w:val="16"/>
                <w:szCs w:val="16"/>
              </w:rPr>
              <w:t>сприяти</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іншій</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стороні</w:t>
            </w:r>
            <w:proofErr w:type="spellEnd"/>
            <w:r w:rsidRPr="00E16672">
              <w:rPr>
                <w:rFonts w:ascii="Times New Roman" w:hAnsi="Times New Roman"/>
                <w:sz w:val="16"/>
                <w:szCs w:val="16"/>
              </w:rPr>
              <w:t xml:space="preserve"> у </w:t>
            </w:r>
            <w:proofErr w:type="spellStart"/>
            <w:r w:rsidRPr="00E16672">
              <w:rPr>
                <w:rFonts w:ascii="Times New Roman" w:hAnsi="Times New Roman"/>
                <w:sz w:val="16"/>
                <w:szCs w:val="16"/>
              </w:rPr>
              <w:t>виконанні</w:t>
            </w:r>
            <w:proofErr w:type="spellEnd"/>
            <w:r w:rsidRPr="00E16672">
              <w:rPr>
                <w:rFonts w:ascii="Times New Roman" w:hAnsi="Times New Roman"/>
                <w:sz w:val="16"/>
                <w:szCs w:val="16"/>
              </w:rPr>
              <w:t>.</w:t>
            </w:r>
          </w:p>
          <w:p w14:paraId="02571103" w14:textId="77777777" w:rsidR="00EB25FE" w:rsidRPr="00E16672" w:rsidRDefault="00EB25FE" w:rsidP="00794B3F">
            <w:pPr>
              <w:ind w:left="175" w:right="138"/>
              <w:rPr>
                <w:rFonts w:ascii="Times New Roman" w:hAnsi="Times New Roman"/>
                <w:sz w:val="16"/>
                <w:szCs w:val="16"/>
              </w:rPr>
            </w:pPr>
          </w:p>
        </w:tc>
        <w:tc>
          <w:tcPr>
            <w:tcW w:w="5495" w:type="dxa"/>
            <w:gridSpan w:val="8"/>
            <w:shd w:val="clear" w:color="auto" w:fill="auto"/>
          </w:tcPr>
          <w:p w14:paraId="61345669" w14:textId="77777777" w:rsidR="00EB25FE" w:rsidRPr="00E16672" w:rsidRDefault="00EB25FE" w:rsidP="00794B3F">
            <w:pPr>
              <w:pStyle w:val="210"/>
              <w:tabs>
                <w:tab w:val="left" w:pos="287"/>
                <w:tab w:val="left" w:pos="1191"/>
              </w:tabs>
              <w:snapToGrid w:val="0"/>
              <w:ind w:left="145" w:right="100" w:firstLine="0"/>
              <w:jc w:val="center"/>
              <w:rPr>
                <w:rFonts w:ascii="Times New Roman" w:hAnsi="Times New Roman"/>
                <w:b/>
                <w:caps/>
                <w:sz w:val="16"/>
                <w:szCs w:val="16"/>
              </w:rPr>
            </w:pPr>
            <w:r w:rsidRPr="00E16672">
              <w:rPr>
                <w:rFonts w:ascii="Times New Roman" w:hAnsi="Times New Roman"/>
                <w:b/>
                <w:caps/>
                <w:sz w:val="16"/>
                <w:szCs w:val="16"/>
              </w:rPr>
              <w:t xml:space="preserve">5. RESPONSIBILITIES OF THE PARTIES </w:t>
            </w:r>
          </w:p>
          <w:p w14:paraId="2FE3EE70" w14:textId="77777777" w:rsidR="00EB25FE" w:rsidRPr="00E16672" w:rsidRDefault="00EB25FE" w:rsidP="00794B3F">
            <w:pPr>
              <w:pStyle w:val="210"/>
              <w:tabs>
                <w:tab w:val="left" w:pos="287"/>
                <w:tab w:val="left" w:pos="1191"/>
              </w:tabs>
              <w:ind w:left="145" w:right="100" w:firstLine="0"/>
              <w:jc w:val="center"/>
              <w:rPr>
                <w:rFonts w:ascii="Times New Roman" w:hAnsi="Times New Roman"/>
                <w:b/>
                <w:caps/>
                <w:sz w:val="16"/>
                <w:szCs w:val="16"/>
              </w:rPr>
            </w:pPr>
            <w:r w:rsidRPr="00E16672">
              <w:rPr>
                <w:rFonts w:ascii="Times New Roman" w:hAnsi="Times New Roman"/>
                <w:b/>
                <w:caps/>
                <w:sz w:val="16"/>
                <w:szCs w:val="16"/>
              </w:rPr>
              <w:t xml:space="preserve">PROCEDURE hear disputes that may arise between the parties in the process, change or </w:t>
            </w:r>
            <w:r w:rsidRPr="00E16672">
              <w:rPr>
                <w:rFonts w:ascii="Times New Roman" w:hAnsi="Times New Roman"/>
                <w:b/>
                <w:caps/>
                <w:sz w:val="16"/>
                <w:szCs w:val="16"/>
                <w:lang w:val="en-US"/>
              </w:rPr>
              <w:t>agreement</w:t>
            </w:r>
            <w:r w:rsidRPr="00E16672">
              <w:rPr>
                <w:rFonts w:ascii="Times New Roman" w:hAnsi="Times New Roman"/>
                <w:b/>
                <w:caps/>
                <w:sz w:val="16"/>
                <w:szCs w:val="16"/>
              </w:rPr>
              <w:t xml:space="preserve"> termination.</w:t>
            </w:r>
          </w:p>
          <w:p w14:paraId="563F0592" w14:textId="77777777" w:rsidR="00EB25FE" w:rsidRPr="00E16672" w:rsidRDefault="00EB25FE" w:rsidP="00794B3F">
            <w:pPr>
              <w:pStyle w:val="210"/>
              <w:tabs>
                <w:tab w:val="left" w:pos="287"/>
                <w:tab w:val="left" w:pos="1191"/>
              </w:tabs>
              <w:ind w:left="145" w:right="100" w:firstLine="0"/>
              <w:jc w:val="center"/>
              <w:rPr>
                <w:rFonts w:ascii="Times New Roman" w:hAnsi="Times New Roman"/>
                <w:b/>
                <w:caps/>
                <w:sz w:val="16"/>
                <w:szCs w:val="16"/>
                <w:lang w:val="en-US"/>
              </w:rPr>
            </w:pPr>
          </w:p>
          <w:p w14:paraId="4AC5856F" w14:textId="77777777" w:rsidR="00EB25FE" w:rsidRPr="00E16672" w:rsidRDefault="00EB25FE" w:rsidP="00794B3F">
            <w:pPr>
              <w:tabs>
                <w:tab w:val="left" w:pos="287"/>
              </w:tabs>
              <w:ind w:left="145" w:right="100" w:firstLine="0"/>
              <w:rPr>
                <w:rFonts w:ascii="Times New Roman" w:hAnsi="Times New Roman"/>
                <w:sz w:val="16"/>
                <w:szCs w:val="16"/>
                <w:lang w:val="en-GB"/>
              </w:rPr>
            </w:pPr>
            <w:r w:rsidRPr="00E16672">
              <w:rPr>
                <w:rFonts w:ascii="Times New Roman" w:hAnsi="Times New Roman"/>
                <w:sz w:val="16"/>
                <w:szCs w:val="16"/>
                <w:lang w:val="en-GB"/>
              </w:rPr>
              <w:t xml:space="preserve">5.1. The parties are obliged to </w:t>
            </w:r>
            <w:proofErr w:type="spellStart"/>
            <w:r w:rsidRPr="00E16672">
              <w:rPr>
                <w:rFonts w:ascii="Times New Roman" w:hAnsi="Times New Roman"/>
                <w:sz w:val="16"/>
                <w:szCs w:val="16"/>
                <w:lang w:val="en-GB"/>
              </w:rPr>
              <w:t>fulfill</w:t>
            </w:r>
            <w:proofErr w:type="spellEnd"/>
            <w:r w:rsidRPr="00E16672">
              <w:rPr>
                <w:rFonts w:ascii="Times New Roman" w:hAnsi="Times New Roman"/>
                <w:sz w:val="16"/>
                <w:szCs w:val="16"/>
                <w:lang w:val="en-GB"/>
              </w:rPr>
              <w:t xml:space="preserve"> the responsibilities properly and to promote one another in their realization.</w:t>
            </w:r>
          </w:p>
          <w:p w14:paraId="169CD389" w14:textId="77777777" w:rsidR="00EB25FE" w:rsidRPr="00E16672" w:rsidRDefault="00EB25FE" w:rsidP="00794B3F">
            <w:pPr>
              <w:tabs>
                <w:tab w:val="left" w:pos="287"/>
              </w:tabs>
              <w:ind w:left="145" w:right="100"/>
              <w:jc w:val="center"/>
              <w:rPr>
                <w:rFonts w:ascii="Times New Roman" w:hAnsi="Times New Roman"/>
                <w:b/>
                <w:bCs/>
                <w:sz w:val="16"/>
                <w:szCs w:val="16"/>
                <w:lang w:val="en-GB"/>
              </w:rPr>
            </w:pPr>
          </w:p>
        </w:tc>
      </w:tr>
      <w:tr w:rsidR="00EB25FE" w:rsidRPr="00A26EFC" w14:paraId="348AFE7A" w14:textId="77777777" w:rsidTr="005E418B">
        <w:tblPrEx>
          <w:tblCellMar>
            <w:left w:w="0" w:type="dxa"/>
            <w:right w:w="0" w:type="dxa"/>
          </w:tblCellMar>
        </w:tblPrEx>
        <w:trPr>
          <w:trHeight w:val="192"/>
        </w:trPr>
        <w:tc>
          <w:tcPr>
            <w:tcW w:w="5695" w:type="dxa"/>
            <w:gridSpan w:val="7"/>
            <w:shd w:val="clear" w:color="auto" w:fill="auto"/>
          </w:tcPr>
          <w:p w14:paraId="5C20CD8E" w14:textId="77777777" w:rsidR="00EB25FE" w:rsidRPr="00E16672" w:rsidRDefault="00EB25FE" w:rsidP="00794B3F">
            <w:pPr>
              <w:snapToGrid w:val="0"/>
              <w:ind w:left="175" w:right="138" w:firstLine="7"/>
              <w:rPr>
                <w:rFonts w:ascii="Times New Roman" w:hAnsi="Times New Roman"/>
                <w:sz w:val="16"/>
                <w:szCs w:val="16"/>
              </w:rPr>
            </w:pPr>
            <w:r w:rsidRPr="00E16672">
              <w:rPr>
                <w:rFonts w:ascii="Times New Roman" w:hAnsi="Times New Roman"/>
                <w:sz w:val="16"/>
                <w:szCs w:val="16"/>
              </w:rPr>
              <w:t xml:space="preserve">5.2. </w:t>
            </w:r>
            <w:proofErr w:type="spellStart"/>
            <w:r w:rsidRPr="00E16672">
              <w:rPr>
                <w:rFonts w:ascii="Times New Roman" w:hAnsi="Times New Roman"/>
                <w:sz w:val="16"/>
                <w:szCs w:val="16"/>
              </w:rPr>
              <w:t>Обмін</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розпорядженнями</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повідомленнями</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інформацією</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що</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надається</w:t>
            </w:r>
            <w:proofErr w:type="spellEnd"/>
            <w:r w:rsidRPr="00E16672">
              <w:rPr>
                <w:rFonts w:ascii="Times New Roman" w:hAnsi="Times New Roman"/>
                <w:sz w:val="16"/>
                <w:szCs w:val="16"/>
              </w:rPr>
              <w:t xml:space="preserve"> у </w:t>
            </w:r>
            <w:proofErr w:type="spellStart"/>
            <w:r w:rsidRPr="00E16672">
              <w:rPr>
                <w:rFonts w:ascii="Times New Roman" w:hAnsi="Times New Roman"/>
                <w:sz w:val="16"/>
                <w:szCs w:val="16"/>
              </w:rPr>
              <w:t>зв’язку</w:t>
            </w:r>
            <w:proofErr w:type="spellEnd"/>
            <w:r w:rsidRPr="00E16672">
              <w:rPr>
                <w:rFonts w:ascii="Times New Roman" w:hAnsi="Times New Roman"/>
                <w:sz w:val="16"/>
                <w:szCs w:val="16"/>
              </w:rPr>
              <w:t xml:space="preserve"> з </w:t>
            </w:r>
            <w:proofErr w:type="spellStart"/>
            <w:r w:rsidRPr="00E16672">
              <w:rPr>
                <w:rFonts w:ascii="Times New Roman" w:hAnsi="Times New Roman"/>
                <w:sz w:val="16"/>
                <w:szCs w:val="16"/>
              </w:rPr>
              <w:t>виконанням</w:t>
            </w:r>
            <w:proofErr w:type="spellEnd"/>
            <w:r w:rsidRPr="00E16672">
              <w:rPr>
                <w:rFonts w:ascii="Times New Roman" w:hAnsi="Times New Roman"/>
                <w:sz w:val="16"/>
                <w:szCs w:val="16"/>
              </w:rPr>
              <w:t xml:space="preserve"> Сторонами Договору</w:t>
            </w:r>
            <w:r w:rsidRPr="00E16672">
              <w:rPr>
                <w:rFonts w:ascii="Times New Roman" w:hAnsi="Times New Roman"/>
                <w:sz w:val="16"/>
                <w:szCs w:val="16"/>
                <w:lang w:val="uk-UA"/>
              </w:rPr>
              <w:t xml:space="preserve">, здійснюється </w:t>
            </w:r>
            <w:proofErr w:type="gramStart"/>
            <w:r w:rsidRPr="00E16672">
              <w:rPr>
                <w:rFonts w:ascii="Times New Roman" w:hAnsi="Times New Roman"/>
                <w:sz w:val="16"/>
                <w:szCs w:val="16"/>
                <w:lang w:val="uk-UA"/>
              </w:rPr>
              <w:t>в порядку</w:t>
            </w:r>
            <w:proofErr w:type="gramEnd"/>
            <w:r w:rsidRPr="00E16672">
              <w:rPr>
                <w:rFonts w:ascii="Times New Roman" w:hAnsi="Times New Roman"/>
                <w:sz w:val="16"/>
                <w:szCs w:val="16"/>
                <w:lang w:val="uk-UA"/>
              </w:rPr>
              <w:t>, визначеному Договором, внутрішніми документами Депозитарної установи та законодавством.</w:t>
            </w:r>
          </w:p>
          <w:p w14:paraId="717AAEA7" w14:textId="77777777" w:rsidR="00EB25FE" w:rsidRPr="00E16672" w:rsidRDefault="00EB25FE" w:rsidP="00794B3F">
            <w:pPr>
              <w:snapToGrid w:val="0"/>
              <w:ind w:left="175" w:right="138" w:firstLine="7"/>
              <w:rPr>
                <w:rFonts w:ascii="Times New Roman" w:hAnsi="Times New Roman"/>
                <w:sz w:val="16"/>
                <w:szCs w:val="16"/>
              </w:rPr>
            </w:pPr>
            <w:r w:rsidRPr="00E16672">
              <w:rPr>
                <w:rFonts w:ascii="Times New Roman" w:hAnsi="Times New Roman"/>
                <w:sz w:val="16"/>
                <w:szCs w:val="16"/>
              </w:rPr>
              <w:t xml:space="preserve"> </w:t>
            </w:r>
          </w:p>
        </w:tc>
        <w:tc>
          <w:tcPr>
            <w:tcW w:w="5495" w:type="dxa"/>
            <w:gridSpan w:val="8"/>
            <w:shd w:val="clear" w:color="auto" w:fill="auto"/>
          </w:tcPr>
          <w:p w14:paraId="0A8B365B" w14:textId="77777777" w:rsidR="00EB25FE" w:rsidRPr="00E16672" w:rsidRDefault="00EB25FE" w:rsidP="00794B3F">
            <w:pPr>
              <w:pStyle w:val="210"/>
              <w:tabs>
                <w:tab w:val="left" w:pos="287"/>
                <w:tab w:val="left" w:pos="1362"/>
              </w:tabs>
              <w:snapToGrid w:val="0"/>
              <w:ind w:left="175" w:right="100" w:firstLine="7"/>
              <w:rPr>
                <w:rFonts w:ascii="Times New Roman" w:hAnsi="Times New Roman"/>
                <w:sz w:val="16"/>
                <w:szCs w:val="16"/>
                <w:lang w:val="en-GB"/>
              </w:rPr>
            </w:pPr>
            <w:r w:rsidRPr="00E16672">
              <w:rPr>
                <w:rFonts w:ascii="Times New Roman" w:hAnsi="Times New Roman"/>
                <w:sz w:val="16"/>
                <w:szCs w:val="16"/>
                <w:lang w:val="en-GB"/>
              </w:rPr>
              <w:t xml:space="preserve">5.2. An exchange orders, </w:t>
            </w:r>
            <w:proofErr w:type="gramStart"/>
            <w:r w:rsidRPr="00E16672">
              <w:rPr>
                <w:rFonts w:ascii="Times New Roman" w:hAnsi="Times New Roman"/>
                <w:sz w:val="16"/>
                <w:szCs w:val="16"/>
                <w:lang w:val="en-GB"/>
              </w:rPr>
              <w:t>messages,  information</w:t>
            </w:r>
            <w:proofErr w:type="gramEnd"/>
            <w:r w:rsidRPr="00E16672">
              <w:rPr>
                <w:rFonts w:ascii="Times New Roman" w:hAnsi="Times New Roman"/>
                <w:sz w:val="16"/>
                <w:szCs w:val="16"/>
                <w:lang w:val="en-GB"/>
              </w:rPr>
              <w:t xml:space="preserve"> between Parties provided </w:t>
            </w:r>
            <w:proofErr w:type="spellStart"/>
            <w:r w:rsidRPr="00E16672">
              <w:rPr>
                <w:rFonts w:ascii="Times New Roman" w:hAnsi="Times New Roman"/>
                <w:sz w:val="16"/>
                <w:szCs w:val="16"/>
              </w:rPr>
              <w:t>in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accordance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with</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procedure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established</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by</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Agreement</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internal</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documents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of</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Depository</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and</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law</w:t>
            </w:r>
            <w:proofErr w:type="spellEnd"/>
            <w:r w:rsidRPr="00E16672">
              <w:rPr>
                <w:rFonts w:ascii="Times New Roman" w:hAnsi="Times New Roman"/>
                <w:sz w:val="16"/>
                <w:szCs w:val="16"/>
              </w:rPr>
              <w:t>.</w:t>
            </w:r>
          </w:p>
          <w:p w14:paraId="19B0F3F0" w14:textId="77777777" w:rsidR="00EB25FE" w:rsidRPr="00E16672" w:rsidRDefault="00EB25FE" w:rsidP="00794B3F">
            <w:pPr>
              <w:pStyle w:val="210"/>
              <w:tabs>
                <w:tab w:val="left" w:pos="287"/>
                <w:tab w:val="left" w:pos="1362"/>
              </w:tabs>
              <w:snapToGrid w:val="0"/>
              <w:ind w:left="175" w:right="100" w:firstLine="7"/>
              <w:rPr>
                <w:rFonts w:ascii="Times New Roman" w:hAnsi="Times New Roman"/>
                <w:sz w:val="16"/>
                <w:szCs w:val="16"/>
                <w:lang w:val="en-US"/>
              </w:rPr>
            </w:pPr>
          </w:p>
        </w:tc>
      </w:tr>
      <w:tr w:rsidR="00EB25FE" w:rsidRPr="00A26EFC" w14:paraId="53541842" w14:textId="77777777" w:rsidTr="005E418B">
        <w:tblPrEx>
          <w:tblCellMar>
            <w:left w:w="0" w:type="dxa"/>
            <w:right w:w="0" w:type="dxa"/>
          </w:tblCellMar>
        </w:tblPrEx>
        <w:trPr>
          <w:trHeight w:val="192"/>
        </w:trPr>
        <w:tc>
          <w:tcPr>
            <w:tcW w:w="5695" w:type="dxa"/>
            <w:gridSpan w:val="7"/>
            <w:shd w:val="clear" w:color="auto" w:fill="auto"/>
          </w:tcPr>
          <w:p w14:paraId="53516250" w14:textId="77777777" w:rsidR="00EB25FE" w:rsidRPr="00E16672" w:rsidRDefault="00EB25FE" w:rsidP="00794B3F">
            <w:pPr>
              <w:snapToGrid w:val="0"/>
              <w:ind w:left="175" w:right="138" w:firstLine="7"/>
              <w:rPr>
                <w:rFonts w:ascii="Times New Roman" w:hAnsi="Times New Roman"/>
                <w:sz w:val="16"/>
                <w:szCs w:val="16"/>
              </w:rPr>
            </w:pPr>
            <w:r w:rsidRPr="00E16672">
              <w:rPr>
                <w:rFonts w:ascii="Times New Roman" w:hAnsi="Times New Roman"/>
                <w:sz w:val="16"/>
                <w:szCs w:val="16"/>
              </w:rPr>
              <w:t xml:space="preserve">5.3. </w:t>
            </w:r>
            <w:proofErr w:type="spellStart"/>
            <w:r w:rsidRPr="00E16672">
              <w:rPr>
                <w:rFonts w:ascii="Times New Roman" w:hAnsi="Times New Roman"/>
                <w:sz w:val="16"/>
                <w:szCs w:val="16"/>
              </w:rPr>
              <w:t>Сторони</w:t>
            </w:r>
            <w:proofErr w:type="spellEnd"/>
            <w:r w:rsidRPr="00E16672">
              <w:rPr>
                <w:rFonts w:ascii="Times New Roman" w:hAnsi="Times New Roman"/>
                <w:sz w:val="16"/>
                <w:szCs w:val="16"/>
              </w:rPr>
              <w:t xml:space="preserve"> </w:t>
            </w:r>
            <w:proofErr w:type="spellStart"/>
            <w:r w:rsidR="007B5C69" w:rsidRPr="00E16672">
              <w:rPr>
                <w:rFonts w:ascii="Times New Roman" w:hAnsi="Times New Roman"/>
                <w:sz w:val="16"/>
                <w:szCs w:val="16"/>
              </w:rPr>
              <w:t>підтверджують</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достовірність</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підписів</w:t>
            </w:r>
            <w:proofErr w:type="spellEnd"/>
            <w:r w:rsidRPr="00E16672">
              <w:rPr>
                <w:rFonts w:ascii="Times New Roman" w:hAnsi="Times New Roman"/>
                <w:sz w:val="16"/>
                <w:szCs w:val="16"/>
              </w:rPr>
              <w:t xml:space="preserve"> на </w:t>
            </w:r>
            <w:proofErr w:type="spellStart"/>
            <w:r w:rsidRPr="00E16672">
              <w:rPr>
                <w:rFonts w:ascii="Times New Roman" w:hAnsi="Times New Roman"/>
                <w:sz w:val="16"/>
                <w:szCs w:val="16"/>
              </w:rPr>
              <w:t>розпорядженнях</w:t>
            </w:r>
            <w:proofErr w:type="spellEnd"/>
            <w:r w:rsidRPr="00E16672">
              <w:rPr>
                <w:rFonts w:ascii="Times New Roman" w:hAnsi="Times New Roman"/>
                <w:sz w:val="16"/>
                <w:szCs w:val="16"/>
              </w:rPr>
              <w:t xml:space="preserve"> </w:t>
            </w:r>
            <w:proofErr w:type="spellStart"/>
            <w:r w:rsidR="000179AC" w:rsidRPr="00E16672">
              <w:rPr>
                <w:rFonts w:ascii="Times New Roman" w:hAnsi="Times New Roman"/>
                <w:sz w:val="16"/>
                <w:szCs w:val="16"/>
              </w:rPr>
              <w:t>Номінального</w:t>
            </w:r>
            <w:proofErr w:type="spellEnd"/>
            <w:r w:rsidR="000179AC" w:rsidRPr="00E16672">
              <w:rPr>
                <w:rFonts w:ascii="Times New Roman" w:hAnsi="Times New Roman"/>
                <w:sz w:val="16"/>
                <w:szCs w:val="16"/>
              </w:rPr>
              <w:t xml:space="preserve"> </w:t>
            </w:r>
            <w:proofErr w:type="spellStart"/>
            <w:r w:rsidR="000179AC" w:rsidRPr="00E16672">
              <w:rPr>
                <w:rFonts w:ascii="Times New Roman" w:hAnsi="Times New Roman"/>
                <w:sz w:val="16"/>
                <w:szCs w:val="16"/>
              </w:rPr>
              <w:t>утримувача</w:t>
            </w:r>
            <w:proofErr w:type="spellEnd"/>
            <w:r w:rsidRPr="00E16672">
              <w:rPr>
                <w:rFonts w:ascii="Times New Roman" w:hAnsi="Times New Roman"/>
                <w:sz w:val="16"/>
                <w:szCs w:val="16"/>
              </w:rPr>
              <w:t xml:space="preserve"> способом, </w:t>
            </w:r>
            <w:proofErr w:type="spellStart"/>
            <w:r w:rsidRPr="00E16672">
              <w:rPr>
                <w:rFonts w:ascii="Times New Roman" w:hAnsi="Times New Roman"/>
                <w:sz w:val="16"/>
                <w:szCs w:val="16"/>
              </w:rPr>
              <w:t>визначеним</w:t>
            </w:r>
            <w:proofErr w:type="spellEnd"/>
            <w:r w:rsidRPr="00E16672">
              <w:rPr>
                <w:rFonts w:ascii="Times New Roman" w:hAnsi="Times New Roman"/>
                <w:sz w:val="16"/>
                <w:szCs w:val="16"/>
              </w:rPr>
              <w:t xml:space="preserve"> у </w:t>
            </w:r>
            <w:proofErr w:type="spellStart"/>
            <w:r w:rsidRPr="00E16672">
              <w:rPr>
                <w:rFonts w:ascii="Times New Roman" w:hAnsi="Times New Roman"/>
                <w:sz w:val="16"/>
                <w:szCs w:val="16"/>
              </w:rPr>
              <w:t>розділі</w:t>
            </w:r>
            <w:proofErr w:type="spellEnd"/>
            <w:r w:rsidRPr="00E16672">
              <w:rPr>
                <w:rFonts w:ascii="Times New Roman" w:hAnsi="Times New Roman"/>
                <w:sz w:val="16"/>
                <w:szCs w:val="16"/>
              </w:rPr>
              <w:t xml:space="preserve"> 3 </w:t>
            </w:r>
            <w:proofErr w:type="spellStart"/>
            <w:r w:rsidRPr="00E16672">
              <w:rPr>
                <w:rFonts w:ascii="Times New Roman" w:hAnsi="Times New Roman"/>
                <w:sz w:val="16"/>
                <w:szCs w:val="16"/>
              </w:rPr>
              <w:t>цього</w:t>
            </w:r>
            <w:proofErr w:type="spellEnd"/>
            <w:r w:rsidRPr="00E16672">
              <w:rPr>
                <w:rFonts w:ascii="Times New Roman" w:hAnsi="Times New Roman"/>
                <w:sz w:val="16"/>
                <w:szCs w:val="16"/>
              </w:rPr>
              <w:t xml:space="preserve"> Договору.</w:t>
            </w:r>
          </w:p>
          <w:p w14:paraId="743588A7" w14:textId="77777777" w:rsidR="00EB25FE" w:rsidRPr="00E16672" w:rsidRDefault="00EB25FE" w:rsidP="00794B3F">
            <w:pPr>
              <w:ind w:left="175" w:right="138" w:firstLine="7"/>
              <w:rPr>
                <w:rFonts w:ascii="Times New Roman" w:hAnsi="Times New Roman"/>
                <w:sz w:val="16"/>
                <w:szCs w:val="16"/>
              </w:rPr>
            </w:pPr>
          </w:p>
        </w:tc>
        <w:tc>
          <w:tcPr>
            <w:tcW w:w="5495" w:type="dxa"/>
            <w:gridSpan w:val="8"/>
            <w:shd w:val="clear" w:color="auto" w:fill="auto"/>
          </w:tcPr>
          <w:p w14:paraId="44C85698" w14:textId="77777777" w:rsidR="00EB25FE" w:rsidRPr="00E16672" w:rsidRDefault="00EB25FE" w:rsidP="00794B3F">
            <w:pPr>
              <w:pStyle w:val="210"/>
              <w:tabs>
                <w:tab w:val="left" w:pos="287"/>
                <w:tab w:val="left" w:pos="1362"/>
              </w:tabs>
              <w:snapToGrid w:val="0"/>
              <w:ind w:left="175" w:right="100" w:firstLine="7"/>
              <w:rPr>
                <w:rFonts w:ascii="Times New Roman" w:hAnsi="Times New Roman"/>
                <w:sz w:val="16"/>
                <w:szCs w:val="16"/>
                <w:lang w:val="en-US"/>
              </w:rPr>
            </w:pPr>
            <w:r w:rsidRPr="00E16672">
              <w:rPr>
                <w:rFonts w:ascii="Times New Roman" w:hAnsi="Times New Roman"/>
                <w:sz w:val="16"/>
                <w:szCs w:val="16"/>
                <w:lang w:val="en-US"/>
              </w:rPr>
              <w:t xml:space="preserve">5.3. Parties are </w:t>
            </w:r>
            <w:r w:rsidRPr="00E16672">
              <w:rPr>
                <w:rFonts w:ascii="Times New Roman" w:hAnsi="Times New Roman"/>
                <w:sz w:val="16"/>
                <w:szCs w:val="16"/>
                <w:lang w:val="en-GB"/>
              </w:rPr>
              <w:t xml:space="preserve">confirmed </w:t>
            </w:r>
            <w:r w:rsidRPr="00E16672">
              <w:rPr>
                <w:rFonts w:ascii="Times New Roman" w:hAnsi="Times New Roman"/>
                <w:sz w:val="16"/>
                <w:szCs w:val="16"/>
                <w:lang w:val="en-US"/>
              </w:rPr>
              <w:t xml:space="preserve">authenticity of signatures on the orders of </w:t>
            </w:r>
            <w:r w:rsidR="000179AC" w:rsidRPr="00E16672">
              <w:rPr>
                <w:rFonts w:ascii="Times New Roman" w:hAnsi="Times New Roman"/>
                <w:sz w:val="16"/>
                <w:szCs w:val="16"/>
                <w:lang w:val="en-US"/>
              </w:rPr>
              <w:t xml:space="preserve">Nominee holder </w:t>
            </w:r>
            <w:r w:rsidRPr="00E16672">
              <w:rPr>
                <w:rFonts w:ascii="Times New Roman" w:hAnsi="Times New Roman"/>
                <w:sz w:val="16"/>
                <w:szCs w:val="16"/>
                <w:lang w:val="en-US"/>
              </w:rPr>
              <w:t>by a method, certain in a section 3 of this Agreement.</w:t>
            </w:r>
          </w:p>
          <w:p w14:paraId="54AEDCA9" w14:textId="77777777" w:rsidR="00EB25FE" w:rsidRPr="00E16672" w:rsidRDefault="00EB25FE" w:rsidP="00794B3F">
            <w:pPr>
              <w:pStyle w:val="210"/>
              <w:tabs>
                <w:tab w:val="left" w:pos="287"/>
                <w:tab w:val="left" w:pos="1362"/>
              </w:tabs>
              <w:snapToGrid w:val="0"/>
              <w:ind w:left="175" w:right="100" w:firstLine="7"/>
              <w:rPr>
                <w:rFonts w:ascii="Times New Roman" w:hAnsi="Times New Roman"/>
                <w:sz w:val="16"/>
                <w:szCs w:val="16"/>
                <w:lang w:val="en-US"/>
              </w:rPr>
            </w:pPr>
          </w:p>
        </w:tc>
      </w:tr>
      <w:tr w:rsidR="00EB25FE" w:rsidRPr="00A26EFC" w14:paraId="7A55FBC4" w14:textId="77777777" w:rsidTr="005E418B">
        <w:tblPrEx>
          <w:tblCellMar>
            <w:left w:w="0" w:type="dxa"/>
            <w:right w:w="0" w:type="dxa"/>
          </w:tblCellMar>
        </w:tblPrEx>
        <w:trPr>
          <w:trHeight w:val="846"/>
        </w:trPr>
        <w:tc>
          <w:tcPr>
            <w:tcW w:w="5695" w:type="dxa"/>
            <w:gridSpan w:val="7"/>
            <w:shd w:val="clear" w:color="auto" w:fill="auto"/>
          </w:tcPr>
          <w:p w14:paraId="5C338626" w14:textId="77777777" w:rsidR="00EB25FE" w:rsidRPr="00E16672" w:rsidRDefault="00EB25FE" w:rsidP="00794B3F">
            <w:pPr>
              <w:snapToGrid w:val="0"/>
              <w:ind w:left="175" w:right="138" w:firstLine="7"/>
              <w:rPr>
                <w:rFonts w:ascii="Times New Roman" w:hAnsi="Times New Roman"/>
                <w:sz w:val="16"/>
                <w:szCs w:val="16"/>
              </w:rPr>
            </w:pPr>
            <w:r w:rsidRPr="00E16672">
              <w:rPr>
                <w:rFonts w:ascii="Times New Roman" w:hAnsi="Times New Roman"/>
                <w:sz w:val="16"/>
                <w:szCs w:val="16"/>
              </w:rPr>
              <w:t xml:space="preserve">5.4. </w:t>
            </w:r>
            <w:proofErr w:type="spellStart"/>
            <w:r w:rsidRPr="00E16672">
              <w:rPr>
                <w:rFonts w:ascii="Times New Roman" w:hAnsi="Times New Roman"/>
                <w:sz w:val="16"/>
                <w:szCs w:val="16"/>
              </w:rPr>
              <w:t>Сторони</w:t>
            </w:r>
            <w:proofErr w:type="spellEnd"/>
            <w:r w:rsidRPr="00E16672">
              <w:rPr>
                <w:rFonts w:ascii="Times New Roman" w:hAnsi="Times New Roman"/>
                <w:sz w:val="16"/>
                <w:szCs w:val="16"/>
              </w:rPr>
              <w:t xml:space="preserve"> </w:t>
            </w:r>
            <w:proofErr w:type="spellStart"/>
            <w:proofErr w:type="gramStart"/>
            <w:r w:rsidRPr="00E16672">
              <w:rPr>
                <w:rFonts w:ascii="Times New Roman" w:hAnsi="Times New Roman"/>
                <w:sz w:val="16"/>
                <w:szCs w:val="16"/>
              </w:rPr>
              <w:t>несуть</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відповідальність</w:t>
            </w:r>
            <w:proofErr w:type="spellEnd"/>
            <w:proofErr w:type="gramEnd"/>
            <w:r w:rsidRPr="00E16672">
              <w:rPr>
                <w:rFonts w:ascii="Times New Roman" w:hAnsi="Times New Roman"/>
                <w:sz w:val="16"/>
                <w:szCs w:val="16"/>
              </w:rPr>
              <w:t xml:space="preserve"> за </w:t>
            </w:r>
            <w:proofErr w:type="spellStart"/>
            <w:r w:rsidRPr="00E16672">
              <w:rPr>
                <w:rFonts w:ascii="Times New Roman" w:hAnsi="Times New Roman"/>
                <w:sz w:val="16"/>
                <w:szCs w:val="16"/>
              </w:rPr>
              <w:t>невиконання</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або</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неналежне</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виконання</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своїх</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зобов’язань</w:t>
            </w:r>
            <w:proofErr w:type="spellEnd"/>
            <w:r w:rsidRPr="00E16672">
              <w:rPr>
                <w:rFonts w:ascii="Times New Roman" w:hAnsi="Times New Roman"/>
                <w:sz w:val="16"/>
                <w:szCs w:val="16"/>
              </w:rPr>
              <w:t xml:space="preserve"> за </w:t>
            </w:r>
            <w:proofErr w:type="spellStart"/>
            <w:r w:rsidRPr="00E16672">
              <w:rPr>
                <w:rFonts w:ascii="Times New Roman" w:hAnsi="Times New Roman"/>
                <w:sz w:val="16"/>
                <w:szCs w:val="16"/>
              </w:rPr>
              <w:t>цим</w:t>
            </w:r>
            <w:proofErr w:type="spellEnd"/>
            <w:r w:rsidRPr="00E16672">
              <w:rPr>
                <w:rFonts w:ascii="Times New Roman" w:hAnsi="Times New Roman"/>
                <w:sz w:val="16"/>
                <w:szCs w:val="16"/>
              </w:rPr>
              <w:t xml:space="preserve"> Договором </w:t>
            </w:r>
            <w:proofErr w:type="spellStart"/>
            <w:r w:rsidRPr="00E16672">
              <w:rPr>
                <w:rFonts w:ascii="Times New Roman" w:hAnsi="Times New Roman"/>
                <w:sz w:val="16"/>
                <w:szCs w:val="16"/>
              </w:rPr>
              <w:t>відповідно</w:t>
            </w:r>
            <w:proofErr w:type="spellEnd"/>
            <w:r w:rsidRPr="00E16672">
              <w:rPr>
                <w:rFonts w:ascii="Times New Roman" w:hAnsi="Times New Roman"/>
                <w:sz w:val="16"/>
                <w:szCs w:val="16"/>
              </w:rPr>
              <w:t xml:space="preserve"> до </w:t>
            </w:r>
            <w:proofErr w:type="spellStart"/>
            <w:r w:rsidRPr="00E16672">
              <w:rPr>
                <w:rFonts w:ascii="Times New Roman" w:hAnsi="Times New Roman"/>
                <w:sz w:val="16"/>
                <w:szCs w:val="16"/>
              </w:rPr>
              <w:t>законодавства</w:t>
            </w:r>
            <w:proofErr w:type="spellEnd"/>
            <w:r w:rsidRPr="00E16672">
              <w:rPr>
                <w:rFonts w:ascii="Times New Roman" w:hAnsi="Times New Roman"/>
                <w:sz w:val="16"/>
                <w:szCs w:val="16"/>
              </w:rPr>
              <w:t xml:space="preserve">, у тому </w:t>
            </w:r>
            <w:proofErr w:type="spellStart"/>
            <w:r w:rsidRPr="00E16672">
              <w:rPr>
                <w:rFonts w:ascii="Times New Roman" w:hAnsi="Times New Roman"/>
                <w:sz w:val="16"/>
                <w:szCs w:val="16"/>
              </w:rPr>
              <w:t>числі</w:t>
            </w:r>
            <w:proofErr w:type="spellEnd"/>
            <w:r w:rsidRPr="00E16672">
              <w:rPr>
                <w:rFonts w:ascii="Times New Roman" w:hAnsi="Times New Roman"/>
                <w:sz w:val="16"/>
                <w:szCs w:val="16"/>
              </w:rPr>
              <w:t xml:space="preserve"> нормативно-</w:t>
            </w:r>
            <w:proofErr w:type="spellStart"/>
            <w:r w:rsidRPr="00E16672">
              <w:rPr>
                <w:rFonts w:ascii="Times New Roman" w:hAnsi="Times New Roman"/>
                <w:sz w:val="16"/>
                <w:szCs w:val="16"/>
              </w:rPr>
              <w:t>правових</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актів</w:t>
            </w:r>
            <w:proofErr w:type="spellEnd"/>
            <w:r w:rsidRPr="00E16672">
              <w:rPr>
                <w:rFonts w:ascii="Times New Roman" w:hAnsi="Times New Roman"/>
                <w:sz w:val="16"/>
                <w:szCs w:val="16"/>
              </w:rPr>
              <w:t xml:space="preserve"> НКЦПФР.</w:t>
            </w:r>
          </w:p>
          <w:p w14:paraId="3FAE4868" w14:textId="77777777" w:rsidR="00EB25FE" w:rsidRPr="00E16672" w:rsidRDefault="00EB25FE" w:rsidP="00794B3F">
            <w:pPr>
              <w:ind w:left="175" w:right="138" w:firstLine="7"/>
              <w:rPr>
                <w:rFonts w:ascii="Times New Roman" w:hAnsi="Times New Roman"/>
                <w:sz w:val="16"/>
                <w:szCs w:val="16"/>
              </w:rPr>
            </w:pPr>
          </w:p>
        </w:tc>
        <w:tc>
          <w:tcPr>
            <w:tcW w:w="5495" w:type="dxa"/>
            <w:gridSpan w:val="8"/>
            <w:shd w:val="clear" w:color="auto" w:fill="auto"/>
          </w:tcPr>
          <w:p w14:paraId="1C1C8723" w14:textId="77777777" w:rsidR="00EB25FE" w:rsidRPr="00E16672" w:rsidRDefault="00EB25FE" w:rsidP="00794B3F">
            <w:pPr>
              <w:pStyle w:val="210"/>
              <w:tabs>
                <w:tab w:val="left" w:pos="287"/>
                <w:tab w:val="left" w:pos="1191"/>
              </w:tabs>
              <w:snapToGrid w:val="0"/>
              <w:ind w:left="175" w:right="100" w:firstLine="7"/>
              <w:rPr>
                <w:rFonts w:ascii="Times New Roman" w:hAnsi="Times New Roman"/>
                <w:sz w:val="16"/>
                <w:szCs w:val="16"/>
              </w:rPr>
            </w:pPr>
            <w:r w:rsidRPr="00E16672">
              <w:rPr>
                <w:rFonts w:ascii="Times New Roman" w:hAnsi="Times New Roman"/>
                <w:sz w:val="16"/>
                <w:szCs w:val="16"/>
              </w:rPr>
              <w:t xml:space="preserve">5.4. </w:t>
            </w:r>
            <w:proofErr w:type="spellStart"/>
            <w:r w:rsidRPr="00E16672">
              <w:rPr>
                <w:rFonts w:ascii="Times New Roman" w:hAnsi="Times New Roman"/>
                <w:sz w:val="16"/>
                <w:szCs w:val="16"/>
              </w:rPr>
              <w:t>Parties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are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responsible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for</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non-performance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or</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improper</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performance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of</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its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obligations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under</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this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Agreement</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in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accordance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with</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law</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including</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regulations</w:t>
            </w:r>
            <w:proofErr w:type="spellEnd"/>
            <w:r w:rsidRPr="00E16672">
              <w:rPr>
                <w:rFonts w:ascii="Times New Roman" w:hAnsi="Times New Roman"/>
                <w:sz w:val="16"/>
                <w:szCs w:val="16"/>
              </w:rPr>
              <w:t xml:space="preserve"> NCSSM.</w:t>
            </w:r>
          </w:p>
          <w:p w14:paraId="0D791CE3" w14:textId="77777777" w:rsidR="00EB25FE" w:rsidRPr="00E16672" w:rsidRDefault="00EB25FE" w:rsidP="00794B3F">
            <w:pPr>
              <w:pStyle w:val="210"/>
              <w:tabs>
                <w:tab w:val="left" w:pos="287"/>
                <w:tab w:val="left" w:pos="1191"/>
              </w:tabs>
              <w:snapToGrid w:val="0"/>
              <w:ind w:left="175" w:right="100" w:firstLine="7"/>
              <w:rPr>
                <w:rFonts w:ascii="Times New Roman" w:hAnsi="Times New Roman"/>
                <w:sz w:val="16"/>
                <w:szCs w:val="16"/>
                <w:lang w:val="en-GB"/>
              </w:rPr>
            </w:pPr>
          </w:p>
        </w:tc>
      </w:tr>
      <w:tr w:rsidR="00EB25FE" w:rsidRPr="00A26EFC" w14:paraId="185D97CA" w14:textId="77777777" w:rsidTr="005E418B">
        <w:tblPrEx>
          <w:tblCellMar>
            <w:left w:w="0" w:type="dxa"/>
            <w:right w:w="0" w:type="dxa"/>
          </w:tblCellMar>
        </w:tblPrEx>
        <w:trPr>
          <w:trHeight w:val="192"/>
        </w:trPr>
        <w:tc>
          <w:tcPr>
            <w:tcW w:w="5695" w:type="dxa"/>
            <w:gridSpan w:val="7"/>
            <w:shd w:val="clear" w:color="auto" w:fill="auto"/>
          </w:tcPr>
          <w:p w14:paraId="4FA87D19" w14:textId="77777777" w:rsidR="00EB25FE" w:rsidRPr="00E16672" w:rsidRDefault="00EB25FE" w:rsidP="00794B3F">
            <w:pPr>
              <w:snapToGrid w:val="0"/>
              <w:ind w:left="175" w:right="138" w:firstLine="7"/>
              <w:rPr>
                <w:rFonts w:ascii="Times New Roman" w:hAnsi="Times New Roman"/>
                <w:sz w:val="16"/>
                <w:szCs w:val="16"/>
              </w:rPr>
            </w:pPr>
            <w:r w:rsidRPr="00E16672">
              <w:rPr>
                <w:rFonts w:ascii="Times New Roman" w:hAnsi="Times New Roman"/>
                <w:sz w:val="16"/>
                <w:szCs w:val="16"/>
              </w:rPr>
              <w:t xml:space="preserve">5.5. Сторона, яка порушила </w:t>
            </w:r>
            <w:proofErr w:type="spellStart"/>
            <w:r w:rsidRPr="00E16672">
              <w:rPr>
                <w:rFonts w:ascii="Times New Roman" w:hAnsi="Times New Roman"/>
                <w:sz w:val="16"/>
                <w:szCs w:val="16"/>
              </w:rPr>
              <w:t>зобов’язання</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відповідно</w:t>
            </w:r>
            <w:proofErr w:type="spellEnd"/>
            <w:r w:rsidRPr="00E16672">
              <w:rPr>
                <w:rFonts w:ascii="Times New Roman" w:hAnsi="Times New Roman"/>
                <w:sz w:val="16"/>
                <w:szCs w:val="16"/>
              </w:rPr>
              <w:t xml:space="preserve"> до </w:t>
            </w:r>
            <w:proofErr w:type="spellStart"/>
            <w:r w:rsidRPr="00E16672">
              <w:rPr>
                <w:rFonts w:ascii="Times New Roman" w:hAnsi="Times New Roman"/>
                <w:sz w:val="16"/>
                <w:szCs w:val="16"/>
              </w:rPr>
              <w:t>цього</w:t>
            </w:r>
            <w:proofErr w:type="spellEnd"/>
            <w:r w:rsidRPr="00E16672">
              <w:rPr>
                <w:rFonts w:ascii="Times New Roman" w:hAnsi="Times New Roman"/>
                <w:sz w:val="16"/>
                <w:szCs w:val="16"/>
              </w:rPr>
              <w:t xml:space="preserve"> Договору, повинна </w:t>
            </w:r>
            <w:proofErr w:type="spellStart"/>
            <w:r w:rsidRPr="00E16672">
              <w:rPr>
                <w:rFonts w:ascii="Times New Roman" w:hAnsi="Times New Roman"/>
                <w:sz w:val="16"/>
                <w:szCs w:val="16"/>
              </w:rPr>
              <w:t>усунути</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ці</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порушення</w:t>
            </w:r>
            <w:proofErr w:type="spellEnd"/>
            <w:r w:rsidRPr="00E16672">
              <w:rPr>
                <w:rFonts w:ascii="Times New Roman" w:hAnsi="Times New Roman"/>
                <w:sz w:val="16"/>
                <w:szCs w:val="16"/>
              </w:rPr>
              <w:t xml:space="preserve"> в </w:t>
            </w:r>
            <w:proofErr w:type="spellStart"/>
            <w:r w:rsidRPr="00E16672">
              <w:rPr>
                <w:rFonts w:ascii="Times New Roman" w:hAnsi="Times New Roman"/>
                <w:sz w:val="16"/>
                <w:szCs w:val="16"/>
              </w:rPr>
              <w:t>найкоротший</w:t>
            </w:r>
            <w:proofErr w:type="spellEnd"/>
            <w:r w:rsidRPr="00E16672">
              <w:rPr>
                <w:rFonts w:ascii="Times New Roman" w:hAnsi="Times New Roman"/>
                <w:sz w:val="16"/>
                <w:szCs w:val="16"/>
              </w:rPr>
              <w:t xml:space="preserve"> строк.</w:t>
            </w:r>
          </w:p>
        </w:tc>
        <w:tc>
          <w:tcPr>
            <w:tcW w:w="5495" w:type="dxa"/>
            <w:gridSpan w:val="8"/>
            <w:shd w:val="clear" w:color="auto" w:fill="auto"/>
          </w:tcPr>
          <w:p w14:paraId="0DD3FB55" w14:textId="77777777" w:rsidR="00EB25FE" w:rsidRPr="00E16672" w:rsidRDefault="00EB25FE" w:rsidP="00794B3F">
            <w:pPr>
              <w:pStyle w:val="210"/>
              <w:tabs>
                <w:tab w:val="left" w:pos="287"/>
                <w:tab w:val="left" w:pos="1191"/>
              </w:tabs>
              <w:snapToGrid w:val="0"/>
              <w:ind w:left="175" w:right="100" w:firstLine="7"/>
              <w:rPr>
                <w:rFonts w:ascii="Times New Roman" w:hAnsi="Times New Roman"/>
                <w:sz w:val="16"/>
                <w:szCs w:val="16"/>
              </w:rPr>
            </w:pPr>
            <w:r w:rsidRPr="00E16672">
              <w:rPr>
                <w:rFonts w:ascii="Times New Roman" w:hAnsi="Times New Roman"/>
                <w:sz w:val="16"/>
                <w:szCs w:val="16"/>
              </w:rPr>
              <w:t xml:space="preserve">5.5.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party</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that</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violated</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obligations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of</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this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Agreement</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should</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remove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violations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in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shortest</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period</w:t>
            </w:r>
            <w:proofErr w:type="spellEnd"/>
            <w:r w:rsidRPr="00E16672">
              <w:rPr>
                <w:rFonts w:ascii="Times New Roman" w:hAnsi="Times New Roman"/>
                <w:sz w:val="16"/>
                <w:szCs w:val="16"/>
              </w:rPr>
              <w:t>.</w:t>
            </w:r>
          </w:p>
        </w:tc>
      </w:tr>
      <w:tr w:rsidR="00EB25FE" w:rsidRPr="00A26EFC" w14:paraId="097536A2" w14:textId="77777777" w:rsidTr="005E418B">
        <w:tblPrEx>
          <w:tblCellMar>
            <w:left w:w="0" w:type="dxa"/>
            <w:right w:w="0" w:type="dxa"/>
          </w:tblCellMar>
        </w:tblPrEx>
        <w:trPr>
          <w:trHeight w:val="192"/>
        </w:trPr>
        <w:tc>
          <w:tcPr>
            <w:tcW w:w="5695" w:type="dxa"/>
            <w:gridSpan w:val="7"/>
            <w:shd w:val="clear" w:color="auto" w:fill="auto"/>
          </w:tcPr>
          <w:p w14:paraId="5994E4CB" w14:textId="77777777" w:rsidR="00EB25FE" w:rsidRPr="00E16672" w:rsidRDefault="00EB25FE" w:rsidP="00794B3F">
            <w:pPr>
              <w:ind w:left="175" w:right="138" w:firstLine="7"/>
              <w:rPr>
                <w:rFonts w:ascii="Times New Roman" w:hAnsi="Times New Roman"/>
                <w:color w:val="000000"/>
                <w:sz w:val="16"/>
                <w:szCs w:val="16"/>
                <w:lang w:val="uk-UA"/>
              </w:rPr>
            </w:pPr>
          </w:p>
          <w:p w14:paraId="401A135E" w14:textId="77777777" w:rsidR="00EB25FE" w:rsidRPr="00E16672" w:rsidRDefault="00EB25FE" w:rsidP="00794B3F">
            <w:pPr>
              <w:ind w:left="175" w:right="138" w:firstLine="7"/>
              <w:rPr>
                <w:rFonts w:ascii="Times New Roman" w:hAnsi="Times New Roman"/>
                <w:color w:val="000000"/>
                <w:sz w:val="16"/>
                <w:szCs w:val="16"/>
                <w:lang w:val="uk-UA"/>
              </w:rPr>
            </w:pPr>
            <w:r w:rsidRPr="00E16672">
              <w:rPr>
                <w:rFonts w:ascii="Times New Roman" w:hAnsi="Times New Roman"/>
                <w:color w:val="000000"/>
                <w:sz w:val="16"/>
                <w:szCs w:val="16"/>
              </w:rPr>
              <w:t xml:space="preserve">5.6. </w:t>
            </w:r>
            <w:r w:rsidRPr="00E16672">
              <w:rPr>
                <w:rFonts w:ascii="Times New Roman" w:hAnsi="Times New Roman"/>
                <w:color w:val="000000"/>
                <w:sz w:val="16"/>
                <w:szCs w:val="16"/>
                <w:lang w:val="uk-UA"/>
              </w:rPr>
              <w:t xml:space="preserve">Депозитарна установа несе </w:t>
            </w:r>
            <w:proofErr w:type="spellStart"/>
            <w:r w:rsidRPr="00E16672">
              <w:rPr>
                <w:rFonts w:ascii="Times New Roman" w:hAnsi="Times New Roman"/>
                <w:color w:val="000000"/>
                <w:sz w:val="16"/>
                <w:szCs w:val="16"/>
                <w:lang w:val="uk-UA"/>
              </w:rPr>
              <w:t>вiдповiдальнiсть</w:t>
            </w:r>
            <w:proofErr w:type="spellEnd"/>
            <w:r w:rsidRPr="00E16672">
              <w:rPr>
                <w:rFonts w:ascii="Times New Roman" w:hAnsi="Times New Roman"/>
                <w:color w:val="000000"/>
                <w:sz w:val="16"/>
                <w:szCs w:val="16"/>
              </w:rPr>
              <w:t xml:space="preserve"> </w:t>
            </w:r>
            <w:r w:rsidRPr="00E16672">
              <w:rPr>
                <w:rFonts w:ascii="Times New Roman" w:hAnsi="Times New Roman"/>
                <w:color w:val="000000"/>
                <w:sz w:val="16"/>
                <w:szCs w:val="16"/>
                <w:lang w:val="uk-UA"/>
              </w:rPr>
              <w:t>за:</w:t>
            </w:r>
          </w:p>
          <w:p w14:paraId="4365CBE6" w14:textId="77777777" w:rsidR="00EB25FE" w:rsidRPr="00E16672" w:rsidRDefault="00EB25FE" w:rsidP="00794B3F">
            <w:pPr>
              <w:ind w:left="175" w:right="138" w:firstLine="7"/>
              <w:rPr>
                <w:rFonts w:ascii="Times New Roman" w:hAnsi="Times New Roman"/>
                <w:color w:val="000000"/>
                <w:sz w:val="16"/>
                <w:szCs w:val="16"/>
                <w:lang w:val="uk-UA"/>
              </w:rPr>
            </w:pPr>
            <w:r w:rsidRPr="00E16672">
              <w:rPr>
                <w:rFonts w:ascii="Times New Roman" w:hAnsi="Times New Roman"/>
                <w:color w:val="000000"/>
                <w:sz w:val="16"/>
                <w:szCs w:val="16"/>
                <w:lang w:val="uk-UA"/>
              </w:rPr>
              <w:t xml:space="preserve">- забезпечення режиму конфіденційності щодо </w:t>
            </w:r>
            <w:r w:rsidR="000179AC" w:rsidRPr="00E16672">
              <w:rPr>
                <w:rFonts w:ascii="Times New Roman" w:hAnsi="Times New Roman"/>
                <w:color w:val="000000"/>
                <w:sz w:val="16"/>
                <w:szCs w:val="16"/>
                <w:lang w:val="uk-UA"/>
              </w:rPr>
              <w:t>Номінального утримувача</w:t>
            </w:r>
            <w:r w:rsidRPr="00E16672">
              <w:rPr>
                <w:rFonts w:ascii="Times New Roman" w:hAnsi="Times New Roman"/>
                <w:color w:val="000000"/>
                <w:sz w:val="16"/>
                <w:szCs w:val="16"/>
                <w:lang w:val="uk-UA"/>
              </w:rPr>
              <w:t xml:space="preserve"> та належних </w:t>
            </w:r>
            <w:proofErr w:type="spellStart"/>
            <w:r w:rsidRPr="00E16672">
              <w:rPr>
                <w:rFonts w:ascii="Times New Roman" w:hAnsi="Times New Roman"/>
                <w:color w:val="000000"/>
                <w:sz w:val="16"/>
                <w:szCs w:val="16"/>
                <w:lang w:val="uk-UA"/>
              </w:rPr>
              <w:t>йом</w:t>
            </w:r>
            <w:r w:rsidR="00C22309" w:rsidRPr="00E16672">
              <w:rPr>
                <w:rFonts w:ascii="Times New Roman" w:hAnsi="Times New Roman"/>
                <w:color w:val="000000"/>
                <w:sz w:val="16"/>
                <w:szCs w:val="16"/>
                <w:lang w:val="uk-UA"/>
              </w:rPr>
              <w:t>в</w:t>
            </w:r>
            <w:proofErr w:type="spellEnd"/>
            <w:r w:rsidR="00C22309" w:rsidRPr="00E16672">
              <w:rPr>
                <w:rFonts w:ascii="Times New Roman" w:hAnsi="Times New Roman"/>
                <w:color w:val="000000"/>
                <w:sz w:val="16"/>
                <w:szCs w:val="16"/>
                <w:lang w:val="uk-UA"/>
              </w:rPr>
              <w:t xml:space="preserve"> цін</w:t>
            </w:r>
            <w:r w:rsidRPr="00E16672">
              <w:rPr>
                <w:rFonts w:ascii="Times New Roman" w:hAnsi="Times New Roman"/>
                <w:color w:val="000000"/>
                <w:sz w:val="16"/>
                <w:szCs w:val="16"/>
                <w:lang w:val="uk-UA"/>
              </w:rPr>
              <w:t>них паперів;</w:t>
            </w:r>
          </w:p>
          <w:p w14:paraId="334C0CB9" w14:textId="77777777" w:rsidR="00EB25FE" w:rsidRPr="00E16672" w:rsidRDefault="00EB25FE" w:rsidP="00794B3F">
            <w:pPr>
              <w:ind w:left="175" w:right="138" w:firstLine="7"/>
              <w:rPr>
                <w:rFonts w:ascii="Times New Roman" w:hAnsi="Times New Roman"/>
                <w:color w:val="000000"/>
                <w:sz w:val="16"/>
                <w:szCs w:val="16"/>
                <w:lang w:val="uk-UA"/>
              </w:rPr>
            </w:pPr>
            <w:r w:rsidRPr="00E16672">
              <w:rPr>
                <w:rFonts w:ascii="Times New Roman" w:hAnsi="Times New Roman"/>
                <w:color w:val="000000"/>
                <w:sz w:val="16"/>
                <w:szCs w:val="16"/>
                <w:lang w:val="uk-UA"/>
              </w:rPr>
              <w:t xml:space="preserve">- підтвердження достовірності підписів </w:t>
            </w:r>
            <w:r w:rsidR="000179AC" w:rsidRPr="00E16672">
              <w:rPr>
                <w:rFonts w:ascii="Times New Roman" w:hAnsi="Times New Roman"/>
                <w:color w:val="000000"/>
                <w:sz w:val="16"/>
                <w:szCs w:val="16"/>
                <w:lang w:val="uk-UA"/>
              </w:rPr>
              <w:t>Номінального утримувача</w:t>
            </w:r>
            <w:r w:rsidRPr="00E16672">
              <w:rPr>
                <w:rFonts w:ascii="Times New Roman" w:hAnsi="Times New Roman"/>
                <w:color w:val="000000"/>
                <w:sz w:val="16"/>
                <w:szCs w:val="16"/>
                <w:lang w:val="uk-UA"/>
              </w:rPr>
              <w:t xml:space="preserve"> на його розпорядженнях;</w:t>
            </w:r>
          </w:p>
          <w:p w14:paraId="0790EAB4" w14:textId="77777777" w:rsidR="00EB25FE" w:rsidRPr="00E16672" w:rsidRDefault="00EB25FE" w:rsidP="00794B3F">
            <w:pPr>
              <w:ind w:left="175" w:right="138" w:firstLine="7"/>
              <w:rPr>
                <w:rFonts w:ascii="Times New Roman" w:hAnsi="Times New Roman"/>
                <w:color w:val="000000"/>
                <w:sz w:val="16"/>
                <w:szCs w:val="16"/>
                <w:lang w:val="uk-UA"/>
              </w:rPr>
            </w:pPr>
            <w:r w:rsidRPr="00E16672">
              <w:rPr>
                <w:rFonts w:ascii="Times New Roman" w:hAnsi="Times New Roman"/>
                <w:color w:val="000000"/>
                <w:sz w:val="16"/>
                <w:szCs w:val="16"/>
                <w:lang w:val="uk-UA"/>
              </w:rPr>
              <w:t>- перевірку розпоряджень на правильність складання та інші перевірки, передбачені чинним законодавством України та внутрішніми документами Депозитарної установи;</w:t>
            </w:r>
          </w:p>
          <w:p w14:paraId="5D88B888" w14:textId="77777777" w:rsidR="00EB25FE" w:rsidRPr="00E16672" w:rsidRDefault="00EB25FE" w:rsidP="00794B3F">
            <w:pPr>
              <w:ind w:left="175" w:right="138" w:firstLine="7"/>
              <w:rPr>
                <w:rFonts w:ascii="Times New Roman" w:hAnsi="Times New Roman"/>
                <w:color w:val="000000"/>
                <w:sz w:val="16"/>
                <w:szCs w:val="16"/>
                <w:lang w:val="uk-UA"/>
              </w:rPr>
            </w:pPr>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rPr>
              <w:t>правильне</w:t>
            </w:r>
            <w:proofErr w:type="spellEnd"/>
            <w:r w:rsidRPr="00E16672">
              <w:rPr>
                <w:rFonts w:ascii="Times New Roman" w:hAnsi="Times New Roman"/>
                <w:color w:val="000000"/>
                <w:sz w:val="16"/>
                <w:szCs w:val="16"/>
                <w:lang w:val="uk-UA"/>
              </w:rPr>
              <w:t xml:space="preserve"> виконання розпоряджень </w:t>
            </w:r>
            <w:r w:rsidR="000179AC" w:rsidRPr="00E16672">
              <w:rPr>
                <w:rFonts w:ascii="Times New Roman" w:hAnsi="Times New Roman"/>
                <w:color w:val="000000"/>
                <w:sz w:val="16"/>
                <w:szCs w:val="16"/>
                <w:lang w:val="uk-UA"/>
              </w:rPr>
              <w:t>Номінального утримувача</w:t>
            </w:r>
            <w:r w:rsidRPr="00E16672">
              <w:rPr>
                <w:rFonts w:ascii="Times New Roman" w:hAnsi="Times New Roman"/>
                <w:color w:val="000000"/>
                <w:sz w:val="16"/>
                <w:szCs w:val="16"/>
                <w:lang w:val="uk-UA"/>
              </w:rPr>
              <w:t xml:space="preserve"> відповідно до вимог чинного законодавства України;</w:t>
            </w:r>
          </w:p>
          <w:p w14:paraId="611C1BA3" w14:textId="77777777" w:rsidR="00EB25FE" w:rsidRPr="00E16672" w:rsidRDefault="00EB25FE" w:rsidP="00794B3F">
            <w:pPr>
              <w:ind w:left="175" w:right="138" w:firstLine="7"/>
              <w:rPr>
                <w:rFonts w:ascii="Times New Roman" w:hAnsi="Times New Roman"/>
                <w:color w:val="000000"/>
                <w:sz w:val="16"/>
                <w:szCs w:val="16"/>
                <w:lang w:val="uk-UA"/>
              </w:rPr>
            </w:pPr>
            <w:r w:rsidRPr="00E16672">
              <w:rPr>
                <w:rFonts w:ascii="Times New Roman" w:hAnsi="Times New Roman"/>
                <w:color w:val="000000"/>
                <w:sz w:val="16"/>
                <w:szCs w:val="16"/>
                <w:lang w:val="uk-UA"/>
              </w:rPr>
              <w:t xml:space="preserve">- дотримання правил обліку при виконанні своїх обов’язків, за </w:t>
            </w:r>
            <w:proofErr w:type="spellStart"/>
            <w:r w:rsidRPr="00E16672">
              <w:rPr>
                <w:rFonts w:ascii="Times New Roman" w:hAnsi="Times New Roman"/>
                <w:color w:val="000000"/>
                <w:sz w:val="16"/>
                <w:szCs w:val="16"/>
              </w:rPr>
              <w:t>правильність</w:t>
            </w:r>
            <w:proofErr w:type="spellEnd"/>
            <w:r w:rsidRPr="00E16672">
              <w:rPr>
                <w:rFonts w:ascii="Times New Roman" w:hAnsi="Times New Roman"/>
                <w:color w:val="000000"/>
                <w:sz w:val="16"/>
                <w:szCs w:val="16"/>
                <w:lang w:val="uk-UA"/>
              </w:rPr>
              <w:t xml:space="preserve"> ведення записів по рахунку </w:t>
            </w:r>
            <w:r w:rsidR="00C22309" w:rsidRPr="00E16672">
              <w:rPr>
                <w:rFonts w:ascii="Times New Roman" w:hAnsi="Times New Roman"/>
                <w:color w:val="000000"/>
                <w:sz w:val="16"/>
                <w:szCs w:val="16"/>
                <w:lang w:val="uk-UA"/>
              </w:rPr>
              <w:t>в цін</w:t>
            </w:r>
            <w:r w:rsidRPr="00E16672">
              <w:rPr>
                <w:rFonts w:ascii="Times New Roman" w:hAnsi="Times New Roman"/>
                <w:color w:val="000000"/>
                <w:sz w:val="16"/>
                <w:szCs w:val="16"/>
                <w:lang w:val="uk-UA"/>
              </w:rPr>
              <w:t>них паперах;</w:t>
            </w:r>
          </w:p>
          <w:p w14:paraId="0E5D1B14" w14:textId="77777777" w:rsidR="00EB25FE" w:rsidRPr="00E16672" w:rsidRDefault="00EB25FE" w:rsidP="00794B3F">
            <w:pPr>
              <w:ind w:left="175" w:right="138" w:firstLine="7"/>
              <w:rPr>
                <w:rFonts w:ascii="Times New Roman" w:hAnsi="Times New Roman"/>
                <w:color w:val="000000"/>
                <w:sz w:val="16"/>
                <w:szCs w:val="16"/>
                <w:lang w:val="uk-UA"/>
              </w:rPr>
            </w:pPr>
            <w:r w:rsidRPr="00E16672">
              <w:rPr>
                <w:rFonts w:ascii="Times New Roman" w:hAnsi="Times New Roman"/>
                <w:color w:val="000000"/>
                <w:sz w:val="16"/>
                <w:szCs w:val="16"/>
                <w:lang w:val="uk-UA"/>
              </w:rPr>
              <w:t xml:space="preserve">- облік цінних паперів </w:t>
            </w:r>
            <w:r w:rsidR="000179AC" w:rsidRPr="00E16672">
              <w:rPr>
                <w:rFonts w:ascii="Times New Roman" w:hAnsi="Times New Roman"/>
                <w:color w:val="000000"/>
                <w:sz w:val="16"/>
                <w:szCs w:val="16"/>
                <w:lang w:val="uk-UA"/>
              </w:rPr>
              <w:t xml:space="preserve">Номінального </w:t>
            </w:r>
            <w:proofErr w:type="spellStart"/>
            <w:r w:rsidR="000179AC" w:rsidRPr="00E16672">
              <w:rPr>
                <w:rFonts w:ascii="Times New Roman" w:hAnsi="Times New Roman"/>
                <w:color w:val="000000"/>
                <w:sz w:val="16"/>
                <w:szCs w:val="16"/>
                <w:lang w:val="uk-UA"/>
              </w:rPr>
              <w:t>утримуача</w:t>
            </w:r>
            <w:proofErr w:type="spellEnd"/>
            <w:r w:rsidRPr="00E16672">
              <w:rPr>
                <w:rFonts w:ascii="Times New Roman" w:hAnsi="Times New Roman"/>
                <w:color w:val="000000"/>
                <w:sz w:val="16"/>
                <w:szCs w:val="16"/>
                <w:lang w:val="uk-UA"/>
              </w:rPr>
              <w:t xml:space="preserve"> та прав за цінними паперами у Депозитарній установі на рахунку </w:t>
            </w:r>
            <w:r w:rsidR="00C22309" w:rsidRPr="00E16672">
              <w:rPr>
                <w:rFonts w:ascii="Times New Roman" w:hAnsi="Times New Roman"/>
                <w:color w:val="000000"/>
                <w:sz w:val="16"/>
                <w:szCs w:val="16"/>
                <w:lang w:val="uk-UA"/>
              </w:rPr>
              <w:t>в цін</w:t>
            </w:r>
            <w:r w:rsidRPr="00E16672">
              <w:rPr>
                <w:rFonts w:ascii="Times New Roman" w:hAnsi="Times New Roman"/>
                <w:color w:val="000000"/>
                <w:sz w:val="16"/>
                <w:szCs w:val="16"/>
                <w:lang w:val="uk-UA"/>
              </w:rPr>
              <w:t xml:space="preserve">них паперах </w:t>
            </w:r>
            <w:r w:rsidR="000179AC" w:rsidRPr="00E16672">
              <w:rPr>
                <w:rFonts w:ascii="Times New Roman" w:hAnsi="Times New Roman"/>
                <w:color w:val="000000"/>
                <w:sz w:val="16"/>
                <w:szCs w:val="16"/>
                <w:lang w:val="uk-UA"/>
              </w:rPr>
              <w:t>Номінального утримувача</w:t>
            </w:r>
            <w:r w:rsidRPr="00E16672">
              <w:rPr>
                <w:rFonts w:ascii="Times New Roman" w:hAnsi="Times New Roman"/>
                <w:color w:val="000000"/>
                <w:sz w:val="16"/>
                <w:szCs w:val="16"/>
                <w:lang w:val="uk-UA"/>
              </w:rPr>
              <w:t>.</w:t>
            </w:r>
          </w:p>
          <w:p w14:paraId="24E48018" w14:textId="77777777" w:rsidR="00EB25FE" w:rsidRPr="00E16672" w:rsidRDefault="00EB25FE" w:rsidP="00794B3F">
            <w:pPr>
              <w:numPr>
                <w:ilvl w:val="0"/>
                <w:numId w:val="4"/>
              </w:numPr>
              <w:tabs>
                <w:tab w:val="left" w:pos="57"/>
                <w:tab w:val="left" w:pos="417"/>
                <w:tab w:val="left" w:pos="809"/>
              </w:tabs>
              <w:autoSpaceDE w:val="0"/>
              <w:ind w:left="175" w:right="138" w:firstLine="7"/>
              <w:rPr>
                <w:rFonts w:ascii="Times New Roman" w:hAnsi="Times New Roman"/>
                <w:color w:val="000000"/>
                <w:sz w:val="16"/>
                <w:szCs w:val="16"/>
              </w:rPr>
            </w:pPr>
          </w:p>
        </w:tc>
        <w:tc>
          <w:tcPr>
            <w:tcW w:w="5495" w:type="dxa"/>
            <w:gridSpan w:val="8"/>
            <w:shd w:val="clear" w:color="auto" w:fill="auto"/>
          </w:tcPr>
          <w:p w14:paraId="6D12EA8A" w14:textId="77777777" w:rsidR="00EB25FE" w:rsidRPr="00E16672" w:rsidRDefault="00EB25FE" w:rsidP="00794B3F">
            <w:pPr>
              <w:pStyle w:val="210"/>
              <w:tabs>
                <w:tab w:val="left" w:pos="365"/>
              </w:tabs>
              <w:snapToGrid w:val="0"/>
              <w:ind w:left="175" w:right="138" w:firstLine="7"/>
              <w:rPr>
                <w:rFonts w:ascii="Times New Roman" w:hAnsi="Times New Roman"/>
                <w:color w:val="000000"/>
                <w:sz w:val="16"/>
                <w:szCs w:val="16"/>
                <w:lang w:val="ru-RU"/>
              </w:rPr>
            </w:pPr>
          </w:p>
          <w:p w14:paraId="09BC9776" w14:textId="77777777" w:rsidR="00EB25FE" w:rsidRPr="00E16672" w:rsidRDefault="00EB25FE" w:rsidP="00794B3F">
            <w:pPr>
              <w:pStyle w:val="210"/>
              <w:tabs>
                <w:tab w:val="left" w:pos="365"/>
              </w:tabs>
              <w:snapToGrid w:val="0"/>
              <w:ind w:left="175" w:right="100" w:firstLine="7"/>
              <w:rPr>
                <w:rFonts w:ascii="Times New Roman" w:hAnsi="Times New Roman"/>
                <w:color w:val="000000"/>
                <w:sz w:val="16"/>
                <w:szCs w:val="16"/>
                <w:lang w:val="en-GB"/>
              </w:rPr>
            </w:pPr>
            <w:r w:rsidRPr="00E16672">
              <w:rPr>
                <w:rFonts w:ascii="Times New Roman" w:hAnsi="Times New Roman"/>
                <w:color w:val="000000"/>
                <w:sz w:val="16"/>
                <w:szCs w:val="16"/>
                <w:lang w:val="en-GB"/>
              </w:rPr>
              <w:t>5.6. Depository institution shall be liable</w:t>
            </w:r>
            <w:r w:rsidRPr="00E16672">
              <w:rPr>
                <w:rFonts w:ascii="Times New Roman" w:hAnsi="Times New Roman"/>
                <w:color w:val="000000"/>
                <w:sz w:val="16"/>
                <w:szCs w:val="16"/>
              </w:rPr>
              <w:t xml:space="preserve"> </w:t>
            </w:r>
            <w:r w:rsidRPr="00E16672">
              <w:rPr>
                <w:rFonts w:ascii="Times New Roman" w:hAnsi="Times New Roman"/>
                <w:color w:val="000000"/>
                <w:sz w:val="16"/>
                <w:szCs w:val="16"/>
                <w:lang w:val="en-GB"/>
              </w:rPr>
              <w:t>for:</w:t>
            </w:r>
          </w:p>
          <w:p w14:paraId="230B4FED" w14:textId="77777777" w:rsidR="00EB25FE" w:rsidRPr="00E16672" w:rsidRDefault="00EB25FE" w:rsidP="00794B3F">
            <w:pPr>
              <w:tabs>
                <w:tab w:val="left" w:pos="0"/>
                <w:tab w:val="left" w:pos="57"/>
                <w:tab w:val="left" w:pos="417"/>
              </w:tabs>
              <w:autoSpaceDE w:val="0"/>
              <w:ind w:left="175" w:right="100" w:firstLine="7"/>
              <w:rPr>
                <w:rFonts w:ascii="Times New Roman" w:hAnsi="Times New Roman"/>
                <w:color w:val="000000"/>
                <w:sz w:val="16"/>
                <w:szCs w:val="16"/>
                <w:lang w:val="en-GB"/>
              </w:rPr>
            </w:pPr>
            <w:r w:rsidRPr="00E16672">
              <w:rPr>
                <w:rFonts w:ascii="Times New Roman" w:hAnsi="Times New Roman"/>
                <w:color w:val="000000"/>
                <w:sz w:val="16"/>
                <w:szCs w:val="16"/>
                <w:lang w:val="en-GB"/>
              </w:rPr>
              <w:t xml:space="preserve">- providing the confidentiality of the </w:t>
            </w:r>
            <w:r w:rsidR="000179AC" w:rsidRPr="00E16672">
              <w:rPr>
                <w:rFonts w:ascii="Times New Roman" w:hAnsi="Times New Roman"/>
                <w:sz w:val="16"/>
                <w:szCs w:val="16"/>
                <w:lang w:val="en-US"/>
              </w:rPr>
              <w:t>Nominee holder</w:t>
            </w:r>
            <w:r w:rsidRPr="00E16672">
              <w:rPr>
                <w:rFonts w:ascii="Times New Roman" w:hAnsi="Times New Roman"/>
                <w:color w:val="000000"/>
                <w:sz w:val="16"/>
                <w:szCs w:val="16"/>
                <w:lang w:val="en-GB"/>
              </w:rPr>
              <w:t xml:space="preserve"> and of its own securities;</w:t>
            </w:r>
          </w:p>
          <w:p w14:paraId="04060A92" w14:textId="77777777" w:rsidR="00EB25FE" w:rsidRPr="00E16672" w:rsidRDefault="00EB25FE" w:rsidP="00794B3F">
            <w:pPr>
              <w:tabs>
                <w:tab w:val="left" w:pos="0"/>
                <w:tab w:val="left" w:pos="57"/>
                <w:tab w:val="left" w:pos="417"/>
              </w:tabs>
              <w:autoSpaceDE w:val="0"/>
              <w:ind w:left="175" w:right="100" w:firstLine="7"/>
              <w:rPr>
                <w:rFonts w:ascii="Times New Roman" w:hAnsi="Times New Roman"/>
                <w:color w:val="000000"/>
                <w:sz w:val="16"/>
                <w:szCs w:val="16"/>
                <w:lang w:val="en-GB"/>
              </w:rPr>
            </w:pPr>
          </w:p>
          <w:p w14:paraId="76D043D9" w14:textId="77777777" w:rsidR="00EB25FE" w:rsidRPr="00E16672" w:rsidRDefault="00EB25FE" w:rsidP="00794B3F">
            <w:pPr>
              <w:tabs>
                <w:tab w:val="left" w:pos="0"/>
                <w:tab w:val="left" w:pos="57"/>
                <w:tab w:val="left" w:pos="417"/>
              </w:tabs>
              <w:autoSpaceDE w:val="0"/>
              <w:ind w:left="175" w:right="100" w:firstLine="7"/>
              <w:rPr>
                <w:rFonts w:ascii="Times New Roman" w:hAnsi="Times New Roman"/>
                <w:color w:val="000000"/>
                <w:sz w:val="16"/>
                <w:szCs w:val="16"/>
                <w:lang w:val="en-GB"/>
              </w:rPr>
            </w:pPr>
            <w:r w:rsidRPr="00E16672">
              <w:rPr>
                <w:rFonts w:ascii="Times New Roman" w:hAnsi="Times New Roman"/>
                <w:color w:val="000000"/>
                <w:sz w:val="16"/>
                <w:szCs w:val="16"/>
                <w:lang w:val="en-GB"/>
              </w:rPr>
              <w:t xml:space="preserve"> - proving the </w:t>
            </w:r>
            <w:r w:rsidR="000179AC" w:rsidRPr="00E16672">
              <w:rPr>
                <w:rFonts w:ascii="Times New Roman" w:hAnsi="Times New Roman"/>
                <w:sz w:val="16"/>
                <w:szCs w:val="16"/>
                <w:lang w:val="en-US"/>
              </w:rPr>
              <w:t>Nominee holder</w:t>
            </w:r>
            <w:r w:rsidRPr="00E16672">
              <w:rPr>
                <w:rFonts w:ascii="Times New Roman" w:hAnsi="Times New Roman"/>
                <w:color w:val="000000"/>
                <w:sz w:val="16"/>
                <w:szCs w:val="16"/>
                <w:lang w:val="en-GB"/>
              </w:rPr>
              <w:t>’s signatures on his orders;</w:t>
            </w:r>
          </w:p>
          <w:p w14:paraId="2EC7E09B" w14:textId="77777777" w:rsidR="00EB25FE" w:rsidRPr="00E16672" w:rsidRDefault="00EB25FE" w:rsidP="00794B3F">
            <w:pPr>
              <w:tabs>
                <w:tab w:val="left" w:pos="0"/>
                <w:tab w:val="left" w:pos="57"/>
                <w:tab w:val="left" w:pos="417"/>
              </w:tabs>
              <w:autoSpaceDE w:val="0"/>
              <w:ind w:left="175" w:right="100" w:firstLine="7"/>
              <w:rPr>
                <w:rFonts w:ascii="Times New Roman" w:hAnsi="Times New Roman"/>
                <w:color w:val="000000"/>
                <w:sz w:val="16"/>
                <w:szCs w:val="16"/>
                <w:lang w:val="en-GB"/>
              </w:rPr>
            </w:pPr>
          </w:p>
          <w:p w14:paraId="45006F0D" w14:textId="77777777" w:rsidR="00EB25FE" w:rsidRPr="00E16672" w:rsidRDefault="00EB25FE" w:rsidP="00794B3F">
            <w:pPr>
              <w:tabs>
                <w:tab w:val="left" w:pos="107"/>
                <w:tab w:val="left" w:pos="467"/>
              </w:tabs>
              <w:autoSpaceDE w:val="0"/>
              <w:snapToGrid w:val="0"/>
              <w:ind w:left="175" w:right="100" w:firstLine="7"/>
              <w:rPr>
                <w:rFonts w:ascii="Times New Roman" w:hAnsi="Times New Roman"/>
                <w:color w:val="000000"/>
                <w:sz w:val="16"/>
                <w:szCs w:val="16"/>
                <w:lang w:val="en-GB"/>
              </w:rPr>
            </w:pPr>
            <w:r w:rsidRPr="00E16672">
              <w:rPr>
                <w:rFonts w:ascii="Times New Roman" w:hAnsi="Times New Roman"/>
                <w:color w:val="000000"/>
                <w:sz w:val="16"/>
                <w:szCs w:val="16"/>
                <w:lang w:val="en-GB"/>
              </w:rPr>
              <w:t>-  checking the orders on the validation of filling the written instruction and for another checking according to the current legislation of Ukraine and internal documents of the Depository institution;</w:t>
            </w:r>
          </w:p>
          <w:p w14:paraId="3CB13045" w14:textId="77777777" w:rsidR="00EB25FE" w:rsidRPr="00E16672" w:rsidRDefault="00EB25FE" w:rsidP="00794B3F">
            <w:pPr>
              <w:tabs>
                <w:tab w:val="left" w:pos="0"/>
                <w:tab w:val="left" w:pos="57"/>
                <w:tab w:val="left" w:pos="417"/>
              </w:tabs>
              <w:autoSpaceDE w:val="0"/>
              <w:ind w:left="175" w:right="100" w:firstLine="7"/>
              <w:rPr>
                <w:rFonts w:ascii="Times New Roman" w:hAnsi="Times New Roman"/>
                <w:color w:val="000000"/>
                <w:sz w:val="16"/>
                <w:szCs w:val="16"/>
                <w:lang w:val="en-GB"/>
              </w:rPr>
            </w:pPr>
            <w:r w:rsidRPr="00E16672">
              <w:rPr>
                <w:rFonts w:ascii="Times New Roman" w:hAnsi="Times New Roman"/>
                <w:color w:val="000000"/>
                <w:sz w:val="16"/>
                <w:szCs w:val="16"/>
                <w:lang w:val="en-GB"/>
              </w:rPr>
              <w:t xml:space="preserve">-  correct execution of the </w:t>
            </w:r>
            <w:r w:rsidR="000179AC" w:rsidRPr="00E16672">
              <w:rPr>
                <w:rFonts w:ascii="Times New Roman" w:hAnsi="Times New Roman"/>
                <w:sz w:val="16"/>
                <w:szCs w:val="16"/>
                <w:lang w:val="en-US"/>
              </w:rPr>
              <w:t>Nominee holder</w:t>
            </w:r>
            <w:r w:rsidRPr="00E16672">
              <w:rPr>
                <w:rFonts w:ascii="Times New Roman" w:hAnsi="Times New Roman"/>
                <w:color w:val="000000"/>
                <w:sz w:val="16"/>
                <w:szCs w:val="16"/>
                <w:lang w:val="en-GB"/>
              </w:rPr>
              <w:t xml:space="preserve">’s orders </w:t>
            </w:r>
            <w:r w:rsidRPr="00A26EFC">
              <w:rPr>
                <w:rFonts w:ascii="Times New Roman" w:hAnsi="Times New Roman"/>
                <w:sz w:val="16"/>
                <w:szCs w:val="16"/>
                <w:lang w:val="en-US"/>
              </w:rPr>
              <w:t>in accordance with</w:t>
            </w:r>
            <w:r w:rsidRPr="00E16672">
              <w:rPr>
                <w:rFonts w:ascii="Times New Roman" w:hAnsi="Times New Roman"/>
                <w:color w:val="000000"/>
                <w:sz w:val="16"/>
                <w:szCs w:val="16"/>
                <w:lang w:val="en-GB"/>
              </w:rPr>
              <w:t xml:space="preserve"> the current legislation of Ukraine;</w:t>
            </w:r>
          </w:p>
          <w:p w14:paraId="7495AC24" w14:textId="77777777" w:rsidR="00EB25FE" w:rsidRPr="00E16672" w:rsidRDefault="00EB25FE" w:rsidP="00794B3F">
            <w:pPr>
              <w:ind w:left="175" w:right="100" w:firstLine="7"/>
              <w:rPr>
                <w:rFonts w:ascii="Times New Roman" w:hAnsi="Times New Roman"/>
                <w:color w:val="000000"/>
                <w:sz w:val="16"/>
                <w:szCs w:val="16"/>
                <w:lang w:val="en-US"/>
              </w:rPr>
            </w:pPr>
            <w:r w:rsidRPr="00E16672">
              <w:rPr>
                <w:rFonts w:ascii="Times New Roman" w:hAnsi="Times New Roman"/>
                <w:color w:val="000000"/>
                <w:sz w:val="16"/>
                <w:szCs w:val="16"/>
                <w:lang w:val="en-GB"/>
              </w:rPr>
              <w:t xml:space="preserve">- compliance with accounting rules in carrying out their duties, </w:t>
            </w:r>
            <w:r w:rsidRPr="00E16672">
              <w:rPr>
                <w:rFonts w:ascii="Times New Roman" w:hAnsi="Times New Roman"/>
                <w:color w:val="000000"/>
                <w:sz w:val="16"/>
                <w:szCs w:val="16"/>
                <w:lang w:val="en-US"/>
              </w:rPr>
              <w:t xml:space="preserve">correctness of </w:t>
            </w:r>
            <w:r w:rsidRPr="00E16672">
              <w:rPr>
                <w:rFonts w:ascii="Times New Roman" w:hAnsi="Times New Roman"/>
                <w:color w:val="000000"/>
                <w:sz w:val="16"/>
                <w:szCs w:val="16"/>
                <w:lang w:val="en-GB"/>
              </w:rPr>
              <w:t>recording on a securities account;</w:t>
            </w:r>
          </w:p>
          <w:p w14:paraId="2CF9E28E" w14:textId="77777777" w:rsidR="00EB25FE" w:rsidRPr="00E16672" w:rsidRDefault="00EB25FE" w:rsidP="00794B3F">
            <w:pPr>
              <w:tabs>
                <w:tab w:val="left" w:pos="148"/>
                <w:tab w:val="left" w:pos="417"/>
              </w:tabs>
              <w:autoSpaceDE w:val="0"/>
              <w:ind w:left="175" w:right="100" w:firstLine="7"/>
              <w:rPr>
                <w:rFonts w:ascii="Times New Roman" w:hAnsi="Times New Roman"/>
                <w:color w:val="000000"/>
                <w:sz w:val="16"/>
                <w:szCs w:val="16"/>
                <w:lang w:val="en-GB"/>
              </w:rPr>
            </w:pPr>
            <w:r w:rsidRPr="00E16672">
              <w:rPr>
                <w:rFonts w:ascii="Times New Roman" w:hAnsi="Times New Roman"/>
                <w:color w:val="000000"/>
                <w:sz w:val="16"/>
                <w:szCs w:val="16"/>
                <w:lang w:val="en-GB"/>
              </w:rPr>
              <w:t xml:space="preserve">- </w:t>
            </w:r>
            <w:r w:rsidRPr="00A26EFC">
              <w:rPr>
                <w:rStyle w:val="shorttext"/>
                <w:rFonts w:ascii="Times New Roman" w:hAnsi="Times New Roman"/>
                <w:sz w:val="16"/>
                <w:szCs w:val="16"/>
                <w:lang w:val="en-US"/>
              </w:rPr>
              <w:t>accounting</w:t>
            </w:r>
            <w:r w:rsidRPr="00E16672" w:rsidDel="003E2F8C">
              <w:rPr>
                <w:rFonts w:ascii="Times New Roman" w:hAnsi="Times New Roman"/>
                <w:color w:val="000000"/>
                <w:sz w:val="16"/>
                <w:szCs w:val="16"/>
                <w:lang w:val="en-GB"/>
              </w:rPr>
              <w:t xml:space="preserve"> </w:t>
            </w:r>
            <w:r w:rsidRPr="00E16672">
              <w:rPr>
                <w:rFonts w:ascii="Times New Roman" w:hAnsi="Times New Roman"/>
                <w:color w:val="000000"/>
                <w:sz w:val="16"/>
                <w:szCs w:val="16"/>
                <w:lang w:val="en-GB"/>
              </w:rPr>
              <w:t xml:space="preserve">the </w:t>
            </w:r>
            <w:r w:rsidR="000179AC" w:rsidRPr="00E16672">
              <w:rPr>
                <w:rFonts w:ascii="Times New Roman" w:hAnsi="Times New Roman"/>
                <w:sz w:val="16"/>
                <w:szCs w:val="16"/>
                <w:lang w:val="en-US"/>
              </w:rPr>
              <w:t>Nominee holder</w:t>
            </w:r>
            <w:r w:rsidRPr="00E16672">
              <w:rPr>
                <w:rFonts w:ascii="Times New Roman" w:hAnsi="Times New Roman"/>
                <w:color w:val="000000"/>
                <w:sz w:val="16"/>
                <w:szCs w:val="16"/>
                <w:lang w:val="en-GB"/>
              </w:rPr>
              <w:t xml:space="preserve">’s securities </w:t>
            </w:r>
            <w:r w:rsidRPr="00A26EFC">
              <w:rPr>
                <w:rStyle w:val="shorttext"/>
                <w:rFonts w:ascii="Times New Roman" w:hAnsi="Times New Roman"/>
                <w:sz w:val="16"/>
                <w:szCs w:val="16"/>
                <w:lang w:val="en-US"/>
              </w:rPr>
              <w:t>and securities rights</w:t>
            </w:r>
            <w:r w:rsidRPr="00E16672">
              <w:rPr>
                <w:rFonts w:ascii="Times New Roman" w:hAnsi="Times New Roman"/>
                <w:color w:val="000000"/>
                <w:sz w:val="16"/>
                <w:szCs w:val="16"/>
                <w:lang w:val="en-GB"/>
              </w:rPr>
              <w:t xml:space="preserve"> in Depository institution on </w:t>
            </w:r>
            <w:r w:rsidR="000179AC" w:rsidRPr="00E16672">
              <w:rPr>
                <w:rFonts w:ascii="Times New Roman" w:hAnsi="Times New Roman"/>
                <w:sz w:val="16"/>
                <w:szCs w:val="16"/>
                <w:lang w:val="en-US"/>
              </w:rPr>
              <w:t>Nominee holder</w:t>
            </w:r>
            <w:r w:rsidRPr="00E16672">
              <w:rPr>
                <w:rFonts w:ascii="Times New Roman" w:hAnsi="Times New Roman"/>
                <w:color w:val="000000"/>
                <w:sz w:val="16"/>
                <w:szCs w:val="16"/>
                <w:lang w:val="en-GB"/>
              </w:rPr>
              <w:t>’s account in securities.</w:t>
            </w:r>
          </w:p>
        </w:tc>
      </w:tr>
      <w:tr w:rsidR="00EB25FE" w:rsidRPr="00A26EFC" w14:paraId="5DE14299" w14:textId="77777777" w:rsidTr="005E418B">
        <w:tblPrEx>
          <w:tblCellMar>
            <w:left w:w="0" w:type="dxa"/>
            <w:right w:w="0" w:type="dxa"/>
          </w:tblCellMar>
        </w:tblPrEx>
        <w:trPr>
          <w:trHeight w:val="192"/>
        </w:trPr>
        <w:tc>
          <w:tcPr>
            <w:tcW w:w="5695" w:type="dxa"/>
            <w:gridSpan w:val="7"/>
            <w:shd w:val="clear" w:color="auto" w:fill="auto"/>
          </w:tcPr>
          <w:p w14:paraId="70BD9E8B" w14:textId="77777777" w:rsidR="00EB25FE" w:rsidRPr="00E16672" w:rsidRDefault="00EB25FE" w:rsidP="00794B3F">
            <w:pPr>
              <w:widowControl w:val="0"/>
              <w:snapToGrid w:val="0"/>
              <w:ind w:left="175" w:right="138" w:firstLine="7"/>
              <w:rPr>
                <w:rFonts w:ascii="Times New Roman" w:hAnsi="Times New Roman"/>
                <w:sz w:val="16"/>
                <w:szCs w:val="16"/>
                <w:lang w:val="uk-UA"/>
              </w:rPr>
            </w:pPr>
            <w:r w:rsidRPr="00E16672">
              <w:rPr>
                <w:rFonts w:ascii="Times New Roman" w:hAnsi="Times New Roman"/>
                <w:sz w:val="16"/>
                <w:szCs w:val="16"/>
              </w:rPr>
              <w:t xml:space="preserve">5.7. </w:t>
            </w:r>
            <w:proofErr w:type="spellStart"/>
            <w:r w:rsidRPr="00E16672">
              <w:rPr>
                <w:rFonts w:ascii="Times New Roman" w:hAnsi="Times New Roman"/>
                <w:sz w:val="16"/>
                <w:szCs w:val="16"/>
              </w:rPr>
              <w:t>Депозитарна</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установа</w:t>
            </w:r>
            <w:proofErr w:type="spellEnd"/>
            <w:r w:rsidRPr="00E16672">
              <w:rPr>
                <w:rFonts w:ascii="Times New Roman" w:hAnsi="Times New Roman"/>
                <w:sz w:val="16"/>
                <w:szCs w:val="16"/>
              </w:rPr>
              <w:t xml:space="preserve"> не </w:t>
            </w:r>
            <w:proofErr w:type="spellStart"/>
            <w:r w:rsidRPr="00E16672">
              <w:rPr>
                <w:rFonts w:ascii="Times New Roman" w:hAnsi="Times New Roman"/>
                <w:sz w:val="16"/>
                <w:szCs w:val="16"/>
              </w:rPr>
              <w:t>несе</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відповідальності</w:t>
            </w:r>
            <w:proofErr w:type="spellEnd"/>
            <w:r w:rsidRPr="00E16672">
              <w:rPr>
                <w:rFonts w:ascii="Times New Roman" w:hAnsi="Times New Roman"/>
                <w:sz w:val="16"/>
                <w:szCs w:val="16"/>
              </w:rPr>
              <w:t xml:space="preserve"> перед </w:t>
            </w:r>
            <w:r w:rsidR="009E0A39" w:rsidRPr="00E16672">
              <w:rPr>
                <w:rFonts w:ascii="Times New Roman" w:hAnsi="Times New Roman"/>
                <w:sz w:val="16"/>
                <w:szCs w:val="16"/>
                <w:lang w:val="uk-UA"/>
              </w:rPr>
              <w:t xml:space="preserve">Номінальним </w:t>
            </w:r>
            <w:proofErr w:type="spellStart"/>
            <w:r w:rsidR="009E0A39" w:rsidRPr="00E16672">
              <w:rPr>
                <w:rFonts w:ascii="Times New Roman" w:hAnsi="Times New Roman"/>
                <w:sz w:val="16"/>
                <w:szCs w:val="16"/>
                <w:lang w:val="uk-UA"/>
              </w:rPr>
              <w:t>утримуачем</w:t>
            </w:r>
            <w:proofErr w:type="spellEnd"/>
            <w:r w:rsidRPr="00E16672">
              <w:rPr>
                <w:rFonts w:ascii="Times New Roman" w:hAnsi="Times New Roman"/>
                <w:sz w:val="16"/>
                <w:szCs w:val="16"/>
              </w:rPr>
              <w:t xml:space="preserve"> за</w:t>
            </w:r>
            <w:r w:rsidRPr="00E16672">
              <w:rPr>
                <w:rFonts w:ascii="Times New Roman" w:hAnsi="Times New Roman"/>
                <w:sz w:val="16"/>
                <w:szCs w:val="16"/>
                <w:lang w:val="uk-UA"/>
              </w:rPr>
              <w:t>:</w:t>
            </w:r>
          </w:p>
          <w:p w14:paraId="35783574" w14:textId="77777777" w:rsidR="00EB25FE" w:rsidRPr="00E16672" w:rsidRDefault="00EB25FE" w:rsidP="000D0438">
            <w:pPr>
              <w:widowControl w:val="0"/>
              <w:numPr>
                <w:ilvl w:val="0"/>
                <w:numId w:val="14"/>
              </w:numPr>
              <w:snapToGrid w:val="0"/>
              <w:ind w:left="175" w:right="138" w:firstLine="7"/>
              <w:rPr>
                <w:rFonts w:ascii="Times New Roman" w:hAnsi="Times New Roman"/>
                <w:sz w:val="16"/>
                <w:szCs w:val="16"/>
                <w:lang w:val="uk-UA"/>
              </w:rPr>
            </w:pPr>
            <w:r w:rsidRPr="00E16672">
              <w:rPr>
                <w:rFonts w:ascii="Times New Roman" w:hAnsi="Times New Roman"/>
                <w:sz w:val="16"/>
                <w:szCs w:val="16"/>
                <w:lang w:val="uk-UA"/>
              </w:rPr>
              <w:t xml:space="preserve">шкоду, заподіяну діями або бездіяльністю Депозитарної установи, якщо ці дії (бездіяльність) здійснювались Депозитарною установою за письмовими розпорядженнями </w:t>
            </w:r>
            <w:r w:rsidR="009E0A39" w:rsidRPr="00E16672">
              <w:rPr>
                <w:rFonts w:ascii="Times New Roman" w:hAnsi="Times New Roman"/>
                <w:sz w:val="16"/>
                <w:szCs w:val="16"/>
                <w:lang w:val="uk-UA"/>
              </w:rPr>
              <w:t>Номінального утримувача</w:t>
            </w:r>
            <w:r w:rsidRPr="00E16672">
              <w:rPr>
                <w:rFonts w:ascii="Times New Roman" w:hAnsi="Times New Roman"/>
                <w:sz w:val="16"/>
                <w:szCs w:val="16"/>
                <w:lang w:val="uk-UA"/>
              </w:rPr>
              <w:t>, виникли внаслідок дій (бездіяльності) інших учасників депозитарної системи;</w:t>
            </w:r>
          </w:p>
          <w:p w14:paraId="5FA77FD3" w14:textId="77777777" w:rsidR="00EB25FE" w:rsidRPr="00E16672" w:rsidRDefault="00EB25FE" w:rsidP="000D0438">
            <w:pPr>
              <w:numPr>
                <w:ilvl w:val="0"/>
                <w:numId w:val="14"/>
              </w:numPr>
              <w:ind w:left="175" w:firstLine="7"/>
              <w:rPr>
                <w:rStyle w:val="rvts0"/>
                <w:rFonts w:ascii="Times New Roman" w:hAnsi="Times New Roman"/>
                <w:color w:val="000000"/>
                <w:sz w:val="16"/>
                <w:szCs w:val="16"/>
                <w:lang w:val="uk-UA"/>
              </w:rPr>
            </w:pPr>
            <w:r w:rsidRPr="00E16672">
              <w:rPr>
                <w:rFonts w:ascii="Times New Roman" w:hAnsi="Times New Roman"/>
                <w:color w:val="000000"/>
                <w:sz w:val="16"/>
                <w:szCs w:val="16"/>
                <w:lang w:val="uk-UA"/>
              </w:rPr>
              <w:t xml:space="preserve">суми та порядок нарахування емітентом </w:t>
            </w:r>
            <w:r w:rsidRPr="00E16672">
              <w:rPr>
                <w:rStyle w:val="rvts0"/>
                <w:rFonts w:ascii="Times New Roman" w:hAnsi="Times New Roman"/>
                <w:sz w:val="16"/>
                <w:szCs w:val="16"/>
                <w:lang w:val="uk-UA"/>
              </w:rPr>
              <w:t xml:space="preserve">виплат доходу та інших виплат, що здійснюються (здійснювалися) відповідно до закону, за цінними паперами, права на які обліковуються на рахунку в цінних паперах </w:t>
            </w:r>
            <w:r w:rsidR="00084686" w:rsidRPr="00E16672">
              <w:rPr>
                <w:rStyle w:val="rvts0"/>
                <w:rFonts w:ascii="Times New Roman" w:hAnsi="Times New Roman"/>
                <w:sz w:val="16"/>
                <w:szCs w:val="16"/>
                <w:lang w:val="uk-UA"/>
              </w:rPr>
              <w:t xml:space="preserve">Номінального у </w:t>
            </w:r>
            <w:proofErr w:type="spellStart"/>
            <w:r w:rsidR="00084686" w:rsidRPr="00E16672">
              <w:rPr>
                <w:rStyle w:val="rvts0"/>
                <w:rFonts w:ascii="Times New Roman" w:hAnsi="Times New Roman"/>
                <w:sz w:val="16"/>
                <w:szCs w:val="16"/>
                <w:lang w:val="uk-UA"/>
              </w:rPr>
              <w:t>тримувача</w:t>
            </w:r>
            <w:proofErr w:type="spellEnd"/>
            <w:r w:rsidRPr="00E16672">
              <w:rPr>
                <w:rStyle w:val="rvts0"/>
                <w:rFonts w:ascii="Times New Roman" w:hAnsi="Times New Roman"/>
                <w:sz w:val="16"/>
                <w:szCs w:val="16"/>
                <w:lang w:val="uk-UA"/>
              </w:rPr>
              <w:t xml:space="preserve">, що надаються Депозитарній установі для виплат </w:t>
            </w:r>
            <w:r w:rsidR="009E0A39" w:rsidRPr="00E16672">
              <w:rPr>
                <w:rStyle w:val="rvts0"/>
                <w:rFonts w:ascii="Times New Roman" w:hAnsi="Times New Roman"/>
                <w:sz w:val="16"/>
                <w:szCs w:val="16"/>
                <w:lang w:val="uk-UA"/>
              </w:rPr>
              <w:t>Номінальному утримувачу</w:t>
            </w:r>
            <w:r w:rsidRPr="00E16672">
              <w:rPr>
                <w:rStyle w:val="rvts0"/>
                <w:rFonts w:ascii="Times New Roman" w:hAnsi="Times New Roman"/>
                <w:sz w:val="16"/>
                <w:szCs w:val="16"/>
                <w:lang w:val="uk-UA"/>
              </w:rPr>
              <w:t>;</w:t>
            </w:r>
          </w:p>
          <w:p w14:paraId="37DFB5F1" w14:textId="77777777" w:rsidR="00EB25FE" w:rsidRPr="00E16672" w:rsidRDefault="00EB25FE" w:rsidP="000D0438">
            <w:pPr>
              <w:numPr>
                <w:ilvl w:val="0"/>
                <w:numId w:val="14"/>
              </w:numPr>
              <w:ind w:left="175" w:firstLine="7"/>
              <w:rPr>
                <w:rFonts w:ascii="Times New Roman" w:hAnsi="Times New Roman"/>
                <w:sz w:val="16"/>
                <w:szCs w:val="16"/>
                <w:lang w:val="uk-UA"/>
              </w:rPr>
            </w:pPr>
            <w:r w:rsidRPr="00E16672">
              <w:rPr>
                <w:rFonts w:ascii="Times New Roman" w:hAnsi="Times New Roman"/>
                <w:color w:val="000000"/>
                <w:sz w:val="16"/>
                <w:szCs w:val="16"/>
                <w:lang w:val="uk-UA"/>
              </w:rPr>
              <w:t xml:space="preserve">неможливість перерахувати, не перерахування, несвоєчасне перерахування </w:t>
            </w:r>
            <w:r w:rsidRPr="00E16672">
              <w:rPr>
                <w:rStyle w:val="rvts0"/>
                <w:rFonts w:ascii="Times New Roman" w:hAnsi="Times New Roman"/>
                <w:sz w:val="16"/>
                <w:szCs w:val="16"/>
                <w:lang w:val="uk-UA"/>
              </w:rPr>
              <w:t xml:space="preserve">виплат доходу та інших виплат, що здійснюються (здійснювалися) відповідно до закону, за цінними паперами, права на які обліковуються на рахунку в цінних паперах </w:t>
            </w:r>
            <w:r w:rsidR="00084686" w:rsidRPr="00E16672">
              <w:rPr>
                <w:rStyle w:val="rvts0"/>
                <w:rFonts w:ascii="Times New Roman" w:hAnsi="Times New Roman"/>
                <w:sz w:val="16"/>
                <w:szCs w:val="16"/>
                <w:lang w:val="uk-UA"/>
              </w:rPr>
              <w:t>Номінального утримувача</w:t>
            </w:r>
            <w:r w:rsidRPr="00E16672">
              <w:rPr>
                <w:rStyle w:val="rvts0"/>
                <w:rFonts w:ascii="Times New Roman" w:hAnsi="Times New Roman"/>
                <w:sz w:val="16"/>
                <w:szCs w:val="16"/>
                <w:lang w:val="uk-UA"/>
              </w:rPr>
              <w:t xml:space="preserve">, на банківський рахунок </w:t>
            </w:r>
            <w:r w:rsidR="009E0A39" w:rsidRPr="00E16672">
              <w:rPr>
                <w:rStyle w:val="rvts0"/>
                <w:rFonts w:ascii="Times New Roman" w:hAnsi="Times New Roman"/>
                <w:sz w:val="16"/>
                <w:szCs w:val="16"/>
                <w:lang w:val="uk-UA"/>
              </w:rPr>
              <w:t>Номінального утримувача</w:t>
            </w:r>
            <w:r w:rsidRPr="00E16672">
              <w:rPr>
                <w:rStyle w:val="rvts0"/>
                <w:rFonts w:ascii="Times New Roman" w:hAnsi="Times New Roman"/>
                <w:sz w:val="16"/>
                <w:szCs w:val="16"/>
                <w:lang w:val="uk-UA"/>
              </w:rPr>
              <w:t xml:space="preserve"> або поштовим переказом на поштову адресу </w:t>
            </w:r>
            <w:r w:rsidR="009E0A39" w:rsidRPr="00E16672">
              <w:rPr>
                <w:rStyle w:val="rvts0"/>
                <w:rFonts w:ascii="Times New Roman" w:hAnsi="Times New Roman"/>
                <w:sz w:val="16"/>
                <w:szCs w:val="16"/>
                <w:lang w:val="uk-UA"/>
              </w:rPr>
              <w:t>Номінального утримувача</w:t>
            </w:r>
            <w:r w:rsidRPr="00E16672">
              <w:rPr>
                <w:rStyle w:val="rvts0"/>
                <w:rFonts w:ascii="Times New Roman" w:hAnsi="Times New Roman"/>
                <w:sz w:val="16"/>
                <w:szCs w:val="16"/>
                <w:lang w:val="uk-UA"/>
              </w:rPr>
              <w:t xml:space="preserve"> – у разі відсутності на рахунку в цінних паперах інформації, необхідної для здійснення перерахування зазначених коштів, або недостовірності такої інформації.</w:t>
            </w:r>
          </w:p>
        </w:tc>
        <w:tc>
          <w:tcPr>
            <w:tcW w:w="5495" w:type="dxa"/>
            <w:gridSpan w:val="8"/>
            <w:shd w:val="clear" w:color="auto" w:fill="auto"/>
          </w:tcPr>
          <w:p w14:paraId="1C53B4CC" w14:textId="77777777" w:rsidR="00EB25FE" w:rsidRPr="00E16672" w:rsidRDefault="00EB25FE" w:rsidP="00794B3F">
            <w:pPr>
              <w:tabs>
                <w:tab w:val="left" w:pos="0"/>
                <w:tab w:val="left" w:pos="574"/>
              </w:tabs>
              <w:autoSpaceDE w:val="0"/>
              <w:snapToGrid w:val="0"/>
              <w:ind w:left="175" w:right="138" w:firstLine="7"/>
              <w:rPr>
                <w:rFonts w:ascii="Times New Roman" w:hAnsi="Times New Roman"/>
                <w:sz w:val="16"/>
                <w:szCs w:val="16"/>
                <w:lang w:val="uk-UA"/>
              </w:rPr>
            </w:pPr>
            <w:r w:rsidRPr="00E16672">
              <w:rPr>
                <w:rFonts w:ascii="Times New Roman" w:hAnsi="Times New Roman"/>
                <w:sz w:val="16"/>
                <w:szCs w:val="16"/>
                <w:lang w:val="uk-UA"/>
              </w:rPr>
              <w:t xml:space="preserve"> </w:t>
            </w:r>
            <w:r w:rsidRPr="00E16672">
              <w:rPr>
                <w:rFonts w:ascii="Times New Roman" w:hAnsi="Times New Roman"/>
                <w:sz w:val="16"/>
                <w:szCs w:val="16"/>
                <w:lang w:val="en-GB"/>
              </w:rPr>
              <w:t xml:space="preserve">5.7. Depository institution is not liable to the </w:t>
            </w:r>
            <w:r w:rsidR="009E0A39" w:rsidRPr="00E16672">
              <w:rPr>
                <w:rFonts w:ascii="Times New Roman" w:hAnsi="Times New Roman"/>
                <w:sz w:val="16"/>
                <w:szCs w:val="16"/>
                <w:lang w:val="en-US"/>
              </w:rPr>
              <w:t>Nominee holder</w:t>
            </w:r>
            <w:r w:rsidR="009E0A39" w:rsidRPr="00E16672">
              <w:rPr>
                <w:rFonts w:ascii="Times New Roman" w:hAnsi="Times New Roman"/>
                <w:sz w:val="16"/>
                <w:szCs w:val="16"/>
                <w:lang w:val="en-GB"/>
              </w:rPr>
              <w:t xml:space="preserve"> </w:t>
            </w:r>
            <w:r w:rsidRPr="00E16672">
              <w:rPr>
                <w:rFonts w:ascii="Times New Roman" w:hAnsi="Times New Roman"/>
                <w:sz w:val="16"/>
                <w:szCs w:val="16"/>
                <w:lang w:val="en-GB"/>
              </w:rPr>
              <w:t>for</w:t>
            </w:r>
            <w:r w:rsidRPr="00E16672">
              <w:rPr>
                <w:rFonts w:ascii="Times New Roman" w:hAnsi="Times New Roman"/>
                <w:sz w:val="16"/>
                <w:szCs w:val="16"/>
                <w:lang w:val="uk-UA"/>
              </w:rPr>
              <w:t>:</w:t>
            </w:r>
          </w:p>
          <w:p w14:paraId="524BAC35" w14:textId="77777777" w:rsidR="00EB25FE" w:rsidRPr="00E16672" w:rsidRDefault="00EB25FE" w:rsidP="00794B3F">
            <w:pPr>
              <w:tabs>
                <w:tab w:val="left" w:pos="0"/>
                <w:tab w:val="left" w:pos="574"/>
              </w:tabs>
              <w:autoSpaceDE w:val="0"/>
              <w:snapToGrid w:val="0"/>
              <w:ind w:left="175" w:right="138" w:firstLine="7"/>
              <w:rPr>
                <w:rFonts w:ascii="Times New Roman" w:hAnsi="Times New Roman"/>
                <w:sz w:val="16"/>
                <w:szCs w:val="16"/>
                <w:lang w:val="uk-UA"/>
              </w:rPr>
            </w:pPr>
          </w:p>
          <w:p w14:paraId="3C1A4CA3" w14:textId="77777777" w:rsidR="00EB25FE" w:rsidRPr="00E16672" w:rsidRDefault="00EB25FE" w:rsidP="000D0438">
            <w:pPr>
              <w:numPr>
                <w:ilvl w:val="0"/>
                <w:numId w:val="15"/>
              </w:numPr>
              <w:tabs>
                <w:tab w:val="left" w:pos="148"/>
                <w:tab w:val="left" w:pos="574"/>
              </w:tabs>
              <w:autoSpaceDE w:val="0"/>
              <w:snapToGrid w:val="0"/>
              <w:ind w:left="175" w:right="138" w:firstLine="7"/>
              <w:rPr>
                <w:rFonts w:ascii="Times New Roman" w:hAnsi="Times New Roman"/>
                <w:sz w:val="16"/>
                <w:szCs w:val="16"/>
                <w:lang w:val="en-GB"/>
              </w:rPr>
            </w:pPr>
            <w:r w:rsidRPr="00E16672">
              <w:rPr>
                <w:rFonts w:ascii="Times New Roman" w:hAnsi="Times New Roman"/>
                <w:sz w:val="16"/>
                <w:szCs w:val="16"/>
                <w:lang w:val="en-GB"/>
              </w:rPr>
              <w:t xml:space="preserve">damages caused by acts or omissions of the </w:t>
            </w:r>
            <w:r w:rsidRPr="00E16672">
              <w:rPr>
                <w:rFonts w:ascii="Times New Roman" w:hAnsi="Times New Roman"/>
                <w:sz w:val="16"/>
                <w:szCs w:val="16"/>
                <w:lang w:val="en-US"/>
              </w:rPr>
              <w:t>D</w:t>
            </w:r>
            <w:proofErr w:type="spellStart"/>
            <w:r w:rsidRPr="00E16672">
              <w:rPr>
                <w:rFonts w:ascii="Times New Roman" w:hAnsi="Times New Roman"/>
                <w:sz w:val="16"/>
                <w:szCs w:val="16"/>
                <w:lang w:val="en-GB"/>
              </w:rPr>
              <w:t>epository</w:t>
            </w:r>
            <w:proofErr w:type="spellEnd"/>
            <w:r w:rsidRPr="00E16672">
              <w:rPr>
                <w:rFonts w:ascii="Times New Roman" w:hAnsi="Times New Roman"/>
                <w:sz w:val="16"/>
                <w:szCs w:val="16"/>
                <w:lang w:val="en-GB"/>
              </w:rPr>
              <w:t xml:space="preserve"> institution, if such actions (omissions) were made </w:t>
            </w:r>
            <w:r w:rsidRPr="00E16672">
              <w:rPr>
                <w:rFonts w:ascii="Times New Roman" w:hAnsi="Times New Roman"/>
                <w:sz w:val="16"/>
                <w:szCs w:val="16"/>
                <w:lang w:val="en-US"/>
              </w:rPr>
              <w:t>D</w:t>
            </w:r>
            <w:proofErr w:type="spellStart"/>
            <w:r w:rsidRPr="00E16672">
              <w:rPr>
                <w:rFonts w:ascii="Times New Roman" w:hAnsi="Times New Roman"/>
                <w:sz w:val="16"/>
                <w:szCs w:val="16"/>
                <w:lang w:val="en-GB"/>
              </w:rPr>
              <w:t>epository</w:t>
            </w:r>
            <w:proofErr w:type="spellEnd"/>
            <w:r w:rsidRPr="00E16672">
              <w:rPr>
                <w:rFonts w:ascii="Times New Roman" w:hAnsi="Times New Roman"/>
                <w:sz w:val="16"/>
                <w:szCs w:val="16"/>
                <w:lang w:val="en-GB"/>
              </w:rPr>
              <w:t xml:space="preserve"> </w:t>
            </w:r>
            <w:proofErr w:type="gramStart"/>
            <w:r w:rsidRPr="00E16672">
              <w:rPr>
                <w:rFonts w:ascii="Times New Roman" w:hAnsi="Times New Roman"/>
                <w:sz w:val="16"/>
                <w:szCs w:val="16"/>
                <w:lang w:val="en-GB"/>
              </w:rPr>
              <w:t xml:space="preserve">institution </w:t>
            </w:r>
            <w:r w:rsidRPr="00E16672">
              <w:rPr>
                <w:rFonts w:ascii="Times New Roman" w:hAnsi="Times New Roman"/>
                <w:sz w:val="16"/>
                <w:szCs w:val="16"/>
                <w:lang w:val="en-US"/>
              </w:rPr>
              <w:t xml:space="preserve"> by</w:t>
            </w:r>
            <w:proofErr w:type="gramEnd"/>
            <w:r w:rsidRPr="00E16672">
              <w:rPr>
                <w:rFonts w:ascii="Times New Roman" w:hAnsi="Times New Roman"/>
                <w:sz w:val="16"/>
                <w:szCs w:val="16"/>
                <w:lang w:val="en-US"/>
              </w:rPr>
              <w:t xml:space="preserve"> </w:t>
            </w:r>
            <w:r w:rsidRPr="00E16672">
              <w:rPr>
                <w:rFonts w:ascii="Times New Roman" w:hAnsi="Times New Roman"/>
                <w:sz w:val="16"/>
                <w:szCs w:val="16"/>
                <w:lang w:val="en-GB"/>
              </w:rPr>
              <w:t xml:space="preserve">the written order of the </w:t>
            </w:r>
            <w:r w:rsidR="009E0A39" w:rsidRPr="00E16672">
              <w:rPr>
                <w:rFonts w:ascii="Times New Roman" w:hAnsi="Times New Roman"/>
                <w:sz w:val="16"/>
                <w:szCs w:val="16"/>
                <w:lang w:val="en-US"/>
              </w:rPr>
              <w:t>Nominee holder</w:t>
            </w:r>
            <w:r w:rsidRPr="00E16672">
              <w:rPr>
                <w:rFonts w:ascii="Times New Roman" w:hAnsi="Times New Roman"/>
                <w:sz w:val="16"/>
                <w:szCs w:val="16"/>
                <w:lang w:val="en-GB"/>
              </w:rPr>
              <w:t>, resulting from actions (inaction) of other participants in the depository system</w:t>
            </w:r>
            <w:r w:rsidRPr="00E16672">
              <w:rPr>
                <w:rFonts w:ascii="Times New Roman" w:hAnsi="Times New Roman"/>
                <w:sz w:val="16"/>
                <w:szCs w:val="16"/>
                <w:lang w:val="uk-UA"/>
              </w:rPr>
              <w:t>;</w:t>
            </w:r>
          </w:p>
          <w:p w14:paraId="57FAEBD2" w14:textId="77777777" w:rsidR="00EB25FE" w:rsidRPr="00E16672" w:rsidRDefault="00EB25FE" w:rsidP="00794B3F">
            <w:pPr>
              <w:tabs>
                <w:tab w:val="left" w:pos="148"/>
                <w:tab w:val="left" w:pos="574"/>
              </w:tabs>
              <w:autoSpaceDE w:val="0"/>
              <w:snapToGrid w:val="0"/>
              <w:ind w:left="175" w:right="138" w:firstLine="7"/>
              <w:rPr>
                <w:rFonts w:ascii="Times New Roman" w:hAnsi="Times New Roman"/>
                <w:sz w:val="16"/>
                <w:szCs w:val="16"/>
                <w:lang w:val="en-GB"/>
              </w:rPr>
            </w:pPr>
          </w:p>
          <w:p w14:paraId="5035B2A0" w14:textId="77777777" w:rsidR="00EB25FE" w:rsidRPr="00E16672" w:rsidRDefault="00EB25FE" w:rsidP="000D0438">
            <w:pPr>
              <w:numPr>
                <w:ilvl w:val="0"/>
                <w:numId w:val="15"/>
              </w:numPr>
              <w:tabs>
                <w:tab w:val="left" w:pos="148"/>
                <w:tab w:val="left" w:pos="574"/>
              </w:tabs>
              <w:autoSpaceDE w:val="0"/>
              <w:snapToGrid w:val="0"/>
              <w:ind w:left="175" w:right="138" w:firstLine="7"/>
              <w:rPr>
                <w:rFonts w:ascii="Times New Roman" w:hAnsi="Times New Roman"/>
                <w:sz w:val="16"/>
                <w:szCs w:val="16"/>
                <w:lang w:val="en-GB"/>
              </w:rPr>
            </w:pPr>
            <w:r w:rsidRPr="00A26EFC">
              <w:rPr>
                <w:rFonts w:ascii="Times New Roman" w:hAnsi="Times New Roman"/>
                <w:sz w:val="16"/>
                <w:szCs w:val="16"/>
                <w:lang w:val="en-US"/>
              </w:rPr>
              <w:t xml:space="preserve">amounts and procedure for accrual by the issuer of payments of income and other payments made (carried out) in accordance with the law, for securities registered in the Securities account of the </w:t>
            </w:r>
            <w:r w:rsidR="009E0A39" w:rsidRPr="00E16672">
              <w:rPr>
                <w:rFonts w:ascii="Times New Roman" w:hAnsi="Times New Roman"/>
                <w:sz w:val="16"/>
                <w:szCs w:val="16"/>
                <w:lang w:val="en-US"/>
              </w:rPr>
              <w:t>Nominee holder</w:t>
            </w:r>
            <w:r w:rsidR="009E0A39" w:rsidRPr="00A26EFC">
              <w:rPr>
                <w:rFonts w:ascii="Times New Roman" w:hAnsi="Times New Roman"/>
                <w:sz w:val="16"/>
                <w:szCs w:val="16"/>
                <w:lang w:val="en-US"/>
              </w:rPr>
              <w:t xml:space="preserve"> </w:t>
            </w:r>
            <w:r w:rsidRPr="00A26EFC">
              <w:rPr>
                <w:rFonts w:ascii="Times New Roman" w:hAnsi="Times New Roman"/>
                <w:sz w:val="16"/>
                <w:szCs w:val="16"/>
                <w:lang w:val="en-US"/>
              </w:rPr>
              <w:t xml:space="preserve">to be provided to the Depositary institution for payment to the </w:t>
            </w:r>
            <w:r w:rsidR="009E0A39" w:rsidRPr="00E16672">
              <w:rPr>
                <w:rFonts w:ascii="Times New Roman" w:hAnsi="Times New Roman"/>
                <w:sz w:val="16"/>
                <w:szCs w:val="16"/>
                <w:lang w:val="en-US"/>
              </w:rPr>
              <w:t>Nominee holder</w:t>
            </w:r>
            <w:r w:rsidRPr="00A26EFC">
              <w:rPr>
                <w:rFonts w:ascii="Times New Roman" w:hAnsi="Times New Roman"/>
                <w:sz w:val="16"/>
                <w:szCs w:val="16"/>
                <w:lang w:val="en-US"/>
              </w:rPr>
              <w:t>;</w:t>
            </w:r>
          </w:p>
          <w:p w14:paraId="37128E13" w14:textId="77777777" w:rsidR="00EB25FE" w:rsidRPr="00E16672" w:rsidRDefault="00EB25FE" w:rsidP="00794B3F">
            <w:pPr>
              <w:tabs>
                <w:tab w:val="left" w:pos="148"/>
                <w:tab w:val="left" w:pos="574"/>
              </w:tabs>
              <w:autoSpaceDE w:val="0"/>
              <w:snapToGrid w:val="0"/>
              <w:ind w:left="175" w:right="138" w:firstLine="7"/>
              <w:rPr>
                <w:rFonts w:ascii="Times New Roman" w:hAnsi="Times New Roman"/>
                <w:sz w:val="16"/>
                <w:szCs w:val="16"/>
                <w:lang w:val="en-GB"/>
              </w:rPr>
            </w:pPr>
            <w:r w:rsidRPr="00E16672">
              <w:rPr>
                <w:rFonts w:ascii="Times New Roman" w:hAnsi="Times New Roman"/>
                <w:sz w:val="16"/>
                <w:szCs w:val="16"/>
              </w:rPr>
              <w:sym w:font="Symbol" w:char="F02D"/>
            </w:r>
            <w:r w:rsidRPr="00A26EFC">
              <w:rPr>
                <w:rFonts w:ascii="Times New Roman" w:hAnsi="Times New Roman"/>
                <w:sz w:val="16"/>
                <w:szCs w:val="16"/>
                <w:lang w:val="en-US"/>
              </w:rPr>
              <w:t xml:space="preserve"> impossibility to transfer, not transfer, untimely transfer of payment of income and other payments made (carried out) in accordance with the law, for securities registered in the securities account of the </w:t>
            </w:r>
            <w:r w:rsidR="009E0A39" w:rsidRPr="00E16672">
              <w:rPr>
                <w:rFonts w:ascii="Times New Roman" w:hAnsi="Times New Roman"/>
                <w:sz w:val="16"/>
                <w:szCs w:val="16"/>
                <w:lang w:val="en-US"/>
              </w:rPr>
              <w:t>Nominee holder</w:t>
            </w:r>
            <w:r w:rsidRPr="00A26EFC">
              <w:rPr>
                <w:rFonts w:ascii="Times New Roman" w:hAnsi="Times New Roman"/>
                <w:sz w:val="16"/>
                <w:szCs w:val="16"/>
                <w:lang w:val="en-US"/>
              </w:rPr>
              <w:t xml:space="preserve">, to the </w:t>
            </w:r>
            <w:r w:rsidR="009E0A39" w:rsidRPr="00E16672">
              <w:rPr>
                <w:rFonts w:ascii="Times New Roman" w:hAnsi="Times New Roman"/>
                <w:sz w:val="16"/>
                <w:szCs w:val="16"/>
                <w:lang w:val="en-US"/>
              </w:rPr>
              <w:t>Nominee holder</w:t>
            </w:r>
            <w:r w:rsidR="009E0A39" w:rsidRPr="00A26EFC">
              <w:rPr>
                <w:rFonts w:ascii="Times New Roman" w:hAnsi="Times New Roman"/>
                <w:sz w:val="16"/>
                <w:szCs w:val="16"/>
                <w:lang w:val="en-US"/>
              </w:rPr>
              <w:t xml:space="preserve"> </w:t>
            </w:r>
            <w:r w:rsidRPr="00A26EFC">
              <w:rPr>
                <w:rFonts w:ascii="Times New Roman" w:hAnsi="Times New Roman"/>
                <w:sz w:val="16"/>
                <w:szCs w:val="16"/>
                <w:lang w:val="en-US"/>
              </w:rPr>
              <w:t xml:space="preserve">s bank account or by postal transfer to the </w:t>
            </w:r>
            <w:r w:rsidR="009E0A39" w:rsidRPr="00E16672">
              <w:rPr>
                <w:rFonts w:ascii="Times New Roman" w:hAnsi="Times New Roman"/>
                <w:sz w:val="16"/>
                <w:szCs w:val="16"/>
                <w:lang w:val="en-US"/>
              </w:rPr>
              <w:t>Nominee holder</w:t>
            </w:r>
            <w:r w:rsidR="009E0A39" w:rsidRPr="00A26EFC">
              <w:rPr>
                <w:rFonts w:ascii="Times New Roman" w:hAnsi="Times New Roman"/>
                <w:sz w:val="16"/>
                <w:szCs w:val="16"/>
                <w:lang w:val="en-US"/>
              </w:rPr>
              <w:t xml:space="preserve"> </w:t>
            </w:r>
            <w:r w:rsidRPr="00A26EFC">
              <w:rPr>
                <w:rFonts w:ascii="Times New Roman" w:hAnsi="Times New Roman"/>
                <w:sz w:val="16"/>
                <w:szCs w:val="16"/>
                <w:lang w:val="en-US"/>
              </w:rPr>
              <w:t>'s mailing address - in the absence of the information in the securities account necessary for the transfer of these funds, or the unreliability of such information.</w:t>
            </w:r>
          </w:p>
        </w:tc>
      </w:tr>
      <w:tr w:rsidR="00EB25FE" w:rsidRPr="00A26EFC" w14:paraId="391CC4F3" w14:textId="77777777" w:rsidTr="005E418B">
        <w:tblPrEx>
          <w:tblCellMar>
            <w:left w:w="0" w:type="dxa"/>
            <w:right w:w="0" w:type="dxa"/>
          </w:tblCellMar>
        </w:tblPrEx>
        <w:trPr>
          <w:trHeight w:val="966"/>
        </w:trPr>
        <w:tc>
          <w:tcPr>
            <w:tcW w:w="5695" w:type="dxa"/>
            <w:gridSpan w:val="7"/>
            <w:shd w:val="clear" w:color="auto" w:fill="auto"/>
          </w:tcPr>
          <w:p w14:paraId="25C4BD4D" w14:textId="77777777" w:rsidR="00EB25FE" w:rsidRPr="00E16672" w:rsidRDefault="00EB25FE" w:rsidP="00794B3F">
            <w:pPr>
              <w:snapToGrid w:val="0"/>
              <w:ind w:left="175" w:right="138" w:firstLine="7"/>
              <w:rPr>
                <w:rFonts w:ascii="Times New Roman" w:hAnsi="Times New Roman"/>
                <w:sz w:val="16"/>
                <w:szCs w:val="16"/>
                <w:lang w:val="en-US"/>
              </w:rPr>
            </w:pPr>
          </w:p>
          <w:p w14:paraId="079F0506" w14:textId="77777777" w:rsidR="00EB25FE" w:rsidRPr="00E16672" w:rsidRDefault="00EB25FE" w:rsidP="00794B3F">
            <w:pPr>
              <w:ind w:left="175" w:right="138" w:firstLine="7"/>
              <w:rPr>
                <w:rFonts w:ascii="Times New Roman" w:hAnsi="Times New Roman"/>
                <w:sz w:val="16"/>
                <w:szCs w:val="16"/>
                <w:lang w:val="uk-UA"/>
              </w:rPr>
            </w:pPr>
            <w:r w:rsidRPr="00E16672">
              <w:rPr>
                <w:rFonts w:ascii="Times New Roman" w:hAnsi="Times New Roman"/>
                <w:sz w:val="16"/>
                <w:szCs w:val="16"/>
              </w:rPr>
              <w:t xml:space="preserve">5.8. </w:t>
            </w:r>
            <w:r w:rsidR="00C46E4D" w:rsidRPr="00E16672">
              <w:rPr>
                <w:rFonts w:ascii="Times New Roman" w:hAnsi="Times New Roman"/>
                <w:sz w:val="16"/>
                <w:szCs w:val="16"/>
                <w:lang w:val="uk-UA"/>
              </w:rPr>
              <w:t>Номінальний утримувач</w:t>
            </w:r>
            <w:r w:rsidRPr="00E16672">
              <w:rPr>
                <w:rFonts w:ascii="Times New Roman" w:hAnsi="Times New Roman"/>
                <w:sz w:val="16"/>
                <w:szCs w:val="16"/>
              </w:rPr>
              <w:t xml:space="preserve"> </w:t>
            </w:r>
            <w:proofErr w:type="spellStart"/>
            <w:r w:rsidRPr="00E16672">
              <w:rPr>
                <w:rFonts w:ascii="Times New Roman" w:hAnsi="Times New Roman"/>
                <w:sz w:val="16"/>
                <w:szCs w:val="16"/>
              </w:rPr>
              <w:t>несе</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вiдповiдальнiсть</w:t>
            </w:r>
            <w:proofErr w:type="spellEnd"/>
            <w:r w:rsidRPr="00E16672">
              <w:rPr>
                <w:rFonts w:ascii="Times New Roman" w:hAnsi="Times New Roman"/>
                <w:sz w:val="16"/>
                <w:szCs w:val="16"/>
              </w:rPr>
              <w:t xml:space="preserve"> за</w:t>
            </w:r>
            <w:r w:rsidRPr="00E16672">
              <w:rPr>
                <w:rFonts w:ascii="Times New Roman" w:hAnsi="Times New Roman"/>
                <w:sz w:val="16"/>
                <w:szCs w:val="16"/>
                <w:lang w:val="uk-UA"/>
              </w:rPr>
              <w:t>:</w:t>
            </w:r>
          </w:p>
          <w:p w14:paraId="7A9066AE" w14:textId="77777777" w:rsidR="00EB25FE" w:rsidRPr="00E16672" w:rsidRDefault="00EB25FE" w:rsidP="000D0438">
            <w:pPr>
              <w:numPr>
                <w:ilvl w:val="0"/>
                <w:numId w:val="15"/>
              </w:numPr>
              <w:ind w:left="175" w:right="138" w:firstLine="7"/>
              <w:rPr>
                <w:rFonts w:ascii="Times New Roman" w:hAnsi="Times New Roman"/>
                <w:sz w:val="16"/>
                <w:szCs w:val="16"/>
              </w:rPr>
            </w:pPr>
            <w:proofErr w:type="spellStart"/>
            <w:r w:rsidRPr="00E16672">
              <w:rPr>
                <w:rFonts w:ascii="Times New Roman" w:hAnsi="Times New Roman"/>
                <w:sz w:val="16"/>
                <w:szCs w:val="16"/>
              </w:rPr>
              <w:t>власні</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дії</w:t>
            </w:r>
            <w:proofErr w:type="spellEnd"/>
            <w:r w:rsidRPr="00E16672">
              <w:rPr>
                <w:rFonts w:ascii="Times New Roman" w:hAnsi="Times New Roman"/>
                <w:sz w:val="16"/>
                <w:szCs w:val="16"/>
              </w:rPr>
              <w:t xml:space="preserve">, за </w:t>
            </w:r>
            <w:proofErr w:type="spellStart"/>
            <w:r w:rsidRPr="00E16672">
              <w:rPr>
                <w:rFonts w:ascii="Times New Roman" w:hAnsi="Times New Roman"/>
                <w:sz w:val="16"/>
                <w:szCs w:val="16"/>
              </w:rPr>
              <w:t>всі</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дії</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його</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уповноважених</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осіб</w:t>
            </w:r>
            <w:proofErr w:type="spellEnd"/>
            <w:r w:rsidRPr="00E16672">
              <w:rPr>
                <w:rFonts w:ascii="Times New Roman" w:hAnsi="Times New Roman"/>
                <w:sz w:val="16"/>
                <w:szCs w:val="16"/>
              </w:rPr>
              <w:t xml:space="preserve"> та </w:t>
            </w:r>
            <w:proofErr w:type="spellStart"/>
            <w:r w:rsidRPr="00E16672">
              <w:rPr>
                <w:rFonts w:ascii="Times New Roman" w:hAnsi="Times New Roman"/>
                <w:sz w:val="16"/>
                <w:szCs w:val="16"/>
              </w:rPr>
              <w:t>розпорядників</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рахунків</w:t>
            </w:r>
            <w:proofErr w:type="spellEnd"/>
            <w:r w:rsidRPr="00E16672">
              <w:rPr>
                <w:rFonts w:ascii="Times New Roman" w:hAnsi="Times New Roman"/>
                <w:sz w:val="16"/>
                <w:szCs w:val="16"/>
              </w:rPr>
              <w:t xml:space="preserve">, а </w:t>
            </w:r>
            <w:proofErr w:type="spellStart"/>
            <w:r w:rsidRPr="00E16672">
              <w:rPr>
                <w:rFonts w:ascii="Times New Roman" w:hAnsi="Times New Roman"/>
                <w:sz w:val="16"/>
                <w:szCs w:val="16"/>
              </w:rPr>
              <w:t>також</w:t>
            </w:r>
            <w:proofErr w:type="spellEnd"/>
            <w:r w:rsidRPr="00E16672">
              <w:rPr>
                <w:rFonts w:ascii="Times New Roman" w:hAnsi="Times New Roman"/>
                <w:sz w:val="16"/>
                <w:szCs w:val="16"/>
              </w:rPr>
              <w:t xml:space="preserve"> за </w:t>
            </w:r>
            <w:proofErr w:type="spellStart"/>
            <w:r w:rsidRPr="00E16672">
              <w:rPr>
                <w:rFonts w:ascii="Times New Roman" w:hAnsi="Times New Roman"/>
                <w:sz w:val="16"/>
                <w:szCs w:val="16"/>
              </w:rPr>
              <w:t>наслідки</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виданих</w:t>
            </w:r>
            <w:proofErr w:type="spellEnd"/>
            <w:r w:rsidRPr="00E16672">
              <w:rPr>
                <w:rFonts w:ascii="Times New Roman" w:hAnsi="Times New Roman"/>
                <w:sz w:val="16"/>
                <w:szCs w:val="16"/>
              </w:rPr>
              <w:t xml:space="preserve"> ним </w:t>
            </w:r>
            <w:proofErr w:type="spellStart"/>
            <w:r w:rsidRPr="00E16672">
              <w:rPr>
                <w:rFonts w:ascii="Times New Roman" w:hAnsi="Times New Roman"/>
                <w:sz w:val="16"/>
                <w:szCs w:val="16"/>
              </w:rPr>
              <w:t>розпоряджень</w:t>
            </w:r>
            <w:proofErr w:type="spellEnd"/>
            <w:r w:rsidRPr="00E16672">
              <w:rPr>
                <w:rFonts w:ascii="Times New Roman" w:hAnsi="Times New Roman"/>
                <w:sz w:val="16"/>
                <w:szCs w:val="16"/>
                <w:lang w:val="uk-UA"/>
              </w:rPr>
              <w:t>;</w:t>
            </w:r>
          </w:p>
          <w:p w14:paraId="10C02790" w14:textId="77777777" w:rsidR="00EB25FE" w:rsidRPr="00E16672" w:rsidRDefault="00EB25FE" w:rsidP="00794B3F">
            <w:pPr>
              <w:ind w:left="175" w:right="138" w:firstLine="7"/>
              <w:rPr>
                <w:rFonts w:ascii="Times New Roman" w:hAnsi="Times New Roman"/>
                <w:sz w:val="16"/>
                <w:szCs w:val="16"/>
              </w:rPr>
            </w:pPr>
          </w:p>
          <w:p w14:paraId="36BA66A7" w14:textId="77777777" w:rsidR="00EB25FE" w:rsidRPr="00E16672" w:rsidRDefault="00EB25FE" w:rsidP="000D0438">
            <w:pPr>
              <w:numPr>
                <w:ilvl w:val="0"/>
                <w:numId w:val="15"/>
              </w:numPr>
              <w:ind w:left="175" w:firstLine="7"/>
              <w:rPr>
                <w:rFonts w:ascii="Times New Roman" w:hAnsi="Times New Roman"/>
                <w:color w:val="000000"/>
                <w:sz w:val="16"/>
                <w:szCs w:val="16"/>
                <w:lang w:val="uk-UA"/>
              </w:rPr>
            </w:pPr>
            <w:r w:rsidRPr="00E16672">
              <w:rPr>
                <w:rFonts w:ascii="Times New Roman" w:hAnsi="Times New Roman"/>
                <w:color w:val="000000"/>
                <w:sz w:val="16"/>
                <w:szCs w:val="16"/>
                <w:lang w:val="uk-UA"/>
              </w:rPr>
              <w:t>повноту та достовірність інформації, що надається Депозитарній установі на виконання цього Договору, в тому числі її своєчасну актуалізацію.</w:t>
            </w:r>
          </w:p>
          <w:p w14:paraId="2800D602" w14:textId="77777777" w:rsidR="00EB25FE" w:rsidRPr="00E16672" w:rsidRDefault="00EB25FE" w:rsidP="00794B3F">
            <w:pPr>
              <w:ind w:left="175" w:right="138" w:firstLine="7"/>
              <w:rPr>
                <w:rFonts w:ascii="Times New Roman" w:hAnsi="Times New Roman"/>
                <w:sz w:val="16"/>
                <w:szCs w:val="16"/>
              </w:rPr>
            </w:pPr>
            <w:r w:rsidRPr="00E16672">
              <w:rPr>
                <w:rFonts w:ascii="Times New Roman" w:hAnsi="Times New Roman"/>
                <w:sz w:val="16"/>
                <w:szCs w:val="16"/>
              </w:rPr>
              <w:t xml:space="preserve"> </w:t>
            </w:r>
          </w:p>
        </w:tc>
        <w:tc>
          <w:tcPr>
            <w:tcW w:w="5495" w:type="dxa"/>
            <w:gridSpan w:val="8"/>
            <w:shd w:val="clear" w:color="auto" w:fill="auto"/>
          </w:tcPr>
          <w:p w14:paraId="431ECD30" w14:textId="77777777" w:rsidR="00EB25FE" w:rsidRPr="00E16672" w:rsidRDefault="00EB25FE" w:rsidP="00794B3F">
            <w:pPr>
              <w:tabs>
                <w:tab w:val="left" w:pos="574"/>
              </w:tabs>
              <w:autoSpaceDE w:val="0"/>
              <w:snapToGrid w:val="0"/>
              <w:ind w:left="175" w:right="138" w:firstLine="7"/>
              <w:rPr>
                <w:rFonts w:ascii="Times New Roman" w:hAnsi="Times New Roman"/>
                <w:sz w:val="16"/>
                <w:szCs w:val="16"/>
              </w:rPr>
            </w:pPr>
          </w:p>
          <w:p w14:paraId="0FB288B3" w14:textId="77777777" w:rsidR="00EB25FE" w:rsidRPr="00E16672" w:rsidRDefault="00EB25FE" w:rsidP="00794B3F">
            <w:pPr>
              <w:tabs>
                <w:tab w:val="left" w:pos="574"/>
              </w:tabs>
              <w:autoSpaceDE w:val="0"/>
              <w:ind w:left="175" w:right="138" w:firstLine="7"/>
              <w:rPr>
                <w:rFonts w:ascii="Times New Roman" w:hAnsi="Times New Roman"/>
                <w:sz w:val="16"/>
                <w:szCs w:val="16"/>
                <w:lang w:val="uk-UA"/>
              </w:rPr>
            </w:pPr>
            <w:r w:rsidRPr="00E16672">
              <w:rPr>
                <w:rFonts w:ascii="Times New Roman" w:hAnsi="Times New Roman"/>
                <w:sz w:val="16"/>
                <w:szCs w:val="16"/>
                <w:lang w:val="en-GB"/>
              </w:rPr>
              <w:t xml:space="preserve">5.8. </w:t>
            </w:r>
            <w:r w:rsidR="00C46E4D" w:rsidRPr="00E16672">
              <w:rPr>
                <w:rFonts w:ascii="Times New Roman" w:hAnsi="Times New Roman"/>
                <w:sz w:val="16"/>
                <w:szCs w:val="16"/>
                <w:lang w:val="en-US"/>
              </w:rPr>
              <w:t>Nominee holder</w:t>
            </w:r>
            <w:r w:rsidR="00C46E4D" w:rsidRPr="00E16672">
              <w:rPr>
                <w:rFonts w:ascii="Times New Roman" w:hAnsi="Times New Roman"/>
                <w:sz w:val="16"/>
                <w:szCs w:val="16"/>
                <w:lang w:val="en-GB"/>
              </w:rPr>
              <w:t xml:space="preserve"> </w:t>
            </w:r>
            <w:r w:rsidRPr="00E16672">
              <w:rPr>
                <w:rFonts w:ascii="Times New Roman" w:hAnsi="Times New Roman"/>
                <w:sz w:val="16"/>
                <w:szCs w:val="16"/>
                <w:lang w:val="en-GB"/>
              </w:rPr>
              <w:t>is responsible for</w:t>
            </w:r>
            <w:r w:rsidRPr="00E16672">
              <w:rPr>
                <w:rFonts w:ascii="Times New Roman" w:hAnsi="Times New Roman"/>
                <w:sz w:val="16"/>
                <w:szCs w:val="16"/>
                <w:lang w:val="uk-UA"/>
              </w:rPr>
              <w:t>:</w:t>
            </w:r>
          </w:p>
          <w:p w14:paraId="4F3301D5" w14:textId="77777777" w:rsidR="00EB25FE" w:rsidRPr="00E16672" w:rsidRDefault="00EB25FE" w:rsidP="000D0438">
            <w:pPr>
              <w:numPr>
                <w:ilvl w:val="0"/>
                <w:numId w:val="16"/>
              </w:numPr>
              <w:tabs>
                <w:tab w:val="left" w:pos="574"/>
              </w:tabs>
              <w:autoSpaceDE w:val="0"/>
              <w:ind w:left="175" w:right="138" w:firstLine="7"/>
              <w:rPr>
                <w:rFonts w:ascii="Times New Roman" w:hAnsi="Times New Roman"/>
                <w:sz w:val="16"/>
                <w:szCs w:val="16"/>
                <w:lang w:val="en-US"/>
              </w:rPr>
            </w:pPr>
            <w:r w:rsidRPr="00E16672">
              <w:rPr>
                <w:rFonts w:ascii="Times New Roman" w:hAnsi="Times New Roman"/>
                <w:sz w:val="16"/>
                <w:szCs w:val="16"/>
                <w:lang w:val="en-GB"/>
              </w:rPr>
              <w:t>all of his own activities, all of the activities of his authorized persons and managers of the account and consequences of the orders they gave</w:t>
            </w:r>
            <w:r w:rsidRPr="00E16672">
              <w:rPr>
                <w:rFonts w:ascii="Times New Roman" w:hAnsi="Times New Roman"/>
                <w:sz w:val="16"/>
                <w:szCs w:val="16"/>
                <w:lang w:val="uk-UA"/>
              </w:rPr>
              <w:t>;</w:t>
            </w:r>
          </w:p>
          <w:p w14:paraId="72DA3B2B" w14:textId="77777777" w:rsidR="00EB25FE" w:rsidRPr="00E16672" w:rsidRDefault="00EB25FE" w:rsidP="000D0438">
            <w:pPr>
              <w:numPr>
                <w:ilvl w:val="0"/>
                <w:numId w:val="16"/>
              </w:numPr>
              <w:tabs>
                <w:tab w:val="left" w:pos="574"/>
              </w:tabs>
              <w:autoSpaceDE w:val="0"/>
              <w:ind w:left="175" w:right="138" w:firstLine="7"/>
              <w:rPr>
                <w:rFonts w:ascii="Times New Roman" w:hAnsi="Times New Roman"/>
                <w:sz w:val="16"/>
                <w:szCs w:val="16"/>
                <w:lang w:val="en-US"/>
              </w:rPr>
            </w:pPr>
            <w:r w:rsidRPr="00A26EFC">
              <w:rPr>
                <w:rFonts w:ascii="Times New Roman" w:hAnsi="Times New Roman"/>
                <w:sz w:val="16"/>
                <w:szCs w:val="16"/>
                <w:lang w:val="en-US"/>
              </w:rPr>
              <w:t>completeness and authenticity of the information provided to the depositary institution for the implementation of this Agreement, including its timely updating.</w:t>
            </w:r>
          </w:p>
        </w:tc>
      </w:tr>
      <w:tr w:rsidR="00EB25FE" w:rsidRPr="00A26EFC" w14:paraId="75FE28A5" w14:textId="77777777" w:rsidTr="005E418B">
        <w:tblPrEx>
          <w:tblCellMar>
            <w:left w:w="0" w:type="dxa"/>
            <w:right w:w="0" w:type="dxa"/>
          </w:tblCellMar>
        </w:tblPrEx>
        <w:trPr>
          <w:trHeight w:val="192"/>
        </w:trPr>
        <w:tc>
          <w:tcPr>
            <w:tcW w:w="5695" w:type="dxa"/>
            <w:gridSpan w:val="7"/>
            <w:shd w:val="clear" w:color="auto" w:fill="auto"/>
          </w:tcPr>
          <w:p w14:paraId="1FBC8083" w14:textId="77777777" w:rsidR="00EB25FE" w:rsidRPr="00E16672" w:rsidRDefault="00EB25FE" w:rsidP="00794B3F">
            <w:pPr>
              <w:snapToGrid w:val="0"/>
              <w:ind w:left="175" w:right="138" w:firstLine="7"/>
              <w:rPr>
                <w:rFonts w:ascii="Times New Roman" w:hAnsi="Times New Roman"/>
                <w:color w:val="000000"/>
                <w:sz w:val="16"/>
                <w:szCs w:val="16"/>
              </w:rPr>
            </w:pPr>
            <w:r w:rsidRPr="00E16672">
              <w:rPr>
                <w:rFonts w:ascii="Times New Roman" w:hAnsi="Times New Roman"/>
                <w:color w:val="000000"/>
                <w:sz w:val="16"/>
                <w:szCs w:val="16"/>
              </w:rPr>
              <w:t xml:space="preserve">5.9. </w:t>
            </w:r>
            <w:r w:rsidRPr="00E16672">
              <w:rPr>
                <w:rFonts w:ascii="Times New Roman" w:hAnsi="Times New Roman"/>
                <w:color w:val="000000"/>
                <w:sz w:val="16"/>
                <w:szCs w:val="16"/>
                <w:lang w:val="uk-UA"/>
              </w:rPr>
              <w:t xml:space="preserve">Депозитарна установа має право за порушення термінів оплати нарахувати та стягнути з іншої Сторони пеню у розмірі </w:t>
            </w:r>
            <w:r w:rsidRPr="00E16672">
              <w:rPr>
                <w:rFonts w:ascii="Times New Roman" w:hAnsi="Times New Roman"/>
                <w:i/>
                <w:iCs/>
                <w:color w:val="000000"/>
                <w:sz w:val="16"/>
                <w:szCs w:val="16"/>
                <w:lang w:val="uk-UA"/>
              </w:rPr>
              <w:t>подвійної облікової ставки</w:t>
            </w:r>
            <w:r w:rsidRPr="00E16672">
              <w:rPr>
                <w:rFonts w:ascii="Times New Roman" w:hAnsi="Times New Roman"/>
                <w:color w:val="000000"/>
                <w:sz w:val="16"/>
                <w:szCs w:val="16"/>
                <w:lang w:val="uk-UA"/>
              </w:rPr>
              <w:t xml:space="preserve"> Національного банку України, що діяла у період прострочення,</w:t>
            </w:r>
            <w:r w:rsidRPr="00E16672">
              <w:rPr>
                <w:rFonts w:ascii="Times New Roman" w:hAnsi="Times New Roman"/>
                <w:color w:val="000000"/>
                <w:sz w:val="16"/>
                <w:szCs w:val="16"/>
                <w:lang w:eastAsia="hi-IN" w:bidi="hi-IN"/>
              </w:rPr>
              <w:t xml:space="preserve"> </w:t>
            </w:r>
            <w:proofErr w:type="spellStart"/>
            <w:r w:rsidRPr="00E16672">
              <w:rPr>
                <w:rFonts w:ascii="Times New Roman" w:hAnsi="Times New Roman"/>
                <w:color w:val="000000"/>
                <w:sz w:val="16"/>
                <w:szCs w:val="16"/>
                <w:lang w:eastAsia="hi-IN" w:bidi="hi-IN"/>
              </w:rPr>
              <w:t>від</w:t>
            </w:r>
            <w:proofErr w:type="spellEnd"/>
            <w:r w:rsidRPr="00E16672">
              <w:rPr>
                <w:rFonts w:ascii="Times New Roman" w:hAnsi="Times New Roman"/>
                <w:color w:val="000000"/>
                <w:sz w:val="16"/>
                <w:szCs w:val="16"/>
                <w:lang w:eastAsia="hi-IN" w:bidi="hi-IN"/>
              </w:rPr>
              <w:t xml:space="preserve"> </w:t>
            </w:r>
            <w:proofErr w:type="spellStart"/>
            <w:r w:rsidRPr="00E16672">
              <w:rPr>
                <w:rFonts w:ascii="Times New Roman" w:hAnsi="Times New Roman"/>
                <w:color w:val="000000"/>
                <w:sz w:val="16"/>
                <w:szCs w:val="16"/>
                <w:lang w:eastAsia="hi-IN" w:bidi="hi-IN"/>
              </w:rPr>
              <w:t>суми</w:t>
            </w:r>
            <w:proofErr w:type="spellEnd"/>
            <w:r w:rsidRPr="00E16672">
              <w:rPr>
                <w:rFonts w:ascii="Times New Roman" w:hAnsi="Times New Roman"/>
                <w:color w:val="000000"/>
                <w:sz w:val="16"/>
                <w:szCs w:val="16"/>
                <w:lang w:eastAsia="hi-IN" w:bidi="hi-IN"/>
              </w:rPr>
              <w:t xml:space="preserve"> </w:t>
            </w:r>
            <w:proofErr w:type="spellStart"/>
            <w:r w:rsidRPr="00E16672">
              <w:rPr>
                <w:rFonts w:ascii="Times New Roman" w:hAnsi="Times New Roman"/>
                <w:color w:val="000000"/>
                <w:sz w:val="16"/>
                <w:szCs w:val="16"/>
                <w:lang w:eastAsia="hi-IN" w:bidi="hi-IN"/>
              </w:rPr>
              <w:t>простроченого</w:t>
            </w:r>
            <w:proofErr w:type="spellEnd"/>
            <w:r w:rsidRPr="00E16672">
              <w:rPr>
                <w:rFonts w:ascii="Times New Roman" w:hAnsi="Times New Roman"/>
                <w:color w:val="000000"/>
                <w:sz w:val="16"/>
                <w:szCs w:val="16"/>
                <w:lang w:eastAsia="hi-IN" w:bidi="hi-IN"/>
              </w:rPr>
              <w:t xml:space="preserve"> платежу за </w:t>
            </w:r>
            <w:proofErr w:type="spellStart"/>
            <w:r w:rsidRPr="00E16672">
              <w:rPr>
                <w:rFonts w:ascii="Times New Roman" w:hAnsi="Times New Roman"/>
                <w:color w:val="000000"/>
                <w:sz w:val="16"/>
                <w:szCs w:val="16"/>
                <w:lang w:eastAsia="hi-IN" w:bidi="hi-IN"/>
              </w:rPr>
              <w:t>кожен</w:t>
            </w:r>
            <w:proofErr w:type="spellEnd"/>
            <w:r w:rsidRPr="00E16672">
              <w:rPr>
                <w:rFonts w:ascii="Times New Roman" w:hAnsi="Times New Roman"/>
                <w:color w:val="000000"/>
                <w:sz w:val="16"/>
                <w:szCs w:val="16"/>
                <w:lang w:eastAsia="hi-IN" w:bidi="hi-IN"/>
              </w:rPr>
              <w:t xml:space="preserve"> день </w:t>
            </w:r>
            <w:proofErr w:type="spellStart"/>
            <w:r w:rsidRPr="00E16672">
              <w:rPr>
                <w:rFonts w:ascii="Times New Roman" w:hAnsi="Times New Roman"/>
                <w:color w:val="000000"/>
                <w:sz w:val="16"/>
                <w:szCs w:val="16"/>
                <w:lang w:eastAsia="hi-IN" w:bidi="hi-IN"/>
              </w:rPr>
              <w:t>прострочення</w:t>
            </w:r>
            <w:proofErr w:type="spellEnd"/>
            <w:r w:rsidRPr="00E16672">
              <w:rPr>
                <w:rFonts w:ascii="Times New Roman" w:hAnsi="Times New Roman"/>
                <w:color w:val="000000"/>
                <w:sz w:val="16"/>
                <w:szCs w:val="16"/>
                <w:lang w:val="uk-UA"/>
              </w:rPr>
              <w:t xml:space="preserve">. </w:t>
            </w:r>
          </w:p>
          <w:p w14:paraId="1D9ADA17" w14:textId="77777777" w:rsidR="00EB25FE" w:rsidRPr="00E16672" w:rsidRDefault="00EB25FE" w:rsidP="00794B3F">
            <w:pPr>
              <w:ind w:left="175" w:right="138" w:firstLine="7"/>
              <w:rPr>
                <w:rFonts w:ascii="Times New Roman" w:hAnsi="Times New Roman"/>
                <w:color w:val="000000"/>
                <w:sz w:val="16"/>
                <w:szCs w:val="16"/>
              </w:rPr>
            </w:pPr>
          </w:p>
          <w:p w14:paraId="58AD562E" w14:textId="77777777" w:rsidR="00EB25FE" w:rsidRPr="00E16672" w:rsidRDefault="00EB25FE" w:rsidP="00794B3F">
            <w:pPr>
              <w:ind w:left="175" w:right="138" w:firstLine="7"/>
              <w:rPr>
                <w:rFonts w:ascii="Times New Roman" w:hAnsi="Times New Roman"/>
                <w:color w:val="000000"/>
                <w:sz w:val="16"/>
                <w:szCs w:val="16"/>
              </w:rPr>
            </w:pPr>
            <w:r w:rsidRPr="00E16672">
              <w:rPr>
                <w:rFonts w:ascii="Times New Roman" w:hAnsi="Times New Roman"/>
                <w:color w:val="000000"/>
                <w:sz w:val="16"/>
                <w:szCs w:val="16"/>
              </w:rPr>
              <w:t xml:space="preserve">5.9.1. Формула, за </w:t>
            </w:r>
            <w:proofErr w:type="spellStart"/>
            <w:r w:rsidRPr="00E16672">
              <w:rPr>
                <w:rFonts w:ascii="Times New Roman" w:hAnsi="Times New Roman"/>
                <w:color w:val="000000"/>
                <w:sz w:val="16"/>
                <w:szCs w:val="16"/>
              </w:rPr>
              <w:t>якою</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розраховується</w:t>
            </w:r>
            <w:proofErr w:type="spellEnd"/>
            <w:r w:rsidRPr="00E16672">
              <w:rPr>
                <w:rFonts w:ascii="Times New Roman" w:hAnsi="Times New Roman"/>
                <w:color w:val="000000"/>
                <w:sz w:val="16"/>
                <w:szCs w:val="16"/>
              </w:rPr>
              <w:t xml:space="preserve"> пеня: </w:t>
            </w:r>
          </w:p>
          <w:p w14:paraId="0CD01AE6" w14:textId="77777777" w:rsidR="00EB25FE" w:rsidRPr="00E16672" w:rsidRDefault="00EB25FE" w:rsidP="00794B3F">
            <w:pPr>
              <w:ind w:left="175" w:right="138" w:firstLine="7"/>
              <w:rPr>
                <w:rFonts w:ascii="Times New Roman" w:hAnsi="Times New Roman"/>
                <w:color w:val="000000"/>
                <w:sz w:val="16"/>
                <w:szCs w:val="16"/>
              </w:rPr>
            </w:pPr>
          </w:p>
        </w:tc>
        <w:tc>
          <w:tcPr>
            <w:tcW w:w="5495" w:type="dxa"/>
            <w:gridSpan w:val="8"/>
            <w:shd w:val="clear" w:color="auto" w:fill="auto"/>
          </w:tcPr>
          <w:p w14:paraId="26A4AA85" w14:textId="77777777" w:rsidR="00EB25FE" w:rsidRPr="00E16672" w:rsidRDefault="00EB25FE" w:rsidP="00794B3F">
            <w:pPr>
              <w:snapToGrid w:val="0"/>
              <w:ind w:left="175" w:right="138" w:firstLine="7"/>
              <w:rPr>
                <w:rFonts w:ascii="Times New Roman" w:hAnsi="Times New Roman"/>
                <w:color w:val="000000"/>
                <w:sz w:val="16"/>
                <w:szCs w:val="16"/>
                <w:lang w:val="en-US"/>
              </w:rPr>
            </w:pPr>
            <w:r w:rsidRPr="00E16672">
              <w:rPr>
                <w:rFonts w:ascii="Times New Roman" w:hAnsi="Times New Roman"/>
                <w:color w:val="000000"/>
                <w:sz w:val="16"/>
                <w:szCs w:val="16"/>
                <w:lang w:val="en-GB"/>
              </w:rPr>
              <w:t xml:space="preserve">5.9. Depository institution has the right to charge a violation of the terms of payment and collect from other Party a fine in size of </w:t>
            </w:r>
            <w:r w:rsidRPr="00E16672">
              <w:rPr>
                <w:rFonts w:ascii="Times New Roman" w:hAnsi="Times New Roman"/>
                <w:i/>
                <w:color w:val="000000"/>
                <w:sz w:val="16"/>
                <w:szCs w:val="16"/>
                <w:lang w:val="en-GB"/>
              </w:rPr>
              <w:t>double registration rate</w:t>
            </w:r>
            <w:r w:rsidRPr="00E16672">
              <w:rPr>
                <w:rFonts w:ascii="Times New Roman" w:hAnsi="Times New Roman"/>
                <w:color w:val="000000"/>
                <w:sz w:val="16"/>
                <w:szCs w:val="16"/>
                <w:lang w:val="en-GB"/>
              </w:rPr>
              <w:t xml:space="preserve"> of the National bank of Ukraine which operated in a </w:t>
            </w:r>
            <w:r w:rsidRPr="00A26EFC">
              <w:rPr>
                <w:rStyle w:val="shorttext"/>
                <w:rFonts w:ascii="Times New Roman" w:hAnsi="Times New Roman"/>
                <w:sz w:val="16"/>
                <w:szCs w:val="16"/>
                <w:lang w:val="en-US"/>
              </w:rPr>
              <w:t>delay</w:t>
            </w:r>
            <w:r w:rsidRPr="00A26EFC">
              <w:rPr>
                <w:rStyle w:val="shorttext"/>
                <w:rFonts w:ascii="Times New Roman" w:hAnsi="Times New Roman"/>
                <w:lang w:val="en-US"/>
              </w:rPr>
              <w:t xml:space="preserve"> </w:t>
            </w:r>
            <w:proofErr w:type="gramStart"/>
            <w:r w:rsidRPr="00E16672">
              <w:rPr>
                <w:rFonts w:ascii="Times New Roman" w:hAnsi="Times New Roman"/>
                <w:color w:val="000000"/>
                <w:sz w:val="16"/>
                <w:szCs w:val="16"/>
                <w:lang w:val="en-GB"/>
              </w:rPr>
              <w:t>period ,</w:t>
            </w:r>
            <w:proofErr w:type="gramEnd"/>
            <w:r w:rsidRPr="00E16672">
              <w:rPr>
                <w:rFonts w:ascii="Times New Roman" w:hAnsi="Times New Roman"/>
                <w:color w:val="000000"/>
                <w:sz w:val="16"/>
                <w:szCs w:val="16"/>
                <w:lang w:val="en-GB"/>
              </w:rPr>
              <w:t xml:space="preserve"> of the amount of overdue payment for each day of delay</w:t>
            </w:r>
            <w:r w:rsidRPr="00E16672">
              <w:rPr>
                <w:rFonts w:ascii="Times New Roman" w:hAnsi="Times New Roman"/>
                <w:color w:val="000000"/>
                <w:sz w:val="16"/>
                <w:szCs w:val="16"/>
                <w:lang w:val="en-US"/>
              </w:rPr>
              <w:t>.</w:t>
            </w:r>
          </w:p>
          <w:p w14:paraId="162E764D" w14:textId="77777777" w:rsidR="00EB25FE" w:rsidRPr="00E16672" w:rsidRDefault="00EB25FE" w:rsidP="00794B3F">
            <w:pPr>
              <w:snapToGrid w:val="0"/>
              <w:ind w:left="175" w:right="138" w:firstLine="7"/>
              <w:rPr>
                <w:rFonts w:ascii="Times New Roman" w:hAnsi="Times New Roman"/>
                <w:color w:val="000000"/>
                <w:sz w:val="16"/>
                <w:szCs w:val="16"/>
                <w:lang w:val="en-US"/>
              </w:rPr>
            </w:pPr>
          </w:p>
          <w:p w14:paraId="0F7D347A" w14:textId="77777777" w:rsidR="00EB25FE" w:rsidRPr="00E16672" w:rsidRDefault="00EB25FE" w:rsidP="00794B3F">
            <w:pPr>
              <w:snapToGrid w:val="0"/>
              <w:ind w:left="175" w:right="138" w:firstLine="7"/>
              <w:rPr>
                <w:rFonts w:ascii="Times New Roman" w:hAnsi="Times New Roman"/>
                <w:color w:val="000000"/>
                <w:sz w:val="16"/>
                <w:szCs w:val="16"/>
                <w:lang w:val="en-GB"/>
              </w:rPr>
            </w:pPr>
          </w:p>
          <w:p w14:paraId="5152F141" w14:textId="77777777" w:rsidR="00EB25FE" w:rsidRPr="00E16672" w:rsidRDefault="00EB25FE" w:rsidP="00794B3F">
            <w:pPr>
              <w:snapToGrid w:val="0"/>
              <w:ind w:left="175" w:right="138" w:firstLine="7"/>
              <w:rPr>
                <w:rFonts w:ascii="Times New Roman" w:hAnsi="Times New Roman"/>
                <w:color w:val="000000"/>
                <w:sz w:val="16"/>
                <w:szCs w:val="16"/>
                <w:lang w:val="en-GB"/>
              </w:rPr>
            </w:pPr>
            <w:r w:rsidRPr="00E16672">
              <w:rPr>
                <w:rFonts w:ascii="Times New Roman" w:hAnsi="Times New Roman"/>
                <w:color w:val="000000"/>
                <w:sz w:val="16"/>
                <w:szCs w:val="16"/>
                <w:lang w:val="en-GB"/>
              </w:rPr>
              <w:t xml:space="preserve">5.9.1. Formula, which a </w:t>
            </w:r>
            <w:proofErr w:type="gramStart"/>
            <w:r w:rsidRPr="00E16672">
              <w:rPr>
                <w:rFonts w:ascii="Times New Roman" w:hAnsi="Times New Roman"/>
                <w:color w:val="000000"/>
                <w:sz w:val="16"/>
                <w:szCs w:val="16"/>
                <w:lang w:val="en-GB"/>
              </w:rPr>
              <w:t>fine settles accounts</w:t>
            </w:r>
            <w:proofErr w:type="gramEnd"/>
            <w:r w:rsidRPr="00E16672">
              <w:rPr>
                <w:rFonts w:ascii="Times New Roman" w:hAnsi="Times New Roman"/>
                <w:color w:val="000000"/>
                <w:sz w:val="16"/>
                <w:szCs w:val="16"/>
                <w:lang w:val="en-GB"/>
              </w:rPr>
              <w:t xml:space="preserve"> after:</w:t>
            </w:r>
          </w:p>
        </w:tc>
      </w:tr>
      <w:tr w:rsidR="00EB25FE" w:rsidRPr="00A26EFC" w14:paraId="13C4D801" w14:textId="77777777" w:rsidTr="005E418B">
        <w:tblPrEx>
          <w:tblCellMar>
            <w:left w:w="0" w:type="dxa"/>
            <w:right w:w="0" w:type="dxa"/>
          </w:tblCellMar>
        </w:tblPrEx>
        <w:trPr>
          <w:trHeight w:val="192"/>
        </w:trPr>
        <w:tc>
          <w:tcPr>
            <w:tcW w:w="5695" w:type="dxa"/>
            <w:gridSpan w:val="7"/>
            <w:shd w:val="clear" w:color="auto" w:fill="auto"/>
          </w:tcPr>
          <w:p w14:paraId="326A4092" w14:textId="77777777" w:rsidR="00EB25FE" w:rsidRPr="00E16672" w:rsidRDefault="00EB25FE" w:rsidP="00794B3F">
            <w:pPr>
              <w:snapToGrid w:val="0"/>
              <w:ind w:left="175" w:right="138" w:firstLine="7"/>
              <w:rPr>
                <w:rFonts w:ascii="Times New Roman" w:hAnsi="Times New Roman"/>
                <w:sz w:val="16"/>
                <w:szCs w:val="16"/>
              </w:rPr>
            </w:pPr>
            <w:r w:rsidRPr="00E16672">
              <w:rPr>
                <w:rFonts w:ascii="Times New Roman" w:hAnsi="Times New Roman"/>
                <w:sz w:val="16"/>
                <w:szCs w:val="16"/>
              </w:rPr>
              <w:t>П=</w:t>
            </w:r>
            <w:proofErr w:type="spellStart"/>
            <w:r w:rsidRPr="00E16672">
              <w:rPr>
                <w:rFonts w:ascii="Times New Roman" w:hAnsi="Times New Roman"/>
                <w:sz w:val="16"/>
                <w:szCs w:val="16"/>
              </w:rPr>
              <w:t>Т</w:t>
            </w:r>
            <w:r w:rsidRPr="00E16672">
              <w:rPr>
                <w:rFonts w:ascii="Times New Roman" w:hAnsi="Times New Roman"/>
                <w:sz w:val="16"/>
                <w:szCs w:val="16"/>
                <w:vertAlign w:val="subscript"/>
              </w:rPr>
              <w:t>неоплачений</w:t>
            </w:r>
            <w:proofErr w:type="spellEnd"/>
            <w:r w:rsidRPr="00E16672">
              <w:rPr>
                <w:rFonts w:ascii="Times New Roman" w:hAnsi="Times New Roman"/>
                <w:sz w:val="16"/>
                <w:szCs w:val="16"/>
              </w:rPr>
              <w:t>*2НБУ/</w:t>
            </w:r>
            <w:proofErr w:type="spellStart"/>
            <w:r w:rsidRPr="00E16672">
              <w:rPr>
                <w:rFonts w:ascii="Times New Roman" w:hAnsi="Times New Roman"/>
                <w:sz w:val="16"/>
                <w:szCs w:val="16"/>
              </w:rPr>
              <w:t>Д</w:t>
            </w:r>
            <w:r w:rsidRPr="00E16672">
              <w:rPr>
                <w:rFonts w:ascii="Times New Roman" w:hAnsi="Times New Roman"/>
                <w:sz w:val="16"/>
                <w:szCs w:val="16"/>
                <w:vertAlign w:val="subscript"/>
              </w:rPr>
              <w:t>рік</w:t>
            </w:r>
            <w:proofErr w:type="spellEnd"/>
            <w:r w:rsidRPr="00E16672">
              <w:rPr>
                <w:rFonts w:ascii="Times New Roman" w:hAnsi="Times New Roman"/>
                <w:sz w:val="16"/>
                <w:szCs w:val="16"/>
              </w:rPr>
              <w:t>*</w:t>
            </w:r>
            <w:proofErr w:type="spellStart"/>
            <w:r w:rsidRPr="00E16672">
              <w:rPr>
                <w:rFonts w:ascii="Times New Roman" w:hAnsi="Times New Roman"/>
                <w:sz w:val="16"/>
                <w:szCs w:val="16"/>
              </w:rPr>
              <w:t>Д</w:t>
            </w:r>
            <w:r w:rsidRPr="00E16672">
              <w:rPr>
                <w:rFonts w:ascii="Times New Roman" w:hAnsi="Times New Roman"/>
                <w:sz w:val="16"/>
                <w:szCs w:val="16"/>
                <w:vertAlign w:val="subscript"/>
              </w:rPr>
              <w:t>нарахування</w:t>
            </w:r>
            <w:proofErr w:type="spellEnd"/>
            <w:r w:rsidRPr="00E16672">
              <w:rPr>
                <w:rFonts w:ascii="Times New Roman" w:hAnsi="Times New Roman"/>
                <w:sz w:val="16"/>
                <w:szCs w:val="16"/>
              </w:rPr>
              <w:t xml:space="preserve">, </w:t>
            </w:r>
          </w:p>
          <w:p w14:paraId="313BF9FB" w14:textId="77777777" w:rsidR="00EB25FE" w:rsidRPr="00E16672" w:rsidRDefault="00EB25FE" w:rsidP="00794B3F">
            <w:pPr>
              <w:ind w:left="175" w:right="138" w:firstLine="7"/>
              <w:rPr>
                <w:rFonts w:ascii="Times New Roman" w:hAnsi="Times New Roman"/>
                <w:sz w:val="16"/>
                <w:szCs w:val="16"/>
              </w:rPr>
            </w:pPr>
            <w:r w:rsidRPr="00E16672">
              <w:rPr>
                <w:rFonts w:ascii="Times New Roman" w:hAnsi="Times New Roman"/>
                <w:sz w:val="16"/>
                <w:szCs w:val="16"/>
              </w:rPr>
              <w:t xml:space="preserve"> де:</w:t>
            </w:r>
          </w:p>
          <w:p w14:paraId="64F1DCF6" w14:textId="77777777" w:rsidR="00EB25FE" w:rsidRPr="00E16672" w:rsidRDefault="00EB25FE" w:rsidP="00794B3F">
            <w:pPr>
              <w:ind w:left="175" w:right="138" w:firstLine="7"/>
              <w:rPr>
                <w:rFonts w:ascii="Times New Roman" w:hAnsi="Times New Roman"/>
                <w:sz w:val="16"/>
                <w:szCs w:val="16"/>
              </w:rPr>
            </w:pPr>
            <w:r w:rsidRPr="00E16672">
              <w:rPr>
                <w:rFonts w:ascii="Times New Roman" w:hAnsi="Times New Roman"/>
                <w:sz w:val="16"/>
                <w:szCs w:val="16"/>
              </w:rPr>
              <w:t>П – пеня;</w:t>
            </w:r>
          </w:p>
          <w:p w14:paraId="2DB6ADD9" w14:textId="77777777" w:rsidR="00EB25FE" w:rsidRPr="00E16672" w:rsidRDefault="00EB25FE" w:rsidP="00794B3F">
            <w:pPr>
              <w:ind w:left="175" w:right="138" w:firstLine="7"/>
              <w:rPr>
                <w:rFonts w:ascii="Times New Roman" w:hAnsi="Times New Roman"/>
                <w:sz w:val="16"/>
                <w:szCs w:val="16"/>
              </w:rPr>
            </w:pPr>
            <w:proofErr w:type="spellStart"/>
            <w:r w:rsidRPr="00E16672">
              <w:rPr>
                <w:rFonts w:ascii="Times New Roman" w:hAnsi="Times New Roman"/>
                <w:sz w:val="16"/>
                <w:szCs w:val="16"/>
              </w:rPr>
              <w:t>Т</w:t>
            </w:r>
            <w:r w:rsidRPr="00E16672">
              <w:rPr>
                <w:rFonts w:ascii="Times New Roman" w:hAnsi="Times New Roman"/>
                <w:sz w:val="16"/>
                <w:szCs w:val="16"/>
                <w:vertAlign w:val="subscript"/>
              </w:rPr>
              <w:t>неоплачений</w:t>
            </w:r>
            <w:proofErr w:type="spellEnd"/>
            <w:r w:rsidRPr="00E16672">
              <w:rPr>
                <w:rFonts w:ascii="Times New Roman" w:hAnsi="Times New Roman"/>
                <w:sz w:val="16"/>
                <w:szCs w:val="16"/>
              </w:rPr>
              <w:t xml:space="preserve"> – </w:t>
            </w:r>
            <w:proofErr w:type="spellStart"/>
            <w:r w:rsidRPr="00E16672">
              <w:rPr>
                <w:rFonts w:ascii="Times New Roman" w:hAnsi="Times New Roman"/>
                <w:sz w:val="16"/>
                <w:szCs w:val="16"/>
              </w:rPr>
              <w:t>вартість</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неоплаченої</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послуги</w:t>
            </w:r>
            <w:proofErr w:type="spellEnd"/>
            <w:r w:rsidRPr="00E16672">
              <w:rPr>
                <w:rFonts w:ascii="Times New Roman" w:hAnsi="Times New Roman"/>
                <w:sz w:val="16"/>
                <w:szCs w:val="16"/>
                <w:lang w:val="uk-UA"/>
              </w:rPr>
              <w:t xml:space="preserve"> (неоплачених послуг)</w:t>
            </w:r>
            <w:r w:rsidRPr="00E16672">
              <w:rPr>
                <w:rFonts w:ascii="Times New Roman" w:hAnsi="Times New Roman"/>
                <w:sz w:val="16"/>
                <w:szCs w:val="16"/>
              </w:rPr>
              <w:t>;</w:t>
            </w:r>
          </w:p>
          <w:p w14:paraId="54382790" w14:textId="77777777" w:rsidR="00EB25FE" w:rsidRPr="00E16672" w:rsidRDefault="00EB25FE" w:rsidP="00794B3F">
            <w:pPr>
              <w:ind w:left="175" w:right="138" w:firstLine="7"/>
              <w:rPr>
                <w:rFonts w:ascii="Times New Roman" w:hAnsi="Times New Roman"/>
                <w:sz w:val="16"/>
                <w:szCs w:val="16"/>
              </w:rPr>
            </w:pPr>
            <w:r w:rsidRPr="00E16672">
              <w:rPr>
                <w:rFonts w:ascii="Times New Roman" w:hAnsi="Times New Roman"/>
                <w:sz w:val="16"/>
                <w:szCs w:val="16"/>
              </w:rPr>
              <w:lastRenderedPageBreak/>
              <w:t xml:space="preserve">2НБУ – </w:t>
            </w:r>
            <w:proofErr w:type="spellStart"/>
            <w:r w:rsidRPr="00E16672">
              <w:rPr>
                <w:rFonts w:ascii="Times New Roman" w:hAnsi="Times New Roman"/>
                <w:sz w:val="16"/>
                <w:szCs w:val="16"/>
              </w:rPr>
              <w:t>подвійна</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облікова</w:t>
            </w:r>
            <w:proofErr w:type="spellEnd"/>
            <w:r w:rsidRPr="00E16672">
              <w:rPr>
                <w:rFonts w:ascii="Times New Roman" w:hAnsi="Times New Roman"/>
                <w:sz w:val="16"/>
                <w:szCs w:val="16"/>
              </w:rPr>
              <w:t xml:space="preserve"> ставка </w:t>
            </w:r>
            <w:proofErr w:type="spellStart"/>
            <w:r w:rsidRPr="00E16672">
              <w:rPr>
                <w:rFonts w:ascii="Times New Roman" w:hAnsi="Times New Roman"/>
                <w:sz w:val="16"/>
                <w:szCs w:val="16"/>
              </w:rPr>
              <w:t>Національного</w:t>
            </w:r>
            <w:proofErr w:type="spellEnd"/>
            <w:r w:rsidRPr="00E16672">
              <w:rPr>
                <w:rFonts w:ascii="Times New Roman" w:hAnsi="Times New Roman"/>
                <w:sz w:val="16"/>
                <w:szCs w:val="16"/>
              </w:rPr>
              <w:t xml:space="preserve"> Банку </w:t>
            </w:r>
            <w:proofErr w:type="spellStart"/>
            <w:r w:rsidRPr="00E16672">
              <w:rPr>
                <w:rFonts w:ascii="Times New Roman" w:hAnsi="Times New Roman"/>
                <w:sz w:val="16"/>
                <w:szCs w:val="16"/>
              </w:rPr>
              <w:t>України</w:t>
            </w:r>
            <w:proofErr w:type="spellEnd"/>
            <w:r w:rsidRPr="00E16672">
              <w:rPr>
                <w:rFonts w:ascii="Times New Roman" w:hAnsi="Times New Roman"/>
                <w:sz w:val="16"/>
                <w:szCs w:val="16"/>
              </w:rPr>
              <w:t>;</w:t>
            </w:r>
          </w:p>
          <w:p w14:paraId="09528EF7" w14:textId="77777777" w:rsidR="00EB25FE" w:rsidRPr="00E16672" w:rsidRDefault="00EB25FE" w:rsidP="00794B3F">
            <w:pPr>
              <w:ind w:left="175" w:right="138" w:firstLine="7"/>
              <w:rPr>
                <w:rFonts w:ascii="Times New Roman" w:hAnsi="Times New Roman"/>
                <w:sz w:val="16"/>
                <w:szCs w:val="16"/>
              </w:rPr>
            </w:pPr>
            <w:proofErr w:type="spellStart"/>
            <w:r w:rsidRPr="00E16672">
              <w:rPr>
                <w:rFonts w:ascii="Times New Roman" w:hAnsi="Times New Roman"/>
                <w:sz w:val="16"/>
                <w:szCs w:val="16"/>
              </w:rPr>
              <w:t>Д</w:t>
            </w:r>
            <w:r w:rsidRPr="00E16672">
              <w:rPr>
                <w:rFonts w:ascii="Times New Roman" w:hAnsi="Times New Roman"/>
                <w:sz w:val="16"/>
                <w:szCs w:val="16"/>
                <w:vertAlign w:val="subscript"/>
              </w:rPr>
              <w:t>рік</w:t>
            </w:r>
            <w:proofErr w:type="spellEnd"/>
            <w:r w:rsidRPr="00E16672">
              <w:rPr>
                <w:rFonts w:ascii="Times New Roman" w:hAnsi="Times New Roman"/>
                <w:sz w:val="16"/>
                <w:szCs w:val="16"/>
              </w:rPr>
              <w:t xml:space="preserve"> – </w:t>
            </w:r>
            <w:proofErr w:type="spellStart"/>
            <w:r w:rsidRPr="00E16672">
              <w:rPr>
                <w:rFonts w:ascii="Times New Roman" w:hAnsi="Times New Roman"/>
                <w:sz w:val="16"/>
                <w:szCs w:val="16"/>
              </w:rPr>
              <w:t>кількість</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днів</w:t>
            </w:r>
            <w:proofErr w:type="spellEnd"/>
            <w:r w:rsidRPr="00E16672">
              <w:rPr>
                <w:rFonts w:ascii="Times New Roman" w:hAnsi="Times New Roman"/>
                <w:sz w:val="16"/>
                <w:szCs w:val="16"/>
              </w:rPr>
              <w:t xml:space="preserve"> у </w:t>
            </w:r>
            <w:proofErr w:type="spellStart"/>
            <w:r w:rsidRPr="00E16672">
              <w:rPr>
                <w:rFonts w:ascii="Times New Roman" w:hAnsi="Times New Roman"/>
                <w:sz w:val="16"/>
                <w:szCs w:val="16"/>
              </w:rPr>
              <w:t>році</w:t>
            </w:r>
            <w:proofErr w:type="spellEnd"/>
            <w:r w:rsidRPr="00E16672">
              <w:rPr>
                <w:rFonts w:ascii="Times New Roman" w:hAnsi="Times New Roman"/>
                <w:sz w:val="16"/>
                <w:szCs w:val="16"/>
              </w:rPr>
              <w:t>;</w:t>
            </w:r>
          </w:p>
          <w:p w14:paraId="3F43506E" w14:textId="77777777" w:rsidR="00EB25FE" w:rsidRPr="00E16672" w:rsidRDefault="00EB25FE" w:rsidP="00794B3F">
            <w:pPr>
              <w:ind w:left="175" w:right="138" w:firstLine="7"/>
              <w:rPr>
                <w:rFonts w:ascii="Times New Roman" w:hAnsi="Times New Roman"/>
                <w:sz w:val="16"/>
                <w:szCs w:val="16"/>
                <w:lang w:val="uk-UA"/>
              </w:rPr>
            </w:pPr>
            <w:proofErr w:type="spellStart"/>
            <w:r w:rsidRPr="00E16672">
              <w:rPr>
                <w:rFonts w:ascii="Times New Roman" w:hAnsi="Times New Roman"/>
                <w:sz w:val="16"/>
                <w:szCs w:val="16"/>
              </w:rPr>
              <w:t>Д</w:t>
            </w:r>
            <w:r w:rsidRPr="00E16672">
              <w:rPr>
                <w:rFonts w:ascii="Times New Roman" w:hAnsi="Times New Roman"/>
                <w:sz w:val="16"/>
                <w:szCs w:val="16"/>
                <w:vertAlign w:val="subscript"/>
              </w:rPr>
              <w:t>нарахування</w:t>
            </w:r>
            <w:proofErr w:type="spellEnd"/>
            <w:r w:rsidRPr="00E16672">
              <w:rPr>
                <w:rFonts w:ascii="Times New Roman" w:hAnsi="Times New Roman"/>
                <w:sz w:val="16"/>
                <w:szCs w:val="16"/>
              </w:rPr>
              <w:t xml:space="preserve"> – </w:t>
            </w:r>
            <w:proofErr w:type="spellStart"/>
            <w:r w:rsidRPr="00E16672">
              <w:rPr>
                <w:rFonts w:ascii="Times New Roman" w:hAnsi="Times New Roman"/>
                <w:sz w:val="16"/>
                <w:szCs w:val="16"/>
              </w:rPr>
              <w:t>кількість</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днів</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нарахування</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пені</w:t>
            </w:r>
            <w:proofErr w:type="spellEnd"/>
            <w:r w:rsidRPr="00E16672">
              <w:rPr>
                <w:rFonts w:ascii="Times New Roman" w:hAnsi="Times New Roman"/>
                <w:sz w:val="16"/>
                <w:szCs w:val="16"/>
                <w:lang w:val="uk-UA"/>
              </w:rPr>
              <w:t>.</w:t>
            </w:r>
          </w:p>
          <w:p w14:paraId="1471565E" w14:textId="77777777" w:rsidR="00EB25FE" w:rsidRPr="00E16672" w:rsidRDefault="00EB25FE" w:rsidP="00794B3F">
            <w:pPr>
              <w:ind w:left="175" w:firstLine="7"/>
              <w:rPr>
                <w:rFonts w:ascii="Times New Roman" w:hAnsi="Times New Roman"/>
                <w:sz w:val="16"/>
                <w:szCs w:val="16"/>
                <w:lang w:val="uk-UA"/>
              </w:rPr>
            </w:pPr>
            <w:r w:rsidRPr="00E16672">
              <w:rPr>
                <w:rFonts w:ascii="Times New Roman" w:hAnsi="Times New Roman"/>
                <w:sz w:val="16"/>
                <w:szCs w:val="20"/>
                <w:lang w:val="uk-UA"/>
              </w:rPr>
              <w:t xml:space="preserve">Якщо протягом періоду прострочення розмір облікової ставки  Національного Банку України змінювався, пеня розраховується окремо для кожного періоду з відповідним значенням 2НБУ, після чого значення </w:t>
            </w:r>
            <w:proofErr w:type="spellStart"/>
            <w:r w:rsidRPr="00E16672">
              <w:rPr>
                <w:rFonts w:ascii="Times New Roman" w:hAnsi="Times New Roman"/>
                <w:sz w:val="16"/>
                <w:szCs w:val="20"/>
                <w:lang w:val="uk-UA"/>
              </w:rPr>
              <w:t>сумуються</w:t>
            </w:r>
            <w:proofErr w:type="spellEnd"/>
            <w:r w:rsidRPr="00E16672">
              <w:rPr>
                <w:rFonts w:ascii="Times New Roman" w:hAnsi="Times New Roman"/>
                <w:sz w:val="16"/>
                <w:szCs w:val="20"/>
                <w:lang w:val="uk-UA"/>
              </w:rPr>
              <w:t xml:space="preserve">. </w:t>
            </w:r>
            <w:r w:rsidRPr="00E16672">
              <w:rPr>
                <w:rFonts w:ascii="Times New Roman" w:hAnsi="Times New Roman"/>
                <w:sz w:val="16"/>
                <w:szCs w:val="16"/>
                <w:lang w:val="uk-UA"/>
              </w:rPr>
              <w:t xml:space="preserve"> </w:t>
            </w:r>
          </w:p>
        </w:tc>
        <w:tc>
          <w:tcPr>
            <w:tcW w:w="5495" w:type="dxa"/>
            <w:gridSpan w:val="8"/>
            <w:shd w:val="clear" w:color="auto" w:fill="auto"/>
          </w:tcPr>
          <w:p w14:paraId="5B0B15C9" w14:textId="77777777" w:rsidR="00EB25FE" w:rsidRPr="00E16672" w:rsidRDefault="00EB25FE" w:rsidP="00794B3F">
            <w:pPr>
              <w:tabs>
                <w:tab w:val="left" w:pos="287"/>
              </w:tabs>
              <w:snapToGrid w:val="0"/>
              <w:ind w:left="175" w:right="100" w:firstLine="7"/>
              <w:rPr>
                <w:rFonts w:ascii="Times New Roman" w:hAnsi="Times New Roman"/>
                <w:sz w:val="16"/>
                <w:szCs w:val="16"/>
                <w:lang w:val="en-GB"/>
              </w:rPr>
            </w:pPr>
            <w:r w:rsidRPr="00E16672">
              <w:rPr>
                <w:rFonts w:ascii="Times New Roman" w:hAnsi="Times New Roman"/>
                <w:sz w:val="16"/>
                <w:szCs w:val="16"/>
                <w:lang w:val="en-GB"/>
              </w:rPr>
              <w:lastRenderedPageBreak/>
              <w:t>F=</w:t>
            </w:r>
            <w:proofErr w:type="spellStart"/>
            <w:r w:rsidRPr="00E16672">
              <w:rPr>
                <w:rFonts w:ascii="Times New Roman" w:hAnsi="Times New Roman"/>
                <w:sz w:val="16"/>
                <w:szCs w:val="16"/>
                <w:lang w:val="en-GB"/>
              </w:rPr>
              <w:t>Т</w:t>
            </w:r>
            <w:r w:rsidRPr="00E16672">
              <w:rPr>
                <w:rFonts w:ascii="Times New Roman" w:hAnsi="Times New Roman"/>
                <w:sz w:val="16"/>
                <w:szCs w:val="16"/>
                <w:vertAlign w:val="subscript"/>
                <w:lang w:val="en-GB"/>
              </w:rPr>
              <w:t>notpayment</w:t>
            </w:r>
            <w:proofErr w:type="spellEnd"/>
            <w:r w:rsidRPr="00E16672">
              <w:rPr>
                <w:rFonts w:ascii="Times New Roman" w:hAnsi="Times New Roman"/>
                <w:sz w:val="16"/>
                <w:szCs w:val="16"/>
                <w:lang w:val="en-GB"/>
              </w:rPr>
              <w:t>*2NBU/</w:t>
            </w:r>
            <w:proofErr w:type="spellStart"/>
            <w:r w:rsidRPr="00E16672">
              <w:rPr>
                <w:rFonts w:ascii="Times New Roman" w:hAnsi="Times New Roman"/>
                <w:sz w:val="16"/>
                <w:szCs w:val="16"/>
                <w:lang w:val="en-GB"/>
              </w:rPr>
              <w:t>D</w:t>
            </w:r>
            <w:r w:rsidRPr="00E16672">
              <w:rPr>
                <w:rFonts w:ascii="Times New Roman" w:hAnsi="Times New Roman"/>
                <w:sz w:val="16"/>
                <w:szCs w:val="16"/>
                <w:vertAlign w:val="subscript"/>
                <w:lang w:val="en-GB"/>
              </w:rPr>
              <w:t>year</w:t>
            </w:r>
            <w:proofErr w:type="spellEnd"/>
            <w:r w:rsidRPr="00E16672">
              <w:rPr>
                <w:rFonts w:ascii="Times New Roman" w:hAnsi="Times New Roman"/>
                <w:sz w:val="16"/>
                <w:szCs w:val="16"/>
                <w:lang w:val="en-GB"/>
              </w:rPr>
              <w:t>*</w:t>
            </w:r>
            <w:proofErr w:type="spellStart"/>
            <w:r w:rsidRPr="00E16672">
              <w:rPr>
                <w:rFonts w:ascii="Times New Roman" w:hAnsi="Times New Roman"/>
                <w:sz w:val="16"/>
                <w:szCs w:val="16"/>
                <w:lang w:val="en-GB"/>
              </w:rPr>
              <w:t>D</w:t>
            </w:r>
            <w:r w:rsidRPr="00E16672">
              <w:rPr>
                <w:rFonts w:ascii="Times New Roman" w:hAnsi="Times New Roman"/>
                <w:sz w:val="16"/>
                <w:szCs w:val="16"/>
                <w:vertAlign w:val="subscript"/>
                <w:lang w:val="en-GB"/>
              </w:rPr>
              <w:t>extracharge</w:t>
            </w:r>
            <w:proofErr w:type="spellEnd"/>
            <w:r w:rsidRPr="00E16672">
              <w:rPr>
                <w:rFonts w:ascii="Times New Roman" w:hAnsi="Times New Roman"/>
                <w:sz w:val="16"/>
                <w:szCs w:val="16"/>
                <w:lang w:val="en-GB"/>
              </w:rPr>
              <w:t xml:space="preserve">, </w:t>
            </w:r>
          </w:p>
          <w:p w14:paraId="534F9E5A" w14:textId="77777777" w:rsidR="00EB25FE" w:rsidRPr="00E16672" w:rsidRDefault="00EB25FE" w:rsidP="00794B3F">
            <w:pPr>
              <w:tabs>
                <w:tab w:val="left" w:pos="287"/>
              </w:tabs>
              <w:snapToGrid w:val="0"/>
              <w:ind w:left="175" w:right="100" w:firstLine="7"/>
              <w:rPr>
                <w:rFonts w:ascii="Times New Roman" w:hAnsi="Times New Roman"/>
                <w:sz w:val="16"/>
                <w:szCs w:val="16"/>
                <w:lang w:val="en-GB"/>
              </w:rPr>
            </w:pPr>
            <w:r w:rsidRPr="00E16672">
              <w:rPr>
                <w:rFonts w:ascii="Times New Roman" w:hAnsi="Times New Roman"/>
                <w:sz w:val="16"/>
                <w:szCs w:val="16"/>
                <w:lang w:val="en-GB"/>
              </w:rPr>
              <w:t>where:</w:t>
            </w:r>
            <w:r w:rsidRPr="00E16672">
              <w:rPr>
                <w:rFonts w:ascii="Times New Roman" w:hAnsi="Times New Roman"/>
                <w:sz w:val="16"/>
                <w:szCs w:val="16"/>
                <w:lang w:val="en-GB"/>
              </w:rPr>
              <w:br/>
              <w:t>F – fine;</w:t>
            </w:r>
          </w:p>
          <w:p w14:paraId="307AD6D6" w14:textId="77777777" w:rsidR="00EB25FE" w:rsidRPr="00E16672" w:rsidRDefault="00EB25FE" w:rsidP="00794B3F">
            <w:pPr>
              <w:tabs>
                <w:tab w:val="left" w:pos="287"/>
              </w:tabs>
              <w:snapToGrid w:val="0"/>
              <w:ind w:left="175" w:right="100" w:firstLine="7"/>
              <w:rPr>
                <w:rFonts w:ascii="Times New Roman" w:hAnsi="Times New Roman"/>
                <w:sz w:val="16"/>
                <w:szCs w:val="16"/>
                <w:lang w:val="en-GB"/>
              </w:rPr>
            </w:pPr>
            <w:proofErr w:type="spellStart"/>
            <w:r w:rsidRPr="00E16672">
              <w:rPr>
                <w:rFonts w:ascii="Times New Roman" w:hAnsi="Times New Roman"/>
                <w:sz w:val="16"/>
                <w:szCs w:val="16"/>
                <w:lang w:val="en-GB"/>
              </w:rPr>
              <w:t>Т</w:t>
            </w:r>
            <w:r w:rsidRPr="00E16672">
              <w:rPr>
                <w:rFonts w:ascii="Times New Roman" w:hAnsi="Times New Roman"/>
                <w:sz w:val="16"/>
                <w:szCs w:val="16"/>
                <w:vertAlign w:val="subscript"/>
                <w:lang w:val="en-GB"/>
              </w:rPr>
              <w:t>notpayment</w:t>
            </w:r>
            <w:proofErr w:type="spellEnd"/>
            <w:r w:rsidRPr="00E16672">
              <w:rPr>
                <w:rFonts w:ascii="Times New Roman" w:hAnsi="Times New Roman"/>
                <w:sz w:val="16"/>
                <w:szCs w:val="16"/>
                <w:lang w:val="en-GB"/>
              </w:rPr>
              <w:t xml:space="preserve"> – cost of not payment service</w:t>
            </w:r>
            <w:r w:rsidRPr="00E16672">
              <w:rPr>
                <w:rFonts w:ascii="Times New Roman" w:hAnsi="Times New Roman"/>
                <w:sz w:val="16"/>
                <w:szCs w:val="16"/>
                <w:lang w:val="uk-UA"/>
              </w:rPr>
              <w:t xml:space="preserve"> (</w:t>
            </w:r>
            <w:r w:rsidRPr="00E16672">
              <w:rPr>
                <w:rFonts w:ascii="Times New Roman" w:hAnsi="Times New Roman"/>
                <w:sz w:val="16"/>
                <w:szCs w:val="16"/>
                <w:lang w:val="en-GB"/>
              </w:rPr>
              <w:t>not payment services</w:t>
            </w:r>
            <w:r w:rsidRPr="00E16672">
              <w:rPr>
                <w:rFonts w:ascii="Times New Roman" w:hAnsi="Times New Roman"/>
                <w:sz w:val="16"/>
                <w:szCs w:val="16"/>
                <w:lang w:val="uk-UA"/>
              </w:rPr>
              <w:t>)</w:t>
            </w:r>
            <w:r w:rsidRPr="00E16672">
              <w:rPr>
                <w:rFonts w:ascii="Times New Roman" w:hAnsi="Times New Roman"/>
                <w:sz w:val="16"/>
                <w:szCs w:val="16"/>
                <w:lang w:val="en-GB"/>
              </w:rPr>
              <w:t>;</w:t>
            </w:r>
          </w:p>
          <w:p w14:paraId="7390980C" w14:textId="77777777" w:rsidR="00EB25FE" w:rsidRPr="00E16672" w:rsidRDefault="00EB25FE" w:rsidP="00794B3F">
            <w:pPr>
              <w:tabs>
                <w:tab w:val="left" w:pos="287"/>
              </w:tabs>
              <w:ind w:left="175" w:right="100" w:firstLine="7"/>
              <w:rPr>
                <w:rFonts w:ascii="Times New Roman" w:hAnsi="Times New Roman"/>
                <w:sz w:val="16"/>
                <w:szCs w:val="16"/>
                <w:lang w:val="en-GB"/>
              </w:rPr>
            </w:pPr>
            <w:r w:rsidRPr="00E16672">
              <w:rPr>
                <w:rFonts w:ascii="Times New Roman" w:hAnsi="Times New Roman"/>
                <w:sz w:val="16"/>
                <w:szCs w:val="16"/>
                <w:lang w:val="en-GB"/>
              </w:rPr>
              <w:lastRenderedPageBreak/>
              <w:t>2NBU – double registration rate of the National bank of Ukraine;</w:t>
            </w:r>
          </w:p>
          <w:p w14:paraId="0D25E911" w14:textId="77777777" w:rsidR="00EB25FE" w:rsidRPr="00E16672" w:rsidRDefault="00EB25FE" w:rsidP="00794B3F">
            <w:pPr>
              <w:tabs>
                <w:tab w:val="left" w:pos="287"/>
              </w:tabs>
              <w:ind w:left="175" w:right="100" w:firstLine="7"/>
              <w:rPr>
                <w:rFonts w:ascii="Times New Roman" w:hAnsi="Times New Roman"/>
                <w:sz w:val="16"/>
                <w:szCs w:val="16"/>
                <w:lang w:val="en-GB"/>
              </w:rPr>
            </w:pPr>
            <w:proofErr w:type="spellStart"/>
            <w:r w:rsidRPr="00E16672">
              <w:rPr>
                <w:rFonts w:ascii="Times New Roman" w:hAnsi="Times New Roman"/>
                <w:sz w:val="16"/>
                <w:szCs w:val="16"/>
                <w:lang w:val="en-GB"/>
              </w:rPr>
              <w:t>D</w:t>
            </w:r>
            <w:r w:rsidRPr="00E16672">
              <w:rPr>
                <w:rFonts w:ascii="Times New Roman" w:hAnsi="Times New Roman"/>
                <w:sz w:val="16"/>
                <w:szCs w:val="16"/>
                <w:vertAlign w:val="subscript"/>
                <w:lang w:val="en-GB"/>
              </w:rPr>
              <w:t>year</w:t>
            </w:r>
            <w:proofErr w:type="spellEnd"/>
            <w:r w:rsidRPr="00E16672">
              <w:rPr>
                <w:rFonts w:ascii="Times New Roman" w:hAnsi="Times New Roman"/>
                <w:sz w:val="16"/>
                <w:szCs w:val="16"/>
                <w:lang w:val="en-GB"/>
              </w:rPr>
              <w:t xml:space="preserve"> – an </w:t>
            </w:r>
            <w:proofErr w:type="gramStart"/>
            <w:r w:rsidRPr="00E16672">
              <w:rPr>
                <w:rFonts w:ascii="Times New Roman" w:hAnsi="Times New Roman"/>
                <w:sz w:val="16"/>
                <w:szCs w:val="16"/>
                <w:lang w:val="en-GB"/>
              </w:rPr>
              <w:t>amount</w:t>
            </w:r>
            <w:proofErr w:type="gramEnd"/>
            <w:r w:rsidRPr="00E16672">
              <w:rPr>
                <w:rFonts w:ascii="Times New Roman" w:hAnsi="Times New Roman"/>
                <w:sz w:val="16"/>
                <w:szCs w:val="16"/>
                <w:lang w:val="en-GB"/>
              </w:rPr>
              <w:t xml:space="preserve"> of days is in a year;</w:t>
            </w:r>
          </w:p>
          <w:p w14:paraId="026AE973" w14:textId="77777777" w:rsidR="00EB25FE" w:rsidRPr="00E16672" w:rsidRDefault="00EB25FE" w:rsidP="00794B3F">
            <w:pPr>
              <w:tabs>
                <w:tab w:val="left" w:pos="287"/>
              </w:tabs>
              <w:snapToGrid w:val="0"/>
              <w:ind w:left="175" w:right="100" w:firstLine="7"/>
              <w:rPr>
                <w:rFonts w:ascii="Times New Roman" w:hAnsi="Times New Roman"/>
                <w:sz w:val="16"/>
                <w:szCs w:val="16"/>
                <w:lang w:val="en-GB"/>
              </w:rPr>
            </w:pPr>
            <w:proofErr w:type="spellStart"/>
            <w:r w:rsidRPr="00E16672">
              <w:rPr>
                <w:rFonts w:ascii="Times New Roman" w:hAnsi="Times New Roman"/>
                <w:sz w:val="16"/>
                <w:szCs w:val="16"/>
                <w:lang w:val="en-GB"/>
              </w:rPr>
              <w:t>D</w:t>
            </w:r>
            <w:r w:rsidRPr="00E16672">
              <w:rPr>
                <w:rFonts w:ascii="Times New Roman" w:hAnsi="Times New Roman"/>
                <w:sz w:val="16"/>
                <w:szCs w:val="16"/>
                <w:vertAlign w:val="subscript"/>
                <w:lang w:val="en-GB"/>
              </w:rPr>
              <w:t>extracharge</w:t>
            </w:r>
            <w:proofErr w:type="spellEnd"/>
            <w:r w:rsidRPr="00E16672">
              <w:rPr>
                <w:rFonts w:ascii="Times New Roman" w:hAnsi="Times New Roman"/>
                <w:sz w:val="16"/>
                <w:szCs w:val="16"/>
                <w:lang w:val="en-GB"/>
              </w:rPr>
              <w:t xml:space="preserve"> – an </w:t>
            </w:r>
            <w:proofErr w:type="gramStart"/>
            <w:r w:rsidRPr="00E16672">
              <w:rPr>
                <w:rFonts w:ascii="Times New Roman" w:hAnsi="Times New Roman"/>
                <w:sz w:val="16"/>
                <w:szCs w:val="16"/>
                <w:lang w:val="en-GB"/>
              </w:rPr>
              <w:t>amount</w:t>
            </w:r>
            <w:proofErr w:type="gramEnd"/>
            <w:r w:rsidRPr="00E16672">
              <w:rPr>
                <w:rFonts w:ascii="Times New Roman" w:hAnsi="Times New Roman"/>
                <w:sz w:val="16"/>
                <w:szCs w:val="16"/>
                <w:lang w:val="en-GB"/>
              </w:rPr>
              <w:t xml:space="preserve"> of days of extra charge of fine.</w:t>
            </w:r>
          </w:p>
          <w:p w14:paraId="5A8AA410" w14:textId="77777777" w:rsidR="00EB25FE" w:rsidRPr="00E16672" w:rsidRDefault="00EB25FE" w:rsidP="00794B3F">
            <w:pPr>
              <w:tabs>
                <w:tab w:val="left" w:pos="287"/>
              </w:tabs>
              <w:snapToGrid w:val="0"/>
              <w:ind w:left="175" w:right="100" w:firstLine="7"/>
              <w:rPr>
                <w:rFonts w:ascii="Times New Roman" w:hAnsi="Times New Roman"/>
                <w:sz w:val="16"/>
                <w:szCs w:val="16"/>
                <w:lang w:val="en-GB"/>
              </w:rPr>
            </w:pPr>
            <w:r w:rsidRPr="00A26EFC">
              <w:rPr>
                <w:rFonts w:ascii="Times New Roman" w:hAnsi="Times New Roman"/>
                <w:sz w:val="16"/>
                <w:szCs w:val="16"/>
                <w:lang w:val="en-US"/>
              </w:rPr>
              <w:t>If, during the period of delay, the size of the discount rate of the National Bank of Ukraine has changed, the interest is calculated separately for each period with the corresponding value of 2NBU, after which the values are summed up.</w:t>
            </w:r>
          </w:p>
        </w:tc>
      </w:tr>
      <w:tr w:rsidR="00EB25FE" w:rsidRPr="00A26EFC" w14:paraId="2D317210" w14:textId="77777777" w:rsidTr="005E418B">
        <w:tblPrEx>
          <w:tblCellMar>
            <w:left w:w="0" w:type="dxa"/>
            <w:right w:w="0" w:type="dxa"/>
          </w:tblCellMar>
        </w:tblPrEx>
        <w:trPr>
          <w:trHeight w:val="192"/>
        </w:trPr>
        <w:tc>
          <w:tcPr>
            <w:tcW w:w="5695" w:type="dxa"/>
            <w:gridSpan w:val="7"/>
            <w:shd w:val="clear" w:color="auto" w:fill="auto"/>
          </w:tcPr>
          <w:p w14:paraId="019F4ED9" w14:textId="77777777" w:rsidR="00EB25FE" w:rsidRPr="00E16672" w:rsidRDefault="00EB25FE" w:rsidP="00794B3F">
            <w:pPr>
              <w:snapToGrid w:val="0"/>
              <w:ind w:left="175" w:right="138" w:firstLine="7"/>
              <w:rPr>
                <w:rFonts w:ascii="Times New Roman" w:hAnsi="Times New Roman"/>
                <w:sz w:val="16"/>
                <w:szCs w:val="16"/>
                <w:lang w:val="en-US"/>
              </w:rPr>
            </w:pPr>
          </w:p>
          <w:p w14:paraId="57A07BF3" w14:textId="77777777" w:rsidR="00EB25FE" w:rsidRPr="00E16672" w:rsidRDefault="00EB25FE" w:rsidP="00C46E4D">
            <w:pPr>
              <w:ind w:left="175" w:right="138" w:firstLine="7"/>
              <w:rPr>
                <w:rFonts w:ascii="Times New Roman" w:hAnsi="Times New Roman"/>
                <w:sz w:val="16"/>
                <w:szCs w:val="16"/>
              </w:rPr>
            </w:pPr>
            <w:r w:rsidRPr="00E16672">
              <w:rPr>
                <w:rFonts w:ascii="Times New Roman" w:hAnsi="Times New Roman"/>
                <w:sz w:val="16"/>
                <w:szCs w:val="16"/>
              </w:rPr>
              <w:t xml:space="preserve">5.9.2. </w:t>
            </w:r>
            <w:proofErr w:type="spellStart"/>
            <w:r w:rsidRPr="00E16672">
              <w:rPr>
                <w:rFonts w:ascii="Times New Roman" w:hAnsi="Times New Roman"/>
                <w:sz w:val="16"/>
                <w:szCs w:val="16"/>
              </w:rPr>
              <w:t>Депозитарна</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установа</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може</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пред'являти</w:t>
            </w:r>
            <w:proofErr w:type="spellEnd"/>
            <w:r w:rsidRPr="00E16672">
              <w:rPr>
                <w:rFonts w:ascii="Times New Roman" w:hAnsi="Times New Roman"/>
                <w:sz w:val="16"/>
                <w:szCs w:val="16"/>
              </w:rPr>
              <w:t xml:space="preserve"> </w:t>
            </w:r>
            <w:r w:rsidR="00C46E4D" w:rsidRPr="00E16672">
              <w:rPr>
                <w:rFonts w:ascii="Times New Roman" w:hAnsi="Times New Roman"/>
                <w:sz w:val="16"/>
                <w:szCs w:val="16"/>
                <w:lang w:val="uk-UA"/>
              </w:rPr>
              <w:t>Номінальному утримувачу</w:t>
            </w:r>
            <w:r w:rsidRPr="00E16672">
              <w:rPr>
                <w:rFonts w:ascii="Times New Roman" w:hAnsi="Times New Roman"/>
                <w:sz w:val="16"/>
                <w:szCs w:val="16"/>
              </w:rPr>
              <w:t xml:space="preserve"> </w:t>
            </w:r>
            <w:proofErr w:type="spellStart"/>
            <w:r w:rsidRPr="00E16672">
              <w:rPr>
                <w:rFonts w:ascii="Times New Roman" w:hAnsi="Times New Roman"/>
                <w:sz w:val="16"/>
                <w:szCs w:val="16"/>
              </w:rPr>
              <w:t>вимоги</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стосовно</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сплати</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пені</w:t>
            </w:r>
            <w:proofErr w:type="spellEnd"/>
            <w:r w:rsidRPr="00E16672">
              <w:rPr>
                <w:rFonts w:ascii="Times New Roman" w:hAnsi="Times New Roman"/>
                <w:sz w:val="16"/>
                <w:szCs w:val="16"/>
              </w:rPr>
              <w:t xml:space="preserve">, як шляхом </w:t>
            </w:r>
            <w:proofErr w:type="spellStart"/>
            <w:r w:rsidRPr="00E16672">
              <w:rPr>
                <w:rFonts w:ascii="Times New Roman" w:hAnsi="Times New Roman"/>
                <w:sz w:val="16"/>
                <w:szCs w:val="16"/>
              </w:rPr>
              <w:t>надіслання</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рахунк</w:t>
            </w:r>
            <w:proofErr w:type="spellEnd"/>
            <w:r w:rsidRPr="00E16672">
              <w:rPr>
                <w:rFonts w:ascii="Times New Roman" w:hAnsi="Times New Roman"/>
                <w:sz w:val="16"/>
                <w:szCs w:val="16"/>
                <w:lang w:val="uk-UA"/>
              </w:rPr>
              <w:t>у</w:t>
            </w:r>
            <w:r w:rsidRPr="00E16672">
              <w:rPr>
                <w:rFonts w:ascii="Times New Roman" w:hAnsi="Times New Roman"/>
                <w:sz w:val="16"/>
                <w:szCs w:val="16"/>
              </w:rPr>
              <w:t xml:space="preserve">, так і шляхом </w:t>
            </w:r>
            <w:proofErr w:type="spellStart"/>
            <w:r w:rsidRPr="00E16672">
              <w:rPr>
                <w:rFonts w:ascii="Times New Roman" w:hAnsi="Times New Roman"/>
                <w:sz w:val="16"/>
                <w:szCs w:val="16"/>
              </w:rPr>
              <w:t>звернення</w:t>
            </w:r>
            <w:proofErr w:type="spellEnd"/>
            <w:r w:rsidRPr="00E16672">
              <w:rPr>
                <w:rFonts w:ascii="Times New Roman" w:hAnsi="Times New Roman"/>
                <w:sz w:val="16"/>
                <w:szCs w:val="16"/>
              </w:rPr>
              <w:t xml:space="preserve"> до </w:t>
            </w:r>
            <w:r w:rsidR="00C46E4D" w:rsidRPr="00E16672">
              <w:rPr>
                <w:rFonts w:ascii="Times New Roman" w:hAnsi="Times New Roman"/>
                <w:sz w:val="16"/>
                <w:szCs w:val="16"/>
                <w:lang w:val="uk-UA"/>
              </w:rPr>
              <w:t>Номінального утримувача</w:t>
            </w:r>
            <w:r w:rsidRPr="00E16672">
              <w:rPr>
                <w:rFonts w:ascii="Times New Roman" w:hAnsi="Times New Roman"/>
                <w:sz w:val="16"/>
                <w:szCs w:val="16"/>
              </w:rPr>
              <w:t xml:space="preserve"> з листом, </w:t>
            </w:r>
            <w:proofErr w:type="spellStart"/>
            <w:r w:rsidRPr="00E16672">
              <w:rPr>
                <w:rFonts w:ascii="Times New Roman" w:hAnsi="Times New Roman"/>
                <w:sz w:val="16"/>
                <w:szCs w:val="16"/>
              </w:rPr>
              <w:t>телеграмою</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тощо</w:t>
            </w:r>
            <w:proofErr w:type="spellEnd"/>
            <w:r w:rsidRPr="00E16672">
              <w:rPr>
                <w:rFonts w:ascii="Times New Roman" w:hAnsi="Times New Roman"/>
                <w:sz w:val="16"/>
                <w:szCs w:val="16"/>
              </w:rPr>
              <w:t>.</w:t>
            </w:r>
          </w:p>
        </w:tc>
        <w:tc>
          <w:tcPr>
            <w:tcW w:w="5495" w:type="dxa"/>
            <w:gridSpan w:val="8"/>
            <w:shd w:val="clear" w:color="auto" w:fill="auto"/>
          </w:tcPr>
          <w:p w14:paraId="42BFFE0F" w14:textId="77777777" w:rsidR="00EB25FE" w:rsidRPr="00E16672" w:rsidRDefault="00EB25FE" w:rsidP="00794B3F">
            <w:pPr>
              <w:tabs>
                <w:tab w:val="left" w:pos="287"/>
              </w:tabs>
              <w:snapToGrid w:val="0"/>
              <w:ind w:left="175" w:right="100" w:firstLine="7"/>
              <w:rPr>
                <w:rFonts w:ascii="Times New Roman" w:hAnsi="Times New Roman"/>
                <w:sz w:val="16"/>
                <w:szCs w:val="16"/>
              </w:rPr>
            </w:pPr>
          </w:p>
          <w:p w14:paraId="5A825027" w14:textId="77777777" w:rsidR="00EB25FE" w:rsidRPr="00E16672" w:rsidRDefault="00EB25FE" w:rsidP="00794B3F">
            <w:pPr>
              <w:tabs>
                <w:tab w:val="left" w:pos="287"/>
              </w:tabs>
              <w:snapToGrid w:val="0"/>
              <w:ind w:left="175" w:right="100" w:firstLine="7"/>
              <w:rPr>
                <w:rFonts w:ascii="Times New Roman" w:hAnsi="Times New Roman"/>
                <w:sz w:val="16"/>
                <w:szCs w:val="16"/>
                <w:lang w:val="en-GB"/>
              </w:rPr>
            </w:pPr>
            <w:r w:rsidRPr="00E16672">
              <w:rPr>
                <w:rFonts w:ascii="Times New Roman" w:hAnsi="Times New Roman"/>
                <w:sz w:val="16"/>
                <w:szCs w:val="16"/>
                <w:lang w:val="en-GB"/>
              </w:rPr>
              <w:t xml:space="preserve">5.9.2. Depository institution can to make from </w:t>
            </w:r>
            <w:r w:rsidR="00C46E4D" w:rsidRPr="00E16672">
              <w:rPr>
                <w:rFonts w:ascii="Times New Roman" w:hAnsi="Times New Roman"/>
                <w:sz w:val="16"/>
                <w:szCs w:val="16"/>
                <w:lang w:val="en-US"/>
              </w:rPr>
              <w:t>Nominee holder</w:t>
            </w:r>
            <w:r w:rsidRPr="00E16672">
              <w:rPr>
                <w:rFonts w:ascii="Times New Roman" w:hAnsi="Times New Roman"/>
                <w:sz w:val="16"/>
                <w:szCs w:val="16"/>
                <w:lang w:val="en-GB"/>
              </w:rPr>
              <w:t xml:space="preserve"> requirement concerning of payment of fine, both as by the message of invoice and by an address to </w:t>
            </w:r>
            <w:r w:rsidR="00C46E4D" w:rsidRPr="00E16672">
              <w:rPr>
                <w:rFonts w:ascii="Times New Roman" w:hAnsi="Times New Roman"/>
                <w:sz w:val="16"/>
                <w:szCs w:val="16"/>
                <w:lang w:val="en-US"/>
              </w:rPr>
              <w:t>Nominee holder</w:t>
            </w:r>
            <w:r w:rsidR="00C46E4D" w:rsidRPr="00E16672">
              <w:rPr>
                <w:rFonts w:ascii="Times New Roman" w:hAnsi="Times New Roman"/>
                <w:sz w:val="16"/>
                <w:szCs w:val="16"/>
                <w:lang w:val="en-GB"/>
              </w:rPr>
              <w:t xml:space="preserve"> </w:t>
            </w:r>
            <w:r w:rsidRPr="00E16672">
              <w:rPr>
                <w:rFonts w:ascii="Times New Roman" w:hAnsi="Times New Roman"/>
                <w:sz w:val="16"/>
                <w:szCs w:val="16"/>
                <w:lang w:val="en-GB"/>
              </w:rPr>
              <w:t>with a letter, by a telegram and others like that.</w:t>
            </w:r>
          </w:p>
          <w:p w14:paraId="5449C5AD" w14:textId="77777777" w:rsidR="00EB25FE" w:rsidRPr="00E16672" w:rsidRDefault="00EB25FE" w:rsidP="00794B3F">
            <w:pPr>
              <w:tabs>
                <w:tab w:val="left" w:pos="287"/>
              </w:tabs>
              <w:snapToGrid w:val="0"/>
              <w:ind w:left="175" w:right="100" w:firstLine="7"/>
              <w:rPr>
                <w:rFonts w:ascii="Times New Roman" w:hAnsi="Times New Roman"/>
                <w:sz w:val="16"/>
                <w:szCs w:val="16"/>
                <w:lang w:val="en-GB"/>
              </w:rPr>
            </w:pPr>
          </w:p>
        </w:tc>
      </w:tr>
      <w:tr w:rsidR="00EB25FE" w:rsidRPr="00A26EFC" w14:paraId="4B0CD745" w14:textId="77777777" w:rsidTr="005E418B">
        <w:tblPrEx>
          <w:tblCellMar>
            <w:left w:w="0" w:type="dxa"/>
            <w:right w:w="0" w:type="dxa"/>
          </w:tblCellMar>
        </w:tblPrEx>
        <w:trPr>
          <w:trHeight w:val="192"/>
        </w:trPr>
        <w:tc>
          <w:tcPr>
            <w:tcW w:w="5695" w:type="dxa"/>
            <w:gridSpan w:val="7"/>
            <w:shd w:val="clear" w:color="auto" w:fill="auto"/>
          </w:tcPr>
          <w:p w14:paraId="5CF19F16" w14:textId="77777777" w:rsidR="00EB25FE" w:rsidRPr="00E16672" w:rsidRDefault="00EB25FE" w:rsidP="00084686">
            <w:pPr>
              <w:snapToGrid w:val="0"/>
              <w:ind w:left="175" w:right="138" w:firstLine="7"/>
              <w:rPr>
                <w:rFonts w:ascii="Times New Roman" w:hAnsi="Times New Roman"/>
                <w:sz w:val="16"/>
                <w:szCs w:val="16"/>
              </w:rPr>
            </w:pPr>
            <w:r w:rsidRPr="00E16672">
              <w:rPr>
                <w:rFonts w:ascii="Times New Roman" w:hAnsi="Times New Roman"/>
                <w:sz w:val="16"/>
                <w:szCs w:val="16"/>
              </w:rPr>
              <w:t xml:space="preserve">5.9.3. </w:t>
            </w:r>
            <w:proofErr w:type="gramStart"/>
            <w:r w:rsidR="00C46E4D" w:rsidRPr="00E16672">
              <w:rPr>
                <w:rFonts w:ascii="Times New Roman" w:hAnsi="Times New Roman"/>
                <w:sz w:val="16"/>
                <w:szCs w:val="16"/>
                <w:lang w:val="uk-UA"/>
              </w:rPr>
              <w:t xml:space="preserve">Номінальний </w:t>
            </w:r>
            <w:r w:rsidR="00FA3078">
              <w:rPr>
                <w:rFonts w:ascii="Times New Roman" w:hAnsi="Times New Roman"/>
                <w:sz w:val="16"/>
                <w:szCs w:val="16"/>
                <w:lang w:val="uk-UA"/>
              </w:rPr>
              <w:t xml:space="preserve"> </w:t>
            </w:r>
            <w:r w:rsidR="00C46E4D" w:rsidRPr="00E16672">
              <w:rPr>
                <w:rFonts w:ascii="Times New Roman" w:hAnsi="Times New Roman"/>
                <w:sz w:val="16"/>
                <w:szCs w:val="16"/>
                <w:lang w:val="uk-UA"/>
              </w:rPr>
              <w:t>утримувач</w:t>
            </w:r>
            <w:proofErr w:type="gramEnd"/>
            <w:r w:rsidR="00FA3078">
              <w:rPr>
                <w:rFonts w:ascii="Times New Roman" w:hAnsi="Times New Roman"/>
                <w:sz w:val="16"/>
                <w:szCs w:val="16"/>
                <w:lang w:val="uk-UA"/>
              </w:rPr>
              <w:t xml:space="preserve"> </w:t>
            </w:r>
            <w:r w:rsidRPr="00E16672">
              <w:rPr>
                <w:rFonts w:ascii="Times New Roman" w:hAnsi="Times New Roman"/>
                <w:sz w:val="16"/>
                <w:szCs w:val="16"/>
              </w:rPr>
              <w:t xml:space="preserve"> повинен</w:t>
            </w:r>
            <w:r w:rsidR="00FA3078">
              <w:rPr>
                <w:rFonts w:ascii="Times New Roman" w:hAnsi="Times New Roman"/>
                <w:sz w:val="16"/>
                <w:szCs w:val="16"/>
                <w:lang w:val="uk-UA"/>
              </w:rPr>
              <w:t xml:space="preserve"> </w:t>
            </w:r>
            <w:r w:rsidRPr="00E16672">
              <w:rPr>
                <w:rFonts w:ascii="Times New Roman" w:hAnsi="Times New Roman"/>
                <w:sz w:val="16"/>
                <w:szCs w:val="16"/>
              </w:rPr>
              <w:t xml:space="preserve"> </w:t>
            </w:r>
            <w:proofErr w:type="spellStart"/>
            <w:r w:rsidRPr="00E16672">
              <w:rPr>
                <w:rFonts w:ascii="Times New Roman" w:hAnsi="Times New Roman"/>
                <w:sz w:val="16"/>
                <w:szCs w:val="16"/>
              </w:rPr>
              <w:t>виконати</w:t>
            </w:r>
            <w:proofErr w:type="spellEnd"/>
            <w:r w:rsidR="00FA3078">
              <w:rPr>
                <w:rFonts w:ascii="Times New Roman" w:hAnsi="Times New Roman"/>
                <w:sz w:val="16"/>
                <w:szCs w:val="16"/>
                <w:lang w:val="uk-UA"/>
              </w:rPr>
              <w:t xml:space="preserve"> </w:t>
            </w:r>
            <w:r w:rsidRPr="00E16672">
              <w:rPr>
                <w:rFonts w:ascii="Times New Roman" w:hAnsi="Times New Roman"/>
                <w:sz w:val="16"/>
                <w:szCs w:val="16"/>
              </w:rPr>
              <w:t xml:space="preserve"> </w:t>
            </w:r>
            <w:proofErr w:type="spellStart"/>
            <w:r w:rsidRPr="00E16672">
              <w:rPr>
                <w:rFonts w:ascii="Times New Roman" w:hAnsi="Times New Roman"/>
                <w:sz w:val="16"/>
                <w:szCs w:val="16"/>
              </w:rPr>
              <w:t>зобов'язання</w:t>
            </w:r>
            <w:proofErr w:type="spellEnd"/>
            <w:r w:rsidRPr="00E16672">
              <w:rPr>
                <w:rFonts w:ascii="Times New Roman" w:hAnsi="Times New Roman"/>
                <w:sz w:val="16"/>
                <w:szCs w:val="16"/>
              </w:rPr>
              <w:t xml:space="preserve">, </w:t>
            </w:r>
            <w:r w:rsidR="00FA3078">
              <w:rPr>
                <w:rFonts w:ascii="Times New Roman" w:hAnsi="Times New Roman"/>
                <w:sz w:val="16"/>
                <w:szCs w:val="16"/>
                <w:lang w:val="uk-UA"/>
              </w:rPr>
              <w:t xml:space="preserve"> </w:t>
            </w:r>
            <w:proofErr w:type="spellStart"/>
            <w:r w:rsidRPr="00E16672">
              <w:rPr>
                <w:rFonts w:ascii="Times New Roman" w:hAnsi="Times New Roman"/>
                <w:sz w:val="16"/>
                <w:szCs w:val="16"/>
              </w:rPr>
              <w:t>визначене</w:t>
            </w:r>
            <w:proofErr w:type="spellEnd"/>
            <w:r w:rsidRPr="00E16672">
              <w:rPr>
                <w:rFonts w:ascii="Times New Roman" w:hAnsi="Times New Roman"/>
                <w:sz w:val="16"/>
                <w:szCs w:val="16"/>
              </w:rPr>
              <w:t xml:space="preserve"> п. 5.9., у </w:t>
            </w:r>
            <w:proofErr w:type="spellStart"/>
            <w:r w:rsidRPr="00E16672">
              <w:rPr>
                <w:rFonts w:ascii="Times New Roman" w:hAnsi="Times New Roman"/>
                <w:sz w:val="16"/>
                <w:szCs w:val="16"/>
              </w:rPr>
              <w:t>п’ятиденний</w:t>
            </w:r>
            <w:proofErr w:type="spellEnd"/>
            <w:r w:rsidRPr="00E16672">
              <w:rPr>
                <w:rFonts w:ascii="Times New Roman" w:hAnsi="Times New Roman"/>
                <w:sz w:val="16"/>
                <w:szCs w:val="16"/>
              </w:rPr>
              <w:t xml:space="preserve"> строк з дня </w:t>
            </w:r>
            <w:proofErr w:type="spellStart"/>
            <w:r w:rsidRPr="00E16672">
              <w:rPr>
                <w:rFonts w:ascii="Times New Roman" w:hAnsi="Times New Roman"/>
                <w:sz w:val="16"/>
                <w:szCs w:val="16"/>
              </w:rPr>
              <w:t>пред'явлення</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вимоги</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Депозитарної</w:t>
            </w:r>
            <w:proofErr w:type="spellEnd"/>
            <w:r w:rsidRPr="00E16672">
              <w:rPr>
                <w:rFonts w:ascii="Times New Roman" w:hAnsi="Times New Roman"/>
                <w:sz w:val="16"/>
                <w:szCs w:val="16"/>
              </w:rPr>
              <w:t xml:space="preserve"> установи </w:t>
            </w:r>
            <w:proofErr w:type="spellStart"/>
            <w:r w:rsidRPr="00E16672">
              <w:rPr>
                <w:rFonts w:ascii="Times New Roman" w:hAnsi="Times New Roman"/>
                <w:sz w:val="16"/>
                <w:szCs w:val="16"/>
              </w:rPr>
              <w:t>згідно</w:t>
            </w:r>
            <w:proofErr w:type="spellEnd"/>
            <w:r w:rsidRPr="00E16672">
              <w:rPr>
                <w:rFonts w:ascii="Times New Roman" w:hAnsi="Times New Roman"/>
                <w:sz w:val="16"/>
                <w:szCs w:val="16"/>
              </w:rPr>
              <w:t xml:space="preserve"> з п. 5.9. Таким днем </w:t>
            </w:r>
            <w:proofErr w:type="spellStart"/>
            <w:r w:rsidRPr="00E16672">
              <w:rPr>
                <w:rFonts w:ascii="Times New Roman" w:hAnsi="Times New Roman"/>
                <w:sz w:val="16"/>
                <w:szCs w:val="16"/>
              </w:rPr>
              <w:t>слід</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вважати</w:t>
            </w:r>
            <w:proofErr w:type="spellEnd"/>
            <w:r w:rsidRPr="00E16672">
              <w:rPr>
                <w:rFonts w:ascii="Times New Roman" w:hAnsi="Times New Roman"/>
                <w:sz w:val="16"/>
                <w:szCs w:val="16"/>
              </w:rPr>
              <w:t xml:space="preserve"> дату </w:t>
            </w:r>
            <w:proofErr w:type="spellStart"/>
            <w:r w:rsidRPr="00E16672">
              <w:rPr>
                <w:rFonts w:ascii="Times New Roman" w:hAnsi="Times New Roman"/>
                <w:sz w:val="16"/>
                <w:szCs w:val="16"/>
              </w:rPr>
              <w:t>одержання</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вимоги</w:t>
            </w:r>
            <w:proofErr w:type="spellEnd"/>
            <w:r w:rsidRPr="00E16672">
              <w:rPr>
                <w:rFonts w:ascii="Times New Roman" w:hAnsi="Times New Roman"/>
                <w:sz w:val="16"/>
                <w:szCs w:val="16"/>
              </w:rPr>
              <w:t xml:space="preserve"> </w:t>
            </w:r>
            <w:r w:rsidR="00084686" w:rsidRPr="00E16672">
              <w:rPr>
                <w:rFonts w:ascii="Times New Roman" w:hAnsi="Times New Roman"/>
                <w:sz w:val="16"/>
                <w:szCs w:val="16"/>
                <w:lang w:val="uk-UA"/>
              </w:rPr>
              <w:t>Номінальним утримувачем</w:t>
            </w:r>
            <w:r w:rsidRPr="00E16672">
              <w:rPr>
                <w:rFonts w:ascii="Times New Roman" w:hAnsi="Times New Roman"/>
                <w:sz w:val="16"/>
                <w:szCs w:val="16"/>
              </w:rPr>
              <w:t>.</w:t>
            </w:r>
          </w:p>
        </w:tc>
        <w:tc>
          <w:tcPr>
            <w:tcW w:w="5495" w:type="dxa"/>
            <w:gridSpan w:val="8"/>
            <w:shd w:val="clear" w:color="auto" w:fill="auto"/>
          </w:tcPr>
          <w:p w14:paraId="3C70EF93" w14:textId="77777777" w:rsidR="00EB25FE" w:rsidRPr="00E16672" w:rsidRDefault="00EB25FE" w:rsidP="00794B3F">
            <w:pPr>
              <w:tabs>
                <w:tab w:val="left" w:pos="287"/>
              </w:tabs>
              <w:snapToGrid w:val="0"/>
              <w:ind w:left="175" w:right="100" w:firstLine="7"/>
              <w:rPr>
                <w:rFonts w:ascii="Times New Roman" w:hAnsi="Times New Roman"/>
                <w:sz w:val="16"/>
                <w:szCs w:val="16"/>
                <w:lang w:val="en-GB"/>
              </w:rPr>
            </w:pPr>
            <w:r w:rsidRPr="00E16672">
              <w:rPr>
                <w:rFonts w:ascii="Times New Roman" w:hAnsi="Times New Roman"/>
                <w:sz w:val="16"/>
                <w:szCs w:val="16"/>
                <w:lang w:val="en-GB"/>
              </w:rPr>
              <w:t xml:space="preserve">5.9.3. A </w:t>
            </w:r>
            <w:r w:rsidR="00C46E4D" w:rsidRPr="00E16672">
              <w:rPr>
                <w:rFonts w:ascii="Times New Roman" w:hAnsi="Times New Roman"/>
                <w:sz w:val="16"/>
                <w:szCs w:val="16"/>
                <w:lang w:val="en-US"/>
              </w:rPr>
              <w:t>Nominee holder</w:t>
            </w:r>
            <w:r w:rsidR="00C46E4D" w:rsidRPr="00E16672">
              <w:rPr>
                <w:rFonts w:ascii="Times New Roman" w:hAnsi="Times New Roman"/>
                <w:sz w:val="16"/>
                <w:szCs w:val="16"/>
                <w:lang w:val="en-GB"/>
              </w:rPr>
              <w:t xml:space="preserve"> </w:t>
            </w:r>
            <w:r w:rsidRPr="00E16672">
              <w:rPr>
                <w:rFonts w:ascii="Times New Roman" w:hAnsi="Times New Roman"/>
                <w:sz w:val="16"/>
                <w:szCs w:val="16"/>
                <w:lang w:val="en-GB"/>
              </w:rPr>
              <w:t xml:space="preserve">must execute obligations, certain item 5.9., in a five-day term from the day of making requirement by Depository institution in accordance to item 5.9. It follows to consider the date of receipt of requirement </w:t>
            </w:r>
            <w:r w:rsidR="00620A92" w:rsidRPr="00E16672">
              <w:rPr>
                <w:rFonts w:ascii="Times New Roman" w:hAnsi="Times New Roman"/>
                <w:sz w:val="16"/>
                <w:szCs w:val="16"/>
                <w:lang w:val="en-US"/>
              </w:rPr>
              <w:t>Nominee holder</w:t>
            </w:r>
            <w:r w:rsidR="00620A92" w:rsidRPr="00E16672">
              <w:rPr>
                <w:rFonts w:ascii="Times New Roman" w:hAnsi="Times New Roman"/>
                <w:sz w:val="16"/>
                <w:szCs w:val="16"/>
                <w:lang w:val="en-GB"/>
              </w:rPr>
              <w:t xml:space="preserve"> </w:t>
            </w:r>
            <w:r w:rsidRPr="00E16672">
              <w:rPr>
                <w:rFonts w:ascii="Times New Roman" w:hAnsi="Times New Roman"/>
                <w:sz w:val="16"/>
                <w:szCs w:val="16"/>
                <w:lang w:val="en-GB"/>
              </w:rPr>
              <w:t>such day.</w:t>
            </w:r>
          </w:p>
          <w:p w14:paraId="53A3B969" w14:textId="77777777" w:rsidR="00EB25FE" w:rsidRPr="00E16672" w:rsidRDefault="00EB25FE" w:rsidP="00794B3F">
            <w:pPr>
              <w:tabs>
                <w:tab w:val="left" w:pos="287"/>
              </w:tabs>
              <w:snapToGrid w:val="0"/>
              <w:ind w:left="175" w:right="100" w:firstLine="7"/>
              <w:rPr>
                <w:rFonts w:ascii="Times New Roman" w:hAnsi="Times New Roman"/>
                <w:sz w:val="16"/>
                <w:szCs w:val="16"/>
                <w:lang w:val="en-GB"/>
              </w:rPr>
            </w:pPr>
          </w:p>
        </w:tc>
      </w:tr>
      <w:tr w:rsidR="00EB25FE" w:rsidRPr="00A26EFC" w14:paraId="120FCCF6" w14:textId="77777777" w:rsidTr="005E418B">
        <w:tblPrEx>
          <w:tblCellMar>
            <w:left w:w="0" w:type="dxa"/>
            <w:right w:w="0" w:type="dxa"/>
          </w:tblCellMar>
        </w:tblPrEx>
        <w:trPr>
          <w:trHeight w:val="192"/>
        </w:trPr>
        <w:tc>
          <w:tcPr>
            <w:tcW w:w="5695" w:type="dxa"/>
            <w:gridSpan w:val="7"/>
            <w:shd w:val="clear" w:color="auto" w:fill="auto"/>
          </w:tcPr>
          <w:p w14:paraId="46AB6202" w14:textId="77777777" w:rsidR="00EB25FE" w:rsidRPr="00E16672" w:rsidRDefault="00EB25FE" w:rsidP="00794B3F">
            <w:pPr>
              <w:snapToGrid w:val="0"/>
              <w:ind w:left="175" w:right="138" w:firstLine="7"/>
              <w:rPr>
                <w:rFonts w:ascii="Times New Roman" w:hAnsi="Times New Roman"/>
                <w:color w:val="000000"/>
                <w:sz w:val="16"/>
                <w:szCs w:val="16"/>
              </w:rPr>
            </w:pPr>
            <w:r w:rsidRPr="00E16672">
              <w:rPr>
                <w:rFonts w:ascii="Times New Roman" w:hAnsi="Times New Roman"/>
                <w:color w:val="000000"/>
                <w:sz w:val="16"/>
                <w:szCs w:val="16"/>
              </w:rPr>
              <w:t xml:space="preserve">5.9.4. При </w:t>
            </w:r>
            <w:proofErr w:type="spellStart"/>
            <w:r w:rsidRPr="00E16672">
              <w:rPr>
                <w:rFonts w:ascii="Times New Roman" w:hAnsi="Times New Roman"/>
                <w:color w:val="000000"/>
                <w:sz w:val="16"/>
                <w:szCs w:val="16"/>
              </w:rPr>
              <w:t>цьому</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визнання</w:t>
            </w:r>
            <w:proofErr w:type="spellEnd"/>
            <w:r w:rsidRPr="00E16672">
              <w:rPr>
                <w:rFonts w:ascii="Times New Roman" w:hAnsi="Times New Roman"/>
                <w:color w:val="000000"/>
                <w:sz w:val="16"/>
                <w:szCs w:val="16"/>
              </w:rPr>
              <w:t xml:space="preserve"> </w:t>
            </w:r>
            <w:r w:rsidR="00C46E4D" w:rsidRPr="00E16672">
              <w:rPr>
                <w:rFonts w:ascii="Times New Roman" w:hAnsi="Times New Roman"/>
                <w:color w:val="000000"/>
                <w:sz w:val="16"/>
                <w:szCs w:val="16"/>
                <w:lang w:val="uk-UA"/>
              </w:rPr>
              <w:t>Номінальним утримувачем</w:t>
            </w:r>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претензії</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Депозитарної</w:t>
            </w:r>
            <w:proofErr w:type="spellEnd"/>
            <w:r w:rsidRPr="00E16672">
              <w:rPr>
                <w:rFonts w:ascii="Times New Roman" w:hAnsi="Times New Roman"/>
                <w:color w:val="000000"/>
                <w:sz w:val="16"/>
                <w:szCs w:val="16"/>
              </w:rPr>
              <w:t xml:space="preserve"> установи про оплату </w:t>
            </w:r>
            <w:proofErr w:type="spellStart"/>
            <w:r w:rsidRPr="00E16672">
              <w:rPr>
                <w:rFonts w:ascii="Times New Roman" w:hAnsi="Times New Roman"/>
                <w:color w:val="000000"/>
                <w:sz w:val="16"/>
                <w:szCs w:val="16"/>
              </w:rPr>
              <w:t>послуг</w:t>
            </w:r>
            <w:proofErr w:type="spellEnd"/>
            <w:r w:rsidRPr="00E16672">
              <w:rPr>
                <w:rFonts w:ascii="Times New Roman" w:hAnsi="Times New Roman"/>
                <w:color w:val="000000"/>
                <w:sz w:val="16"/>
                <w:szCs w:val="16"/>
              </w:rPr>
              <w:t xml:space="preserve"> без </w:t>
            </w:r>
            <w:proofErr w:type="spellStart"/>
            <w:r w:rsidRPr="00E16672">
              <w:rPr>
                <w:rFonts w:ascii="Times New Roman" w:hAnsi="Times New Roman"/>
                <w:color w:val="000000"/>
                <w:sz w:val="16"/>
                <w:szCs w:val="16"/>
              </w:rPr>
              <w:t>перерахування</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заборгованості</w:t>
            </w:r>
            <w:proofErr w:type="spellEnd"/>
            <w:r w:rsidRPr="00E16672">
              <w:rPr>
                <w:rFonts w:ascii="Times New Roman" w:hAnsi="Times New Roman"/>
                <w:color w:val="000000"/>
                <w:sz w:val="16"/>
                <w:szCs w:val="16"/>
              </w:rPr>
              <w:t xml:space="preserve"> не </w:t>
            </w:r>
            <w:proofErr w:type="spellStart"/>
            <w:r w:rsidRPr="00E16672">
              <w:rPr>
                <w:rFonts w:ascii="Times New Roman" w:hAnsi="Times New Roman"/>
                <w:color w:val="000000"/>
                <w:sz w:val="16"/>
                <w:szCs w:val="16"/>
              </w:rPr>
              <w:t>може</w:t>
            </w:r>
            <w:proofErr w:type="spellEnd"/>
            <w:r w:rsidRPr="00E16672">
              <w:rPr>
                <w:rFonts w:ascii="Times New Roman" w:hAnsi="Times New Roman"/>
                <w:color w:val="000000"/>
                <w:sz w:val="16"/>
                <w:szCs w:val="16"/>
              </w:rPr>
              <w:t xml:space="preserve"> бути </w:t>
            </w:r>
            <w:proofErr w:type="spellStart"/>
            <w:r w:rsidRPr="00E16672">
              <w:rPr>
                <w:rFonts w:ascii="Times New Roman" w:hAnsi="Times New Roman"/>
                <w:color w:val="000000"/>
                <w:sz w:val="16"/>
                <w:szCs w:val="16"/>
              </w:rPr>
              <w:t>підставою</w:t>
            </w:r>
            <w:proofErr w:type="spellEnd"/>
            <w:r w:rsidRPr="00E16672">
              <w:rPr>
                <w:rFonts w:ascii="Times New Roman" w:hAnsi="Times New Roman"/>
                <w:color w:val="000000"/>
                <w:sz w:val="16"/>
                <w:szCs w:val="16"/>
              </w:rPr>
              <w:t xml:space="preserve"> для </w:t>
            </w:r>
            <w:proofErr w:type="spellStart"/>
            <w:r w:rsidRPr="00E16672">
              <w:rPr>
                <w:rFonts w:ascii="Times New Roman" w:hAnsi="Times New Roman"/>
                <w:color w:val="000000"/>
                <w:sz w:val="16"/>
                <w:szCs w:val="16"/>
              </w:rPr>
              <w:t>припинення</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нарахування</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пені</w:t>
            </w:r>
            <w:proofErr w:type="spellEnd"/>
            <w:r w:rsidRPr="00E16672">
              <w:rPr>
                <w:rFonts w:ascii="Times New Roman" w:hAnsi="Times New Roman"/>
                <w:color w:val="000000"/>
                <w:sz w:val="16"/>
                <w:szCs w:val="16"/>
              </w:rPr>
              <w:t xml:space="preserve"> за </w:t>
            </w:r>
            <w:r w:rsidRPr="00E16672">
              <w:rPr>
                <w:rFonts w:ascii="Times New Roman" w:hAnsi="Times New Roman"/>
                <w:color w:val="000000"/>
                <w:sz w:val="16"/>
                <w:szCs w:val="16"/>
                <w:lang w:val="uk-UA"/>
              </w:rPr>
              <w:t>прострочення</w:t>
            </w:r>
            <w:r w:rsidRPr="00E16672">
              <w:rPr>
                <w:rFonts w:ascii="Times New Roman" w:hAnsi="Times New Roman"/>
                <w:color w:val="000000"/>
                <w:sz w:val="16"/>
                <w:szCs w:val="16"/>
              </w:rPr>
              <w:t xml:space="preserve"> платежу.</w:t>
            </w:r>
          </w:p>
          <w:p w14:paraId="37DBCECE" w14:textId="77777777" w:rsidR="00EB25FE" w:rsidRPr="00E16672" w:rsidRDefault="00EB25FE" w:rsidP="00794B3F">
            <w:pPr>
              <w:ind w:left="175" w:right="138" w:firstLine="7"/>
              <w:rPr>
                <w:rFonts w:ascii="Times New Roman" w:hAnsi="Times New Roman"/>
                <w:color w:val="000000"/>
                <w:sz w:val="16"/>
                <w:szCs w:val="16"/>
              </w:rPr>
            </w:pPr>
          </w:p>
        </w:tc>
        <w:tc>
          <w:tcPr>
            <w:tcW w:w="5495" w:type="dxa"/>
            <w:gridSpan w:val="8"/>
            <w:shd w:val="clear" w:color="auto" w:fill="auto"/>
          </w:tcPr>
          <w:p w14:paraId="069973C8" w14:textId="77777777" w:rsidR="00EB25FE" w:rsidRPr="00E16672" w:rsidRDefault="00EB25FE" w:rsidP="00794B3F">
            <w:pPr>
              <w:tabs>
                <w:tab w:val="left" w:pos="287"/>
              </w:tabs>
              <w:snapToGrid w:val="0"/>
              <w:ind w:left="175" w:right="100" w:firstLine="7"/>
              <w:rPr>
                <w:rFonts w:ascii="Times New Roman" w:hAnsi="Times New Roman"/>
                <w:color w:val="000000"/>
                <w:sz w:val="16"/>
                <w:szCs w:val="16"/>
                <w:lang w:val="en-GB"/>
              </w:rPr>
            </w:pPr>
            <w:r w:rsidRPr="00E16672">
              <w:rPr>
                <w:rFonts w:ascii="Times New Roman" w:hAnsi="Times New Roman"/>
                <w:color w:val="000000"/>
                <w:sz w:val="16"/>
                <w:szCs w:val="16"/>
                <w:lang w:val="en-GB"/>
              </w:rPr>
              <w:t xml:space="preserve">5.9.4. </w:t>
            </w:r>
            <w:proofErr w:type="gramStart"/>
            <w:r w:rsidRPr="00E16672">
              <w:rPr>
                <w:rFonts w:ascii="Times New Roman" w:hAnsi="Times New Roman"/>
                <w:color w:val="000000"/>
                <w:sz w:val="16"/>
                <w:szCs w:val="16"/>
                <w:lang w:val="en-GB"/>
              </w:rPr>
              <w:t>Thus</w:t>
            </w:r>
            <w:proofErr w:type="gramEnd"/>
            <w:r w:rsidRPr="00E16672">
              <w:rPr>
                <w:rFonts w:ascii="Times New Roman" w:hAnsi="Times New Roman"/>
                <w:color w:val="000000"/>
                <w:sz w:val="16"/>
                <w:szCs w:val="16"/>
                <w:lang w:val="en-GB"/>
              </w:rPr>
              <w:t xml:space="preserve"> confession of claim of Depository institution </w:t>
            </w:r>
            <w:r w:rsidR="00C46E4D" w:rsidRPr="00E16672">
              <w:rPr>
                <w:rFonts w:ascii="Times New Roman" w:hAnsi="Times New Roman"/>
                <w:sz w:val="16"/>
                <w:szCs w:val="16"/>
                <w:lang w:val="en-US"/>
              </w:rPr>
              <w:t>Nominee holder</w:t>
            </w:r>
            <w:r w:rsidR="00C46E4D" w:rsidRPr="00E16672">
              <w:rPr>
                <w:rFonts w:ascii="Times New Roman" w:hAnsi="Times New Roman"/>
                <w:color w:val="000000"/>
                <w:sz w:val="16"/>
                <w:szCs w:val="16"/>
                <w:lang w:val="en-GB"/>
              </w:rPr>
              <w:t xml:space="preserve"> </w:t>
            </w:r>
            <w:r w:rsidRPr="00E16672">
              <w:rPr>
                <w:rFonts w:ascii="Times New Roman" w:hAnsi="Times New Roman"/>
                <w:color w:val="000000"/>
                <w:sz w:val="16"/>
                <w:szCs w:val="16"/>
                <w:lang w:val="en-GB"/>
              </w:rPr>
              <w:t xml:space="preserve">about payment of services without enumeration of debt </w:t>
            </w:r>
            <w:proofErr w:type="spellStart"/>
            <w:r w:rsidRPr="00E16672">
              <w:rPr>
                <w:rFonts w:ascii="Times New Roman" w:hAnsi="Times New Roman"/>
                <w:color w:val="000000"/>
                <w:sz w:val="16"/>
                <w:szCs w:val="16"/>
                <w:lang w:val="en-GB"/>
              </w:rPr>
              <w:t>can not</w:t>
            </w:r>
            <w:proofErr w:type="spellEnd"/>
            <w:r w:rsidRPr="00E16672">
              <w:rPr>
                <w:rFonts w:ascii="Times New Roman" w:hAnsi="Times New Roman"/>
                <w:color w:val="000000"/>
                <w:sz w:val="16"/>
                <w:szCs w:val="16"/>
                <w:lang w:val="en-GB"/>
              </w:rPr>
              <w:t xml:space="preserve"> be foundation for stopping of extra charge of fine for overdue payment.</w:t>
            </w:r>
          </w:p>
          <w:p w14:paraId="47FB62F3" w14:textId="77777777" w:rsidR="00EB25FE" w:rsidRPr="00E16672" w:rsidRDefault="00EB25FE" w:rsidP="00794B3F">
            <w:pPr>
              <w:tabs>
                <w:tab w:val="left" w:pos="287"/>
              </w:tabs>
              <w:snapToGrid w:val="0"/>
              <w:ind w:left="175" w:right="100" w:firstLine="7"/>
              <w:rPr>
                <w:rFonts w:ascii="Times New Roman" w:hAnsi="Times New Roman"/>
                <w:color w:val="000000"/>
                <w:sz w:val="16"/>
                <w:szCs w:val="16"/>
                <w:lang w:val="en-GB"/>
              </w:rPr>
            </w:pPr>
          </w:p>
        </w:tc>
      </w:tr>
      <w:tr w:rsidR="00EB25FE" w:rsidRPr="00A26EFC" w14:paraId="13873D81" w14:textId="77777777" w:rsidTr="005E418B">
        <w:tblPrEx>
          <w:tblCellMar>
            <w:left w:w="0" w:type="dxa"/>
            <w:right w:w="0" w:type="dxa"/>
          </w:tblCellMar>
        </w:tblPrEx>
        <w:trPr>
          <w:trHeight w:val="192"/>
        </w:trPr>
        <w:tc>
          <w:tcPr>
            <w:tcW w:w="5695" w:type="dxa"/>
            <w:gridSpan w:val="7"/>
            <w:shd w:val="clear" w:color="auto" w:fill="auto"/>
          </w:tcPr>
          <w:p w14:paraId="0336B431" w14:textId="77777777" w:rsidR="00EB25FE" w:rsidRPr="00E16672" w:rsidRDefault="00EB25FE" w:rsidP="00794B3F">
            <w:pPr>
              <w:snapToGrid w:val="0"/>
              <w:ind w:left="175" w:right="138" w:firstLine="7"/>
              <w:rPr>
                <w:rFonts w:ascii="Times New Roman" w:hAnsi="Times New Roman"/>
                <w:sz w:val="16"/>
                <w:szCs w:val="16"/>
                <w:lang w:val="en-US"/>
              </w:rPr>
            </w:pPr>
            <w:r w:rsidRPr="00E16672">
              <w:rPr>
                <w:rFonts w:ascii="Times New Roman" w:hAnsi="Times New Roman"/>
                <w:sz w:val="16"/>
                <w:szCs w:val="16"/>
                <w:lang w:val="en-US"/>
              </w:rPr>
              <w:t xml:space="preserve">5.10. </w:t>
            </w:r>
            <w:proofErr w:type="spellStart"/>
            <w:r w:rsidRPr="00E16672">
              <w:rPr>
                <w:rFonts w:ascii="Times New Roman" w:hAnsi="Times New Roman"/>
                <w:sz w:val="16"/>
                <w:szCs w:val="16"/>
              </w:rPr>
              <w:t>Прострочення</w:t>
            </w:r>
            <w:proofErr w:type="spellEnd"/>
            <w:r w:rsidRPr="00E16672">
              <w:rPr>
                <w:rFonts w:ascii="Times New Roman" w:hAnsi="Times New Roman"/>
                <w:sz w:val="16"/>
                <w:szCs w:val="16"/>
                <w:lang w:val="en-GB"/>
              </w:rPr>
              <w:t xml:space="preserve"> </w:t>
            </w:r>
            <w:r w:rsidRPr="00E16672">
              <w:rPr>
                <w:rFonts w:ascii="Times New Roman" w:hAnsi="Times New Roman"/>
                <w:sz w:val="16"/>
                <w:szCs w:val="16"/>
              </w:rPr>
              <w:t>платежу</w:t>
            </w:r>
            <w:r w:rsidRPr="00E16672">
              <w:rPr>
                <w:rFonts w:ascii="Times New Roman" w:hAnsi="Times New Roman"/>
                <w:sz w:val="16"/>
                <w:szCs w:val="16"/>
                <w:lang w:val="en-GB"/>
              </w:rPr>
              <w:t xml:space="preserve"> </w:t>
            </w:r>
            <w:proofErr w:type="spellStart"/>
            <w:r w:rsidRPr="00E16672">
              <w:rPr>
                <w:rFonts w:ascii="Times New Roman" w:hAnsi="Times New Roman"/>
                <w:sz w:val="16"/>
                <w:szCs w:val="16"/>
              </w:rPr>
              <w:t>більш</w:t>
            </w:r>
            <w:proofErr w:type="spellEnd"/>
            <w:r w:rsidRPr="00E16672">
              <w:rPr>
                <w:rFonts w:ascii="Times New Roman" w:hAnsi="Times New Roman"/>
                <w:sz w:val="16"/>
                <w:szCs w:val="16"/>
                <w:lang w:val="en-GB"/>
              </w:rPr>
              <w:t xml:space="preserve"> </w:t>
            </w:r>
            <w:r w:rsidRPr="00E16672">
              <w:rPr>
                <w:rFonts w:ascii="Times New Roman" w:hAnsi="Times New Roman"/>
                <w:sz w:val="16"/>
                <w:szCs w:val="16"/>
              </w:rPr>
              <w:t>як</w:t>
            </w:r>
            <w:r w:rsidRPr="00E16672">
              <w:rPr>
                <w:rFonts w:ascii="Times New Roman" w:hAnsi="Times New Roman"/>
                <w:sz w:val="16"/>
                <w:szCs w:val="16"/>
                <w:lang w:val="en-GB"/>
              </w:rPr>
              <w:t xml:space="preserve"> </w:t>
            </w:r>
            <w:r w:rsidRPr="00E16672">
              <w:rPr>
                <w:rFonts w:ascii="Times New Roman" w:hAnsi="Times New Roman"/>
                <w:sz w:val="16"/>
                <w:szCs w:val="16"/>
              </w:rPr>
              <w:t>на</w:t>
            </w:r>
            <w:r w:rsidRPr="00E16672">
              <w:rPr>
                <w:rFonts w:ascii="Times New Roman" w:hAnsi="Times New Roman"/>
                <w:sz w:val="16"/>
                <w:szCs w:val="16"/>
                <w:lang w:val="en-GB"/>
              </w:rPr>
              <w:t xml:space="preserve"> 180 </w:t>
            </w:r>
            <w:proofErr w:type="spellStart"/>
            <w:r w:rsidRPr="00E16672">
              <w:rPr>
                <w:rFonts w:ascii="Times New Roman" w:hAnsi="Times New Roman"/>
                <w:sz w:val="16"/>
                <w:szCs w:val="16"/>
              </w:rPr>
              <w:t>днів</w:t>
            </w:r>
            <w:proofErr w:type="spellEnd"/>
            <w:r w:rsidRPr="00E16672">
              <w:rPr>
                <w:rFonts w:ascii="Times New Roman" w:hAnsi="Times New Roman"/>
                <w:sz w:val="16"/>
                <w:szCs w:val="16"/>
                <w:lang w:val="en-GB"/>
              </w:rPr>
              <w:t xml:space="preserve"> </w:t>
            </w:r>
            <w:proofErr w:type="spellStart"/>
            <w:r w:rsidRPr="00E16672">
              <w:rPr>
                <w:rFonts w:ascii="Times New Roman" w:hAnsi="Times New Roman"/>
                <w:sz w:val="16"/>
                <w:szCs w:val="16"/>
              </w:rPr>
              <w:t>вважається</w:t>
            </w:r>
            <w:proofErr w:type="spellEnd"/>
            <w:r w:rsidRPr="00E16672">
              <w:rPr>
                <w:rFonts w:ascii="Times New Roman" w:hAnsi="Times New Roman"/>
                <w:sz w:val="16"/>
                <w:szCs w:val="16"/>
                <w:lang w:val="en-GB"/>
              </w:rPr>
              <w:t xml:space="preserve"> </w:t>
            </w:r>
            <w:proofErr w:type="spellStart"/>
            <w:r w:rsidRPr="00E16672">
              <w:rPr>
                <w:rFonts w:ascii="Times New Roman" w:hAnsi="Times New Roman"/>
                <w:sz w:val="16"/>
                <w:szCs w:val="16"/>
              </w:rPr>
              <w:t>відмовою</w:t>
            </w:r>
            <w:proofErr w:type="spellEnd"/>
            <w:r w:rsidRPr="00E16672">
              <w:rPr>
                <w:rFonts w:ascii="Times New Roman" w:hAnsi="Times New Roman"/>
                <w:sz w:val="16"/>
                <w:szCs w:val="16"/>
                <w:lang w:val="en-GB"/>
              </w:rPr>
              <w:t xml:space="preserve"> </w:t>
            </w:r>
            <w:proofErr w:type="spellStart"/>
            <w:r w:rsidRPr="00E16672">
              <w:rPr>
                <w:rFonts w:ascii="Times New Roman" w:hAnsi="Times New Roman"/>
                <w:sz w:val="16"/>
                <w:szCs w:val="16"/>
              </w:rPr>
              <w:t>від</w:t>
            </w:r>
            <w:proofErr w:type="spellEnd"/>
            <w:r w:rsidRPr="00E16672">
              <w:rPr>
                <w:rFonts w:ascii="Times New Roman" w:hAnsi="Times New Roman"/>
                <w:sz w:val="16"/>
                <w:szCs w:val="16"/>
                <w:lang w:val="en-GB"/>
              </w:rPr>
              <w:t xml:space="preserve"> </w:t>
            </w:r>
            <w:proofErr w:type="spellStart"/>
            <w:r w:rsidRPr="00E16672">
              <w:rPr>
                <w:rFonts w:ascii="Times New Roman" w:hAnsi="Times New Roman"/>
                <w:sz w:val="16"/>
                <w:szCs w:val="16"/>
              </w:rPr>
              <w:t>виконання</w:t>
            </w:r>
            <w:proofErr w:type="spellEnd"/>
            <w:r w:rsidRPr="00E16672">
              <w:rPr>
                <w:rFonts w:ascii="Times New Roman" w:hAnsi="Times New Roman"/>
                <w:sz w:val="16"/>
                <w:szCs w:val="16"/>
                <w:lang w:val="en-GB"/>
              </w:rPr>
              <w:t xml:space="preserve"> </w:t>
            </w:r>
            <w:r w:rsidRPr="00E16672">
              <w:rPr>
                <w:rFonts w:ascii="Times New Roman" w:hAnsi="Times New Roman"/>
                <w:sz w:val="16"/>
                <w:szCs w:val="16"/>
              </w:rPr>
              <w:t>умов</w:t>
            </w:r>
            <w:r w:rsidRPr="00E16672">
              <w:rPr>
                <w:rFonts w:ascii="Times New Roman" w:hAnsi="Times New Roman"/>
                <w:sz w:val="16"/>
                <w:szCs w:val="16"/>
                <w:lang w:val="en-GB"/>
              </w:rPr>
              <w:t xml:space="preserve"> </w:t>
            </w:r>
            <w:r w:rsidRPr="00E16672">
              <w:rPr>
                <w:rFonts w:ascii="Times New Roman" w:hAnsi="Times New Roman"/>
                <w:sz w:val="16"/>
                <w:szCs w:val="16"/>
              </w:rPr>
              <w:t>Договору</w:t>
            </w:r>
            <w:r w:rsidRPr="00E16672">
              <w:rPr>
                <w:rFonts w:ascii="Times New Roman" w:hAnsi="Times New Roman"/>
                <w:sz w:val="16"/>
                <w:szCs w:val="16"/>
                <w:lang w:val="en-GB"/>
              </w:rPr>
              <w:t xml:space="preserve">, </w:t>
            </w:r>
            <w:r w:rsidRPr="00E16672">
              <w:rPr>
                <w:rFonts w:ascii="Times New Roman" w:hAnsi="Times New Roman"/>
                <w:sz w:val="16"/>
                <w:szCs w:val="16"/>
              </w:rPr>
              <w:t>у</w:t>
            </w:r>
            <w:r w:rsidRPr="00E16672">
              <w:rPr>
                <w:rFonts w:ascii="Times New Roman" w:hAnsi="Times New Roman"/>
                <w:sz w:val="16"/>
                <w:szCs w:val="16"/>
                <w:lang w:val="en-GB"/>
              </w:rPr>
              <w:t xml:space="preserve"> </w:t>
            </w:r>
            <w:proofErr w:type="spellStart"/>
            <w:r w:rsidRPr="00E16672">
              <w:rPr>
                <w:rFonts w:ascii="Times New Roman" w:hAnsi="Times New Roman"/>
                <w:sz w:val="16"/>
                <w:szCs w:val="16"/>
              </w:rPr>
              <w:t>зв</w:t>
            </w:r>
            <w:proofErr w:type="spellEnd"/>
            <w:r w:rsidRPr="00E16672">
              <w:rPr>
                <w:rFonts w:ascii="Times New Roman" w:hAnsi="Times New Roman"/>
                <w:sz w:val="16"/>
                <w:szCs w:val="16"/>
                <w:lang w:val="en-GB"/>
              </w:rPr>
              <w:t>'</w:t>
            </w:r>
            <w:proofErr w:type="spellStart"/>
            <w:r w:rsidRPr="00E16672">
              <w:rPr>
                <w:rFonts w:ascii="Times New Roman" w:hAnsi="Times New Roman"/>
                <w:sz w:val="16"/>
                <w:szCs w:val="16"/>
              </w:rPr>
              <w:t>язку</w:t>
            </w:r>
            <w:proofErr w:type="spellEnd"/>
            <w:r w:rsidRPr="00E16672">
              <w:rPr>
                <w:rFonts w:ascii="Times New Roman" w:hAnsi="Times New Roman"/>
                <w:sz w:val="16"/>
                <w:szCs w:val="16"/>
                <w:lang w:val="en-GB"/>
              </w:rPr>
              <w:t xml:space="preserve"> </w:t>
            </w:r>
            <w:r w:rsidRPr="00E16672">
              <w:rPr>
                <w:rFonts w:ascii="Times New Roman" w:hAnsi="Times New Roman"/>
                <w:sz w:val="16"/>
                <w:szCs w:val="16"/>
              </w:rPr>
              <w:t>з</w:t>
            </w:r>
            <w:r w:rsidRPr="00E16672">
              <w:rPr>
                <w:rFonts w:ascii="Times New Roman" w:hAnsi="Times New Roman"/>
                <w:sz w:val="16"/>
                <w:szCs w:val="16"/>
                <w:lang w:val="en-GB"/>
              </w:rPr>
              <w:t xml:space="preserve"> </w:t>
            </w:r>
            <w:proofErr w:type="spellStart"/>
            <w:r w:rsidRPr="00E16672">
              <w:rPr>
                <w:rFonts w:ascii="Times New Roman" w:hAnsi="Times New Roman"/>
                <w:sz w:val="16"/>
                <w:szCs w:val="16"/>
              </w:rPr>
              <w:t>чим</w:t>
            </w:r>
            <w:proofErr w:type="spellEnd"/>
            <w:r w:rsidRPr="00E16672">
              <w:rPr>
                <w:rFonts w:ascii="Times New Roman" w:hAnsi="Times New Roman"/>
                <w:sz w:val="16"/>
                <w:szCs w:val="16"/>
                <w:lang w:val="en-GB"/>
              </w:rPr>
              <w:t xml:space="preserve">, </w:t>
            </w:r>
            <w:proofErr w:type="spellStart"/>
            <w:r w:rsidRPr="00E16672">
              <w:rPr>
                <w:rFonts w:ascii="Times New Roman" w:hAnsi="Times New Roman"/>
                <w:sz w:val="16"/>
                <w:szCs w:val="16"/>
              </w:rPr>
              <w:t>Депозитарна</w:t>
            </w:r>
            <w:proofErr w:type="spellEnd"/>
            <w:r w:rsidRPr="00E16672">
              <w:rPr>
                <w:rFonts w:ascii="Times New Roman" w:hAnsi="Times New Roman"/>
                <w:sz w:val="16"/>
                <w:szCs w:val="16"/>
                <w:lang w:val="en-GB"/>
              </w:rPr>
              <w:t xml:space="preserve"> </w:t>
            </w:r>
            <w:proofErr w:type="spellStart"/>
            <w:r w:rsidRPr="00E16672">
              <w:rPr>
                <w:rFonts w:ascii="Times New Roman" w:hAnsi="Times New Roman"/>
                <w:sz w:val="16"/>
                <w:szCs w:val="16"/>
              </w:rPr>
              <w:t>установа</w:t>
            </w:r>
            <w:proofErr w:type="spellEnd"/>
            <w:r w:rsidRPr="00E16672">
              <w:rPr>
                <w:rFonts w:ascii="Times New Roman" w:hAnsi="Times New Roman"/>
                <w:sz w:val="16"/>
                <w:szCs w:val="16"/>
                <w:lang w:val="en-GB"/>
              </w:rPr>
              <w:t xml:space="preserve"> </w:t>
            </w:r>
            <w:proofErr w:type="spellStart"/>
            <w:r w:rsidRPr="00E16672">
              <w:rPr>
                <w:rFonts w:ascii="Times New Roman" w:hAnsi="Times New Roman"/>
                <w:sz w:val="16"/>
                <w:szCs w:val="16"/>
              </w:rPr>
              <w:t>має</w:t>
            </w:r>
            <w:proofErr w:type="spellEnd"/>
            <w:r w:rsidRPr="00E16672">
              <w:rPr>
                <w:rFonts w:ascii="Times New Roman" w:hAnsi="Times New Roman"/>
                <w:sz w:val="16"/>
                <w:szCs w:val="16"/>
                <w:lang w:val="en-GB"/>
              </w:rPr>
              <w:t xml:space="preserve"> </w:t>
            </w:r>
            <w:r w:rsidRPr="00E16672">
              <w:rPr>
                <w:rFonts w:ascii="Times New Roman" w:hAnsi="Times New Roman"/>
                <w:sz w:val="16"/>
                <w:szCs w:val="16"/>
              </w:rPr>
              <w:t>право</w:t>
            </w:r>
            <w:r w:rsidRPr="00E16672">
              <w:rPr>
                <w:rFonts w:ascii="Times New Roman" w:hAnsi="Times New Roman"/>
                <w:sz w:val="16"/>
                <w:szCs w:val="16"/>
                <w:lang w:val="en-GB"/>
              </w:rPr>
              <w:t xml:space="preserve"> </w:t>
            </w:r>
            <w:proofErr w:type="spellStart"/>
            <w:r w:rsidRPr="00E16672">
              <w:rPr>
                <w:rFonts w:ascii="Times New Roman" w:hAnsi="Times New Roman"/>
                <w:sz w:val="16"/>
                <w:szCs w:val="16"/>
              </w:rPr>
              <w:t>нарахувати</w:t>
            </w:r>
            <w:proofErr w:type="spellEnd"/>
            <w:r w:rsidRPr="00E16672">
              <w:rPr>
                <w:rFonts w:ascii="Times New Roman" w:hAnsi="Times New Roman"/>
                <w:sz w:val="16"/>
                <w:szCs w:val="16"/>
                <w:lang w:val="en-GB"/>
              </w:rPr>
              <w:t xml:space="preserve"> </w:t>
            </w:r>
            <w:r w:rsidRPr="00E16672">
              <w:rPr>
                <w:rFonts w:ascii="Times New Roman" w:hAnsi="Times New Roman"/>
                <w:sz w:val="16"/>
                <w:szCs w:val="16"/>
              </w:rPr>
              <w:t>та</w:t>
            </w:r>
            <w:r w:rsidRPr="00E16672">
              <w:rPr>
                <w:rFonts w:ascii="Times New Roman" w:hAnsi="Times New Roman"/>
                <w:sz w:val="16"/>
                <w:szCs w:val="16"/>
                <w:lang w:val="en-GB"/>
              </w:rPr>
              <w:t xml:space="preserve"> </w:t>
            </w:r>
            <w:proofErr w:type="spellStart"/>
            <w:r w:rsidRPr="00E16672">
              <w:rPr>
                <w:rFonts w:ascii="Times New Roman" w:hAnsi="Times New Roman"/>
                <w:sz w:val="16"/>
                <w:szCs w:val="16"/>
              </w:rPr>
              <w:t>стягнути</w:t>
            </w:r>
            <w:proofErr w:type="spellEnd"/>
            <w:r w:rsidRPr="00E16672">
              <w:rPr>
                <w:rFonts w:ascii="Times New Roman" w:hAnsi="Times New Roman"/>
                <w:sz w:val="16"/>
                <w:szCs w:val="16"/>
                <w:lang w:val="en-GB"/>
              </w:rPr>
              <w:t xml:space="preserve"> </w:t>
            </w:r>
            <w:r w:rsidRPr="00E16672">
              <w:rPr>
                <w:rFonts w:ascii="Times New Roman" w:hAnsi="Times New Roman"/>
                <w:sz w:val="16"/>
                <w:szCs w:val="16"/>
              </w:rPr>
              <w:t>з</w:t>
            </w:r>
            <w:r w:rsidRPr="00E16672">
              <w:rPr>
                <w:rFonts w:ascii="Times New Roman" w:hAnsi="Times New Roman"/>
                <w:sz w:val="16"/>
                <w:szCs w:val="16"/>
                <w:lang w:val="en-GB"/>
              </w:rPr>
              <w:t xml:space="preserve"> </w:t>
            </w:r>
            <w:proofErr w:type="spellStart"/>
            <w:r w:rsidRPr="00E16672">
              <w:rPr>
                <w:rFonts w:ascii="Times New Roman" w:hAnsi="Times New Roman"/>
                <w:sz w:val="16"/>
                <w:szCs w:val="16"/>
              </w:rPr>
              <w:t>іншої</w:t>
            </w:r>
            <w:proofErr w:type="spellEnd"/>
            <w:r w:rsidRPr="00E16672">
              <w:rPr>
                <w:rFonts w:ascii="Times New Roman" w:hAnsi="Times New Roman"/>
                <w:sz w:val="16"/>
                <w:szCs w:val="16"/>
                <w:lang w:val="en-GB"/>
              </w:rPr>
              <w:t xml:space="preserve"> </w:t>
            </w:r>
            <w:proofErr w:type="spellStart"/>
            <w:r w:rsidRPr="00E16672">
              <w:rPr>
                <w:rFonts w:ascii="Times New Roman" w:hAnsi="Times New Roman"/>
                <w:sz w:val="16"/>
                <w:szCs w:val="16"/>
              </w:rPr>
              <w:t>Сторони</w:t>
            </w:r>
            <w:proofErr w:type="spellEnd"/>
            <w:r w:rsidRPr="00E16672">
              <w:rPr>
                <w:rFonts w:ascii="Times New Roman" w:hAnsi="Times New Roman"/>
                <w:sz w:val="16"/>
                <w:szCs w:val="16"/>
                <w:lang w:val="en-GB"/>
              </w:rPr>
              <w:t xml:space="preserve">, </w:t>
            </w:r>
            <w:proofErr w:type="spellStart"/>
            <w:r w:rsidRPr="00E16672">
              <w:rPr>
                <w:rFonts w:ascii="Times New Roman" w:hAnsi="Times New Roman"/>
                <w:sz w:val="16"/>
                <w:szCs w:val="16"/>
              </w:rPr>
              <w:t>крім</w:t>
            </w:r>
            <w:proofErr w:type="spellEnd"/>
            <w:r w:rsidRPr="00E16672">
              <w:rPr>
                <w:rFonts w:ascii="Times New Roman" w:hAnsi="Times New Roman"/>
                <w:sz w:val="16"/>
                <w:szCs w:val="16"/>
                <w:lang w:val="en-GB"/>
              </w:rPr>
              <w:t xml:space="preserve"> </w:t>
            </w:r>
            <w:proofErr w:type="spellStart"/>
            <w:proofErr w:type="gramStart"/>
            <w:r w:rsidRPr="00E16672">
              <w:rPr>
                <w:rFonts w:ascii="Times New Roman" w:hAnsi="Times New Roman"/>
                <w:sz w:val="16"/>
                <w:szCs w:val="16"/>
              </w:rPr>
              <w:t>пені</w:t>
            </w:r>
            <w:proofErr w:type="spellEnd"/>
            <w:r w:rsidRPr="00E16672">
              <w:rPr>
                <w:rFonts w:ascii="Times New Roman" w:hAnsi="Times New Roman"/>
                <w:sz w:val="16"/>
                <w:szCs w:val="16"/>
                <w:lang w:val="en-GB"/>
              </w:rPr>
              <w:t xml:space="preserve">,  </w:t>
            </w:r>
            <w:r w:rsidRPr="00E16672">
              <w:rPr>
                <w:rFonts w:ascii="Times New Roman" w:hAnsi="Times New Roman"/>
                <w:sz w:val="16"/>
                <w:szCs w:val="16"/>
              </w:rPr>
              <w:t>штраф</w:t>
            </w:r>
            <w:proofErr w:type="gramEnd"/>
            <w:r w:rsidRPr="00E16672">
              <w:rPr>
                <w:rFonts w:ascii="Times New Roman" w:hAnsi="Times New Roman"/>
                <w:sz w:val="16"/>
                <w:szCs w:val="16"/>
                <w:lang w:val="en-GB"/>
              </w:rPr>
              <w:t xml:space="preserve"> </w:t>
            </w:r>
            <w:r w:rsidRPr="00E16672">
              <w:rPr>
                <w:rFonts w:ascii="Times New Roman" w:hAnsi="Times New Roman"/>
                <w:sz w:val="16"/>
                <w:szCs w:val="16"/>
              </w:rPr>
              <w:t>у</w:t>
            </w:r>
            <w:r w:rsidRPr="00E16672">
              <w:rPr>
                <w:rFonts w:ascii="Times New Roman" w:hAnsi="Times New Roman"/>
                <w:sz w:val="16"/>
                <w:szCs w:val="16"/>
                <w:lang w:val="en-GB"/>
              </w:rPr>
              <w:t xml:space="preserve"> </w:t>
            </w:r>
            <w:proofErr w:type="spellStart"/>
            <w:r w:rsidRPr="00E16672">
              <w:rPr>
                <w:rFonts w:ascii="Times New Roman" w:hAnsi="Times New Roman"/>
                <w:sz w:val="16"/>
                <w:szCs w:val="16"/>
              </w:rPr>
              <w:t>розмірі</w:t>
            </w:r>
            <w:proofErr w:type="spellEnd"/>
            <w:r w:rsidRPr="00E16672">
              <w:rPr>
                <w:rFonts w:ascii="Times New Roman" w:hAnsi="Times New Roman"/>
                <w:sz w:val="16"/>
                <w:szCs w:val="16"/>
                <w:lang w:val="en-GB"/>
              </w:rPr>
              <w:t xml:space="preserve"> 20% </w:t>
            </w:r>
            <w:proofErr w:type="spellStart"/>
            <w:r w:rsidRPr="00E16672">
              <w:rPr>
                <w:rFonts w:ascii="Times New Roman" w:hAnsi="Times New Roman"/>
                <w:sz w:val="16"/>
                <w:szCs w:val="16"/>
              </w:rPr>
              <w:t>від</w:t>
            </w:r>
            <w:proofErr w:type="spellEnd"/>
            <w:r w:rsidRPr="00E16672">
              <w:rPr>
                <w:rFonts w:ascii="Times New Roman" w:hAnsi="Times New Roman"/>
                <w:sz w:val="16"/>
                <w:szCs w:val="16"/>
                <w:lang w:val="en-GB"/>
              </w:rPr>
              <w:t xml:space="preserve"> </w:t>
            </w:r>
            <w:proofErr w:type="spellStart"/>
            <w:r w:rsidRPr="00E16672">
              <w:rPr>
                <w:rFonts w:ascii="Times New Roman" w:hAnsi="Times New Roman"/>
                <w:sz w:val="16"/>
                <w:szCs w:val="16"/>
              </w:rPr>
              <w:t>суми</w:t>
            </w:r>
            <w:proofErr w:type="spellEnd"/>
            <w:r w:rsidRPr="00E16672">
              <w:rPr>
                <w:rFonts w:ascii="Times New Roman" w:hAnsi="Times New Roman"/>
                <w:sz w:val="16"/>
                <w:szCs w:val="16"/>
                <w:lang w:val="en-GB"/>
              </w:rPr>
              <w:t xml:space="preserve"> </w:t>
            </w:r>
            <w:proofErr w:type="spellStart"/>
            <w:r w:rsidRPr="00E16672">
              <w:rPr>
                <w:rFonts w:ascii="Times New Roman" w:hAnsi="Times New Roman"/>
                <w:sz w:val="16"/>
                <w:szCs w:val="16"/>
              </w:rPr>
              <w:t>невиконаного</w:t>
            </w:r>
            <w:proofErr w:type="spellEnd"/>
            <w:r w:rsidRPr="00E16672">
              <w:rPr>
                <w:rFonts w:ascii="Times New Roman" w:hAnsi="Times New Roman"/>
                <w:sz w:val="16"/>
                <w:szCs w:val="16"/>
                <w:lang w:val="en-GB"/>
              </w:rPr>
              <w:t xml:space="preserve"> </w:t>
            </w:r>
            <w:r w:rsidRPr="00E16672">
              <w:rPr>
                <w:rFonts w:ascii="Times New Roman" w:hAnsi="Times New Roman"/>
                <w:sz w:val="16"/>
                <w:szCs w:val="16"/>
              </w:rPr>
              <w:t>зобов</w:t>
            </w:r>
            <w:r w:rsidRPr="00E16672">
              <w:rPr>
                <w:rFonts w:ascii="Times New Roman" w:hAnsi="Times New Roman"/>
                <w:sz w:val="16"/>
                <w:szCs w:val="16"/>
                <w:lang w:val="en-GB"/>
              </w:rPr>
              <w:t>'</w:t>
            </w:r>
            <w:proofErr w:type="spellStart"/>
            <w:r w:rsidRPr="00E16672">
              <w:rPr>
                <w:rFonts w:ascii="Times New Roman" w:hAnsi="Times New Roman"/>
                <w:sz w:val="16"/>
                <w:szCs w:val="16"/>
              </w:rPr>
              <w:t>язання</w:t>
            </w:r>
            <w:proofErr w:type="spellEnd"/>
            <w:r w:rsidRPr="00E16672">
              <w:rPr>
                <w:rFonts w:ascii="Times New Roman" w:hAnsi="Times New Roman"/>
                <w:sz w:val="16"/>
                <w:szCs w:val="16"/>
                <w:lang w:val="en-US"/>
              </w:rPr>
              <w:t>.</w:t>
            </w:r>
          </w:p>
          <w:p w14:paraId="64AB5F77" w14:textId="77777777" w:rsidR="00EB25FE" w:rsidRPr="00E16672" w:rsidRDefault="00EB25FE" w:rsidP="00794B3F">
            <w:pPr>
              <w:ind w:left="175" w:right="138" w:firstLine="7"/>
              <w:rPr>
                <w:rFonts w:ascii="Times New Roman" w:hAnsi="Times New Roman"/>
                <w:sz w:val="16"/>
                <w:szCs w:val="16"/>
                <w:lang w:val="en-US"/>
              </w:rPr>
            </w:pPr>
          </w:p>
        </w:tc>
        <w:tc>
          <w:tcPr>
            <w:tcW w:w="5495" w:type="dxa"/>
            <w:gridSpan w:val="8"/>
            <w:shd w:val="clear" w:color="auto" w:fill="auto"/>
          </w:tcPr>
          <w:p w14:paraId="1D7A43C2" w14:textId="77777777" w:rsidR="00EB25FE" w:rsidRPr="00E16672" w:rsidRDefault="00EB25FE" w:rsidP="00794B3F">
            <w:pPr>
              <w:tabs>
                <w:tab w:val="left" w:pos="287"/>
              </w:tabs>
              <w:snapToGrid w:val="0"/>
              <w:ind w:left="175" w:right="100" w:firstLine="7"/>
              <w:rPr>
                <w:rFonts w:ascii="Times New Roman" w:hAnsi="Times New Roman"/>
                <w:sz w:val="16"/>
                <w:szCs w:val="16"/>
                <w:lang w:val="en-GB"/>
              </w:rPr>
            </w:pPr>
            <w:r w:rsidRPr="00E16672">
              <w:rPr>
                <w:rFonts w:ascii="Times New Roman" w:hAnsi="Times New Roman"/>
                <w:sz w:val="16"/>
                <w:szCs w:val="16"/>
                <w:lang w:val="en-GB"/>
              </w:rPr>
              <w:t>5.10. The extension of payments more than on 180 days is considered the waiver of implementation of conditions of the Agreement, so, Depository institution has the right to charge and collect from other Party,</w:t>
            </w:r>
            <w:r w:rsidRPr="00E16672">
              <w:rPr>
                <w:rStyle w:val="WW8Num2z1"/>
                <w:rFonts w:ascii="Times New Roman" w:hAnsi="Times New Roman" w:cs="Times New Roman"/>
                <w:lang w:val="en-GB"/>
              </w:rPr>
              <w:t xml:space="preserve"> </w:t>
            </w:r>
            <w:r w:rsidRPr="00E16672">
              <w:rPr>
                <w:rFonts w:ascii="Times New Roman" w:hAnsi="Times New Roman"/>
                <w:sz w:val="16"/>
                <w:szCs w:val="16"/>
                <w:lang w:val="en-GB"/>
              </w:rPr>
              <w:t>except fine, a penalty of 20% from the sum of unfulfilled obligation.</w:t>
            </w:r>
          </w:p>
          <w:p w14:paraId="768626B1" w14:textId="77777777" w:rsidR="00EB25FE" w:rsidRPr="00E16672" w:rsidRDefault="00EB25FE" w:rsidP="00794B3F">
            <w:pPr>
              <w:tabs>
                <w:tab w:val="left" w:pos="287"/>
              </w:tabs>
              <w:snapToGrid w:val="0"/>
              <w:ind w:left="175" w:right="100" w:firstLine="7"/>
              <w:rPr>
                <w:rFonts w:ascii="Times New Roman" w:hAnsi="Times New Roman"/>
                <w:sz w:val="16"/>
                <w:szCs w:val="16"/>
                <w:lang w:val="en-GB"/>
              </w:rPr>
            </w:pPr>
          </w:p>
        </w:tc>
      </w:tr>
      <w:tr w:rsidR="00EB25FE" w:rsidRPr="00A26EFC" w14:paraId="7A8DECBB" w14:textId="77777777" w:rsidTr="005E418B">
        <w:tblPrEx>
          <w:tblCellMar>
            <w:left w:w="0" w:type="dxa"/>
            <w:right w:w="0" w:type="dxa"/>
          </w:tblCellMar>
        </w:tblPrEx>
        <w:trPr>
          <w:trHeight w:val="192"/>
        </w:trPr>
        <w:tc>
          <w:tcPr>
            <w:tcW w:w="5695" w:type="dxa"/>
            <w:gridSpan w:val="7"/>
            <w:shd w:val="clear" w:color="auto" w:fill="auto"/>
          </w:tcPr>
          <w:p w14:paraId="464F323D" w14:textId="77777777" w:rsidR="00EB25FE" w:rsidRPr="00E16672" w:rsidRDefault="00EB25FE" w:rsidP="00084686">
            <w:pPr>
              <w:snapToGrid w:val="0"/>
              <w:ind w:left="175" w:right="138" w:firstLine="7"/>
              <w:rPr>
                <w:rFonts w:ascii="Times New Roman" w:hAnsi="Times New Roman"/>
                <w:sz w:val="16"/>
                <w:szCs w:val="16"/>
              </w:rPr>
            </w:pPr>
            <w:r w:rsidRPr="00E16672">
              <w:rPr>
                <w:rFonts w:ascii="Times New Roman" w:hAnsi="Times New Roman"/>
                <w:sz w:val="16"/>
                <w:szCs w:val="16"/>
              </w:rPr>
              <w:t xml:space="preserve">5.10.1. </w:t>
            </w:r>
            <w:proofErr w:type="spellStart"/>
            <w:r w:rsidRPr="00E16672">
              <w:rPr>
                <w:rFonts w:ascii="Times New Roman" w:hAnsi="Times New Roman"/>
                <w:sz w:val="16"/>
                <w:szCs w:val="16"/>
              </w:rPr>
              <w:t>Депозитарна</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установа</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може</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пред'являти</w:t>
            </w:r>
            <w:proofErr w:type="spellEnd"/>
            <w:r w:rsidRPr="00E16672">
              <w:rPr>
                <w:rFonts w:ascii="Times New Roman" w:hAnsi="Times New Roman"/>
                <w:sz w:val="16"/>
                <w:szCs w:val="16"/>
              </w:rPr>
              <w:t xml:space="preserve"> </w:t>
            </w:r>
            <w:proofErr w:type="spellStart"/>
            <w:r w:rsidR="00187E20" w:rsidRPr="00E16672">
              <w:rPr>
                <w:rFonts w:ascii="Times New Roman" w:hAnsi="Times New Roman"/>
                <w:sz w:val="16"/>
                <w:szCs w:val="16"/>
                <w:lang w:val="uk-UA"/>
              </w:rPr>
              <w:t>Номнільному</w:t>
            </w:r>
            <w:proofErr w:type="spellEnd"/>
            <w:r w:rsidR="00187E20" w:rsidRPr="00E16672">
              <w:rPr>
                <w:rFonts w:ascii="Times New Roman" w:hAnsi="Times New Roman"/>
                <w:sz w:val="16"/>
                <w:szCs w:val="16"/>
                <w:lang w:val="uk-UA"/>
              </w:rPr>
              <w:t xml:space="preserve"> утримувачу</w:t>
            </w:r>
            <w:r w:rsidRPr="00E16672">
              <w:rPr>
                <w:rFonts w:ascii="Times New Roman" w:hAnsi="Times New Roman"/>
                <w:sz w:val="16"/>
                <w:szCs w:val="16"/>
              </w:rPr>
              <w:t xml:space="preserve"> </w:t>
            </w:r>
            <w:proofErr w:type="spellStart"/>
            <w:r w:rsidRPr="00E16672">
              <w:rPr>
                <w:rFonts w:ascii="Times New Roman" w:hAnsi="Times New Roman"/>
                <w:sz w:val="16"/>
                <w:szCs w:val="16"/>
              </w:rPr>
              <w:t>вимоги</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стосовно</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сплати</w:t>
            </w:r>
            <w:proofErr w:type="spellEnd"/>
            <w:r w:rsidRPr="00E16672">
              <w:rPr>
                <w:rFonts w:ascii="Times New Roman" w:hAnsi="Times New Roman"/>
                <w:sz w:val="16"/>
                <w:szCs w:val="16"/>
              </w:rPr>
              <w:t xml:space="preserve"> штрафу, як шляхом </w:t>
            </w:r>
            <w:proofErr w:type="spellStart"/>
            <w:r w:rsidRPr="00E16672">
              <w:rPr>
                <w:rFonts w:ascii="Times New Roman" w:hAnsi="Times New Roman"/>
                <w:sz w:val="16"/>
                <w:szCs w:val="16"/>
              </w:rPr>
              <w:t>надіслання</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рахунка</w:t>
            </w:r>
            <w:proofErr w:type="spellEnd"/>
            <w:r w:rsidRPr="00E16672">
              <w:rPr>
                <w:rFonts w:ascii="Times New Roman" w:hAnsi="Times New Roman"/>
                <w:sz w:val="16"/>
                <w:szCs w:val="16"/>
              </w:rPr>
              <w:t xml:space="preserve">, так і шляхом </w:t>
            </w:r>
            <w:proofErr w:type="spellStart"/>
            <w:r w:rsidRPr="00E16672">
              <w:rPr>
                <w:rFonts w:ascii="Times New Roman" w:hAnsi="Times New Roman"/>
                <w:sz w:val="16"/>
                <w:szCs w:val="16"/>
              </w:rPr>
              <w:t>звернення</w:t>
            </w:r>
            <w:proofErr w:type="spellEnd"/>
            <w:r w:rsidRPr="00E16672">
              <w:rPr>
                <w:rFonts w:ascii="Times New Roman" w:hAnsi="Times New Roman"/>
                <w:sz w:val="16"/>
                <w:szCs w:val="16"/>
              </w:rPr>
              <w:t xml:space="preserve"> до </w:t>
            </w:r>
            <w:r w:rsidR="00084686" w:rsidRPr="00E16672">
              <w:rPr>
                <w:rFonts w:ascii="Times New Roman" w:hAnsi="Times New Roman"/>
                <w:sz w:val="16"/>
                <w:szCs w:val="16"/>
                <w:lang w:val="uk-UA"/>
              </w:rPr>
              <w:t>Номінального утримувача</w:t>
            </w:r>
            <w:r w:rsidRPr="00E16672">
              <w:rPr>
                <w:rFonts w:ascii="Times New Roman" w:hAnsi="Times New Roman"/>
                <w:sz w:val="16"/>
                <w:szCs w:val="16"/>
              </w:rPr>
              <w:t xml:space="preserve"> з листом, </w:t>
            </w:r>
            <w:proofErr w:type="spellStart"/>
            <w:r w:rsidRPr="00E16672">
              <w:rPr>
                <w:rFonts w:ascii="Times New Roman" w:hAnsi="Times New Roman"/>
                <w:sz w:val="16"/>
                <w:szCs w:val="16"/>
              </w:rPr>
              <w:t>телеграмою</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тощо</w:t>
            </w:r>
            <w:proofErr w:type="spellEnd"/>
            <w:r w:rsidRPr="00E16672">
              <w:rPr>
                <w:rFonts w:ascii="Times New Roman" w:hAnsi="Times New Roman"/>
                <w:sz w:val="16"/>
                <w:szCs w:val="16"/>
              </w:rPr>
              <w:t>.</w:t>
            </w:r>
          </w:p>
        </w:tc>
        <w:tc>
          <w:tcPr>
            <w:tcW w:w="5495" w:type="dxa"/>
            <w:gridSpan w:val="8"/>
            <w:shd w:val="clear" w:color="auto" w:fill="auto"/>
          </w:tcPr>
          <w:p w14:paraId="674726B9" w14:textId="77777777" w:rsidR="00EB25FE" w:rsidRPr="00E16672" w:rsidRDefault="00EB25FE" w:rsidP="00794B3F">
            <w:pPr>
              <w:tabs>
                <w:tab w:val="left" w:pos="287"/>
              </w:tabs>
              <w:snapToGrid w:val="0"/>
              <w:ind w:left="175" w:right="100" w:firstLine="7"/>
              <w:rPr>
                <w:rFonts w:ascii="Times New Roman" w:hAnsi="Times New Roman"/>
                <w:sz w:val="16"/>
                <w:szCs w:val="16"/>
                <w:lang w:val="en-GB"/>
              </w:rPr>
            </w:pPr>
            <w:r w:rsidRPr="00E16672">
              <w:rPr>
                <w:rFonts w:ascii="Times New Roman" w:hAnsi="Times New Roman"/>
                <w:sz w:val="16"/>
                <w:szCs w:val="16"/>
                <w:lang w:val="en-GB"/>
              </w:rPr>
              <w:t>5.10.</w:t>
            </w:r>
            <w:proofErr w:type="gramStart"/>
            <w:r w:rsidRPr="00E16672">
              <w:rPr>
                <w:rFonts w:ascii="Times New Roman" w:hAnsi="Times New Roman"/>
                <w:sz w:val="16"/>
                <w:szCs w:val="16"/>
                <w:lang w:val="en-GB"/>
              </w:rPr>
              <w:t>1.Depository</w:t>
            </w:r>
            <w:proofErr w:type="gramEnd"/>
            <w:r w:rsidRPr="00E16672">
              <w:rPr>
                <w:rFonts w:ascii="Times New Roman" w:hAnsi="Times New Roman"/>
                <w:sz w:val="16"/>
                <w:szCs w:val="16"/>
                <w:lang w:val="en-GB"/>
              </w:rPr>
              <w:t xml:space="preserve"> institution can make requirements to </w:t>
            </w:r>
            <w:r w:rsidR="00187E20" w:rsidRPr="00E16672">
              <w:rPr>
                <w:rFonts w:ascii="Times New Roman" w:hAnsi="Times New Roman"/>
                <w:sz w:val="16"/>
                <w:szCs w:val="16"/>
                <w:lang w:val="en-US"/>
              </w:rPr>
              <w:t>Nominee holder</w:t>
            </w:r>
            <w:r w:rsidRPr="00E16672">
              <w:rPr>
                <w:rFonts w:ascii="Times New Roman" w:hAnsi="Times New Roman"/>
                <w:sz w:val="16"/>
                <w:szCs w:val="16"/>
                <w:lang w:val="en-GB"/>
              </w:rPr>
              <w:t xml:space="preserve">, concerning of payment of penalty, both by the message of invoice and by an address to </w:t>
            </w:r>
            <w:r w:rsidR="00620A92" w:rsidRPr="00E16672">
              <w:rPr>
                <w:rFonts w:ascii="Times New Roman" w:hAnsi="Times New Roman"/>
                <w:sz w:val="16"/>
                <w:szCs w:val="16"/>
                <w:lang w:val="en-US"/>
              </w:rPr>
              <w:t>Nominee holder</w:t>
            </w:r>
            <w:r w:rsidR="00620A92" w:rsidRPr="00E16672">
              <w:rPr>
                <w:rFonts w:ascii="Times New Roman" w:hAnsi="Times New Roman"/>
                <w:sz w:val="16"/>
                <w:szCs w:val="16"/>
                <w:lang w:val="en-GB"/>
              </w:rPr>
              <w:t xml:space="preserve"> </w:t>
            </w:r>
            <w:r w:rsidRPr="00E16672">
              <w:rPr>
                <w:rFonts w:ascii="Times New Roman" w:hAnsi="Times New Roman"/>
                <w:sz w:val="16"/>
                <w:szCs w:val="16"/>
                <w:lang w:val="en-GB"/>
              </w:rPr>
              <w:t>with a letter, by a telegram and others like that.</w:t>
            </w:r>
          </w:p>
          <w:p w14:paraId="2FA57BDF" w14:textId="77777777" w:rsidR="00EB25FE" w:rsidRPr="00E16672" w:rsidRDefault="00EB25FE" w:rsidP="00794B3F">
            <w:pPr>
              <w:tabs>
                <w:tab w:val="left" w:pos="287"/>
              </w:tabs>
              <w:snapToGrid w:val="0"/>
              <w:ind w:left="175" w:right="100" w:firstLine="7"/>
              <w:rPr>
                <w:rFonts w:ascii="Times New Roman" w:hAnsi="Times New Roman"/>
                <w:sz w:val="16"/>
                <w:szCs w:val="16"/>
                <w:lang w:val="en-GB"/>
              </w:rPr>
            </w:pPr>
          </w:p>
        </w:tc>
      </w:tr>
      <w:tr w:rsidR="00EB25FE" w:rsidRPr="00A26EFC" w14:paraId="1C2B9783" w14:textId="77777777" w:rsidTr="005E418B">
        <w:tblPrEx>
          <w:tblCellMar>
            <w:left w:w="0" w:type="dxa"/>
            <w:right w:w="0" w:type="dxa"/>
          </w:tblCellMar>
        </w:tblPrEx>
        <w:trPr>
          <w:trHeight w:val="192"/>
        </w:trPr>
        <w:tc>
          <w:tcPr>
            <w:tcW w:w="5695" w:type="dxa"/>
            <w:gridSpan w:val="7"/>
            <w:shd w:val="clear" w:color="auto" w:fill="auto"/>
          </w:tcPr>
          <w:p w14:paraId="31BFB028" w14:textId="77777777" w:rsidR="00EB25FE" w:rsidRPr="00E16672" w:rsidRDefault="00EB25FE" w:rsidP="00187E20">
            <w:pPr>
              <w:snapToGrid w:val="0"/>
              <w:ind w:left="175" w:right="138" w:firstLine="7"/>
              <w:rPr>
                <w:rFonts w:ascii="Times New Roman" w:hAnsi="Times New Roman"/>
                <w:sz w:val="16"/>
                <w:szCs w:val="16"/>
              </w:rPr>
            </w:pPr>
            <w:r w:rsidRPr="00E16672">
              <w:rPr>
                <w:rFonts w:ascii="Times New Roman" w:hAnsi="Times New Roman"/>
                <w:sz w:val="16"/>
                <w:szCs w:val="16"/>
              </w:rPr>
              <w:t xml:space="preserve">5.10.2. </w:t>
            </w:r>
            <w:r w:rsidR="00187E20" w:rsidRPr="00E16672">
              <w:rPr>
                <w:rFonts w:ascii="Times New Roman" w:hAnsi="Times New Roman"/>
                <w:sz w:val="16"/>
                <w:szCs w:val="16"/>
                <w:lang w:val="uk-UA"/>
              </w:rPr>
              <w:t>Номінальний утримувач</w:t>
            </w:r>
            <w:r w:rsidRPr="00E16672">
              <w:rPr>
                <w:rFonts w:ascii="Times New Roman" w:hAnsi="Times New Roman"/>
                <w:sz w:val="16"/>
                <w:szCs w:val="16"/>
              </w:rPr>
              <w:t xml:space="preserve"> повинен </w:t>
            </w:r>
            <w:proofErr w:type="spellStart"/>
            <w:r w:rsidRPr="00E16672">
              <w:rPr>
                <w:rFonts w:ascii="Times New Roman" w:hAnsi="Times New Roman"/>
                <w:sz w:val="16"/>
                <w:szCs w:val="16"/>
              </w:rPr>
              <w:t>виконати</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зобов'язання</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визначене</w:t>
            </w:r>
            <w:proofErr w:type="spellEnd"/>
            <w:r w:rsidRPr="00E16672">
              <w:rPr>
                <w:rFonts w:ascii="Times New Roman" w:hAnsi="Times New Roman"/>
                <w:sz w:val="16"/>
                <w:szCs w:val="16"/>
              </w:rPr>
              <w:t xml:space="preserve"> п.5.10., у </w:t>
            </w:r>
            <w:proofErr w:type="spellStart"/>
            <w:r w:rsidRPr="00E16672">
              <w:rPr>
                <w:rFonts w:ascii="Times New Roman" w:hAnsi="Times New Roman"/>
                <w:sz w:val="16"/>
                <w:szCs w:val="16"/>
              </w:rPr>
              <w:t>п’ятиденний</w:t>
            </w:r>
            <w:proofErr w:type="spellEnd"/>
            <w:r w:rsidRPr="00E16672">
              <w:rPr>
                <w:rFonts w:ascii="Times New Roman" w:hAnsi="Times New Roman"/>
                <w:sz w:val="16"/>
                <w:szCs w:val="16"/>
              </w:rPr>
              <w:t xml:space="preserve"> строк з дня </w:t>
            </w:r>
            <w:proofErr w:type="spellStart"/>
            <w:r w:rsidRPr="00E16672">
              <w:rPr>
                <w:rFonts w:ascii="Times New Roman" w:hAnsi="Times New Roman"/>
                <w:sz w:val="16"/>
                <w:szCs w:val="16"/>
              </w:rPr>
              <w:t>пред'явлення</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вимоги</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Депозитарної</w:t>
            </w:r>
            <w:proofErr w:type="spellEnd"/>
            <w:r w:rsidRPr="00E16672">
              <w:rPr>
                <w:rFonts w:ascii="Times New Roman" w:hAnsi="Times New Roman"/>
                <w:sz w:val="16"/>
                <w:szCs w:val="16"/>
              </w:rPr>
              <w:t xml:space="preserve"> установи </w:t>
            </w:r>
            <w:proofErr w:type="spellStart"/>
            <w:r w:rsidRPr="00E16672">
              <w:rPr>
                <w:rFonts w:ascii="Times New Roman" w:hAnsi="Times New Roman"/>
                <w:sz w:val="16"/>
                <w:szCs w:val="16"/>
              </w:rPr>
              <w:t>згідно</w:t>
            </w:r>
            <w:proofErr w:type="spellEnd"/>
            <w:r w:rsidRPr="00E16672">
              <w:rPr>
                <w:rFonts w:ascii="Times New Roman" w:hAnsi="Times New Roman"/>
                <w:sz w:val="16"/>
                <w:szCs w:val="16"/>
              </w:rPr>
              <w:t xml:space="preserve"> з пп.5.10. Таким днем </w:t>
            </w:r>
            <w:proofErr w:type="spellStart"/>
            <w:r w:rsidRPr="00E16672">
              <w:rPr>
                <w:rFonts w:ascii="Times New Roman" w:hAnsi="Times New Roman"/>
                <w:sz w:val="16"/>
                <w:szCs w:val="16"/>
              </w:rPr>
              <w:t>слід</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вважати</w:t>
            </w:r>
            <w:proofErr w:type="spellEnd"/>
            <w:r w:rsidRPr="00E16672">
              <w:rPr>
                <w:rFonts w:ascii="Times New Roman" w:hAnsi="Times New Roman"/>
                <w:sz w:val="16"/>
                <w:szCs w:val="16"/>
              </w:rPr>
              <w:t xml:space="preserve"> дату </w:t>
            </w:r>
            <w:proofErr w:type="spellStart"/>
            <w:r w:rsidRPr="00E16672">
              <w:rPr>
                <w:rFonts w:ascii="Times New Roman" w:hAnsi="Times New Roman"/>
                <w:sz w:val="16"/>
                <w:szCs w:val="16"/>
              </w:rPr>
              <w:t>одержання</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вимоги</w:t>
            </w:r>
            <w:proofErr w:type="spellEnd"/>
            <w:r w:rsidRPr="00E16672">
              <w:rPr>
                <w:rFonts w:ascii="Times New Roman" w:hAnsi="Times New Roman"/>
                <w:sz w:val="16"/>
                <w:szCs w:val="16"/>
              </w:rPr>
              <w:t xml:space="preserve"> </w:t>
            </w:r>
            <w:r w:rsidR="00187E20" w:rsidRPr="00E16672">
              <w:rPr>
                <w:rFonts w:ascii="Times New Roman" w:hAnsi="Times New Roman"/>
                <w:sz w:val="16"/>
                <w:szCs w:val="16"/>
                <w:lang w:val="uk-UA"/>
              </w:rPr>
              <w:t>Номінальним утримувачем</w:t>
            </w:r>
            <w:r w:rsidRPr="00E16672">
              <w:rPr>
                <w:rFonts w:ascii="Times New Roman" w:hAnsi="Times New Roman"/>
                <w:sz w:val="16"/>
                <w:szCs w:val="16"/>
              </w:rPr>
              <w:t>.</w:t>
            </w:r>
          </w:p>
        </w:tc>
        <w:tc>
          <w:tcPr>
            <w:tcW w:w="5495" w:type="dxa"/>
            <w:gridSpan w:val="8"/>
            <w:shd w:val="clear" w:color="auto" w:fill="auto"/>
          </w:tcPr>
          <w:p w14:paraId="21D5A981" w14:textId="77777777" w:rsidR="00EB25FE" w:rsidRPr="00E16672" w:rsidRDefault="00EB25FE" w:rsidP="00794B3F">
            <w:pPr>
              <w:tabs>
                <w:tab w:val="left" w:pos="287"/>
              </w:tabs>
              <w:snapToGrid w:val="0"/>
              <w:ind w:left="175" w:right="100" w:firstLine="7"/>
              <w:rPr>
                <w:rFonts w:ascii="Times New Roman" w:hAnsi="Times New Roman"/>
                <w:sz w:val="16"/>
                <w:szCs w:val="16"/>
                <w:lang w:val="en-GB"/>
              </w:rPr>
            </w:pPr>
            <w:r w:rsidRPr="00E16672">
              <w:rPr>
                <w:rFonts w:ascii="Times New Roman" w:hAnsi="Times New Roman"/>
                <w:sz w:val="16"/>
                <w:szCs w:val="16"/>
                <w:lang w:val="en-GB"/>
              </w:rPr>
              <w:t xml:space="preserve">5.10.2. A </w:t>
            </w:r>
            <w:r w:rsidR="00187E20" w:rsidRPr="00E16672">
              <w:rPr>
                <w:rFonts w:ascii="Times New Roman" w:hAnsi="Times New Roman"/>
                <w:sz w:val="16"/>
                <w:szCs w:val="16"/>
                <w:lang w:val="en-US"/>
              </w:rPr>
              <w:t>Nominee holder</w:t>
            </w:r>
            <w:r w:rsidR="00187E20" w:rsidRPr="00E16672">
              <w:rPr>
                <w:rFonts w:ascii="Times New Roman" w:hAnsi="Times New Roman"/>
                <w:sz w:val="16"/>
                <w:szCs w:val="16"/>
                <w:lang w:val="en-GB"/>
              </w:rPr>
              <w:t xml:space="preserve"> </w:t>
            </w:r>
            <w:r w:rsidRPr="00E16672">
              <w:rPr>
                <w:rFonts w:ascii="Times New Roman" w:hAnsi="Times New Roman"/>
                <w:sz w:val="16"/>
                <w:szCs w:val="16"/>
                <w:lang w:val="en-GB"/>
              </w:rPr>
              <w:t xml:space="preserve">must execute obligations, certain by item 5.10., in a five-day term from the day of make requirement by Depository institution in obedience to item 5.10.1. It follows to consider the date of receipt of requirement </w:t>
            </w:r>
            <w:r w:rsidR="00187E20" w:rsidRPr="00E16672">
              <w:rPr>
                <w:rFonts w:ascii="Times New Roman" w:hAnsi="Times New Roman"/>
                <w:sz w:val="16"/>
                <w:szCs w:val="16"/>
                <w:lang w:val="en-US"/>
              </w:rPr>
              <w:t>Nominee holder</w:t>
            </w:r>
            <w:r w:rsidR="00187E20" w:rsidRPr="00E16672">
              <w:rPr>
                <w:rFonts w:ascii="Times New Roman" w:hAnsi="Times New Roman"/>
                <w:sz w:val="16"/>
                <w:szCs w:val="16"/>
                <w:lang w:val="en-GB"/>
              </w:rPr>
              <w:t xml:space="preserve"> </w:t>
            </w:r>
            <w:r w:rsidRPr="00E16672">
              <w:rPr>
                <w:rFonts w:ascii="Times New Roman" w:hAnsi="Times New Roman"/>
                <w:sz w:val="16"/>
                <w:szCs w:val="16"/>
                <w:lang w:val="en-GB"/>
              </w:rPr>
              <w:t>such day.</w:t>
            </w:r>
          </w:p>
          <w:p w14:paraId="1CD46B78" w14:textId="77777777" w:rsidR="00EB25FE" w:rsidRPr="00E16672" w:rsidRDefault="00EB25FE" w:rsidP="00794B3F">
            <w:pPr>
              <w:tabs>
                <w:tab w:val="left" w:pos="287"/>
              </w:tabs>
              <w:snapToGrid w:val="0"/>
              <w:ind w:left="175" w:right="100" w:firstLine="7"/>
              <w:rPr>
                <w:rFonts w:ascii="Times New Roman" w:hAnsi="Times New Roman"/>
                <w:sz w:val="16"/>
                <w:szCs w:val="16"/>
                <w:lang w:val="en-GB"/>
              </w:rPr>
            </w:pPr>
          </w:p>
        </w:tc>
      </w:tr>
      <w:tr w:rsidR="00EB25FE" w:rsidRPr="00A26EFC" w14:paraId="647689E2" w14:textId="77777777" w:rsidTr="005E418B">
        <w:tblPrEx>
          <w:tblCellMar>
            <w:left w:w="0" w:type="dxa"/>
            <w:right w:w="0" w:type="dxa"/>
          </w:tblCellMar>
        </w:tblPrEx>
        <w:trPr>
          <w:trHeight w:val="192"/>
        </w:trPr>
        <w:tc>
          <w:tcPr>
            <w:tcW w:w="5695" w:type="dxa"/>
            <w:gridSpan w:val="7"/>
            <w:shd w:val="clear" w:color="auto" w:fill="auto"/>
          </w:tcPr>
          <w:p w14:paraId="4F6049EA" w14:textId="77777777" w:rsidR="00EB25FE" w:rsidRPr="00E16672" w:rsidRDefault="00EB25FE" w:rsidP="00794B3F">
            <w:pPr>
              <w:snapToGrid w:val="0"/>
              <w:ind w:left="175" w:right="138" w:firstLine="7"/>
              <w:rPr>
                <w:rFonts w:ascii="Times New Roman" w:hAnsi="Times New Roman"/>
                <w:sz w:val="16"/>
                <w:szCs w:val="16"/>
              </w:rPr>
            </w:pPr>
            <w:r w:rsidRPr="00E16672">
              <w:rPr>
                <w:rFonts w:ascii="Times New Roman" w:hAnsi="Times New Roman"/>
                <w:sz w:val="16"/>
                <w:szCs w:val="16"/>
              </w:rPr>
              <w:t xml:space="preserve">5.10.3. </w:t>
            </w:r>
            <w:proofErr w:type="spellStart"/>
            <w:r w:rsidRPr="00E16672">
              <w:rPr>
                <w:rFonts w:ascii="Times New Roman" w:hAnsi="Times New Roman"/>
                <w:sz w:val="16"/>
                <w:szCs w:val="16"/>
              </w:rPr>
              <w:t>Виплата</w:t>
            </w:r>
            <w:proofErr w:type="spellEnd"/>
            <w:r w:rsidRPr="00E16672">
              <w:rPr>
                <w:rFonts w:ascii="Times New Roman" w:hAnsi="Times New Roman"/>
                <w:sz w:val="16"/>
                <w:szCs w:val="16"/>
              </w:rPr>
              <w:t xml:space="preserve"> </w:t>
            </w:r>
            <w:proofErr w:type="spellStart"/>
            <w:proofErr w:type="gramStart"/>
            <w:r w:rsidRPr="00E16672">
              <w:rPr>
                <w:rFonts w:ascii="Times New Roman" w:hAnsi="Times New Roman"/>
                <w:sz w:val="16"/>
                <w:szCs w:val="16"/>
              </w:rPr>
              <w:t>пені</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або</w:t>
            </w:r>
            <w:proofErr w:type="spellEnd"/>
            <w:proofErr w:type="gramEnd"/>
            <w:r w:rsidRPr="00E16672">
              <w:rPr>
                <w:rFonts w:ascii="Times New Roman" w:hAnsi="Times New Roman"/>
                <w:sz w:val="16"/>
                <w:szCs w:val="16"/>
              </w:rPr>
              <w:t xml:space="preserve"> штрафу не </w:t>
            </w:r>
            <w:proofErr w:type="spellStart"/>
            <w:r w:rsidRPr="00E16672">
              <w:rPr>
                <w:rFonts w:ascii="Times New Roman" w:hAnsi="Times New Roman"/>
                <w:sz w:val="16"/>
                <w:szCs w:val="16"/>
              </w:rPr>
              <w:t>звільняє</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Сторони</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від</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виконання</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обов’язків</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згідно</w:t>
            </w:r>
            <w:proofErr w:type="spellEnd"/>
            <w:r w:rsidRPr="00E16672">
              <w:rPr>
                <w:rFonts w:ascii="Times New Roman" w:hAnsi="Times New Roman"/>
                <w:sz w:val="16"/>
                <w:szCs w:val="16"/>
              </w:rPr>
              <w:t xml:space="preserve"> з </w:t>
            </w:r>
            <w:proofErr w:type="spellStart"/>
            <w:r w:rsidRPr="00E16672">
              <w:rPr>
                <w:rFonts w:ascii="Times New Roman" w:hAnsi="Times New Roman"/>
                <w:sz w:val="16"/>
                <w:szCs w:val="16"/>
              </w:rPr>
              <w:t>умовами</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цього</w:t>
            </w:r>
            <w:proofErr w:type="spellEnd"/>
            <w:r w:rsidRPr="00E16672">
              <w:rPr>
                <w:rFonts w:ascii="Times New Roman" w:hAnsi="Times New Roman"/>
                <w:sz w:val="16"/>
                <w:szCs w:val="16"/>
              </w:rPr>
              <w:t xml:space="preserve"> Договору.</w:t>
            </w:r>
          </w:p>
          <w:p w14:paraId="3C00813B" w14:textId="77777777" w:rsidR="00EB25FE" w:rsidRPr="00E16672" w:rsidRDefault="00EB25FE" w:rsidP="00794B3F">
            <w:pPr>
              <w:ind w:left="175" w:right="138" w:firstLine="7"/>
              <w:rPr>
                <w:rFonts w:ascii="Times New Roman" w:hAnsi="Times New Roman"/>
                <w:sz w:val="16"/>
                <w:szCs w:val="16"/>
              </w:rPr>
            </w:pPr>
          </w:p>
        </w:tc>
        <w:tc>
          <w:tcPr>
            <w:tcW w:w="5495" w:type="dxa"/>
            <w:gridSpan w:val="8"/>
            <w:shd w:val="clear" w:color="auto" w:fill="auto"/>
          </w:tcPr>
          <w:p w14:paraId="7A6A8B7F" w14:textId="77777777" w:rsidR="00EB25FE" w:rsidRPr="00E16672" w:rsidRDefault="00EB25FE" w:rsidP="00794B3F">
            <w:pPr>
              <w:tabs>
                <w:tab w:val="left" w:pos="287"/>
              </w:tabs>
              <w:snapToGrid w:val="0"/>
              <w:ind w:left="175" w:right="100" w:firstLine="7"/>
              <w:rPr>
                <w:rFonts w:ascii="Times New Roman" w:hAnsi="Times New Roman"/>
                <w:sz w:val="16"/>
                <w:szCs w:val="16"/>
                <w:lang w:val="en-GB"/>
              </w:rPr>
            </w:pPr>
            <w:r w:rsidRPr="00E16672">
              <w:rPr>
                <w:rFonts w:ascii="Times New Roman" w:hAnsi="Times New Roman"/>
                <w:sz w:val="16"/>
                <w:szCs w:val="16"/>
                <w:lang w:val="en-GB"/>
              </w:rPr>
              <w:t xml:space="preserve">5.10.3. Payment of fine and penalty shall not release the Parties from the execution of their obligations </w:t>
            </w:r>
            <w:proofErr w:type="spellStart"/>
            <w:r w:rsidRPr="00E16672">
              <w:rPr>
                <w:rFonts w:ascii="Times New Roman" w:hAnsi="Times New Roman"/>
                <w:sz w:val="16"/>
                <w:szCs w:val="16"/>
                <w:lang w:val="en-GB"/>
              </w:rPr>
              <w:t>nder</w:t>
            </w:r>
            <w:proofErr w:type="spellEnd"/>
            <w:r w:rsidRPr="00E16672">
              <w:rPr>
                <w:rFonts w:ascii="Times New Roman" w:hAnsi="Times New Roman"/>
                <w:sz w:val="16"/>
                <w:szCs w:val="16"/>
                <w:lang w:val="en-GB"/>
              </w:rPr>
              <w:t xml:space="preserve"> the conditions of this Agreement.</w:t>
            </w:r>
          </w:p>
        </w:tc>
      </w:tr>
      <w:tr w:rsidR="00EB25FE" w:rsidRPr="00A26EFC" w14:paraId="7895B878" w14:textId="77777777" w:rsidTr="005E418B">
        <w:tblPrEx>
          <w:tblCellMar>
            <w:left w:w="0" w:type="dxa"/>
            <w:right w:w="0" w:type="dxa"/>
          </w:tblCellMar>
        </w:tblPrEx>
        <w:trPr>
          <w:trHeight w:val="192"/>
        </w:trPr>
        <w:tc>
          <w:tcPr>
            <w:tcW w:w="5695" w:type="dxa"/>
            <w:gridSpan w:val="7"/>
            <w:shd w:val="clear" w:color="auto" w:fill="auto"/>
          </w:tcPr>
          <w:p w14:paraId="3294A1F5" w14:textId="77777777" w:rsidR="00EB25FE" w:rsidRPr="00E16672" w:rsidRDefault="00EB25FE" w:rsidP="00794B3F">
            <w:pPr>
              <w:pStyle w:val="23"/>
              <w:snapToGrid w:val="0"/>
              <w:ind w:left="175" w:right="138" w:firstLine="7"/>
              <w:rPr>
                <w:rFonts w:ascii="Times New Roman" w:hAnsi="Times New Roman"/>
                <w:sz w:val="16"/>
                <w:szCs w:val="16"/>
              </w:rPr>
            </w:pPr>
            <w:r w:rsidRPr="00E16672">
              <w:rPr>
                <w:rFonts w:ascii="Times New Roman" w:hAnsi="Times New Roman"/>
                <w:sz w:val="16"/>
                <w:szCs w:val="16"/>
              </w:rPr>
              <w:t>5.11. Сторона, яка порушила Договір під час виконання своїх зобов'язань, несе відповідальність, якщо не доведе, що належне виконання зобов'язання унеможливлено впливом обставин непереборної сили, тобто надзвичайних і невідворотних за даних умов подій: стихійного лиха, аварії, пожежі, масових порушень правопорядку, страйків, військових дій, протиправних дій третіх осіб (крім дій працівників Сторони) чи інших обставин, що виникли після підписання Договору та не залежать від волевиявлення Сторін. Не є непереборною силою недодержання своїх обов'язків іншими контрагентами однієї зі Сторін чи відсутність у Сторони достатніх коштів.</w:t>
            </w:r>
          </w:p>
        </w:tc>
        <w:tc>
          <w:tcPr>
            <w:tcW w:w="5495" w:type="dxa"/>
            <w:gridSpan w:val="8"/>
            <w:shd w:val="clear" w:color="auto" w:fill="auto"/>
          </w:tcPr>
          <w:p w14:paraId="0B15FB57" w14:textId="77777777" w:rsidR="00EB25FE" w:rsidRPr="00E16672" w:rsidRDefault="00EB25FE" w:rsidP="00794B3F">
            <w:pPr>
              <w:tabs>
                <w:tab w:val="left" w:pos="287"/>
              </w:tabs>
              <w:snapToGrid w:val="0"/>
              <w:ind w:left="175" w:right="100" w:firstLine="7"/>
              <w:rPr>
                <w:rFonts w:ascii="Times New Roman" w:hAnsi="Times New Roman"/>
                <w:sz w:val="16"/>
                <w:szCs w:val="16"/>
                <w:lang w:val="en-GB"/>
              </w:rPr>
            </w:pPr>
            <w:r w:rsidRPr="00E16672">
              <w:rPr>
                <w:rFonts w:ascii="Times New Roman" w:hAnsi="Times New Roman"/>
                <w:sz w:val="16"/>
                <w:szCs w:val="16"/>
                <w:lang w:val="en-GB"/>
              </w:rPr>
              <w:t xml:space="preserve">5.11. A Party, which violated Agreement  during implementation of the </w:t>
            </w:r>
            <w:r w:rsidRPr="00E16672">
              <w:rPr>
                <w:rFonts w:ascii="Times New Roman" w:hAnsi="Times New Roman"/>
                <w:sz w:val="16"/>
                <w:szCs w:val="16"/>
                <w:lang w:val="en-US"/>
              </w:rPr>
              <w:t>liabilities</w:t>
            </w:r>
            <w:r w:rsidRPr="00E16672">
              <w:rPr>
                <w:rFonts w:ascii="Times New Roman" w:hAnsi="Times New Roman"/>
                <w:sz w:val="16"/>
                <w:szCs w:val="16"/>
                <w:lang w:val="en-GB"/>
              </w:rPr>
              <w:t xml:space="preserve"> carries responsibility, if will not prove that the proper implementation of </w:t>
            </w:r>
            <w:r w:rsidRPr="00E16672">
              <w:rPr>
                <w:rFonts w:ascii="Times New Roman" w:hAnsi="Times New Roman"/>
                <w:sz w:val="16"/>
                <w:szCs w:val="16"/>
                <w:lang w:val="en-US"/>
              </w:rPr>
              <w:t>liabilities</w:t>
            </w:r>
            <w:r w:rsidRPr="00E16672">
              <w:rPr>
                <w:rFonts w:ascii="Times New Roman" w:hAnsi="Times New Roman"/>
                <w:sz w:val="16"/>
                <w:szCs w:val="16"/>
                <w:lang w:val="en-GB"/>
              </w:rPr>
              <w:t xml:space="preserve"> was done impossible by influence of circumstances of act of providence, that extraordinary and inevitable under the conditions events: natural calamity, failure, fire, mass violations of law and order, strikes, military operations, illegal actions of the third persons (except for the actions of workers of Parties) or other circumstances which arose up after signing of Agreement and does not depend on will of parties. It is not the act of providence of non- inhibition of the </w:t>
            </w:r>
            <w:r w:rsidRPr="00E16672">
              <w:rPr>
                <w:rFonts w:ascii="Times New Roman" w:hAnsi="Times New Roman"/>
                <w:sz w:val="16"/>
                <w:szCs w:val="16"/>
                <w:lang w:val="en-US"/>
              </w:rPr>
              <w:t>liabilities</w:t>
            </w:r>
            <w:r w:rsidRPr="00E16672">
              <w:rPr>
                <w:rFonts w:ascii="Times New Roman" w:hAnsi="Times New Roman"/>
                <w:sz w:val="16"/>
                <w:szCs w:val="16"/>
                <w:lang w:val="en-GB"/>
              </w:rPr>
              <w:t xml:space="preserve"> by other contractors of one of Parties or absence in Parties of sufficient money.</w:t>
            </w:r>
          </w:p>
          <w:p w14:paraId="6557E915" w14:textId="77777777" w:rsidR="00EB25FE" w:rsidRPr="00E16672" w:rsidRDefault="00EB25FE" w:rsidP="00794B3F">
            <w:pPr>
              <w:tabs>
                <w:tab w:val="left" w:pos="287"/>
              </w:tabs>
              <w:snapToGrid w:val="0"/>
              <w:ind w:left="175" w:right="100" w:firstLine="7"/>
              <w:rPr>
                <w:rFonts w:ascii="Times New Roman" w:hAnsi="Times New Roman"/>
                <w:sz w:val="16"/>
                <w:szCs w:val="16"/>
                <w:lang w:val="en-GB"/>
              </w:rPr>
            </w:pPr>
          </w:p>
        </w:tc>
      </w:tr>
      <w:tr w:rsidR="00EB25FE" w:rsidRPr="00A26EFC" w14:paraId="2C317053" w14:textId="77777777" w:rsidTr="005E418B">
        <w:tblPrEx>
          <w:tblCellMar>
            <w:left w:w="0" w:type="dxa"/>
            <w:right w:w="0" w:type="dxa"/>
          </w:tblCellMar>
        </w:tblPrEx>
        <w:trPr>
          <w:trHeight w:val="192"/>
        </w:trPr>
        <w:tc>
          <w:tcPr>
            <w:tcW w:w="5695" w:type="dxa"/>
            <w:gridSpan w:val="7"/>
            <w:shd w:val="clear" w:color="auto" w:fill="auto"/>
          </w:tcPr>
          <w:p w14:paraId="22D2DEBD" w14:textId="77777777" w:rsidR="00EB25FE" w:rsidRPr="00E16672" w:rsidRDefault="00EB25FE" w:rsidP="00794B3F">
            <w:pPr>
              <w:pStyle w:val="23"/>
              <w:tabs>
                <w:tab w:val="left" w:pos="1080"/>
              </w:tabs>
              <w:snapToGrid w:val="0"/>
              <w:ind w:left="175" w:right="138" w:firstLine="7"/>
              <w:rPr>
                <w:rFonts w:ascii="Times New Roman" w:hAnsi="Times New Roman"/>
                <w:sz w:val="16"/>
                <w:szCs w:val="16"/>
              </w:rPr>
            </w:pPr>
            <w:r w:rsidRPr="00E16672">
              <w:rPr>
                <w:rFonts w:ascii="Times New Roman" w:hAnsi="Times New Roman"/>
                <w:sz w:val="16"/>
                <w:szCs w:val="16"/>
              </w:rPr>
              <w:t xml:space="preserve">5.12. Жодна із Сторін не несе відповідальності за невиконання або неналежне виконання своїх </w:t>
            </w:r>
            <w:r w:rsidR="007B5C69" w:rsidRPr="00E16672">
              <w:rPr>
                <w:rFonts w:ascii="Times New Roman" w:hAnsi="Times New Roman"/>
                <w:sz w:val="16"/>
                <w:szCs w:val="16"/>
              </w:rPr>
              <w:t>зобов’язань</w:t>
            </w:r>
            <w:r w:rsidRPr="00E16672">
              <w:rPr>
                <w:rFonts w:ascii="Times New Roman" w:hAnsi="Times New Roman"/>
                <w:sz w:val="16"/>
                <w:szCs w:val="16"/>
              </w:rPr>
              <w:t xml:space="preserve"> за цим Договором, якщо це невиконання або неналежне виконання зумовлено дією обставин непереборної сили (форс-мажорних обставин) відповідно до розділу 9 цього Договору. </w:t>
            </w:r>
          </w:p>
          <w:p w14:paraId="0EB7B7FA" w14:textId="77777777" w:rsidR="00EB25FE" w:rsidRPr="00E16672" w:rsidRDefault="00EB25FE" w:rsidP="00794B3F">
            <w:pPr>
              <w:pStyle w:val="23"/>
              <w:numPr>
                <w:ilvl w:val="1"/>
                <w:numId w:val="4"/>
              </w:numPr>
              <w:tabs>
                <w:tab w:val="left" w:pos="1080"/>
              </w:tabs>
              <w:ind w:left="175" w:right="138" w:firstLine="7"/>
              <w:rPr>
                <w:rFonts w:ascii="Times New Roman" w:hAnsi="Times New Roman"/>
                <w:sz w:val="16"/>
                <w:szCs w:val="16"/>
              </w:rPr>
            </w:pPr>
          </w:p>
        </w:tc>
        <w:tc>
          <w:tcPr>
            <w:tcW w:w="5495" w:type="dxa"/>
            <w:gridSpan w:val="8"/>
            <w:shd w:val="clear" w:color="auto" w:fill="auto"/>
          </w:tcPr>
          <w:p w14:paraId="3919B7F4" w14:textId="77777777" w:rsidR="00EB25FE" w:rsidRPr="00E16672" w:rsidRDefault="00EB25FE" w:rsidP="00794B3F">
            <w:pPr>
              <w:tabs>
                <w:tab w:val="left" w:pos="287"/>
              </w:tabs>
              <w:snapToGrid w:val="0"/>
              <w:ind w:left="175" w:right="100" w:firstLine="7"/>
              <w:rPr>
                <w:rFonts w:ascii="Times New Roman" w:hAnsi="Times New Roman"/>
                <w:sz w:val="16"/>
                <w:szCs w:val="16"/>
                <w:lang w:val="en-GB"/>
              </w:rPr>
            </w:pPr>
            <w:r w:rsidRPr="00E16672">
              <w:rPr>
                <w:rFonts w:ascii="Times New Roman" w:hAnsi="Times New Roman"/>
                <w:sz w:val="16"/>
                <w:szCs w:val="16"/>
                <w:lang w:val="en-GB"/>
              </w:rPr>
              <w:t>5.12. Neither Party shall be liable for non-performance or improper performance of its obligations under this Agreement if the failure or improper performance is due to the action of force majeure (force majeure)</w:t>
            </w:r>
            <w:r w:rsidRPr="00E16672">
              <w:rPr>
                <w:rFonts w:ascii="Times New Roman" w:hAnsi="Times New Roman"/>
                <w:sz w:val="16"/>
                <w:szCs w:val="16"/>
                <w:lang w:val="uk-UA"/>
              </w:rPr>
              <w:t xml:space="preserve"> </w:t>
            </w:r>
            <w:r w:rsidRPr="00A26EFC">
              <w:rPr>
                <w:rStyle w:val="shorttext"/>
                <w:rFonts w:ascii="Times New Roman" w:hAnsi="Times New Roman"/>
                <w:sz w:val="16"/>
                <w:szCs w:val="16"/>
                <w:lang w:val="en-US"/>
              </w:rPr>
              <w:t>in accordance with Section 9 of this Agreement</w:t>
            </w:r>
            <w:r w:rsidRPr="00E16672">
              <w:rPr>
                <w:rFonts w:ascii="Times New Roman" w:hAnsi="Times New Roman"/>
                <w:sz w:val="16"/>
                <w:szCs w:val="16"/>
                <w:lang w:val="en-GB"/>
              </w:rPr>
              <w:t>.</w:t>
            </w:r>
          </w:p>
          <w:p w14:paraId="2AB2E615" w14:textId="77777777" w:rsidR="00EB25FE" w:rsidRPr="00E16672" w:rsidRDefault="00EB25FE" w:rsidP="00794B3F">
            <w:pPr>
              <w:tabs>
                <w:tab w:val="left" w:pos="287"/>
              </w:tabs>
              <w:snapToGrid w:val="0"/>
              <w:ind w:left="175" w:right="100" w:firstLine="7"/>
              <w:rPr>
                <w:rFonts w:ascii="Times New Roman" w:hAnsi="Times New Roman"/>
                <w:sz w:val="16"/>
                <w:szCs w:val="16"/>
                <w:lang w:val="en-GB"/>
              </w:rPr>
            </w:pPr>
          </w:p>
        </w:tc>
      </w:tr>
      <w:tr w:rsidR="00EB25FE" w:rsidRPr="00A26EFC" w14:paraId="2D235D5E" w14:textId="77777777" w:rsidTr="005E418B">
        <w:tblPrEx>
          <w:tblCellMar>
            <w:left w:w="0" w:type="dxa"/>
            <w:right w:w="0" w:type="dxa"/>
          </w:tblCellMar>
        </w:tblPrEx>
        <w:trPr>
          <w:trHeight w:val="192"/>
        </w:trPr>
        <w:tc>
          <w:tcPr>
            <w:tcW w:w="5695" w:type="dxa"/>
            <w:gridSpan w:val="7"/>
            <w:shd w:val="clear" w:color="auto" w:fill="auto"/>
          </w:tcPr>
          <w:p w14:paraId="7FAED892" w14:textId="77777777" w:rsidR="00EB25FE" w:rsidRPr="00E16672" w:rsidRDefault="00EB25FE" w:rsidP="00794B3F">
            <w:pPr>
              <w:pStyle w:val="23"/>
              <w:tabs>
                <w:tab w:val="left" w:pos="1080"/>
              </w:tabs>
              <w:snapToGrid w:val="0"/>
              <w:ind w:left="175" w:right="138" w:firstLine="7"/>
              <w:rPr>
                <w:rFonts w:ascii="Times New Roman" w:hAnsi="Times New Roman"/>
                <w:sz w:val="16"/>
                <w:szCs w:val="16"/>
              </w:rPr>
            </w:pPr>
            <w:r w:rsidRPr="00E16672">
              <w:rPr>
                <w:rFonts w:ascii="Times New Roman" w:hAnsi="Times New Roman"/>
                <w:sz w:val="16"/>
                <w:szCs w:val="16"/>
              </w:rPr>
              <w:t xml:space="preserve">5.13. Усі спори, що виникають з цього Договору або пов'язані із ним, вирішуються шляхом переговорів або у порядку, встановленому чинним законодавством України,  шляхом вирішення у судовому порядку. </w:t>
            </w:r>
          </w:p>
          <w:p w14:paraId="71B7509F" w14:textId="77777777" w:rsidR="00EB25FE" w:rsidRPr="00E16672" w:rsidRDefault="00EB25FE" w:rsidP="00794B3F">
            <w:pPr>
              <w:pStyle w:val="23"/>
              <w:ind w:left="175" w:right="138" w:firstLine="7"/>
              <w:rPr>
                <w:rFonts w:ascii="Times New Roman" w:hAnsi="Times New Roman"/>
                <w:sz w:val="16"/>
                <w:szCs w:val="16"/>
              </w:rPr>
            </w:pPr>
            <w:r w:rsidRPr="00E16672">
              <w:rPr>
                <w:rFonts w:ascii="Times New Roman" w:hAnsi="Times New Roman"/>
                <w:sz w:val="16"/>
                <w:szCs w:val="16"/>
              </w:rPr>
              <w:t xml:space="preserve">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законодавства України або у постійно діючому Третейському суді </w:t>
            </w:r>
            <w:proofErr w:type="spellStart"/>
            <w:r w:rsidRPr="00E16672">
              <w:rPr>
                <w:rFonts w:ascii="Times New Roman" w:hAnsi="Times New Roman"/>
                <w:sz w:val="16"/>
                <w:szCs w:val="16"/>
              </w:rPr>
              <w:t>саморегулівної</w:t>
            </w:r>
            <w:proofErr w:type="spellEnd"/>
            <w:r w:rsidRPr="00E16672">
              <w:rPr>
                <w:rFonts w:ascii="Times New Roman" w:hAnsi="Times New Roman"/>
                <w:sz w:val="16"/>
                <w:szCs w:val="16"/>
              </w:rPr>
              <w:t xml:space="preserve"> організації Професійна асоціація реєстраторів і депозитаріїв.</w:t>
            </w:r>
          </w:p>
          <w:p w14:paraId="209CE012" w14:textId="77777777" w:rsidR="00EB25FE" w:rsidRPr="00E16672" w:rsidRDefault="00EB25FE" w:rsidP="00794B3F">
            <w:pPr>
              <w:pStyle w:val="23"/>
              <w:numPr>
                <w:ilvl w:val="1"/>
                <w:numId w:val="4"/>
              </w:numPr>
              <w:tabs>
                <w:tab w:val="left" w:pos="1080"/>
              </w:tabs>
              <w:ind w:left="175" w:right="138" w:firstLine="7"/>
              <w:rPr>
                <w:rFonts w:ascii="Times New Roman" w:hAnsi="Times New Roman"/>
                <w:sz w:val="16"/>
                <w:szCs w:val="16"/>
              </w:rPr>
            </w:pPr>
          </w:p>
        </w:tc>
        <w:tc>
          <w:tcPr>
            <w:tcW w:w="5495" w:type="dxa"/>
            <w:gridSpan w:val="8"/>
            <w:shd w:val="clear" w:color="auto" w:fill="auto"/>
          </w:tcPr>
          <w:p w14:paraId="3D4CD334" w14:textId="77777777" w:rsidR="00EB25FE" w:rsidRPr="00E16672" w:rsidRDefault="00EB25FE" w:rsidP="00794B3F">
            <w:pPr>
              <w:tabs>
                <w:tab w:val="left" w:pos="287"/>
              </w:tabs>
              <w:snapToGrid w:val="0"/>
              <w:ind w:left="175" w:right="100" w:firstLine="7"/>
              <w:rPr>
                <w:rFonts w:ascii="Times New Roman" w:hAnsi="Times New Roman"/>
                <w:sz w:val="16"/>
                <w:szCs w:val="16"/>
                <w:lang w:val="uk-UA"/>
              </w:rPr>
            </w:pPr>
            <w:r w:rsidRPr="00E16672">
              <w:rPr>
                <w:rFonts w:ascii="Times New Roman" w:hAnsi="Times New Roman"/>
                <w:sz w:val="16"/>
                <w:szCs w:val="16"/>
                <w:lang w:val="en-GB"/>
              </w:rPr>
              <w:t>5.13. All disputes arising out of this Agreement or related to it shall be decided by negotiation or by the procedure established by the legislation of Ukraine, by the decision of the courts.</w:t>
            </w:r>
          </w:p>
          <w:p w14:paraId="474F425D" w14:textId="77777777" w:rsidR="00EB25FE" w:rsidRPr="00E16672" w:rsidRDefault="00EB25FE" w:rsidP="00794B3F">
            <w:pPr>
              <w:tabs>
                <w:tab w:val="left" w:pos="287"/>
              </w:tabs>
              <w:snapToGrid w:val="0"/>
              <w:ind w:left="175" w:right="100" w:firstLine="7"/>
              <w:rPr>
                <w:rFonts w:ascii="Times New Roman" w:hAnsi="Times New Roman"/>
                <w:sz w:val="16"/>
                <w:szCs w:val="16"/>
                <w:lang w:val="en-GB"/>
              </w:rPr>
            </w:pPr>
            <w:r w:rsidRPr="00E16672">
              <w:rPr>
                <w:rFonts w:ascii="Times New Roman" w:hAnsi="Times New Roman"/>
                <w:sz w:val="16"/>
                <w:szCs w:val="16"/>
                <w:lang w:val="en-GB"/>
              </w:rPr>
              <w:t xml:space="preserve">If a dispute </w:t>
            </w:r>
            <w:proofErr w:type="spellStart"/>
            <w:r w:rsidRPr="00E16672">
              <w:rPr>
                <w:rFonts w:ascii="Times New Roman" w:hAnsi="Times New Roman"/>
                <w:sz w:val="16"/>
                <w:szCs w:val="16"/>
                <w:lang w:val="en-GB"/>
              </w:rPr>
              <w:t>can not</w:t>
            </w:r>
            <w:proofErr w:type="spellEnd"/>
            <w:r w:rsidRPr="00E16672">
              <w:rPr>
                <w:rFonts w:ascii="Times New Roman" w:hAnsi="Times New Roman"/>
                <w:sz w:val="16"/>
                <w:szCs w:val="16"/>
                <w:lang w:val="en-GB"/>
              </w:rPr>
              <w:t xml:space="preserve"> be resolved through negotiations, he settled in court with proper jurisdiction of the dispute in accordance with the legislation of Ukraine or the Arbitration Court of the self-regulatory organization of the Professional Association of Registrars and Depositories.</w:t>
            </w:r>
          </w:p>
          <w:p w14:paraId="46B1C6C5" w14:textId="77777777" w:rsidR="00EB25FE" w:rsidRPr="00E16672" w:rsidRDefault="00EB25FE" w:rsidP="00794B3F">
            <w:pPr>
              <w:tabs>
                <w:tab w:val="left" w:pos="287"/>
              </w:tabs>
              <w:snapToGrid w:val="0"/>
              <w:ind w:left="175" w:right="100" w:firstLine="7"/>
              <w:rPr>
                <w:rFonts w:ascii="Times New Roman" w:hAnsi="Times New Roman"/>
                <w:sz w:val="16"/>
                <w:szCs w:val="16"/>
                <w:lang w:val="en-GB"/>
              </w:rPr>
            </w:pPr>
          </w:p>
        </w:tc>
      </w:tr>
      <w:tr w:rsidR="00EB25FE" w:rsidRPr="00A26EFC" w14:paraId="55A8A95B" w14:textId="77777777" w:rsidTr="005E418B">
        <w:tblPrEx>
          <w:tblCellMar>
            <w:left w:w="0" w:type="dxa"/>
            <w:right w:w="0" w:type="dxa"/>
          </w:tblCellMar>
        </w:tblPrEx>
        <w:trPr>
          <w:trHeight w:val="192"/>
        </w:trPr>
        <w:tc>
          <w:tcPr>
            <w:tcW w:w="5695" w:type="dxa"/>
            <w:gridSpan w:val="7"/>
            <w:shd w:val="clear" w:color="auto" w:fill="auto"/>
          </w:tcPr>
          <w:p w14:paraId="40C1A4E8" w14:textId="77777777" w:rsidR="00EB25FE" w:rsidRPr="00E16672" w:rsidRDefault="00EB25FE" w:rsidP="00794B3F">
            <w:pPr>
              <w:snapToGrid w:val="0"/>
              <w:ind w:left="175" w:right="138" w:firstLine="7"/>
              <w:rPr>
                <w:rFonts w:ascii="Times New Roman" w:hAnsi="Times New Roman"/>
                <w:color w:val="000000"/>
                <w:sz w:val="16"/>
                <w:szCs w:val="16"/>
              </w:rPr>
            </w:pPr>
            <w:r w:rsidRPr="00E16672">
              <w:rPr>
                <w:rFonts w:ascii="Times New Roman" w:hAnsi="Times New Roman"/>
                <w:color w:val="000000"/>
                <w:sz w:val="16"/>
                <w:szCs w:val="16"/>
              </w:rPr>
              <w:t xml:space="preserve">5.14. Строк </w:t>
            </w:r>
            <w:proofErr w:type="spellStart"/>
            <w:r w:rsidRPr="00E16672">
              <w:rPr>
                <w:rFonts w:ascii="Times New Roman" w:hAnsi="Times New Roman"/>
                <w:color w:val="000000"/>
                <w:sz w:val="16"/>
                <w:szCs w:val="16"/>
              </w:rPr>
              <w:t>позовної</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давності</w:t>
            </w:r>
            <w:proofErr w:type="spellEnd"/>
            <w:r w:rsidRPr="00E16672">
              <w:rPr>
                <w:rFonts w:ascii="Times New Roman" w:hAnsi="Times New Roman"/>
                <w:color w:val="000000"/>
                <w:sz w:val="16"/>
                <w:szCs w:val="16"/>
              </w:rPr>
              <w:t xml:space="preserve">, </w:t>
            </w:r>
            <w:proofErr w:type="gramStart"/>
            <w:r w:rsidRPr="00E16672">
              <w:rPr>
                <w:rFonts w:ascii="Times New Roman" w:hAnsi="Times New Roman"/>
                <w:color w:val="000000"/>
                <w:sz w:val="16"/>
                <w:szCs w:val="16"/>
              </w:rPr>
              <w:t>у межах</w:t>
            </w:r>
            <w:proofErr w:type="gram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якого</w:t>
            </w:r>
            <w:proofErr w:type="spellEnd"/>
            <w:r w:rsidRPr="00E16672">
              <w:rPr>
                <w:rFonts w:ascii="Times New Roman" w:hAnsi="Times New Roman"/>
                <w:color w:val="000000"/>
                <w:sz w:val="16"/>
                <w:szCs w:val="16"/>
              </w:rPr>
              <w:t xml:space="preserve"> одна </w:t>
            </w:r>
            <w:proofErr w:type="spellStart"/>
            <w:r w:rsidRPr="00E16672">
              <w:rPr>
                <w:rFonts w:ascii="Times New Roman" w:hAnsi="Times New Roman"/>
                <w:color w:val="000000"/>
                <w:sz w:val="16"/>
                <w:szCs w:val="16"/>
              </w:rPr>
              <w:t>із</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Сторін</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може</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звернутися</w:t>
            </w:r>
            <w:proofErr w:type="spellEnd"/>
            <w:r w:rsidRPr="00E16672">
              <w:rPr>
                <w:rFonts w:ascii="Times New Roman" w:hAnsi="Times New Roman"/>
                <w:color w:val="000000"/>
                <w:sz w:val="16"/>
                <w:szCs w:val="16"/>
              </w:rPr>
              <w:t xml:space="preserve"> до суду з </w:t>
            </w:r>
            <w:proofErr w:type="spellStart"/>
            <w:r w:rsidRPr="00E16672">
              <w:rPr>
                <w:rFonts w:ascii="Times New Roman" w:hAnsi="Times New Roman"/>
                <w:color w:val="000000"/>
                <w:sz w:val="16"/>
                <w:szCs w:val="16"/>
              </w:rPr>
              <w:t>вимогою</w:t>
            </w:r>
            <w:proofErr w:type="spellEnd"/>
            <w:r w:rsidRPr="00E16672">
              <w:rPr>
                <w:rFonts w:ascii="Times New Roman" w:hAnsi="Times New Roman"/>
                <w:color w:val="000000"/>
                <w:sz w:val="16"/>
                <w:szCs w:val="16"/>
              </w:rPr>
              <w:t xml:space="preserve"> про </w:t>
            </w:r>
            <w:proofErr w:type="spellStart"/>
            <w:r w:rsidRPr="00E16672">
              <w:rPr>
                <w:rFonts w:ascii="Times New Roman" w:hAnsi="Times New Roman"/>
                <w:color w:val="000000"/>
                <w:sz w:val="16"/>
                <w:szCs w:val="16"/>
              </w:rPr>
              <w:t>захист</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i/>
                <w:iCs/>
                <w:color w:val="000000"/>
                <w:sz w:val="16"/>
                <w:szCs w:val="16"/>
              </w:rPr>
              <w:t>основних</w:t>
            </w:r>
            <w:proofErr w:type="spellEnd"/>
            <w:r w:rsidRPr="00E16672">
              <w:rPr>
                <w:rFonts w:ascii="Times New Roman" w:hAnsi="Times New Roman"/>
                <w:color w:val="000000"/>
                <w:sz w:val="16"/>
                <w:szCs w:val="16"/>
              </w:rPr>
              <w:t xml:space="preserve"> прав та </w:t>
            </w:r>
            <w:proofErr w:type="spellStart"/>
            <w:r w:rsidRPr="00E16672">
              <w:rPr>
                <w:rFonts w:ascii="Times New Roman" w:hAnsi="Times New Roman"/>
                <w:color w:val="000000"/>
                <w:sz w:val="16"/>
                <w:szCs w:val="16"/>
              </w:rPr>
              <w:t>інтересів</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встановлюється</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тривалістю</w:t>
            </w:r>
            <w:proofErr w:type="spellEnd"/>
            <w:r w:rsidRPr="00E16672">
              <w:rPr>
                <w:rFonts w:ascii="Times New Roman" w:hAnsi="Times New Roman"/>
                <w:color w:val="000000"/>
                <w:sz w:val="16"/>
                <w:szCs w:val="16"/>
              </w:rPr>
              <w:t xml:space="preserve"> у </w:t>
            </w:r>
            <w:proofErr w:type="spellStart"/>
            <w:r w:rsidRPr="00E16672">
              <w:rPr>
                <w:rFonts w:ascii="Times New Roman" w:hAnsi="Times New Roman"/>
                <w:i/>
                <w:iCs/>
                <w:color w:val="000000"/>
                <w:sz w:val="16"/>
                <w:szCs w:val="16"/>
              </w:rPr>
              <w:t>п’ятдесят</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років</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Позовна</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давність</w:t>
            </w:r>
            <w:proofErr w:type="spellEnd"/>
            <w:r w:rsidRPr="00E16672">
              <w:rPr>
                <w:rFonts w:ascii="Times New Roman" w:hAnsi="Times New Roman"/>
                <w:color w:val="000000"/>
                <w:sz w:val="16"/>
                <w:szCs w:val="16"/>
              </w:rPr>
              <w:t xml:space="preserve"> в </w:t>
            </w:r>
            <w:proofErr w:type="spellStart"/>
            <w:r w:rsidRPr="00E16672">
              <w:rPr>
                <w:rFonts w:ascii="Times New Roman" w:hAnsi="Times New Roman"/>
                <w:i/>
                <w:iCs/>
                <w:color w:val="000000"/>
                <w:sz w:val="16"/>
                <w:szCs w:val="16"/>
              </w:rPr>
              <w:t>п'ятдесят</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років</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застосовується</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також</w:t>
            </w:r>
            <w:proofErr w:type="spellEnd"/>
            <w:r w:rsidRPr="00E16672">
              <w:rPr>
                <w:rFonts w:ascii="Times New Roman" w:hAnsi="Times New Roman"/>
                <w:color w:val="000000"/>
                <w:sz w:val="16"/>
                <w:szCs w:val="16"/>
              </w:rPr>
              <w:t xml:space="preserve"> до </w:t>
            </w:r>
            <w:proofErr w:type="spellStart"/>
            <w:r w:rsidRPr="00E16672">
              <w:rPr>
                <w:rFonts w:ascii="Times New Roman" w:hAnsi="Times New Roman"/>
                <w:color w:val="000000"/>
                <w:sz w:val="16"/>
                <w:szCs w:val="16"/>
              </w:rPr>
              <w:t>вимог</w:t>
            </w:r>
            <w:proofErr w:type="spellEnd"/>
            <w:r w:rsidRPr="00E16672">
              <w:rPr>
                <w:rFonts w:ascii="Times New Roman" w:hAnsi="Times New Roman"/>
                <w:color w:val="000000"/>
                <w:sz w:val="16"/>
                <w:szCs w:val="16"/>
              </w:rPr>
              <w:t xml:space="preserve"> про </w:t>
            </w:r>
            <w:proofErr w:type="spellStart"/>
            <w:r w:rsidRPr="00E16672">
              <w:rPr>
                <w:rFonts w:ascii="Times New Roman" w:hAnsi="Times New Roman"/>
                <w:color w:val="000000"/>
                <w:sz w:val="16"/>
                <w:szCs w:val="16"/>
              </w:rPr>
              <w:t>стягнення</w:t>
            </w:r>
            <w:proofErr w:type="spellEnd"/>
            <w:r w:rsidRPr="00E16672">
              <w:rPr>
                <w:rFonts w:ascii="Times New Roman" w:hAnsi="Times New Roman"/>
                <w:color w:val="000000"/>
                <w:sz w:val="16"/>
                <w:szCs w:val="16"/>
              </w:rPr>
              <w:t xml:space="preserve"> </w:t>
            </w:r>
            <w:r w:rsidRPr="00E16672">
              <w:rPr>
                <w:rFonts w:ascii="Times New Roman" w:hAnsi="Times New Roman"/>
                <w:i/>
                <w:iCs/>
                <w:color w:val="000000"/>
                <w:sz w:val="16"/>
                <w:szCs w:val="16"/>
              </w:rPr>
              <w:t>неустойки</w:t>
            </w:r>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пені</w:t>
            </w:r>
            <w:proofErr w:type="spellEnd"/>
            <w:r w:rsidRPr="00E16672">
              <w:rPr>
                <w:rFonts w:ascii="Times New Roman" w:hAnsi="Times New Roman"/>
                <w:color w:val="000000"/>
                <w:sz w:val="16"/>
                <w:szCs w:val="16"/>
              </w:rPr>
              <w:t>).</w:t>
            </w:r>
          </w:p>
          <w:p w14:paraId="5FE0363D" w14:textId="77777777" w:rsidR="00EB25FE" w:rsidRPr="00E16672" w:rsidRDefault="00EB25FE" w:rsidP="00794B3F">
            <w:pPr>
              <w:ind w:left="175" w:right="138" w:firstLine="7"/>
              <w:rPr>
                <w:rFonts w:ascii="Times New Roman" w:hAnsi="Times New Roman"/>
                <w:color w:val="000000"/>
                <w:sz w:val="16"/>
                <w:szCs w:val="16"/>
              </w:rPr>
            </w:pPr>
          </w:p>
        </w:tc>
        <w:tc>
          <w:tcPr>
            <w:tcW w:w="5495" w:type="dxa"/>
            <w:gridSpan w:val="8"/>
            <w:shd w:val="clear" w:color="auto" w:fill="auto"/>
          </w:tcPr>
          <w:p w14:paraId="378DB9D2" w14:textId="77777777" w:rsidR="00EB25FE" w:rsidRPr="00E16672" w:rsidRDefault="00EB25FE" w:rsidP="00794B3F">
            <w:pPr>
              <w:snapToGrid w:val="0"/>
              <w:ind w:left="175" w:right="138" w:firstLine="7"/>
              <w:rPr>
                <w:rFonts w:ascii="Times New Roman" w:hAnsi="Times New Roman"/>
                <w:color w:val="000000"/>
                <w:sz w:val="16"/>
                <w:szCs w:val="16"/>
                <w:lang w:val="en-GB"/>
              </w:rPr>
            </w:pPr>
            <w:r w:rsidRPr="00E16672">
              <w:rPr>
                <w:rFonts w:ascii="Times New Roman" w:hAnsi="Times New Roman"/>
                <w:color w:val="000000"/>
                <w:sz w:val="16"/>
                <w:szCs w:val="16"/>
                <w:lang w:val="en-GB"/>
              </w:rPr>
              <w:t xml:space="preserve">5.14. The limitation period within which a Party may request the court to demand the protection of fundamental </w:t>
            </w:r>
            <w:r w:rsidRPr="00E16672">
              <w:rPr>
                <w:rFonts w:ascii="Times New Roman" w:hAnsi="Times New Roman"/>
                <w:color w:val="000000"/>
                <w:sz w:val="16"/>
                <w:szCs w:val="16"/>
                <w:lang w:val="en-US"/>
              </w:rPr>
              <w:t xml:space="preserve">rights and </w:t>
            </w:r>
            <w:proofErr w:type="gramStart"/>
            <w:r w:rsidRPr="00E16672">
              <w:rPr>
                <w:rFonts w:ascii="Times New Roman" w:hAnsi="Times New Roman"/>
                <w:color w:val="000000"/>
                <w:sz w:val="16"/>
                <w:szCs w:val="16"/>
                <w:lang w:val="en-US"/>
              </w:rPr>
              <w:t xml:space="preserve">interests </w:t>
            </w:r>
            <w:r w:rsidRPr="00E16672">
              <w:rPr>
                <w:rFonts w:ascii="Times New Roman" w:hAnsi="Times New Roman"/>
                <w:color w:val="000000"/>
                <w:sz w:val="16"/>
                <w:szCs w:val="16"/>
                <w:lang w:val="en-GB"/>
              </w:rPr>
              <w:t xml:space="preserve"> set</w:t>
            </w:r>
            <w:proofErr w:type="gramEnd"/>
            <w:r w:rsidRPr="00E16672">
              <w:rPr>
                <w:rFonts w:ascii="Times New Roman" w:hAnsi="Times New Roman"/>
                <w:color w:val="000000"/>
                <w:sz w:val="16"/>
                <w:szCs w:val="16"/>
                <w:lang w:val="en-GB"/>
              </w:rPr>
              <w:t xml:space="preserve"> duration of fifty years. Limitation of </w:t>
            </w:r>
            <w:r w:rsidRPr="00E16672">
              <w:rPr>
                <w:rFonts w:ascii="Times New Roman" w:hAnsi="Times New Roman"/>
                <w:i/>
                <w:color w:val="000000"/>
                <w:sz w:val="16"/>
                <w:szCs w:val="16"/>
                <w:lang w:val="en-GB"/>
              </w:rPr>
              <w:t>fifty years</w:t>
            </w:r>
            <w:r w:rsidRPr="00E16672">
              <w:rPr>
                <w:rFonts w:ascii="Times New Roman" w:hAnsi="Times New Roman"/>
                <w:color w:val="000000"/>
                <w:sz w:val="16"/>
                <w:szCs w:val="16"/>
                <w:lang w:val="en-GB"/>
              </w:rPr>
              <w:t xml:space="preserve"> shall also apply to claims for a penalty (fine).</w:t>
            </w:r>
          </w:p>
          <w:p w14:paraId="531E8A33" w14:textId="77777777" w:rsidR="00EB25FE" w:rsidRPr="00E16672" w:rsidRDefault="00EB25FE" w:rsidP="00794B3F">
            <w:pPr>
              <w:tabs>
                <w:tab w:val="left" w:pos="287"/>
              </w:tabs>
              <w:snapToGrid w:val="0"/>
              <w:ind w:left="175" w:right="138" w:firstLine="7"/>
              <w:rPr>
                <w:rFonts w:ascii="Times New Roman" w:hAnsi="Times New Roman"/>
                <w:color w:val="000000"/>
                <w:sz w:val="16"/>
                <w:szCs w:val="16"/>
                <w:lang w:val="en-GB"/>
              </w:rPr>
            </w:pPr>
          </w:p>
        </w:tc>
      </w:tr>
      <w:tr w:rsidR="00EB25FE" w:rsidRPr="00A26EFC" w14:paraId="083E4BA1" w14:textId="77777777" w:rsidTr="005E418B">
        <w:tblPrEx>
          <w:tblCellMar>
            <w:left w:w="0" w:type="dxa"/>
            <w:right w:w="0" w:type="dxa"/>
          </w:tblCellMar>
        </w:tblPrEx>
        <w:trPr>
          <w:trHeight w:val="192"/>
        </w:trPr>
        <w:tc>
          <w:tcPr>
            <w:tcW w:w="5695" w:type="dxa"/>
            <w:gridSpan w:val="7"/>
            <w:shd w:val="clear" w:color="auto" w:fill="auto"/>
          </w:tcPr>
          <w:p w14:paraId="4275F84D" w14:textId="77777777" w:rsidR="00EB25FE" w:rsidRPr="00E16672" w:rsidRDefault="00EB25FE" w:rsidP="00794B3F">
            <w:pPr>
              <w:snapToGrid w:val="0"/>
              <w:ind w:left="175" w:right="138" w:firstLine="7"/>
              <w:jc w:val="center"/>
              <w:rPr>
                <w:rFonts w:ascii="Times New Roman" w:hAnsi="Times New Roman"/>
                <w:b/>
                <w:caps/>
                <w:sz w:val="16"/>
                <w:szCs w:val="16"/>
              </w:rPr>
            </w:pPr>
            <w:r w:rsidRPr="00E16672">
              <w:rPr>
                <w:rFonts w:ascii="Times New Roman" w:hAnsi="Times New Roman"/>
                <w:b/>
                <w:caps/>
                <w:sz w:val="16"/>
                <w:szCs w:val="16"/>
              </w:rPr>
              <w:t xml:space="preserve">6. Строк дії Договору, порядок внесення змін до нього, умови розіврвання </w:t>
            </w:r>
            <w:proofErr w:type="gramStart"/>
            <w:r w:rsidRPr="00E16672">
              <w:rPr>
                <w:rFonts w:ascii="Times New Roman" w:hAnsi="Times New Roman"/>
                <w:b/>
                <w:caps/>
                <w:sz w:val="16"/>
                <w:szCs w:val="16"/>
              </w:rPr>
              <w:t>договору  та</w:t>
            </w:r>
            <w:proofErr w:type="gramEnd"/>
            <w:r w:rsidRPr="00E16672">
              <w:rPr>
                <w:rFonts w:ascii="Times New Roman" w:hAnsi="Times New Roman"/>
                <w:b/>
                <w:caps/>
                <w:sz w:val="16"/>
                <w:szCs w:val="16"/>
              </w:rPr>
              <w:t xml:space="preserve"> припинення  його дії</w:t>
            </w:r>
          </w:p>
          <w:p w14:paraId="42C37F8F" w14:textId="77777777" w:rsidR="00EB25FE" w:rsidRPr="00E16672" w:rsidRDefault="00EB25FE" w:rsidP="00794B3F">
            <w:pPr>
              <w:ind w:left="175" w:right="138" w:firstLine="7"/>
              <w:jc w:val="center"/>
              <w:rPr>
                <w:rFonts w:ascii="Times New Roman" w:hAnsi="Times New Roman"/>
                <w:b/>
                <w:caps/>
                <w:sz w:val="16"/>
                <w:szCs w:val="16"/>
              </w:rPr>
            </w:pPr>
          </w:p>
          <w:p w14:paraId="610165C4" w14:textId="77777777" w:rsidR="00EB25FE" w:rsidRPr="00E16672" w:rsidRDefault="00EB25FE" w:rsidP="00794B3F">
            <w:pPr>
              <w:ind w:left="175" w:right="138" w:firstLine="7"/>
              <w:rPr>
                <w:rFonts w:ascii="Times New Roman" w:hAnsi="Times New Roman"/>
                <w:sz w:val="16"/>
                <w:szCs w:val="16"/>
              </w:rPr>
            </w:pPr>
            <w:r w:rsidRPr="00E16672">
              <w:rPr>
                <w:rFonts w:ascii="Times New Roman" w:hAnsi="Times New Roman"/>
                <w:sz w:val="16"/>
                <w:szCs w:val="16"/>
              </w:rPr>
              <w:t xml:space="preserve">6.1. </w:t>
            </w:r>
            <w:proofErr w:type="spellStart"/>
            <w:r w:rsidRPr="00E16672">
              <w:rPr>
                <w:rFonts w:ascii="Times New Roman" w:hAnsi="Times New Roman"/>
                <w:sz w:val="16"/>
                <w:szCs w:val="16"/>
              </w:rPr>
              <w:t>Цей</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Договір</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набирає</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чинності</w:t>
            </w:r>
            <w:proofErr w:type="spellEnd"/>
            <w:r w:rsidRPr="00E16672">
              <w:rPr>
                <w:rFonts w:ascii="Times New Roman" w:hAnsi="Times New Roman"/>
                <w:sz w:val="16"/>
                <w:szCs w:val="16"/>
              </w:rPr>
              <w:t xml:space="preserve"> з моменту </w:t>
            </w:r>
            <w:proofErr w:type="spellStart"/>
            <w:r w:rsidRPr="00E16672">
              <w:rPr>
                <w:rFonts w:ascii="Times New Roman" w:hAnsi="Times New Roman"/>
                <w:sz w:val="16"/>
                <w:szCs w:val="16"/>
              </w:rPr>
              <w:t>його</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підписання</w:t>
            </w:r>
            <w:proofErr w:type="spellEnd"/>
            <w:r w:rsidRPr="00E16672">
              <w:rPr>
                <w:rFonts w:ascii="Times New Roman" w:hAnsi="Times New Roman"/>
                <w:sz w:val="16"/>
                <w:szCs w:val="16"/>
              </w:rPr>
              <w:t xml:space="preserve"> Сторонами і </w:t>
            </w:r>
            <w:proofErr w:type="spellStart"/>
            <w:r w:rsidRPr="00E16672">
              <w:rPr>
                <w:rFonts w:ascii="Times New Roman" w:hAnsi="Times New Roman"/>
                <w:sz w:val="16"/>
                <w:szCs w:val="16"/>
              </w:rPr>
              <w:t>скріплення</w:t>
            </w:r>
            <w:proofErr w:type="spellEnd"/>
            <w:r w:rsidRPr="00E16672">
              <w:rPr>
                <w:rFonts w:ascii="Times New Roman" w:hAnsi="Times New Roman"/>
                <w:sz w:val="16"/>
                <w:szCs w:val="16"/>
              </w:rPr>
              <w:t xml:space="preserve"> печатками (</w:t>
            </w:r>
            <w:r w:rsidR="003352AE" w:rsidRPr="00E16672">
              <w:rPr>
                <w:rFonts w:ascii="Times New Roman" w:hAnsi="Times New Roman"/>
                <w:sz w:val="16"/>
                <w:szCs w:val="16"/>
              </w:rPr>
              <w:t xml:space="preserve">у </w:t>
            </w:r>
            <w:proofErr w:type="spellStart"/>
            <w:r w:rsidR="003352AE" w:rsidRPr="00E16672">
              <w:rPr>
                <w:rFonts w:ascii="Times New Roman" w:hAnsi="Times New Roman"/>
                <w:sz w:val="16"/>
                <w:szCs w:val="16"/>
              </w:rPr>
              <w:t>разі</w:t>
            </w:r>
            <w:proofErr w:type="spellEnd"/>
            <w:r w:rsidR="003352AE" w:rsidRPr="00E16672">
              <w:rPr>
                <w:rFonts w:ascii="Times New Roman" w:hAnsi="Times New Roman"/>
                <w:sz w:val="16"/>
                <w:szCs w:val="16"/>
              </w:rPr>
              <w:t xml:space="preserve"> </w:t>
            </w:r>
            <w:proofErr w:type="spellStart"/>
            <w:r w:rsidR="003352AE" w:rsidRPr="00E16672">
              <w:rPr>
                <w:rFonts w:ascii="Times New Roman" w:hAnsi="Times New Roman"/>
                <w:sz w:val="16"/>
                <w:szCs w:val="16"/>
              </w:rPr>
              <w:t>використання</w:t>
            </w:r>
            <w:proofErr w:type="spellEnd"/>
            <w:r w:rsidRPr="00E16672">
              <w:rPr>
                <w:rFonts w:ascii="Times New Roman" w:hAnsi="Times New Roman"/>
                <w:sz w:val="16"/>
                <w:szCs w:val="16"/>
              </w:rPr>
              <w:t xml:space="preserve">) та </w:t>
            </w:r>
            <w:proofErr w:type="spellStart"/>
            <w:r w:rsidRPr="00E16672">
              <w:rPr>
                <w:rFonts w:ascii="Times New Roman" w:hAnsi="Times New Roman"/>
                <w:sz w:val="16"/>
                <w:szCs w:val="16"/>
              </w:rPr>
              <w:t>діє</w:t>
            </w:r>
            <w:proofErr w:type="spellEnd"/>
            <w:r w:rsidRPr="00E16672">
              <w:rPr>
                <w:rFonts w:ascii="Times New Roman" w:hAnsi="Times New Roman"/>
                <w:sz w:val="16"/>
                <w:szCs w:val="16"/>
              </w:rPr>
              <w:t xml:space="preserve"> до </w:t>
            </w:r>
            <w:proofErr w:type="spellStart"/>
            <w:r w:rsidRPr="00E16672">
              <w:rPr>
                <w:rFonts w:ascii="Times New Roman" w:hAnsi="Times New Roman"/>
                <w:sz w:val="16"/>
                <w:szCs w:val="16"/>
              </w:rPr>
              <w:t>повного</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виконання</w:t>
            </w:r>
            <w:proofErr w:type="spellEnd"/>
            <w:r w:rsidRPr="00E16672">
              <w:rPr>
                <w:rFonts w:ascii="Times New Roman" w:hAnsi="Times New Roman"/>
                <w:sz w:val="16"/>
                <w:szCs w:val="16"/>
              </w:rPr>
              <w:t xml:space="preserve"> Договору. </w:t>
            </w:r>
          </w:p>
          <w:p w14:paraId="0DAA01B9" w14:textId="77777777" w:rsidR="00EB25FE" w:rsidRPr="00E16672" w:rsidRDefault="00EB25FE" w:rsidP="00794B3F">
            <w:pPr>
              <w:snapToGrid w:val="0"/>
              <w:ind w:left="175" w:right="138" w:firstLine="7"/>
              <w:rPr>
                <w:rFonts w:ascii="Times New Roman" w:hAnsi="Times New Roman"/>
                <w:sz w:val="16"/>
                <w:szCs w:val="16"/>
              </w:rPr>
            </w:pPr>
          </w:p>
        </w:tc>
        <w:tc>
          <w:tcPr>
            <w:tcW w:w="5495" w:type="dxa"/>
            <w:gridSpan w:val="8"/>
            <w:shd w:val="clear" w:color="auto" w:fill="auto"/>
          </w:tcPr>
          <w:p w14:paraId="4E10D0CD" w14:textId="77777777" w:rsidR="00EB25FE" w:rsidRPr="00E16672" w:rsidRDefault="00EB25FE" w:rsidP="00794B3F">
            <w:pPr>
              <w:tabs>
                <w:tab w:val="left" w:pos="287"/>
              </w:tabs>
              <w:snapToGrid w:val="0"/>
              <w:ind w:left="175" w:right="100" w:firstLine="7"/>
              <w:jc w:val="center"/>
              <w:rPr>
                <w:rFonts w:ascii="Times New Roman" w:hAnsi="Times New Roman"/>
                <w:b/>
                <w:caps/>
                <w:sz w:val="16"/>
                <w:szCs w:val="16"/>
                <w:lang w:val="en-GB"/>
              </w:rPr>
            </w:pPr>
            <w:r w:rsidRPr="00E16672">
              <w:rPr>
                <w:rFonts w:ascii="Times New Roman" w:hAnsi="Times New Roman"/>
                <w:b/>
                <w:caps/>
                <w:sz w:val="16"/>
                <w:szCs w:val="16"/>
                <w:lang w:val="en-GB"/>
              </w:rPr>
              <w:t xml:space="preserve">6. TERM OF ACTIONS OF AGREEMENT, ORDER CHANGES TO </w:t>
            </w:r>
            <w:r w:rsidRPr="00E16672">
              <w:rPr>
                <w:rFonts w:ascii="Times New Roman" w:hAnsi="Times New Roman"/>
                <w:b/>
                <w:caps/>
                <w:sz w:val="16"/>
                <w:szCs w:val="16"/>
                <w:lang w:val="en-US"/>
              </w:rPr>
              <w:t>it</w:t>
            </w:r>
            <w:r w:rsidRPr="00E16672">
              <w:rPr>
                <w:rFonts w:ascii="Times New Roman" w:hAnsi="Times New Roman"/>
                <w:b/>
                <w:caps/>
                <w:sz w:val="16"/>
                <w:szCs w:val="16"/>
                <w:lang w:val="en-GB"/>
              </w:rPr>
              <w:t xml:space="preserve">, conditions for terminating of </w:t>
            </w:r>
            <w:proofErr w:type="gramStart"/>
            <w:r w:rsidRPr="00E16672">
              <w:rPr>
                <w:rFonts w:ascii="Times New Roman" w:hAnsi="Times New Roman"/>
                <w:b/>
                <w:caps/>
                <w:sz w:val="16"/>
                <w:szCs w:val="16"/>
                <w:lang w:val="en-GB"/>
              </w:rPr>
              <w:t>Agreement</w:t>
            </w:r>
            <w:r w:rsidRPr="00A26EFC">
              <w:rPr>
                <w:rStyle w:val="hps"/>
                <w:rFonts w:ascii="Times New Roman" w:hAnsi="Times New Roman"/>
                <w:lang w:val="en-US"/>
              </w:rPr>
              <w:t xml:space="preserve"> </w:t>
            </w:r>
            <w:r w:rsidRPr="00E16672">
              <w:rPr>
                <w:rFonts w:ascii="Times New Roman" w:hAnsi="Times New Roman"/>
                <w:b/>
                <w:caps/>
                <w:sz w:val="16"/>
                <w:szCs w:val="16"/>
                <w:lang w:val="en-GB"/>
              </w:rPr>
              <w:t xml:space="preserve"> AND</w:t>
            </w:r>
            <w:proofErr w:type="gramEnd"/>
            <w:r w:rsidRPr="00E16672">
              <w:rPr>
                <w:rFonts w:ascii="Times New Roman" w:hAnsi="Times New Roman"/>
                <w:b/>
                <w:caps/>
                <w:sz w:val="16"/>
                <w:szCs w:val="16"/>
                <w:lang w:val="en-GB"/>
              </w:rPr>
              <w:t xml:space="preserve"> TERMINATION OF its</w:t>
            </w:r>
            <w:r w:rsidRPr="00E16672">
              <w:rPr>
                <w:rFonts w:ascii="Times New Roman" w:hAnsi="Times New Roman"/>
                <w:b/>
                <w:caps/>
                <w:sz w:val="16"/>
                <w:szCs w:val="16"/>
                <w:lang w:val="en-US"/>
              </w:rPr>
              <w:t xml:space="preserve"> </w:t>
            </w:r>
            <w:r w:rsidRPr="00E16672">
              <w:rPr>
                <w:rFonts w:ascii="Times New Roman" w:hAnsi="Times New Roman"/>
                <w:b/>
                <w:caps/>
                <w:sz w:val="16"/>
                <w:szCs w:val="16"/>
                <w:lang w:val="en-GB"/>
              </w:rPr>
              <w:t>VALIDITY</w:t>
            </w:r>
          </w:p>
          <w:p w14:paraId="762723F5" w14:textId="77777777" w:rsidR="00EB25FE" w:rsidRPr="00E16672" w:rsidRDefault="00EB25FE" w:rsidP="00794B3F">
            <w:pPr>
              <w:tabs>
                <w:tab w:val="left" w:pos="287"/>
              </w:tabs>
              <w:snapToGrid w:val="0"/>
              <w:ind w:left="175" w:right="100" w:firstLine="7"/>
              <w:jc w:val="center"/>
              <w:rPr>
                <w:rFonts w:ascii="Times New Roman" w:hAnsi="Times New Roman"/>
                <w:b/>
                <w:bCs/>
                <w:sz w:val="16"/>
                <w:szCs w:val="16"/>
                <w:lang w:val="en-US"/>
              </w:rPr>
            </w:pPr>
          </w:p>
          <w:p w14:paraId="569B65E3" w14:textId="77777777" w:rsidR="00EB25FE" w:rsidRPr="00E16672" w:rsidRDefault="00EB25FE" w:rsidP="00794B3F">
            <w:pPr>
              <w:tabs>
                <w:tab w:val="left" w:pos="287"/>
              </w:tabs>
              <w:ind w:left="175" w:right="100" w:firstLine="7"/>
              <w:rPr>
                <w:rFonts w:ascii="Times New Roman" w:hAnsi="Times New Roman"/>
                <w:sz w:val="16"/>
                <w:szCs w:val="16"/>
                <w:lang w:val="en-GB"/>
              </w:rPr>
            </w:pPr>
            <w:r w:rsidRPr="00E16672">
              <w:rPr>
                <w:rFonts w:ascii="Times New Roman" w:hAnsi="Times New Roman"/>
                <w:sz w:val="16"/>
                <w:szCs w:val="16"/>
                <w:lang w:val="en-GB"/>
              </w:rPr>
              <w:t>6.1. This Agreement shall enter into force upon signature by the Parties and sealed (</w:t>
            </w:r>
            <w:proofErr w:type="spellStart"/>
            <w:r w:rsidR="00E357FB" w:rsidRPr="00E16672">
              <w:rPr>
                <w:rFonts w:ascii="Times New Roman" w:hAnsi="Times New Roman"/>
                <w:sz w:val="16"/>
                <w:szCs w:val="16"/>
                <w:lang w:val="uk-UA"/>
              </w:rPr>
              <w:t>in</w:t>
            </w:r>
            <w:proofErr w:type="spellEnd"/>
            <w:r w:rsidR="00E357FB" w:rsidRPr="00E16672">
              <w:rPr>
                <w:rFonts w:ascii="Times New Roman" w:hAnsi="Times New Roman"/>
                <w:sz w:val="16"/>
                <w:szCs w:val="16"/>
                <w:lang w:val="uk-UA"/>
              </w:rPr>
              <w:t xml:space="preserve"> </w:t>
            </w:r>
            <w:proofErr w:type="spellStart"/>
            <w:r w:rsidR="00E357FB" w:rsidRPr="00E16672">
              <w:rPr>
                <w:rFonts w:ascii="Times New Roman" w:hAnsi="Times New Roman"/>
                <w:sz w:val="16"/>
                <w:szCs w:val="16"/>
                <w:lang w:val="uk-UA"/>
              </w:rPr>
              <w:t>case</w:t>
            </w:r>
            <w:proofErr w:type="spellEnd"/>
            <w:r w:rsidR="00E357FB" w:rsidRPr="00E16672">
              <w:rPr>
                <w:rFonts w:ascii="Times New Roman" w:hAnsi="Times New Roman"/>
                <w:sz w:val="16"/>
                <w:szCs w:val="16"/>
                <w:lang w:val="uk-UA"/>
              </w:rPr>
              <w:t xml:space="preserve"> </w:t>
            </w:r>
            <w:proofErr w:type="spellStart"/>
            <w:r w:rsidR="00E357FB" w:rsidRPr="00E16672">
              <w:rPr>
                <w:rFonts w:ascii="Times New Roman" w:hAnsi="Times New Roman"/>
                <w:sz w:val="16"/>
                <w:szCs w:val="16"/>
                <w:lang w:val="uk-UA"/>
              </w:rPr>
              <w:t>of</w:t>
            </w:r>
            <w:proofErr w:type="spellEnd"/>
            <w:r w:rsidR="00E357FB" w:rsidRPr="00E16672">
              <w:rPr>
                <w:rFonts w:ascii="Times New Roman" w:hAnsi="Times New Roman"/>
                <w:sz w:val="16"/>
                <w:szCs w:val="16"/>
                <w:lang w:val="uk-UA"/>
              </w:rPr>
              <w:t xml:space="preserve"> </w:t>
            </w:r>
            <w:proofErr w:type="spellStart"/>
            <w:r w:rsidR="00E357FB" w:rsidRPr="00E16672">
              <w:rPr>
                <w:rFonts w:ascii="Times New Roman" w:hAnsi="Times New Roman"/>
                <w:sz w:val="16"/>
                <w:szCs w:val="16"/>
                <w:lang w:val="uk-UA"/>
              </w:rPr>
              <w:t>use</w:t>
            </w:r>
            <w:proofErr w:type="spellEnd"/>
            <w:r w:rsidRPr="00E16672">
              <w:rPr>
                <w:rFonts w:ascii="Times New Roman" w:hAnsi="Times New Roman"/>
                <w:sz w:val="16"/>
                <w:szCs w:val="16"/>
                <w:lang w:val="en-GB"/>
              </w:rPr>
              <w:t xml:space="preserve">) and valid </w:t>
            </w:r>
            <w:proofErr w:type="gramStart"/>
            <w:r w:rsidRPr="00E16672">
              <w:rPr>
                <w:rFonts w:ascii="Times New Roman" w:hAnsi="Times New Roman"/>
                <w:sz w:val="16"/>
                <w:szCs w:val="16"/>
                <w:lang w:val="en-GB"/>
              </w:rPr>
              <w:t xml:space="preserve">until </w:t>
            </w:r>
            <w:r w:rsidRPr="00E16672">
              <w:rPr>
                <w:rFonts w:ascii="Times New Roman" w:hAnsi="Times New Roman"/>
                <w:sz w:val="16"/>
                <w:szCs w:val="16"/>
                <w:lang w:val="en-US"/>
              </w:rPr>
              <w:t xml:space="preserve"> full</w:t>
            </w:r>
            <w:proofErr w:type="gramEnd"/>
            <w:r w:rsidRPr="00E16672">
              <w:rPr>
                <w:rFonts w:ascii="Times New Roman" w:hAnsi="Times New Roman"/>
                <w:sz w:val="16"/>
                <w:szCs w:val="16"/>
                <w:lang w:val="en-US"/>
              </w:rPr>
              <w:t xml:space="preserve"> </w:t>
            </w:r>
            <w:r w:rsidRPr="00E16672">
              <w:rPr>
                <w:rFonts w:ascii="Times New Roman" w:hAnsi="Times New Roman"/>
                <w:sz w:val="16"/>
                <w:szCs w:val="16"/>
                <w:lang w:val="en-GB"/>
              </w:rPr>
              <w:t>execution of the Agreement</w:t>
            </w:r>
            <w:r w:rsidRPr="00E16672">
              <w:rPr>
                <w:rFonts w:ascii="Times New Roman" w:hAnsi="Times New Roman"/>
                <w:sz w:val="16"/>
                <w:szCs w:val="16"/>
                <w:lang w:val="en-US"/>
              </w:rPr>
              <w:t>.</w:t>
            </w:r>
            <w:r w:rsidRPr="00E16672">
              <w:rPr>
                <w:rFonts w:ascii="Times New Roman" w:hAnsi="Times New Roman"/>
                <w:sz w:val="16"/>
                <w:szCs w:val="16"/>
                <w:lang w:val="en-GB"/>
              </w:rPr>
              <w:t xml:space="preserve"> </w:t>
            </w:r>
          </w:p>
          <w:p w14:paraId="22A0A748" w14:textId="77777777" w:rsidR="00EB25FE" w:rsidRPr="00E16672" w:rsidRDefault="00EB25FE" w:rsidP="00794B3F">
            <w:pPr>
              <w:tabs>
                <w:tab w:val="left" w:pos="287"/>
              </w:tabs>
              <w:snapToGrid w:val="0"/>
              <w:ind w:left="175" w:right="100" w:firstLine="7"/>
              <w:rPr>
                <w:rFonts w:ascii="Times New Roman" w:hAnsi="Times New Roman"/>
                <w:bCs/>
                <w:sz w:val="16"/>
                <w:szCs w:val="16"/>
                <w:lang w:val="en-US"/>
              </w:rPr>
            </w:pPr>
          </w:p>
        </w:tc>
      </w:tr>
      <w:tr w:rsidR="00EB25FE" w:rsidRPr="00A26EFC" w14:paraId="0A158A48" w14:textId="77777777" w:rsidTr="005E418B">
        <w:tblPrEx>
          <w:tblCellMar>
            <w:left w:w="0" w:type="dxa"/>
            <w:right w:w="0" w:type="dxa"/>
          </w:tblCellMar>
        </w:tblPrEx>
        <w:trPr>
          <w:trHeight w:val="192"/>
        </w:trPr>
        <w:tc>
          <w:tcPr>
            <w:tcW w:w="5695" w:type="dxa"/>
            <w:gridSpan w:val="7"/>
            <w:shd w:val="clear" w:color="auto" w:fill="auto"/>
          </w:tcPr>
          <w:p w14:paraId="58E80421" w14:textId="77777777" w:rsidR="00EB25FE" w:rsidRPr="00E16672" w:rsidRDefault="00EB25FE" w:rsidP="00794B3F">
            <w:pPr>
              <w:snapToGrid w:val="0"/>
              <w:ind w:left="175" w:right="138" w:firstLine="7"/>
              <w:rPr>
                <w:rFonts w:ascii="Times New Roman" w:hAnsi="Times New Roman"/>
                <w:sz w:val="16"/>
                <w:szCs w:val="16"/>
                <w:lang w:val="uk-UA"/>
              </w:rPr>
            </w:pPr>
            <w:r w:rsidRPr="00E16672">
              <w:rPr>
                <w:rFonts w:ascii="Times New Roman" w:hAnsi="Times New Roman"/>
                <w:sz w:val="16"/>
                <w:szCs w:val="16"/>
              </w:rPr>
              <w:t xml:space="preserve">6.2. </w:t>
            </w:r>
            <w:proofErr w:type="spellStart"/>
            <w:r w:rsidRPr="00E16672">
              <w:rPr>
                <w:rFonts w:ascii="Times New Roman" w:hAnsi="Times New Roman"/>
                <w:sz w:val="16"/>
                <w:szCs w:val="16"/>
              </w:rPr>
              <w:t>Зміни</w:t>
            </w:r>
            <w:proofErr w:type="spellEnd"/>
            <w:r w:rsidRPr="00E16672">
              <w:rPr>
                <w:rFonts w:ascii="Times New Roman" w:hAnsi="Times New Roman"/>
                <w:sz w:val="16"/>
                <w:szCs w:val="16"/>
              </w:rPr>
              <w:t xml:space="preserve"> до умов </w:t>
            </w:r>
            <w:proofErr w:type="spellStart"/>
            <w:r w:rsidRPr="00E16672">
              <w:rPr>
                <w:rFonts w:ascii="Times New Roman" w:hAnsi="Times New Roman"/>
                <w:sz w:val="16"/>
                <w:szCs w:val="16"/>
              </w:rPr>
              <w:t>цього</w:t>
            </w:r>
            <w:proofErr w:type="spellEnd"/>
            <w:r w:rsidRPr="00E16672">
              <w:rPr>
                <w:rFonts w:ascii="Times New Roman" w:hAnsi="Times New Roman"/>
                <w:sz w:val="16"/>
                <w:szCs w:val="16"/>
              </w:rPr>
              <w:t xml:space="preserve"> Договору </w:t>
            </w:r>
            <w:proofErr w:type="spellStart"/>
            <w:r w:rsidRPr="00E16672">
              <w:rPr>
                <w:rFonts w:ascii="Times New Roman" w:hAnsi="Times New Roman"/>
                <w:sz w:val="16"/>
                <w:szCs w:val="16"/>
              </w:rPr>
              <w:t>вносяться</w:t>
            </w:r>
            <w:proofErr w:type="spellEnd"/>
            <w:r w:rsidRPr="00E16672">
              <w:rPr>
                <w:rFonts w:ascii="Times New Roman" w:hAnsi="Times New Roman"/>
                <w:sz w:val="16"/>
                <w:szCs w:val="16"/>
              </w:rPr>
              <w:t xml:space="preserve"> за </w:t>
            </w:r>
            <w:proofErr w:type="spellStart"/>
            <w:r w:rsidRPr="00E16672">
              <w:rPr>
                <w:rFonts w:ascii="Times New Roman" w:hAnsi="Times New Roman"/>
                <w:sz w:val="16"/>
                <w:szCs w:val="16"/>
              </w:rPr>
              <w:t>взаємною</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згодою</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Сторін</w:t>
            </w:r>
            <w:proofErr w:type="spellEnd"/>
            <w:r w:rsidRPr="00E16672">
              <w:rPr>
                <w:rFonts w:ascii="Times New Roman" w:hAnsi="Times New Roman"/>
                <w:sz w:val="16"/>
                <w:szCs w:val="16"/>
              </w:rPr>
              <w:t xml:space="preserve">, </w:t>
            </w:r>
            <w:proofErr w:type="spellStart"/>
            <w:proofErr w:type="gramStart"/>
            <w:r w:rsidRPr="00E16672">
              <w:rPr>
                <w:rFonts w:ascii="Times New Roman" w:hAnsi="Times New Roman"/>
                <w:sz w:val="16"/>
                <w:szCs w:val="16"/>
              </w:rPr>
              <w:t>оформленою</w:t>
            </w:r>
            <w:proofErr w:type="spellEnd"/>
            <w:r w:rsidRPr="00E16672">
              <w:rPr>
                <w:rFonts w:ascii="Times New Roman" w:hAnsi="Times New Roman"/>
                <w:sz w:val="16"/>
                <w:szCs w:val="16"/>
              </w:rPr>
              <w:t xml:space="preserve">  в</w:t>
            </w:r>
            <w:proofErr w:type="gramEnd"/>
            <w:r w:rsidRPr="00E16672">
              <w:rPr>
                <w:rFonts w:ascii="Times New Roman" w:hAnsi="Times New Roman"/>
                <w:sz w:val="16"/>
                <w:szCs w:val="16"/>
              </w:rPr>
              <w:t xml:space="preserve"> </w:t>
            </w:r>
            <w:proofErr w:type="spellStart"/>
            <w:r w:rsidRPr="00E16672">
              <w:rPr>
                <w:rFonts w:ascii="Times New Roman" w:hAnsi="Times New Roman"/>
                <w:sz w:val="16"/>
                <w:szCs w:val="16"/>
              </w:rPr>
              <w:t>письмовій</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формі</w:t>
            </w:r>
            <w:proofErr w:type="spellEnd"/>
            <w:r w:rsidRPr="00E16672">
              <w:rPr>
                <w:rFonts w:ascii="Times New Roman" w:hAnsi="Times New Roman"/>
                <w:sz w:val="16"/>
                <w:szCs w:val="16"/>
              </w:rPr>
              <w:t>.</w:t>
            </w:r>
            <w:r w:rsidRPr="00E16672">
              <w:rPr>
                <w:rFonts w:ascii="Times New Roman" w:hAnsi="Times New Roman"/>
                <w:sz w:val="16"/>
                <w:szCs w:val="16"/>
                <w:lang w:val="uk-UA"/>
              </w:rPr>
              <w:t xml:space="preserve"> Одностороння відмова кожної із Сторін від виконання Договору або зміна його умов є неприпустимою, крім випадків, встановлених законодавством або цим Договором.</w:t>
            </w:r>
          </w:p>
          <w:p w14:paraId="57F33902" w14:textId="77777777" w:rsidR="00EB25FE" w:rsidRPr="00E16672" w:rsidRDefault="00EB25FE" w:rsidP="00794B3F">
            <w:pPr>
              <w:ind w:left="175" w:right="138" w:firstLine="7"/>
              <w:rPr>
                <w:rFonts w:ascii="Times New Roman" w:hAnsi="Times New Roman"/>
                <w:sz w:val="16"/>
                <w:szCs w:val="16"/>
              </w:rPr>
            </w:pPr>
          </w:p>
        </w:tc>
        <w:tc>
          <w:tcPr>
            <w:tcW w:w="5495" w:type="dxa"/>
            <w:gridSpan w:val="8"/>
            <w:shd w:val="clear" w:color="auto" w:fill="auto"/>
          </w:tcPr>
          <w:p w14:paraId="28DEE575" w14:textId="77777777" w:rsidR="00EB25FE" w:rsidRPr="00E16672" w:rsidRDefault="00EB25FE" w:rsidP="00794B3F">
            <w:pPr>
              <w:tabs>
                <w:tab w:val="left" w:pos="287"/>
              </w:tabs>
              <w:snapToGrid w:val="0"/>
              <w:ind w:left="175" w:right="100" w:firstLine="7"/>
              <w:rPr>
                <w:rFonts w:ascii="Times New Roman" w:hAnsi="Times New Roman"/>
                <w:sz w:val="16"/>
                <w:szCs w:val="16"/>
                <w:lang w:val="uk-UA"/>
              </w:rPr>
            </w:pPr>
            <w:r w:rsidRPr="00E16672">
              <w:rPr>
                <w:rFonts w:ascii="Times New Roman" w:hAnsi="Times New Roman"/>
                <w:sz w:val="16"/>
                <w:szCs w:val="16"/>
                <w:lang w:val="en-GB"/>
              </w:rPr>
              <w:t>6.</w:t>
            </w:r>
            <w:r w:rsidRPr="00E16672">
              <w:rPr>
                <w:rFonts w:ascii="Times New Roman" w:hAnsi="Times New Roman"/>
                <w:sz w:val="16"/>
                <w:szCs w:val="16"/>
                <w:lang w:val="en-US"/>
              </w:rPr>
              <w:t>2</w:t>
            </w:r>
            <w:r w:rsidRPr="00E16672">
              <w:rPr>
                <w:rFonts w:ascii="Times New Roman" w:hAnsi="Times New Roman"/>
                <w:sz w:val="16"/>
                <w:szCs w:val="16"/>
                <w:lang w:val="en-GB"/>
              </w:rPr>
              <w:t>. Changes to the conditions of this Agreement shall be made by mutual consent</w:t>
            </w:r>
            <w:r w:rsidRPr="00E16672">
              <w:rPr>
                <w:rFonts w:ascii="Times New Roman" w:hAnsi="Times New Roman"/>
                <w:sz w:val="16"/>
                <w:szCs w:val="16"/>
                <w:lang w:val="en-US"/>
              </w:rPr>
              <w:t xml:space="preserve"> of the Parties</w:t>
            </w:r>
            <w:r w:rsidRPr="00E16672">
              <w:rPr>
                <w:rFonts w:ascii="Times New Roman" w:hAnsi="Times New Roman"/>
                <w:sz w:val="16"/>
                <w:szCs w:val="16"/>
                <w:lang w:val="en-GB"/>
              </w:rPr>
              <w:t>, in writing.</w:t>
            </w:r>
            <w:r w:rsidRPr="00E16672">
              <w:rPr>
                <w:rFonts w:ascii="Times New Roman" w:hAnsi="Times New Roman"/>
                <w:sz w:val="16"/>
                <w:szCs w:val="16"/>
                <w:lang w:val="uk-UA"/>
              </w:rPr>
              <w:t xml:space="preserve"> </w:t>
            </w:r>
            <w:r w:rsidRPr="00A26EFC">
              <w:rPr>
                <w:rFonts w:ascii="Times New Roman" w:hAnsi="Times New Roman"/>
                <w:sz w:val="16"/>
                <w:szCs w:val="16"/>
                <w:lang w:val="en-US"/>
              </w:rPr>
              <w:t>Unilateral refusal by either Party to perform the Contract or modification of its terms is inadmissible except in cases established by law or this Agreement.</w:t>
            </w:r>
          </w:p>
        </w:tc>
      </w:tr>
      <w:tr w:rsidR="00EB25FE" w:rsidRPr="00A26EFC" w14:paraId="3F3435E5" w14:textId="77777777" w:rsidTr="005E418B">
        <w:tblPrEx>
          <w:tblCellMar>
            <w:left w:w="0" w:type="dxa"/>
            <w:right w:w="0" w:type="dxa"/>
          </w:tblCellMar>
        </w:tblPrEx>
        <w:trPr>
          <w:trHeight w:val="192"/>
        </w:trPr>
        <w:tc>
          <w:tcPr>
            <w:tcW w:w="5695" w:type="dxa"/>
            <w:gridSpan w:val="7"/>
            <w:shd w:val="clear" w:color="auto" w:fill="auto"/>
          </w:tcPr>
          <w:p w14:paraId="77669849" w14:textId="77777777" w:rsidR="00EB25FE" w:rsidRPr="00E16672" w:rsidRDefault="00EB25FE" w:rsidP="00794B3F">
            <w:pPr>
              <w:snapToGrid w:val="0"/>
              <w:ind w:left="175" w:right="138" w:firstLine="7"/>
              <w:rPr>
                <w:rFonts w:ascii="Times New Roman" w:hAnsi="Times New Roman"/>
                <w:sz w:val="16"/>
                <w:szCs w:val="16"/>
              </w:rPr>
            </w:pPr>
            <w:r w:rsidRPr="00E16672">
              <w:rPr>
                <w:rFonts w:ascii="Times New Roman" w:hAnsi="Times New Roman"/>
                <w:sz w:val="16"/>
                <w:szCs w:val="16"/>
              </w:rPr>
              <w:t xml:space="preserve">6.3. </w:t>
            </w:r>
            <w:proofErr w:type="spellStart"/>
            <w:r w:rsidRPr="00E16672">
              <w:rPr>
                <w:rFonts w:ascii="Times New Roman" w:hAnsi="Times New Roman"/>
                <w:sz w:val="16"/>
                <w:szCs w:val="16"/>
              </w:rPr>
              <w:t>Цей</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Договір</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може</w:t>
            </w:r>
            <w:proofErr w:type="spellEnd"/>
            <w:r w:rsidRPr="00E16672">
              <w:rPr>
                <w:rFonts w:ascii="Times New Roman" w:hAnsi="Times New Roman"/>
                <w:sz w:val="16"/>
                <w:szCs w:val="16"/>
              </w:rPr>
              <w:t xml:space="preserve"> бути </w:t>
            </w:r>
            <w:proofErr w:type="spellStart"/>
            <w:r w:rsidRPr="00E16672">
              <w:rPr>
                <w:rFonts w:ascii="Times New Roman" w:hAnsi="Times New Roman"/>
                <w:sz w:val="16"/>
                <w:szCs w:val="16"/>
              </w:rPr>
              <w:t>достроково</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розірваний</w:t>
            </w:r>
            <w:proofErr w:type="spellEnd"/>
            <w:r w:rsidRPr="00E16672">
              <w:rPr>
                <w:rFonts w:ascii="Times New Roman" w:hAnsi="Times New Roman"/>
                <w:sz w:val="16"/>
                <w:szCs w:val="16"/>
              </w:rPr>
              <w:t>:</w:t>
            </w:r>
          </w:p>
          <w:p w14:paraId="35ED2833" w14:textId="77777777" w:rsidR="00EB25FE" w:rsidRPr="00E16672" w:rsidRDefault="00EB25FE" w:rsidP="00794B3F">
            <w:pPr>
              <w:snapToGrid w:val="0"/>
              <w:ind w:left="175" w:right="138" w:firstLine="7"/>
              <w:rPr>
                <w:rFonts w:ascii="Times New Roman" w:hAnsi="Times New Roman"/>
                <w:sz w:val="16"/>
                <w:szCs w:val="16"/>
              </w:rPr>
            </w:pPr>
          </w:p>
        </w:tc>
        <w:tc>
          <w:tcPr>
            <w:tcW w:w="5495" w:type="dxa"/>
            <w:gridSpan w:val="8"/>
            <w:shd w:val="clear" w:color="auto" w:fill="auto"/>
          </w:tcPr>
          <w:p w14:paraId="662BF3C8" w14:textId="77777777" w:rsidR="00EB25FE" w:rsidRPr="00E16672" w:rsidRDefault="00EB25FE" w:rsidP="00794B3F">
            <w:pPr>
              <w:tabs>
                <w:tab w:val="left" w:pos="107"/>
                <w:tab w:val="left" w:pos="287"/>
                <w:tab w:val="left" w:pos="872"/>
              </w:tabs>
              <w:autoSpaceDE w:val="0"/>
              <w:snapToGrid w:val="0"/>
              <w:ind w:left="175" w:right="100" w:firstLine="7"/>
              <w:rPr>
                <w:rFonts w:ascii="Times New Roman" w:hAnsi="Times New Roman"/>
                <w:sz w:val="16"/>
                <w:szCs w:val="16"/>
                <w:lang w:val="en-GB"/>
              </w:rPr>
            </w:pPr>
            <w:r w:rsidRPr="00E16672">
              <w:rPr>
                <w:rFonts w:ascii="Times New Roman" w:hAnsi="Times New Roman"/>
                <w:sz w:val="16"/>
                <w:szCs w:val="16"/>
                <w:lang w:val="en-GB"/>
              </w:rPr>
              <w:t>6.</w:t>
            </w:r>
            <w:r w:rsidRPr="00E16672">
              <w:rPr>
                <w:rFonts w:ascii="Times New Roman" w:hAnsi="Times New Roman"/>
                <w:sz w:val="16"/>
                <w:szCs w:val="16"/>
                <w:lang w:val="en-US"/>
              </w:rPr>
              <w:t>3</w:t>
            </w:r>
            <w:r w:rsidRPr="00E16672">
              <w:rPr>
                <w:rFonts w:ascii="Times New Roman" w:hAnsi="Times New Roman"/>
                <w:sz w:val="16"/>
                <w:szCs w:val="16"/>
                <w:lang w:val="en-GB"/>
              </w:rPr>
              <w:t>. This Agreement may be terminated earlier:</w:t>
            </w:r>
          </w:p>
        </w:tc>
      </w:tr>
      <w:tr w:rsidR="00EB25FE" w:rsidRPr="00A26EFC" w14:paraId="6607E11E" w14:textId="77777777" w:rsidTr="005E418B">
        <w:tblPrEx>
          <w:tblCellMar>
            <w:left w:w="0" w:type="dxa"/>
            <w:right w:w="0" w:type="dxa"/>
          </w:tblCellMar>
        </w:tblPrEx>
        <w:trPr>
          <w:trHeight w:val="192"/>
        </w:trPr>
        <w:tc>
          <w:tcPr>
            <w:tcW w:w="5695" w:type="dxa"/>
            <w:gridSpan w:val="7"/>
            <w:shd w:val="clear" w:color="auto" w:fill="auto"/>
          </w:tcPr>
          <w:p w14:paraId="51045DCB" w14:textId="77777777" w:rsidR="00EB25FE" w:rsidRPr="00E16672" w:rsidRDefault="00EB25FE" w:rsidP="00794B3F">
            <w:pPr>
              <w:snapToGrid w:val="0"/>
              <w:ind w:left="175" w:right="138" w:firstLine="7"/>
              <w:rPr>
                <w:rFonts w:ascii="Times New Roman" w:hAnsi="Times New Roman"/>
                <w:sz w:val="16"/>
                <w:szCs w:val="16"/>
              </w:rPr>
            </w:pPr>
            <w:r w:rsidRPr="00E16672">
              <w:rPr>
                <w:rFonts w:ascii="Times New Roman" w:hAnsi="Times New Roman"/>
                <w:sz w:val="16"/>
                <w:szCs w:val="16"/>
              </w:rPr>
              <w:t xml:space="preserve">6.3.1. Кожною </w:t>
            </w:r>
            <w:proofErr w:type="spellStart"/>
            <w:r w:rsidRPr="00E16672">
              <w:rPr>
                <w:rFonts w:ascii="Times New Roman" w:hAnsi="Times New Roman"/>
                <w:sz w:val="16"/>
                <w:szCs w:val="16"/>
              </w:rPr>
              <w:t>із</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Сторін</w:t>
            </w:r>
            <w:proofErr w:type="spellEnd"/>
            <w:r w:rsidRPr="00E16672">
              <w:rPr>
                <w:rFonts w:ascii="Times New Roman" w:hAnsi="Times New Roman"/>
                <w:sz w:val="16"/>
                <w:szCs w:val="16"/>
              </w:rPr>
              <w:t xml:space="preserve"> в </w:t>
            </w:r>
            <w:proofErr w:type="spellStart"/>
            <w:r w:rsidRPr="00E16672">
              <w:rPr>
                <w:rFonts w:ascii="Times New Roman" w:hAnsi="Times New Roman"/>
                <w:sz w:val="16"/>
                <w:szCs w:val="16"/>
              </w:rPr>
              <w:t>односторонньому</w:t>
            </w:r>
            <w:proofErr w:type="spellEnd"/>
            <w:r w:rsidRPr="00E16672">
              <w:rPr>
                <w:rFonts w:ascii="Times New Roman" w:hAnsi="Times New Roman"/>
                <w:sz w:val="16"/>
                <w:szCs w:val="16"/>
              </w:rPr>
              <w:t xml:space="preserve"> порядку. Про </w:t>
            </w:r>
            <w:proofErr w:type="spellStart"/>
            <w:r w:rsidRPr="00E16672">
              <w:rPr>
                <w:rFonts w:ascii="Times New Roman" w:hAnsi="Times New Roman"/>
                <w:sz w:val="16"/>
                <w:szCs w:val="16"/>
              </w:rPr>
              <w:t>дострокове</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розірвання</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цього</w:t>
            </w:r>
            <w:proofErr w:type="spellEnd"/>
            <w:r w:rsidRPr="00E16672">
              <w:rPr>
                <w:rFonts w:ascii="Times New Roman" w:hAnsi="Times New Roman"/>
                <w:sz w:val="16"/>
                <w:szCs w:val="16"/>
              </w:rPr>
              <w:t xml:space="preserve"> Договору в </w:t>
            </w:r>
            <w:proofErr w:type="spellStart"/>
            <w:r w:rsidRPr="00E16672">
              <w:rPr>
                <w:rFonts w:ascii="Times New Roman" w:hAnsi="Times New Roman"/>
                <w:sz w:val="16"/>
                <w:szCs w:val="16"/>
              </w:rPr>
              <w:t>односторонньому</w:t>
            </w:r>
            <w:proofErr w:type="spellEnd"/>
            <w:r w:rsidRPr="00E16672">
              <w:rPr>
                <w:rFonts w:ascii="Times New Roman" w:hAnsi="Times New Roman"/>
                <w:sz w:val="16"/>
                <w:szCs w:val="16"/>
              </w:rPr>
              <w:t xml:space="preserve"> порядку Сторона, яка </w:t>
            </w:r>
            <w:proofErr w:type="spellStart"/>
            <w:r w:rsidRPr="00E16672">
              <w:rPr>
                <w:rFonts w:ascii="Times New Roman" w:hAnsi="Times New Roman"/>
                <w:sz w:val="16"/>
                <w:szCs w:val="16"/>
              </w:rPr>
              <w:t>прийняла</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таке</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рішення</w:t>
            </w:r>
            <w:proofErr w:type="spellEnd"/>
            <w:r w:rsidRPr="00E16672">
              <w:rPr>
                <w:rFonts w:ascii="Times New Roman" w:hAnsi="Times New Roman"/>
                <w:sz w:val="16"/>
                <w:szCs w:val="16"/>
              </w:rPr>
              <w:t xml:space="preserve">, повинна </w:t>
            </w:r>
            <w:proofErr w:type="spellStart"/>
            <w:r w:rsidRPr="00E16672">
              <w:rPr>
                <w:rFonts w:ascii="Times New Roman" w:hAnsi="Times New Roman"/>
                <w:sz w:val="16"/>
                <w:szCs w:val="16"/>
              </w:rPr>
              <w:t>повідомити</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надіславши</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відповідне</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письмове</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lastRenderedPageBreak/>
              <w:t>повідомлення</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іншій</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Стороні</w:t>
            </w:r>
            <w:proofErr w:type="spellEnd"/>
            <w:r w:rsidRPr="00E16672">
              <w:rPr>
                <w:rFonts w:ascii="Times New Roman" w:hAnsi="Times New Roman"/>
                <w:sz w:val="16"/>
                <w:szCs w:val="16"/>
              </w:rPr>
              <w:t xml:space="preserve"> за </w:t>
            </w:r>
            <w:proofErr w:type="spellStart"/>
            <w:r w:rsidRPr="00E16672">
              <w:rPr>
                <w:rFonts w:ascii="Times New Roman" w:hAnsi="Times New Roman"/>
                <w:sz w:val="16"/>
                <w:szCs w:val="16"/>
              </w:rPr>
              <w:t>її</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місцезнаходженням</w:t>
            </w:r>
            <w:proofErr w:type="spellEnd"/>
            <w:r w:rsidRPr="00E16672">
              <w:rPr>
                <w:rFonts w:ascii="Times New Roman" w:hAnsi="Times New Roman"/>
                <w:sz w:val="16"/>
                <w:szCs w:val="16"/>
              </w:rPr>
              <w:t xml:space="preserve"> </w:t>
            </w:r>
            <w:proofErr w:type="spellStart"/>
            <w:r w:rsidRPr="00E16672">
              <w:rPr>
                <w:rFonts w:ascii="Times New Roman" w:hAnsi="Times New Roman"/>
                <w:i/>
                <w:sz w:val="16"/>
                <w:szCs w:val="16"/>
              </w:rPr>
              <w:t>менше</w:t>
            </w:r>
            <w:proofErr w:type="spellEnd"/>
            <w:r w:rsidRPr="00E16672">
              <w:rPr>
                <w:rFonts w:ascii="Times New Roman" w:hAnsi="Times New Roman"/>
                <w:i/>
                <w:sz w:val="16"/>
                <w:szCs w:val="16"/>
              </w:rPr>
              <w:t xml:space="preserve"> </w:t>
            </w:r>
            <w:proofErr w:type="spellStart"/>
            <w:r w:rsidRPr="00E16672">
              <w:rPr>
                <w:rFonts w:ascii="Times New Roman" w:hAnsi="Times New Roman"/>
                <w:i/>
                <w:sz w:val="16"/>
                <w:szCs w:val="16"/>
              </w:rPr>
              <w:t>ніж</w:t>
            </w:r>
            <w:proofErr w:type="spellEnd"/>
            <w:r w:rsidRPr="00E16672">
              <w:rPr>
                <w:rFonts w:ascii="Times New Roman" w:hAnsi="Times New Roman"/>
                <w:i/>
                <w:sz w:val="16"/>
                <w:szCs w:val="16"/>
              </w:rPr>
              <w:t xml:space="preserve"> за </w:t>
            </w:r>
            <w:proofErr w:type="spellStart"/>
            <w:r w:rsidRPr="00E16672">
              <w:rPr>
                <w:rFonts w:ascii="Times New Roman" w:hAnsi="Times New Roman"/>
                <w:i/>
                <w:sz w:val="16"/>
                <w:szCs w:val="16"/>
              </w:rPr>
              <w:t>тридцять</w:t>
            </w:r>
            <w:proofErr w:type="spellEnd"/>
            <w:r w:rsidRPr="00E16672">
              <w:rPr>
                <w:rFonts w:ascii="Times New Roman" w:hAnsi="Times New Roman"/>
                <w:i/>
                <w:sz w:val="16"/>
                <w:szCs w:val="16"/>
              </w:rPr>
              <w:t xml:space="preserve"> </w:t>
            </w:r>
            <w:proofErr w:type="spellStart"/>
            <w:r w:rsidRPr="00E16672">
              <w:rPr>
                <w:rFonts w:ascii="Times New Roman" w:hAnsi="Times New Roman"/>
                <w:i/>
                <w:sz w:val="16"/>
                <w:szCs w:val="16"/>
              </w:rPr>
              <w:t>календарних</w:t>
            </w:r>
            <w:proofErr w:type="spellEnd"/>
            <w:r w:rsidRPr="00E16672">
              <w:rPr>
                <w:rFonts w:ascii="Times New Roman" w:hAnsi="Times New Roman"/>
                <w:i/>
                <w:sz w:val="16"/>
                <w:szCs w:val="16"/>
              </w:rPr>
              <w:t xml:space="preserve"> </w:t>
            </w:r>
            <w:proofErr w:type="spellStart"/>
            <w:r w:rsidRPr="00E16672">
              <w:rPr>
                <w:rFonts w:ascii="Times New Roman" w:hAnsi="Times New Roman"/>
                <w:i/>
                <w:sz w:val="16"/>
                <w:szCs w:val="16"/>
              </w:rPr>
              <w:t>днів</w:t>
            </w:r>
            <w:proofErr w:type="spellEnd"/>
            <w:r w:rsidRPr="00E16672">
              <w:rPr>
                <w:rFonts w:ascii="Times New Roman" w:hAnsi="Times New Roman"/>
                <w:sz w:val="16"/>
                <w:szCs w:val="16"/>
              </w:rPr>
              <w:t xml:space="preserve"> до </w:t>
            </w:r>
            <w:proofErr w:type="spellStart"/>
            <w:r w:rsidRPr="00E16672">
              <w:rPr>
                <w:rFonts w:ascii="Times New Roman" w:hAnsi="Times New Roman"/>
                <w:sz w:val="16"/>
                <w:szCs w:val="16"/>
              </w:rPr>
              <w:t>дати</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припинення</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дії</w:t>
            </w:r>
            <w:proofErr w:type="spellEnd"/>
            <w:r w:rsidRPr="00E16672">
              <w:rPr>
                <w:rFonts w:ascii="Times New Roman" w:hAnsi="Times New Roman"/>
                <w:sz w:val="16"/>
                <w:szCs w:val="16"/>
              </w:rPr>
              <w:t xml:space="preserve"> Договору </w:t>
            </w:r>
            <w:proofErr w:type="spellStart"/>
            <w:r w:rsidRPr="00E16672">
              <w:rPr>
                <w:rFonts w:ascii="Times New Roman" w:hAnsi="Times New Roman"/>
                <w:sz w:val="16"/>
                <w:szCs w:val="16"/>
              </w:rPr>
              <w:t>внаслідок</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розірвання</w:t>
            </w:r>
            <w:proofErr w:type="spellEnd"/>
            <w:r w:rsidRPr="00E16672">
              <w:rPr>
                <w:rFonts w:ascii="Times New Roman" w:hAnsi="Times New Roman"/>
                <w:sz w:val="16"/>
                <w:szCs w:val="16"/>
              </w:rPr>
              <w:t xml:space="preserve">. </w:t>
            </w:r>
          </w:p>
          <w:p w14:paraId="2F8F1927" w14:textId="77777777" w:rsidR="00EB25FE" w:rsidRPr="00E16672" w:rsidRDefault="00EB25FE" w:rsidP="00990A10">
            <w:pPr>
              <w:snapToGrid w:val="0"/>
              <w:ind w:left="175" w:right="138" w:firstLine="7"/>
              <w:rPr>
                <w:rFonts w:ascii="Times New Roman" w:hAnsi="Times New Roman"/>
                <w:sz w:val="16"/>
                <w:szCs w:val="16"/>
              </w:rPr>
            </w:pPr>
            <w:proofErr w:type="spellStart"/>
            <w:r w:rsidRPr="00E16672">
              <w:rPr>
                <w:rFonts w:ascii="Times New Roman" w:hAnsi="Times New Roman"/>
                <w:sz w:val="16"/>
                <w:szCs w:val="16"/>
              </w:rPr>
              <w:t>Депозитарна</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установа</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надсилає</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вказане</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письмове</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повідомлення</w:t>
            </w:r>
            <w:proofErr w:type="spellEnd"/>
            <w:r w:rsidRPr="00E16672">
              <w:rPr>
                <w:rFonts w:ascii="Times New Roman" w:hAnsi="Times New Roman"/>
                <w:sz w:val="16"/>
                <w:szCs w:val="16"/>
              </w:rPr>
              <w:t xml:space="preserve"> про </w:t>
            </w:r>
            <w:proofErr w:type="spellStart"/>
            <w:r w:rsidRPr="00E16672">
              <w:rPr>
                <w:rFonts w:ascii="Times New Roman" w:hAnsi="Times New Roman"/>
                <w:sz w:val="16"/>
                <w:szCs w:val="16"/>
              </w:rPr>
              <w:t>розірвання</w:t>
            </w:r>
            <w:proofErr w:type="spellEnd"/>
            <w:r w:rsidRPr="00E16672">
              <w:rPr>
                <w:rFonts w:ascii="Times New Roman" w:hAnsi="Times New Roman"/>
                <w:sz w:val="16"/>
                <w:szCs w:val="16"/>
              </w:rPr>
              <w:t xml:space="preserve"> договору в </w:t>
            </w:r>
            <w:proofErr w:type="spellStart"/>
            <w:r w:rsidRPr="00E16672">
              <w:rPr>
                <w:rFonts w:ascii="Times New Roman" w:hAnsi="Times New Roman"/>
                <w:sz w:val="16"/>
                <w:szCs w:val="16"/>
              </w:rPr>
              <w:t>односторонньому</w:t>
            </w:r>
            <w:proofErr w:type="spellEnd"/>
            <w:r w:rsidRPr="00E16672">
              <w:rPr>
                <w:rFonts w:ascii="Times New Roman" w:hAnsi="Times New Roman"/>
                <w:sz w:val="16"/>
                <w:szCs w:val="16"/>
              </w:rPr>
              <w:t xml:space="preserve"> порядку за </w:t>
            </w:r>
            <w:proofErr w:type="spellStart"/>
            <w:r w:rsidRPr="00E16672">
              <w:rPr>
                <w:rFonts w:ascii="Times New Roman" w:hAnsi="Times New Roman"/>
                <w:sz w:val="16"/>
                <w:szCs w:val="16"/>
              </w:rPr>
              <w:t>місцем</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проживання</w:t>
            </w:r>
            <w:proofErr w:type="spellEnd"/>
            <w:r w:rsidRPr="00E16672">
              <w:rPr>
                <w:rFonts w:ascii="Times New Roman" w:hAnsi="Times New Roman"/>
                <w:sz w:val="16"/>
                <w:szCs w:val="16"/>
              </w:rPr>
              <w:t xml:space="preserve"> </w:t>
            </w:r>
            <w:r w:rsidR="00990A10" w:rsidRPr="00E16672">
              <w:rPr>
                <w:rFonts w:ascii="Times New Roman" w:hAnsi="Times New Roman"/>
                <w:sz w:val="16"/>
                <w:szCs w:val="16"/>
                <w:lang w:val="uk-UA"/>
              </w:rPr>
              <w:t>Номінального утримувача</w:t>
            </w:r>
            <w:r w:rsidRPr="00E16672">
              <w:rPr>
                <w:rFonts w:ascii="Times New Roman" w:hAnsi="Times New Roman"/>
                <w:sz w:val="16"/>
                <w:szCs w:val="16"/>
              </w:rPr>
              <w:t xml:space="preserve">, </w:t>
            </w:r>
            <w:proofErr w:type="spellStart"/>
            <w:r w:rsidRPr="00E16672">
              <w:rPr>
                <w:rFonts w:ascii="Times New Roman" w:hAnsi="Times New Roman"/>
                <w:sz w:val="16"/>
                <w:szCs w:val="16"/>
              </w:rPr>
              <w:t>що</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зазначене</w:t>
            </w:r>
            <w:proofErr w:type="spellEnd"/>
            <w:r w:rsidRPr="00E16672">
              <w:rPr>
                <w:rFonts w:ascii="Times New Roman" w:hAnsi="Times New Roman"/>
                <w:sz w:val="16"/>
                <w:szCs w:val="16"/>
              </w:rPr>
              <w:t xml:space="preserve"> в </w:t>
            </w:r>
            <w:proofErr w:type="spellStart"/>
            <w:r w:rsidRPr="00E16672">
              <w:rPr>
                <w:rFonts w:ascii="Times New Roman" w:hAnsi="Times New Roman"/>
                <w:sz w:val="16"/>
                <w:szCs w:val="16"/>
              </w:rPr>
              <w:t>анкеті</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рахунку</w:t>
            </w:r>
            <w:proofErr w:type="spellEnd"/>
            <w:r w:rsidRPr="00E16672">
              <w:rPr>
                <w:rFonts w:ascii="Times New Roman" w:hAnsi="Times New Roman"/>
                <w:sz w:val="16"/>
                <w:szCs w:val="16"/>
              </w:rPr>
              <w:t xml:space="preserve"> в </w:t>
            </w:r>
            <w:proofErr w:type="spellStart"/>
            <w:r w:rsidRPr="00E16672">
              <w:rPr>
                <w:rFonts w:ascii="Times New Roman" w:hAnsi="Times New Roman"/>
                <w:sz w:val="16"/>
                <w:szCs w:val="16"/>
              </w:rPr>
              <w:t>цінних</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паперах</w:t>
            </w:r>
            <w:proofErr w:type="spellEnd"/>
            <w:r w:rsidRPr="00E16672">
              <w:rPr>
                <w:rFonts w:ascii="Times New Roman" w:hAnsi="Times New Roman"/>
                <w:sz w:val="16"/>
                <w:szCs w:val="16"/>
              </w:rPr>
              <w:t>.</w:t>
            </w:r>
          </w:p>
        </w:tc>
        <w:tc>
          <w:tcPr>
            <w:tcW w:w="5495" w:type="dxa"/>
            <w:gridSpan w:val="8"/>
            <w:shd w:val="clear" w:color="auto" w:fill="auto"/>
          </w:tcPr>
          <w:p w14:paraId="1FC4AFEE" w14:textId="77777777" w:rsidR="00EB25FE" w:rsidRPr="00E16672" w:rsidRDefault="00EB25FE" w:rsidP="00794B3F">
            <w:pPr>
              <w:tabs>
                <w:tab w:val="left" w:pos="107"/>
                <w:tab w:val="left" w:pos="287"/>
                <w:tab w:val="left" w:pos="390"/>
              </w:tabs>
              <w:snapToGrid w:val="0"/>
              <w:ind w:left="175" w:right="100" w:firstLine="7"/>
              <w:rPr>
                <w:rFonts w:ascii="Times New Roman" w:hAnsi="Times New Roman"/>
                <w:sz w:val="16"/>
                <w:szCs w:val="16"/>
                <w:lang w:val="en-US"/>
              </w:rPr>
            </w:pPr>
            <w:r w:rsidRPr="00E16672">
              <w:rPr>
                <w:rFonts w:ascii="Times New Roman" w:hAnsi="Times New Roman"/>
                <w:sz w:val="16"/>
                <w:szCs w:val="16"/>
                <w:lang w:val="en-GB"/>
              </w:rPr>
              <w:lastRenderedPageBreak/>
              <w:t>6.</w:t>
            </w:r>
            <w:r w:rsidRPr="00E16672">
              <w:rPr>
                <w:rFonts w:ascii="Times New Roman" w:hAnsi="Times New Roman"/>
                <w:sz w:val="16"/>
                <w:szCs w:val="16"/>
                <w:lang w:val="en-US"/>
              </w:rPr>
              <w:t>3</w:t>
            </w:r>
            <w:r w:rsidRPr="00E16672">
              <w:rPr>
                <w:rFonts w:ascii="Times New Roman" w:hAnsi="Times New Roman"/>
                <w:sz w:val="16"/>
                <w:szCs w:val="16"/>
                <w:lang w:val="en-GB"/>
              </w:rPr>
              <w:t xml:space="preserve">.1. Each Party shall unilaterally. On early termination of this Agreement unilaterally Party which took the decision, shall notify the sending written notification to the other Party by its location </w:t>
            </w:r>
            <w:r w:rsidRPr="00E16672">
              <w:rPr>
                <w:rFonts w:ascii="Times New Roman" w:hAnsi="Times New Roman"/>
                <w:i/>
                <w:sz w:val="16"/>
                <w:szCs w:val="16"/>
                <w:lang w:val="en-GB"/>
              </w:rPr>
              <w:t>less than thirty calendar days</w:t>
            </w:r>
            <w:r w:rsidRPr="00E16672">
              <w:rPr>
                <w:rFonts w:ascii="Times New Roman" w:hAnsi="Times New Roman"/>
                <w:sz w:val="16"/>
                <w:szCs w:val="16"/>
                <w:lang w:val="en-GB"/>
              </w:rPr>
              <w:t xml:space="preserve"> before </w:t>
            </w:r>
            <w:r w:rsidRPr="00E16672">
              <w:rPr>
                <w:rFonts w:ascii="Times New Roman" w:hAnsi="Times New Roman"/>
                <w:sz w:val="16"/>
                <w:szCs w:val="16"/>
                <w:lang w:val="en-GB"/>
              </w:rPr>
              <w:lastRenderedPageBreak/>
              <w:t xml:space="preserve">the date of </w:t>
            </w:r>
            <w:proofErr w:type="spellStart"/>
            <w:r w:rsidRPr="00E16672">
              <w:rPr>
                <w:rFonts w:ascii="Times New Roman" w:hAnsi="Times New Roman"/>
                <w:sz w:val="16"/>
                <w:szCs w:val="16"/>
                <w:lang w:val="en-GB"/>
              </w:rPr>
              <w:t>of</w:t>
            </w:r>
            <w:proofErr w:type="spellEnd"/>
            <w:r w:rsidRPr="00E16672">
              <w:rPr>
                <w:rFonts w:ascii="Times New Roman" w:hAnsi="Times New Roman"/>
                <w:sz w:val="16"/>
                <w:szCs w:val="16"/>
                <w:lang w:val="en-GB"/>
              </w:rPr>
              <w:t xml:space="preserve"> Agreement cancellation as a result dissolution.</w:t>
            </w:r>
            <w:r w:rsidRPr="00E16672">
              <w:rPr>
                <w:rFonts w:ascii="Times New Roman" w:hAnsi="Times New Roman"/>
                <w:sz w:val="16"/>
                <w:szCs w:val="16"/>
                <w:lang w:val="en-GB"/>
              </w:rPr>
              <w:br/>
            </w:r>
            <w:r w:rsidRPr="00E16672">
              <w:rPr>
                <w:rFonts w:ascii="Times New Roman" w:hAnsi="Times New Roman"/>
                <w:sz w:val="16"/>
                <w:szCs w:val="16"/>
                <w:lang w:val="en-US"/>
              </w:rPr>
              <w:t xml:space="preserve">          </w:t>
            </w:r>
          </w:p>
          <w:p w14:paraId="579E113B" w14:textId="77777777" w:rsidR="00EB25FE" w:rsidRPr="00E16672" w:rsidRDefault="00EB25FE" w:rsidP="00794B3F">
            <w:pPr>
              <w:tabs>
                <w:tab w:val="left" w:pos="107"/>
                <w:tab w:val="left" w:pos="287"/>
                <w:tab w:val="left" w:pos="390"/>
              </w:tabs>
              <w:snapToGrid w:val="0"/>
              <w:ind w:left="175" w:right="100" w:firstLine="7"/>
              <w:rPr>
                <w:rFonts w:ascii="Times New Roman" w:hAnsi="Times New Roman"/>
                <w:sz w:val="16"/>
                <w:szCs w:val="16"/>
                <w:lang w:val="en-GB"/>
              </w:rPr>
            </w:pPr>
            <w:r w:rsidRPr="00E16672">
              <w:rPr>
                <w:rFonts w:ascii="Times New Roman" w:hAnsi="Times New Roman"/>
                <w:sz w:val="16"/>
                <w:szCs w:val="16"/>
                <w:lang w:val="en-GB"/>
              </w:rPr>
              <w:t xml:space="preserve">Depository institution sends the specified written notice of cancellation of the </w:t>
            </w:r>
            <w:r w:rsidRPr="00E16672">
              <w:rPr>
                <w:rFonts w:ascii="Times New Roman" w:hAnsi="Times New Roman"/>
                <w:sz w:val="16"/>
                <w:szCs w:val="16"/>
                <w:lang w:val="en-US"/>
              </w:rPr>
              <w:t>Agreement</w:t>
            </w:r>
            <w:r w:rsidRPr="00E16672">
              <w:rPr>
                <w:rFonts w:ascii="Times New Roman" w:hAnsi="Times New Roman"/>
                <w:sz w:val="16"/>
                <w:szCs w:val="16"/>
                <w:lang w:val="en-GB"/>
              </w:rPr>
              <w:t xml:space="preserve"> unilaterally at the place of residence of </w:t>
            </w:r>
            <w:r w:rsidR="00990A10" w:rsidRPr="00E16672">
              <w:rPr>
                <w:rFonts w:ascii="Times New Roman" w:hAnsi="Times New Roman"/>
                <w:sz w:val="16"/>
                <w:szCs w:val="16"/>
                <w:lang w:val="en-US"/>
              </w:rPr>
              <w:t>Nominee holder</w:t>
            </w:r>
            <w:r w:rsidRPr="00E16672">
              <w:rPr>
                <w:rFonts w:ascii="Times New Roman" w:hAnsi="Times New Roman"/>
                <w:sz w:val="16"/>
                <w:szCs w:val="16"/>
                <w:lang w:val="en-GB"/>
              </w:rPr>
              <w:t xml:space="preserve"> that indicated in the form of </w:t>
            </w:r>
            <w:r w:rsidRPr="00E16672">
              <w:rPr>
                <w:rFonts w:ascii="Times New Roman" w:hAnsi="Times New Roman"/>
                <w:sz w:val="16"/>
                <w:szCs w:val="16"/>
                <w:lang w:val="en-US"/>
              </w:rPr>
              <w:t xml:space="preserve">the </w:t>
            </w:r>
            <w:r w:rsidRPr="00E16672">
              <w:rPr>
                <w:rFonts w:ascii="Times New Roman" w:hAnsi="Times New Roman"/>
                <w:sz w:val="16"/>
                <w:szCs w:val="16"/>
                <w:lang w:val="en-GB"/>
              </w:rPr>
              <w:t xml:space="preserve">account </w:t>
            </w:r>
            <w:r w:rsidRPr="00E16672">
              <w:rPr>
                <w:rFonts w:ascii="Times New Roman" w:hAnsi="Times New Roman"/>
                <w:sz w:val="16"/>
                <w:szCs w:val="16"/>
                <w:lang w:val="en-US"/>
              </w:rPr>
              <w:t>in</w:t>
            </w:r>
            <w:r w:rsidRPr="00E16672">
              <w:rPr>
                <w:rFonts w:ascii="Times New Roman" w:hAnsi="Times New Roman"/>
                <w:sz w:val="16"/>
                <w:szCs w:val="16"/>
                <w:lang w:val="en-GB"/>
              </w:rPr>
              <w:t xml:space="preserve"> securities.</w:t>
            </w:r>
          </w:p>
        </w:tc>
      </w:tr>
      <w:tr w:rsidR="00EB25FE" w:rsidRPr="00A26EFC" w14:paraId="0ECEE7DF" w14:textId="77777777" w:rsidTr="005E418B">
        <w:tblPrEx>
          <w:tblCellMar>
            <w:left w:w="0" w:type="dxa"/>
            <w:right w:w="0" w:type="dxa"/>
          </w:tblCellMar>
        </w:tblPrEx>
        <w:trPr>
          <w:trHeight w:val="192"/>
        </w:trPr>
        <w:tc>
          <w:tcPr>
            <w:tcW w:w="5695" w:type="dxa"/>
            <w:gridSpan w:val="7"/>
            <w:shd w:val="clear" w:color="auto" w:fill="auto"/>
          </w:tcPr>
          <w:p w14:paraId="57543030" w14:textId="77777777" w:rsidR="00EB25FE" w:rsidRPr="00E16672" w:rsidRDefault="00EB25FE" w:rsidP="00794B3F">
            <w:pPr>
              <w:snapToGrid w:val="0"/>
              <w:ind w:left="175" w:right="138" w:firstLine="7"/>
              <w:rPr>
                <w:rFonts w:ascii="Times New Roman" w:hAnsi="Times New Roman"/>
                <w:sz w:val="16"/>
                <w:szCs w:val="16"/>
              </w:rPr>
            </w:pPr>
            <w:r w:rsidRPr="00E16672">
              <w:rPr>
                <w:rFonts w:ascii="Times New Roman" w:hAnsi="Times New Roman"/>
                <w:sz w:val="16"/>
                <w:szCs w:val="16"/>
                <w:lang w:val="en-US"/>
              </w:rPr>
              <w:lastRenderedPageBreak/>
              <w:t xml:space="preserve"> </w:t>
            </w:r>
            <w:r w:rsidRPr="00E16672">
              <w:rPr>
                <w:rFonts w:ascii="Times New Roman" w:hAnsi="Times New Roman"/>
                <w:sz w:val="16"/>
                <w:szCs w:val="16"/>
              </w:rPr>
              <w:t>6.</w:t>
            </w:r>
            <w:r w:rsidRPr="00E16672">
              <w:rPr>
                <w:rFonts w:ascii="Times New Roman" w:hAnsi="Times New Roman"/>
                <w:sz w:val="16"/>
                <w:szCs w:val="16"/>
                <w:lang w:val="en-US"/>
              </w:rPr>
              <w:t>3</w:t>
            </w:r>
            <w:r w:rsidRPr="00E16672">
              <w:rPr>
                <w:rFonts w:ascii="Times New Roman" w:hAnsi="Times New Roman"/>
                <w:sz w:val="16"/>
                <w:szCs w:val="16"/>
              </w:rPr>
              <w:t xml:space="preserve">.2. За </w:t>
            </w:r>
            <w:proofErr w:type="spellStart"/>
            <w:r w:rsidRPr="00E16672">
              <w:rPr>
                <w:rFonts w:ascii="Times New Roman" w:hAnsi="Times New Roman"/>
                <w:sz w:val="16"/>
                <w:szCs w:val="16"/>
              </w:rPr>
              <w:t>згодою</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Сторін</w:t>
            </w:r>
            <w:proofErr w:type="spellEnd"/>
            <w:r w:rsidRPr="00E16672">
              <w:rPr>
                <w:rFonts w:ascii="Times New Roman" w:hAnsi="Times New Roman"/>
                <w:sz w:val="16"/>
                <w:szCs w:val="16"/>
              </w:rPr>
              <w:t>.</w:t>
            </w:r>
          </w:p>
          <w:p w14:paraId="53C977AE" w14:textId="77777777" w:rsidR="00EB25FE" w:rsidRPr="00E16672" w:rsidRDefault="00EB25FE" w:rsidP="00794B3F">
            <w:pPr>
              <w:snapToGrid w:val="0"/>
              <w:ind w:left="175" w:right="138" w:firstLine="7"/>
              <w:rPr>
                <w:rFonts w:ascii="Times New Roman" w:hAnsi="Times New Roman"/>
                <w:sz w:val="16"/>
                <w:szCs w:val="16"/>
              </w:rPr>
            </w:pPr>
          </w:p>
        </w:tc>
        <w:tc>
          <w:tcPr>
            <w:tcW w:w="5495" w:type="dxa"/>
            <w:gridSpan w:val="8"/>
            <w:shd w:val="clear" w:color="auto" w:fill="auto"/>
          </w:tcPr>
          <w:p w14:paraId="73012AAB" w14:textId="77777777" w:rsidR="00EB25FE" w:rsidRPr="00E16672" w:rsidRDefault="00EB25FE" w:rsidP="00794B3F">
            <w:pPr>
              <w:tabs>
                <w:tab w:val="left" w:pos="287"/>
                <w:tab w:val="left" w:pos="536"/>
                <w:tab w:val="left" w:pos="819"/>
              </w:tabs>
              <w:autoSpaceDE w:val="0"/>
              <w:snapToGrid w:val="0"/>
              <w:ind w:left="175" w:right="100" w:firstLine="7"/>
              <w:rPr>
                <w:rFonts w:ascii="Times New Roman" w:hAnsi="Times New Roman"/>
                <w:sz w:val="16"/>
                <w:szCs w:val="16"/>
                <w:lang w:val="en-GB"/>
              </w:rPr>
            </w:pPr>
            <w:r w:rsidRPr="00E16672">
              <w:rPr>
                <w:rFonts w:ascii="Times New Roman" w:hAnsi="Times New Roman"/>
                <w:sz w:val="16"/>
                <w:szCs w:val="16"/>
                <w:lang w:val="en-GB"/>
              </w:rPr>
              <w:t>6.</w:t>
            </w:r>
            <w:r w:rsidRPr="00E16672">
              <w:rPr>
                <w:rFonts w:ascii="Times New Roman" w:hAnsi="Times New Roman"/>
                <w:sz w:val="16"/>
                <w:szCs w:val="16"/>
                <w:lang w:val="en-US"/>
              </w:rPr>
              <w:t>3</w:t>
            </w:r>
            <w:r w:rsidRPr="00E16672">
              <w:rPr>
                <w:rFonts w:ascii="Times New Roman" w:hAnsi="Times New Roman"/>
                <w:sz w:val="16"/>
                <w:szCs w:val="16"/>
                <w:lang w:val="en-GB"/>
              </w:rPr>
              <w:t>.2. With the consent the Parties.</w:t>
            </w:r>
          </w:p>
        </w:tc>
      </w:tr>
      <w:tr w:rsidR="00EB25FE" w:rsidRPr="00A26EFC" w14:paraId="1DF50AF8" w14:textId="77777777" w:rsidTr="005E418B">
        <w:tblPrEx>
          <w:tblCellMar>
            <w:left w:w="0" w:type="dxa"/>
            <w:right w:w="0" w:type="dxa"/>
          </w:tblCellMar>
        </w:tblPrEx>
        <w:trPr>
          <w:trHeight w:val="192"/>
        </w:trPr>
        <w:tc>
          <w:tcPr>
            <w:tcW w:w="5695" w:type="dxa"/>
            <w:gridSpan w:val="7"/>
            <w:shd w:val="clear" w:color="auto" w:fill="auto"/>
          </w:tcPr>
          <w:p w14:paraId="32A21255" w14:textId="77777777" w:rsidR="00EB25FE" w:rsidRPr="00E16672" w:rsidRDefault="00EB25FE" w:rsidP="00794B3F">
            <w:pPr>
              <w:snapToGrid w:val="0"/>
              <w:ind w:left="175" w:right="138" w:firstLine="7"/>
              <w:rPr>
                <w:rFonts w:ascii="Times New Roman" w:hAnsi="Times New Roman"/>
                <w:sz w:val="16"/>
                <w:szCs w:val="16"/>
              </w:rPr>
            </w:pPr>
            <w:r w:rsidRPr="00E16672">
              <w:rPr>
                <w:rFonts w:ascii="Times New Roman" w:hAnsi="Times New Roman"/>
                <w:sz w:val="16"/>
                <w:szCs w:val="16"/>
                <w:lang w:val="en-US"/>
              </w:rPr>
              <w:t xml:space="preserve"> </w:t>
            </w:r>
            <w:r w:rsidRPr="00E16672">
              <w:rPr>
                <w:rFonts w:ascii="Times New Roman" w:hAnsi="Times New Roman"/>
                <w:sz w:val="16"/>
                <w:szCs w:val="16"/>
              </w:rPr>
              <w:t>6.</w:t>
            </w:r>
            <w:r w:rsidRPr="00E16672">
              <w:rPr>
                <w:rFonts w:ascii="Times New Roman" w:hAnsi="Times New Roman"/>
                <w:sz w:val="16"/>
                <w:szCs w:val="16"/>
                <w:lang w:val="en-US"/>
              </w:rPr>
              <w:t>3</w:t>
            </w:r>
            <w:r w:rsidRPr="00E16672">
              <w:rPr>
                <w:rFonts w:ascii="Times New Roman" w:hAnsi="Times New Roman"/>
                <w:sz w:val="16"/>
                <w:szCs w:val="16"/>
              </w:rPr>
              <w:t xml:space="preserve">.3. За </w:t>
            </w:r>
            <w:proofErr w:type="spellStart"/>
            <w:r w:rsidRPr="00E16672">
              <w:rPr>
                <w:rFonts w:ascii="Times New Roman" w:hAnsi="Times New Roman"/>
                <w:sz w:val="16"/>
                <w:szCs w:val="16"/>
              </w:rPr>
              <w:t>відповідним</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рішенням</w:t>
            </w:r>
            <w:proofErr w:type="spellEnd"/>
            <w:r w:rsidRPr="00E16672">
              <w:rPr>
                <w:rFonts w:ascii="Times New Roman" w:hAnsi="Times New Roman"/>
                <w:sz w:val="16"/>
                <w:szCs w:val="16"/>
              </w:rPr>
              <w:t xml:space="preserve"> суду.</w:t>
            </w:r>
          </w:p>
          <w:p w14:paraId="0EA602D3" w14:textId="77777777" w:rsidR="00EB25FE" w:rsidRPr="00E16672" w:rsidRDefault="00EB25FE" w:rsidP="00794B3F">
            <w:pPr>
              <w:snapToGrid w:val="0"/>
              <w:ind w:left="175" w:right="138" w:firstLine="7"/>
              <w:rPr>
                <w:rFonts w:ascii="Times New Roman" w:hAnsi="Times New Roman"/>
                <w:sz w:val="10"/>
                <w:szCs w:val="10"/>
              </w:rPr>
            </w:pPr>
          </w:p>
        </w:tc>
        <w:tc>
          <w:tcPr>
            <w:tcW w:w="5495" w:type="dxa"/>
            <w:gridSpan w:val="8"/>
            <w:shd w:val="clear" w:color="auto" w:fill="auto"/>
          </w:tcPr>
          <w:p w14:paraId="11C7181F" w14:textId="77777777" w:rsidR="00EB25FE" w:rsidRPr="00E16672" w:rsidRDefault="00EB25FE" w:rsidP="00794B3F">
            <w:pPr>
              <w:tabs>
                <w:tab w:val="left" w:pos="107"/>
                <w:tab w:val="left" w:pos="287"/>
                <w:tab w:val="left" w:pos="390"/>
              </w:tabs>
              <w:snapToGrid w:val="0"/>
              <w:ind w:left="175" w:right="100" w:firstLine="7"/>
              <w:rPr>
                <w:rFonts w:ascii="Times New Roman" w:hAnsi="Times New Roman"/>
                <w:sz w:val="16"/>
                <w:szCs w:val="16"/>
                <w:lang w:val="en-GB"/>
              </w:rPr>
            </w:pPr>
            <w:r w:rsidRPr="00E16672">
              <w:rPr>
                <w:rFonts w:ascii="Times New Roman" w:hAnsi="Times New Roman"/>
                <w:sz w:val="16"/>
                <w:szCs w:val="16"/>
                <w:lang w:val="en-GB"/>
              </w:rPr>
              <w:t>6.</w:t>
            </w:r>
            <w:r w:rsidRPr="00E16672">
              <w:rPr>
                <w:rFonts w:ascii="Times New Roman" w:hAnsi="Times New Roman"/>
                <w:sz w:val="16"/>
                <w:szCs w:val="16"/>
                <w:lang w:val="en-US"/>
              </w:rPr>
              <w:t>3</w:t>
            </w:r>
            <w:r w:rsidRPr="00E16672">
              <w:rPr>
                <w:rFonts w:ascii="Times New Roman" w:hAnsi="Times New Roman"/>
                <w:sz w:val="16"/>
                <w:szCs w:val="16"/>
                <w:lang w:val="en-GB"/>
              </w:rPr>
              <w:t>.3. According to the relevant decision of the court.</w:t>
            </w:r>
          </w:p>
        </w:tc>
      </w:tr>
      <w:tr w:rsidR="00EB25FE" w:rsidRPr="00A26EFC" w14:paraId="5EE23C96" w14:textId="77777777" w:rsidTr="005E418B">
        <w:tblPrEx>
          <w:tblCellMar>
            <w:left w:w="0" w:type="dxa"/>
            <w:right w:w="0" w:type="dxa"/>
          </w:tblCellMar>
        </w:tblPrEx>
        <w:trPr>
          <w:trHeight w:val="637"/>
        </w:trPr>
        <w:tc>
          <w:tcPr>
            <w:tcW w:w="5695" w:type="dxa"/>
            <w:gridSpan w:val="7"/>
            <w:shd w:val="clear" w:color="auto" w:fill="auto"/>
          </w:tcPr>
          <w:p w14:paraId="5CB29E4A" w14:textId="77777777" w:rsidR="00EB25FE" w:rsidRPr="00E16672" w:rsidRDefault="00EB25FE" w:rsidP="00794B3F">
            <w:pPr>
              <w:snapToGrid w:val="0"/>
              <w:ind w:left="175" w:right="138" w:firstLine="7"/>
              <w:rPr>
                <w:rFonts w:ascii="Times New Roman" w:hAnsi="Times New Roman"/>
                <w:sz w:val="16"/>
                <w:szCs w:val="16"/>
              </w:rPr>
            </w:pPr>
            <w:r w:rsidRPr="00E16672">
              <w:rPr>
                <w:rFonts w:ascii="Times New Roman" w:hAnsi="Times New Roman"/>
                <w:sz w:val="16"/>
                <w:szCs w:val="16"/>
              </w:rPr>
              <w:t xml:space="preserve">6.4. </w:t>
            </w:r>
            <w:proofErr w:type="spellStart"/>
            <w:r w:rsidRPr="00E16672">
              <w:rPr>
                <w:rFonts w:ascii="Times New Roman" w:hAnsi="Times New Roman"/>
                <w:sz w:val="16"/>
                <w:szCs w:val="16"/>
              </w:rPr>
              <w:t>Договір</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може</w:t>
            </w:r>
            <w:proofErr w:type="spellEnd"/>
            <w:r w:rsidRPr="00E16672">
              <w:rPr>
                <w:rFonts w:ascii="Times New Roman" w:hAnsi="Times New Roman"/>
                <w:sz w:val="16"/>
                <w:szCs w:val="16"/>
              </w:rPr>
              <w:t xml:space="preserve"> бути </w:t>
            </w:r>
            <w:proofErr w:type="spellStart"/>
            <w:r w:rsidRPr="00E16672">
              <w:rPr>
                <w:rFonts w:ascii="Times New Roman" w:hAnsi="Times New Roman"/>
                <w:sz w:val="16"/>
                <w:szCs w:val="16"/>
              </w:rPr>
              <w:t>розірваний</w:t>
            </w:r>
            <w:proofErr w:type="spellEnd"/>
            <w:r w:rsidRPr="00E16672">
              <w:rPr>
                <w:rFonts w:ascii="Times New Roman" w:hAnsi="Times New Roman"/>
                <w:sz w:val="16"/>
                <w:szCs w:val="16"/>
              </w:rPr>
              <w:t xml:space="preserve"> за </w:t>
            </w:r>
            <w:proofErr w:type="spellStart"/>
            <w:r w:rsidRPr="00E16672">
              <w:rPr>
                <w:rFonts w:ascii="Times New Roman" w:hAnsi="Times New Roman"/>
                <w:sz w:val="16"/>
                <w:szCs w:val="16"/>
              </w:rPr>
              <w:t>умови</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відсутності</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цінних</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паперів</w:t>
            </w:r>
            <w:proofErr w:type="spellEnd"/>
            <w:r w:rsidRPr="00E16672">
              <w:rPr>
                <w:rFonts w:ascii="Times New Roman" w:hAnsi="Times New Roman"/>
                <w:sz w:val="16"/>
                <w:szCs w:val="16"/>
              </w:rPr>
              <w:t xml:space="preserve">, прав на </w:t>
            </w:r>
            <w:proofErr w:type="spellStart"/>
            <w:r w:rsidRPr="00E16672">
              <w:rPr>
                <w:rFonts w:ascii="Times New Roman" w:hAnsi="Times New Roman"/>
                <w:sz w:val="16"/>
                <w:szCs w:val="16"/>
              </w:rPr>
              <w:t>цінні</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папери</w:t>
            </w:r>
            <w:proofErr w:type="spellEnd"/>
            <w:r w:rsidRPr="00E16672">
              <w:rPr>
                <w:rFonts w:ascii="Times New Roman" w:hAnsi="Times New Roman"/>
                <w:sz w:val="16"/>
                <w:szCs w:val="16"/>
              </w:rPr>
              <w:t xml:space="preserve"> на </w:t>
            </w:r>
            <w:proofErr w:type="spellStart"/>
            <w:r w:rsidRPr="00E16672">
              <w:rPr>
                <w:rFonts w:ascii="Times New Roman" w:hAnsi="Times New Roman"/>
                <w:sz w:val="16"/>
                <w:szCs w:val="16"/>
              </w:rPr>
              <w:t>рахунку</w:t>
            </w:r>
            <w:proofErr w:type="spellEnd"/>
            <w:r w:rsidRPr="00E16672">
              <w:rPr>
                <w:rFonts w:ascii="Times New Roman" w:hAnsi="Times New Roman"/>
                <w:sz w:val="16"/>
                <w:szCs w:val="16"/>
              </w:rPr>
              <w:t xml:space="preserve"> </w:t>
            </w:r>
            <w:r w:rsidR="00C22309" w:rsidRPr="00E16672">
              <w:rPr>
                <w:rFonts w:ascii="Times New Roman" w:hAnsi="Times New Roman"/>
                <w:sz w:val="16"/>
                <w:szCs w:val="16"/>
              </w:rPr>
              <w:t xml:space="preserve">в </w:t>
            </w:r>
            <w:proofErr w:type="spellStart"/>
            <w:r w:rsidR="00C22309" w:rsidRPr="00E16672">
              <w:rPr>
                <w:rFonts w:ascii="Times New Roman" w:hAnsi="Times New Roman"/>
                <w:sz w:val="16"/>
                <w:szCs w:val="16"/>
              </w:rPr>
              <w:t>цін</w:t>
            </w:r>
            <w:r w:rsidRPr="00E16672">
              <w:rPr>
                <w:rFonts w:ascii="Times New Roman" w:hAnsi="Times New Roman"/>
                <w:sz w:val="16"/>
                <w:szCs w:val="16"/>
              </w:rPr>
              <w:t>них</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паперах</w:t>
            </w:r>
            <w:proofErr w:type="spellEnd"/>
            <w:r w:rsidRPr="00E16672">
              <w:rPr>
                <w:rFonts w:ascii="Times New Roman" w:hAnsi="Times New Roman"/>
                <w:sz w:val="16"/>
                <w:szCs w:val="16"/>
              </w:rPr>
              <w:t xml:space="preserve"> </w:t>
            </w:r>
            <w:r w:rsidR="00990A10" w:rsidRPr="00E16672">
              <w:rPr>
                <w:rFonts w:ascii="Times New Roman" w:hAnsi="Times New Roman"/>
                <w:sz w:val="16"/>
                <w:szCs w:val="16"/>
                <w:lang w:val="uk-UA"/>
              </w:rPr>
              <w:t>Номінального утримувача</w:t>
            </w:r>
            <w:r w:rsidRPr="00E16672">
              <w:rPr>
                <w:rFonts w:ascii="Times New Roman" w:hAnsi="Times New Roman"/>
                <w:sz w:val="16"/>
                <w:szCs w:val="16"/>
              </w:rPr>
              <w:t>.</w:t>
            </w:r>
          </w:p>
          <w:p w14:paraId="4B6F60B0" w14:textId="77777777" w:rsidR="00EB25FE" w:rsidRPr="00E16672" w:rsidRDefault="00EB25FE" w:rsidP="00794B3F">
            <w:pPr>
              <w:ind w:left="175" w:right="138" w:firstLine="7"/>
              <w:rPr>
                <w:rFonts w:ascii="Times New Roman" w:hAnsi="Times New Roman"/>
                <w:sz w:val="16"/>
                <w:szCs w:val="16"/>
              </w:rPr>
            </w:pPr>
          </w:p>
        </w:tc>
        <w:tc>
          <w:tcPr>
            <w:tcW w:w="5495" w:type="dxa"/>
            <w:gridSpan w:val="8"/>
            <w:shd w:val="clear" w:color="auto" w:fill="auto"/>
          </w:tcPr>
          <w:p w14:paraId="0ADD17AF" w14:textId="77777777" w:rsidR="00EB25FE" w:rsidRPr="00E16672" w:rsidRDefault="00EB25FE" w:rsidP="00794B3F">
            <w:pPr>
              <w:tabs>
                <w:tab w:val="left" w:pos="287"/>
              </w:tabs>
              <w:snapToGrid w:val="0"/>
              <w:ind w:left="175" w:right="100" w:firstLine="7"/>
              <w:rPr>
                <w:rFonts w:ascii="Times New Roman" w:hAnsi="Times New Roman"/>
                <w:lang w:val="en-US"/>
              </w:rPr>
            </w:pPr>
            <w:r w:rsidRPr="00E16672">
              <w:rPr>
                <w:rFonts w:ascii="Times New Roman" w:hAnsi="Times New Roman"/>
                <w:sz w:val="16"/>
                <w:szCs w:val="16"/>
                <w:lang w:val="en-GB"/>
              </w:rPr>
              <w:t>6.</w:t>
            </w:r>
            <w:r w:rsidRPr="00E16672">
              <w:rPr>
                <w:rFonts w:ascii="Times New Roman" w:hAnsi="Times New Roman"/>
                <w:sz w:val="16"/>
                <w:szCs w:val="16"/>
                <w:lang w:val="en-US"/>
              </w:rPr>
              <w:t>4</w:t>
            </w:r>
            <w:r w:rsidRPr="00E16672">
              <w:rPr>
                <w:rFonts w:ascii="Times New Roman" w:hAnsi="Times New Roman"/>
                <w:sz w:val="16"/>
                <w:szCs w:val="16"/>
                <w:lang w:val="en-GB"/>
              </w:rPr>
              <w:t xml:space="preserve">. Agreement can be </w:t>
            </w:r>
            <w:proofErr w:type="spellStart"/>
            <w:r w:rsidRPr="00E16672">
              <w:rPr>
                <w:rFonts w:ascii="Times New Roman" w:hAnsi="Times New Roman"/>
                <w:sz w:val="16"/>
                <w:szCs w:val="16"/>
                <w:lang w:val="en-GB"/>
              </w:rPr>
              <w:t>canceled</w:t>
            </w:r>
            <w:proofErr w:type="spellEnd"/>
            <w:r w:rsidRPr="00E16672">
              <w:rPr>
                <w:rFonts w:ascii="Times New Roman" w:hAnsi="Times New Roman"/>
                <w:sz w:val="16"/>
                <w:szCs w:val="16"/>
                <w:lang w:val="en-GB"/>
              </w:rPr>
              <w:t xml:space="preserve"> in the absence of </w:t>
            </w:r>
            <w:proofErr w:type="gramStart"/>
            <w:r w:rsidRPr="00E16672">
              <w:rPr>
                <w:rFonts w:ascii="Times New Roman" w:hAnsi="Times New Roman"/>
                <w:sz w:val="16"/>
                <w:szCs w:val="16"/>
                <w:lang w:val="en-GB"/>
              </w:rPr>
              <w:t>securities,  rights</w:t>
            </w:r>
            <w:proofErr w:type="gramEnd"/>
            <w:r w:rsidRPr="00E16672">
              <w:rPr>
                <w:rFonts w:ascii="Times New Roman" w:hAnsi="Times New Roman"/>
                <w:sz w:val="16"/>
                <w:szCs w:val="16"/>
                <w:lang w:val="en-GB"/>
              </w:rPr>
              <w:t xml:space="preserve"> on securities at the </w:t>
            </w:r>
            <w:r w:rsidR="00990A10" w:rsidRPr="00E16672">
              <w:rPr>
                <w:rFonts w:ascii="Times New Roman" w:hAnsi="Times New Roman"/>
                <w:sz w:val="16"/>
                <w:szCs w:val="16"/>
                <w:lang w:val="en-US"/>
              </w:rPr>
              <w:t>Nominee holder</w:t>
            </w:r>
            <w:r w:rsidRPr="00E16672">
              <w:rPr>
                <w:rFonts w:ascii="Times New Roman" w:hAnsi="Times New Roman"/>
                <w:sz w:val="16"/>
                <w:szCs w:val="16"/>
                <w:lang w:val="en-GB"/>
              </w:rPr>
              <w:t>’s account in securities.</w:t>
            </w:r>
          </w:p>
        </w:tc>
      </w:tr>
      <w:tr w:rsidR="00EB25FE" w:rsidRPr="00A26EFC" w14:paraId="6C0DA4ED" w14:textId="77777777" w:rsidTr="005E418B">
        <w:tblPrEx>
          <w:tblCellMar>
            <w:left w:w="0" w:type="dxa"/>
            <w:right w:w="0" w:type="dxa"/>
          </w:tblCellMar>
        </w:tblPrEx>
        <w:trPr>
          <w:trHeight w:val="637"/>
        </w:trPr>
        <w:tc>
          <w:tcPr>
            <w:tcW w:w="5695" w:type="dxa"/>
            <w:gridSpan w:val="7"/>
            <w:shd w:val="clear" w:color="auto" w:fill="auto"/>
          </w:tcPr>
          <w:p w14:paraId="283B202F" w14:textId="77777777" w:rsidR="00EB25FE" w:rsidRPr="00E16672" w:rsidRDefault="00EB25FE" w:rsidP="00794B3F">
            <w:pPr>
              <w:ind w:left="175" w:right="138" w:firstLine="7"/>
              <w:rPr>
                <w:rFonts w:ascii="Times New Roman" w:hAnsi="Times New Roman"/>
                <w:color w:val="000000"/>
                <w:sz w:val="16"/>
                <w:szCs w:val="16"/>
              </w:rPr>
            </w:pPr>
            <w:r w:rsidRPr="00E16672">
              <w:rPr>
                <w:rFonts w:ascii="Times New Roman" w:hAnsi="Times New Roman"/>
                <w:color w:val="000000"/>
                <w:sz w:val="16"/>
                <w:szCs w:val="16"/>
              </w:rPr>
              <w:t>6.</w:t>
            </w:r>
            <w:r w:rsidRPr="00E16672">
              <w:rPr>
                <w:rFonts w:ascii="Times New Roman" w:hAnsi="Times New Roman"/>
                <w:color w:val="000000"/>
                <w:sz w:val="16"/>
                <w:szCs w:val="16"/>
                <w:lang w:val="uk-UA"/>
              </w:rPr>
              <w:t>5</w:t>
            </w:r>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Цей</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Договір</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припиняється</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зокрема</w:t>
            </w:r>
            <w:proofErr w:type="spellEnd"/>
            <w:r w:rsidRPr="00E16672">
              <w:rPr>
                <w:rFonts w:ascii="Times New Roman" w:hAnsi="Times New Roman"/>
                <w:color w:val="000000"/>
                <w:sz w:val="16"/>
                <w:szCs w:val="16"/>
              </w:rPr>
              <w:t xml:space="preserve">, у </w:t>
            </w:r>
            <w:proofErr w:type="spellStart"/>
            <w:r w:rsidRPr="00E16672">
              <w:rPr>
                <w:rFonts w:ascii="Times New Roman" w:hAnsi="Times New Roman"/>
                <w:color w:val="000000"/>
                <w:sz w:val="16"/>
                <w:szCs w:val="16"/>
              </w:rPr>
              <w:t>разі</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закриття</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рахунку</w:t>
            </w:r>
            <w:proofErr w:type="spellEnd"/>
            <w:r w:rsidRPr="00E16672">
              <w:rPr>
                <w:rFonts w:ascii="Times New Roman" w:hAnsi="Times New Roman"/>
                <w:color w:val="000000"/>
                <w:sz w:val="16"/>
                <w:szCs w:val="16"/>
              </w:rPr>
              <w:t xml:space="preserve"> </w:t>
            </w:r>
            <w:r w:rsidR="00C22309" w:rsidRPr="00E16672">
              <w:rPr>
                <w:rFonts w:ascii="Times New Roman" w:hAnsi="Times New Roman"/>
                <w:color w:val="000000"/>
                <w:sz w:val="16"/>
                <w:szCs w:val="16"/>
              </w:rPr>
              <w:t xml:space="preserve">в </w:t>
            </w:r>
            <w:proofErr w:type="spellStart"/>
            <w:r w:rsidR="00C22309" w:rsidRPr="00E16672">
              <w:rPr>
                <w:rFonts w:ascii="Times New Roman" w:hAnsi="Times New Roman"/>
                <w:color w:val="000000"/>
                <w:sz w:val="16"/>
                <w:szCs w:val="16"/>
              </w:rPr>
              <w:t>цін</w:t>
            </w:r>
            <w:r w:rsidRPr="00E16672">
              <w:rPr>
                <w:rFonts w:ascii="Times New Roman" w:hAnsi="Times New Roman"/>
                <w:color w:val="000000"/>
                <w:sz w:val="16"/>
                <w:szCs w:val="16"/>
              </w:rPr>
              <w:t>них</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паперах</w:t>
            </w:r>
            <w:proofErr w:type="spellEnd"/>
            <w:r w:rsidRPr="00E16672">
              <w:rPr>
                <w:rFonts w:ascii="Times New Roman" w:hAnsi="Times New Roman"/>
                <w:color w:val="000000"/>
                <w:sz w:val="16"/>
                <w:szCs w:val="16"/>
              </w:rPr>
              <w:t xml:space="preserve"> за </w:t>
            </w:r>
            <w:proofErr w:type="spellStart"/>
            <w:r w:rsidRPr="00E16672">
              <w:rPr>
                <w:rFonts w:ascii="Times New Roman" w:hAnsi="Times New Roman"/>
                <w:color w:val="000000"/>
                <w:sz w:val="16"/>
                <w:szCs w:val="16"/>
              </w:rPr>
              <w:t>розпорядженням</w:t>
            </w:r>
            <w:proofErr w:type="spellEnd"/>
            <w:r w:rsidRPr="00E16672">
              <w:rPr>
                <w:rFonts w:ascii="Times New Roman" w:hAnsi="Times New Roman"/>
                <w:color w:val="000000"/>
                <w:sz w:val="16"/>
                <w:szCs w:val="16"/>
              </w:rPr>
              <w:t xml:space="preserve"> </w:t>
            </w:r>
            <w:r w:rsidR="00990A10" w:rsidRPr="00E16672">
              <w:rPr>
                <w:rFonts w:ascii="Times New Roman" w:hAnsi="Times New Roman"/>
                <w:color w:val="000000"/>
                <w:sz w:val="16"/>
                <w:szCs w:val="16"/>
                <w:lang w:val="uk-UA"/>
              </w:rPr>
              <w:t>Номінального утримувача</w:t>
            </w:r>
            <w:r w:rsidRPr="00E16672">
              <w:rPr>
                <w:rFonts w:ascii="Times New Roman" w:hAnsi="Times New Roman"/>
                <w:color w:val="000000"/>
                <w:sz w:val="16"/>
                <w:szCs w:val="16"/>
              </w:rPr>
              <w:t xml:space="preserve">. У </w:t>
            </w:r>
            <w:proofErr w:type="spellStart"/>
            <w:r w:rsidRPr="00E16672">
              <w:rPr>
                <w:rFonts w:ascii="Times New Roman" w:hAnsi="Times New Roman"/>
                <w:color w:val="000000"/>
                <w:sz w:val="16"/>
                <w:szCs w:val="16"/>
              </w:rPr>
              <w:t>цьому</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випадку</w:t>
            </w:r>
            <w:proofErr w:type="spellEnd"/>
            <w:r w:rsidRPr="00E16672">
              <w:rPr>
                <w:rFonts w:ascii="Times New Roman" w:hAnsi="Times New Roman"/>
                <w:color w:val="000000"/>
                <w:sz w:val="16"/>
                <w:szCs w:val="16"/>
              </w:rPr>
              <w:t xml:space="preserve"> дата </w:t>
            </w:r>
            <w:proofErr w:type="spellStart"/>
            <w:r w:rsidRPr="00E16672">
              <w:rPr>
                <w:rFonts w:ascii="Times New Roman" w:hAnsi="Times New Roman"/>
                <w:color w:val="000000"/>
                <w:sz w:val="16"/>
                <w:szCs w:val="16"/>
              </w:rPr>
              <w:t>закриття</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рахунку</w:t>
            </w:r>
            <w:proofErr w:type="spellEnd"/>
            <w:r w:rsidRPr="00E16672">
              <w:rPr>
                <w:rFonts w:ascii="Times New Roman" w:hAnsi="Times New Roman"/>
                <w:color w:val="000000"/>
                <w:sz w:val="16"/>
                <w:szCs w:val="16"/>
              </w:rPr>
              <w:t xml:space="preserve"> </w:t>
            </w:r>
            <w:r w:rsidR="00C22309" w:rsidRPr="00E16672">
              <w:rPr>
                <w:rFonts w:ascii="Times New Roman" w:hAnsi="Times New Roman"/>
                <w:color w:val="000000"/>
                <w:sz w:val="16"/>
                <w:szCs w:val="16"/>
              </w:rPr>
              <w:t xml:space="preserve">в </w:t>
            </w:r>
            <w:proofErr w:type="spellStart"/>
            <w:r w:rsidR="00C22309" w:rsidRPr="00E16672">
              <w:rPr>
                <w:rFonts w:ascii="Times New Roman" w:hAnsi="Times New Roman"/>
                <w:color w:val="000000"/>
                <w:sz w:val="16"/>
                <w:szCs w:val="16"/>
              </w:rPr>
              <w:t>цін</w:t>
            </w:r>
            <w:r w:rsidRPr="00E16672">
              <w:rPr>
                <w:rFonts w:ascii="Times New Roman" w:hAnsi="Times New Roman"/>
                <w:color w:val="000000"/>
                <w:sz w:val="16"/>
                <w:szCs w:val="16"/>
              </w:rPr>
              <w:t>них</w:t>
            </w:r>
            <w:proofErr w:type="spellEnd"/>
            <w:r w:rsidRPr="00E16672">
              <w:rPr>
                <w:rFonts w:ascii="Times New Roman" w:hAnsi="Times New Roman"/>
                <w:color w:val="000000"/>
                <w:sz w:val="16"/>
                <w:szCs w:val="16"/>
              </w:rPr>
              <w:t xml:space="preserve"> </w:t>
            </w:r>
            <w:proofErr w:type="spellStart"/>
            <w:proofErr w:type="gramStart"/>
            <w:r w:rsidRPr="00E16672">
              <w:rPr>
                <w:rFonts w:ascii="Times New Roman" w:hAnsi="Times New Roman"/>
                <w:color w:val="000000"/>
                <w:sz w:val="16"/>
                <w:szCs w:val="16"/>
              </w:rPr>
              <w:t>паперах</w:t>
            </w:r>
            <w:proofErr w:type="spellEnd"/>
            <w:r w:rsidRPr="00E16672">
              <w:rPr>
                <w:rFonts w:ascii="Times New Roman" w:hAnsi="Times New Roman"/>
                <w:color w:val="000000"/>
                <w:sz w:val="16"/>
                <w:szCs w:val="16"/>
              </w:rPr>
              <w:t xml:space="preserve">  є</w:t>
            </w:r>
            <w:proofErr w:type="gram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останньою</w:t>
            </w:r>
            <w:proofErr w:type="spellEnd"/>
            <w:r w:rsidRPr="00E16672">
              <w:rPr>
                <w:rFonts w:ascii="Times New Roman" w:hAnsi="Times New Roman"/>
                <w:color w:val="000000"/>
                <w:sz w:val="16"/>
                <w:szCs w:val="16"/>
              </w:rPr>
              <w:t xml:space="preserve"> датою </w:t>
            </w:r>
            <w:proofErr w:type="spellStart"/>
            <w:r w:rsidRPr="00E16672">
              <w:rPr>
                <w:rFonts w:ascii="Times New Roman" w:hAnsi="Times New Roman"/>
                <w:color w:val="000000"/>
                <w:sz w:val="16"/>
                <w:szCs w:val="16"/>
              </w:rPr>
              <w:t>чинності</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дії</w:t>
            </w:r>
            <w:proofErr w:type="spellEnd"/>
            <w:r w:rsidRPr="00E16672">
              <w:rPr>
                <w:rFonts w:ascii="Times New Roman" w:hAnsi="Times New Roman"/>
                <w:color w:val="000000"/>
                <w:sz w:val="16"/>
                <w:szCs w:val="16"/>
              </w:rPr>
              <w:t>) Договору.</w:t>
            </w:r>
          </w:p>
          <w:p w14:paraId="7F4E6ECE" w14:textId="77777777" w:rsidR="00EB25FE" w:rsidRPr="00E16672" w:rsidRDefault="00EB25FE" w:rsidP="00794B3F">
            <w:pPr>
              <w:snapToGrid w:val="0"/>
              <w:ind w:left="175" w:right="138" w:firstLine="7"/>
              <w:rPr>
                <w:rFonts w:ascii="Times New Roman" w:hAnsi="Times New Roman"/>
                <w:color w:val="000000"/>
                <w:sz w:val="10"/>
                <w:szCs w:val="10"/>
              </w:rPr>
            </w:pPr>
          </w:p>
        </w:tc>
        <w:tc>
          <w:tcPr>
            <w:tcW w:w="5495" w:type="dxa"/>
            <w:gridSpan w:val="8"/>
            <w:shd w:val="clear" w:color="auto" w:fill="auto"/>
          </w:tcPr>
          <w:p w14:paraId="7EFDDCD4" w14:textId="77777777" w:rsidR="00EB25FE" w:rsidRPr="00E16672" w:rsidRDefault="00EB25FE" w:rsidP="00794B3F">
            <w:pPr>
              <w:pStyle w:val="210"/>
              <w:tabs>
                <w:tab w:val="left" w:pos="287"/>
              </w:tabs>
              <w:snapToGrid w:val="0"/>
              <w:ind w:left="175" w:right="100" w:firstLine="7"/>
              <w:rPr>
                <w:rFonts w:ascii="Times New Roman" w:hAnsi="Times New Roman"/>
                <w:color w:val="000000"/>
                <w:sz w:val="16"/>
                <w:szCs w:val="16"/>
              </w:rPr>
            </w:pPr>
            <w:r w:rsidRPr="00E16672">
              <w:rPr>
                <w:rFonts w:ascii="Times New Roman" w:hAnsi="Times New Roman"/>
                <w:color w:val="000000"/>
                <w:sz w:val="16"/>
                <w:szCs w:val="16"/>
              </w:rPr>
              <w:t xml:space="preserve">6.5. </w:t>
            </w:r>
            <w:proofErr w:type="spellStart"/>
            <w:r w:rsidRPr="00E16672">
              <w:rPr>
                <w:rFonts w:ascii="Times New Roman" w:hAnsi="Times New Roman"/>
                <w:color w:val="000000"/>
                <w:sz w:val="16"/>
                <w:szCs w:val="16"/>
              </w:rPr>
              <w:t>This</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Agreement</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is</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terminated</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particularly</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in</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the</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case</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of</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closure</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of</w:t>
            </w:r>
            <w:proofErr w:type="spellEnd"/>
            <w:r w:rsidRPr="00E16672">
              <w:rPr>
                <w:rFonts w:ascii="Times New Roman" w:hAnsi="Times New Roman"/>
                <w:color w:val="000000"/>
                <w:sz w:val="16"/>
                <w:szCs w:val="16"/>
              </w:rPr>
              <w:t xml:space="preserve"> </w:t>
            </w:r>
            <w:r w:rsidRPr="00E16672">
              <w:rPr>
                <w:rFonts w:ascii="Times New Roman" w:hAnsi="Times New Roman"/>
                <w:color w:val="000000"/>
                <w:sz w:val="16"/>
                <w:szCs w:val="16"/>
                <w:lang w:val="en-US"/>
              </w:rPr>
              <w:t xml:space="preserve">the </w:t>
            </w:r>
            <w:proofErr w:type="spellStart"/>
            <w:r w:rsidRPr="00E16672">
              <w:rPr>
                <w:rFonts w:ascii="Times New Roman" w:hAnsi="Times New Roman"/>
                <w:color w:val="000000"/>
                <w:sz w:val="16"/>
                <w:szCs w:val="16"/>
              </w:rPr>
              <w:t>account</w:t>
            </w:r>
            <w:proofErr w:type="spellEnd"/>
            <w:r w:rsidRPr="00E16672">
              <w:rPr>
                <w:rFonts w:ascii="Times New Roman" w:hAnsi="Times New Roman"/>
                <w:color w:val="000000"/>
                <w:sz w:val="16"/>
                <w:szCs w:val="16"/>
                <w:lang w:val="en-US"/>
              </w:rPr>
              <w:t xml:space="preserve"> in </w:t>
            </w:r>
            <w:proofErr w:type="spellStart"/>
            <w:r w:rsidRPr="00E16672">
              <w:rPr>
                <w:rFonts w:ascii="Times New Roman" w:hAnsi="Times New Roman"/>
                <w:color w:val="000000"/>
                <w:sz w:val="16"/>
                <w:szCs w:val="16"/>
              </w:rPr>
              <w:t>securities</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by</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order</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of</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the</w:t>
            </w:r>
            <w:proofErr w:type="spellEnd"/>
            <w:r w:rsidRPr="00E16672">
              <w:rPr>
                <w:rFonts w:ascii="Times New Roman" w:hAnsi="Times New Roman"/>
                <w:color w:val="000000"/>
                <w:sz w:val="16"/>
                <w:szCs w:val="16"/>
              </w:rPr>
              <w:t xml:space="preserve"> </w:t>
            </w:r>
            <w:r w:rsidR="00990A10" w:rsidRPr="00E16672">
              <w:rPr>
                <w:rFonts w:ascii="Times New Roman" w:hAnsi="Times New Roman"/>
                <w:sz w:val="16"/>
                <w:szCs w:val="16"/>
                <w:lang w:val="en-US"/>
              </w:rPr>
              <w:t>Nominee holder</w:t>
            </w:r>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In</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this</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case</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the</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closing</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date</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of</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the</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account</w:t>
            </w:r>
            <w:proofErr w:type="spellEnd"/>
            <w:r w:rsidRPr="00E16672">
              <w:rPr>
                <w:rFonts w:ascii="Times New Roman" w:hAnsi="Times New Roman"/>
                <w:color w:val="000000"/>
                <w:sz w:val="16"/>
                <w:szCs w:val="16"/>
                <w:lang w:val="en-US"/>
              </w:rPr>
              <w:t xml:space="preserve"> in</w:t>
            </w:r>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securities</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is</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the</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last</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date</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of</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force</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actions</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of</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the</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Agreement</w:t>
            </w:r>
            <w:proofErr w:type="spellEnd"/>
            <w:r w:rsidRPr="00E16672">
              <w:rPr>
                <w:rFonts w:ascii="Times New Roman" w:hAnsi="Times New Roman"/>
                <w:color w:val="000000"/>
                <w:sz w:val="16"/>
                <w:szCs w:val="16"/>
              </w:rPr>
              <w:t>.</w:t>
            </w:r>
          </w:p>
        </w:tc>
      </w:tr>
      <w:tr w:rsidR="00EB25FE" w:rsidRPr="00A26EFC" w14:paraId="0F584726" w14:textId="77777777" w:rsidTr="005E418B">
        <w:tblPrEx>
          <w:tblCellMar>
            <w:left w:w="0" w:type="dxa"/>
            <w:right w:w="0" w:type="dxa"/>
          </w:tblCellMar>
        </w:tblPrEx>
        <w:trPr>
          <w:trHeight w:val="192"/>
        </w:trPr>
        <w:tc>
          <w:tcPr>
            <w:tcW w:w="5695" w:type="dxa"/>
            <w:gridSpan w:val="7"/>
            <w:shd w:val="clear" w:color="auto" w:fill="auto"/>
          </w:tcPr>
          <w:p w14:paraId="627D184C" w14:textId="77777777" w:rsidR="00EB25FE" w:rsidRPr="00A26EFC" w:rsidRDefault="00EB25FE" w:rsidP="00794B3F">
            <w:pPr>
              <w:snapToGrid w:val="0"/>
              <w:ind w:left="175" w:right="138" w:firstLine="7"/>
              <w:rPr>
                <w:rFonts w:ascii="Times New Roman" w:hAnsi="Times New Roman"/>
                <w:sz w:val="16"/>
                <w:szCs w:val="16"/>
                <w:lang w:val="en-US"/>
              </w:rPr>
            </w:pPr>
            <w:r w:rsidRPr="00A26EFC">
              <w:rPr>
                <w:rFonts w:ascii="Times New Roman" w:hAnsi="Times New Roman"/>
                <w:sz w:val="16"/>
                <w:szCs w:val="16"/>
                <w:lang w:val="en-US"/>
              </w:rPr>
              <w:t>6.</w:t>
            </w:r>
            <w:r w:rsidRPr="00E16672">
              <w:rPr>
                <w:rFonts w:ascii="Times New Roman" w:hAnsi="Times New Roman"/>
                <w:sz w:val="16"/>
                <w:szCs w:val="16"/>
                <w:lang w:val="uk-UA"/>
              </w:rPr>
              <w:t>6</w:t>
            </w:r>
            <w:r w:rsidRPr="00A26EFC">
              <w:rPr>
                <w:rFonts w:ascii="Times New Roman" w:hAnsi="Times New Roman"/>
                <w:sz w:val="16"/>
                <w:szCs w:val="16"/>
                <w:lang w:val="en-US"/>
              </w:rPr>
              <w:t xml:space="preserve">. </w:t>
            </w:r>
            <w:proofErr w:type="spellStart"/>
            <w:r w:rsidRPr="00E16672">
              <w:rPr>
                <w:rFonts w:ascii="Times New Roman" w:hAnsi="Times New Roman"/>
                <w:sz w:val="16"/>
                <w:szCs w:val="16"/>
              </w:rPr>
              <w:t>Депозитарна</w:t>
            </w:r>
            <w:proofErr w:type="spellEnd"/>
            <w:r w:rsidRPr="00A26EFC">
              <w:rPr>
                <w:rFonts w:ascii="Times New Roman" w:hAnsi="Times New Roman"/>
                <w:sz w:val="16"/>
                <w:szCs w:val="16"/>
                <w:lang w:val="en-US"/>
              </w:rPr>
              <w:t xml:space="preserve"> </w:t>
            </w:r>
            <w:proofErr w:type="spellStart"/>
            <w:r w:rsidRPr="00E16672">
              <w:rPr>
                <w:rFonts w:ascii="Times New Roman" w:hAnsi="Times New Roman"/>
                <w:sz w:val="16"/>
                <w:szCs w:val="16"/>
              </w:rPr>
              <w:t>установа</w:t>
            </w:r>
            <w:proofErr w:type="spellEnd"/>
            <w:r w:rsidRPr="00A26EFC">
              <w:rPr>
                <w:rFonts w:ascii="Times New Roman" w:hAnsi="Times New Roman"/>
                <w:sz w:val="16"/>
                <w:szCs w:val="16"/>
                <w:lang w:val="en-US"/>
              </w:rPr>
              <w:t xml:space="preserve"> </w:t>
            </w:r>
            <w:r w:rsidRPr="00E16672">
              <w:rPr>
                <w:rFonts w:ascii="Times New Roman" w:hAnsi="Times New Roman"/>
                <w:sz w:val="16"/>
                <w:szCs w:val="16"/>
              </w:rPr>
              <w:t>та</w:t>
            </w:r>
            <w:r w:rsidRPr="00A26EFC">
              <w:rPr>
                <w:rFonts w:ascii="Times New Roman" w:hAnsi="Times New Roman"/>
                <w:sz w:val="16"/>
                <w:szCs w:val="16"/>
                <w:lang w:val="en-US"/>
              </w:rPr>
              <w:t xml:space="preserve"> </w:t>
            </w:r>
            <w:r w:rsidR="00990A10" w:rsidRPr="00E16672">
              <w:rPr>
                <w:rFonts w:ascii="Times New Roman" w:hAnsi="Times New Roman"/>
                <w:sz w:val="16"/>
                <w:szCs w:val="16"/>
                <w:lang w:val="uk-UA"/>
              </w:rPr>
              <w:t>Номінальний утримувач</w:t>
            </w:r>
            <w:r w:rsidRPr="00A26EFC">
              <w:rPr>
                <w:rFonts w:ascii="Times New Roman" w:hAnsi="Times New Roman"/>
                <w:sz w:val="16"/>
                <w:szCs w:val="16"/>
                <w:lang w:val="en-US"/>
              </w:rPr>
              <w:t xml:space="preserve"> </w:t>
            </w:r>
            <w:r w:rsidRPr="00E16672">
              <w:rPr>
                <w:rFonts w:ascii="Times New Roman" w:hAnsi="Times New Roman"/>
                <w:sz w:val="16"/>
                <w:szCs w:val="16"/>
              </w:rPr>
              <w:t>зобов</w:t>
            </w:r>
            <w:r w:rsidRPr="00A26EFC">
              <w:rPr>
                <w:rFonts w:ascii="Times New Roman" w:hAnsi="Times New Roman"/>
                <w:sz w:val="16"/>
                <w:szCs w:val="16"/>
                <w:lang w:val="en-US"/>
              </w:rPr>
              <w:t>’</w:t>
            </w:r>
            <w:proofErr w:type="spellStart"/>
            <w:r w:rsidRPr="00E16672">
              <w:rPr>
                <w:rFonts w:ascii="Times New Roman" w:hAnsi="Times New Roman"/>
                <w:sz w:val="16"/>
                <w:szCs w:val="16"/>
              </w:rPr>
              <w:t>язані</w:t>
            </w:r>
            <w:proofErr w:type="spellEnd"/>
            <w:r w:rsidRPr="00A26EFC">
              <w:rPr>
                <w:rFonts w:ascii="Times New Roman" w:hAnsi="Times New Roman"/>
                <w:sz w:val="16"/>
                <w:szCs w:val="16"/>
                <w:lang w:val="en-US"/>
              </w:rPr>
              <w:t xml:space="preserve"> </w:t>
            </w:r>
            <w:r w:rsidRPr="00E16672">
              <w:rPr>
                <w:rFonts w:ascii="Times New Roman" w:hAnsi="Times New Roman"/>
                <w:sz w:val="16"/>
                <w:szCs w:val="16"/>
              </w:rPr>
              <w:t>у</w:t>
            </w:r>
            <w:r w:rsidRPr="00A26EFC">
              <w:rPr>
                <w:rFonts w:ascii="Times New Roman" w:hAnsi="Times New Roman"/>
                <w:sz w:val="16"/>
                <w:szCs w:val="16"/>
                <w:lang w:val="en-US"/>
              </w:rPr>
              <w:t xml:space="preserve"> </w:t>
            </w:r>
            <w:proofErr w:type="spellStart"/>
            <w:r w:rsidRPr="00E16672">
              <w:rPr>
                <w:rFonts w:ascii="Times New Roman" w:hAnsi="Times New Roman"/>
                <w:sz w:val="16"/>
                <w:szCs w:val="16"/>
              </w:rPr>
              <w:t>разі</w:t>
            </w:r>
            <w:proofErr w:type="spellEnd"/>
            <w:r w:rsidRPr="00A26EFC">
              <w:rPr>
                <w:rFonts w:ascii="Times New Roman" w:hAnsi="Times New Roman"/>
                <w:sz w:val="16"/>
                <w:szCs w:val="16"/>
                <w:lang w:val="en-US"/>
              </w:rPr>
              <w:t xml:space="preserve"> </w:t>
            </w:r>
            <w:proofErr w:type="spellStart"/>
            <w:r w:rsidRPr="00E16672">
              <w:rPr>
                <w:rFonts w:ascii="Times New Roman" w:hAnsi="Times New Roman"/>
                <w:sz w:val="16"/>
                <w:szCs w:val="16"/>
              </w:rPr>
              <w:t>розірвання</w:t>
            </w:r>
            <w:proofErr w:type="spellEnd"/>
            <w:r w:rsidRPr="00A26EFC">
              <w:rPr>
                <w:rFonts w:ascii="Times New Roman" w:hAnsi="Times New Roman"/>
                <w:sz w:val="16"/>
                <w:szCs w:val="16"/>
                <w:lang w:val="en-US"/>
              </w:rPr>
              <w:t xml:space="preserve"> </w:t>
            </w:r>
            <w:proofErr w:type="spellStart"/>
            <w:r w:rsidRPr="00E16672">
              <w:rPr>
                <w:rFonts w:ascii="Times New Roman" w:hAnsi="Times New Roman"/>
                <w:sz w:val="16"/>
                <w:szCs w:val="16"/>
              </w:rPr>
              <w:t>цього</w:t>
            </w:r>
            <w:proofErr w:type="spellEnd"/>
            <w:r w:rsidRPr="00A26EFC">
              <w:rPr>
                <w:rFonts w:ascii="Times New Roman" w:hAnsi="Times New Roman"/>
                <w:sz w:val="16"/>
                <w:szCs w:val="16"/>
                <w:lang w:val="en-US"/>
              </w:rPr>
              <w:t xml:space="preserve"> </w:t>
            </w:r>
            <w:r w:rsidRPr="00E16672">
              <w:rPr>
                <w:rFonts w:ascii="Times New Roman" w:hAnsi="Times New Roman"/>
                <w:sz w:val="16"/>
                <w:szCs w:val="16"/>
              </w:rPr>
              <w:t>Договору</w:t>
            </w:r>
            <w:r w:rsidRPr="00A26EFC">
              <w:rPr>
                <w:rFonts w:ascii="Times New Roman" w:hAnsi="Times New Roman"/>
                <w:sz w:val="16"/>
                <w:szCs w:val="16"/>
                <w:lang w:val="en-US"/>
              </w:rPr>
              <w:t xml:space="preserve"> (</w:t>
            </w:r>
            <w:r w:rsidRPr="00E16672">
              <w:rPr>
                <w:rFonts w:ascii="Times New Roman" w:hAnsi="Times New Roman"/>
                <w:sz w:val="16"/>
                <w:szCs w:val="16"/>
              </w:rPr>
              <w:t>у</w:t>
            </w:r>
            <w:r w:rsidRPr="00A26EFC">
              <w:rPr>
                <w:rFonts w:ascii="Times New Roman" w:hAnsi="Times New Roman"/>
                <w:sz w:val="16"/>
                <w:szCs w:val="16"/>
                <w:lang w:val="en-US"/>
              </w:rPr>
              <w:t xml:space="preserve"> </w:t>
            </w:r>
            <w:r w:rsidRPr="00E16672">
              <w:rPr>
                <w:rFonts w:ascii="Times New Roman" w:hAnsi="Times New Roman"/>
                <w:sz w:val="16"/>
                <w:szCs w:val="16"/>
              </w:rPr>
              <w:t>тому</w:t>
            </w:r>
            <w:r w:rsidRPr="00A26EFC">
              <w:rPr>
                <w:rFonts w:ascii="Times New Roman" w:hAnsi="Times New Roman"/>
                <w:sz w:val="16"/>
                <w:szCs w:val="16"/>
                <w:lang w:val="en-US"/>
              </w:rPr>
              <w:t xml:space="preserve"> </w:t>
            </w:r>
            <w:proofErr w:type="spellStart"/>
            <w:r w:rsidRPr="00E16672">
              <w:rPr>
                <w:rFonts w:ascii="Times New Roman" w:hAnsi="Times New Roman"/>
                <w:sz w:val="16"/>
                <w:szCs w:val="16"/>
              </w:rPr>
              <w:t>числі</w:t>
            </w:r>
            <w:proofErr w:type="spellEnd"/>
            <w:r w:rsidRPr="00A26EFC">
              <w:rPr>
                <w:rFonts w:ascii="Times New Roman" w:hAnsi="Times New Roman"/>
                <w:sz w:val="16"/>
                <w:szCs w:val="16"/>
                <w:lang w:val="en-US"/>
              </w:rPr>
              <w:t xml:space="preserve"> </w:t>
            </w:r>
            <w:r w:rsidRPr="00E16672">
              <w:rPr>
                <w:rFonts w:ascii="Times New Roman" w:hAnsi="Times New Roman"/>
                <w:sz w:val="16"/>
                <w:szCs w:val="16"/>
              </w:rPr>
              <w:t>у</w:t>
            </w:r>
            <w:r w:rsidRPr="00A26EFC">
              <w:rPr>
                <w:rFonts w:ascii="Times New Roman" w:hAnsi="Times New Roman"/>
                <w:sz w:val="16"/>
                <w:szCs w:val="16"/>
                <w:lang w:val="en-US"/>
              </w:rPr>
              <w:t xml:space="preserve"> </w:t>
            </w:r>
            <w:proofErr w:type="spellStart"/>
            <w:r w:rsidRPr="00E16672">
              <w:rPr>
                <w:rFonts w:ascii="Times New Roman" w:hAnsi="Times New Roman"/>
                <w:sz w:val="16"/>
                <w:szCs w:val="16"/>
              </w:rPr>
              <w:t>зв</w:t>
            </w:r>
            <w:proofErr w:type="spellEnd"/>
            <w:r w:rsidRPr="00A26EFC">
              <w:rPr>
                <w:rFonts w:ascii="Times New Roman" w:hAnsi="Times New Roman"/>
                <w:sz w:val="16"/>
                <w:szCs w:val="16"/>
                <w:lang w:val="en-US"/>
              </w:rPr>
              <w:t>’</w:t>
            </w:r>
            <w:proofErr w:type="spellStart"/>
            <w:r w:rsidRPr="00E16672">
              <w:rPr>
                <w:rFonts w:ascii="Times New Roman" w:hAnsi="Times New Roman"/>
                <w:sz w:val="16"/>
                <w:szCs w:val="16"/>
              </w:rPr>
              <w:t>язку</w:t>
            </w:r>
            <w:proofErr w:type="spellEnd"/>
            <w:r w:rsidRPr="00A26EFC">
              <w:rPr>
                <w:rFonts w:ascii="Times New Roman" w:hAnsi="Times New Roman"/>
                <w:sz w:val="16"/>
                <w:szCs w:val="16"/>
                <w:lang w:val="en-US"/>
              </w:rPr>
              <w:t xml:space="preserve"> </w:t>
            </w:r>
            <w:r w:rsidRPr="00E16672">
              <w:rPr>
                <w:rFonts w:ascii="Times New Roman" w:hAnsi="Times New Roman"/>
                <w:sz w:val="16"/>
                <w:szCs w:val="16"/>
              </w:rPr>
              <w:t>з</w:t>
            </w:r>
            <w:r w:rsidRPr="00A26EFC">
              <w:rPr>
                <w:rFonts w:ascii="Times New Roman" w:hAnsi="Times New Roman"/>
                <w:sz w:val="16"/>
                <w:szCs w:val="16"/>
                <w:lang w:val="en-US"/>
              </w:rPr>
              <w:t xml:space="preserve"> </w:t>
            </w:r>
            <w:proofErr w:type="spellStart"/>
            <w:r w:rsidRPr="00E16672">
              <w:rPr>
                <w:rFonts w:ascii="Times New Roman" w:hAnsi="Times New Roman"/>
                <w:sz w:val="16"/>
                <w:szCs w:val="16"/>
              </w:rPr>
              <w:t>припиненням</w:t>
            </w:r>
            <w:proofErr w:type="spellEnd"/>
            <w:r w:rsidRPr="00A26EFC">
              <w:rPr>
                <w:rFonts w:ascii="Times New Roman" w:hAnsi="Times New Roman"/>
                <w:sz w:val="16"/>
                <w:szCs w:val="16"/>
                <w:lang w:val="en-US"/>
              </w:rPr>
              <w:t xml:space="preserve"> </w:t>
            </w:r>
            <w:r w:rsidRPr="00E16672">
              <w:rPr>
                <w:rFonts w:ascii="Times New Roman" w:hAnsi="Times New Roman"/>
                <w:sz w:val="16"/>
                <w:szCs w:val="16"/>
              </w:rPr>
              <w:t>Депозитарною</w:t>
            </w:r>
            <w:r w:rsidRPr="00A26EFC">
              <w:rPr>
                <w:rFonts w:ascii="Times New Roman" w:hAnsi="Times New Roman"/>
                <w:sz w:val="16"/>
                <w:szCs w:val="16"/>
                <w:lang w:val="en-US"/>
              </w:rPr>
              <w:t xml:space="preserve"> </w:t>
            </w:r>
            <w:proofErr w:type="spellStart"/>
            <w:r w:rsidRPr="00E16672">
              <w:rPr>
                <w:rFonts w:ascii="Times New Roman" w:hAnsi="Times New Roman"/>
                <w:sz w:val="16"/>
                <w:szCs w:val="16"/>
              </w:rPr>
              <w:t>установою</w:t>
            </w:r>
            <w:proofErr w:type="spellEnd"/>
            <w:r w:rsidRPr="00A26EFC">
              <w:rPr>
                <w:rFonts w:ascii="Times New Roman" w:hAnsi="Times New Roman"/>
                <w:sz w:val="16"/>
                <w:szCs w:val="16"/>
                <w:lang w:val="en-US"/>
              </w:rPr>
              <w:t xml:space="preserve"> </w:t>
            </w:r>
            <w:proofErr w:type="spellStart"/>
            <w:r w:rsidRPr="00E16672">
              <w:rPr>
                <w:rFonts w:ascii="Times New Roman" w:hAnsi="Times New Roman"/>
                <w:sz w:val="16"/>
                <w:szCs w:val="16"/>
              </w:rPr>
              <w:t>провадження</w:t>
            </w:r>
            <w:proofErr w:type="spellEnd"/>
            <w:r w:rsidRPr="00A26EFC">
              <w:rPr>
                <w:rFonts w:ascii="Times New Roman" w:hAnsi="Times New Roman"/>
                <w:sz w:val="16"/>
                <w:szCs w:val="16"/>
                <w:lang w:val="en-US"/>
              </w:rPr>
              <w:t xml:space="preserve"> </w:t>
            </w:r>
            <w:proofErr w:type="spellStart"/>
            <w:r w:rsidRPr="00E16672">
              <w:rPr>
                <w:rFonts w:ascii="Times New Roman" w:hAnsi="Times New Roman"/>
                <w:sz w:val="16"/>
                <w:szCs w:val="16"/>
              </w:rPr>
              <w:t>професійної</w:t>
            </w:r>
            <w:proofErr w:type="spellEnd"/>
            <w:r w:rsidRPr="00A26EFC">
              <w:rPr>
                <w:rFonts w:ascii="Times New Roman" w:hAnsi="Times New Roman"/>
                <w:sz w:val="16"/>
                <w:szCs w:val="16"/>
                <w:lang w:val="en-US"/>
              </w:rPr>
              <w:t xml:space="preserve"> </w:t>
            </w:r>
            <w:proofErr w:type="spellStart"/>
            <w:r w:rsidRPr="00E16672">
              <w:rPr>
                <w:rFonts w:ascii="Times New Roman" w:hAnsi="Times New Roman"/>
                <w:sz w:val="16"/>
                <w:szCs w:val="16"/>
              </w:rPr>
              <w:t>діяльності</w:t>
            </w:r>
            <w:proofErr w:type="spellEnd"/>
            <w:r w:rsidRPr="00A26EFC">
              <w:rPr>
                <w:rFonts w:ascii="Times New Roman" w:hAnsi="Times New Roman"/>
                <w:sz w:val="16"/>
                <w:szCs w:val="16"/>
                <w:lang w:val="en-US"/>
              </w:rPr>
              <w:t xml:space="preserve"> </w:t>
            </w:r>
            <w:proofErr w:type="gramStart"/>
            <w:r w:rsidRPr="00E16672">
              <w:rPr>
                <w:rFonts w:ascii="Times New Roman" w:hAnsi="Times New Roman"/>
                <w:sz w:val="16"/>
                <w:szCs w:val="16"/>
              </w:rPr>
              <w:t>на</w:t>
            </w:r>
            <w:r w:rsidRPr="00A26EFC">
              <w:rPr>
                <w:rFonts w:ascii="Times New Roman" w:hAnsi="Times New Roman"/>
                <w:sz w:val="16"/>
                <w:szCs w:val="16"/>
                <w:lang w:val="en-US"/>
              </w:rPr>
              <w:t xml:space="preserve"> </w:t>
            </w:r>
            <w:r w:rsidRPr="00E16672">
              <w:rPr>
                <w:rFonts w:ascii="Times New Roman" w:hAnsi="Times New Roman"/>
                <w:sz w:val="16"/>
                <w:szCs w:val="16"/>
              </w:rPr>
              <w:t>фондовому</w:t>
            </w:r>
            <w:r w:rsidRPr="00A26EFC">
              <w:rPr>
                <w:rFonts w:ascii="Times New Roman" w:hAnsi="Times New Roman"/>
                <w:sz w:val="16"/>
                <w:szCs w:val="16"/>
                <w:lang w:val="en-US"/>
              </w:rPr>
              <w:t xml:space="preserve"> </w:t>
            </w:r>
            <w:r w:rsidRPr="00E16672">
              <w:rPr>
                <w:rFonts w:ascii="Times New Roman" w:hAnsi="Times New Roman"/>
                <w:sz w:val="16"/>
                <w:szCs w:val="16"/>
              </w:rPr>
              <w:t>ринку</w:t>
            </w:r>
            <w:proofErr w:type="gramEnd"/>
            <w:r w:rsidRPr="00A26EFC">
              <w:rPr>
                <w:rFonts w:ascii="Times New Roman" w:hAnsi="Times New Roman"/>
                <w:sz w:val="16"/>
                <w:szCs w:val="16"/>
                <w:lang w:val="en-US"/>
              </w:rPr>
              <w:t xml:space="preserve"> – </w:t>
            </w:r>
            <w:proofErr w:type="spellStart"/>
            <w:r w:rsidRPr="00E16672">
              <w:rPr>
                <w:rFonts w:ascii="Times New Roman" w:hAnsi="Times New Roman"/>
                <w:sz w:val="16"/>
                <w:szCs w:val="16"/>
              </w:rPr>
              <w:t>депозитарної</w:t>
            </w:r>
            <w:proofErr w:type="spellEnd"/>
            <w:r w:rsidRPr="00A26EFC">
              <w:rPr>
                <w:rFonts w:ascii="Times New Roman" w:hAnsi="Times New Roman"/>
                <w:sz w:val="16"/>
                <w:szCs w:val="16"/>
                <w:lang w:val="en-US"/>
              </w:rPr>
              <w:t xml:space="preserve"> </w:t>
            </w:r>
            <w:proofErr w:type="spellStart"/>
            <w:r w:rsidRPr="00E16672">
              <w:rPr>
                <w:rFonts w:ascii="Times New Roman" w:hAnsi="Times New Roman"/>
                <w:sz w:val="16"/>
                <w:szCs w:val="16"/>
              </w:rPr>
              <w:t>діяльності</w:t>
            </w:r>
            <w:proofErr w:type="spellEnd"/>
            <w:r w:rsidRPr="00A26EFC">
              <w:rPr>
                <w:rFonts w:ascii="Times New Roman" w:hAnsi="Times New Roman"/>
                <w:sz w:val="16"/>
                <w:szCs w:val="16"/>
                <w:lang w:val="en-US"/>
              </w:rPr>
              <w:t xml:space="preserve">) </w:t>
            </w:r>
            <w:proofErr w:type="spellStart"/>
            <w:r w:rsidRPr="00E16672">
              <w:rPr>
                <w:rFonts w:ascii="Times New Roman" w:hAnsi="Times New Roman"/>
                <w:sz w:val="16"/>
                <w:szCs w:val="16"/>
              </w:rPr>
              <w:t>діяти</w:t>
            </w:r>
            <w:proofErr w:type="spellEnd"/>
            <w:r w:rsidRPr="00A26EFC">
              <w:rPr>
                <w:rFonts w:ascii="Times New Roman" w:hAnsi="Times New Roman"/>
                <w:sz w:val="16"/>
                <w:szCs w:val="16"/>
                <w:lang w:val="en-US"/>
              </w:rPr>
              <w:t xml:space="preserve"> </w:t>
            </w:r>
            <w:proofErr w:type="spellStart"/>
            <w:r w:rsidRPr="00E16672">
              <w:rPr>
                <w:rFonts w:ascii="Times New Roman" w:hAnsi="Times New Roman"/>
                <w:sz w:val="16"/>
                <w:szCs w:val="16"/>
              </w:rPr>
              <w:t>відповідно</w:t>
            </w:r>
            <w:proofErr w:type="spellEnd"/>
            <w:r w:rsidRPr="00A26EFC">
              <w:rPr>
                <w:rFonts w:ascii="Times New Roman" w:hAnsi="Times New Roman"/>
                <w:sz w:val="16"/>
                <w:szCs w:val="16"/>
                <w:lang w:val="en-US"/>
              </w:rPr>
              <w:t xml:space="preserve"> </w:t>
            </w:r>
            <w:r w:rsidRPr="00E16672">
              <w:rPr>
                <w:rFonts w:ascii="Times New Roman" w:hAnsi="Times New Roman"/>
                <w:sz w:val="16"/>
                <w:szCs w:val="16"/>
              </w:rPr>
              <w:t>до</w:t>
            </w:r>
            <w:r w:rsidRPr="00A26EFC">
              <w:rPr>
                <w:rFonts w:ascii="Times New Roman" w:hAnsi="Times New Roman"/>
                <w:sz w:val="16"/>
                <w:szCs w:val="16"/>
                <w:lang w:val="en-US"/>
              </w:rPr>
              <w:t xml:space="preserve"> </w:t>
            </w:r>
            <w:proofErr w:type="spellStart"/>
            <w:r w:rsidRPr="00E16672">
              <w:rPr>
                <w:rFonts w:ascii="Times New Roman" w:hAnsi="Times New Roman"/>
                <w:sz w:val="16"/>
                <w:szCs w:val="16"/>
              </w:rPr>
              <w:t>вимог</w:t>
            </w:r>
            <w:proofErr w:type="spellEnd"/>
            <w:r w:rsidRPr="00A26EFC">
              <w:rPr>
                <w:rFonts w:ascii="Times New Roman" w:hAnsi="Times New Roman"/>
                <w:sz w:val="16"/>
                <w:szCs w:val="16"/>
                <w:lang w:val="en-US"/>
              </w:rPr>
              <w:t xml:space="preserve"> </w:t>
            </w:r>
            <w:proofErr w:type="spellStart"/>
            <w:r w:rsidRPr="00E16672">
              <w:rPr>
                <w:rFonts w:ascii="Times New Roman" w:hAnsi="Times New Roman"/>
                <w:sz w:val="16"/>
                <w:szCs w:val="16"/>
              </w:rPr>
              <w:t>законодавства</w:t>
            </w:r>
            <w:proofErr w:type="spellEnd"/>
            <w:r w:rsidRPr="00A26EFC">
              <w:rPr>
                <w:rFonts w:ascii="Times New Roman" w:hAnsi="Times New Roman"/>
                <w:sz w:val="16"/>
                <w:szCs w:val="16"/>
                <w:lang w:val="en-US"/>
              </w:rPr>
              <w:t xml:space="preserve"> </w:t>
            </w:r>
            <w:r w:rsidRPr="00E16672">
              <w:rPr>
                <w:rFonts w:ascii="Times New Roman" w:hAnsi="Times New Roman"/>
                <w:sz w:val="16"/>
                <w:szCs w:val="16"/>
              </w:rPr>
              <w:t>та</w:t>
            </w:r>
            <w:r w:rsidRPr="00A26EFC">
              <w:rPr>
                <w:rFonts w:ascii="Times New Roman" w:hAnsi="Times New Roman"/>
                <w:sz w:val="16"/>
                <w:szCs w:val="16"/>
                <w:lang w:val="en-US"/>
              </w:rPr>
              <w:t xml:space="preserve"> </w:t>
            </w:r>
            <w:proofErr w:type="spellStart"/>
            <w:r w:rsidRPr="00E16672">
              <w:rPr>
                <w:rFonts w:ascii="Times New Roman" w:hAnsi="Times New Roman"/>
                <w:sz w:val="16"/>
                <w:szCs w:val="16"/>
              </w:rPr>
              <w:t>цього</w:t>
            </w:r>
            <w:proofErr w:type="spellEnd"/>
            <w:r w:rsidRPr="00A26EFC">
              <w:rPr>
                <w:rFonts w:ascii="Times New Roman" w:hAnsi="Times New Roman"/>
                <w:sz w:val="16"/>
                <w:szCs w:val="16"/>
                <w:lang w:val="en-US"/>
              </w:rPr>
              <w:t xml:space="preserve"> </w:t>
            </w:r>
            <w:r w:rsidRPr="00E16672">
              <w:rPr>
                <w:rFonts w:ascii="Times New Roman" w:hAnsi="Times New Roman"/>
                <w:sz w:val="16"/>
                <w:szCs w:val="16"/>
              </w:rPr>
              <w:t>Договору</w:t>
            </w:r>
            <w:r w:rsidRPr="00A26EFC">
              <w:rPr>
                <w:rFonts w:ascii="Times New Roman" w:hAnsi="Times New Roman"/>
                <w:sz w:val="16"/>
                <w:szCs w:val="16"/>
                <w:lang w:val="en-US"/>
              </w:rPr>
              <w:t>.</w:t>
            </w:r>
          </w:p>
          <w:p w14:paraId="741A13B7" w14:textId="77777777" w:rsidR="00EB25FE" w:rsidRPr="00A26EFC" w:rsidRDefault="00EB25FE" w:rsidP="00794B3F">
            <w:pPr>
              <w:ind w:left="175" w:right="138" w:firstLine="7"/>
              <w:rPr>
                <w:rFonts w:ascii="Times New Roman" w:hAnsi="Times New Roman"/>
                <w:sz w:val="10"/>
                <w:szCs w:val="10"/>
                <w:lang w:val="en-US"/>
              </w:rPr>
            </w:pPr>
          </w:p>
        </w:tc>
        <w:tc>
          <w:tcPr>
            <w:tcW w:w="5495" w:type="dxa"/>
            <w:gridSpan w:val="8"/>
            <w:shd w:val="clear" w:color="auto" w:fill="auto"/>
          </w:tcPr>
          <w:p w14:paraId="27735A34" w14:textId="77777777" w:rsidR="00EB25FE" w:rsidRPr="00E16672" w:rsidRDefault="00EB25FE" w:rsidP="00794B3F">
            <w:pPr>
              <w:pStyle w:val="210"/>
              <w:tabs>
                <w:tab w:val="left" w:pos="287"/>
              </w:tabs>
              <w:snapToGrid w:val="0"/>
              <w:ind w:left="175" w:right="100" w:firstLine="7"/>
              <w:rPr>
                <w:rFonts w:ascii="Times New Roman" w:hAnsi="Times New Roman"/>
                <w:sz w:val="16"/>
                <w:szCs w:val="16"/>
              </w:rPr>
            </w:pPr>
            <w:r w:rsidRPr="00E16672">
              <w:rPr>
                <w:rFonts w:ascii="Times New Roman" w:hAnsi="Times New Roman"/>
                <w:sz w:val="16"/>
                <w:szCs w:val="16"/>
              </w:rPr>
              <w:t xml:space="preserve">6.6. </w:t>
            </w:r>
            <w:proofErr w:type="spellStart"/>
            <w:r w:rsidRPr="00E16672">
              <w:rPr>
                <w:rFonts w:ascii="Times New Roman" w:hAnsi="Times New Roman"/>
                <w:sz w:val="16"/>
                <w:szCs w:val="16"/>
              </w:rPr>
              <w:t>Depository</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institution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and</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r w:rsidR="00990A10" w:rsidRPr="00E16672">
              <w:rPr>
                <w:rFonts w:ascii="Times New Roman" w:hAnsi="Times New Roman"/>
                <w:sz w:val="16"/>
                <w:szCs w:val="16"/>
                <w:lang w:val="en-US"/>
              </w:rPr>
              <w:t>Nominee holder</w:t>
            </w:r>
            <w:r w:rsidR="00990A10" w:rsidRPr="00E16672">
              <w:rPr>
                <w:rFonts w:ascii="Times New Roman" w:hAnsi="Times New Roman"/>
                <w:sz w:val="16"/>
                <w:szCs w:val="16"/>
              </w:rPr>
              <w:t xml:space="preserve"> </w:t>
            </w:r>
            <w:proofErr w:type="spellStart"/>
            <w:r w:rsidRPr="00E16672">
              <w:rPr>
                <w:rFonts w:ascii="Times New Roman" w:hAnsi="Times New Roman"/>
                <w:sz w:val="16"/>
                <w:szCs w:val="16"/>
              </w:rPr>
              <w:t>shall</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in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event</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of</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termination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of</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this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Agreement</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including</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in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connection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with</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termination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of</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r w:rsidRPr="00E16672">
              <w:rPr>
                <w:rFonts w:ascii="Times New Roman" w:hAnsi="Times New Roman"/>
                <w:sz w:val="16"/>
                <w:szCs w:val="16"/>
                <w:lang w:val="en-US"/>
              </w:rPr>
              <w:t>D</w:t>
            </w:r>
            <w:proofErr w:type="spellStart"/>
            <w:r w:rsidRPr="00E16672">
              <w:rPr>
                <w:rFonts w:ascii="Times New Roman" w:hAnsi="Times New Roman"/>
                <w:sz w:val="16"/>
                <w:szCs w:val="16"/>
              </w:rPr>
              <w:t>epository</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institution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carrying</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out</w:t>
            </w:r>
            <w:proofErr w:type="spellEnd"/>
            <w:r w:rsidRPr="00E16672">
              <w:rPr>
                <w:rFonts w:ascii="Times New Roman" w:hAnsi="Times New Roman"/>
                <w:sz w:val="16"/>
                <w:szCs w:val="16"/>
              </w:rPr>
              <w:t xml:space="preserve"> a </w:t>
            </w:r>
            <w:proofErr w:type="spellStart"/>
            <w:r w:rsidRPr="00E16672">
              <w:rPr>
                <w:rFonts w:ascii="Times New Roman" w:hAnsi="Times New Roman"/>
                <w:sz w:val="16"/>
                <w:szCs w:val="16"/>
              </w:rPr>
              <w:t>professional</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activity</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stock</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market</w:t>
            </w:r>
            <w:proofErr w:type="spellEnd"/>
            <w:r w:rsidRPr="00E16672">
              <w:rPr>
                <w:rFonts w:ascii="Times New Roman" w:hAnsi="Times New Roman"/>
                <w:sz w:val="16"/>
                <w:szCs w:val="16"/>
              </w:rPr>
              <w:t xml:space="preserve"> - </w:t>
            </w:r>
            <w:proofErr w:type="spellStart"/>
            <w:r w:rsidRPr="00E16672">
              <w:rPr>
                <w:rFonts w:ascii="Times New Roman" w:hAnsi="Times New Roman"/>
                <w:sz w:val="16"/>
                <w:szCs w:val="16"/>
              </w:rPr>
              <w:t>depository</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activities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act</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in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accordance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with</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law</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and</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this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Agreement</w:t>
            </w:r>
            <w:proofErr w:type="spellEnd"/>
            <w:r w:rsidRPr="00E16672">
              <w:rPr>
                <w:rFonts w:ascii="Times New Roman" w:hAnsi="Times New Roman"/>
                <w:sz w:val="16"/>
                <w:szCs w:val="16"/>
              </w:rPr>
              <w:t>.</w:t>
            </w:r>
          </w:p>
        </w:tc>
      </w:tr>
      <w:tr w:rsidR="00EB25FE" w:rsidRPr="00A26EFC" w14:paraId="38C8DB14" w14:textId="77777777" w:rsidTr="005E418B">
        <w:tblPrEx>
          <w:tblCellMar>
            <w:left w:w="0" w:type="dxa"/>
            <w:right w:w="0" w:type="dxa"/>
          </w:tblCellMar>
        </w:tblPrEx>
        <w:trPr>
          <w:trHeight w:val="192"/>
        </w:trPr>
        <w:tc>
          <w:tcPr>
            <w:tcW w:w="5695" w:type="dxa"/>
            <w:gridSpan w:val="7"/>
            <w:shd w:val="clear" w:color="auto" w:fill="auto"/>
          </w:tcPr>
          <w:p w14:paraId="48AE3081" w14:textId="77777777" w:rsidR="00EB25FE" w:rsidRPr="00E16672" w:rsidRDefault="00EB25FE" w:rsidP="00022F5F">
            <w:pPr>
              <w:snapToGrid w:val="0"/>
              <w:ind w:left="175" w:right="138" w:firstLine="7"/>
              <w:jc w:val="left"/>
              <w:rPr>
                <w:rFonts w:ascii="Times New Roman" w:hAnsi="Times New Roman"/>
                <w:sz w:val="16"/>
                <w:szCs w:val="16"/>
              </w:rPr>
            </w:pPr>
            <w:r w:rsidRPr="00E16672">
              <w:rPr>
                <w:rFonts w:ascii="Times New Roman" w:hAnsi="Times New Roman"/>
                <w:sz w:val="16"/>
                <w:szCs w:val="16"/>
              </w:rPr>
              <w:t>6.</w:t>
            </w:r>
            <w:r w:rsidRPr="00E16672">
              <w:rPr>
                <w:rFonts w:ascii="Times New Roman" w:hAnsi="Times New Roman"/>
                <w:sz w:val="16"/>
                <w:szCs w:val="16"/>
                <w:lang w:val="uk-UA"/>
              </w:rPr>
              <w:t>7</w:t>
            </w:r>
            <w:r w:rsidRPr="00E16672">
              <w:rPr>
                <w:rFonts w:ascii="Times New Roman" w:hAnsi="Times New Roman"/>
                <w:sz w:val="16"/>
                <w:szCs w:val="16"/>
              </w:rPr>
              <w:t xml:space="preserve">. </w:t>
            </w:r>
            <w:proofErr w:type="spellStart"/>
            <w:r w:rsidRPr="00E16672">
              <w:rPr>
                <w:rFonts w:ascii="Times New Roman" w:hAnsi="Times New Roman"/>
                <w:sz w:val="16"/>
                <w:szCs w:val="16"/>
              </w:rPr>
              <w:t>Питання</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що</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виникають</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під</w:t>
            </w:r>
            <w:proofErr w:type="spellEnd"/>
            <w:r w:rsidRPr="00E16672">
              <w:rPr>
                <w:rFonts w:ascii="Times New Roman" w:hAnsi="Times New Roman"/>
                <w:sz w:val="16"/>
                <w:szCs w:val="16"/>
              </w:rPr>
              <w:t xml:space="preserve"> час </w:t>
            </w:r>
            <w:proofErr w:type="spellStart"/>
            <w:r w:rsidRPr="00E16672">
              <w:rPr>
                <w:rFonts w:ascii="Times New Roman" w:hAnsi="Times New Roman"/>
                <w:sz w:val="16"/>
                <w:szCs w:val="16"/>
              </w:rPr>
              <w:t>укладення</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виконання</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зміни</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розірвання</w:t>
            </w:r>
            <w:proofErr w:type="spellEnd"/>
            <w:r w:rsidRPr="00E16672">
              <w:rPr>
                <w:rFonts w:ascii="Times New Roman" w:hAnsi="Times New Roman"/>
                <w:sz w:val="16"/>
                <w:szCs w:val="16"/>
              </w:rPr>
              <w:t xml:space="preserve"> Договору і не </w:t>
            </w:r>
            <w:proofErr w:type="spellStart"/>
            <w:r w:rsidRPr="00E16672">
              <w:rPr>
                <w:rFonts w:ascii="Times New Roman" w:hAnsi="Times New Roman"/>
                <w:sz w:val="16"/>
                <w:szCs w:val="16"/>
              </w:rPr>
              <w:t>врегульовані</w:t>
            </w:r>
            <w:proofErr w:type="spellEnd"/>
            <w:r w:rsidRPr="00E16672">
              <w:rPr>
                <w:rFonts w:ascii="Times New Roman" w:hAnsi="Times New Roman"/>
                <w:sz w:val="16"/>
                <w:szCs w:val="16"/>
              </w:rPr>
              <w:t xml:space="preserve"> ним, </w:t>
            </w:r>
            <w:proofErr w:type="spellStart"/>
            <w:r w:rsidRPr="00E16672">
              <w:rPr>
                <w:rFonts w:ascii="Times New Roman" w:hAnsi="Times New Roman"/>
                <w:sz w:val="16"/>
                <w:szCs w:val="16"/>
              </w:rPr>
              <w:t>регулюються</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Цивільним</w:t>
            </w:r>
            <w:proofErr w:type="spellEnd"/>
            <w:r w:rsidRPr="00E16672">
              <w:rPr>
                <w:rFonts w:ascii="Times New Roman" w:hAnsi="Times New Roman"/>
                <w:sz w:val="16"/>
                <w:szCs w:val="16"/>
              </w:rPr>
              <w:t xml:space="preserve"> кодексом </w:t>
            </w:r>
            <w:proofErr w:type="spellStart"/>
            <w:r w:rsidRPr="00E16672">
              <w:rPr>
                <w:rFonts w:ascii="Times New Roman" w:hAnsi="Times New Roman"/>
                <w:sz w:val="16"/>
                <w:szCs w:val="16"/>
              </w:rPr>
              <w:t>України</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Господарським</w:t>
            </w:r>
            <w:proofErr w:type="spellEnd"/>
            <w:r w:rsidRPr="00E16672">
              <w:rPr>
                <w:rFonts w:ascii="Times New Roman" w:hAnsi="Times New Roman"/>
                <w:sz w:val="16"/>
                <w:szCs w:val="16"/>
              </w:rPr>
              <w:t xml:space="preserve"> кодексом </w:t>
            </w:r>
            <w:proofErr w:type="spellStart"/>
            <w:r w:rsidRPr="00E16672">
              <w:rPr>
                <w:rFonts w:ascii="Times New Roman" w:hAnsi="Times New Roman"/>
                <w:sz w:val="16"/>
                <w:szCs w:val="16"/>
              </w:rPr>
              <w:t>України</w:t>
            </w:r>
            <w:proofErr w:type="spellEnd"/>
            <w:r w:rsidRPr="00E16672">
              <w:rPr>
                <w:rFonts w:ascii="Times New Roman" w:hAnsi="Times New Roman"/>
                <w:sz w:val="16"/>
                <w:szCs w:val="16"/>
              </w:rPr>
              <w:t xml:space="preserve">, Законом </w:t>
            </w:r>
            <w:proofErr w:type="spellStart"/>
            <w:r w:rsidRPr="00E16672">
              <w:rPr>
                <w:rFonts w:ascii="Times New Roman" w:hAnsi="Times New Roman"/>
                <w:sz w:val="16"/>
                <w:szCs w:val="16"/>
              </w:rPr>
              <w:t>України</w:t>
            </w:r>
            <w:proofErr w:type="spellEnd"/>
            <w:r w:rsidRPr="00E16672">
              <w:rPr>
                <w:rFonts w:ascii="Times New Roman" w:hAnsi="Times New Roman"/>
                <w:sz w:val="16"/>
                <w:szCs w:val="16"/>
              </w:rPr>
              <w:t xml:space="preserve"> </w:t>
            </w:r>
            <w:r w:rsidR="00022F5F">
              <w:rPr>
                <w:rFonts w:ascii="Times New Roman" w:hAnsi="Times New Roman"/>
                <w:sz w:val="16"/>
                <w:szCs w:val="16"/>
              </w:rPr>
              <w:t>"</w:t>
            </w:r>
            <w:r w:rsidRPr="00E16672">
              <w:rPr>
                <w:rFonts w:ascii="Times New Roman" w:hAnsi="Times New Roman"/>
                <w:sz w:val="16"/>
                <w:szCs w:val="16"/>
              </w:rPr>
              <w:t xml:space="preserve">Про </w:t>
            </w:r>
            <w:proofErr w:type="spellStart"/>
            <w:r w:rsidRPr="00E16672">
              <w:rPr>
                <w:rFonts w:ascii="Times New Roman" w:hAnsi="Times New Roman"/>
                <w:sz w:val="16"/>
                <w:szCs w:val="16"/>
              </w:rPr>
              <w:t>депозитарну</w:t>
            </w:r>
            <w:proofErr w:type="spellEnd"/>
            <w:r w:rsidRPr="00E16672">
              <w:rPr>
                <w:rFonts w:ascii="Times New Roman" w:hAnsi="Times New Roman"/>
                <w:sz w:val="16"/>
                <w:szCs w:val="16"/>
              </w:rPr>
              <w:t xml:space="preserve"> систему </w:t>
            </w:r>
            <w:proofErr w:type="spellStart"/>
            <w:r w:rsidRPr="00E16672">
              <w:rPr>
                <w:rFonts w:ascii="Times New Roman" w:hAnsi="Times New Roman"/>
                <w:sz w:val="16"/>
                <w:szCs w:val="16"/>
              </w:rPr>
              <w:t>України</w:t>
            </w:r>
            <w:proofErr w:type="spellEnd"/>
            <w:r w:rsidR="00022F5F">
              <w:rPr>
                <w:rFonts w:ascii="Times New Roman" w:hAnsi="Times New Roman"/>
                <w:sz w:val="16"/>
                <w:szCs w:val="16"/>
              </w:rPr>
              <w:t>"</w:t>
            </w:r>
            <w:r w:rsidRPr="00E16672">
              <w:rPr>
                <w:rFonts w:ascii="Times New Roman" w:hAnsi="Times New Roman"/>
                <w:sz w:val="16"/>
                <w:szCs w:val="16"/>
              </w:rPr>
              <w:t>, нормативно-</w:t>
            </w:r>
            <w:proofErr w:type="spellStart"/>
            <w:r w:rsidRPr="00E16672">
              <w:rPr>
                <w:rFonts w:ascii="Times New Roman" w:hAnsi="Times New Roman"/>
                <w:sz w:val="16"/>
                <w:szCs w:val="16"/>
              </w:rPr>
              <w:t>правовими</w:t>
            </w:r>
            <w:proofErr w:type="spellEnd"/>
            <w:r w:rsidRPr="00E16672">
              <w:rPr>
                <w:rFonts w:ascii="Times New Roman" w:hAnsi="Times New Roman"/>
                <w:sz w:val="16"/>
                <w:szCs w:val="16"/>
              </w:rPr>
              <w:t xml:space="preserve"> актами НКЦПФР.</w:t>
            </w:r>
          </w:p>
        </w:tc>
        <w:tc>
          <w:tcPr>
            <w:tcW w:w="5495" w:type="dxa"/>
            <w:gridSpan w:val="8"/>
            <w:shd w:val="clear" w:color="auto" w:fill="auto"/>
          </w:tcPr>
          <w:p w14:paraId="5D87AB70" w14:textId="77777777" w:rsidR="00EB25FE" w:rsidRPr="00E16672" w:rsidRDefault="00EB25FE" w:rsidP="00794B3F">
            <w:pPr>
              <w:tabs>
                <w:tab w:val="left" w:pos="287"/>
              </w:tabs>
              <w:snapToGrid w:val="0"/>
              <w:ind w:left="175" w:right="100" w:firstLine="7"/>
              <w:rPr>
                <w:rFonts w:ascii="Times New Roman" w:hAnsi="Times New Roman"/>
                <w:sz w:val="16"/>
                <w:szCs w:val="16"/>
                <w:lang w:val="en-GB"/>
              </w:rPr>
            </w:pPr>
            <w:r w:rsidRPr="00E16672">
              <w:rPr>
                <w:rFonts w:ascii="Times New Roman" w:hAnsi="Times New Roman"/>
                <w:sz w:val="16"/>
                <w:szCs w:val="16"/>
                <w:lang w:val="en-GB"/>
              </w:rPr>
              <w:t>6.</w:t>
            </w:r>
            <w:r w:rsidRPr="00E16672">
              <w:rPr>
                <w:rFonts w:ascii="Times New Roman" w:hAnsi="Times New Roman"/>
                <w:sz w:val="16"/>
                <w:szCs w:val="16"/>
                <w:lang w:val="uk-UA"/>
              </w:rPr>
              <w:t>7</w:t>
            </w:r>
            <w:r w:rsidRPr="00E16672">
              <w:rPr>
                <w:rFonts w:ascii="Times New Roman" w:hAnsi="Times New Roman"/>
                <w:sz w:val="16"/>
                <w:szCs w:val="16"/>
                <w:lang w:val="en-GB"/>
              </w:rPr>
              <w:t>. Matters arising from the making, performance, modification, and termination of the Agreement not settled it shall be governed by the Civil Code of Ukraine, the Commercial Code of Ukraine, the Law of Ukraine "On the Depository System of Ukraine" regulations NCSSM.</w:t>
            </w:r>
          </w:p>
        </w:tc>
      </w:tr>
      <w:tr w:rsidR="00EB25FE" w:rsidRPr="00A26EFC" w14:paraId="1BC3F20E" w14:textId="77777777" w:rsidTr="005E418B">
        <w:tblPrEx>
          <w:tblCellMar>
            <w:left w:w="0" w:type="dxa"/>
            <w:right w:w="0" w:type="dxa"/>
          </w:tblCellMar>
        </w:tblPrEx>
        <w:trPr>
          <w:trHeight w:val="192"/>
        </w:trPr>
        <w:tc>
          <w:tcPr>
            <w:tcW w:w="5695" w:type="dxa"/>
            <w:gridSpan w:val="7"/>
            <w:shd w:val="clear" w:color="auto" w:fill="auto"/>
          </w:tcPr>
          <w:p w14:paraId="0C895D9E" w14:textId="77777777" w:rsidR="00EB25FE" w:rsidRPr="00E16672" w:rsidRDefault="00EB25FE" w:rsidP="00794B3F">
            <w:pPr>
              <w:snapToGrid w:val="0"/>
              <w:ind w:left="175" w:right="138" w:firstLine="7"/>
              <w:rPr>
                <w:rFonts w:ascii="Times New Roman" w:hAnsi="Times New Roman"/>
                <w:b/>
                <w:caps/>
                <w:sz w:val="16"/>
                <w:szCs w:val="16"/>
                <w:lang w:val="en-US"/>
              </w:rPr>
            </w:pPr>
          </w:p>
          <w:p w14:paraId="0CD93797" w14:textId="77777777" w:rsidR="00EB25FE" w:rsidRPr="00E16672" w:rsidRDefault="00EB25FE" w:rsidP="00794B3F">
            <w:pPr>
              <w:snapToGrid w:val="0"/>
              <w:ind w:left="175" w:right="138" w:firstLine="7"/>
              <w:jc w:val="center"/>
              <w:rPr>
                <w:rFonts w:ascii="Times New Roman" w:hAnsi="Times New Roman"/>
                <w:b/>
                <w:caps/>
                <w:sz w:val="16"/>
                <w:szCs w:val="16"/>
              </w:rPr>
            </w:pPr>
            <w:r w:rsidRPr="00E16672">
              <w:rPr>
                <w:rFonts w:ascii="Times New Roman" w:hAnsi="Times New Roman"/>
                <w:b/>
                <w:caps/>
                <w:sz w:val="16"/>
                <w:szCs w:val="16"/>
              </w:rPr>
              <w:t>7. Порядок розкриття інформації, що належить</w:t>
            </w:r>
          </w:p>
          <w:p w14:paraId="04365062" w14:textId="77777777" w:rsidR="00EB25FE" w:rsidRPr="00E16672" w:rsidRDefault="00EB25FE" w:rsidP="00794B3F">
            <w:pPr>
              <w:ind w:left="175" w:right="138" w:firstLine="7"/>
              <w:jc w:val="center"/>
              <w:rPr>
                <w:rFonts w:ascii="Times New Roman" w:hAnsi="Times New Roman"/>
                <w:b/>
                <w:caps/>
                <w:sz w:val="16"/>
                <w:szCs w:val="16"/>
              </w:rPr>
            </w:pPr>
            <w:r w:rsidRPr="00E16672">
              <w:rPr>
                <w:rFonts w:ascii="Times New Roman" w:hAnsi="Times New Roman"/>
                <w:b/>
                <w:caps/>
                <w:sz w:val="16"/>
                <w:szCs w:val="16"/>
              </w:rPr>
              <w:t>до інформації з обмеженим доступоМ</w:t>
            </w:r>
          </w:p>
          <w:p w14:paraId="32B67FBE" w14:textId="77777777" w:rsidR="00EB25FE" w:rsidRPr="00E16672" w:rsidRDefault="00EB25FE" w:rsidP="00794B3F">
            <w:pPr>
              <w:ind w:left="175" w:right="138" w:firstLine="7"/>
              <w:jc w:val="center"/>
              <w:rPr>
                <w:rFonts w:ascii="Times New Roman" w:hAnsi="Times New Roman"/>
                <w:b/>
                <w:caps/>
                <w:sz w:val="16"/>
                <w:szCs w:val="16"/>
              </w:rPr>
            </w:pPr>
          </w:p>
          <w:p w14:paraId="1E4F6215" w14:textId="77777777" w:rsidR="00EB25FE" w:rsidRPr="00E16672" w:rsidRDefault="00EB25FE" w:rsidP="00022F5F">
            <w:pPr>
              <w:ind w:left="175" w:right="138" w:firstLine="7"/>
              <w:jc w:val="left"/>
              <w:rPr>
                <w:rFonts w:ascii="Times New Roman" w:hAnsi="Times New Roman"/>
                <w:sz w:val="16"/>
                <w:szCs w:val="16"/>
              </w:rPr>
            </w:pPr>
            <w:r w:rsidRPr="00E16672">
              <w:rPr>
                <w:rFonts w:ascii="Times New Roman" w:hAnsi="Times New Roman"/>
                <w:sz w:val="16"/>
                <w:szCs w:val="16"/>
              </w:rPr>
              <w:t xml:space="preserve">7.1. </w:t>
            </w:r>
            <w:proofErr w:type="spellStart"/>
            <w:r w:rsidRPr="00E16672">
              <w:rPr>
                <w:rFonts w:ascii="Times New Roman" w:hAnsi="Times New Roman"/>
                <w:sz w:val="16"/>
                <w:szCs w:val="16"/>
              </w:rPr>
              <w:t>Інформація</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що</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міститься</w:t>
            </w:r>
            <w:proofErr w:type="spellEnd"/>
            <w:r w:rsidRPr="00E16672">
              <w:rPr>
                <w:rFonts w:ascii="Times New Roman" w:hAnsi="Times New Roman"/>
                <w:sz w:val="16"/>
                <w:szCs w:val="16"/>
              </w:rPr>
              <w:t xml:space="preserve"> у </w:t>
            </w:r>
            <w:proofErr w:type="spellStart"/>
            <w:r w:rsidRPr="00E16672">
              <w:rPr>
                <w:rFonts w:ascii="Times New Roman" w:hAnsi="Times New Roman"/>
                <w:sz w:val="16"/>
                <w:szCs w:val="16"/>
              </w:rPr>
              <w:t>системі</w:t>
            </w:r>
            <w:proofErr w:type="spellEnd"/>
            <w:r w:rsidRPr="00E16672">
              <w:rPr>
                <w:rFonts w:ascii="Times New Roman" w:hAnsi="Times New Roman"/>
                <w:sz w:val="16"/>
                <w:szCs w:val="16"/>
              </w:rPr>
              <w:t xml:space="preserve"> депозитарного </w:t>
            </w:r>
            <w:proofErr w:type="spellStart"/>
            <w:r w:rsidRPr="00E16672">
              <w:rPr>
                <w:rFonts w:ascii="Times New Roman" w:hAnsi="Times New Roman"/>
                <w:sz w:val="16"/>
                <w:szCs w:val="16"/>
              </w:rPr>
              <w:t>обліку</w:t>
            </w:r>
            <w:proofErr w:type="spellEnd"/>
            <w:r w:rsidRPr="00E16672">
              <w:rPr>
                <w:rFonts w:ascii="Times New Roman" w:hAnsi="Times New Roman"/>
                <w:sz w:val="16"/>
                <w:szCs w:val="16"/>
              </w:rPr>
              <w:t xml:space="preserve">, є </w:t>
            </w:r>
            <w:proofErr w:type="spellStart"/>
            <w:r w:rsidRPr="00E16672">
              <w:rPr>
                <w:rFonts w:ascii="Times New Roman" w:hAnsi="Times New Roman"/>
                <w:sz w:val="16"/>
                <w:szCs w:val="16"/>
              </w:rPr>
              <w:t>інформацією</w:t>
            </w:r>
            <w:proofErr w:type="spellEnd"/>
            <w:r w:rsidRPr="00E16672">
              <w:rPr>
                <w:rFonts w:ascii="Times New Roman" w:hAnsi="Times New Roman"/>
                <w:sz w:val="16"/>
                <w:szCs w:val="16"/>
              </w:rPr>
              <w:t xml:space="preserve"> з </w:t>
            </w:r>
            <w:proofErr w:type="spellStart"/>
            <w:r w:rsidRPr="00E16672">
              <w:rPr>
                <w:rFonts w:ascii="Times New Roman" w:hAnsi="Times New Roman"/>
                <w:sz w:val="16"/>
                <w:szCs w:val="16"/>
              </w:rPr>
              <w:t>обмеженим</w:t>
            </w:r>
            <w:proofErr w:type="spellEnd"/>
            <w:r w:rsidRPr="00E16672">
              <w:rPr>
                <w:rFonts w:ascii="Times New Roman" w:hAnsi="Times New Roman"/>
                <w:sz w:val="16"/>
                <w:szCs w:val="16"/>
              </w:rPr>
              <w:t xml:space="preserve"> доступом, </w:t>
            </w:r>
            <w:proofErr w:type="spellStart"/>
            <w:r w:rsidRPr="00E16672">
              <w:rPr>
                <w:rFonts w:ascii="Times New Roman" w:hAnsi="Times New Roman"/>
                <w:sz w:val="16"/>
                <w:szCs w:val="16"/>
              </w:rPr>
              <w:t>охороняється</w:t>
            </w:r>
            <w:proofErr w:type="spellEnd"/>
            <w:r w:rsidRPr="00E16672">
              <w:rPr>
                <w:rFonts w:ascii="Times New Roman" w:hAnsi="Times New Roman"/>
                <w:sz w:val="16"/>
                <w:szCs w:val="16"/>
              </w:rPr>
              <w:t xml:space="preserve"> законом та не </w:t>
            </w:r>
            <w:proofErr w:type="spellStart"/>
            <w:r w:rsidRPr="00E16672">
              <w:rPr>
                <w:rFonts w:ascii="Times New Roman" w:hAnsi="Times New Roman"/>
                <w:sz w:val="16"/>
                <w:szCs w:val="16"/>
              </w:rPr>
              <w:t>підлягає</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розголошенню</w:t>
            </w:r>
            <w:proofErr w:type="spellEnd"/>
            <w:r w:rsidRPr="00E16672">
              <w:rPr>
                <w:rFonts w:ascii="Times New Roman" w:hAnsi="Times New Roman"/>
                <w:sz w:val="16"/>
                <w:szCs w:val="16"/>
              </w:rPr>
              <w:t xml:space="preserve"> Депозитарною </w:t>
            </w:r>
            <w:proofErr w:type="spellStart"/>
            <w:r w:rsidRPr="00E16672">
              <w:rPr>
                <w:rFonts w:ascii="Times New Roman" w:hAnsi="Times New Roman"/>
                <w:sz w:val="16"/>
                <w:szCs w:val="16"/>
              </w:rPr>
              <w:t>установою</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крім</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випадків</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передбачених</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статтею</w:t>
            </w:r>
            <w:proofErr w:type="spellEnd"/>
            <w:r w:rsidRPr="00E16672">
              <w:rPr>
                <w:rFonts w:ascii="Times New Roman" w:hAnsi="Times New Roman"/>
                <w:sz w:val="16"/>
                <w:szCs w:val="16"/>
              </w:rPr>
              <w:t xml:space="preserve"> 25 Закону </w:t>
            </w:r>
            <w:proofErr w:type="spellStart"/>
            <w:r w:rsidRPr="00E16672">
              <w:rPr>
                <w:rFonts w:ascii="Times New Roman" w:hAnsi="Times New Roman"/>
                <w:sz w:val="16"/>
                <w:szCs w:val="16"/>
              </w:rPr>
              <w:t>України</w:t>
            </w:r>
            <w:proofErr w:type="spellEnd"/>
            <w:r w:rsidRPr="00E16672">
              <w:rPr>
                <w:rFonts w:ascii="Times New Roman" w:hAnsi="Times New Roman"/>
                <w:sz w:val="16"/>
                <w:szCs w:val="16"/>
              </w:rPr>
              <w:t xml:space="preserve"> </w:t>
            </w:r>
            <w:r w:rsidR="00022F5F">
              <w:rPr>
                <w:rFonts w:ascii="Times New Roman" w:hAnsi="Times New Roman"/>
                <w:sz w:val="16"/>
                <w:szCs w:val="16"/>
              </w:rPr>
              <w:t>"</w:t>
            </w:r>
            <w:r w:rsidRPr="00E16672">
              <w:rPr>
                <w:rFonts w:ascii="Times New Roman" w:hAnsi="Times New Roman"/>
                <w:sz w:val="16"/>
                <w:szCs w:val="16"/>
              </w:rPr>
              <w:t xml:space="preserve">Про </w:t>
            </w:r>
            <w:proofErr w:type="spellStart"/>
            <w:r w:rsidRPr="00E16672">
              <w:rPr>
                <w:rFonts w:ascii="Times New Roman" w:hAnsi="Times New Roman"/>
                <w:sz w:val="16"/>
                <w:szCs w:val="16"/>
              </w:rPr>
              <w:t>депозитарну</w:t>
            </w:r>
            <w:proofErr w:type="spellEnd"/>
            <w:r w:rsidRPr="00E16672">
              <w:rPr>
                <w:rFonts w:ascii="Times New Roman" w:hAnsi="Times New Roman"/>
                <w:sz w:val="16"/>
                <w:szCs w:val="16"/>
              </w:rPr>
              <w:t xml:space="preserve"> систему </w:t>
            </w:r>
            <w:proofErr w:type="spellStart"/>
            <w:r w:rsidRPr="00E16672">
              <w:rPr>
                <w:rFonts w:ascii="Times New Roman" w:hAnsi="Times New Roman"/>
                <w:sz w:val="16"/>
                <w:szCs w:val="16"/>
              </w:rPr>
              <w:t>України</w:t>
            </w:r>
            <w:proofErr w:type="spellEnd"/>
            <w:r w:rsidR="00022F5F">
              <w:rPr>
                <w:rFonts w:ascii="Times New Roman" w:hAnsi="Times New Roman"/>
                <w:sz w:val="16"/>
                <w:szCs w:val="16"/>
              </w:rPr>
              <w:t>"</w:t>
            </w:r>
            <w:r w:rsidRPr="00E16672">
              <w:rPr>
                <w:rFonts w:ascii="Times New Roman" w:hAnsi="Times New Roman"/>
                <w:sz w:val="16"/>
                <w:szCs w:val="16"/>
              </w:rPr>
              <w:t>.</w:t>
            </w:r>
          </w:p>
          <w:p w14:paraId="66729319" w14:textId="77777777" w:rsidR="00EB25FE" w:rsidRPr="00E16672" w:rsidRDefault="00EB25FE" w:rsidP="00794B3F">
            <w:pPr>
              <w:ind w:left="175" w:right="138" w:firstLine="7"/>
              <w:rPr>
                <w:rFonts w:ascii="Times New Roman" w:hAnsi="Times New Roman"/>
                <w:sz w:val="16"/>
                <w:szCs w:val="16"/>
              </w:rPr>
            </w:pPr>
          </w:p>
        </w:tc>
        <w:tc>
          <w:tcPr>
            <w:tcW w:w="5495" w:type="dxa"/>
            <w:gridSpan w:val="8"/>
            <w:shd w:val="clear" w:color="auto" w:fill="auto"/>
          </w:tcPr>
          <w:p w14:paraId="54820D42" w14:textId="77777777" w:rsidR="00EB25FE" w:rsidRPr="00E16672" w:rsidRDefault="00EB25FE" w:rsidP="00794B3F">
            <w:pPr>
              <w:tabs>
                <w:tab w:val="left" w:pos="287"/>
              </w:tabs>
              <w:snapToGrid w:val="0"/>
              <w:ind w:left="145" w:right="100" w:firstLine="7"/>
              <w:jc w:val="center"/>
              <w:rPr>
                <w:rFonts w:ascii="Times New Roman" w:hAnsi="Times New Roman"/>
              </w:rPr>
            </w:pPr>
          </w:p>
          <w:p w14:paraId="1C437B64" w14:textId="77777777" w:rsidR="00EB25FE" w:rsidRPr="00E16672" w:rsidRDefault="00EB25FE" w:rsidP="00794B3F">
            <w:pPr>
              <w:tabs>
                <w:tab w:val="left" w:pos="287"/>
              </w:tabs>
              <w:snapToGrid w:val="0"/>
              <w:ind w:left="145" w:right="100" w:firstLine="7"/>
              <w:jc w:val="center"/>
              <w:rPr>
                <w:rFonts w:ascii="Times New Roman" w:hAnsi="Times New Roman"/>
                <w:b/>
                <w:caps/>
                <w:sz w:val="16"/>
                <w:szCs w:val="16"/>
                <w:lang w:val="en-GB"/>
              </w:rPr>
            </w:pPr>
            <w:r w:rsidRPr="00E16672">
              <w:rPr>
                <w:rFonts w:ascii="Times New Roman" w:hAnsi="Times New Roman"/>
                <w:b/>
                <w:caps/>
                <w:sz w:val="16"/>
                <w:szCs w:val="16"/>
                <w:lang w:val="en-GB"/>
              </w:rPr>
              <w:t>7. DISCLOSURE PROCEDURE THAT IS</w:t>
            </w:r>
            <w:r w:rsidRPr="00E16672">
              <w:rPr>
                <w:rFonts w:ascii="Times New Roman" w:hAnsi="Times New Roman"/>
                <w:b/>
                <w:caps/>
                <w:sz w:val="16"/>
                <w:szCs w:val="16"/>
                <w:lang w:val="en-US"/>
              </w:rPr>
              <w:t>an</w:t>
            </w:r>
            <w:r w:rsidRPr="00E16672">
              <w:rPr>
                <w:rFonts w:ascii="Times New Roman" w:hAnsi="Times New Roman"/>
                <w:b/>
                <w:caps/>
                <w:sz w:val="16"/>
                <w:szCs w:val="16"/>
                <w:lang w:val="en-GB"/>
              </w:rPr>
              <w:t xml:space="preserve"> information with limited access</w:t>
            </w:r>
          </w:p>
          <w:p w14:paraId="63E159B5" w14:textId="77777777" w:rsidR="00EB25FE" w:rsidRPr="00E16672" w:rsidRDefault="00EB25FE" w:rsidP="00794B3F">
            <w:pPr>
              <w:tabs>
                <w:tab w:val="left" w:pos="287"/>
              </w:tabs>
              <w:ind w:left="145" w:right="100" w:firstLine="7"/>
              <w:jc w:val="center"/>
              <w:rPr>
                <w:rFonts w:ascii="Times New Roman" w:hAnsi="Times New Roman"/>
                <w:b/>
                <w:caps/>
                <w:sz w:val="16"/>
                <w:szCs w:val="16"/>
                <w:lang w:val="en-US"/>
              </w:rPr>
            </w:pPr>
          </w:p>
          <w:p w14:paraId="573B5F4D" w14:textId="77777777" w:rsidR="00EB25FE" w:rsidRPr="00E16672" w:rsidRDefault="00EB25FE" w:rsidP="00022F5F">
            <w:pPr>
              <w:tabs>
                <w:tab w:val="left" w:pos="287"/>
              </w:tabs>
              <w:ind w:left="145" w:right="100" w:firstLine="7"/>
              <w:jc w:val="left"/>
              <w:rPr>
                <w:rFonts w:ascii="Times New Roman" w:hAnsi="Times New Roman"/>
                <w:sz w:val="16"/>
                <w:szCs w:val="16"/>
                <w:lang w:val="en-GB"/>
              </w:rPr>
            </w:pPr>
            <w:r w:rsidRPr="00E16672">
              <w:rPr>
                <w:rFonts w:ascii="Times New Roman" w:hAnsi="Times New Roman"/>
                <w:sz w:val="16"/>
                <w:szCs w:val="16"/>
                <w:lang w:val="en-GB"/>
              </w:rPr>
              <w:t>7.1. The information contained in the depository account</w:t>
            </w:r>
            <w:r w:rsidRPr="00E16672">
              <w:rPr>
                <w:rFonts w:ascii="Times New Roman" w:hAnsi="Times New Roman"/>
                <w:sz w:val="16"/>
                <w:szCs w:val="16"/>
                <w:lang w:val="en-US"/>
              </w:rPr>
              <w:t xml:space="preserve"> system</w:t>
            </w:r>
            <w:r w:rsidRPr="00E16672">
              <w:rPr>
                <w:rFonts w:ascii="Times New Roman" w:hAnsi="Times New Roman"/>
                <w:sz w:val="16"/>
                <w:szCs w:val="16"/>
                <w:lang w:val="en-GB"/>
              </w:rPr>
              <w:t xml:space="preserve"> is </w:t>
            </w:r>
            <w:r w:rsidRPr="00E16672">
              <w:rPr>
                <w:rFonts w:ascii="Times New Roman" w:hAnsi="Times New Roman"/>
                <w:sz w:val="16"/>
                <w:szCs w:val="16"/>
                <w:lang w:val="en-US"/>
              </w:rPr>
              <w:t>an</w:t>
            </w:r>
            <w:r w:rsidRPr="00E16672">
              <w:rPr>
                <w:rFonts w:ascii="Times New Roman" w:hAnsi="Times New Roman"/>
                <w:sz w:val="16"/>
                <w:szCs w:val="16"/>
                <w:lang w:val="en-GB"/>
              </w:rPr>
              <w:t xml:space="preserve"> information</w:t>
            </w:r>
            <w:r w:rsidRPr="00E16672">
              <w:rPr>
                <w:rFonts w:ascii="Times New Roman" w:hAnsi="Times New Roman"/>
                <w:sz w:val="16"/>
                <w:szCs w:val="16"/>
                <w:lang w:val="en-US"/>
              </w:rPr>
              <w:t xml:space="preserve"> with limited access</w:t>
            </w:r>
            <w:r w:rsidRPr="00E16672">
              <w:rPr>
                <w:rFonts w:ascii="Times New Roman" w:hAnsi="Times New Roman"/>
                <w:sz w:val="16"/>
                <w:szCs w:val="16"/>
                <w:lang w:val="en-GB"/>
              </w:rPr>
              <w:t xml:space="preserve">, protected by law, and will not be divulged by the </w:t>
            </w:r>
            <w:r w:rsidRPr="00E16672">
              <w:rPr>
                <w:rFonts w:ascii="Times New Roman" w:hAnsi="Times New Roman"/>
                <w:sz w:val="16"/>
                <w:szCs w:val="16"/>
                <w:lang w:val="en-US"/>
              </w:rPr>
              <w:t>D</w:t>
            </w:r>
            <w:proofErr w:type="spellStart"/>
            <w:r w:rsidRPr="00E16672">
              <w:rPr>
                <w:rFonts w:ascii="Times New Roman" w:hAnsi="Times New Roman"/>
                <w:sz w:val="16"/>
                <w:szCs w:val="16"/>
                <w:lang w:val="en-GB"/>
              </w:rPr>
              <w:t>epository</w:t>
            </w:r>
            <w:proofErr w:type="spellEnd"/>
            <w:r w:rsidRPr="00E16672">
              <w:rPr>
                <w:rFonts w:ascii="Times New Roman" w:hAnsi="Times New Roman"/>
                <w:sz w:val="16"/>
                <w:szCs w:val="16"/>
                <w:lang w:val="en-GB"/>
              </w:rPr>
              <w:t xml:space="preserve"> institution, except as provided in Article 25 of the Law of Ukraine </w:t>
            </w:r>
            <w:r w:rsidR="00022F5F">
              <w:rPr>
                <w:rFonts w:ascii="Times New Roman" w:hAnsi="Times New Roman"/>
                <w:sz w:val="16"/>
                <w:szCs w:val="16"/>
                <w:lang w:val="uk-UA"/>
              </w:rPr>
              <w:t>"</w:t>
            </w:r>
            <w:r w:rsidRPr="00E16672">
              <w:rPr>
                <w:rFonts w:ascii="Times New Roman" w:hAnsi="Times New Roman"/>
                <w:sz w:val="16"/>
                <w:szCs w:val="16"/>
                <w:lang w:val="en-GB"/>
              </w:rPr>
              <w:t>On the Depository System of Ukraine</w:t>
            </w:r>
            <w:r w:rsidR="00022F5F">
              <w:rPr>
                <w:rFonts w:ascii="Times New Roman" w:hAnsi="Times New Roman"/>
                <w:sz w:val="16"/>
                <w:szCs w:val="16"/>
                <w:lang w:val="uk-UA"/>
              </w:rPr>
              <w:t>"</w:t>
            </w:r>
            <w:r w:rsidR="00E357FB" w:rsidRPr="00E16672">
              <w:rPr>
                <w:rFonts w:ascii="Times New Roman" w:hAnsi="Times New Roman"/>
                <w:sz w:val="16"/>
                <w:szCs w:val="16"/>
                <w:lang w:val="en-GB"/>
              </w:rPr>
              <w:t>.</w:t>
            </w:r>
          </w:p>
        </w:tc>
      </w:tr>
      <w:tr w:rsidR="00EB25FE" w:rsidRPr="00A26EFC" w14:paraId="415F9FDC" w14:textId="77777777" w:rsidTr="00FA3078">
        <w:tblPrEx>
          <w:tblCellMar>
            <w:left w:w="0" w:type="dxa"/>
            <w:right w:w="0" w:type="dxa"/>
          </w:tblCellMar>
        </w:tblPrEx>
        <w:trPr>
          <w:trHeight w:val="192"/>
        </w:trPr>
        <w:tc>
          <w:tcPr>
            <w:tcW w:w="5695" w:type="dxa"/>
            <w:gridSpan w:val="7"/>
            <w:shd w:val="clear" w:color="auto" w:fill="auto"/>
          </w:tcPr>
          <w:p w14:paraId="4729B7D6" w14:textId="77777777" w:rsidR="00EB25FE" w:rsidRPr="00E16672" w:rsidRDefault="00EB25FE" w:rsidP="00794B3F">
            <w:pPr>
              <w:snapToGrid w:val="0"/>
              <w:ind w:left="175" w:right="138" w:firstLine="7"/>
              <w:rPr>
                <w:rFonts w:ascii="Times New Roman" w:hAnsi="Times New Roman"/>
                <w:sz w:val="16"/>
                <w:szCs w:val="16"/>
              </w:rPr>
            </w:pPr>
            <w:r w:rsidRPr="00E16672">
              <w:rPr>
                <w:rFonts w:ascii="Times New Roman" w:hAnsi="Times New Roman"/>
                <w:sz w:val="16"/>
                <w:szCs w:val="16"/>
              </w:rPr>
              <w:t xml:space="preserve">7.2. </w:t>
            </w:r>
            <w:proofErr w:type="spellStart"/>
            <w:r w:rsidRPr="00E16672">
              <w:rPr>
                <w:rFonts w:ascii="Times New Roman" w:hAnsi="Times New Roman"/>
                <w:sz w:val="16"/>
                <w:szCs w:val="16"/>
              </w:rPr>
              <w:t>Інформація</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що</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міститься</w:t>
            </w:r>
            <w:proofErr w:type="spellEnd"/>
            <w:r w:rsidRPr="00E16672">
              <w:rPr>
                <w:rFonts w:ascii="Times New Roman" w:hAnsi="Times New Roman"/>
                <w:sz w:val="16"/>
                <w:szCs w:val="16"/>
              </w:rPr>
              <w:t xml:space="preserve"> у </w:t>
            </w:r>
            <w:proofErr w:type="spellStart"/>
            <w:r w:rsidRPr="00E16672">
              <w:rPr>
                <w:rFonts w:ascii="Times New Roman" w:hAnsi="Times New Roman"/>
                <w:sz w:val="16"/>
                <w:szCs w:val="16"/>
              </w:rPr>
              <w:t>системі</w:t>
            </w:r>
            <w:proofErr w:type="spellEnd"/>
            <w:r w:rsidRPr="00E16672">
              <w:rPr>
                <w:rFonts w:ascii="Times New Roman" w:hAnsi="Times New Roman"/>
                <w:sz w:val="16"/>
                <w:szCs w:val="16"/>
              </w:rPr>
              <w:t xml:space="preserve"> депозитарного </w:t>
            </w:r>
            <w:proofErr w:type="spellStart"/>
            <w:r w:rsidRPr="00E16672">
              <w:rPr>
                <w:rFonts w:ascii="Times New Roman" w:hAnsi="Times New Roman"/>
                <w:sz w:val="16"/>
                <w:szCs w:val="16"/>
              </w:rPr>
              <w:t>обліку</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надається</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власнику</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інформації</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або</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його</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представникові</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відповідно</w:t>
            </w:r>
            <w:proofErr w:type="spellEnd"/>
            <w:r w:rsidRPr="00E16672">
              <w:rPr>
                <w:rFonts w:ascii="Times New Roman" w:hAnsi="Times New Roman"/>
                <w:sz w:val="16"/>
                <w:szCs w:val="16"/>
              </w:rPr>
              <w:t xml:space="preserve"> до умов Договору, </w:t>
            </w:r>
            <w:proofErr w:type="spellStart"/>
            <w:r w:rsidRPr="00E16672">
              <w:rPr>
                <w:rFonts w:ascii="Times New Roman" w:hAnsi="Times New Roman"/>
                <w:sz w:val="16"/>
                <w:szCs w:val="16"/>
              </w:rPr>
              <w:t>або</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іншим</w:t>
            </w:r>
            <w:proofErr w:type="spellEnd"/>
            <w:r w:rsidRPr="00E16672">
              <w:rPr>
                <w:rFonts w:ascii="Times New Roman" w:hAnsi="Times New Roman"/>
                <w:sz w:val="16"/>
                <w:szCs w:val="16"/>
              </w:rPr>
              <w:t xml:space="preserve"> особам у </w:t>
            </w:r>
            <w:proofErr w:type="spellStart"/>
            <w:r w:rsidRPr="00E16672">
              <w:rPr>
                <w:rFonts w:ascii="Times New Roman" w:hAnsi="Times New Roman"/>
                <w:sz w:val="16"/>
                <w:szCs w:val="16"/>
              </w:rPr>
              <w:t>передбачених</w:t>
            </w:r>
            <w:proofErr w:type="spellEnd"/>
            <w:r w:rsidRPr="00E16672">
              <w:rPr>
                <w:rFonts w:ascii="Times New Roman" w:hAnsi="Times New Roman"/>
                <w:sz w:val="16"/>
                <w:szCs w:val="16"/>
              </w:rPr>
              <w:t xml:space="preserve"> законом </w:t>
            </w:r>
            <w:proofErr w:type="spellStart"/>
            <w:r w:rsidRPr="00E16672">
              <w:rPr>
                <w:rFonts w:ascii="Times New Roman" w:hAnsi="Times New Roman"/>
                <w:sz w:val="16"/>
                <w:szCs w:val="16"/>
              </w:rPr>
              <w:t>випадках</w:t>
            </w:r>
            <w:proofErr w:type="spellEnd"/>
            <w:r w:rsidRPr="00E16672">
              <w:rPr>
                <w:rFonts w:ascii="Times New Roman" w:hAnsi="Times New Roman"/>
                <w:sz w:val="16"/>
                <w:szCs w:val="16"/>
              </w:rPr>
              <w:t>.</w:t>
            </w:r>
          </w:p>
          <w:p w14:paraId="267E61CA" w14:textId="77777777" w:rsidR="00EB25FE" w:rsidRPr="00E16672" w:rsidRDefault="00EB25FE" w:rsidP="00794B3F">
            <w:pPr>
              <w:snapToGrid w:val="0"/>
              <w:ind w:left="175" w:right="138" w:firstLine="7"/>
              <w:rPr>
                <w:rFonts w:ascii="Times New Roman" w:hAnsi="Times New Roman"/>
                <w:sz w:val="16"/>
                <w:szCs w:val="16"/>
              </w:rPr>
            </w:pPr>
          </w:p>
        </w:tc>
        <w:tc>
          <w:tcPr>
            <w:tcW w:w="5495" w:type="dxa"/>
            <w:gridSpan w:val="8"/>
            <w:shd w:val="clear" w:color="auto" w:fill="auto"/>
          </w:tcPr>
          <w:p w14:paraId="597A3C14" w14:textId="77777777" w:rsidR="00EB25FE" w:rsidRPr="00E16672" w:rsidRDefault="00EB25FE" w:rsidP="00794B3F">
            <w:pPr>
              <w:tabs>
                <w:tab w:val="left" w:pos="287"/>
              </w:tabs>
              <w:snapToGrid w:val="0"/>
              <w:ind w:left="145" w:right="100" w:firstLine="7"/>
              <w:rPr>
                <w:rFonts w:ascii="Times New Roman" w:hAnsi="Times New Roman"/>
                <w:sz w:val="16"/>
                <w:szCs w:val="16"/>
                <w:lang w:val="en-GB"/>
              </w:rPr>
            </w:pPr>
            <w:r w:rsidRPr="00E16672">
              <w:rPr>
                <w:rFonts w:ascii="Times New Roman" w:hAnsi="Times New Roman"/>
                <w:sz w:val="16"/>
                <w:szCs w:val="16"/>
                <w:lang w:val="en-GB"/>
              </w:rPr>
              <w:t>7.2. The information contained in the depository account</w:t>
            </w:r>
            <w:r w:rsidRPr="00E16672">
              <w:rPr>
                <w:rFonts w:ascii="Times New Roman" w:hAnsi="Times New Roman"/>
                <w:sz w:val="16"/>
                <w:szCs w:val="16"/>
                <w:lang w:val="en-US"/>
              </w:rPr>
              <w:t xml:space="preserve"> system</w:t>
            </w:r>
            <w:r w:rsidRPr="00E16672">
              <w:rPr>
                <w:rFonts w:ascii="Times New Roman" w:hAnsi="Times New Roman"/>
                <w:sz w:val="16"/>
                <w:szCs w:val="16"/>
                <w:lang w:val="en-GB"/>
              </w:rPr>
              <w:t xml:space="preserve"> </w:t>
            </w:r>
            <w:r w:rsidRPr="00E16672">
              <w:rPr>
                <w:rFonts w:ascii="Times New Roman" w:hAnsi="Times New Roman"/>
                <w:sz w:val="16"/>
                <w:szCs w:val="16"/>
                <w:lang w:val="en-US"/>
              </w:rPr>
              <w:t xml:space="preserve">  is </w:t>
            </w:r>
            <w:r w:rsidRPr="00E16672">
              <w:rPr>
                <w:rFonts w:ascii="Times New Roman" w:hAnsi="Times New Roman"/>
                <w:sz w:val="16"/>
                <w:szCs w:val="16"/>
                <w:lang w:val="en-GB"/>
              </w:rPr>
              <w:t>provided by the owner or his representative in accordance with the terms of the Agreement, or to other persons in accordance with the law.</w:t>
            </w:r>
          </w:p>
        </w:tc>
      </w:tr>
      <w:tr w:rsidR="00EB25FE" w:rsidRPr="00A26EFC" w14:paraId="69FE9D45" w14:textId="77777777" w:rsidTr="00FA3078">
        <w:tblPrEx>
          <w:tblCellMar>
            <w:left w:w="0" w:type="dxa"/>
            <w:right w:w="0" w:type="dxa"/>
          </w:tblCellMar>
        </w:tblPrEx>
        <w:trPr>
          <w:trHeight w:val="192"/>
        </w:trPr>
        <w:tc>
          <w:tcPr>
            <w:tcW w:w="5695" w:type="dxa"/>
            <w:gridSpan w:val="7"/>
            <w:shd w:val="clear" w:color="auto" w:fill="auto"/>
          </w:tcPr>
          <w:p w14:paraId="0C849789" w14:textId="77777777" w:rsidR="00EB25FE" w:rsidRPr="00E16672" w:rsidRDefault="00EB25FE" w:rsidP="00794B3F">
            <w:pPr>
              <w:snapToGrid w:val="0"/>
              <w:ind w:left="175" w:right="138" w:firstLine="7"/>
              <w:rPr>
                <w:rFonts w:ascii="Times New Roman" w:hAnsi="Times New Roman"/>
                <w:sz w:val="16"/>
                <w:szCs w:val="16"/>
              </w:rPr>
            </w:pPr>
            <w:r w:rsidRPr="00E16672">
              <w:rPr>
                <w:rFonts w:ascii="Times New Roman" w:hAnsi="Times New Roman"/>
                <w:sz w:val="16"/>
                <w:szCs w:val="16"/>
              </w:rPr>
              <w:t xml:space="preserve">7.3. </w:t>
            </w:r>
            <w:proofErr w:type="spellStart"/>
            <w:r w:rsidRPr="00E16672">
              <w:rPr>
                <w:rFonts w:ascii="Times New Roman" w:hAnsi="Times New Roman"/>
                <w:sz w:val="16"/>
                <w:szCs w:val="16"/>
              </w:rPr>
              <w:t>Депозитарна</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установа</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забезпечує</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нерозголошення</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інформації</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що</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міститься</w:t>
            </w:r>
            <w:proofErr w:type="spellEnd"/>
            <w:r w:rsidRPr="00E16672">
              <w:rPr>
                <w:rFonts w:ascii="Times New Roman" w:hAnsi="Times New Roman"/>
                <w:sz w:val="16"/>
                <w:szCs w:val="16"/>
              </w:rPr>
              <w:t xml:space="preserve"> у </w:t>
            </w:r>
            <w:proofErr w:type="spellStart"/>
            <w:r w:rsidRPr="00E16672">
              <w:rPr>
                <w:rFonts w:ascii="Times New Roman" w:hAnsi="Times New Roman"/>
                <w:sz w:val="16"/>
                <w:szCs w:val="16"/>
              </w:rPr>
              <w:t>системі</w:t>
            </w:r>
            <w:proofErr w:type="spellEnd"/>
            <w:r w:rsidRPr="00E16672">
              <w:rPr>
                <w:rFonts w:ascii="Times New Roman" w:hAnsi="Times New Roman"/>
                <w:sz w:val="16"/>
                <w:szCs w:val="16"/>
              </w:rPr>
              <w:t xml:space="preserve"> депозитарного </w:t>
            </w:r>
            <w:proofErr w:type="spellStart"/>
            <w:r w:rsidRPr="00E16672">
              <w:rPr>
                <w:rFonts w:ascii="Times New Roman" w:hAnsi="Times New Roman"/>
                <w:sz w:val="16"/>
                <w:szCs w:val="16"/>
              </w:rPr>
              <w:t>обліку</w:t>
            </w:r>
            <w:proofErr w:type="spellEnd"/>
            <w:r w:rsidRPr="00E16672">
              <w:rPr>
                <w:rFonts w:ascii="Times New Roman" w:hAnsi="Times New Roman"/>
                <w:sz w:val="16"/>
                <w:szCs w:val="16"/>
              </w:rPr>
              <w:t>, шляхом:</w:t>
            </w:r>
          </w:p>
          <w:p w14:paraId="55B629BA" w14:textId="77777777" w:rsidR="00EB25FE" w:rsidRPr="00E16672" w:rsidRDefault="00EB25FE" w:rsidP="00794B3F">
            <w:pPr>
              <w:ind w:left="175" w:right="138" w:firstLine="7"/>
              <w:rPr>
                <w:rFonts w:ascii="Times New Roman" w:hAnsi="Times New Roman"/>
                <w:sz w:val="16"/>
                <w:szCs w:val="16"/>
              </w:rPr>
            </w:pPr>
            <w:r w:rsidRPr="00E16672">
              <w:rPr>
                <w:rFonts w:ascii="Times New Roman" w:hAnsi="Times New Roman"/>
                <w:sz w:val="16"/>
                <w:szCs w:val="16"/>
              </w:rPr>
              <w:t xml:space="preserve">1) </w:t>
            </w:r>
            <w:proofErr w:type="spellStart"/>
            <w:r w:rsidRPr="00E16672">
              <w:rPr>
                <w:rFonts w:ascii="Times New Roman" w:hAnsi="Times New Roman"/>
                <w:sz w:val="16"/>
                <w:szCs w:val="16"/>
              </w:rPr>
              <w:t>обмеження</w:t>
            </w:r>
            <w:proofErr w:type="spellEnd"/>
            <w:r w:rsidRPr="00E16672">
              <w:rPr>
                <w:rFonts w:ascii="Times New Roman" w:hAnsi="Times New Roman"/>
                <w:sz w:val="16"/>
                <w:szCs w:val="16"/>
              </w:rPr>
              <w:t xml:space="preserve"> кола </w:t>
            </w:r>
            <w:proofErr w:type="spellStart"/>
            <w:r w:rsidRPr="00E16672">
              <w:rPr>
                <w:rFonts w:ascii="Times New Roman" w:hAnsi="Times New Roman"/>
                <w:sz w:val="16"/>
                <w:szCs w:val="16"/>
              </w:rPr>
              <w:t>осіб</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які</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мають</w:t>
            </w:r>
            <w:proofErr w:type="spellEnd"/>
            <w:r w:rsidRPr="00E16672">
              <w:rPr>
                <w:rFonts w:ascii="Times New Roman" w:hAnsi="Times New Roman"/>
                <w:sz w:val="16"/>
                <w:szCs w:val="16"/>
              </w:rPr>
              <w:t xml:space="preserve"> доступ до </w:t>
            </w:r>
            <w:proofErr w:type="spellStart"/>
            <w:r w:rsidRPr="00E16672">
              <w:rPr>
                <w:rFonts w:ascii="Times New Roman" w:hAnsi="Times New Roman"/>
                <w:sz w:val="16"/>
                <w:szCs w:val="16"/>
              </w:rPr>
              <w:t>зазначеної</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інформації</w:t>
            </w:r>
            <w:proofErr w:type="spellEnd"/>
            <w:r w:rsidRPr="00E16672">
              <w:rPr>
                <w:rFonts w:ascii="Times New Roman" w:hAnsi="Times New Roman"/>
                <w:sz w:val="16"/>
                <w:szCs w:val="16"/>
              </w:rPr>
              <w:t>;</w:t>
            </w:r>
          </w:p>
          <w:p w14:paraId="486B9EEF" w14:textId="77777777" w:rsidR="00EB25FE" w:rsidRPr="00E16672" w:rsidRDefault="00EB25FE" w:rsidP="00794B3F">
            <w:pPr>
              <w:ind w:left="175" w:right="138" w:firstLine="7"/>
              <w:rPr>
                <w:rFonts w:ascii="Times New Roman" w:hAnsi="Times New Roman"/>
                <w:sz w:val="16"/>
                <w:szCs w:val="16"/>
              </w:rPr>
            </w:pPr>
            <w:r w:rsidRPr="00E16672">
              <w:rPr>
                <w:rFonts w:ascii="Times New Roman" w:hAnsi="Times New Roman"/>
                <w:sz w:val="16"/>
                <w:szCs w:val="16"/>
              </w:rPr>
              <w:t xml:space="preserve">2) </w:t>
            </w:r>
            <w:proofErr w:type="spellStart"/>
            <w:r w:rsidRPr="00E16672">
              <w:rPr>
                <w:rFonts w:ascii="Times New Roman" w:hAnsi="Times New Roman"/>
                <w:sz w:val="16"/>
                <w:szCs w:val="16"/>
              </w:rPr>
              <w:t>організації</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спеціального</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діловодства</w:t>
            </w:r>
            <w:proofErr w:type="spellEnd"/>
            <w:r w:rsidRPr="00E16672">
              <w:rPr>
                <w:rFonts w:ascii="Times New Roman" w:hAnsi="Times New Roman"/>
                <w:sz w:val="16"/>
                <w:szCs w:val="16"/>
              </w:rPr>
              <w:t xml:space="preserve"> у </w:t>
            </w:r>
            <w:proofErr w:type="spellStart"/>
            <w:r w:rsidRPr="00E16672">
              <w:rPr>
                <w:rFonts w:ascii="Times New Roman" w:hAnsi="Times New Roman"/>
                <w:sz w:val="16"/>
                <w:szCs w:val="16"/>
              </w:rPr>
              <w:t>системі</w:t>
            </w:r>
            <w:proofErr w:type="spellEnd"/>
            <w:r w:rsidRPr="00E16672">
              <w:rPr>
                <w:rFonts w:ascii="Times New Roman" w:hAnsi="Times New Roman"/>
                <w:sz w:val="16"/>
                <w:szCs w:val="16"/>
              </w:rPr>
              <w:t xml:space="preserve"> депозитарного </w:t>
            </w:r>
            <w:proofErr w:type="spellStart"/>
            <w:r w:rsidRPr="00E16672">
              <w:rPr>
                <w:rFonts w:ascii="Times New Roman" w:hAnsi="Times New Roman"/>
                <w:sz w:val="16"/>
                <w:szCs w:val="16"/>
              </w:rPr>
              <w:t>обліку</w:t>
            </w:r>
            <w:proofErr w:type="spellEnd"/>
            <w:r w:rsidRPr="00E16672">
              <w:rPr>
                <w:rFonts w:ascii="Times New Roman" w:hAnsi="Times New Roman"/>
                <w:sz w:val="16"/>
                <w:szCs w:val="16"/>
              </w:rPr>
              <w:t>;</w:t>
            </w:r>
          </w:p>
          <w:p w14:paraId="63BD12E9" w14:textId="77777777" w:rsidR="00EB25FE" w:rsidRPr="00E16672" w:rsidRDefault="00EB25FE" w:rsidP="00794B3F">
            <w:pPr>
              <w:ind w:left="175" w:right="138" w:firstLine="7"/>
              <w:rPr>
                <w:rFonts w:ascii="Times New Roman" w:hAnsi="Times New Roman"/>
                <w:sz w:val="16"/>
                <w:szCs w:val="16"/>
              </w:rPr>
            </w:pPr>
          </w:p>
          <w:p w14:paraId="678B578C" w14:textId="77777777" w:rsidR="00EB25FE" w:rsidRPr="00E16672" w:rsidRDefault="00EB25FE" w:rsidP="00794B3F">
            <w:pPr>
              <w:ind w:left="175" w:right="138" w:firstLine="7"/>
              <w:rPr>
                <w:rFonts w:ascii="Times New Roman" w:hAnsi="Times New Roman"/>
                <w:sz w:val="16"/>
                <w:szCs w:val="16"/>
              </w:rPr>
            </w:pPr>
            <w:r w:rsidRPr="00E16672">
              <w:rPr>
                <w:rFonts w:ascii="Times New Roman" w:hAnsi="Times New Roman"/>
                <w:sz w:val="16"/>
                <w:szCs w:val="16"/>
              </w:rPr>
              <w:t xml:space="preserve">3) </w:t>
            </w:r>
            <w:proofErr w:type="spellStart"/>
            <w:r w:rsidRPr="00E16672">
              <w:rPr>
                <w:rFonts w:ascii="Times New Roman" w:hAnsi="Times New Roman"/>
                <w:sz w:val="16"/>
                <w:szCs w:val="16"/>
              </w:rPr>
              <w:t>застосування</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технічних</w:t>
            </w:r>
            <w:proofErr w:type="spellEnd"/>
            <w:r w:rsidRPr="00E16672">
              <w:rPr>
                <w:rFonts w:ascii="Times New Roman" w:hAnsi="Times New Roman"/>
                <w:sz w:val="16"/>
                <w:szCs w:val="16"/>
              </w:rPr>
              <w:t xml:space="preserve"> та </w:t>
            </w:r>
            <w:proofErr w:type="spellStart"/>
            <w:r w:rsidRPr="00E16672">
              <w:rPr>
                <w:rFonts w:ascii="Times New Roman" w:hAnsi="Times New Roman"/>
                <w:sz w:val="16"/>
                <w:szCs w:val="16"/>
              </w:rPr>
              <w:t>програмних</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засобів</w:t>
            </w:r>
            <w:proofErr w:type="spellEnd"/>
            <w:r w:rsidRPr="00E16672">
              <w:rPr>
                <w:rFonts w:ascii="Times New Roman" w:hAnsi="Times New Roman"/>
                <w:sz w:val="16"/>
                <w:szCs w:val="16"/>
              </w:rPr>
              <w:t xml:space="preserve"> для </w:t>
            </w:r>
            <w:proofErr w:type="spellStart"/>
            <w:r w:rsidRPr="00E16672">
              <w:rPr>
                <w:rFonts w:ascii="Times New Roman" w:hAnsi="Times New Roman"/>
                <w:sz w:val="16"/>
                <w:szCs w:val="16"/>
              </w:rPr>
              <w:t>запобігання</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несанкціонованому</w:t>
            </w:r>
            <w:proofErr w:type="spellEnd"/>
            <w:r w:rsidRPr="00E16672">
              <w:rPr>
                <w:rFonts w:ascii="Times New Roman" w:hAnsi="Times New Roman"/>
                <w:sz w:val="16"/>
                <w:szCs w:val="16"/>
              </w:rPr>
              <w:t xml:space="preserve"> доступу до </w:t>
            </w:r>
            <w:proofErr w:type="spellStart"/>
            <w:r w:rsidRPr="00E16672">
              <w:rPr>
                <w:rFonts w:ascii="Times New Roman" w:hAnsi="Times New Roman"/>
                <w:sz w:val="16"/>
                <w:szCs w:val="16"/>
              </w:rPr>
              <w:t>носіїв</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такої</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інформації</w:t>
            </w:r>
            <w:proofErr w:type="spellEnd"/>
            <w:r w:rsidRPr="00E16672">
              <w:rPr>
                <w:rFonts w:ascii="Times New Roman" w:hAnsi="Times New Roman"/>
                <w:sz w:val="16"/>
                <w:szCs w:val="16"/>
              </w:rPr>
              <w:t>.</w:t>
            </w:r>
          </w:p>
          <w:p w14:paraId="67AA8D11" w14:textId="77777777" w:rsidR="00EB25FE" w:rsidRPr="00E16672" w:rsidRDefault="00EB25FE" w:rsidP="00794B3F">
            <w:pPr>
              <w:snapToGrid w:val="0"/>
              <w:ind w:left="175" w:right="138" w:firstLine="7"/>
              <w:rPr>
                <w:rFonts w:ascii="Times New Roman" w:hAnsi="Times New Roman"/>
                <w:sz w:val="16"/>
                <w:szCs w:val="16"/>
              </w:rPr>
            </w:pPr>
          </w:p>
        </w:tc>
        <w:tc>
          <w:tcPr>
            <w:tcW w:w="5495" w:type="dxa"/>
            <w:gridSpan w:val="8"/>
            <w:shd w:val="clear" w:color="auto" w:fill="auto"/>
          </w:tcPr>
          <w:p w14:paraId="14F2C502" w14:textId="77777777" w:rsidR="00EB25FE" w:rsidRPr="00E16672" w:rsidRDefault="00EB25FE" w:rsidP="00794B3F">
            <w:pPr>
              <w:tabs>
                <w:tab w:val="left" w:pos="287"/>
              </w:tabs>
              <w:snapToGrid w:val="0"/>
              <w:ind w:left="145" w:right="100" w:firstLine="7"/>
              <w:rPr>
                <w:rFonts w:ascii="Times New Roman" w:hAnsi="Times New Roman"/>
                <w:sz w:val="16"/>
                <w:szCs w:val="16"/>
                <w:lang w:val="en-GB"/>
              </w:rPr>
            </w:pPr>
            <w:r w:rsidRPr="00E16672">
              <w:rPr>
                <w:rFonts w:ascii="Times New Roman" w:hAnsi="Times New Roman"/>
                <w:sz w:val="16"/>
                <w:szCs w:val="16"/>
                <w:lang w:val="en-GB"/>
              </w:rPr>
              <w:t>7.3. Depository institution provides nondisclosure of the information contained in the depository account</w:t>
            </w:r>
            <w:r w:rsidRPr="00E16672">
              <w:rPr>
                <w:rFonts w:ascii="Times New Roman" w:hAnsi="Times New Roman"/>
                <w:sz w:val="16"/>
                <w:szCs w:val="16"/>
                <w:lang w:val="en-US"/>
              </w:rPr>
              <w:t xml:space="preserve"> system</w:t>
            </w:r>
            <w:r w:rsidRPr="00E16672">
              <w:rPr>
                <w:rFonts w:ascii="Times New Roman" w:hAnsi="Times New Roman"/>
                <w:sz w:val="16"/>
                <w:szCs w:val="16"/>
                <w:lang w:val="en-GB"/>
              </w:rPr>
              <w:t xml:space="preserve"> by:</w:t>
            </w:r>
          </w:p>
          <w:p w14:paraId="407C8C8F" w14:textId="77777777" w:rsidR="00EB25FE" w:rsidRPr="00E16672" w:rsidRDefault="00EB25FE" w:rsidP="00794B3F">
            <w:pPr>
              <w:tabs>
                <w:tab w:val="left" w:pos="287"/>
              </w:tabs>
              <w:snapToGrid w:val="0"/>
              <w:ind w:left="145" w:right="100" w:firstLine="7"/>
              <w:rPr>
                <w:rFonts w:ascii="Times New Roman" w:hAnsi="Times New Roman"/>
                <w:sz w:val="16"/>
                <w:szCs w:val="16"/>
                <w:lang w:val="en-GB"/>
              </w:rPr>
            </w:pPr>
            <w:r w:rsidRPr="00E16672">
              <w:rPr>
                <w:rFonts w:ascii="Times New Roman" w:hAnsi="Times New Roman"/>
                <w:sz w:val="16"/>
                <w:szCs w:val="16"/>
                <w:lang w:val="en-GB"/>
              </w:rPr>
              <w:t>1) reduce the number of people who have access to such information;</w:t>
            </w:r>
          </w:p>
          <w:p w14:paraId="05291196" w14:textId="77777777" w:rsidR="00EB25FE" w:rsidRPr="00E16672" w:rsidRDefault="00EB25FE" w:rsidP="00794B3F">
            <w:pPr>
              <w:tabs>
                <w:tab w:val="left" w:pos="287"/>
              </w:tabs>
              <w:snapToGrid w:val="0"/>
              <w:ind w:left="145" w:right="100" w:firstLine="7"/>
              <w:rPr>
                <w:rFonts w:ascii="Times New Roman" w:hAnsi="Times New Roman"/>
                <w:sz w:val="16"/>
                <w:szCs w:val="16"/>
                <w:lang w:val="en-GB"/>
              </w:rPr>
            </w:pPr>
            <w:r w:rsidRPr="00E16672">
              <w:rPr>
                <w:rFonts w:ascii="Times New Roman" w:hAnsi="Times New Roman"/>
                <w:sz w:val="16"/>
                <w:szCs w:val="16"/>
                <w:lang w:val="en-GB"/>
              </w:rPr>
              <w:t>2) the organization of a special case management in the depository account</w:t>
            </w:r>
            <w:r w:rsidRPr="00E16672">
              <w:rPr>
                <w:rFonts w:ascii="Times New Roman" w:hAnsi="Times New Roman"/>
                <w:sz w:val="16"/>
                <w:szCs w:val="16"/>
                <w:lang w:val="en-US"/>
              </w:rPr>
              <w:t xml:space="preserve"> system</w:t>
            </w:r>
            <w:r w:rsidRPr="00E16672">
              <w:rPr>
                <w:rFonts w:ascii="Times New Roman" w:hAnsi="Times New Roman"/>
                <w:sz w:val="16"/>
                <w:szCs w:val="16"/>
                <w:lang w:val="en-GB"/>
              </w:rPr>
              <w:t>;</w:t>
            </w:r>
          </w:p>
          <w:p w14:paraId="13944D7C" w14:textId="77777777" w:rsidR="00EB25FE" w:rsidRPr="00E16672" w:rsidRDefault="00EB25FE" w:rsidP="00794B3F">
            <w:pPr>
              <w:tabs>
                <w:tab w:val="left" w:pos="287"/>
              </w:tabs>
              <w:snapToGrid w:val="0"/>
              <w:ind w:left="145" w:right="100" w:firstLine="7"/>
              <w:rPr>
                <w:rFonts w:ascii="Times New Roman" w:hAnsi="Times New Roman"/>
                <w:sz w:val="16"/>
                <w:szCs w:val="16"/>
                <w:lang w:val="en-GB"/>
              </w:rPr>
            </w:pPr>
            <w:r w:rsidRPr="00E16672">
              <w:rPr>
                <w:rFonts w:ascii="Times New Roman" w:hAnsi="Times New Roman"/>
                <w:sz w:val="16"/>
                <w:szCs w:val="16"/>
                <w:lang w:val="en-GB"/>
              </w:rPr>
              <w:t>3) the use of hardware and software tools to prevent unauthorized access to its carriers.</w:t>
            </w:r>
          </w:p>
          <w:p w14:paraId="3B6D450B" w14:textId="77777777" w:rsidR="00EB25FE" w:rsidRPr="00E16672" w:rsidRDefault="00EB25FE" w:rsidP="00794B3F">
            <w:pPr>
              <w:tabs>
                <w:tab w:val="left" w:pos="287"/>
              </w:tabs>
              <w:ind w:left="145" w:right="100" w:firstLine="7"/>
              <w:rPr>
                <w:rFonts w:ascii="Times New Roman" w:hAnsi="Times New Roman"/>
                <w:sz w:val="16"/>
                <w:szCs w:val="16"/>
                <w:lang w:val="en-US"/>
              </w:rPr>
            </w:pPr>
          </w:p>
        </w:tc>
      </w:tr>
      <w:tr w:rsidR="00EB25FE" w:rsidRPr="00A26EFC" w14:paraId="777A4EA9" w14:textId="77777777" w:rsidTr="00FA3078">
        <w:tblPrEx>
          <w:tblCellMar>
            <w:left w:w="0" w:type="dxa"/>
            <w:right w:w="0" w:type="dxa"/>
          </w:tblCellMar>
        </w:tblPrEx>
        <w:trPr>
          <w:trHeight w:val="192"/>
        </w:trPr>
        <w:tc>
          <w:tcPr>
            <w:tcW w:w="5695" w:type="dxa"/>
            <w:gridSpan w:val="7"/>
            <w:shd w:val="clear" w:color="auto" w:fill="auto"/>
          </w:tcPr>
          <w:p w14:paraId="67E45DF2" w14:textId="77777777" w:rsidR="00EB25FE" w:rsidRPr="00E16672" w:rsidRDefault="00EB25FE" w:rsidP="00022F5F">
            <w:pPr>
              <w:snapToGrid w:val="0"/>
              <w:ind w:left="175" w:right="138" w:firstLine="7"/>
              <w:jc w:val="left"/>
              <w:rPr>
                <w:rFonts w:ascii="Times New Roman" w:hAnsi="Times New Roman"/>
                <w:sz w:val="16"/>
                <w:szCs w:val="16"/>
                <w:lang w:val="en-US"/>
              </w:rPr>
            </w:pPr>
            <w:r w:rsidRPr="00E16672">
              <w:rPr>
                <w:rFonts w:ascii="Times New Roman" w:hAnsi="Times New Roman"/>
                <w:sz w:val="16"/>
                <w:szCs w:val="16"/>
                <w:lang w:val="en-US"/>
              </w:rPr>
              <w:t xml:space="preserve">7.4. </w:t>
            </w:r>
            <w:proofErr w:type="spellStart"/>
            <w:r w:rsidRPr="00E16672">
              <w:rPr>
                <w:rFonts w:ascii="Times New Roman" w:hAnsi="Times New Roman"/>
                <w:sz w:val="16"/>
                <w:szCs w:val="16"/>
              </w:rPr>
              <w:t>Депозитарна</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установа</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надає</w:t>
            </w:r>
            <w:proofErr w:type="spellEnd"/>
            <w:r w:rsidRPr="00E16672">
              <w:rPr>
                <w:rFonts w:ascii="Times New Roman" w:hAnsi="Times New Roman"/>
                <w:sz w:val="16"/>
                <w:szCs w:val="16"/>
                <w:lang w:val="en-US"/>
              </w:rPr>
              <w:t xml:space="preserve"> </w:t>
            </w:r>
            <w:r w:rsidRPr="00E16672">
              <w:rPr>
                <w:rFonts w:ascii="Times New Roman" w:hAnsi="Times New Roman"/>
                <w:sz w:val="16"/>
                <w:szCs w:val="16"/>
              </w:rPr>
              <w:t>Центральному</w:t>
            </w:r>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депозитарію</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цінних</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паперів</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іншім</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учасникам</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депозитарної</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системи</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відповідно</w:t>
            </w:r>
            <w:proofErr w:type="spellEnd"/>
            <w:r w:rsidRPr="00E16672">
              <w:rPr>
                <w:rFonts w:ascii="Times New Roman" w:hAnsi="Times New Roman"/>
                <w:sz w:val="16"/>
                <w:szCs w:val="16"/>
                <w:lang w:val="en-US"/>
              </w:rPr>
              <w:t xml:space="preserve"> </w:t>
            </w:r>
            <w:r w:rsidRPr="00E16672">
              <w:rPr>
                <w:rFonts w:ascii="Times New Roman" w:hAnsi="Times New Roman"/>
                <w:sz w:val="16"/>
                <w:szCs w:val="16"/>
              </w:rPr>
              <w:t>до</w:t>
            </w:r>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вимог</w:t>
            </w:r>
            <w:proofErr w:type="spellEnd"/>
            <w:r w:rsidRPr="00E16672">
              <w:rPr>
                <w:rFonts w:ascii="Times New Roman" w:hAnsi="Times New Roman"/>
                <w:sz w:val="16"/>
                <w:szCs w:val="16"/>
                <w:lang w:val="en-US"/>
              </w:rPr>
              <w:t xml:space="preserve"> </w:t>
            </w:r>
            <w:r w:rsidRPr="00E16672">
              <w:rPr>
                <w:rFonts w:ascii="Times New Roman" w:hAnsi="Times New Roman"/>
                <w:sz w:val="16"/>
                <w:szCs w:val="16"/>
              </w:rPr>
              <w:t>чинного</w:t>
            </w:r>
            <w:r w:rsidRPr="00E16672">
              <w:rPr>
                <w:rFonts w:ascii="Times New Roman" w:hAnsi="Times New Roman"/>
                <w:sz w:val="16"/>
                <w:szCs w:val="16"/>
                <w:lang w:val="en-US"/>
              </w:rPr>
              <w:t xml:space="preserve"> </w:t>
            </w:r>
            <w:proofErr w:type="spellStart"/>
            <w:r w:rsidR="00F6110B" w:rsidRPr="00E16672">
              <w:rPr>
                <w:rFonts w:ascii="Times New Roman" w:hAnsi="Times New Roman"/>
                <w:sz w:val="16"/>
                <w:szCs w:val="16"/>
              </w:rPr>
              <w:t>законодавства</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інформацію</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щодо</w:t>
            </w:r>
            <w:proofErr w:type="spellEnd"/>
            <w:r w:rsidRPr="00E16672">
              <w:rPr>
                <w:rFonts w:ascii="Times New Roman" w:hAnsi="Times New Roman"/>
                <w:sz w:val="16"/>
                <w:szCs w:val="16"/>
                <w:lang w:val="en-US"/>
              </w:rPr>
              <w:t xml:space="preserve"> </w:t>
            </w:r>
            <w:proofErr w:type="spellStart"/>
            <w:r w:rsidR="00990A10" w:rsidRPr="00E16672">
              <w:rPr>
                <w:rFonts w:ascii="Times New Roman" w:hAnsi="Times New Roman"/>
                <w:sz w:val="16"/>
                <w:szCs w:val="16"/>
              </w:rPr>
              <w:t>Номінального</w:t>
            </w:r>
            <w:proofErr w:type="spellEnd"/>
            <w:r w:rsidR="00990A10" w:rsidRPr="00E16672">
              <w:rPr>
                <w:rFonts w:ascii="Times New Roman" w:hAnsi="Times New Roman"/>
                <w:sz w:val="16"/>
                <w:szCs w:val="16"/>
                <w:lang w:val="en-US"/>
              </w:rPr>
              <w:t xml:space="preserve"> </w:t>
            </w:r>
            <w:proofErr w:type="spellStart"/>
            <w:r w:rsidR="00990A10" w:rsidRPr="00E16672">
              <w:rPr>
                <w:rFonts w:ascii="Times New Roman" w:hAnsi="Times New Roman"/>
                <w:sz w:val="16"/>
                <w:szCs w:val="16"/>
              </w:rPr>
              <w:t>утримувача</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керуючого</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рахунком</w:t>
            </w:r>
            <w:proofErr w:type="spellEnd"/>
            <w:r w:rsidRPr="00E16672">
              <w:rPr>
                <w:rFonts w:ascii="Times New Roman" w:hAnsi="Times New Roman"/>
                <w:sz w:val="16"/>
                <w:szCs w:val="16"/>
                <w:lang w:val="en-US"/>
              </w:rPr>
              <w:t xml:space="preserve"> </w:t>
            </w:r>
            <w:r w:rsidR="00C22309" w:rsidRPr="00E16672">
              <w:rPr>
                <w:rFonts w:ascii="Times New Roman" w:hAnsi="Times New Roman"/>
                <w:sz w:val="16"/>
                <w:szCs w:val="16"/>
              </w:rPr>
              <w:t>в</w:t>
            </w:r>
            <w:r w:rsidR="00C22309" w:rsidRPr="00E16672">
              <w:rPr>
                <w:rFonts w:ascii="Times New Roman" w:hAnsi="Times New Roman"/>
                <w:sz w:val="16"/>
                <w:szCs w:val="16"/>
                <w:lang w:val="en-US"/>
              </w:rPr>
              <w:t xml:space="preserve"> </w:t>
            </w:r>
            <w:proofErr w:type="spellStart"/>
            <w:r w:rsidR="00C22309" w:rsidRPr="00E16672">
              <w:rPr>
                <w:rFonts w:ascii="Times New Roman" w:hAnsi="Times New Roman"/>
                <w:sz w:val="16"/>
                <w:szCs w:val="16"/>
              </w:rPr>
              <w:t>цін</w:t>
            </w:r>
            <w:r w:rsidRPr="00E16672">
              <w:rPr>
                <w:rFonts w:ascii="Times New Roman" w:hAnsi="Times New Roman"/>
                <w:sz w:val="16"/>
                <w:szCs w:val="16"/>
              </w:rPr>
              <w:t>них</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паперах</w:t>
            </w:r>
            <w:proofErr w:type="spellEnd"/>
            <w:r w:rsidRPr="00E16672">
              <w:rPr>
                <w:rFonts w:ascii="Times New Roman" w:hAnsi="Times New Roman"/>
                <w:sz w:val="16"/>
                <w:szCs w:val="16"/>
                <w:lang w:val="en-US"/>
              </w:rPr>
              <w:t xml:space="preserve"> </w:t>
            </w:r>
            <w:r w:rsidR="00C401F0" w:rsidRPr="00E16672">
              <w:rPr>
                <w:rFonts w:ascii="Times New Roman" w:hAnsi="Times New Roman"/>
                <w:sz w:val="16"/>
                <w:szCs w:val="16"/>
                <w:lang w:val="uk-UA"/>
              </w:rPr>
              <w:t>Номінального утримувача</w:t>
            </w:r>
            <w:r w:rsidRPr="00E16672">
              <w:rPr>
                <w:rFonts w:ascii="Times New Roman" w:hAnsi="Times New Roman"/>
                <w:sz w:val="16"/>
                <w:szCs w:val="16"/>
                <w:lang w:val="en-US"/>
              </w:rPr>
              <w:t xml:space="preserve"> </w:t>
            </w:r>
            <w:r w:rsidRPr="00E16672">
              <w:rPr>
                <w:rFonts w:ascii="Times New Roman" w:hAnsi="Times New Roman"/>
                <w:sz w:val="16"/>
                <w:szCs w:val="16"/>
              </w:rPr>
              <w:t>та</w:t>
            </w:r>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цінних</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паперів</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що</w:t>
            </w:r>
            <w:proofErr w:type="spellEnd"/>
            <w:r w:rsidRPr="00E16672">
              <w:rPr>
                <w:rFonts w:ascii="Times New Roman" w:hAnsi="Times New Roman"/>
                <w:sz w:val="16"/>
                <w:szCs w:val="16"/>
                <w:lang w:val="en-US"/>
              </w:rPr>
              <w:t xml:space="preserve"> </w:t>
            </w:r>
            <w:r w:rsidRPr="00E16672">
              <w:rPr>
                <w:rFonts w:ascii="Times New Roman" w:hAnsi="Times New Roman"/>
                <w:sz w:val="16"/>
                <w:szCs w:val="16"/>
              </w:rPr>
              <w:t>належать</w:t>
            </w:r>
            <w:r w:rsidRPr="00E16672">
              <w:rPr>
                <w:rFonts w:ascii="Times New Roman" w:hAnsi="Times New Roman"/>
                <w:sz w:val="16"/>
                <w:szCs w:val="16"/>
                <w:lang w:val="en-US"/>
              </w:rPr>
              <w:t xml:space="preserve"> </w:t>
            </w:r>
            <w:r w:rsidR="00990A10" w:rsidRPr="00E16672">
              <w:rPr>
                <w:rFonts w:ascii="Times New Roman" w:hAnsi="Times New Roman"/>
                <w:sz w:val="16"/>
                <w:szCs w:val="16"/>
                <w:lang w:val="uk-UA"/>
              </w:rPr>
              <w:t>Номінальному утримувачу</w:t>
            </w:r>
            <w:r w:rsidRPr="00E16672">
              <w:rPr>
                <w:rFonts w:ascii="Times New Roman" w:hAnsi="Times New Roman"/>
                <w:sz w:val="16"/>
                <w:szCs w:val="16"/>
                <w:lang w:val="en-US"/>
              </w:rPr>
              <w:t xml:space="preserve">, </w:t>
            </w:r>
            <w:r w:rsidRPr="00E16672">
              <w:rPr>
                <w:rFonts w:ascii="Times New Roman" w:hAnsi="Times New Roman"/>
                <w:sz w:val="16"/>
                <w:szCs w:val="16"/>
              </w:rPr>
              <w:t>яка</w:t>
            </w:r>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необхідна</w:t>
            </w:r>
            <w:proofErr w:type="spellEnd"/>
            <w:r w:rsidRPr="00E16672">
              <w:rPr>
                <w:rFonts w:ascii="Times New Roman" w:hAnsi="Times New Roman"/>
                <w:sz w:val="16"/>
                <w:szCs w:val="16"/>
                <w:lang w:val="en-US"/>
              </w:rPr>
              <w:t xml:space="preserve"> </w:t>
            </w:r>
            <w:r w:rsidRPr="00E16672">
              <w:rPr>
                <w:rFonts w:ascii="Times New Roman" w:hAnsi="Times New Roman"/>
                <w:sz w:val="16"/>
                <w:szCs w:val="16"/>
              </w:rPr>
              <w:t>для</w:t>
            </w:r>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здійснення</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розрахунків</w:t>
            </w:r>
            <w:proofErr w:type="spellEnd"/>
            <w:r w:rsidRPr="00E16672">
              <w:rPr>
                <w:rFonts w:ascii="Times New Roman" w:hAnsi="Times New Roman"/>
                <w:sz w:val="16"/>
                <w:szCs w:val="16"/>
                <w:lang w:val="en-US"/>
              </w:rPr>
              <w:t xml:space="preserve"> </w:t>
            </w:r>
            <w:r w:rsidRPr="00E16672">
              <w:rPr>
                <w:rFonts w:ascii="Times New Roman" w:hAnsi="Times New Roman"/>
                <w:sz w:val="16"/>
                <w:szCs w:val="16"/>
              </w:rPr>
              <w:t>за</w:t>
            </w:r>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правочинами</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щодо</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цінних</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паперів</w:t>
            </w:r>
            <w:proofErr w:type="spellEnd"/>
            <w:r w:rsidRPr="00E16672">
              <w:rPr>
                <w:rFonts w:ascii="Times New Roman" w:hAnsi="Times New Roman"/>
                <w:sz w:val="16"/>
                <w:szCs w:val="16"/>
                <w:lang w:val="en-US"/>
              </w:rPr>
              <w:t xml:space="preserve"> </w:t>
            </w:r>
            <w:r w:rsidRPr="00E16672">
              <w:rPr>
                <w:rFonts w:ascii="Times New Roman" w:hAnsi="Times New Roman"/>
                <w:sz w:val="16"/>
                <w:szCs w:val="16"/>
              </w:rPr>
              <w:t>з</w:t>
            </w:r>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дотриманням</w:t>
            </w:r>
            <w:proofErr w:type="spellEnd"/>
            <w:r w:rsidRPr="00E16672">
              <w:rPr>
                <w:rFonts w:ascii="Times New Roman" w:hAnsi="Times New Roman"/>
                <w:sz w:val="16"/>
                <w:szCs w:val="16"/>
                <w:lang w:val="en-US"/>
              </w:rPr>
              <w:t xml:space="preserve"> </w:t>
            </w:r>
            <w:r w:rsidRPr="00E16672">
              <w:rPr>
                <w:rFonts w:ascii="Times New Roman" w:hAnsi="Times New Roman"/>
                <w:sz w:val="16"/>
                <w:szCs w:val="16"/>
              </w:rPr>
              <w:t>принципу</w:t>
            </w:r>
            <w:r w:rsidRPr="00E16672">
              <w:rPr>
                <w:rFonts w:ascii="Times New Roman" w:hAnsi="Times New Roman"/>
                <w:sz w:val="16"/>
                <w:szCs w:val="16"/>
                <w:lang w:val="en-US"/>
              </w:rPr>
              <w:t xml:space="preserve"> </w:t>
            </w:r>
            <w:r w:rsidR="00022F5F">
              <w:rPr>
                <w:rFonts w:ascii="Times New Roman" w:hAnsi="Times New Roman"/>
                <w:sz w:val="16"/>
                <w:szCs w:val="16"/>
                <w:lang w:val="en-US"/>
              </w:rPr>
              <w:t>"</w:t>
            </w:r>
            <w:r w:rsidRPr="00E16672">
              <w:rPr>
                <w:rFonts w:ascii="Times New Roman" w:hAnsi="Times New Roman"/>
                <w:sz w:val="16"/>
                <w:szCs w:val="16"/>
              </w:rPr>
              <w:t>поставка</w:t>
            </w:r>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цінних</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паперів</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проти</w:t>
            </w:r>
            <w:proofErr w:type="spellEnd"/>
            <w:r w:rsidRPr="00E16672">
              <w:rPr>
                <w:rFonts w:ascii="Times New Roman" w:hAnsi="Times New Roman"/>
                <w:sz w:val="16"/>
                <w:szCs w:val="16"/>
                <w:lang w:val="en-US"/>
              </w:rPr>
              <w:t xml:space="preserve"> </w:t>
            </w:r>
            <w:r w:rsidRPr="00E16672">
              <w:rPr>
                <w:rFonts w:ascii="Times New Roman" w:hAnsi="Times New Roman"/>
                <w:sz w:val="16"/>
                <w:szCs w:val="16"/>
              </w:rPr>
              <w:t>оплати</w:t>
            </w:r>
            <w:r w:rsidR="00022F5F">
              <w:rPr>
                <w:rFonts w:ascii="Times New Roman" w:hAnsi="Times New Roman"/>
                <w:sz w:val="16"/>
                <w:szCs w:val="16"/>
                <w:lang w:val="en-US"/>
              </w:rPr>
              <w:t>"</w:t>
            </w:r>
            <w:r w:rsidRPr="00E16672">
              <w:rPr>
                <w:rFonts w:ascii="Times New Roman" w:hAnsi="Times New Roman"/>
                <w:sz w:val="16"/>
                <w:szCs w:val="16"/>
                <w:lang w:val="en-US"/>
              </w:rPr>
              <w:t xml:space="preserve">, </w:t>
            </w:r>
            <w:r w:rsidRPr="00E16672">
              <w:rPr>
                <w:rFonts w:ascii="Times New Roman" w:hAnsi="Times New Roman"/>
                <w:sz w:val="16"/>
                <w:szCs w:val="16"/>
              </w:rPr>
              <w:t>з</w:t>
            </w:r>
            <w:r w:rsidRPr="00E16672">
              <w:rPr>
                <w:rFonts w:ascii="Times New Roman" w:hAnsi="Times New Roman"/>
                <w:sz w:val="16"/>
                <w:szCs w:val="16"/>
                <w:lang w:val="en-US"/>
              </w:rPr>
              <w:t xml:space="preserve"> </w:t>
            </w:r>
            <w:r w:rsidRPr="00E16672">
              <w:rPr>
                <w:rFonts w:ascii="Times New Roman" w:hAnsi="Times New Roman"/>
                <w:sz w:val="16"/>
                <w:szCs w:val="16"/>
              </w:rPr>
              <w:t>метою</w:t>
            </w:r>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подальшого</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надання</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такої</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інформації</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Розрахунковому</w:t>
            </w:r>
            <w:proofErr w:type="spellEnd"/>
            <w:r w:rsidRPr="00E16672">
              <w:rPr>
                <w:rFonts w:ascii="Times New Roman" w:hAnsi="Times New Roman"/>
                <w:sz w:val="16"/>
                <w:szCs w:val="16"/>
                <w:lang w:val="en-US"/>
              </w:rPr>
              <w:t xml:space="preserve"> </w:t>
            </w:r>
            <w:r w:rsidRPr="00E16672">
              <w:rPr>
                <w:rFonts w:ascii="Times New Roman" w:hAnsi="Times New Roman"/>
                <w:sz w:val="16"/>
                <w:szCs w:val="16"/>
              </w:rPr>
              <w:t>центру</w:t>
            </w:r>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чи</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кліринговій</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установі</w:t>
            </w:r>
            <w:proofErr w:type="spellEnd"/>
            <w:r w:rsidRPr="00E16672">
              <w:rPr>
                <w:rFonts w:ascii="Times New Roman" w:hAnsi="Times New Roman"/>
                <w:sz w:val="16"/>
                <w:szCs w:val="16"/>
                <w:lang w:val="en-US"/>
              </w:rPr>
              <w:t xml:space="preserve"> </w:t>
            </w:r>
            <w:r w:rsidRPr="00E16672">
              <w:rPr>
                <w:rFonts w:ascii="Times New Roman" w:hAnsi="Times New Roman"/>
                <w:sz w:val="16"/>
                <w:szCs w:val="16"/>
              </w:rPr>
              <w:t>для</w:t>
            </w:r>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її</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відображення</w:t>
            </w:r>
            <w:proofErr w:type="spellEnd"/>
            <w:r w:rsidRPr="00E16672">
              <w:rPr>
                <w:rFonts w:ascii="Times New Roman" w:hAnsi="Times New Roman"/>
                <w:sz w:val="16"/>
                <w:szCs w:val="16"/>
                <w:lang w:val="en-US"/>
              </w:rPr>
              <w:t xml:space="preserve"> </w:t>
            </w:r>
            <w:r w:rsidRPr="00E16672">
              <w:rPr>
                <w:rFonts w:ascii="Times New Roman" w:hAnsi="Times New Roman"/>
                <w:sz w:val="16"/>
                <w:szCs w:val="16"/>
              </w:rPr>
              <w:t>у</w:t>
            </w:r>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внутрішній</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системі</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обліку</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такої</w:t>
            </w:r>
            <w:proofErr w:type="spellEnd"/>
            <w:r w:rsidRPr="00E16672">
              <w:rPr>
                <w:rFonts w:ascii="Times New Roman" w:hAnsi="Times New Roman"/>
                <w:sz w:val="16"/>
                <w:szCs w:val="16"/>
                <w:lang w:val="en-US"/>
              </w:rPr>
              <w:t xml:space="preserve"> </w:t>
            </w:r>
            <w:r w:rsidRPr="00E16672">
              <w:rPr>
                <w:rFonts w:ascii="Times New Roman" w:hAnsi="Times New Roman"/>
                <w:sz w:val="16"/>
                <w:szCs w:val="16"/>
              </w:rPr>
              <w:t>особи</w:t>
            </w:r>
            <w:r w:rsidRPr="00E16672">
              <w:rPr>
                <w:rFonts w:ascii="Times New Roman" w:hAnsi="Times New Roman"/>
                <w:sz w:val="16"/>
                <w:szCs w:val="16"/>
                <w:lang w:val="en-US"/>
              </w:rPr>
              <w:t xml:space="preserve">, </w:t>
            </w:r>
            <w:r w:rsidRPr="00E16672">
              <w:rPr>
                <w:rFonts w:ascii="Times New Roman" w:hAnsi="Times New Roman"/>
                <w:sz w:val="16"/>
                <w:szCs w:val="16"/>
              </w:rPr>
              <w:t>про</w:t>
            </w:r>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що</w:t>
            </w:r>
            <w:proofErr w:type="spellEnd"/>
            <w:r w:rsidRPr="00E16672">
              <w:rPr>
                <w:rFonts w:ascii="Times New Roman" w:hAnsi="Times New Roman"/>
                <w:sz w:val="16"/>
                <w:szCs w:val="16"/>
                <w:lang w:val="en-US"/>
              </w:rPr>
              <w:t xml:space="preserve"> </w:t>
            </w:r>
            <w:r w:rsidR="00990A10" w:rsidRPr="00E16672">
              <w:rPr>
                <w:rFonts w:ascii="Times New Roman" w:hAnsi="Times New Roman"/>
                <w:sz w:val="16"/>
                <w:szCs w:val="16"/>
                <w:lang w:val="uk-UA"/>
              </w:rPr>
              <w:t>Номінальний утримувач</w:t>
            </w:r>
            <w:r w:rsidR="00990A10"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надає</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згоду</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підписавши</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цей</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Договір</w:t>
            </w:r>
            <w:proofErr w:type="spellEnd"/>
            <w:r w:rsidRPr="00E16672">
              <w:rPr>
                <w:rFonts w:ascii="Times New Roman" w:hAnsi="Times New Roman"/>
                <w:sz w:val="16"/>
                <w:szCs w:val="16"/>
                <w:lang w:val="en-US"/>
              </w:rPr>
              <w:t>.</w:t>
            </w:r>
          </w:p>
          <w:p w14:paraId="3EF4ECBF" w14:textId="77777777" w:rsidR="00EB25FE" w:rsidRPr="00E16672" w:rsidRDefault="00EB25FE" w:rsidP="00794B3F">
            <w:pPr>
              <w:snapToGrid w:val="0"/>
              <w:ind w:left="175" w:right="138" w:firstLine="7"/>
              <w:rPr>
                <w:rFonts w:ascii="Times New Roman" w:hAnsi="Times New Roman"/>
                <w:lang w:val="en-US"/>
              </w:rPr>
            </w:pPr>
          </w:p>
        </w:tc>
        <w:tc>
          <w:tcPr>
            <w:tcW w:w="5495" w:type="dxa"/>
            <w:gridSpan w:val="8"/>
            <w:shd w:val="clear" w:color="auto" w:fill="auto"/>
          </w:tcPr>
          <w:p w14:paraId="552B4170" w14:textId="77777777" w:rsidR="00EB25FE" w:rsidRPr="00E16672" w:rsidRDefault="00EB25FE" w:rsidP="00022F5F">
            <w:pPr>
              <w:tabs>
                <w:tab w:val="left" w:pos="287"/>
              </w:tabs>
              <w:snapToGrid w:val="0"/>
              <w:ind w:left="145" w:right="100" w:firstLine="7"/>
              <w:jc w:val="left"/>
              <w:rPr>
                <w:rFonts w:ascii="Times New Roman" w:hAnsi="Times New Roman"/>
                <w:sz w:val="16"/>
                <w:szCs w:val="16"/>
                <w:lang w:val="en-GB"/>
              </w:rPr>
            </w:pPr>
            <w:r w:rsidRPr="00E16672">
              <w:rPr>
                <w:rFonts w:ascii="Times New Roman" w:hAnsi="Times New Roman"/>
                <w:sz w:val="16"/>
                <w:szCs w:val="16"/>
                <w:lang w:val="en-GB"/>
              </w:rPr>
              <w:t xml:space="preserve">7.4. Depository institution provides </w:t>
            </w:r>
            <w:r w:rsidRPr="00E16672">
              <w:rPr>
                <w:rFonts w:ascii="Times New Roman" w:hAnsi="Times New Roman"/>
                <w:sz w:val="16"/>
                <w:szCs w:val="16"/>
                <w:lang w:val="en-US"/>
              </w:rPr>
              <w:t>C</w:t>
            </w:r>
            <w:proofErr w:type="spellStart"/>
            <w:r w:rsidRPr="00E16672">
              <w:rPr>
                <w:rFonts w:ascii="Times New Roman" w:hAnsi="Times New Roman"/>
                <w:sz w:val="16"/>
                <w:szCs w:val="16"/>
                <w:lang w:val="en-GB"/>
              </w:rPr>
              <w:t>entral</w:t>
            </w:r>
            <w:proofErr w:type="spellEnd"/>
            <w:r w:rsidRPr="00E16672">
              <w:rPr>
                <w:rFonts w:ascii="Times New Roman" w:hAnsi="Times New Roman"/>
                <w:sz w:val="16"/>
                <w:szCs w:val="16"/>
                <w:lang w:val="en-GB"/>
              </w:rPr>
              <w:t xml:space="preserve"> securities depository</w:t>
            </w:r>
            <w:r w:rsidRPr="00E16672">
              <w:rPr>
                <w:rFonts w:ascii="Times New Roman" w:hAnsi="Times New Roman"/>
                <w:bCs/>
                <w:sz w:val="16"/>
                <w:szCs w:val="16"/>
                <w:lang w:val="en-US"/>
              </w:rPr>
              <w:t>,</w:t>
            </w:r>
            <w:r w:rsidRPr="00A26EFC">
              <w:rPr>
                <w:rStyle w:val="WW8Num7z0"/>
                <w:rFonts w:ascii="Times New Roman" w:hAnsi="Times New Roman"/>
                <w:lang w:val="en-US"/>
              </w:rPr>
              <w:t xml:space="preserve"> </w:t>
            </w:r>
            <w:r w:rsidRPr="00E16672">
              <w:rPr>
                <w:rFonts w:ascii="Times New Roman" w:hAnsi="Times New Roman"/>
                <w:sz w:val="16"/>
                <w:szCs w:val="16"/>
                <w:lang w:val="en-GB"/>
              </w:rPr>
              <w:t>other participants in the depository system in accordance with current law,</w:t>
            </w:r>
            <w:r w:rsidRPr="00E16672">
              <w:rPr>
                <w:rFonts w:ascii="Times New Roman" w:hAnsi="Times New Roman"/>
                <w:bCs/>
                <w:sz w:val="16"/>
                <w:szCs w:val="16"/>
                <w:lang w:val="en-GB"/>
              </w:rPr>
              <w:t xml:space="preserve"> </w:t>
            </w:r>
            <w:r w:rsidRPr="00E16672">
              <w:rPr>
                <w:rFonts w:ascii="Times New Roman" w:hAnsi="Times New Roman"/>
                <w:sz w:val="16"/>
                <w:szCs w:val="16"/>
                <w:lang w:val="en-GB"/>
              </w:rPr>
              <w:t xml:space="preserve"> information about the </w:t>
            </w:r>
            <w:r w:rsidR="00990A10" w:rsidRPr="00E16672">
              <w:rPr>
                <w:rFonts w:ascii="Times New Roman" w:hAnsi="Times New Roman"/>
                <w:sz w:val="16"/>
                <w:szCs w:val="16"/>
                <w:lang w:val="en-US"/>
              </w:rPr>
              <w:t>Nominee holder</w:t>
            </w:r>
            <w:r w:rsidRPr="00E16672">
              <w:rPr>
                <w:rFonts w:ascii="Times New Roman" w:hAnsi="Times New Roman"/>
                <w:sz w:val="16"/>
                <w:szCs w:val="16"/>
                <w:lang w:val="en-GB"/>
              </w:rPr>
              <w:t xml:space="preserve">, </w:t>
            </w:r>
            <w:r w:rsidR="00990A10" w:rsidRPr="00E16672">
              <w:rPr>
                <w:rFonts w:ascii="Times New Roman" w:hAnsi="Times New Roman"/>
                <w:sz w:val="16"/>
                <w:szCs w:val="16"/>
                <w:lang w:val="en-US"/>
              </w:rPr>
              <w:t>Nominee holder</w:t>
            </w:r>
            <w:r w:rsidR="00990A10" w:rsidRPr="00E16672">
              <w:rPr>
                <w:rFonts w:ascii="Times New Roman" w:hAnsi="Times New Roman"/>
                <w:sz w:val="16"/>
                <w:szCs w:val="16"/>
                <w:lang w:val="en-GB"/>
              </w:rPr>
              <w:t xml:space="preserve"> </w:t>
            </w:r>
            <w:r w:rsidRPr="00E16672">
              <w:rPr>
                <w:rFonts w:ascii="Times New Roman" w:hAnsi="Times New Roman"/>
                <w:sz w:val="16"/>
                <w:szCs w:val="16"/>
                <w:lang w:val="en-GB"/>
              </w:rPr>
              <w:t>'s</w:t>
            </w:r>
            <w:r w:rsidRPr="00E16672">
              <w:rPr>
                <w:rFonts w:ascii="Times New Roman" w:hAnsi="Times New Roman"/>
                <w:sz w:val="16"/>
                <w:szCs w:val="16"/>
                <w:lang w:val="en-US"/>
              </w:rPr>
              <w:t xml:space="preserve"> administrator</w:t>
            </w:r>
            <w:r w:rsidRPr="00E16672">
              <w:rPr>
                <w:rFonts w:ascii="Times New Roman" w:hAnsi="Times New Roman"/>
                <w:sz w:val="16"/>
                <w:szCs w:val="16"/>
                <w:lang w:val="en-GB"/>
              </w:rPr>
              <w:t xml:space="preserve"> </w:t>
            </w:r>
            <w:r w:rsidRPr="00E16672">
              <w:rPr>
                <w:rFonts w:ascii="Times New Roman" w:hAnsi="Times New Roman"/>
                <w:sz w:val="16"/>
                <w:szCs w:val="16"/>
                <w:lang w:val="en-US"/>
              </w:rPr>
              <w:t xml:space="preserve">of the </w:t>
            </w:r>
            <w:r w:rsidRPr="00E16672">
              <w:rPr>
                <w:rFonts w:ascii="Times New Roman" w:hAnsi="Times New Roman"/>
                <w:sz w:val="16"/>
                <w:szCs w:val="16"/>
                <w:lang w:val="en-GB"/>
              </w:rPr>
              <w:t>account</w:t>
            </w:r>
            <w:r w:rsidRPr="00E16672">
              <w:rPr>
                <w:rFonts w:ascii="Times New Roman" w:hAnsi="Times New Roman"/>
                <w:sz w:val="16"/>
                <w:szCs w:val="16"/>
                <w:lang w:val="en-US"/>
              </w:rPr>
              <w:t xml:space="preserve"> in</w:t>
            </w:r>
            <w:r w:rsidRPr="00E16672">
              <w:rPr>
                <w:rFonts w:ascii="Times New Roman" w:hAnsi="Times New Roman"/>
                <w:sz w:val="16"/>
                <w:szCs w:val="16"/>
                <w:lang w:val="en-GB"/>
              </w:rPr>
              <w:t xml:space="preserve">  securities and securities belonging to the </w:t>
            </w:r>
            <w:r w:rsidR="00620A92" w:rsidRPr="00E16672">
              <w:rPr>
                <w:rFonts w:ascii="Times New Roman" w:hAnsi="Times New Roman"/>
                <w:sz w:val="16"/>
                <w:szCs w:val="16"/>
                <w:lang w:val="en-US"/>
              </w:rPr>
              <w:t>Nominee holder</w:t>
            </w:r>
            <w:r w:rsidR="00620A92" w:rsidRPr="00E16672">
              <w:rPr>
                <w:rFonts w:ascii="Times New Roman" w:hAnsi="Times New Roman"/>
                <w:sz w:val="16"/>
                <w:szCs w:val="16"/>
                <w:lang w:val="en-GB"/>
              </w:rPr>
              <w:t xml:space="preserve"> </w:t>
            </w:r>
            <w:r w:rsidRPr="00E16672">
              <w:rPr>
                <w:rFonts w:ascii="Times New Roman" w:hAnsi="Times New Roman"/>
                <w:sz w:val="16"/>
                <w:szCs w:val="16"/>
                <w:lang w:val="en-GB"/>
              </w:rPr>
              <w:t xml:space="preserve">is required to make payments for legal actions concerning securities in compliance with the principle of </w:t>
            </w:r>
            <w:r w:rsidR="00022F5F">
              <w:rPr>
                <w:rFonts w:ascii="Times New Roman" w:hAnsi="Times New Roman"/>
                <w:sz w:val="16"/>
                <w:szCs w:val="16"/>
                <w:lang w:val="uk-UA"/>
              </w:rPr>
              <w:t>"</w:t>
            </w:r>
            <w:r w:rsidRPr="00E16672">
              <w:rPr>
                <w:rFonts w:ascii="Times New Roman" w:hAnsi="Times New Roman"/>
                <w:sz w:val="16"/>
                <w:szCs w:val="16"/>
                <w:lang w:val="en-GB"/>
              </w:rPr>
              <w:t>delivery of securities against payment</w:t>
            </w:r>
            <w:r w:rsidR="00022F5F">
              <w:rPr>
                <w:rFonts w:ascii="Times New Roman" w:hAnsi="Times New Roman"/>
                <w:sz w:val="16"/>
                <w:szCs w:val="16"/>
                <w:lang w:val="uk-UA"/>
              </w:rPr>
              <w:t>"</w:t>
            </w:r>
            <w:r w:rsidR="00E357FB" w:rsidRPr="00E16672">
              <w:rPr>
                <w:rFonts w:ascii="Times New Roman" w:hAnsi="Times New Roman"/>
                <w:sz w:val="16"/>
                <w:szCs w:val="16"/>
                <w:lang w:val="en-GB"/>
              </w:rPr>
              <w:t xml:space="preserve"> </w:t>
            </w:r>
            <w:r w:rsidRPr="00E16672">
              <w:rPr>
                <w:rFonts w:ascii="Times New Roman" w:hAnsi="Times New Roman"/>
                <w:sz w:val="16"/>
                <w:szCs w:val="16"/>
                <w:lang w:val="en-GB"/>
              </w:rPr>
              <w:t xml:space="preserve">in order to continue to provide such information </w:t>
            </w:r>
            <w:r w:rsidRPr="00E16672">
              <w:rPr>
                <w:rFonts w:ascii="Times New Roman" w:hAnsi="Times New Roman"/>
                <w:sz w:val="16"/>
                <w:szCs w:val="16"/>
                <w:lang w:val="en-US"/>
              </w:rPr>
              <w:t>Accounting</w:t>
            </w:r>
            <w:r w:rsidRPr="00E16672">
              <w:rPr>
                <w:rFonts w:ascii="Times New Roman" w:hAnsi="Times New Roman"/>
                <w:sz w:val="16"/>
                <w:szCs w:val="16"/>
                <w:lang w:val="en-GB"/>
              </w:rPr>
              <w:t xml:space="preserve"> </w:t>
            </w:r>
            <w:proofErr w:type="spellStart"/>
            <w:r w:rsidRPr="00E16672">
              <w:rPr>
                <w:rFonts w:ascii="Times New Roman" w:hAnsi="Times New Roman"/>
                <w:sz w:val="16"/>
                <w:szCs w:val="16"/>
                <w:lang w:val="en-GB"/>
              </w:rPr>
              <w:t>center</w:t>
            </w:r>
            <w:proofErr w:type="spellEnd"/>
            <w:r w:rsidRPr="00E16672">
              <w:rPr>
                <w:rFonts w:ascii="Times New Roman" w:hAnsi="Times New Roman"/>
                <w:sz w:val="16"/>
                <w:szCs w:val="16"/>
                <w:lang w:val="en-GB"/>
              </w:rPr>
              <w:t xml:space="preserve"> or clearing institution to display it in the internal accounting system of </w:t>
            </w:r>
            <w:r w:rsidRPr="00E16672">
              <w:rPr>
                <w:rFonts w:ascii="Times New Roman" w:hAnsi="Times New Roman"/>
                <w:sz w:val="16"/>
                <w:szCs w:val="16"/>
                <w:lang w:val="en-US"/>
              </w:rPr>
              <w:t>such</w:t>
            </w:r>
            <w:r w:rsidRPr="00E16672">
              <w:rPr>
                <w:rFonts w:ascii="Times New Roman" w:hAnsi="Times New Roman"/>
                <w:sz w:val="16"/>
                <w:szCs w:val="16"/>
                <w:lang w:val="en-GB"/>
              </w:rPr>
              <w:t xml:space="preserve"> person, as </w:t>
            </w:r>
            <w:r w:rsidR="00990A10" w:rsidRPr="00E16672">
              <w:rPr>
                <w:rFonts w:ascii="Times New Roman" w:hAnsi="Times New Roman"/>
                <w:sz w:val="16"/>
                <w:szCs w:val="16"/>
                <w:lang w:val="en-US"/>
              </w:rPr>
              <w:t>Nominee holder</w:t>
            </w:r>
            <w:r w:rsidR="00990A10" w:rsidRPr="00E16672">
              <w:rPr>
                <w:rFonts w:ascii="Times New Roman" w:hAnsi="Times New Roman"/>
                <w:sz w:val="16"/>
                <w:szCs w:val="16"/>
                <w:lang w:val="en-GB"/>
              </w:rPr>
              <w:t xml:space="preserve"> </w:t>
            </w:r>
            <w:r w:rsidRPr="00E16672">
              <w:rPr>
                <w:rFonts w:ascii="Times New Roman" w:hAnsi="Times New Roman"/>
                <w:sz w:val="16"/>
                <w:szCs w:val="16"/>
                <w:lang w:val="en-GB"/>
              </w:rPr>
              <w:t>provides consent by signing this Agreement.</w:t>
            </w:r>
          </w:p>
        </w:tc>
      </w:tr>
      <w:tr w:rsidR="00EB25FE" w:rsidRPr="00A26EFC" w14:paraId="12CE1AA2" w14:textId="77777777" w:rsidTr="00FA3078">
        <w:tblPrEx>
          <w:tblCellMar>
            <w:left w:w="0" w:type="dxa"/>
            <w:right w:w="0" w:type="dxa"/>
          </w:tblCellMar>
        </w:tblPrEx>
        <w:trPr>
          <w:trHeight w:val="192"/>
        </w:trPr>
        <w:tc>
          <w:tcPr>
            <w:tcW w:w="5695" w:type="dxa"/>
            <w:gridSpan w:val="7"/>
            <w:shd w:val="clear" w:color="auto" w:fill="auto"/>
          </w:tcPr>
          <w:p w14:paraId="2A289598" w14:textId="77777777" w:rsidR="0014071D" w:rsidRPr="00E16672" w:rsidRDefault="0014071D" w:rsidP="00794B3F">
            <w:pPr>
              <w:snapToGrid w:val="0"/>
              <w:ind w:left="175" w:right="138"/>
              <w:jc w:val="center"/>
              <w:rPr>
                <w:rFonts w:ascii="Times New Roman" w:hAnsi="Times New Roman"/>
                <w:b/>
                <w:caps/>
                <w:sz w:val="16"/>
                <w:szCs w:val="16"/>
                <w:lang w:val="en-US"/>
              </w:rPr>
            </w:pPr>
          </w:p>
          <w:p w14:paraId="71FFA6C8" w14:textId="77777777" w:rsidR="00EB25FE" w:rsidRPr="00E16672" w:rsidRDefault="00EB25FE" w:rsidP="00794B3F">
            <w:pPr>
              <w:snapToGrid w:val="0"/>
              <w:ind w:left="175" w:right="138"/>
              <w:jc w:val="center"/>
              <w:rPr>
                <w:rFonts w:ascii="Times New Roman" w:hAnsi="Times New Roman"/>
                <w:b/>
                <w:caps/>
                <w:sz w:val="16"/>
                <w:szCs w:val="16"/>
              </w:rPr>
            </w:pPr>
            <w:r w:rsidRPr="00E16672">
              <w:rPr>
                <w:rFonts w:ascii="Times New Roman" w:hAnsi="Times New Roman"/>
                <w:b/>
                <w:caps/>
                <w:sz w:val="16"/>
                <w:szCs w:val="16"/>
              </w:rPr>
              <w:t xml:space="preserve">8. Виконання умов договору. </w:t>
            </w:r>
          </w:p>
          <w:p w14:paraId="77AE3A31" w14:textId="77777777" w:rsidR="00EB25FE" w:rsidRPr="00E16672" w:rsidRDefault="00EB25FE" w:rsidP="00794B3F">
            <w:pPr>
              <w:ind w:left="175" w:right="138"/>
              <w:jc w:val="center"/>
              <w:rPr>
                <w:rFonts w:ascii="Times New Roman" w:hAnsi="Times New Roman"/>
                <w:b/>
                <w:caps/>
                <w:sz w:val="16"/>
                <w:szCs w:val="16"/>
              </w:rPr>
            </w:pPr>
            <w:r w:rsidRPr="00E16672">
              <w:rPr>
                <w:rFonts w:ascii="Times New Roman" w:hAnsi="Times New Roman"/>
                <w:b/>
                <w:caps/>
                <w:sz w:val="16"/>
                <w:szCs w:val="16"/>
              </w:rPr>
              <w:t xml:space="preserve">Порядок закриття рахунку </w:t>
            </w:r>
            <w:r w:rsidR="00C22309" w:rsidRPr="00E16672">
              <w:rPr>
                <w:rFonts w:ascii="Times New Roman" w:hAnsi="Times New Roman"/>
                <w:b/>
                <w:caps/>
                <w:sz w:val="16"/>
                <w:szCs w:val="16"/>
              </w:rPr>
              <w:t>в цін</w:t>
            </w:r>
            <w:r w:rsidRPr="00E16672">
              <w:rPr>
                <w:rFonts w:ascii="Times New Roman" w:hAnsi="Times New Roman"/>
                <w:b/>
                <w:caps/>
                <w:sz w:val="16"/>
                <w:szCs w:val="16"/>
              </w:rPr>
              <w:t>них паперах. Особливі умови.</w:t>
            </w:r>
          </w:p>
          <w:p w14:paraId="71FB6D99" w14:textId="77777777" w:rsidR="00EB25FE" w:rsidRPr="00E16672" w:rsidRDefault="00EB25FE" w:rsidP="00794B3F">
            <w:pPr>
              <w:ind w:left="175" w:right="138"/>
              <w:jc w:val="center"/>
              <w:rPr>
                <w:rFonts w:ascii="Times New Roman" w:hAnsi="Times New Roman"/>
                <w:sz w:val="16"/>
                <w:szCs w:val="16"/>
                <w:shd w:val="clear" w:color="auto" w:fill="FFFF00"/>
              </w:rPr>
            </w:pPr>
          </w:p>
          <w:p w14:paraId="55A873E7" w14:textId="77777777" w:rsidR="00EB25FE" w:rsidRPr="00E16672" w:rsidRDefault="00EB25FE" w:rsidP="00794B3F">
            <w:pPr>
              <w:snapToGrid w:val="0"/>
              <w:ind w:left="175" w:right="138" w:firstLine="0"/>
              <w:rPr>
                <w:rFonts w:ascii="Times New Roman" w:hAnsi="Times New Roman"/>
                <w:sz w:val="16"/>
                <w:szCs w:val="16"/>
              </w:rPr>
            </w:pPr>
            <w:r w:rsidRPr="00E16672">
              <w:rPr>
                <w:rFonts w:ascii="Times New Roman" w:hAnsi="Times New Roman"/>
                <w:sz w:val="16"/>
                <w:szCs w:val="16"/>
              </w:rPr>
              <w:t xml:space="preserve">8.1. </w:t>
            </w:r>
            <w:proofErr w:type="spellStart"/>
            <w:r w:rsidRPr="00E16672">
              <w:rPr>
                <w:rFonts w:ascii="Times New Roman" w:hAnsi="Times New Roman"/>
                <w:sz w:val="16"/>
                <w:szCs w:val="16"/>
              </w:rPr>
              <w:t>Депозитарна</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установа</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має</w:t>
            </w:r>
            <w:proofErr w:type="spellEnd"/>
            <w:r w:rsidRPr="00E16672">
              <w:rPr>
                <w:rFonts w:ascii="Times New Roman" w:hAnsi="Times New Roman"/>
                <w:sz w:val="16"/>
                <w:szCs w:val="16"/>
              </w:rPr>
              <w:t xml:space="preserve"> статус </w:t>
            </w:r>
            <w:proofErr w:type="spellStart"/>
            <w:r w:rsidRPr="00E16672">
              <w:rPr>
                <w:rFonts w:ascii="Times New Roman" w:hAnsi="Times New Roman"/>
                <w:sz w:val="16"/>
                <w:szCs w:val="16"/>
              </w:rPr>
              <w:t>платника</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податку</w:t>
            </w:r>
            <w:proofErr w:type="spellEnd"/>
            <w:r w:rsidRPr="00E16672">
              <w:rPr>
                <w:rFonts w:ascii="Times New Roman" w:hAnsi="Times New Roman"/>
                <w:sz w:val="16"/>
                <w:szCs w:val="16"/>
              </w:rPr>
              <w:t xml:space="preserve"> на </w:t>
            </w:r>
            <w:proofErr w:type="spellStart"/>
            <w:r w:rsidRPr="00E16672">
              <w:rPr>
                <w:rFonts w:ascii="Times New Roman" w:hAnsi="Times New Roman"/>
                <w:sz w:val="16"/>
                <w:szCs w:val="16"/>
              </w:rPr>
              <w:t>прибуток</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підприємства</w:t>
            </w:r>
            <w:proofErr w:type="spellEnd"/>
            <w:r w:rsidRPr="00E16672">
              <w:rPr>
                <w:rFonts w:ascii="Times New Roman" w:hAnsi="Times New Roman"/>
                <w:sz w:val="16"/>
                <w:szCs w:val="16"/>
              </w:rPr>
              <w:t xml:space="preserve"> на </w:t>
            </w:r>
            <w:proofErr w:type="spellStart"/>
            <w:r w:rsidRPr="00E16672">
              <w:rPr>
                <w:rFonts w:ascii="Times New Roman" w:hAnsi="Times New Roman"/>
                <w:sz w:val="16"/>
                <w:szCs w:val="16"/>
              </w:rPr>
              <w:t>загальних</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умовах</w:t>
            </w:r>
            <w:proofErr w:type="spellEnd"/>
            <w:r w:rsidRPr="00E16672">
              <w:rPr>
                <w:rFonts w:ascii="Times New Roman" w:hAnsi="Times New Roman"/>
                <w:sz w:val="16"/>
                <w:szCs w:val="16"/>
              </w:rPr>
              <w:t>.</w:t>
            </w:r>
          </w:p>
        </w:tc>
        <w:tc>
          <w:tcPr>
            <w:tcW w:w="5495" w:type="dxa"/>
            <w:gridSpan w:val="8"/>
            <w:shd w:val="clear" w:color="auto" w:fill="auto"/>
          </w:tcPr>
          <w:p w14:paraId="3A733F5B" w14:textId="77777777" w:rsidR="0014071D" w:rsidRPr="00E16672" w:rsidRDefault="0014071D" w:rsidP="00794B3F">
            <w:pPr>
              <w:tabs>
                <w:tab w:val="left" w:pos="287"/>
              </w:tabs>
              <w:snapToGrid w:val="0"/>
              <w:ind w:left="145" w:right="100"/>
              <w:jc w:val="center"/>
              <w:rPr>
                <w:rFonts w:ascii="Times New Roman" w:hAnsi="Times New Roman"/>
                <w:b/>
                <w:sz w:val="16"/>
                <w:szCs w:val="16"/>
              </w:rPr>
            </w:pPr>
          </w:p>
          <w:p w14:paraId="7252691C" w14:textId="77777777" w:rsidR="00EB25FE" w:rsidRPr="00E16672" w:rsidRDefault="00EB25FE" w:rsidP="00794B3F">
            <w:pPr>
              <w:tabs>
                <w:tab w:val="left" w:pos="287"/>
              </w:tabs>
              <w:snapToGrid w:val="0"/>
              <w:ind w:left="145" w:right="100"/>
              <w:jc w:val="center"/>
              <w:rPr>
                <w:rFonts w:ascii="Times New Roman" w:hAnsi="Times New Roman"/>
                <w:b/>
                <w:sz w:val="16"/>
                <w:szCs w:val="16"/>
                <w:lang w:val="en-GB"/>
              </w:rPr>
            </w:pPr>
            <w:r w:rsidRPr="00E16672">
              <w:rPr>
                <w:rFonts w:ascii="Times New Roman" w:hAnsi="Times New Roman"/>
                <w:b/>
                <w:sz w:val="16"/>
                <w:szCs w:val="16"/>
                <w:lang w:val="en-GB"/>
              </w:rPr>
              <w:t xml:space="preserve">8. EXECUTIONS THE CONDITIONSOF THE AGREEMENT. </w:t>
            </w:r>
          </w:p>
          <w:p w14:paraId="5E975C51" w14:textId="77777777" w:rsidR="00EB25FE" w:rsidRPr="00A26EFC" w:rsidRDefault="00EB25FE" w:rsidP="00794B3F">
            <w:pPr>
              <w:tabs>
                <w:tab w:val="left" w:pos="287"/>
              </w:tabs>
              <w:snapToGrid w:val="0"/>
              <w:ind w:left="145" w:right="100"/>
              <w:jc w:val="center"/>
              <w:rPr>
                <w:rStyle w:val="shorttext"/>
                <w:rFonts w:ascii="Times New Roman" w:hAnsi="Times New Roman"/>
                <w:lang w:val="en-US"/>
              </w:rPr>
            </w:pPr>
            <w:r w:rsidRPr="00E16672">
              <w:rPr>
                <w:rFonts w:ascii="Times New Roman" w:hAnsi="Times New Roman"/>
                <w:b/>
                <w:caps/>
                <w:sz w:val="16"/>
                <w:szCs w:val="16"/>
                <w:lang w:val="en-GB"/>
              </w:rPr>
              <w:t>Procedure for closing a</w:t>
            </w:r>
            <w:r w:rsidRPr="00E16672">
              <w:rPr>
                <w:rFonts w:ascii="Times New Roman" w:hAnsi="Times New Roman"/>
                <w:b/>
                <w:caps/>
                <w:sz w:val="16"/>
                <w:szCs w:val="16"/>
                <w:lang w:val="en-US"/>
              </w:rPr>
              <w:t xml:space="preserve">n </w:t>
            </w:r>
            <w:proofErr w:type="gramStart"/>
            <w:r w:rsidRPr="00E16672">
              <w:rPr>
                <w:rFonts w:ascii="Times New Roman" w:hAnsi="Times New Roman"/>
                <w:b/>
                <w:caps/>
                <w:sz w:val="16"/>
                <w:szCs w:val="16"/>
                <w:lang w:val="en-GB"/>
              </w:rPr>
              <w:t xml:space="preserve">account </w:t>
            </w:r>
            <w:r w:rsidRPr="00E16672">
              <w:rPr>
                <w:rFonts w:ascii="Times New Roman" w:hAnsi="Times New Roman"/>
                <w:b/>
                <w:caps/>
                <w:sz w:val="16"/>
                <w:szCs w:val="16"/>
                <w:lang w:val="en-US"/>
              </w:rPr>
              <w:t xml:space="preserve"> in</w:t>
            </w:r>
            <w:proofErr w:type="gramEnd"/>
            <w:r w:rsidRPr="00E16672">
              <w:rPr>
                <w:rFonts w:ascii="Times New Roman" w:hAnsi="Times New Roman"/>
                <w:b/>
                <w:caps/>
                <w:sz w:val="16"/>
                <w:szCs w:val="16"/>
                <w:lang w:val="en-US"/>
              </w:rPr>
              <w:t xml:space="preserve"> </w:t>
            </w:r>
            <w:r w:rsidRPr="00E16672">
              <w:rPr>
                <w:rFonts w:ascii="Times New Roman" w:hAnsi="Times New Roman"/>
                <w:b/>
                <w:caps/>
                <w:sz w:val="16"/>
                <w:szCs w:val="16"/>
                <w:lang w:val="en-GB"/>
              </w:rPr>
              <w:t>securities</w:t>
            </w:r>
            <w:r w:rsidRPr="00A26EFC">
              <w:rPr>
                <w:rStyle w:val="shorttext"/>
                <w:rFonts w:ascii="Times New Roman" w:hAnsi="Times New Roman"/>
                <w:lang w:val="en-US"/>
              </w:rPr>
              <w:t>.</w:t>
            </w:r>
          </w:p>
          <w:p w14:paraId="6FBD8715" w14:textId="77777777" w:rsidR="00EB25FE" w:rsidRPr="00E16672" w:rsidRDefault="00EB25FE" w:rsidP="00794B3F">
            <w:pPr>
              <w:tabs>
                <w:tab w:val="left" w:pos="287"/>
              </w:tabs>
              <w:snapToGrid w:val="0"/>
              <w:ind w:left="145" w:right="100"/>
              <w:jc w:val="center"/>
              <w:rPr>
                <w:rFonts w:ascii="Times New Roman" w:hAnsi="Times New Roman"/>
                <w:b/>
                <w:sz w:val="16"/>
                <w:szCs w:val="16"/>
                <w:lang w:val="en-GB"/>
              </w:rPr>
            </w:pPr>
            <w:r w:rsidRPr="00E16672">
              <w:rPr>
                <w:rFonts w:ascii="Times New Roman" w:hAnsi="Times New Roman"/>
                <w:b/>
                <w:sz w:val="16"/>
                <w:szCs w:val="16"/>
                <w:lang w:val="en-GB"/>
              </w:rPr>
              <w:t>SPECIAL CONDITIONS.</w:t>
            </w:r>
          </w:p>
          <w:p w14:paraId="54F433E7" w14:textId="77777777" w:rsidR="00EB25FE" w:rsidRPr="00E16672" w:rsidRDefault="00EB25FE" w:rsidP="00794B3F">
            <w:pPr>
              <w:tabs>
                <w:tab w:val="left" w:pos="287"/>
              </w:tabs>
              <w:snapToGrid w:val="0"/>
              <w:ind w:left="145" w:right="100"/>
              <w:jc w:val="center"/>
              <w:rPr>
                <w:rFonts w:ascii="Times New Roman" w:hAnsi="Times New Roman"/>
                <w:sz w:val="16"/>
                <w:szCs w:val="16"/>
                <w:shd w:val="clear" w:color="auto" w:fill="FFFF00"/>
                <w:lang w:val="en-GB"/>
              </w:rPr>
            </w:pPr>
          </w:p>
          <w:p w14:paraId="377807C0" w14:textId="77777777" w:rsidR="00EB25FE" w:rsidRPr="00E16672" w:rsidRDefault="00EB25FE" w:rsidP="00794B3F">
            <w:pPr>
              <w:pStyle w:val="310"/>
              <w:tabs>
                <w:tab w:val="left" w:pos="287"/>
                <w:tab w:val="left" w:pos="1137"/>
                <w:tab w:val="left" w:pos="1191"/>
              </w:tabs>
              <w:snapToGrid w:val="0"/>
              <w:ind w:left="145" w:right="100" w:firstLine="0"/>
              <w:rPr>
                <w:rFonts w:ascii="Times New Roman" w:hAnsi="Times New Roman"/>
                <w:sz w:val="16"/>
                <w:szCs w:val="16"/>
              </w:rPr>
            </w:pPr>
            <w:r w:rsidRPr="00E16672">
              <w:rPr>
                <w:rFonts w:ascii="Times New Roman" w:hAnsi="Times New Roman"/>
                <w:sz w:val="16"/>
                <w:szCs w:val="16"/>
              </w:rPr>
              <w:t xml:space="preserve">8.1. </w:t>
            </w:r>
            <w:proofErr w:type="spellStart"/>
            <w:r w:rsidRPr="00E16672">
              <w:rPr>
                <w:rFonts w:ascii="Times New Roman" w:hAnsi="Times New Roman"/>
                <w:sz w:val="16"/>
                <w:szCs w:val="16"/>
              </w:rPr>
              <w:t>Depository</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institution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has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status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of</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payer</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of</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company</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income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tax</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general</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conditions</w:t>
            </w:r>
            <w:proofErr w:type="spellEnd"/>
            <w:r w:rsidRPr="00E16672">
              <w:rPr>
                <w:rFonts w:ascii="Times New Roman" w:hAnsi="Times New Roman"/>
                <w:sz w:val="16"/>
                <w:szCs w:val="16"/>
              </w:rPr>
              <w:t>.</w:t>
            </w:r>
          </w:p>
        </w:tc>
      </w:tr>
      <w:tr w:rsidR="00EB25FE" w:rsidRPr="00A26EFC" w14:paraId="3A0C9BBA" w14:textId="77777777" w:rsidTr="005E418B">
        <w:tblPrEx>
          <w:tblCellMar>
            <w:left w:w="0" w:type="dxa"/>
            <w:right w:w="0" w:type="dxa"/>
          </w:tblCellMar>
        </w:tblPrEx>
        <w:trPr>
          <w:trHeight w:val="192"/>
        </w:trPr>
        <w:tc>
          <w:tcPr>
            <w:tcW w:w="5695" w:type="dxa"/>
            <w:gridSpan w:val="7"/>
            <w:shd w:val="clear" w:color="auto" w:fill="auto"/>
          </w:tcPr>
          <w:p w14:paraId="07E07014" w14:textId="77777777" w:rsidR="00EB25FE" w:rsidRPr="00E16672" w:rsidRDefault="00EB25FE" w:rsidP="00794B3F">
            <w:pPr>
              <w:snapToGrid w:val="0"/>
              <w:ind w:left="175" w:right="138" w:firstLine="0"/>
              <w:rPr>
                <w:rFonts w:ascii="Times New Roman" w:hAnsi="Times New Roman"/>
                <w:color w:val="000000"/>
                <w:sz w:val="16"/>
                <w:szCs w:val="16"/>
                <w:lang w:val="uk-UA"/>
              </w:rPr>
            </w:pPr>
          </w:p>
          <w:p w14:paraId="48385DB9" w14:textId="77777777" w:rsidR="00EB25FE" w:rsidRPr="00E16672" w:rsidRDefault="00EB25FE" w:rsidP="00990A10">
            <w:pPr>
              <w:snapToGrid w:val="0"/>
              <w:ind w:left="175" w:right="138" w:firstLine="0"/>
              <w:rPr>
                <w:rFonts w:ascii="Times New Roman" w:hAnsi="Times New Roman"/>
                <w:b/>
                <w:caps/>
                <w:color w:val="000000"/>
                <w:sz w:val="16"/>
                <w:szCs w:val="16"/>
              </w:rPr>
            </w:pPr>
            <w:r w:rsidRPr="00E16672">
              <w:rPr>
                <w:rFonts w:ascii="Times New Roman" w:hAnsi="Times New Roman"/>
                <w:color w:val="000000"/>
                <w:sz w:val="16"/>
                <w:szCs w:val="16"/>
                <w:lang w:val="uk-UA"/>
              </w:rPr>
              <w:t xml:space="preserve">8.2. </w:t>
            </w:r>
            <w:proofErr w:type="spellStart"/>
            <w:r w:rsidRPr="00E16672">
              <w:rPr>
                <w:rFonts w:ascii="Times New Roman" w:hAnsi="Times New Roman"/>
                <w:color w:val="000000"/>
                <w:sz w:val="16"/>
                <w:szCs w:val="16"/>
              </w:rPr>
              <w:t>Підписанням</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цього</w:t>
            </w:r>
            <w:proofErr w:type="spellEnd"/>
            <w:r w:rsidRPr="00E16672">
              <w:rPr>
                <w:rFonts w:ascii="Times New Roman" w:hAnsi="Times New Roman"/>
                <w:color w:val="000000"/>
                <w:sz w:val="16"/>
                <w:szCs w:val="16"/>
              </w:rPr>
              <w:t xml:space="preserve"> Договору </w:t>
            </w:r>
            <w:r w:rsidR="00990A10" w:rsidRPr="00E16672">
              <w:rPr>
                <w:rFonts w:ascii="Times New Roman" w:hAnsi="Times New Roman"/>
                <w:color w:val="000000"/>
                <w:sz w:val="16"/>
                <w:szCs w:val="16"/>
                <w:lang w:val="uk-UA"/>
              </w:rPr>
              <w:t>Номінальний утримувач</w:t>
            </w:r>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підтверджує</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що</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ознайомлений</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із</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внутрішніми</w:t>
            </w:r>
            <w:proofErr w:type="spellEnd"/>
            <w:r w:rsidRPr="00E16672">
              <w:rPr>
                <w:rFonts w:ascii="Times New Roman" w:hAnsi="Times New Roman"/>
                <w:color w:val="000000"/>
                <w:sz w:val="16"/>
                <w:szCs w:val="16"/>
              </w:rPr>
              <w:t xml:space="preserve"> документами </w:t>
            </w:r>
            <w:proofErr w:type="spellStart"/>
            <w:r w:rsidRPr="00E16672">
              <w:rPr>
                <w:rFonts w:ascii="Times New Roman" w:hAnsi="Times New Roman"/>
                <w:color w:val="000000"/>
                <w:sz w:val="16"/>
                <w:szCs w:val="16"/>
              </w:rPr>
              <w:t>Депозитарної</w:t>
            </w:r>
            <w:proofErr w:type="spellEnd"/>
            <w:r w:rsidRPr="00E16672">
              <w:rPr>
                <w:rFonts w:ascii="Times New Roman" w:hAnsi="Times New Roman"/>
                <w:color w:val="000000"/>
                <w:sz w:val="16"/>
                <w:szCs w:val="16"/>
              </w:rPr>
              <w:t xml:space="preserve"> установи, тарифами </w:t>
            </w:r>
            <w:proofErr w:type="spellStart"/>
            <w:r w:rsidRPr="00E16672">
              <w:rPr>
                <w:rFonts w:ascii="Times New Roman" w:hAnsi="Times New Roman"/>
                <w:color w:val="000000"/>
                <w:sz w:val="16"/>
                <w:szCs w:val="16"/>
              </w:rPr>
              <w:t>Депозитарної</w:t>
            </w:r>
            <w:proofErr w:type="spellEnd"/>
            <w:r w:rsidRPr="00E16672">
              <w:rPr>
                <w:rFonts w:ascii="Times New Roman" w:hAnsi="Times New Roman"/>
                <w:color w:val="000000"/>
                <w:sz w:val="16"/>
                <w:szCs w:val="16"/>
              </w:rPr>
              <w:t xml:space="preserve"> установи.</w:t>
            </w:r>
          </w:p>
        </w:tc>
        <w:tc>
          <w:tcPr>
            <w:tcW w:w="5495" w:type="dxa"/>
            <w:gridSpan w:val="8"/>
            <w:shd w:val="clear" w:color="auto" w:fill="auto"/>
          </w:tcPr>
          <w:p w14:paraId="35704D5C" w14:textId="77777777" w:rsidR="00EB25FE" w:rsidRPr="00E16672" w:rsidRDefault="00EB25FE" w:rsidP="00794B3F">
            <w:pPr>
              <w:snapToGrid w:val="0"/>
              <w:ind w:left="175" w:right="138" w:firstLine="0"/>
              <w:rPr>
                <w:rFonts w:ascii="Times New Roman" w:hAnsi="Times New Roman"/>
                <w:color w:val="000000"/>
                <w:sz w:val="16"/>
                <w:szCs w:val="16"/>
                <w:lang w:val="uk-UA"/>
              </w:rPr>
            </w:pPr>
          </w:p>
          <w:p w14:paraId="3054A361" w14:textId="77777777" w:rsidR="00EB25FE" w:rsidRPr="00E16672" w:rsidRDefault="00EB25FE" w:rsidP="00794B3F">
            <w:pPr>
              <w:snapToGrid w:val="0"/>
              <w:ind w:left="175" w:right="138" w:firstLine="0"/>
              <w:rPr>
                <w:rFonts w:ascii="Times New Roman" w:hAnsi="Times New Roman"/>
                <w:b/>
                <w:color w:val="000000"/>
                <w:sz w:val="16"/>
                <w:szCs w:val="16"/>
                <w:lang w:val="uk-UA"/>
              </w:rPr>
            </w:pPr>
            <w:r w:rsidRPr="00E16672">
              <w:rPr>
                <w:rFonts w:ascii="Times New Roman" w:hAnsi="Times New Roman"/>
                <w:color w:val="000000"/>
                <w:sz w:val="16"/>
                <w:szCs w:val="16"/>
                <w:lang w:val="uk-UA"/>
              </w:rPr>
              <w:t xml:space="preserve">8.2. </w:t>
            </w:r>
            <w:r w:rsidRPr="00E16672">
              <w:rPr>
                <w:rFonts w:ascii="Times New Roman" w:hAnsi="Times New Roman"/>
                <w:color w:val="000000"/>
                <w:sz w:val="16"/>
                <w:szCs w:val="16"/>
                <w:lang w:val="en-US"/>
              </w:rPr>
              <w:t xml:space="preserve">By signing </w:t>
            </w:r>
            <w:proofErr w:type="gramStart"/>
            <w:r w:rsidRPr="00E16672">
              <w:rPr>
                <w:rFonts w:ascii="Times New Roman" w:hAnsi="Times New Roman"/>
                <w:color w:val="000000"/>
                <w:sz w:val="16"/>
                <w:szCs w:val="16"/>
                <w:lang w:val="en-US"/>
              </w:rPr>
              <w:t>of  this</w:t>
            </w:r>
            <w:proofErr w:type="gramEnd"/>
            <w:r w:rsidRPr="00E16672">
              <w:rPr>
                <w:rFonts w:ascii="Times New Roman" w:hAnsi="Times New Roman"/>
                <w:color w:val="000000"/>
                <w:sz w:val="16"/>
                <w:szCs w:val="16"/>
                <w:lang w:val="en-US"/>
              </w:rPr>
              <w:t xml:space="preserve"> Agreement the </w:t>
            </w:r>
            <w:r w:rsidR="00990A10" w:rsidRPr="00E16672">
              <w:rPr>
                <w:rFonts w:ascii="Times New Roman" w:hAnsi="Times New Roman"/>
                <w:sz w:val="16"/>
                <w:szCs w:val="16"/>
                <w:lang w:val="en-US"/>
              </w:rPr>
              <w:t>Nominee holder</w:t>
            </w:r>
            <w:r w:rsidR="00990A10" w:rsidRPr="00E16672">
              <w:rPr>
                <w:rFonts w:ascii="Times New Roman" w:hAnsi="Times New Roman"/>
                <w:color w:val="000000"/>
                <w:sz w:val="16"/>
                <w:szCs w:val="16"/>
                <w:lang w:val="en-US"/>
              </w:rPr>
              <w:t xml:space="preserve"> </w:t>
            </w:r>
            <w:r w:rsidRPr="00E16672">
              <w:rPr>
                <w:rFonts w:ascii="Times New Roman" w:hAnsi="Times New Roman"/>
                <w:color w:val="000000"/>
                <w:sz w:val="16"/>
                <w:szCs w:val="16"/>
                <w:lang w:val="en-US"/>
              </w:rPr>
              <w:t>confirms that was familiarized with the internal documents of Depositary institution, tariffs of Depository institution</w:t>
            </w:r>
            <w:r w:rsidRPr="00E16672">
              <w:rPr>
                <w:rFonts w:ascii="Times New Roman" w:hAnsi="Times New Roman"/>
                <w:color w:val="000000"/>
                <w:sz w:val="16"/>
                <w:szCs w:val="16"/>
                <w:lang w:val="uk-UA"/>
              </w:rPr>
              <w:t>.</w:t>
            </w:r>
          </w:p>
        </w:tc>
      </w:tr>
      <w:tr w:rsidR="00EB25FE" w:rsidRPr="00A26EFC" w14:paraId="246AD799" w14:textId="77777777" w:rsidTr="00FA3078">
        <w:tblPrEx>
          <w:tblCellMar>
            <w:left w:w="0" w:type="dxa"/>
            <w:right w:w="0" w:type="dxa"/>
          </w:tblCellMar>
        </w:tblPrEx>
        <w:trPr>
          <w:trHeight w:val="1290"/>
        </w:trPr>
        <w:tc>
          <w:tcPr>
            <w:tcW w:w="5695" w:type="dxa"/>
            <w:gridSpan w:val="7"/>
            <w:shd w:val="clear" w:color="auto" w:fill="auto"/>
          </w:tcPr>
          <w:p w14:paraId="10BF0018" w14:textId="77777777" w:rsidR="00EB25FE" w:rsidRPr="00E16672" w:rsidRDefault="00990A10" w:rsidP="00022F5F">
            <w:pPr>
              <w:pStyle w:val="ae"/>
              <w:tabs>
                <w:tab w:val="left" w:pos="1080"/>
                <w:tab w:val="left" w:pos="1134"/>
              </w:tabs>
              <w:ind w:left="175" w:right="138" w:firstLine="0"/>
              <w:jc w:val="left"/>
              <w:rPr>
                <w:rFonts w:ascii="Times New Roman" w:hAnsi="Times New Roman"/>
                <w:sz w:val="16"/>
                <w:szCs w:val="16"/>
              </w:rPr>
            </w:pPr>
            <w:r w:rsidRPr="00E16672">
              <w:rPr>
                <w:rFonts w:ascii="Times New Roman" w:hAnsi="Times New Roman"/>
                <w:sz w:val="16"/>
                <w:szCs w:val="16"/>
              </w:rPr>
              <w:t>Номінальний утримувач</w:t>
            </w:r>
            <w:r w:rsidR="00EB25FE" w:rsidRPr="00E16672">
              <w:rPr>
                <w:rFonts w:ascii="Times New Roman" w:hAnsi="Times New Roman"/>
                <w:sz w:val="16"/>
                <w:szCs w:val="16"/>
              </w:rPr>
              <w:t xml:space="preserve"> підтверджує, що Депозитарній установі йому надана інформація, зазначена в частині другій статті 12 Закону України </w:t>
            </w:r>
            <w:r w:rsidR="00022F5F">
              <w:rPr>
                <w:rFonts w:ascii="Times New Roman" w:hAnsi="Times New Roman"/>
                <w:sz w:val="16"/>
                <w:szCs w:val="16"/>
              </w:rPr>
              <w:t>"</w:t>
            </w:r>
            <w:r w:rsidR="00EB25FE" w:rsidRPr="00E16672">
              <w:rPr>
                <w:rFonts w:ascii="Times New Roman" w:hAnsi="Times New Roman"/>
                <w:sz w:val="16"/>
                <w:szCs w:val="16"/>
              </w:rPr>
              <w:t>Про фінансові послуги та державне регулювання ринків фінансових послуг</w:t>
            </w:r>
            <w:r w:rsidR="00022F5F">
              <w:rPr>
                <w:rFonts w:ascii="Times New Roman" w:hAnsi="Times New Roman"/>
                <w:sz w:val="16"/>
                <w:szCs w:val="16"/>
              </w:rPr>
              <w:t>"</w:t>
            </w:r>
            <w:r w:rsidR="00EB25FE" w:rsidRPr="00E16672">
              <w:rPr>
                <w:rFonts w:ascii="Times New Roman" w:hAnsi="Times New Roman"/>
                <w:sz w:val="16"/>
                <w:szCs w:val="16"/>
              </w:rPr>
              <w:t>.</w:t>
            </w:r>
          </w:p>
          <w:p w14:paraId="0A73642D" w14:textId="77777777" w:rsidR="00EB25FE" w:rsidRPr="00E16672" w:rsidRDefault="00EB25FE" w:rsidP="00794B3F">
            <w:pPr>
              <w:pStyle w:val="ae"/>
              <w:tabs>
                <w:tab w:val="left" w:pos="1080"/>
                <w:tab w:val="left" w:pos="1134"/>
              </w:tabs>
              <w:ind w:left="175" w:right="138" w:firstLine="0"/>
              <w:rPr>
                <w:rFonts w:ascii="Times New Roman" w:hAnsi="Times New Roman"/>
                <w:sz w:val="16"/>
                <w:szCs w:val="16"/>
              </w:rPr>
            </w:pPr>
            <w:r w:rsidRPr="00E16672">
              <w:rPr>
                <w:rFonts w:ascii="Times New Roman" w:hAnsi="Times New Roman"/>
                <w:sz w:val="16"/>
                <w:szCs w:val="16"/>
              </w:rPr>
              <w:t xml:space="preserve">Інформація, що була надана </w:t>
            </w:r>
            <w:r w:rsidR="00990A10" w:rsidRPr="00E16672">
              <w:rPr>
                <w:rFonts w:ascii="Times New Roman" w:hAnsi="Times New Roman"/>
                <w:sz w:val="16"/>
                <w:szCs w:val="16"/>
              </w:rPr>
              <w:t>Номінальному утримувачу</w:t>
            </w:r>
            <w:r w:rsidRPr="00E16672">
              <w:rPr>
                <w:rFonts w:ascii="Times New Roman" w:hAnsi="Times New Roman"/>
                <w:sz w:val="16"/>
                <w:szCs w:val="16"/>
              </w:rPr>
              <w:t xml:space="preserve">, забезпечила правильне розуміння </w:t>
            </w:r>
            <w:r w:rsidR="00990A10" w:rsidRPr="00E16672">
              <w:rPr>
                <w:rFonts w:ascii="Times New Roman" w:hAnsi="Times New Roman"/>
                <w:sz w:val="16"/>
                <w:szCs w:val="16"/>
              </w:rPr>
              <w:t>Номінальним утримувачем</w:t>
            </w:r>
            <w:r w:rsidRPr="00E16672">
              <w:rPr>
                <w:rFonts w:ascii="Times New Roman" w:hAnsi="Times New Roman"/>
                <w:sz w:val="16"/>
                <w:szCs w:val="16"/>
              </w:rPr>
              <w:t xml:space="preserve">  суті фінансової послуги, що має надаватись, без нав'язування її придбання.</w:t>
            </w:r>
          </w:p>
          <w:p w14:paraId="07D6C275" w14:textId="77777777" w:rsidR="00EB25FE" w:rsidRPr="00E16672" w:rsidRDefault="00EB25FE" w:rsidP="00794B3F">
            <w:pPr>
              <w:pStyle w:val="1b"/>
              <w:spacing w:before="0" w:after="0"/>
              <w:ind w:left="175" w:right="138"/>
              <w:rPr>
                <w:rFonts w:ascii="Times New Roman" w:eastAsia="Times New Roman" w:hAnsi="Times New Roman" w:cs="Times New Roman"/>
                <w:sz w:val="16"/>
                <w:szCs w:val="16"/>
                <w:shd w:val="clear" w:color="auto" w:fill="FFFF00"/>
              </w:rPr>
            </w:pPr>
          </w:p>
        </w:tc>
        <w:tc>
          <w:tcPr>
            <w:tcW w:w="5495" w:type="dxa"/>
            <w:gridSpan w:val="8"/>
            <w:shd w:val="clear" w:color="auto" w:fill="auto"/>
          </w:tcPr>
          <w:p w14:paraId="54EEA725" w14:textId="77777777" w:rsidR="00EB25FE" w:rsidRPr="00E16672" w:rsidRDefault="00990A10" w:rsidP="00022F5F">
            <w:pPr>
              <w:pStyle w:val="310"/>
              <w:tabs>
                <w:tab w:val="left" w:pos="287"/>
                <w:tab w:val="left" w:pos="1137"/>
                <w:tab w:val="left" w:pos="1191"/>
              </w:tabs>
              <w:ind w:left="145" w:right="100" w:firstLine="0"/>
              <w:jc w:val="left"/>
              <w:rPr>
                <w:rFonts w:ascii="Times New Roman" w:hAnsi="Times New Roman"/>
                <w:sz w:val="16"/>
                <w:szCs w:val="16"/>
                <w:lang w:val="en-US"/>
              </w:rPr>
            </w:pPr>
            <w:r w:rsidRPr="00E16672">
              <w:rPr>
                <w:rFonts w:ascii="Times New Roman" w:hAnsi="Times New Roman"/>
                <w:sz w:val="16"/>
                <w:szCs w:val="16"/>
                <w:lang w:val="en-US"/>
              </w:rPr>
              <w:t>Nominee holder</w:t>
            </w:r>
            <w:r w:rsidRPr="00E16672">
              <w:rPr>
                <w:rFonts w:ascii="Times New Roman" w:hAnsi="Times New Roman"/>
                <w:sz w:val="16"/>
                <w:szCs w:val="16"/>
              </w:rPr>
              <w:t xml:space="preserve"> </w:t>
            </w:r>
            <w:proofErr w:type="spellStart"/>
            <w:r w:rsidR="00EB25FE" w:rsidRPr="00E16672">
              <w:rPr>
                <w:rFonts w:ascii="Times New Roman" w:hAnsi="Times New Roman"/>
                <w:sz w:val="16"/>
                <w:szCs w:val="16"/>
              </w:rPr>
              <w:t>confirms</w:t>
            </w:r>
            <w:proofErr w:type="spellEnd"/>
            <w:r w:rsidR="00EB25FE" w:rsidRPr="00E16672">
              <w:rPr>
                <w:rFonts w:ascii="Times New Roman" w:hAnsi="Times New Roman"/>
                <w:sz w:val="16"/>
                <w:szCs w:val="16"/>
              </w:rPr>
              <w:t xml:space="preserve"> </w:t>
            </w:r>
            <w:proofErr w:type="spellStart"/>
            <w:r w:rsidR="00EB25FE" w:rsidRPr="00E16672">
              <w:rPr>
                <w:rFonts w:ascii="Times New Roman" w:hAnsi="Times New Roman"/>
                <w:sz w:val="16"/>
                <w:szCs w:val="16"/>
              </w:rPr>
              <w:t>that</w:t>
            </w:r>
            <w:proofErr w:type="spellEnd"/>
            <w:r w:rsidR="00EB25FE" w:rsidRPr="00E16672">
              <w:rPr>
                <w:rFonts w:ascii="Times New Roman" w:hAnsi="Times New Roman"/>
                <w:sz w:val="16"/>
                <w:szCs w:val="16"/>
              </w:rPr>
              <w:t xml:space="preserve"> </w:t>
            </w:r>
            <w:proofErr w:type="spellStart"/>
            <w:r w:rsidR="00EB25FE" w:rsidRPr="00E16672">
              <w:rPr>
                <w:rFonts w:ascii="Times New Roman" w:hAnsi="Times New Roman"/>
                <w:sz w:val="16"/>
                <w:szCs w:val="16"/>
              </w:rPr>
              <w:t>the</w:t>
            </w:r>
            <w:proofErr w:type="spellEnd"/>
            <w:r w:rsidR="00EB25FE" w:rsidRPr="00E16672">
              <w:rPr>
                <w:rFonts w:ascii="Times New Roman" w:hAnsi="Times New Roman"/>
                <w:sz w:val="16"/>
                <w:szCs w:val="16"/>
              </w:rPr>
              <w:t xml:space="preserve"> </w:t>
            </w:r>
            <w:r w:rsidR="00EB25FE" w:rsidRPr="00E16672">
              <w:rPr>
                <w:rFonts w:ascii="Times New Roman" w:hAnsi="Times New Roman"/>
                <w:sz w:val="16"/>
                <w:szCs w:val="16"/>
                <w:lang w:val="en-US"/>
              </w:rPr>
              <w:t>D</w:t>
            </w:r>
            <w:proofErr w:type="spellStart"/>
            <w:r w:rsidR="00EB25FE" w:rsidRPr="00E16672">
              <w:rPr>
                <w:rFonts w:ascii="Times New Roman" w:hAnsi="Times New Roman"/>
                <w:sz w:val="16"/>
                <w:szCs w:val="16"/>
              </w:rPr>
              <w:t>epository</w:t>
            </w:r>
            <w:proofErr w:type="spellEnd"/>
            <w:r w:rsidR="00EB25FE" w:rsidRPr="00E16672">
              <w:rPr>
                <w:rFonts w:ascii="Times New Roman" w:hAnsi="Times New Roman"/>
                <w:sz w:val="16"/>
                <w:szCs w:val="16"/>
              </w:rPr>
              <w:t xml:space="preserve"> </w:t>
            </w:r>
            <w:proofErr w:type="spellStart"/>
            <w:r w:rsidR="00EB25FE" w:rsidRPr="00E16672">
              <w:rPr>
                <w:rFonts w:ascii="Times New Roman" w:hAnsi="Times New Roman"/>
                <w:sz w:val="16"/>
                <w:szCs w:val="16"/>
              </w:rPr>
              <w:t>institution</w:t>
            </w:r>
            <w:proofErr w:type="spellEnd"/>
            <w:r w:rsidR="00EB25FE" w:rsidRPr="00E16672">
              <w:rPr>
                <w:rFonts w:ascii="Times New Roman" w:hAnsi="Times New Roman"/>
                <w:sz w:val="16"/>
                <w:szCs w:val="16"/>
              </w:rPr>
              <w:t xml:space="preserve"> </w:t>
            </w:r>
            <w:proofErr w:type="spellStart"/>
            <w:r w:rsidR="00EB25FE" w:rsidRPr="00E16672">
              <w:rPr>
                <w:rFonts w:ascii="Times New Roman" w:hAnsi="Times New Roman"/>
                <w:sz w:val="16"/>
                <w:szCs w:val="16"/>
              </w:rPr>
              <w:t>provided</w:t>
            </w:r>
            <w:proofErr w:type="spellEnd"/>
            <w:r w:rsidR="00EB25FE" w:rsidRPr="00E16672">
              <w:rPr>
                <w:rFonts w:ascii="Times New Roman" w:hAnsi="Times New Roman"/>
                <w:sz w:val="16"/>
                <w:szCs w:val="16"/>
              </w:rPr>
              <w:t xml:space="preserve"> </w:t>
            </w:r>
            <w:proofErr w:type="spellStart"/>
            <w:r w:rsidR="00EB25FE" w:rsidRPr="00E16672">
              <w:rPr>
                <w:rFonts w:ascii="Times New Roman" w:hAnsi="Times New Roman"/>
                <w:sz w:val="16"/>
                <w:szCs w:val="16"/>
              </w:rPr>
              <w:t>him</w:t>
            </w:r>
            <w:proofErr w:type="spellEnd"/>
            <w:r w:rsidR="00EB25FE" w:rsidRPr="00E16672">
              <w:rPr>
                <w:rFonts w:ascii="Times New Roman" w:hAnsi="Times New Roman"/>
                <w:sz w:val="16"/>
                <w:szCs w:val="16"/>
              </w:rPr>
              <w:t xml:space="preserve"> </w:t>
            </w:r>
            <w:proofErr w:type="spellStart"/>
            <w:r w:rsidR="00EB25FE" w:rsidRPr="00E16672">
              <w:rPr>
                <w:rFonts w:ascii="Times New Roman" w:hAnsi="Times New Roman"/>
                <w:sz w:val="16"/>
                <w:szCs w:val="16"/>
              </w:rPr>
              <w:t>the</w:t>
            </w:r>
            <w:proofErr w:type="spellEnd"/>
            <w:r w:rsidR="00EB25FE" w:rsidRPr="00E16672">
              <w:rPr>
                <w:rFonts w:ascii="Times New Roman" w:hAnsi="Times New Roman"/>
                <w:sz w:val="16"/>
                <w:szCs w:val="16"/>
              </w:rPr>
              <w:t xml:space="preserve"> </w:t>
            </w:r>
            <w:proofErr w:type="spellStart"/>
            <w:r w:rsidR="00EB25FE" w:rsidRPr="00E16672">
              <w:rPr>
                <w:rFonts w:ascii="Times New Roman" w:hAnsi="Times New Roman"/>
                <w:sz w:val="16"/>
                <w:szCs w:val="16"/>
              </w:rPr>
              <w:t>information</w:t>
            </w:r>
            <w:proofErr w:type="spellEnd"/>
            <w:r w:rsidR="00EB25FE" w:rsidRPr="00E16672">
              <w:rPr>
                <w:rFonts w:ascii="Times New Roman" w:hAnsi="Times New Roman"/>
                <w:sz w:val="16"/>
                <w:szCs w:val="16"/>
              </w:rPr>
              <w:t xml:space="preserve"> </w:t>
            </w:r>
            <w:proofErr w:type="spellStart"/>
            <w:r w:rsidR="00EB25FE" w:rsidRPr="00E16672">
              <w:rPr>
                <w:rFonts w:ascii="Times New Roman" w:hAnsi="Times New Roman"/>
                <w:sz w:val="16"/>
                <w:szCs w:val="16"/>
              </w:rPr>
              <w:t>referred</w:t>
            </w:r>
            <w:proofErr w:type="spellEnd"/>
            <w:r w:rsidR="00EB25FE" w:rsidRPr="00E16672">
              <w:rPr>
                <w:rFonts w:ascii="Times New Roman" w:hAnsi="Times New Roman"/>
                <w:sz w:val="16"/>
                <w:szCs w:val="16"/>
              </w:rPr>
              <w:t xml:space="preserve"> </w:t>
            </w:r>
            <w:proofErr w:type="spellStart"/>
            <w:r w:rsidR="00EB25FE" w:rsidRPr="00E16672">
              <w:rPr>
                <w:rFonts w:ascii="Times New Roman" w:hAnsi="Times New Roman"/>
                <w:sz w:val="16"/>
                <w:szCs w:val="16"/>
              </w:rPr>
              <w:t>to</w:t>
            </w:r>
            <w:proofErr w:type="spellEnd"/>
            <w:r w:rsidR="00EB25FE" w:rsidRPr="00E16672">
              <w:rPr>
                <w:rFonts w:ascii="Times New Roman" w:hAnsi="Times New Roman"/>
                <w:sz w:val="16"/>
                <w:szCs w:val="16"/>
              </w:rPr>
              <w:t xml:space="preserve"> </w:t>
            </w:r>
            <w:proofErr w:type="spellStart"/>
            <w:r w:rsidR="00EB25FE" w:rsidRPr="00E16672">
              <w:rPr>
                <w:rFonts w:ascii="Times New Roman" w:hAnsi="Times New Roman"/>
                <w:sz w:val="16"/>
                <w:szCs w:val="16"/>
              </w:rPr>
              <w:t>in</w:t>
            </w:r>
            <w:proofErr w:type="spellEnd"/>
            <w:r w:rsidR="00EB25FE" w:rsidRPr="00E16672">
              <w:rPr>
                <w:rFonts w:ascii="Times New Roman" w:hAnsi="Times New Roman"/>
                <w:sz w:val="16"/>
                <w:szCs w:val="16"/>
              </w:rPr>
              <w:t xml:space="preserve"> </w:t>
            </w:r>
            <w:proofErr w:type="spellStart"/>
            <w:r w:rsidR="00EB25FE" w:rsidRPr="00E16672">
              <w:rPr>
                <w:rFonts w:ascii="Times New Roman" w:hAnsi="Times New Roman"/>
                <w:sz w:val="16"/>
                <w:szCs w:val="16"/>
              </w:rPr>
              <w:t>Article</w:t>
            </w:r>
            <w:proofErr w:type="spellEnd"/>
            <w:r w:rsidR="00EB25FE" w:rsidRPr="00E16672">
              <w:rPr>
                <w:rFonts w:ascii="Times New Roman" w:hAnsi="Times New Roman"/>
                <w:sz w:val="16"/>
                <w:szCs w:val="16"/>
              </w:rPr>
              <w:t xml:space="preserve"> 12 </w:t>
            </w:r>
            <w:proofErr w:type="spellStart"/>
            <w:r w:rsidR="00EB25FE" w:rsidRPr="00E16672">
              <w:rPr>
                <w:rFonts w:ascii="Times New Roman" w:hAnsi="Times New Roman"/>
                <w:sz w:val="16"/>
                <w:szCs w:val="16"/>
              </w:rPr>
              <w:t>of</w:t>
            </w:r>
            <w:proofErr w:type="spellEnd"/>
            <w:r w:rsidR="00EB25FE" w:rsidRPr="00E16672">
              <w:rPr>
                <w:rFonts w:ascii="Times New Roman" w:hAnsi="Times New Roman"/>
                <w:sz w:val="16"/>
                <w:szCs w:val="16"/>
              </w:rPr>
              <w:t xml:space="preserve"> </w:t>
            </w:r>
            <w:proofErr w:type="spellStart"/>
            <w:r w:rsidR="00EB25FE" w:rsidRPr="00E16672">
              <w:rPr>
                <w:rFonts w:ascii="Times New Roman" w:hAnsi="Times New Roman"/>
                <w:sz w:val="16"/>
                <w:szCs w:val="16"/>
              </w:rPr>
              <w:t>the</w:t>
            </w:r>
            <w:proofErr w:type="spellEnd"/>
            <w:r w:rsidR="00EB25FE" w:rsidRPr="00E16672">
              <w:rPr>
                <w:rFonts w:ascii="Times New Roman" w:hAnsi="Times New Roman"/>
                <w:sz w:val="16"/>
                <w:szCs w:val="16"/>
              </w:rPr>
              <w:t xml:space="preserve"> </w:t>
            </w:r>
            <w:proofErr w:type="spellStart"/>
            <w:r w:rsidR="00EB25FE" w:rsidRPr="00E16672">
              <w:rPr>
                <w:rFonts w:ascii="Times New Roman" w:hAnsi="Times New Roman"/>
                <w:sz w:val="16"/>
                <w:szCs w:val="16"/>
              </w:rPr>
              <w:t>Law</w:t>
            </w:r>
            <w:proofErr w:type="spellEnd"/>
            <w:r w:rsidR="00EB25FE" w:rsidRPr="00E16672">
              <w:rPr>
                <w:rFonts w:ascii="Times New Roman" w:hAnsi="Times New Roman"/>
                <w:sz w:val="16"/>
                <w:szCs w:val="16"/>
              </w:rPr>
              <w:t xml:space="preserve"> </w:t>
            </w:r>
            <w:proofErr w:type="spellStart"/>
            <w:r w:rsidR="00EB25FE" w:rsidRPr="00E16672">
              <w:rPr>
                <w:rFonts w:ascii="Times New Roman" w:hAnsi="Times New Roman"/>
                <w:sz w:val="16"/>
                <w:szCs w:val="16"/>
              </w:rPr>
              <w:t>of</w:t>
            </w:r>
            <w:proofErr w:type="spellEnd"/>
            <w:r w:rsidR="00EB25FE" w:rsidRPr="00E16672">
              <w:rPr>
                <w:rFonts w:ascii="Times New Roman" w:hAnsi="Times New Roman"/>
                <w:sz w:val="16"/>
                <w:szCs w:val="16"/>
              </w:rPr>
              <w:t xml:space="preserve"> </w:t>
            </w:r>
            <w:proofErr w:type="spellStart"/>
            <w:r w:rsidR="00EB25FE" w:rsidRPr="00E16672">
              <w:rPr>
                <w:rFonts w:ascii="Times New Roman" w:hAnsi="Times New Roman"/>
                <w:sz w:val="16"/>
                <w:szCs w:val="16"/>
              </w:rPr>
              <w:t>Ukraine</w:t>
            </w:r>
            <w:proofErr w:type="spellEnd"/>
            <w:r w:rsidR="00EB25FE" w:rsidRPr="00E16672">
              <w:rPr>
                <w:rFonts w:ascii="Times New Roman" w:hAnsi="Times New Roman"/>
                <w:sz w:val="16"/>
                <w:szCs w:val="16"/>
              </w:rPr>
              <w:t xml:space="preserve"> </w:t>
            </w:r>
            <w:r w:rsidR="00022F5F">
              <w:rPr>
                <w:rFonts w:ascii="Times New Roman" w:hAnsi="Times New Roman"/>
                <w:sz w:val="16"/>
                <w:szCs w:val="16"/>
              </w:rPr>
              <w:t>"</w:t>
            </w:r>
            <w:proofErr w:type="spellStart"/>
            <w:r w:rsidR="00EB25FE" w:rsidRPr="00E16672">
              <w:rPr>
                <w:rFonts w:ascii="Times New Roman" w:hAnsi="Times New Roman"/>
                <w:sz w:val="16"/>
                <w:szCs w:val="16"/>
              </w:rPr>
              <w:t>On</w:t>
            </w:r>
            <w:proofErr w:type="spellEnd"/>
            <w:r w:rsidR="00EB25FE" w:rsidRPr="00E16672">
              <w:rPr>
                <w:rFonts w:ascii="Times New Roman" w:hAnsi="Times New Roman"/>
                <w:sz w:val="16"/>
                <w:szCs w:val="16"/>
              </w:rPr>
              <w:t xml:space="preserve"> </w:t>
            </w:r>
            <w:proofErr w:type="spellStart"/>
            <w:r w:rsidR="00EB25FE" w:rsidRPr="00E16672">
              <w:rPr>
                <w:rFonts w:ascii="Times New Roman" w:hAnsi="Times New Roman"/>
                <w:sz w:val="16"/>
                <w:szCs w:val="16"/>
              </w:rPr>
              <w:t>Financial</w:t>
            </w:r>
            <w:proofErr w:type="spellEnd"/>
            <w:r w:rsidR="00EB25FE" w:rsidRPr="00E16672">
              <w:rPr>
                <w:rFonts w:ascii="Times New Roman" w:hAnsi="Times New Roman"/>
                <w:sz w:val="16"/>
                <w:szCs w:val="16"/>
              </w:rPr>
              <w:t xml:space="preserve"> </w:t>
            </w:r>
            <w:proofErr w:type="spellStart"/>
            <w:r w:rsidR="00EB25FE" w:rsidRPr="00E16672">
              <w:rPr>
                <w:rFonts w:ascii="Times New Roman" w:hAnsi="Times New Roman"/>
                <w:sz w:val="16"/>
                <w:szCs w:val="16"/>
              </w:rPr>
              <w:t>Services</w:t>
            </w:r>
            <w:proofErr w:type="spellEnd"/>
            <w:r w:rsidR="00EB25FE" w:rsidRPr="00E16672">
              <w:rPr>
                <w:rFonts w:ascii="Times New Roman" w:hAnsi="Times New Roman"/>
                <w:sz w:val="16"/>
                <w:szCs w:val="16"/>
              </w:rPr>
              <w:t xml:space="preserve"> </w:t>
            </w:r>
            <w:proofErr w:type="spellStart"/>
            <w:r w:rsidR="00EB25FE" w:rsidRPr="00E16672">
              <w:rPr>
                <w:rFonts w:ascii="Times New Roman" w:hAnsi="Times New Roman"/>
                <w:sz w:val="16"/>
                <w:szCs w:val="16"/>
              </w:rPr>
              <w:t>and</w:t>
            </w:r>
            <w:proofErr w:type="spellEnd"/>
            <w:r w:rsidR="00EB25FE" w:rsidRPr="00E16672">
              <w:rPr>
                <w:rFonts w:ascii="Times New Roman" w:hAnsi="Times New Roman"/>
                <w:sz w:val="16"/>
                <w:szCs w:val="16"/>
              </w:rPr>
              <w:t xml:space="preserve"> </w:t>
            </w:r>
            <w:proofErr w:type="spellStart"/>
            <w:r w:rsidR="00EB25FE" w:rsidRPr="00E16672">
              <w:rPr>
                <w:rFonts w:ascii="Times New Roman" w:hAnsi="Times New Roman"/>
                <w:sz w:val="16"/>
                <w:szCs w:val="16"/>
              </w:rPr>
              <w:t>State</w:t>
            </w:r>
            <w:proofErr w:type="spellEnd"/>
            <w:r w:rsidR="00EB25FE" w:rsidRPr="00E16672">
              <w:rPr>
                <w:rFonts w:ascii="Times New Roman" w:hAnsi="Times New Roman"/>
                <w:sz w:val="16"/>
                <w:szCs w:val="16"/>
              </w:rPr>
              <w:t xml:space="preserve"> </w:t>
            </w:r>
            <w:proofErr w:type="spellStart"/>
            <w:r w:rsidR="00EB25FE" w:rsidRPr="00E16672">
              <w:rPr>
                <w:rFonts w:ascii="Times New Roman" w:hAnsi="Times New Roman"/>
                <w:sz w:val="16"/>
                <w:szCs w:val="16"/>
              </w:rPr>
              <w:t>Regulation</w:t>
            </w:r>
            <w:proofErr w:type="spellEnd"/>
            <w:r w:rsidR="00EB25FE" w:rsidRPr="00E16672">
              <w:rPr>
                <w:rFonts w:ascii="Times New Roman" w:hAnsi="Times New Roman"/>
                <w:sz w:val="16"/>
                <w:szCs w:val="16"/>
              </w:rPr>
              <w:t xml:space="preserve"> </w:t>
            </w:r>
            <w:proofErr w:type="spellStart"/>
            <w:r w:rsidR="00EB25FE" w:rsidRPr="00E16672">
              <w:rPr>
                <w:rFonts w:ascii="Times New Roman" w:hAnsi="Times New Roman"/>
                <w:sz w:val="16"/>
                <w:szCs w:val="16"/>
              </w:rPr>
              <w:t>of</w:t>
            </w:r>
            <w:proofErr w:type="spellEnd"/>
            <w:r w:rsidR="00EB25FE" w:rsidRPr="00E16672">
              <w:rPr>
                <w:rFonts w:ascii="Times New Roman" w:hAnsi="Times New Roman"/>
                <w:sz w:val="16"/>
                <w:szCs w:val="16"/>
              </w:rPr>
              <w:t xml:space="preserve"> </w:t>
            </w:r>
            <w:proofErr w:type="spellStart"/>
            <w:r w:rsidR="00EB25FE" w:rsidRPr="00E16672">
              <w:rPr>
                <w:rFonts w:ascii="Times New Roman" w:hAnsi="Times New Roman"/>
                <w:sz w:val="16"/>
                <w:szCs w:val="16"/>
              </w:rPr>
              <w:t>Financial</w:t>
            </w:r>
            <w:proofErr w:type="spellEnd"/>
            <w:r w:rsidR="00EB25FE" w:rsidRPr="00E16672">
              <w:rPr>
                <w:rFonts w:ascii="Times New Roman" w:hAnsi="Times New Roman"/>
                <w:sz w:val="16"/>
                <w:szCs w:val="16"/>
              </w:rPr>
              <w:t xml:space="preserve"> </w:t>
            </w:r>
            <w:proofErr w:type="spellStart"/>
            <w:r w:rsidR="00EB25FE" w:rsidRPr="00E16672">
              <w:rPr>
                <w:rFonts w:ascii="Times New Roman" w:hAnsi="Times New Roman"/>
                <w:sz w:val="16"/>
                <w:szCs w:val="16"/>
              </w:rPr>
              <w:t>Services</w:t>
            </w:r>
            <w:proofErr w:type="spellEnd"/>
            <w:r w:rsidR="00022F5F">
              <w:rPr>
                <w:rFonts w:ascii="Times New Roman" w:hAnsi="Times New Roman"/>
                <w:sz w:val="16"/>
                <w:szCs w:val="16"/>
              </w:rPr>
              <w:t>"</w:t>
            </w:r>
            <w:r w:rsidR="00EB25FE" w:rsidRPr="00E16672">
              <w:rPr>
                <w:rFonts w:ascii="Times New Roman" w:hAnsi="Times New Roman"/>
                <w:sz w:val="16"/>
                <w:szCs w:val="16"/>
              </w:rPr>
              <w:t>.</w:t>
            </w:r>
            <w:r w:rsidR="00EB25FE" w:rsidRPr="00E16672">
              <w:rPr>
                <w:rFonts w:ascii="Times New Roman" w:hAnsi="Times New Roman"/>
                <w:sz w:val="16"/>
                <w:szCs w:val="16"/>
                <w:lang w:val="en-US"/>
              </w:rPr>
              <w:t xml:space="preserve">    </w:t>
            </w:r>
          </w:p>
          <w:p w14:paraId="628F0976" w14:textId="77777777" w:rsidR="00EB25FE" w:rsidRPr="00E16672" w:rsidRDefault="00EB25FE" w:rsidP="00794B3F">
            <w:pPr>
              <w:pStyle w:val="310"/>
              <w:tabs>
                <w:tab w:val="left" w:pos="287"/>
                <w:tab w:val="left" w:pos="1137"/>
                <w:tab w:val="left" w:pos="1191"/>
              </w:tabs>
              <w:ind w:left="145" w:right="100" w:firstLine="0"/>
              <w:rPr>
                <w:rFonts w:ascii="Times New Roman" w:hAnsi="Times New Roman"/>
                <w:sz w:val="16"/>
                <w:szCs w:val="16"/>
              </w:rPr>
            </w:pPr>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Information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was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provided</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by</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r w:rsidR="00990A10" w:rsidRPr="00E16672">
              <w:rPr>
                <w:rFonts w:ascii="Times New Roman" w:hAnsi="Times New Roman"/>
                <w:sz w:val="16"/>
                <w:szCs w:val="16"/>
                <w:lang w:val="en-US"/>
              </w:rPr>
              <w:t>Nominee holder</w:t>
            </w:r>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r w:rsidR="00990A10" w:rsidRPr="00E16672">
              <w:rPr>
                <w:rFonts w:ascii="Times New Roman" w:hAnsi="Times New Roman"/>
                <w:sz w:val="16"/>
                <w:szCs w:val="16"/>
                <w:lang w:val="en-US"/>
              </w:rPr>
              <w:t>Nominee holder</w:t>
            </w:r>
            <w:r w:rsidR="00990A10" w:rsidRPr="00E16672">
              <w:rPr>
                <w:rFonts w:ascii="Times New Roman" w:hAnsi="Times New Roman"/>
                <w:sz w:val="16"/>
                <w:szCs w:val="16"/>
              </w:rPr>
              <w:t xml:space="preserve"> </w:t>
            </w:r>
            <w:proofErr w:type="spellStart"/>
            <w:r w:rsidRPr="00E16672">
              <w:rPr>
                <w:rFonts w:ascii="Times New Roman" w:hAnsi="Times New Roman"/>
                <w:sz w:val="16"/>
                <w:szCs w:val="16"/>
              </w:rPr>
              <w:t>has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provided</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proper</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understanding</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of</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financial</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services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should</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be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provided</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without</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imposing</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its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acquisition</w:t>
            </w:r>
            <w:proofErr w:type="spellEnd"/>
            <w:r w:rsidRPr="00E16672">
              <w:rPr>
                <w:rFonts w:ascii="Times New Roman" w:hAnsi="Times New Roman"/>
                <w:sz w:val="16"/>
                <w:szCs w:val="16"/>
              </w:rPr>
              <w:t>.</w:t>
            </w:r>
          </w:p>
        </w:tc>
      </w:tr>
      <w:tr w:rsidR="00EB25FE" w:rsidRPr="00A26EFC" w14:paraId="1E0DD139" w14:textId="77777777" w:rsidTr="005E418B">
        <w:tblPrEx>
          <w:tblCellMar>
            <w:left w:w="0" w:type="dxa"/>
            <w:right w:w="0" w:type="dxa"/>
          </w:tblCellMar>
        </w:tblPrEx>
        <w:trPr>
          <w:trHeight w:val="951"/>
        </w:trPr>
        <w:tc>
          <w:tcPr>
            <w:tcW w:w="5695" w:type="dxa"/>
            <w:gridSpan w:val="7"/>
            <w:shd w:val="clear" w:color="auto" w:fill="auto"/>
          </w:tcPr>
          <w:p w14:paraId="31DDD95B" w14:textId="77777777" w:rsidR="00EB25FE" w:rsidRPr="00E16672" w:rsidRDefault="00EB25FE" w:rsidP="00022F5F">
            <w:pPr>
              <w:pStyle w:val="ae"/>
              <w:tabs>
                <w:tab w:val="left" w:pos="426"/>
              </w:tabs>
              <w:snapToGrid w:val="0"/>
              <w:ind w:left="175" w:right="138" w:firstLine="0"/>
              <w:jc w:val="left"/>
              <w:rPr>
                <w:rFonts w:ascii="Times New Roman" w:hAnsi="Times New Roman"/>
                <w:sz w:val="16"/>
                <w:szCs w:val="16"/>
              </w:rPr>
            </w:pPr>
            <w:r w:rsidRPr="00E16672">
              <w:rPr>
                <w:rFonts w:ascii="Times New Roman" w:hAnsi="Times New Roman"/>
                <w:sz w:val="16"/>
                <w:szCs w:val="16"/>
              </w:rPr>
              <w:t>8.</w:t>
            </w:r>
            <w:r w:rsidRPr="00E16672">
              <w:rPr>
                <w:rFonts w:ascii="Times New Roman" w:hAnsi="Times New Roman"/>
                <w:sz w:val="16"/>
                <w:szCs w:val="16"/>
                <w:lang w:val="ru-RU"/>
              </w:rPr>
              <w:t>3.</w:t>
            </w:r>
            <w:r w:rsidRPr="00E16672">
              <w:rPr>
                <w:rFonts w:ascii="Times New Roman" w:hAnsi="Times New Roman"/>
                <w:sz w:val="16"/>
                <w:szCs w:val="16"/>
              </w:rPr>
              <w:t xml:space="preserve"> На виконання вимог Закону України </w:t>
            </w:r>
            <w:r w:rsidR="00022F5F">
              <w:rPr>
                <w:rFonts w:ascii="Times New Roman" w:hAnsi="Times New Roman"/>
                <w:sz w:val="16"/>
                <w:szCs w:val="16"/>
              </w:rPr>
              <w:t>"</w:t>
            </w:r>
            <w:r w:rsidRPr="00E16672">
              <w:rPr>
                <w:rFonts w:ascii="Times New Roman" w:hAnsi="Times New Roman"/>
                <w:sz w:val="16"/>
                <w:szCs w:val="16"/>
              </w:rPr>
              <w:t>Про захист персональних даних</w:t>
            </w:r>
            <w:r w:rsidR="00022F5F">
              <w:rPr>
                <w:rFonts w:ascii="Times New Roman" w:hAnsi="Times New Roman"/>
                <w:sz w:val="16"/>
                <w:szCs w:val="16"/>
              </w:rPr>
              <w:t>"</w:t>
            </w:r>
            <w:r w:rsidRPr="00E16672">
              <w:rPr>
                <w:rFonts w:ascii="Times New Roman" w:hAnsi="Times New Roman"/>
                <w:sz w:val="16"/>
                <w:szCs w:val="16"/>
              </w:rPr>
              <w:t xml:space="preserve"> у разі отримання Депозитарною установою інформації, яка стосується персональних даних фізичних осіб, Сторона, що надала такі дані підписанням цього Договору підтверджує легітимність їх отримання, та право на передання Депозитарній установі таких даних для використання (обробки) Депозитарною установою у випадках, передбачених законодавством, а також – передання Депозитарною установою таких даних третім особам у випадках </w:t>
            </w:r>
            <w:r w:rsidRPr="00E16672">
              <w:rPr>
                <w:rFonts w:ascii="Times New Roman" w:hAnsi="Times New Roman"/>
                <w:sz w:val="16"/>
                <w:szCs w:val="16"/>
              </w:rPr>
              <w:lastRenderedPageBreak/>
              <w:t xml:space="preserve">встановлених чинним законодавством України. </w:t>
            </w:r>
          </w:p>
          <w:p w14:paraId="26E84A8E" w14:textId="77777777" w:rsidR="00EB25FE" w:rsidRPr="00E16672" w:rsidRDefault="00EB25FE" w:rsidP="00794B3F">
            <w:pPr>
              <w:pStyle w:val="ae"/>
              <w:tabs>
                <w:tab w:val="left" w:pos="426"/>
              </w:tabs>
              <w:snapToGrid w:val="0"/>
              <w:ind w:left="175" w:right="138" w:firstLine="0"/>
              <w:rPr>
                <w:rFonts w:ascii="Times New Roman" w:hAnsi="Times New Roman"/>
                <w:sz w:val="16"/>
                <w:szCs w:val="16"/>
              </w:rPr>
            </w:pPr>
          </w:p>
        </w:tc>
        <w:tc>
          <w:tcPr>
            <w:tcW w:w="5495" w:type="dxa"/>
            <w:gridSpan w:val="8"/>
            <w:shd w:val="clear" w:color="auto" w:fill="auto"/>
          </w:tcPr>
          <w:p w14:paraId="388102E7" w14:textId="77777777" w:rsidR="00EB25FE" w:rsidRPr="00E16672" w:rsidRDefault="00EB25FE" w:rsidP="00022F5F">
            <w:pPr>
              <w:pStyle w:val="310"/>
              <w:tabs>
                <w:tab w:val="left" w:pos="287"/>
                <w:tab w:val="left" w:pos="1137"/>
                <w:tab w:val="left" w:pos="1191"/>
              </w:tabs>
              <w:snapToGrid w:val="0"/>
              <w:ind w:left="145" w:right="100" w:firstLine="0"/>
              <w:jc w:val="left"/>
              <w:rPr>
                <w:rFonts w:ascii="Times New Roman" w:hAnsi="Times New Roman"/>
                <w:sz w:val="16"/>
                <w:szCs w:val="16"/>
              </w:rPr>
            </w:pPr>
            <w:r w:rsidRPr="00E16672">
              <w:rPr>
                <w:rFonts w:ascii="Times New Roman" w:hAnsi="Times New Roman"/>
                <w:sz w:val="16"/>
                <w:szCs w:val="16"/>
                <w:lang w:val="en-US"/>
              </w:rPr>
              <w:lastRenderedPageBreak/>
              <w:t>8</w:t>
            </w:r>
            <w:r w:rsidRPr="00E16672">
              <w:rPr>
                <w:rFonts w:ascii="Times New Roman" w:hAnsi="Times New Roman"/>
                <w:sz w:val="16"/>
                <w:szCs w:val="16"/>
              </w:rPr>
              <w:t>.</w:t>
            </w:r>
            <w:r w:rsidRPr="00E16672">
              <w:rPr>
                <w:rFonts w:ascii="Times New Roman" w:hAnsi="Times New Roman"/>
                <w:sz w:val="16"/>
                <w:szCs w:val="16"/>
                <w:lang w:val="en-US"/>
              </w:rPr>
              <w:t>3</w:t>
            </w:r>
            <w:r w:rsidRPr="00E16672">
              <w:rPr>
                <w:rFonts w:ascii="Times New Roman" w:hAnsi="Times New Roman"/>
                <w:sz w:val="16"/>
                <w:szCs w:val="16"/>
                <w:lang w:val="en-GB"/>
              </w:rPr>
              <w:t xml:space="preserve">. </w:t>
            </w:r>
            <w:proofErr w:type="spellStart"/>
            <w:r w:rsidRPr="00E16672">
              <w:rPr>
                <w:rFonts w:ascii="Times New Roman" w:hAnsi="Times New Roman"/>
                <w:sz w:val="16"/>
                <w:szCs w:val="16"/>
              </w:rPr>
              <w:t>Pursuant</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to</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requirements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of</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Law</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of</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Ukraine</w:t>
            </w:r>
            <w:proofErr w:type="spellEnd"/>
            <w:r w:rsidRPr="00E16672">
              <w:rPr>
                <w:rFonts w:ascii="Times New Roman" w:hAnsi="Times New Roman"/>
                <w:sz w:val="16"/>
                <w:szCs w:val="16"/>
              </w:rPr>
              <w:t xml:space="preserve"> </w:t>
            </w:r>
            <w:r w:rsidR="00022F5F">
              <w:rPr>
                <w:rFonts w:ascii="Times New Roman" w:hAnsi="Times New Roman"/>
                <w:sz w:val="16"/>
                <w:szCs w:val="16"/>
              </w:rPr>
              <w:t>"</w:t>
            </w:r>
            <w:proofErr w:type="spellStart"/>
            <w:r w:rsidRPr="00E16672">
              <w:rPr>
                <w:rFonts w:ascii="Times New Roman" w:hAnsi="Times New Roman"/>
                <w:sz w:val="16"/>
                <w:szCs w:val="16"/>
              </w:rPr>
              <w:t>On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Personal</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Data</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Protection</w:t>
            </w:r>
            <w:proofErr w:type="spellEnd"/>
            <w:r w:rsidR="00022F5F">
              <w:rPr>
                <w:rFonts w:ascii="Times New Roman" w:hAnsi="Times New Roman"/>
                <w:sz w:val="16"/>
                <w:szCs w:val="16"/>
              </w:rPr>
              <w:t>"</w:t>
            </w:r>
            <w:r w:rsidRPr="00E16672">
              <w:rPr>
                <w:rFonts w:ascii="Times New Roman" w:hAnsi="Times New Roman"/>
                <w:strike/>
                <w:color w:val="FF00FF"/>
                <w:sz w:val="16"/>
                <w:szCs w:val="16"/>
              </w:rPr>
              <w:t xml:space="preserve"> </w:t>
            </w:r>
            <w:proofErr w:type="spellStart"/>
            <w:r w:rsidRPr="00E16672">
              <w:rPr>
                <w:rFonts w:ascii="Times New Roman" w:hAnsi="Times New Roman"/>
                <w:sz w:val="16"/>
                <w:szCs w:val="16"/>
              </w:rPr>
              <w:t>in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case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of</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Depository</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institution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information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regarding</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personal</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data</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of</w:t>
            </w:r>
            <w:proofErr w:type="spellEnd"/>
            <w:r w:rsidRPr="00E16672">
              <w:rPr>
                <w:rFonts w:ascii="Times New Roman" w:hAnsi="Times New Roman"/>
                <w:sz w:val="16"/>
                <w:szCs w:val="16"/>
              </w:rPr>
              <w:t xml:space="preserve"> </w:t>
            </w:r>
            <w:r w:rsidRPr="00E16672">
              <w:rPr>
                <w:rFonts w:ascii="Times New Roman" w:hAnsi="Times New Roman"/>
                <w:sz w:val="16"/>
                <w:szCs w:val="16"/>
                <w:lang w:val="en-US"/>
              </w:rPr>
              <w:t>physical persons</w:t>
            </w:r>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Party</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that</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supplied</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data</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by</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signature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of</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Agreement</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confirms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legitimacy</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of</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their</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production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and</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right</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to</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transfer</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to</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Depository</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institution</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of</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data</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to</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use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processing</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by</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Depository</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institution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in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cases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required</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by</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law</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and</w:t>
            </w:r>
            <w:proofErr w:type="spellEnd"/>
            <w:r w:rsidRPr="00E16672">
              <w:rPr>
                <w:rFonts w:ascii="Times New Roman" w:hAnsi="Times New Roman"/>
                <w:sz w:val="16"/>
                <w:szCs w:val="16"/>
              </w:rPr>
              <w:t xml:space="preserve"> - </w:t>
            </w:r>
            <w:proofErr w:type="spellStart"/>
            <w:r w:rsidRPr="00E16672">
              <w:rPr>
                <w:rFonts w:ascii="Times New Roman" w:hAnsi="Times New Roman"/>
                <w:sz w:val="16"/>
                <w:szCs w:val="16"/>
              </w:rPr>
              <w:t>Depository</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institution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transfer</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such</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data</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to</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third</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parties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in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cases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stipulated</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by</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current</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legislation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of</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Ukraine</w:t>
            </w:r>
            <w:proofErr w:type="spellEnd"/>
            <w:r w:rsidRPr="00E16672">
              <w:rPr>
                <w:rFonts w:ascii="Times New Roman" w:hAnsi="Times New Roman"/>
                <w:sz w:val="16"/>
                <w:szCs w:val="16"/>
              </w:rPr>
              <w:t>.</w:t>
            </w:r>
          </w:p>
          <w:p w14:paraId="48591F2D" w14:textId="77777777" w:rsidR="00EB25FE" w:rsidRPr="00E16672" w:rsidRDefault="00EB25FE" w:rsidP="00794B3F">
            <w:pPr>
              <w:pStyle w:val="210"/>
              <w:tabs>
                <w:tab w:val="left" w:pos="287"/>
              </w:tabs>
              <w:ind w:left="145" w:right="100" w:firstLine="0"/>
              <w:rPr>
                <w:rFonts w:ascii="Times New Roman" w:hAnsi="Times New Roman"/>
                <w:b/>
                <w:bCs/>
                <w:sz w:val="16"/>
                <w:szCs w:val="16"/>
                <w:lang w:val="en-GB"/>
              </w:rPr>
            </w:pPr>
          </w:p>
        </w:tc>
      </w:tr>
      <w:tr w:rsidR="00EB25FE" w:rsidRPr="00A26EFC" w14:paraId="719A5891" w14:textId="77777777" w:rsidTr="00FA3078">
        <w:tblPrEx>
          <w:tblCellMar>
            <w:left w:w="0" w:type="dxa"/>
            <w:right w:w="0" w:type="dxa"/>
          </w:tblCellMar>
        </w:tblPrEx>
        <w:trPr>
          <w:trHeight w:val="596"/>
        </w:trPr>
        <w:tc>
          <w:tcPr>
            <w:tcW w:w="5695" w:type="dxa"/>
            <w:gridSpan w:val="7"/>
            <w:shd w:val="clear" w:color="auto" w:fill="auto"/>
          </w:tcPr>
          <w:p w14:paraId="13204350" w14:textId="77777777" w:rsidR="00EB25FE" w:rsidRPr="00E16672" w:rsidRDefault="00EB25FE" w:rsidP="00794B3F">
            <w:pPr>
              <w:snapToGrid w:val="0"/>
              <w:ind w:left="175" w:right="138" w:firstLine="0"/>
              <w:rPr>
                <w:rFonts w:ascii="Times New Roman" w:hAnsi="Times New Roman"/>
                <w:sz w:val="16"/>
                <w:szCs w:val="16"/>
              </w:rPr>
            </w:pPr>
            <w:r w:rsidRPr="00E16672">
              <w:rPr>
                <w:rFonts w:ascii="Times New Roman" w:hAnsi="Times New Roman"/>
                <w:sz w:val="16"/>
                <w:szCs w:val="16"/>
              </w:rPr>
              <w:lastRenderedPageBreak/>
              <w:t>8.</w:t>
            </w:r>
            <w:r w:rsidRPr="00E16672">
              <w:rPr>
                <w:rFonts w:ascii="Times New Roman" w:hAnsi="Times New Roman"/>
                <w:sz w:val="16"/>
                <w:szCs w:val="16"/>
                <w:lang w:val="uk-UA"/>
              </w:rPr>
              <w:t>4</w:t>
            </w:r>
            <w:r w:rsidRPr="00E16672">
              <w:rPr>
                <w:rFonts w:ascii="Times New Roman" w:hAnsi="Times New Roman"/>
                <w:sz w:val="16"/>
                <w:szCs w:val="16"/>
              </w:rPr>
              <w:t xml:space="preserve">. </w:t>
            </w:r>
            <w:proofErr w:type="spellStart"/>
            <w:r w:rsidRPr="00E16672">
              <w:rPr>
                <w:rFonts w:ascii="Times New Roman" w:hAnsi="Times New Roman"/>
                <w:sz w:val="16"/>
                <w:szCs w:val="16"/>
              </w:rPr>
              <w:t>Додаткові</w:t>
            </w:r>
            <w:proofErr w:type="spellEnd"/>
            <w:r w:rsidRPr="00E16672">
              <w:rPr>
                <w:rFonts w:ascii="Times New Roman" w:hAnsi="Times New Roman"/>
                <w:sz w:val="16"/>
                <w:szCs w:val="16"/>
              </w:rPr>
              <w:t xml:space="preserve"> угоди </w:t>
            </w:r>
            <w:proofErr w:type="spellStart"/>
            <w:r w:rsidRPr="00E16672">
              <w:rPr>
                <w:rFonts w:ascii="Times New Roman" w:hAnsi="Times New Roman"/>
                <w:sz w:val="16"/>
                <w:szCs w:val="16"/>
              </w:rPr>
              <w:t>набирають</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чинності</w:t>
            </w:r>
            <w:proofErr w:type="spellEnd"/>
            <w:r w:rsidRPr="00E16672">
              <w:rPr>
                <w:rFonts w:ascii="Times New Roman" w:hAnsi="Times New Roman"/>
                <w:sz w:val="16"/>
                <w:szCs w:val="16"/>
              </w:rPr>
              <w:t xml:space="preserve"> з моменту </w:t>
            </w:r>
            <w:proofErr w:type="spellStart"/>
            <w:r w:rsidRPr="00E16672">
              <w:rPr>
                <w:rFonts w:ascii="Times New Roman" w:hAnsi="Times New Roman"/>
                <w:sz w:val="16"/>
                <w:szCs w:val="16"/>
              </w:rPr>
              <w:t>їх</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підписання</w:t>
            </w:r>
            <w:proofErr w:type="spellEnd"/>
            <w:r w:rsidRPr="00E16672">
              <w:rPr>
                <w:rFonts w:ascii="Times New Roman" w:hAnsi="Times New Roman"/>
                <w:sz w:val="16"/>
                <w:szCs w:val="16"/>
              </w:rPr>
              <w:t xml:space="preserve"> та є </w:t>
            </w:r>
            <w:proofErr w:type="spellStart"/>
            <w:r w:rsidRPr="00E16672">
              <w:rPr>
                <w:rFonts w:ascii="Times New Roman" w:hAnsi="Times New Roman"/>
                <w:sz w:val="16"/>
                <w:szCs w:val="16"/>
              </w:rPr>
              <w:t>невід’ємною</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частиною</w:t>
            </w:r>
            <w:proofErr w:type="spellEnd"/>
            <w:r w:rsidRPr="00E16672">
              <w:rPr>
                <w:rFonts w:ascii="Times New Roman" w:hAnsi="Times New Roman"/>
                <w:sz w:val="16"/>
                <w:szCs w:val="16"/>
              </w:rPr>
              <w:t xml:space="preserve"> Договору.</w:t>
            </w:r>
          </w:p>
        </w:tc>
        <w:tc>
          <w:tcPr>
            <w:tcW w:w="5495" w:type="dxa"/>
            <w:gridSpan w:val="8"/>
            <w:shd w:val="clear" w:color="auto" w:fill="auto"/>
          </w:tcPr>
          <w:p w14:paraId="57C3121A" w14:textId="77777777" w:rsidR="00EB25FE" w:rsidRPr="00E16672" w:rsidRDefault="00EB25FE" w:rsidP="00794B3F">
            <w:pPr>
              <w:pStyle w:val="310"/>
              <w:tabs>
                <w:tab w:val="left" w:pos="1137"/>
                <w:tab w:val="left" w:pos="1191"/>
              </w:tabs>
              <w:snapToGrid w:val="0"/>
              <w:ind w:left="175" w:right="138" w:firstLine="0"/>
              <w:rPr>
                <w:rFonts w:ascii="Times New Roman" w:hAnsi="Times New Roman"/>
                <w:sz w:val="16"/>
                <w:szCs w:val="16"/>
                <w:lang w:val="en-US"/>
              </w:rPr>
            </w:pPr>
            <w:r w:rsidRPr="00E16672">
              <w:rPr>
                <w:rFonts w:ascii="Times New Roman" w:hAnsi="Times New Roman"/>
                <w:sz w:val="16"/>
                <w:szCs w:val="16"/>
              </w:rPr>
              <w:t xml:space="preserve">8.4. </w:t>
            </w:r>
            <w:proofErr w:type="spellStart"/>
            <w:r w:rsidRPr="00E16672">
              <w:rPr>
                <w:rFonts w:ascii="Times New Roman" w:hAnsi="Times New Roman"/>
                <w:sz w:val="16"/>
                <w:szCs w:val="16"/>
              </w:rPr>
              <w:t>Additional</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agreements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inures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since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day</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when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it</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were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been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signed</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and</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become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an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integral</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part</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of</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Agreement</w:t>
            </w:r>
            <w:proofErr w:type="spellEnd"/>
            <w:r w:rsidRPr="00E16672">
              <w:rPr>
                <w:rFonts w:ascii="Times New Roman" w:hAnsi="Times New Roman"/>
                <w:sz w:val="16"/>
                <w:szCs w:val="16"/>
              </w:rPr>
              <w:t>.</w:t>
            </w:r>
          </w:p>
        </w:tc>
      </w:tr>
      <w:tr w:rsidR="00EB25FE" w:rsidRPr="00A26EFC" w14:paraId="67B75AE7" w14:textId="77777777" w:rsidTr="005E418B">
        <w:tblPrEx>
          <w:tblCellMar>
            <w:left w:w="0" w:type="dxa"/>
            <w:right w:w="0" w:type="dxa"/>
          </w:tblCellMar>
        </w:tblPrEx>
        <w:trPr>
          <w:trHeight w:val="558"/>
        </w:trPr>
        <w:tc>
          <w:tcPr>
            <w:tcW w:w="5695" w:type="dxa"/>
            <w:gridSpan w:val="7"/>
            <w:shd w:val="clear" w:color="auto" w:fill="auto"/>
          </w:tcPr>
          <w:p w14:paraId="4944ACCF" w14:textId="77777777" w:rsidR="00EB25FE" w:rsidRPr="00E16672" w:rsidRDefault="00EB25FE" w:rsidP="00794B3F">
            <w:pPr>
              <w:ind w:left="175" w:right="138" w:firstLine="0"/>
              <w:rPr>
                <w:rFonts w:ascii="Times New Roman" w:hAnsi="Times New Roman"/>
                <w:color w:val="000000"/>
                <w:sz w:val="16"/>
                <w:szCs w:val="16"/>
                <w:lang w:val="uk-UA"/>
              </w:rPr>
            </w:pPr>
            <w:r w:rsidRPr="00E16672">
              <w:rPr>
                <w:rFonts w:ascii="Times New Roman" w:hAnsi="Times New Roman"/>
                <w:color w:val="000000"/>
                <w:sz w:val="16"/>
                <w:szCs w:val="16"/>
              </w:rPr>
              <w:t>8.</w:t>
            </w:r>
            <w:r w:rsidRPr="00E16672">
              <w:rPr>
                <w:rFonts w:ascii="Times New Roman" w:hAnsi="Times New Roman"/>
                <w:color w:val="000000"/>
                <w:sz w:val="16"/>
                <w:szCs w:val="16"/>
                <w:lang w:val="uk-UA"/>
              </w:rPr>
              <w:t>5</w:t>
            </w:r>
            <w:r w:rsidRPr="00E16672">
              <w:rPr>
                <w:rFonts w:ascii="Times New Roman" w:hAnsi="Times New Roman"/>
                <w:color w:val="000000"/>
                <w:sz w:val="16"/>
                <w:szCs w:val="16"/>
              </w:rPr>
              <w:t xml:space="preserve">. </w:t>
            </w:r>
            <w:r w:rsidRPr="00E16672">
              <w:rPr>
                <w:rFonts w:ascii="Times New Roman" w:hAnsi="Times New Roman"/>
                <w:color w:val="000000"/>
                <w:sz w:val="16"/>
                <w:szCs w:val="16"/>
                <w:lang w:val="uk-UA"/>
              </w:rPr>
              <w:t>При виконанні даного Договору Сторони керуються умовами Договору</w:t>
            </w:r>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внутрішніх</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документів</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Депозитарної</w:t>
            </w:r>
            <w:proofErr w:type="spellEnd"/>
            <w:r w:rsidRPr="00E16672">
              <w:rPr>
                <w:rFonts w:ascii="Times New Roman" w:hAnsi="Times New Roman"/>
                <w:color w:val="000000"/>
                <w:sz w:val="16"/>
                <w:szCs w:val="16"/>
              </w:rPr>
              <w:t xml:space="preserve"> установи </w:t>
            </w:r>
            <w:r w:rsidRPr="00E16672">
              <w:rPr>
                <w:rFonts w:ascii="Times New Roman" w:hAnsi="Times New Roman"/>
                <w:color w:val="000000"/>
                <w:sz w:val="16"/>
                <w:szCs w:val="16"/>
                <w:lang w:val="uk-UA"/>
              </w:rPr>
              <w:t>та законодавством України.</w:t>
            </w:r>
          </w:p>
          <w:p w14:paraId="6AA65E08" w14:textId="77777777" w:rsidR="00EB25FE" w:rsidRPr="00E16672" w:rsidRDefault="00EB25FE" w:rsidP="00794B3F">
            <w:pPr>
              <w:snapToGrid w:val="0"/>
              <w:ind w:left="175" w:right="138"/>
              <w:rPr>
                <w:rFonts w:ascii="Times New Roman" w:hAnsi="Times New Roman"/>
                <w:color w:val="000000"/>
                <w:sz w:val="16"/>
                <w:szCs w:val="16"/>
              </w:rPr>
            </w:pPr>
            <w:r w:rsidRPr="00E16672">
              <w:rPr>
                <w:rFonts w:ascii="Times New Roman" w:hAnsi="Times New Roman"/>
                <w:color w:val="000000"/>
                <w:sz w:val="16"/>
                <w:szCs w:val="16"/>
              </w:rPr>
              <w:t>.</w:t>
            </w:r>
          </w:p>
        </w:tc>
        <w:tc>
          <w:tcPr>
            <w:tcW w:w="5495" w:type="dxa"/>
            <w:gridSpan w:val="8"/>
            <w:shd w:val="clear" w:color="auto" w:fill="auto"/>
          </w:tcPr>
          <w:p w14:paraId="0B725B23" w14:textId="77777777" w:rsidR="00EB25FE" w:rsidRPr="00E16672" w:rsidRDefault="00EB25FE" w:rsidP="00794B3F">
            <w:pPr>
              <w:snapToGrid w:val="0"/>
              <w:ind w:left="145" w:right="100" w:firstLine="0"/>
              <w:rPr>
                <w:rFonts w:ascii="Times New Roman" w:hAnsi="Times New Roman"/>
                <w:color w:val="000000"/>
                <w:sz w:val="16"/>
                <w:szCs w:val="16"/>
                <w:lang w:val="en-GB"/>
              </w:rPr>
            </w:pPr>
            <w:r w:rsidRPr="00E16672">
              <w:rPr>
                <w:rFonts w:ascii="Times New Roman" w:hAnsi="Times New Roman"/>
                <w:color w:val="000000"/>
                <w:sz w:val="16"/>
                <w:szCs w:val="16"/>
                <w:lang w:val="en-GB"/>
              </w:rPr>
              <w:t>8.</w:t>
            </w:r>
            <w:r w:rsidRPr="00E16672">
              <w:rPr>
                <w:rFonts w:ascii="Times New Roman" w:hAnsi="Times New Roman"/>
                <w:color w:val="000000"/>
                <w:sz w:val="16"/>
                <w:szCs w:val="16"/>
                <w:lang w:val="uk-UA"/>
              </w:rPr>
              <w:t xml:space="preserve">5. </w:t>
            </w:r>
            <w:r w:rsidRPr="00E16672">
              <w:rPr>
                <w:rFonts w:ascii="Times New Roman" w:hAnsi="Times New Roman"/>
                <w:color w:val="000000"/>
                <w:sz w:val="16"/>
                <w:szCs w:val="16"/>
                <w:lang w:val="en-GB"/>
              </w:rPr>
              <w:t xml:space="preserve">In the performance of this Agreement, Parties shall be guided by the Agreement, </w:t>
            </w:r>
            <w:r w:rsidRPr="00E16672">
              <w:rPr>
                <w:rFonts w:ascii="Times New Roman" w:hAnsi="Times New Roman"/>
                <w:iCs/>
                <w:color w:val="000000"/>
                <w:sz w:val="16"/>
                <w:szCs w:val="16"/>
                <w:lang w:val="en-US"/>
              </w:rPr>
              <w:t>internal documents of the Depository institution</w:t>
            </w:r>
            <w:r w:rsidRPr="00E16672">
              <w:rPr>
                <w:rFonts w:ascii="Times New Roman" w:hAnsi="Times New Roman"/>
                <w:color w:val="000000"/>
                <w:sz w:val="16"/>
                <w:szCs w:val="16"/>
                <w:lang w:val="en-GB"/>
              </w:rPr>
              <w:t xml:space="preserve"> and the legislation of Ukraine.</w:t>
            </w:r>
          </w:p>
          <w:p w14:paraId="3D1EF55A" w14:textId="77777777" w:rsidR="00EB25FE" w:rsidRPr="00E16672" w:rsidRDefault="00EB25FE" w:rsidP="00794B3F">
            <w:pPr>
              <w:pStyle w:val="210"/>
              <w:ind w:left="175" w:right="138" w:firstLine="0"/>
              <w:rPr>
                <w:rFonts w:ascii="Times New Roman" w:hAnsi="Times New Roman"/>
                <w:color w:val="000000"/>
                <w:sz w:val="16"/>
                <w:szCs w:val="16"/>
                <w:lang w:val="en-GB"/>
              </w:rPr>
            </w:pPr>
          </w:p>
        </w:tc>
      </w:tr>
      <w:tr w:rsidR="00EB25FE" w:rsidRPr="00A26EFC" w14:paraId="0AA324AC" w14:textId="77777777" w:rsidTr="005E418B">
        <w:tblPrEx>
          <w:tblCellMar>
            <w:left w:w="0" w:type="dxa"/>
            <w:right w:w="0" w:type="dxa"/>
          </w:tblCellMar>
        </w:tblPrEx>
        <w:trPr>
          <w:trHeight w:val="977"/>
        </w:trPr>
        <w:tc>
          <w:tcPr>
            <w:tcW w:w="5695" w:type="dxa"/>
            <w:gridSpan w:val="7"/>
            <w:shd w:val="clear" w:color="auto" w:fill="auto"/>
          </w:tcPr>
          <w:p w14:paraId="00274EA0" w14:textId="77777777" w:rsidR="00EB25FE" w:rsidRPr="00E16672" w:rsidRDefault="00EB25FE" w:rsidP="00794B3F">
            <w:pPr>
              <w:snapToGrid w:val="0"/>
              <w:ind w:left="175" w:right="138" w:firstLine="0"/>
              <w:rPr>
                <w:rFonts w:ascii="Times New Roman" w:hAnsi="Times New Roman"/>
                <w:sz w:val="16"/>
                <w:szCs w:val="16"/>
              </w:rPr>
            </w:pPr>
            <w:r w:rsidRPr="00E16672">
              <w:rPr>
                <w:rFonts w:ascii="Times New Roman" w:hAnsi="Times New Roman"/>
                <w:sz w:val="16"/>
                <w:szCs w:val="16"/>
              </w:rPr>
              <w:t>8.</w:t>
            </w:r>
            <w:r w:rsidRPr="00E16672">
              <w:rPr>
                <w:rFonts w:ascii="Times New Roman" w:hAnsi="Times New Roman"/>
                <w:sz w:val="16"/>
                <w:szCs w:val="16"/>
                <w:lang w:val="uk-UA"/>
              </w:rPr>
              <w:t>6</w:t>
            </w:r>
            <w:r w:rsidRPr="00E16672">
              <w:rPr>
                <w:rFonts w:ascii="Times New Roman" w:hAnsi="Times New Roman"/>
                <w:sz w:val="16"/>
                <w:szCs w:val="16"/>
              </w:rPr>
              <w:t xml:space="preserve">. </w:t>
            </w:r>
            <w:r w:rsidR="00990A10" w:rsidRPr="00E16672">
              <w:rPr>
                <w:rFonts w:ascii="Times New Roman" w:hAnsi="Times New Roman"/>
                <w:sz w:val="16"/>
                <w:szCs w:val="16"/>
                <w:lang w:val="uk-UA"/>
              </w:rPr>
              <w:t>Номінальний утримувач</w:t>
            </w:r>
            <w:r w:rsidRPr="00E16672">
              <w:rPr>
                <w:rFonts w:ascii="Times New Roman" w:hAnsi="Times New Roman"/>
                <w:sz w:val="16"/>
                <w:szCs w:val="16"/>
              </w:rPr>
              <w:t xml:space="preserve"> </w:t>
            </w:r>
            <w:proofErr w:type="spellStart"/>
            <w:r w:rsidRPr="00E16672">
              <w:rPr>
                <w:rFonts w:ascii="Times New Roman" w:hAnsi="Times New Roman"/>
                <w:sz w:val="16"/>
                <w:szCs w:val="16"/>
              </w:rPr>
              <w:t>бере</w:t>
            </w:r>
            <w:proofErr w:type="spellEnd"/>
            <w:r w:rsidRPr="00E16672">
              <w:rPr>
                <w:rFonts w:ascii="Times New Roman" w:hAnsi="Times New Roman"/>
                <w:sz w:val="16"/>
                <w:szCs w:val="16"/>
              </w:rPr>
              <w:t xml:space="preserve"> на себе </w:t>
            </w:r>
            <w:proofErr w:type="spellStart"/>
            <w:r w:rsidRPr="00E16672">
              <w:rPr>
                <w:rFonts w:ascii="Times New Roman" w:hAnsi="Times New Roman"/>
                <w:sz w:val="16"/>
                <w:szCs w:val="16"/>
              </w:rPr>
              <w:t>відповідальність</w:t>
            </w:r>
            <w:proofErr w:type="spellEnd"/>
            <w:r w:rsidRPr="00E16672">
              <w:rPr>
                <w:rFonts w:ascii="Times New Roman" w:hAnsi="Times New Roman"/>
                <w:sz w:val="16"/>
                <w:szCs w:val="16"/>
              </w:rPr>
              <w:t xml:space="preserve"> за </w:t>
            </w:r>
            <w:proofErr w:type="spellStart"/>
            <w:r w:rsidRPr="00E16672">
              <w:rPr>
                <w:rFonts w:ascii="Times New Roman" w:hAnsi="Times New Roman"/>
                <w:sz w:val="16"/>
                <w:szCs w:val="16"/>
              </w:rPr>
              <w:t>достовірність</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інформації</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що</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міститься</w:t>
            </w:r>
            <w:proofErr w:type="spellEnd"/>
            <w:r w:rsidRPr="00E16672">
              <w:rPr>
                <w:rFonts w:ascii="Times New Roman" w:hAnsi="Times New Roman"/>
                <w:sz w:val="16"/>
                <w:szCs w:val="16"/>
              </w:rPr>
              <w:t xml:space="preserve"> в документах, </w:t>
            </w:r>
            <w:proofErr w:type="spellStart"/>
            <w:r w:rsidRPr="00E16672">
              <w:rPr>
                <w:rFonts w:ascii="Times New Roman" w:hAnsi="Times New Roman"/>
                <w:sz w:val="16"/>
                <w:szCs w:val="16"/>
              </w:rPr>
              <w:t>які</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подаються</w:t>
            </w:r>
            <w:proofErr w:type="spellEnd"/>
            <w:r w:rsidRPr="00E16672">
              <w:rPr>
                <w:rFonts w:ascii="Times New Roman" w:hAnsi="Times New Roman"/>
                <w:sz w:val="16"/>
                <w:szCs w:val="16"/>
              </w:rPr>
              <w:t xml:space="preserve"> </w:t>
            </w:r>
            <w:r w:rsidR="00990A10" w:rsidRPr="00E16672">
              <w:rPr>
                <w:rFonts w:ascii="Times New Roman" w:hAnsi="Times New Roman"/>
                <w:sz w:val="16"/>
                <w:szCs w:val="16"/>
                <w:lang w:val="uk-UA"/>
              </w:rPr>
              <w:t>Номінальним утримувачем</w:t>
            </w:r>
            <w:r w:rsidRPr="00E16672">
              <w:rPr>
                <w:rFonts w:ascii="Times New Roman" w:hAnsi="Times New Roman"/>
                <w:sz w:val="16"/>
                <w:szCs w:val="16"/>
              </w:rPr>
              <w:t xml:space="preserve"> </w:t>
            </w:r>
            <w:proofErr w:type="spellStart"/>
            <w:r w:rsidRPr="00E16672">
              <w:rPr>
                <w:rFonts w:ascii="Times New Roman" w:hAnsi="Times New Roman"/>
                <w:sz w:val="16"/>
                <w:szCs w:val="16"/>
              </w:rPr>
              <w:t>Депозитарній</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установі</w:t>
            </w:r>
            <w:proofErr w:type="spellEnd"/>
            <w:r w:rsidRPr="00E16672">
              <w:rPr>
                <w:rFonts w:ascii="Times New Roman" w:hAnsi="Times New Roman"/>
                <w:sz w:val="16"/>
                <w:szCs w:val="16"/>
              </w:rPr>
              <w:t xml:space="preserve">, у тому </w:t>
            </w:r>
            <w:proofErr w:type="spellStart"/>
            <w:r w:rsidRPr="00E16672">
              <w:rPr>
                <w:rFonts w:ascii="Times New Roman" w:hAnsi="Times New Roman"/>
                <w:sz w:val="16"/>
                <w:szCs w:val="16"/>
              </w:rPr>
              <w:t>числі</w:t>
            </w:r>
            <w:proofErr w:type="spellEnd"/>
            <w:r w:rsidRPr="00E16672">
              <w:rPr>
                <w:rFonts w:ascii="Times New Roman" w:hAnsi="Times New Roman"/>
                <w:sz w:val="16"/>
                <w:szCs w:val="16"/>
              </w:rPr>
              <w:t xml:space="preserve"> документах, за </w:t>
            </w:r>
            <w:proofErr w:type="spellStart"/>
            <w:r w:rsidRPr="00E16672">
              <w:rPr>
                <w:rFonts w:ascii="Times New Roman" w:hAnsi="Times New Roman"/>
                <w:sz w:val="16"/>
                <w:szCs w:val="16"/>
              </w:rPr>
              <w:t>якими</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Депозитарній</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установі</w:t>
            </w:r>
            <w:proofErr w:type="spellEnd"/>
            <w:r w:rsidRPr="00E16672">
              <w:rPr>
                <w:rFonts w:ascii="Times New Roman" w:hAnsi="Times New Roman"/>
                <w:sz w:val="16"/>
                <w:szCs w:val="16"/>
              </w:rPr>
              <w:t xml:space="preserve"> </w:t>
            </w:r>
            <w:r w:rsidR="00990A10" w:rsidRPr="00E16672">
              <w:rPr>
                <w:rFonts w:ascii="Times New Roman" w:hAnsi="Times New Roman"/>
                <w:sz w:val="16"/>
                <w:szCs w:val="16"/>
                <w:lang w:val="uk-UA"/>
              </w:rPr>
              <w:t>Номінальним утримувачем</w:t>
            </w:r>
            <w:r w:rsidRPr="00E16672">
              <w:rPr>
                <w:rFonts w:ascii="Times New Roman" w:hAnsi="Times New Roman"/>
                <w:sz w:val="16"/>
                <w:szCs w:val="16"/>
              </w:rPr>
              <w:t xml:space="preserve"> </w:t>
            </w:r>
            <w:proofErr w:type="spellStart"/>
            <w:r w:rsidRPr="00E16672">
              <w:rPr>
                <w:rFonts w:ascii="Times New Roman" w:hAnsi="Times New Roman"/>
                <w:sz w:val="16"/>
                <w:szCs w:val="16"/>
              </w:rPr>
              <w:t>доручається</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проведення</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депозитарних</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операцій</w:t>
            </w:r>
            <w:proofErr w:type="spellEnd"/>
            <w:r w:rsidRPr="00E16672">
              <w:rPr>
                <w:rFonts w:ascii="Times New Roman" w:hAnsi="Times New Roman"/>
                <w:sz w:val="16"/>
                <w:szCs w:val="16"/>
              </w:rPr>
              <w:t xml:space="preserve"> на </w:t>
            </w:r>
            <w:proofErr w:type="spellStart"/>
            <w:r w:rsidRPr="00E16672">
              <w:rPr>
                <w:rFonts w:ascii="Times New Roman" w:hAnsi="Times New Roman"/>
                <w:sz w:val="16"/>
                <w:szCs w:val="16"/>
              </w:rPr>
              <w:t>рахунку</w:t>
            </w:r>
            <w:proofErr w:type="spellEnd"/>
            <w:r w:rsidRPr="00E16672">
              <w:rPr>
                <w:rFonts w:ascii="Times New Roman" w:hAnsi="Times New Roman"/>
                <w:sz w:val="16"/>
                <w:szCs w:val="16"/>
              </w:rPr>
              <w:t xml:space="preserve"> </w:t>
            </w:r>
            <w:r w:rsidR="00990A10" w:rsidRPr="00E16672">
              <w:rPr>
                <w:rFonts w:ascii="Times New Roman" w:hAnsi="Times New Roman"/>
                <w:sz w:val="16"/>
                <w:szCs w:val="16"/>
                <w:lang w:val="uk-UA"/>
              </w:rPr>
              <w:t>Номінального утримувача</w:t>
            </w:r>
            <w:r w:rsidRPr="00E16672">
              <w:rPr>
                <w:rFonts w:ascii="Times New Roman" w:hAnsi="Times New Roman"/>
                <w:sz w:val="16"/>
                <w:szCs w:val="16"/>
              </w:rPr>
              <w:t>.</w:t>
            </w:r>
          </w:p>
          <w:p w14:paraId="7F000984" w14:textId="77777777" w:rsidR="00EB25FE" w:rsidRPr="00E16672" w:rsidRDefault="00EB25FE" w:rsidP="00794B3F">
            <w:pPr>
              <w:ind w:left="175" w:right="138"/>
              <w:rPr>
                <w:rFonts w:ascii="Times New Roman" w:hAnsi="Times New Roman"/>
                <w:sz w:val="16"/>
                <w:szCs w:val="16"/>
              </w:rPr>
            </w:pPr>
          </w:p>
        </w:tc>
        <w:tc>
          <w:tcPr>
            <w:tcW w:w="5495" w:type="dxa"/>
            <w:gridSpan w:val="8"/>
            <w:shd w:val="clear" w:color="auto" w:fill="auto"/>
          </w:tcPr>
          <w:p w14:paraId="3F7A1267" w14:textId="77777777" w:rsidR="00EB25FE" w:rsidRPr="00E16672" w:rsidRDefault="00EB25FE" w:rsidP="00794B3F">
            <w:pPr>
              <w:snapToGrid w:val="0"/>
              <w:ind w:left="175" w:right="138" w:firstLine="0"/>
              <w:rPr>
                <w:rFonts w:ascii="Times New Roman" w:hAnsi="Times New Roman"/>
                <w:sz w:val="16"/>
                <w:szCs w:val="16"/>
                <w:lang w:val="en-GB"/>
              </w:rPr>
            </w:pPr>
            <w:r w:rsidRPr="00E16672">
              <w:rPr>
                <w:rFonts w:ascii="Times New Roman" w:hAnsi="Times New Roman"/>
                <w:sz w:val="16"/>
                <w:szCs w:val="16"/>
                <w:lang w:val="en-GB"/>
              </w:rPr>
              <w:t>8.</w:t>
            </w:r>
            <w:r w:rsidRPr="00E16672">
              <w:rPr>
                <w:rFonts w:ascii="Times New Roman" w:hAnsi="Times New Roman"/>
                <w:sz w:val="16"/>
                <w:szCs w:val="16"/>
                <w:lang w:val="uk-UA"/>
              </w:rPr>
              <w:t>6</w:t>
            </w:r>
            <w:r w:rsidRPr="00E16672">
              <w:rPr>
                <w:rFonts w:ascii="Times New Roman" w:hAnsi="Times New Roman"/>
                <w:sz w:val="16"/>
                <w:szCs w:val="16"/>
                <w:lang w:val="en-GB"/>
              </w:rPr>
              <w:t xml:space="preserve">. </w:t>
            </w:r>
            <w:r w:rsidR="00990A10" w:rsidRPr="00E16672">
              <w:rPr>
                <w:rFonts w:ascii="Times New Roman" w:hAnsi="Times New Roman"/>
                <w:sz w:val="16"/>
                <w:szCs w:val="16"/>
                <w:lang w:val="en-US"/>
              </w:rPr>
              <w:t>Nominee holder</w:t>
            </w:r>
            <w:r w:rsidR="00990A10" w:rsidRPr="00E16672">
              <w:rPr>
                <w:rFonts w:ascii="Times New Roman" w:hAnsi="Times New Roman"/>
                <w:sz w:val="16"/>
                <w:szCs w:val="16"/>
                <w:lang w:val="en-GB"/>
              </w:rPr>
              <w:t xml:space="preserve"> </w:t>
            </w:r>
            <w:r w:rsidRPr="00E16672">
              <w:rPr>
                <w:rFonts w:ascii="Times New Roman" w:hAnsi="Times New Roman"/>
                <w:sz w:val="16"/>
                <w:szCs w:val="16"/>
                <w:lang w:val="en-GB"/>
              </w:rPr>
              <w:t xml:space="preserve">assumes responsibility for the accuracy of the information contained in the documents submitted by the </w:t>
            </w:r>
            <w:r w:rsidR="00990A10" w:rsidRPr="00E16672">
              <w:rPr>
                <w:rFonts w:ascii="Times New Roman" w:hAnsi="Times New Roman"/>
                <w:sz w:val="16"/>
                <w:szCs w:val="16"/>
                <w:lang w:val="en-US"/>
              </w:rPr>
              <w:t xml:space="preserve">Nominee holder </w:t>
            </w:r>
            <w:r w:rsidRPr="00E16672">
              <w:rPr>
                <w:rFonts w:ascii="Times New Roman" w:hAnsi="Times New Roman"/>
                <w:sz w:val="16"/>
                <w:szCs w:val="16"/>
                <w:lang w:val="en-US"/>
              </w:rPr>
              <w:t>to D</w:t>
            </w:r>
            <w:proofErr w:type="spellStart"/>
            <w:r w:rsidRPr="00E16672">
              <w:rPr>
                <w:rFonts w:ascii="Times New Roman" w:hAnsi="Times New Roman"/>
                <w:sz w:val="16"/>
                <w:szCs w:val="16"/>
                <w:lang w:val="en-GB"/>
              </w:rPr>
              <w:t>epository</w:t>
            </w:r>
            <w:proofErr w:type="spellEnd"/>
            <w:r w:rsidRPr="00E16672">
              <w:rPr>
                <w:rFonts w:ascii="Times New Roman" w:hAnsi="Times New Roman"/>
                <w:sz w:val="16"/>
                <w:szCs w:val="16"/>
                <w:lang w:val="en-GB"/>
              </w:rPr>
              <w:t xml:space="preserve"> institution, including documents on which the Depository institution </w:t>
            </w:r>
            <w:proofErr w:type="gramStart"/>
            <w:r w:rsidRPr="00E16672">
              <w:rPr>
                <w:rFonts w:ascii="Times New Roman" w:hAnsi="Times New Roman"/>
                <w:sz w:val="16"/>
                <w:szCs w:val="16"/>
                <w:lang w:val="en-GB"/>
              </w:rPr>
              <w:t>is  entrusted</w:t>
            </w:r>
            <w:proofErr w:type="gramEnd"/>
            <w:r w:rsidRPr="00E16672">
              <w:rPr>
                <w:rFonts w:ascii="Times New Roman" w:hAnsi="Times New Roman"/>
                <w:sz w:val="16"/>
                <w:szCs w:val="16"/>
                <w:lang w:val="en-GB"/>
              </w:rPr>
              <w:t xml:space="preserve">  to conduct depository operations on account of the </w:t>
            </w:r>
            <w:r w:rsidR="00990A10" w:rsidRPr="00E16672">
              <w:rPr>
                <w:rFonts w:ascii="Times New Roman" w:hAnsi="Times New Roman"/>
                <w:sz w:val="16"/>
                <w:szCs w:val="16"/>
                <w:lang w:val="en-US"/>
              </w:rPr>
              <w:t>Nominee holder</w:t>
            </w:r>
            <w:r w:rsidRPr="00E16672">
              <w:rPr>
                <w:rFonts w:ascii="Times New Roman" w:hAnsi="Times New Roman"/>
                <w:sz w:val="16"/>
                <w:szCs w:val="16"/>
                <w:lang w:val="en-GB"/>
              </w:rPr>
              <w:t>.</w:t>
            </w:r>
          </w:p>
          <w:p w14:paraId="4920CE9C" w14:textId="77777777" w:rsidR="00EB25FE" w:rsidRPr="00E16672" w:rsidRDefault="00EB25FE" w:rsidP="00794B3F">
            <w:pPr>
              <w:pStyle w:val="210"/>
              <w:ind w:left="175" w:right="138" w:firstLine="0"/>
              <w:rPr>
                <w:rFonts w:ascii="Times New Roman" w:hAnsi="Times New Roman"/>
                <w:sz w:val="16"/>
                <w:szCs w:val="16"/>
              </w:rPr>
            </w:pPr>
          </w:p>
        </w:tc>
      </w:tr>
      <w:tr w:rsidR="00EB25FE" w:rsidRPr="00A26EFC" w14:paraId="7BFBCCE7" w14:textId="77777777" w:rsidTr="005E418B">
        <w:tblPrEx>
          <w:tblCellMar>
            <w:left w:w="0" w:type="dxa"/>
            <w:right w:w="0" w:type="dxa"/>
          </w:tblCellMar>
        </w:tblPrEx>
        <w:trPr>
          <w:trHeight w:val="724"/>
        </w:trPr>
        <w:tc>
          <w:tcPr>
            <w:tcW w:w="5695" w:type="dxa"/>
            <w:gridSpan w:val="7"/>
            <w:shd w:val="clear" w:color="auto" w:fill="auto"/>
          </w:tcPr>
          <w:p w14:paraId="2FC28079" w14:textId="77777777" w:rsidR="00EB25FE" w:rsidRPr="00E16672" w:rsidRDefault="00EB25FE" w:rsidP="00990A10">
            <w:pPr>
              <w:widowControl w:val="0"/>
              <w:tabs>
                <w:tab w:val="left" w:pos="5954"/>
              </w:tabs>
              <w:snapToGrid w:val="0"/>
              <w:ind w:left="175" w:right="138" w:firstLine="0"/>
              <w:rPr>
                <w:rFonts w:ascii="Times New Roman" w:hAnsi="Times New Roman"/>
                <w:sz w:val="16"/>
                <w:szCs w:val="16"/>
              </w:rPr>
            </w:pPr>
            <w:r w:rsidRPr="00E16672">
              <w:rPr>
                <w:rFonts w:ascii="Times New Roman" w:hAnsi="Times New Roman"/>
                <w:sz w:val="16"/>
                <w:szCs w:val="16"/>
              </w:rPr>
              <w:t>8.</w:t>
            </w:r>
            <w:r w:rsidRPr="00E16672">
              <w:rPr>
                <w:rFonts w:ascii="Times New Roman" w:hAnsi="Times New Roman"/>
                <w:sz w:val="16"/>
                <w:szCs w:val="16"/>
                <w:lang w:val="uk-UA"/>
              </w:rPr>
              <w:t>7</w:t>
            </w:r>
            <w:r w:rsidRPr="00E16672">
              <w:rPr>
                <w:rFonts w:ascii="Times New Roman" w:hAnsi="Times New Roman"/>
                <w:sz w:val="16"/>
                <w:szCs w:val="16"/>
              </w:rPr>
              <w:t xml:space="preserve">. </w:t>
            </w:r>
            <w:proofErr w:type="spellStart"/>
            <w:r w:rsidRPr="00E16672">
              <w:rPr>
                <w:rFonts w:ascii="Times New Roman" w:hAnsi="Times New Roman"/>
                <w:sz w:val="16"/>
                <w:szCs w:val="16"/>
              </w:rPr>
              <w:t>Укладення</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цього</w:t>
            </w:r>
            <w:proofErr w:type="spellEnd"/>
            <w:r w:rsidRPr="00E16672">
              <w:rPr>
                <w:rFonts w:ascii="Times New Roman" w:hAnsi="Times New Roman"/>
                <w:sz w:val="16"/>
                <w:szCs w:val="16"/>
              </w:rPr>
              <w:t xml:space="preserve"> Договору не </w:t>
            </w:r>
            <w:proofErr w:type="spellStart"/>
            <w:r w:rsidRPr="00E16672">
              <w:rPr>
                <w:rFonts w:ascii="Times New Roman" w:hAnsi="Times New Roman"/>
                <w:sz w:val="16"/>
                <w:szCs w:val="16"/>
              </w:rPr>
              <w:t>тягне</w:t>
            </w:r>
            <w:proofErr w:type="spellEnd"/>
            <w:r w:rsidRPr="00E16672">
              <w:rPr>
                <w:rFonts w:ascii="Times New Roman" w:hAnsi="Times New Roman"/>
                <w:sz w:val="16"/>
                <w:szCs w:val="16"/>
              </w:rPr>
              <w:t xml:space="preserve"> за собою переходу прав на </w:t>
            </w:r>
            <w:proofErr w:type="spellStart"/>
            <w:r w:rsidRPr="00E16672">
              <w:rPr>
                <w:rFonts w:ascii="Times New Roman" w:hAnsi="Times New Roman"/>
                <w:sz w:val="16"/>
                <w:szCs w:val="16"/>
              </w:rPr>
              <w:t>цінні</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папери</w:t>
            </w:r>
            <w:proofErr w:type="spellEnd"/>
            <w:r w:rsidRPr="00E16672">
              <w:rPr>
                <w:rFonts w:ascii="Times New Roman" w:hAnsi="Times New Roman"/>
                <w:sz w:val="16"/>
                <w:szCs w:val="16"/>
              </w:rPr>
              <w:t xml:space="preserve"> та прав за </w:t>
            </w:r>
            <w:proofErr w:type="spellStart"/>
            <w:r w:rsidRPr="00E16672">
              <w:rPr>
                <w:rFonts w:ascii="Times New Roman" w:hAnsi="Times New Roman"/>
                <w:sz w:val="16"/>
                <w:szCs w:val="16"/>
              </w:rPr>
              <w:t>цінними</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паперами</w:t>
            </w:r>
            <w:proofErr w:type="spellEnd"/>
            <w:r w:rsidRPr="00E16672">
              <w:rPr>
                <w:rFonts w:ascii="Times New Roman" w:hAnsi="Times New Roman"/>
                <w:sz w:val="16"/>
                <w:szCs w:val="16"/>
              </w:rPr>
              <w:t xml:space="preserve"> </w:t>
            </w:r>
            <w:r w:rsidR="00990A10" w:rsidRPr="00E16672">
              <w:rPr>
                <w:rFonts w:ascii="Times New Roman" w:hAnsi="Times New Roman"/>
                <w:sz w:val="16"/>
                <w:szCs w:val="16"/>
                <w:lang w:val="uk-UA"/>
              </w:rPr>
              <w:t>Номінального утримувача</w:t>
            </w:r>
            <w:r w:rsidRPr="00E16672">
              <w:rPr>
                <w:rFonts w:ascii="Times New Roman" w:hAnsi="Times New Roman"/>
                <w:sz w:val="16"/>
                <w:szCs w:val="16"/>
              </w:rPr>
              <w:t xml:space="preserve"> до </w:t>
            </w:r>
            <w:proofErr w:type="spellStart"/>
            <w:r w:rsidRPr="00E16672">
              <w:rPr>
                <w:rFonts w:ascii="Times New Roman" w:hAnsi="Times New Roman"/>
                <w:sz w:val="16"/>
                <w:szCs w:val="16"/>
              </w:rPr>
              <w:t>Депозитарної</w:t>
            </w:r>
            <w:proofErr w:type="spellEnd"/>
            <w:r w:rsidRPr="00E16672">
              <w:rPr>
                <w:rFonts w:ascii="Times New Roman" w:hAnsi="Times New Roman"/>
                <w:sz w:val="16"/>
                <w:szCs w:val="16"/>
              </w:rPr>
              <w:t xml:space="preserve"> установи.</w:t>
            </w:r>
          </w:p>
        </w:tc>
        <w:tc>
          <w:tcPr>
            <w:tcW w:w="5495" w:type="dxa"/>
            <w:gridSpan w:val="8"/>
            <w:shd w:val="clear" w:color="auto" w:fill="auto"/>
          </w:tcPr>
          <w:p w14:paraId="53C77F51" w14:textId="77777777" w:rsidR="00EB25FE" w:rsidRPr="00E16672" w:rsidRDefault="00EB25FE" w:rsidP="00794B3F">
            <w:pPr>
              <w:snapToGrid w:val="0"/>
              <w:ind w:left="175" w:right="138" w:firstLine="0"/>
              <w:rPr>
                <w:rFonts w:ascii="Times New Roman" w:hAnsi="Times New Roman"/>
                <w:sz w:val="16"/>
                <w:szCs w:val="16"/>
                <w:lang w:val="en-GB"/>
              </w:rPr>
            </w:pPr>
            <w:r w:rsidRPr="00E16672">
              <w:rPr>
                <w:rFonts w:ascii="Times New Roman" w:hAnsi="Times New Roman"/>
                <w:sz w:val="16"/>
                <w:szCs w:val="16"/>
                <w:lang w:val="en-GB"/>
              </w:rPr>
              <w:t>8.</w:t>
            </w:r>
            <w:r w:rsidRPr="00E16672">
              <w:rPr>
                <w:rFonts w:ascii="Times New Roman" w:hAnsi="Times New Roman"/>
                <w:sz w:val="16"/>
                <w:szCs w:val="16"/>
                <w:lang w:val="uk-UA"/>
              </w:rPr>
              <w:t>7</w:t>
            </w:r>
            <w:r w:rsidRPr="00E16672">
              <w:rPr>
                <w:rFonts w:ascii="Times New Roman" w:hAnsi="Times New Roman"/>
                <w:sz w:val="16"/>
                <w:szCs w:val="16"/>
                <w:lang w:val="en-GB"/>
              </w:rPr>
              <w:t xml:space="preserve">. Signing this Agreement does not entail the transfer </w:t>
            </w:r>
            <w:r w:rsidR="00990A10" w:rsidRPr="00E16672">
              <w:rPr>
                <w:rFonts w:ascii="Times New Roman" w:hAnsi="Times New Roman"/>
                <w:sz w:val="16"/>
                <w:szCs w:val="16"/>
                <w:lang w:val="en-US"/>
              </w:rPr>
              <w:t>Nominee holder</w:t>
            </w:r>
            <w:r w:rsidRPr="00E16672">
              <w:rPr>
                <w:rFonts w:ascii="Times New Roman" w:hAnsi="Times New Roman"/>
                <w:sz w:val="16"/>
                <w:szCs w:val="16"/>
                <w:lang w:val="en-US"/>
              </w:rPr>
              <w:t>’s</w:t>
            </w:r>
            <w:r w:rsidRPr="00E16672">
              <w:rPr>
                <w:rFonts w:ascii="Times New Roman" w:hAnsi="Times New Roman"/>
                <w:sz w:val="16"/>
                <w:szCs w:val="16"/>
                <w:lang w:val="en-GB"/>
              </w:rPr>
              <w:t xml:space="preserve"> </w:t>
            </w:r>
            <w:proofErr w:type="spellStart"/>
            <w:r w:rsidRPr="00E16672">
              <w:rPr>
                <w:rFonts w:ascii="Times New Roman" w:hAnsi="Times New Roman"/>
                <w:sz w:val="16"/>
                <w:szCs w:val="16"/>
                <w:lang w:val="en-US"/>
              </w:rPr>
              <w:t>gights</w:t>
            </w:r>
            <w:proofErr w:type="spellEnd"/>
            <w:r w:rsidRPr="00E16672">
              <w:rPr>
                <w:rFonts w:ascii="Times New Roman" w:hAnsi="Times New Roman"/>
                <w:sz w:val="16"/>
                <w:szCs w:val="16"/>
                <w:lang w:val="en-US"/>
              </w:rPr>
              <w:t xml:space="preserve"> on </w:t>
            </w:r>
            <w:r w:rsidRPr="00E16672">
              <w:rPr>
                <w:rFonts w:ascii="Times New Roman" w:hAnsi="Times New Roman"/>
                <w:sz w:val="16"/>
                <w:szCs w:val="16"/>
                <w:lang w:val="en-GB"/>
              </w:rPr>
              <w:t>securities and rights under securities</w:t>
            </w:r>
            <w:r w:rsidRPr="00E16672">
              <w:rPr>
                <w:rFonts w:ascii="Times New Roman" w:hAnsi="Times New Roman"/>
                <w:sz w:val="16"/>
                <w:szCs w:val="16"/>
                <w:lang w:val="en-US"/>
              </w:rPr>
              <w:t xml:space="preserve"> </w:t>
            </w:r>
            <w:r w:rsidRPr="00E16672">
              <w:rPr>
                <w:rFonts w:ascii="Times New Roman" w:hAnsi="Times New Roman"/>
                <w:sz w:val="16"/>
                <w:szCs w:val="16"/>
                <w:lang w:val="en-GB"/>
              </w:rPr>
              <w:t xml:space="preserve">to the </w:t>
            </w:r>
            <w:r w:rsidRPr="00E16672">
              <w:rPr>
                <w:rFonts w:ascii="Times New Roman" w:hAnsi="Times New Roman"/>
                <w:sz w:val="16"/>
                <w:szCs w:val="16"/>
                <w:lang w:val="en-US"/>
              </w:rPr>
              <w:t>D</w:t>
            </w:r>
            <w:proofErr w:type="spellStart"/>
            <w:r w:rsidRPr="00E16672">
              <w:rPr>
                <w:rFonts w:ascii="Times New Roman" w:hAnsi="Times New Roman"/>
                <w:sz w:val="16"/>
                <w:szCs w:val="16"/>
                <w:lang w:val="en-GB"/>
              </w:rPr>
              <w:t>epository</w:t>
            </w:r>
            <w:proofErr w:type="spellEnd"/>
            <w:r w:rsidRPr="00E16672">
              <w:rPr>
                <w:rFonts w:ascii="Times New Roman" w:hAnsi="Times New Roman"/>
                <w:sz w:val="16"/>
                <w:szCs w:val="16"/>
                <w:lang w:val="en-GB"/>
              </w:rPr>
              <w:t xml:space="preserve"> institution.</w:t>
            </w:r>
          </w:p>
          <w:p w14:paraId="276C2CB4" w14:textId="77777777" w:rsidR="00EB25FE" w:rsidRPr="00E16672" w:rsidRDefault="00EB25FE" w:rsidP="00794B3F">
            <w:pPr>
              <w:pStyle w:val="210"/>
              <w:ind w:left="175" w:right="138" w:firstLine="0"/>
              <w:rPr>
                <w:rFonts w:ascii="Times New Roman" w:hAnsi="Times New Roman"/>
                <w:b/>
                <w:bCs/>
                <w:sz w:val="16"/>
                <w:szCs w:val="16"/>
                <w:lang w:val="en-GB"/>
              </w:rPr>
            </w:pPr>
          </w:p>
        </w:tc>
      </w:tr>
      <w:tr w:rsidR="00EB25FE" w:rsidRPr="00A26EFC" w14:paraId="2E99F00D" w14:textId="77777777" w:rsidTr="005E418B">
        <w:tblPrEx>
          <w:tblCellMar>
            <w:left w:w="0" w:type="dxa"/>
            <w:right w:w="0" w:type="dxa"/>
          </w:tblCellMar>
        </w:tblPrEx>
        <w:trPr>
          <w:trHeight w:val="846"/>
        </w:trPr>
        <w:tc>
          <w:tcPr>
            <w:tcW w:w="5695" w:type="dxa"/>
            <w:gridSpan w:val="7"/>
            <w:shd w:val="clear" w:color="auto" w:fill="auto"/>
          </w:tcPr>
          <w:p w14:paraId="05F0C01E" w14:textId="77777777" w:rsidR="00EB25FE" w:rsidRPr="00E16672" w:rsidRDefault="00EB25FE" w:rsidP="00794B3F">
            <w:pPr>
              <w:tabs>
                <w:tab w:val="left" w:pos="1137"/>
                <w:tab w:val="left" w:pos="6011"/>
              </w:tabs>
              <w:snapToGrid w:val="0"/>
              <w:spacing w:before="57" w:after="57"/>
              <w:ind w:left="175" w:right="138" w:firstLine="0"/>
              <w:rPr>
                <w:rFonts w:ascii="Times New Roman" w:hAnsi="Times New Roman"/>
                <w:strike/>
                <w:color w:val="000000"/>
                <w:sz w:val="16"/>
                <w:szCs w:val="16"/>
                <w:lang w:val="uk-UA"/>
              </w:rPr>
            </w:pPr>
            <w:r w:rsidRPr="00E16672">
              <w:rPr>
                <w:rFonts w:ascii="Times New Roman" w:hAnsi="Times New Roman"/>
                <w:color w:val="000000"/>
                <w:sz w:val="16"/>
                <w:szCs w:val="16"/>
              </w:rPr>
              <w:t>8.</w:t>
            </w:r>
            <w:r w:rsidRPr="00E16672">
              <w:rPr>
                <w:rFonts w:ascii="Times New Roman" w:hAnsi="Times New Roman"/>
                <w:color w:val="000000"/>
                <w:sz w:val="16"/>
                <w:szCs w:val="16"/>
                <w:lang w:val="uk-UA"/>
              </w:rPr>
              <w:t>8</w:t>
            </w:r>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Закриття</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рахунків</w:t>
            </w:r>
            <w:proofErr w:type="spellEnd"/>
            <w:r w:rsidRPr="00E16672">
              <w:rPr>
                <w:rFonts w:ascii="Times New Roman" w:hAnsi="Times New Roman"/>
                <w:color w:val="000000"/>
                <w:sz w:val="16"/>
                <w:szCs w:val="16"/>
              </w:rPr>
              <w:t xml:space="preserve"> </w:t>
            </w:r>
            <w:r w:rsidR="00C22309" w:rsidRPr="00E16672">
              <w:rPr>
                <w:rFonts w:ascii="Times New Roman" w:hAnsi="Times New Roman"/>
                <w:color w:val="000000"/>
                <w:sz w:val="16"/>
                <w:szCs w:val="16"/>
              </w:rPr>
              <w:t xml:space="preserve">в </w:t>
            </w:r>
            <w:proofErr w:type="spellStart"/>
            <w:r w:rsidR="00C22309" w:rsidRPr="00E16672">
              <w:rPr>
                <w:rFonts w:ascii="Times New Roman" w:hAnsi="Times New Roman"/>
                <w:color w:val="000000"/>
                <w:sz w:val="16"/>
                <w:szCs w:val="16"/>
              </w:rPr>
              <w:t>цін</w:t>
            </w:r>
            <w:r w:rsidRPr="00E16672">
              <w:rPr>
                <w:rFonts w:ascii="Times New Roman" w:hAnsi="Times New Roman"/>
                <w:color w:val="000000"/>
                <w:sz w:val="16"/>
                <w:szCs w:val="16"/>
              </w:rPr>
              <w:t>них</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паперах</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відбувається</w:t>
            </w:r>
            <w:proofErr w:type="spellEnd"/>
            <w:r w:rsidRPr="00E16672">
              <w:rPr>
                <w:rFonts w:ascii="Times New Roman" w:hAnsi="Times New Roman"/>
                <w:color w:val="000000"/>
                <w:sz w:val="16"/>
                <w:szCs w:val="16"/>
              </w:rPr>
              <w:t xml:space="preserve"> за </w:t>
            </w:r>
            <w:proofErr w:type="spellStart"/>
            <w:r w:rsidRPr="00E16672">
              <w:rPr>
                <w:rFonts w:ascii="Times New Roman" w:hAnsi="Times New Roman"/>
                <w:color w:val="000000"/>
                <w:sz w:val="16"/>
                <w:szCs w:val="16"/>
              </w:rPr>
              <w:t>розпорядженням</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ініціатора</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депозитарної</w:t>
            </w:r>
            <w:proofErr w:type="spellEnd"/>
            <w:r w:rsidRPr="00E16672">
              <w:rPr>
                <w:rFonts w:ascii="Times New Roman" w:hAnsi="Times New Roman"/>
                <w:color w:val="000000"/>
                <w:sz w:val="16"/>
                <w:szCs w:val="16"/>
              </w:rPr>
              <w:t xml:space="preserve"> </w:t>
            </w:r>
            <w:proofErr w:type="spellStart"/>
            <w:r w:rsidRPr="00E16672">
              <w:rPr>
                <w:rFonts w:ascii="Times New Roman" w:hAnsi="Times New Roman"/>
                <w:color w:val="000000"/>
                <w:sz w:val="16"/>
                <w:szCs w:val="16"/>
              </w:rPr>
              <w:t>операції</w:t>
            </w:r>
            <w:proofErr w:type="spellEnd"/>
            <w:r w:rsidRPr="00E16672">
              <w:rPr>
                <w:rFonts w:ascii="Times New Roman" w:hAnsi="Times New Roman"/>
                <w:color w:val="000000"/>
                <w:sz w:val="16"/>
                <w:szCs w:val="16"/>
                <w:lang w:val="uk-UA"/>
              </w:rPr>
              <w:t xml:space="preserve"> </w:t>
            </w:r>
            <w:r w:rsidRPr="00E16672">
              <w:rPr>
                <w:rFonts w:ascii="Times New Roman" w:hAnsi="Times New Roman"/>
                <w:sz w:val="16"/>
                <w:szCs w:val="16"/>
                <w:lang w:val="uk-UA"/>
              </w:rPr>
              <w:t>крім випадків, встановлених цим Договором та законом</w:t>
            </w:r>
            <w:r w:rsidRPr="00E16672">
              <w:rPr>
                <w:rFonts w:ascii="Times New Roman" w:hAnsi="Times New Roman"/>
                <w:color w:val="000000"/>
                <w:sz w:val="16"/>
                <w:szCs w:val="16"/>
                <w:lang w:val="uk-UA"/>
              </w:rPr>
              <w:t>.</w:t>
            </w:r>
          </w:p>
          <w:p w14:paraId="0006FEAB" w14:textId="77777777" w:rsidR="00EB25FE" w:rsidRPr="00E16672" w:rsidRDefault="00EB25FE" w:rsidP="00794B3F">
            <w:pPr>
              <w:tabs>
                <w:tab w:val="left" w:pos="1137"/>
                <w:tab w:val="left" w:pos="6011"/>
              </w:tabs>
              <w:snapToGrid w:val="0"/>
              <w:spacing w:before="57" w:after="57"/>
              <w:ind w:left="175" w:right="138" w:firstLine="0"/>
              <w:rPr>
                <w:rFonts w:ascii="Times New Roman" w:hAnsi="Times New Roman"/>
                <w:color w:val="000000"/>
                <w:sz w:val="16"/>
                <w:szCs w:val="16"/>
                <w:lang w:val="uk-UA"/>
              </w:rPr>
            </w:pPr>
            <w:r w:rsidRPr="00E16672">
              <w:rPr>
                <w:rFonts w:ascii="Times New Roman" w:hAnsi="Times New Roman"/>
                <w:color w:val="000000"/>
                <w:sz w:val="16"/>
                <w:szCs w:val="16"/>
                <w:lang w:val="uk-UA"/>
              </w:rPr>
              <w:t xml:space="preserve">Обов’язковою умовою закриття рахунку в цінних паперах має бути відсутність в </w:t>
            </w:r>
            <w:proofErr w:type="spellStart"/>
            <w:r w:rsidRPr="00E16672">
              <w:rPr>
                <w:rFonts w:ascii="Times New Roman" w:hAnsi="Times New Roman"/>
                <w:color w:val="000000"/>
                <w:sz w:val="16"/>
                <w:szCs w:val="16"/>
                <w:lang w:val="uk-UA"/>
              </w:rPr>
              <w:t>облік</w:t>
            </w:r>
            <w:r w:rsidR="00C22309" w:rsidRPr="00E16672">
              <w:rPr>
                <w:rFonts w:ascii="Times New Roman" w:hAnsi="Times New Roman"/>
                <w:color w:val="000000"/>
                <w:sz w:val="16"/>
                <w:szCs w:val="16"/>
                <w:lang w:val="uk-UA"/>
              </w:rPr>
              <w:t>в</w:t>
            </w:r>
            <w:proofErr w:type="spellEnd"/>
            <w:r w:rsidR="00C22309" w:rsidRPr="00E16672">
              <w:rPr>
                <w:rFonts w:ascii="Times New Roman" w:hAnsi="Times New Roman"/>
                <w:color w:val="000000"/>
                <w:sz w:val="16"/>
                <w:szCs w:val="16"/>
                <w:lang w:val="uk-UA"/>
              </w:rPr>
              <w:t xml:space="preserve"> цін</w:t>
            </w:r>
            <w:r w:rsidRPr="00E16672">
              <w:rPr>
                <w:rFonts w:ascii="Times New Roman" w:hAnsi="Times New Roman"/>
                <w:color w:val="000000"/>
                <w:sz w:val="16"/>
                <w:szCs w:val="16"/>
                <w:lang w:val="uk-UA"/>
              </w:rPr>
              <w:t>них паперів, прав на цінні папери.</w:t>
            </w:r>
          </w:p>
          <w:p w14:paraId="27648957" w14:textId="77777777" w:rsidR="00EB25FE" w:rsidRPr="00E16672" w:rsidRDefault="00EB25FE" w:rsidP="00794B3F">
            <w:pPr>
              <w:tabs>
                <w:tab w:val="left" w:pos="1137"/>
                <w:tab w:val="left" w:pos="6011"/>
              </w:tabs>
              <w:snapToGrid w:val="0"/>
              <w:spacing w:before="57" w:after="57"/>
              <w:ind w:left="175" w:right="138"/>
              <w:rPr>
                <w:rFonts w:ascii="Times New Roman" w:hAnsi="Times New Roman"/>
                <w:color w:val="000000"/>
                <w:sz w:val="16"/>
                <w:szCs w:val="16"/>
                <w:lang w:val="uk-UA"/>
              </w:rPr>
            </w:pPr>
          </w:p>
        </w:tc>
        <w:tc>
          <w:tcPr>
            <w:tcW w:w="5495" w:type="dxa"/>
            <w:gridSpan w:val="8"/>
            <w:shd w:val="clear" w:color="auto" w:fill="auto"/>
          </w:tcPr>
          <w:p w14:paraId="56F59051" w14:textId="77777777" w:rsidR="00EB25FE" w:rsidRPr="00E16672" w:rsidRDefault="00EB25FE" w:rsidP="00794B3F">
            <w:pPr>
              <w:tabs>
                <w:tab w:val="left" w:pos="1137"/>
                <w:tab w:val="left" w:pos="6011"/>
              </w:tabs>
              <w:snapToGrid w:val="0"/>
              <w:spacing w:before="57" w:after="57"/>
              <w:ind w:left="145" w:right="100" w:firstLine="0"/>
              <w:rPr>
                <w:rFonts w:ascii="Times New Roman" w:hAnsi="Times New Roman"/>
                <w:strike/>
                <w:color w:val="000000"/>
                <w:sz w:val="16"/>
                <w:szCs w:val="16"/>
                <w:lang w:val="uk-UA"/>
              </w:rPr>
            </w:pPr>
            <w:r w:rsidRPr="00E16672">
              <w:rPr>
                <w:rFonts w:ascii="Times New Roman" w:hAnsi="Times New Roman"/>
                <w:color w:val="000000"/>
                <w:sz w:val="16"/>
                <w:szCs w:val="16"/>
                <w:lang w:val="en-GB"/>
              </w:rPr>
              <w:t>8.</w:t>
            </w:r>
            <w:r w:rsidRPr="00E16672">
              <w:rPr>
                <w:rFonts w:ascii="Times New Roman" w:hAnsi="Times New Roman"/>
                <w:color w:val="000000"/>
                <w:sz w:val="16"/>
                <w:szCs w:val="16"/>
                <w:lang w:val="uk-UA"/>
              </w:rPr>
              <w:t>8</w:t>
            </w:r>
            <w:r w:rsidRPr="00E16672">
              <w:rPr>
                <w:rFonts w:ascii="Times New Roman" w:hAnsi="Times New Roman"/>
                <w:color w:val="000000"/>
                <w:sz w:val="16"/>
                <w:szCs w:val="16"/>
                <w:lang w:val="en-GB"/>
              </w:rPr>
              <w:t xml:space="preserve">. Closing accounts in securities is on the order of </w:t>
            </w:r>
            <w:proofErr w:type="gramStart"/>
            <w:r w:rsidRPr="00E16672">
              <w:rPr>
                <w:rFonts w:ascii="Times New Roman" w:hAnsi="Times New Roman"/>
                <w:color w:val="000000"/>
                <w:sz w:val="16"/>
                <w:szCs w:val="16"/>
                <w:lang w:val="en-GB"/>
              </w:rPr>
              <w:t>initiator  of</w:t>
            </w:r>
            <w:proofErr w:type="gramEnd"/>
            <w:r w:rsidRPr="00E16672">
              <w:rPr>
                <w:rFonts w:ascii="Times New Roman" w:hAnsi="Times New Roman"/>
                <w:color w:val="000000"/>
                <w:sz w:val="16"/>
                <w:szCs w:val="16"/>
                <w:lang w:val="en-GB"/>
              </w:rPr>
              <w:t xml:space="preserve"> depository operation</w:t>
            </w:r>
            <w:r w:rsidRPr="00E16672">
              <w:rPr>
                <w:rFonts w:ascii="Times New Roman" w:hAnsi="Times New Roman"/>
                <w:color w:val="000000"/>
                <w:sz w:val="16"/>
                <w:szCs w:val="16"/>
                <w:lang w:val="uk-UA"/>
              </w:rPr>
              <w:t xml:space="preserve"> </w:t>
            </w:r>
            <w:r w:rsidRPr="00A26EFC">
              <w:rPr>
                <w:rFonts w:ascii="Times New Roman" w:hAnsi="Times New Roman"/>
                <w:sz w:val="16"/>
                <w:szCs w:val="16"/>
                <w:lang w:val="en-US"/>
              </w:rPr>
              <w:t>except in cases established by this Agreement and by law</w:t>
            </w:r>
            <w:r w:rsidRPr="00E16672">
              <w:rPr>
                <w:rFonts w:ascii="Times New Roman" w:hAnsi="Times New Roman"/>
                <w:color w:val="000000"/>
                <w:sz w:val="16"/>
                <w:szCs w:val="16"/>
                <w:lang w:val="uk-UA"/>
              </w:rPr>
              <w:t>.</w:t>
            </w:r>
          </w:p>
          <w:p w14:paraId="25AE665E" w14:textId="77777777" w:rsidR="00EB25FE" w:rsidRPr="00A26EFC" w:rsidRDefault="00EB25FE" w:rsidP="00794B3F">
            <w:pPr>
              <w:tabs>
                <w:tab w:val="left" w:pos="1137"/>
                <w:tab w:val="left" w:pos="6011"/>
              </w:tabs>
              <w:snapToGrid w:val="0"/>
              <w:spacing w:before="57" w:after="57"/>
              <w:ind w:left="145" w:right="100" w:firstLine="0"/>
              <w:rPr>
                <w:rFonts w:ascii="Times New Roman" w:hAnsi="Times New Roman"/>
                <w:color w:val="000000"/>
                <w:sz w:val="16"/>
                <w:szCs w:val="16"/>
                <w:lang w:val="en-US"/>
              </w:rPr>
            </w:pPr>
            <w:proofErr w:type="spellStart"/>
            <w:r w:rsidRPr="00E16672">
              <w:rPr>
                <w:rFonts w:ascii="Times New Roman" w:hAnsi="Times New Roman"/>
                <w:color w:val="000000"/>
                <w:sz w:val="16"/>
                <w:szCs w:val="16"/>
                <w:lang w:val="uk-UA"/>
              </w:rPr>
              <w:t>Obligatory</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condition</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of</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closing</w:t>
            </w:r>
            <w:proofErr w:type="spellEnd"/>
            <w:r w:rsidRPr="00E16672">
              <w:rPr>
                <w:rFonts w:ascii="Times New Roman" w:hAnsi="Times New Roman"/>
                <w:color w:val="000000"/>
                <w:sz w:val="16"/>
                <w:szCs w:val="16"/>
                <w:lang w:val="uk-UA"/>
              </w:rPr>
              <w:t xml:space="preserve"> a </w:t>
            </w:r>
            <w:proofErr w:type="spellStart"/>
            <w:r w:rsidRPr="00E16672">
              <w:rPr>
                <w:rFonts w:ascii="Times New Roman" w:hAnsi="Times New Roman"/>
                <w:color w:val="000000"/>
                <w:sz w:val="16"/>
                <w:szCs w:val="16"/>
                <w:lang w:val="uk-UA"/>
              </w:rPr>
              <w:t>securities</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account</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must</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be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absence</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of</w:t>
            </w:r>
            <w:proofErr w:type="spellEnd"/>
            <w:r w:rsidRPr="00E16672">
              <w:rPr>
                <w:rFonts w:ascii="Times New Roman" w:hAnsi="Times New Roman"/>
                <w:color w:val="000000"/>
                <w:sz w:val="16"/>
                <w:szCs w:val="16"/>
                <w:lang w:val="uk-UA"/>
              </w:rPr>
              <w:t xml:space="preserve"> </w:t>
            </w:r>
            <w:proofErr w:type="spellStart"/>
            <w:r w:rsidRPr="00E16672">
              <w:rPr>
                <w:rFonts w:ascii="Times New Roman" w:hAnsi="Times New Roman"/>
                <w:color w:val="000000"/>
                <w:sz w:val="16"/>
                <w:szCs w:val="16"/>
                <w:lang w:val="uk-UA"/>
              </w:rPr>
              <w:t>securities</w:t>
            </w:r>
            <w:proofErr w:type="spellEnd"/>
            <w:r w:rsidRPr="00E16672">
              <w:rPr>
                <w:rFonts w:ascii="Times New Roman" w:hAnsi="Times New Roman"/>
                <w:color w:val="000000"/>
                <w:sz w:val="16"/>
                <w:szCs w:val="16"/>
                <w:lang w:val="uk-UA"/>
              </w:rPr>
              <w:t xml:space="preserve"> </w:t>
            </w:r>
            <w:r w:rsidRPr="00E16672">
              <w:rPr>
                <w:rFonts w:ascii="Times New Roman" w:hAnsi="Times New Roman"/>
                <w:color w:val="000000"/>
                <w:sz w:val="16"/>
                <w:szCs w:val="16"/>
                <w:lang w:val="en-US"/>
              </w:rPr>
              <w:t xml:space="preserve"> in </w:t>
            </w:r>
            <w:proofErr w:type="spellStart"/>
            <w:r w:rsidRPr="00E16672">
              <w:rPr>
                <w:rFonts w:ascii="Times New Roman" w:hAnsi="Times New Roman"/>
                <w:color w:val="000000"/>
                <w:sz w:val="16"/>
                <w:szCs w:val="16"/>
                <w:lang w:val="uk-UA"/>
              </w:rPr>
              <w:t>accounting</w:t>
            </w:r>
            <w:proofErr w:type="spellEnd"/>
            <w:r w:rsidRPr="00E16672">
              <w:rPr>
                <w:rFonts w:ascii="Times New Roman" w:hAnsi="Times New Roman"/>
                <w:color w:val="000000"/>
                <w:sz w:val="16"/>
                <w:szCs w:val="16"/>
                <w:lang w:val="en-US"/>
              </w:rPr>
              <w:t xml:space="preserve">, rights for </w:t>
            </w:r>
            <w:proofErr w:type="spellStart"/>
            <w:r w:rsidRPr="00E16672">
              <w:rPr>
                <w:rFonts w:ascii="Times New Roman" w:hAnsi="Times New Roman"/>
                <w:color w:val="000000"/>
                <w:sz w:val="16"/>
                <w:szCs w:val="16"/>
                <w:lang w:val="uk-UA"/>
              </w:rPr>
              <w:t>securities</w:t>
            </w:r>
            <w:proofErr w:type="spellEnd"/>
            <w:r w:rsidRPr="00A26EFC">
              <w:rPr>
                <w:rFonts w:ascii="Times New Roman" w:hAnsi="Times New Roman"/>
                <w:color w:val="000000"/>
                <w:sz w:val="16"/>
                <w:szCs w:val="16"/>
                <w:lang w:val="en-US"/>
              </w:rPr>
              <w:t>.</w:t>
            </w:r>
          </w:p>
        </w:tc>
      </w:tr>
      <w:tr w:rsidR="00EB25FE" w:rsidRPr="00A26EFC" w14:paraId="5BB193D3" w14:textId="77777777" w:rsidTr="005E418B">
        <w:tblPrEx>
          <w:tblCellMar>
            <w:left w:w="0" w:type="dxa"/>
            <w:right w:w="0" w:type="dxa"/>
          </w:tblCellMar>
        </w:tblPrEx>
        <w:trPr>
          <w:trHeight w:val="573"/>
        </w:trPr>
        <w:tc>
          <w:tcPr>
            <w:tcW w:w="5695" w:type="dxa"/>
            <w:gridSpan w:val="7"/>
            <w:shd w:val="clear" w:color="auto" w:fill="auto"/>
          </w:tcPr>
          <w:p w14:paraId="629AFCA3" w14:textId="77777777" w:rsidR="00EB25FE" w:rsidRPr="00E16672" w:rsidRDefault="00EB25FE" w:rsidP="00FA3078">
            <w:pPr>
              <w:pStyle w:val="32"/>
              <w:snapToGrid w:val="0"/>
              <w:ind w:left="175" w:right="138" w:firstLine="0"/>
              <w:rPr>
                <w:rFonts w:ascii="Times New Roman" w:hAnsi="Times New Roman"/>
                <w:color w:val="000000"/>
                <w:sz w:val="16"/>
                <w:szCs w:val="16"/>
                <w:lang w:val="uk-UA"/>
              </w:rPr>
            </w:pPr>
            <w:r w:rsidRPr="00E16672">
              <w:rPr>
                <w:rFonts w:ascii="Times New Roman" w:hAnsi="Times New Roman"/>
                <w:color w:val="000000"/>
                <w:sz w:val="16"/>
                <w:szCs w:val="16"/>
                <w:lang w:val="uk-UA"/>
              </w:rPr>
              <w:t>8.</w:t>
            </w:r>
            <w:r w:rsidR="00FA3078">
              <w:rPr>
                <w:rFonts w:ascii="Times New Roman" w:hAnsi="Times New Roman"/>
                <w:color w:val="000000"/>
                <w:sz w:val="16"/>
                <w:szCs w:val="16"/>
                <w:lang w:val="uk-UA"/>
              </w:rPr>
              <w:t>9</w:t>
            </w:r>
            <w:r w:rsidRPr="00E16672">
              <w:rPr>
                <w:rFonts w:ascii="Times New Roman" w:hAnsi="Times New Roman"/>
                <w:color w:val="000000"/>
                <w:sz w:val="16"/>
                <w:szCs w:val="16"/>
                <w:lang w:val="uk-UA"/>
              </w:rPr>
              <w:t xml:space="preserve">. Інші питання, які не регулюються положеннями цього Договору, регулюються чинним законодавством України </w:t>
            </w:r>
            <w:r w:rsidRPr="00E16672">
              <w:rPr>
                <w:rFonts w:ascii="Times New Roman" w:hAnsi="Times New Roman"/>
                <w:sz w:val="16"/>
                <w:szCs w:val="16"/>
                <w:lang w:val="uk-UA"/>
              </w:rPr>
              <w:t>та внутрішніми документами Депозитарної установи</w:t>
            </w:r>
            <w:r w:rsidRPr="00E16672">
              <w:rPr>
                <w:rFonts w:ascii="Times New Roman" w:hAnsi="Times New Roman"/>
                <w:color w:val="000000"/>
                <w:sz w:val="16"/>
                <w:szCs w:val="16"/>
                <w:lang w:val="uk-UA"/>
              </w:rPr>
              <w:t>.</w:t>
            </w:r>
          </w:p>
        </w:tc>
        <w:tc>
          <w:tcPr>
            <w:tcW w:w="5495" w:type="dxa"/>
            <w:gridSpan w:val="8"/>
            <w:shd w:val="clear" w:color="auto" w:fill="auto"/>
          </w:tcPr>
          <w:p w14:paraId="6EDAD1DA" w14:textId="77777777" w:rsidR="00EB25FE" w:rsidRPr="00E16672" w:rsidRDefault="00EB25FE" w:rsidP="00FA3078">
            <w:pPr>
              <w:pStyle w:val="210"/>
              <w:tabs>
                <w:tab w:val="left" w:pos="287"/>
              </w:tabs>
              <w:snapToGrid w:val="0"/>
              <w:ind w:left="145" w:right="100" w:firstLine="0"/>
              <w:rPr>
                <w:rFonts w:ascii="Times New Roman" w:hAnsi="Times New Roman"/>
                <w:color w:val="000000"/>
                <w:sz w:val="16"/>
                <w:szCs w:val="16"/>
                <w:lang w:val="en-GB"/>
              </w:rPr>
            </w:pPr>
            <w:r w:rsidRPr="00E16672">
              <w:rPr>
                <w:rFonts w:ascii="Times New Roman" w:hAnsi="Times New Roman"/>
                <w:color w:val="000000"/>
                <w:sz w:val="16"/>
                <w:szCs w:val="16"/>
                <w:lang w:val="en-US"/>
              </w:rPr>
              <w:t>8</w:t>
            </w:r>
            <w:r w:rsidRPr="00E16672">
              <w:rPr>
                <w:rFonts w:ascii="Times New Roman" w:hAnsi="Times New Roman"/>
                <w:color w:val="000000"/>
                <w:sz w:val="16"/>
                <w:szCs w:val="16"/>
              </w:rPr>
              <w:t>.</w:t>
            </w:r>
            <w:r w:rsidR="00FA3078">
              <w:rPr>
                <w:rFonts w:ascii="Times New Roman" w:hAnsi="Times New Roman"/>
                <w:color w:val="000000"/>
                <w:sz w:val="16"/>
                <w:szCs w:val="16"/>
              </w:rPr>
              <w:t>9</w:t>
            </w:r>
            <w:r w:rsidRPr="00E16672">
              <w:rPr>
                <w:rFonts w:ascii="Times New Roman" w:hAnsi="Times New Roman"/>
                <w:color w:val="000000"/>
                <w:sz w:val="16"/>
                <w:szCs w:val="16"/>
              </w:rPr>
              <w:t>.</w:t>
            </w:r>
            <w:r w:rsidRPr="00E16672">
              <w:rPr>
                <w:rFonts w:ascii="Times New Roman" w:hAnsi="Times New Roman"/>
                <w:color w:val="000000"/>
                <w:sz w:val="16"/>
                <w:szCs w:val="16"/>
                <w:lang w:val="en-GB"/>
              </w:rPr>
              <w:t xml:space="preserve"> Other questions, which are not regulated by the conditions of the present Agreement, shall be regulated by the current legislation of Ukraine</w:t>
            </w:r>
            <w:r w:rsidRPr="00E16672">
              <w:rPr>
                <w:rFonts w:ascii="Times New Roman" w:hAnsi="Times New Roman"/>
                <w:color w:val="000000"/>
                <w:sz w:val="16"/>
                <w:szCs w:val="16"/>
              </w:rPr>
              <w:t xml:space="preserve"> </w:t>
            </w:r>
            <w:proofErr w:type="spellStart"/>
            <w:r w:rsidRPr="00E16672">
              <w:rPr>
                <w:rStyle w:val="shorttext"/>
                <w:rFonts w:ascii="Times New Roman" w:hAnsi="Times New Roman"/>
                <w:sz w:val="16"/>
                <w:szCs w:val="16"/>
              </w:rPr>
              <w:t>and</w:t>
            </w:r>
            <w:proofErr w:type="spellEnd"/>
            <w:r w:rsidRPr="00E16672">
              <w:rPr>
                <w:rStyle w:val="shorttext"/>
                <w:rFonts w:ascii="Times New Roman" w:hAnsi="Times New Roman"/>
                <w:sz w:val="16"/>
                <w:szCs w:val="16"/>
              </w:rPr>
              <w:t xml:space="preserve"> </w:t>
            </w:r>
            <w:proofErr w:type="spellStart"/>
            <w:r w:rsidRPr="00E16672">
              <w:rPr>
                <w:rStyle w:val="shorttext"/>
                <w:rFonts w:ascii="Times New Roman" w:hAnsi="Times New Roman"/>
                <w:sz w:val="16"/>
                <w:szCs w:val="16"/>
              </w:rPr>
              <w:t>the</w:t>
            </w:r>
            <w:proofErr w:type="spellEnd"/>
            <w:r w:rsidRPr="00E16672">
              <w:rPr>
                <w:rStyle w:val="shorttext"/>
                <w:rFonts w:ascii="Times New Roman" w:hAnsi="Times New Roman"/>
                <w:sz w:val="16"/>
                <w:szCs w:val="16"/>
              </w:rPr>
              <w:t xml:space="preserve"> </w:t>
            </w:r>
            <w:proofErr w:type="spellStart"/>
            <w:r w:rsidRPr="00E16672">
              <w:rPr>
                <w:rStyle w:val="shorttext"/>
                <w:rFonts w:ascii="Times New Roman" w:hAnsi="Times New Roman"/>
                <w:sz w:val="16"/>
                <w:szCs w:val="16"/>
              </w:rPr>
              <w:t>internal</w:t>
            </w:r>
            <w:proofErr w:type="spellEnd"/>
            <w:r w:rsidRPr="00E16672">
              <w:rPr>
                <w:rStyle w:val="shorttext"/>
                <w:rFonts w:ascii="Times New Roman" w:hAnsi="Times New Roman"/>
                <w:sz w:val="16"/>
                <w:szCs w:val="16"/>
              </w:rPr>
              <w:t xml:space="preserve"> </w:t>
            </w:r>
            <w:proofErr w:type="spellStart"/>
            <w:r w:rsidRPr="00E16672">
              <w:rPr>
                <w:rStyle w:val="shorttext"/>
                <w:rFonts w:ascii="Times New Roman" w:hAnsi="Times New Roman"/>
                <w:sz w:val="16"/>
                <w:szCs w:val="16"/>
              </w:rPr>
              <w:t>documents</w:t>
            </w:r>
            <w:proofErr w:type="spellEnd"/>
            <w:r w:rsidRPr="00E16672">
              <w:rPr>
                <w:rStyle w:val="shorttext"/>
                <w:rFonts w:ascii="Times New Roman" w:hAnsi="Times New Roman"/>
                <w:sz w:val="16"/>
                <w:szCs w:val="16"/>
              </w:rPr>
              <w:t xml:space="preserve"> </w:t>
            </w:r>
            <w:proofErr w:type="spellStart"/>
            <w:r w:rsidRPr="00E16672">
              <w:rPr>
                <w:rStyle w:val="shorttext"/>
                <w:rFonts w:ascii="Times New Roman" w:hAnsi="Times New Roman"/>
                <w:sz w:val="16"/>
                <w:szCs w:val="16"/>
              </w:rPr>
              <w:t>of</w:t>
            </w:r>
            <w:proofErr w:type="spellEnd"/>
            <w:r w:rsidRPr="00E16672">
              <w:rPr>
                <w:rStyle w:val="shorttext"/>
                <w:rFonts w:ascii="Times New Roman" w:hAnsi="Times New Roman"/>
                <w:sz w:val="16"/>
                <w:szCs w:val="16"/>
              </w:rPr>
              <w:t xml:space="preserve"> </w:t>
            </w:r>
            <w:proofErr w:type="spellStart"/>
            <w:r w:rsidRPr="00E16672">
              <w:rPr>
                <w:rStyle w:val="shorttext"/>
                <w:rFonts w:ascii="Times New Roman" w:hAnsi="Times New Roman"/>
                <w:sz w:val="16"/>
                <w:szCs w:val="16"/>
              </w:rPr>
              <w:t>the</w:t>
            </w:r>
            <w:proofErr w:type="spellEnd"/>
            <w:r w:rsidRPr="00E16672">
              <w:rPr>
                <w:rStyle w:val="shorttext"/>
                <w:rFonts w:ascii="Times New Roman" w:hAnsi="Times New Roman"/>
                <w:sz w:val="16"/>
                <w:szCs w:val="16"/>
              </w:rPr>
              <w:t xml:space="preserve"> </w:t>
            </w:r>
            <w:proofErr w:type="spellStart"/>
            <w:r w:rsidRPr="00E16672">
              <w:rPr>
                <w:rStyle w:val="shorttext"/>
                <w:rFonts w:ascii="Times New Roman" w:hAnsi="Times New Roman"/>
                <w:sz w:val="16"/>
                <w:szCs w:val="16"/>
              </w:rPr>
              <w:t>Depositary</w:t>
            </w:r>
            <w:proofErr w:type="spellEnd"/>
            <w:r w:rsidRPr="00E16672">
              <w:rPr>
                <w:rStyle w:val="shorttext"/>
                <w:rFonts w:ascii="Times New Roman" w:hAnsi="Times New Roman"/>
                <w:sz w:val="16"/>
                <w:szCs w:val="16"/>
              </w:rPr>
              <w:t xml:space="preserve"> </w:t>
            </w:r>
            <w:r w:rsidRPr="00E16672">
              <w:rPr>
                <w:rFonts w:ascii="Times New Roman" w:hAnsi="Times New Roman"/>
                <w:iCs/>
                <w:color w:val="000000"/>
                <w:sz w:val="16"/>
                <w:szCs w:val="16"/>
                <w:lang w:val="en-US"/>
              </w:rPr>
              <w:t>institution</w:t>
            </w:r>
            <w:r w:rsidRPr="00E16672">
              <w:rPr>
                <w:rFonts w:ascii="Times New Roman" w:hAnsi="Times New Roman"/>
                <w:color w:val="000000"/>
                <w:sz w:val="16"/>
                <w:szCs w:val="16"/>
                <w:lang w:val="en-GB"/>
              </w:rPr>
              <w:t>.</w:t>
            </w:r>
          </w:p>
        </w:tc>
      </w:tr>
      <w:tr w:rsidR="00EB25FE" w:rsidRPr="00A26EFC" w14:paraId="69C7A2A7" w14:textId="77777777" w:rsidTr="005E418B">
        <w:tblPrEx>
          <w:tblCellMar>
            <w:left w:w="0" w:type="dxa"/>
            <w:right w:w="0" w:type="dxa"/>
          </w:tblCellMar>
        </w:tblPrEx>
        <w:trPr>
          <w:trHeight w:val="192"/>
        </w:trPr>
        <w:tc>
          <w:tcPr>
            <w:tcW w:w="5695" w:type="dxa"/>
            <w:gridSpan w:val="7"/>
            <w:shd w:val="clear" w:color="auto" w:fill="auto"/>
          </w:tcPr>
          <w:p w14:paraId="4680FAC4" w14:textId="77777777" w:rsidR="00EB25FE" w:rsidRPr="00E16672" w:rsidRDefault="00EB25FE" w:rsidP="00794B3F">
            <w:pPr>
              <w:snapToGrid w:val="0"/>
              <w:ind w:left="175" w:right="138"/>
              <w:rPr>
                <w:rFonts w:ascii="Times New Roman" w:hAnsi="Times New Roman"/>
                <w:sz w:val="16"/>
                <w:szCs w:val="16"/>
                <w:lang w:val="en-US"/>
              </w:rPr>
            </w:pPr>
          </w:p>
          <w:p w14:paraId="5D21075F" w14:textId="77777777" w:rsidR="00EB25FE" w:rsidRPr="00E16672" w:rsidRDefault="00EB25FE" w:rsidP="00794B3F">
            <w:pPr>
              <w:ind w:left="175" w:right="138"/>
              <w:jc w:val="center"/>
              <w:rPr>
                <w:rFonts w:ascii="Times New Roman" w:hAnsi="Times New Roman"/>
                <w:b/>
                <w:caps/>
                <w:sz w:val="16"/>
                <w:szCs w:val="16"/>
                <w:lang w:val="en-US"/>
              </w:rPr>
            </w:pPr>
            <w:r w:rsidRPr="00E16672">
              <w:rPr>
                <w:rFonts w:ascii="Times New Roman" w:hAnsi="Times New Roman"/>
                <w:b/>
                <w:caps/>
                <w:sz w:val="16"/>
                <w:szCs w:val="16"/>
                <w:lang w:val="en-US"/>
              </w:rPr>
              <w:t xml:space="preserve">9. </w:t>
            </w:r>
            <w:r w:rsidRPr="00E16672">
              <w:rPr>
                <w:rFonts w:ascii="Times New Roman" w:hAnsi="Times New Roman"/>
                <w:b/>
                <w:caps/>
                <w:sz w:val="16"/>
                <w:szCs w:val="16"/>
              </w:rPr>
              <w:t>Форс</w:t>
            </w:r>
            <w:r w:rsidRPr="00E16672">
              <w:rPr>
                <w:rFonts w:ascii="Times New Roman" w:hAnsi="Times New Roman"/>
                <w:b/>
                <w:caps/>
                <w:sz w:val="16"/>
                <w:szCs w:val="16"/>
                <w:lang w:val="en-US"/>
              </w:rPr>
              <w:t>-</w:t>
            </w:r>
            <w:r w:rsidRPr="00E16672">
              <w:rPr>
                <w:rFonts w:ascii="Times New Roman" w:hAnsi="Times New Roman"/>
                <w:b/>
                <w:caps/>
                <w:sz w:val="16"/>
                <w:szCs w:val="16"/>
              </w:rPr>
              <w:t>мажор</w:t>
            </w:r>
          </w:p>
          <w:p w14:paraId="57249D01" w14:textId="77777777" w:rsidR="00EB25FE" w:rsidRPr="00E16672" w:rsidRDefault="00EB25FE" w:rsidP="00794B3F">
            <w:pPr>
              <w:ind w:left="175" w:right="138"/>
              <w:rPr>
                <w:rFonts w:ascii="Times New Roman" w:hAnsi="Times New Roman"/>
                <w:sz w:val="16"/>
                <w:szCs w:val="16"/>
                <w:lang w:val="en-US"/>
              </w:rPr>
            </w:pPr>
          </w:p>
          <w:p w14:paraId="32A812DF" w14:textId="77777777" w:rsidR="00EB25FE" w:rsidRPr="00E16672" w:rsidRDefault="00EB25FE" w:rsidP="00794B3F">
            <w:pPr>
              <w:ind w:left="175" w:right="138" w:firstLine="0"/>
              <w:rPr>
                <w:rFonts w:ascii="Times New Roman" w:hAnsi="Times New Roman"/>
                <w:sz w:val="16"/>
                <w:szCs w:val="16"/>
              </w:rPr>
            </w:pPr>
            <w:r w:rsidRPr="00E16672">
              <w:rPr>
                <w:rFonts w:ascii="Times New Roman" w:hAnsi="Times New Roman"/>
                <w:sz w:val="16"/>
                <w:szCs w:val="16"/>
                <w:lang w:val="en-US"/>
              </w:rPr>
              <w:t xml:space="preserve">9.1. </w:t>
            </w:r>
            <w:proofErr w:type="spellStart"/>
            <w:r w:rsidRPr="00E16672">
              <w:rPr>
                <w:rFonts w:ascii="Times New Roman" w:hAnsi="Times New Roman"/>
                <w:sz w:val="16"/>
                <w:szCs w:val="16"/>
              </w:rPr>
              <w:t>Сторони</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звільняються</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від</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відповідальності</w:t>
            </w:r>
            <w:proofErr w:type="spellEnd"/>
            <w:r w:rsidRPr="00E16672">
              <w:rPr>
                <w:rFonts w:ascii="Times New Roman" w:hAnsi="Times New Roman"/>
                <w:sz w:val="16"/>
                <w:szCs w:val="16"/>
                <w:lang w:val="en-US"/>
              </w:rPr>
              <w:t xml:space="preserve"> </w:t>
            </w:r>
            <w:r w:rsidRPr="00E16672">
              <w:rPr>
                <w:rFonts w:ascii="Times New Roman" w:hAnsi="Times New Roman"/>
                <w:sz w:val="16"/>
                <w:szCs w:val="16"/>
              </w:rPr>
              <w:t>за</w:t>
            </w:r>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часткове</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або</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повне</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невиконання</w:t>
            </w:r>
            <w:proofErr w:type="spellEnd"/>
            <w:r w:rsidRPr="00E16672">
              <w:rPr>
                <w:rFonts w:ascii="Times New Roman" w:hAnsi="Times New Roman"/>
                <w:sz w:val="16"/>
                <w:szCs w:val="16"/>
                <w:lang w:val="en-US"/>
              </w:rPr>
              <w:t xml:space="preserve"> </w:t>
            </w:r>
            <w:r w:rsidRPr="00E16672">
              <w:rPr>
                <w:rFonts w:ascii="Times New Roman" w:hAnsi="Times New Roman"/>
                <w:sz w:val="16"/>
                <w:szCs w:val="16"/>
              </w:rPr>
              <w:t>зобов</w:t>
            </w:r>
            <w:r w:rsidRPr="00E16672">
              <w:rPr>
                <w:rFonts w:ascii="Times New Roman" w:hAnsi="Times New Roman"/>
                <w:sz w:val="16"/>
                <w:szCs w:val="16"/>
                <w:lang w:val="en-US"/>
              </w:rPr>
              <w:t>’</w:t>
            </w:r>
            <w:proofErr w:type="spellStart"/>
            <w:r w:rsidRPr="00E16672">
              <w:rPr>
                <w:rFonts w:ascii="Times New Roman" w:hAnsi="Times New Roman"/>
                <w:sz w:val="16"/>
                <w:szCs w:val="16"/>
              </w:rPr>
              <w:t>язань</w:t>
            </w:r>
            <w:proofErr w:type="spellEnd"/>
            <w:r w:rsidRPr="00E16672">
              <w:rPr>
                <w:rFonts w:ascii="Times New Roman" w:hAnsi="Times New Roman"/>
                <w:sz w:val="16"/>
                <w:szCs w:val="16"/>
                <w:lang w:val="en-US"/>
              </w:rPr>
              <w:t xml:space="preserve"> </w:t>
            </w:r>
            <w:r w:rsidRPr="00E16672">
              <w:rPr>
                <w:rFonts w:ascii="Times New Roman" w:hAnsi="Times New Roman"/>
                <w:sz w:val="16"/>
                <w:szCs w:val="16"/>
              </w:rPr>
              <w:t>по</w:t>
            </w:r>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цьому</w:t>
            </w:r>
            <w:proofErr w:type="spellEnd"/>
            <w:r w:rsidRPr="00E16672">
              <w:rPr>
                <w:rFonts w:ascii="Times New Roman" w:hAnsi="Times New Roman"/>
                <w:sz w:val="16"/>
                <w:szCs w:val="16"/>
                <w:lang w:val="en-US"/>
              </w:rPr>
              <w:t xml:space="preserve"> </w:t>
            </w:r>
            <w:r w:rsidRPr="00E16672">
              <w:rPr>
                <w:rFonts w:ascii="Times New Roman" w:hAnsi="Times New Roman"/>
                <w:sz w:val="16"/>
                <w:szCs w:val="16"/>
              </w:rPr>
              <w:t>Договору</w:t>
            </w:r>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якщо</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це</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виконання</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унеможливив</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вплив</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обставин</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непереборної</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сили</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тобто</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надзвичайних</w:t>
            </w:r>
            <w:proofErr w:type="spellEnd"/>
            <w:r w:rsidRPr="00E16672">
              <w:rPr>
                <w:rFonts w:ascii="Times New Roman" w:hAnsi="Times New Roman"/>
                <w:sz w:val="16"/>
                <w:szCs w:val="16"/>
                <w:lang w:val="en-US"/>
              </w:rPr>
              <w:t xml:space="preserve"> </w:t>
            </w:r>
            <w:r w:rsidRPr="00E16672">
              <w:rPr>
                <w:rFonts w:ascii="Times New Roman" w:hAnsi="Times New Roman"/>
                <w:sz w:val="16"/>
                <w:szCs w:val="16"/>
              </w:rPr>
              <w:t>і</w:t>
            </w:r>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невідворотних</w:t>
            </w:r>
            <w:proofErr w:type="spellEnd"/>
            <w:r w:rsidRPr="00E16672">
              <w:rPr>
                <w:rFonts w:ascii="Times New Roman" w:hAnsi="Times New Roman"/>
                <w:sz w:val="16"/>
                <w:szCs w:val="16"/>
                <w:lang w:val="en-US"/>
              </w:rPr>
              <w:t xml:space="preserve"> </w:t>
            </w:r>
            <w:r w:rsidRPr="00E16672">
              <w:rPr>
                <w:rFonts w:ascii="Times New Roman" w:hAnsi="Times New Roman"/>
                <w:sz w:val="16"/>
                <w:szCs w:val="16"/>
              </w:rPr>
              <w:t>за</w:t>
            </w:r>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даних</w:t>
            </w:r>
            <w:proofErr w:type="spellEnd"/>
            <w:r w:rsidRPr="00E16672">
              <w:rPr>
                <w:rFonts w:ascii="Times New Roman" w:hAnsi="Times New Roman"/>
                <w:sz w:val="16"/>
                <w:szCs w:val="16"/>
                <w:lang w:val="en-US"/>
              </w:rPr>
              <w:t xml:space="preserve"> </w:t>
            </w:r>
            <w:r w:rsidRPr="00E16672">
              <w:rPr>
                <w:rFonts w:ascii="Times New Roman" w:hAnsi="Times New Roman"/>
                <w:sz w:val="16"/>
                <w:szCs w:val="16"/>
              </w:rPr>
              <w:t>умов</w:t>
            </w:r>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подій</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стихійного</w:t>
            </w:r>
            <w:proofErr w:type="spellEnd"/>
            <w:r w:rsidRPr="00E16672">
              <w:rPr>
                <w:rFonts w:ascii="Times New Roman" w:hAnsi="Times New Roman"/>
                <w:sz w:val="16"/>
                <w:szCs w:val="16"/>
                <w:lang w:val="en-US"/>
              </w:rPr>
              <w:t xml:space="preserve"> </w:t>
            </w:r>
            <w:r w:rsidRPr="00E16672">
              <w:rPr>
                <w:rFonts w:ascii="Times New Roman" w:hAnsi="Times New Roman"/>
                <w:sz w:val="16"/>
                <w:szCs w:val="16"/>
              </w:rPr>
              <w:t>лиха</w:t>
            </w:r>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аварії</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пожежі</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вихід</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із</w:t>
            </w:r>
            <w:proofErr w:type="spellEnd"/>
            <w:r w:rsidRPr="00E16672">
              <w:rPr>
                <w:rFonts w:ascii="Times New Roman" w:hAnsi="Times New Roman"/>
                <w:sz w:val="16"/>
                <w:szCs w:val="16"/>
                <w:lang w:val="en-US"/>
              </w:rPr>
              <w:t xml:space="preserve"> </w:t>
            </w:r>
            <w:r w:rsidRPr="00E16672">
              <w:rPr>
                <w:rFonts w:ascii="Times New Roman" w:hAnsi="Times New Roman"/>
                <w:sz w:val="16"/>
                <w:szCs w:val="16"/>
              </w:rPr>
              <w:t>ладу</w:t>
            </w:r>
            <w:r w:rsidRPr="00E16672">
              <w:rPr>
                <w:rFonts w:ascii="Times New Roman" w:hAnsi="Times New Roman"/>
                <w:sz w:val="16"/>
                <w:szCs w:val="16"/>
                <w:lang w:val="en-US"/>
              </w:rPr>
              <w:t xml:space="preserve"> </w:t>
            </w:r>
            <w:r w:rsidRPr="00E16672">
              <w:rPr>
                <w:rFonts w:ascii="Times New Roman" w:hAnsi="Times New Roman"/>
                <w:sz w:val="16"/>
                <w:szCs w:val="16"/>
              </w:rPr>
              <w:t>мереж</w:t>
            </w:r>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зв</w:t>
            </w:r>
            <w:proofErr w:type="spellEnd"/>
            <w:r w:rsidRPr="00E16672">
              <w:rPr>
                <w:rFonts w:ascii="Times New Roman" w:hAnsi="Times New Roman"/>
                <w:sz w:val="16"/>
                <w:szCs w:val="16"/>
                <w:lang w:val="en-US"/>
              </w:rPr>
              <w:t>’</w:t>
            </w:r>
            <w:proofErr w:type="spellStart"/>
            <w:r w:rsidRPr="00E16672">
              <w:rPr>
                <w:rFonts w:ascii="Times New Roman" w:hAnsi="Times New Roman"/>
                <w:sz w:val="16"/>
                <w:szCs w:val="16"/>
              </w:rPr>
              <w:t>язку</w:t>
            </w:r>
            <w:proofErr w:type="spellEnd"/>
            <w:r w:rsidRPr="00E16672">
              <w:rPr>
                <w:rFonts w:ascii="Times New Roman" w:hAnsi="Times New Roman"/>
                <w:sz w:val="16"/>
                <w:szCs w:val="16"/>
                <w:lang w:val="en-US"/>
              </w:rPr>
              <w:t xml:space="preserve"> </w:t>
            </w:r>
            <w:r w:rsidRPr="00E16672">
              <w:rPr>
                <w:rFonts w:ascii="Times New Roman" w:hAnsi="Times New Roman"/>
                <w:sz w:val="16"/>
                <w:szCs w:val="16"/>
              </w:rPr>
              <w:t>та</w:t>
            </w:r>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системи</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електропостачання</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масових</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порушень</w:t>
            </w:r>
            <w:proofErr w:type="spellEnd"/>
            <w:r w:rsidRPr="00E16672">
              <w:rPr>
                <w:rFonts w:ascii="Times New Roman" w:hAnsi="Times New Roman"/>
                <w:sz w:val="16"/>
                <w:szCs w:val="16"/>
                <w:lang w:val="en-US"/>
              </w:rPr>
              <w:t xml:space="preserve"> </w:t>
            </w:r>
            <w:r w:rsidRPr="00E16672">
              <w:rPr>
                <w:rFonts w:ascii="Times New Roman" w:hAnsi="Times New Roman"/>
                <w:sz w:val="16"/>
                <w:szCs w:val="16"/>
              </w:rPr>
              <w:t>правопорядку</w:t>
            </w:r>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страйків</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військових</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дій</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протиправних</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дій</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третіх</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осіб</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крім</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дій</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працівників</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Сторони</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чи</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інших</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обставин</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що</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виникли</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після</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підписання</w:t>
            </w:r>
            <w:proofErr w:type="spellEnd"/>
            <w:r w:rsidRPr="00E16672">
              <w:rPr>
                <w:rFonts w:ascii="Times New Roman" w:hAnsi="Times New Roman"/>
                <w:sz w:val="16"/>
                <w:szCs w:val="16"/>
                <w:lang w:val="en-US"/>
              </w:rPr>
              <w:t xml:space="preserve"> </w:t>
            </w:r>
            <w:r w:rsidRPr="00E16672">
              <w:rPr>
                <w:rFonts w:ascii="Times New Roman" w:hAnsi="Times New Roman"/>
                <w:sz w:val="16"/>
                <w:szCs w:val="16"/>
              </w:rPr>
              <w:t>Договору</w:t>
            </w:r>
            <w:r w:rsidRPr="00E16672">
              <w:rPr>
                <w:rFonts w:ascii="Times New Roman" w:hAnsi="Times New Roman"/>
                <w:sz w:val="16"/>
                <w:szCs w:val="16"/>
                <w:lang w:val="en-US"/>
              </w:rPr>
              <w:t xml:space="preserve"> </w:t>
            </w:r>
            <w:r w:rsidRPr="00E16672">
              <w:rPr>
                <w:rFonts w:ascii="Times New Roman" w:hAnsi="Times New Roman"/>
                <w:sz w:val="16"/>
                <w:szCs w:val="16"/>
              </w:rPr>
              <w:t>та</w:t>
            </w:r>
            <w:r w:rsidRPr="00E16672">
              <w:rPr>
                <w:rFonts w:ascii="Times New Roman" w:hAnsi="Times New Roman"/>
                <w:sz w:val="16"/>
                <w:szCs w:val="16"/>
                <w:lang w:val="en-US"/>
              </w:rPr>
              <w:t xml:space="preserve"> </w:t>
            </w:r>
            <w:r w:rsidRPr="00E16672">
              <w:rPr>
                <w:rFonts w:ascii="Times New Roman" w:hAnsi="Times New Roman"/>
                <w:sz w:val="16"/>
                <w:szCs w:val="16"/>
              </w:rPr>
              <w:t>не</w:t>
            </w:r>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залежать</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від</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волевиявлення</w:t>
            </w:r>
            <w:proofErr w:type="spellEnd"/>
            <w:r w:rsidRPr="00E16672">
              <w:rPr>
                <w:rFonts w:ascii="Times New Roman" w:hAnsi="Times New Roman"/>
                <w:sz w:val="16"/>
                <w:szCs w:val="16"/>
                <w:lang w:val="en-US"/>
              </w:rPr>
              <w:t xml:space="preserve"> </w:t>
            </w:r>
            <w:proofErr w:type="spellStart"/>
            <w:r w:rsidRPr="00E16672">
              <w:rPr>
                <w:rFonts w:ascii="Times New Roman" w:hAnsi="Times New Roman"/>
                <w:sz w:val="16"/>
                <w:szCs w:val="16"/>
              </w:rPr>
              <w:t>Сторін</w:t>
            </w:r>
            <w:proofErr w:type="spellEnd"/>
            <w:r w:rsidRPr="00E16672">
              <w:rPr>
                <w:rFonts w:ascii="Times New Roman" w:hAnsi="Times New Roman"/>
                <w:sz w:val="16"/>
                <w:szCs w:val="16"/>
                <w:lang w:val="en-US"/>
              </w:rPr>
              <w:t xml:space="preserve">. </w:t>
            </w:r>
            <w:r w:rsidRPr="00E16672">
              <w:rPr>
                <w:rFonts w:ascii="Times New Roman" w:hAnsi="Times New Roman"/>
                <w:sz w:val="16"/>
                <w:szCs w:val="16"/>
              </w:rPr>
              <w:t xml:space="preserve">Не є </w:t>
            </w:r>
            <w:proofErr w:type="spellStart"/>
            <w:r w:rsidRPr="00E16672">
              <w:rPr>
                <w:rFonts w:ascii="Times New Roman" w:hAnsi="Times New Roman"/>
                <w:sz w:val="16"/>
                <w:szCs w:val="16"/>
              </w:rPr>
              <w:t>непереборною</w:t>
            </w:r>
            <w:proofErr w:type="spellEnd"/>
            <w:r w:rsidRPr="00E16672">
              <w:rPr>
                <w:rFonts w:ascii="Times New Roman" w:hAnsi="Times New Roman"/>
                <w:sz w:val="16"/>
                <w:szCs w:val="16"/>
              </w:rPr>
              <w:t xml:space="preserve"> силою </w:t>
            </w:r>
            <w:proofErr w:type="spellStart"/>
            <w:r w:rsidRPr="00E16672">
              <w:rPr>
                <w:rFonts w:ascii="Times New Roman" w:hAnsi="Times New Roman"/>
                <w:sz w:val="16"/>
                <w:szCs w:val="16"/>
              </w:rPr>
              <w:t>недодержання</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своїх</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обов’язків</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іншими</w:t>
            </w:r>
            <w:proofErr w:type="spellEnd"/>
            <w:r w:rsidRPr="00E16672">
              <w:rPr>
                <w:rFonts w:ascii="Times New Roman" w:hAnsi="Times New Roman"/>
                <w:sz w:val="16"/>
                <w:szCs w:val="16"/>
              </w:rPr>
              <w:t xml:space="preserve"> контрагентами </w:t>
            </w:r>
            <w:proofErr w:type="spellStart"/>
            <w:r w:rsidRPr="00E16672">
              <w:rPr>
                <w:rFonts w:ascii="Times New Roman" w:hAnsi="Times New Roman"/>
                <w:sz w:val="16"/>
                <w:szCs w:val="16"/>
              </w:rPr>
              <w:t>однієї</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зі</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Сторін</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чи</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відсутність</w:t>
            </w:r>
            <w:proofErr w:type="spellEnd"/>
            <w:r w:rsidRPr="00E16672">
              <w:rPr>
                <w:rFonts w:ascii="Times New Roman" w:hAnsi="Times New Roman"/>
                <w:sz w:val="16"/>
                <w:szCs w:val="16"/>
              </w:rPr>
              <w:t xml:space="preserve"> у </w:t>
            </w:r>
            <w:proofErr w:type="spellStart"/>
            <w:r w:rsidRPr="00E16672">
              <w:rPr>
                <w:rFonts w:ascii="Times New Roman" w:hAnsi="Times New Roman"/>
                <w:sz w:val="16"/>
                <w:szCs w:val="16"/>
              </w:rPr>
              <w:t>Сторони</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достатніх</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коштів</w:t>
            </w:r>
            <w:proofErr w:type="spellEnd"/>
            <w:r w:rsidRPr="00E16672">
              <w:rPr>
                <w:rFonts w:ascii="Times New Roman" w:hAnsi="Times New Roman"/>
                <w:sz w:val="16"/>
                <w:szCs w:val="16"/>
              </w:rPr>
              <w:t>.</w:t>
            </w:r>
          </w:p>
          <w:p w14:paraId="74E8B0E0" w14:textId="77777777" w:rsidR="00EB25FE" w:rsidRPr="00E16672" w:rsidRDefault="00EB25FE" w:rsidP="00794B3F">
            <w:pPr>
              <w:pStyle w:val="1b"/>
              <w:spacing w:before="0" w:after="0"/>
              <w:ind w:left="175" w:right="138"/>
              <w:rPr>
                <w:rFonts w:ascii="Times New Roman" w:eastAsia="Times New Roman" w:hAnsi="Times New Roman" w:cs="Times New Roman"/>
                <w:sz w:val="16"/>
                <w:szCs w:val="16"/>
              </w:rPr>
            </w:pPr>
          </w:p>
        </w:tc>
        <w:tc>
          <w:tcPr>
            <w:tcW w:w="5495" w:type="dxa"/>
            <w:gridSpan w:val="8"/>
            <w:shd w:val="clear" w:color="auto" w:fill="auto"/>
          </w:tcPr>
          <w:p w14:paraId="1DD6869A" w14:textId="77777777" w:rsidR="00EB25FE" w:rsidRPr="00E16672" w:rsidRDefault="00EB25FE" w:rsidP="00794B3F">
            <w:pPr>
              <w:tabs>
                <w:tab w:val="left" w:pos="287"/>
              </w:tabs>
              <w:snapToGrid w:val="0"/>
              <w:ind w:left="145" w:right="100"/>
              <w:jc w:val="center"/>
              <w:rPr>
                <w:rFonts w:ascii="Times New Roman" w:hAnsi="Times New Roman"/>
                <w:b/>
                <w:bCs/>
                <w:sz w:val="16"/>
                <w:szCs w:val="16"/>
              </w:rPr>
            </w:pPr>
          </w:p>
          <w:p w14:paraId="49F673EC" w14:textId="77777777" w:rsidR="00EB25FE" w:rsidRPr="00E16672" w:rsidRDefault="00EB25FE" w:rsidP="00794B3F">
            <w:pPr>
              <w:tabs>
                <w:tab w:val="left" w:pos="287"/>
              </w:tabs>
              <w:ind w:left="145" w:right="100"/>
              <w:jc w:val="center"/>
              <w:rPr>
                <w:rFonts w:ascii="Times New Roman" w:hAnsi="Times New Roman"/>
                <w:b/>
                <w:caps/>
                <w:sz w:val="16"/>
                <w:szCs w:val="16"/>
                <w:lang w:val="en-GB"/>
              </w:rPr>
            </w:pPr>
            <w:r w:rsidRPr="00E16672">
              <w:rPr>
                <w:rFonts w:ascii="Times New Roman" w:hAnsi="Times New Roman"/>
                <w:b/>
                <w:caps/>
                <w:sz w:val="16"/>
                <w:szCs w:val="16"/>
                <w:lang w:val="en-US"/>
              </w:rPr>
              <w:t>9</w:t>
            </w:r>
            <w:r w:rsidRPr="00E16672">
              <w:rPr>
                <w:rFonts w:ascii="Times New Roman" w:hAnsi="Times New Roman"/>
                <w:b/>
                <w:caps/>
                <w:sz w:val="16"/>
                <w:szCs w:val="16"/>
                <w:lang w:val="en-GB"/>
              </w:rPr>
              <w:t>. FORCE MAJEURE</w:t>
            </w:r>
          </w:p>
          <w:p w14:paraId="0ECA047F" w14:textId="77777777" w:rsidR="00EB25FE" w:rsidRPr="00E16672" w:rsidRDefault="00EB25FE" w:rsidP="00794B3F">
            <w:pPr>
              <w:tabs>
                <w:tab w:val="left" w:pos="287"/>
              </w:tabs>
              <w:ind w:left="145" w:right="100"/>
              <w:jc w:val="center"/>
              <w:rPr>
                <w:rFonts w:ascii="Times New Roman" w:hAnsi="Times New Roman"/>
                <w:b/>
                <w:bCs/>
                <w:sz w:val="16"/>
                <w:szCs w:val="16"/>
                <w:lang w:val="en-GB"/>
              </w:rPr>
            </w:pPr>
          </w:p>
          <w:p w14:paraId="771B34DB" w14:textId="77777777" w:rsidR="00EB25FE" w:rsidRPr="00E16672" w:rsidRDefault="00EB25FE" w:rsidP="00794B3F">
            <w:pPr>
              <w:pStyle w:val="210"/>
              <w:tabs>
                <w:tab w:val="left" w:pos="287"/>
              </w:tabs>
              <w:ind w:left="145" w:right="100" w:firstLine="0"/>
              <w:rPr>
                <w:rFonts w:ascii="Times New Roman" w:hAnsi="Times New Roman"/>
                <w:sz w:val="16"/>
                <w:szCs w:val="16"/>
              </w:rPr>
            </w:pPr>
            <w:r w:rsidRPr="00E16672">
              <w:rPr>
                <w:rFonts w:ascii="Times New Roman" w:hAnsi="Times New Roman"/>
                <w:sz w:val="16"/>
                <w:szCs w:val="16"/>
              </w:rPr>
              <w:t xml:space="preserve">9.1.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Parties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shall</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not</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be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liable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for</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partial</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or</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full</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default</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under</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this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Agreement</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if</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this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is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impossible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performance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impact</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of</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force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majeure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ie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extraordinary</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and</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unavoidable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in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circumstances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of</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events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acts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of</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nature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accidents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fires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failure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of</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communication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circuits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and</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electrification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circuits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mass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disorders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strikes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military</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operations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illegal</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operations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except</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actions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of</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staff</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of</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parties</w:t>
            </w:r>
            <w:proofErr w:type="spellEnd"/>
            <w:r w:rsidRPr="00E16672">
              <w:rPr>
                <w:rFonts w:ascii="Times New Roman" w:hAnsi="Times New Roman"/>
                <w:sz w:val="16"/>
                <w:szCs w:val="16"/>
              </w:rPr>
              <w:t xml:space="preserve">) – </w:t>
            </w:r>
            <w:proofErr w:type="spellStart"/>
            <w:r w:rsidRPr="00E16672">
              <w:rPr>
                <w:rFonts w:ascii="Times New Roman" w:hAnsi="Times New Roman"/>
                <w:sz w:val="16"/>
                <w:szCs w:val="16"/>
              </w:rPr>
              <w:t>or</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either</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circumstances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arising</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after</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conclusion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of</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this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Agreement</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and</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does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not</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depend</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will</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of</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parties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Not</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an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insurmountable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force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noncompliance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with</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duties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other</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contractors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from</w:t>
            </w:r>
            <w:proofErr w:type="spellEnd"/>
            <w:r w:rsidRPr="00E16672">
              <w:rPr>
                <w:rFonts w:ascii="Times New Roman" w:hAnsi="Times New Roman"/>
                <w:sz w:val="16"/>
                <w:szCs w:val="16"/>
              </w:rPr>
              <w:t xml:space="preserve"> a </w:t>
            </w:r>
            <w:proofErr w:type="spellStart"/>
            <w:r w:rsidRPr="00E16672">
              <w:rPr>
                <w:rFonts w:ascii="Times New Roman" w:hAnsi="Times New Roman"/>
                <w:sz w:val="16"/>
                <w:szCs w:val="16"/>
              </w:rPr>
              <w:t>Party</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or</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Parties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to</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lack</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of</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sufficient</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funds</w:t>
            </w:r>
            <w:proofErr w:type="spellEnd"/>
            <w:r w:rsidRPr="00E16672">
              <w:rPr>
                <w:rFonts w:ascii="Times New Roman" w:hAnsi="Times New Roman"/>
                <w:sz w:val="16"/>
                <w:szCs w:val="16"/>
              </w:rPr>
              <w:t>.</w:t>
            </w:r>
          </w:p>
        </w:tc>
      </w:tr>
      <w:tr w:rsidR="00EB25FE" w:rsidRPr="00A26EFC" w14:paraId="1E2AA0CE" w14:textId="77777777" w:rsidTr="005E418B">
        <w:tblPrEx>
          <w:tblCellMar>
            <w:left w:w="0" w:type="dxa"/>
            <w:right w:w="0" w:type="dxa"/>
          </w:tblCellMar>
        </w:tblPrEx>
        <w:trPr>
          <w:trHeight w:val="192"/>
        </w:trPr>
        <w:tc>
          <w:tcPr>
            <w:tcW w:w="5695" w:type="dxa"/>
            <w:gridSpan w:val="7"/>
            <w:shd w:val="clear" w:color="auto" w:fill="auto"/>
          </w:tcPr>
          <w:p w14:paraId="2AB7CC7E" w14:textId="77777777" w:rsidR="00EB25FE" w:rsidRPr="00E16672" w:rsidRDefault="00EB25FE" w:rsidP="00794B3F">
            <w:pPr>
              <w:snapToGrid w:val="0"/>
              <w:ind w:left="175" w:right="138" w:firstLine="0"/>
              <w:rPr>
                <w:rFonts w:ascii="Times New Roman" w:hAnsi="Times New Roman"/>
                <w:sz w:val="16"/>
                <w:szCs w:val="16"/>
              </w:rPr>
            </w:pPr>
            <w:r w:rsidRPr="00E16672">
              <w:rPr>
                <w:rFonts w:ascii="Times New Roman" w:hAnsi="Times New Roman"/>
                <w:sz w:val="16"/>
                <w:szCs w:val="16"/>
              </w:rPr>
              <w:t xml:space="preserve">9.2. У </w:t>
            </w:r>
            <w:proofErr w:type="spellStart"/>
            <w:r w:rsidRPr="00E16672">
              <w:rPr>
                <w:rFonts w:ascii="Times New Roman" w:hAnsi="Times New Roman"/>
                <w:sz w:val="16"/>
                <w:szCs w:val="16"/>
              </w:rPr>
              <w:t>випадку</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виникнення</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обставин</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непереборної</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сили</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термін</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виконання</w:t>
            </w:r>
            <w:proofErr w:type="spellEnd"/>
            <w:r w:rsidRPr="00E16672">
              <w:rPr>
                <w:rFonts w:ascii="Times New Roman" w:hAnsi="Times New Roman"/>
                <w:sz w:val="16"/>
                <w:szCs w:val="16"/>
              </w:rPr>
              <w:t xml:space="preserve"> Сторонами </w:t>
            </w:r>
            <w:proofErr w:type="spellStart"/>
            <w:r w:rsidRPr="00E16672">
              <w:rPr>
                <w:rFonts w:ascii="Times New Roman" w:hAnsi="Times New Roman"/>
                <w:sz w:val="16"/>
                <w:szCs w:val="16"/>
              </w:rPr>
              <w:t>обов`язків</w:t>
            </w:r>
            <w:proofErr w:type="spellEnd"/>
            <w:r w:rsidRPr="00E16672">
              <w:rPr>
                <w:rFonts w:ascii="Times New Roman" w:hAnsi="Times New Roman"/>
                <w:sz w:val="16"/>
                <w:szCs w:val="16"/>
              </w:rPr>
              <w:t xml:space="preserve"> по </w:t>
            </w:r>
            <w:proofErr w:type="spellStart"/>
            <w:r w:rsidRPr="00E16672">
              <w:rPr>
                <w:rFonts w:ascii="Times New Roman" w:hAnsi="Times New Roman"/>
                <w:sz w:val="16"/>
                <w:szCs w:val="16"/>
              </w:rPr>
              <w:t>цьому</w:t>
            </w:r>
            <w:proofErr w:type="spellEnd"/>
            <w:r w:rsidRPr="00E16672">
              <w:rPr>
                <w:rFonts w:ascii="Times New Roman" w:hAnsi="Times New Roman"/>
                <w:sz w:val="16"/>
                <w:szCs w:val="16"/>
              </w:rPr>
              <w:t xml:space="preserve"> Договору </w:t>
            </w:r>
            <w:proofErr w:type="spellStart"/>
            <w:r w:rsidRPr="00E16672">
              <w:rPr>
                <w:rFonts w:ascii="Times New Roman" w:hAnsi="Times New Roman"/>
                <w:sz w:val="16"/>
                <w:szCs w:val="16"/>
              </w:rPr>
              <w:t>відкладається</w:t>
            </w:r>
            <w:proofErr w:type="spellEnd"/>
            <w:r w:rsidRPr="00E16672">
              <w:rPr>
                <w:rFonts w:ascii="Times New Roman" w:hAnsi="Times New Roman"/>
                <w:sz w:val="16"/>
                <w:szCs w:val="16"/>
              </w:rPr>
              <w:t xml:space="preserve"> на </w:t>
            </w:r>
            <w:proofErr w:type="spellStart"/>
            <w:r w:rsidRPr="00E16672">
              <w:rPr>
                <w:rFonts w:ascii="Times New Roman" w:hAnsi="Times New Roman"/>
                <w:sz w:val="16"/>
                <w:szCs w:val="16"/>
              </w:rPr>
              <w:t>термін</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протягом</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якого</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діють</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такі</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обставини</w:t>
            </w:r>
            <w:proofErr w:type="spellEnd"/>
            <w:r w:rsidRPr="00E16672">
              <w:rPr>
                <w:rFonts w:ascii="Times New Roman" w:hAnsi="Times New Roman"/>
                <w:sz w:val="16"/>
                <w:szCs w:val="16"/>
              </w:rPr>
              <w:t xml:space="preserve"> та </w:t>
            </w:r>
            <w:proofErr w:type="spellStart"/>
            <w:r w:rsidRPr="00E16672">
              <w:rPr>
                <w:rFonts w:ascii="Times New Roman" w:hAnsi="Times New Roman"/>
                <w:sz w:val="16"/>
                <w:szCs w:val="16"/>
              </w:rPr>
              <w:t>їх</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наслідки</w:t>
            </w:r>
            <w:proofErr w:type="spellEnd"/>
            <w:r w:rsidRPr="00E16672">
              <w:rPr>
                <w:rFonts w:ascii="Times New Roman" w:hAnsi="Times New Roman"/>
                <w:sz w:val="16"/>
                <w:szCs w:val="16"/>
              </w:rPr>
              <w:t>.</w:t>
            </w:r>
          </w:p>
        </w:tc>
        <w:tc>
          <w:tcPr>
            <w:tcW w:w="5495" w:type="dxa"/>
            <w:gridSpan w:val="8"/>
            <w:shd w:val="clear" w:color="auto" w:fill="auto"/>
          </w:tcPr>
          <w:p w14:paraId="682CBFDC" w14:textId="77777777" w:rsidR="00EB25FE" w:rsidRPr="00E16672" w:rsidRDefault="00EB25FE" w:rsidP="00794B3F">
            <w:pPr>
              <w:pStyle w:val="210"/>
              <w:tabs>
                <w:tab w:val="left" w:pos="287"/>
              </w:tabs>
              <w:snapToGrid w:val="0"/>
              <w:ind w:left="145" w:right="100" w:firstLine="0"/>
              <w:rPr>
                <w:rFonts w:ascii="Times New Roman" w:hAnsi="Times New Roman"/>
                <w:sz w:val="16"/>
                <w:szCs w:val="16"/>
              </w:rPr>
            </w:pPr>
            <w:r w:rsidRPr="00E16672">
              <w:rPr>
                <w:rFonts w:ascii="Times New Roman" w:hAnsi="Times New Roman"/>
                <w:sz w:val="16"/>
                <w:szCs w:val="16"/>
              </w:rPr>
              <w:t xml:space="preserve">9.2. </w:t>
            </w:r>
            <w:proofErr w:type="spellStart"/>
            <w:r w:rsidRPr="00E16672">
              <w:rPr>
                <w:rFonts w:ascii="Times New Roman" w:hAnsi="Times New Roman"/>
                <w:sz w:val="16"/>
                <w:szCs w:val="16"/>
              </w:rPr>
              <w:t>In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case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of</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arising</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of</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force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majeure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circumstances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terms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of</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fulfilment</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by</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Parties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of</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any</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obligation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under</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this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Agreement</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shall</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be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postponed</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on</w:t>
            </w:r>
            <w:proofErr w:type="spellEnd"/>
            <w:r w:rsidRPr="00E16672">
              <w:rPr>
                <w:rFonts w:ascii="Times New Roman" w:hAnsi="Times New Roman"/>
                <w:sz w:val="16"/>
                <w:szCs w:val="16"/>
              </w:rPr>
              <w:t xml:space="preserve"> a </w:t>
            </w:r>
            <w:proofErr w:type="spellStart"/>
            <w:r w:rsidRPr="00E16672">
              <w:rPr>
                <w:rFonts w:ascii="Times New Roman" w:hAnsi="Times New Roman"/>
                <w:sz w:val="16"/>
                <w:szCs w:val="16"/>
              </w:rPr>
              <w:t>certain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period</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of</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time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during</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which</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these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circumstances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and</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their</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consequences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are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in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effect</w:t>
            </w:r>
            <w:proofErr w:type="spellEnd"/>
            <w:r w:rsidRPr="00E16672">
              <w:rPr>
                <w:rFonts w:ascii="Times New Roman" w:hAnsi="Times New Roman"/>
                <w:sz w:val="16"/>
                <w:szCs w:val="16"/>
              </w:rPr>
              <w:t>.</w:t>
            </w:r>
          </w:p>
          <w:p w14:paraId="17C93CB5" w14:textId="77777777" w:rsidR="00EB25FE" w:rsidRPr="00E16672" w:rsidRDefault="00EB25FE" w:rsidP="00794B3F">
            <w:pPr>
              <w:tabs>
                <w:tab w:val="left" w:pos="287"/>
              </w:tabs>
              <w:ind w:left="145" w:right="100"/>
              <w:jc w:val="center"/>
              <w:rPr>
                <w:rFonts w:ascii="Times New Roman" w:hAnsi="Times New Roman"/>
                <w:b/>
                <w:bCs/>
                <w:sz w:val="16"/>
                <w:szCs w:val="16"/>
                <w:lang w:val="en-GB"/>
              </w:rPr>
            </w:pPr>
          </w:p>
        </w:tc>
      </w:tr>
      <w:tr w:rsidR="00EB25FE" w:rsidRPr="00A26EFC" w14:paraId="7F42B5B0" w14:textId="77777777" w:rsidTr="005E418B">
        <w:tblPrEx>
          <w:tblCellMar>
            <w:left w:w="0" w:type="dxa"/>
            <w:right w:w="0" w:type="dxa"/>
          </w:tblCellMar>
        </w:tblPrEx>
        <w:trPr>
          <w:trHeight w:val="192"/>
        </w:trPr>
        <w:tc>
          <w:tcPr>
            <w:tcW w:w="5695" w:type="dxa"/>
            <w:gridSpan w:val="7"/>
            <w:shd w:val="clear" w:color="auto" w:fill="auto"/>
          </w:tcPr>
          <w:p w14:paraId="6467C963" w14:textId="77777777" w:rsidR="00EB25FE" w:rsidRPr="00E16672" w:rsidRDefault="00EB25FE" w:rsidP="00794B3F">
            <w:pPr>
              <w:snapToGrid w:val="0"/>
              <w:ind w:left="175" w:right="138" w:firstLine="0"/>
              <w:rPr>
                <w:rFonts w:ascii="Times New Roman" w:hAnsi="Times New Roman"/>
                <w:sz w:val="16"/>
                <w:szCs w:val="16"/>
              </w:rPr>
            </w:pPr>
            <w:r w:rsidRPr="00E16672">
              <w:rPr>
                <w:rFonts w:ascii="Times New Roman" w:hAnsi="Times New Roman"/>
                <w:sz w:val="16"/>
                <w:szCs w:val="16"/>
              </w:rPr>
              <w:t xml:space="preserve">9.3. </w:t>
            </w:r>
            <w:proofErr w:type="spellStart"/>
            <w:r w:rsidRPr="00E16672">
              <w:rPr>
                <w:rFonts w:ascii="Times New Roman" w:hAnsi="Times New Roman"/>
                <w:sz w:val="16"/>
                <w:szCs w:val="16"/>
              </w:rPr>
              <w:t>Сторони</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зобов`язуються</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після</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настання</w:t>
            </w:r>
            <w:proofErr w:type="spellEnd"/>
            <w:r w:rsidRPr="00E16672">
              <w:rPr>
                <w:rFonts w:ascii="Times New Roman" w:hAnsi="Times New Roman"/>
                <w:sz w:val="16"/>
                <w:szCs w:val="16"/>
              </w:rPr>
              <w:t xml:space="preserve"> форс-</w:t>
            </w:r>
            <w:proofErr w:type="spellStart"/>
            <w:r w:rsidRPr="00E16672">
              <w:rPr>
                <w:rFonts w:ascii="Times New Roman" w:hAnsi="Times New Roman"/>
                <w:sz w:val="16"/>
                <w:szCs w:val="16"/>
              </w:rPr>
              <w:t>мажорних</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обставин</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вжити</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всі</w:t>
            </w:r>
            <w:proofErr w:type="spellEnd"/>
            <w:r w:rsidRPr="00E16672">
              <w:rPr>
                <w:rFonts w:ascii="Times New Roman" w:hAnsi="Times New Roman"/>
                <w:sz w:val="16"/>
                <w:szCs w:val="16"/>
              </w:rPr>
              <w:t xml:space="preserve"> заходи для </w:t>
            </w:r>
            <w:proofErr w:type="spellStart"/>
            <w:r w:rsidRPr="00E16672">
              <w:rPr>
                <w:rFonts w:ascii="Times New Roman" w:hAnsi="Times New Roman"/>
                <w:sz w:val="16"/>
                <w:szCs w:val="16"/>
              </w:rPr>
              <w:t>ліквідації</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наслідків</w:t>
            </w:r>
            <w:proofErr w:type="spellEnd"/>
            <w:r w:rsidRPr="00E16672">
              <w:rPr>
                <w:rFonts w:ascii="Times New Roman" w:hAnsi="Times New Roman"/>
                <w:sz w:val="16"/>
                <w:szCs w:val="16"/>
              </w:rPr>
              <w:t xml:space="preserve"> та </w:t>
            </w:r>
            <w:proofErr w:type="spellStart"/>
            <w:r w:rsidRPr="00E16672">
              <w:rPr>
                <w:rFonts w:ascii="Times New Roman" w:hAnsi="Times New Roman"/>
                <w:sz w:val="16"/>
                <w:szCs w:val="16"/>
              </w:rPr>
              <w:t>виконання</w:t>
            </w:r>
            <w:proofErr w:type="spellEnd"/>
            <w:r w:rsidRPr="00E16672">
              <w:rPr>
                <w:rFonts w:ascii="Times New Roman" w:hAnsi="Times New Roman"/>
                <w:sz w:val="16"/>
                <w:szCs w:val="16"/>
              </w:rPr>
              <w:t xml:space="preserve"> умов Договору. </w:t>
            </w:r>
          </w:p>
        </w:tc>
        <w:tc>
          <w:tcPr>
            <w:tcW w:w="5495" w:type="dxa"/>
            <w:gridSpan w:val="8"/>
            <w:shd w:val="clear" w:color="auto" w:fill="auto"/>
          </w:tcPr>
          <w:p w14:paraId="7CA5D0E6" w14:textId="77777777" w:rsidR="00EB25FE" w:rsidRPr="00E16672" w:rsidRDefault="00EB25FE" w:rsidP="00794B3F">
            <w:pPr>
              <w:tabs>
                <w:tab w:val="left" w:pos="287"/>
              </w:tabs>
              <w:snapToGrid w:val="0"/>
              <w:ind w:left="145" w:right="100" w:firstLine="0"/>
              <w:rPr>
                <w:rFonts w:ascii="Times New Roman" w:hAnsi="Times New Roman"/>
                <w:sz w:val="16"/>
                <w:szCs w:val="16"/>
                <w:lang w:val="en-GB"/>
              </w:rPr>
            </w:pPr>
            <w:r w:rsidRPr="00E16672">
              <w:rPr>
                <w:rFonts w:ascii="Times New Roman" w:hAnsi="Times New Roman"/>
                <w:sz w:val="16"/>
                <w:szCs w:val="16"/>
                <w:lang w:val="en-GB"/>
              </w:rPr>
              <w:t>9.3. The Parties undertake after the force majeure to take all measures to eliminate the consequences and conditions of the Agreement.</w:t>
            </w:r>
          </w:p>
          <w:p w14:paraId="004C0404" w14:textId="77777777" w:rsidR="00EB25FE" w:rsidRPr="00E16672" w:rsidRDefault="00EB25FE" w:rsidP="00794B3F">
            <w:pPr>
              <w:tabs>
                <w:tab w:val="left" w:pos="287"/>
              </w:tabs>
              <w:ind w:left="145" w:right="100"/>
              <w:jc w:val="center"/>
              <w:rPr>
                <w:rFonts w:ascii="Times New Roman" w:hAnsi="Times New Roman"/>
                <w:sz w:val="16"/>
                <w:szCs w:val="16"/>
                <w:lang w:val="en-US"/>
              </w:rPr>
            </w:pPr>
          </w:p>
        </w:tc>
      </w:tr>
      <w:tr w:rsidR="00EB25FE" w:rsidRPr="00A26EFC" w14:paraId="18C4CCAA" w14:textId="77777777" w:rsidTr="005E418B">
        <w:tblPrEx>
          <w:tblCellMar>
            <w:left w:w="0" w:type="dxa"/>
            <w:right w:w="0" w:type="dxa"/>
          </w:tblCellMar>
        </w:tblPrEx>
        <w:trPr>
          <w:trHeight w:val="192"/>
        </w:trPr>
        <w:tc>
          <w:tcPr>
            <w:tcW w:w="5695" w:type="dxa"/>
            <w:gridSpan w:val="7"/>
            <w:shd w:val="clear" w:color="auto" w:fill="auto"/>
          </w:tcPr>
          <w:p w14:paraId="3D410F89" w14:textId="77777777" w:rsidR="00EB25FE" w:rsidRPr="00E16672" w:rsidRDefault="00EB25FE" w:rsidP="00794B3F">
            <w:pPr>
              <w:pStyle w:val="210"/>
              <w:snapToGrid w:val="0"/>
              <w:ind w:left="175" w:right="138" w:firstLine="0"/>
              <w:rPr>
                <w:rFonts w:ascii="Times New Roman" w:hAnsi="Times New Roman"/>
                <w:color w:val="000000"/>
                <w:sz w:val="16"/>
                <w:szCs w:val="16"/>
              </w:rPr>
            </w:pPr>
            <w:r w:rsidRPr="00E16672">
              <w:rPr>
                <w:rFonts w:ascii="Times New Roman" w:hAnsi="Times New Roman"/>
                <w:color w:val="000000"/>
                <w:sz w:val="16"/>
                <w:szCs w:val="16"/>
              </w:rPr>
              <w:t xml:space="preserve">9.4. Кожна Сторона зобов’язана письмово підтвердити факт виникнення Форс-мажорних обставин іншій Стороні протягом </w:t>
            </w:r>
            <w:r w:rsidRPr="00E16672">
              <w:rPr>
                <w:rFonts w:ascii="Times New Roman" w:hAnsi="Times New Roman"/>
                <w:i/>
                <w:iCs/>
                <w:color w:val="000000"/>
                <w:sz w:val="16"/>
                <w:szCs w:val="16"/>
                <w:lang w:val="ru-RU"/>
              </w:rPr>
              <w:t>десяти</w:t>
            </w:r>
            <w:r w:rsidRPr="00E16672">
              <w:rPr>
                <w:rFonts w:ascii="Times New Roman" w:hAnsi="Times New Roman"/>
                <w:color w:val="000000"/>
                <w:sz w:val="16"/>
                <w:szCs w:val="16"/>
              </w:rPr>
              <w:t xml:space="preserve"> днів після їх виникнення.</w:t>
            </w:r>
          </w:p>
          <w:p w14:paraId="03FDC088" w14:textId="77777777" w:rsidR="00EB25FE" w:rsidRPr="00E16672" w:rsidRDefault="00EB25FE" w:rsidP="00794B3F">
            <w:pPr>
              <w:pStyle w:val="210"/>
              <w:snapToGrid w:val="0"/>
              <w:ind w:left="175" w:right="138" w:firstLine="0"/>
              <w:rPr>
                <w:rFonts w:ascii="Times New Roman" w:hAnsi="Times New Roman"/>
                <w:color w:val="000000"/>
                <w:sz w:val="16"/>
                <w:szCs w:val="16"/>
                <w:lang w:val="ru-RU"/>
              </w:rPr>
            </w:pPr>
          </w:p>
        </w:tc>
        <w:tc>
          <w:tcPr>
            <w:tcW w:w="5495" w:type="dxa"/>
            <w:gridSpan w:val="8"/>
            <w:shd w:val="clear" w:color="auto" w:fill="auto"/>
          </w:tcPr>
          <w:p w14:paraId="38CFD901" w14:textId="77777777" w:rsidR="00EB25FE" w:rsidRPr="00E16672" w:rsidRDefault="00EB25FE" w:rsidP="00794B3F">
            <w:pPr>
              <w:ind w:left="145" w:right="100" w:firstLine="0"/>
              <w:rPr>
                <w:rFonts w:ascii="Times New Roman" w:hAnsi="Times New Roman"/>
                <w:b/>
                <w:bCs/>
                <w:color w:val="000000"/>
                <w:sz w:val="16"/>
                <w:szCs w:val="16"/>
                <w:lang w:val="en-GB"/>
              </w:rPr>
            </w:pPr>
            <w:r w:rsidRPr="00E16672">
              <w:rPr>
                <w:rFonts w:ascii="Times New Roman" w:hAnsi="Times New Roman"/>
                <w:color w:val="000000"/>
                <w:sz w:val="16"/>
                <w:szCs w:val="16"/>
                <w:lang w:val="en-GB"/>
              </w:rPr>
              <w:t xml:space="preserve">9.4. Each of the parties should </w:t>
            </w:r>
            <w:r w:rsidRPr="00E16672">
              <w:rPr>
                <w:rFonts w:ascii="Times New Roman" w:hAnsi="Times New Roman"/>
                <w:color w:val="000000"/>
                <w:sz w:val="16"/>
                <w:szCs w:val="16"/>
                <w:lang w:val="en-US"/>
              </w:rPr>
              <w:t>in writing confirm</w:t>
            </w:r>
            <w:r w:rsidRPr="00E16672">
              <w:rPr>
                <w:rFonts w:ascii="Times New Roman" w:hAnsi="Times New Roman"/>
                <w:color w:val="000000"/>
                <w:sz w:val="16"/>
                <w:szCs w:val="16"/>
                <w:lang w:val="en-GB"/>
              </w:rPr>
              <w:t xml:space="preserve"> the fact </w:t>
            </w:r>
            <w:proofErr w:type="gramStart"/>
            <w:r w:rsidRPr="00E16672">
              <w:rPr>
                <w:rFonts w:ascii="Times New Roman" w:hAnsi="Times New Roman"/>
                <w:color w:val="000000"/>
                <w:sz w:val="16"/>
                <w:szCs w:val="16"/>
                <w:lang w:val="en-GB"/>
              </w:rPr>
              <w:t>of  force</w:t>
            </w:r>
            <w:proofErr w:type="gramEnd"/>
            <w:r w:rsidRPr="00E16672">
              <w:rPr>
                <w:rFonts w:ascii="Times New Roman" w:hAnsi="Times New Roman"/>
                <w:color w:val="000000"/>
                <w:sz w:val="16"/>
                <w:szCs w:val="16"/>
                <w:lang w:val="en-GB"/>
              </w:rPr>
              <w:t xml:space="preserve"> – majeure to another  Side during</w:t>
            </w:r>
            <w:r w:rsidRPr="00A26EFC">
              <w:rPr>
                <w:rStyle w:val="WW8Num3z0"/>
                <w:rFonts w:ascii="Times New Roman" w:hAnsi="Times New Roman"/>
                <w:color w:val="000000"/>
                <w:sz w:val="16"/>
                <w:szCs w:val="16"/>
                <w:lang w:val="en-US"/>
              </w:rPr>
              <w:t xml:space="preserve"> </w:t>
            </w:r>
            <w:r w:rsidRPr="00A26EFC">
              <w:rPr>
                <w:rStyle w:val="hps"/>
                <w:rFonts w:ascii="Times New Roman" w:hAnsi="Times New Roman"/>
                <w:color w:val="000000"/>
                <w:sz w:val="16"/>
                <w:szCs w:val="16"/>
                <w:lang w:val="en-US"/>
              </w:rPr>
              <w:t>ten working</w:t>
            </w:r>
            <w:r w:rsidRPr="00E16672">
              <w:rPr>
                <w:rFonts w:ascii="Times New Roman" w:hAnsi="Times New Roman"/>
                <w:color w:val="000000"/>
                <w:sz w:val="16"/>
                <w:szCs w:val="16"/>
                <w:lang w:val="en-GB"/>
              </w:rPr>
              <w:t xml:space="preserve"> days after it happened.</w:t>
            </w:r>
          </w:p>
        </w:tc>
      </w:tr>
      <w:tr w:rsidR="00EB25FE" w:rsidRPr="00A26EFC" w14:paraId="37AE6216" w14:textId="77777777" w:rsidTr="005E418B">
        <w:tblPrEx>
          <w:tblCellMar>
            <w:left w:w="0" w:type="dxa"/>
            <w:right w:w="0" w:type="dxa"/>
          </w:tblCellMar>
        </w:tblPrEx>
        <w:trPr>
          <w:trHeight w:val="192"/>
        </w:trPr>
        <w:tc>
          <w:tcPr>
            <w:tcW w:w="5695" w:type="dxa"/>
            <w:gridSpan w:val="7"/>
            <w:shd w:val="clear" w:color="auto" w:fill="auto"/>
          </w:tcPr>
          <w:p w14:paraId="50EC4C4E" w14:textId="77777777" w:rsidR="00EB25FE" w:rsidRPr="00E16672" w:rsidRDefault="00EB25FE" w:rsidP="00794B3F">
            <w:pPr>
              <w:snapToGrid w:val="0"/>
              <w:ind w:left="175" w:right="138" w:firstLine="0"/>
              <w:rPr>
                <w:rFonts w:ascii="Times New Roman" w:hAnsi="Times New Roman"/>
                <w:sz w:val="16"/>
                <w:szCs w:val="16"/>
              </w:rPr>
            </w:pPr>
            <w:r w:rsidRPr="00E16672">
              <w:rPr>
                <w:rFonts w:ascii="Times New Roman" w:hAnsi="Times New Roman"/>
                <w:sz w:val="16"/>
                <w:szCs w:val="16"/>
              </w:rPr>
              <w:t xml:space="preserve">9.5. Форс-мажорна </w:t>
            </w:r>
            <w:proofErr w:type="spellStart"/>
            <w:r w:rsidRPr="00E16672">
              <w:rPr>
                <w:rFonts w:ascii="Times New Roman" w:hAnsi="Times New Roman"/>
                <w:sz w:val="16"/>
                <w:szCs w:val="16"/>
              </w:rPr>
              <w:t>ситуація</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між</w:t>
            </w:r>
            <w:proofErr w:type="spellEnd"/>
            <w:r w:rsidRPr="00E16672">
              <w:rPr>
                <w:rFonts w:ascii="Times New Roman" w:hAnsi="Times New Roman"/>
                <w:sz w:val="16"/>
                <w:szCs w:val="16"/>
              </w:rPr>
              <w:t xml:space="preserve"> Сторонами </w:t>
            </w:r>
            <w:proofErr w:type="spellStart"/>
            <w:r w:rsidRPr="00E16672">
              <w:rPr>
                <w:rFonts w:ascii="Times New Roman" w:hAnsi="Times New Roman"/>
                <w:sz w:val="16"/>
                <w:szCs w:val="16"/>
              </w:rPr>
              <w:t>розглядається</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тільки</w:t>
            </w:r>
            <w:proofErr w:type="spellEnd"/>
            <w:r w:rsidRPr="00E16672">
              <w:rPr>
                <w:rFonts w:ascii="Times New Roman" w:hAnsi="Times New Roman"/>
                <w:sz w:val="16"/>
                <w:szCs w:val="16"/>
              </w:rPr>
              <w:t xml:space="preserve"> за </w:t>
            </w:r>
            <w:proofErr w:type="spellStart"/>
            <w:r w:rsidRPr="00E16672">
              <w:rPr>
                <w:rFonts w:ascii="Times New Roman" w:hAnsi="Times New Roman"/>
                <w:sz w:val="16"/>
                <w:szCs w:val="16"/>
              </w:rPr>
              <w:t>умови</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сповіщення</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протилежної</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сторони</w:t>
            </w:r>
            <w:proofErr w:type="spellEnd"/>
            <w:r w:rsidRPr="00E16672">
              <w:rPr>
                <w:rFonts w:ascii="Times New Roman" w:hAnsi="Times New Roman"/>
                <w:sz w:val="16"/>
                <w:szCs w:val="16"/>
              </w:rPr>
              <w:t xml:space="preserve"> в </w:t>
            </w:r>
            <w:proofErr w:type="spellStart"/>
            <w:r w:rsidRPr="00E16672">
              <w:rPr>
                <w:rFonts w:ascii="Times New Roman" w:hAnsi="Times New Roman"/>
                <w:sz w:val="16"/>
                <w:szCs w:val="16"/>
              </w:rPr>
              <w:t>письмовій</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формі</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із</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зазначенням</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обставин</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що</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виникли</w:t>
            </w:r>
            <w:proofErr w:type="spellEnd"/>
            <w:r w:rsidRPr="00E16672">
              <w:rPr>
                <w:rFonts w:ascii="Times New Roman" w:hAnsi="Times New Roman"/>
                <w:sz w:val="16"/>
                <w:szCs w:val="16"/>
              </w:rPr>
              <w:t xml:space="preserve">. </w:t>
            </w:r>
          </w:p>
        </w:tc>
        <w:tc>
          <w:tcPr>
            <w:tcW w:w="5495" w:type="dxa"/>
            <w:gridSpan w:val="8"/>
            <w:shd w:val="clear" w:color="auto" w:fill="auto"/>
          </w:tcPr>
          <w:p w14:paraId="14382F2B" w14:textId="77777777" w:rsidR="00EB25FE" w:rsidRPr="00E16672" w:rsidRDefault="00EB25FE" w:rsidP="00794B3F">
            <w:pPr>
              <w:pStyle w:val="210"/>
              <w:tabs>
                <w:tab w:val="left" w:pos="287"/>
              </w:tabs>
              <w:snapToGrid w:val="0"/>
              <w:ind w:left="145" w:right="100" w:firstLine="0"/>
              <w:rPr>
                <w:rFonts w:ascii="Times New Roman" w:hAnsi="Times New Roman"/>
                <w:sz w:val="16"/>
                <w:szCs w:val="16"/>
              </w:rPr>
            </w:pPr>
            <w:r w:rsidRPr="00E16672">
              <w:rPr>
                <w:rFonts w:ascii="Times New Roman" w:hAnsi="Times New Roman"/>
                <w:sz w:val="16"/>
                <w:szCs w:val="16"/>
              </w:rPr>
              <w:t xml:space="preserve">9.5. </w:t>
            </w:r>
            <w:proofErr w:type="spellStart"/>
            <w:r w:rsidRPr="00E16672">
              <w:rPr>
                <w:rFonts w:ascii="Times New Roman" w:hAnsi="Times New Roman"/>
                <w:sz w:val="16"/>
                <w:szCs w:val="16"/>
              </w:rPr>
              <w:t>Force</w:t>
            </w:r>
            <w:proofErr w:type="spellEnd"/>
            <w:r w:rsidRPr="00E16672">
              <w:rPr>
                <w:rFonts w:ascii="Times New Roman" w:hAnsi="Times New Roman"/>
                <w:sz w:val="16"/>
                <w:szCs w:val="16"/>
              </w:rPr>
              <w:t xml:space="preserve"> – </w:t>
            </w:r>
            <w:proofErr w:type="spellStart"/>
            <w:r w:rsidRPr="00E16672">
              <w:rPr>
                <w:rFonts w:ascii="Times New Roman" w:hAnsi="Times New Roman"/>
                <w:sz w:val="16"/>
                <w:szCs w:val="16"/>
              </w:rPr>
              <w:t>majeure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between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Parties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is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to</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be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taken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to</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account</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only</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provided</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that</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another</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part</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had</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been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informed</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in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written</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form</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with</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pointing</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circumstances</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of</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the</w:t>
            </w:r>
            <w:proofErr w:type="spellEnd"/>
            <w:r w:rsidRPr="00E16672">
              <w:rPr>
                <w:rFonts w:ascii="Times New Roman" w:hAnsi="Times New Roman"/>
                <w:sz w:val="16"/>
                <w:szCs w:val="16"/>
              </w:rPr>
              <w:t xml:space="preserve"> </w:t>
            </w:r>
            <w:proofErr w:type="spellStart"/>
            <w:r w:rsidRPr="00E16672">
              <w:rPr>
                <w:rFonts w:ascii="Times New Roman" w:hAnsi="Times New Roman"/>
                <w:sz w:val="16"/>
                <w:szCs w:val="16"/>
              </w:rPr>
              <w:t>Incident</w:t>
            </w:r>
            <w:proofErr w:type="spellEnd"/>
            <w:r w:rsidRPr="00E16672">
              <w:rPr>
                <w:rFonts w:ascii="Times New Roman" w:hAnsi="Times New Roman"/>
                <w:sz w:val="16"/>
                <w:szCs w:val="16"/>
              </w:rPr>
              <w:t>.</w:t>
            </w:r>
          </w:p>
          <w:p w14:paraId="4A764E80" w14:textId="77777777" w:rsidR="00EB25FE" w:rsidRPr="00E16672" w:rsidRDefault="00EB25FE" w:rsidP="00794B3F">
            <w:pPr>
              <w:tabs>
                <w:tab w:val="left" w:pos="287"/>
              </w:tabs>
              <w:ind w:left="145" w:right="100"/>
              <w:jc w:val="center"/>
              <w:rPr>
                <w:rFonts w:ascii="Times New Roman" w:hAnsi="Times New Roman"/>
                <w:b/>
                <w:bCs/>
                <w:sz w:val="16"/>
                <w:szCs w:val="16"/>
                <w:lang w:val="en-GB"/>
              </w:rPr>
            </w:pPr>
          </w:p>
        </w:tc>
      </w:tr>
      <w:tr w:rsidR="00EB25FE" w:rsidRPr="00A26EFC" w14:paraId="1366D3B3" w14:textId="77777777" w:rsidTr="005E418B">
        <w:tblPrEx>
          <w:tblCellMar>
            <w:left w:w="0" w:type="dxa"/>
            <w:right w:w="0" w:type="dxa"/>
          </w:tblCellMar>
        </w:tblPrEx>
        <w:trPr>
          <w:trHeight w:val="1256"/>
        </w:trPr>
        <w:tc>
          <w:tcPr>
            <w:tcW w:w="5695" w:type="dxa"/>
            <w:gridSpan w:val="7"/>
            <w:shd w:val="clear" w:color="auto" w:fill="auto"/>
          </w:tcPr>
          <w:p w14:paraId="37F5BAD0" w14:textId="77777777" w:rsidR="00EB25FE" w:rsidRPr="00E16672" w:rsidRDefault="00EB25FE" w:rsidP="00794B3F">
            <w:pPr>
              <w:pStyle w:val="32"/>
              <w:snapToGrid w:val="0"/>
              <w:ind w:left="175" w:right="138" w:firstLine="0"/>
              <w:jc w:val="center"/>
              <w:rPr>
                <w:rFonts w:ascii="Times New Roman" w:hAnsi="Times New Roman"/>
                <w:b/>
                <w:caps/>
                <w:color w:val="000000"/>
                <w:sz w:val="16"/>
                <w:szCs w:val="16"/>
                <w:shd w:val="clear" w:color="auto" w:fill="FFFFFF"/>
              </w:rPr>
            </w:pPr>
            <w:r w:rsidRPr="00E16672">
              <w:rPr>
                <w:rFonts w:ascii="Times New Roman" w:hAnsi="Times New Roman"/>
                <w:b/>
                <w:caps/>
                <w:color w:val="000000"/>
                <w:sz w:val="16"/>
                <w:szCs w:val="16"/>
                <w:shd w:val="clear" w:color="auto" w:fill="FFFFFF"/>
              </w:rPr>
              <w:t>1</w:t>
            </w:r>
            <w:r w:rsidR="005C5318" w:rsidRPr="00E16672">
              <w:rPr>
                <w:rFonts w:ascii="Times New Roman" w:hAnsi="Times New Roman"/>
                <w:b/>
                <w:caps/>
                <w:color w:val="000000"/>
                <w:sz w:val="16"/>
                <w:szCs w:val="16"/>
                <w:shd w:val="clear" w:color="auto" w:fill="FFFFFF"/>
                <w:lang w:val="uk-UA"/>
              </w:rPr>
              <w:t>0</w:t>
            </w:r>
            <w:r w:rsidRPr="00E16672">
              <w:rPr>
                <w:rFonts w:ascii="Times New Roman" w:hAnsi="Times New Roman"/>
                <w:b/>
                <w:caps/>
                <w:color w:val="000000"/>
                <w:sz w:val="16"/>
                <w:szCs w:val="16"/>
                <w:shd w:val="clear" w:color="auto" w:fill="FFFFFF"/>
              </w:rPr>
              <w:t xml:space="preserve">. Про визнання </w:t>
            </w:r>
            <w:r w:rsidRPr="00E16672">
              <w:rPr>
                <w:rFonts w:ascii="Times New Roman" w:hAnsi="Times New Roman"/>
                <w:b/>
                <w:bCs/>
                <w:sz w:val="16"/>
                <w:szCs w:val="16"/>
                <w:lang w:val="uk-UA"/>
              </w:rPr>
              <w:t>КВАЛІФІКОВАНОГО</w:t>
            </w:r>
            <w:r w:rsidRPr="00E16672">
              <w:rPr>
                <w:rFonts w:ascii="Times New Roman" w:hAnsi="Times New Roman"/>
                <w:b/>
                <w:bCs/>
                <w:lang w:val="uk-UA"/>
              </w:rPr>
              <w:t xml:space="preserve"> </w:t>
            </w:r>
            <w:r w:rsidRPr="00E16672">
              <w:rPr>
                <w:rFonts w:ascii="Times New Roman" w:hAnsi="Times New Roman"/>
                <w:b/>
                <w:caps/>
                <w:color w:val="000000"/>
                <w:sz w:val="16"/>
                <w:szCs w:val="16"/>
                <w:shd w:val="clear" w:color="auto" w:fill="FFFFFF"/>
              </w:rPr>
              <w:t>електронного</w:t>
            </w:r>
          </w:p>
          <w:p w14:paraId="690C88B7" w14:textId="77777777" w:rsidR="00EB25FE" w:rsidRPr="00E16672" w:rsidRDefault="00EB25FE" w:rsidP="00794B3F">
            <w:pPr>
              <w:pStyle w:val="32"/>
              <w:ind w:left="175" w:right="138" w:firstLine="0"/>
              <w:jc w:val="center"/>
              <w:rPr>
                <w:rFonts w:ascii="Times New Roman" w:hAnsi="Times New Roman"/>
                <w:b/>
                <w:caps/>
                <w:color w:val="000000"/>
                <w:sz w:val="16"/>
                <w:szCs w:val="16"/>
                <w:shd w:val="clear" w:color="auto" w:fill="FFFFFF"/>
              </w:rPr>
            </w:pPr>
            <w:r w:rsidRPr="00E16672">
              <w:rPr>
                <w:rFonts w:ascii="Times New Roman" w:hAnsi="Times New Roman"/>
                <w:b/>
                <w:caps/>
                <w:color w:val="000000"/>
                <w:sz w:val="16"/>
                <w:szCs w:val="16"/>
                <w:shd w:val="clear" w:color="auto" w:fill="FFFFFF"/>
              </w:rPr>
              <w:t>підпису</w:t>
            </w:r>
          </w:p>
          <w:p w14:paraId="20E5B571" w14:textId="77777777" w:rsidR="00EB25FE" w:rsidRPr="00E16672" w:rsidRDefault="00EB25FE" w:rsidP="00794B3F">
            <w:pPr>
              <w:pStyle w:val="32"/>
              <w:ind w:left="175" w:right="138" w:firstLine="0"/>
              <w:rPr>
                <w:rFonts w:ascii="Times New Roman" w:hAnsi="Times New Roman"/>
                <w:b/>
                <w:caps/>
                <w:color w:val="000000"/>
                <w:sz w:val="16"/>
                <w:szCs w:val="16"/>
              </w:rPr>
            </w:pPr>
          </w:p>
          <w:p w14:paraId="276E652D" w14:textId="77777777" w:rsidR="00EB25FE" w:rsidRPr="00E16672" w:rsidRDefault="00EB25FE" w:rsidP="00794B3F">
            <w:pPr>
              <w:pStyle w:val="33"/>
              <w:tabs>
                <w:tab w:val="left" w:pos="851"/>
              </w:tabs>
              <w:ind w:left="175" w:right="138" w:firstLine="0"/>
              <w:rPr>
                <w:rFonts w:ascii="Times New Roman" w:hAnsi="Times New Roman" w:cs="Times New Roman"/>
                <w:color w:val="000000"/>
                <w:sz w:val="16"/>
                <w:szCs w:val="16"/>
                <w:lang w:val="uk-UA"/>
              </w:rPr>
            </w:pPr>
            <w:r w:rsidRPr="00E16672">
              <w:rPr>
                <w:rFonts w:ascii="Times New Roman" w:hAnsi="Times New Roman" w:cs="Times New Roman"/>
                <w:color w:val="000000"/>
                <w:sz w:val="16"/>
                <w:szCs w:val="16"/>
                <w:lang w:val="uk-UA"/>
              </w:rPr>
              <w:t>1</w:t>
            </w:r>
            <w:r w:rsidR="005C5318" w:rsidRPr="00E16672">
              <w:rPr>
                <w:rFonts w:ascii="Times New Roman" w:hAnsi="Times New Roman" w:cs="Times New Roman"/>
                <w:color w:val="000000"/>
                <w:sz w:val="16"/>
                <w:szCs w:val="16"/>
                <w:lang w:val="uk-UA"/>
              </w:rPr>
              <w:t>0</w:t>
            </w:r>
            <w:r w:rsidRPr="00E16672">
              <w:rPr>
                <w:rFonts w:ascii="Times New Roman" w:hAnsi="Times New Roman" w:cs="Times New Roman"/>
                <w:color w:val="000000"/>
                <w:sz w:val="16"/>
                <w:szCs w:val="16"/>
                <w:lang w:val="uk-UA"/>
              </w:rPr>
              <w:t xml:space="preserve">.1. В ході виконання договору Сторони можуть обмінюватися електронними документами, які засвідчуються за допомогою </w:t>
            </w:r>
            <w:r w:rsidRPr="00E16672">
              <w:rPr>
                <w:rFonts w:ascii="Times New Roman" w:hAnsi="Times New Roman" w:cs="Times New Roman"/>
                <w:sz w:val="16"/>
                <w:lang w:val="uk-UA"/>
              </w:rPr>
              <w:t xml:space="preserve">кваліфікованого </w:t>
            </w:r>
            <w:r w:rsidRPr="00E16672">
              <w:rPr>
                <w:rFonts w:ascii="Times New Roman" w:hAnsi="Times New Roman" w:cs="Times New Roman"/>
                <w:color w:val="000000"/>
                <w:sz w:val="16"/>
                <w:szCs w:val="16"/>
                <w:lang w:val="uk-UA"/>
              </w:rPr>
              <w:t xml:space="preserve">електронного підпису </w:t>
            </w:r>
            <w:proofErr w:type="spellStart"/>
            <w:r w:rsidRPr="00E16672">
              <w:rPr>
                <w:rFonts w:ascii="Times New Roman" w:hAnsi="Times New Roman" w:cs="Times New Roman"/>
                <w:sz w:val="16"/>
                <w:szCs w:val="16"/>
                <w:lang w:eastAsia="ru-RU"/>
              </w:rPr>
              <w:t>відповідно</w:t>
            </w:r>
            <w:proofErr w:type="spellEnd"/>
            <w:r w:rsidRPr="00E16672">
              <w:rPr>
                <w:rFonts w:ascii="Times New Roman" w:hAnsi="Times New Roman" w:cs="Times New Roman"/>
                <w:sz w:val="16"/>
                <w:szCs w:val="16"/>
                <w:lang w:eastAsia="ru-RU"/>
              </w:rPr>
              <w:t xml:space="preserve"> до </w:t>
            </w:r>
            <w:proofErr w:type="spellStart"/>
            <w:r w:rsidRPr="00E16672">
              <w:rPr>
                <w:rFonts w:ascii="Times New Roman" w:hAnsi="Times New Roman" w:cs="Times New Roman"/>
                <w:sz w:val="16"/>
                <w:szCs w:val="16"/>
                <w:lang w:eastAsia="ru-RU"/>
              </w:rPr>
              <w:t>вимог</w:t>
            </w:r>
            <w:proofErr w:type="spellEnd"/>
            <w:r w:rsidRPr="00E16672">
              <w:rPr>
                <w:rFonts w:ascii="Times New Roman" w:hAnsi="Times New Roman" w:cs="Times New Roman"/>
                <w:sz w:val="16"/>
                <w:szCs w:val="16"/>
                <w:lang w:eastAsia="ru-RU"/>
              </w:rPr>
              <w:t xml:space="preserve"> </w:t>
            </w:r>
            <w:proofErr w:type="spellStart"/>
            <w:r w:rsidRPr="00E16672">
              <w:rPr>
                <w:rFonts w:ascii="Times New Roman" w:hAnsi="Times New Roman" w:cs="Times New Roman"/>
                <w:sz w:val="16"/>
                <w:szCs w:val="16"/>
                <w:lang w:eastAsia="ru-RU"/>
              </w:rPr>
              <w:t>законодавства</w:t>
            </w:r>
            <w:proofErr w:type="spellEnd"/>
            <w:r w:rsidRPr="00E16672">
              <w:rPr>
                <w:rFonts w:ascii="Times New Roman" w:hAnsi="Times New Roman" w:cs="Times New Roman"/>
                <w:sz w:val="16"/>
                <w:szCs w:val="16"/>
                <w:lang w:eastAsia="ru-RU"/>
              </w:rPr>
              <w:t xml:space="preserve"> у </w:t>
            </w:r>
            <w:proofErr w:type="spellStart"/>
            <w:r w:rsidRPr="00E16672">
              <w:rPr>
                <w:rFonts w:ascii="Times New Roman" w:hAnsi="Times New Roman" w:cs="Times New Roman"/>
                <w:sz w:val="16"/>
                <w:szCs w:val="16"/>
                <w:lang w:eastAsia="ru-RU"/>
              </w:rPr>
              <w:t>сфері</w:t>
            </w:r>
            <w:proofErr w:type="spellEnd"/>
            <w:r w:rsidRPr="00E16672">
              <w:rPr>
                <w:rFonts w:ascii="Times New Roman" w:hAnsi="Times New Roman" w:cs="Times New Roman"/>
                <w:sz w:val="16"/>
                <w:szCs w:val="16"/>
                <w:lang w:eastAsia="ru-RU"/>
              </w:rPr>
              <w:t xml:space="preserve"> </w:t>
            </w:r>
            <w:proofErr w:type="spellStart"/>
            <w:r w:rsidRPr="00E16672">
              <w:rPr>
                <w:rFonts w:ascii="Times New Roman" w:hAnsi="Times New Roman" w:cs="Times New Roman"/>
                <w:sz w:val="16"/>
                <w:szCs w:val="16"/>
                <w:lang w:eastAsia="ru-RU"/>
              </w:rPr>
              <w:t>електронного</w:t>
            </w:r>
            <w:proofErr w:type="spellEnd"/>
            <w:r w:rsidRPr="00E16672">
              <w:rPr>
                <w:rFonts w:ascii="Times New Roman" w:hAnsi="Times New Roman" w:cs="Times New Roman"/>
                <w:sz w:val="16"/>
                <w:szCs w:val="16"/>
                <w:lang w:eastAsia="ru-RU"/>
              </w:rPr>
              <w:t xml:space="preserve"> </w:t>
            </w:r>
            <w:proofErr w:type="spellStart"/>
            <w:r w:rsidRPr="00E16672">
              <w:rPr>
                <w:rFonts w:ascii="Times New Roman" w:hAnsi="Times New Roman" w:cs="Times New Roman"/>
                <w:sz w:val="16"/>
                <w:szCs w:val="16"/>
                <w:lang w:eastAsia="ru-RU"/>
              </w:rPr>
              <w:t>документообігу</w:t>
            </w:r>
            <w:proofErr w:type="spellEnd"/>
            <w:r w:rsidRPr="00E16672">
              <w:rPr>
                <w:rFonts w:ascii="Times New Roman" w:hAnsi="Times New Roman" w:cs="Times New Roman"/>
                <w:sz w:val="16"/>
                <w:szCs w:val="16"/>
                <w:lang w:eastAsia="ru-RU"/>
              </w:rPr>
              <w:t xml:space="preserve"> та </w:t>
            </w:r>
            <w:proofErr w:type="spellStart"/>
            <w:r w:rsidRPr="00E16672">
              <w:rPr>
                <w:rFonts w:ascii="Times New Roman" w:hAnsi="Times New Roman" w:cs="Times New Roman"/>
                <w:sz w:val="16"/>
                <w:szCs w:val="16"/>
                <w:lang w:eastAsia="ru-RU"/>
              </w:rPr>
              <w:t>електронних</w:t>
            </w:r>
            <w:proofErr w:type="spellEnd"/>
            <w:r w:rsidRPr="00E16672">
              <w:rPr>
                <w:rFonts w:ascii="Times New Roman" w:hAnsi="Times New Roman" w:cs="Times New Roman"/>
                <w:sz w:val="16"/>
                <w:szCs w:val="16"/>
                <w:lang w:eastAsia="ru-RU"/>
              </w:rPr>
              <w:t xml:space="preserve"> </w:t>
            </w:r>
            <w:proofErr w:type="spellStart"/>
            <w:r w:rsidRPr="00E16672">
              <w:rPr>
                <w:rFonts w:ascii="Times New Roman" w:hAnsi="Times New Roman" w:cs="Times New Roman"/>
                <w:sz w:val="16"/>
                <w:szCs w:val="16"/>
                <w:lang w:eastAsia="ru-RU"/>
              </w:rPr>
              <w:t>довірчих</w:t>
            </w:r>
            <w:proofErr w:type="spellEnd"/>
            <w:r w:rsidRPr="00E16672">
              <w:rPr>
                <w:rFonts w:ascii="Times New Roman" w:hAnsi="Times New Roman" w:cs="Times New Roman"/>
                <w:sz w:val="16"/>
                <w:szCs w:val="16"/>
                <w:lang w:eastAsia="ru-RU"/>
              </w:rPr>
              <w:t xml:space="preserve"> </w:t>
            </w:r>
            <w:proofErr w:type="spellStart"/>
            <w:r w:rsidRPr="00E16672">
              <w:rPr>
                <w:rFonts w:ascii="Times New Roman" w:hAnsi="Times New Roman" w:cs="Times New Roman"/>
                <w:sz w:val="16"/>
                <w:szCs w:val="16"/>
                <w:lang w:eastAsia="ru-RU"/>
              </w:rPr>
              <w:t>послуг</w:t>
            </w:r>
            <w:proofErr w:type="spellEnd"/>
            <w:r w:rsidRPr="00E16672">
              <w:rPr>
                <w:rFonts w:ascii="Times New Roman" w:hAnsi="Times New Roman" w:cs="Times New Roman"/>
                <w:color w:val="000000"/>
                <w:sz w:val="16"/>
                <w:szCs w:val="16"/>
                <w:lang w:val="uk-UA"/>
              </w:rPr>
              <w:t>.</w:t>
            </w:r>
          </w:p>
          <w:p w14:paraId="512C40DE" w14:textId="77777777" w:rsidR="00EB25FE" w:rsidRPr="00E16672" w:rsidRDefault="00EB25FE" w:rsidP="00794B3F">
            <w:pPr>
              <w:pStyle w:val="33"/>
              <w:tabs>
                <w:tab w:val="left" w:pos="851"/>
              </w:tabs>
              <w:ind w:left="175" w:right="138"/>
              <w:rPr>
                <w:rFonts w:ascii="Times New Roman" w:hAnsi="Times New Roman" w:cs="Times New Roman"/>
                <w:color w:val="000000"/>
                <w:sz w:val="10"/>
                <w:szCs w:val="10"/>
              </w:rPr>
            </w:pPr>
          </w:p>
        </w:tc>
        <w:tc>
          <w:tcPr>
            <w:tcW w:w="5495" w:type="dxa"/>
            <w:gridSpan w:val="8"/>
            <w:shd w:val="clear" w:color="auto" w:fill="auto"/>
          </w:tcPr>
          <w:p w14:paraId="29C17677" w14:textId="77777777" w:rsidR="00EB25FE" w:rsidRPr="00E16672" w:rsidRDefault="005C5318" w:rsidP="00794B3F">
            <w:pPr>
              <w:tabs>
                <w:tab w:val="left" w:pos="287"/>
              </w:tabs>
              <w:snapToGrid w:val="0"/>
              <w:ind w:left="145" w:right="100"/>
              <w:jc w:val="center"/>
              <w:rPr>
                <w:rFonts w:ascii="Times New Roman" w:hAnsi="Times New Roman"/>
                <w:b/>
                <w:color w:val="000000"/>
                <w:sz w:val="16"/>
                <w:szCs w:val="16"/>
                <w:shd w:val="clear" w:color="auto" w:fill="FFFFFF"/>
                <w:lang w:val="en-US"/>
              </w:rPr>
            </w:pPr>
            <w:r w:rsidRPr="00E16672">
              <w:rPr>
                <w:rFonts w:ascii="Times New Roman" w:hAnsi="Times New Roman"/>
                <w:b/>
                <w:color w:val="000000"/>
                <w:sz w:val="16"/>
                <w:szCs w:val="16"/>
                <w:shd w:val="clear" w:color="auto" w:fill="FFFFFF"/>
                <w:lang w:val="en-US"/>
              </w:rPr>
              <w:t>10</w:t>
            </w:r>
            <w:r w:rsidR="00EB25FE" w:rsidRPr="00E16672">
              <w:rPr>
                <w:rFonts w:ascii="Times New Roman" w:hAnsi="Times New Roman"/>
                <w:b/>
                <w:color w:val="000000"/>
                <w:sz w:val="16"/>
                <w:szCs w:val="16"/>
                <w:shd w:val="clear" w:color="auto" w:fill="FFFFFF"/>
                <w:lang w:val="en-US"/>
              </w:rPr>
              <w:t xml:space="preserve">. </w:t>
            </w:r>
            <w:r w:rsidR="00EB25FE" w:rsidRPr="00E16672">
              <w:rPr>
                <w:rFonts w:ascii="Times New Roman" w:hAnsi="Times New Roman"/>
                <w:b/>
                <w:color w:val="000000"/>
                <w:sz w:val="16"/>
                <w:szCs w:val="16"/>
                <w:shd w:val="clear" w:color="auto" w:fill="FFFFFF"/>
                <w:lang w:val="en-GB"/>
              </w:rPr>
              <w:t>ABOUT</w:t>
            </w:r>
            <w:r w:rsidR="00EB25FE" w:rsidRPr="00E16672">
              <w:rPr>
                <w:rFonts w:ascii="Times New Roman" w:hAnsi="Times New Roman"/>
                <w:b/>
                <w:color w:val="000000"/>
                <w:sz w:val="16"/>
                <w:szCs w:val="16"/>
                <w:shd w:val="clear" w:color="auto" w:fill="FFFFFF"/>
                <w:lang w:val="en-US"/>
              </w:rPr>
              <w:t xml:space="preserve"> </w:t>
            </w:r>
            <w:r w:rsidR="00EB25FE" w:rsidRPr="00E16672">
              <w:rPr>
                <w:rFonts w:ascii="Times New Roman" w:hAnsi="Times New Roman"/>
                <w:b/>
                <w:color w:val="000000"/>
                <w:sz w:val="16"/>
                <w:szCs w:val="16"/>
                <w:shd w:val="clear" w:color="auto" w:fill="FFFFFF"/>
                <w:lang w:val="en-GB"/>
              </w:rPr>
              <w:t>THE</w:t>
            </w:r>
            <w:r w:rsidR="00EB25FE" w:rsidRPr="00E16672">
              <w:rPr>
                <w:rFonts w:ascii="Times New Roman" w:hAnsi="Times New Roman"/>
                <w:b/>
                <w:color w:val="000000"/>
                <w:sz w:val="16"/>
                <w:szCs w:val="16"/>
                <w:shd w:val="clear" w:color="auto" w:fill="FFFFFF"/>
                <w:lang w:val="en-US"/>
              </w:rPr>
              <w:t xml:space="preserve"> </w:t>
            </w:r>
            <w:r w:rsidR="00EB25FE" w:rsidRPr="00E16672">
              <w:rPr>
                <w:rFonts w:ascii="Times New Roman" w:hAnsi="Times New Roman"/>
                <w:b/>
                <w:color w:val="000000"/>
                <w:sz w:val="16"/>
                <w:szCs w:val="16"/>
                <w:shd w:val="clear" w:color="auto" w:fill="FFFFFF"/>
                <w:lang w:val="en-GB"/>
              </w:rPr>
              <w:t>RECOGNITION</w:t>
            </w:r>
            <w:r w:rsidR="00EB25FE" w:rsidRPr="00E16672">
              <w:rPr>
                <w:rFonts w:ascii="Times New Roman" w:hAnsi="Times New Roman"/>
                <w:b/>
                <w:color w:val="000000"/>
                <w:sz w:val="16"/>
                <w:szCs w:val="16"/>
                <w:shd w:val="clear" w:color="auto" w:fill="FFFFFF"/>
                <w:lang w:val="en-US"/>
              </w:rPr>
              <w:t xml:space="preserve"> </w:t>
            </w:r>
            <w:r w:rsidR="00EB25FE" w:rsidRPr="00E16672">
              <w:rPr>
                <w:rFonts w:ascii="Times New Roman" w:hAnsi="Times New Roman"/>
                <w:b/>
                <w:color w:val="000000"/>
                <w:sz w:val="16"/>
                <w:szCs w:val="16"/>
                <w:shd w:val="clear" w:color="auto" w:fill="FFFFFF"/>
                <w:lang w:val="en-GB"/>
              </w:rPr>
              <w:t>OF</w:t>
            </w:r>
            <w:r w:rsidR="00EB25FE" w:rsidRPr="00E16672">
              <w:rPr>
                <w:rFonts w:ascii="Times New Roman" w:hAnsi="Times New Roman"/>
                <w:b/>
                <w:color w:val="000000"/>
                <w:sz w:val="16"/>
                <w:szCs w:val="16"/>
                <w:shd w:val="clear" w:color="auto" w:fill="FFFFFF"/>
                <w:lang w:val="en-US"/>
              </w:rPr>
              <w:t xml:space="preserve"> </w:t>
            </w:r>
            <w:r w:rsidR="00EB25FE" w:rsidRPr="00A26EFC">
              <w:rPr>
                <w:rStyle w:val="shorttext"/>
                <w:rFonts w:ascii="Times New Roman" w:hAnsi="Times New Roman"/>
                <w:b/>
                <w:sz w:val="16"/>
                <w:szCs w:val="16"/>
                <w:lang w:val="en-US"/>
              </w:rPr>
              <w:t>QUALIFIED</w:t>
            </w:r>
            <w:r w:rsidR="00EB25FE" w:rsidRPr="00E16672">
              <w:rPr>
                <w:rFonts w:ascii="Times New Roman" w:hAnsi="Times New Roman"/>
                <w:b/>
                <w:color w:val="000000"/>
                <w:sz w:val="16"/>
                <w:szCs w:val="16"/>
                <w:shd w:val="clear" w:color="auto" w:fill="FFFFFF"/>
                <w:lang w:val="en-GB"/>
              </w:rPr>
              <w:t xml:space="preserve"> ELECTRONIC</w:t>
            </w:r>
            <w:r w:rsidR="00EB25FE" w:rsidRPr="00E16672">
              <w:rPr>
                <w:rFonts w:ascii="Times New Roman" w:hAnsi="Times New Roman"/>
                <w:b/>
                <w:color w:val="000000"/>
                <w:sz w:val="16"/>
                <w:szCs w:val="16"/>
                <w:shd w:val="clear" w:color="auto" w:fill="FFFFFF"/>
                <w:lang w:val="en-US"/>
              </w:rPr>
              <w:t xml:space="preserve"> </w:t>
            </w:r>
          </w:p>
          <w:p w14:paraId="7DEA89B2" w14:textId="77777777" w:rsidR="00EB25FE" w:rsidRPr="00E16672" w:rsidRDefault="00EB25FE" w:rsidP="00794B3F">
            <w:pPr>
              <w:tabs>
                <w:tab w:val="left" w:pos="287"/>
              </w:tabs>
              <w:snapToGrid w:val="0"/>
              <w:ind w:left="145" w:right="100"/>
              <w:jc w:val="center"/>
              <w:rPr>
                <w:rFonts w:ascii="Times New Roman" w:hAnsi="Times New Roman"/>
                <w:b/>
                <w:color w:val="000000"/>
                <w:sz w:val="16"/>
                <w:szCs w:val="16"/>
                <w:shd w:val="clear" w:color="auto" w:fill="FFFFFF"/>
                <w:lang w:val="en-US"/>
              </w:rPr>
            </w:pPr>
            <w:r w:rsidRPr="00E16672">
              <w:rPr>
                <w:rFonts w:ascii="Times New Roman" w:hAnsi="Times New Roman"/>
                <w:b/>
                <w:color w:val="000000"/>
                <w:sz w:val="16"/>
                <w:szCs w:val="16"/>
                <w:shd w:val="clear" w:color="auto" w:fill="FFFFFF"/>
                <w:lang w:val="en-GB"/>
              </w:rPr>
              <w:t>SIGNATURE</w:t>
            </w:r>
          </w:p>
          <w:p w14:paraId="29B16308" w14:textId="77777777" w:rsidR="00EB25FE" w:rsidRPr="00E16672" w:rsidRDefault="00EB25FE" w:rsidP="00794B3F">
            <w:pPr>
              <w:tabs>
                <w:tab w:val="left" w:pos="287"/>
              </w:tabs>
              <w:snapToGrid w:val="0"/>
              <w:ind w:left="145" w:right="100"/>
              <w:jc w:val="center"/>
              <w:rPr>
                <w:rFonts w:ascii="Times New Roman" w:hAnsi="Times New Roman"/>
                <w:b/>
                <w:color w:val="000000"/>
                <w:sz w:val="16"/>
                <w:szCs w:val="16"/>
                <w:shd w:val="clear" w:color="auto" w:fill="FFFFFF"/>
                <w:lang w:val="en-US"/>
              </w:rPr>
            </w:pPr>
          </w:p>
          <w:p w14:paraId="1530FD01" w14:textId="77777777" w:rsidR="00EB25FE" w:rsidRPr="00E16672" w:rsidRDefault="00EB25FE" w:rsidP="005C5318">
            <w:pPr>
              <w:tabs>
                <w:tab w:val="left" w:pos="287"/>
              </w:tabs>
              <w:snapToGrid w:val="0"/>
              <w:ind w:left="145" w:right="100" w:firstLine="0"/>
              <w:rPr>
                <w:rFonts w:ascii="Times New Roman" w:hAnsi="Times New Roman"/>
                <w:color w:val="000000"/>
                <w:sz w:val="16"/>
                <w:szCs w:val="16"/>
                <w:shd w:val="clear" w:color="auto" w:fill="FFFFFF"/>
                <w:lang w:val="uk-UA"/>
              </w:rPr>
            </w:pPr>
            <w:r w:rsidRPr="00E16672">
              <w:rPr>
                <w:rFonts w:ascii="Times New Roman" w:hAnsi="Times New Roman"/>
                <w:color w:val="000000"/>
                <w:sz w:val="16"/>
                <w:szCs w:val="16"/>
                <w:shd w:val="clear" w:color="auto" w:fill="FFFFFF"/>
                <w:lang w:val="en-US"/>
              </w:rPr>
              <w:t>1</w:t>
            </w:r>
            <w:r w:rsidR="005C5318" w:rsidRPr="00E16672">
              <w:rPr>
                <w:rFonts w:ascii="Times New Roman" w:hAnsi="Times New Roman"/>
                <w:color w:val="000000"/>
                <w:sz w:val="16"/>
                <w:szCs w:val="16"/>
                <w:shd w:val="clear" w:color="auto" w:fill="FFFFFF"/>
                <w:lang w:val="uk-UA"/>
              </w:rPr>
              <w:t>0</w:t>
            </w:r>
            <w:r w:rsidRPr="00E16672">
              <w:rPr>
                <w:rFonts w:ascii="Times New Roman" w:hAnsi="Times New Roman"/>
                <w:color w:val="000000"/>
                <w:sz w:val="16"/>
                <w:szCs w:val="16"/>
                <w:shd w:val="clear" w:color="auto" w:fill="FFFFFF"/>
                <w:lang w:val="en-US"/>
              </w:rPr>
              <w:t xml:space="preserve">.1 </w:t>
            </w:r>
            <w:r w:rsidRPr="00E16672">
              <w:rPr>
                <w:rFonts w:ascii="Times New Roman" w:eastAsia="Lucida Sans Unicode" w:hAnsi="Times New Roman"/>
                <w:color w:val="000000"/>
                <w:kern w:val="1"/>
                <w:sz w:val="16"/>
                <w:szCs w:val="16"/>
                <w:lang w:val="en-US" w:eastAsia="hi-IN" w:bidi="hi-IN"/>
              </w:rPr>
              <w:t>During the execution of the Agreement Parties can exchange electronic documents that are certified by the electronic digital signature</w:t>
            </w:r>
            <w:r w:rsidRPr="00E16672">
              <w:rPr>
                <w:rFonts w:ascii="Times New Roman" w:eastAsia="Lucida Sans Unicode" w:hAnsi="Times New Roman"/>
                <w:color w:val="000000"/>
                <w:kern w:val="1"/>
                <w:sz w:val="16"/>
                <w:szCs w:val="16"/>
                <w:lang w:val="uk-UA" w:eastAsia="hi-IN" w:bidi="hi-IN"/>
              </w:rPr>
              <w:t xml:space="preserve"> </w:t>
            </w:r>
            <w:r w:rsidRPr="00A26EFC">
              <w:rPr>
                <w:rFonts w:ascii="Times New Roman" w:hAnsi="Times New Roman"/>
                <w:sz w:val="16"/>
                <w:szCs w:val="16"/>
                <w:lang w:val="en-US"/>
              </w:rPr>
              <w:t>in accordance with the requirements of legislation in the area of electronic document circulation and electronic trust services</w:t>
            </w:r>
            <w:r w:rsidRPr="00E16672">
              <w:rPr>
                <w:rFonts w:ascii="Times New Roman" w:eastAsia="Lucida Sans Unicode" w:hAnsi="Times New Roman"/>
                <w:color w:val="000000"/>
                <w:kern w:val="1"/>
                <w:sz w:val="16"/>
                <w:szCs w:val="16"/>
                <w:lang w:val="uk-UA" w:eastAsia="hi-IN" w:bidi="hi-IN"/>
              </w:rPr>
              <w:t>.</w:t>
            </w:r>
          </w:p>
        </w:tc>
      </w:tr>
      <w:tr w:rsidR="00EB25FE" w:rsidRPr="00A26EFC" w14:paraId="1160EB12" w14:textId="77777777" w:rsidTr="005E418B">
        <w:tblPrEx>
          <w:tblCellMar>
            <w:left w:w="0" w:type="dxa"/>
            <w:right w:w="0" w:type="dxa"/>
          </w:tblCellMar>
        </w:tblPrEx>
        <w:trPr>
          <w:trHeight w:val="192"/>
        </w:trPr>
        <w:tc>
          <w:tcPr>
            <w:tcW w:w="5695" w:type="dxa"/>
            <w:gridSpan w:val="7"/>
            <w:shd w:val="clear" w:color="auto" w:fill="auto"/>
          </w:tcPr>
          <w:p w14:paraId="6AD446AD" w14:textId="77777777" w:rsidR="00EB25FE" w:rsidRPr="00E16672" w:rsidRDefault="00EB25FE" w:rsidP="005C5318">
            <w:pPr>
              <w:pStyle w:val="33"/>
              <w:tabs>
                <w:tab w:val="left" w:pos="851"/>
              </w:tabs>
              <w:snapToGrid w:val="0"/>
              <w:ind w:left="175" w:right="138" w:firstLine="0"/>
              <w:rPr>
                <w:rFonts w:ascii="Times New Roman" w:hAnsi="Times New Roman" w:cs="Times New Roman"/>
                <w:color w:val="000000"/>
                <w:sz w:val="16"/>
                <w:szCs w:val="16"/>
                <w:lang w:val="uk-UA"/>
              </w:rPr>
            </w:pPr>
            <w:r w:rsidRPr="00E16672">
              <w:rPr>
                <w:rFonts w:ascii="Times New Roman" w:hAnsi="Times New Roman" w:cs="Times New Roman"/>
                <w:color w:val="000000"/>
                <w:sz w:val="16"/>
                <w:szCs w:val="16"/>
                <w:lang w:val="uk-UA"/>
              </w:rPr>
              <w:t>1</w:t>
            </w:r>
            <w:r w:rsidR="005C5318" w:rsidRPr="00E16672">
              <w:rPr>
                <w:rFonts w:ascii="Times New Roman" w:hAnsi="Times New Roman" w:cs="Times New Roman"/>
                <w:color w:val="000000"/>
                <w:sz w:val="16"/>
                <w:szCs w:val="16"/>
                <w:lang w:val="uk-UA"/>
              </w:rPr>
              <w:t>0</w:t>
            </w:r>
            <w:r w:rsidRPr="00E16672">
              <w:rPr>
                <w:rFonts w:ascii="Times New Roman" w:hAnsi="Times New Roman" w:cs="Times New Roman"/>
                <w:color w:val="000000"/>
                <w:sz w:val="16"/>
                <w:szCs w:val="16"/>
                <w:lang w:val="uk-UA"/>
              </w:rPr>
              <w:t xml:space="preserve">.2. При виконанні цього Договору кожна Сторона може виступати як </w:t>
            </w:r>
            <w:proofErr w:type="spellStart"/>
            <w:r w:rsidRPr="00E16672">
              <w:rPr>
                <w:rFonts w:ascii="Times New Roman" w:hAnsi="Times New Roman" w:cs="Times New Roman"/>
                <w:color w:val="000000"/>
                <w:sz w:val="16"/>
                <w:szCs w:val="16"/>
                <w:lang w:val="uk-UA"/>
              </w:rPr>
              <w:t>підписувачем</w:t>
            </w:r>
            <w:proofErr w:type="spellEnd"/>
            <w:r w:rsidRPr="00E16672">
              <w:rPr>
                <w:rFonts w:ascii="Times New Roman" w:hAnsi="Times New Roman" w:cs="Times New Roman"/>
                <w:color w:val="000000"/>
                <w:sz w:val="16"/>
                <w:szCs w:val="16"/>
                <w:lang w:val="uk-UA"/>
              </w:rPr>
              <w:t>, так і адресатом електронних документів.</w:t>
            </w:r>
          </w:p>
        </w:tc>
        <w:tc>
          <w:tcPr>
            <w:tcW w:w="5495" w:type="dxa"/>
            <w:gridSpan w:val="8"/>
            <w:shd w:val="clear" w:color="auto" w:fill="auto"/>
          </w:tcPr>
          <w:p w14:paraId="6CA85414" w14:textId="77777777" w:rsidR="00EB25FE" w:rsidRPr="00E16672" w:rsidRDefault="00EB25FE" w:rsidP="00794B3F">
            <w:pPr>
              <w:tabs>
                <w:tab w:val="left" w:pos="287"/>
              </w:tabs>
              <w:snapToGrid w:val="0"/>
              <w:ind w:left="145" w:right="100" w:firstLine="0"/>
              <w:rPr>
                <w:rFonts w:ascii="Times New Roman" w:hAnsi="Times New Roman"/>
                <w:color w:val="000000"/>
                <w:sz w:val="16"/>
                <w:szCs w:val="16"/>
                <w:shd w:val="clear" w:color="auto" w:fill="FFFFFF"/>
                <w:lang w:val="uk-UA"/>
              </w:rPr>
            </w:pPr>
            <w:r w:rsidRPr="00E16672">
              <w:rPr>
                <w:rFonts w:ascii="Times New Roman" w:hAnsi="Times New Roman"/>
                <w:color w:val="000000"/>
                <w:sz w:val="16"/>
                <w:szCs w:val="16"/>
                <w:shd w:val="clear" w:color="auto" w:fill="FFFFFF"/>
                <w:lang w:val="uk-UA"/>
              </w:rPr>
              <w:t>1</w:t>
            </w:r>
            <w:r w:rsidR="005C5318" w:rsidRPr="00E16672">
              <w:rPr>
                <w:rFonts w:ascii="Times New Roman" w:hAnsi="Times New Roman"/>
                <w:color w:val="000000"/>
                <w:sz w:val="16"/>
                <w:szCs w:val="16"/>
                <w:shd w:val="clear" w:color="auto" w:fill="FFFFFF"/>
                <w:lang w:val="uk-UA"/>
              </w:rPr>
              <w:t>0</w:t>
            </w:r>
            <w:r w:rsidRPr="00E16672">
              <w:rPr>
                <w:rFonts w:ascii="Times New Roman" w:hAnsi="Times New Roman"/>
                <w:color w:val="000000"/>
                <w:sz w:val="16"/>
                <w:szCs w:val="16"/>
                <w:shd w:val="clear" w:color="auto" w:fill="FFFFFF"/>
                <w:lang w:val="uk-UA"/>
              </w:rPr>
              <w:t xml:space="preserve">.2. </w:t>
            </w:r>
            <w:r w:rsidRPr="00E16672">
              <w:rPr>
                <w:rFonts w:ascii="Times New Roman" w:hAnsi="Times New Roman"/>
                <w:color w:val="000000"/>
                <w:sz w:val="16"/>
                <w:szCs w:val="16"/>
                <w:shd w:val="clear" w:color="auto" w:fill="FFFFFF"/>
                <w:lang w:val="en-GB"/>
              </w:rPr>
              <w:t>In</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the</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execution</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of</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this</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Agreement</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each</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Party</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may</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act</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as</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a</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signer</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and</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recipient</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of</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electronic</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documents</w:t>
            </w:r>
            <w:r w:rsidRPr="00E16672">
              <w:rPr>
                <w:rFonts w:ascii="Times New Roman" w:hAnsi="Times New Roman"/>
                <w:color w:val="000000"/>
                <w:sz w:val="16"/>
                <w:szCs w:val="16"/>
                <w:shd w:val="clear" w:color="auto" w:fill="FFFFFF"/>
                <w:lang w:val="uk-UA"/>
              </w:rPr>
              <w:t>.</w:t>
            </w:r>
          </w:p>
          <w:p w14:paraId="10AE7F93" w14:textId="77777777" w:rsidR="00EB25FE" w:rsidRPr="00E16672" w:rsidRDefault="00EB25FE" w:rsidP="00794B3F">
            <w:pPr>
              <w:tabs>
                <w:tab w:val="left" w:pos="287"/>
              </w:tabs>
              <w:snapToGrid w:val="0"/>
              <w:ind w:left="145" w:right="100"/>
              <w:rPr>
                <w:rFonts w:ascii="Times New Roman" w:hAnsi="Times New Roman"/>
                <w:color w:val="000000"/>
                <w:sz w:val="16"/>
                <w:szCs w:val="16"/>
                <w:shd w:val="clear" w:color="auto" w:fill="FFFFFF"/>
                <w:lang w:val="uk-UA"/>
              </w:rPr>
            </w:pPr>
          </w:p>
        </w:tc>
      </w:tr>
      <w:tr w:rsidR="00EB25FE" w:rsidRPr="00A26EFC" w14:paraId="1CE30B56" w14:textId="77777777" w:rsidTr="005E418B">
        <w:tblPrEx>
          <w:tblCellMar>
            <w:left w:w="0" w:type="dxa"/>
            <w:right w:w="0" w:type="dxa"/>
          </w:tblCellMar>
        </w:tblPrEx>
        <w:trPr>
          <w:trHeight w:val="192"/>
        </w:trPr>
        <w:tc>
          <w:tcPr>
            <w:tcW w:w="5695" w:type="dxa"/>
            <w:gridSpan w:val="7"/>
            <w:shd w:val="clear" w:color="auto" w:fill="auto"/>
          </w:tcPr>
          <w:p w14:paraId="4E26BBA6" w14:textId="77777777" w:rsidR="00EB25FE" w:rsidRPr="00E16672" w:rsidRDefault="00EB25FE" w:rsidP="00794B3F">
            <w:pPr>
              <w:pStyle w:val="33"/>
              <w:tabs>
                <w:tab w:val="left" w:pos="851"/>
              </w:tabs>
              <w:snapToGrid w:val="0"/>
              <w:ind w:left="175" w:right="138" w:firstLine="0"/>
              <w:rPr>
                <w:rFonts w:ascii="Times New Roman" w:hAnsi="Times New Roman" w:cs="Times New Roman"/>
                <w:color w:val="000000"/>
                <w:sz w:val="16"/>
                <w:szCs w:val="16"/>
                <w:lang w:val="uk-UA"/>
              </w:rPr>
            </w:pPr>
            <w:r w:rsidRPr="00E16672">
              <w:rPr>
                <w:rFonts w:ascii="Times New Roman" w:hAnsi="Times New Roman" w:cs="Times New Roman"/>
                <w:color w:val="000000"/>
                <w:sz w:val="16"/>
                <w:szCs w:val="16"/>
                <w:lang w:val="uk-UA"/>
              </w:rPr>
              <w:t>1</w:t>
            </w:r>
            <w:r w:rsidR="005C5318" w:rsidRPr="00E16672">
              <w:rPr>
                <w:rFonts w:ascii="Times New Roman" w:hAnsi="Times New Roman" w:cs="Times New Roman"/>
                <w:color w:val="000000"/>
                <w:sz w:val="16"/>
                <w:szCs w:val="16"/>
                <w:lang w:val="uk-UA"/>
              </w:rPr>
              <w:t>0</w:t>
            </w:r>
            <w:r w:rsidRPr="00E16672">
              <w:rPr>
                <w:rFonts w:ascii="Times New Roman" w:hAnsi="Times New Roman" w:cs="Times New Roman"/>
                <w:color w:val="000000"/>
                <w:sz w:val="16"/>
                <w:szCs w:val="16"/>
                <w:lang w:val="uk-UA"/>
              </w:rPr>
              <w:t>.3. Електронний документ - документ, інформація в якому зафіксована у вигляді електронних даних, включаючи обов'язкові реквізити документа, в тому числі кваліфікований електронний підпис.</w:t>
            </w:r>
          </w:p>
        </w:tc>
        <w:tc>
          <w:tcPr>
            <w:tcW w:w="5495" w:type="dxa"/>
            <w:gridSpan w:val="8"/>
            <w:shd w:val="clear" w:color="auto" w:fill="auto"/>
          </w:tcPr>
          <w:p w14:paraId="3EF9AC4B" w14:textId="77777777" w:rsidR="00EB25FE" w:rsidRPr="00E16672" w:rsidRDefault="00EB25FE" w:rsidP="00794B3F">
            <w:pPr>
              <w:tabs>
                <w:tab w:val="left" w:pos="287"/>
              </w:tabs>
              <w:snapToGrid w:val="0"/>
              <w:ind w:left="145" w:right="100" w:firstLine="0"/>
              <w:rPr>
                <w:rFonts w:ascii="Times New Roman" w:hAnsi="Times New Roman"/>
                <w:color w:val="000000"/>
                <w:sz w:val="16"/>
                <w:szCs w:val="16"/>
                <w:shd w:val="clear" w:color="auto" w:fill="FFFFFF"/>
                <w:lang w:val="en-GB"/>
              </w:rPr>
            </w:pPr>
            <w:r w:rsidRPr="00E16672">
              <w:rPr>
                <w:rFonts w:ascii="Times New Roman" w:hAnsi="Times New Roman"/>
                <w:color w:val="000000"/>
                <w:sz w:val="16"/>
                <w:szCs w:val="16"/>
                <w:shd w:val="clear" w:color="auto" w:fill="FFFFFF"/>
                <w:lang w:val="uk-UA"/>
              </w:rPr>
              <w:t>1</w:t>
            </w:r>
            <w:r w:rsidR="005C5318" w:rsidRPr="00E16672">
              <w:rPr>
                <w:rFonts w:ascii="Times New Roman" w:hAnsi="Times New Roman"/>
                <w:color w:val="000000"/>
                <w:sz w:val="16"/>
                <w:szCs w:val="16"/>
                <w:shd w:val="clear" w:color="auto" w:fill="FFFFFF"/>
                <w:lang w:val="uk-UA"/>
              </w:rPr>
              <w:t>0</w:t>
            </w:r>
            <w:r w:rsidRPr="00E16672">
              <w:rPr>
                <w:rFonts w:ascii="Times New Roman" w:hAnsi="Times New Roman"/>
                <w:color w:val="000000"/>
                <w:sz w:val="16"/>
                <w:szCs w:val="16"/>
                <w:shd w:val="clear" w:color="auto" w:fill="FFFFFF"/>
                <w:lang w:val="uk-UA"/>
              </w:rPr>
              <w:t xml:space="preserve">.3. </w:t>
            </w:r>
            <w:r w:rsidRPr="00E16672">
              <w:rPr>
                <w:rFonts w:ascii="Times New Roman" w:hAnsi="Times New Roman"/>
                <w:color w:val="000000"/>
                <w:sz w:val="16"/>
                <w:szCs w:val="16"/>
                <w:shd w:val="clear" w:color="auto" w:fill="FFFFFF"/>
                <w:lang w:val="en-GB"/>
              </w:rPr>
              <w:t>Electronic</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document</w:t>
            </w:r>
            <w:r w:rsidRPr="00E16672">
              <w:rPr>
                <w:rFonts w:ascii="Times New Roman" w:hAnsi="Times New Roman"/>
                <w:color w:val="000000"/>
                <w:sz w:val="16"/>
                <w:szCs w:val="16"/>
                <w:shd w:val="clear" w:color="auto" w:fill="FFFFFF"/>
                <w:lang w:val="uk-UA"/>
              </w:rPr>
              <w:t xml:space="preserve"> - </w:t>
            </w:r>
            <w:r w:rsidRPr="00E16672">
              <w:rPr>
                <w:rFonts w:ascii="Times New Roman" w:hAnsi="Times New Roman"/>
                <w:color w:val="000000"/>
                <w:sz w:val="16"/>
                <w:szCs w:val="16"/>
                <w:shd w:val="clear" w:color="auto" w:fill="FFFFFF"/>
                <w:lang w:val="en-GB"/>
              </w:rPr>
              <w:t>a</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document</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in</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which</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the</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information</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recorded</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in</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the</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form</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of</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electronic</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data</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including</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the</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required</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 xml:space="preserve">details of the document, including </w:t>
            </w:r>
            <w:r w:rsidRPr="00A26EFC">
              <w:rPr>
                <w:rStyle w:val="shorttext"/>
                <w:rFonts w:ascii="Times New Roman" w:hAnsi="Times New Roman"/>
                <w:sz w:val="16"/>
                <w:szCs w:val="16"/>
                <w:lang w:val="en-US"/>
              </w:rPr>
              <w:t>qualified</w:t>
            </w:r>
            <w:r w:rsidRPr="00E16672">
              <w:rPr>
                <w:rFonts w:ascii="Times New Roman" w:hAnsi="Times New Roman"/>
                <w:color w:val="000000"/>
                <w:sz w:val="16"/>
                <w:szCs w:val="16"/>
                <w:shd w:val="clear" w:color="auto" w:fill="FFFFFF"/>
                <w:lang w:val="en-GB"/>
              </w:rPr>
              <w:t xml:space="preserve"> electronic signature.</w:t>
            </w:r>
          </w:p>
          <w:p w14:paraId="0B537CAF" w14:textId="77777777" w:rsidR="00EB25FE" w:rsidRPr="00E16672" w:rsidRDefault="00EB25FE" w:rsidP="00794B3F">
            <w:pPr>
              <w:tabs>
                <w:tab w:val="left" w:pos="287"/>
              </w:tabs>
              <w:snapToGrid w:val="0"/>
              <w:ind w:left="145" w:right="100"/>
              <w:rPr>
                <w:rFonts w:ascii="Times New Roman" w:hAnsi="Times New Roman"/>
                <w:color w:val="000000"/>
                <w:sz w:val="16"/>
                <w:szCs w:val="16"/>
                <w:shd w:val="clear" w:color="auto" w:fill="FFFFFF"/>
                <w:lang w:val="en-GB"/>
              </w:rPr>
            </w:pPr>
          </w:p>
        </w:tc>
      </w:tr>
      <w:tr w:rsidR="00EB25FE" w:rsidRPr="00A26EFC" w14:paraId="5FAFD736" w14:textId="77777777" w:rsidTr="005E418B">
        <w:tblPrEx>
          <w:tblCellMar>
            <w:left w:w="0" w:type="dxa"/>
            <w:right w:w="0" w:type="dxa"/>
          </w:tblCellMar>
        </w:tblPrEx>
        <w:trPr>
          <w:trHeight w:val="192"/>
        </w:trPr>
        <w:tc>
          <w:tcPr>
            <w:tcW w:w="5695" w:type="dxa"/>
            <w:gridSpan w:val="7"/>
            <w:shd w:val="clear" w:color="auto" w:fill="auto"/>
          </w:tcPr>
          <w:p w14:paraId="4D3699D7" w14:textId="77777777" w:rsidR="00EB25FE" w:rsidRPr="00E16672" w:rsidRDefault="00EB25FE" w:rsidP="00794B3F">
            <w:pPr>
              <w:pStyle w:val="33"/>
              <w:tabs>
                <w:tab w:val="left" w:pos="851"/>
              </w:tabs>
              <w:snapToGrid w:val="0"/>
              <w:ind w:left="175" w:right="138" w:firstLine="0"/>
              <w:rPr>
                <w:rFonts w:ascii="Times New Roman" w:hAnsi="Times New Roman" w:cs="Times New Roman"/>
                <w:color w:val="000000"/>
                <w:sz w:val="16"/>
                <w:szCs w:val="16"/>
                <w:lang w:val="uk-UA"/>
              </w:rPr>
            </w:pPr>
            <w:r w:rsidRPr="00E16672">
              <w:rPr>
                <w:rFonts w:ascii="Times New Roman" w:hAnsi="Times New Roman" w:cs="Times New Roman"/>
                <w:color w:val="000000"/>
                <w:sz w:val="16"/>
                <w:szCs w:val="16"/>
                <w:lang w:val="uk-UA"/>
              </w:rPr>
              <w:t>1</w:t>
            </w:r>
            <w:r w:rsidR="005C5318" w:rsidRPr="00E16672">
              <w:rPr>
                <w:rFonts w:ascii="Times New Roman" w:hAnsi="Times New Roman" w:cs="Times New Roman"/>
                <w:color w:val="000000"/>
                <w:sz w:val="16"/>
                <w:szCs w:val="16"/>
                <w:lang w:val="uk-UA"/>
              </w:rPr>
              <w:t>0</w:t>
            </w:r>
            <w:r w:rsidRPr="00E16672">
              <w:rPr>
                <w:rFonts w:ascii="Times New Roman" w:hAnsi="Times New Roman" w:cs="Times New Roman"/>
                <w:color w:val="000000"/>
                <w:sz w:val="16"/>
                <w:szCs w:val="16"/>
                <w:lang w:val="uk-UA"/>
              </w:rPr>
              <w:t xml:space="preserve">.4. </w:t>
            </w:r>
            <w:r w:rsidRPr="00E16672">
              <w:rPr>
                <w:rFonts w:ascii="Times New Roman" w:hAnsi="Times New Roman" w:cs="Times New Roman"/>
                <w:sz w:val="16"/>
                <w:lang w:val="uk-UA"/>
              </w:rPr>
              <w:t>Кваліфікований</w:t>
            </w:r>
            <w:r w:rsidRPr="00E16672" w:rsidDel="00047AE1">
              <w:rPr>
                <w:rFonts w:ascii="Times New Roman" w:hAnsi="Times New Roman" w:cs="Times New Roman"/>
                <w:sz w:val="16"/>
                <w:lang w:val="uk-UA"/>
              </w:rPr>
              <w:t xml:space="preserve"> </w:t>
            </w:r>
            <w:r w:rsidRPr="00E16672">
              <w:rPr>
                <w:rFonts w:ascii="Times New Roman" w:hAnsi="Times New Roman" w:cs="Times New Roman"/>
                <w:color w:val="000000"/>
                <w:sz w:val="16"/>
                <w:szCs w:val="16"/>
                <w:lang w:val="uk-UA"/>
              </w:rPr>
              <w:t xml:space="preserve">електронний підпис -  </w:t>
            </w:r>
            <w:r w:rsidRPr="00E16672">
              <w:rPr>
                <w:rStyle w:val="rvts0"/>
                <w:rFonts w:ascii="Times New Roman" w:hAnsi="Times New Roman" w:cs="Times New Roman"/>
                <w:sz w:val="16"/>
                <w:szCs w:val="16"/>
                <w:lang w:val="uk-UA"/>
              </w:rPr>
              <w:t xml:space="preserve">удосконалений електронний підпис, який створюється з використанням засобу кваліфікованого електронного підпису, а саме </w:t>
            </w:r>
            <w:r w:rsidRPr="00E16672">
              <w:rPr>
                <w:rFonts w:ascii="Times New Roman" w:hAnsi="Times New Roman" w:cs="Times New Roman"/>
                <w:sz w:val="16"/>
                <w:szCs w:val="16"/>
                <w:lang w:val="uk-UA"/>
              </w:rPr>
              <w:t>за допомогою системи криптографічного захисту інформації Акредитованого Центру Сертифікації ключів,</w:t>
            </w:r>
            <w:r w:rsidRPr="00E16672">
              <w:rPr>
                <w:rStyle w:val="rvts0"/>
                <w:rFonts w:ascii="Times New Roman" w:hAnsi="Times New Roman" w:cs="Times New Roman"/>
                <w:sz w:val="16"/>
                <w:szCs w:val="16"/>
                <w:lang w:val="uk-UA"/>
              </w:rPr>
              <w:t xml:space="preserve"> і базується на кваліфікованому сертифікаті відкритого ключа</w:t>
            </w:r>
            <w:r w:rsidRPr="00E16672">
              <w:rPr>
                <w:rFonts w:ascii="Times New Roman" w:hAnsi="Times New Roman" w:cs="Times New Roman"/>
                <w:sz w:val="16"/>
                <w:szCs w:val="16"/>
                <w:lang w:val="uk-UA"/>
              </w:rPr>
              <w:t>. Кваліфікований</w:t>
            </w:r>
            <w:r w:rsidRPr="00E16672" w:rsidDel="00047AE1">
              <w:rPr>
                <w:rFonts w:ascii="Times New Roman" w:hAnsi="Times New Roman" w:cs="Times New Roman"/>
                <w:sz w:val="16"/>
                <w:szCs w:val="16"/>
                <w:lang w:val="uk-UA"/>
              </w:rPr>
              <w:t xml:space="preserve"> </w:t>
            </w:r>
            <w:r w:rsidRPr="00E16672">
              <w:rPr>
                <w:rFonts w:ascii="Times New Roman" w:hAnsi="Times New Roman" w:cs="Times New Roman"/>
                <w:sz w:val="16"/>
                <w:szCs w:val="16"/>
                <w:lang w:val="uk-UA"/>
              </w:rPr>
              <w:t xml:space="preserve">електронний підпис є обов'язковим </w:t>
            </w:r>
            <w:r w:rsidRPr="00E16672">
              <w:rPr>
                <w:rFonts w:ascii="Times New Roman" w:hAnsi="Times New Roman" w:cs="Times New Roman"/>
                <w:color w:val="000000"/>
                <w:sz w:val="16"/>
                <w:szCs w:val="16"/>
                <w:lang w:val="uk-UA"/>
              </w:rPr>
              <w:t xml:space="preserve">реквізитом електронного документа, який </w:t>
            </w:r>
            <w:r w:rsidRPr="00E16672">
              <w:rPr>
                <w:rFonts w:ascii="Times New Roman" w:hAnsi="Times New Roman" w:cs="Times New Roman"/>
                <w:color w:val="000000"/>
                <w:sz w:val="16"/>
                <w:szCs w:val="16"/>
                <w:lang w:val="uk-UA"/>
              </w:rPr>
              <w:lastRenderedPageBreak/>
              <w:t>використовується для ідентифікації адресатом</w:t>
            </w:r>
            <w:r w:rsidRPr="00E16672" w:rsidDel="00F11330">
              <w:rPr>
                <w:rFonts w:ascii="Times New Roman" w:hAnsi="Times New Roman" w:cs="Times New Roman"/>
                <w:color w:val="000000"/>
                <w:sz w:val="16"/>
                <w:szCs w:val="16"/>
                <w:lang w:val="uk-UA"/>
              </w:rPr>
              <w:t xml:space="preserve"> </w:t>
            </w:r>
            <w:proofErr w:type="spellStart"/>
            <w:r w:rsidRPr="00E16672">
              <w:rPr>
                <w:rFonts w:ascii="Times New Roman" w:hAnsi="Times New Roman" w:cs="Times New Roman"/>
                <w:color w:val="000000"/>
                <w:sz w:val="16"/>
                <w:szCs w:val="16"/>
                <w:lang w:val="uk-UA"/>
              </w:rPr>
              <w:t>підписувача</w:t>
            </w:r>
            <w:proofErr w:type="spellEnd"/>
            <w:r w:rsidRPr="00E16672">
              <w:rPr>
                <w:rFonts w:ascii="Times New Roman" w:hAnsi="Times New Roman" w:cs="Times New Roman"/>
                <w:color w:val="000000"/>
                <w:sz w:val="16"/>
                <w:szCs w:val="16"/>
                <w:lang w:val="uk-UA"/>
              </w:rPr>
              <w:t xml:space="preserve"> електронного документа та сформований за допомогою системи криптографічного захисту інформації Акредитованого Центру Сертифікації ключів.</w:t>
            </w:r>
          </w:p>
          <w:p w14:paraId="42B89E67" w14:textId="77777777" w:rsidR="00EB25FE" w:rsidRPr="00E16672" w:rsidRDefault="00EB25FE" w:rsidP="00794B3F">
            <w:pPr>
              <w:pStyle w:val="33"/>
              <w:tabs>
                <w:tab w:val="left" w:pos="851"/>
              </w:tabs>
              <w:ind w:left="175" w:right="138"/>
              <w:rPr>
                <w:rFonts w:ascii="Times New Roman" w:hAnsi="Times New Roman" w:cs="Times New Roman"/>
                <w:color w:val="000000"/>
                <w:sz w:val="10"/>
                <w:szCs w:val="10"/>
                <w:lang w:val="uk-UA"/>
              </w:rPr>
            </w:pPr>
          </w:p>
        </w:tc>
        <w:tc>
          <w:tcPr>
            <w:tcW w:w="5495" w:type="dxa"/>
            <w:gridSpan w:val="8"/>
            <w:shd w:val="clear" w:color="auto" w:fill="auto"/>
          </w:tcPr>
          <w:p w14:paraId="3FA1B254" w14:textId="77777777" w:rsidR="00EB25FE" w:rsidRPr="00E16672" w:rsidRDefault="00EB25FE" w:rsidP="00794B3F">
            <w:pPr>
              <w:tabs>
                <w:tab w:val="left" w:pos="287"/>
              </w:tabs>
              <w:snapToGrid w:val="0"/>
              <w:ind w:left="145" w:right="100" w:firstLine="0"/>
              <w:rPr>
                <w:rFonts w:ascii="Times New Roman" w:hAnsi="Times New Roman"/>
                <w:color w:val="000000"/>
                <w:sz w:val="16"/>
                <w:szCs w:val="16"/>
                <w:shd w:val="clear" w:color="auto" w:fill="FFFFFF"/>
                <w:lang w:val="en-GB"/>
              </w:rPr>
            </w:pPr>
            <w:r w:rsidRPr="00E16672">
              <w:rPr>
                <w:rFonts w:ascii="Times New Roman" w:hAnsi="Times New Roman"/>
                <w:color w:val="000000"/>
                <w:sz w:val="16"/>
                <w:szCs w:val="16"/>
                <w:shd w:val="clear" w:color="auto" w:fill="FFFFFF"/>
                <w:lang w:val="uk-UA"/>
              </w:rPr>
              <w:lastRenderedPageBreak/>
              <w:t>1</w:t>
            </w:r>
            <w:r w:rsidR="005C5318" w:rsidRPr="00E16672">
              <w:rPr>
                <w:rFonts w:ascii="Times New Roman" w:hAnsi="Times New Roman"/>
                <w:color w:val="000000"/>
                <w:sz w:val="16"/>
                <w:szCs w:val="16"/>
                <w:shd w:val="clear" w:color="auto" w:fill="FFFFFF"/>
                <w:lang w:val="uk-UA"/>
              </w:rPr>
              <w:t>0</w:t>
            </w:r>
            <w:r w:rsidRPr="00E16672">
              <w:rPr>
                <w:rFonts w:ascii="Times New Roman" w:hAnsi="Times New Roman"/>
                <w:color w:val="000000"/>
                <w:sz w:val="16"/>
                <w:szCs w:val="16"/>
                <w:shd w:val="clear" w:color="auto" w:fill="FFFFFF"/>
                <w:lang w:val="uk-UA"/>
              </w:rPr>
              <w:t xml:space="preserve">.4. </w:t>
            </w:r>
            <w:r w:rsidRPr="00A26EFC">
              <w:rPr>
                <w:rStyle w:val="shorttext"/>
                <w:rFonts w:ascii="Times New Roman" w:hAnsi="Times New Roman"/>
                <w:sz w:val="16"/>
                <w:szCs w:val="16"/>
                <w:lang w:val="en-US"/>
              </w:rPr>
              <w:t>Qualified</w:t>
            </w:r>
            <w:r w:rsidRPr="00E16672">
              <w:rPr>
                <w:rStyle w:val="shorttext"/>
                <w:rFonts w:ascii="Times New Roman" w:hAnsi="Times New Roman"/>
                <w:sz w:val="16"/>
                <w:szCs w:val="16"/>
                <w:lang w:val="uk-UA"/>
              </w:rPr>
              <w:t xml:space="preserve"> </w:t>
            </w:r>
            <w:proofErr w:type="gramStart"/>
            <w:r w:rsidRPr="00E16672">
              <w:rPr>
                <w:rFonts w:ascii="Times New Roman" w:hAnsi="Times New Roman"/>
                <w:color w:val="000000"/>
                <w:sz w:val="16"/>
                <w:szCs w:val="16"/>
                <w:shd w:val="clear" w:color="auto" w:fill="FFFFFF"/>
                <w:lang w:val="en-US"/>
              </w:rPr>
              <w:t>e</w:t>
            </w:r>
            <w:proofErr w:type="spellStart"/>
            <w:r w:rsidRPr="00E16672">
              <w:rPr>
                <w:rFonts w:ascii="Times New Roman" w:hAnsi="Times New Roman"/>
                <w:color w:val="000000"/>
                <w:sz w:val="16"/>
                <w:szCs w:val="16"/>
                <w:shd w:val="clear" w:color="auto" w:fill="FFFFFF"/>
                <w:lang w:val="en-GB"/>
              </w:rPr>
              <w:t>lectronic</w:t>
            </w:r>
            <w:proofErr w:type="spellEnd"/>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signature</w:t>
            </w:r>
            <w:proofErr w:type="gramEnd"/>
            <w:r w:rsidRPr="00E16672">
              <w:rPr>
                <w:rFonts w:ascii="Times New Roman" w:hAnsi="Times New Roman"/>
                <w:color w:val="000000"/>
                <w:sz w:val="16"/>
                <w:szCs w:val="16"/>
                <w:shd w:val="clear" w:color="auto" w:fill="FFFFFF"/>
                <w:lang w:val="uk-UA"/>
              </w:rPr>
              <w:t xml:space="preserve"> – </w:t>
            </w:r>
            <w:r w:rsidRPr="00A26EFC">
              <w:rPr>
                <w:rFonts w:ascii="Times New Roman" w:hAnsi="Times New Roman"/>
                <w:sz w:val="16"/>
                <w:szCs w:val="16"/>
                <w:lang w:val="en-US"/>
              </w:rPr>
              <w:t>an</w:t>
            </w:r>
            <w:r w:rsidRPr="00E16672">
              <w:rPr>
                <w:rFonts w:ascii="Times New Roman" w:hAnsi="Times New Roman"/>
                <w:sz w:val="16"/>
                <w:szCs w:val="16"/>
                <w:lang w:val="uk-UA"/>
              </w:rPr>
              <w:t xml:space="preserve"> </w:t>
            </w:r>
            <w:r w:rsidRPr="00A26EFC">
              <w:rPr>
                <w:rFonts w:ascii="Times New Roman" w:hAnsi="Times New Roman"/>
                <w:sz w:val="16"/>
                <w:szCs w:val="16"/>
                <w:lang w:val="en-US"/>
              </w:rPr>
              <w:t>advanced</w:t>
            </w:r>
            <w:r w:rsidRPr="00E16672">
              <w:rPr>
                <w:rFonts w:ascii="Times New Roman" w:hAnsi="Times New Roman"/>
                <w:sz w:val="16"/>
                <w:szCs w:val="16"/>
                <w:lang w:val="uk-UA"/>
              </w:rPr>
              <w:t xml:space="preserve"> </w:t>
            </w:r>
            <w:r w:rsidRPr="00A26EFC">
              <w:rPr>
                <w:rFonts w:ascii="Times New Roman" w:hAnsi="Times New Roman"/>
                <w:sz w:val="16"/>
                <w:szCs w:val="16"/>
                <w:lang w:val="en-US"/>
              </w:rPr>
              <w:t>electronic</w:t>
            </w:r>
            <w:r w:rsidRPr="00E16672">
              <w:rPr>
                <w:rFonts w:ascii="Times New Roman" w:hAnsi="Times New Roman"/>
                <w:sz w:val="16"/>
                <w:szCs w:val="16"/>
                <w:lang w:val="uk-UA"/>
              </w:rPr>
              <w:t xml:space="preserve"> </w:t>
            </w:r>
            <w:r w:rsidRPr="00A26EFC">
              <w:rPr>
                <w:rFonts w:ascii="Times New Roman" w:hAnsi="Times New Roman"/>
                <w:sz w:val="16"/>
                <w:szCs w:val="16"/>
                <w:lang w:val="en-US"/>
              </w:rPr>
              <w:t>signature</w:t>
            </w:r>
            <w:r w:rsidRPr="00E16672">
              <w:rPr>
                <w:rFonts w:ascii="Times New Roman" w:hAnsi="Times New Roman"/>
                <w:sz w:val="16"/>
                <w:szCs w:val="16"/>
                <w:lang w:val="uk-UA"/>
              </w:rPr>
              <w:t xml:space="preserve"> </w:t>
            </w:r>
            <w:r w:rsidRPr="00A26EFC">
              <w:rPr>
                <w:rFonts w:ascii="Times New Roman" w:hAnsi="Times New Roman"/>
                <w:sz w:val="16"/>
                <w:szCs w:val="16"/>
                <w:lang w:val="en-US"/>
              </w:rPr>
              <w:t>created</w:t>
            </w:r>
            <w:r w:rsidRPr="00E16672">
              <w:rPr>
                <w:rFonts w:ascii="Times New Roman" w:hAnsi="Times New Roman"/>
                <w:sz w:val="16"/>
                <w:szCs w:val="16"/>
                <w:lang w:val="uk-UA"/>
              </w:rPr>
              <w:t xml:space="preserve"> </w:t>
            </w:r>
            <w:r w:rsidRPr="00A26EFC">
              <w:rPr>
                <w:rFonts w:ascii="Times New Roman" w:hAnsi="Times New Roman"/>
                <w:sz w:val="16"/>
                <w:szCs w:val="16"/>
                <w:lang w:val="en-US"/>
              </w:rPr>
              <w:t>using</w:t>
            </w:r>
            <w:r w:rsidRPr="00E16672">
              <w:rPr>
                <w:rFonts w:ascii="Times New Roman" w:hAnsi="Times New Roman"/>
                <w:sz w:val="16"/>
                <w:szCs w:val="16"/>
                <w:lang w:val="uk-UA"/>
              </w:rPr>
              <w:t xml:space="preserve"> </w:t>
            </w:r>
            <w:r w:rsidRPr="00A26EFC">
              <w:rPr>
                <w:rFonts w:ascii="Times New Roman" w:hAnsi="Times New Roman"/>
                <w:sz w:val="16"/>
                <w:szCs w:val="16"/>
                <w:lang w:val="en-US"/>
              </w:rPr>
              <w:t>a</w:t>
            </w:r>
            <w:r w:rsidRPr="00E16672">
              <w:rPr>
                <w:rFonts w:ascii="Times New Roman" w:hAnsi="Times New Roman"/>
                <w:sz w:val="16"/>
                <w:szCs w:val="16"/>
                <w:lang w:val="uk-UA"/>
              </w:rPr>
              <w:t xml:space="preserve"> </w:t>
            </w:r>
            <w:r w:rsidRPr="00A26EFC">
              <w:rPr>
                <w:rFonts w:ascii="Times New Roman" w:hAnsi="Times New Roman"/>
                <w:sz w:val="16"/>
                <w:szCs w:val="16"/>
                <w:lang w:val="en-US"/>
              </w:rPr>
              <w:t>qualified</w:t>
            </w:r>
            <w:r w:rsidRPr="00E16672">
              <w:rPr>
                <w:rFonts w:ascii="Times New Roman" w:hAnsi="Times New Roman"/>
                <w:sz w:val="16"/>
                <w:szCs w:val="16"/>
                <w:lang w:val="uk-UA"/>
              </w:rPr>
              <w:t xml:space="preserve"> </w:t>
            </w:r>
            <w:r w:rsidRPr="00A26EFC">
              <w:rPr>
                <w:rFonts w:ascii="Times New Roman" w:hAnsi="Times New Roman"/>
                <w:sz w:val="16"/>
                <w:szCs w:val="16"/>
                <w:lang w:val="en-US"/>
              </w:rPr>
              <w:t>electronic</w:t>
            </w:r>
            <w:r w:rsidRPr="00E16672">
              <w:rPr>
                <w:rFonts w:ascii="Times New Roman" w:hAnsi="Times New Roman"/>
                <w:sz w:val="16"/>
                <w:szCs w:val="16"/>
                <w:lang w:val="uk-UA"/>
              </w:rPr>
              <w:t xml:space="preserve"> </w:t>
            </w:r>
            <w:r w:rsidRPr="00A26EFC">
              <w:rPr>
                <w:rFonts w:ascii="Times New Roman" w:hAnsi="Times New Roman"/>
                <w:sz w:val="16"/>
                <w:szCs w:val="16"/>
                <w:lang w:val="en-US"/>
              </w:rPr>
              <w:t>signature tool, namely through the cryptographic information security system of the Accredited Key Certification Center, and is based on a qualified public key certificate. Qualified electronic signature is mandatory</w:t>
            </w:r>
            <w:r w:rsidRPr="00E16672">
              <w:rPr>
                <w:rFonts w:ascii="Times New Roman" w:hAnsi="Times New Roman"/>
                <w:color w:val="000000"/>
                <w:sz w:val="16"/>
                <w:szCs w:val="16"/>
                <w:shd w:val="clear" w:color="auto" w:fill="FFFFFF"/>
                <w:lang w:val="en-GB"/>
              </w:rPr>
              <w:t xml:space="preserve"> a required requisite of electronic document used to identify the recipient of an electronic document signer and is formed by means of </w:t>
            </w:r>
            <w:r w:rsidRPr="00E16672">
              <w:rPr>
                <w:rFonts w:ascii="Times New Roman" w:hAnsi="Times New Roman"/>
                <w:color w:val="000000"/>
                <w:sz w:val="16"/>
                <w:szCs w:val="16"/>
                <w:shd w:val="clear" w:color="auto" w:fill="FFFFFF"/>
                <w:lang w:val="en-GB"/>
              </w:rPr>
              <w:lastRenderedPageBreak/>
              <w:t>cryptographic protection information system of Certification Authority.</w:t>
            </w:r>
          </w:p>
          <w:p w14:paraId="39432359" w14:textId="77777777" w:rsidR="00EB25FE" w:rsidRPr="00E16672" w:rsidRDefault="00EB25FE" w:rsidP="00794B3F">
            <w:pPr>
              <w:tabs>
                <w:tab w:val="left" w:pos="287"/>
              </w:tabs>
              <w:snapToGrid w:val="0"/>
              <w:ind w:left="145" w:right="100"/>
              <w:rPr>
                <w:rFonts w:ascii="Times New Roman" w:hAnsi="Times New Roman"/>
                <w:b/>
                <w:bCs/>
                <w:color w:val="000000"/>
                <w:sz w:val="16"/>
                <w:szCs w:val="16"/>
                <w:lang w:val="en-GB"/>
              </w:rPr>
            </w:pPr>
          </w:p>
        </w:tc>
      </w:tr>
      <w:tr w:rsidR="00EB25FE" w:rsidRPr="00A26EFC" w14:paraId="2FCB9DD1" w14:textId="77777777" w:rsidTr="005E418B">
        <w:tblPrEx>
          <w:tblCellMar>
            <w:left w:w="0" w:type="dxa"/>
            <w:right w:w="0" w:type="dxa"/>
          </w:tblCellMar>
        </w:tblPrEx>
        <w:trPr>
          <w:trHeight w:val="192"/>
        </w:trPr>
        <w:tc>
          <w:tcPr>
            <w:tcW w:w="5695" w:type="dxa"/>
            <w:gridSpan w:val="7"/>
            <w:shd w:val="clear" w:color="auto" w:fill="auto"/>
          </w:tcPr>
          <w:p w14:paraId="77E01033" w14:textId="77777777" w:rsidR="00EB25FE" w:rsidRPr="00E16672" w:rsidRDefault="00EB25FE" w:rsidP="00794B3F">
            <w:pPr>
              <w:pStyle w:val="33"/>
              <w:tabs>
                <w:tab w:val="left" w:pos="851"/>
              </w:tabs>
              <w:snapToGrid w:val="0"/>
              <w:ind w:left="175" w:right="138" w:firstLine="0"/>
              <w:rPr>
                <w:rFonts w:ascii="Times New Roman" w:hAnsi="Times New Roman" w:cs="Times New Roman"/>
                <w:color w:val="000000"/>
                <w:sz w:val="16"/>
                <w:szCs w:val="16"/>
                <w:lang w:val="uk-UA"/>
              </w:rPr>
            </w:pPr>
            <w:r w:rsidRPr="00E16672">
              <w:rPr>
                <w:rFonts w:ascii="Times New Roman" w:hAnsi="Times New Roman" w:cs="Times New Roman"/>
                <w:color w:val="000000"/>
                <w:sz w:val="16"/>
                <w:szCs w:val="16"/>
                <w:lang w:val="uk-UA"/>
              </w:rPr>
              <w:lastRenderedPageBreak/>
              <w:t>1</w:t>
            </w:r>
            <w:r w:rsidR="005C5318" w:rsidRPr="00E16672">
              <w:rPr>
                <w:rFonts w:ascii="Times New Roman" w:hAnsi="Times New Roman" w:cs="Times New Roman"/>
                <w:color w:val="000000"/>
                <w:sz w:val="16"/>
                <w:szCs w:val="16"/>
                <w:lang w:val="uk-UA"/>
              </w:rPr>
              <w:t>0</w:t>
            </w:r>
            <w:r w:rsidRPr="00E16672">
              <w:rPr>
                <w:rFonts w:ascii="Times New Roman" w:hAnsi="Times New Roman" w:cs="Times New Roman"/>
                <w:color w:val="000000"/>
                <w:sz w:val="16"/>
                <w:szCs w:val="16"/>
                <w:lang w:val="uk-UA"/>
              </w:rPr>
              <w:t xml:space="preserve">.5. </w:t>
            </w:r>
            <w:r w:rsidRPr="00E16672">
              <w:rPr>
                <w:rFonts w:ascii="Times New Roman" w:hAnsi="Times New Roman" w:cs="Times New Roman"/>
                <w:sz w:val="16"/>
                <w:szCs w:val="16"/>
                <w:lang w:val="uk-UA"/>
              </w:rPr>
              <w:t>Кваліфікований</w:t>
            </w:r>
            <w:r w:rsidRPr="00E16672" w:rsidDel="00047AE1">
              <w:rPr>
                <w:rFonts w:ascii="Times New Roman" w:hAnsi="Times New Roman" w:cs="Times New Roman"/>
                <w:sz w:val="16"/>
                <w:szCs w:val="16"/>
                <w:lang w:val="uk-UA"/>
              </w:rPr>
              <w:t xml:space="preserve"> </w:t>
            </w:r>
            <w:r w:rsidRPr="00E16672">
              <w:rPr>
                <w:rFonts w:ascii="Times New Roman" w:hAnsi="Times New Roman" w:cs="Times New Roman"/>
                <w:color w:val="000000"/>
                <w:sz w:val="16"/>
                <w:szCs w:val="16"/>
                <w:lang w:val="uk-UA"/>
              </w:rPr>
              <w:t>е</w:t>
            </w:r>
            <w:r w:rsidR="002A5E07" w:rsidRPr="00E16672">
              <w:rPr>
                <w:rFonts w:ascii="Times New Roman" w:hAnsi="Times New Roman" w:cs="Times New Roman"/>
                <w:color w:val="000000"/>
                <w:sz w:val="16"/>
                <w:szCs w:val="16"/>
                <w:lang w:val="uk-UA"/>
              </w:rPr>
              <w:t>лектронний</w:t>
            </w:r>
            <w:r w:rsidRPr="00E16672">
              <w:rPr>
                <w:rFonts w:ascii="Times New Roman" w:hAnsi="Times New Roman" w:cs="Times New Roman"/>
                <w:color w:val="000000"/>
                <w:sz w:val="16"/>
                <w:szCs w:val="16"/>
                <w:lang w:val="uk-UA"/>
              </w:rPr>
              <w:t xml:space="preserve"> підпис за правовим статусом прирівнюється до власноручного підпису (печатки) особи, яка його вчинила</w:t>
            </w:r>
            <w:r w:rsidRPr="00E16672">
              <w:rPr>
                <w:rFonts w:ascii="Times New Roman" w:hAnsi="Times New Roman" w:cs="Times New Roman"/>
                <w:sz w:val="16"/>
                <w:lang w:val="uk-UA"/>
              </w:rPr>
              <w:t>, згідно законодавства та цього Договору</w:t>
            </w:r>
            <w:r w:rsidRPr="00E16672">
              <w:rPr>
                <w:rFonts w:ascii="Times New Roman" w:hAnsi="Times New Roman" w:cs="Times New Roman"/>
                <w:color w:val="000000"/>
                <w:sz w:val="16"/>
                <w:szCs w:val="16"/>
                <w:lang w:val="uk-UA"/>
              </w:rPr>
              <w:t>. Юридична сила електронного документа не може бути заперечена виключно через те, що він має електронну форму.</w:t>
            </w:r>
          </w:p>
          <w:p w14:paraId="69DA6FB5" w14:textId="77777777" w:rsidR="00EB25FE" w:rsidRPr="00E16672" w:rsidRDefault="00EB25FE" w:rsidP="00794B3F">
            <w:pPr>
              <w:pStyle w:val="33"/>
              <w:tabs>
                <w:tab w:val="left" w:pos="851"/>
              </w:tabs>
              <w:snapToGrid w:val="0"/>
              <w:ind w:left="175" w:right="138"/>
              <w:rPr>
                <w:rFonts w:ascii="Times New Roman" w:hAnsi="Times New Roman" w:cs="Times New Roman"/>
                <w:color w:val="000000"/>
                <w:sz w:val="16"/>
                <w:szCs w:val="16"/>
                <w:lang w:val="uk-UA"/>
              </w:rPr>
            </w:pPr>
          </w:p>
        </w:tc>
        <w:tc>
          <w:tcPr>
            <w:tcW w:w="5495" w:type="dxa"/>
            <w:gridSpan w:val="8"/>
            <w:shd w:val="clear" w:color="auto" w:fill="auto"/>
          </w:tcPr>
          <w:p w14:paraId="7BFC6444" w14:textId="77777777" w:rsidR="00EB25FE" w:rsidRPr="00E16672" w:rsidRDefault="00EB25FE" w:rsidP="00794B3F">
            <w:pPr>
              <w:tabs>
                <w:tab w:val="left" w:pos="287"/>
              </w:tabs>
              <w:snapToGrid w:val="0"/>
              <w:ind w:left="145" w:right="100" w:firstLine="0"/>
              <w:rPr>
                <w:rFonts w:ascii="Times New Roman" w:hAnsi="Times New Roman"/>
                <w:color w:val="000000"/>
                <w:sz w:val="16"/>
                <w:szCs w:val="16"/>
                <w:shd w:val="clear" w:color="auto" w:fill="FFFFFF"/>
                <w:lang w:val="en-GB"/>
              </w:rPr>
            </w:pPr>
            <w:r w:rsidRPr="00E16672">
              <w:rPr>
                <w:rFonts w:ascii="Times New Roman" w:hAnsi="Times New Roman"/>
                <w:color w:val="000000"/>
                <w:sz w:val="16"/>
                <w:szCs w:val="16"/>
                <w:shd w:val="clear" w:color="auto" w:fill="FFFFFF"/>
                <w:lang w:val="uk-UA"/>
              </w:rPr>
              <w:t>1</w:t>
            </w:r>
            <w:r w:rsidR="005C5318" w:rsidRPr="00E16672">
              <w:rPr>
                <w:rFonts w:ascii="Times New Roman" w:hAnsi="Times New Roman"/>
                <w:color w:val="000000"/>
                <w:sz w:val="16"/>
                <w:szCs w:val="16"/>
                <w:shd w:val="clear" w:color="auto" w:fill="FFFFFF"/>
                <w:lang w:val="uk-UA"/>
              </w:rPr>
              <w:t>0</w:t>
            </w:r>
            <w:r w:rsidRPr="00E16672">
              <w:rPr>
                <w:rFonts w:ascii="Times New Roman" w:hAnsi="Times New Roman"/>
                <w:color w:val="000000"/>
                <w:sz w:val="16"/>
                <w:szCs w:val="16"/>
                <w:shd w:val="clear" w:color="auto" w:fill="FFFFFF"/>
                <w:lang w:val="uk-UA"/>
              </w:rPr>
              <w:t xml:space="preserve">.5. </w:t>
            </w:r>
            <w:r w:rsidRPr="00A26EFC">
              <w:rPr>
                <w:rStyle w:val="shorttext"/>
                <w:rFonts w:ascii="Times New Roman" w:hAnsi="Times New Roman"/>
                <w:sz w:val="16"/>
                <w:szCs w:val="16"/>
                <w:lang w:val="en-US"/>
              </w:rPr>
              <w:t>Qualified</w:t>
            </w:r>
            <w:r w:rsidRPr="00E16672">
              <w:rPr>
                <w:rStyle w:val="shorttext"/>
                <w:rFonts w:ascii="Times New Roman" w:hAnsi="Times New Roman"/>
                <w:sz w:val="16"/>
                <w:szCs w:val="16"/>
                <w:lang w:val="uk-UA"/>
              </w:rPr>
              <w:t xml:space="preserve"> </w:t>
            </w:r>
            <w:r w:rsidRPr="00E16672">
              <w:rPr>
                <w:rFonts w:ascii="Times New Roman" w:hAnsi="Times New Roman"/>
                <w:color w:val="000000"/>
                <w:sz w:val="16"/>
                <w:szCs w:val="16"/>
                <w:shd w:val="clear" w:color="auto" w:fill="FFFFFF"/>
                <w:lang w:val="en-US"/>
              </w:rPr>
              <w:t>e</w:t>
            </w:r>
            <w:proofErr w:type="spellStart"/>
            <w:r w:rsidRPr="00E16672">
              <w:rPr>
                <w:rFonts w:ascii="Times New Roman" w:hAnsi="Times New Roman"/>
                <w:color w:val="000000"/>
                <w:sz w:val="16"/>
                <w:szCs w:val="16"/>
                <w:shd w:val="clear" w:color="auto" w:fill="FFFFFF"/>
                <w:lang w:val="en-GB"/>
              </w:rPr>
              <w:t>lectronic</w:t>
            </w:r>
            <w:proofErr w:type="spellEnd"/>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digital</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signature</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for</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legal</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status</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equivalent</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to</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a</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handwritten</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signature</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seal</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of</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the</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person</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who</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committed it</w:t>
            </w:r>
            <w:r w:rsidRPr="00E16672">
              <w:rPr>
                <w:rFonts w:ascii="Times New Roman" w:hAnsi="Times New Roman"/>
                <w:color w:val="000000"/>
                <w:sz w:val="16"/>
                <w:szCs w:val="16"/>
                <w:shd w:val="clear" w:color="auto" w:fill="FFFFFF"/>
                <w:lang w:val="uk-UA"/>
              </w:rPr>
              <w:t xml:space="preserve"> </w:t>
            </w:r>
            <w:r w:rsidRPr="00A26EFC">
              <w:rPr>
                <w:rStyle w:val="shorttext"/>
                <w:rFonts w:ascii="Times New Roman" w:hAnsi="Times New Roman"/>
                <w:sz w:val="16"/>
                <w:lang w:val="en-US"/>
              </w:rPr>
              <w:t>according to the law</w:t>
            </w:r>
            <w:r w:rsidRPr="00E16672">
              <w:rPr>
                <w:rStyle w:val="shorttext"/>
                <w:rFonts w:ascii="Times New Roman" w:hAnsi="Times New Roman"/>
                <w:sz w:val="16"/>
                <w:lang w:val="uk-UA"/>
              </w:rPr>
              <w:t xml:space="preserve"> </w:t>
            </w:r>
            <w:r w:rsidRPr="00A26EFC">
              <w:rPr>
                <w:rStyle w:val="shorttext"/>
                <w:rFonts w:ascii="Times New Roman" w:hAnsi="Times New Roman"/>
                <w:sz w:val="16"/>
                <w:szCs w:val="16"/>
                <w:lang w:val="en-US"/>
              </w:rPr>
              <w:t>and this Agreement</w:t>
            </w:r>
            <w:r w:rsidRPr="00E16672">
              <w:rPr>
                <w:rFonts w:ascii="Times New Roman" w:hAnsi="Times New Roman"/>
                <w:color w:val="000000"/>
                <w:sz w:val="16"/>
                <w:szCs w:val="16"/>
                <w:shd w:val="clear" w:color="auto" w:fill="FFFFFF"/>
                <w:lang w:val="en-GB"/>
              </w:rPr>
              <w:t>. Legal validity of electronic document may be objections solely because it has electronic form.</w:t>
            </w:r>
          </w:p>
          <w:p w14:paraId="1C9F8C07" w14:textId="77777777" w:rsidR="00EB25FE" w:rsidRPr="00E16672" w:rsidRDefault="00EB25FE" w:rsidP="00794B3F">
            <w:pPr>
              <w:tabs>
                <w:tab w:val="left" w:pos="287"/>
              </w:tabs>
              <w:snapToGrid w:val="0"/>
              <w:ind w:left="145" w:right="100"/>
              <w:rPr>
                <w:rFonts w:ascii="Times New Roman" w:hAnsi="Times New Roman"/>
                <w:color w:val="000000"/>
                <w:sz w:val="16"/>
                <w:szCs w:val="16"/>
                <w:shd w:val="clear" w:color="auto" w:fill="FFFFFF"/>
                <w:lang w:val="en-GB"/>
              </w:rPr>
            </w:pPr>
          </w:p>
        </w:tc>
      </w:tr>
      <w:tr w:rsidR="00EB25FE" w:rsidRPr="00A26EFC" w14:paraId="3D6B5777" w14:textId="77777777" w:rsidTr="005E418B">
        <w:tblPrEx>
          <w:tblCellMar>
            <w:left w:w="0" w:type="dxa"/>
            <w:right w:w="0" w:type="dxa"/>
          </w:tblCellMar>
        </w:tblPrEx>
        <w:trPr>
          <w:trHeight w:val="192"/>
        </w:trPr>
        <w:tc>
          <w:tcPr>
            <w:tcW w:w="5695" w:type="dxa"/>
            <w:gridSpan w:val="7"/>
            <w:shd w:val="clear" w:color="auto" w:fill="auto"/>
          </w:tcPr>
          <w:p w14:paraId="31723A63" w14:textId="77777777" w:rsidR="00EB25FE" w:rsidRPr="00E16672" w:rsidRDefault="00EB25FE" w:rsidP="00794B3F">
            <w:pPr>
              <w:pStyle w:val="33"/>
              <w:tabs>
                <w:tab w:val="left" w:pos="851"/>
              </w:tabs>
              <w:snapToGrid w:val="0"/>
              <w:ind w:left="175" w:right="138" w:firstLine="0"/>
              <w:rPr>
                <w:rFonts w:ascii="Times New Roman" w:hAnsi="Times New Roman" w:cs="Times New Roman"/>
                <w:color w:val="000000"/>
                <w:sz w:val="16"/>
                <w:szCs w:val="16"/>
                <w:lang w:val="uk-UA"/>
              </w:rPr>
            </w:pPr>
            <w:r w:rsidRPr="00E16672">
              <w:rPr>
                <w:rFonts w:ascii="Times New Roman" w:hAnsi="Times New Roman" w:cs="Times New Roman"/>
                <w:color w:val="000000"/>
                <w:sz w:val="16"/>
                <w:szCs w:val="16"/>
                <w:lang w:val="uk-UA"/>
              </w:rPr>
              <w:t>1</w:t>
            </w:r>
            <w:r w:rsidR="005C5318" w:rsidRPr="00E16672">
              <w:rPr>
                <w:rFonts w:ascii="Times New Roman" w:hAnsi="Times New Roman" w:cs="Times New Roman"/>
                <w:color w:val="000000"/>
                <w:sz w:val="16"/>
                <w:szCs w:val="16"/>
                <w:lang w:val="uk-UA"/>
              </w:rPr>
              <w:t>0</w:t>
            </w:r>
            <w:r w:rsidRPr="00E16672">
              <w:rPr>
                <w:rFonts w:ascii="Times New Roman" w:hAnsi="Times New Roman" w:cs="Times New Roman"/>
                <w:color w:val="000000"/>
                <w:sz w:val="16"/>
                <w:szCs w:val="16"/>
                <w:lang w:val="uk-UA"/>
              </w:rPr>
              <w:t xml:space="preserve">.6. </w:t>
            </w:r>
            <w:proofErr w:type="spellStart"/>
            <w:r w:rsidRPr="00E16672">
              <w:rPr>
                <w:rFonts w:ascii="Times New Roman" w:hAnsi="Times New Roman" w:cs="Times New Roman"/>
                <w:color w:val="000000"/>
                <w:sz w:val="16"/>
                <w:szCs w:val="16"/>
                <w:lang w:val="uk-UA"/>
              </w:rPr>
              <w:t>Підписувач</w:t>
            </w:r>
            <w:proofErr w:type="spellEnd"/>
            <w:r w:rsidRPr="00E16672">
              <w:rPr>
                <w:rFonts w:ascii="Times New Roman" w:hAnsi="Times New Roman" w:cs="Times New Roman"/>
                <w:color w:val="000000"/>
                <w:sz w:val="16"/>
                <w:szCs w:val="16"/>
                <w:lang w:val="uk-UA"/>
              </w:rPr>
              <w:t xml:space="preserve"> - </w:t>
            </w:r>
            <w:proofErr w:type="spellStart"/>
            <w:r w:rsidRPr="00E16672">
              <w:rPr>
                <w:rStyle w:val="rvts0"/>
                <w:rFonts w:ascii="Times New Roman" w:hAnsi="Times New Roman" w:cs="Times New Roman"/>
                <w:sz w:val="16"/>
                <w:szCs w:val="16"/>
              </w:rPr>
              <w:t>фізична</w:t>
            </w:r>
            <w:proofErr w:type="spellEnd"/>
            <w:r w:rsidRPr="00E16672">
              <w:rPr>
                <w:rStyle w:val="rvts0"/>
                <w:rFonts w:ascii="Times New Roman" w:hAnsi="Times New Roman" w:cs="Times New Roman"/>
                <w:sz w:val="16"/>
                <w:szCs w:val="16"/>
              </w:rPr>
              <w:t xml:space="preserve"> особа, яка </w:t>
            </w:r>
            <w:proofErr w:type="spellStart"/>
            <w:r w:rsidRPr="00E16672">
              <w:rPr>
                <w:rStyle w:val="rvts0"/>
                <w:rFonts w:ascii="Times New Roman" w:hAnsi="Times New Roman" w:cs="Times New Roman"/>
                <w:sz w:val="16"/>
                <w:szCs w:val="16"/>
              </w:rPr>
              <w:t>створює</w:t>
            </w:r>
            <w:proofErr w:type="spellEnd"/>
            <w:r w:rsidRPr="00E16672">
              <w:rPr>
                <w:rStyle w:val="rvts0"/>
                <w:rFonts w:ascii="Times New Roman" w:hAnsi="Times New Roman" w:cs="Times New Roman"/>
                <w:sz w:val="16"/>
                <w:szCs w:val="16"/>
              </w:rPr>
              <w:t xml:space="preserve"> </w:t>
            </w:r>
            <w:proofErr w:type="spellStart"/>
            <w:r w:rsidRPr="00E16672">
              <w:rPr>
                <w:rStyle w:val="rvts0"/>
                <w:rFonts w:ascii="Times New Roman" w:hAnsi="Times New Roman" w:cs="Times New Roman"/>
                <w:sz w:val="16"/>
                <w:szCs w:val="16"/>
              </w:rPr>
              <w:t>електронний</w:t>
            </w:r>
            <w:proofErr w:type="spellEnd"/>
            <w:r w:rsidRPr="00E16672">
              <w:rPr>
                <w:rStyle w:val="rvts0"/>
                <w:rFonts w:ascii="Times New Roman" w:hAnsi="Times New Roman" w:cs="Times New Roman"/>
                <w:sz w:val="16"/>
                <w:szCs w:val="16"/>
              </w:rPr>
              <w:t xml:space="preserve"> </w:t>
            </w:r>
            <w:proofErr w:type="spellStart"/>
            <w:r w:rsidRPr="00E16672">
              <w:rPr>
                <w:rStyle w:val="rvts0"/>
                <w:rFonts w:ascii="Times New Roman" w:hAnsi="Times New Roman" w:cs="Times New Roman"/>
                <w:sz w:val="16"/>
                <w:szCs w:val="16"/>
              </w:rPr>
              <w:t>підпис</w:t>
            </w:r>
            <w:proofErr w:type="spellEnd"/>
            <w:r w:rsidRPr="00E16672">
              <w:rPr>
                <w:rFonts w:ascii="Times New Roman" w:hAnsi="Times New Roman" w:cs="Times New Roman"/>
                <w:color w:val="000000"/>
                <w:sz w:val="16"/>
                <w:szCs w:val="16"/>
                <w:lang w:val="uk-UA"/>
              </w:rPr>
              <w:t>.</w:t>
            </w:r>
          </w:p>
          <w:p w14:paraId="0636AB2E" w14:textId="77777777" w:rsidR="00EB25FE" w:rsidRPr="00E16672" w:rsidRDefault="00EB25FE" w:rsidP="00794B3F">
            <w:pPr>
              <w:pStyle w:val="33"/>
              <w:tabs>
                <w:tab w:val="left" w:pos="851"/>
              </w:tabs>
              <w:snapToGrid w:val="0"/>
              <w:ind w:left="175" w:right="138"/>
              <w:rPr>
                <w:rFonts w:ascii="Times New Roman" w:hAnsi="Times New Roman" w:cs="Times New Roman"/>
                <w:color w:val="000000"/>
                <w:sz w:val="16"/>
                <w:szCs w:val="16"/>
                <w:lang w:val="uk-UA"/>
              </w:rPr>
            </w:pPr>
          </w:p>
        </w:tc>
        <w:tc>
          <w:tcPr>
            <w:tcW w:w="5495" w:type="dxa"/>
            <w:gridSpan w:val="8"/>
            <w:shd w:val="clear" w:color="auto" w:fill="auto"/>
          </w:tcPr>
          <w:p w14:paraId="7A51B490" w14:textId="77777777" w:rsidR="00EB25FE" w:rsidRPr="00E16672" w:rsidRDefault="00EB25FE" w:rsidP="00794B3F">
            <w:pPr>
              <w:tabs>
                <w:tab w:val="left" w:pos="287"/>
              </w:tabs>
              <w:snapToGrid w:val="0"/>
              <w:ind w:left="145" w:right="100" w:firstLine="0"/>
              <w:rPr>
                <w:rFonts w:ascii="Times New Roman" w:hAnsi="Times New Roman"/>
                <w:color w:val="000000"/>
                <w:sz w:val="16"/>
                <w:szCs w:val="16"/>
                <w:shd w:val="clear" w:color="auto" w:fill="FFFFFF"/>
                <w:lang w:val="uk-UA"/>
              </w:rPr>
            </w:pPr>
            <w:r w:rsidRPr="00E16672">
              <w:rPr>
                <w:rFonts w:ascii="Times New Roman" w:hAnsi="Times New Roman"/>
                <w:color w:val="000000"/>
                <w:sz w:val="16"/>
                <w:szCs w:val="16"/>
                <w:shd w:val="clear" w:color="auto" w:fill="FFFFFF"/>
                <w:lang w:val="uk-UA"/>
              </w:rPr>
              <w:t>1</w:t>
            </w:r>
            <w:r w:rsidR="005C5318" w:rsidRPr="00E16672">
              <w:rPr>
                <w:rFonts w:ascii="Times New Roman" w:hAnsi="Times New Roman"/>
                <w:color w:val="000000"/>
                <w:sz w:val="16"/>
                <w:szCs w:val="16"/>
                <w:shd w:val="clear" w:color="auto" w:fill="FFFFFF"/>
                <w:lang w:val="uk-UA"/>
              </w:rPr>
              <w:t>0</w:t>
            </w:r>
            <w:r w:rsidRPr="00E16672">
              <w:rPr>
                <w:rFonts w:ascii="Times New Roman" w:hAnsi="Times New Roman"/>
                <w:color w:val="000000"/>
                <w:sz w:val="16"/>
                <w:szCs w:val="16"/>
                <w:shd w:val="clear" w:color="auto" w:fill="FFFFFF"/>
                <w:lang w:val="uk-UA"/>
              </w:rPr>
              <w:t xml:space="preserve">.6. </w:t>
            </w:r>
            <w:r w:rsidRPr="00E16672">
              <w:rPr>
                <w:rFonts w:ascii="Times New Roman" w:hAnsi="Times New Roman"/>
                <w:color w:val="000000"/>
                <w:sz w:val="16"/>
                <w:szCs w:val="16"/>
                <w:shd w:val="clear" w:color="auto" w:fill="FFFFFF"/>
                <w:lang w:val="en-GB"/>
              </w:rPr>
              <w:t>Signer</w:t>
            </w:r>
            <w:r w:rsidRPr="00E16672">
              <w:rPr>
                <w:rFonts w:ascii="Times New Roman" w:hAnsi="Times New Roman"/>
                <w:color w:val="000000"/>
                <w:sz w:val="16"/>
                <w:szCs w:val="16"/>
                <w:shd w:val="clear" w:color="auto" w:fill="FFFFFF"/>
                <w:lang w:val="uk-UA"/>
              </w:rPr>
              <w:t xml:space="preserve"> - </w:t>
            </w:r>
            <w:r w:rsidRPr="00E16672">
              <w:rPr>
                <w:rFonts w:ascii="Times New Roman" w:hAnsi="Times New Roman"/>
                <w:color w:val="000000"/>
                <w:sz w:val="16"/>
                <w:szCs w:val="16"/>
                <w:shd w:val="clear" w:color="auto" w:fill="FFFFFF"/>
                <w:lang w:val="en-GB"/>
              </w:rPr>
              <w:t>a</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sz w:val="16"/>
                <w:szCs w:val="14"/>
                <w:lang w:val="en-US"/>
              </w:rPr>
              <w:t>physical</w:t>
            </w:r>
            <w:r w:rsidRPr="00E16672">
              <w:rPr>
                <w:rFonts w:ascii="Times New Roman" w:hAnsi="Times New Roman"/>
                <w:b/>
                <w:sz w:val="16"/>
                <w:szCs w:val="14"/>
                <w:lang w:val="uk-UA"/>
              </w:rPr>
              <w:t xml:space="preserve"> </w:t>
            </w:r>
            <w:r w:rsidRPr="00E16672">
              <w:rPr>
                <w:rFonts w:ascii="Times New Roman" w:hAnsi="Times New Roman"/>
                <w:color w:val="000000"/>
                <w:sz w:val="16"/>
                <w:szCs w:val="16"/>
                <w:shd w:val="clear" w:color="auto" w:fill="FFFFFF"/>
                <w:lang w:val="en-GB"/>
              </w:rPr>
              <w:t>person</w:t>
            </w:r>
            <w:r w:rsidRPr="00E16672">
              <w:rPr>
                <w:rFonts w:ascii="Times New Roman" w:hAnsi="Times New Roman"/>
                <w:color w:val="000000"/>
                <w:sz w:val="16"/>
                <w:szCs w:val="16"/>
                <w:shd w:val="clear" w:color="auto" w:fill="FFFFFF"/>
                <w:lang w:val="uk-UA"/>
              </w:rPr>
              <w:t xml:space="preserve"> </w:t>
            </w:r>
            <w:r w:rsidRPr="00A26EFC">
              <w:rPr>
                <w:rStyle w:val="shorttext"/>
                <w:rFonts w:ascii="Times New Roman" w:hAnsi="Times New Roman"/>
                <w:sz w:val="16"/>
                <w:szCs w:val="16"/>
                <w:lang w:val="en-US"/>
              </w:rPr>
              <w:t>who</w:t>
            </w:r>
            <w:r w:rsidRPr="00E16672">
              <w:rPr>
                <w:rStyle w:val="shorttext"/>
                <w:rFonts w:ascii="Times New Roman" w:hAnsi="Times New Roman"/>
                <w:sz w:val="16"/>
                <w:szCs w:val="16"/>
                <w:lang w:val="uk-UA"/>
              </w:rPr>
              <w:t xml:space="preserve"> </w:t>
            </w:r>
            <w:r w:rsidRPr="00A26EFC">
              <w:rPr>
                <w:rStyle w:val="shorttext"/>
                <w:rFonts w:ascii="Times New Roman" w:hAnsi="Times New Roman"/>
                <w:sz w:val="16"/>
                <w:szCs w:val="16"/>
                <w:lang w:val="en-US"/>
              </w:rPr>
              <w:t>creates</w:t>
            </w:r>
            <w:r w:rsidRPr="00E16672">
              <w:rPr>
                <w:rStyle w:val="shorttext"/>
                <w:rFonts w:ascii="Times New Roman" w:hAnsi="Times New Roman"/>
                <w:sz w:val="16"/>
                <w:szCs w:val="16"/>
                <w:lang w:val="uk-UA"/>
              </w:rPr>
              <w:t xml:space="preserve"> </w:t>
            </w:r>
            <w:r w:rsidRPr="00A26EFC">
              <w:rPr>
                <w:rStyle w:val="shorttext"/>
                <w:rFonts w:ascii="Times New Roman" w:hAnsi="Times New Roman"/>
                <w:sz w:val="16"/>
                <w:szCs w:val="16"/>
                <w:lang w:val="en-US"/>
              </w:rPr>
              <w:t>an</w:t>
            </w:r>
            <w:r w:rsidRPr="00E16672">
              <w:rPr>
                <w:rStyle w:val="shorttext"/>
                <w:rFonts w:ascii="Times New Roman" w:hAnsi="Times New Roman"/>
                <w:sz w:val="16"/>
                <w:szCs w:val="16"/>
                <w:lang w:val="uk-UA"/>
              </w:rPr>
              <w:t xml:space="preserve"> </w:t>
            </w:r>
            <w:r w:rsidRPr="00A26EFC">
              <w:rPr>
                <w:rStyle w:val="shorttext"/>
                <w:rFonts w:ascii="Times New Roman" w:hAnsi="Times New Roman"/>
                <w:sz w:val="16"/>
                <w:szCs w:val="16"/>
                <w:lang w:val="en-US"/>
              </w:rPr>
              <w:t>electronic</w:t>
            </w:r>
            <w:r w:rsidRPr="00E16672">
              <w:rPr>
                <w:rStyle w:val="shorttext"/>
                <w:rFonts w:ascii="Times New Roman" w:hAnsi="Times New Roman"/>
                <w:sz w:val="16"/>
                <w:szCs w:val="16"/>
                <w:lang w:val="uk-UA"/>
              </w:rPr>
              <w:t xml:space="preserve"> </w:t>
            </w:r>
            <w:r w:rsidRPr="00A26EFC">
              <w:rPr>
                <w:rStyle w:val="shorttext"/>
                <w:rFonts w:ascii="Times New Roman" w:hAnsi="Times New Roman"/>
                <w:sz w:val="16"/>
                <w:szCs w:val="16"/>
                <w:lang w:val="en-US"/>
              </w:rPr>
              <w:t>signature</w:t>
            </w:r>
            <w:r w:rsidRPr="00E16672">
              <w:rPr>
                <w:rFonts w:ascii="Times New Roman" w:hAnsi="Times New Roman"/>
                <w:color w:val="000000"/>
                <w:sz w:val="16"/>
                <w:szCs w:val="16"/>
                <w:shd w:val="clear" w:color="auto" w:fill="FFFFFF"/>
                <w:lang w:val="uk-UA"/>
              </w:rPr>
              <w:t>.</w:t>
            </w:r>
          </w:p>
          <w:p w14:paraId="2B88E2A3" w14:textId="77777777" w:rsidR="00EB25FE" w:rsidRPr="00E16672" w:rsidRDefault="00EB25FE" w:rsidP="00794B3F">
            <w:pPr>
              <w:tabs>
                <w:tab w:val="left" w:pos="287"/>
              </w:tabs>
              <w:snapToGrid w:val="0"/>
              <w:ind w:left="145" w:right="100"/>
              <w:rPr>
                <w:rFonts w:ascii="Times New Roman" w:hAnsi="Times New Roman"/>
                <w:color w:val="000000"/>
                <w:sz w:val="16"/>
                <w:szCs w:val="16"/>
                <w:shd w:val="clear" w:color="auto" w:fill="FFFFFF"/>
                <w:lang w:val="uk-UA"/>
              </w:rPr>
            </w:pPr>
          </w:p>
        </w:tc>
      </w:tr>
      <w:tr w:rsidR="00EB25FE" w:rsidRPr="00A26EFC" w14:paraId="676DA304" w14:textId="77777777" w:rsidTr="005E418B">
        <w:tblPrEx>
          <w:tblCellMar>
            <w:left w:w="0" w:type="dxa"/>
            <w:right w:w="0" w:type="dxa"/>
          </w:tblCellMar>
        </w:tblPrEx>
        <w:trPr>
          <w:trHeight w:val="192"/>
        </w:trPr>
        <w:tc>
          <w:tcPr>
            <w:tcW w:w="5695" w:type="dxa"/>
            <w:gridSpan w:val="7"/>
            <w:shd w:val="clear" w:color="auto" w:fill="auto"/>
          </w:tcPr>
          <w:p w14:paraId="5A07384F" w14:textId="77777777" w:rsidR="00EB25FE" w:rsidRPr="00E16672" w:rsidRDefault="00EB25FE" w:rsidP="00794B3F">
            <w:pPr>
              <w:pStyle w:val="33"/>
              <w:tabs>
                <w:tab w:val="left" w:pos="851"/>
              </w:tabs>
              <w:snapToGrid w:val="0"/>
              <w:ind w:left="175" w:right="138" w:firstLine="0"/>
              <w:rPr>
                <w:rFonts w:ascii="Times New Roman" w:hAnsi="Times New Roman" w:cs="Times New Roman"/>
                <w:color w:val="000000"/>
                <w:sz w:val="16"/>
                <w:szCs w:val="16"/>
                <w:lang w:val="uk-UA"/>
              </w:rPr>
            </w:pPr>
            <w:r w:rsidRPr="00E16672">
              <w:rPr>
                <w:rFonts w:ascii="Times New Roman" w:hAnsi="Times New Roman" w:cs="Times New Roman"/>
                <w:color w:val="000000"/>
                <w:sz w:val="16"/>
                <w:szCs w:val="16"/>
                <w:lang w:val="uk-UA"/>
              </w:rPr>
              <w:t>1</w:t>
            </w:r>
            <w:r w:rsidR="005C5318" w:rsidRPr="00E16672">
              <w:rPr>
                <w:rFonts w:ascii="Times New Roman" w:hAnsi="Times New Roman" w:cs="Times New Roman"/>
                <w:color w:val="000000"/>
                <w:sz w:val="16"/>
                <w:szCs w:val="16"/>
                <w:lang w:val="uk-UA"/>
              </w:rPr>
              <w:t>0</w:t>
            </w:r>
            <w:r w:rsidRPr="00E16672">
              <w:rPr>
                <w:rFonts w:ascii="Times New Roman" w:hAnsi="Times New Roman" w:cs="Times New Roman"/>
                <w:color w:val="000000"/>
                <w:sz w:val="16"/>
                <w:szCs w:val="16"/>
                <w:lang w:val="uk-UA"/>
              </w:rPr>
              <w:t xml:space="preserve">.7. Адресат - </w:t>
            </w:r>
            <w:r w:rsidRPr="00E16672">
              <w:rPr>
                <w:rFonts w:ascii="Times New Roman" w:hAnsi="Times New Roman" w:cs="Times New Roman"/>
                <w:sz w:val="16"/>
                <w:szCs w:val="16"/>
                <w:lang w:val="uk-UA"/>
              </w:rPr>
              <w:t>фізична  або  юридична  особа,  якій  адресується електронний документ</w:t>
            </w:r>
            <w:r w:rsidRPr="00E16672">
              <w:rPr>
                <w:rFonts w:ascii="Times New Roman" w:hAnsi="Times New Roman" w:cs="Times New Roman"/>
                <w:color w:val="000000"/>
                <w:sz w:val="16"/>
                <w:szCs w:val="16"/>
                <w:lang w:val="uk-UA"/>
              </w:rPr>
              <w:t>.</w:t>
            </w:r>
          </w:p>
          <w:p w14:paraId="620824DC" w14:textId="77777777" w:rsidR="00EB25FE" w:rsidRPr="00E16672" w:rsidRDefault="00EB25FE" w:rsidP="00794B3F">
            <w:pPr>
              <w:pStyle w:val="33"/>
              <w:tabs>
                <w:tab w:val="left" w:pos="851"/>
              </w:tabs>
              <w:snapToGrid w:val="0"/>
              <w:ind w:left="175" w:right="138"/>
              <w:rPr>
                <w:rFonts w:ascii="Times New Roman" w:hAnsi="Times New Roman" w:cs="Times New Roman"/>
                <w:color w:val="000000"/>
                <w:sz w:val="16"/>
                <w:szCs w:val="16"/>
                <w:lang w:val="uk-UA"/>
              </w:rPr>
            </w:pPr>
          </w:p>
        </w:tc>
        <w:tc>
          <w:tcPr>
            <w:tcW w:w="5495" w:type="dxa"/>
            <w:gridSpan w:val="8"/>
            <w:shd w:val="clear" w:color="auto" w:fill="auto"/>
          </w:tcPr>
          <w:p w14:paraId="6D7AF6EB" w14:textId="77777777" w:rsidR="00EB25FE" w:rsidRPr="00E16672" w:rsidRDefault="00EB25FE" w:rsidP="00794B3F">
            <w:pPr>
              <w:tabs>
                <w:tab w:val="left" w:pos="287"/>
              </w:tabs>
              <w:snapToGrid w:val="0"/>
              <w:ind w:left="145" w:right="100" w:firstLine="0"/>
              <w:rPr>
                <w:rFonts w:ascii="Times New Roman" w:hAnsi="Times New Roman"/>
                <w:color w:val="000000"/>
                <w:sz w:val="16"/>
                <w:szCs w:val="16"/>
                <w:shd w:val="clear" w:color="auto" w:fill="FFFFFF"/>
                <w:lang w:val="uk-UA"/>
              </w:rPr>
            </w:pPr>
            <w:r w:rsidRPr="00E16672">
              <w:rPr>
                <w:rFonts w:ascii="Times New Roman" w:hAnsi="Times New Roman"/>
                <w:color w:val="000000"/>
                <w:sz w:val="16"/>
                <w:szCs w:val="16"/>
                <w:shd w:val="clear" w:color="auto" w:fill="FFFFFF"/>
                <w:lang w:val="uk-UA"/>
              </w:rPr>
              <w:t>1</w:t>
            </w:r>
            <w:r w:rsidR="005C5318" w:rsidRPr="00E16672">
              <w:rPr>
                <w:rFonts w:ascii="Times New Roman" w:hAnsi="Times New Roman"/>
                <w:color w:val="000000"/>
                <w:sz w:val="16"/>
                <w:szCs w:val="16"/>
                <w:shd w:val="clear" w:color="auto" w:fill="FFFFFF"/>
                <w:lang w:val="uk-UA"/>
              </w:rPr>
              <w:t>0</w:t>
            </w:r>
            <w:r w:rsidRPr="00E16672">
              <w:rPr>
                <w:rFonts w:ascii="Times New Roman" w:hAnsi="Times New Roman"/>
                <w:color w:val="000000"/>
                <w:sz w:val="16"/>
                <w:szCs w:val="16"/>
                <w:shd w:val="clear" w:color="auto" w:fill="FFFFFF"/>
                <w:lang w:val="uk-UA"/>
              </w:rPr>
              <w:t xml:space="preserve">.7. </w:t>
            </w:r>
            <w:r w:rsidRPr="00E16672">
              <w:rPr>
                <w:rFonts w:ascii="Times New Roman" w:hAnsi="Times New Roman"/>
                <w:color w:val="000000"/>
                <w:sz w:val="16"/>
                <w:szCs w:val="16"/>
                <w:shd w:val="clear" w:color="auto" w:fill="FFFFFF"/>
                <w:lang w:val="en-GB"/>
              </w:rPr>
              <w:t>Recipient</w:t>
            </w:r>
            <w:r w:rsidRPr="00E16672">
              <w:rPr>
                <w:rFonts w:ascii="Times New Roman" w:hAnsi="Times New Roman"/>
                <w:color w:val="000000"/>
                <w:sz w:val="16"/>
                <w:szCs w:val="16"/>
                <w:shd w:val="clear" w:color="auto" w:fill="FFFFFF"/>
                <w:lang w:val="uk-UA"/>
              </w:rPr>
              <w:t xml:space="preserve"> - </w:t>
            </w:r>
            <w:r w:rsidRPr="00A26EFC">
              <w:rPr>
                <w:rFonts w:ascii="Times New Roman" w:hAnsi="Times New Roman"/>
                <w:sz w:val="16"/>
                <w:szCs w:val="16"/>
                <w:lang w:val="en-US"/>
              </w:rPr>
              <w:t>the</w:t>
            </w:r>
            <w:r w:rsidRPr="00E16672">
              <w:rPr>
                <w:rFonts w:ascii="Times New Roman" w:hAnsi="Times New Roman"/>
                <w:sz w:val="16"/>
                <w:szCs w:val="16"/>
                <w:lang w:val="uk-UA"/>
              </w:rPr>
              <w:t xml:space="preserve"> </w:t>
            </w:r>
            <w:r w:rsidRPr="00A26EFC">
              <w:rPr>
                <w:rFonts w:ascii="Times New Roman" w:hAnsi="Times New Roman"/>
                <w:sz w:val="16"/>
                <w:szCs w:val="16"/>
                <w:lang w:val="en-US"/>
              </w:rPr>
              <w:t>physical</w:t>
            </w:r>
            <w:r w:rsidRPr="00E16672">
              <w:rPr>
                <w:rFonts w:ascii="Times New Roman" w:hAnsi="Times New Roman"/>
                <w:sz w:val="16"/>
                <w:szCs w:val="16"/>
                <w:lang w:val="uk-UA"/>
              </w:rPr>
              <w:t xml:space="preserve"> </w:t>
            </w:r>
            <w:r w:rsidRPr="00A26EFC">
              <w:rPr>
                <w:rFonts w:ascii="Times New Roman" w:hAnsi="Times New Roman"/>
                <w:sz w:val="16"/>
                <w:szCs w:val="16"/>
                <w:lang w:val="en-US"/>
              </w:rPr>
              <w:t>or</w:t>
            </w:r>
            <w:r w:rsidRPr="00E16672">
              <w:rPr>
                <w:rFonts w:ascii="Times New Roman" w:hAnsi="Times New Roman"/>
                <w:sz w:val="16"/>
                <w:szCs w:val="16"/>
                <w:lang w:val="uk-UA"/>
              </w:rPr>
              <w:t xml:space="preserve"> </w:t>
            </w:r>
            <w:r w:rsidRPr="00A26EFC">
              <w:rPr>
                <w:rFonts w:ascii="Times New Roman" w:hAnsi="Times New Roman"/>
                <w:sz w:val="16"/>
                <w:szCs w:val="16"/>
                <w:lang w:val="en-US"/>
              </w:rPr>
              <w:t>legal</w:t>
            </w:r>
            <w:r w:rsidRPr="00E16672">
              <w:rPr>
                <w:rFonts w:ascii="Times New Roman" w:hAnsi="Times New Roman"/>
                <w:sz w:val="16"/>
                <w:szCs w:val="16"/>
                <w:lang w:val="uk-UA"/>
              </w:rPr>
              <w:t xml:space="preserve"> </w:t>
            </w:r>
            <w:r w:rsidRPr="00A26EFC">
              <w:rPr>
                <w:rFonts w:ascii="Times New Roman" w:hAnsi="Times New Roman"/>
                <w:sz w:val="16"/>
                <w:szCs w:val="16"/>
                <w:lang w:val="en-US"/>
              </w:rPr>
              <w:t>person</w:t>
            </w:r>
            <w:r w:rsidRPr="00E16672">
              <w:rPr>
                <w:rFonts w:ascii="Times New Roman" w:hAnsi="Times New Roman"/>
                <w:sz w:val="16"/>
                <w:szCs w:val="16"/>
                <w:lang w:val="uk-UA"/>
              </w:rPr>
              <w:t xml:space="preserve"> </w:t>
            </w:r>
            <w:r w:rsidRPr="00A26EFC">
              <w:rPr>
                <w:rFonts w:ascii="Times New Roman" w:hAnsi="Times New Roman"/>
                <w:sz w:val="16"/>
                <w:szCs w:val="16"/>
                <w:lang w:val="en-US"/>
              </w:rPr>
              <w:t>to</w:t>
            </w:r>
            <w:r w:rsidRPr="00E16672">
              <w:rPr>
                <w:rFonts w:ascii="Times New Roman" w:hAnsi="Times New Roman"/>
                <w:sz w:val="16"/>
                <w:szCs w:val="16"/>
                <w:lang w:val="uk-UA"/>
              </w:rPr>
              <w:t xml:space="preserve"> </w:t>
            </w:r>
            <w:r w:rsidRPr="00A26EFC">
              <w:rPr>
                <w:rFonts w:ascii="Times New Roman" w:hAnsi="Times New Roman"/>
                <w:sz w:val="16"/>
                <w:szCs w:val="16"/>
                <w:lang w:val="en-US"/>
              </w:rPr>
              <w:t>whom</w:t>
            </w:r>
            <w:r w:rsidRPr="00E16672">
              <w:rPr>
                <w:rFonts w:ascii="Times New Roman" w:hAnsi="Times New Roman"/>
                <w:sz w:val="16"/>
                <w:szCs w:val="16"/>
                <w:lang w:val="uk-UA"/>
              </w:rPr>
              <w:t xml:space="preserve"> </w:t>
            </w:r>
            <w:r w:rsidRPr="00A26EFC">
              <w:rPr>
                <w:rFonts w:ascii="Times New Roman" w:hAnsi="Times New Roman"/>
                <w:sz w:val="16"/>
                <w:szCs w:val="16"/>
                <w:lang w:val="en-US"/>
              </w:rPr>
              <w:t>the</w:t>
            </w:r>
            <w:r w:rsidRPr="00E16672">
              <w:rPr>
                <w:rFonts w:ascii="Times New Roman" w:hAnsi="Times New Roman"/>
                <w:sz w:val="16"/>
                <w:szCs w:val="16"/>
                <w:lang w:val="uk-UA"/>
              </w:rPr>
              <w:t xml:space="preserve"> </w:t>
            </w:r>
            <w:r w:rsidRPr="00A26EFC">
              <w:rPr>
                <w:rFonts w:ascii="Times New Roman" w:hAnsi="Times New Roman"/>
                <w:sz w:val="16"/>
                <w:szCs w:val="16"/>
                <w:lang w:val="en-US"/>
              </w:rPr>
              <w:t>electronic</w:t>
            </w:r>
            <w:r w:rsidRPr="00E16672">
              <w:rPr>
                <w:rFonts w:ascii="Times New Roman" w:hAnsi="Times New Roman"/>
                <w:sz w:val="16"/>
                <w:szCs w:val="16"/>
                <w:lang w:val="uk-UA"/>
              </w:rPr>
              <w:t xml:space="preserve"> </w:t>
            </w:r>
            <w:r w:rsidRPr="00A26EFC">
              <w:rPr>
                <w:rFonts w:ascii="Times New Roman" w:hAnsi="Times New Roman"/>
                <w:sz w:val="16"/>
                <w:szCs w:val="16"/>
                <w:lang w:val="en-US"/>
              </w:rPr>
              <w:t>document</w:t>
            </w:r>
            <w:r w:rsidRPr="00E16672">
              <w:rPr>
                <w:rFonts w:ascii="Times New Roman" w:hAnsi="Times New Roman"/>
                <w:sz w:val="16"/>
                <w:szCs w:val="16"/>
                <w:lang w:val="uk-UA"/>
              </w:rPr>
              <w:t xml:space="preserve"> </w:t>
            </w:r>
            <w:r w:rsidRPr="00A26EFC">
              <w:rPr>
                <w:rFonts w:ascii="Times New Roman" w:hAnsi="Times New Roman"/>
                <w:sz w:val="16"/>
                <w:szCs w:val="16"/>
                <w:lang w:val="en-US"/>
              </w:rPr>
              <w:t>is</w:t>
            </w:r>
            <w:r w:rsidRPr="00E16672">
              <w:rPr>
                <w:rFonts w:ascii="Times New Roman" w:hAnsi="Times New Roman"/>
                <w:sz w:val="16"/>
                <w:szCs w:val="16"/>
                <w:lang w:val="uk-UA"/>
              </w:rPr>
              <w:t xml:space="preserve"> </w:t>
            </w:r>
            <w:r w:rsidRPr="00A26EFC">
              <w:rPr>
                <w:rFonts w:ascii="Times New Roman" w:hAnsi="Times New Roman"/>
                <w:sz w:val="16"/>
                <w:szCs w:val="16"/>
                <w:lang w:val="en-US"/>
              </w:rPr>
              <w:t>addressed</w:t>
            </w:r>
            <w:r w:rsidRPr="00E16672">
              <w:rPr>
                <w:rFonts w:ascii="Times New Roman" w:hAnsi="Times New Roman"/>
                <w:color w:val="000000"/>
                <w:sz w:val="16"/>
                <w:szCs w:val="16"/>
                <w:shd w:val="clear" w:color="auto" w:fill="FFFFFF"/>
                <w:lang w:val="uk-UA"/>
              </w:rPr>
              <w:t>.</w:t>
            </w:r>
          </w:p>
          <w:p w14:paraId="215F7DE6" w14:textId="77777777" w:rsidR="00EB25FE" w:rsidRPr="00E16672" w:rsidRDefault="00EB25FE" w:rsidP="00794B3F">
            <w:pPr>
              <w:tabs>
                <w:tab w:val="left" w:pos="287"/>
              </w:tabs>
              <w:snapToGrid w:val="0"/>
              <w:ind w:left="145" w:right="100"/>
              <w:rPr>
                <w:rFonts w:ascii="Times New Roman" w:hAnsi="Times New Roman"/>
                <w:color w:val="000000"/>
                <w:sz w:val="16"/>
                <w:szCs w:val="16"/>
                <w:shd w:val="clear" w:color="auto" w:fill="FFFFFF"/>
                <w:lang w:val="uk-UA"/>
              </w:rPr>
            </w:pPr>
          </w:p>
        </w:tc>
      </w:tr>
      <w:tr w:rsidR="00EB25FE" w:rsidRPr="00A26EFC" w14:paraId="1A0482E7" w14:textId="77777777" w:rsidTr="005E418B">
        <w:tblPrEx>
          <w:tblCellMar>
            <w:left w:w="0" w:type="dxa"/>
            <w:right w:w="0" w:type="dxa"/>
          </w:tblCellMar>
        </w:tblPrEx>
        <w:trPr>
          <w:trHeight w:val="192"/>
        </w:trPr>
        <w:tc>
          <w:tcPr>
            <w:tcW w:w="5695" w:type="dxa"/>
            <w:gridSpan w:val="7"/>
            <w:shd w:val="clear" w:color="auto" w:fill="auto"/>
          </w:tcPr>
          <w:p w14:paraId="7413AEB6" w14:textId="77777777" w:rsidR="00EB25FE" w:rsidRPr="00E16672" w:rsidRDefault="00EB25FE" w:rsidP="00794B3F">
            <w:pPr>
              <w:pStyle w:val="33"/>
              <w:tabs>
                <w:tab w:val="left" w:pos="851"/>
              </w:tabs>
              <w:snapToGrid w:val="0"/>
              <w:ind w:left="175" w:right="138" w:firstLine="0"/>
              <w:rPr>
                <w:rFonts w:ascii="Times New Roman" w:hAnsi="Times New Roman" w:cs="Times New Roman"/>
                <w:color w:val="000000"/>
                <w:sz w:val="16"/>
                <w:szCs w:val="16"/>
                <w:lang w:val="uk-UA"/>
              </w:rPr>
            </w:pPr>
            <w:r w:rsidRPr="00E16672">
              <w:rPr>
                <w:rFonts w:ascii="Times New Roman" w:hAnsi="Times New Roman" w:cs="Times New Roman"/>
                <w:color w:val="000000"/>
                <w:sz w:val="16"/>
                <w:szCs w:val="16"/>
                <w:lang w:val="uk-UA"/>
              </w:rPr>
              <w:t>1</w:t>
            </w:r>
            <w:r w:rsidR="005C5318" w:rsidRPr="00E16672">
              <w:rPr>
                <w:rFonts w:ascii="Times New Roman" w:hAnsi="Times New Roman" w:cs="Times New Roman"/>
                <w:color w:val="000000"/>
                <w:sz w:val="16"/>
                <w:szCs w:val="16"/>
                <w:lang w:val="uk-UA"/>
              </w:rPr>
              <w:t>0</w:t>
            </w:r>
            <w:r w:rsidRPr="00E16672">
              <w:rPr>
                <w:rFonts w:ascii="Times New Roman" w:hAnsi="Times New Roman" w:cs="Times New Roman"/>
                <w:color w:val="000000"/>
                <w:sz w:val="16"/>
                <w:szCs w:val="16"/>
                <w:lang w:val="uk-UA"/>
              </w:rPr>
              <w:t xml:space="preserve">.8. </w:t>
            </w:r>
            <w:r w:rsidRPr="00E16672">
              <w:rPr>
                <w:rFonts w:ascii="Times New Roman" w:hAnsi="Times New Roman" w:cs="Times New Roman"/>
                <w:sz w:val="16"/>
                <w:szCs w:val="16"/>
                <w:lang w:val="uk-UA"/>
              </w:rPr>
              <w:t>Кваліфікований</w:t>
            </w:r>
            <w:r w:rsidRPr="00E16672" w:rsidDel="00047AE1">
              <w:rPr>
                <w:rFonts w:ascii="Times New Roman" w:hAnsi="Times New Roman" w:cs="Times New Roman"/>
                <w:sz w:val="16"/>
                <w:szCs w:val="16"/>
                <w:lang w:val="uk-UA"/>
              </w:rPr>
              <w:t xml:space="preserve"> </w:t>
            </w:r>
            <w:r w:rsidRPr="00E16672">
              <w:rPr>
                <w:rFonts w:ascii="Times New Roman" w:hAnsi="Times New Roman" w:cs="Times New Roman"/>
                <w:color w:val="000000"/>
                <w:sz w:val="16"/>
                <w:szCs w:val="16"/>
                <w:lang w:val="uk-UA"/>
              </w:rPr>
              <w:t xml:space="preserve">електронний підпис вважається таким, що відповідає сертифікату відкритого ключа, якщо особистий ключ </w:t>
            </w:r>
            <w:proofErr w:type="spellStart"/>
            <w:r w:rsidRPr="00E16672">
              <w:rPr>
                <w:rFonts w:ascii="Times New Roman" w:hAnsi="Times New Roman" w:cs="Times New Roman"/>
                <w:color w:val="000000"/>
                <w:sz w:val="16"/>
                <w:szCs w:val="16"/>
                <w:lang w:val="uk-UA"/>
              </w:rPr>
              <w:t>підписувача</w:t>
            </w:r>
            <w:proofErr w:type="spellEnd"/>
            <w:r w:rsidRPr="00E16672">
              <w:rPr>
                <w:rFonts w:ascii="Times New Roman" w:hAnsi="Times New Roman" w:cs="Times New Roman"/>
                <w:color w:val="000000"/>
                <w:sz w:val="16"/>
                <w:szCs w:val="16"/>
                <w:lang w:val="uk-UA"/>
              </w:rPr>
              <w:t xml:space="preserve">, використаний при формуванні </w:t>
            </w:r>
            <w:r w:rsidRPr="00E16672">
              <w:rPr>
                <w:rFonts w:ascii="Times New Roman" w:hAnsi="Times New Roman" w:cs="Times New Roman"/>
                <w:sz w:val="16"/>
                <w:lang w:val="uk-UA"/>
              </w:rPr>
              <w:t>кваліфікованого</w:t>
            </w:r>
            <w:r w:rsidRPr="00E16672" w:rsidDel="00047AE1">
              <w:rPr>
                <w:rFonts w:ascii="Times New Roman" w:hAnsi="Times New Roman" w:cs="Times New Roman"/>
                <w:sz w:val="16"/>
                <w:lang w:val="uk-UA"/>
              </w:rPr>
              <w:t xml:space="preserve"> </w:t>
            </w:r>
            <w:r w:rsidRPr="00E16672">
              <w:rPr>
                <w:rFonts w:ascii="Times New Roman" w:hAnsi="Times New Roman" w:cs="Times New Roman"/>
                <w:color w:val="000000"/>
                <w:sz w:val="16"/>
                <w:szCs w:val="16"/>
                <w:lang w:val="uk-UA"/>
              </w:rPr>
              <w:t>електронного підпису, відповідає відкритому ключу, зазначеному у сертифікаті.</w:t>
            </w:r>
          </w:p>
          <w:p w14:paraId="3222694A" w14:textId="77777777" w:rsidR="00EB25FE" w:rsidRPr="00E16672" w:rsidRDefault="00EB25FE" w:rsidP="00794B3F">
            <w:pPr>
              <w:pStyle w:val="33"/>
              <w:tabs>
                <w:tab w:val="left" w:pos="851"/>
              </w:tabs>
              <w:ind w:left="175" w:right="138"/>
              <w:rPr>
                <w:rFonts w:ascii="Times New Roman" w:hAnsi="Times New Roman" w:cs="Times New Roman"/>
                <w:color w:val="000000"/>
                <w:sz w:val="16"/>
                <w:szCs w:val="16"/>
                <w:lang w:val="uk-UA"/>
              </w:rPr>
            </w:pPr>
          </w:p>
        </w:tc>
        <w:tc>
          <w:tcPr>
            <w:tcW w:w="5495" w:type="dxa"/>
            <w:gridSpan w:val="8"/>
            <w:shd w:val="clear" w:color="auto" w:fill="auto"/>
          </w:tcPr>
          <w:p w14:paraId="6D2E0862" w14:textId="77777777" w:rsidR="00EB25FE" w:rsidRPr="00E16672" w:rsidRDefault="00EB25FE" w:rsidP="005C5318">
            <w:pPr>
              <w:tabs>
                <w:tab w:val="left" w:pos="287"/>
              </w:tabs>
              <w:snapToGrid w:val="0"/>
              <w:ind w:left="145" w:right="100" w:firstLine="0"/>
              <w:rPr>
                <w:rFonts w:ascii="Times New Roman" w:hAnsi="Times New Roman"/>
                <w:color w:val="000000"/>
                <w:sz w:val="16"/>
                <w:szCs w:val="16"/>
                <w:shd w:val="clear" w:color="auto" w:fill="FFFFFF"/>
                <w:lang w:val="en-GB"/>
              </w:rPr>
            </w:pPr>
            <w:r w:rsidRPr="00E16672">
              <w:rPr>
                <w:rFonts w:ascii="Times New Roman" w:hAnsi="Times New Roman"/>
                <w:color w:val="000000"/>
                <w:sz w:val="16"/>
                <w:szCs w:val="16"/>
                <w:shd w:val="clear" w:color="auto" w:fill="FFFFFF"/>
                <w:lang w:val="uk-UA"/>
              </w:rPr>
              <w:t>1</w:t>
            </w:r>
            <w:r w:rsidR="005C5318" w:rsidRPr="00E16672">
              <w:rPr>
                <w:rFonts w:ascii="Times New Roman" w:hAnsi="Times New Roman"/>
                <w:color w:val="000000"/>
                <w:sz w:val="16"/>
                <w:szCs w:val="16"/>
                <w:shd w:val="clear" w:color="auto" w:fill="FFFFFF"/>
                <w:lang w:val="uk-UA"/>
              </w:rPr>
              <w:t>0</w:t>
            </w:r>
            <w:r w:rsidRPr="00E16672">
              <w:rPr>
                <w:rFonts w:ascii="Times New Roman" w:hAnsi="Times New Roman"/>
                <w:color w:val="000000"/>
                <w:sz w:val="16"/>
                <w:szCs w:val="16"/>
                <w:shd w:val="clear" w:color="auto" w:fill="FFFFFF"/>
                <w:lang w:val="uk-UA"/>
              </w:rPr>
              <w:t xml:space="preserve">.8. </w:t>
            </w:r>
            <w:r w:rsidRPr="00A26EFC">
              <w:rPr>
                <w:rStyle w:val="shorttext"/>
                <w:rFonts w:ascii="Times New Roman" w:hAnsi="Times New Roman"/>
                <w:sz w:val="16"/>
                <w:szCs w:val="16"/>
                <w:lang w:val="en-US"/>
              </w:rPr>
              <w:t>Qualified</w:t>
            </w:r>
            <w:r w:rsidRPr="00E16672">
              <w:rPr>
                <w:rStyle w:val="shorttext"/>
                <w:rFonts w:ascii="Times New Roman" w:hAnsi="Times New Roman"/>
                <w:sz w:val="16"/>
                <w:szCs w:val="16"/>
                <w:lang w:val="uk-UA"/>
              </w:rPr>
              <w:t xml:space="preserve"> </w:t>
            </w:r>
            <w:r w:rsidRPr="00E16672">
              <w:rPr>
                <w:rFonts w:ascii="Times New Roman" w:hAnsi="Times New Roman"/>
                <w:color w:val="000000"/>
                <w:sz w:val="16"/>
                <w:szCs w:val="16"/>
                <w:shd w:val="clear" w:color="auto" w:fill="FFFFFF"/>
                <w:lang w:val="en-GB"/>
              </w:rPr>
              <w:t>electronic</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digital</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Signature</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deemed</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to</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match</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certificate</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public</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key</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if</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private</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key</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of</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signer</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used</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 xml:space="preserve">when </w:t>
            </w:r>
            <w:proofErr w:type="gramStart"/>
            <w:r w:rsidRPr="00E16672">
              <w:rPr>
                <w:rFonts w:ascii="Times New Roman" w:hAnsi="Times New Roman"/>
                <w:color w:val="000000"/>
                <w:sz w:val="16"/>
                <w:szCs w:val="16"/>
                <w:shd w:val="clear" w:color="auto" w:fill="FFFFFF"/>
                <w:lang w:val="en-GB"/>
              </w:rPr>
              <w:t xml:space="preserve">forming  </w:t>
            </w:r>
            <w:r w:rsidRPr="00A26EFC">
              <w:rPr>
                <w:rStyle w:val="shorttext"/>
                <w:rFonts w:ascii="Times New Roman" w:hAnsi="Times New Roman"/>
                <w:sz w:val="16"/>
                <w:szCs w:val="16"/>
                <w:lang w:val="en-US"/>
              </w:rPr>
              <w:t>qualified</w:t>
            </w:r>
            <w:proofErr w:type="gramEnd"/>
            <w:r w:rsidRPr="00E16672">
              <w:rPr>
                <w:rStyle w:val="shorttext"/>
                <w:rFonts w:ascii="Times New Roman" w:hAnsi="Times New Roman"/>
                <w:sz w:val="16"/>
                <w:szCs w:val="16"/>
                <w:lang w:val="uk-UA"/>
              </w:rPr>
              <w:t xml:space="preserve"> </w:t>
            </w:r>
            <w:r w:rsidRPr="00E16672">
              <w:rPr>
                <w:rFonts w:ascii="Times New Roman" w:hAnsi="Times New Roman"/>
                <w:color w:val="000000"/>
                <w:sz w:val="16"/>
                <w:szCs w:val="16"/>
                <w:shd w:val="clear" w:color="auto" w:fill="FFFFFF"/>
                <w:lang w:val="en-GB"/>
              </w:rPr>
              <w:t>electronic signature matches the public key specified in the certificate.</w:t>
            </w:r>
          </w:p>
        </w:tc>
      </w:tr>
      <w:tr w:rsidR="00EB25FE" w:rsidRPr="00A26EFC" w14:paraId="2E9D67EE" w14:textId="77777777" w:rsidTr="005E418B">
        <w:tblPrEx>
          <w:tblCellMar>
            <w:left w:w="0" w:type="dxa"/>
            <w:right w:w="0" w:type="dxa"/>
          </w:tblCellMar>
        </w:tblPrEx>
        <w:trPr>
          <w:trHeight w:val="192"/>
        </w:trPr>
        <w:tc>
          <w:tcPr>
            <w:tcW w:w="5695" w:type="dxa"/>
            <w:gridSpan w:val="7"/>
            <w:shd w:val="clear" w:color="auto" w:fill="auto"/>
          </w:tcPr>
          <w:p w14:paraId="3A1E8F97" w14:textId="77777777" w:rsidR="00EB25FE" w:rsidRPr="00E16672" w:rsidRDefault="00EB25FE" w:rsidP="00794B3F">
            <w:pPr>
              <w:pStyle w:val="33"/>
              <w:tabs>
                <w:tab w:val="left" w:pos="851"/>
              </w:tabs>
              <w:snapToGrid w:val="0"/>
              <w:ind w:left="175" w:right="138" w:firstLine="0"/>
              <w:rPr>
                <w:rFonts w:ascii="Times New Roman" w:hAnsi="Times New Roman" w:cs="Times New Roman"/>
                <w:color w:val="000000"/>
                <w:sz w:val="16"/>
                <w:szCs w:val="16"/>
                <w:lang w:val="uk-UA"/>
              </w:rPr>
            </w:pPr>
            <w:r w:rsidRPr="00E16672">
              <w:rPr>
                <w:rFonts w:ascii="Times New Roman" w:hAnsi="Times New Roman" w:cs="Times New Roman"/>
                <w:color w:val="000000"/>
                <w:sz w:val="16"/>
                <w:szCs w:val="16"/>
                <w:lang w:val="uk-UA"/>
              </w:rPr>
              <w:t>1</w:t>
            </w:r>
            <w:r w:rsidR="005C5318" w:rsidRPr="00E16672">
              <w:rPr>
                <w:rFonts w:ascii="Times New Roman" w:hAnsi="Times New Roman" w:cs="Times New Roman"/>
                <w:color w:val="000000"/>
                <w:sz w:val="16"/>
                <w:szCs w:val="16"/>
                <w:lang w:val="uk-UA"/>
              </w:rPr>
              <w:t>0</w:t>
            </w:r>
            <w:r w:rsidRPr="00E16672">
              <w:rPr>
                <w:rFonts w:ascii="Times New Roman" w:hAnsi="Times New Roman" w:cs="Times New Roman"/>
                <w:color w:val="000000"/>
                <w:sz w:val="16"/>
                <w:szCs w:val="16"/>
                <w:lang w:val="uk-UA"/>
              </w:rPr>
              <w:t xml:space="preserve">.9. Відповідно до цього Договору Сторони зобов'язуються визнавати </w:t>
            </w:r>
            <w:proofErr w:type="spellStart"/>
            <w:r w:rsidRPr="00E16672">
              <w:rPr>
                <w:rFonts w:ascii="Times New Roman" w:hAnsi="Times New Roman" w:cs="Times New Roman"/>
                <w:sz w:val="16"/>
                <w:lang w:val="uk-UA"/>
              </w:rPr>
              <w:t>кваліфікованbq</w:t>
            </w:r>
            <w:proofErr w:type="spellEnd"/>
            <w:r w:rsidRPr="00E16672" w:rsidDel="00047AE1">
              <w:rPr>
                <w:rFonts w:ascii="Times New Roman" w:hAnsi="Times New Roman" w:cs="Times New Roman"/>
                <w:sz w:val="16"/>
                <w:lang w:val="uk-UA"/>
              </w:rPr>
              <w:t xml:space="preserve"> </w:t>
            </w:r>
            <w:r w:rsidRPr="00E16672">
              <w:rPr>
                <w:rFonts w:ascii="Times New Roman" w:hAnsi="Times New Roman" w:cs="Times New Roman"/>
                <w:color w:val="000000"/>
                <w:sz w:val="16"/>
                <w:szCs w:val="16"/>
                <w:lang w:val="uk-UA"/>
              </w:rPr>
              <w:t>електронний підпис як такий, що надає юридичної сили електронним документам, сформованим з його використанням.</w:t>
            </w:r>
          </w:p>
          <w:p w14:paraId="41776C1F" w14:textId="77777777" w:rsidR="00EB25FE" w:rsidRPr="00E16672" w:rsidRDefault="00EB25FE" w:rsidP="00794B3F">
            <w:pPr>
              <w:pStyle w:val="33"/>
              <w:tabs>
                <w:tab w:val="left" w:pos="851"/>
              </w:tabs>
              <w:ind w:left="175" w:right="138"/>
              <w:rPr>
                <w:rFonts w:ascii="Times New Roman" w:hAnsi="Times New Roman" w:cs="Times New Roman"/>
                <w:color w:val="000000"/>
                <w:sz w:val="16"/>
                <w:szCs w:val="16"/>
                <w:lang w:val="uk-UA"/>
              </w:rPr>
            </w:pPr>
          </w:p>
        </w:tc>
        <w:tc>
          <w:tcPr>
            <w:tcW w:w="5495" w:type="dxa"/>
            <w:gridSpan w:val="8"/>
            <w:shd w:val="clear" w:color="auto" w:fill="auto"/>
          </w:tcPr>
          <w:p w14:paraId="1D7BBA0E" w14:textId="77777777" w:rsidR="00EB25FE" w:rsidRPr="00E16672" w:rsidRDefault="00EB25FE" w:rsidP="005C5318">
            <w:pPr>
              <w:tabs>
                <w:tab w:val="left" w:pos="287"/>
              </w:tabs>
              <w:snapToGrid w:val="0"/>
              <w:ind w:left="145" w:right="100" w:firstLine="0"/>
              <w:rPr>
                <w:rFonts w:ascii="Times New Roman" w:hAnsi="Times New Roman"/>
                <w:color w:val="000000"/>
                <w:sz w:val="16"/>
                <w:szCs w:val="16"/>
                <w:shd w:val="clear" w:color="auto" w:fill="FFFFFF"/>
                <w:lang w:val="en-GB"/>
              </w:rPr>
            </w:pPr>
            <w:r w:rsidRPr="00E16672">
              <w:rPr>
                <w:rFonts w:ascii="Times New Roman" w:hAnsi="Times New Roman"/>
                <w:color w:val="000000"/>
                <w:sz w:val="16"/>
                <w:szCs w:val="16"/>
                <w:shd w:val="clear" w:color="auto" w:fill="FFFFFF"/>
                <w:lang w:val="uk-UA"/>
              </w:rPr>
              <w:t>1</w:t>
            </w:r>
            <w:r w:rsidR="005C5318" w:rsidRPr="00E16672">
              <w:rPr>
                <w:rFonts w:ascii="Times New Roman" w:hAnsi="Times New Roman"/>
                <w:color w:val="000000"/>
                <w:sz w:val="16"/>
                <w:szCs w:val="16"/>
                <w:shd w:val="clear" w:color="auto" w:fill="FFFFFF"/>
                <w:lang w:val="uk-UA"/>
              </w:rPr>
              <w:t>0</w:t>
            </w:r>
            <w:r w:rsidRPr="00E16672">
              <w:rPr>
                <w:rFonts w:ascii="Times New Roman" w:hAnsi="Times New Roman"/>
                <w:color w:val="000000"/>
                <w:sz w:val="16"/>
                <w:szCs w:val="16"/>
                <w:shd w:val="clear" w:color="auto" w:fill="FFFFFF"/>
                <w:lang w:val="uk-UA"/>
              </w:rPr>
              <w:t xml:space="preserve">.9.  </w:t>
            </w:r>
            <w:r w:rsidRPr="00E16672">
              <w:rPr>
                <w:rFonts w:ascii="Times New Roman" w:hAnsi="Times New Roman"/>
                <w:color w:val="000000"/>
                <w:sz w:val="16"/>
                <w:szCs w:val="16"/>
                <w:shd w:val="clear" w:color="auto" w:fill="FFFFFF"/>
                <w:lang w:val="en-GB"/>
              </w:rPr>
              <w:t>According</w:t>
            </w:r>
            <w:r w:rsidRPr="00E16672">
              <w:rPr>
                <w:rFonts w:ascii="Times New Roman" w:hAnsi="Times New Roman"/>
                <w:color w:val="000000"/>
                <w:sz w:val="16"/>
                <w:szCs w:val="16"/>
                <w:shd w:val="clear" w:color="auto" w:fill="FFFFFF"/>
                <w:lang w:val="uk-UA"/>
              </w:rPr>
              <w:t xml:space="preserve"> </w:t>
            </w:r>
            <w:proofErr w:type="spellStart"/>
            <w:r w:rsidRPr="00E16672">
              <w:rPr>
                <w:rFonts w:ascii="Times New Roman" w:hAnsi="Times New Roman"/>
                <w:color w:val="000000"/>
                <w:sz w:val="16"/>
                <w:szCs w:val="16"/>
                <w:shd w:val="clear" w:color="auto" w:fill="FFFFFF"/>
                <w:lang w:val="en-GB"/>
              </w:rPr>
              <w:t>tor</w:t>
            </w:r>
            <w:proofErr w:type="spellEnd"/>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this</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Agreement</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the</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Parties</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undertake</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to</w:t>
            </w:r>
            <w:r w:rsidRPr="00E16672">
              <w:rPr>
                <w:rFonts w:ascii="Times New Roman" w:hAnsi="Times New Roman"/>
                <w:color w:val="000000"/>
                <w:sz w:val="16"/>
                <w:szCs w:val="16"/>
                <w:shd w:val="clear" w:color="auto" w:fill="FFFFFF"/>
                <w:lang w:val="uk-UA"/>
              </w:rPr>
              <w:t xml:space="preserve"> </w:t>
            </w:r>
            <w:proofErr w:type="gramStart"/>
            <w:r w:rsidRPr="00E16672">
              <w:rPr>
                <w:rFonts w:ascii="Times New Roman" w:hAnsi="Times New Roman"/>
                <w:color w:val="000000"/>
                <w:sz w:val="16"/>
                <w:szCs w:val="16"/>
                <w:shd w:val="clear" w:color="auto" w:fill="FFFFFF"/>
                <w:lang w:val="en-GB"/>
              </w:rPr>
              <w:t>recognize</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the</w:t>
            </w:r>
            <w:proofErr w:type="gramEnd"/>
            <w:r w:rsidRPr="00E16672">
              <w:rPr>
                <w:rFonts w:ascii="Times New Roman" w:hAnsi="Times New Roman"/>
                <w:color w:val="000000"/>
                <w:sz w:val="16"/>
                <w:szCs w:val="16"/>
                <w:shd w:val="clear" w:color="auto" w:fill="FFFFFF"/>
                <w:lang w:val="uk-UA"/>
              </w:rPr>
              <w:t xml:space="preserve"> </w:t>
            </w:r>
            <w:r w:rsidRPr="00A26EFC">
              <w:rPr>
                <w:rStyle w:val="shorttext"/>
                <w:rFonts w:ascii="Times New Roman" w:hAnsi="Times New Roman"/>
                <w:sz w:val="16"/>
                <w:szCs w:val="16"/>
                <w:lang w:val="en-US"/>
              </w:rPr>
              <w:t>qualified</w:t>
            </w:r>
            <w:r w:rsidRPr="00E16672">
              <w:rPr>
                <w:rStyle w:val="shorttext"/>
                <w:rFonts w:ascii="Times New Roman" w:hAnsi="Times New Roman"/>
                <w:sz w:val="16"/>
                <w:szCs w:val="16"/>
                <w:lang w:val="uk-UA"/>
              </w:rPr>
              <w:t xml:space="preserve"> </w:t>
            </w:r>
            <w:r w:rsidRPr="00E16672">
              <w:rPr>
                <w:rFonts w:ascii="Times New Roman" w:hAnsi="Times New Roman"/>
                <w:color w:val="000000"/>
                <w:sz w:val="16"/>
                <w:szCs w:val="16"/>
                <w:shd w:val="clear" w:color="auto" w:fill="FFFFFF"/>
                <w:lang w:val="en-GB"/>
              </w:rPr>
              <w:t>electronic</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signature</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as</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the</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one</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that gives legal force of electronic documents, formed with it.</w:t>
            </w:r>
          </w:p>
        </w:tc>
      </w:tr>
      <w:tr w:rsidR="00EB25FE" w:rsidRPr="00A26EFC" w14:paraId="56639B62" w14:textId="77777777" w:rsidTr="005E418B">
        <w:tblPrEx>
          <w:tblCellMar>
            <w:left w:w="0" w:type="dxa"/>
            <w:right w:w="0" w:type="dxa"/>
          </w:tblCellMar>
        </w:tblPrEx>
        <w:trPr>
          <w:trHeight w:val="192"/>
        </w:trPr>
        <w:tc>
          <w:tcPr>
            <w:tcW w:w="5695" w:type="dxa"/>
            <w:gridSpan w:val="7"/>
            <w:shd w:val="clear" w:color="auto" w:fill="auto"/>
          </w:tcPr>
          <w:p w14:paraId="67A8DBD1" w14:textId="77777777" w:rsidR="00EB25FE" w:rsidRPr="00E16672" w:rsidRDefault="00EB25FE" w:rsidP="005C5318">
            <w:pPr>
              <w:pStyle w:val="33"/>
              <w:tabs>
                <w:tab w:val="left" w:pos="851"/>
              </w:tabs>
              <w:snapToGrid w:val="0"/>
              <w:ind w:left="175" w:right="138" w:firstLine="0"/>
              <w:rPr>
                <w:rFonts w:ascii="Times New Roman" w:hAnsi="Times New Roman" w:cs="Times New Roman"/>
                <w:color w:val="000000"/>
                <w:sz w:val="16"/>
                <w:szCs w:val="16"/>
                <w:lang w:val="uk-UA"/>
              </w:rPr>
            </w:pPr>
            <w:r w:rsidRPr="00E16672">
              <w:rPr>
                <w:rFonts w:ascii="Times New Roman" w:hAnsi="Times New Roman" w:cs="Times New Roman"/>
                <w:color w:val="000000"/>
                <w:sz w:val="16"/>
                <w:szCs w:val="16"/>
                <w:lang w:val="uk-UA"/>
              </w:rPr>
              <w:t>1</w:t>
            </w:r>
            <w:r w:rsidR="005C5318" w:rsidRPr="00E16672">
              <w:rPr>
                <w:rFonts w:ascii="Times New Roman" w:hAnsi="Times New Roman" w:cs="Times New Roman"/>
                <w:color w:val="000000"/>
                <w:sz w:val="16"/>
                <w:szCs w:val="16"/>
                <w:lang w:val="uk-UA"/>
              </w:rPr>
              <w:t>0</w:t>
            </w:r>
            <w:r w:rsidRPr="00E16672">
              <w:rPr>
                <w:rFonts w:ascii="Times New Roman" w:hAnsi="Times New Roman" w:cs="Times New Roman"/>
                <w:color w:val="000000"/>
                <w:sz w:val="16"/>
                <w:szCs w:val="16"/>
                <w:lang w:val="uk-UA"/>
              </w:rPr>
              <w:t>.10. Визнання здійснюється адресатом</w:t>
            </w:r>
            <w:r w:rsidRPr="00E16672" w:rsidDel="00F11330">
              <w:rPr>
                <w:rFonts w:ascii="Times New Roman" w:hAnsi="Times New Roman" w:cs="Times New Roman"/>
                <w:color w:val="000000"/>
                <w:sz w:val="16"/>
                <w:szCs w:val="16"/>
                <w:lang w:val="uk-UA"/>
              </w:rPr>
              <w:t xml:space="preserve"> </w:t>
            </w:r>
            <w:r w:rsidRPr="00E16672">
              <w:rPr>
                <w:rFonts w:ascii="Times New Roman" w:hAnsi="Times New Roman" w:cs="Times New Roman"/>
                <w:color w:val="000000"/>
                <w:sz w:val="16"/>
                <w:szCs w:val="16"/>
                <w:lang w:val="uk-UA"/>
              </w:rPr>
              <w:t xml:space="preserve">щодо кожного окремого електронного документа, наданого </w:t>
            </w:r>
            <w:proofErr w:type="spellStart"/>
            <w:r w:rsidRPr="00E16672">
              <w:rPr>
                <w:rFonts w:ascii="Times New Roman" w:hAnsi="Times New Roman" w:cs="Times New Roman"/>
                <w:color w:val="000000"/>
                <w:sz w:val="16"/>
                <w:szCs w:val="16"/>
                <w:lang w:val="uk-UA"/>
              </w:rPr>
              <w:t>підписувачем</w:t>
            </w:r>
            <w:proofErr w:type="spellEnd"/>
            <w:r w:rsidRPr="00E16672">
              <w:rPr>
                <w:rFonts w:ascii="Times New Roman" w:hAnsi="Times New Roman" w:cs="Times New Roman"/>
                <w:color w:val="000000"/>
                <w:sz w:val="16"/>
                <w:szCs w:val="16"/>
                <w:lang w:val="uk-UA"/>
              </w:rPr>
              <w:t>.</w:t>
            </w:r>
          </w:p>
        </w:tc>
        <w:tc>
          <w:tcPr>
            <w:tcW w:w="5495" w:type="dxa"/>
            <w:gridSpan w:val="8"/>
            <w:shd w:val="clear" w:color="auto" w:fill="auto"/>
          </w:tcPr>
          <w:p w14:paraId="5405D045" w14:textId="77777777" w:rsidR="00EB25FE" w:rsidRPr="00E16672" w:rsidRDefault="00EB25FE" w:rsidP="00794B3F">
            <w:pPr>
              <w:tabs>
                <w:tab w:val="left" w:pos="287"/>
              </w:tabs>
              <w:snapToGrid w:val="0"/>
              <w:ind w:left="145" w:right="100" w:firstLine="0"/>
              <w:rPr>
                <w:rFonts w:ascii="Times New Roman" w:hAnsi="Times New Roman"/>
                <w:color w:val="000000"/>
                <w:sz w:val="16"/>
                <w:szCs w:val="16"/>
                <w:shd w:val="clear" w:color="auto" w:fill="FFFFFF"/>
                <w:lang w:val="uk-UA"/>
              </w:rPr>
            </w:pPr>
            <w:r w:rsidRPr="00E16672">
              <w:rPr>
                <w:rFonts w:ascii="Times New Roman" w:hAnsi="Times New Roman"/>
                <w:color w:val="000000"/>
                <w:sz w:val="16"/>
                <w:szCs w:val="16"/>
                <w:shd w:val="clear" w:color="auto" w:fill="FFFFFF"/>
                <w:lang w:val="uk-UA"/>
              </w:rPr>
              <w:t>1</w:t>
            </w:r>
            <w:r w:rsidR="005C5318" w:rsidRPr="00E16672">
              <w:rPr>
                <w:rFonts w:ascii="Times New Roman" w:hAnsi="Times New Roman"/>
                <w:color w:val="000000"/>
                <w:sz w:val="16"/>
                <w:szCs w:val="16"/>
                <w:shd w:val="clear" w:color="auto" w:fill="FFFFFF"/>
                <w:lang w:val="uk-UA"/>
              </w:rPr>
              <w:t>0</w:t>
            </w:r>
            <w:r w:rsidRPr="00E16672">
              <w:rPr>
                <w:rFonts w:ascii="Times New Roman" w:hAnsi="Times New Roman"/>
                <w:color w:val="000000"/>
                <w:sz w:val="16"/>
                <w:szCs w:val="16"/>
                <w:shd w:val="clear" w:color="auto" w:fill="FFFFFF"/>
                <w:lang w:val="uk-UA"/>
              </w:rPr>
              <w:t xml:space="preserve">.10. </w:t>
            </w:r>
            <w:proofErr w:type="gramStart"/>
            <w:r w:rsidRPr="00E16672">
              <w:rPr>
                <w:rFonts w:ascii="Times New Roman" w:hAnsi="Times New Roman"/>
                <w:color w:val="000000"/>
                <w:sz w:val="16"/>
                <w:szCs w:val="16"/>
                <w:shd w:val="clear" w:color="auto" w:fill="FFFFFF"/>
                <w:lang w:val="en-GB"/>
              </w:rPr>
              <w:t>Recognition</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is</w:t>
            </w:r>
            <w:proofErr w:type="gramEnd"/>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made</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by</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recipient</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on</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every</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single</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electronic</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document</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provided</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by</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the</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signer</w:t>
            </w:r>
            <w:r w:rsidRPr="00E16672">
              <w:rPr>
                <w:rFonts w:ascii="Times New Roman" w:hAnsi="Times New Roman"/>
                <w:color w:val="000000"/>
                <w:sz w:val="16"/>
                <w:szCs w:val="16"/>
                <w:shd w:val="clear" w:color="auto" w:fill="FFFFFF"/>
                <w:lang w:val="uk-UA"/>
              </w:rPr>
              <w:t>.</w:t>
            </w:r>
          </w:p>
          <w:p w14:paraId="7E13BDC1" w14:textId="77777777" w:rsidR="00EB25FE" w:rsidRPr="00E16672" w:rsidRDefault="00EB25FE" w:rsidP="00794B3F">
            <w:pPr>
              <w:tabs>
                <w:tab w:val="left" w:pos="287"/>
              </w:tabs>
              <w:snapToGrid w:val="0"/>
              <w:ind w:left="145" w:right="100"/>
              <w:rPr>
                <w:rFonts w:ascii="Times New Roman" w:hAnsi="Times New Roman"/>
                <w:color w:val="000000"/>
                <w:sz w:val="16"/>
                <w:szCs w:val="16"/>
                <w:shd w:val="clear" w:color="auto" w:fill="FFFFFF"/>
                <w:lang w:val="uk-UA"/>
              </w:rPr>
            </w:pPr>
          </w:p>
        </w:tc>
      </w:tr>
      <w:tr w:rsidR="00EB25FE" w:rsidRPr="00A26EFC" w14:paraId="3BAECE9B" w14:textId="77777777" w:rsidTr="005E418B">
        <w:tblPrEx>
          <w:tblCellMar>
            <w:left w:w="0" w:type="dxa"/>
            <w:right w:w="0" w:type="dxa"/>
          </w:tblCellMar>
        </w:tblPrEx>
        <w:trPr>
          <w:trHeight w:val="192"/>
        </w:trPr>
        <w:tc>
          <w:tcPr>
            <w:tcW w:w="5695" w:type="dxa"/>
            <w:gridSpan w:val="7"/>
            <w:shd w:val="clear" w:color="auto" w:fill="auto"/>
          </w:tcPr>
          <w:p w14:paraId="464CEB9F" w14:textId="77777777" w:rsidR="00EB25FE" w:rsidRPr="00E16672" w:rsidRDefault="00EB25FE" w:rsidP="005C5318">
            <w:pPr>
              <w:pStyle w:val="33"/>
              <w:tabs>
                <w:tab w:val="left" w:pos="851"/>
              </w:tabs>
              <w:snapToGrid w:val="0"/>
              <w:ind w:left="175" w:right="138" w:firstLine="0"/>
              <w:rPr>
                <w:rFonts w:ascii="Times New Roman" w:hAnsi="Times New Roman" w:cs="Times New Roman"/>
                <w:color w:val="000000"/>
                <w:sz w:val="16"/>
                <w:szCs w:val="16"/>
                <w:lang w:val="uk-UA"/>
              </w:rPr>
            </w:pPr>
            <w:r w:rsidRPr="00E16672">
              <w:rPr>
                <w:rFonts w:ascii="Times New Roman" w:hAnsi="Times New Roman" w:cs="Times New Roman"/>
                <w:color w:val="000000"/>
                <w:sz w:val="16"/>
                <w:szCs w:val="16"/>
                <w:lang w:val="uk-UA"/>
              </w:rPr>
              <w:t>1</w:t>
            </w:r>
            <w:r w:rsidR="005C5318" w:rsidRPr="00E16672">
              <w:rPr>
                <w:rFonts w:ascii="Times New Roman" w:hAnsi="Times New Roman" w:cs="Times New Roman"/>
                <w:color w:val="000000"/>
                <w:sz w:val="16"/>
                <w:szCs w:val="16"/>
                <w:lang w:val="uk-UA"/>
              </w:rPr>
              <w:t>0</w:t>
            </w:r>
            <w:r w:rsidRPr="00E16672">
              <w:rPr>
                <w:rFonts w:ascii="Times New Roman" w:hAnsi="Times New Roman" w:cs="Times New Roman"/>
                <w:color w:val="000000"/>
                <w:sz w:val="16"/>
                <w:szCs w:val="16"/>
                <w:lang w:val="uk-UA"/>
              </w:rPr>
              <w:t xml:space="preserve">.11. Визнання </w:t>
            </w:r>
            <w:r w:rsidRPr="00E16672">
              <w:rPr>
                <w:rFonts w:ascii="Times New Roman" w:hAnsi="Times New Roman" w:cs="Times New Roman"/>
                <w:sz w:val="16"/>
                <w:szCs w:val="16"/>
                <w:lang w:val="uk-UA"/>
              </w:rPr>
              <w:t>кваліфікованого</w:t>
            </w:r>
            <w:r w:rsidRPr="00E16672" w:rsidDel="00047AE1">
              <w:rPr>
                <w:rFonts w:ascii="Times New Roman" w:hAnsi="Times New Roman" w:cs="Times New Roman"/>
                <w:lang w:val="uk-UA"/>
              </w:rPr>
              <w:t xml:space="preserve"> </w:t>
            </w:r>
            <w:r w:rsidRPr="00E16672">
              <w:rPr>
                <w:rFonts w:ascii="Times New Roman" w:hAnsi="Times New Roman" w:cs="Times New Roman"/>
                <w:color w:val="000000"/>
                <w:sz w:val="16"/>
                <w:szCs w:val="16"/>
                <w:lang w:val="uk-UA"/>
              </w:rPr>
              <w:t xml:space="preserve">електронного підпису - визначення відповідності </w:t>
            </w:r>
            <w:r w:rsidRPr="00E16672">
              <w:rPr>
                <w:rFonts w:ascii="Times New Roman" w:hAnsi="Times New Roman" w:cs="Times New Roman"/>
                <w:sz w:val="16"/>
                <w:szCs w:val="16"/>
                <w:lang w:val="uk-UA"/>
              </w:rPr>
              <w:t>кваліфікованого</w:t>
            </w:r>
            <w:r w:rsidRPr="00E16672" w:rsidDel="00047AE1">
              <w:rPr>
                <w:rFonts w:ascii="Times New Roman" w:hAnsi="Times New Roman" w:cs="Times New Roman"/>
                <w:lang w:val="uk-UA"/>
              </w:rPr>
              <w:t xml:space="preserve"> </w:t>
            </w:r>
            <w:r w:rsidRPr="00E16672">
              <w:rPr>
                <w:rFonts w:ascii="Times New Roman" w:hAnsi="Times New Roman" w:cs="Times New Roman"/>
                <w:color w:val="000000"/>
                <w:sz w:val="16"/>
                <w:szCs w:val="16"/>
                <w:lang w:val="uk-UA"/>
              </w:rPr>
              <w:t xml:space="preserve">електронного підпису сертифікату відкритого ключа </w:t>
            </w:r>
            <w:proofErr w:type="spellStart"/>
            <w:r w:rsidRPr="00E16672">
              <w:rPr>
                <w:rFonts w:ascii="Times New Roman" w:hAnsi="Times New Roman" w:cs="Times New Roman"/>
                <w:color w:val="000000"/>
                <w:sz w:val="16"/>
                <w:szCs w:val="16"/>
                <w:lang w:val="uk-UA"/>
              </w:rPr>
              <w:t>підписувача</w:t>
            </w:r>
            <w:proofErr w:type="spellEnd"/>
            <w:r w:rsidRPr="00E16672">
              <w:rPr>
                <w:rFonts w:ascii="Times New Roman" w:hAnsi="Times New Roman" w:cs="Times New Roman"/>
                <w:color w:val="000000"/>
                <w:sz w:val="16"/>
                <w:szCs w:val="16"/>
                <w:lang w:val="uk-UA"/>
              </w:rPr>
              <w:t>, який є чинним, та визнання підпису таким, що надає юридичної сили отриманим стороною електронним документам, сформованим з його використанням.</w:t>
            </w:r>
          </w:p>
        </w:tc>
        <w:tc>
          <w:tcPr>
            <w:tcW w:w="5495" w:type="dxa"/>
            <w:gridSpan w:val="8"/>
            <w:shd w:val="clear" w:color="auto" w:fill="auto"/>
          </w:tcPr>
          <w:p w14:paraId="0FF8179E" w14:textId="77777777" w:rsidR="00EB25FE" w:rsidRPr="00E16672" w:rsidRDefault="00EB25FE" w:rsidP="005C5318">
            <w:pPr>
              <w:tabs>
                <w:tab w:val="left" w:pos="287"/>
              </w:tabs>
              <w:snapToGrid w:val="0"/>
              <w:ind w:left="145" w:right="100" w:firstLine="0"/>
              <w:rPr>
                <w:rFonts w:ascii="Times New Roman" w:hAnsi="Times New Roman"/>
                <w:color w:val="000000"/>
                <w:sz w:val="16"/>
                <w:szCs w:val="16"/>
                <w:shd w:val="clear" w:color="auto" w:fill="FFFFFF"/>
                <w:lang w:val="en-GB"/>
              </w:rPr>
            </w:pPr>
            <w:r w:rsidRPr="00E16672">
              <w:rPr>
                <w:rFonts w:ascii="Times New Roman" w:hAnsi="Times New Roman"/>
                <w:color w:val="000000"/>
                <w:sz w:val="16"/>
                <w:szCs w:val="16"/>
                <w:shd w:val="clear" w:color="auto" w:fill="FFFFFF"/>
                <w:lang w:val="uk-UA"/>
              </w:rPr>
              <w:t>1</w:t>
            </w:r>
            <w:r w:rsidR="005C5318" w:rsidRPr="00E16672">
              <w:rPr>
                <w:rFonts w:ascii="Times New Roman" w:hAnsi="Times New Roman"/>
                <w:color w:val="000000"/>
                <w:sz w:val="16"/>
                <w:szCs w:val="16"/>
                <w:shd w:val="clear" w:color="auto" w:fill="FFFFFF"/>
                <w:lang w:val="uk-UA"/>
              </w:rPr>
              <w:t>0</w:t>
            </w:r>
            <w:r w:rsidRPr="00E16672">
              <w:rPr>
                <w:rFonts w:ascii="Times New Roman" w:hAnsi="Times New Roman"/>
                <w:color w:val="000000"/>
                <w:sz w:val="16"/>
                <w:szCs w:val="16"/>
                <w:shd w:val="clear" w:color="auto" w:fill="FFFFFF"/>
                <w:lang w:val="uk-UA"/>
              </w:rPr>
              <w:t xml:space="preserve">.11. </w:t>
            </w:r>
            <w:r w:rsidRPr="00E16672">
              <w:rPr>
                <w:rFonts w:ascii="Times New Roman" w:hAnsi="Times New Roman"/>
                <w:color w:val="000000"/>
                <w:sz w:val="16"/>
                <w:szCs w:val="16"/>
                <w:shd w:val="clear" w:color="auto" w:fill="FFFFFF"/>
                <w:lang w:val="en-GB"/>
              </w:rPr>
              <w:t>The</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recognition</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of</w:t>
            </w:r>
            <w:r w:rsidRPr="00E16672">
              <w:rPr>
                <w:rFonts w:ascii="Times New Roman" w:hAnsi="Times New Roman"/>
                <w:color w:val="000000"/>
                <w:sz w:val="16"/>
                <w:szCs w:val="16"/>
                <w:shd w:val="clear" w:color="auto" w:fill="FFFFFF"/>
                <w:lang w:val="uk-UA"/>
              </w:rPr>
              <w:t xml:space="preserve"> </w:t>
            </w:r>
            <w:r w:rsidRPr="00A26EFC">
              <w:rPr>
                <w:rStyle w:val="shorttext"/>
                <w:rFonts w:ascii="Times New Roman" w:hAnsi="Times New Roman"/>
                <w:sz w:val="16"/>
                <w:szCs w:val="16"/>
                <w:lang w:val="en-US"/>
              </w:rPr>
              <w:t>qualified</w:t>
            </w:r>
            <w:r w:rsidRPr="00E16672">
              <w:rPr>
                <w:rStyle w:val="shorttext"/>
                <w:rFonts w:ascii="Times New Roman" w:hAnsi="Times New Roman"/>
                <w:sz w:val="16"/>
                <w:szCs w:val="16"/>
                <w:lang w:val="uk-UA"/>
              </w:rPr>
              <w:t xml:space="preserve"> </w:t>
            </w:r>
            <w:r w:rsidRPr="00E16672">
              <w:rPr>
                <w:rFonts w:ascii="Times New Roman" w:hAnsi="Times New Roman"/>
                <w:color w:val="000000"/>
                <w:sz w:val="16"/>
                <w:szCs w:val="16"/>
                <w:shd w:val="clear" w:color="auto" w:fill="FFFFFF"/>
                <w:lang w:val="en-GB"/>
              </w:rPr>
              <w:t>electronic</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signature</w:t>
            </w:r>
            <w:r w:rsidRPr="00E16672">
              <w:rPr>
                <w:rFonts w:ascii="Times New Roman" w:hAnsi="Times New Roman"/>
                <w:color w:val="000000"/>
                <w:sz w:val="16"/>
                <w:szCs w:val="16"/>
                <w:shd w:val="clear" w:color="auto" w:fill="FFFFFF"/>
                <w:lang w:val="uk-UA"/>
              </w:rPr>
              <w:t xml:space="preserve"> - </w:t>
            </w:r>
            <w:r w:rsidRPr="00E16672">
              <w:rPr>
                <w:rFonts w:ascii="Times New Roman" w:hAnsi="Times New Roman"/>
                <w:color w:val="000000"/>
                <w:sz w:val="16"/>
                <w:szCs w:val="16"/>
                <w:shd w:val="clear" w:color="auto" w:fill="FFFFFF"/>
                <w:lang w:val="en-GB"/>
              </w:rPr>
              <w:t>determine</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whether</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the</w:t>
            </w:r>
            <w:r w:rsidRPr="00E16672">
              <w:rPr>
                <w:rFonts w:ascii="Times New Roman" w:hAnsi="Times New Roman"/>
                <w:color w:val="000000"/>
                <w:sz w:val="16"/>
                <w:szCs w:val="16"/>
                <w:shd w:val="clear" w:color="auto" w:fill="FFFFFF"/>
                <w:lang w:val="uk-UA"/>
              </w:rPr>
              <w:t xml:space="preserve"> </w:t>
            </w:r>
            <w:r w:rsidRPr="00A26EFC">
              <w:rPr>
                <w:rStyle w:val="shorttext"/>
                <w:rFonts w:ascii="Times New Roman" w:hAnsi="Times New Roman"/>
                <w:sz w:val="16"/>
                <w:szCs w:val="16"/>
                <w:lang w:val="en-US"/>
              </w:rPr>
              <w:t>qualified</w:t>
            </w:r>
            <w:r w:rsidRPr="00E16672">
              <w:rPr>
                <w:rStyle w:val="shorttext"/>
                <w:rFonts w:ascii="Times New Roman" w:hAnsi="Times New Roman"/>
                <w:sz w:val="16"/>
                <w:szCs w:val="16"/>
                <w:lang w:val="uk-UA"/>
              </w:rPr>
              <w:t xml:space="preserve"> </w:t>
            </w:r>
            <w:r w:rsidRPr="00E16672">
              <w:rPr>
                <w:rFonts w:ascii="Times New Roman" w:hAnsi="Times New Roman"/>
                <w:color w:val="000000"/>
                <w:sz w:val="16"/>
                <w:szCs w:val="16"/>
                <w:shd w:val="clear" w:color="auto" w:fill="FFFFFF"/>
                <w:lang w:val="en-GB"/>
              </w:rPr>
              <w:t>electronic</w:t>
            </w:r>
            <w:r w:rsidRPr="00E16672">
              <w:rPr>
                <w:rFonts w:ascii="Times New Roman" w:hAnsi="Times New Roman"/>
                <w:color w:val="000000"/>
                <w:sz w:val="16"/>
                <w:szCs w:val="16"/>
                <w:shd w:val="clear" w:color="auto" w:fill="FFFFFF"/>
                <w:lang w:val="uk-UA"/>
              </w:rPr>
              <w:t xml:space="preserve"> </w:t>
            </w:r>
            <w:r w:rsidRPr="00E16672">
              <w:rPr>
                <w:rFonts w:ascii="Times New Roman" w:hAnsi="Times New Roman"/>
                <w:color w:val="000000"/>
                <w:sz w:val="16"/>
                <w:szCs w:val="16"/>
                <w:shd w:val="clear" w:color="auto" w:fill="FFFFFF"/>
                <w:lang w:val="en-GB"/>
              </w:rPr>
              <w:t>signature certificate signer's public key, which is in force and the recognition signature so that gives legal force side received electronic documents generated from its use.</w:t>
            </w:r>
          </w:p>
        </w:tc>
      </w:tr>
      <w:tr w:rsidR="00EB25FE" w:rsidRPr="00A26EFC" w14:paraId="2503547D" w14:textId="77777777" w:rsidTr="005E418B">
        <w:tblPrEx>
          <w:tblCellMar>
            <w:left w:w="0" w:type="dxa"/>
            <w:right w:w="0" w:type="dxa"/>
          </w:tblCellMar>
        </w:tblPrEx>
        <w:trPr>
          <w:trHeight w:val="192"/>
        </w:trPr>
        <w:tc>
          <w:tcPr>
            <w:tcW w:w="5695" w:type="dxa"/>
            <w:gridSpan w:val="7"/>
            <w:shd w:val="clear" w:color="auto" w:fill="auto"/>
          </w:tcPr>
          <w:p w14:paraId="3C38F1B7" w14:textId="77777777" w:rsidR="00EB25FE" w:rsidRPr="00E16672" w:rsidRDefault="00EB25FE" w:rsidP="00794B3F">
            <w:pPr>
              <w:snapToGrid w:val="0"/>
              <w:ind w:left="175" w:right="138"/>
              <w:rPr>
                <w:rFonts w:ascii="Times New Roman" w:hAnsi="Times New Roman"/>
                <w:b/>
                <w:bCs/>
                <w:sz w:val="16"/>
                <w:szCs w:val="16"/>
                <w:shd w:val="clear" w:color="auto" w:fill="FFFFFF"/>
                <w:lang w:val="en-US"/>
              </w:rPr>
            </w:pPr>
          </w:p>
          <w:p w14:paraId="6F9DD869" w14:textId="77777777" w:rsidR="00EB25FE" w:rsidRPr="00E16672" w:rsidRDefault="00EB25FE" w:rsidP="00794B3F">
            <w:pPr>
              <w:pStyle w:val="33"/>
              <w:tabs>
                <w:tab w:val="left" w:pos="851"/>
              </w:tabs>
              <w:ind w:left="175" w:right="138"/>
              <w:jc w:val="center"/>
              <w:rPr>
                <w:rFonts w:ascii="Times New Roman" w:hAnsi="Times New Roman" w:cs="Times New Roman"/>
                <w:b/>
                <w:sz w:val="16"/>
                <w:szCs w:val="16"/>
                <w:lang w:val="uk-UA"/>
              </w:rPr>
            </w:pPr>
            <w:r w:rsidRPr="00E16672">
              <w:rPr>
                <w:rFonts w:ascii="Times New Roman" w:hAnsi="Times New Roman" w:cs="Times New Roman"/>
                <w:b/>
                <w:sz w:val="16"/>
                <w:szCs w:val="16"/>
                <w:lang w:val="uk-UA"/>
              </w:rPr>
              <w:t>1</w:t>
            </w:r>
            <w:r w:rsidR="005C5318" w:rsidRPr="00E16672">
              <w:rPr>
                <w:rFonts w:ascii="Times New Roman" w:hAnsi="Times New Roman" w:cs="Times New Roman"/>
                <w:b/>
                <w:sz w:val="16"/>
                <w:szCs w:val="16"/>
                <w:lang w:val="uk-UA"/>
              </w:rPr>
              <w:t>1</w:t>
            </w:r>
            <w:r w:rsidRPr="00E16672">
              <w:rPr>
                <w:rFonts w:ascii="Times New Roman" w:hAnsi="Times New Roman" w:cs="Times New Roman"/>
                <w:b/>
                <w:sz w:val="16"/>
                <w:szCs w:val="16"/>
                <w:lang w:val="uk-UA"/>
              </w:rPr>
              <w:t>. ЗАКЛЮЧНІ ПОЛОЖЕННЯ</w:t>
            </w:r>
          </w:p>
          <w:p w14:paraId="158439AB" w14:textId="77777777" w:rsidR="00EB25FE" w:rsidRPr="00E16672" w:rsidRDefault="00EB25FE" w:rsidP="00794B3F">
            <w:pPr>
              <w:tabs>
                <w:tab w:val="left" w:pos="5954"/>
              </w:tabs>
              <w:ind w:left="175" w:right="138"/>
              <w:rPr>
                <w:rFonts w:ascii="Times New Roman" w:hAnsi="Times New Roman"/>
                <w:sz w:val="16"/>
                <w:szCs w:val="16"/>
                <w:lang w:val="uk-UA"/>
              </w:rPr>
            </w:pPr>
          </w:p>
          <w:p w14:paraId="0CA522FA" w14:textId="77777777" w:rsidR="00EB25FE" w:rsidRPr="00E16672" w:rsidRDefault="00EB25FE" w:rsidP="00794B3F">
            <w:pPr>
              <w:tabs>
                <w:tab w:val="left" w:pos="5954"/>
              </w:tabs>
              <w:ind w:left="175" w:right="138"/>
              <w:rPr>
                <w:rFonts w:ascii="Times New Roman" w:hAnsi="Times New Roman"/>
                <w:sz w:val="16"/>
                <w:szCs w:val="16"/>
                <w:lang w:val="uk-UA"/>
              </w:rPr>
            </w:pPr>
            <w:r w:rsidRPr="00E16672">
              <w:rPr>
                <w:rFonts w:ascii="Times New Roman" w:hAnsi="Times New Roman"/>
                <w:sz w:val="16"/>
                <w:szCs w:val="16"/>
                <w:lang w:val="uk-UA"/>
              </w:rPr>
              <w:t>1</w:t>
            </w:r>
            <w:r w:rsidR="005C5318" w:rsidRPr="00E16672">
              <w:rPr>
                <w:rFonts w:ascii="Times New Roman" w:hAnsi="Times New Roman"/>
                <w:sz w:val="16"/>
                <w:szCs w:val="16"/>
                <w:lang w:val="uk-UA"/>
              </w:rPr>
              <w:t>1</w:t>
            </w:r>
            <w:r w:rsidRPr="00E16672">
              <w:rPr>
                <w:rFonts w:ascii="Times New Roman" w:hAnsi="Times New Roman"/>
                <w:sz w:val="16"/>
                <w:szCs w:val="16"/>
                <w:lang w:val="uk-UA"/>
              </w:rPr>
              <w:t>.1. Цей Договір було складено Українською та Англійською мовами (при цьому, договір українською мовою є офіційним, а переклад англійською наданий лише для зручності) у двох примірниках, як</w:t>
            </w:r>
            <w:proofErr w:type="spellStart"/>
            <w:r w:rsidRPr="00E16672">
              <w:rPr>
                <w:rFonts w:ascii="Times New Roman" w:hAnsi="Times New Roman"/>
                <w:sz w:val="16"/>
                <w:szCs w:val="16"/>
                <w:lang w:val="en-US"/>
              </w:rPr>
              <w:t>i</w:t>
            </w:r>
            <w:proofErr w:type="spellEnd"/>
            <w:r w:rsidRPr="00E16672">
              <w:rPr>
                <w:rFonts w:ascii="Times New Roman" w:hAnsi="Times New Roman"/>
                <w:sz w:val="16"/>
                <w:szCs w:val="16"/>
                <w:lang w:val="uk-UA"/>
              </w:rPr>
              <w:t xml:space="preserve"> мають однакову юридичну силу, по одному </w:t>
            </w:r>
            <w:r w:rsidR="00D3308C" w:rsidRPr="00E16672">
              <w:rPr>
                <w:rFonts w:ascii="Times New Roman" w:hAnsi="Times New Roman"/>
                <w:sz w:val="16"/>
                <w:szCs w:val="16"/>
                <w:lang w:val="uk-UA"/>
              </w:rPr>
              <w:t>–</w:t>
            </w:r>
            <w:r w:rsidRPr="00E16672">
              <w:rPr>
                <w:rFonts w:ascii="Times New Roman" w:hAnsi="Times New Roman"/>
                <w:sz w:val="16"/>
                <w:szCs w:val="16"/>
                <w:lang w:val="uk-UA"/>
              </w:rPr>
              <w:t xml:space="preserve"> </w:t>
            </w:r>
            <w:r w:rsidR="00D3308C" w:rsidRPr="00E16672">
              <w:rPr>
                <w:rFonts w:ascii="Times New Roman" w:hAnsi="Times New Roman"/>
                <w:sz w:val="16"/>
                <w:szCs w:val="16"/>
                <w:lang w:val="uk-UA"/>
              </w:rPr>
              <w:t>Номінальному утримувачу</w:t>
            </w:r>
            <w:r w:rsidRPr="00E16672">
              <w:rPr>
                <w:rFonts w:ascii="Times New Roman" w:hAnsi="Times New Roman"/>
                <w:sz w:val="16"/>
                <w:szCs w:val="16"/>
                <w:lang w:val="uk-UA"/>
              </w:rPr>
              <w:t xml:space="preserve"> та Депозитарній установі. </w:t>
            </w:r>
          </w:p>
          <w:p w14:paraId="363B79BB" w14:textId="77777777" w:rsidR="00EB25FE" w:rsidRPr="00E16672" w:rsidRDefault="00EB25FE" w:rsidP="00794B3F">
            <w:pPr>
              <w:tabs>
                <w:tab w:val="left" w:pos="5954"/>
              </w:tabs>
              <w:ind w:left="175" w:right="138"/>
              <w:rPr>
                <w:rFonts w:ascii="Times New Roman" w:hAnsi="Times New Roman"/>
                <w:color w:val="000000"/>
                <w:sz w:val="16"/>
                <w:szCs w:val="20"/>
                <w:lang w:val="uk-UA"/>
              </w:rPr>
            </w:pPr>
            <w:r w:rsidRPr="00E16672">
              <w:rPr>
                <w:rFonts w:ascii="Times New Roman" w:hAnsi="Times New Roman"/>
                <w:sz w:val="16"/>
                <w:szCs w:val="16"/>
                <w:lang w:val="uk-UA"/>
              </w:rPr>
              <w:t>1</w:t>
            </w:r>
            <w:r w:rsidR="005C5318" w:rsidRPr="00E16672">
              <w:rPr>
                <w:rFonts w:ascii="Times New Roman" w:hAnsi="Times New Roman"/>
                <w:sz w:val="16"/>
                <w:szCs w:val="16"/>
                <w:lang w:val="uk-UA"/>
              </w:rPr>
              <w:t>1</w:t>
            </w:r>
            <w:r w:rsidRPr="00E16672">
              <w:rPr>
                <w:rFonts w:ascii="Times New Roman" w:hAnsi="Times New Roman"/>
                <w:sz w:val="16"/>
                <w:szCs w:val="16"/>
                <w:lang w:val="uk-UA"/>
              </w:rPr>
              <w:t xml:space="preserve">.2. </w:t>
            </w:r>
            <w:r w:rsidRPr="00E16672">
              <w:rPr>
                <w:rFonts w:ascii="Times New Roman" w:hAnsi="Times New Roman"/>
                <w:color w:val="000000"/>
                <w:sz w:val="16"/>
                <w:szCs w:val="20"/>
                <w:lang w:val="uk-UA"/>
              </w:rPr>
              <w:t xml:space="preserve">Підписуючи цей Договір, </w:t>
            </w:r>
            <w:r w:rsidR="00D3308C" w:rsidRPr="00E16672">
              <w:rPr>
                <w:rFonts w:ascii="Times New Roman" w:hAnsi="Times New Roman"/>
                <w:color w:val="000000"/>
                <w:sz w:val="16"/>
                <w:szCs w:val="20"/>
                <w:lang w:val="uk-UA"/>
              </w:rPr>
              <w:t>Номінальний утримувач</w:t>
            </w:r>
            <w:r w:rsidRPr="00E16672">
              <w:rPr>
                <w:rFonts w:ascii="Times New Roman" w:hAnsi="Times New Roman"/>
                <w:color w:val="000000"/>
                <w:sz w:val="16"/>
                <w:szCs w:val="20"/>
                <w:lang w:val="uk-UA"/>
              </w:rPr>
              <w:t xml:space="preserve"> засвідчує, що він ознайомлений з внутрішніми документами Депозитарної установи, що регламентують провадження депозитарної діяльності, та тарифами Депозитарної установи.</w:t>
            </w:r>
          </w:p>
          <w:p w14:paraId="22B9DB85" w14:textId="77777777" w:rsidR="00EB25FE" w:rsidRPr="00E16672" w:rsidRDefault="00EB25FE" w:rsidP="00794B3F">
            <w:pPr>
              <w:tabs>
                <w:tab w:val="left" w:pos="5954"/>
              </w:tabs>
              <w:ind w:left="175" w:right="138"/>
              <w:rPr>
                <w:rFonts w:ascii="Times New Roman" w:hAnsi="Times New Roman"/>
                <w:sz w:val="16"/>
                <w:szCs w:val="16"/>
                <w:lang w:val="uk-UA"/>
              </w:rPr>
            </w:pPr>
          </w:p>
        </w:tc>
        <w:tc>
          <w:tcPr>
            <w:tcW w:w="5495" w:type="dxa"/>
            <w:gridSpan w:val="8"/>
            <w:shd w:val="clear" w:color="auto" w:fill="auto"/>
          </w:tcPr>
          <w:p w14:paraId="4F2735F6" w14:textId="77777777" w:rsidR="00EB25FE" w:rsidRPr="00E16672" w:rsidRDefault="00EB25FE" w:rsidP="00794B3F">
            <w:pPr>
              <w:tabs>
                <w:tab w:val="left" w:pos="287"/>
              </w:tabs>
              <w:snapToGrid w:val="0"/>
              <w:ind w:left="145" w:right="100"/>
              <w:jc w:val="center"/>
              <w:rPr>
                <w:rFonts w:ascii="Times New Roman" w:hAnsi="Times New Roman"/>
                <w:b/>
                <w:sz w:val="16"/>
                <w:szCs w:val="16"/>
                <w:lang w:val="uk-UA"/>
              </w:rPr>
            </w:pPr>
          </w:p>
          <w:p w14:paraId="2E4E047F" w14:textId="77777777" w:rsidR="00EB25FE" w:rsidRPr="00E16672" w:rsidRDefault="00EB25FE" w:rsidP="00794B3F">
            <w:pPr>
              <w:tabs>
                <w:tab w:val="left" w:pos="287"/>
              </w:tabs>
              <w:snapToGrid w:val="0"/>
              <w:ind w:left="145" w:right="100"/>
              <w:jc w:val="center"/>
              <w:rPr>
                <w:rFonts w:ascii="Times New Roman" w:hAnsi="Times New Roman"/>
                <w:b/>
                <w:sz w:val="16"/>
                <w:szCs w:val="16"/>
                <w:lang w:val="en-GB"/>
              </w:rPr>
            </w:pPr>
            <w:r w:rsidRPr="00E16672">
              <w:rPr>
                <w:rFonts w:ascii="Times New Roman" w:hAnsi="Times New Roman"/>
                <w:b/>
                <w:sz w:val="16"/>
                <w:szCs w:val="16"/>
                <w:lang w:val="uk-UA"/>
              </w:rPr>
              <w:t>1</w:t>
            </w:r>
            <w:r w:rsidR="005C5318" w:rsidRPr="00E16672">
              <w:rPr>
                <w:rFonts w:ascii="Times New Roman" w:hAnsi="Times New Roman"/>
                <w:b/>
                <w:sz w:val="16"/>
                <w:szCs w:val="16"/>
                <w:lang w:val="uk-UA"/>
              </w:rPr>
              <w:t>1</w:t>
            </w:r>
            <w:r w:rsidRPr="00E16672">
              <w:rPr>
                <w:rFonts w:ascii="Times New Roman" w:hAnsi="Times New Roman"/>
                <w:b/>
                <w:sz w:val="16"/>
                <w:szCs w:val="16"/>
                <w:lang w:val="en-GB"/>
              </w:rPr>
              <w:t>. FINAL PROVISIONS</w:t>
            </w:r>
          </w:p>
          <w:p w14:paraId="020F45B8" w14:textId="77777777" w:rsidR="00EB25FE" w:rsidRPr="00E16672" w:rsidRDefault="00EB25FE" w:rsidP="00794B3F">
            <w:pPr>
              <w:tabs>
                <w:tab w:val="left" w:pos="287"/>
              </w:tabs>
              <w:snapToGrid w:val="0"/>
              <w:ind w:left="145" w:right="100"/>
              <w:rPr>
                <w:rFonts w:ascii="Times New Roman" w:hAnsi="Times New Roman"/>
                <w:sz w:val="16"/>
                <w:szCs w:val="16"/>
                <w:lang w:val="en-GB"/>
              </w:rPr>
            </w:pPr>
          </w:p>
          <w:p w14:paraId="1EF2658F" w14:textId="77777777" w:rsidR="00EB25FE" w:rsidRPr="00E16672" w:rsidRDefault="00EB25FE" w:rsidP="00794B3F">
            <w:pPr>
              <w:tabs>
                <w:tab w:val="left" w:pos="287"/>
              </w:tabs>
              <w:snapToGrid w:val="0"/>
              <w:ind w:left="145" w:right="100"/>
              <w:rPr>
                <w:rFonts w:ascii="Times New Roman" w:hAnsi="Times New Roman"/>
                <w:sz w:val="16"/>
                <w:szCs w:val="16"/>
                <w:lang w:val="en-GB"/>
              </w:rPr>
            </w:pPr>
            <w:r w:rsidRPr="00E16672">
              <w:rPr>
                <w:rFonts w:ascii="Times New Roman" w:hAnsi="Times New Roman"/>
                <w:sz w:val="16"/>
                <w:szCs w:val="16"/>
                <w:lang w:val="en-US"/>
              </w:rPr>
              <w:t>1</w:t>
            </w:r>
            <w:r w:rsidR="005C5318" w:rsidRPr="00E16672">
              <w:rPr>
                <w:rFonts w:ascii="Times New Roman" w:hAnsi="Times New Roman"/>
                <w:sz w:val="16"/>
                <w:szCs w:val="16"/>
                <w:lang w:val="uk-UA"/>
              </w:rPr>
              <w:t>1</w:t>
            </w:r>
            <w:r w:rsidRPr="00E16672">
              <w:rPr>
                <w:rFonts w:ascii="Times New Roman" w:hAnsi="Times New Roman"/>
                <w:sz w:val="16"/>
                <w:szCs w:val="16"/>
                <w:lang w:val="en-US"/>
              </w:rPr>
              <w:t>.1. This Agreement has been made in Ukrainian and English language (</w:t>
            </w:r>
            <w:r w:rsidRPr="00A26EFC">
              <w:rPr>
                <w:rFonts w:ascii="Times New Roman" w:hAnsi="Times New Roman"/>
                <w:sz w:val="16"/>
                <w:szCs w:val="16"/>
                <w:lang w:val="en-US"/>
              </w:rPr>
              <w:t xml:space="preserve">thus, the </w:t>
            </w:r>
            <w:r w:rsidRPr="00E16672">
              <w:rPr>
                <w:rFonts w:ascii="Times New Roman" w:hAnsi="Times New Roman"/>
                <w:sz w:val="16"/>
                <w:szCs w:val="16"/>
                <w:lang w:val="en-US"/>
              </w:rPr>
              <w:t xml:space="preserve">Agreement in </w:t>
            </w:r>
            <w:r w:rsidRPr="00A26EFC">
              <w:rPr>
                <w:rFonts w:ascii="Times New Roman" w:hAnsi="Times New Roman"/>
                <w:sz w:val="16"/>
                <w:szCs w:val="16"/>
                <w:lang w:val="en-US"/>
              </w:rPr>
              <w:t>Ukrainian language</w:t>
            </w:r>
            <w:r w:rsidRPr="00E16672">
              <w:rPr>
                <w:rFonts w:ascii="Times New Roman" w:hAnsi="Times New Roman"/>
                <w:sz w:val="16"/>
                <w:szCs w:val="16"/>
                <w:lang w:val="en-US"/>
              </w:rPr>
              <w:t xml:space="preserve"> </w:t>
            </w:r>
            <w:r w:rsidRPr="00A26EFC">
              <w:rPr>
                <w:rFonts w:ascii="Times New Roman" w:hAnsi="Times New Roman"/>
                <w:sz w:val="16"/>
                <w:szCs w:val="16"/>
                <w:lang w:val="en-US"/>
              </w:rPr>
              <w:t>is the official and English translation provided for convenience only</w:t>
            </w:r>
            <w:r w:rsidRPr="00E16672">
              <w:rPr>
                <w:rFonts w:ascii="Times New Roman" w:hAnsi="Times New Roman"/>
                <w:sz w:val="16"/>
                <w:szCs w:val="16"/>
                <w:lang w:val="en-US"/>
              </w:rPr>
              <w:t xml:space="preserve">) in two </w:t>
            </w:r>
            <w:r w:rsidRPr="00E16672">
              <w:rPr>
                <w:rFonts w:ascii="Times New Roman" w:hAnsi="Times New Roman"/>
                <w:sz w:val="16"/>
                <w:szCs w:val="16"/>
                <w:lang w:val="en-GB"/>
              </w:rPr>
              <w:t xml:space="preserve">in </w:t>
            </w:r>
            <w:r w:rsidRPr="00E16672">
              <w:rPr>
                <w:rFonts w:ascii="Times New Roman" w:hAnsi="Times New Roman"/>
                <w:sz w:val="16"/>
                <w:szCs w:val="16"/>
                <w:lang w:val="en-US"/>
              </w:rPr>
              <w:t xml:space="preserve">specimens, which have equal legal force, one copy for </w:t>
            </w:r>
            <w:r w:rsidR="00D3308C" w:rsidRPr="00E16672">
              <w:rPr>
                <w:rFonts w:ascii="Times New Roman" w:hAnsi="Times New Roman"/>
                <w:sz w:val="16"/>
                <w:szCs w:val="16"/>
                <w:lang w:val="en-US"/>
              </w:rPr>
              <w:t>Nominee holder</w:t>
            </w:r>
            <w:r w:rsidRPr="00E16672">
              <w:rPr>
                <w:rFonts w:ascii="Times New Roman" w:hAnsi="Times New Roman"/>
                <w:sz w:val="16"/>
                <w:szCs w:val="16"/>
                <w:lang w:val="en-US"/>
              </w:rPr>
              <w:t>, a</w:t>
            </w:r>
            <w:proofErr w:type="spellStart"/>
            <w:r w:rsidRPr="00E16672">
              <w:rPr>
                <w:rFonts w:ascii="Times New Roman" w:hAnsi="Times New Roman"/>
                <w:sz w:val="16"/>
                <w:szCs w:val="16"/>
                <w:lang w:val="en-GB"/>
              </w:rPr>
              <w:t>nd</w:t>
            </w:r>
            <w:proofErr w:type="spellEnd"/>
            <w:r w:rsidRPr="00E16672">
              <w:rPr>
                <w:rFonts w:ascii="Times New Roman" w:hAnsi="Times New Roman"/>
                <w:sz w:val="16"/>
                <w:szCs w:val="16"/>
                <w:lang w:val="en-GB"/>
              </w:rPr>
              <w:t xml:space="preserve"> another one for </w:t>
            </w:r>
            <w:r w:rsidRPr="00E16672">
              <w:rPr>
                <w:rFonts w:ascii="Times New Roman" w:hAnsi="Times New Roman"/>
                <w:sz w:val="16"/>
                <w:szCs w:val="16"/>
                <w:lang w:val="en-US"/>
              </w:rPr>
              <w:t>Depository institution</w:t>
            </w:r>
            <w:r w:rsidRPr="00E16672">
              <w:rPr>
                <w:rFonts w:ascii="Times New Roman" w:hAnsi="Times New Roman"/>
                <w:sz w:val="16"/>
                <w:szCs w:val="16"/>
                <w:lang w:val="en-GB"/>
              </w:rPr>
              <w:t xml:space="preserve">. </w:t>
            </w:r>
          </w:p>
          <w:p w14:paraId="542EDDE4" w14:textId="77777777" w:rsidR="00EB25FE" w:rsidRPr="00E16672" w:rsidRDefault="00EB25FE" w:rsidP="005C5318">
            <w:pPr>
              <w:tabs>
                <w:tab w:val="left" w:pos="287"/>
              </w:tabs>
              <w:ind w:left="145" w:right="100"/>
              <w:rPr>
                <w:rFonts w:ascii="Times New Roman" w:hAnsi="Times New Roman"/>
                <w:b/>
                <w:bCs/>
                <w:sz w:val="16"/>
                <w:szCs w:val="16"/>
                <w:lang w:val="en-GB"/>
              </w:rPr>
            </w:pPr>
            <w:r w:rsidRPr="00E16672">
              <w:rPr>
                <w:rFonts w:ascii="Times New Roman" w:hAnsi="Times New Roman"/>
                <w:bCs/>
                <w:sz w:val="16"/>
                <w:szCs w:val="16"/>
                <w:lang w:val="en-GB"/>
              </w:rPr>
              <w:t>1</w:t>
            </w:r>
            <w:r w:rsidR="005C5318" w:rsidRPr="00E16672">
              <w:rPr>
                <w:rFonts w:ascii="Times New Roman" w:hAnsi="Times New Roman"/>
                <w:bCs/>
                <w:sz w:val="16"/>
                <w:szCs w:val="16"/>
                <w:lang w:val="uk-UA"/>
              </w:rPr>
              <w:t>1</w:t>
            </w:r>
            <w:r w:rsidRPr="00E16672">
              <w:rPr>
                <w:rFonts w:ascii="Times New Roman" w:hAnsi="Times New Roman"/>
                <w:bCs/>
                <w:sz w:val="16"/>
                <w:szCs w:val="16"/>
                <w:lang w:val="en-GB"/>
              </w:rPr>
              <w:t>.2.</w:t>
            </w:r>
            <w:r w:rsidRPr="00E16672">
              <w:rPr>
                <w:rFonts w:ascii="Times New Roman" w:hAnsi="Times New Roman"/>
                <w:b/>
                <w:bCs/>
                <w:sz w:val="16"/>
                <w:szCs w:val="16"/>
                <w:lang w:val="en-GB"/>
              </w:rPr>
              <w:t xml:space="preserve"> </w:t>
            </w:r>
            <w:r w:rsidRPr="00A26EFC">
              <w:rPr>
                <w:rFonts w:ascii="Times New Roman" w:hAnsi="Times New Roman"/>
                <w:sz w:val="16"/>
                <w:szCs w:val="16"/>
                <w:lang w:val="en-US"/>
              </w:rPr>
              <w:t xml:space="preserve">By signing this Agreement, the </w:t>
            </w:r>
            <w:r w:rsidR="00D3308C" w:rsidRPr="00E16672">
              <w:rPr>
                <w:rFonts w:ascii="Times New Roman" w:hAnsi="Times New Roman"/>
                <w:sz w:val="16"/>
                <w:szCs w:val="16"/>
                <w:lang w:val="en-US"/>
              </w:rPr>
              <w:t>Nominee holder</w:t>
            </w:r>
            <w:r w:rsidR="00D3308C" w:rsidRPr="00A26EFC">
              <w:rPr>
                <w:rFonts w:ascii="Times New Roman" w:hAnsi="Times New Roman"/>
                <w:sz w:val="16"/>
                <w:szCs w:val="16"/>
                <w:lang w:val="en-US"/>
              </w:rPr>
              <w:t xml:space="preserve"> </w:t>
            </w:r>
            <w:r w:rsidRPr="00A26EFC">
              <w:rPr>
                <w:rFonts w:ascii="Times New Roman" w:hAnsi="Times New Roman"/>
                <w:sz w:val="16"/>
                <w:szCs w:val="16"/>
                <w:lang w:val="en-US"/>
              </w:rPr>
              <w:t>certifies that he is familiar with the internal documents of the Depository, regulating the conduct of depositary activity, and the fees of the Depository.</w:t>
            </w:r>
            <w:r w:rsidRPr="00E16672">
              <w:rPr>
                <w:rFonts w:ascii="Times New Roman" w:hAnsi="Times New Roman"/>
                <w:b/>
                <w:bCs/>
                <w:sz w:val="16"/>
                <w:szCs w:val="16"/>
                <w:lang w:val="en-GB"/>
              </w:rPr>
              <w:t xml:space="preserve"> </w:t>
            </w:r>
          </w:p>
        </w:tc>
      </w:tr>
      <w:tr w:rsidR="00EB25FE" w:rsidRPr="00E16672" w14:paraId="1A5312E2" w14:textId="77777777" w:rsidTr="005E418B">
        <w:tblPrEx>
          <w:tblCellMar>
            <w:left w:w="0" w:type="dxa"/>
            <w:right w:w="0" w:type="dxa"/>
          </w:tblCellMar>
        </w:tblPrEx>
        <w:tc>
          <w:tcPr>
            <w:tcW w:w="5245" w:type="dxa"/>
            <w:gridSpan w:val="4"/>
            <w:shd w:val="clear" w:color="auto" w:fill="auto"/>
          </w:tcPr>
          <w:p w14:paraId="0BCCFF07" w14:textId="77777777" w:rsidR="00EB25FE" w:rsidRPr="00E16672" w:rsidRDefault="00EB25FE" w:rsidP="00794B3F">
            <w:pPr>
              <w:pStyle w:val="1e"/>
              <w:snapToGrid w:val="0"/>
              <w:jc w:val="center"/>
              <w:rPr>
                <w:rFonts w:ascii="Times New Roman" w:hAnsi="Times New Roman"/>
                <w:caps/>
                <w:sz w:val="16"/>
                <w:szCs w:val="16"/>
                <w:lang w:val="uk-UA"/>
              </w:rPr>
            </w:pPr>
            <w:r w:rsidRPr="00E16672">
              <w:rPr>
                <w:rFonts w:ascii="Times New Roman" w:hAnsi="Times New Roman"/>
                <w:caps/>
                <w:sz w:val="16"/>
                <w:szCs w:val="16"/>
                <w:lang w:val="uk-UA"/>
              </w:rPr>
              <w:t>1</w:t>
            </w:r>
            <w:r w:rsidR="005C5318" w:rsidRPr="00E16672">
              <w:rPr>
                <w:rFonts w:ascii="Times New Roman" w:hAnsi="Times New Roman"/>
                <w:caps/>
                <w:sz w:val="16"/>
                <w:szCs w:val="16"/>
                <w:lang w:val="uk-UA"/>
              </w:rPr>
              <w:t>2</w:t>
            </w:r>
            <w:r w:rsidRPr="00E16672">
              <w:rPr>
                <w:rFonts w:ascii="Times New Roman" w:hAnsi="Times New Roman"/>
                <w:caps/>
                <w:sz w:val="16"/>
                <w:szCs w:val="16"/>
                <w:lang w:val="uk-UA"/>
              </w:rPr>
              <w:t>. Реквізити Сторін</w:t>
            </w:r>
          </w:p>
          <w:p w14:paraId="52606B2F" w14:textId="77777777" w:rsidR="00EB25FE" w:rsidRPr="00E16672" w:rsidRDefault="00EB25FE" w:rsidP="00794B3F">
            <w:pPr>
              <w:snapToGrid w:val="0"/>
              <w:ind w:left="57" w:right="57"/>
              <w:jc w:val="center"/>
              <w:rPr>
                <w:rFonts w:ascii="Times New Roman" w:hAnsi="Times New Roman"/>
                <w:b/>
                <w:sz w:val="16"/>
                <w:szCs w:val="16"/>
              </w:rPr>
            </w:pPr>
          </w:p>
        </w:tc>
        <w:tc>
          <w:tcPr>
            <w:tcW w:w="5945" w:type="dxa"/>
            <w:gridSpan w:val="11"/>
            <w:shd w:val="clear" w:color="auto" w:fill="auto"/>
          </w:tcPr>
          <w:p w14:paraId="57FCDA64" w14:textId="77777777" w:rsidR="00EB25FE" w:rsidRPr="00E16672" w:rsidRDefault="00EB25FE" w:rsidP="005C5318">
            <w:pPr>
              <w:snapToGrid w:val="0"/>
              <w:ind w:left="57" w:right="57"/>
              <w:jc w:val="center"/>
              <w:rPr>
                <w:rFonts w:ascii="Times New Roman" w:hAnsi="Times New Roman"/>
                <w:b/>
                <w:caps/>
                <w:sz w:val="16"/>
                <w:szCs w:val="16"/>
              </w:rPr>
            </w:pPr>
            <w:r w:rsidRPr="00E16672">
              <w:rPr>
                <w:rFonts w:ascii="Times New Roman" w:hAnsi="Times New Roman"/>
                <w:b/>
                <w:caps/>
                <w:sz w:val="16"/>
                <w:szCs w:val="16"/>
              </w:rPr>
              <w:t>1</w:t>
            </w:r>
            <w:r w:rsidR="005C5318" w:rsidRPr="00E16672">
              <w:rPr>
                <w:rFonts w:ascii="Times New Roman" w:hAnsi="Times New Roman"/>
                <w:b/>
                <w:caps/>
                <w:sz w:val="16"/>
                <w:szCs w:val="16"/>
                <w:lang w:val="uk-UA"/>
              </w:rPr>
              <w:t>2</w:t>
            </w:r>
            <w:r w:rsidRPr="00E16672">
              <w:rPr>
                <w:rFonts w:ascii="Times New Roman" w:hAnsi="Times New Roman"/>
                <w:b/>
                <w:caps/>
                <w:sz w:val="16"/>
                <w:szCs w:val="16"/>
              </w:rPr>
              <w:t>. DETAILS OF THE PARTIES</w:t>
            </w:r>
          </w:p>
        </w:tc>
      </w:tr>
      <w:tr w:rsidR="00EB25FE" w:rsidRPr="00A26EFC" w14:paraId="4F3FC970" w14:textId="77777777" w:rsidTr="005E418B">
        <w:tblPrEx>
          <w:tblCellMar>
            <w:left w:w="0" w:type="dxa"/>
            <w:right w:w="0" w:type="dxa"/>
          </w:tblCellMar>
        </w:tblPrEx>
        <w:tc>
          <w:tcPr>
            <w:tcW w:w="5245" w:type="dxa"/>
            <w:gridSpan w:val="4"/>
            <w:shd w:val="clear" w:color="auto" w:fill="auto"/>
          </w:tcPr>
          <w:p w14:paraId="000838CE" w14:textId="3379D407" w:rsidR="00EB25FE" w:rsidRPr="00E16672" w:rsidRDefault="00D3308C" w:rsidP="001456E9">
            <w:pPr>
              <w:snapToGrid w:val="0"/>
              <w:ind w:right="57" w:firstLine="0"/>
              <w:jc w:val="center"/>
              <w:rPr>
                <w:rFonts w:ascii="Times New Roman" w:hAnsi="Times New Roman"/>
                <w:b/>
                <w:bCs/>
                <w:sz w:val="16"/>
                <w:szCs w:val="16"/>
                <w:u w:val="single"/>
              </w:rPr>
            </w:pPr>
            <w:r w:rsidRPr="00E16672">
              <w:rPr>
                <w:rFonts w:ascii="Times New Roman" w:hAnsi="Times New Roman"/>
                <w:b/>
                <w:iCs/>
                <w:color w:val="000000"/>
                <w:sz w:val="16"/>
                <w:szCs w:val="16"/>
                <w:lang w:val="uk-UA"/>
              </w:rPr>
              <w:t>Номінальний утримувач</w:t>
            </w:r>
            <w:r w:rsidR="00EB25FE" w:rsidRPr="004C6478">
              <w:rPr>
                <w:rFonts w:ascii="Times New Roman" w:hAnsi="Times New Roman"/>
                <w:b/>
                <w:bCs/>
                <w:sz w:val="16"/>
                <w:szCs w:val="16"/>
              </w:rPr>
              <w:t>:</w:t>
            </w:r>
          </w:p>
        </w:tc>
        <w:tc>
          <w:tcPr>
            <w:tcW w:w="5945" w:type="dxa"/>
            <w:gridSpan w:val="11"/>
            <w:shd w:val="clear" w:color="auto" w:fill="auto"/>
          </w:tcPr>
          <w:p w14:paraId="5677DC00" w14:textId="70AA3E65" w:rsidR="00EB25FE" w:rsidRPr="00A14588" w:rsidRDefault="00D3308C" w:rsidP="00794B3F">
            <w:pPr>
              <w:snapToGrid w:val="0"/>
              <w:ind w:right="57"/>
              <w:jc w:val="center"/>
              <w:rPr>
                <w:rFonts w:ascii="Times New Roman" w:hAnsi="Times New Roman"/>
                <w:b/>
                <w:bCs/>
                <w:sz w:val="16"/>
                <w:szCs w:val="16"/>
                <w:u w:val="single"/>
                <w:lang w:val="uk-UA"/>
              </w:rPr>
            </w:pPr>
            <w:r w:rsidRPr="00E16672">
              <w:rPr>
                <w:rFonts w:ascii="Times New Roman" w:hAnsi="Times New Roman"/>
                <w:b/>
                <w:sz w:val="16"/>
                <w:szCs w:val="16"/>
                <w:lang w:val="en-US"/>
              </w:rPr>
              <w:t>Nominee holder</w:t>
            </w:r>
            <w:r w:rsidR="00A14588">
              <w:rPr>
                <w:rFonts w:ascii="Times New Roman" w:hAnsi="Times New Roman"/>
                <w:b/>
                <w:bCs/>
                <w:sz w:val="16"/>
                <w:szCs w:val="16"/>
                <w:lang w:val="uk-UA"/>
              </w:rPr>
              <w:t>:</w:t>
            </w:r>
          </w:p>
        </w:tc>
      </w:tr>
      <w:tr w:rsidR="00EB25FE" w:rsidRPr="00A26EFC" w14:paraId="6316A2A0" w14:textId="77777777" w:rsidTr="005E418B">
        <w:tblPrEx>
          <w:tblCellMar>
            <w:left w:w="0" w:type="dxa"/>
            <w:right w:w="0" w:type="dxa"/>
          </w:tblCellMar>
        </w:tblPrEx>
        <w:tc>
          <w:tcPr>
            <w:tcW w:w="1740" w:type="dxa"/>
            <w:gridSpan w:val="2"/>
            <w:shd w:val="clear" w:color="auto" w:fill="auto"/>
          </w:tcPr>
          <w:p w14:paraId="5D1FA235" w14:textId="37FC87AF" w:rsidR="00EB25FE" w:rsidRPr="00E16672" w:rsidRDefault="00EB25FE" w:rsidP="00794B3F">
            <w:pPr>
              <w:pStyle w:val="4"/>
              <w:keepNext w:val="0"/>
              <w:tabs>
                <w:tab w:val="left" w:pos="57"/>
              </w:tabs>
              <w:snapToGrid w:val="0"/>
              <w:ind w:left="57" w:right="57" w:firstLine="0"/>
              <w:jc w:val="left"/>
              <w:rPr>
                <w:rFonts w:ascii="Times New Roman" w:hAnsi="Times New Roman"/>
                <w:b w:val="0"/>
                <w:iCs/>
                <w:sz w:val="16"/>
                <w:szCs w:val="16"/>
              </w:rPr>
            </w:pPr>
            <w:r w:rsidRPr="00E16672">
              <w:rPr>
                <w:rFonts w:ascii="Times New Roman" w:hAnsi="Times New Roman"/>
                <w:b w:val="0"/>
                <w:color w:val="000000"/>
                <w:sz w:val="16"/>
                <w:szCs w:val="18"/>
              </w:rPr>
              <w:t>Повне найменування</w:t>
            </w:r>
            <w:r w:rsidRPr="00E16672">
              <w:rPr>
                <w:rFonts w:ascii="Times New Roman" w:hAnsi="Times New Roman"/>
                <w:b w:val="0"/>
                <w:color w:val="000000"/>
                <w:sz w:val="16"/>
                <w:szCs w:val="16"/>
                <w:lang w:val="ru-RU"/>
              </w:rPr>
              <w:t>:</w:t>
            </w:r>
          </w:p>
        </w:tc>
        <w:tc>
          <w:tcPr>
            <w:tcW w:w="3522" w:type="dxa"/>
            <w:gridSpan w:val="3"/>
            <w:shd w:val="clear" w:color="auto" w:fill="auto"/>
          </w:tcPr>
          <w:p w14:paraId="219EA0E6" w14:textId="77777777" w:rsidR="00EB25FE" w:rsidRPr="00E16672" w:rsidRDefault="00EB25FE" w:rsidP="00794B3F">
            <w:pPr>
              <w:pStyle w:val="4"/>
              <w:keepNext w:val="0"/>
              <w:tabs>
                <w:tab w:val="left" w:pos="1475"/>
              </w:tabs>
              <w:snapToGrid w:val="0"/>
              <w:ind w:left="57" w:right="57" w:firstLine="0"/>
              <w:jc w:val="left"/>
              <w:rPr>
                <w:rFonts w:ascii="Times New Roman" w:hAnsi="Times New Roman"/>
                <w:i/>
                <w:iCs/>
                <w:sz w:val="16"/>
                <w:szCs w:val="16"/>
              </w:rPr>
            </w:pPr>
          </w:p>
        </w:tc>
        <w:tc>
          <w:tcPr>
            <w:tcW w:w="2249" w:type="dxa"/>
            <w:gridSpan w:val="6"/>
            <w:shd w:val="clear" w:color="auto" w:fill="auto"/>
          </w:tcPr>
          <w:p w14:paraId="5D8F62A2" w14:textId="6DEE15B8" w:rsidR="00EB25FE" w:rsidRPr="00E16672" w:rsidRDefault="00EB25FE" w:rsidP="00794B3F">
            <w:pPr>
              <w:pStyle w:val="4"/>
              <w:keepNext w:val="0"/>
              <w:tabs>
                <w:tab w:val="left" w:pos="298"/>
              </w:tabs>
              <w:snapToGrid w:val="0"/>
              <w:ind w:left="156" w:right="57" w:firstLine="0"/>
              <w:jc w:val="left"/>
              <w:rPr>
                <w:rFonts w:ascii="Times New Roman" w:hAnsi="Times New Roman"/>
                <w:b w:val="0"/>
                <w:iCs/>
                <w:sz w:val="16"/>
                <w:szCs w:val="16"/>
              </w:rPr>
            </w:pPr>
            <w:r w:rsidRPr="00E16672">
              <w:rPr>
                <w:rFonts w:ascii="Times New Roman" w:hAnsi="Times New Roman"/>
                <w:b w:val="0"/>
                <w:iCs/>
                <w:sz w:val="16"/>
                <w:szCs w:val="16"/>
                <w:lang w:val="en-US"/>
              </w:rPr>
              <w:t>Full name</w:t>
            </w:r>
            <w:r w:rsidRPr="00E16672">
              <w:rPr>
                <w:rFonts w:ascii="Times New Roman" w:hAnsi="Times New Roman"/>
                <w:b w:val="0"/>
                <w:iCs/>
                <w:sz w:val="16"/>
                <w:szCs w:val="16"/>
              </w:rPr>
              <w:t>:</w:t>
            </w:r>
          </w:p>
        </w:tc>
        <w:tc>
          <w:tcPr>
            <w:tcW w:w="3313" w:type="dxa"/>
            <w:gridSpan w:val="2"/>
            <w:shd w:val="clear" w:color="auto" w:fill="auto"/>
          </w:tcPr>
          <w:p w14:paraId="60C7BAD7" w14:textId="77777777" w:rsidR="00EB25FE" w:rsidRPr="00E16672" w:rsidRDefault="00EB25FE" w:rsidP="00794B3F">
            <w:pPr>
              <w:pStyle w:val="4"/>
              <w:keepNext w:val="0"/>
              <w:tabs>
                <w:tab w:val="left" w:pos="1475"/>
              </w:tabs>
              <w:snapToGrid w:val="0"/>
              <w:ind w:left="57" w:right="57" w:firstLine="0"/>
              <w:jc w:val="left"/>
              <w:rPr>
                <w:rFonts w:ascii="Times New Roman" w:hAnsi="Times New Roman"/>
                <w:i/>
                <w:iCs/>
                <w:sz w:val="16"/>
                <w:szCs w:val="16"/>
              </w:rPr>
            </w:pPr>
          </w:p>
        </w:tc>
        <w:tc>
          <w:tcPr>
            <w:tcW w:w="366" w:type="dxa"/>
            <w:gridSpan w:val="2"/>
            <w:shd w:val="clear" w:color="auto" w:fill="auto"/>
          </w:tcPr>
          <w:p w14:paraId="6957A9B6" w14:textId="77777777" w:rsidR="00EB25FE" w:rsidRPr="00E16672" w:rsidRDefault="00EB25FE" w:rsidP="00794B3F">
            <w:pPr>
              <w:snapToGrid w:val="0"/>
              <w:rPr>
                <w:rFonts w:ascii="Times New Roman" w:hAnsi="Times New Roman"/>
                <w:lang w:val="en-US"/>
              </w:rPr>
            </w:pPr>
          </w:p>
        </w:tc>
      </w:tr>
      <w:tr w:rsidR="00EB25FE" w:rsidRPr="00A26EFC" w14:paraId="5BBBA18A" w14:textId="77777777" w:rsidTr="005E418B">
        <w:tblPrEx>
          <w:tblCellMar>
            <w:left w:w="0" w:type="dxa"/>
            <w:right w:w="0" w:type="dxa"/>
          </w:tblCellMar>
        </w:tblPrEx>
        <w:tc>
          <w:tcPr>
            <w:tcW w:w="1740" w:type="dxa"/>
            <w:gridSpan w:val="2"/>
            <w:shd w:val="clear" w:color="auto" w:fill="auto"/>
          </w:tcPr>
          <w:p w14:paraId="7669C976" w14:textId="77777777" w:rsidR="00EB25FE" w:rsidRPr="00E16672" w:rsidRDefault="00EB25FE" w:rsidP="00794B3F">
            <w:pPr>
              <w:pStyle w:val="4"/>
              <w:keepNext w:val="0"/>
              <w:tabs>
                <w:tab w:val="left" w:pos="57"/>
              </w:tabs>
              <w:snapToGrid w:val="0"/>
              <w:ind w:left="57" w:right="57" w:hanging="14"/>
              <w:jc w:val="left"/>
              <w:rPr>
                <w:rFonts w:ascii="Times New Roman" w:hAnsi="Times New Roman"/>
                <w:lang w:val="en-US"/>
              </w:rPr>
            </w:pPr>
          </w:p>
        </w:tc>
        <w:tc>
          <w:tcPr>
            <w:tcW w:w="3522" w:type="dxa"/>
            <w:gridSpan w:val="3"/>
            <w:shd w:val="clear" w:color="auto" w:fill="auto"/>
          </w:tcPr>
          <w:p w14:paraId="53629EF0" w14:textId="77777777" w:rsidR="00EB25FE" w:rsidRPr="00E16672" w:rsidRDefault="00EB25FE" w:rsidP="00794B3F">
            <w:pPr>
              <w:pStyle w:val="4"/>
              <w:keepNext w:val="0"/>
              <w:tabs>
                <w:tab w:val="left" w:pos="1475"/>
              </w:tabs>
              <w:snapToGrid w:val="0"/>
              <w:ind w:left="57" w:right="57" w:firstLine="0"/>
              <w:jc w:val="left"/>
              <w:rPr>
                <w:rFonts w:ascii="Times New Roman" w:hAnsi="Times New Roman"/>
                <w:i/>
                <w:iCs/>
                <w:color w:val="000000"/>
                <w:sz w:val="16"/>
                <w:szCs w:val="16"/>
              </w:rPr>
            </w:pPr>
          </w:p>
        </w:tc>
        <w:tc>
          <w:tcPr>
            <w:tcW w:w="2249" w:type="dxa"/>
            <w:gridSpan w:val="6"/>
            <w:shd w:val="clear" w:color="auto" w:fill="auto"/>
          </w:tcPr>
          <w:p w14:paraId="09784CC2" w14:textId="77777777" w:rsidR="00EB25FE" w:rsidRPr="00E16672" w:rsidRDefault="00EB25FE" w:rsidP="00794B3F">
            <w:pPr>
              <w:pStyle w:val="4"/>
              <w:keepNext w:val="0"/>
              <w:tabs>
                <w:tab w:val="left" w:pos="156"/>
              </w:tabs>
              <w:snapToGrid w:val="0"/>
              <w:ind w:left="57" w:right="57" w:firstLine="99"/>
              <w:jc w:val="left"/>
              <w:rPr>
                <w:rFonts w:ascii="Times New Roman" w:hAnsi="Times New Roman"/>
                <w:b w:val="0"/>
                <w:iCs/>
                <w:color w:val="000000"/>
                <w:sz w:val="16"/>
                <w:szCs w:val="16"/>
              </w:rPr>
            </w:pPr>
          </w:p>
        </w:tc>
        <w:tc>
          <w:tcPr>
            <w:tcW w:w="3313" w:type="dxa"/>
            <w:gridSpan w:val="2"/>
            <w:shd w:val="clear" w:color="auto" w:fill="auto"/>
          </w:tcPr>
          <w:p w14:paraId="672573B5" w14:textId="77777777" w:rsidR="00EB25FE" w:rsidRPr="00E16672" w:rsidRDefault="00EB25FE" w:rsidP="00794B3F">
            <w:pPr>
              <w:pStyle w:val="4"/>
              <w:keepNext w:val="0"/>
              <w:tabs>
                <w:tab w:val="left" w:pos="1475"/>
              </w:tabs>
              <w:snapToGrid w:val="0"/>
              <w:ind w:left="57" w:right="57" w:firstLine="0"/>
              <w:jc w:val="left"/>
              <w:rPr>
                <w:rFonts w:ascii="Times New Roman" w:hAnsi="Times New Roman"/>
                <w:i/>
                <w:iCs/>
                <w:sz w:val="16"/>
                <w:szCs w:val="16"/>
              </w:rPr>
            </w:pPr>
          </w:p>
        </w:tc>
        <w:tc>
          <w:tcPr>
            <w:tcW w:w="366" w:type="dxa"/>
            <w:gridSpan w:val="2"/>
            <w:shd w:val="clear" w:color="auto" w:fill="auto"/>
          </w:tcPr>
          <w:p w14:paraId="22D4E0AA" w14:textId="77777777" w:rsidR="00EB25FE" w:rsidRPr="00E16672" w:rsidRDefault="00EB25FE" w:rsidP="00794B3F">
            <w:pPr>
              <w:snapToGrid w:val="0"/>
              <w:rPr>
                <w:rFonts w:ascii="Times New Roman" w:hAnsi="Times New Roman"/>
                <w:lang w:val="en-US"/>
              </w:rPr>
            </w:pPr>
          </w:p>
        </w:tc>
      </w:tr>
      <w:tr w:rsidR="00EB25FE" w:rsidRPr="00E16672" w14:paraId="7080557C" w14:textId="77777777" w:rsidTr="005E418B">
        <w:tblPrEx>
          <w:tblCellMar>
            <w:left w:w="0" w:type="dxa"/>
            <w:right w:w="0" w:type="dxa"/>
          </w:tblCellMar>
        </w:tblPrEx>
        <w:tc>
          <w:tcPr>
            <w:tcW w:w="1740" w:type="dxa"/>
            <w:gridSpan w:val="2"/>
            <w:shd w:val="clear" w:color="auto" w:fill="auto"/>
          </w:tcPr>
          <w:p w14:paraId="4831056C" w14:textId="168D8CD6" w:rsidR="00EB25FE" w:rsidRPr="00E16672" w:rsidRDefault="00181F4C" w:rsidP="00181F4C">
            <w:pPr>
              <w:pStyle w:val="4"/>
              <w:keepNext w:val="0"/>
              <w:tabs>
                <w:tab w:val="left" w:pos="57"/>
              </w:tabs>
              <w:snapToGrid w:val="0"/>
              <w:ind w:left="57" w:right="57" w:hanging="14"/>
              <w:jc w:val="left"/>
              <w:rPr>
                <w:rFonts w:ascii="Times New Roman" w:hAnsi="Times New Roman"/>
                <w:b w:val="0"/>
                <w:iCs/>
                <w:color w:val="000000"/>
                <w:sz w:val="16"/>
                <w:szCs w:val="16"/>
              </w:rPr>
            </w:pPr>
            <w:r w:rsidRPr="00E16672">
              <w:rPr>
                <w:rFonts w:ascii="Times New Roman" w:hAnsi="Times New Roman"/>
                <w:b w:val="0"/>
                <w:iCs/>
                <w:color w:val="000000"/>
                <w:sz w:val="16"/>
                <w:szCs w:val="16"/>
                <w:lang w:val="ru-RU"/>
              </w:rPr>
              <w:t>М</w:t>
            </w:r>
            <w:r w:rsidRPr="00E16672">
              <w:rPr>
                <w:rFonts w:ascii="Times New Roman" w:hAnsi="Times New Roman"/>
                <w:b w:val="0"/>
                <w:iCs/>
                <w:color w:val="000000"/>
                <w:sz w:val="16"/>
                <w:szCs w:val="16"/>
              </w:rPr>
              <w:t>і</w:t>
            </w:r>
            <w:proofErr w:type="spellStart"/>
            <w:r w:rsidRPr="00E16672">
              <w:rPr>
                <w:rFonts w:ascii="Times New Roman" w:hAnsi="Times New Roman"/>
                <w:b w:val="0"/>
                <w:iCs/>
                <w:color w:val="000000"/>
                <w:sz w:val="16"/>
                <w:szCs w:val="16"/>
                <w:lang w:val="ru-RU"/>
              </w:rPr>
              <w:t>сцезнаходження</w:t>
            </w:r>
            <w:proofErr w:type="spellEnd"/>
            <w:r w:rsidRPr="00E16672">
              <w:rPr>
                <w:rFonts w:ascii="Times New Roman" w:hAnsi="Times New Roman"/>
                <w:b w:val="0"/>
                <w:iCs/>
                <w:color w:val="000000"/>
                <w:sz w:val="16"/>
                <w:szCs w:val="16"/>
                <w:lang w:val="ru-RU"/>
              </w:rPr>
              <w:t xml:space="preserve"> </w:t>
            </w:r>
          </w:p>
        </w:tc>
        <w:tc>
          <w:tcPr>
            <w:tcW w:w="3522" w:type="dxa"/>
            <w:gridSpan w:val="3"/>
            <w:shd w:val="clear" w:color="auto" w:fill="auto"/>
          </w:tcPr>
          <w:p w14:paraId="1BA9D55B" w14:textId="77777777" w:rsidR="00EB25FE" w:rsidRPr="00E16672" w:rsidRDefault="00EB25FE" w:rsidP="00794B3F">
            <w:pPr>
              <w:pStyle w:val="4"/>
              <w:keepNext w:val="0"/>
              <w:tabs>
                <w:tab w:val="left" w:pos="1475"/>
              </w:tabs>
              <w:snapToGrid w:val="0"/>
              <w:ind w:left="57" w:right="57" w:firstLine="0"/>
              <w:jc w:val="left"/>
              <w:rPr>
                <w:rFonts w:ascii="Times New Roman" w:hAnsi="Times New Roman"/>
                <w:i/>
                <w:iCs/>
                <w:color w:val="000000"/>
                <w:sz w:val="16"/>
                <w:szCs w:val="16"/>
              </w:rPr>
            </w:pPr>
          </w:p>
        </w:tc>
        <w:tc>
          <w:tcPr>
            <w:tcW w:w="2249" w:type="dxa"/>
            <w:gridSpan w:val="6"/>
            <w:shd w:val="clear" w:color="auto" w:fill="auto"/>
          </w:tcPr>
          <w:p w14:paraId="5D6AC4B8" w14:textId="7BE30636" w:rsidR="00EB25FE" w:rsidRPr="00E16672" w:rsidRDefault="00EB25FE" w:rsidP="00794B3F">
            <w:pPr>
              <w:pStyle w:val="4"/>
              <w:keepNext w:val="0"/>
              <w:tabs>
                <w:tab w:val="left" w:pos="156"/>
                <w:tab w:val="num" w:pos="200"/>
              </w:tabs>
              <w:snapToGrid w:val="0"/>
              <w:ind w:left="57" w:right="57" w:firstLine="99"/>
              <w:jc w:val="left"/>
              <w:rPr>
                <w:rFonts w:ascii="Times New Roman" w:hAnsi="Times New Roman"/>
                <w:b w:val="0"/>
                <w:iCs/>
                <w:color w:val="000000"/>
                <w:sz w:val="16"/>
                <w:szCs w:val="16"/>
              </w:rPr>
            </w:pPr>
            <w:proofErr w:type="spellStart"/>
            <w:r w:rsidRPr="00E16672">
              <w:rPr>
                <w:rFonts w:ascii="Times New Roman" w:hAnsi="Times New Roman"/>
                <w:b w:val="0"/>
                <w:iCs/>
                <w:color w:val="000000"/>
                <w:sz w:val="16"/>
                <w:szCs w:val="16"/>
              </w:rPr>
              <w:t>Addres</w:t>
            </w:r>
            <w:proofErr w:type="spellEnd"/>
            <w:r w:rsidR="004C6478">
              <w:rPr>
                <w:rFonts w:ascii="Times New Roman" w:hAnsi="Times New Roman"/>
                <w:b w:val="0"/>
                <w:iCs/>
                <w:color w:val="000000"/>
                <w:sz w:val="16"/>
                <w:szCs w:val="16"/>
                <w:lang w:val="en-US"/>
              </w:rPr>
              <w:t>s</w:t>
            </w:r>
          </w:p>
        </w:tc>
        <w:tc>
          <w:tcPr>
            <w:tcW w:w="3313" w:type="dxa"/>
            <w:gridSpan w:val="2"/>
            <w:shd w:val="clear" w:color="auto" w:fill="auto"/>
          </w:tcPr>
          <w:p w14:paraId="6409BDAE" w14:textId="77777777" w:rsidR="00EB25FE" w:rsidRPr="00E16672" w:rsidRDefault="00EB25FE" w:rsidP="00794B3F">
            <w:pPr>
              <w:pStyle w:val="4"/>
              <w:keepNext w:val="0"/>
              <w:tabs>
                <w:tab w:val="left" w:pos="1475"/>
              </w:tabs>
              <w:snapToGrid w:val="0"/>
              <w:ind w:left="57" w:right="57" w:firstLine="0"/>
              <w:jc w:val="left"/>
              <w:rPr>
                <w:rFonts w:ascii="Times New Roman" w:hAnsi="Times New Roman"/>
                <w:i/>
                <w:iCs/>
                <w:sz w:val="16"/>
                <w:szCs w:val="16"/>
              </w:rPr>
            </w:pPr>
          </w:p>
          <w:p w14:paraId="64BE9932" w14:textId="77777777" w:rsidR="00EB25FE" w:rsidRPr="00E16672" w:rsidRDefault="00EB25FE" w:rsidP="00794B3F">
            <w:pPr>
              <w:rPr>
                <w:rFonts w:ascii="Times New Roman" w:hAnsi="Times New Roman"/>
                <w:lang w:val="uk-UA"/>
              </w:rPr>
            </w:pPr>
          </w:p>
        </w:tc>
        <w:tc>
          <w:tcPr>
            <w:tcW w:w="366" w:type="dxa"/>
            <w:gridSpan w:val="2"/>
            <w:shd w:val="clear" w:color="auto" w:fill="auto"/>
          </w:tcPr>
          <w:p w14:paraId="7F07FCF6" w14:textId="77777777" w:rsidR="00EB25FE" w:rsidRPr="00E16672" w:rsidRDefault="00EB25FE" w:rsidP="00794B3F">
            <w:pPr>
              <w:snapToGrid w:val="0"/>
              <w:rPr>
                <w:rFonts w:ascii="Times New Roman" w:hAnsi="Times New Roman"/>
              </w:rPr>
            </w:pPr>
          </w:p>
        </w:tc>
      </w:tr>
      <w:tr w:rsidR="00EB25FE" w:rsidRPr="00E16672" w14:paraId="24ABB259" w14:textId="77777777" w:rsidTr="005E418B">
        <w:tblPrEx>
          <w:tblCellMar>
            <w:left w:w="0" w:type="dxa"/>
            <w:right w:w="0" w:type="dxa"/>
          </w:tblCellMar>
        </w:tblPrEx>
        <w:tc>
          <w:tcPr>
            <w:tcW w:w="1740" w:type="dxa"/>
            <w:gridSpan w:val="2"/>
            <w:shd w:val="clear" w:color="auto" w:fill="auto"/>
          </w:tcPr>
          <w:p w14:paraId="065C7A73" w14:textId="77777777" w:rsidR="00EB25FE" w:rsidRPr="00E16672" w:rsidRDefault="00EB25FE" w:rsidP="00794B3F">
            <w:pPr>
              <w:pStyle w:val="4"/>
              <w:keepNext w:val="0"/>
              <w:tabs>
                <w:tab w:val="left" w:pos="57"/>
              </w:tabs>
              <w:snapToGrid w:val="0"/>
              <w:ind w:left="57" w:right="57" w:hanging="14"/>
              <w:jc w:val="left"/>
              <w:rPr>
                <w:rFonts w:ascii="Times New Roman" w:hAnsi="Times New Roman"/>
                <w:b w:val="0"/>
                <w:iCs/>
                <w:color w:val="000000"/>
                <w:sz w:val="16"/>
                <w:szCs w:val="16"/>
              </w:rPr>
            </w:pPr>
          </w:p>
          <w:p w14:paraId="24D23FC2" w14:textId="77777777" w:rsidR="00EB25FE" w:rsidRPr="00E16672" w:rsidRDefault="00EB25FE" w:rsidP="00794B3F">
            <w:pPr>
              <w:pStyle w:val="4"/>
              <w:keepNext w:val="0"/>
              <w:tabs>
                <w:tab w:val="left" w:pos="57"/>
              </w:tabs>
              <w:snapToGrid w:val="0"/>
              <w:ind w:left="57" w:right="57" w:hanging="14"/>
              <w:jc w:val="left"/>
              <w:rPr>
                <w:rFonts w:ascii="Times New Roman" w:hAnsi="Times New Roman"/>
                <w:b w:val="0"/>
                <w:iCs/>
                <w:color w:val="000000"/>
                <w:sz w:val="16"/>
                <w:szCs w:val="16"/>
              </w:rPr>
            </w:pPr>
            <w:r w:rsidRPr="00E16672">
              <w:rPr>
                <w:rFonts w:ascii="Times New Roman" w:hAnsi="Times New Roman"/>
                <w:b w:val="0"/>
                <w:iCs/>
                <w:color w:val="000000"/>
                <w:sz w:val="16"/>
                <w:szCs w:val="16"/>
              </w:rPr>
              <w:t>Адреса для листування</w:t>
            </w:r>
          </w:p>
        </w:tc>
        <w:tc>
          <w:tcPr>
            <w:tcW w:w="3522" w:type="dxa"/>
            <w:gridSpan w:val="3"/>
            <w:shd w:val="clear" w:color="auto" w:fill="auto"/>
          </w:tcPr>
          <w:p w14:paraId="30E4AEDF" w14:textId="77777777" w:rsidR="00EB25FE" w:rsidRPr="00E16672" w:rsidRDefault="00EB25FE" w:rsidP="00794B3F">
            <w:pPr>
              <w:pStyle w:val="4"/>
              <w:keepNext w:val="0"/>
              <w:tabs>
                <w:tab w:val="left" w:pos="1475"/>
              </w:tabs>
              <w:snapToGrid w:val="0"/>
              <w:ind w:left="57" w:right="57" w:firstLine="0"/>
              <w:jc w:val="left"/>
              <w:rPr>
                <w:rFonts w:ascii="Times New Roman" w:hAnsi="Times New Roman"/>
                <w:i/>
                <w:iCs/>
                <w:color w:val="000000"/>
                <w:sz w:val="16"/>
                <w:szCs w:val="16"/>
              </w:rPr>
            </w:pPr>
          </w:p>
        </w:tc>
        <w:tc>
          <w:tcPr>
            <w:tcW w:w="2249" w:type="dxa"/>
            <w:gridSpan w:val="6"/>
            <w:shd w:val="clear" w:color="auto" w:fill="auto"/>
          </w:tcPr>
          <w:p w14:paraId="50158018" w14:textId="77777777" w:rsidR="00EB25FE" w:rsidRPr="00E16672" w:rsidRDefault="00EB25FE" w:rsidP="00794B3F">
            <w:pPr>
              <w:pStyle w:val="4"/>
              <w:keepNext w:val="0"/>
              <w:tabs>
                <w:tab w:val="left" w:pos="156"/>
                <w:tab w:val="num" w:pos="200"/>
              </w:tabs>
              <w:snapToGrid w:val="0"/>
              <w:ind w:left="57" w:right="57" w:firstLine="99"/>
              <w:jc w:val="left"/>
              <w:rPr>
                <w:rFonts w:ascii="Times New Roman" w:hAnsi="Times New Roman"/>
                <w:b w:val="0"/>
                <w:iCs/>
                <w:color w:val="000000"/>
                <w:sz w:val="16"/>
                <w:szCs w:val="16"/>
              </w:rPr>
            </w:pPr>
          </w:p>
          <w:p w14:paraId="63E005D0" w14:textId="77777777" w:rsidR="00EB25FE" w:rsidRPr="00E16672" w:rsidRDefault="00EB25FE" w:rsidP="00794B3F">
            <w:pPr>
              <w:pStyle w:val="4"/>
              <w:keepNext w:val="0"/>
              <w:tabs>
                <w:tab w:val="left" w:pos="156"/>
                <w:tab w:val="num" w:pos="200"/>
              </w:tabs>
              <w:snapToGrid w:val="0"/>
              <w:ind w:left="57" w:right="57" w:firstLine="99"/>
              <w:jc w:val="left"/>
              <w:rPr>
                <w:rFonts w:ascii="Times New Roman" w:hAnsi="Times New Roman"/>
                <w:b w:val="0"/>
                <w:iCs/>
                <w:color w:val="000000"/>
                <w:sz w:val="16"/>
                <w:szCs w:val="16"/>
                <w:lang w:val="en-US"/>
              </w:rPr>
            </w:pPr>
            <w:r w:rsidRPr="00E16672">
              <w:rPr>
                <w:rFonts w:ascii="Times New Roman" w:hAnsi="Times New Roman"/>
                <w:b w:val="0"/>
                <w:iCs/>
                <w:color w:val="000000"/>
                <w:sz w:val="16"/>
                <w:szCs w:val="16"/>
                <w:lang w:val="en-US"/>
              </w:rPr>
              <w:t>Correspondence address</w:t>
            </w:r>
          </w:p>
          <w:p w14:paraId="244BE863" w14:textId="77777777" w:rsidR="00EB25FE" w:rsidRPr="00E16672" w:rsidRDefault="00EB25FE" w:rsidP="00794B3F">
            <w:pPr>
              <w:rPr>
                <w:rFonts w:ascii="Times New Roman" w:hAnsi="Times New Roman"/>
                <w:lang w:val="en-US"/>
              </w:rPr>
            </w:pPr>
          </w:p>
          <w:p w14:paraId="0F1EE00E" w14:textId="77777777" w:rsidR="00EB25FE" w:rsidRPr="00E16672" w:rsidRDefault="00EB25FE" w:rsidP="00794B3F">
            <w:pPr>
              <w:rPr>
                <w:rFonts w:ascii="Times New Roman" w:hAnsi="Times New Roman"/>
                <w:lang w:val="en-US"/>
              </w:rPr>
            </w:pPr>
          </w:p>
        </w:tc>
        <w:tc>
          <w:tcPr>
            <w:tcW w:w="3313" w:type="dxa"/>
            <w:gridSpan w:val="2"/>
            <w:shd w:val="clear" w:color="auto" w:fill="auto"/>
          </w:tcPr>
          <w:p w14:paraId="2E863481" w14:textId="77777777" w:rsidR="00EB25FE" w:rsidRPr="00E16672" w:rsidRDefault="00EB25FE" w:rsidP="00794B3F">
            <w:pPr>
              <w:pStyle w:val="4"/>
              <w:keepNext w:val="0"/>
              <w:tabs>
                <w:tab w:val="left" w:pos="1475"/>
              </w:tabs>
              <w:snapToGrid w:val="0"/>
              <w:ind w:left="57" w:right="57" w:firstLine="0"/>
              <w:jc w:val="left"/>
              <w:rPr>
                <w:rFonts w:ascii="Times New Roman" w:hAnsi="Times New Roman"/>
                <w:i/>
                <w:iCs/>
                <w:sz w:val="16"/>
                <w:szCs w:val="16"/>
              </w:rPr>
            </w:pPr>
          </w:p>
        </w:tc>
        <w:tc>
          <w:tcPr>
            <w:tcW w:w="366" w:type="dxa"/>
            <w:gridSpan w:val="2"/>
            <w:shd w:val="clear" w:color="auto" w:fill="auto"/>
          </w:tcPr>
          <w:p w14:paraId="6D991446" w14:textId="77777777" w:rsidR="00EB25FE" w:rsidRPr="00E16672" w:rsidRDefault="00EB25FE" w:rsidP="00794B3F">
            <w:pPr>
              <w:snapToGrid w:val="0"/>
              <w:rPr>
                <w:rFonts w:ascii="Times New Roman" w:hAnsi="Times New Roman"/>
              </w:rPr>
            </w:pPr>
          </w:p>
        </w:tc>
      </w:tr>
      <w:tr w:rsidR="00EB25FE" w:rsidRPr="00A26EFC" w14:paraId="32F3B477" w14:textId="77777777" w:rsidTr="005E418B">
        <w:tblPrEx>
          <w:tblCellMar>
            <w:left w:w="0" w:type="dxa"/>
            <w:right w:w="0" w:type="dxa"/>
          </w:tblCellMar>
        </w:tblPrEx>
        <w:tc>
          <w:tcPr>
            <w:tcW w:w="1740" w:type="dxa"/>
            <w:gridSpan w:val="2"/>
            <w:shd w:val="clear" w:color="auto" w:fill="auto"/>
          </w:tcPr>
          <w:p w14:paraId="69E5CFFB" w14:textId="77777777" w:rsidR="00EB25FE" w:rsidRPr="00E16672" w:rsidRDefault="00EB25FE" w:rsidP="00794B3F">
            <w:pPr>
              <w:pStyle w:val="4"/>
              <w:keepNext w:val="0"/>
              <w:tabs>
                <w:tab w:val="left" w:pos="57"/>
              </w:tabs>
              <w:snapToGrid w:val="0"/>
              <w:ind w:left="57" w:right="57" w:hanging="14"/>
              <w:jc w:val="left"/>
              <w:rPr>
                <w:rFonts w:ascii="Times New Roman" w:hAnsi="Times New Roman"/>
                <w:b w:val="0"/>
                <w:iCs/>
                <w:color w:val="000000"/>
                <w:sz w:val="16"/>
                <w:szCs w:val="16"/>
              </w:rPr>
            </w:pPr>
            <w:r w:rsidRPr="00E16672">
              <w:rPr>
                <w:rFonts w:ascii="Times New Roman" w:hAnsi="Times New Roman"/>
                <w:b w:val="0"/>
                <w:iCs/>
                <w:color w:val="000000"/>
                <w:sz w:val="16"/>
                <w:szCs w:val="16"/>
              </w:rPr>
              <w:t>Ідентифікаційний код юридичної особи (код за ЄДРПОУ / номер реєстрації юридичної особи в країні її місцезнаходження)</w:t>
            </w:r>
          </w:p>
        </w:tc>
        <w:tc>
          <w:tcPr>
            <w:tcW w:w="3522" w:type="dxa"/>
            <w:gridSpan w:val="3"/>
            <w:shd w:val="clear" w:color="auto" w:fill="auto"/>
          </w:tcPr>
          <w:p w14:paraId="3068AD3F" w14:textId="77777777" w:rsidR="00EB25FE" w:rsidRPr="00E16672" w:rsidRDefault="00EB25FE" w:rsidP="00794B3F">
            <w:pPr>
              <w:ind w:left="57" w:right="57"/>
              <w:rPr>
                <w:rFonts w:ascii="Times New Roman" w:hAnsi="Times New Roman"/>
                <w:color w:val="000000"/>
                <w:sz w:val="16"/>
                <w:szCs w:val="16"/>
                <w:lang w:val="uk-UA"/>
              </w:rPr>
            </w:pPr>
          </w:p>
        </w:tc>
        <w:tc>
          <w:tcPr>
            <w:tcW w:w="2249" w:type="dxa"/>
            <w:gridSpan w:val="6"/>
            <w:shd w:val="clear" w:color="auto" w:fill="auto"/>
          </w:tcPr>
          <w:p w14:paraId="3ACB144B" w14:textId="77777777" w:rsidR="00EB25FE" w:rsidRPr="00E16672" w:rsidRDefault="00EB25FE" w:rsidP="00794B3F">
            <w:pPr>
              <w:pStyle w:val="4"/>
              <w:keepNext w:val="0"/>
              <w:tabs>
                <w:tab w:val="left" w:pos="57"/>
              </w:tabs>
              <w:snapToGrid w:val="0"/>
              <w:ind w:left="57" w:right="57" w:hanging="15"/>
              <w:jc w:val="left"/>
              <w:rPr>
                <w:rFonts w:ascii="Times New Roman" w:hAnsi="Times New Roman"/>
                <w:b w:val="0"/>
                <w:iCs/>
                <w:color w:val="000000"/>
                <w:sz w:val="16"/>
                <w:szCs w:val="16"/>
                <w:lang w:val="en-US"/>
              </w:rPr>
            </w:pPr>
            <w:r w:rsidRPr="00E16672">
              <w:rPr>
                <w:rFonts w:ascii="Times New Roman" w:hAnsi="Times New Roman"/>
                <w:b w:val="0"/>
                <w:iCs/>
                <w:color w:val="000000"/>
                <w:sz w:val="16"/>
                <w:szCs w:val="16"/>
                <w:lang w:val="en-US"/>
              </w:rPr>
              <w:t>Registration code of legal entity (in accordance with EDRPOU</w:t>
            </w:r>
            <w:r w:rsidRPr="00E16672">
              <w:rPr>
                <w:rFonts w:ascii="Times New Roman" w:hAnsi="Times New Roman"/>
                <w:b w:val="0"/>
                <w:iCs/>
                <w:color w:val="000000"/>
                <w:sz w:val="16"/>
                <w:szCs w:val="16"/>
              </w:rPr>
              <w:t xml:space="preserve">, </w:t>
            </w:r>
            <w:proofErr w:type="spellStart"/>
            <w:r w:rsidRPr="00E16672">
              <w:rPr>
                <w:rFonts w:ascii="Times New Roman" w:hAnsi="Times New Roman"/>
                <w:b w:val="0"/>
                <w:sz w:val="16"/>
              </w:rPr>
              <w:t>the</w:t>
            </w:r>
            <w:proofErr w:type="spellEnd"/>
            <w:r w:rsidRPr="00E16672">
              <w:rPr>
                <w:rFonts w:ascii="Times New Roman" w:hAnsi="Times New Roman"/>
                <w:b w:val="0"/>
                <w:sz w:val="16"/>
              </w:rPr>
              <w:t xml:space="preserve"> </w:t>
            </w:r>
            <w:proofErr w:type="spellStart"/>
            <w:r w:rsidRPr="00E16672">
              <w:rPr>
                <w:rFonts w:ascii="Times New Roman" w:hAnsi="Times New Roman"/>
                <w:b w:val="0"/>
                <w:sz w:val="16"/>
              </w:rPr>
              <w:t>registration</w:t>
            </w:r>
            <w:proofErr w:type="spellEnd"/>
            <w:r w:rsidRPr="00E16672">
              <w:rPr>
                <w:rFonts w:ascii="Times New Roman" w:hAnsi="Times New Roman"/>
                <w:b w:val="0"/>
                <w:sz w:val="16"/>
              </w:rPr>
              <w:t xml:space="preserve"> </w:t>
            </w:r>
            <w:proofErr w:type="spellStart"/>
            <w:r w:rsidRPr="00E16672">
              <w:rPr>
                <w:rFonts w:ascii="Times New Roman" w:hAnsi="Times New Roman"/>
                <w:b w:val="0"/>
                <w:sz w:val="16"/>
              </w:rPr>
              <w:t>number</w:t>
            </w:r>
            <w:proofErr w:type="spellEnd"/>
            <w:r w:rsidRPr="00E16672">
              <w:rPr>
                <w:rFonts w:ascii="Times New Roman" w:hAnsi="Times New Roman"/>
                <w:b w:val="0"/>
                <w:sz w:val="16"/>
              </w:rPr>
              <w:t xml:space="preserve"> </w:t>
            </w:r>
            <w:proofErr w:type="spellStart"/>
            <w:r w:rsidRPr="00E16672">
              <w:rPr>
                <w:rFonts w:ascii="Times New Roman" w:hAnsi="Times New Roman"/>
                <w:b w:val="0"/>
                <w:sz w:val="16"/>
              </w:rPr>
              <w:t>of</w:t>
            </w:r>
            <w:proofErr w:type="spellEnd"/>
            <w:r w:rsidRPr="00E16672">
              <w:rPr>
                <w:rFonts w:ascii="Times New Roman" w:hAnsi="Times New Roman"/>
                <w:b w:val="0"/>
                <w:sz w:val="16"/>
              </w:rPr>
              <w:t xml:space="preserve"> </w:t>
            </w:r>
            <w:proofErr w:type="spellStart"/>
            <w:r w:rsidRPr="00E16672">
              <w:rPr>
                <w:rFonts w:ascii="Times New Roman" w:hAnsi="Times New Roman"/>
                <w:b w:val="0"/>
                <w:sz w:val="16"/>
              </w:rPr>
              <w:t>the</w:t>
            </w:r>
            <w:proofErr w:type="spellEnd"/>
            <w:r w:rsidRPr="00E16672">
              <w:rPr>
                <w:rFonts w:ascii="Times New Roman" w:hAnsi="Times New Roman"/>
                <w:b w:val="0"/>
                <w:sz w:val="16"/>
              </w:rPr>
              <w:t xml:space="preserve"> </w:t>
            </w:r>
            <w:proofErr w:type="spellStart"/>
            <w:r w:rsidRPr="00E16672">
              <w:rPr>
                <w:rFonts w:ascii="Times New Roman" w:hAnsi="Times New Roman"/>
                <w:b w:val="0"/>
                <w:sz w:val="16"/>
              </w:rPr>
              <w:t>legal</w:t>
            </w:r>
            <w:proofErr w:type="spellEnd"/>
            <w:r w:rsidRPr="00E16672">
              <w:rPr>
                <w:rFonts w:ascii="Times New Roman" w:hAnsi="Times New Roman"/>
                <w:b w:val="0"/>
                <w:sz w:val="16"/>
              </w:rPr>
              <w:t xml:space="preserve"> </w:t>
            </w:r>
            <w:proofErr w:type="spellStart"/>
            <w:r w:rsidRPr="00E16672">
              <w:rPr>
                <w:rFonts w:ascii="Times New Roman" w:hAnsi="Times New Roman"/>
                <w:b w:val="0"/>
                <w:sz w:val="16"/>
              </w:rPr>
              <w:t>entity</w:t>
            </w:r>
            <w:proofErr w:type="spellEnd"/>
            <w:r w:rsidRPr="00E16672">
              <w:rPr>
                <w:rFonts w:ascii="Times New Roman" w:hAnsi="Times New Roman"/>
                <w:b w:val="0"/>
                <w:sz w:val="16"/>
              </w:rPr>
              <w:t xml:space="preserve"> </w:t>
            </w:r>
            <w:proofErr w:type="spellStart"/>
            <w:r w:rsidRPr="00E16672">
              <w:rPr>
                <w:rFonts w:ascii="Times New Roman" w:hAnsi="Times New Roman"/>
                <w:b w:val="0"/>
                <w:sz w:val="16"/>
              </w:rPr>
              <w:t>in</w:t>
            </w:r>
            <w:proofErr w:type="spellEnd"/>
            <w:r w:rsidRPr="00E16672">
              <w:rPr>
                <w:rFonts w:ascii="Times New Roman" w:hAnsi="Times New Roman"/>
                <w:b w:val="0"/>
                <w:sz w:val="16"/>
              </w:rPr>
              <w:t xml:space="preserve"> </w:t>
            </w:r>
            <w:proofErr w:type="spellStart"/>
            <w:r w:rsidRPr="00E16672">
              <w:rPr>
                <w:rFonts w:ascii="Times New Roman" w:hAnsi="Times New Roman"/>
                <w:b w:val="0"/>
                <w:sz w:val="16"/>
              </w:rPr>
              <w:t>the</w:t>
            </w:r>
            <w:proofErr w:type="spellEnd"/>
            <w:r w:rsidRPr="00E16672">
              <w:rPr>
                <w:rFonts w:ascii="Times New Roman" w:hAnsi="Times New Roman"/>
                <w:b w:val="0"/>
                <w:sz w:val="16"/>
              </w:rPr>
              <w:t xml:space="preserve"> </w:t>
            </w:r>
            <w:proofErr w:type="spellStart"/>
            <w:r w:rsidRPr="00E16672">
              <w:rPr>
                <w:rFonts w:ascii="Times New Roman" w:hAnsi="Times New Roman"/>
                <w:b w:val="0"/>
                <w:sz w:val="16"/>
              </w:rPr>
              <w:t>country</w:t>
            </w:r>
            <w:proofErr w:type="spellEnd"/>
            <w:r w:rsidRPr="00E16672">
              <w:rPr>
                <w:rFonts w:ascii="Times New Roman" w:hAnsi="Times New Roman"/>
                <w:b w:val="0"/>
                <w:sz w:val="16"/>
              </w:rPr>
              <w:t xml:space="preserve"> </w:t>
            </w:r>
            <w:proofErr w:type="spellStart"/>
            <w:r w:rsidRPr="00E16672">
              <w:rPr>
                <w:rFonts w:ascii="Times New Roman" w:hAnsi="Times New Roman"/>
                <w:b w:val="0"/>
                <w:sz w:val="16"/>
              </w:rPr>
              <w:t>of</w:t>
            </w:r>
            <w:proofErr w:type="spellEnd"/>
            <w:r w:rsidRPr="00E16672">
              <w:rPr>
                <w:rFonts w:ascii="Times New Roman" w:hAnsi="Times New Roman"/>
                <w:b w:val="0"/>
                <w:sz w:val="16"/>
              </w:rPr>
              <w:t xml:space="preserve"> </w:t>
            </w:r>
            <w:proofErr w:type="spellStart"/>
            <w:r w:rsidRPr="00E16672">
              <w:rPr>
                <w:rFonts w:ascii="Times New Roman" w:hAnsi="Times New Roman"/>
                <w:b w:val="0"/>
                <w:sz w:val="16"/>
              </w:rPr>
              <w:t>its</w:t>
            </w:r>
            <w:proofErr w:type="spellEnd"/>
            <w:r w:rsidRPr="00E16672">
              <w:rPr>
                <w:rFonts w:ascii="Times New Roman" w:hAnsi="Times New Roman"/>
                <w:b w:val="0"/>
                <w:sz w:val="16"/>
              </w:rPr>
              <w:t xml:space="preserve"> </w:t>
            </w:r>
            <w:proofErr w:type="spellStart"/>
            <w:r w:rsidRPr="00E16672">
              <w:rPr>
                <w:rFonts w:ascii="Times New Roman" w:hAnsi="Times New Roman"/>
                <w:b w:val="0"/>
                <w:sz w:val="16"/>
              </w:rPr>
              <w:t>location</w:t>
            </w:r>
            <w:proofErr w:type="spellEnd"/>
            <w:r w:rsidRPr="00E16672">
              <w:rPr>
                <w:rFonts w:ascii="Times New Roman" w:hAnsi="Times New Roman"/>
                <w:b w:val="0"/>
                <w:iCs/>
                <w:color w:val="000000"/>
                <w:sz w:val="16"/>
                <w:szCs w:val="16"/>
                <w:lang w:val="en-US"/>
              </w:rPr>
              <w:t>)</w:t>
            </w:r>
          </w:p>
        </w:tc>
        <w:tc>
          <w:tcPr>
            <w:tcW w:w="3313" w:type="dxa"/>
            <w:gridSpan w:val="2"/>
            <w:shd w:val="clear" w:color="auto" w:fill="auto"/>
          </w:tcPr>
          <w:p w14:paraId="1BD642E3" w14:textId="77777777" w:rsidR="00EB25FE" w:rsidRPr="00E16672" w:rsidRDefault="00EB25FE" w:rsidP="00794B3F">
            <w:pPr>
              <w:ind w:left="57" w:right="57"/>
              <w:rPr>
                <w:rFonts w:ascii="Times New Roman" w:hAnsi="Times New Roman"/>
                <w:sz w:val="16"/>
                <w:szCs w:val="16"/>
                <w:lang w:val="en-US"/>
              </w:rPr>
            </w:pPr>
          </w:p>
        </w:tc>
        <w:tc>
          <w:tcPr>
            <w:tcW w:w="366" w:type="dxa"/>
            <w:gridSpan w:val="2"/>
            <w:shd w:val="clear" w:color="auto" w:fill="auto"/>
          </w:tcPr>
          <w:p w14:paraId="05D0B671" w14:textId="77777777" w:rsidR="00EB25FE" w:rsidRPr="00E16672" w:rsidRDefault="00EB25FE" w:rsidP="00794B3F">
            <w:pPr>
              <w:snapToGrid w:val="0"/>
              <w:rPr>
                <w:rFonts w:ascii="Times New Roman" w:hAnsi="Times New Roman"/>
                <w:lang w:val="en-US"/>
              </w:rPr>
            </w:pPr>
          </w:p>
        </w:tc>
      </w:tr>
      <w:tr w:rsidR="00EB25FE" w:rsidRPr="00E16672" w14:paraId="194B3BE1" w14:textId="77777777" w:rsidTr="005E418B">
        <w:tblPrEx>
          <w:tblCellMar>
            <w:left w:w="0" w:type="dxa"/>
            <w:right w:w="0" w:type="dxa"/>
          </w:tblCellMar>
        </w:tblPrEx>
        <w:tc>
          <w:tcPr>
            <w:tcW w:w="1740" w:type="dxa"/>
            <w:gridSpan w:val="2"/>
            <w:shd w:val="clear" w:color="auto" w:fill="auto"/>
          </w:tcPr>
          <w:p w14:paraId="4A5F0189" w14:textId="77777777" w:rsidR="00EB25FE" w:rsidRPr="00E16672" w:rsidRDefault="00EB25FE" w:rsidP="00794B3F">
            <w:pPr>
              <w:pStyle w:val="4"/>
              <w:keepNext w:val="0"/>
              <w:tabs>
                <w:tab w:val="left" w:pos="57"/>
              </w:tabs>
              <w:snapToGrid w:val="0"/>
              <w:ind w:left="57" w:right="57" w:hanging="14"/>
              <w:jc w:val="left"/>
              <w:rPr>
                <w:rFonts w:ascii="Times New Roman" w:hAnsi="Times New Roman"/>
                <w:b w:val="0"/>
                <w:iCs/>
                <w:color w:val="000000"/>
                <w:sz w:val="16"/>
                <w:szCs w:val="16"/>
              </w:rPr>
            </w:pPr>
          </w:p>
          <w:p w14:paraId="39CAC979" w14:textId="77777777" w:rsidR="00EB25FE" w:rsidRPr="00E16672" w:rsidRDefault="00EB25FE" w:rsidP="00794B3F">
            <w:pPr>
              <w:pStyle w:val="4"/>
              <w:keepNext w:val="0"/>
              <w:tabs>
                <w:tab w:val="left" w:pos="57"/>
              </w:tabs>
              <w:snapToGrid w:val="0"/>
              <w:ind w:left="57" w:right="57" w:hanging="14"/>
              <w:jc w:val="left"/>
              <w:rPr>
                <w:rFonts w:ascii="Times New Roman" w:hAnsi="Times New Roman"/>
                <w:b w:val="0"/>
                <w:iCs/>
                <w:color w:val="000000"/>
                <w:sz w:val="16"/>
                <w:szCs w:val="16"/>
              </w:rPr>
            </w:pPr>
            <w:r w:rsidRPr="00E16672">
              <w:rPr>
                <w:rFonts w:ascii="Times New Roman" w:hAnsi="Times New Roman"/>
                <w:b w:val="0"/>
                <w:iCs/>
                <w:color w:val="000000"/>
                <w:sz w:val="16"/>
                <w:szCs w:val="16"/>
              </w:rPr>
              <w:t>Банківські реквізити</w:t>
            </w:r>
          </w:p>
        </w:tc>
        <w:tc>
          <w:tcPr>
            <w:tcW w:w="3522" w:type="dxa"/>
            <w:gridSpan w:val="3"/>
            <w:shd w:val="clear" w:color="auto" w:fill="auto"/>
          </w:tcPr>
          <w:p w14:paraId="33A00598" w14:textId="77777777" w:rsidR="00EB25FE" w:rsidRPr="00E16672" w:rsidRDefault="00EB25FE" w:rsidP="00794B3F">
            <w:pPr>
              <w:pStyle w:val="4"/>
              <w:keepNext w:val="0"/>
              <w:tabs>
                <w:tab w:val="left" w:pos="1475"/>
              </w:tabs>
              <w:snapToGrid w:val="0"/>
              <w:ind w:left="57" w:right="57" w:firstLine="0"/>
              <w:jc w:val="left"/>
              <w:rPr>
                <w:rFonts w:ascii="Times New Roman" w:hAnsi="Times New Roman"/>
                <w:i/>
                <w:iCs/>
                <w:color w:val="000000"/>
                <w:sz w:val="16"/>
                <w:szCs w:val="16"/>
              </w:rPr>
            </w:pPr>
          </w:p>
        </w:tc>
        <w:tc>
          <w:tcPr>
            <w:tcW w:w="2249" w:type="dxa"/>
            <w:gridSpan w:val="6"/>
            <w:shd w:val="clear" w:color="auto" w:fill="auto"/>
          </w:tcPr>
          <w:p w14:paraId="1D035B82" w14:textId="77777777" w:rsidR="00EB25FE" w:rsidRPr="00E16672" w:rsidRDefault="00EB25FE" w:rsidP="00794B3F">
            <w:pPr>
              <w:pStyle w:val="4"/>
              <w:keepNext w:val="0"/>
              <w:tabs>
                <w:tab w:val="left" w:pos="156"/>
                <w:tab w:val="num" w:pos="200"/>
              </w:tabs>
              <w:snapToGrid w:val="0"/>
              <w:ind w:left="57" w:right="57" w:firstLine="99"/>
              <w:jc w:val="left"/>
              <w:rPr>
                <w:rFonts w:ascii="Times New Roman" w:hAnsi="Times New Roman"/>
                <w:b w:val="0"/>
                <w:iCs/>
                <w:color w:val="000000"/>
                <w:sz w:val="16"/>
                <w:szCs w:val="16"/>
                <w:lang w:val="en-US"/>
              </w:rPr>
            </w:pPr>
          </w:p>
          <w:p w14:paraId="24DA420D" w14:textId="77777777" w:rsidR="00EB25FE" w:rsidRPr="00E16672" w:rsidRDefault="00EB25FE" w:rsidP="00794B3F">
            <w:pPr>
              <w:pStyle w:val="4"/>
              <w:keepNext w:val="0"/>
              <w:tabs>
                <w:tab w:val="left" w:pos="156"/>
                <w:tab w:val="num" w:pos="200"/>
              </w:tabs>
              <w:snapToGrid w:val="0"/>
              <w:ind w:left="57" w:right="57" w:firstLine="99"/>
              <w:jc w:val="left"/>
              <w:rPr>
                <w:rFonts w:ascii="Times New Roman" w:hAnsi="Times New Roman"/>
                <w:b w:val="0"/>
                <w:iCs/>
                <w:color w:val="000000"/>
                <w:sz w:val="16"/>
                <w:szCs w:val="16"/>
                <w:lang w:val="en-US"/>
              </w:rPr>
            </w:pPr>
            <w:r w:rsidRPr="00E16672">
              <w:rPr>
                <w:rFonts w:ascii="Times New Roman" w:hAnsi="Times New Roman"/>
                <w:b w:val="0"/>
                <w:iCs/>
                <w:color w:val="000000"/>
                <w:sz w:val="16"/>
                <w:szCs w:val="16"/>
                <w:lang w:val="en-US"/>
              </w:rPr>
              <w:t>Bank details</w:t>
            </w:r>
          </w:p>
        </w:tc>
        <w:tc>
          <w:tcPr>
            <w:tcW w:w="3313" w:type="dxa"/>
            <w:gridSpan w:val="2"/>
            <w:shd w:val="clear" w:color="auto" w:fill="auto"/>
          </w:tcPr>
          <w:p w14:paraId="6424AC8F" w14:textId="77777777" w:rsidR="00EB25FE" w:rsidRPr="00E16672" w:rsidRDefault="00EB25FE" w:rsidP="00794B3F">
            <w:pPr>
              <w:pStyle w:val="4"/>
              <w:keepNext w:val="0"/>
              <w:tabs>
                <w:tab w:val="left" w:pos="1475"/>
              </w:tabs>
              <w:snapToGrid w:val="0"/>
              <w:ind w:left="57" w:right="57" w:firstLine="0"/>
              <w:jc w:val="left"/>
              <w:rPr>
                <w:rFonts w:ascii="Times New Roman" w:hAnsi="Times New Roman"/>
                <w:i/>
                <w:iCs/>
                <w:sz w:val="16"/>
                <w:szCs w:val="16"/>
              </w:rPr>
            </w:pPr>
          </w:p>
        </w:tc>
        <w:tc>
          <w:tcPr>
            <w:tcW w:w="366" w:type="dxa"/>
            <w:gridSpan w:val="2"/>
            <w:shd w:val="clear" w:color="auto" w:fill="auto"/>
          </w:tcPr>
          <w:p w14:paraId="6DFCE0DC" w14:textId="77777777" w:rsidR="00EB25FE" w:rsidRPr="00E16672" w:rsidRDefault="00EB25FE" w:rsidP="00794B3F">
            <w:pPr>
              <w:snapToGrid w:val="0"/>
              <w:rPr>
                <w:rFonts w:ascii="Times New Roman" w:hAnsi="Times New Roman"/>
              </w:rPr>
            </w:pPr>
          </w:p>
        </w:tc>
      </w:tr>
      <w:tr w:rsidR="00EB25FE" w:rsidRPr="00E16672" w14:paraId="7A3ECF6E" w14:textId="77777777" w:rsidTr="005E418B">
        <w:tblPrEx>
          <w:tblCellMar>
            <w:left w:w="0" w:type="dxa"/>
            <w:right w:w="0" w:type="dxa"/>
          </w:tblCellMar>
        </w:tblPrEx>
        <w:tc>
          <w:tcPr>
            <w:tcW w:w="1740" w:type="dxa"/>
            <w:gridSpan w:val="2"/>
            <w:shd w:val="clear" w:color="auto" w:fill="auto"/>
          </w:tcPr>
          <w:p w14:paraId="7644E633" w14:textId="77777777" w:rsidR="00EB25FE" w:rsidRPr="00E16672" w:rsidRDefault="00EB25FE" w:rsidP="00794B3F">
            <w:pPr>
              <w:pStyle w:val="4"/>
              <w:keepNext w:val="0"/>
              <w:tabs>
                <w:tab w:val="left" w:pos="57"/>
              </w:tabs>
              <w:snapToGrid w:val="0"/>
              <w:ind w:left="57" w:right="57" w:hanging="14"/>
              <w:jc w:val="left"/>
              <w:rPr>
                <w:rFonts w:ascii="Times New Roman" w:hAnsi="Times New Roman"/>
                <w:b w:val="0"/>
                <w:iCs/>
                <w:color w:val="000000"/>
                <w:sz w:val="16"/>
                <w:szCs w:val="16"/>
              </w:rPr>
            </w:pPr>
            <w:r w:rsidRPr="00E16672">
              <w:rPr>
                <w:rFonts w:ascii="Times New Roman" w:hAnsi="Times New Roman"/>
                <w:b w:val="0"/>
                <w:iCs/>
                <w:color w:val="000000"/>
                <w:sz w:val="16"/>
                <w:szCs w:val="16"/>
              </w:rPr>
              <w:t>Телефон</w:t>
            </w:r>
          </w:p>
        </w:tc>
        <w:tc>
          <w:tcPr>
            <w:tcW w:w="3522" w:type="dxa"/>
            <w:gridSpan w:val="3"/>
            <w:shd w:val="clear" w:color="auto" w:fill="auto"/>
          </w:tcPr>
          <w:p w14:paraId="4C402CF6" w14:textId="77777777" w:rsidR="00EB25FE" w:rsidRPr="00E16672" w:rsidRDefault="00EB25FE" w:rsidP="00794B3F">
            <w:pPr>
              <w:pStyle w:val="4"/>
              <w:keepNext w:val="0"/>
              <w:tabs>
                <w:tab w:val="left" w:pos="1475"/>
              </w:tabs>
              <w:snapToGrid w:val="0"/>
              <w:ind w:left="57" w:right="57" w:firstLine="0"/>
              <w:jc w:val="left"/>
              <w:rPr>
                <w:rFonts w:ascii="Times New Roman" w:hAnsi="Times New Roman"/>
                <w:i/>
                <w:iCs/>
                <w:color w:val="000000"/>
                <w:sz w:val="16"/>
                <w:szCs w:val="16"/>
              </w:rPr>
            </w:pPr>
          </w:p>
        </w:tc>
        <w:tc>
          <w:tcPr>
            <w:tcW w:w="2249" w:type="dxa"/>
            <w:gridSpan w:val="6"/>
            <w:shd w:val="clear" w:color="auto" w:fill="auto"/>
          </w:tcPr>
          <w:p w14:paraId="5509ABB6" w14:textId="77777777" w:rsidR="00EB25FE" w:rsidRPr="00E16672" w:rsidRDefault="00EB25FE" w:rsidP="00794B3F">
            <w:pPr>
              <w:pStyle w:val="4"/>
              <w:keepNext w:val="0"/>
              <w:tabs>
                <w:tab w:val="left" w:pos="156"/>
                <w:tab w:val="num" w:pos="200"/>
              </w:tabs>
              <w:snapToGrid w:val="0"/>
              <w:ind w:left="57" w:right="57" w:firstLine="99"/>
              <w:jc w:val="left"/>
              <w:rPr>
                <w:rFonts w:ascii="Times New Roman" w:hAnsi="Times New Roman"/>
                <w:b w:val="0"/>
                <w:iCs/>
                <w:color w:val="000000"/>
                <w:sz w:val="16"/>
                <w:szCs w:val="16"/>
              </w:rPr>
            </w:pPr>
            <w:proofErr w:type="spellStart"/>
            <w:r w:rsidRPr="00E16672">
              <w:rPr>
                <w:rFonts w:ascii="Times New Roman" w:hAnsi="Times New Roman"/>
                <w:b w:val="0"/>
                <w:iCs/>
                <w:color w:val="000000"/>
                <w:sz w:val="16"/>
                <w:szCs w:val="16"/>
              </w:rPr>
              <w:t>Tel</w:t>
            </w:r>
            <w:proofErr w:type="spellEnd"/>
            <w:r w:rsidRPr="00E16672">
              <w:rPr>
                <w:rFonts w:ascii="Times New Roman" w:hAnsi="Times New Roman"/>
                <w:b w:val="0"/>
                <w:iCs/>
                <w:color w:val="000000"/>
                <w:sz w:val="16"/>
                <w:szCs w:val="16"/>
              </w:rPr>
              <w:t>.</w:t>
            </w:r>
          </w:p>
        </w:tc>
        <w:tc>
          <w:tcPr>
            <w:tcW w:w="3313" w:type="dxa"/>
            <w:gridSpan w:val="2"/>
            <w:shd w:val="clear" w:color="auto" w:fill="auto"/>
          </w:tcPr>
          <w:p w14:paraId="6F0D56DB" w14:textId="77777777" w:rsidR="00EB25FE" w:rsidRPr="00E16672" w:rsidRDefault="00EB25FE" w:rsidP="00794B3F">
            <w:pPr>
              <w:pStyle w:val="4"/>
              <w:keepNext w:val="0"/>
              <w:tabs>
                <w:tab w:val="left" w:pos="1475"/>
              </w:tabs>
              <w:snapToGrid w:val="0"/>
              <w:ind w:left="57" w:right="57" w:firstLine="0"/>
              <w:jc w:val="left"/>
              <w:rPr>
                <w:rFonts w:ascii="Times New Roman" w:hAnsi="Times New Roman"/>
                <w:i/>
                <w:iCs/>
                <w:sz w:val="16"/>
                <w:szCs w:val="16"/>
              </w:rPr>
            </w:pPr>
          </w:p>
        </w:tc>
        <w:tc>
          <w:tcPr>
            <w:tcW w:w="366" w:type="dxa"/>
            <w:gridSpan w:val="2"/>
            <w:shd w:val="clear" w:color="auto" w:fill="auto"/>
          </w:tcPr>
          <w:p w14:paraId="6DCA056B" w14:textId="77777777" w:rsidR="00EB25FE" w:rsidRPr="00E16672" w:rsidRDefault="00EB25FE" w:rsidP="00794B3F">
            <w:pPr>
              <w:snapToGrid w:val="0"/>
              <w:rPr>
                <w:rFonts w:ascii="Times New Roman" w:hAnsi="Times New Roman"/>
              </w:rPr>
            </w:pPr>
          </w:p>
        </w:tc>
      </w:tr>
      <w:tr w:rsidR="00EB25FE" w:rsidRPr="00E16672" w14:paraId="26894872" w14:textId="77777777" w:rsidTr="005E418B">
        <w:tblPrEx>
          <w:tblCellMar>
            <w:left w:w="0" w:type="dxa"/>
            <w:right w:w="0" w:type="dxa"/>
          </w:tblCellMar>
        </w:tblPrEx>
        <w:tc>
          <w:tcPr>
            <w:tcW w:w="1740" w:type="dxa"/>
            <w:gridSpan w:val="2"/>
            <w:shd w:val="clear" w:color="auto" w:fill="auto"/>
          </w:tcPr>
          <w:p w14:paraId="56A8AF03" w14:textId="4F60B500" w:rsidR="00EB25FE" w:rsidRPr="00E16672" w:rsidRDefault="00EB25FE" w:rsidP="00794B3F">
            <w:pPr>
              <w:pStyle w:val="4"/>
              <w:keepNext w:val="0"/>
              <w:tabs>
                <w:tab w:val="left" w:pos="57"/>
              </w:tabs>
              <w:snapToGrid w:val="0"/>
              <w:ind w:left="57" w:right="57" w:hanging="14"/>
              <w:jc w:val="left"/>
              <w:rPr>
                <w:rFonts w:ascii="Times New Roman" w:hAnsi="Times New Roman"/>
                <w:b w:val="0"/>
                <w:iCs/>
                <w:color w:val="000000"/>
                <w:sz w:val="16"/>
                <w:szCs w:val="16"/>
              </w:rPr>
            </w:pPr>
          </w:p>
        </w:tc>
        <w:tc>
          <w:tcPr>
            <w:tcW w:w="3522" w:type="dxa"/>
            <w:gridSpan w:val="3"/>
            <w:shd w:val="clear" w:color="auto" w:fill="auto"/>
          </w:tcPr>
          <w:p w14:paraId="204EF044" w14:textId="77777777" w:rsidR="00EB25FE" w:rsidRPr="00E16672" w:rsidRDefault="00EB25FE" w:rsidP="00794B3F">
            <w:pPr>
              <w:pStyle w:val="4"/>
              <w:keepNext w:val="0"/>
              <w:tabs>
                <w:tab w:val="left" w:pos="1475"/>
              </w:tabs>
              <w:snapToGrid w:val="0"/>
              <w:ind w:left="57" w:right="57" w:firstLine="0"/>
              <w:jc w:val="left"/>
              <w:rPr>
                <w:rFonts w:ascii="Times New Roman" w:hAnsi="Times New Roman"/>
                <w:i/>
                <w:iCs/>
                <w:color w:val="000000"/>
                <w:sz w:val="16"/>
                <w:szCs w:val="16"/>
              </w:rPr>
            </w:pPr>
          </w:p>
        </w:tc>
        <w:tc>
          <w:tcPr>
            <w:tcW w:w="2249" w:type="dxa"/>
            <w:gridSpan w:val="6"/>
            <w:shd w:val="clear" w:color="auto" w:fill="auto"/>
          </w:tcPr>
          <w:p w14:paraId="0F6422F1" w14:textId="4C0C90E0" w:rsidR="00EB25FE" w:rsidRPr="00E16672" w:rsidRDefault="00EB25FE" w:rsidP="00794B3F">
            <w:pPr>
              <w:pStyle w:val="4"/>
              <w:keepNext w:val="0"/>
              <w:tabs>
                <w:tab w:val="left" w:pos="156"/>
                <w:tab w:val="num" w:pos="200"/>
              </w:tabs>
              <w:snapToGrid w:val="0"/>
              <w:ind w:left="57" w:right="57" w:firstLine="99"/>
              <w:jc w:val="left"/>
              <w:rPr>
                <w:rFonts w:ascii="Times New Roman" w:hAnsi="Times New Roman"/>
                <w:b w:val="0"/>
                <w:iCs/>
                <w:color w:val="000000"/>
                <w:sz w:val="16"/>
                <w:szCs w:val="16"/>
              </w:rPr>
            </w:pPr>
          </w:p>
        </w:tc>
        <w:tc>
          <w:tcPr>
            <w:tcW w:w="3313" w:type="dxa"/>
            <w:gridSpan w:val="2"/>
            <w:shd w:val="clear" w:color="auto" w:fill="auto"/>
          </w:tcPr>
          <w:p w14:paraId="0F9D40E9" w14:textId="77777777" w:rsidR="00EB25FE" w:rsidRPr="00E16672" w:rsidRDefault="00EB25FE" w:rsidP="00794B3F">
            <w:pPr>
              <w:pStyle w:val="4"/>
              <w:keepNext w:val="0"/>
              <w:tabs>
                <w:tab w:val="left" w:pos="1475"/>
              </w:tabs>
              <w:snapToGrid w:val="0"/>
              <w:ind w:left="57" w:right="57" w:firstLine="0"/>
              <w:jc w:val="left"/>
              <w:rPr>
                <w:rFonts w:ascii="Times New Roman" w:hAnsi="Times New Roman"/>
                <w:i/>
                <w:iCs/>
                <w:sz w:val="16"/>
                <w:szCs w:val="16"/>
              </w:rPr>
            </w:pPr>
          </w:p>
        </w:tc>
        <w:tc>
          <w:tcPr>
            <w:tcW w:w="366" w:type="dxa"/>
            <w:gridSpan w:val="2"/>
            <w:shd w:val="clear" w:color="auto" w:fill="auto"/>
          </w:tcPr>
          <w:p w14:paraId="1ECFD774" w14:textId="77777777" w:rsidR="00EB25FE" w:rsidRPr="00E16672" w:rsidRDefault="00EB25FE" w:rsidP="00794B3F">
            <w:pPr>
              <w:snapToGrid w:val="0"/>
              <w:rPr>
                <w:rFonts w:ascii="Times New Roman" w:hAnsi="Times New Roman"/>
              </w:rPr>
            </w:pPr>
          </w:p>
        </w:tc>
      </w:tr>
      <w:tr w:rsidR="00EB25FE" w:rsidRPr="00E16672" w14:paraId="77E228FE" w14:textId="77777777" w:rsidTr="005E418B">
        <w:tblPrEx>
          <w:tblCellMar>
            <w:left w:w="0" w:type="dxa"/>
            <w:right w:w="0" w:type="dxa"/>
          </w:tblCellMar>
        </w:tblPrEx>
        <w:tc>
          <w:tcPr>
            <w:tcW w:w="1740" w:type="dxa"/>
            <w:gridSpan w:val="2"/>
            <w:shd w:val="clear" w:color="auto" w:fill="auto"/>
          </w:tcPr>
          <w:p w14:paraId="7BAD05F1" w14:textId="77777777" w:rsidR="00EB25FE" w:rsidRPr="00E16672" w:rsidRDefault="00EB25FE" w:rsidP="00794B3F">
            <w:pPr>
              <w:pStyle w:val="4"/>
              <w:keepNext w:val="0"/>
              <w:tabs>
                <w:tab w:val="left" w:pos="57"/>
              </w:tabs>
              <w:snapToGrid w:val="0"/>
              <w:ind w:left="57" w:right="57" w:hanging="14"/>
              <w:jc w:val="left"/>
              <w:rPr>
                <w:rFonts w:ascii="Times New Roman" w:hAnsi="Times New Roman"/>
                <w:b w:val="0"/>
                <w:iCs/>
                <w:color w:val="000000"/>
                <w:sz w:val="16"/>
                <w:szCs w:val="16"/>
                <w:lang w:val="en-US"/>
              </w:rPr>
            </w:pPr>
            <w:r w:rsidRPr="00E16672">
              <w:rPr>
                <w:rFonts w:ascii="Times New Roman" w:hAnsi="Times New Roman"/>
                <w:b w:val="0"/>
                <w:iCs/>
                <w:color w:val="000000"/>
                <w:sz w:val="16"/>
                <w:szCs w:val="16"/>
                <w:lang w:val="en-US"/>
              </w:rPr>
              <w:t>E-mail</w:t>
            </w:r>
          </w:p>
        </w:tc>
        <w:tc>
          <w:tcPr>
            <w:tcW w:w="3522" w:type="dxa"/>
            <w:gridSpan w:val="3"/>
            <w:shd w:val="clear" w:color="auto" w:fill="auto"/>
          </w:tcPr>
          <w:p w14:paraId="37C9E829" w14:textId="77777777" w:rsidR="00EB25FE" w:rsidRPr="00E16672" w:rsidRDefault="00EB25FE" w:rsidP="00794B3F">
            <w:pPr>
              <w:snapToGrid w:val="0"/>
              <w:ind w:left="57" w:right="57"/>
              <w:rPr>
                <w:rFonts w:ascii="Times New Roman" w:hAnsi="Times New Roman"/>
                <w:b/>
                <w:bCs/>
                <w:color w:val="000000"/>
                <w:sz w:val="16"/>
                <w:szCs w:val="16"/>
                <w:lang w:val="en-US"/>
              </w:rPr>
            </w:pPr>
          </w:p>
        </w:tc>
        <w:tc>
          <w:tcPr>
            <w:tcW w:w="2249" w:type="dxa"/>
            <w:gridSpan w:val="6"/>
            <w:shd w:val="clear" w:color="auto" w:fill="auto"/>
          </w:tcPr>
          <w:p w14:paraId="57DC3F3D" w14:textId="77777777" w:rsidR="00EB25FE" w:rsidRPr="00E16672" w:rsidRDefault="00EB25FE" w:rsidP="00794B3F">
            <w:pPr>
              <w:pStyle w:val="4"/>
              <w:keepNext w:val="0"/>
              <w:tabs>
                <w:tab w:val="left" w:pos="156"/>
                <w:tab w:val="num" w:pos="200"/>
              </w:tabs>
              <w:snapToGrid w:val="0"/>
              <w:ind w:left="57" w:right="57" w:firstLine="99"/>
              <w:jc w:val="left"/>
              <w:rPr>
                <w:rFonts w:ascii="Times New Roman" w:hAnsi="Times New Roman"/>
                <w:b w:val="0"/>
                <w:iCs/>
                <w:color w:val="000000"/>
                <w:sz w:val="16"/>
                <w:szCs w:val="16"/>
                <w:lang w:val="en-US"/>
              </w:rPr>
            </w:pPr>
            <w:r w:rsidRPr="00E16672">
              <w:rPr>
                <w:rFonts w:ascii="Times New Roman" w:hAnsi="Times New Roman"/>
                <w:b w:val="0"/>
                <w:iCs/>
                <w:color w:val="000000"/>
                <w:sz w:val="16"/>
                <w:szCs w:val="16"/>
                <w:lang w:val="en-US"/>
              </w:rPr>
              <w:t>E-mail</w:t>
            </w:r>
          </w:p>
        </w:tc>
        <w:tc>
          <w:tcPr>
            <w:tcW w:w="3313" w:type="dxa"/>
            <w:gridSpan w:val="2"/>
            <w:shd w:val="clear" w:color="auto" w:fill="auto"/>
          </w:tcPr>
          <w:p w14:paraId="3772F8E7" w14:textId="77777777" w:rsidR="00EB25FE" w:rsidRPr="00E16672" w:rsidRDefault="00EB25FE" w:rsidP="00794B3F">
            <w:pPr>
              <w:snapToGrid w:val="0"/>
              <w:ind w:left="57" w:right="57"/>
              <w:rPr>
                <w:rFonts w:ascii="Times New Roman" w:hAnsi="Times New Roman"/>
                <w:b/>
                <w:bCs/>
                <w:sz w:val="16"/>
                <w:szCs w:val="16"/>
                <w:lang w:val="en-US"/>
              </w:rPr>
            </w:pPr>
          </w:p>
        </w:tc>
        <w:tc>
          <w:tcPr>
            <w:tcW w:w="366" w:type="dxa"/>
            <w:gridSpan w:val="2"/>
            <w:shd w:val="clear" w:color="auto" w:fill="auto"/>
          </w:tcPr>
          <w:p w14:paraId="50C3856B" w14:textId="77777777" w:rsidR="00EB25FE" w:rsidRPr="00E16672" w:rsidRDefault="00EB25FE" w:rsidP="00794B3F">
            <w:pPr>
              <w:snapToGrid w:val="0"/>
              <w:rPr>
                <w:rFonts w:ascii="Times New Roman" w:hAnsi="Times New Roman"/>
              </w:rPr>
            </w:pPr>
          </w:p>
        </w:tc>
      </w:tr>
      <w:tr w:rsidR="00EB25FE" w:rsidRPr="00A26EFC" w:rsidDel="00D16973" w14:paraId="65A07AB7" w14:textId="77777777" w:rsidTr="005E418B">
        <w:tblPrEx>
          <w:tblCellMar>
            <w:left w:w="0" w:type="dxa"/>
            <w:right w:w="0" w:type="dxa"/>
          </w:tblCellMar>
        </w:tblPrEx>
        <w:trPr>
          <w:trHeight w:val="582"/>
        </w:trPr>
        <w:tc>
          <w:tcPr>
            <w:tcW w:w="1740" w:type="dxa"/>
            <w:gridSpan w:val="2"/>
            <w:shd w:val="clear" w:color="auto" w:fill="auto"/>
          </w:tcPr>
          <w:p w14:paraId="3A4B9149" w14:textId="77777777" w:rsidR="00EB25FE" w:rsidRPr="00E16672" w:rsidRDefault="00EB25FE" w:rsidP="00794B3F">
            <w:pPr>
              <w:pStyle w:val="4"/>
              <w:numPr>
                <w:ilvl w:val="3"/>
                <w:numId w:val="0"/>
              </w:numPr>
              <w:tabs>
                <w:tab w:val="num" w:pos="864"/>
              </w:tabs>
              <w:ind w:left="57" w:right="57"/>
              <w:jc w:val="left"/>
              <w:rPr>
                <w:rFonts w:ascii="Times New Roman" w:hAnsi="Times New Roman"/>
                <w:sz w:val="16"/>
              </w:rPr>
            </w:pPr>
            <w:r w:rsidRPr="00E16672">
              <w:rPr>
                <w:rFonts w:ascii="Times New Roman" w:hAnsi="Times New Roman"/>
                <w:b w:val="0"/>
                <w:sz w:val="16"/>
              </w:rPr>
              <w:t>Документ, що підтверджує повноваження особи, яка підписує договір</w:t>
            </w:r>
          </w:p>
        </w:tc>
        <w:tc>
          <w:tcPr>
            <w:tcW w:w="3623" w:type="dxa"/>
            <w:gridSpan w:val="4"/>
            <w:shd w:val="clear" w:color="auto" w:fill="auto"/>
          </w:tcPr>
          <w:p w14:paraId="00115E7D" w14:textId="77777777" w:rsidR="00EB25FE" w:rsidRPr="00E16672" w:rsidRDefault="00EB25FE" w:rsidP="00794B3F">
            <w:pPr>
              <w:pStyle w:val="1f2"/>
              <w:tabs>
                <w:tab w:val="num" w:pos="200"/>
              </w:tabs>
              <w:ind w:left="57" w:right="-200" w:hanging="15"/>
              <w:rPr>
                <w:rFonts w:ascii="Times New Roman" w:hAnsi="Times New Roman" w:cs="Times New Roman"/>
                <w:b/>
                <w:color w:val="0000FF"/>
                <w:sz w:val="16"/>
                <w:szCs w:val="16"/>
                <w:lang w:val="ru-RU"/>
              </w:rPr>
            </w:pPr>
          </w:p>
        </w:tc>
        <w:tc>
          <w:tcPr>
            <w:tcW w:w="2106" w:type="dxa"/>
            <w:gridSpan w:val="4"/>
            <w:shd w:val="clear" w:color="auto" w:fill="auto"/>
          </w:tcPr>
          <w:p w14:paraId="35628108" w14:textId="77777777" w:rsidR="00EB25FE" w:rsidRPr="00E16672" w:rsidRDefault="00EB25FE" w:rsidP="00794B3F">
            <w:pPr>
              <w:pStyle w:val="4"/>
              <w:widowControl w:val="0"/>
              <w:numPr>
                <w:ilvl w:val="3"/>
                <w:numId w:val="0"/>
              </w:numPr>
              <w:tabs>
                <w:tab w:val="num" w:pos="200"/>
              </w:tabs>
              <w:ind w:left="58" w:right="-200" w:hanging="15"/>
              <w:jc w:val="left"/>
              <w:rPr>
                <w:rFonts w:ascii="Times New Roman" w:hAnsi="Times New Roman"/>
                <w:b w:val="0"/>
                <w:iCs/>
                <w:sz w:val="16"/>
                <w:szCs w:val="16"/>
                <w:lang w:val="en-US"/>
              </w:rPr>
            </w:pPr>
            <w:proofErr w:type="spellStart"/>
            <w:r w:rsidRPr="00E16672">
              <w:rPr>
                <w:rFonts w:ascii="Times New Roman" w:hAnsi="Times New Roman"/>
                <w:b w:val="0"/>
                <w:sz w:val="16"/>
                <w:szCs w:val="16"/>
              </w:rPr>
              <w:t>Document</w:t>
            </w:r>
            <w:proofErr w:type="spellEnd"/>
            <w:r w:rsidRPr="00E16672">
              <w:rPr>
                <w:rFonts w:ascii="Times New Roman" w:hAnsi="Times New Roman"/>
                <w:b w:val="0"/>
                <w:sz w:val="16"/>
                <w:szCs w:val="16"/>
              </w:rPr>
              <w:t xml:space="preserve"> </w:t>
            </w:r>
            <w:proofErr w:type="spellStart"/>
            <w:r w:rsidRPr="00E16672">
              <w:rPr>
                <w:rFonts w:ascii="Times New Roman" w:hAnsi="Times New Roman"/>
                <w:b w:val="0"/>
                <w:sz w:val="16"/>
                <w:szCs w:val="16"/>
              </w:rPr>
              <w:t>confirming</w:t>
            </w:r>
            <w:proofErr w:type="spellEnd"/>
            <w:r w:rsidRPr="00E16672">
              <w:rPr>
                <w:rFonts w:ascii="Times New Roman" w:hAnsi="Times New Roman"/>
                <w:b w:val="0"/>
                <w:sz w:val="16"/>
                <w:szCs w:val="16"/>
              </w:rPr>
              <w:t xml:space="preserve"> </w:t>
            </w:r>
            <w:proofErr w:type="spellStart"/>
            <w:r w:rsidRPr="00E16672">
              <w:rPr>
                <w:rFonts w:ascii="Times New Roman" w:hAnsi="Times New Roman"/>
                <w:b w:val="0"/>
                <w:sz w:val="16"/>
                <w:szCs w:val="16"/>
              </w:rPr>
              <w:t>the</w:t>
            </w:r>
            <w:proofErr w:type="spellEnd"/>
            <w:r w:rsidRPr="00E16672">
              <w:rPr>
                <w:rFonts w:ascii="Times New Roman" w:hAnsi="Times New Roman"/>
                <w:b w:val="0"/>
                <w:sz w:val="16"/>
                <w:szCs w:val="16"/>
              </w:rPr>
              <w:t xml:space="preserve"> </w:t>
            </w:r>
            <w:proofErr w:type="spellStart"/>
            <w:r w:rsidRPr="00E16672">
              <w:rPr>
                <w:rFonts w:ascii="Times New Roman" w:hAnsi="Times New Roman"/>
                <w:b w:val="0"/>
                <w:sz w:val="16"/>
                <w:szCs w:val="16"/>
              </w:rPr>
              <w:t>authority</w:t>
            </w:r>
            <w:proofErr w:type="spellEnd"/>
            <w:r w:rsidRPr="00E16672">
              <w:rPr>
                <w:rFonts w:ascii="Times New Roman" w:hAnsi="Times New Roman"/>
                <w:b w:val="0"/>
                <w:sz w:val="16"/>
                <w:szCs w:val="16"/>
              </w:rPr>
              <w:t xml:space="preserve"> </w:t>
            </w:r>
            <w:proofErr w:type="spellStart"/>
            <w:r w:rsidRPr="00E16672">
              <w:rPr>
                <w:rFonts w:ascii="Times New Roman" w:hAnsi="Times New Roman"/>
                <w:b w:val="0"/>
                <w:sz w:val="16"/>
                <w:szCs w:val="16"/>
              </w:rPr>
              <w:t>of</w:t>
            </w:r>
            <w:proofErr w:type="spellEnd"/>
            <w:r w:rsidRPr="00E16672">
              <w:rPr>
                <w:rFonts w:ascii="Times New Roman" w:hAnsi="Times New Roman"/>
                <w:b w:val="0"/>
                <w:sz w:val="16"/>
                <w:szCs w:val="16"/>
              </w:rPr>
              <w:t xml:space="preserve"> </w:t>
            </w:r>
            <w:proofErr w:type="spellStart"/>
            <w:r w:rsidRPr="00E16672">
              <w:rPr>
                <w:rFonts w:ascii="Times New Roman" w:hAnsi="Times New Roman"/>
                <w:b w:val="0"/>
                <w:sz w:val="16"/>
                <w:szCs w:val="16"/>
              </w:rPr>
              <w:t>the</w:t>
            </w:r>
            <w:proofErr w:type="spellEnd"/>
            <w:r w:rsidRPr="00E16672">
              <w:rPr>
                <w:rFonts w:ascii="Times New Roman" w:hAnsi="Times New Roman"/>
                <w:b w:val="0"/>
                <w:sz w:val="16"/>
                <w:szCs w:val="16"/>
              </w:rPr>
              <w:t xml:space="preserve"> </w:t>
            </w:r>
            <w:proofErr w:type="spellStart"/>
            <w:r w:rsidRPr="00E16672">
              <w:rPr>
                <w:rFonts w:ascii="Times New Roman" w:hAnsi="Times New Roman"/>
                <w:b w:val="0"/>
                <w:sz w:val="16"/>
                <w:szCs w:val="16"/>
              </w:rPr>
              <w:t>person</w:t>
            </w:r>
            <w:proofErr w:type="spellEnd"/>
            <w:r w:rsidRPr="00E16672">
              <w:rPr>
                <w:rFonts w:ascii="Times New Roman" w:hAnsi="Times New Roman"/>
                <w:b w:val="0"/>
                <w:sz w:val="16"/>
                <w:szCs w:val="16"/>
              </w:rPr>
              <w:t xml:space="preserve"> </w:t>
            </w:r>
            <w:proofErr w:type="spellStart"/>
            <w:r w:rsidRPr="00E16672">
              <w:rPr>
                <w:rFonts w:ascii="Times New Roman" w:hAnsi="Times New Roman"/>
                <w:b w:val="0"/>
                <w:sz w:val="16"/>
                <w:szCs w:val="16"/>
              </w:rPr>
              <w:t>signing</w:t>
            </w:r>
            <w:proofErr w:type="spellEnd"/>
            <w:r w:rsidRPr="00E16672">
              <w:rPr>
                <w:rFonts w:ascii="Times New Roman" w:hAnsi="Times New Roman"/>
                <w:b w:val="0"/>
                <w:sz w:val="16"/>
                <w:szCs w:val="16"/>
              </w:rPr>
              <w:t xml:space="preserve"> </w:t>
            </w:r>
            <w:proofErr w:type="spellStart"/>
            <w:r w:rsidRPr="00E16672">
              <w:rPr>
                <w:rFonts w:ascii="Times New Roman" w:hAnsi="Times New Roman"/>
                <w:b w:val="0"/>
                <w:sz w:val="16"/>
                <w:szCs w:val="16"/>
              </w:rPr>
              <w:t>the</w:t>
            </w:r>
            <w:proofErr w:type="spellEnd"/>
            <w:r w:rsidRPr="00E16672">
              <w:rPr>
                <w:rFonts w:ascii="Times New Roman" w:hAnsi="Times New Roman"/>
                <w:b w:val="0"/>
                <w:sz w:val="16"/>
                <w:szCs w:val="16"/>
              </w:rPr>
              <w:t xml:space="preserve"> </w:t>
            </w:r>
            <w:proofErr w:type="spellStart"/>
            <w:r w:rsidRPr="00E16672">
              <w:rPr>
                <w:rFonts w:ascii="Times New Roman" w:hAnsi="Times New Roman"/>
                <w:b w:val="0"/>
                <w:sz w:val="16"/>
                <w:szCs w:val="16"/>
              </w:rPr>
              <w:t>contract</w:t>
            </w:r>
            <w:proofErr w:type="spellEnd"/>
            <w:r w:rsidRPr="00E16672">
              <w:rPr>
                <w:rFonts w:ascii="Times New Roman" w:hAnsi="Times New Roman"/>
                <w:b w:val="0"/>
                <w:sz w:val="16"/>
                <w:szCs w:val="16"/>
              </w:rPr>
              <w:t xml:space="preserve"> </w:t>
            </w:r>
          </w:p>
        </w:tc>
        <w:tc>
          <w:tcPr>
            <w:tcW w:w="3721" w:type="dxa"/>
            <w:gridSpan w:val="5"/>
            <w:shd w:val="clear" w:color="auto" w:fill="auto"/>
          </w:tcPr>
          <w:p w14:paraId="1EFCDC69" w14:textId="77777777" w:rsidR="00EB25FE" w:rsidRPr="00E16672" w:rsidDel="00D16973" w:rsidRDefault="00EB25FE" w:rsidP="00794B3F">
            <w:pPr>
              <w:pStyle w:val="6"/>
              <w:widowControl w:val="0"/>
              <w:tabs>
                <w:tab w:val="num" w:pos="200"/>
              </w:tabs>
              <w:snapToGrid w:val="0"/>
              <w:ind w:left="0" w:firstLine="0"/>
              <w:jc w:val="left"/>
              <w:rPr>
                <w:rFonts w:ascii="Times New Roman" w:hAnsi="Times New Roman"/>
                <w:color w:val="0000FF"/>
                <w:sz w:val="24"/>
                <w:szCs w:val="24"/>
                <w:lang w:val="en-US"/>
              </w:rPr>
            </w:pPr>
          </w:p>
        </w:tc>
      </w:tr>
      <w:tr w:rsidR="0014071D" w:rsidRPr="00E16672" w14:paraId="3F121185" w14:textId="77777777" w:rsidTr="005E418B">
        <w:tblPrEx>
          <w:tblCellMar>
            <w:left w:w="0" w:type="dxa"/>
            <w:right w:w="0" w:type="dxa"/>
          </w:tblCellMar>
        </w:tblPrEx>
        <w:tc>
          <w:tcPr>
            <w:tcW w:w="5262" w:type="dxa"/>
            <w:gridSpan w:val="5"/>
            <w:shd w:val="clear" w:color="auto" w:fill="auto"/>
          </w:tcPr>
          <w:p w14:paraId="58909EC3" w14:textId="77777777" w:rsidR="0014071D" w:rsidRPr="00E16672" w:rsidRDefault="0014071D" w:rsidP="005745AF">
            <w:pPr>
              <w:snapToGrid w:val="0"/>
              <w:ind w:left="57" w:right="57"/>
              <w:jc w:val="center"/>
              <w:rPr>
                <w:rFonts w:ascii="Times New Roman" w:hAnsi="Times New Roman"/>
                <w:b/>
                <w:bCs/>
                <w:iCs/>
                <w:color w:val="000000"/>
                <w:sz w:val="16"/>
                <w:szCs w:val="16"/>
                <w:lang w:val="en-US"/>
              </w:rPr>
            </w:pPr>
          </w:p>
          <w:p w14:paraId="3F278857" w14:textId="77777777" w:rsidR="0014071D" w:rsidRPr="00E16672" w:rsidRDefault="0014071D" w:rsidP="005745AF">
            <w:pPr>
              <w:ind w:left="57" w:right="57"/>
              <w:jc w:val="center"/>
              <w:rPr>
                <w:rFonts w:ascii="Times New Roman" w:hAnsi="Times New Roman"/>
                <w:b/>
                <w:bCs/>
                <w:color w:val="000000"/>
                <w:sz w:val="16"/>
                <w:szCs w:val="16"/>
              </w:rPr>
            </w:pPr>
            <w:proofErr w:type="spellStart"/>
            <w:r w:rsidRPr="00E16672">
              <w:rPr>
                <w:rFonts w:ascii="Times New Roman" w:hAnsi="Times New Roman"/>
                <w:b/>
                <w:bCs/>
                <w:color w:val="000000"/>
                <w:sz w:val="16"/>
                <w:szCs w:val="16"/>
              </w:rPr>
              <w:t>Депозитарна</w:t>
            </w:r>
            <w:proofErr w:type="spellEnd"/>
            <w:r w:rsidRPr="00E16672">
              <w:rPr>
                <w:rFonts w:ascii="Times New Roman" w:hAnsi="Times New Roman"/>
                <w:b/>
                <w:bCs/>
                <w:color w:val="000000"/>
                <w:sz w:val="16"/>
                <w:szCs w:val="16"/>
              </w:rPr>
              <w:t xml:space="preserve"> </w:t>
            </w:r>
            <w:proofErr w:type="spellStart"/>
            <w:r w:rsidRPr="00E16672">
              <w:rPr>
                <w:rFonts w:ascii="Times New Roman" w:hAnsi="Times New Roman"/>
                <w:b/>
                <w:bCs/>
                <w:color w:val="000000"/>
                <w:sz w:val="16"/>
                <w:szCs w:val="16"/>
              </w:rPr>
              <w:t>установа</w:t>
            </w:r>
            <w:proofErr w:type="spellEnd"/>
            <w:r w:rsidRPr="00E16672">
              <w:rPr>
                <w:rFonts w:ascii="Times New Roman" w:hAnsi="Times New Roman"/>
                <w:b/>
                <w:bCs/>
                <w:color w:val="000000"/>
                <w:sz w:val="16"/>
                <w:szCs w:val="16"/>
              </w:rPr>
              <w:t>:</w:t>
            </w:r>
          </w:p>
          <w:p w14:paraId="6AA641DA" w14:textId="77777777" w:rsidR="0014071D" w:rsidRPr="00E16672" w:rsidRDefault="0014071D" w:rsidP="005745AF">
            <w:pPr>
              <w:snapToGrid w:val="0"/>
              <w:ind w:left="57" w:right="57"/>
              <w:jc w:val="center"/>
              <w:rPr>
                <w:rFonts w:ascii="Times New Roman" w:hAnsi="Times New Roman"/>
                <w:color w:val="000000"/>
                <w:sz w:val="16"/>
                <w:szCs w:val="16"/>
                <w:lang w:val="en-US"/>
              </w:rPr>
            </w:pPr>
          </w:p>
        </w:tc>
        <w:tc>
          <w:tcPr>
            <w:tcW w:w="5562" w:type="dxa"/>
            <w:gridSpan w:val="8"/>
            <w:shd w:val="clear" w:color="auto" w:fill="auto"/>
          </w:tcPr>
          <w:p w14:paraId="073936A5" w14:textId="77777777" w:rsidR="0014071D" w:rsidRPr="00E16672" w:rsidRDefault="0014071D" w:rsidP="005745AF">
            <w:pPr>
              <w:snapToGrid w:val="0"/>
              <w:ind w:left="57" w:right="57"/>
              <w:rPr>
                <w:rFonts w:ascii="Times New Roman" w:hAnsi="Times New Roman"/>
                <w:b/>
                <w:bCs/>
                <w:color w:val="000000"/>
                <w:sz w:val="16"/>
                <w:szCs w:val="16"/>
              </w:rPr>
            </w:pPr>
          </w:p>
          <w:p w14:paraId="38F20161" w14:textId="77777777" w:rsidR="0014071D" w:rsidRPr="00E16672" w:rsidRDefault="0014071D" w:rsidP="005745AF">
            <w:pPr>
              <w:ind w:left="57" w:right="57"/>
              <w:jc w:val="center"/>
              <w:rPr>
                <w:rFonts w:ascii="Times New Roman" w:hAnsi="Times New Roman"/>
                <w:b/>
                <w:bCs/>
                <w:color w:val="000000"/>
                <w:sz w:val="16"/>
                <w:szCs w:val="16"/>
              </w:rPr>
            </w:pPr>
            <w:r w:rsidRPr="00E16672">
              <w:rPr>
                <w:rFonts w:ascii="Times New Roman" w:hAnsi="Times New Roman"/>
                <w:b/>
                <w:color w:val="000000"/>
                <w:sz w:val="16"/>
                <w:szCs w:val="16"/>
                <w:lang w:val="en-US"/>
              </w:rPr>
              <w:t>Depository institution</w:t>
            </w:r>
            <w:r w:rsidRPr="00E16672">
              <w:rPr>
                <w:rFonts w:ascii="Times New Roman" w:hAnsi="Times New Roman"/>
                <w:b/>
                <w:bCs/>
                <w:color w:val="000000"/>
                <w:sz w:val="16"/>
                <w:szCs w:val="16"/>
              </w:rPr>
              <w:t>:</w:t>
            </w:r>
          </w:p>
          <w:p w14:paraId="372BAAE0" w14:textId="77777777" w:rsidR="0014071D" w:rsidRPr="00E16672" w:rsidRDefault="0014071D" w:rsidP="005745AF">
            <w:pPr>
              <w:snapToGrid w:val="0"/>
              <w:ind w:left="57" w:right="57"/>
              <w:rPr>
                <w:rFonts w:ascii="Times New Roman" w:hAnsi="Times New Roman"/>
                <w:color w:val="000000"/>
                <w:sz w:val="16"/>
                <w:szCs w:val="16"/>
                <w:lang w:val="en-US"/>
              </w:rPr>
            </w:pPr>
          </w:p>
        </w:tc>
        <w:tc>
          <w:tcPr>
            <w:tcW w:w="366" w:type="dxa"/>
            <w:gridSpan w:val="2"/>
            <w:tcBorders>
              <w:left w:val="nil"/>
            </w:tcBorders>
            <w:shd w:val="clear" w:color="auto" w:fill="auto"/>
          </w:tcPr>
          <w:p w14:paraId="2147158A" w14:textId="77777777" w:rsidR="0014071D" w:rsidRPr="00E16672" w:rsidRDefault="0014071D" w:rsidP="005745AF">
            <w:pPr>
              <w:snapToGrid w:val="0"/>
              <w:rPr>
                <w:rFonts w:ascii="Times New Roman" w:hAnsi="Times New Roman"/>
              </w:rPr>
            </w:pPr>
          </w:p>
        </w:tc>
      </w:tr>
      <w:tr w:rsidR="0014071D" w:rsidRPr="00E16672" w14:paraId="4EE16837" w14:textId="77777777" w:rsidTr="005E418B">
        <w:tblPrEx>
          <w:tblCellMar>
            <w:left w:w="0" w:type="dxa"/>
            <w:right w:w="0" w:type="dxa"/>
          </w:tblCellMar>
        </w:tblPrEx>
        <w:tc>
          <w:tcPr>
            <w:tcW w:w="1740" w:type="dxa"/>
            <w:gridSpan w:val="2"/>
            <w:shd w:val="clear" w:color="auto" w:fill="auto"/>
          </w:tcPr>
          <w:p w14:paraId="3336F29C" w14:textId="77777777" w:rsidR="0014071D" w:rsidRPr="00E16672" w:rsidRDefault="0014071D" w:rsidP="005745AF">
            <w:pPr>
              <w:pStyle w:val="4"/>
              <w:keepNext w:val="0"/>
              <w:tabs>
                <w:tab w:val="left" w:pos="57"/>
              </w:tabs>
              <w:snapToGrid w:val="0"/>
              <w:ind w:left="57" w:right="57" w:hanging="14"/>
              <w:jc w:val="left"/>
              <w:rPr>
                <w:rFonts w:ascii="Times New Roman" w:hAnsi="Times New Roman"/>
                <w:b w:val="0"/>
                <w:iCs/>
                <w:color w:val="000000"/>
                <w:sz w:val="16"/>
                <w:szCs w:val="16"/>
              </w:rPr>
            </w:pPr>
            <w:proofErr w:type="spellStart"/>
            <w:r w:rsidRPr="00E16672">
              <w:rPr>
                <w:rFonts w:ascii="Times New Roman" w:hAnsi="Times New Roman"/>
                <w:b w:val="0"/>
                <w:iCs/>
                <w:color w:val="000000"/>
                <w:sz w:val="16"/>
                <w:szCs w:val="16"/>
                <w:lang w:val="ru-RU"/>
              </w:rPr>
              <w:t>Повне</w:t>
            </w:r>
            <w:proofErr w:type="spellEnd"/>
            <w:r w:rsidRPr="00E16672">
              <w:rPr>
                <w:rFonts w:ascii="Times New Roman" w:hAnsi="Times New Roman"/>
                <w:b w:val="0"/>
                <w:iCs/>
                <w:color w:val="000000"/>
                <w:sz w:val="16"/>
                <w:szCs w:val="16"/>
                <w:lang w:val="ru-RU"/>
              </w:rPr>
              <w:t xml:space="preserve"> </w:t>
            </w:r>
            <w:r w:rsidRPr="00E16672">
              <w:rPr>
                <w:rFonts w:ascii="Times New Roman" w:hAnsi="Times New Roman"/>
                <w:b w:val="0"/>
                <w:iCs/>
                <w:color w:val="000000"/>
                <w:sz w:val="16"/>
                <w:szCs w:val="16"/>
              </w:rPr>
              <w:t>Найменування</w:t>
            </w:r>
          </w:p>
        </w:tc>
        <w:tc>
          <w:tcPr>
            <w:tcW w:w="3522" w:type="dxa"/>
            <w:gridSpan w:val="3"/>
            <w:shd w:val="clear" w:color="auto" w:fill="auto"/>
            <w:vAlign w:val="center"/>
          </w:tcPr>
          <w:p w14:paraId="5E061599" w14:textId="77777777" w:rsidR="0014071D" w:rsidRPr="00E16672" w:rsidRDefault="0014071D" w:rsidP="00022F5F">
            <w:pPr>
              <w:widowControl w:val="0"/>
              <w:snapToGrid w:val="0"/>
              <w:ind w:left="57" w:right="57" w:firstLine="0"/>
              <w:jc w:val="left"/>
              <w:rPr>
                <w:rFonts w:ascii="Times New Roman" w:hAnsi="Times New Roman"/>
                <w:caps/>
                <w:color w:val="000000"/>
                <w:sz w:val="16"/>
                <w:szCs w:val="16"/>
              </w:rPr>
            </w:pPr>
            <w:r w:rsidRPr="00E16672">
              <w:rPr>
                <w:rFonts w:ascii="Times New Roman" w:hAnsi="Times New Roman"/>
                <w:sz w:val="16"/>
                <w:szCs w:val="16"/>
              </w:rPr>
              <w:t xml:space="preserve">ТОВАРИСТВО З ОБМЕЖЕНОЮ ВІДПОВІДАЛЬНІСТЮ </w:t>
            </w:r>
            <w:r w:rsidR="00022F5F">
              <w:rPr>
                <w:rFonts w:ascii="Times New Roman" w:hAnsi="Times New Roman"/>
                <w:sz w:val="16"/>
                <w:szCs w:val="16"/>
              </w:rPr>
              <w:t>"</w:t>
            </w:r>
            <w:r w:rsidR="00E16672" w:rsidRPr="00E16672">
              <w:rPr>
                <w:rFonts w:ascii="Times New Roman" w:hAnsi="Times New Roman"/>
                <w:sz w:val="16"/>
                <w:szCs w:val="16"/>
              </w:rPr>
              <w:t>КОМЕКС ЦІННІ ПАПЕРИ</w:t>
            </w:r>
            <w:r w:rsidR="00022F5F">
              <w:rPr>
                <w:rFonts w:ascii="Times New Roman" w:hAnsi="Times New Roman"/>
                <w:sz w:val="16"/>
                <w:szCs w:val="16"/>
              </w:rPr>
              <w:t>"</w:t>
            </w:r>
          </w:p>
        </w:tc>
        <w:tc>
          <w:tcPr>
            <w:tcW w:w="2000" w:type="dxa"/>
            <w:gridSpan w:val="4"/>
            <w:shd w:val="clear" w:color="auto" w:fill="auto"/>
            <w:vAlign w:val="center"/>
          </w:tcPr>
          <w:p w14:paraId="2A778100" w14:textId="77777777" w:rsidR="0014071D" w:rsidRPr="00E16672" w:rsidRDefault="0014071D" w:rsidP="005745AF">
            <w:pPr>
              <w:pStyle w:val="4"/>
              <w:keepNext w:val="0"/>
              <w:tabs>
                <w:tab w:val="left" w:pos="57"/>
              </w:tabs>
              <w:snapToGrid w:val="0"/>
              <w:ind w:left="57" w:right="57" w:hanging="15"/>
              <w:jc w:val="left"/>
              <w:rPr>
                <w:rFonts w:ascii="Times New Roman" w:hAnsi="Times New Roman"/>
                <w:b w:val="0"/>
                <w:iCs/>
                <w:color w:val="000000"/>
                <w:sz w:val="16"/>
                <w:szCs w:val="16"/>
                <w:lang w:val="en-US"/>
              </w:rPr>
            </w:pPr>
            <w:r w:rsidRPr="00E16672">
              <w:rPr>
                <w:rFonts w:ascii="Times New Roman" w:hAnsi="Times New Roman"/>
                <w:b w:val="0"/>
                <w:iCs/>
                <w:color w:val="000000"/>
                <w:sz w:val="16"/>
                <w:szCs w:val="16"/>
                <w:lang w:val="en-US"/>
              </w:rPr>
              <w:t>Full name</w:t>
            </w:r>
          </w:p>
        </w:tc>
        <w:tc>
          <w:tcPr>
            <w:tcW w:w="3562" w:type="dxa"/>
            <w:gridSpan w:val="4"/>
            <w:shd w:val="clear" w:color="auto" w:fill="auto"/>
            <w:vAlign w:val="center"/>
          </w:tcPr>
          <w:p w14:paraId="459C9E7D" w14:textId="77777777" w:rsidR="0014071D" w:rsidRPr="00E16672" w:rsidRDefault="001E62BE" w:rsidP="005745AF">
            <w:pPr>
              <w:tabs>
                <w:tab w:val="left" w:pos="1475"/>
              </w:tabs>
              <w:snapToGrid w:val="0"/>
              <w:ind w:left="57" w:right="57" w:firstLine="0"/>
              <w:jc w:val="left"/>
              <w:rPr>
                <w:rFonts w:ascii="Times New Roman" w:hAnsi="Times New Roman"/>
                <w:caps/>
                <w:sz w:val="16"/>
                <w:szCs w:val="16"/>
                <w:lang w:val="en-GB"/>
              </w:rPr>
            </w:pPr>
            <w:r>
              <w:rPr>
                <w:rFonts w:ascii="Times New Roman" w:hAnsi="Times New Roman"/>
                <w:sz w:val="16"/>
                <w:szCs w:val="16"/>
                <w:lang w:val="en-GB"/>
              </w:rPr>
              <w:t>COMEX Securities Limited</w:t>
            </w:r>
          </w:p>
        </w:tc>
        <w:tc>
          <w:tcPr>
            <w:tcW w:w="366" w:type="dxa"/>
            <w:gridSpan w:val="2"/>
            <w:shd w:val="clear" w:color="auto" w:fill="auto"/>
          </w:tcPr>
          <w:p w14:paraId="2478F1CF" w14:textId="77777777" w:rsidR="0014071D" w:rsidRPr="00E16672" w:rsidRDefault="0014071D" w:rsidP="005745AF">
            <w:pPr>
              <w:snapToGrid w:val="0"/>
              <w:rPr>
                <w:rFonts w:ascii="Times New Roman" w:hAnsi="Times New Roman"/>
                <w:lang w:val="en-US"/>
              </w:rPr>
            </w:pPr>
          </w:p>
        </w:tc>
      </w:tr>
      <w:tr w:rsidR="0014071D" w:rsidRPr="00A26EFC" w14:paraId="1BAE6D59" w14:textId="77777777" w:rsidTr="005E418B">
        <w:tblPrEx>
          <w:tblCellMar>
            <w:left w:w="0" w:type="dxa"/>
            <w:right w:w="0" w:type="dxa"/>
          </w:tblCellMar>
        </w:tblPrEx>
        <w:tc>
          <w:tcPr>
            <w:tcW w:w="1740" w:type="dxa"/>
            <w:gridSpan w:val="2"/>
            <w:shd w:val="clear" w:color="auto" w:fill="auto"/>
          </w:tcPr>
          <w:p w14:paraId="3867F3E7" w14:textId="77777777" w:rsidR="0014071D" w:rsidRPr="00E16672" w:rsidRDefault="0014071D" w:rsidP="005745AF">
            <w:pPr>
              <w:pStyle w:val="4"/>
              <w:keepNext w:val="0"/>
              <w:tabs>
                <w:tab w:val="left" w:pos="57"/>
              </w:tabs>
              <w:snapToGrid w:val="0"/>
              <w:ind w:left="57" w:right="57" w:hanging="14"/>
              <w:jc w:val="left"/>
              <w:rPr>
                <w:rFonts w:ascii="Times New Roman" w:hAnsi="Times New Roman"/>
                <w:b w:val="0"/>
                <w:iCs/>
                <w:color w:val="000000"/>
                <w:sz w:val="16"/>
                <w:szCs w:val="16"/>
              </w:rPr>
            </w:pPr>
            <w:r w:rsidRPr="00E16672">
              <w:rPr>
                <w:rFonts w:ascii="Times New Roman" w:hAnsi="Times New Roman"/>
                <w:b w:val="0"/>
                <w:iCs/>
                <w:color w:val="000000"/>
                <w:sz w:val="16"/>
                <w:szCs w:val="16"/>
              </w:rPr>
              <w:t>Місцезнаходження</w:t>
            </w:r>
          </w:p>
        </w:tc>
        <w:tc>
          <w:tcPr>
            <w:tcW w:w="3522" w:type="dxa"/>
            <w:gridSpan w:val="3"/>
            <w:shd w:val="clear" w:color="auto" w:fill="auto"/>
            <w:vAlign w:val="center"/>
          </w:tcPr>
          <w:p w14:paraId="0704AA4E" w14:textId="77777777" w:rsidR="0014071D" w:rsidRPr="00E16672" w:rsidRDefault="001E62BE" w:rsidP="005745AF">
            <w:pPr>
              <w:widowControl w:val="0"/>
              <w:snapToGrid w:val="0"/>
              <w:ind w:left="57" w:right="57" w:firstLine="0"/>
              <w:jc w:val="left"/>
              <w:rPr>
                <w:rFonts w:ascii="Times New Roman" w:hAnsi="Times New Roman"/>
                <w:color w:val="0000FF"/>
                <w:sz w:val="16"/>
                <w:szCs w:val="16"/>
              </w:rPr>
            </w:pPr>
            <w:r>
              <w:rPr>
                <w:rFonts w:ascii="Times New Roman" w:hAnsi="Times New Roman"/>
                <w:bCs/>
                <w:sz w:val="16"/>
                <w:szCs w:val="16"/>
                <w:lang w:val="uk-UA"/>
              </w:rPr>
              <w:t xml:space="preserve">Україна, </w:t>
            </w:r>
            <w:proofErr w:type="spellStart"/>
            <w:r>
              <w:rPr>
                <w:rFonts w:ascii="Times New Roman" w:hAnsi="Times New Roman"/>
                <w:bCs/>
                <w:sz w:val="16"/>
                <w:szCs w:val="16"/>
                <w:lang w:val="uk-UA"/>
              </w:rPr>
              <w:t>м.Київ</w:t>
            </w:r>
            <w:proofErr w:type="spellEnd"/>
            <w:r>
              <w:rPr>
                <w:rFonts w:ascii="Times New Roman" w:hAnsi="Times New Roman"/>
                <w:bCs/>
                <w:sz w:val="16"/>
                <w:szCs w:val="16"/>
                <w:lang w:val="uk-UA"/>
              </w:rPr>
              <w:t>, Велика Васильківська (колишня Червоноармійська) вул., буд. 65</w:t>
            </w:r>
          </w:p>
        </w:tc>
        <w:tc>
          <w:tcPr>
            <w:tcW w:w="2000" w:type="dxa"/>
            <w:gridSpan w:val="4"/>
            <w:shd w:val="clear" w:color="auto" w:fill="auto"/>
            <w:vAlign w:val="center"/>
          </w:tcPr>
          <w:p w14:paraId="59062D74" w14:textId="77777777" w:rsidR="0014071D" w:rsidRPr="00E16672" w:rsidRDefault="0014071D" w:rsidP="005745AF">
            <w:pPr>
              <w:pStyle w:val="4"/>
              <w:keepNext w:val="0"/>
              <w:tabs>
                <w:tab w:val="left" w:pos="57"/>
              </w:tabs>
              <w:snapToGrid w:val="0"/>
              <w:ind w:left="57" w:right="57" w:hanging="15"/>
              <w:jc w:val="left"/>
              <w:rPr>
                <w:rFonts w:ascii="Times New Roman" w:hAnsi="Times New Roman"/>
                <w:b w:val="0"/>
                <w:iCs/>
                <w:color w:val="000000"/>
                <w:sz w:val="16"/>
                <w:szCs w:val="16"/>
                <w:lang w:val="en-US"/>
              </w:rPr>
            </w:pPr>
            <w:r w:rsidRPr="00E16672">
              <w:rPr>
                <w:rFonts w:ascii="Times New Roman" w:hAnsi="Times New Roman"/>
                <w:b w:val="0"/>
                <w:iCs/>
                <w:color w:val="000000"/>
                <w:sz w:val="16"/>
                <w:szCs w:val="16"/>
                <w:lang w:val="en-US"/>
              </w:rPr>
              <w:t>Residential address</w:t>
            </w:r>
          </w:p>
        </w:tc>
        <w:tc>
          <w:tcPr>
            <w:tcW w:w="3562" w:type="dxa"/>
            <w:gridSpan w:val="4"/>
            <w:shd w:val="clear" w:color="auto" w:fill="auto"/>
            <w:vAlign w:val="center"/>
          </w:tcPr>
          <w:p w14:paraId="5D0AA10B" w14:textId="77777777" w:rsidR="0014071D" w:rsidRPr="00E16672" w:rsidRDefault="001E62BE" w:rsidP="005745AF">
            <w:pPr>
              <w:pStyle w:val="4"/>
              <w:keepNext w:val="0"/>
              <w:widowControl w:val="0"/>
              <w:numPr>
                <w:ilvl w:val="0"/>
                <w:numId w:val="0"/>
              </w:numPr>
              <w:snapToGrid w:val="0"/>
              <w:ind w:left="3" w:hanging="3"/>
              <w:jc w:val="left"/>
              <w:rPr>
                <w:rFonts w:ascii="Times New Roman" w:hAnsi="Times New Roman"/>
                <w:b w:val="0"/>
                <w:sz w:val="16"/>
                <w:szCs w:val="16"/>
                <w:lang w:val="en-GB"/>
              </w:rPr>
            </w:pPr>
            <w:r>
              <w:rPr>
                <w:rFonts w:ascii="Times New Roman" w:hAnsi="Times New Roman"/>
                <w:b w:val="0"/>
                <w:sz w:val="16"/>
                <w:szCs w:val="16"/>
                <w:lang w:val="en-GB"/>
              </w:rPr>
              <w:t xml:space="preserve">Ukraine, Kyiv, </w:t>
            </w:r>
            <w:proofErr w:type="spellStart"/>
            <w:r>
              <w:rPr>
                <w:rFonts w:ascii="Times New Roman" w:hAnsi="Times New Roman"/>
                <w:b w:val="0"/>
                <w:sz w:val="16"/>
                <w:szCs w:val="16"/>
                <w:lang w:val="en-GB"/>
              </w:rPr>
              <w:t>Velyka</w:t>
            </w:r>
            <w:proofErr w:type="spellEnd"/>
            <w:r>
              <w:rPr>
                <w:rFonts w:ascii="Times New Roman" w:hAnsi="Times New Roman"/>
                <w:b w:val="0"/>
                <w:sz w:val="16"/>
                <w:szCs w:val="16"/>
                <w:lang w:val="en-GB"/>
              </w:rPr>
              <w:t xml:space="preserve"> </w:t>
            </w:r>
            <w:proofErr w:type="spellStart"/>
            <w:r>
              <w:rPr>
                <w:rFonts w:ascii="Times New Roman" w:hAnsi="Times New Roman"/>
                <w:b w:val="0"/>
                <w:sz w:val="16"/>
                <w:szCs w:val="16"/>
                <w:lang w:val="en-GB"/>
              </w:rPr>
              <w:t>Vasilkivska</w:t>
            </w:r>
            <w:proofErr w:type="spellEnd"/>
            <w:r>
              <w:rPr>
                <w:rFonts w:ascii="Times New Roman" w:hAnsi="Times New Roman"/>
                <w:b w:val="0"/>
                <w:sz w:val="16"/>
                <w:szCs w:val="16"/>
                <w:lang w:val="en-GB"/>
              </w:rPr>
              <w:t xml:space="preserve"> (former </w:t>
            </w:r>
            <w:proofErr w:type="spellStart"/>
            <w:r>
              <w:rPr>
                <w:rFonts w:ascii="Times New Roman" w:hAnsi="Times New Roman"/>
                <w:b w:val="0"/>
                <w:sz w:val="16"/>
                <w:szCs w:val="16"/>
                <w:lang w:val="en-GB"/>
              </w:rPr>
              <w:t>Chervonoarmiyska</w:t>
            </w:r>
            <w:proofErr w:type="spellEnd"/>
            <w:r>
              <w:rPr>
                <w:rFonts w:ascii="Times New Roman" w:hAnsi="Times New Roman"/>
                <w:b w:val="0"/>
                <w:sz w:val="16"/>
                <w:szCs w:val="16"/>
                <w:lang w:val="en-GB"/>
              </w:rPr>
              <w:t>) str., 65</w:t>
            </w:r>
          </w:p>
        </w:tc>
        <w:tc>
          <w:tcPr>
            <w:tcW w:w="366" w:type="dxa"/>
            <w:gridSpan w:val="2"/>
            <w:shd w:val="clear" w:color="auto" w:fill="auto"/>
          </w:tcPr>
          <w:p w14:paraId="7BD0FE08" w14:textId="77777777" w:rsidR="0014071D" w:rsidRPr="00E16672" w:rsidRDefault="0014071D" w:rsidP="005745AF">
            <w:pPr>
              <w:snapToGrid w:val="0"/>
              <w:rPr>
                <w:rFonts w:ascii="Times New Roman" w:hAnsi="Times New Roman"/>
                <w:lang w:val="en-US"/>
              </w:rPr>
            </w:pPr>
          </w:p>
        </w:tc>
      </w:tr>
      <w:tr w:rsidR="0014071D" w:rsidRPr="00A26EFC" w14:paraId="72E2498A" w14:textId="77777777" w:rsidTr="005E418B">
        <w:tblPrEx>
          <w:tblCellMar>
            <w:left w:w="0" w:type="dxa"/>
            <w:right w:w="0" w:type="dxa"/>
          </w:tblCellMar>
        </w:tblPrEx>
        <w:tc>
          <w:tcPr>
            <w:tcW w:w="1740" w:type="dxa"/>
            <w:gridSpan w:val="2"/>
            <w:shd w:val="clear" w:color="auto" w:fill="auto"/>
          </w:tcPr>
          <w:p w14:paraId="0DA5AD4D" w14:textId="77777777" w:rsidR="0014071D" w:rsidRPr="00E16672" w:rsidRDefault="0014071D" w:rsidP="005745AF">
            <w:pPr>
              <w:pStyle w:val="4"/>
              <w:keepNext w:val="0"/>
              <w:tabs>
                <w:tab w:val="left" w:pos="57"/>
              </w:tabs>
              <w:snapToGrid w:val="0"/>
              <w:ind w:left="57" w:right="57" w:hanging="14"/>
              <w:jc w:val="left"/>
              <w:rPr>
                <w:rFonts w:ascii="Times New Roman" w:hAnsi="Times New Roman"/>
                <w:iCs/>
                <w:color w:val="000000"/>
                <w:sz w:val="16"/>
                <w:szCs w:val="16"/>
              </w:rPr>
            </w:pPr>
            <w:r w:rsidRPr="00E16672">
              <w:rPr>
                <w:rFonts w:ascii="Times New Roman" w:hAnsi="Times New Roman"/>
                <w:iCs/>
                <w:color w:val="000000"/>
                <w:sz w:val="16"/>
                <w:szCs w:val="16"/>
              </w:rPr>
              <w:t>Адреса для листування а</w:t>
            </w:r>
          </w:p>
        </w:tc>
        <w:tc>
          <w:tcPr>
            <w:tcW w:w="3522" w:type="dxa"/>
            <w:gridSpan w:val="3"/>
            <w:shd w:val="clear" w:color="auto" w:fill="auto"/>
            <w:vAlign w:val="center"/>
          </w:tcPr>
          <w:p w14:paraId="27F61EC4" w14:textId="77777777" w:rsidR="0014071D" w:rsidRPr="00E16672" w:rsidRDefault="005770E6" w:rsidP="005745AF">
            <w:pPr>
              <w:widowControl w:val="0"/>
              <w:snapToGrid w:val="0"/>
              <w:ind w:left="57" w:right="57" w:firstLine="0"/>
              <w:jc w:val="left"/>
              <w:rPr>
                <w:rFonts w:ascii="Times New Roman" w:hAnsi="Times New Roman"/>
                <w:color w:val="0000FF"/>
                <w:sz w:val="16"/>
                <w:szCs w:val="16"/>
              </w:rPr>
            </w:pPr>
            <w:r>
              <w:rPr>
                <w:rFonts w:ascii="Times New Roman" w:hAnsi="Times New Roman"/>
                <w:bCs/>
                <w:sz w:val="16"/>
                <w:szCs w:val="16"/>
                <w:lang w:val="uk-UA"/>
              </w:rPr>
              <w:t xml:space="preserve">Україна, </w:t>
            </w:r>
            <w:proofErr w:type="spellStart"/>
            <w:r>
              <w:rPr>
                <w:rFonts w:ascii="Times New Roman" w:hAnsi="Times New Roman"/>
                <w:bCs/>
                <w:sz w:val="16"/>
                <w:szCs w:val="16"/>
                <w:lang w:val="uk-UA"/>
              </w:rPr>
              <w:t>м.Київ</w:t>
            </w:r>
            <w:proofErr w:type="spellEnd"/>
            <w:r>
              <w:rPr>
                <w:rFonts w:ascii="Times New Roman" w:hAnsi="Times New Roman"/>
                <w:bCs/>
                <w:sz w:val="16"/>
                <w:szCs w:val="16"/>
                <w:lang w:val="uk-UA"/>
              </w:rPr>
              <w:t>, Велика Васильківська (колишня Червоноармійська) вул., буд. 65</w:t>
            </w:r>
          </w:p>
        </w:tc>
        <w:tc>
          <w:tcPr>
            <w:tcW w:w="2000" w:type="dxa"/>
            <w:gridSpan w:val="4"/>
            <w:shd w:val="clear" w:color="auto" w:fill="auto"/>
            <w:vAlign w:val="center"/>
          </w:tcPr>
          <w:p w14:paraId="28071D19" w14:textId="77777777" w:rsidR="0014071D" w:rsidRPr="00E16672" w:rsidRDefault="0014071D" w:rsidP="005745AF">
            <w:pPr>
              <w:pStyle w:val="4"/>
              <w:keepNext w:val="0"/>
              <w:tabs>
                <w:tab w:val="left" w:pos="57"/>
              </w:tabs>
              <w:snapToGrid w:val="0"/>
              <w:ind w:left="57" w:right="57" w:hanging="15"/>
              <w:jc w:val="left"/>
              <w:rPr>
                <w:rFonts w:ascii="Times New Roman" w:hAnsi="Times New Roman"/>
                <w:b w:val="0"/>
                <w:iCs/>
                <w:color w:val="000000"/>
                <w:sz w:val="16"/>
                <w:szCs w:val="16"/>
                <w:lang w:val="en-US"/>
              </w:rPr>
            </w:pPr>
            <w:r w:rsidRPr="00E16672">
              <w:rPr>
                <w:rFonts w:ascii="Times New Roman" w:hAnsi="Times New Roman"/>
                <w:b w:val="0"/>
                <w:iCs/>
                <w:color w:val="000000"/>
                <w:sz w:val="16"/>
                <w:szCs w:val="16"/>
                <w:lang w:val="en-US"/>
              </w:rPr>
              <w:t>Correspondence address</w:t>
            </w:r>
          </w:p>
        </w:tc>
        <w:tc>
          <w:tcPr>
            <w:tcW w:w="3562" w:type="dxa"/>
            <w:gridSpan w:val="4"/>
            <w:shd w:val="clear" w:color="auto" w:fill="auto"/>
            <w:vAlign w:val="center"/>
          </w:tcPr>
          <w:p w14:paraId="33F3FE08" w14:textId="77777777" w:rsidR="0014071D" w:rsidRPr="00E16672" w:rsidRDefault="001E62BE" w:rsidP="005745AF">
            <w:pPr>
              <w:pStyle w:val="4"/>
              <w:widowControl w:val="0"/>
              <w:numPr>
                <w:ilvl w:val="3"/>
                <w:numId w:val="4"/>
              </w:numPr>
              <w:snapToGrid w:val="0"/>
              <w:jc w:val="left"/>
              <w:rPr>
                <w:rFonts w:ascii="Times New Roman" w:hAnsi="Times New Roman"/>
                <w:b w:val="0"/>
                <w:sz w:val="16"/>
                <w:szCs w:val="16"/>
                <w:lang w:val="en-GB"/>
              </w:rPr>
            </w:pPr>
            <w:r>
              <w:rPr>
                <w:rFonts w:ascii="Times New Roman" w:hAnsi="Times New Roman"/>
                <w:b w:val="0"/>
                <w:sz w:val="16"/>
                <w:szCs w:val="16"/>
                <w:lang w:val="en-GB"/>
              </w:rPr>
              <w:t xml:space="preserve">Ukraine, Kyiv, </w:t>
            </w:r>
            <w:proofErr w:type="spellStart"/>
            <w:r>
              <w:rPr>
                <w:rFonts w:ascii="Times New Roman" w:hAnsi="Times New Roman"/>
                <w:b w:val="0"/>
                <w:sz w:val="16"/>
                <w:szCs w:val="16"/>
                <w:lang w:val="en-GB"/>
              </w:rPr>
              <w:t>Velyka</w:t>
            </w:r>
            <w:proofErr w:type="spellEnd"/>
            <w:r>
              <w:rPr>
                <w:rFonts w:ascii="Times New Roman" w:hAnsi="Times New Roman"/>
                <w:b w:val="0"/>
                <w:sz w:val="16"/>
                <w:szCs w:val="16"/>
                <w:lang w:val="en-GB"/>
              </w:rPr>
              <w:t xml:space="preserve"> </w:t>
            </w:r>
            <w:proofErr w:type="spellStart"/>
            <w:r>
              <w:rPr>
                <w:rFonts w:ascii="Times New Roman" w:hAnsi="Times New Roman"/>
                <w:b w:val="0"/>
                <w:sz w:val="16"/>
                <w:szCs w:val="16"/>
                <w:lang w:val="en-GB"/>
              </w:rPr>
              <w:t>Vasilkivska</w:t>
            </w:r>
            <w:proofErr w:type="spellEnd"/>
            <w:r>
              <w:rPr>
                <w:rFonts w:ascii="Times New Roman" w:hAnsi="Times New Roman"/>
                <w:b w:val="0"/>
                <w:sz w:val="16"/>
                <w:szCs w:val="16"/>
                <w:lang w:val="en-GB"/>
              </w:rPr>
              <w:t xml:space="preserve"> (former </w:t>
            </w:r>
            <w:proofErr w:type="spellStart"/>
            <w:r>
              <w:rPr>
                <w:rFonts w:ascii="Times New Roman" w:hAnsi="Times New Roman"/>
                <w:b w:val="0"/>
                <w:sz w:val="16"/>
                <w:szCs w:val="16"/>
                <w:lang w:val="en-GB"/>
              </w:rPr>
              <w:t>Chervonoarmiyska</w:t>
            </w:r>
            <w:proofErr w:type="spellEnd"/>
            <w:r>
              <w:rPr>
                <w:rFonts w:ascii="Times New Roman" w:hAnsi="Times New Roman"/>
                <w:b w:val="0"/>
                <w:sz w:val="16"/>
                <w:szCs w:val="16"/>
                <w:lang w:val="en-GB"/>
              </w:rPr>
              <w:t>) str., 65</w:t>
            </w:r>
          </w:p>
        </w:tc>
        <w:tc>
          <w:tcPr>
            <w:tcW w:w="366" w:type="dxa"/>
            <w:gridSpan w:val="2"/>
            <w:shd w:val="clear" w:color="auto" w:fill="auto"/>
          </w:tcPr>
          <w:p w14:paraId="32654A5B" w14:textId="77777777" w:rsidR="0014071D" w:rsidRPr="00E16672" w:rsidRDefault="0014071D" w:rsidP="005745AF">
            <w:pPr>
              <w:snapToGrid w:val="0"/>
              <w:rPr>
                <w:rFonts w:ascii="Times New Roman" w:hAnsi="Times New Roman"/>
                <w:lang w:val="en-US"/>
              </w:rPr>
            </w:pPr>
          </w:p>
        </w:tc>
      </w:tr>
      <w:tr w:rsidR="0014071D" w:rsidRPr="00E16672" w14:paraId="6A5A6855" w14:textId="77777777" w:rsidTr="005E418B">
        <w:tblPrEx>
          <w:tblCellMar>
            <w:left w:w="0" w:type="dxa"/>
            <w:right w:w="0" w:type="dxa"/>
          </w:tblCellMar>
        </w:tblPrEx>
        <w:tc>
          <w:tcPr>
            <w:tcW w:w="1740" w:type="dxa"/>
            <w:gridSpan w:val="2"/>
            <w:shd w:val="clear" w:color="auto" w:fill="auto"/>
          </w:tcPr>
          <w:p w14:paraId="6E2C3415" w14:textId="77777777" w:rsidR="0014071D" w:rsidRPr="00E16672" w:rsidRDefault="0014071D" w:rsidP="005745AF">
            <w:pPr>
              <w:pStyle w:val="4"/>
              <w:keepNext w:val="0"/>
              <w:tabs>
                <w:tab w:val="left" w:pos="57"/>
              </w:tabs>
              <w:snapToGrid w:val="0"/>
              <w:ind w:left="57" w:right="57" w:hanging="14"/>
              <w:jc w:val="left"/>
              <w:rPr>
                <w:rFonts w:ascii="Times New Roman" w:hAnsi="Times New Roman"/>
                <w:iCs/>
                <w:color w:val="000000"/>
                <w:sz w:val="16"/>
                <w:szCs w:val="16"/>
              </w:rPr>
            </w:pPr>
            <w:r w:rsidRPr="00E16672">
              <w:rPr>
                <w:rFonts w:ascii="Times New Roman" w:hAnsi="Times New Roman"/>
                <w:iCs/>
                <w:color w:val="000000"/>
                <w:sz w:val="16"/>
                <w:szCs w:val="16"/>
              </w:rPr>
              <w:t xml:space="preserve">Ідентифікаційний код </w:t>
            </w:r>
            <w:r w:rsidRPr="00E16672">
              <w:rPr>
                <w:rFonts w:ascii="Times New Roman" w:hAnsi="Times New Roman"/>
                <w:iCs/>
                <w:color w:val="000000"/>
                <w:sz w:val="16"/>
                <w:szCs w:val="16"/>
              </w:rPr>
              <w:lastRenderedPageBreak/>
              <w:t>юридичної особи</w:t>
            </w:r>
            <w:r w:rsidRPr="00E16672">
              <w:rPr>
                <w:rFonts w:ascii="Times New Roman" w:hAnsi="Times New Roman"/>
                <w:iCs/>
                <w:color w:val="000000"/>
                <w:sz w:val="16"/>
                <w:szCs w:val="16"/>
                <w:lang w:val="ru-RU"/>
              </w:rPr>
              <w:t xml:space="preserve"> </w:t>
            </w:r>
            <w:r w:rsidRPr="00E16672">
              <w:rPr>
                <w:rFonts w:ascii="Times New Roman" w:hAnsi="Times New Roman"/>
                <w:iCs/>
                <w:color w:val="000000"/>
                <w:sz w:val="16"/>
                <w:szCs w:val="16"/>
              </w:rPr>
              <w:t>(код за ЄДРПОУ)</w:t>
            </w:r>
          </w:p>
        </w:tc>
        <w:tc>
          <w:tcPr>
            <w:tcW w:w="3522" w:type="dxa"/>
            <w:gridSpan w:val="3"/>
            <w:shd w:val="clear" w:color="auto" w:fill="auto"/>
            <w:vAlign w:val="center"/>
          </w:tcPr>
          <w:p w14:paraId="30D6FAB2" w14:textId="77777777" w:rsidR="0014071D" w:rsidRPr="00E16672" w:rsidRDefault="00E16672" w:rsidP="005745AF">
            <w:pPr>
              <w:ind w:right="57" w:firstLine="0"/>
              <w:jc w:val="left"/>
              <w:rPr>
                <w:rFonts w:ascii="Times New Roman" w:hAnsi="Times New Roman"/>
                <w:color w:val="000000"/>
                <w:sz w:val="16"/>
                <w:szCs w:val="16"/>
              </w:rPr>
            </w:pPr>
            <w:r w:rsidRPr="00E16672">
              <w:rPr>
                <w:rFonts w:ascii="Times New Roman" w:hAnsi="Times New Roman"/>
                <w:sz w:val="16"/>
                <w:szCs w:val="16"/>
                <w:lang w:val="en-US"/>
              </w:rPr>
              <w:lastRenderedPageBreak/>
              <w:t>33153077</w:t>
            </w:r>
          </w:p>
        </w:tc>
        <w:tc>
          <w:tcPr>
            <w:tcW w:w="2000" w:type="dxa"/>
            <w:gridSpan w:val="4"/>
            <w:shd w:val="clear" w:color="auto" w:fill="auto"/>
            <w:vAlign w:val="center"/>
          </w:tcPr>
          <w:p w14:paraId="425C5C40" w14:textId="77777777" w:rsidR="0014071D" w:rsidRPr="00E16672" w:rsidRDefault="0014071D" w:rsidP="005745AF">
            <w:pPr>
              <w:pStyle w:val="4"/>
              <w:keepNext w:val="0"/>
              <w:tabs>
                <w:tab w:val="left" w:pos="57"/>
              </w:tabs>
              <w:snapToGrid w:val="0"/>
              <w:ind w:left="57" w:right="57" w:hanging="15"/>
              <w:jc w:val="left"/>
              <w:rPr>
                <w:rFonts w:ascii="Times New Roman" w:hAnsi="Times New Roman"/>
                <w:b w:val="0"/>
                <w:iCs/>
                <w:color w:val="000000"/>
                <w:sz w:val="16"/>
                <w:szCs w:val="16"/>
                <w:lang w:val="en-US"/>
              </w:rPr>
            </w:pPr>
            <w:r w:rsidRPr="00E16672">
              <w:rPr>
                <w:rFonts w:ascii="Times New Roman" w:hAnsi="Times New Roman"/>
                <w:b w:val="0"/>
                <w:iCs/>
                <w:color w:val="000000"/>
                <w:sz w:val="16"/>
                <w:szCs w:val="16"/>
                <w:lang w:val="en-US"/>
              </w:rPr>
              <w:t xml:space="preserve">Registration code of legal </w:t>
            </w:r>
            <w:r w:rsidRPr="00E16672">
              <w:rPr>
                <w:rFonts w:ascii="Times New Roman" w:hAnsi="Times New Roman"/>
                <w:b w:val="0"/>
                <w:iCs/>
                <w:color w:val="000000"/>
                <w:sz w:val="16"/>
                <w:szCs w:val="16"/>
                <w:lang w:val="en-US"/>
              </w:rPr>
              <w:lastRenderedPageBreak/>
              <w:t>entity (in accordance with EDRPOU)</w:t>
            </w:r>
          </w:p>
        </w:tc>
        <w:tc>
          <w:tcPr>
            <w:tcW w:w="3562" w:type="dxa"/>
            <w:gridSpan w:val="4"/>
            <w:shd w:val="clear" w:color="auto" w:fill="auto"/>
            <w:vAlign w:val="center"/>
          </w:tcPr>
          <w:p w14:paraId="6C4BD811" w14:textId="77777777" w:rsidR="0014071D" w:rsidRPr="00E16672" w:rsidRDefault="00E16672" w:rsidP="000D0438">
            <w:pPr>
              <w:pStyle w:val="4"/>
              <w:widowControl w:val="0"/>
              <w:numPr>
                <w:ilvl w:val="3"/>
                <w:numId w:val="21"/>
              </w:numPr>
              <w:snapToGrid w:val="0"/>
              <w:jc w:val="left"/>
              <w:rPr>
                <w:rFonts w:ascii="Times New Roman" w:hAnsi="Times New Roman"/>
                <w:b w:val="0"/>
                <w:sz w:val="16"/>
                <w:szCs w:val="16"/>
                <w:lang w:val="en-GB"/>
              </w:rPr>
            </w:pPr>
            <w:r w:rsidRPr="00E16672">
              <w:rPr>
                <w:rFonts w:ascii="Times New Roman" w:hAnsi="Times New Roman"/>
                <w:b w:val="0"/>
                <w:sz w:val="16"/>
                <w:szCs w:val="16"/>
                <w:lang w:val="en-US"/>
              </w:rPr>
              <w:lastRenderedPageBreak/>
              <w:t>33153077</w:t>
            </w:r>
          </w:p>
        </w:tc>
        <w:tc>
          <w:tcPr>
            <w:tcW w:w="366" w:type="dxa"/>
            <w:gridSpan w:val="2"/>
            <w:shd w:val="clear" w:color="auto" w:fill="auto"/>
          </w:tcPr>
          <w:p w14:paraId="34ACF5B1" w14:textId="77777777" w:rsidR="0014071D" w:rsidRPr="00E16672" w:rsidRDefault="0014071D" w:rsidP="005745AF">
            <w:pPr>
              <w:snapToGrid w:val="0"/>
              <w:rPr>
                <w:rFonts w:ascii="Times New Roman" w:hAnsi="Times New Roman"/>
                <w:lang w:val="en-US"/>
              </w:rPr>
            </w:pPr>
          </w:p>
        </w:tc>
      </w:tr>
      <w:tr w:rsidR="0014071D" w:rsidRPr="00E16672" w14:paraId="4D0FEA97" w14:textId="77777777" w:rsidTr="005E418B">
        <w:tblPrEx>
          <w:tblCellMar>
            <w:left w:w="0" w:type="dxa"/>
            <w:right w:w="0" w:type="dxa"/>
          </w:tblCellMar>
        </w:tblPrEx>
        <w:tc>
          <w:tcPr>
            <w:tcW w:w="1740" w:type="dxa"/>
            <w:gridSpan w:val="2"/>
            <w:shd w:val="clear" w:color="auto" w:fill="auto"/>
          </w:tcPr>
          <w:p w14:paraId="29616756" w14:textId="77777777" w:rsidR="0014071D" w:rsidRPr="00E16672" w:rsidRDefault="0014071D" w:rsidP="005745AF">
            <w:pPr>
              <w:pStyle w:val="4"/>
              <w:keepNext w:val="0"/>
              <w:tabs>
                <w:tab w:val="left" w:pos="57"/>
              </w:tabs>
              <w:snapToGrid w:val="0"/>
              <w:ind w:left="57" w:right="57" w:hanging="14"/>
              <w:jc w:val="left"/>
              <w:rPr>
                <w:rFonts w:ascii="Times New Roman" w:hAnsi="Times New Roman"/>
                <w:iCs/>
                <w:sz w:val="16"/>
                <w:szCs w:val="16"/>
              </w:rPr>
            </w:pPr>
            <w:r w:rsidRPr="00E16672">
              <w:rPr>
                <w:rFonts w:ascii="Times New Roman" w:hAnsi="Times New Roman"/>
                <w:iCs/>
                <w:sz w:val="16"/>
                <w:szCs w:val="16"/>
              </w:rPr>
              <w:t>Факс</w:t>
            </w:r>
            <w:r w:rsidRPr="00E16672">
              <w:rPr>
                <w:rFonts w:ascii="Times New Roman" w:hAnsi="Times New Roman"/>
                <w:iCs/>
                <w:sz w:val="16"/>
                <w:szCs w:val="16"/>
                <w:lang w:val="en-US"/>
              </w:rPr>
              <w:t xml:space="preserve"> </w:t>
            </w:r>
            <w:r w:rsidRPr="00E16672">
              <w:rPr>
                <w:rFonts w:ascii="Times New Roman" w:hAnsi="Times New Roman"/>
                <w:i/>
                <w:iCs/>
                <w:color w:val="000000"/>
                <w:sz w:val="16"/>
                <w:szCs w:val="16"/>
              </w:rPr>
              <w:t>(за наявності)</w:t>
            </w:r>
          </w:p>
        </w:tc>
        <w:tc>
          <w:tcPr>
            <w:tcW w:w="3522" w:type="dxa"/>
            <w:gridSpan w:val="3"/>
            <w:shd w:val="clear" w:color="auto" w:fill="auto"/>
            <w:vAlign w:val="center"/>
          </w:tcPr>
          <w:p w14:paraId="18C61BA5" w14:textId="77777777" w:rsidR="0014071D" w:rsidRPr="00E16672" w:rsidRDefault="0014071D" w:rsidP="005745AF">
            <w:pPr>
              <w:snapToGrid w:val="0"/>
              <w:ind w:right="57" w:firstLine="0"/>
              <w:jc w:val="left"/>
              <w:rPr>
                <w:rFonts w:ascii="Times New Roman" w:hAnsi="Times New Roman"/>
                <w:sz w:val="16"/>
                <w:szCs w:val="16"/>
                <w:lang w:val="en-US"/>
              </w:rPr>
            </w:pPr>
            <w:r w:rsidRPr="00E16672">
              <w:rPr>
                <w:rFonts w:ascii="Times New Roman" w:hAnsi="Times New Roman"/>
                <w:sz w:val="16"/>
                <w:szCs w:val="16"/>
                <w:lang w:val="en-US"/>
              </w:rPr>
              <w:t>3-8-</w:t>
            </w:r>
            <w:r w:rsidR="00622BEB">
              <w:rPr>
                <w:rFonts w:ascii="Times New Roman" w:hAnsi="Times New Roman"/>
                <w:sz w:val="16"/>
                <w:szCs w:val="16"/>
                <w:lang w:val="en-US"/>
              </w:rPr>
              <w:t>044 502 65 73</w:t>
            </w:r>
          </w:p>
        </w:tc>
        <w:tc>
          <w:tcPr>
            <w:tcW w:w="2000" w:type="dxa"/>
            <w:gridSpan w:val="4"/>
            <w:shd w:val="clear" w:color="auto" w:fill="auto"/>
            <w:vAlign w:val="center"/>
          </w:tcPr>
          <w:p w14:paraId="031F54C6" w14:textId="77777777" w:rsidR="0014071D" w:rsidRPr="00E16672" w:rsidRDefault="0014071D" w:rsidP="005745AF">
            <w:pPr>
              <w:pStyle w:val="4"/>
              <w:keepNext w:val="0"/>
              <w:tabs>
                <w:tab w:val="left" w:pos="57"/>
              </w:tabs>
              <w:snapToGrid w:val="0"/>
              <w:ind w:left="57" w:right="57" w:hanging="15"/>
              <w:jc w:val="left"/>
              <w:rPr>
                <w:rFonts w:ascii="Times New Roman" w:hAnsi="Times New Roman"/>
                <w:b w:val="0"/>
                <w:iCs/>
                <w:sz w:val="16"/>
                <w:szCs w:val="16"/>
                <w:lang w:val="en-US"/>
              </w:rPr>
            </w:pPr>
            <w:r w:rsidRPr="00E16672">
              <w:rPr>
                <w:rFonts w:ascii="Times New Roman" w:hAnsi="Times New Roman"/>
                <w:b w:val="0"/>
                <w:iCs/>
                <w:sz w:val="16"/>
                <w:szCs w:val="16"/>
                <w:lang w:val="en-US"/>
              </w:rPr>
              <w:t xml:space="preserve">Fax </w:t>
            </w:r>
            <w:r w:rsidRPr="00E16672">
              <w:rPr>
                <w:rFonts w:ascii="Times New Roman" w:hAnsi="Times New Roman"/>
                <w:b w:val="0"/>
                <w:i/>
                <w:iCs/>
                <w:color w:val="000000"/>
                <w:sz w:val="16"/>
                <w:szCs w:val="16"/>
              </w:rPr>
              <w:t>(</w:t>
            </w:r>
            <w:r w:rsidRPr="00E16672">
              <w:rPr>
                <w:rFonts w:ascii="Times New Roman" w:hAnsi="Times New Roman"/>
                <w:b w:val="0"/>
                <w:i/>
                <w:iCs/>
                <w:color w:val="000000"/>
                <w:sz w:val="16"/>
                <w:szCs w:val="16"/>
                <w:lang w:val="en-US"/>
              </w:rPr>
              <w:t>if any</w:t>
            </w:r>
            <w:r w:rsidRPr="00E16672">
              <w:rPr>
                <w:rFonts w:ascii="Times New Roman" w:hAnsi="Times New Roman"/>
                <w:b w:val="0"/>
                <w:i/>
                <w:iCs/>
                <w:color w:val="000000"/>
                <w:sz w:val="16"/>
                <w:szCs w:val="16"/>
              </w:rPr>
              <w:t>)</w:t>
            </w:r>
          </w:p>
        </w:tc>
        <w:tc>
          <w:tcPr>
            <w:tcW w:w="3562" w:type="dxa"/>
            <w:gridSpan w:val="4"/>
            <w:shd w:val="clear" w:color="auto" w:fill="auto"/>
            <w:vAlign w:val="center"/>
          </w:tcPr>
          <w:p w14:paraId="6403DC83" w14:textId="77777777" w:rsidR="0014071D" w:rsidRPr="00E16672" w:rsidRDefault="0014071D" w:rsidP="005745AF">
            <w:pPr>
              <w:snapToGrid w:val="0"/>
              <w:ind w:right="57" w:firstLine="0"/>
              <w:jc w:val="left"/>
              <w:rPr>
                <w:rFonts w:ascii="Times New Roman" w:hAnsi="Times New Roman"/>
                <w:sz w:val="16"/>
                <w:szCs w:val="16"/>
                <w:lang w:val="en-US"/>
              </w:rPr>
            </w:pPr>
            <w:r w:rsidRPr="00E16672">
              <w:rPr>
                <w:rFonts w:ascii="Times New Roman" w:hAnsi="Times New Roman"/>
                <w:sz w:val="16"/>
                <w:szCs w:val="16"/>
                <w:lang w:val="en-US"/>
              </w:rPr>
              <w:t>3-8-</w:t>
            </w:r>
            <w:r w:rsidR="00622BEB">
              <w:rPr>
                <w:rFonts w:ascii="Times New Roman" w:hAnsi="Times New Roman"/>
                <w:sz w:val="16"/>
                <w:szCs w:val="16"/>
                <w:lang w:val="en-US"/>
              </w:rPr>
              <w:t>044 502 65 73</w:t>
            </w:r>
          </w:p>
        </w:tc>
        <w:tc>
          <w:tcPr>
            <w:tcW w:w="366" w:type="dxa"/>
            <w:gridSpan w:val="2"/>
            <w:shd w:val="clear" w:color="auto" w:fill="auto"/>
          </w:tcPr>
          <w:p w14:paraId="032F6A5C" w14:textId="77777777" w:rsidR="0014071D" w:rsidRPr="00E16672" w:rsidRDefault="0014071D" w:rsidP="005745AF">
            <w:pPr>
              <w:snapToGrid w:val="0"/>
              <w:rPr>
                <w:rFonts w:ascii="Times New Roman" w:hAnsi="Times New Roman"/>
              </w:rPr>
            </w:pPr>
          </w:p>
        </w:tc>
      </w:tr>
      <w:tr w:rsidR="0014071D" w:rsidRPr="00E16672" w14:paraId="1232F956" w14:textId="77777777" w:rsidTr="005E418B">
        <w:tblPrEx>
          <w:tblCellMar>
            <w:left w:w="0" w:type="dxa"/>
            <w:right w:w="0" w:type="dxa"/>
          </w:tblCellMar>
        </w:tblPrEx>
        <w:trPr>
          <w:trHeight w:val="87"/>
        </w:trPr>
        <w:tc>
          <w:tcPr>
            <w:tcW w:w="1740" w:type="dxa"/>
            <w:gridSpan w:val="2"/>
            <w:shd w:val="clear" w:color="auto" w:fill="auto"/>
          </w:tcPr>
          <w:p w14:paraId="76A79246" w14:textId="77777777" w:rsidR="0014071D" w:rsidRPr="00E16672" w:rsidRDefault="0014071D" w:rsidP="005745AF">
            <w:pPr>
              <w:pStyle w:val="4"/>
              <w:keepNext w:val="0"/>
              <w:tabs>
                <w:tab w:val="left" w:pos="57"/>
              </w:tabs>
              <w:snapToGrid w:val="0"/>
              <w:ind w:left="57" w:right="57" w:hanging="14"/>
              <w:jc w:val="left"/>
              <w:rPr>
                <w:rFonts w:ascii="Times New Roman" w:hAnsi="Times New Roman"/>
                <w:iCs/>
                <w:sz w:val="16"/>
                <w:szCs w:val="16"/>
              </w:rPr>
            </w:pPr>
            <w:r w:rsidRPr="00E16672">
              <w:rPr>
                <w:rFonts w:ascii="Times New Roman" w:hAnsi="Times New Roman"/>
                <w:iCs/>
                <w:sz w:val="16"/>
                <w:szCs w:val="16"/>
              </w:rPr>
              <w:t>Телефон</w:t>
            </w:r>
          </w:p>
        </w:tc>
        <w:tc>
          <w:tcPr>
            <w:tcW w:w="3522" w:type="dxa"/>
            <w:gridSpan w:val="3"/>
            <w:shd w:val="clear" w:color="auto" w:fill="auto"/>
            <w:vAlign w:val="center"/>
          </w:tcPr>
          <w:p w14:paraId="15A37C19" w14:textId="77777777" w:rsidR="0014071D" w:rsidRPr="00E16672" w:rsidRDefault="0014071D" w:rsidP="005745AF">
            <w:pPr>
              <w:snapToGrid w:val="0"/>
              <w:ind w:right="57" w:firstLine="0"/>
              <w:jc w:val="left"/>
              <w:rPr>
                <w:rFonts w:ascii="Times New Roman" w:hAnsi="Times New Roman"/>
                <w:sz w:val="16"/>
                <w:szCs w:val="16"/>
                <w:lang w:val="en-US"/>
              </w:rPr>
            </w:pPr>
            <w:r w:rsidRPr="00E16672">
              <w:rPr>
                <w:rFonts w:ascii="Times New Roman" w:hAnsi="Times New Roman"/>
                <w:sz w:val="16"/>
                <w:szCs w:val="16"/>
                <w:lang w:val="en-US"/>
              </w:rPr>
              <w:t>3-8-</w:t>
            </w:r>
            <w:r w:rsidR="00622BEB">
              <w:rPr>
                <w:rFonts w:ascii="Times New Roman" w:hAnsi="Times New Roman"/>
                <w:sz w:val="16"/>
                <w:szCs w:val="16"/>
                <w:lang w:val="en-US"/>
              </w:rPr>
              <w:t>044 502 65 73</w:t>
            </w:r>
          </w:p>
        </w:tc>
        <w:tc>
          <w:tcPr>
            <w:tcW w:w="2000" w:type="dxa"/>
            <w:gridSpan w:val="4"/>
            <w:shd w:val="clear" w:color="auto" w:fill="auto"/>
            <w:vAlign w:val="center"/>
          </w:tcPr>
          <w:p w14:paraId="3BDC7784" w14:textId="77777777" w:rsidR="0014071D" w:rsidRPr="00E16672" w:rsidRDefault="0014071D" w:rsidP="005745AF">
            <w:pPr>
              <w:pStyle w:val="4"/>
              <w:keepNext w:val="0"/>
              <w:tabs>
                <w:tab w:val="left" w:pos="57"/>
              </w:tabs>
              <w:snapToGrid w:val="0"/>
              <w:ind w:left="57" w:right="57" w:hanging="15"/>
              <w:jc w:val="left"/>
              <w:rPr>
                <w:rFonts w:ascii="Times New Roman" w:hAnsi="Times New Roman"/>
                <w:b w:val="0"/>
                <w:iCs/>
                <w:sz w:val="16"/>
                <w:szCs w:val="16"/>
                <w:lang w:val="en-US"/>
              </w:rPr>
            </w:pPr>
            <w:r w:rsidRPr="00E16672">
              <w:rPr>
                <w:rFonts w:ascii="Times New Roman" w:hAnsi="Times New Roman"/>
                <w:b w:val="0"/>
                <w:iCs/>
                <w:sz w:val="16"/>
                <w:szCs w:val="16"/>
                <w:lang w:val="en-US"/>
              </w:rPr>
              <w:t>Telephone</w:t>
            </w:r>
          </w:p>
        </w:tc>
        <w:tc>
          <w:tcPr>
            <w:tcW w:w="3562" w:type="dxa"/>
            <w:gridSpan w:val="4"/>
            <w:shd w:val="clear" w:color="auto" w:fill="auto"/>
            <w:vAlign w:val="center"/>
          </w:tcPr>
          <w:p w14:paraId="13E1D1C8" w14:textId="77777777" w:rsidR="0014071D" w:rsidRPr="00E16672" w:rsidRDefault="0014071D" w:rsidP="005745AF">
            <w:pPr>
              <w:snapToGrid w:val="0"/>
              <w:ind w:right="57" w:firstLine="0"/>
              <w:jc w:val="left"/>
              <w:rPr>
                <w:rFonts w:ascii="Times New Roman" w:hAnsi="Times New Roman"/>
                <w:sz w:val="16"/>
                <w:szCs w:val="16"/>
                <w:lang w:val="en-US"/>
              </w:rPr>
            </w:pPr>
            <w:r w:rsidRPr="00E16672">
              <w:rPr>
                <w:rFonts w:ascii="Times New Roman" w:hAnsi="Times New Roman"/>
                <w:sz w:val="16"/>
                <w:szCs w:val="16"/>
                <w:lang w:val="en-US"/>
              </w:rPr>
              <w:t>3-8-</w:t>
            </w:r>
            <w:r w:rsidR="00622BEB">
              <w:rPr>
                <w:rFonts w:ascii="Times New Roman" w:hAnsi="Times New Roman"/>
                <w:sz w:val="16"/>
                <w:szCs w:val="16"/>
                <w:lang w:val="en-US"/>
              </w:rPr>
              <w:t>044 502 65 73</w:t>
            </w:r>
          </w:p>
        </w:tc>
        <w:tc>
          <w:tcPr>
            <w:tcW w:w="366" w:type="dxa"/>
            <w:gridSpan w:val="2"/>
            <w:shd w:val="clear" w:color="auto" w:fill="auto"/>
          </w:tcPr>
          <w:p w14:paraId="59399C6D" w14:textId="77777777" w:rsidR="0014071D" w:rsidRPr="00E16672" w:rsidRDefault="0014071D" w:rsidP="005745AF">
            <w:pPr>
              <w:snapToGrid w:val="0"/>
              <w:rPr>
                <w:rFonts w:ascii="Times New Roman" w:hAnsi="Times New Roman"/>
              </w:rPr>
            </w:pPr>
          </w:p>
        </w:tc>
      </w:tr>
      <w:tr w:rsidR="0014071D" w:rsidRPr="00E16672" w14:paraId="49E35DDA" w14:textId="77777777" w:rsidTr="005E418B">
        <w:tblPrEx>
          <w:tblCellMar>
            <w:left w:w="0" w:type="dxa"/>
            <w:right w:w="0" w:type="dxa"/>
          </w:tblCellMar>
        </w:tblPrEx>
        <w:tc>
          <w:tcPr>
            <w:tcW w:w="1740" w:type="dxa"/>
            <w:gridSpan w:val="2"/>
            <w:shd w:val="clear" w:color="auto" w:fill="auto"/>
          </w:tcPr>
          <w:p w14:paraId="489415C2" w14:textId="77777777" w:rsidR="0014071D" w:rsidRPr="00E16672" w:rsidRDefault="0014071D" w:rsidP="005745AF">
            <w:pPr>
              <w:pStyle w:val="4"/>
              <w:keepNext w:val="0"/>
              <w:tabs>
                <w:tab w:val="left" w:pos="57"/>
              </w:tabs>
              <w:snapToGrid w:val="0"/>
              <w:ind w:left="57" w:right="57" w:hanging="14"/>
              <w:jc w:val="left"/>
              <w:rPr>
                <w:rFonts w:ascii="Times New Roman" w:hAnsi="Times New Roman"/>
                <w:iCs/>
                <w:sz w:val="16"/>
                <w:szCs w:val="16"/>
                <w:lang w:val="en-US"/>
              </w:rPr>
            </w:pPr>
            <w:r w:rsidRPr="00E16672">
              <w:rPr>
                <w:rFonts w:ascii="Times New Roman" w:hAnsi="Times New Roman"/>
                <w:iCs/>
                <w:sz w:val="16"/>
                <w:szCs w:val="16"/>
                <w:lang w:val="en-US"/>
              </w:rPr>
              <w:t>E-mail</w:t>
            </w:r>
          </w:p>
        </w:tc>
        <w:tc>
          <w:tcPr>
            <w:tcW w:w="3522" w:type="dxa"/>
            <w:gridSpan w:val="3"/>
            <w:shd w:val="clear" w:color="auto" w:fill="auto"/>
            <w:vAlign w:val="center"/>
          </w:tcPr>
          <w:p w14:paraId="7413922F" w14:textId="77777777" w:rsidR="0014071D" w:rsidRPr="00E16672" w:rsidRDefault="00622BEB" w:rsidP="005745AF">
            <w:pPr>
              <w:snapToGrid w:val="0"/>
              <w:ind w:right="57" w:firstLine="0"/>
              <w:jc w:val="left"/>
              <w:rPr>
                <w:rFonts w:ascii="Times New Roman" w:hAnsi="Times New Roman"/>
                <w:sz w:val="16"/>
                <w:szCs w:val="16"/>
                <w:lang w:val="en-US"/>
              </w:rPr>
            </w:pPr>
            <w:r>
              <w:rPr>
                <w:rFonts w:ascii="Times New Roman" w:hAnsi="Times New Roman"/>
                <w:sz w:val="16"/>
                <w:szCs w:val="16"/>
                <w:lang w:val="en-US"/>
              </w:rPr>
              <w:t>custody@comex.com.ua</w:t>
            </w:r>
          </w:p>
        </w:tc>
        <w:tc>
          <w:tcPr>
            <w:tcW w:w="2000" w:type="dxa"/>
            <w:gridSpan w:val="4"/>
            <w:shd w:val="clear" w:color="auto" w:fill="auto"/>
            <w:vAlign w:val="center"/>
          </w:tcPr>
          <w:p w14:paraId="2DDC05B1" w14:textId="77777777" w:rsidR="0014071D" w:rsidRPr="00E16672" w:rsidRDefault="0014071D" w:rsidP="005745AF">
            <w:pPr>
              <w:pStyle w:val="4"/>
              <w:keepNext w:val="0"/>
              <w:tabs>
                <w:tab w:val="left" w:pos="57"/>
              </w:tabs>
              <w:snapToGrid w:val="0"/>
              <w:ind w:left="57" w:right="57" w:hanging="15"/>
              <w:jc w:val="left"/>
              <w:rPr>
                <w:rFonts w:ascii="Times New Roman" w:hAnsi="Times New Roman"/>
                <w:b w:val="0"/>
                <w:iCs/>
                <w:sz w:val="16"/>
                <w:szCs w:val="16"/>
                <w:lang w:val="en-US"/>
              </w:rPr>
            </w:pPr>
            <w:r w:rsidRPr="00E16672">
              <w:rPr>
                <w:rFonts w:ascii="Times New Roman" w:hAnsi="Times New Roman"/>
                <w:b w:val="0"/>
                <w:iCs/>
                <w:sz w:val="16"/>
                <w:szCs w:val="16"/>
                <w:lang w:val="en-US"/>
              </w:rPr>
              <w:t>E-mail</w:t>
            </w:r>
          </w:p>
        </w:tc>
        <w:tc>
          <w:tcPr>
            <w:tcW w:w="3562" w:type="dxa"/>
            <w:gridSpan w:val="4"/>
            <w:shd w:val="clear" w:color="auto" w:fill="auto"/>
            <w:vAlign w:val="center"/>
          </w:tcPr>
          <w:p w14:paraId="6CD33170" w14:textId="77777777" w:rsidR="0014071D" w:rsidRPr="00E16672" w:rsidRDefault="00622BEB" w:rsidP="005745AF">
            <w:pPr>
              <w:snapToGrid w:val="0"/>
              <w:ind w:right="57" w:firstLine="0"/>
              <w:jc w:val="left"/>
              <w:rPr>
                <w:rFonts w:ascii="Times New Roman" w:hAnsi="Times New Roman"/>
                <w:sz w:val="16"/>
                <w:szCs w:val="16"/>
                <w:lang w:val="en-US"/>
              </w:rPr>
            </w:pPr>
            <w:r>
              <w:rPr>
                <w:rFonts w:ascii="Times New Roman" w:hAnsi="Times New Roman"/>
                <w:sz w:val="16"/>
                <w:szCs w:val="16"/>
                <w:lang w:val="en-US"/>
              </w:rPr>
              <w:t>custody@comex.com.ua</w:t>
            </w:r>
            <w:r w:rsidR="0014071D" w:rsidRPr="00E16672">
              <w:rPr>
                <w:rFonts w:ascii="Times New Roman" w:hAnsi="Times New Roman"/>
                <w:sz w:val="16"/>
                <w:szCs w:val="16"/>
                <w:lang w:val="en-US"/>
              </w:rPr>
              <w:t xml:space="preserve"> </w:t>
            </w:r>
          </w:p>
        </w:tc>
        <w:tc>
          <w:tcPr>
            <w:tcW w:w="366" w:type="dxa"/>
            <w:gridSpan w:val="2"/>
            <w:shd w:val="clear" w:color="auto" w:fill="auto"/>
          </w:tcPr>
          <w:p w14:paraId="7D1C833B" w14:textId="77777777" w:rsidR="0014071D" w:rsidRPr="00E16672" w:rsidRDefault="0014071D" w:rsidP="005745AF">
            <w:pPr>
              <w:snapToGrid w:val="0"/>
              <w:rPr>
                <w:rFonts w:ascii="Times New Roman" w:hAnsi="Times New Roman"/>
              </w:rPr>
            </w:pPr>
          </w:p>
        </w:tc>
      </w:tr>
      <w:tr w:rsidR="0014071D" w:rsidRPr="00E16672" w14:paraId="0D1C421B" w14:textId="77777777" w:rsidTr="005E418B">
        <w:tblPrEx>
          <w:tblCellMar>
            <w:left w:w="0" w:type="dxa"/>
            <w:right w:w="0" w:type="dxa"/>
          </w:tblCellMar>
        </w:tblPrEx>
        <w:tc>
          <w:tcPr>
            <w:tcW w:w="5262" w:type="dxa"/>
            <w:gridSpan w:val="5"/>
            <w:shd w:val="clear" w:color="auto" w:fill="auto"/>
          </w:tcPr>
          <w:p w14:paraId="329451EF" w14:textId="77777777" w:rsidR="0014071D" w:rsidRPr="00E16672" w:rsidRDefault="0014071D" w:rsidP="005745AF">
            <w:pPr>
              <w:pStyle w:val="4"/>
              <w:keepNext w:val="0"/>
              <w:tabs>
                <w:tab w:val="left" w:pos="57"/>
              </w:tabs>
              <w:snapToGrid w:val="0"/>
              <w:ind w:left="57" w:right="57" w:hanging="14"/>
              <w:rPr>
                <w:rFonts w:ascii="Times New Roman" w:hAnsi="Times New Roman"/>
                <w:bCs/>
                <w:iCs/>
                <w:sz w:val="16"/>
                <w:szCs w:val="16"/>
              </w:rPr>
            </w:pPr>
          </w:p>
          <w:p w14:paraId="7F17FA37" w14:textId="77777777" w:rsidR="0014071D" w:rsidRPr="00E16672" w:rsidRDefault="0014071D" w:rsidP="005745AF">
            <w:pPr>
              <w:pStyle w:val="4"/>
              <w:tabs>
                <w:tab w:val="left" w:pos="57"/>
              </w:tabs>
              <w:snapToGrid w:val="0"/>
              <w:ind w:left="57" w:right="57" w:hanging="14"/>
              <w:rPr>
                <w:rFonts w:ascii="Times New Roman" w:hAnsi="Times New Roman"/>
                <w:bCs/>
                <w:iCs/>
                <w:sz w:val="16"/>
                <w:szCs w:val="16"/>
              </w:rPr>
            </w:pPr>
            <w:r w:rsidRPr="00E16672">
              <w:rPr>
                <w:rFonts w:ascii="Times New Roman" w:hAnsi="Times New Roman"/>
                <w:bCs/>
                <w:iCs/>
                <w:sz w:val="16"/>
                <w:szCs w:val="16"/>
              </w:rPr>
              <w:t xml:space="preserve">       Банківські реквізити</w:t>
            </w:r>
          </w:p>
        </w:tc>
        <w:tc>
          <w:tcPr>
            <w:tcW w:w="5562" w:type="dxa"/>
            <w:gridSpan w:val="8"/>
            <w:shd w:val="clear" w:color="auto" w:fill="auto"/>
            <w:vAlign w:val="bottom"/>
          </w:tcPr>
          <w:p w14:paraId="55E6F941" w14:textId="77777777" w:rsidR="0014071D" w:rsidRPr="00E16672" w:rsidRDefault="0014071D" w:rsidP="005745AF">
            <w:pPr>
              <w:pStyle w:val="4"/>
              <w:keepNext w:val="0"/>
              <w:tabs>
                <w:tab w:val="left" w:pos="57"/>
              </w:tabs>
              <w:snapToGrid w:val="0"/>
              <w:ind w:left="57" w:right="57" w:hanging="15"/>
              <w:rPr>
                <w:rFonts w:ascii="Times New Roman" w:hAnsi="Times New Roman"/>
                <w:bCs/>
                <w:iCs/>
                <w:sz w:val="16"/>
                <w:szCs w:val="16"/>
                <w:lang w:val="en-US"/>
              </w:rPr>
            </w:pPr>
            <w:r w:rsidRPr="00E16672">
              <w:rPr>
                <w:rFonts w:ascii="Times New Roman" w:hAnsi="Times New Roman"/>
                <w:bCs/>
                <w:iCs/>
                <w:sz w:val="16"/>
                <w:szCs w:val="16"/>
              </w:rPr>
              <w:t xml:space="preserve">        </w:t>
            </w:r>
            <w:r w:rsidRPr="00E16672">
              <w:rPr>
                <w:rFonts w:ascii="Times New Roman" w:hAnsi="Times New Roman"/>
                <w:bCs/>
                <w:iCs/>
                <w:sz w:val="16"/>
                <w:szCs w:val="16"/>
                <w:lang w:val="en-US"/>
              </w:rPr>
              <w:t>Bank Details</w:t>
            </w:r>
          </w:p>
        </w:tc>
        <w:tc>
          <w:tcPr>
            <w:tcW w:w="366" w:type="dxa"/>
            <w:gridSpan w:val="2"/>
            <w:shd w:val="clear" w:color="auto" w:fill="auto"/>
            <w:vAlign w:val="bottom"/>
          </w:tcPr>
          <w:p w14:paraId="18F51466" w14:textId="77777777" w:rsidR="0014071D" w:rsidRPr="00E16672" w:rsidRDefault="0014071D" w:rsidP="005745AF">
            <w:pPr>
              <w:snapToGrid w:val="0"/>
              <w:jc w:val="center"/>
              <w:rPr>
                <w:rFonts w:ascii="Times New Roman" w:hAnsi="Times New Roman"/>
              </w:rPr>
            </w:pPr>
          </w:p>
        </w:tc>
      </w:tr>
      <w:tr w:rsidR="007D5F22" w:rsidRPr="00E16672" w14:paraId="59749FF2" w14:textId="77777777" w:rsidTr="005E418B">
        <w:tblPrEx>
          <w:tblCellMar>
            <w:left w:w="0" w:type="dxa"/>
            <w:right w:w="0" w:type="dxa"/>
          </w:tblCellMar>
        </w:tblPrEx>
        <w:trPr>
          <w:trHeight w:val="213"/>
        </w:trPr>
        <w:tc>
          <w:tcPr>
            <w:tcW w:w="1740" w:type="dxa"/>
            <w:gridSpan w:val="2"/>
            <w:vMerge w:val="restart"/>
            <w:shd w:val="clear" w:color="auto" w:fill="auto"/>
            <w:vAlign w:val="center"/>
          </w:tcPr>
          <w:p w14:paraId="1020D05E" w14:textId="77777777" w:rsidR="007D5F22" w:rsidRPr="00E16672" w:rsidRDefault="007D5F22" w:rsidP="00186785">
            <w:pPr>
              <w:pStyle w:val="4"/>
              <w:snapToGrid w:val="0"/>
              <w:ind w:left="57" w:right="57" w:firstLine="0"/>
              <w:jc w:val="left"/>
              <w:rPr>
                <w:rFonts w:ascii="Times New Roman" w:hAnsi="Times New Roman"/>
                <w:sz w:val="16"/>
              </w:rPr>
            </w:pPr>
            <w:r w:rsidRPr="00E16672">
              <w:rPr>
                <w:rFonts w:ascii="Times New Roman" w:hAnsi="Times New Roman"/>
                <w:sz w:val="16"/>
              </w:rPr>
              <w:t>Одержувач</w:t>
            </w:r>
          </w:p>
          <w:p w14:paraId="55E64F5C" w14:textId="77777777" w:rsidR="007D5F22" w:rsidRPr="00E16672" w:rsidRDefault="007D5F22" w:rsidP="00186785">
            <w:pPr>
              <w:pStyle w:val="4"/>
              <w:snapToGrid w:val="0"/>
              <w:ind w:left="57" w:right="57" w:firstLine="0"/>
              <w:jc w:val="left"/>
              <w:rPr>
                <w:rFonts w:ascii="Times New Roman" w:hAnsi="Times New Roman"/>
                <w:sz w:val="16"/>
              </w:rPr>
            </w:pPr>
            <w:r w:rsidRPr="00E16672">
              <w:rPr>
                <w:rFonts w:ascii="Times New Roman" w:hAnsi="Times New Roman"/>
                <w:sz w:val="16"/>
              </w:rPr>
              <w:t>Рахунок №</w:t>
            </w:r>
          </w:p>
        </w:tc>
        <w:tc>
          <w:tcPr>
            <w:tcW w:w="3623" w:type="dxa"/>
            <w:gridSpan w:val="4"/>
            <w:shd w:val="clear" w:color="auto" w:fill="auto"/>
            <w:vAlign w:val="center"/>
          </w:tcPr>
          <w:p w14:paraId="7F7F5283" w14:textId="77777777" w:rsidR="007D5F22" w:rsidRPr="00E16672" w:rsidRDefault="007D5F22" w:rsidP="00022F5F">
            <w:pPr>
              <w:pStyle w:val="af7"/>
              <w:snapToGrid w:val="0"/>
              <w:ind w:left="57" w:right="57" w:firstLine="0"/>
              <w:jc w:val="left"/>
              <w:rPr>
                <w:rFonts w:ascii="Times New Roman" w:hAnsi="Times New Roman"/>
                <w:sz w:val="16"/>
                <w:szCs w:val="16"/>
                <w:lang w:val="ru-RU"/>
              </w:rPr>
            </w:pPr>
            <w:r w:rsidRPr="00E16672">
              <w:rPr>
                <w:rFonts w:ascii="Times New Roman" w:hAnsi="Times New Roman"/>
                <w:color w:val="000000"/>
                <w:sz w:val="16"/>
                <w:szCs w:val="16"/>
                <w:lang w:val="en-GB"/>
              </w:rPr>
              <w:t xml:space="preserve">ТОВ </w:t>
            </w:r>
            <w:r w:rsidR="00022F5F">
              <w:rPr>
                <w:rFonts w:ascii="Times New Roman" w:hAnsi="Times New Roman"/>
                <w:color w:val="000000"/>
                <w:sz w:val="16"/>
                <w:szCs w:val="16"/>
                <w:lang w:val="en-GB"/>
              </w:rPr>
              <w:t>"</w:t>
            </w:r>
            <w:r w:rsidRPr="00E16672">
              <w:rPr>
                <w:rFonts w:ascii="Times New Roman" w:hAnsi="Times New Roman"/>
                <w:color w:val="000000"/>
                <w:sz w:val="16"/>
                <w:szCs w:val="16"/>
                <w:lang w:val="en-GB"/>
              </w:rPr>
              <w:t>КОМЕКС ЦІННІ ПАПЕРИ</w:t>
            </w:r>
            <w:r w:rsidR="00022F5F">
              <w:rPr>
                <w:rFonts w:ascii="Times New Roman" w:hAnsi="Times New Roman"/>
                <w:color w:val="000000"/>
                <w:sz w:val="16"/>
                <w:szCs w:val="16"/>
                <w:lang w:val="en-GB"/>
              </w:rPr>
              <w:t>"</w:t>
            </w:r>
          </w:p>
        </w:tc>
        <w:tc>
          <w:tcPr>
            <w:tcW w:w="1899" w:type="dxa"/>
            <w:gridSpan w:val="3"/>
            <w:vMerge w:val="restart"/>
            <w:shd w:val="clear" w:color="auto" w:fill="auto"/>
            <w:vAlign w:val="center"/>
          </w:tcPr>
          <w:p w14:paraId="528D607A" w14:textId="77777777" w:rsidR="007D5F22" w:rsidRPr="00E16672" w:rsidRDefault="007D5F22" w:rsidP="00186785">
            <w:pPr>
              <w:pStyle w:val="4"/>
              <w:tabs>
                <w:tab w:val="num" w:pos="58"/>
                <w:tab w:val="left" w:pos="210"/>
              </w:tabs>
              <w:snapToGrid w:val="0"/>
              <w:ind w:left="57" w:right="57" w:firstLine="0"/>
              <w:jc w:val="left"/>
              <w:rPr>
                <w:rFonts w:ascii="Times New Roman" w:hAnsi="Times New Roman"/>
                <w:sz w:val="16"/>
                <w:lang w:val="en-GB"/>
              </w:rPr>
            </w:pPr>
            <w:r w:rsidRPr="00E16672">
              <w:rPr>
                <w:rFonts w:ascii="Times New Roman" w:hAnsi="Times New Roman"/>
                <w:sz w:val="16"/>
                <w:lang w:val="en-GB"/>
              </w:rPr>
              <w:t>Beneficiary</w:t>
            </w:r>
          </w:p>
          <w:p w14:paraId="14BB0FF3" w14:textId="77777777" w:rsidR="007D5F22" w:rsidRPr="00E16672" w:rsidRDefault="007D5F22" w:rsidP="00186785">
            <w:pPr>
              <w:pStyle w:val="4"/>
              <w:tabs>
                <w:tab w:val="num" w:pos="58"/>
                <w:tab w:val="left" w:pos="210"/>
              </w:tabs>
              <w:snapToGrid w:val="0"/>
              <w:ind w:left="57" w:right="57" w:firstLine="0"/>
              <w:jc w:val="left"/>
              <w:rPr>
                <w:rFonts w:ascii="Times New Roman" w:hAnsi="Times New Roman"/>
                <w:sz w:val="16"/>
                <w:lang w:val="en-GB"/>
              </w:rPr>
            </w:pPr>
            <w:r w:rsidRPr="00E16672">
              <w:rPr>
                <w:rFonts w:ascii="Times New Roman" w:hAnsi="Times New Roman"/>
                <w:color w:val="000000" w:themeColor="text1"/>
                <w:sz w:val="16"/>
                <w:lang w:val="en-GB"/>
              </w:rPr>
              <w:t>Account No</w:t>
            </w:r>
          </w:p>
        </w:tc>
        <w:tc>
          <w:tcPr>
            <w:tcW w:w="3928" w:type="dxa"/>
            <w:gridSpan w:val="6"/>
            <w:shd w:val="clear" w:color="auto" w:fill="auto"/>
            <w:vAlign w:val="center"/>
          </w:tcPr>
          <w:p w14:paraId="675F98C5" w14:textId="77777777" w:rsidR="007D5F22" w:rsidRPr="00E16672" w:rsidRDefault="007D5F22" w:rsidP="00186785">
            <w:pPr>
              <w:pStyle w:val="af7"/>
              <w:snapToGrid w:val="0"/>
              <w:ind w:right="57" w:firstLine="0"/>
              <w:jc w:val="left"/>
              <w:rPr>
                <w:rFonts w:ascii="Times New Roman" w:hAnsi="Times New Roman"/>
                <w:sz w:val="16"/>
                <w:szCs w:val="16"/>
                <w:lang w:val="en-GB"/>
              </w:rPr>
            </w:pPr>
            <w:r w:rsidRPr="003048F7">
              <w:rPr>
                <w:rFonts w:ascii="Times New Roman" w:hAnsi="Times New Roman"/>
                <w:caps/>
                <w:sz w:val="16"/>
                <w:szCs w:val="16"/>
                <w:lang w:val="en-US"/>
              </w:rPr>
              <w:t>COMEX Securities Limited</w:t>
            </w:r>
          </w:p>
        </w:tc>
      </w:tr>
      <w:tr w:rsidR="007D5F22" w:rsidRPr="00E16672" w14:paraId="5BB64B9E" w14:textId="77777777" w:rsidTr="005E418B">
        <w:tblPrEx>
          <w:tblCellMar>
            <w:left w:w="0" w:type="dxa"/>
            <w:right w:w="0" w:type="dxa"/>
          </w:tblCellMar>
        </w:tblPrEx>
        <w:trPr>
          <w:trHeight w:val="213"/>
        </w:trPr>
        <w:tc>
          <w:tcPr>
            <w:tcW w:w="1740" w:type="dxa"/>
            <w:gridSpan w:val="2"/>
            <w:vMerge/>
            <w:shd w:val="clear" w:color="auto" w:fill="auto"/>
            <w:vAlign w:val="center"/>
          </w:tcPr>
          <w:p w14:paraId="6A28F3B5" w14:textId="77777777" w:rsidR="007D5F22" w:rsidRPr="00E16672" w:rsidRDefault="007D5F22" w:rsidP="00186785">
            <w:pPr>
              <w:pStyle w:val="4"/>
              <w:snapToGrid w:val="0"/>
              <w:ind w:left="57" w:right="57" w:firstLine="0"/>
              <w:jc w:val="left"/>
              <w:rPr>
                <w:rFonts w:ascii="Times New Roman" w:hAnsi="Times New Roman"/>
                <w:sz w:val="16"/>
              </w:rPr>
            </w:pPr>
          </w:p>
        </w:tc>
        <w:tc>
          <w:tcPr>
            <w:tcW w:w="3623" w:type="dxa"/>
            <w:gridSpan w:val="4"/>
            <w:shd w:val="clear" w:color="auto" w:fill="auto"/>
            <w:vAlign w:val="center"/>
          </w:tcPr>
          <w:p w14:paraId="401A5D11" w14:textId="77777777" w:rsidR="007D5F22" w:rsidRPr="00E16672" w:rsidRDefault="007D5F22" w:rsidP="00186785">
            <w:pPr>
              <w:snapToGrid w:val="0"/>
              <w:ind w:right="57" w:firstLine="0"/>
              <w:jc w:val="left"/>
              <w:rPr>
                <w:rFonts w:ascii="Times New Roman" w:hAnsi="Times New Roman"/>
                <w:color w:val="000000" w:themeColor="text1"/>
                <w:sz w:val="16"/>
                <w:szCs w:val="16"/>
              </w:rPr>
            </w:pPr>
            <w:r>
              <w:rPr>
                <w:rFonts w:ascii="Times New Roman" w:hAnsi="Times New Roman"/>
                <w:color w:val="000000" w:themeColor="text1"/>
                <w:sz w:val="16"/>
                <w:szCs w:val="16"/>
                <w:lang w:val="uk-UA"/>
              </w:rPr>
              <w:t>UA743281680000000026503815351</w:t>
            </w:r>
            <w:r w:rsidRPr="00E16672">
              <w:rPr>
                <w:rFonts w:ascii="Times New Roman" w:hAnsi="Times New Roman"/>
                <w:color w:val="000000" w:themeColor="text1"/>
                <w:sz w:val="16"/>
                <w:szCs w:val="16"/>
                <w:lang w:val="uk-UA"/>
              </w:rPr>
              <w:t xml:space="preserve">          </w:t>
            </w:r>
          </w:p>
        </w:tc>
        <w:tc>
          <w:tcPr>
            <w:tcW w:w="1899" w:type="dxa"/>
            <w:gridSpan w:val="3"/>
            <w:vMerge/>
            <w:shd w:val="clear" w:color="auto" w:fill="auto"/>
            <w:vAlign w:val="center"/>
          </w:tcPr>
          <w:p w14:paraId="4E7127BF" w14:textId="77777777" w:rsidR="007D5F22" w:rsidRPr="00E16672" w:rsidRDefault="007D5F22" w:rsidP="00186785">
            <w:pPr>
              <w:pStyle w:val="4"/>
              <w:tabs>
                <w:tab w:val="num" w:pos="58"/>
                <w:tab w:val="left" w:pos="210"/>
              </w:tabs>
              <w:snapToGrid w:val="0"/>
              <w:ind w:left="57" w:right="57" w:firstLine="0"/>
              <w:jc w:val="left"/>
              <w:rPr>
                <w:rFonts w:ascii="Times New Roman" w:hAnsi="Times New Roman"/>
                <w:color w:val="000000" w:themeColor="text1"/>
                <w:sz w:val="16"/>
                <w:lang w:val="en-GB"/>
              </w:rPr>
            </w:pPr>
          </w:p>
        </w:tc>
        <w:tc>
          <w:tcPr>
            <w:tcW w:w="3928" w:type="dxa"/>
            <w:gridSpan w:val="6"/>
            <w:shd w:val="clear" w:color="auto" w:fill="auto"/>
            <w:vAlign w:val="center"/>
          </w:tcPr>
          <w:p w14:paraId="660EAAAB" w14:textId="77777777" w:rsidR="007D5F22" w:rsidRPr="00E16672" w:rsidRDefault="007D5F22" w:rsidP="00186785">
            <w:pPr>
              <w:pStyle w:val="af7"/>
              <w:snapToGrid w:val="0"/>
              <w:ind w:right="57" w:firstLine="0"/>
              <w:jc w:val="left"/>
              <w:rPr>
                <w:rFonts w:ascii="Times New Roman" w:hAnsi="Times New Roman"/>
                <w:color w:val="000000" w:themeColor="text1"/>
                <w:sz w:val="16"/>
                <w:szCs w:val="16"/>
                <w:lang w:val="en-GB"/>
              </w:rPr>
            </w:pPr>
            <w:r>
              <w:rPr>
                <w:rFonts w:ascii="Times New Roman" w:hAnsi="Times New Roman"/>
                <w:color w:val="000000" w:themeColor="text1"/>
                <w:sz w:val="16"/>
                <w:szCs w:val="16"/>
              </w:rPr>
              <w:t>UA743281680000000026503815351</w:t>
            </w:r>
            <w:r w:rsidRPr="00E16672">
              <w:rPr>
                <w:rFonts w:ascii="Times New Roman" w:hAnsi="Times New Roman"/>
                <w:color w:val="000000" w:themeColor="text1"/>
                <w:sz w:val="16"/>
                <w:szCs w:val="16"/>
              </w:rPr>
              <w:t xml:space="preserve"> </w:t>
            </w:r>
          </w:p>
        </w:tc>
      </w:tr>
      <w:tr w:rsidR="007D5F22" w:rsidRPr="00E16672" w14:paraId="60834393" w14:textId="77777777" w:rsidTr="005E418B">
        <w:tblPrEx>
          <w:tblCellMar>
            <w:left w:w="0" w:type="dxa"/>
            <w:right w:w="0" w:type="dxa"/>
          </w:tblCellMar>
        </w:tblPrEx>
        <w:trPr>
          <w:trHeight w:val="1104"/>
        </w:trPr>
        <w:tc>
          <w:tcPr>
            <w:tcW w:w="1740" w:type="dxa"/>
            <w:gridSpan w:val="2"/>
            <w:vMerge/>
            <w:shd w:val="clear" w:color="auto" w:fill="auto"/>
            <w:vAlign w:val="center"/>
          </w:tcPr>
          <w:p w14:paraId="7B7FE302" w14:textId="77777777" w:rsidR="007D5F22" w:rsidRPr="00E16672" w:rsidRDefault="007D5F22" w:rsidP="00186785">
            <w:pPr>
              <w:pStyle w:val="4"/>
              <w:tabs>
                <w:tab w:val="num" w:pos="864"/>
              </w:tabs>
              <w:snapToGrid w:val="0"/>
              <w:ind w:left="57" w:right="57" w:firstLine="0"/>
              <w:jc w:val="left"/>
              <w:rPr>
                <w:rFonts w:ascii="Times New Roman" w:hAnsi="Times New Roman"/>
                <w:sz w:val="16"/>
                <w:lang w:val="en-US"/>
              </w:rPr>
            </w:pPr>
          </w:p>
        </w:tc>
        <w:tc>
          <w:tcPr>
            <w:tcW w:w="3623" w:type="dxa"/>
            <w:gridSpan w:val="4"/>
            <w:shd w:val="clear" w:color="auto" w:fill="auto"/>
          </w:tcPr>
          <w:p w14:paraId="7434B22B" w14:textId="77777777" w:rsidR="007D5F22" w:rsidRPr="003048F7" w:rsidRDefault="007D5F22" w:rsidP="00186785">
            <w:pPr>
              <w:snapToGrid w:val="0"/>
              <w:ind w:left="57" w:right="57" w:hanging="63"/>
              <w:jc w:val="left"/>
              <w:rPr>
                <w:rFonts w:ascii="Times New Roman" w:hAnsi="Times New Roman"/>
                <w:sz w:val="16"/>
                <w:lang w:val="en-US"/>
              </w:rPr>
            </w:pPr>
            <w:r w:rsidRPr="003048F7">
              <w:rPr>
                <w:rFonts w:ascii="Times New Roman" w:hAnsi="Times New Roman"/>
                <w:sz w:val="16"/>
                <w:lang w:val="en-US"/>
              </w:rPr>
              <w:t>UAH:</w:t>
            </w:r>
          </w:p>
          <w:p w14:paraId="24A411EF" w14:textId="77777777" w:rsidR="007D5F22" w:rsidRPr="003048F7" w:rsidRDefault="007D5F22" w:rsidP="00186785">
            <w:pPr>
              <w:snapToGrid w:val="0"/>
              <w:ind w:left="57" w:right="57" w:hanging="63"/>
              <w:jc w:val="left"/>
              <w:rPr>
                <w:rFonts w:ascii="Times New Roman" w:hAnsi="Times New Roman"/>
                <w:sz w:val="16"/>
                <w:lang w:val="uk-UA"/>
              </w:rPr>
            </w:pPr>
            <w:r w:rsidRPr="003048F7">
              <w:rPr>
                <w:rFonts w:ascii="Times New Roman" w:hAnsi="Times New Roman"/>
                <w:sz w:val="16"/>
                <w:lang w:val="uk-UA"/>
              </w:rPr>
              <w:t>UA743281680000000026503815351</w:t>
            </w:r>
          </w:p>
          <w:p w14:paraId="4550D078" w14:textId="77777777" w:rsidR="007D5F22" w:rsidRPr="003048F7" w:rsidRDefault="007D5F22" w:rsidP="00186785">
            <w:pPr>
              <w:snapToGrid w:val="0"/>
              <w:ind w:left="57" w:right="57" w:hanging="63"/>
              <w:jc w:val="left"/>
              <w:rPr>
                <w:rFonts w:ascii="Times New Roman" w:hAnsi="Times New Roman"/>
                <w:sz w:val="16"/>
                <w:lang w:val="uk-UA"/>
              </w:rPr>
            </w:pPr>
            <w:r w:rsidRPr="003048F7">
              <w:rPr>
                <w:rFonts w:ascii="Times New Roman" w:hAnsi="Times New Roman"/>
                <w:sz w:val="16"/>
                <w:lang w:val="uk-UA"/>
              </w:rPr>
              <w:t>USA:</w:t>
            </w:r>
          </w:p>
          <w:p w14:paraId="485A72D8" w14:textId="77777777" w:rsidR="007D5F22" w:rsidRPr="003048F7" w:rsidRDefault="007D5F22" w:rsidP="00186785">
            <w:pPr>
              <w:snapToGrid w:val="0"/>
              <w:ind w:left="57" w:right="57" w:hanging="63"/>
              <w:jc w:val="left"/>
              <w:rPr>
                <w:rFonts w:ascii="Times New Roman" w:hAnsi="Times New Roman"/>
                <w:sz w:val="16"/>
                <w:lang w:val="uk-UA"/>
              </w:rPr>
            </w:pPr>
            <w:r w:rsidRPr="009E72B9">
              <w:rPr>
                <w:rFonts w:ascii="Times New Roman" w:hAnsi="Times New Roman"/>
                <w:sz w:val="16"/>
                <w:lang w:val="en-US"/>
              </w:rPr>
              <w:t>IBAN - UA583281680000026506000000001</w:t>
            </w:r>
          </w:p>
          <w:p w14:paraId="50F4ADD9" w14:textId="77777777" w:rsidR="007D5F22" w:rsidRPr="003048F7" w:rsidRDefault="007D5F22" w:rsidP="00186785">
            <w:pPr>
              <w:snapToGrid w:val="0"/>
              <w:ind w:left="57" w:right="57" w:hanging="63"/>
              <w:jc w:val="left"/>
              <w:rPr>
                <w:rFonts w:ascii="Times New Roman" w:hAnsi="Times New Roman"/>
                <w:sz w:val="16"/>
                <w:lang w:val="uk-UA"/>
              </w:rPr>
            </w:pPr>
            <w:r w:rsidRPr="003048F7">
              <w:rPr>
                <w:rFonts w:ascii="Times New Roman" w:hAnsi="Times New Roman"/>
                <w:sz w:val="16"/>
                <w:lang w:val="uk-UA"/>
              </w:rPr>
              <w:t>EUR:</w:t>
            </w:r>
          </w:p>
          <w:p w14:paraId="55BE2E74" w14:textId="77777777" w:rsidR="007D5F22" w:rsidRPr="009E72B9" w:rsidRDefault="007D5F22" w:rsidP="00186785">
            <w:pPr>
              <w:snapToGrid w:val="0"/>
              <w:ind w:right="57" w:firstLine="0"/>
              <w:jc w:val="left"/>
              <w:rPr>
                <w:rFonts w:ascii="Times New Roman" w:hAnsi="Times New Roman"/>
                <w:color w:val="000000" w:themeColor="text1"/>
                <w:sz w:val="16"/>
                <w:szCs w:val="16"/>
                <w:lang w:val="en-US"/>
              </w:rPr>
            </w:pPr>
            <w:r w:rsidRPr="003048F7">
              <w:rPr>
                <w:rFonts w:ascii="Times New Roman" w:hAnsi="Times New Roman"/>
                <w:sz w:val="16"/>
                <w:lang w:val="uk-UA"/>
              </w:rPr>
              <w:t>IBAN - UA763281680000026505000000002</w:t>
            </w:r>
          </w:p>
        </w:tc>
        <w:tc>
          <w:tcPr>
            <w:tcW w:w="1899" w:type="dxa"/>
            <w:gridSpan w:val="3"/>
            <w:vMerge/>
            <w:shd w:val="clear" w:color="auto" w:fill="auto"/>
            <w:vAlign w:val="center"/>
          </w:tcPr>
          <w:p w14:paraId="7C09030F" w14:textId="77777777" w:rsidR="007D5F22" w:rsidRPr="00E16672" w:rsidRDefault="007D5F22" w:rsidP="00186785">
            <w:pPr>
              <w:tabs>
                <w:tab w:val="num" w:pos="58"/>
                <w:tab w:val="left" w:pos="210"/>
              </w:tabs>
              <w:snapToGrid w:val="0"/>
              <w:ind w:left="57" w:right="57" w:firstLine="0"/>
              <w:jc w:val="left"/>
              <w:rPr>
                <w:rFonts w:ascii="Times New Roman" w:hAnsi="Times New Roman"/>
                <w:b/>
                <w:color w:val="000000" w:themeColor="text1"/>
                <w:sz w:val="16"/>
              </w:rPr>
            </w:pPr>
          </w:p>
        </w:tc>
        <w:tc>
          <w:tcPr>
            <w:tcW w:w="3928" w:type="dxa"/>
            <w:gridSpan w:val="6"/>
            <w:shd w:val="clear" w:color="auto" w:fill="auto"/>
          </w:tcPr>
          <w:p w14:paraId="00C75E60" w14:textId="77777777" w:rsidR="007D5F22" w:rsidRPr="003048F7" w:rsidRDefault="007D5F22" w:rsidP="00186785">
            <w:pPr>
              <w:snapToGrid w:val="0"/>
              <w:ind w:left="57" w:right="57" w:hanging="63"/>
              <w:jc w:val="left"/>
              <w:rPr>
                <w:rFonts w:ascii="Times New Roman" w:hAnsi="Times New Roman"/>
                <w:sz w:val="16"/>
                <w:lang w:val="uk-UA"/>
              </w:rPr>
            </w:pPr>
            <w:r w:rsidRPr="003048F7">
              <w:rPr>
                <w:rFonts w:ascii="Times New Roman" w:hAnsi="Times New Roman"/>
                <w:sz w:val="16"/>
                <w:lang w:val="en-US"/>
              </w:rPr>
              <w:t>UAH:</w:t>
            </w:r>
          </w:p>
          <w:p w14:paraId="7B7C292A" w14:textId="77777777" w:rsidR="007D5F22" w:rsidRPr="003048F7" w:rsidRDefault="007D5F22" w:rsidP="00186785">
            <w:pPr>
              <w:snapToGrid w:val="0"/>
              <w:ind w:left="57" w:right="57" w:hanging="63"/>
              <w:jc w:val="left"/>
              <w:rPr>
                <w:rFonts w:ascii="Times New Roman" w:hAnsi="Times New Roman"/>
                <w:sz w:val="16"/>
                <w:lang w:val="uk-UA"/>
              </w:rPr>
            </w:pPr>
            <w:r w:rsidRPr="003048F7">
              <w:rPr>
                <w:rFonts w:ascii="Times New Roman" w:hAnsi="Times New Roman"/>
                <w:sz w:val="16"/>
                <w:lang w:val="uk-UA"/>
              </w:rPr>
              <w:t>UA743281680000000026503815351</w:t>
            </w:r>
          </w:p>
          <w:p w14:paraId="65443B79" w14:textId="77777777" w:rsidR="007D5F22" w:rsidRPr="003048F7" w:rsidRDefault="007D5F22" w:rsidP="00186785">
            <w:pPr>
              <w:snapToGrid w:val="0"/>
              <w:ind w:left="57" w:right="57" w:hanging="63"/>
              <w:jc w:val="left"/>
              <w:rPr>
                <w:rFonts w:ascii="Times New Roman" w:hAnsi="Times New Roman"/>
                <w:sz w:val="16"/>
                <w:lang w:val="uk-UA"/>
              </w:rPr>
            </w:pPr>
            <w:r w:rsidRPr="003048F7">
              <w:rPr>
                <w:rFonts w:ascii="Times New Roman" w:hAnsi="Times New Roman"/>
                <w:sz w:val="16"/>
                <w:lang w:val="uk-UA"/>
              </w:rPr>
              <w:t>USA:</w:t>
            </w:r>
          </w:p>
          <w:p w14:paraId="05AA8912" w14:textId="77777777" w:rsidR="007D5F22" w:rsidRPr="003048F7" w:rsidRDefault="007D5F22" w:rsidP="00186785">
            <w:pPr>
              <w:snapToGrid w:val="0"/>
              <w:ind w:left="57" w:right="57" w:hanging="63"/>
              <w:jc w:val="left"/>
              <w:rPr>
                <w:rFonts w:ascii="Times New Roman" w:hAnsi="Times New Roman"/>
                <w:sz w:val="16"/>
                <w:lang w:val="uk-UA"/>
              </w:rPr>
            </w:pPr>
            <w:r w:rsidRPr="009E72B9">
              <w:rPr>
                <w:rFonts w:ascii="Times New Roman" w:hAnsi="Times New Roman"/>
                <w:sz w:val="16"/>
                <w:lang w:val="en-US"/>
              </w:rPr>
              <w:t>IBAN - UA583281680000026506000000001</w:t>
            </w:r>
          </w:p>
          <w:p w14:paraId="7A593188" w14:textId="77777777" w:rsidR="007D5F22" w:rsidRPr="003048F7" w:rsidRDefault="007D5F22" w:rsidP="00186785">
            <w:pPr>
              <w:snapToGrid w:val="0"/>
              <w:ind w:left="57" w:right="57" w:hanging="63"/>
              <w:jc w:val="left"/>
              <w:rPr>
                <w:rFonts w:ascii="Times New Roman" w:hAnsi="Times New Roman"/>
                <w:sz w:val="16"/>
                <w:lang w:val="uk-UA"/>
              </w:rPr>
            </w:pPr>
            <w:r w:rsidRPr="003048F7">
              <w:rPr>
                <w:rFonts w:ascii="Times New Roman" w:hAnsi="Times New Roman"/>
                <w:sz w:val="16"/>
                <w:lang w:val="uk-UA"/>
              </w:rPr>
              <w:t>EUR:</w:t>
            </w:r>
          </w:p>
          <w:p w14:paraId="4ACE1EE0" w14:textId="77777777" w:rsidR="007D5F22" w:rsidRPr="00E16672" w:rsidRDefault="007D5F22" w:rsidP="00186785">
            <w:pPr>
              <w:snapToGrid w:val="0"/>
              <w:ind w:right="57" w:firstLine="0"/>
              <w:jc w:val="left"/>
              <w:rPr>
                <w:rFonts w:ascii="Times New Roman" w:hAnsi="Times New Roman"/>
                <w:color w:val="000000" w:themeColor="text1"/>
                <w:sz w:val="16"/>
                <w:szCs w:val="16"/>
                <w:lang w:val="en-US"/>
              </w:rPr>
            </w:pPr>
            <w:r w:rsidRPr="003048F7">
              <w:rPr>
                <w:rFonts w:ascii="Times New Roman" w:hAnsi="Times New Roman"/>
                <w:sz w:val="16"/>
              </w:rPr>
              <w:t>IBAN - UA763281680000026505000000002</w:t>
            </w:r>
          </w:p>
        </w:tc>
      </w:tr>
      <w:tr w:rsidR="007D5F22" w:rsidRPr="00A26EFC" w14:paraId="466A29AD" w14:textId="77777777" w:rsidTr="005E418B">
        <w:tblPrEx>
          <w:tblCellMar>
            <w:left w:w="0" w:type="dxa"/>
            <w:right w:w="0" w:type="dxa"/>
          </w:tblCellMar>
        </w:tblPrEx>
        <w:trPr>
          <w:trHeight w:val="882"/>
        </w:trPr>
        <w:tc>
          <w:tcPr>
            <w:tcW w:w="1740" w:type="dxa"/>
            <w:gridSpan w:val="2"/>
            <w:shd w:val="clear" w:color="auto" w:fill="auto"/>
            <w:vAlign w:val="center"/>
          </w:tcPr>
          <w:p w14:paraId="26C45431" w14:textId="77777777" w:rsidR="007D5F22" w:rsidRPr="00E16672" w:rsidRDefault="007D5F22" w:rsidP="00186785">
            <w:pPr>
              <w:pStyle w:val="4"/>
              <w:keepNext w:val="0"/>
              <w:widowControl w:val="0"/>
              <w:tabs>
                <w:tab w:val="num" w:pos="864"/>
                <w:tab w:val="left" w:pos="921"/>
              </w:tabs>
              <w:snapToGrid w:val="0"/>
              <w:ind w:left="57" w:right="57" w:firstLine="0"/>
              <w:jc w:val="left"/>
              <w:rPr>
                <w:rFonts w:ascii="Times New Roman" w:hAnsi="Times New Roman"/>
                <w:iCs/>
                <w:sz w:val="16"/>
                <w:szCs w:val="16"/>
              </w:rPr>
            </w:pPr>
            <w:r w:rsidRPr="00E16672">
              <w:rPr>
                <w:rFonts w:ascii="Times New Roman" w:hAnsi="Times New Roman"/>
                <w:sz w:val="16"/>
              </w:rPr>
              <w:t>Банк одержувача</w:t>
            </w:r>
            <w:r w:rsidRPr="00E16672">
              <w:rPr>
                <w:rFonts w:ascii="Times New Roman" w:hAnsi="Times New Roman"/>
                <w:sz w:val="16"/>
                <w:lang w:val="en-US"/>
              </w:rPr>
              <w:t>:</w:t>
            </w:r>
          </w:p>
        </w:tc>
        <w:tc>
          <w:tcPr>
            <w:tcW w:w="3623" w:type="dxa"/>
            <w:gridSpan w:val="4"/>
            <w:shd w:val="clear" w:color="auto" w:fill="auto"/>
            <w:vAlign w:val="center"/>
          </w:tcPr>
          <w:p w14:paraId="54DEA3F5" w14:textId="77777777" w:rsidR="007D5F22" w:rsidRPr="003048F7" w:rsidRDefault="007D5F22" w:rsidP="00022F5F">
            <w:pPr>
              <w:pStyle w:val="1f2"/>
              <w:ind w:left="-6" w:right="57" w:firstLine="0"/>
              <w:jc w:val="left"/>
              <w:rPr>
                <w:rFonts w:ascii="Times New Roman" w:hAnsi="Times New Roman" w:cs="Times New Roman"/>
                <w:sz w:val="16"/>
              </w:rPr>
            </w:pPr>
            <w:r w:rsidRPr="003048F7">
              <w:rPr>
                <w:rFonts w:ascii="Times New Roman" w:hAnsi="Times New Roman" w:cs="Times New Roman"/>
                <w:sz w:val="16"/>
              </w:rPr>
              <w:t xml:space="preserve">ПАТ </w:t>
            </w:r>
            <w:r w:rsidR="00022F5F">
              <w:rPr>
                <w:rFonts w:ascii="Times New Roman" w:hAnsi="Times New Roman" w:cs="Times New Roman"/>
                <w:sz w:val="16"/>
              </w:rPr>
              <w:t>"</w:t>
            </w:r>
            <w:r w:rsidRPr="003048F7">
              <w:rPr>
                <w:rFonts w:ascii="Times New Roman" w:hAnsi="Times New Roman" w:cs="Times New Roman"/>
                <w:sz w:val="16"/>
              </w:rPr>
              <w:t>МТБ БАНК</w:t>
            </w:r>
            <w:r w:rsidR="00022F5F">
              <w:rPr>
                <w:rFonts w:ascii="Times New Roman" w:hAnsi="Times New Roman" w:cs="Times New Roman"/>
                <w:sz w:val="16"/>
              </w:rPr>
              <w:t>"</w:t>
            </w:r>
          </w:p>
          <w:p w14:paraId="7C44C4C4" w14:textId="77777777" w:rsidR="007D5F22" w:rsidRPr="00E16672" w:rsidRDefault="007D5F22" w:rsidP="00186785">
            <w:pPr>
              <w:snapToGrid w:val="0"/>
              <w:ind w:right="57" w:firstLine="0"/>
              <w:jc w:val="left"/>
              <w:rPr>
                <w:rFonts w:ascii="Times New Roman" w:hAnsi="Times New Roman"/>
                <w:bCs/>
                <w:color w:val="0000FF"/>
                <w:sz w:val="16"/>
                <w:szCs w:val="16"/>
                <w:lang w:val="uk-UA"/>
              </w:rPr>
            </w:pPr>
            <w:proofErr w:type="spellStart"/>
            <w:r w:rsidRPr="003048F7">
              <w:rPr>
                <w:rFonts w:ascii="Times New Roman" w:hAnsi="Times New Roman"/>
                <w:sz w:val="16"/>
              </w:rPr>
              <w:t>Україна</w:t>
            </w:r>
            <w:proofErr w:type="spellEnd"/>
            <w:r w:rsidRPr="001E0BFF">
              <w:rPr>
                <w:rFonts w:ascii="Times New Roman" w:hAnsi="Times New Roman"/>
                <w:sz w:val="16"/>
              </w:rPr>
              <w:t xml:space="preserve">, 68003, </w:t>
            </w:r>
            <w:proofErr w:type="spellStart"/>
            <w:r w:rsidRPr="003048F7">
              <w:rPr>
                <w:rFonts w:ascii="Times New Roman" w:hAnsi="Times New Roman"/>
                <w:sz w:val="16"/>
              </w:rPr>
              <w:t>Одеська</w:t>
            </w:r>
            <w:proofErr w:type="spellEnd"/>
            <w:r w:rsidRPr="003048F7">
              <w:rPr>
                <w:rFonts w:ascii="Times New Roman" w:hAnsi="Times New Roman"/>
                <w:sz w:val="16"/>
              </w:rPr>
              <w:t xml:space="preserve"> область</w:t>
            </w:r>
            <w:r w:rsidRPr="001E0BFF">
              <w:rPr>
                <w:rFonts w:ascii="Times New Roman" w:hAnsi="Times New Roman"/>
                <w:sz w:val="16"/>
              </w:rPr>
              <w:t xml:space="preserve">, </w:t>
            </w:r>
            <w:proofErr w:type="spellStart"/>
            <w:r w:rsidRPr="003048F7">
              <w:rPr>
                <w:rFonts w:ascii="Times New Roman" w:hAnsi="Times New Roman"/>
                <w:sz w:val="16"/>
              </w:rPr>
              <w:t>місто</w:t>
            </w:r>
            <w:proofErr w:type="spellEnd"/>
            <w:r w:rsidRPr="003048F7">
              <w:rPr>
                <w:rFonts w:ascii="Times New Roman" w:hAnsi="Times New Roman"/>
                <w:sz w:val="16"/>
              </w:rPr>
              <w:t xml:space="preserve"> </w:t>
            </w:r>
            <w:proofErr w:type="spellStart"/>
            <w:r w:rsidRPr="003048F7">
              <w:rPr>
                <w:rFonts w:ascii="Times New Roman" w:hAnsi="Times New Roman"/>
                <w:sz w:val="16"/>
              </w:rPr>
              <w:t>Чорноморськ</w:t>
            </w:r>
            <w:proofErr w:type="spellEnd"/>
            <w:r w:rsidRPr="001E0BFF">
              <w:rPr>
                <w:rFonts w:ascii="Times New Roman" w:hAnsi="Times New Roman"/>
                <w:sz w:val="16"/>
              </w:rPr>
              <w:t xml:space="preserve">, </w:t>
            </w:r>
            <w:r w:rsidRPr="003048F7">
              <w:rPr>
                <w:rFonts w:ascii="Times New Roman" w:hAnsi="Times New Roman"/>
                <w:sz w:val="16"/>
              </w:rPr>
              <w:t>пр. Миру</w:t>
            </w:r>
            <w:r w:rsidRPr="003048F7">
              <w:rPr>
                <w:rFonts w:ascii="Times New Roman" w:hAnsi="Times New Roman"/>
                <w:sz w:val="16"/>
                <w:lang w:val="en-US"/>
              </w:rPr>
              <w:t>, 28</w:t>
            </w:r>
          </w:p>
        </w:tc>
        <w:tc>
          <w:tcPr>
            <w:tcW w:w="1899" w:type="dxa"/>
            <w:gridSpan w:val="3"/>
            <w:shd w:val="clear" w:color="auto" w:fill="auto"/>
            <w:vAlign w:val="center"/>
          </w:tcPr>
          <w:p w14:paraId="753DA071" w14:textId="77777777" w:rsidR="007D5F22" w:rsidRPr="00E16672" w:rsidRDefault="007D5F22" w:rsidP="00186785">
            <w:pPr>
              <w:pStyle w:val="4"/>
              <w:keepNext w:val="0"/>
              <w:widowControl w:val="0"/>
              <w:tabs>
                <w:tab w:val="num" w:pos="58"/>
              </w:tabs>
              <w:snapToGrid w:val="0"/>
              <w:ind w:left="58" w:right="57" w:firstLine="0"/>
              <w:jc w:val="left"/>
              <w:rPr>
                <w:rFonts w:ascii="Times New Roman" w:hAnsi="Times New Roman"/>
                <w:iCs/>
                <w:sz w:val="16"/>
                <w:szCs w:val="16"/>
                <w:lang w:val="en-GB"/>
              </w:rPr>
            </w:pPr>
            <w:proofErr w:type="spellStart"/>
            <w:r w:rsidRPr="00E16672">
              <w:rPr>
                <w:rFonts w:ascii="Times New Roman" w:hAnsi="Times New Roman"/>
                <w:color w:val="000000" w:themeColor="text1"/>
                <w:sz w:val="16"/>
              </w:rPr>
              <w:t>Beneficiary's</w:t>
            </w:r>
            <w:proofErr w:type="spellEnd"/>
            <w:r w:rsidRPr="00E16672">
              <w:rPr>
                <w:rFonts w:ascii="Times New Roman" w:hAnsi="Times New Roman"/>
                <w:color w:val="000000" w:themeColor="text1"/>
                <w:sz w:val="16"/>
              </w:rPr>
              <w:t xml:space="preserve"> </w:t>
            </w:r>
            <w:proofErr w:type="spellStart"/>
            <w:r w:rsidRPr="00E16672">
              <w:rPr>
                <w:rFonts w:ascii="Times New Roman" w:hAnsi="Times New Roman"/>
                <w:color w:val="000000" w:themeColor="text1"/>
                <w:sz w:val="16"/>
              </w:rPr>
              <w:t>bank</w:t>
            </w:r>
            <w:proofErr w:type="spellEnd"/>
          </w:p>
        </w:tc>
        <w:tc>
          <w:tcPr>
            <w:tcW w:w="3928" w:type="dxa"/>
            <w:gridSpan w:val="6"/>
            <w:shd w:val="clear" w:color="auto" w:fill="auto"/>
            <w:vAlign w:val="center"/>
          </w:tcPr>
          <w:p w14:paraId="5840F806" w14:textId="77777777" w:rsidR="007D5F22" w:rsidRPr="003048F7" w:rsidRDefault="007D5F22" w:rsidP="00186785">
            <w:pPr>
              <w:snapToGrid w:val="0"/>
              <w:ind w:left="57" w:right="57" w:hanging="57"/>
              <w:rPr>
                <w:rFonts w:ascii="Times New Roman" w:hAnsi="Times New Roman"/>
                <w:sz w:val="16"/>
                <w:lang w:val="en-US"/>
              </w:rPr>
            </w:pPr>
            <w:r w:rsidRPr="003048F7">
              <w:rPr>
                <w:rFonts w:ascii="Times New Roman" w:hAnsi="Times New Roman"/>
                <w:sz w:val="16"/>
                <w:lang w:val="en-US"/>
              </w:rPr>
              <w:t>PJSC “MTB BANK”</w:t>
            </w:r>
          </w:p>
          <w:p w14:paraId="4F77EA73" w14:textId="77777777" w:rsidR="007D5F22" w:rsidRPr="00E16672" w:rsidRDefault="007D5F22" w:rsidP="00186785">
            <w:pPr>
              <w:snapToGrid w:val="0"/>
              <w:ind w:right="57" w:firstLine="0"/>
              <w:jc w:val="left"/>
              <w:rPr>
                <w:rFonts w:ascii="Times New Roman" w:hAnsi="Times New Roman"/>
                <w:bCs/>
                <w:color w:val="0000FF"/>
                <w:sz w:val="16"/>
                <w:szCs w:val="16"/>
                <w:lang w:val="en-GB"/>
              </w:rPr>
            </w:pPr>
            <w:r w:rsidRPr="003048F7">
              <w:rPr>
                <w:rFonts w:ascii="Times New Roman" w:hAnsi="Times New Roman"/>
                <w:sz w:val="16"/>
                <w:lang w:val="en-US"/>
              </w:rPr>
              <w:t xml:space="preserve">Ukraine, 68003, Odessa region, </w:t>
            </w:r>
            <w:proofErr w:type="spellStart"/>
            <w:r w:rsidRPr="003048F7">
              <w:rPr>
                <w:rFonts w:ascii="Times New Roman" w:hAnsi="Times New Roman"/>
                <w:sz w:val="16"/>
                <w:lang w:val="en-US"/>
              </w:rPr>
              <w:t>Chornomorsk</w:t>
            </w:r>
            <w:proofErr w:type="spellEnd"/>
            <w:r w:rsidRPr="003048F7">
              <w:rPr>
                <w:rFonts w:ascii="Times New Roman" w:hAnsi="Times New Roman"/>
                <w:sz w:val="16"/>
                <w:lang w:val="en-US"/>
              </w:rPr>
              <w:t xml:space="preserve"> city, Mir Avenue, 28</w:t>
            </w:r>
          </w:p>
        </w:tc>
      </w:tr>
      <w:tr w:rsidR="007D5F22" w:rsidRPr="00E16672" w:rsidDel="00D16973" w14:paraId="27248A62" w14:textId="77777777" w:rsidTr="005E418B">
        <w:tblPrEx>
          <w:tblCellMar>
            <w:left w:w="0" w:type="dxa"/>
            <w:right w:w="0" w:type="dxa"/>
          </w:tblCellMar>
        </w:tblPrEx>
        <w:trPr>
          <w:trHeight w:val="582"/>
        </w:trPr>
        <w:tc>
          <w:tcPr>
            <w:tcW w:w="3004" w:type="dxa"/>
            <w:gridSpan w:val="3"/>
            <w:shd w:val="clear" w:color="auto" w:fill="auto"/>
            <w:vAlign w:val="center"/>
          </w:tcPr>
          <w:p w14:paraId="71CD9AE6" w14:textId="579B0C35" w:rsidR="007D5F22" w:rsidRPr="00E16672" w:rsidRDefault="007D5F22" w:rsidP="00186785">
            <w:pPr>
              <w:pStyle w:val="4"/>
              <w:numPr>
                <w:ilvl w:val="3"/>
                <w:numId w:val="0"/>
              </w:numPr>
              <w:tabs>
                <w:tab w:val="num" w:pos="864"/>
              </w:tabs>
              <w:ind w:left="57" w:right="57"/>
              <w:jc w:val="left"/>
              <w:rPr>
                <w:rFonts w:ascii="Times New Roman" w:hAnsi="Times New Roman"/>
                <w:sz w:val="16"/>
              </w:rPr>
            </w:pPr>
            <w:r w:rsidRPr="00E16672">
              <w:rPr>
                <w:rFonts w:ascii="Times New Roman" w:hAnsi="Times New Roman"/>
                <w:sz w:val="16"/>
              </w:rPr>
              <w:t>Документ, що підтверджує повноваження особи, яка підписує договір</w:t>
            </w:r>
          </w:p>
        </w:tc>
        <w:tc>
          <w:tcPr>
            <w:tcW w:w="2359" w:type="dxa"/>
            <w:gridSpan w:val="3"/>
            <w:shd w:val="clear" w:color="auto" w:fill="auto"/>
            <w:vAlign w:val="center"/>
          </w:tcPr>
          <w:p w14:paraId="77BC6D93" w14:textId="77777777" w:rsidR="007D5F22" w:rsidRPr="00E16672" w:rsidRDefault="007D5F22" w:rsidP="00186785">
            <w:pPr>
              <w:pStyle w:val="1f2"/>
              <w:ind w:right="57" w:firstLine="0"/>
              <w:jc w:val="left"/>
              <w:rPr>
                <w:rFonts w:ascii="Times New Roman" w:hAnsi="Times New Roman" w:cs="Times New Roman"/>
                <w:color w:val="0000FF"/>
                <w:sz w:val="16"/>
                <w:lang w:val="ru-RU"/>
              </w:rPr>
            </w:pPr>
            <w:r w:rsidRPr="00E16672">
              <w:rPr>
                <w:rFonts w:ascii="Times New Roman" w:hAnsi="Times New Roman" w:cs="Times New Roman"/>
                <w:sz w:val="16"/>
                <w:lang w:val="ru-RU"/>
              </w:rPr>
              <w:t xml:space="preserve"> Статут</w:t>
            </w:r>
          </w:p>
        </w:tc>
        <w:tc>
          <w:tcPr>
            <w:tcW w:w="3175" w:type="dxa"/>
            <w:gridSpan w:val="6"/>
            <w:shd w:val="clear" w:color="auto" w:fill="auto"/>
            <w:vAlign w:val="center"/>
          </w:tcPr>
          <w:p w14:paraId="12C4A2B5" w14:textId="72302DFC" w:rsidR="007D5F22" w:rsidRPr="00E16672" w:rsidRDefault="007D5F22" w:rsidP="00186785">
            <w:pPr>
              <w:pStyle w:val="4"/>
              <w:numPr>
                <w:ilvl w:val="3"/>
                <w:numId w:val="0"/>
              </w:numPr>
              <w:tabs>
                <w:tab w:val="num" w:pos="864"/>
              </w:tabs>
              <w:ind w:left="57" w:right="57"/>
              <w:jc w:val="left"/>
              <w:rPr>
                <w:rFonts w:ascii="Times New Roman" w:hAnsi="Times New Roman"/>
                <w:sz w:val="16"/>
              </w:rPr>
            </w:pPr>
            <w:r w:rsidRPr="00E16672">
              <w:rPr>
                <w:rFonts w:ascii="Times New Roman" w:hAnsi="Times New Roman"/>
                <w:sz w:val="16"/>
              </w:rPr>
              <w:t xml:space="preserve">A </w:t>
            </w:r>
            <w:proofErr w:type="spellStart"/>
            <w:r w:rsidRPr="00E16672">
              <w:rPr>
                <w:rFonts w:ascii="Times New Roman" w:hAnsi="Times New Roman"/>
                <w:sz w:val="16"/>
              </w:rPr>
              <w:t>document</w:t>
            </w:r>
            <w:proofErr w:type="spellEnd"/>
            <w:r w:rsidRPr="00E16672">
              <w:rPr>
                <w:rFonts w:ascii="Times New Roman" w:hAnsi="Times New Roman"/>
                <w:sz w:val="16"/>
              </w:rPr>
              <w:t xml:space="preserve"> </w:t>
            </w:r>
            <w:proofErr w:type="spellStart"/>
            <w:r w:rsidRPr="00E16672">
              <w:rPr>
                <w:rFonts w:ascii="Times New Roman" w:hAnsi="Times New Roman"/>
                <w:sz w:val="16"/>
              </w:rPr>
              <w:t>confirming</w:t>
            </w:r>
            <w:proofErr w:type="spellEnd"/>
            <w:r w:rsidRPr="00E16672">
              <w:rPr>
                <w:rFonts w:ascii="Times New Roman" w:hAnsi="Times New Roman"/>
                <w:sz w:val="16"/>
              </w:rPr>
              <w:t xml:space="preserve"> </w:t>
            </w:r>
            <w:proofErr w:type="spellStart"/>
            <w:r w:rsidRPr="00E16672">
              <w:rPr>
                <w:rFonts w:ascii="Times New Roman" w:hAnsi="Times New Roman"/>
                <w:sz w:val="16"/>
              </w:rPr>
              <w:t>the</w:t>
            </w:r>
            <w:proofErr w:type="spellEnd"/>
            <w:r w:rsidRPr="00E16672">
              <w:rPr>
                <w:rFonts w:ascii="Times New Roman" w:hAnsi="Times New Roman"/>
                <w:sz w:val="16"/>
              </w:rPr>
              <w:t xml:space="preserve"> </w:t>
            </w:r>
            <w:proofErr w:type="spellStart"/>
            <w:r w:rsidRPr="00E16672">
              <w:rPr>
                <w:rFonts w:ascii="Times New Roman" w:hAnsi="Times New Roman"/>
                <w:sz w:val="16"/>
              </w:rPr>
              <w:t>authority</w:t>
            </w:r>
            <w:proofErr w:type="spellEnd"/>
            <w:r w:rsidRPr="00E16672">
              <w:rPr>
                <w:rFonts w:ascii="Times New Roman" w:hAnsi="Times New Roman"/>
                <w:sz w:val="16"/>
              </w:rPr>
              <w:t xml:space="preserve"> </w:t>
            </w:r>
            <w:proofErr w:type="spellStart"/>
            <w:r w:rsidRPr="00E16672">
              <w:rPr>
                <w:rFonts w:ascii="Times New Roman" w:hAnsi="Times New Roman"/>
                <w:sz w:val="16"/>
              </w:rPr>
              <w:t>of</w:t>
            </w:r>
            <w:proofErr w:type="spellEnd"/>
            <w:r w:rsidRPr="00E16672">
              <w:rPr>
                <w:rFonts w:ascii="Times New Roman" w:hAnsi="Times New Roman"/>
                <w:sz w:val="16"/>
              </w:rPr>
              <w:t xml:space="preserve"> </w:t>
            </w:r>
            <w:proofErr w:type="spellStart"/>
            <w:r w:rsidRPr="00E16672">
              <w:rPr>
                <w:rFonts w:ascii="Times New Roman" w:hAnsi="Times New Roman"/>
                <w:sz w:val="16"/>
              </w:rPr>
              <w:t>the</w:t>
            </w:r>
            <w:proofErr w:type="spellEnd"/>
            <w:r w:rsidRPr="00E16672">
              <w:rPr>
                <w:rFonts w:ascii="Times New Roman" w:hAnsi="Times New Roman"/>
                <w:sz w:val="16"/>
              </w:rPr>
              <w:t xml:space="preserve"> </w:t>
            </w:r>
            <w:proofErr w:type="spellStart"/>
            <w:r w:rsidRPr="00E16672">
              <w:rPr>
                <w:rFonts w:ascii="Times New Roman" w:hAnsi="Times New Roman"/>
                <w:sz w:val="16"/>
              </w:rPr>
              <w:t>person</w:t>
            </w:r>
            <w:proofErr w:type="spellEnd"/>
            <w:r w:rsidRPr="00E16672">
              <w:rPr>
                <w:rFonts w:ascii="Times New Roman" w:hAnsi="Times New Roman"/>
                <w:sz w:val="16"/>
              </w:rPr>
              <w:t xml:space="preserve"> </w:t>
            </w:r>
            <w:proofErr w:type="spellStart"/>
            <w:r w:rsidRPr="00E16672">
              <w:rPr>
                <w:rFonts w:ascii="Times New Roman" w:hAnsi="Times New Roman"/>
                <w:sz w:val="16"/>
              </w:rPr>
              <w:t>signing</w:t>
            </w:r>
            <w:proofErr w:type="spellEnd"/>
            <w:r w:rsidRPr="00E16672">
              <w:rPr>
                <w:rFonts w:ascii="Times New Roman" w:hAnsi="Times New Roman"/>
                <w:sz w:val="16"/>
              </w:rPr>
              <w:t xml:space="preserve"> </w:t>
            </w:r>
            <w:proofErr w:type="spellStart"/>
            <w:r w:rsidRPr="00E16672">
              <w:rPr>
                <w:rFonts w:ascii="Times New Roman" w:hAnsi="Times New Roman"/>
                <w:sz w:val="16"/>
              </w:rPr>
              <w:t>the</w:t>
            </w:r>
            <w:proofErr w:type="spellEnd"/>
            <w:r w:rsidRPr="00E16672">
              <w:rPr>
                <w:rFonts w:ascii="Times New Roman" w:hAnsi="Times New Roman"/>
                <w:sz w:val="16"/>
              </w:rPr>
              <w:t xml:space="preserve"> </w:t>
            </w:r>
            <w:proofErr w:type="spellStart"/>
            <w:r w:rsidRPr="00E16672">
              <w:rPr>
                <w:rFonts w:ascii="Times New Roman" w:hAnsi="Times New Roman"/>
                <w:sz w:val="16"/>
              </w:rPr>
              <w:t>contract</w:t>
            </w:r>
            <w:proofErr w:type="spellEnd"/>
            <w:r w:rsidRPr="00E16672">
              <w:rPr>
                <w:rFonts w:ascii="Times New Roman" w:hAnsi="Times New Roman"/>
                <w:sz w:val="16"/>
              </w:rPr>
              <w:t xml:space="preserve"> </w:t>
            </w:r>
          </w:p>
        </w:tc>
        <w:tc>
          <w:tcPr>
            <w:tcW w:w="2652" w:type="dxa"/>
            <w:gridSpan w:val="3"/>
            <w:shd w:val="clear" w:color="auto" w:fill="auto"/>
            <w:vAlign w:val="center"/>
          </w:tcPr>
          <w:p w14:paraId="1CA2A870" w14:textId="77777777" w:rsidR="007D5F22" w:rsidRPr="00E16672" w:rsidDel="00D16973" w:rsidRDefault="007D5F22" w:rsidP="00186785">
            <w:pPr>
              <w:pStyle w:val="4"/>
              <w:numPr>
                <w:ilvl w:val="3"/>
                <w:numId w:val="0"/>
              </w:numPr>
              <w:tabs>
                <w:tab w:val="num" w:pos="864"/>
              </w:tabs>
              <w:ind w:left="57" w:right="57"/>
              <w:jc w:val="left"/>
              <w:rPr>
                <w:rFonts w:ascii="Times New Roman" w:hAnsi="Times New Roman"/>
                <w:b w:val="0"/>
                <w:sz w:val="16"/>
                <w:szCs w:val="16"/>
              </w:rPr>
            </w:pPr>
            <w:r w:rsidRPr="00E16672">
              <w:rPr>
                <w:rFonts w:ascii="Times New Roman" w:hAnsi="Times New Roman"/>
                <w:b w:val="0"/>
                <w:color w:val="000000"/>
                <w:sz w:val="16"/>
                <w:lang w:val="en-US"/>
              </w:rPr>
              <w:t>Statute</w:t>
            </w:r>
          </w:p>
        </w:tc>
      </w:tr>
      <w:tr w:rsidR="007D5F22" w:rsidRPr="00E16672" w:rsidDel="00D16973" w14:paraId="62ECD91F" w14:textId="77777777" w:rsidTr="005E418B">
        <w:tblPrEx>
          <w:tblCellMar>
            <w:left w:w="0" w:type="dxa"/>
            <w:right w:w="0" w:type="dxa"/>
          </w:tblCellMar>
        </w:tblPrEx>
        <w:trPr>
          <w:trHeight w:val="582"/>
        </w:trPr>
        <w:tc>
          <w:tcPr>
            <w:tcW w:w="3004" w:type="dxa"/>
            <w:gridSpan w:val="3"/>
            <w:shd w:val="clear" w:color="auto" w:fill="auto"/>
            <w:vAlign w:val="center"/>
          </w:tcPr>
          <w:p w14:paraId="3FDDA632" w14:textId="77777777" w:rsidR="007D5F22" w:rsidRPr="00E16672" w:rsidRDefault="007D5F22" w:rsidP="00186785">
            <w:pPr>
              <w:pStyle w:val="4"/>
              <w:numPr>
                <w:ilvl w:val="3"/>
                <w:numId w:val="0"/>
              </w:numPr>
              <w:tabs>
                <w:tab w:val="num" w:pos="864"/>
              </w:tabs>
              <w:ind w:left="57" w:right="57"/>
              <w:jc w:val="left"/>
              <w:rPr>
                <w:rFonts w:ascii="Times New Roman" w:hAnsi="Times New Roman"/>
                <w:sz w:val="16"/>
              </w:rPr>
            </w:pPr>
            <w:r w:rsidRPr="00E16672">
              <w:rPr>
                <w:rFonts w:ascii="Times New Roman" w:hAnsi="Times New Roman"/>
                <w:color w:val="000000"/>
                <w:sz w:val="16"/>
                <w:szCs w:val="18"/>
              </w:rPr>
              <w:t>Ліцензія депозитарної установи (серія, номер, дата видачі)</w:t>
            </w:r>
          </w:p>
        </w:tc>
        <w:tc>
          <w:tcPr>
            <w:tcW w:w="2359" w:type="dxa"/>
            <w:gridSpan w:val="3"/>
            <w:shd w:val="clear" w:color="auto" w:fill="auto"/>
            <w:vAlign w:val="center"/>
          </w:tcPr>
          <w:p w14:paraId="353DA8C7" w14:textId="77777777" w:rsidR="007D5F22" w:rsidRPr="00E16672" w:rsidRDefault="007D5F22" w:rsidP="00186785">
            <w:pPr>
              <w:pStyle w:val="1f2"/>
              <w:ind w:right="57" w:firstLine="0"/>
              <w:rPr>
                <w:rFonts w:ascii="Times New Roman" w:hAnsi="Times New Roman" w:cs="Times New Roman"/>
                <w:color w:val="0000FF"/>
                <w:sz w:val="16"/>
                <w:lang w:val="ru-RU"/>
              </w:rPr>
            </w:pPr>
            <w:r w:rsidRPr="00E16672">
              <w:rPr>
                <w:rFonts w:ascii="Times New Roman" w:hAnsi="Times New Roman" w:cs="Times New Roman"/>
                <w:bCs/>
                <w:sz w:val="16"/>
                <w:szCs w:val="16"/>
              </w:rPr>
              <w:t xml:space="preserve"> АЕ 263429, 01.10.2013</w:t>
            </w:r>
          </w:p>
        </w:tc>
        <w:tc>
          <w:tcPr>
            <w:tcW w:w="3175" w:type="dxa"/>
            <w:gridSpan w:val="6"/>
            <w:shd w:val="clear" w:color="auto" w:fill="auto"/>
            <w:vAlign w:val="center"/>
          </w:tcPr>
          <w:p w14:paraId="1980A141" w14:textId="77777777" w:rsidR="007D5F22" w:rsidRPr="00E16672" w:rsidRDefault="007D5F22" w:rsidP="00186785">
            <w:pPr>
              <w:pStyle w:val="4"/>
              <w:numPr>
                <w:ilvl w:val="3"/>
                <w:numId w:val="0"/>
              </w:numPr>
              <w:tabs>
                <w:tab w:val="num" w:pos="864"/>
              </w:tabs>
              <w:ind w:left="57" w:right="57"/>
              <w:jc w:val="left"/>
              <w:rPr>
                <w:rFonts w:ascii="Times New Roman" w:hAnsi="Times New Roman"/>
                <w:color w:val="0000FF"/>
                <w:sz w:val="16"/>
                <w:szCs w:val="16"/>
              </w:rPr>
            </w:pPr>
            <w:proofErr w:type="spellStart"/>
            <w:r w:rsidRPr="00E16672">
              <w:rPr>
                <w:rFonts w:ascii="Times New Roman" w:hAnsi="Times New Roman"/>
                <w:color w:val="000000"/>
                <w:sz w:val="16"/>
                <w:szCs w:val="18"/>
              </w:rPr>
              <w:t>Depositary</w:t>
            </w:r>
            <w:proofErr w:type="spellEnd"/>
            <w:r w:rsidRPr="00E16672">
              <w:rPr>
                <w:rFonts w:ascii="Times New Roman" w:hAnsi="Times New Roman"/>
                <w:color w:val="000000"/>
                <w:sz w:val="16"/>
                <w:szCs w:val="18"/>
              </w:rPr>
              <w:t xml:space="preserve"> </w:t>
            </w:r>
            <w:proofErr w:type="spellStart"/>
            <w:r w:rsidRPr="00E16672">
              <w:rPr>
                <w:rFonts w:ascii="Times New Roman" w:hAnsi="Times New Roman"/>
                <w:color w:val="000000"/>
                <w:sz w:val="16"/>
                <w:szCs w:val="18"/>
              </w:rPr>
              <w:t>institution</w:t>
            </w:r>
            <w:proofErr w:type="spellEnd"/>
            <w:r w:rsidRPr="00E16672">
              <w:rPr>
                <w:rFonts w:ascii="Times New Roman" w:hAnsi="Times New Roman"/>
                <w:color w:val="000000"/>
                <w:sz w:val="16"/>
                <w:szCs w:val="18"/>
              </w:rPr>
              <w:t xml:space="preserve"> </w:t>
            </w:r>
            <w:proofErr w:type="spellStart"/>
            <w:r w:rsidRPr="00E16672">
              <w:rPr>
                <w:rFonts w:ascii="Times New Roman" w:hAnsi="Times New Roman"/>
                <w:color w:val="000000"/>
                <w:sz w:val="16"/>
                <w:szCs w:val="18"/>
              </w:rPr>
              <w:t>license</w:t>
            </w:r>
            <w:proofErr w:type="spellEnd"/>
            <w:r w:rsidRPr="00E16672">
              <w:rPr>
                <w:rFonts w:ascii="Times New Roman" w:hAnsi="Times New Roman"/>
                <w:color w:val="000000"/>
                <w:sz w:val="16"/>
                <w:szCs w:val="18"/>
              </w:rPr>
              <w:t xml:space="preserve"> (</w:t>
            </w:r>
            <w:proofErr w:type="spellStart"/>
            <w:r w:rsidRPr="00E16672">
              <w:rPr>
                <w:rFonts w:ascii="Times New Roman" w:hAnsi="Times New Roman"/>
                <w:color w:val="000000"/>
                <w:sz w:val="16"/>
                <w:szCs w:val="18"/>
              </w:rPr>
              <w:t>series</w:t>
            </w:r>
            <w:proofErr w:type="spellEnd"/>
            <w:r w:rsidRPr="00E16672">
              <w:rPr>
                <w:rFonts w:ascii="Times New Roman" w:hAnsi="Times New Roman"/>
                <w:color w:val="000000"/>
                <w:sz w:val="16"/>
                <w:szCs w:val="18"/>
              </w:rPr>
              <w:t xml:space="preserve">, </w:t>
            </w:r>
            <w:proofErr w:type="spellStart"/>
            <w:r w:rsidRPr="00E16672">
              <w:rPr>
                <w:rFonts w:ascii="Times New Roman" w:hAnsi="Times New Roman"/>
                <w:color w:val="000000"/>
                <w:sz w:val="16"/>
                <w:szCs w:val="18"/>
              </w:rPr>
              <w:t>number</w:t>
            </w:r>
            <w:proofErr w:type="spellEnd"/>
            <w:r w:rsidRPr="00E16672">
              <w:rPr>
                <w:rFonts w:ascii="Times New Roman" w:hAnsi="Times New Roman"/>
                <w:color w:val="000000"/>
                <w:sz w:val="16"/>
                <w:szCs w:val="18"/>
              </w:rPr>
              <w:t xml:space="preserve">, </w:t>
            </w:r>
            <w:proofErr w:type="spellStart"/>
            <w:r w:rsidRPr="00E16672">
              <w:rPr>
                <w:rFonts w:ascii="Times New Roman" w:hAnsi="Times New Roman"/>
                <w:color w:val="000000"/>
                <w:sz w:val="16"/>
                <w:szCs w:val="18"/>
              </w:rPr>
              <w:t>date</w:t>
            </w:r>
            <w:proofErr w:type="spellEnd"/>
            <w:r w:rsidRPr="00E16672">
              <w:rPr>
                <w:rFonts w:ascii="Times New Roman" w:hAnsi="Times New Roman"/>
                <w:color w:val="000000"/>
                <w:sz w:val="16"/>
                <w:szCs w:val="18"/>
              </w:rPr>
              <w:t xml:space="preserve"> </w:t>
            </w:r>
            <w:proofErr w:type="spellStart"/>
            <w:r w:rsidRPr="00E16672">
              <w:rPr>
                <w:rFonts w:ascii="Times New Roman" w:hAnsi="Times New Roman"/>
                <w:color w:val="000000"/>
                <w:sz w:val="16"/>
                <w:szCs w:val="18"/>
              </w:rPr>
              <w:t>of</w:t>
            </w:r>
            <w:proofErr w:type="spellEnd"/>
            <w:r w:rsidRPr="00E16672">
              <w:rPr>
                <w:rFonts w:ascii="Times New Roman" w:hAnsi="Times New Roman"/>
                <w:color w:val="000000"/>
                <w:sz w:val="16"/>
                <w:szCs w:val="18"/>
              </w:rPr>
              <w:t xml:space="preserve"> </w:t>
            </w:r>
            <w:proofErr w:type="spellStart"/>
            <w:r w:rsidRPr="00E16672">
              <w:rPr>
                <w:rFonts w:ascii="Times New Roman" w:hAnsi="Times New Roman"/>
                <w:color w:val="000000"/>
                <w:sz w:val="16"/>
                <w:szCs w:val="18"/>
              </w:rPr>
              <w:t>issue</w:t>
            </w:r>
            <w:proofErr w:type="spellEnd"/>
            <w:r w:rsidRPr="00E16672">
              <w:rPr>
                <w:rFonts w:ascii="Times New Roman" w:hAnsi="Times New Roman"/>
                <w:color w:val="000000"/>
                <w:sz w:val="16"/>
                <w:szCs w:val="18"/>
              </w:rPr>
              <w:t>)</w:t>
            </w:r>
          </w:p>
        </w:tc>
        <w:tc>
          <w:tcPr>
            <w:tcW w:w="2652" w:type="dxa"/>
            <w:gridSpan w:val="3"/>
            <w:shd w:val="clear" w:color="auto" w:fill="auto"/>
            <w:vAlign w:val="center"/>
          </w:tcPr>
          <w:p w14:paraId="76B6EE9C" w14:textId="77777777" w:rsidR="007D5F22" w:rsidRPr="00E16672" w:rsidDel="00D16973" w:rsidRDefault="007D5F22" w:rsidP="00186785">
            <w:pPr>
              <w:pStyle w:val="6"/>
              <w:widowControl w:val="0"/>
              <w:snapToGrid w:val="0"/>
              <w:ind w:left="0" w:firstLine="0"/>
              <w:jc w:val="left"/>
              <w:rPr>
                <w:rFonts w:ascii="Times New Roman" w:hAnsi="Times New Roman"/>
                <w:color w:val="0000FF"/>
                <w:sz w:val="16"/>
                <w:szCs w:val="16"/>
                <w:lang w:val="en-US"/>
              </w:rPr>
            </w:pPr>
            <w:r w:rsidRPr="00E16672">
              <w:rPr>
                <w:rFonts w:ascii="Times New Roman" w:hAnsi="Times New Roman"/>
                <w:bCs/>
                <w:sz w:val="16"/>
                <w:szCs w:val="16"/>
                <w:lang w:val="uk-UA"/>
              </w:rPr>
              <w:t>АЕ 263429, 01.10.2013</w:t>
            </w:r>
          </w:p>
        </w:tc>
      </w:tr>
    </w:tbl>
    <w:p w14:paraId="33525D3E" w14:textId="77777777" w:rsidR="0014071D" w:rsidRPr="00E16672" w:rsidRDefault="0014071D" w:rsidP="0014071D">
      <w:pPr>
        <w:rPr>
          <w:rFonts w:ascii="Times New Roman" w:hAnsi="Times New Roman"/>
          <w:lang w:val="uk-UA"/>
        </w:rPr>
      </w:pPr>
    </w:p>
    <w:p w14:paraId="79CFEB56" w14:textId="77777777" w:rsidR="0014071D" w:rsidRPr="00E16672" w:rsidRDefault="0014071D" w:rsidP="0014071D">
      <w:pPr>
        <w:rPr>
          <w:rFonts w:ascii="Times New Roman" w:hAnsi="Times New Roman"/>
          <w:lang w:val="uk-UA"/>
        </w:rPr>
      </w:pPr>
    </w:p>
    <w:tbl>
      <w:tblPr>
        <w:tblW w:w="0" w:type="auto"/>
        <w:tblInd w:w="168" w:type="dxa"/>
        <w:tblLayout w:type="fixed"/>
        <w:tblCellMar>
          <w:top w:w="55" w:type="dxa"/>
          <w:left w:w="55" w:type="dxa"/>
          <w:bottom w:w="55" w:type="dxa"/>
          <w:right w:w="55" w:type="dxa"/>
        </w:tblCellMar>
        <w:tblLook w:val="0000" w:firstRow="0" w:lastRow="0" w:firstColumn="0" w:lastColumn="0" w:noHBand="0" w:noVBand="0"/>
      </w:tblPr>
      <w:tblGrid>
        <w:gridCol w:w="5500"/>
        <w:gridCol w:w="5328"/>
      </w:tblGrid>
      <w:tr w:rsidR="0014071D" w:rsidRPr="00D2328A" w14:paraId="2BB307AD" w14:textId="77777777" w:rsidTr="005745AF">
        <w:tc>
          <w:tcPr>
            <w:tcW w:w="5500" w:type="dxa"/>
            <w:shd w:val="clear" w:color="auto" w:fill="auto"/>
          </w:tcPr>
          <w:p w14:paraId="38843DF3" w14:textId="77777777" w:rsidR="0014071D" w:rsidRPr="00E16672" w:rsidRDefault="0014071D" w:rsidP="005745AF">
            <w:pPr>
              <w:tabs>
                <w:tab w:val="left" w:pos="5960"/>
              </w:tabs>
              <w:snapToGrid w:val="0"/>
              <w:ind w:left="57" w:right="57" w:hanging="57"/>
              <w:rPr>
                <w:rFonts w:ascii="Times New Roman" w:hAnsi="Times New Roman"/>
                <w:b/>
                <w:bCs/>
                <w:sz w:val="16"/>
                <w:szCs w:val="16"/>
              </w:rPr>
            </w:pPr>
          </w:p>
          <w:p w14:paraId="444968EC" w14:textId="77777777" w:rsidR="0014071D" w:rsidRPr="00E16672" w:rsidRDefault="0014071D" w:rsidP="005745AF">
            <w:pPr>
              <w:tabs>
                <w:tab w:val="left" w:pos="5960"/>
              </w:tabs>
              <w:snapToGrid w:val="0"/>
              <w:ind w:left="57" w:right="57" w:hanging="57"/>
              <w:rPr>
                <w:rFonts w:ascii="Times New Roman" w:hAnsi="Times New Roman"/>
                <w:b/>
                <w:bCs/>
                <w:sz w:val="16"/>
                <w:szCs w:val="16"/>
              </w:rPr>
            </w:pPr>
          </w:p>
          <w:p w14:paraId="4F4AF0D0" w14:textId="77777777" w:rsidR="0014071D" w:rsidRPr="00E16672" w:rsidRDefault="0014071D" w:rsidP="005745AF">
            <w:pPr>
              <w:tabs>
                <w:tab w:val="left" w:pos="5960"/>
              </w:tabs>
              <w:snapToGrid w:val="0"/>
              <w:ind w:left="57" w:right="57" w:hanging="57"/>
              <w:rPr>
                <w:rFonts w:ascii="Times New Roman" w:hAnsi="Times New Roman"/>
                <w:b/>
                <w:bCs/>
                <w:sz w:val="16"/>
                <w:szCs w:val="16"/>
              </w:rPr>
            </w:pPr>
            <w:proofErr w:type="spellStart"/>
            <w:r w:rsidRPr="00E16672">
              <w:rPr>
                <w:rFonts w:ascii="Times New Roman" w:hAnsi="Times New Roman"/>
                <w:b/>
                <w:bCs/>
                <w:sz w:val="16"/>
                <w:szCs w:val="16"/>
              </w:rPr>
              <w:t>Депозитарна</w:t>
            </w:r>
            <w:proofErr w:type="spellEnd"/>
            <w:r w:rsidRPr="00E16672">
              <w:rPr>
                <w:rFonts w:ascii="Times New Roman" w:hAnsi="Times New Roman"/>
                <w:b/>
                <w:bCs/>
                <w:sz w:val="16"/>
                <w:szCs w:val="16"/>
              </w:rPr>
              <w:t xml:space="preserve"> </w:t>
            </w:r>
            <w:proofErr w:type="spellStart"/>
            <w:r w:rsidRPr="00E16672">
              <w:rPr>
                <w:rFonts w:ascii="Times New Roman" w:hAnsi="Times New Roman"/>
                <w:b/>
                <w:bCs/>
                <w:sz w:val="16"/>
                <w:szCs w:val="16"/>
              </w:rPr>
              <w:t>установа</w:t>
            </w:r>
            <w:proofErr w:type="spellEnd"/>
            <w:r w:rsidRPr="00E16672">
              <w:rPr>
                <w:rFonts w:ascii="Times New Roman" w:hAnsi="Times New Roman"/>
                <w:b/>
                <w:bCs/>
                <w:sz w:val="16"/>
                <w:szCs w:val="16"/>
              </w:rPr>
              <w:t xml:space="preserve"> </w:t>
            </w:r>
            <w:r w:rsidRPr="00E16672">
              <w:rPr>
                <w:rFonts w:ascii="Times New Roman" w:hAnsi="Times New Roman"/>
                <w:b/>
                <w:bCs/>
                <w:sz w:val="16"/>
                <w:szCs w:val="16"/>
                <w:lang w:val="en-US"/>
              </w:rPr>
              <w:t>(</w:t>
            </w:r>
            <w:proofErr w:type="spellStart"/>
            <w:r w:rsidRPr="00E16672">
              <w:rPr>
                <w:rFonts w:ascii="Times New Roman" w:hAnsi="Times New Roman"/>
                <w:b/>
                <w:bCs/>
                <w:sz w:val="16"/>
                <w:szCs w:val="16"/>
              </w:rPr>
              <w:t>Depository</w:t>
            </w:r>
            <w:proofErr w:type="spellEnd"/>
            <w:r w:rsidRPr="00E16672">
              <w:rPr>
                <w:rFonts w:ascii="Times New Roman" w:hAnsi="Times New Roman"/>
                <w:b/>
                <w:bCs/>
                <w:sz w:val="16"/>
                <w:szCs w:val="16"/>
              </w:rPr>
              <w:t xml:space="preserve"> </w:t>
            </w:r>
            <w:proofErr w:type="spellStart"/>
            <w:r w:rsidRPr="00E16672">
              <w:rPr>
                <w:rFonts w:ascii="Times New Roman" w:hAnsi="Times New Roman"/>
                <w:b/>
                <w:bCs/>
                <w:sz w:val="16"/>
                <w:szCs w:val="16"/>
              </w:rPr>
              <w:t>institution</w:t>
            </w:r>
            <w:proofErr w:type="spellEnd"/>
            <w:r w:rsidRPr="00E16672">
              <w:rPr>
                <w:rFonts w:ascii="Times New Roman" w:hAnsi="Times New Roman"/>
                <w:b/>
                <w:bCs/>
                <w:sz w:val="16"/>
                <w:szCs w:val="16"/>
              </w:rPr>
              <w:t>):</w:t>
            </w:r>
          </w:p>
        </w:tc>
        <w:tc>
          <w:tcPr>
            <w:tcW w:w="5328" w:type="dxa"/>
            <w:shd w:val="clear" w:color="auto" w:fill="auto"/>
          </w:tcPr>
          <w:p w14:paraId="0905358E" w14:textId="77777777" w:rsidR="0014071D" w:rsidRPr="00E16672" w:rsidRDefault="0014071D" w:rsidP="005745AF">
            <w:pPr>
              <w:tabs>
                <w:tab w:val="left" w:pos="5960"/>
              </w:tabs>
              <w:snapToGrid w:val="0"/>
              <w:ind w:left="57" w:right="57" w:hanging="57"/>
              <w:rPr>
                <w:rFonts w:ascii="Times New Roman" w:hAnsi="Times New Roman"/>
                <w:b/>
                <w:bCs/>
                <w:sz w:val="16"/>
                <w:szCs w:val="16"/>
              </w:rPr>
            </w:pPr>
          </w:p>
          <w:p w14:paraId="27E441D5" w14:textId="77777777" w:rsidR="0014071D" w:rsidRPr="00E16672" w:rsidRDefault="0014071D" w:rsidP="005745AF">
            <w:pPr>
              <w:tabs>
                <w:tab w:val="left" w:pos="5960"/>
              </w:tabs>
              <w:snapToGrid w:val="0"/>
              <w:ind w:left="57" w:right="57" w:hanging="57"/>
              <w:rPr>
                <w:rFonts w:ascii="Times New Roman" w:hAnsi="Times New Roman"/>
                <w:b/>
                <w:bCs/>
                <w:sz w:val="16"/>
                <w:szCs w:val="16"/>
              </w:rPr>
            </w:pPr>
          </w:p>
          <w:p w14:paraId="7ABE5986" w14:textId="6014E40E" w:rsidR="0014071D" w:rsidRPr="00D2328A" w:rsidRDefault="0014071D" w:rsidP="0014071D">
            <w:pPr>
              <w:tabs>
                <w:tab w:val="left" w:pos="5960"/>
              </w:tabs>
              <w:snapToGrid w:val="0"/>
              <w:ind w:left="57" w:right="57" w:hanging="57"/>
              <w:rPr>
                <w:rFonts w:ascii="Times New Roman" w:hAnsi="Times New Roman"/>
                <w:b/>
                <w:bCs/>
                <w:sz w:val="16"/>
                <w:szCs w:val="16"/>
                <w:lang w:val="en-US"/>
              </w:rPr>
            </w:pPr>
            <w:r w:rsidRPr="00E16672">
              <w:rPr>
                <w:rFonts w:ascii="Times New Roman" w:hAnsi="Times New Roman"/>
                <w:b/>
                <w:bCs/>
                <w:sz w:val="16"/>
                <w:szCs w:val="16"/>
                <w:lang w:val="uk-UA"/>
              </w:rPr>
              <w:t>Номінальний утримувач</w:t>
            </w:r>
            <w:r w:rsidRPr="00D2328A">
              <w:rPr>
                <w:rFonts w:ascii="Times New Roman" w:hAnsi="Times New Roman"/>
                <w:b/>
                <w:bCs/>
                <w:sz w:val="16"/>
                <w:szCs w:val="16"/>
                <w:lang w:val="en-US"/>
              </w:rPr>
              <w:t xml:space="preserve"> / </w:t>
            </w:r>
            <w:proofErr w:type="spellStart"/>
            <w:r w:rsidR="00E226B8" w:rsidRPr="00E226B8">
              <w:rPr>
                <w:rFonts w:ascii="Times New Roman" w:hAnsi="Times New Roman"/>
                <w:b/>
                <w:bCs/>
                <w:sz w:val="16"/>
                <w:szCs w:val="16"/>
              </w:rPr>
              <w:t>уповноважена</w:t>
            </w:r>
            <w:proofErr w:type="spellEnd"/>
            <w:r w:rsidR="00E226B8" w:rsidRPr="00D2328A">
              <w:rPr>
                <w:rFonts w:ascii="Times New Roman" w:hAnsi="Times New Roman"/>
                <w:b/>
                <w:bCs/>
                <w:sz w:val="16"/>
                <w:szCs w:val="16"/>
                <w:lang w:val="en-US"/>
              </w:rPr>
              <w:t xml:space="preserve"> </w:t>
            </w:r>
            <w:r w:rsidR="00E226B8" w:rsidRPr="00E226B8">
              <w:rPr>
                <w:rFonts w:ascii="Times New Roman" w:hAnsi="Times New Roman"/>
                <w:b/>
                <w:bCs/>
                <w:sz w:val="16"/>
                <w:szCs w:val="16"/>
              </w:rPr>
              <w:t>особа</w:t>
            </w:r>
            <w:r w:rsidR="00E226B8" w:rsidRPr="00D2328A">
              <w:rPr>
                <w:rFonts w:ascii="Times New Roman" w:hAnsi="Times New Roman"/>
                <w:b/>
                <w:bCs/>
                <w:sz w:val="16"/>
                <w:szCs w:val="16"/>
                <w:lang w:val="en-US"/>
              </w:rPr>
              <w:t xml:space="preserve"> </w:t>
            </w:r>
            <w:r w:rsidRPr="00D2328A">
              <w:rPr>
                <w:rFonts w:ascii="Times New Roman" w:hAnsi="Times New Roman"/>
                <w:b/>
                <w:bCs/>
                <w:sz w:val="16"/>
                <w:szCs w:val="16"/>
                <w:lang w:val="en-US"/>
              </w:rPr>
              <w:t>(</w:t>
            </w:r>
            <w:r w:rsidRPr="00E16672">
              <w:rPr>
                <w:rFonts w:ascii="Times New Roman" w:hAnsi="Times New Roman"/>
                <w:b/>
                <w:bCs/>
                <w:sz w:val="16"/>
                <w:szCs w:val="16"/>
                <w:lang w:val="en-US"/>
              </w:rPr>
              <w:t>Nominal</w:t>
            </w:r>
            <w:r w:rsidRPr="00D2328A">
              <w:rPr>
                <w:rFonts w:ascii="Times New Roman" w:hAnsi="Times New Roman"/>
                <w:b/>
                <w:bCs/>
                <w:sz w:val="16"/>
                <w:szCs w:val="16"/>
                <w:lang w:val="en-US"/>
              </w:rPr>
              <w:t xml:space="preserve"> </w:t>
            </w:r>
            <w:r w:rsidRPr="00E16672">
              <w:rPr>
                <w:rFonts w:ascii="Times New Roman" w:hAnsi="Times New Roman"/>
                <w:b/>
                <w:bCs/>
                <w:sz w:val="16"/>
                <w:szCs w:val="16"/>
                <w:lang w:val="en-US"/>
              </w:rPr>
              <w:t>holder</w:t>
            </w:r>
            <w:r w:rsidRPr="00D2328A">
              <w:rPr>
                <w:rFonts w:ascii="Times New Roman" w:hAnsi="Times New Roman"/>
                <w:b/>
                <w:bCs/>
                <w:sz w:val="16"/>
                <w:szCs w:val="16"/>
                <w:lang w:val="en-US"/>
              </w:rPr>
              <w:t xml:space="preserve"> / </w:t>
            </w:r>
            <w:r w:rsidR="00E226B8" w:rsidRPr="00E226B8">
              <w:rPr>
                <w:rFonts w:ascii="Times New Roman" w:hAnsi="Times New Roman"/>
                <w:b/>
                <w:sz w:val="16"/>
                <w:szCs w:val="16"/>
                <w:lang w:val="en-GB"/>
              </w:rPr>
              <w:t>authorized</w:t>
            </w:r>
            <w:r w:rsidR="00E226B8" w:rsidRPr="00D2328A">
              <w:rPr>
                <w:rFonts w:ascii="Times New Roman" w:hAnsi="Times New Roman"/>
                <w:b/>
                <w:sz w:val="16"/>
                <w:szCs w:val="16"/>
                <w:lang w:val="en-US"/>
              </w:rPr>
              <w:t xml:space="preserve"> </w:t>
            </w:r>
            <w:r w:rsidR="00E226B8" w:rsidRPr="00E226B8">
              <w:rPr>
                <w:rFonts w:ascii="Times New Roman" w:hAnsi="Times New Roman"/>
                <w:b/>
                <w:sz w:val="16"/>
                <w:szCs w:val="16"/>
                <w:lang w:val="en-GB"/>
              </w:rPr>
              <w:t>person</w:t>
            </w:r>
            <w:r w:rsidRPr="00D2328A">
              <w:rPr>
                <w:rFonts w:ascii="Times New Roman" w:hAnsi="Times New Roman"/>
                <w:b/>
                <w:bCs/>
                <w:sz w:val="16"/>
                <w:szCs w:val="16"/>
                <w:lang w:val="en-US"/>
              </w:rPr>
              <w:t>):</w:t>
            </w:r>
          </w:p>
          <w:p w14:paraId="737D5F04" w14:textId="77777777" w:rsidR="0014071D" w:rsidRPr="00D2328A" w:rsidRDefault="0014071D" w:rsidP="005745AF">
            <w:pPr>
              <w:tabs>
                <w:tab w:val="left" w:pos="5960"/>
              </w:tabs>
              <w:snapToGrid w:val="0"/>
              <w:ind w:left="57" w:right="57" w:hanging="57"/>
              <w:rPr>
                <w:rFonts w:ascii="Times New Roman" w:hAnsi="Times New Roman"/>
                <w:b/>
                <w:bCs/>
                <w:sz w:val="16"/>
                <w:szCs w:val="16"/>
                <w:lang w:val="en-US"/>
              </w:rPr>
            </w:pPr>
          </w:p>
        </w:tc>
      </w:tr>
      <w:tr w:rsidR="0014071D" w:rsidRPr="00A26EFC" w14:paraId="703AF98F" w14:textId="77777777" w:rsidTr="005745AF">
        <w:trPr>
          <w:trHeight w:val="919"/>
        </w:trPr>
        <w:tc>
          <w:tcPr>
            <w:tcW w:w="5500" w:type="dxa"/>
            <w:shd w:val="clear" w:color="auto" w:fill="auto"/>
          </w:tcPr>
          <w:p w14:paraId="0E3A4EFE" w14:textId="77777777" w:rsidR="0014071D" w:rsidRPr="00E16672" w:rsidRDefault="0014071D" w:rsidP="00F82710">
            <w:pPr>
              <w:tabs>
                <w:tab w:val="left" w:pos="1560"/>
              </w:tabs>
              <w:ind w:firstLine="102"/>
              <w:jc w:val="left"/>
              <w:rPr>
                <w:rFonts w:ascii="Times New Roman" w:hAnsi="Times New Roman"/>
                <w:color w:val="000000"/>
                <w:sz w:val="18"/>
                <w:szCs w:val="18"/>
                <w:lang w:val="en-US"/>
              </w:rPr>
            </w:pPr>
            <w:r w:rsidRPr="00E16672">
              <w:rPr>
                <w:rFonts w:ascii="Times New Roman" w:hAnsi="Times New Roman"/>
                <w:color w:val="000000"/>
                <w:sz w:val="18"/>
                <w:szCs w:val="18"/>
                <w:lang w:val="en-US"/>
              </w:rPr>
              <w:t>_</w:t>
            </w:r>
            <w:r w:rsidRPr="00E16672">
              <w:rPr>
                <w:rFonts w:ascii="Times New Roman" w:hAnsi="Times New Roman"/>
                <w:color w:val="000000"/>
                <w:sz w:val="18"/>
                <w:szCs w:val="18"/>
                <w:lang w:val="uk-UA"/>
              </w:rPr>
              <w:t>__</w:t>
            </w:r>
            <w:r w:rsidRPr="00E16672">
              <w:rPr>
                <w:rFonts w:ascii="Times New Roman" w:hAnsi="Times New Roman"/>
                <w:color w:val="000000"/>
                <w:sz w:val="18"/>
                <w:szCs w:val="18"/>
                <w:lang w:val="en-US"/>
              </w:rPr>
              <w:t>___________________</w:t>
            </w:r>
            <w:proofErr w:type="gramStart"/>
            <w:r w:rsidRPr="00E16672">
              <w:rPr>
                <w:rFonts w:ascii="Times New Roman" w:hAnsi="Times New Roman"/>
                <w:color w:val="000000"/>
                <w:sz w:val="18"/>
                <w:szCs w:val="18"/>
                <w:lang w:val="en-US"/>
              </w:rPr>
              <w:t>_</w:t>
            </w:r>
            <w:r w:rsidRPr="00E16672">
              <w:rPr>
                <w:rFonts w:ascii="Times New Roman" w:hAnsi="Times New Roman"/>
                <w:color w:val="000000"/>
                <w:sz w:val="16"/>
                <w:szCs w:val="16"/>
                <w:lang w:val="en-US"/>
              </w:rPr>
              <w:t>(</w:t>
            </w:r>
            <w:proofErr w:type="gramEnd"/>
            <w:r w:rsidR="00F82710">
              <w:rPr>
                <w:rFonts w:ascii="Times New Roman" w:hAnsi="Times New Roman"/>
                <w:bCs/>
                <w:sz w:val="16"/>
                <w:szCs w:val="16"/>
              </w:rPr>
              <w:t>Король</w:t>
            </w:r>
            <w:r w:rsidR="00E16672" w:rsidRPr="005770E6">
              <w:rPr>
                <w:rFonts w:ascii="Times New Roman" w:hAnsi="Times New Roman"/>
                <w:bCs/>
                <w:sz w:val="16"/>
                <w:szCs w:val="16"/>
                <w:lang w:val="en-US"/>
              </w:rPr>
              <w:t xml:space="preserve"> </w:t>
            </w:r>
            <w:r w:rsidR="00E16672" w:rsidRPr="00E16672">
              <w:rPr>
                <w:rFonts w:ascii="Times New Roman" w:hAnsi="Times New Roman"/>
                <w:bCs/>
                <w:sz w:val="16"/>
                <w:szCs w:val="16"/>
              </w:rPr>
              <w:t>Оксана</w:t>
            </w:r>
            <w:r w:rsidR="00E16672" w:rsidRPr="005770E6">
              <w:rPr>
                <w:rFonts w:ascii="Times New Roman" w:hAnsi="Times New Roman"/>
                <w:bCs/>
                <w:sz w:val="16"/>
                <w:szCs w:val="16"/>
                <w:lang w:val="en-US"/>
              </w:rPr>
              <w:t xml:space="preserve"> </w:t>
            </w:r>
            <w:proofErr w:type="spellStart"/>
            <w:r w:rsidR="00E16672" w:rsidRPr="00E16672">
              <w:rPr>
                <w:rFonts w:ascii="Times New Roman" w:hAnsi="Times New Roman"/>
                <w:bCs/>
                <w:sz w:val="16"/>
                <w:szCs w:val="16"/>
              </w:rPr>
              <w:t>Іванівна</w:t>
            </w:r>
            <w:proofErr w:type="spellEnd"/>
            <w:r w:rsidRPr="00E16672">
              <w:rPr>
                <w:rFonts w:ascii="Times New Roman" w:hAnsi="Times New Roman"/>
                <w:color w:val="000000"/>
                <w:sz w:val="16"/>
                <w:szCs w:val="16"/>
                <w:lang w:val="en-US"/>
              </w:rPr>
              <w:t>)</w:t>
            </w:r>
            <w:r w:rsidRPr="00E16672">
              <w:rPr>
                <w:rFonts w:ascii="Times New Roman" w:hAnsi="Times New Roman"/>
                <w:color w:val="000000"/>
                <w:sz w:val="18"/>
                <w:szCs w:val="18"/>
                <w:lang w:val="en-US"/>
              </w:rPr>
              <w:t xml:space="preserve"> </w:t>
            </w:r>
          </w:p>
          <w:p w14:paraId="6DF52343" w14:textId="77777777" w:rsidR="0014071D" w:rsidRPr="00E16672" w:rsidRDefault="0014071D" w:rsidP="005745AF">
            <w:pPr>
              <w:tabs>
                <w:tab w:val="left" w:pos="1560"/>
              </w:tabs>
              <w:ind w:firstLine="102"/>
              <w:rPr>
                <w:rFonts w:ascii="Times New Roman" w:hAnsi="Times New Roman"/>
                <w:color w:val="000000"/>
                <w:sz w:val="16"/>
                <w:szCs w:val="16"/>
                <w:lang w:val="en-US"/>
              </w:rPr>
            </w:pPr>
            <w:r w:rsidRPr="00E16672">
              <w:rPr>
                <w:rFonts w:ascii="Times New Roman" w:hAnsi="Times New Roman"/>
                <w:color w:val="000000"/>
                <w:sz w:val="16"/>
                <w:szCs w:val="16"/>
                <w:lang w:val="uk-UA"/>
              </w:rPr>
              <w:t xml:space="preserve">                                                            </w:t>
            </w:r>
            <w:r w:rsidRPr="00E16672">
              <w:rPr>
                <w:rFonts w:ascii="Times New Roman" w:hAnsi="Times New Roman"/>
                <w:bCs/>
                <w:color w:val="000000"/>
                <w:sz w:val="16"/>
                <w:szCs w:val="16"/>
                <w:lang w:val="en-GB"/>
              </w:rPr>
              <w:t>(</w:t>
            </w:r>
            <w:proofErr w:type="spellStart"/>
            <w:r w:rsidR="005770E6">
              <w:rPr>
                <w:rFonts w:ascii="Times New Roman" w:hAnsi="Times New Roman"/>
                <w:bCs/>
                <w:sz w:val="16"/>
                <w:szCs w:val="16"/>
                <w:lang w:val="en-US"/>
              </w:rPr>
              <w:t>Korol</w:t>
            </w:r>
            <w:proofErr w:type="spellEnd"/>
            <w:r w:rsidR="005770E6">
              <w:rPr>
                <w:rFonts w:ascii="Times New Roman" w:hAnsi="Times New Roman"/>
                <w:bCs/>
                <w:sz w:val="16"/>
                <w:szCs w:val="16"/>
                <w:lang w:val="en-US"/>
              </w:rPr>
              <w:t xml:space="preserve"> Oxana</w:t>
            </w:r>
            <w:r w:rsidRPr="00E16672">
              <w:rPr>
                <w:rFonts w:ascii="Times New Roman" w:hAnsi="Times New Roman"/>
                <w:bCs/>
                <w:color w:val="000000"/>
                <w:sz w:val="16"/>
                <w:szCs w:val="16"/>
                <w:lang w:val="en-GB"/>
              </w:rPr>
              <w:t>)</w:t>
            </w:r>
            <w:r w:rsidRPr="00E16672">
              <w:rPr>
                <w:rFonts w:ascii="Times New Roman" w:hAnsi="Times New Roman"/>
                <w:color w:val="000000"/>
                <w:sz w:val="16"/>
                <w:szCs w:val="16"/>
                <w:lang w:val="en-US"/>
              </w:rPr>
              <w:t xml:space="preserve">  </w:t>
            </w:r>
          </w:p>
          <w:p w14:paraId="7056BBFF" w14:textId="76BABDF9" w:rsidR="0014071D" w:rsidRPr="00E16672" w:rsidRDefault="0014071D" w:rsidP="005745AF">
            <w:pPr>
              <w:tabs>
                <w:tab w:val="left" w:pos="1560"/>
              </w:tabs>
              <w:ind w:firstLine="244"/>
              <w:rPr>
                <w:rFonts w:ascii="Times New Roman" w:hAnsi="Times New Roman"/>
                <w:color w:val="000000"/>
                <w:sz w:val="14"/>
                <w:szCs w:val="14"/>
                <w:lang w:val="uk-UA"/>
              </w:rPr>
            </w:pPr>
            <w:r w:rsidRPr="00E16672">
              <w:rPr>
                <w:rFonts w:ascii="Times New Roman" w:hAnsi="Times New Roman"/>
                <w:color w:val="000000"/>
                <w:sz w:val="14"/>
                <w:szCs w:val="14"/>
                <w:lang w:val="uk-UA"/>
              </w:rPr>
              <w:t>В.П.</w:t>
            </w:r>
            <w:r w:rsidR="00E226B8">
              <w:rPr>
                <w:rFonts w:ascii="Times New Roman" w:hAnsi="Times New Roman"/>
                <w:color w:val="000000"/>
                <w:sz w:val="14"/>
                <w:szCs w:val="14"/>
                <w:lang w:val="uk-UA"/>
              </w:rPr>
              <w:t>*</w:t>
            </w:r>
            <w:r w:rsidRPr="00E16672">
              <w:rPr>
                <w:rFonts w:ascii="Times New Roman" w:hAnsi="Times New Roman"/>
                <w:color w:val="000000"/>
                <w:sz w:val="14"/>
                <w:szCs w:val="14"/>
                <w:lang w:val="uk-UA"/>
              </w:rPr>
              <w:t xml:space="preserve">, підпис/ </w:t>
            </w:r>
            <w:r w:rsidRPr="00E16672">
              <w:rPr>
                <w:rFonts w:ascii="Times New Roman" w:hAnsi="Times New Roman"/>
                <w:i/>
                <w:sz w:val="14"/>
                <w:szCs w:val="14"/>
                <w:lang w:val="en-US"/>
              </w:rPr>
              <w:t>Seal</w:t>
            </w:r>
            <w:r w:rsidRPr="00E16672">
              <w:rPr>
                <w:rFonts w:ascii="Times New Roman" w:hAnsi="Times New Roman"/>
                <w:i/>
                <w:sz w:val="14"/>
                <w:szCs w:val="14"/>
                <w:lang w:val="uk-UA"/>
              </w:rPr>
              <w:t xml:space="preserve">,  </w:t>
            </w:r>
            <w:r w:rsidRPr="00E16672">
              <w:rPr>
                <w:rFonts w:ascii="Times New Roman" w:hAnsi="Times New Roman"/>
                <w:i/>
                <w:sz w:val="14"/>
                <w:szCs w:val="14"/>
                <w:lang w:val="en-US"/>
              </w:rPr>
              <w:t>signature</w:t>
            </w:r>
            <w:r w:rsidRPr="00E16672">
              <w:rPr>
                <w:rFonts w:ascii="Times New Roman" w:hAnsi="Times New Roman"/>
                <w:color w:val="000000"/>
                <w:sz w:val="14"/>
                <w:szCs w:val="14"/>
                <w:lang w:val="uk-UA"/>
              </w:rPr>
              <w:t xml:space="preserve">            Прізвище, ім’я, по батькові </w:t>
            </w:r>
            <w:r w:rsidRPr="00E16672">
              <w:rPr>
                <w:rFonts w:ascii="Times New Roman" w:hAnsi="Times New Roman"/>
                <w:i/>
                <w:color w:val="000000"/>
                <w:sz w:val="14"/>
                <w:szCs w:val="14"/>
                <w:lang w:val="uk-UA"/>
              </w:rPr>
              <w:t>(за наявності)</w:t>
            </w:r>
          </w:p>
          <w:p w14:paraId="4A770CD0" w14:textId="77777777" w:rsidR="0014071D" w:rsidRPr="00E16672" w:rsidRDefault="0014071D" w:rsidP="005745AF">
            <w:pPr>
              <w:tabs>
                <w:tab w:val="left" w:pos="1560"/>
              </w:tabs>
              <w:ind w:firstLine="244"/>
              <w:rPr>
                <w:rFonts w:ascii="Times New Roman" w:hAnsi="Times New Roman"/>
                <w:b/>
                <w:bCs/>
                <w:sz w:val="18"/>
                <w:szCs w:val="18"/>
                <w:lang w:val="en-US"/>
              </w:rPr>
            </w:pPr>
            <w:r w:rsidRPr="00E16672">
              <w:rPr>
                <w:rFonts w:ascii="Times New Roman" w:hAnsi="Times New Roman"/>
                <w:color w:val="000000"/>
                <w:sz w:val="14"/>
                <w:szCs w:val="14"/>
                <w:lang w:val="uk-UA"/>
              </w:rPr>
              <w:t xml:space="preserve">                                              </w:t>
            </w:r>
            <w:r w:rsidRPr="00E16672">
              <w:rPr>
                <w:rFonts w:ascii="Times New Roman" w:hAnsi="Times New Roman"/>
                <w:i/>
                <w:color w:val="000000"/>
                <w:sz w:val="14"/>
                <w:szCs w:val="14"/>
                <w:lang w:val="uk-UA"/>
              </w:rPr>
              <w:t xml:space="preserve">                  </w:t>
            </w:r>
            <w:r w:rsidRPr="00E16672">
              <w:rPr>
                <w:rFonts w:ascii="Times New Roman" w:hAnsi="Times New Roman"/>
                <w:i/>
                <w:sz w:val="14"/>
                <w:szCs w:val="14"/>
                <w:lang w:val="en-US"/>
              </w:rPr>
              <w:t xml:space="preserve">surname, name, patronymic (if </w:t>
            </w:r>
            <w:proofErr w:type="gramStart"/>
            <w:r w:rsidRPr="00E16672">
              <w:rPr>
                <w:rFonts w:ascii="Times New Roman" w:hAnsi="Times New Roman"/>
                <w:i/>
                <w:sz w:val="14"/>
                <w:szCs w:val="14"/>
                <w:lang w:val="en-US"/>
              </w:rPr>
              <w:t>any)</w:t>
            </w:r>
            <w:r w:rsidRPr="00E16672">
              <w:rPr>
                <w:rFonts w:ascii="Times New Roman" w:hAnsi="Times New Roman"/>
                <w:i/>
                <w:color w:val="000000"/>
                <w:sz w:val="14"/>
                <w:szCs w:val="14"/>
                <w:lang w:val="uk-UA"/>
              </w:rPr>
              <w:t xml:space="preserve">   </w:t>
            </w:r>
            <w:proofErr w:type="gramEnd"/>
            <w:r w:rsidRPr="00E16672">
              <w:rPr>
                <w:rFonts w:ascii="Times New Roman" w:hAnsi="Times New Roman"/>
                <w:i/>
                <w:color w:val="000000"/>
                <w:sz w:val="14"/>
                <w:szCs w:val="14"/>
                <w:lang w:val="uk-UA"/>
              </w:rPr>
              <w:t xml:space="preserve">                       </w:t>
            </w:r>
          </w:p>
        </w:tc>
        <w:tc>
          <w:tcPr>
            <w:tcW w:w="5328" w:type="dxa"/>
            <w:shd w:val="clear" w:color="auto" w:fill="auto"/>
          </w:tcPr>
          <w:p w14:paraId="5433660C" w14:textId="77777777" w:rsidR="0014071D" w:rsidRPr="00E16672" w:rsidRDefault="0014071D" w:rsidP="005745AF">
            <w:pPr>
              <w:tabs>
                <w:tab w:val="left" w:pos="1560"/>
              </w:tabs>
              <w:ind w:firstLine="102"/>
              <w:rPr>
                <w:rFonts w:ascii="Times New Roman" w:hAnsi="Times New Roman"/>
                <w:color w:val="000000"/>
                <w:sz w:val="18"/>
                <w:szCs w:val="18"/>
                <w:lang w:val="en-US"/>
              </w:rPr>
            </w:pPr>
            <w:r w:rsidRPr="00E16672">
              <w:rPr>
                <w:rFonts w:ascii="Times New Roman" w:hAnsi="Times New Roman"/>
                <w:color w:val="000000"/>
                <w:sz w:val="18"/>
                <w:szCs w:val="18"/>
                <w:lang w:val="en-US"/>
              </w:rPr>
              <w:t>_</w:t>
            </w:r>
            <w:r w:rsidRPr="00E16672">
              <w:rPr>
                <w:rFonts w:ascii="Times New Roman" w:hAnsi="Times New Roman"/>
                <w:color w:val="000000"/>
                <w:sz w:val="18"/>
                <w:szCs w:val="18"/>
                <w:lang w:val="uk-UA"/>
              </w:rPr>
              <w:t>__</w:t>
            </w:r>
            <w:r w:rsidRPr="00E16672">
              <w:rPr>
                <w:rFonts w:ascii="Times New Roman" w:hAnsi="Times New Roman"/>
                <w:color w:val="000000"/>
                <w:sz w:val="18"/>
                <w:szCs w:val="18"/>
                <w:lang w:val="en-US"/>
              </w:rPr>
              <w:t xml:space="preserve">____________________(__________________________)   </w:t>
            </w:r>
          </w:p>
          <w:p w14:paraId="52DEB612" w14:textId="77777777" w:rsidR="0014071D" w:rsidRPr="00E16672" w:rsidRDefault="0014071D" w:rsidP="005745AF">
            <w:pPr>
              <w:tabs>
                <w:tab w:val="left" w:pos="1560"/>
              </w:tabs>
              <w:ind w:firstLine="244"/>
              <w:rPr>
                <w:rFonts w:ascii="Times New Roman" w:hAnsi="Times New Roman"/>
                <w:color w:val="000000"/>
                <w:sz w:val="14"/>
                <w:szCs w:val="14"/>
                <w:lang w:val="uk-UA"/>
              </w:rPr>
            </w:pPr>
            <w:r w:rsidRPr="00E16672">
              <w:rPr>
                <w:rFonts w:ascii="Times New Roman" w:hAnsi="Times New Roman"/>
                <w:color w:val="000000"/>
                <w:sz w:val="14"/>
                <w:szCs w:val="14"/>
                <w:lang w:val="uk-UA"/>
              </w:rPr>
              <w:t xml:space="preserve">В.П.*, підпис/ </w:t>
            </w:r>
            <w:r w:rsidRPr="00E16672">
              <w:rPr>
                <w:rFonts w:ascii="Times New Roman" w:hAnsi="Times New Roman"/>
                <w:i/>
                <w:sz w:val="14"/>
                <w:szCs w:val="14"/>
                <w:lang w:val="en-US"/>
              </w:rPr>
              <w:t>Seal</w:t>
            </w:r>
            <w:r w:rsidRPr="00E16672">
              <w:rPr>
                <w:rFonts w:ascii="Times New Roman" w:hAnsi="Times New Roman"/>
                <w:i/>
                <w:sz w:val="14"/>
                <w:szCs w:val="14"/>
                <w:lang w:val="uk-UA"/>
              </w:rPr>
              <w:t xml:space="preserve">*,  </w:t>
            </w:r>
            <w:r w:rsidRPr="00E16672">
              <w:rPr>
                <w:rFonts w:ascii="Times New Roman" w:hAnsi="Times New Roman"/>
                <w:i/>
                <w:sz w:val="14"/>
                <w:szCs w:val="14"/>
                <w:lang w:val="en-US"/>
              </w:rPr>
              <w:t>signature</w:t>
            </w:r>
            <w:r w:rsidRPr="00E16672">
              <w:rPr>
                <w:rFonts w:ascii="Times New Roman" w:hAnsi="Times New Roman"/>
                <w:color w:val="000000"/>
                <w:sz w:val="14"/>
                <w:szCs w:val="14"/>
                <w:lang w:val="uk-UA"/>
              </w:rPr>
              <w:t xml:space="preserve">      Прізвище, ім’я, по батькові </w:t>
            </w:r>
            <w:r w:rsidRPr="00E16672">
              <w:rPr>
                <w:rFonts w:ascii="Times New Roman" w:hAnsi="Times New Roman"/>
                <w:i/>
                <w:color w:val="000000"/>
                <w:sz w:val="14"/>
                <w:szCs w:val="14"/>
                <w:lang w:val="uk-UA"/>
              </w:rPr>
              <w:t>(за наявності</w:t>
            </w:r>
            <w:r w:rsidRPr="00E16672">
              <w:rPr>
                <w:rFonts w:ascii="Times New Roman" w:hAnsi="Times New Roman"/>
                <w:color w:val="000000"/>
                <w:sz w:val="14"/>
                <w:szCs w:val="14"/>
                <w:lang w:val="uk-UA"/>
              </w:rPr>
              <w:t xml:space="preserve"> </w:t>
            </w:r>
          </w:p>
          <w:p w14:paraId="44FBB6F7" w14:textId="77777777" w:rsidR="0014071D" w:rsidRPr="00E16672" w:rsidRDefault="0014071D" w:rsidP="005745AF">
            <w:pPr>
              <w:tabs>
                <w:tab w:val="left" w:pos="1560"/>
              </w:tabs>
              <w:ind w:firstLine="244"/>
              <w:rPr>
                <w:rFonts w:ascii="Times New Roman" w:hAnsi="Times New Roman"/>
                <w:color w:val="000000"/>
                <w:sz w:val="14"/>
                <w:szCs w:val="14"/>
                <w:lang w:val="uk-UA"/>
              </w:rPr>
            </w:pPr>
            <w:r w:rsidRPr="00E16672">
              <w:rPr>
                <w:rFonts w:ascii="Times New Roman" w:hAnsi="Times New Roman"/>
                <w:i/>
                <w:sz w:val="14"/>
                <w:szCs w:val="14"/>
                <w:lang w:val="uk-UA"/>
              </w:rPr>
              <w:t xml:space="preserve">                                                              </w:t>
            </w:r>
            <w:r w:rsidRPr="00E16672">
              <w:rPr>
                <w:rFonts w:ascii="Times New Roman" w:hAnsi="Times New Roman"/>
                <w:i/>
                <w:sz w:val="14"/>
                <w:szCs w:val="14"/>
                <w:lang w:val="en-US"/>
              </w:rPr>
              <w:t>surname, name, patronymic (if any)</w:t>
            </w:r>
          </w:p>
          <w:p w14:paraId="07A70730" w14:textId="77777777" w:rsidR="0014071D" w:rsidRPr="00E16672" w:rsidRDefault="0014071D" w:rsidP="005745AF">
            <w:pPr>
              <w:tabs>
                <w:tab w:val="left" w:pos="1560"/>
              </w:tabs>
              <w:ind w:firstLine="244"/>
              <w:rPr>
                <w:rFonts w:ascii="Times New Roman" w:hAnsi="Times New Roman"/>
                <w:color w:val="000000"/>
                <w:sz w:val="14"/>
                <w:szCs w:val="14"/>
                <w:lang w:val="uk-UA"/>
              </w:rPr>
            </w:pPr>
            <w:r w:rsidRPr="00E16672">
              <w:rPr>
                <w:rFonts w:ascii="Times New Roman" w:hAnsi="Times New Roman"/>
                <w:color w:val="000000"/>
                <w:sz w:val="14"/>
                <w:szCs w:val="14"/>
                <w:lang w:val="uk-UA"/>
              </w:rPr>
              <w:t xml:space="preserve">                                                       </w:t>
            </w:r>
          </w:p>
          <w:p w14:paraId="2DCB6DAB" w14:textId="77777777" w:rsidR="0014071D" w:rsidRPr="00E16672" w:rsidRDefault="0014071D" w:rsidP="005745AF">
            <w:pPr>
              <w:tabs>
                <w:tab w:val="left" w:pos="5960"/>
              </w:tabs>
              <w:snapToGrid w:val="0"/>
              <w:ind w:left="57" w:right="57" w:hanging="57"/>
              <w:rPr>
                <w:rFonts w:ascii="Times New Roman" w:hAnsi="Times New Roman"/>
                <w:b/>
                <w:bCs/>
                <w:sz w:val="18"/>
                <w:szCs w:val="18"/>
                <w:lang w:val="uk-UA"/>
              </w:rPr>
            </w:pPr>
          </w:p>
        </w:tc>
      </w:tr>
    </w:tbl>
    <w:p w14:paraId="2184C4E2" w14:textId="77777777" w:rsidR="0014071D" w:rsidRPr="00E16672" w:rsidRDefault="0014071D" w:rsidP="0014071D">
      <w:pPr>
        <w:pStyle w:val="HTML"/>
        <w:shd w:val="clear" w:color="auto" w:fill="FFFFFF"/>
        <w:rPr>
          <w:rFonts w:ascii="Times New Roman" w:hAnsi="Times New Roman" w:cs="Times New Roman"/>
          <w:sz w:val="16"/>
          <w:szCs w:val="16"/>
          <w:lang w:val="en-US"/>
        </w:rPr>
      </w:pPr>
      <w:r w:rsidRPr="00E16672">
        <w:rPr>
          <w:rFonts w:ascii="Times New Roman" w:hAnsi="Times New Roman" w:cs="Times New Roman"/>
          <w:sz w:val="16"/>
          <w:szCs w:val="16"/>
          <w:lang w:val="en-US"/>
        </w:rPr>
        <w:t xml:space="preserve">*  - </w:t>
      </w:r>
      <w:r w:rsidRPr="00E16672">
        <w:rPr>
          <w:rFonts w:ascii="Times New Roman" w:hAnsi="Times New Roman" w:cs="Times New Roman"/>
          <w:sz w:val="16"/>
          <w:szCs w:val="16"/>
          <w:lang w:val="uk-UA"/>
        </w:rPr>
        <w:t>у разі використання</w:t>
      </w:r>
      <w:r w:rsidRPr="00E16672">
        <w:rPr>
          <w:rFonts w:ascii="Times New Roman" w:hAnsi="Times New Roman" w:cs="Times New Roman"/>
          <w:sz w:val="16"/>
          <w:szCs w:val="16"/>
          <w:lang w:val="en-US"/>
        </w:rPr>
        <w:t xml:space="preserve"> / </w:t>
      </w:r>
      <w:proofErr w:type="spellStart"/>
      <w:r w:rsidRPr="00E16672">
        <w:rPr>
          <w:rFonts w:ascii="Times New Roman" w:hAnsi="Times New Roman" w:cs="Times New Roman"/>
          <w:sz w:val="16"/>
          <w:szCs w:val="16"/>
          <w:lang w:val="uk-UA"/>
        </w:rPr>
        <w:t>in</w:t>
      </w:r>
      <w:proofErr w:type="spellEnd"/>
      <w:r w:rsidRPr="00E16672">
        <w:rPr>
          <w:rFonts w:ascii="Times New Roman" w:hAnsi="Times New Roman" w:cs="Times New Roman"/>
          <w:sz w:val="16"/>
          <w:szCs w:val="16"/>
          <w:lang w:val="uk-UA"/>
        </w:rPr>
        <w:t xml:space="preserve"> </w:t>
      </w:r>
      <w:proofErr w:type="spellStart"/>
      <w:r w:rsidRPr="00E16672">
        <w:rPr>
          <w:rFonts w:ascii="Times New Roman" w:hAnsi="Times New Roman" w:cs="Times New Roman"/>
          <w:sz w:val="16"/>
          <w:szCs w:val="16"/>
          <w:lang w:val="uk-UA"/>
        </w:rPr>
        <w:t>case</w:t>
      </w:r>
      <w:proofErr w:type="spellEnd"/>
      <w:r w:rsidRPr="00E16672">
        <w:rPr>
          <w:rFonts w:ascii="Times New Roman" w:hAnsi="Times New Roman" w:cs="Times New Roman"/>
          <w:sz w:val="16"/>
          <w:szCs w:val="16"/>
          <w:lang w:val="uk-UA"/>
        </w:rPr>
        <w:t xml:space="preserve"> </w:t>
      </w:r>
      <w:proofErr w:type="spellStart"/>
      <w:r w:rsidRPr="00E16672">
        <w:rPr>
          <w:rFonts w:ascii="Times New Roman" w:hAnsi="Times New Roman" w:cs="Times New Roman"/>
          <w:sz w:val="16"/>
          <w:szCs w:val="16"/>
          <w:lang w:val="uk-UA"/>
        </w:rPr>
        <w:t>of</w:t>
      </w:r>
      <w:proofErr w:type="spellEnd"/>
      <w:r w:rsidRPr="00E16672">
        <w:rPr>
          <w:rFonts w:ascii="Times New Roman" w:hAnsi="Times New Roman" w:cs="Times New Roman"/>
          <w:sz w:val="16"/>
          <w:szCs w:val="16"/>
          <w:lang w:val="uk-UA"/>
        </w:rPr>
        <w:t xml:space="preserve"> </w:t>
      </w:r>
      <w:proofErr w:type="spellStart"/>
      <w:r w:rsidRPr="00E16672">
        <w:rPr>
          <w:rFonts w:ascii="Times New Roman" w:hAnsi="Times New Roman" w:cs="Times New Roman"/>
          <w:sz w:val="16"/>
          <w:szCs w:val="16"/>
          <w:lang w:val="uk-UA"/>
        </w:rPr>
        <w:t>use</w:t>
      </w:r>
      <w:proofErr w:type="spellEnd"/>
      <w:r w:rsidRPr="00E16672">
        <w:rPr>
          <w:rFonts w:ascii="Times New Roman" w:hAnsi="Times New Roman" w:cs="Times New Roman"/>
          <w:sz w:val="16"/>
          <w:szCs w:val="16"/>
          <w:lang w:val="en-US"/>
        </w:rPr>
        <w:t xml:space="preserve"> </w:t>
      </w:r>
    </w:p>
    <w:p w14:paraId="7D81D529" w14:textId="77777777" w:rsidR="007974E8" w:rsidRDefault="007974E8" w:rsidP="007974E8">
      <w:pPr>
        <w:tabs>
          <w:tab w:val="left" w:pos="6547"/>
        </w:tabs>
        <w:jc w:val="right"/>
        <w:rPr>
          <w:rFonts w:ascii="Times New Roman" w:hAnsi="Times New Roman"/>
          <w:color w:val="000000"/>
          <w:szCs w:val="20"/>
          <w:lang w:val="uk-UA"/>
        </w:rPr>
      </w:pPr>
    </w:p>
    <w:p w14:paraId="78DB7589" w14:textId="77777777" w:rsidR="005E418B" w:rsidRDefault="005E418B" w:rsidP="007974E8">
      <w:pPr>
        <w:tabs>
          <w:tab w:val="left" w:pos="6547"/>
        </w:tabs>
        <w:jc w:val="right"/>
        <w:rPr>
          <w:rFonts w:ascii="Times New Roman" w:hAnsi="Times New Roman"/>
          <w:color w:val="000000"/>
          <w:szCs w:val="20"/>
          <w:lang w:val="uk-UA"/>
        </w:rPr>
      </w:pPr>
    </w:p>
    <w:p w14:paraId="1638FB7D" w14:textId="77777777" w:rsidR="005E418B" w:rsidRDefault="005E418B" w:rsidP="007974E8">
      <w:pPr>
        <w:tabs>
          <w:tab w:val="left" w:pos="6547"/>
        </w:tabs>
        <w:jc w:val="right"/>
        <w:rPr>
          <w:rFonts w:ascii="Times New Roman" w:hAnsi="Times New Roman"/>
          <w:color w:val="000000"/>
          <w:szCs w:val="20"/>
          <w:lang w:val="uk-UA"/>
        </w:rPr>
      </w:pPr>
    </w:p>
    <w:p w14:paraId="2314A17C" w14:textId="77777777" w:rsidR="005E418B" w:rsidRDefault="005E418B" w:rsidP="007974E8">
      <w:pPr>
        <w:tabs>
          <w:tab w:val="left" w:pos="6547"/>
        </w:tabs>
        <w:jc w:val="right"/>
        <w:rPr>
          <w:rFonts w:ascii="Times New Roman" w:hAnsi="Times New Roman"/>
          <w:color w:val="000000"/>
          <w:szCs w:val="20"/>
          <w:lang w:val="uk-UA"/>
        </w:rPr>
      </w:pPr>
    </w:p>
    <w:p w14:paraId="6983D8ED" w14:textId="77777777" w:rsidR="005E418B" w:rsidRDefault="005E418B" w:rsidP="007974E8">
      <w:pPr>
        <w:tabs>
          <w:tab w:val="left" w:pos="6547"/>
        </w:tabs>
        <w:jc w:val="right"/>
        <w:rPr>
          <w:rFonts w:ascii="Times New Roman" w:hAnsi="Times New Roman"/>
          <w:color w:val="000000"/>
          <w:szCs w:val="20"/>
          <w:lang w:val="uk-UA"/>
        </w:rPr>
      </w:pPr>
    </w:p>
    <w:p w14:paraId="0225F5DC" w14:textId="77777777" w:rsidR="005E418B" w:rsidRDefault="005E418B" w:rsidP="007974E8">
      <w:pPr>
        <w:tabs>
          <w:tab w:val="left" w:pos="6547"/>
        </w:tabs>
        <w:jc w:val="right"/>
        <w:rPr>
          <w:rFonts w:ascii="Times New Roman" w:hAnsi="Times New Roman"/>
          <w:color w:val="000000"/>
          <w:szCs w:val="20"/>
          <w:lang w:val="uk-UA"/>
        </w:rPr>
      </w:pPr>
    </w:p>
    <w:p w14:paraId="0555B2C5" w14:textId="77777777" w:rsidR="005E418B" w:rsidRDefault="005E418B" w:rsidP="007974E8">
      <w:pPr>
        <w:tabs>
          <w:tab w:val="left" w:pos="6547"/>
        </w:tabs>
        <w:jc w:val="right"/>
        <w:rPr>
          <w:rFonts w:ascii="Times New Roman" w:hAnsi="Times New Roman"/>
          <w:color w:val="000000"/>
          <w:szCs w:val="20"/>
          <w:lang w:val="uk-UA"/>
        </w:rPr>
      </w:pPr>
    </w:p>
    <w:p w14:paraId="43B7EBBC" w14:textId="77777777" w:rsidR="005E418B" w:rsidRDefault="005E418B" w:rsidP="007974E8">
      <w:pPr>
        <w:tabs>
          <w:tab w:val="left" w:pos="6547"/>
        </w:tabs>
        <w:jc w:val="right"/>
        <w:rPr>
          <w:rFonts w:ascii="Times New Roman" w:hAnsi="Times New Roman"/>
          <w:color w:val="000000"/>
          <w:szCs w:val="20"/>
          <w:lang w:val="uk-UA"/>
        </w:rPr>
      </w:pPr>
    </w:p>
    <w:p w14:paraId="01DB76AA" w14:textId="77777777" w:rsidR="005E418B" w:rsidRDefault="005E418B" w:rsidP="007974E8">
      <w:pPr>
        <w:tabs>
          <w:tab w:val="left" w:pos="6547"/>
        </w:tabs>
        <w:jc w:val="right"/>
        <w:rPr>
          <w:rFonts w:ascii="Times New Roman" w:hAnsi="Times New Roman"/>
          <w:color w:val="000000"/>
          <w:szCs w:val="20"/>
          <w:lang w:val="uk-UA"/>
        </w:rPr>
      </w:pPr>
    </w:p>
    <w:p w14:paraId="5B64071C" w14:textId="77777777" w:rsidR="005E418B" w:rsidRDefault="005E418B" w:rsidP="007974E8">
      <w:pPr>
        <w:tabs>
          <w:tab w:val="left" w:pos="6547"/>
        </w:tabs>
        <w:jc w:val="right"/>
        <w:rPr>
          <w:rFonts w:ascii="Times New Roman" w:hAnsi="Times New Roman"/>
          <w:color w:val="000000"/>
          <w:szCs w:val="20"/>
          <w:lang w:val="uk-UA"/>
        </w:rPr>
      </w:pPr>
    </w:p>
    <w:p w14:paraId="2771B596" w14:textId="77777777" w:rsidR="005E418B" w:rsidRDefault="005E418B" w:rsidP="007974E8">
      <w:pPr>
        <w:tabs>
          <w:tab w:val="left" w:pos="6547"/>
        </w:tabs>
        <w:jc w:val="right"/>
        <w:rPr>
          <w:rFonts w:ascii="Times New Roman" w:hAnsi="Times New Roman"/>
          <w:color w:val="000000"/>
          <w:szCs w:val="20"/>
          <w:lang w:val="uk-UA"/>
        </w:rPr>
      </w:pPr>
    </w:p>
    <w:p w14:paraId="50500200" w14:textId="77777777" w:rsidR="005E418B" w:rsidRDefault="005E418B" w:rsidP="007974E8">
      <w:pPr>
        <w:tabs>
          <w:tab w:val="left" w:pos="6547"/>
        </w:tabs>
        <w:jc w:val="right"/>
        <w:rPr>
          <w:rFonts w:ascii="Times New Roman" w:hAnsi="Times New Roman"/>
          <w:color w:val="000000"/>
          <w:szCs w:val="20"/>
          <w:lang w:val="uk-UA"/>
        </w:rPr>
      </w:pPr>
    </w:p>
    <w:p w14:paraId="286990EB" w14:textId="77777777" w:rsidR="005E418B" w:rsidRDefault="005E418B" w:rsidP="007974E8">
      <w:pPr>
        <w:tabs>
          <w:tab w:val="left" w:pos="6547"/>
        </w:tabs>
        <w:jc w:val="right"/>
        <w:rPr>
          <w:rFonts w:ascii="Times New Roman" w:hAnsi="Times New Roman"/>
          <w:color w:val="000000"/>
          <w:szCs w:val="20"/>
          <w:lang w:val="uk-UA"/>
        </w:rPr>
      </w:pPr>
    </w:p>
    <w:p w14:paraId="74E955D1" w14:textId="77777777" w:rsidR="005E418B" w:rsidRDefault="005E418B" w:rsidP="007974E8">
      <w:pPr>
        <w:tabs>
          <w:tab w:val="left" w:pos="6547"/>
        </w:tabs>
        <w:jc w:val="right"/>
        <w:rPr>
          <w:rFonts w:ascii="Times New Roman" w:hAnsi="Times New Roman"/>
          <w:color w:val="000000"/>
          <w:szCs w:val="20"/>
          <w:lang w:val="uk-UA"/>
        </w:rPr>
      </w:pPr>
    </w:p>
    <w:p w14:paraId="368E39F3" w14:textId="77777777" w:rsidR="005E418B" w:rsidRDefault="005E418B" w:rsidP="007974E8">
      <w:pPr>
        <w:tabs>
          <w:tab w:val="left" w:pos="6547"/>
        </w:tabs>
        <w:jc w:val="right"/>
        <w:rPr>
          <w:rFonts w:ascii="Times New Roman" w:hAnsi="Times New Roman"/>
          <w:color w:val="000000"/>
          <w:szCs w:val="20"/>
          <w:lang w:val="uk-UA"/>
        </w:rPr>
      </w:pPr>
    </w:p>
    <w:p w14:paraId="0951DF0C" w14:textId="77777777" w:rsidR="005E418B" w:rsidRDefault="005E418B" w:rsidP="007974E8">
      <w:pPr>
        <w:tabs>
          <w:tab w:val="left" w:pos="6547"/>
        </w:tabs>
        <w:jc w:val="right"/>
        <w:rPr>
          <w:rFonts w:ascii="Times New Roman" w:hAnsi="Times New Roman"/>
          <w:color w:val="000000"/>
          <w:szCs w:val="20"/>
          <w:lang w:val="uk-UA"/>
        </w:rPr>
      </w:pPr>
    </w:p>
    <w:p w14:paraId="24E67294" w14:textId="77777777" w:rsidR="005E418B" w:rsidRDefault="005E418B" w:rsidP="007974E8">
      <w:pPr>
        <w:tabs>
          <w:tab w:val="left" w:pos="6547"/>
        </w:tabs>
        <w:jc w:val="right"/>
        <w:rPr>
          <w:rFonts w:ascii="Times New Roman" w:hAnsi="Times New Roman"/>
          <w:color w:val="000000"/>
          <w:szCs w:val="20"/>
          <w:lang w:val="uk-UA"/>
        </w:rPr>
      </w:pPr>
    </w:p>
    <w:p w14:paraId="37C6597B" w14:textId="77777777" w:rsidR="005E418B" w:rsidRDefault="005E418B" w:rsidP="007974E8">
      <w:pPr>
        <w:tabs>
          <w:tab w:val="left" w:pos="6547"/>
        </w:tabs>
        <w:jc w:val="right"/>
        <w:rPr>
          <w:rFonts w:ascii="Times New Roman" w:hAnsi="Times New Roman"/>
          <w:color w:val="000000"/>
          <w:szCs w:val="20"/>
          <w:lang w:val="uk-UA"/>
        </w:rPr>
      </w:pPr>
    </w:p>
    <w:p w14:paraId="4F63829F" w14:textId="77777777" w:rsidR="005E418B" w:rsidRDefault="005E418B" w:rsidP="007974E8">
      <w:pPr>
        <w:tabs>
          <w:tab w:val="left" w:pos="6547"/>
        </w:tabs>
        <w:jc w:val="right"/>
        <w:rPr>
          <w:rFonts w:ascii="Times New Roman" w:hAnsi="Times New Roman"/>
          <w:color w:val="000000"/>
          <w:szCs w:val="20"/>
          <w:lang w:val="uk-UA"/>
        </w:rPr>
      </w:pPr>
    </w:p>
    <w:p w14:paraId="3796FDC8" w14:textId="77777777" w:rsidR="005E418B" w:rsidRDefault="005E418B" w:rsidP="007974E8">
      <w:pPr>
        <w:tabs>
          <w:tab w:val="left" w:pos="6547"/>
        </w:tabs>
        <w:jc w:val="right"/>
        <w:rPr>
          <w:rFonts w:ascii="Times New Roman" w:hAnsi="Times New Roman"/>
          <w:color w:val="000000"/>
          <w:szCs w:val="20"/>
          <w:lang w:val="uk-UA"/>
        </w:rPr>
      </w:pPr>
    </w:p>
    <w:p w14:paraId="3692AA56" w14:textId="77777777" w:rsidR="005E418B" w:rsidRDefault="005E418B" w:rsidP="007974E8">
      <w:pPr>
        <w:tabs>
          <w:tab w:val="left" w:pos="6547"/>
        </w:tabs>
        <w:jc w:val="right"/>
        <w:rPr>
          <w:rFonts w:ascii="Times New Roman" w:hAnsi="Times New Roman"/>
          <w:color w:val="000000"/>
          <w:szCs w:val="20"/>
          <w:lang w:val="uk-UA"/>
        </w:rPr>
      </w:pPr>
    </w:p>
    <w:p w14:paraId="339D866D" w14:textId="77777777" w:rsidR="005E418B" w:rsidRDefault="005E418B" w:rsidP="007974E8">
      <w:pPr>
        <w:tabs>
          <w:tab w:val="left" w:pos="6547"/>
        </w:tabs>
        <w:jc w:val="right"/>
        <w:rPr>
          <w:rFonts w:ascii="Times New Roman" w:hAnsi="Times New Roman"/>
          <w:color w:val="000000"/>
          <w:szCs w:val="20"/>
          <w:lang w:val="uk-UA"/>
        </w:rPr>
      </w:pPr>
    </w:p>
    <w:p w14:paraId="3D3ACDA1" w14:textId="77777777" w:rsidR="005E418B" w:rsidRDefault="005E418B" w:rsidP="007974E8">
      <w:pPr>
        <w:tabs>
          <w:tab w:val="left" w:pos="6547"/>
        </w:tabs>
        <w:jc w:val="right"/>
        <w:rPr>
          <w:rFonts w:ascii="Times New Roman" w:hAnsi="Times New Roman"/>
          <w:color w:val="000000"/>
          <w:szCs w:val="20"/>
          <w:lang w:val="uk-UA"/>
        </w:rPr>
      </w:pPr>
    </w:p>
    <w:p w14:paraId="13EF5EA6" w14:textId="77777777" w:rsidR="005E418B" w:rsidRDefault="005E418B" w:rsidP="007974E8">
      <w:pPr>
        <w:tabs>
          <w:tab w:val="left" w:pos="6547"/>
        </w:tabs>
        <w:jc w:val="right"/>
        <w:rPr>
          <w:rFonts w:ascii="Times New Roman" w:hAnsi="Times New Roman"/>
          <w:color w:val="000000"/>
          <w:szCs w:val="20"/>
          <w:lang w:val="uk-UA"/>
        </w:rPr>
      </w:pPr>
    </w:p>
    <w:p w14:paraId="610ED2E1" w14:textId="77777777" w:rsidR="005E418B" w:rsidRDefault="005E418B" w:rsidP="007974E8">
      <w:pPr>
        <w:tabs>
          <w:tab w:val="left" w:pos="6547"/>
        </w:tabs>
        <w:jc w:val="right"/>
        <w:rPr>
          <w:rFonts w:ascii="Times New Roman" w:hAnsi="Times New Roman"/>
          <w:color w:val="000000"/>
          <w:szCs w:val="20"/>
          <w:lang w:val="uk-UA"/>
        </w:rPr>
      </w:pPr>
    </w:p>
    <w:p w14:paraId="10BCF402" w14:textId="77777777" w:rsidR="00FA3078" w:rsidRDefault="00FA3078" w:rsidP="007974E8">
      <w:pPr>
        <w:tabs>
          <w:tab w:val="left" w:pos="6547"/>
        </w:tabs>
        <w:jc w:val="right"/>
        <w:rPr>
          <w:rFonts w:ascii="Times New Roman" w:hAnsi="Times New Roman"/>
          <w:color w:val="000000"/>
          <w:szCs w:val="20"/>
          <w:lang w:val="uk-UA"/>
        </w:rPr>
      </w:pPr>
    </w:p>
    <w:p w14:paraId="3BE9A447" w14:textId="77777777" w:rsidR="00FA3078" w:rsidRDefault="00FA3078" w:rsidP="007974E8">
      <w:pPr>
        <w:tabs>
          <w:tab w:val="left" w:pos="6547"/>
        </w:tabs>
        <w:jc w:val="right"/>
        <w:rPr>
          <w:rFonts w:ascii="Times New Roman" w:hAnsi="Times New Roman"/>
          <w:color w:val="000000"/>
          <w:szCs w:val="20"/>
          <w:lang w:val="uk-UA"/>
        </w:rPr>
      </w:pPr>
    </w:p>
    <w:p w14:paraId="0D501070" w14:textId="77777777" w:rsidR="00FA3078" w:rsidRDefault="00FA3078" w:rsidP="007974E8">
      <w:pPr>
        <w:tabs>
          <w:tab w:val="left" w:pos="6547"/>
        </w:tabs>
        <w:jc w:val="right"/>
        <w:rPr>
          <w:rFonts w:ascii="Times New Roman" w:hAnsi="Times New Roman"/>
          <w:color w:val="000000"/>
          <w:szCs w:val="20"/>
          <w:lang w:val="uk-UA"/>
        </w:rPr>
      </w:pPr>
    </w:p>
    <w:p w14:paraId="53934797" w14:textId="77777777" w:rsidR="00FA3078" w:rsidRDefault="00FA3078" w:rsidP="007974E8">
      <w:pPr>
        <w:tabs>
          <w:tab w:val="left" w:pos="6547"/>
        </w:tabs>
        <w:jc w:val="right"/>
        <w:rPr>
          <w:rFonts w:ascii="Times New Roman" w:hAnsi="Times New Roman"/>
          <w:color w:val="000000"/>
          <w:szCs w:val="20"/>
          <w:lang w:val="uk-UA"/>
        </w:rPr>
      </w:pPr>
    </w:p>
    <w:p w14:paraId="542E60D1" w14:textId="77777777" w:rsidR="00FA3078" w:rsidRDefault="00FA3078" w:rsidP="007974E8">
      <w:pPr>
        <w:tabs>
          <w:tab w:val="left" w:pos="6547"/>
        </w:tabs>
        <w:jc w:val="right"/>
        <w:rPr>
          <w:rFonts w:ascii="Times New Roman" w:hAnsi="Times New Roman"/>
          <w:color w:val="000000"/>
          <w:szCs w:val="20"/>
          <w:lang w:val="uk-UA"/>
        </w:rPr>
      </w:pPr>
    </w:p>
    <w:p w14:paraId="12452086" w14:textId="77777777" w:rsidR="00FA3078" w:rsidRDefault="00FA3078" w:rsidP="007974E8">
      <w:pPr>
        <w:tabs>
          <w:tab w:val="left" w:pos="6547"/>
        </w:tabs>
        <w:jc w:val="right"/>
        <w:rPr>
          <w:rFonts w:ascii="Times New Roman" w:hAnsi="Times New Roman"/>
          <w:color w:val="000000"/>
          <w:szCs w:val="20"/>
          <w:lang w:val="uk-UA"/>
        </w:rPr>
      </w:pPr>
    </w:p>
    <w:p w14:paraId="00FD6C0E" w14:textId="77777777" w:rsidR="00FA3078" w:rsidRDefault="00FA3078" w:rsidP="007974E8">
      <w:pPr>
        <w:tabs>
          <w:tab w:val="left" w:pos="6547"/>
        </w:tabs>
        <w:jc w:val="right"/>
        <w:rPr>
          <w:rFonts w:ascii="Times New Roman" w:hAnsi="Times New Roman"/>
          <w:color w:val="000000"/>
          <w:szCs w:val="20"/>
          <w:lang w:val="uk-UA"/>
        </w:rPr>
      </w:pPr>
    </w:p>
    <w:p w14:paraId="1527117B" w14:textId="77777777" w:rsidR="00FA3078" w:rsidRDefault="00FA3078" w:rsidP="007974E8">
      <w:pPr>
        <w:tabs>
          <w:tab w:val="left" w:pos="6547"/>
        </w:tabs>
        <w:jc w:val="right"/>
        <w:rPr>
          <w:rFonts w:ascii="Times New Roman" w:hAnsi="Times New Roman"/>
          <w:color w:val="000000"/>
          <w:szCs w:val="20"/>
          <w:lang w:val="uk-UA"/>
        </w:rPr>
      </w:pPr>
    </w:p>
    <w:p w14:paraId="16D65E99" w14:textId="77777777" w:rsidR="00FA3078" w:rsidRDefault="00FA3078" w:rsidP="007974E8">
      <w:pPr>
        <w:tabs>
          <w:tab w:val="left" w:pos="6547"/>
        </w:tabs>
        <w:jc w:val="right"/>
        <w:rPr>
          <w:rFonts w:ascii="Times New Roman" w:hAnsi="Times New Roman"/>
          <w:color w:val="000000"/>
          <w:szCs w:val="20"/>
          <w:lang w:val="uk-UA"/>
        </w:rPr>
      </w:pPr>
    </w:p>
    <w:p w14:paraId="38F7DA6D" w14:textId="77777777" w:rsidR="00FA3078" w:rsidRDefault="00FA3078" w:rsidP="007974E8">
      <w:pPr>
        <w:tabs>
          <w:tab w:val="left" w:pos="6547"/>
        </w:tabs>
        <w:jc w:val="right"/>
        <w:rPr>
          <w:rFonts w:ascii="Times New Roman" w:hAnsi="Times New Roman"/>
          <w:color w:val="000000"/>
          <w:szCs w:val="20"/>
          <w:lang w:val="uk-UA"/>
        </w:rPr>
      </w:pPr>
    </w:p>
    <w:p w14:paraId="17836AB1" w14:textId="77777777" w:rsidR="00FA3078" w:rsidRDefault="00FA3078" w:rsidP="007974E8">
      <w:pPr>
        <w:tabs>
          <w:tab w:val="left" w:pos="6547"/>
        </w:tabs>
        <w:jc w:val="right"/>
        <w:rPr>
          <w:rFonts w:ascii="Times New Roman" w:hAnsi="Times New Roman"/>
          <w:color w:val="000000"/>
          <w:szCs w:val="20"/>
          <w:lang w:val="uk-UA"/>
        </w:rPr>
      </w:pPr>
    </w:p>
    <w:p w14:paraId="27A0D76D" w14:textId="77777777" w:rsidR="005E418B" w:rsidRDefault="005E418B" w:rsidP="007974E8">
      <w:pPr>
        <w:tabs>
          <w:tab w:val="left" w:pos="6547"/>
        </w:tabs>
        <w:jc w:val="right"/>
        <w:rPr>
          <w:rFonts w:ascii="Times New Roman" w:hAnsi="Times New Roman"/>
          <w:color w:val="000000"/>
          <w:szCs w:val="20"/>
          <w:lang w:val="uk-UA"/>
        </w:rPr>
      </w:pPr>
    </w:p>
    <w:p w14:paraId="6075433E" w14:textId="77777777" w:rsidR="005E418B" w:rsidRPr="005E418B" w:rsidRDefault="005E418B" w:rsidP="007974E8">
      <w:pPr>
        <w:tabs>
          <w:tab w:val="left" w:pos="6547"/>
        </w:tabs>
        <w:jc w:val="right"/>
        <w:rPr>
          <w:rFonts w:ascii="Times New Roman" w:hAnsi="Times New Roman"/>
          <w:color w:val="000000"/>
          <w:szCs w:val="20"/>
          <w:lang w:val="uk-UA"/>
        </w:rPr>
      </w:pPr>
    </w:p>
    <w:p w14:paraId="0DA188C7" w14:textId="77777777" w:rsidR="007974E8" w:rsidRPr="00E16672" w:rsidRDefault="007974E8" w:rsidP="007974E8">
      <w:pPr>
        <w:tabs>
          <w:tab w:val="left" w:pos="975"/>
          <w:tab w:val="right" w:pos="9899"/>
        </w:tabs>
        <w:ind w:firstLine="709"/>
        <w:jc w:val="center"/>
        <w:rPr>
          <w:rFonts w:ascii="Times New Roman" w:hAnsi="Times New Roman"/>
          <w:b/>
          <w:bCs/>
          <w:color w:val="000000"/>
          <w:szCs w:val="20"/>
        </w:rPr>
      </w:pPr>
      <w:r w:rsidRPr="00E16672">
        <w:rPr>
          <w:rFonts w:ascii="Times New Roman" w:hAnsi="Times New Roman"/>
          <w:b/>
          <w:bCs/>
          <w:color w:val="000000"/>
          <w:szCs w:val="20"/>
        </w:rPr>
        <w:t xml:space="preserve">ДОГОВІР </w:t>
      </w:r>
    </w:p>
    <w:p w14:paraId="0908F950" w14:textId="77777777" w:rsidR="007974E8" w:rsidRPr="00E16672" w:rsidRDefault="007974E8" w:rsidP="007974E8">
      <w:pPr>
        <w:pStyle w:val="af"/>
        <w:jc w:val="center"/>
        <w:rPr>
          <w:rFonts w:ascii="Times New Roman" w:hAnsi="Times New Roman" w:cs="Times New Roman"/>
          <w:b/>
          <w:bCs/>
          <w:sz w:val="24"/>
          <w:szCs w:val="24"/>
        </w:rPr>
      </w:pPr>
      <w:r w:rsidRPr="00E16672">
        <w:rPr>
          <w:rFonts w:ascii="Times New Roman" w:hAnsi="Times New Roman" w:cs="Times New Roman"/>
          <w:b/>
          <w:bCs/>
          <w:color w:val="000000"/>
        </w:rPr>
        <w:t>про обслуговування рахунку в цінних паперах на ім'я держави</w:t>
      </w:r>
      <w:r w:rsidRPr="00E16672">
        <w:rPr>
          <w:rFonts w:ascii="Times New Roman" w:hAnsi="Times New Roman" w:cs="Times New Roman"/>
          <w:b/>
          <w:bCs/>
          <w:sz w:val="24"/>
          <w:szCs w:val="24"/>
        </w:rPr>
        <w:t xml:space="preserve"> </w:t>
      </w:r>
    </w:p>
    <w:p w14:paraId="38511C53" w14:textId="77777777" w:rsidR="007974E8" w:rsidRPr="00E16672" w:rsidRDefault="007974E8" w:rsidP="007974E8">
      <w:pPr>
        <w:pStyle w:val="af"/>
        <w:jc w:val="center"/>
        <w:rPr>
          <w:rFonts w:ascii="Times New Roman" w:hAnsi="Times New Roman" w:cs="Times New Roman"/>
          <w:b/>
          <w:bCs/>
          <w:color w:val="000000"/>
        </w:rPr>
      </w:pPr>
      <w:r w:rsidRPr="00E16672">
        <w:rPr>
          <w:rFonts w:ascii="Times New Roman" w:hAnsi="Times New Roman" w:cs="Times New Roman"/>
          <w:b/>
          <w:bCs/>
          <w:color w:val="000000"/>
        </w:rPr>
        <w:t xml:space="preserve"> </w:t>
      </w:r>
    </w:p>
    <w:p w14:paraId="1AB860B7" w14:textId="77777777" w:rsidR="007974E8" w:rsidRPr="00E16672" w:rsidRDefault="007974E8" w:rsidP="007974E8">
      <w:pPr>
        <w:jc w:val="center"/>
        <w:rPr>
          <w:rFonts w:ascii="Times New Roman" w:hAnsi="Times New Roman"/>
          <w:b/>
          <w:bCs/>
          <w:color w:val="000000"/>
          <w:szCs w:val="20"/>
          <w:lang w:val="uk-UA"/>
        </w:rPr>
      </w:pPr>
      <w:r w:rsidRPr="00E16672">
        <w:rPr>
          <w:rFonts w:ascii="Times New Roman" w:hAnsi="Times New Roman"/>
          <w:b/>
          <w:bCs/>
          <w:color w:val="000000"/>
          <w:szCs w:val="20"/>
          <w:lang w:val="uk-UA"/>
        </w:rPr>
        <w:t>№  _____/____</w:t>
      </w:r>
    </w:p>
    <w:p w14:paraId="2E6307AD" w14:textId="77777777" w:rsidR="007974E8" w:rsidRPr="00E16672" w:rsidRDefault="007974E8" w:rsidP="007974E8">
      <w:pPr>
        <w:rPr>
          <w:rFonts w:ascii="Times New Roman" w:hAnsi="Times New Roman"/>
          <w:color w:val="000000"/>
          <w:szCs w:val="20"/>
          <w:lang w:val="uk-UA"/>
        </w:rPr>
      </w:pPr>
    </w:p>
    <w:p w14:paraId="282A3E5B" w14:textId="77777777" w:rsidR="007974E8" w:rsidRPr="00E16672" w:rsidRDefault="007974E8" w:rsidP="007974E8">
      <w:pPr>
        <w:ind w:firstLine="709"/>
        <w:rPr>
          <w:rFonts w:ascii="Times New Roman" w:hAnsi="Times New Roman"/>
          <w:color w:val="000000"/>
          <w:szCs w:val="20"/>
          <w:lang w:val="uk-UA"/>
        </w:rPr>
      </w:pPr>
    </w:p>
    <w:p w14:paraId="77A6FFF9" w14:textId="77777777" w:rsidR="007974E8" w:rsidRDefault="00EF78D0" w:rsidP="007974E8">
      <w:pPr>
        <w:rPr>
          <w:rFonts w:ascii="Times New Roman" w:hAnsi="Times New Roman"/>
          <w:color w:val="000000"/>
          <w:szCs w:val="20"/>
          <w:lang w:val="uk-UA"/>
        </w:rPr>
      </w:pPr>
      <w:r w:rsidRPr="00EF78D0">
        <w:rPr>
          <w:rFonts w:ascii="Times New Roman" w:hAnsi="Times New Roman"/>
          <w:color w:val="000000"/>
          <w:szCs w:val="20"/>
          <w:lang w:val="uk-UA"/>
        </w:rPr>
        <w:t xml:space="preserve">м. Київ </w:t>
      </w:r>
      <w:r w:rsidRPr="00EF78D0">
        <w:rPr>
          <w:rFonts w:ascii="Times New Roman" w:hAnsi="Times New Roman"/>
          <w:color w:val="000000"/>
          <w:szCs w:val="20"/>
          <w:lang w:val="uk-UA"/>
        </w:rPr>
        <w:tab/>
      </w:r>
      <w:r w:rsidRPr="00EF78D0">
        <w:rPr>
          <w:rFonts w:ascii="Times New Roman" w:hAnsi="Times New Roman"/>
          <w:color w:val="000000"/>
          <w:szCs w:val="20"/>
          <w:lang w:val="uk-UA"/>
        </w:rPr>
        <w:tab/>
      </w:r>
      <w:r w:rsidRPr="00EF78D0">
        <w:rPr>
          <w:rFonts w:ascii="Times New Roman" w:hAnsi="Times New Roman"/>
          <w:color w:val="000000"/>
          <w:szCs w:val="20"/>
          <w:lang w:val="uk-UA"/>
        </w:rPr>
        <w:tab/>
      </w:r>
      <w:r>
        <w:rPr>
          <w:rFonts w:ascii="Times New Roman" w:hAnsi="Times New Roman"/>
          <w:color w:val="000000"/>
          <w:szCs w:val="20"/>
          <w:lang w:val="uk-UA"/>
        </w:rPr>
        <w:tab/>
      </w:r>
      <w:r>
        <w:rPr>
          <w:rFonts w:ascii="Times New Roman" w:hAnsi="Times New Roman"/>
          <w:color w:val="000000"/>
          <w:szCs w:val="20"/>
          <w:lang w:val="uk-UA"/>
        </w:rPr>
        <w:tab/>
      </w:r>
      <w:r>
        <w:rPr>
          <w:rFonts w:ascii="Times New Roman" w:hAnsi="Times New Roman"/>
          <w:color w:val="000000"/>
          <w:szCs w:val="20"/>
          <w:lang w:val="uk-UA"/>
        </w:rPr>
        <w:tab/>
      </w:r>
      <w:r>
        <w:rPr>
          <w:rFonts w:ascii="Times New Roman" w:hAnsi="Times New Roman"/>
          <w:color w:val="000000"/>
          <w:szCs w:val="20"/>
          <w:lang w:val="uk-UA"/>
        </w:rPr>
        <w:tab/>
      </w:r>
      <w:r>
        <w:rPr>
          <w:rFonts w:ascii="Times New Roman" w:hAnsi="Times New Roman"/>
          <w:color w:val="000000"/>
          <w:szCs w:val="20"/>
          <w:lang w:val="uk-UA"/>
        </w:rPr>
        <w:tab/>
      </w:r>
      <w:r>
        <w:rPr>
          <w:rFonts w:ascii="Times New Roman" w:hAnsi="Times New Roman"/>
          <w:color w:val="000000"/>
          <w:szCs w:val="20"/>
          <w:lang w:val="uk-UA"/>
        </w:rPr>
        <w:tab/>
      </w:r>
      <w:r w:rsidRPr="00EF78D0">
        <w:rPr>
          <w:rFonts w:ascii="Times New Roman" w:hAnsi="Times New Roman"/>
          <w:color w:val="000000"/>
          <w:szCs w:val="20"/>
          <w:lang w:val="uk-UA"/>
        </w:rPr>
        <w:tab/>
        <w:t>"       " ____________ 20____</w:t>
      </w:r>
      <w:r w:rsidR="005E418B">
        <w:rPr>
          <w:rFonts w:ascii="Times New Roman" w:hAnsi="Times New Roman"/>
          <w:color w:val="000000"/>
          <w:szCs w:val="20"/>
          <w:lang w:val="uk-UA"/>
        </w:rPr>
        <w:t xml:space="preserve"> </w:t>
      </w:r>
      <w:r w:rsidRPr="00EF78D0">
        <w:rPr>
          <w:rFonts w:ascii="Times New Roman" w:hAnsi="Times New Roman"/>
          <w:color w:val="000000"/>
          <w:szCs w:val="20"/>
          <w:lang w:val="uk-UA"/>
        </w:rPr>
        <w:t>р</w:t>
      </w:r>
    </w:p>
    <w:p w14:paraId="5CB6E845" w14:textId="77777777" w:rsidR="00EF78D0" w:rsidRPr="00E16672" w:rsidRDefault="00EF78D0" w:rsidP="00FA3078">
      <w:pPr>
        <w:rPr>
          <w:rFonts w:ascii="Times New Roman" w:hAnsi="Times New Roman"/>
          <w:bCs/>
          <w:color w:val="000000"/>
          <w:szCs w:val="20"/>
          <w:lang w:val="uk-UA"/>
        </w:rPr>
      </w:pPr>
    </w:p>
    <w:p w14:paraId="6FF97FCC" w14:textId="77777777" w:rsidR="00FA3078" w:rsidRDefault="007974E8" w:rsidP="006517E7">
      <w:pPr>
        <w:pStyle w:val="ab"/>
        <w:jc w:val="left"/>
        <w:rPr>
          <w:rFonts w:ascii="Times New Roman" w:hAnsi="Times New Roman"/>
          <w:b w:val="0"/>
          <w:color w:val="000000"/>
        </w:rPr>
      </w:pPr>
      <w:r w:rsidRPr="00E16672">
        <w:rPr>
          <w:rFonts w:ascii="Times New Roman" w:hAnsi="Times New Roman"/>
          <w:b w:val="0"/>
          <w:color w:val="000000"/>
        </w:rPr>
        <w:t xml:space="preserve">ТОВАРИСТВО З ОБМЕЖЕНОЮ ВІДПОВІДАЛЬНІСТЮ </w:t>
      </w:r>
      <w:r w:rsidR="00022F5F">
        <w:rPr>
          <w:rFonts w:ascii="Times New Roman" w:hAnsi="Times New Roman"/>
          <w:b w:val="0"/>
          <w:color w:val="000000"/>
        </w:rPr>
        <w:t>"</w:t>
      </w:r>
      <w:r w:rsidR="00E16672" w:rsidRPr="00E16672">
        <w:rPr>
          <w:rFonts w:ascii="Times New Roman" w:hAnsi="Times New Roman"/>
          <w:b w:val="0"/>
          <w:color w:val="000000"/>
        </w:rPr>
        <w:t>КОМЕКС ЦІННІ ПАПЕРИ</w:t>
      </w:r>
      <w:r w:rsidR="00022F5F">
        <w:rPr>
          <w:rFonts w:ascii="Times New Roman" w:hAnsi="Times New Roman"/>
          <w:b w:val="0"/>
          <w:color w:val="000000"/>
        </w:rPr>
        <w:t>"</w:t>
      </w:r>
      <w:r w:rsidRPr="00E16672">
        <w:rPr>
          <w:rFonts w:ascii="Times New Roman" w:hAnsi="Times New Roman"/>
          <w:b w:val="0"/>
          <w:color w:val="000000"/>
        </w:rPr>
        <w:t xml:space="preserve">, код за ЄДРПОУ </w:t>
      </w:r>
      <w:r w:rsidR="00E16672" w:rsidRPr="00E16672">
        <w:rPr>
          <w:rFonts w:ascii="Times New Roman" w:hAnsi="Times New Roman"/>
          <w:b w:val="0"/>
          <w:color w:val="000000"/>
        </w:rPr>
        <w:t>33153077</w:t>
      </w:r>
      <w:r w:rsidRPr="00E16672">
        <w:rPr>
          <w:rFonts w:ascii="Times New Roman" w:hAnsi="Times New Roman"/>
          <w:b w:val="0"/>
          <w:color w:val="000000"/>
        </w:rPr>
        <w:t xml:space="preserve"> (надалі – Депозитарна установа), що здійснює депозитарну діяльність депозитарної установи на підставі ліцензії серія АЕ № </w:t>
      </w:r>
      <w:r w:rsidR="00E16672" w:rsidRPr="00E16672">
        <w:rPr>
          <w:rFonts w:ascii="Times New Roman" w:hAnsi="Times New Roman"/>
          <w:b w:val="0"/>
          <w:color w:val="000000"/>
        </w:rPr>
        <w:t>263429</w:t>
      </w:r>
      <w:r w:rsidRPr="00E16672">
        <w:rPr>
          <w:rFonts w:ascii="Times New Roman" w:hAnsi="Times New Roman"/>
          <w:b w:val="0"/>
          <w:color w:val="000000"/>
        </w:rPr>
        <w:t xml:space="preserve">, виданої Національною комісією з цінних паперів та фондового ринку </w:t>
      </w:r>
      <w:r w:rsidR="00E16672" w:rsidRPr="00E16672">
        <w:rPr>
          <w:rFonts w:ascii="Times New Roman" w:hAnsi="Times New Roman"/>
          <w:b w:val="0"/>
          <w:color w:val="000000"/>
        </w:rPr>
        <w:t>01.10.2013</w:t>
      </w:r>
      <w:r w:rsidRPr="00E16672">
        <w:rPr>
          <w:rFonts w:ascii="Times New Roman" w:hAnsi="Times New Roman"/>
          <w:b w:val="0"/>
          <w:color w:val="000000"/>
        </w:rPr>
        <w:t xml:space="preserve">р.  (надалі – НКЦПФР), в особі директора </w:t>
      </w:r>
      <w:r w:rsidR="004D320D">
        <w:rPr>
          <w:rFonts w:ascii="Times New Roman" w:hAnsi="Times New Roman"/>
          <w:b w:val="0"/>
          <w:color w:val="000000"/>
        </w:rPr>
        <w:t>Король Оксани Іванівни</w:t>
      </w:r>
      <w:r w:rsidRPr="00E16672">
        <w:rPr>
          <w:rFonts w:ascii="Times New Roman" w:hAnsi="Times New Roman"/>
          <w:b w:val="0"/>
          <w:color w:val="000000"/>
        </w:rPr>
        <w:t>, що діє на підс</w:t>
      </w:r>
      <w:r w:rsidR="00FA3078">
        <w:rPr>
          <w:rFonts w:ascii="Times New Roman" w:hAnsi="Times New Roman"/>
          <w:b w:val="0"/>
          <w:color w:val="000000"/>
        </w:rPr>
        <w:t>таві Статуту, з однієї сторони,</w:t>
      </w:r>
    </w:p>
    <w:p w14:paraId="51A8A20E" w14:textId="77777777" w:rsidR="007974E8" w:rsidRPr="00E16672" w:rsidRDefault="007974E8" w:rsidP="00FA3078">
      <w:pPr>
        <w:pStyle w:val="ab"/>
        <w:jc w:val="both"/>
        <w:rPr>
          <w:rFonts w:ascii="Times New Roman" w:hAnsi="Times New Roman"/>
          <w:b w:val="0"/>
          <w:color w:val="000000"/>
        </w:rPr>
      </w:pPr>
      <w:r w:rsidRPr="00E16672">
        <w:rPr>
          <w:rFonts w:ascii="Times New Roman" w:hAnsi="Times New Roman"/>
          <w:b w:val="0"/>
          <w:color w:val="000000"/>
        </w:rPr>
        <w:t>та</w:t>
      </w:r>
    </w:p>
    <w:p w14:paraId="4D5DD11F" w14:textId="77777777" w:rsidR="007974E8" w:rsidRPr="00E16672" w:rsidRDefault="007974E8" w:rsidP="007974E8">
      <w:pPr>
        <w:ind w:firstLine="491"/>
        <w:rPr>
          <w:rFonts w:ascii="Times New Roman" w:hAnsi="Times New Roman"/>
          <w:color w:val="000000"/>
          <w:szCs w:val="20"/>
          <w:lang w:val="uk-UA"/>
        </w:rPr>
      </w:pPr>
      <w:r w:rsidRPr="00E16672">
        <w:rPr>
          <w:rFonts w:ascii="Times New Roman" w:hAnsi="Times New Roman"/>
          <w:color w:val="000000"/>
          <w:szCs w:val="20"/>
          <w:lang w:val="uk-UA"/>
        </w:rPr>
        <w:t>Держава Україна (далі - Депонент), від імені якої діє суб'єкт управління об'єктами державної власності (далі – Керуючий рахунком):</w:t>
      </w:r>
      <w:r w:rsidRPr="00E16672">
        <w:rPr>
          <w:rFonts w:ascii="Times New Roman" w:hAnsi="Times New Roman"/>
          <w:i/>
          <w:iCs/>
          <w:color w:val="000000"/>
          <w:szCs w:val="20"/>
          <w:lang w:val="uk-UA"/>
        </w:rPr>
        <w:t>__________________</w:t>
      </w:r>
      <w:r w:rsidRPr="00E16672">
        <w:rPr>
          <w:rFonts w:ascii="Times New Roman" w:hAnsi="Times New Roman"/>
          <w:color w:val="000000"/>
          <w:szCs w:val="20"/>
          <w:lang w:val="uk-UA"/>
        </w:rPr>
        <w:t>_________________________________</w:t>
      </w:r>
      <w:r w:rsidR="00FA3078">
        <w:rPr>
          <w:rFonts w:ascii="Times New Roman" w:hAnsi="Times New Roman"/>
          <w:color w:val="000000"/>
          <w:szCs w:val="20"/>
          <w:lang w:val="uk-UA"/>
        </w:rPr>
        <w:t>___</w:t>
      </w:r>
      <w:r w:rsidRPr="00E16672">
        <w:rPr>
          <w:rFonts w:ascii="Times New Roman" w:hAnsi="Times New Roman"/>
          <w:color w:val="000000"/>
          <w:szCs w:val="20"/>
          <w:lang w:val="uk-UA"/>
        </w:rPr>
        <w:t>_________________________________________</w:t>
      </w:r>
    </w:p>
    <w:p w14:paraId="232C6A88" w14:textId="77777777" w:rsidR="007974E8" w:rsidRPr="00E16672" w:rsidRDefault="007974E8" w:rsidP="007974E8">
      <w:pPr>
        <w:pStyle w:val="af"/>
        <w:rPr>
          <w:rFonts w:ascii="Times New Roman" w:hAnsi="Times New Roman" w:cs="Times New Roman"/>
          <w:i/>
          <w:color w:val="000000"/>
        </w:rPr>
      </w:pPr>
      <w:r w:rsidRPr="00FA3078">
        <w:rPr>
          <w:rFonts w:ascii="Times New Roman" w:hAnsi="Times New Roman" w:cs="Times New Roman"/>
          <w:i/>
          <w:color w:val="000000"/>
          <w:sz w:val="18"/>
          <w:szCs w:val="18"/>
        </w:rPr>
        <w:t>(повне найменування/</w:t>
      </w:r>
      <w:r w:rsidRPr="00FA3078">
        <w:rPr>
          <w:rFonts w:ascii="Times New Roman" w:hAnsi="Times New Roman" w:cs="Times New Roman"/>
          <w:i/>
          <w:iCs/>
          <w:color w:val="000000"/>
          <w:sz w:val="18"/>
          <w:szCs w:val="18"/>
        </w:rPr>
        <w:t xml:space="preserve"> ім'я та по батькові/назва органу суб'єкта управління об'єктами державної власності у формі цінних паперів)</w:t>
      </w:r>
      <w:r w:rsidRPr="00FA3078">
        <w:rPr>
          <w:rFonts w:ascii="Times New Roman" w:hAnsi="Times New Roman" w:cs="Times New Roman"/>
          <w:color w:val="000000"/>
          <w:sz w:val="18"/>
          <w:szCs w:val="18"/>
        </w:rPr>
        <w:t xml:space="preserve"> </w:t>
      </w:r>
      <w:r w:rsidRPr="00E16672">
        <w:rPr>
          <w:rFonts w:ascii="Times New Roman" w:hAnsi="Times New Roman" w:cs="Times New Roman"/>
          <w:i/>
          <w:color w:val="000000"/>
        </w:rPr>
        <w:t xml:space="preserve"> </w:t>
      </w:r>
    </w:p>
    <w:p w14:paraId="79FF95D4" w14:textId="77777777" w:rsidR="007974E8" w:rsidRPr="00E16672" w:rsidRDefault="007974E8" w:rsidP="007974E8">
      <w:pPr>
        <w:pStyle w:val="af"/>
        <w:rPr>
          <w:rFonts w:ascii="Times New Roman" w:hAnsi="Times New Roman" w:cs="Times New Roman"/>
          <w:color w:val="000000"/>
        </w:rPr>
      </w:pPr>
      <w:r w:rsidRPr="00E16672">
        <w:rPr>
          <w:rFonts w:ascii="Times New Roman" w:hAnsi="Times New Roman" w:cs="Times New Roman"/>
          <w:iCs/>
          <w:color w:val="000000"/>
        </w:rPr>
        <w:t>к</w:t>
      </w:r>
      <w:bookmarkStart w:id="9" w:name="261"/>
      <w:r w:rsidRPr="00E16672">
        <w:rPr>
          <w:rFonts w:ascii="Times New Roman" w:hAnsi="Times New Roman" w:cs="Times New Roman"/>
          <w:iCs/>
          <w:color w:val="000000"/>
          <w:lang w:val="ru-RU"/>
        </w:rPr>
        <w:t>од за</w:t>
      </w:r>
      <w:r w:rsidRPr="00E16672">
        <w:rPr>
          <w:rFonts w:ascii="Times New Roman" w:hAnsi="Times New Roman" w:cs="Times New Roman"/>
          <w:iCs/>
          <w:color w:val="000000"/>
        </w:rPr>
        <w:t xml:space="preserve"> ЄДРПОУ:</w:t>
      </w:r>
      <w:r w:rsidRPr="00E16672">
        <w:rPr>
          <w:rFonts w:ascii="Times New Roman" w:hAnsi="Times New Roman" w:cs="Times New Roman"/>
          <w:i/>
          <w:iCs/>
          <w:color w:val="000000"/>
        </w:rPr>
        <w:t xml:space="preserve"> ______________ </w:t>
      </w:r>
      <w:r w:rsidRPr="00E16672">
        <w:rPr>
          <w:rFonts w:ascii="Times New Roman" w:eastAsia="Times New Roman" w:hAnsi="Times New Roman" w:cs="Times New Roman"/>
          <w:color w:val="000000"/>
        </w:rPr>
        <w:t xml:space="preserve">, </w:t>
      </w:r>
      <w:r w:rsidRPr="00E16672">
        <w:rPr>
          <w:rFonts w:ascii="Times New Roman" w:hAnsi="Times New Roman" w:cs="Times New Roman"/>
          <w:color w:val="000000"/>
        </w:rPr>
        <w:t>в особі __________________________</w:t>
      </w:r>
      <w:r w:rsidR="00FA3078">
        <w:rPr>
          <w:rFonts w:ascii="Times New Roman" w:hAnsi="Times New Roman" w:cs="Times New Roman"/>
          <w:color w:val="000000"/>
        </w:rPr>
        <w:t>_________________</w:t>
      </w:r>
      <w:r w:rsidRPr="00E16672">
        <w:rPr>
          <w:rFonts w:ascii="Times New Roman" w:hAnsi="Times New Roman" w:cs="Times New Roman"/>
          <w:color w:val="000000"/>
        </w:rPr>
        <w:t xml:space="preserve">____________________, </w:t>
      </w:r>
    </w:p>
    <w:p w14:paraId="5D23EF95" w14:textId="792042A0" w:rsidR="007974E8" w:rsidRPr="00FA3078" w:rsidRDefault="007974E8" w:rsidP="007974E8">
      <w:pPr>
        <w:pStyle w:val="af"/>
        <w:ind w:left="4956" w:firstLine="708"/>
        <w:rPr>
          <w:rFonts w:ascii="Times New Roman" w:hAnsi="Times New Roman" w:cs="Times New Roman"/>
          <w:i/>
          <w:iCs/>
          <w:color w:val="000000"/>
          <w:sz w:val="18"/>
          <w:szCs w:val="18"/>
        </w:rPr>
      </w:pPr>
      <w:r w:rsidRPr="00FA3078">
        <w:rPr>
          <w:rFonts w:ascii="Times New Roman" w:hAnsi="Times New Roman" w:cs="Times New Roman"/>
          <w:i/>
          <w:iCs/>
          <w:color w:val="000000"/>
          <w:sz w:val="18"/>
          <w:szCs w:val="18"/>
        </w:rPr>
        <w:t>(посада, прізвище, ім'я та по батькові</w:t>
      </w:r>
      <w:r w:rsidR="00D2328A" w:rsidRPr="00D2328A">
        <w:rPr>
          <w:rFonts w:ascii="Times New Roman" w:hAnsi="Times New Roman" w:cs="Times New Roman"/>
          <w:i/>
          <w:iCs/>
          <w:color w:val="000000"/>
          <w:sz w:val="18"/>
          <w:szCs w:val="18"/>
        </w:rPr>
        <w:t>(за наявності)</w:t>
      </w:r>
      <w:r w:rsidRPr="00FA3078">
        <w:rPr>
          <w:rFonts w:ascii="Times New Roman" w:hAnsi="Times New Roman" w:cs="Times New Roman"/>
          <w:i/>
          <w:iCs/>
          <w:color w:val="000000"/>
          <w:sz w:val="18"/>
          <w:szCs w:val="18"/>
        </w:rPr>
        <w:t>)</w:t>
      </w:r>
    </w:p>
    <w:p w14:paraId="46AB13DA" w14:textId="77777777" w:rsidR="007974E8" w:rsidRPr="00E16672" w:rsidRDefault="007974E8" w:rsidP="007974E8">
      <w:pPr>
        <w:pStyle w:val="af"/>
        <w:rPr>
          <w:rFonts w:ascii="Times New Roman" w:hAnsi="Times New Roman" w:cs="Times New Roman"/>
          <w:color w:val="000000"/>
        </w:rPr>
      </w:pPr>
      <w:r w:rsidRPr="002C163A">
        <w:rPr>
          <w:rFonts w:ascii="Times New Roman" w:hAnsi="Times New Roman" w:cs="Times New Roman"/>
          <w:color w:val="000000"/>
        </w:rPr>
        <w:t xml:space="preserve">який </w:t>
      </w:r>
      <w:bookmarkEnd w:id="9"/>
      <w:r w:rsidRPr="002C163A">
        <w:rPr>
          <w:rFonts w:ascii="Times New Roman" w:hAnsi="Times New Roman" w:cs="Times New Roman"/>
          <w:color w:val="000000"/>
        </w:rPr>
        <w:t>(яка) діє на підставі</w:t>
      </w:r>
      <w:r w:rsidRPr="00E16672">
        <w:rPr>
          <w:rFonts w:ascii="Times New Roman" w:hAnsi="Times New Roman" w:cs="Times New Roman"/>
          <w:i/>
          <w:color w:val="000000"/>
          <w:lang w:val="ru-RU"/>
        </w:rPr>
        <w:t>_____________________</w:t>
      </w:r>
      <w:r w:rsidRPr="00E16672">
        <w:rPr>
          <w:rFonts w:ascii="Times New Roman" w:hAnsi="Times New Roman" w:cs="Times New Roman"/>
          <w:i/>
          <w:color w:val="000000"/>
        </w:rPr>
        <w:t xml:space="preserve">________________(назва документа) </w:t>
      </w:r>
      <w:r w:rsidRPr="00E16672">
        <w:rPr>
          <w:rFonts w:ascii="Times New Roman" w:hAnsi="Times New Roman" w:cs="Times New Roman"/>
          <w:color w:val="000000"/>
        </w:rPr>
        <w:t>з другої сторони, а разом</w:t>
      </w:r>
      <w:r w:rsidRPr="00E16672">
        <w:rPr>
          <w:rFonts w:ascii="Times New Roman" w:hAnsi="Times New Roman" w:cs="Times New Roman"/>
          <w:color w:val="000000"/>
          <w:vertAlign w:val="subscript"/>
        </w:rPr>
        <w:t xml:space="preserve"> </w:t>
      </w:r>
      <w:r w:rsidRPr="00E16672">
        <w:rPr>
          <w:rFonts w:ascii="Times New Roman" w:hAnsi="Times New Roman" w:cs="Times New Roman"/>
          <w:color w:val="000000"/>
        </w:rPr>
        <w:t>надалі іменовані Сторони, уклали цей Договір про обслуговування рахунка в цінних паперах (надалі – Договір) про наступне:</w:t>
      </w:r>
    </w:p>
    <w:p w14:paraId="2C255B2D" w14:textId="77777777" w:rsidR="007974E8" w:rsidRPr="00E16672" w:rsidRDefault="007974E8" w:rsidP="007974E8">
      <w:pPr>
        <w:rPr>
          <w:rFonts w:ascii="Times New Roman" w:hAnsi="Times New Roman"/>
          <w:color w:val="000000"/>
          <w:szCs w:val="20"/>
        </w:rPr>
      </w:pPr>
    </w:p>
    <w:p w14:paraId="3027A40A" w14:textId="77777777" w:rsidR="007974E8" w:rsidRPr="00E16672" w:rsidRDefault="007974E8" w:rsidP="007974E8">
      <w:pPr>
        <w:jc w:val="center"/>
        <w:rPr>
          <w:rFonts w:ascii="Times New Roman" w:hAnsi="Times New Roman"/>
          <w:b/>
          <w:bCs/>
          <w:color w:val="000000"/>
          <w:szCs w:val="20"/>
        </w:rPr>
      </w:pPr>
      <w:r w:rsidRPr="00E16672">
        <w:rPr>
          <w:rFonts w:ascii="Times New Roman" w:hAnsi="Times New Roman"/>
          <w:b/>
          <w:bCs/>
          <w:color w:val="000000"/>
          <w:szCs w:val="20"/>
        </w:rPr>
        <w:t>1. Предмет Договору</w:t>
      </w:r>
    </w:p>
    <w:p w14:paraId="7BCCF38A" w14:textId="77777777" w:rsidR="007974E8" w:rsidRPr="00E16672" w:rsidRDefault="007974E8" w:rsidP="007974E8">
      <w:pPr>
        <w:pStyle w:val="af"/>
        <w:rPr>
          <w:rFonts w:ascii="Times New Roman" w:hAnsi="Times New Roman" w:cs="Times New Roman"/>
          <w:color w:val="000000"/>
        </w:rPr>
      </w:pPr>
    </w:p>
    <w:p w14:paraId="00A7E228" w14:textId="77777777" w:rsidR="007974E8" w:rsidRPr="00E16672" w:rsidRDefault="007974E8" w:rsidP="007974E8">
      <w:pPr>
        <w:pStyle w:val="af"/>
        <w:ind w:firstLine="708"/>
        <w:rPr>
          <w:rFonts w:ascii="Times New Roman" w:hAnsi="Times New Roman" w:cs="Times New Roman"/>
          <w:color w:val="000000"/>
        </w:rPr>
      </w:pPr>
      <w:r w:rsidRPr="00E16672">
        <w:rPr>
          <w:rFonts w:ascii="Times New Roman" w:hAnsi="Times New Roman" w:cs="Times New Roman"/>
          <w:color w:val="000000"/>
        </w:rPr>
        <w:t xml:space="preserve">1.1. Депозитарна установа зобов’язується у порядку, передбаченому законодавством, внутрішніми документами Депозитарної установи та цим Договором, надавати послуги щодо відкриття та обслуговування рахунку </w:t>
      </w:r>
      <w:r w:rsidR="00C22309" w:rsidRPr="00E16672">
        <w:rPr>
          <w:rFonts w:ascii="Times New Roman" w:hAnsi="Times New Roman" w:cs="Times New Roman"/>
          <w:color w:val="000000"/>
        </w:rPr>
        <w:t>в цін</w:t>
      </w:r>
      <w:r w:rsidRPr="00E16672">
        <w:rPr>
          <w:rFonts w:ascii="Times New Roman" w:hAnsi="Times New Roman" w:cs="Times New Roman"/>
          <w:color w:val="000000"/>
        </w:rPr>
        <w:t xml:space="preserve">них паперах Депонента, та вести на ньому облік цінних паперів, що належать Депоненту, а також облік прав Депонента на цінні папери, що обліковуються на  рахунку </w:t>
      </w:r>
      <w:r w:rsidR="00C22309" w:rsidRPr="00E16672">
        <w:rPr>
          <w:rFonts w:ascii="Times New Roman" w:hAnsi="Times New Roman" w:cs="Times New Roman"/>
          <w:color w:val="000000"/>
        </w:rPr>
        <w:t>в цін</w:t>
      </w:r>
      <w:r w:rsidRPr="00E16672">
        <w:rPr>
          <w:rFonts w:ascii="Times New Roman" w:hAnsi="Times New Roman" w:cs="Times New Roman"/>
          <w:color w:val="000000"/>
        </w:rPr>
        <w:t xml:space="preserve">них паперах, та обмеження таких прав,  проводити депозитарні операції за рахунком </w:t>
      </w:r>
      <w:r w:rsidR="00C22309" w:rsidRPr="00E16672">
        <w:rPr>
          <w:rFonts w:ascii="Times New Roman" w:hAnsi="Times New Roman" w:cs="Times New Roman"/>
          <w:color w:val="000000"/>
        </w:rPr>
        <w:t>в цін</w:t>
      </w:r>
      <w:r w:rsidRPr="00E16672">
        <w:rPr>
          <w:rFonts w:ascii="Times New Roman" w:hAnsi="Times New Roman" w:cs="Times New Roman"/>
          <w:color w:val="000000"/>
        </w:rPr>
        <w:t>них паперах Депонента на підставі розпоряджень суб'єкта(</w:t>
      </w:r>
      <w:proofErr w:type="spellStart"/>
      <w:r w:rsidRPr="00E16672">
        <w:rPr>
          <w:rFonts w:ascii="Times New Roman" w:hAnsi="Times New Roman" w:cs="Times New Roman"/>
          <w:color w:val="000000"/>
        </w:rPr>
        <w:t>ів</w:t>
      </w:r>
      <w:proofErr w:type="spellEnd"/>
      <w:r w:rsidRPr="00E16672">
        <w:rPr>
          <w:rFonts w:ascii="Times New Roman" w:hAnsi="Times New Roman" w:cs="Times New Roman"/>
          <w:color w:val="000000"/>
        </w:rPr>
        <w:t>) управління об'єктами державної власності, який(і) відповідно до законодавства виконує(</w:t>
      </w:r>
      <w:proofErr w:type="spellStart"/>
      <w:r w:rsidRPr="00E16672">
        <w:rPr>
          <w:rFonts w:ascii="Times New Roman" w:hAnsi="Times New Roman" w:cs="Times New Roman"/>
          <w:color w:val="000000"/>
        </w:rPr>
        <w:t>ють</w:t>
      </w:r>
      <w:proofErr w:type="spellEnd"/>
      <w:r w:rsidRPr="00E16672">
        <w:rPr>
          <w:rFonts w:ascii="Times New Roman" w:hAnsi="Times New Roman" w:cs="Times New Roman"/>
          <w:color w:val="000000"/>
        </w:rPr>
        <w:t>) функції з управління відповідними цінними паперами та який(і) у Депозитарній установі набуває(</w:t>
      </w:r>
      <w:proofErr w:type="spellStart"/>
      <w:r w:rsidRPr="00E16672">
        <w:rPr>
          <w:rFonts w:ascii="Times New Roman" w:hAnsi="Times New Roman" w:cs="Times New Roman"/>
          <w:color w:val="000000"/>
        </w:rPr>
        <w:t>ють</w:t>
      </w:r>
      <w:proofErr w:type="spellEnd"/>
      <w:r w:rsidRPr="00E16672">
        <w:rPr>
          <w:rFonts w:ascii="Times New Roman" w:hAnsi="Times New Roman" w:cs="Times New Roman"/>
          <w:color w:val="000000"/>
        </w:rPr>
        <w:t>) статусу керуючого(</w:t>
      </w:r>
      <w:proofErr w:type="spellStart"/>
      <w:r w:rsidRPr="00E16672">
        <w:rPr>
          <w:rFonts w:ascii="Times New Roman" w:hAnsi="Times New Roman" w:cs="Times New Roman"/>
          <w:color w:val="000000"/>
        </w:rPr>
        <w:t>их</w:t>
      </w:r>
      <w:proofErr w:type="spellEnd"/>
      <w:r w:rsidRPr="00E16672">
        <w:rPr>
          <w:rFonts w:ascii="Times New Roman" w:hAnsi="Times New Roman" w:cs="Times New Roman"/>
          <w:color w:val="000000"/>
        </w:rPr>
        <w:t xml:space="preserve">) рахунком </w:t>
      </w:r>
      <w:r w:rsidR="00C22309" w:rsidRPr="00E16672">
        <w:rPr>
          <w:rFonts w:ascii="Times New Roman" w:hAnsi="Times New Roman" w:cs="Times New Roman"/>
          <w:color w:val="000000"/>
        </w:rPr>
        <w:t>в цін</w:t>
      </w:r>
      <w:r w:rsidRPr="00E16672">
        <w:rPr>
          <w:rFonts w:ascii="Times New Roman" w:hAnsi="Times New Roman" w:cs="Times New Roman"/>
          <w:color w:val="000000"/>
        </w:rPr>
        <w:t>них паперах Депонента в межах його (їх) повноважень та в інший спосіб, передбачений законодавством, а також надавати інші послуги у процесі провадження депозитарної діяльності відповідно до Положення про провадження депозитарної діяльності, затвердженого рішенням Національної комісії з цінних паперів та фондового ринку від 23.04.2013 року № 735, зареєстрованого в Міністерстві юстиції України 27.06.2013 року №  1084/23616 (далі – Положення), а Депонент (Керуючий рахунком) зобов’язується оплатити послуги Депозитарної установи.</w:t>
      </w:r>
    </w:p>
    <w:p w14:paraId="439BD719" w14:textId="77777777" w:rsidR="007974E8" w:rsidRPr="00E16672" w:rsidRDefault="007974E8" w:rsidP="007974E8">
      <w:pPr>
        <w:pStyle w:val="af"/>
        <w:rPr>
          <w:rFonts w:ascii="Times New Roman" w:hAnsi="Times New Roman" w:cs="Times New Roman"/>
          <w:color w:val="000000"/>
        </w:rPr>
      </w:pPr>
      <w:r w:rsidRPr="00E16672">
        <w:rPr>
          <w:rFonts w:ascii="Times New Roman" w:hAnsi="Times New Roman" w:cs="Times New Roman"/>
          <w:color w:val="000000"/>
        </w:rPr>
        <w:t xml:space="preserve">1.2. Рахунок </w:t>
      </w:r>
      <w:r w:rsidR="00C22309" w:rsidRPr="00E16672">
        <w:rPr>
          <w:rFonts w:ascii="Times New Roman" w:hAnsi="Times New Roman" w:cs="Times New Roman"/>
          <w:color w:val="000000"/>
        </w:rPr>
        <w:t>в цін</w:t>
      </w:r>
      <w:r w:rsidRPr="00E16672">
        <w:rPr>
          <w:rFonts w:ascii="Times New Roman" w:hAnsi="Times New Roman" w:cs="Times New Roman"/>
          <w:color w:val="000000"/>
        </w:rPr>
        <w:t xml:space="preserve">них паперах відкривається Депозитарною установою для обліку на ньому прав на цінні папери, за якими функції з управління виконує цей суб'єкт управління, а також прав на цінні папери, за якими функції з управління виконують або виконуватимуть інші суб'єкти управління. Окремо з кожним таким суб'єктом управління укладається додатковий договір (додаткова угода) до договору про обслуговування рахунку в цінних паперах на ім'я держави, що був укладений між Депозитарною установою та суб'єктом управління, який першим ініціював відкриття рахунку в цінних паперах на ім'я держави в Депозитарній установі. Текст додаткового договору (додаткової угоди) має містити ті самі положення, що і основний договір, за винятком обов'язку Депозитарної установи відкрити рахунок </w:t>
      </w:r>
      <w:r w:rsidR="00C22309" w:rsidRPr="00E16672">
        <w:rPr>
          <w:rFonts w:ascii="Times New Roman" w:hAnsi="Times New Roman" w:cs="Times New Roman"/>
          <w:color w:val="000000"/>
        </w:rPr>
        <w:t>в цін</w:t>
      </w:r>
      <w:r w:rsidRPr="00E16672">
        <w:rPr>
          <w:rFonts w:ascii="Times New Roman" w:hAnsi="Times New Roman" w:cs="Times New Roman"/>
          <w:color w:val="000000"/>
        </w:rPr>
        <w:t>них паперах на ім'я держави.</w:t>
      </w:r>
    </w:p>
    <w:p w14:paraId="4C97A742" w14:textId="77777777" w:rsidR="007974E8" w:rsidRPr="00E16672" w:rsidRDefault="007974E8" w:rsidP="00022F5F">
      <w:pPr>
        <w:pStyle w:val="af"/>
        <w:jc w:val="left"/>
        <w:rPr>
          <w:rFonts w:ascii="Times New Roman" w:hAnsi="Times New Roman" w:cs="Times New Roman"/>
          <w:color w:val="000000"/>
        </w:rPr>
      </w:pPr>
      <w:r w:rsidRPr="00E16672">
        <w:rPr>
          <w:rFonts w:ascii="Times New Roman" w:hAnsi="Times New Roman" w:cs="Times New Roman"/>
          <w:color w:val="000000"/>
        </w:rPr>
        <w:t xml:space="preserve">1.3. Цінні папери (фінансовий актив) Депонента, права на які обліковуються Депозитарною установою відповідно до умов цього Договору, зберігаються Центральним депозитарієм цінних паперів відповідно до Закону України </w:t>
      </w:r>
      <w:r w:rsidR="00022F5F">
        <w:rPr>
          <w:rFonts w:ascii="Times New Roman" w:hAnsi="Times New Roman" w:cs="Times New Roman"/>
          <w:color w:val="000000"/>
        </w:rPr>
        <w:t>"</w:t>
      </w:r>
      <w:r w:rsidRPr="00E16672">
        <w:rPr>
          <w:rFonts w:ascii="Times New Roman" w:hAnsi="Times New Roman" w:cs="Times New Roman"/>
          <w:color w:val="000000"/>
        </w:rPr>
        <w:t>Про депозитарну систему України</w:t>
      </w:r>
      <w:r w:rsidR="00022F5F">
        <w:rPr>
          <w:rFonts w:ascii="Times New Roman" w:hAnsi="Times New Roman" w:cs="Times New Roman"/>
          <w:color w:val="000000"/>
        </w:rPr>
        <w:t>"</w:t>
      </w:r>
      <w:r w:rsidRPr="00E16672">
        <w:rPr>
          <w:rFonts w:ascii="Times New Roman" w:hAnsi="Times New Roman" w:cs="Times New Roman"/>
          <w:color w:val="000000"/>
        </w:rPr>
        <w:t>.</w:t>
      </w:r>
    </w:p>
    <w:p w14:paraId="70F877B9" w14:textId="77777777" w:rsidR="007974E8" w:rsidRPr="00E16672" w:rsidRDefault="007974E8" w:rsidP="007974E8">
      <w:pPr>
        <w:pStyle w:val="22"/>
        <w:ind w:firstLine="567"/>
        <w:rPr>
          <w:rFonts w:ascii="Times New Roman" w:eastAsia="NSimSun" w:hAnsi="Times New Roman"/>
          <w:color w:val="000000"/>
        </w:rPr>
      </w:pPr>
      <w:r w:rsidRPr="00E16672">
        <w:rPr>
          <w:rFonts w:ascii="Times New Roman" w:eastAsia="NSimSun" w:hAnsi="Times New Roman"/>
          <w:color w:val="000000"/>
        </w:rPr>
        <w:t xml:space="preserve">1.4. Виконання Депозитарною установою додаткових послуг та операцій, що не протирічать чинному законодавству України, оформлюється додатковими угодами, які з моменту їх підписання стають невід’ємною частиною цього Договору. </w:t>
      </w:r>
    </w:p>
    <w:p w14:paraId="0715F1DE" w14:textId="77777777" w:rsidR="007974E8" w:rsidRPr="00E16672" w:rsidRDefault="007974E8" w:rsidP="007974E8">
      <w:pPr>
        <w:pStyle w:val="af"/>
        <w:rPr>
          <w:rFonts w:ascii="Times New Roman" w:hAnsi="Times New Roman" w:cs="Times New Roman"/>
          <w:color w:val="000000"/>
        </w:rPr>
      </w:pPr>
    </w:p>
    <w:p w14:paraId="6FEC7649" w14:textId="77777777" w:rsidR="007974E8" w:rsidRPr="00E16672" w:rsidRDefault="007974E8" w:rsidP="007974E8">
      <w:pPr>
        <w:pStyle w:val="af"/>
        <w:jc w:val="center"/>
        <w:rPr>
          <w:rFonts w:ascii="Times New Roman" w:hAnsi="Times New Roman" w:cs="Times New Roman"/>
          <w:b/>
          <w:bCs/>
          <w:color w:val="000000"/>
        </w:rPr>
      </w:pPr>
      <w:r w:rsidRPr="00E16672">
        <w:rPr>
          <w:rFonts w:ascii="Times New Roman" w:hAnsi="Times New Roman" w:cs="Times New Roman"/>
          <w:b/>
          <w:bCs/>
          <w:color w:val="000000"/>
        </w:rPr>
        <w:t xml:space="preserve">2. Права та обов'язки Сторін </w:t>
      </w:r>
    </w:p>
    <w:p w14:paraId="5D82C7E7" w14:textId="77777777" w:rsidR="007974E8" w:rsidRPr="00E16672" w:rsidRDefault="007974E8" w:rsidP="007974E8">
      <w:pPr>
        <w:pStyle w:val="af"/>
        <w:jc w:val="center"/>
        <w:rPr>
          <w:rFonts w:ascii="Times New Roman" w:hAnsi="Times New Roman" w:cs="Times New Roman"/>
          <w:b/>
          <w:bCs/>
          <w:color w:val="000000"/>
        </w:rPr>
      </w:pPr>
    </w:p>
    <w:p w14:paraId="7D3BCCA5" w14:textId="77777777" w:rsidR="007974E8" w:rsidRPr="00E16672" w:rsidRDefault="007974E8" w:rsidP="007974E8">
      <w:pPr>
        <w:tabs>
          <w:tab w:val="left" w:pos="450"/>
        </w:tabs>
        <w:ind w:firstLine="561"/>
        <w:rPr>
          <w:rFonts w:ascii="Times New Roman" w:hAnsi="Times New Roman"/>
          <w:b/>
          <w:color w:val="000000"/>
          <w:szCs w:val="20"/>
        </w:rPr>
      </w:pPr>
      <w:r w:rsidRPr="00E16672">
        <w:rPr>
          <w:rFonts w:ascii="Times New Roman" w:hAnsi="Times New Roman"/>
          <w:b/>
          <w:color w:val="000000"/>
          <w:szCs w:val="20"/>
        </w:rPr>
        <w:t xml:space="preserve">2.1. </w:t>
      </w:r>
      <w:proofErr w:type="spellStart"/>
      <w:r w:rsidRPr="00E16672">
        <w:rPr>
          <w:rFonts w:ascii="Times New Roman" w:hAnsi="Times New Roman"/>
          <w:b/>
          <w:color w:val="000000"/>
          <w:szCs w:val="20"/>
        </w:rPr>
        <w:t>Депозитарна</w:t>
      </w:r>
      <w:proofErr w:type="spellEnd"/>
      <w:r w:rsidRPr="00E16672">
        <w:rPr>
          <w:rFonts w:ascii="Times New Roman" w:hAnsi="Times New Roman"/>
          <w:b/>
          <w:color w:val="000000"/>
          <w:szCs w:val="20"/>
        </w:rPr>
        <w:t xml:space="preserve"> </w:t>
      </w:r>
      <w:proofErr w:type="spellStart"/>
      <w:r w:rsidRPr="00E16672">
        <w:rPr>
          <w:rFonts w:ascii="Times New Roman" w:hAnsi="Times New Roman"/>
          <w:b/>
          <w:color w:val="000000"/>
          <w:szCs w:val="20"/>
        </w:rPr>
        <w:t>установа</w:t>
      </w:r>
      <w:proofErr w:type="spellEnd"/>
      <w:r w:rsidRPr="00E16672">
        <w:rPr>
          <w:rFonts w:ascii="Times New Roman" w:hAnsi="Times New Roman"/>
          <w:b/>
          <w:color w:val="000000"/>
          <w:szCs w:val="20"/>
        </w:rPr>
        <w:t xml:space="preserve"> </w:t>
      </w:r>
      <w:proofErr w:type="spellStart"/>
      <w:r w:rsidRPr="00E16672">
        <w:rPr>
          <w:rFonts w:ascii="Times New Roman" w:hAnsi="Times New Roman"/>
          <w:b/>
          <w:color w:val="000000"/>
          <w:szCs w:val="20"/>
        </w:rPr>
        <w:t>зобов’язана</w:t>
      </w:r>
      <w:proofErr w:type="spellEnd"/>
      <w:r w:rsidRPr="00E16672">
        <w:rPr>
          <w:rFonts w:ascii="Times New Roman" w:hAnsi="Times New Roman"/>
          <w:b/>
          <w:color w:val="000000"/>
          <w:szCs w:val="20"/>
        </w:rPr>
        <w:t>:</w:t>
      </w:r>
    </w:p>
    <w:p w14:paraId="7A26CD13" w14:textId="77777777" w:rsidR="007974E8" w:rsidRPr="00E16672" w:rsidRDefault="007974E8" w:rsidP="007974E8">
      <w:pPr>
        <w:pStyle w:val="af"/>
        <w:rPr>
          <w:rFonts w:ascii="Times New Roman" w:hAnsi="Times New Roman" w:cs="Times New Roman"/>
          <w:color w:val="000000"/>
        </w:rPr>
      </w:pPr>
      <w:r w:rsidRPr="00E16672">
        <w:rPr>
          <w:rFonts w:ascii="Times New Roman" w:hAnsi="Times New Roman" w:cs="Times New Roman"/>
          <w:color w:val="000000"/>
        </w:rPr>
        <w:t xml:space="preserve">2.1.1 Відкрити Депоненту рахунок </w:t>
      </w:r>
      <w:r w:rsidR="00C22309" w:rsidRPr="00E16672">
        <w:rPr>
          <w:rFonts w:ascii="Times New Roman" w:hAnsi="Times New Roman" w:cs="Times New Roman"/>
          <w:color w:val="000000"/>
        </w:rPr>
        <w:t>в цін</w:t>
      </w:r>
      <w:r w:rsidRPr="00E16672">
        <w:rPr>
          <w:rFonts w:ascii="Times New Roman" w:hAnsi="Times New Roman" w:cs="Times New Roman"/>
          <w:color w:val="000000"/>
        </w:rPr>
        <w:t xml:space="preserve">них паперах протягом п'яти робочих днів після подання Керуючим рахунком визначених законодавством документів для відкриття рахунку в цінних паперах. Якщо Депонент є платником податків, видаткові операції на рахунку </w:t>
      </w:r>
      <w:r w:rsidR="00C22309" w:rsidRPr="00E16672">
        <w:rPr>
          <w:rFonts w:ascii="Times New Roman" w:hAnsi="Times New Roman" w:cs="Times New Roman"/>
          <w:color w:val="000000"/>
        </w:rPr>
        <w:t>в цін</w:t>
      </w:r>
      <w:r w:rsidRPr="00E16672">
        <w:rPr>
          <w:rFonts w:ascii="Times New Roman" w:hAnsi="Times New Roman" w:cs="Times New Roman"/>
          <w:color w:val="000000"/>
        </w:rPr>
        <w:t>них паперах здійснюються після узяття рахунку на облік в органах державної податкової служби.</w:t>
      </w:r>
    </w:p>
    <w:p w14:paraId="3D964AE9" w14:textId="77777777" w:rsidR="007974E8" w:rsidRPr="00E16672" w:rsidRDefault="007974E8" w:rsidP="007974E8">
      <w:pPr>
        <w:pStyle w:val="af"/>
        <w:rPr>
          <w:rFonts w:ascii="Times New Roman" w:eastAsia="Arial" w:hAnsi="Times New Roman" w:cs="Times New Roman"/>
          <w:color w:val="000000"/>
        </w:rPr>
      </w:pPr>
      <w:r w:rsidRPr="00E16672">
        <w:rPr>
          <w:rFonts w:ascii="Times New Roman" w:hAnsi="Times New Roman" w:cs="Times New Roman"/>
          <w:color w:val="000000"/>
        </w:rPr>
        <w:t xml:space="preserve">2.1.2. Ознайомити Керуючого рахунком з внутрішніми документами (витягами з внутрішніх документів, діючими тарифами, що є чинними на час підписання цього Договору) Депозитарної установи, які регламентують відносини Депонента та Депозитарної установи стосовно порядку виконання розпоряджень Керуючого рахунком, отримання виписок про стан рахунку </w:t>
      </w:r>
      <w:r w:rsidR="00C22309" w:rsidRPr="00E16672">
        <w:rPr>
          <w:rFonts w:ascii="Times New Roman" w:hAnsi="Times New Roman" w:cs="Times New Roman"/>
          <w:color w:val="000000"/>
        </w:rPr>
        <w:t>в цін</w:t>
      </w:r>
      <w:r w:rsidRPr="00E16672">
        <w:rPr>
          <w:rFonts w:ascii="Times New Roman" w:hAnsi="Times New Roman" w:cs="Times New Roman"/>
          <w:color w:val="000000"/>
        </w:rPr>
        <w:t xml:space="preserve">них паперах Депонента та про операції з цінними паперами, інформаційних довідок про незавершені операції з цінними паперами по рахунку в цінних паперах Депонента та інших інформаційних довідок, шляхом оприлюднення на веб-сторінці Депозитарної установи </w:t>
      </w:r>
      <w:r w:rsidR="00E16672">
        <w:rPr>
          <w:rFonts w:ascii="Times New Roman" w:eastAsia="Arial" w:hAnsi="Times New Roman" w:cs="Times New Roman"/>
          <w:color w:val="000000"/>
        </w:rPr>
        <w:t>http://comex.uafin.net</w:t>
      </w:r>
      <w:r w:rsidRPr="00E16672">
        <w:rPr>
          <w:rFonts w:ascii="Times New Roman" w:hAnsi="Times New Roman" w:cs="Times New Roman"/>
          <w:color w:val="000000"/>
        </w:rPr>
        <w:t xml:space="preserve">, та в подальшому ознайомлювати Керуючого рахунком зі змінами та доповненнями до цих документів (витягів з внутрішніх документів, діючих тарифів) шляхом розміщення протягом п'яти робочих днів після затвердження змін відповідної інформації та тексту внутрішніх документів (витягів з внутрішніх документів) на веб-сторінці Депозитарної установи </w:t>
      </w:r>
      <w:r w:rsidR="00E16672">
        <w:rPr>
          <w:rFonts w:ascii="Times New Roman" w:eastAsia="Arial" w:hAnsi="Times New Roman" w:cs="Times New Roman"/>
          <w:color w:val="000000"/>
        </w:rPr>
        <w:t>http://comex.uafin.net</w:t>
      </w:r>
      <w:r w:rsidRPr="00E16672">
        <w:rPr>
          <w:rFonts w:ascii="Times New Roman" w:eastAsia="Arial" w:hAnsi="Times New Roman" w:cs="Times New Roman"/>
          <w:color w:val="000000"/>
        </w:rPr>
        <w:t>.</w:t>
      </w:r>
    </w:p>
    <w:p w14:paraId="49C4B3F8" w14:textId="77777777" w:rsidR="007974E8" w:rsidRPr="00E16672" w:rsidRDefault="007974E8" w:rsidP="007974E8">
      <w:pPr>
        <w:pStyle w:val="af"/>
        <w:rPr>
          <w:rFonts w:ascii="Times New Roman" w:hAnsi="Times New Roman" w:cs="Times New Roman"/>
          <w:color w:val="000000"/>
        </w:rPr>
      </w:pPr>
      <w:r w:rsidRPr="00E16672">
        <w:rPr>
          <w:rFonts w:ascii="Times New Roman" w:hAnsi="Times New Roman" w:cs="Times New Roman"/>
          <w:color w:val="000000"/>
        </w:rPr>
        <w:lastRenderedPageBreak/>
        <w:t xml:space="preserve">2.1.3. Здійснювати облік цінних паперів, що належать Депоненту, на рахунку </w:t>
      </w:r>
      <w:r w:rsidR="00C22309" w:rsidRPr="00E16672">
        <w:rPr>
          <w:rFonts w:ascii="Times New Roman" w:hAnsi="Times New Roman" w:cs="Times New Roman"/>
          <w:color w:val="000000"/>
        </w:rPr>
        <w:t>в цін</w:t>
      </w:r>
      <w:r w:rsidRPr="00E16672">
        <w:rPr>
          <w:rFonts w:ascii="Times New Roman" w:hAnsi="Times New Roman" w:cs="Times New Roman"/>
          <w:color w:val="000000"/>
        </w:rPr>
        <w:t>них паперах.</w:t>
      </w:r>
    </w:p>
    <w:p w14:paraId="1A391D71" w14:textId="77777777" w:rsidR="007974E8" w:rsidRPr="00E16672" w:rsidRDefault="007974E8" w:rsidP="00022F5F">
      <w:pPr>
        <w:pStyle w:val="af"/>
        <w:jc w:val="left"/>
        <w:rPr>
          <w:rFonts w:ascii="Times New Roman" w:hAnsi="Times New Roman" w:cs="Times New Roman"/>
          <w:color w:val="000000"/>
        </w:rPr>
      </w:pPr>
      <w:r w:rsidRPr="00E16672">
        <w:rPr>
          <w:rFonts w:ascii="Times New Roman" w:hAnsi="Times New Roman" w:cs="Times New Roman"/>
          <w:color w:val="000000"/>
        </w:rPr>
        <w:t xml:space="preserve">2.1.4. Здійснювати облік прав Депонента на цінні папери, що обліковуються на певному рахунку </w:t>
      </w:r>
      <w:r w:rsidR="00C22309" w:rsidRPr="00E16672">
        <w:rPr>
          <w:rFonts w:ascii="Times New Roman" w:hAnsi="Times New Roman" w:cs="Times New Roman"/>
          <w:color w:val="000000"/>
        </w:rPr>
        <w:t>в цін</w:t>
      </w:r>
      <w:r w:rsidRPr="00E16672">
        <w:rPr>
          <w:rFonts w:ascii="Times New Roman" w:hAnsi="Times New Roman" w:cs="Times New Roman"/>
          <w:color w:val="000000"/>
        </w:rPr>
        <w:t xml:space="preserve">них паперах, та обмеження таких прав, у тому числі відокремлений облік прав на цінні папери, які зарезервовані для здійснення розрахунків за правочинами щодо цінних паперів з дотриманням принципу </w:t>
      </w:r>
      <w:r w:rsidR="00022F5F">
        <w:rPr>
          <w:rFonts w:ascii="Times New Roman" w:hAnsi="Times New Roman" w:cs="Times New Roman"/>
          <w:color w:val="000000"/>
        </w:rPr>
        <w:t>"</w:t>
      </w:r>
      <w:r w:rsidRPr="00E16672">
        <w:rPr>
          <w:rFonts w:ascii="Times New Roman" w:hAnsi="Times New Roman" w:cs="Times New Roman"/>
          <w:color w:val="000000"/>
        </w:rPr>
        <w:t>поставка цінних паперів проти оплати</w:t>
      </w:r>
      <w:r w:rsidR="00022F5F">
        <w:rPr>
          <w:rFonts w:ascii="Times New Roman" w:hAnsi="Times New Roman" w:cs="Times New Roman"/>
          <w:color w:val="000000"/>
        </w:rPr>
        <w:t>"</w:t>
      </w:r>
      <w:r w:rsidRPr="00E16672">
        <w:rPr>
          <w:rFonts w:ascii="Times New Roman" w:hAnsi="Times New Roman" w:cs="Times New Roman"/>
          <w:color w:val="000000"/>
        </w:rPr>
        <w:t>.</w:t>
      </w:r>
    </w:p>
    <w:p w14:paraId="1C2B448E" w14:textId="77777777" w:rsidR="007974E8" w:rsidRPr="00E16672" w:rsidRDefault="007974E8" w:rsidP="007974E8">
      <w:pPr>
        <w:pStyle w:val="af"/>
        <w:rPr>
          <w:rFonts w:ascii="Times New Roman" w:hAnsi="Times New Roman" w:cs="Times New Roman"/>
          <w:color w:val="000000"/>
        </w:rPr>
      </w:pPr>
      <w:r w:rsidRPr="00E16672">
        <w:rPr>
          <w:rFonts w:ascii="Times New Roman" w:hAnsi="Times New Roman" w:cs="Times New Roman"/>
          <w:color w:val="000000"/>
        </w:rPr>
        <w:t xml:space="preserve">2.1.5. Здійснювати обслуговування </w:t>
      </w:r>
      <w:proofErr w:type="spellStart"/>
      <w:r w:rsidRPr="00E16672">
        <w:rPr>
          <w:rFonts w:ascii="Times New Roman" w:hAnsi="Times New Roman" w:cs="Times New Roman"/>
          <w:color w:val="000000"/>
        </w:rPr>
        <w:t>обіг</w:t>
      </w:r>
      <w:r w:rsidR="00C22309" w:rsidRPr="00E16672">
        <w:rPr>
          <w:rFonts w:ascii="Times New Roman" w:hAnsi="Times New Roman" w:cs="Times New Roman"/>
          <w:color w:val="000000"/>
        </w:rPr>
        <w:t>в</w:t>
      </w:r>
      <w:proofErr w:type="spellEnd"/>
      <w:r w:rsidR="00C22309" w:rsidRPr="00E16672">
        <w:rPr>
          <w:rFonts w:ascii="Times New Roman" w:hAnsi="Times New Roman" w:cs="Times New Roman"/>
          <w:color w:val="000000"/>
        </w:rPr>
        <w:t xml:space="preserve"> цін</w:t>
      </w:r>
      <w:r w:rsidRPr="00E16672">
        <w:rPr>
          <w:rFonts w:ascii="Times New Roman" w:hAnsi="Times New Roman" w:cs="Times New Roman"/>
          <w:color w:val="000000"/>
        </w:rPr>
        <w:t xml:space="preserve">них паперів на рахунку </w:t>
      </w:r>
      <w:r w:rsidR="00C22309" w:rsidRPr="00E16672">
        <w:rPr>
          <w:rFonts w:ascii="Times New Roman" w:hAnsi="Times New Roman" w:cs="Times New Roman"/>
          <w:color w:val="000000"/>
        </w:rPr>
        <w:t>в цін</w:t>
      </w:r>
      <w:r w:rsidRPr="00E16672">
        <w:rPr>
          <w:rFonts w:ascii="Times New Roman" w:hAnsi="Times New Roman" w:cs="Times New Roman"/>
          <w:color w:val="000000"/>
        </w:rPr>
        <w:t xml:space="preserve">них паперах Депонента шляхом проведення депозитарних операцій за рахунком </w:t>
      </w:r>
      <w:r w:rsidR="00C22309" w:rsidRPr="00E16672">
        <w:rPr>
          <w:rFonts w:ascii="Times New Roman" w:hAnsi="Times New Roman" w:cs="Times New Roman"/>
          <w:color w:val="000000"/>
        </w:rPr>
        <w:t>в цін</w:t>
      </w:r>
      <w:r w:rsidRPr="00E16672">
        <w:rPr>
          <w:rFonts w:ascii="Times New Roman" w:hAnsi="Times New Roman" w:cs="Times New Roman"/>
          <w:color w:val="000000"/>
        </w:rPr>
        <w:t>них паперах у порядку та строки, визначені законодавством та/або внутрішніми документами Депозитарної установи.</w:t>
      </w:r>
    </w:p>
    <w:p w14:paraId="42F1C085" w14:textId="77777777" w:rsidR="007974E8" w:rsidRPr="00E16672" w:rsidRDefault="007974E8" w:rsidP="007974E8">
      <w:pPr>
        <w:pStyle w:val="af"/>
        <w:rPr>
          <w:rFonts w:ascii="Times New Roman" w:hAnsi="Times New Roman" w:cs="Times New Roman"/>
          <w:color w:val="000000"/>
        </w:rPr>
      </w:pPr>
      <w:r w:rsidRPr="00E16672">
        <w:rPr>
          <w:rFonts w:ascii="Times New Roman" w:hAnsi="Times New Roman" w:cs="Times New Roman"/>
          <w:color w:val="000000"/>
        </w:rPr>
        <w:t>2.1.6. Складати та видавати виписку з рахунка в цінних паперах Депонента та виписку про операції з цінними паперами на вимогу Керуючого рахунком не пізніше наступного робочого дня з дати отримання відповідного розпорядження у спосіб, визначений у розпорядженні..</w:t>
      </w:r>
    </w:p>
    <w:p w14:paraId="4F738C5A" w14:textId="77777777" w:rsidR="007974E8" w:rsidRPr="00E16672" w:rsidRDefault="007974E8" w:rsidP="007974E8">
      <w:pPr>
        <w:pStyle w:val="af"/>
        <w:rPr>
          <w:rFonts w:ascii="Times New Roman" w:hAnsi="Times New Roman" w:cs="Times New Roman"/>
          <w:color w:val="000000"/>
        </w:rPr>
      </w:pPr>
      <w:r w:rsidRPr="00E16672">
        <w:rPr>
          <w:rFonts w:ascii="Times New Roman" w:hAnsi="Times New Roman" w:cs="Times New Roman"/>
          <w:color w:val="000000"/>
        </w:rPr>
        <w:t>Щокварталу без розпорядження Керуючого рахунком готувати та надавати Керуючому рахунком в межах його повноважень виписку про стан рахунку в цінних паперах депонента без стягнення плати за підготовку і надання такої виписки.</w:t>
      </w:r>
    </w:p>
    <w:p w14:paraId="1EDC30F7" w14:textId="77777777" w:rsidR="007974E8" w:rsidRPr="00E16672" w:rsidRDefault="007974E8" w:rsidP="007974E8">
      <w:pPr>
        <w:pStyle w:val="af"/>
        <w:rPr>
          <w:rFonts w:ascii="Times New Roman" w:hAnsi="Times New Roman" w:cs="Times New Roman"/>
          <w:color w:val="000000"/>
        </w:rPr>
      </w:pPr>
      <w:r w:rsidRPr="00E16672">
        <w:rPr>
          <w:rFonts w:ascii="Times New Roman" w:hAnsi="Times New Roman" w:cs="Times New Roman"/>
          <w:color w:val="000000"/>
        </w:rPr>
        <w:t xml:space="preserve">Виписка з рахунку </w:t>
      </w:r>
      <w:r w:rsidR="00C22309" w:rsidRPr="00E16672">
        <w:rPr>
          <w:rFonts w:ascii="Times New Roman" w:hAnsi="Times New Roman" w:cs="Times New Roman"/>
          <w:color w:val="000000"/>
        </w:rPr>
        <w:t>в цін</w:t>
      </w:r>
      <w:r w:rsidRPr="00E16672">
        <w:rPr>
          <w:rFonts w:ascii="Times New Roman" w:hAnsi="Times New Roman" w:cs="Times New Roman"/>
          <w:color w:val="000000"/>
        </w:rPr>
        <w:t xml:space="preserve">них паперах може надаватися Керуючому рахунком у вигляді електронного документу з використанням </w:t>
      </w:r>
      <w:r w:rsidR="002A5E07" w:rsidRPr="00E16672">
        <w:rPr>
          <w:rFonts w:ascii="Times New Roman" w:hAnsi="Times New Roman" w:cs="Times New Roman"/>
          <w:color w:val="000000"/>
        </w:rPr>
        <w:t>кваліфікованого електронного підпису</w:t>
      </w:r>
      <w:r w:rsidRPr="00E16672">
        <w:rPr>
          <w:rFonts w:ascii="Times New Roman" w:hAnsi="Times New Roman" w:cs="Times New Roman"/>
          <w:color w:val="000000"/>
        </w:rPr>
        <w:t xml:space="preserve"> та </w:t>
      </w:r>
      <w:r w:rsidR="002A5E07" w:rsidRPr="00E16672">
        <w:rPr>
          <w:rFonts w:ascii="Times New Roman" w:hAnsi="Times New Roman" w:cs="Times New Roman"/>
          <w:color w:val="000000"/>
        </w:rPr>
        <w:t>кваліфікованим електронним підписом</w:t>
      </w:r>
      <w:r w:rsidRPr="00E16672">
        <w:rPr>
          <w:rFonts w:ascii="Times New Roman" w:hAnsi="Times New Roman" w:cs="Times New Roman"/>
          <w:color w:val="000000"/>
        </w:rPr>
        <w:t>, що за правовим статусом прирівнюється до печатки юридичної особи (крім юридичних осіб нерезидентів – депонентів або керуючих рахунком).</w:t>
      </w:r>
    </w:p>
    <w:p w14:paraId="004F2629" w14:textId="77777777" w:rsidR="007974E8" w:rsidRPr="00E16672" w:rsidRDefault="007974E8" w:rsidP="007974E8">
      <w:pPr>
        <w:pStyle w:val="af"/>
        <w:rPr>
          <w:rFonts w:ascii="Times New Roman" w:hAnsi="Times New Roman" w:cs="Times New Roman"/>
          <w:color w:val="000000"/>
        </w:rPr>
      </w:pPr>
      <w:r w:rsidRPr="00E16672">
        <w:rPr>
          <w:rFonts w:ascii="Times New Roman" w:eastAsia="Arial" w:hAnsi="Times New Roman" w:cs="Times New Roman"/>
          <w:color w:val="000000"/>
          <w:spacing w:val="-9"/>
        </w:rPr>
        <w:t xml:space="preserve">У якості звіту </w:t>
      </w:r>
      <w:r w:rsidRPr="00E16672">
        <w:rPr>
          <w:rFonts w:ascii="Times New Roman" w:hAnsi="Times New Roman" w:cs="Times New Roman"/>
          <w:color w:val="000000"/>
        </w:rPr>
        <w:t xml:space="preserve">надавати </w:t>
      </w:r>
      <w:r w:rsidRPr="00E16672">
        <w:rPr>
          <w:rFonts w:ascii="Times New Roman" w:eastAsia="Arial" w:hAnsi="Times New Roman" w:cs="Times New Roman"/>
          <w:color w:val="000000"/>
          <w:spacing w:val="-9"/>
        </w:rPr>
        <w:t xml:space="preserve">Виписку з рахунка в цінних паперах або Виписку про операції з цінними паперами </w:t>
      </w:r>
      <w:r w:rsidRPr="00E16672">
        <w:rPr>
          <w:rFonts w:ascii="Times New Roman" w:hAnsi="Times New Roman" w:cs="Times New Roman"/>
          <w:color w:val="000000"/>
        </w:rPr>
        <w:t xml:space="preserve">після здійснення хоча б однієї облікової операції не пізніше </w:t>
      </w:r>
      <w:r w:rsidRPr="00E16672">
        <w:rPr>
          <w:rFonts w:ascii="Times New Roman" w:hAnsi="Times New Roman" w:cs="Times New Roman"/>
          <w:i/>
          <w:color w:val="000000"/>
        </w:rPr>
        <w:t>трьох</w:t>
      </w:r>
      <w:r w:rsidRPr="00E16672">
        <w:rPr>
          <w:rFonts w:ascii="Times New Roman" w:hAnsi="Times New Roman" w:cs="Times New Roman"/>
          <w:color w:val="000000"/>
        </w:rPr>
        <w:t xml:space="preserve"> робочих днів</w:t>
      </w:r>
      <w:r w:rsidRPr="00E16672">
        <w:rPr>
          <w:rFonts w:ascii="Times New Roman" w:eastAsia="Arial" w:hAnsi="Times New Roman" w:cs="Times New Roman"/>
          <w:i/>
          <w:color w:val="000000"/>
          <w:spacing w:val="-9"/>
        </w:rPr>
        <w:t xml:space="preserve"> </w:t>
      </w:r>
      <w:r w:rsidRPr="00E16672">
        <w:rPr>
          <w:rFonts w:ascii="Times New Roman" w:eastAsia="Arial" w:hAnsi="Times New Roman" w:cs="Times New Roman"/>
          <w:color w:val="000000"/>
          <w:spacing w:val="-9"/>
        </w:rPr>
        <w:t>з дня здійснення такої операції.</w:t>
      </w:r>
    </w:p>
    <w:p w14:paraId="7777AFBC" w14:textId="77777777" w:rsidR="007974E8" w:rsidRPr="00E16672" w:rsidRDefault="007974E8" w:rsidP="007974E8">
      <w:pPr>
        <w:pStyle w:val="af"/>
        <w:rPr>
          <w:rFonts w:ascii="Times New Roman" w:hAnsi="Times New Roman" w:cs="Times New Roman"/>
          <w:color w:val="000000"/>
        </w:rPr>
      </w:pPr>
      <w:r w:rsidRPr="00E16672">
        <w:rPr>
          <w:rFonts w:ascii="Times New Roman" w:hAnsi="Times New Roman" w:cs="Times New Roman"/>
          <w:color w:val="000000"/>
        </w:rPr>
        <w:t xml:space="preserve">2.1.7. Надавати Керуючому рахунком інформаційні довідки (про незавершені операції з цінними паперами за рахунком в цінних паперах Депонента на запит Керуючого рахунком не пізніше </w:t>
      </w:r>
      <w:r w:rsidRPr="00E16672">
        <w:rPr>
          <w:rFonts w:ascii="Times New Roman" w:hAnsi="Times New Roman" w:cs="Times New Roman"/>
          <w:i/>
          <w:color w:val="000000"/>
        </w:rPr>
        <w:t>трьох</w:t>
      </w:r>
      <w:r w:rsidRPr="00E16672">
        <w:rPr>
          <w:rFonts w:ascii="Times New Roman" w:hAnsi="Times New Roman" w:cs="Times New Roman"/>
          <w:color w:val="000000"/>
        </w:rPr>
        <w:t xml:space="preserve"> робочих днів з дня отримання такого запиту. Інформаційна довідка надається Керуючому рахунком у спосіб, визначений у запиті про надання відповідної інформаційної довідки. </w:t>
      </w:r>
    </w:p>
    <w:p w14:paraId="459DAC05" w14:textId="77777777" w:rsidR="007974E8" w:rsidRPr="00E16672" w:rsidRDefault="007974E8" w:rsidP="007974E8">
      <w:pPr>
        <w:pStyle w:val="af"/>
        <w:rPr>
          <w:rFonts w:ascii="Times New Roman" w:hAnsi="Times New Roman" w:cs="Times New Roman"/>
          <w:color w:val="000000"/>
        </w:rPr>
      </w:pPr>
      <w:r w:rsidRPr="00E16672">
        <w:rPr>
          <w:rFonts w:ascii="Times New Roman" w:hAnsi="Times New Roman" w:cs="Times New Roman"/>
          <w:color w:val="000000"/>
        </w:rPr>
        <w:t xml:space="preserve">2.1.8. Повідомляти Керуючого рахунком про проведення коригувальної операції у разі виявлення технічної помилки, допущеної при виконанні депозитарної операції, протягом </w:t>
      </w:r>
      <w:r w:rsidRPr="00E16672">
        <w:rPr>
          <w:rFonts w:ascii="Times New Roman" w:hAnsi="Times New Roman" w:cs="Times New Roman"/>
          <w:i/>
          <w:color w:val="000000"/>
        </w:rPr>
        <w:t>трьох</w:t>
      </w:r>
      <w:r w:rsidRPr="00E16672">
        <w:rPr>
          <w:rFonts w:ascii="Times New Roman" w:hAnsi="Times New Roman" w:cs="Times New Roman"/>
          <w:color w:val="000000"/>
        </w:rPr>
        <w:t xml:space="preserve"> робочих днів з дня проведення коригувальної операції  шляхом направлення листа із відповідним повідомленням на адресу Керуючого рахунком визначену в анкеті рахунку в цінних паперах Керуючого рахунком</w:t>
      </w:r>
    </w:p>
    <w:p w14:paraId="4CDD1342" w14:textId="77777777" w:rsidR="007974E8" w:rsidRPr="00E16672" w:rsidRDefault="007974E8" w:rsidP="007974E8">
      <w:pPr>
        <w:pStyle w:val="af"/>
        <w:rPr>
          <w:rFonts w:ascii="Times New Roman" w:hAnsi="Times New Roman" w:cs="Times New Roman"/>
          <w:color w:val="000000"/>
        </w:rPr>
      </w:pPr>
      <w:r w:rsidRPr="00E16672">
        <w:rPr>
          <w:rFonts w:ascii="Times New Roman" w:hAnsi="Times New Roman" w:cs="Times New Roman"/>
          <w:color w:val="000000"/>
        </w:rPr>
        <w:t>2.1.9. Не виконувати дії та не надавати інформацію щодо цінних паперів, що належать Депоненту, або інформацію щодо Депонента без відповідних розпоряджень Керуючого рахунком крім випадків, передбачених законодавством та Договором.</w:t>
      </w:r>
    </w:p>
    <w:p w14:paraId="5838A3D7" w14:textId="77777777" w:rsidR="007974E8" w:rsidRPr="00E16672" w:rsidRDefault="007974E8" w:rsidP="00022F5F">
      <w:pPr>
        <w:pStyle w:val="af"/>
        <w:jc w:val="left"/>
        <w:rPr>
          <w:rFonts w:ascii="Times New Roman" w:hAnsi="Times New Roman" w:cs="Times New Roman"/>
          <w:color w:val="000000"/>
        </w:rPr>
      </w:pPr>
      <w:r w:rsidRPr="00E16672">
        <w:rPr>
          <w:rFonts w:ascii="Times New Roman" w:hAnsi="Times New Roman" w:cs="Times New Roman"/>
          <w:color w:val="000000"/>
        </w:rPr>
        <w:t xml:space="preserve">2.1.10. Надавати Центральному депозитарію інформацію щодо Депонента, </w:t>
      </w:r>
      <w:r w:rsidRPr="00E16672">
        <w:rPr>
          <w:rFonts w:ascii="Times New Roman" w:hAnsi="Times New Roman" w:cs="Times New Roman"/>
          <w:bCs/>
          <w:color w:val="000000"/>
        </w:rPr>
        <w:t xml:space="preserve">торговця цінними паперами, якому Депонентом надані повноваження на вчинення правочинів щодо цінних паперів в інтересах Депонента </w:t>
      </w:r>
      <w:r w:rsidRPr="00E16672">
        <w:rPr>
          <w:rFonts w:ascii="Times New Roman" w:hAnsi="Times New Roman" w:cs="Times New Roman"/>
          <w:color w:val="000000"/>
        </w:rPr>
        <w:t xml:space="preserve">та цінних паперів, що належать Депонент, яка необхідна для здійснення розрахунків за правочинами щодо цінних паперів з дотриманням принципу </w:t>
      </w:r>
      <w:r w:rsidR="00022F5F">
        <w:rPr>
          <w:rFonts w:ascii="Times New Roman" w:hAnsi="Times New Roman" w:cs="Times New Roman"/>
          <w:color w:val="000000"/>
        </w:rPr>
        <w:t>"</w:t>
      </w:r>
      <w:r w:rsidRPr="00E16672">
        <w:rPr>
          <w:rFonts w:ascii="Times New Roman" w:hAnsi="Times New Roman" w:cs="Times New Roman"/>
          <w:color w:val="000000"/>
        </w:rPr>
        <w:t>поставка цінних паперів проти оплати</w:t>
      </w:r>
      <w:r w:rsidR="00022F5F">
        <w:rPr>
          <w:rFonts w:ascii="Times New Roman" w:hAnsi="Times New Roman" w:cs="Times New Roman"/>
          <w:color w:val="000000"/>
        </w:rPr>
        <w:t>"</w:t>
      </w:r>
      <w:r w:rsidRPr="00E16672">
        <w:rPr>
          <w:rFonts w:ascii="Times New Roman" w:hAnsi="Times New Roman" w:cs="Times New Roman"/>
          <w:color w:val="000000"/>
        </w:rPr>
        <w:t>, з метою подальшого надання такої інформації Розрахунковому центру з обслуговування договорів на фінансових ринках (далі – Розрахунковий центр) чи кліринговій установі для її відображення у внутрішній системі обліку такої особи.</w:t>
      </w:r>
    </w:p>
    <w:p w14:paraId="0FF25948" w14:textId="77777777" w:rsidR="007974E8" w:rsidRPr="00E16672" w:rsidRDefault="007974E8" w:rsidP="007974E8">
      <w:pPr>
        <w:pStyle w:val="af"/>
        <w:rPr>
          <w:rFonts w:ascii="Times New Roman" w:hAnsi="Times New Roman" w:cs="Times New Roman"/>
          <w:color w:val="000000"/>
        </w:rPr>
      </w:pPr>
      <w:r w:rsidRPr="00E16672">
        <w:rPr>
          <w:rFonts w:ascii="Times New Roman" w:hAnsi="Times New Roman" w:cs="Times New Roman"/>
          <w:color w:val="000000"/>
        </w:rPr>
        <w:t xml:space="preserve">2.1.11. Виконувати за рахунком </w:t>
      </w:r>
      <w:r w:rsidR="00C22309" w:rsidRPr="00E16672">
        <w:rPr>
          <w:rFonts w:ascii="Times New Roman" w:hAnsi="Times New Roman" w:cs="Times New Roman"/>
          <w:color w:val="000000"/>
        </w:rPr>
        <w:t>в цін</w:t>
      </w:r>
      <w:r w:rsidRPr="00E16672">
        <w:rPr>
          <w:rFonts w:ascii="Times New Roman" w:hAnsi="Times New Roman" w:cs="Times New Roman"/>
          <w:color w:val="000000"/>
        </w:rPr>
        <w:t xml:space="preserve">них паперах Депонента, що був узятий на облік Розрахунковим центром чи кліринговою установою, адміністративні операції, які визначені Регламентом Центрального депозитарію як такі, що можуть призвести до неможливості здійснення розрахунків </w:t>
      </w:r>
      <w:r w:rsidR="00C22309" w:rsidRPr="00E16672">
        <w:rPr>
          <w:rFonts w:ascii="Times New Roman" w:hAnsi="Times New Roman" w:cs="Times New Roman"/>
          <w:color w:val="000000"/>
        </w:rPr>
        <w:t>в цін</w:t>
      </w:r>
      <w:r w:rsidRPr="00E16672">
        <w:rPr>
          <w:rFonts w:ascii="Times New Roman" w:hAnsi="Times New Roman" w:cs="Times New Roman"/>
          <w:color w:val="000000"/>
        </w:rPr>
        <w:t>них паперах за результатами правочинів, тільки після отримання від Центрального депозитарію інформації про внесення до внутрішньої системи обліку Розрахункового центру чи клірингової установи відповідних змін щодо такого Депонента.</w:t>
      </w:r>
    </w:p>
    <w:p w14:paraId="5F57E164" w14:textId="77777777" w:rsidR="007974E8" w:rsidRPr="00E16672" w:rsidRDefault="007974E8" w:rsidP="007974E8">
      <w:pPr>
        <w:pStyle w:val="af"/>
        <w:rPr>
          <w:rFonts w:ascii="Times New Roman" w:hAnsi="Times New Roman" w:cs="Times New Roman"/>
          <w:color w:val="000000"/>
        </w:rPr>
      </w:pPr>
      <w:r w:rsidRPr="00E16672">
        <w:rPr>
          <w:rFonts w:ascii="Times New Roman" w:hAnsi="Times New Roman" w:cs="Times New Roman"/>
          <w:color w:val="000000"/>
        </w:rPr>
        <w:t>2.1.1</w:t>
      </w:r>
      <w:r w:rsidR="000057AA" w:rsidRPr="00E16672">
        <w:rPr>
          <w:rFonts w:ascii="Times New Roman" w:hAnsi="Times New Roman" w:cs="Times New Roman"/>
          <w:color w:val="000000"/>
        </w:rPr>
        <w:t>2</w:t>
      </w:r>
      <w:r w:rsidRPr="00E16672">
        <w:rPr>
          <w:rFonts w:ascii="Times New Roman" w:hAnsi="Times New Roman" w:cs="Times New Roman"/>
          <w:color w:val="000000"/>
        </w:rPr>
        <w:t xml:space="preserve">. Не здійснювати депозитарних операцій за рахунком </w:t>
      </w:r>
      <w:r w:rsidR="00C22309" w:rsidRPr="00E16672">
        <w:rPr>
          <w:rFonts w:ascii="Times New Roman" w:hAnsi="Times New Roman" w:cs="Times New Roman"/>
          <w:color w:val="000000"/>
        </w:rPr>
        <w:t>в цін</w:t>
      </w:r>
      <w:r w:rsidRPr="00E16672">
        <w:rPr>
          <w:rFonts w:ascii="Times New Roman" w:hAnsi="Times New Roman" w:cs="Times New Roman"/>
          <w:color w:val="000000"/>
        </w:rPr>
        <w:t>них паперах у випадку виявлення порушень вимог подання, заповнення розпорядження та захисту інформації, яка потрібна для здійснення цих операцій Депозитарною установою, або якщо виконання цього розпорядження буде суперечити законодавству України, або законодавству країн, в яких укладені угоди, на підставі яких здійснюється розпорядження.</w:t>
      </w:r>
    </w:p>
    <w:p w14:paraId="496EA90C" w14:textId="77777777" w:rsidR="007974E8" w:rsidRPr="00E16672" w:rsidRDefault="007974E8" w:rsidP="007974E8">
      <w:pPr>
        <w:pStyle w:val="af"/>
        <w:rPr>
          <w:rFonts w:ascii="Times New Roman" w:hAnsi="Times New Roman" w:cs="Times New Roman"/>
          <w:color w:val="000000"/>
        </w:rPr>
      </w:pPr>
      <w:r w:rsidRPr="00E16672">
        <w:rPr>
          <w:rFonts w:ascii="Times New Roman" w:hAnsi="Times New Roman" w:cs="Times New Roman"/>
          <w:color w:val="000000"/>
        </w:rPr>
        <w:t>2.1.1</w:t>
      </w:r>
      <w:r w:rsidR="000057AA" w:rsidRPr="00E16672">
        <w:rPr>
          <w:rFonts w:ascii="Times New Roman" w:hAnsi="Times New Roman" w:cs="Times New Roman"/>
          <w:color w:val="000000"/>
        </w:rPr>
        <w:t>3</w:t>
      </w:r>
      <w:r w:rsidRPr="00E16672">
        <w:rPr>
          <w:rFonts w:ascii="Times New Roman" w:hAnsi="Times New Roman" w:cs="Times New Roman"/>
          <w:color w:val="000000"/>
        </w:rPr>
        <w:t xml:space="preserve">. Забезпечувати збереження та конфіденційність інформації, що міститься у системі депозитарного обліку, стосовно цінних паперів на рахунку </w:t>
      </w:r>
      <w:r w:rsidR="00C22309" w:rsidRPr="00E16672">
        <w:rPr>
          <w:rFonts w:ascii="Times New Roman" w:hAnsi="Times New Roman" w:cs="Times New Roman"/>
          <w:color w:val="000000"/>
        </w:rPr>
        <w:t>в цін</w:t>
      </w:r>
      <w:r w:rsidRPr="00E16672">
        <w:rPr>
          <w:rFonts w:ascii="Times New Roman" w:hAnsi="Times New Roman" w:cs="Times New Roman"/>
          <w:color w:val="000000"/>
        </w:rPr>
        <w:t>них паперах Депонента, а також будь-якої іншої інформації, що може завдати шкоду Депоненту. Обов’язки щодо зберігання конфіденційності інформації не виникають у випадках, якщо розголошування подібної інформації мало місце внаслідок дій судових або інших уповноважених чинним законодавством органів або в інших випадках відповідно до вимог чинного законодавства..</w:t>
      </w:r>
    </w:p>
    <w:p w14:paraId="35580488" w14:textId="77777777" w:rsidR="007974E8" w:rsidRPr="00E16672" w:rsidRDefault="007974E8" w:rsidP="007974E8">
      <w:pPr>
        <w:pStyle w:val="af"/>
        <w:rPr>
          <w:rFonts w:ascii="Times New Roman" w:hAnsi="Times New Roman" w:cs="Times New Roman"/>
          <w:color w:val="000000"/>
        </w:rPr>
      </w:pPr>
      <w:r w:rsidRPr="00E16672">
        <w:rPr>
          <w:rFonts w:ascii="Times New Roman" w:hAnsi="Times New Roman" w:cs="Times New Roman"/>
          <w:color w:val="000000"/>
        </w:rPr>
        <w:t>2.1.1</w:t>
      </w:r>
      <w:r w:rsidR="000057AA" w:rsidRPr="00E16672">
        <w:rPr>
          <w:rFonts w:ascii="Times New Roman" w:hAnsi="Times New Roman" w:cs="Times New Roman"/>
          <w:color w:val="000000"/>
        </w:rPr>
        <w:t>4</w:t>
      </w:r>
      <w:r w:rsidRPr="00E16672">
        <w:rPr>
          <w:rFonts w:ascii="Times New Roman" w:hAnsi="Times New Roman" w:cs="Times New Roman"/>
          <w:color w:val="000000"/>
        </w:rPr>
        <w:t>. Дотримуватися встановлених вимог захисту інформації від несанкціонованого доступу в електронних системах обміну даними.</w:t>
      </w:r>
    </w:p>
    <w:p w14:paraId="0CB2A0B6" w14:textId="77777777" w:rsidR="007974E8" w:rsidRPr="00E16672" w:rsidRDefault="007974E8" w:rsidP="007974E8">
      <w:pPr>
        <w:pStyle w:val="af"/>
        <w:rPr>
          <w:rFonts w:ascii="Times New Roman" w:hAnsi="Times New Roman" w:cs="Times New Roman"/>
          <w:color w:val="000000"/>
        </w:rPr>
      </w:pPr>
      <w:r w:rsidRPr="00E16672">
        <w:rPr>
          <w:rFonts w:ascii="Times New Roman" w:hAnsi="Times New Roman" w:cs="Times New Roman"/>
          <w:color w:val="000000"/>
        </w:rPr>
        <w:t>2.1.1</w:t>
      </w:r>
      <w:r w:rsidR="000057AA" w:rsidRPr="00E16672">
        <w:rPr>
          <w:rFonts w:ascii="Times New Roman" w:hAnsi="Times New Roman" w:cs="Times New Roman"/>
          <w:color w:val="000000"/>
        </w:rPr>
        <w:t>5</w:t>
      </w:r>
      <w:r w:rsidRPr="00E16672">
        <w:rPr>
          <w:rFonts w:ascii="Times New Roman" w:hAnsi="Times New Roman" w:cs="Times New Roman"/>
          <w:color w:val="000000"/>
        </w:rPr>
        <w:t xml:space="preserve">. Протягом </w:t>
      </w:r>
      <w:r w:rsidRPr="00E16672">
        <w:rPr>
          <w:rFonts w:ascii="Times New Roman" w:hAnsi="Times New Roman" w:cs="Times New Roman"/>
          <w:i/>
          <w:color w:val="000000"/>
        </w:rPr>
        <w:t xml:space="preserve">трьох </w:t>
      </w:r>
      <w:r w:rsidRPr="00E16672">
        <w:rPr>
          <w:rFonts w:ascii="Times New Roman" w:hAnsi="Times New Roman" w:cs="Times New Roman"/>
          <w:color w:val="000000"/>
        </w:rPr>
        <w:t xml:space="preserve">робочих днів з дати початку Депозитарною установою процедури припинення нею провадження професійної діяльності на фондовому ринку - депозитарної діяльності депозитарної установи відповідно до вимог нормативно-правового </w:t>
      </w:r>
      <w:proofErr w:type="spellStart"/>
      <w:r w:rsidRPr="00E16672">
        <w:rPr>
          <w:rFonts w:ascii="Times New Roman" w:hAnsi="Times New Roman" w:cs="Times New Roman"/>
          <w:color w:val="000000"/>
        </w:rPr>
        <w:t>акта</w:t>
      </w:r>
      <w:proofErr w:type="spellEnd"/>
      <w:r w:rsidRPr="00E16672">
        <w:rPr>
          <w:rFonts w:ascii="Times New Roman" w:hAnsi="Times New Roman" w:cs="Times New Roman"/>
          <w:color w:val="000000"/>
        </w:rPr>
        <w:t xml:space="preserve"> щодо припинення депозитарної діяльності депозитарної установи, повідомити Керуючого рахунком рекомендованим листом щодо необхідності закриття рахунка в цінних паперах протягом </w:t>
      </w:r>
      <w:r w:rsidR="00F50251" w:rsidRPr="00E16672">
        <w:rPr>
          <w:rFonts w:ascii="Times New Roman" w:hAnsi="Times New Roman" w:cs="Times New Roman"/>
          <w:i/>
          <w:color w:val="000000"/>
        </w:rPr>
        <w:t>шістдесяти</w:t>
      </w:r>
      <w:r w:rsidRPr="00E16672">
        <w:rPr>
          <w:rFonts w:ascii="Times New Roman" w:hAnsi="Times New Roman" w:cs="Times New Roman"/>
          <w:color w:val="000000"/>
        </w:rPr>
        <w:t xml:space="preserve"> календарних днів з дати початку цієї процедури.</w:t>
      </w:r>
    </w:p>
    <w:p w14:paraId="3BCC2EA6" w14:textId="77777777" w:rsidR="007974E8" w:rsidRPr="00E16672" w:rsidRDefault="007974E8" w:rsidP="007974E8">
      <w:pPr>
        <w:pStyle w:val="af"/>
        <w:rPr>
          <w:rFonts w:ascii="Times New Roman" w:hAnsi="Times New Roman" w:cs="Times New Roman"/>
        </w:rPr>
      </w:pPr>
      <w:r w:rsidRPr="00E16672">
        <w:rPr>
          <w:rFonts w:ascii="Times New Roman" w:hAnsi="Times New Roman" w:cs="Times New Roman"/>
          <w:color w:val="000000"/>
        </w:rPr>
        <w:t>2.1.1</w:t>
      </w:r>
      <w:r w:rsidR="000057AA" w:rsidRPr="00E16672">
        <w:rPr>
          <w:rFonts w:ascii="Times New Roman" w:hAnsi="Times New Roman" w:cs="Times New Roman"/>
          <w:color w:val="000000"/>
        </w:rPr>
        <w:t>6</w:t>
      </w:r>
      <w:r w:rsidRPr="00E16672">
        <w:rPr>
          <w:rFonts w:ascii="Times New Roman" w:hAnsi="Times New Roman" w:cs="Times New Roman"/>
          <w:color w:val="000000"/>
        </w:rPr>
        <w:t xml:space="preserve">. Закрити рахунок </w:t>
      </w:r>
      <w:r w:rsidR="00C22309" w:rsidRPr="00E16672">
        <w:rPr>
          <w:rFonts w:ascii="Times New Roman" w:hAnsi="Times New Roman" w:cs="Times New Roman"/>
          <w:color w:val="000000"/>
        </w:rPr>
        <w:t>в цін</w:t>
      </w:r>
      <w:r w:rsidRPr="00E16672">
        <w:rPr>
          <w:rFonts w:ascii="Times New Roman" w:hAnsi="Times New Roman" w:cs="Times New Roman"/>
          <w:color w:val="000000"/>
        </w:rPr>
        <w:t xml:space="preserve">них паперах Депонента у порядку, передбаченому цим Договором та </w:t>
      </w:r>
      <w:r w:rsidRPr="00E16672">
        <w:rPr>
          <w:rFonts w:ascii="Times New Roman" w:hAnsi="Times New Roman" w:cs="Times New Roman"/>
        </w:rPr>
        <w:t xml:space="preserve">законодавством, внутрішніми документами Депозитарної установи. </w:t>
      </w:r>
    </w:p>
    <w:p w14:paraId="2326698D" w14:textId="77777777" w:rsidR="007974E8" w:rsidRPr="00E16672" w:rsidRDefault="007974E8" w:rsidP="00022F5F">
      <w:pPr>
        <w:pStyle w:val="western"/>
        <w:spacing w:before="0" w:after="0"/>
        <w:ind w:firstLine="539"/>
        <w:jc w:val="left"/>
        <w:rPr>
          <w:rFonts w:ascii="Times New Roman" w:hAnsi="Times New Roman"/>
          <w:b w:val="0"/>
          <w:bCs w:val="0"/>
          <w:szCs w:val="20"/>
        </w:rPr>
      </w:pPr>
      <w:r w:rsidRPr="00E16672">
        <w:rPr>
          <w:rFonts w:ascii="Times New Roman" w:hAnsi="Times New Roman"/>
          <w:b w:val="0"/>
          <w:bCs w:val="0"/>
          <w:szCs w:val="20"/>
        </w:rPr>
        <w:t>2.1.1</w:t>
      </w:r>
      <w:r w:rsidR="000057AA" w:rsidRPr="00E16672">
        <w:rPr>
          <w:rFonts w:ascii="Times New Roman" w:hAnsi="Times New Roman"/>
          <w:b w:val="0"/>
          <w:bCs w:val="0"/>
          <w:szCs w:val="20"/>
          <w:lang w:val="uk-UA"/>
        </w:rPr>
        <w:t>7</w:t>
      </w:r>
      <w:r w:rsidRPr="00E16672">
        <w:rPr>
          <w:rFonts w:ascii="Times New Roman" w:hAnsi="Times New Roman"/>
          <w:b w:val="0"/>
          <w:bCs w:val="0"/>
          <w:szCs w:val="20"/>
        </w:rPr>
        <w:t xml:space="preserve">. </w:t>
      </w:r>
      <w:proofErr w:type="spellStart"/>
      <w:r w:rsidRPr="00E16672">
        <w:rPr>
          <w:rFonts w:ascii="Times New Roman" w:hAnsi="Times New Roman"/>
          <w:b w:val="0"/>
          <w:bCs w:val="0"/>
          <w:szCs w:val="20"/>
        </w:rPr>
        <w:t>Направляти</w:t>
      </w:r>
      <w:proofErr w:type="spellEnd"/>
      <w:r w:rsidRPr="00E16672">
        <w:rPr>
          <w:rFonts w:ascii="Times New Roman" w:hAnsi="Times New Roman"/>
          <w:b w:val="0"/>
          <w:bCs w:val="0"/>
          <w:szCs w:val="20"/>
        </w:rPr>
        <w:t xml:space="preserve"> у </w:t>
      </w:r>
      <w:proofErr w:type="spellStart"/>
      <w:r w:rsidRPr="00E16672">
        <w:rPr>
          <w:rFonts w:ascii="Times New Roman" w:hAnsi="Times New Roman"/>
          <w:b w:val="0"/>
          <w:bCs w:val="0"/>
          <w:szCs w:val="20"/>
        </w:rPr>
        <w:t>встановленому</w:t>
      </w:r>
      <w:proofErr w:type="spellEnd"/>
      <w:r w:rsidRPr="00E16672">
        <w:rPr>
          <w:rFonts w:ascii="Times New Roman" w:hAnsi="Times New Roman"/>
          <w:b w:val="0"/>
          <w:bCs w:val="0"/>
          <w:szCs w:val="20"/>
        </w:rPr>
        <w:t xml:space="preserve"> </w:t>
      </w:r>
      <w:proofErr w:type="spellStart"/>
      <w:r w:rsidRPr="00E16672">
        <w:rPr>
          <w:rFonts w:ascii="Times New Roman" w:hAnsi="Times New Roman"/>
          <w:b w:val="0"/>
          <w:bCs w:val="0"/>
          <w:szCs w:val="20"/>
        </w:rPr>
        <w:t>законодавством</w:t>
      </w:r>
      <w:proofErr w:type="spellEnd"/>
      <w:r w:rsidRPr="00E16672">
        <w:rPr>
          <w:rFonts w:ascii="Times New Roman" w:hAnsi="Times New Roman"/>
          <w:b w:val="0"/>
          <w:bCs w:val="0"/>
          <w:szCs w:val="20"/>
        </w:rPr>
        <w:t xml:space="preserve"> порядку депоненту, </w:t>
      </w:r>
      <w:proofErr w:type="spellStart"/>
      <w:r w:rsidRPr="00E16672">
        <w:rPr>
          <w:rFonts w:ascii="Times New Roman" w:hAnsi="Times New Roman"/>
          <w:b w:val="0"/>
          <w:bCs w:val="0"/>
          <w:szCs w:val="20"/>
        </w:rPr>
        <w:t>який</w:t>
      </w:r>
      <w:proofErr w:type="spellEnd"/>
      <w:r w:rsidRPr="00E16672">
        <w:rPr>
          <w:rFonts w:ascii="Times New Roman" w:hAnsi="Times New Roman"/>
          <w:b w:val="0"/>
          <w:bCs w:val="0"/>
          <w:szCs w:val="20"/>
        </w:rPr>
        <w:t xml:space="preserve"> є </w:t>
      </w:r>
      <w:proofErr w:type="spellStart"/>
      <w:r w:rsidRPr="00E16672">
        <w:rPr>
          <w:rFonts w:ascii="Times New Roman" w:hAnsi="Times New Roman"/>
          <w:b w:val="0"/>
          <w:bCs w:val="0"/>
          <w:szCs w:val="20"/>
        </w:rPr>
        <w:t>власником</w:t>
      </w:r>
      <w:proofErr w:type="spellEnd"/>
      <w:r w:rsidRPr="00E16672">
        <w:rPr>
          <w:rFonts w:ascii="Times New Roman" w:hAnsi="Times New Roman"/>
          <w:b w:val="0"/>
          <w:bCs w:val="0"/>
          <w:szCs w:val="20"/>
        </w:rPr>
        <w:t xml:space="preserve"> </w:t>
      </w:r>
      <w:proofErr w:type="spellStart"/>
      <w:r w:rsidRPr="00E16672">
        <w:rPr>
          <w:rFonts w:ascii="Times New Roman" w:hAnsi="Times New Roman"/>
          <w:b w:val="0"/>
          <w:bCs w:val="0"/>
          <w:szCs w:val="20"/>
        </w:rPr>
        <w:t>акцій</w:t>
      </w:r>
      <w:proofErr w:type="spellEnd"/>
      <w:r w:rsidRPr="00E16672">
        <w:rPr>
          <w:rFonts w:ascii="Times New Roman" w:hAnsi="Times New Roman"/>
          <w:b w:val="0"/>
          <w:bCs w:val="0"/>
          <w:szCs w:val="20"/>
        </w:rPr>
        <w:t xml:space="preserve"> </w:t>
      </w:r>
      <w:proofErr w:type="spellStart"/>
      <w:r w:rsidRPr="00E16672">
        <w:rPr>
          <w:rFonts w:ascii="Times New Roman" w:hAnsi="Times New Roman"/>
          <w:b w:val="0"/>
          <w:bCs w:val="0"/>
          <w:szCs w:val="20"/>
        </w:rPr>
        <w:t>акціонерного</w:t>
      </w:r>
      <w:proofErr w:type="spellEnd"/>
      <w:r w:rsidRPr="00E16672">
        <w:rPr>
          <w:rFonts w:ascii="Times New Roman" w:hAnsi="Times New Roman"/>
          <w:b w:val="0"/>
          <w:bCs w:val="0"/>
          <w:szCs w:val="20"/>
        </w:rPr>
        <w:t xml:space="preserve"> </w:t>
      </w:r>
      <w:proofErr w:type="spellStart"/>
      <w:r w:rsidRPr="00E16672">
        <w:rPr>
          <w:rFonts w:ascii="Times New Roman" w:hAnsi="Times New Roman"/>
          <w:b w:val="0"/>
          <w:bCs w:val="0"/>
          <w:szCs w:val="20"/>
        </w:rPr>
        <w:t>товариства</w:t>
      </w:r>
      <w:proofErr w:type="spellEnd"/>
      <w:r w:rsidRPr="00E16672">
        <w:rPr>
          <w:rFonts w:ascii="Times New Roman" w:hAnsi="Times New Roman"/>
          <w:b w:val="0"/>
          <w:bCs w:val="0"/>
          <w:szCs w:val="20"/>
        </w:rPr>
        <w:t xml:space="preserve"> на </w:t>
      </w:r>
      <w:proofErr w:type="spellStart"/>
      <w:r w:rsidRPr="00E16672">
        <w:rPr>
          <w:rFonts w:ascii="Times New Roman" w:hAnsi="Times New Roman"/>
          <w:b w:val="0"/>
          <w:bCs w:val="0"/>
          <w:szCs w:val="20"/>
        </w:rPr>
        <w:t>визначену</w:t>
      </w:r>
      <w:proofErr w:type="spellEnd"/>
      <w:r w:rsidRPr="00E16672">
        <w:rPr>
          <w:rFonts w:ascii="Times New Roman" w:hAnsi="Times New Roman"/>
          <w:b w:val="0"/>
          <w:bCs w:val="0"/>
          <w:szCs w:val="20"/>
        </w:rPr>
        <w:t xml:space="preserve"> </w:t>
      </w:r>
      <w:proofErr w:type="spellStart"/>
      <w:r w:rsidRPr="00E16672">
        <w:rPr>
          <w:rFonts w:ascii="Times New Roman" w:hAnsi="Times New Roman"/>
          <w:b w:val="0"/>
          <w:bCs w:val="0"/>
          <w:szCs w:val="20"/>
        </w:rPr>
        <w:t>відповідно</w:t>
      </w:r>
      <w:proofErr w:type="spellEnd"/>
      <w:r w:rsidRPr="00E16672">
        <w:rPr>
          <w:rFonts w:ascii="Times New Roman" w:hAnsi="Times New Roman"/>
          <w:b w:val="0"/>
          <w:bCs w:val="0"/>
          <w:szCs w:val="20"/>
        </w:rPr>
        <w:t xml:space="preserve"> до закону дату, </w:t>
      </w:r>
      <w:proofErr w:type="spellStart"/>
      <w:r w:rsidRPr="00E16672">
        <w:rPr>
          <w:rFonts w:ascii="Times New Roman" w:hAnsi="Times New Roman"/>
          <w:b w:val="0"/>
          <w:bCs w:val="0"/>
          <w:szCs w:val="20"/>
        </w:rPr>
        <w:t>повідомлення</w:t>
      </w:r>
      <w:proofErr w:type="spellEnd"/>
      <w:r w:rsidRPr="00E16672">
        <w:rPr>
          <w:rFonts w:ascii="Times New Roman" w:hAnsi="Times New Roman"/>
          <w:b w:val="0"/>
          <w:bCs w:val="0"/>
          <w:szCs w:val="20"/>
        </w:rPr>
        <w:t xml:space="preserve"> у </w:t>
      </w:r>
      <w:proofErr w:type="spellStart"/>
      <w:r w:rsidRPr="00E16672">
        <w:rPr>
          <w:rFonts w:ascii="Times New Roman" w:hAnsi="Times New Roman"/>
          <w:b w:val="0"/>
          <w:bCs w:val="0"/>
          <w:szCs w:val="20"/>
        </w:rPr>
        <w:t>разі</w:t>
      </w:r>
      <w:proofErr w:type="spellEnd"/>
      <w:r w:rsidRPr="00E16672">
        <w:rPr>
          <w:rFonts w:ascii="Times New Roman" w:hAnsi="Times New Roman"/>
          <w:b w:val="0"/>
          <w:bCs w:val="0"/>
          <w:szCs w:val="20"/>
        </w:rPr>
        <w:t xml:space="preserve"> </w:t>
      </w:r>
      <w:proofErr w:type="spellStart"/>
      <w:r w:rsidRPr="00E16672">
        <w:rPr>
          <w:rFonts w:ascii="Times New Roman" w:hAnsi="Times New Roman"/>
          <w:b w:val="0"/>
          <w:bCs w:val="0"/>
          <w:szCs w:val="20"/>
        </w:rPr>
        <w:t>направлення</w:t>
      </w:r>
      <w:proofErr w:type="spellEnd"/>
      <w:r w:rsidRPr="00E16672">
        <w:rPr>
          <w:rFonts w:ascii="Times New Roman" w:hAnsi="Times New Roman"/>
          <w:b w:val="0"/>
          <w:bCs w:val="0"/>
          <w:szCs w:val="20"/>
        </w:rPr>
        <w:t xml:space="preserve"> </w:t>
      </w:r>
      <w:proofErr w:type="spellStart"/>
      <w:r w:rsidRPr="00E16672">
        <w:rPr>
          <w:rFonts w:ascii="Times New Roman" w:hAnsi="Times New Roman"/>
          <w:b w:val="0"/>
          <w:bCs w:val="0"/>
          <w:szCs w:val="20"/>
        </w:rPr>
        <w:t>відповідним</w:t>
      </w:r>
      <w:proofErr w:type="spellEnd"/>
      <w:r w:rsidRPr="00E16672">
        <w:rPr>
          <w:rFonts w:ascii="Times New Roman" w:hAnsi="Times New Roman"/>
          <w:b w:val="0"/>
          <w:bCs w:val="0"/>
          <w:szCs w:val="20"/>
        </w:rPr>
        <w:t xml:space="preserve"> </w:t>
      </w:r>
      <w:proofErr w:type="spellStart"/>
      <w:r w:rsidRPr="00E16672">
        <w:rPr>
          <w:rFonts w:ascii="Times New Roman" w:hAnsi="Times New Roman"/>
          <w:b w:val="0"/>
          <w:bCs w:val="0"/>
          <w:szCs w:val="20"/>
        </w:rPr>
        <w:t>акціонерним</w:t>
      </w:r>
      <w:proofErr w:type="spellEnd"/>
      <w:r w:rsidRPr="00E16672">
        <w:rPr>
          <w:rFonts w:ascii="Times New Roman" w:hAnsi="Times New Roman"/>
          <w:b w:val="0"/>
          <w:bCs w:val="0"/>
          <w:szCs w:val="20"/>
        </w:rPr>
        <w:t xml:space="preserve"> </w:t>
      </w:r>
      <w:proofErr w:type="spellStart"/>
      <w:r w:rsidRPr="00E16672">
        <w:rPr>
          <w:rFonts w:ascii="Times New Roman" w:hAnsi="Times New Roman"/>
          <w:b w:val="0"/>
          <w:bCs w:val="0"/>
          <w:szCs w:val="20"/>
        </w:rPr>
        <w:t>товариством</w:t>
      </w:r>
      <w:proofErr w:type="spellEnd"/>
      <w:r w:rsidRPr="00E16672">
        <w:rPr>
          <w:rFonts w:ascii="Times New Roman" w:hAnsi="Times New Roman"/>
          <w:b w:val="0"/>
          <w:bCs w:val="0"/>
          <w:szCs w:val="20"/>
        </w:rPr>
        <w:t xml:space="preserve"> </w:t>
      </w:r>
      <w:proofErr w:type="spellStart"/>
      <w:r w:rsidRPr="00E16672">
        <w:rPr>
          <w:rFonts w:ascii="Times New Roman" w:hAnsi="Times New Roman"/>
          <w:b w:val="0"/>
          <w:bCs w:val="0"/>
          <w:szCs w:val="20"/>
        </w:rPr>
        <w:t>повідомлення</w:t>
      </w:r>
      <w:proofErr w:type="spellEnd"/>
      <w:r w:rsidRPr="00E16672">
        <w:rPr>
          <w:rFonts w:ascii="Times New Roman" w:hAnsi="Times New Roman"/>
          <w:b w:val="0"/>
          <w:bCs w:val="0"/>
          <w:szCs w:val="20"/>
        </w:rPr>
        <w:t xml:space="preserve"> </w:t>
      </w:r>
      <w:proofErr w:type="spellStart"/>
      <w:r w:rsidRPr="00E16672">
        <w:rPr>
          <w:rFonts w:ascii="Times New Roman" w:hAnsi="Times New Roman"/>
          <w:b w:val="0"/>
          <w:bCs w:val="0"/>
          <w:szCs w:val="20"/>
        </w:rPr>
        <w:t>акціонерам</w:t>
      </w:r>
      <w:proofErr w:type="spellEnd"/>
      <w:r w:rsidRPr="00E16672">
        <w:rPr>
          <w:rFonts w:ascii="Times New Roman" w:hAnsi="Times New Roman"/>
          <w:b w:val="0"/>
          <w:bCs w:val="0"/>
          <w:szCs w:val="20"/>
        </w:rPr>
        <w:t xml:space="preserve"> через </w:t>
      </w:r>
      <w:proofErr w:type="spellStart"/>
      <w:r w:rsidRPr="00E16672">
        <w:rPr>
          <w:rFonts w:ascii="Times New Roman" w:hAnsi="Times New Roman"/>
          <w:b w:val="0"/>
          <w:bCs w:val="0"/>
          <w:szCs w:val="20"/>
        </w:rPr>
        <w:t>депозитарну</w:t>
      </w:r>
      <w:proofErr w:type="spellEnd"/>
      <w:r w:rsidRPr="00E16672">
        <w:rPr>
          <w:rFonts w:ascii="Times New Roman" w:hAnsi="Times New Roman"/>
          <w:b w:val="0"/>
          <w:bCs w:val="0"/>
          <w:szCs w:val="20"/>
        </w:rPr>
        <w:t xml:space="preserve"> систему </w:t>
      </w:r>
      <w:proofErr w:type="spellStart"/>
      <w:r w:rsidRPr="00E16672">
        <w:rPr>
          <w:rFonts w:ascii="Times New Roman" w:hAnsi="Times New Roman"/>
          <w:b w:val="0"/>
          <w:bCs w:val="0"/>
          <w:szCs w:val="20"/>
        </w:rPr>
        <w:t>України</w:t>
      </w:r>
      <w:proofErr w:type="spellEnd"/>
      <w:r w:rsidRPr="00E16672">
        <w:rPr>
          <w:rFonts w:ascii="Times New Roman" w:hAnsi="Times New Roman"/>
          <w:b w:val="0"/>
          <w:bCs w:val="0"/>
          <w:szCs w:val="20"/>
        </w:rPr>
        <w:t xml:space="preserve"> </w:t>
      </w:r>
      <w:proofErr w:type="spellStart"/>
      <w:r w:rsidRPr="00E16672">
        <w:rPr>
          <w:rFonts w:ascii="Times New Roman" w:hAnsi="Times New Roman"/>
          <w:b w:val="0"/>
          <w:bCs w:val="0"/>
          <w:szCs w:val="20"/>
        </w:rPr>
        <w:t>відповідно</w:t>
      </w:r>
      <w:proofErr w:type="spellEnd"/>
      <w:r w:rsidRPr="00E16672">
        <w:rPr>
          <w:rFonts w:ascii="Times New Roman" w:hAnsi="Times New Roman"/>
          <w:b w:val="0"/>
          <w:bCs w:val="0"/>
          <w:szCs w:val="20"/>
        </w:rPr>
        <w:t xml:space="preserve"> до </w:t>
      </w:r>
      <w:hyperlink r:id="rId31" w:anchor="n3" w:tgtFrame="_blank" w:history="1">
        <w:r w:rsidRPr="00E16672">
          <w:rPr>
            <w:rFonts w:ascii="Times New Roman" w:hAnsi="Times New Roman"/>
            <w:b w:val="0"/>
            <w:bCs w:val="0"/>
            <w:szCs w:val="20"/>
          </w:rPr>
          <w:t xml:space="preserve">Закону </w:t>
        </w:r>
        <w:proofErr w:type="spellStart"/>
        <w:r w:rsidRPr="00E16672">
          <w:rPr>
            <w:rFonts w:ascii="Times New Roman" w:hAnsi="Times New Roman"/>
            <w:b w:val="0"/>
            <w:bCs w:val="0"/>
            <w:szCs w:val="20"/>
          </w:rPr>
          <w:t>України</w:t>
        </w:r>
        <w:proofErr w:type="spellEnd"/>
      </w:hyperlink>
      <w:r w:rsidRPr="00E16672">
        <w:rPr>
          <w:rFonts w:ascii="Times New Roman" w:hAnsi="Times New Roman"/>
          <w:b w:val="0"/>
          <w:bCs w:val="0"/>
          <w:szCs w:val="20"/>
        </w:rPr>
        <w:t> </w:t>
      </w:r>
      <w:r w:rsidR="00022F5F">
        <w:rPr>
          <w:rFonts w:ascii="Times New Roman" w:hAnsi="Times New Roman"/>
          <w:b w:val="0"/>
          <w:bCs w:val="0"/>
          <w:szCs w:val="20"/>
        </w:rPr>
        <w:t>"</w:t>
      </w:r>
      <w:r w:rsidRPr="00E16672">
        <w:rPr>
          <w:rFonts w:ascii="Times New Roman" w:hAnsi="Times New Roman"/>
          <w:b w:val="0"/>
          <w:bCs w:val="0"/>
          <w:szCs w:val="20"/>
        </w:rPr>
        <w:t xml:space="preserve">Про </w:t>
      </w:r>
      <w:proofErr w:type="spellStart"/>
      <w:r w:rsidRPr="00E16672">
        <w:rPr>
          <w:rFonts w:ascii="Times New Roman" w:hAnsi="Times New Roman"/>
          <w:b w:val="0"/>
          <w:bCs w:val="0"/>
          <w:szCs w:val="20"/>
        </w:rPr>
        <w:t>акціонерні</w:t>
      </w:r>
      <w:proofErr w:type="spellEnd"/>
      <w:r w:rsidRPr="00E16672">
        <w:rPr>
          <w:rFonts w:ascii="Times New Roman" w:hAnsi="Times New Roman"/>
          <w:b w:val="0"/>
          <w:bCs w:val="0"/>
          <w:szCs w:val="20"/>
        </w:rPr>
        <w:t xml:space="preserve"> </w:t>
      </w:r>
      <w:proofErr w:type="spellStart"/>
      <w:r w:rsidRPr="00E16672">
        <w:rPr>
          <w:rFonts w:ascii="Times New Roman" w:hAnsi="Times New Roman"/>
          <w:b w:val="0"/>
          <w:bCs w:val="0"/>
          <w:szCs w:val="20"/>
        </w:rPr>
        <w:t>товариства</w:t>
      </w:r>
      <w:proofErr w:type="spellEnd"/>
      <w:r w:rsidR="00022F5F">
        <w:rPr>
          <w:rFonts w:ascii="Times New Roman" w:hAnsi="Times New Roman"/>
          <w:b w:val="0"/>
          <w:bCs w:val="0"/>
          <w:szCs w:val="20"/>
        </w:rPr>
        <w:t>"</w:t>
      </w:r>
      <w:r w:rsidRPr="00E16672">
        <w:rPr>
          <w:rFonts w:ascii="Times New Roman" w:hAnsi="Times New Roman"/>
          <w:b w:val="0"/>
          <w:bCs w:val="0"/>
          <w:szCs w:val="20"/>
        </w:rPr>
        <w:t>.</w:t>
      </w:r>
    </w:p>
    <w:p w14:paraId="13AC187F" w14:textId="77777777" w:rsidR="007974E8" w:rsidRPr="00E16672" w:rsidRDefault="007974E8" w:rsidP="007974E8">
      <w:pPr>
        <w:pStyle w:val="af"/>
        <w:rPr>
          <w:rFonts w:ascii="Times New Roman" w:hAnsi="Times New Roman" w:cs="Times New Roman"/>
          <w:color w:val="000000"/>
        </w:rPr>
      </w:pPr>
      <w:r w:rsidRPr="00E16672">
        <w:rPr>
          <w:rFonts w:ascii="Times New Roman" w:hAnsi="Times New Roman" w:cs="Times New Roman"/>
          <w:color w:val="000000"/>
        </w:rPr>
        <w:t>2.1.1</w:t>
      </w:r>
      <w:r w:rsidR="000057AA" w:rsidRPr="00E16672">
        <w:rPr>
          <w:rFonts w:ascii="Times New Roman" w:hAnsi="Times New Roman" w:cs="Times New Roman"/>
          <w:color w:val="000000"/>
        </w:rPr>
        <w:t>8</w:t>
      </w:r>
      <w:r w:rsidRPr="00E16672">
        <w:rPr>
          <w:rFonts w:ascii="Times New Roman" w:hAnsi="Times New Roman" w:cs="Times New Roman"/>
          <w:color w:val="000000"/>
        </w:rPr>
        <w:t xml:space="preserve">. Ідентифікувати та </w:t>
      </w:r>
      <w:proofErr w:type="spellStart"/>
      <w:r w:rsidRPr="00E16672">
        <w:rPr>
          <w:rFonts w:ascii="Times New Roman" w:hAnsi="Times New Roman" w:cs="Times New Roman"/>
          <w:color w:val="000000"/>
        </w:rPr>
        <w:t>верифікувати</w:t>
      </w:r>
      <w:proofErr w:type="spellEnd"/>
      <w:r w:rsidRPr="00E16672">
        <w:rPr>
          <w:rFonts w:ascii="Times New Roman" w:hAnsi="Times New Roman" w:cs="Times New Roman"/>
          <w:color w:val="000000"/>
        </w:rPr>
        <w:t xml:space="preserve"> осіб, що мають повноваження діяти від імені Депонента</w:t>
      </w:r>
      <w:r w:rsidRPr="00E16672">
        <w:rPr>
          <w:rFonts w:ascii="Times New Roman" w:hAnsi="Times New Roman" w:cs="Times New Roman"/>
          <w:color w:val="000000"/>
          <w:lang w:val="ru-RU"/>
        </w:rPr>
        <w:t>,</w:t>
      </w:r>
      <w:r w:rsidRPr="00E16672">
        <w:rPr>
          <w:rFonts w:ascii="Times New Roman" w:hAnsi="Times New Roman" w:cs="Times New Roman"/>
          <w:color w:val="000000"/>
        </w:rPr>
        <w:t xml:space="preserve"> Керуючого рахунком у порядку встановленому законодавством України.</w:t>
      </w:r>
    </w:p>
    <w:p w14:paraId="4C34848C" w14:textId="77777777" w:rsidR="007974E8" w:rsidRPr="00E16672" w:rsidRDefault="007974E8" w:rsidP="007974E8">
      <w:pPr>
        <w:tabs>
          <w:tab w:val="left" w:pos="360"/>
        </w:tabs>
        <w:ind w:left="-14" w:firstLine="581"/>
        <w:rPr>
          <w:rStyle w:val="rvts0"/>
          <w:rFonts w:ascii="Times New Roman" w:hAnsi="Times New Roman"/>
          <w:color w:val="000000"/>
          <w:szCs w:val="20"/>
          <w:lang w:val="uk-UA"/>
        </w:rPr>
      </w:pPr>
      <w:r w:rsidRPr="00E16672">
        <w:rPr>
          <w:rStyle w:val="rvts0"/>
          <w:rFonts w:ascii="Times New Roman" w:hAnsi="Times New Roman"/>
          <w:color w:val="000000"/>
          <w:szCs w:val="20"/>
          <w:lang w:val="uk-UA"/>
        </w:rPr>
        <w:t xml:space="preserve">Ідентифікація Депонента не є обов’язковою у разі проведення фінансової операції, якщо Депонент раніше був ідентифікований або </w:t>
      </w:r>
      <w:proofErr w:type="spellStart"/>
      <w:r w:rsidRPr="00E16672">
        <w:rPr>
          <w:rStyle w:val="rvts0"/>
          <w:rFonts w:ascii="Times New Roman" w:hAnsi="Times New Roman"/>
          <w:color w:val="000000"/>
          <w:szCs w:val="20"/>
          <w:lang w:val="uk-UA"/>
        </w:rPr>
        <w:t>верифікований</w:t>
      </w:r>
      <w:proofErr w:type="spellEnd"/>
      <w:r w:rsidRPr="00E16672">
        <w:rPr>
          <w:rStyle w:val="rvts0"/>
          <w:rFonts w:ascii="Times New Roman" w:hAnsi="Times New Roman"/>
          <w:color w:val="000000"/>
          <w:szCs w:val="20"/>
          <w:lang w:val="uk-UA"/>
        </w:rPr>
        <w:t xml:space="preserve"> депозитарною установою згідно з вимогами закону.</w:t>
      </w:r>
    </w:p>
    <w:p w14:paraId="15CDC27B" w14:textId="77777777" w:rsidR="007974E8" w:rsidRPr="00E16672" w:rsidRDefault="007974E8" w:rsidP="007974E8">
      <w:pPr>
        <w:pStyle w:val="af"/>
        <w:rPr>
          <w:rFonts w:ascii="Times New Roman" w:hAnsi="Times New Roman" w:cs="Times New Roman"/>
          <w:color w:val="000000"/>
        </w:rPr>
      </w:pPr>
      <w:r w:rsidRPr="00E16672">
        <w:rPr>
          <w:rFonts w:ascii="Times New Roman" w:hAnsi="Times New Roman" w:cs="Times New Roman"/>
          <w:color w:val="000000"/>
        </w:rPr>
        <w:t>2.1.</w:t>
      </w:r>
      <w:r w:rsidR="000057AA" w:rsidRPr="00E16672">
        <w:rPr>
          <w:rFonts w:ascii="Times New Roman" w:hAnsi="Times New Roman" w:cs="Times New Roman"/>
          <w:color w:val="000000"/>
        </w:rPr>
        <w:t>19</w:t>
      </w:r>
      <w:r w:rsidRPr="00E16672">
        <w:rPr>
          <w:rFonts w:ascii="Times New Roman" w:hAnsi="Times New Roman" w:cs="Times New Roman"/>
          <w:color w:val="000000"/>
        </w:rPr>
        <w:t xml:space="preserve">. Складати акт приймання-передавання документів, що були підставою для встановлення обмежень цінних паперів в обігу по рахунку </w:t>
      </w:r>
      <w:r w:rsidR="00C22309" w:rsidRPr="00E16672">
        <w:rPr>
          <w:rFonts w:ascii="Times New Roman" w:hAnsi="Times New Roman" w:cs="Times New Roman"/>
          <w:color w:val="000000"/>
        </w:rPr>
        <w:t>в цін</w:t>
      </w:r>
      <w:r w:rsidRPr="00E16672">
        <w:rPr>
          <w:rFonts w:ascii="Times New Roman" w:hAnsi="Times New Roman" w:cs="Times New Roman"/>
          <w:color w:val="000000"/>
        </w:rPr>
        <w:t>них паперах Депонента, з якого підлягають списанню права на цінні папери, що обмежені в обігу.</w:t>
      </w:r>
    </w:p>
    <w:p w14:paraId="11AAB770" w14:textId="77777777" w:rsidR="007974E8" w:rsidRPr="00E16672" w:rsidRDefault="007974E8" w:rsidP="00022F5F">
      <w:pPr>
        <w:pStyle w:val="af"/>
        <w:jc w:val="left"/>
        <w:rPr>
          <w:rFonts w:ascii="Times New Roman" w:hAnsi="Times New Roman" w:cs="Times New Roman"/>
          <w:color w:val="000000"/>
        </w:rPr>
      </w:pPr>
      <w:r w:rsidRPr="00E16672">
        <w:rPr>
          <w:rFonts w:ascii="Times New Roman" w:hAnsi="Times New Roman" w:cs="Times New Roman"/>
          <w:color w:val="000000"/>
        </w:rPr>
        <w:lastRenderedPageBreak/>
        <w:t>2.1.2</w:t>
      </w:r>
      <w:r w:rsidR="000057AA" w:rsidRPr="00E16672">
        <w:rPr>
          <w:rFonts w:ascii="Times New Roman" w:hAnsi="Times New Roman" w:cs="Times New Roman"/>
          <w:color w:val="000000"/>
        </w:rPr>
        <w:t>0</w:t>
      </w:r>
      <w:r w:rsidRPr="00E16672">
        <w:rPr>
          <w:rFonts w:ascii="Times New Roman" w:hAnsi="Times New Roman" w:cs="Times New Roman"/>
          <w:color w:val="000000"/>
        </w:rPr>
        <w:t xml:space="preserve">. </w:t>
      </w:r>
      <w:r w:rsidR="00181F4C" w:rsidRPr="00E16672">
        <w:rPr>
          <w:rFonts w:ascii="Times New Roman" w:hAnsi="Times New Roman" w:cs="Times New Roman"/>
          <w:color w:val="000000"/>
        </w:rPr>
        <w:t xml:space="preserve">Розкривати депоненту інформацію про умови та порядок діяльності депозитарної установи з урахуванням вимог, встановлених частиною першою статті 12 Закону України </w:t>
      </w:r>
      <w:r w:rsidR="00022F5F">
        <w:rPr>
          <w:rFonts w:ascii="Times New Roman" w:hAnsi="Times New Roman" w:cs="Times New Roman"/>
          <w:color w:val="000000"/>
        </w:rPr>
        <w:t>"</w:t>
      </w:r>
      <w:r w:rsidR="00181F4C" w:rsidRPr="00E16672">
        <w:rPr>
          <w:rFonts w:ascii="Times New Roman" w:hAnsi="Times New Roman" w:cs="Times New Roman"/>
          <w:color w:val="000000"/>
        </w:rPr>
        <w:t>Про фінансові послуги та державне регулювання ринків фінансових послуг</w:t>
      </w:r>
      <w:r w:rsidR="00022F5F">
        <w:rPr>
          <w:rFonts w:ascii="Times New Roman" w:hAnsi="Times New Roman" w:cs="Times New Roman"/>
          <w:color w:val="000000"/>
        </w:rPr>
        <w:t>"</w:t>
      </w:r>
      <w:r w:rsidR="00181F4C" w:rsidRPr="00E16672">
        <w:rPr>
          <w:rFonts w:ascii="Times New Roman" w:hAnsi="Times New Roman" w:cs="Times New Roman"/>
          <w:color w:val="000000"/>
        </w:rPr>
        <w:t>.</w:t>
      </w:r>
    </w:p>
    <w:p w14:paraId="5D4BF37E" w14:textId="77777777" w:rsidR="007974E8" w:rsidRPr="00E16672" w:rsidRDefault="007974E8" w:rsidP="007974E8">
      <w:pPr>
        <w:tabs>
          <w:tab w:val="left" w:pos="851"/>
          <w:tab w:val="left" w:pos="7200"/>
        </w:tabs>
        <w:ind w:firstLine="539"/>
        <w:rPr>
          <w:rFonts w:ascii="Times New Roman" w:hAnsi="Times New Roman"/>
          <w:color w:val="000000"/>
          <w:szCs w:val="20"/>
        </w:rPr>
      </w:pPr>
      <w:r w:rsidRPr="00E16672">
        <w:rPr>
          <w:rFonts w:ascii="Times New Roman" w:hAnsi="Times New Roman"/>
          <w:color w:val="000000"/>
          <w:szCs w:val="20"/>
        </w:rPr>
        <w:t>2.1.2</w:t>
      </w:r>
      <w:r w:rsidR="000057AA" w:rsidRPr="00E16672">
        <w:rPr>
          <w:rFonts w:ascii="Times New Roman" w:hAnsi="Times New Roman"/>
          <w:color w:val="000000"/>
          <w:szCs w:val="20"/>
          <w:lang w:val="uk-UA"/>
        </w:rPr>
        <w:t>1</w:t>
      </w:r>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Отримавши</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від</w:t>
      </w:r>
      <w:proofErr w:type="spellEnd"/>
      <w:r w:rsidRPr="00E16672">
        <w:rPr>
          <w:rFonts w:ascii="Times New Roman" w:hAnsi="Times New Roman"/>
          <w:color w:val="000000"/>
          <w:szCs w:val="20"/>
        </w:rPr>
        <w:t xml:space="preserve"> Центрального </w:t>
      </w:r>
      <w:proofErr w:type="spellStart"/>
      <w:r w:rsidRPr="00E16672">
        <w:rPr>
          <w:rFonts w:ascii="Times New Roman" w:hAnsi="Times New Roman"/>
          <w:color w:val="000000"/>
          <w:szCs w:val="20"/>
        </w:rPr>
        <w:t>депозитарію</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повідомлення</w:t>
      </w:r>
      <w:proofErr w:type="spellEnd"/>
      <w:r w:rsidRPr="00E16672">
        <w:rPr>
          <w:rFonts w:ascii="Times New Roman" w:hAnsi="Times New Roman"/>
          <w:color w:val="000000"/>
          <w:szCs w:val="20"/>
        </w:rPr>
        <w:t xml:space="preserve"> про </w:t>
      </w:r>
      <w:proofErr w:type="spellStart"/>
      <w:r w:rsidRPr="00E16672">
        <w:rPr>
          <w:rFonts w:ascii="Times New Roman" w:hAnsi="Times New Roman"/>
          <w:color w:val="000000"/>
          <w:szCs w:val="20"/>
        </w:rPr>
        <w:t>завершення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процедури</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переведення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іменних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цінних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паперів</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певного</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випуску</w:t>
      </w:r>
      <w:proofErr w:type="spellEnd"/>
      <w:r w:rsidRPr="00E16672">
        <w:rPr>
          <w:rFonts w:ascii="Times New Roman" w:hAnsi="Times New Roman"/>
          <w:color w:val="000000"/>
          <w:szCs w:val="20"/>
        </w:rPr>
        <w:t xml:space="preserve"> у </w:t>
      </w:r>
      <w:proofErr w:type="spellStart"/>
      <w:r w:rsidRPr="00E16672">
        <w:rPr>
          <w:rFonts w:ascii="Times New Roman" w:hAnsi="Times New Roman"/>
          <w:color w:val="000000"/>
          <w:szCs w:val="20"/>
        </w:rPr>
        <w:t>бездокументарну</w:t>
      </w:r>
      <w:proofErr w:type="spellEnd"/>
      <w:r w:rsidRPr="00E16672">
        <w:rPr>
          <w:rFonts w:ascii="Times New Roman" w:hAnsi="Times New Roman"/>
          <w:color w:val="000000"/>
          <w:szCs w:val="20"/>
        </w:rPr>
        <w:t xml:space="preserve"> форму </w:t>
      </w:r>
      <w:proofErr w:type="spellStart"/>
      <w:r w:rsidRPr="00E16672">
        <w:rPr>
          <w:rFonts w:ascii="Times New Roman" w:hAnsi="Times New Roman"/>
          <w:color w:val="000000"/>
          <w:szCs w:val="20"/>
        </w:rPr>
        <w:t>існування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протягом</w:t>
      </w:r>
      <w:proofErr w:type="spellEnd"/>
      <w:r w:rsidRPr="00E16672">
        <w:rPr>
          <w:rFonts w:ascii="Times New Roman" w:hAnsi="Times New Roman"/>
          <w:color w:val="000000"/>
          <w:szCs w:val="20"/>
        </w:rPr>
        <w:t xml:space="preserve"> </w:t>
      </w:r>
      <w:proofErr w:type="spellStart"/>
      <w:r w:rsidRPr="00E16672">
        <w:rPr>
          <w:rFonts w:ascii="Times New Roman" w:hAnsi="Times New Roman"/>
          <w:i/>
          <w:color w:val="000000"/>
          <w:szCs w:val="20"/>
        </w:rPr>
        <w:t>трьох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днів</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повідомити</w:t>
      </w:r>
      <w:proofErr w:type="spellEnd"/>
      <w:r w:rsidRPr="00E16672">
        <w:rPr>
          <w:rFonts w:ascii="Times New Roman" w:hAnsi="Times New Roman"/>
          <w:color w:val="000000"/>
          <w:szCs w:val="20"/>
        </w:rPr>
        <w:t xml:space="preserve"> про </w:t>
      </w:r>
      <w:proofErr w:type="spellStart"/>
      <w:r w:rsidRPr="00E16672">
        <w:rPr>
          <w:rFonts w:ascii="Times New Roman" w:hAnsi="Times New Roman"/>
          <w:color w:val="000000"/>
          <w:szCs w:val="20"/>
        </w:rPr>
        <w:t>її</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завершення</w:t>
      </w:r>
      <w:proofErr w:type="spellEnd"/>
      <w:r w:rsidRPr="00E16672">
        <w:rPr>
          <w:rFonts w:ascii="Times New Roman" w:hAnsi="Times New Roman"/>
          <w:color w:val="000000"/>
          <w:szCs w:val="20"/>
        </w:rPr>
        <w:t xml:space="preserve"> Депонента, </w:t>
      </w:r>
      <w:proofErr w:type="spellStart"/>
      <w:r w:rsidRPr="00E16672">
        <w:rPr>
          <w:rFonts w:ascii="Times New Roman" w:hAnsi="Times New Roman"/>
          <w:color w:val="000000"/>
          <w:szCs w:val="20"/>
        </w:rPr>
        <w:t>якщо</w:t>
      </w:r>
      <w:proofErr w:type="spellEnd"/>
      <w:r w:rsidRPr="00E16672">
        <w:rPr>
          <w:rFonts w:ascii="Times New Roman" w:hAnsi="Times New Roman"/>
          <w:color w:val="000000"/>
          <w:szCs w:val="20"/>
        </w:rPr>
        <w:t xml:space="preserve"> на </w:t>
      </w:r>
      <w:proofErr w:type="spellStart"/>
      <w:r w:rsidRPr="00E16672">
        <w:rPr>
          <w:rFonts w:ascii="Times New Roman" w:hAnsi="Times New Roman"/>
          <w:color w:val="000000"/>
          <w:szCs w:val="20"/>
        </w:rPr>
        <w:t>його</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рахунку</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обліковуються</w:t>
      </w:r>
      <w:proofErr w:type="spellEnd"/>
      <w:r w:rsidRPr="00E16672">
        <w:rPr>
          <w:rFonts w:ascii="Times New Roman" w:hAnsi="Times New Roman"/>
          <w:color w:val="000000"/>
          <w:szCs w:val="20"/>
        </w:rPr>
        <w:t xml:space="preserve"> права на </w:t>
      </w:r>
      <w:proofErr w:type="spellStart"/>
      <w:r w:rsidRPr="00E16672">
        <w:rPr>
          <w:rFonts w:ascii="Times New Roman" w:hAnsi="Times New Roman"/>
          <w:color w:val="000000"/>
          <w:szCs w:val="20"/>
        </w:rPr>
        <w:t>цінні</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папери</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цього</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випуску</w:t>
      </w:r>
      <w:proofErr w:type="spellEnd"/>
      <w:r w:rsidRPr="00E16672">
        <w:rPr>
          <w:rFonts w:ascii="Times New Roman" w:hAnsi="Times New Roman"/>
          <w:color w:val="000000"/>
          <w:szCs w:val="20"/>
        </w:rPr>
        <w:t xml:space="preserve">, шляхом </w:t>
      </w:r>
      <w:proofErr w:type="spellStart"/>
      <w:r w:rsidRPr="00E16672">
        <w:rPr>
          <w:rFonts w:ascii="Times New Roman" w:hAnsi="Times New Roman"/>
          <w:color w:val="000000"/>
          <w:szCs w:val="20"/>
        </w:rPr>
        <w:t>направлення</w:t>
      </w:r>
      <w:proofErr w:type="spellEnd"/>
      <w:r w:rsidRPr="00E16672">
        <w:rPr>
          <w:rFonts w:ascii="Times New Roman" w:hAnsi="Times New Roman"/>
          <w:color w:val="000000"/>
          <w:szCs w:val="20"/>
        </w:rPr>
        <w:t xml:space="preserve"> на </w:t>
      </w:r>
      <w:proofErr w:type="spellStart"/>
      <w:r w:rsidRPr="00E16672">
        <w:rPr>
          <w:rFonts w:ascii="Times New Roman" w:hAnsi="Times New Roman"/>
          <w:color w:val="000000"/>
          <w:szCs w:val="20"/>
        </w:rPr>
        <w:t>електронну</w:t>
      </w:r>
      <w:proofErr w:type="spellEnd"/>
      <w:r w:rsidRPr="00E16672">
        <w:rPr>
          <w:rFonts w:ascii="Times New Roman" w:hAnsi="Times New Roman"/>
          <w:color w:val="000000"/>
          <w:szCs w:val="20"/>
        </w:rPr>
        <w:t xml:space="preserve"> адресу Депонента (</w:t>
      </w:r>
      <w:proofErr w:type="spellStart"/>
      <w:r w:rsidRPr="00E16672">
        <w:rPr>
          <w:rFonts w:ascii="Times New Roman" w:hAnsi="Times New Roman"/>
          <w:color w:val="000000"/>
          <w:szCs w:val="20"/>
        </w:rPr>
        <w:t>Керуючого</w:t>
      </w:r>
      <w:proofErr w:type="spellEnd"/>
      <w:r w:rsidRPr="00E16672">
        <w:rPr>
          <w:rFonts w:ascii="Times New Roman" w:hAnsi="Times New Roman"/>
          <w:color w:val="000000"/>
          <w:szCs w:val="20"/>
          <w:lang w:val="uk-UA"/>
        </w:rPr>
        <w:t xml:space="preserve"> </w:t>
      </w:r>
      <w:proofErr w:type="spellStart"/>
      <w:r w:rsidRPr="00E16672">
        <w:rPr>
          <w:rFonts w:ascii="Times New Roman" w:hAnsi="Times New Roman"/>
          <w:color w:val="000000"/>
          <w:szCs w:val="20"/>
        </w:rPr>
        <w:t>рахунком</w:t>
      </w:r>
      <w:proofErr w:type="spellEnd"/>
      <w:r w:rsidRPr="00E16672">
        <w:rPr>
          <w:rFonts w:ascii="Times New Roman" w:hAnsi="Times New Roman"/>
          <w:color w:val="000000"/>
          <w:szCs w:val="20"/>
          <w:lang w:val="uk-UA"/>
        </w:rPr>
        <w:t>)</w:t>
      </w:r>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відповідного</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повідомлення</w:t>
      </w:r>
      <w:proofErr w:type="spellEnd"/>
      <w:r w:rsidRPr="00E16672">
        <w:rPr>
          <w:rFonts w:ascii="Times New Roman" w:hAnsi="Times New Roman"/>
          <w:color w:val="000000"/>
          <w:szCs w:val="20"/>
        </w:rPr>
        <w:t>.</w:t>
      </w:r>
    </w:p>
    <w:p w14:paraId="45C8FE44" w14:textId="77777777" w:rsidR="007974E8" w:rsidRPr="00E16672" w:rsidRDefault="007974E8" w:rsidP="007974E8">
      <w:pPr>
        <w:pStyle w:val="af"/>
        <w:rPr>
          <w:rFonts w:ascii="Times New Roman" w:hAnsi="Times New Roman" w:cs="Times New Roman"/>
          <w:color w:val="0000FF"/>
        </w:rPr>
      </w:pPr>
    </w:p>
    <w:p w14:paraId="4ACF5A35" w14:textId="77777777" w:rsidR="007974E8" w:rsidRPr="00E16672" w:rsidRDefault="007974E8" w:rsidP="007974E8">
      <w:pPr>
        <w:tabs>
          <w:tab w:val="left" w:pos="709"/>
        </w:tabs>
        <w:rPr>
          <w:rFonts w:ascii="Times New Roman" w:hAnsi="Times New Roman"/>
          <w:b/>
          <w:color w:val="000000"/>
          <w:szCs w:val="20"/>
          <w:lang w:val="uk-UA"/>
        </w:rPr>
      </w:pPr>
      <w:r w:rsidRPr="00E16672">
        <w:rPr>
          <w:rFonts w:ascii="Times New Roman" w:hAnsi="Times New Roman"/>
          <w:b/>
          <w:color w:val="000000"/>
          <w:szCs w:val="20"/>
          <w:lang w:val="uk-UA"/>
        </w:rPr>
        <w:t>2.2. Депозитарна установа має право:</w:t>
      </w:r>
    </w:p>
    <w:p w14:paraId="0FC4857D" w14:textId="77777777" w:rsidR="007974E8" w:rsidRPr="00E16672" w:rsidRDefault="007974E8" w:rsidP="007974E8">
      <w:pPr>
        <w:tabs>
          <w:tab w:val="left" w:pos="709"/>
        </w:tabs>
        <w:rPr>
          <w:rFonts w:ascii="Times New Roman" w:hAnsi="Times New Roman"/>
          <w:color w:val="000000"/>
          <w:szCs w:val="20"/>
          <w:lang w:val="uk-UA"/>
        </w:rPr>
      </w:pPr>
      <w:r w:rsidRPr="00E16672">
        <w:rPr>
          <w:rFonts w:ascii="Times New Roman" w:hAnsi="Times New Roman"/>
          <w:color w:val="000000"/>
          <w:szCs w:val="20"/>
          <w:lang w:val="uk-UA"/>
        </w:rPr>
        <w:t xml:space="preserve">2.2.1. Вимагати від Депонента повної та своєчасної оплати своїх послуг згідно умов цього Договору та тарифів Депозитарної установи на депозитарні послуги (далі - тарифи Депозитарної установи) та призупинити </w:t>
      </w:r>
      <w:proofErr w:type="spellStart"/>
      <w:r w:rsidRPr="00E16672">
        <w:rPr>
          <w:rFonts w:ascii="Times New Roman" w:hAnsi="Times New Roman"/>
          <w:color w:val="000000"/>
          <w:szCs w:val="20"/>
        </w:rPr>
        <w:t>виконання</w:t>
      </w:r>
      <w:proofErr w:type="spellEnd"/>
      <w:r w:rsidRPr="00E16672">
        <w:rPr>
          <w:rFonts w:ascii="Times New Roman" w:hAnsi="Times New Roman"/>
          <w:color w:val="000000"/>
          <w:szCs w:val="20"/>
          <w:lang w:val="uk-UA"/>
        </w:rPr>
        <w:t xml:space="preserve"> (надання депозитарних послуг) за розпорядженнями (наказами), іншими вимогами Депонента, </w:t>
      </w:r>
      <w:proofErr w:type="spellStart"/>
      <w:r w:rsidRPr="00E16672">
        <w:rPr>
          <w:rFonts w:ascii="Times New Roman" w:hAnsi="Times New Roman"/>
          <w:color w:val="000000"/>
          <w:szCs w:val="20"/>
          <w:lang w:val="uk-UA"/>
        </w:rPr>
        <w:t>Круючого</w:t>
      </w:r>
      <w:proofErr w:type="spellEnd"/>
      <w:r w:rsidRPr="00E16672">
        <w:rPr>
          <w:rFonts w:ascii="Times New Roman" w:hAnsi="Times New Roman"/>
          <w:color w:val="000000"/>
          <w:szCs w:val="20"/>
          <w:lang w:val="uk-UA"/>
        </w:rPr>
        <w:t xml:space="preserve"> рахунком Депонента у разі відсутності належної оплати з боку Депонента послуг Депозитарної установи. </w:t>
      </w:r>
    </w:p>
    <w:p w14:paraId="0141C4E9" w14:textId="77777777" w:rsidR="007974E8" w:rsidRPr="00E16672" w:rsidRDefault="007974E8" w:rsidP="007974E8">
      <w:pPr>
        <w:tabs>
          <w:tab w:val="left" w:pos="709"/>
        </w:tabs>
        <w:rPr>
          <w:rFonts w:ascii="Times New Roman" w:hAnsi="Times New Roman"/>
          <w:color w:val="000000"/>
          <w:szCs w:val="20"/>
          <w:lang w:val="uk-UA"/>
        </w:rPr>
      </w:pPr>
      <w:r w:rsidRPr="00E16672">
        <w:rPr>
          <w:rFonts w:ascii="Times New Roman" w:hAnsi="Times New Roman"/>
          <w:color w:val="000000"/>
          <w:szCs w:val="20"/>
          <w:lang w:val="uk-UA"/>
        </w:rPr>
        <w:t xml:space="preserve">2.2.2. Вимагати від Депонента, </w:t>
      </w:r>
      <w:proofErr w:type="spellStart"/>
      <w:r w:rsidRPr="00E16672">
        <w:rPr>
          <w:rFonts w:ascii="Times New Roman" w:hAnsi="Times New Roman"/>
          <w:color w:val="000000"/>
          <w:szCs w:val="20"/>
          <w:lang w:val="uk-UA"/>
        </w:rPr>
        <w:t>Круючого</w:t>
      </w:r>
      <w:proofErr w:type="spellEnd"/>
      <w:r w:rsidRPr="00E16672">
        <w:rPr>
          <w:rFonts w:ascii="Times New Roman" w:hAnsi="Times New Roman"/>
          <w:color w:val="000000"/>
          <w:szCs w:val="20"/>
          <w:lang w:val="uk-UA"/>
        </w:rPr>
        <w:t xml:space="preserve"> рахунком Депонента документи, необхідні для виконання своїх обов’язків згідно умов Договору та законодавства.</w:t>
      </w:r>
    </w:p>
    <w:p w14:paraId="532BD079" w14:textId="77777777" w:rsidR="007974E8" w:rsidRPr="00E16672" w:rsidRDefault="007974E8" w:rsidP="007974E8">
      <w:pPr>
        <w:tabs>
          <w:tab w:val="left" w:pos="709"/>
        </w:tabs>
        <w:rPr>
          <w:rFonts w:ascii="Times New Roman" w:hAnsi="Times New Roman"/>
          <w:color w:val="000000"/>
          <w:szCs w:val="20"/>
          <w:lang w:val="uk-UA"/>
        </w:rPr>
      </w:pPr>
      <w:r w:rsidRPr="00E16672">
        <w:rPr>
          <w:rFonts w:ascii="Times New Roman" w:hAnsi="Times New Roman"/>
          <w:color w:val="000000"/>
          <w:szCs w:val="20"/>
          <w:lang w:val="uk-UA"/>
        </w:rPr>
        <w:t xml:space="preserve">2.2.3. Згідно з чинним законодавством України, у випадку необхідності, вимагати від Депонента надання додаткових документів, відомостей та інформації, </w:t>
      </w:r>
      <w:proofErr w:type="spellStart"/>
      <w:r w:rsidRPr="00E16672">
        <w:rPr>
          <w:rFonts w:ascii="Times New Roman" w:hAnsi="Times New Roman"/>
          <w:color w:val="000000"/>
          <w:szCs w:val="20"/>
        </w:rPr>
        <w:t>засвідчених</w:t>
      </w:r>
      <w:proofErr w:type="spellEnd"/>
      <w:r w:rsidRPr="00E16672">
        <w:rPr>
          <w:rFonts w:ascii="Times New Roman" w:hAnsi="Times New Roman"/>
          <w:color w:val="000000"/>
          <w:szCs w:val="20"/>
          <w:lang w:val="uk-UA"/>
        </w:rPr>
        <w:t xml:space="preserve"> та погоджених належним чином.</w:t>
      </w:r>
    </w:p>
    <w:p w14:paraId="52E983C7" w14:textId="77777777" w:rsidR="007974E8" w:rsidRPr="00E16672" w:rsidRDefault="007974E8" w:rsidP="007974E8">
      <w:pPr>
        <w:tabs>
          <w:tab w:val="left" w:pos="709"/>
        </w:tabs>
        <w:rPr>
          <w:rFonts w:ascii="Times New Roman" w:hAnsi="Times New Roman"/>
          <w:color w:val="000000"/>
          <w:szCs w:val="20"/>
        </w:rPr>
      </w:pPr>
      <w:r w:rsidRPr="00E16672">
        <w:rPr>
          <w:rFonts w:ascii="Times New Roman" w:hAnsi="Times New Roman"/>
          <w:color w:val="000000"/>
          <w:szCs w:val="20"/>
        </w:rPr>
        <w:t xml:space="preserve">2.2.4. </w:t>
      </w:r>
      <w:proofErr w:type="spellStart"/>
      <w:r w:rsidRPr="00E16672">
        <w:rPr>
          <w:rFonts w:ascii="Times New Roman" w:hAnsi="Times New Roman"/>
          <w:color w:val="000000"/>
          <w:szCs w:val="20"/>
        </w:rPr>
        <w:t>Надавати</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Керуючому</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рахунком</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додаткові</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інформаційні</w:t>
      </w:r>
      <w:proofErr w:type="spellEnd"/>
      <w:r w:rsidRPr="00E16672">
        <w:rPr>
          <w:rFonts w:ascii="Times New Roman" w:hAnsi="Times New Roman"/>
          <w:color w:val="000000"/>
          <w:szCs w:val="20"/>
        </w:rPr>
        <w:t xml:space="preserve"> та </w:t>
      </w:r>
      <w:proofErr w:type="spellStart"/>
      <w:r w:rsidRPr="00E16672">
        <w:rPr>
          <w:rFonts w:ascii="Times New Roman" w:hAnsi="Times New Roman"/>
          <w:color w:val="000000"/>
          <w:szCs w:val="20"/>
        </w:rPr>
        <w:t>консультаційні</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послуги</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іншу</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інформацію</w:t>
      </w:r>
      <w:proofErr w:type="spellEnd"/>
      <w:r w:rsidRPr="00E16672">
        <w:rPr>
          <w:rFonts w:ascii="Times New Roman" w:hAnsi="Times New Roman"/>
          <w:color w:val="000000"/>
          <w:szCs w:val="20"/>
        </w:rPr>
        <w:t xml:space="preserve">, яка </w:t>
      </w:r>
      <w:proofErr w:type="spellStart"/>
      <w:r w:rsidRPr="00E16672">
        <w:rPr>
          <w:rFonts w:ascii="Times New Roman" w:hAnsi="Times New Roman"/>
          <w:color w:val="000000"/>
          <w:szCs w:val="20"/>
        </w:rPr>
        <w:t>необхідна</w:t>
      </w:r>
      <w:proofErr w:type="spellEnd"/>
      <w:r w:rsidRPr="00E16672">
        <w:rPr>
          <w:rFonts w:ascii="Times New Roman" w:hAnsi="Times New Roman"/>
          <w:color w:val="000000"/>
          <w:szCs w:val="20"/>
        </w:rPr>
        <w:t xml:space="preserve"> </w:t>
      </w:r>
      <w:proofErr w:type="gramStart"/>
      <w:r w:rsidRPr="00E16672">
        <w:rPr>
          <w:rFonts w:ascii="Times New Roman" w:hAnsi="Times New Roman"/>
          <w:color w:val="000000"/>
          <w:szCs w:val="20"/>
        </w:rPr>
        <w:t>Депоненту  для</w:t>
      </w:r>
      <w:proofErr w:type="gram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реалізації</w:t>
      </w:r>
      <w:proofErr w:type="spellEnd"/>
      <w:r w:rsidRPr="00E16672">
        <w:rPr>
          <w:rFonts w:ascii="Times New Roman" w:hAnsi="Times New Roman"/>
          <w:color w:val="000000"/>
          <w:szCs w:val="20"/>
        </w:rPr>
        <w:t xml:space="preserve"> прав за </w:t>
      </w:r>
      <w:proofErr w:type="spellStart"/>
      <w:r w:rsidRPr="00E16672">
        <w:rPr>
          <w:rFonts w:ascii="Times New Roman" w:hAnsi="Times New Roman"/>
          <w:color w:val="000000"/>
          <w:szCs w:val="20"/>
        </w:rPr>
        <w:t>цінними</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паперами</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Надавати</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Керуючому</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рахунком</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виписки</w:t>
      </w:r>
      <w:proofErr w:type="spellEnd"/>
      <w:r w:rsidRPr="00E16672">
        <w:rPr>
          <w:rFonts w:ascii="Times New Roman" w:hAnsi="Times New Roman"/>
          <w:color w:val="000000"/>
          <w:szCs w:val="20"/>
        </w:rPr>
        <w:t xml:space="preserve"> з </w:t>
      </w:r>
      <w:proofErr w:type="spellStart"/>
      <w:r w:rsidRPr="00E16672">
        <w:rPr>
          <w:rFonts w:ascii="Times New Roman" w:hAnsi="Times New Roman"/>
          <w:color w:val="000000"/>
          <w:szCs w:val="20"/>
        </w:rPr>
        <w:t>рахунку</w:t>
      </w:r>
      <w:proofErr w:type="spellEnd"/>
      <w:r w:rsidRPr="00E16672">
        <w:rPr>
          <w:rFonts w:ascii="Times New Roman" w:hAnsi="Times New Roman"/>
          <w:color w:val="000000"/>
          <w:szCs w:val="20"/>
        </w:rPr>
        <w:t xml:space="preserve"> </w:t>
      </w:r>
      <w:r w:rsidR="00C22309" w:rsidRPr="00E16672">
        <w:rPr>
          <w:rFonts w:ascii="Times New Roman" w:hAnsi="Times New Roman"/>
          <w:color w:val="000000"/>
          <w:szCs w:val="20"/>
        </w:rPr>
        <w:t xml:space="preserve">в </w:t>
      </w:r>
      <w:proofErr w:type="spellStart"/>
      <w:r w:rsidR="00C22309" w:rsidRPr="00E16672">
        <w:rPr>
          <w:rFonts w:ascii="Times New Roman" w:hAnsi="Times New Roman"/>
          <w:color w:val="000000"/>
          <w:szCs w:val="20"/>
        </w:rPr>
        <w:t>цін</w:t>
      </w:r>
      <w:r w:rsidRPr="00E16672">
        <w:rPr>
          <w:rFonts w:ascii="Times New Roman" w:hAnsi="Times New Roman"/>
          <w:color w:val="000000"/>
          <w:szCs w:val="20"/>
        </w:rPr>
        <w:t>них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паперах</w:t>
      </w:r>
      <w:proofErr w:type="spellEnd"/>
      <w:r w:rsidRPr="00E16672">
        <w:rPr>
          <w:rFonts w:ascii="Times New Roman" w:hAnsi="Times New Roman"/>
          <w:color w:val="000000"/>
          <w:szCs w:val="20"/>
        </w:rPr>
        <w:t xml:space="preserve"> Депонента, </w:t>
      </w:r>
      <w:proofErr w:type="spellStart"/>
      <w:r w:rsidRPr="00E16672">
        <w:rPr>
          <w:rFonts w:ascii="Times New Roman" w:hAnsi="Times New Roman"/>
          <w:color w:val="000000"/>
          <w:szCs w:val="20"/>
        </w:rPr>
        <w:t>довідки</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або</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інші</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звіти</w:t>
      </w:r>
      <w:proofErr w:type="spellEnd"/>
      <w:r w:rsidRPr="00E16672">
        <w:rPr>
          <w:rFonts w:ascii="Times New Roman" w:hAnsi="Times New Roman"/>
          <w:color w:val="000000"/>
          <w:szCs w:val="20"/>
        </w:rPr>
        <w:t xml:space="preserve"> по </w:t>
      </w:r>
      <w:proofErr w:type="spellStart"/>
      <w:r w:rsidRPr="00E16672">
        <w:rPr>
          <w:rFonts w:ascii="Times New Roman" w:hAnsi="Times New Roman"/>
          <w:color w:val="000000"/>
          <w:szCs w:val="20"/>
        </w:rPr>
        <w:t>виконанню</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операцій</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які</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формуються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програмним</w:t>
      </w:r>
      <w:proofErr w:type="spellEnd"/>
      <w:r w:rsidRPr="00E16672">
        <w:rPr>
          <w:rFonts w:ascii="Times New Roman" w:hAnsi="Times New Roman"/>
          <w:color w:val="000000"/>
          <w:szCs w:val="20"/>
        </w:rPr>
        <w:t xml:space="preserve"> комплексом Центрального </w:t>
      </w:r>
      <w:proofErr w:type="spellStart"/>
      <w:r w:rsidRPr="00E16672">
        <w:rPr>
          <w:rFonts w:ascii="Times New Roman" w:hAnsi="Times New Roman"/>
          <w:color w:val="000000"/>
          <w:szCs w:val="20"/>
        </w:rPr>
        <w:t>Депозитарію</w:t>
      </w:r>
      <w:proofErr w:type="spellEnd"/>
      <w:r w:rsidRPr="00E16672">
        <w:rPr>
          <w:rFonts w:ascii="Times New Roman" w:hAnsi="Times New Roman"/>
          <w:color w:val="000000"/>
          <w:szCs w:val="20"/>
        </w:rPr>
        <w:t>.</w:t>
      </w:r>
    </w:p>
    <w:p w14:paraId="63715C15" w14:textId="77777777" w:rsidR="007974E8" w:rsidRPr="00E16672" w:rsidRDefault="007974E8" w:rsidP="007974E8">
      <w:pPr>
        <w:tabs>
          <w:tab w:val="left" w:pos="709"/>
        </w:tabs>
        <w:rPr>
          <w:rFonts w:ascii="Times New Roman" w:hAnsi="Times New Roman"/>
          <w:color w:val="000000"/>
          <w:szCs w:val="20"/>
        </w:rPr>
      </w:pPr>
      <w:r w:rsidRPr="00E16672">
        <w:rPr>
          <w:rFonts w:ascii="Times New Roman" w:hAnsi="Times New Roman"/>
          <w:color w:val="000000"/>
          <w:szCs w:val="20"/>
        </w:rPr>
        <w:t xml:space="preserve">2.2.5. У </w:t>
      </w:r>
      <w:proofErr w:type="spellStart"/>
      <w:r w:rsidRPr="00E16672">
        <w:rPr>
          <w:rFonts w:ascii="Times New Roman" w:hAnsi="Times New Roman"/>
          <w:color w:val="000000"/>
          <w:szCs w:val="20"/>
        </w:rPr>
        <w:t>випадку</w:t>
      </w:r>
      <w:proofErr w:type="spellEnd"/>
      <w:r w:rsidRPr="00E16672">
        <w:rPr>
          <w:rFonts w:ascii="Times New Roman" w:hAnsi="Times New Roman"/>
          <w:color w:val="000000"/>
          <w:szCs w:val="20"/>
        </w:rPr>
        <w:t xml:space="preserve"> початку Депозитарною </w:t>
      </w:r>
      <w:proofErr w:type="spellStart"/>
      <w:r w:rsidRPr="00E16672">
        <w:rPr>
          <w:rFonts w:ascii="Times New Roman" w:hAnsi="Times New Roman"/>
          <w:color w:val="000000"/>
          <w:szCs w:val="20"/>
        </w:rPr>
        <w:t>установою</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процедури</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припинення</w:t>
      </w:r>
      <w:proofErr w:type="spellEnd"/>
      <w:r w:rsidRPr="00E16672">
        <w:rPr>
          <w:rFonts w:ascii="Times New Roman" w:hAnsi="Times New Roman"/>
          <w:color w:val="000000"/>
          <w:szCs w:val="20"/>
        </w:rPr>
        <w:t xml:space="preserve"> нею </w:t>
      </w:r>
      <w:proofErr w:type="spellStart"/>
      <w:r w:rsidRPr="00E16672">
        <w:rPr>
          <w:rFonts w:ascii="Times New Roman" w:hAnsi="Times New Roman"/>
          <w:color w:val="000000"/>
          <w:szCs w:val="20"/>
        </w:rPr>
        <w:t>провадження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професійної</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діяльності</w:t>
      </w:r>
      <w:proofErr w:type="spellEnd"/>
      <w:r w:rsidRPr="00E16672">
        <w:rPr>
          <w:rFonts w:ascii="Times New Roman" w:hAnsi="Times New Roman"/>
          <w:color w:val="000000"/>
          <w:szCs w:val="20"/>
        </w:rPr>
        <w:t xml:space="preserve"> </w:t>
      </w:r>
      <w:proofErr w:type="gramStart"/>
      <w:r w:rsidRPr="00E16672">
        <w:rPr>
          <w:rFonts w:ascii="Times New Roman" w:hAnsi="Times New Roman"/>
          <w:color w:val="000000"/>
          <w:szCs w:val="20"/>
        </w:rPr>
        <w:t>на фондовому ринку</w:t>
      </w:r>
      <w:proofErr w:type="gramEnd"/>
      <w:r w:rsidRPr="00E16672">
        <w:rPr>
          <w:rFonts w:ascii="Times New Roman" w:hAnsi="Times New Roman"/>
          <w:color w:val="000000"/>
          <w:szCs w:val="20"/>
        </w:rPr>
        <w:t xml:space="preserve"> - </w:t>
      </w:r>
      <w:proofErr w:type="spellStart"/>
      <w:r w:rsidRPr="00E16672">
        <w:rPr>
          <w:rFonts w:ascii="Times New Roman" w:hAnsi="Times New Roman"/>
          <w:color w:val="000000"/>
          <w:szCs w:val="20"/>
        </w:rPr>
        <w:t>депозитарної</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діяльності</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депозитарної</w:t>
      </w:r>
      <w:proofErr w:type="spellEnd"/>
      <w:r w:rsidRPr="00E16672">
        <w:rPr>
          <w:rFonts w:ascii="Times New Roman" w:hAnsi="Times New Roman"/>
          <w:color w:val="000000"/>
          <w:szCs w:val="20"/>
        </w:rPr>
        <w:t xml:space="preserve"> установи </w:t>
      </w:r>
      <w:proofErr w:type="spellStart"/>
      <w:r w:rsidRPr="00E16672">
        <w:rPr>
          <w:rFonts w:ascii="Times New Roman" w:hAnsi="Times New Roman"/>
          <w:color w:val="000000"/>
          <w:szCs w:val="20"/>
        </w:rPr>
        <w:t>відповідно</w:t>
      </w:r>
      <w:proofErr w:type="spellEnd"/>
      <w:r w:rsidRPr="00E16672">
        <w:rPr>
          <w:rFonts w:ascii="Times New Roman" w:hAnsi="Times New Roman"/>
          <w:color w:val="000000"/>
          <w:szCs w:val="20"/>
        </w:rPr>
        <w:t xml:space="preserve"> до </w:t>
      </w:r>
      <w:proofErr w:type="spellStart"/>
      <w:r w:rsidRPr="00E16672">
        <w:rPr>
          <w:rFonts w:ascii="Times New Roman" w:hAnsi="Times New Roman"/>
          <w:color w:val="000000"/>
          <w:szCs w:val="20"/>
        </w:rPr>
        <w:t>вимог</w:t>
      </w:r>
      <w:proofErr w:type="spellEnd"/>
      <w:r w:rsidRPr="00E16672">
        <w:rPr>
          <w:rFonts w:ascii="Times New Roman" w:hAnsi="Times New Roman"/>
          <w:color w:val="000000"/>
          <w:szCs w:val="20"/>
        </w:rPr>
        <w:t xml:space="preserve"> нормативно-правового акта </w:t>
      </w:r>
      <w:proofErr w:type="spellStart"/>
      <w:r w:rsidRPr="00E16672">
        <w:rPr>
          <w:rFonts w:ascii="Times New Roman" w:hAnsi="Times New Roman"/>
          <w:color w:val="000000"/>
          <w:szCs w:val="20"/>
        </w:rPr>
        <w:t>щодо</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припинення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депозитарної</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діяльності</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депозитарної</w:t>
      </w:r>
      <w:proofErr w:type="spellEnd"/>
      <w:r w:rsidRPr="00E16672">
        <w:rPr>
          <w:rFonts w:ascii="Times New Roman" w:hAnsi="Times New Roman"/>
          <w:color w:val="000000"/>
          <w:szCs w:val="20"/>
        </w:rPr>
        <w:t xml:space="preserve"> установи </w:t>
      </w:r>
      <w:proofErr w:type="spellStart"/>
      <w:r w:rsidRPr="00E16672">
        <w:rPr>
          <w:rFonts w:ascii="Times New Roman" w:hAnsi="Times New Roman"/>
          <w:color w:val="000000"/>
          <w:szCs w:val="20"/>
        </w:rPr>
        <w:t>виконувати</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тільки</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ті</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розпорядження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Керуючого</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рахунком</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виконання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яких</w:t>
      </w:r>
      <w:proofErr w:type="spellEnd"/>
      <w:r w:rsidRPr="00E16672">
        <w:rPr>
          <w:rFonts w:ascii="Times New Roman" w:hAnsi="Times New Roman"/>
          <w:color w:val="000000"/>
          <w:szCs w:val="20"/>
        </w:rPr>
        <w:t xml:space="preserve"> не заборонено </w:t>
      </w:r>
      <w:proofErr w:type="spellStart"/>
      <w:r w:rsidRPr="00E16672">
        <w:rPr>
          <w:rFonts w:ascii="Times New Roman" w:hAnsi="Times New Roman"/>
          <w:color w:val="000000"/>
          <w:szCs w:val="20"/>
        </w:rPr>
        <w:t>цим</w:t>
      </w:r>
      <w:proofErr w:type="spellEnd"/>
      <w:r w:rsidRPr="00E16672">
        <w:rPr>
          <w:rFonts w:ascii="Times New Roman" w:hAnsi="Times New Roman"/>
          <w:color w:val="000000"/>
          <w:szCs w:val="20"/>
        </w:rPr>
        <w:t xml:space="preserve"> нормативно-</w:t>
      </w:r>
      <w:proofErr w:type="spellStart"/>
      <w:r w:rsidRPr="00E16672">
        <w:rPr>
          <w:rFonts w:ascii="Times New Roman" w:hAnsi="Times New Roman"/>
          <w:color w:val="000000"/>
          <w:szCs w:val="20"/>
        </w:rPr>
        <w:t>правовим</w:t>
      </w:r>
      <w:proofErr w:type="spellEnd"/>
      <w:r w:rsidRPr="00E16672">
        <w:rPr>
          <w:rFonts w:ascii="Times New Roman" w:hAnsi="Times New Roman"/>
          <w:color w:val="000000"/>
          <w:szCs w:val="20"/>
        </w:rPr>
        <w:t xml:space="preserve"> актом. </w:t>
      </w:r>
    </w:p>
    <w:p w14:paraId="0EE675F6" w14:textId="77777777" w:rsidR="007974E8" w:rsidRPr="00E16672" w:rsidRDefault="007974E8" w:rsidP="007974E8">
      <w:pPr>
        <w:tabs>
          <w:tab w:val="left" w:pos="709"/>
        </w:tabs>
        <w:rPr>
          <w:rFonts w:ascii="Times New Roman" w:hAnsi="Times New Roman"/>
          <w:color w:val="000000"/>
          <w:szCs w:val="20"/>
        </w:rPr>
      </w:pPr>
      <w:r w:rsidRPr="00E16672">
        <w:rPr>
          <w:rFonts w:ascii="Times New Roman" w:hAnsi="Times New Roman"/>
          <w:color w:val="000000"/>
          <w:szCs w:val="20"/>
        </w:rPr>
        <w:t xml:space="preserve">2.2.6. </w:t>
      </w:r>
      <w:proofErr w:type="spellStart"/>
      <w:r w:rsidRPr="00E16672">
        <w:rPr>
          <w:rFonts w:ascii="Times New Roman" w:hAnsi="Times New Roman"/>
          <w:color w:val="000000"/>
          <w:szCs w:val="20"/>
        </w:rPr>
        <w:t>Вносити</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зміни</w:t>
      </w:r>
      <w:proofErr w:type="spellEnd"/>
      <w:r w:rsidRPr="00E16672">
        <w:rPr>
          <w:rFonts w:ascii="Times New Roman" w:hAnsi="Times New Roman"/>
          <w:color w:val="000000"/>
          <w:szCs w:val="20"/>
        </w:rPr>
        <w:t xml:space="preserve"> до </w:t>
      </w:r>
      <w:proofErr w:type="spellStart"/>
      <w:r w:rsidRPr="00E16672">
        <w:rPr>
          <w:rFonts w:ascii="Times New Roman" w:hAnsi="Times New Roman"/>
          <w:color w:val="000000"/>
          <w:szCs w:val="20"/>
        </w:rPr>
        <w:t>внутрішніх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документів</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Депозитарної</w:t>
      </w:r>
      <w:proofErr w:type="spellEnd"/>
      <w:r w:rsidRPr="00E16672">
        <w:rPr>
          <w:rFonts w:ascii="Times New Roman" w:hAnsi="Times New Roman"/>
          <w:color w:val="000000"/>
          <w:szCs w:val="20"/>
        </w:rPr>
        <w:t xml:space="preserve"> установи та </w:t>
      </w:r>
      <w:proofErr w:type="spellStart"/>
      <w:r w:rsidRPr="00E16672">
        <w:rPr>
          <w:rFonts w:ascii="Times New Roman" w:hAnsi="Times New Roman"/>
          <w:color w:val="000000"/>
          <w:szCs w:val="20"/>
        </w:rPr>
        <w:t>тарифів</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Депозитарної</w:t>
      </w:r>
      <w:proofErr w:type="spellEnd"/>
      <w:r w:rsidRPr="00E16672">
        <w:rPr>
          <w:rFonts w:ascii="Times New Roman" w:hAnsi="Times New Roman"/>
          <w:color w:val="000000"/>
          <w:szCs w:val="20"/>
        </w:rPr>
        <w:t xml:space="preserve"> установи.</w:t>
      </w:r>
    </w:p>
    <w:p w14:paraId="3A481A29" w14:textId="77777777" w:rsidR="007974E8" w:rsidRPr="00E16672" w:rsidRDefault="007974E8" w:rsidP="007974E8">
      <w:pPr>
        <w:tabs>
          <w:tab w:val="left" w:pos="709"/>
        </w:tabs>
        <w:rPr>
          <w:rFonts w:ascii="Times New Roman" w:hAnsi="Times New Roman"/>
          <w:color w:val="000000"/>
          <w:szCs w:val="20"/>
        </w:rPr>
      </w:pPr>
      <w:r w:rsidRPr="00E16672">
        <w:rPr>
          <w:rFonts w:ascii="Times New Roman" w:hAnsi="Times New Roman"/>
          <w:color w:val="000000"/>
          <w:szCs w:val="20"/>
        </w:rPr>
        <w:t xml:space="preserve">2.2.7. </w:t>
      </w:r>
      <w:proofErr w:type="spellStart"/>
      <w:r w:rsidRPr="00E16672">
        <w:rPr>
          <w:rFonts w:ascii="Times New Roman" w:hAnsi="Times New Roman"/>
          <w:color w:val="000000"/>
          <w:szCs w:val="20"/>
        </w:rPr>
        <w:t>Закрити</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рахунок</w:t>
      </w:r>
      <w:proofErr w:type="spellEnd"/>
      <w:r w:rsidRPr="00E16672">
        <w:rPr>
          <w:rFonts w:ascii="Times New Roman" w:hAnsi="Times New Roman"/>
          <w:color w:val="000000"/>
          <w:szCs w:val="20"/>
        </w:rPr>
        <w:t xml:space="preserve"> </w:t>
      </w:r>
      <w:r w:rsidR="00C22309" w:rsidRPr="00E16672">
        <w:rPr>
          <w:rFonts w:ascii="Times New Roman" w:hAnsi="Times New Roman"/>
          <w:color w:val="000000"/>
          <w:szCs w:val="20"/>
        </w:rPr>
        <w:t xml:space="preserve">в </w:t>
      </w:r>
      <w:proofErr w:type="spellStart"/>
      <w:r w:rsidR="00C22309" w:rsidRPr="00E16672">
        <w:rPr>
          <w:rFonts w:ascii="Times New Roman" w:hAnsi="Times New Roman"/>
          <w:color w:val="000000"/>
          <w:szCs w:val="20"/>
        </w:rPr>
        <w:t>цін</w:t>
      </w:r>
      <w:r w:rsidRPr="00E16672">
        <w:rPr>
          <w:rFonts w:ascii="Times New Roman" w:hAnsi="Times New Roman"/>
          <w:color w:val="000000"/>
          <w:szCs w:val="20"/>
        </w:rPr>
        <w:t>них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паперах</w:t>
      </w:r>
      <w:proofErr w:type="spellEnd"/>
      <w:r w:rsidRPr="00E16672">
        <w:rPr>
          <w:rFonts w:ascii="Times New Roman" w:hAnsi="Times New Roman"/>
          <w:color w:val="000000"/>
          <w:szCs w:val="20"/>
        </w:rPr>
        <w:t xml:space="preserve"> Депонента, на </w:t>
      </w:r>
      <w:proofErr w:type="spellStart"/>
      <w:r w:rsidRPr="00E16672">
        <w:rPr>
          <w:rFonts w:ascii="Times New Roman" w:hAnsi="Times New Roman"/>
          <w:color w:val="000000"/>
          <w:szCs w:val="20"/>
        </w:rPr>
        <w:t>якому</w:t>
      </w:r>
      <w:proofErr w:type="spellEnd"/>
      <w:r w:rsidRPr="00E16672">
        <w:rPr>
          <w:rFonts w:ascii="Times New Roman" w:hAnsi="Times New Roman"/>
          <w:color w:val="000000"/>
          <w:szCs w:val="20"/>
        </w:rPr>
        <w:t xml:space="preserve"> не </w:t>
      </w:r>
      <w:proofErr w:type="spellStart"/>
      <w:r w:rsidRPr="00E16672">
        <w:rPr>
          <w:rFonts w:ascii="Times New Roman" w:hAnsi="Times New Roman"/>
          <w:color w:val="000000"/>
          <w:szCs w:val="20"/>
        </w:rPr>
        <w:t>обліковуються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цінні</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папери</w:t>
      </w:r>
      <w:proofErr w:type="spellEnd"/>
      <w:r w:rsidRPr="00E16672">
        <w:rPr>
          <w:rFonts w:ascii="Times New Roman" w:hAnsi="Times New Roman"/>
          <w:color w:val="000000"/>
          <w:szCs w:val="20"/>
        </w:rPr>
        <w:t xml:space="preserve">, права на </w:t>
      </w:r>
      <w:proofErr w:type="spellStart"/>
      <w:r w:rsidRPr="00E16672">
        <w:rPr>
          <w:rFonts w:ascii="Times New Roman" w:hAnsi="Times New Roman"/>
          <w:color w:val="000000"/>
          <w:szCs w:val="20"/>
        </w:rPr>
        <w:t>цінні</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папери</w:t>
      </w:r>
      <w:proofErr w:type="spellEnd"/>
      <w:r w:rsidRPr="00E16672">
        <w:rPr>
          <w:rFonts w:ascii="Times New Roman" w:hAnsi="Times New Roman"/>
          <w:color w:val="000000"/>
          <w:szCs w:val="20"/>
        </w:rPr>
        <w:t xml:space="preserve">, без </w:t>
      </w:r>
      <w:proofErr w:type="spellStart"/>
      <w:r w:rsidRPr="00E16672">
        <w:rPr>
          <w:rFonts w:ascii="Times New Roman" w:hAnsi="Times New Roman"/>
          <w:color w:val="000000"/>
          <w:szCs w:val="20"/>
        </w:rPr>
        <w:t>розпорядження</w:t>
      </w:r>
      <w:proofErr w:type="spellEnd"/>
      <w:r w:rsidRPr="00E16672">
        <w:rPr>
          <w:rFonts w:ascii="Times New Roman" w:hAnsi="Times New Roman"/>
          <w:color w:val="000000"/>
          <w:szCs w:val="20"/>
        </w:rPr>
        <w:t xml:space="preserve"> (наказу) </w:t>
      </w:r>
      <w:proofErr w:type="spellStart"/>
      <w:r w:rsidRPr="00E16672">
        <w:rPr>
          <w:rFonts w:ascii="Times New Roman" w:hAnsi="Times New Roman"/>
          <w:color w:val="000000"/>
          <w:szCs w:val="20"/>
        </w:rPr>
        <w:t>Керуючого</w:t>
      </w:r>
      <w:proofErr w:type="spellEnd"/>
      <w:r w:rsidRPr="00E16672">
        <w:rPr>
          <w:rFonts w:ascii="Times New Roman" w:hAnsi="Times New Roman"/>
          <w:color w:val="000000"/>
          <w:szCs w:val="20"/>
          <w:lang w:val="uk-UA"/>
        </w:rPr>
        <w:t xml:space="preserve"> </w:t>
      </w:r>
      <w:proofErr w:type="spellStart"/>
      <w:r w:rsidRPr="00E16672">
        <w:rPr>
          <w:rFonts w:ascii="Times New Roman" w:hAnsi="Times New Roman"/>
          <w:color w:val="000000"/>
          <w:szCs w:val="20"/>
        </w:rPr>
        <w:t>рахунком</w:t>
      </w:r>
      <w:proofErr w:type="spellEnd"/>
      <w:r w:rsidRPr="00E16672">
        <w:rPr>
          <w:rFonts w:ascii="Times New Roman" w:hAnsi="Times New Roman"/>
          <w:color w:val="000000"/>
          <w:szCs w:val="20"/>
        </w:rPr>
        <w:t xml:space="preserve"> про </w:t>
      </w:r>
      <w:proofErr w:type="spellStart"/>
      <w:r w:rsidRPr="00E16672">
        <w:rPr>
          <w:rFonts w:ascii="Times New Roman" w:hAnsi="Times New Roman"/>
          <w:color w:val="000000"/>
          <w:szCs w:val="20"/>
        </w:rPr>
        <w:t>закриття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рахунку</w:t>
      </w:r>
      <w:proofErr w:type="spellEnd"/>
      <w:r w:rsidRPr="00E16672">
        <w:rPr>
          <w:rFonts w:ascii="Times New Roman" w:hAnsi="Times New Roman"/>
          <w:color w:val="000000"/>
          <w:szCs w:val="20"/>
        </w:rPr>
        <w:t xml:space="preserve"> в </w:t>
      </w:r>
      <w:proofErr w:type="spellStart"/>
      <w:r w:rsidRPr="00E16672">
        <w:rPr>
          <w:rFonts w:ascii="Times New Roman" w:hAnsi="Times New Roman"/>
          <w:color w:val="000000"/>
          <w:szCs w:val="20"/>
        </w:rPr>
        <w:t>цінних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паперах</w:t>
      </w:r>
      <w:proofErr w:type="spellEnd"/>
      <w:r w:rsidRPr="00E16672">
        <w:rPr>
          <w:rFonts w:ascii="Times New Roman" w:hAnsi="Times New Roman"/>
          <w:color w:val="000000"/>
          <w:szCs w:val="20"/>
        </w:rPr>
        <w:t xml:space="preserve"> у </w:t>
      </w:r>
      <w:proofErr w:type="spellStart"/>
      <w:r w:rsidRPr="00E16672">
        <w:rPr>
          <w:rFonts w:ascii="Times New Roman" w:hAnsi="Times New Roman"/>
          <w:color w:val="000000"/>
          <w:szCs w:val="20"/>
        </w:rPr>
        <w:t>разі</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припинення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здійснення</w:t>
      </w:r>
      <w:proofErr w:type="spellEnd"/>
      <w:r w:rsidRPr="00E16672">
        <w:rPr>
          <w:rFonts w:ascii="Times New Roman" w:hAnsi="Times New Roman"/>
          <w:color w:val="000000"/>
          <w:szCs w:val="20"/>
        </w:rPr>
        <w:t xml:space="preserve"> Депозитарною </w:t>
      </w:r>
      <w:proofErr w:type="spellStart"/>
      <w:r w:rsidRPr="00E16672">
        <w:rPr>
          <w:rFonts w:ascii="Times New Roman" w:hAnsi="Times New Roman"/>
          <w:color w:val="000000"/>
          <w:szCs w:val="20"/>
        </w:rPr>
        <w:t>установою</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професійної</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діяльності</w:t>
      </w:r>
      <w:proofErr w:type="spellEnd"/>
      <w:r w:rsidRPr="00E16672">
        <w:rPr>
          <w:rFonts w:ascii="Times New Roman" w:hAnsi="Times New Roman"/>
          <w:color w:val="000000"/>
          <w:szCs w:val="20"/>
        </w:rPr>
        <w:t xml:space="preserve"> </w:t>
      </w:r>
      <w:proofErr w:type="gramStart"/>
      <w:r w:rsidRPr="00E16672">
        <w:rPr>
          <w:rFonts w:ascii="Times New Roman" w:hAnsi="Times New Roman"/>
          <w:color w:val="000000"/>
          <w:szCs w:val="20"/>
        </w:rPr>
        <w:t>на фондовому ринку</w:t>
      </w:r>
      <w:proofErr w:type="gramEnd"/>
      <w:r w:rsidRPr="00E16672">
        <w:rPr>
          <w:rFonts w:ascii="Times New Roman" w:hAnsi="Times New Roman"/>
          <w:color w:val="000000"/>
          <w:szCs w:val="20"/>
        </w:rPr>
        <w:t xml:space="preserve">, а </w:t>
      </w:r>
      <w:proofErr w:type="spellStart"/>
      <w:r w:rsidRPr="00E16672">
        <w:rPr>
          <w:rFonts w:ascii="Times New Roman" w:hAnsi="Times New Roman"/>
          <w:color w:val="000000"/>
          <w:szCs w:val="20"/>
        </w:rPr>
        <w:t>також</w:t>
      </w:r>
      <w:proofErr w:type="spellEnd"/>
      <w:r w:rsidRPr="00E16672">
        <w:rPr>
          <w:rFonts w:ascii="Times New Roman" w:hAnsi="Times New Roman"/>
          <w:color w:val="000000"/>
          <w:szCs w:val="20"/>
        </w:rPr>
        <w:t xml:space="preserve"> у </w:t>
      </w:r>
      <w:proofErr w:type="spellStart"/>
      <w:r w:rsidRPr="00E16672">
        <w:rPr>
          <w:rFonts w:ascii="Times New Roman" w:hAnsi="Times New Roman"/>
          <w:color w:val="000000"/>
          <w:szCs w:val="20"/>
        </w:rPr>
        <w:t>разі</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розірвання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цього</w:t>
      </w:r>
      <w:proofErr w:type="spellEnd"/>
      <w:r w:rsidRPr="00E16672">
        <w:rPr>
          <w:rFonts w:ascii="Times New Roman" w:hAnsi="Times New Roman"/>
          <w:color w:val="000000"/>
          <w:szCs w:val="20"/>
        </w:rPr>
        <w:t xml:space="preserve"> Договору.</w:t>
      </w:r>
    </w:p>
    <w:p w14:paraId="7B206EC8" w14:textId="77777777" w:rsidR="007974E8" w:rsidRPr="00E16672" w:rsidRDefault="007974E8" w:rsidP="007974E8">
      <w:pPr>
        <w:tabs>
          <w:tab w:val="left" w:pos="5954"/>
        </w:tabs>
        <w:snapToGrid w:val="0"/>
        <w:rPr>
          <w:rFonts w:ascii="Times New Roman" w:hAnsi="Times New Roman"/>
          <w:color w:val="000000"/>
          <w:szCs w:val="20"/>
        </w:rPr>
      </w:pPr>
      <w:proofErr w:type="spellStart"/>
      <w:r w:rsidRPr="00E16672">
        <w:rPr>
          <w:rFonts w:ascii="Times New Roman" w:hAnsi="Times New Roman"/>
          <w:color w:val="000000"/>
          <w:szCs w:val="20"/>
        </w:rPr>
        <w:t>Закриття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рахунків</w:t>
      </w:r>
      <w:proofErr w:type="spellEnd"/>
      <w:r w:rsidRPr="00E16672">
        <w:rPr>
          <w:rFonts w:ascii="Times New Roman" w:hAnsi="Times New Roman"/>
          <w:color w:val="000000"/>
          <w:szCs w:val="20"/>
        </w:rPr>
        <w:t xml:space="preserve"> </w:t>
      </w:r>
      <w:r w:rsidR="00C22309" w:rsidRPr="00E16672">
        <w:rPr>
          <w:rFonts w:ascii="Times New Roman" w:hAnsi="Times New Roman"/>
          <w:color w:val="000000"/>
          <w:szCs w:val="20"/>
        </w:rPr>
        <w:t xml:space="preserve">в </w:t>
      </w:r>
      <w:proofErr w:type="spellStart"/>
      <w:r w:rsidR="00C22309" w:rsidRPr="00E16672">
        <w:rPr>
          <w:rFonts w:ascii="Times New Roman" w:hAnsi="Times New Roman"/>
          <w:color w:val="000000"/>
          <w:szCs w:val="20"/>
        </w:rPr>
        <w:t>цін</w:t>
      </w:r>
      <w:r w:rsidRPr="00E16672">
        <w:rPr>
          <w:rFonts w:ascii="Times New Roman" w:hAnsi="Times New Roman"/>
          <w:color w:val="000000"/>
          <w:szCs w:val="20"/>
        </w:rPr>
        <w:t>них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паперах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відбувається</w:t>
      </w:r>
      <w:proofErr w:type="spellEnd"/>
      <w:r w:rsidRPr="00E16672">
        <w:rPr>
          <w:rFonts w:ascii="Times New Roman" w:hAnsi="Times New Roman"/>
          <w:color w:val="000000"/>
          <w:szCs w:val="20"/>
        </w:rPr>
        <w:t xml:space="preserve"> за </w:t>
      </w:r>
      <w:proofErr w:type="spellStart"/>
      <w:r w:rsidRPr="00E16672">
        <w:rPr>
          <w:rFonts w:ascii="Times New Roman" w:hAnsi="Times New Roman"/>
          <w:color w:val="000000"/>
          <w:szCs w:val="20"/>
        </w:rPr>
        <w:t>розпорядженням</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Керуючого</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рахунком</w:t>
      </w:r>
      <w:proofErr w:type="spellEnd"/>
      <w:r w:rsidRPr="00E16672">
        <w:rPr>
          <w:rFonts w:ascii="Times New Roman" w:hAnsi="Times New Roman"/>
          <w:color w:val="000000"/>
          <w:szCs w:val="20"/>
        </w:rPr>
        <w:t xml:space="preserve">. </w:t>
      </w:r>
    </w:p>
    <w:p w14:paraId="2646F155" w14:textId="77777777" w:rsidR="007974E8" w:rsidRPr="00E16672" w:rsidRDefault="007974E8" w:rsidP="00022F5F">
      <w:pPr>
        <w:jc w:val="left"/>
        <w:rPr>
          <w:rFonts w:ascii="Times New Roman" w:hAnsi="Times New Roman"/>
          <w:bCs/>
          <w:color w:val="000000"/>
          <w:szCs w:val="20"/>
        </w:rPr>
      </w:pPr>
      <w:r w:rsidRPr="00E16672">
        <w:rPr>
          <w:rFonts w:ascii="Times New Roman" w:hAnsi="Times New Roman"/>
          <w:color w:val="000000"/>
          <w:szCs w:val="20"/>
        </w:rPr>
        <w:t xml:space="preserve">2.2.8. </w:t>
      </w:r>
      <w:r w:rsidRPr="00E16672">
        <w:rPr>
          <w:rFonts w:ascii="Times New Roman" w:hAnsi="Times New Roman"/>
          <w:bCs/>
          <w:color w:val="000000"/>
          <w:szCs w:val="20"/>
        </w:rPr>
        <w:t xml:space="preserve">При </w:t>
      </w:r>
      <w:proofErr w:type="spellStart"/>
      <w:r w:rsidRPr="00E16672">
        <w:rPr>
          <w:rFonts w:ascii="Times New Roman" w:hAnsi="Times New Roman"/>
          <w:bCs/>
          <w:color w:val="000000"/>
          <w:szCs w:val="20"/>
        </w:rPr>
        <w:t>здійсненні</w:t>
      </w:r>
      <w:proofErr w:type="spellEnd"/>
      <w:r w:rsidRPr="00E16672">
        <w:rPr>
          <w:rFonts w:ascii="Times New Roman" w:hAnsi="Times New Roman"/>
          <w:bCs/>
          <w:color w:val="000000"/>
          <w:szCs w:val="20"/>
        </w:rPr>
        <w:t xml:space="preserve"> </w:t>
      </w:r>
      <w:proofErr w:type="spellStart"/>
      <w:r w:rsidRPr="00E16672">
        <w:rPr>
          <w:rFonts w:ascii="Times New Roman" w:hAnsi="Times New Roman"/>
          <w:bCs/>
          <w:color w:val="000000"/>
          <w:szCs w:val="20"/>
        </w:rPr>
        <w:t>розрахунків</w:t>
      </w:r>
      <w:proofErr w:type="spellEnd"/>
      <w:r w:rsidRPr="00E16672">
        <w:rPr>
          <w:rFonts w:ascii="Times New Roman" w:hAnsi="Times New Roman"/>
          <w:bCs/>
          <w:color w:val="000000"/>
          <w:szCs w:val="20"/>
        </w:rPr>
        <w:t xml:space="preserve"> за </w:t>
      </w:r>
      <w:proofErr w:type="spellStart"/>
      <w:r w:rsidRPr="00E16672">
        <w:rPr>
          <w:rFonts w:ascii="Times New Roman" w:hAnsi="Times New Roman"/>
          <w:bCs/>
          <w:color w:val="000000"/>
          <w:szCs w:val="20"/>
        </w:rPr>
        <w:t>правочинами</w:t>
      </w:r>
      <w:proofErr w:type="spellEnd"/>
      <w:r w:rsidRPr="00E16672">
        <w:rPr>
          <w:rFonts w:ascii="Times New Roman" w:hAnsi="Times New Roman"/>
          <w:bCs/>
          <w:color w:val="000000"/>
          <w:szCs w:val="20"/>
        </w:rPr>
        <w:t xml:space="preserve"> </w:t>
      </w:r>
      <w:proofErr w:type="spellStart"/>
      <w:r w:rsidRPr="00E16672">
        <w:rPr>
          <w:rFonts w:ascii="Times New Roman" w:hAnsi="Times New Roman"/>
          <w:bCs/>
          <w:color w:val="000000"/>
          <w:szCs w:val="20"/>
        </w:rPr>
        <w:t>щодо</w:t>
      </w:r>
      <w:proofErr w:type="spellEnd"/>
      <w:r w:rsidRPr="00E16672">
        <w:rPr>
          <w:rFonts w:ascii="Times New Roman" w:hAnsi="Times New Roman"/>
          <w:bCs/>
          <w:color w:val="000000"/>
          <w:szCs w:val="20"/>
        </w:rPr>
        <w:t xml:space="preserve"> </w:t>
      </w:r>
      <w:proofErr w:type="spellStart"/>
      <w:r w:rsidRPr="00E16672">
        <w:rPr>
          <w:rFonts w:ascii="Times New Roman" w:hAnsi="Times New Roman"/>
          <w:bCs/>
          <w:color w:val="000000"/>
          <w:szCs w:val="20"/>
        </w:rPr>
        <w:t>цінних</w:t>
      </w:r>
      <w:proofErr w:type="spellEnd"/>
      <w:r w:rsidRPr="00E16672">
        <w:rPr>
          <w:rFonts w:ascii="Times New Roman" w:hAnsi="Times New Roman"/>
          <w:bCs/>
          <w:color w:val="000000"/>
          <w:szCs w:val="20"/>
        </w:rPr>
        <w:t xml:space="preserve"> </w:t>
      </w:r>
      <w:proofErr w:type="spellStart"/>
      <w:r w:rsidRPr="00E16672">
        <w:rPr>
          <w:rFonts w:ascii="Times New Roman" w:hAnsi="Times New Roman"/>
          <w:bCs/>
          <w:color w:val="000000"/>
          <w:szCs w:val="20"/>
        </w:rPr>
        <w:t>паперів</w:t>
      </w:r>
      <w:proofErr w:type="spellEnd"/>
      <w:r w:rsidRPr="00E16672">
        <w:rPr>
          <w:rFonts w:ascii="Times New Roman" w:hAnsi="Times New Roman"/>
          <w:bCs/>
          <w:color w:val="000000"/>
          <w:szCs w:val="20"/>
        </w:rPr>
        <w:t xml:space="preserve"> з </w:t>
      </w:r>
      <w:proofErr w:type="spellStart"/>
      <w:r w:rsidRPr="00E16672">
        <w:rPr>
          <w:rFonts w:ascii="Times New Roman" w:hAnsi="Times New Roman"/>
          <w:bCs/>
          <w:color w:val="000000"/>
          <w:szCs w:val="20"/>
        </w:rPr>
        <w:t>дотриманням</w:t>
      </w:r>
      <w:proofErr w:type="spellEnd"/>
      <w:r w:rsidRPr="00E16672">
        <w:rPr>
          <w:rFonts w:ascii="Times New Roman" w:hAnsi="Times New Roman"/>
          <w:bCs/>
          <w:color w:val="000000"/>
          <w:szCs w:val="20"/>
        </w:rPr>
        <w:t xml:space="preserve"> принципу </w:t>
      </w:r>
      <w:r w:rsidR="00022F5F">
        <w:rPr>
          <w:rFonts w:ascii="Times New Roman" w:hAnsi="Times New Roman"/>
          <w:bCs/>
          <w:color w:val="000000"/>
          <w:szCs w:val="20"/>
        </w:rPr>
        <w:t>"</w:t>
      </w:r>
      <w:r w:rsidRPr="00E16672">
        <w:rPr>
          <w:rFonts w:ascii="Times New Roman" w:hAnsi="Times New Roman"/>
          <w:bCs/>
          <w:color w:val="000000"/>
          <w:szCs w:val="20"/>
        </w:rPr>
        <w:t xml:space="preserve">поставка </w:t>
      </w:r>
      <w:proofErr w:type="spellStart"/>
      <w:r w:rsidRPr="00E16672">
        <w:rPr>
          <w:rFonts w:ascii="Times New Roman" w:hAnsi="Times New Roman"/>
          <w:bCs/>
          <w:color w:val="000000"/>
          <w:szCs w:val="20"/>
        </w:rPr>
        <w:t>цінних</w:t>
      </w:r>
      <w:proofErr w:type="spellEnd"/>
      <w:r w:rsidRPr="00E16672">
        <w:rPr>
          <w:rFonts w:ascii="Times New Roman" w:hAnsi="Times New Roman"/>
          <w:bCs/>
          <w:color w:val="000000"/>
          <w:szCs w:val="20"/>
        </w:rPr>
        <w:t xml:space="preserve"> </w:t>
      </w:r>
      <w:proofErr w:type="spellStart"/>
      <w:r w:rsidRPr="00E16672">
        <w:rPr>
          <w:rFonts w:ascii="Times New Roman" w:hAnsi="Times New Roman"/>
          <w:bCs/>
          <w:color w:val="000000"/>
          <w:szCs w:val="20"/>
        </w:rPr>
        <w:t>паперів</w:t>
      </w:r>
      <w:proofErr w:type="spellEnd"/>
      <w:r w:rsidRPr="00E16672">
        <w:rPr>
          <w:rFonts w:ascii="Times New Roman" w:hAnsi="Times New Roman"/>
          <w:bCs/>
          <w:color w:val="000000"/>
          <w:szCs w:val="20"/>
        </w:rPr>
        <w:t xml:space="preserve"> </w:t>
      </w:r>
      <w:proofErr w:type="spellStart"/>
      <w:r w:rsidRPr="00E16672">
        <w:rPr>
          <w:rFonts w:ascii="Times New Roman" w:hAnsi="Times New Roman"/>
          <w:bCs/>
          <w:color w:val="000000"/>
          <w:szCs w:val="20"/>
        </w:rPr>
        <w:t>проти</w:t>
      </w:r>
      <w:proofErr w:type="spellEnd"/>
      <w:r w:rsidRPr="00E16672">
        <w:rPr>
          <w:rFonts w:ascii="Times New Roman" w:hAnsi="Times New Roman"/>
          <w:bCs/>
          <w:color w:val="000000"/>
          <w:szCs w:val="20"/>
        </w:rPr>
        <w:t xml:space="preserve"> оплати</w:t>
      </w:r>
      <w:r w:rsidR="00022F5F">
        <w:rPr>
          <w:rFonts w:ascii="Times New Roman" w:hAnsi="Times New Roman"/>
          <w:bCs/>
          <w:color w:val="000000"/>
          <w:szCs w:val="20"/>
        </w:rPr>
        <w:t>"</w:t>
      </w:r>
      <w:r w:rsidRPr="00E16672">
        <w:rPr>
          <w:rFonts w:ascii="Times New Roman" w:hAnsi="Times New Roman"/>
          <w:bCs/>
          <w:color w:val="000000"/>
          <w:szCs w:val="20"/>
        </w:rPr>
        <w:t xml:space="preserve"> </w:t>
      </w:r>
      <w:proofErr w:type="spellStart"/>
      <w:r w:rsidRPr="00E16672">
        <w:rPr>
          <w:rFonts w:ascii="Times New Roman" w:hAnsi="Times New Roman"/>
          <w:bCs/>
          <w:color w:val="000000"/>
          <w:szCs w:val="20"/>
        </w:rPr>
        <w:t>виконувати</w:t>
      </w:r>
      <w:proofErr w:type="spellEnd"/>
      <w:r w:rsidRPr="00E16672">
        <w:rPr>
          <w:rFonts w:ascii="Times New Roman" w:hAnsi="Times New Roman"/>
          <w:bCs/>
          <w:color w:val="000000"/>
          <w:szCs w:val="20"/>
        </w:rPr>
        <w:t xml:space="preserve"> на </w:t>
      </w:r>
      <w:proofErr w:type="spellStart"/>
      <w:r w:rsidRPr="00E16672">
        <w:rPr>
          <w:rFonts w:ascii="Times New Roman" w:hAnsi="Times New Roman"/>
          <w:bCs/>
          <w:color w:val="000000"/>
          <w:szCs w:val="20"/>
        </w:rPr>
        <w:t>рахунку</w:t>
      </w:r>
      <w:proofErr w:type="spellEnd"/>
      <w:r w:rsidRPr="00E16672">
        <w:rPr>
          <w:rFonts w:ascii="Times New Roman" w:hAnsi="Times New Roman"/>
          <w:bCs/>
          <w:color w:val="000000"/>
          <w:szCs w:val="20"/>
        </w:rPr>
        <w:t xml:space="preserve"> в </w:t>
      </w:r>
      <w:proofErr w:type="spellStart"/>
      <w:r w:rsidRPr="00E16672">
        <w:rPr>
          <w:rFonts w:ascii="Times New Roman" w:hAnsi="Times New Roman"/>
          <w:bCs/>
          <w:color w:val="000000"/>
          <w:szCs w:val="20"/>
        </w:rPr>
        <w:t>цінних</w:t>
      </w:r>
      <w:proofErr w:type="spellEnd"/>
      <w:r w:rsidRPr="00E16672">
        <w:rPr>
          <w:rFonts w:ascii="Times New Roman" w:hAnsi="Times New Roman"/>
          <w:bCs/>
          <w:color w:val="000000"/>
          <w:szCs w:val="20"/>
        </w:rPr>
        <w:t xml:space="preserve"> </w:t>
      </w:r>
      <w:proofErr w:type="spellStart"/>
      <w:r w:rsidRPr="00E16672">
        <w:rPr>
          <w:rFonts w:ascii="Times New Roman" w:hAnsi="Times New Roman"/>
          <w:bCs/>
          <w:color w:val="000000"/>
          <w:szCs w:val="20"/>
        </w:rPr>
        <w:t>паперах</w:t>
      </w:r>
      <w:proofErr w:type="spellEnd"/>
      <w:r w:rsidRPr="00E16672">
        <w:rPr>
          <w:rFonts w:ascii="Times New Roman" w:hAnsi="Times New Roman"/>
          <w:bCs/>
          <w:color w:val="000000"/>
          <w:szCs w:val="20"/>
        </w:rPr>
        <w:t xml:space="preserve"> Депонента </w:t>
      </w:r>
      <w:proofErr w:type="spellStart"/>
      <w:r w:rsidRPr="00E16672">
        <w:rPr>
          <w:rFonts w:ascii="Times New Roman" w:hAnsi="Times New Roman"/>
          <w:bCs/>
          <w:color w:val="000000"/>
          <w:szCs w:val="20"/>
        </w:rPr>
        <w:t>депозитарні</w:t>
      </w:r>
      <w:proofErr w:type="spellEnd"/>
      <w:r w:rsidRPr="00E16672">
        <w:rPr>
          <w:rFonts w:ascii="Times New Roman" w:hAnsi="Times New Roman"/>
          <w:bCs/>
          <w:color w:val="000000"/>
          <w:szCs w:val="20"/>
        </w:rPr>
        <w:t xml:space="preserve"> </w:t>
      </w:r>
      <w:proofErr w:type="spellStart"/>
      <w:r w:rsidRPr="00E16672">
        <w:rPr>
          <w:rFonts w:ascii="Times New Roman" w:hAnsi="Times New Roman"/>
          <w:bCs/>
          <w:color w:val="000000"/>
          <w:szCs w:val="20"/>
        </w:rPr>
        <w:t>операції</w:t>
      </w:r>
      <w:proofErr w:type="spellEnd"/>
      <w:r w:rsidRPr="00E16672">
        <w:rPr>
          <w:rFonts w:ascii="Times New Roman" w:hAnsi="Times New Roman"/>
          <w:bCs/>
          <w:color w:val="000000"/>
          <w:szCs w:val="20"/>
        </w:rPr>
        <w:t xml:space="preserve"> </w:t>
      </w:r>
      <w:proofErr w:type="spellStart"/>
      <w:r w:rsidRPr="00E16672">
        <w:rPr>
          <w:rFonts w:ascii="Times New Roman" w:hAnsi="Times New Roman"/>
          <w:bCs/>
          <w:color w:val="000000"/>
          <w:szCs w:val="20"/>
        </w:rPr>
        <w:t>щодо</w:t>
      </w:r>
      <w:proofErr w:type="spellEnd"/>
      <w:r w:rsidRPr="00E16672">
        <w:rPr>
          <w:rFonts w:ascii="Times New Roman" w:hAnsi="Times New Roman"/>
          <w:bCs/>
          <w:color w:val="000000"/>
          <w:szCs w:val="20"/>
        </w:rPr>
        <w:t xml:space="preserve"> </w:t>
      </w:r>
      <w:proofErr w:type="spellStart"/>
      <w:r w:rsidRPr="00E16672">
        <w:rPr>
          <w:rFonts w:ascii="Times New Roman" w:hAnsi="Times New Roman"/>
          <w:bCs/>
          <w:color w:val="000000"/>
          <w:szCs w:val="20"/>
        </w:rPr>
        <w:t>цінних</w:t>
      </w:r>
      <w:proofErr w:type="spellEnd"/>
      <w:r w:rsidRPr="00E16672">
        <w:rPr>
          <w:rFonts w:ascii="Times New Roman" w:hAnsi="Times New Roman"/>
          <w:bCs/>
          <w:color w:val="000000"/>
          <w:szCs w:val="20"/>
        </w:rPr>
        <w:t xml:space="preserve"> </w:t>
      </w:r>
      <w:proofErr w:type="spellStart"/>
      <w:r w:rsidRPr="00E16672">
        <w:rPr>
          <w:rFonts w:ascii="Times New Roman" w:hAnsi="Times New Roman"/>
          <w:bCs/>
          <w:color w:val="000000"/>
          <w:szCs w:val="20"/>
        </w:rPr>
        <w:t>паперів</w:t>
      </w:r>
      <w:proofErr w:type="spellEnd"/>
      <w:r w:rsidRPr="00E16672">
        <w:rPr>
          <w:rFonts w:ascii="Times New Roman" w:hAnsi="Times New Roman"/>
          <w:bCs/>
          <w:color w:val="000000"/>
          <w:szCs w:val="20"/>
        </w:rPr>
        <w:t xml:space="preserve"> без </w:t>
      </w:r>
      <w:proofErr w:type="spellStart"/>
      <w:r w:rsidRPr="00E16672">
        <w:rPr>
          <w:rFonts w:ascii="Times New Roman" w:hAnsi="Times New Roman"/>
          <w:bCs/>
          <w:color w:val="000000"/>
          <w:szCs w:val="20"/>
        </w:rPr>
        <w:t>розпорядження</w:t>
      </w:r>
      <w:proofErr w:type="spellEnd"/>
      <w:r w:rsidRPr="00E16672">
        <w:rPr>
          <w:rFonts w:ascii="Times New Roman" w:hAnsi="Times New Roman"/>
          <w:bCs/>
          <w:color w:val="000000"/>
          <w:szCs w:val="20"/>
        </w:rPr>
        <w:t xml:space="preserve"> </w:t>
      </w:r>
      <w:proofErr w:type="spellStart"/>
      <w:r w:rsidRPr="00E16672">
        <w:rPr>
          <w:rFonts w:ascii="Times New Roman" w:hAnsi="Times New Roman"/>
          <w:bCs/>
          <w:color w:val="000000"/>
          <w:szCs w:val="20"/>
        </w:rPr>
        <w:t>Керуючого</w:t>
      </w:r>
      <w:proofErr w:type="spellEnd"/>
      <w:r w:rsidRPr="00E16672">
        <w:rPr>
          <w:rFonts w:ascii="Times New Roman" w:hAnsi="Times New Roman"/>
          <w:bCs/>
          <w:color w:val="000000"/>
          <w:szCs w:val="20"/>
        </w:rPr>
        <w:t xml:space="preserve"> </w:t>
      </w:r>
      <w:proofErr w:type="spellStart"/>
      <w:r w:rsidRPr="00E16672">
        <w:rPr>
          <w:rFonts w:ascii="Times New Roman" w:hAnsi="Times New Roman"/>
          <w:color w:val="000000"/>
          <w:szCs w:val="20"/>
        </w:rPr>
        <w:t>рахунком</w:t>
      </w:r>
      <w:proofErr w:type="spellEnd"/>
      <w:r w:rsidRPr="00E16672">
        <w:rPr>
          <w:rFonts w:ascii="Times New Roman" w:hAnsi="Times New Roman"/>
          <w:bCs/>
          <w:color w:val="000000"/>
          <w:szCs w:val="20"/>
        </w:rPr>
        <w:t xml:space="preserve"> </w:t>
      </w:r>
      <w:proofErr w:type="spellStart"/>
      <w:r w:rsidRPr="00E16672">
        <w:rPr>
          <w:rFonts w:ascii="Times New Roman" w:hAnsi="Times New Roman"/>
          <w:bCs/>
          <w:color w:val="000000"/>
          <w:szCs w:val="20"/>
        </w:rPr>
        <w:t>виключно</w:t>
      </w:r>
      <w:proofErr w:type="spellEnd"/>
      <w:r w:rsidRPr="00E16672">
        <w:rPr>
          <w:rFonts w:ascii="Times New Roman" w:hAnsi="Times New Roman"/>
          <w:bCs/>
          <w:color w:val="000000"/>
          <w:szCs w:val="20"/>
        </w:rPr>
        <w:t xml:space="preserve"> на </w:t>
      </w:r>
      <w:proofErr w:type="spellStart"/>
      <w:r w:rsidRPr="00E16672">
        <w:rPr>
          <w:rFonts w:ascii="Times New Roman" w:hAnsi="Times New Roman"/>
          <w:bCs/>
          <w:color w:val="000000"/>
          <w:szCs w:val="20"/>
        </w:rPr>
        <w:t>підставі</w:t>
      </w:r>
      <w:proofErr w:type="spellEnd"/>
      <w:r w:rsidRPr="00E16672">
        <w:rPr>
          <w:rFonts w:ascii="Times New Roman" w:hAnsi="Times New Roman"/>
          <w:bCs/>
          <w:color w:val="000000"/>
          <w:szCs w:val="20"/>
        </w:rPr>
        <w:t xml:space="preserve"> </w:t>
      </w:r>
      <w:proofErr w:type="spellStart"/>
      <w:r w:rsidRPr="00E16672">
        <w:rPr>
          <w:rFonts w:ascii="Times New Roman" w:hAnsi="Times New Roman"/>
          <w:bCs/>
          <w:color w:val="000000"/>
          <w:szCs w:val="20"/>
        </w:rPr>
        <w:t>розпоряджень</w:t>
      </w:r>
      <w:proofErr w:type="spellEnd"/>
      <w:r w:rsidRPr="00E16672">
        <w:rPr>
          <w:rFonts w:ascii="Times New Roman" w:hAnsi="Times New Roman"/>
          <w:bCs/>
          <w:color w:val="000000"/>
          <w:szCs w:val="20"/>
        </w:rPr>
        <w:t xml:space="preserve"> та </w:t>
      </w:r>
      <w:proofErr w:type="spellStart"/>
      <w:r w:rsidRPr="00E16672">
        <w:rPr>
          <w:rFonts w:ascii="Times New Roman" w:hAnsi="Times New Roman"/>
          <w:bCs/>
          <w:color w:val="000000"/>
          <w:szCs w:val="20"/>
        </w:rPr>
        <w:t>інформації</w:t>
      </w:r>
      <w:proofErr w:type="spellEnd"/>
      <w:r w:rsidRPr="00E16672">
        <w:rPr>
          <w:rFonts w:ascii="Times New Roman" w:hAnsi="Times New Roman"/>
          <w:bCs/>
          <w:color w:val="000000"/>
          <w:szCs w:val="20"/>
        </w:rPr>
        <w:t xml:space="preserve"> Центрального </w:t>
      </w:r>
      <w:proofErr w:type="spellStart"/>
      <w:r w:rsidRPr="00E16672">
        <w:rPr>
          <w:rFonts w:ascii="Times New Roman" w:hAnsi="Times New Roman"/>
          <w:bCs/>
          <w:color w:val="000000"/>
          <w:szCs w:val="20"/>
        </w:rPr>
        <w:t>депозитарію</w:t>
      </w:r>
      <w:proofErr w:type="spellEnd"/>
      <w:r w:rsidRPr="00E16672">
        <w:rPr>
          <w:rFonts w:ascii="Times New Roman" w:hAnsi="Times New Roman"/>
          <w:bCs/>
          <w:color w:val="000000"/>
          <w:szCs w:val="20"/>
        </w:rPr>
        <w:t xml:space="preserve">, </w:t>
      </w:r>
      <w:proofErr w:type="spellStart"/>
      <w:r w:rsidRPr="00E16672">
        <w:rPr>
          <w:rFonts w:ascii="Times New Roman" w:hAnsi="Times New Roman"/>
          <w:bCs/>
          <w:color w:val="000000"/>
          <w:szCs w:val="20"/>
        </w:rPr>
        <w:t>наданих</w:t>
      </w:r>
      <w:proofErr w:type="spellEnd"/>
      <w:r w:rsidRPr="00E16672">
        <w:rPr>
          <w:rFonts w:ascii="Times New Roman" w:hAnsi="Times New Roman"/>
          <w:bCs/>
          <w:color w:val="000000"/>
          <w:szCs w:val="20"/>
        </w:rPr>
        <w:t xml:space="preserve"> </w:t>
      </w:r>
      <w:proofErr w:type="spellStart"/>
      <w:r w:rsidRPr="00E16672">
        <w:rPr>
          <w:rFonts w:ascii="Times New Roman" w:hAnsi="Times New Roman"/>
          <w:bCs/>
          <w:color w:val="000000"/>
          <w:szCs w:val="20"/>
        </w:rPr>
        <w:t>Депозитарній</w:t>
      </w:r>
      <w:proofErr w:type="spellEnd"/>
      <w:r w:rsidRPr="00E16672">
        <w:rPr>
          <w:rFonts w:ascii="Times New Roman" w:hAnsi="Times New Roman"/>
          <w:bCs/>
          <w:color w:val="000000"/>
          <w:szCs w:val="20"/>
        </w:rPr>
        <w:t xml:space="preserve"> </w:t>
      </w:r>
      <w:proofErr w:type="spellStart"/>
      <w:r w:rsidRPr="00E16672">
        <w:rPr>
          <w:rFonts w:ascii="Times New Roman" w:hAnsi="Times New Roman"/>
          <w:bCs/>
          <w:color w:val="000000"/>
          <w:szCs w:val="20"/>
        </w:rPr>
        <w:t>установі</w:t>
      </w:r>
      <w:proofErr w:type="spellEnd"/>
      <w:r w:rsidRPr="00E16672">
        <w:rPr>
          <w:rFonts w:ascii="Times New Roman" w:hAnsi="Times New Roman"/>
          <w:bCs/>
          <w:color w:val="000000"/>
          <w:szCs w:val="20"/>
        </w:rPr>
        <w:t xml:space="preserve"> </w:t>
      </w:r>
      <w:proofErr w:type="spellStart"/>
      <w:r w:rsidRPr="00E16672">
        <w:rPr>
          <w:rFonts w:ascii="Times New Roman" w:hAnsi="Times New Roman"/>
          <w:bCs/>
          <w:color w:val="000000"/>
          <w:szCs w:val="20"/>
        </w:rPr>
        <w:t>згідно</w:t>
      </w:r>
      <w:proofErr w:type="spellEnd"/>
      <w:r w:rsidRPr="00E16672">
        <w:rPr>
          <w:rFonts w:ascii="Times New Roman" w:hAnsi="Times New Roman"/>
          <w:bCs/>
          <w:color w:val="000000"/>
          <w:szCs w:val="20"/>
        </w:rPr>
        <w:t xml:space="preserve"> з </w:t>
      </w:r>
      <w:proofErr w:type="spellStart"/>
      <w:r w:rsidRPr="00E16672">
        <w:rPr>
          <w:rFonts w:ascii="Times New Roman" w:hAnsi="Times New Roman"/>
          <w:bCs/>
          <w:color w:val="000000"/>
          <w:szCs w:val="20"/>
        </w:rPr>
        <w:t>інформацією</w:t>
      </w:r>
      <w:proofErr w:type="spellEnd"/>
      <w:r w:rsidRPr="00E16672">
        <w:rPr>
          <w:rFonts w:ascii="Times New Roman" w:hAnsi="Times New Roman"/>
          <w:bCs/>
          <w:color w:val="000000"/>
          <w:szCs w:val="20"/>
        </w:rPr>
        <w:t xml:space="preserve">, </w:t>
      </w:r>
      <w:proofErr w:type="spellStart"/>
      <w:r w:rsidRPr="00E16672">
        <w:rPr>
          <w:rFonts w:ascii="Times New Roman" w:hAnsi="Times New Roman"/>
          <w:bCs/>
          <w:color w:val="000000"/>
          <w:szCs w:val="20"/>
        </w:rPr>
        <w:t>отриманою</w:t>
      </w:r>
      <w:proofErr w:type="spellEnd"/>
      <w:r w:rsidRPr="00E16672">
        <w:rPr>
          <w:rFonts w:ascii="Times New Roman" w:hAnsi="Times New Roman"/>
          <w:bCs/>
          <w:color w:val="000000"/>
          <w:szCs w:val="20"/>
        </w:rPr>
        <w:t xml:space="preserve"> </w:t>
      </w:r>
      <w:proofErr w:type="spellStart"/>
      <w:r w:rsidRPr="00E16672">
        <w:rPr>
          <w:rFonts w:ascii="Times New Roman" w:hAnsi="Times New Roman"/>
          <w:bCs/>
          <w:color w:val="000000"/>
          <w:szCs w:val="20"/>
        </w:rPr>
        <w:t>Центральним</w:t>
      </w:r>
      <w:proofErr w:type="spellEnd"/>
      <w:r w:rsidRPr="00E16672">
        <w:rPr>
          <w:rFonts w:ascii="Times New Roman" w:hAnsi="Times New Roman"/>
          <w:bCs/>
          <w:color w:val="000000"/>
          <w:szCs w:val="20"/>
        </w:rPr>
        <w:t xml:space="preserve"> </w:t>
      </w:r>
      <w:proofErr w:type="spellStart"/>
      <w:r w:rsidRPr="00E16672">
        <w:rPr>
          <w:rFonts w:ascii="Times New Roman" w:hAnsi="Times New Roman"/>
          <w:bCs/>
          <w:color w:val="000000"/>
          <w:szCs w:val="20"/>
        </w:rPr>
        <w:t>депозитарієм</w:t>
      </w:r>
      <w:proofErr w:type="spellEnd"/>
      <w:r w:rsidRPr="00E16672">
        <w:rPr>
          <w:rFonts w:ascii="Times New Roman" w:hAnsi="Times New Roman"/>
          <w:bCs/>
          <w:color w:val="000000"/>
          <w:szCs w:val="20"/>
        </w:rPr>
        <w:t xml:space="preserve"> </w:t>
      </w:r>
      <w:proofErr w:type="spellStart"/>
      <w:r w:rsidRPr="00E16672">
        <w:rPr>
          <w:rFonts w:ascii="Times New Roman" w:hAnsi="Times New Roman"/>
          <w:bCs/>
          <w:color w:val="000000"/>
          <w:szCs w:val="20"/>
        </w:rPr>
        <w:t>від</w:t>
      </w:r>
      <w:proofErr w:type="spellEnd"/>
      <w:r w:rsidRPr="00E16672">
        <w:rPr>
          <w:rFonts w:ascii="Times New Roman" w:hAnsi="Times New Roman"/>
          <w:bCs/>
          <w:color w:val="000000"/>
          <w:szCs w:val="20"/>
        </w:rPr>
        <w:t xml:space="preserve"> </w:t>
      </w:r>
      <w:proofErr w:type="spellStart"/>
      <w:r w:rsidRPr="00E16672">
        <w:rPr>
          <w:rFonts w:ascii="Times New Roman" w:hAnsi="Times New Roman"/>
          <w:bCs/>
          <w:color w:val="000000"/>
          <w:szCs w:val="20"/>
        </w:rPr>
        <w:t>Розрахункового</w:t>
      </w:r>
      <w:proofErr w:type="spellEnd"/>
      <w:r w:rsidRPr="00E16672">
        <w:rPr>
          <w:rFonts w:ascii="Times New Roman" w:hAnsi="Times New Roman"/>
          <w:bCs/>
          <w:color w:val="000000"/>
          <w:szCs w:val="20"/>
        </w:rPr>
        <w:t xml:space="preserve"> центру </w:t>
      </w:r>
      <w:proofErr w:type="spellStart"/>
      <w:r w:rsidRPr="00E16672">
        <w:rPr>
          <w:rFonts w:ascii="Times New Roman" w:hAnsi="Times New Roman"/>
          <w:bCs/>
          <w:color w:val="000000"/>
          <w:szCs w:val="20"/>
        </w:rPr>
        <w:t>чи</w:t>
      </w:r>
      <w:proofErr w:type="spellEnd"/>
      <w:r w:rsidRPr="00E16672">
        <w:rPr>
          <w:rFonts w:ascii="Times New Roman" w:hAnsi="Times New Roman"/>
          <w:bCs/>
          <w:color w:val="000000"/>
          <w:szCs w:val="20"/>
        </w:rPr>
        <w:t xml:space="preserve"> </w:t>
      </w:r>
      <w:proofErr w:type="spellStart"/>
      <w:r w:rsidRPr="00E16672">
        <w:rPr>
          <w:rFonts w:ascii="Times New Roman" w:hAnsi="Times New Roman"/>
          <w:bCs/>
          <w:color w:val="000000"/>
          <w:szCs w:val="20"/>
        </w:rPr>
        <w:t>клірингової</w:t>
      </w:r>
      <w:proofErr w:type="spellEnd"/>
      <w:r w:rsidRPr="00E16672">
        <w:rPr>
          <w:rFonts w:ascii="Times New Roman" w:hAnsi="Times New Roman"/>
          <w:bCs/>
          <w:color w:val="000000"/>
          <w:szCs w:val="20"/>
        </w:rPr>
        <w:t xml:space="preserve"> установи.</w:t>
      </w:r>
    </w:p>
    <w:p w14:paraId="0AA51B54" w14:textId="77777777" w:rsidR="007974E8" w:rsidRPr="00E16672" w:rsidRDefault="007974E8" w:rsidP="007974E8">
      <w:pPr>
        <w:rPr>
          <w:rFonts w:ascii="Times New Roman" w:hAnsi="Times New Roman"/>
          <w:color w:val="000000"/>
          <w:szCs w:val="20"/>
        </w:rPr>
      </w:pPr>
      <w:r w:rsidRPr="00E16672">
        <w:rPr>
          <w:rFonts w:ascii="Times New Roman" w:hAnsi="Times New Roman"/>
          <w:color w:val="000000"/>
          <w:szCs w:val="20"/>
        </w:rPr>
        <w:t xml:space="preserve">2.2.9. </w:t>
      </w:r>
      <w:proofErr w:type="spellStart"/>
      <w:r w:rsidRPr="00E16672">
        <w:rPr>
          <w:rFonts w:ascii="Times New Roman" w:hAnsi="Times New Roman"/>
          <w:color w:val="000000"/>
          <w:szCs w:val="20"/>
        </w:rPr>
        <w:t>Відмінити</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облікові</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операції</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які</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були</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ініційовані</w:t>
      </w:r>
      <w:proofErr w:type="spellEnd"/>
      <w:r w:rsidRPr="00E16672">
        <w:rPr>
          <w:rFonts w:ascii="Times New Roman" w:hAnsi="Times New Roman"/>
          <w:color w:val="000000"/>
          <w:szCs w:val="20"/>
        </w:rPr>
        <w:t xml:space="preserve"> Депозитарною </w:t>
      </w:r>
      <w:proofErr w:type="spellStart"/>
      <w:r w:rsidRPr="00E16672">
        <w:rPr>
          <w:rFonts w:ascii="Times New Roman" w:hAnsi="Times New Roman"/>
          <w:color w:val="000000"/>
          <w:szCs w:val="20"/>
        </w:rPr>
        <w:t>установою</w:t>
      </w:r>
      <w:proofErr w:type="spellEnd"/>
      <w:r w:rsidRPr="00E16672">
        <w:rPr>
          <w:rFonts w:ascii="Times New Roman" w:hAnsi="Times New Roman"/>
          <w:color w:val="000000"/>
          <w:szCs w:val="20"/>
        </w:rPr>
        <w:t xml:space="preserve"> у Центральному </w:t>
      </w:r>
      <w:proofErr w:type="spellStart"/>
      <w:r w:rsidRPr="00E16672">
        <w:rPr>
          <w:rFonts w:ascii="Times New Roman" w:hAnsi="Times New Roman"/>
          <w:color w:val="000000"/>
          <w:szCs w:val="20"/>
        </w:rPr>
        <w:t>депозитарії</w:t>
      </w:r>
      <w:proofErr w:type="spellEnd"/>
      <w:r w:rsidRPr="00E16672">
        <w:rPr>
          <w:rFonts w:ascii="Times New Roman" w:hAnsi="Times New Roman"/>
          <w:color w:val="000000"/>
          <w:szCs w:val="20"/>
        </w:rPr>
        <w:t xml:space="preserve">, але не </w:t>
      </w:r>
      <w:proofErr w:type="spellStart"/>
      <w:r w:rsidRPr="00E16672">
        <w:rPr>
          <w:rFonts w:ascii="Times New Roman" w:hAnsi="Times New Roman"/>
          <w:color w:val="000000"/>
          <w:szCs w:val="20"/>
        </w:rPr>
        <w:t>були</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завершені</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протягом</w:t>
      </w:r>
      <w:proofErr w:type="spellEnd"/>
      <w:r w:rsidRPr="00E16672">
        <w:rPr>
          <w:rFonts w:ascii="Times New Roman" w:hAnsi="Times New Roman"/>
          <w:color w:val="000000"/>
          <w:szCs w:val="20"/>
        </w:rPr>
        <w:t xml:space="preserve"> </w:t>
      </w:r>
      <w:proofErr w:type="spellStart"/>
      <w:r w:rsidRPr="00E16672">
        <w:rPr>
          <w:rFonts w:ascii="Times New Roman" w:hAnsi="Times New Roman"/>
          <w:i/>
          <w:iCs/>
          <w:color w:val="000000"/>
          <w:szCs w:val="20"/>
        </w:rPr>
        <w:t>трьох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робочих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днів</w:t>
      </w:r>
      <w:proofErr w:type="spellEnd"/>
      <w:r w:rsidRPr="00E16672">
        <w:rPr>
          <w:rFonts w:ascii="Times New Roman" w:hAnsi="Times New Roman"/>
          <w:color w:val="000000"/>
          <w:szCs w:val="20"/>
        </w:rPr>
        <w:t xml:space="preserve"> за </w:t>
      </w:r>
      <w:proofErr w:type="spellStart"/>
      <w:r w:rsidRPr="00E16672">
        <w:rPr>
          <w:rFonts w:ascii="Times New Roman" w:hAnsi="Times New Roman"/>
          <w:color w:val="000000"/>
          <w:szCs w:val="20"/>
        </w:rPr>
        <w:t>підстав</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які</w:t>
      </w:r>
      <w:proofErr w:type="spellEnd"/>
      <w:r w:rsidRPr="00E16672">
        <w:rPr>
          <w:rFonts w:ascii="Times New Roman" w:hAnsi="Times New Roman"/>
          <w:color w:val="000000"/>
          <w:szCs w:val="20"/>
        </w:rPr>
        <w:t xml:space="preserve"> не </w:t>
      </w:r>
      <w:proofErr w:type="spellStart"/>
      <w:r w:rsidRPr="00E16672">
        <w:rPr>
          <w:rFonts w:ascii="Times New Roman" w:hAnsi="Times New Roman"/>
          <w:color w:val="000000"/>
          <w:szCs w:val="20"/>
        </w:rPr>
        <w:t>залежать</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від</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Депозитарної</w:t>
      </w:r>
      <w:proofErr w:type="spellEnd"/>
      <w:r w:rsidRPr="00E16672">
        <w:rPr>
          <w:rFonts w:ascii="Times New Roman" w:hAnsi="Times New Roman"/>
          <w:color w:val="000000"/>
          <w:szCs w:val="20"/>
        </w:rPr>
        <w:t xml:space="preserve"> установи, у </w:t>
      </w:r>
      <w:proofErr w:type="spellStart"/>
      <w:r w:rsidRPr="00E16672">
        <w:rPr>
          <w:rFonts w:ascii="Times New Roman" w:hAnsi="Times New Roman"/>
          <w:color w:val="000000"/>
          <w:szCs w:val="20"/>
        </w:rPr>
        <w:t>випадку</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отримання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від</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Керуючого</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рахунком</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відповідного</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розпорядження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відміни</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анулювання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його</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попереднього</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розпорядження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згідно</w:t>
      </w:r>
      <w:proofErr w:type="spellEnd"/>
      <w:r w:rsidRPr="00E16672">
        <w:rPr>
          <w:rFonts w:ascii="Times New Roman" w:hAnsi="Times New Roman"/>
          <w:color w:val="000000"/>
          <w:szCs w:val="20"/>
        </w:rPr>
        <w:t xml:space="preserve"> з </w:t>
      </w:r>
      <w:proofErr w:type="spellStart"/>
      <w:r w:rsidRPr="00E16672">
        <w:rPr>
          <w:rFonts w:ascii="Times New Roman" w:hAnsi="Times New Roman"/>
          <w:color w:val="000000"/>
          <w:szCs w:val="20"/>
        </w:rPr>
        <w:t>внутрішніми</w:t>
      </w:r>
      <w:proofErr w:type="spellEnd"/>
      <w:r w:rsidRPr="00E16672">
        <w:rPr>
          <w:rFonts w:ascii="Times New Roman" w:hAnsi="Times New Roman"/>
          <w:color w:val="000000"/>
          <w:szCs w:val="20"/>
        </w:rPr>
        <w:t xml:space="preserve"> документами </w:t>
      </w:r>
      <w:proofErr w:type="spellStart"/>
      <w:r w:rsidRPr="00E16672">
        <w:rPr>
          <w:rFonts w:ascii="Times New Roman" w:hAnsi="Times New Roman"/>
          <w:color w:val="000000"/>
          <w:szCs w:val="20"/>
        </w:rPr>
        <w:t>депозитарної</w:t>
      </w:r>
      <w:proofErr w:type="spellEnd"/>
      <w:r w:rsidRPr="00E16672">
        <w:rPr>
          <w:rFonts w:ascii="Times New Roman" w:hAnsi="Times New Roman"/>
          <w:color w:val="000000"/>
          <w:szCs w:val="20"/>
        </w:rPr>
        <w:t xml:space="preserve"> установи </w:t>
      </w:r>
      <w:proofErr w:type="spellStart"/>
      <w:r w:rsidRPr="00E16672">
        <w:rPr>
          <w:rFonts w:ascii="Times New Roman" w:hAnsi="Times New Roman"/>
          <w:color w:val="000000"/>
          <w:szCs w:val="20"/>
        </w:rPr>
        <w:t>відповідно</w:t>
      </w:r>
      <w:proofErr w:type="spellEnd"/>
      <w:r w:rsidRPr="00E16672">
        <w:rPr>
          <w:rFonts w:ascii="Times New Roman" w:hAnsi="Times New Roman"/>
          <w:color w:val="000000"/>
          <w:szCs w:val="20"/>
        </w:rPr>
        <w:t xml:space="preserve"> до Правил та </w:t>
      </w:r>
      <w:proofErr w:type="spellStart"/>
      <w:r w:rsidRPr="00E16672">
        <w:rPr>
          <w:rFonts w:ascii="Times New Roman" w:hAnsi="Times New Roman"/>
          <w:color w:val="000000"/>
          <w:szCs w:val="20"/>
        </w:rPr>
        <w:t>інших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внутрішніх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документів</w:t>
      </w:r>
      <w:proofErr w:type="spellEnd"/>
      <w:r w:rsidRPr="00E16672">
        <w:rPr>
          <w:rFonts w:ascii="Times New Roman" w:hAnsi="Times New Roman"/>
          <w:color w:val="000000"/>
          <w:szCs w:val="20"/>
        </w:rPr>
        <w:t xml:space="preserve"> Центрального </w:t>
      </w:r>
      <w:proofErr w:type="spellStart"/>
      <w:r w:rsidRPr="00E16672">
        <w:rPr>
          <w:rFonts w:ascii="Times New Roman" w:hAnsi="Times New Roman"/>
          <w:color w:val="000000"/>
          <w:szCs w:val="20"/>
        </w:rPr>
        <w:t>депозитарію</w:t>
      </w:r>
      <w:proofErr w:type="spellEnd"/>
      <w:r w:rsidRPr="00E16672">
        <w:rPr>
          <w:rFonts w:ascii="Times New Roman" w:hAnsi="Times New Roman"/>
          <w:color w:val="000000"/>
          <w:szCs w:val="20"/>
        </w:rPr>
        <w:t>.</w:t>
      </w:r>
    </w:p>
    <w:p w14:paraId="7B1629FF" w14:textId="77777777" w:rsidR="007974E8" w:rsidRPr="00E16672" w:rsidRDefault="007974E8" w:rsidP="007974E8">
      <w:pPr>
        <w:tabs>
          <w:tab w:val="left" w:pos="851"/>
          <w:tab w:val="left" w:pos="7200"/>
        </w:tabs>
        <w:ind w:firstLine="539"/>
        <w:rPr>
          <w:rFonts w:ascii="Times New Roman" w:hAnsi="Times New Roman"/>
          <w:color w:val="000000"/>
          <w:szCs w:val="20"/>
        </w:rPr>
      </w:pPr>
      <w:r w:rsidRPr="00E16672">
        <w:rPr>
          <w:rFonts w:ascii="Times New Roman" w:hAnsi="Times New Roman"/>
          <w:color w:val="000000"/>
          <w:szCs w:val="20"/>
        </w:rPr>
        <w:t xml:space="preserve">2.2.10. </w:t>
      </w:r>
      <w:proofErr w:type="spellStart"/>
      <w:r w:rsidRPr="00E16672">
        <w:rPr>
          <w:rFonts w:ascii="Times New Roman" w:hAnsi="Times New Roman"/>
          <w:color w:val="000000"/>
          <w:szCs w:val="20"/>
        </w:rPr>
        <w:t>Знерухомити</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належні</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Депонент</w:t>
      </w:r>
      <w:r w:rsidR="00C22309" w:rsidRPr="00E16672">
        <w:rPr>
          <w:rFonts w:ascii="Times New Roman" w:hAnsi="Times New Roman"/>
          <w:color w:val="000000"/>
          <w:szCs w:val="20"/>
        </w:rPr>
        <w:t>в</w:t>
      </w:r>
      <w:proofErr w:type="spellEnd"/>
      <w:r w:rsidR="00C22309" w:rsidRPr="00E16672">
        <w:rPr>
          <w:rFonts w:ascii="Times New Roman" w:hAnsi="Times New Roman"/>
          <w:color w:val="000000"/>
          <w:szCs w:val="20"/>
        </w:rPr>
        <w:t xml:space="preserve"> </w:t>
      </w:r>
      <w:proofErr w:type="spellStart"/>
      <w:r w:rsidR="00C22309" w:rsidRPr="00E16672">
        <w:rPr>
          <w:rFonts w:ascii="Times New Roman" w:hAnsi="Times New Roman"/>
          <w:color w:val="000000"/>
          <w:szCs w:val="20"/>
        </w:rPr>
        <w:t>цін</w:t>
      </w:r>
      <w:r w:rsidRPr="00E16672">
        <w:rPr>
          <w:rFonts w:ascii="Times New Roman" w:hAnsi="Times New Roman"/>
          <w:color w:val="000000"/>
          <w:szCs w:val="20"/>
        </w:rPr>
        <w:t>ні</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папери</w:t>
      </w:r>
      <w:proofErr w:type="spellEnd"/>
      <w:r w:rsidRPr="00E16672">
        <w:rPr>
          <w:rFonts w:ascii="Times New Roman" w:hAnsi="Times New Roman"/>
          <w:color w:val="000000"/>
          <w:szCs w:val="20"/>
        </w:rPr>
        <w:t xml:space="preserve"> на </w:t>
      </w:r>
      <w:proofErr w:type="spellStart"/>
      <w:r w:rsidRPr="00E16672">
        <w:rPr>
          <w:rFonts w:ascii="Times New Roman" w:hAnsi="Times New Roman"/>
          <w:color w:val="000000"/>
          <w:szCs w:val="20"/>
        </w:rPr>
        <w:t>пред`явника</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документарної</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форми</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існування</w:t>
      </w:r>
      <w:proofErr w:type="spellEnd"/>
      <w:r w:rsidRPr="00E16672">
        <w:rPr>
          <w:rFonts w:ascii="Times New Roman" w:hAnsi="Times New Roman"/>
          <w:color w:val="000000"/>
          <w:szCs w:val="20"/>
        </w:rPr>
        <w:t xml:space="preserve">, шляхом </w:t>
      </w:r>
      <w:proofErr w:type="spellStart"/>
      <w:r w:rsidRPr="00E16672">
        <w:rPr>
          <w:rFonts w:ascii="Times New Roman" w:hAnsi="Times New Roman"/>
          <w:color w:val="000000"/>
          <w:szCs w:val="20"/>
        </w:rPr>
        <w:t>надання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Депозитарній</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установі</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розпорядження</w:t>
      </w:r>
      <w:proofErr w:type="spellEnd"/>
      <w:r w:rsidRPr="00E16672">
        <w:rPr>
          <w:rFonts w:ascii="Times New Roman" w:hAnsi="Times New Roman"/>
          <w:color w:val="000000"/>
          <w:szCs w:val="20"/>
        </w:rPr>
        <w:t xml:space="preserve"> про </w:t>
      </w:r>
      <w:proofErr w:type="spellStart"/>
      <w:r w:rsidRPr="00E16672">
        <w:rPr>
          <w:rFonts w:ascii="Times New Roman" w:hAnsi="Times New Roman"/>
          <w:color w:val="000000"/>
          <w:szCs w:val="20"/>
        </w:rPr>
        <w:t>знерухомлення</w:t>
      </w:r>
      <w:proofErr w:type="spellEnd"/>
      <w:r w:rsidRPr="00E16672">
        <w:rPr>
          <w:rFonts w:ascii="Times New Roman" w:hAnsi="Times New Roman"/>
          <w:color w:val="000000"/>
          <w:szCs w:val="20"/>
        </w:rPr>
        <w:t xml:space="preserve"> та </w:t>
      </w:r>
      <w:proofErr w:type="spellStart"/>
      <w:r w:rsidRPr="00E16672">
        <w:rPr>
          <w:rFonts w:ascii="Times New Roman" w:hAnsi="Times New Roman"/>
          <w:color w:val="000000"/>
          <w:szCs w:val="20"/>
        </w:rPr>
        <w:t>зарахування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цінних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паперів</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місце</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зберігання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цінних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паперів</w:t>
      </w:r>
      <w:proofErr w:type="spellEnd"/>
      <w:r w:rsidRPr="00E16672">
        <w:rPr>
          <w:rFonts w:ascii="Times New Roman" w:hAnsi="Times New Roman"/>
          <w:color w:val="000000"/>
          <w:szCs w:val="20"/>
        </w:rPr>
        <w:t xml:space="preserve"> - </w:t>
      </w:r>
      <w:proofErr w:type="spellStart"/>
      <w:r w:rsidRPr="00E16672">
        <w:rPr>
          <w:rFonts w:ascii="Times New Roman" w:hAnsi="Times New Roman"/>
          <w:color w:val="000000"/>
          <w:szCs w:val="20"/>
        </w:rPr>
        <w:t>Центральний</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депозитарій</w:t>
      </w:r>
      <w:proofErr w:type="spellEnd"/>
      <w:r w:rsidRPr="00E16672">
        <w:rPr>
          <w:rFonts w:ascii="Times New Roman" w:hAnsi="Times New Roman"/>
          <w:color w:val="000000"/>
          <w:szCs w:val="20"/>
        </w:rPr>
        <w:t xml:space="preserve">) та </w:t>
      </w:r>
      <w:proofErr w:type="spellStart"/>
      <w:r w:rsidRPr="00E16672">
        <w:rPr>
          <w:rFonts w:ascii="Times New Roman" w:hAnsi="Times New Roman"/>
          <w:color w:val="000000"/>
          <w:szCs w:val="20"/>
        </w:rPr>
        <w:t>сертифікатів</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цінних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паперів</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приймання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яких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оформлюється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складанням</w:t>
      </w:r>
      <w:proofErr w:type="spellEnd"/>
      <w:r w:rsidRPr="00E16672">
        <w:rPr>
          <w:rFonts w:ascii="Times New Roman" w:hAnsi="Times New Roman"/>
          <w:color w:val="000000"/>
          <w:szCs w:val="20"/>
        </w:rPr>
        <w:t xml:space="preserve"> акта </w:t>
      </w:r>
      <w:proofErr w:type="spellStart"/>
      <w:r w:rsidRPr="00E16672">
        <w:rPr>
          <w:rFonts w:ascii="Times New Roman" w:hAnsi="Times New Roman"/>
          <w:color w:val="000000"/>
          <w:szCs w:val="20"/>
        </w:rPr>
        <w:t>приймання-передавання</w:t>
      </w:r>
      <w:proofErr w:type="spellEnd"/>
      <w:r w:rsidRPr="00E16672">
        <w:rPr>
          <w:rFonts w:ascii="Times New Roman" w:hAnsi="Times New Roman"/>
          <w:color w:val="000000"/>
          <w:szCs w:val="20"/>
        </w:rPr>
        <w:t xml:space="preserve">. </w:t>
      </w:r>
    </w:p>
    <w:p w14:paraId="1C561C97" w14:textId="77777777" w:rsidR="007974E8" w:rsidRPr="00E16672" w:rsidRDefault="007974E8" w:rsidP="007974E8">
      <w:pPr>
        <w:rPr>
          <w:rFonts w:ascii="Times New Roman" w:hAnsi="Times New Roman"/>
          <w:color w:val="000000"/>
          <w:szCs w:val="20"/>
          <w:lang w:val="uk-UA"/>
        </w:rPr>
      </w:pPr>
      <w:r w:rsidRPr="00E16672">
        <w:rPr>
          <w:rFonts w:ascii="Times New Roman" w:hAnsi="Times New Roman"/>
          <w:color w:val="000000"/>
          <w:szCs w:val="20"/>
        </w:rPr>
        <w:t xml:space="preserve">2.2.11. </w:t>
      </w:r>
      <w:r w:rsidRPr="00E16672">
        <w:rPr>
          <w:rFonts w:ascii="Times New Roman" w:hAnsi="Times New Roman"/>
          <w:color w:val="000000"/>
          <w:szCs w:val="20"/>
          <w:lang w:val="uk-UA"/>
        </w:rPr>
        <w:t xml:space="preserve">Надавати письмову відмову у видачі виписки з рахунка в цінних паперах у разі невідповідності оформлення запиту вимогам </w:t>
      </w:r>
      <w:r w:rsidRPr="00E16672">
        <w:rPr>
          <w:rFonts w:ascii="Times New Roman" w:hAnsi="Times New Roman"/>
          <w:bCs/>
          <w:color w:val="000000"/>
          <w:szCs w:val="20"/>
          <w:lang w:val="uk-UA"/>
        </w:rPr>
        <w:t xml:space="preserve">Положення </w:t>
      </w:r>
      <w:r w:rsidRPr="00E16672">
        <w:rPr>
          <w:rFonts w:ascii="Times New Roman" w:hAnsi="Times New Roman"/>
          <w:bCs/>
          <w:color w:val="000000"/>
          <w:szCs w:val="20"/>
        </w:rPr>
        <w:t xml:space="preserve">про </w:t>
      </w:r>
      <w:proofErr w:type="spellStart"/>
      <w:r w:rsidRPr="00E16672">
        <w:rPr>
          <w:rFonts w:ascii="Times New Roman" w:hAnsi="Times New Roman"/>
          <w:bCs/>
          <w:color w:val="000000"/>
          <w:szCs w:val="20"/>
        </w:rPr>
        <w:t>провадження</w:t>
      </w:r>
      <w:proofErr w:type="spellEnd"/>
      <w:r w:rsidRPr="00E16672">
        <w:rPr>
          <w:rFonts w:ascii="Times New Roman" w:hAnsi="Times New Roman"/>
          <w:bCs/>
          <w:color w:val="000000"/>
          <w:szCs w:val="20"/>
        </w:rPr>
        <w:t xml:space="preserve"> </w:t>
      </w:r>
      <w:proofErr w:type="spellStart"/>
      <w:r w:rsidRPr="00E16672">
        <w:rPr>
          <w:rFonts w:ascii="Times New Roman" w:hAnsi="Times New Roman"/>
          <w:bCs/>
          <w:color w:val="000000"/>
          <w:szCs w:val="20"/>
        </w:rPr>
        <w:t>депозитарної</w:t>
      </w:r>
      <w:proofErr w:type="spellEnd"/>
      <w:r w:rsidRPr="00E16672">
        <w:rPr>
          <w:rFonts w:ascii="Times New Roman" w:hAnsi="Times New Roman"/>
          <w:bCs/>
          <w:color w:val="000000"/>
          <w:szCs w:val="20"/>
        </w:rPr>
        <w:t xml:space="preserve"> </w:t>
      </w:r>
      <w:proofErr w:type="spellStart"/>
      <w:r w:rsidRPr="00E16672">
        <w:rPr>
          <w:rFonts w:ascii="Times New Roman" w:hAnsi="Times New Roman"/>
          <w:bCs/>
          <w:color w:val="000000"/>
          <w:szCs w:val="20"/>
        </w:rPr>
        <w:t>діяльності</w:t>
      </w:r>
      <w:proofErr w:type="spellEnd"/>
      <w:r w:rsidRPr="00E16672">
        <w:rPr>
          <w:rFonts w:ascii="Times New Roman" w:hAnsi="Times New Roman"/>
          <w:bCs/>
          <w:color w:val="000000"/>
          <w:szCs w:val="20"/>
        </w:rPr>
        <w:t xml:space="preserve"> та/</w:t>
      </w:r>
      <w:proofErr w:type="spellStart"/>
      <w:r w:rsidRPr="00E16672">
        <w:rPr>
          <w:rFonts w:ascii="Times New Roman" w:hAnsi="Times New Roman"/>
          <w:bCs/>
          <w:color w:val="000000"/>
          <w:szCs w:val="20"/>
        </w:rPr>
        <w:t>або</w:t>
      </w:r>
      <w:proofErr w:type="spellEnd"/>
      <w:r w:rsidRPr="00E16672">
        <w:rPr>
          <w:rFonts w:ascii="Times New Roman" w:hAnsi="Times New Roman"/>
          <w:bCs/>
          <w:color w:val="000000"/>
          <w:szCs w:val="20"/>
        </w:rPr>
        <w:t xml:space="preserve"> </w:t>
      </w:r>
      <w:r w:rsidRPr="00E16672">
        <w:rPr>
          <w:rFonts w:ascii="Times New Roman" w:hAnsi="Times New Roman"/>
          <w:bCs/>
          <w:color w:val="000000"/>
          <w:szCs w:val="20"/>
          <w:lang w:val="uk-UA"/>
        </w:rPr>
        <w:t>внутрішніх документів Депозитарної установи</w:t>
      </w:r>
      <w:r w:rsidRPr="00E16672">
        <w:rPr>
          <w:rFonts w:ascii="Times New Roman" w:hAnsi="Times New Roman"/>
          <w:color w:val="000000"/>
          <w:szCs w:val="20"/>
          <w:lang w:val="uk-UA"/>
        </w:rPr>
        <w:t xml:space="preserve">. </w:t>
      </w:r>
    </w:p>
    <w:p w14:paraId="2E93978F" w14:textId="77777777" w:rsidR="007974E8" w:rsidRPr="00E16672" w:rsidRDefault="007974E8" w:rsidP="007974E8">
      <w:pPr>
        <w:pStyle w:val="af"/>
        <w:rPr>
          <w:rFonts w:ascii="Times New Roman" w:hAnsi="Times New Roman" w:cs="Times New Roman"/>
          <w:color w:val="000000"/>
          <w:lang w:val="ru-RU"/>
        </w:rPr>
      </w:pPr>
    </w:p>
    <w:p w14:paraId="6F2A2675" w14:textId="77777777" w:rsidR="007974E8" w:rsidRPr="00E16672" w:rsidRDefault="007974E8" w:rsidP="007974E8">
      <w:pPr>
        <w:tabs>
          <w:tab w:val="left" w:pos="709"/>
        </w:tabs>
        <w:rPr>
          <w:rFonts w:ascii="Times New Roman" w:hAnsi="Times New Roman"/>
          <w:b/>
          <w:color w:val="000000"/>
          <w:szCs w:val="20"/>
        </w:rPr>
      </w:pPr>
      <w:r w:rsidRPr="00E16672">
        <w:rPr>
          <w:rFonts w:ascii="Times New Roman" w:hAnsi="Times New Roman"/>
          <w:b/>
          <w:color w:val="000000"/>
          <w:szCs w:val="20"/>
        </w:rPr>
        <w:t xml:space="preserve">2.3.  </w:t>
      </w:r>
      <w:proofErr w:type="spellStart"/>
      <w:r w:rsidRPr="00E16672">
        <w:rPr>
          <w:rFonts w:ascii="Times New Roman" w:hAnsi="Times New Roman"/>
          <w:b/>
          <w:color w:val="000000"/>
          <w:szCs w:val="20"/>
        </w:rPr>
        <w:t>Керуючий</w:t>
      </w:r>
      <w:proofErr w:type="spellEnd"/>
      <w:r w:rsidRPr="00E16672">
        <w:rPr>
          <w:rFonts w:ascii="Times New Roman" w:hAnsi="Times New Roman"/>
          <w:b/>
          <w:color w:val="000000"/>
          <w:szCs w:val="20"/>
        </w:rPr>
        <w:t xml:space="preserve"> </w:t>
      </w:r>
      <w:proofErr w:type="spellStart"/>
      <w:r w:rsidRPr="00E16672">
        <w:rPr>
          <w:rFonts w:ascii="Times New Roman" w:hAnsi="Times New Roman"/>
          <w:b/>
          <w:color w:val="000000"/>
          <w:szCs w:val="20"/>
        </w:rPr>
        <w:t>рахунком</w:t>
      </w:r>
      <w:proofErr w:type="spellEnd"/>
      <w:r w:rsidRPr="00E16672">
        <w:rPr>
          <w:rFonts w:ascii="Times New Roman" w:hAnsi="Times New Roman"/>
          <w:b/>
          <w:color w:val="000000"/>
          <w:szCs w:val="20"/>
        </w:rPr>
        <w:t xml:space="preserve"> </w:t>
      </w:r>
      <w:proofErr w:type="spellStart"/>
      <w:r w:rsidRPr="00E16672">
        <w:rPr>
          <w:rFonts w:ascii="Times New Roman" w:hAnsi="Times New Roman"/>
          <w:b/>
          <w:color w:val="000000"/>
          <w:szCs w:val="20"/>
        </w:rPr>
        <w:t>зобов’язаний</w:t>
      </w:r>
      <w:proofErr w:type="spellEnd"/>
      <w:r w:rsidRPr="00E16672">
        <w:rPr>
          <w:rFonts w:ascii="Times New Roman" w:hAnsi="Times New Roman"/>
          <w:b/>
          <w:color w:val="000000"/>
          <w:szCs w:val="20"/>
        </w:rPr>
        <w:t>:</w:t>
      </w:r>
    </w:p>
    <w:p w14:paraId="3F124AB8" w14:textId="77777777" w:rsidR="007974E8" w:rsidRPr="00E16672" w:rsidRDefault="007974E8" w:rsidP="007974E8">
      <w:pPr>
        <w:rPr>
          <w:rFonts w:ascii="Times New Roman" w:hAnsi="Times New Roman"/>
          <w:color w:val="000000"/>
          <w:szCs w:val="20"/>
        </w:rPr>
      </w:pPr>
      <w:r w:rsidRPr="00E16672">
        <w:rPr>
          <w:rFonts w:ascii="Times New Roman" w:hAnsi="Times New Roman"/>
          <w:color w:val="000000"/>
          <w:szCs w:val="20"/>
        </w:rPr>
        <w:t xml:space="preserve">2.3.1. </w:t>
      </w:r>
      <w:proofErr w:type="spellStart"/>
      <w:r w:rsidRPr="00E16672">
        <w:rPr>
          <w:rFonts w:ascii="Times New Roman" w:hAnsi="Times New Roman"/>
          <w:color w:val="000000"/>
          <w:szCs w:val="20"/>
        </w:rPr>
        <w:t>Надати</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Депозитарній</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установі</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належним</w:t>
      </w:r>
      <w:proofErr w:type="spellEnd"/>
      <w:r w:rsidRPr="00E16672">
        <w:rPr>
          <w:rFonts w:ascii="Times New Roman" w:hAnsi="Times New Roman"/>
          <w:color w:val="000000"/>
          <w:szCs w:val="20"/>
        </w:rPr>
        <w:t xml:space="preserve"> чином </w:t>
      </w:r>
      <w:proofErr w:type="spellStart"/>
      <w:r w:rsidRPr="00E16672">
        <w:rPr>
          <w:rFonts w:ascii="Times New Roman" w:hAnsi="Times New Roman"/>
          <w:color w:val="000000"/>
          <w:szCs w:val="20"/>
        </w:rPr>
        <w:t>оформлені</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документи</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визначені</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законодавством</w:t>
      </w:r>
      <w:proofErr w:type="spellEnd"/>
      <w:r w:rsidRPr="00E16672">
        <w:rPr>
          <w:rFonts w:ascii="Times New Roman" w:hAnsi="Times New Roman"/>
          <w:color w:val="000000"/>
          <w:szCs w:val="20"/>
        </w:rPr>
        <w:t xml:space="preserve"> та </w:t>
      </w:r>
      <w:proofErr w:type="spellStart"/>
      <w:r w:rsidRPr="00E16672">
        <w:rPr>
          <w:rFonts w:ascii="Times New Roman" w:hAnsi="Times New Roman"/>
          <w:color w:val="000000"/>
          <w:szCs w:val="20"/>
        </w:rPr>
        <w:t>внутрішніми</w:t>
      </w:r>
      <w:proofErr w:type="spellEnd"/>
      <w:r w:rsidRPr="00E16672">
        <w:rPr>
          <w:rFonts w:ascii="Times New Roman" w:hAnsi="Times New Roman"/>
          <w:color w:val="000000"/>
          <w:szCs w:val="20"/>
        </w:rPr>
        <w:t xml:space="preserve"> документами </w:t>
      </w:r>
      <w:proofErr w:type="spellStart"/>
      <w:r w:rsidRPr="00E16672">
        <w:rPr>
          <w:rFonts w:ascii="Times New Roman" w:hAnsi="Times New Roman"/>
          <w:color w:val="000000"/>
          <w:szCs w:val="20"/>
        </w:rPr>
        <w:t>Депозитарної</w:t>
      </w:r>
      <w:proofErr w:type="spellEnd"/>
      <w:r w:rsidRPr="00E16672">
        <w:rPr>
          <w:rFonts w:ascii="Times New Roman" w:hAnsi="Times New Roman"/>
          <w:color w:val="000000"/>
          <w:szCs w:val="20"/>
        </w:rPr>
        <w:t xml:space="preserve"> установи, </w:t>
      </w:r>
      <w:proofErr w:type="spellStart"/>
      <w:r w:rsidRPr="00E16672">
        <w:rPr>
          <w:rFonts w:ascii="Times New Roman" w:hAnsi="Times New Roman"/>
          <w:color w:val="000000"/>
          <w:szCs w:val="20"/>
        </w:rPr>
        <w:t>необхідні</w:t>
      </w:r>
      <w:proofErr w:type="spellEnd"/>
      <w:r w:rsidRPr="00E16672">
        <w:rPr>
          <w:rFonts w:ascii="Times New Roman" w:hAnsi="Times New Roman"/>
          <w:color w:val="000000"/>
          <w:szCs w:val="20"/>
        </w:rPr>
        <w:t xml:space="preserve"> для </w:t>
      </w:r>
      <w:proofErr w:type="spellStart"/>
      <w:r w:rsidRPr="00E16672">
        <w:rPr>
          <w:rFonts w:ascii="Times New Roman" w:hAnsi="Times New Roman"/>
          <w:color w:val="000000"/>
          <w:szCs w:val="20"/>
        </w:rPr>
        <w:t>відкриття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рахунку</w:t>
      </w:r>
      <w:proofErr w:type="spellEnd"/>
      <w:r w:rsidRPr="00E16672">
        <w:rPr>
          <w:rFonts w:ascii="Times New Roman" w:hAnsi="Times New Roman"/>
          <w:color w:val="000000"/>
          <w:szCs w:val="20"/>
        </w:rPr>
        <w:t xml:space="preserve"> в </w:t>
      </w:r>
      <w:proofErr w:type="spellStart"/>
      <w:r w:rsidRPr="00E16672">
        <w:rPr>
          <w:rFonts w:ascii="Times New Roman" w:hAnsi="Times New Roman"/>
          <w:color w:val="000000"/>
          <w:szCs w:val="20"/>
        </w:rPr>
        <w:t>цінних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паперах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протягом</w:t>
      </w:r>
      <w:proofErr w:type="spellEnd"/>
      <w:r w:rsidRPr="00E16672">
        <w:rPr>
          <w:rFonts w:ascii="Times New Roman" w:hAnsi="Times New Roman"/>
          <w:color w:val="000000"/>
          <w:szCs w:val="20"/>
        </w:rPr>
        <w:t xml:space="preserve"> </w:t>
      </w:r>
      <w:proofErr w:type="spellStart"/>
      <w:r w:rsidRPr="00E16672">
        <w:rPr>
          <w:rFonts w:ascii="Times New Roman" w:hAnsi="Times New Roman"/>
          <w:i/>
          <w:color w:val="000000"/>
          <w:szCs w:val="20"/>
        </w:rPr>
        <w:t>п'яти</w:t>
      </w:r>
      <w:proofErr w:type="spellEnd"/>
      <w:r w:rsidRPr="00E16672">
        <w:rPr>
          <w:rFonts w:ascii="Times New Roman" w:hAnsi="Times New Roman"/>
          <w:i/>
          <w:color w:val="000000"/>
          <w:szCs w:val="20"/>
        </w:rPr>
        <w:t xml:space="preserve"> </w:t>
      </w:r>
      <w:proofErr w:type="spellStart"/>
      <w:r w:rsidRPr="00E16672">
        <w:rPr>
          <w:rFonts w:ascii="Times New Roman" w:hAnsi="Times New Roman"/>
          <w:color w:val="000000"/>
          <w:szCs w:val="20"/>
        </w:rPr>
        <w:t>робочих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днів</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після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укладення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цього</w:t>
      </w:r>
      <w:proofErr w:type="spellEnd"/>
      <w:r w:rsidRPr="00E16672">
        <w:rPr>
          <w:rFonts w:ascii="Times New Roman" w:hAnsi="Times New Roman"/>
          <w:color w:val="000000"/>
          <w:szCs w:val="20"/>
        </w:rPr>
        <w:t xml:space="preserve"> Договору.</w:t>
      </w:r>
    </w:p>
    <w:p w14:paraId="3BC94432" w14:textId="77777777" w:rsidR="007974E8" w:rsidRPr="00E16672" w:rsidRDefault="007974E8" w:rsidP="007974E8">
      <w:pPr>
        <w:rPr>
          <w:rFonts w:ascii="Times New Roman" w:hAnsi="Times New Roman"/>
          <w:color w:val="000000"/>
          <w:szCs w:val="20"/>
        </w:rPr>
      </w:pPr>
      <w:r w:rsidRPr="00E16672">
        <w:rPr>
          <w:rFonts w:ascii="Times New Roman" w:hAnsi="Times New Roman"/>
          <w:color w:val="000000"/>
          <w:szCs w:val="20"/>
        </w:rPr>
        <w:t xml:space="preserve">2.3.2. </w:t>
      </w:r>
      <w:proofErr w:type="spellStart"/>
      <w:r w:rsidRPr="00E16672">
        <w:rPr>
          <w:rFonts w:ascii="Times New Roman" w:hAnsi="Times New Roman"/>
          <w:color w:val="000000"/>
          <w:szCs w:val="20"/>
        </w:rPr>
        <w:t>Призначити</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розпорядника</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рахунку</w:t>
      </w:r>
      <w:proofErr w:type="spellEnd"/>
      <w:r w:rsidRPr="00E16672">
        <w:rPr>
          <w:rFonts w:ascii="Times New Roman" w:hAnsi="Times New Roman"/>
          <w:color w:val="000000"/>
          <w:szCs w:val="20"/>
        </w:rPr>
        <w:t xml:space="preserve"> </w:t>
      </w:r>
      <w:r w:rsidR="00C22309" w:rsidRPr="00E16672">
        <w:rPr>
          <w:rFonts w:ascii="Times New Roman" w:hAnsi="Times New Roman"/>
          <w:color w:val="000000"/>
          <w:szCs w:val="20"/>
        </w:rPr>
        <w:t xml:space="preserve">в </w:t>
      </w:r>
      <w:proofErr w:type="spellStart"/>
      <w:r w:rsidR="00C22309" w:rsidRPr="00E16672">
        <w:rPr>
          <w:rFonts w:ascii="Times New Roman" w:hAnsi="Times New Roman"/>
          <w:color w:val="000000"/>
          <w:szCs w:val="20"/>
        </w:rPr>
        <w:t>цін</w:t>
      </w:r>
      <w:r w:rsidRPr="00E16672">
        <w:rPr>
          <w:rFonts w:ascii="Times New Roman" w:hAnsi="Times New Roman"/>
          <w:color w:val="000000"/>
          <w:szCs w:val="20"/>
        </w:rPr>
        <w:t>них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паперах</w:t>
      </w:r>
      <w:proofErr w:type="spellEnd"/>
      <w:r w:rsidRPr="00E16672">
        <w:rPr>
          <w:rFonts w:ascii="Times New Roman" w:hAnsi="Times New Roman"/>
          <w:color w:val="000000"/>
          <w:szCs w:val="20"/>
        </w:rPr>
        <w:t>.</w:t>
      </w:r>
    </w:p>
    <w:p w14:paraId="3349F35A" w14:textId="77777777" w:rsidR="007974E8" w:rsidRPr="00E16672" w:rsidRDefault="007974E8" w:rsidP="007974E8">
      <w:pPr>
        <w:rPr>
          <w:rFonts w:ascii="Times New Roman" w:hAnsi="Times New Roman"/>
          <w:color w:val="000000"/>
          <w:szCs w:val="20"/>
        </w:rPr>
      </w:pPr>
      <w:r w:rsidRPr="00E16672">
        <w:rPr>
          <w:rFonts w:ascii="Times New Roman" w:hAnsi="Times New Roman"/>
          <w:color w:val="000000"/>
          <w:szCs w:val="20"/>
        </w:rPr>
        <w:t>2.3.3.</w:t>
      </w:r>
      <w:r w:rsidRPr="00E16672">
        <w:rPr>
          <w:rFonts w:ascii="Times New Roman" w:hAnsi="Times New Roman"/>
          <w:color w:val="000000"/>
          <w:szCs w:val="20"/>
          <w:lang w:val="uk-UA"/>
        </w:rPr>
        <w:t xml:space="preserve"> </w:t>
      </w:r>
      <w:proofErr w:type="spellStart"/>
      <w:r w:rsidRPr="00E16672">
        <w:rPr>
          <w:rFonts w:ascii="Times New Roman" w:hAnsi="Times New Roman"/>
          <w:color w:val="000000"/>
          <w:szCs w:val="20"/>
        </w:rPr>
        <w:t>Дотримуватись</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вимог</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внутрішніх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документів</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Депозитарної</w:t>
      </w:r>
      <w:proofErr w:type="spellEnd"/>
      <w:r w:rsidRPr="00E16672">
        <w:rPr>
          <w:rFonts w:ascii="Times New Roman" w:hAnsi="Times New Roman"/>
          <w:color w:val="000000"/>
          <w:szCs w:val="20"/>
        </w:rPr>
        <w:t xml:space="preserve"> установи, </w:t>
      </w:r>
      <w:proofErr w:type="spellStart"/>
      <w:r w:rsidRPr="00E16672">
        <w:rPr>
          <w:rFonts w:ascii="Times New Roman" w:hAnsi="Times New Roman"/>
          <w:color w:val="000000"/>
          <w:szCs w:val="20"/>
        </w:rPr>
        <w:t>які</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регламентують</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відносини</w:t>
      </w:r>
      <w:proofErr w:type="spellEnd"/>
      <w:r w:rsidRPr="00E16672">
        <w:rPr>
          <w:rFonts w:ascii="Times New Roman" w:hAnsi="Times New Roman"/>
          <w:color w:val="000000"/>
          <w:szCs w:val="20"/>
        </w:rPr>
        <w:t xml:space="preserve"> Депонента та </w:t>
      </w:r>
      <w:proofErr w:type="spellStart"/>
      <w:r w:rsidRPr="00E16672">
        <w:rPr>
          <w:rFonts w:ascii="Times New Roman" w:hAnsi="Times New Roman"/>
          <w:color w:val="000000"/>
          <w:szCs w:val="20"/>
        </w:rPr>
        <w:t>Депозитарної</w:t>
      </w:r>
      <w:proofErr w:type="spellEnd"/>
      <w:r w:rsidRPr="00E16672">
        <w:rPr>
          <w:rFonts w:ascii="Times New Roman" w:hAnsi="Times New Roman"/>
          <w:color w:val="000000"/>
          <w:szCs w:val="20"/>
        </w:rPr>
        <w:t xml:space="preserve"> установи.</w:t>
      </w:r>
    </w:p>
    <w:p w14:paraId="37099E96" w14:textId="77777777" w:rsidR="007974E8" w:rsidRPr="00E16672" w:rsidRDefault="007974E8" w:rsidP="007974E8">
      <w:pPr>
        <w:rPr>
          <w:rFonts w:ascii="Times New Roman" w:hAnsi="Times New Roman"/>
          <w:color w:val="000000"/>
          <w:szCs w:val="20"/>
        </w:rPr>
      </w:pPr>
      <w:r w:rsidRPr="00E16672">
        <w:rPr>
          <w:rFonts w:ascii="Times New Roman" w:hAnsi="Times New Roman"/>
          <w:color w:val="000000"/>
          <w:szCs w:val="20"/>
        </w:rPr>
        <w:t xml:space="preserve">2.3.4. </w:t>
      </w:r>
      <w:proofErr w:type="spellStart"/>
      <w:r w:rsidRPr="00E16672">
        <w:rPr>
          <w:rFonts w:ascii="Times New Roman" w:hAnsi="Times New Roman"/>
          <w:szCs w:val="20"/>
        </w:rPr>
        <w:t>Своєчасно</w:t>
      </w:r>
      <w:proofErr w:type="spellEnd"/>
      <w:r w:rsidRPr="00E16672">
        <w:rPr>
          <w:rFonts w:ascii="Times New Roman" w:hAnsi="Times New Roman"/>
          <w:szCs w:val="20"/>
        </w:rPr>
        <w:t xml:space="preserve"> та в </w:t>
      </w:r>
      <w:proofErr w:type="spellStart"/>
      <w:r w:rsidRPr="00E16672">
        <w:rPr>
          <w:rFonts w:ascii="Times New Roman" w:hAnsi="Times New Roman"/>
          <w:szCs w:val="20"/>
        </w:rPr>
        <w:t>повному</w:t>
      </w:r>
      <w:proofErr w:type="spellEnd"/>
      <w:r w:rsidRPr="00E16672">
        <w:rPr>
          <w:rFonts w:ascii="Times New Roman" w:hAnsi="Times New Roman"/>
          <w:szCs w:val="20"/>
        </w:rPr>
        <w:t xml:space="preserve"> </w:t>
      </w:r>
      <w:proofErr w:type="spellStart"/>
      <w:r w:rsidRPr="00E16672">
        <w:rPr>
          <w:rFonts w:ascii="Times New Roman" w:hAnsi="Times New Roman"/>
          <w:szCs w:val="20"/>
        </w:rPr>
        <w:t>обсязі</w:t>
      </w:r>
      <w:proofErr w:type="spellEnd"/>
      <w:r w:rsidRPr="00E16672">
        <w:rPr>
          <w:rFonts w:ascii="Times New Roman" w:hAnsi="Times New Roman"/>
          <w:szCs w:val="20"/>
        </w:rPr>
        <w:t xml:space="preserve"> </w:t>
      </w:r>
      <w:proofErr w:type="spellStart"/>
      <w:r w:rsidRPr="00E16672">
        <w:rPr>
          <w:rFonts w:ascii="Times New Roman" w:hAnsi="Times New Roman"/>
          <w:szCs w:val="20"/>
        </w:rPr>
        <w:t>сплачувати</w:t>
      </w:r>
      <w:proofErr w:type="spellEnd"/>
      <w:r w:rsidRPr="00E16672">
        <w:rPr>
          <w:rFonts w:ascii="Times New Roman" w:hAnsi="Times New Roman"/>
          <w:szCs w:val="20"/>
        </w:rPr>
        <w:t xml:space="preserve"> </w:t>
      </w:r>
      <w:proofErr w:type="spellStart"/>
      <w:r w:rsidRPr="00E16672">
        <w:rPr>
          <w:rFonts w:ascii="Times New Roman" w:hAnsi="Times New Roman"/>
          <w:color w:val="000000"/>
          <w:szCs w:val="20"/>
        </w:rPr>
        <w:t>послуги</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Депозитарної</w:t>
      </w:r>
      <w:proofErr w:type="spellEnd"/>
      <w:r w:rsidRPr="00E16672">
        <w:rPr>
          <w:rFonts w:ascii="Times New Roman" w:hAnsi="Times New Roman"/>
          <w:color w:val="000000"/>
          <w:szCs w:val="20"/>
        </w:rPr>
        <w:t xml:space="preserve"> установи </w:t>
      </w:r>
      <w:proofErr w:type="spellStart"/>
      <w:r w:rsidRPr="00E16672">
        <w:rPr>
          <w:rFonts w:ascii="Times New Roman" w:hAnsi="Times New Roman"/>
          <w:color w:val="000000"/>
          <w:szCs w:val="20"/>
        </w:rPr>
        <w:t>згідно</w:t>
      </w:r>
      <w:proofErr w:type="spellEnd"/>
      <w:r w:rsidRPr="00E16672">
        <w:rPr>
          <w:rFonts w:ascii="Times New Roman" w:hAnsi="Times New Roman"/>
          <w:color w:val="000000"/>
          <w:szCs w:val="20"/>
        </w:rPr>
        <w:t xml:space="preserve"> з </w:t>
      </w:r>
      <w:proofErr w:type="spellStart"/>
      <w:r w:rsidRPr="00E16672">
        <w:rPr>
          <w:rFonts w:ascii="Times New Roman" w:hAnsi="Times New Roman"/>
          <w:color w:val="000000"/>
          <w:szCs w:val="20"/>
        </w:rPr>
        <w:t>умовами</w:t>
      </w:r>
      <w:proofErr w:type="spellEnd"/>
      <w:r w:rsidRPr="00E16672">
        <w:rPr>
          <w:rFonts w:ascii="Times New Roman" w:hAnsi="Times New Roman"/>
          <w:color w:val="000000"/>
          <w:szCs w:val="20"/>
        </w:rPr>
        <w:t xml:space="preserve"> та строками, </w:t>
      </w:r>
      <w:proofErr w:type="spellStart"/>
      <w:r w:rsidRPr="00E16672">
        <w:rPr>
          <w:rFonts w:ascii="Times New Roman" w:hAnsi="Times New Roman"/>
          <w:color w:val="000000"/>
          <w:szCs w:val="20"/>
        </w:rPr>
        <w:t>передбаченими</w:t>
      </w:r>
      <w:proofErr w:type="spellEnd"/>
      <w:r w:rsidRPr="00E16672">
        <w:rPr>
          <w:rFonts w:ascii="Times New Roman" w:hAnsi="Times New Roman"/>
          <w:color w:val="000000"/>
          <w:szCs w:val="20"/>
        </w:rPr>
        <w:t xml:space="preserve"> Договором, та тарифами, </w:t>
      </w:r>
      <w:proofErr w:type="spellStart"/>
      <w:r w:rsidRPr="00E16672">
        <w:rPr>
          <w:rFonts w:ascii="Times New Roman" w:hAnsi="Times New Roman"/>
          <w:color w:val="000000"/>
          <w:szCs w:val="20"/>
        </w:rPr>
        <w:t>встановленими</w:t>
      </w:r>
      <w:proofErr w:type="spellEnd"/>
      <w:r w:rsidRPr="00E16672">
        <w:rPr>
          <w:rFonts w:ascii="Times New Roman" w:hAnsi="Times New Roman"/>
          <w:color w:val="000000"/>
          <w:szCs w:val="20"/>
        </w:rPr>
        <w:t xml:space="preserve"> Депозитарною </w:t>
      </w:r>
      <w:proofErr w:type="spellStart"/>
      <w:r w:rsidRPr="00E16672">
        <w:rPr>
          <w:rFonts w:ascii="Times New Roman" w:hAnsi="Times New Roman"/>
          <w:color w:val="000000"/>
          <w:szCs w:val="20"/>
        </w:rPr>
        <w:t>установою</w:t>
      </w:r>
      <w:proofErr w:type="spellEnd"/>
      <w:r w:rsidRPr="00E16672">
        <w:rPr>
          <w:rFonts w:ascii="Times New Roman" w:hAnsi="Times New Roman"/>
          <w:color w:val="000000"/>
          <w:szCs w:val="20"/>
        </w:rPr>
        <w:t xml:space="preserve"> на дату </w:t>
      </w:r>
      <w:proofErr w:type="spellStart"/>
      <w:r w:rsidRPr="00E16672">
        <w:rPr>
          <w:rFonts w:ascii="Times New Roman" w:hAnsi="Times New Roman"/>
          <w:color w:val="000000"/>
          <w:szCs w:val="20"/>
        </w:rPr>
        <w:t>надання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послуг</w:t>
      </w:r>
      <w:proofErr w:type="spellEnd"/>
      <w:r w:rsidRPr="00E16672">
        <w:rPr>
          <w:rFonts w:ascii="Times New Roman" w:hAnsi="Times New Roman"/>
          <w:color w:val="000000"/>
          <w:szCs w:val="20"/>
        </w:rPr>
        <w:t xml:space="preserve"> (у тому </w:t>
      </w:r>
      <w:proofErr w:type="spellStart"/>
      <w:r w:rsidRPr="00E16672">
        <w:rPr>
          <w:rFonts w:ascii="Times New Roman" w:hAnsi="Times New Roman"/>
          <w:color w:val="000000"/>
          <w:szCs w:val="20"/>
        </w:rPr>
        <w:t>числі</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послуги</w:t>
      </w:r>
      <w:proofErr w:type="spellEnd"/>
      <w:r w:rsidRPr="00E16672">
        <w:rPr>
          <w:rFonts w:ascii="Times New Roman" w:hAnsi="Times New Roman"/>
          <w:color w:val="000000"/>
          <w:szCs w:val="20"/>
        </w:rPr>
        <w:t xml:space="preserve"> з </w:t>
      </w:r>
      <w:proofErr w:type="spellStart"/>
      <w:r w:rsidRPr="00E16672">
        <w:rPr>
          <w:rFonts w:ascii="Times New Roman" w:hAnsi="Times New Roman"/>
          <w:color w:val="000000"/>
          <w:szCs w:val="20"/>
        </w:rPr>
        <w:t>надання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інформації</w:t>
      </w:r>
      <w:proofErr w:type="spellEnd"/>
      <w:r w:rsidRPr="00E16672">
        <w:rPr>
          <w:rFonts w:ascii="Times New Roman" w:hAnsi="Times New Roman"/>
          <w:color w:val="000000"/>
          <w:szCs w:val="20"/>
        </w:rPr>
        <w:t xml:space="preserve"> про </w:t>
      </w:r>
      <w:proofErr w:type="spellStart"/>
      <w:r w:rsidRPr="00E16672">
        <w:rPr>
          <w:rFonts w:ascii="Times New Roman" w:hAnsi="Times New Roman"/>
          <w:color w:val="000000"/>
          <w:szCs w:val="20"/>
        </w:rPr>
        <w:t>корпоративні</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операції</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емітентів</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іншої</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інформації</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отриманої</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від</w:t>
      </w:r>
      <w:proofErr w:type="spellEnd"/>
      <w:r w:rsidRPr="00E16672">
        <w:rPr>
          <w:rFonts w:ascii="Times New Roman" w:hAnsi="Times New Roman"/>
          <w:color w:val="000000"/>
          <w:szCs w:val="20"/>
        </w:rPr>
        <w:t xml:space="preserve"> Центрального </w:t>
      </w:r>
      <w:proofErr w:type="spellStart"/>
      <w:r w:rsidRPr="00E16672">
        <w:rPr>
          <w:rFonts w:ascii="Times New Roman" w:hAnsi="Times New Roman"/>
          <w:color w:val="000000"/>
          <w:szCs w:val="20"/>
        </w:rPr>
        <w:t>депозитарію</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згідно</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вимог</w:t>
      </w:r>
      <w:proofErr w:type="spellEnd"/>
      <w:r w:rsidRPr="00E16672">
        <w:rPr>
          <w:rFonts w:ascii="Times New Roman" w:hAnsi="Times New Roman"/>
          <w:color w:val="000000"/>
          <w:szCs w:val="20"/>
        </w:rPr>
        <w:t xml:space="preserve"> чинного </w:t>
      </w:r>
      <w:proofErr w:type="spellStart"/>
      <w:r w:rsidRPr="00E16672">
        <w:rPr>
          <w:rFonts w:ascii="Times New Roman" w:hAnsi="Times New Roman"/>
          <w:color w:val="000000"/>
          <w:szCs w:val="20"/>
        </w:rPr>
        <w:t>законодавства</w:t>
      </w:r>
      <w:proofErr w:type="spellEnd"/>
      <w:proofErr w:type="gramStart"/>
      <w:r w:rsidRPr="00E16672">
        <w:rPr>
          <w:rFonts w:ascii="Times New Roman" w:hAnsi="Times New Roman"/>
          <w:color w:val="000000"/>
          <w:szCs w:val="20"/>
        </w:rPr>
        <w:t>) .</w:t>
      </w:r>
      <w:proofErr w:type="gramEnd"/>
    </w:p>
    <w:p w14:paraId="0715A0A2" w14:textId="77777777" w:rsidR="007974E8" w:rsidRPr="00E16672" w:rsidRDefault="007974E8" w:rsidP="007974E8">
      <w:pPr>
        <w:rPr>
          <w:rFonts w:ascii="Times New Roman" w:hAnsi="Times New Roman"/>
          <w:color w:val="000000"/>
          <w:szCs w:val="20"/>
        </w:rPr>
      </w:pPr>
      <w:r w:rsidRPr="00E16672">
        <w:rPr>
          <w:rFonts w:ascii="Times New Roman" w:hAnsi="Times New Roman"/>
          <w:color w:val="000000"/>
          <w:szCs w:val="20"/>
        </w:rPr>
        <w:t xml:space="preserve">2.3.5. </w:t>
      </w:r>
      <w:proofErr w:type="spellStart"/>
      <w:r w:rsidRPr="00E16672">
        <w:rPr>
          <w:rFonts w:ascii="Times New Roman" w:hAnsi="Times New Roman"/>
          <w:color w:val="000000"/>
          <w:szCs w:val="20"/>
        </w:rPr>
        <w:t>Сплатити</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Депозитарній</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установі</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повну</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вартість</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отриманих</w:t>
      </w:r>
      <w:proofErr w:type="spellEnd"/>
      <w:r w:rsidRPr="00E16672">
        <w:rPr>
          <w:rFonts w:ascii="Times New Roman" w:hAnsi="Times New Roman"/>
          <w:color w:val="000000"/>
          <w:szCs w:val="20"/>
        </w:rPr>
        <w:t xml:space="preserve">, але не </w:t>
      </w:r>
      <w:proofErr w:type="spellStart"/>
      <w:r w:rsidRPr="00E16672">
        <w:rPr>
          <w:rFonts w:ascii="Times New Roman" w:hAnsi="Times New Roman"/>
          <w:color w:val="000000"/>
          <w:szCs w:val="20"/>
        </w:rPr>
        <w:t>сплачених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послуг</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протягом</w:t>
      </w:r>
      <w:proofErr w:type="spellEnd"/>
      <w:r w:rsidRPr="00E16672">
        <w:rPr>
          <w:rFonts w:ascii="Times New Roman" w:hAnsi="Times New Roman"/>
          <w:color w:val="000000"/>
          <w:szCs w:val="20"/>
        </w:rPr>
        <w:t xml:space="preserve"> десяти </w:t>
      </w:r>
      <w:proofErr w:type="spellStart"/>
      <w:r w:rsidRPr="00E16672">
        <w:rPr>
          <w:rFonts w:ascii="Times New Roman" w:hAnsi="Times New Roman"/>
          <w:color w:val="000000"/>
          <w:szCs w:val="20"/>
        </w:rPr>
        <w:t>банківських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днів</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після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отримання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письмового</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повідомлення</w:t>
      </w:r>
      <w:proofErr w:type="spellEnd"/>
      <w:r w:rsidRPr="00E16672">
        <w:rPr>
          <w:rFonts w:ascii="Times New Roman" w:hAnsi="Times New Roman"/>
          <w:color w:val="000000"/>
          <w:szCs w:val="20"/>
        </w:rPr>
        <w:t xml:space="preserve"> про </w:t>
      </w:r>
      <w:proofErr w:type="spellStart"/>
      <w:r w:rsidRPr="00E16672">
        <w:rPr>
          <w:rFonts w:ascii="Times New Roman" w:hAnsi="Times New Roman"/>
          <w:color w:val="000000"/>
          <w:szCs w:val="20"/>
        </w:rPr>
        <w:t>розірвання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цього</w:t>
      </w:r>
      <w:proofErr w:type="spellEnd"/>
      <w:r w:rsidRPr="00E16672">
        <w:rPr>
          <w:rFonts w:ascii="Times New Roman" w:hAnsi="Times New Roman"/>
          <w:color w:val="000000"/>
          <w:szCs w:val="20"/>
        </w:rPr>
        <w:t xml:space="preserve"> Договору.</w:t>
      </w:r>
    </w:p>
    <w:p w14:paraId="63C02CE8" w14:textId="77777777" w:rsidR="007974E8" w:rsidRPr="00E16672" w:rsidRDefault="007974E8" w:rsidP="007974E8">
      <w:pPr>
        <w:rPr>
          <w:rFonts w:ascii="Times New Roman" w:hAnsi="Times New Roman"/>
          <w:color w:val="000000"/>
          <w:szCs w:val="20"/>
        </w:rPr>
      </w:pPr>
      <w:r w:rsidRPr="00E16672">
        <w:rPr>
          <w:rFonts w:ascii="Times New Roman" w:hAnsi="Times New Roman"/>
          <w:color w:val="000000"/>
          <w:szCs w:val="20"/>
        </w:rPr>
        <w:t xml:space="preserve">2.3.6. </w:t>
      </w:r>
      <w:proofErr w:type="spellStart"/>
      <w:r w:rsidRPr="00E16672">
        <w:rPr>
          <w:rFonts w:ascii="Times New Roman" w:hAnsi="Times New Roman"/>
          <w:color w:val="000000"/>
          <w:szCs w:val="20"/>
        </w:rPr>
        <w:t>Надавати</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Депозитарній</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установі</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документи</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які</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передбачені</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законодавством</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України</w:t>
      </w:r>
      <w:proofErr w:type="spellEnd"/>
      <w:r w:rsidRPr="00E16672">
        <w:rPr>
          <w:rFonts w:ascii="Times New Roman" w:hAnsi="Times New Roman"/>
          <w:color w:val="000000"/>
          <w:szCs w:val="20"/>
        </w:rPr>
        <w:t xml:space="preserve"> та </w:t>
      </w:r>
      <w:proofErr w:type="spellStart"/>
      <w:r w:rsidRPr="00E16672">
        <w:rPr>
          <w:rFonts w:ascii="Times New Roman" w:hAnsi="Times New Roman"/>
          <w:color w:val="000000"/>
          <w:szCs w:val="20"/>
        </w:rPr>
        <w:t>внутрішніми</w:t>
      </w:r>
      <w:proofErr w:type="spellEnd"/>
      <w:r w:rsidRPr="00E16672">
        <w:rPr>
          <w:rFonts w:ascii="Times New Roman" w:hAnsi="Times New Roman"/>
          <w:color w:val="000000"/>
          <w:szCs w:val="20"/>
        </w:rPr>
        <w:t xml:space="preserve"> документами </w:t>
      </w:r>
      <w:proofErr w:type="spellStart"/>
      <w:r w:rsidRPr="00E16672">
        <w:rPr>
          <w:rFonts w:ascii="Times New Roman" w:hAnsi="Times New Roman"/>
          <w:color w:val="000000"/>
          <w:szCs w:val="20"/>
        </w:rPr>
        <w:t>Депозитарної</w:t>
      </w:r>
      <w:proofErr w:type="spellEnd"/>
      <w:r w:rsidRPr="00E16672">
        <w:rPr>
          <w:rFonts w:ascii="Times New Roman" w:hAnsi="Times New Roman"/>
          <w:color w:val="000000"/>
          <w:szCs w:val="20"/>
        </w:rPr>
        <w:t xml:space="preserve"> установи як </w:t>
      </w:r>
      <w:proofErr w:type="spellStart"/>
      <w:r w:rsidRPr="00E16672">
        <w:rPr>
          <w:rFonts w:ascii="Times New Roman" w:hAnsi="Times New Roman"/>
          <w:color w:val="000000"/>
          <w:szCs w:val="20"/>
        </w:rPr>
        <w:t>обов'язкові</w:t>
      </w:r>
      <w:proofErr w:type="spellEnd"/>
      <w:r w:rsidRPr="00E16672">
        <w:rPr>
          <w:rFonts w:ascii="Times New Roman" w:hAnsi="Times New Roman"/>
          <w:color w:val="000000"/>
          <w:szCs w:val="20"/>
        </w:rPr>
        <w:t xml:space="preserve"> для </w:t>
      </w:r>
      <w:proofErr w:type="spellStart"/>
      <w:r w:rsidRPr="00E16672">
        <w:rPr>
          <w:rFonts w:ascii="Times New Roman" w:hAnsi="Times New Roman"/>
          <w:color w:val="000000"/>
          <w:szCs w:val="20"/>
        </w:rPr>
        <w:t>подання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або</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необхідні</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їй</w:t>
      </w:r>
      <w:proofErr w:type="spellEnd"/>
      <w:r w:rsidRPr="00E16672">
        <w:rPr>
          <w:rFonts w:ascii="Times New Roman" w:hAnsi="Times New Roman"/>
          <w:color w:val="000000"/>
          <w:szCs w:val="20"/>
        </w:rPr>
        <w:t xml:space="preserve"> для </w:t>
      </w:r>
      <w:proofErr w:type="spellStart"/>
      <w:r w:rsidRPr="00E16672">
        <w:rPr>
          <w:rFonts w:ascii="Times New Roman" w:hAnsi="Times New Roman"/>
          <w:color w:val="000000"/>
          <w:szCs w:val="20"/>
        </w:rPr>
        <w:t>виконання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дій</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згідно</w:t>
      </w:r>
      <w:proofErr w:type="spellEnd"/>
      <w:r w:rsidRPr="00E16672">
        <w:rPr>
          <w:rFonts w:ascii="Times New Roman" w:hAnsi="Times New Roman"/>
          <w:color w:val="000000"/>
          <w:szCs w:val="20"/>
        </w:rPr>
        <w:t xml:space="preserve"> з </w:t>
      </w:r>
      <w:proofErr w:type="spellStart"/>
      <w:r w:rsidRPr="00E16672">
        <w:rPr>
          <w:rFonts w:ascii="Times New Roman" w:hAnsi="Times New Roman"/>
          <w:color w:val="000000"/>
          <w:szCs w:val="20"/>
        </w:rPr>
        <w:t>вимогами</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законодавства</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України</w:t>
      </w:r>
      <w:proofErr w:type="spellEnd"/>
      <w:r w:rsidRPr="00E16672">
        <w:rPr>
          <w:rFonts w:ascii="Times New Roman" w:hAnsi="Times New Roman"/>
          <w:color w:val="000000"/>
          <w:szCs w:val="20"/>
        </w:rPr>
        <w:t xml:space="preserve"> та </w:t>
      </w:r>
      <w:proofErr w:type="spellStart"/>
      <w:r w:rsidRPr="00E16672">
        <w:rPr>
          <w:rFonts w:ascii="Times New Roman" w:hAnsi="Times New Roman"/>
          <w:color w:val="000000"/>
          <w:szCs w:val="20"/>
        </w:rPr>
        <w:t>умовами</w:t>
      </w:r>
      <w:proofErr w:type="spellEnd"/>
      <w:r w:rsidRPr="00E16672">
        <w:rPr>
          <w:rFonts w:ascii="Times New Roman" w:hAnsi="Times New Roman"/>
          <w:color w:val="000000"/>
          <w:szCs w:val="20"/>
        </w:rPr>
        <w:t xml:space="preserve"> Договору.</w:t>
      </w:r>
    </w:p>
    <w:p w14:paraId="5E87BA1D" w14:textId="77777777" w:rsidR="007974E8" w:rsidRPr="00E16672" w:rsidRDefault="007974E8" w:rsidP="007974E8">
      <w:pPr>
        <w:rPr>
          <w:rFonts w:ascii="Times New Roman" w:hAnsi="Times New Roman"/>
          <w:color w:val="000000"/>
          <w:szCs w:val="20"/>
        </w:rPr>
      </w:pPr>
      <w:r w:rsidRPr="00E16672">
        <w:rPr>
          <w:rFonts w:ascii="Times New Roman" w:hAnsi="Times New Roman"/>
          <w:color w:val="000000"/>
          <w:szCs w:val="20"/>
        </w:rPr>
        <w:t xml:space="preserve">2.3.7. </w:t>
      </w:r>
      <w:proofErr w:type="spellStart"/>
      <w:r w:rsidRPr="00E16672">
        <w:rPr>
          <w:rFonts w:ascii="Times New Roman" w:hAnsi="Times New Roman"/>
          <w:color w:val="000000"/>
          <w:szCs w:val="20"/>
        </w:rPr>
        <w:t>Протягом</w:t>
      </w:r>
      <w:proofErr w:type="spellEnd"/>
      <w:r w:rsidRPr="00E16672">
        <w:rPr>
          <w:rFonts w:ascii="Times New Roman" w:hAnsi="Times New Roman"/>
          <w:color w:val="000000"/>
          <w:szCs w:val="20"/>
        </w:rPr>
        <w:t xml:space="preserve"> не </w:t>
      </w:r>
      <w:proofErr w:type="spellStart"/>
      <w:r w:rsidRPr="00E16672">
        <w:rPr>
          <w:rFonts w:ascii="Times New Roman" w:hAnsi="Times New Roman"/>
          <w:color w:val="000000"/>
          <w:szCs w:val="20"/>
        </w:rPr>
        <w:t>більше</w:t>
      </w:r>
      <w:proofErr w:type="spellEnd"/>
      <w:r w:rsidRPr="00E16672">
        <w:rPr>
          <w:rFonts w:ascii="Times New Roman" w:hAnsi="Times New Roman"/>
          <w:color w:val="000000"/>
          <w:szCs w:val="20"/>
        </w:rPr>
        <w:t xml:space="preserve"> як </w:t>
      </w:r>
      <w:r w:rsidRPr="00E16672">
        <w:rPr>
          <w:rFonts w:ascii="Times New Roman" w:hAnsi="Times New Roman"/>
          <w:i/>
          <w:color w:val="000000"/>
          <w:szCs w:val="20"/>
        </w:rPr>
        <w:t>десять</w:t>
      </w:r>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робочих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днів</w:t>
      </w:r>
      <w:proofErr w:type="spellEnd"/>
      <w:r w:rsidRPr="00E16672">
        <w:rPr>
          <w:rFonts w:ascii="Times New Roman" w:hAnsi="Times New Roman"/>
          <w:color w:val="000000"/>
          <w:szCs w:val="20"/>
        </w:rPr>
        <w:t xml:space="preserve"> з </w:t>
      </w:r>
      <w:proofErr w:type="spellStart"/>
      <w:r w:rsidRPr="00E16672">
        <w:rPr>
          <w:rFonts w:ascii="Times New Roman" w:hAnsi="Times New Roman"/>
          <w:color w:val="000000"/>
          <w:szCs w:val="20"/>
        </w:rPr>
        <w:t>дати</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внесення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відповідних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змін</w:t>
      </w:r>
      <w:proofErr w:type="spellEnd"/>
      <w:r w:rsidRPr="00E16672">
        <w:rPr>
          <w:rFonts w:ascii="Times New Roman" w:hAnsi="Times New Roman"/>
          <w:color w:val="000000"/>
          <w:szCs w:val="20"/>
        </w:rPr>
        <w:t xml:space="preserve"> до </w:t>
      </w:r>
      <w:proofErr w:type="spellStart"/>
      <w:r w:rsidRPr="00E16672">
        <w:rPr>
          <w:rFonts w:ascii="Times New Roman" w:hAnsi="Times New Roman"/>
          <w:color w:val="000000"/>
          <w:szCs w:val="20"/>
        </w:rPr>
        <w:t>своїх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реквізитів</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або</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документів</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що</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надавалися</w:t>
      </w:r>
      <w:proofErr w:type="spellEnd"/>
      <w:r w:rsidRPr="00E16672">
        <w:rPr>
          <w:rFonts w:ascii="Times New Roman" w:hAnsi="Times New Roman"/>
          <w:color w:val="000000"/>
          <w:szCs w:val="20"/>
        </w:rPr>
        <w:t xml:space="preserve"> для </w:t>
      </w:r>
      <w:proofErr w:type="spellStart"/>
      <w:r w:rsidRPr="00E16672">
        <w:rPr>
          <w:rFonts w:ascii="Times New Roman" w:hAnsi="Times New Roman"/>
          <w:color w:val="000000"/>
          <w:szCs w:val="20"/>
        </w:rPr>
        <w:t>відкриття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рахунка</w:t>
      </w:r>
      <w:proofErr w:type="spellEnd"/>
      <w:r w:rsidRPr="00E16672">
        <w:rPr>
          <w:rFonts w:ascii="Times New Roman" w:hAnsi="Times New Roman"/>
          <w:color w:val="000000"/>
          <w:szCs w:val="20"/>
        </w:rPr>
        <w:t xml:space="preserve"> в </w:t>
      </w:r>
      <w:proofErr w:type="spellStart"/>
      <w:r w:rsidRPr="00E16672">
        <w:rPr>
          <w:rFonts w:ascii="Times New Roman" w:hAnsi="Times New Roman"/>
          <w:color w:val="000000"/>
          <w:szCs w:val="20"/>
        </w:rPr>
        <w:t>цінних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паперах</w:t>
      </w:r>
      <w:proofErr w:type="spellEnd"/>
      <w:r w:rsidRPr="00E16672">
        <w:rPr>
          <w:rFonts w:ascii="Times New Roman" w:hAnsi="Times New Roman"/>
          <w:color w:val="000000"/>
          <w:szCs w:val="20"/>
        </w:rPr>
        <w:t xml:space="preserve">, </w:t>
      </w:r>
      <w:proofErr w:type="spellStart"/>
      <w:proofErr w:type="gramStart"/>
      <w:r w:rsidRPr="00E16672">
        <w:rPr>
          <w:rFonts w:ascii="Times New Roman" w:hAnsi="Times New Roman"/>
          <w:color w:val="000000"/>
          <w:szCs w:val="20"/>
        </w:rPr>
        <w:t>надавати</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інформацію</w:t>
      </w:r>
      <w:proofErr w:type="spellEnd"/>
      <w:proofErr w:type="gramEnd"/>
      <w:r w:rsidRPr="00E16672">
        <w:rPr>
          <w:rFonts w:ascii="Times New Roman" w:hAnsi="Times New Roman"/>
          <w:color w:val="000000"/>
          <w:szCs w:val="20"/>
        </w:rPr>
        <w:t xml:space="preserve"> про </w:t>
      </w:r>
      <w:proofErr w:type="spellStart"/>
      <w:r w:rsidRPr="00E16672">
        <w:rPr>
          <w:rFonts w:ascii="Times New Roman" w:hAnsi="Times New Roman"/>
          <w:color w:val="000000"/>
          <w:szCs w:val="20"/>
        </w:rPr>
        <w:t>ці</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зміни</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Депозитарній</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установі</w:t>
      </w:r>
      <w:proofErr w:type="spellEnd"/>
      <w:r w:rsidRPr="00E16672">
        <w:rPr>
          <w:rFonts w:ascii="Times New Roman" w:hAnsi="Times New Roman"/>
          <w:color w:val="000000"/>
          <w:szCs w:val="20"/>
        </w:rPr>
        <w:t xml:space="preserve"> у порядку, </w:t>
      </w:r>
      <w:proofErr w:type="spellStart"/>
      <w:r w:rsidRPr="00E16672">
        <w:rPr>
          <w:rFonts w:ascii="Times New Roman" w:hAnsi="Times New Roman"/>
          <w:color w:val="000000"/>
          <w:szCs w:val="20"/>
        </w:rPr>
        <w:t>встановленому</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законодавством</w:t>
      </w:r>
      <w:proofErr w:type="spellEnd"/>
      <w:r w:rsidRPr="00E16672">
        <w:rPr>
          <w:rFonts w:ascii="Times New Roman" w:hAnsi="Times New Roman"/>
          <w:color w:val="000000"/>
          <w:szCs w:val="20"/>
        </w:rPr>
        <w:t xml:space="preserve"> та </w:t>
      </w:r>
      <w:proofErr w:type="spellStart"/>
      <w:r w:rsidRPr="00E16672">
        <w:rPr>
          <w:rFonts w:ascii="Times New Roman" w:hAnsi="Times New Roman"/>
          <w:color w:val="000000"/>
          <w:szCs w:val="20"/>
        </w:rPr>
        <w:t>внутрішніми</w:t>
      </w:r>
      <w:proofErr w:type="spellEnd"/>
      <w:r w:rsidRPr="00E16672">
        <w:rPr>
          <w:rFonts w:ascii="Times New Roman" w:hAnsi="Times New Roman"/>
          <w:color w:val="000000"/>
          <w:szCs w:val="20"/>
        </w:rPr>
        <w:t xml:space="preserve"> документами </w:t>
      </w:r>
      <w:proofErr w:type="spellStart"/>
      <w:r w:rsidRPr="00E16672">
        <w:rPr>
          <w:rFonts w:ascii="Times New Roman" w:hAnsi="Times New Roman"/>
          <w:color w:val="000000"/>
          <w:szCs w:val="20"/>
        </w:rPr>
        <w:t>Депозитарної</w:t>
      </w:r>
      <w:proofErr w:type="spellEnd"/>
      <w:r w:rsidRPr="00E16672">
        <w:rPr>
          <w:rFonts w:ascii="Times New Roman" w:hAnsi="Times New Roman"/>
          <w:color w:val="000000"/>
          <w:szCs w:val="20"/>
        </w:rPr>
        <w:t xml:space="preserve"> установи.</w:t>
      </w:r>
    </w:p>
    <w:p w14:paraId="17FBD1B7" w14:textId="77777777" w:rsidR="007974E8" w:rsidRPr="00E16672" w:rsidRDefault="007974E8" w:rsidP="007974E8">
      <w:pPr>
        <w:rPr>
          <w:rFonts w:ascii="Times New Roman" w:hAnsi="Times New Roman"/>
          <w:color w:val="000000"/>
          <w:szCs w:val="20"/>
        </w:rPr>
      </w:pPr>
      <w:r w:rsidRPr="00E16672">
        <w:rPr>
          <w:rFonts w:ascii="Times New Roman" w:hAnsi="Times New Roman"/>
          <w:color w:val="000000"/>
          <w:szCs w:val="20"/>
        </w:rPr>
        <w:lastRenderedPageBreak/>
        <w:t xml:space="preserve">2.3.8. </w:t>
      </w:r>
      <w:proofErr w:type="spellStart"/>
      <w:r w:rsidRPr="00E16672">
        <w:rPr>
          <w:rFonts w:ascii="Times New Roman" w:hAnsi="Times New Roman"/>
          <w:color w:val="000000"/>
          <w:szCs w:val="20"/>
        </w:rPr>
        <w:t>Протягом</w:t>
      </w:r>
      <w:proofErr w:type="spellEnd"/>
      <w:r w:rsidRPr="00E16672">
        <w:rPr>
          <w:rFonts w:ascii="Times New Roman" w:hAnsi="Times New Roman"/>
          <w:color w:val="000000"/>
          <w:szCs w:val="20"/>
        </w:rPr>
        <w:t xml:space="preserve"> </w:t>
      </w:r>
      <w:proofErr w:type="spellStart"/>
      <w:proofErr w:type="gramStart"/>
      <w:r w:rsidR="00F50251" w:rsidRPr="00E16672">
        <w:rPr>
          <w:rFonts w:ascii="Times New Roman" w:hAnsi="Times New Roman"/>
          <w:i/>
          <w:iCs/>
          <w:color w:val="000000"/>
          <w:szCs w:val="20"/>
        </w:rPr>
        <w:t>шістдесяти</w:t>
      </w:r>
      <w:proofErr w:type="spellEnd"/>
      <w:r w:rsidR="00F50251" w:rsidRPr="00E16672">
        <w:rPr>
          <w:rFonts w:ascii="Times New Roman" w:hAnsi="Times New Roman"/>
          <w:i/>
          <w:iCs/>
          <w:color w:val="000000"/>
          <w:szCs w:val="20"/>
        </w:rPr>
        <w:t xml:space="preserve"> </w:t>
      </w:r>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календарних</w:t>
      </w:r>
      <w:proofErr w:type="spellEnd"/>
      <w:proofErr w:type="gram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днів</w:t>
      </w:r>
      <w:proofErr w:type="spellEnd"/>
      <w:r w:rsidRPr="00E16672">
        <w:rPr>
          <w:rFonts w:ascii="Times New Roman" w:hAnsi="Times New Roman"/>
          <w:color w:val="000000"/>
          <w:szCs w:val="20"/>
        </w:rPr>
        <w:t xml:space="preserve"> з </w:t>
      </w:r>
      <w:proofErr w:type="spellStart"/>
      <w:r w:rsidRPr="00E16672">
        <w:rPr>
          <w:rFonts w:ascii="Times New Roman" w:hAnsi="Times New Roman"/>
          <w:color w:val="000000"/>
          <w:szCs w:val="20"/>
        </w:rPr>
        <w:t>дати</w:t>
      </w:r>
      <w:proofErr w:type="spellEnd"/>
      <w:r w:rsidRPr="00E16672">
        <w:rPr>
          <w:rFonts w:ascii="Times New Roman" w:hAnsi="Times New Roman"/>
          <w:color w:val="000000"/>
          <w:szCs w:val="20"/>
        </w:rPr>
        <w:t xml:space="preserve"> початку Депозитарною </w:t>
      </w:r>
      <w:proofErr w:type="spellStart"/>
      <w:r w:rsidRPr="00E16672">
        <w:rPr>
          <w:rFonts w:ascii="Times New Roman" w:hAnsi="Times New Roman"/>
          <w:color w:val="000000"/>
          <w:szCs w:val="20"/>
        </w:rPr>
        <w:t>установою</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процедури</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припинення</w:t>
      </w:r>
      <w:proofErr w:type="spellEnd"/>
      <w:r w:rsidRPr="00E16672">
        <w:rPr>
          <w:rFonts w:ascii="Times New Roman" w:hAnsi="Times New Roman"/>
          <w:color w:val="000000"/>
          <w:szCs w:val="20"/>
        </w:rPr>
        <w:t xml:space="preserve"> нею </w:t>
      </w:r>
      <w:proofErr w:type="spellStart"/>
      <w:r w:rsidRPr="00E16672">
        <w:rPr>
          <w:rFonts w:ascii="Times New Roman" w:hAnsi="Times New Roman"/>
          <w:color w:val="000000"/>
          <w:szCs w:val="20"/>
        </w:rPr>
        <w:t>провадження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професійної</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діяльності</w:t>
      </w:r>
      <w:proofErr w:type="spellEnd"/>
      <w:r w:rsidRPr="00E16672">
        <w:rPr>
          <w:rFonts w:ascii="Times New Roman" w:hAnsi="Times New Roman"/>
          <w:color w:val="000000"/>
          <w:szCs w:val="20"/>
        </w:rPr>
        <w:t xml:space="preserve"> на фондовому ринку - </w:t>
      </w:r>
      <w:proofErr w:type="spellStart"/>
      <w:r w:rsidRPr="00E16672">
        <w:rPr>
          <w:rFonts w:ascii="Times New Roman" w:hAnsi="Times New Roman"/>
          <w:color w:val="000000"/>
          <w:szCs w:val="20"/>
        </w:rPr>
        <w:t>депозитарної</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діяльності</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депозитарної</w:t>
      </w:r>
      <w:proofErr w:type="spellEnd"/>
      <w:r w:rsidRPr="00E16672">
        <w:rPr>
          <w:rFonts w:ascii="Times New Roman" w:hAnsi="Times New Roman"/>
          <w:color w:val="000000"/>
          <w:szCs w:val="20"/>
        </w:rPr>
        <w:t xml:space="preserve"> установи </w:t>
      </w:r>
      <w:proofErr w:type="spellStart"/>
      <w:r w:rsidRPr="00E16672">
        <w:rPr>
          <w:rFonts w:ascii="Times New Roman" w:hAnsi="Times New Roman"/>
          <w:color w:val="000000"/>
          <w:szCs w:val="20"/>
        </w:rPr>
        <w:t>відповідно</w:t>
      </w:r>
      <w:proofErr w:type="spellEnd"/>
      <w:r w:rsidRPr="00E16672">
        <w:rPr>
          <w:rFonts w:ascii="Times New Roman" w:hAnsi="Times New Roman"/>
          <w:color w:val="000000"/>
          <w:szCs w:val="20"/>
        </w:rPr>
        <w:t xml:space="preserve"> до </w:t>
      </w:r>
      <w:proofErr w:type="spellStart"/>
      <w:r w:rsidRPr="00E16672">
        <w:rPr>
          <w:rFonts w:ascii="Times New Roman" w:hAnsi="Times New Roman"/>
          <w:color w:val="000000"/>
          <w:szCs w:val="20"/>
        </w:rPr>
        <w:t>вимог</w:t>
      </w:r>
      <w:proofErr w:type="spellEnd"/>
      <w:r w:rsidRPr="00E16672">
        <w:rPr>
          <w:rFonts w:ascii="Times New Roman" w:hAnsi="Times New Roman"/>
          <w:color w:val="000000"/>
          <w:szCs w:val="20"/>
        </w:rPr>
        <w:t xml:space="preserve"> нормативно-правового акта </w:t>
      </w:r>
      <w:proofErr w:type="spellStart"/>
      <w:r w:rsidRPr="00E16672">
        <w:rPr>
          <w:rFonts w:ascii="Times New Roman" w:hAnsi="Times New Roman"/>
          <w:color w:val="000000"/>
          <w:szCs w:val="20"/>
        </w:rPr>
        <w:t>щодо</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припинення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депозитарної</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діяльності</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депозитарної</w:t>
      </w:r>
      <w:proofErr w:type="spellEnd"/>
      <w:r w:rsidRPr="00E16672">
        <w:rPr>
          <w:rFonts w:ascii="Times New Roman" w:hAnsi="Times New Roman"/>
          <w:color w:val="000000"/>
          <w:szCs w:val="20"/>
        </w:rPr>
        <w:t xml:space="preserve"> установи </w:t>
      </w:r>
      <w:proofErr w:type="spellStart"/>
      <w:r w:rsidRPr="00E16672">
        <w:rPr>
          <w:rFonts w:ascii="Times New Roman" w:hAnsi="Times New Roman"/>
          <w:color w:val="000000"/>
          <w:szCs w:val="20"/>
        </w:rPr>
        <w:t>здійснити</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всі</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необхідні</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дії</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щодо</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закриття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рахунка</w:t>
      </w:r>
      <w:proofErr w:type="spellEnd"/>
      <w:r w:rsidRPr="00E16672">
        <w:rPr>
          <w:rFonts w:ascii="Times New Roman" w:hAnsi="Times New Roman"/>
          <w:color w:val="000000"/>
          <w:szCs w:val="20"/>
        </w:rPr>
        <w:t xml:space="preserve"> в </w:t>
      </w:r>
      <w:proofErr w:type="spellStart"/>
      <w:r w:rsidRPr="00E16672">
        <w:rPr>
          <w:rFonts w:ascii="Times New Roman" w:hAnsi="Times New Roman"/>
          <w:color w:val="000000"/>
          <w:szCs w:val="20"/>
        </w:rPr>
        <w:t>цінних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паперах</w:t>
      </w:r>
      <w:proofErr w:type="spellEnd"/>
      <w:r w:rsidRPr="00E16672">
        <w:rPr>
          <w:rFonts w:ascii="Times New Roman" w:hAnsi="Times New Roman"/>
          <w:color w:val="000000"/>
          <w:szCs w:val="20"/>
        </w:rPr>
        <w:t>.</w:t>
      </w:r>
    </w:p>
    <w:p w14:paraId="32A91187" w14:textId="77777777" w:rsidR="007974E8" w:rsidRPr="00E16672" w:rsidRDefault="007974E8" w:rsidP="007974E8">
      <w:pPr>
        <w:rPr>
          <w:rFonts w:ascii="Times New Roman" w:hAnsi="Times New Roman"/>
          <w:color w:val="000000"/>
          <w:szCs w:val="20"/>
          <w:lang w:val="uk-UA"/>
        </w:rPr>
      </w:pPr>
      <w:r w:rsidRPr="00E16672">
        <w:rPr>
          <w:rFonts w:ascii="Times New Roman" w:hAnsi="Times New Roman"/>
          <w:color w:val="000000"/>
          <w:szCs w:val="20"/>
        </w:rPr>
        <w:t xml:space="preserve">2.3.9. </w:t>
      </w:r>
      <w:proofErr w:type="spellStart"/>
      <w:r w:rsidRPr="00E16672">
        <w:rPr>
          <w:rFonts w:ascii="Times New Roman" w:hAnsi="Times New Roman"/>
          <w:color w:val="000000"/>
          <w:szCs w:val="20"/>
        </w:rPr>
        <w:t>Надавати</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Депозитарній</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установі</w:t>
      </w:r>
      <w:proofErr w:type="spellEnd"/>
      <w:r w:rsidRPr="00E16672">
        <w:rPr>
          <w:rFonts w:ascii="Times New Roman" w:hAnsi="Times New Roman"/>
          <w:color w:val="000000"/>
          <w:szCs w:val="20"/>
        </w:rPr>
        <w:t xml:space="preserve"> для </w:t>
      </w:r>
      <w:proofErr w:type="spellStart"/>
      <w:r w:rsidRPr="00E16672">
        <w:rPr>
          <w:rFonts w:ascii="Times New Roman" w:hAnsi="Times New Roman"/>
          <w:color w:val="000000"/>
          <w:szCs w:val="20"/>
        </w:rPr>
        <w:t>здійснення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розрахунків</w:t>
      </w:r>
      <w:proofErr w:type="spellEnd"/>
      <w:r w:rsidRPr="00E16672">
        <w:rPr>
          <w:rFonts w:ascii="Times New Roman" w:hAnsi="Times New Roman"/>
          <w:color w:val="000000"/>
          <w:szCs w:val="20"/>
        </w:rPr>
        <w:t xml:space="preserve"> за </w:t>
      </w:r>
      <w:proofErr w:type="spellStart"/>
      <w:r w:rsidRPr="00E16672">
        <w:rPr>
          <w:rFonts w:ascii="Times New Roman" w:hAnsi="Times New Roman"/>
          <w:color w:val="000000"/>
          <w:szCs w:val="20"/>
        </w:rPr>
        <w:t>правочинами</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щодо</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цінних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паперів</w:t>
      </w:r>
      <w:proofErr w:type="spellEnd"/>
      <w:r w:rsidRPr="00E16672">
        <w:rPr>
          <w:rFonts w:ascii="Times New Roman" w:hAnsi="Times New Roman"/>
          <w:color w:val="000000"/>
          <w:szCs w:val="20"/>
        </w:rPr>
        <w:t xml:space="preserve"> з </w:t>
      </w:r>
      <w:proofErr w:type="spellStart"/>
      <w:r w:rsidRPr="00E16672">
        <w:rPr>
          <w:rFonts w:ascii="Times New Roman" w:hAnsi="Times New Roman"/>
          <w:color w:val="000000"/>
          <w:szCs w:val="20"/>
        </w:rPr>
        <w:t>дотриманням</w:t>
      </w:r>
      <w:proofErr w:type="spellEnd"/>
      <w:r w:rsidRPr="00E16672">
        <w:rPr>
          <w:rFonts w:ascii="Times New Roman" w:hAnsi="Times New Roman"/>
          <w:color w:val="000000"/>
          <w:szCs w:val="20"/>
        </w:rPr>
        <w:t xml:space="preserve"> принципу "поставка </w:t>
      </w:r>
      <w:proofErr w:type="spellStart"/>
      <w:r w:rsidRPr="00E16672">
        <w:rPr>
          <w:rFonts w:ascii="Times New Roman" w:hAnsi="Times New Roman"/>
          <w:color w:val="000000"/>
          <w:szCs w:val="20"/>
        </w:rPr>
        <w:t>цінних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паперів</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проти</w:t>
      </w:r>
      <w:proofErr w:type="spellEnd"/>
      <w:r w:rsidRPr="00E16672">
        <w:rPr>
          <w:rFonts w:ascii="Times New Roman" w:hAnsi="Times New Roman"/>
          <w:color w:val="000000"/>
          <w:szCs w:val="20"/>
        </w:rPr>
        <w:t xml:space="preserve"> оплати" </w:t>
      </w:r>
      <w:proofErr w:type="spellStart"/>
      <w:r w:rsidRPr="00E16672">
        <w:rPr>
          <w:rFonts w:ascii="Times New Roman" w:hAnsi="Times New Roman"/>
          <w:color w:val="000000"/>
          <w:szCs w:val="20"/>
        </w:rPr>
        <w:t>інформацію</w:t>
      </w:r>
      <w:proofErr w:type="spellEnd"/>
      <w:r w:rsidRPr="00E16672">
        <w:rPr>
          <w:rFonts w:ascii="Times New Roman" w:hAnsi="Times New Roman"/>
          <w:color w:val="000000"/>
          <w:szCs w:val="20"/>
        </w:rPr>
        <w:t xml:space="preserve"> про </w:t>
      </w:r>
      <w:proofErr w:type="spellStart"/>
      <w:r w:rsidRPr="00E16672">
        <w:rPr>
          <w:rFonts w:ascii="Times New Roman" w:hAnsi="Times New Roman"/>
          <w:color w:val="000000"/>
          <w:szCs w:val="20"/>
        </w:rPr>
        <w:t>торговця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цінними</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паперами</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якому</w:t>
      </w:r>
      <w:proofErr w:type="spellEnd"/>
      <w:r w:rsidRPr="00E16672">
        <w:rPr>
          <w:rFonts w:ascii="Times New Roman" w:hAnsi="Times New Roman"/>
          <w:color w:val="000000"/>
          <w:szCs w:val="20"/>
        </w:rPr>
        <w:t xml:space="preserve"> Депонентом </w:t>
      </w:r>
      <w:proofErr w:type="spellStart"/>
      <w:r w:rsidRPr="00E16672">
        <w:rPr>
          <w:rFonts w:ascii="Times New Roman" w:hAnsi="Times New Roman"/>
          <w:color w:val="000000"/>
          <w:szCs w:val="20"/>
        </w:rPr>
        <w:t>надані</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повноваження</w:t>
      </w:r>
      <w:proofErr w:type="spellEnd"/>
      <w:r w:rsidRPr="00E16672">
        <w:rPr>
          <w:rFonts w:ascii="Times New Roman" w:hAnsi="Times New Roman"/>
          <w:color w:val="000000"/>
          <w:szCs w:val="20"/>
        </w:rPr>
        <w:t xml:space="preserve"> на </w:t>
      </w:r>
      <w:proofErr w:type="spellStart"/>
      <w:r w:rsidRPr="00E16672">
        <w:rPr>
          <w:rFonts w:ascii="Times New Roman" w:hAnsi="Times New Roman"/>
          <w:color w:val="000000"/>
          <w:szCs w:val="20"/>
        </w:rPr>
        <w:t>вчинення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правочинів</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щодо</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цінних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паперів</w:t>
      </w:r>
      <w:proofErr w:type="spellEnd"/>
      <w:r w:rsidRPr="00E16672">
        <w:rPr>
          <w:rFonts w:ascii="Times New Roman" w:hAnsi="Times New Roman"/>
          <w:color w:val="000000"/>
          <w:szCs w:val="20"/>
        </w:rPr>
        <w:t xml:space="preserve"> в </w:t>
      </w:r>
      <w:proofErr w:type="spellStart"/>
      <w:r w:rsidRPr="00E16672">
        <w:rPr>
          <w:rFonts w:ascii="Times New Roman" w:hAnsi="Times New Roman"/>
          <w:color w:val="000000"/>
          <w:szCs w:val="20"/>
        </w:rPr>
        <w:t>інтересах</w:t>
      </w:r>
      <w:proofErr w:type="spellEnd"/>
      <w:r w:rsidRPr="00E16672">
        <w:rPr>
          <w:rFonts w:ascii="Times New Roman" w:hAnsi="Times New Roman"/>
          <w:color w:val="000000"/>
          <w:szCs w:val="20"/>
        </w:rPr>
        <w:t xml:space="preserve"> Депонента, з метою </w:t>
      </w:r>
      <w:proofErr w:type="spellStart"/>
      <w:r w:rsidRPr="00E16672">
        <w:rPr>
          <w:rFonts w:ascii="Times New Roman" w:hAnsi="Times New Roman"/>
          <w:color w:val="000000"/>
          <w:szCs w:val="20"/>
        </w:rPr>
        <w:t>подальшого</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надання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такої</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інформації</w:t>
      </w:r>
      <w:proofErr w:type="spellEnd"/>
      <w:r w:rsidRPr="00E16672">
        <w:rPr>
          <w:rFonts w:ascii="Times New Roman" w:hAnsi="Times New Roman"/>
          <w:color w:val="000000"/>
          <w:szCs w:val="20"/>
        </w:rPr>
        <w:t xml:space="preserve"> Центральному </w:t>
      </w:r>
      <w:proofErr w:type="spellStart"/>
      <w:r w:rsidRPr="00E16672">
        <w:rPr>
          <w:rFonts w:ascii="Times New Roman" w:hAnsi="Times New Roman"/>
          <w:color w:val="000000"/>
          <w:szCs w:val="20"/>
        </w:rPr>
        <w:t>депозитарію</w:t>
      </w:r>
      <w:proofErr w:type="spellEnd"/>
      <w:r w:rsidRPr="00E16672">
        <w:rPr>
          <w:rFonts w:ascii="Times New Roman" w:hAnsi="Times New Roman"/>
          <w:color w:val="000000"/>
          <w:szCs w:val="20"/>
        </w:rPr>
        <w:t xml:space="preserve"> та </w:t>
      </w:r>
      <w:proofErr w:type="spellStart"/>
      <w:r w:rsidRPr="00E16672">
        <w:rPr>
          <w:rFonts w:ascii="Times New Roman" w:hAnsi="Times New Roman"/>
          <w:color w:val="000000"/>
          <w:szCs w:val="20"/>
        </w:rPr>
        <w:t>Розрахунковому</w:t>
      </w:r>
      <w:proofErr w:type="spellEnd"/>
      <w:r w:rsidRPr="00E16672">
        <w:rPr>
          <w:rFonts w:ascii="Times New Roman" w:hAnsi="Times New Roman"/>
          <w:color w:val="000000"/>
          <w:szCs w:val="20"/>
        </w:rPr>
        <w:t xml:space="preserve"> центру </w:t>
      </w:r>
      <w:proofErr w:type="spellStart"/>
      <w:r w:rsidRPr="00E16672">
        <w:rPr>
          <w:rFonts w:ascii="Times New Roman" w:hAnsi="Times New Roman"/>
          <w:color w:val="000000"/>
          <w:szCs w:val="20"/>
        </w:rPr>
        <w:t>чи</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кліринговій</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установі</w:t>
      </w:r>
      <w:proofErr w:type="spellEnd"/>
      <w:r w:rsidRPr="00E16672">
        <w:rPr>
          <w:rFonts w:ascii="Times New Roman" w:hAnsi="Times New Roman"/>
          <w:color w:val="000000"/>
          <w:szCs w:val="20"/>
        </w:rPr>
        <w:t xml:space="preserve"> для </w:t>
      </w:r>
      <w:proofErr w:type="spellStart"/>
      <w:r w:rsidRPr="00E16672">
        <w:rPr>
          <w:rFonts w:ascii="Times New Roman" w:hAnsi="Times New Roman"/>
          <w:color w:val="000000"/>
          <w:szCs w:val="20"/>
        </w:rPr>
        <w:t>її</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відображення</w:t>
      </w:r>
      <w:proofErr w:type="spellEnd"/>
      <w:r w:rsidRPr="00E16672">
        <w:rPr>
          <w:rFonts w:ascii="Times New Roman" w:hAnsi="Times New Roman"/>
          <w:color w:val="000000"/>
          <w:szCs w:val="20"/>
        </w:rPr>
        <w:t xml:space="preserve"> у </w:t>
      </w:r>
      <w:proofErr w:type="spellStart"/>
      <w:r w:rsidRPr="00E16672">
        <w:rPr>
          <w:rFonts w:ascii="Times New Roman" w:hAnsi="Times New Roman"/>
          <w:color w:val="000000"/>
          <w:szCs w:val="20"/>
        </w:rPr>
        <w:t>внутрішній</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системі</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обліку</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такої</w:t>
      </w:r>
      <w:proofErr w:type="spellEnd"/>
      <w:r w:rsidRPr="00E16672">
        <w:rPr>
          <w:rFonts w:ascii="Times New Roman" w:hAnsi="Times New Roman"/>
          <w:color w:val="000000"/>
          <w:szCs w:val="20"/>
        </w:rPr>
        <w:t xml:space="preserve"> особи.</w:t>
      </w:r>
    </w:p>
    <w:p w14:paraId="1B123CCA" w14:textId="77777777" w:rsidR="007974E8" w:rsidRPr="00E16672" w:rsidRDefault="007974E8" w:rsidP="007974E8">
      <w:pPr>
        <w:suppressAutoHyphens w:val="0"/>
        <w:rPr>
          <w:rFonts w:ascii="Times New Roman" w:hAnsi="Times New Roman"/>
          <w:iCs/>
          <w:color w:val="000000"/>
          <w:szCs w:val="20"/>
          <w:lang w:eastAsia="ru-RU"/>
        </w:rPr>
      </w:pPr>
      <w:r w:rsidRPr="00E16672">
        <w:rPr>
          <w:rFonts w:ascii="Times New Roman" w:hAnsi="Times New Roman"/>
          <w:color w:val="000000"/>
          <w:szCs w:val="20"/>
        </w:rPr>
        <w:t>2.3.10.</w:t>
      </w:r>
      <w:r w:rsidRPr="00E16672">
        <w:rPr>
          <w:rFonts w:ascii="Times New Roman" w:hAnsi="Times New Roman"/>
          <w:color w:val="000000"/>
          <w:szCs w:val="20"/>
          <w:lang w:val="uk-UA"/>
        </w:rPr>
        <w:t xml:space="preserve"> </w:t>
      </w:r>
      <w:proofErr w:type="spellStart"/>
      <w:r w:rsidRPr="00E16672">
        <w:rPr>
          <w:rFonts w:ascii="Times New Roman" w:hAnsi="Times New Roman"/>
          <w:iCs/>
          <w:color w:val="000000"/>
          <w:szCs w:val="20"/>
          <w:lang w:eastAsia="ru-RU"/>
        </w:rPr>
        <w:t>Після</w:t>
      </w:r>
      <w:proofErr w:type="spellEnd"/>
      <w:r w:rsidRPr="00E16672">
        <w:rPr>
          <w:rFonts w:ascii="Times New Roman" w:hAnsi="Times New Roman"/>
          <w:iCs/>
          <w:color w:val="000000"/>
          <w:szCs w:val="20"/>
          <w:lang w:eastAsia="ru-RU"/>
        </w:rPr>
        <w:t xml:space="preserve"> початку </w:t>
      </w:r>
      <w:proofErr w:type="spellStart"/>
      <w:r w:rsidRPr="00E16672">
        <w:rPr>
          <w:rFonts w:ascii="Times New Roman" w:hAnsi="Times New Roman"/>
          <w:iCs/>
          <w:color w:val="000000"/>
          <w:szCs w:val="20"/>
          <w:lang w:eastAsia="ru-RU"/>
        </w:rPr>
        <w:t>ліквідаційної</w:t>
      </w:r>
      <w:proofErr w:type="spellEnd"/>
      <w:r w:rsidRPr="00E16672">
        <w:rPr>
          <w:rFonts w:ascii="Times New Roman" w:hAnsi="Times New Roman"/>
          <w:iCs/>
          <w:color w:val="000000"/>
          <w:szCs w:val="20"/>
          <w:lang w:eastAsia="ru-RU"/>
        </w:rPr>
        <w:t xml:space="preserve"> </w:t>
      </w:r>
      <w:proofErr w:type="spellStart"/>
      <w:r w:rsidRPr="00E16672">
        <w:rPr>
          <w:rFonts w:ascii="Times New Roman" w:hAnsi="Times New Roman"/>
          <w:iCs/>
          <w:color w:val="000000"/>
          <w:szCs w:val="20"/>
          <w:lang w:eastAsia="ru-RU"/>
        </w:rPr>
        <w:t>процедури</w:t>
      </w:r>
      <w:proofErr w:type="spellEnd"/>
      <w:r w:rsidRPr="00E16672">
        <w:rPr>
          <w:rFonts w:ascii="Times New Roman" w:hAnsi="Times New Roman"/>
          <w:iCs/>
          <w:color w:val="000000"/>
          <w:szCs w:val="20"/>
          <w:lang w:eastAsia="ru-RU"/>
        </w:rPr>
        <w:t xml:space="preserve"> по </w:t>
      </w:r>
      <w:proofErr w:type="spellStart"/>
      <w:r w:rsidRPr="00E16672">
        <w:rPr>
          <w:rFonts w:ascii="Times New Roman" w:hAnsi="Times New Roman"/>
          <w:iCs/>
          <w:color w:val="000000"/>
          <w:szCs w:val="20"/>
          <w:lang w:eastAsia="ru-RU"/>
        </w:rPr>
        <w:t>відношенню</w:t>
      </w:r>
      <w:proofErr w:type="spellEnd"/>
      <w:r w:rsidRPr="00E16672">
        <w:rPr>
          <w:rFonts w:ascii="Times New Roman" w:hAnsi="Times New Roman"/>
          <w:iCs/>
          <w:color w:val="000000"/>
          <w:szCs w:val="20"/>
          <w:lang w:eastAsia="ru-RU"/>
        </w:rPr>
        <w:t xml:space="preserve"> до Депонента, але не </w:t>
      </w:r>
      <w:proofErr w:type="spellStart"/>
      <w:r w:rsidRPr="00E16672">
        <w:rPr>
          <w:rFonts w:ascii="Times New Roman" w:hAnsi="Times New Roman"/>
          <w:iCs/>
          <w:color w:val="000000"/>
          <w:szCs w:val="20"/>
          <w:lang w:eastAsia="ru-RU"/>
        </w:rPr>
        <w:t>пізніше</w:t>
      </w:r>
      <w:proofErr w:type="spellEnd"/>
      <w:r w:rsidRPr="00E16672">
        <w:rPr>
          <w:rFonts w:ascii="Times New Roman" w:hAnsi="Times New Roman"/>
          <w:iCs/>
          <w:color w:val="000000"/>
          <w:szCs w:val="20"/>
          <w:lang w:eastAsia="ru-RU"/>
        </w:rPr>
        <w:t xml:space="preserve"> дня </w:t>
      </w:r>
      <w:proofErr w:type="spellStart"/>
      <w:r w:rsidRPr="00E16672">
        <w:rPr>
          <w:rFonts w:ascii="Times New Roman" w:hAnsi="Times New Roman"/>
          <w:iCs/>
          <w:color w:val="000000"/>
          <w:szCs w:val="20"/>
          <w:lang w:eastAsia="ru-RU"/>
        </w:rPr>
        <w:t>внесення</w:t>
      </w:r>
      <w:proofErr w:type="spellEnd"/>
      <w:r w:rsidRPr="00E16672">
        <w:rPr>
          <w:rFonts w:ascii="Times New Roman" w:hAnsi="Times New Roman"/>
          <w:iCs/>
          <w:color w:val="000000"/>
          <w:szCs w:val="20"/>
          <w:lang w:eastAsia="ru-RU"/>
        </w:rPr>
        <w:t xml:space="preserve"> до </w:t>
      </w:r>
      <w:proofErr w:type="spellStart"/>
      <w:r w:rsidRPr="00E16672">
        <w:rPr>
          <w:rFonts w:ascii="Times New Roman" w:hAnsi="Times New Roman"/>
          <w:iCs/>
          <w:color w:val="000000"/>
          <w:szCs w:val="20"/>
          <w:lang w:eastAsia="ru-RU"/>
        </w:rPr>
        <w:t>єдиного</w:t>
      </w:r>
      <w:proofErr w:type="spellEnd"/>
      <w:r w:rsidRPr="00E16672">
        <w:rPr>
          <w:rFonts w:ascii="Times New Roman" w:hAnsi="Times New Roman"/>
          <w:iCs/>
          <w:color w:val="000000"/>
          <w:szCs w:val="20"/>
          <w:lang w:eastAsia="ru-RU"/>
        </w:rPr>
        <w:t xml:space="preserve"> державного </w:t>
      </w:r>
      <w:proofErr w:type="spellStart"/>
      <w:r w:rsidRPr="00E16672">
        <w:rPr>
          <w:rFonts w:ascii="Times New Roman" w:hAnsi="Times New Roman"/>
          <w:iCs/>
          <w:color w:val="000000"/>
          <w:szCs w:val="20"/>
          <w:lang w:eastAsia="ru-RU"/>
        </w:rPr>
        <w:t>реєстру</w:t>
      </w:r>
      <w:proofErr w:type="spellEnd"/>
      <w:r w:rsidRPr="00E16672">
        <w:rPr>
          <w:rFonts w:ascii="Times New Roman" w:hAnsi="Times New Roman"/>
          <w:iCs/>
          <w:color w:val="000000"/>
          <w:szCs w:val="20"/>
          <w:lang w:eastAsia="ru-RU"/>
        </w:rPr>
        <w:t xml:space="preserve"> </w:t>
      </w:r>
      <w:proofErr w:type="spellStart"/>
      <w:r w:rsidRPr="00E16672">
        <w:rPr>
          <w:rFonts w:ascii="Times New Roman" w:hAnsi="Times New Roman"/>
          <w:iCs/>
          <w:color w:val="000000"/>
          <w:szCs w:val="20"/>
          <w:lang w:eastAsia="ru-RU"/>
        </w:rPr>
        <w:t>запису</w:t>
      </w:r>
      <w:proofErr w:type="spellEnd"/>
      <w:r w:rsidRPr="00E16672">
        <w:rPr>
          <w:rFonts w:ascii="Times New Roman" w:hAnsi="Times New Roman"/>
          <w:iCs/>
          <w:color w:val="000000"/>
          <w:szCs w:val="20"/>
          <w:lang w:eastAsia="ru-RU"/>
        </w:rPr>
        <w:t xml:space="preserve"> про </w:t>
      </w:r>
      <w:proofErr w:type="spellStart"/>
      <w:r w:rsidRPr="00E16672">
        <w:rPr>
          <w:rFonts w:ascii="Times New Roman" w:hAnsi="Times New Roman"/>
          <w:iCs/>
          <w:color w:val="000000"/>
          <w:szCs w:val="20"/>
          <w:lang w:eastAsia="ru-RU"/>
        </w:rPr>
        <w:t>його</w:t>
      </w:r>
      <w:proofErr w:type="spellEnd"/>
      <w:r w:rsidRPr="00E16672">
        <w:rPr>
          <w:rFonts w:ascii="Times New Roman" w:hAnsi="Times New Roman"/>
          <w:iCs/>
          <w:color w:val="000000"/>
          <w:szCs w:val="20"/>
          <w:lang w:eastAsia="ru-RU"/>
        </w:rPr>
        <w:t xml:space="preserve"> </w:t>
      </w:r>
      <w:proofErr w:type="spellStart"/>
      <w:r w:rsidRPr="00E16672">
        <w:rPr>
          <w:rFonts w:ascii="Times New Roman" w:hAnsi="Times New Roman"/>
          <w:iCs/>
          <w:color w:val="000000"/>
          <w:szCs w:val="20"/>
          <w:lang w:eastAsia="ru-RU"/>
        </w:rPr>
        <w:t>припинення</w:t>
      </w:r>
      <w:proofErr w:type="spellEnd"/>
      <w:r w:rsidRPr="00E16672">
        <w:rPr>
          <w:rFonts w:ascii="Times New Roman" w:hAnsi="Times New Roman"/>
          <w:iCs/>
          <w:color w:val="000000"/>
          <w:szCs w:val="20"/>
          <w:lang w:eastAsia="ru-RU"/>
        </w:rPr>
        <w:t xml:space="preserve">, </w:t>
      </w:r>
      <w:proofErr w:type="spellStart"/>
      <w:r w:rsidRPr="00E16672">
        <w:rPr>
          <w:rFonts w:ascii="Times New Roman" w:hAnsi="Times New Roman"/>
          <w:iCs/>
          <w:color w:val="000000"/>
          <w:szCs w:val="20"/>
          <w:lang w:eastAsia="ru-RU"/>
        </w:rPr>
        <w:t>закрити</w:t>
      </w:r>
      <w:proofErr w:type="spellEnd"/>
      <w:r w:rsidRPr="00E16672">
        <w:rPr>
          <w:rFonts w:ascii="Times New Roman" w:hAnsi="Times New Roman"/>
          <w:iCs/>
          <w:color w:val="000000"/>
          <w:szCs w:val="20"/>
          <w:lang w:eastAsia="ru-RU"/>
        </w:rPr>
        <w:t xml:space="preserve"> </w:t>
      </w:r>
      <w:proofErr w:type="spellStart"/>
      <w:r w:rsidRPr="00E16672">
        <w:rPr>
          <w:rFonts w:ascii="Times New Roman" w:hAnsi="Times New Roman"/>
          <w:iCs/>
          <w:color w:val="000000"/>
          <w:szCs w:val="20"/>
          <w:lang w:eastAsia="ru-RU"/>
        </w:rPr>
        <w:t>рахунок</w:t>
      </w:r>
      <w:proofErr w:type="spellEnd"/>
      <w:r w:rsidRPr="00E16672">
        <w:rPr>
          <w:rFonts w:ascii="Times New Roman" w:hAnsi="Times New Roman"/>
          <w:iCs/>
          <w:color w:val="000000"/>
          <w:szCs w:val="20"/>
          <w:lang w:eastAsia="ru-RU"/>
        </w:rPr>
        <w:t xml:space="preserve"> в </w:t>
      </w:r>
      <w:proofErr w:type="spellStart"/>
      <w:r w:rsidRPr="00E16672">
        <w:rPr>
          <w:rFonts w:ascii="Times New Roman" w:hAnsi="Times New Roman"/>
          <w:iCs/>
          <w:color w:val="000000"/>
          <w:szCs w:val="20"/>
          <w:lang w:eastAsia="ru-RU"/>
        </w:rPr>
        <w:t>цінних</w:t>
      </w:r>
      <w:proofErr w:type="spellEnd"/>
      <w:r w:rsidRPr="00E16672">
        <w:rPr>
          <w:rFonts w:ascii="Times New Roman" w:hAnsi="Times New Roman"/>
          <w:iCs/>
          <w:color w:val="000000"/>
          <w:szCs w:val="20"/>
          <w:lang w:eastAsia="ru-RU"/>
        </w:rPr>
        <w:t xml:space="preserve"> </w:t>
      </w:r>
      <w:proofErr w:type="spellStart"/>
      <w:r w:rsidRPr="00E16672">
        <w:rPr>
          <w:rFonts w:ascii="Times New Roman" w:hAnsi="Times New Roman"/>
          <w:iCs/>
          <w:color w:val="000000"/>
          <w:szCs w:val="20"/>
          <w:lang w:eastAsia="ru-RU"/>
        </w:rPr>
        <w:t>паперах</w:t>
      </w:r>
      <w:proofErr w:type="spellEnd"/>
      <w:r w:rsidRPr="00E16672">
        <w:rPr>
          <w:rFonts w:ascii="Times New Roman" w:hAnsi="Times New Roman"/>
          <w:iCs/>
          <w:color w:val="000000"/>
          <w:szCs w:val="20"/>
          <w:lang w:eastAsia="ru-RU"/>
        </w:rPr>
        <w:t>.</w:t>
      </w:r>
    </w:p>
    <w:p w14:paraId="25B2D592" w14:textId="77777777" w:rsidR="007974E8" w:rsidRPr="00E16672" w:rsidRDefault="007974E8" w:rsidP="007974E8">
      <w:pPr>
        <w:suppressAutoHyphens w:val="0"/>
        <w:rPr>
          <w:rFonts w:ascii="Times New Roman" w:hAnsi="Times New Roman"/>
          <w:iCs/>
          <w:color w:val="000000"/>
          <w:szCs w:val="20"/>
          <w:lang w:eastAsia="ru-RU"/>
        </w:rPr>
      </w:pPr>
      <w:r w:rsidRPr="00E16672">
        <w:rPr>
          <w:rFonts w:ascii="Times New Roman" w:hAnsi="Times New Roman"/>
          <w:iCs/>
          <w:color w:val="000000"/>
          <w:szCs w:val="20"/>
          <w:lang w:eastAsia="ru-RU"/>
        </w:rPr>
        <w:t xml:space="preserve">2.3.11. </w:t>
      </w:r>
      <w:proofErr w:type="spellStart"/>
      <w:r w:rsidRPr="00E16672">
        <w:rPr>
          <w:rFonts w:ascii="Times New Roman" w:hAnsi="Times New Roman"/>
          <w:iCs/>
          <w:color w:val="000000"/>
          <w:szCs w:val="20"/>
          <w:lang w:eastAsia="ru-RU"/>
        </w:rPr>
        <w:t>Протягом</w:t>
      </w:r>
      <w:proofErr w:type="spellEnd"/>
      <w:r w:rsidRPr="00E16672">
        <w:rPr>
          <w:rFonts w:ascii="Times New Roman" w:hAnsi="Times New Roman"/>
          <w:iCs/>
          <w:color w:val="000000"/>
          <w:szCs w:val="20"/>
          <w:lang w:eastAsia="ru-RU"/>
        </w:rPr>
        <w:t xml:space="preserve"> </w:t>
      </w:r>
      <w:proofErr w:type="spellStart"/>
      <w:r w:rsidRPr="00E16672">
        <w:rPr>
          <w:rFonts w:ascii="Times New Roman" w:hAnsi="Times New Roman"/>
          <w:i/>
          <w:iCs/>
          <w:color w:val="000000"/>
          <w:szCs w:val="20"/>
          <w:lang w:eastAsia="ru-RU"/>
        </w:rPr>
        <w:t>трьох</w:t>
      </w:r>
      <w:proofErr w:type="spellEnd"/>
      <w:r w:rsidRPr="00E16672">
        <w:rPr>
          <w:rFonts w:ascii="Times New Roman" w:hAnsi="Times New Roman"/>
          <w:iCs/>
          <w:color w:val="000000"/>
          <w:szCs w:val="20"/>
          <w:lang w:eastAsia="ru-RU"/>
        </w:rPr>
        <w:t xml:space="preserve"> </w:t>
      </w:r>
      <w:proofErr w:type="spellStart"/>
      <w:r w:rsidRPr="00E16672">
        <w:rPr>
          <w:rFonts w:ascii="Times New Roman" w:hAnsi="Times New Roman"/>
          <w:iCs/>
          <w:color w:val="000000"/>
          <w:szCs w:val="20"/>
          <w:lang w:eastAsia="ru-RU"/>
        </w:rPr>
        <w:t>робочих</w:t>
      </w:r>
      <w:proofErr w:type="spellEnd"/>
      <w:r w:rsidRPr="00E16672">
        <w:rPr>
          <w:rFonts w:ascii="Times New Roman" w:hAnsi="Times New Roman"/>
          <w:iCs/>
          <w:color w:val="000000"/>
          <w:szCs w:val="20"/>
          <w:lang w:eastAsia="ru-RU"/>
        </w:rPr>
        <w:t xml:space="preserve"> </w:t>
      </w:r>
      <w:proofErr w:type="spellStart"/>
      <w:r w:rsidRPr="00E16672">
        <w:rPr>
          <w:rFonts w:ascii="Times New Roman" w:hAnsi="Times New Roman"/>
          <w:iCs/>
          <w:color w:val="000000"/>
          <w:szCs w:val="20"/>
          <w:lang w:eastAsia="ru-RU"/>
        </w:rPr>
        <w:t>днів</w:t>
      </w:r>
      <w:proofErr w:type="spellEnd"/>
      <w:r w:rsidRPr="00E16672">
        <w:rPr>
          <w:rFonts w:ascii="Times New Roman" w:hAnsi="Times New Roman"/>
          <w:iCs/>
          <w:color w:val="000000"/>
          <w:szCs w:val="20"/>
          <w:lang w:eastAsia="ru-RU"/>
        </w:rPr>
        <w:t xml:space="preserve"> з дня </w:t>
      </w:r>
      <w:proofErr w:type="spellStart"/>
      <w:r w:rsidRPr="00E16672">
        <w:rPr>
          <w:rFonts w:ascii="Times New Roman" w:hAnsi="Times New Roman"/>
          <w:iCs/>
          <w:color w:val="000000"/>
          <w:szCs w:val="20"/>
          <w:lang w:eastAsia="ru-RU"/>
        </w:rPr>
        <w:t>настання</w:t>
      </w:r>
      <w:proofErr w:type="spellEnd"/>
      <w:r w:rsidRPr="00E16672">
        <w:rPr>
          <w:rFonts w:ascii="Times New Roman" w:hAnsi="Times New Roman"/>
          <w:iCs/>
          <w:color w:val="000000"/>
          <w:szCs w:val="20"/>
          <w:lang w:eastAsia="ru-RU"/>
        </w:rPr>
        <w:t xml:space="preserve"> </w:t>
      </w:r>
      <w:proofErr w:type="spellStart"/>
      <w:r w:rsidRPr="00E16672">
        <w:rPr>
          <w:rFonts w:ascii="Times New Roman" w:hAnsi="Times New Roman"/>
          <w:iCs/>
          <w:color w:val="000000"/>
          <w:szCs w:val="20"/>
          <w:lang w:eastAsia="ru-RU"/>
        </w:rPr>
        <w:t>відповідної</w:t>
      </w:r>
      <w:proofErr w:type="spellEnd"/>
      <w:r w:rsidRPr="00E16672">
        <w:rPr>
          <w:rFonts w:ascii="Times New Roman" w:hAnsi="Times New Roman"/>
          <w:iCs/>
          <w:color w:val="000000"/>
          <w:szCs w:val="20"/>
          <w:lang w:eastAsia="ru-RU"/>
        </w:rPr>
        <w:t xml:space="preserve"> </w:t>
      </w:r>
      <w:proofErr w:type="spellStart"/>
      <w:r w:rsidRPr="00E16672">
        <w:rPr>
          <w:rFonts w:ascii="Times New Roman" w:hAnsi="Times New Roman"/>
          <w:iCs/>
          <w:color w:val="000000"/>
          <w:szCs w:val="20"/>
          <w:lang w:eastAsia="ru-RU"/>
        </w:rPr>
        <w:t>події</w:t>
      </w:r>
      <w:proofErr w:type="spellEnd"/>
      <w:r w:rsidRPr="00E16672">
        <w:rPr>
          <w:rFonts w:ascii="Times New Roman" w:hAnsi="Times New Roman"/>
          <w:iCs/>
          <w:color w:val="000000"/>
          <w:szCs w:val="20"/>
          <w:lang w:eastAsia="ru-RU"/>
        </w:rPr>
        <w:t xml:space="preserve"> </w:t>
      </w:r>
      <w:proofErr w:type="spellStart"/>
      <w:r w:rsidRPr="00E16672">
        <w:rPr>
          <w:rFonts w:ascii="Times New Roman" w:hAnsi="Times New Roman"/>
          <w:iCs/>
          <w:color w:val="000000"/>
          <w:szCs w:val="20"/>
          <w:lang w:eastAsia="ru-RU"/>
        </w:rPr>
        <w:t>письмово</w:t>
      </w:r>
      <w:proofErr w:type="spellEnd"/>
      <w:r w:rsidRPr="00E16672">
        <w:rPr>
          <w:rFonts w:ascii="Times New Roman" w:hAnsi="Times New Roman"/>
          <w:iCs/>
          <w:color w:val="000000"/>
          <w:szCs w:val="20"/>
          <w:lang w:eastAsia="ru-RU"/>
        </w:rPr>
        <w:t xml:space="preserve"> </w:t>
      </w:r>
      <w:proofErr w:type="spellStart"/>
      <w:r w:rsidRPr="00E16672">
        <w:rPr>
          <w:rFonts w:ascii="Times New Roman" w:hAnsi="Times New Roman"/>
          <w:iCs/>
          <w:color w:val="000000"/>
          <w:szCs w:val="20"/>
          <w:lang w:eastAsia="ru-RU"/>
        </w:rPr>
        <w:t>повідомити</w:t>
      </w:r>
      <w:proofErr w:type="spellEnd"/>
      <w:r w:rsidRPr="00E16672">
        <w:rPr>
          <w:rFonts w:ascii="Times New Roman" w:hAnsi="Times New Roman"/>
          <w:iCs/>
          <w:color w:val="000000"/>
          <w:szCs w:val="20"/>
          <w:lang w:eastAsia="ru-RU"/>
        </w:rPr>
        <w:t xml:space="preserve"> </w:t>
      </w:r>
      <w:proofErr w:type="spellStart"/>
      <w:r w:rsidRPr="00E16672">
        <w:rPr>
          <w:rFonts w:ascii="Times New Roman" w:hAnsi="Times New Roman"/>
          <w:iCs/>
          <w:color w:val="000000"/>
          <w:szCs w:val="20"/>
          <w:lang w:eastAsia="ru-RU"/>
        </w:rPr>
        <w:t>Депозитарну</w:t>
      </w:r>
      <w:proofErr w:type="spellEnd"/>
      <w:r w:rsidRPr="00E16672">
        <w:rPr>
          <w:rFonts w:ascii="Times New Roman" w:hAnsi="Times New Roman"/>
          <w:iCs/>
          <w:color w:val="000000"/>
          <w:szCs w:val="20"/>
          <w:lang w:eastAsia="ru-RU"/>
        </w:rPr>
        <w:t xml:space="preserve"> </w:t>
      </w:r>
      <w:proofErr w:type="spellStart"/>
      <w:r w:rsidRPr="00E16672">
        <w:rPr>
          <w:rFonts w:ascii="Times New Roman" w:hAnsi="Times New Roman"/>
          <w:iCs/>
          <w:color w:val="000000"/>
          <w:szCs w:val="20"/>
          <w:lang w:eastAsia="ru-RU"/>
        </w:rPr>
        <w:t>установу</w:t>
      </w:r>
      <w:proofErr w:type="spellEnd"/>
      <w:r w:rsidRPr="00E16672">
        <w:rPr>
          <w:rFonts w:ascii="Times New Roman" w:hAnsi="Times New Roman"/>
          <w:iCs/>
          <w:color w:val="000000"/>
          <w:szCs w:val="20"/>
          <w:lang w:eastAsia="ru-RU"/>
        </w:rPr>
        <w:t xml:space="preserve"> про </w:t>
      </w:r>
      <w:proofErr w:type="spellStart"/>
      <w:r w:rsidRPr="00E16672">
        <w:rPr>
          <w:rFonts w:ascii="Times New Roman" w:hAnsi="Times New Roman"/>
          <w:iCs/>
          <w:color w:val="000000"/>
          <w:szCs w:val="20"/>
          <w:lang w:eastAsia="ru-RU"/>
        </w:rPr>
        <w:t>зміни</w:t>
      </w:r>
      <w:proofErr w:type="spellEnd"/>
      <w:r w:rsidRPr="00E16672">
        <w:rPr>
          <w:rFonts w:ascii="Times New Roman" w:hAnsi="Times New Roman"/>
          <w:iCs/>
          <w:color w:val="000000"/>
          <w:szCs w:val="20"/>
          <w:lang w:eastAsia="ru-RU"/>
        </w:rPr>
        <w:t xml:space="preserve"> в </w:t>
      </w:r>
      <w:proofErr w:type="spellStart"/>
      <w:r w:rsidRPr="00E16672">
        <w:rPr>
          <w:rFonts w:ascii="Times New Roman" w:hAnsi="Times New Roman"/>
          <w:iCs/>
          <w:color w:val="000000"/>
          <w:szCs w:val="20"/>
          <w:lang w:eastAsia="ru-RU"/>
        </w:rPr>
        <w:t>інформації</w:t>
      </w:r>
      <w:proofErr w:type="spellEnd"/>
      <w:r w:rsidRPr="00E16672">
        <w:rPr>
          <w:rFonts w:ascii="Times New Roman" w:hAnsi="Times New Roman"/>
          <w:iCs/>
          <w:color w:val="000000"/>
          <w:szCs w:val="20"/>
          <w:lang w:eastAsia="ru-RU"/>
        </w:rPr>
        <w:t xml:space="preserve">, </w:t>
      </w:r>
      <w:proofErr w:type="spellStart"/>
      <w:r w:rsidRPr="00E16672">
        <w:rPr>
          <w:rFonts w:ascii="Times New Roman" w:hAnsi="Times New Roman"/>
          <w:iCs/>
          <w:color w:val="000000"/>
          <w:szCs w:val="20"/>
          <w:lang w:eastAsia="ru-RU"/>
        </w:rPr>
        <w:t>що</w:t>
      </w:r>
      <w:proofErr w:type="spellEnd"/>
      <w:r w:rsidRPr="00E16672">
        <w:rPr>
          <w:rFonts w:ascii="Times New Roman" w:hAnsi="Times New Roman"/>
          <w:iCs/>
          <w:color w:val="000000"/>
          <w:szCs w:val="20"/>
          <w:lang w:eastAsia="ru-RU"/>
        </w:rPr>
        <w:t xml:space="preserve"> </w:t>
      </w:r>
      <w:proofErr w:type="spellStart"/>
      <w:r w:rsidRPr="00E16672">
        <w:rPr>
          <w:rFonts w:ascii="Times New Roman" w:hAnsi="Times New Roman"/>
          <w:iCs/>
          <w:color w:val="000000"/>
          <w:szCs w:val="20"/>
          <w:lang w:eastAsia="ru-RU"/>
        </w:rPr>
        <w:t>надавалася</w:t>
      </w:r>
      <w:proofErr w:type="spellEnd"/>
      <w:r w:rsidRPr="00E16672">
        <w:rPr>
          <w:rFonts w:ascii="Times New Roman" w:hAnsi="Times New Roman"/>
          <w:iCs/>
          <w:color w:val="000000"/>
          <w:szCs w:val="20"/>
          <w:lang w:eastAsia="ru-RU"/>
        </w:rPr>
        <w:t xml:space="preserve"> </w:t>
      </w:r>
      <w:proofErr w:type="spellStart"/>
      <w:r w:rsidRPr="00E16672">
        <w:rPr>
          <w:rFonts w:ascii="Times New Roman" w:hAnsi="Times New Roman"/>
          <w:iCs/>
          <w:color w:val="000000"/>
          <w:szCs w:val="20"/>
          <w:lang w:eastAsia="ru-RU"/>
        </w:rPr>
        <w:t>Депозитарній</w:t>
      </w:r>
      <w:proofErr w:type="spellEnd"/>
      <w:r w:rsidRPr="00E16672">
        <w:rPr>
          <w:rFonts w:ascii="Times New Roman" w:hAnsi="Times New Roman"/>
          <w:iCs/>
          <w:color w:val="000000"/>
          <w:szCs w:val="20"/>
          <w:lang w:eastAsia="ru-RU"/>
        </w:rPr>
        <w:t xml:space="preserve"> </w:t>
      </w:r>
      <w:proofErr w:type="spellStart"/>
      <w:r w:rsidRPr="00E16672">
        <w:rPr>
          <w:rFonts w:ascii="Times New Roman" w:hAnsi="Times New Roman"/>
          <w:iCs/>
          <w:color w:val="000000"/>
          <w:szCs w:val="20"/>
          <w:lang w:eastAsia="ru-RU"/>
        </w:rPr>
        <w:t>установі</w:t>
      </w:r>
      <w:proofErr w:type="spellEnd"/>
      <w:r w:rsidRPr="00E16672">
        <w:rPr>
          <w:rFonts w:ascii="Times New Roman" w:hAnsi="Times New Roman"/>
          <w:iCs/>
          <w:color w:val="000000"/>
          <w:szCs w:val="20"/>
          <w:lang w:eastAsia="ru-RU"/>
        </w:rPr>
        <w:t xml:space="preserve"> для </w:t>
      </w:r>
      <w:proofErr w:type="spellStart"/>
      <w:r w:rsidRPr="00E16672">
        <w:rPr>
          <w:rFonts w:ascii="Times New Roman" w:hAnsi="Times New Roman"/>
          <w:iCs/>
          <w:color w:val="000000"/>
          <w:szCs w:val="20"/>
          <w:lang w:eastAsia="ru-RU"/>
        </w:rPr>
        <w:t>здійснення</w:t>
      </w:r>
      <w:proofErr w:type="spellEnd"/>
      <w:r w:rsidRPr="00E16672">
        <w:rPr>
          <w:rFonts w:ascii="Times New Roman" w:hAnsi="Times New Roman"/>
          <w:iCs/>
          <w:color w:val="000000"/>
          <w:szCs w:val="20"/>
          <w:lang w:eastAsia="ru-RU"/>
        </w:rPr>
        <w:t xml:space="preserve"> </w:t>
      </w:r>
      <w:proofErr w:type="spellStart"/>
      <w:r w:rsidRPr="00E16672">
        <w:rPr>
          <w:rFonts w:ascii="Times New Roman" w:hAnsi="Times New Roman"/>
          <w:iCs/>
          <w:color w:val="000000"/>
          <w:szCs w:val="20"/>
          <w:lang w:eastAsia="ru-RU"/>
        </w:rPr>
        <w:t>ідентифікації</w:t>
      </w:r>
      <w:proofErr w:type="spellEnd"/>
      <w:r w:rsidRPr="00E16672">
        <w:rPr>
          <w:rFonts w:ascii="Times New Roman" w:hAnsi="Times New Roman"/>
          <w:iCs/>
          <w:color w:val="000000"/>
          <w:szCs w:val="20"/>
          <w:lang w:eastAsia="ru-RU"/>
        </w:rPr>
        <w:t xml:space="preserve"> (</w:t>
      </w:r>
      <w:proofErr w:type="spellStart"/>
      <w:r w:rsidRPr="00E16672">
        <w:rPr>
          <w:rFonts w:ascii="Times New Roman" w:hAnsi="Times New Roman"/>
          <w:iCs/>
          <w:color w:val="000000"/>
          <w:szCs w:val="20"/>
          <w:lang w:eastAsia="ru-RU"/>
        </w:rPr>
        <w:t>верифікації</w:t>
      </w:r>
      <w:proofErr w:type="spellEnd"/>
      <w:r w:rsidRPr="00E16672">
        <w:rPr>
          <w:rFonts w:ascii="Times New Roman" w:hAnsi="Times New Roman"/>
          <w:iCs/>
          <w:color w:val="000000"/>
          <w:szCs w:val="20"/>
          <w:lang w:eastAsia="ru-RU"/>
        </w:rPr>
        <w:t xml:space="preserve">), у тому </w:t>
      </w:r>
      <w:proofErr w:type="spellStart"/>
      <w:r w:rsidRPr="00E16672">
        <w:rPr>
          <w:rFonts w:ascii="Times New Roman" w:hAnsi="Times New Roman"/>
          <w:iCs/>
          <w:color w:val="000000"/>
          <w:szCs w:val="20"/>
          <w:lang w:eastAsia="ru-RU"/>
        </w:rPr>
        <w:t>числі</w:t>
      </w:r>
      <w:proofErr w:type="spellEnd"/>
      <w:r w:rsidRPr="00E16672">
        <w:rPr>
          <w:rFonts w:ascii="Times New Roman" w:hAnsi="Times New Roman"/>
          <w:iCs/>
          <w:color w:val="000000"/>
          <w:szCs w:val="20"/>
          <w:lang w:eastAsia="ru-RU"/>
        </w:rPr>
        <w:t xml:space="preserve"> </w:t>
      </w:r>
      <w:proofErr w:type="spellStart"/>
      <w:r w:rsidRPr="00E16672">
        <w:rPr>
          <w:rStyle w:val="rvts0"/>
          <w:rFonts w:ascii="Times New Roman" w:hAnsi="Times New Roman"/>
          <w:color w:val="000000"/>
          <w:szCs w:val="20"/>
        </w:rPr>
        <w:t>щодо</w:t>
      </w:r>
      <w:proofErr w:type="spellEnd"/>
      <w:r w:rsidRPr="00E16672">
        <w:rPr>
          <w:rStyle w:val="rvts0"/>
          <w:rFonts w:ascii="Times New Roman" w:hAnsi="Times New Roman"/>
          <w:color w:val="000000"/>
          <w:szCs w:val="20"/>
        </w:rPr>
        <w:t xml:space="preserve"> </w:t>
      </w:r>
      <w:proofErr w:type="spellStart"/>
      <w:r w:rsidRPr="00E16672">
        <w:rPr>
          <w:rStyle w:val="rvts0"/>
          <w:rFonts w:ascii="Times New Roman" w:hAnsi="Times New Roman"/>
          <w:color w:val="000000"/>
          <w:szCs w:val="20"/>
        </w:rPr>
        <w:t>кінцевих</w:t>
      </w:r>
      <w:proofErr w:type="spellEnd"/>
      <w:r w:rsidRPr="00E16672">
        <w:rPr>
          <w:rStyle w:val="rvts0"/>
          <w:rFonts w:ascii="Times New Roman" w:hAnsi="Times New Roman"/>
          <w:color w:val="000000"/>
          <w:szCs w:val="20"/>
        </w:rPr>
        <w:t xml:space="preserve"> </w:t>
      </w:r>
      <w:proofErr w:type="spellStart"/>
      <w:r w:rsidRPr="00E16672">
        <w:rPr>
          <w:rStyle w:val="rvts0"/>
          <w:rFonts w:ascii="Times New Roman" w:hAnsi="Times New Roman"/>
          <w:color w:val="000000"/>
          <w:szCs w:val="20"/>
        </w:rPr>
        <w:t>бенефіціарних</w:t>
      </w:r>
      <w:proofErr w:type="spellEnd"/>
      <w:r w:rsidRPr="00E16672">
        <w:rPr>
          <w:rStyle w:val="rvts0"/>
          <w:rFonts w:ascii="Times New Roman" w:hAnsi="Times New Roman"/>
          <w:color w:val="000000"/>
          <w:szCs w:val="20"/>
        </w:rPr>
        <w:t xml:space="preserve"> </w:t>
      </w:r>
      <w:proofErr w:type="spellStart"/>
      <w:r w:rsidRPr="00E16672">
        <w:rPr>
          <w:rStyle w:val="rvts0"/>
          <w:rFonts w:ascii="Times New Roman" w:hAnsi="Times New Roman"/>
          <w:color w:val="000000"/>
          <w:szCs w:val="20"/>
        </w:rPr>
        <w:t>власників</w:t>
      </w:r>
      <w:proofErr w:type="spellEnd"/>
      <w:r w:rsidRPr="00E16672">
        <w:rPr>
          <w:rStyle w:val="rvts0"/>
          <w:rFonts w:ascii="Times New Roman" w:hAnsi="Times New Roman"/>
          <w:color w:val="000000"/>
          <w:szCs w:val="20"/>
        </w:rPr>
        <w:t xml:space="preserve"> (</w:t>
      </w:r>
      <w:proofErr w:type="spellStart"/>
      <w:r w:rsidRPr="00E16672">
        <w:rPr>
          <w:rStyle w:val="rvts0"/>
          <w:rFonts w:ascii="Times New Roman" w:hAnsi="Times New Roman"/>
          <w:color w:val="000000"/>
          <w:szCs w:val="20"/>
        </w:rPr>
        <w:t>контролерів</w:t>
      </w:r>
      <w:proofErr w:type="spellEnd"/>
      <w:r w:rsidRPr="00E16672">
        <w:rPr>
          <w:rStyle w:val="rvts0"/>
          <w:rFonts w:ascii="Times New Roman" w:hAnsi="Times New Roman"/>
          <w:color w:val="000000"/>
          <w:szCs w:val="20"/>
        </w:rPr>
        <w:t xml:space="preserve">), та </w:t>
      </w:r>
      <w:proofErr w:type="spellStart"/>
      <w:r w:rsidRPr="00E16672">
        <w:rPr>
          <w:rStyle w:val="rvts0"/>
          <w:rFonts w:ascii="Times New Roman" w:hAnsi="Times New Roman"/>
          <w:color w:val="000000"/>
          <w:szCs w:val="20"/>
        </w:rPr>
        <w:t>надати</w:t>
      </w:r>
      <w:proofErr w:type="spellEnd"/>
      <w:r w:rsidRPr="00E16672">
        <w:rPr>
          <w:rStyle w:val="rvts0"/>
          <w:rFonts w:ascii="Times New Roman" w:hAnsi="Times New Roman"/>
          <w:color w:val="000000"/>
          <w:szCs w:val="20"/>
        </w:rPr>
        <w:t xml:space="preserve"> </w:t>
      </w:r>
      <w:proofErr w:type="spellStart"/>
      <w:r w:rsidRPr="00E16672">
        <w:rPr>
          <w:rStyle w:val="rvts0"/>
          <w:rFonts w:ascii="Times New Roman" w:hAnsi="Times New Roman"/>
          <w:color w:val="000000"/>
          <w:szCs w:val="20"/>
        </w:rPr>
        <w:t>засвідчені</w:t>
      </w:r>
      <w:proofErr w:type="spellEnd"/>
      <w:r w:rsidRPr="00E16672">
        <w:rPr>
          <w:rStyle w:val="rvts0"/>
          <w:rFonts w:ascii="Times New Roman" w:hAnsi="Times New Roman"/>
          <w:color w:val="000000"/>
          <w:szCs w:val="20"/>
        </w:rPr>
        <w:t xml:space="preserve"> </w:t>
      </w:r>
      <w:proofErr w:type="spellStart"/>
      <w:r w:rsidRPr="00E16672">
        <w:rPr>
          <w:rStyle w:val="rvts0"/>
          <w:rFonts w:ascii="Times New Roman" w:hAnsi="Times New Roman"/>
          <w:color w:val="000000"/>
          <w:szCs w:val="20"/>
        </w:rPr>
        <w:t>належним</w:t>
      </w:r>
      <w:proofErr w:type="spellEnd"/>
      <w:r w:rsidRPr="00E16672">
        <w:rPr>
          <w:rStyle w:val="rvts0"/>
          <w:rFonts w:ascii="Times New Roman" w:hAnsi="Times New Roman"/>
          <w:color w:val="000000"/>
          <w:szCs w:val="20"/>
        </w:rPr>
        <w:t xml:space="preserve"> чином </w:t>
      </w:r>
      <w:proofErr w:type="spellStart"/>
      <w:r w:rsidRPr="00E16672">
        <w:rPr>
          <w:rStyle w:val="rvts0"/>
          <w:rFonts w:ascii="Times New Roman" w:hAnsi="Times New Roman"/>
          <w:color w:val="000000"/>
          <w:szCs w:val="20"/>
        </w:rPr>
        <w:t>копії</w:t>
      </w:r>
      <w:proofErr w:type="spellEnd"/>
      <w:r w:rsidRPr="00E16672">
        <w:rPr>
          <w:rStyle w:val="rvts0"/>
          <w:rFonts w:ascii="Times New Roman" w:hAnsi="Times New Roman"/>
          <w:color w:val="000000"/>
          <w:szCs w:val="20"/>
        </w:rPr>
        <w:t xml:space="preserve"> </w:t>
      </w:r>
      <w:proofErr w:type="spellStart"/>
      <w:r w:rsidRPr="00E16672">
        <w:rPr>
          <w:rStyle w:val="rvts0"/>
          <w:rFonts w:ascii="Times New Roman" w:hAnsi="Times New Roman"/>
          <w:color w:val="000000"/>
          <w:szCs w:val="20"/>
        </w:rPr>
        <w:t>підтверджуючих</w:t>
      </w:r>
      <w:proofErr w:type="spellEnd"/>
      <w:r w:rsidRPr="00E16672">
        <w:rPr>
          <w:rStyle w:val="rvts0"/>
          <w:rFonts w:ascii="Times New Roman" w:hAnsi="Times New Roman"/>
          <w:color w:val="000000"/>
          <w:szCs w:val="20"/>
        </w:rPr>
        <w:t xml:space="preserve"> </w:t>
      </w:r>
      <w:proofErr w:type="spellStart"/>
      <w:r w:rsidRPr="00E16672">
        <w:rPr>
          <w:rStyle w:val="rvts0"/>
          <w:rFonts w:ascii="Times New Roman" w:hAnsi="Times New Roman"/>
          <w:color w:val="000000"/>
          <w:szCs w:val="20"/>
        </w:rPr>
        <w:t>документів</w:t>
      </w:r>
      <w:proofErr w:type="spellEnd"/>
      <w:r w:rsidRPr="00E16672">
        <w:rPr>
          <w:rStyle w:val="rvts0"/>
          <w:rFonts w:ascii="Times New Roman" w:hAnsi="Times New Roman"/>
          <w:color w:val="000000"/>
          <w:szCs w:val="20"/>
        </w:rPr>
        <w:t xml:space="preserve">. </w:t>
      </w:r>
      <w:proofErr w:type="spellStart"/>
      <w:r w:rsidRPr="00E16672">
        <w:rPr>
          <w:rStyle w:val="rvts0"/>
          <w:rFonts w:ascii="Times New Roman" w:hAnsi="Times New Roman"/>
          <w:color w:val="000000"/>
          <w:szCs w:val="20"/>
        </w:rPr>
        <w:t>Повідомлення</w:t>
      </w:r>
      <w:proofErr w:type="spellEnd"/>
      <w:r w:rsidRPr="00E16672">
        <w:rPr>
          <w:rStyle w:val="rvts0"/>
          <w:rFonts w:ascii="Times New Roman" w:hAnsi="Times New Roman"/>
          <w:color w:val="000000"/>
          <w:szCs w:val="20"/>
        </w:rPr>
        <w:t xml:space="preserve"> та </w:t>
      </w:r>
      <w:proofErr w:type="spellStart"/>
      <w:r w:rsidRPr="00E16672">
        <w:rPr>
          <w:rStyle w:val="rvts0"/>
          <w:rFonts w:ascii="Times New Roman" w:hAnsi="Times New Roman"/>
          <w:color w:val="000000"/>
          <w:szCs w:val="20"/>
        </w:rPr>
        <w:t>документи</w:t>
      </w:r>
      <w:proofErr w:type="spellEnd"/>
      <w:r w:rsidRPr="00E16672">
        <w:rPr>
          <w:rStyle w:val="rvts0"/>
          <w:rFonts w:ascii="Times New Roman" w:hAnsi="Times New Roman"/>
          <w:color w:val="000000"/>
          <w:szCs w:val="20"/>
        </w:rPr>
        <w:t xml:space="preserve"> </w:t>
      </w:r>
      <w:proofErr w:type="spellStart"/>
      <w:r w:rsidRPr="00E16672">
        <w:rPr>
          <w:rStyle w:val="rvts0"/>
          <w:rFonts w:ascii="Times New Roman" w:hAnsi="Times New Roman"/>
          <w:color w:val="000000"/>
          <w:szCs w:val="20"/>
        </w:rPr>
        <w:t>можуть</w:t>
      </w:r>
      <w:proofErr w:type="spellEnd"/>
      <w:r w:rsidRPr="00E16672">
        <w:rPr>
          <w:rStyle w:val="rvts0"/>
          <w:rFonts w:ascii="Times New Roman" w:hAnsi="Times New Roman"/>
          <w:color w:val="000000"/>
          <w:szCs w:val="20"/>
        </w:rPr>
        <w:t xml:space="preserve"> </w:t>
      </w:r>
      <w:proofErr w:type="spellStart"/>
      <w:r w:rsidRPr="00E16672">
        <w:rPr>
          <w:rStyle w:val="rvts0"/>
          <w:rFonts w:ascii="Times New Roman" w:hAnsi="Times New Roman"/>
          <w:color w:val="000000"/>
          <w:szCs w:val="20"/>
        </w:rPr>
        <w:t>надаватися</w:t>
      </w:r>
      <w:proofErr w:type="spellEnd"/>
      <w:r w:rsidRPr="00E16672">
        <w:rPr>
          <w:rStyle w:val="rvts0"/>
          <w:rFonts w:ascii="Times New Roman" w:hAnsi="Times New Roman"/>
          <w:color w:val="000000"/>
          <w:szCs w:val="20"/>
        </w:rPr>
        <w:t xml:space="preserve"> </w:t>
      </w:r>
      <w:proofErr w:type="spellStart"/>
      <w:r w:rsidRPr="00E16672">
        <w:rPr>
          <w:rStyle w:val="rvts0"/>
          <w:rFonts w:ascii="Times New Roman" w:hAnsi="Times New Roman"/>
          <w:color w:val="000000"/>
          <w:szCs w:val="20"/>
        </w:rPr>
        <w:t>особисто</w:t>
      </w:r>
      <w:proofErr w:type="spellEnd"/>
      <w:r w:rsidRPr="00E16672">
        <w:rPr>
          <w:rStyle w:val="rvts0"/>
          <w:rFonts w:ascii="Times New Roman" w:hAnsi="Times New Roman"/>
          <w:color w:val="000000"/>
          <w:szCs w:val="20"/>
        </w:rPr>
        <w:t xml:space="preserve">, </w:t>
      </w:r>
      <w:proofErr w:type="spellStart"/>
      <w:r w:rsidRPr="00E16672">
        <w:rPr>
          <w:rStyle w:val="rvts0"/>
          <w:rFonts w:ascii="Times New Roman" w:hAnsi="Times New Roman"/>
          <w:color w:val="000000"/>
          <w:szCs w:val="20"/>
        </w:rPr>
        <w:t>поштою</w:t>
      </w:r>
      <w:proofErr w:type="spellEnd"/>
      <w:r w:rsidRPr="00E16672">
        <w:rPr>
          <w:rStyle w:val="rvts0"/>
          <w:rFonts w:ascii="Times New Roman" w:hAnsi="Times New Roman"/>
          <w:color w:val="000000"/>
          <w:szCs w:val="20"/>
        </w:rPr>
        <w:t xml:space="preserve">, </w:t>
      </w:r>
      <w:proofErr w:type="spellStart"/>
      <w:r w:rsidRPr="00E16672">
        <w:rPr>
          <w:rStyle w:val="rvts0"/>
          <w:rFonts w:ascii="Times New Roman" w:hAnsi="Times New Roman"/>
          <w:color w:val="000000"/>
          <w:szCs w:val="20"/>
        </w:rPr>
        <w:t>кур’єром</w:t>
      </w:r>
      <w:proofErr w:type="spellEnd"/>
      <w:r w:rsidRPr="00E16672">
        <w:rPr>
          <w:rStyle w:val="rvts0"/>
          <w:rFonts w:ascii="Times New Roman" w:hAnsi="Times New Roman"/>
          <w:color w:val="000000"/>
          <w:szCs w:val="20"/>
        </w:rPr>
        <w:t>.</w:t>
      </w:r>
    </w:p>
    <w:p w14:paraId="58B800C1" w14:textId="77777777" w:rsidR="007974E8" w:rsidRPr="00E16672" w:rsidRDefault="007974E8" w:rsidP="007974E8">
      <w:pPr>
        <w:pStyle w:val="af"/>
        <w:rPr>
          <w:rFonts w:ascii="Times New Roman" w:hAnsi="Times New Roman" w:cs="Times New Roman"/>
          <w:color w:val="000000"/>
          <w:lang w:val="ru-RU"/>
        </w:rPr>
      </w:pPr>
    </w:p>
    <w:p w14:paraId="2601C73A" w14:textId="77777777" w:rsidR="007974E8" w:rsidRPr="00E16672" w:rsidRDefault="007974E8" w:rsidP="007974E8">
      <w:pPr>
        <w:rPr>
          <w:rFonts w:ascii="Times New Roman" w:hAnsi="Times New Roman"/>
          <w:b/>
          <w:color w:val="000000"/>
          <w:szCs w:val="20"/>
          <w:lang w:val="uk-UA"/>
        </w:rPr>
      </w:pPr>
      <w:r w:rsidRPr="00E16672">
        <w:rPr>
          <w:rFonts w:ascii="Times New Roman" w:hAnsi="Times New Roman"/>
          <w:b/>
          <w:color w:val="000000"/>
          <w:szCs w:val="20"/>
          <w:lang w:val="uk-UA"/>
        </w:rPr>
        <w:t xml:space="preserve">2.4. </w:t>
      </w:r>
      <w:proofErr w:type="spellStart"/>
      <w:r w:rsidRPr="00E16672">
        <w:rPr>
          <w:rFonts w:ascii="Times New Roman" w:hAnsi="Times New Roman"/>
          <w:b/>
          <w:color w:val="000000"/>
          <w:szCs w:val="20"/>
        </w:rPr>
        <w:t>Керуючий</w:t>
      </w:r>
      <w:proofErr w:type="spellEnd"/>
      <w:r w:rsidRPr="00E16672">
        <w:rPr>
          <w:rFonts w:ascii="Times New Roman" w:hAnsi="Times New Roman"/>
          <w:b/>
          <w:color w:val="000000"/>
          <w:szCs w:val="20"/>
        </w:rPr>
        <w:t xml:space="preserve"> </w:t>
      </w:r>
      <w:proofErr w:type="spellStart"/>
      <w:r w:rsidRPr="00E16672">
        <w:rPr>
          <w:rFonts w:ascii="Times New Roman" w:hAnsi="Times New Roman"/>
          <w:b/>
          <w:color w:val="000000"/>
          <w:szCs w:val="20"/>
        </w:rPr>
        <w:t>рахунком</w:t>
      </w:r>
      <w:proofErr w:type="spellEnd"/>
      <w:r w:rsidRPr="00E16672">
        <w:rPr>
          <w:rFonts w:ascii="Times New Roman" w:hAnsi="Times New Roman"/>
          <w:b/>
          <w:color w:val="000000"/>
          <w:szCs w:val="20"/>
          <w:lang w:val="uk-UA"/>
        </w:rPr>
        <w:t xml:space="preserve"> має право:</w:t>
      </w:r>
    </w:p>
    <w:p w14:paraId="2D44D11E" w14:textId="77777777" w:rsidR="007974E8" w:rsidRPr="00E16672" w:rsidRDefault="007974E8" w:rsidP="007974E8">
      <w:pPr>
        <w:rPr>
          <w:rFonts w:ascii="Times New Roman" w:hAnsi="Times New Roman"/>
          <w:color w:val="000000"/>
          <w:szCs w:val="20"/>
          <w:lang w:val="uk-UA"/>
        </w:rPr>
      </w:pPr>
      <w:r w:rsidRPr="00E16672">
        <w:rPr>
          <w:rFonts w:ascii="Times New Roman" w:hAnsi="Times New Roman"/>
          <w:color w:val="000000"/>
          <w:szCs w:val="20"/>
          <w:lang w:val="uk-UA"/>
        </w:rPr>
        <w:t xml:space="preserve">2.4.1. Вимагати від Депозитарної установи своєчасного виконання своїх розпоряджень на рахунку </w:t>
      </w:r>
      <w:r w:rsidR="00C22309" w:rsidRPr="00E16672">
        <w:rPr>
          <w:rFonts w:ascii="Times New Roman" w:hAnsi="Times New Roman"/>
          <w:color w:val="000000"/>
          <w:szCs w:val="20"/>
          <w:lang w:val="uk-UA"/>
        </w:rPr>
        <w:t>в цін</w:t>
      </w:r>
      <w:r w:rsidRPr="00E16672">
        <w:rPr>
          <w:rFonts w:ascii="Times New Roman" w:hAnsi="Times New Roman"/>
          <w:color w:val="000000"/>
          <w:szCs w:val="20"/>
          <w:lang w:val="uk-UA"/>
        </w:rPr>
        <w:t xml:space="preserve">них паперах та отримувати відповідно до умов Договору повну інформацію щодо цінних паперів, прав на цінні папери, які обліковуються на рахунку </w:t>
      </w:r>
      <w:r w:rsidR="00C22309" w:rsidRPr="00E16672">
        <w:rPr>
          <w:rFonts w:ascii="Times New Roman" w:hAnsi="Times New Roman"/>
          <w:color w:val="000000"/>
          <w:szCs w:val="20"/>
          <w:lang w:val="uk-UA"/>
        </w:rPr>
        <w:t>в цін</w:t>
      </w:r>
      <w:r w:rsidRPr="00E16672">
        <w:rPr>
          <w:rFonts w:ascii="Times New Roman" w:hAnsi="Times New Roman"/>
          <w:color w:val="000000"/>
          <w:szCs w:val="20"/>
          <w:lang w:val="uk-UA"/>
        </w:rPr>
        <w:t>них паперах.</w:t>
      </w:r>
    </w:p>
    <w:p w14:paraId="44172598" w14:textId="77777777" w:rsidR="007974E8" w:rsidRPr="00E16672" w:rsidRDefault="007974E8" w:rsidP="007974E8">
      <w:pPr>
        <w:rPr>
          <w:rFonts w:ascii="Times New Roman" w:hAnsi="Times New Roman"/>
          <w:color w:val="000000"/>
          <w:szCs w:val="20"/>
        </w:rPr>
      </w:pPr>
      <w:r w:rsidRPr="00E16672">
        <w:rPr>
          <w:rFonts w:ascii="Times New Roman" w:hAnsi="Times New Roman"/>
          <w:color w:val="000000"/>
          <w:szCs w:val="20"/>
        </w:rPr>
        <w:t xml:space="preserve">2.4.2. </w:t>
      </w:r>
      <w:proofErr w:type="spellStart"/>
      <w:r w:rsidRPr="00E16672">
        <w:rPr>
          <w:rFonts w:ascii="Times New Roman" w:hAnsi="Times New Roman"/>
          <w:color w:val="000000"/>
          <w:szCs w:val="20"/>
        </w:rPr>
        <w:t>Вимагати</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від</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Депозитарної</w:t>
      </w:r>
      <w:proofErr w:type="spellEnd"/>
      <w:r w:rsidRPr="00E16672">
        <w:rPr>
          <w:rFonts w:ascii="Times New Roman" w:hAnsi="Times New Roman"/>
          <w:color w:val="000000"/>
          <w:szCs w:val="20"/>
        </w:rPr>
        <w:t xml:space="preserve"> установи </w:t>
      </w:r>
      <w:proofErr w:type="spellStart"/>
      <w:r w:rsidRPr="00E16672">
        <w:rPr>
          <w:rFonts w:ascii="Times New Roman" w:hAnsi="Times New Roman"/>
          <w:color w:val="000000"/>
          <w:szCs w:val="20"/>
        </w:rPr>
        <w:t>виконання</w:t>
      </w:r>
      <w:proofErr w:type="spellEnd"/>
      <w:r w:rsidRPr="00E16672">
        <w:rPr>
          <w:rFonts w:ascii="Times New Roman" w:hAnsi="Times New Roman"/>
          <w:color w:val="000000"/>
          <w:szCs w:val="20"/>
        </w:rPr>
        <w:t xml:space="preserve"> умов </w:t>
      </w:r>
      <w:proofErr w:type="spellStart"/>
      <w:r w:rsidRPr="00E16672">
        <w:rPr>
          <w:rFonts w:ascii="Times New Roman" w:hAnsi="Times New Roman"/>
          <w:color w:val="000000"/>
          <w:szCs w:val="20"/>
        </w:rPr>
        <w:t>обслуговування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обіг</w:t>
      </w:r>
      <w:r w:rsidR="00C22309" w:rsidRPr="00E16672">
        <w:rPr>
          <w:rFonts w:ascii="Times New Roman" w:hAnsi="Times New Roman"/>
          <w:color w:val="000000"/>
          <w:szCs w:val="20"/>
        </w:rPr>
        <w:t>в</w:t>
      </w:r>
      <w:proofErr w:type="spellEnd"/>
      <w:r w:rsidR="00C22309" w:rsidRPr="00E16672">
        <w:rPr>
          <w:rFonts w:ascii="Times New Roman" w:hAnsi="Times New Roman"/>
          <w:color w:val="000000"/>
          <w:szCs w:val="20"/>
        </w:rPr>
        <w:t xml:space="preserve"> </w:t>
      </w:r>
      <w:proofErr w:type="spellStart"/>
      <w:r w:rsidR="00C22309" w:rsidRPr="00E16672">
        <w:rPr>
          <w:rFonts w:ascii="Times New Roman" w:hAnsi="Times New Roman"/>
          <w:color w:val="000000"/>
          <w:szCs w:val="20"/>
        </w:rPr>
        <w:t>цін</w:t>
      </w:r>
      <w:r w:rsidRPr="00E16672">
        <w:rPr>
          <w:rFonts w:ascii="Times New Roman" w:hAnsi="Times New Roman"/>
          <w:color w:val="000000"/>
          <w:szCs w:val="20"/>
        </w:rPr>
        <w:t>них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паперів</w:t>
      </w:r>
      <w:proofErr w:type="spellEnd"/>
      <w:r w:rsidRPr="00E16672">
        <w:rPr>
          <w:rFonts w:ascii="Times New Roman" w:hAnsi="Times New Roman"/>
          <w:color w:val="000000"/>
          <w:szCs w:val="20"/>
        </w:rPr>
        <w:t xml:space="preserve"> на </w:t>
      </w:r>
      <w:proofErr w:type="spellStart"/>
      <w:r w:rsidRPr="00E16672">
        <w:rPr>
          <w:rFonts w:ascii="Times New Roman" w:hAnsi="Times New Roman"/>
          <w:color w:val="000000"/>
          <w:szCs w:val="20"/>
        </w:rPr>
        <w:t>рахунку</w:t>
      </w:r>
      <w:proofErr w:type="spellEnd"/>
      <w:r w:rsidRPr="00E16672">
        <w:rPr>
          <w:rFonts w:ascii="Times New Roman" w:hAnsi="Times New Roman"/>
          <w:color w:val="000000"/>
          <w:szCs w:val="20"/>
        </w:rPr>
        <w:t xml:space="preserve"> </w:t>
      </w:r>
      <w:r w:rsidR="00C22309" w:rsidRPr="00E16672">
        <w:rPr>
          <w:rFonts w:ascii="Times New Roman" w:hAnsi="Times New Roman"/>
          <w:color w:val="000000"/>
          <w:szCs w:val="20"/>
        </w:rPr>
        <w:t xml:space="preserve">в </w:t>
      </w:r>
      <w:proofErr w:type="spellStart"/>
      <w:r w:rsidR="00C22309" w:rsidRPr="00E16672">
        <w:rPr>
          <w:rFonts w:ascii="Times New Roman" w:hAnsi="Times New Roman"/>
          <w:color w:val="000000"/>
          <w:szCs w:val="20"/>
        </w:rPr>
        <w:t>цін</w:t>
      </w:r>
      <w:r w:rsidRPr="00E16672">
        <w:rPr>
          <w:rFonts w:ascii="Times New Roman" w:hAnsi="Times New Roman"/>
          <w:color w:val="000000"/>
          <w:szCs w:val="20"/>
        </w:rPr>
        <w:t>них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паперах</w:t>
      </w:r>
      <w:proofErr w:type="spellEnd"/>
      <w:r w:rsidRPr="00E16672">
        <w:rPr>
          <w:rFonts w:ascii="Times New Roman" w:hAnsi="Times New Roman"/>
          <w:color w:val="000000"/>
          <w:szCs w:val="20"/>
        </w:rPr>
        <w:t xml:space="preserve"> Депонента, </w:t>
      </w:r>
      <w:proofErr w:type="spellStart"/>
      <w:r w:rsidRPr="00E16672">
        <w:rPr>
          <w:rFonts w:ascii="Times New Roman" w:hAnsi="Times New Roman"/>
          <w:color w:val="000000"/>
          <w:szCs w:val="20"/>
        </w:rPr>
        <w:t>обліку</w:t>
      </w:r>
      <w:proofErr w:type="spellEnd"/>
      <w:r w:rsidRPr="00E16672">
        <w:rPr>
          <w:rFonts w:ascii="Times New Roman" w:hAnsi="Times New Roman"/>
          <w:color w:val="000000"/>
          <w:szCs w:val="20"/>
        </w:rPr>
        <w:t xml:space="preserve"> прав на </w:t>
      </w:r>
      <w:proofErr w:type="spellStart"/>
      <w:r w:rsidRPr="00E16672">
        <w:rPr>
          <w:rFonts w:ascii="Times New Roman" w:hAnsi="Times New Roman"/>
          <w:color w:val="000000"/>
          <w:szCs w:val="20"/>
        </w:rPr>
        <w:t>цінні</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папери</w:t>
      </w:r>
      <w:proofErr w:type="spellEnd"/>
      <w:r w:rsidRPr="00E16672">
        <w:rPr>
          <w:rFonts w:ascii="Times New Roman" w:hAnsi="Times New Roman"/>
          <w:color w:val="000000"/>
          <w:szCs w:val="20"/>
        </w:rPr>
        <w:t xml:space="preserve"> та </w:t>
      </w:r>
      <w:proofErr w:type="spellStart"/>
      <w:r w:rsidRPr="00E16672">
        <w:rPr>
          <w:rFonts w:ascii="Times New Roman" w:hAnsi="Times New Roman"/>
          <w:color w:val="000000"/>
          <w:szCs w:val="20"/>
        </w:rPr>
        <w:t>їх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обмежень</w:t>
      </w:r>
      <w:proofErr w:type="spellEnd"/>
      <w:r w:rsidRPr="00E16672">
        <w:rPr>
          <w:rFonts w:ascii="Times New Roman" w:hAnsi="Times New Roman"/>
          <w:color w:val="000000"/>
          <w:szCs w:val="20"/>
        </w:rPr>
        <w:t xml:space="preserve"> на </w:t>
      </w:r>
      <w:proofErr w:type="spellStart"/>
      <w:r w:rsidRPr="00E16672">
        <w:rPr>
          <w:rFonts w:ascii="Times New Roman" w:hAnsi="Times New Roman"/>
          <w:color w:val="000000"/>
          <w:szCs w:val="20"/>
        </w:rPr>
        <w:t>рахунку</w:t>
      </w:r>
      <w:proofErr w:type="spellEnd"/>
      <w:r w:rsidRPr="00E16672">
        <w:rPr>
          <w:rFonts w:ascii="Times New Roman" w:hAnsi="Times New Roman"/>
          <w:color w:val="000000"/>
          <w:szCs w:val="20"/>
        </w:rPr>
        <w:t xml:space="preserve"> </w:t>
      </w:r>
      <w:r w:rsidR="00C22309" w:rsidRPr="00E16672">
        <w:rPr>
          <w:rFonts w:ascii="Times New Roman" w:hAnsi="Times New Roman"/>
          <w:color w:val="000000"/>
          <w:szCs w:val="20"/>
        </w:rPr>
        <w:t xml:space="preserve">в </w:t>
      </w:r>
      <w:proofErr w:type="spellStart"/>
      <w:r w:rsidR="00C22309" w:rsidRPr="00E16672">
        <w:rPr>
          <w:rFonts w:ascii="Times New Roman" w:hAnsi="Times New Roman"/>
          <w:color w:val="000000"/>
          <w:szCs w:val="20"/>
        </w:rPr>
        <w:t>цін</w:t>
      </w:r>
      <w:r w:rsidRPr="00E16672">
        <w:rPr>
          <w:rFonts w:ascii="Times New Roman" w:hAnsi="Times New Roman"/>
          <w:color w:val="000000"/>
          <w:szCs w:val="20"/>
        </w:rPr>
        <w:t>них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паперах</w:t>
      </w:r>
      <w:proofErr w:type="spellEnd"/>
      <w:r w:rsidRPr="00E16672">
        <w:rPr>
          <w:rFonts w:ascii="Times New Roman" w:hAnsi="Times New Roman"/>
          <w:color w:val="000000"/>
          <w:szCs w:val="20"/>
        </w:rPr>
        <w:t xml:space="preserve"> Депонента.</w:t>
      </w:r>
    </w:p>
    <w:p w14:paraId="470A0CD0" w14:textId="77777777" w:rsidR="007974E8" w:rsidRPr="00E16672" w:rsidRDefault="007974E8" w:rsidP="007974E8">
      <w:pPr>
        <w:rPr>
          <w:rFonts w:ascii="Times New Roman" w:hAnsi="Times New Roman"/>
          <w:color w:val="000000"/>
          <w:szCs w:val="20"/>
        </w:rPr>
      </w:pPr>
      <w:r w:rsidRPr="00E16672">
        <w:rPr>
          <w:rFonts w:ascii="Times New Roman" w:hAnsi="Times New Roman"/>
          <w:color w:val="000000"/>
          <w:szCs w:val="20"/>
        </w:rPr>
        <w:t xml:space="preserve">2.4.3. У </w:t>
      </w:r>
      <w:proofErr w:type="spellStart"/>
      <w:r w:rsidRPr="00E16672">
        <w:rPr>
          <w:rFonts w:ascii="Times New Roman" w:hAnsi="Times New Roman"/>
          <w:color w:val="000000"/>
          <w:szCs w:val="20"/>
        </w:rPr>
        <w:t>випадку</w:t>
      </w:r>
      <w:proofErr w:type="spellEnd"/>
      <w:r w:rsidRPr="00E16672">
        <w:rPr>
          <w:rFonts w:ascii="Times New Roman" w:hAnsi="Times New Roman"/>
          <w:color w:val="000000"/>
          <w:szCs w:val="20"/>
        </w:rPr>
        <w:t xml:space="preserve"> початку Депозитарною </w:t>
      </w:r>
      <w:proofErr w:type="spellStart"/>
      <w:proofErr w:type="gramStart"/>
      <w:r w:rsidRPr="00E16672">
        <w:rPr>
          <w:rFonts w:ascii="Times New Roman" w:hAnsi="Times New Roman"/>
          <w:color w:val="000000"/>
          <w:szCs w:val="20"/>
        </w:rPr>
        <w:t>установою</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процедури</w:t>
      </w:r>
      <w:proofErr w:type="spellEnd"/>
      <w:proofErr w:type="gram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припинення</w:t>
      </w:r>
      <w:proofErr w:type="spellEnd"/>
      <w:r w:rsidRPr="00E16672">
        <w:rPr>
          <w:rFonts w:ascii="Times New Roman" w:hAnsi="Times New Roman"/>
          <w:color w:val="000000"/>
          <w:szCs w:val="20"/>
        </w:rPr>
        <w:t xml:space="preserve"> ним </w:t>
      </w:r>
      <w:proofErr w:type="spellStart"/>
      <w:r w:rsidRPr="00E16672">
        <w:rPr>
          <w:rFonts w:ascii="Times New Roman" w:hAnsi="Times New Roman"/>
          <w:color w:val="000000"/>
          <w:szCs w:val="20"/>
        </w:rPr>
        <w:t>провадження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професійної</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діяльності</w:t>
      </w:r>
      <w:proofErr w:type="spellEnd"/>
      <w:r w:rsidRPr="00E16672">
        <w:rPr>
          <w:rFonts w:ascii="Times New Roman" w:hAnsi="Times New Roman"/>
          <w:color w:val="000000"/>
          <w:szCs w:val="20"/>
        </w:rPr>
        <w:t xml:space="preserve"> на фондовому ринку - </w:t>
      </w:r>
      <w:proofErr w:type="spellStart"/>
      <w:r w:rsidRPr="00E16672">
        <w:rPr>
          <w:rFonts w:ascii="Times New Roman" w:hAnsi="Times New Roman"/>
          <w:color w:val="000000"/>
          <w:szCs w:val="20"/>
        </w:rPr>
        <w:t>депозитарної</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діяльності</w:t>
      </w:r>
      <w:proofErr w:type="spellEnd"/>
      <w:r w:rsidRPr="00E16672">
        <w:rPr>
          <w:rFonts w:ascii="Times New Roman" w:hAnsi="Times New Roman"/>
          <w:color w:val="000000"/>
          <w:szCs w:val="20"/>
        </w:rPr>
        <w:t xml:space="preserve">, а </w:t>
      </w:r>
      <w:proofErr w:type="spellStart"/>
      <w:r w:rsidRPr="00E16672">
        <w:rPr>
          <w:rFonts w:ascii="Times New Roman" w:hAnsi="Times New Roman"/>
          <w:color w:val="000000"/>
          <w:szCs w:val="20"/>
        </w:rPr>
        <w:t>саме</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депозитарної</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діяльності</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депозитарної</w:t>
      </w:r>
      <w:proofErr w:type="spellEnd"/>
      <w:r w:rsidRPr="00E16672">
        <w:rPr>
          <w:rFonts w:ascii="Times New Roman" w:hAnsi="Times New Roman"/>
          <w:color w:val="000000"/>
          <w:szCs w:val="20"/>
        </w:rPr>
        <w:t xml:space="preserve"> установи </w:t>
      </w:r>
      <w:proofErr w:type="spellStart"/>
      <w:r w:rsidRPr="00E16672">
        <w:rPr>
          <w:rFonts w:ascii="Times New Roman" w:hAnsi="Times New Roman"/>
          <w:color w:val="000000"/>
          <w:szCs w:val="20"/>
        </w:rPr>
        <w:t>відповідно</w:t>
      </w:r>
      <w:proofErr w:type="spellEnd"/>
      <w:r w:rsidRPr="00E16672">
        <w:rPr>
          <w:rFonts w:ascii="Times New Roman" w:hAnsi="Times New Roman"/>
          <w:color w:val="000000"/>
          <w:szCs w:val="20"/>
        </w:rPr>
        <w:t xml:space="preserve"> до </w:t>
      </w:r>
      <w:proofErr w:type="spellStart"/>
      <w:r w:rsidRPr="00E16672">
        <w:rPr>
          <w:rFonts w:ascii="Times New Roman" w:hAnsi="Times New Roman"/>
          <w:color w:val="000000"/>
          <w:szCs w:val="20"/>
        </w:rPr>
        <w:t>вимог</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відповідно</w:t>
      </w:r>
      <w:proofErr w:type="spellEnd"/>
      <w:r w:rsidRPr="00E16672">
        <w:rPr>
          <w:rFonts w:ascii="Times New Roman" w:hAnsi="Times New Roman"/>
          <w:color w:val="000000"/>
          <w:szCs w:val="20"/>
        </w:rPr>
        <w:t xml:space="preserve"> до </w:t>
      </w:r>
      <w:proofErr w:type="spellStart"/>
      <w:r w:rsidRPr="00E16672">
        <w:rPr>
          <w:rFonts w:ascii="Times New Roman" w:hAnsi="Times New Roman"/>
          <w:color w:val="000000"/>
          <w:szCs w:val="20"/>
        </w:rPr>
        <w:t>вимог</w:t>
      </w:r>
      <w:proofErr w:type="spellEnd"/>
      <w:r w:rsidRPr="00E16672">
        <w:rPr>
          <w:rFonts w:ascii="Times New Roman" w:hAnsi="Times New Roman"/>
          <w:color w:val="000000"/>
          <w:szCs w:val="20"/>
        </w:rPr>
        <w:t xml:space="preserve"> нормативно-правового акта </w:t>
      </w:r>
      <w:proofErr w:type="spellStart"/>
      <w:r w:rsidRPr="00E16672">
        <w:rPr>
          <w:rFonts w:ascii="Times New Roman" w:hAnsi="Times New Roman"/>
          <w:color w:val="000000"/>
          <w:szCs w:val="20"/>
        </w:rPr>
        <w:t>щодо</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припинення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депозитарної</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діяльності</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депозитарної</w:t>
      </w:r>
      <w:proofErr w:type="spellEnd"/>
      <w:r w:rsidRPr="00E16672">
        <w:rPr>
          <w:rFonts w:ascii="Times New Roman" w:hAnsi="Times New Roman"/>
          <w:color w:val="000000"/>
          <w:szCs w:val="20"/>
        </w:rPr>
        <w:t xml:space="preserve"> установи, </w:t>
      </w:r>
      <w:proofErr w:type="spellStart"/>
      <w:r w:rsidRPr="00E16672">
        <w:rPr>
          <w:rFonts w:ascii="Times New Roman" w:hAnsi="Times New Roman"/>
          <w:color w:val="000000"/>
          <w:szCs w:val="20"/>
        </w:rPr>
        <w:t>надавати</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тільки</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ті</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розпорядження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щодо</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цінних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паперів</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що</w:t>
      </w:r>
      <w:proofErr w:type="spellEnd"/>
      <w:r w:rsidRPr="00E16672">
        <w:rPr>
          <w:rFonts w:ascii="Times New Roman" w:hAnsi="Times New Roman"/>
          <w:color w:val="000000"/>
          <w:szCs w:val="20"/>
        </w:rPr>
        <w:t xml:space="preserve"> належать </w:t>
      </w:r>
      <w:proofErr w:type="spellStart"/>
      <w:r w:rsidRPr="00E16672">
        <w:rPr>
          <w:rFonts w:ascii="Times New Roman" w:hAnsi="Times New Roman"/>
          <w:color w:val="000000"/>
          <w:szCs w:val="20"/>
        </w:rPr>
        <w:t>йому</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виконання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яких</w:t>
      </w:r>
      <w:proofErr w:type="spellEnd"/>
      <w:r w:rsidRPr="00E16672">
        <w:rPr>
          <w:rFonts w:ascii="Times New Roman" w:hAnsi="Times New Roman"/>
          <w:color w:val="000000"/>
          <w:szCs w:val="20"/>
        </w:rPr>
        <w:t xml:space="preserve"> не заборонено </w:t>
      </w:r>
      <w:proofErr w:type="spellStart"/>
      <w:r w:rsidRPr="00E16672">
        <w:rPr>
          <w:rFonts w:ascii="Times New Roman" w:hAnsi="Times New Roman"/>
          <w:color w:val="000000"/>
          <w:szCs w:val="20"/>
        </w:rPr>
        <w:t>законодавством</w:t>
      </w:r>
      <w:proofErr w:type="spellEnd"/>
      <w:r w:rsidRPr="00E16672">
        <w:rPr>
          <w:rFonts w:ascii="Times New Roman" w:hAnsi="Times New Roman"/>
          <w:color w:val="000000"/>
          <w:szCs w:val="20"/>
        </w:rPr>
        <w:t>.</w:t>
      </w:r>
    </w:p>
    <w:p w14:paraId="679A642C" w14:textId="77777777" w:rsidR="007974E8" w:rsidRPr="00E16672" w:rsidRDefault="007974E8" w:rsidP="00022F5F">
      <w:pPr>
        <w:jc w:val="left"/>
        <w:rPr>
          <w:rFonts w:ascii="Times New Roman" w:hAnsi="Times New Roman"/>
          <w:color w:val="000000"/>
          <w:szCs w:val="20"/>
        </w:rPr>
      </w:pPr>
      <w:r w:rsidRPr="00E16672">
        <w:rPr>
          <w:rFonts w:ascii="Times New Roman" w:hAnsi="Times New Roman"/>
          <w:color w:val="000000"/>
          <w:szCs w:val="20"/>
        </w:rPr>
        <w:t xml:space="preserve">2.4.4. </w:t>
      </w:r>
      <w:proofErr w:type="spellStart"/>
      <w:r w:rsidRPr="00E16672">
        <w:rPr>
          <w:rFonts w:ascii="Times New Roman" w:hAnsi="Times New Roman"/>
          <w:bCs/>
          <w:color w:val="000000"/>
          <w:szCs w:val="20"/>
        </w:rPr>
        <w:t>Н</w:t>
      </w:r>
      <w:r w:rsidRPr="00E16672">
        <w:rPr>
          <w:rFonts w:ascii="Times New Roman" w:hAnsi="Times New Roman"/>
          <w:color w:val="000000"/>
          <w:szCs w:val="20"/>
        </w:rPr>
        <w:t>адавати</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Депозитарній</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установі</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інформацію</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лише</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щодо</w:t>
      </w:r>
      <w:proofErr w:type="spellEnd"/>
      <w:r w:rsidRPr="00E16672">
        <w:rPr>
          <w:rFonts w:ascii="Times New Roman" w:hAnsi="Times New Roman"/>
          <w:color w:val="000000"/>
          <w:szCs w:val="20"/>
        </w:rPr>
        <w:t xml:space="preserve"> одного - </w:t>
      </w:r>
      <w:proofErr w:type="spellStart"/>
      <w:r w:rsidRPr="00E16672">
        <w:rPr>
          <w:rFonts w:ascii="Times New Roman" w:hAnsi="Times New Roman"/>
          <w:color w:val="000000"/>
          <w:szCs w:val="20"/>
        </w:rPr>
        <w:t>торговця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цінними</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паперами</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якому</w:t>
      </w:r>
      <w:proofErr w:type="spellEnd"/>
      <w:r w:rsidRPr="00E16672">
        <w:rPr>
          <w:rFonts w:ascii="Times New Roman" w:hAnsi="Times New Roman"/>
          <w:color w:val="000000"/>
          <w:szCs w:val="20"/>
        </w:rPr>
        <w:t xml:space="preserve"> Депонентом </w:t>
      </w:r>
      <w:proofErr w:type="spellStart"/>
      <w:r w:rsidRPr="00E16672">
        <w:rPr>
          <w:rFonts w:ascii="Times New Roman" w:hAnsi="Times New Roman"/>
          <w:color w:val="000000"/>
          <w:szCs w:val="20"/>
        </w:rPr>
        <w:t>надані</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повноваження</w:t>
      </w:r>
      <w:proofErr w:type="spellEnd"/>
      <w:r w:rsidRPr="00E16672">
        <w:rPr>
          <w:rFonts w:ascii="Times New Roman" w:hAnsi="Times New Roman"/>
          <w:color w:val="000000"/>
          <w:szCs w:val="20"/>
        </w:rPr>
        <w:t xml:space="preserve"> на </w:t>
      </w:r>
      <w:proofErr w:type="spellStart"/>
      <w:r w:rsidRPr="00E16672">
        <w:rPr>
          <w:rFonts w:ascii="Times New Roman" w:hAnsi="Times New Roman"/>
          <w:color w:val="000000"/>
          <w:szCs w:val="20"/>
        </w:rPr>
        <w:t>вчинення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правочинів</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щодо</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цінних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паперів</w:t>
      </w:r>
      <w:proofErr w:type="spellEnd"/>
      <w:r w:rsidRPr="00E16672">
        <w:rPr>
          <w:rFonts w:ascii="Times New Roman" w:hAnsi="Times New Roman"/>
          <w:color w:val="000000"/>
          <w:szCs w:val="20"/>
        </w:rPr>
        <w:t xml:space="preserve"> в </w:t>
      </w:r>
      <w:proofErr w:type="spellStart"/>
      <w:r w:rsidRPr="00E16672">
        <w:rPr>
          <w:rFonts w:ascii="Times New Roman" w:hAnsi="Times New Roman"/>
          <w:color w:val="000000"/>
          <w:szCs w:val="20"/>
        </w:rPr>
        <w:t>інтересах</w:t>
      </w:r>
      <w:proofErr w:type="spellEnd"/>
      <w:r w:rsidRPr="00E16672">
        <w:rPr>
          <w:rFonts w:ascii="Times New Roman" w:hAnsi="Times New Roman"/>
          <w:color w:val="000000"/>
          <w:szCs w:val="20"/>
        </w:rPr>
        <w:t xml:space="preserve"> Депонента, </w:t>
      </w:r>
      <w:proofErr w:type="spellStart"/>
      <w:r w:rsidRPr="00E16672">
        <w:rPr>
          <w:rFonts w:ascii="Times New Roman" w:hAnsi="Times New Roman"/>
          <w:color w:val="000000"/>
          <w:szCs w:val="20"/>
        </w:rPr>
        <w:t>які</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виконуються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із</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забезпеченням</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здійснення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розрахунків</w:t>
      </w:r>
      <w:proofErr w:type="spellEnd"/>
      <w:r w:rsidRPr="00E16672">
        <w:rPr>
          <w:rFonts w:ascii="Times New Roman" w:hAnsi="Times New Roman"/>
          <w:color w:val="000000"/>
          <w:szCs w:val="20"/>
        </w:rPr>
        <w:t xml:space="preserve"> за </w:t>
      </w:r>
      <w:proofErr w:type="spellStart"/>
      <w:r w:rsidRPr="00E16672">
        <w:rPr>
          <w:rFonts w:ascii="Times New Roman" w:hAnsi="Times New Roman"/>
          <w:color w:val="000000"/>
          <w:szCs w:val="20"/>
        </w:rPr>
        <w:t>правочинами</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щодо</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цінних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паперів</w:t>
      </w:r>
      <w:proofErr w:type="spellEnd"/>
      <w:r w:rsidRPr="00E16672">
        <w:rPr>
          <w:rFonts w:ascii="Times New Roman" w:hAnsi="Times New Roman"/>
          <w:color w:val="000000"/>
          <w:szCs w:val="20"/>
        </w:rPr>
        <w:t xml:space="preserve"> з </w:t>
      </w:r>
      <w:proofErr w:type="spellStart"/>
      <w:r w:rsidRPr="00E16672">
        <w:rPr>
          <w:rFonts w:ascii="Times New Roman" w:hAnsi="Times New Roman"/>
          <w:color w:val="000000"/>
          <w:szCs w:val="20"/>
        </w:rPr>
        <w:t>дотриманням</w:t>
      </w:r>
      <w:proofErr w:type="spellEnd"/>
      <w:r w:rsidRPr="00E16672">
        <w:rPr>
          <w:rFonts w:ascii="Times New Roman" w:hAnsi="Times New Roman"/>
          <w:color w:val="000000"/>
          <w:szCs w:val="20"/>
        </w:rPr>
        <w:t xml:space="preserve"> принципу </w:t>
      </w:r>
      <w:r w:rsidR="00022F5F">
        <w:rPr>
          <w:rFonts w:ascii="Times New Roman" w:hAnsi="Times New Roman"/>
          <w:color w:val="000000"/>
          <w:szCs w:val="20"/>
          <w:lang w:val="uk-UA"/>
        </w:rPr>
        <w:t>"</w:t>
      </w:r>
      <w:r w:rsidRPr="00E16672">
        <w:rPr>
          <w:rFonts w:ascii="Times New Roman" w:hAnsi="Times New Roman"/>
          <w:color w:val="000000"/>
          <w:szCs w:val="20"/>
        </w:rPr>
        <w:t xml:space="preserve">поставка </w:t>
      </w:r>
      <w:proofErr w:type="spellStart"/>
      <w:r w:rsidRPr="00E16672">
        <w:rPr>
          <w:rFonts w:ascii="Times New Roman" w:hAnsi="Times New Roman"/>
          <w:color w:val="000000"/>
          <w:szCs w:val="20"/>
        </w:rPr>
        <w:t>цінних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паперів</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проти</w:t>
      </w:r>
      <w:proofErr w:type="spellEnd"/>
      <w:r w:rsidRPr="00E16672">
        <w:rPr>
          <w:rFonts w:ascii="Times New Roman" w:hAnsi="Times New Roman"/>
          <w:color w:val="000000"/>
          <w:szCs w:val="20"/>
        </w:rPr>
        <w:t xml:space="preserve"> оплати</w:t>
      </w:r>
      <w:r w:rsidR="00022F5F">
        <w:rPr>
          <w:rFonts w:ascii="Times New Roman" w:hAnsi="Times New Roman"/>
          <w:color w:val="000000"/>
          <w:szCs w:val="20"/>
          <w:lang w:val="uk-UA"/>
        </w:rPr>
        <w:t>"</w:t>
      </w:r>
      <w:r w:rsidRPr="00E16672">
        <w:rPr>
          <w:rFonts w:ascii="Times New Roman" w:hAnsi="Times New Roman"/>
          <w:color w:val="000000"/>
          <w:szCs w:val="20"/>
        </w:rPr>
        <w:t>.</w:t>
      </w:r>
    </w:p>
    <w:p w14:paraId="2901D94E" w14:textId="77777777" w:rsidR="00181F4C" w:rsidRPr="00E16672" w:rsidRDefault="00181F4C" w:rsidP="00022F5F">
      <w:pPr>
        <w:jc w:val="left"/>
        <w:rPr>
          <w:rFonts w:ascii="Times New Roman" w:hAnsi="Times New Roman"/>
          <w:color w:val="000000"/>
          <w:szCs w:val="20"/>
          <w:lang w:val="uk-UA"/>
        </w:rPr>
      </w:pPr>
      <w:r w:rsidRPr="00E16672">
        <w:rPr>
          <w:rFonts w:ascii="Times New Roman" w:hAnsi="Times New Roman"/>
          <w:color w:val="000000"/>
          <w:szCs w:val="20"/>
          <w:lang w:val="uk-UA"/>
        </w:rPr>
        <w:t xml:space="preserve">2.4.5. </w:t>
      </w:r>
      <w:proofErr w:type="spellStart"/>
      <w:r w:rsidRPr="00E16672">
        <w:rPr>
          <w:rFonts w:ascii="Times New Roman" w:hAnsi="Times New Roman"/>
          <w:szCs w:val="20"/>
        </w:rPr>
        <w:t>Отримувати</w:t>
      </w:r>
      <w:proofErr w:type="spellEnd"/>
      <w:r w:rsidRPr="00E16672">
        <w:rPr>
          <w:rFonts w:ascii="Times New Roman" w:hAnsi="Times New Roman"/>
          <w:szCs w:val="20"/>
        </w:rPr>
        <w:t xml:space="preserve"> </w:t>
      </w:r>
      <w:proofErr w:type="spellStart"/>
      <w:r w:rsidRPr="00E16672">
        <w:rPr>
          <w:rFonts w:ascii="Times New Roman" w:hAnsi="Times New Roman"/>
          <w:szCs w:val="20"/>
        </w:rPr>
        <w:t>інформацію</w:t>
      </w:r>
      <w:proofErr w:type="spellEnd"/>
      <w:r w:rsidRPr="00E16672">
        <w:rPr>
          <w:rFonts w:ascii="Times New Roman" w:hAnsi="Times New Roman"/>
          <w:szCs w:val="20"/>
        </w:rPr>
        <w:t xml:space="preserve"> про </w:t>
      </w:r>
      <w:proofErr w:type="spellStart"/>
      <w:r w:rsidRPr="00E16672">
        <w:rPr>
          <w:rFonts w:ascii="Times New Roman" w:hAnsi="Times New Roman"/>
          <w:szCs w:val="20"/>
        </w:rPr>
        <w:t>умови</w:t>
      </w:r>
      <w:proofErr w:type="spellEnd"/>
      <w:r w:rsidRPr="00E16672">
        <w:rPr>
          <w:rFonts w:ascii="Times New Roman" w:hAnsi="Times New Roman"/>
          <w:szCs w:val="20"/>
        </w:rPr>
        <w:t xml:space="preserve"> та порядок </w:t>
      </w:r>
      <w:proofErr w:type="spellStart"/>
      <w:r w:rsidRPr="00E16672">
        <w:rPr>
          <w:rFonts w:ascii="Times New Roman" w:hAnsi="Times New Roman"/>
          <w:szCs w:val="20"/>
        </w:rPr>
        <w:t>діяльності</w:t>
      </w:r>
      <w:proofErr w:type="spellEnd"/>
      <w:r w:rsidRPr="00E16672">
        <w:rPr>
          <w:rFonts w:ascii="Times New Roman" w:hAnsi="Times New Roman"/>
          <w:szCs w:val="20"/>
        </w:rPr>
        <w:t xml:space="preserve"> </w:t>
      </w:r>
      <w:proofErr w:type="spellStart"/>
      <w:r w:rsidRPr="00E16672">
        <w:rPr>
          <w:rFonts w:ascii="Times New Roman" w:hAnsi="Times New Roman"/>
          <w:szCs w:val="20"/>
        </w:rPr>
        <w:t>депозитарної</w:t>
      </w:r>
      <w:proofErr w:type="spellEnd"/>
      <w:r w:rsidRPr="00E16672">
        <w:rPr>
          <w:rFonts w:ascii="Times New Roman" w:hAnsi="Times New Roman"/>
          <w:szCs w:val="20"/>
        </w:rPr>
        <w:t xml:space="preserve"> установи з </w:t>
      </w:r>
      <w:proofErr w:type="spellStart"/>
      <w:r w:rsidRPr="00E16672">
        <w:rPr>
          <w:rFonts w:ascii="Times New Roman" w:hAnsi="Times New Roman"/>
          <w:szCs w:val="20"/>
        </w:rPr>
        <w:t>урахуванням</w:t>
      </w:r>
      <w:proofErr w:type="spellEnd"/>
      <w:r w:rsidRPr="00E16672">
        <w:rPr>
          <w:rFonts w:ascii="Times New Roman" w:hAnsi="Times New Roman"/>
          <w:szCs w:val="20"/>
        </w:rPr>
        <w:t xml:space="preserve"> </w:t>
      </w:r>
      <w:proofErr w:type="spellStart"/>
      <w:r w:rsidRPr="00E16672">
        <w:rPr>
          <w:rFonts w:ascii="Times New Roman" w:hAnsi="Times New Roman"/>
          <w:szCs w:val="20"/>
        </w:rPr>
        <w:t>вимог</w:t>
      </w:r>
      <w:proofErr w:type="spellEnd"/>
      <w:r w:rsidRPr="00E16672">
        <w:rPr>
          <w:rFonts w:ascii="Times New Roman" w:hAnsi="Times New Roman"/>
          <w:szCs w:val="20"/>
        </w:rPr>
        <w:t xml:space="preserve">, </w:t>
      </w:r>
      <w:proofErr w:type="spellStart"/>
      <w:r w:rsidRPr="00E16672">
        <w:rPr>
          <w:rFonts w:ascii="Times New Roman" w:hAnsi="Times New Roman"/>
          <w:szCs w:val="20"/>
        </w:rPr>
        <w:t>встановлених</w:t>
      </w:r>
      <w:proofErr w:type="spellEnd"/>
      <w:r w:rsidRPr="00E16672">
        <w:rPr>
          <w:rFonts w:ascii="Times New Roman" w:hAnsi="Times New Roman"/>
          <w:szCs w:val="20"/>
        </w:rPr>
        <w:t> </w:t>
      </w:r>
      <w:proofErr w:type="spellStart"/>
      <w:r w:rsidRPr="00E16672">
        <w:rPr>
          <w:rFonts w:ascii="Times New Roman" w:hAnsi="Times New Roman"/>
          <w:szCs w:val="20"/>
        </w:rPr>
        <w:t>частиною</w:t>
      </w:r>
      <w:proofErr w:type="spellEnd"/>
      <w:r w:rsidRPr="00E16672">
        <w:rPr>
          <w:rFonts w:ascii="Times New Roman" w:hAnsi="Times New Roman"/>
          <w:szCs w:val="20"/>
        </w:rPr>
        <w:t xml:space="preserve"> </w:t>
      </w:r>
      <w:proofErr w:type="spellStart"/>
      <w:r w:rsidRPr="00E16672">
        <w:rPr>
          <w:rFonts w:ascii="Times New Roman" w:hAnsi="Times New Roman"/>
          <w:szCs w:val="20"/>
        </w:rPr>
        <w:t>першою</w:t>
      </w:r>
      <w:proofErr w:type="spellEnd"/>
      <w:r w:rsidRPr="00E16672">
        <w:rPr>
          <w:rFonts w:ascii="Times New Roman" w:hAnsi="Times New Roman"/>
          <w:szCs w:val="20"/>
        </w:rPr>
        <w:t xml:space="preserve"> </w:t>
      </w:r>
      <w:proofErr w:type="spellStart"/>
      <w:r w:rsidRPr="00E16672">
        <w:rPr>
          <w:rFonts w:ascii="Times New Roman" w:hAnsi="Times New Roman"/>
          <w:szCs w:val="20"/>
        </w:rPr>
        <w:t>статті</w:t>
      </w:r>
      <w:proofErr w:type="spellEnd"/>
      <w:r w:rsidRPr="00E16672">
        <w:rPr>
          <w:rFonts w:ascii="Times New Roman" w:hAnsi="Times New Roman"/>
          <w:szCs w:val="20"/>
        </w:rPr>
        <w:t xml:space="preserve"> 12 Закону </w:t>
      </w:r>
      <w:proofErr w:type="spellStart"/>
      <w:r w:rsidRPr="00E16672">
        <w:rPr>
          <w:rFonts w:ascii="Times New Roman" w:hAnsi="Times New Roman"/>
          <w:szCs w:val="20"/>
        </w:rPr>
        <w:t>України</w:t>
      </w:r>
      <w:proofErr w:type="spellEnd"/>
      <w:r w:rsidRPr="00E16672">
        <w:rPr>
          <w:rFonts w:ascii="Times New Roman" w:hAnsi="Times New Roman"/>
          <w:szCs w:val="20"/>
        </w:rPr>
        <w:t xml:space="preserve"> </w:t>
      </w:r>
      <w:r w:rsidR="00022F5F">
        <w:rPr>
          <w:rFonts w:ascii="Times New Roman" w:hAnsi="Times New Roman"/>
          <w:szCs w:val="20"/>
        </w:rPr>
        <w:t>"</w:t>
      </w:r>
      <w:r w:rsidRPr="00E16672">
        <w:rPr>
          <w:rFonts w:ascii="Times New Roman" w:hAnsi="Times New Roman"/>
          <w:szCs w:val="20"/>
        </w:rPr>
        <w:t xml:space="preserve">Про </w:t>
      </w:r>
      <w:proofErr w:type="spellStart"/>
      <w:r w:rsidRPr="00E16672">
        <w:rPr>
          <w:rFonts w:ascii="Times New Roman" w:hAnsi="Times New Roman"/>
          <w:szCs w:val="20"/>
        </w:rPr>
        <w:t>фінансові</w:t>
      </w:r>
      <w:proofErr w:type="spellEnd"/>
      <w:r w:rsidRPr="00E16672">
        <w:rPr>
          <w:rFonts w:ascii="Times New Roman" w:hAnsi="Times New Roman"/>
          <w:szCs w:val="20"/>
        </w:rPr>
        <w:t xml:space="preserve"> </w:t>
      </w:r>
      <w:proofErr w:type="spellStart"/>
      <w:r w:rsidRPr="00E16672">
        <w:rPr>
          <w:rFonts w:ascii="Times New Roman" w:hAnsi="Times New Roman"/>
          <w:szCs w:val="20"/>
        </w:rPr>
        <w:t>послуги</w:t>
      </w:r>
      <w:proofErr w:type="spellEnd"/>
      <w:r w:rsidRPr="00E16672">
        <w:rPr>
          <w:rFonts w:ascii="Times New Roman" w:hAnsi="Times New Roman"/>
          <w:szCs w:val="20"/>
        </w:rPr>
        <w:t xml:space="preserve"> та </w:t>
      </w:r>
      <w:proofErr w:type="spellStart"/>
      <w:r w:rsidRPr="00E16672">
        <w:rPr>
          <w:rFonts w:ascii="Times New Roman" w:hAnsi="Times New Roman"/>
          <w:szCs w:val="20"/>
        </w:rPr>
        <w:t>державне</w:t>
      </w:r>
      <w:proofErr w:type="spellEnd"/>
      <w:r w:rsidRPr="00E16672">
        <w:rPr>
          <w:rFonts w:ascii="Times New Roman" w:hAnsi="Times New Roman"/>
          <w:szCs w:val="20"/>
        </w:rPr>
        <w:t xml:space="preserve"> </w:t>
      </w:r>
      <w:proofErr w:type="spellStart"/>
      <w:r w:rsidRPr="00E16672">
        <w:rPr>
          <w:rFonts w:ascii="Times New Roman" w:hAnsi="Times New Roman"/>
          <w:szCs w:val="20"/>
        </w:rPr>
        <w:t>регулювання</w:t>
      </w:r>
      <w:proofErr w:type="spellEnd"/>
      <w:r w:rsidRPr="00E16672">
        <w:rPr>
          <w:rFonts w:ascii="Times New Roman" w:hAnsi="Times New Roman"/>
          <w:szCs w:val="20"/>
        </w:rPr>
        <w:t xml:space="preserve"> </w:t>
      </w:r>
      <w:proofErr w:type="spellStart"/>
      <w:r w:rsidRPr="00E16672">
        <w:rPr>
          <w:rFonts w:ascii="Times New Roman" w:hAnsi="Times New Roman"/>
          <w:szCs w:val="20"/>
        </w:rPr>
        <w:t>ринків</w:t>
      </w:r>
      <w:proofErr w:type="spellEnd"/>
      <w:r w:rsidRPr="00E16672">
        <w:rPr>
          <w:rFonts w:ascii="Times New Roman" w:hAnsi="Times New Roman"/>
          <w:szCs w:val="20"/>
        </w:rPr>
        <w:t xml:space="preserve"> </w:t>
      </w:r>
      <w:proofErr w:type="spellStart"/>
      <w:r w:rsidRPr="00E16672">
        <w:rPr>
          <w:rFonts w:ascii="Times New Roman" w:hAnsi="Times New Roman"/>
          <w:szCs w:val="20"/>
        </w:rPr>
        <w:t>фінансових</w:t>
      </w:r>
      <w:proofErr w:type="spellEnd"/>
      <w:r w:rsidRPr="00E16672">
        <w:rPr>
          <w:rFonts w:ascii="Times New Roman" w:hAnsi="Times New Roman"/>
          <w:szCs w:val="20"/>
        </w:rPr>
        <w:t xml:space="preserve"> </w:t>
      </w:r>
      <w:proofErr w:type="spellStart"/>
      <w:r w:rsidRPr="00E16672">
        <w:rPr>
          <w:rFonts w:ascii="Times New Roman" w:hAnsi="Times New Roman"/>
          <w:szCs w:val="20"/>
        </w:rPr>
        <w:t>послуг</w:t>
      </w:r>
      <w:proofErr w:type="spellEnd"/>
      <w:r w:rsidR="00022F5F">
        <w:rPr>
          <w:rFonts w:ascii="Times New Roman" w:hAnsi="Times New Roman"/>
          <w:szCs w:val="20"/>
        </w:rPr>
        <w:t>"</w:t>
      </w:r>
      <w:r w:rsidRPr="00E16672">
        <w:rPr>
          <w:rFonts w:ascii="Times New Roman" w:hAnsi="Times New Roman"/>
          <w:szCs w:val="20"/>
        </w:rPr>
        <w:t>.</w:t>
      </w:r>
    </w:p>
    <w:p w14:paraId="46FA5FB3" w14:textId="77777777" w:rsidR="007974E8" w:rsidRPr="00E16672" w:rsidRDefault="007974E8" w:rsidP="007974E8">
      <w:pPr>
        <w:pStyle w:val="af"/>
        <w:rPr>
          <w:rFonts w:ascii="Times New Roman" w:hAnsi="Times New Roman" w:cs="Times New Roman"/>
          <w:color w:val="000000"/>
          <w:lang w:val="ru-RU"/>
        </w:rPr>
      </w:pPr>
    </w:p>
    <w:p w14:paraId="0E36321E" w14:textId="77777777" w:rsidR="007974E8" w:rsidRPr="00E16672" w:rsidRDefault="007974E8" w:rsidP="007974E8">
      <w:pPr>
        <w:jc w:val="center"/>
        <w:rPr>
          <w:rFonts w:ascii="Times New Roman" w:hAnsi="Times New Roman"/>
          <w:b/>
          <w:bCs/>
          <w:color w:val="000000"/>
          <w:szCs w:val="20"/>
        </w:rPr>
      </w:pPr>
      <w:r w:rsidRPr="00E16672">
        <w:rPr>
          <w:rFonts w:ascii="Times New Roman" w:hAnsi="Times New Roman"/>
          <w:b/>
          <w:bCs/>
          <w:color w:val="000000"/>
          <w:szCs w:val="20"/>
        </w:rPr>
        <w:t xml:space="preserve">3. Порядок </w:t>
      </w:r>
      <w:proofErr w:type="spellStart"/>
      <w:r w:rsidRPr="00E16672">
        <w:rPr>
          <w:rFonts w:ascii="Times New Roman" w:hAnsi="Times New Roman"/>
          <w:b/>
          <w:bCs/>
          <w:color w:val="000000"/>
          <w:szCs w:val="20"/>
        </w:rPr>
        <w:t>отримання</w:t>
      </w:r>
      <w:proofErr w:type="spellEnd"/>
      <w:r w:rsidRPr="00E16672">
        <w:rPr>
          <w:rFonts w:ascii="Times New Roman" w:hAnsi="Times New Roman"/>
          <w:b/>
          <w:bCs/>
          <w:color w:val="000000"/>
          <w:szCs w:val="20"/>
        </w:rPr>
        <w:t xml:space="preserve"> </w:t>
      </w:r>
      <w:proofErr w:type="spellStart"/>
      <w:r w:rsidRPr="00E16672">
        <w:rPr>
          <w:rFonts w:ascii="Times New Roman" w:hAnsi="Times New Roman"/>
          <w:b/>
          <w:bCs/>
          <w:color w:val="000000"/>
          <w:szCs w:val="20"/>
        </w:rPr>
        <w:t>розпоряджень</w:t>
      </w:r>
      <w:proofErr w:type="spellEnd"/>
    </w:p>
    <w:p w14:paraId="502D6571" w14:textId="77777777" w:rsidR="007974E8" w:rsidRPr="00E16672" w:rsidRDefault="007974E8" w:rsidP="007974E8">
      <w:pPr>
        <w:rPr>
          <w:rFonts w:ascii="Times New Roman" w:hAnsi="Times New Roman"/>
          <w:b/>
          <w:bCs/>
          <w:color w:val="000000"/>
          <w:szCs w:val="20"/>
        </w:rPr>
      </w:pPr>
    </w:p>
    <w:p w14:paraId="789970E5" w14:textId="77777777" w:rsidR="007974E8" w:rsidRPr="00E16672" w:rsidRDefault="007974E8" w:rsidP="007974E8">
      <w:pPr>
        <w:rPr>
          <w:rFonts w:ascii="Times New Roman" w:hAnsi="Times New Roman"/>
          <w:color w:val="000000"/>
          <w:szCs w:val="20"/>
        </w:rPr>
      </w:pPr>
      <w:r w:rsidRPr="00E16672">
        <w:rPr>
          <w:rFonts w:ascii="Times New Roman" w:hAnsi="Times New Roman"/>
          <w:color w:val="000000"/>
          <w:szCs w:val="20"/>
        </w:rPr>
        <w:t xml:space="preserve">3.1. </w:t>
      </w:r>
      <w:proofErr w:type="spellStart"/>
      <w:r w:rsidRPr="00E16672">
        <w:rPr>
          <w:rFonts w:ascii="Times New Roman" w:hAnsi="Times New Roman"/>
          <w:color w:val="000000"/>
          <w:szCs w:val="20"/>
        </w:rPr>
        <w:t>Обслуговування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операцій</w:t>
      </w:r>
      <w:proofErr w:type="spellEnd"/>
      <w:r w:rsidRPr="00E16672">
        <w:rPr>
          <w:rFonts w:ascii="Times New Roman" w:hAnsi="Times New Roman"/>
          <w:color w:val="000000"/>
          <w:szCs w:val="20"/>
        </w:rPr>
        <w:t xml:space="preserve"> з </w:t>
      </w:r>
      <w:proofErr w:type="spellStart"/>
      <w:r w:rsidRPr="00E16672">
        <w:rPr>
          <w:rFonts w:ascii="Times New Roman" w:hAnsi="Times New Roman"/>
          <w:color w:val="000000"/>
          <w:szCs w:val="20"/>
        </w:rPr>
        <w:t>цінними</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паперами</w:t>
      </w:r>
      <w:proofErr w:type="spellEnd"/>
      <w:r w:rsidRPr="00E16672">
        <w:rPr>
          <w:rFonts w:ascii="Times New Roman" w:hAnsi="Times New Roman"/>
          <w:color w:val="000000"/>
          <w:szCs w:val="20"/>
        </w:rPr>
        <w:t xml:space="preserve"> Депонента </w:t>
      </w:r>
      <w:proofErr w:type="spellStart"/>
      <w:r w:rsidRPr="00E16672">
        <w:rPr>
          <w:rFonts w:ascii="Times New Roman" w:hAnsi="Times New Roman"/>
          <w:color w:val="000000"/>
          <w:szCs w:val="20"/>
        </w:rPr>
        <w:t>здійснюються</w:t>
      </w:r>
      <w:proofErr w:type="spellEnd"/>
      <w:r w:rsidRPr="00E16672">
        <w:rPr>
          <w:rFonts w:ascii="Times New Roman" w:hAnsi="Times New Roman"/>
          <w:color w:val="000000"/>
          <w:szCs w:val="20"/>
        </w:rPr>
        <w:t xml:space="preserve"> Депозитарною </w:t>
      </w:r>
      <w:proofErr w:type="spellStart"/>
      <w:r w:rsidRPr="00E16672">
        <w:rPr>
          <w:rFonts w:ascii="Times New Roman" w:hAnsi="Times New Roman"/>
          <w:color w:val="000000"/>
          <w:szCs w:val="20"/>
        </w:rPr>
        <w:t>установою</w:t>
      </w:r>
      <w:proofErr w:type="spellEnd"/>
      <w:r w:rsidRPr="00E16672">
        <w:rPr>
          <w:rFonts w:ascii="Times New Roman" w:hAnsi="Times New Roman"/>
          <w:color w:val="000000"/>
          <w:szCs w:val="20"/>
        </w:rPr>
        <w:t xml:space="preserve"> за </w:t>
      </w:r>
      <w:proofErr w:type="spellStart"/>
      <w:r w:rsidRPr="00E16672">
        <w:rPr>
          <w:rFonts w:ascii="Times New Roman" w:hAnsi="Times New Roman"/>
          <w:color w:val="000000"/>
          <w:szCs w:val="20"/>
        </w:rPr>
        <w:t>розпорядженням</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Керуючого</w:t>
      </w:r>
      <w:proofErr w:type="spellEnd"/>
      <w:r w:rsidRPr="00E16672">
        <w:rPr>
          <w:rFonts w:ascii="Times New Roman" w:hAnsi="Times New Roman"/>
          <w:color w:val="000000"/>
          <w:szCs w:val="20"/>
          <w:lang w:val="uk-UA"/>
        </w:rPr>
        <w:t xml:space="preserve"> </w:t>
      </w:r>
      <w:proofErr w:type="spellStart"/>
      <w:r w:rsidRPr="00E16672">
        <w:rPr>
          <w:rFonts w:ascii="Times New Roman" w:hAnsi="Times New Roman"/>
          <w:color w:val="000000"/>
          <w:szCs w:val="20"/>
        </w:rPr>
        <w:t>рахунком</w:t>
      </w:r>
      <w:proofErr w:type="spellEnd"/>
      <w:r w:rsidRPr="00E16672">
        <w:rPr>
          <w:rFonts w:ascii="Times New Roman" w:hAnsi="Times New Roman"/>
          <w:color w:val="000000"/>
          <w:szCs w:val="20"/>
        </w:rPr>
        <w:t xml:space="preserve"> в </w:t>
      </w:r>
      <w:proofErr w:type="spellStart"/>
      <w:r w:rsidRPr="00E16672">
        <w:rPr>
          <w:rFonts w:ascii="Times New Roman" w:hAnsi="Times New Roman"/>
          <w:color w:val="000000"/>
          <w:szCs w:val="20"/>
        </w:rPr>
        <w:t>особі</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розпорядника</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рахунком</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уповноваженого</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представника</w:t>
      </w:r>
      <w:proofErr w:type="spellEnd"/>
      <w:r w:rsidRPr="00E16672">
        <w:rPr>
          <w:rFonts w:ascii="Times New Roman" w:hAnsi="Times New Roman"/>
          <w:color w:val="000000"/>
          <w:szCs w:val="20"/>
        </w:rPr>
        <w:t>).</w:t>
      </w:r>
    </w:p>
    <w:p w14:paraId="318D0105" w14:textId="77777777" w:rsidR="007974E8" w:rsidRPr="00E16672" w:rsidRDefault="007974E8" w:rsidP="007974E8">
      <w:pPr>
        <w:rPr>
          <w:rFonts w:ascii="Times New Roman" w:hAnsi="Times New Roman"/>
          <w:color w:val="000000"/>
          <w:szCs w:val="20"/>
          <w:lang w:val="uk-UA"/>
        </w:rPr>
      </w:pPr>
      <w:r w:rsidRPr="00E16672">
        <w:rPr>
          <w:rFonts w:ascii="Times New Roman" w:hAnsi="Times New Roman"/>
          <w:color w:val="000000"/>
          <w:szCs w:val="20"/>
        </w:rPr>
        <w:t xml:space="preserve">3.2. </w:t>
      </w:r>
      <w:r w:rsidRPr="00E16672">
        <w:rPr>
          <w:rFonts w:ascii="Times New Roman" w:hAnsi="Times New Roman"/>
          <w:color w:val="000000"/>
          <w:szCs w:val="20"/>
          <w:lang w:val="uk-UA"/>
        </w:rPr>
        <w:t>Особливості складання розпоряджень Депонентів встановлені</w:t>
      </w:r>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внутрішніми</w:t>
      </w:r>
      <w:proofErr w:type="spellEnd"/>
      <w:r w:rsidRPr="00E16672">
        <w:rPr>
          <w:rFonts w:ascii="Times New Roman" w:hAnsi="Times New Roman"/>
          <w:color w:val="000000"/>
          <w:szCs w:val="20"/>
        </w:rPr>
        <w:t xml:space="preserve"> документами </w:t>
      </w:r>
      <w:proofErr w:type="spellStart"/>
      <w:r w:rsidRPr="00E16672">
        <w:rPr>
          <w:rFonts w:ascii="Times New Roman" w:hAnsi="Times New Roman"/>
          <w:color w:val="000000"/>
          <w:szCs w:val="20"/>
        </w:rPr>
        <w:t>Депозитарної</w:t>
      </w:r>
      <w:proofErr w:type="spellEnd"/>
      <w:r w:rsidRPr="00E16672">
        <w:rPr>
          <w:rFonts w:ascii="Times New Roman" w:hAnsi="Times New Roman"/>
          <w:color w:val="000000"/>
          <w:szCs w:val="20"/>
        </w:rPr>
        <w:t xml:space="preserve"> установи</w:t>
      </w:r>
      <w:r w:rsidRPr="00E16672">
        <w:rPr>
          <w:rFonts w:ascii="Times New Roman" w:hAnsi="Times New Roman"/>
          <w:color w:val="000000"/>
          <w:szCs w:val="20"/>
          <w:lang w:val="uk-UA"/>
        </w:rPr>
        <w:t>. Розпорядження можуть надават</w:t>
      </w:r>
      <w:r w:rsidR="00F50251" w:rsidRPr="00E16672">
        <w:rPr>
          <w:rFonts w:ascii="Times New Roman" w:hAnsi="Times New Roman"/>
          <w:color w:val="000000"/>
          <w:szCs w:val="20"/>
          <w:lang w:val="uk-UA"/>
        </w:rPr>
        <w:t>и</w:t>
      </w:r>
      <w:r w:rsidRPr="00E16672">
        <w:rPr>
          <w:rFonts w:ascii="Times New Roman" w:hAnsi="Times New Roman"/>
          <w:color w:val="000000"/>
          <w:szCs w:val="20"/>
          <w:lang w:val="uk-UA"/>
        </w:rPr>
        <w:t>ся Депозитарній установі у формі: паперового документу, електронного документу, електронного документу у формі S.W.I.F.T.-повідомлення. Спосіб підписання розпорядження визначається згідно зі способом підтвердження справжності підпису, що використовується при обміні інформацією між Депонентом та Депозитарною установою, і може бути таким:</w:t>
      </w:r>
    </w:p>
    <w:p w14:paraId="096CF22A" w14:textId="77777777" w:rsidR="007974E8" w:rsidRPr="00E16672" w:rsidRDefault="007974E8" w:rsidP="007974E8">
      <w:pPr>
        <w:rPr>
          <w:rFonts w:ascii="Times New Roman" w:hAnsi="Times New Roman"/>
          <w:color w:val="000000"/>
          <w:szCs w:val="20"/>
        </w:rPr>
      </w:pPr>
      <w:r w:rsidRPr="00E16672">
        <w:rPr>
          <w:rFonts w:ascii="Times New Roman" w:hAnsi="Times New Roman"/>
          <w:color w:val="000000"/>
          <w:szCs w:val="20"/>
          <w:lang w:val="uk-UA"/>
        </w:rPr>
        <w:t xml:space="preserve">- </w:t>
      </w:r>
      <w:proofErr w:type="spellStart"/>
      <w:r w:rsidRPr="00E16672">
        <w:rPr>
          <w:rFonts w:ascii="Times New Roman" w:hAnsi="Times New Roman"/>
          <w:color w:val="000000"/>
          <w:szCs w:val="20"/>
        </w:rPr>
        <w:t>підпис</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розпорядника</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рахунку</w:t>
      </w:r>
      <w:proofErr w:type="spellEnd"/>
      <w:r w:rsidRPr="00E16672">
        <w:rPr>
          <w:rFonts w:ascii="Times New Roman" w:hAnsi="Times New Roman"/>
          <w:color w:val="000000"/>
          <w:szCs w:val="20"/>
        </w:rPr>
        <w:t xml:space="preserve">, печатка </w:t>
      </w:r>
      <w:proofErr w:type="spellStart"/>
      <w:r w:rsidRPr="00E16672">
        <w:rPr>
          <w:rFonts w:ascii="Times New Roman" w:hAnsi="Times New Roman"/>
          <w:color w:val="000000"/>
          <w:szCs w:val="20"/>
        </w:rPr>
        <w:t>юридичної</w:t>
      </w:r>
      <w:proofErr w:type="spellEnd"/>
      <w:r w:rsidRPr="00E16672">
        <w:rPr>
          <w:rFonts w:ascii="Times New Roman" w:hAnsi="Times New Roman"/>
          <w:color w:val="000000"/>
          <w:szCs w:val="20"/>
        </w:rPr>
        <w:t xml:space="preserve"> особи </w:t>
      </w:r>
      <w:r w:rsidRPr="00E16672">
        <w:rPr>
          <w:rFonts w:ascii="Times New Roman" w:hAnsi="Times New Roman"/>
          <w:color w:val="000000"/>
          <w:szCs w:val="20"/>
          <w:lang w:val="uk-UA"/>
        </w:rPr>
        <w:t>(</w:t>
      </w:r>
      <w:r w:rsidR="003352AE" w:rsidRPr="00E16672">
        <w:rPr>
          <w:rFonts w:ascii="Times New Roman" w:hAnsi="Times New Roman"/>
          <w:color w:val="000000"/>
          <w:szCs w:val="20"/>
          <w:lang w:val="uk-UA"/>
        </w:rPr>
        <w:t>у разі використання</w:t>
      </w:r>
      <w:r w:rsidRPr="00E16672">
        <w:rPr>
          <w:rFonts w:ascii="Times New Roman" w:hAnsi="Times New Roman"/>
          <w:color w:val="000000"/>
          <w:szCs w:val="20"/>
          <w:lang w:val="uk-UA"/>
        </w:rPr>
        <w:t xml:space="preserve">) </w:t>
      </w:r>
      <w:r w:rsidRPr="00E16672">
        <w:rPr>
          <w:rFonts w:ascii="Times New Roman" w:hAnsi="Times New Roman"/>
          <w:color w:val="000000"/>
          <w:szCs w:val="20"/>
        </w:rPr>
        <w:t xml:space="preserve">- у </w:t>
      </w:r>
      <w:proofErr w:type="spellStart"/>
      <w:r w:rsidRPr="00E16672">
        <w:rPr>
          <w:rFonts w:ascii="Times New Roman" w:hAnsi="Times New Roman"/>
          <w:color w:val="000000"/>
          <w:szCs w:val="20"/>
        </w:rPr>
        <w:t>разі</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надання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розпорядження</w:t>
      </w:r>
      <w:proofErr w:type="spellEnd"/>
      <w:r w:rsidRPr="00E16672">
        <w:rPr>
          <w:rFonts w:ascii="Times New Roman" w:hAnsi="Times New Roman"/>
          <w:color w:val="000000"/>
          <w:szCs w:val="20"/>
        </w:rPr>
        <w:t xml:space="preserve"> у </w:t>
      </w:r>
      <w:proofErr w:type="spellStart"/>
      <w:r w:rsidRPr="00E16672">
        <w:rPr>
          <w:rFonts w:ascii="Times New Roman" w:hAnsi="Times New Roman"/>
          <w:color w:val="000000"/>
          <w:szCs w:val="20"/>
        </w:rPr>
        <w:t>вигляді</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паперового</w:t>
      </w:r>
      <w:proofErr w:type="spellEnd"/>
      <w:r w:rsidRPr="00E16672">
        <w:rPr>
          <w:rFonts w:ascii="Times New Roman" w:hAnsi="Times New Roman"/>
          <w:color w:val="000000"/>
          <w:szCs w:val="20"/>
        </w:rPr>
        <w:t xml:space="preserve"> документа;</w:t>
      </w:r>
    </w:p>
    <w:p w14:paraId="3392E477" w14:textId="77777777" w:rsidR="007974E8" w:rsidRPr="00E16672" w:rsidRDefault="007974E8" w:rsidP="007974E8">
      <w:pPr>
        <w:rPr>
          <w:rFonts w:ascii="Times New Roman" w:hAnsi="Times New Roman"/>
          <w:color w:val="000000"/>
          <w:szCs w:val="20"/>
        </w:rPr>
      </w:pPr>
      <w:r w:rsidRPr="00E16672">
        <w:rPr>
          <w:rFonts w:ascii="Times New Roman" w:hAnsi="Times New Roman"/>
          <w:color w:val="000000"/>
          <w:szCs w:val="20"/>
        </w:rPr>
        <w:t xml:space="preserve">- </w:t>
      </w:r>
      <w:proofErr w:type="spellStart"/>
      <w:r w:rsidR="002A5E07" w:rsidRPr="00E16672">
        <w:rPr>
          <w:rFonts w:ascii="Times New Roman" w:hAnsi="Times New Roman"/>
          <w:color w:val="000000"/>
          <w:szCs w:val="20"/>
        </w:rPr>
        <w:t>кваліфікованого</w:t>
      </w:r>
      <w:proofErr w:type="spellEnd"/>
      <w:r w:rsidR="002A5E07" w:rsidRPr="00E16672">
        <w:rPr>
          <w:rFonts w:ascii="Times New Roman" w:hAnsi="Times New Roman"/>
          <w:color w:val="000000"/>
          <w:szCs w:val="20"/>
        </w:rPr>
        <w:t xml:space="preserve"> </w:t>
      </w:r>
      <w:proofErr w:type="spellStart"/>
      <w:r w:rsidR="002A5E07" w:rsidRPr="00E16672">
        <w:rPr>
          <w:rFonts w:ascii="Times New Roman" w:hAnsi="Times New Roman"/>
          <w:color w:val="000000"/>
          <w:szCs w:val="20"/>
        </w:rPr>
        <w:t>електронного</w:t>
      </w:r>
      <w:proofErr w:type="spellEnd"/>
      <w:r w:rsidR="002A5E07" w:rsidRPr="00E16672">
        <w:rPr>
          <w:rFonts w:ascii="Times New Roman" w:hAnsi="Times New Roman"/>
          <w:color w:val="000000"/>
          <w:szCs w:val="20"/>
        </w:rPr>
        <w:t xml:space="preserve"> </w:t>
      </w:r>
      <w:proofErr w:type="spellStart"/>
      <w:r w:rsidR="002A5E07" w:rsidRPr="00E16672">
        <w:rPr>
          <w:rFonts w:ascii="Times New Roman" w:hAnsi="Times New Roman"/>
          <w:color w:val="000000"/>
          <w:szCs w:val="20"/>
        </w:rPr>
        <w:t>підпису</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що</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накладається</w:t>
      </w:r>
      <w:proofErr w:type="spellEnd"/>
      <w:r w:rsidRPr="00E16672">
        <w:rPr>
          <w:rFonts w:ascii="Times New Roman" w:hAnsi="Times New Roman"/>
          <w:color w:val="000000"/>
          <w:szCs w:val="20"/>
        </w:rPr>
        <w:t xml:space="preserve"> за </w:t>
      </w:r>
      <w:proofErr w:type="spellStart"/>
      <w:r w:rsidRPr="00E16672">
        <w:rPr>
          <w:rFonts w:ascii="Times New Roman" w:hAnsi="Times New Roman"/>
          <w:color w:val="000000"/>
          <w:szCs w:val="20"/>
        </w:rPr>
        <w:t>допомогою</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особистого</w:t>
      </w:r>
      <w:proofErr w:type="spellEnd"/>
      <w:r w:rsidRPr="00E16672">
        <w:rPr>
          <w:rFonts w:ascii="Times New Roman" w:hAnsi="Times New Roman"/>
          <w:color w:val="000000"/>
          <w:szCs w:val="20"/>
        </w:rPr>
        <w:t xml:space="preserve"> ключа </w:t>
      </w:r>
      <w:proofErr w:type="spellStart"/>
      <w:r w:rsidR="002A5E07" w:rsidRPr="00E16672">
        <w:rPr>
          <w:rFonts w:ascii="Times New Roman" w:hAnsi="Times New Roman"/>
          <w:color w:val="000000"/>
          <w:szCs w:val="20"/>
        </w:rPr>
        <w:t>кваліфікованого</w:t>
      </w:r>
      <w:proofErr w:type="spellEnd"/>
      <w:r w:rsidR="002A5E07" w:rsidRPr="00E16672">
        <w:rPr>
          <w:rFonts w:ascii="Times New Roman" w:hAnsi="Times New Roman"/>
          <w:color w:val="000000"/>
          <w:szCs w:val="20"/>
        </w:rPr>
        <w:t xml:space="preserve"> </w:t>
      </w:r>
      <w:proofErr w:type="spellStart"/>
      <w:r w:rsidR="002A5E07" w:rsidRPr="00E16672">
        <w:rPr>
          <w:rFonts w:ascii="Times New Roman" w:hAnsi="Times New Roman"/>
          <w:color w:val="000000"/>
          <w:szCs w:val="20"/>
        </w:rPr>
        <w:t>електронного</w:t>
      </w:r>
      <w:proofErr w:type="spellEnd"/>
      <w:r w:rsidR="002A5E07" w:rsidRPr="00E16672">
        <w:rPr>
          <w:rFonts w:ascii="Times New Roman" w:hAnsi="Times New Roman"/>
          <w:color w:val="000000"/>
          <w:szCs w:val="20"/>
        </w:rPr>
        <w:t xml:space="preserve"> </w:t>
      </w:r>
      <w:proofErr w:type="spellStart"/>
      <w:r w:rsidR="002A5E07" w:rsidRPr="00E16672">
        <w:rPr>
          <w:rFonts w:ascii="Times New Roman" w:hAnsi="Times New Roman"/>
          <w:color w:val="000000"/>
          <w:szCs w:val="20"/>
        </w:rPr>
        <w:t>підпису</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розпорядника</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рахунку</w:t>
      </w:r>
      <w:proofErr w:type="spellEnd"/>
      <w:r w:rsidRPr="00E16672">
        <w:rPr>
          <w:rFonts w:ascii="Times New Roman" w:hAnsi="Times New Roman"/>
          <w:color w:val="000000"/>
          <w:szCs w:val="20"/>
        </w:rPr>
        <w:t xml:space="preserve"> та </w:t>
      </w:r>
      <w:proofErr w:type="spellStart"/>
      <w:r w:rsidR="002A5E07" w:rsidRPr="00E16672">
        <w:rPr>
          <w:rFonts w:ascii="Times New Roman" w:hAnsi="Times New Roman"/>
          <w:color w:val="000000"/>
          <w:szCs w:val="20"/>
        </w:rPr>
        <w:t>кваліфікований</w:t>
      </w:r>
      <w:proofErr w:type="spellEnd"/>
      <w:r w:rsidR="002A5E07" w:rsidRPr="00E16672">
        <w:rPr>
          <w:rFonts w:ascii="Times New Roman" w:hAnsi="Times New Roman"/>
          <w:color w:val="000000"/>
          <w:szCs w:val="20"/>
        </w:rPr>
        <w:t xml:space="preserve"> </w:t>
      </w:r>
      <w:proofErr w:type="spellStart"/>
      <w:r w:rsidR="002A5E07" w:rsidRPr="00E16672">
        <w:rPr>
          <w:rFonts w:ascii="Times New Roman" w:hAnsi="Times New Roman"/>
          <w:color w:val="000000"/>
          <w:szCs w:val="20"/>
        </w:rPr>
        <w:t>електронний</w:t>
      </w:r>
      <w:proofErr w:type="spellEnd"/>
      <w:r w:rsidR="002A5E07" w:rsidRPr="00E16672">
        <w:rPr>
          <w:rFonts w:ascii="Times New Roman" w:hAnsi="Times New Roman"/>
          <w:color w:val="000000"/>
          <w:szCs w:val="20"/>
        </w:rPr>
        <w:t xml:space="preserve"> </w:t>
      </w:r>
      <w:proofErr w:type="spellStart"/>
      <w:r w:rsidR="002A5E07" w:rsidRPr="00E16672">
        <w:rPr>
          <w:rFonts w:ascii="Times New Roman" w:hAnsi="Times New Roman"/>
          <w:color w:val="000000"/>
          <w:szCs w:val="20"/>
        </w:rPr>
        <w:t>підпис</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що</w:t>
      </w:r>
      <w:proofErr w:type="spellEnd"/>
      <w:r w:rsidRPr="00E16672">
        <w:rPr>
          <w:rFonts w:ascii="Times New Roman" w:hAnsi="Times New Roman"/>
          <w:color w:val="000000"/>
          <w:szCs w:val="20"/>
        </w:rPr>
        <w:t xml:space="preserve"> за </w:t>
      </w:r>
      <w:proofErr w:type="spellStart"/>
      <w:r w:rsidRPr="00E16672">
        <w:rPr>
          <w:rFonts w:ascii="Times New Roman" w:hAnsi="Times New Roman"/>
          <w:color w:val="000000"/>
          <w:szCs w:val="20"/>
        </w:rPr>
        <w:t>правовим</w:t>
      </w:r>
      <w:proofErr w:type="spellEnd"/>
      <w:r w:rsidRPr="00E16672">
        <w:rPr>
          <w:rFonts w:ascii="Times New Roman" w:hAnsi="Times New Roman"/>
          <w:color w:val="000000"/>
          <w:szCs w:val="20"/>
        </w:rPr>
        <w:t xml:space="preserve"> статусом </w:t>
      </w:r>
      <w:proofErr w:type="spellStart"/>
      <w:r w:rsidRPr="00E16672">
        <w:rPr>
          <w:rFonts w:ascii="Times New Roman" w:hAnsi="Times New Roman"/>
          <w:color w:val="000000"/>
          <w:szCs w:val="20"/>
        </w:rPr>
        <w:t>прирівнюється</w:t>
      </w:r>
      <w:proofErr w:type="spellEnd"/>
      <w:r w:rsidRPr="00E16672">
        <w:rPr>
          <w:rFonts w:ascii="Times New Roman" w:hAnsi="Times New Roman"/>
          <w:color w:val="000000"/>
          <w:szCs w:val="20"/>
        </w:rPr>
        <w:t xml:space="preserve"> </w:t>
      </w:r>
      <w:proofErr w:type="gramStart"/>
      <w:r w:rsidRPr="00E16672">
        <w:rPr>
          <w:rFonts w:ascii="Times New Roman" w:hAnsi="Times New Roman"/>
          <w:color w:val="000000"/>
          <w:szCs w:val="20"/>
        </w:rPr>
        <w:t>до  печатки</w:t>
      </w:r>
      <w:proofErr w:type="gram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юридичної</w:t>
      </w:r>
      <w:proofErr w:type="spellEnd"/>
      <w:r w:rsidRPr="00E16672">
        <w:rPr>
          <w:rFonts w:ascii="Times New Roman" w:hAnsi="Times New Roman"/>
          <w:color w:val="000000"/>
          <w:szCs w:val="20"/>
        </w:rPr>
        <w:t xml:space="preserve">  особи</w:t>
      </w:r>
      <w:r w:rsidRPr="00E16672">
        <w:rPr>
          <w:rFonts w:ascii="Times New Roman" w:hAnsi="Times New Roman"/>
          <w:color w:val="000000"/>
          <w:szCs w:val="20"/>
          <w:lang w:val="uk-UA"/>
        </w:rPr>
        <w:t xml:space="preserve"> - </w:t>
      </w:r>
      <w:r w:rsidRPr="00E16672">
        <w:rPr>
          <w:rFonts w:ascii="Times New Roman" w:hAnsi="Times New Roman"/>
          <w:color w:val="000000"/>
          <w:szCs w:val="20"/>
        </w:rPr>
        <w:t xml:space="preserve"> у </w:t>
      </w:r>
      <w:proofErr w:type="spellStart"/>
      <w:r w:rsidRPr="00E16672">
        <w:rPr>
          <w:rFonts w:ascii="Times New Roman" w:hAnsi="Times New Roman"/>
          <w:color w:val="000000"/>
          <w:szCs w:val="20"/>
        </w:rPr>
        <w:t>разі</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надання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розпорядження</w:t>
      </w:r>
      <w:proofErr w:type="spellEnd"/>
      <w:r w:rsidRPr="00E16672">
        <w:rPr>
          <w:rFonts w:ascii="Times New Roman" w:hAnsi="Times New Roman"/>
          <w:color w:val="000000"/>
          <w:szCs w:val="20"/>
        </w:rPr>
        <w:t xml:space="preserve"> у </w:t>
      </w:r>
      <w:proofErr w:type="spellStart"/>
      <w:r w:rsidRPr="00E16672">
        <w:rPr>
          <w:rFonts w:ascii="Times New Roman" w:hAnsi="Times New Roman"/>
          <w:color w:val="000000"/>
          <w:szCs w:val="20"/>
        </w:rPr>
        <w:t>вигляді</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електронного</w:t>
      </w:r>
      <w:proofErr w:type="spellEnd"/>
      <w:r w:rsidRPr="00E16672">
        <w:rPr>
          <w:rFonts w:ascii="Times New Roman" w:hAnsi="Times New Roman"/>
          <w:color w:val="000000"/>
          <w:szCs w:val="20"/>
        </w:rPr>
        <w:t xml:space="preserve"> документа; </w:t>
      </w:r>
      <w:proofErr w:type="spellStart"/>
      <w:r w:rsidRPr="00E16672">
        <w:rPr>
          <w:rFonts w:ascii="Times New Roman" w:hAnsi="Times New Roman"/>
          <w:color w:val="000000"/>
          <w:szCs w:val="20"/>
        </w:rPr>
        <w:t>Цілісність</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наданого</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розпорядження</w:t>
      </w:r>
      <w:proofErr w:type="spellEnd"/>
      <w:r w:rsidRPr="00E16672">
        <w:rPr>
          <w:rFonts w:ascii="Times New Roman" w:hAnsi="Times New Roman"/>
          <w:color w:val="000000"/>
          <w:szCs w:val="20"/>
        </w:rPr>
        <w:t xml:space="preserve">, а </w:t>
      </w:r>
      <w:proofErr w:type="spellStart"/>
      <w:r w:rsidRPr="00E16672">
        <w:rPr>
          <w:rFonts w:ascii="Times New Roman" w:hAnsi="Times New Roman"/>
          <w:color w:val="000000"/>
          <w:szCs w:val="20"/>
        </w:rPr>
        <w:t>також</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ідентифікація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підписувача</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здійснюються</w:t>
      </w:r>
      <w:proofErr w:type="spellEnd"/>
      <w:r w:rsidRPr="00E16672">
        <w:rPr>
          <w:rFonts w:ascii="Times New Roman" w:hAnsi="Times New Roman"/>
          <w:color w:val="000000"/>
          <w:szCs w:val="20"/>
        </w:rPr>
        <w:t xml:space="preserve"> шляхом </w:t>
      </w:r>
      <w:proofErr w:type="spellStart"/>
      <w:r w:rsidRPr="00E16672">
        <w:rPr>
          <w:rFonts w:ascii="Times New Roman" w:hAnsi="Times New Roman"/>
          <w:color w:val="000000"/>
          <w:szCs w:val="20"/>
        </w:rPr>
        <w:t>перевірки</w:t>
      </w:r>
      <w:proofErr w:type="spellEnd"/>
      <w:r w:rsidRPr="00E16672">
        <w:rPr>
          <w:rFonts w:ascii="Times New Roman" w:hAnsi="Times New Roman"/>
          <w:color w:val="000000"/>
          <w:szCs w:val="20"/>
        </w:rPr>
        <w:t xml:space="preserve"> </w:t>
      </w:r>
      <w:proofErr w:type="spellStart"/>
      <w:r w:rsidR="002A5E07" w:rsidRPr="00E16672">
        <w:rPr>
          <w:rFonts w:ascii="Times New Roman" w:hAnsi="Times New Roman"/>
          <w:color w:val="000000"/>
          <w:szCs w:val="20"/>
        </w:rPr>
        <w:t>кваліфікованого</w:t>
      </w:r>
      <w:proofErr w:type="spellEnd"/>
      <w:r w:rsidR="002A5E07" w:rsidRPr="00E16672">
        <w:rPr>
          <w:rFonts w:ascii="Times New Roman" w:hAnsi="Times New Roman"/>
          <w:color w:val="000000"/>
          <w:szCs w:val="20"/>
        </w:rPr>
        <w:t xml:space="preserve"> </w:t>
      </w:r>
      <w:proofErr w:type="spellStart"/>
      <w:r w:rsidR="002A5E07" w:rsidRPr="00E16672">
        <w:rPr>
          <w:rFonts w:ascii="Times New Roman" w:hAnsi="Times New Roman"/>
          <w:color w:val="000000"/>
          <w:szCs w:val="20"/>
        </w:rPr>
        <w:t>електронного</w:t>
      </w:r>
      <w:proofErr w:type="spellEnd"/>
      <w:r w:rsidR="002A5E07" w:rsidRPr="00E16672">
        <w:rPr>
          <w:rFonts w:ascii="Times New Roman" w:hAnsi="Times New Roman"/>
          <w:color w:val="000000"/>
          <w:szCs w:val="20"/>
        </w:rPr>
        <w:t xml:space="preserve"> </w:t>
      </w:r>
      <w:proofErr w:type="spellStart"/>
      <w:r w:rsidR="002A5E07" w:rsidRPr="00E16672">
        <w:rPr>
          <w:rFonts w:ascii="Times New Roman" w:hAnsi="Times New Roman"/>
          <w:color w:val="000000"/>
          <w:szCs w:val="20"/>
        </w:rPr>
        <w:t>підпису</w:t>
      </w:r>
      <w:proofErr w:type="spellEnd"/>
      <w:r w:rsidRPr="00E16672">
        <w:rPr>
          <w:rFonts w:ascii="Times New Roman" w:hAnsi="Times New Roman"/>
          <w:color w:val="000000"/>
          <w:szCs w:val="20"/>
        </w:rPr>
        <w:t xml:space="preserve"> за </w:t>
      </w:r>
      <w:proofErr w:type="spellStart"/>
      <w:r w:rsidRPr="00E16672">
        <w:rPr>
          <w:rFonts w:ascii="Times New Roman" w:hAnsi="Times New Roman"/>
          <w:color w:val="000000"/>
          <w:szCs w:val="20"/>
        </w:rPr>
        <w:t>допомогою</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відкритого</w:t>
      </w:r>
      <w:proofErr w:type="spellEnd"/>
      <w:r w:rsidRPr="00E16672">
        <w:rPr>
          <w:rFonts w:ascii="Times New Roman" w:hAnsi="Times New Roman"/>
          <w:color w:val="000000"/>
          <w:szCs w:val="20"/>
        </w:rPr>
        <w:t xml:space="preserve"> ключа.</w:t>
      </w:r>
    </w:p>
    <w:p w14:paraId="25536D58" w14:textId="77777777" w:rsidR="007974E8" w:rsidRPr="00E16672" w:rsidRDefault="007974E8" w:rsidP="007974E8">
      <w:pPr>
        <w:pStyle w:val="western"/>
        <w:spacing w:before="0" w:after="0"/>
        <w:jc w:val="both"/>
        <w:rPr>
          <w:rFonts w:ascii="Times New Roman" w:hAnsi="Times New Roman"/>
          <w:b w:val="0"/>
          <w:bCs w:val="0"/>
          <w:color w:val="000000"/>
          <w:szCs w:val="20"/>
          <w:lang w:val="uk-UA"/>
        </w:rPr>
      </w:pPr>
      <w:r w:rsidRPr="00E16672">
        <w:rPr>
          <w:rFonts w:ascii="Times New Roman" w:hAnsi="Times New Roman"/>
          <w:b w:val="0"/>
          <w:bCs w:val="0"/>
          <w:szCs w:val="20"/>
          <w:lang w:val="uk-UA"/>
        </w:rPr>
        <w:t xml:space="preserve">- </w:t>
      </w:r>
      <w:r w:rsidRPr="00E16672">
        <w:rPr>
          <w:rFonts w:ascii="Times New Roman" w:hAnsi="Times New Roman"/>
          <w:b w:val="0"/>
          <w:bCs w:val="0"/>
          <w:color w:val="000000"/>
          <w:szCs w:val="20"/>
          <w:lang w:val="uk-UA"/>
        </w:rPr>
        <w:t xml:space="preserve">електронне підтвердження (авторизація) підписання розпорядження ініціатором депозитарної операції (користувачем системи </w:t>
      </w:r>
      <w:r w:rsidRPr="00E16672">
        <w:rPr>
          <w:rFonts w:ascii="Times New Roman" w:hAnsi="Times New Roman"/>
          <w:b w:val="0"/>
          <w:bCs w:val="0"/>
          <w:color w:val="000000"/>
          <w:szCs w:val="20"/>
        </w:rPr>
        <w:t>S</w:t>
      </w:r>
      <w:r w:rsidRPr="00E16672">
        <w:rPr>
          <w:rFonts w:ascii="Times New Roman" w:hAnsi="Times New Roman"/>
          <w:b w:val="0"/>
          <w:bCs w:val="0"/>
          <w:color w:val="000000"/>
          <w:szCs w:val="20"/>
          <w:lang w:val="uk-UA"/>
        </w:rPr>
        <w:t>.</w:t>
      </w:r>
      <w:r w:rsidRPr="00E16672">
        <w:rPr>
          <w:rFonts w:ascii="Times New Roman" w:hAnsi="Times New Roman"/>
          <w:b w:val="0"/>
          <w:bCs w:val="0"/>
          <w:color w:val="000000"/>
          <w:szCs w:val="20"/>
        </w:rPr>
        <w:t>W</w:t>
      </w:r>
      <w:r w:rsidRPr="00E16672">
        <w:rPr>
          <w:rFonts w:ascii="Times New Roman" w:hAnsi="Times New Roman"/>
          <w:b w:val="0"/>
          <w:bCs w:val="0"/>
          <w:color w:val="000000"/>
          <w:szCs w:val="20"/>
          <w:lang w:val="uk-UA"/>
        </w:rPr>
        <w:t>.</w:t>
      </w:r>
      <w:r w:rsidRPr="00E16672">
        <w:rPr>
          <w:rFonts w:ascii="Times New Roman" w:hAnsi="Times New Roman"/>
          <w:b w:val="0"/>
          <w:bCs w:val="0"/>
          <w:color w:val="000000"/>
          <w:szCs w:val="20"/>
        </w:rPr>
        <w:t>I</w:t>
      </w:r>
      <w:r w:rsidRPr="00E16672">
        <w:rPr>
          <w:rFonts w:ascii="Times New Roman" w:hAnsi="Times New Roman"/>
          <w:b w:val="0"/>
          <w:bCs w:val="0"/>
          <w:color w:val="000000"/>
          <w:szCs w:val="20"/>
          <w:lang w:val="uk-UA"/>
        </w:rPr>
        <w:t>.</w:t>
      </w:r>
      <w:r w:rsidRPr="00E16672">
        <w:rPr>
          <w:rFonts w:ascii="Times New Roman" w:hAnsi="Times New Roman"/>
          <w:b w:val="0"/>
          <w:bCs w:val="0"/>
          <w:color w:val="000000"/>
          <w:szCs w:val="20"/>
        </w:rPr>
        <w:t>F</w:t>
      </w:r>
      <w:r w:rsidRPr="00E16672">
        <w:rPr>
          <w:rFonts w:ascii="Times New Roman" w:hAnsi="Times New Roman"/>
          <w:b w:val="0"/>
          <w:bCs w:val="0"/>
          <w:color w:val="000000"/>
          <w:szCs w:val="20"/>
          <w:lang w:val="uk-UA"/>
        </w:rPr>
        <w:t>.</w:t>
      </w:r>
      <w:r w:rsidRPr="00E16672">
        <w:rPr>
          <w:rFonts w:ascii="Times New Roman" w:hAnsi="Times New Roman"/>
          <w:b w:val="0"/>
          <w:bCs w:val="0"/>
          <w:color w:val="000000"/>
          <w:szCs w:val="20"/>
        </w:rPr>
        <w:t>T</w:t>
      </w:r>
      <w:r w:rsidRPr="00E16672">
        <w:rPr>
          <w:rFonts w:ascii="Times New Roman" w:hAnsi="Times New Roman"/>
          <w:b w:val="0"/>
          <w:bCs w:val="0"/>
          <w:color w:val="000000"/>
          <w:szCs w:val="20"/>
          <w:lang w:val="uk-UA"/>
        </w:rPr>
        <w:t xml:space="preserve">.) - у разі надання розпорядження у вигляді електронного документа у формі </w:t>
      </w:r>
      <w:r w:rsidRPr="00E16672">
        <w:rPr>
          <w:rFonts w:ascii="Times New Roman" w:hAnsi="Times New Roman"/>
          <w:b w:val="0"/>
          <w:bCs w:val="0"/>
          <w:color w:val="000000"/>
          <w:szCs w:val="20"/>
        </w:rPr>
        <w:t>S</w:t>
      </w:r>
      <w:r w:rsidRPr="00E16672">
        <w:rPr>
          <w:rFonts w:ascii="Times New Roman" w:hAnsi="Times New Roman"/>
          <w:b w:val="0"/>
          <w:bCs w:val="0"/>
          <w:color w:val="000000"/>
          <w:szCs w:val="20"/>
          <w:lang w:val="uk-UA"/>
        </w:rPr>
        <w:t>.</w:t>
      </w:r>
      <w:r w:rsidRPr="00E16672">
        <w:rPr>
          <w:rFonts w:ascii="Times New Roman" w:hAnsi="Times New Roman"/>
          <w:b w:val="0"/>
          <w:bCs w:val="0"/>
          <w:color w:val="000000"/>
          <w:szCs w:val="20"/>
        </w:rPr>
        <w:t>W</w:t>
      </w:r>
      <w:r w:rsidRPr="00E16672">
        <w:rPr>
          <w:rFonts w:ascii="Times New Roman" w:hAnsi="Times New Roman"/>
          <w:b w:val="0"/>
          <w:bCs w:val="0"/>
          <w:color w:val="000000"/>
          <w:szCs w:val="20"/>
          <w:lang w:val="uk-UA"/>
        </w:rPr>
        <w:t>.</w:t>
      </w:r>
      <w:r w:rsidRPr="00E16672">
        <w:rPr>
          <w:rFonts w:ascii="Times New Roman" w:hAnsi="Times New Roman"/>
          <w:b w:val="0"/>
          <w:bCs w:val="0"/>
          <w:color w:val="000000"/>
          <w:szCs w:val="20"/>
        </w:rPr>
        <w:t>I</w:t>
      </w:r>
      <w:r w:rsidRPr="00E16672">
        <w:rPr>
          <w:rFonts w:ascii="Times New Roman" w:hAnsi="Times New Roman"/>
          <w:b w:val="0"/>
          <w:bCs w:val="0"/>
          <w:color w:val="000000"/>
          <w:szCs w:val="20"/>
          <w:lang w:val="uk-UA"/>
        </w:rPr>
        <w:t>.</w:t>
      </w:r>
      <w:r w:rsidRPr="00E16672">
        <w:rPr>
          <w:rFonts w:ascii="Times New Roman" w:hAnsi="Times New Roman"/>
          <w:b w:val="0"/>
          <w:bCs w:val="0"/>
          <w:color w:val="000000"/>
          <w:szCs w:val="20"/>
        </w:rPr>
        <w:t>F</w:t>
      </w:r>
      <w:r w:rsidRPr="00E16672">
        <w:rPr>
          <w:rFonts w:ascii="Times New Roman" w:hAnsi="Times New Roman"/>
          <w:b w:val="0"/>
          <w:bCs w:val="0"/>
          <w:color w:val="000000"/>
          <w:szCs w:val="20"/>
          <w:lang w:val="uk-UA"/>
        </w:rPr>
        <w:t>.</w:t>
      </w:r>
      <w:r w:rsidRPr="00E16672">
        <w:rPr>
          <w:rFonts w:ascii="Times New Roman" w:hAnsi="Times New Roman"/>
          <w:b w:val="0"/>
          <w:bCs w:val="0"/>
          <w:color w:val="000000"/>
          <w:szCs w:val="20"/>
        </w:rPr>
        <w:t>T</w:t>
      </w:r>
      <w:r w:rsidRPr="00E16672">
        <w:rPr>
          <w:rFonts w:ascii="Times New Roman" w:hAnsi="Times New Roman"/>
          <w:b w:val="0"/>
          <w:bCs w:val="0"/>
          <w:color w:val="000000"/>
          <w:szCs w:val="20"/>
          <w:lang w:val="uk-UA"/>
        </w:rPr>
        <w:t>. - повідомлення.</w:t>
      </w:r>
    </w:p>
    <w:p w14:paraId="0C9680B8" w14:textId="77777777" w:rsidR="007974E8" w:rsidRPr="00E16672" w:rsidRDefault="007974E8" w:rsidP="007974E8">
      <w:pPr>
        <w:ind w:firstLine="480"/>
        <w:rPr>
          <w:rFonts w:ascii="Times New Roman" w:hAnsi="Times New Roman"/>
          <w:color w:val="000000"/>
          <w:szCs w:val="20"/>
          <w:lang w:val="uk-UA"/>
        </w:rPr>
      </w:pPr>
      <w:r w:rsidRPr="00E16672">
        <w:rPr>
          <w:rFonts w:ascii="Times New Roman" w:hAnsi="Times New Roman"/>
          <w:color w:val="000000"/>
          <w:szCs w:val="20"/>
        </w:rPr>
        <w:t>3.3</w:t>
      </w:r>
      <w:r w:rsidRPr="00E16672">
        <w:rPr>
          <w:rFonts w:ascii="Times New Roman" w:hAnsi="Times New Roman"/>
          <w:color w:val="000000"/>
          <w:szCs w:val="20"/>
          <w:lang w:val="uk-UA"/>
        </w:rPr>
        <w:t xml:space="preserve">. </w:t>
      </w:r>
      <w:proofErr w:type="spellStart"/>
      <w:r w:rsidRPr="00E16672">
        <w:rPr>
          <w:rFonts w:ascii="Times New Roman" w:hAnsi="Times New Roman"/>
          <w:color w:val="000000"/>
          <w:szCs w:val="20"/>
        </w:rPr>
        <w:t>Розпорядження</w:t>
      </w:r>
      <w:proofErr w:type="spellEnd"/>
      <w:r w:rsidRPr="00E16672">
        <w:rPr>
          <w:rFonts w:ascii="Times New Roman" w:hAnsi="Times New Roman"/>
          <w:color w:val="000000"/>
          <w:szCs w:val="20"/>
        </w:rPr>
        <w:t xml:space="preserve"> у </w:t>
      </w:r>
      <w:proofErr w:type="spellStart"/>
      <w:r w:rsidRPr="00E16672">
        <w:rPr>
          <w:rFonts w:ascii="Times New Roman" w:hAnsi="Times New Roman"/>
          <w:color w:val="000000"/>
          <w:szCs w:val="20"/>
        </w:rPr>
        <w:t>паперовому</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вигляді</w:t>
      </w:r>
      <w:proofErr w:type="spellEnd"/>
      <w:r w:rsidRPr="00E16672">
        <w:rPr>
          <w:rFonts w:ascii="Times New Roman" w:hAnsi="Times New Roman"/>
          <w:color w:val="000000"/>
          <w:szCs w:val="20"/>
        </w:rPr>
        <w:t xml:space="preserve">, а </w:t>
      </w:r>
      <w:proofErr w:type="spellStart"/>
      <w:r w:rsidRPr="00E16672">
        <w:rPr>
          <w:rFonts w:ascii="Times New Roman" w:hAnsi="Times New Roman"/>
          <w:color w:val="000000"/>
          <w:szCs w:val="20"/>
        </w:rPr>
        <w:t>також</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повідомлення</w:t>
      </w:r>
      <w:proofErr w:type="spellEnd"/>
      <w:r w:rsidRPr="00E16672">
        <w:rPr>
          <w:rFonts w:ascii="Times New Roman" w:hAnsi="Times New Roman"/>
          <w:color w:val="000000"/>
          <w:szCs w:val="20"/>
        </w:rPr>
        <w:t xml:space="preserve"> та </w:t>
      </w:r>
      <w:proofErr w:type="spellStart"/>
      <w:r w:rsidRPr="00E16672">
        <w:rPr>
          <w:rFonts w:ascii="Times New Roman" w:hAnsi="Times New Roman"/>
          <w:color w:val="000000"/>
          <w:szCs w:val="20"/>
        </w:rPr>
        <w:t>інформація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що</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надаються</w:t>
      </w:r>
      <w:proofErr w:type="spellEnd"/>
      <w:r w:rsidRPr="00E16672">
        <w:rPr>
          <w:rFonts w:ascii="Times New Roman" w:hAnsi="Times New Roman"/>
          <w:color w:val="000000"/>
          <w:szCs w:val="20"/>
        </w:rPr>
        <w:t xml:space="preserve"> у </w:t>
      </w:r>
      <w:proofErr w:type="spellStart"/>
      <w:r w:rsidRPr="00E16672">
        <w:rPr>
          <w:rFonts w:ascii="Times New Roman" w:hAnsi="Times New Roman"/>
          <w:color w:val="000000"/>
          <w:szCs w:val="20"/>
        </w:rPr>
        <w:t>зв’язку</w:t>
      </w:r>
      <w:proofErr w:type="spellEnd"/>
      <w:r w:rsidRPr="00E16672">
        <w:rPr>
          <w:rFonts w:ascii="Times New Roman" w:hAnsi="Times New Roman"/>
          <w:color w:val="000000"/>
          <w:szCs w:val="20"/>
        </w:rPr>
        <w:t xml:space="preserve"> з </w:t>
      </w:r>
      <w:proofErr w:type="spellStart"/>
      <w:r w:rsidRPr="00E16672">
        <w:rPr>
          <w:rFonts w:ascii="Times New Roman" w:hAnsi="Times New Roman"/>
          <w:color w:val="000000"/>
          <w:szCs w:val="20"/>
        </w:rPr>
        <w:t>виконанням</w:t>
      </w:r>
      <w:proofErr w:type="spellEnd"/>
      <w:r w:rsidRPr="00E16672">
        <w:rPr>
          <w:rFonts w:ascii="Times New Roman" w:hAnsi="Times New Roman"/>
          <w:color w:val="000000"/>
          <w:szCs w:val="20"/>
        </w:rPr>
        <w:t xml:space="preserve"> Сторонами Договору, </w:t>
      </w:r>
      <w:proofErr w:type="spellStart"/>
      <w:r w:rsidRPr="00E16672">
        <w:rPr>
          <w:rFonts w:ascii="Times New Roman" w:hAnsi="Times New Roman"/>
          <w:color w:val="000000"/>
          <w:szCs w:val="20"/>
        </w:rPr>
        <w:t>можуть</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отримуватися</w:t>
      </w:r>
      <w:proofErr w:type="spellEnd"/>
      <w:r w:rsidRPr="00E16672">
        <w:rPr>
          <w:rFonts w:ascii="Times New Roman" w:hAnsi="Times New Roman"/>
          <w:color w:val="000000"/>
          <w:szCs w:val="20"/>
        </w:rPr>
        <w:t xml:space="preserve"> Депозитарною </w:t>
      </w:r>
      <w:proofErr w:type="spellStart"/>
      <w:r w:rsidRPr="00E16672">
        <w:rPr>
          <w:rFonts w:ascii="Times New Roman" w:hAnsi="Times New Roman"/>
          <w:color w:val="000000"/>
          <w:szCs w:val="20"/>
        </w:rPr>
        <w:t>установою</w:t>
      </w:r>
      <w:proofErr w:type="spellEnd"/>
      <w:r w:rsidRPr="00E16672">
        <w:rPr>
          <w:rFonts w:ascii="Times New Roman" w:hAnsi="Times New Roman"/>
          <w:color w:val="000000"/>
          <w:szCs w:val="20"/>
          <w:lang w:val="uk-UA"/>
        </w:rPr>
        <w:t>:</w:t>
      </w:r>
    </w:p>
    <w:p w14:paraId="04D4CBB8" w14:textId="77777777" w:rsidR="007974E8" w:rsidRPr="00E16672" w:rsidRDefault="007974E8" w:rsidP="007974E8">
      <w:pPr>
        <w:numPr>
          <w:ilvl w:val="0"/>
          <w:numId w:val="2"/>
        </w:numPr>
        <w:ind w:left="0" w:firstLine="540"/>
        <w:rPr>
          <w:rFonts w:ascii="Times New Roman" w:hAnsi="Times New Roman"/>
          <w:color w:val="000000"/>
          <w:spacing w:val="-8"/>
          <w:szCs w:val="20"/>
          <w:lang w:val="uk-UA"/>
        </w:rPr>
      </w:pPr>
      <w:r w:rsidRPr="00E16672">
        <w:rPr>
          <w:rFonts w:ascii="Times New Roman" w:hAnsi="Times New Roman"/>
          <w:color w:val="000000"/>
          <w:szCs w:val="20"/>
          <w:lang w:val="uk-UA"/>
        </w:rPr>
        <w:t xml:space="preserve">- особисто при </w:t>
      </w:r>
      <w:r w:rsidRPr="00E16672">
        <w:rPr>
          <w:rFonts w:ascii="Times New Roman" w:hAnsi="Times New Roman"/>
          <w:color w:val="000000"/>
          <w:spacing w:val="-8"/>
          <w:szCs w:val="20"/>
          <w:lang w:val="uk-UA"/>
        </w:rPr>
        <w:t>зверненні Депонента,</w:t>
      </w:r>
      <w:r w:rsidRPr="00E16672">
        <w:rPr>
          <w:rFonts w:ascii="Times New Roman" w:hAnsi="Times New Roman"/>
          <w:color w:val="000000"/>
          <w:szCs w:val="20"/>
          <w:lang w:val="uk-UA"/>
        </w:rPr>
        <w:t xml:space="preserve"> керуючого або розпорядника його рахунком (уповноваженого представника)</w:t>
      </w:r>
      <w:r w:rsidRPr="00E16672">
        <w:rPr>
          <w:rFonts w:ascii="Times New Roman" w:hAnsi="Times New Roman"/>
          <w:color w:val="000000"/>
          <w:spacing w:val="-8"/>
          <w:szCs w:val="20"/>
          <w:lang w:val="uk-UA"/>
        </w:rPr>
        <w:t>;</w:t>
      </w:r>
    </w:p>
    <w:p w14:paraId="72980026" w14:textId="77777777" w:rsidR="007974E8" w:rsidRPr="00E16672" w:rsidRDefault="007974E8" w:rsidP="007974E8">
      <w:pPr>
        <w:numPr>
          <w:ilvl w:val="0"/>
          <w:numId w:val="2"/>
        </w:numPr>
        <w:ind w:left="0" w:firstLine="540"/>
        <w:rPr>
          <w:rFonts w:ascii="Times New Roman" w:hAnsi="Times New Roman"/>
          <w:color w:val="000000"/>
          <w:szCs w:val="20"/>
          <w:lang w:val="uk-UA"/>
        </w:rPr>
      </w:pPr>
      <w:r w:rsidRPr="00E16672">
        <w:rPr>
          <w:rFonts w:ascii="Times New Roman" w:hAnsi="Times New Roman"/>
          <w:color w:val="000000"/>
          <w:spacing w:val="-8"/>
          <w:szCs w:val="20"/>
          <w:lang w:val="uk-UA"/>
        </w:rPr>
        <w:t xml:space="preserve">- </w:t>
      </w:r>
      <w:proofErr w:type="spellStart"/>
      <w:r w:rsidRPr="00E16672">
        <w:rPr>
          <w:rFonts w:ascii="Times New Roman" w:hAnsi="Times New Roman"/>
          <w:color w:val="000000"/>
          <w:spacing w:val="-8"/>
          <w:szCs w:val="20"/>
        </w:rPr>
        <w:t>засобами</w:t>
      </w:r>
      <w:proofErr w:type="spellEnd"/>
      <w:r w:rsidRPr="00E16672">
        <w:rPr>
          <w:rFonts w:ascii="Times New Roman" w:hAnsi="Times New Roman"/>
          <w:color w:val="000000"/>
          <w:spacing w:val="-8"/>
          <w:szCs w:val="20"/>
        </w:rPr>
        <w:t xml:space="preserve"> </w:t>
      </w:r>
      <w:proofErr w:type="spellStart"/>
      <w:r w:rsidRPr="00E16672">
        <w:rPr>
          <w:rFonts w:ascii="Times New Roman" w:hAnsi="Times New Roman"/>
          <w:color w:val="000000"/>
          <w:spacing w:val="-8"/>
          <w:szCs w:val="20"/>
        </w:rPr>
        <w:t>поштового</w:t>
      </w:r>
      <w:proofErr w:type="spellEnd"/>
      <w:r w:rsidRPr="00E16672">
        <w:rPr>
          <w:rFonts w:ascii="Times New Roman" w:hAnsi="Times New Roman"/>
          <w:color w:val="000000"/>
          <w:spacing w:val="-8"/>
          <w:szCs w:val="20"/>
        </w:rPr>
        <w:t xml:space="preserve"> </w:t>
      </w:r>
      <w:proofErr w:type="spellStart"/>
      <w:r w:rsidRPr="00E16672">
        <w:rPr>
          <w:rFonts w:ascii="Times New Roman" w:hAnsi="Times New Roman"/>
          <w:color w:val="000000"/>
          <w:spacing w:val="-8"/>
          <w:szCs w:val="20"/>
        </w:rPr>
        <w:t>зв’язку</w:t>
      </w:r>
      <w:proofErr w:type="spellEnd"/>
      <w:r w:rsidRPr="00E16672">
        <w:rPr>
          <w:rFonts w:ascii="Times New Roman" w:hAnsi="Times New Roman"/>
          <w:color w:val="000000"/>
          <w:spacing w:val="-8"/>
          <w:szCs w:val="20"/>
        </w:rPr>
        <w:t xml:space="preserve"> </w:t>
      </w:r>
      <w:proofErr w:type="spellStart"/>
      <w:r w:rsidRPr="00E16672">
        <w:rPr>
          <w:rFonts w:ascii="Times New Roman" w:hAnsi="Times New Roman"/>
          <w:color w:val="000000"/>
          <w:spacing w:val="-8"/>
          <w:szCs w:val="20"/>
        </w:rPr>
        <w:t>або</w:t>
      </w:r>
      <w:proofErr w:type="spellEnd"/>
      <w:r w:rsidRPr="00E16672">
        <w:rPr>
          <w:rFonts w:ascii="Times New Roman" w:hAnsi="Times New Roman"/>
          <w:color w:val="000000"/>
          <w:spacing w:val="-8"/>
          <w:szCs w:val="20"/>
        </w:rPr>
        <w:t xml:space="preserve"> </w:t>
      </w:r>
      <w:proofErr w:type="spellStart"/>
      <w:r w:rsidRPr="00E16672">
        <w:rPr>
          <w:rFonts w:ascii="Times New Roman" w:hAnsi="Times New Roman"/>
          <w:color w:val="000000"/>
          <w:spacing w:val="-8"/>
          <w:szCs w:val="20"/>
        </w:rPr>
        <w:t>кур’єром</w:t>
      </w:r>
      <w:proofErr w:type="spellEnd"/>
    </w:p>
    <w:p w14:paraId="4C4A9562" w14:textId="77777777" w:rsidR="007974E8" w:rsidRPr="00E16672" w:rsidRDefault="007974E8" w:rsidP="007974E8">
      <w:pPr>
        <w:rPr>
          <w:rFonts w:ascii="Times New Roman" w:hAnsi="Times New Roman"/>
          <w:color w:val="000000"/>
          <w:szCs w:val="20"/>
        </w:rPr>
      </w:pPr>
      <w:r w:rsidRPr="00E16672">
        <w:rPr>
          <w:rFonts w:ascii="Times New Roman" w:hAnsi="Times New Roman"/>
          <w:color w:val="000000"/>
          <w:szCs w:val="20"/>
        </w:rPr>
        <w:t>3.4.</w:t>
      </w:r>
      <w:r w:rsidRPr="00E16672">
        <w:rPr>
          <w:rFonts w:ascii="Times New Roman" w:hAnsi="Times New Roman"/>
          <w:b/>
          <w:bCs/>
          <w:color w:val="000000"/>
          <w:szCs w:val="20"/>
        </w:rPr>
        <w:t xml:space="preserve"> </w:t>
      </w:r>
      <w:proofErr w:type="spellStart"/>
      <w:r w:rsidRPr="00E16672">
        <w:rPr>
          <w:rFonts w:ascii="Times New Roman" w:hAnsi="Times New Roman"/>
          <w:color w:val="000000"/>
          <w:szCs w:val="20"/>
        </w:rPr>
        <w:t>Розпорядження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Керуючого</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рахунком</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має</w:t>
      </w:r>
      <w:proofErr w:type="spellEnd"/>
      <w:r w:rsidRPr="00E16672">
        <w:rPr>
          <w:rFonts w:ascii="Times New Roman" w:hAnsi="Times New Roman"/>
          <w:color w:val="000000"/>
          <w:szCs w:val="20"/>
        </w:rPr>
        <w:t xml:space="preserve"> бути </w:t>
      </w:r>
      <w:proofErr w:type="spellStart"/>
      <w:r w:rsidRPr="00E16672">
        <w:rPr>
          <w:rFonts w:ascii="Times New Roman" w:hAnsi="Times New Roman"/>
          <w:color w:val="000000"/>
          <w:szCs w:val="20"/>
        </w:rPr>
        <w:t>підписане</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розпорядником</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рахунку</w:t>
      </w:r>
      <w:proofErr w:type="spellEnd"/>
      <w:r w:rsidRPr="00E16672">
        <w:rPr>
          <w:rFonts w:ascii="Times New Roman" w:hAnsi="Times New Roman"/>
          <w:color w:val="000000"/>
          <w:szCs w:val="20"/>
        </w:rPr>
        <w:t xml:space="preserve"> </w:t>
      </w:r>
      <w:r w:rsidR="00C22309" w:rsidRPr="00E16672">
        <w:rPr>
          <w:rFonts w:ascii="Times New Roman" w:hAnsi="Times New Roman"/>
          <w:color w:val="000000"/>
          <w:szCs w:val="20"/>
        </w:rPr>
        <w:t xml:space="preserve">в </w:t>
      </w:r>
      <w:proofErr w:type="spellStart"/>
      <w:r w:rsidR="00C22309" w:rsidRPr="00E16672">
        <w:rPr>
          <w:rFonts w:ascii="Times New Roman" w:hAnsi="Times New Roman"/>
          <w:color w:val="000000"/>
          <w:szCs w:val="20"/>
        </w:rPr>
        <w:t>цін</w:t>
      </w:r>
      <w:r w:rsidRPr="00E16672">
        <w:rPr>
          <w:rFonts w:ascii="Times New Roman" w:hAnsi="Times New Roman"/>
          <w:color w:val="000000"/>
          <w:szCs w:val="20"/>
        </w:rPr>
        <w:t>них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паперах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Підпис</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розпорядника</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рахунку</w:t>
      </w:r>
      <w:proofErr w:type="spellEnd"/>
      <w:r w:rsidRPr="00E16672">
        <w:rPr>
          <w:rFonts w:ascii="Times New Roman" w:hAnsi="Times New Roman"/>
          <w:color w:val="000000"/>
          <w:szCs w:val="20"/>
        </w:rPr>
        <w:t xml:space="preserve"> </w:t>
      </w:r>
      <w:r w:rsidR="00C22309" w:rsidRPr="00E16672">
        <w:rPr>
          <w:rFonts w:ascii="Times New Roman" w:hAnsi="Times New Roman"/>
          <w:color w:val="000000"/>
          <w:szCs w:val="20"/>
        </w:rPr>
        <w:t xml:space="preserve">в </w:t>
      </w:r>
      <w:proofErr w:type="spellStart"/>
      <w:r w:rsidR="00C22309" w:rsidRPr="00E16672">
        <w:rPr>
          <w:rFonts w:ascii="Times New Roman" w:hAnsi="Times New Roman"/>
          <w:color w:val="000000"/>
          <w:szCs w:val="20"/>
        </w:rPr>
        <w:t>цін</w:t>
      </w:r>
      <w:r w:rsidRPr="00E16672">
        <w:rPr>
          <w:rFonts w:ascii="Times New Roman" w:hAnsi="Times New Roman"/>
          <w:color w:val="000000"/>
          <w:szCs w:val="20"/>
        </w:rPr>
        <w:t>них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паперах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засвідчується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печаткою</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Керуючого</w:t>
      </w:r>
      <w:proofErr w:type="spellEnd"/>
      <w:r w:rsidRPr="00E16672">
        <w:rPr>
          <w:rFonts w:ascii="Times New Roman" w:hAnsi="Times New Roman"/>
          <w:color w:val="000000"/>
          <w:szCs w:val="20"/>
          <w:lang w:val="uk-UA"/>
        </w:rPr>
        <w:t xml:space="preserve"> </w:t>
      </w:r>
      <w:proofErr w:type="spellStart"/>
      <w:r w:rsidRPr="00E16672">
        <w:rPr>
          <w:rFonts w:ascii="Times New Roman" w:hAnsi="Times New Roman"/>
          <w:color w:val="000000"/>
          <w:szCs w:val="20"/>
        </w:rPr>
        <w:t>рахунком</w:t>
      </w:r>
      <w:proofErr w:type="spellEnd"/>
      <w:r w:rsidRPr="00E16672">
        <w:rPr>
          <w:rFonts w:ascii="Times New Roman" w:hAnsi="Times New Roman"/>
          <w:color w:val="000000"/>
          <w:szCs w:val="20"/>
          <w:lang w:val="uk-UA"/>
        </w:rPr>
        <w:t xml:space="preserve"> (</w:t>
      </w:r>
      <w:r w:rsidR="003352AE" w:rsidRPr="00E16672">
        <w:rPr>
          <w:rFonts w:ascii="Times New Roman" w:hAnsi="Times New Roman"/>
          <w:color w:val="000000"/>
          <w:szCs w:val="20"/>
          <w:lang w:val="uk-UA"/>
        </w:rPr>
        <w:t>у разі використання</w:t>
      </w:r>
      <w:proofErr w:type="gramStart"/>
      <w:r w:rsidRPr="00E16672">
        <w:rPr>
          <w:rFonts w:ascii="Times New Roman" w:hAnsi="Times New Roman"/>
          <w:color w:val="000000"/>
          <w:szCs w:val="20"/>
          <w:lang w:val="uk-UA"/>
        </w:rPr>
        <w:t>).</w:t>
      </w:r>
      <w:r w:rsidRPr="00E16672">
        <w:rPr>
          <w:rFonts w:ascii="Times New Roman" w:hAnsi="Times New Roman"/>
          <w:color w:val="000000"/>
          <w:szCs w:val="20"/>
        </w:rPr>
        <w:t>.</w:t>
      </w:r>
      <w:proofErr w:type="gramEnd"/>
    </w:p>
    <w:p w14:paraId="6451B9E0" w14:textId="77777777" w:rsidR="007974E8" w:rsidRPr="00E16672" w:rsidRDefault="007974E8" w:rsidP="007974E8">
      <w:pPr>
        <w:rPr>
          <w:rFonts w:ascii="Times New Roman" w:hAnsi="Times New Roman"/>
          <w:color w:val="000000"/>
          <w:szCs w:val="20"/>
        </w:rPr>
      </w:pPr>
      <w:r w:rsidRPr="00E16672">
        <w:rPr>
          <w:rFonts w:ascii="Times New Roman" w:hAnsi="Times New Roman"/>
          <w:color w:val="000000"/>
          <w:szCs w:val="20"/>
          <w:lang w:val="uk-UA"/>
        </w:rPr>
        <w:t>3.5. Депозитарна установа приймає до виконання тільки ті розпорядження Керуючого</w:t>
      </w:r>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рахунком</w:t>
      </w:r>
      <w:proofErr w:type="spellEnd"/>
      <w:r w:rsidRPr="00E16672">
        <w:rPr>
          <w:rFonts w:ascii="Times New Roman" w:hAnsi="Times New Roman"/>
          <w:color w:val="000000"/>
          <w:szCs w:val="20"/>
          <w:lang w:val="uk-UA"/>
        </w:rPr>
        <w:t xml:space="preserve">, які підтверджені підписом розпорядника його рахунком. </w:t>
      </w:r>
      <w:proofErr w:type="spellStart"/>
      <w:r w:rsidRPr="00E16672">
        <w:rPr>
          <w:rFonts w:ascii="Times New Roman" w:hAnsi="Times New Roman"/>
          <w:color w:val="000000"/>
          <w:szCs w:val="20"/>
        </w:rPr>
        <w:t>Депозитарна</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установа</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перевіряє</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їх</w:t>
      </w:r>
      <w:proofErr w:type="spellEnd"/>
      <w:r w:rsidRPr="00E16672">
        <w:rPr>
          <w:rFonts w:ascii="Times New Roman" w:hAnsi="Times New Roman"/>
          <w:color w:val="000000"/>
          <w:szCs w:val="20"/>
        </w:rPr>
        <w:t xml:space="preserve"> на </w:t>
      </w:r>
      <w:proofErr w:type="spellStart"/>
      <w:r w:rsidRPr="00E16672">
        <w:rPr>
          <w:rFonts w:ascii="Times New Roman" w:hAnsi="Times New Roman"/>
          <w:color w:val="000000"/>
          <w:szCs w:val="20"/>
        </w:rPr>
        <w:t>достовірність</w:t>
      </w:r>
      <w:proofErr w:type="spellEnd"/>
      <w:r w:rsidRPr="00E16672">
        <w:rPr>
          <w:rFonts w:ascii="Times New Roman" w:hAnsi="Times New Roman"/>
          <w:color w:val="000000"/>
          <w:szCs w:val="20"/>
        </w:rPr>
        <w:t xml:space="preserve">. </w:t>
      </w:r>
    </w:p>
    <w:p w14:paraId="2E54A815" w14:textId="77777777" w:rsidR="007974E8" w:rsidRPr="00E16672" w:rsidRDefault="007974E8" w:rsidP="007974E8">
      <w:pPr>
        <w:rPr>
          <w:rFonts w:ascii="Times New Roman" w:hAnsi="Times New Roman"/>
          <w:color w:val="000000"/>
          <w:szCs w:val="20"/>
        </w:rPr>
      </w:pPr>
      <w:proofErr w:type="spellStart"/>
      <w:r w:rsidRPr="00E16672">
        <w:rPr>
          <w:rFonts w:ascii="Times New Roman" w:hAnsi="Times New Roman"/>
          <w:color w:val="000000"/>
          <w:szCs w:val="20"/>
        </w:rPr>
        <w:t>Спосіб</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підтвердження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справжності</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підпису</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що</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використовується</w:t>
      </w:r>
      <w:proofErr w:type="spellEnd"/>
      <w:r w:rsidRPr="00E16672">
        <w:rPr>
          <w:rFonts w:ascii="Times New Roman" w:hAnsi="Times New Roman"/>
          <w:color w:val="000000"/>
          <w:szCs w:val="20"/>
        </w:rPr>
        <w:t xml:space="preserve"> при </w:t>
      </w:r>
      <w:proofErr w:type="spellStart"/>
      <w:r w:rsidRPr="00E16672">
        <w:rPr>
          <w:rFonts w:ascii="Times New Roman" w:hAnsi="Times New Roman"/>
          <w:color w:val="000000"/>
          <w:szCs w:val="20"/>
        </w:rPr>
        <w:t>обміні</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інформацією</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між</w:t>
      </w:r>
      <w:proofErr w:type="spellEnd"/>
      <w:r w:rsidRPr="00E16672">
        <w:rPr>
          <w:rFonts w:ascii="Times New Roman" w:hAnsi="Times New Roman"/>
          <w:color w:val="000000"/>
          <w:szCs w:val="20"/>
        </w:rPr>
        <w:t xml:space="preserve"> депонентом та Депозитарною </w:t>
      </w:r>
      <w:proofErr w:type="spellStart"/>
      <w:r w:rsidRPr="00E16672">
        <w:rPr>
          <w:rFonts w:ascii="Times New Roman" w:hAnsi="Times New Roman"/>
          <w:color w:val="000000"/>
          <w:szCs w:val="20"/>
        </w:rPr>
        <w:t>установою</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може</w:t>
      </w:r>
      <w:proofErr w:type="spellEnd"/>
      <w:r w:rsidRPr="00E16672">
        <w:rPr>
          <w:rFonts w:ascii="Times New Roman" w:hAnsi="Times New Roman"/>
          <w:color w:val="000000"/>
          <w:szCs w:val="20"/>
        </w:rPr>
        <w:t xml:space="preserve"> бути таким: </w:t>
      </w:r>
    </w:p>
    <w:p w14:paraId="00C10214" w14:textId="77777777" w:rsidR="007974E8" w:rsidRPr="00E16672" w:rsidRDefault="007974E8" w:rsidP="007974E8">
      <w:pPr>
        <w:rPr>
          <w:rFonts w:ascii="Times New Roman" w:hAnsi="Times New Roman"/>
          <w:color w:val="000000"/>
          <w:szCs w:val="20"/>
        </w:rPr>
      </w:pPr>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достовірність</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підпису</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розпорядника</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рахунку</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підтверджується</w:t>
      </w:r>
      <w:proofErr w:type="spellEnd"/>
      <w:r w:rsidRPr="00E16672">
        <w:rPr>
          <w:rFonts w:ascii="Times New Roman" w:hAnsi="Times New Roman"/>
          <w:color w:val="000000"/>
          <w:szCs w:val="20"/>
        </w:rPr>
        <w:t xml:space="preserve"> шляхом </w:t>
      </w:r>
      <w:proofErr w:type="spellStart"/>
      <w:r w:rsidRPr="00E16672">
        <w:rPr>
          <w:rFonts w:ascii="Times New Roman" w:hAnsi="Times New Roman"/>
          <w:color w:val="000000"/>
          <w:szCs w:val="20"/>
        </w:rPr>
        <w:t>зіставлення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підписів</w:t>
      </w:r>
      <w:proofErr w:type="spellEnd"/>
      <w:r w:rsidRPr="00E16672">
        <w:rPr>
          <w:rFonts w:ascii="Times New Roman" w:hAnsi="Times New Roman"/>
          <w:color w:val="000000"/>
          <w:szCs w:val="20"/>
        </w:rPr>
        <w:t xml:space="preserve"> у </w:t>
      </w:r>
      <w:proofErr w:type="spellStart"/>
      <w:r w:rsidRPr="00E16672">
        <w:rPr>
          <w:rFonts w:ascii="Times New Roman" w:hAnsi="Times New Roman"/>
          <w:color w:val="000000"/>
          <w:szCs w:val="20"/>
        </w:rPr>
        <w:t>розпорядженні</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із</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зразками</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підписів</w:t>
      </w:r>
      <w:proofErr w:type="spellEnd"/>
      <w:r w:rsidRPr="00E16672">
        <w:rPr>
          <w:rFonts w:ascii="Times New Roman" w:hAnsi="Times New Roman"/>
          <w:color w:val="000000"/>
          <w:szCs w:val="20"/>
        </w:rPr>
        <w:t xml:space="preserve"> у </w:t>
      </w:r>
      <w:proofErr w:type="spellStart"/>
      <w:r w:rsidRPr="00E16672">
        <w:rPr>
          <w:rFonts w:ascii="Times New Roman" w:hAnsi="Times New Roman"/>
          <w:color w:val="000000"/>
          <w:szCs w:val="20"/>
        </w:rPr>
        <w:t>картці</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із</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зразками</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підписів</w:t>
      </w:r>
      <w:proofErr w:type="spellEnd"/>
      <w:r w:rsidRPr="00E16672">
        <w:rPr>
          <w:rFonts w:ascii="Times New Roman" w:hAnsi="Times New Roman"/>
          <w:color w:val="000000"/>
          <w:szCs w:val="20"/>
        </w:rPr>
        <w:t xml:space="preserve"> та </w:t>
      </w:r>
      <w:proofErr w:type="spellStart"/>
      <w:r w:rsidRPr="00E16672">
        <w:rPr>
          <w:rFonts w:ascii="Times New Roman" w:hAnsi="Times New Roman"/>
          <w:color w:val="000000"/>
          <w:szCs w:val="20"/>
        </w:rPr>
        <w:t>відбитком</w:t>
      </w:r>
      <w:proofErr w:type="spellEnd"/>
      <w:r w:rsidRPr="00E16672">
        <w:rPr>
          <w:rFonts w:ascii="Times New Roman" w:hAnsi="Times New Roman"/>
          <w:color w:val="000000"/>
          <w:szCs w:val="20"/>
        </w:rPr>
        <w:t xml:space="preserve"> печатки;</w:t>
      </w:r>
    </w:p>
    <w:p w14:paraId="07796195" w14:textId="77777777" w:rsidR="007974E8" w:rsidRPr="00E16672" w:rsidRDefault="007974E8" w:rsidP="007974E8">
      <w:pPr>
        <w:rPr>
          <w:rFonts w:ascii="Times New Roman" w:hAnsi="Times New Roman"/>
          <w:color w:val="000000"/>
          <w:szCs w:val="20"/>
          <w:lang w:val="uk-UA"/>
        </w:rPr>
      </w:pPr>
      <w:r w:rsidRPr="00E16672">
        <w:rPr>
          <w:rFonts w:ascii="Times New Roman" w:hAnsi="Times New Roman"/>
          <w:color w:val="000000"/>
          <w:szCs w:val="20"/>
        </w:rPr>
        <w:t xml:space="preserve">- </w:t>
      </w:r>
      <w:proofErr w:type="spellStart"/>
      <w:r w:rsidR="002A5E07" w:rsidRPr="00E16672">
        <w:rPr>
          <w:rFonts w:ascii="Times New Roman" w:hAnsi="Times New Roman"/>
          <w:color w:val="000000"/>
          <w:szCs w:val="20"/>
        </w:rPr>
        <w:t>кваліфікований</w:t>
      </w:r>
      <w:proofErr w:type="spellEnd"/>
      <w:r w:rsidR="002A5E07" w:rsidRPr="00E16672">
        <w:rPr>
          <w:rFonts w:ascii="Times New Roman" w:hAnsi="Times New Roman"/>
          <w:color w:val="000000"/>
          <w:szCs w:val="20"/>
        </w:rPr>
        <w:t xml:space="preserve"> </w:t>
      </w:r>
      <w:proofErr w:type="spellStart"/>
      <w:r w:rsidR="002A5E07" w:rsidRPr="00E16672">
        <w:rPr>
          <w:rFonts w:ascii="Times New Roman" w:hAnsi="Times New Roman"/>
          <w:color w:val="000000"/>
          <w:szCs w:val="20"/>
        </w:rPr>
        <w:t>електронний</w:t>
      </w:r>
      <w:proofErr w:type="spellEnd"/>
      <w:r w:rsidR="002A5E07" w:rsidRPr="00E16672">
        <w:rPr>
          <w:rFonts w:ascii="Times New Roman" w:hAnsi="Times New Roman"/>
          <w:color w:val="000000"/>
          <w:szCs w:val="20"/>
        </w:rPr>
        <w:t xml:space="preserve"> </w:t>
      </w:r>
      <w:proofErr w:type="spellStart"/>
      <w:r w:rsidR="002A5E07" w:rsidRPr="00E16672">
        <w:rPr>
          <w:rFonts w:ascii="Times New Roman" w:hAnsi="Times New Roman"/>
          <w:color w:val="000000"/>
          <w:szCs w:val="20"/>
        </w:rPr>
        <w:t>підпис</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вважається</w:t>
      </w:r>
      <w:proofErr w:type="spellEnd"/>
      <w:r w:rsidRPr="00E16672">
        <w:rPr>
          <w:rFonts w:ascii="Times New Roman" w:hAnsi="Times New Roman"/>
          <w:color w:val="000000"/>
          <w:szCs w:val="20"/>
        </w:rPr>
        <w:t xml:space="preserve"> таким, </w:t>
      </w:r>
      <w:proofErr w:type="spellStart"/>
      <w:r w:rsidRPr="00E16672">
        <w:rPr>
          <w:rFonts w:ascii="Times New Roman" w:hAnsi="Times New Roman"/>
          <w:color w:val="000000"/>
          <w:szCs w:val="20"/>
        </w:rPr>
        <w:t>що</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відповідає</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сертифікату</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відкритого</w:t>
      </w:r>
      <w:proofErr w:type="spellEnd"/>
      <w:r w:rsidRPr="00E16672">
        <w:rPr>
          <w:rFonts w:ascii="Times New Roman" w:hAnsi="Times New Roman"/>
          <w:color w:val="000000"/>
          <w:szCs w:val="20"/>
        </w:rPr>
        <w:t xml:space="preserve"> ключа, </w:t>
      </w:r>
      <w:proofErr w:type="spellStart"/>
      <w:r w:rsidRPr="00E16672">
        <w:rPr>
          <w:rFonts w:ascii="Times New Roman" w:hAnsi="Times New Roman"/>
          <w:color w:val="000000"/>
          <w:szCs w:val="20"/>
        </w:rPr>
        <w:t>якщо</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особистий</w:t>
      </w:r>
      <w:proofErr w:type="spellEnd"/>
      <w:r w:rsidRPr="00E16672">
        <w:rPr>
          <w:rFonts w:ascii="Times New Roman" w:hAnsi="Times New Roman"/>
          <w:color w:val="000000"/>
          <w:szCs w:val="20"/>
        </w:rPr>
        <w:t xml:space="preserve"> ключ </w:t>
      </w:r>
      <w:proofErr w:type="spellStart"/>
      <w:r w:rsidRPr="00E16672">
        <w:rPr>
          <w:rFonts w:ascii="Times New Roman" w:hAnsi="Times New Roman"/>
          <w:color w:val="000000"/>
          <w:szCs w:val="20"/>
        </w:rPr>
        <w:t>підписувача</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розпорядника</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рахунку</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використаний</w:t>
      </w:r>
      <w:proofErr w:type="spellEnd"/>
      <w:r w:rsidRPr="00E16672">
        <w:rPr>
          <w:rFonts w:ascii="Times New Roman" w:hAnsi="Times New Roman"/>
          <w:color w:val="000000"/>
          <w:szCs w:val="20"/>
        </w:rPr>
        <w:t xml:space="preserve"> при </w:t>
      </w:r>
      <w:proofErr w:type="spellStart"/>
      <w:r w:rsidRPr="00E16672">
        <w:rPr>
          <w:rFonts w:ascii="Times New Roman" w:hAnsi="Times New Roman"/>
          <w:color w:val="000000"/>
          <w:szCs w:val="20"/>
        </w:rPr>
        <w:t>формуванні</w:t>
      </w:r>
      <w:proofErr w:type="spellEnd"/>
      <w:r w:rsidRPr="00E16672">
        <w:rPr>
          <w:rFonts w:ascii="Times New Roman" w:hAnsi="Times New Roman"/>
          <w:color w:val="000000"/>
          <w:szCs w:val="20"/>
        </w:rPr>
        <w:t xml:space="preserve"> </w:t>
      </w:r>
      <w:proofErr w:type="spellStart"/>
      <w:r w:rsidR="002A5E07" w:rsidRPr="00E16672">
        <w:rPr>
          <w:rFonts w:ascii="Times New Roman" w:hAnsi="Times New Roman"/>
          <w:color w:val="000000"/>
          <w:szCs w:val="20"/>
        </w:rPr>
        <w:t>кваліфікованого</w:t>
      </w:r>
      <w:proofErr w:type="spellEnd"/>
      <w:r w:rsidR="002A5E07" w:rsidRPr="00E16672">
        <w:rPr>
          <w:rFonts w:ascii="Times New Roman" w:hAnsi="Times New Roman"/>
          <w:color w:val="000000"/>
          <w:szCs w:val="20"/>
        </w:rPr>
        <w:t xml:space="preserve"> </w:t>
      </w:r>
      <w:proofErr w:type="spellStart"/>
      <w:r w:rsidR="002A5E07" w:rsidRPr="00E16672">
        <w:rPr>
          <w:rFonts w:ascii="Times New Roman" w:hAnsi="Times New Roman"/>
          <w:color w:val="000000"/>
          <w:szCs w:val="20"/>
        </w:rPr>
        <w:t>електронного</w:t>
      </w:r>
      <w:proofErr w:type="spellEnd"/>
      <w:r w:rsidR="002A5E07" w:rsidRPr="00E16672">
        <w:rPr>
          <w:rFonts w:ascii="Times New Roman" w:hAnsi="Times New Roman"/>
          <w:color w:val="000000"/>
          <w:szCs w:val="20"/>
        </w:rPr>
        <w:t xml:space="preserve"> </w:t>
      </w:r>
      <w:proofErr w:type="spellStart"/>
      <w:r w:rsidR="002A5E07" w:rsidRPr="00E16672">
        <w:rPr>
          <w:rFonts w:ascii="Times New Roman" w:hAnsi="Times New Roman"/>
          <w:color w:val="000000"/>
          <w:szCs w:val="20"/>
        </w:rPr>
        <w:t>підпису</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відповідає</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відкритому</w:t>
      </w:r>
      <w:proofErr w:type="spellEnd"/>
      <w:r w:rsidRPr="00E16672">
        <w:rPr>
          <w:rFonts w:ascii="Times New Roman" w:hAnsi="Times New Roman"/>
          <w:color w:val="000000"/>
          <w:szCs w:val="20"/>
        </w:rPr>
        <w:t xml:space="preserve"> ключу, </w:t>
      </w:r>
      <w:proofErr w:type="spellStart"/>
      <w:r w:rsidRPr="00E16672">
        <w:rPr>
          <w:rFonts w:ascii="Times New Roman" w:hAnsi="Times New Roman"/>
          <w:color w:val="000000"/>
          <w:szCs w:val="20"/>
        </w:rPr>
        <w:t>зазначеному</w:t>
      </w:r>
      <w:proofErr w:type="spellEnd"/>
      <w:r w:rsidRPr="00E16672">
        <w:rPr>
          <w:rFonts w:ascii="Times New Roman" w:hAnsi="Times New Roman"/>
          <w:color w:val="000000"/>
          <w:szCs w:val="20"/>
        </w:rPr>
        <w:t xml:space="preserve"> у </w:t>
      </w:r>
      <w:proofErr w:type="spellStart"/>
      <w:r w:rsidRPr="00E16672">
        <w:rPr>
          <w:rFonts w:ascii="Times New Roman" w:hAnsi="Times New Roman"/>
          <w:color w:val="000000"/>
          <w:szCs w:val="20"/>
        </w:rPr>
        <w:t>сертифікаті</w:t>
      </w:r>
      <w:proofErr w:type="spellEnd"/>
      <w:r w:rsidRPr="00E16672">
        <w:rPr>
          <w:rFonts w:ascii="Times New Roman" w:hAnsi="Times New Roman"/>
          <w:color w:val="000000"/>
          <w:szCs w:val="20"/>
          <w:lang w:val="uk-UA"/>
        </w:rPr>
        <w:t>.</w:t>
      </w:r>
    </w:p>
    <w:p w14:paraId="56A139F7" w14:textId="77777777" w:rsidR="007974E8" w:rsidRPr="00E16672" w:rsidRDefault="007974E8" w:rsidP="007974E8">
      <w:pPr>
        <w:rPr>
          <w:rFonts w:ascii="Times New Roman" w:hAnsi="Times New Roman"/>
          <w:color w:val="000000"/>
          <w:szCs w:val="20"/>
        </w:rPr>
      </w:pPr>
      <w:r w:rsidRPr="00E16672">
        <w:rPr>
          <w:rFonts w:ascii="Times New Roman" w:hAnsi="Times New Roman"/>
          <w:color w:val="000000"/>
          <w:szCs w:val="20"/>
        </w:rPr>
        <w:lastRenderedPageBreak/>
        <w:t xml:space="preserve">3.6. </w:t>
      </w:r>
      <w:proofErr w:type="spellStart"/>
      <w:r w:rsidRPr="00E16672">
        <w:rPr>
          <w:rFonts w:ascii="Times New Roman" w:hAnsi="Times New Roman"/>
          <w:color w:val="000000"/>
          <w:szCs w:val="20"/>
        </w:rPr>
        <w:t>Розпорядження</w:t>
      </w:r>
      <w:proofErr w:type="spellEnd"/>
      <w:r w:rsidRPr="00E16672">
        <w:rPr>
          <w:rFonts w:ascii="Times New Roman" w:hAnsi="Times New Roman"/>
          <w:color w:val="000000"/>
          <w:szCs w:val="20"/>
        </w:rPr>
        <w:t xml:space="preserve"> у </w:t>
      </w:r>
      <w:proofErr w:type="spellStart"/>
      <w:r w:rsidRPr="00E16672">
        <w:rPr>
          <w:rFonts w:ascii="Times New Roman" w:hAnsi="Times New Roman"/>
          <w:color w:val="000000"/>
          <w:szCs w:val="20"/>
        </w:rPr>
        <w:t>вигляді</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паперового</w:t>
      </w:r>
      <w:proofErr w:type="spellEnd"/>
      <w:r w:rsidRPr="00E16672">
        <w:rPr>
          <w:rFonts w:ascii="Times New Roman" w:hAnsi="Times New Roman"/>
          <w:color w:val="000000"/>
          <w:szCs w:val="20"/>
        </w:rPr>
        <w:t xml:space="preserve"> документа </w:t>
      </w:r>
      <w:proofErr w:type="spellStart"/>
      <w:r w:rsidRPr="00E16672">
        <w:rPr>
          <w:rFonts w:ascii="Times New Roman" w:hAnsi="Times New Roman"/>
          <w:color w:val="000000"/>
          <w:szCs w:val="20"/>
        </w:rPr>
        <w:t>повинні</w:t>
      </w:r>
      <w:proofErr w:type="spellEnd"/>
      <w:r w:rsidRPr="00E16672">
        <w:rPr>
          <w:rFonts w:ascii="Times New Roman" w:hAnsi="Times New Roman"/>
          <w:color w:val="000000"/>
          <w:szCs w:val="20"/>
        </w:rPr>
        <w:t xml:space="preserve"> бути </w:t>
      </w:r>
      <w:proofErr w:type="spellStart"/>
      <w:r w:rsidRPr="00E16672">
        <w:rPr>
          <w:rFonts w:ascii="Times New Roman" w:hAnsi="Times New Roman"/>
          <w:color w:val="000000"/>
          <w:szCs w:val="20"/>
        </w:rPr>
        <w:t>надані</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Депозитарній</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установі</w:t>
      </w:r>
      <w:proofErr w:type="spellEnd"/>
      <w:r w:rsidRPr="00E16672">
        <w:rPr>
          <w:rFonts w:ascii="Times New Roman" w:hAnsi="Times New Roman"/>
          <w:color w:val="000000"/>
          <w:szCs w:val="20"/>
        </w:rPr>
        <w:t xml:space="preserve"> без </w:t>
      </w:r>
      <w:proofErr w:type="spellStart"/>
      <w:r w:rsidRPr="00E16672">
        <w:rPr>
          <w:rFonts w:ascii="Times New Roman" w:hAnsi="Times New Roman"/>
          <w:color w:val="000000"/>
          <w:szCs w:val="20"/>
        </w:rPr>
        <w:t>перекручування</w:t>
      </w:r>
      <w:proofErr w:type="spellEnd"/>
      <w:r w:rsidRPr="00E16672">
        <w:rPr>
          <w:rFonts w:ascii="Times New Roman" w:hAnsi="Times New Roman"/>
          <w:color w:val="000000"/>
          <w:szCs w:val="20"/>
        </w:rPr>
        <w:t xml:space="preserve"> та </w:t>
      </w:r>
      <w:proofErr w:type="spellStart"/>
      <w:r w:rsidRPr="00E16672">
        <w:rPr>
          <w:rFonts w:ascii="Times New Roman" w:hAnsi="Times New Roman"/>
          <w:color w:val="000000"/>
          <w:szCs w:val="20"/>
        </w:rPr>
        <w:t>виправлення</w:t>
      </w:r>
      <w:proofErr w:type="spellEnd"/>
      <w:r w:rsidRPr="00E16672">
        <w:rPr>
          <w:rFonts w:ascii="Times New Roman" w:hAnsi="Times New Roman"/>
          <w:color w:val="000000"/>
          <w:szCs w:val="20"/>
        </w:rPr>
        <w:t xml:space="preserve"> тексту, з </w:t>
      </w:r>
      <w:proofErr w:type="spellStart"/>
      <w:r w:rsidRPr="00E16672">
        <w:rPr>
          <w:rFonts w:ascii="Times New Roman" w:hAnsi="Times New Roman"/>
          <w:color w:val="000000"/>
          <w:szCs w:val="20"/>
        </w:rPr>
        <w:t>чітким</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відбитком</w:t>
      </w:r>
      <w:proofErr w:type="spellEnd"/>
      <w:r w:rsidRPr="00E16672">
        <w:rPr>
          <w:rFonts w:ascii="Times New Roman" w:hAnsi="Times New Roman"/>
          <w:color w:val="000000"/>
          <w:szCs w:val="20"/>
        </w:rPr>
        <w:t xml:space="preserve"> печатки (</w:t>
      </w:r>
      <w:r w:rsidR="003352AE" w:rsidRPr="00E16672">
        <w:rPr>
          <w:rFonts w:ascii="Times New Roman" w:hAnsi="Times New Roman"/>
          <w:color w:val="000000"/>
          <w:szCs w:val="20"/>
        </w:rPr>
        <w:t xml:space="preserve">у </w:t>
      </w:r>
      <w:proofErr w:type="spellStart"/>
      <w:r w:rsidR="003352AE" w:rsidRPr="00E16672">
        <w:rPr>
          <w:rFonts w:ascii="Times New Roman" w:hAnsi="Times New Roman"/>
          <w:color w:val="000000"/>
          <w:szCs w:val="20"/>
        </w:rPr>
        <w:t>разі</w:t>
      </w:r>
      <w:proofErr w:type="spellEnd"/>
      <w:r w:rsidR="003352AE" w:rsidRPr="00E16672">
        <w:rPr>
          <w:rFonts w:ascii="Times New Roman" w:hAnsi="Times New Roman"/>
          <w:color w:val="000000"/>
          <w:szCs w:val="20"/>
        </w:rPr>
        <w:t xml:space="preserve"> </w:t>
      </w:r>
      <w:proofErr w:type="spellStart"/>
      <w:r w:rsidR="003352AE" w:rsidRPr="00E16672">
        <w:rPr>
          <w:rFonts w:ascii="Times New Roman" w:hAnsi="Times New Roman"/>
          <w:color w:val="000000"/>
          <w:szCs w:val="20"/>
        </w:rPr>
        <w:t>використання</w:t>
      </w:r>
      <w:proofErr w:type="spellEnd"/>
      <w:r w:rsidRPr="00E16672">
        <w:rPr>
          <w:rFonts w:ascii="Times New Roman" w:hAnsi="Times New Roman"/>
          <w:color w:val="000000"/>
          <w:szCs w:val="20"/>
        </w:rPr>
        <w:t xml:space="preserve">) за </w:t>
      </w:r>
      <w:proofErr w:type="spellStart"/>
      <w:r w:rsidRPr="00E16672">
        <w:rPr>
          <w:rFonts w:ascii="Times New Roman" w:hAnsi="Times New Roman"/>
          <w:color w:val="000000"/>
          <w:szCs w:val="20"/>
        </w:rPr>
        <w:t>підписом</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розпорядника</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рахунком</w:t>
      </w:r>
      <w:proofErr w:type="spellEnd"/>
      <w:r w:rsidRPr="00E16672">
        <w:rPr>
          <w:rFonts w:ascii="Times New Roman" w:hAnsi="Times New Roman"/>
          <w:color w:val="000000"/>
          <w:szCs w:val="20"/>
        </w:rPr>
        <w:t>.</w:t>
      </w:r>
    </w:p>
    <w:p w14:paraId="02399DDA" w14:textId="77777777" w:rsidR="007974E8" w:rsidRPr="00E16672" w:rsidRDefault="007974E8" w:rsidP="007974E8">
      <w:pPr>
        <w:ind w:left="-12" w:firstLine="564"/>
        <w:rPr>
          <w:rFonts w:ascii="Times New Roman" w:hAnsi="Times New Roman"/>
          <w:color w:val="000000"/>
          <w:szCs w:val="20"/>
        </w:rPr>
      </w:pPr>
      <w:r w:rsidRPr="00E16672">
        <w:rPr>
          <w:rFonts w:ascii="Times New Roman" w:hAnsi="Times New Roman"/>
          <w:color w:val="000000"/>
          <w:szCs w:val="20"/>
        </w:rPr>
        <w:t xml:space="preserve">3.7. </w:t>
      </w:r>
      <w:proofErr w:type="spellStart"/>
      <w:r w:rsidRPr="00E16672">
        <w:rPr>
          <w:rFonts w:ascii="Times New Roman" w:hAnsi="Times New Roman"/>
          <w:color w:val="000000"/>
          <w:szCs w:val="20"/>
        </w:rPr>
        <w:t>Розпорядження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Керуючого</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рахунком</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повинні</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повністю</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розкривати</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зміст</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виконання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операцій</w:t>
      </w:r>
      <w:proofErr w:type="spellEnd"/>
      <w:r w:rsidRPr="00E16672">
        <w:rPr>
          <w:rFonts w:ascii="Times New Roman" w:hAnsi="Times New Roman"/>
          <w:color w:val="000000"/>
          <w:szCs w:val="20"/>
        </w:rPr>
        <w:t xml:space="preserve"> з </w:t>
      </w:r>
      <w:proofErr w:type="spellStart"/>
      <w:r w:rsidRPr="00E16672">
        <w:rPr>
          <w:rFonts w:ascii="Times New Roman" w:hAnsi="Times New Roman"/>
          <w:color w:val="000000"/>
          <w:szCs w:val="20"/>
        </w:rPr>
        <w:t>рахунком</w:t>
      </w:r>
      <w:proofErr w:type="spellEnd"/>
      <w:r w:rsidRPr="00E16672">
        <w:rPr>
          <w:rFonts w:ascii="Times New Roman" w:hAnsi="Times New Roman"/>
          <w:color w:val="000000"/>
          <w:szCs w:val="20"/>
        </w:rPr>
        <w:t xml:space="preserve"> в </w:t>
      </w:r>
      <w:proofErr w:type="spellStart"/>
      <w:r w:rsidRPr="00E16672">
        <w:rPr>
          <w:rFonts w:ascii="Times New Roman" w:hAnsi="Times New Roman"/>
          <w:color w:val="000000"/>
          <w:szCs w:val="20"/>
        </w:rPr>
        <w:t>цінних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паперах</w:t>
      </w:r>
      <w:proofErr w:type="spellEnd"/>
      <w:r w:rsidRPr="00E16672">
        <w:rPr>
          <w:rFonts w:ascii="Times New Roman" w:hAnsi="Times New Roman"/>
          <w:color w:val="000000"/>
          <w:szCs w:val="20"/>
        </w:rPr>
        <w:t xml:space="preserve"> та </w:t>
      </w:r>
      <w:proofErr w:type="spellStart"/>
      <w:r w:rsidRPr="00E16672">
        <w:rPr>
          <w:rFonts w:ascii="Times New Roman" w:hAnsi="Times New Roman"/>
          <w:color w:val="000000"/>
          <w:szCs w:val="20"/>
        </w:rPr>
        <w:t>відповідати</w:t>
      </w:r>
      <w:proofErr w:type="spellEnd"/>
      <w:r w:rsidRPr="00E16672">
        <w:rPr>
          <w:rFonts w:ascii="Times New Roman" w:hAnsi="Times New Roman"/>
          <w:color w:val="000000"/>
          <w:szCs w:val="20"/>
        </w:rPr>
        <w:t xml:space="preserve"> чинному </w:t>
      </w:r>
      <w:proofErr w:type="spellStart"/>
      <w:r w:rsidRPr="00E16672">
        <w:rPr>
          <w:rFonts w:ascii="Times New Roman" w:hAnsi="Times New Roman"/>
          <w:color w:val="000000"/>
          <w:szCs w:val="20"/>
        </w:rPr>
        <w:t>законодавству</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України</w:t>
      </w:r>
      <w:proofErr w:type="spellEnd"/>
      <w:r w:rsidRPr="00E16672">
        <w:rPr>
          <w:rFonts w:ascii="Times New Roman" w:hAnsi="Times New Roman"/>
          <w:color w:val="000000"/>
          <w:szCs w:val="20"/>
        </w:rPr>
        <w:t>.</w:t>
      </w:r>
    </w:p>
    <w:p w14:paraId="77695935" w14:textId="77777777" w:rsidR="007974E8" w:rsidRPr="00E16672" w:rsidRDefault="007974E8" w:rsidP="007974E8">
      <w:pPr>
        <w:ind w:left="-12" w:firstLine="564"/>
        <w:rPr>
          <w:rFonts w:ascii="Times New Roman" w:hAnsi="Times New Roman"/>
          <w:color w:val="000000"/>
          <w:szCs w:val="20"/>
          <w:lang w:val="uk-UA"/>
        </w:rPr>
      </w:pPr>
      <w:r w:rsidRPr="00E16672">
        <w:rPr>
          <w:rFonts w:ascii="Times New Roman" w:hAnsi="Times New Roman"/>
          <w:color w:val="000000"/>
          <w:szCs w:val="20"/>
        </w:rPr>
        <w:t xml:space="preserve">3.8. </w:t>
      </w:r>
      <w:r w:rsidRPr="00E16672">
        <w:rPr>
          <w:rFonts w:ascii="Times New Roman" w:hAnsi="Times New Roman"/>
          <w:color w:val="000000"/>
          <w:szCs w:val="20"/>
          <w:lang w:val="uk-UA"/>
        </w:rPr>
        <w:t xml:space="preserve">Розпорядження виконується Депозитарною установою </w:t>
      </w:r>
      <w:proofErr w:type="gramStart"/>
      <w:r w:rsidRPr="00E16672">
        <w:rPr>
          <w:rFonts w:ascii="Times New Roman" w:hAnsi="Times New Roman"/>
          <w:color w:val="000000"/>
          <w:szCs w:val="20"/>
          <w:lang w:val="uk-UA"/>
        </w:rPr>
        <w:t>у порядку</w:t>
      </w:r>
      <w:proofErr w:type="gramEnd"/>
      <w:r w:rsidRPr="00E16672">
        <w:rPr>
          <w:rFonts w:ascii="Times New Roman" w:hAnsi="Times New Roman"/>
          <w:color w:val="000000"/>
          <w:szCs w:val="20"/>
          <w:lang w:val="uk-UA"/>
        </w:rPr>
        <w:t xml:space="preserve">, передбаченому внутрішніми документами Депозитарної установи. </w:t>
      </w:r>
    </w:p>
    <w:p w14:paraId="1F903C1F" w14:textId="77777777" w:rsidR="007974E8" w:rsidRPr="00E16672" w:rsidRDefault="007974E8" w:rsidP="007974E8">
      <w:pPr>
        <w:ind w:firstLine="585"/>
        <w:rPr>
          <w:rFonts w:ascii="Times New Roman" w:hAnsi="Times New Roman"/>
          <w:color w:val="000000"/>
          <w:szCs w:val="20"/>
          <w:lang w:val="uk-UA"/>
        </w:rPr>
      </w:pPr>
      <w:r w:rsidRPr="00E16672">
        <w:rPr>
          <w:rFonts w:ascii="Times New Roman" w:hAnsi="Times New Roman"/>
          <w:color w:val="000000"/>
          <w:szCs w:val="20"/>
          <w:lang w:val="uk-UA"/>
        </w:rPr>
        <w:t xml:space="preserve">Депозитарні операції (крім операції відкриття та закриття рахунку </w:t>
      </w:r>
      <w:r w:rsidR="00C22309" w:rsidRPr="00E16672">
        <w:rPr>
          <w:rFonts w:ascii="Times New Roman" w:hAnsi="Times New Roman"/>
          <w:color w:val="000000"/>
          <w:szCs w:val="20"/>
          <w:lang w:val="uk-UA"/>
        </w:rPr>
        <w:t>в цін</w:t>
      </w:r>
      <w:r w:rsidRPr="00E16672">
        <w:rPr>
          <w:rFonts w:ascii="Times New Roman" w:hAnsi="Times New Roman"/>
          <w:color w:val="000000"/>
          <w:szCs w:val="20"/>
          <w:lang w:val="uk-UA"/>
        </w:rPr>
        <w:t xml:space="preserve">них паперах) виконуються Депозитарною установою не пізніше </w:t>
      </w:r>
      <w:r w:rsidRPr="00E16672">
        <w:rPr>
          <w:rFonts w:ascii="Times New Roman" w:hAnsi="Times New Roman"/>
          <w:i/>
          <w:iCs/>
          <w:color w:val="000000"/>
          <w:szCs w:val="20"/>
          <w:lang w:val="uk-UA"/>
        </w:rPr>
        <w:t xml:space="preserve">трьох </w:t>
      </w:r>
      <w:r w:rsidRPr="00E16672">
        <w:rPr>
          <w:rFonts w:ascii="Times New Roman" w:hAnsi="Times New Roman"/>
          <w:color w:val="000000"/>
          <w:szCs w:val="20"/>
          <w:lang w:val="uk-UA"/>
        </w:rPr>
        <w:t>робочих днів з дати прийняття розпорядження та/або документів, що є підставою для здійснення цих операцій.</w:t>
      </w:r>
    </w:p>
    <w:p w14:paraId="7B5F3106" w14:textId="77777777" w:rsidR="007974E8" w:rsidRPr="00E16672" w:rsidRDefault="007974E8" w:rsidP="007974E8">
      <w:pPr>
        <w:ind w:firstLine="585"/>
        <w:rPr>
          <w:rFonts w:ascii="Times New Roman" w:hAnsi="Times New Roman"/>
          <w:color w:val="000000"/>
          <w:szCs w:val="20"/>
          <w:lang w:val="uk-UA"/>
        </w:rPr>
      </w:pPr>
      <w:r w:rsidRPr="00E16672">
        <w:rPr>
          <w:rFonts w:ascii="Times New Roman" w:hAnsi="Times New Roman"/>
          <w:color w:val="000000"/>
          <w:lang w:val="uk-UA"/>
        </w:rPr>
        <w:t xml:space="preserve">Відкриття рахунку в цінних паперах Депозитарною установою здійснюється після укладання Договору з Депонентом не пізніше </w:t>
      </w:r>
      <w:r w:rsidRPr="00E16672">
        <w:rPr>
          <w:rFonts w:ascii="Times New Roman" w:hAnsi="Times New Roman"/>
          <w:i/>
          <w:iCs/>
          <w:color w:val="000000"/>
          <w:lang w:val="uk-UA"/>
        </w:rPr>
        <w:t>п'яти</w:t>
      </w:r>
      <w:r w:rsidRPr="00E16672">
        <w:rPr>
          <w:rFonts w:ascii="Times New Roman" w:hAnsi="Times New Roman"/>
          <w:color w:val="000000"/>
          <w:lang w:val="uk-UA"/>
        </w:rPr>
        <w:t xml:space="preserve"> робочих днів </w:t>
      </w:r>
      <w:r w:rsidRPr="00E16672">
        <w:rPr>
          <w:rFonts w:ascii="Times New Roman" w:hAnsi="Times New Roman"/>
          <w:color w:val="000000"/>
          <w:szCs w:val="20"/>
          <w:lang w:val="uk-UA"/>
        </w:rPr>
        <w:t>з дня отримання документів, передбачених законодавством та внутрішніми документами Депозитарної установи для відкриття рахунку в цінних паперах, та після проведення ідентифікації та верифікації.</w:t>
      </w:r>
    </w:p>
    <w:p w14:paraId="0DE8A320" w14:textId="77777777" w:rsidR="007974E8" w:rsidRPr="00E16672" w:rsidRDefault="007974E8" w:rsidP="007974E8">
      <w:pPr>
        <w:pStyle w:val="ab"/>
        <w:ind w:left="-12" w:firstLine="564"/>
        <w:jc w:val="both"/>
        <w:rPr>
          <w:rFonts w:ascii="Times New Roman" w:hAnsi="Times New Roman"/>
          <w:b w:val="0"/>
          <w:color w:val="000000"/>
        </w:rPr>
      </w:pPr>
      <w:r w:rsidRPr="00E16672">
        <w:rPr>
          <w:rFonts w:ascii="Times New Roman" w:hAnsi="Times New Roman"/>
          <w:b w:val="0"/>
          <w:color w:val="000000"/>
        </w:rPr>
        <w:t xml:space="preserve">Закриття рахунку </w:t>
      </w:r>
      <w:r w:rsidR="00C22309" w:rsidRPr="00E16672">
        <w:rPr>
          <w:rFonts w:ascii="Times New Roman" w:hAnsi="Times New Roman"/>
          <w:b w:val="0"/>
          <w:color w:val="000000"/>
        </w:rPr>
        <w:t>в цін</w:t>
      </w:r>
      <w:r w:rsidRPr="00E16672">
        <w:rPr>
          <w:rFonts w:ascii="Times New Roman" w:hAnsi="Times New Roman"/>
          <w:b w:val="0"/>
          <w:color w:val="000000"/>
        </w:rPr>
        <w:t xml:space="preserve">них паперах здійснюється  Депозитарною установою не пізніше </w:t>
      </w:r>
      <w:r w:rsidRPr="00E16672">
        <w:rPr>
          <w:rFonts w:ascii="Times New Roman" w:hAnsi="Times New Roman"/>
          <w:b w:val="0"/>
          <w:i/>
          <w:iCs/>
          <w:color w:val="000000"/>
        </w:rPr>
        <w:t>п'яти</w:t>
      </w:r>
      <w:r w:rsidRPr="00E16672">
        <w:rPr>
          <w:rFonts w:ascii="Times New Roman" w:hAnsi="Times New Roman"/>
          <w:b w:val="0"/>
          <w:color w:val="000000"/>
        </w:rPr>
        <w:t xml:space="preserve"> робочих днів з дати прийняття розпорядження та/або документів, що є підставою для здійснення цієї операції.</w:t>
      </w:r>
    </w:p>
    <w:p w14:paraId="30C6C47D" w14:textId="77777777" w:rsidR="007974E8" w:rsidRPr="00E16672" w:rsidRDefault="007974E8" w:rsidP="007974E8">
      <w:pPr>
        <w:ind w:firstLine="561"/>
        <w:rPr>
          <w:rFonts w:ascii="Times New Roman" w:hAnsi="Times New Roman"/>
          <w:color w:val="000000"/>
          <w:szCs w:val="20"/>
        </w:rPr>
      </w:pPr>
      <w:r w:rsidRPr="00E16672">
        <w:rPr>
          <w:rFonts w:ascii="Times New Roman" w:hAnsi="Times New Roman"/>
          <w:color w:val="000000"/>
          <w:szCs w:val="20"/>
        </w:rPr>
        <w:t xml:space="preserve">3.9. У </w:t>
      </w:r>
      <w:proofErr w:type="spellStart"/>
      <w:r w:rsidRPr="00E16672">
        <w:rPr>
          <w:rFonts w:ascii="Times New Roman" w:hAnsi="Times New Roman"/>
          <w:color w:val="000000"/>
          <w:szCs w:val="20"/>
        </w:rPr>
        <w:t>випадках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установлених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законодавством</w:t>
      </w:r>
      <w:proofErr w:type="spellEnd"/>
      <w:r w:rsidRPr="00E16672">
        <w:rPr>
          <w:rFonts w:ascii="Times New Roman" w:hAnsi="Times New Roman"/>
          <w:color w:val="000000"/>
          <w:szCs w:val="20"/>
        </w:rPr>
        <w:t xml:space="preserve"> (у </w:t>
      </w:r>
      <w:proofErr w:type="spellStart"/>
      <w:r w:rsidRPr="00E16672">
        <w:rPr>
          <w:rFonts w:ascii="Times New Roman" w:hAnsi="Times New Roman"/>
          <w:color w:val="000000"/>
          <w:szCs w:val="20"/>
        </w:rPr>
        <w:t>разі</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необхідності</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Депозитарна</w:t>
      </w:r>
      <w:proofErr w:type="spellEnd"/>
      <w:r w:rsidRPr="00E16672">
        <w:rPr>
          <w:rFonts w:ascii="Times New Roman" w:hAnsi="Times New Roman"/>
          <w:color w:val="000000"/>
          <w:szCs w:val="20"/>
        </w:rPr>
        <w:t xml:space="preserve"> </w:t>
      </w:r>
      <w:proofErr w:type="spellStart"/>
      <w:proofErr w:type="gramStart"/>
      <w:r w:rsidRPr="00E16672">
        <w:rPr>
          <w:rFonts w:ascii="Times New Roman" w:hAnsi="Times New Roman"/>
          <w:color w:val="000000"/>
          <w:szCs w:val="20"/>
        </w:rPr>
        <w:t>установа</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повідомляє</w:t>
      </w:r>
      <w:proofErr w:type="spellEnd"/>
      <w:proofErr w:type="gram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Керуючого</w:t>
      </w:r>
      <w:proofErr w:type="spellEnd"/>
      <w:r w:rsidRPr="00E16672">
        <w:rPr>
          <w:rFonts w:ascii="Times New Roman" w:hAnsi="Times New Roman"/>
          <w:color w:val="000000"/>
          <w:szCs w:val="20"/>
        </w:rPr>
        <w:t xml:space="preserve"> про </w:t>
      </w:r>
      <w:proofErr w:type="spellStart"/>
      <w:r w:rsidRPr="00E16672">
        <w:rPr>
          <w:rFonts w:ascii="Times New Roman" w:hAnsi="Times New Roman"/>
          <w:color w:val="000000"/>
          <w:szCs w:val="20"/>
        </w:rPr>
        <w:t>прийняття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розпорядження</w:t>
      </w:r>
      <w:proofErr w:type="spellEnd"/>
      <w:r w:rsidRPr="00E16672">
        <w:rPr>
          <w:rFonts w:ascii="Times New Roman" w:hAnsi="Times New Roman"/>
          <w:color w:val="000000"/>
          <w:szCs w:val="20"/>
        </w:rPr>
        <w:t xml:space="preserve"> до </w:t>
      </w:r>
      <w:proofErr w:type="spellStart"/>
      <w:r w:rsidRPr="00E16672">
        <w:rPr>
          <w:rFonts w:ascii="Times New Roman" w:hAnsi="Times New Roman"/>
          <w:color w:val="000000"/>
          <w:szCs w:val="20"/>
        </w:rPr>
        <w:t>виконання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або</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надає</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вмотивовану</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відповідь</w:t>
      </w:r>
      <w:proofErr w:type="spellEnd"/>
      <w:r w:rsidRPr="00E16672">
        <w:rPr>
          <w:rFonts w:ascii="Times New Roman" w:hAnsi="Times New Roman"/>
          <w:color w:val="000000"/>
          <w:szCs w:val="20"/>
        </w:rPr>
        <w:t xml:space="preserve"> про </w:t>
      </w:r>
      <w:proofErr w:type="spellStart"/>
      <w:r w:rsidRPr="00E16672">
        <w:rPr>
          <w:rFonts w:ascii="Times New Roman" w:hAnsi="Times New Roman"/>
          <w:color w:val="000000"/>
          <w:szCs w:val="20"/>
        </w:rPr>
        <w:t>відмову</w:t>
      </w:r>
      <w:proofErr w:type="spellEnd"/>
      <w:r w:rsidRPr="00E16672">
        <w:rPr>
          <w:rFonts w:ascii="Times New Roman" w:hAnsi="Times New Roman"/>
          <w:color w:val="000000"/>
          <w:szCs w:val="20"/>
        </w:rPr>
        <w:t xml:space="preserve"> у </w:t>
      </w:r>
      <w:proofErr w:type="spellStart"/>
      <w:r w:rsidRPr="00E16672">
        <w:rPr>
          <w:rFonts w:ascii="Times New Roman" w:hAnsi="Times New Roman"/>
          <w:color w:val="000000"/>
          <w:szCs w:val="20"/>
        </w:rPr>
        <w:t>прийнятті</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Повідомлення</w:t>
      </w:r>
      <w:proofErr w:type="spellEnd"/>
      <w:r w:rsidRPr="00E16672">
        <w:rPr>
          <w:rFonts w:ascii="Times New Roman" w:hAnsi="Times New Roman"/>
          <w:color w:val="000000"/>
          <w:szCs w:val="20"/>
        </w:rPr>
        <w:t xml:space="preserve"> про </w:t>
      </w:r>
      <w:proofErr w:type="spellStart"/>
      <w:r w:rsidRPr="00E16672">
        <w:rPr>
          <w:rFonts w:ascii="Times New Roman" w:hAnsi="Times New Roman"/>
          <w:color w:val="000000"/>
          <w:szCs w:val="20"/>
        </w:rPr>
        <w:t>прийняття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розпорядження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або</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відповідь</w:t>
      </w:r>
      <w:proofErr w:type="spellEnd"/>
      <w:r w:rsidRPr="00E16672">
        <w:rPr>
          <w:rFonts w:ascii="Times New Roman" w:hAnsi="Times New Roman"/>
          <w:color w:val="000000"/>
          <w:szCs w:val="20"/>
        </w:rPr>
        <w:t xml:space="preserve"> про </w:t>
      </w:r>
      <w:proofErr w:type="spellStart"/>
      <w:proofErr w:type="gramStart"/>
      <w:r w:rsidRPr="00E16672">
        <w:rPr>
          <w:rFonts w:ascii="Times New Roman" w:hAnsi="Times New Roman"/>
          <w:color w:val="000000"/>
          <w:szCs w:val="20"/>
        </w:rPr>
        <w:t>відмову</w:t>
      </w:r>
      <w:proofErr w:type="spellEnd"/>
      <w:r w:rsidRPr="00E16672">
        <w:rPr>
          <w:rFonts w:ascii="Times New Roman" w:hAnsi="Times New Roman"/>
          <w:color w:val="000000"/>
          <w:szCs w:val="20"/>
        </w:rPr>
        <w:t xml:space="preserve">  у</w:t>
      </w:r>
      <w:proofErr w:type="gram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прийнятті</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можє</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надаватись</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особисто</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засобами</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електронної</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пошти</w:t>
      </w:r>
      <w:proofErr w:type="spellEnd"/>
      <w:r w:rsidRPr="00E16672">
        <w:rPr>
          <w:rFonts w:ascii="Times New Roman" w:hAnsi="Times New Roman"/>
          <w:color w:val="000000"/>
          <w:szCs w:val="20"/>
        </w:rPr>
        <w:t xml:space="preserve">, факсом, </w:t>
      </w:r>
      <w:proofErr w:type="spellStart"/>
      <w:r w:rsidRPr="00E16672">
        <w:rPr>
          <w:rFonts w:ascii="Times New Roman" w:hAnsi="Times New Roman"/>
          <w:color w:val="000000"/>
          <w:szCs w:val="20"/>
        </w:rPr>
        <w:t>поштовим</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відправленням</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кур’єром</w:t>
      </w:r>
      <w:proofErr w:type="spellEnd"/>
      <w:r w:rsidRPr="00E16672">
        <w:rPr>
          <w:rFonts w:ascii="Times New Roman" w:hAnsi="Times New Roman"/>
          <w:color w:val="000000"/>
          <w:szCs w:val="20"/>
        </w:rPr>
        <w:t xml:space="preserve">, у </w:t>
      </w:r>
      <w:proofErr w:type="spellStart"/>
      <w:r w:rsidRPr="00E16672">
        <w:rPr>
          <w:rFonts w:ascii="Times New Roman" w:hAnsi="Times New Roman"/>
          <w:color w:val="000000"/>
          <w:szCs w:val="20"/>
        </w:rPr>
        <w:t>формі</w:t>
      </w:r>
      <w:proofErr w:type="spellEnd"/>
      <w:r w:rsidRPr="00E16672">
        <w:rPr>
          <w:rFonts w:ascii="Times New Roman" w:hAnsi="Times New Roman"/>
          <w:color w:val="000000"/>
          <w:szCs w:val="20"/>
        </w:rPr>
        <w:t xml:space="preserve"> S.W.I.F.T. – </w:t>
      </w:r>
      <w:proofErr w:type="spellStart"/>
      <w:r w:rsidRPr="00E16672">
        <w:rPr>
          <w:rFonts w:ascii="Times New Roman" w:hAnsi="Times New Roman"/>
          <w:color w:val="000000"/>
          <w:szCs w:val="20"/>
        </w:rPr>
        <w:t>повідомлень</w:t>
      </w:r>
      <w:proofErr w:type="spellEnd"/>
      <w:r w:rsidRPr="00E16672">
        <w:rPr>
          <w:rFonts w:ascii="Times New Roman" w:hAnsi="Times New Roman"/>
          <w:color w:val="000000"/>
          <w:szCs w:val="20"/>
        </w:rPr>
        <w:t xml:space="preserve">, у </w:t>
      </w:r>
      <w:proofErr w:type="spellStart"/>
      <w:r w:rsidRPr="00E16672">
        <w:rPr>
          <w:rFonts w:ascii="Times New Roman" w:hAnsi="Times New Roman"/>
          <w:color w:val="000000"/>
          <w:szCs w:val="20"/>
        </w:rPr>
        <w:t>формі</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електронних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документів</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тощо</w:t>
      </w:r>
      <w:proofErr w:type="spellEnd"/>
      <w:r w:rsidRPr="00E16672">
        <w:rPr>
          <w:rFonts w:ascii="Times New Roman" w:hAnsi="Times New Roman"/>
          <w:color w:val="000000"/>
          <w:szCs w:val="20"/>
        </w:rPr>
        <w:t xml:space="preserve">. У </w:t>
      </w:r>
      <w:proofErr w:type="spellStart"/>
      <w:r w:rsidRPr="00E16672">
        <w:rPr>
          <w:rFonts w:ascii="Times New Roman" w:hAnsi="Times New Roman"/>
          <w:color w:val="000000"/>
          <w:szCs w:val="20"/>
        </w:rPr>
        <w:t>якості</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повідомлення</w:t>
      </w:r>
      <w:proofErr w:type="spellEnd"/>
      <w:r w:rsidRPr="00E16672">
        <w:rPr>
          <w:rFonts w:ascii="Times New Roman" w:hAnsi="Times New Roman"/>
          <w:color w:val="000000"/>
          <w:szCs w:val="20"/>
        </w:rPr>
        <w:t xml:space="preserve"> про </w:t>
      </w:r>
      <w:proofErr w:type="spellStart"/>
      <w:r w:rsidRPr="00E16672">
        <w:rPr>
          <w:rFonts w:ascii="Times New Roman" w:hAnsi="Times New Roman"/>
          <w:color w:val="000000"/>
          <w:szCs w:val="20"/>
        </w:rPr>
        <w:t>прийняття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розпорядження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може</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надаватися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виписка</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довідка</w:t>
      </w:r>
      <w:proofErr w:type="spellEnd"/>
      <w:r w:rsidRPr="00E16672">
        <w:rPr>
          <w:rFonts w:ascii="Times New Roman" w:hAnsi="Times New Roman"/>
          <w:color w:val="000000"/>
          <w:szCs w:val="20"/>
        </w:rPr>
        <w:t xml:space="preserve">) з </w:t>
      </w:r>
      <w:proofErr w:type="spellStart"/>
      <w:r w:rsidRPr="00E16672">
        <w:rPr>
          <w:rFonts w:ascii="Times New Roman" w:hAnsi="Times New Roman"/>
          <w:color w:val="000000"/>
          <w:szCs w:val="20"/>
        </w:rPr>
        <w:t>рахунку</w:t>
      </w:r>
      <w:proofErr w:type="spellEnd"/>
      <w:r w:rsidRPr="00E16672">
        <w:rPr>
          <w:rFonts w:ascii="Times New Roman" w:hAnsi="Times New Roman"/>
          <w:color w:val="000000"/>
          <w:szCs w:val="20"/>
        </w:rPr>
        <w:t xml:space="preserve"> </w:t>
      </w:r>
      <w:r w:rsidR="00C22309" w:rsidRPr="00E16672">
        <w:rPr>
          <w:rFonts w:ascii="Times New Roman" w:hAnsi="Times New Roman"/>
          <w:color w:val="000000"/>
          <w:szCs w:val="20"/>
        </w:rPr>
        <w:t xml:space="preserve">в </w:t>
      </w:r>
      <w:proofErr w:type="spellStart"/>
      <w:r w:rsidR="00C22309" w:rsidRPr="00E16672">
        <w:rPr>
          <w:rFonts w:ascii="Times New Roman" w:hAnsi="Times New Roman"/>
          <w:color w:val="000000"/>
          <w:szCs w:val="20"/>
        </w:rPr>
        <w:t>цін</w:t>
      </w:r>
      <w:r w:rsidRPr="00E16672">
        <w:rPr>
          <w:rFonts w:ascii="Times New Roman" w:hAnsi="Times New Roman"/>
          <w:color w:val="000000"/>
          <w:szCs w:val="20"/>
        </w:rPr>
        <w:t>них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паперах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свідоцтво</w:t>
      </w:r>
      <w:proofErr w:type="spellEnd"/>
      <w:r w:rsidRPr="00E16672">
        <w:rPr>
          <w:rFonts w:ascii="Times New Roman" w:hAnsi="Times New Roman"/>
          <w:color w:val="000000"/>
          <w:szCs w:val="20"/>
        </w:rPr>
        <w:t xml:space="preserve"> про </w:t>
      </w:r>
      <w:proofErr w:type="spellStart"/>
      <w:r w:rsidRPr="00E16672">
        <w:rPr>
          <w:rFonts w:ascii="Times New Roman" w:hAnsi="Times New Roman"/>
          <w:color w:val="000000"/>
          <w:szCs w:val="20"/>
        </w:rPr>
        <w:t>закриття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рахунку</w:t>
      </w:r>
      <w:proofErr w:type="spellEnd"/>
      <w:r w:rsidRPr="00E16672">
        <w:rPr>
          <w:rFonts w:ascii="Times New Roman" w:hAnsi="Times New Roman"/>
          <w:color w:val="000000"/>
          <w:szCs w:val="20"/>
        </w:rPr>
        <w:t xml:space="preserve"> </w:t>
      </w:r>
      <w:r w:rsidR="00C22309" w:rsidRPr="00E16672">
        <w:rPr>
          <w:rFonts w:ascii="Times New Roman" w:hAnsi="Times New Roman"/>
          <w:color w:val="000000"/>
          <w:szCs w:val="20"/>
        </w:rPr>
        <w:t xml:space="preserve">в </w:t>
      </w:r>
      <w:proofErr w:type="spellStart"/>
      <w:r w:rsidR="00C22309" w:rsidRPr="00E16672">
        <w:rPr>
          <w:rFonts w:ascii="Times New Roman" w:hAnsi="Times New Roman"/>
          <w:color w:val="000000"/>
          <w:szCs w:val="20"/>
        </w:rPr>
        <w:t>цін</w:t>
      </w:r>
      <w:r w:rsidRPr="00E16672">
        <w:rPr>
          <w:rFonts w:ascii="Times New Roman" w:hAnsi="Times New Roman"/>
          <w:color w:val="000000"/>
          <w:szCs w:val="20"/>
        </w:rPr>
        <w:t>них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паперах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або</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інший</w:t>
      </w:r>
      <w:proofErr w:type="spellEnd"/>
      <w:r w:rsidRPr="00E16672">
        <w:rPr>
          <w:rFonts w:ascii="Times New Roman" w:hAnsi="Times New Roman"/>
          <w:color w:val="000000"/>
          <w:szCs w:val="20"/>
        </w:rPr>
        <w:t xml:space="preserve"> документ </w:t>
      </w:r>
      <w:proofErr w:type="spellStart"/>
      <w:r w:rsidRPr="00E16672">
        <w:rPr>
          <w:rFonts w:ascii="Times New Roman" w:hAnsi="Times New Roman"/>
          <w:color w:val="000000"/>
          <w:szCs w:val="20"/>
        </w:rPr>
        <w:t>згідно</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внутрішніх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документів</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Депозитарної</w:t>
      </w:r>
      <w:proofErr w:type="spellEnd"/>
      <w:r w:rsidRPr="00E16672">
        <w:rPr>
          <w:rFonts w:ascii="Times New Roman" w:hAnsi="Times New Roman"/>
          <w:color w:val="000000"/>
          <w:szCs w:val="20"/>
        </w:rPr>
        <w:t xml:space="preserve"> установи, </w:t>
      </w:r>
      <w:proofErr w:type="spellStart"/>
      <w:r w:rsidRPr="00E16672">
        <w:rPr>
          <w:rFonts w:ascii="Times New Roman" w:hAnsi="Times New Roman"/>
          <w:color w:val="000000"/>
          <w:szCs w:val="20"/>
        </w:rPr>
        <w:t>що</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підтверджує</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виконання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розпорядження</w:t>
      </w:r>
      <w:proofErr w:type="spellEnd"/>
      <w:r w:rsidRPr="00E16672">
        <w:rPr>
          <w:rFonts w:ascii="Times New Roman" w:hAnsi="Times New Roman"/>
          <w:color w:val="000000"/>
          <w:szCs w:val="20"/>
        </w:rPr>
        <w:t>.</w:t>
      </w:r>
    </w:p>
    <w:p w14:paraId="546CBC49" w14:textId="77777777" w:rsidR="007974E8" w:rsidRPr="00E16672" w:rsidRDefault="007974E8" w:rsidP="007974E8">
      <w:pPr>
        <w:ind w:firstLine="561"/>
        <w:rPr>
          <w:rFonts w:ascii="Times New Roman" w:hAnsi="Times New Roman"/>
          <w:color w:val="000000"/>
          <w:szCs w:val="20"/>
        </w:rPr>
      </w:pPr>
      <w:r w:rsidRPr="00E16672">
        <w:rPr>
          <w:rFonts w:ascii="Times New Roman" w:hAnsi="Times New Roman"/>
          <w:color w:val="000000"/>
          <w:szCs w:val="20"/>
        </w:rPr>
        <w:t xml:space="preserve">3.10. </w:t>
      </w:r>
      <w:proofErr w:type="spellStart"/>
      <w:r w:rsidRPr="00E16672">
        <w:rPr>
          <w:rFonts w:ascii="Times New Roman" w:hAnsi="Times New Roman"/>
          <w:color w:val="000000"/>
          <w:szCs w:val="20"/>
        </w:rPr>
        <w:t>Облікові</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операції</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які</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були</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ініційовані</w:t>
      </w:r>
      <w:proofErr w:type="spellEnd"/>
      <w:r w:rsidRPr="00E16672">
        <w:rPr>
          <w:rFonts w:ascii="Times New Roman" w:hAnsi="Times New Roman"/>
          <w:color w:val="000000"/>
          <w:szCs w:val="20"/>
        </w:rPr>
        <w:t xml:space="preserve"> Депозитарною </w:t>
      </w:r>
      <w:proofErr w:type="spellStart"/>
      <w:r w:rsidRPr="00E16672">
        <w:rPr>
          <w:rFonts w:ascii="Times New Roman" w:hAnsi="Times New Roman"/>
          <w:color w:val="000000"/>
          <w:szCs w:val="20"/>
        </w:rPr>
        <w:t>установою</w:t>
      </w:r>
      <w:proofErr w:type="spellEnd"/>
      <w:r w:rsidRPr="00E16672">
        <w:rPr>
          <w:rFonts w:ascii="Times New Roman" w:hAnsi="Times New Roman"/>
          <w:color w:val="000000"/>
          <w:szCs w:val="20"/>
        </w:rPr>
        <w:t xml:space="preserve"> у </w:t>
      </w:r>
      <w:proofErr w:type="spellStart"/>
      <w:r w:rsidRPr="00E16672">
        <w:rPr>
          <w:rFonts w:ascii="Times New Roman" w:hAnsi="Times New Roman"/>
          <w:color w:val="000000"/>
          <w:szCs w:val="20"/>
        </w:rPr>
        <w:t>депозитарії</w:t>
      </w:r>
      <w:proofErr w:type="spellEnd"/>
      <w:r w:rsidRPr="00E16672">
        <w:rPr>
          <w:rFonts w:ascii="Times New Roman" w:hAnsi="Times New Roman"/>
          <w:color w:val="000000"/>
          <w:szCs w:val="20"/>
        </w:rPr>
        <w:t xml:space="preserve">, але не </w:t>
      </w:r>
      <w:proofErr w:type="spellStart"/>
      <w:r w:rsidRPr="00E16672">
        <w:rPr>
          <w:rFonts w:ascii="Times New Roman" w:hAnsi="Times New Roman"/>
          <w:color w:val="000000"/>
          <w:szCs w:val="20"/>
        </w:rPr>
        <w:t>були</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завершені</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протягом</w:t>
      </w:r>
      <w:proofErr w:type="spellEnd"/>
      <w:r w:rsidRPr="00E16672">
        <w:rPr>
          <w:rFonts w:ascii="Times New Roman" w:hAnsi="Times New Roman"/>
          <w:color w:val="000000"/>
          <w:szCs w:val="20"/>
        </w:rPr>
        <w:t xml:space="preserve"> </w:t>
      </w:r>
      <w:proofErr w:type="spellStart"/>
      <w:r w:rsidRPr="00E16672">
        <w:rPr>
          <w:rFonts w:ascii="Times New Roman" w:hAnsi="Times New Roman"/>
          <w:i/>
          <w:color w:val="000000"/>
          <w:szCs w:val="20"/>
        </w:rPr>
        <w:t>трьох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робочих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днів</w:t>
      </w:r>
      <w:proofErr w:type="spellEnd"/>
      <w:r w:rsidRPr="00E16672">
        <w:rPr>
          <w:rFonts w:ascii="Times New Roman" w:hAnsi="Times New Roman"/>
          <w:color w:val="000000"/>
          <w:szCs w:val="20"/>
        </w:rPr>
        <w:t xml:space="preserve"> за </w:t>
      </w:r>
      <w:proofErr w:type="spellStart"/>
      <w:r w:rsidRPr="00E16672">
        <w:rPr>
          <w:rFonts w:ascii="Times New Roman" w:hAnsi="Times New Roman"/>
          <w:color w:val="000000"/>
          <w:szCs w:val="20"/>
        </w:rPr>
        <w:t>підстав</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які</w:t>
      </w:r>
      <w:proofErr w:type="spellEnd"/>
      <w:r w:rsidRPr="00E16672">
        <w:rPr>
          <w:rFonts w:ascii="Times New Roman" w:hAnsi="Times New Roman"/>
          <w:color w:val="000000"/>
          <w:szCs w:val="20"/>
        </w:rPr>
        <w:t xml:space="preserve"> не </w:t>
      </w:r>
      <w:proofErr w:type="spellStart"/>
      <w:r w:rsidRPr="00E16672">
        <w:rPr>
          <w:rFonts w:ascii="Times New Roman" w:hAnsi="Times New Roman"/>
          <w:color w:val="000000"/>
          <w:szCs w:val="20"/>
        </w:rPr>
        <w:t>залежать</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від</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Депозитарної</w:t>
      </w:r>
      <w:proofErr w:type="spellEnd"/>
      <w:r w:rsidRPr="00E16672">
        <w:rPr>
          <w:rFonts w:ascii="Times New Roman" w:hAnsi="Times New Roman"/>
          <w:color w:val="000000"/>
          <w:szCs w:val="20"/>
        </w:rPr>
        <w:t xml:space="preserve"> установи (</w:t>
      </w:r>
      <w:proofErr w:type="spellStart"/>
      <w:r w:rsidRPr="00E16672">
        <w:rPr>
          <w:rFonts w:ascii="Times New Roman" w:hAnsi="Times New Roman"/>
          <w:color w:val="000000"/>
          <w:szCs w:val="20"/>
        </w:rPr>
        <w:t>розпорядження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Депозитарної</w:t>
      </w:r>
      <w:proofErr w:type="spellEnd"/>
      <w:r w:rsidRPr="00E16672">
        <w:rPr>
          <w:rFonts w:ascii="Times New Roman" w:hAnsi="Times New Roman"/>
          <w:color w:val="000000"/>
          <w:szCs w:val="20"/>
        </w:rPr>
        <w:t xml:space="preserve"> установи не </w:t>
      </w:r>
      <w:proofErr w:type="spellStart"/>
      <w:r w:rsidRPr="00E16672">
        <w:rPr>
          <w:rFonts w:ascii="Times New Roman" w:hAnsi="Times New Roman"/>
          <w:color w:val="000000"/>
          <w:szCs w:val="20"/>
        </w:rPr>
        <w:t>було</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відповідно</w:t>
      </w:r>
      <w:proofErr w:type="spellEnd"/>
      <w:r w:rsidRPr="00E16672">
        <w:rPr>
          <w:rFonts w:ascii="Times New Roman" w:hAnsi="Times New Roman"/>
          <w:color w:val="000000"/>
          <w:szCs w:val="20"/>
        </w:rPr>
        <w:t xml:space="preserve"> до </w:t>
      </w:r>
      <w:proofErr w:type="spellStart"/>
      <w:r w:rsidRPr="00E16672">
        <w:rPr>
          <w:rFonts w:ascii="Times New Roman" w:hAnsi="Times New Roman"/>
          <w:color w:val="000000"/>
          <w:szCs w:val="20"/>
        </w:rPr>
        <w:t>внутрішніх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документів</w:t>
      </w:r>
      <w:proofErr w:type="spellEnd"/>
      <w:r w:rsidRPr="00E16672">
        <w:rPr>
          <w:rFonts w:ascii="Times New Roman" w:hAnsi="Times New Roman"/>
          <w:color w:val="000000"/>
          <w:szCs w:val="20"/>
        </w:rPr>
        <w:t xml:space="preserve"> Центрального </w:t>
      </w:r>
      <w:proofErr w:type="spellStart"/>
      <w:r w:rsidRPr="00E16672">
        <w:rPr>
          <w:rFonts w:ascii="Times New Roman" w:hAnsi="Times New Roman"/>
          <w:color w:val="000000"/>
          <w:szCs w:val="20"/>
        </w:rPr>
        <w:t>депозитарію</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занесене</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Центральним</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депозитарієм</w:t>
      </w:r>
      <w:proofErr w:type="spellEnd"/>
      <w:r w:rsidRPr="00E16672">
        <w:rPr>
          <w:rFonts w:ascii="Times New Roman" w:hAnsi="Times New Roman"/>
          <w:color w:val="000000"/>
          <w:szCs w:val="20"/>
        </w:rPr>
        <w:t xml:space="preserve"> до </w:t>
      </w:r>
      <w:proofErr w:type="spellStart"/>
      <w:r w:rsidRPr="00E16672">
        <w:rPr>
          <w:rFonts w:ascii="Times New Roman" w:hAnsi="Times New Roman"/>
          <w:color w:val="000000"/>
          <w:szCs w:val="20"/>
        </w:rPr>
        <w:t>відомості</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сквитованих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розпоряджень</w:t>
      </w:r>
      <w:proofErr w:type="spellEnd"/>
      <w:r w:rsidRPr="00E16672">
        <w:rPr>
          <w:rFonts w:ascii="Times New Roman" w:hAnsi="Times New Roman"/>
          <w:color w:val="000000"/>
          <w:szCs w:val="20"/>
        </w:rPr>
        <w:t xml:space="preserve"> на поставку/</w:t>
      </w:r>
      <w:proofErr w:type="spellStart"/>
      <w:r w:rsidRPr="00E16672">
        <w:rPr>
          <w:rFonts w:ascii="Times New Roman" w:hAnsi="Times New Roman"/>
          <w:color w:val="000000"/>
          <w:szCs w:val="20"/>
        </w:rPr>
        <w:t>одержання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цінних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паперів</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можуть</w:t>
      </w:r>
      <w:proofErr w:type="spellEnd"/>
      <w:r w:rsidRPr="00E16672">
        <w:rPr>
          <w:rFonts w:ascii="Times New Roman" w:hAnsi="Times New Roman"/>
          <w:color w:val="000000"/>
          <w:szCs w:val="20"/>
        </w:rPr>
        <w:t xml:space="preserve"> бути </w:t>
      </w:r>
      <w:proofErr w:type="spellStart"/>
      <w:r w:rsidRPr="00E16672">
        <w:rPr>
          <w:rFonts w:ascii="Times New Roman" w:hAnsi="Times New Roman"/>
          <w:color w:val="000000"/>
          <w:szCs w:val="20"/>
        </w:rPr>
        <w:t>відмінені</w:t>
      </w:r>
      <w:proofErr w:type="spellEnd"/>
      <w:r w:rsidRPr="00E16672">
        <w:rPr>
          <w:rFonts w:ascii="Times New Roman" w:hAnsi="Times New Roman"/>
          <w:color w:val="000000"/>
          <w:szCs w:val="20"/>
        </w:rPr>
        <w:t xml:space="preserve"> ним у </w:t>
      </w:r>
      <w:proofErr w:type="spellStart"/>
      <w:r w:rsidRPr="00E16672">
        <w:rPr>
          <w:rFonts w:ascii="Times New Roman" w:hAnsi="Times New Roman"/>
          <w:color w:val="000000"/>
          <w:szCs w:val="20"/>
        </w:rPr>
        <w:t>випадку</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отримання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від</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Керуючого</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відповідного</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розпорядження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відміни</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анулювання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його</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попереднього</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розпорядження</w:t>
      </w:r>
      <w:proofErr w:type="spellEnd"/>
      <w:r w:rsidRPr="00E16672">
        <w:rPr>
          <w:rFonts w:ascii="Times New Roman" w:hAnsi="Times New Roman"/>
          <w:color w:val="000000"/>
          <w:szCs w:val="20"/>
        </w:rPr>
        <w:t>.</w:t>
      </w:r>
    </w:p>
    <w:p w14:paraId="6A80244B" w14:textId="77777777" w:rsidR="007974E8" w:rsidRPr="00E16672" w:rsidRDefault="007974E8" w:rsidP="007974E8">
      <w:pPr>
        <w:pStyle w:val="af"/>
        <w:rPr>
          <w:rFonts w:ascii="Times New Roman" w:eastAsia="Times New Roman" w:hAnsi="Times New Roman" w:cs="Times New Roman"/>
          <w:color w:val="000000"/>
        </w:rPr>
      </w:pPr>
    </w:p>
    <w:p w14:paraId="50FD410A" w14:textId="77777777" w:rsidR="007974E8" w:rsidRPr="00E16672" w:rsidRDefault="007974E8" w:rsidP="007974E8">
      <w:pPr>
        <w:tabs>
          <w:tab w:val="left" w:pos="0"/>
        </w:tabs>
        <w:jc w:val="center"/>
        <w:rPr>
          <w:rFonts w:ascii="Times New Roman" w:hAnsi="Times New Roman"/>
          <w:b/>
          <w:color w:val="000000"/>
          <w:szCs w:val="20"/>
        </w:rPr>
      </w:pPr>
      <w:r w:rsidRPr="00E16672">
        <w:rPr>
          <w:rFonts w:ascii="Times New Roman" w:hAnsi="Times New Roman"/>
          <w:b/>
          <w:color w:val="000000"/>
          <w:szCs w:val="20"/>
        </w:rPr>
        <w:t xml:space="preserve">4. </w:t>
      </w:r>
      <w:proofErr w:type="spellStart"/>
      <w:r w:rsidRPr="00E16672">
        <w:rPr>
          <w:rFonts w:ascii="Times New Roman" w:hAnsi="Times New Roman"/>
          <w:b/>
          <w:color w:val="000000"/>
          <w:szCs w:val="20"/>
        </w:rPr>
        <w:t>Тарифи</w:t>
      </w:r>
      <w:proofErr w:type="spellEnd"/>
      <w:r w:rsidRPr="00E16672">
        <w:rPr>
          <w:rFonts w:ascii="Times New Roman" w:hAnsi="Times New Roman"/>
          <w:b/>
          <w:color w:val="000000"/>
          <w:szCs w:val="20"/>
        </w:rPr>
        <w:t xml:space="preserve"> на </w:t>
      </w:r>
      <w:proofErr w:type="spellStart"/>
      <w:r w:rsidRPr="00E16672">
        <w:rPr>
          <w:rFonts w:ascii="Times New Roman" w:hAnsi="Times New Roman"/>
          <w:b/>
          <w:color w:val="000000"/>
          <w:szCs w:val="20"/>
        </w:rPr>
        <w:t>послуги</w:t>
      </w:r>
      <w:proofErr w:type="spellEnd"/>
      <w:r w:rsidRPr="00E16672">
        <w:rPr>
          <w:rFonts w:ascii="Times New Roman" w:hAnsi="Times New Roman"/>
          <w:b/>
          <w:color w:val="000000"/>
          <w:szCs w:val="20"/>
        </w:rPr>
        <w:t xml:space="preserve"> та порядок </w:t>
      </w:r>
      <w:proofErr w:type="spellStart"/>
      <w:r w:rsidRPr="00E16672">
        <w:rPr>
          <w:rFonts w:ascii="Times New Roman" w:hAnsi="Times New Roman"/>
          <w:b/>
          <w:color w:val="000000"/>
          <w:szCs w:val="20"/>
        </w:rPr>
        <w:t>розрахунків</w:t>
      </w:r>
      <w:proofErr w:type="spellEnd"/>
      <w:r w:rsidRPr="00E16672">
        <w:rPr>
          <w:rFonts w:ascii="Times New Roman" w:hAnsi="Times New Roman"/>
          <w:b/>
          <w:color w:val="000000"/>
          <w:szCs w:val="20"/>
        </w:rPr>
        <w:t xml:space="preserve"> за </w:t>
      </w:r>
      <w:proofErr w:type="spellStart"/>
      <w:r w:rsidRPr="00E16672">
        <w:rPr>
          <w:rFonts w:ascii="Times New Roman" w:hAnsi="Times New Roman"/>
          <w:b/>
          <w:color w:val="000000"/>
          <w:szCs w:val="20"/>
        </w:rPr>
        <w:t>надані</w:t>
      </w:r>
      <w:proofErr w:type="spellEnd"/>
      <w:r w:rsidRPr="00E16672">
        <w:rPr>
          <w:rFonts w:ascii="Times New Roman" w:hAnsi="Times New Roman"/>
          <w:b/>
          <w:color w:val="000000"/>
          <w:szCs w:val="20"/>
        </w:rPr>
        <w:t xml:space="preserve"> </w:t>
      </w:r>
      <w:proofErr w:type="spellStart"/>
      <w:r w:rsidRPr="00E16672">
        <w:rPr>
          <w:rFonts w:ascii="Times New Roman" w:hAnsi="Times New Roman"/>
          <w:b/>
          <w:color w:val="000000"/>
          <w:szCs w:val="20"/>
        </w:rPr>
        <w:t>послуги</w:t>
      </w:r>
      <w:proofErr w:type="spellEnd"/>
    </w:p>
    <w:p w14:paraId="1EB4F6C6" w14:textId="77777777" w:rsidR="007974E8" w:rsidRPr="00E16672" w:rsidRDefault="007974E8" w:rsidP="007974E8">
      <w:pPr>
        <w:tabs>
          <w:tab w:val="left" w:pos="0"/>
        </w:tabs>
        <w:ind w:firstLine="559"/>
        <w:rPr>
          <w:rFonts w:ascii="Times New Roman" w:hAnsi="Times New Roman"/>
          <w:color w:val="000000"/>
          <w:szCs w:val="20"/>
        </w:rPr>
      </w:pPr>
    </w:p>
    <w:p w14:paraId="1F6BD11D" w14:textId="77777777" w:rsidR="007974E8" w:rsidRPr="00E16672" w:rsidRDefault="007974E8" w:rsidP="007974E8">
      <w:pPr>
        <w:ind w:firstLine="532"/>
        <w:rPr>
          <w:rFonts w:ascii="Times New Roman" w:hAnsi="Times New Roman"/>
          <w:color w:val="000000"/>
          <w:szCs w:val="20"/>
          <w:lang w:val="uk-UA"/>
        </w:rPr>
      </w:pPr>
      <w:r w:rsidRPr="00E16672">
        <w:rPr>
          <w:rFonts w:ascii="Times New Roman" w:hAnsi="Times New Roman"/>
          <w:color w:val="000000"/>
          <w:szCs w:val="20"/>
        </w:rPr>
        <w:t xml:space="preserve">4.1. </w:t>
      </w:r>
      <w:r w:rsidRPr="00E16672">
        <w:rPr>
          <w:rFonts w:ascii="Times New Roman" w:hAnsi="Times New Roman"/>
          <w:color w:val="000000"/>
          <w:szCs w:val="20"/>
          <w:lang w:val="uk-UA"/>
        </w:rPr>
        <w:t xml:space="preserve">Тарифи на депозитарні послуги Депозитарної установи встановлюються Депозитарною установою самостійно. Підписавши цей Договір, </w:t>
      </w:r>
      <w:r w:rsidRPr="00E16672">
        <w:rPr>
          <w:rFonts w:ascii="Times New Roman" w:hAnsi="Times New Roman"/>
          <w:color w:val="000000"/>
          <w:szCs w:val="20"/>
        </w:rPr>
        <w:t>Депонент (</w:t>
      </w:r>
      <w:proofErr w:type="spellStart"/>
      <w:r w:rsidRPr="00E16672">
        <w:rPr>
          <w:rFonts w:ascii="Times New Roman" w:hAnsi="Times New Roman"/>
          <w:color w:val="000000"/>
          <w:szCs w:val="20"/>
        </w:rPr>
        <w:t>Керуючий</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рахунком</w:t>
      </w:r>
      <w:proofErr w:type="spellEnd"/>
      <w:r w:rsidRPr="00E16672">
        <w:rPr>
          <w:rFonts w:ascii="Times New Roman" w:hAnsi="Times New Roman"/>
          <w:color w:val="000000"/>
          <w:szCs w:val="20"/>
        </w:rPr>
        <w:t xml:space="preserve">) </w:t>
      </w:r>
      <w:r w:rsidRPr="00E16672">
        <w:rPr>
          <w:rFonts w:ascii="Times New Roman" w:hAnsi="Times New Roman"/>
          <w:color w:val="000000"/>
          <w:szCs w:val="20"/>
          <w:lang w:val="uk-UA"/>
        </w:rPr>
        <w:t xml:space="preserve"> погоджується з тарифами, встановленими Депозитарною установою на дату укладення Договору, які оприлюднені на </w:t>
      </w:r>
      <w:r w:rsidRPr="00E16672">
        <w:rPr>
          <w:rFonts w:ascii="Times New Roman" w:hAnsi="Times New Roman"/>
          <w:bCs/>
          <w:color w:val="000000"/>
          <w:szCs w:val="20"/>
          <w:lang w:val="uk-UA"/>
        </w:rPr>
        <w:t xml:space="preserve">веб-сторінці Депозитарної установи </w:t>
      </w:r>
      <w:hyperlink r:id="rId32" w:history="1">
        <w:r w:rsidR="00E16672">
          <w:rPr>
            <w:rFonts w:ascii="Times New Roman" w:hAnsi="Times New Roman"/>
            <w:bCs/>
            <w:color w:val="000000"/>
            <w:szCs w:val="20"/>
          </w:rPr>
          <w:t>http://comex.uafin.net</w:t>
        </w:r>
      </w:hyperlink>
      <w:r w:rsidRPr="00E16672">
        <w:rPr>
          <w:rFonts w:ascii="Times New Roman" w:hAnsi="Times New Roman"/>
          <w:color w:val="000000"/>
          <w:szCs w:val="20"/>
          <w:lang w:val="uk-UA"/>
        </w:rPr>
        <w:t>.</w:t>
      </w:r>
    </w:p>
    <w:p w14:paraId="06420E72" w14:textId="77777777" w:rsidR="007974E8" w:rsidRPr="00E16672" w:rsidRDefault="007974E8" w:rsidP="007974E8">
      <w:pPr>
        <w:ind w:firstLine="532"/>
        <w:rPr>
          <w:rFonts w:ascii="Times New Roman" w:hAnsi="Times New Roman"/>
          <w:color w:val="000000"/>
          <w:szCs w:val="20"/>
          <w:lang w:val="uk-UA"/>
        </w:rPr>
      </w:pPr>
      <w:r w:rsidRPr="00E16672">
        <w:rPr>
          <w:rFonts w:ascii="Times New Roman" w:hAnsi="Times New Roman"/>
          <w:color w:val="000000"/>
          <w:szCs w:val="20"/>
          <w:lang w:val="uk-UA"/>
        </w:rPr>
        <w:t xml:space="preserve">Депозитарна установа  повідомляє про зміни до тарифів на послуги  шляхом розміщення змінених тарифів на </w:t>
      </w:r>
      <w:r w:rsidRPr="00E16672">
        <w:rPr>
          <w:rFonts w:ascii="Times New Roman" w:hAnsi="Times New Roman"/>
          <w:bCs/>
          <w:color w:val="000000"/>
          <w:szCs w:val="20"/>
          <w:lang w:val="uk-UA"/>
        </w:rPr>
        <w:t xml:space="preserve">веб-сторінці Депозитарної установи </w:t>
      </w:r>
      <w:hyperlink r:id="rId33" w:history="1">
        <w:r w:rsidR="00E16672">
          <w:rPr>
            <w:rFonts w:ascii="Times New Roman" w:hAnsi="Times New Roman"/>
            <w:bCs/>
            <w:color w:val="000000"/>
            <w:szCs w:val="20"/>
          </w:rPr>
          <w:t>http</w:t>
        </w:r>
        <w:r w:rsidR="00E16672" w:rsidRPr="00E16672">
          <w:rPr>
            <w:rFonts w:ascii="Times New Roman" w:hAnsi="Times New Roman"/>
            <w:bCs/>
            <w:color w:val="000000"/>
            <w:szCs w:val="20"/>
            <w:lang w:val="uk-UA"/>
          </w:rPr>
          <w:t>://</w:t>
        </w:r>
        <w:r w:rsidR="00E16672">
          <w:rPr>
            <w:rFonts w:ascii="Times New Roman" w:hAnsi="Times New Roman"/>
            <w:bCs/>
            <w:color w:val="000000"/>
            <w:szCs w:val="20"/>
          </w:rPr>
          <w:t>comex</w:t>
        </w:r>
        <w:r w:rsidR="00E16672" w:rsidRPr="00E16672">
          <w:rPr>
            <w:rFonts w:ascii="Times New Roman" w:hAnsi="Times New Roman"/>
            <w:bCs/>
            <w:color w:val="000000"/>
            <w:szCs w:val="20"/>
            <w:lang w:val="uk-UA"/>
          </w:rPr>
          <w:t>.</w:t>
        </w:r>
        <w:r w:rsidR="00E16672">
          <w:rPr>
            <w:rFonts w:ascii="Times New Roman" w:hAnsi="Times New Roman"/>
            <w:bCs/>
            <w:color w:val="000000"/>
            <w:szCs w:val="20"/>
          </w:rPr>
          <w:t>uafin</w:t>
        </w:r>
        <w:r w:rsidR="00E16672" w:rsidRPr="00E16672">
          <w:rPr>
            <w:rFonts w:ascii="Times New Roman" w:hAnsi="Times New Roman"/>
            <w:bCs/>
            <w:color w:val="000000"/>
            <w:szCs w:val="20"/>
            <w:lang w:val="uk-UA"/>
          </w:rPr>
          <w:t>.</w:t>
        </w:r>
        <w:proofErr w:type="spellStart"/>
        <w:r w:rsidR="00E16672">
          <w:rPr>
            <w:rFonts w:ascii="Times New Roman" w:hAnsi="Times New Roman"/>
            <w:bCs/>
            <w:color w:val="000000"/>
            <w:szCs w:val="20"/>
          </w:rPr>
          <w:t>net</w:t>
        </w:r>
        <w:proofErr w:type="spellEnd"/>
      </w:hyperlink>
      <w:r w:rsidRPr="00E16672">
        <w:rPr>
          <w:rFonts w:ascii="Times New Roman" w:hAnsi="Times New Roman"/>
          <w:bCs/>
          <w:color w:val="000000"/>
          <w:szCs w:val="20"/>
          <w:lang w:val="uk-UA"/>
        </w:rPr>
        <w:t xml:space="preserve"> </w:t>
      </w:r>
      <w:r w:rsidRPr="00E16672">
        <w:rPr>
          <w:rFonts w:ascii="Times New Roman" w:hAnsi="Times New Roman"/>
          <w:color w:val="000000"/>
          <w:szCs w:val="20"/>
          <w:lang w:val="uk-UA"/>
        </w:rPr>
        <w:t xml:space="preserve">протягом </w:t>
      </w:r>
      <w:r w:rsidRPr="00E16672">
        <w:rPr>
          <w:rFonts w:ascii="Times New Roman" w:hAnsi="Times New Roman"/>
          <w:i/>
          <w:color w:val="000000"/>
          <w:szCs w:val="20"/>
          <w:lang w:val="uk-UA"/>
        </w:rPr>
        <w:t>п'яти</w:t>
      </w:r>
      <w:r w:rsidRPr="00E16672">
        <w:rPr>
          <w:rFonts w:ascii="Times New Roman" w:hAnsi="Times New Roman"/>
          <w:color w:val="000000"/>
          <w:szCs w:val="20"/>
          <w:lang w:val="uk-UA"/>
        </w:rPr>
        <w:t xml:space="preserve"> робочих днів після затвердження відповідних змін. Змінені тарифи використовуються Сторонами для визначення вартості операцій на дату надання послуг.</w:t>
      </w:r>
    </w:p>
    <w:p w14:paraId="2F30D4C7" w14:textId="77777777" w:rsidR="007974E8" w:rsidRPr="00E16672" w:rsidRDefault="007974E8" w:rsidP="007974E8">
      <w:pPr>
        <w:ind w:firstLine="532"/>
        <w:rPr>
          <w:rFonts w:ascii="Times New Roman" w:hAnsi="Times New Roman"/>
          <w:color w:val="000000"/>
          <w:szCs w:val="20"/>
          <w:lang w:val="uk-UA"/>
        </w:rPr>
      </w:pPr>
      <w:r w:rsidRPr="00E16672">
        <w:rPr>
          <w:rFonts w:ascii="Times New Roman" w:hAnsi="Times New Roman"/>
          <w:color w:val="000000"/>
          <w:szCs w:val="20"/>
        </w:rPr>
        <w:t>Депонент (</w:t>
      </w:r>
      <w:proofErr w:type="spellStart"/>
      <w:r w:rsidRPr="00E16672">
        <w:rPr>
          <w:rFonts w:ascii="Times New Roman" w:hAnsi="Times New Roman"/>
          <w:color w:val="000000"/>
          <w:szCs w:val="20"/>
        </w:rPr>
        <w:t>Керуючий</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рахунком</w:t>
      </w:r>
      <w:proofErr w:type="spellEnd"/>
      <w:r w:rsidRPr="00E16672">
        <w:rPr>
          <w:rFonts w:ascii="Times New Roman" w:hAnsi="Times New Roman"/>
          <w:color w:val="000000"/>
          <w:szCs w:val="20"/>
        </w:rPr>
        <w:t xml:space="preserve">) </w:t>
      </w:r>
      <w:r w:rsidRPr="00E16672">
        <w:rPr>
          <w:rFonts w:ascii="Times New Roman" w:hAnsi="Times New Roman"/>
          <w:color w:val="000000"/>
          <w:szCs w:val="20"/>
          <w:lang w:val="uk-UA"/>
        </w:rPr>
        <w:t>оплачує послуги Депозитарної установи відповідно до цього Договору та затверджених тарифів Депозитарної установи, що є чинними на дату надання послуг.</w:t>
      </w:r>
    </w:p>
    <w:p w14:paraId="7F5F93F5" w14:textId="77777777" w:rsidR="007974E8" w:rsidRPr="00E16672" w:rsidRDefault="007974E8" w:rsidP="007974E8">
      <w:pPr>
        <w:rPr>
          <w:rFonts w:ascii="Times New Roman" w:hAnsi="Times New Roman"/>
          <w:szCs w:val="20"/>
        </w:rPr>
      </w:pPr>
      <w:r w:rsidRPr="00E16672">
        <w:rPr>
          <w:rFonts w:ascii="Times New Roman" w:hAnsi="Times New Roman"/>
          <w:color w:val="000000"/>
          <w:szCs w:val="20"/>
        </w:rPr>
        <w:t xml:space="preserve">4.2. </w:t>
      </w:r>
      <w:r w:rsidRPr="00E16672">
        <w:rPr>
          <w:rFonts w:ascii="Times New Roman" w:hAnsi="Times New Roman"/>
          <w:szCs w:val="20"/>
        </w:rPr>
        <w:t xml:space="preserve">Оплата за </w:t>
      </w:r>
      <w:proofErr w:type="spellStart"/>
      <w:r w:rsidRPr="00E16672">
        <w:rPr>
          <w:rFonts w:ascii="Times New Roman" w:hAnsi="Times New Roman"/>
          <w:szCs w:val="20"/>
        </w:rPr>
        <w:t>послуги</w:t>
      </w:r>
      <w:proofErr w:type="spellEnd"/>
      <w:r w:rsidRPr="00E16672">
        <w:rPr>
          <w:rFonts w:ascii="Times New Roman" w:hAnsi="Times New Roman"/>
          <w:szCs w:val="20"/>
        </w:rPr>
        <w:t xml:space="preserve"> </w:t>
      </w:r>
      <w:proofErr w:type="spellStart"/>
      <w:r w:rsidRPr="00E16672">
        <w:rPr>
          <w:rFonts w:ascii="Times New Roman" w:hAnsi="Times New Roman"/>
          <w:szCs w:val="20"/>
        </w:rPr>
        <w:t>Депозитарної</w:t>
      </w:r>
      <w:proofErr w:type="spellEnd"/>
      <w:r w:rsidRPr="00E16672">
        <w:rPr>
          <w:rFonts w:ascii="Times New Roman" w:hAnsi="Times New Roman"/>
          <w:szCs w:val="20"/>
        </w:rPr>
        <w:t xml:space="preserve"> установи </w:t>
      </w:r>
      <w:proofErr w:type="spellStart"/>
      <w:r w:rsidRPr="00E16672">
        <w:rPr>
          <w:rFonts w:ascii="Times New Roman" w:hAnsi="Times New Roman"/>
          <w:szCs w:val="20"/>
        </w:rPr>
        <w:t>здійснюється</w:t>
      </w:r>
      <w:proofErr w:type="spellEnd"/>
      <w:r w:rsidRPr="00E16672">
        <w:rPr>
          <w:rFonts w:ascii="Times New Roman" w:hAnsi="Times New Roman"/>
          <w:szCs w:val="20"/>
        </w:rPr>
        <w:t xml:space="preserve"> не </w:t>
      </w:r>
      <w:proofErr w:type="spellStart"/>
      <w:r w:rsidRPr="00E16672">
        <w:rPr>
          <w:rFonts w:ascii="Times New Roman" w:hAnsi="Times New Roman"/>
          <w:szCs w:val="20"/>
        </w:rPr>
        <w:t>пізніше</w:t>
      </w:r>
      <w:proofErr w:type="spellEnd"/>
      <w:r w:rsidRPr="00E16672">
        <w:rPr>
          <w:rFonts w:ascii="Times New Roman" w:hAnsi="Times New Roman"/>
          <w:szCs w:val="20"/>
        </w:rPr>
        <w:t xml:space="preserve"> одного </w:t>
      </w:r>
      <w:proofErr w:type="spellStart"/>
      <w:r w:rsidRPr="00E16672">
        <w:rPr>
          <w:rFonts w:ascii="Times New Roman" w:hAnsi="Times New Roman"/>
          <w:szCs w:val="20"/>
        </w:rPr>
        <w:t>робочого</w:t>
      </w:r>
      <w:proofErr w:type="spellEnd"/>
      <w:r w:rsidRPr="00E16672">
        <w:rPr>
          <w:rFonts w:ascii="Times New Roman" w:hAnsi="Times New Roman"/>
          <w:szCs w:val="20"/>
        </w:rPr>
        <w:t xml:space="preserve"> дня з </w:t>
      </w:r>
      <w:proofErr w:type="spellStart"/>
      <w:r w:rsidRPr="00E16672">
        <w:rPr>
          <w:rFonts w:ascii="Times New Roman" w:hAnsi="Times New Roman"/>
          <w:szCs w:val="20"/>
        </w:rPr>
        <w:t>дати</w:t>
      </w:r>
      <w:proofErr w:type="spellEnd"/>
      <w:r w:rsidRPr="00E16672">
        <w:rPr>
          <w:rFonts w:ascii="Times New Roman" w:hAnsi="Times New Roman"/>
          <w:szCs w:val="20"/>
        </w:rPr>
        <w:t xml:space="preserve"> </w:t>
      </w:r>
      <w:proofErr w:type="spellStart"/>
      <w:r w:rsidRPr="00E16672">
        <w:rPr>
          <w:rFonts w:ascii="Times New Roman" w:hAnsi="Times New Roman"/>
          <w:szCs w:val="20"/>
        </w:rPr>
        <w:t>підписання</w:t>
      </w:r>
      <w:proofErr w:type="spellEnd"/>
      <w:r w:rsidRPr="00E16672">
        <w:rPr>
          <w:rFonts w:ascii="Times New Roman" w:hAnsi="Times New Roman"/>
          <w:szCs w:val="20"/>
        </w:rPr>
        <w:t xml:space="preserve"> акту Депозитарною </w:t>
      </w:r>
      <w:proofErr w:type="spellStart"/>
      <w:r w:rsidRPr="00E16672">
        <w:rPr>
          <w:rFonts w:ascii="Times New Roman" w:hAnsi="Times New Roman"/>
          <w:color w:val="000000"/>
          <w:szCs w:val="20"/>
        </w:rPr>
        <w:t>установою</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якщо</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інше</w:t>
      </w:r>
      <w:proofErr w:type="spellEnd"/>
      <w:r w:rsidRPr="00E16672">
        <w:rPr>
          <w:rFonts w:ascii="Times New Roman" w:hAnsi="Times New Roman"/>
          <w:color w:val="000000"/>
          <w:szCs w:val="20"/>
        </w:rPr>
        <w:t xml:space="preserve"> не </w:t>
      </w:r>
      <w:proofErr w:type="spellStart"/>
      <w:r w:rsidRPr="00E16672">
        <w:rPr>
          <w:rFonts w:ascii="Times New Roman" w:hAnsi="Times New Roman"/>
          <w:color w:val="000000"/>
          <w:szCs w:val="20"/>
        </w:rPr>
        <w:t>передбачено</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додатковою</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угодою</w:t>
      </w:r>
      <w:proofErr w:type="spellEnd"/>
      <w:r w:rsidRPr="00E16672">
        <w:rPr>
          <w:rFonts w:ascii="Times New Roman" w:hAnsi="Times New Roman"/>
          <w:color w:val="000000"/>
          <w:szCs w:val="20"/>
        </w:rPr>
        <w:t xml:space="preserve"> до </w:t>
      </w:r>
      <w:proofErr w:type="spellStart"/>
      <w:r w:rsidRPr="00E16672">
        <w:rPr>
          <w:rFonts w:ascii="Times New Roman" w:hAnsi="Times New Roman"/>
          <w:color w:val="000000"/>
          <w:szCs w:val="20"/>
        </w:rPr>
        <w:t>цього</w:t>
      </w:r>
      <w:proofErr w:type="spellEnd"/>
      <w:r w:rsidRPr="00E16672">
        <w:rPr>
          <w:rFonts w:ascii="Times New Roman" w:hAnsi="Times New Roman"/>
          <w:color w:val="000000"/>
          <w:szCs w:val="20"/>
        </w:rPr>
        <w:t xml:space="preserve"> Договору) </w:t>
      </w:r>
      <w:proofErr w:type="spellStart"/>
      <w:r w:rsidRPr="00E16672">
        <w:rPr>
          <w:rFonts w:ascii="Times New Roman" w:hAnsi="Times New Roman"/>
          <w:color w:val="000000"/>
          <w:szCs w:val="20"/>
        </w:rPr>
        <w:t>або</w:t>
      </w:r>
      <w:proofErr w:type="spellEnd"/>
      <w:r w:rsidRPr="00E16672">
        <w:rPr>
          <w:rFonts w:ascii="Times New Roman" w:hAnsi="Times New Roman"/>
          <w:color w:val="0000FF"/>
          <w:szCs w:val="20"/>
        </w:rPr>
        <w:t xml:space="preserve"> </w:t>
      </w:r>
      <w:r w:rsidRPr="00E16672">
        <w:rPr>
          <w:rFonts w:ascii="Times New Roman" w:hAnsi="Times New Roman"/>
          <w:szCs w:val="20"/>
        </w:rPr>
        <w:t xml:space="preserve">на </w:t>
      </w:r>
      <w:proofErr w:type="spellStart"/>
      <w:r w:rsidRPr="00E16672">
        <w:rPr>
          <w:rFonts w:ascii="Times New Roman" w:hAnsi="Times New Roman"/>
          <w:szCs w:val="20"/>
        </w:rPr>
        <w:t>підставі</w:t>
      </w:r>
      <w:proofErr w:type="spellEnd"/>
      <w:r w:rsidRPr="00E16672">
        <w:rPr>
          <w:rFonts w:ascii="Times New Roman" w:hAnsi="Times New Roman"/>
          <w:szCs w:val="20"/>
        </w:rPr>
        <w:t xml:space="preserve"> Акту </w:t>
      </w:r>
      <w:proofErr w:type="spellStart"/>
      <w:r w:rsidRPr="00E16672">
        <w:rPr>
          <w:rFonts w:ascii="Times New Roman" w:hAnsi="Times New Roman"/>
          <w:szCs w:val="20"/>
        </w:rPr>
        <w:t>виконаних</w:t>
      </w:r>
      <w:proofErr w:type="spellEnd"/>
      <w:r w:rsidRPr="00E16672">
        <w:rPr>
          <w:rFonts w:ascii="Times New Roman" w:hAnsi="Times New Roman"/>
          <w:szCs w:val="20"/>
        </w:rPr>
        <w:t xml:space="preserve"> </w:t>
      </w:r>
      <w:proofErr w:type="spellStart"/>
      <w:r w:rsidRPr="00E16672">
        <w:rPr>
          <w:rFonts w:ascii="Times New Roman" w:hAnsi="Times New Roman"/>
          <w:szCs w:val="20"/>
        </w:rPr>
        <w:t>операцій</w:t>
      </w:r>
      <w:proofErr w:type="spellEnd"/>
      <w:r w:rsidRPr="00E16672">
        <w:rPr>
          <w:rFonts w:ascii="Times New Roman" w:hAnsi="Times New Roman"/>
          <w:szCs w:val="20"/>
        </w:rPr>
        <w:t xml:space="preserve"> </w:t>
      </w:r>
      <w:proofErr w:type="spellStart"/>
      <w:r w:rsidRPr="00E16672">
        <w:rPr>
          <w:rFonts w:ascii="Times New Roman" w:hAnsi="Times New Roman"/>
          <w:szCs w:val="20"/>
        </w:rPr>
        <w:t>Депозитарної</w:t>
      </w:r>
      <w:proofErr w:type="spellEnd"/>
      <w:r w:rsidRPr="00E16672">
        <w:rPr>
          <w:rFonts w:ascii="Times New Roman" w:hAnsi="Times New Roman"/>
          <w:szCs w:val="20"/>
        </w:rPr>
        <w:t xml:space="preserve"> установи </w:t>
      </w:r>
      <w:proofErr w:type="spellStart"/>
      <w:r w:rsidRPr="00E16672">
        <w:rPr>
          <w:rFonts w:ascii="Times New Roman" w:hAnsi="Times New Roman"/>
          <w:szCs w:val="20"/>
        </w:rPr>
        <w:t>або</w:t>
      </w:r>
      <w:proofErr w:type="spellEnd"/>
      <w:r w:rsidRPr="00E16672">
        <w:rPr>
          <w:rFonts w:ascii="Times New Roman" w:hAnsi="Times New Roman"/>
          <w:szCs w:val="20"/>
        </w:rPr>
        <w:t xml:space="preserve"> </w:t>
      </w:r>
      <w:proofErr w:type="spellStart"/>
      <w:r w:rsidRPr="00E16672">
        <w:rPr>
          <w:rFonts w:ascii="Times New Roman" w:hAnsi="Times New Roman"/>
          <w:szCs w:val="20"/>
        </w:rPr>
        <w:t>рахунку</w:t>
      </w:r>
      <w:proofErr w:type="spellEnd"/>
      <w:r w:rsidRPr="00E16672">
        <w:rPr>
          <w:rFonts w:ascii="Times New Roman" w:hAnsi="Times New Roman"/>
          <w:szCs w:val="20"/>
        </w:rPr>
        <w:t xml:space="preserve"> по </w:t>
      </w:r>
      <w:proofErr w:type="spellStart"/>
      <w:r w:rsidRPr="00E16672">
        <w:rPr>
          <w:rFonts w:ascii="Times New Roman" w:hAnsi="Times New Roman"/>
          <w:szCs w:val="20"/>
        </w:rPr>
        <w:t>реквізитах</w:t>
      </w:r>
      <w:proofErr w:type="spellEnd"/>
      <w:r w:rsidRPr="00E16672">
        <w:rPr>
          <w:rFonts w:ascii="Times New Roman" w:hAnsi="Times New Roman"/>
          <w:szCs w:val="20"/>
        </w:rPr>
        <w:t xml:space="preserve">, </w:t>
      </w:r>
      <w:proofErr w:type="spellStart"/>
      <w:r w:rsidRPr="00E16672">
        <w:rPr>
          <w:rFonts w:ascii="Times New Roman" w:hAnsi="Times New Roman"/>
          <w:szCs w:val="20"/>
        </w:rPr>
        <w:t>вказаних</w:t>
      </w:r>
      <w:proofErr w:type="spellEnd"/>
      <w:r w:rsidRPr="00E16672">
        <w:rPr>
          <w:rFonts w:ascii="Times New Roman" w:hAnsi="Times New Roman"/>
          <w:szCs w:val="20"/>
        </w:rPr>
        <w:t xml:space="preserve"> в </w:t>
      </w:r>
      <w:proofErr w:type="spellStart"/>
      <w:r w:rsidRPr="00E16672">
        <w:rPr>
          <w:rFonts w:ascii="Times New Roman" w:hAnsi="Times New Roman"/>
          <w:szCs w:val="20"/>
        </w:rPr>
        <w:t>Акті</w:t>
      </w:r>
      <w:proofErr w:type="spellEnd"/>
      <w:r w:rsidRPr="00E16672">
        <w:rPr>
          <w:rFonts w:ascii="Times New Roman" w:hAnsi="Times New Roman"/>
          <w:szCs w:val="20"/>
        </w:rPr>
        <w:t xml:space="preserve"> </w:t>
      </w:r>
      <w:proofErr w:type="spellStart"/>
      <w:r w:rsidRPr="00E16672">
        <w:rPr>
          <w:rFonts w:ascii="Times New Roman" w:hAnsi="Times New Roman"/>
          <w:szCs w:val="20"/>
        </w:rPr>
        <w:t>або</w:t>
      </w:r>
      <w:proofErr w:type="spellEnd"/>
      <w:r w:rsidRPr="00E16672">
        <w:rPr>
          <w:rFonts w:ascii="Times New Roman" w:hAnsi="Times New Roman"/>
          <w:szCs w:val="20"/>
        </w:rPr>
        <w:t xml:space="preserve"> </w:t>
      </w:r>
      <w:proofErr w:type="spellStart"/>
      <w:r w:rsidRPr="00E16672">
        <w:rPr>
          <w:rFonts w:ascii="Times New Roman" w:hAnsi="Times New Roman"/>
          <w:szCs w:val="20"/>
        </w:rPr>
        <w:t>рахунку</w:t>
      </w:r>
      <w:proofErr w:type="spellEnd"/>
      <w:r w:rsidRPr="00E16672">
        <w:rPr>
          <w:rFonts w:ascii="Times New Roman" w:hAnsi="Times New Roman"/>
          <w:szCs w:val="20"/>
        </w:rPr>
        <w:t>.</w:t>
      </w:r>
    </w:p>
    <w:p w14:paraId="10BC0AA7" w14:textId="77777777" w:rsidR="007974E8" w:rsidRPr="00E16672" w:rsidRDefault="007974E8" w:rsidP="007974E8">
      <w:pPr>
        <w:pStyle w:val="310"/>
        <w:ind w:left="-15" w:firstLine="555"/>
        <w:rPr>
          <w:rFonts w:ascii="Times New Roman" w:hAnsi="Times New Roman"/>
          <w:color w:val="000000"/>
          <w:sz w:val="20"/>
          <w:szCs w:val="20"/>
        </w:rPr>
      </w:pPr>
      <w:r w:rsidRPr="00E16672">
        <w:rPr>
          <w:rFonts w:ascii="Times New Roman" w:hAnsi="Times New Roman"/>
          <w:color w:val="000000"/>
          <w:sz w:val="20"/>
          <w:szCs w:val="20"/>
        </w:rPr>
        <w:t>4.3. Підтвердженням виконання послуг Депозитарної установи є акт виконаних Депозитарною установою операцій, який складається:</w:t>
      </w:r>
    </w:p>
    <w:p w14:paraId="18F16AD5" w14:textId="77777777" w:rsidR="007974E8" w:rsidRPr="00E16672" w:rsidRDefault="007974E8" w:rsidP="007974E8">
      <w:pPr>
        <w:pStyle w:val="310"/>
        <w:ind w:left="-15" w:firstLine="159"/>
        <w:rPr>
          <w:rFonts w:ascii="Times New Roman" w:hAnsi="Times New Roman"/>
          <w:color w:val="000000"/>
          <w:sz w:val="20"/>
          <w:szCs w:val="20"/>
        </w:rPr>
      </w:pPr>
      <w:r w:rsidRPr="00E16672">
        <w:rPr>
          <w:rFonts w:ascii="Times New Roman" w:hAnsi="Times New Roman"/>
          <w:color w:val="000000"/>
          <w:sz w:val="20"/>
          <w:szCs w:val="20"/>
        </w:rPr>
        <w:t xml:space="preserve">- по виконаним Депозитарною установою адміністративним, обліковим, інформаційним та іншим операціям по рахунку </w:t>
      </w:r>
      <w:r w:rsidR="00C22309" w:rsidRPr="00E16672">
        <w:rPr>
          <w:rFonts w:ascii="Times New Roman" w:hAnsi="Times New Roman"/>
          <w:color w:val="000000"/>
          <w:sz w:val="20"/>
          <w:szCs w:val="20"/>
        </w:rPr>
        <w:t>в цін</w:t>
      </w:r>
      <w:r w:rsidRPr="00E16672">
        <w:rPr>
          <w:rFonts w:ascii="Times New Roman" w:hAnsi="Times New Roman"/>
          <w:color w:val="000000"/>
          <w:sz w:val="20"/>
          <w:szCs w:val="20"/>
        </w:rPr>
        <w:t xml:space="preserve">них паперах - у день проведення операцій або на останній день місяця, в якому їх виконано, підписується Депозитарною установою у двох оригіналах та подається Депоненту (Керуючому) для підписання особисто або направляється поштою в адресу Депонента (Керуючого) (або іншим способом за домовленістю з Депонентом) протягом не більш як </w:t>
      </w:r>
      <w:r w:rsidRPr="00E16672">
        <w:rPr>
          <w:rFonts w:ascii="Times New Roman" w:hAnsi="Times New Roman"/>
          <w:i/>
          <w:color w:val="000000"/>
          <w:sz w:val="20"/>
          <w:szCs w:val="20"/>
        </w:rPr>
        <w:t>п</w:t>
      </w:r>
      <w:r w:rsidRPr="00E16672">
        <w:rPr>
          <w:rFonts w:ascii="Times New Roman" w:hAnsi="Times New Roman"/>
          <w:i/>
          <w:color w:val="000000"/>
          <w:sz w:val="20"/>
          <w:szCs w:val="20"/>
          <w:lang w:val="ru-RU"/>
        </w:rPr>
        <w:t>’</w:t>
      </w:r>
      <w:r w:rsidRPr="00E16672">
        <w:rPr>
          <w:rFonts w:ascii="Times New Roman" w:hAnsi="Times New Roman"/>
          <w:i/>
          <w:color w:val="000000"/>
          <w:sz w:val="20"/>
          <w:szCs w:val="20"/>
        </w:rPr>
        <w:t>ять</w:t>
      </w:r>
      <w:r w:rsidRPr="00E16672">
        <w:rPr>
          <w:rFonts w:ascii="Times New Roman" w:hAnsi="Times New Roman"/>
          <w:color w:val="000000"/>
          <w:sz w:val="20"/>
          <w:szCs w:val="20"/>
        </w:rPr>
        <w:t xml:space="preserve"> робочих днів з моменту підписання;</w:t>
      </w:r>
    </w:p>
    <w:p w14:paraId="009C2FC5" w14:textId="77777777" w:rsidR="007974E8" w:rsidRPr="00E16672" w:rsidRDefault="007974E8" w:rsidP="007974E8">
      <w:pPr>
        <w:pStyle w:val="310"/>
        <w:ind w:left="-15" w:firstLine="159"/>
        <w:rPr>
          <w:rFonts w:ascii="Times New Roman" w:hAnsi="Times New Roman"/>
          <w:color w:val="000000"/>
          <w:sz w:val="20"/>
          <w:szCs w:val="20"/>
        </w:rPr>
      </w:pPr>
      <w:r w:rsidRPr="00E16672">
        <w:rPr>
          <w:rFonts w:ascii="Times New Roman" w:hAnsi="Times New Roman"/>
          <w:color w:val="000000"/>
          <w:sz w:val="20"/>
          <w:szCs w:val="20"/>
        </w:rPr>
        <w:t xml:space="preserve">- за облік цінних паперів на рахунку </w:t>
      </w:r>
      <w:r w:rsidR="00C22309" w:rsidRPr="00E16672">
        <w:rPr>
          <w:rFonts w:ascii="Times New Roman" w:hAnsi="Times New Roman"/>
          <w:color w:val="000000"/>
          <w:sz w:val="20"/>
          <w:szCs w:val="20"/>
        </w:rPr>
        <w:t>в цін</w:t>
      </w:r>
      <w:r w:rsidRPr="00E16672">
        <w:rPr>
          <w:rFonts w:ascii="Times New Roman" w:hAnsi="Times New Roman"/>
          <w:color w:val="000000"/>
          <w:sz w:val="20"/>
          <w:szCs w:val="20"/>
        </w:rPr>
        <w:t xml:space="preserve">них паперах - на останній день кварталу, в якому їх виконано, підписуються Депозитарною установою у двох оригіналах та подаються Депоненту (Керуючому) для підписання </w:t>
      </w:r>
      <w:proofErr w:type="spellStart"/>
      <w:r w:rsidRPr="00E16672">
        <w:rPr>
          <w:rFonts w:ascii="Times New Roman" w:hAnsi="Times New Roman"/>
          <w:color w:val="000000"/>
          <w:sz w:val="20"/>
          <w:szCs w:val="20"/>
        </w:rPr>
        <w:t>підписання</w:t>
      </w:r>
      <w:proofErr w:type="spellEnd"/>
      <w:r w:rsidRPr="00E16672">
        <w:rPr>
          <w:rFonts w:ascii="Times New Roman" w:hAnsi="Times New Roman"/>
          <w:color w:val="000000"/>
          <w:sz w:val="20"/>
          <w:szCs w:val="20"/>
        </w:rPr>
        <w:t xml:space="preserve"> особисто або направляється поштою в адресу Депонента (Керуючого) (або іншим способом за домовленістю з Депонентом) протягом не більше </w:t>
      </w:r>
      <w:r w:rsidRPr="00E16672">
        <w:rPr>
          <w:rFonts w:ascii="Times New Roman" w:hAnsi="Times New Roman"/>
          <w:i/>
          <w:color w:val="000000"/>
          <w:sz w:val="20"/>
          <w:szCs w:val="20"/>
        </w:rPr>
        <w:t>двадцяти</w:t>
      </w:r>
      <w:r w:rsidRPr="00E16672">
        <w:rPr>
          <w:rFonts w:ascii="Times New Roman" w:hAnsi="Times New Roman"/>
          <w:color w:val="000000"/>
          <w:sz w:val="20"/>
          <w:szCs w:val="20"/>
        </w:rPr>
        <w:t xml:space="preserve"> робочих днів з моменту підписання. </w:t>
      </w:r>
    </w:p>
    <w:p w14:paraId="02E14980" w14:textId="77777777" w:rsidR="007974E8" w:rsidRPr="00E16672" w:rsidRDefault="007974E8" w:rsidP="007974E8">
      <w:pPr>
        <w:pStyle w:val="310"/>
        <w:ind w:left="-15" w:firstLine="582"/>
        <w:rPr>
          <w:rFonts w:ascii="Times New Roman" w:hAnsi="Times New Roman"/>
          <w:color w:val="000000"/>
          <w:sz w:val="20"/>
          <w:szCs w:val="20"/>
        </w:rPr>
      </w:pPr>
      <w:r w:rsidRPr="00E16672">
        <w:rPr>
          <w:rFonts w:ascii="Times New Roman" w:hAnsi="Times New Roman"/>
          <w:color w:val="000000"/>
          <w:sz w:val="20"/>
          <w:szCs w:val="20"/>
        </w:rPr>
        <w:t>Депонент (Керуючий рахунком) має підписати та повернути Депозитарній установі один оригінал на протязі </w:t>
      </w:r>
      <w:r w:rsidRPr="00E16672">
        <w:rPr>
          <w:rFonts w:ascii="Times New Roman" w:hAnsi="Times New Roman"/>
          <w:i/>
          <w:color w:val="000000"/>
          <w:sz w:val="20"/>
          <w:szCs w:val="20"/>
        </w:rPr>
        <w:t xml:space="preserve">десяти </w:t>
      </w:r>
      <w:r w:rsidRPr="00E16672">
        <w:rPr>
          <w:rFonts w:ascii="Times New Roman" w:hAnsi="Times New Roman"/>
          <w:color w:val="000000"/>
          <w:sz w:val="20"/>
          <w:szCs w:val="20"/>
        </w:rPr>
        <w:t xml:space="preserve">календарних днів </w:t>
      </w:r>
      <w:r w:rsidRPr="00E16672">
        <w:rPr>
          <w:rFonts w:ascii="Times New Roman" w:hAnsi="Times New Roman"/>
          <w:color w:val="000000"/>
          <w:sz w:val="20"/>
          <w:szCs w:val="20"/>
          <w:lang w:val="ru-RU"/>
        </w:rPr>
        <w:t>з</w:t>
      </w:r>
      <w:r w:rsidRPr="00E16672">
        <w:rPr>
          <w:rFonts w:ascii="Times New Roman" w:hAnsi="Times New Roman"/>
          <w:color w:val="000000"/>
          <w:sz w:val="20"/>
          <w:szCs w:val="20"/>
        </w:rPr>
        <w:t xml:space="preserve"> моменту отримання. У разі неповернення акту послуги вважаються наданими без заперечень.</w:t>
      </w:r>
    </w:p>
    <w:p w14:paraId="17CD5812" w14:textId="77777777" w:rsidR="007974E8" w:rsidRPr="00E16672" w:rsidRDefault="007974E8" w:rsidP="007974E8">
      <w:pPr>
        <w:pStyle w:val="western"/>
        <w:spacing w:before="0" w:after="0"/>
        <w:jc w:val="both"/>
        <w:rPr>
          <w:rFonts w:ascii="Times New Roman" w:hAnsi="Times New Roman"/>
          <w:b w:val="0"/>
          <w:bCs w:val="0"/>
          <w:color w:val="000000"/>
          <w:szCs w:val="20"/>
          <w:lang w:val="uk-UA"/>
        </w:rPr>
      </w:pPr>
      <w:r w:rsidRPr="00E16672">
        <w:rPr>
          <w:rFonts w:ascii="Times New Roman" w:hAnsi="Times New Roman"/>
          <w:b w:val="0"/>
          <w:bCs w:val="0"/>
          <w:color w:val="000000"/>
          <w:szCs w:val="20"/>
        </w:rPr>
        <w:t xml:space="preserve">Акт </w:t>
      </w:r>
      <w:proofErr w:type="spellStart"/>
      <w:r w:rsidRPr="00E16672">
        <w:rPr>
          <w:rFonts w:ascii="Times New Roman" w:hAnsi="Times New Roman"/>
          <w:b w:val="0"/>
          <w:bCs w:val="0"/>
          <w:color w:val="000000"/>
          <w:szCs w:val="20"/>
        </w:rPr>
        <w:t>виконаних</w:t>
      </w:r>
      <w:proofErr w:type="spellEnd"/>
      <w:r w:rsidRPr="00E16672">
        <w:rPr>
          <w:rFonts w:ascii="Times New Roman" w:hAnsi="Times New Roman"/>
          <w:b w:val="0"/>
          <w:bCs w:val="0"/>
          <w:color w:val="000000"/>
          <w:szCs w:val="20"/>
        </w:rPr>
        <w:t xml:space="preserve"> </w:t>
      </w:r>
      <w:proofErr w:type="spellStart"/>
      <w:r w:rsidRPr="00E16672">
        <w:rPr>
          <w:rFonts w:ascii="Times New Roman" w:hAnsi="Times New Roman"/>
          <w:b w:val="0"/>
          <w:bCs w:val="0"/>
          <w:color w:val="000000"/>
          <w:szCs w:val="20"/>
        </w:rPr>
        <w:t>операцій</w:t>
      </w:r>
      <w:proofErr w:type="spellEnd"/>
      <w:r w:rsidRPr="00E16672">
        <w:rPr>
          <w:rFonts w:ascii="Times New Roman" w:hAnsi="Times New Roman"/>
          <w:b w:val="0"/>
          <w:bCs w:val="0"/>
          <w:color w:val="000000"/>
          <w:szCs w:val="20"/>
        </w:rPr>
        <w:t xml:space="preserve"> </w:t>
      </w:r>
      <w:proofErr w:type="spellStart"/>
      <w:r w:rsidRPr="00E16672">
        <w:rPr>
          <w:rFonts w:ascii="Times New Roman" w:hAnsi="Times New Roman"/>
          <w:b w:val="0"/>
          <w:bCs w:val="0"/>
          <w:color w:val="000000"/>
          <w:szCs w:val="20"/>
        </w:rPr>
        <w:t>може</w:t>
      </w:r>
      <w:proofErr w:type="spellEnd"/>
      <w:r w:rsidRPr="00E16672">
        <w:rPr>
          <w:rFonts w:ascii="Times New Roman" w:hAnsi="Times New Roman"/>
          <w:b w:val="0"/>
          <w:bCs w:val="0"/>
          <w:color w:val="000000"/>
          <w:szCs w:val="20"/>
        </w:rPr>
        <w:t xml:space="preserve"> бути </w:t>
      </w:r>
      <w:proofErr w:type="spellStart"/>
      <w:r w:rsidRPr="00E16672">
        <w:rPr>
          <w:rFonts w:ascii="Times New Roman" w:hAnsi="Times New Roman"/>
          <w:b w:val="0"/>
          <w:bCs w:val="0"/>
          <w:color w:val="000000"/>
          <w:szCs w:val="20"/>
        </w:rPr>
        <w:t>підписаний</w:t>
      </w:r>
      <w:proofErr w:type="spellEnd"/>
      <w:r w:rsidRPr="00E16672">
        <w:rPr>
          <w:rFonts w:ascii="Times New Roman" w:hAnsi="Times New Roman"/>
          <w:b w:val="0"/>
          <w:bCs w:val="0"/>
          <w:color w:val="000000"/>
          <w:szCs w:val="20"/>
        </w:rPr>
        <w:t xml:space="preserve"> Депозитарною </w:t>
      </w:r>
      <w:proofErr w:type="spellStart"/>
      <w:r w:rsidRPr="00E16672">
        <w:rPr>
          <w:rFonts w:ascii="Times New Roman" w:hAnsi="Times New Roman"/>
          <w:b w:val="0"/>
          <w:bCs w:val="0"/>
          <w:color w:val="000000"/>
          <w:szCs w:val="20"/>
        </w:rPr>
        <w:t>установою</w:t>
      </w:r>
      <w:proofErr w:type="spellEnd"/>
      <w:r w:rsidRPr="00E16672">
        <w:rPr>
          <w:rFonts w:ascii="Times New Roman" w:hAnsi="Times New Roman"/>
          <w:b w:val="0"/>
          <w:bCs w:val="0"/>
          <w:color w:val="000000"/>
          <w:szCs w:val="20"/>
        </w:rPr>
        <w:t xml:space="preserve"> та Депонентом за </w:t>
      </w:r>
      <w:proofErr w:type="spellStart"/>
      <w:r w:rsidRPr="00E16672">
        <w:rPr>
          <w:rFonts w:ascii="Times New Roman" w:hAnsi="Times New Roman"/>
          <w:b w:val="0"/>
          <w:bCs w:val="0"/>
          <w:color w:val="000000"/>
          <w:szCs w:val="20"/>
        </w:rPr>
        <w:t>допомогою</w:t>
      </w:r>
      <w:proofErr w:type="spellEnd"/>
      <w:r w:rsidRPr="00E16672">
        <w:rPr>
          <w:rFonts w:ascii="Times New Roman" w:hAnsi="Times New Roman"/>
          <w:b w:val="0"/>
          <w:bCs w:val="0"/>
          <w:color w:val="000000"/>
          <w:szCs w:val="20"/>
        </w:rPr>
        <w:t xml:space="preserve"> </w:t>
      </w:r>
      <w:proofErr w:type="spellStart"/>
      <w:r w:rsidR="002A5E07" w:rsidRPr="00E16672">
        <w:rPr>
          <w:rFonts w:ascii="Times New Roman" w:hAnsi="Times New Roman"/>
          <w:b w:val="0"/>
          <w:szCs w:val="20"/>
        </w:rPr>
        <w:t>кваліфікований</w:t>
      </w:r>
      <w:proofErr w:type="spellEnd"/>
      <w:r w:rsidR="002A5E07" w:rsidRPr="00E16672">
        <w:rPr>
          <w:rFonts w:ascii="Times New Roman" w:hAnsi="Times New Roman"/>
          <w:b w:val="0"/>
          <w:szCs w:val="20"/>
        </w:rPr>
        <w:t xml:space="preserve"> </w:t>
      </w:r>
      <w:proofErr w:type="spellStart"/>
      <w:r w:rsidR="002A5E07" w:rsidRPr="00E16672">
        <w:rPr>
          <w:rFonts w:ascii="Times New Roman" w:hAnsi="Times New Roman"/>
          <w:b w:val="0"/>
          <w:szCs w:val="20"/>
        </w:rPr>
        <w:t>електронний</w:t>
      </w:r>
      <w:proofErr w:type="spellEnd"/>
      <w:r w:rsidR="002A5E07" w:rsidRPr="00E16672">
        <w:rPr>
          <w:rFonts w:ascii="Times New Roman" w:hAnsi="Times New Roman"/>
          <w:b w:val="0"/>
          <w:szCs w:val="20"/>
        </w:rPr>
        <w:t xml:space="preserve"> </w:t>
      </w:r>
      <w:proofErr w:type="spellStart"/>
      <w:r w:rsidR="002A5E07" w:rsidRPr="00E16672">
        <w:rPr>
          <w:rFonts w:ascii="Times New Roman" w:hAnsi="Times New Roman"/>
          <w:b w:val="0"/>
          <w:szCs w:val="20"/>
        </w:rPr>
        <w:t>підпис</w:t>
      </w:r>
      <w:proofErr w:type="spellEnd"/>
      <w:r w:rsidRPr="00E16672">
        <w:rPr>
          <w:rFonts w:ascii="Times New Roman" w:hAnsi="Times New Roman"/>
          <w:b w:val="0"/>
          <w:bCs w:val="0"/>
          <w:color w:val="000000"/>
          <w:szCs w:val="20"/>
        </w:rPr>
        <w:t xml:space="preserve"> </w:t>
      </w:r>
      <w:r w:rsidRPr="00E16672">
        <w:rPr>
          <w:rFonts w:ascii="Times New Roman" w:hAnsi="Times New Roman"/>
          <w:b w:val="0"/>
          <w:bCs w:val="0"/>
          <w:color w:val="000000"/>
          <w:szCs w:val="20"/>
          <w:lang w:val="uk-UA"/>
        </w:rPr>
        <w:t xml:space="preserve">та </w:t>
      </w:r>
      <w:proofErr w:type="spellStart"/>
      <w:r w:rsidR="002A5E07" w:rsidRPr="00E16672">
        <w:rPr>
          <w:rFonts w:ascii="Times New Roman" w:hAnsi="Times New Roman"/>
          <w:b w:val="0"/>
          <w:szCs w:val="20"/>
        </w:rPr>
        <w:t>кваліфікований</w:t>
      </w:r>
      <w:proofErr w:type="spellEnd"/>
      <w:r w:rsidR="002A5E07" w:rsidRPr="00E16672">
        <w:rPr>
          <w:rFonts w:ascii="Times New Roman" w:hAnsi="Times New Roman"/>
          <w:b w:val="0"/>
          <w:szCs w:val="20"/>
        </w:rPr>
        <w:t xml:space="preserve"> </w:t>
      </w:r>
      <w:proofErr w:type="spellStart"/>
      <w:r w:rsidR="002A5E07" w:rsidRPr="00E16672">
        <w:rPr>
          <w:rFonts w:ascii="Times New Roman" w:hAnsi="Times New Roman"/>
          <w:b w:val="0"/>
          <w:szCs w:val="20"/>
        </w:rPr>
        <w:t>електронний</w:t>
      </w:r>
      <w:proofErr w:type="spellEnd"/>
      <w:r w:rsidR="002A5E07" w:rsidRPr="00E16672">
        <w:rPr>
          <w:rFonts w:ascii="Times New Roman" w:hAnsi="Times New Roman"/>
          <w:b w:val="0"/>
          <w:szCs w:val="20"/>
        </w:rPr>
        <w:t xml:space="preserve"> </w:t>
      </w:r>
      <w:proofErr w:type="spellStart"/>
      <w:r w:rsidR="002A5E07" w:rsidRPr="00E16672">
        <w:rPr>
          <w:rFonts w:ascii="Times New Roman" w:hAnsi="Times New Roman"/>
          <w:b w:val="0"/>
          <w:szCs w:val="20"/>
        </w:rPr>
        <w:t>підпис</w:t>
      </w:r>
      <w:proofErr w:type="spellEnd"/>
      <w:r w:rsidRPr="00E16672">
        <w:rPr>
          <w:rFonts w:ascii="Times New Roman" w:hAnsi="Times New Roman"/>
          <w:b w:val="0"/>
          <w:bCs w:val="0"/>
          <w:color w:val="000000"/>
          <w:szCs w:val="20"/>
        </w:rPr>
        <w:t xml:space="preserve">, </w:t>
      </w:r>
      <w:proofErr w:type="spellStart"/>
      <w:r w:rsidRPr="00E16672">
        <w:rPr>
          <w:rFonts w:ascii="Times New Roman" w:hAnsi="Times New Roman"/>
          <w:b w:val="0"/>
          <w:bCs w:val="0"/>
          <w:color w:val="000000"/>
          <w:szCs w:val="20"/>
        </w:rPr>
        <w:t>що</w:t>
      </w:r>
      <w:proofErr w:type="spellEnd"/>
      <w:r w:rsidRPr="00E16672">
        <w:rPr>
          <w:rFonts w:ascii="Times New Roman" w:hAnsi="Times New Roman"/>
          <w:b w:val="0"/>
          <w:bCs w:val="0"/>
          <w:color w:val="000000"/>
          <w:szCs w:val="20"/>
        </w:rPr>
        <w:t xml:space="preserve"> за </w:t>
      </w:r>
      <w:proofErr w:type="spellStart"/>
      <w:r w:rsidRPr="00E16672">
        <w:rPr>
          <w:rFonts w:ascii="Times New Roman" w:hAnsi="Times New Roman"/>
          <w:b w:val="0"/>
          <w:bCs w:val="0"/>
          <w:color w:val="000000"/>
          <w:szCs w:val="20"/>
        </w:rPr>
        <w:t>правовим</w:t>
      </w:r>
      <w:proofErr w:type="spellEnd"/>
      <w:r w:rsidRPr="00E16672">
        <w:rPr>
          <w:rFonts w:ascii="Times New Roman" w:hAnsi="Times New Roman"/>
          <w:b w:val="0"/>
          <w:bCs w:val="0"/>
          <w:color w:val="000000"/>
          <w:szCs w:val="20"/>
        </w:rPr>
        <w:t xml:space="preserve"> статусом </w:t>
      </w:r>
      <w:proofErr w:type="spellStart"/>
      <w:r w:rsidRPr="00E16672">
        <w:rPr>
          <w:rFonts w:ascii="Times New Roman" w:hAnsi="Times New Roman"/>
          <w:b w:val="0"/>
          <w:bCs w:val="0"/>
          <w:color w:val="000000"/>
          <w:szCs w:val="20"/>
        </w:rPr>
        <w:t>прирівнюється</w:t>
      </w:r>
      <w:proofErr w:type="spellEnd"/>
      <w:r w:rsidRPr="00E16672">
        <w:rPr>
          <w:rFonts w:ascii="Times New Roman" w:hAnsi="Times New Roman"/>
          <w:b w:val="0"/>
          <w:bCs w:val="0"/>
          <w:color w:val="000000"/>
          <w:szCs w:val="20"/>
        </w:rPr>
        <w:t xml:space="preserve"> до печатки </w:t>
      </w:r>
      <w:proofErr w:type="spellStart"/>
      <w:r w:rsidRPr="00E16672">
        <w:rPr>
          <w:rFonts w:ascii="Times New Roman" w:hAnsi="Times New Roman"/>
          <w:b w:val="0"/>
          <w:bCs w:val="0"/>
          <w:color w:val="000000"/>
          <w:szCs w:val="20"/>
        </w:rPr>
        <w:t>юридичної</w:t>
      </w:r>
      <w:proofErr w:type="spellEnd"/>
      <w:r w:rsidRPr="00E16672">
        <w:rPr>
          <w:rFonts w:ascii="Times New Roman" w:hAnsi="Times New Roman"/>
          <w:b w:val="0"/>
          <w:bCs w:val="0"/>
          <w:color w:val="000000"/>
          <w:szCs w:val="20"/>
        </w:rPr>
        <w:t xml:space="preserve"> особи (</w:t>
      </w:r>
      <w:proofErr w:type="spellStart"/>
      <w:r w:rsidRPr="00E16672">
        <w:rPr>
          <w:rFonts w:ascii="Times New Roman" w:hAnsi="Times New Roman"/>
          <w:b w:val="0"/>
          <w:bCs w:val="0"/>
          <w:color w:val="000000"/>
          <w:szCs w:val="20"/>
        </w:rPr>
        <w:t>крім</w:t>
      </w:r>
      <w:proofErr w:type="spellEnd"/>
      <w:r w:rsidRPr="00E16672">
        <w:rPr>
          <w:rFonts w:ascii="Times New Roman" w:hAnsi="Times New Roman"/>
          <w:b w:val="0"/>
          <w:bCs w:val="0"/>
          <w:color w:val="000000"/>
          <w:szCs w:val="20"/>
        </w:rPr>
        <w:t xml:space="preserve"> </w:t>
      </w:r>
      <w:proofErr w:type="spellStart"/>
      <w:r w:rsidRPr="00E16672">
        <w:rPr>
          <w:rFonts w:ascii="Times New Roman" w:hAnsi="Times New Roman"/>
          <w:b w:val="0"/>
          <w:bCs w:val="0"/>
          <w:color w:val="000000"/>
          <w:szCs w:val="20"/>
        </w:rPr>
        <w:t>керуючих</w:t>
      </w:r>
      <w:proofErr w:type="spellEnd"/>
      <w:r w:rsidRPr="00E16672">
        <w:rPr>
          <w:rFonts w:ascii="Times New Roman" w:hAnsi="Times New Roman"/>
          <w:b w:val="0"/>
          <w:bCs w:val="0"/>
          <w:color w:val="000000"/>
          <w:szCs w:val="20"/>
        </w:rPr>
        <w:t xml:space="preserve"> </w:t>
      </w:r>
      <w:proofErr w:type="spellStart"/>
      <w:r w:rsidRPr="00E16672">
        <w:rPr>
          <w:rFonts w:ascii="Times New Roman" w:hAnsi="Times New Roman"/>
          <w:b w:val="0"/>
          <w:bCs w:val="0"/>
          <w:color w:val="000000"/>
          <w:szCs w:val="20"/>
        </w:rPr>
        <w:t>рахунком</w:t>
      </w:r>
      <w:proofErr w:type="spellEnd"/>
      <w:r w:rsidRPr="00E16672">
        <w:rPr>
          <w:rFonts w:ascii="Times New Roman" w:hAnsi="Times New Roman"/>
          <w:b w:val="0"/>
          <w:bCs w:val="0"/>
          <w:color w:val="000000"/>
          <w:szCs w:val="20"/>
        </w:rPr>
        <w:t xml:space="preserve">). </w:t>
      </w:r>
      <w:r w:rsidRPr="00E16672">
        <w:rPr>
          <w:rFonts w:ascii="Times New Roman" w:hAnsi="Times New Roman"/>
          <w:b w:val="0"/>
          <w:bCs w:val="0"/>
          <w:color w:val="000000"/>
          <w:szCs w:val="20"/>
          <w:lang w:val="uk-UA"/>
        </w:rPr>
        <w:t xml:space="preserve">Рахунок також може бути підписаний за допомогою </w:t>
      </w:r>
      <w:proofErr w:type="spellStart"/>
      <w:r w:rsidR="002A5E07" w:rsidRPr="00E16672">
        <w:rPr>
          <w:rFonts w:ascii="Times New Roman" w:hAnsi="Times New Roman"/>
          <w:b w:val="0"/>
          <w:szCs w:val="20"/>
        </w:rPr>
        <w:t>кваліфікований</w:t>
      </w:r>
      <w:proofErr w:type="spellEnd"/>
      <w:r w:rsidR="002A5E07" w:rsidRPr="00E16672">
        <w:rPr>
          <w:rFonts w:ascii="Times New Roman" w:hAnsi="Times New Roman"/>
          <w:b w:val="0"/>
          <w:szCs w:val="20"/>
        </w:rPr>
        <w:t xml:space="preserve"> </w:t>
      </w:r>
      <w:proofErr w:type="spellStart"/>
      <w:r w:rsidR="002A5E07" w:rsidRPr="00E16672">
        <w:rPr>
          <w:rFonts w:ascii="Times New Roman" w:hAnsi="Times New Roman"/>
          <w:b w:val="0"/>
          <w:szCs w:val="20"/>
        </w:rPr>
        <w:t>електронний</w:t>
      </w:r>
      <w:proofErr w:type="spellEnd"/>
      <w:r w:rsidR="002A5E07" w:rsidRPr="00E16672">
        <w:rPr>
          <w:rFonts w:ascii="Times New Roman" w:hAnsi="Times New Roman"/>
          <w:b w:val="0"/>
          <w:szCs w:val="20"/>
        </w:rPr>
        <w:t xml:space="preserve"> </w:t>
      </w:r>
      <w:proofErr w:type="spellStart"/>
      <w:r w:rsidR="002A5E07" w:rsidRPr="00E16672">
        <w:rPr>
          <w:rFonts w:ascii="Times New Roman" w:hAnsi="Times New Roman"/>
          <w:b w:val="0"/>
          <w:szCs w:val="20"/>
        </w:rPr>
        <w:t>підпис</w:t>
      </w:r>
      <w:proofErr w:type="spellEnd"/>
      <w:r w:rsidRPr="00E16672">
        <w:rPr>
          <w:rFonts w:ascii="Times New Roman" w:hAnsi="Times New Roman"/>
          <w:b w:val="0"/>
          <w:bCs w:val="0"/>
          <w:color w:val="000000"/>
          <w:szCs w:val="20"/>
          <w:lang w:val="uk-UA"/>
        </w:rPr>
        <w:t xml:space="preserve"> </w:t>
      </w:r>
      <w:proofErr w:type="spellStart"/>
      <w:r w:rsidR="002A5E07" w:rsidRPr="00E16672">
        <w:rPr>
          <w:rFonts w:ascii="Times New Roman" w:hAnsi="Times New Roman"/>
          <w:b w:val="0"/>
          <w:szCs w:val="20"/>
        </w:rPr>
        <w:t>кваліфіковани</w:t>
      </w:r>
      <w:proofErr w:type="spellEnd"/>
      <w:r w:rsidR="002A5E07" w:rsidRPr="00E16672">
        <w:rPr>
          <w:rFonts w:ascii="Times New Roman" w:hAnsi="Times New Roman"/>
          <w:b w:val="0"/>
          <w:szCs w:val="20"/>
          <w:lang w:val="uk-UA"/>
        </w:rPr>
        <w:t>м</w:t>
      </w:r>
      <w:r w:rsidR="002A5E07" w:rsidRPr="00E16672">
        <w:rPr>
          <w:rFonts w:ascii="Times New Roman" w:hAnsi="Times New Roman"/>
          <w:b w:val="0"/>
          <w:szCs w:val="20"/>
        </w:rPr>
        <w:t xml:space="preserve"> </w:t>
      </w:r>
      <w:proofErr w:type="spellStart"/>
      <w:r w:rsidR="002A5E07" w:rsidRPr="00E16672">
        <w:rPr>
          <w:rFonts w:ascii="Times New Roman" w:hAnsi="Times New Roman"/>
          <w:b w:val="0"/>
          <w:szCs w:val="20"/>
        </w:rPr>
        <w:t>електронни</w:t>
      </w:r>
      <w:proofErr w:type="spellEnd"/>
      <w:r w:rsidR="002A5E07" w:rsidRPr="00E16672">
        <w:rPr>
          <w:rFonts w:ascii="Times New Roman" w:hAnsi="Times New Roman"/>
          <w:b w:val="0"/>
          <w:szCs w:val="20"/>
          <w:lang w:val="uk-UA"/>
        </w:rPr>
        <w:t>м</w:t>
      </w:r>
      <w:r w:rsidR="002A5E07" w:rsidRPr="00E16672">
        <w:rPr>
          <w:rFonts w:ascii="Times New Roman" w:hAnsi="Times New Roman"/>
          <w:b w:val="0"/>
          <w:szCs w:val="20"/>
        </w:rPr>
        <w:t xml:space="preserve"> </w:t>
      </w:r>
      <w:proofErr w:type="spellStart"/>
      <w:r w:rsidR="002A5E07" w:rsidRPr="00E16672">
        <w:rPr>
          <w:rFonts w:ascii="Times New Roman" w:hAnsi="Times New Roman"/>
          <w:b w:val="0"/>
          <w:szCs w:val="20"/>
        </w:rPr>
        <w:t>підпис</w:t>
      </w:r>
      <w:r w:rsidR="002A5E07" w:rsidRPr="00E16672">
        <w:rPr>
          <w:rFonts w:ascii="Times New Roman" w:hAnsi="Times New Roman"/>
          <w:b w:val="0"/>
          <w:szCs w:val="20"/>
          <w:lang w:val="uk-UA"/>
        </w:rPr>
        <w:t>ом</w:t>
      </w:r>
      <w:proofErr w:type="spellEnd"/>
      <w:r w:rsidRPr="00E16672">
        <w:rPr>
          <w:rFonts w:ascii="Times New Roman" w:hAnsi="Times New Roman"/>
          <w:b w:val="0"/>
          <w:bCs w:val="0"/>
          <w:color w:val="000000"/>
          <w:szCs w:val="20"/>
          <w:lang w:val="uk-UA"/>
        </w:rPr>
        <w:t>, що за правовим статусом прирівнюється до печатки юридичної особи (крім керуючих рахунком).</w:t>
      </w:r>
    </w:p>
    <w:p w14:paraId="3BB85BBA" w14:textId="77777777" w:rsidR="007974E8" w:rsidRPr="00E16672" w:rsidRDefault="007974E8" w:rsidP="007974E8">
      <w:pPr>
        <w:rPr>
          <w:rFonts w:ascii="Times New Roman" w:hAnsi="Times New Roman"/>
          <w:color w:val="000000"/>
          <w:szCs w:val="20"/>
        </w:rPr>
      </w:pPr>
      <w:r w:rsidRPr="00E16672">
        <w:rPr>
          <w:rFonts w:ascii="Times New Roman" w:hAnsi="Times New Roman"/>
          <w:color w:val="000000"/>
          <w:szCs w:val="20"/>
        </w:rPr>
        <w:t>4.4. Плата вноситься Депонентом (</w:t>
      </w:r>
      <w:proofErr w:type="spellStart"/>
      <w:r w:rsidRPr="00E16672">
        <w:rPr>
          <w:rFonts w:ascii="Times New Roman" w:hAnsi="Times New Roman"/>
          <w:color w:val="000000"/>
          <w:szCs w:val="20"/>
        </w:rPr>
        <w:t>Керуючим</w:t>
      </w:r>
      <w:proofErr w:type="spellEnd"/>
      <w:r w:rsidRPr="00E16672">
        <w:rPr>
          <w:rFonts w:ascii="Times New Roman" w:hAnsi="Times New Roman"/>
          <w:color w:val="000000"/>
          <w:szCs w:val="20"/>
          <w:lang w:val="uk-UA"/>
        </w:rPr>
        <w:t xml:space="preserve"> рахунком</w:t>
      </w:r>
      <w:r w:rsidRPr="00E16672">
        <w:rPr>
          <w:rFonts w:ascii="Times New Roman" w:hAnsi="Times New Roman"/>
          <w:color w:val="000000"/>
          <w:szCs w:val="20"/>
        </w:rPr>
        <w:t xml:space="preserve">) у </w:t>
      </w:r>
      <w:proofErr w:type="spellStart"/>
      <w:r w:rsidRPr="00E16672">
        <w:rPr>
          <w:rFonts w:ascii="Times New Roman" w:hAnsi="Times New Roman"/>
          <w:color w:val="000000"/>
          <w:szCs w:val="20"/>
        </w:rPr>
        <w:t>безготівковій</w:t>
      </w:r>
      <w:proofErr w:type="spellEnd"/>
      <w:r w:rsidRPr="00E16672">
        <w:rPr>
          <w:rFonts w:ascii="Times New Roman" w:hAnsi="Times New Roman"/>
          <w:color w:val="000000"/>
          <w:szCs w:val="20"/>
        </w:rPr>
        <w:t xml:space="preserve"> </w:t>
      </w:r>
      <w:proofErr w:type="spellStart"/>
      <w:proofErr w:type="gramStart"/>
      <w:r w:rsidRPr="00E16672">
        <w:rPr>
          <w:rFonts w:ascii="Times New Roman" w:hAnsi="Times New Roman"/>
          <w:color w:val="000000"/>
          <w:szCs w:val="20"/>
        </w:rPr>
        <w:t>формі</w:t>
      </w:r>
      <w:proofErr w:type="spellEnd"/>
      <w:r w:rsidRPr="00E16672">
        <w:rPr>
          <w:rFonts w:ascii="Times New Roman" w:hAnsi="Times New Roman"/>
          <w:color w:val="000000"/>
          <w:szCs w:val="20"/>
        </w:rPr>
        <w:t xml:space="preserve">  шляхом</w:t>
      </w:r>
      <w:proofErr w:type="gram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перерахування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грошових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коштів</w:t>
      </w:r>
      <w:proofErr w:type="spellEnd"/>
      <w:r w:rsidRPr="00E16672">
        <w:rPr>
          <w:rFonts w:ascii="Times New Roman" w:hAnsi="Times New Roman"/>
          <w:color w:val="000000"/>
          <w:szCs w:val="20"/>
        </w:rPr>
        <w:t xml:space="preserve"> на </w:t>
      </w:r>
      <w:proofErr w:type="spellStart"/>
      <w:r w:rsidRPr="00E16672">
        <w:rPr>
          <w:rFonts w:ascii="Times New Roman" w:hAnsi="Times New Roman"/>
          <w:color w:val="000000"/>
          <w:szCs w:val="20"/>
        </w:rPr>
        <w:t>рахунок</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Депозитарної</w:t>
      </w:r>
      <w:proofErr w:type="spellEnd"/>
      <w:r w:rsidRPr="00E16672">
        <w:rPr>
          <w:rFonts w:ascii="Times New Roman" w:hAnsi="Times New Roman"/>
          <w:color w:val="000000"/>
          <w:szCs w:val="20"/>
        </w:rPr>
        <w:t xml:space="preserve"> установи за </w:t>
      </w:r>
      <w:proofErr w:type="spellStart"/>
      <w:r w:rsidRPr="00E16672">
        <w:rPr>
          <w:rFonts w:ascii="Times New Roman" w:hAnsi="Times New Roman"/>
          <w:color w:val="000000"/>
          <w:szCs w:val="20"/>
        </w:rPr>
        <w:t>реквізитами</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вказаними</w:t>
      </w:r>
      <w:proofErr w:type="spellEnd"/>
      <w:r w:rsidRPr="00E16672">
        <w:rPr>
          <w:rFonts w:ascii="Times New Roman" w:hAnsi="Times New Roman"/>
          <w:color w:val="000000"/>
          <w:szCs w:val="20"/>
        </w:rPr>
        <w:t xml:space="preserve"> Депозитарною </w:t>
      </w:r>
      <w:proofErr w:type="spellStart"/>
      <w:r w:rsidRPr="00E16672">
        <w:rPr>
          <w:rFonts w:ascii="Times New Roman" w:hAnsi="Times New Roman"/>
          <w:color w:val="000000"/>
          <w:szCs w:val="20"/>
        </w:rPr>
        <w:t>установою</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Операція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закриття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рахунку</w:t>
      </w:r>
      <w:proofErr w:type="spellEnd"/>
      <w:r w:rsidRPr="00E16672">
        <w:rPr>
          <w:rFonts w:ascii="Times New Roman" w:hAnsi="Times New Roman"/>
          <w:color w:val="000000"/>
          <w:szCs w:val="20"/>
        </w:rPr>
        <w:t xml:space="preserve"> </w:t>
      </w:r>
      <w:r w:rsidR="00C22309" w:rsidRPr="00E16672">
        <w:rPr>
          <w:rFonts w:ascii="Times New Roman" w:hAnsi="Times New Roman"/>
          <w:color w:val="000000"/>
          <w:szCs w:val="20"/>
        </w:rPr>
        <w:t xml:space="preserve">в </w:t>
      </w:r>
      <w:proofErr w:type="spellStart"/>
      <w:r w:rsidR="00C22309" w:rsidRPr="00E16672">
        <w:rPr>
          <w:rFonts w:ascii="Times New Roman" w:hAnsi="Times New Roman"/>
          <w:color w:val="000000"/>
          <w:szCs w:val="20"/>
        </w:rPr>
        <w:t>цін</w:t>
      </w:r>
      <w:r w:rsidRPr="00E16672">
        <w:rPr>
          <w:rFonts w:ascii="Times New Roman" w:hAnsi="Times New Roman"/>
          <w:color w:val="000000"/>
          <w:szCs w:val="20"/>
        </w:rPr>
        <w:t>них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паперах</w:t>
      </w:r>
      <w:proofErr w:type="spellEnd"/>
      <w:r w:rsidRPr="00E16672">
        <w:rPr>
          <w:rFonts w:ascii="Times New Roman" w:hAnsi="Times New Roman"/>
          <w:color w:val="000000"/>
          <w:szCs w:val="20"/>
        </w:rPr>
        <w:t xml:space="preserve"> повинна бути оплачена до </w:t>
      </w:r>
      <w:proofErr w:type="spellStart"/>
      <w:r w:rsidRPr="00E16672">
        <w:rPr>
          <w:rFonts w:ascii="Times New Roman" w:hAnsi="Times New Roman"/>
          <w:color w:val="000000"/>
          <w:szCs w:val="20"/>
        </w:rPr>
        <w:t>виконання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цієї</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послуги</w:t>
      </w:r>
      <w:proofErr w:type="spellEnd"/>
      <w:r w:rsidRPr="00E16672">
        <w:rPr>
          <w:rFonts w:ascii="Times New Roman" w:hAnsi="Times New Roman"/>
          <w:color w:val="000000"/>
          <w:szCs w:val="20"/>
        </w:rPr>
        <w:t xml:space="preserve">.  </w:t>
      </w:r>
    </w:p>
    <w:p w14:paraId="2AA3CE11" w14:textId="77777777" w:rsidR="007974E8" w:rsidRPr="00E16672" w:rsidRDefault="007974E8" w:rsidP="007974E8">
      <w:pPr>
        <w:rPr>
          <w:rFonts w:ascii="Times New Roman" w:hAnsi="Times New Roman"/>
          <w:color w:val="000000"/>
          <w:szCs w:val="20"/>
        </w:rPr>
      </w:pPr>
      <w:r w:rsidRPr="00E16672">
        <w:rPr>
          <w:rFonts w:ascii="Times New Roman" w:hAnsi="Times New Roman"/>
          <w:color w:val="000000"/>
          <w:szCs w:val="20"/>
        </w:rPr>
        <w:t>4.</w:t>
      </w:r>
      <w:r w:rsidRPr="00E16672">
        <w:rPr>
          <w:rFonts w:ascii="Times New Roman" w:hAnsi="Times New Roman"/>
          <w:color w:val="000000"/>
          <w:szCs w:val="20"/>
          <w:lang w:val="uk-UA"/>
        </w:rPr>
        <w:t>6</w:t>
      </w:r>
      <w:r w:rsidRPr="00E16672">
        <w:rPr>
          <w:rFonts w:ascii="Times New Roman" w:hAnsi="Times New Roman"/>
          <w:color w:val="000000"/>
          <w:szCs w:val="20"/>
        </w:rPr>
        <w:t xml:space="preserve">. У </w:t>
      </w:r>
      <w:proofErr w:type="spellStart"/>
      <w:r w:rsidRPr="00E16672">
        <w:rPr>
          <w:rFonts w:ascii="Times New Roman" w:hAnsi="Times New Roman"/>
          <w:color w:val="000000"/>
          <w:szCs w:val="20"/>
        </w:rPr>
        <w:t>разі</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припинення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дії</w:t>
      </w:r>
      <w:proofErr w:type="spellEnd"/>
      <w:r w:rsidRPr="00E16672">
        <w:rPr>
          <w:rFonts w:ascii="Times New Roman" w:hAnsi="Times New Roman"/>
          <w:color w:val="000000"/>
          <w:szCs w:val="20"/>
        </w:rPr>
        <w:t xml:space="preserve"> Договору Депонент (</w:t>
      </w:r>
      <w:proofErr w:type="spellStart"/>
      <w:r w:rsidRPr="00E16672">
        <w:rPr>
          <w:rFonts w:ascii="Times New Roman" w:hAnsi="Times New Roman"/>
          <w:color w:val="000000"/>
          <w:szCs w:val="20"/>
        </w:rPr>
        <w:t>Керуючий</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рахунком</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зобов’язаний</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сплатити</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фактично</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надані</w:t>
      </w:r>
      <w:proofErr w:type="spellEnd"/>
      <w:r w:rsidRPr="00E16672">
        <w:rPr>
          <w:rFonts w:ascii="Times New Roman" w:hAnsi="Times New Roman"/>
          <w:color w:val="000000"/>
          <w:szCs w:val="20"/>
        </w:rPr>
        <w:t xml:space="preserve"> Депозитарною </w:t>
      </w:r>
      <w:proofErr w:type="spellStart"/>
      <w:r w:rsidRPr="00E16672">
        <w:rPr>
          <w:rFonts w:ascii="Times New Roman" w:hAnsi="Times New Roman"/>
          <w:color w:val="000000"/>
          <w:szCs w:val="20"/>
        </w:rPr>
        <w:t>установою</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послуги</w:t>
      </w:r>
      <w:proofErr w:type="spellEnd"/>
      <w:r w:rsidRPr="00E16672">
        <w:rPr>
          <w:rFonts w:ascii="Times New Roman" w:hAnsi="Times New Roman"/>
          <w:color w:val="000000"/>
          <w:szCs w:val="20"/>
        </w:rPr>
        <w:t xml:space="preserve"> </w:t>
      </w:r>
      <w:proofErr w:type="gramStart"/>
      <w:r w:rsidRPr="00E16672">
        <w:rPr>
          <w:rFonts w:ascii="Times New Roman" w:hAnsi="Times New Roman"/>
          <w:color w:val="000000"/>
          <w:szCs w:val="20"/>
        </w:rPr>
        <w:t>до моменту</w:t>
      </w:r>
      <w:proofErr w:type="gram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припинення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дії</w:t>
      </w:r>
      <w:proofErr w:type="spellEnd"/>
      <w:r w:rsidRPr="00E16672">
        <w:rPr>
          <w:rFonts w:ascii="Times New Roman" w:hAnsi="Times New Roman"/>
          <w:color w:val="000000"/>
          <w:szCs w:val="20"/>
        </w:rPr>
        <w:t xml:space="preserve"> Договору.</w:t>
      </w:r>
    </w:p>
    <w:p w14:paraId="69253C16" w14:textId="77777777" w:rsidR="007974E8" w:rsidRPr="00E16672" w:rsidRDefault="007974E8" w:rsidP="007974E8">
      <w:pPr>
        <w:rPr>
          <w:rFonts w:ascii="Times New Roman" w:hAnsi="Times New Roman"/>
          <w:color w:val="000000"/>
          <w:szCs w:val="20"/>
        </w:rPr>
      </w:pPr>
      <w:r w:rsidRPr="00E16672">
        <w:rPr>
          <w:rFonts w:ascii="Times New Roman" w:hAnsi="Times New Roman"/>
          <w:color w:val="000000"/>
          <w:szCs w:val="20"/>
        </w:rPr>
        <w:t xml:space="preserve">4.7. Оплата за </w:t>
      </w:r>
      <w:proofErr w:type="spellStart"/>
      <w:r w:rsidRPr="00E16672">
        <w:rPr>
          <w:rFonts w:ascii="Times New Roman" w:hAnsi="Times New Roman"/>
          <w:color w:val="000000"/>
          <w:szCs w:val="20"/>
        </w:rPr>
        <w:t>послуги</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надані</w:t>
      </w:r>
      <w:proofErr w:type="spellEnd"/>
      <w:r w:rsidRPr="00E16672">
        <w:rPr>
          <w:rFonts w:ascii="Times New Roman" w:hAnsi="Times New Roman"/>
          <w:color w:val="000000"/>
          <w:szCs w:val="20"/>
        </w:rPr>
        <w:t xml:space="preserve"> </w:t>
      </w:r>
      <w:r w:rsidRPr="00E16672">
        <w:rPr>
          <w:rFonts w:ascii="Times New Roman" w:hAnsi="Times New Roman"/>
          <w:color w:val="000000"/>
          <w:szCs w:val="20"/>
          <w:lang w:val="uk-UA"/>
        </w:rPr>
        <w:t>Депоненту</w:t>
      </w:r>
      <w:r w:rsidRPr="00E16672">
        <w:rPr>
          <w:rFonts w:ascii="Times New Roman" w:hAnsi="Times New Roman"/>
          <w:color w:val="000000"/>
          <w:szCs w:val="20"/>
        </w:rPr>
        <w:t xml:space="preserve"> Депозитарною </w:t>
      </w:r>
      <w:proofErr w:type="spellStart"/>
      <w:r w:rsidRPr="00E16672">
        <w:rPr>
          <w:rFonts w:ascii="Times New Roman" w:hAnsi="Times New Roman"/>
          <w:color w:val="000000"/>
          <w:szCs w:val="20"/>
        </w:rPr>
        <w:t>установою</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може</w:t>
      </w:r>
      <w:proofErr w:type="spellEnd"/>
      <w:r w:rsidRPr="00E16672">
        <w:rPr>
          <w:rFonts w:ascii="Times New Roman" w:hAnsi="Times New Roman"/>
          <w:color w:val="000000"/>
          <w:szCs w:val="20"/>
        </w:rPr>
        <w:t xml:space="preserve"> бути </w:t>
      </w:r>
      <w:proofErr w:type="spellStart"/>
      <w:r w:rsidRPr="00E16672">
        <w:rPr>
          <w:rFonts w:ascii="Times New Roman" w:hAnsi="Times New Roman"/>
          <w:color w:val="000000"/>
          <w:szCs w:val="20"/>
        </w:rPr>
        <w:t>здійснена</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третіми</w:t>
      </w:r>
      <w:proofErr w:type="spellEnd"/>
      <w:r w:rsidRPr="00E16672">
        <w:rPr>
          <w:rFonts w:ascii="Times New Roman" w:hAnsi="Times New Roman"/>
          <w:color w:val="000000"/>
          <w:szCs w:val="20"/>
        </w:rPr>
        <w:t xml:space="preserve"> особами. Оплата </w:t>
      </w:r>
      <w:proofErr w:type="spellStart"/>
      <w:r w:rsidRPr="00E16672">
        <w:rPr>
          <w:rFonts w:ascii="Times New Roman" w:hAnsi="Times New Roman"/>
          <w:color w:val="000000"/>
          <w:szCs w:val="20"/>
        </w:rPr>
        <w:t>здійснюється</w:t>
      </w:r>
      <w:proofErr w:type="spellEnd"/>
      <w:r w:rsidRPr="00E16672">
        <w:rPr>
          <w:rFonts w:ascii="Times New Roman" w:hAnsi="Times New Roman"/>
          <w:color w:val="000000"/>
          <w:szCs w:val="20"/>
        </w:rPr>
        <w:t xml:space="preserve"> на </w:t>
      </w:r>
      <w:proofErr w:type="spellStart"/>
      <w:r w:rsidRPr="00E16672">
        <w:rPr>
          <w:rFonts w:ascii="Times New Roman" w:hAnsi="Times New Roman"/>
          <w:color w:val="000000"/>
          <w:szCs w:val="20"/>
        </w:rPr>
        <w:t>підставі</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рахунків</w:t>
      </w:r>
      <w:proofErr w:type="spellEnd"/>
      <w:r w:rsidRPr="00E16672">
        <w:rPr>
          <w:rFonts w:ascii="Times New Roman" w:hAnsi="Times New Roman"/>
          <w:color w:val="000000"/>
          <w:szCs w:val="20"/>
        </w:rPr>
        <w:t>/</w:t>
      </w:r>
      <w:proofErr w:type="spellStart"/>
      <w:r w:rsidRPr="00E16672">
        <w:rPr>
          <w:rFonts w:ascii="Times New Roman" w:hAnsi="Times New Roman"/>
          <w:color w:val="000000"/>
          <w:szCs w:val="20"/>
        </w:rPr>
        <w:t>актів</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виконаних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робіт</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виставлених</w:t>
      </w:r>
      <w:proofErr w:type="spellEnd"/>
      <w:r w:rsidRPr="00E16672">
        <w:rPr>
          <w:rFonts w:ascii="Times New Roman" w:hAnsi="Times New Roman"/>
          <w:color w:val="000000"/>
          <w:szCs w:val="20"/>
        </w:rPr>
        <w:t xml:space="preserve"> </w:t>
      </w:r>
      <w:r w:rsidRPr="00E16672">
        <w:rPr>
          <w:rFonts w:ascii="Times New Roman" w:hAnsi="Times New Roman"/>
          <w:color w:val="000000"/>
          <w:szCs w:val="20"/>
          <w:lang w:val="uk-UA"/>
        </w:rPr>
        <w:t>Д</w:t>
      </w:r>
      <w:proofErr w:type="spellStart"/>
      <w:r w:rsidRPr="00E16672">
        <w:rPr>
          <w:rFonts w:ascii="Times New Roman" w:hAnsi="Times New Roman"/>
          <w:color w:val="000000"/>
          <w:szCs w:val="20"/>
        </w:rPr>
        <w:t>епоненту</w:t>
      </w:r>
      <w:proofErr w:type="spellEnd"/>
      <w:r w:rsidRPr="00E16672">
        <w:rPr>
          <w:rFonts w:ascii="Times New Roman" w:hAnsi="Times New Roman"/>
          <w:color w:val="000000"/>
          <w:szCs w:val="20"/>
        </w:rPr>
        <w:t xml:space="preserve"> Депозитарною </w:t>
      </w:r>
      <w:proofErr w:type="spellStart"/>
      <w:r w:rsidRPr="00E16672">
        <w:rPr>
          <w:rFonts w:ascii="Times New Roman" w:hAnsi="Times New Roman"/>
          <w:color w:val="000000"/>
          <w:szCs w:val="20"/>
        </w:rPr>
        <w:t>установою</w:t>
      </w:r>
      <w:proofErr w:type="spellEnd"/>
      <w:r w:rsidRPr="00E16672">
        <w:rPr>
          <w:rFonts w:ascii="Times New Roman" w:hAnsi="Times New Roman"/>
          <w:color w:val="000000"/>
          <w:szCs w:val="20"/>
        </w:rPr>
        <w:t xml:space="preserve">. У </w:t>
      </w:r>
      <w:proofErr w:type="spellStart"/>
      <w:r w:rsidRPr="00E16672">
        <w:rPr>
          <w:rFonts w:ascii="Times New Roman" w:hAnsi="Times New Roman"/>
          <w:color w:val="000000"/>
          <w:szCs w:val="20"/>
        </w:rPr>
        <w:t>платіжному</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дорученні</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третьої</w:t>
      </w:r>
      <w:proofErr w:type="spellEnd"/>
      <w:r w:rsidRPr="00E16672">
        <w:rPr>
          <w:rFonts w:ascii="Times New Roman" w:hAnsi="Times New Roman"/>
          <w:color w:val="000000"/>
          <w:szCs w:val="20"/>
        </w:rPr>
        <w:t xml:space="preserve"> особи, яка </w:t>
      </w:r>
      <w:proofErr w:type="spellStart"/>
      <w:r w:rsidRPr="00E16672">
        <w:rPr>
          <w:rFonts w:ascii="Times New Roman" w:hAnsi="Times New Roman"/>
          <w:color w:val="000000"/>
          <w:szCs w:val="20"/>
        </w:rPr>
        <w:t>здійснює</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платіж</w:t>
      </w:r>
      <w:proofErr w:type="spellEnd"/>
      <w:r w:rsidRPr="00E16672">
        <w:rPr>
          <w:rFonts w:ascii="Times New Roman" w:hAnsi="Times New Roman"/>
          <w:color w:val="000000"/>
          <w:szCs w:val="20"/>
        </w:rPr>
        <w:t xml:space="preserve"> на </w:t>
      </w:r>
      <w:proofErr w:type="spellStart"/>
      <w:r w:rsidRPr="00E16672">
        <w:rPr>
          <w:rFonts w:ascii="Times New Roman" w:hAnsi="Times New Roman"/>
          <w:color w:val="000000"/>
          <w:szCs w:val="20"/>
        </w:rPr>
        <w:t>користь</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Депозитарної</w:t>
      </w:r>
      <w:proofErr w:type="spellEnd"/>
      <w:r w:rsidRPr="00E16672">
        <w:rPr>
          <w:rFonts w:ascii="Times New Roman" w:hAnsi="Times New Roman"/>
          <w:color w:val="000000"/>
          <w:szCs w:val="20"/>
        </w:rPr>
        <w:t xml:space="preserve"> установи, </w:t>
      </w:r>
      <w:proofErr w:type="spellStart"/>
      <w:r w:rsidRPr="00E16672">
        <w:rPr>
          <w:rFonts w:ascii="Times New Roman" w:hAnsi="Times New Roman"/>
          <w:color w:val="000000"/>
          <w:szCs w:val="20"/>
        </w:rPr>
        <w:t>має</w:t>
      </w:r>
      <w:proofErr w:type="spellEnd"/>
      <w:r w:rsidRPr="00E16672">
        <w:rPr>
          <w:rFonts w:ascii="Times New Roman" w:hAnsi="Times New Roman"/>
          <w:color w:val="000000"/>
          <w:szCs w:val="20"/>
        </w:rPr>
        <w:t xml:space="preserve"> бути </w:t>
      </w:r>
      <w:proofErr w:type="spellStart"/>
      <w:r w:rsidRPr="00E16672">
        <w:rPr>
          <w:rFonts w:ascii="Times New Roman" w:hAnsi="Times New Roman"/>
          <w:color w:val="000000"/>
          <w:szCs w:val="20"/>
        </w:rPr>
        <w:t>зазначено</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що</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призначенням</w:t>
      </w:r>
      <w:proofErr w:type="spellEnd"/>
      <w:r w:rsidRPr="00E16672">
        <w:rPr>
          <w:rFonts w:ascii="Times New Roman" w:hAnsi="Times New Roman"/>
          <w:color w:val="000000"/>
          <w:szCs w:val="20"/>
        </w:rPr>
        <w:t xml:space="preserve"> </w:t>
      </w:r>
      <w:r w:rsidRPr="00E16672">
        <w:rPr>
          <w:rFonts w:ascii="Times New Roman" w:hAnsi="Times New Roman"/>
          <w:color w:val="000000"/>
          <w:szCs w:val="20"/>
        </w:rPr>
        <w:lastRenderedPageBreak/>
        <w:t xml:space="preserve">платежу є </w:t>
      </w:r>
      <w:proofErr w:type="spellStart"/>
      <w:r w:rsidRPr="00E16672">
        <w:rPr>
          <w:rFonts w:ascii="Times New Roman" w:hAnsi="Times New Roman"/>
          <w:color w:val="000000"/>
          <w:szCs w:val="20"/>
        </w:rPr>
        <w:t>сплата</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коштів</w:t>
      </w:r>
      <w:proofErr w:type="spellEnd"/>
      <w:r w:rsidRPr="00E16672">
        <w:rPr>
          <w:rFonts w:ascii="Times New Roman" w:hAnsi="Times New Roman"/>
          <w:color w:val="000000"/>
          <w:szCs w:val="20"/>
        </w:rPr>
        <w:t xml:space="preserve"> за </w:t>
      </w:r>
      <w:proofErr w:type="spellStart"/>
      <w:r w:rsidRPr="00E16672">
        <w:rPr>
          <w:rFonts w:ascii="Times New Roman" w:hAnsi="Times New Roman"/>
          <w:color w:val="000000"/>
          <w:szCs w:val="20"/>
        </w:rPr>
        <w:t>послуги</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отримані</w:t>
      </w:r>
      <w:proofErr w:type="spellEnd"/>
      <w:r w:rsidRPr="00E16672">
        <w:rPr>
          <w:rFonts w:ascii="Times New Roman" w:hAnsi="Times New Roman"/>
          <w:color w:val="000000"/>
          <w:szCs w:val="20"/>
        </w:rPr>
        <w:t xml:space="preserve"> </w:t>
      </w:r>
      <w:r w:rsidRPr="00E16672">
        <w:rPr>
          <w:rFonts w:ascii="Times New Roman" w:hAnsi="Times New Roman"/>
          <w:color w:val="000000"/>
          <w:szCs w:val="20"/>
          <w:lang w:val="uk-UA"/>
        </w:rPr>
        <w:t>Д</w:t>
      </w:r>
      <w:proofErr w:type="spellStart"/>
      <w:r w:rsidRPr="00E16672">
        <w:rPr>
          <w:rFonts w:ascii="Times New Roman" w:hAnsi="Times New Roman"/>
          <w:color w:val="000000"/>
          <w:szCs w:val="20"/>
        </w:rPr>
        <w:t>епонент</w:t>
      </w:r>
      <w:r w:rsidRPr="00E16672">
        <w:rPr>
          <w:rFonts w:ascii="Times New Roman" w:hAnsi="Times New Roman"/>
          <w:color w:val="000000"/>
          <w:szCs w:val="20"/>
          <w:lang w:val="uk-UA"/>
        </w:rPr>
        <w:t>ом</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Депозитарної</w:t>
      </w:r>
      <w:proofErr w:type="spellEnd"/>
      <w:r w:rsidRPr="00E16672">
        <w:rPr>
          <w:rFonts w:ascii="Times New Roman" w:hAnsi="Times New Roman"/>
          <w:color w:val="000000"/>
          <w:szCs w:val="20"/>
        </w:rPr>
        <w:t xml:space="preserve"> установи, а </w:t>
      </w:r>
      <w:proofErr w:type="spellStart"/>
      <w:r w:rsidRPr="00E16672">
        <w:rPr>
          <w:rFonts w:ascii="Times New Roman" w:hAnsi="Times New Roman"/>
          <w:color w:val="000000"/>
          <w:szCs w:val="20"/>
        </w:rPr>
        <w:t>також</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реквізити</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відповідних</w:t>
      </w:r>
      <w:proofErr w:type="spellEnd"/>
      <w:r w:rsidRPr="00E16672">
        <w:rPr>
          <w:rFonts w:ascii="Times New Roman" w:hAnsi="Times New Roman"/>
          <w:color w:val="000000"/>
          <w:szCs w:val="20"/>
        </w:rPr>
        <w:t xml:space="preserve"> договору з </w:t>
      </w:r>
      <w:r w:rsidRPr="00E16672">
        <w:rPr>
          <w:rFonts w:ascii="Times New Roman" w:hAnsi="Times New Roman"/>
          <w:color w:val="000000"/>
          <w:szCs w:val="20"/>
          <w:lang w:val="uk-UA"/>
        </w:rPr>
        <w:t>Д</w:t>
      </w:r>
      <w:proofErr w:type="spellStart"/>
      <w:r w:rsidRPr="00E16672">
        <w:rPr>
          <w:rFonts w:ascii="Times New Roman" w:hAnsi="Times New Roman"/>
          <w:color w:val="000000"/>
          <w:szCs w:val="20"/>
        </w:rPr>
        <w:t>епонентом</w:t>
      </w:r>
      <w:proofErr w:type="spellEnd"/>
      <w:r w:rsidRPr="00E16672">
        <w:rPr>
          <w:rFonts w:ascii="Times New Roman" w:hAnsi="Times New Roman"/>
          <w:color w:val="000000"/>
          <w:szCs w:val="20"/>
        </w:rPr>
        <w:t xml:space="preserve"> та </w:t>
      </w:r>
      <w:proofErr w:type="spellStart"/>
      <w:r w:rsidRPr="00E16672">
        <w:rPr>
          <w:rFonts w:ascii="Times New Roman" w:hAnsi="Times New Roman"/>
          <w:color w:val="000000"/>
          <w:szCs w:val="20"/>
        </w:rPr>
        <w:t>рахунку</w:t>
      </w:r>
      <w:proofErr w:type="spellEnd"/>
      <w:r w:rsidRPr="00E16672">
        <w:rPr>
          <w:rFonts w:ascii="Times New Roman" w:hAnsi="Times New Roman"/>
          <w:color w:val="000000"/>
          <w:szCs w:val="20"/>
        </w:rPr>
        <w:t xml:space="preserve">/акту </w:t>
      </w:r>
      <w:proofErr w:type="spellStart"/>
      <w:r w:rsidRPr="00E16672">
        <w:rPr>
          <w:rFonts w:ascii="Times New Roman" w:hAnsi="Times New Roman"/>
          <w:color w:val="000000"/>
          <w:szCs w:val="20"/>
        </w:rPr>
        <w:t>виконаних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робіт</w:t>
      </w:r>
      <w:proofErr w:type="spellEnd"/>
      <w:r w:rsidRPr="00E16672">
        <w:rPr>
          <w:rFonts w:ascii="Times New Roman" w:hAnsi="Times New Roman"/>
          <w:color w:val="000000"/>
          <w:szCs w:val="20"/>
        </w:rPr>
        <w:t>.</w:t>
      </w:r>
    </w:p>
    <w:p w14:paraId="547F16FF" w14:textId="77777777" w:rsidR="007974E8" w:rsidRPr="00E16672" w:rsidRDefault="007974E8" w:rsidP="007974E8">
      <w:pPr>
        <w:pStyle w:val="af"/>
        <w:rPr>
          <w:rFonts w:ascii="Times New Roman" w:eastAsia="Times New Roman" w:hAnsi="Times New Roman" w:cs="Times New Roman"/>
          <w:color w:val="000000"/>
          <w:lang w:val="ru-RU"/>
        </w:rPr>
      </w:pPr>
    </w:p>
    <w:p w14:paraId="2AA209E8" w14:textId="77777777" w:rsidR="007974E8" w:rsidRPr="00E16672" w:rsidRDefault="007974E8" w:rsidP="007974E8">
      <w:pPr>
        <w:pStyle w:val="310"/>
        <w:ind w:firstLine="567"/>
        <w:jc w:val="center"/>
        <w:rPr>
          <w:rFonts w:ascii="Times New Roman" w:hAnsi="Times New Roman"/>
          <w:b/>
          <w:color w:val="000000"/>
          <w:sz w:val="20"/>
          <w:szCs w:val="20"/>
        </w:rPr>
      </w:pPr>
      <w:r w:rsidRPr="00E16672">
        <w:rPr>
          <w:rFonts w:ascii="Times New Roman" w:hAnsi="Times New Roman"/>
          <w:b/>
          <w:color w:val="000000"/>
          <w:sz w:val="20"/>
          <w:szCs w:val="20"/>
        </w:rPr>
        <w:t>5. Порядок розгляду спорів, що можуть виникнути між сторонами в процесі виконання, зміни чи розірвання Договору.</w:t>
      </w:r>
    </w:p>
    <w:p w14:paraId="2562D7E2" w14:textId="77777777" w:rsidR="007974E8" w:rsidRPr="00E16672" w:rsidRDefault="007974E8" w:rsidP="007974E8">
      <w:pPr>
        <w:pStyle w:val="310"/>
        <w:ind w:firstLine="567"/>
        <w:rPr>
          <w:rFonts w:ascii="Times New Roman" w:hAnsi="Times New Roman"/>
          <w:color w:val="000000"/>
          <w:sz w:val="20"/>
          <w:szCs w:val="20"/>
        </w:rPr>
      </w:pPr>
      <w:r w:rsidRPr="00E16672">
        <w:rPr>
          <w:rFonts w:ascii="Times New Roman" w:hAnsi="Times New Roman"/>
          <w:color w:val="000000"/>
          <w:sz w:val="20"/>
          <w:szCs w:val="20"/>
        </w:rPr>
        <w:t>5.1. Кожна Сторона зобов’язується виконувати свої обов’язки належним чином та сприяти іншій Стороні у виконанні.</w:t>
      </w:r>
    </w:p>
    <w:p w14:paraId="5C00C155" w14:textId="77777777" w:rsidR="007974E8" w:rsidRPr="00E16672" w:rsidRDefault="007974E8" w:rsidP="007974E8">
      <w:pPr>
        <w:pStyle w:val="310"/>
        <w:ind w:firstLine="567"/>
        <w:rPr>
          <w:rFonts w:ascii="Times New Roman" w:hAnsi="Times New Roman"/>
          <w:color w:val="000000"/>
          <w:sz w:val="20"/>
          <w:szCs w:val="20"/>
        </w:rPr>
      </w:pPr>
      <w:r w:rsidRPr="00E16672">
        <w:rPr>
          <w:rFonts w:ascii="Times New Roman" w:hAnsi="Times New Roman"/>
          <w:color w:val="000000"/>
          <w:sz w:val="20"/>
          <w:szCs w:val="20"/>
        </w:rPr>
        <w:t xml:space="preserve">5.2. Обмін розпорядженнями, повідомленнями, інформацією, що надається у зв’язку з виконанням Сторонами Договору може </w:t>
      </w:r>
      <w:proofErr w:type="spellStart"/>
      <w:r w:rsidRPr="00E16672">
        <w:rPr>
          <w:rFonts w:ascii="Times New Roman" w:hAnsi="Times New Roman"/>
          <w:color w:val="000000"/>
          <w:sz w:val="20"/>
          <w:szCs w:val="20"/>
        </w:rPr>
        <w:t>здійснюватись</w:t>
      </w:r>
      <w:proofErr w:type="spellEnd"/>
      <w:r w:rsidRPr="00E16672">
        <w:rPr>
          <w:rFonts w:ascii="Times New Roman" w:hAnsi="Times New Roman"/>
          <w:color w:val="000000"/>
          <w:sz w:val="20"/>
          <w:szCs w:val="20"/>
        </w:rPr>
        <w:t xml:space="preserve"> особисто, засобами поштового зв’язку, кур’єром, у формі S.W.I.F.T. – повідомлень, у формі електронних документів. </w:t>
      </w:r>
    </w:p>
    <w:p w14:paraId="2405B79E" w14:textId="77777777" w:rsidR="007974E8" w:rsidRPr="00E16672" w:rsidRDefault="007974E8" w:rsidP="007974E8">
      <w:pPr>
        <w:pStyle w:val="310"/>
        <w:ind w:firstLine="567"/>
        <w:rPr>
          <w:rFonts w:ascii="Times New Roman" w:hAnsi="Times New Roman"/>
          <w:color w:val="000000"/>
          <w:sz w:val="20"/>
          <w:szCs w:val="20"/>
        </w:rPr>
      </w:pPr>
      <w:r w:rsidRPr="00E16672">
        <w:rPr>
          <w:rFonts w:ascii="Times New Roman" w:hAnsi="Times New Roman"/>
          <w:color w:val="000000"/>
          <w:sz w:val="20"/>
          <w:szCs w:val="20"/>
        </w:rPr>
        <w:t xml:space="preserve">5.3. Сторони </w:t>
      </w:r>
      <w:r w:rsidR="007B5C69" w:rsidRPr="00E16672">
        <w:rPr>
          <w:rFonts w:ascii="Times New Roman" w:hAnsi="Times New Roman"/>
          <w:color w:val="000000"/>
          <w:sz w:val="20"/>
          <w:szCs w:val="20"/>
        </w:rPr>
        <w:t>підтверджують</w:t>
      </w:r>
      <w:r w:rsidRPr="00E16672">
        <w:rPr>
          <w:rFonts w:ascii="Times New Roman" w:hAnsi="Times New Roman"/>
          <w:color w:val="000000"/>
          <w:sz w:val="20"/>
          <w:szCs w:val="20"/>
        </w:rPr>
        <w:t xml:space="preserve"> достовірність підписів на розпорядженнях Керуючого рахунком способом, визначеним у розділі 3 цього Договору.</w:t>
      </w:r>
    </w:p>
    <w:p w14:paraId="0A61E4CB" w14:textId="77777777" w:rsidR="007974E8" w:rsidRPr="00E16672" w:rsidRDefault="007974E8" w:rsidP="007974E8">
      <w:pPr>
        <w:pStyle w:val="310"/>
        <w:ind w:firstLine="567"/>
        <w:rPr>
          <w:rFonts w:ascii="Times New Roman" w:hAnsi="Times New Roman"/>
          <w:color w:val="000000"/>
          <w:sz w:val="20"/>
          <w:szCs w:val="20"/>
        </w:rPr>
      </w:pPr>
      <w:r w:rsidRPr="00E16672">
        <w:rPr>
          <w:rFonts w:ascii="Times New Roman" w:hAnsi="Times New Roman"/>
          <w:color w:val="000000"/>
          <w:sz w:val="20"/>
          <w:szCs w:val="20"/>
        </w:rPr>
        <w:t>5.4. Сторони несуть відповідальність за невиконання або неналежне виконання своїх зобов’язань за цим Договором відповідно до законодавства, у тому числі нормативно-правових актів НКЦПФР.</w:t>
      </w:r>
    </w:p>
    <w:p w14:paraId="689302A8" w14:textId="77777777" w:rsidR="007974E8" w:rsidRPr="00E16672" w:rsidRDefault="007974E8" w:rsidP="007974E8">
      <w:pPr>
        <w:pStyle w:val="310"/>
        <w:ind w:firstLine="567"/>
        <w:rPr>
          <w:rFonts w:ascii="Times New Roman" w:hAnsi="Times New Roman"/>
          <w:color w:val="000000"/>
          <w:sz w:val="20"/>
          <w:szCs w:val="20"/>
        </w:rPr>
      </w:pPr>
      <w:r w:rsidRPr="00E16672">
        <w:rPr>
          <w:rFonts w:ascii="Times New Roman" w:hAnsi="Times New Roman"/>
          <w:color w:val="000000"/>
          <w:sz w:val="20"/>
          <w:szCs w:val="20"/>
        </w:rPr>
        <w:t>5.5. Сторона, яка порушила зобов’язання відповідно до цього Договору, повинна усунути ці порушення в найкоротший строк.</w:t>
      </w:r>
    </w:p>
    <w:p w14:paraId="6AD9C8BC" w14:textId="77777777" w:rsidR="007974E8" w:rsidRPr="00E16672" w:rsidRDefault="007974E8" w:rsidP="007974E8">
      <w:pPr>
        <w:pStyle w:val="310"/>
        <w:ind w:firstLine="567"/>
        <w:rPr>
          <w:rFonts w:ascii="Times New Roman" w:hAnsi="Times New Roman"/>
          <w:color w:val="000000"/>
          <w:sz w:val="20"/>
          <w:szCs w:val="20"/>
        </w:rPr>
      </w:pPr>
      <w:r w:rsidRPr="00E16672">
        <w:rPr>
          <w:rFonts w:ascii="Times New Roman" w:hAnsi="Times New Roman"/>
          <w:color w:val="000000"/>
          <w:sz w:val="20"/>
          <w:szCs w:val="20"/>
        </w:rPr>
        <w:t xml:space="preserve"> 5.6. Депозитарна установа несе </w:t>
      </w:r>
      <w:proofErr w:type="spellStart"/>
      <w:r w:rsidRPr="00E16672">
        <w:rPr>
          <w:rFonts w:ascii="Times New Roman" w:hAnsi="Times New Roman"/>
          <w:color w:val="000000"/>
          <w:sz w:val="20"/>
          <w:szCs w:val="20"/>
        </w:rPr>
        <w:t>вiдповiдальнiсть</w:t>
      </w:r>
      <w:proofErr w:type="spellEnd"/>
      <w:r w:rsidRPr="00E16672">
        <w:rPr>
          <w:rFonts w:ascii="Times New Roman" w:hAnsi="Times New Roman"/>
          <w:color w:val="000000"/>
          <w:sz w:val="20"/>
          <w:szCs w:val="20"/>
        </w:rPr>
        <w:t>:</w:t>
      </w:r>
    </w:p>
    <w:p w14:paraId="3FF6CF1B" w14:textId="77777777" w:rsidR="007974E8" w:rsidRPr="00E16672" w:rsidRDefault="007974E8" w:rsidP="007974E8">
      <w:pPr>
        <w:pStyle w:val="310"/>
        <w:ind w:firstLine="567"/>
        <w:rPr>
          <w:rFonts w:ascii="Times New Roman" w:hAnsi="Times New Roman"/>
          <w:color w:val="000000"/>
          <w:sz w:val="20"/>
          <w:szCs w:val="20"/>
        </w:rPr>
      </w:pPr>
      <w:r w:rsidRPr="00E16672">
        <w:rPr>
          <w:rFonts w:ascii="Times New Roman" w:hAnsi="Times New Roman"/>
          <w:color w:val="000000"/>
          <w:sz w:val="20"/>
          <w:szCs w:val="20"/>
        </w:rPr>
        <w:t xml:space="preserve">- за забезпечення режиму конфіденційності щодо Депонента та належних </w:t>
      </w:r>
      <w:proofErr w:type="spellStart"/>
      <w:r w:rsidRPr="00E16672">
        <w:rPr>
          <w:rFonts w:ascii="Times New Roman" w:hAnsi="Times New Roman"/>
          <w:color w:val="000000"/>
          <w:sz w:val="20"/>
          <w:szCs w:val="20"/>
        </w:rPr>
        <w:t>йом</w:t>
      </w:r>
      <w:r w:rsidR="00C22309" w:rsidRPr="00E16672">
        <w:rPr>
          <w:rFonts w:ascii="Times New Roman" w:hAnsi="Times New Roman"/>
          <w:color w:val="000000"/>
          <w:sz w:val="20"/>
          <w:szCs w:val="20"/>
        </w:rPr>
        <w:t>в</w:t>
      </w:r>
      <w:proofErr w:type="spellEnd"/>
      <w:r w:rsidR="00C22309" w:rsidRPr="00E16672">
        <w:rPr>
          <w:rFonts w:ascii="Times New Roman" w:hAnsi="Times New Roman"/>
          <w:color w:val="000000"/>
          <w:sz w:val="20"/>
          <w:szCs w:val="20"/>
        </w:rPr>
        <w:t xml:space="preserve"> цін</w:t>
      </w:r>
      <w:r w:rsidRPr="00E16672">
        <w:rPr>
          <w:rFonts w:ascii="Times New Roman" w:hAnsi="Times New Roman"/>
          <w:color w:val="000000"/>
          <w:sz w:val="20"/>
          <w:szCs w:val="20"/>
        </w:rPr>
        <w:t>них паперів;</w:t>
      </w:r>
    </w:p>
    <w:p w14:paraId="7A740D8E" w14:textId="77777777" w:rsidR="007974E8" w:rsidRPr="00E16672" w:rsidRDefault="007974E8" w:rsidP="007974E8">
      <w:pPr>
        <w:pStyle w:val="310"/>
        <w:ind w:firstLine="567"/>
        <w:rPr>
          <w:rFonts w:ascii="Times New Roman" w:hAnsi="Times New Roman"/>
          <w:color w:val="000000"/>
          <w:sz w:val="20"/>
          <w:szCs w:val="20"/>
        </w:rPr>
      </w:pPr>
      <w:r w:rsidRPr="00E16672">
        <w:rPr>
          <w:rFonts w:ascii="Times New Roman" w:hAnsi="Times New Roman"/>
          <w:color w:val="000000"/>
          <w:sz w:val="20"/>
          <w:szCs w:val="20"/>
        </w:rPr>
        <w:t>- за підтвердження достовірності підписів Керуючого рахунком на його розпорядженнях;</w:t>
      </w:r>
    </w:p>
    <w:p w14:paraId="5138FD1E" w14:textId="77777777" w:rsidR="007974E8" w:rsidRPr="00E16672" w:rsidRDefault="007974E8" w:rsidP="007974E8">
      <w:pPr>
        <w:pStyle w:val="310"/>
        <w:ind w:firstLine="567"/>
        <w:rPr>
          <w:rFonts w:ascii="Times New Roman" w:hAnsi="Times New Roman"/>
          <w:color w:val="000000"/>
          <w:sz w:val="20"/>
          <w:szCs w:val="20"/>
        </w:rPr>
      </w:pPr>
      <w:r w:rsidRPr="00E16672">
        <w:rPr>
          <w:rFonts w:ascii="Times New Roman" w:hAnsi="Times New Roman"/>
          <w:color w:val="000000"/>
          <w:sz w:val="20"/>
          <w:szCs w:val="20"/>
        </w:rPr>
        <w:t>- за перевірку розпорядження на правильність складання та інші перевірки, передбачені чинним законодавством України та внутрішніми документами Депозитарної установи;</w:t>
      </w:r>
    </w:p>
    <w:p w14:paraId="12533D8B" w14:textId="77777777" w:rsidR="007974E8" w:rsidRPr="00E16672" w:rsidRDefault="007974E8" w:rsidP="007974E8">
      <w:pPr>
        <w:rPr>
          <w:rFonts w:ascii="Times New Roman" w:hAnsi="Times New Roman"/>
          <w:color w:val="000000"/>
          <w:szCs w:val="20"/>
          <w:lang w:val="uk-UA"/>
        </w:rPr>
      </w:pPr>
      <w:r w:rsidRPr="00E16672">
        <w:rPr>
          <w:rFonts w:ascii="Times New Roman" w:hAnsi="Times New Roman"/>
          <w:color w:val="000000"/>
          <w:szCs w:val="20"/>
        </w:rPr>
        <w:t xml:space="preserve">- </w:t>
      </w:r>
      <w:r w:rsidRPr="00E16672">
        <w:rPr>
          <w:rFonts w:ascii="Times New Roman" w:hAnsi="Times New Roman"/>
          <w:color w:val="000000"/>
          <w:szCs w:val="20"/>
          <w:lang w:val="uk-UA"/>
        </w:rPr>
        <w:t xml:space="preserve">за </w:t>
      </w:r>
      <w:proofErr w:type="spellStart"/>
      <w:r w:rsidRPr="00E16672">
        <w:rPr>
          <w:rFonts w:ascii="Times New Roman" w:hAnsi="Times New Roman"/>
          <w:color w:val="000000"/>
          <w:szCs w:val="20"/>
        </w:rPr>
        <w:t>правильне</w:t>
      </w:r>
      <w:proofErr w:type="spellEnd"/>
      <w:r w:rsidRPr="00E16672">
        <w:rPr>
          <w:rFonts w:ascii="Times New Roman" w:hAnsi="Times New Roman"/>
          <w:color w:val="000000"/>
          <w:szCs w:val="20"/>
          <w:lang w:val="uk-UA"/>
        </w:rPr>
        <w:t xml:space="preserve"> виконання розпоряджень </w:t>
      </w:r>
      <w:proofErr w:type="spellStart"/>
      <w:r w:rsidRPr="00E16672">
        <w:rPr>
          <w:rFonts w:ascii="Times New Roman" w:hAnsi="Times New Roman"/>
          <w:color w:val="000000"/>
          <w:szCs w:val="20"/>
        </w:rPr>
        <w:t>Керуючого</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рахунком</w:t>
      </w:r>
      <w:proofErr w:type="spellEnd"/>
      <w:r w:rsidRPr="00E16672">
        <w:rPr>
          <w:rFonts w:ascii="Times New Roman" w:hAnsi="Times New Roman"/>
          <w:color w:val="000000"/>
          <w:szCs w:val="20"/>
          <w:lang w:val="uk-UA"/>
        </w:rPr>
        <w:t>, які не суперечать вимогам чинного законодавства України;</w:t>
      </w:r>
    </w:p>
    <w:p w14:paraId="1E6CC894" w14:textId="77777777" w:rsidR="007974E8" w:rsidRPr="00E16672" w:rsidRDefault="007974E8" w:rsidP="007974E8">
      <w:pPr>
        <w:rPr>
          <w:rFonts w:ascii="Times New Roman" w:hAnsi="Times New Roman"/>
          <w:color w:val="000000"/>
          <w:szCs w:val="20"/>
          <w:lang w:val="uk-UA"/>
        </w:rPr>
      </w:pPr>
      <w:r w:rsidRPr="00E16672">
        <w:rPr>
          <w:rFonts w:ascii="Times New Roman" w:hAnsi="Times New Roman"/>
          <w:color w:val="000000"/>
          <w:szCs w:val="20"/>
          <w:lang w:val="uk-UA"/>
        </w:rPr>
        <w:t xml:space="preserve">- за дотримання правил обліку при виконанні своїх обов’язків, за </w:t>
      </w:r>
      <w:proofErr w:type="spellStart"/>
      <w:r w:rsidRPr="00E16672">
        <w:rPr>
          <w:rFonts w:ascii="Times New Roman" w:hAnsi="Times New Roman"/>
          <w:color w:val="000000"/>
          <w:szCs w:val="20"/>
        </w:rPr>
        <w:t>правильність</w:t>
      </w:r>
      <w:proofErr w:type="spellEnd"/>
      <w:r w:rsidRPr="00E16672">
        <w:rPr>
          <w:rFonts w:ascii="Times New Roman" w:hAnsi="Times New Roman"/>
          <w:color w:val="000000"/>
          <w:szCs w:val="20"/>
          <w:lang w:val="uk-UA"/>
        </w:rPr>
        <w:t xml:space="preserve"> ведення записів по рахунку </w:t>
      </w:r>
      <w:r w:rsidR="00C22309" w:rsidRPr="00E16672">
        <w:rPr>
          <w:rFonts w:ascii="Times New Roman" w:hAnsi="Times New Roman"/>
          <w:color w:val="000000"/>
          <w:szCs w:val="20"/>
          <w:lang w:val="uk-UA"/>
        </w:rPr>
        <w:t>в цін</w:t>
      </w:r>
      <w:r w:rsidRPr="00E16672">
        <w:rPr>
          <w:rFonts w:ascii="Times New Roman" w:hAnsi="Times New Roman"/>
          <w:color w:val="000000"/>
          <w:szCs w:val="20"/>
          <w:lang w:val="uk-UA"/>
        </w:rPr>
        <w:t>них паперах;</w:t>
      </w:r>
    </w:p>
    <w:p w14:paraId="4E578964" w14:textId="77777777" w:rsidR="007974E8" w:rsidRPr="00E16672" w:rsidRDefault="007974E8" w:rsidP="007974E8">
      <w:pPr>
        <w:pStyle w:val="310"/>
        <w:ind w:firstLine="567"/>
        <w:rPr>
          <w:rFonts w:ascii="Times New Roman" w:hAnsi="Times New Roman"/>
          <w:color w:val="000000"/>
          <w:sz w:val="20"/>
          <w:szCs w:val="20"/>
        </w:rPr>
      </w:pPr>
      <w:r w:rsidRPr="00E16672">
        <w:rPr>
          <w:rFonts w:ascii="Times New Roman" w:hAnsi="Times New Roman"/>
          <w:color w:val="000000"/>
          <w:sz w:val="20"/>
          <w:szCs w:val="20"/>
        </w:rPr>
        <w:t xml:space="preserve">-за зберігання цінних паперів Депонента, що обліковуються у Депозитарній установі на рахунку </w:t>
      </w:r>
      <w:r w:rsidR="00C22309" w:rsidRPr="00E16672">
        <w:rPr>
          <w:rFonts w:ascii="Times New Roman" w:hAnsi="Times New Roman"/>
          <w:color w:val="000000"/>
          <w:sz w:val="20"/>
          <w:szCs w:val="20"/>
        </w:rPr>
        <w:t>в цін</w:t>
      </w:r>
      <w:r w:rsidRPr="00E16672">
        <w:rPr>
          <w:rFonts w:ascii="Times New Roman" w:hAnsi="Times New Roman"/>
          <w:color w:val="000000"/>
          <w:sz w:val="20"/>
          <w:szCs w:val="20"/>
        </w:rPr>
        <w:t>них паперах Депонента.</w:t>
      </w:r>
    </w:p>
    <w:p w14:paraId="0F3EA0F1" w14:textId="77777777" w:rsidR="007974E8" w:rsidRPr="00E16672" w:rsidRDefault="007974E8" w:rsidP="007974E8">
      <w:pPr>
        <w:pStyle w:val="310"/>
        <w:ind w:firstLine="567"/>
        <w:rPr>
          <w:rFonts w:ascii="Times New Roman" w:hAnsi="Times New Roman"/>
          <w:color w:val="000000"/>
          <w:sz w:val="20"/>
          <w:szCs w:val="20"/>
        </w:rPr>
      </w:pPr>
      <w:r w:rsidRPr="00E16672">
        <w:rPr>
          <w:rFonts w:ascii="Times New Roman" w:hAnsi="Times New Roman"/>
          <w:color w:val="000000"/>
          <w:sz w:val="20"/>
          <w:szCs w:val="20"/>
        </w:rPr>
        <w:t xml:space="preserve">5.7. Депозитарна установа не несе відповідальності перед Депонентом за шкоду, заподіяну діями або бездіяльністю Депозитарної установи, якщо ці дії (бездіяльність) здійснювались Депозитарною установою за письмовими розпорядженнями Керуючого рахунком, виникли внаслідок дій (бездіяльності) інших учасників депозитарної системи. </w:t>
      </w:r>
    </w:p>
    <w:p w14:paraId="70B0E855" w14:textId="77777777" w:rsidR="007974E8" w:rsidRPr="00E16672" w:rsidRDefault="007974E8" w:rsidP="007974E8">
      <w:pPr>
        <w:pStyle w:val="310"/>
        <w:ind w:firstLine="567"/>
        <w:rPr>
          <w:rFonts w:ascii="Times New Roman" w:hAnsi="Times New Roman"/>
          <w:color w:val="000000"/>
          <w:sz w:val="20"/>
          <w:szCs w:val="20"/>
        </w:rPr>
      </w:pPr>
      <w:r w:rsidRPr="00E16672">
        <w:rPr>
          <w:rFonts w:ascii="Times New Roman" w:hAnsi="Times New Roman"/>
          <w:color w:val="000000"/>
          <w:sz w:val="20"/>
          <w:szCs w:val="20"/>
        </w:rPr>
        <w:t xml:space="preserve">5.8. Депонент несе </w:t>
      </w:r>
      <w:proofErr w:type="spellStart"/>
      <w:r w:rsidRPr="00E16672">
        <w:rPr>
          <w:rFonts w:ascii="Times New Roman" w:hAnsi="Times New Roman"/>
          <w:color w:val="000000"/>
          <w:sz w:val="20"/>
          <w:szCs w:val="20"/>
        </w:rPr>
        <w:t>вiдповiдальнiсть</w:t>
      </w:r>
      <w:proofErr w:type="spellEnd"/>
      <w:r w:rsidRPr="00E16672">
        <w:rPr>
          <w:rFonts w:ascii="Times New Roman" w:hAnsi="Times New Roman"/>
          <w:color w:val="000000"/>
          <w:sz w:val="20"/>
          <w:szCs w:val="20"/>
        </w:rPr>
        <w:t xml:space="preserve"> за дії Керуючого, за всі дії розпорядників рахунків, а також за наслідки виданих ним розпоряджень. </w:t>
      </w:r>
    </w:p>
    <w:p w14:paraId="4DCDFA37" w14:textId="77777777" w:rsidR="007974E8" w:rsidRPr="00E16672" w:rsidRDefault="007974E8" w:rsidP="007974E8">
      <w:pPr>
        <w:pStyle w:val="310"/>
        <w:ind w:firstLine="567"/>
        <w:rPr>
          <w:rFonts w:ascii="Times New Roman" w:hAnsi="Times New Roman"/>
          <w:color w:val="000000"/>
          <w:sz w:val="20"/>
          <w:szCs w:val="20"/>
        </w:rPr>
      </w:pPr>
      <w:r w:rsidRPr="00E16672">
        <w:rPr>
          <w:rFonts w:ascii="Times New Roman" w:hAnsi="Times New Roman"/>
          <w:color w:val="000000"/>
          <w:sz w:val="20"/>
          <w:szCs w:val="20"/>
        </w:rPr>
        <w:t xml:space="preserve">5.9. Депозитарна установа має право за порушення термінів оплаті нарахувати та стягнути з іншої Сторони пеню у розмірі </w:t>
      </w:r>
      <w:r w:rsidRPr="00E16672">
        <w:rPr>
          <w:rFonts w:ascii="Times New Roman" w:hAnsi="Times New Roman"/>
          <w:i/>
          <w:iCs/>
          <w:color w:val="000000"/>
          <w:sz w:val="20"/>
          <w:szCs w:val="20"/>
        </w:rPr>
        <w:t>подвійної облікової ставки</w:t>
      </w:r>
      <w:r w:rsidRPr="00E16672">
        <w:rPr>
          <w:rFonts w:ascii="Times New Roman" w:hAnsi="Times New Roman"/>
          <w:color w:val="000000"/>
          <w:sz w:val="20"/>
          <w:szCs w:val="20"/>
        </w:rPr>
        <w:t xml:space="preserve"> Національного банку України, що діяла у період за який нараховується пеня,</w:t>
      </w:r>
      <w:r w:rsidRPr="00E16672">
        <w:rPr>
          <w:rFonts w:ascii="Times New Roman" w:hAnsi="Times New Roman"/>
          <w:color w:val="000000"/>
          <w:sz w:val="20"/>
          <w:szCs w:val="20"/>
          <w:lang w:eastAsia="hi-IN" w:bidi="hi-IN"/>
        </w:rPr>
        <w:t xml:space="preserve"> від суми простроченого платежу за кожен день прострочення</w:t>
      </w:r>
      <w:r w:rsidRPr="00E16672">
        <w:rPr>
          <w:rFonts w:ascii="Times New Roman" w:hAnsi="Times New Roman"/>
          <w:color w:val="000000"/>
          <w:sz w:val="20"/>
          <w:szCs w:val="20"/>
        </w:rPr>
        <w:t>. Формула, за якою розраховується</w:t>
      </w:r>
      <w:r w:rsidRPr="00E16672">
        <w:rPr>
          <w:rFonts w:ascii="Times New Roman" w:hAnsi="Times New Roman"/>
          <w:sz w:val="20"/>
          <w:szCs w:val="20"/>
        </w:rPr>
        <w:t xml:space="preserve"> пеня:</w:t>
      </w:r>
    </w:p>
    <w:p w14:paraId="7204FB33" w14:textId="77777777" w:rsidR="007974E8" w:rsidRPr="00E16672" w:rsidRDefault="007974E8" w:rsidP="007974E8">
      <w:pPr>
        <w:pStyle w:val="310"/>
        <w:ind w:firstLine="567"/>
        <w:rPr>
          <w:rFonts w:ascii="Times New Roman" w:hAnsi="Times New Roman"/>
          <w:color w:val="000000"/>
          <w:sz w:val="20"/>
          <w:szCs w:val="20"/>
        </w:rPr>
      </w:pPr>
    </w:p>
    <w:p w14:paraId="4425D0F5" w14:textId="77777777" w:rsidR="007974E8" w:rsidRPr="00E16672" w:rsidRDefault="007974E8" w:rsidP="007974E8">
      <w:pPr>
        <w:pStyle w:val="310"/>
        <w:ind w:firstLine="567"/>
        <w:rPr>
          <w:rFonts w:ascii="Times New Roman" w:hAnsi="Times New Roman"/>
          <w:color w:val="000000"/>
          <w:sz w:val="20"/>
          <w:szCs w:val="20"/>
        </w:rPr>
      </w:pPr>
      <w:r w:rsidRPr="00E16672">
        <w:rPr>
          <w:rFonts w:ascii="Times New Roman" w:hAnsi="Times New Roman"/>
          <w:color w:val="000000"/>
          <w:sz w:val="20"/>
          <w:szCs w:val="20"/>
        </w:rPr>
        <w:t>5.9.1. П=</w:t>
      </w:r>
      <w:proofErr w:type="spellStart"/>
      <w:r w:rsidRPr="00E16672">
        <w:rPr>
          <w:rFonts w:ascii="Times New Roman" w:hAnsi="Times New Roman"/>
          <w:color w:val="000000"/>
          <w:sz w:val="20"/>
          <w:szCs w:val="20"/>
        </w:rPr>
        <w:t>Тнеоплачений</w:t>
      </w:r>
      <w:proofErr w:type="spellEnd"/>
      <w:r w:rsidRPr="00E16672">
        <w:rPr>
          <w:rFonts w:ascii="Times New Roman" w:hAnsi="Times New Roman"/>
          <w:color w:val="000000"/>
          <w:sz w:val="20"/>
          <w:szCs w:val="20"/>
        </w:rPr>
        <w:t>*2НБУ/</w:t>
      </w:r>
      <w:proofErr w:type="spellStart"/>
      <w:r w:rsidRPr="00E16672">
        <w:rPr>
          <w:rFonts w:ascii="Times New Roman" w:hAnsi="Times New Roman"/>
          <w:color w:val="000000"/>
          <w:sz w:val="20"/>
          <w:szCs w:val="20"/>
        </w:rPr>
        <w:t>Дрік</w:t>
      </w:r>
      <w:proofErr w:type="spellEnd"/>
      <w:r w:rsidRPr="00E16672">
        <w:rPr>
          <w:rFonts w:ascii="Times New Roman" w:hAnsi="Times New Roman"/>
          <w:color w:val="000000"/>
          <w:sz w:val="20"/>
          <w:szCs w:val="20"/>
        </w:rPr>
        <w:t>*</w:t>
      </w:r>
      <w:proofErr w:type="spellStart"/>
      <w:r w:rsidRPr="00E16672">
        <w:rPr>
          <w:rFonts w:ascii="Times New Roman" w:hAnsi="Times New Roman"/>
          <w:color w:val="000000"/>
          <w:sz w:val="20"/>
          <w:szCs w:val="20"/>
        </w:rPr>
        <w:t>Днарахування</w:t>
      </w:r>
      <w:proofErr w:type="spellEnd"/>
      <w:r w:rsidRPr="00E16672">
        <w:rPr>
          <w:rFonts w:ascii="Times New Roman" w:hAnsi="Times New Roman"/>
          <w:color w:val="000000"/>
          <w:sz w:val="20"/>
          <w:szCs w:val="20"/>
        </w:rPr>
        <w:t>, де:</w:t>
      </w:r>
    </w:p>
    <w:p w14:paraId="79CE238A" w14:textId="77777777" w:rsidR="007974E8" w:rsidRPr="00E16672" w:rsidRDefault="007974E8" w:rsidP="007974E8">
      <w:pPr>
        <w:pStyle w:val="310"/>
        <w:ind w:firstLine="567"/>
        <w:rPr>
          <w:rFonts w:ascii="Times New Roman" w:hAnsi="Times New Roman"/>
          <w:color w:val="000000"/>
          <w:sz w:val="20"/>
          <w:szCs w:val="20"/>
        </w:rPr>
      </w:pPr>
      <w:r w:rsidRPr="00E16672">
        <w:rPr>
          <w:rFonts w:ascii="Times New Roman" w:hAnsi="Times New Roman"/>
          <w:color w:val="000000"/>
          <w:sz w:val="20"/>
          <w:szCs w:val="20"/>
        </w:rPr>
        <w:t>П – пеня;</w:t>
      </w:r>
    </w:p>
    <w:p w14:paraId="74364B7B" w14:textId="77777777" w:rsidR="007974E8" w:rsidRPr="00E16672" w:rsidRDefault="007974E8" w:rsidP="007974E8">
      <w:pPr>
        <w:pStyle w:val="310"/>
        <w:ind w:firstLine="567"/>
        <w:rPr>
          <w:rFonts w:ascii="Times New Roman" w:hAnsi="Times New Roman"/>
          <w:color w:val="000000"/>
          <w:sz w:val="20"/>
          <w:szCs w:val="20"/>
        </w:rPr>
      </w:pPr>
      <w:r w:rsidRPr="00E16672">
        <w:rPr>
          <w:rFonts w:ascii="Times New Roman" w:hAnsi="Times New Roman"/>
          <w:color w:val="000000"/>
          <w:sz w:val="20"/>
          <w:szCs w:val="20"/>
        </w:rPr>
        <w:t>Т неоплачений – вартість неоплаченої послуги;</w:t>
      </w:r>
    </w:p>
    <w:p w14:paraId="61FAB2AE" w14:textId="77777777" w:rsidR="007974E8" w:rsidRPr="00E16672" w:rsidRDefault="007974E8" w:rsidP="007974E8">
      <w:pPr>
        <w:pStyle w:val="310"/>
        <w:ind w:firstLine="567"/>
        <w:rPr>
          <w:rFonts w:ascii="Times New Roman" w:hAnsi="Times New Roman"/>
          <w:color w:val="000000"/>
          <w:sz w:val="20"/>
          <w:szCs w:val="20"/>
        </w:rPr>
      </w:pPr>
      <w:r w:rsidRPr="00E16672">
        <w:rPr>
          <w:rFonts w:ascii="Times New Roman" w:hAnsi="Times New Roman"/>
          <w:color w:val="000000"/>
          <w:sz w:val="20"/>
          <w:szCs w:val="20"/>
        </w:rPr>
        <w:t>2НБУ – подвійна облікова ставка Національного Банку України;</w:t>
      </w:r>
    </w:p>
    <w:p w14:paraId="69A5A6EF" w14:textId="77777777" w:rsidR="007974E8" w:rsidRPr="00E16672" w:rsidRDefault="007974E8" w:rsidP="007974E8">
      <w:pPr>
        <w:pStyle w:val="310"/>
        <w:ind w:firstLine="567"/>
        <w:rPr>
          <w:rFonts w:ascii="Times New Roman" w:hAnsi="Times New Roman"/>
          <w:color w:val="000000"/>
          <w:sz w:val="20"/>
          <w:szCs w:val="20"/>
        </w:rPr>
      </w:pPr>
      <w:r w:rsidRPr="00E16672">
        <w:rPr>
          <w:rFonts w:ascii="Times New Roman" w:hAnsi="Times New Roman"/>
          <w:color w:val="000000"/>
          <w:sz w:val="20"/>
          <w:szCs w:val="20"/>
        </w:rPr>
        <w:t>Д рік – кількість днів у році;</w:t>
      </w:r>
    </w:p>
    <w:p w14:paraId="130203FB" w14:textId="77777777" w:rsidR="007974E8" w:rsidRPr="00E16672" w:rsidRDefault="007974E8" w:rsidP="007974E8">
      <w:pPr>
        <w:pStyle w:val="310"/>
        <w:ind w:firstLine="567"/>
        <w:rPr>
          <w:rFonts w:ascii="Times New Roman" w:hAnsi="Times New Roman"/>
          <w:color w:val="000000"/>
          <w:sz w:val="20"/>
          <w:szCs w:val="20"/>
        </w:rPr>
      </w:pPr>
      <w:r w:rsidRPr="00E16672">
        <w:rPr>
          <w:rFonts w:ascii="Times New Roman" w:hAnsi="Times New Roman"/>
          <w:color w:val="000000"/>
          <w:sz w:val="20"/>
          <w:szCs w:val="20"/>
        </w:rPr>
        <w:t>Д нарахування – кількість днів нарахування пені.</w:t>
      </w:r>
    </w:p>
    <w:p w14:paraId="4F5F6FE7" w14:textId="77777777" w:rsidR="007974E8" w:rsidRPr="00E16672" w:rsidRDefault="007974E8" w:rsidP="007974E8">
      <w:pPr>
        <w:pStyle w:val="310"/>
        <w:ind w:firstLine="567"/>
        <w:rPr>
          <w:rFonts w:ascii="Times New Roman" w:hAnsi="Times New Roman"/>
          <w:color w:val="000000"/>
          <w:sz w:val="20"/>
          <w:szCs w:val="20"/>
        </w:rPr>
      </w:pPr>
      <w:r w:rsidRPr="00E16672">
        <w:rPr>
          <w:rFonts w:ascii="Times New Roman" w:hAnsi="Times New Roman"/>
          <w:color w:val="000000"/>
          <w:sz w:val="20"/>
          <w:szCs w:val="20"/>
        </w:rPr>
        <w:t>5.9.2. Депозитарна установа може пред'являти Депоненту (Керуючому рахунком) вимоги стосовно сплати пені, як шляхом надіслання рахунка, так і шляхом звернення до Депонента (Керуючого рахунком) з листом, телеграмою тощо.</w:t>
      </w:r>
    </w:p>
    <w:p w14:paraId="1B54C1D8" w14:textId="77777777" w:rsidR="007974E8" w:rsidRPr="00E16672" w:rsidRDefault="007974E8" w:rsidP="007974E8">
      <w:pPr>
        <w:pStyle w:val="310"/>
        <w:ind w:firstLine="567"/>
        <w:rPr>
          <w:rFonts w:ascii="Times New Roman" w:hAnsi="Times New Roman"/>
          <w:color w:val="000000"/>
          <w:sz w:val="20"/>
          <w:szCs w:val="20"/>
        </w:rPr>
      </w:pPr>
      <w:r w:rsidRPr="00E16672">
        <w:rPr>
          <w:rFonts w:ascii="Times New Roman" w:hAnsi="Times New Roman"/>
          <w:color w:val="000000"/>
          <w:sz w:val="20"/>
          <w:szCs w:val="20"/>
        </w:rPr>
        <w:t>5.9.3. Депонент (Керуючий рахунком) повинен виконати зобов'язання, визначене п.5.9., у п’ятиденний строк з дня пред'явлення вимоги Депозитарної установи згідно з пп.5.9. Таким днем слід вважати дату одержання вимоги Депонентом (Керуючим рахунком).</w:t>
      </w:r>
    </w:p>
    <w:p w14:paraId="1D9D358A" w14:textId="77777777" w:rsidR="007974E8" w:rsidRPr="00E16672" w:rsidRDefault="007974E8" w:rsidP="007974E8">
      <w:pPr>
        <w:pStyle w:val="310"/>
        <w:ind w:firstLine="567"/>
        <w:rPr>
          <w:rFonts w:ascii="Times New Roman" w:hAnsi="Times New Roman"/>
          <w:color w:val="000000"/>
          <w:sz w:val="20"/>
          <w:szCs w:val="20"/>
        </w:rPr>
      </w:pPr>
      <w:r w:rsidRPr="00E16672">
        <w:rPr>
          <w:rFonts w:ascii="Times New Roman" w:hAnsi="Times New Roman"/>
          <w:color w:val="000000"/>
          <w:sz w:val="20"/>
          <w:szCs w:val="20"/>
        </w:rPr>
        <w:t>5.9.4. При цьому визнання Депонентом (Керуючим) претензії Депозитарної установи про оплату послуг без перерахування заборгованості не може бути підставою для припинення нарахування пені за прострочку платежу.</w:t>
      </w:r>
    </w:p>
    <w:p w14:paraId="331BC035" w14:textId="77777777" w:rsidR="007974E8" w:rsidRPr="00E16672" w:rsidRDefault="007974E8" w:rsidP="007974E8">
      <w:pPr>
        <w:pStyle w:val="310"/>
        <w:ind w:firstLine="567"/>
        <w:rPr>
          <w:rFonts w:ascii="Times New Roman" w:hAnsi="Times New Roman"/>
          <w:color w:val="000000"/>
          <w:sz w:val="20"/>
          <w:szCs w:val="20"/>
        </w:rPr>
      </w:pPr>
      <w:r w:rsidRPr="00E16672">
        <w:rPr>
          <w:rFonts w:ascii="Times New Roman" w:hAnsi="Times New Roman"/>
          <w:color w:val="000000"/>
          <w:sz w:val="20"/>
          <w:szCs w:val="20"/>
        </w:rPr>
        <w:t>5.10. Прострочення платежу більш як на 180 днів вважається відмовою від виконання умов Договору, у зв'язку з чим , Депозитарна установа має право нарахувати та стягнути з іншої Сторони штраф у розмірі 20% від суми невиконаного зобов'язання</w:t>
      </w:r>
    </w:p>
    <w:p w14:paraId="4AA97942" w14:textId="77777777" w:rsidR="007974E8" w:rsidRPr="00E16672" w:rsidRDefault="007974E8" w:rsidP="007974E8">
      <w:pPr>
        <w:pStyle w:val="310"/>
        <w:ind w:firstLine="567"/>
        <w:rPr>
          <w:rFonts w:ascii="Times New Roman" w:hAnsi="Times New Roman"/>
          <w:color w:val="000000"/>
          <w:sz w:val="20"/>
          <w:szCs w:val="20"/>
        </w:rPr>
      </w:pPr>
      <w:r w:rsidRPr="00E16672">
        <w:rPr>
          <w:rFonts w:ascii="Times New Roman" w:hAnsi="Times New Roman"/>
          <w:color w:val="000000"/>
          <w:sz w:val="20"/>
          <w:szCs w:val="20"/>
        </w:rPr>
        <w:t>5.10.1. Депозитарна установа може пред'являти Депоненту (Керуючому рахунком) вимоги стосовно сплати штрафу, як шляхом надіслання рахунка, так і шляхом звернення до Депонента (Керуючого рахунком) з листом, телеграмою тощо.</w:t>
      </w:r>
    </w:p>
    <w:p w14:paraId="629DC82B" w14:textId="77777777" w:rsidR="007974E8" w:rsidRPr="00E16672" w:rsidRDefault="007974E8" w:rsidP="007974E8">
      <w:pPr>
        <w:pStyle w:val="310"/>
        <w:ind w:firstLine="567"/>
        <w:rPr>
          <w:rFonts w:ascii="Times New Roman" w:hAnsi="Times New Roman"/>
          <w:color w:val="000000"/>
          <w:sz w:val="20"/>
          <w:szCs w:val="20"/>
        </w:rPr>
      </w:pPr>
      <w:r w:rsidRPr="00E16672">
        <w:rPr>
          <w:rFonts w:ascii="Times New Roman" w:hAnsi="Times New Roman"/>
          <w:color w:val="000000"/>
          <w:sz w:val="20"/>
          <w:szCs w:val="20"/>
        </w:rPr>
        <w:t>5.10.2. Депонент (Керуючий рахунком) повинен виконати зобов'язання, визначене п.5.10., у п’ятиденний строк з дня пред'явлення вимоги Депозитарної установи згідно з пп.5.10. Таким днем слід вважати дату одержання вимоги Депонентом (Керуючим рахунком).</w:t>
      </w:r>
    </w:p>
    <w:p w14:paraId="5A1508BD" w14:textId="77777777" w:rsidR="007974E8" w:rsidRPr="00E16672" w:rsidRDefault="007974E8" w:rsidP="007974E8">
      <w:pPr>
        <w:pStyle w:val="310"/>
        <w:ind w:firstLine="567"/>
        <w:rPr>
          <w:rFonts w:ascii="Times New Roman" w:hAnsi="Times New Roman"/>
          <w:color w:val="000000"/>
          <w:sz w:val="20"/>
          <w:szCs w:val="20"/>
        </w:rPr>
      </w:pPr>
      <w:r w:rsidRPr="00E16672">
        <w:rPr>
          <w:rFonts w:ascii="Times New Roman" w:hAnsi="Times New Roman"/>
          <w:color w:val="000000"/>
          <w:sz w:val="20"/>
          <w:szCs w:val="20"/>
        </w:rPr>
        <w:t>5.10.3. Виплата пені  або штрафу не звільняє Сторони від виконання обов’язків згідно з умовами цього Договору.</w:t>
      </w:r>
    </w:p>
    <w:p w14:paraId="73FD22CF" w14:textId="77777777" w:rsidR="007974E8" w:rsidRPr="00E16672" w:rsidRDefault="007974E8" w:rsidP="007974E8">
      <w:pPr>
        <w:pStyle w:val="310"/>
        <w:ind w:firstLine="567"/>
        <w:rPr>
          <w:rFonts w:ascii="Times New Roman" w:hAnsi="Times New Roman"/>
          <w:color w:val="000000"/>
          <w:sz w:val="20"/>
          <w:szCs w:val="20"/>
        </w:rPr>
      </w:pPr>
      <w:r w:rsidRPr="00E16672">
        <w:rPr>
          <w:rFonts w:ascii="Times New Roman" w:hAnsi="Times New Roman"/>
          <w:color w:val="000000"/>
          <w:sz w:val="20"/>
          <w:szCs w:val="20"/>
        </w:rPr>
        <w:t>5.11. Сторона, яка порушила Договір (крім випадку порушення п.2.1.2) під час виконання своїх зобов'язань, несе відповідальність, якщо не доведе, що належне виконання зобов'язання унеможливив вплив обставин непереборної сили, тобто надзвичайних і невідворотних за даних умов подій: стихійного лиха, аварії, пожежі, масових порушень правопорядку, страйків, військових дій, протиправних дій третіх осіб (крім дій працівників Сторони) чи інших обставин, що виникли після підписання Договору та не залежать від волевиявлення Сторін. Не є непереборною силою недодержання своїх обов'язків іншими контрагентами однієї зі Сторін чи відсутність у Сторони достатніх коштів.</w:t>
      </w:r>
    </w:p>
    <w:p w14:paraId="512D4B78" w14:textId="77777777" w:rsidR="007974E8" w:rsidRPr="00E16672" w:rsidRDefault="007974E8" w:rsidP="007974E8">
      <w:pPr>
        <w:pStyle w:val="310"/>
        <w:ind w:firstLine="567"/>
        <w:rPr>
          <w:rFonts w:ascii="Times New Roman" w:hAnsi="Times New Roman"/>
          <w:color w:val="000000"/>
          <w:sz w:val="20"/>
          <w:szCs w:val="20"/>
        </w:rPr>
      </w:pPr>
      <w:r w:rsidRPr="00E16672">
        <w:rPr>
          <w:rFonts w:ascii="Times New Roman" w:hAnsi="Times New Roman"/>
          <w:color w:val="000000"/>
          <w:sz w:val="20"/>
          <w:szCs w:val="20"/>
        </w:rPr>
        <w:t xml:space="preserve">Жодна із Сторін не несе відповідальності за невиконання або неналежне виконання своїх </w:t>
      </w:r>
      <w:r w:rsidR="007B5C69" w:rsidRPr="00E16672">
        <w:rPr>
          <w:rFonts w:ascii="Times New Roman" w:hAnsi="Times New Roman"/>
          <w:color w:val="000000"/>
          <w:sz w:val="20"/>
          <w:szCs w:val="20"/>
        </w:rPr>
        <w:t>зобов’язань</w:t>
      </w:r>
      <w:r w:rsidRPr="00E16672">
        <w:rPr>
          <w:rFonts w:ascii="Times New Roman" w:hAnsi="Times New Roman"/>
          <w:color w:val="000000"/>
          <w:sz w:val="20"/>
          <w:szCs w:val="20"/>
        </w:rPr>
        <w:t xml:space="preserve"> за цим Договором, якщо це невиконання або неналежне виконання зумовлено дією обставин непереборної сили (форс-мажорних обставин). </w:t>
      </w:r>
    </w:p>
    <w:p w14:paraId="51B52691" w14:textId="77777777" w:rsidR="007974E8" w:rsidRPr="00E16672" w:rsidRDefault="007974E8" w:rsidP="007974E8">
      <w:pPr>
        <w:pStyle w:val="310"/>
        <w:ind w:firstLine="567"/>
        <w:rPr>
          <w:rFonts w:ascii="Times New Roman" w:hAnsi="Times New Roman"/>
          <w:color w:val="000000"/>
          <w:sz w:val="20"/>
          <w:szCs w:val="20"/>
        </w:rPr>
      </w:pPr>
      <w:r w:rsidRPr="00E16672">
        <w:rPr>
          <w:rFonts w:ascii="Times New Roman" w:hAnsi="Times New Roman"/>
          <w:color w:val="000000"/>
          <w:sz w:val="20"/>
          <w:szCs w:val="20"/>
        </w:rPr>
        <w:t xml:space="preserve">Усі спори, що виникають з цього Договору або пов'язані із ним, вирішуються шляхом переговорів або у порядку, встановленому чинним законодавством України,  шляхом вирішення у судовому порядку. </w:t>
      </w:r>
    </w:p>
    <w:p w14:paraId="2D9558B3" w14:textId="77777777" w:rsidR="007974E8" w:rsidRPr="00E16672" w:rsidRDefault="007974E8" w:rsidP="007974E8">
      <w:pPr>
        <w:pStyle w:val="310"/>
        <w:ind w:firstLine="567"/>
        <w:rPr>
          <w:rFonts w:ascii="Times New Roman" w:hAnsi="Times New Roman"/>
          <w:color w:val="000000"/>
          <w:sz w:val="20"/>
          <w:szCs w:val="20"/>
        </w:rPr>
      </w:pPr>
      <w:r w:rsidRPr="00E16672">
        <w:rPr>
          <w:rFonts w:ascii="Times New Roman" w:hAnsi="Times New Roman"/>
          <w:color w:val="000000"/>
          <w:sz w:val="20"/>
          <w:szCs w:val="20"/>
        </w:rPr>
        <w:lastRenderedPageBreak/>
        <w:t xml:space="preserve">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законодавства України або у постійно діючому Третейському суді </w:t>
      </w:r>
      <w:proofErr w:type="spellStart"/>
      <w:r w:rsidRPr="00E16672">
        <w:rPr>
          <w:rFonts w:ascii="Times New Roman" w:hAnsi="Times New Roman"/>
          <w:color w:val="000000"/>
          <w:sz w:val="20"/>
          <w:szCs w:val="20"/>
        </w:rPr>
        <w:t>саморегулівної</w:t>
      </w:r>
      <w:proofErr w:type="spellEnd"/>
      <w:r w:rsidRPr="00E16672">
        <w:rPr>
          <w:rFonts w:ascii="Times New Roman" w:hAnsi="Times New Roman"/>
          <w:color w:val="000000"/>
          <w:sz w:val="20"/>
          <w:szCs w:val="20"/>
        </w:rPr>
        <w:t xml:space="preserve"> організації Професійна асоціація реєстраторів і депозитаріїв.</w:t>
      </w:r>
    </w:p>
    <w:p w14:paraId="5578A491" w14:textId="77777777" w:rsidR="007974E8" w:rsidRPr="00E16672" w:rsidRDefault="007974E8" w:rsidP="007974E8">
      <w:pPr>
        <w:pStyle w:val="310"/>
        <w:ind w:firstLine="567"/>
        <w:rPr>
          <w:rFonts w:ascii="Times New Roman" w:hAnsi="Times New Roman"/>
          <w:color w:val="000000"/>
          <w:sz w:val="20"/>
          <w:szCs w:val="20"/>
        </w:rPr>
      </w:pPr>
      <w:r w:rsidRPr="00E16672">
        <w:rPr>
          <w:rFonts w:ascii="Times New Roman" w:hAnsi="Times New Roman"/>
          <w:color w:val="000000"/>
          <w:sz w:val="20"/>
          <w:szCs w:val="20"/>
        </w:rPr>
        <w:t>5.1</w:t>
      </w:r>
      <w:r w:rsidR="00890391">
        <w:rPr>
          <w:rFonts w:ascii="Times New Roman" w:hAnsi="Times New Roman"/>
          <w:color w:val="000000"/>
          <w:sz w:val="20"/>
          <w:szCs w:val="20"/>
        </w:rPr>
        <w:t>2</w:t>
      </w:r>
      <w:r w:rsidRPr="00E16672">
        <w:rPr>
          <w:rFonts w:ascii="Times New Roman" w:hAnsi="Times New Roman"/>
          <w:color w:val="000000"/>
          <w:sz w:val="20"/>
          <w:szCs w:val="20"/>
        </w:rPr>
        <w:t xml:space="preserve">. Строк позовної давності, у межах якого одна із Сторін може звернутися до суду з вимогою про захист </w:t>
      </w:r>
      <w:r w:rsidRPr="00E16672">
        <w:rPr>
          <w:rFonts w:ascii="Times New Roman" w:hAnsi="Times New Roman"/>
          <w:i/>
          <w:iCs/>
          <w:color w:val="000000"/>
          <w:sz w:val="20"/>
          <w:szCs w:val="20"/>
        </w:rPr>
        <w:t xml:space="preserve">основних </w:t>
      </w:r>
      <w:r w:rsidRPr="00E16672">
        <w:rPr>
          <w:rFonts w:ascii="Times New Roman" w:hAnsi="Times New Roman"/>
          <w:color w:val="000000"/>
          <w:sz w:val="20"/>
          <w:szCs w:val="20"/>
        </w:rPr>
        <w:t xml:space="preserve">прав та інтересів встановлюється тривалістю у </w:t>
      </w:r>
      <w:r w:rsidRPr="00E16672">
        <w:rPr>
          <w:rFonts w:ascii="Times New Roman" w:hAnsi="Times New Roman"/>
          <w:i/>
          <w:iCs/>
          <w:color w:val="000000"/>
          <w:sz w:val="20"/>
          <w:szCs w:val="20"/>
        </w:rPr>
        <w:t>п’ятдесят</w:t>
      </w:r>
      <w:r w:rsidRPr="00E16672">
        <w:rPr>
          <w:rFonts w:ascii="Times New Roman" w:hAnsi="Times New Roman"/>
          <w:color w:val="000000"/>
          <w:sz w:val="20"/>
          <w:szCs w:val="20"/>
        </w:rPr>
        <w:t xml:space="preserve"> років. Позовна давність в </w:t>
      </w:r>
      <w:r w:rsidRPr="00E16672">
        <w:rPr>
          <w:rFonts w:ascii="Times New Roman" w:hAnsi="Times New Roman"/>
          <w:i/>
          <w:iCs/>
          <w:color w:val="000000"/>
          <w:sz w:val="20"/>
          <w:szCs w:val="20"/>
        </w:rPr>
        <w:t>п'ятдесят</w:t>
      </w:r>
      <w:r w:rsidRPr="00E16672">
        <w:rPr>
          <w:rFonts w:ascii="Times New Roman" w:hAnsi="Times New Roman"/>
          <w:color w:val="000000"/>
          <w:sz w:val="20"/>
          <w:szCs w:val="20"/>
        </w:rPr>
        <w:t xml:space="preserve"> років застосовується також до</w:t>
      </w:r>
      <w:r w:rsidRPr="00E16672">
        <w:rPr>
          <w:rFonts w:ascii="Times New Roman" w:hAnsi="Times New Roman"/>
          <w:sz w:val="20"/>
          <w:szCs w:val="20"/>
        </w:rPr>
        <w:t xml:space="preserve"> вимог про стягнення </w:t>
      </w:r>
      <w:r w:rsidRPr="00E16672">
        <w:rPr>
          <w:rFonts w:ascii="Times New Roman" w:hAnsi="Times New Roman"/>
          <w:i/>
          <w:iCs/>
          <w:sz w:val="20"/>
          <w:szCs w:val="20"/>
        </w:rPr>
        <w:t>неустойки</w:t>
      </w:r>
      <w:r w:rsidRPr="00E16672">
        <w:rPr>
          <w:rFonts w:ascii="Times New Roman" w:hAnsi="Times New Roman"/>
          <w:sz w:val="20"/>
          <w:szCs w:val="20"/>
        </w:rPr>
        <w:t xml:space="preserve"> (пені)</w:t>
      </w:r>
      <w:r w:rsidRPr="00E16672">
        <w:rPr>
          <w:rFonts w:ascii="Times New Roman" w:hAnsi="Times New Roman"/>
          <w:color w:val="000000"/>
          <w:sz w:val="20"/>
          <w:szCs w:val="20"/>
        </w:rPr>
        <w:t>).</w:t>
      </w:r>
    </w:p>
    <w:p w14:paraId="104E2AD7" w14:textId="77777777" w:rsidR="007974E8" w:rsidRPr="00E16672" w:rsidRDefault="007974E8" w:rsidP="007974E8">
      <w:pPr>
        <w:pStyle w:val="af"/>
        <w:rPr>
          <w:rFonts w:ascii="Times New Roman" w:hAnsi="Times New Roman" w:cs="Times New Roman"/>
          <w:color w:val="000000"/>
        </w:rPr>
      </w:pPr>
    </w:p>
    <w:p w14:paraId="21CE3D9E" w14:textId="77777777" w:rsidR="007974E8" w:rsidRPr="00E16672" w:rsidRDefault="007974E8" w:rsidP="007974E8">
      <w:pPr>
        <w:jc w:val="center"/>
        <w:rPr>
          <w:rFonts w:ascii="Times New Roman" w:hAnsi="Times New Roman"/>
          <w:b/>
          <w:color w:val="000000"/>
          <w:szCs w:val="20"/>
        </w:rPr>
      </w:pPr>
      <w:r w:rsidRPr="00E16672">
        <w:rPr>
          <w:rFonts w:ascii="Times New Roman" w:hAnsi="Times New Roman"/>
          <w:b/>
          <w:color w:val="000000"/>
          <w:szCs w:val="20"/>
        </w:rPr>
        <w:t xml:space="preserve">6. Строк </w:t>
      </w:r>
      <w:proofErr w:type="spellStart"/>
      <w:r w:rsidRPr="00E16672">
        <w:rPr>
          <w:rFonts w:ascii="Times New Roman" w:hAnsi="Times New Roman"/>
          <w:b/>
          <w:color w:val="000000"/>
          <w:szCs w:val="20"/>
        </w:rPr>
        <w:t>дії</w:t>
      </w:r>
      <w:proofErr w:type="spellEnd"/>
      <w:r w:rsidRPr="00E16672">
        <w:rPr>
          <w:rFonts w:ascii="Times New Roman" w:hAnsi="Times New Roman"/>
          <w:b/>
          <w:color w:val="000000"/>
          <w:szCs w:val="20"/>
        </w:rPr>
        <w:t xml:space="preserve"> Договору, порядок </w:t>
      </w:r>
      <w:proofErr w:type="spellStart"/>
      <w:r w:rsidRPr="00E16672">
        <w:rPr>
          <w:rFonts w:ascii="Times New Roman" w:hAnsi="Times New Roman"/>
          <w:b/>
          <w:color w:val="000000"/>
          <w:szCs w:val="20"/>
        </w:rPr>
        <w:t>внесення</w:t>
      </w:r>
      <w:proofErr w:type="spellEnd"/>
      <w:r w:rsidRPr="00E16672">
        <w:rPr>
          <w:rFonts w:ascii="Times New Roman" w:hAnsi="Times New Roman"/>
          <w:b/>
          <w:color w:val="000000"/>
          <w:szCs w:val="20"/>
        </w:rPr>
        <w:t xml:space="preserve"> </w:t>
      </w:r>
      <w:proofErr w:type="spellStart"/>
      <w:r w:rsidRPr="00E16672">
        <w:rPr>
          <w:rFonts w:ascii="Times New Roman" w:hAnsi="Times New Roman"/>
          <w:b/>
          <w:color w:val="000000"/>
          <w:szCs w:val="20"/>
        </w:rPr>
        <w:t>змін</w:t>
      </w:r>
      <w:proofErr w:type="spellEnd"/>
      <w:r w:rsidRPr="00E16672">
        <w:rPr>
          <w:rFonts w:ascii="Times New Roman" w:hAnsi="Times New Roman"/>
          <w:b/>
          <w:color w:val="000000"/>
          <w:szCs w:val="20"/>
        </w:rPr>
        <w:t xml:space="preserve"> до </w:t>
      </w:r>
      <w:proofErr w:type="spellStart"/>
      <w:r w:rsidRPr="00E16672">
        <w:rPr>
          <w:rFonts w:ascii="Times New Roman" w:hAnsi="Times New Roman"/>
          <w:b/>
          <w:color w:val="000000"/>
          <w:szCs w:val="20"/>
        </w:rPr>
        <w:t>нього</w:t>
      </w:r>
      <w:proofErr w:type="spellEnd"/>
      <w:r w:rsidRPr="00E16672">
        <w:rPr>
          <w:rFonts w:ascii="Times New Roman" w:hAnsi="Times New Roman"/>
          <w:b/>
          <w:color w:val="000000"/>
          <w:szCs w:val="20"/>
        </w:rPr>
        <w:t xml:space="preserve">, </w:t>
      </w:r>
      <w:proofErr w:type="spellStart"/>
      <w:r w:rsidRPr="00E16672">
        <w:rPr>
          <w:rFonts w:ascii="Times New Roman" w:hAnsi="Times New Roman"/>
          <w:b/>
          <w:color w:val="000000"/>
          <w:szCs w:val="20"/>
        </w:rPr>
        <w:t>умови</w:t>
      </w:r>
      <w:proofErr w:type="spellEnd"/>
      <w:r w:rsidRPr="00E16672">
        <w:rPr>
          <w:rFonts w:ascii="Times New Roman" w:hAnsi="Times New Roman"/>
          <w:b/>
          <w:color w:val="000000"/>
          <w:szCs w:val="20"/>
        </w:rPr>
        <w:t xml:space="preserve"> </w:t>
      </w:r>
      <w:proofErr w:type="spellStart"/>
      <w:r w:rsidRPr="00E16672">
        <w:rPr>
          <w:rFonts w:ascii="Times New Roman" w:hAnsi="Times New Roman"/>
          <w:b/>
          <w:color w:val="000000"/>
          <w:szCs w:val="20"/>
        </w:rPr>
        <w:t>розірвання</w:t>
      </w:r>
      <w:proofErr w:type="spellEnd"/>
      <w:r w:rsidRPr="00E16672">
        <w:rPr>
          <w:rFonts w:ascii="Times New Roman" w:hAnsi="Times New Roman"/>
          <w:b/>
          <w:color w:val="000000"/>
          <w:szCs w:val="20"/>
        </w:rPr>
        <w:t xml:space="preserve"> Договору </w:t>
      </w:r>
    </w:p>
    <w:p w14:paraId="001EA321" w14:textId="77777777" w:rsidR="007974E8" w:rsidRPr="00E16672" w:rsidRDefault="007974E8" w:rsidP="007974E8">
      <w:pPr>
        <w:jc w:val="center"/>
        <w:rPr>
          <w:rFonts w:ascii="Times New Roman" w:hAnsi="Times New Roman"/>
          <w:b/>
          <w:color w:val="000000"/>
          <w:szCs w:val="20"/>
        </w:rPr>
      </w:pPr>
      <w:r w:rsidRPr="00E16672">
        <w:rPr>
          <w:rFonts w:ascii="Times New Roman" w:hAnsi="Times New Roman"/>
          <w:b/>
          <w:color w:val="000000"/>
          <w:szCs w:val="20"/>
        </w:rPr>
        <w:t xml:space="preserve"> та </w:t>
      </w:r>
      <w:proofErr w:type="spellStart"/>
      <w:r w:rsidRPr="00E16672">
        <w:rPr>
          <w:rFonts w:ascii="Times New Roman" w:hAnsi="Times New Roman"/>
          <w:b/>
          <w:color w:val="000000"/>
          <w:szCs w:val="20"/>
        </w:rPr>
        <w:t>припинення</w:t>
      </w:r>
      <w:proofErr w:type="spellEnd"/>
      <w:r w:rsidRPr="00E16672">
        <w:rPr>
          <w:rFonts w:ascii="Times New Roman" w:hAnsi="Times New Roman"/>
          <w:b/>
          <w:color w:val="000000"/>
          <w:szCs w:val="20"/>
        </w:rPr>
        <w:t xml:space="preserve"> </w:t>
      </w:r>
      <w:proofErr w:type="spellStart"/>
      <w:r w:rsidRPr="00E16672">
        <w:rPr>
          <w:rFonts w:ascii="Times New Roman" w:hAnsi="Times New Roman"/>
          <w:b/>
          <w:color w:val="000000"/>
          <w:szCs w:val="20"/>
        </w:rPr>
        <w:t>його</w:t>
      </w:r>
      <w:proofErr w:type="spellEnd"/>
      <w:r w:rsidRPr="00E16672">
        <w:rPr>
          <w:rFonts w:ascii="Times New Roman" w:hAnsi="Times New Roman"/>
          <w:b/>
          <w:color w:val="000000"/>
          <w:szCs w:val="20"/>
        </w:rPr>
        <w:t xml:space="preserve"> </w:t>
      </w:r>
      <w:proofErr w:type="spellStart"/>
      <w:r w:rsidRPr="00E16672">
        <w:rPr>
          <w:rFonts w:ascii="Times New Roman" w:hAnsi="Times New Roman"/>
          <w:b/>
          <w:color w:val="000000"/>
          <w:szCs w:val="20"/>
        </w:rPr>
        <w:t>дії</w:t>
      </w:r>
      <w:proofErr w:type="spellEnd"/>
    </w:p>
    <w:p w14:paraId="3264DC77" w14:textId="77777777" w:rsidR="007974E8" w:rsidRPr="00E16672" w:rsidRDefault="007974E8" w:rsidP="007974E8">
      <w:pPr>
        <w:rPr>
          <w:rFonts w:ascii="Times New Roman" w:hAnsi="Times New Roman"/>
          <w:color w:val="000000"/>
          <w:szCs w:val="20"/>
        </w:rPr>
      </w:pPr>
    </w:p>
    <w:p w14:paraId="626A92E7" w14:textId="77777777" w:rsidR="007974E8" w:rsidRPr="00E16672" w:rsidRDefault="007974E8" w:rsidP="007974E8">
      <w:pPr>
        <w:rPr>
          <w:rFonts w:ascii="Times New Roman" w:hAnsi="Times New Roman"/>
          <w:color w:val="000000"/>
          <w:szCs w:val="20"/>
        </w:rPr>
      </w:pPr>
      <w:r w:rsidRPr="00E16672">
        <w:rPr>
          <w:rFonts w:ascii="Times New Roman" w:hAnsi="Times New Roman"/>
          <w:color w:val="000000"/>
          <w:szCs w:val="20"/>
        </w:rPr>
        <w:t>6.1.</w:t>
      </w:r>
      <w:r w:rsidRPr="00E16672">
        <w:rPr>
          <w:rFonts w:ascii="Times New Roman" w:hAnsi="Times New Roman"/>
          <w:color w:val="000000"/>
          <w:szCs w:val="20"/>
          <w:lang w:val="uk-UA"/>
        </w:rPr>
        <w:t xml:space="preserve"> </w:t>
      </w:r>
      <w:proofErr w:type="spellStart"/>
      <w:r w:rsidRPr="00E16672">
        <w:rPr>
          <w:rFonts w:ascii="Times New Roman" w:hAnsi="Times New Roman"/>
          <w:color w:val="000000"/>
          <w:szCs w:val="20"/>
        </w:rPr>
        <w:t>Цей</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Договір</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набирає</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чинності</w:t>
      </w:r>
      <w:proofErr w:type="spellEnd"/>
      <w:r w:rsidRPr="00E16672">
        <w:rPr>
          <w:rFonts w:ascii="Times New Roman" w:hAnsi="Times New Roman"/>
          <w:color w:val="000000"/>
          <w:szCs w:val="20"/>
        </w:rPr>
        <w:t xml:space="preserve"> з моменту </w:t>
      </w:r>
      <w:proofErr w:type="spellStart"/>
      <w:r w:rsidRPr="00E16672">
        <w:rPr>
          <w:rFonts w:ascii="Times New Roman" w:hAnsi="Times New Roman"/>
          <w:color w:val="000000"/>
          <w:szCs w:val="20"/>
        </w:rPr>
        <w:t>його</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підписання</w:t>
      </w:r>
      <w:proofErr w:type="spellEnd"/>
      <w:r w:rsidRPr="00E16672">
        <w:rPr>
          <w:rFonts w:ascii="Times New Roman" w:hAnsi="Times New Roman"/>
          <w:color w:val="000000"/>
          <w:szCs w:val="20"/>
        </w:rPr>
        <w:t xml:space="preserve"> Сторонами і </w:t>
      </w:r>
      <w:proofErr w:type="spellStart"/>
      <w:r w:rsidRPr="00E16672">
        <w:rPr>
          <w:rFonts w:ascii="Times New Roman" w:hAnsi="Times New Roman"/>
          <w:color w:val="000000"/>
          <w:szCs w:val="20"/>
        </w:rPr>
        <w:t>скріплення</w:t>
      </w:r>
      <w:proofErr w:type="spellEnd"/>
      <w:r w:rsidRPr="00E16672">
        <w:rPr>
          <w:rFonts w:ascii="Times New Roman" w:hAnsi="Times New Roman"/>
          <w:color w:val="000000"/>
          <w:szCs w:val="20"/>
        </w:rPr>
        <w:t xml:space="preserve"> печатками та </w:t>
      </w:r>
      <w:proofErr w:type="spellStart"/>
      <w:r w:rsidRPr="00E16672">
        <w:rPr>
          <w:rFonts w:ascii="Times New Roman" w:hAnsi="Times New Roman"/>
          <w:color w:val="000000"/>
          <w:szCs w:val="20"/>
        </w:rPr>
        <w:t>діє</w:t>
      </w:r>
      <w:proofErr w:type="spellEnd"/>
      <w:r w:rsidRPr="00E16672">
        <w:rPr>
          <w:rFonts w:ascii="Times New Roman" w:hAnsi="Times New Roman"/>
          <w:color w:val="000000"/>
          <w:szCs w:val="20"/>
        </w:rPr>
        <w:t xml:space="preserve"> до </w:t>
      </w:r>
      <w:proofErr w:type="spellStart"/>
      <w:r w:rsidRPr="00E16672">
        <w:rPr>
          <w:rFonts w:ascii="Times New Roman" w:hAnsi="Times New Roman"/>
          <w:color w:val="000000"/>
          <w:szCs w:val="20"/>
        </w:rPr>
        <w:t>повного</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виконання</w:t>
      </w:r>
      <w:proofErr w:type="spellEnd"/>
      <w:r w:rsidRPr="00E16672">
        <w:rPr>
          <w:rFonts w:ascii="Times New Roman" w:hAnsi="Times New Roman"/>
          <w:color w:val="000000"/>
          <w:szCs w:val="20"/>
        </w:rPr>
        <w:t xml:space="preserve"> Договору. </w:t>
      </w:r>
    </w:p>
    <w:p w14:paraId="2D928FB2" w14:textId="77777777" w:rsidR="007974E8" w:rsidRPr="00E16672" w:rsidRDefault="007974E8" w:rsidP="007974E8">
      <w:pPr>
        <w:rPr>
          <w:rFonts w:ascii="Times New Roman" w:hAnsi="Times New Roman"/>
          <w:color w:val="000000"/>
          <w:szCs w:val="20"/>
        </w:rPr>
      </w:pPr>
      <w:r w:rsidRPr="00E16672">
        <w:rPr>
          <w:rFonts w:ascii="Times New Roman" w:hAnsi="Times New Roman"/>
          <w:color w:val="000000"/>
          <w:szCs w:val="20"/>
        </w:rPr>
        <w:t xml:space="preserve">6.2. </w:t>
      </w:r>
      <w:proofErr w:type="spellStart"/>
      <w:r w:rsidRPr="00E16672">
        <w:rPr>
          <w:rFonts w:ascii="Times New Roman" w:hAnsi="Times New Roman"/>
          <w:color w:val="000000"/>
          <w:szCs w:val="20"/>
        </w:rPr>
        <w:t>Зміни</w:t>
      </w:r>
      <w:proofErr w:type="spellEnd"/>
      <w:r w:rsidRPr="00E16672">
        <w:rPr>
          <w:rFonts w:ascii="Times New Roman" w:hAnsi="Times New Roman"/>
          <w:color w:val="000000"/>
          <w:szCs w:val="20"/>
        </w:rPr>
        <w:t xml:space="preserve"> до умов </w:t>
      </w:r>
      <w:proofErr w:type="spellStart"/>
      <w:r w:rsidRPr="00E16672">
        <w:rPr>
          <w:rFonts w:ascii="Times New Roman" w:hAnsi="Times New Roman"/>
          <w:color w:val="000000"/>
          <w:szCs w:val="20"/>
        </w:rPr>
        <w:t>цього</w:t>
      </w:r>
      <w:proofErr w:type="spellEnd"/>
      <w:r w:rsidRPr="00E16672">
        <w:rPr>
          <w:rFonts w:ascii="Times New Roman" w:hAnsi="Times New Roman"/>
          <w:color w:val="000000"/>
          <w:szCs w:val="20"/>
        </w:rPr>
        <w:t xml:space="preserve"> Договору </w:t>
      </w:r>
      <w:proofErr w:type="spellStart"/>
      <w:r w:rsidRPr="00E16672">
        <w:rPr>
          <w:rFonts w:ascii="Times New Roman" w:hAnsi="Times New Roman"/>
          <w:color w:val="000000"/>
          <w:szCs w:val="20"/>
        </w:rPr>
        <w:t>вносяться</w:t>
      </w:r>
      <w:proofErr w:type="spellEnd"/>
      <w:r w:rsidRPr="00E16672">
        <w:rPr>
          <w:rFonts w:ascii="Times New Roman" w:hAnsi="Times New Roman"/>
          <w:color w:val="000000"/>
          <w:szCs w:val="20"/>
        </w:rPr>
        <w:t xml:space="preserve"> за </w:t>
      </w:r>
      <w:proofErr w:type="spellStart"/>
      <w:r w:rsidRPr="00E16672">
        <w:rPr>
          <w:rFonts w:ascii="Times New Roman" w:hAnsi="Times New Roman"/>
          <w:color w:val="000000"/>
          <w:szCs w:val="20"/>
        </w:rPr>
        <w:t>взаємною</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згодою</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Сторін</w:t>
      </w:r>
      <w:proofErr w:type="spellEnd"/>
      <w:r w:rsidRPr="00E16672">
        <w:rPr>
          <w:rFonts w:ascii="Times New Roman" w:hAnsi="Times New Roman"/>
          <w:color w:val="000000"/>
          <w:szCs w:val="20"/>
        </w:rPr>
        <w:t xml:space="preserve">, </w:t>
      </w:r>
      <w:proofErr w:type="spellStart"/>
      <w:proofErr w:type="gramStart"/>
      <w:r w:rsidRPr="00E16672">
        <w:rPr>
          <w:rFonts w:ascii="Times New Roman" w:hAnsi="Times New Roman"/>
          <w:color w:val="000000"/>
          <w:szCs w:val="20"/>
        </w:rPr>
        <w:t>оформленою</w:t>
      </w:r>
      <w:proofErr w:type="spellEnd"/>
      <w:r w:rsidRPr="00E16672">
        <w:rPr>
          <w:rFonts w:ascii="Times New Roman" w:hAnsi="Times New Roman"/>
          <w:color w:val="000000"/>
          <w:szCs w:val="20"/>
        </w:rPr>
        <w:t xml:space="preserve">  в</w:t>
      </w:r>
      <w:proofErr w:type="gram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письмовій</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формі</w:t>
      </w:r>
      <w:proofErr w:type="spellEnd"/>
      <w:r w:rsidRPr="00E16672">
        <w:rPr>
          <w:rFonts w:ascii="Times New Roman" w:hAnsi="Times New Roman"/>
          <w:color w:val="000000"/>
          <w:szCs w:val="20"/>
        </w:rPr>
        <w:t>.</w:t>
      </w:r>
    </w:p>
    <w:p w14:paraId="6A9F6917" w14:textId="77777777" w:rsidR="007974E8" w:rsidRPr="00E16672" w:rsidRDefault="007974E8" w:rsidP="007974E8">
      <w:pPr>
        <w:rPr>
          <w:rFonts w:ascii="Times New Roman" w:hAnsi="Times New Roman"/>
          <w:color w:val="000000"/>
          <w:szCs w:val="20"/>
        </w:rPr>
      </w:pPr>
      <w:r w:rsidRPr="00E16672">
        <w:rPr>
          <w:rFonts w:ascii="Times New Roman" w:hAnsi="Times New Roman"/>
          <w:color w:val="000000"/>
          <w:szCs w:val="20"/>
        </w:rPr>
        <w:t xml:space="preserve">6.3. </w:t>
      </w:r>
      <w:proofErr w:type="spellStart"/>
      <w:r w:rsidRPr="00E16672">
        <w:rPr>
          <w:rFonts w:ascii="Times New Roman" w:hAnsi="Times New Roman"/>
          <w:color w:val="000000"/>
          <w:szCs w:val="20"/>
        </w:rPr>
        <w:t>Цей</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Договір</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може</w:t>
      </w:r>
      <w:proofErr w:type="spellEnd"/>
      <w:r w:rsidRPr="00E16672">
        <w:rPr>
          <w:rFonts w:ascii="Times New Roman" w:hAnsi="Times New Roman"/>
          <w:color w:val="000000"/>
          <w:szCs w:val="20"/>
        </w:rPr>
        <w:t xml:space="preserve"> бути </w:t>
      </w:r>
      <w:proofErr w:type="spellStart"/>
      <w:r w:rsidRPr="00E16672">
        <w:rPr>
          <w:rFonts w:ascii="Times New Roman" w:hAnsi="Times New Roman"/>
          <w:color w:val="000000"/>
          <w:szCs w:val="20"/>
        </w:rPr>
        <w:t>достроково</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розірваний</w:t>
      </w:r>
      <w:proofErr w:type="spellEnd"/>
      <w:r w:rsidRPr="00E16672">
        <w:rPr>
          <w:rFonts w:ascii="Times New Roman" w:hAnsi="Times New Roman"/>
          <w:color w:val="000000"/>
          <w:szCs w:val="20"/>
        </w:rPr>
        <w:t>:</w:t>
      </w:r>
    </w:p>
    <w:p w14:paraId="008F97DD" w14:textId="77777777" w:rsidR="007974E8" w:rsidRPr="00E16672" w:rsidRDefault="007974E8" w:rsidP="007974E8">
      <w:pPr>
        <w:rPr>
          <w:rFonts w:ascii="Times New Roman" w:hAnsi="Times New Roman"/>
          <w:color w:val="000000"/>
          <w:szCs w:val="20"/>
        </w:rPr>
      </w:pPr>
      <w:r w:rsidRPr="00E16672">
        <w:rPr>
          <w:rFonts w:ascii="Times New Roman" w:hAnsi="Times New Roman"/>
          <w:color w:val="000000"/>
          <w:szCs w:val="20"/>
        </w:rPr>
        <w:t xml:space="preserve">6.3.1. Кожною </w:t>
      </w:r>
      <w:proofErr w:type="spellStart"/>
      <w:r w:rsidRPr="00E16672">
        <w:rPr>
          <w:rFonts w:ascii="Times New Roman" w:hAnsi="Times New Roman"/>
          <w:color w:val="000000"/>
          <w:szCs w:val="20"/>
        </w:rPr>
        <w:t>із</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Сторін</w:t>
      </w:r>
      <w:proofErr w:type="spellEnd"/>
      <w:r w:rsidRPr="00E16672">
        <w:rPr>
          <w:rFonts w:ascii="Times New Roman" w:hAnsi="Times New Roman"/>
          <w:color w:val="000000"/>
          <w:szCs w:val="20"/>
        </w:rPr>
        <w:t xml:space="preserve"> в </w:t>
      </w:r>
      <w:proofErr w:type="spellStart"/>
      <w:r w:rsidRPr="00E16672">
        <w:rPr>
          <w:rFonts w:ascii="Times New Roman" w:hAnsi="Times New Roman"/>
          <w:color w:val="000000"/>
          <w:szCs w:val="20"/>
        </w:rPr>
        <w:t>односторонньому</w:t>
      </w:r>
      <w:proofErr w:type="spellEnd"/>
      <w:r w:rsidRPr="00E16672">
        <w:rPr>
          <w:rFonts w:ascii="Times New Roman" w:hAnsi="Times New Roman"/>
          <w:color w:val="000000"/>
          <w:szCs w:val="20"/>
        </w:rPr>
        <w:t xml:space="preserve"> порядку. Про </w:t>
      </w:r>
      <w:proofErr w:type="spellStart"/>
      <w:r w:rsidRPr="00E16672">
        <w:rPr>
          <w:rFonts w:ascii="Times New Roman" w:hAnsi="Times New Roman"/>
          <w:color w:val="000000"/>
          <w:szCs w:val="20"/>
        </w:rPr>
        <w:t>дострокове</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розірвання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цього</w:t>
      </w:r>
      <w:proofErr w:type="spellEnd"/>
      <w:r w:rsidRPr="00E16672">
        <w:rPr>
          <w:rFonts w:ascii="Times New Roman" w:hAnsi="Times New Roman"/>
          <w:color w:val="000000"/>
          <w:szCs w:val="20"/>
        </w:rPr>
        <w:t xml:space="preserve"> Договору в </w:t>
      </w:r>
      <w:proofErr w:type="spellStart"/>
      <w:r w:rsidRPr="00E16672">
        <w:rPr>
          <w:rFonts w:ascii="Times New Roman" w:hAnsi="Times New Roman"/>
          <w:color w:val="000000"/>
          <w:szCs w:val="20"/>
        </w:rPr>
        <w:t>односторонньому</w:t>
      </w:r>
      <w:proofErr w:type="spellEnd"/>
      <w:r w:rsidRPr="00E16672">
        <w:rPr>
          <w:rFonts w:ascii="Times New Roman" w:hAnsi="Times New Roman"/>
          <w:color w:val="000000"/>
          <w:szCs w:val="20"/>
        </w:rPr>
        <w:t xml:space="preserve"> порядку Сторона, яка </w:t>
      </w:r>
      <w:proofErr w:type="spellStart"/>
      <w:r w:rsidRPr="00E16672">
        <w:rPr>
          <w:rFonts w:ascii="Times New Roman" w:hAnsi="Times New Roman"/>
          <w:color w:val="000000"/>
          <w:szCs w:val="20"/>
        </w:rPr>
        <w:t>прийняла</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таке</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рішення</w:t>
      </w:r>
      <w:proofErr w:type="spellEnd"/>
      <w:r w:rsidRPr="00E16672">
        <w:rPr>
          <w:rFonts w:ascii="Times New Roman" w:hAnsi="Times New Roman"/>
          <w:color w:val="000000"/>
          <w:szCs w:val="20"/>
        </w:rPr>
        <w:t xml:space="preserve">, повинна </w:t>
      </w:r>
      <w:proofErr w:type="spellStart"/>
      <w:r w:rsidRPr="00E16672">
        <w:rPr>
          <w:rFonts w:ascii="Times New Roman" w:hAnsi="Times New Roman"/>
          <w:color w:val="000000"/>
          <w:szCs w:val="20"/>
        </w:rPr>
        <w:t>повідомити</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надіславши</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відповідне</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письмове</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повідомлення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іншій</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Стороні</w:t>
      </w:r>
      <w:proofErr w:type="spellEnd"/>
      <w:r w:rsidRPr="00E16672">
        <w:rPr>
          <w:rFonts w:ascii="Times New Roman" w:hAnsi="Times New Roman"/>
          <w:color w:val="000000"/>
          <w:szCs w:val="20"/>
        </w:rPr>
        <w:t xml:space="preserve"> за </w:t>
      </w:r>
      <w:proofErr w:type="spellStart"/>
      <w:r w:rsidRPr="00E16672">
        <w:rPr>
          <w:rFonts w:ascii="Times New Roman" w:hAnsi="Times New Roman"/>
          <w:color w:val="000000"/>
          <w:szCs w:val="20"/>
        </w:rPr>
        <w:t>її</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місцезнаходженням</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менше</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ніж</w:t>
      </w:r>
      <w:proofErr w:type="spellEnd"/>
      <w:r w:rsidRPr="00E16672">
        <w:rPr>
          <w:rFonts w:ascii="Times New Roman" w:hAnsi="Times New Roman"/>
          <w:color w:val="000000"/>
          <w:szCs w:val="20"/>
        </w:rPr>
        <w:t xml:space="preserve"> за </w:t>
      </w:r>
      <w:proofErr w:type="spellStart"/>
      <w:r w:rsidRPr="00E16672">
        <w:rPr>
          <w:rFonts w:ascii="Times New Roman" w:hAnsi="Times New Roman"/>
          <w:i/>
          <w:iCs/>
          <w:color w:val="000000"/>
          <w:szCs w:val="20"/>
        </w:rPr>
        <w:t>тридцять</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календарних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днів</w:t>
      </w:r>
      <w:proofErr w:type="spellEnd"/>
      <w:r w:rsidRPr="00E16672">
        <w:rPr>
          <w:rFonts w:ascii="Times New Roman" w:hAnsi="Times New Roman"/>
          <w:color w:val="000000"/>
          <w:szCs w:val="20"/>
        </w:rPr>
        <w:t xml:space="preserve"> до </w:t>
      </w:r>
      <w:proofErr w:type="spellStart"/>
      <w:r w:rsidRPr="00E16672">
        <w:rPr>
          <w:rFonts w:ascii="Times New Roman" w:hAnsi="Times New Roman"/>
          <w:color w:val="000000"/>
          <w:szCs w:val="20"/>
        </w:rPr>
        <w:t>дати</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припинення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дії</w:t>
      </w:r>
      <w:proofErr w:type="spellEnd"/>
      <w:r w:rsidRPr="00E16672">
        <w:rPr>
          <w:rFonts w:ascii="Times New Roman" w:hAnsi="Times New Roman"/>
          <w:color w:val="000000"/>
          <w:szCs w:val="20"/>
        </w:rPr>
        <w:t xml:space="preserve"> Договору </w:t>
      </w:r>
      <w:proofErr w:type="spellStart"/>
      <w:r w:rsidRPr="00E16672">
        <w:rPr>
          <w:rFonts w:ascii="Times New Roman" w:hAnsi="Times New Roman"/>
          <w:color w:val="000000"/>
          <w:szCs w:val="20"/>
        </w:rPr>
        <w:t>внаслідок</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розірвання</w:t>
      </w:r>
      <w:proofErr w:type="spellEnd"/>
      <w:r w:rsidRPr="00E16672">
        <w:rPr>
          <w:rFonts w:ascii="Times New Roman" w:hAnsi="Times New Roman"/>
          <w:color w:val="000000"/>
          <w:szCs w:val="20"/>
        </w:rPr>
        <w:t xml:space="preserve">. </w:t>
      </w:r>
    </w:p>
    <w:p w14:paraId="1FC19A1B" w14:textId="77777777" w:rsidR="007974E8" w:rsidRPr="00E16672" w:rsidRDefault="007974E8" w:rsidP="007974E8">
      <w:pPr>
        <w:rPr>
          <w:rFonts w:ascii="Times New Roman" w:hAnsi="Times New Roman"/>
          <w:color w:val="000000"/>
          <w:szCs w:val="20"/>
        </w:rPr>
      </w:pPr>
      <w:proofErr w:type="spellStart"/>
      <w:r w:rsidRPr="00E16672">
        <w:rPr>
          <w:rFonts w:ascii="Times New Roman" w:hAnsi="Times New Roman"/>
          <w:color w:val="000000"/>
          <w:szCs w:val="20"/>
        </w:rPr>
        <w:t>Депозитарна</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установа</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надсилає</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вказане</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письмове</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повідомлення</w:t>
      </w:r>
      <w:proofErr w:type="spellEnd"/>
      <w:r w:rsidRPr="00E16672">
        <w:rPr>
          <w:rFonts w:ascii="Times New Roman" w:hAnsi="Times New Roman"/>
          <w:color w:val="000000"/>
          <w:szCs w:val="20"/>
        </w:rPr>
        <w:t xml:space="preserve"> про </w:t>
      </w:r>
      <w:proofErr w:type="spellStart"/>
      <w:r w:rsidRPr="00E16672">
        <w:rPr>
          <w:rFonts w:ascii="Times New Roman" w:hAnsi="Times New Roman"/>
          <w:color w:val="000000"/>
          <w:szCs w:val="20"/>
        </w:rPr>
        <w:t>розірвання</w:t>
      </w:r>
      <w:proofErr w:type="spellEnd"/>
      <w:r w:rsidRPr="00E16672">
        <w:rPr>
          <w:rFonts w:ascii="Times New Roman" w:hAnsi="Times New Roman"/>
          <w:color w:val="000000"/>
          <w:szCs w:val="20"/>
        </w:rPr>
        <w:t xml:space="preserve"> договору в </w:t>
      </w:r>
      <w:proofErr w:type="spellStart"/>
      <w:r w:rsidRPr="00E16672">
        <w:rPr>
          <w:rFonts w:ascii="Times New Roman" w:hAnsi="Times New Roman"/>
          <w:color w:val="000000"/>
          <w:szCs w:val="20"/>
        </w:rPr>
        <w:t>односторонньому</w:t>
      </w:r>
      <w:proofErr w:type="spellEnd"/>
      <w:r w:rsidRPr="00E16672">
        <w:rPr>
          <w:rFonts w:ascii="Times New Roman" w:hAnsi="Times New Roman"/>
          <w:color w:val="000000"/>
          <w:szCs w:val="20"/>
        </w:rPr>
        <w:t xml:space="preserve"> порядку за </w:t>
      </w:r>
      <w:proofErr w:type="spellStart"/>
      <w:r w:rsidRPr="00E16672">
        <w:rPr>
          <w:rFonts w:ascii="Times New Roman" w:hAnsi="Times New Roman"/>
          <w:color w:val="000000"/>
          <w:szCs w:val="20"/>
        </w:rPr>
        <w:t>місцезнаходженням</w:t>
      </w:r>
      <w:proofErr w:type="spellEnd"/>
      <w:r w:rsidRPr="00E16672">
        <w:rPr>
          <w:rFonts w:ascii="Times New Roman" w:hAnsi="Times New Roman"/>
          <w:color w:val="000000"/>
          <w:szCs w:val="20"/>
        </w:rPr>
        <w:t xml:space="preserve"> Депонента, </w:t>
      </w:r>
      <w:proofErr w:type="spellStart"/>
      <w:r w:rsidRPr="00E16672">
        <w:rPr>
          <w:rFonts w:ascii="Times New Roman" w:hAnsi="Times New Roman"/>
          <w:color w:val="000000"/>
          <w:szCs w:val="20"/>
        </w:rPr>
        <w:t>що</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зазначене</w:t>
      </w:r>
      <w:proofErr w:type="spellEnd"/>
      <w:r w:rsidRPr="00E16672">
        <w:rPr>
          <w:rFonts w:ascii="Times New Roman" w:hAnsi="Times New Roman"/>
          <w:color w:val="000000"/>
          <w:szCs w:val="20"/>
        </w:rPr>
        <w:t xml:space="preserve"> в </w:t>
      </w:r>
      <w:proofErr w:type="spellStart"/>
      <w:r w:rsidRPr="00E16672">
        <w:rPr>
          <w:rFonts w:ascii="Times New Roman" w:hAnsi="Times New Roman"/>
          <w:color w:val="000000"/>
          <w:szCs w:val="20"/>
        </w:rPr>
        <w:t>анкеті</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рахунку</w:t>
      </w:r>
      <w:proofErr w:type="spellEnd"/>
      <w:r w:rsidRPr="00E16672">
        <w:rPr>
          <w:rFonts w:ascii="Times New Roman" w:hAnsi="Times New Roman"/>
          <w:color w:val="000000"/>
          <w:szCs w:val="20"/>
        </w:rPr>
        <w:t xml:space="preserve"> в </w:t>
      </w:r>
      <w:proofErr w:type="spellStart"/>
      <w:r w:rsidRPr="00E16672">
        <w:rPr>
          <w:rFonts w:ascii="Times New Roman" w:hAnsi="Times New Roman"/>
          <w:color w:val="000000"/>
          <w:szCs w:val="20"/>
        </w:rPr>
        <w:t>цінних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паперах</w:t>
      </w:r>
      <w:proofErr w:type="spellEnd"/>
      <w:r w:rsidRPr="00E16672">
        <w:rPr>
          <w:rFonts w:ascii="Times New Roman" w:hAnsi="Times New Roman"/>
          <w:color w:val="000000"/>
          <w:szCs w:val="20"/>
        </w:rPr>
        <w:t>.</w:t>
      </w:r>
    </w:p>
    <w:p w14:paraId="6141C6B7" w14:textId="77777777" w:rsidR="007974E8" w:rsidRPr="00E16672" w:rsidRDefault="007974E8" w:rsidP="007974E8">
      <w:pPr>
        <w:rPr>
          <w:rFonts w:ascii="Times New Roman" w:hAnsi="Times New Roman"/>
          <w:color w:val="000000"/>
          <w:szCs w:val="20"/>
        </w:rPr>
      </w:pPr>
      <w:r w:rsidRPr="00E16672">
        <w:rPr>
          <w:rFonts w:ascii="Times New Roman" w:hAnsi="Times New Roman"/>
          <w:color w:val="000000"/>
          <w:szCs w:val="20"/>
        </w:rPr>
        <w:t xml:space="preserve">6.3.2. За </w:t>
      </w:r>
      <w:proofErr w:type="spellStart"/>
      <w:r w:rsidRPr="00E16672">
        <w:rPr>
          <w:rFonts w:ascii="Times New Roman" w:hAnsi="Times New Roman"/>
          <w:color w:val="000000"/>
          <w:szCs w:val="20"/>
        </w:rPr>
        <w:t>згодою</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Сторін</w:t>
      </w:r>
      <w:proofErr w:type="spellEnd"/>
      <w:r w:rsidRPr="00E16672">
        <w:rPr>
          <w:rFonts w:ascii="Times New Roman" w:hAnsi="Times New Roman"/>
          <w:color w:val="000000"/>
          <w:szCs w:val="20"/>
        </w:rPr>
        <w:t>.</w:t>
      </w:r>
    </w:p>
    <w:p w14:paraId="337135B5" w14:textId="77777777" w:rsidR="007974E8" w:rsidRPr="00E16672" w:rsidRDefault="007974E8" w:rsidP="007974E8">
      <w:pPr>
        <w:rPr>
          <w:rFonts w:ascii="Times New Roman" w:hAnsi="Times New Roman"/>
          <w:color w:val="000000"/>
          <w:szCs w:val="20"/>
        </w:rPr>
      </w:pPr>
      <w:r w:rsidRPr="00E16672">
        <w:rPr>
          <w:rFonts w:ascii="Times New Roman" w:hAnsi="Times New Roman"/>
          <w:color w:val="000000"/>
          <w:szCs w:val="20"/>
        </w:rPr>
        <w:t xml:space="preserve">6.3.3. За </w:t>
      </w:r>
      <w:proofErr w:type="spellStart"/>
      <w:r w:rsidRPr="00E16672">
        <w:rPr>
          <w:rFonts w:ascii="Times New Roman" w:hAnsi="Times New Roman"/>
          <w:color w:val="000000"/>
          <w:szCs w:val="20"/>
        </w:rPr>
        <w:t>відповідним</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рішенням</w:t>
      </w:r>
      <w:proofErr w:type="spellEnd"/>
      <w:r w:rsidRPr="00E16672">
        <w:rPr>
          <w:rFonts w:ascii="Times New Roman" w:hAnsi="Times New Roman"/>
          <w:color w:val="000000"/>
          <w:szCs w:val="20"/>
        </w:rPr>
        <w:t xml:space="preserve"> суду.</w:t>
      </w:r>
    </w:p>
    <w:p w14:paraId="19262D09" w14:textId="77777777" w:rsidR="007974E8" w:rsidRPr="00E16672" w:rsidRDefault="007974E8" w:rsidP="007974E8">
      <w:pPr>
        <w:rPr>
          <w:rFonts w:ascii="Times New Roman" w:hAnsi="Times New Roman"/>
          <w:color w:val="000000"/>
          <w:szCs w:val="20"/>
        </w:rPr>
      </w:pPr>
      <w:r w:rsidRPr="00E16672">
        <w:rPr>
          <w:rFonts w:ascii="Times New Roman" w:hAnsi="Times New Roman"/>
          <w:color w:val="000000"/>
          <w:szCs w:val="20"/>
          <w:lang w:val="uk-UA"/>
        </w:rPr>
        <w:t xml:space="preserve">6.4. </w:t>
      </w:r>
      <w:proofErr w:type="spellStart"/>
      <w:r w:rsidRPr="00E16672">
        <w:rPr>
          <w:rFonts w:ascii="Times New Roman" w:hAnsi="Times New Roman"/>
          <w:color w:val="000000"/>
          <w:szCs w:val="20"/>
        </w:rPr>
        <w:t>Договір</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може</w:t>
      </w:r>
      <w:proofErr w:type="spellEnd"/>
      <w:r w:rsidRPr="00E16672">
        <w:rPr>
          <w:rFonts w:ascii="Times New Roman" w:hAnsi="Times New Roman"/>
          <w:color w:val="000000"/>
          <w:szCs w:val="20"/>
        </w:rPr>
        <w:t xml:space="preserve"> бути </w:t>
      </w:r>
      <w:proofErr w:type="spellStart"/>
      <w:r w:rsidRPr="00E16672">
        <w:rPr>
          <w:rFonts w:ascii="Times New Roman" w:hAnsi="Times New Roman"/>
          <w:color w:val="000000"/>
          <w:szCs w:val="20"/>
        </w:rPr>
        <w:t>розірваний</w:t>
      </w:r>
      <w:proofErr w:type="spellEnd"/>
      <w:r w:rsidRPr="00E16672">
        <w:rPr>
          <w:rFonts w:ascii="Times New Roman" w:hAnsi="Times New Roman"/>
          <w:color w:val="000000"/>
          <w:szCs w:val="20"/>
        </w:rPr>
        <w:t xml:space="preserve"> за </w:t>
      </w:r>
      <w:proofErr w:type="spellStart"/>
      <w:r w:rsidRPr="00E16672">
        <w:rPr>
          <w:rFonts w:ascii="Times New Roman" w:hAnsi="Times New Roman"/>
          <w:color w:val="000000"/>
          <w:szCs w:val="20"/>
        </w:rPr>
        <w:t>умови</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відсутності</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цінних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паперів</w:t>
      </w:r>
      <w:proofErr w:type="spellEnd"/>
      <w:r w:rsidRPr="00E16672">
        <w:rPr>
          <w:rFonts w:ascii="Times New Roman" w:hAnsi="Times New Roman"/>
          <w:color w:val="000000"/>
          <w:szCs w:val="20"/>
        </w:rPr>
        <w:t xml:space="preserve">, прав на </w:t>
      </w:r>
      <w:proofErr w:type="spellStart"/>
      <w:r w:rsidRPr="00E16672">
        <w:rPr>
          <w:rFonts w:ascii="Times New Roman" w:hAnsi="Times New Roman"/>
          <w:color w:val="000000"/>
          <w:szCs w:val="20"/>
        </w:rPr>
        <w:t>цінні</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папери</w:t>
      </w:r>
      <w:proofErr w:type="spellEnd"/>
      <w:r w:rsidRPr="00E16672">
        <w:rPr>
          <w:rFonts w:ascii="Times New Roman" w:hAnsi="Times New Roman"/>
          <w:color w:val="000000"/>
          <w:szCs w:val="20"/>
        </w:rPr>
        <w:t xml:space="preserve"> на </w:t>
      </w:r>
      <w:proofErr w:type="spellStart"/>
      <w:r w:rsidRPr="00E16672">
        <w:rPr>
          <w:rFonts w:ascii="Times New Roman" w:hAnsi="Times New Roman"/>
          <w:color w:val="000000"/>
          <w:szCs w:val="20"/>
        </w:rPr>
        <w:t>рахунку</w:t>
      </w:r>
      <w:proofErr w:type="spellEnd"/>
      <w:r w:rsidRPr="00E16672">
        <w:rPr>
          <w:rFonts w:ascii="Times New Roman" w:hAnsi="Times New Roman"/>
          <w:color w:val="000000"/>
          <w:szCs w:val="20"/>
        </w:rPr>
        <w:t xml:space="preserve"> </w:t>
      </w:r>
      <w:r w:rsidR="00C22309" w:rsidRPr="00E16672">
        <w:rPr>
          <w:rFonts w:ascii="Times New Roman" w:hAnsi="Times New Roman"/>
          <w:color w:val="000000"/>
          <w:szCs w:val="20"/>
        </w:rPr>
        <w:t xml:space="preserve">в </w:t>
      </w:r>
      <w:proofErr w:type="spellStart"/>
      <w:r w:rsidR="00C22309" w:rsidRPr="00E16672">
        <w:rPr>
          <w:rFonts w:ascii="Times New Roman" w:hAnsi="Times New Roman"/>
          <w:color w:val="000000"/>
          <w:szCs w:val="20"/>
        </w:rPr>
        <w:t>цін</w:t>
      </w:r>
      <w:r w:rsidRPr="00E16672">
        <w:rPr>
          <w:rFonts w:ascii="Times New Roman" w:hAnsi="Times New Roman"/>
          <w:color w:val="000000"/>
          <w:szCs w:val="20"/>
        </w:rPr>
        <w:t>них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паперах</w:t>
      </w:r>
      <w:proofErr w:type="spellEnd"/>
      <w:r w:rsidRPr="00E16672">
        <w:rPr>
          <w:rFonts w:ascii="Times New Roman" w:hAnsi="Times New Roman"/>
          <w:color w:val="000000"/>
          <w:szCs w:val="20"/>
        </w:rPr>
        <w:t xml:space="preserve"> Депонента.</w:t>
      </w:r>
    </w:p>
    <w:p w14:paraId="689A624C" w14:textId="77777777" w:rsidR="007974E8" w:rsidRPr="00E16672" w:rsidRDefault="007974E8" w:rsidP="007974E8">
      <w:pPr>
        <w:rPr>
          <w:rFonts w:ascii="Times New Roman" w:hAnsi="Times New Roman"/>
          <w:color w:val="000000"/>
          <w:szCs w:val="20"/>
          <w:lang w:val="uk-UA"/>
        </w:rPr>
      </w:pPr>
      <w:r w:rsidRPr="00E16672">
        <w:rPr>
          <w:rFonts w:ascii="Times New Roman" w:hAnsi="Times New Roman"/>
          <w:color w:val="000000"/>
          <w:szCs w:val="20"/>
        </w:rPr>
        <w:t>6.</w:t>
      </w:r>
      <w:r w:rsidRPr="00E16672">
        <w:rPr>
          <w:rFonts w:ascii="Times New Roman" w:hAnsi="Times New Roman"/>
          <w:color w:val="000000"/>
          <w:szCs w:val="20"/>
          <w:lang w:val="uk-UA"/>
        </w:rPr>
        <w:t>5</w:t>
      </w:r>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Цей</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Договір</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припиняється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зокрема</w:t>
      </w:r>
      <w:proofErr w:type="spellEnd"/>
      <w:r w:rsidRPr="00E16672">
        <w:rPr>
          <w:rFonts w:ascii="Times New Roman" w:hAnsi="Times New Roman"/>
          <w:color w:val="000000"/>
          <w:szCs w:val="20"/>
        </w:rPr>
        <w:t xml:space="preserve">, у </w:t>
      </w:r>
      <w:proofErr w:type="spellStart"/>
      <w:r w:rsidRPr="00E16672">
        <w:rPr>
          <w:rFonts w:ascii="Times New Roman" w:hAnsi="Times New Roman"/>
          <w:color w:val="000000"/>
          <w:szCs w:val="20"/>
        </w:rPr>
        <w:t>разі</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закриття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рахунку</w:t>
      </w:r>
      <w:proofErr w:type="spellEnd"/>
      <w:r w:rsidRPr="00E16672">
        <w:rPr>
          <w:rFonts w:ascii="Times New Roman" w:hAnsi="Times New Roman"/>
          <w:color w:val="000000"/>
          <w:szCs w:val="20"/>
        </w:rPr>
        <w:t xml:space="preserve"> </w:t>
      </w:r>
      <w:r w:rsidR="00C22309" w:rsidRPr="00E16672">
        <w:rPr>
          <w:rFonts w:ascii="Times New Roman" w:hAnsi="Times New Roman"/>
          <w:color w:val="000000"/>
          <w:szCs w:val="20"/>
        </w:rPr>
        <w:t xml:space="preserve">в </w:t>
      </w:r>
      <w:proofErr w:type="spellStart"/>
      <w:r w:rsidR="00C22309" w:rsidRPr="00E16672">
        <w:rPr>
          <w:rFonts w:ascii="Times New Roman" w:hAnsi="Times New Roman"/>
          <w:color w:val="000000"/>
          <w:szCs w:val="20"/>
        </w:rPr>
        <w:t>цін</w:t>
      </w:r>
      <w:r w:rsidRPr="00E16672">
        <w:rPr>
          <w:rFonts w:ascii="Times New Roman" w:hAnsi="Times New Roman"/>
          <w:color w:val="000000"/>
          <w:szCs w:val="20"/>
        </w:rPr>
        <w:t>них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паперах</w:t>
      </w:r>
      <w:proofErr w:type="spellEnd"/>
      <w:r w:rsidRPr="00E16672">
        <w:rPr>
          <w:rFonts w:ascii="Times New Roman" w:hAnsi="Times New Roman"/>
          <w:color w:val="000000"/>
          <w:szCs w:val="20"/>
        </w:rPr>
        <w:t xml:space="preserve"> за </w:t>
      </w:r>
      <w:proofErr w:type="spellStart"/>
      <w:r w:rsidRPr="00E16672">
        <w:rPr>
          <w:rFonts w:ascii="Times New Roman" w:hAnsi="Times New Roman"/>
          <w:color w:val="000000"/>
          <w:szCs w:val="20"/>
        </w:rPr>
        <w:t>розпорядженням</w:t>
      </w:r>
      <w:proofErr w:type="spellEnd"/>
      <w:r w:rsidRPr="00E16672">
        <w:rPr>
          <w:rFonts w:ascii="Times New Roman" w:hAnsi="Times New Roman"/>
          <w:color w:val="000000"/>
          <w:szCs w:val="20"/>
        </w:rPr>
        <w:t xml:space="preserve"> Депонента. У </w:t>
      </w:r>
      <w:proofErr w:type="spellStart"/>
      <w:r w:rsidRPr="00E16672">
        <w:rPr>
          <w:rFonts w:ascii="Times New Roman" w:hAnsi="Times New Roman"/>
          <w:color w:val="000000"/>
          <w:szCs w:val="20"/>
        </w:rPr>
        <w:t>цьому</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випадку</w:t>
      </w:r>
      <w:proofErr w:type="spellEnd"/>
      <w:r w:rsidRPr="00E16672">
        <w:rPr>
          <w:rFonts w:ascii="Times New Roman" w:hAnsi="Times New Roman"/>
          <w:color w:val="000000"/>
          <w:szCs w:val="20"/>
        </w:rPr>
        <w:t xml:space="preserve"> дата </w:t>
      </w:r>
      <w:proofErr w:type="spellStart"/>
      <w:r w:rsidRPr="00E16672">
        <w:rPr>
          <w:rFonts w:ascii="Times New Roman" w:hAnsi="Times New Roman"/>
          <w:color w:val="000000"/>
          <w:szCs w:val="20"/>
        </w:rPr>
        <w:t>закриття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рахунку</w:t>
      </w:r>
      <w:proofErr w:type="spellEnd"/>
      <w:r w:rsidRPr="00E16672">
        <w:rPr>
          <w:rFonts w:ascii="Times New Roman" w:hAnsi="Times New Roman"/>
          <w:color w:val="000000"/>
          <w:szCs w:val="20"/>
        </w:rPr>
        <w:t xml:space="preserve"> </w:t>
      </w:r>
      <w:r w:rsidR="00C22309" w:rsidRPr="00E16672">
        <w:rPr>
          <w:rFonts w:ascii="Times New Roman" w:hAnsi="Times New Roman"/>
          <w:color w:val="000000"/>
          <w:szCs w:val="20"/>
        </w:rPr>
        <w:t xml:space="preserve">в </w:t>
      </w:r>
      <w:proofErr w:type="spellStart"/>
      <w:r w:rsidR="00C22309" w:rsidRPr="00E16672">
        <w:rPr>
          <w:rFonts w:ascii="Times New Roman" w:hAnsi="Times New Roman"/>
          <w:color w:val="000000"/>
          <w:szCs w:val="20"/>
        </w:rPr>
        <w:t>цін</w:t>
      </w:r>
      <w:r w:rsidRPr="00E16672">
        <w:rPr>
          <w:rFonts w:ascii="Times New Roman" w:hAnsi="Times New Roman"/>
          <w:color w:val="000000"/>
          <w:szCs w:val="20"/>
        </w:rPr>
        <w:t>них</w:t>
      </w:r>
      <w:proofErr w:type="spellEnd"/>
      <w:r w:rsidRPr="00E16672">
        <w:rPr>
          <w:rFonts w:ascii="Times New Roman" w:hAnsi="Times New Roman"/>
          <w:color w:val="000000"/>
          <w:szCs w:val="20"/>
        </w:rPr>
        <w:t xml:space="preserve"> </w:t>
      </w:r>
      <w:proofErr w:type="spellStart"/>
      <w:proofErr w:type="gramStart"/>
      <w:r w:rsidRPr="00E16672">
        <w:rPr>
          <w:rFonts w:ascii="Times New Roman" w:hAnsi="Times New Roman"/>
          <w:color w:val="000000"/>
          <w:szCs w:val="20"/>
        </w:rPr>
        <w:t>паперах</w:t>
      </w:r>
      <w:proofErr w:type="spellEnd"/>
      <w:r w:rsidRPr="00E16672">
        <w:rPr>
          <w:rFonts w:ascii="Times New Roman" w:hAnsi="Times New Roman"/>
          <w:color w:val="000000"/>
          <w:szCs w:val="20"/>
        </w:rPr>
        <w:t xml:space="preserve">  є</w:t>
      </w:r>
      <w:proofErr w:type="gram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останньою</w:t>
      </w:r>
      <w:proofErr w:type="spellEnd"/>
      <w:r w:rsidRPr="00E16672">
        <w:rPr>
          <w:rFonts w:ascii="Times New Roman" w:hAnsi="Times New Roman"/>
          <w:color w:val="000000"/>
          <w:szCs w:val="20"/>
        </w:rPr>
        <w:t xml:space="preserve"> датою </w:t>
      </w:r>
      <w:proofErr w:type="spellStart"/>
      <w:r w:rsidRPr="00E16672">
        <w:rPr>
          <w:rFonts w:ascii="Times New Roman" w:hAnsi="Times New Roman"/>
          <w:color w:val="000000"/>
          <w:szCs w:val="20"/>
        </w:rPr>
        <w:t>чинності</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дії</w:t>
      </w:r>
      <w:proofErr w:type="spellEnd"/>
      <w:r w:rsidRPr="00E16672">
        <w:rPr>
          <w:rFonts w:ascii="Times New Roman" w:hAnsi="Times New Roman"/>
          <w:color w:val="000000"/>
          <w:szCs w:val="20"/>
        </w:rPr>
        <w:t>) Договору.</w:t>
      </w:r>
    </w:p>
    <w:p w14:paraId="05B9E803" w14:textId="77777777" w:rsidR="007974E8" w:rsidRPr="00E16672" w:rsidRDefault="007974E8" w:rsidP="007974E8">
      <w:pPr>
        <w:rPr>
          <w:rFonts w:ascii="Times New Roman" w:hAnsi="Times New Roman"/>
          <w:color w:val="000000"/>
          <w:szCs w:val="20"/>
          <w:lang w:val="uk-UA"/>
        </w:rPr>
      </w:pPr>
      <w:r w:rsidRPr="00E16672">
        <w:rPr>
          <w:rFonts w:ascii="Times New Roman" w:hAnsi="Times New Roman"/>
          <w:color w:val="000000"/>
          <w:szCs w:val="20"/>
          <w:lang w:val="uk-UA"/>
        </w:rPr>
        <w:t>6.6. Депозитарна установа та Депонент (Керуючий рахунком) зобов’язані у разі розірвання цього Договору (у тому числі у зв’язку з припиненням Депозитарною установою провадження професійної діяльності на фондовому ринку – депозитарної діяльності) діяти відповідно до вимог законодавства та цього Договору.</w:t>
      </w:r>
    </w:p>
    <w:p w14:paraId="48066BDE" w14:textId="77777777" w:rsidR="007974E8" w:rsidRPr="00E16672" w:rsidRDefault="007974E8" w:rsidP="00022F5F">
      <w:pPr>
        <w:jc w:val="left"/>
        <w:rPr>
          <w:rFonts w:ascii="Times New Roman" w:hAnsi="Times New Roman"/>
          <w:color w:val="000000"/>
          <w:szCs w:val="20"/>
        </w:rPr>
      </w:pPr>
      <w:r w:rsidRPr="00E16672">
        <w:rPr>
          <w:rFonts w:ascii="Times New Roman" w:hAnsi="Times New Roman"/>
          <w:color w:val="000000"/>
          <w:szCs w:val="20"/>
        </w:rPr>
        <w:t>6.</w:t>
      </w:r>
      <w:r w:rsidR="00A72D18" w:rsidRPr="00E16672">
        <w:rPr>
          <w:rFonts w:ascii="Times New Roman" w:hAnsi="Times New Roman"/>
          <w:color w:val="000000"/>
          <w:szCs w:val="20"/>
        </w:rPr>
        <w:t>7</w:t>
      </w:r>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Питання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що</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виникають</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під</w:t>
      </w:r>
      <w:proofErr w:type="spellEnd"/>
      <w:r w:rsidRPr="00E16672">
        <w:rPr>
          <w:rFonts w:ascii="Times New Roman" w:hAnsi="Times New Roman"/>
          <w:color w:val="000000"/>
          <w:szCs w:val="20"/>
        </w:rPr>
        <w:t xml:space="preserve"> час </w:t>
      </w:r>
      <w:proofErr w:type="spellStart"/>
      <w:r w:rsidRPr="00E16672">
        <w:rPr>
          <w:rFonts w:ascii="Times New Roman" w:hAnsi="Times New Roman"/>
          <w:color w:val="000000"/>
          <w:szCs w:val="20"/>
        </w:rPr>
        <w:t>укладення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виконання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зміни</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розірвання</w:t>
      </w:r>
      <w:proofErr w:type="spellEnd"/>
      <w:r w:rsidRPr="00E16672">
        <w:rPr>
          <w:rFonts w:ascii="Times New Roman" w:hAnsi="Times New Roman"/>
          <w:color w:val="000000"/>
          <w:szCs w:val="20"/>
        </w:rPr>
        <w:t xml:space="preserve"> Договору і не </w:t>
      </w:r>
      <w:proofErr w:type="spellStart"/>
      <w:r w:rsidRPr="00E16672">
        <w:rPr>
          <w:rFonts w:ascii="Times New Roman" w:hAnsi="Times New Roman"/>
          <w:color w:val="000000"/>
          <w:szCs w:val="20"/>
        </w:rPr>
        <w:t>врегульовані</w:t>
      </w:r>
      <w:proofErr w:type="spellEnd"/>
      <w:r w:rsidRPr="00E16672">
        <w:rPr>
          <w:rFonts w:ascii="Times New Roman" w:hAnsi="Times New Roman"/>
          <w:color w:val="000000"/>
          <w:szCs w:val="20"/>
        </w:rPr>
        <w:t xml:space="preserve"> ним, </w:t>
      </w:r>
      <w:proofErr w:type="spellStart"/>
      <w:r w:rsidRPr="00E16672">
        <w:rPr>
          <w:rFonts w:ascii="Times New Roman" w:hAnsi="Times New Roman"/>
          <w:color w:val="000000"/>
          <w:szCs w:val="20"/>
        </w:rPr>
        <w:t>регулюються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Цивільним</w:t>
      </w:r>
      <w:proofErr w:type="spellEnd"/>
      <w:r w:rsidRPr="00E16672">
        <w:rPr>
          <w:rFonts w:ascii="Times New Roman" w:hAnsi="Times New Roman"/>
          <w:color w:val="000000"/>
          <w:szCs w:val="20"/>
        </w:rPr>
        <w:t xml:space="preserve"> кодексом </w:t>
      </w:r>
      <w:proofErr w:type="spellStart"/>
      <w:r w:rsidRPr="00E16672">
        <w:rPr>
          <w:rFonts w:ascii="Times New Roman" w:hAnsi="Times New Roman"/>
          <w:color w:val="000000"/>
          <w:szCs w:val="20"/>
        </w:rPr>
        <w:t>України</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Господарським</w:t>
      </w:r>
      <w:proofErr w:type="spellEnd"/>
      <w:r w:rsidRPr="00E16672">
        <w:rPr>
          <w:rFonts w:ascii="Times New Roman" w:hAnsi="Times New Roman"/>
          <w:color w:val="000000"/>
          <w:szCs w:val="20"/>
        </w:rPr>
        <w:t xml:space="preserve"> кодексом </w:t>
      </w:r>
      <w:proofErr w:type="spellStart"/>
      <w:r w:rsidRPr="00E16672">
        <w:rPr>
          <w:rFonts w:ascii="Times New Roman" w:hAnsi="Times New Roman"/>
          <w:color w:val="000000"/>
          <w:szCs w:val="20"/>
        </w:rPr>
        <w:t>України</w:t>
      </w:r>
      <w:proofErr w:type="spellEnd"/>
      <w:r w:rsidRPr="00E16672">
        <w:rPr>
          <w:rFonts w:ascii="Times New Roman" w:hAnsi="Times New Roman"/>
          <w:color w:val="000000"/>
          <w:szCs w:val="20"/>
        </w:rPr>
        <w:t xml:space="preserve">, Законом </w:t>
      </w:r>
      <w:proofErr w:type="spellStart"/>
      <w:r w:rsidRPr="00E16672">
        <w:rPr>
          <w:rFonts w:ascii="Times New Roman" w:hAnsi="Times New Roman"/>
          <w:color w:val="000000"/>
          <w:szCs w:val="20"/>
        </w:rPr>
        <w:t>України</w:t>
      </w:r>
      <w:proofErr w:type="spellEnd"/>
      <w:r w:rsidRPr="00E16672">
        <w:rPr>
          <w:rFonts w:ascii="Times New Roman" w:hAnsi="Times New Roman"/>
          <w:color w:val="000000"/>
          <w:szCs w:val="20"/>
        </w:rPr>
        <w:t xml:space="preserve"> </w:t>
      </w:r>
      <w:r w:rsidR="00022F5F">
        <w:rPr>
          <w:rFonts w:ascii="Times New Roman" w:hAnsi="Times New Roman"/>
          <w:color w:val="000000"/>
          <w:szCs w:val="20"/>
        </w:rPr>
        <w:t>"</w:t>
      </w:r>
      <w:r w:rsidRPr="00E16672">
        <w:rPr>
          <w:rFonts w:ascii="Times New Roman" w:hAnsi="Times New Roman"/>
          <w:color w:val="000000"/>
          <w:szCs w:val="20"/>
        </w:rPr>
        <w:t xml:space="preserve">Про </w:t>
      </w:r>
      <w:proofErr w:type="spellStart"/>
      <w:r w:rsidRPr="00E16672">
        <w:rPr>
          <w:rFonts w:ascii="Times New Roman" w:hAnsi="Times New Roman"/>
          <w:color w:val="000000"/>
          <w:szCs w:val="20"/>
        </w:rPr>
        <w:t>депозитарну</w:t>
      </w:r>
      <w:proofErr w:type="spellEnd"/>
      <w:r w:rsidRPr="00E16672">
        <w:rPr>
          <w:rFonts w:ascii="Times New Roman" w:hAnsi="Times New Roman"/>
          <w:color w:val="000000"/>
          <w:szCs w:val="20"/>
        </w:rPr>
        <w:t xml:space="preserve"> систему </w:t>
      </w:r>
      <w:proofErr w:type="spellStart"/>
      <w:r w:rsidRPr="00E16672">
        <w:rPr>
          <w:rFonts w:ascii="Times New Roman" w:hAnsi="Times New Roman"/>
          <w:color w:val="000000"/>
          <w:szCs w:val="20"/>
        </w:rPr>
        <w:t>України</w:t>
      </w:r>
      <w:proofErr w:type="spellEnd"/>
      <w:r w:rsidR="00022F5F">
        <w:rPr>
          <w:rFonts w:ascii="Times New Roman" w:hAnsi="Times New Roman"/>
          <w:color w:val="000000"/>
          <w:szCs w:val="20"/>
        </w:rPr>
        <w:t>"</w:t>
      </w:r>
      <w:r w:rsidRPr="00E16672">
        <w:rPr>
          <w:rFonts w:ascii="Times New Roman" w:hAnsi="Times New Roman"/>
          <w:color w:val="000000"/>
          <w:szCs w:val="20"/>
        </w:rPr>
        <w:t>, нормативно-</w:t>
      </w:r>
      <w:proofErr w:type="spellStart"/>
      <w:r w:rsidRPr="00E16672">
        <w:rPr>
          <w:rFonts w:ascii="Times New Roman" w:hAnsi="Times New Roman"/>
          <w:color w:val="000000"/>
          <w:szCs w:val="20"/>
        </w:rPr>
        <w:t>правовими</w:t>
      </w:r>
      <w:proofErr w:type="spellEnd"/>
      <w:r w:rsidRPr="00E16672">
        <w:rPr>
          <w:rFonts w:ascii="Times New Roman" w:hAnsi="Times New Roman"/>
          <w:color w:val="000000"/>
          <w:szCs w:val="20"/>
        </w:rPr>
        <w:t xml:space="preserve"> актами НКЦПФР.</w:t>
      </w:r>
    </w:p>
    <w:p w14:paraId="39650701" w14:textId="77777777" w:rsidR="007974E8" w:rsidRPr="00E16672" w:rsidRDefault="007974E8" w:rsidP="007974E8">
      <w:pPr>
        <w:rPr>
          <w:rFonts w:ascii="Times New Roman" w:hAnsi="Times New Roman"/>
          <w:szCs w:val="20"/>
        </w:rPr>
      </w:pPr>
    </w:p>
    <w:p w14:paraId="73CA85A8" w14:textId="77777777" w:rsidR="007974E8" w:rsidRPr="00E16672" w:rsidRDefault="007974E8" w:rsidP="007974E8">
      <w:pPr>
        <w:jc w:val="center"/>
        <w:rPr>
          <w:rFonts w:ascii="Times New Roman" w:hAnsi="Times New Roman"/>
          <w:b/>
          <w:color w:val="000000"/>
          <w:szCs w:val="20"/>
        </w:rPr>
      </w:pPr>
      <w:r w:rsidRPr="00E16672">
        <w:rPr>
          <w:rFonts w:ascii="Times New Roman" w:hAnsi="Times New Roman"/>
          <w:b/>
          <w:color w:val="000000"/>
          <w:szCs w:val="20"/>
        </w:rPr>
        <w:t xml:space="preserve">7. Порядок </w:t>
      </w:r>
      <w:proofErr w:type="spellStart"/>
      <w:r w:rsidRPr="00E16672">
        <w:rPr>
          <w:rFonts w:ascii="Times New Roman" w:hAnsi="Times New Roman"/>
          <w:b/>
          <w:color w:val="000000"/>
          <w:szCs w:val="20"/>
        </w:rPr>
        <w:t>розкриття</w:t>
      </w:r>
      <w:proofErr w:type="spellEnd"/>
      <w:r w:rsidRPr="00E16672">
        <w:rPr>
          <w:rFonts w:ascii="Times New Roman" w:hAnsi="Times New Roman"/>
          <w:b/>
          <w:color w:val="000000"/>
          <w:szCs w:val="20"/>
        </w:rPr>
        <w:t xml:space="preserve"> </w:t>
      </w:r>
      <w:proofErr w:type="spellStart"/>
      <w:r w:rsidRPr="00E16672">
        <w:rPr>
          <w:rFonts w:ascii="Times New Roman" w:hAnsi="Times New Roman"/>
          <w:b/>
          <w:color w:val="000000"/>
          <w:szCs w:val="20"/>
        </w:rPr>
        <w:t>інформації</w:t>
      </w:r>
      <w:proofErr w:type="spellEnd"/>
      <w:r w:rsidRPr="00E16672">
        <w:rPr>
          <w:rFonts w:ascii="Times New Roman" w:hAnsi="Times New Roman"/>
          <w:b/>
          <w:color w:val="000000"/>
          <w:szCs w:val="20"/>
        </w:rPr>
        <w:t xml:space="preserve">, </w:t>
      </w:r>
      <w:proofErr w:type="spellStart"/>
      <w:r w:rsidRPr="00E16672">
        <w:rPr>
          <w:rFonts w:ascii="Times New Roman" w:hAnsi="Times New Roman"/>
          <w:b/>
          <w:color w:val="000000"/>
          <w:szCs w:val="20"/>
        </w:rPr>
        <w:t>що</w:t>
      </w:r>
      <w:proofErr w:type="spellEnd"/>
      <w:r w:rsidRPr="00E16672">
        <w:rPr>
          <w:rFonts w:ascii="Times New Roman" w:hAnsi="Times New Roman"/>
          <w:b/>
          <w:color w:val="000000"/>
          <w:szCs w:val="20"/>
        </w:rPr>
        <w:t xml:space="preserve"> </w:t>
      </w:r>
      <w:proofErr w:type="spellStart"/>
      <w:r w:rsidRPr="00E16672">
        <w:rPr>
          <w:rFonts w:ascii="Times New Roman" w:hAnsi="Times New Roman"/>
          <w:b/>
          <w:color w:val="000000"/>
          <w:szCs w:val="20"/>
        </w:rPr>
        <w:t>належить</w:t>
      </w:r>
      <w:proofErr w:type="spellEnd"/>
    </w:p>
    <w:p w14:paraId="3B766522" w14:textId="77777777" w:rsidR="007974E8" w:rsidRPr="00E16672" w:rsidRDefault="007974E8" w:rsidP="007974E8">
      <w:pPr>
        <w:jc w:val="center"/>
        <w:rPr>
          <w:rFonts w:ascii="Times New Roman" w:hAnsi="Times New Roman"/>
          <w:b/>
          <w:color w:val="000000"/>
          <w:szCs w:val="20"/>
        </w:rPr>
      </w:pPr>
      <w:r w:rsidRPr="00E16672">
        <w:rPr>
          <w:rFonts w:ascii="Times New Roman" w:hAnsi="Times New Roman"/>
          <w:b/>
          <w:color w:val="000000"/>
          <w:szCs w:val="20"/>
        </w:rPr>
        <w:t xml:space="preserve"> до </w:t>
      </w:r>
      <w:proofErr w:type="spellStart"/>
      <w:r w:rsidRPr="00E16672">
        <w:rPr>
          <w:rFonts w:ascii="Times New Roman" w:hAnsi="Times New Roman"/>
          <w:b/>
          <w:color w:val="000000"/>
          <w:szCs w:val="20"/>
        </w:rPr>
        <w:t>інформації</w:t>
      </w:r>
      <w:proofErr w:type="spellEnd"/>
      <w:r w:rsidRPr="00E16672">
        <w:rPr>
          <w:rFonts w:ascii="Times New Roman" w:hAnsi="Times New Roman"/>
          <w:b/>
          <w:color w:val="000000"/>
          <w:szCs w:val="20"/>
        </w:rPr>
        <w:t xml:space="preserve"> з </w:t>
      </w:r>
      <w:proofErr w:type="spellStart"/>
      <w:r w:rsidRPr="00E16672">
        <w:rPr>
          <w:rFonts w:ascii="Times New Roman" w:hAnsi="Times New Roman"/>
          <w:b/>
          <w:color w:val="000000"/>
          <w:szCs w:val="20"/>
        </w:rPr>
        <w:t>обмеженим</w:t>
      </w:r>
      <w:proofErr w:type="spellEnd"/>
      <w:r w:rsidRPr="00E16672">
        <w:rPr>
          <w:rFonts w:ascii="Times New Roman" w:hAnsi="Times New Roman"/>
          <w:b/>
          <w:color w:val="000000"/>
          <w:szCs w:val="20"/>
        </w:rPr>
        <w:t xml:space="preserve"> доступом</w:t>
      </w:r>
    </w:p>
    <w:p w14:paraId="4812A0CB" w14:textId="77777777" w:rsidR="007974E8" w:rsidRPr="00E16672" w:rsidRDefault="007974E8" w:rsidP="007974E8">
      <w:pPr>
        <w:rPr>
          <w:rFonts w:ascii="Times New Roman" w:hAnsi="Times New Roman"/>
          <w:color w:val="000000"/>
          <w:szCs w:val="20"/>
        </w:rPr>
      </w:pPr>
    </w:p>
    <w:p w14:paraId="0DAF649D" w14:textId="77777777" w:rsidR="007974E8" w:rsidRPr="00E16672" w:rsidRDefault="007974E8" w:rsidP="00022F5F">
      <w:pPr>
        <w:jc w:val="left"/>
        <w:rPr>
          <w:rFonts w:ascii="Times New Roman" w:hAnsi="Times New Roman"/>
          <w:color w:val="000000"/>
          <w:szCs w:val="20"/>
        </w:rPr>
      </w:pPr>
      <w:r w:rsidRPr="00E16672">
        <w:rPr>
          <w:rFonts w:ascii="Times New Roman" w:hAnsi="Times New Roman"/>
          <w:color w:val="000000"/>
          <w:szCs w:val="20"/>
        </w:rPr>
        <w:t xml:space="preserve">7.1. </w:t>
      </w:r>
      <w:proofErr w:type="spellStart"/>
      <w:r w:rsidRPr="00E16672">
        <w:rPr>
          <w:rFonts w:ascii="Times New Roman" w:hAnsi="Times New Roman"/>
          <w:color w:val="000000"/>
          <w:szCs w:val="20"/>
        </w:rPr>
        <w:t>Інформація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що</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міститься</w:t>
      </w:r>
      <w:proofErr w:type="spellEnd"/>
      <w:r w:rsidRPr="00E16672">
        <w:rPr>
          <w:rFonts w:ascii="Times New Roman" w:hAnsi="Times New Roman"/>
          <w:color w:val="000000"/>
          <w:szCs w:val="20"/>
        </w:rPr>
        <w:t xml:space="preserve"> у </w:t>
      </w:r>
      <w:proofErr w:type="spellStart"/>
      <w:r w:rsidRPr="00E16672">
        <w:rPr>
          <w:rFonts w:ascii="Times New Roman" w:hAnsi="Times New Roman"/>
          <w:color w:val="000000"/>
          <w:szCs w:val="20"/>
        </w:rPr>
        <w:t>системі</w:t>
      </w:r>
      <w:proofErr w:type="spellEnd"/>
      <w:r w:rsidRPr="00E16672">
        <w:rPr>
          <w:rFonts w:ascii="Times New Roman" w:hAnsi="Times New Roman"/>
          <w:color w:val="000000"/>
          <w:szCs w:val="20"/>
        </w:rPr>
        <w:t xml:space="preserve"> депозитарного </w:t>
      </w:r>
      <w:proofErr w:type="spellStart"/>
      <w:r w:rsidRPr="00E16672">
        <w:rPr>
          <w:rFonts w:ascii="Times New Roman" w:hAnsi="Times New Roman"/>
          <w:color w:val="000000"/>
          <w:szCs w:val="20"/>
        </w:rPr>
        <w:t>обліку</w:t>
      </w:r>
      <w:proofErr w:type="spellEnd"/>
      <w:r w:rsidRPr="00E16672">
        <w:rPr>
          <w:rFonts w:ascii="Times New Roman" w:hAnsi="Times New Roman"/>
          <w:color w:val="000000"/>
          <w:szCs w:val="20"/>
        </w:rPr>
        <w:t xml:space="preserve">, є </w:t>
      </w:r>
      <w:proofErr w:type="spellStart"/>
      <w:r w:rsidRPr="00E16672">
        <w:rPr>
          <w:rFonts w:ascii="Times New Roman" w:hAnsi="Times New Roman"/>
          <w:color w:val="000000"/>
          <w:szCs w:val="20"/>
        </w:rPr>
        <w:t>інформацією</w:t>
      </w:r>
      <w:proofErr w:type="spellEnd"/>
      <w:r w:rsidRPr="00E16672">
        <w:rPr>
          <w:rFonts w:ascii="Times New Roman" w:hAnsi="Times New Roman"/>
          <w:color w:val="000000"/>
          <w:szCs w:val="20"/>
        </w:rPr>
        <w:t xml:space="preserve"> з </w:t>
      </w:r>
      <w:proofErr w:type="spellStart"/>
      <w:r w:rsidRPr="00E16672">
        <w:rPr>
          <w:rFonts w:ascii="Times New Roman" w:hAnsi="Times New Roman"/>
          <w:color w:val="000000"/>
          <w:szCs w:val="20"/>
        </w:rPr>
        <w:t>обмеженим</w:t>
      </w:r>
      <w:proofErr w:type="spellEnd"/>
      <w:r w:rsidRPr="00E16672">
        <w:rPr>
          <w:rFonts w:ascii="Times New Roman" w:hAnsi="Times New Roman"/>
          <w:color w:val="000000"/>
          <w:szCs w:val="20"/>
        </w:rPr>
        <w:t xml:space="preserve"> доступом, </w:t>
      </w:r>
      <w:proofErr w:type="spellStart"/>
      <w:r w:rsidRPr="00E16672">
        <w:rPr>
          <w:rFonts w:ascii="Times New Roman" w:hAnsi="Times New Roman"/>
          <w:color w:val="000000"/>
          <w:szCs w:val="20"/>
        </w:rPr>
        <w:t>охороняється</w:t>
      </w:r>
      <w:proofErr w:type="spellEnd"/>
      <w:r w:rsidRPr="00E16672">
        <w:rPr>
          <w:rFonts w:ascii="Times New Roman" w:hAnsi="Times New Roman"/>
          <w:color w:val="000000"/>
          <w:szCs w:val="20"/>
        </w:rPr>
        <w:t xml:space="preserve"> законом та не </w:t>
      </w:r>
      <w:proofErr w:type="spellStart"/>
      <w:r w:rsidRPr="00E16672">
        <w:rPr>
          <w:rFonts w:ascii="Times New Roman" w:hAnsi="Times New Roman"/>
          <w:color w:val="000000"/>
          <w:szCs w:val="20"/>
        </w:rPr>
        <w:t>підлягає</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розголошенню</w:t>
      </w:r>
      <w:proofErr w:type="spellEnd"/>
      <w:r w:rsidRPr="00E16672">
        <w:rPr>
          <w:rFonts w:ascii="Times New Roman" w:hAnsi="Times New Roman"/>
          <w:color w:val="000000"/>
          <w:szCs w:val="20"/>
        </w:rPr>
        <w:t xml:space="preserve"> Депозитарною </w:t>
      </w:r>
      <w:proofErr w:type="spellStart"/>
      <w:r w:rsidRPr="00E16672">
        <w:rPr>
          <w:rFonts w:ascii="Times New Roman" w:hAnsi="Times New Roman"/>
          <w:color w:val="000000"/>
          <w:szCs w:val="20"/>
        </w:rPr>
        <w:t>установою</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крім</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випадків</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передбачених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статтею</w:t>
      </w:r>
      <w:proofErr w:type="spellEnd"/>
      <w:r w:rsidRPr="00E16672">
        <w:rPr>
          <w:rFonts w:ascii="Times New Roman" w:hAnsi="Times New Roman"/>
          <w:color w:val="000000"/>
          <w:szCs w:val="20"/>
        </w:rPr>
        <w:t xml:space="preserve"> 25 Закону </w:t>
      </w:r>
      <w:proofErr w:type="spellStart"/>
      <w:r w:rsidRPr="00E16672">
        <w:rPr>
          <w:rFonts w:ascii="Times New Roman" w:hAnsi="Times New Roman"/>
          <w:color w:val="000000"/>
          <w:szCs w:val="20"/>
        </w:rPr>
        <w:t>України</w:t>
      </w:r>
      <w:proofErr w:type="spellEnd"/>
      <w:r w:rsidRPr="00E16672">
        <w:rPr>
          <w:rFonts w:ascii="Times New Roman" w:hAnsi="Times New Roman"/>
          <w:color w:val="000000"/>
          <w:szCs w:val="20"/>
        </w:rPr>
        <w:t xml:space="preserve"> </w:t>
      </w:r>
      <w:r w:rsidR="00022F5F">
        <w:rPr>
          <w:rFonts w:ascii="Times New Roman" w:hAnsi="Times New Roman"/>
          <w:color w:val="000000"/>
          <w:szCs w:val="20"/>
        </w:rPr>
        <w:t>"</w:t>
      </w:r>
      <w:r w:rsidRPr="00E16672">
        <w:rPr>
          <w:rFonts w:ascii="Times New Roman" w:hAnsi="Times New Roman"/>
          <w:color w:val="000000"/>
          <w:szCs w:val="20"/>
        </w:rPr>
        <w:t xml:space="preserve">Про </w:t>
      </w:r>
      <w:proofErr w:type="spellStart"/>
      <w:r w:rsidRPr="00E16672">
        <w:rPr>
          <w:rFonts w:ascii="Times New Roman" w:hAnsi="Times New Roman"/>
          <w:color w:val="000000"/>
          <w:szCs w:val="20"/>
        </w:rPr>
        <w:t>депозитарну</w:t>
      </w:r>
      <w:proofErr w:type="spellEnd"/>
      <w:r w:rsidRPr="00E16672">
        <w:rPr>
          <w:rFonts w:ascii="Times New Roman" w:hAnsi="Times New Roman"/>
          <w:color w:val="000000"/>
          <w:szCs w:val="20"/>
        </w:rPr>
        <w:t xml:space="preserve"> систему </w:t>
      </w:r>
      <w:proofErr w:type="spellStart"/>
      <w:r w:rsidRPr="00E16672">
        <w:rPr>
          <w:rFonts w:ascii="Times New Roman" w:hAnsi="Times New Roman"/>
          <w:color w:val="000000"/>
          <w:szCs w:val="20"/>
        </w:rPr>
        <w:t>України</w:t>
      </w:r>
      <w:proofErr w:type="spellEnd"/>
      <w:r w:rsidR="00022F5F">
        <w:rPr>
          <w:rFonts w:ascii="Times New Roman" w:hAnsi="Times New Roman"/>
          <w:color w:val="000000"/>
          <w:szCs w:val="20"/>
        </w:rPr>
        <w:t>"</w:t>
      </w:r>
      <w:r w:rsidRPr="00E16672">
        <w:rPr>
          <w:rFonts w:ascii="Times New Roman" w:hAnsi="Times New Roman"/>
          <w:color w:val="000000"/>
          <w:szCs w:val="20"/>
        </w:rPr>
        <w:t>.</w:t>
      </w:r>
    </w:p>
    <w:p w14:paraId="1CB39ED9" w14:textId="77777777" w:rsidR="007974E8" w:rsidRPr="00E16672" w:rsidRDefault="007974E8" w:rsidP="007974E8">
      <w:pPr>
        <w:rPr>
          <w:rFonts w:ascii="Times New Roman" w:hAnsi="Times New Roman"/>
          <w:color w:val="000000"/>
          <w:szCs w:val="20"/>
        </w:rPr>
      </w:pPr>
      <w:r w:rsidRPr="00E16672">
        <w:rPr>
          <w:rFonts w:ascii="Times New Roman" w:hAnsi="Times New Roman"/>
          <w:color w:val="000000"/>
          <w:szCs w:val="20"/>
        </w:rPr>
        <w:t xml:space="preserve">7.2. </w:t>
      </w:r>
      <w:proofErr w:type="spellStart"/>
      <w:r w:rsidRPr="00E16672">
        <w:rPr>
          <w:rFonts w:ascii="Times New Roman" w:hAnsi="Times New Roman"/>
          <w:color w:val="000000"/>
          <w:szCs w:val="20"/>
        </w:rPr>
        <w:t>Інформація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що</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міститься</w:t>
      </w:r>
      <w:proofErr w:type="spellEnd"/>
      <w:r w:rsidRPr="00E16672">
        <w:rPr>
          <w:rFonts w:ascii="Times New Roman" w:hAnsi="Times New Roman"/>
          <w:color w:val="000000"/>
          <w:szCs w:val="20"/>
        </w:rPr>
        <w:t xml:space="preserve"> у </w:t>
      </w:r>
      <w:proofErr w:type="spellStart"/>
      <w:r w:rsidRPr="00E16672">
        <w:rPr>
          <w:rFonts w:ascii="Times New Roman" w:hAnsi="Times New Roman"/>
          <w:color w:val="000000"/>
          <w:szCs w:val="20"/>
        </w:rPr>
        <w:t>системі</w:t>
      </w:r>
      <w:proofErr w:type="spellEnd"/>
      <w:r w:rsidRPr="00E16672">
        <w:rPr>
          <w:rFonts w:ascii="Times New Roman" w:hAnsi="Times New Roman"/>
          <w:color w:val="000000"/>
          <w:szCs w:val="20"/>
        </w:rPr>
        <w:t xml:space="preserve"> депозитарного </w:t>
      </w:r>
      <w:proofErr w:type="spellStart"/>
      <w:r w:rsidRPr="00E16672">
        <w:rPr>
          <w:rFonts w:ascii="Times New Roman" w:hAnsi="Times New Roman"/>
          <w:color w:val="000000"/>
          <w:szCs w:val="20"/>
        </w:rPr>
        <w:t>обліку</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надається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власнику</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інформації</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або</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його</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представникові</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відповідно</w:t>
      </w:r>
      <w:proofErr w:type="spellEnd"/>
      <w:r w:rsidRPr="00E16672">
        <w:rPr>
          <w:rFonts w:ascii="Times New Roman" w:hAnsi="Times New Roman"/>
          <w:color w:val="000000"/>
          <w:szCs w:val="20"/>
        </w:rPr>
        <w:t xml:space="preserve"> до умов Договору, </w:t>
      </w:r>
      <w:proofErr w:type="spellStart"/>
      <w:r w:rsidRPr="00E16672">
        <w:rPr>
          <w:rFonts w:ascii="Times New Roman" w:hAnsi="Times New Roman"/>
          <w:color w:val="000000"/>
          <w:szCs w:val="20"/>
        </w:rPr>
        <w:t>або</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іншим</w:t>
      </w:r>
      <w:proofErr w:type="spellEnd"/>
      <w:r w:rsidRPr="00E16672">
        <w:rPr>
          <w:rFonts w:ascii="Times New Roman" w:hAnsi="Times New Roman"/>
          <w:color w:val="000000"/>
          <w:szCs w:val="20"/>
        </w:rPr>
        <w:t xml:space="preserve"> особам у </w:t>
      </w:r>
      <w:proofErr w:type="spellStart"/>
      <w:r w:rsidRPr="00E16672">
        <w:rPr>
          <w:rFonts w:ascii="Times New Roman" w:hAnsi="Times New Roman"/>
          <w:color w:val="000000"/>
          <w:szCs w:val="20"/>
        </w:rPr>
        <w:t>передбачених</w:t>
      </w:r>
      <w:proofErr w:type="spellEnd"/>
      <w:r w:rsidRPr="00E16672">
        <w:rPr>
          <w:rFonts w:ascii="Times New Roman" w:hAnsi="Times New Roman"/>
          <w:color w:val="000000"/>
          <w:szCs w:val="20"/>
        </w:rPr>
        <w:t xml:space="preserve"> законом </w:t>
      </w:r>
      <w:proofErr w:type="spellStart"/>
      <w:r w:rsidRPr="00E16672">
        <w:rPr>
          <w:rFonts w:ascii="Times New Roman" w:hAnsi="Times New Roman"/>
          <w:color w:val="000000"/>
          <w:szCs w:val="20"/>
        </w:rPr>
        <w:t>випадках</w:t>
      </w:r>
      <w:proofErr w:type="spellEnd"/>
      <w:r w:rsidRPr="00E16672">
        <w:rPr>
          <w:rFonts w:ascii="Times New Roman" w:hAnsi="Times New Roman"/>
          <w:color w:val="000000"/>
          <w:szCs w:val="20"/>
        </w:rPr>
        <w:t>.</w:t>
      </w:r>
    </w:p>
    <w:p w14:paraId="31E1AD12" w14:textId="77777777" w:rsidR="007974E8" w:rsidRPr="00E16672" w:rsidRDefault="007974E8" w:rsidP="007974E8">
      <w:pPr>
        <w:rPr>
          <w:rFonts w:ascii="Times New Roman" w:hAnsi="Times New Roman"/>
          <w:color w:val="000000"/>
          <w:szCs w:val="20"/>
        </w:rPr>
      </w:pPr>
      <w:r w:rsidRPr="00E16672">
        <w:rPr>
          <w:rFonts w:ascii="Times New Roman" w:hAnsi="Times New Roman"/>
          <w:color w:val="000000"/>
          <w:szCs w:val="20"/>
        </w:rPr>
        <w:t xml:space="preserve">7.3. </w:t>
      </w:r>
      <w:proofErr w:type="spellStart"/>
      <w:r w:rsidRPr="00E16672">
        <w:rPr>
          <w:rFonts w:ascii="Times New Roman" w:hAnsi="Times New Roman"/>
          <w:color w:val="000000"/>
          <w:szCs w:val="20"/>
        </w:rPr>
        <w:t>Депозитарна</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установа</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забезпечує</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нерозголошення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інформації</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що</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міститься</w:t>
      </w:r>
      <w:proofErr w:type="spellEnd"/>
      <w:r w:rsidRPr="00E16672">
        <w:rPr>
          <w:rFonts w:ascii="Times New Roman" w:hAnsi="Times New Roman"/>
          <w:color w:val="000000"/>
          <w:szCs w:val="20"/>
        </w:rPr>
        <w:t xml:space="preserve"> у </w:t>
      </w:r>
      <w:proofErr w:type="spellStart"/>
      <w:r w:rsidRPr="00E16672">
        <w:rPr>
          <w:rFonts w:ascii="Times New Roman" w:hAnsi="Times New Roman"/>
          <w:color w:val="000000"/>
          <w:szCs w:val="20"/>
        </w:rPr>
        <w:t>системі</w:t>
      </w:r>
      <w:proofErr w:type="spellEnd"/>
      <w:r w:rsidRPr="00E16672">
        <w:rPr>
          <w:rFonts w:ascii="Times New Roman" w:hAnsi="Times New Roman"/>
          <w:color w:val="000000"/>
          <w:szCs w:val="20"/>
        </w:rPr>
        <w:t xml:space="preserve"> депозитарного </w:t>
      </w:r>
      <w:proofErr w:type="spellStart"/>
      <w:r w:rsidRPr="00E16672">
        <w:rPr>
          <w:rFonts w:ascii="Times New Roman" w:hAnsi="Times New Roman"/>
          <w:color w:val="000000"/>
          <w:szCs w:val="20"/>
        </w:rPr>
        <w:t>обліку</w:t>
      </w:r>
      <w:proofErr w:type="spellEnd"/>
      <w:r w:rsidRPr="00E16672">
        <w:rPr>
          <w:rFonts w:ascii="Times New Roman" w:hAnsi="Times New Roman"/>
          <w:color w:val="000000"/>
          <w:szCs w:val="20"/>
        </w:rPr>
        <w:t>, шляхом:</w:t>
      </w:r>
    </w:p>
    <w:p w14:paraId="39B954E5" w14:textId="77777777" w:rsidR="007974E8" w:rsidRPr="00E16672" w:rsidRDefault="007974E8" w:rsidP="007974E8">
      <w:pPr>
        <w:rPr>
          <w:rFonts w:ascii="Times New Roman" w:hAnsi="Times New Roman"/>
          <w:color w:val="000000"/>
          <w:szCs w:val="20"/>
        </w:rPr>
      </w:pPr>
      <w:r w:rsidRPr="00E16672">
        <w:rPr>
          <w:rFonts w:ascii="Times New Roman" w:hAnsi="Times New Roman"/>
          <w:color w:val="000000"/>
          <w:szCs w:val="20"/>
        </w:rPr>
        <w:t xml:space="preserve">1) </w:t>
      </w:r>
      <w:proofErr w:type="spellStart"/>
      <w:r w:rsidRPr="00E16672">
        <w:rPr>
          <w:rFonts w:ascii="Times New Roman" w:hAnsi="Times New Roman"/>
          <w:color w:val="000000"/>
          <w:szCs w:val="20"/>
        </w:rPr>
        <w:t>обмеження</w:t>
      </w:r>
      <w:proofErr w:type="spellEnd"/>
      <w:r w:rsidRPr="00E16672">
        <w:rPr>
          <w:rFonts w:ascii="Times New Roman" w:hAnsi="Times New Roman"/>
          <w:color w:val="000000"/>
          <w:szCs w:val="20"/>
        </w:rPr>
        <w:t xml:space="preserve"> кола </w:t>
      </w:r>
      <w:proofErr w:type="spellStart"/>
      <w:r w:rsidRPr="00E16672">
        <w:rPr>
          <w:rFonts w:ascii="Times New Roman" w:hAnsi="Times New Roman"/>
          <w:color w:val="000000"/>
          <w:szCs w:val="20"/>
        </w:rPr>
        <w:t>осіб</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які</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мають</w:t>
      </w:r>
      <w:proofErr w:type="spellEnd"/>
      <w:r w:rsidRPr="00E16672">
        <w:rPr>
          <w:rFonts w:ascii="Times New Roman" w:hAnsi="Times New Roman"/>
          <w:color w:val="000000"/>
          <w:szCs w:val="20"/>
        </w:rPr>
        <w:t xml:space="preserve"> доступ до </w:t>
      </w:r>
      <w:proofErr w:type="spellStart"/>
      <w:r w:rsidRPr="00E16672">
        <w:rPr>
          <w:rFonts w:ascii="Times New Roman" w:hAnsi="Times New Roman"/>
          <w:color w:val="000000"/>
          <w:szCs w:val="20"/>
        </w:rPr>
        <w:t>зазначеної</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інформації</w:t>
      </w:r>
      <w:proofErr w:type="spellEnd"/>
      <w:r w:rsidRPr="00E16672">
        <w:rPr>
          <w:rFonts w:ascii="Times New Roman" w:hAnsi="Times New Roman"/>
          <w:color w:val="000000"/>
          <w:szCs w:val="20"/>
        </w:rPr>
        <w:t>;</w:t>
      </w:r>
    </w:p>
    <w:p w14:paraId="15FAA85D" w14:textId="77777777" w:rsidR="007974E8" w:rsidRPr="00E16672" w:rsidRDefault="007974E8" w:rsidP="007974E8">
      <w:pPr>
        <w:rPr>
          <w:rFonts w:ascii="Times New Roman" w:hAnsi="Times New Roman"/>
          <w:color w:val="000000"/>
          <w:szCs w:val="20"/>
        </w:rPr>
      </w:pPr>
      <w:r w:rsidRPr="00E16672">
        <w:rPr>
          <w:rFonts w:ascii="Times New Roman" w:hAnsi="Times New Roman"/>
          <w:color w:val="000000"/>
          <w:szCs w:val="20"/>
        </w:rPr>
        <w:t xml:space="preserve">2) </w:t>
      </w:r>
      <w:proofErr w:type="spellStart"/>
      <w:r w:rsidRPr="00E16672">
        <w:rPr>
          <w:rFonts w:ascii="Times New Roman" w:hAnsi="Times New Roman"/>
          <w:color w:val="000000"/>
          <w:szCs w:val="20"/>
        </w:rPr>
        <w:t>організації</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спеціального</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діловодства</w:t>
      </w:r>
      <w:proofErr w:type="spellEnd"/>
      <w:r w:rsidRPr="00E16672">
        <w:rPr>
          <w:rFonts w:ascii="Times New Roman" w:hAnsi="Times New Roman"/>
          <w:color w:val="000000"/>
          <w:szCs w:val="20"/>
        </w:rPr>
        <w:t xml:space="preserve"> у </w:t>
      </w:r>
      <w:proofErr w:type="spellStart"/>
      <w:r w:rsidRPr="00E16672">
        <w:rPr>
          <w:rFonts w:ascii="Times New Roman" w:hAnsi="Times New Roman"/>
          <w:color w:val="000000"/>
          <w:szCs w:val="20"/>
        </w:rPr>
        <w:t>системі</w:t>
      </w:r>
      <w:proofErr w:type="spellEnd"/>
      <w:r w:rsidRPr="00E16672">
        <w:rPr>
          <w:rFonts w:ascii="Times New Roman" w:hAnsi="Times New Roman"/>
          <w:color w:val="000000"/>
          <w:szCs w:val="20"/>
        </w:rPr>
        <w:t xml:space="preserve"> депозитарного </w:t>
      </w:r>
      <w:proofErr w:type="spellStart"/>
      <w:r w:rsidRPr="00E16672">
        <w:rPr>
          <w:rFonts w:ascii="Times New Roman" w:hAnsi="Times New Roman"/>
          <w:color w:val="000000"/>
          <w:szCs w:val="20"/>
        </w:rPr>
        <w:t>обліку</w:t>
      </w:r>
      <w:proofErr w:type="spellEnd"/>
      <w:r w:rsidRPr="00E16672">
        <w:rPr>
          <w:rFonts w:ascii="Times New Roman" w:hAnsi="Times New Roman"/>
          <w:color w:val="000000"/>
          <w:szCs w:val="20"/>
        </w:rPr>
        <w:t>;</w:t>
      </w:r>
    </w:p>
    <w:p w14:paraId="4C19C316" w14:textId="77777777" w:rsidR="007974E8" w:rsidRPr="00E16672" w:rsidRDefault="007974E8" w:rsidP="007974E8">
      <w:pPr>
        <w:rPr>
          <w:rFonts w:ascii="Times New Roman" w:hAnsi="Times New Roman"/>
          <w:color w:val="000000"/>
          <w:szCs w:val="20"/>
        </w:rPr>
      </w:pPr>
      <w:r w:rsidRPr="00E16672">
        <w:rPr>
          <w:rFonts w:ascii="Times New Roman" w:hAnsi="Times New Roman"/>
          <w:color w:val="000000"/>
          <w:szCs w:val="20"/>
        </w:rPr>
        <w:t xml:space="preserve">3) </w:t>
      </w:r>
      <w:proofErr w:type="spellStart"/>
      <w:r w:rsidRPr="00E16672">
        <w:rPr>
          <w:rFonts w:ascii="Times New Roman" w:hAnsi="Times New Roman"/>
          <w:color w:val="000000"/>
          <w:szCs w:val="20"/>
        </w:rPr>
        <w:t>застосування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технічних</w:t>
      </w:r>
      <w:proofErr w:type="spellEnd"/>
      <w:r w:rsidRPr="00E16672">
        <w:rPr>
          <w:rFonts w:ascii="Times New Roman" w:hAnsi="Times New Roman"/>
          <w:color w:val="000000"/>
          <w:szCs w:val="20"/>
        </w:rPr>
        <w:t xml:space="preserve"> та </w:t>
      </w:r>
      <w:proofErr w:type="spellStart"/>
      <w:r w:rsidRPr="00E16672">
        <w:rPr>
          <w:rFonts w:ascii="Times New Roman" w:hAnsi="Times New Roman"/>
          <w:color w:val="000000"/>
          <w:szCs w:val="20"/>
        </w:rPr>
        <w:t>програмних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засобів</w:t>
      </w:r>
      <w:proofErr w:type="spellEnd"/>
      <w:r w:rsidRPr="00E16672">
        <w:rPr>
          <w:rFonts w:ascii="Times New Roman" w:hAnsi="Times New Roman"/>
          <w:color w:val="000000"/>
          <w:szCs w:val="20"/>
        </w:rPr>
        <w:t xml:space="preserve"> для </w:t>
      </w:r>
      <w:proofErr w:type="spellStart"/>
      <w:r w:rsidRPr="00E16672">
        <w:rPr>
          <w:rFonts w:ascii="Times New Roman" w:hAnsi="Times New Roman"/>
          <w:color w:val="000000"/>
          <w:szCs w:val="20"/>
        </w:rPr>
        <w:t>запобігання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несанкціонованому</w:t>
      </w:r>
      <w:proofErr w:type="spellEnd"/>
      <w:r w:rsidRPr="00E16672">
        <w:rPr>
          <w:rFonts w:ascii="Times New Roman" w:hAnsi="Times New Roman"/>
          <w:color w:val="000000"/>
          <w:szCs w:val="20"/>
        </w:rPr>
        <w:t xml:space="preserve"> доступу до </w:t>
      </w:r>
      <w:proofErr w:type="spellStart"/>
      <w:r w:rsidRPr="00E16672">
        <w:rPr>
          <w:rFonts w:ascii="Times New Roman" w:hAnsi="Times New Roman"/>
          <w:color w:val="000000"/>
          <w:szCs w:val="20"/>
        </w:rPr>
        <w:t>носіїв</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такої</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інформації</w:t>
      </w:r>
      <w:proofErr w:type="spellEnd"/>
      <w:r w:rsidRPr="00E16672">
        <w:rPr>
          <w:rFonts w:ascii="Times New Roman" w:hAnsi="Times New Roman"/>
          <w:color w:val="000000"/>
          <w:szCs w:val="20"/>
        </w:rPr>
        <w:t>.</w:t>
      </w:r>
    </w:p>
    <w:p w14:paraId="135E11E4" w14:textId="77777777" w:rsidR="007974E8" w:rsidRPr="00E16672" w:rsidRDefault="007974E8" w:rsidP="00022F5F">
      <w:pPr>
        <w:jc w:val="left"/>
        <w:rPr>
          <w:rFonts w:ascii="Times New Roman" w:hAnsi="Times New Roman"/>
          <w:bCs/>
          <w:color w:val="000000"/>
          <w:szCs w:val="20"/>
        </w:rPr>
      </w:pPr>
      <w:r w:rsidRPr="00E16672">
        <w:rPr>
          <w:rFonts w:ascii="Times New Roman" w:hAnsi="Times New Roman"/>
          <w:color w:val="000000"/>
          <w:szCs w:val="20"/>
        </w:rPr>
        <w:t xml:space="preserve">7.4. </w:t>
      </w:r>
      <w:proofErr w:type="spellStart"/>
      <w:r w:rsidRPr="00E16672">
        <w:rPr>
          <w:rFonts w:ascii="Times New Roman" w:hAnsi="Times New Roman"/>
          <w:color w:val="000000"/>
          <w:szCs w:val="20"/>
        </w:rPr>
        <w:t>Депозитарна</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установа</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надає</w:t>
      </w:r>
      <w:proofErr w:type="spellEnd"/>
      <w:r w:rsidRPr="00E16672">
        <w:rPr>
          <w:rFonts w:ascii="Times New Roman" w:hAnsi="Times New Roman"/>
          <w:color w:val="000000"/>
          <w:szCs w:val="20"/>
        </w:rPr>
        <w:t xml:space="preserve"> </w:t>
      </w:r>
      <w:r w:rsidRPr="00E16672">
        <w:rPr>
          <w:rFonts w:ascii="Times New Roman" w:hAnsi="Times New Roman"/>
          <w:bCs/>
          <w:color w:val="000000"/>
          <w:szCs w:val="20"/>
        </w:rPr>
        <w:t xml:space="preserve">Центральному </w:t>
      </w:r>
      <w:proofErr w:type="spellStart"/>
      <w:r w:rsidRPr="00E16672">
        <w:rPr>
          <w:rFonts w:ascii="Times New Roman" w:hAnsi="Times New Roman"/>
          <w:bCs/>
          <w:color w:val="000000"/>
          <w:szCs w:val="20"/>
        </w:rPr>
        <w:t>депозитарію</w:t>
      </w:r>
      <w:proofErr w:type="spellEnd"/>
      <w:r w:rsidRPr="00E16672">
        <w:rPr>
          <w:rFonts w:ascii="Times New Roman" w:hAnsi="Times New Roman"/>
          <w:bCs/>
          <w:color w:val="000000"/>
          <w:szCs w:val="20"/>
        </w:rPr>
        <w:t xml:space="preserve">, </w:t>
      </w:r>
      <w:proofErr w:type="spellStart"/>
      <w:r w:rsidRPr="00E16672">
        <w:rPr>
          <w:rFonts w:ascii="Times New Roman" w:hAnsi="Times New Roman"/>
          <w:bCs/>
          <w:color w:val="000000"/>
          <w:szCs w:val="20"/>
        </w:rPr>
        <w:t>іншим</w:t>
      </w:r>
      <w:proofErr w:type="spellEnd"/>
      <w:r w:rsidRPr="00E16672">
        <w:rPr>
          <w:rFonts w:ascii="Times New Roman" w:hAnsi="Times New Roman"/>
          <w:bCs/>
          <w:color w:val="000000"/>
          <w:szCs w:val="20"/>
        </w:rPr>
        <w:t xml:space="preserve"> </w:t>
      </w:r>
      <w:proofErr w:type="spellStart"/>
      <w:r w:rsidRPr="00E16672">
        <w:rPr>
          <w:rFonts w:ascii="Times New Roman" w:hAnsi="Times New Roman"/>
          <w:bCs/>
          <w:color w:val="000000"/>
          <w:szCs w:val="20"/>
        </w:rPr>
        <w:t>учасникам</w:t>
      </w:r>
      <w:proofErr w:type="spellEnd"/>
      <w:r w:rsidRPr="00E16672">
        <w:rPr>
          <w:rFonts w:ascii="Times New Roman" w:hAnsi="Times New Roman"/>
          <w:bCs/>
          <w:color w:val="000000"/>
          <w:szCs w:val="20"/>
        </w:rPr>
        <w:t xml:space="preserve"> </w:t>
      </w:r>
      <w:proofErr w:type="spellStart"/>
      <w:r w:rsidRPr="00E16672">
        <w:rPr>
          <w:rFonts w:ascii="Times New Roman" w:hAnsi="Times New Roman"/>
          <w:bCs/>
          <w:color w:val="000000"/>
          <w:szCs w:val="20"/>
        </w:rPr>
        <w:t>депозитарної</w:t>
      </w:r>
      <w:proofErr w:type="spellEnd"/>
      <w:r w:rsidRPr="00E16672">
        <w:rPr>
          <w:rFonts w:ascii="Times New Roman" w:hAnsi="Times New Roman"/>
          <w:bCs/>
          <w:color w:val="000000"/>
          <w:szCs w:val="20"/>
        </w:rPr>
        <w:t xml:space="preserve"> </w:t>
      </w:r>
      <w:proofErr w:type="spellStart"/>
      <w:r w:rsidRPr="00E16672">
        <w:rPr>
          <w:rFonts w:ascii="Times New Roman" w:hAnsi="Times New Roman"/>
          <w:bCs/>
          <w:color w:val="000000"/>
          <w:szCs w:val="20"/>
        </w:rPr>
        <w:t>системи</w:t>
      </w:r>
      <w:proofErr w:type="spellEnd"/>
      <w:r w:rsidRPr="00E16672">
        <w:rPr>
          <w:rFonts w:ascii="Times New Roman" w:hAnsi="Times New Roman"/>
          <w:bCs/>
          <w:color w:val="000000"/>
          <w:szCs w:val="20"/>
        </w:rPr>
        <w:t xml:space="preserve"> </w:t>
      </w:r>
      <w:proofErr w:type="spellStart"/>
      <w:r w:rsidRPr="00E16672">
        <w:rPr>
          <w:rFonts w:ascii="Times New Roman" w:hAnsi="Times New Roman"/>
          <w:bCs/>
          <w:color w:val="000000"/>
          <w:szCs w:val="20"/>
        </w:rPr>
        <w:t>відповідно</w:t>
      </w:r>
      <w:proofErr w:type="spellEnd"/>
      <w:r w:rsidRPr="00E16672">
        <w:rPr>
          <w:rFonts w:ascii="Times New Roman" w:hAnsi="Times New Roman"/>
          <w:bCs/>
          <w:color w:val="000000"/>
          <w:szCs w:val="20"/>
        </w:rPr>
        <w:t xml:space="preserve"> до </w:t>
      </w:r>
      <w:proofErr w:type="spellStart"/>
      <w:r w:rsidRPr="00E16672">
        <w:rPr>
          <w:rFonts w:ascii="Times New Roman" w:hAnsi="Times New Roman"/>
          <w:bCs/>
          <w:color w:val="000000"/>
          <w:szCs w:val="20"/>
        </w:rPr>
        <w:t>вимог</w:t>
      </w:r>
      <w:proofErr w:type="spellEnd"/>
      <w:r w:rsidRPr="00E16672">
        <w:rPr>
          <w:rFonts w:ascii="Times New Roman" w:hAnsi="Times New Roman"/>
          <w:bCs/>
          <w:color w:val="000000"/>
          <w:szCs w:val="20"/>
        </w:rPr>
        <w:t xml:space="preserve"> чинного </w:t>
      </w:r>
      <w:r w:rsidR="00F6110B" w:rsidRPr="00E16672">
        <w:rPr>
          <w:rFonts w:ascii="Times New Roman" w:hAnsi="Times New Roman"/>
          <w:bCs/>
          <w:szCs w:val="20"/>
          <w:lang w:val="uk-UA"/>
        </w:rPr>
        <w:t>законодавства</w:t>
      </w:r>
      <w:r w:rsidRPr="00E16672">
        <w:rPr>
          <w:rFonts w:ascii="Times New Roman" w:hAnsi="Times New Roman"/>
          <w:bCs/>
          <w:color w:val="000000"/>
          <w:szCs w:val="20"/>
        </w:rPr>
        <w:t xml:space="preserve">,  </w:t>
      </w:r>
      <w:proofErr w:type="spellStart"/>
      <w:r w:rsidRPr="00E16672">
        <w:rPr>
          <w:rFonts w:ascii="Times New Roman" w:hAnsi="Times New Roman"/>
          <w:bCs/>
          <w:color w:val="000000"/>
          <w:szCs w:val="20"/>
        </w:rPr>
        <w:t>інформацію</w:t>
      </w:r>
      <w:proofErr w:type="spellEnd"/>
      <w:r w:rsidRPr="00E16672">
        <w:rPr>
          <w:rFonts w:ascii="Times New Roman" w:hAnsi="Times New Roman"/>
          <w:bCs/>
          <w:color w:val="000000"/>
          <w:szCs w:val="20"/>
        </w:rPr>
        <w:t xml:space="preserve"> </w:t>
      </w:r>
      <w:proofErr w:type="spellStart"/>
      <w:r w:rsidRPr="00E16672">
        <w:rPr>
          <w:rFonts w:ascii="Times New Roman" w:hAnsi="Times New Roman"/>
          <w:bCs/>
          <w:color w:val="000000"/>
          <w:szCs w:val="20"/>
        </w:rPr>
        <w:t>щодо</w:t>
      </w:r>
      <w:proofErr w:type="spellEnd"/>
      <w:r w:rsidRPr="00E16672">
        <w:rPr>
          <w:rFonts w:ascii="Times New Roman" w:hAnsi="Times New Roman"/>
          <w:bCs/>
          <w:color w:val="000000"/>
          <w:szCs w:val="20"/>
        </w:rPr>
        <w:t xml:space="preserve"> Депонента, </w:t>
      </w:r>
      <w:proofErr w:type="spellStart"/>
      <w:r w:rsidRPr="00E16672">
        <w:rPr>
          <w:rFonts w:ascii="Times New Roman" w:hAnsi="Times New Roman"/>
          <w:bCs/>
          <w:color w:val="000000"/>
          <w:szCs w:val="20"/>
        </w:rPr>
        <w:t>Керуючого</w:t>
      </w:r>
      <w:proofErr w:type="spellEnd"/>
      <w:r w:rsidRPr="00E16672">
        <w:rPr>
          <w:rFonts w:ascii="Times New Roman" w:hAnsi="Times New Roman"/>
          <w:bCs/>
          <w:color w:val="000000"/>
          <w:szCs w:val="20"/>
        </w:rPr>
        <w:t xml:space="preserve"> та </w:t>
      </w:r>
      <w:proofErr w:type="spellStart"/>
      <w:r w:rsidRPr="00E16672">
        <w:rPr>
          <w:rFonts w:ascii="Times New Roman" w:hAnsi="Times New Roman"/>
          <w:bCs/>
          <w:color w:val="000000"/>
          <w:szCs w:val="20"/>
        </w:rPr>
        <w:t>цінних</w:t>
      </w:r>
      <w:proofErr w:type="spellEnd"/>
      <w:r w:rsidRPr="00E16672">
        <w:rPr>
          <w:rFonts w:ascii="Times New Roman" w:hAnsi="Times New Roman"/>
          <w:bCs/>
          <w:color w:val="000000"/>
          <w:szCs w:val="20"/>
        </w:rPr>
        <w:t xml:space="preserve"> </w:t>
      </w:r>
      <w:proofErr w:type="spellStart"/>
      <w:r w:rsidRPr="00E16672">
        <w:rPr>
          <w:rFonts w:ascii="Times New Roman" w:hAnsi="Times New Roman"/>
          <w:bCs/>
          <w:color w:val="000000"/>
          <w:szCs w:val="20"/>
        </w:rPr>
        <w:t>паперів</w:t>
      </w:r>
      <w:proofErr w:type="spellEnd"/>
      <w:r w:rsidRPr="00E16672">
        <w:rPr>
          <w:rFonts w:ascii="Times New Roman" w:hAnsi="Times New Roman"/>
          <w:bCs/>
          <w:color w:val="000000"/>
          <w:szCs w:val="20"/>
        </w:rPr>
        <w:t xml:space="preserve">, </w:t>
      </w:r>
      <w:proofErr w:type="spellStart"/>
      <w:r w:rsidRPr="00E16672">
        <w:rPr>
          <w:rFonts w:ascii="Times New Roman" w:hAnsi="Times New Roman"/>
          <w:bCs/>
          <w:color w:val="000000"/>
          <w:szCs w:val="20"/>
        </w:rPr>
        <w:t>що</w:t>
      </w:r>
      <w:proofErr w:type="spellEnd"/>
      <w:r w:rsidRPr="00E16672">
        <w:rPr>
          <w:rFonts w:ascii="Times New Roman" w:hAnsi="Times New Roman"/>
          <w:bCs/>
          <w:color w:val="000000"/>
          <w:szCs w:val="20"/>
        </w:rPr>
        <w:t xml:space="preserve"> належать Депоненту, яка </w:t>
      </w:r>
      <w:proofErr w:type="spellStart"/>
      <w:r w:rsidRPr="00E16672">
        <w:rPr>
          <w:rFonts w:ascii="Times New Roman" w:hAnsi="Times New Roman"/>
          <w:bCs/>
          <w:color w:val="000000"/>
          <w:szCs w:val="20"/>
        </w:rPr>
        <w:t>необхідна</w:t>
      </w:r>
      <w:proofErr w:type="spellEnd"/>
      <w:r w:rsidRPr="00E16672">
        <w:rPr>
          <w:rFonts w:ascii="Times New Roman" w:hAnsi="Times New Roman"/>
          <w:bCs/>
          <w:color w:val="000000"/>
          <w:szCs w:val="20"/>
        </w:rPr>
        <w:t xml:space="preserve"> для </w:t>
      </w:r>
      <w:proofErr w:type="spellStart"/>
      <w:r w:rsidRPr="00E16672">
        <w:rPr>
          <w:rFonts w:ascii="Times New Roman" w:hAnsi="Times New Roman"/>
          <w:bCs/>
          <w:color w:val="000000"/>
          <w:szCs w:val="20"/>
        </w:rPr>
        <w:t>здійснення</w:t>
      </w:r>
      <w:proofErr w:type="spellEnd"/>
      <w:r w:rsidRPr="00E16672">
        <w:rPr>
          <w:rFonts w:ascii="Times New Roman" w:hAnsi="Times New Roman"/>
          <w:bCs/>
          <w:color w:val="000000"/>
          <w:szCs w:val="20"/>
        </w:rPr>
        <w:t xml:space="preserve"> </w:t>
      </w:r>
      <w:proofErr w:type="spellStart"/>
      <w:r w:rsidRPr="00E16672">
        <w:rPr>
          <w:rFonts w:ascii="Times New Roman" w:hAnsi="Times New Roman"/>
          <w:bCs/>
          <w:color w:val="000000"/>
          <w:szCs w:val="20"/>
        </w:rPr>
        <w:t>розрахунків</w:t>
      </w:r>
      <w:proofErr w:type="spellEnd"/>
      <w:r w:rsidRPr="00E16672">
        <w:rPr>
          <w:rFonts w:ascii="Times New Roman" w:hAnsi="Times New Roman"/>
          <w:bCs/>
          <w:color w:val="000000"/>
          <w:szCs w:val="20"/>
        </w:rPr>
        <w:t xml:space="preserve"> за </w:t>
      </w:r>
      <w:proofErr w:type="spellStart"/>
      <w:r w:rsidRPr="00E16672">
        <w:rPr>
          <w:rFonts w:ascii="Times New Roman" w:hAnsi="Times New Roman"/>
          <w:bCs/>
          <w:color w:val="000000"/>
          <w:szCs w:val="20"/>
        </w:rPr>
        <w:t>правочинами</w:t>
      </w:r>
      <w:proofErr w:type="spellEnd"/>
      <w:r w:rsidRPr="00E16672">
        <w:rPr>
          <w:rFonts w:ascii="Times New Roman" w:hAnsi="Times New Roman"/>
          <w:bCs/>
          <w:color w:val="000000"/>
          <w:szCs w:val="20"/>
        </w:rPr>
        <w:t xml:space="preserve"> </w:t>
      </w:r>
      <w:proofErr w:type="spellStart"/>
      <w:r w:rsidRPr="00E16672">
        <w:rPr>
          <w:rFonts w:ascii="Times New Roman" w:hAnsi="Times New Roman"/>
          <w:bCs/>
          <w:color w:val="000000"/>
          <w:szCs w:val="20"/>
        </w:rPr>
        <w:t>щодо</w:t>
      </w:r>
      <w:proofErr w:type="spellEnd"/>
      <w:r w:rsidRPr="00E16672">
        <w:rPr>
          <w:rFonts w:ascii="Times New Roman" w:hAnsi="Times New Roman"/>
          <w:bCs/>
          <w:color w:val="000000"/>
          <w:szCs w:val="20"/>
        </w:rPr>
        <w:t xml:space="preserve"> </w:t>
      </w:r>
      <w:proofErr w:type="spellStart"/>
      <w:r w:rsidRPr="00E16672">
        <w:rPr>
          <w:rFonts w:ascii="Times New Roman" w:hAnsi="Times New Roman"/>
          <w:bCs/>
          <w:color w:val="000000"/>
          <w:szCs w:val="20"/>
        </w:rPr>
        <w:t>цінних</w:t>
      </w:r>
      <w:proofErr w:type="spellEnd"/>
      <w:r w:rsidRPr="00E16672">
        <w:rPr>
          <w:rFonts w:ascii="Times New Roman" w:hAnsi="Times New Roman"/>
          <w:bCs/>
          <w:color w:val="000000"/>
          <w:szCs w:val="20"/>
        </w:rPr>
        <w:t xml:space="preserve"> </w:t>
      </w:r>
      <w:proofErr w:type="spellStart"/>
      <w:r w:rsidRPr="00E16672">
        <w:rPr>
          <w:rFonts w:ascii="Times New Roman" w:hAnsi="Times New Roman"/>
          <w:bCs/>
          <w:color w:val="000000"/>
          <w:szCs w:val="20"/>
        </w:rPr>
        <w:t>паперів</w:t>
      </w:r>
      <w:proofErr w:type="spellEnd"/>
      <w:r w:rsidRPr="00E16672">
        <w:rPr>
          <w:rFonts w:ascii="Times New Roman" w:hAnsi="Times New Roman"/>
          <w:bCs/>
          <w:color w:val="000000"/>
          <w:szCs w:val="20"/>
        </w:rPr>
        <w:t xml:space="preserve"> з </w:t>
      </w:r>
      <w:proofErr w:type="spellStart"/>
      <w:r w:rsidRPr="00E16672">
        <w:rPr>
          <w:rFonts w:ascii="Times New Roman" w:hAnsi="Times New Roman"/>
          <w:bCs/>
          <w:color w:val="000000"/>
          <w:szCs w:val="20"/>
        </w:rPr>
        <w:t>дотриманням</w:t>
      </w:r>
      <w:proofErr w:type="spellEnd"/>
      <w:r w:rsidRPr="00E16672">
        <w:rPr>
          <w:rFonts w:ascii="Times New Roman" w:hAnsi="Times New Roman"/>
          <w:bCs/>
          <w:color w:val="000000"/>
          <w:szCs w:val="20"/>
        </w:rPr>
        <w:t xml:space="preserve"> принципу </w:t>
      </w:r>
      <w:r w:rsidR="00022F5F">
        <w:rPr>
          <w:rFonts w:ascii="Times New Roman" w:hAnsi="Times New Roman"/>
          <w:bCs/>
          <w:color w:val="000000"/>
          <w:szCs w:val="20"/>
        </w:rPr>
        <w:t>"</w:t>
      </w:r>
      <w:r w:rsidRPr="00E16672">
        <w:rPr>
          <w:rFonts w:ascii="Times New Roman" w:hAnsi="Times New Roman"/>
          <w:bCs/>
          <w:color w:val="000000"/>
          <w:szCs w:val="20"/>
        </w:rPr>
        <w:t xml:space="preserve">поставка </w:t>
      </w:r>
      <w:proofErr w:type="spellStart"/>
      <w:r w:rsidRPr="00E16672">
        <w:rPr>
          <w:rFonts w:ascii="Times New Roman" w:hAnsi="Times New Roman"/>
          <w:bCs/>
          <w:color w:val="000000"/>
          <w:szCs w:val="20"/>
        </w:rPr>
        <w:t>цінних</w:t>
      </w:r>
      <w:proofErr w:type="spellEnd"/>
      <w:r w:rsidRPr="00E16672">
        <w:rPr>
          <w:rFonts w:ascii="Times New Roman" w:hAnsi="Times New Roman"/>
          <w:bCs/>
          <w:color w:val="000000"/>
          <w:szCs w:val="20"/>
        </w:rPr>
        <w:t xml:space="preserve"> </w:t>
      </w:r>
      <w:proofErr w:type="spellStart"/>
      <w:r w:rsidRPr="00E16672">
        <w:rPr>
          <w:rFonts w:ascii="Times New Roman" w:hAnsi="Times New Roman"/>
          <w:bCs/>
          <w:color w:val="000000"/>
          <w:szCs w:val="20"/>
        </w:rPr>
        <w:t>паперів</w:t>
      </w:r>
      <w:proofErr w:type="spellEnd"/>
      <w:r w:rsidRPr="00E16672">
        <w:rPr>
          <w:rFonts w:ascii="Times New Roman" w:hAnsi="Times New Roman"/>
          <w:bCs/>
          <w:color w:val="000000"/>
          <w:szCs w:val="20"/>
        </w:rPr>
        <w:t xml:space="preserve"> </w:t>
      </w:r>
      <w:proofErr w:type="spellStart"/>
      <w:r w:rsidRPr="00E16672">
        <w:rPr>
          <w:rFonts w:ascii="Times New Roman" w:hAnsi="Times New Roman"/>
          <w:bCs/>
          <w:color w:val="000000"/>
          <w:szCs w:val="20"/>
        </w:rPr>
        <w:t>проти</w:t>
      </w:r>
      <w:proofErr w:type="spellEnd"/>
      <w:r w:rsidRPr="00E16672">
        <w:rPr>
          <w:rFonts w:ascii="Times New Roman" w:hAnsi="Times New Roman"/>
          <w:bCs/>
          <w:color w:val="000000"/>
          <w:szCs w:val="20"/>
        </w:rPr>
        <w:t xml:space="preserve"> оплати</w:t>
      </w:r>
      <w:r w:rsidR="00022F5F">
        <w:rPr>
          <w:rFonts w:ascii="Times New Roman" w:hAnsi="Times New Roman"/>
          <w:bCs/>
          <w:color w:val="000000"/>
          <w:szCs w:val="20"/>
        </w:rPr>
        <w:t>"</w:t>
      </w:r>
      <w:r w:rsidRPr="00E16672">
        <w:rPr>
          <w:rFonts w:ascii="Times New Roman" w:hAnsi="Times New Roman"/>
          <w:bCs/>
          <w:color w:val="000000"/>
          <w:szCs w:val="20"/>
        </w:rPr>
        <w:t xml:space="preserve">, з метою </w:t>
      </w:r>
      <w:proofErr w:type="spellStart"/>
      <w:r w:rsidRPr="00E16672">
        <w:rPr>
          <w:rFonts w:ascii="Times New Roman" w:hAnsi="Times New Roman"/>
          <w:bCs/>
          <w:color w:val="000000"/>
          <w:szCs w:val="20"/>
        </w:rPr>
        <w:t>подальшого</w:t>
      </w:r>
      <w:proofErr w:type="spellEnd"/>
      <w:r w:rsidRPr="00E16672">
        <w:rPr>
          <w:rFonts w:ascii="Times New Roman" w:hAnsi="Times New Roman"/>
          <w:bCs/>
          <w:color w:val="000000"/>
          <w:szCs w:val="20"/>
        </w:rPr>
        <w:t xml:space="preserve"> </w:t>
      </w:r>
      <w:proofErr w:type="spellStart"/>
      <w:r w:rsidRPr="00E16672">
        <w:rPr>
          <w:rFonts w:ascii="Times New Roman" w:hAnsi="Times New Roman"/>
          <w:bCs/>
          <w:color w:val="000000"/>
          <w:szCs w:val="20"/>
        </w:rPr>
        <w:t>надання</w:t>
      </w:r>
      <w:proofErr w:type="spellEnd"/>
      <w:r w:rsidRPr="00E16672">
        <w:rPr>
          <w:rFonts w:ascii="Times New Roman" w:hAnsi="Times New Roman"/>
          <w:bCs/>
          <w:color w:val="000000"/>
          <w:szCs w:val="20"/>
        </w:rPr>
        <w:t xml:space="preserve"> </w:t>
      </w:r>
      <w:proofErr w:type="spellStart"/>
      <w:r w:rsidRPr="00E16672">
        <w:rPr>
          <w:rFonts w:ascii="Times New Roman" w:hAnsi="Times New Roman"/>
          <w:bCs/>
          <w:color w:val="000000"/>
          <w:szCs w:val="20"/>
        </w:rPr>
        <w:t>такої</w:t>
      </w:r>
      <w:proofErr w:type="spellEnd"/>
      <w:r w:rsidRPr="00E16672">
        <w:rPr>
          <w:rFonts w:ascii="Times New Roman" w:hAnsi="Times New Roman"/>
          <w:bCs/>
          <w:color w:val="000000"/>
          <w:szCs w:val="20"/>
        </w:rPr>
        <w:t xml:space="preserve"> </w:t>
      </w:r>
      <w:proofErr w:type="spellStart"/>
      <w:r w:rsidRPr="00E16672">
        <w:rPr>
          <w:rFonts w:ascii="Times New Roman" w:hAnsi="Times New Roman"/>
          <w:bCs/>
          <w:color w:val="000000"/>
          <w:szCs w:val="20"/>
        </w:rPr>
        <w:t>інформації</w:t>
      </w:r>
      <w:proofErr w:type="spellEnd"/>
      <w:r w:rsidRPr="00E16672">
        <w:rPr>
          <w:rFonts w:ascii="Times New Roman" w:hAnsi="Times New Roman"/>
          <w:bCs/>
          <w:color w:val="000000"/>
          <w:szCs w:val="20"/>
        </w:rPr>
        <w:t xml:space="preserve"> </w:t>
      </w:r>
      <w:proofErr w:type="spellStart"/>
      <w:r w:rsidRPr="00E16672">
        <w:rPr>
          <w:rFonts w:ascii="Times New Roman" w:hAnsi="Times New Roman"/>
          <w:bCs/>
          <w:color w:val="000000"/>
          <w:szCs w:val="20"/>
        </w:rPr>
        <w:t>Розрахунковому</w:t>
      </w:r>
      <w:proofErr w:type="spellEnd"/>
      <w:r w:rsidRPr="00E16672">
        <w:rPr>
          <w:rFonts w:ascii="Times New Roman" w:hAnsi="Times New Roman"/>
          <w:bCs/>
          <w:color w:val="000000"/>
          <w:szCs w:val="20"/>
        </w:rPr>
        <w:t xml:space="preserve"> центру </w:t>
      </w:r>
      <w:proofErr w:type="spellStart"/>
      <w:r w:rsidRPr="00E16672">
        <w:rPr>
          <w:rFonts w:ascii="Times New Roman" w:hAnsi="Times New Roman"/>
          <w:bCs/>
          <w:color w:val="000000"/>
          <w:szCs w:val="20"/>
        </w:rPr>
        <w:t>чи</w:t>
      </w:r>
      <w:proofErr w:type="spellEnd"/>
      <w:r w:rsidRPr="00E16672">
        <w:rPr>
          <w:rFonts w:ascii="Times New Roman" w:hAnsi="Times New Roman"/>
          <w:bCs/>
          <w:color w:val="000000"/>
          <w:szCs w:val="20"/>
        </w:rPr>
        <w:t xml:space="preserve"> </w:t>
      </w:r>
      <w:proofErr w:type="spellStart"/>
      <w:r w:rsidRPr="00E16672">
        <w:rPr>
          <w:rFonts w:ascii="Times New Roman" w:hAnsi="Times New Roman"/>
          <w:bCs/>
          <w:color w:val="000000"/>
          <w:szCs w:val="20"/>
        </w:rPr>
        <w:t>кліринговій</w:t>
      </w:r>
      <w:proofErr w:type="spellEnd"/>
      <w:r w:rsidRPr="00E16672">
        <w:rPr>
          <w:rFonts w:ascii="Times New Roman" w:hAnsi="Times New Roman"/>
          <w:bCs/>
          <w:color w:val="000000"/>
          <w:szCs w:val="20"/>
        </w:rPr>
        <w:t xml:space="preserve"> </w:t>
      </w:r>
      <w:proofErr w:type="spellStart"/>
      <w:r w:rsidRPr="00E16672">
        <w:rPr>
          <w:rFonts w:ascii="Times New Roman" w:hAnsi="Times New Roman"/>
          <w:bCs/>
          <w:color w:val="000000"/>
          <w:szCs w:val="20"/>
        </w:rPr>
        <w:t>установі</w:t>
      </w:r>
      <w:proofErr w:type="spellEnd"/>
      <w:r w:rsidRPr="00E16672">
        <w:rPr>
          <w:rFonts w:ascii="Times New Roman" w:hAnsi="Times New Roman"/>
          <w:bCs/>
          <w:color w:val="000000"/>
          <w:szCs w:val="20"/>
        </w:rPr>
        <w:t xml:space="preserve"> для </w:t>
      </w:r>
      <w:proofErr w:type="spellStart"/>
      <w:r w:rsidRPr="00E16672">
        <w:rPr>
          <w:rFonts w:ascii="Times New Roman" w:hAnsi="Times New Roman"/>
          <w:bCs/>
          <w:color w:val="000000"/>
          <w:szCs w:val="20"/>
        </w:rPr>
        <w:t>її</w:t>
      </w:r>
      <w:proofErr w:type="spellEnd"/>
      <w:r w:rsidRPr="00E16672">
        <w:rPr>
          <w:rFonts w:ascii="Times New Roman" w:hAnsi="Times New Roman"/>
          <w:bCs/>
          <w:color w:val="000000"/>
          <w:szCs w:val="20"/>
        </w:rPr>
        <w:t xml:space="preserve"> </w:t>
      </w:r>
      <w:proofErr w:type="spellStart"/>
      <w:r w:rsidRPr="00E16672">
        <w:rPr>
          <w:rFonts w:ascii="Times New Roman" w:hAnsi="Times New Roman"/>
          <w:bCs/>
          <w:color w:val="000000"/>
          <w:szCs w:val="20"/>
        </w:rPr>
        <w:t>відображення</w:t>
      </w:r>
      <w:proofErr w:type="spellEnd"/>
      <w:r w:rsidRPr="00E16672">
        <w:rPr>
          <w:rFonts w:ascii="Times New Roman" w:hAnsi="Times New Roman"/>
          <w:bCs/>
          <w:color w:val="000000"/>
          <w:szCs w:val="20"/>
        </w:rPr>
        <w:t xml:space="preserve"> у </w:t>
      </w:r>
      <w:proofErr w:type="spellStart"/>
      <w:r w:rsidRPr="00E16672">
        <w:rPr>
          <w:rFonts w:ascii="Times New Roman" w:hAnsi="Times New Roman"/>
          <w:bCs/>
          <w:color w:val="000000"/>
          <w:szCs w:val="20"/>
        </w:rPr>
        <w:t>внутрішній</w:t>
      </w:r>
      <w:proofErr w:type="spellEnd"/>
      <w:r w:rsidRPr="00E16672">
        <w:rPr>
          <w:rFonts w:ascii="Times New Roman" w:hAnsi="Times New Roman"/>
          <w:bCs/>
          <w:color w:val="000000"/>
          <w:szCs w:val="20"/>
        </w:rPr>
        <w:t xml:space="preserve"> </w:t>
      </w:r>
      <w:proofErr w:type="spellStart"/>
      <w:r w:rsidRPr="00E16672">
        <w:rPr>
          <w:rFonts w:ascii="Times New Roman" w:hAnsi="Times New Roman"/>
          <w:bCs/>
          <w:color w:val="000000"/>
          <w:szCs w:val="20"/>
        </w:rPr>
        <w:t>системі</w:t>
      </w:r>
      <w:proofErr w:type="spellEnd"/>
      <w:r w:rsidRPr="00E16672">
        <w:rPr>
          <w:rFonts w:ascii="Times New Roman" w:hAnsi="Times New Roman"/>
          <w:bCs/>
          <w:color w:val="000000"/>
          <w:szCs w:val="20"/>
        </w:rPr>
        <w:t xml:space="preserve"> </w:t>
      </w:r>
      <w:proofErr w:type="spellStart"/>
      <w:r w:rsidRPr="00E16672">
        <w:rPr>
          <w:rFonts w:ascii="Times New Roman" w:hAnsi="Times New Roman"/>
          <w:bCs/>
          <w:color w:val="000000"/>
          <w:szCs w:val="20"/>
        </w:rPr>
        <w:t>обліку</w:t>
      </w:r>
      <w:proofErr w:type="spellEnd"/>
      <w:r w:rsidRPr="00E16672">
        <w:rPr>
          <w:rFonts w:ascii="Times New Roman" w:hAnsi="Times New Roman"/>
          <w:bCs/>
          <w:color w:val="000000"/>
          <w:szCs w:val="20"/>
        </w:rPr>
        <w:t xml:space="preserve"> </w:t>
      </w:r>
      <w:proofErr w:type="spellStart"/>
      <w:r w:rsidRPr="00E16672">
        <w:rPr>
          <w:rFonts w:ascii="Times New Roman" w:hAnsi="Times New Roman"/>
          <w:bCs/>
          <w:color w:val="000000"/>
          <w:szCs w:val="20"/>
        </w:rPr>
        <w:t>такої</w:t>
      </w:r>
      <w:proofErr w:type="spellEnd"/>
      <w:r w:rsidRPr="00E16672">
        <w:rPr>
          <w:rFonts w:ascii="Times New Roman" w:hAnsi="Times New Roman"/>
          <w:bCs/>
          <w:color w:val="000000"/>
          <w:szCs w:val="20"/>
        </w:rPr>
        <w:t xml:space="preserve"> особи, про </w:t>
      </w:r>
      <w:proofErr w:type="spellStart"/>
      <w:r w:rsidRPr="00E16672">
        <w:rPr>
          <w:rFonts w:ascii="Times New Roman" w:hAnsi="Times New Roman"/>
          <w:bCs/>
          <w:color w:val="000000"/>
          <w:szCs w:val="20"/>
        </w:rPr>
        <w:t>що</w:t>
      </w:r>
      <w:proofErr w:type="spellEnd"/>
      <w:r w:rsidRPr="00E16672">
        <w:rPr>
          <w:rFonts w:ascii="Times New Roman" w:hAnsi="Times New Roman"/>
          <w:bCs/>
          <w:color w:val="000000"/>
          <w:szCs w:val="20"/>
        </w:rPr>
        <w:t xml:space="preserve"> </w:t>
      </w:r>
      <w:proofErr w:type="spellStart"/>
      <w:r w:rsidRPr="00E16672">
        <w:rPr>
          <w:rFonts w:ascii="Times New Roman" w:hAnsi="Times New Roman"/>
          <w:bCs/>
          <w:color w:val="000000"/>
          <w:szCs w:val="20"/>
        </w:rPr>
        <w:t>Керуючий</w:t>
      </w:r>
      <w:proofErr w:type="spellEnd"/>
      <w:r w:rsidRPr="00E16672">
        <w:rPr>
          <w:rFonts w:ascii="Times New Roman" w:hAnsi="Times New Roman"/>
          <w:bCs/>
          <w:color w:val="000000"/>
          <w:szCs w:val="20"/>
        </w:rPr>
        <w:t xml:space="preserve"> </w:t>
      </w:r>
      <w:proofErr w:type="spellStart"/>
      <w:r w:rsidRPr="00E16672">
        <w:rPr>
          <w:rFonts w:ascii="Times New Roman" w:hAnsi="Times New Roman"/>
          <w:bCs/>
          <w:color w:val="000000"/>
          <w:szCs w:val="20"/>
        </w:rPr>
        <w:t>надає</w:t>
      </w:r>
      <w:proofErr w:type="spellEnd"/>
      <w:r w:rsidRPr="00E16672">
        <w:rPr>
          <w:rFonts w:ascii="Times New Roman" w:hAnsi="Times New Roman"/>
          <w:bCs/>
          <w:color w:val="000000"/>
          <w:szCs w:val="20"/>
        </w:rPr>
        <w:t xml:space="preserve"> </w:t>
      </w:r>
      <w:proofErr w:type="spellStart"/>
      <w:r w:rsidRPr="00E16672">
        <w:rPr>
          <w:rFonts w:ascii="Times New Roman" w:hAnsi="Times New Roman"/>
          <w:bCs/>
          <w:color w:val="000000"/>
          <w:szCs w:val="20"/>
        </w:rPr>
        <w:t>згоду</w:t>
      </w:r>
      <w:proofErr w:type="spellEnd"/>
      <w:r w:rsidRPr="00E16672">
        <w:rPr>
          <w:rFonts w:ascii="Times New Roman" w:hAnsi="Times New Roman"/>
          <w:bCs/>
          <w:color w:val="000000"/>
          <w:szCs w:val="20"/>
        </w:rPr>
        <w:t xml:space="preserve">, </w:t>
      </w:r>
      <w:proofErr w:type="spellStart"/>
      <w:r w:rsidRPr="00E16672">
        <w:rPr>
          <w:rFonts w:ascii="Times New Roman" w:hAnsi="Times New Roman"/>
          <w:bCs/>
          <w:color w:val="000000"/>
          <w:szCs w:val="20"/>
        </w:rPr>
        <w:t>підписавши</w:t>
      </w:r>
      <w:proofErr w:type="spellEnd"/>
      <w:r w:rsidRPr="00E16672">
        <w:rPr>
          <w:rFonts w:ascii="Times New Roman" w:hAnsi="Times New Roman"/>
          <w:bCs/>
          <w:color w:val="000000"/>
          <w:szCs w:val="20"/>
        </w:rPr>
        <w:t xml:space="preserve"> </w:t>
      </w:r>
      <w:proofErr w:type="spellStart"/>
      <w:r w:rsidRPr="00E16672">
        <w:rPr>
          <w:rFonts w:ascii="Times New Roman" w:hAnsi="Times New Roman"/>
          <w:bCs/>
          <w:color w:val="000000"/>
          <w:szCs w:val="20"/>
        </w:rPr>
        <w:t>цей</w:t>
      </w:r>
      <w:proofErr w:type="spellEnd"/>
      <w:r w:rsidRPr="00E16672">
        <w:rPr>
          <w:rFonts w:ascii="Times New Roman" w:hAnsi="Times New Roman"/>
          <w:bCs/>
          <w:color w:val="000000"/>
          <w:szCs w:val="20"/>
        </w:rPr>
        <w:t xml:space="preserve"> </w:t>
      </w:r>
      <w:proofErr w:type="spellStart"/>
      <w:r w:rsidRPr="00E16672">
        <w:rPr>
          <w:rFonts w:ascii="Times New Roman" w:hAnsi="Times New Roman"/>
          <w:bCs/>
          <w:color w:val="000000"/>
          <w:szCs w:val="20"/>
        </w:rPr>
        <w:t>Договір</w:t>
      </w:r>
      <w:proofErr w:type="spellEnd"/>
      <w:r w:rsidRPr="00E16672">
        <w:rPr>
          <w:rFonts w:ascii="Times New Roman" w:hAnsi="Times New Roman"/>
          <w:bCs/>
          <w:color w:val="000000"/>
          <w:szCs w:val="20"/>
        </w:rPr>
        <w:t>.</w:t>
      </w:r>
    </w:p>
    <w:p w14:paraId="1AE104B6" w14:textId="77777777" w:rsidR="007974E8" w:rsidRPr="00E16672" w:rsidRDefault="007974E8" w:rsidP="007974E8">
      <w:pPr>
        <w:pStyle w:val="af"/>
        <w:rPr>
          <w:rFonts w:ascii="Times New Roman" w:hAnsi="Times New Roman" w:cs="Times New Roman"/>
          <w:color w:val="000000"/>
        </w:rPr>
      </w:pPr>
    </w:p>
    <w:p w14:paraId="457E8C63" w14:textId="77777777" w:rsidR="007974E8" w:rsidRPr="00E16672" w:rsidRDefault="007974E8" w:rsidP="007974E8">
      <w:pPr>
        <w:pStyle w:val="af"/>
        <w:jc w:val="center"/>
        <w:rPr>
          <w:rFonts w:ascii="Times New Roman" w:hAnsi="Times New Roman" w:cs="Times New Roman"/>
          <w:b/>
          <w:bCs/>
          <w:color w:val="000000"/>
        </w:rPr>
      </w:pPr>
    </w:p>
    <w:p w14:paraId="22DC9CBD" w14:textId="77777777" w:rsidR="007974E8" w:rsidRPr="00E16672" w:rsidRDefault="007974E8" w:rsidP="007974E8">
      <w:pPr>
        <w:jc w:val="center"/>
        <w:rPr>
          <w:rFonts w:ascii="Times New Roman" w:hAnsi="Times New Roman"/>
          <w:b/>
          <w:bCs/>
          <w:color w:val="000000"/>
          <w:szCs w:val="20"/>
        </w:rPr>
      </w:pPr>
      <w:r w:rsidRPr="00E16672">
        <w:rPr>
          <w:rFonts w:ascii="Times New Roman" w:hAnsi="Times New Roman"/>
          <w:b/>
          <w:bCs/>
          <w:color w:val="000000"/>
          <w:szCs w:val="20"/>
        </w:rPr>
        <w:t xml:space="preserve">8. </w:t>
      </w:r>
      <w:proofErr w:type="spellStart"/>
      <w:r w:rsidRPr="00E16672">
        <w:rPr>
          <w:rFonts w:ascii="Times New Roman" w:hAnsi="Times New Roman"/>
          <w:b/>
          <w:bCs/>
          <w:color w:val="000000"/>
          <w:szCs w:val="20"/>
        </w:rPr>
        <w:t>Виконання</w:t>
      </w:r>
      <w:proofErr w:type="spellEnd"/>
      <w:r w:rsidRPr="00E16672">
        <w:rPr>
          <w:rFonts w:ascii="Times New Roman" w:hAnsi="Times New Roman"/>
          <w:b/>
          <w:bCs/>
          <w:color w:val="000000"/>
          <w:szCs w:val="20"/>
        </w:rPr>
        <w:t xml:space="preserve"> умов договору. Порядок </w:t>
      </w:r>
      <w:proofErr w:type="spellStart"/>
      <w:r w:rsidRPr="00E16672">
        <w:rPr>
          <w:rFonts w:ascii="Times New Roman" w:hAnsi="Times New Roman"/>
          <w:b/>
          <w:bCs/>
          <w:color w:val="000000"/>
          <w:szCs w:val="20"/>
        </w:rPr>
        <w:t>закриття</w:t>
      </w:r>
      <w:proofErr w:type="spellEnd"/>
      <w:r w:rsidRPr="00E16672">
        <w:rPr>
          <w:rFonts w:ascii="Times New Roman" w:hAnsi="Times New Roman"/>
          <w:b/>
          <w:bCs/>
          <w:color w:val="000000"/>
          <w:szCs w:val="20"/>
        </w:rPr>
        <w:t xml:space="preserve"> </w:t>
      </w:r>
      <w:proofErr w:type="spellStart"/>
      <w:r w:rsidRPr="00E16672">
        <w:rPr>
          <w:rFonts w:ascii="Times New Roman" w:hAnsi="Times New Roman"/>
          <w:b/>
          <w:bCs/>
          <w:color w:val="000000"/>
          <w:szCs w:val="20"/>
        </w:rPr>
        <w:t>рахунку</w:t>
      </w:r>
      <w:proofErr w:type="spellEnd"/>
      <w:r w:rsidRPr="00E16672">
        <w:rPr>
          <w:rFonts w:ascii="Times New Roman" w:hAnsi="Times New Roman"/>
          <w:b/>
          <w:bCs/>
          <w:color w:val="000000"/>
          <w:szCs w:val="20"/>
        </w:rPr>
        <w:t xml:space="preserve"> </w:t>
      </w:r>
      <w:r w:rsidR="00C22309" w:rsidRPr="00E16672">
        <w:rPr>
          <w:rFonts w:ascii="Times New Roman" w:hAnsi="Times New Roman"/>
          <w:b/>
          <w:bCs/>
          <w:color w:val="000000"/>
          <w:szCs w:val="20"/>
        </w:rPr>
        <w:t xml:space="preserve">в </w:t>
      </w:r>
      <w:proofErr w:type="spellStart"/>
      <w:r w:rsidR="00C22309" w:rsidRPr="00E16672">
        <w:rPr>
          <w:rFonts w:ascii="Times New Roman" w:hAnsi="Times New Roman"/>
          <w:b/>
          <w:bCs/>
          <w:color w:val="000000"/>
          <w:szCs w:val="20"/>
        </w:rPr>
        <w:t>цін</w:t>
      </w:r>
      <w:r w:rsidRPr="00E16672">
        <w:rPr>
          <w:rFonts w:ascii="Times New Roman" w:hAnsi="Times New Roman"/>
          <w:b/>
          <w:bCs/>
          <w:color w:val="000000"/>
          <w:szCs w:val="20"/>
        </w:rPr>
        <w:t>них</w:t>
      </w:r>
      <w:proofErr w:type="spellEnd"/>
      <w:r w:rsidRPr="00E16672">
        <w:rPr>
          <w:rFonts w:ascii="Times New Roman" w:hAnsi="Times New Roman"/>
          <w:b/>
          <w:bCs/>
          <w:color w:val="000000"/>
          <w:szCs w:val="20"/>
        </w:rPr>
        <w:t xml:space="preserve"> </w:t>
      </w:r>
      <w:proofErr w:type="spellStart"/>
      <w:r w:rsidRPr="00E16672">
        <w:rPr>
          <w:rFonts w:ascii="Times New Roman" w:hAnsi="Times New Roman"/>
          <w:b/>
          <w:bCs/>
          <w:color w:val="000000"/>
          <w:szCs w:val="20"/>
        </w:rPr>
        <w:t>паперах</w:t>
      </w:r>
      <w:proofErr w:type="spellEnd"/>
      <w:r w:rsidRPr="00E16672">
        <w:rPr>
          <w:rFonts w:ascii="Times New Roman" w:hAnsi="Times New Roman"/>
          <w:b/>
          <w:bCs/>
          <w:color w:val="000000"/>
          <w:szCs w:val="20"/>
        </w:rPr>
        <w:t xml:space="preserve">. </w:t>
      </w:r>
    </w:p>
    <w:p w14:paraId="0475D249" w14:textId="77777777" w:rsidR="007974E8" w:rsidRPr="00E16672" w:rsidRDefault="007974E8" w:rsidP="007974E8">
      <w:pPr>
        <w:jc w:val="center"/>
        <w:rPr>
          <w:rFonts w:ascii="Times New Roman" w:hAnsi="Times New Roman"/>
          <w:b/>
          <w:bCs/>
          <w:color w:val="000000"/>
          <w:szCs w:val="20"/>
        </w:rPr>
      </w:pPr>
      <w:proofErr w:type="spellStart"/>
      <w:r w:rsidRPr="00E16672">
        <w:rPr>
          <w:rFonts w:ascii="Times New Roman" w:hAnsi="Times New Roman"/>
          <w:b/>
          <w:bCs/>
          <w:color w:val="000000"/>
          <w:szCs w:val="20"/>
        </w:rPr>
        <w:t>Особливі</w:t>
      </w:r>
      <w:proofErr w:type="spellEnd"/>
      <w:r w:rsidRPr="00E16672">
        <w:rPr>
          <w:rFonts w:ascii="Times New Roman" w:hAnsi="Times New Roman"/>
          <w:b/>
          <w:bCs/>
          <w:color w:val="000000"/>
          <w:szCs w:val="20"/>
        </w:rPr>
        <w:t xml:space="preserve"> </w:t>
      </w:r>
      <w:proofErr w:type="spellStart"/>
      <w:r w:rsidRPr="00E16672">
        <w:rPr>
          <w:rFonts w:ascii="Times New Roman" w:hAnsi="Times New Roman"/>
          <w:b/>
          <w:bCs/>
          <w:color w:val="000000"/>
          <w:szCs w:val="20"/>
        </w:rPr>
        <w:t>умови</w:t>
      </w:r>
      <w:proofErr w:type="spellEnd"/>
      <w:r w:rsidRPr="00E16672">
        <w:rPr>
          <w:rFonts w:ascii="Times New Roman" w:hAnsi="Times New Roman"/>
          <w:b/>
          <w:bCs/>
          <w:color w:val="000000"/>
          <w:szCs w:val="20"/>
        </w:rPr>
        <w:t>.</w:t>
      </w:r>
    </w:p>
    <w:p w14:paraId="3710E2E8" w14:textId="77777777" w:rsidR="007974E8" w:rsidRPr="00E16672" w:rsidRDefault="007974E8" w:rsidP="007974E8">
      <w:pPr>
        <w:pStyle w:val="23"/>
        <w:ind w:firstLine="540"/>
        <w:rPr>
          <w:rFonts w:ascii="Times New Roman" w:hAnsi="Times New Roman"/>
          <w:color w:val="000000"/>
        </w:rPr>
      </w:pPr>
    </w:p>
    <w:p w14:paraId="1DDDB474" w14:textId="77777777" w:rsidR="007974E8" w:rsidRPr="00E16672" w:rsidRDefault="007974E8" w:rsidP="007974E8">
      <w:pPr>
        <w:pStyle w:val="23"/>
        <w:ind w:firstLine="540"/>
        <w:rPr>
          <w:rFonts w:ascii="Times New Roman" w:hAnsi="Times New Roman"/>
          <w:color w:val="000000"/>
        </w:rPr>
      </w:pPr>
      <w:r w:rsidRPr="00E16672">
        <w:rPr>
          <w:rFonts w:ascii="Times New Roman" w:hAnsi="Times New Roman"/>
          <w:color w:val="000000"/>
        </w:rPr>
        <w:t>8.1. Депозитарна установа має статус платника податку на прибуток підприємства на загальних умовах.</w:t>
      </w:r>
    </w:p>
    <w:p w14:paraId="5D607545" w14:textId="77777777" w:rsidR="007974E8" w:rsidRPr="00E16672" w:rsidRDefault="007974E8" w:rsidP="007974E8">
      <w:pPr>
        <w:ind w:firstLine="540"/>
        <w:rPr>
          <w:rFonts w:ascii="Times New Roman" w:hAnsi="Times New Roman"/>
          <w:color w:val="000000"/>
          <w:szCs w:val="20"/>
        </w:rPr>
      </w:pPr>
      <w:r w:rsidRPr="00E16672">
        <w:rPr>
          <w:rFonts w:ascii="Times New Roman" w:hAnsi="Times New Roman"/>
          <w:color w:val="000000"/>
          <w:szCs w:val="20"/>
        </w:rPr>
        <w:t>8.2.</w:t>
      </w:r>
      <w:r w:rsidRPr="00E16672">
        <w:rPr>
          <w:rFonts w:ascii="Times New Roman" w:hAnsi="Times New Roman"/>
          <w:color w:val="0000FF"/>
          <w:szCs w:val="20"/>
        </w:rPr>
        <w:t xml:space="preserve"> </w:t>
      </w:r>
      <w:proofErr w:type="spellStart"/>
      <w:r w:rsidRPr="00E16672">
        <w:rPr>
          <w:rFonts w:ascii="Times New Roman" w:hAnsi="Times New Roman"/>
          <w:color w:val="000000"/>
          <w:szCs w:val="20"/>
        </w:rPr>
        <w:t>Підписанням</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цього</w:t>
      </w:r>
      <w:proofErr w:type="spellEnd"/>
      <w:r w:rsidRPr="00E16672">
        <w:rPr>
          <w:rFonts w:ascii="Times New Roman" w:hAnsi="Times New Roman"/>
          <w:color w:val="000000"/>
          <w:szCs w:val="20"/>
        </w:rPr>
        <w:t xml:space="preserve"> Договору </w:t>
      </w:r>
      <w:proofErr w:type="spellStart"/>
      <w:r w:rsidRPr="00E16672">
        <w:rPr>
          <w:rFonts w:ascii="Times New Roman" w:hAnsi="Times New Roman"/>
          <w:color w:val="000000"/>
          <w:szCs w:val="20"/>
        </w:rPr>
        <w:t>Керуюч</w:t>
      </w:r>
      <w:r w:rsidRPr="00E16672">
        <w:rPr>
          <w:rFonts w:ascii="Times New Roman" w:hAnsi="Times New Roman"/>
          <w:color w:val="000000"/>
          <w:szCs w:val="20"/>
          <w:lang w:val="uk-UA"/>
        </w:rPr>
        <w:t>ий</w:t>
      </w:r>
      <w:proofErr w:type="spellEnd"/>
      <w:r w:rsidRPr="00E16672">
        <w:rPr>
          <w:rFonts w:ascii="Times New Roman" w:hAnsi="Times New Roman"/>
          <w:color w:val="000000"/>
          <w:szCs w:val="20"/>
          <w:lang w:val="uk-UA"/>
        </w:rPr>
        <w:t xml:space="preserve"> рахунком</w:t>
      </w:r>
      <w:r w:rsidRPr="00E16672">
        <w:rPr>
          <w:rFonts w:ascii="Times New Roman" w:hAnsi="Times New Roman"/>
          <w:bCs/>
          <w:color w:val="000000"/>
          <w:szCs w:val="20"/>
        </w:rPr>
        <w:t xml:space="preserve"> </w:t>
      </w:r>
      <w:proofErr w:type="spellStart"/>
      <w:r w:rsidRPr="00E16672">
        <w:rPr>
          <w:rFonts w:ascii="Times New Roman" w:hAnsi="Times New Roman"/>
          <w:color w:val="000000"/>
          <w:szCs w:val="20"/>
        </w:rPr>
        <w:t>підтверджує</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що</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ознайомлений</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із</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внутрішніми</w:t>
      </w:r>
      <w:proofErr w:type="spellEnd"/>
      <w:r w:rsidRPr="00E16672">
        <w:rPr>
          <w:rFonts w:ascii="Times New Roman" w:hAnsi="Times New Roman"/>
          <w:color w:val="000000"/>
          <w:szCs w:val="20"/>
        </w:rPr>
        <w:t xml:space="preserve"> документами </w:t>
      </w:r>
      <w:proofErr w:type="spellStart"/>
      <w:r w:rsidRPr="00E16672">
        <w:rPr>
          <w:rFonts w:ascii="Times New Roman" w:hAnsi="Times New Roman"/>
          <w:color w:val="000000"/>
          <w:szCs w:val="20"/>
        </w:rPr>
        <w:t>Депозитарної</w:t>
      </w:r>
      <w:proofErr w:type="spellEnd"/>
      <w:r w:rsidRPr="00E16672">
        <w:rPr>
          <w:rFonts w:ascii="Times New Roman" w:hAnsi="Times New Roman"/>
          <w:color w:val="000000"/>
          <w:szCs w:val="20"/>
        </w:rPr>
        <w:t xml:space="preserve"> установи, тарифами </w:t>
      </w:r>
      <w:proofErr w:type="spellStart"/>
      <w:r w:rsidRPr="00E16672">
        <w:rPr>
          <w:rFonts w:ascii="Times New Roman" w:hAnsi="Times New Roman"/>
          <w:color w:val="000000"/>
          <w:szCs w:val="20"/>
        </w:rPr>
        <w:t>Депозитарної</w:t>
      </w:r>
      <w:proofErr w:type="spellEnd"/>
      <w:r w:rsidRPr="00E16672">
        <w:rPr>
          <w:rFonts w:ascii="Times New Roman" w:hAnsi="Times New Roman"/>
          <w:color w:val="000000"/>
          <w:szCs w:val="20"/>
        </w:rPr>
        <w:t xml:space="preserve"> установи.</w:t>
      </w:r>
    </w:p>
    <w:p w14:paraId="587FBB92" w14:textId="77777777" w:rsidR="007974E8" w:rsidRPr="00E16672" w:rsidRDefault="007974E8" w:rsidP="00022F5F">
      <w:pPr>
        <w:tabs>
          <w:tab w:val="left" w:pos="1080"/>
          <w:tab w:val="left" w:pos="1134"/>
        </w:tabs>
        <w:jc w:val="left"/>
        <w:rPr>
          <w:rFonts w:ascii="Times New Roman" w:hAnsi="Times New Roman"/>
          <w:i/>
          <w:color w:val="000000"/>
          <w:szCs w:val="20"/>
        </w:rPr>
      </w:pPr>
      <w:proofErr w:type="spellStart"/>
      <w:r w:rsidRPr="00E16672">
        <w:rPr>
          <w:rFonts w:ascii="Times New Roman" w:hAnsi="Times New Roman"/>
          <w:bCs/>
          <w:color w:val="000000"/>
          <w:szCs w:val="20"/>
        </w:rPr>
        <w:t>Керуючий</w:t>
      </w:r>
      <w:proofErr w:type="spellEnd"/>
      <w:r w:rsidRPr="00E16672">
        <w:rPr>
          <w:rFonts w:ascii="Times New Roman" w:hAnsi="Times New Roman"/>
          <w:color w:val="000000"/>
          <w:szCs w:val="20"/>
          <w:lang w:val="uk-UA"/>
        </w:rPr>
        <w:t xml:space="preserve"> рахунком</w:t>
      </w:r>
      <w:r w:rsidRPr="00E16672">
        <w:rPr>
          <w:rFonts w:ascii="Times New Roman" w:hAnsi="Times New Roman"/>
          <w:bCs/>
          <w:color w:val="000000"/>
          <w:szCs w:val="20"/>
        </w:rPr>
        <w:t xml:space="preserve"> </w:t>
      </w:r>
      <w:proofErr w:type="spellStart"/>
      <w:r w:rsidRPr="00E16672">
        <w:rPr>
          <w:rFonts w:ascii="Times New Roman" w:hAnsi="Times New Roman"/>
          <w:color w:val="000000"/>
          <w:szCs w:val="20"/>
        </w:rPr>
        <w:t>підтверджує</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що</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Депозитарн</w:t>
      </w:r>
      <w:r w:rsidRPr="00E16672">
        <w:rPr>
          <w:rFonts w:ascii="Times New Roman" w:hAnsi="Times New Roman"/>
          <w:color w:val="000000"/>
          <w:szCs w:val="20"/>
          <w:lang w:val="uk-UA"/>
        </w:rPr>
        <w:t>ою</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установ</w:t>
      </w:r>
      <w:r w:rsidRPr="00E16672">
        <w:rPr>
          <w:rFonts w:ascii="Times New Roman" w:hAnsi="Times New Roman"/>
          <w:color w:val="000000"/>
          <w:szCs w:val="20"/>
          <w:lang w:val="uk-UA"/>
        </w:rPr>
        <w:t>ою</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надана</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йому</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інформація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зазначена</w:t>
      </w:r>
      <w:proofErr w:type="spellEnd"/>
      <w:r w:rsidRPr="00E16672">
        <w:rPr>
          <w:rFonts w:ascii="Times New Roman" w:hAnsi="Times New Roman"/>
          <w:color w:val="000000"/>
          <w:szCs w:val="20"/>
        </w:rPr>
        <w:t xml:space="preserve"> в </w:t>
      </w:r>
      <w:proofErr w:type="spellStart"/>
      <w:r w:rsidRPr="00E16672">
        <w:rPr>
          <w:rFonts w:ascii="Times New Roman" w:hAnsi="Times New Roman"/>
          <w:color w:val="000000"/>
          <w:szCs w:val="20"/>
        </w:rPr>
        <w:t>частині</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другій</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статті</w:t>
      </w:r>
      <w:proofErr w:type="spellEnd"/>
      <w:r w:rsidRPr="00E16672">
        <w:rPr>
          <w:rFonts w:ascii="Times New Roman" w:hAnsi="Times New Roman"/>
          <w:color w:val="000000"/>
          <w:szCs w:val="20"/>
        </w:rPr>
        <w:t xml:space="preserve"> 12 Закону </w:t>
      </w:r>
      <w:proofErr w:type="spellStart"/>
      <w:r w:rsidRPr="00E16672">
        <w:rPr>
          <w:rFonts w:ascii="Times New Roman" w:hAnsi="Times New Roman"/>
          <w:color w:val="000000"/>
          <w:szCs w:val="20"/>
        </w:rPr>
        <w:t>України</w:t>
      </w:r>
      <w:proofErr w:type="spellEnd"/>
      <w:r w:rsidRPr="00E16672">
        <w:rPr>
          <w:rFonts w:ascii="Times New Roman" w:hAnsi="Times New Roman"/>
          <w:color w:val="000000"/>
          <w:szCs w:val="20"/>
        </w:rPr>
        <w:t xml:space="preserve"> </w:t>
      </w:r>
      <w:r w:rsidR="00022F5F">
        <w:rPr>
          <w:rFonts w:ascii="Times New Roman" w:hAnsi="Times New Roman"/>
          <w:color w:val="000000"/>
          <w:szCs w:val="20"/>
        </w:rPr>
        <w:t>"</w:t>
      </w:r>
      <w:r w:rsidRPr="00E16672">
        <w:rPr>
          <w:rFonts w:ascii="Times New Roman" w:hAnsi="Times New Roman"/>
          <w:color w:val="000000"/>
          <w:szCs w:val="20"/>
        </w:rPr>
        <w:t xml:space="preserve">Про </w:t>
      </w:r>
      <w:proofErr w:type="spellStart"/>
      <w:r w:rsidRPr="00E16672">
        <w:rPr>
          <w:rFonts w:ascii="Times New Roman" w:hAnsi="Times New Roman"/>
          <w:color w:val="000000"/>
          <w:szCs w:val="20"/>
        </w:rPr>
        <w:t>фінансові</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послуги</w:t>
      </w:r>
      <w:proofErr w:type="spellEnd"/>
      <w:r w:rsidRPr="00E16672">
        <w:rPr>
          <w:rFonts w:ascii="Times New Roman" w:hAnsi="Times New Roman"/>
          <w:color w:val="000000"/>
          <w:szCs w:val="20"/>
        </w:rPr>
        <w:t xml:space="preserve"> та </w:t>
      </w:r>
      <w:proofErr w:type="spellStart"/>
      <w:r w:rsidRPr="00E16672">
        <w:rPr>
          <w:rFonts w:ascii="Times New Roman" w:hAnsi="Times New Roman"/>
          <w:color w:val="000000"/>
          <w:szCs w:val="20"/>
        </w:rPr>
        <w:t>державне</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регулювання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ринків</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фінансових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послуг</w:t>
      </w:r>
      <w:proofErr w:type="spellEnd"/>
      <w:r w:rsidR="00022F5F">
        <w:rPr>
          <w:rFonts w:ascii="Times New Roman" w:hAnsi="Times New Roman"/>
          <w:color w:val="000000"/>
          <w:szCs w:val="20"/>
        </w:rPr>
        <w:t>"</w:t>
      </w:r>
      <w:r w:rsidRPr="00E16672">
        <w:rPr>
          <w:rFonts w:ascii="Times New Roman" w:hAnsi="Times New Roman"/>
          <w:color w:val="000000"/>
          <w:szCs w:val="20"/>
        </w:rPr>
        <w:t>.</w:t>
      </w:r>
      <w:r w:rsidRPr="00E16672">
        <w:rPr>
          <w:rFonts w:ascii="Times New Roman" w:hAnsi="Times New Roman"/>
          <w:i/>
          <w:color w:val="000000"/>
          <w:szCs w:val="20"/>
        </w:rPr>
        <w:t xml:space="preserve"> </w:t>
      </w:r>
    </w:p>
    <w:p w14:paraId="374BB245" w14:textId="77777777" w:rsidR="007974E8" w:rsidRPr="00E16672" w:rsidRDefault="007974E8" w:rsidP="007974E8">
      <w:pPr>
        <w:pStyle w:val="ae"/>
        <w:tabs>
          <w:tab w:val="left" w:pos="1080"/>
          <w:tab w:val="left" w:pos="1134"/>
        </w:tabs>
        <w:ind w:firstLine="540"/>
        <w:rPr>
          <w:rFonts w:ascii="Times New Roman" w:hAnsi="Times New Roman"/>
          <w:color w:val="000000"/>
          <w:szCs w:val="20"/>
        </w:rPr>
      </w:pPr>
      <w:r w:rsidRPr="00E16672">
        <w:rPr>
          <w:rFonts w:ascii="Times New Roman" w:hAnsi="Times New Roman"/>
          <w:color w:val="000000"/>
          <w:szCs w:val="20"/>
        </w:rPr>
        <w:t>Інформація, що була надана Керуючому рахунком, забезпечила правильне розуміння Керуючим рахунком суті фінансової послуги, що має надаватись, без нав'язування її придбання.</w:t>
      </w:r>
    </w:p>
    <w:p w14:paraId="6E02DFEC" w14:textId="77777777" w:rsidR="007974E8" w:rsidRPr="00E16672" w:rsidRDefault="007974E8" w:rsidP="00022F5F">
      <w:pPr>
        <w:pStyle w:val="ae"/>
        <w:tabs>
          <w:tab w:val="left" w:pos="426"/>
        </w:tabs>
        <w:ind w:firstLine="550"/>
        <w:jc w:val="left"/>
        <w:rPr>
          <w:rFonts w:ascii="Times New Roman" w:hAnsi="Times New Roman"/>
          <w:color w:val="000000"/>
          <w:szCs w:val="20"/>
        </w:rPr>
      </w:pPr>
      <w:r w:rsidRPr="00E16672">
        <w:rPr>
          <w:rFonts w:ascii="Times New Roman" w:hAnsi="Times New Roman"/>
          <w:color w:val="000000"/>
          <w:szCs w:val="20"/>
        </w:rPr>
        <w:t xml:space="preserve">8.3. На виконання вимог Закону України </w:t>
      </w:r>
      <w:r w:rsidR="00022F5F">
        <w:rPr>
          <w:rFonts w:ascii="Times New Roman" w:hAnsi="Times New Roman"/>
          <w:color w:val="000000"/>
          <w:szCs w:val="20"/>
        </w:rPr>
        <w:t>"</w:t>
      </w:r>
      <w:r w:rsidRPr="00E16672">
        <w:rPr>
          <w:rFonts w:ascii="Times New Roman" w:hAnsi="Times New Roman"/>
          <w:color w:val="000000"/>
          <w:szCs w:val="20"/>
        </w:rPr>
        <w:t>Про захист персональних даних</w:t>
      </w:r>
      <w:r w:rsidR="00022F5F">
        <w:rPr>
          <w:rFonts w:ascii="Times New Roman" w:hAnsi="Times New Roman"/>
          <w:color w:val="000000"/>
          <w:szCs w:val="20"/>
        </w:rPr>
        <w:t>"</w:t>
      </w:r>
      <w:r w:rsidRPr="00E16672">
        <w:rPr>
          <w:rFonts w:ascii="Times New Roman" w:hAnsi="Times New Roman"/>
          <w:color w:val="000000"/>
          <w:szCs w:val="20"/>
        </w:rPr>
        <w:t xml:space="preserve"> від 01.06.2010р. N 2297-VI у разі отримання Депозитарною установою інформації, яка стосується персональних даних фізичних осіб, Сторона, що надала такі дані підписанням цього Договору підтверджує легітимність їх отримання, та право на передання Депозитарній установі таких </w:t>
      </w:r>
      <w:r w:rsidRPr="00E16672">
        <w:rPr>
          <w:rFonts w:ascii="Times New Roman" w:hAnsi="Times New Roman"/>
          <w:color w:val="000000"/>
          <w:szCs w:val="20"/>
        </w:rPr>
        <w:lastRenderedPageBreak/>
        <w:t xml:space="preserve">даних для використання (обробки) Депозитарною установою у випадках, передбачених законодавством, а також – передання Депозитарною установою таких даних третім особам у випадках встановлених чинним законодавством України. </w:t>
      </w:r>
    </w:p>
    <w:p w14:paraId="7F555F49" w14:textId="77777777" w:rsidR="002C163A" w:rsidRDefault="007974E8" w:rsidP="002C163A">
      <w:pPr>
        <w:ind w:firstLine="540"/>
        <w:rPr>
          <w:rFonts w:ascii="Times New Roman" w:hAnsi="Times New Roman"/>
          <w:color w:val="000000"/>
          <w:szCs w:val="20"/>
          <w:lang w:val="uk-UA"/>
        </w:rPr>
      </w:pPr>
      <w:r w:rsidRPr="00E16672">
        <w:rPr>
          <w:rFonts w:ascii="Times New Roman" w:hAnsi="Times New Roman"/>
          <w:color w:val="000000"/>
          <w:szCs w:val="20"/>
        </w:rPr>
        <w:t>8.</w:t>
      </w:r>
      <w:r w:rsidR="00A72D18" w:rsidRPr="00E16672">
        <w:rPr>
          <w:rFonts w:ascii="Times New Roman" w:hAnsi="Times New Roman"/>
          <w:color w:val="000000"/>
          <w:szCs w:val="20"/>
        </w:rPr>
        <w:t>4</w:t>
      </w:r>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Додаткові</w:t>
      </w:r>
      <w:proofErr w:type="spellEnd"/>
      <w:r w:rsidRPr="00E16672">
        <w:rPr>
          <w:rFonts w:ascii="Times New Roman" w:hAnsi="Times New Roman"/>
          <w:color w:val="000000"/>
          <w:szCs w:val="20"/>
        </w:rPr>
        <w:t xml:space="preserve"> угоди </w:t>
      </w:r>
      <w:proofErr w:type="spellStart"/>
      <w:r w:rsidRPr="00E16672">
        <w:rPr>
          <w:rFonts w:ascii="Times New Roman" w:hAnsi="Times New Roman"/>
          <w:color w:val="000000"/>
          <w:szCs w:val="20"/>
        </w:rPr>
        <w:t>набирають</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чинності</w:t>
      </w:r>
      <w:proofErr w:type="spellEnd"/>
      <w:r w:rsidRPr="00E16672">
        <w:rPr>
          <w:rFonts w:ascii="Times New Roman" w:hAnsi="Times New Roman"/>
          <w:color w:val="000000"/>
          <w:szCs w:val="20"/>
        </w:rPr>
        <w:t xml:space="preserve"> з моменту </w:t>
      </w:r>
      <w:proofErr w:type="spellStart"/>
      <w:r w:rsidRPr="00E16672">
        <w:rPr>
          <w:rFonts w:ascii="Times New Roman" w:hAnsi="Times New Roman"/>
          <w:color w:val="000000"/>
          <w:szCs w:val="20"/>
        </w:rPr>
        <w:t>їх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підписання</w:t>
      </w:r>
      <w:proofErr w:type="spellEnd"/>
      <w:r w:rsidRPr="00E16672">
        <w:rPr>
          <w:rFonts w:ascii="Times New Roman" w:hAnsi="Times New Roman"/>
          <w:color w:val="000000"/>
          <w:szCs w:val="20"/>
        </w:rPr>
        <w:t xml:space="preserve"> та є</w:t>
      </w:r>
      <w:r w:rsidR="002C163A">
        <w:rPr>
          <w:rFonts w:ascii="Times New Roman" w:hAnsi="Times New Roman"/>
          <w:color w:val="000000"/>
          <w:szCs w:val="20"/>
        </w:rPr>
        <w:t xml:space="preserve"> </w:t>
      </w:r>
      <w:proofErr w:type="spellStart"/>
      <w:r w:rsidR="002C163A">
        <w:rPr>
          <w:rFonts w:ascii="Times New Roman" w:hAnsi="Times New Roman"/>
          <w:color w:val="000000"/>
          <w:szCs w:val="20"/>
        </w:rPr>
        <w:t>невід’ємною</w:t>
      </w:r>
      <w:proofErr w:type="spellEnd"/>
      <w:r w:rsidR="002C163A">
        <w:rPr>
          <w:rFonts w:ascii="Times New Roman" w:hAnsi="Times New Roman"/>
          <w:color w:val="000000"/>
          <w:szCs w:val="20"/>
        </w:rPr>
        <w:t xml:space="preserve"> </w:t>
      </w:r>
      <w:proofErr w:type="spellStart"/>
      <w:r w:rsidR="002C163A">
        <w:rPr>
          <w:rFonts w:ascii="Times New Roman" w:hAnsi="Times New Roman"/>
          <w:color w:val="000000"/>
          <w:szCs w:val="20"/>
        </w:rPr>
        <w:t>частиною</w:t>
      </w:r>
      <w:proofErr w:type="spellEnd"/>
      <w:r w:rsidR="002C163A">
        <w:rPr>
          <w:rFonts w:ascii="Times New Roman" w:hAnsi="Times New Roman"/>
          <w:color w:val="000000"/>
          <w:szCs w:val="20"/>
        </w:rPr>
        <w:t xml:space="preserve"> Договору</w:t>
      </w:r>
      <w:r w:rsidR="002C163A">
        <w:rPr>
          <w:rFonts w:ascii="Times New Roman" w:hAnsi="Times New Roman"/>
          <w:color w:val="000000"/>
          <w:szCs w:val="20"/>
          <w:lang w:val="uk-UA"/>
        </w:rPr>
        <w:t>.</w:t>
      </w:r>
    </w:p>
    <w:p w14:paraId="09356BC8" w14:textId="77777777" w:rsidR="007974E8" w:rsidRPr="00E16672" w:rsidRDefault="007974E8" w:rsidP="002C163A">
      <w:pPr>
        <w:ind w:firstLine="540"/>
        <w:rPr>
          <w:rFonts w:ascii="Times New Roman" w:hAnsi="Times New Roman"/>
          <w:color w:val="000000"/>
          <w:szCs w:val="20"/>
        </w:rPr>
      </w:pPr>
      <w:r w:rsidRPr="00E16672">
        <w:rPr>
          <w:rFonts w:ascii="Times New Roman" w:hAnsi="Times New Roman"/>
          <w:color w:val="000000"/>
          <w:szCs w:val="20"/>
        </w:rPr>
        <w:t>8.</w:t>
      </w:r>
      <w:r w:rsidR="00A72D18" w:rsidRPr="00E16672">
        <w:rPr>
          <w:rFonts w:ascii="Times New Roman" w:hAnsi="Times New Roman"/>
          <w:color w:val="000000"/>
          <w:szCs w:val="20"/>
        </w:rPr>
        <w:t>5</w:t>
      </w:r>
      <w:r w:rsidRPr="00E16672">
        <w:rPr>
          <w:rFonts w:ascii="Times New Roman" w:hAnsi="Times New Roman"/>
          <w:color w:val="000000"/>
          <w:szCs w:val="20"/>
        </w:rPr>
        <w:t xml:space="preserve">. </w:t>
      </w:r>
      <w:r w:rsidRPr="00E16672">
        <w:rPr>
          <w:rFonts w:ascii="Times New Roman" w:hAnsi="Times New Roman"/>
          <w:color w:val="000000"/>
          <w:szCs w:val="20"/>
          <w:lang w:val="uk-UA"/>
        </w:rPr>
        <w:t>При виконанні даного Договору Сторони керуються умовами Договору</w:t>
      </w:r>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внутрішніх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документів</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Депозитарної</w:t>
      </w:r>
      <w:proofErr w:type="spellEnd"/>
      <w:r w:rsidRPr="00E16672">
        <w:rPr>
          <w:rFonts w:ascii="Times New Roman" w:hAnsi="Times New Roman"/>
          <w:color w:val="000000"/>
          <w:szCs w:val="20"/>
        </w:rPr>
        <w:t xml:space="preserve"> установи </w:t>
      </w:r>
      <w:r w:rsidRPr="00E16672">
        <w:rPr>
          <w:rFonts w:ascii="Times New Roman" w:hAnsi="Times New Roman"/>
          <w:color w:val="000000"/>
          <w:szCs w:val="20"/>
          <w:lang w:val="uk-UA"/>
        </w:rPr>
        <w:t>та законодавством України.</w:t>
      </w:r>
      <w:r w:rsidRPr="00E16672">
        <w:rPr>
          <w:rFonts w:ascii="Times New Roman" w:hAnsi="Times New Roman"/>
          <w:color w:val="000000"/>
          <w:szCs w:val="20"/>
        </w:rPr>
        <w:t>.</w:t>
      </w:r>
    </w:p>
    <w:p w14:paraId="61749FA9" w14:textId="77777777" w:rsidR="007974E8" w:rsidRPr="00E16672" w:rsidRDefault="007974E8" w:rsidP="007974E8">
      <w:pPr>
        <w:rPr>
          <w:rFonts w:ascii="Times New Roman" w:hAnsi="Times New Roman"/>
          <w:color w:val="000000"/>
          <w:szCs w:val="20"/>
        </w:rPr>
      </w:pPr>
      <w:r w:rsidRPr="00E16672">
        <w:rPr>
          <w:rFonts w:ascii="Times New Roman" w:hAnsi="Times New Roman"/>
          <w:color w:val="000000"/>
          <w:szCs w:val="20"/>
        </w:rPr>
        <w:t>8.</w:t>
      </w:r>
      <w:r w:rsidR="00A72D18" w:rsidRPr="00E16672">
        <w:rPr>
          <w:rFonts w:ascii="Times New Roman" w:hAnsi="Times New Roman"/>
          <w:color w:val="000000"/>
          <w:szCs w:val="20"/>
        </w:rPr>
        <w:t>6</w:t>
      </w:r>
      <w:r w:rsidRPr="00E16672">
        <w:rPr>
          <w:rFonts w:ascii="Times New Roman" w:hAnsi="Times New Roman"/>
          <w:color w:val="000000"/>
          <w:szCs w:val="20"/>
        </w:rPr>
        <w:t xml:space="preserve">. </w:t>
      </w:r>
      <w:proofErr w:type="spellStart"/>
      <w:r w:rsidRPr="00E16672">
        <w:rPr>
          <w:rFonts w:ascii="Times New Roman" w:hAnsi="Times New Roman"/>
          <w:bCs/>
          <w:color w:val="000000"/>
          <w:szCs w:val="20"/>
        </w:rPr>
        <w:t>Керуючий</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бере</w:t>
      </w:r>
      <w:proofErr w:type="spellEnd"/>
      <w:r w:rsidRPr="00E16672">
        <w:rPr>
          <w:rFonts w:ascii="Times New Roman" w:hAnsi="Times New Roman"/>
          <w:color w:val="000000"/>
          <w:szCs w:val="20"/>
        </w:rPr>
        <w:t xml:space="preserve"> на себе </w:t>
      </w:r>
      <w:proofErr w:type="spellStart"/>
      <w:r w:rsidRPr="00E16672">
        <w:rPr>
          <w:rFonts w:ascii="Times New Roman" w:hAnsi="Times New Roman"/>
          <w:color w:val="000000"/>
          <w:szCs w:val="20"/>
        </w:rPr>
        <w:t>відповідальність</w:t>
      </w:r>
      <w:proofErr w:type="spellEnd"/>
      <w:r w:rsidRPr="00E16672">
        <w:rPr>
          <w:rFonts w:ascii="Times New Roman" w:hAnsi="Times New Roman"/>
          <w:color w:val="000000"/>
          <w:szCs w:val="20"/>
        </w:rPr>
        <w:t xml:space="preserve"> за </w:t>
      </w:r>
      <w:proofErr w:type="spellStart"/>
      <w:r w:rsidRPr="00E16672">
        <w:rPr>
          <w:rFonts w:ascii="Times New Roman" w:hAnsi="Times New Roman"/>
          <w:color w:val="000000"/>
          <w:szCs w:val="20"/>
        </w:rPr>
        <w:t>достовірність</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інформації</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що</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міститься</w:t>
      </w:r>
      <w:proofErr w:type="spellEnd"/>
      <w:r w:rsidRPr="00E16672">
        <w:rPr>
          <w:rFonts w:ascii="Times New Roman" w:hAnsi="Times New Roman"/>
          <w:color w:val="000000"/>
          <w:szCs w:val="20"/>
        </w:rPr>
        <w:t xml:space="preserve"> в документах, </w:t>
      </w:r>
      <w:proofErr w:type="spellStart"/>
      <w:r w:rsidRPr="00E16672">
        <w:rPr>
          <w:rFonts w:ascii="Times New Roman" w:hAnsi="Times New Roman"/>
          <w:color w:val="000000"/>
          <w:szCs w:val="20"/>
        </w:rPr>
        <w:t>які</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подаються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Керуючим</w:t>
      </w:r>
      <w:proofErr w:type="spellEnd"/>
      <w:r w:rsidRPr="00E16672">
        <w:rPr>
          <w:rFonts w:ascii="Times New Roman" w:hAnsi="Times New Roman"/>
          <w:color w:val="000000"/>
          <w:szCs w:val="20"/>
        </w:rPr>
        <w:t xml:space="preserve"> </w:t>
      </w:r>
      <w:r w:rsidRPr="00E16672">
        <w:rPr>
          <w:rFonts w:ascii="Times New Roman" w:hAnsi="Times New Roman"/>
          <w:color w:val="000000"/>
          <w:szCs w:val="20"/>
          <w:lang w:val="uk-UA"/>
        </w:rPr>
        <w:t>рахунком</w:t>
      </w:r>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Депозитарній</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установі</w:t>
      </w:r>
      <w:proofErr w:type="spellEnd"/>
      <w:r w:rsidRPr="00E16672">
        <w:rPr>
          <w:rFonts w:ascii="Times New Roman" w:hAnsi="Times New Roman"/>
          <w:color w:val="000000"/>
          <w:szCs w:val="20"/>
        </w:rPr>
        <w:t xml:space="preserve">, у тому </w:t>
      </w:r>
      <w:proofErr w:type="spellStart"/>
      <w:r w:rsidRPr="00E16672">
        <w:rPr>
          <w:rFonts w:ascii="Times New Roman" w:hAnsi="Times New Roman"/>
          <w:color w:val="000000"/>
          <w:szCs w:val="20"/>
        </w:rPr>
        <w:t>числі</w:t>
      </w:r>
      <w:proofErr w:type="spellEnd"/>
      <w:r w:rsidRPr="00E16672">
        <w:rPr>
          <w:rFonts w:ascii="Times New Roman" w:hAnsi="Times New Roman"/>
          <w:color w:val="000000"/>
          <w:szCs w:val="20"/>
        </w:rPr>
        <w:t xml:space="preserve"> документах, за </w:t>
      </w:r>
      <w:proofErr w:type="spellStart"/>
      <w:r w:rsidRPr="00E16672">
        <w:rPr>
          <w:rFonts w:ascii="Times New Roman" w:hAnsi="Times New Roman"/>
          <w:color w:val="000000"/>
          <w:szCs w:val="20"/>
        </w:rPr>
        <w:t>якими</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Депозитарній</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установі</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Керуючим</w:t>
      </w:r>
      <w:proofErr w:type="spellEnd"/>
      <w:r w:rsidRPr="00E16672">
        <w:rPr>
          <w:rFonts w:ascii="Times New Roman" w:hAnsi="Times New Roman"/>
          <w:color w:val="000000"/>
          <w:szCs w:val="20"/>
        </w:rPr>
        <w:t xml:space="preserve"> </w:t>
      </w:r>
      <w:r w:rsidRPr="00E16672">
        <w:rPr>
          <w:rFonts w:ascii="Times New Roman" w:hAnsi="Times New Roman"/>
          <w:color w:val="000000"/>
          <w:szCs w:val="20"/>
          <w:lang w:val="uk-UA"/>
        </w:rPr>
        <w:t>рахунком</w:t>
      </w:r>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доручається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проведення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депозитарних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операцій</w:t>
      </w:r>
      <w:proofErr w:type="spellEnd"/>
      <w:r w:rsidRPr="00E16672">
        <w:rPr>
          <w:rFonts w:ascii="Times New Roman" w:hAnsi="Times New Roman"/>
          <w:color w:val="000000"/>
          <w:szCs w:val="20"/>
        </w:rPr>
        <w:t xml:space="preserve"> на </w:t>
      </w:r>
      <w:proofErr w:type="spellStart"/>
      <w:r w:rsidRPr="00E16672">
        <w:rPr>
          <w:rFonts w:ascii="Times New Roman" w:hAnsi="Times New Roman"/>
          <w:color w:val="000000"/>
          <w:szCs w:val="20"/>
        </w:rPr>
        <w:t>рахунку</w:t>
      </w:r>
      <w:proofErr w:type="spellEnd"/>
      <w:r w:rsidRPr="00E16672">
        <w:rPr>
          <w:rFonts w:ascii="Times New Roman" w:hAnsi="Times New Roman"/>
          <w:color w:val="000000"/>
          <w:szCs w:val="20"/>
        </w:rPr>
        <w:t xml:space="preserve"> Депонента.</w:t>
      </w:r>
    </w:p>
    <w:p w14:paraId="521E0596" w14:textId="77777777" w:rsidR="007974E8" w:rsidRPr="00E16672" w:rsidRDefault="007974E8" w:rsidP="007974E8">
      <w:pPr>
        <w:rPr>
          <w:rFonts w:ascii="Times New Roman" w:hAnsi="Times New Roman"/>
          <w:color w:val="000000"/>
          <w:szCs w:val="20"/>
        </w:rPr>
      </w:pPr>
      <w:r w:rsidRPr="00E16672">
        <w:rPr>
          <w:rFonts w:ascii="Times New Roman" w:hAnsi="Times New Roman"/>
          <w:color w:val="000000"/>
          <w:szCs w:val="20"/>
        </w:rPr>
        <w:t>8.</w:t>
      </w:r>
      <w:r w:rsidR="00A72D18" w:rsidRPr="00E16672">
        <w:rPr>
          <w:rFonts w:ascii="Times New Roman" w:hAnsi="Times New Roman"/>
          <w:color w:val="000000"/>
          <w:szCs w:val="20"/>
        </w:rPr>
        <w:t>7</w:t>
      </w:r>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Укладення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цього</w:t>
      </w:r>
      <w:proofErr w:type="spellEnd"/>
      <w:r w:rsidRPr="00E16672">
        <w:rPr>
          <w:rFonts w:ascii="Times New Roman" w:hAnsi="Times New Roman"/>
          <w:color w:val="000000"/>
          <w:szCs w:val="20"/>
        </w:rPr>
        <w:t xml:space="preserve"> Договору не </w:t>
      </w:r>
      <w:proofErr w:type="spellStart"/>
      <w:r w:rsidRPr="00E16672">
        <w:rPr>
          <w:rFonts w:ascii="Times New Roman" w:hAnsi="Times New Roman"/>
          <w:color w:val="000000"/>
          <w:szCs w:val="20"/>
        </w:rPr>
        <w:t>тягне</w:t>
      </w:r>
      <w:proofErr w:type="spellEnd"/>
      <w:r w:rsidRPr="00E16672">
        <w:rPr>
          <w:rFonts w:ascii="Times New Roman" w:hAnsi="Times New Roman"/>
          <w:color w:val="000000"/>
          <w:szCs w:val="20"/>
        </w:rPr>
        <w:t xml:space="preserve"> за собою переходу прав на </w:t>
      </w:r>
      <w:proofErr w:type="spellStart"/>
      <w:r w:rsidRPr="00E16672">
        <w:rPr>
          <w:rFonts w:ascii="Times New Roman" w:hAnsi="Times New Roman"/>
          <w:color w:val="000000"/>
          <w:szCs w:val="20"/>
        </w:rPr>
        <w:t>цінні</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папери</w:t>
      </w:r>
      <w:proofErr w:type="spellEnd"/>
      <w:r w:rsidRPr="00E16672">
        <w:rPr>
          <w:rFonts w:ascii="Times New Roman" w:hAnsi="Times New Roman"/>
          <w:color w:val="000000"/>
          <w:szCs w:val="20"/>
        </w:rPr>
        <w:t xml:space="preserve"> та прав за </w:t>
      </w:r>
      <w:proofErr w:type="spellStart"/>
      <w:r w:rsidRPr="00E16672">
        <w:rPr>
          <w:rFonts w:ascii="Times New Roman" w:hAnsi="Times New Roman"/>
          <w:color w:val="000000"/>
          <w:szCs w:val="20"/>
        </w:rPr>
        <w:t>цінними</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паперами</w:t>
      </w:r>
      <w:proofErr w:type="spellEnd"/>
      <w:r w:rsidRPr="00E16672">
        <w:rPr>
          <w:rFonts w:ascii="Times New Roman" w:hAnsi="Times New Roman"/>
          <w:color w:val="000000"/>
          <w:szCs w:val="20"/>
        </w:rPr>
        <w:t xml:space="preserve"> Депонента до </w:t>
      </w:r>
      <w:proofErr w:type="spellStart"/>
      <w:r w:rsidRPr="00E16672">
        <w:rPr>
          <w:rFonts w:ascii="Times New Roman" w:hAnsi="Times New Roman"/>
          <w:color w:val="000000"/>
          <w:szCs w:val="20"/>
        </w:rPr>
        <w:t>Депозитарної</w:t>
      </w:r>
      <w:proofErr w:type="spellEnd"/>
      <w:r w:rsidRPr="00E16672">
        <w:rPr>
          <w:rFonts w:ascii="Times New Roman" w:hAnsi="Times New Roman"/>
          <w:color w:val="000000"/>
          <w:szCs w:val="20"/>
        </w:rPr>
        <w:t xml:space="preserve"> установи.</w:t>
      </w:r>
    </w:p>
    <w:p w14:paraId="64C93A9C" w14:textId="77777777" w:rsidR="007974E8" w:rsidRPr="00E16672" w:rsidRDefault="007974E8" w:rsidP="007974E8">
      <w:pPr>
        <w:pStyle w:val="af"/>
        <w:rPr>
          <w:rFonts w:ascii="Times New Roman" w:hAnsi="Times New Roman" w:cs="Times New Roman"/>
          <w:color w:val="000000"/>
        </w:rPr>
      </w:pPr>
      <w:r w:rsidRPr="00E16672">
        <w:rPr>
          <w:rFonts w:ascii="Times New Roman" w:hAnsi="Times New Roman" w:cs="Times New Roman"/>
          <w:color w:val="000000"/>
        </w:rPr>
        <w:t>8.</w:t>
      </w:r>
      <w:r w:rsidR="00A72D18" w:rsidRPr="00E16672">
        <w:rPr>
          <w:rFonts w:ascii="Times New Roman" w:hAnsi="Times New Roman" w:cs="Times New Roman"/>
          <w:color w:val="000000"/>
          <w:lang w:val="ru-RU"/>
        </w:rPr>
        <w:t>8</w:t>
      </w:r>
      <w:r w:rsidRPr="00E16672">
        <w:rPr>
          <w:rFonts w:ascii="Times New Roman" w:hAnsi="Times New Roman" w:cs="Times New Roman"/>
          <w:color w:val="000000"/>
        </w:rPr>
        <w:t xml:space="preserve">. Для набуття у Депозитарній установі статусу керуючого рахунком за рахунком </w:t>
      </w:r>
      <w:r w:rsidR="00C22309" w:rsidRPr="00E16672">
        <w:rPr>
          <w:rFonts w:ascii="Times New Roman" w:hAnsi="Times New Roman" w:cs="Times New Roman"/>
          <w:color w:val="000000"/>
        </w:rPr>
        <w:t>в цін</w:t>
      </w:r>
      <w:r w:rsidRPr="00E16672">
        <w:rPr>
          <w:rFonts w:ascii="Times New Roman" w:hAnsi="Times New Roman" w:cs="Times New Roman"/>
          <w:color w:val="000000"/>
        </w:rPr>
        <w:t xml:space="preserve">них паперах Депонента іншим суб'єктом управління об'єктами державної власності, який відповідно до законодавства виконує або виконуватиме функції з управління належними </w:t>
      </w:r>
      <w:proofErr w:type="spellStart"/>
      <w:r w:rsidRPr="00E16672">
        <w:rPr>
          <w:rFonts w:ascii="Times New Roman" w:hAnsi="Times New Roman" w:cs="Times New Roman"/>
          <w:color w:val="000000"/>
        </w:rPr>
        <w:t>Депонент</w:t>
      </w:r>
      <w:r w:rsidR="00C22309" w:rsidRPr="00E16672">
        <w:rPr>
          <w:rFonts w:ascii="Times New Roman" w:hAnsi="Times New Roman" w:cs="Times New Roman"/>
          <w:color w:val="000000"/>
        </w:rPr>
        <w:t>в</w:t>
      </w:r>
      <w:proofErr w:type="spellEnd"/>
      <w:r w:rsidR="00C22309" w:rsidRPr="00E16672">
        <w:rPr>
          <w:rFonts w:ascii="Times New Roman" w:hAnsi="Times New Roman" w:cs="Times New Roman"/>
          <w:color w:val="000000"/>
        </w:rPr>
        <w:t xml:space="preserve"> цін</w:t>
      </w:r>
      <w:r w:rsidRPr="00E16672">
        <w:rPr>
          <w:rFonts w:ascii="Times New Roman" w:hAnsi="Times New Roman" w:cs="Times New Roman"/>
          <w:color w:val="000000"/>
        </w:rPr>
        <w:t xml:space="preserve">ними паперами, такий суб'єкт управління  об'єктами державної власності від імені Депонента повинен укласти із Депозитарною установою додатковий договір до договору про обслуговування рахунку на ім'я держави, на підставі якого цей рахунок був відкритий, із зазначенням у ньому всіх умов цього Договору, крім вимог підпункту 2.1.1 пункту 2.1 розділу II цього договору, та надати Депозитарній установі документи, передбачені законодавством та внутрішніми документами Депозитарної установи. </w:t>
      </w:r>
    </w:p>
    <w:p w14:paraId="16DA5AD3" w14:textId="77777777" w:rsidR="007974E8" w:rsidRPr="00E16672" w:rsidRDefault="007974E8" w:rsidP="007974E8">
      <w:pPr>
        <w:rPr>
          <w:rFonts w:ascii="Times New Roman" w:hAnsi="Times New Roman"/>
          <w:color w:val="000000"/>
          <w:szCs w:val="20"/>
          <w:lang w:val="uk-UA"/>
        </w:rPr>
      </w:pPr>
      <w:r w:rsidRPr="00E16672">
        <w:rPr>
          <w:rFonts w:ascii="Times New Roman" w:hAnsi="Times New Roman"/>
          <w:color w:val="000000"/>
          <w:szCs w:val="20"/>
          <w:lang w:val="uk-UA"/>
        </w:rPr>
        <w:t>8.</w:t>
      </w:r>
      <w:r w:rsidR="00A72D18" w:rsidRPr="00E16672">
        <w:rPr>
          <w:rFonts w:ascii="Times New Roman" w:hAnsi="Times New Roman"/>
          <w:color w:val="000000"/>
          <w:szCs w:val="20"/>
        </w:rPr>
        <w:t>9</w:t>
      </w:r>
      <w:r w:rsidRPr="00E16672">
        <w:rPr>
          <w:rFonts w:ascii="Times New Roman" w:hAnsi="Times New Roman"/>
          <w:color w:val="000000"/>
          <w:szCs w:val="20"/>
          <w:lang w:val="uk-UA"/>
        </w:rPr>
        <w:t xml:space="preserve">. Закриття рахунків </w:t>
      </w:r>
      <w:r w:rsidR="00C22309" w:rsidRPr="00E16672">
        <w:rPr>
          <w:rFonts w:ascii="Times New Roman" w:hAnsi="Times New Roman"/>
          <w:color w:val="000000"/>
          <w:szCs w:val="20"/>
          <w:lang w:val="uk-UA"/>
        </w:rPr>
        <w:t>в цін</w:t>
      </w:r>
      <w:r w:rsidRPr="00E16672">
        <w:rPr>
          <w:rFonts w:ascii="Times New Roman" w:hAnsi="Times New Roman"/>
          <w:color w:val="000000"/>
          <w:szCs w:val="20"/>
          <w:lang w:val="uk-UA"/>
        </w:rPr>
        <w:t xml:space="preserve">них паперах відбувається за розпорядженням </w:t>
      </w:r>
      <w:proofErr w:type="spellStart"/>
      <w:r w:rsidRPr="00E16672">
        <w:rPr>
          <w:rFonts w:ascii="Times New Roman" w:hAnsi="Times New Roman"/>
          <w:color w:val="000000"/>
          <w:szCs w:val="20"/>
        </w:rPr>
        <w:t>ініціатора</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депозитарної</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операції</w:t>
      </w:r>
      <w:proofErr w:type="spellEnd"/>
      <w:r w:rsidRPr="00E16672">
        <w:rPr>
          <w:rFonts w:ascii="Times New Roman" w:hAnsi="Times New Roman"/>
          <w:color w:val="000000"/>
          <w:szCs w:val="20"/>
          <w:lang w:val="uk-UA"/>
        </w:rPr>
        <w:t>.</w:t>
      </w:r>
    </w:p>
    <w:p w14:paraId="51DB168F" w14:textId="77777777" w:rsidR="007974E8" w:rsidRPr="00E16672" w:rsidRDefault="007974E8" w:rsidP="007974E8">
      <w:pPr>
        <w:rPr>
          <w:rFonts w:ascii="Times New Roman" w:hAnsi="Times New Roman"/>
          <w:color w:val="000000"/>
          <w:szCs w:val="20"/>
        </w:rPr>
      </w:pPr>
      <w:proofErr w:type="spellStart"/>
      <w:r w:rsidRPr="00E16672">
        <w:rPr>
          <w:rFonts w:ascii="Times New Roman" w:hAnsi="Times New Roman"/>
          <w:color w:val="000000"/>
          <w:szCs w:val="20"/>
        </w:rPr>
        <w:t>Обов’язковою</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умовою</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закриття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рахунку</w:t>
      </w:r>
      <w:proofErr w:type="spellEnd"/>
      <w:r w:rsidRPr="00E16672">
        <w:rPr>
          <w:rFonts w:ascii="Times New Roman" w:hAnsi="Times New Roman"/>
          <w:color w:val="000000"/>
          <w:szCs w:val="20"/>
        </w:rPr>
        <w:t xml:space="preserve"> в </w:t>
      </w:r>
      <w:proofErr w:type="spellStart"/>
      <w:r w:rsidRPr="00E16672">
        <w:rPr>
          <w:rFonts w:ascii="Times New Roman" w:hAnsi="Times New Roman"/>
          <w:color w:val="000000"/>
          <w:szCs w:val="20"/>
        </w:rPr>
        <w:t>цінних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паперах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має</w:t>
      </w:r>
      <w:proofErr w:type="spellEnd"/>
      <w:r w:rsidRPr="00E16672">
        <w:rPr>
          <w:rFonts w:ascii="Times New Roman" w:hAnsi="Times New Roman"/>
          <w:color w:val="000000"/>
          <w:szCs w:val="20"/>
        </w:rPr>
        <w:t xml:space="preserve"> бути </w:t>
      </w:r>
      <w:proofErr w:type="spellStart"/>
      <w:r w:rsidRPr="00E16672">
        <w:rPr>
          <w:rFonts w:ascii="Times New Roman" w:hAnsi="Times New Roman"/>
          <w:color w:val="000000"/>
          <w:szCs w:val="20"/>
        </w:rPr>
        <w:t>відсутність</w:t>
      </w:r>
      <w:proofErr w:type="spellEnd"/>
      <w:r w:rsidRPr="00E16672">
        <w:rPr>
          <w:rFonts w:ascii="Times New Roman" w:hAnsi="Times New Roman"/>
          <w:color w:val="000000"/>
          <w:szCs w:val="20"/>
        </w:rPr>
        <w:t xml:space="preserve"> в </w:t>
      </w:r>
      <w:proofErr w:type="spellStart"/>
      <w:r w:rsidRPr="00E16672">
        <w:rPr>
          <w:rFonts w:ascii="Times New Roman" w:hAnsi="Times New Roman"/>
          <w:color w:val="000000"/>
          <w:szCs w:val="20"/>
        </w:rPr>
        <w:t>облік</w:t>
      </w:r>
      <w:r w:rsidR="00C22309" w:rsidRPr="00E16672">
        <w:rPr>
          <w:rFonts w:ascii="Times New Roman" w:hAnsi="Times New Roman"/>
          <w:color w:val="000000"/>
          <w:szCs w:val="20"/>
        </w:rPr>
        <w:t>в</w:t>
      </w:r>
      <w:proofErr w:type="spellEnd"/>
      <w:r w:rsidR="00C22309" w:rsidRPr="00E16672">
        <w:rPr>
          <w:rFonts w:ascii="Times New Roman" w:hAnsi="Times New Roman"/>
          <w:color w:val="000000"/>
          <w:szCs w:val="20"/>
        </w:rPr>
        <w:t xml:space="preserve"> </w:t>
      </w:r>
      <w:proofErr w:type="spellStart"/>
      <w:r w:rsidR="00C22309" w:rsidRPr="00E16672">
        <w:rPr>
          <w:rFonts w:ascii="Times New Roman" w:hAnsi="Times New Roman"/>
          <w:color w:val="000000"/>
          <w:szCs w:val="20"/>
        </w:rPr>
        <w:t>цін</w:t>
      </w:r>
      <w:r w:rsidRPr="00E16672">
        <w:rPr>
          <w:rFonts w:ascii="Times New Roman" w:hAnsi="Times New Roman"/>
          <w:color w:val="000000"/>
          <w:szCs w:val="20"/>
        </w:rPr>
        <w:t>них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паперів</w:t>
      </w:r>
      <w:proofErr w:type="spellEnd"/>
      <w:r w:rsidRPr="00E16672">
        <w:rPr>
          <w:rFonts w:ascii="Times New Roman" w:hAnsi="Times New Roman"/>
          <w:color w:val="000000"/>
          <w:szCs w:val="20"/>
        </w:rPr>
        <w:t xml:space="preserve">, прав на </w:t>
      </w:r>
      <w:proofErr w:type="spellStart"/>
      <w:r w:rsidRPr="00E16672">
        <w:rPr>
          <w:rFonts w:ascii="Times New Roman" w:hAnsi="Times New Roman"/>
          <w:color w:val="000000"/>
          <w:szCs w:val="20"/>
        </w:rPr>
        <w:t>цінні</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папери</w:t>
      </w:r>
      <w:proofErr w:type="spellEnd"/>
      <w:r w:rsidRPr="00E16672">
        <w:rPr>
          <w:rFonts w:ascii="Times New Roman" w:hAnsi="Times New Roman"/>
          <w:color w:val="000000"/>
          <w:szCs w:val="20"/>
        </w:rPr>
        <w:t>.</w:t>
      </w:r>
    </w:p>
    <w:p w14:paraId="5CFD57D8" w14:textId="77777777" w:rsidR="007974E8" w:rsidRPr="00E16672" w:rsidRDefault="007974E8" w:rsidP="007974E8">
      <w:pPr>
        <w:pStyle w:val="32"/>
        <w:ind w:firstLine="555"/>
        <w:rPr>
          <w:rFonts w:ascii="Times New Roman" w:hAnsi="Times New Roman"/>
          <w:color w:val="000000"/>
          <w:sz w:val="20"/>
          <w:lang w:val="uk-UA"/>
        </w:rPr>
      </w:pPr>
      <w:r w:rsidRPr="00E16672">
        <w:rPr>
          <w:rFonts w:ascii="Times New Roman" w:hAnsi="Times New Roman"/>
          <w:color w:val="000000"/>
          <w:sz w:val="20"/>
          <w:lang w:val="uk-UA"/>
        </w:rPr>
        <w:t>8.1</w:t>
      </w:r>
      <w:r w:rsidR="00A72D18" w:rsidRPr="00E16672">
        <w:rPr>
          <w:rFonts w:ascii="Times New Roman" w:hAnsi="Times New Roman"/>
          <w:color w:val="000000"/>
          <w:sz w:val="20"/>
        </w:rPr>
        <w:t>0</w:t>
      </w:r>
      <w:r w:rsidRPr="00E16672">
        <w:rPr>
          <w:rFonts w:ascii="Times New Roman" w:hAnsi="Times New Roman"/>
          <w:color w:val="000000"/>
          <w:sz w:val="20"/>
          <w:lang w:val="uk-UA"/>
        </w:rPr>
        <w:t>. Інші питання, які не регулюються положеннями цього Договору, регулюються чинним законодавством України.</w:t>
      </w:r>
    </w:p>
    <w:p w14:paraId="7E1FE8E2" w14:textId="77777777" w:rsidR="007974E8" w:rsidRPr="00E16672" w:rsidRDefault="007974E8" w:rsidP="007974E8">
      <w:pPr>
        <w:pStyle w:val="af"/>
        <w:jc w:val="center"/>
        <w:rPr>
          <w:rFonts w:ascii="Times New Roman" w:hAnsi="Times New Roman" w:cs="Times New Roman"/>
          <w:b/>
          <w:bCs/>
          <w:color w:val="000000"/>
        </w:rPr>
      </w:pPr>
    </w:p>
    <w:p w14:paraId="29362A20" w14:textId="77777777" w:rsidR="007974E8" w:rsidRPr="00E16672" w:rsidRDefault="007974E8" w:rsidP="007974E8">
      <w:pPr>
        <w:jc w:val="center"/>
        <w:rPr>
          <w:rFonts w:ascii="Times New Roman" w:hAnsi="Times New Roman"/>
          <w:b/>
          <w:bCs/>
          <w:color w:val="000000"/>
          <w:szCs w:val="20"/>
          <w:lang w:val="uk-UA"/>
        </w:rPr>
      </w:pPr>
      <w:r w:rsidRPr="00E16672">
        <w:rPr>
          <w:rFonts w:ascii="Times New Roman" w:hAnsi="Times New Roman"/>
          <w:b/>
          <w:bCs/>
          <w:color w:val="000000"/>
          <w:szCs w:val="20"/>
          <w:lang w:val="uk-UA"/>
        </w:rPr>
        <w:t>9. Форс-мажор</w:t>
      </w:r>
    </w:p>
    <w:p w14:paraId="1DFAE990" w14:textId="77777777" w:rsidR="007974E8" w:rsidRPr="00E16672" w:rsidRDefault="007974E8" w:rsidP="007974E8">
      <w:pPr>
        <w:rPr>
          <w:rFonts w:ascii="Times New Roman" w:hAnsi="Times New Roman"/>
          <w:color w:val="000000"/>
          <w:szCs w:val="20"/>
          <w:lang w:val="uk-UA"/>
        </w:rPr>
      </w:pPr>
    </w:p>
    <w:p w14:paraId="3DDF0E48" w14:textId="77777777" w:rsidR="007974E8" w:rsidRPr="00E16672" w:rsidRDefault="007974E8" w:rsidP="007974E8">
      <w:pPr>
        <w:rPr>
          <w:rFonts w:ascii="Times New Roman" w:hAnsi="Times New Roman"/>
          <w:color w:val="000000"/>
          <w:szCs w:val="20"/>
        </w:rPr>
      </w:pPr>
      <w:r w:rsidRPr="00E16672">
        <w:rPr>
          <w:rFonts w:ascii="Times New Roman" w:hAnsi="Times New Roman"/>
          <w:color w:val="000000"/>
          <w:szCs w:val="20"/>
          <w:lang w:val="uk-UA"/>
        </w:rPr>
        <w:t xml:space="preserve">9.1. Сторони звільняються від відповідальності за часткове або повне невиконання зобов’язань по цьому Договору (див.п.9.4.), якщо це виконання унеможливив вплив обставин непереборної сили, тобто надзвичайних і невідворотних за даних умов подій: стихійного лиха, аварії, пожежі, вихід із ладу мереж зв’язку та системи електропостачання, масових порушень правопорядку, страйків, військових дій, протиправних дій третіх осіб (крім дій працівників Сторони) чи інших обставин, що виникли після підписання Договору та не залежать від волевиявлення Сторін. </w:t>
      </w:r>
      <w:r w:rsidRPr="00E16672">
        <w:rPr>
          <w:rFonts w:ascii="Times New Roman" w:hAnsi="Times New Roman"/>
          <w:color w:val="000000"/>
          <w:szCs w:val="20"/>
        </w:rPr>
        <w:t xml:space="preserve">Не є </w:t>
      </w:r>
      <w:proofErr w:type="spellStart"/>
      <w:r w:rsidRPr="00E16672">
        <w:rPr>
          <w:rFonts w:ascii="Times New Roman" w:hAnsi="Times New Roman"/>
          <w:color w:val="000000"/>
          <w:szCs w:val="20"/>
        </w:rPr>
        <w:t>непереборною</w:t>
      </w:r>
      <w:proofErr w:type="spellEnd"/>
      <w:r w:rsidRPr="00E16672">
        <w:rPr>
          <w:rFonts w:ascii="Times New Roman" w:hAnsi="Times New Roman"/>
          <w:color w:val="000000"/>
          <w:szCs w:val="20"/>
        </w:rPr>
        <w:t xml:space="preserve"> силою </w:t>
      </w:r>
      <w:proofErr w:type="spellStart"/>
      <w:r w:rsidRPr="00E16672">
        <w:rPr>
          <w:rFonts w:ascii="Times New Roman" w:hAnsi="Times New Roman"/>
          <w:color w:val="000000"/>
          <w:szCs w:val="20"/>
        </w:rPr>
        <w:t>недодержання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своїх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обов’язків</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іншими</w:t>
      </w:r>
      <w:proofErr w:type="spellEnd"/>
      <w:r w:rsidRPr="00E16672">
        <w:rPr>
          <w:rFonts w:ascii="Times New Roman" w:hAnsi="Times New Roman"/>
          <w:color w:val="000000"/>
          <w:szCs w:val="20"/>
        </w:rPr>
        <w:t xml:space="preserve"> контрагентами </w:t>
      </w:r>
      <w:proofErr w:type="spellStart"/>
      <w:r w:rsidRPr="00E16672">
        <w:rPr>
          <w:rFonts w:ascii="Times New Roman" w:hAnsi="Times New Roman"/>
          <w:color w:val="000000"/>
          <w:szCs w:val="20"/>
        </w:rPr>
        <w:t>однієї</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зі</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Сторін</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чи</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відсутність</w:t>
      </w:r>
      <w:proofErr w:type="spellEnd"/>
      <w:r w:rsidRPr="00E16672">
        <w:rPr>
          <w:rFonts w:ascii="Times New Roman" w:hAnsi="Times New Roman"/>
          <w:color w:val="000000"/>
          <w:szCs w:val="20"/>
        </w:rPr>
        <w:t xml:space="preserve"> у </w:t>
      </w:r>
      <w:proofErr w:type="spellStart"/>
      <w:r w:rsidRPr="00E16672">
        <w:rPr>
          <w:rFonts w:ascii="Times New Roman" w:hAnsi="Times New Roman"/>
          <w:color w:val="000000"/>
          <w:szCs w:val="20"/>
        </w:rPr>
        <w:t>Сторони</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достатніх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коштів</w:t>
      </w:r>
      <w:proofErr w:type="spellEnd"/>
      <w:r w:rsidRPr="00E16672">
        <w:rPr>
          <w:rFonts w:ascii="Times New Roman" w:hAnsi="Times New Roman"/>
          <w:color w:val="000000"/>
          <w:szCs w:val="20"/>
        </w:rPr>
        <w:t>.</w:t>
      </w:r>
    </w:p>
    <w:p w14:paraId="3133B93F" w14:textId="77777777" w:rsidR="007974E8" w:rsidRPr="00E16672" w:rsidRDefault="007974E8" w:rsidP="007974E8">
      <w:pPr>
        <w:rPr>
          <w:rFonts w:ascii="Times New Roman" w:hAnsi="Times New Roman"/>
          <w:color w:val="000000"/>
          <w:szCs w:val="20"/>
        </w:rPr>
      </w:pPr>
      <w:r w:rsidRPr="00E16672">
        <w:rPr>
          <w:rFonts w:ascii="Times New Roman" w:hAnsi="Times New Roman"/>
          <w:color w:val="000000"/>
          <w:szCs w:val="20"/>
        </w:rPr>
        <w:t xml:space="preserve">9.2. У </w:t>
      </w:r>
      <w:proofErr w:type="spellStart"/>
      <w:r w:rsidRPr="00E16672">
        <w:rPr>
          <w:rFonts w:ascii="Times New Roman" w:hAnsi="Times New Roman"/>
          <w:color w:val="000000"/>
          <w:szCs w:val="20"/>
        </w:rPr>
        <w:t>випадку</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виникнення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обставин</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непереборної</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сили</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термін</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виконання</w:t>
      </w:r>
      <w:proofErr w:type="spellEnd"/>
      <w:r w:rsidRPr="00E16672">
        <w:rPr>
          <w:rFonts w:ascii="Times New Roman" w:hAnsi="Times New Roman"/>
          <w:color w:val="000000"/>
          <w:szCs w:val="20"/>
        </w:rPr>
        <w:t xml:space="preserve"> Сторонами </w:t>
      </w:r>
      <w:proofErr w:type="spellStart"/>
      <w:r w:rsidRPr="00E16672">
        <w:rPr>
          <w:rFonts w:ascii="Times New Roman" w:hAnsi="Times New Roman"/>
          <w:color w:val="000000"/>
          <w:szCs w:val="20"/>
        </w:rPr>
        <w:t>обов`язків</w:t>
      </w:r>
      <w:proofErr w:type="spellEnd"/>
      <w:r w:rsidRPr="00E16672">
        <w:rPr>
          <w:rFonts w:ascii="Times New Roman" w:hAnsi="Times New Roman"/>
          <w:color w:val="000000"/>
          <w:szCs w:val="20"/>
        </w:rPr>
        <w:t xml:space="preserve"> по </w:t>
      </w:r>
      <w:proofErr w:type="spellStart"/>
      <w:r w:rsidRPr="00E16672">
        <w:rPr>
          <w:rFonts w:ascii="Times New Roman" w:hAnsi="Times New Roman"/>
          <w:color w:val="000000"/>
          <w:szCs w:val="20"/>
        </w:rPr>
        <w:t>цьому</w:t>
      </w:r>
      <w:proofErr w:type="spellEnd"/>
      <w:r w:rsidRPr="00E16672">
        <w:rPr>
          <w:rFonts w:ascii="Times New Roman" w:hAnsi="Times New Roman"/>
          <w:color w:val="000000"/>
          <w:szCs w:val="20"/>
        </w:rPr>
        <w:t xml:space="preserve"> Договору </w:t>
      </w:r>
      <w:proofErr w:type="spellStart"/>
      <w:r w:rsidRPr="00E16672">
        <w:rPr>
          <w:rFonts w:ascii="Times New Roman" w:hAnsi="Times New Roman"/>
          <w:color w:val="000000"/>
          <w:szCs w:val="20"/>
        </w:rPr>
        <w:t>відкладається</w:t>
      </w:r>
      <w:proofErr w:type="spellEnd"/>
      <w:r w:rsidRPr="00E16672">
        <w:rPr>
          <w:rFonts w:ascii="Times New Roman" w:hAnsi="Times New Roman"/>
          <w:color w:val="000000"/>
          <w:szCs w:val="20"/>
        </w:rPr>
        <w:t xml:space="preserve"> на </w:t>
      </w:r>
      <w:proofErr w:type="spellStart"/>
      <w:r w:rsidRPr="00E16672">
        <w:rPr>
          <w:rFonts w:ascii="Times New Roman" w:hAnsi="Times New Roman"/>
          <w:color w:val="000000"/>
          <w:szCs w:val="20"/>
        </w:rPr>
        <w:t>термін</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протягом</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якого</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діють</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такі</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обставини</w:t>
      </w:r>
      <w:proofErr w:type="spellEnd"/>
      <w:r w:rsidRPr="00E16672">
        <w:rPr>
          <w:rFonts w:ascii="Times New Roman" w:hAnsi="Times New Roman"/>
          <w:color w:val="000000"/>
          <w:szCs w:val="20"/>
        </w:rPr>
        <w:t xml:space="preserve"> та </w:t>
      </w:r>
      <w:proofErr w:type="spellStart"/>
      <w:r w:rsidRPr="00E16672">
        <w:rPr>
          <w:rFonts w:ascii="Times New Roman" w:hAnsi="Times New Roman"/>
          <w:color w:val="000000"/>
          <w:szCs w:val="20"/>
        </w:rPr>
        <w:t>їх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наслідки</w:t>
      </w:r>
      <w:proofErr w:type="spellEnd"/>
      <w:r w:rsidRPr="00E16672">
        <w:rPr>
          <w:rFonts w:ascii="Times New Roman" w:hAnsi="Times New Roman"/>
          <w:color w:val="000000"/>
          <w:szCs w:val="20"/>
        </w:rPr>
        <w:t>.</w:t>
      </w:r>
    </w:p>
    <w:p w14:paraId="28567E9B" w14:textId="77777777" w:rsidR="007974E8" w:rsidRPr="00E16672" w:rsidRDefault="007974E8" w:rsidP="007974E8">
      <w:pPr>
        <w:rPr>
          <w:rFonts w:ascii="Times New Roman" w:hAnsi="Times New Roman"/>
          <w:color w:val="000000"/>
          <w:szCs w:val="20"/>
        </w:rPr>
      </w:pPr>
      <w:r w:rsidRPr="00E16672">
        <w:rPr>
          <w:rFonts w:ascii="Times New Roman" w:hAnsi="Times New Roman"/>
          <w:color w:val="000000"/>
          <w:szCs w:val="20"/>
        </w:rPr>
        <w:t xml:space="preserve">9.3. </w:t>
      </w:r>
      <w:proofErr w:type="spellStart"/>
      <w:r w:rsidRPr="00E16672">
        <w:rPr>
          <w:rFonts w:ascii="Times New Roman" w:hAnsi="Times New Roman"/>
          <w:color w:val="000000"/>
          <w:szCs w:val="20"/>
        </w:rPr>
        <w:t>Сторони</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зобов`язуються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після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настання</w:t>
      </w:r>
      <w:proofErr w:type="spellEnd"/>
      <w:r w:rsidRPr="00E16672">
        <w:rPr>
          <w:rFonts w:ascii="Times New Roman" w:hAnsi="Times New Roman"/>
          <w:color w:val="000000"/>
          <w:szCs w:val="20"/>
        </w:rPr>
        <w:t xml:space="preserve"> форс-</w:t>
      </w:r>
      <w:proofErr w:type="spellStart"/>
      <w:r w:rsidRPr="00E16672">
        <w:rPr>
          <w:rFonts w:ascii="Times New Roman" w:hAnsi="Times New Roman"/>
          <w:color w:val="000000"/>
          <w:szCs w:val="20"/>
        </w:rPr>
        <w:t>мажорних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обставин</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вжити</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всі</w:t>
      </w:r>
      <w:proofErr w:type="spellEnd"/>
      <w:r w:rsidRPr="00E16672">
        <w:rPr>
          <w:rFonts w:ascii="Times New Roman" w:hAnsi="Times New Roman"/>
          <w:color w:val="000000"/>
          <w:szCs w:val="20"/>
        </w:rPr>
        <w:t xml:space="preserve"> заходи для </w:t>
      </w:r>
      <w:proofErr w:type="spellStart"/>
      <w:r w:rsidRPr="00E16672">
        <w:rPr>
          <w:rFonts w:ascii="Times New Roman" w:hAnsi="Times New Roman"/>
          <w:color w:val="000000"/>
          <w:szCs w:val="20"/>
        </w:rPr>
        <w:t>ліквідації</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наслідків</w:t>
      </w:r>
      <w:proofErr w:type="spellEnd"/>
      <w:r w:rsidRPr="00E16672">
        <w:rPr>
          <w:rFonts w:ascii="Times New Roman" w:hAnsi="Times New Roman"/>
          <w:color w:val="000000"/>
          <w:szCs w:val="20"/>
        </w:rPr>
        <w:t xml:space="preserve"> та </w:t>
      </w:r>
      <w:proofErr w:type="spellStart"/>
      <w:r w:rsidRPr="00E16672">
        <w:rPr>
          <w:rFonts w:ascii="Times New Roman" w:hAnsi="Times New Roman"/>
          <w:color w:val="000000"/>
          <w:szCs w:val="20"/>
        </w:rPr>
        <w:t>виконання</w:t>
      </w:r>
      <w:proofErr w:type="spellEnd"/>
      <w:r w:rsidRPr="00E16672">
        <w:rPr>
          <w:rFonts w:ascii="Times New Roman" w:hAnsi="Times New Roman"/>
          <w:color w:val="000000"/>
          <w:szCs w:val="20"/>
        </w:rPr>
        <w:t xml:space="preserve"> умов Договору. </w:t>
      </w:r>
    </w:p>
    <w:p w14:paraId="1943B62F" w14:textId="77777777" w:rsidR="007974E8" w:rsidRPr="00E16672" w:rsidRDefault="007974E8" w:rsidP="007974E8">
      <w:pPr>
        <w:pStyle w:val="210"/>
        <w:snapToGrid w:val="0"/>
        <w:ind w:firstLine="540"/>
        <w:rPr>
          <w:rFonts w:ascii="Times New Roman" w:hAnsi="Times New Roman"/>
          <w:color w:val="000000"/>
          <w:sz w:val="20"/>
          <w:szCs w:val="20"/>
        </w:rPr>
      </w:pPr>
      <w:r w:rsidRPr="00E16672">
        <w:rPr>
          <w:rFonts w:ascii="Times New Roman" w:hAnsi="Times New Roman"/>
          <w:color w:val="000000"/>
          <w:sz w:val="20"/>
          <w:szCs w:val="20"/>
          <w:lang w:val="ru-RU"/>
        </w:rPr>
        <w:t>9</w:t>
      </w:r>
      <w:r w:rsidRPr="00E16672">
        <w:rPr>
          <w:rFonts w:ascii="Times New Roman" w:hAnsi="Times New Roman"/>
          <w:color w:val="000000"/>
          <w:sz w:val="20"/>
          <w:szCs w:val="20"/>
        </w:rPr>
        <w:t xml:space="preserve">.4. Кожна Сторона зобов’язана письмово підтвердити факт виникнення Форс-мажорних обставин іншій </w:t>
      </w:r>
      <w:r w:rsidRPr="00E16672">
        <w:rPr>
          <w:rFonts w:ascii="Times New Roman" w:hAnsi="Times New Roman"/>
          <w:color w:val="000000"/>
          <w:sz w:val="20"/>
          <w:szCs w:val="20"/>
          <w:lang w:val="ru-RU"/>
        </w:rPr>
        <w:t>С</w:t>
      </w:r>
      <w:proofErr w:type="spellStart"/>
      <w:r w:rsidRPr="00E16672">
        <w:rPr>
          <w:rFonts w:ascii="Times New Roman" w:hAnsi="Times New Roman"/>
          <w:color w:val="000000"/>
          <w:sz w:val="20"/>
          <w:szCs w:val="20"/>
        </w:rPr>
        <w:t>тороні</w:t>
      </w:r>
      <w:proofErr w:type="spellEnd"/>
      <w:r w:rsidRPr="00E16672">
        <w:rPr>
          <w:rFonts w:ascii="Times New Roman" w:hAnsi="Times New Roman"/>
          <w:color w:val="000000"/>
          <w:sz w:val="20"/>
          <w:szCs w:val="20"/>
        </w:rPr>
        <w:t xml:space="preserve"> протягом </w:t>
      </w:r>
      <w:r w:rsidRPr="00E16672">
        <w:rPr>
          <w:rFonts w:ascii="Times New Roman" w:hAnsi="Times New Roman"/>
          <w:i/>
          <w:iCs/>
          <w:color w:val="000000"/>
          <w:sz w:val="20"/>
          <w:szCs w:val="20"/>
          <w:lang w:val="ru-RU"/>
        </w:rPr>
        <w:t>десяти</w:t>
      </w:r>
      <w:r w:rsidRPr="00E16672">
        <w:rPr>
          <w:rFonts w:ascii="Times New Roman" w:hAnsi="Times New Roman"/>
          <w:color w:val="000000"/>
          <w:sz w:val="20"/>
          <w:szCs w:val="20"/>
        </w:rPr>
        <w:t xml:space="preserve"> днів після їх виникнення. </w:t>
      </w:r>
    </w:p>
    <w:p w14:paraId="55B0F38D" w14:textId="77777777" w:rsidR="007974E8" w:rsidRPr="00E16672" w:rsidRDefault="007974E8" w:rsidP="007974E8">
      <w:pPr>
        <w:rPr>
          <w:rFonts w:ascii="Times New Roman" w:hAnsi="Times New Roman"/>
          <w:color w:val="000000"/>
          <w:szCs w:val="20"/>
        </w:rPr>
      </w:pPr>
      <w:r w:rsidRPr="00E16672">
        <w:rPr>
          <w:rFonts w:ascii="Times New Roman" w:hAnsi="Times New Roman"/>
          <w:color w:val="000000"/>
          <w:szCs w:val="20"/>
        </w:rPr>
        <w:t xml:space="preserve">9.5. Форс-мажорна </w:t>
      </w:r>
      <w:proofErr w:type="spellStart"/>
      <w:r w:rsidRPr="00E16672">
        <w:rPr>
          <w:rFonts w:ascii="Times New Roman" w:hAnsi="Times New Roman"/>
          <w:color w:val="000000"/>
          <w:szCs w:val="20"/>
        </w:rPr>
        <w:t>ситуація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між</w:t>
      </w:r>
      <w:proofErr w:type="spellEnd"/>
      <w:r w:rsidRPr="00E16672">
        <w:rPr>
          <w:rFonts w:ascii="Times New Roman" w:hAnsi="Times New Roman"/>
          <w:color w:val="000000"/>
          <w:szCs w:val="20"/>
        </w:rPr>
        <w:t xml:space="preserve"> Сторонами </w:t>
      </w:r>
      <w:proofErr w:type="spellStart"/>
      <w:r w:rsidRPr="00E16672">
        <w:rPr>
          <w:rFonts w:ascii="Times New Roman" w:hAnsi="Times New Roman"/>
          <w:color w:val="000000"/>
          <w:szCs w:val="20"/>
        </w:rPr>
        <w:t>розглядається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тільки</w:t>
      </w:r>
      <w:proofErr w:type="spellEnd"/>
      <w:r w:rsidRPr="00E16672">
        <w:rPr>
          <w:rFonts w:ascii="Times New Roman" w:hAnsi="Times New Roman"/>
          <w:color w:val="000000"/>
          <w:szCs w:val="20"/>
        </w:rPr>
        <w:t xml:space="preserve"> за </w:t>
      </w:r>
      <w:proofErr w:type="spellStart"/>
      <w:r w:rsidRPr="00E16672">
        <w:rPr>
          <w:rFonts w:ascii="Times New Roman" w:hAnsi="Times New Roman"/>
          <w:color w:val="000000"/>
          <w:szCs w:val="20"/>
        </w:rPr>
        <w:t>умови</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сповіщення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протилежної</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сторони</w:t>
      </w:r>
      <w:proofErr w:type="spellEnd"/>
      <w:r w:rsidRPr="00E16672">
        <w:rPr>
          <w:rFonts w:ascii="Times New Roman" w:hAnsi="Times New Roman"/>
          <w:color w:val="000000"/>
          <w:szCs w:val="20"/>
        </w:rPr>
        <w:t xml:space="preserve"> в </w:t>
      </w:r>
      <w:proofErr w:type="spellStart"/>
      <w:r w:rsidRPr="00E16672">
        <w:rPr>
          <w:rFonts w:ascii="Times New Roman" w:hAnsi="Times New Roman"/>
          <w:color w:val="000000"/>
          <w:szCs w:val="20"/>
        </w:rPr>
        <w:t>письмовій</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формі</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із</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зазначенням</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обставин</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що</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виникли</w:t>
      </w:r>
      <w:proofErr w:type="spellEnd"/>
      <w:r w:rsidRPr="00E16672">
        <w:rPr>
          <w:rFonts w:ascii="Times New Roman" w:hAnsi="Times New Roman"/>
          <w:color w:val="000000"/>
          <w:szCs w:val="20"/>
        </w:rPr>
        <w:t xml:space="preserve">. </w:t>
      </w:r>
    </w:p>
    <w:p w14:paraId="007C5732" w14:textId="77777777" w:rsidR="007974E8" w:rsidRPr="00E16672" w:rsidRDefault="007974E8" w:rsidP="007974E8">
      <w:pPr>
        <w:pStyle w:val="af"/>
        <w:jc w:val="center"/>
        <w:rPr>
          <w:rFonts w:ascii="Times New Roman" w:eastAsia="Times New Roman" w:hAnsi="Times New Roman" w:cs="Times New Roman"/>
          <w:color w:val="000000"/>
        </w:rPr>
      </w:pPr>
    </w:p>
    <w:p w14:paraId="3D29CD04" w14:textId="77777777" w:rsidR="007974E8" w:rsidRPr="00E16672" w:rsidRDefault="007974E8" w:rsidP="007974E8">
      <w:pPr>
        <w:pStyle w:val="33"/>
        <w:tabs>
          <w:tab w:val="left" w:pos="851"/>
        </w:tabs>
        <w:ind w:firstLine="540"/>
        <w:jc w:val="center"/>
        <w:rPr>
          <w:rFonts w:ascii="Times New Roman" w:eastAsia="Times New Roman" w:hAnsi="Times New Roman" w:cs="Times New Roman"/>
          <w:b/>
          <w:color w:val="000000"/>
          <w:lang w:val="uk-UA" w:eastAsia="ar-SA" w:bidi="ar-SA"/>
        </w:rPr>
      </w:pPr>
      <w:r w:rsidRPr="00E16672">
        <w:rPr>
          <w:rFonts w:ascii="Times New Roman" w:eastAsia="Times New Roman" w:hAnsi="Times New Roman" w:cs="Times New Roman"/>
          <w:b/>
          <w:color w:val="000000"/>
          <w:lang w:val="uk-UA" w:eastAsia="ar-SA" w:bidi="ar-SA"/>
        </w:rPr>
        <w:t xml:space="preserve">10. Про визнання </w:t>
      </w:r>
      <w:proofErr w:type="spellStart"/>
      <w:r w:rsidR="002A5E07" w:rsidRPr="00E16672">
        <w:rPr>
          <w:rFonts w:ascii="Times New Roman" w:hAnsi="Times New Roman" w:cs="Times New Roman"/>
          <w:b/>
        </w:rPr>
        <w:t>кваліфікованого</w:t>
      </w:r>
      <w:proofErr w:type="spellEnd"/>
      <w:r w:rsidR="002A5E07" w:rsidRPr="00E16672">
        <w:rPr>
          <w:rFonts w:ascii="Times New Roman" w:hAnsi="Times New Roman" w:cs="Times New Roman"/>
          <w:b/>
        </w:rPr>
        <w:t xml:space="preserve"> </w:t>
      </w:r>
      <w:proofErr w:type="spellStart"/>
      <w:r w:rsidR="002A5E07" w:rsidRPr="00E16672">
        <w:rPr>
          <w:rFonts w:ascii="Times New Roman" w:hAnsi="Times New Roman" w:cs="Times New Roman"/>
          <w:b/>
        </w:rPr>
        <w:t>електронного</w:t>
      </w:r>
      <w:proofErr w:type="spellEnd"/>
      <w:r w:rsidR="002A5E07" w:rsidRPr="00E16672">
        <w:rPr>
          <w:rFonts w:ascii="Times New Roman" w:hAnsi="Times New Roman" w:cs="Times New Roman"/>
          <w:b/>
        </w:rPr>
        <w:t xml:space="preserve"> </w:t>
      </w:r>
      <w:proofErr w:type="spellStart"/>
      <w:r w:rsidR="002A5E07" w:rsidRPr="00E16672">
        <w:rPr>
          <w:rFonts w:ascii="Times New Roman" w:hAnsi="Times New Roman" w:cs="Times New Roman"/>
          <w:b/>
        </w:rPr>
        <w:t>підпис</w:t>
      </w:r>
      <w:proofErr w:type="spellEnd"/>
      <w:r w:rsidR="002A5E07" w:rsidRPr="00E16672">
        <w:rPr>
          <w:rFonts w:ascii="Times New Roman" w:hAnsi="Times New Roman" w:cs="Times New Roman"/>
          <w:b/>
          <w:lang w:val="uk-UA"/>
        </w:rPr>
        <w:t>у</w:t>
      </w:r>
    </w:p>
    <w:p w14:paraId="07AAE09C" w14:textId="77777777" w:rsidR="007974E8" w:rsidRPr="00E16672" w:rsidRDefault="007974E8" w:rsidP="007974E8">
      <w:pPr>
        <w:pStyle w:val="33"/>
        <w:tabs>
          <w:tab w:val="left" w:pos="851"/>
        </w:tabs>
        <w:ind w:firstLine="540"/>
        <w:jc w:val="center"/>
        <w:rPr>
          <w:rFonts w:ascii="Times New Roman" w:eastAsia="Times New Roman" w:hAnsi="Times New Roman" w:cs="Times New Roman"/>
          <w:color w:val="000000"/>
          <w:lang w:val="uk-UA" w:eastAsia="ar-SA" w:bidi="ar-SA"/>
        </w:rPr>
      </w:pPr>
    </w:p>
    <w:p w14:paraId="41776A8F" w14:textId="77777777" w:rsidR="007974E8" w:rsidRPr="00E16672" w:rsidRDefault="007974E8" w:rsidP="007974E8">
      <w:pPr>
        <w:pStyle w:val="33"/>
        <w:tabs>
          <w:tab w:val="left" w:pos="851"/>
        </w:tabs>
        <w:ind w:firstLine="540"/>
        <w:rPr>
          <w:rFonts w:ascii="Times New Roman" w:eastAsia="Times New Roman" w:hAnsi="Times New Roman" w:cs="Times New Roman"/>
          <w:color w:val="000000"/>
          <w:lang w:val="uk-UA" w:eastAsia="ar-SA" w:bidi="ar-SA"/>
        </w:rPr>
      </w:pPr>
      <w:r w:rsidRPr="00E16672">
        <w:rPr>
          <w:rFonts w:ascii="Times New Roman" w:eastAsia="Times New Roman" w:hAnsi="Times New Roman" w:cs="Times New Roman"/>
          <w:color w:val="000000"/>
          <w:lang w:val="uk-UA" w:eastAsia="ar-SA" w:bidi="ar-SA"/>
        </w:rPr>
        <w:t xml:space="preserve">10.1. В ході виконання договору Сторони можуть обмінюватися електронними документами, які засвідчуються за допомогою </w:t>
      </w:r>
      <w:proofErr w:type="spellStart"/>
      <w:r w:rsidR="002A5E07" w:rsidRPr="00E16672">
        <w:rPr>
          <w:rFonts w:ascii="Times New Roman" w:hAnsi="Times New Roman" w:cs="Times New Roman"/>
        </w:rPr>
        <w:t>кваліфікований</w:t>
      </w:r>
      <w:proofErr w:type="spellEnd"/>
      <w:r w:rsidR="002A5E07" w:rsidRPr="00E16672">
        <w:rPr>
          <w:rFonts w:ascii="Times New Roman" w:hAnsi="Times New Roman" w:cs="Times New Roman"/>
        </w:rPr>
        <w:t xml:space="preserve"> </w:t>
      </w:r>
      <w:proofErr w:type="spellStart"/>
      <w:r w:rsidR="002A5E07" w:rsidRPr="00E16672">
        <w:rPr>
          <w:rFonts w:ascii="Times New Roman" w:hAnsi="Times New Roman" w:cs="Times New Roman"/>
        </w:rPr>
        <w:t>електронний</w:t>
      </w:r>
      <w:proofErr w:type="spellEnd"/>
      <w:r w:rsidR="002A5E07" w:rsidRPr="00E16672">
        <w:rPr>
          <w:rFonts w:ascii="Times New Roman" w:hAnsi="Times New Roman" w:cs="Times New Roman"/>
        </w:rPr>
        <w:t xml:space="preserve"> </w:t>
      </w:r>
      <w:proofErr w:type="spellStart"/>
      <w:r w:rsidR="002A5E07" w:rsidRPr="00E16672">
        <w:rPr>
          <w:rFonts w:ascii="Times New Roman" w:hAnsi="Times New Roman" w:cs="Times New Roman"/>
        </w:rPr>
        <w:t>підпис</w:t>
      </w:r>
      <w:proofErr w:type="spellEnd"/>
      <w:r w:rsidRPr="00E16672">
        <w:rPr>
          <w:rFonts w:ascii="Times New Roman" w:eastAsia="Times New Roman" w:hAnsi="Times New Roman" w:cs="Times New Roman"/>
          <w:color w:val="000000"/>
          <w:lang w:val="uk-UA" w:eastAsia="ar-SA" w:bidi="ar-SA"/>
        </w:rPr>
        <w:t>.</w:t>
      </w:r>
    </w:p>
    <w:p w14:paraId="1D3FB808" w14:textId="77777777" w:rsidR="007974E8" w:rsidRPr="00E16672" w:rsidRDefault="007974E8" w:rsidP="007974E8">
      <w:pPr>
        <w:pStyle w:val="33"/>
        <w:tabs>
          <w:tab w:val="left" w:pos="851"/>
        </w:tabs>
        <w:ind w:firstLine="540"/>
        <w:rPr>
          <w:rFonts w:ascii="Times New Roman" w:eastAsia="Times New Roman" w:hAnsi="Times New Roman" w:cs="Times New Roman"/>
          <w:color w:val="000000"/>
          <w:lang w:val="uk-UA" w:eastAsia="ar-SA" w:bidi="ar-SA"/>
        </w:rPr>
      </w:pPr>
      <w:r w:rsidRPr="00E16672">
        <w:rPr>
          <w:rFonts w:ascii="Times New Roman" w:eastAsia="Times New Roman" w:hAnsi="Times New Roman" w:cs="Times New Roman"/>
          <w:color w:val="000000"/>
          <w:lang w:val="uk-UA" w:eastAsia="ar-SA" w:bidi="ar-SA"/>
        </w:rPr>
        <w:t xml:space="preserve">10.2. При виконанні цього Договору кожна Сторона може виступати як </w:t>
      </w:r>
      <w:proofErr w:type="spellStart"/>
      <w:r w:rsidRPr="00E16672">
        <w:rPr>
          <w:rFonts w:ascii="Times New Roman" w:eastAsia="Times New Roman" w:hAnsi="Times New Roman" w:cs="Times New Roman"/>
          <w:color w:val="000000"/>
          <w:lang w:val="uk-UA" w:eastAsia="ar-SA" w:bidi="ar-SA"/>
        </w:rPr>
        <w:t>підписувачем</w:t>
      </w:r>
      <w:proofErr w:type="spellEnd"/>
      <w:r w:rsidRPr="00E16672">
        <w:rPr>
          <w:rFonts w:ascii="Times New Roman" w:eastAsia="Times New Roman" w:hAnsi="Times New Roman" w:cs="Times New Roman"/>
          <w:color w:val="000000"/>
          <w:lang w:val="uk-UA" w:eastAsia="ar-SA" w:bidi="ar-SA"/>
        </w:rPr>
        <w:t xml:space="preserve"> , так і отримувачем електронних документів.</w:t>
      </w:r>
    </w:p>
    <w:p w14:paraId="3083DAB5" w14:textId="77777777" w:rsidR="007974E8" w:rsidRPr="00E16672" w:rsidRDefault="007974E8" w:rsidP="007974E8">
      <w:pPr>
        <w:pStyle w:val="33"/>
        <w:tabs>
          <w:tab w:val="left" w:pos="851"/>
        </w:tabs>
        <w:ind w:firstLine="540"/>
        <w:rPr>
          <w:rFonts w:ascii="Times New Roman" w:eastAsia="Times New Roman" w:hAnsi="Times New Roman" w:cs="Times New Roman"/>
          <w:color w:val="000000"/>
          <w:lang w:val="uk-UA" w:eastAsia="ar-SA" w:bidi="ar-SA"/>
        </w:rPr>
      </w:pPr>
      <w:r w:rsidRPr="00E16672">
        <w:rPr>
          <w:rFonts w:ascii="Times New Roman" w:eastAsia="Times New Roman" w:hAnsi="Times New Roman" w:cs="Times New Roman"/>
          <w:color w:val="000000"/>
          <w:lang w:val="uk-UA" w:eastAsia="ar-SA" w:bidi="ar-SA"/>
        </w:rPr>
        <w:t xml:space="preserve">10.3. Електронний документ - документ, інформація в якому зафіксована у вигляді електронних даних, включаючи обов'язкові реквізити документа, в тому числі </w:t>
      </w:r>
      <w:proofErr w:type="spellStart"/>
      <w:r w:rsidR="002A5E07" w:rsidRPr="00E16672">
        <w:rPr>
          <w:rFonts w:ascii="Times New Roman" w:hAnsi="Times New Roman" w:cs="Times New Roman"/>
        </w:rPr>
        <w:t>кваліфікований</w:t>
      </w:r>
      <w:proofErr w:type="spellEnd"/>
      <w:r w:rsidR="002A5E07" w:rsidRPr="00E16672">
        <w:rPr>
          <w:rFonts w:ascii="Times New Roman" w:hAnsi="Times New Roman" w:cs="Times New Roman"/>
        </w:rPr>
        <w:t xml:space="preserve"> </w:t>
      </w:r>
      <w:proofErr w:type="spellStart"/>
      <w:r w:rsidR="002A5E07" w:rsidRPr="00E16672">
        <w:rPr>
          <w:rFonts w:ascii="Times New Roman" w:hAnsi="Times New Roman" w:cs="Times New Roman"/>
        </w:rPr>
        <w:t>електронний</w:t>
      </w:r>
      <w:proofErr w:type="spellEnd"/>
      <w:r w:rsidR="002A5E07" w:rsidRPr="00E16672">
        <w:rPr>
          <w:rFonts w:ascii="Times New Roman" w:hAnsi="Times New Roman" w:cs="Times New Roman"/>
        </w:rPr>
        <w:t xml:space="preserve"> </w:t>
      </w:r>
      <w:proofErr w:type="spellStart"/>
      <w:r w:rsidR="002A5E07" w:rsidRPr="00E16672">
        <w:rPr>
          <w:rFonts w:ascii="Times New Roman" w:hAnsi="Times New Roman" w:cs="Times New Roman"/>
        </w:rPr>
        <w:t>підпис</w:t>
      </w:r>
      <w:proofErr w:type="spellEnd"/>
      <w:r w:rsidRPr="00E16672">
        <w:rPr>
          <w:rFonts w:ascii="Times New Roman" w:eastAsia="Times New Roman" w:hAnsi="Times New Roman" w:cs="Times New Roman"/>
          <w:color w:val="000000"/>
          <w:lang w:val="uk-UA" w:eastAsia="ar-SA" w:bidi="ar-SA"/>
        </w:rPr>
        <w:t>.</w:t>
      </w:r>
    </w:p>
    <w:p w14:paraId="4D6A1663" w14:textId="77777777" w:rsidR="007974E8" w:rsidRPr="00E16672" w:rsidRDefault="007974E8" w:rsidP="007974E8">
      <w:pPr>
        <w:pStyle w:val="33"/>
        <w:tabs>
          <w:tab w:val="left" w:pos="851"/>
        </w:tabs>
        <w:ind w:firstLine="540"/>
        <w:rPr>
          <w:rFonts w:ascii="Times New Roman" w:eastAsia="Times New Roman" w:hAnsi="Times New Roman" w:cs="Times New Roman"/>
          <w:color w:val="000000"/>
          <w:lang w:val="uk-UA" w:eastAsia="ar-SA" w:bidi="ar-SA"/>
        </w:rPr>
      </w:pPr>
      <w:r w:rsidRPr="00E16672">
        <w:rPr>
          <w:rFonts w:ascii="Times New Roman" w:eastAsia="Times New Roman" w:hAnsi="Times New Roman" w:cs="Times New Roman"/>
          <w:color w:val="000000"/>
          <w:lang w:val="uk-UA" w:eastAsia="ar-SA" w:bidi="ar-SA"/>
        </w:rPr>
        <w:t xml:space="preserve">10.4. </w:t>
      </w:r>
      <w:r w:rsidR="00AE695D" w:rsidRPr="00E16672">
        <w:rPr>
          <w:rFonts w:ascii="Times New Roman" w:eastAsia="Times New Roman" w:hAnsi="Times New Roman" w:cs="Times New Roman"/>
          <w:color w:val="000000"/>
          <w:lang w:val="uk-UA" w:eastAsia="ar-SA" w:bidi="ar-SA"/>
        </w:rPr>
        <w:t>К</w:t>
      </w:r>
      <w:proofErr w:type="spellStart"/>
      <w:r w:rsidR="00AE695D" w:rsidRPr="00E16672">
        <w:rPr>
          <w:rFonts w:ascii="Times New Roman" w:hAnsi="Times New Roman" w:cs="Times New Roman"/>
        </w:rPr>
        <w:t>валіфікований</w:t>
      </w:r>
      <w:proofErr w:type="spellEnd"/>
      <w:r w:rsidR="00AE695D" w:rsidRPr="00E16672">
        <w:rPr>
          <w:rFonts w:ascii="Times New Roman" w:hAnsi="Times New Roman" w:cs="Times New Roman"/>
        </w:rPr>
        <w:t xml:space="preserve"> </w:t>
      </w:r>
      <w:proofErr w:type="spellStart"/>
      <w:r w:rsidR="00AE695D" w:rsidRPr="00E16672">
        <w:rPr>
          <w:rFonts w:ascii="Times New Roman" w:hAnsi="Times New Roman" w:cs="Times New Roman"/>
        </w:rPr>
        <w:t>електронний</w:t>
      </w:r>
      <w:proofErr w:type="spellEnd"/>
      <w:r w:rsidR="00AE695D" w:rsidRPr="00E16672">
        <w:rPr>
          <w:rFonts w:ascii="Times New Roman" w:hAnsi="Times New Roman" w:cs="Times New Roman"/>
        </w:rPr>
        <w:t xml:space="preserve"> </w:t>
      </w:r>
      <w:proofErr w:type="spellStart"/>
      <w:r w:rsidR="00AE695D" w:rsidRPr="00E16672">
        <w:rPr>
          <w:rFonts w:ascii="Times New Roman" w:hAnsi="Times New Roman" w:cs="Times New Roman"/>
        </w:rPr>
        <w:t>підпис</w:t>
      </w:r>
      <w:proofErr w:type="spellEnd"/>
      <w:r w:rsidR="00AE695D" w:rsidRPr="00E16672">
        <w:rPr>
          <w:rFonts w:ascii="Times New Roman" w:eastAsia="Times New Roman" w:hAnsi="Times New Roman" w:cs="Times New Roman"/>
          <w:color w:val="000000"/>
          <w:lang w:val="uk-UA" w:eastAsia="ar-SA" w:bidi="ar-SA"/>
        </w:rPr>
        <w:t xml:space="preserve"> </w:t>
      </w:r>
      <w:r w:rsidRPr="00E16672">
        <w:rPr>
          <w:rFonts w:ascii="Times New Roman" w:eastAsia="Times New Roman" w:hAnsi="Times New Roman" w:cs="Times New Roman"/>
          <w:color w:val="000000"/>
          <w:lang w:val="uk-UA" w:eastAsia="ar-SA" w:bidi="ar-SA"/>
        </w:rPr>
        <w:t xml:space="preserve">- обов'язковий реквізит електронного документа, який використовується для ідентифікації отримувачем </w:t>
      </w:r>
      <w:proofErr w:type="spellStart"/>
      <w:r w:rsidRPr="00E16672">
        <w:rPr>
          <w:rFonts w:ascii="Times New Roman" w:eastAsia="Times New Roman" w:hAnsi="Times New Roman" w:cs="Times New Roman"/>
          <w:color w:val="000000"/>
          <w:lang w:val="uk-UA" w:eastAsia="ar-SA" w:bidi="ar-SA"/>
        </w:rPr>
        <w:t>підписувача</w:t>
      </w:r>
      <w:proofErr w:type="spellEnd"/>
      <w:r w:rsidRPr="00E16672">
        <w:rPr>
          <w:rFonts w:ascii="Times New Roman" w:eastAsia="Times New Roman" w:hAnsi="Times New Roman" w:cs="Times New Roman"/>
          <w:color w:val="000000"/>
          <w:lang w:val="uk-UA" w:eastAsia="ar-SA" w:bidi="ar-SA"/>
        </w:rPr>
        <w:t xml:space="preserve"> електронного документа та сформований за допомогою системи криптографічного захисту інформації Акредитованого Центру Сертифікації ключів.</w:t>
      </w:r>
    </w:p>
    <w:p w14:paraId="79E9BC7D" w14:textId="77777777" w:rsidR="007974E8" w:rsidRPr="00E16672" w:rsidRDefault="007974E8" w:rsidP="007974E8">
      <w:pPr>
        <w:pStyle w:val="33"/>
        <w:tabs>
          <w:tab w:val="left" w:pos="851"/>
        </w:tabs>
        <w:ind w:firstLine="540"/>
        <w:rPr>
          <w:rFonts w:ascii="Times New Roman" w:eastAsia="Times New Roman" w:hAnsi="Times New Roman" w:cs="Times New Roman"/>
          <w:color w:val="000000"/>
          <w:lang w:val="uk-UA" w:eastAsia="ar-SA" w:bidi="ar-SA"/>
        </w:rPr>
      </w:pPr>
      <w:r w:rsidRPr="00E16672">
        <w:rPr>
          <w:rFonts w:ascii="Times New Roman" w:eastAsia="Times New Roman" w:hAnsi="Times New Roman" w:cs="Times New Roman"/>
          <w:color w:val="000000"/>
          <w:lang w:val="uk-UA" w:eastAsia="ar-SA" w:bidi="ar-SA"/>
        </w:rPr>
        <w:t xml:space="preserve">10.5. </w:t>
      </w:r>
      <w:r w:rsidR="00AE695D" w:rsidRPr="00E16672">
        <w:rPr>
          <w:rFonts w:ascii="Times New Roman" w:eastAsia="Times New Roman" w:hAnsi="Times New Roman" w:cs="Times New Roman"/>
          <w:color w:val="000000"/>
          <w:lang w:val="uk-UA" w:eastAsia="ar-SA" w:bidi="ar-SA"/>
        </w:rPr>
        <w:t>К</w:t>
      </w:r>
      <w:proofErr w:type="spellStart"/>
      <w:r w:rsidR="00AE695D" w:rsidRPr="00E16672">
        <w:rPr>
          <w:rFonts w:ascii="Times New Roman" w:hAnsi="Times New Roman" w:cs="Times New Roman"/>
        </w:rPr>
        <w:t>валіфікований</w:t>
      </w:r>
      <w:proofErr w:type="spellEnd"/>
      <w:r w:rsidR="00AE695D" w:rsidRPr="00E16672">
        <w:rPr>
          <w:rFonts w:ascii="Times New Roman" w:hAnsi="Times New Roman" w:cs="Times New Roman"/>
        </w:rPr>
        <w:t xml:space="preserve"> </w:t>
      </w:r>
      <w:proofErr w:type="spellStart"/>
      <w:r w:rsidR="00AE695D" w:rsidRPr="00E16672">
        <w:rPr>
          <w:rFonts w:ascii="Times New Roman" w:hAnsi="Times New Roman" w:cs="Times New Roman"/>
        </w:rPr>
        <w:t>електронний</w:t>
      </w:r>
      <w:proofErr w:type="spellEnd"/>
      <w:r w:rsidR="00AE695D" w:rsidRPr="00E16672">
        <w:rPr>
          <w:rFonts w:ascii="Times New Roman" w:hAnsi="Times New Roman" w:cs="Times New Roman"/>
        </w:rPr>
        <w:t xml:space="preserve"> </w:t>
      </w:r>
      <w:proofErr w:type="spellStart"/>
      <w:r w:rsidR="00AE695D" w:rsidRPr="00E16672">
        <w:rPr>
          <w:rFonts w:ascii="Times New Roman" w:hAnsi="Times New Roman" w:cs="Times New Roman"/>
        </w:rPr>
        <w:t>підпис</w:t>
      </w:r>
      <w:proofErr w:type="spellEnd"/>
      <w:r w:rsidRPr="00E16672">
        <w:rPr>
          <w:rFonts w:ascii="Times New Roman" w:eastAsia="Times New Roman" w:hAnsi="Times New Roman" w:cs="Times New Roman"/>
          <w:color w:val="000000"/>
          <w:lang w:val="uk-UA" w:eastAsia="ar-SA" w:bidi="ar-SA"/>
        </w:rPr>
        <w:t xml:space="preserve"> за правовим статусом прирівнюється до власноручного підпису (печатки) особи, яка його вчинила. Юридична сила електронного документа не може бути заперечена виключно через те, що він має електронну форму.</w:t>
      </w:r>
    </w:p>
    <w:p w14:paraId="16F0F02A" w14:textId="77777777" w:rsidR="007974E8" w:rsidRPr="00E16672" w:rsidRDefault="007974E8" w:rsidP="007974E8">
      <w:pPr>
        <w:pStyle w:val="33"/>
        <w:tabs>
          <w:tab w:val="left" w:pos="851"/>
        </w:tabs>
        <w:ind w:firstLine="540"/>
        <w:rPr>
          <w:rFonts w:ascii="Times New Roman" w:eastAsia="Times New Roman" w:hAnsi="Times New Roman" w:cs="Times New Roman"/>
          <w:color w:val="000000"/>
          <w:lang w:val="uk-UA" w:eastAsia="ar-SA" w:bidi="ar-SA"/>
        </w:rPr>
      </w:pPr>
      <w:r w:rsidRPr="00E16672">
        <w:rPr>
          <w:rFonts w:ascii="Times New Roman" w:eastAsia="Times New Roman" w:hAnsi="Times New Roman" w:cs="Times New Roman"/>
          <w:color w:val="000000"/>
          <w:lang w:val="uk-UA" w:eastAsia="ar-SA" w:bidi="ar-SA"/>
        </w:rPr>
        <w:t xml:space="preserve">10.6. </w:t>
      </w:r>
      <w:proofErr w:type="spellStart"/>
      <w:r w:rsidRPr="00E16672">
        <w:rPr>
          <w:rFonts w:ascii="Times New Roman" w:eastAsia="Times New Roman" w:hAnsi="Times New Roman" w:cs="Times New Roman"/>
          <w:color w:val="000000"/>
          <w:lang w:val="uk-UA" w:eastAsia="ar-SA" w:bidi="ar-SA"/>
        </w:rPr>
        <w:t>Підписувач</w:t>
      </w:r>
      <w:proofErr w:type="spellEnd"/>
      <w:r w:rsidRPr="00E16672">
        <w:rPr>
          <w:rFonts w:ascii="Times New Roman" w:eastAsia="Times New Roman" w:hAnsi="Times New Roman" w:cs="Times New Roman"/>
          <w:color w:val="000000"/>
          <w:lang w:val="uk-UA" w:eastAsia="ar-SA" w:bidi="ar-SA"/>
        </w:rPr>
        <w:t xml:space="preserve"> - особа, яка на законних підставах володіє особистим ключем та від свого імені накладає </w:t>
      </w:r>
      <w:r w:rsidR="00AE695D" w:rsidRPr="00E16672">
        <w:rPr>
          <w:rFonts w:ascii="Times New Roman" w:eastAsia="Times New Roman" w:hAnsi="Times New Roman" w:cs="Times New Roman"/>
          <w:color w:val="000000"/>
          <w:lang w:val="uk-UA" w:eastAsia="ar-SA" w:bidi="ar-SA"/>
        </w:rPr>
        <w:t>К</w:t>
      </w:r>
      <w:proofErr w:type="spellStart"/>
      <w:r w:rsidR="00AE695D" w:rsidRPr="00E16672">
        <w:rPr>
          <w:rFonts w:ascii="Times New Roman" w:hAnsi="Times New Roman" w:cs="Times New Roman"/>
        </w:rPr>
        <w:t>валіфікований</w:t>
      </w:r>
      <w:proofErr w:type="spellEnd"/>
      <w:r w:rsidR="00AE695D" w:rsidRPr="00E16672">
        <w:rPr>
          <w:rFonts w:ascii="Times New Roman" w:hAnsi="Times New Roman" w:cs="Times New Roman"/>
        </w:rPr>
        <w:t xml:space="preserve"> </w:t>
      </w:r>
      <w:proofErr w:type="spellStart"/>
      <w:r w:rsidR="00AE695D" w:rsidRPr="00E16672">
        <w:rPr>
          <w:rFonts w:ascii="Times New Roman" w:hAnsi="Times New Roman" w:cs="Times New Roman"/>
        </w:rPr>
        <w:t>електронний</w:t>
      </w:r>
      <w:proofErr w:type="spellEnd"/>
      <w:r w:rsidR="00AE695D" w:rsidRPr="00E16672">
        <w:rPr>
          <w:rFonts w:ascii="Times New Roman" w:hAnsi="Times New Roman" w:cs="Times New Roman"/>
        </w:rPr>
        <w:t xml:space="preserve"> </w:t>
      </w:r>
      <w:proofErr w:type="spellStart"/>
      <w:r w:rsidR="00AE695D" w:rsidRPr="00E16672">
        <w:rPr>
          <w:rFonts w:ascii="Times New Roman" w:hAnsi="Times New Roman" w:cs="Times New Roman"/>
        </w:rPr>
        <w:t>підпис</w:t>
      </w:r>
      <w:proofErr w:type="spellEnd"/>
      <w:r w:rsidRPr="00E16672">
        <w:rPr>
          <w:rFonts w:ascii="Times New Roman" w:eastAsia="Times New Roman" w:hAnsi="Times New Roman" w:cs="Times New Roman"/>
          <w:color w:val="000000"/>
          <w:lang w:val="uk-UA" w:eastAsia="ar-SA" w:bidi="ar-SA"/>
        </w:rPr>
        <w:t xml:space="preserve"> під час створення та надсилання електронного документа.</w:t>
      </w:r>
    </w:p>
    <w:p w14:paraId="343A2C56" w14:textId="77777777" w:rsidR="007974E8" w:rsidRPr="00E16672" w:rsidRDefault="007974E8" w:rsidP="007974E8">
      <w:pPr>
        <w:pStyle w:val="33"/>
        <w:tabs>
          <w:tab w:val="left" w:pos="851"/>
        </w:tabs>
        <w:ind w:firstLine="540"/>
        <w:rPr>
          <w:rFonts w:ascii="Times New Roman" w:eastAsia="Times New Roman" w:hAnsi="Times New Roman" w:cs="Times New Roman"/>
          <w:color w:val="000000"/>
          <w:lang w:val="uk-UA" w:eastAsia="ar-SA" w:bidi="ar-SA"/>
        </w:rPr>
      </w:pPr>
      <w:r w:rsidRPr="00E16672">
        <w:rPr>
          <w:rFonts w:ascii="Times New Roman" w:eastAsia="Times New Roman" w:hAnsi="Times New Roman" w:cs="Times New Roman"/>
          <w:color w:val="000000"/>
          <w:lang w:val="uk-UA" w:eastAsia="ar-SA" w:bidi="ar-SA"/>
        </w:rPr>
        <w:t>10.7. Отримувач - особа, яка отримує електронний документ.</w:t>
      </w:r>
    </w:p>
    <w:p w14:paraId="36C3B81C" w14:textId="77777777" w:rsidR="007974E8" w:rsidRPr="00E16672" w:rsidRDefault="007974E8" w:rsidP="007974E8">
      <w:pPr>
        <w:pStyle w:val="33"/>
        <w:tabs>
          <w:tab w:val="left" w:pos="851"/>
        </w:tabs>
        <w:ind w:firstLine="540"/>
        <w:rPr>
          <w:rFonts w:ascii="Times New Roman" w:eastAsia="Times New Roman" w:hAnsi="Times New Roman" w:cs="Times New Roman"/>
          <w:color w:val="000000"/>
          <w:lang w:val="uk-UA" w:eastAsia="ar-SA" w:bidi="ar-SA"/>
        </w:rPr>
      </w:pPr>
      <w:r w:rsidRPr="00E16672">
        <w:rPr>
          <w:rFonts w:ascii="Times New Roman" w:eastAsia="Times New Roman" w:hAnsi="Times New Roman" w:cs="Times New Roman"/>
          <w:color w:val="000000"/>
          <w:lang w:val="uk-UA" w:eastAsia="ar-SA" w:bidi="ar-SA"/>
        </w:rPr>
        <w:t xml:space="preserve">10.8. </w:t>
      </w:r>
      <w:r w:rsidR="00AE695D" w:rsidRPr="00E16672">
        <w:rPr>
          <w:rFonts w:ascii="Times New Roman" w:eastAsia="Times New Roman" w:hAnsi="Times New Roman" w:cs="Times New Roman"/>
          <w:color w:val="000000"/>
          <w:lang w:val="uk-UA" w:eastAsia="ar-SA" w:bidi="ar-SA"/>
        </w:rPr>
        <w:t>К</w:t>
      </w:r>
      <w:r w:rsidR="00AE695D" w:rsidRPr="00E16672">
        <w:rPr>
          <w:rFonts w:ascii="Times New Roman" w:hAnsi="Times New Roman" w:cs="Times New Roman"/>
          <w:lang w:val="uk-UA"/>
        </w:rPr>
        <w:t>валіфікований електронний підпис</w:t>
      </w:r>
      <w:r w:rsidRPr="00E16672">
        <w:rPr>
          <w:rFonts w:ascii="Times New Roman" w:eastAsia="Times New Roman" w:hAnsi="Times New Roman" w:cs="Times New Roman"/>
          <w:color w:val="000000"/>
          <w:lang w:val="uk-UA" w:eastAsia="ar-SA" w:bidi="ar-SA"/>
        </w:rPr>
        <w:t xml:space="preserve"> вважається таким, що відповідає сертифікату відкритого ключа, якщо особистий ключ </w:t>
      </w:r>
      <w:proofErr w:type="spellStart"/>
      <w:r w:rsidRPr="00E16672">
        <w:rPr>
          <w:rFonts w:ascii="Times New Roman" w:eastAsia="Times New Roman" w:hAnsi="Times New Roman" w:cs="Times New Roman"/>
          <w:color w:val="000000"/>
          <w:lang w:val="uk-UA" w:eastAsia="ar-SA" w:bidi="ar-SA"/>
        </w:rPr>
        <w:t>підписувача</w:t>
      </w:r>
      <w:proofErr w:type="spellEnd"/>
      <w:r w:rsidRPr="00E16672">
        <w:rPr>
          <w:rFonts w:ascii="Times New Roman" w:eastAsia="Times New Roman" w:hAnsi="Times New Roman" w:cs="Times New Roman"/>
          <w:color w:val="000000"/>
          <w:lang w:val="uk-UA" w:eastAsia="ar-SA" w:bidi="ar-SA"/>
        </w:rPr>
        <w:t xml:space="preserve">, використаний при формуванні </w:t>
      </w:r>
      <w:r w:rsidR="00AE695D" w:rsidRPr="00E16672">
        <w:rPr>
          <w:rFonts w:ascii="Times New Roman" w:eastAsia="Times New Roman" w:hAnsi="Times New Roman" w:cs="Times New Roman"/>
          <w:color w:val="000000"/>
          <w:lang w:val="uk-UA" w:eastAsia="ar-SA" w:bidi="ar-SA"/>
        </w:rPr>
        <w:t>к</w:t>
      </w:r>
      <w:r w:rsidR="00AE695D" w:rsidRPr="00E16672">
        <w:rPr>
          <w:rFonts w:ascii="Times New Roman" w:hAnsi="Times New Roman" w:cs="Times New Roman"/>
          <w:lang w:val="uk-UA"/>
        </w:rPr>
        <w:t>валіфікованого електронного підпису</w:t>
      </w:r>
      <w:r w:rsidRPr="00E16672">
        <w:rPr>
          <w:rFonts w:ascii="Times New Roman" w:eastAsia="Times New Roman" w:hAnsi="Times New Roman" w:cs="Times New Roman"/>
          <w:color w:val="000000"/>
          <w:lang w:val="uk-UA" w:eastAsia="ar-SA" w:bidi="ar-SA"/>
        </w:rPr>
        <w:t>, відповідає відкритому ключу, зазначеному у сертифікаті.</w:t>
      </w:r>
    </w:p>
    <w:p w14:paraId="0D7ACDFC" w14:textId="77777777" w:rsidR="007974E8" w:rsidRPr="00E16672" w:rsidRDefault="007974E8" w:rsidP="007974E8">
      <w:pPr>
        <w:pStyle w:val="33"/>
        <w:tabs>
          <w:tab w:val="left" w:pos="851"/>
        </w:tabs>
        <w:ind w:firstLine="540"/>
        <w:rPr>
          <w:rFonts w:ascii="Times New Roman" w:eastAsia="Times New Roman" w:hAnsi="Times New Roman" w:cs="Times New Roman"/>
          <w:color w:val="000000"/>
          <w:lang w:val="uk-UA" w:eastAsia="ar-SA" w:bidi="ar-SA"/>
        </w:rPr>
      </w:pPr>
      <w:r w:rsidRPr="00E16672">
        <w:rPr>
          <w:rFonts w:ascii="Times New Roman" w:eastAsia="Times New Roman" w:hAnsi="Times New Roman" w:cs="Times New Roman"/>
          <w:color w:val="000000"/>
          <w:lang w:val="uk-UA" w:eastAsia="ar-SA" w:bidi="ar-SA"/>
        </w:rPr>
        <w:t xml:space="preserve">10.9. Відповідно до цього Договору Сторони зобов'язуються визнавати </w:t>
      </w:r>
      <w:r w:rsidR="00AE695D" w:rsidRPr="00E16672">
        <w:rPr>
          <w:rFonts w:ascii="Times New Roman" w:eastAsia="Times New Roman" w:hAnsi="Times New Roman" w:cs="Times New Roman"/>
          <w:color w:val="000000"/>
          <w:lang w:val="uk-UA" w:eastAsia="ar-SA" w:bidi="ar-SA"/>
        </w:rPr>
        <w:t>к</w:t>
      </w:r>
      <w:proofErr w:type="spellStart"/>
      <w:r w:rsidR="00AE695D" w:rsidRPr="00E16672">
        <w:rPr>
          <w:rFonts w:ascii="Times New Roman" w:hAnsi="Times New Roman" w:cs="Times New Roman"/>
        </w:rPr>
        <w:t>валіфікований</w:t>
      </w:r>
      <w:proofErr w:type="spellEnd"/>
      <w:r w:rsidR="00AE695D" w:rsidRPr="00E16672">
        <w:rPr>
          <w:rFonts w:ascii="Times New Roman" w:hAnsi="Times New Roman" w:cs="Times New Roman"/>
        </w:rPr>
        <w:t xml:space="preserve"> </w:t>
      </w:r>
      <w:proofErr w:type="spellStart"/>
      <w:r w:rsidR="00AE695D" w:rsidRPr="00E16672">
        <w:rPr>
          <w:rFonts w:ascii="Times New Roman" w:hAnsi="Times New Roman" w:cs="Times New Roman"/>
        </w:rPr>
        <w:t>електронний</w:t>
      </w:r>
      <w:proofErr w:type="spellEnd"/>
      <w:r w:rsidR="00AE695D" w:rsidRPr="00E16672">
        <w:rPr>
          <w:rFonts w:ascii="Times New Roman" w:hAnsi="Times New Roman" w:cs="Times New Roman"/>
        </w:rPr>
        <w:t xml:space="preserve"> </w:t>
      </w:r>
      <w:proofErr w:type="spellStart"/>
      <w:r w:rsidR="00AE695D" w:rsidRPr="00E16672">
        <w:rPr>
          <w:rFonts w:ascii="Times New Roman" w:hAnsi="Times New Roman" w:cs="Times New Roman"/>
        </w:rPr>
        <w:t>підпис</w:t>
      </w:r>
      <w:proofErr w:type="spellEnd"/>
      <w:r w:rsidRPr="00E16672">
        <w:rPr>
          <w:rFonts w:ascii="Times New Roman" w:eastAsia="Times New Roman" w:hAnsi="Times New Roman" w:cs="Times New Roman"/>
          <w:color w:val="000000"/>
          <w:lang w:val="uk-UA" w:eastAsia="ar-SA" w:bidi="ar-SA"/>
        </w:rPr>
        <w:t xml:space="preserve"> як такий, що надає юридичної сили електронним документам, сформованим з його використанням.</w:t>
      </w:r>
    </w:p>
    <w:p w14:paraId="3B3CFEC9" w14:textId="77777777" w:rsidR="007974E8" w:rsidRPr="00E16672" w:rsidRDefault="007974E8" w:rsidP="007974E8">
      <w:pPr>
        <w:pStyle w:val="33"/>
        <w:tabs>
          <w:tab w:val="left" w:pos="851"/>
        </w:tabs>
        <w:ind w:firstLine="540"/>
        <w:rPr>
          <w:rFonts w:ascii="Times New Roman" w:eastAsia="Times New Roman" w:hAnsi="Times New Roman" w:cs="Times New Roman"/>
          <w:color w:val="000000"/>
          <w:lang w:val="uk-UA" w:eastAsia="ar-SA" w:bidi="ar-SA"/>
        </w:rPr>
      </w:pPr>
      <w:r w:rsidRPr="00E16672">
        <w:rPr>
          <w:rFonts w:ascii="Times New Roman" w:eastAsia="Times New Roman" w:hAnsi="Times New Roman" w:cs="Times New Roman"/>
          <w:color w:val="000000"/>
          <w:lang w:val="uk-UA" w:eastAsia="ar-SA" w:bidi="ar-SA"/>
        </w:rPr>
        <w:t xml:space="preserve">10.10. Визнання здійснюється отримувачем щодо кожного окремого електронного документа, наданого </w:t>
      </w:r>
      <w:proofErr w:type="spellStart"/>
      <w:r w:rsidRPr="00E16672">
        <w:rPr>
          <w:rFonts w:ascii="Times New Roman" w:eastAsia="Times New Roman" w:hAnsi="Times New Roman" w:cs="Times New Roman"/>
          <w:color w:val="000000"/>
          <w:lang w:val="uk-UA" w:eastAsia="ar-SA" w:bidi="ar-SA"/>
        </w:rPr>
        <w:t>підписувачем</w:t>
      </w:r>
      <w:proofErr w:type="spellEnd"/>
      <w:r w:rsidRPr="00E16672">
        <w:rPr>
          <w:rFonts w:ascii="Times New Roman" w:eastAsia="Times New Roman" w:hAnsi="Times New Roman" w:cs="Times New Roman"/>
          <w:color w:val="000000"/>
          <w:lang w:val="uk-UA" w:eastAsia="ar-SA" w:bidi="ar-SA"/>
        </w:rPr>
        <w:t>.</w:t>
      </w:r>
    </w:p>
    <w:p w14:paraId="2E072E60" w14:textId="77777777" w:rsidR="007974E8" w:rsidRPr="00E16672" w:rsidRDefault="007974E8" w:rsidP="007974E8">
      <w:pPr>
        <w:pStyle w:val="33"/>
        <w:tabs>
          <w:tab w:val="left" w:pos="851"/>
        </w:tabs>
        <w:ind w:firstLine="540"/>
        <w:rPr>
          <w:rFonts w:ascii="Times New Roman" w:eastAsia="Times New Roman" w:hAnsi="Times New Roman" w:cs="Times New Roman"/>
          <w:color w:val="000000"/>
          <w:lang w:val="uk-UA" w:eastAsia="ar-SA" w:bidi="ar-SA"/>
        </w:rPr>
      </w:pPr>
      <w:r w:rsidRPr="00E16672">
        <w:rPr>
          <w:rFonts w:ascii="Times New Roman" w:eastAsia="Times New Roman" w:hAnsi="Times New Roman" w:cs="Times New Roman"/>
          <w:color w:val="000000"/>
          <w:lang w:val="uk-UA" w:eastAsia="ar-SA" w:bidi="ar-SA"/>
        </w:rPr>
        <w:t xml:space="preserve">10.11. Визнання </w:t>
      </w:r>
      <w:proofErr w:type="spellStart"/>
      <w:r w:rsidR="00AE695D" w:rsidRPr="00E16672">
        <w:rPr>
          <w:rFonts w:ascii="Times New Roman" w:eastAsia="Times New Roman" w:hAnsi="Times New Roman" w:cs="Times New Roman"/>
          <w:color w:val="000000"/>
          <w:lang w:val="uk-UA" w:eastAsia="ar-SA" w:bidi="ar-SA"/>
        </w:rPr>
        <w:t>к</w:t>
      </w:r>
      <w:r w:rsidR="00AE695D" w:rsidRPr="00E16672">
        <w:rPr>
          <w:rFonts w:ascii="Times New Roman" w:hAnsi="Times New Roman" w:cs="Times New Roman"/>
          <w:lang w:val="uk-UA"/>
        </w:rPr>
        <w:t>валіфікованиого</w:t>
      </w:r>
      <w:proofErr w:type="spellEnd"/>
      <w:r w:rsidR="00AE695D" w:rsidRPr="00E16672">
        <w:rPr>
          <w:rFonts w:ascii="Times New Roman" w:hAnsi="Times New Roman" w:cs="Times New Roman"/>
          <w:lang w:val="uk-UA"/>
        </w:rPr>
        <w:t xml:space="preserve"> електронного підпису</w:t>
      </w:r>
      <w:r w:rsidRPr="00E16672">
        <w:rPr>
          <w:rFonts w:ascii="Times New Roman" w:eastAsia="Times New Roman" w:hAnsi="Times New Roman" w:cs="Times New Roman"/>
          <w:color w:val="000000"/>
          <w:lang w:val="uk-UA" w:eastAsia="ar-SA" w:bidi="ar-SA"/>
        </w:rPr>
        <w:t xml:space="preserve"> - визначення відповідності </w:t>
      </w:r>
      <w:r w:rsidR="00AE695D" w:rsidRPr="00E16672">
        <w:rPr>
          <w:rFonts w:ascii="Times New Roman" w:eastAsia="Times New Roman" w:hAnsi="Times New Roman" w:cs="Times New Roman"/>
          <w:color w:val="000000"/>
          <w:lang w:val="uk-UA" w:eastAsia="ar-SA" w:bidi="ar-SA"/>
        </w:rPr>
        <w:t>к</w:t>
      </w:r>
      <w:r w:rsidR="00AE695D" w:rsidRPr="00E16672">
        <w:rPr>
          <w:rFonts w:ascii="Times New Roman" w:hAnsi="Times New Roman" w:cs="Times New Roman"/>
          <w:lang w:val="uk-UA"/>
        </w:rPr>
        <w:t>валіфікованого електронного підпису</w:t>
      </w:r>
      <w:r w:rsidRPr="00E16672">
        <w:rPr>
          <w:rFonts w:ascii="Times New Roman" w:eastAsia="Times New Roman" w:hAnsi="Times New Roman" w:cs="Times New Roman"/>
          <w:color w:val="000000"/>
          <w:lang w:val="uk-UA" w:eastAsia="ar-SA" w:bidi="ar-SA"/>
        </w:rPr>
        <w:t xml:space="preserve"> сертифікату відкритого ключа </w:t>
      </w:r>
      <w:proofErr w:type="spellStart"/>
      <w:r w:rsidRPr="00E16672">
        <w:rPr>
          <w:rFonts w:ascii="Times New Roman" w:eastAsia="Times New Roman" w:hAnsi="Times New Roman" w:cs="Times New Roman"/>
          <w:color w:val="000000"/>
          <w:lang w:val="uk-UA" w:eastAsia="ar-SA" w:bidi="ar-SA"/>
        </w:rPr>
        <w:t>підписувача</w:t>
      </w:r>
      <w:proofErr w:type="spellEnd"/>
      <w:r w:rsidRPr="00E16672">
        <w:rPr>
          <w:rFonts w:ascii="Times New Roman" w:eastAsia="Times New Roman" w:hAnsi="Times New Roman" w:cs="Times New Roman"/>
          <w:color w:val="000000"/>
          <w:lang w:val="uk-UA" w:eastAsia="ar-SA" w:bidi="ar-SA"/>
        </w:rPr>
        <w:t>, який є чинним, та визнання підпису таким, що надає юридичної сили отриманим стороною електронним документам, сформованим з його використанням.</w:t>
      </w:r>
    </w:p>
    <w:p w14:paraId="648AEC0B" w14:textId="77777777" w:rsidR="007974E8" w:rsidRPr="00E16672" w:rsidRDefault="007974E8" w:rsidP="007974E8">
      <w:pPr>
        <w:jc w:val="center"/>
        <w:rPr>
          <w:rFonts w:ascii="Times New Roman" w:hAnsi="Times New Roman"/>
          <w:b/>
          <w:szCs w:val="20"/>
          <w:lang w:val="uk-UA"/>
        </w:rPr>
      </w:pPr>
    </w:p>
    <w:p w14:paraId="408E53AA" w14:textId="77777777" w:rsidR="007974E8" w:rsidRPr="00E16672" w:rsidRDefault="007974E8" w:rsidP="007974E8">
      <w:pPr>
        <w:jc w:val="center"/>
        <w:rPr>
          <w:rFonts w:ascii="Times New Roman" w:hAnsi="Times New Roman"/>
          <w:b/>
          <w:color w:val="000000"/>
          <w:szCs w:val="20"/>
        </w:rPr>
      </w:pPr>
      <w:r w:rsidRPr="00E16672">
        <w:rPr>
          <w:rFonts w:ascii="Times New Roman" w:hAnsi="Times New Roman"/>
          <w:b/>
          <w:color w:val="000000"/>
          <w:szCs w:val="20"/>
        </w:rPr>
        <w:lastRenderedPageBreak/>
        <w:t>1</w:t>
      </w:r>
      <w:r w:rsidRPr="00E16672">
        <w:rPr>
          <w:rFonts w:ascii="Times New Roman" w:hAnsi="Times New Roman"/>
          <w:b/>
          <w:color w:val="000000"/>
          <w:szCs w:val="20"/>
          <w:lang w:val="uk-UA"/>
        </w:rPr>
        <w:t>1</w:t>
      </w:r>
      <w:r w:rsidRPr="00E16672">
        <w:rPr>
          <w:rFonts w:ascii="Times New Roman" w:hAnsi="Times New Roman"/>
          <w:b/>
          <w:color w:val="000000"/>
          <w:szCs w:val="20"/>
        </w:rPr>
        <w:t xml:space="preserve">. </w:t>
      </w:r>
      <w:proofErr w:type="spellStart"/>
      <w:r w:rsidRPr="00E16672">
        <w:rPr>
          <w:rFonts w:ascii="Times New Roman" w:hAnsi="Times New Roman"/>
          <w:b/>
          <w:color w:val="000000"/>
          <w:szCs w:val="20"/>
        </w:rPr>
        <w:t>Умови</w:t>
      </w:r>
      <w:proofErr w:type="spellEnd"/>
      <w:r w:rsidRPr="00E16672">
        <w:rPr>
          <w:rFonts w:ascii="Times New Roman" w:hAnsi="Times New Roman"/>
          <w:b/>
          <w:color w:val="000000"/>
          <w:szCs w:val="20"/>
        </w:rPr>
        <w:t xml:space="preserve"> порядку </w:t>
      </w:r>
      <w:proofErr w:type="spellStart"/>
      <w:r w:rsidRPr="00E16672">
        <w:rPr>
          <w:rFonts w:ascii="Times New Roman" w:hAnsi="Times New Roman"/>
          <w:b/>
          <w:color w:val="000000"/>
          <w:szCs w:val="20"/>
        </w:rPr>
        <w:t>виплати</w:t>
      </w:r>
      <w:proofErr w:type="spellEnd"/>
      <w:r w:rsidRPr="00E16672">
        <w:rPr>
          <w:rFonts w:ascii="Times New Roman" w:hAnsi="Times New Roman"/>
          <w:b/>
          <w:color w:val="000000"/>
          <w:szCs w:val="20"/>
        </w:rPr>
        <w:t xml:space="preserve"> </w:t>
      </w:r>
      <w:proofErr w:type="spellStart"/>
      <w:r w:rsidRPr="00E16672">
        <w:rPr>
          <w:rFonts w:ascii="Times New Roman" w:hAnsi="Times New Roman"/>
          <w:b/>
          <w:color w:val="000000"/>
          <w:szCs w:val="20"/>
        </w:rPr>
        <w:t>коштів</w:t>
      </w:r>
      <w:proofErr w:type="spellEnd"/>
      <w:r w:rsidRPr="00E16672">
        <w:rPr>
          <w:rFonts w:ascii="Times New Roman" w:hAnsi="Times New Roman"/>
          <w:b/>
          <w:color w:val="000000"/>
          <w:szCs w:val="20"/>
        </w:rPr>
        <w:t xml:space="preserve">, </w:t>
      </w:r>
      <w:proofErr w:type="spellStart"/>
      <w:r w:rsidRPr="00E16672">
        <w:rPr>
          <w:rFonts w:ascii="Times New Roman" w:hAnsi="Times New Roman"/>
          <w:b/>
          <w:color w:val="000000"/>
          <w:szCs w:val="20"/>
        </w:rPr>
        <w:t>отриманих</w:t>
      </w:r>
      <w:proofErr w:type="spellEnd"/>
      <w:r w:rsidRPr="00E16672">
        <w:rPr>
          <w:rFonts w:ascii="Times New Roman" w:hAnsi="Times New Roman"/>
          <w:b/>
          <w:color w:val="000000"/>
          <w:szCs w:val="20"/>
        </w:rPr>
        <w:t xml:space="preserve"> депонентом за результатами </w:t>
      </w:r>
      <w:proofErr w:type="spellStart"/>
      <w:r w:rsidRPr="00E16672">
        <w:rPr>
          <w:rFonts w:ascii="Times New Roman" w:hAnsi="Times New Roman"/>
          <w:b/>
          <w:color w:val="000000"/>
          <w:szCs w:val="20"/>
        </w:rPr>
        <w:t>проведених</w:t>
      </w:r>
      <w:proofErr w:type="spellEnd"/>
      <w:r w:rsidRPr="00E16672">
        <w:rPr>
          <w:rFonts w:ascii="Times New Roman" w:hAnsi="Times New Roman"/>
          <w:b/>
          <w:color w:val="000000"/>
          <w:szCs w:val="20"/>
        </w:rPr>
        <w:t xml:space="preserve"> </w:t>
      </w:r>
      <w:proofErr w:type="spellStart"/>
      <w:r w:rsidRPr="00E16672">
        <w:rPr>
          <w:rFonts w:ascii="Times New Roman" w:hAnsi="Times New Roman"/>
          <w:b/>
          <w:color w:val="000000"/>
          <w:szCs w:val="20"/>
        </w:rPr>
        <w:t>корпоративних</w:t>
      </w:r>
      <w:proofErr w:type="spellEnd"/>
      <w:r w:rsidRPr="00E16672">
        <w:rPr>
          <w:rFonts w:ascii="Times New Roman" w:hAnsi="Times New Roman"/>
          <w:b/>
          <w:color w:val="000000"/>
          <w:szCs w:val="20"/>
        </w:rPr>
        <w:t xml:space="preserve"> </w:t>
      </w:r>
      <w:proofErr w:type="spellStart"/>
      <w:r w:rsidRPr="00E16672">
        <w:rPr>
          <w:rFonts w:ascii="Times New Roman" w:hAnsi="Times New Roman"/>
          <w:b/>
          <w:color w:val="000000"/>
          <w:szCs w:val="20"/>
        </w:rPr>
        <w:t>операцій</w:t>
      </w:r>
      <w:proofErr w:type="spellEnd"/>
      <w:r w:rsidRPr="00E16672">
        <w:rPr>
          <w:rFonts w:ascii="Times New Roman" w:hAnsi="Times New Roman"/>
          <w:b/>
          <w:color w:val="000000"/>
          <w:szCs w:val="20"/>
        </w:rPr>
        <w:t xml:space="preserve"> </w:t>
      </w:r>
      <w:proofErr w:type="spellStart"/>
      <w:r w:rsidRPr="00E16672">
        <w:rPr>
          <w:rFonts w:ascii="Times New Roman" w:hAnsi="Times New Roman"/>
          <w:b/>
          <w:color w:val="000000"/>
          <w:szCs w:val="20"/>
        </w:rPr>
        <w:t>емітента</w:t>
      </w:r>
      <w:proofErr w:type="spellEnd"/>
      <w:r w:rsidRPr="00E16672">
        <w:rPr>
          <w:rFonts w:ascii="Times New Roman" w:hAnsi="Times New Roman"/>
          <w:b/>
          <w:color w:val="000000"/>
          <w:szCs w:val="20"/>
        </w:rPr>
        <w:t>.</w:t>
      </w:r>
    </w:p>
    <w:p w14:paraId="2F2C694A" w14:textId="77777777" w:rsidR="007974E8" w:rsidRPr="00E16672" w:rsidRDefault="007974E8" w:rsidP="007974E8">
      <w:pPr>
        <w:jc w:val="center"/>
        <w:rPr>
          <w:rFonts w:ascii="Times New Roman" w:hAnsi="Times New Roman"/>
          <w:b/>
          <w:color w:val="000000"/>
          <w:szCs w:val="20"/>
        </w:rPr>
      </w:pPr>
    </w:p>
    <w:p w14:paraId="55D00F21" w14:textId="77777777" w:rsidR="007974E8" w:rsidRPr="00E16672" w:rsidRDefault="007974E8" w:rsidP="007974E8">
      <w:pPr>
        <w:rPr>
          <w:rFonts w:ascii="Times New Roman" w:hAnsi="Times New Roman"/>
          <w:color w:val="000000"/>
          <w:szCs w:val="20"/>
        </w:rPr>
      </w:pPr>
      <w:r w:rsidRPr="00E16672">
        <w:rPr>
          <w:rFonts w:ascii="Times New Roman" w:hAnsi="Times New Roman"/>
          <w:color w:val="000000"/>
          <w:szCs w:val="20"/>
        </w:rPr>
        <w:t>1</w:t>
      </w:r>
      <w:r w:rsidRPr="00E16672">
        <w:rPr>
          <w:rFonts w:ascii="Times New Roman" w:hAnsi="Times New Roman"/>
          <w:color w:val="000000"/>
          <w:szCs w:val="20"/>
          <w:lang w:val="uk-UA"/>
        </w:rPr>
        <w:t>1</w:t>
      </w:r>
      <w:r w:rsidRPr="00E16672">
        <w:rPr>
          <w:rFonts w:ascii="Times New Roman" w:hAnsi="Times New Roman"/>
          <w:color w:val="000000"/>
          <w:szCs w:val="20"/>
        </w:rPr>
        <w:t xml:space="preserve">.1. </w:t>
      </w:r>
      <w:proofErr w:type="spellStart"/>
      <w:r w:rsidRPr="00E16672">
        <w:rPr>
          <w:rFonts w:ascii="Times New Roman" w:hAnsi="Times New Roman"/>
          <w:color w:val="000000"/>
          <w:szCs w:val="20"/>
        </w:rPr>
        <w:t>Щодо</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цінних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паперів</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облік</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яких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здійснює</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Центральний</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депозитарій</w:t>
      </w:r>
      <w:proofErr w:type="spellEnd"/>
      <w:r w:rsidRPr="00E16672">
        <w:rPr>
          <w:rFonts w:ascii="Times New Roman" w:hAnsi="Times New Roman"/>
          <w:color w:val="000000"/>
          <w:szCs w:val="20"/>
        </w:rPr>
        <w:t>:</w:t>
      </w:r>
    </w:p>
    <w:p w14:paraId="29E13743" w14:textId="77777777" w:rsidR="007974E8" w:rsidRPr="00E16672" w:rsidRDefault="007974E8" w:rsidP="007974E8">
      <w:pPr>
        <w:rPr>
          <w:rFonts w:ascii="Times New Roman" w:hAnsi="Times New Roman"/>
          <w:color w:val="000000"/>
          <w:szCs w:val="20"/>
        </w:rPr>
      </w:pPr>
      <w:r w:rsidRPr="00E16672">
        <w:rPr>
          <w:rFonts w:ascii="Times New Roman" w:hAnsi="Times New Roman"/>
          <w:color w:val="000000"/>
          <w:szCs w:val="20"/>
        </w:rPr>
        <w:t>1</w:t>
      </w:r>
      <w:r w:rsidRPr="00E16672">
        <w:rPr>
          <w:rFonts w:ascii="Times New Roman" w:hAnsi="Times New Roman"/>
          <w:color w:val="000000"/>
          <w:szCs w:val="20"/>
          <w:lang w:val="uk-UA"/>
        </w:rPr>
        <w:t>1</w:t>
      </w:r>
      <w:r w:rsidRPr="00E16672">
        <w:rPr>
          <w:rFonts w:ascii="Times New Roman" w:hAnsi="Times New Roman"/>
          <w:color w:val="000000"/>
          <w:szCs w:val="20"/>
        </w:rPr>
        <w:t xml:space="preserve">.1.1. У </w:t>
      </w:r>
      <w:proofErr w:type="spellStart"/>
      <w:r w:rsidRPr="00E16672">
        <w:rPr>
          <w:rFonts w:ascii="Times New Roman" w:hAnsi="Times New Roman"/>
          <w:color w:val="000000"/>
          <w:szCs w:val="20"/>
        </w:rPr>
        <w:t>термін</w:t>
      </w:r>
      <w:proofErr w:type="spellEnd"/>
      <w:r w:rsidRPr="00E16672">
        <w:rPr>
          <w:rFonts w:ascii="Times New Roman" w:hAnsi="Times New Roman"/>
          <w:color w:val="000000"/>
          <w:szCs w:val="20"/>
        </w:rPr>
        <w:t xml:space="preserve"> не </w:t>
      </w:r>
      <w:proofErr w:type="spellStart"/>
      <w:r w:rsidRPr="00E16672">
        <w:rPr>
          <w:rFonts w:ascii="Times New Roman" w:hAnsi="Times New Roman"/>
          <w:color w:val="000000"/>
          <w:szCs w:val="20"/>
        </w:rPr>
        <w:t>пізніше</w:t>
      </w:r>
      <w:proofErr w:type="spellEnd"/>
      <w:r w:rsidRPr="00E16672">
        <w:rPr>
          <w:rFonts w:ascii="Times New Roman" w:hAnsi="Times New Roman"/>
          <w:color w:val="000000"/>
          <w:szCs w:val="20"/>
        </w:rPr>
        <w:t xml:space="preserve"> десяти </w:t>
      </w:r>
      <w:proofErr w:type="spellStart"/>
      <w:r w:rsidRPr="00E16672">
        <w:rPr>
          <w:rFonts w:ascii="Times New Roman" w:hAnsi="Times New Roman"/>
          <w:color w:val="000000"/>
          <w:szCs w:val="20"/>
        </w:rPr>
        <w:t>робочих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днів</w:t>
      </w:r>
      <w:proofErr w:type="spellEnd"/>
      <w:r w:rsidRPr="00E16672">
        <w:rPr>
          <w:rFonts w:ascii="Times New Roman" w:hAnsi="Times New Roman"/>
          <w:color w:val="000000"/>
          <w:szCs w:val="20"/>
        </w:rPr>
        <w:t xml:space="preserve">  з моменту </w:t>
      </w:r>
      <w:proofErr w:type="spellStart"/>
      <w:r w:rsidRPr="00E16672">
        <w:rPr>
          <w:rFonts w:ascii="Times New Roman" w:hAnsi="Times New Roman"/>
          <w:color w:val="000000"/>
          <w:szCs w:val="20"/>
        </w:rPr>
        <w:t>надходження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відповідних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коштів</w:t>
      </w:r>
      <w:proofErr w:type="spellEnd"/>
      <w:r w:rsidRPr="00E16672">
        <w:rPr>
          <w:rFonts w:ascii="Times New Roman" w:hAnsi="Times New Roman"/>
          <w:color w:val="000000"/>
          <w:szCs w:val="20"/>
        </w:rPr>
        <w:t xml:space="preserve"> на </w:t>
      </w:r>
      <w:proofErr w:type="spellStart"/>
      <w:r w:rsidRPr="00E16672">
        <w:rPr>
          <w:rFonts w:ascii="Times New Roman" w:hAnsi="Times New Roman"/>
          <w:color w:val="000000"/>
          <w:szCs w:val="20"/>
        </w:rPr>
        <w:t>грошовий</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рахунок</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Депозитарної</w:t>
      </w:r>
      <w:proofErr w:type="spellEnd"/>
      <w:r w:rsidRPr="00E16672">
        <w:rPr>
          <w:rFonts w:ascii="Times New Roman" w:hAnsi="Times New Roman"/>
          <w:color w:val="000000"/>
          <w:szCs w:val="20"/>
        </w:rPr>
        <w:t xml:space="preserve"> установи, </w:t>
      </w:r>
      <w:proofErr w:type="spellStart"/>
      <w:r w:rsidRPr="00E16672">
        <w:rPr>
          <w:rFonts w:ascii="Times New Roman" w:hAnsi="Times New Roman"/>
          <w:color w:val="000000"/>
          <w:szCs w:val="20"/>
        </w:rPr>
        <w:t>отримання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розпорядження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від</w:t>
      </w:r>
      <w:proofErr w:type="spellEnd"/>
      <w:r w:rsidRPr="00E16672">
        <w:rPr>
          <w:rFonts w:ascii="Times New Roman" w:hAnsi="Times New Roman"/>
          <w:color w:val="000000"/>
          <w:szCs w:val="20"/>
        </w:rPr>
        <w:t xml:space="preserve"> Центрального </w:t>
      </w:r>
      <w:proofErr w:type="spellStart"/>
      <w:r w:rsidRPr="00E16672">
        <w:rPr>
          <w:rFonts w:ascii="Times New Roman" w:hAnsi="Times New Roman"/>
          <w:color w:val="000000"/>
          <w:szCs w:val="20"/>
        </w:rPr>
        <w:t>депозитарію</w:t>
      </w:r>
      <w:proofErr w:type="spellEnd"/>
      <w:r w:rsidRPr="00E16672">
        <w:rPr>
          <w:rFonts w:ascii="Times New Roman" w:hAnsi="Times New Roman"/>
          <w:color w:val="000000"/>
          <w:szCs w:val="20"/>
        </w:rPr>
        <w:t xml:space="preserve"> та </w:t>
      </w:r>
      <w:proofErr w:type="spellStart"/>
      <w:r w:rsidRPr="00E16672">
        <w:rPr>
          <w:rFonts w:ascii="Times New Roman" w:hAnsi="Times New Roman"/>
          <w:color w:val="000000"/>
          <w:szCs w:val="20"/>
        </w:rPr>
        <w:t>інших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документів</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згідно</w:t>
      </w:r>
      <w:proofErr w:type="spellEnd"/>
      <w:r w:rsidRPr="00E16672">
        <w:rPr>
          <w:rFonts w:ascii="Times New Roman" w:hAnsi="Times New Roman"/>
          <w:color w:val="000000"/>
          <w:szCs w:val="20"/>
        </w:rPr>
        <w:t xml:space="preserve"> чинного </w:t>
      </w:r>
      <w:proofErr w:type="spellStart"/>
      <w:r w:rsidRPr="00E16672">
        <w:rPr>
          <w:rFonts w:ascii="Times New Roman" w:hAnsi="Times New Roman"/>
          <w:color w:val="000000"/>
          <w:szCs w:val="20"/>
        </w:rPr>
        <w:t>законодавства</w:t>
      </w:r>
      <w:proofErr w:type="spellEnd"/>
      <w:r w:rsidRPr="00E16672">
        <w:rPr>
          <w:rFonts w:ascii="Times New Roman" w:hAnsi="Times New Roman"/>
          <w:color w:val="000000"/>
          <w:szCs w:val="20"/>
        </w:rPr>
        <w:t xml:space="preserve"> та регламенту Центрального </w:t>
      </w:r>
      <w:proofErr w:type="spellStart"/>
      <w:r w:rsidRPr="00E16672">
        <w:rPr>
          <w:rFonts w:ascii="Times New Roman" w:hAnsi="Times New Roman"/>
          <w:color w:val="000000"/>
          <w:szCs w:val="20"/>
        </w:rPr>
        <w:t>депозитарію</w:t>
      </w:r>
      <w:proofErr w:type="spellEnd"/>
      <w:r w:rsidRPr="00E16672">
        <w:rPr>
          <w:rFonts w:ascii="Times New Roman" w:hAnsi="Times New Roman"/>
          <w:color w:val="000000"/>
          <w:szCs w:val="20"/>
        </w:rPr>
        <w:t>,</w:t>
      </w:r>
      <w:r w:rsidRPr="00E16672">
        <w:rPr>
          <w:rFonts w:ascii="Times New Roman" w:hAnsi="Times New Roman"/>
          <w:color w:val="000000"/>
          <w:sz w:val="22"/>
          <w:szCs w:val="22"/>
        </w:rPr>
        <w:t xml:space="preserve"> </w:t>
      </w:r>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Депозитарна</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установа</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здійснює</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виплату</w:t>
      </w:r>
      <w:proofErr w:type="spellEnd"/>
      <w:r w:rsidRPr="00E16672">
        <w:rPr>
          <w:rFonts w:ascii="Times New Roman" w:hAnsi="Times New Roman"/>
          <w:color w:val="000000"/>
          <w:szCs w:val="20"/>
        </w:rPr>
        <w:t xml:space="preserve"> доходу за </w:t>
      </w:r>
      <w:proofErr w:type="spellStart"/>
      <w:r w:rsidRPr="00E16672">
        <w:rPr>
          <w:rFonts w:ascii="Times New Roman" w:hAnsi="Times New Roman"/>
          <w:color w:val="000000"/>
          <w:szCs w:val="20"/>
        </w:rPr>
        <w:t>цінними</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паперами</w:t>
      </w:r>
      <w:proofErr w:type="spellEnd"/>
      <w:r w:rsidRPr="00E16672">
        <w:rPr>
          <w:rFonts w:ascii="Times New Roman" w:hAnsi="Times New Roman"/>
          <w:color w:val="000000"/>
          <w:szCs w:val="20"/>
        </w:rPr>
        <w:t xml:space="preserve"> – </w:t>
      </w:r>
      <w:proofErr w:type="spellStart"/>
      <w:r w:rsidRPr="00E16672">
        <w:rPr>
          <w:rFonts w:ascii="Times New Roman" w:hAnsi="Times New Roman"/>
          <w:color w:val="000000"/>
          <w:szCs w:val="20"/>
        </w:rPr>
        <w:t>грошових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коштів</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отриманих</w:t>
      </w:r>
      <w:proofErr w:type="spellEnd"/>
      <w:r w:rsidRPr="00E16672">
        <w:rPr>
          <w:rFonts w:ascii="Times New Roman" w:hAnsi="Times New Roman"/>
          <w:color w:val="000000"/>
          <w:szCs w:val="20"/>
        </w:rPr>
        <w:t xml:space="preserve"> Депонентом за результатами </w:t>
      </w:r>
      <w:proofErr w:type="spellStart"/>
      <w:r w:rsidRPr="00E16672">
        <w:rPr>
          <w:rFonts w:ascii="Times New Roman" w:hAnsi="Times New Roman"/>
          <w:color w:val="000000"/>
          <w:szCs w:val="20"/>
        </w:rPr>
        <w:t>проведення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корпоративних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операцій</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емітента</w:t>
      </w:r>
      <w:proofErr w:type="spellEnd"/>
      <w:r w:rsidRPr="00E16672">
        <w:rPr>
          <w:rFonts w:ascii="Times New Roman" w:hAnsi="Times New Roman"/>
          <w:color w:val="000000"/>
          <w:szCs w:val="20"/>
        </w:rPr>
        <w:t xml:space="preserve">, шляхом </w:t>
      </w:r>
      <w:proofErr w:type="spellStart"/>
      <w:r w:rsidRPr="00E16672">
        <w:rPr>
          <w:rFonts w:ascii="Times New Roman" w:hAnsi="Times New Roman"/>
          <w:color w:val="000000"/>
          <w:szCs w:val="20"/>
        </w:rPr>
        <w:t>перерахування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грошових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коштів</w:t>
      </w:r>
      <w:proofErr w:type="spellEnd"/>
      <w:r w:rsidRPr="00E16672">
        <w:rPr>
          <w:rFonts w:ascii="Times New Roman" w:hAnsi="Times New Roman"/>
          <w:color w:val="000000"/>
          <w:szCs w:val="20"/>
        </w:rPr>
        <w:t xml:space="preserve"> на </w:t>
      </w:r>
      <w:proofErr w:type="spellStart"/>
      <w:r w:rsidRPr="00E16672">
        <w:rPr>
          <w:rFonts w:ascii="Times New Roman" w:hAnsi="Times New Roman"/>
          <w:color w:val="000000"/>
          <w:szCs w:val="20"/>
        </w:rPr>
        <w:t>грошовий</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банківський</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рахунок</w:t>
      </w:r>
      <w:proofErr w:type="spellEnd"/>
      <w:r w:rsidRPr="00E16672">
        <w:rPr>
          <w:rFonts w:ascii="Times New Roman" w:hAnsi="Times New Roman"/>
          <w:color w:val="000000"/>
          <w:szCs w:val="20"/>
        </w:rPr>
        <w:t xml:space="preserve"> Депонента, </w:t>
      </w:r>
      <w:proofErr w:type="spellStart"/>
      <w:r w:rsidRPr="00E16672">
        <w:rPr>
          <w:rFonts w:ascii="Times New Roman" w:hAnsi="Times New Roman"/>
          <w:color w:val="000000"/>
          <w:szCs w:val="20"/>
        </w:rPr>
        <w:t>реквізити</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якого</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зазначені</w:t>
      </w:r>
      <w:proofErr w:type="spellEnd"/>
      <w:r w:rsidRPr="00E16672">
        <w:rPr>
          <w:rFonts w:ascii="Times New Roman" w:hAnsi="Times New Roman"/>
          <w:color w:val="000000"/>
          <w:szCs w:val="20"/>
        </w:rPr>
        <w:t xml:space="preserve">  в </w:t>
      </w:r>
      <w:proofErr w:type="spellStart"/>
      <w:r w:rsidRPr="00E16672">
        <w:rPr>
          <w:rFonts w:ascii="Times New Roman" w:hAnsi="Times New Roman"/>
          <w:color w:val="000000"/>
          <w:szCs w:val="20"/>
        </w:rPr>
        <w:t>анкеті</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рахунка</w:t>
      </w:r>
      <w:proofErr w:type="spellEnd"/>
      <w:r w:rsidRPr="00E16672">
        <w:rPr>
          <w:rFonts w:ascii="Times New Roman" w:hAnsi="Times New Roman"/>
          <w:color w:val="000000"/>
          <w:szCs w:val="20"/>
        </w:rPr>
        <w:t xml:space="preserve"> </w:t>
      </w:r>
      <w:r w:rsidR="00C22309" w:rsidRPr="00E16672">
        <w:rPr>
          <w:rFonts w:ascii="Times New Roman" w:hAnsi="Times New Roman"/>
          <w:color w:val="000000"/>
          <w:szCs w:val="20"/>
        </w:rPr>
        <w:t xml:space="preserve">в </w:t>
      </w:r>
      <w:proofErr w:type="spellStart"/>
      <w:r w:rsidR="00C22309" w:rsidRPr="00E16672">
        <w:rPr>
          <w:rFonts w:ascii="Times New Roman" w:hAnsi="Times New Roman"/>
          <w:color w:val="000000"/>
          <w:szCs w:val="20"/>
        </w:rPr>
        <w:t>цін</w:t>
      </w:r>
      <w:r w:rsidRPr="00E16672">
        <w:rPr>
          <w:rFonts w:ascii="Times New Roman" w:hAnsi="Times New Roman"/>
          <w:color w:val="000000"/>
          <w:szCs w:val="20"/>
        </w:rPr>
        <w:t>них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паперах</w:t>
      </w:r>
      <w:proofErr w:type="spellEnd"/>
      <w:r w:rsidRPr="00E16672">
        <w:rPr>
          <w:rFonts w:ascii="Times New Roman" w:hAnsi="Times New Roman"/>
          <w:color w:val="000000"/>
          <w:szCs w:val="20"/>
        </w:rPr>
        <w:t xml:space="preserve"> Депонента.</w:t>
      </w:r>
    </w:p>
    <w:p w14:paraId="4011C9C0" w14:textId="77777777" w:rsidR="007974E8" w:rsidRPr="00E16672" w:rsidRDefault="007974E8" w:rsidP="007974E8">
      <w:pPr>
        <w:rPr>
          <w:rFonts w:ascii="Times New Roman" w:hAnsi="Times New Roman"/>
          <w:color w:val="000000"/>
          <w:szCs w:val="20"/>
        </w:rPr>
      </w:pPr>
      <w:proofErr w:type="spellStart"/>
      <w:r w:rsidRPr="00E16672">
        <w:rPr>
          <w:rFonts w:ascii="Times New Roman" w:hAnsi="Times New Roman"/>
          <w:color w:val="000000"/>
          <w:szCs w:val="20"/>
        </w:rPr>
        <w:t>Якщо</w:t>
      </w:r>
      <w:proofErr w:type="spellEnd"/>
      <w:r w:rsidRPr="00E16672">
        <w:rPr>
          <w:rFonts w:ascii="Times New Roman" w:hAnsi="Times New Roman"/>
          <w:color w:val="000000"/>
          <w:szCs w:val="20"/>
        </w:rPr>
        <w:t xml:space="preserve"> в </w:t>
      </w:r>
      <w:proofErr w:type="spellStart"/>
      <w:r w:rsidRPr="00E16672">
        <w:rPr>
          <w:rFonts w:ascii="Times New Roman" w:hAnsi="Times New Roman"/>
          <w:color w:val="000000"/>
          <w:szCs w:val="20"/>
        </w:rPr>
        <w:t>анкеті</w:t>
      </w:r>
      <w:proofErr w:type="spellEnd"/>
      <w:r w:rsidRPr="00E16672">
        <w:rPr>
          <w:rFonts w:ascii="Times New Roman" w:hAnsi="Times New Roman"/>
          <w:color w:val="000000"/>
          <w:szCs w:val="20"/>
        </w:rPr>
        <w:t xml:space="preserve"> Депонента </w:t>
      </w:r>
      <w:proofErr w:type="spellStart"/>
      <w:r w:rsidRPr="00E16672">
        <w:rPr>
          <w:rFonts w:ascii="Times New Roman" w:hAnsi="Times New Roman"/>
          <w:color w:val="000000"/>
          <w:szCs w:val="20"/>
        </w:rPr>
        <w:t>відсутні</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реквізити</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діючого</w:t>
      </w:r>
      <w:proofErr w:type="spellEnd"/>
      <w:r w:rsidRPr="00E16672">
        <w:rPr>
          <w:rFonts w:ascii="Times New Roman" w:hAnsi="Times New Roman"/>
          <w:color w:val="000000"/>
          <w:szCs w:val="20"/>
        </w:rPr>
        <w:t xml:space="preserve"> грошового </w:t>
      </w:r>
      <w:proofErr w:type="spellStart"/>
      <w:r w:rsidRPr="00E16672">
        <w:rPr>
          <w:rFonts w:ascii="Times New Roman" w:hAnsi="Times New Roman"/>
          <w:color w:val="000000"/>
          <w:szCs w:val="20"/>
        </w:rPr>
        <w:t>банківського</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рахунку</w:t>
      </w:r>
      <w:proofErr w:type="spellEnd"/>
      <w:r w:rsidRPr="00E16672">
        <w:rPr>
          <w:rFonts w:ascii="Times New Roman" w:hAnsi="Times New Roman"/>
          <w:color w:val="000000"/>
          <w:szCs w:val="20"/>
        </w:rPr>
        <w:t xml:space="preserve"> на дату </w:t>
      </w:r>
      <w:proofErr w:type="spellStart"/>
      <w:r w:rsidRPr="00E16672">
        <w:rPr>
          <w:rFonts w:ascii="Times New Roman" w:hAnsi="Times New Roman"/>
          <w:color w:val="000000"/>
          <w:szCs w:val="20"/>
        </w:rPr>
        <w:t>надходження</w:t>
      </w:r>
      <w:proofErr w:type="spellEnd"/>
      <w:r w:rsidRPr="00E16672">
        <w:rPr>
          <w:rFonts w:ascii="Times New Roman" w:hAnsi="Times New Roman"/>
          <w:color w:val="000000"/>
          <w:szCs w:val="20"/>
        </w:rPr>
        <w:t xml:space="preserve"> до </w:t>
      </w:r>
      <w:proofErr w:type="spellStart"/>
      <w:r w:rsidRPr="00E16672">
        <w:rPr>
          <w:rFonts w:ascii="Times New Roman" w:hAnsi="Times New Roman"/>
          <w:color w:val="000000"/>
          <w:szCs w:val="20"/>
        </w:rPr>
        <w:t>Депозитарної</w:t>
      </w:r>
      <w:proofErr w:type="spellEnd"/>
      <w:r w:rsidRPr="00E16672">
        <w:rPr>
          <w:rFonts w:ascii="Times New Roman" w:hAnsi="Times New Roman"/>
          <w:color w:val="000000"/>
          <w:szCs w:val="20"/>
        </w:rPr>
        <w:t xml:space="preserve"> установи </w:t>
      </w:r>
      <w:proofErr w:type="spellStart"/>
      <w:r w:rsidRPr="00E16672">
        <w:rPr>
          <w:rFonts w:ascii="Times New Roman" w:hAnsi="Times New Roman"/>
          <w:color w:val="000000"/>
          <w:szCs w:val="20"/>
        </w:rPr>
        <w:t>відповідних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коштів</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виплата</w:t>
      </w:r>
      <w:proofErr w:type="spellEnd"/>
      <w:r w:rsidRPr="00E16672">
        <w:rPr>
          <w:rFonts w:ascii="Times New Roman" w:hAnsi="Times New Roman"/>
          <w:color w:val="000000"/>
          <w:szCs w:val="20"/>
        </w:rPr>
        <w:t xml:space="preserve"> доходу за </w:t>
      </w:r>
      <w:proofErr w:type="spellStart"/>
      <w:r w:rsidRPr="00E16672">
        <w:rPr>
          <w:rFonts w:ascii="Times New Roman" w:hAnsi="Times New Roman"/>
          <w:color w:val="000000"/>
          <w:szCs w:val="20"/>
        </w:rPr>
        <w:t>цінними</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паперами</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здійснюється</w:t>
      </w:r>
      <w:proofErr w:type="spellEnd"/>
      <w:r w:rsidRPr="00E16672">
        <w:rPr>
          <w:rFonts w:ascii="Times New Roman" w:hAnsi="Times New Roman"/>
          <w:color w:val="000000"/>
          <w:szCs w:val="20"/>
        </w:rPr>
        <w:t xml:space="preserve"> не </w:t>
      </w:r>
      <w:proofErr w:type="spellStart"/>
      <w:r w:rsidRPr="00E16672">
        <w:rPr>
          <w:rFonts w:ascii="Times New Roman" w:hAnsi="Times New Roman"/>
          <w:color w:val="000000"/>
          <w:szCs w:val="20"/>
        </w:rPr>
        <w:t>пізніше</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ніж</w:t>
      </w:r>
      <w:proofErr w:type="spellEnd"/>
      <w:r w:rsidRPr="00E16672">
        <w:rPr>
          <w:rFonts w:ascii="Times New Roman" w:hAnsi="Times New Roman"/>
          <w:color w:val="000000"/>
          <w:szCs w:val="20"/>
        </w:rPr>
        <w:t xml:space="preserve"> за десять </w:t>
      </w:r>
      <w:proofErr w:type="spellStart"/>
      <w:r w:rsidRPr="00E16672">
        <w:rPr>
          <w:rFonts w:ascii="Times New Roman" w:hAnsi="Times New Roman"/>
          <w:color w:val="000000"/>
          <w:szCs w:val="20"/>
        </w:rPr>
        <w:t>робочих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днів</w:t>
      </w:r>
      <w:proofErr w:type="spellEnd"/>
      <w:r w:rsidRPr="00E16672">
        <w:rPr>
          <w:rFonts w:ascii="Times New Roman" w:hAnsi="Times New Roman"/>
          <w:color w:val="000000"/>
          <w:szCs w:val="20"/>
        </w:rPr>
        <w:t xml:space="preserve"> до </w:t>
      </w:r>
      <w:proofErr w:type="spellStart"/>
      <w:r w:rsidRPr="00E16672">
        <w:rPr>
          <w:rFonts w:ascii="Times New Roman" w:hAnsi="Times New Roman"/>
          <w:color w:val="000000"/>
          <w:szCs w:val="20"/>
        </w:rPr>
        <w:t>закінчення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шестимісячного</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терміну</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знаходження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коштів</w:t>
      </w:r>
      <w:proofErr w:type="spellEnd"/>
      <w:r w:rsidRPr="00E16672">
        <w:rPr>
          <w:rFonts w:ascii="Times New Roman" w:hAnsi="Times New Roman"/>
          <w:color w:val="000000"/>
          <w:szCs w:val="20"/>
        </w:rPr>
        <w:t xml:space="preserve"> у </w:t>
      </w:r>
      <w:proofErr w:type="spellStart"/>
      <w:r w:rsidRPr="00E16672">
        <w:rPr>
          <w:rFonts w:ascii="Times New Roman" w:hAnsi="Times New Roman"/>
          <w:color w:val="000000"/>
          <w:szCs w:val="20"/>
        </w:rPr>
        <w:t>Депозитарній</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установі</w:t>
      </w:r>
      <w:proofErr w:type="spellEnd"/>
      <w:r w:rsidRPr="00E16672">
        <w:rPr>
          <w:rFonts w:ascii="Times New Roman" w:hAnsi="Times New Roman"/>
          <w:color w:val="000000"/>
          <w:szCs w:val="20"/>
        </w:rPr>
        <w:t xml:space="preserve"> у </w:t>
      </w:r>
      <w:proofErr w:type="spellStart"/>
      <w:r w:rsidRPr="00E16672">
        <w:rPr>
          <w:rFonts w:ascii="Times New Roman" w:hAnsi="Times New Roman"/>
          <w:color w:val="000000"/>
          <w:szCs w:val="20"/>
        </w:rPr>
        <w:t>разі</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внесення</w:t>
      </w:r>
      <w:proofErr w:type="spellEnd"/>
      <w:r w:rsidRPr="00E16672">
        <w:rPr>
          <w:rFonts w:ascii="Times New Roman" w:hAnsi="Times New Roman"/>
          <w:color w:val="000000"/>
          <w:szCs w:val="20"/>
        </w:rPr>
        <w:t xml:space="preserve"> Депонентом до </w:t>
      </w:r>
      <w:proofErr w:type="spellStart"/>
      <w:r w:rsidRPr="00E16672">
        <w:rPr>
          <w:rFonts w:ascii="Times New Roman" w:hAnsi="Times New Roman"/>
          <w:color w:val="000000"/>
          <w:szCs w:val="20"/>
        </w:rPr>
        <w:t>анкети</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рахунку</w:t>
      </w:r>
      <w:proofErr w:type="spellEnd"/>
      <w:r w:rsidRPr="00E16672">
        <w:rPr>
          <w:rFonts w:ascii="Times New Roman" w:hAnsi="Times New Roman"/>
          <w:color w:val="000000"/>
          <w:szCs w:val="20"/>
        </w:rPr>
        <w:t xml:space="preserve"> </w:t>
      </w:r>
      <w:r w:rsidR="00C22309" w:rsidRPr="00E16672">
        <w:rPr>
          <w:rFonts w:ascii="Times New Roman" w:hAnsi="Times New Roman"/>
          <w:color w:val="000000"/>
          <w:szCs w:val="20"/>
        </w:rPr>
        <w:t xml:space="preserve">в </w:t>
      </w:r>
      <w:proofErr w:type="spellStart"/>
      <w:r w:rsidR="00C22309" w:rsidRPr="00E16672">
        <w:rPr>
          <w:rFonts w:ascii="Times New Roman" w:hAnsi="Times New Roman"/>
          <w:color w:val="000000"/>
          <w:szCs w:val="20"/>
        </w:rPr>
        <w:t>цін</w:t>
      </w:r>
      <w:r w:rsidRPr="00E16672">
        <w:rPr>
          <w:rFonts w:ascii="Times New Roman" w:hAnsi="Times New Roman"/>
          <w:color w:val="000000"/>
          <w:szCs w:val="20"/>
        </w:rPr>
        <w:t>них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паперах</w:t>
      </w:r>
      <w:proofErr w:type="spellEnd"/>
      <w:r w:rsidRPr="00E16672">
        <w:rPr>
          <w:rFonts w:ascii="Times New Roman" w:hAnsi="Times New Roman"/>
          <w:color w:val="000000"/>
          <w:szCs w:val="20"/>
        </w:rPr>
        <w:t xml:space="preserve"> не </w:t>
      </w:r>
      <w:proofErr w:type="spellStart"/>
      <w:r w:rsidRPr="00E16672">
        <w:rPr>
          <w:rFonts w:ascii="Times New Roman" w:hAnsi="Times New Roman"/>
          <w:color w:val="000000"/>
          <w:szCs w:val="20"/>
        </w:rPr>
        <w:t>пізніше</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ніж</w:t>
      </w:r>
      <w:proofErr w:type="spellEnd"/>
      <w:r w:rsidRPr="00E16672">
        <w:rPr>
          <w:rFonts w:ascii="Times New Roman" w:hAnsi="Times New Roman"/>
          <w:color w:val="000000"/>
          <w:szCs w:val="20"/>
        </w:rPr>
        <w:t xml:space="preserve"> за </w:t>
      </w:r>
      <w:proofErr w:type="spellStart"/>
      <w:r w:rsidRPr="00E16672">
        <w:rPr>
          <w:rFonts w:ascii="Times New Roman" w:hAnsi="Times New Roman"/>
          <w:color w:val="000000"/>
          <w:szCs w:val="20"/>
        </w:rPr>
        <w:t>п'ятнадцять</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робочих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днів</w:t>
      </w:r>
      <w:proofErr w:type="spellEnd"/>
      <w:r w:rsidRPr="00E16672">
        <w:rPr>
          <w:rFonts w:ascii="Times New Roman" w:hAnsi="Times New Roman"/>
          <w:color w:val="000000"/>
          <w:szCs w:val="20"/>
        </w:rPr>
        <w:t xml:space="preserve"> до </w:t>
      </w:r>
      <w:proofErr w:type="spellStart"/>
      <w:r w:rsidRPr="00E16672">
        <w:rPr>
          <w:rFonts w:ascii="Times New Roman" w:hAnsi="Times New Roman"/>
          <w:color w:val="000000"/>
          <w:szCs w:val="20"/>
        </w:rPr>
        <w:t>закінчення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зазначеного</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терміну</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інформації</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щодо</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діючого</w:t>
      </w:r>
      <w:proofErr w:type="spellEnd"/>
      <w:r w:rsidRPr="00E16672">
        <w:rPr>
          <w:rFonts w:ascii="Times New Roman" w:hAnsi="Times New Roman"/>
          <w:color w:val="000000"/>
          <w:szCs w:val="20"/>
        </w:rPr>
        <w:t xml:space="preserve"> грошового </w:t>
      </w:r>
      <w:proofErr w:type="spellStart"/>
      <w:r w:rsidRPr="00E16672">
        <w:rPr>
          <w:rFonts w:ascii="Times New Roman" w:hAnsi="Times New Roman"/>
          <w:color w:val="000000"/>
          <w:szCs w:val="20"/>
        </w:rPr>
        <w:t>банківського</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рахунку</w:t>
      </w:r>
      <w:proofErr w:type="spellEnd"/>
      <w:r w:rsidRPr="00E16672">
        <w:rPr>
          <w:rFonts w:ascii="Times New Roman" w:hAnsi="Times New Roman"/>
          <w:color w:val="000000"/>
          <w:szCs w:val="20"/>
        </w:rPr>
        <w:t xml:space="preserve">. </w:t>
      </w:r>
    </w:p>
    <w:p w14:paraId="05759E60" w14:textId="77777777" w:rsidR="007974E8" w:rsidRPr="00E16672" w:rsidRDefault="007974E8" w:rsidP="007974E8">
      <w:pPr>
        <w:rPr>
          <w:rFonts w:ascii="Times New Roman" w:hAnsi="Times New Roman"/>
          <w:color w:val="000000"/>
          <w:szCs w:val="20"/>
        </w:rPr>
      </w:pPr>
      <w:proofErr w:type="spellStart"/>
      <w:r w:rsidRPr="00E16672">
        <w:rPr>
          <w:rFonts w:ascii="Times New Roman" w:hAnsi="Times New Roman"/>
          <w:color w:val="000000"/>
          <w:szCs w:val="20"/>
        </w:rPr>
        <w:t>Щодо</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коштів</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які</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надійшли</w:t>
      </w:r>
      <w:proofErr w:type="spellEnd"/>
      <w:r w:rsidRPr="00E16672">
        <w:rPr>
          <w:rFonts w:ascii="Times New Roman" w:hAnsi="Times New Roman"/>
          <w:color w:val="000000"/>
          <w:szCs w:val="20"/>
        </w:rPr>
        <w:t xml:space="preserve"> на </w:t>
      </w:r>
      <w:proofErr w:type="spellStart"/>
      <w:r w:rsidRPr="00E16672">
        <w:rPr>
          <w:rFonts w:ascii="Times New Roman" w:hAnsi="Times New Roman"/>
          <w:color w:val="000000"/>
          <w:szCs w:val="20"/>
        </w:rPr>
        <w:t>грошовий</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рахунок</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Депозитарної</w:t>
      </w:r>
      <w:proofErr w:type="spellEnd"/>
      <w:r w:rsidRPr="00E16672">
        <w:rPr>
          <w:rFonts w:ascii="Times New Roman" w:hAnsi="Times New Roman"/>
          <w:color w:val="000000"/>
          <w:szCs w:val="20"/>
        </w:rPr>
        <w:t xml:space="preserve"> установи з метою </w:t>
      </w:r>
      <w:proofErr w:type="spellStart"/>
      <w:r w:rsidRPr="00E16672">
        <w:rPr>
          <w:rFonts w:ascii="Times New Roman" w:hAnsi="Times New Roman"/>
          <w:color w:val="000000"/>
          <w:szCs w:val="20"/>
        </w:rPr>
        <w:t>їх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подальшого</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переказу</w:t>
      </w:r>
      <w:proofErr w:type="spellEnd"/>
      <w:r w:rsidRPr="00E16672">
        <w:rPr>
          <w:rFonts w:ascii="Times New Roman" w:hAnsi="Times New Roman"/>
          <w:color w:val="000000"/>
          <w:szCs w:val="20"/>
        </w:rPr>
        <w:t xml:space="preserve"> та не </w:t>
      </w:r>
      <w:proofErr w:type="spellStart"/>
      <w:r w:rsidRPr="00E16672">
        <w:rPr>
          <w:rFonts w:ascii="Times New Roman" w:hAnsi="Times New Roman"/>
          <w:color w:val="000000"/>
          <w:szCs w:val="20"/>
        </w:rPr>
        <w:t>були</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виплачені</w:t>
      </w:r>
      <w:proofErr w:type="spellEnd"/>
      <w:r w:rsidRPr="00E16672">
        <w:rPr>
          <w:rFonts w:ascii="Times New Roman" w:hAnsi="Times New Roman"/>
          <w:color w:val="000000"/>
          <w:szCs w:val="20"/>
        </w:rPr>
        <w:t xml:space="preserve"> Депоненту через </w:t>
      </w:r>
      <w:proofErr w:type="spellStart"/>
      <w:r w:rsidRPr="00E16672">
        <w:rPr>
          <w:rFonts w:ascii="Times New Roman" w:hAnsi="Times New Roman"/>
          <w:color w:val="000000"/>
          <w:szCs w:val="20"/>
        </w:rPr>
        <w:t>незалежні</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від</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Депозитарної</w:t>
      </w:r>
      <w:proofErr w:type="spellEnd"/>
      <w:r w:rsidRPr="00E16672">
        <w:rPr>
          <w:rFonts w:ascii="Times New Roman" w:hAnsi="Times New Roman"/>
          <w:color w:val="000000"/>
          <w:szCs w:val="20"/>
        </w:rPr>
        <w:t xml:space="preserve"> установи </w:t>
      </w:r>
      <w:proofErr w:type="spellStart"/>
      <w:r w:rsidRPr="00E16672">
        <w:rPr>
          <w:rFonts w:ascii="Times New Roman" w:hAnsi="Times New Roman"/>
          <w:color w:val="000000"/>
          <w:szCs w:val="20"/>
        </w:rPr>
        <w:t>обставини</w:t>
      </w:r>
      <w:proofErr w:type="spellEnd"/>
      <w:r w:rsidRPr="00E16672">
        <w:rPr>
          <w:rFonts w:ascii="Times New Roman" w:hAnsi="Times New Roman"/>
          <w:color w:val="000000"/>
          <w:szCs w:val="20"/>
        </w:rPr>
        <w:t xml:space="preserve"> у </w:t>
      </w:r>
      <w:proofErr w:type="spellStart"/>
      <w:r w:rsidRPr="00E16672">
        <w:rPr>
          <w:rFonts w:ascii="Times New Roman" w:hAnsi="Times New Roman"/>
          <w:color w:val="000000"/>
          <w:szCs w:val="20"/>
        </w:rPr>
        <w:t>разі</w:t>
      </w:r>
      <w:proofErr w:type="spellEnd"/>
      <w:r w:rsidRPr="00E16672">
        <w:rPr>
          <w:rFonts w:ascii="Times New Roman" w:hAnsi="Times New Roman"/>
          <w:color w:val="000000"/>
          <w:szCs w:val="20"/>
        </w:rPr>
        <w:t xml:space="preserve"> не </w:t>
      </w:r>
      <w:proofErr w:type="spellStart"/>
      <w:r w:rsidRPr="00E16672">
        <w:rPr>
          <w:rFonts w:ascii="Times New Roman" w:hAnsi="Times New Roman"/>
          <w:color w:val="000000"/>
          <w:szCs w:val="20"/>
        </w:rPr>
        <w:t>вчинення</w:t>
      </w:r>
      <w:proofErr w:type="spellEnd"/>
      <w:r w:rsidRPr="00E16672">
        <w:rPr>
          <w:rFonts w:ascii="Times New Roman" w:hAnsi="Times New Roman"/>
          <w:color w:val="000000"/>
          <w:szCs w:val="20"/>
        </w:rPr>
        <w:t xml:space="preserve"> Депонентом </w:t>
      </w:r>
      <w:proofErr w:type="spellStart"/>
      <w:r w:rsidRPr="00E16672">
        <w:rPr>
          <w:rFonts w:ascii="Times New Roman" w:hAnsi="Times New Roman"/>
          <w:color w:val="000000"/>
          <w:szCs w:val="20"/>
        </w:rPr>
        <w:t>необхідних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дій</w:t>
      </w:r>
      <w:proofErr w:type="spellEnd"/>
      <w:r w:rsidRPr="00E16672">
        <w:rPr>
          <w:rFonts w:ascii="Times New Roman" w:hAnsi="Times New Roman"/>
          <w:color w:val="000000"/>
          <w:szCs w:val="20"/>
        </w:rPr>
        <w:t xml:space="preserve"> для </w:t>
      </w:r>
      <w:proofErr w:type="spellStart"/>
      <w:r w:rsidRPr="00E16672">
        <w:rPr>
          <w:rFonts w:ascii="Times New Roman" w:hAnsi="Times New Roman"/>
          <w:color w:val="000000"/>
          <w:szCs w:val="20"/>
        </w:rPr>
        <w:t>їх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отримання</w:t>
      </w:r>
      <w:proofErr w:type="spellEnd"/>
      <w:r w:rsidRPr="00E16672">
        <w:rPr>
          <w:rFonts w:ascii="Times New Roman" w:hAnsi="Times New Roman"/>
          <w:color w:val="000000"/>
          <w:szCs w:val="20"/>
        </w:rPr>
        <w:t xml:space="preserve">, Депозитарною </w:t>
      </w:r>
      <w:proofErr w:type="spellStart"/>
      <w:r w:rsidRPr="00E16672">
        <w:rPr>
          <w:rFonts w:ascii="Times New Roman" w:hAnsi="Times New Roman"/>
          <w:color w:val="000000"/>
          <w:szCs w:val="20"/>
        </w:rPr>
        <w:t>установою</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вчиняються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дії</w:t>
      </w:r>
      <w:proofErr w:type="spellEnd"/>
      <w:r w:rsidRPr="00E16672">
        <w:rPr>
          <w:rFonts w:ascii="Times New Roman" w:hAnsi="Times New Roman"/>
          <w:color w:val="000000"/>
          <w:szCs w:val="20"/>
        </w:rPr>
        <w:t xml:space="preserve"> </w:t>
      </w:r>
      <w:proofErr w:type="gramStart"/>
      <w:r w:rsidRPr="00E16672">
        <w:rPr>
          <w:rFonts w:ascii="Times New Roman" w:hAnsi="Times New Roman"/>
          <w:color w:val="000000"/>
          <w:szCs w:val="20"/>
        </w:rPr>
        <w:t>у порядку</w:t>
      </w:r>
      <w:proofErr w:type="gram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передбаченому</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законодавством</w:t>
      </w:r>
      <w:proofErr w:type="spellEnd"/>
      <w:r w:rsidRPr="00E16672">
        <w:rPr>
          <w:rFonts w:ascii="Times New Roman" w:hAnsi="Times New Roman"/>
          <w:color w:val="000000"/>
          <w:szCs w:val="20"/>
        </w:rPr>
        <w:t xml:space="preserve"> та/</w:t>
      </w:r>
      <w:proofErr w:type="spellStart"/>
      <w:r w:rsidRPr="00E16672">
        <w:rPr>
          <w:rFonts w:ascii="Times New Roman" w:hAnsi="Times New Roman"/>
          <w:color w:val="000000"/>
          <w:szCs w:val="20"/>
        </w:rPr>
        <w:t>або</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внутрішніми</w:t>
      </w:r>
      <w:proofErr w:type="spellEnd"/>
      <w:r w:rsidRPr="00E16672">
        <w:rPr>
          <w:rFonts w:ascii="Times New Roman" w:hAnsi="Times New Roman"/>
          <w:color w:val="000000"/>
          <w:szCs w:val="20"/>
        </w:rPr>
        <w:t xml:space="preserve"> документами </w:t>
      </w:r>
      <w:proofErr w:type="spellStart"/>
      <w:r w:rsidRPr="00E16672">
        <w:rPr>
          <w:rFonts w:ascii="Times New Roman" w:hAnsi="Times New Roman"/>
          <w:color w:val="000000"/>
          <w:szCs w:val="20"/>
        </w:rPr>
        <w:t>Депозитарної</w:t>
      </w:r>
      <w:proofErr w:type="spellEnd"/>
      <w:r w:rsidRPr="00E16672">
        <w:rPr>
          <w:rFonts w:ascii="Times New Roman" w:hAnsi="Times New Roman"/>
          <w:color w:val="000000"/>
          <w:szCs w:val="20"/>
        </w:rPr>
        <w:t xml:space="preserve"> установи.</w:t>
      </w:r>
    </w:p>
    <w:p w14:paraId="0C497144" w14:textId="77777777" w:rsidR="007974E8" w:rsidRPr="00E16672" w:rsidRDefault="007974E8" w:rsidP="007974E8">
      <w:pPr>
        <w:rPr>
          <w:rFonts w:ascii="Times New Roman" w:hAnsi="Times New Roman"/>
          <w:color w:val="000000"/>
          <w:szCs w:val="20"/>
          <w:lang w:val="uk-UA"/>
        </w:rPr>
      </w:pPr>
      <w:r w:rsidRPr="00E16672">
        <w:rPr>
          <w:rFonts w:ascii="Times New Roman" w:hAnsi="Times New Roman"/>
          <w:color w:val="000000"/>
          <w:szCs w:val="20"/>
        </w:rPr>
        <w:t>1</w:t>
      </w:r>
      <w:r w:rsidRPr="00E16672">
        <w:rPr>
          <w:rFonts w:ascii="Times New Roman" w:hAnsi="Times New Roman"/>
          <w:color w:val="000000"/>
          <w:szCs w:val="20"/>
          <w:lang w:val="uk-UA"/>
        </w:rPr>
        <w:t>1</w:t>
      </w:r>
      <w:r w:rsidRPr="00E16672">
        <w:rPr>
          <w:rFonts w:ascii="Times New Roman" w:hAnsi="Times New Roman"/>
          <w:color w:val="000000"/>
          <w:szCs w:val="20"/>
        </w:rPr>
        <w:t xml:space="preserve">.1.2. У </w:t>
      </w:r>
      <w:proofErr w:type="spellStart"/>
      <w:r w:rsidRPr="00E16672">
        <w:rPr>
          <w:rFonts w:ascii="Times New Roman" w:hAnsi="Times New Roman"/>
          <w:color w:val="000000"/>
          <w:szCs w:val="20"/>
        </w:rPr>
        <w:t>термін</w:t>
      </w:r>
      <w:proofErr w:type="spellEnd"/>
      <w:r w:rsidRPr="00E16672">
        <w:rPr>
          <w:rFonts w:ascii="Times New Roman" w:hAnsi="Times New Roman"/>
          <w:color w:val="000000"/>
          <w:szCs w:val="20"/>
        </w:rPr>
        <w:t xml:space="preserve"> не </w:t>
      </w:r>
      <w:proofErr w:type="spellStart"/>
      <w:r w:rsidRPr="00E16672">
        <w:rPr>
          <w:rFonts w:ascii="Times New Roman" w:hAnsi="Times New Roman"/>
          <w:color w:val="000000"/>
          <w:szCs w:val="20"/>
        </w:rPr>
        <w:t>пізніше</w:t>
      </w:r>
      <w:proofErr w:type="spellEnd"/>
      <w:r w:rsidRPr="00E16672">
        <w:rPr>
          <w:rFonts w:ascii="Times New Roman" w:hAnsi="Times New Roman"/>
          <w:color w:val="000000"/>
          <w:szCs w:val="20"/>
        </w:rPr>
        <w:t xml:space="preserve"> десяти </w:t>
      </w:r>
      <w:proofErr w:type="spellStart"/>
      <w:r w:rsidRPr="00E16672">
        <w:rPr>
          <w:rFonts w:ascii="Times New Roman" w:hAnsi="Times New Roman"/>
          <w:color w:val="000000"/>
          <w:szCs w:val="20"/>
        </w:rPr>
        <w:t>робочих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днів</w:t>
      </w:r>
      <w:proofErr w:type="spellEnd"/>
      <w:r w:rsidRPr="00E16672">
        <w:rPr>
          <w:rFonts w:ascii="Times New Roman" w:hAnsi="Times New Roman"/>
          <w:color w:val="000000"/>
          <w:szCs w:val="20"/>
        </w:rPr>
        <w:t xml:space="preserve"> з моменту </w:t>
      </w:r>
      <w:proofErr w:type="spellStart"/>
      <w:r w:rsidRPr="00E16672">
        <w:rPr>
          <w:rFonts w:ascii="Times New Roman" w:hAnsi="Times New Roman"/>
          <w:color w:val="000000"/>
          <w:szCs w:val="20"/>
        </w:rPr>
        <w:t>надходження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відповідних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коштів</w:t>
      </w:r>
      <w:proofErr w:type="spellEnd"/>
      <w:r w:rsidRPr="00E16672">
        <w:rPr>
          <w:rFonts w:ascii="Times New Roman" w:hAnsi="Times New Roman"/>
          <w:color w:val="000000"/>
          <w:szCs w:val="20"/>
        </w:rPr>
        <w:t xml:space="preserve"> на </w:t>
      </w:r>
      <w:proofErr w:type="spellStart"/>
      <w:r w:rsidRPr="00E16672">
        <w:rPr>
          <w:rFonts w:ascii="Times New Roman" w:hAnsi="Times New Roman"/>
          <w:color w:val="000000"/>
          <w:szCs w:val="20"/>
        </w:rPr>
        <w:t>грошовий</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рахунок</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Депозитарної</w:t>
      </w:r>
      <w:proofErr w:type="spellEnd"/>
      <w:r w:rsidRPr="00E16672">
        <w:rPr>
          <w:rFonts w:ascii="Times New Roman" w:hAnsi="Times New Roman"/>
          <w:color w:val="000000"/>
          <w:szCs w:val="20"/>
        </w:rPr>
        <w:t xml:space="preserve"> установи </w:t>
      </w:r>
      <w:proofErr w:type="spellStart"/>
      <w:r w:rsidRPr="00E16672">
        <w:rPr>
          <w:rFonts w:ascii="Times New Roman" w:hAnsi="Times New Roman"/>
          <w:color w:val="000000"/>
          <w:szCs w:val="20"/>
        </w:rPr>
        <w:t>Депозитарна</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установа</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здійснює</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виплату</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грошових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коштів</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отриманих</w:t>
      </w:r>
      <w:proofErr w:type="spellEnd"/>
      <w:r w:rsidRPr="00E16672">
        <w:rPr>
          <w:rFonts w:ascii="Times New Roman" w:hAnsi="Times New Roman"/>
          <w:color w:val="000000"/>
          <w:szCs w:val="20"/>
        </w:rPr>
        <w:t xml:space="preserve"> Депонентом за результатами </w:t>
      </w:r>
      <w:proofErr w:type="spellStart"/>
      <w:r w:rsidRPr="00E16672">
        <w:rPr>
          <w:rFonts w:ascii="Times New Roman" w:hAnsi="Times New Roman"/>
          <w:color w:val="000000"/>
          <w:szCs w:val="20"/>
        </w:rPr>
        <w:t>погашення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цінних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паперів</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емітента</w:t>
      </w:r>
      <w:proofErr w:type="spellEnd"/>
      <w:r w:rsidRPr="00E16672">
        <w:rPr>
          <w:rFonts w:ascii="Times New Roman" w:hAnsi="Times New Roman"/>
          <w:color w:val="000000"/>
          <w:szCs w:val="20"/>
        </w:rPr>
        <w:t xml:space="preserve">, шляхом </w:t>
      </w:r>
      <w:proofErr w:type="spellStart"/>
      <w:r w:rsidRPr="00E16672">
        <w:rPr>
          <w:rFonts w:ascii="Times New Roman" w:hAnsi="Times New Roman"/>
          <w:color w:val="000000"/>
          <w:szCs w:val="20"/>
        </w:rPr>
        <w:t>перерахування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грошових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коштів</w:t>
      </w:r>
      <w:proofErr w:type="spellEnd"/>
      <w:r w:rsidRPr="00E16672">
        <w:rPr>
          <w:rFonts w:ascii="Times New Roman" w:hAnsi="Times New Roman"/>
          <w:color w:val="000000"/>
          <w:szCs w:val="20"/>
        </w:rPr>
        <w:t xml:space="preserve"> на </w:t>
      </w:r>
      <w:proofErr w:type="spellStart"/>
      <w:r w:rsidRPr="00E16672">
        <w:rPr>
          <w:rFonts w:ascii="Times New Roman" w:hAnsi="Times New Roman"/>
          <w:color w:val="000000"/>
          <w:szCs w:val="20"/>
        </w:rPr>
        <w:t>грошовий</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банківський</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рахунок</w:t>
      </w:r>
      <w:proofErr w:type="spellEnd"/>
      <w:r w:rsidRPr="00E16672">
        <w:rPr>
          <w:rFonts w:ascii="Times New Roman" w:hAnsi="Times New Roman"/>
          <w:color w:val="000000"/>
          <w:szCs w:val="20"/>
        </w:rPr>
        <w:t xml:space="preserve"> Депонента, </w:t>
      </w:r>
      <w:proofErr w:type="spellStart"/>
      <w:r w:rsidRPr="00E16672">
        <w:rPr>
          <w:rFonts w:ascii="Times New Roman" w:hAnsi="Times New Roman"/>
          <w:color w:val="000000"/>
          <w:szCs w:val="20"/>
        </w:rPr>
        <w:t>зазначений</w:t>
      </w:r>
      <w:proofErr w:type="spellEnd"/>
      <w:r w:rsidRPr="00E16672">
        <w:rPr>
          <w:rFonts w:ascii="Times New Roman" w:hAnsi="Times New Roman"/>
          <w:color w:val="000000"/>
          <w:szCs w:val="20"/>
        </w:rPr>
        <w:t xml:space="preserve"> в </w:t>
      </w:r>
      <w:proofErr w:type="spellStart"/>
      <w:r w:rsidRPr="00E16672">
        <w:rPr>
          <w:rFonts w:ascii="Times New Roman" w:hAnsi="Times New Roman"/>
          <w:color w:val="000000"/>
          <w:szCs w:val="20"/>
        </w:rPr>
        <w:t>анкеті</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рахунку</w:t>
      </w:r>
      <w:proofErr w:type="spellEnd"/>
      <w:r w:rsidRPr="00E16672">
        <w:rPr>
          <w:rFonts w:ascii="Times New Roman" w:hAnsi="Times New Roman"/>
          <w:color w:val="000000"/>
          <w:szCs w:val="20"/>
        </w:rPr>
        <w:t xml:space="preserve"> в </w:t>
      </w:r>
      <w:proofErr w:type="spellStart"/>
      <w:r w:rsidRPr="00E16672">
        <w:rPr>
          <w:rFonts w:ascii="Times New Roman" w:hAnsi="Times New Roman"/>
          <w:color w:val="000000"/>
          <w:szCs w:val="20"/>
        </w:rPr>
        <w:t>цінних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паперах</w:t>
      </w:r>
      <w:proofErr w:type="spellEnd"/>
      <w:r w:rsidRPr="00E16672">
        <w:rPr>
          <w:rFonts w:ascii="Times New Roman" w:hAnsi="Times New Roman"/>
          <w:color w:val="000000"/>
          <w:szCs w:val="20"/>
        </w:rPr>
        <w:t xml:space="preserve"> Депонента. </w:t>
      </w:r>
      <w:proofErr w:type="spellStart"/>
      <w:r w:rsidRPr="00E16672">
        <w:rPr>
          <w:rFonts w:ascii="Times New Roman" w:hAnsi="Times New Roman"/>
          <w:color w:val="000000"/>
          <w:szCs w:val="20"/>
        </w:rPr>
        <w:t>Вищезазначені</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дії</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виконуються</w:t>
      </w:r>
      <w:proofErr w:type="spellEnd"/>
      <w:r w:rsidRPr="00E16672">
        <w:rPr>
          <w:rFonts w:ascii="Times New Roman" w:hAnsi="Times New Roman"/>
          <w:color w:val="000000"/>
          <w:szCs w:val="20"/>
        </w:rPr>
        <w:t xml:space="preserve"> Депозитарною </w:t>
      </w:r>
      <w:proofErr w:type="spellStart"/>
      <w:r w:rsidRPr="00E16672">
        <w:rPr>
          <w:rFonts w:ascii="Times New Roman" w:hAnsi="Times New Roman"/>
          <w:color w:val="000000"/>
          <w:szCs w:val="20"/>
        </w:rPr>
        <w:t>установою</w:t>
      </w:r>
      <w:proofErr w:type="spellEnd"/>
      <w:r w:rsidRPr="00E16672">
        <w:rPr>
          <w:rFonts w:ascii="Times New Roman" w:hAnsi="Times New Roman"/>
          <w:color w:val="000000"/>
          <w:szCs w:val="20"/>
        </w:rPr>
        <w:t xml:space="preserve"> у </w:t>
      </w:r>
      <w:proofErr w:type="spellStart"/>
      <w:r w:rsidRPr="00E16672">
        <w:rPr>
          <w:rFonts w:ascii="Times New Roman" w:hAnsi="Times New Roman"/>
          <w:color w:val="000000"/>
          <w:szCs w:val="20"/>
        </w:rPr>
        <w:t>разі</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наявності</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реквізитів</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діючого</w:t>
      </w:r>
      <w:proofErr w:type="spellEnd"/>
      <w:r w:rsidRPr="00E16672">
        <w:rPr>
          <w:rFonts w:ascii="Times New Roman" w:hAnsi="Times New Roman"/>
          <w:color w:val="000000"/>
          <w:szCs w:val="20"/>
        </w:rPr>
        <w:t xml:space="preserve"> грошового </w:t>
      </w:r>
      <w:proofErr w:type="spellStart"/>
      <w:r w:rsidRPr="00E16672">
        <w:rPr>
          <w:rFonts w:ascii="Times New Roman" w:hAnsi="Times New Roman"/>
          <w:color w:val="000000"/>
          <w:szCs w:val="20"/>
        </w:rPr>
        <w:t>банківського</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рахунку</w:t>
      </w:r>
      <w:proofErr w:type="spellEnd"/>
      <w:r w:rsidRPr="00E16672">
        <w:rPr>
          <w:rFonts w:ascii="Times New Roman" w:hAnsi="Times New Roman"/>
          <w:color w:val="000000"/>
          <w:szCs w:val="20"/>
        </w:rPr>
        <w:t xml:space="preserve"> в </w:t>
      </w:r>
      <w:proofErr w:type="spellStart"/>
      <w:r w:rsidRPr="00E16672">
        <w:rPr>
          <w:rFonts w:ascii="Times New Roman" w:hAnsi="Times New Roman"/>
          <w:color w:val="000000"/>
          <w:szCs w:val="20"/>
        </w:rPr>
        <w:t>анкеті</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рахунку</w:t>
      </w:r>
      <w:proofErr w:type="spellEnd"/>
      <w:r w:rsidRPr="00E16672">
        <w:rPr>
          <w:rFonts w:ascii="Times New Roman" w:hAnsi="Times New Roman"/>
          <w:color w:val="000000"/>
          <w:szCs w:val="20"/>
        </w:rPr>
        <w:t xml:space="preserve"> </w:t>
      </w:r>
      <w:r w:rsidR="00C22309" w:rsidRPr="00E16672">
        <w:rPr>
          <w:rFonts w:ascii="Times New Roman" w:hAnsi="Times New Roman"/>
          <w:color w:val="000000"/>
          <w:szCs w:val="20"/>
        </w:rPr>
        <w:t xml:space="preserve">в </w:t>
      </w:r>
      <w:proofErr w:type="spellStart"/>
      <w:r w:rsidR="00C22309" w:rsidRPr="00E16672">
        <w:rPr>
          <w:rFonts w:ascii="Times New Roman" w:hAnsi="Times New Roman"/>
          <w:color w:val="000000"/>
          <w:szCs w:val="20"/>
        </w:rPr>
        <w:t>цін</w:t>
      </w:r>
      <w:r w:rsidRPr="00E16672">
        <w:rPr>
          <w:rFonts w:ascii="Times New Roman" w:hAnsi="Times New Roman"/>
          <w:color w:val="000000"/>
          <w:szCs w:val="20"/>
        </w:rPr>
        <w:t>них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паперах</w:t>
      </w:r>
      <w:proofErr w:type="spellEnd"/>
      <w:r w:rsidRPr="00E16672">
        <w:rPr>
          <w:rFonts w:ascii="Times New Roman" w:hAnsi="Times New Roman"/>
          <w:color w:val="000000"/>
          <w:szCs w:val="20"/>
        </w:rPr>
        <w:t xml:space="preserve"> Депонента на момент </w:t>
      </w:r>
      <w:proofErr w:type="spellStart"/>
      <w:r w:rsidRPr="00E16672">
        <w:rPr>
          <w:rFonts w:ascii="Times New Roman" w:hAnsi="Times New Roman"/>
          <w:color w:val="000000"/>
          <w:szCs w:val="20"/>
        </w:rPr>
        <w:t>надходження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відповідних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коштів</w:t>
      </w:r>
      <w:proofErr w:type="spellEnd"/>
      <w:r w:rsidRPr="00E16672">
        <w:rPr>
          <w:rFonts w:ascii="Times New Roman" w:hAnsi="Times New Roman"/>
          <w:color w:val="000000"/>
          <w:szCs w:val="20"/>
        </w:rPr>
        <w:t xml:space="preserve"> на </w:t>
      </w:r>
      <w:proofErr w:type="spellStart"/>
      <w:r w:rsidRPr="00E16672">
        <w:rPr>
          <w:rFonts w:ascii="Times New Roman" w:hAnsi="Times New Roman"/>
          <w:color w:val="000000"/>
          <w:szCs w:val="20"/>
        </w:rPr>
        <w:t>грошовий</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рахунок</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Депозитарної</w:t>
      </w:r>
      <w:proofErr w:type="spellEnd"/>
      <w:r w:rsidRPr="00E16672">
        <w:rPr>
          <w:rFonts w:ascii="Times New Roman" w:hAnsi="Times New Roman"/>
          <w:color w:val="000000"/>
          <w:szCs w:val="20"/>
        </w:rPr>
        <w:t xml:space="preserve"> установи.</w:t>
      </w:r>
    </w:p>
    <w:p w14:paraId="788AED81" w14:textId="77777777" w:rsidR="007974E8" w:rsidRPr="00E16672" w:rsidRDefault="007974E8" w:rsidP="007974E8">
      <w:pPr>
        <w:rPr>
          <w:rFonts w:ascii="Times New Roman" w:hAnsi="Times New Roman"/>
          <w:color w:val="000000"/>
          <w:szCs w:val="20"/>
        </w:rPr>
      </w:pPr>
      <w:r w:rsidRPr="00E16672">
        <w:rPr>
          <w:rFonts w:ascii="Times New Roman" w:hAnsi="Times New Roman"/>
          <w:color w:val="000000"/>
          <w:szCs w:val="20"/>
        </w:rPr>
        <w:t>1</w:t>
      </w:r>
      <w:r w:rsidRPr="00E16672">
        <w:rPr>
          <w:rFonts w:ascii="Times New Roman" w:hAnsi="Times New Roman"/>
          <w:color w:val="000000"/>
          <w:szCs w:val="20"/>
          <w:lang w:val="uk-UA"/>
        </w:rPr>
        <w:t>1</w:t>
      </w:r>
      <w:r w:rsidRPr="00E16672">
        <w:rPr>
          <w:rFonts w:ascii="Times New Roman" w:hAnsi="Times New Roman"/>
          <w:color w:val="000000"/>
          <w:szCs w:val="20"/>
        </w:rPr>
        <w:t xml:space="preserve">.1.3. </w:t>
      </w:r>
      <w:proofErr w:type="spellStart"/>
      <w:r w:rsidRPr="00E16672">
        <w:rPr>
          <w:rFonts w:ascii="Times New Roman" w:hAnsi="Times New Roman"/>
          <w:color w:val="000000"/>
          <w:szCs w:val="20"/>
        </w:rPr>
        <w:t>Якщо</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виплата</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доходів</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здійснюється</w:t>
      </w:r>
      <w:proofErr w:type="spellEnd"/>
      <w:r w:rsidRPr="00E16672">
        <w:rPr>
          <w:rFonts w:ascii="Times New Roman" w:hAnsi="Times New Roman"/>
          <w:color w:val="000000"/>
          <w:szCs w:val="20"/>
        </w:rPr>
        <w:t xml:space="preserve"> </w:t>
      </w:r>
      <w:r w:rsidR="00C22309" w:rsidRPr="00E16672">
        <w:rPr>
          <w:rFonts w:ascii="Times New Roman" w:hAnsi="Times New Roman"/>
          <w:color w:val="000000"/>
          <w:szCs w:val="20"/>
        </w:rPr>
        <w:t xml:space="preserve">в </w:t>
      </w:r>
      <w:proofErr w:type="spellStart"/>
      <w:r w:rsidR="00C22309" w:rsidRPr="00E16672">
        <w:rPr>
          <w:rFonts w:ascii="Times New Roman" w:hAnsi="Times New Roman"/>
          <w:color w:val="000000"/>
          <w:szCs w:val="20"/>
        </w:rPr>
        <w:t>цін</w:t>
      </w:r>
      <w:r w:rsidRPr="00E16672">
        <w:rPr>
          <w:rFonts w:ascii="Times New Roman" w:hAnsi="Times New Roman"/>
          <w:color w:val="000000"/>
          <w:szCs w:val="20"/>
        </w:rPr>
        <w:t>них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паперах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після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надходження</w:t>
      </w:r>
      <w:proofErr w:type="spellEnd"/>
      <w:r w:rsidRPr="00E16672">
        <w:rPr>
          <w:rFonts w:ascii="Times New Roman" w:hAnsi="Times New Roman"/>
          <w:color w:val="000000"/>
          <w:szCs w:val="20"/>
        </w:rPr>
        <w:t xml:space="preserve"> до Центрального </w:t>
      </w:r>
      <w:proofErr w:type="spellStart"/>
      <w:r w:rsidRPr="00E16672">
        <w:rPr>
          <w:rFonts w:ascii="Times New Roman" w:hAnsi="Times New Roman"/>
          <w:color w:val="000000"/>
          <w:szCs w:val="20"/>
        </w:rPr>
        <w:t>депозитарію</w:t>
      </w:r>
      <w:proofErr w:type="spellEnd"/>
      <w:r w:rsidRPr="00E16672">
        <w:rPr>
          <w:rFonts w:ascii="Times New Roman" w:hAnsi="Times New Roman"/>
          <w:color w:val="000000"/>
          <w:szCs w:val="20"/>
        </w:rPr>
        <w:t xml:space="preserve"> таких </w:t>
      </w:r>
      <w:proofErr w:type="spellStart"/>
      <w:r w:rsidRPr="00E16672">
        <w:rPr>
          <w:rFonts w:ascii="Times New Roman" w:hAnsi="Times New Roman"/>
          <w:color w:val="000000"/>
          <w:szCs w:val="20"/>
        </w:rPr>
        <w:t>доходів</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цінних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паперів</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Центральний</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депозитарій</w:t>
      </w:r>
      <w:proofErr w:type="spellEnd"/>
      <w:r w:rsidRPr="00E16672">
        <w:rPr>
          <w:rFonts w:ascii="Times New Roman" w:hAnsi="Times New Roman"/>
          <w:color w:val="000000"/>
          <w:szCs w:val="20"/>
        </w:rPr>
        <w:t xml:space="preserve"> проводить </w:t>
      </w:r>
      <w:proofErr w:type="spellStart"/>
      <w:r w:rsidRPr="00E16672">
        <w:rPr>
          <w:rFonts w:ascii="Times New Roman" w:hAnsi="Times New Roman"/>
          <w:color w:val="000000"/>
          <w:szCs w:val="20"/>
        </w:rPr>
        <w:t>операції</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щодо</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переказу</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цих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цінних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паперів</w:t>
      </w:r>
      <w:proofErr w:type="spellEnd"/>
      <w:r w:rsidRPr="00E16672">
        <w:rPr>
          <w:rFonts w:ascii="Times New Roman" w:hAnsi="Times New Roman"/>
          <w:color w:val="000000"/>
          <w:szCs w:val="20"/>
        </w:rPr>
        <w:t xml:space="preserve"> з </w:t>
      </w:r>
      <w:proofErr w:type="spellStart"/>
      <w:r w:rsidRPr="00E16672">
        <w:rPr>
          <w:rFonts w:ascii="Times New Roman" w:hAnsi="Times New Roman"/>
          <w:color w:val="000000"/>
          <w:szCs w:val="20"/>
        </w:rPr>
        <w:t>рахунку</w:t>
      </w:r>
      <w:proofErr w:type="spellEnd"/>
      <w:r w:rsidRPr="00E16672">
        <w:rPr>
          <w:rFonts w:ascii="Times New Roman" w:hAnsi="Times New Roman"/>
          <w:color w:val="000000"/>
          <w:szCs w:val="20"/>
        </w:rPr>
        <w:t xml:space="preserve"> в </w:t>
      </w:r>
      <w:proofErr w:type="spellStart"/>
      <w:r w:rsidRPr="00E16672">
        <w:rPr>
          <w:rFonts w:ascii="Times New Roman" w:hAnsi="Times New Roman"/>
          <w:color w:val="000000"/>
          <w:szCs w:val="20"/>
        </w:rPr>
        <w:t>цінних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паперах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емітента</w:t>
      </w:r>
      <w:proofErr w:type="spellEnd"/>
      <w:r w:rsidRPr="00E16672">
        <w:rPr>
          <w:rFonts w:ascii="Times New Roman" w:hAnsi="Times New Roman"/>
          <w:color w:val="000000"/>
          <w:szCs w:val="20"/>
        </w:rPr>
        <w:t xml:space="preserve"> на </w:t>
      </w:r>
      <w:proofErr w:type="spellStart"/>
      <w:r w:rsidRPr="00E16672">
        <w:rPr>
          <w:rFonts w:ascii="Times New Roman" w:hAnsi="Times New Roman"/>
          <w:color w:val="000000"/>
          <w:szCs w:val="20"/>
        </w:rPr>
        <w:t>рахунки</w:t>
      </w:r>
      <w:proofErr w:type="spellEnd"/>
      <w:r w:rsidRPr="00E16672">
        <w:rPr>
          <w:rFonts w:ascii="Times New Roman" w:hAnsi="Times New Roman"/>
          <w:color w:val="000000"/>
          <w:szCs w:val="20"/>
        </w:rPr>
        <w:t xml:space="preserve"> </w:t>
      </w:r>
      <w:r w:rsidR="00C22309" w:rsidRPr="00E16672">
        <w:rPr>
          <w:rFonts w:ascii="Times New Roman" w:hAnsi="Times New Roman"/>
          <w:color w:val="000000"/>
          <w:szCs w:val="20"/>
        </w:rPr>
        <w:t xml:space="preserve">в </w:t>
      </w:r>
      <w:proofErr w:type="spellStart"/>
      <w:r w:rsidR="00C22309" w:rsidRPr="00E16672">
        <w:rPr>
          <w:rFonts w:ascii="Times New Roman" w:hAnsi="Times New Roman"/>
          <w:color w:val="000000"/>
          <w:szCs w:val="20"/>
        </w:rPr>
        <w:t>цін</w:t>
      </w:r>
      <w:r w:rsidRPr="00E16672">
        <w:rPr>
          <w:rFonts w:ascii="Times New Roman" w:hAnsi="Times New Roman"/>
          <w:color w:val="000000"/>
          <w:szCs w:val="20"/>
        </w:rPr>
        <w:t>них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паперах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депозитарних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установ</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які</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обслуговують</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власників</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цінних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паперів</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які</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мають</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отримати</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цей</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дохід</w:t>
      </w:r>
      <w:proofErr w:type="spellEnd"/>
      <w:r w:rsidRPr="00E16672">
        <w:rPr>
          <w:rFonts w:ascii="Times New Roman" w:hAnsi="Times New Roman"/>
          <w:color w:val="000000"/>
          <w:szCs w:val="20"/>
        </w:rPr>
        <w:t xml:space="preserve"> </w:t>
      </w:r>
      <w:r w:rsidR="00C22309" w:rsidRPr="00E16672">
        <w:rPr>
          <w:rFonts w:ascii="Times New Roman" w:hAnsi="Times New Roman"/>
          <w:color w:val="000000"/>
          <w:szCs w:val="20"/>
        </w:rPr>
        <w:t xml:space="preserve">в </w:t>
      </w:r>
      <w:proofErr w:type="spellStart"/>
      <w:r w:rsidR="00C22309" w:rsidRPr="00E16672">
        <w:rPr>
          <w:rFonts w:ascii="Times New Roman" w:hAnsi="Times New Roman"/>
          <w:color w:val="000000"/>
          <w:szCs w:val="20"/>
        </w:rPr>
        <w:t>цін</w:t>
      </w:r>
      <w:r w:rsidRPr="00E16672">
        <w:rPr>
          <w:rFonts w:ascii="Times New Roman" w:hAnsi="Times New Roman"/>
          <w:color w:val="000000"/>
          <w:szCs w:val="20"/>
        </w:rPr>
        <w:t>них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паперах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Депозитарна</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установа</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зобов'язана</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протягом</w:t>
      </w:r>
      <w:proofErr w:type="spellEnd"/>
      <w:r w:rsidRPr="00E16672">
        <w:rPr>
          <w:rFonts w:ascii="Times New Roman" w:hAnsi="Times New Roman"/>
          <w:color w:val="000000"/>
          <w:szCs w:val="20"/>
        </w:rPr>
        <w:t xml:space="preserve"> десяти </w:t>
      </w:r>
      <w:proofErr w:type="spellStart"/>
      <w:r w:rsidRPr="00E16672">
        <w:rPr>
          <w:rFonts w:ascii="Times New Roman" w:hAnsi="Times New Roman"/>
          <w:color w:val="000000"/>
          <w:szCs w:val="20"/>
        </w:rPr>
        <w:t>робочих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днів</w:t>
      </w:r>
      <w:proofErr w:type="spellEnd"/>
      <w:r w:rsidRPr="00E16672">
        <w:rPr>
          <w:rFonts w:ascii="Times New Roman" w:hAnsi="Times New Roman"/>
          <w:color w:val="000000"/>
          <w:szCs w:val="20"/>
        </w:rPr>
        <w:t xml:space="preserve"> з моменту </w:t>
      </w:r>
      <w:proofErr w:type="spellStart"/>
      <w:r w:rsidRPr="00E16672">
        <w:rPr>
          <w:rFonts w:ascii="Times New Roman" w:hAnsi="Times New Roman"/>
          <w:color w:val="000000"/>
          <w:szCs w:val="20"/>
        </w:rPr>
        <w:t>надходження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зарахувати</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зазначені</w:t>
      </w:r>
      <w:proofErr w:type="spellEnd"/>
      <w:r w:rsidRPr="00E16672">
        <w:rPr>
          <w:rFonts w:ascii="Times New Roman" w:hAnsi="Times New Roman"/>
          <w:color w:val="000000"/>
          <w:szCs w:val="20"/>
        </w:rPr>
        <w:t xml:space="preserve"> доходи (права на </w:t>
      </w:r>
      <w:proofErr w:type="spellStart"/>
      <w:r w:rsidRPr="00E16672">
        <w:rPr>
          <w:rFonts w:ascii="Times New Roman" w:hAnsi="Times New Roman"/>
          <w:color w:val="000000"/>
          <w:szCs w:val="20"/>
        </w:rPr>
        <w:t>цінні</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папери</w:t>
      </w:r>
      <w:proofErr w:type="spellEnd"/>
      <w:r w:rsidRPr="00E16672">
        <w:rPr>
          <w:rFonts w:ascii="Times New Roman" w:hAnsi="Times New Roman"/>
          <w:color w:val="000000"/>
          <w:szCs w:val="20"/>
        </w:rPr>
        <w:t xml:space="preserve">) на </w:t>
      </w:r>
      <w:proofErr w:type="spellStart"/>
      <w:r w:rsidRPr="00E16672">
        <w:rPr>
          <w:rFonts w:ascii="Times New Roman" w:hAnsi="Times New Roman"/>
          <w:color w:val="000000"/>
          <w:szCs w:val="20"/>
        </w:rPr>
        <w:t>рахунок</w:t>
      </w:r>
      <w:proofErr w:type="spellEnd"/>
      <w:r w:rsidRPr="00E16672">
        <w:rPr>
          <w:rFonts w:ascii="Times New Roman" w:hAnsi="Times New Roman"/>
          <w:color w:val="000000"/>
          <w:szCs w:val="20"/>
        </w:rPr>
        <w:t xml:space="preserve"> в </w:t>
      </w:r>
      <w:proofErr w:type="spellStart"/>
      <w:r w:rsidRPr="00E16672">
        <w:rPr>
          <w:rFonts w:ascii="Times New Roman" w:hAnsi="Times New Roman"/>
          <w:color w:val="000000"/>
          <w:szCs w:val="20"/>
        </w:rPr>
        <w:t>цінних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паперах</w:t>
      </w:r>
      <w:proofErr w:type="spellEnd"/>
      <w:r w:rsidRPr="00E16672">
        <w:rPr>
          <w:rFonts w:ascii="Times New Roman" w:hAnsi="Times New Roman"/>
          <w:color w:val="000000"/>
          <w:szCs w:val="20"/>
        </w:rPr>
        <w:t xml:space="preserve"> депонента.</w:t>
      </w:r>
    </w:p>
    <w:p w14:paraId="04C669B9" w14:textId="77777777" w:rsidR="007974E8" w:rsidRPr="00E16672" w:rsidRDefault="007974E8" w:rsidP="007974E8">
      <w:pPr>
        <w:rPr>
          <w:rFonts w:ascii="Times New Roman" w:hAnsi="Times New Roman"/>
          <w:color w:val="000000"/>
          <w:szCs w:val="20"/>
        </w:rPr>
      </w:pPr>
      <w:r w:rsidRPr="00E16672">
        <w:rPr>
          <w:rFonts w:ascii="Times New Roman" w:hAnsi="Times New Roman"/>
          <w:color w:val="000000"/>
          <w:szCs w:val="20"/>
        </w:rPr>
        <w:t>1</w:t>
      </w:r>
      <w:r w:rsidRPr="00E16672">
        <w:rPr>
          <w:rFonts w:ascii="Times New Roman" w:hAnsi="Times New Roman"/>
          <w:color w:val="000000"/>
          <w:szCs w:val="20"/>
          <w:lang w:val="uk-UA"/>
        </w:rPr>
        <w:t>1</w:t>
      </w:r>
      <w:r w:rsidRPr="00E16672">
        <w:rPr>
          <w:rFonts w:ascii="Times New Roman" w:hAnsi="Times New Roman"/>
          <w:color w:val="000000"/>
          <w:szCs w:val="20"/>
        </w:rPr>
        <w:t xml:space="preserve">.2. </w:t>
      </w:r>
      <w:proofErr w:type="spellStart"/>
      <w:r w:rsidRPr="00E16672">
        <w:rPr>
          <w:rFonts w:ascii="Times New Roman" w:hAnsi="Times New Roman"/>
          <w:color w:val="000000"/>
          <w:szCs w:val="20"/>
        </w:rPr>
        <w:t>Щодо</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цінних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паперів</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облік</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яких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здійснює</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Національний</w:t>
      </w:r>
      <w:proofErr w:type="spellEnd"/>
      <w:r w:rsidRPr="00E16672">
        <w:rPr>
          <w:rFonts w:ascii="Times New Roman" w:hAnsi="Times New Roman"/>
          <w:color w:val="000000"/>
          <w:szCs w:val="20"/>
        </w:rPr>
        <w:t xml:space="preserve"> Банк </w:t>
      </w:r>
      <w:proofErr w:type="spellStart"/>
      <w:r w:rsidRPr="00E16672">
        <w:rPr>
          <w:rFonts w:ascii="Times New Roman" w:hAnsi="Times New Roman"/>
          <w:color w:val="000000"/>
          <w:szCs w:val="20"/>
        </w:rPr>
        <w:t>України</w:t>
      </w:r>
      <w:proofErr w:type="spellEnd"/>
      <w:r w:rsidRPr="00E16672">
        <w:rPr>
          <w:rFonts w:ascii="Times New Roman" w:hAnsi="Times New Roman"/>
          <w:color w:val="000000"/>
          <w:szCs w:val="20"/>
        </w:rPr>
        <w:t>:</w:t>
      </w:r>
    </w:p>
    <w:p w14:paraId="4AD29B6C" w14:textId="77777777" w:rsidR="007974E8" w:rsidRPr="00E16672" w:rsidRDefault="007974E8" w:rsidP="007974E8">
      <w:pPr>
        <w:rPr>
          <w:rFonts w:ascii="Times New Roman" w:hAnsi="Times New Roman"/>
          <w:color w:val="000000"/>
          <w:szCs w:val="20"/>
        </w:rPr>
      </w:pPr>
      <w:r w:rsidRPr="00E16672">
        <w:rPr>
          <w:rFonts w:ascii="Times New Roman" w:hAnsi="Times New Roman"/>
          <w:color w:val="000000"/>
          <w:szCs w:val="20"/>
        </w:rPr>
        <w:t xml:space="preserve">У </w:t>
      </w:r>
      <w:proofErr w:type="spellStart"/>
      <w:r w:rsidRPr="00E16672">
        <w:rPr>
          <w:rFonts w:ascii="Times New Roman" w:hAnsi="Times New Roman"/>
          <w:color w:val="000000"/>
          <w:szCs w:val="20"/>
        </w:rPr>
        <w:t>термін</w:t>
      </w:r>
      <w:proofErr w:type="spellEnd"/>
      <w:r w:rsidRPr="00E16672">
        <w:rPr>
          <w:rFonts w:ascii="Times New Roman" w:hAnsi="Times New Roman"/>
          <w:color w:val="000000"/>
          <w:szCs w:val="20"/>
        </w:rPr>
        <w:t xml:space="preserve"> не </w:t>
      </w:r>
      <w:proofErr w:type="spellStart"/>
      <w:r w:rsidRPr="00E16672">
        <w:rPr>
          <w:rFonts w:ascii="Times New Roman" w:hAnsi="Times New Roman"/>
          <w:color w:val="000000"/>
          <w:szCs w:val="20"/>
        </w:rPr>
        <w:t>пізніше</w:t>
      </w:r>
      <w:proofErr w:type="spellEnd"/>
      <w:r w:rsidRPr="00E16672">
        <w:rPr>
          <w:rFonts w:ascii="Times New Roman" w:hAnsi="Times New Roman"/>
          <w:color w:val="000000"/>
          <w:szCs w:val="20"/>
        </w:rPr>
        <w:t xml:space="preserve"> десяти </w:t>
      </w:r>
      <w:proofErr w:type="spellStart"/>
      <w:r w:rsidRPr="00E16672">
        <w:rPr>
          <w:rFonts w:ascii="Times New Roman" w:hAnsi="Times New Roman"/>
          <w:color w:val="000000"/>
          <w:szCs w:val="20"/>
        </w:rPr>
        <w:t>робочих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днів</w:t>
      </w:r>
      <w:proofErr w:type="spellEnd"/>
      <w:r w:rsidRPr="00E16672">
        <w:rPr>
          <w:rFonts w:ascii="Times New Roman" w:hAnsi="Times New Roman"/>
          <w:color w:val="000000"/>
          <w:szCs w:val="20"/>
        </w:rPr>
        <w:t xml:space="preserve"> з моменту </w:t>
      </w:r>
      <w:proofErr w:type="spellStart"/>
      <w:r w:rsidRPr="00E16672">
        <w:rPr>
          <w:rFonts w:ascii="Times New Roman" w:hAnsi="Times New Roman"/>
          <w:color w:val="000000"/>
          <w:szCs w:val="20"/>
        </w:rPr>
        <w:t>надходження</w:t>
      </w:r>
      <w:proofErr w:type="spellEnd"/>
      <w:r w:rsidRPr="00E16672">
        <w:rPr>
          <w:rFonts w:ascii="Times New Roman" w:hAnsi="Times New Roman"/>
          <w:color w:val="000000"/>
          <w:szCs w:val="20"/>
        </w:rPr>
        <w:t xml:space="preserve"> доходу за </w:t>
      </w:r>
      <w:proofErr w:type="spellStart"/>
      <w:r w:rsidRPr="00E16672">
        <w:rPr>
          <w:rFonts w:ascii="Times New Roman" w:hAnsi="Times New Roman"/>
          <w:color w:val="000000"/>
          <w:szCs w:val="20"/>
        </w:rPr>
        <w:t>цінними</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паперами</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грошових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коштів</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отриманих</w:t>
      </w:r>
      <w:proofErr w:type="spellEnd"/>
      <w:r w:rsidRPr="00E16672">
        <w:rPr>
          <w:rFonts w:ascii="Times New Roman" w:hAnsi="Times New Roman"/>
          <w:color w:val="000000"/>
          <w:szCs w:val="20"/>
        </w:rPr>
        <w:t xml:space="preserve"> за результатами </w:t>
      </w:r>
      <w:proofErr w:type="spellStart"/>
      <w:r w:rsidRPr="00E16672">
        <w:rPr>
          <w:rFonts w:ascii="Times New Roman" w:hAnsi="Times New Roman"/>
          <w:color w:val="000000"/>
          <w:szCs w:val="20"/>
        </w:rPr>
        <w:t>погашення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цінних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паперів</w:t>
      </w:r>
      <w:proofErr w:type="spellEnd"/>
      <w:r w:rsidRPr="00E16672">
        <w:rPr>
          <w:rFonts w:ascii="Times New Roman" w:hAnsi="Times New Roman"/>
          <w:color w:val="000000"/>
          <w:szCs w:val="20"/>
        </w:rPr>
        <w:t xml:space="preserve"> на </w:t>
      </w:r>
      <w:proofErr w:type="spellStart"/>
      <w:r w:rsidRPr="00E16672">
        <w:rPr>
          <w:rFonts w:ascii="Times New Roman" w:hAnsi="Times New Roman"/>
          <w:color w:val="000000"/>
          <w:szCs w:val="20"/>
        </w:rPr>
        <w:t>грошовий</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рахунок</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Депозитарної</w:t>
      </w:r>
      <w:proofErr w:type="spellEnd"/>
      <w:r w:rsidRPr="00E16672">
        <w:rPr>
          <w:rFonts w:ascii="Times New Roman" w:hAnsi="Times New Roman"/>
          <w:color w:val="000000"/>
          <w:szCs w:val="20"/>
        </w:rPr>
        <w:t xml:space="preserve"> установи </w:t>
      </w:r>
      <w:proofErr w:type="spellStart"/>
      <w:r w:rsidRPr="00E16672">
        <w:rPr>
          <w:rFonts w:ascii="Times New Roman" w:hAnsi="Times New Roman"/>
          <w:color w:val="000000"/>
          <w:szCs w:val="20"/>
        </w:rPr>
        <w:t>Депозитарна</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установа</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здійснює</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виплату</w:t>
      </w:r>
      <w:proofErr w:type="spellEnd"/>
      <w:r w:rsidRPr="00E16672">
        <w:rPr>
          <w:rFonts w:ascii="Times New Roman" w:hAnsi="Times New Roman"/>
          <w:color w:val="000000"/>
          <w:szCs w:val="20"/>
        </w:rPr>
        <w:t xml:space="preserve"> доходу за </w:t>
      </w:r>
      <w:proofErr w:type="spellStart"/>
      <w:r w:rsidRPr="00E16672">
        <w:rPr>
          <w:rFonts w:ascii="Times New Roman" w:hAnsi="Times New Roman"/>
          <w:color w:val="000000"/>
          <w:szCs w:val="20"/>
        </w:rPr>
        <w:t>цінними</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паперами</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грошових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коштів</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отриманих</w:t>
      </w:r>
      <w:proofErr w:type="spellEnd"/>
      <w:r w:rsidRPr="00E16672">
        <w:rPr>
          <w:rFonts w:ascii="Times New Roman" w:hAnsi="Times New Roman"/>
          <w:color w:val="000000"/>
          <w:szCs w:val="20"/>
        </w:rPr>
        <w:t xml:space="preserve"> Депонентом за результатами </w:t>
      </w:r>
      <w:proofErr w:type="spellStart"/>
      <w:r w:rsidRPr="00E16672">
        <w:rPr>
          <w:rFonts w:ascii="Times New Roman" w:hAnsi="Times New Roman"/>
          <w:color w:val="000000"/>
          <w:szCs w:val="20"/>
        </w:rPr>
        <w:t>погашення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цінних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паперів</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емітента</w:t>
      </w:r>
      <w:proofErr w:type="spellEnd"/>
      <w:r w:rsidRPr="00E16672">
        <w:rPr>
          <w:rFonts w:ascii="Times New Roman" w:hAnsi="Times New Roman"/>
          <w:color w:val="000000"/>
          <w:szCs w:val="20"/>
        </w:rPr>
        <w:t xml:space="preserve">, шляхом </w:t>
      </w:r>
      <w:proofErr w:type="spellStart"/>
      <w:r w:rsidRPr="00E16672">
        <w:rPr>
          <w:rFonts w:ascii="Times New Roman" w:hAnsi="Times New Roman"/>
          <w:color w:val="000000"/>
          <w:szCs w:val="20"/>
        </w:rPr>
        <w:t>перерахування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грошових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коштів</w:t>
      </w:r>
      <w:proofErr w:type="spellEnd"/>
      <w:r w:rsidRPr="00E16672">
        <w:rPr>
          <w:rFonts w:ascii="Times New Roman" w:hAnsi="Times New Roman"/>
          <w:color w:val="000000"/>
          <w:szCs w:val="20"/>
        </w:rPr>
        <w:t xml:space="preserve"> на </w:t>
      </w:r>
      <w:proofErr w:type="spellStart"/>
      <w:r w:rsidRPr="00E16672">
        <w:rPr>
          <w:rFonts w:ascii="Times New Roman" w:hAnsi="Times New Roman"/>
          <w:color w:val="000000"/>
          <w:szCs w:val="20"/>
        </w:rPr>
        <w:t>грошовий</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банківський</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рахунок</w:t>
      </w:r>
      <w:proofErr w:type="spellEnd"/>
      <w:r w:rsidRPr="00E16672">
        <w:rPr>
          <w:rFonts w:ascii="Times New Roman" w:hAnsi="Times New Roman"/>
          <w:color w:val="000000"/>
          <w:szCs w:val="20"/>
        </w:rPr>
        <w:t xml:space="preserve"> Депонента, </w:t>
      </w:r>
      <w:proofErr w:type="spellStart"/>
      <w:r w:rsidRPr="00E16672">
        <w:rPr>
          <w:rFonts w:ascii="Times New Roman" w:hAnsi="Times New Roman"/>
          <w:color w:val="000000"/>
          <w:szCs w:val="20"/>
        </w:rPr>
        <w:t>зазначений</w:t>
      </w:r>
      <w:proofErr w:type="spellEnd"/>
      <w:r w:rsidRPr="00E16672">
        <w:rPr>
          <w:rFonts w:ascii="Times New Roman" w:hAnsi="Times New Roman"/>
          <w:color w:val="000000"/>
          <w:szCs w:val="20"/>
        </w:rPr>
        <w:t xml:space="preserve"> в </w:t>
      </w:r>
      <w:proofErr w:type="spellStart"/>
      <w:r w:rsidRPr="00E16672">
        <w:rPr>
          <w:rFonts w:ascii="Times New Roman" w:hAnsi="Times New Roman"/>
          <w:color w:val="000000"/>
          <w:szCs w:val="20"/>
        </w:rPr>
        <w:t>анкеті</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рахунку</w:t>
      </w:r>
      <w:proofErr w:type="spellEnd"/>
      <w:r w:rsidRPr="00E16672">
        <w:rPr>
          <w:rFonts w:ascii="Times New Roman" w:hAnsi="Times New Roman"/>
          <w:color w:val="000000"/>
          <w:szCs w:val="20"/>
        </w:rPr>
        <w:t xml:space="preserve"> в </w:t>
      </w:r>
      <w:proofErr w:type="spellStart"/>
      <w:r w:rsidRPr="00E16672">
        <w:rPr>
          <w:rFonts w:ascii="Times New Roman" w:hAnsi="Times New Roman"/>
          <w:color w:val="000000"/>
          <w:szCs w:val="20"/>
        </w:rPr>
        <w:t>цінних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паперах</w:t>
      </w:r>
      <w:proofErr w:type="spellEnd"/>
      <w:r w:rsidRPr="00E16672">
        <w:rPr>
          <w:rFonts w:ascii="Times New Roman" w:hAnsi="Times New Roman"/>
          <w:color w:val="000000"/>
          <w:szCs w:val="20"/>
        </w:rPr>
        <w:t xml:space="preserve"> Депонента. </w:t>
      </w:r>
      <w:proofErr w:type="spellStart"/>
      <w:r w:rsidRPr="00E16672">
        <w:rPr>
          <w:rFonts w:ascii="Times New Roman" w:hAnsi="Times New Roman"/>
          <w:color w:val="000000"/>
          <w:szCs w:val="20"/>
        </w:rPr>
        <w:t>Вищезазначені</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дії</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виконуються</w:t>
      </w:r>
      <w:proofErr w:type="spellEnd"/>
      <w:r w:rsidRPr="00E16672">
        <w:rPr>
          <w:rFonts w:ascii="Times New Roman" w:hAnsi="Times New Roman"/>
          <w:color w:val="000000"/>
          <w:szCs w:val="20"/>
        </w:rPr>
        <w:t xml:space="preserve"> Депозитарною </w:t>
      </w:r>
      <w:proofErr w:type="spellStart"/>
      <w:r w:rsidRPr="00E16672">
        <w:rPr>
          <w:rFonts w:ascii="Times New Roman" w:hAnsi="Times New Roman"/>
          <w:color w:val="000000"/>
          <w:szCs w:val="20"/>
        </w:rPr>
        <w:t>установою</w:t>
      </w:r>
      <w:proofErr w:type="spellEnd"/>
      <w:r w:rsidRPr="00E16672">
        <w:rPr>
          <w:rFonts w:ascii="Times New Roman" w:hAnsi="Times New Roman"/>
          <w:color w:val="000000"/>
          <w:szCs w:val="20"/>
        </w:rPr>
        <w:t xml:space="preserve"> у </w:t>
      </w:r>
      <w:proofErr w:type="spellStart"/>
      <w:r w:rsidRPr="00E16672">
        <w:rPr>
          <w:rFonts w:ascii="Times New Roman" w:hAnsi="Times New Roman"/>
          <w:color w:val="000000"/>
          <w:szCs w:val="20"/>
        </w:rPr>
        <w:t>разі</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наявності</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реквізитів</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діючого</w:t>
      </w:r>
      <w:proofErr w:type="spellEnd"/>
      <w:r w:rsidRPr="00E16672">
        <w:rPr>
          <w:rFonts w:ascii="Times New Roman" w:hAnsi="Times New Roman"/>
          <w:color w:val="000000"/>
          <w:szCs w:val="20"/>
        </w:rPr>
        <w:t xml:space="preserve"> грошового </w:t>
      </w:r>
      <w:proofErr w:type="spellStart"/>
      <w:r w:rsidRPr="00E16672">
        <w:rPr>
          <w:rFonts w:ascii="Times New Roman" w:hAnsi="Times New Roman"/>
          <w:color w:val="000000"/>
          <w:szCs w:val="20"/>
        </w:rPr>
        <w:t>банківського</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рахунку</w:t>
      </w:r>
      <w:proofErr w:type="spellEnd"/>
      <w:r w:rsidRPr="00E16672">
        <w:rPr>
          <w:rFonts w:ascii="Times New Roman" w:hAnsi="Times New Roman"/>
          <w:color w:val="000000"/>
          <w:szCs w:val="20"/>
        </w:rPr>
        <w:t xml:space="preserve"> в </w:t>
      </w:r>
      <w:proofErr w:type="spellStart"/>
      <w:r w:rsidRPr="00E16672">
        <w:rPr>
          <w:rFonts w:ascii="Times New Roman" w:hAnsi="Times New Roman"/>
          <w:color w:val="000000"/>
          <w:szCs w:val="20"/>
        </w:rPr>
        <w:t>анкеті</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рахунку</w:t>
      </w:r>
      <w:proofErr w:type="spellEnd"/>
      <w:r w:rsidRPr="00E16672">
        <w:rPr>
          <w:rFonts w:ascii="Times New Roman" w:hAnsi="Times New Roman"/>
          <w:color w:val="000000"/>
          <w:szCs w:val="20"/>
        </w:rPr>
        <w:t xml:space="preserve"> </w:t>
      </w:r>
      <w:r w:rsidR="00C22309" w:rsidRPr="00E16672">
        <w:rPr>
          <w:rFonts w:ascii="Times New Roman" w:hAnsi="Times New Roman"/>
          <w:color w:val="000000"/>
          <w:szCs w:val="20"/>
        </w:rPr>
        <w:t xml:space="preserve">в </w:t>
      </w:r>
      <w:proofErr w:type="spellStart"/>
      <w:r w:rsidR="00C22309" w:rsidRPr="00E16672">
        <w:rPr>
          <w:rFonts w:ascii="Times New Roman" w:hAnsi="Times New Roman"/>
          <w:color w:val="000000"/>
          <w:szCs w:val="20"/>
        </w:rPr>
        <w:t>цін</w:t>
      </w:r>
      <w:r w:rsidRPr="00E16672">
        <w:rPr>
          <w:rFonts w:ascii="Times New Roman" w:hAnsi="Times New Roman"/>
          <w:color w:val="000000"/>
          <w:szCs w:val="20"/>
        </w:rPr>
        <w:t>них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паперах</w:t>
      </w:r>
      <w:proofErr w:type="spellEnd"/>
      <w:r w:rsidRPr="00E16672">
        <w:rPr>
          <w:rFonts w:ascii="Times New Roman" w:hAnsi="Times New Roman"/>
          <w:color w:val="000000"/>
          <w:szCs w:val="20"/>
        </w:rPr>
        <w:t xml:space="preserve"> Депонента на момент </w:t>
      </w:r>
      <w:proofErr w:type="spellStart"/>
      <w:r w:rsidRPr="00E16672">
        <w:rPr>
          <w:rFonts w:ascii="Times New Roman" w:hAnsi="Times New Roman"/>
          <w:color w:val="000000"/>
          <w:szCs w:val="20"/>
        </w:rPr>
        <w:t>надходження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відповідних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коштів</w:t>
      </w:r>
      <w:proofErr w:type="spellEnd"/>
      <w:r w:rsidRPr="00E16672">
        <w:rPr>
          <w:rFonts w:ascii="Times New Roman" w:hAnsi="Times New Roman"/>
          <w:color w:val="000000"/>
          <w:szCs w:val="20"/>
        </w:rPr>
        <w:t xml:space="preserve"> на </w:t>
      </w:r>
      <w:proofErr w:type="spellStart"/>
      <w:r w:rsidRPr="00E16672">
        <w:rPr>
          <w:rFonts w:ascii="Times New Roman" w:hAnsi="Times New Roman"/>
          <w:color w:val="000000"/>
          <w:szCs w:val="20"/>
        </w:rPr>
        <w:t>грошовий</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рахунок</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Депозитарної</w:t>
      </w:r>
      <w:proofErr w:type="spellEnd"/>
      <w:r w:rsidRPr="00E16672">
        <w:rPr>
          <w:rFonts w:ascii="Times New Roman" w:hAnsi="Times New Roman"/>
          <w:color w:val="000000"/>
          <w:szCs w:val="20"/>
        </w:rPr>
        <w:t xml:space="preserve"> установи.</w:t>
      </w:r>
    </w:p>
    <w:p w14:paraId="0CA16770" w14:textId="099E0D39" w:rsidR="007974E8" w:rsidRDefault="007974E8" w:rsidP="007974E8">
      <w:pPr>
        <w:rPr>
          <w:rFonts w:ascii="Times New Roman" w:hAnsi="Times New Roman"/>
          <w:color w:val="000000"/>
          <w:szCs w:val="20"/>
        </w:rPr>
      </w:pPr>
      <w:r w:rsidRPr="00E16672">
        <w:rPr>
          <w:rFonts w:ascii="Times New Roman" w:hAnsi="Times New Roman"/>
          <w:color w:val="000000"/>
          <w:szCs w:val="20"/>
        </w:rPr>
        <w:t>1</w:t>
      </w:r>
      <w:r w:rsidRPr="00E16672">
        <w:rPr>
          <w:rFonts w:ascii="Times New Roman" w:hAnsi="Times New Roman"/>
          <w:color w:val="000000"/>
          <w:szCs w:val="20"/>
          <w:lang w:val="uk-UA"/>
        </w:rPr>
        <w:t>1</w:t>
      </w:r>
      <w:r w:rsidRPr="00E16672">
        <w:rPr>
          <w:rFonts w:ascii="Times New Roman" w:hAnsi="Times New Roman"/>
          <w:color w:val="000000"/>
          <w:szCs w:val="20"/>
        </w:rPr>
        <w:t xml:space="preserve">.3. </w:t>
      </w:r>
      <w:proofErr w:type="spellStart"/>
      <w:r w:rsidRPr="00E16672">
        <w:rPr>
          <w:rFonts w:ascii="Times New Roman" w:hAnsi="Times New Roman"/>
          <w:color w:val="000000"/>
          <w:szCs w:val="20"/>
        </w:rPr>
        <w:t>Грошові</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кошти</w:t>
      </w:r>
      <w:proofErr w:type="spellEnd"/>
      <w:r w:rsidRPr="00E16672">
        <w:rPr>
          <w:rFonts w:ascii="Times New Roman" w:hAnsi="Times New Roman"/>
          <w:color w:val="000000"/>
          <w:szCs w:val="20"/>
        </w:rPr>
        <w:t xml:space="preserve">, </w:t>
      </w:r>
      <w:proofErr w:type="spellStart"/>
      <w:r w:rsidRPr="00E16672">
        <w:rPr>
          <w:rStyle w:val="rvts0"/>
          <w:rFonts w:ascii="Times New Roman" w:hAnsi="Times New Roman"/>
          <w:color w:val="000000"/>
          <w:szCs w:val="20"/>
        </w:rPr>
        <w:t>які</w:t>
      </w:r>
      <w:proofErr w:type="spellEnd"/>
      <w:r w:rsidRPr="00E16672">
        <w:rPr>
          <w:rStyle w:val="rvts0"/>
          <w:rFonts w:ascii="Times New Roman" w:hAnsi="Times New Roman"/>
          <w:color w:val="000000"/>
          <w:szCs w:val="20"/>
        </w:rPr>
        <w:t xml:space="preserve"> </w:t>
      </w:r>
      <w:proofErr w:type="spellStart"/>
      <w:r w:rsidRPr="00E16672">
        <w:rPr>
          <w:rStyle w:val="rvts0"/>
          <w:rFonts w:ascii="Times New Roman" w:hAnsi="Times New Roman"/>
          <w:color w:val="000000"/>
          <w:szCs w:val="20"/>
        </w:rPr>
        <w:t>відповідно</w:t>
      </w:r>
      <w:proofErr w:type="spellEnd"/>
      <w:r w:rsidRPr="00E16672">
        <w:rPr>
          <w:rStyle w:val="rvts0"/>
          <w:rFonts w:ascii="Times New Roman" w:hAnsi="Times New Roman"/>
          <w:color w:val="000000"/>
          <w:szCs w:val="20"/>
        </w:rPr>
        <w:t xml:space="preserve"> до </w:t>
      </w:r>
      <w:proofErr w:type="spellStart"/>
      <w:r w:rsidRPr="00E16672">
        <w:rPr>
          <w:rStyle w:val="rvts0"/>
          <w:rFonts w:ascii="Times New Roman" w:hAnsi="Times New Roman"/>
          <w:color w:val="000000"/>
          <w:szCs w:val="20"/>
        </w:rPr>
        <w:t>законодавства</w:t>
      </w:r>
      <w:proofErr w:type="spellEnd"/>
      <w:r w:rsidRPr="00E16672">
        <w:rPr>
          <w:rStyle w:val="rvts0"/>
          <w:rFonts w:ascii="Times New Roman" w:hAnsi="Times New Roman"/>
          <w:color w:val="000000"/>
          <w:szCs w:val="20"/>
        </w:rPr>
        <w:t xml:space="preserve"> </w:t>
      </w:r>
      <w:proofErr w:type="spellStart"/>
      <w:r w:rsidRPr="00E16672">
        <w:rPr>
          <w:rStyle w:val="rvts0"/>
          <w:rFonts w:ascii="Times New Roman" w:hAnsi="Times New Roman"/>
          <w:color w:val="000000"/>
          <w:szCs w:val="20"/>
        </w:rPr>
        <w:t>надходять</w:t>
      </w:r>
      <w:proofErr w:type="spellEnd"/>
      <w:r w:rsidRPr="00E16672">
        <w:rPr>
          <w:rStyle w:val="rvts0"/>
          <w:rFonts w:ascii="Times New Roman" w:hAnsi="Times New Roman"/>
          <w:color w:val="000000"/>
          <w:szCs w:val="20"/>
        </w:rPr>
        <w:t xml:space="preserve"> на </w:t>
      </w:r>
      <w:proofErr w:type="spellStart"/>
      <w:proofErr w:type="gramStart"/>
      <w:r w:rsidRPr="00E16672">
        <w:rPr>
          <w:rStyle w:val="rvts0"/>
          <w:rFonts w:ascii="Times New Roman" w:hAnsi="Times New Roman"/>
          <w:color w:val="000000"/>
          <w:szCs w:val="20"/>
        </w:rPr>
        <w:t>поточний</w:t>
      </w:r>
      <w:proofErr w:type="spellEnd"/>
      <w:r w:rsidRPr="00E16672">
        <w:rPr>
          <w:rStyle w:val="rvts0"/>
          <w:rFonts w:ascii="Times New Roman" w:hAnsi="Times New Roman"/>
          <w:color w:val="000000"/>
          <w:szCs w:val="20"/>
        </w:rPr>
        <w:t xml:space="preserve">  </w:t>
      </w:r>
      <w:proofErr w:type="spellStart"/>
      <w:r w:rsidRPr="00E16672">
        <w:rPr>
          <w:rStyle w:val="rvts0"/>
          <w:rFonts w:ascii="Times New Roman" w:hAnsi="Times New Roman"/>
          <w:color w:val="000000"/>
          <w:szCs w:val="20"/>
        </w:rPr>
        <w:t>рахунок</w:t>
      </w:r>
      <w:proofErr w:type="spellEnd"/>
      <w:proofErr w:type="gramEnd"/>
      <w:r w:rsidRPr="00E16672">
        <w:rPr>
          <w:rStyle w:val="rvts0"/>
          <w:rFonts w:ascii="Times New Roman" w:hAnsi="Times New Roman"/>
          <w:color w:val="000000"/>
          <w:szCs w:val="20"/>
        </w:rPr>
        <w:t xml:space="preserve"> </w:t>
      </w:r>
      <w:proofErr w:type="spellStart"/>
      <w:r w:rsidRPr="00E16672">
        <w:rPr>
          <w:rStyle w:val="rvts0"/>
          <w:rFonts w:ascii="Times New Roman" w:hAnsi="Times New Roman"/>
          <w:color w:val="000000"/>
          <w:szCs w:val="20"/>
        </w:rPr>
        <w:t>Депозитарної</w:t>
      </w:r>
      <w:proofErr w:type="spellEnd"/>
      <w:r w:rsidRPr="00E16672">
        <w:rPr>
          <w:rStyle w:val="rvts0"/>
          <w:rFonts w:ascii="Times New Roman" w:hAnsi="Times New Roman"/>
          <w:color w:val="000000"/>
          <w:szCs w:val="20"/>
        </w:rPr>
        <w:t xml:space="preserve"> установи з метою </w:t>
      </w:r>
      <w:proofErr w:type="spellStart"/>
      <w:r w:rsidRPr="00E16672">
        <w:rPr>
          <w:rStyle w:val="rvts0"/>
          <w:rFonts w:ascii="Times New Roman" w:hAnsi="Times New Roman"/>
          <w:color w:val="000000"/>
          <w:szCs w:val="20"/>
        </w:rPr>
        <w:t>їх</w:t>
      </w:r>
      <w:proofErr w:type="spellEnd"/>
      <w:r w:rsidRPr="00E16672">
        <w:rPr>
          <w:rStyle w:val="rvts0"/>
          <w:rFonts w:ascii="Times New Roman" w:hAnsi="Times New Roman"/>
          <w:color w:val="000000"/>
          <w:szCs w:val="20"/>
        </w:rPr>
        <w:t xml:space="preserve"> </w:t>
      </w:r>
      <w:proofErr w:type="spellStart"/>
      <w:r w:rsidRPr="00E16672">
        <w:rPr>
          <w:rStyle w:val="rvts0"/>
          <w:rFonts w:ascii="Times New Roman" w:hAnsi="Times New Roman"/>
          <w:color w:val="000000"/>
          <w:szCs w:val="20"/>
        </w:rPr>
        <w:t>подальшого</w:t>
      </w:r>
      <w:proofErr w:type="spellEnd"/>
      <w:r w:rsidRPr="00E16672">
        <w:rPr>
          <w:rStyle w:val="rvts0"/>
          <w:rFonts w:ascii="Times New Roman" w:hAnsi="Times New Roman"/>
          <w:color w:val="000000"/>
          <w:szCs w:val="20"/>
        </w:rPr>
        <w:t xml:space="preserve"> </w:t>
      </w:r>
      <w:proofErr w:type="spellStart"/>
      <w:r w:rsidRPr="00E16672">
        <w:rPr>
          <w:rStyle w:val="rvts0"/>
          <w:rFonts w:ascii="Times New Roman" w:hAnsi="Times New Roman"/>
          <w:color w:val="000000"/>
          <w:szCs w:val="20"/>
        </w:rPr>
        <w:t>переказу</w:t>
      </w:r>
      <w:proofErr w:type="spellEnd"/>
      <w:r w:rsidRPr="00E16672">
        <w:rPr>
          <w:rStyle w:val="rvts0"/>
          <w:rFonts w:ascii="Times New Roman" w:hAnsi="Times New Roman"/>
          <w:color w:val="000000"/>
          <w:szCs w:val="20"/>
        </w:rPr>
        <w:t xml:space="preserve"> Депоненту,</w:t>
      </w:r>
      <w:r w:rsidRPr="00E16672">
        <w:rPr>
          <w:rFonts w:ascii="Times New Roman" w:hAnsi="Times New Roman"/>
          <w:color w:val="000000"/>
          <w:szCs w:val="20"/>
        </w:rPr>
        <w:t xml:space="preserve"> не є </w:t>
      </w:r>
      <w:proofErr w:type="spellStart"/>
      <w:r w:rsidRPr="00E16672">
        <w:rPr>
          <w:rFonts w:ascii="Times New Roman" w:hAnsi="Times New Roman"/>
          <w:color w:val="000000"/>
          <w:szCs w:val="20"/>
        </w:rPr>
        <w:t>власністю</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Депозитарної</w:t>
      </w:r>
      <w:proofErr w:type="spellEnd"/>
      <w:r w:rsidRPr="00E16672">
        <w:rPr>
          <w:rFonts w:ascii="Times New Roman" w:hAnsi="Times New Roman"/>
          <w:color w:val="000000"/>
          <w:szCs w:val="20"/>
        </w:rPr>
        <w:t xml:space="preserve"> установи. </w:t>
      </w:r>
    </w:p>
    <w:p w14:paraId="0F6DF7EF" w14:textId="21E8551D" w:rsidR="00D2328A" w:rsidRPr="00E16672" w:rsidRDefault="00D2328A" w:rsidP="007974E8">
      <w:pPr>
        <w:rPr>
          <w:rFonts w:ascii="Times New Roman" w:hAnsi="Times New Roman"/>
          <w:color w:val="000000"/>
          <w:szCs w:val="20"/>
        </w:rPr>
      </w:pPr>
      <w:proofErr w:type="spellStart"/>
      <w:r w:rsidRPr="00D2328A">
        <w:rPr>
          <w:rFonts w:ascii="Times New Roman" w:hAnsi="Times New Roman"/>
          <w:color w:val="000000"/>
          <w:szCs w:val="20"/>
        </w:rPr>
        <w:t>Депозитарна</w:t>
      </w:r>
      <w:proofErr w:type="spellEnd"/>
      <w:r w:rsidRPr="00D2328A">
        <w:rPr>
          <w:rFonts w:ascii="Times New Roman" w:hAnsi="Times New Roman"/>
          <w:color w:val="000000"/>
          <w:szCs w:val="20"/>
        </w:rPr>
        <w:t xml:space="preserve"> </w:t>
      </w:r>
      <w:proofErr w:type="spellStart"/>
      <w:r w:rsidRPr="00D2328A">
        <w:rPr>
          <w:rFonts w:ascii="Times New Roman" w:hAnsi="Times New Roman"/>
          <w:color w:val="000000"/>
          <w:szCs w:val="20"/>
        </w:rPr>
        <w:t>установа</w:t>
      </w:r>
      <w:proofErr w:type="spellEnd"/>
      <w:r w:rsidRPr="00D2328A">
        <w:rPr>
          <w:rFonts w:ascii="Times New Roman" w:hAnsi="Times New Roman"/>
          <w:color w:val="000000"/>
          <w:szCs w:val="20"/>
        </w:rPr>
        <w:t xml:space="preserve"> повинна </w:t>
      </w:r>
      <w:proofErr w:type="spellStart"/>
      <w:r w:rsidRPr="00D2328A">
        <w:rPr>
          <w:rFonts w:ascii="Times New Roman" w:hAnsi="Times New Roman"/>
          <w:color w:val="000000"/>
          <w:szCs w:val="20"/>
        </w:rPr>
        <w:t>переказати</w:t>
      </w:r>
      <w:proofErr w:type="spellEnd"/>
      <w:r w:rsidRPr="00D2328A">
        <w:rPr>
          <w:rFonts w:ascii="Times New Roman" w:hAnsi="Times New Roman"/>
          <w:color w:val="000000"/>
          <w:szCs w:val="20"/>
        </w:rPr>
        <w:t xml:space="preserve"> </w:t>
      </w:r>
      <w:proofErr w:type="spellStart"/>
      <w:r w:rsidRPr="00D2328A">
        <w:rPr>
          <w:rFonts w:ascii="Times New Roman" w:hAnsi="Times New Roman"/>
          <w:color w:val="000000"/>
          <w:szCs w:val="20"/>
        </w:rPr>
        <w:t>кошти</w:t>
      </w:r>
      <w:proofErr w:type="spellEnd"/>
      <w:r w:rsidRPr="00D2328A">
        <w:rPr>
          <w:rFonts w:ascii="Times New Roman" w:hAnsi="Times New Roman"/>
          <w:color w:val="000000"/>
          <w:szCs w:val="20"/>
        </w:rPr>
        <w:t xml:space="preserve">, </w:t>
      </w:r>
      <w:proofErr w:type="spellStart"/>
      <w:r w:rsidRPr="00D2328A">
        <w:rPr>
          <w:rFonts w:ascii="Times New Roman" w:hAnsi="Times New Roman"/>
          <w:color w:val="000000"/>
          <w:szCs w:val="20"/>
        </w:rPr>
        <w:t>що</w:t>
      </w:r>
      <w:proofErr w:type="spellEnd"/>
      <w:r w:rsidRPr="00D2328A">
        <w:rPr>
          <w:rFonts w:ascii="Times New Roman" w:hAnsi="Times New Roman"/>
          <w:color w:val="000000"/>
          <w:szCs w:val="20"/>
        </w:rPr>
        <w:t xml:space="preserve"> </w:t>
      </w:r>
      <w:proofErr w:type="spellStart"/>
      <w:r w:rsidRPr="00D2328A">
        <w:rPr>
          <w:rFonts w:ascii="Times New Roman" w:hAnsi="Times New Roman"/>
          <w:color w:val="000000"/>
          <w:szCs w:val="20"/>
        </w:rPr>
        <w:t>призначені</w:t>
      </w:r>
      <w:proofErr w:type="spellEnd"/>
      <w:r w:rsidRPr="00D2328A">
        <w:rPr>
          <w:rFonts w:ascii="Times New Roman" w:hAnsi="Times New Roman"/>
          <w:color w:val="000000"/>
          <w:szCs w:val="20"/>
        </w:rPr>
        <w:t xml:space="preserve"> для </w:t>
      </w:r>
      <w:proofErr w:type="spellStart"/>
      <w:r w:rsidRPr="00D2328A">
        <w:rPr>
          <w:rFonts w:ascii="Times New Roman" w:hAnsi="Times New Roman"/>
          <w:color w:val="000000"/>
          <w:szCs w:val="20"/>
        </w:rPr>
        <w:t>виплати</w:t>
      </w:r>
      <w:proofErr w:type="spellEnd"/>
      <w:r w:rsidRPr="00D2328A">
        <w:rPr>
          <w:rFonts w:ascii="Times New Roman" w:hAnsi="Times New Roman"/>
          <w:color w:val="000000"/>
          <w:szCs w:val="20"/>
        </w:rPr>
        <w:t xml:space="preserve"> за </w:t>
      </w:r>
      <w:proofErr w:type="spellStart"/>
      <w:r w:rsidRPr="00D2328A">
        <w:rPr>
          <w:rFonts w:ascii="Times New Roman" w:hAnsi="Times New Roman"/>
          <w:color w:val="000000"/>
          <w:szCs w:val="20"/>
        </w:rPr>
        <w:t>цінними</w:t>
      </w:r>
      <w:proofErr w:type="spellEnd"/>
      <w:r w:rsidRPr="00D2328A">
        <w:rPr>
          <w:rFonts w:ascii="Times New Roman" w:hAnsi="Times New Roman"/>
          <w:color w:val="000000"/>
          <w:szCs w:val="20"/>
        </w:rPr>
        <w:t xml:space="preserve"> </w:t>
      </w:r>
      <w:proofErr w:type="spellStart"/>
      <w:r w:rsidRPr="00D2328A">
        <w:rPr>
          <w:rFonts w:ascii="Times New Roman" w:hAnsi="Times New Roman"/>
          <w:color w:val="000000"/>
          <w:szCs w:val="20"/>
        </w:rPr>
        <w:t>паперами</w:t>
      </w:r>
      <w:proofErr w:type="spellEnd"/>
      <w:r w:rsidRPr="00D2328A">
        <w:rPr>
          <w:rFonts w:ascii="Times New Roman" w:hAnsi="Times New Roman"/>
          <w:color w:val="000000"/>
          <w:szCs w:val="20"/>
        </w:rPr>
        <w:t xml:space="preserve">, права на </w:t>
      </w:r>
      <w:proofErr w:type="spellStart"/>
      <w:r w:rsidRPr="00D2328A">
        <w:rPr>
          <w:rFonts w:ascii="Times New Roman" w:hAnsi="Times New Roman"/>
          <w:color w:val="000000"/>
          <w:szCs w:val="20"/>
        </w:rPr>
        <w:t>які</w:t>
      </w:r>
      <w:proofErr w:type="spellEnd"/>
      <w:r w:rsidRPr="00D2328A">
        <w:rPr>
          <w:rFonts w:ascii="Times New Roman" w:hAnsi="Times New Roman"/>
          <w:color w:val="000000"/>
          <w:szCs w:val="20"/>
        </w:rPr>
        <w:t xml:space="preserve"> </w:t>
      </w:r>
      <w:proofErr w:type="spellStart"/>
      <w:r w:rsidRPr="00D2328A">
        <w:rPr>
          <w:rFonts w:ascii="Times New Roman" w:hAnsi="Times New Roman"/>
          <w:color w:val="000000"/>
          <w:szCs w:val="20"/>
        </w:rPr>
        <w:t>обліковувались</w:t>
      </w:r>
      <w:proofErr w:type="spellEnd"/>
      <w:r w:rsidRPr="00D2328A">
        <w:rPr>
          <w:rFonts w:ascii="Times New Roman" w:hAnsi="Times New Roman"/>
          <w:color w:val="000000"/>
          <w:szCs w:val="20"/>
        </w:rPr>
        <w:t xml:space="preserve"> у </w:t>
      </w:r>
      <w:proofErr w:type="spellStart"/>
      <w:r w:rsidRPr="00D2328A">
        <w:rPr>
          <w:rFonts w:ascii="Times New Roman" w:hAnsi="Times New Roman"/>
          <w:color w:val="000000"/>
          <w:szCs w:val="20"/>
        </w:rPr>
        <w:t>неї</w:t>
      </w:r>
      <w:proofErr w:type="spellEnd"/>
      <w:r w:rsidRPr="00D2328A">
        <w:rPr>
          <w:rFonts w:ascii="Times New Roman" w:hAnsi="Times New Roman"/>
          <w:color w:val="000000"/>
          <w:szCs w:val="20"/>
        </w:rPr>
        <w:t xml:space="preserve">, та не </w:t>
      </w:r>
      <w:proofErr w:type="spellStart"/>
      <w:r w:rsidRPr="00D2328A">
        <w:rPr>
          <w:rFonts w:ascii="Times New Roman" w:hAnsi="Times New Roman"/>
          <w:color w:val="000000"/>
          <w:szCs w:val="20"/>
        </w:rPr>
        <w:t>були</w:t>
      </w:r>
      <w:proofErr w:type="spellEnd"/>
      <w:r w:rsidRPr="00D2328A">
        <w:rPr>
          <w:rFonts w:ascii="Times New Roman" w:hAnsi="Times New Roman"/>
          <w:color w:val="000000"/>
          <w:szCs w:val="20"/>
        </w:rPr>
        <w:t xml:space="preserve"> нею </w:t>
      </w:r>
      <w:proofErr w:type="spellStart"/>
      <w:r w:rsidRPr="00D2328A">
        <w:rPr>
          <w:rFonts w:ascii="Times New Roman" w:hAnsi="Times New Roman"/>
          <w:color w:val="000000"/>
          <w:szCs w:val="20"/>
        </w:rPr>
        <w:t>виплачені</w:t>
      </w:r>
      <w:proofErr w:type="spellEnd"/>
      <w:r w:rsidRPr="00D2328A">
        <w:rPr>
          <w:rFonts w:ascii="Times New Roman" w:hAnsi="Times New Roman"/>
          <w:color w:val="000000"/>
          <w:szCs w:val="20"/>
        </w:rPr>
        <w:t xml:space="preserve"> особам, </w:t>
      </w:r>
      <w:proofErr w:type="spellStart"/>
      <w:r w:rsidRPr="00D2328A">
        <w:rPr>
          <w:rFonts w:ascii="Times New Roman" w:hAnsi="Times New Roman"/>
          <w:color w:val="000000"/>
          <w:szCs w:val="20"/>
        </w:rPr>
        <w:t>які</w:t>
      </w:r>
      <w:proofErr w:type="spellEnd"/>
      <w:r w:rsidRPr="00D2328A">
        <w:rPr>
          <w:rFonts w:ascii="Times New Roman" w:hAnsi="Times New Roman"/>
          <w:color w:val="000000"/>
          <w:szCs w:val="20"/>
        </w:rPr>
        <w:t xml:space="preserve"> </w:t>
      </w:r>
      <w:proofErr w:type="spellStart"/>
      <w:r w:rsidRPr="00D2328A">
        <w:rPr>
          <w:rFonts w:ascii="Times New Roman" w:hAnsi="Times New Roman"/>
          <w:color w:val="000000"/>
          <w:szCs w:val="20"/>
        </w:rPr>
        <w:t>мають</w:t>
      </w:r>
      <w:proofErr w:type="spellEnd"/>
      <w:r w:rsidRPr="00D2328A">
        <w:rPr>
          <w:rFonts w:ascii="Times New Roman" w:hAnsi="Times New Roman"/>
          <w:color w:val="000000"/>
          <w:szCs w:val="20"/>
        </w:rPr>
        <w:t xml:space="preserve"> право на </w:t>
      </w:r>
      <w:proofErr w:type="spellStart"/>
      <w:r w:rsidRPr="00D2328A">
        <w:rPr>
          <w:rFonts w:ascii="Times New Roman" w:hAnsi="Times New Roman"/>
          <w:color w:val="000000"/>
          <w:szCs w:val="20"/>
        </w:rPr>
        <w:t>їх</w:t>
      </w:r>
      <w:proofErr w:type="spellEnd"/>
      <w:r w:rsidRPr="00D2328A">
        <w:rPr>
          <w:rFonts w:ascii="Times New Roman" w:hAnsi="Times New Roman"/>
          <w:color w:val="000000"/>
          <w:szCs w:val="20"/>
        </w:rPr>
        <w:t xml:space="preserve"> </w:t>
      </w:r>
      <w:proofErr w:type="spellStart"/>
      <w:r w:rsidRPr="00D2328A">
        <w:rPr>
          <w:rFonts w:ascii="Times New Roman" w:hAnsi="Times New Roman"/>
          <w:color w:val="000000"/>
          <w:szCs w:val="20"/>
        </w:rPr>
        <w:t>отримання</w:t>
      </w:r>
      <w:proofErr w:type="spellEnd"/>
      <w:r w:rsidRPr="00D2328A">
        <w:rPr>
          <w:rFonts w:ascii="Times New Roman" w:hAnsi="Times New Roman"/>
          <w:color w:val="000000"/>
          <w:szCs w:val="20"/>
        </w:rPr>
        <w:t xml:space="preserve">, у </w:t>
      </w:r>
      <w:proofErr w:type="spellStart"/>
      <w:r w:rsidRPr="00D2328A">
        <w:rPr>
          <w:rFonts w:ascii="Times New Roman" w:hAnsi="Times New Roman"/>
          <w:color w:val="000000"/>
          <w:szCs w:val="20"/>
        </w:rPr>
        <w:t>встановленому</w:t>
      </w:r>
      <w:proofErr w:type="spellEnd"/>
      <w:r w:rsidRPr="00D2328A">
        <w:rPr>
          <w:rFonts w:ascii="Times New Roman" w:hAnsi="Times New Roman"/>
          <w:color w:val="000000"/>
          <w:szCs w:val="20"/>
        </w:rPr>
        <w:t xml:space="preserve"> </w:t>
      </w:r>
      <w:proofErr w:type="spellStart"/>
      <w:r w:rsidRPr="00D2328A">
        <w:rPr>
          <w:rFonts w:ascii="Times New Roman" w:hAnsi="Times New Roman"/>
          <w:color w:val="000000"/>
          <w:szCs w:val="20"/>
        </w:rPr>
        <w:t>законодавством</w:t>
      </w:r>
      <w:proofErr w:type="spellEnd"/>
      <w:r w:rsidRPr="00D2328A">
        <w:rPr>
          <w:rFonts w:ascii="Times New Roman" w:hAnsi="Times New Roman"/>
          <w:color w:val="000000"/>
          <w:szCs w:val="20"/>
        </w:rPr>
        <w:t xml:space="preserve"> порядку на </w:t>
      </w:r>
      <w:proofErr w:type="spellStart"/>
      <w:r w:rsidRPr="00D2328A">
        <w:rPr>
          <w:rFonts w:ascii="Times New Roman" w:hAnsi="Times New Roman"/>
          <w:color w:val="000000"/>
          <w:szCs w:val="20"/>
        </w:rPr>
        <w:t>грошовий</w:t>
      </w:r>
      <w:proofErr w:type="spellEnd"/>
      <w:r w:rsidRPr="00D2328A">
        <w:rPr>
          <w:rFonts w:ascii="Times New Roman" w:hAnsi="Times New Roman"/>
          <w:color w:val="000000"/>
          <w:szCs w:val="20"/>
        </w:rPr>
        <w:t xml:space="preserve"> </w:t>
      </w:r>
      <w:proofErr w:type="spellStart"/>
      <w:r w:rsidRPr="00D2328A">
        <w:rPr>
          <w:rFonts w:ascii="Times New Roman" w:hAnsi="Times New Roman"/>
          <w:color w:val="000000"/>
          <w:szCs w:val="20"/>
        </w:rPr>
        <w:t>рахунок</w:t>
      </w:r>
      <w:proofErr w:type="spellEnd"/>
      <w:r w:rsidRPr="00D2328A">
        <w:rPr>
          <w:rFonts w:ascii="Times New Roman" w:hAnsi="Times New Roman"/>
          <w:color w:val="000000"/>
          <w:szCs w:val="20"/>
        </w:rPr>
        <w:t xml:space="preserve"> Центрального </w:t>
      </w:r>
      <w:proofErr w:type="spellStart"/>
      <w:r w:rsidRPr="00D2328A">
        <w:rPr>
          <w:rFonts w:ascii="Times New Roman" w:hAnsi="Times New Roman"/>
          <w:color w:val="000000"/>
          <w:szCs w:val="20"/>
        </w:rPr>
        <w:t>депозитарію</w:t>
      </w:r>
      <w:proofErr w:type="spellEnd"/>
      <w:r w:rsidRPr="00D2328A">
        <w:rPr>
          <w:rFonts w:ascii="Times New Roman" w:hAnsi="Times New Roman"/>
          <w:color w:val="000000"/>
          <w:szCs w:val="20"/>
        </w:rPr>
        <w:t xml:space="preserve"> у </w:t>
      </w:r>
      <w:proofErr w:type="spellStart"/>
      <w:r w:rsidRPr="00D2328A">
        <w:rPr>
          <w:rFonts w:ascii="Times New Roman" w:hAnsi="Times New Roman"/>
          <w:color w:val="000000"/>
          <w:szCs w:val="20"/>
        </w:rPr>
        <w:t>Розрахунковому</w:t>
      </w:r>
      <w:proofErr w:type="spellEnd"/>
      <w:r w:rsidRPr="00D2328A">
        <w:rPr>
          <w:rFonts w:ascii="Times New Roman" w:hAnsi="Times New Roman"/>
          <w:color w:val="000000"/>
          <w:szCs w:val="20"/>
        </w:rPr>
        <w:t xml:space="preserve"> </w:t>
      </w:r>
      <w:proofErr w:type="spellStart"/>
      <w:r w:rsidRPr="00D2328A">
        <w:rPr>
          <w:rFonts w:ascii="Times New Roman" w:hAnsi="Times New Roman"/>
          <w:color w:val="000000"/>
          <w:szCs w:val="20"/>
        </w:rPr>
        <w:t>центрі</w:t>
      </w:r>
      <w:proofErr w:type="spellEnd"/>
      <w:r w:rsidRPr="00D2328A">
        <w:rPr>
          <w:rFonts w:ascii="Times New Roman" w:hAnsi="Times New Roman"/>
          <w:color w:val="000000"/>
          <w:szCs w:val="20"/>
        </w:rPr>
        <w:t xml:space="preserve"> з </w:t>
      </w:r>
      <w:proofErr w:type="spellStart"/>
      <w:r w:rsidRPr="00D2328A">
        <w:rPr>
          <w:rFonts w:ascii="Times New Roman" w:hAnsi="Times New Roman"/>
          <w:color w:val="000000"/>
          <w:szCs w:val="20"/>
        </w:rPr>
        <w:t>одночасним</w:t>
      </w:r>
      <w:proofErr w:type="spellEnd"/>
      <w:r w:rsidRPr="00D2328A">
        <w:rPr>
          <w:rFonts w:ascii="Times New Roman" w:hAnsi="Times New Roman"/>
          <w:color w:val="000000"/>
          <w:szCs w:val="20"/>
        </w:rPr>
        <w:t xml:space="preserve"> </w:t>
      </w:r>
      <w:proofErr w:type="spellStart"/>
      <w:r w:rsidRPr="00D2328A">
        <w:rPr>
          <w:rFonts w:ascii="Times New Roman" w:hAnsi="Times New Roman"/>
          <w:color w:val="000000"/>
          <w:szCs w:val="20"/>
        </w:rPr>
        <w:t>поданням</w:t>
      </w:r>
      <w:proofErr w:type="spellEnd"/>
      <w:r w:rsidRPr="00D2328A">
        <w:rPr>
          <w:rFonts w:ascii="Times New Roman" w:hAnsi="Times New Roman"/>
          <w:color w:val="000000"/>
          <w:szCs w:val="20"/>
        </w:rPr>
        <w:t xml:space="preserve"> Центральному </w:t>
      </w:r>
      <w:proofErr w:type="spellStart"/>
      <w:r w:rsidRPr="00D2328A">
        <w:rPr>
          <w:rFonts w:ascii="Times New Roman" w:hAnsi="Times New Roman"/>
          <w:color w:val="000000"/>
          <w:szCs w:val="20"/>
        </w:rPr>
        <w:t>депозитарію</w:t>
      </w:r>
      <w:proofErr w:type="spellEnd"/>
      <w:r w:rsidRPr="00D2328A">
        <w:rPr>
          <w:rFonts w:ascii="Times New Roman" w:hAnsi="Times New Roman"/>
          <w:color w:val="000000"/>
          <w:szCs w:val="20"/>
        </w:rPr>
        <w:t xml:space="preserve"> </w:t>
      </w:r>
      <w:proofErr w:type="spellStart"/>
      <w:r w:rsidRPr="00D2328A">
        <w:rPr>
          <w:rFonts w:ascii="Times New Roman" w:hAnsi="Times New Roman"/>
          <w:color w:val="000000"/>
          <w:szCs w:val="20"/>
        </w:rPr>
        <w:t>відповідного</w:t>
      </w:r>
      <w:proofErr w:type="spellEnd"/>
      <w:r w:rsidRPr="00D2328A">
        <w:rPr>
          <w:rFonts w:ascii="Times New Roman" w:hAnsi="Times New Roman"/>
          <w:color w:val="000000"/>
          <w:szCs w:val="20"/>
        </w:rPr>
        <w:t xml:space="preserve"> </w:t>
      </w:r>
      <w:proofErr w:type="spellStart"/>
      <w:r w:rsidRPr="00D2328A">
        <w:rPr>
          <w:rFonts w:ascii="Times New Roman" w:hAnsi="Times New Roman"/>
          <w:color w:val="000000"/>
          <w:szCs w:val="20"/>
        </w:rPr>
        <w:t>повідомлення</w:t>
      </w:r>
      <w:proofErr w:type="spellEnd"/>
      <w:r w:rsidRPr="00D2328A">
        <w:rPr>
          <w:rFonts w:ascii="Times New Roman" w:hAnsi="Times New Roman"/>
          <w:color w:val="000000"/>
          <w:szCs w:val="20"/>
        </w:rPr>
        <w:t xml:space="preserve"> </w:t>
      </w:r>
      <w:proofErr w:type="spellStart"/>
      <w:r w:rsidRPr="00D2328A">
        <w:rPr>
          <w:rFonts w:ascii="Times New Roman" w:hAnsi="Times New Roman"/>
          <w:color w:val="000000"/>
          <w:szCs w:val="20"/>
        </w:rPr>
        <w:t>щодо</w:t>
      </w:r>
      <w:proofErr w:type="spellEnd"/>
      <w:r w:rsidRPr="00D2328A">
        <w:rPr>
          <w:rFonts w:ascii="Times New Roman" w:hAnsi="Times New Roman"/>
          <w:color w:val="000000"/>
          <w:szCs w:val="20"/>
        </w:rPr>
        <w:t xml:space="preserve"> </w:t>
      </w:r>
      <w:proofErr w:type="spellStart"/>
      <w:r w:rsidRPr="00D2328A">
        <w:rPr>
          <w:rFonts w:ascii="Times New Roman" w:hAnsi="Times New Roman"/>
          <w:color w:val="000000"/>
          <w:szCs w:val="20"/>
        </w:rPr>
        <w:t>загальної</w:t>
      </w:r>
      <w:proofErr w:type="spellEnd"/>
      <w:r w:rsidRPr="00D2328A">
        <w:rPr>
          <w:rFonts w:ascii="Times New Roman" w:hAnsi="Times New Roman"/>
          <w:color w:val="000000"/>
          <w:szCs w:val="20"/>
        </w:rPr>
        <w:t xml:space="preserve"> </w:t>
      </w:r>
      <w:proofErr w:type="spellStart"/>
      <w:r w:rsidRPr="00D2328A">
        <w:rPr>
          <w:rFonts w:ascii="Times New Roman" w:hAnsi="Times New Roman"/>
          <w:color w:val="000000"/>
          <w:szCs w:val="20"/>
        </w:rPr>
        <w:t>суми</w:t>
      </w:r>
      <w:proofErr w:type="spellEnd"/>
      <w:r w:rsidRPr="00D2328A">
        <w:rPr>
          <w:rFonts w:ascii="Times New Roman" w:hAnsi="Times New Roman"/>
          <w:color w:val="000000"/>
          <w:szCs w:val="20"/>
        </w:rPr>
        <w:t xml:space="preserve"> </w:t>
      </w:r>
      <w:proofErr w:type="spellStart"/>
      <w:r w:rsidRPr="00D2328A">
        <w:rPr>
          <w:rFonts w:ascii="Times New Roman" w:hAnsi="Times New Roman"/>
          <w:color w:val="000000"/>
          <w:szCs w:val="20"/>
        </w:rPr>
        <w:t>коштів</w:t>
      </w:r>
      <w:proofErr w:type="spellEnd"/>
      <w:r w:rsidRPr="00D2328A">
        <w:rPr>
          <w:rFonts w:ascii="Times New Roman" w:hAnsi="Times New Roman"/>
          <w:color w:val="000000"/>
          <w:szCs w:val="20"/>
        </w:rPr>
        <w:t xml:space="preserve"> </w:t>
      </w:r>
      <w:proofErr w:type="spellStart"/>
      <w:r w:rsidRPr="00D2328A">
        <w:rPr>
          <w:rFonts w:ascii="Times New Roman" w:hAnsi="Times New Roman"/>
          <w:color w:val="000000"/>
          <w:szCs w:val="20"/>
        </w:rPr>
        <w:t>окремо</w:t>
      </w:r>
      <w:proofErr w:type="spellEnd"/>
      <w:r w:rsidRPr="00D2328A">
        <w:rPr>
          <w:rFonts w:ascii="Times New Roman" w:hAnsi="Times New Roman"/>
          <w:color w:val="000000"/>
          <w:szCs w:val="20"/>
        </w:rPr>
        <w:t xml:space="preserve"> за </w:t>
      </w:r>
      <w:proofErr w:type="spellStart"/>
      <w:r w:rsidRPr="00D2328A">
        <w:rPr>
          <w:rFonts w:ascii="Times New Roman" w:hAnsi="Times New Roman"/>
          <w:color w:val="000000"/>
          <w:szCs w:val="20"/>
        </w:rPr>
        <w:t>відповідним</w:t>
      </w:r>
      <w:proofErr w:type="spellEnd"/>
      <w:r w:rsidRPr="00D2328A">
        <w:rPr>
          <w:rFonts w:ascii="Times New Roman" w:hAnsi="Times New Roman"/>
          <w:color w:val="000000"/>
          <w:szCs w:val="20"/>
        </w:rPr>
        <w:t xml:space="preserve"> </w:t>
      </w:r>
      <w:proofErr w:type="spellStart"/>
      <w:r w:rsidRPr="00D2328A">
        <w:rPr>
          <w:rFonts w:ascii="Times New Roman" w:hAnsi="Times New Roman"/>
          <w:color w:val="000000"/>
          <w:szCs w:val="20"/>
        </w:rPr>
        <w:t>випуском</w:t>
      </w:r>
      <w:proofErr w:type="spellEnd"/>
      <w:r w:rsidRPr="00D2328A">
        <w:rPr>
          <w:rFonts w:ascii="Times New Roman" w:hAnsi="Times New Roman"/>
          <w:color w:val="000000"/>
          <w:szCs w:val="20"/>
        </w:rPr>
        <w:t xml:space="preserve"> </w:t>
      </w:r>
      <w:proofErr w:type="spellStart"/>
      <w:r w:rsidRPr="00D2328A">
        <w:rPr>
          <w:rFonts w:ascii="Times New Roman" w:hAnsi="Times New Roman"/>
          <w:color w:val="000000"/>
          <w:szCs w:val="20"/>
        </w:rPr>
        <w:t>цінних</w:t>
      </w:r>
      <w:proofErr w:type="spellEnd"/>
      <w:r w:rsidRPr="00D2328A">
        <w:rPr>
          <w:rFonts w:ascii="Times New Roman" w:hAnsi="Times New Roman"/>
          <w:color w:val="000000"/>
          <w:szCs w:val="20"/>
        </w:rPr>
        <w:t xml:space="preserve"> </w:t>
      </w:r>
      <w:proofErr w:type="spellStart"/>
      <w:r w:rsidRPr="00D2328A">
        <w:rPr>
          <w:rFonts w:ascii="Times New Roman" w:hAnsi="Times New Roman"/>
          <w:color w:val="000000"/>
          <w:szCs w:val="20"/>
        </w:rPr>
        <w:t>паперів</w:t>
      </w:r>
      <w:proofErr w:type="spellEnd"/>
      <w:r w:rsidRPr="00D2328A">
        <w:rPr>
          <w:rFonts w:ascii="Times New Roman" w:hAnsi="Times New Roman"/>
          <w:color w:val="000000"/>
          <w:szCs w:val="20"/>
        </w:rPr>
        <w:t xml:space="preserve"> та </w:t>
      </w:r>
      <w:proofErr w:type="spellStart"/>
      <w:r w:rsidRPr="00D2328A">
        <w:rPr>
          <w:rFonts w:ascii="Times New Roman" w:hAnsi="Times New Roman"/>
          <w:color w:val="000000"/>
          <w:szCs w:val="20"/>
        </w:rPr>
        <w:t>відповідного</w:t>
      </w:r>
      <w:proofErr w:type="spellEnd"/>
      <w:r w:rsidRPr="00D2328A">
        <w:rPr>
          <w:rFonts w:ascii="Times New Roman" w:hAnsi="Times New Roman"/>
          <w:color w:val="000000"/>
          <w:szCs w:val="20"/>
        </w:rPr>
        <w:t xml:space="preserve"> </w:t>
      </w:r>
      <w:proofErr w:type="spellStart"/>
      <w:r w:rsidRPr="00D2328A">
        <w:rPr>
          <w:rFonts w:ascii="Times New Roman" w:hAnsi="Times New Roman"/>
          <w:color w:val="000000"/>
          <w:szCs w:val="20"/>
        </w:rPr>
        <w:t>розпорядження</w:t>
      </w:r>
      <w:proofErr w:type="spellEnd"/>
      <w:r w:rsidRPr="00D2328A">
        <w:rPr>
          <w:rFonts w:ascii="Times New Roman" w:hAnsi="Times New Roman"/>
          <w:color w:val="000000"/>
          <w:szCs w:val="20"/>
        </w:rPr>
        <w:t xml:space="preserve"> у порядку, </w:t>
      </w:r>
      <w:proofErr w:type="spellStart"/>
      <w:r w:rsidRPr="00D2328A">
        <w:rPr>
          <w:rFonts w:ascii="Times New Roman" w:hAnsi="Times New Roman"/>
          <w:color w:val="000000"/>
          <w:szCs w:val="20"/>
        </w:rPr>
        <w:t>визначеному</w:t>
      </w:r>
      <w:proofErr w:type="spellEnd"/>
      <w:r w:rsidRPr="00D2328A">
        <w:rPr>
          <w:rFonts w:ascii="Times New Roman" w:hAnsi="Times New Roman"/>
          <w:color w:val="000000"/>
          <w:szCs w:val="20"/>
        </w:rPr>
        <w:t xml:space="preserve"> </w:t>
      </w:r>
      <w:proofErr w:type="spellStart"/>
      <w:r w:rsidRPr="00D2328A">
        <w:rPr>
          <w:rFonts w:ascii="Times New Roman" w:hAnsi="Times New Roman"/>
          <w:color w:val="000000"/>
          <w:szCs w:val="20"/>
        </w:rPr>
        <w:t>внутрішніми</w:t>
      </w:r>
      <w:proofErr w:type="spellEnd"/>
      <w:r w:rsidRPr="00D2328A">
        <w:rPr>
          <w:rFonts w:ascii="Times New Roman" w:hAnsi="Times New Roman"/>
          <w:color w:val="000000"/>
          <w:szCs w:val="20"/>
        </w:rPr>
        <w:t xml:space="preserve"> документами Центрального </w:t>
      </w:r>
      <w:proofErr w:type="spellStart"/>
      <w:r w:rsidRPr="00D2328A">
        <w:rPr>
          <w:rFonts w:ascii="Times New Roman" w:hAnsi="Times New Roman"/>
          <w:color w:val="000000"/>
          <w:szCs w:val="20"/>
        </w:rPr>
        <w:t>депозитарію</w:t>
      </w:r>
      <w:proofErr w:type="spellEnd"/>
      <w:r w:rsidRPr="00D2328A">
        <w:rPr>
          <w:rFonts w:ascii="Times New Roman" w:hAnsi="Times New Roman"/>
          <w:color w:val="000000"/>
          <w:szCs w:val="20"/>
        </w:rPr>
        <w:t>.</w:t>
      </w:r>
    </w:p>
    <w:p w14:paraId="2709E810" w14:textId="77777777" w:rsidR="007974E8" w:rsidRPr="00E16672" w:rsidRDefault="007974E8" w:rsidP="007974E8">
      <w:pPr>
        <w:rPr>
          <w:rFonts w:ascii="Times New Roman" w:hAnsi="Times New Roman"/>
          <w:color w:val="000000"/>
          <w:szCs w:val="20"/>
          <w:lang w:val="uk-UA"/>
        </w:rPr>
      </w:pPr>
      <w:r w:rsidRPr="00E16672">
        <w:rPr>
          <w:rFonts w:ascii="Times New Roman" w:hAnsi="Times New Roman"/>
          <w:color w:val="000000"/>
          <w:szCs w:val="20"/>
        </w:rPr>
        <w:t>1</w:t>
      </w:r>
      <w:r w:rsidRPr="00E16672">
        <w:rPr>
          <w:rFonts w:ascii="Times New Roman" w:hAnsi="Times New Roman"/>
          <w:color w:val="000000"/>
          <w:szCs w:val="20"/>
          <w:lang w:val="uk-UA"/>
        </w:rPr>
        <w:t>1</w:t>
      </w:r>
      <w:r w:rsidRPr="00E16672">
        <w:rPr>
          <w:rFonts w:ascii="Times New Roman" w:hAnsi="Times New Roman"/>
          <w:color w:val="000000"/>
          <w:szCs w:val="20"/>
        </w:rPr>
        <w:t xml:space="preserve">.4. У </w:t>
      </w:r>
      <w:proofErr w:type="spellStart"/>
      <w:r w:rsidRPr="00E16672">
        <w:rPr>
          <w:rFonts w:ascii="Times New Roman" w:hAnsi="Times New Roman"/>
          <w:color w:val="000000"/>
          <w:szCs w:val="20"/>
        </w:rPr>
        <w:t>разі</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наявності</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заборгованості</w:t>
      </w:r>
      <w:proofErr w:type="spellEnd"/>
      <w:r w:rsidRPr="00E16672">
        <w:rPr>
          <w:rFonts w:ascii="Times New Roman" w:hAnsi="Times New Roman"/>
          <w:color w:val="000000"/>
          <w:szCs w:val="20"/>
        </w:rPr>
        <w:t xml:space="preserve"> з боку Депонента за </w:t>
      </w:r>
      <w:proofErr w:type="spellStart"/>
      <w:r w:rsidRPr="00E16672">
        <w:rPr>
          <w:rFonts w:ascii="Times New Roman" w:hAnsi="Times New Roman"/>
          <w:color w:val="000000"/>
          <w:szCs w:val="20"/>
        </w:rPr>
        <w:t>послуги</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Депозитарної</w:t>
      </w:r>
      <w:proofErr w:type="spellEnd"/>
      <w:r w:rsidRPr="00E16672">
        <w:rPr>
          <w:rFonts w:ascii="Times New Roman" w:hAnsi="Times New Roman"/>
          <w:color w:val="000000"/>
          <w:szCs w:val="20"/>
        </w:rPr>
        <w:t xml:space="preserve"> установи </w:t>
      </w:r>
      <w:proofErr w:type="spellStart"/>
      <w:r w:rsidRPr="00E16672">
        <w:rPr>
          <w:rFonts w:ascii="Times New Roman" w:hAnsi="Times New Roman"/>
          <w:color w:val="000000"/>
          <w:szCs w:val="20"/>
        </w:rPr>
        <w:t>термін</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здійснення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виплати</w:t>
      </w:r>
      <w:proofErr w:type="spellEnd"/>
      <w:r w:rsidRPr="00E16672">
        <w:rPr>
          <w:rFonts w:ascii="Times New Roman" w:hAnsi="Times New Roman"/>
          <w:color w:val="000000"/>
          <w:szCs w:val="20"/>
        </w:rPr>
        <w:t xml:space="preserve"> доходу за </w:t>
      </w:r>
      <w:proofErr w:type="spellStart"/>
      <w:r w:rsidRPr="00E16672">
        <w:rPr>
          <w:rFonts w:ascii="Times New Roman" w:hAnsi="Times New Roman"/>
          <w:color w:val="000000"/>
          <w:szCs w:val="20"/>
        </w:rPr>
        <w:t>цінними</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паперами</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грошових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коштів</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отриманих</w:t>
      </w:r>
      <w:proofErr w:type="spellEnd"/>
      <w:r w:rsidRPr="00E16672">
        <w:rPr>
          <w:rFonts w:ascii="Times New Roman" w:hAnsi="Times New Roman"/>
          <w:color w:val="000000"/>
          <w:szCs w:val="20"/>
        </w:rPr>
        <w:t xml:space="preserve"> за результатами </w:t>
      </w:r>
      <w:proofErr w:type="spellStart"/>
      <w:r w:rsidRPr="00E16672">
        <w:rPr>
          <w:rFonts w:ascii="Times New Roman" w:hAnsi="Times New Roman"/>
          <w:color w:val="000000"/>
          <w:szCs w:val="20"/>
        </w:rPr>
        <w:t>погашення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цінних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паперів</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емітента</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отриманих</w:t>
      </w:r>
      <w:proofErr w:type="spellEnd"/>
      <w:r w:rsidRPr="00E16672">
        <w:rPr>
          <w:rFonts w:ascii="Times New Roman" w:hAnsi="Times New Roman"/>
          <w:color w:val="000000"/>
          <w:szCs w:val="20"/>
        </w:rPr>
        <w:t xml:space="preserve"> Депонентом за результатами </w:t>
      </w:r>
      <w:proofErr w:type="spellStart"/>
      <w:r w:rsidRPr="00E16672">
        <w:rPr>
          <w:rFonts w:ascii="Times New Roman" w:hAnsi="Times New Roman"/>
          <w:color w:val="000000"/>
          <w:szCs w:val="20"/>
        </w:rPr>
        <w:t>проведення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корпоративних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операцій</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емітента</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може</w:t>
      </w:r>
      <w:proofErr w:type="spellEnd"/>
      <w:r w:rsidRPr="00E16672">
        <w:rPr>
          <w:rFonts w:ascii="Times New Roman" w:hAnsi="Times New Roman"/>
          <w:color w:val="000000"/>
          <w:szCs w:val="20"/>
        </w:rPr>
        <w:t xml:space="preserve"> бути </w:t>
      </w:r>
      <w:proofErr w:type="spellStart"/>
      <w:r w:rsidRPr="00E16672">
        <w:rPr>
          <w:rFonts w:ascii="Times New Roman" w:hAnsi="Times New Roman"/>
          <w:color w:val="000000"/>
          <w:szCs w:val="20"/>
        </w:rPr>
        <w:t>збільшений</w:t>
      </w:r>
      <w:proofErr w:type="spellEnd"/>
      <w:r w:rsidRPr="00E16672">
        <w:rPr>
          <w:rFonts w:ascii="Times New Roman" w:hAnsi="Times New Roman"/>
          <w:color w:val="000000"/>
          <w:szCs w:val="20"/>
        </w:rPr>
        <w:t xml:space="preserve"> </w:t>
      </w:r>
      <w:proofErr w:type="gramStart"/>
      <w:r w:rsidRPr="00E16672">
        <w:rPr>
          <w:rFonts w:ascii="Times New Roman" w:hAnsi="Times New Roman"/>
          <w:color w:val="000000"/>
          <w:szCs w:val="20"/>
        </w:rPr>
        <w:t>до моменту</w:t>
      </w:r>
      <w:proofErr w:type="gram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сплати</w:t>
      </w:r>
      <w:proofErr w:type="spellEnd"/>
      <w:r w:rsidRPr="00E16672">
        <w:rPr>
          <w:rFonts w:ascii="Times New Roman" w:hAnsi="Times New Roman"/>
          <w:color w:val="000000"/>
          <w:szCs w:val="20"/>
        </w:rPr>
        <w:t xml:space="preserve"> Депонентом </w:t>
      </w:r>
      <w:proofErr w:type="spellStart"/>
      <w:r w:rsidRPr="00E16672">
        <w:rPr>
          <w:rFonts w:ascii="Times New Roman" w:hAnsi="Times New Roman"/>
          <w:color w:val="000000"/>
          <w:szCs w:val="20"/>
        </w:rPr>
        <w:t>заборгованості</w:t>
      </w:r>
      <w:proofErr w:type="spellEnd"/>
      <w:r w:rsidRPr="00E16672">
        <w:rPr>
          <w:rFonts w:ascii="Times New Roman" w:hAnsi="Times New Roman"/>
          <w:color w:val="000000"/>
          <w:szCs w:val="20"/>
        </w:rPr>
        <w:t>.</w:t>
      </w:r>
    </w:p>
    <w:p w14:paraId="42188661" w14:textId="77777777" w:rsidR="007974E8" w:rsidRPr="00E16672" w:rsidRDefault="007974E8" w:rsidP="007974E8">
      <w:pPr>
        <w:suppressAutoHyphens w:val="0"/>
        <w:rPr>
          <w:rFonts w:ascii="Times New Roman" w:hAnsi="Times New Roman"/>
          <w:color w:val="000000"/>
          <w:szCs w:val="20"/>
        </w:rPr>
      </w:pPr>
      <w:r w:rsidRPr="00E16672">
        <w:rPr>
          <w:rFonts w:ascii="Times New Roman" w:hAnsi="Times New Roman"/>
          <w:color w:val="000000"/>
          <w:szCs w:val="20"/>
          <w:lang w:val="uk-UA"/>
        </w:rPr>
        <w:t>11</w:t>
      </w:r>
      <w:r w:rsidRPr="00E16672">
        <w:rPr>
          <w:rFonts w:ascii="Times New Roman" w:hAnsi="Times New Roman"/>
          <w:color w:val="000000"/>
          <w:szCs w:val="20"/>
        </w:rPr>
        <w:t xml:space="preserve">.5. </w:t>
      </w:r>
      <w:proofErr w:type="spellStart"/>
      <w:r w:rsidRPr="00E16672">
        <w:rPr>
          <w:rFonts w:ascii="Times New Roman" w:hAnsi="Times New Roman"/>
          <w:color w:val="000000"/>
          <w:szCs w:val="20"/>
        </w:rPr>
        <w:t>Виплата</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дивідендів</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доходів</w:t>
      </w:r>
      <w:proofErr w:type="spellEnd"/>
      <w:r w:rsidRPr="00E16672">
        <w:rPr>
          <w:rFonts w:ascii="Times New Roman" w:hAnsi="Times New Roman"/>
          <w:color w:val="000000"/>
          <w:szCs w:val="20"/>
        </w:rPr>
        <w:t xml:space="preserve">) за </w:t>
      </w:r>
      <w:proofErr w:type="spellStart"/>
      <w:r w:rsidRPr="00E16672">
        <w:rPr>
          <w:rFonts w:ascii="Times New Roman" w:hAnsi="Times New Roman"/>
          <w:color w:val="000000"/>
          <w:szCs w:val="20"/>
        </w:rPr>
        <w:t>цінними</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паперами</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які</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розміщені</w:t>
      </w:r>
      <w:proofErr w:type="spellEnd"/>
      <w:r w:rsidRPr="00E16672">
        <w:rPr>
          <w:rFonts w:ascii="Times New Roman" w:hAnsi="Times New Roman"/>
          <w:color w:val="000000"/>
          <w:szCs w:val="20"/>
        </w:rPr>
        <w:t xml:space="preserve"> за межами </w:t>
      </w:r>
      <w:proofErr w:type="spellStart"/>
      <w:r w:rsidRPr="00E16672">
        <w:rPr>
          <w:rFonts w:ascii="Times New Roman" w:hAnsi="Times New Roman"/>
          <w:color w:val="000000"/>
          <w:szCs w:val="20"/>
        </w:rPr>
        <w:t>України</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здійснюється</w:t>
      </w:r>
      <w:proofErr w:type="spellEnd"/>
      <w:r w:rsidRPr="00E16672">
        <w:rPr>
          <w:rFonts w:ascii="Times New Roman" w:hAnsi="Times New Roman"/>
          <w:color w:val="000000"/>
          <w:szCs w:val="20"/>
        </w:rPr>
        <w:t xml:space="preserve"> </w:t>
      </w:r>
      <w:proofErr w:type="gramStart"/>
      <w:r w:rsidRPr="00E16672">
        <w:rPr>
          <w:rFonts w:ascii="Times New Roman" w:hAnsi="Times New Roman"/>
          <w:color w:val="000000"/>
          <w:szCs w:val="20"/>
        </w:rPr>
        <w:t>в порядку</w:t>
      </w:r>
      <w:proofErr w:type="gram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встановленому</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Положенням</w:t>
      </w:r>
      <w:proofErr w:type="spellEnd"/>
      <w:r w:rsidRPr="00E16672">
        <w:rPr>
          <w:rFonts w:ascii="Times New Roman" w:hAnsi="Times New Roman"/>
          <w:color w:val="000000"/>
          <w:szCs w:val="20"/>
        </w:rPr>
        <w:t xml:space="preserve"> про </w:t>
      </w:r>
      <w:proofErr w:type="spellStart"/>
      <w:r w:rsidRPr="00E16672">
        <w:rPr>
          <w:rFonts w:ascii="Times New Roman" w:hAnsi="Times New Roman"/>
          <w:color w:val="000000"/>
          <w:szCs w:val="20"/>
        </w:rPr>
        <w:t>провадження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депозитарної</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діяльності</w:t>
      </w:r>
      <w:proofErr w:type="spellEnd"/>
      <w:r w:rsidRPr="00E16672">
        <w:rPr>
          <w:rFonts w:ascii="Times New Roman" w:hAnsi="Times New Roman"/>
          <w:color w:val="000000"/>
          <w:szCs w:val="20"/>
        </w:rPr>
        <w:t xml:space="preserve"> та </w:t>
      </w:r>
      <w:proofErr w:type="spellStart"/>
      <w:r w:rsidRPr="00E16672">
        <w:rPr>
          <w:rFonts w:ascii="Times New Roman" w:hAnsi="Times New Roman"/>
          <w:color w:val="000000"/>
          <w:szCs w:val="20"/>
        </w:rPr>
        <w:t>внутрішніми</w:t>
      </w:r>
      <w:proofErr w:type="spellEnd"/>
      <w:r w:rsidRPr="00E16672">
        <w:rPr>
          <w:rFonts w:ascii="Times New Roman" w:hAnsi="Times New Roman"/>
          <w:color w:val="000000"/>
          <w:szCs w:val="20"/>
        </w:rPr>
        <w:t xml:space="preserve"> документами </w:t>
      </w:r>
      <w:proofErr w:type="spellStart"/>
      <w:r w:rsidRPr="00E16672">
        <w:rPr>
          <w:rFonts w:ascii="Times New Roman" w:hAnsi="Times New Roman"/>
          <w:color w:val="000000"/>
          <w:szCs w:val="20"/>
        </w:rPr>
        <w:t>Депозитарної</w:t>
      </w:r>
      <w:proofErr w:type="spellEnd"/>
      <w:r w:rsidRPr="00E16672">
        <w:rPr>
          <w:rFonts w:ascii="Times New Roman" w:hAnsi="Times New Roman"/>
          <w:color w:val="000000"/>
          <w:szCs w:val="20"/>
        </w:rPr>
        <w:t xml:space="preserve"> установи.</w:t>
      </w:r>
    </w:p>
    <w:p w14:paraId="41E8058A" w14:textId="77777777" w:rsidR="002C163A" w:rsidRDefault="002C163A" w:rsidP="007974E8">
      <w:pPr>
        <w:pStyle w:val="33"/>
        <w:tabs>
          <w:tab w:val="left" w:pos="851"/>
        </w:tabs>
        <w:jc w:val="center"/>
        <w:rPr>
          <w:rFonts w:ascii="Times New Roman" w:hAnsi="Times New Roman" w:cs="Times New Roman"/>
          <w:b/>
          <w:bCs/>
          <w:color w:val="000000"/>
          <w:lang w:val="uk-UA"/>
        </w:rPr>
      </w:pPr>
    </w:p>
    <w:p w14:paraId="7D2951DA" w14:textId="77777777" w:rsidR="007974E8" w:rsidRPr="00E16672" w:rsidRDefault="007974E8" w:rsidP="007974E8">
      <w:pPr>
        <w:pStyle w:val="33"/>
        <w:tabs>
          <w:tab w:val="left" w:pos="851"/>
        </w:tabs>
        <w:jc w:val="center"/>
        <w:rPr>
          <w:rFonts w:ascii="Times New Roman" w:hAnsi="Times New Roman" w:cs="Times New Roman"/>
          <w:b/>
          <w:bCs/>
          <w:color w:val="000000"/>
          <w:lang w:val="uk-UA"/>
        </w:rPr>
      </w:pPr>
      <w:r w:rsidRPr="00E16672">
        <w:rPr>
          <w:rFonts w:ascii="Times New Roman" w:hAnsi="Times New Roman" w:cs="Times New Roman"/>
          <w:b/>
          <w:bCs/>
          <w:color w:val="000000"/>
          <w:lang w:val="uk-UA"/>
        </w:rPr>
        <w:t>12</w:t>
      </w:r>
      <w:r w:rsidRPr="00E16672">
        <w:rPr>
          <w:rFonts w:ascii="Times New Roman" w:hAnsi="Times New Roman" w:cs="Times New Roman"/>
          <w:color w:val="000000"/>
          <w:lang w:val="uk-UA"/>
        </w:rPr>
        <w:t xml:space="preserve">. </w:t>
      </w:r>
      <w:r w:rsidRPr="00E16672">
        <w:rPr>
          <w:rFonts w:ascii="Times New Roman" w:hAnsi="Times New Roman" w:cs="Times New Roman"/>
          <w:b/>
          <w:bCs/>
          <w:color w:val="000000"/>
          <w:lang w:val="uk-UA"/>
        </w:rPr>
        <w:t>Заключні положення</w:t>
      </w:r>
    </w:p>
    <w:p w14:paraId="3536066A" w14:textId="77777777" w:rsidR="007974E8" w:rsidRPr="00E16672" w:rsidRDefault="007974E8" w:rsidP="007974E8">
      <w:pPr>
        <w:tabs>
          <w:tab w:val="left" w:pos="5954"/>
        </w:tabs>
        <w:rPr>
          <w:rFonts w:ascii="Times New Roman" w:hAnsi="Times New Roman"/>
          <w:color w:val="000000"/>
          <w:szCs w:val="20"/>
        </w:rPr>
      </w:pPr>
    </w:p>
    <w:p w14:paraId="74A0F1D6" w14:textId="77777777" w:rsidR="007974E8" w:rsidRPr="00E16672" w:rsidRDefault="007974E8" w:rsidP="007974E8">
      <w:pPr>
        <w:tabs>
          <w:tab w:val="left" w:pos="5954"/>
        </w:tabs>
        <w:rPr>
          <w:rFonts w:ascii="Times New Roman" w:hAnsi="Times New Roman"/>
          <w:color w:val="000000"/>
          <w:szCs w:val="20"/>
        </w:rPr>
      </w:pPr>
      <w:r w:rsidRPr="00E16672">
        <w:rPr>
          <w:rFonts w:ascii="Times New Roman" w:hAnsi="Times New Roman"/>
          <w:color w:val="000000"/>
          <w:szCs w:val="20"/>
        </w:rPr>
        <w:t>1</w:t>
      </w:r>
      <w:r w:rsidRPr="00E16672">
        <w:rPr>
          <w:rFonts w:ascii="Times New Roman" w:hAnsi="Times New Roman"/>
          <w:color w:val="000000"/>
          <w:szCs w:val="20"/>
          <w:lang w:val="uk-UA"/>
        </w:rPr>
        <w:t>2</w:t>
      </w:r>
      <w:r w:rsidRPr="00E16672">
        <w:rPr>
          <w:rFonts w:ascii="Times New Roman" w:hAnsi="Times New Roman"/>
          <w:color w:val="000000"/>
          <w:szCs w:val="20"/>
        </w:rPr>
        <w:t xml:space="preserve">.1. </w:t>
      </w:r>
      <w:proofErr w:type="spellStart"/>
      <w:r w:rsidRPr="00E16672">
        <w:rPr>
          <w:rFonts w:ascii="Times New Roman" w:hAnsi="Times New Roman"/>
          <w:color w:val="000000"/>
          <w:szCs w:val="20"/>
        </w:rPr>
        <w:t>Цей</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Договір</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було</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складено</w:t>
      </w:r>
      <w:proofErr w:type="spellEnd"/>
      <w:r w:rsidRPr="00E16672">
        <w:rPr>
          <w:rFonts w:ascii="Times New Roman" w:hAnsi="Times New Roman"/>
          <w:color w:val="000000"/>
          <w:szCs w:val="20"/>
        </w:rPr>
        <w:t xml:space="preserve"> у </w:t>
      </w:r>
      <w:proofErr w:type="spellStart"/>
      <w:r w:rsidRPr="00E16672">
        <w:rPr>
          <w:rFonts w:ascii="Times New Roman" w:hAnsi="Times New Roman"/>
          <w:color w:val="000000"/>
          <w:szCs w:val="20"/>
        </w:rPr>
        <w:t>двох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примірниках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якi</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мають</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однакову</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юридичну</w:t>
      </w:r>
      <w:proofErr w:type="spellEnd"/>
      <w:r w:rsidRPr="00E16672">
        <w:rPr>
          <w:rFonts w:ascii="Times New Roman" w:hAnsi="Times New Roman"/>
          <w:color w:val="000000"/>
          <w:szCs w:val="20"/>
        </w:rPr>
        <w:t xml:space="preserve"> силу, по одному - </w:t>
      </w:r>
      <w:proofErr w:type="spellStart"/>
      <w:r w:rsidRPr="00E16672">
        <w:rPr>
          <w:rFonts w:ascii="Times New Roman" w:hAnsi="Times New Roman"/>
          <w:color w:val="000000"/>
          <w:szCs w:val="20"/>
        </w:rPr>
        <w:t>Депонентові</w:t>
      </w:r>
      <w:proofErr w:type="spellEnd"/>
      <w:r w:rsidRPr="00E16672">
        <w:rPr>
          <w:rFonts w:ascii="Times New Roman" w:hAnsi="Times New Roman"/>
          <w:color w:val="000000"/>
          <w:szCs w:val="20"/>
        </w:rPr>
        <w:t xml:space="preserve"> та </w:t>
      </w:r>
      <w:proofErr w:type="spellStart"/>
      <w:r w:rsidRPr="00E16672">
        <w:rPr>
          <w:rFonts w:ascii="Times New Roman" w:hAnsi="Times New Roman"/>
          <w:color w:val="000000"/>
          <w:szCs w:val="20"/>
        </w:rPr>
        <w:t>Депозитарній</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установі</w:t>
      </w:r>
      <w:proofErr w:type="spellEnd"/>
      <w:r w:rsidRPr="00E16672">
        <w:rPr>
          <w:rFonts w:ascii="Times New Roman" w:hAnsi="Times New Roman"/>
          <w:color w:val="000000"/>
          <w:szCs w:val="20"/>
        </w:rPr>
        <w:t xml:space="preserve">. </w:t>
      </w:r>
    </w:p>
    <w:p w14:paraId="5D6A9D12" w14:textId="77777777" w:rsidR="007974E8" w:rsidRPr="00E16672" w:rsidRDefault="007974E8" w:rsidP="007974E8">
      <w:pPr>
        <w:pStyle w:val="af"/>
        <w:rPr>
          <w:rFonts w:ascii="Times New Roman" w:hAnsi="Times New Roman" w:cs="Times New Roman"/>
          <w:color w:val="000000"/>
        </w:rPr>
      </w:pPr>
      <w:r w:rsidRPr="00E16672">
        <w:rPr>
          <w:rFonts w:ascii="Times New Roman" w:hAnsi="Times New Roman" w:cs="Times New Roman"/>
          <w:color w:val="000000"/>
        </w:rPr>
        <w:t xml:space="preserve">12.2. У разі укладення додаткових договорів до Договору про обслуговування рахунку на ім'я держави, на підставі якого був відкритий рахунок Депоненту, між Депозитарною установою та Депонентом, від імені якого буде діяти інший Керуючий рахунком, такому Керуючому рахунком Депозитарна установа надає копію цього Договору. </w:t>
      </w:r>
    </w:p>
    <w:p w14:paraId="5E189EF8" w14:textId="77777777" w:rsidR="00A72D18" w:rsidRPr="00E16672" w:rsidRDefault="00A72D18" w:rsidP="00A72D18">
      <w:pPr>
        <w:tabs>
          <w:tab w:val="left" w:pos="5954"/>
        </w:tabs>
        <w:rPr>
          <w:rFonts w:ascii="Times New Roman" w:hAnsi="Times New Roman"/>
          <w:szCs w:val="20"/>
          <w:lang w:val="uk-UA"/>
        </w:rPr>
      </w:pPr>
      <w:r w:rsidRPr="00E16672">
        <w:rPr>
          <w:rFonts w:ascii="Times New Roman" w:hAnsi="Times New Roman"/>
          <w:szCs w:val="20"/>
          <w:lang w:val="uk-UA"/>
        </w:rPr>
        <w:t>12.3. Підписуючи цей Договір, Депонент засвідчує, що він ознайомлений з внутрішніми документами Депозитарної установи, що регламентують провадження депозитарної діяльності, та тарифами Депозитарної установи.</w:t>
      </w:r>
    </w:p>
    <w:p w14:paraId="71976B5B" w14:textId="77777777" w:rsidR="007974E8" w:rsidRPr="00E16672" w:rsidRDefault="007974E8" w:rsidP="007974E8">
      <w:pPr>
        <w:tabs>
          <w:tab w:val="left" w:pos="5954"/>
        </w:tabs>
        <w:rPr>
          <w:rFonts w:ascii="Times New Roman" w:hAnsi="Times New Roman"/>
          <w:color w:val="000000"/>
          <w:szCs w:val="20"/>
          <w:lang w:val="uk-UA"/>
        </w:rPr>
      </w:pPr>
    </w:p>
    <w:p w14:paraId="58FE650A" w14:textId="77777777" w:rsidR="007974E8" w:rsidRPr="00E16672" w:rsidRDefault="007974E8" w:rsidP="007974E8">
      <w:pPr>
        <w:pStyle w:val="1e"/>
        <w:jc w:val="center"/>
        <w:rPr>
          <w:rFonts w:ascii="Times New Roman" w:hAnsi="Times New Roman"/>
          <w:color w:val="000000"/>
          <w:sz w:val="20"/>
          <w:lang w:val="uk-UA"/>
        </w:rPr>
      </w:pPr>
      <w:r w:rsidRPr="00E16672">
        <w:rPr>
          <w:rFonts w:ascii="Times New Roman" w:hAnsi="Times New Roman"/>
          <w:color w:val="000000"/>
          <w:sz w:val="20"/>
          <w:lang w:val="uk-UA"/>
        </w:rPr>
        <w:t>13. Реквізити Сторін</w:t>
      </w:r>
    </w:p>
    <w:tbl>
      <w:tblPr>
        <w:tblW w:w="10474" w:type="dxa"/>
        <w:tblInd w:w="158" w:type="dxa"/>
        <w:tblLayout w:type="fixed"/>
        <w:tblLook w:val="0000" w:firstRow="0" w:lastRow="0" w:firstColumn="0" w:lastColumn="0" w:noHBand="0" w:noVBand="0"/>
      </w:tblPr>
      <w:tblGrid>
        <w:gridCol w:w="1313"/>
        <w:gridCol w:w="1312"/>
        <w:gridCol w:w="52"/>
        <w:gridCol w:w="2573"/>
        <w:gridCol w:w="236"/>
        <w:gridCol w:w="2436"/>
        <w:gridCol w:w="2552"/>
      </w:tblGrid>
      <w:tr w:rsidR="007974E8" w:rsidRPr="00E16672" w14:paraId="4AA9D2B1" w14:textId="77777777" w:rsidTr="00E76246">
        <w:trPr>
          <w:trHeight w:val="295"/>
        </w:trPr>
        <w:tc>
          <w:tcPr>
            <w:tcW w:w="5250" w:type="dxa"/>
            <w:gridSpan w:val="4"/>
            <w:shd w:val="clear" w:color="auto" w:fill="auto"/>
          </w:tcPr>
          <w:p w14:paraId="32770886" w14:textId="77777777" w:rsidR="007974E8" w:rsidRPr="00E16672" w:rsidRDefault="007974E8" w:rsidP="00E72E24">
            <w:pPr>
              <w:pStyle w:val="4"/>
              <w:keepNext w:val="0"/>
              <w:numPr>
                <w:ilvl w:val="0"/>
                <w:numId w:val="0"/>
              </w:numPr>
              <w:snapToGrid w:val="0"/>
              <w:ind w:left="864" w:right="105" w:hanging="864"/>
              <w:rPr>
                <w:rFonts w:ascii="Times New Roman" w:hAnsi="Times New Roman"/>
                <w:iCs/>
                <w:color w:val="000000"/>
                <w:sz w:val="18"/>
                <w:szCs w:val="18"/>
              </w:rPr>
            </w:pPr>
            <w:r w:rsidRPr="00E16672">
              <w:rPr>
                <w:rFonts w:ascii="Times New Roman" w:hAnsi="Times New Roman"/>
                <w:iCs/>
                <w:color w:val="000000"/>
                <w:sz w:val="18"/>
                <w:szCs w:val="18"/>
              </w:rPr>
              <w:t>Керуючий рахунком:</w:t>
            </w:r>
          </w:p>
        </w:tc>
        <w:tc>
          <w:tcPr>
            <w:tcW w:w="236" w:type="dxa"/>
            <w:shd w:val="clear" w:color="auto" w:fill="auto"/>
          </w:tcPr>
          <w:p w14:paraId="1B8ED8FE" w14:textId="77777777" w:rsidR="007974E8" w:rsidRPr="00E16672" w:rsidRDefault="007974E8" w:rsidP="00E72E24">
            <w:pPr>
              <w:snapToGrid w:val="0"/>
              <w:rPr>
                <w:rFonts w:ascii="Times New Roman" w:hAnsi="Times New Roman"/>
                <w:b/>
                <w:bCs/>
                <w:color w:val="000000"/>
                <w:sz w:val="18"/>
                <w:szCs w:val="18"/>
              </w:rPr>
            </w:pPr>
          </w:p>
        </w:tc>
        <w:tc>
          <w:tcPr>
            <w:tcW w:w="4988" w:type="dxa"/>
            <w:gridSpan w:val="2"/>
            <w:shd w:val="clear" w:color="auto" w:fill="auto"/>
          </w:tcPr>
          <w:p w14:paraId="522759B8" w14:textId="77777777" w:rsidR="007974E8" w:rsidRPr="00E16672" w:rsidRDefault="007974E8" w:rsidP="00E72E24">
            <w:pPr>
              <w:snapToGrid w:val="0"/>
              <w:jc w:val="center"/>
              <w:rPr>
                <w:rFonts w:ascii="Times New Roman" w:hAnsi="Times New Roman"/>
                <w:b/>
                <w:bCs/>
                <w:color w:val="000000"/>
                <w:sz w:val="18"/>
                <w:szCs w:val="18"/>
              </w:rPr>
            </w:pPr>
            <w:proofErr w:type="spellStart"/>
            <w:r w:rsidRPr="00E16672">
              <w:rPr>
                <w:rFonts w:ascii="Times New Roman" w:hAnsi="Times New Roman"/>
                <w:b/>
                <w:bCs/>
                <w:color w:val="000000"/>
                <w:sz w:val="18"/>
                <w:szCs w:val="18"/>
              </w:rPr>
              <w:t>Депозитарна</w:t>
            </w:r>
            <w:proofErr w:type="spellEnd"/>
            <w:r w:rsidRPr="00E16672">
              <w:rPr>
                <w:rFonts w:ascii="Times New Roman" w:hAnsi="Times New Roman"/>
                <w:b/>
                <w:bCs/>
                <w:color w:val="000000"/>
                <w:sz w:val="18"/>
                <w:szCs w:val="18"/>
              </w:rPr>
              <w:t xml:space="preserve"> </w:t>
            </w:r>
            <w:proofErr w:type="spellStart"/>
            <w:r w:rsidRPr="00E16672">
              <w:rPr>
                <w:rFonts w:ascii="Times New Roman" w:hAnsi="Times New Roman"/>
                <w:b/>
                <w:bCs/>
                <w:color w:val="000000"/>
                <w:sz w:val="18"/>
                <w:szCs w:val="18"/>
              </w:rPr>
              <w:t>установа</w:t>
            </w:r>
            <w:proofErr w:type="spellEnd"/>
            <w:r w:rsidRPr="00E16672">
              <w:rPr>
                <w:rFonts w:ascii="Times New Roman" w:hAnsi="Times New Roman"/>
                <w:b/>
                <w:bCs/>
                <w:color w:val="000000"/>
                <w:sz w:val="18"/>
                <w:szCs w:val="18"/>
              </w:rPr>
              <w:t>:</w:t>
            </w:r>
          </w:p>
        </w:tc>
      </w:tr>
      <w:tr w:rsidR="00786738" w:rsidRPr="00E16672" w14:paraId="2EB6DA0C" w14:textId="77777777" w:rsidTr="00E76246">
        <w:trPr>
          <w:trHeight w:val="182"/>
        </w:trPr>
        <w:tc>
          <w:tcPr>
            <w:tcW w:w="5250" w:type="dxa"/>
            <w:gridSpan w:val="4"/>
            <w:shd w:val="clear" w:color="auto" w:fill="auto"/>
          </w:tcPr>
          <w:p w14:paraId="7004AAE3" w14:textId="77777777" w:rsidR="00786738" w:rsidRPr="00E16672" w:rsidRDefault="00786738" w:rsidP="008B5DA7">
            <w:pPr>
              <w:snapToGrid w:val="0"/>
              <w:ind w:firstLine="6"/>
              <w:rPr>
                <w:rFonts w:ascii="Times New Roman" w:hAnsi="Times New Roman"/>
                <w:b/>
                <w:i/>
                <w:color w:val="000000"/>
                <w:sz w:val="18"/>
                <w:szCs w:val="18"/>
              </w:rPr>
            </w:pPr>
            <w:proofErr w:type="spellStart"/>
            <w:r w:rsidRPr="00E16672">
              <w:rPr>
                <w:rFonts w:ascii="Times New Roman" w:hAnsi="Times New Roman"/>
                <w:b/>
                <w:i/>
                <w:color w:val="000000"/>
                <w:sz w:val="18"/>
                <w:szCs w:val="18"/>
              </w:rPr>
              <w:t>Повне</w:t>
            </w:r>
            <w:proofErr w:type="spellEnd"/>
            <w:r w:rsidRPr="00E16672">
              <w:rPr>
                <w:rFonts w:ascii="Times New Roman" w:hAnsi="Times New Roman"/>
                <w:b/>
                <w:i/>
                <w:color w:val="000000"/>
                <w:sz w:val="18"/>
                <w:szCs w:val="18"/>
              </w:rPr>
              <w:t xml:space="preserve"> </w:t>
            </w:r>
            <w:proofErr w:type="spellStart"/>
            <w:r w:rsidRPr="00E16672">
              <w:rPr>
                <w:rFonts w:ascii="Times New Roman" w:hAnsi="Times New Roman"/>
                <w:b/>
                <w:i/>
                <w:color w:val="000000"/>
                <w:sz w:val="18"/>
                <w:szCs w:val="18"/>
              </w:rPr>
              <w:t>найменування</w:t>
            </w:r>
            <w:proofErr w:type="spellEnd"/>
            <w:r w:rsidRPr="00E16672">
              <w:rPr>
                <w:rFonts w:ascii="Times New Roman" w:hAnsi="Times New Roman"/>
                <w:b/>
                <w:i/>
                <w:color w:val="000000"/>
                <w:sz w:val="18"/>
                <w:szCs w:val="18"/>
              </w:rPr>
              <w:t xml:space="preserve"> </w:t>
            </w:r>
          </w:p>
        </w:tc>
        <w:tc>
          <w:tcPr>
            <w:tcW w:w="5224" w:type="dxa"/>
            <w:gridSpan w:val="3"/>
            <w:shd w:val="clear" w:color="auto" w:fill="auto"/>
          </w:tcPr>
          <w:p w14:paraId="7E1CB774" w14:textId="77777777" w:rsidR="00786738" w:rsidRPr="00E16672" w:rsidRDefault="00786738" w:rsidP="008B5DA7">
            <w:pPr>
              <w:pStyle w:val="4"/>
              <w:numPr>
                <w:ilvl w:val="0"/>
                <w:numId w:val="0"/>
              </w:numPr>
              <w:snapToGrid w:val="0"/>
              <w:ind w:left="1" w:right="424"/>
              <w:jc w:val="both"/>
              <w:rPr>
                <w:rFonts w:ascii="Times New Roman" w:hAnsi="Times New Roman"/>
                <w:i/>
                <w:sz w:val="18"/>
                <w:szCs w:val="18"/>
              </w:rPr>
            </w:pPr>
            <w:r w:rsidRPr="00E16672">
              <w:rPr>
                <w:rFonts w:ascii="Times New Roman" w:hAnsi="Times New Roman"/>
                <w:i/>
                <w:color w:val="000000"/>
                <w:sz w:val="18"/>
                <w:szCs w:val="18"/>
              </w:rPr>
              <w:t>Повне найменування</w:t>
            </w:r>
          </w:p>
        </w:tc>
      </w:tr>
      <w:tr w:rsidR="00786738" w:rsidRPr="00E16672" w14:paraId="4D54B795" w14:textId="77777777" w:rsidTr="00E76246">
        <w:trPr>
          <w:trHeight w:val="353"/>
        </w:trPr>
        <w:tc>
          <w:tcPr>
            <w:tcW w:w="5250" w:type="dxa"/>
            <w:gridSpan w:val="4"/>
            <w:shd w:val="clear" w:color="auto" w:fill="auto"/>
          </w:tcPr>
          <w:p w14:paraId="37D7D068" w14:textId="77777777" w:rsidR="00786738" w:rsidRPr="00E16672" w:rsidRDefault="00786738" w:rsidP="008B5DA7">
            <w:pPr>
              <w:pStyle w:val="4"/>
              <w:keepNext w:val="0"/>
              <w:numPr>
                <w:ilvl w:val="0"/>
                <w:numId w:val="0"/>
              </w:numPr>
              <w:snapToGrid w:val="0"/>
              <w:ind w:left="1440"/>
              <w:rPr>
                <w:rFonts w:ascii="Times New Roman" w:hAnsi="Times New Roman"/>
                <w:b w:val="0"/>
                <w:bCs/>
                <w:color w:val="000000"/>
                <w:sz w:val="18"/>
                <w:szCs w:val="18"/>
              </w:rPr>
            </w:pPr>
          </w:p>
        </w:tc>
        <w:tc>
          <w:tcPr>
            <w:tcW w:w="5224" w:type="dxa"/>
            <w:gridSpan w:val="3"/>
            <w:shd w:val="clear" w:color="auto" w:fill="auto"/>
          </w:tcPr>
          <w:p w14:paraId="6D62FBA6" w14:textId="77777777" w:rsidR="00786738" w:rsidRPr="00E16672" w:rsidRDefault="00786738" w:rsidP="008B5DA7">
            <w:pPr>
              <w:pStyle w:val="4"/>
              <w:snapToGrid w:val="0"/>
              <w:ind w:left="57" w:right="57" w:firstLine="0"/>
              <w:jc w:val="left"/>
              <w:rPr>
                <w:rFonts w:ascii="Times New Roman" w:hAnsi="Times New Roman"/>
                <w:b w:val="0"/>
                <w:bCs/>
                <w:sz w:val="18"/>
                <w:szCs w:val="18"/>
              </w:rPr>
            </w:pPr>
            <w:r w:rsidRPr="00E16672">
              <w:rPr>
                <w:rFonts w:ascii="Times New Roman" w:hAnsi="Times New Roman"/>
                <w:b w:val="0"/>
                <w:bCs/>
                <w:sz w:val="18"/>
                <w:szCs w:val="18"/>
              </w:rPr>
              <w:t>ТОВАРИСТВО З ОБМЕЖЕНОЮ ВІДПОВІДАЛЬНІСТЮ</w:t>
            </w:r>
          </w:p>
          <w:p w14:paraId="095CEF4B" w14:textId="77777777" w:rsidR="00786738" w:rsidRPr="00E16672" w:rsidRDefault="00022F5F" w:rsidP="00022F5F">
            <w:pPr>
              <w:pStyle w:val="3"/>
              <w:numPr>
                <w:ilvl w:val="0"/>
                <w:numId w:val="0"/>
              </w:numPr>
              <w:snapToGrid w:val="0"/>
              <w:spacing w:before="0" w:after="0"/>
              <w:ind w:left="15" w:right="219"/>
              <w:jc w:val="left"/>
              <w:rPr>
                <w:rFonts w:ascii="Times New Roman" w:hAnsi="Times New Roman" w:cs="Times New Roman"/>
                <w:b w:val="0"/>
                <w:sz w:val="18"/>
                <w:szCs w:val="18"/>
              </w:rPr>
            </w:pPr>
            <w:r>
              <w:rPr>
                <w:rFonts w:ascii="Times New Roman" w:hAnsi="Times New Roman" w:cs="Times New Roman"/>
                <w:b w:val="0"/>
                <w:bCs w:val="0"/>
                <w:sz w:val="18"/>
                <w:szCs w:val="18"/>
              </w:rPr>
              <w:t>"</w:t>
            </w:r>
            <w:r w:rsidR="00E16672" w:rsidRPr="00E16672">
              <w:rPr>
                <w:rFonts w:ascii="Times New Roman" w:hAnsi="Times New Roman" w:cs="Times New Roman"/>
                <w:b w:val="0"/>
                <w:bCs w:val="0"/>
                <w:sz w:val="18"/>
                <w:szCs w:val="18"/>
              </w:rPr>
              <w:t>КОМЕКС ЦІННІ ПАПЕРИ</w:t>
            </w:r>
            <w:r>
              <w:rPr>
                <w:rFonts w:ascii="Times New Roman" w:hAnsi="Times New Roman" w:cs="Times New Roman"/>
                <w:b w:val="0"/>
                <w:bCs w:val="0"/>
                <w:sz w:val="18"/>
                <w:szCs w:val="18"/>
              </w:rPr>
              <w:t>"</w:t>
            </w:r>
          </w:p>
        </w:tc>
      </w:tr>
      <w:tr w:rsidR="00786738" w:rsidRPr="00E16672" w14:paraId="2D938777" w14:textId="77777777" w:rsidTr="00E76246">
        <w:tc>
          <w:tcPr>
            <w:tcW w:w="5250" w:type="dxa"/>
            <w:gridSpan w:val="4"/>
            <w:shd w:val="clear" w:color="auto" w:fill="auto"/>
          </w:tcPr>
          <w:p w14:paraId="4613B6D4" w14:textId="77777777" w:rsidR="00786738" w:rsidRPr="00E16672" w:rsidRDefault="00786738" w:rsidP="008B5DA7">
            <w:pPr>
              <w:pStyle w:val="3"/>
              <w:numPr>
                <w:ilvl w:val="0"/>
                <w:numId w:val="0"/>
              </w:numPr>
              <w:snapToGrid w:val="0"/>
              <w:spacing w:before="0" w:after="0"/>
              <w:ind w:right="115"/>
              <w:rPr>
                <w:rFonts w:ascii="Times New Roman" w:hAnsi="Times New Roman" w:cs="Times New Roman"/>
                <w:i/>
                <w:color w:val="000000"/>
                <w:sz w:val="18"/>
                <w:szCs w:val="18"/>
              </w:rPr>
            </w:pPr>
          </w:p>
          <w:p w14:paraId="7D59CBD6" w14:textId="77777777" w:rsidR="00786738" w:rsidRPr="00E16672" w:rsidRDefault="00786738" w:rsidP="008B5DA7">
            <w:pPr>
              <w:pStyle w:val="3"/>
              <w:numPr>
                <w:ilvl w:val="0"/>
                <w:numId w:val="0"/>
              </w:numPr>
              <w:snapToGrid w:val="0"/>
              <w:spacing w:before="0" w:after="0"/>
              <w:ind w:right="115"/>
              <w:rPr>
                <w:rFonts w:ascii="Times New Roman" w:hAnsi="Times New Roman" w:cs="Times New Roman"/>
                <w:i/>
                <w:color w:val="000000"/>
                <w:sz w:val="18"/>
                <w:szCs w:val="18"/>
              </w:rPr>
            </w:pPr>
            <w:r w:rsidRPr="00E16672">
              <w:rPr>
                <w:rFonts w:ascii="Times New Roman" w:hAnsi="Times New Roman" w:cs="Times New Roman"/>
                <w:i/>
                <w:color w:val="000000"/>
                <w:sz w:val="18"/>
                <w:szCs w:val="18"/>
              </w:rPr>
              <w:t>Ідентифікаційний код юридичної особи</w:t>
            </w:r>
          </w:p>
          <w:p w14:paraId="78EDD55D" w14:textId="77777777" w:rsidR="00786738" w:rsidRPr="00E16672" w:rsidRDefault="00786738" w:rsidP="008B5DA7">
            <w:pPr>
              <w:pStyle w:val="3"/>
              <w:numPr>
                <w:ilvl w:val="0"/>
                <w:numId w:val="0"/>
              </w:numPr>
              <w:snapToGrid w:val="0"/>
              <w:spacing w:before="0" w:after="0"/>
              <w:ind w:right="115"/>
              <w:rPr>
                <w:rFonts w:ascii="Times New Roman" w:hAnsi="Times New Roman" w:cs="Times New Roman"/>
                <w:i/>
                <w:color w:val="000000"/>
                <w:sz w:val="18"/>
                <w:szCs w:val="18"/>
              </w:rPr>
            </w:pPr>
            <w:r w:rsidRPr="00E16672">
              <w:rPr>
                <w:rFonts w:ascii="Times New Roman" w:hAnsi="Times New Roman" w:cs="Times New Roman"/>
                <w:i/>
                <w:color w:val="000000"/>
                <w:sz w:val="18"/>
                <w:szCs w:val="18"/>
              </w:rPr>
              <w:t>(код за ЄДРПОУ)</w:t>
            </w:r>
          </w:p>
        </w:tc>
        <w:tc>
          <w:tcPr>
            <w:tcW w:w="5224" w:type="dxa"/>
            <w:gridSpan w:val="3"/>
            <w:shd w:val="clear" w:color="auto" w:fill="auto"/>
          </w:tcPr>
          <w:p w14:paraId="571F3E1B" w14:textId="77777777" w:rsidR="00786738" w:rsidRPr="00E16672" w:rsidRDefault="00786738" w:rsidP="008B5DA7">
            <w:pPr>
              <w:pStyle w:val="3"/>
              <w:numPr>
                <w:ilvl w:val="0"/>
                <w:numId w:val="0"/>
              </w:numPr>
              <w:snapToGrid w:val="0"/>
              <w:spacing w:before="0" w:after="0"/>
              <w:ind w:left="15" w:right="219"/>
              <w:rPr>
                <w:rFonts w:ascii="Times New Roman" w:hAnsi="Times New Roman" w:cs="Times New Roman"/>
                <w:i/>
                <w:color w:val="000000"/>
                <w:sz w:val="18"/>
                <w:szCs w:val="18"/>
              </w:rPr>
            </w:pPr>
          </w:p>
          <w:p w14:paraId="649E6C3F" w14:textId="77777777" w:rsidR="00786738" w:rsidRPr="00E16672" w:rsidRDefault="00786738" w:rsidP="008B5DA7">
            <w:pPr>
              <w:pStyle w:val="3"/>
              <w:numPr>
                <w:ilvl w:val="0"/>
                <w:numId w:val="0"/>
              </w:numPr>
              <w:snapToGrid w:val="0"/>
              <w:spacing w:before="0" w:after="0"/>
              <w:ind w:left="15" w:right="219"/>
              <w:rPr>
                <w:rFonts w:ascii="Times New Roman" w:hAnsi="Times New Roman" w:cs="Times New Roman"/>
                <w:i/>
                <w:color w:val="000000"/>
                <w:sz w:val="18"/>
                <w:szCs w:val="18"/>
              </w:rPr>
            </w:pPr>
            <w:r w:rsidRPr="00E16672">
              <w:rPr>
                <w:rFonts w:ascii="Times New Roman" w:hAnsi="Times New Roman" w:cs="Times New Roman"/>
                <w:i/>
                <w:color w:val="000000"/>
                <w:sz w:val="18"/>
                <w:szCs w:val="18"/>
              </w:rPr>
              <w:t>Ідентифікаційний код юридичної особи</w:t>
            </w:r>
          </w:p>
          <w:p w14:paraId="2CAB8FF2" w14:textId="77777777" w:rsidR="00786738" w:rsidRPr="00E16672" w:rsidRDefault="00786738" w:rsidP="008B5DA7">
            <w:pPr>
              <w:pStyle w:val="3"/>
              <w:numPr>
                <w:ilvl w:val="0"/>
                <w:numId w:val="0"/>
              </w:numPr>
              <w:snapToGrid w:val="0"/>
              <w:spacing w:before="0" w:after="0"/>
              <w:ind w:left="15" w:right="219"/>
              <w:rPr>
                <w:rFonts w:ascii="Times New Roman" w:hAnsi="Times New Roman" w:cs="Times New Roman"/>
                <w:b w:val="0"/>
                <w:i/>
                <w:color w:val="000000"/>
                <w:sz w:val="18"/>
                <w:szCs w:val="18"/>
              </w:rPr>
            </w:pPr>
            <w:r w:rsidRPr="00E16672">
              <w:rPr>
                <w:rFonts w:ascii="Times New Roman" w:hAnsi="Times New Roman" w:cs="Times New Roman"/>
                <w:b w:val="0"/>
                <w:i/>
                <w:color w:val="000000"/>
                <w:sz w:val="18"/>
                <w:szCs w:val="18"/>
              </w:rPr>
              <w:t>(код за ЄДРПОУ)</w:t>
            </w:r>
          </w:p>
          <w:p w14:paraId="4CBDEF56" w14:textId="77777777" w:rsidR="00786738" w:rsidRPr="00E16672" w:rsidRDefault="00E16672" w:rsidP="008B5DA7">
            <w:pPr>
              <w:pStyle w:val="3"/>
              <w:numPr>
                <w:ilvl w:val="0"/>
                <w:numId w:val="0"/>
              </w:numPr>
              <w:snapToGrid w:val="0"/>
              <w:spacing w:before="0" w:after="0"/>
              <w:ind w:left="15" w:right="219"/>
              <w:jc w:val="left"/>
              <w:rPr>
                <w:rFonts w:ascii="Times New Roman" w:hAnsi="Times New Roman" w:cs="Times New Roman"/>
                <w:i/>
                <w:sz w:val="18"/>
                <w:szCs w:val="18"/>
              </w:rPr>
            </w:pPr>
            <w:r w:rsidRPr="00E16672">
              <w:rPr>
                <w:rFonts w:ascii="Times New Roman" w:hAnsi="Times New Roman" w:cs="Times New Roman"/>
                <w:bCs w:val="0"/>
                <w:color w:val="000000"/>
                <w:sz w:val="18"/>
                <w:szCs w:val="18"/>
                <w:lang w:val="en-US"/>
              </w:rPr>
              <w:t>33153077</w:t>
            </w:r>
          </w:p>
        </w:tc>
      </w:tr>
      <w:tr w:rsidR="008B5DA7" w:rsidRPr="00E16672" w14:paraId="3FA4A37C" w14:textId="77777777" w:rsidTr="00E76246">
        <w:tc>
          <w:tcPr>
            <w:tcW w:w="5250" w:type="dxa"/>
            <w:gridSpan w:val="4"/>
            <w:shd w:val="clear" w:color="auto" w:fill="auto"/>
          </w:tcPr>
          <w:p w14:paraId="0FC0B62D" w14:textId="77777777" w:rsidR="008B5DA7" w:rsidRPr="00E16672" w:rsidRDefault="008B5DA7" w:rsidP="008B5DA7">
            <w:pPr>
              <w:snapToGrid w:val="0"/>
              <w:ind w:firstLine="6"/>
              <w:rPr>
                <w:rFonts w:ascii="Times New Roman" w:hAnsi="Times New Roman"/>
                <w:color w:val="000000"/>
                <w:sz w:val="18"/>
                <w:szCs w:val="18"/>
              </w:rPr>
            </w:pPr>
          </w:p>
        </w:tc>
        <w:tc>
          <w:tcPr>
            <w:tcW w:w="236" w:type="dxa"/>
            <w:shd w:val="clear" w:color="auto" w:fill="auto"/>
          </w:tcPr>
          <w:p w14:paraId="6F199CEF" w14:textId="77777777" w:rsidR="008B5DA7" w:rsidRPr="00E16672" w:rsidRDefault="008B5DA7" w:rsidP="008B5DA7">
            <w:pPr>
              <w:snapToGrid w:val="0"/>
              <w:rPr>
                <w:rFonts w:ascii="Times New Roman" w:hAnsi="Times New Roman"/>
                <w:b/>
                <w:bCs/>
                <w:color w:val="000000"/>
                <w:sz w:val="18"/>
                <w:szCs w:val="18"/>
              </w:rPr>
            </w:pPr>
          </w:p>
        </w:tc>
        <w:tc>
          <w:tcPr>
            <w:tcW w:w="4988" w:type="dxa"/>
            <w:gridSpan w:val="2"/>
            <w:shd w:val="clear" w:color="auto" w:fill="auto"/>
            <w:vAlign w:val="center"/>
          </w:tcPr>
          <w:p w14:paraId="44A66CB1" w14:textId="77777777" w:rsidR="008B5DA7" w:rsidRPr="00E16672" w:rsidRDefault="008B5DA7" w:rsidP="008B5DA7">
            <w:pPr>
              <w:pStyle w:val="3"/>
              <w:numPr>
                <w:ilvl w:val="0"/>
                <w:numId w:val="0"/>
              </w:numPr>
              <w:snapToGrid w:val="0"/>
              <w:spacing w:before="0" w:after="0"/>
              <w:ind w:left="28" w:right="110"/>
              <w:rPr>
                <w:rFonts w:ascii="Times New Roman" w:hAnsi="Times New Roman" w:cs="Times New Roman"/>
                <w:b w:val="0"/>
                <w:bCs w:val="0"/>
                <w:sz w:val="18"/>
                <w:szCs w:val="18"/>
              </w:rPr>
            </w:pPr>
          </w:p>
        </w:tc>
      </w:tr>
      <w:tr w:rsidR="00786738" w:rsidRPr="00E16672" w14:paraId="509CB640" w14:textId="77777777" w:rsidTr="00E76246">
        <w:tc>
          <w:tcPr>
            <w:tcW w:w="5250" w:type="dxa"/>
            <w:gridSpan w:val="4"/>
            <w:shd w:val="clear" w:color="auto" w:fill="auto"/>
          </w:tcPr>
          <w:p w14:paraId="2A209614" w14:textId="77777777" w:rsidR="00786738" w:rsidRPr="00E16672" w:rsidRDefault="00786738" w:rsidP="008B5DA7">
            <w:pPr>
              <w:pStyle w:val="4"/>
              <w:keepNext w:val="0"/>
              <w:numPr>
                <w:ilvl w:val="0"/>
                <w:numId w:val="0"/>
              </w:numPr>
              <w:snapToGrid w:val="0"/>
              <w:ind w:left="5" w:right="-8" w:hanging="13"/>
              <w:jc w:val="left"/>
              <w:rPr>
                <w:rFonts w:ascii="Times New Roman" w:hAnsi="Times New Roman"/>
                <w:i/>
                <w:iCs/>
                <w:color w:val="000000"/>
                <w:sz w:val="18"/>
                <w:szCs w:val="18"/>
              </w:rPr>
            </w:pPr>
            <w:r w:rsidRPr="00E16672">
              <w:rPr>
                <w:rFonts w:ascii="Times New Roman" w:hAnsi="Times New Roman"/>
                <w:i/>
                <w:iCs/>
                <w:color w:val="000000"/>
                <w:sz w:val="18"/>
                <w:szCs w:val="18"/>
              </w:rPr>
              <w:t>Місцезнаходження</w:t>
            </w:r>
          </w:p>
        </w:tc>
        <w:tc>
          <w:tcPr>
            <w:tcW w:w="5224" w:type="dxa"/>
            <w:gridSpan w:val="3"/>
            <w:shd w:val="clear" w:color="auto" w:fill="auto"/>
          </w:tcPr>
          <w:p w14:paraId="3F2A426D" w14:textId="77777777" w:rsidR="00786738" w:rsidRPr="00E16672" w:rsidRDefault="00786738" w:rsidP="008B5DA7">
            <w:pPr>
              <w:pStyle w:val="4"/>
              <w:keepNext w:val="0"/>
              <w:numPr>
                <w:ilvl w:val="0"/>
                <w:numId w:val="0"/>
              </w:numPr>
              <w:tabs>
                <w:tab w:val="left" w:pos="5640"/>
              </w:tabs>
              <w:snapToGrid w:val="0"/>
              <w:ind w:right="105"/>
              <w:jc w:val="left"/>
              <w:rPr>
                <w:rFonts w:ascii="Times New Roman" w:hAnsi="Times New Roman"/>
                <w:i/>
                <w:iCs/>
                <w:color w:val="000000"/>
                <w:sz w:val="18"/>
                <w:szCs w:val="18"/>
              </w:rPr>
            </w:pPr>
            <w:r w:rsidRPr="00E16672">
              <w:rPr>
                <w:rFonts w:ascii="Times New Roman" w:hAnsi="Times New Roman"/>
                <w:i/>
                <w:iCs/>
                <w:color w:val="000000"/>
                <w:sz w:val="18"/>
                <w:szCs w:val="18"/>
              </w:rPr>
              <w:t>Місцезнаходження</w:t>
            </w:r>
          </w:p>
          <w:p w14:paraId="53431C2C" w14:textId="77777777" w:rsidR="00786738" w:rsidRPr="00E16672" w:rsidRDefault="00622BEB" w:rsidP="008B5DA7">
            <w:pPr>
              <w:pStyle w:val="4"/>
              <w:keepNext w:val="0"/>
              <w:numPr>
                <w:ilvl w:val="0"/>
                <w:numId w:val="0"/>
              </w:numPr>
              <w:tabs>
                <w:tab w:val="left" w:pos="5640"/>
              </w:tabs>
              <w:snapToGrid w:val="0"/>
              <w:ind w:right="105"/>
              <w:jc w:val="left"/>
              <w:rPr>
                <w:rFonts w:ascii="Times New Roman" w:hAnsi="Times New Roman"/>
                <w:i/>
                <w:iCs/>
                <w:sz w:val="18"/>
                <w:szCs w:val="18"/>
              </w:rPr>
            </w:pPr>
            <w:r>
              <w:rPr>
                <w:rFonts w:ascii="Times New Roman" w:hAnsi="Times New Roman"/>
                <w:b w:val="0"/>
                <w:bCs/>
                <w:sz w:val="18"/>
                <w:szCs w:val="18"/>
              </w:rPr>
              <w:t xml:space="preserve">Україна, </w:t>
            </w:r>
            <w:proofErr w:type="spellStart"/>
            <w:r>
              <w:rPr>
                <w:rFonts w:ascii="Times New Roman" w:hAnsi="Times New Roman"/>
                <w:b w:val="0"/>
                <w:bCs/>
                <w:sz w:val="18"/>
                <w:szCs w:val="18"/>
              </w:rPr>
              <w:t>м.Київ</w:t>
            </w:r>
            <w:proofErr w:type="spellEnd"/>
            <w:r>
              <w:rPr>
                <w:rFonts w:ascii="Times New Roman" w:hAnsi="Times New Roman"/>
                <w:b w:val="0"/>
                <w:bCs/>
                <w:sz w:val="18"/>
                <w:szCs w:val="18"/>
              </w:rPr>
              <w:t>, Велика Васильківська (колишня Червоноармійська) вул., буд. 65</w:t>
            </w:r>
          </w:p>
        </w:tc>
      </w:tr>
      <w:tr w:rsidR="00786738" w:rsidRPr="00E16672" w14:paraId="0CE438EC" w14:textId="77777777" w:rsidTr="00E76246">
        <w:tc>
          <w:tcPr>
            <w:tcW w:w="5250" w:type="dxa"/>
            <w:gridSpan w:val="4"/>
            <w:shd w:val="clear" w:color="auto" w:fill="auto"/>
          </w:tcPr>
          <w:p w14:paraId="27088F2A" w14:textId="77777777" w:rsidR="00786738" w:rsidRPr="00E16672" w:rsidRDefault="00786738" w:rsidP="00786738">
            <w:pPr>
              <w:pStyle w:val="4"/>
              <w:keepNext w:val="0"/>
              <w:numPr>
                <w:ilvl w:val="0"/>
                <w:numId w:val="0"/>
              </w:numPr>
              <w:snapToGrid w:val="0"/>
              <w:ind w:left="363" w:hanging="363"/>
              <w:jc w:val="left"/>
              <w:rPr>
                <w:rFonts w:ascii="Times New Roman" w:hAnsi="Times New Roman"/>
                <w:i/>
                <w:iCs/>
                <w:color w:val="000000"/>
                <w:sz w:val="18"/>
                <w:szCs w:val="18"/>
              </w:rPr>
            </w:pPr>
          </w:p>
          <w:p w14:paraId="0E6916E7" w14:textId="77777777" w:rsidR="00786738" w:rsidRPr="00E16672" w:rsidRDefault="00786738" w:rsidP="00786738">
            <w:pPr>
              <w:pStyle w:val="4"/>
              <w:keepNext w:val="0"/>
              <w:numPr>
                <w:ilvl w:val="0"/>
                <w:numId w:val="0"/>
              </w:numPr>
              <w:snapToGrid w:val="0"/>
              <w:ind w:left="363" w:hanging="363"/>
              <w:jc w:val="left"/>
              <w:rPr>
                <w:rFonts w:ascii="Times New Roman" w:hAnsi="Times New Roman"/>
                <w:b w:val="0"/>
                <w:color w:val="000000"/>
                <w:sz w:val="18"/>
                <w:szCs w:val="18"/>
              </w:rPr>
            </w:pPr>
            <w:r w:rsidRPr="00E16672">
              <w:rPr>
                <w:rFonts w:ascii="Times New Roman" w:hAnsi="Times New Roman"/>
                <w:i/>
                <w:iCs/>
                <w:color w:val="000000"/>
                <w:sz w:val="18"/>
                <w:szCs w:val="18"/>
              </w:rPr>
              <w:t>Адреса для листування</w:t>
            </w:r>
          </w:p>
        </w:tc>
        <w:tc>
          <w:tcPr>
            <w:tcW w:w="5224" w:type="dxa"/>
            <w:gridSpan w:val="3"/>
            <w:shd w:val="clear" w:color="auto" w:fill="auto"/>
          </w:tcPr>
          <w:p w14:paraId="70A04AD2" w14:textId="77777777" w:rsidR="00786738" w:rsidRPr="00E16672" w:rsidRDefault="00786738" w:rsidP="008B5DA7">
            <w:pPr>
              <w:pStyle w:val="4"/>
              <w:keepNext w:val="0"/>
              <w:numPr>
                <w:ilvl w:val="0"/>
                <w:numId w:val="0"/>
              </w:numPr>
              <w:snapToGrid w:val="0"/>
              <w:ind w:left="-8" w:right="105" w:hanging="13"/>
              <w:jc w:val="left"/>
              <w:rPr>
                <w:rFonts w:ascii="Times New Roman" w:hAnsi="Times New Roman"/>
                <w:i/>
                <w:iCs/>
                <w:color w:val="000000"/>
                <w:sz w:val="18"/>
                <w:szCs w:val="18"/>
              </w:rPr>
            </w:pPr>
          </w:p>
          <w:p w14:paraId="50634F40" w14:textId="77777777" w:rsidR="00786738" w:rsidRPr="00E16672" w:rsidRDefault="00786738" w:rsidP="008B5DA7">
            <w:pPr>
              <w:snapToGrid w:val="0"/>
              <w:ind w:firstLine="0"/>
              <w:rPr>
                <w:rFonts w:ascii="Times New Roman" w:hAnsi="Times New Roman"/>
                <w:b/>
                <w:i/>
                <w:sz w:val="18"/>
                <w:szCs w:val="18"/>
              </w:rPr>
            </w:pPr>
            <w:r w:rsidRPr="00E16672">
              <w:rPr>
                <w:rFonts w:ascii="Times New Roman" w:hAnsi="Times New Roman"/>
                <w:b/>
                <w:i/>
                <w:iCs/>
                <w:color w:val="000000"/>
                <w:sz w:val="18"/>
                <w:szCs w:val="18"/>
              </w:rPr>
              <w:t xml:space="preserve">Адреса для </w:t>
            </w:r>
            <w:proofErr w:type="spellStart"/>
            <w:r w:rsidRPr="00E16672">
              <w:rPr>
                <w:rFonts w:ascii="Times New Roman" w:hAnsi="Times New Roman"/>
                <w:b/>
                <w:i/>
                <w:iCs/>
                <w:color w:val="000000"/>
                <w:sz w:val="18"/>
                <w:szCs w:val="18"/>
              </w:rPr>
              <w:t>листування</w:t>
            </w:r>
            <w:proofErr w:type="spellEnd"/>
          </w:p>
        </w:tc>
      </w:tr>
      <w:tr w:rsidR="00786738" w:rsidRPr="00E16672" w14:paraId="3AA8006B" w14:textId="77777777" w:rsidTr="00E76246">
        <w:trPr>
          <w:trHeight w:val="166"/>
        </w:trPr>
        <w:tc>
          <w:tcPr>
            <w:tcW w:w="5250" w:type="dxa"/>
            <w:gridSpan w:val="4"/>
            <w:shd w:val="clear" w:color="auto" w:fill="auto"/>
          </w:tcPr>
          <w:p w14:paraId="2A687414" w14:textId="77777777" w:rsidR="00786738" w:rsidRPr="00E16672" w:rsidRDefault="00786738" w:rsidP="008B5DA7">
            <w:pPr>
              <w:pStyle w:val="4"/>
              <w:keepNext w:val="0"/>
              <w:numPr>
                <w:ilvl w:val="0"/>
                <w:numId w:val="0"/>
              </w:numPr>
              <w:snapToGrid w:val="0"/>
              <w:ind w:left="363" w:right="110" w:hanging="363"/>
              <w:jc w:val="left"/>
              <w:rPr>
                <w:rFonts w:ascii="Times New Roman" w:hAnsi="Times New Roman"/>
                <w:i/>
                <w:iCs/>
                <w:color w:val="000000"/>
                <w:sz w:val="18"/>
                <w:szCs w:val="18"/>
              </w:rPr>
            </w:pPr>
          </w:p>
        </w:tc>
        <w:tc>
          <w:tcPr>
            <w:tcW w:w="5224" w:type="dxa"/>
            <w:gridSpan w:val="3"/>
            <w:shd w:val="clear" w:color="auto" w:fill="auto"/>
          </w:tcPr>
          <w:p w14:paraId="0439DB8A" w14:textId="77777777" w:rsidR="00786738" w:rsidRPr="00E16672" w:rsidRDefault="00622BEB" w:rsidP="008B5DA7">
            <w:pPr>
              <w:pStyle w:val="4"/>
              <w:keepNext w:val="0"/>
              <w:numPr>
                <w:ilvl w:val="0"/>
                <w:numId w:val="0"/>
              </w:numPr>
              <w:snapToGrid w:val="0"/>
              <w:ind w:left="-8" w:right="105" w:hanging="13"/>
              <w:jc w:val="left"/>
              <w:rPr>
                <w:rFonts w:ascii="Times New Roman" w:hAnsi="Times New Roman"/>
                <w:i/>
                <w:iCs/>
                <w:sz w:val="18"/>
                <w:szCs w:val="18"/>
              </w:rPr>
            </w:pPr>
            <w:r>
              <w:rPr>
                <w:rFonts w:ascii="Times New Roman" w:hAnsi="Times New Roman"/>
                <w:b w:val="0"/>
                <w:bCs/>
                <w:sz w:val="18"/>
                <w:szCs w:val="18"/>
              </w:rPr>
              <w:t xml:space="preserve">Україна, </w:t>
            </w:r>
            <w:proofErr w:type="spellStart"/>
            <w:r>
              <w:rPr>
                <w:rFonts w:ascii="Times New Roman" w:hAnsi="Times New Roman"/>
                <w:b w:val="0"/>
                <w:bCs/>
                <w:sz w:val="18"/>
                <w:szCs w:val="18"/>
              </w:rPr>
              <w:t>м.Київ</w:t>
            </w:r>
            <w:proofErr w:type="spellEnd"/>
            <w:r>
              <w:rPr>
                <w:rFonts w:ascii="Times New Roman" w:hAnsi="Times New Roman"/>
                <w:b w:val="0"/>
                <w:bCs/>
                <w:sz w:val="18"/>
                <w:szCs w:val="18"/>
              </w:rPr>
              <w:t>, Велика Васильківська (колишня Червоноармійська) вул., буд. 65</w:t>
            </w:r>
          </w:p>
        </w:tc>
      </w:tr>
      <w:tr w:rsidR="00786738" w:rsidRPr="00E16672" w14:paraId="51D96AAF" w14:textId="77777777" w:rsidTr="00E76246">
        <w:tc>
          <w:tcPr>
            <w:tcW w:w="5250" w:type="dxa"/>
            <w:gridSpan w:val="4"/>
            <w:shd w:val="clear" w:color="auto" w:fill="auto"/>
          </w:tcPr>
          <w:p w14:paraId="5A24E70E" w14:textId="77777777" w:rsidR="00786738" w:rsidRPr="00E16672" w:rsidRDefault="00786738" w:rsidP="00786738">
            <w:pPr>
              <w:pStyle w:val="4"/>
              <w:keepNext w:val="0"/>
              <w:numPr>
                <w:ilvl w:val="0"/>
                <w:numId w:val="0"/>
              </w:numPr>
              <w:snapToGrid w:val="0"/>
              <w:ind w:left="363" w:right="105" w:hanging="363"/>
              <w:jc w:val="left"/>
              <w:rPr>
                <w:rFonts w:ascii="Times New Roman" w:hAnsi="Times New Roman"/>
                <w:i/>
                <w:iCs/>
                <w:color w:val="000000"/>
                <w:sz w:val="18"/>
                <w:szCs w:val="18"/>
              </w:rPr>
            </w:pPr>
          </w:p>
          <w:p w14:paraId="54C0EA4A" w14:textId="77777777" w:rsidR="00786738" w:rsidRPr="00E16672" w:rsidRDefault="00786738" w:rsidP="00786738">
            <w:pPr>
              <w:pStyle w:val="4"/>
              <w:keepNext w:val="0"/>
              <w:numPr>
                <w:ilvl w:val="0"/>
                <w:numId w:val="0"/>
              </w:numPr>
              <w:snapToGrid w:val="0"/>
              <w:ind w:left="363" w:right="105" w:hanging="363"/>
              <w:jc w:val="left"/>
              <w:rPr>
                <w:rFonts w:ascii="Times New Roman" w:hAnsi="Times New Roman"/>
                <w:b w:val="0"/>
                <w:color w:val="000000"/>
                <w:sz w:val="18"/>
                <w:szCs w:val="18"/>
              </w:rPr>
            </w:pPr>
            <w:r w:rsidRPr="00E16672">
              <w:rPr>
                <w:rFonts w:ascii="Times New Roman" w:hAnsi="Times New Roman"/>
                <w:i/>
                <w:iCs/>
                <w:color w:val="000000"/>
                <w:sz w:val="18"/>
                <w:szCs w:val="18"/>
              </w:rPr>
              <w:t>Банківські реквізити</w:t>
            </w:r>
          </w:p>
        </w:tc>
        <w:tc>
          <w:tcPr>
            <w:tcW w:w="5224" w:type="dxa"/>
            <w:gridSpan w:val="3"/>
            <w:shd w:val="clear" w:color="auto" w:fill="auto"/>
          </w:tcPr>
          <w:p w14:paraId="07E8E96F" w14:textId="77777777" w:rsidR="00786738" w:rsidRPr="00E16672" w:rsidRDefault="00786738" w:rsidP="008B5DA7">
            <w:pPr>
              <w:pStyle w:val="6"/>
              <w:numPr>
                <w:ilvl w:val="0"/>
                <w:numId w:val="0"/>
              </w:numPr>
              <w:snapToGrid w:val="0"/>
              <w:ind w:left="15" w:right="1"/>
              <w:jc w:val="left"/>
              <w:rPr>
                <w:rFonts w:ascii="Times New Roman" w:hAnsi="Times New Roman"/>
                <w:b/>
                <w:i/>
                <w:color w:val="000000"/>
                <w:sz w:val="18"/>
                <w:szCs w:val="18"/>
                <w:lang w:val="uk-UA"/>
              </w:rPr>
            </w:pPr>
          </w:p>
          <w:p w14:paraId="0D5004EB" w14:textId="77777777" w:rsidR="00786738" w:rsidRPr="00E16672" w:rsidRDefault="00786738" w:rsidP="008B5DA7">
            <w:pPr>
              <w:snapToGrid w:val="0"/>
              <w:ind w:firstLine="0"/>
              <w:rPr>
                <w:rFonts w:ascii="Times New Roman" w:hAnsi="Times New Roman"/>
                <w:sz w:val="18"/>
                <w:szCs w:val="18"/>
              </w:rPr>
            </w:pPr>
            <w:r w:rsidRPr="00E16672">
              <w:rPr>
                <w:rFonts w:ascii="Times New Roman" w:hAnsi="Times New Roman"/>
                <w:b/>
                <w:i/>
                <w:color w:val="000000"/>
                <w:sz w:val="18"/>
                <w:szCs w:val="18"/>
                <w:lang w:val="uk-UA"/>
              </w:rPr>
              <w:t>Банківські реквізити</w:t>
            </w:r>
          </w:p>
        </w:tc>
      </w:tr>
      <w:tr w:rsidR="00786738" w:rsidRPr="00E16672" w14:paraId="2636A60F" w14:textId="77777777" w:rsidTr="00E76246">
        <w:tc>
          <w:tcPr>
            <w:tcW w:w="5250" w:type="dxa"/>
            <w:gridSpan w:val="4"/>
            <w:shd w:val="clear" w:color="auto" w:fill="auto"/>
          </w:tcPr>
          <w:p w14:paraId="1CDEA813" w14:textId="77777777" w:rsidR="00786738" w:rsidRPr="00E16672" w:rsidRDefault="00786738" w:rsidP="008B5DA7">
            <w:pPr>
              <w:pStyle w:val="4"/>
              <w:keepNext w:val="0"/>
              <w:numPr>
                <w:ilvl w:val="0"/>
                <w:numId w:val="0"/>
              </w:numPr>
              <w:snapToGrid w:val="0"/>
              <w:ind w:left="-20" w:right="105" w:hanging="25"/>
              <w:jc w:val="left"/>
              <w:rPr>
                <w:rFonts w:ascii="Times New Roman" w:hAnsi="Times New Roman"/>
                <w:i/>
                <w:iCs/>
                <w:color w:val="000000"/>
                <w:sz w:val="18"/>
                <w:szCs w:val="18"/>
              </w:rPr>
            </w:pPr>
          </w:p>
          <w:p w14:paraId="24E294FB" w14:textId="77777777" w:rsidR="00786738" w:rsidRPr="00E16672" w:rsidRDefault="00786738" w:rsidP="008B5DA7">
            <w:pPr>
              <w:pStyle w:val="4"/>
              <w:keepNext w:val="0"/>
              <w:numPr>
                <w:ilvl w:val="0"/>
                <w:numId w:val="0"/>
              </w:numPr>
              <w:snapToGrid w:val="0"/>
              <w:ind w:left="-20" w:right="105" w:hanging="25"/>
              <w:jc w:val="left"/>
              <w:rPr>
                <w:rFonts w:ascii="Times New Roman" w:hAnsi="Times New Roman"/>
                <w:i/>
                <w:iCs/>
                <w:color w:val="000000"/>
                <w:sz w:val="18"/>
                <w:szCs w:val="18"/>
              </w:rPr>
            </w:pPr>
          </w:p>
        </w:tc>
        <w:tc>
          <w:tcPr>
            <w:tcW w:w="5224" w:type="dxa"/>
            <w:gridSpan w:val="3"/>
            <w:shd w:val="clear" w:color="auto" w:fill="auto"/>
          </w:tcPr>
          <w:p w14:paraId="237A1DE1" w14:textId="77777777" w:rsidR="00930A41" w:rsidRPr="00E16672" w:rsidRDefault="00622BEB" w:rsidP="008B5DA7">
            <w:pPr>
              <w:pStyle w:val="3"/>
              <w:numPr>
                <w:ilvl w:val="0"/>
                <w:numId w:val="0"/>
              </w:numPr>
              <w:snapToGrid w:val="0"/>
              <w:spacing w:before="0" w:after="0"/>
              <w:ind w:left="15" w:right="219"/>
              <w:jc w:val="left"/>
              <w:rPr>
                <w:rFonts w:ascii="Times New Roman" w:hAnsi="Times New Roman" w:cs="Times New Roman"/>
                <w:b w:val="0"/>
                <w:sz w:val="18"/>
                <w:szCs w:val="18"/>
              </w:rPr>
            </w:pPr>
            <w:r>
              <w:rPr>
                <w:rFonts w:ascii="Times New Roman" w:hAnsi="Times New Roman" w:cs="Times New Roman"/>
                <w:b w:val="0"/>
                <w:sz w:val="18"/>
                <w:szCs w:val="18"/>
              </w:rPr>
              <w:t>UA743281680000000026503815351</w:t>
            </w:r>
            <w:r w:rsidR="00A97BE7" w:rsidRPr="00E16672">
              <w:rPr>
                <w:rFonts w:ascii="Times New Roman" w:hAnsi="Times New Roman" w:cs="Times New Roman"/>
                <w:b w:val="0"/>
                <w:sz w:val="18"/>
                <w:szCs w:val="18"/>
              </w:rPr>
              <w:t xml:space="preserve"> </w:t>
            </w:r>
          </w:p>
          <w:p w14:paraId="1ED8F929" w14:textId="77777777" w:rsidR="00786738" w:rsidRDefault="00622BEB" w:rsidP="00022F5F">
            <w:pPr>
              <w:pStyle w:val="3"/>
              <w:numPr>
                <w:ilvl w:val="0"/>
                <w:numId w:val="0"/>
              </w:numPr>
              <w:snapToGrid w:val="0"/>
              <w:spacing w:before="0" w:after="0"/>
              <w:ind w:left="15" w:right="219"/>
              <w:jc w:val="left"/>
              <w:rPr>
                <w:rFonts w:ascii="Times New Roman" w:hAnsi="Times New Roman" w:cs="Times New Roman"/>
                <w:b w:val="0"/>
                <w:sz w:val="18"/>
                <w:szCs w:val="18"/>
              </w:rPr>
            </w:pPr>
            <w:r>
              <w:rPr>
                <w:rFonts w:ascii="Times New Roman" w:hAnsi="Times New Roman" w:cs="Times New Roman"/>
                <w:b w:val="0"/>
                <w:sz w:val="18"/>
                <w:szCs w:val="18"/>
              </w:rPr>
              <w:t xml:space="preserve">ПАТ </w:t>
            </w:r>
            <w:r w:rsidR="00022F5F">
              <w:rPr>
                <w:rFonts w:ascii="Times New Roman" w:hAnsi="Times New Roman" w:cs="Times New Roman"/>
                <w:b w:val="0"/>
                <w:sz w:val="18"/>
                <w:szCs w:val="18"/>
              </w:rPr>
              <w:t>"</w:t>
            </w:r>
            <w:r>
              <w:rPr>
                <w:rFonts w:ascii="Times New Roman" w:hAnsi="Times New Roman" w:cs="Times New Roman"/>
                <w:b w:val="0"/>
                <w:sz w:val="18"/>
                <w:szCs w:val="18"/>
              </w:rPr>
              <w:t>МТБ Банк</w:t>
            </w:r>
            <w:r w:rsidR="00022F5F">
              <w:rPr>
                <w:rFonts w:ascii="Times New Roman" w:hAnsi="Times New Roman" w:cs="Times New Roman"/>
                <w:b w:val="0"/>
                <w:sz w:val="18"/>
                <w:szCs w:val="18"/>
              </w:rPr>
              <w:t>"</w:t>
            </w:r>
            <w:r>
              <w:rPr>
                <w:rFonts w:ascii="Times New Roman" w:hAnsi="Times New Roman" w:cs="Times New Roman"/>
                <w:b w:val="0"/>
                <w:sz w:val="18"/>
                <w:szCs w:val="18"/>
              </w:rPr>
              <w:t>, МФО 328168</w:t>
            </w:r>
            <w:r w:rsidR="00786738" w:rsidRPr="00E16672">
              <w:rPr>
                <w:rFonts w:ascii="Times New Roman" w:hAnsi="Times New Roman" w:cs="Times New Roman"/>
                <w:b w:val="0"/>
                <w:sz w:val="18"/>
                <w:szCs w:val="18"/>
              </w:rPr>
              <w:t xml:space="preserve">, ЄДРПОУ </w:t>
            </w:r>
            <w:r w:rsidR="005A3143" w:rsidRPr="005A3143">
              <w:rPr>
                <w:rFonts w:ascii="Times New Roman" w:hAnsi="Times New Roman" w:cs="Times New Roman"/>
                <w:b w:val="0"/>
                <w:sz w:val="18"/>
                <w:szCs w:val="18"/>
              </w:rPr>
              <w:t>21650966</w:t>
            </w:r>
          </w:p>
          <w:p w14:paraId="04DB6B1F" w14:textId="77777777" w:rsidR="005A3143" w:rsidRPr="005A3143" w:rsidRDefault="005A3143" w:rsidP="005A3143">
            <w:pPr>
              <w:ind w:firstLine="9"/>
              <w:rPr>
                <w:lang w:val="uk-UA"/>
              </w:rPr>
            </w:pPr>
            <w:r w:rsidRPr="004E51A1">
              <w:rPr>
                <w:rFonts w:ascii="Times New Roman" w:hAnsi="Times New Roman"/>
                <w:i/>
                <w:sz w:val="18"/>
                <w:szCs w:val="18"/>
                <w:lang w:val="uk-UA"/>
              </w:rPr>
              <w:t xml:space="preserve">68003, </w:t>
            </w:r>
            <w:proofErr w:type="spellStart"/>
            <w:r w:rsidRPr="004E51A1">
              <w:rPr>
                <w:rFonts w:ascii="Times New Roman" w:hAnsi="Times New Roman"/>
                <w:i/>
                <w:sz w:val="18"/>
                <w:szCs w:val="18"/>
                <w:lang w:val="uk-UA"/>
              </w:rPr>
              <w:t>м.Чорноморськ</w:t>
            </w:r>
            <w:proofErr w:type="spellEnd"/>
            <w:r w:rsidRPr="004E51A1">
              <w:rPr>
                <w:rFonts w:ascii="Times New Roman" w:hAnsi="Times New Roman"/>
                <w:i/>
                <w:sz w:val="18"/>
                <w:szCs w:val="18"/>
                <w:lang w:val="uk-UA"/>
              </w:rPr>
              <w:t xml:space="preserve">, Миру </w:t>
            </w:r>
            <w:proofErr w:type="spellStart"/>
            <w:r w:rsidRPr="004E51A1">
              <w:rPr>
                <w:rFonts w:ascii="Times New Roman" w:hAnsi="Times New Roman"/>
                <w:i/>
                <w:sz w:val="18"/>
                <w:szCs w:val="18"/>
                <w:lang w:val="uk-UA"/>
              </w:rPr>
              <w:t>просп</w:t>
            </w:r>
            <w:proofErr w:type="spellEnd"/>
            <w:r w:rsidRPr="004E51A1">
              <w:rPr>
                <w:rFonts w:ascii="Times New Roman" w:hAnsi="Times New Roman"/>
                <w:i/>
                <w:sz w:val="18"/>
                <w:szCs w:val="18"/>
                <w:lang w:val="uk-UA"/>
              </w:rPr>
              <w:t>., буд. 28</w:t>
            </w:r>
          </w:p>
          <w:p w14:paraId="70A933D7" w14:textId="77777777" w:rsidR="00786738" w:rsidRPr="00E16672" w:rsidRDefault="00786738" w:rsidP="008B5DA7">
            <w:pPr>
              <w:pStyle w:val="6"/>
              <w:numPr>
                <w:ilvl w:val="0"/>
                <w:numId w:val="0"/>
              </w:numPr>
              <w:snapToGrid w:val="0"/>
              <w:ind w:left="15" w:right="1"/>
              <w:jc w:val="left"/>
              <w:rPr>
                <w:rFonts w:ascii="Times New Roman" w:hAnsi="Times New Roman"/>
                <w:b/>
                <w:i/>
                <w:sz w:val="18"/>
                <w:szCs w:val="18"/>
                <w:lang w:val="uk-UA"/>
              </w:rPr>
            </w:pPr>
          </w:p>
        </w:tc>
      </w:tr>
      <w:tr w:rsidR="00786738" w:rsidRPr="00E16672" w14:paraId="452278B9" w14:textId="77777777" w:rsidTr="00E76246">
        <w:tc>
          <w:tcPr>
            <w:tcW w:w="2625" w:type="dxa"/>
            <w:gridSpan w:val="2"/>
            <w:shd w:val="clear" w:color="auto" w:fill="auto"/>
          </w:tcPr>
          <w:p w14:paraId="198D571B" w14:textId="77777777" w:rsidR="00786738" w:rsidRPr="00E16672" w:rsidRDefault="00786738" w:rsidP="008B5DA7">
            <w:pPr>
              <w:snapToGrid w:val="0"/>
              <w:ind w:firstLine="6"/>
              <w:rPr>
                <w:rFonts w:ascii="Times New Roman" w:hAnsi="Times New Roman"/>
                <w:color w:val="000000"/>
                <w:sz w:val="18"/>
                <w:szCs w:val="18"/>
              </w:rPr>
            </w:pPr>
            <w:r w:rsidRPr="00E16672">
              <w:rPr>
                <w:rFonts w:ascii="Times New Roman" w:hAnsi="Times New Roman"/>
                <w:b/>
                <w:color w:val="000000"/>
                <w:sz w:val="18"/>
                <w:szCs w:val="18"/>
                <w:lang w:val="uk-UA"/>
              </w:rPr>
              <w:t>Документ, що підтверджує повноваження особи, яка підписує договір</w:t>
            </w:r>
          </w:p>
        </w:tc>
        <w:tc>
          <w:tcPr>
            <w:tcW w:w="2625" w:type="dxa"/>
            <w:gridSpan w:val="2"/>
            <w:shd w:val="clear" w:color="auto" w:fill="auto"/>
          </w:tcPr>
          <w:p w14:paraId="5E536F7D" w14:textId="77777777" w:rsidR="00786738" w:rsidRPr="00E16672" w:rsidRDefault="00786738" w:rsidP="008B5DA7">
            <w:pPr>
              <w:snapToGrid w:val="0"/>
              <w:ind w:firstLine="6"/>
              <w:rPr>
                <w:rFonts w:ascii="Times New Roman" w:hAnsi="Times New Roman"/>
                <w:color w:val="000000"/>
                <w:sz w:val="18"/>
                <w:szCs w:val="18"/>
              </w:rPr>
            </w:pPr>
          </w:p>
        </w:tc>
        <w:tc>
          <w:tcPr>
            <w:tcW w:w="2672" w:type="dxa"/>
            <w:gridSpan w:val="2"/>
            <w:shd w:val="clear" w:color="auto" w:fill="auto"/>
          </w:tcPr>
          <w:p w14:paraId="41E8EF98" w14:textId="77777777" w:rsidR="00786738" w:rsidRPr="00E16672" w:rsidRDefault="00786738" w:rsidP="008B5DA7">
            <w:pPr>
              <w:ind w:firstLine="0"/>
              <w:jc w:val="left"/>
              <w:rPr>
                <w:rFonts w:ascii="Times New Roman" w:hAnsi="Times New Roman"/>
              </w:rPr>
            </w:pPr>
            <w:r w:rsidRPr="00E16672">
              <w:rPr>
                <w:rFonts w:ascii="Times New Roman" w:hAnsi="Times New Roman"/>
                <w:b/>
                <w:color w:val="000000"/>
                <w:sz w:val="18"/>
                <w:szCs w:val="18"/>
                <w:lang w:val="uk-UA"/>
              </w:rPr>
              <w:t xml:space="preserve">Документ, що підтверджує повноваження особи, яка підписує договір </w:t>
            </w:r>
          </w:p>
        </w:tc>
        <w:tc>
          <w:tcPr>
            <w:tcW w:w="2552" w:type="dxa"/>
          </w:tcPr>
          <w:p w14:paraId="203C6440" w14:textId="77777777" w:rsidR="00786738" w:rsidRPr="00E16672" w:rsidRDefault="00786738" w:rsidP="008B5DA7">
            <w:pPr>
              <w:pStyle w:val="4"/>
              <w:snapToGrid w:val="0"/>
              <w:ind w:left="57" w:right="57" w:firstLine="0"/>
              <w:jc w:val="left"/>
              <w:rPr>
                <w:rFonts w:ascii="Times New Roman" w:hAnsi="Times New Roman"/>
                <w:b w:val="0"/>
                <w:bCs/>
                <w:color w:val="0000FF"/>
                <w:sz w:val="18"/>
                <w:szCs w:val="18"/>
              </w:rPr>
            </w:pPr>
          </w:p>
          <w:p w14:paraId="47DEB069" w14:textId="77777777" w:rsidR="00786738" w:rsidRPr="00E16672" w:rsidRDefault="00786738" w:rsidP="008B5DA7">
            <w:pPr>
              <w:suppressAutoHyphens w:val="0"/>
              <w:ind w:firstLine="0"/>
              <w:jc w:val="left"/>
              <w:rPr>
                <w:rFonts w:ascii="Times New Roman" w:hAnsi="Times New Roman"/>
                <w:bCs/>
                <w:i/>
                <w:iCs/>
                <w:color w:val="000000"/>
                <w:sz w:val="18"/>
                <w:szCs w:val="18"/>
              </w:rPr>
            </w:pPr>
            <w:r w:rsidRPr="00E16672">
              <w:rPr>
                <w:rFonts w:ascii="Times New Roman" w:hAnsi="Times New Roman"/>
                <w:bCs/>
                <w:sz w:val="18"/>
                <w:szCs w:val="18"/>
              </w:rPr>
              <w:t>Статут</w:t>
            </w:r>
          </w:p>
        </w:tc>
      </w:tr>
      <w:tr w:rsidR="008B5DA7" w:rsidRPr="00E16672" w14:paraId="3DB72D1F" w14:textId="77777777" w:rsidTr="00E76246">
        <w:tc>
          <w:tcPr>
            <w:tcW w:w="5250" w:type="dxa"/>
            <w:gridSpan w:val="4"/>
            <w:shd w:val="clear" w:color="auto" w:fill="auto"/>
          </w:tcPr>
          <w:p w14:paraId="567E1D1C" w14:textId="77777777" w:rsidR="008B5DA7" w:rsidRPr="00E16672" w:rsidRDefault="008B5DA7" w:rsidP="008B5DA7">
            <w:pPr>
              <w:snapToGrid w:val="0"/>
              <w:ind w:firstLine="6"/>
              <w:rPr>
                <w:rFonts w:ascii="Times New Roman" w:hAnsi="Times New Roman"/>
                <w:b/>
                <w:bCs/>
                <w:i/>
                <w:iCs/>
                <w:color w:val="000000"/>
                <w:sz w:val="18"/>
                <w:szCs w:val="18"/>
              </w:rPr>
            </w:pPr>
          </w:p>
        </w:tc>
        <w:tc>
          <w:tcPr>
            <w:tcW w:w="236" w:type="dxa"/>
            <w:shd w:val="clear" w:color="auto" w:fill="auto"/>
          </w:tcPr>
          <w:p w14:paraId="3F2F9516" w14:textId="77777777" w:rsidR="008B5DA7" w:rsidRPr="00E16672" w:rsidRDefault="008B5DA7" w:rsidP="008B5DA7">
            <w:pPr>
              <w:snapToGrid w:val="0"/>
              <w:rPr>
                <w:rFonts w:ascii="Times New Roman" w:hAnsi="Times New Roman"/>
                <w:color w:val="000000"/>
                <w:sz w:val="18"/>
                <w:szCs w:val="18"/>
              </w:rPr>
            </w:pPr>
          </w:p>
        </w:tc>
        <w:tc>
          <w:tcPr>
            <w:tcW w:w="4988" w:type="dxa"/>
            <w:gridSpan w:val="2"/>
            <w:shd w:val="clear" w:color="auto" w:fill="auto"/>
          </w:tcPr>
          <w:p w14:paraId="1F7745A2" w14:textId="77777777" w:rsidR="008B5DA7" w:rsidRPr="00E16672" w:rsidRDefault="008B5DA7" w:rsidP="008B5DA7">
            <w:pPr>
              <w:snapToGrid w:val="0"/>
              <w:rPr>
                <w:rFonts w:ascii="Times New Roman" w:hAnsi="Times New Roman"/>
                <w:sz w:val="18"/>
                <w:szCs w:val="18"/>
              </w:rPr>
            </w:pPr>
          </w:p>
        </w:tc>
      </w:tr>
      <w:tr w:rsidR="00786738" w:rsidRPr="00E16672" w14:paraId="7F630092" w14:textId="77777777" w:rsidTr="00E76246">
        <w:tc>
          <w:tcPr>
            <w:tcW w:w="2677" w:type="dxa"/>
            <w:gridSpan w:val="3"/>
            <w:shd w:val="clear" w:color="auto" w:fill="auto"/>
          </w:tcPr>
          <w:p w14:paraId="374ACCDD" w14:textId="77777777" w:rsidR="00786738" w:rsidRPr="00E16672" w:rsidRDefault="00786738" w:rsidP="008B5DA7">
            <w:pPr>
              <w:snapToGrid w:val="0"/>
              <w:ind w:firstLine="6"/>
              <w:rPr>
                <w:rFonts w:ascii="Times New Roman" w:hAnsi="Times New Roman"/>
                <w:b/>
                <w:bCs/>
                <w:i/>
                <w:iCs/>
                <w:color w:val="000000"/>
                <w:sz w:val="18"/>
                <w:szCs w:val="18"/>
                <w:lang w:val="en-US"/>
              </w:rPr>
            </w:pPr>
            <w:r w:rsidRPr="00E16672">
              <w:rPr>
                <w:rFonts w:ascii="Times New Roman" w:hAnsi="Times New Roman"/>
                <w:b/>
                <w:bCs/>
                <w:i/>
                <w:iCs/>
                <w:color w:val="000000"/>
                <w:sz w:val="18"/>
                <w:szCs w:val="18"/>
                <w:lang w:val="en-US"/>
              </w:rPr>
              <w:t>E-mail</w:t>
            </w:r>
          </w:p>
        </w:tc>
        <w:tc>
          <w:tcPr>
            <w:tcW w:w="2573" w:type="dxa"/>
            <w:shd w:val="clear" w:color="auto" w:fill="auto"/>
          </w:tcPr>
          <w:p w14:paraId="4BA20284" w14:textId="77777777" w:rsidR="00786738" w:rsidRPr="00E16672" w:rsidRDefault="00786738" w:rsidP="008B5DA7">
            <w:pPr>
              <w:snapToGrid w:val="0"/>
              <w:ind w:firstLine="6"/>
              <w:rPr>
                <w:rFonts w:ascii="Times New Roman" w:hAnsi="Times New Roman"/>
                <w:color w:val="000000"/>
                <w:sz w:val="18"/>
                <w:szCs w:val="18"/>
                <w:lang w:val="en-US"/>
              </w:rPr>
            </w:pPr>
          </w:p>
        </w:tc>
        <w:tc>
          <w:tcPr>
            <w:tcW w:w="2672" w:type="dxa"/>
            <w:gridSpan w:val="2"/>
            <w:shd w:val="clear" w:color="auto" w:fill="auto"/>
          </w:tcPr>
          <w:p w14:paraId="21475FB1" w14:textId="77777777" w:rsidR="00786738" w:rsidRPr="00E16672" w:rsidRDefault="00786738" w:rsidP="008B5DA7">
            <w:pPr>
              <w:snapToGrid w:val="0"/>
              <w:ind w:firstLine="6"/>
              <w:rPr>
                <w:rFonts w:ascii="Times New Roman" w:hAnsi="Times New Roman"/>
                <w:b/>
                <w:bCs/>
                <w:i/>
                <w:iCs/>
                <w:sz w:val="18"/>
                <w:szCs w:val="18"/>
                <w:lang w:val="en-US"/>
              </w:rPr>
            </w:pPr>
            <w:r w:rsidRPr="00E16672">
              <w:rPr>
                <w:rFonts w:ascii="Times New Roman" w:hAnsi="Times New Roman"/>
                <w:b/>
                <w:bCs/>
                <w:i/>
                <w:iCs/>
                <w:color w:val="000000"/>
                <w:sz w:val="18"/>
                <w:szCs w:val="18"/>
                <w:lang w:val="en-US"/>
              </w:rPr>
              <w:t>E-mail</w:t>
            </w:r>
          </w:p>
        </w:tc>
        <w:tc>
          <w:tcPr>
            <w:tcW w:w="2552" w:type="dxa"/>
            <w:shd w:val="clear" w:color="auto" w:fill="auto"/>
          </w:tcPr>
          <w:p w14:paraId="4A2EC5B1" w14:textId="77777777" w:rsidR="00786738" w:rsidRPr="00E16672" w:rsidRDefault="00622BEB" w:rsidP="008B5DA7">
            <w:pPr>
              <w:snapToGrid w:val="0"/>
              <w:ind w:firstLine="6"/>
              <w:rPr>
                <w:rFonts w:ascii="Times New Roman" w:hAnsi="Times New Roman"/>
                <w:sz w:val="18"/>
                <w:szCs w:val="18"/>
                <w:lang w:val="en-US"/>
              </w:rPr>
            </w:pPr>
            <w:r>
              <w:rPr>
                <w:rFonts w:ascii="Times New Roman" w:hAnsi="Times New Roman"/>
                <w:sz w:val="18"/>
                <w:szCs w:val="18"/>
                <w:lang w:val="en-US"/>
              </w:rPr>
              <w:t>custody@comex.com.ua</w:t>
            </w:r>
            <w:r w:rsidR="00786738" w:rsidRPr="00E16672">
              <w:rPr>
                <w:rFonts w:ascii="Times New Roman" w:hAnsi="Times New Roman"/>
                <w:sz w:val="18"/>
                <w:szCs w:val="18"/>
                <w:lang w:val="en-US"/>
              </w:rPr>
              <w:t xml:space="preserve"> </w:t>
            </w:r>
          </w:p>
        </w:tc>
      </w:tr>
      <w:tr w:rsidR="00786738" w:rsidRPr="00E16672" w14:paraId="41CD7A0F" w14:textId="77777777" w:rsidTr="00E76246">
        <w:tc>
          <w:tcPr>
            <w:tcW w:w="2677" w:type="dxa"/>
            <w:gridSpan w:val="3"/>
            <w:shd w:val="clear" w:color="auto" w:fill="auto"/>
          </w:tcPr>
          <w:p w14:paraId="1419E91D" w14:textId="77777777" w:rsidR="00786738" w:rsidRPr="00E16672" w:rsidRDefault="00786738" w:rsidP="008B5DA7">
            <w:pPr>
              <w:pStyle w:val="6"/>
              <w:numPr>
                <w:ilvl w:val="0"/>
                <w:numId w:val="0"/>
              </w:numPr>
              <w:snapToGrid w:val="0"/>
              <w:ind w:right="4"/>
              <w:jc w:val="left"/>
              <w:rPr>
                <w:rFonts w:ascii="Times New Roman" w:hAnsi="Times New Roman"/>
                <w:b/>
                <w:i/>
                <w:color w:val="000000"/>
                <w:sz w:val="18"/>
                <w:szCs w:val="18"/>
                <w:lang w:val="uk-UA"/>
              </w:rPr>
            </w:pPr>
            <w:r w:rsidRPr="00E16672">
              <w:rPr>
                <w:rFonts w:ascii="Times New Roman" w:hAnsi="Times New Roman"/>
                <w:b/>
                <w:i/>
                <w:color w:val="000000"/>
                <w:sz w:val="18"/>
                <w:szCs w:val="18"/>
                <w:lang w:val="uk-UA"/>
              </w:rPr>
              <w:t xml:space="preserve">Телефон </w:t>
            </w:r>
          </w:p>
        </w:tc>
        <w:tc>
          <w:tcPr>
            <w:tcW w:w="2573" w:type="dxa"/>
            <w:shd w:val="clear" w:color="auto" w:fill="auto"/>
          </w:tcPr>
          <w:p w14:paraId="4110AB9E" w14:textId="77777777" w:rsidR="00786738" w:rsidRPr="00E16672" w:rsidRDefault="00786738" w:rsidP="008B5DA7">
            <w:pPr>
              <w:pStyle w:val="6"/>
              <w:numPr>
                <w:ilvl w:val="0"/>
                <w:numId w:val="0"/>
              </w:numPr>
              <w:snapToGrid w:val="0"/>
              <w:ind w:right="4"/>
              <w:jc w:val="left"/>
              <w:rPr>
                <w:rFonts w:ascii="Times New Roman" w:hAnsi="Times New Roman"/>
                <w:color w:val="000000"/>
                <w:sz w:val="18"/>
                <w:szCs w:val="18"/>
                <w:lang w:val="uk-UA"/>
              </w:rPr>
            </w:pPr>
          </w:p>
        </w:tc>
        <w:tc>
          <w:tcPr>
            <w:tcW w:w="2672" w:type="dxa"/>
            <w:gridSpan w:val="2"/>
            <w:shd w:val="clear" w:color="auto" w:fill="auto"/>
          </w:tcPr>
          <w:p w14:paraId="37949B13" w14:textId="77777777" w:rsidR="00786738" w:rsidRPr="00E16672" w:rsidRDefault="00786738" w:rsidP="00786738">
            <w:pPr>
              <w:snapToGrid w:val="0"/>
              <w:ind w:firstLine="0"/>
              <w:rPr>
                <w:rFonts w:ascii="Times New Roman" w:hAnsi="Times New Roman"/>
                <w:b/>
                <w:i/>
                <w:sz w:val="18"/>
                <w:szCs w:val="18"/>
              </w:rPr>
            </w:pPr>
            <w:r w:rsidRPr="00E16672">
              <w:rPr>
                <w:rFonts w:ascii="Times New Roman" w:hAnsi="Times New Roman"/>
                <w:b/>
                <w:i/>
                <w:color w:val="000000"/>
                <w:sz w:val="18"/>
                <w:szCs w:val="18"/>
              </w:rPr>
              <w:t>Телефон</w:t>
            </w:r>
          </w:p>
        </w:tc>
        <w:tc>
          <w:tcPr>
            <w:tcW w:w="2552" w:type="dxa"/>
            <w:shd w:val="clear" w:color="auto" w:fill="auto"/>
          </w:tcPr>
          <w:p w14:paraId="5B0DF71A" w14:textId="77777777" w:rsidR="00786738" w:rsidRPr="00E16672" w:rsidRDefault="00622BEB" w:rsidP="008B5DA7">
            <w:pPr>
              <w:snapToGrid w:val="0"/>
              <w:ind w:firstLine="0"/>
              <w:rPr>
                <w:rFonts w:ascii="Times New Roman" w:hAnsi="Times New Roman"/>
                <w:bCs/>
                <w:sz w:val="18"/>
                <w:szCs w:val="18"/>
                <w:lang w:val="en-US"/>
              </w:rPr>
            </w:pPr>
            <w:r>
              <w:rPr>
                <w:rFonts w:ascii="Times New Roman" w:hAnsi="Times New Roman"/>
                <w:bCs/>
                <w:sz w:val="18"/>
                <w:szCs w:val="18"/>
                <w:lang w:val="en-US"/>
              </w:rPr>
              <w:t>044 502 65 73</w:t>
            </w:r>
          </w:p>
        </w:tc>
      </w:tr>
      <w:tr w:rsidR="00786738" w:rsidRPr="00E16672" w14:paraId="7F417629" w14:textId="77777777" w:rsidTr="00E76246">
        <w:tc>
          <w:tcPr>
            <w:tcW w:w="2677" w:type="dxa"/>
            <w:gridSpan w:val="3"/>
            <w:shd w:val="clear" w:color="auto" w:fill="auto"/>
          </w:tcPr>
          <w:p w14:paraId="02D07495" w14:textId="063AA536" w:rsidR="00786738" w:rsidRPr="00E16672" w:rsidRDefault="00786738" w:rsidP="008B5DA7">
            <w:pPr>
              <w:snapToGrid w:val="0"/>
              <w:ind w:firstLine="6"/>
              <w:rPr>
                <w:rFonts w:ascii="Times New Roman" w:hAnsi="Times New Roman"/>
                <w:b/>
                <w:bCs/>
                <w:i/>
                <w:iCs/>
                <w:color w:val="000000"/>
                <w:sz w:val="18"/>
                <w:szCs w:val="18"/>
              </w:rPr>
            </w:pPr>
          </w:p>
        </w:tc>
        <w:tc>
          <w:tcPr>
            <w:tcW w:w="2573" w:type="dxa"/>
            <w:shd w:val="clear" w:color="auto" w:fill="auto"/>
          </w:tcPr>
          <w:p w14:paraId="12153785" w14:textId="77777777" w:rsidR="00786738" w:rsidRPr="00E16672" w:rsidRDefault="00786738" w:rsidP="008B5DA7">
            <w:pPr>
              <w:snapToGrid w:val="0"/>
              <w:ind w:firstLine="6"/>
              <w:rPr>
                <w:rFonts w:ascii="Times New Roman" w:hAnsi="Times New Roman"/>
                <w:color w:val="000000"/>
                <w:sz w:val="18"/>
                <w:szCs w:val="18"/>
              </w:rPr>
            </w:pPr>
          </w:p>
        </w:tc>
        <w:tc>
          <w:tcPr>
            <w:tcW w:w="2672" w:type="dxa"/>
            <w:gridSpan w:val="2"/>
            <w:shd w:val="clear" w:color="auto" w:fill="auto"/>
          </w:tcPr>
          <w:p w14:paraId="52FFB66B" w14:textId="12E0ADA3" w:rsidR="00786738" w:rsidRPr="00E16672" w:rsidRDefault="00786738" w:rsidP="008B5DA7">
            <w:pPr>
              <w:snapToGrid w:val="0"/>
              <w:ind w:firstLine="0"/>
              <w:jc w:val="left"/>
              <w:rPr>
                <w:rFonts w:ascii="Times New Roman" w:hAnsi="Times New Roman"/>
                <w:sz w:val="18"/>
                <w:szCs w:val="18"/>
              </w:rPr>
            </w:pPr>
          </w:p>
        </w:tc>
        <w:tc>
          <w:tcPr>
            <w:tcW w:w="2552" w:type="dxa"/>
            <w:shd w:val="clear" w:color="auto" w:fill="auto"/>
          </w:tcPr>
          <w:p w14:paraId="37061431" w14:textId="77777777" w:rsidR="00786738" w:rsidRPr="00E16672" w:rsidRDefault="00786738" w:rsidP="008B5DA7">
            <w:pPr>
              <w:snapToGrid w:val="0"/>
              <w:ind w:firstLine="0"/>
              <w:rPr>
                <w:rFonts w:ascii="Times New Roman" w:hAnsi="Times New Roman"/>
                <w:bCs/>
                <w:sz w:val="18"/>
                <w:szCs w:val="18"/>
                <w:lang w:val="en-US"/>
              </w:rPr>
            </w:pPr>
          </w:p>
        </w:tc>
      </w:tr>
      <w:tr w:rsidR="00786738" w:rsidRPr="00E16672" w14:paraId="56EA7261" w14:textId="77777777" w:rsidTr="00E76246">
        <w:trPr>
          <w:trHeight w:val="849"/>
        </w:trPr>
        <w:tc>
          <w:tcPr>
            <w:tcW w:w="1313" w:type="dxa"/>
            <w:shd w:val="clear" w:color="auto" w:fill="auto"/>
          </w:tcPr>
          <w:p w14:paraId="0D5F0559" w14:textId="77777777" w:rsidR="00786738" w:rsidRPr="00E16672" w:rsidRDefault="00786738" w:rsidP="008B5DA7">
            <w:pPr>
              <w:snapToGrid w:val="0"/>
              <w:ind w:firstLine="6"/>
              <w:rPr>
                <w:rFonts w:ascii="Times New Roman" w:hAnsi="Times New Roman"/>
                <w:b/>
                <w:bCs/>
                <w:i/>
                <w:iCs/>
                <w:color w:val="000000"/>
                <w:sz w:val="18"/>
                <w:szCs w:val="18"/>
              </w:rPr>
            </w:pPr>
          </w:p>
        </w:tc>
        <w:tc>
          <w:tcPr>
            <w:tcW w:w="3937" w:type="dxa"/>
            <w:gridSpan w:val="3"/>
            <w:shd w:val="clear" w:color="auto" w:fill="auto"/>
          </w:tcPr>
          <w:p w14:paraId="115CE3F4" w14:textId="77777777" w:rsidR="00786738" w:rsidRPr="00E16672" w:rsidRDefault="00786738" w:rsidP="008B5DA7">
            <w:pPr>
              <w:snapToGrid w:val="0"/>
              <w:ind w:firstLine="6"/>
              <w:rPr>
                <w:rFonts w:ascii="Times New Roman" w:hAnsi="Times New Roman"/>
                <w:color w:val="000000"/>
                <w:sz w:val="18"/>
                <w:szCs w:val="18"/>
              </w:rPr>
            </w:pPr>
          </w:p>
        </w:tc>
        <w:tc>
          <w:tcPr>
            <w:tcW w:w="2672" w:type="dxa"/>
            <w:gridSpan w:val="2"/>
            <w:shd w:val="clear" w:color="auto" w:fill="auto"/>
          </w:tcPr>
          <w:p w14:paraId="33A1B918" w14:textId="77777777" w:rsidR="00786738" w:rsidRPr="00E16672" w:rsidRDefault="00786738" w:rsidP="00786738">
            <w:pPr>
              <w:snapToGrid w:val="0"/>
              <w:ind w:firstLine="0"/>
              <w:jc w:val="left"/>
              <w:rPr>
                <w:rFonts w:ascii="Times New Roman" w:hAnsi="Times New Roman"/>
                <w:sz w:val="18"/>
                <w:szCs w:val="18"/>
              </w:rPr>
            </w:pPr>
            <w:r w:rsidRPr="00E16672">
              <w:rPr>
                <w:rFonts w:ascii="Times New Roman" w:hAnsi="Times New Roman"/>
                <w:b/>
                <w:i/>
                <w:color w:val="000000"/>
                <w:sz w:val="18"/>
                <w:szCs w:val="18"/>
                <w:lang w:val="uk-UA"/>
              </w:rPr>
              <w:t xml:space="preserve">Ліцензія депозитарної установи </w:t>
            </w:r>
            <w:r w:rsidRPr="00E16672">
              <w:rPr>
                <w:rFonts w:ascii="Times New Roman" w:hAnsi="Times New Roman"/>
                <w:i/>
                <w:color w:val="000000"/>
                <w:sz w:val="18"/>
                <w:szCs w:val="18"/>
                <w:lang w:val="uk-UA"/>
              </w:rPr>
              <w:t>(серія, номер, дата видачі)</w:t>
            </w:r>
          </w:p>
        </w:tc>
        <w:tc>
          <w:tcPr>
            <w:tcW w:w="2552" w:type="dxa"/>
            <w:shd w:val="clear" w:color="auto" w:fill="auto"/>
          </w:tcPr>
          <w:p w14:paraId="5E46A310" w14:textId="77777777" w:rsidR="00786738" w:rsidRPr="00E16672" w:rsidRDefault="00786738" w:rsidP="008B5DA7">
            <w:pPr>
              <w:snapToGrid w:val="0"/>
              <w:ind w:firstLine="0"/>
              <w:rPr>
                <w:rFonts w:ascii="Times New Roman" w:hAnsi="Times New Roman"/>
                <w:bCs/>
                <w:sz w:val="18"/>
                <w:szCs w:val="18"/>
                <w:lang w:val="en-US"/>
              </w:rPr>
            </w:pPr>
            <w:r w:rsidRPr="00E16672">
              <w:rPr>
                <w:rFonts w:ascii="Times New Roman" w:hAnsi="Times New Roman"/>
                <w:bCs/>
                <w:sz w:val="18"/>
                <w:szCs w:val="18"/>
              </w:rPr>
              <w:t>АЕ №</w:t>
            </w:r>
            <w:r w:rsidR="00E16672" w:rsidRPr="00E16672">
              <w:rPr>
                <w:rFonts w:ascii="Times New Roman" w:hAnsi="Times New Roman"/>
                <w:bCs/>
                <w:sz w:val="18"/>
                <w:szCs w:val="18"/>
              </w:rPr>
              <w:t>263429</w:t>
            </w:r>
            <w:r w:rsidRPr="00E16672">
              <w:rPr>
                <w:rFonts w:ascii="Times New Roman" w:hAnsi="Times New Roman"/>
                <w:bCs/>
                <w:sz w:val="18"/>
                <w:szCs w:val="18"/>
              </w:rPr>
              <w:t xml:space="preserve">, </w:t>
            </w:r>
            <w:r w:rsidR="00E16672" w:rsidRPr="00E16672">
              <w:rPr>
                <w:rFonts w:ascii="Times New Roman" w:hAnsi="Times New Roman"/>
                <w:bCs/>
                <w:sz w:val="18"/>
                <w:szCs w:val="18"/>
              </w:rPr>
              <w:t>01.10.2013</w:t>
            </w:r>
            <w:r w:rsidRPr="00E16672">
              <w:rPr>
                <w:rFonts w:ascii="Times New Roman" w:hAnsi="Times New Roman"/>
                <w:bCs/>
                <w:sz w:val="18"/>
                <w:szCs w:val="18"/>
              </w:rPr>
              <w:t>р.</w:t>
            </w:r>
          </w:p>
        </w:tc>
      </w:tr>
    </w:tbl>
    <w:p w14:paraId="7B32DDB5" w14:textId="77777777" w:rsidR="007974E8" w:rsidRPr="00E16672" w:rsidRDefault="007974E8" w:rsidP="007974E8">
      <w:pPr>
        <w:tabs>
          <w:tab w:val="left" w:pos="3403"/>
        </w:tabs>
        <w:ind w:left="1843" w:hanging="1395"/>
        <w:jc w:val="center"/>
        <w:rPr>
          <w:rFonts w:ascii="Times New Roman" w:hAnsi="Times New Roman"/>
          <w:color w:val="000000"/>
        </w:rPr>
      </w:pPr>
    </w:p>
    <w:tbl>
      <w:tblPr>
        <w:tblW w:w="0" w:type="auto"/>
        <w:tblInd w:w="183" w:type="dxa"/>
        <w:tblLayout w:type="fixed"/>
        <w:tblLook w:val="0000" w:firstRow="0" w:lastRow="0" w:firstColumn="0" w:lastColumn="0" w:noHBand="0" w:noVBand="0"/>
      </w:tblPr>
      <w:tblGrid>
        <w:gridCol w:w="5550"/>
        <w:gridCol w:w="5200"/>
      </w:tblGrid>
      <w:tr w:rsidR="007974E8" w:rsidRPr="00E16672" w14:paraId="2EDCA359" w14:textId="77777777" w:rsidTr="00E72E24">
        <w:tc>
          <w:tcPr>
            <w:tcW w:w="5550" w:type="dxa"/>
            <w:shd w:val="clear" w:color="auto" w:fill="auto"/>
          </w:tcPr>
          <w:p w14:paraId="69706D3A" w14:textId="77777777" w:rsidR="007974E8" w:rsidRPr="00E16672" w:rsidRDefault="007974E8" w:rsidP="00E72E24">
            <w:pPr>
              <w:tabs>
                <w:tab w:val="left" w:pos="1560"/>
              </w:tabs>
              <w:snapToGrid w:val="0"/>
              <w:ind w:left="1843" w:hanging="1395"/>
              <w:rPr>
                <w:rFonts w:ascii="Times New Roman" w:hAnsi="Times New Roman"/>
                <w:b/>
                <w:bCs/>
                <w:color w:val="000000"/>
                <w:sz w:val="18"/>
                <w:szCs w:val="18"/>
              </w:rPr>
            </w:pPr>
            <w:r w:rsidRPr="00E16672">
              <w:rPr>
                <w:rFonts w:ascii="Times New Roman" w:hAnsi="Times New Roman"/>
                <w:b/>
                <w:bCs/>
                <w:color w:val="000000"/>
                <w:sz w:val="18"/>
                <w:szCs w:val="18"/>
              </w:rPr>
              <w:t>КЕРУЮЧИЙ</w:t>
            </w:r>
            <w:r w:rsidRPr="00E16672">
              <w:rPr>
                <w:rFonts w:ascii="Times New Roman" w:hAnsi="Times New Roman"/>
                <w:b/>
                <w:bCs/>
                <w:color w:val="000000"/>
                <w:sz w:val="18"/>
                <w:szCs w:val="18"/>
                <w:lang w:val="uk-UA"/>
              </w:rPr>
              <w:t xml:space="preserve"> РАХУНКОМ</w:t>
            </w:r>
            <w:r w:rsidRPr="00E16672">
              <w:rPr>
                <w:rFonts w:ascii="Times New Roman" w:hAnsi="Times New Roman"/>
                <w:b/>
                <w:bCs/>
                <w:color w:val="000000"/>
                <w:sz w:val="18"/>
                <w:szCs w:val="18"/>
              </w:rPr>
              <w:t>:</w:t>
            </w:r>
            <w:r w:rsidRPr="00E16672">
              <w:rPr>
                <w:rFonts w:ascii="Times New Roman" w:hAnsi="Times New Roman"/>
                <w:b/>
                <w:bCs/>
                <w:color w:val="000000"/>
                <w:sz w:val="18"/>
                <w:szCs w:val="18"/>
              </w:rPr>
              <w:tab/>
            </w:r>
          </w:p>
          <w:p w14:paraId="191B294F" w14:textId="77777777" w:rsidR="007974E8" w:rsidRPr="00E16672" w:rsidRDefault="007974E8" w:rsidP="00E72E24">
            <w:pPr>
              <w:tabs>
                <w:tab w:val="left" w:pos="1560"/>
              </w:tabs>
              <w:snapToGrid w:val="0"/>
              <w:ind w:left="1843" w:hanging="1395"/>
              <w:rPr>
                <w:rFonts w:ascii="Times New Roman" w:hAnsi="Times New Roman"/>
                <w:b/>
                <w:bCs/>
                <w:color w:val="000000"/>
                <w:sz w:val="18"/>
                <w:szCs w:val="18"/>
              </w:rPr>
            </w:pPr>
          </w:p>
          <w:p w14:paraId="420C6A01" w14:textId="77777777" w:rsidR="007974E8" w:rsidRPr="00E16672" w:rsidRDefault="007974E8" w:rsidP="00E72E24">
            <w:pPr>
              <w:tabs>
                <w:tab w:val="left" w:pos="1560"/>
              </w:tabs>
              <w:rPr>
                <w:rFonts w:ascii="Times New Roman" w:hAnsi="Times New Roman"/>
                <w:color w:val="000000"/>
                <w:sz w:val="18"/>
                <w:szCs w:val="18"/>
              </w:rPr>
            </w:pPr>
            <w:r w:rsidRPr="00E16672">
              <w:rPr>
                <w:rFonts w:ascii="Times New Roman" w:hAnsi="Times New Roman"/>
                <w:color w:val="000000"/>
                <w:sz w:val="18"/>
                <w:szCs w:val="18"/>
              </w:rPr>
              <w:t xml:space="preserve">_____________________(________________)   </w:t>
            </w:r>
          </w:p>
          <w:p w14:paraId="714B8BF1" w14:textId="77777777" w:rsidR="007974E8" w:rsidRPr="00E16672" w:rsidRDefault="00E72E24" w:rsidP="00E72E24">
            <w:pPr>
              <w:tabs>
                <w:tab w:val="left" w:pos="1560"/>
              </w:tabs>
              <w:ind w:left="1843" w:hanging="1395"/>
              <w:rPr>
                <w:rFonts w:ascii="Times New Roman" w:hAnsi="Times New Roman"/>
                <w:color w:val="000000"/>
                <w:sz w:val="14"/>
                <w:szCs w:val="14"/>
              </w:rPr>
            </w:pPr>
            <w:r w:rsidRPr="00E16672">
              <w:rPr>
                <w:rFonts w:ascii="Times New Roman" w:hAnsi="Times New Roman"/>
                <w:color w:val="000000"/>
                <w:sz w:val="14"/>
                <w:szCs w:val="14"/>
                <w:lang w:val="uk-UA"/>
              </w:rPr>
              <w:t xml:space="preserve">                </w:t>
            </w:r>
            <w:r w:rsidRPr="00E16672">
              <w:rPr>
                <w:rFonts w:ascii="Times New Roman" w:hAnsi="Times New Roman"/>
                <w:color w:val="000000"/>
                <w:sz w:val="14"/>
                <w:szCs w:val="14"/>
              </w:rPr>
              <w:t>В</w:t>
            </w:r>
            <w:r w:rsidR="007974E8" w:rsidRPr="00E16672">
              <w:rPr>
                <w:rFonts w:ascii="Times New Roman" w:hAnsi="Times New Roman"/>
                <w:color w:val="000000"/>
                <w:sz w:val="14"/>
                <w:szCs w:val="14"/>
              </w:rPr>
              <w:t>.П</w:t>
            </w:r>
            <w:r w:rsidR="007974E8" w:rsidRPr="00E16672">
              <w:rPr>
                <w:rFonts w:ascii="Times New Roman" w:hAnsi="Times New Roman"/>
                <w:i/>
                <w:color w:val="000000"/>
                <w:sz w:val="14"/>
                <w:szCs w:val="14"/>
              </w:rPr>
              <w:t>.</w:t>
            </w:r>
            <w:r w:rsidR="007974E8" w:rsidRPr="00E16672">
              <w:rPr>
                <w:rFonts w:ascii="Times New Roman" w:hAnsi="Times New Roman"/>
                <w:i/>
                <w:color w:val="000000"/>
                <w:sz w:val="14"/>
                <w:szCs w:val="14"/>
                <w:lang w:val="uk-UA"/>
              </w:rPr>
              <w:t xml:space="preserve"> (</w:t>
            </w:r>
            <w:r w:rsidR="00CD77BC" w:rsidRPr="00E16672">
              <w:rPr>
                <w:rFonts w:ascii="Times New Roman" w:hAnsi="Times New Roman"/>
                <w:i/>
                <w:sz w:val="14"/>
                <w:szCs w:val="14"/>
              </w:rPr>
              <w:t xml:space="preserve">у </w:t>
            </w:r>
            <w:proofErr w:type="spellStart"/>
            <w:r w:rsidR="00CD77BC" w:rsidRPr="00E16672">
              <w:rPr>
                <w:rFonts w:ascii="Times New Roman" w:hAnsi="Times New Roman"/>
                <w:i/>
                <w:sz w:val="14"/>
                <w:szCs w:val="14"/>
              </w:rPr>
              <w:t>разі</w:t>
            </w:r>
            <w:proofErr w:type="spellEnd"/>
            <w:r w:rsidR="00CD77BC" w:rsidRPr="00E16672">
              <w:rPr>
                <w:rFonts w:ascii="Times New Roman" w:hAnsi="Times New Roman"/>
                <w:i/>
                <w:sz w:val="14"/>
                <w:szCs w:val="14"/>
              </w:rPr>
              <w:t xml:space="preserve"> </w:t>
            </w:r>
            <w:proofErr w:type="spellStart"/>
            <w:r w:rsidR="00CD77BC" w:rsidRPr="00E16672">
              <w:rPr>
                <w:rFonts w:ascii="Times New Roman" w:hAnsi="Times New Roman"/>
                <w:i/>
                <w:sz w:val="14"/>
                <w:szCs w:val="14"/>
              </w:rPr>
              <w:t>використання</w:t>
            </w:r>
            <w:proofErr w:type="spellEnd"/>
            <w:r w:rsidR="007974E8" w:rsidRPr="00E16672">
              <w:rPr>
                <w:rFonts w:ascii="Times New Roman" w:hAnsi="Times New Roman"/>
                <w:i/>
                <w:color w:val="000000"/>
                <w:sz w:val="14"/>
                <w:szCs w:val="14"/>
                <w:lang w:val="uk-UA"/>
              </w:rPr>
              <w:t>)</w:t>
            </w:r>
            <w:r w:rsidRPr="00E16672">
              <w:rPr>
                <w:rFonts w:ascii="Times New Roman" w:hAnsi="Times New Roman"/>
                <w:color w:val="000000"/>
                <w:sz w:val="14"/>
                <w:szCs w:val="14"/>
              </w:rPr>
              <w:t xml:space="preserve">, </w:t>
            </w:r>
            <w:proofErr w:type="spellStart"/>
            <w:r w:rsidRPr="00E16672">
              <w:rPr>
                <w:rFonts w:ascii="Times New Roman" w:hAnsi="Times New Roman"/>
                <w:color w:val="000000"/>
                <w:sz w:val="14"/>
                <w:szCs w:val="14"/>
              </w:rPr>
              <w:t>підпис</w:t>
            </w:r>
            <w:proofErr w:type="spellEnd"/>
          </w:p>
          <w:p w14:paraId="7A4485BF" w14:textId="77777777" w:rsidR="007974E8" w:rsidRPr="00E16672" w:rsidRDefault="007974E8" w:rsidP="00E72E24">
            <w:pPr>
              <w:tabs>
                <w:tab w:val="left" w:pos="1560"/>
              </w:tabs>
              <w:rPr>
                <w:rFonts w:ascii="Times New Roman" w:hAnsi="Times New Roman"/>
                <w:b/>
                <w:bCs/>
                <w:color w:val="000000"/>
                <w:sz w:val="18"/>
                <w:szCs w:val="18"/>
              </w:rPr>
            </w:pPr>
          </w:p>
        </w:tc>
        <w:tc>
          <w:tcPr>
            <w:tcW w:w="5200" w:type="dxa"/>
            <w:shd w:val="clear" w:color="auto" w:fill="auto"/>
          </w:tcPr>
          <w:p w14:paraId="31CBF17D" w14:textId="77777777" w:rsidR="007974E8" w:rsidRPr="00E16672" w:rsidRDefault="007974E8" w:rsidP="00E72E24">
            <w:pPr>
              <w:tabs>
                <w:tab w:val="left" w:pos="1560"/>
              </w:tabs>
              <w:snapToGrid w:val="0"/>
              <w:rPr>
                <w:rFonts w:ascii="Times New Roman" w:hAnsi="Times New Roman"/>
                <w:b/>
                <w:bCs/>
                <w:color w:val="000000"/>
                <w:sz w:val="18"/>
                <w:szCs w:val="18"/>
              </w:rPr>
            </w:pPr>
            <w:r w:rsidRPr="00E16672">
              <w:rPr>
                <w:rFonts w:ascii="Times New Roman" w:hAnsi="Times New Roman"/>
                <w:b/>
                <w:bCs/>
                <w:color w:val="000000"/>
                <w:sz w:val="18"/>
                <w:szCs w:val="18"/>
              </w:rPr>
              <w:t xml:space="preserve">ДЕПОЗИТАРНА УСТАНОВА:   </w:t>
            </w:r>
          </w:p>
          <w:p w14:paraId="77FC210C" w14:textId="77777777" w:rsidR="007974E8" w:rsidRPr="00E16672" w:rsidRDefault="007974E8" w:rsidP="00E72E24">
            <w:pPr>
              <w:tabs>
                <w:tab w:val="left" w:pos="1560"/>
              </w:tabs>
              <w:snapToGrid w:val="0"/>
              <w:rPr>
                <w:rFonts w:ascii="Times New Roman" w:hAnsi="Times New Roman"/>
                <w:color w:val="000000"/>
                <w:sz w:val="18"/>
                <w:szCs w:val="18"/>
              </w:rPr>
            </w:pPr>
          </w:p>
          <w:p w14:paraId="1E8CC4FE" w14:textId="77777777" w:rsidR="007974E8" w:rsidRPr="00E16672" w:rsidRDefault="007974E8" w:rsidP="00F82710">
            <w:pPr>
              <w:tabs>
                <w:tab w:val="left" w:pos="1560"/>
              </w:tabs>
              <w:snapToGrid w:val="0"/>
              <w:jc w:val="left"/>
              <w:rPr>
                <w:rFonts w:ascii="Times New Roman" w:hAnsi="Times New Roman"/>
                <w:color w:val="000000"/>
                <w:sz w:val="18"/>
                <w:szCs w:val="18"/>
              </w:rPr>
            </w:pPr>
            <w:r w:rsidRPr="00E16672">
              <w:rPr>
                <w:rFonts w:ascii="Times New Roman" w:hAnsi="Times New Roman"/>
                <w:b/>
                <w:bCs/>
                <w:color w:val="000000"/>
                <w:sz w:val="18"/>
                <w:szCs w:val="18"/>
              </w:rPr>
              <w:t xml:space="preserve">  </w:t>
            </w:r>
            <w:r w:rsidRPr="00E16672">
              <w:rPr>
                <w:rFonts w:ascii="Times New Roman" w:hAnsi="Times New Roman"/>
                <w:color w:val="000000"/>
                <w:sz w:val="18"/>
                <w:szCs w:val="18"/>
              </w:rPr>
              <w:t xml:space="preserve">_____________________  </w:t>
            </w:r>
            <w:r w:rsidR="002C163A">
              <w:rPr>
                <w:rFonts w:ascii="Times New Roman" w:hAnsi="Times New Roman"/>
                <w:color w:val="000000"/>
                <w:sz w:val="18"/>
                <w:szCs w:val="18"/>
                <w:lang w:val="uk-UA"/>
              </w:rPr>
              <w:t>(_________________</w:t>
            </w:r>
            <w:r w:rsidR="00F2507A">
              <w:rPr>
                <w:rFonts w:ascii="Times New Roman" w:hAnsi="Times New Roman"/>
                <w:color w:val="000000"/>
                <w:sz w:val="18"/>
                <w:szCs w:val="18"/>
                <w:lang w:val="uk-UA"/>
              </w:rPr>
              <w:t>.</w:t>
            </w:r>
            <w:r w:rsidRPr="00E16672">
              <w:rPr>
                <w:rFonts w:ascii="Times New Roman" w:hAnsi="Times New Roman"/>
                <w:color w:val="000000"/>
                <w:sz w:val="18"/>
                <w:szCs w:val="18"/>
              </w:rPr>
              <w:t xml:space="preserve">)                </w:t>
            </w:r>
          </w:p>
          <w:p w14:paraId="196E1307" w14:textId="77777777" w:rsidR="007974E8" w:rsidRPr="00E16672" w:rsidRDefault="00E72E24" w:rsidP="0005147A">
            <w:pPr>
              <w:tabs>
                <w:tab w:val="left" w:pos="1560"/>
              </w:tabs>
              <w:ind w:left="1843" w:hanging="1395"/>
              <w:rPr>
                <w:rFonts w:ascii="Times New Roman" w:hAnsi="Times New Roman"/>
                <w:b/>
                <w:bCs/>
                <w:color w:val="000000"/>
                <w:sz w:val="18"/>
                <w:szCs w:val="18"/>
              </w:rPr>
            </w:pPr>
            <w:r w:rsidRPr="00E16672">
              <w:rPr>
                <w:rFonts w:ascii="Times New Roman" w:hAnsi="Times New Roman"/>
                <w:color w:val="000000"/>
                <w:sz w:val="14"/>
                <w:szCs w:val="14"/>
                <w:lang w:val="uk-UA"/>
              </w:rPr>
              <w:t xml:space="preserve">                          </w:t>
            </w:r>
            <w:r w:rsidRPr="00E16672">
              <w:rPr>
                <w:rFonts w:ascii="Times New Roman" w:hAnsi="Times New Roman"/>
                <w:color w:val="000000"/>
                <w:sz w:val="14"/>
                <w:szCs w:val="14"/>
              </w:rPr>
              <w:t xml:space="preserve">В.П., </w:t>
            </w:r>
            <w:proofErr w:type="spellStart"/>
            <w:r w:rsidRPr="00E16672">
              <w:rPr>
                <w:rFonts w:ascii="Times New Roman" w:hAnsi="Times New Roman"/>
                <w:color w:val="000000"/>
                <w:sz w:val="14"/>
                <w:szCs w:val="14"/>
              </w:rPr>
              <w:t>підпис</w:t>
            </w:r>
            <w:proofErr w:type="spellEnd"/>
          </w:p>
        </w:tc>
      </w:tr>
    </w:tbl>
    <w:p w14:paraId="617362D3" w14:textId="77777777" w:rsidR="007974E8" w:rsidRPr="00E16672" w:rsidRDefault="007974E8" w:rsidP="00C06E0C">
      <w:pPr>
        <w:pageBreakBefore/>
        <w:tabs>
          <w:tab w:val="left" w:pos="6547"/>
        </w:tabs>
        <w:jc w:val="center"/>
        <w:rPr>
          <w:rFonts w:ascii="Times New Roman" w:hAnsi="Times New Roman"/>
          <w:b/>
          <w:bCs/>
          <w:color w:val="000000"/>
          <w:szCs w:val="20"/>
        </w:rPr>
      </w:pPr>
      <w:r w:rsidRPr="00E16672">
        <w:rPr>
          <w:rFonts w:ascii="Times New Roman" w:hAnsi="Times New Roman"/>
          <w:b/>
          <w:bCs/>
          <w:color w:val="000000"/>
          <w:szCs w:val="20"/>
        </w:rPr>
        <w:lastRenderedPageBreak/>
        <w:t>ДОГОВІР</w:t>
      </w:r>
    </w:p>
    <w:p w14:paraId="22A31C29" w14:textId="77777777" w:rsidR="007974E8" w:rsidRPr="00E16672" w:rsidRDefault="007974E8" w:rsidP="007974E8">
      <w:pPr>
        <w:pStyle w:val="af"/>
        <w:jc w:val="center"/>
        <w:rPr>
          <w:rFonts w:ascii="Times New Roman" w:hAnsi="Times New Roman" w:cs="Times New Roman"/>
          <w:b/>
          <w:bCs/>
          <w:color w:val="000000"/>
          <w:sz w:val="24"/>
          <w:szCs w:val="24"/>
        </w:rPr>
      </w:pPr>
      <w:r w:rsidRPr="00E16672">
        <w:rPr>
          <w:rFonts w:ascii="Times New Roman" w:hAnsi="Times New Roman" w:cs="Times New Roman"/>
          <w:b/>
          <w:bCs/>
          <w:color w:val="000000"/>
        </w:rPr>
        <w:t>про обслуговування рахунку в цінних паперах на ім'я територіальної громади</w:t>
      </w:r>
      <w:r w:rsidRPr="00E16672">
        <w:rPr>
          <w:rFonts w:ascii="Times New Roman" w:hAnsi="Times New Roman" w:cs="Times New Roman"/>
          <w:b/>
          <w:bCs/>
          <w:color w:val="000000"/>
          <w:sz w:val="24"/>
          <w:szCs w:val="24"/>
        </w:rPr>
        <w:t xml:space="preserve"> </w:t>
      </w:r>
    </w:p>
    <w:p w14:paraId="667C0CC3" w14:textId="77777777" w:rsidR="007974E8" w:rsidRPr="00E16672" w:rsidRDefault="007974E8" w:rsidP="007974E8">
      <w:pPr>
        <w:pStyle w:val="af"/>
        <w:jc w:val="center"/>
        <w:rPr>
          <w:rFonts w:ascii="Times New Roman" w:hAnsi="Times New Roman" w:cs="Times New Roman"/>
          <w:b/>
          <w:bCs/>
          <w:color w:val="000000"/>
        </w:rPr>
      </w:pPr>
      <w:r w:rsidRPr="00E16672">
        <w:rPr>
          <w:rFonts w:ascii="Times New Roman" w:hAnsi="Times New Roman" w:cs="Times New Roman"/>
          <w:b/>
          <w:bCs/>
          <w:color w:val="000000"/>
        </w:rPr>
        <w:t xml:space="preserve"> </w:t>
      </w:r>
    </w:p>
    <w:p w14:paraId="400273B3" w14:textId="77777777" w:rsidR="007974E8" w:rsidRPr="00E16672" w:rsidRDefault="007974E8" w:rsidP="007974E8">
      <w:pPr>
        <w:jc w:val="center"/>
        <w:rPr>
          <w:rFonts w:ascii="Times New Roman" w:hAnsi="Times New Roman"/>
          <w:b/>
          <w:bCs/>
          <w:color w:val="000000"/>
          <w:szCs w:val="20"/>
          <w:lang w:val="uk-UA"/>
        </w:rPr>
      </w:pPr>
      <w:r w:rsidRPr="00E16672">
        <w:rPr>
          <w:rFonts w:ascii="Times New Roman" w:hAnsi="Times New Roman"/>
          <w:b/>
          <w:bCs/>
          <w:color w:val="000000"/>
          <w:szCs w:val="20"/>
          <w:lang w:val="uk-UA"/>
        </w:rPr>
        <w:t>№  _____/____</w:t>
      </w:r>
    </w:p>
    <w:p w14:paraId="391D7238" w14:textId="77777777" w:rsidR="007974E8" w:rsidRPr="00E16672" w:rsidRDefault="007974E8" w:rsidP="007974E8">
      <w:pPr>
        <w:ind w:firstLine="709"/>
        <w:rPr>
          <w:rFonts w:ascii="Times New Roman" w:hAnsi="Times New Roman"/>
          <w:color w:val="000000"/>
          <w:szCs w:val="20"/>
          <w:lang w:val="uk-UA"/>
        </w:rPr>
      </w:pPr>
    </w:p>
    <w:p w14:paraId="39B3A02B" w14:textId="77777777" w:rsidR="00EF78D0" w:rsidRDefault="00EF78D0" w:rsidP="00EF78D0">
      <w:pPr>
        <w:rPr>
          <w:rFonts w:ascii="Times New Roman" w:hAnsi="Times New Roman"/>
          <w:color w:val="000000"/>
          <w:szCs w:val="20"/>
          <w:lang w:val="uk-UA"/>
        </w:rPr>
      </w:pPr>
      <w:r w:rsidRPr="00EF78D0">
        <w:rPr>
          <w:rFonts w:ascii="Times New Roman" w:hAnsi="Times New Roman"/>
          <w:color w:val="000000"/>
          <w:szCs w:val="20"/>
          <w:lang w:val="uk-UA"/>
        </w:rPr>
        <w:t xml:space="preserve">м. Київ </w:t>
      </w:r>
      <w:r w:rsidRPr="00EF78D0">
        <w:rPr>
          <w:rFonts w:ascii="Times New Roman" w:hAnsi="Times New Roman"/>
          <w:color w:val="000000"/>
          <w:szCs w:val="20"/>
          <w:lang w:val="uk-UA"/>
        </w:rPr>
        <w:tab/>
      </w:r>
      <w:r w:rsidRPr="00EF78D0">
        <w:rPr>
          <w:rFonts w:ascii="Times New Roman" w:hAnsi="Times New Roman"/>
          <w:color w:val="000000"/>
          <w:szCs w:val="20"/>
          <w:lang w:val="uk-UA"/>
        </w:rPr>
        <w:tab/>
      </w:r>
      <w:r w:rsidRPr="00EF78D0">
        <w:rPr>
          <w:rFonts w:ascii="Times New Roman" w:hAnsi="Times New Roman"/>
          <w:color w:val="000000"/>
          <w:szCs w:val="20"/>
          <w:lang w:val="uk-UA"/>
        </w:rPr>
        <w:tab/>
      </w:r>
      <w:r>
        <w:rPr>
          <w:rFonts w:ascii="Times New Roman" w:hAnsi="Times New Roman"/>
          <w:color w:val="000000"/>
          <w:szCs w:val="20"/>
          <w:lang w:val="uk-UA"/>
        </w:rPr>
        <w:tab/>
      </w:r>
      <w:r>
        <w:rPr>
          <w:rFonts w:ascii="Times New Roman" w:hAnsi="Times New Roman"/>
          <w:color w:val="000000"/>
          <w:szCs w:val="20"/>
          <w:lang w:val="uk-UA"/>
        </w:rPr>
        <w:tab/>
      </w:r>
      <w:r>
        <w:rPr>
          <w:rFonts w:ascii="Times New Roman" w:hAnsi="Times New Roman"/>
          <w:color w:val="000000"/>
          <w:szCs w:val="20"/>
          <w:lang w:val="uk-UA"/>
        </w:rPr>
        <w:tab/>
      </w:r>
      <w:r>
        <w:rPr>
          <w:rFonts w:ascii="Times New Roman" w:hAnsi="Times New Roman"/>
          <w:color w:val="000000"/>
          <w:szCs w:val="20"/>
          <w:lang w:val="uk-UA"/>
        </w:rPr>
        <w:tab/>
      </w:r>
      <w:r>
        <w:rPr>
          <w:rFonts w:ascii="Times New Roman" w:hAnsi="Times New Roman"/>
          <w:color w:val="000000"/>
          <w:szCs w:val="20"/>
          <w:lang w:val="uk-UA"/>
        </w:rPr>
        <w:tab/>
      </w:r>
      <w:r>
        <w:rPr>
          <w:rFonts w:ascii="Times New Roman" w:hAnsi="Times New Roman"/>
          <w:color w:val="000000"/>
          <w:szCs w:val="20"/>
          <w:lang w:val="uk-UA"/>
        </w:rPr>
        <w:tab/>
      </w:r>
      <w:r w:rsidRPr="00EF78D0">
        <w:rPr>
          <w:rFonts w:ascii="Times New Roman" w:hAnsi="Times New Roman"/>
          <w:color w:val="000000"/>
          <w:szCs w:val="20"/>
          <w:lang w:val="uk-UA"/>
        </w:rPr>
        <w:tab/>
        <w:t>"       " ____________ 20____р</w:t>
      </w:r>
    </w:p>
    <w:p w14:paraId="3B145296" w14:textId="77777777" w:rsidR="007974E8" w:rsidRPr="00E16672" w:rsidRDefault="007974E8" w:rsidP="007974E8">
      <w:pPr>
        <w:rPr>
          <w:rFonts w:ascii="Times New Roman" w:hAnsi="Times New Roman"/>
          <w:bCs/>
          <w:color w:val="000000"/>
          <w:szCs w:val="20"/>
          <w:lang w:val="uk-UA"/>
        </w:rPr>
      </w:pPr>
    </w:p>
    <w:p w14:paraId="15B10A7A" w14:textId="77777777" w:rsidR="002C163A" w:rsidRDefault="007974E8" w:rsidP="006517E7">
      <w:pPr>
        <w:pStyle w:val="ab"/>
        <w:jc w:val="left"/>
        <w:rPr>
          <w:rFonts w:ascii="Times New Roman" w:hAnsi="Times New Roman"/>
          <w:b w:val="0"/>
          <w:color w:val="000000"/>
        </w:rPr>
      </w:pPr>
      <w:r w:rsidRPr="00E16672">
        <w:rPr>
          <w:rFonts w:ascii="Times New Roman" w:hAnsi="Times New Roman"/>
          <w:b w:val="0"/>
          <w:color w:val="000000"/>
        </w:rPr>
        <w:t xml:space="preserve">ТОВАРИСТВО З ОБМЕЖЕНОЮ ВІДПОВІДАЛЬНІСТЮ </w:t>
      </w:r>
      <w:r w:rsidR="00022F5F">
        <w:rPr>
          <w:rFonts w:ascii="Times New Roman" w:hAnsi="Times New Roman"/>
          <w:b w:val="0"/>
          <w:color w:val="000000"/>
        </w:rPr>
        <w:t>"</w:t>
      </w:r>
      <w:r w:rsidR="00E16672" w:rsidRPr="00E16672">
        <w:rPr>
          <w:rFonts w:ascii="Times New Roman" w:hAnsi="Times New Roman"/>
          <w:b w:val="0"/>
          <w:color w:val="000000"/>
        </w:rPr>
        <w:t>КОМЕКС ЦІННІ ПАПЕРИ</w:t>
      </w:r>
      <w:r w:rsidR="00022F5F">
        <w:rPr>
          <w:rFonts w:ascii="Times New Roman" w:hAnsi="Times New Roman"/>
          <w:b w:val="0"/>
          <w:color w:val="000000"/>
        </w:rPr>
        <w:t>"</w:t>
      </w:r>
      <w:r w:rsidRPr="00E16672">
        <w:rPr>
          <w:rFonts w:ascii="Times New Roman" w:hAnsi="Times New Roman"/>
          <w:b w:val="0"/>
          <w:color w:val="000000"/>
        </w:rPr>
        <w:t xml:space="preserve">, код за ЄДРПОУ </w:t>
      </w:r>
      <w:r w:rsidR="00E16672" w:rsidRPr="00E16672">
        <w:rPr>
          <w:rFonts w:ascii="Times New Roman" w:hAnsi="Times New Roman"/>
          <w:b w:val="0"/>
          <w:color w:val="000000"/>
        </w:rPr>
        <w:t>33153077</w:t>
      </w:r>
      <w:r w:rsidRPr="00E16672">
        <w:rPr>
          <w:rFonts w:ascii="Times New Roman" w:hAnsi="Times New Roman"/>
          <w:b w:val="0"/>
          <w:color w:val="000000"/>
        </w:rPr>
        <w:t xml:space="preserve"> (надалі – Депозитарна установа), що здійснює депозитарну діяльність депозитарної установи на підставі ліцензії серія АЕ № </w:t>
      </w:r>
      <w:r w:rsidR="00E16672" w:rsidRPr="00E16672">
        <w:rPr>
          <w:rFonts w:ascii="Times New Roman" w:hAnsi="Times New Roman"/>
          <w:b w:val="0"/>
          <w:color w:val="000000"/>
        </w:rPr>
        <w:t>263429</w:t>
      </w:r>
      <w:r w:rsidRPr="00E16672">
        <w:rPr>
          <w:rFonts w:ascii="Times New Roman" w:hAnsi="Times New Roman"/>
          <w:b w:val="0"/>
          <w:color w:val="000000"/>
        </w:rPr>
        <w:t xml:space="preserve">, виданої Національною комісією з цінних паперів та фондового ринку </w:t>
      </w:r>
      <w:r w:rsidR="00E16672" w:rsidRPr="00E16672">
        <w:rPr>
          <w:rFonts w:ascii="Times New Roman" w:hAnsi="Times New Roman"/>
          <w:b w:val="0"/>
          <w:color w:val="000000"/>
        </w:rPr>
        <w:t>01.10.2013</w:t>
      </w:r>
      <w:r w:rsidRPr="00E16672">
        <w:rPr>
          <w:rFonts w:ascii="Times New Roman" w:hAnsi="Times New Roman"/>
          <w:b w:val="0"/>
          <w:color w:val="000000"/>
        </w:rPr>
        <w:t xml:space="preserve">р.  (надалі – НКЦПФР), в особі директора </w:t>
      </w:r>
      <w:r w:rsidR="004D320D">
        <w:rPr>
          <w:rFonts w:ascii="Times New Roman" w:hAnsi="Times New Roman"/>
          <w:b w:val="0"/>
          <w:color w:val="000000"/>
        </w:rPr>
        <w:t>Король Оксани Іванівни</w:t>
      </w:r>
      <w:r w:rsidRPr="00E16672">
        <w:rPr>
          <w:rFonts w:ascii="Times New Roman" w:hAnsi="Times New Roman"/>
          <w:b w:val="0"/>
          <w:color w:val="000000"/>
        </w:rPr>
        <w:t>, що діє на підс</w:t>
      </w:r>
      <w:r w:rsidR="002C163A">
        <w:rPr>
          <w:rFonts w:ascii="Times New Roman" w:hAnsi="Times New Roman"/>
          <w:b w:val="0"/>
          <w:color w:val="000000"/>
        </w:rPr>
        <w:t>таві Статуту, з однієї сторони,</w:t>
      </w:r>
    </w:p>
    <w:p w14:paraId="43EBB6D2" w14:textId="77777777" w:rsidR="007974E8" w:rsidRPr="00E16672" w:rsidRDefault="007974E8" w:rsidP="00022F5F">
      <w:pPr>
        <w:pStyle w:val="ab"/>
        <w:jc w:val="left"/>
        <w:rPr>
          <w:rFonts w:ascii="Times New Roman" w:hAnsi="Times New Roman"/>
          <w:b w:val="0"/>
          <w:color w:val="000000"/>
        </w:rPr>
      </w:pPr>
      <w:r w:rsidRPr="00E16672">
        <w:rPr>
          <w:rFonts w:ascii="Times New Roman" w:hAnsi="Times New Roman"/>
          <w:b w:val="0"/>
          <w:color w:val="000000"/>
        </w:rPr>
        <w:t>та</w:t>
      </w:r>
    </w:p>
    <w:p w14:paraId="44D18196" w14:textId="77777777" w:rsidR="007974E8" w:rsidRPr="00E16672" w:rsidRDefault="007974E8" w:rsidP="002C163A">
      <w:pPr>
        <w:rPr>
          <w:rFonts w:ascii="Times New Roman" w:hAnsi="Times New Roman"/>
          <w:color w:val="000000"/>
          <w:szCs w:val="20"/>
          <w:lang w:val="uk-UA"/>
        </w:rPr>
      </w:pPr>
      <w:r w:rsidRPr="00E16672">
        <w:rPr>
          <w:rFonts w:ascii="Times New Roman" w:hAnsi="Times New Roman"/>
          <w:color w:val="000000"/>
          <w:szCs w:val="20"/>
          <w:lang w:val="uk-UA"/>
        </w:rPr>
        <w:t xml:space="preserve">Територіальна громада (далі - Депонент), від імені якої діє суб'єкт управління об'єктами державної власності (далі – Керуючий рахунком): </w:t>
      </w:r>
      <w:r w:rsidRPr="00E16672">
        <w:rPr>
          <w:rFonts w:ascii="Times New Roman" w:hAnsi="Times New Roman"/>
          <w:i/>
          <w:iCs/>
          <w:color w:val="000000"/>
          <w:szCs w:val="20"/>
          <w:lang w:val="uk-UA"/>
        </w:rPr>
        <w:t>__________________</w:t>
      </w:r>
      <w:r w:rsidRPr="00E16672">
        <w:rPr>
          <w:rFonts w:ascii="Times New Roman" w:hAnsi="Times New Roman"/>
          <w:color w:val="000000"/>
          <w:szCs w:val="20"/>
          <w:lang w:val="uk-UA"/>
        </w:rPr>
        <w:t>_________________________________</w:t>
      </w:r>
      <w:r w:rsidR="00C06E0C">
        <w:rPr>
          <w:rFonts w:ascii="Times New Roman" w:hAnsi="Times New Roman"/>
          <w:color w:val="000000"/>
          <w:szCs w:val="20"/>
          <w:lang w:val="uk-UA"/>
        </w:rPr>
        <w:t>____</w:t>
      </w:r>
      <w:r w:rsidRPr="00E16672">
        <w:rPr>
          <w:rFonts w:ascii="Times New Roman" w:hAnsi="Times New Roman"/>
          <w:color w:val="000000"/>
          <w:szCs w:val="20"/>
          <w:lang w:val="uk-UA"/>
        </w:rPr>
        <w:t>______________________________</w:t>
      </w:r>
    </w:p>
    <w:p w14:paraId="34653587" w14:textId="77777777" w:rsidR="007974E8" w:rsidRPr="002C163A" w:rsidRDefault="007974E8" w:rsidP="007974E8">
      <w:pPr>
        <w:pStyle w:val="af"/>
        <w:rPr>
          <w:rFonts w:ascii="Times New Roman" w:hAnsi="Times New Roman" w:cs="Times New Roman"/>
          <w:color w:val="000000"/>
          <w:sz w:val="16"/>
          <w:szCs w:val="16"/>
        </w:rPr>
      </w:pPr>
      <w:r w:rsidRPr="002C163A">
        <w:rPr>
          <w:rFonts w:ascii="Times New Roman" w:hAnsi="Times New Roman" w:cs="Times New Roman"/>
          <w:i/>
          <w:color w:val="000000"/>
          <w:sz w:val="16"/>
          <w:szCs w:val="16"/>
        </w:rPr>
        <w:t>(повне найменування</w:t>
      </w:r>
      <w:r w:rsidR="00FC3003" w:rsidRPr="002C163A">
        <w:rPr>
          <w:rFonts w:ascii="Times New Roman" w:hAnsi="Times New Roman" w:cs="Times New Roman"/>
          <w:i/>
          <w:color w:val="000000"/>
          <w:sz w:val="16"/>
          <w:szCs w:val="16"/>
        </w:rPr>
        <w:t xml:space="preserve"> </w:t>
      </w:r>
      <w:r w:rsidRPr="002C163A">
        <w:rPr>
          <w:rFonts w:ascii="Times New Roman" w:hAnsi="Times New Roman" w:cs="Times New Roman"/>
          <w:i/>
          <w:color w:val="000000"/>
          <w:sz w:val="16"/>
          <w:szCs w:val="16"/>
        </w:rPr>
        <w:t>/</w:t>
      </w:r>
      <w:r w:rsidRPr="002C163A">
        <w:rPr>
          <w:rFonts w:ascii="Times New Roman" w:hAnsi="Times New Roman" w:cs="Times New Roman"/>
          <w:i/>
          <w:iCs/>
          <w:color w:val="000000"/>
          <w:sz w:val="16"/>
          <w:szCs w:val="16"/>
        </w:rPr>
        <w:t xml:space="preserve"> ім'я та по </w:t>
      </w:r>
      <w:proofErr w:type="spellStart"/>
      <w:r w:rsidRPr="002C163A">
        <w:rPr>
          <w:rFonts w:ascii="Times New Roman" w:hAnsi="Times New Roman" w:cs="Times New Roman"/>
          <w:i/>
          <w:iCs/>
          <w:color w:val="000000"/>
          <w:sz w:val="16"/>
          <w:szCs w:val="16"/>
        </w:rPr>
        <w:t>батьков</w:t>
      </w:r>
      <w:proofErr w:type="spellEnd"/>
      <w:r w:rsidR="00FC3003" w:rsidRPr="002C163A">
        <w:rPr>
          <w:rFonts w:ascii="Times New Roman" w:hAnsi="Times New Roman" w:cs="Times New Roman"/>
          <w:i/>
          <w:iCs/>
          <w:color w:val="000000"/>
          <w:sz w:val="16"/>
          <w:szCs w:val="16"/>
        </w:rPr>
        <w:t xml:space="preserve"> </w:t>
      </w:r>
      <w:r w:rsidRPr="002C163A">
        <w:rPr>
          <w:rFonts w:ascii="Times New Roman" w:hAnsi="Times New Roman" w:cs="Times New Roman"/>
          <w:i/>
          <w:iCs/>
          <w:color w:val="000000"/>
          <w:sz w:val="16"/>
          <w:szCs w:val="16"/>
        </w:rPr>
        <w:t>і/</w:t>
      </w:r>
      <w:r w:rsidR="00FC3003" w:rsidRPr="002C163A">
        <w:rPr>
          <w:rFonts w:ascii="Times New Roman" w:hAnsi="Times New Roman" w:cs="Times New Roman"/>
          <w:i/>
          <w:iCs/>
          <w:color w:val="000000"/>
          <w:sz w:val="16"/>
          <w:szCs w:val="16"/>
        </w:rPr>
        <w:t xml:space="preserve"> </w:t>
      </w:r>
      <w:r w:rsidRPr="002C163A">
        <w:rPr>
          <w:rFonts w:ascii="Times New Roman" w:hAnsi="Times New Roman" w:cs="Times New Roman"/>
          <w:i/>
          <w:iCs/>
          <w:color w:val="000000"/>
          <w:sz w:val="16"/>
          <w:szCs w:val="16"/>
        </w:rPr>
        <w:t>назва органу суб'єкта управління об'єктами комунальної власності у формі цінних паперів)</w:t>
      </w:r>
      <w:r w:rsidRPr="002C163A">
        <w:rPr>
          <w:rFonts w:ascii="Times New Roman" w:hAnsi="Times New Roman" w:cs="Times New Roman"/>
          <w:color w:val="000000"/>
          <w:sz w:val="16"/>
          <w:szCs w:val="16"/>
        </w:rPr>
        <w:t xml:space="preserve"> </w:t>
      </w:r>
    </w:p>
    <w:p w14:paraId="29C3544F" w14:textId="77777777" w:rsidR="007974E8" w:rsidRPr="00E16672" w:rsidRDefault="007974E8" w:rsidP="007974E8">
      <w:pPr>
        <w:pStyle w:val="af"/>
        <w:rPr>
          <w:rFonts w:ascii="Times New Roman" w:hAnsi="Times New Roman" w:cs="Times New Roman"/>
          <w:color w:val="000000"/>
        </w:rPr>
      </w:pPr>
      <w:r w:rsidRPr="00E16672">
        <w:rPr>
          <w:rFonts w:ascii="Times New Roman" w:hAnsi="Times New Roman" w:cs="Times New Roman"/>
          <w:i/>
          <w:color w:val="000000"/>
        </w:rPr>
        <w:t xml:space="preserve"> </w:t>
      </w:r>
      <w:r w:rsidRPr="00E16672">
        <w:rPr>
          <w:rFonts w:ascii="Times New Roman" w:hAnsi="Times New Roman" w:cs="Times New Roman"/>
          <w:iCs/>
          <w:color w:val="000000"/>
        </w:rPr>
        <w:t>к</w:t>
      </w:r>
      <w:r w:rsidRPr="00E16672">
        <w:rPr>
          <w:rFonts w:ascii="Times New Roman" w:hAnsi="Times New Roman" w:cs="Times New Roman"/>
          <w:iCs/>
          <w:color w:val="000000"/>
          <w:lang w:val="ru-RU"/>
        </w:rPr>
        <w:t>од за</w:t>
      </w:r>
      <w:r w:rsidRPr="00E16672">
        <w:rPr>
          <w:rFonts w:ascii="Times New Roman" w:hAnsi="Times New Roman" w:cs="Times New Roman"/>
          <w:iCs/>
          <w:color w:val="000000"/>
        </w:rPr>
        <w:t xml:space="preserve"> ЄДРПОУ:</w:t>
      </w:r>
      <w:r w:rsidRPr="00E16672">
        <w:rPr>
          <w:rFonts w:ascii="Times New Roman" w:hAnsi="Times New Roman" w:cs="Times New Roman"/>
          <w:i/>
          <w:iCs/>
          <w:color w:val="000000"/>
        </w:rPr>
        <w:t xml:space="preserve"> ______________ </w:t>
      </w:r>
      <w:r w:rsidRPr="00E16672">
        <w:rPr>
          <w:rFonts w:ascii="Times New Roman" w:eastAsia="Times New Roman" w:hAnsi="Times New Roman" w:cs="Times New Roman"/>
          <w:color w:val="000000"/>
        </w:rPr>
        <w:t xml:space="preserve">, </w:t>
      </w:r>
      <w:r w:rsidRPr="00E16672">
        <w:rPr>
          <w:rFonts w:ascii="Times New Roman" w:hAnsi="Times New Roman" w:cs="Times New Roman"/>
          <w:color w:val="000000"/>
        </w:rPr>
        <w:t>в особі ___________________________</w:t>
      </w:r>
      <w:r w:rsidR="002C163A">
        <w:rPr>
          <w:rFonts w:ascii="Times New Roman" w:hAnsi="Times New Roman" w:cs="Times New Roman"/>
          <w:color w:val="000000"/>
        </w:rPr>
        <w:t>________________</w:t>
      </w:r>
      <w:r w:rsidRPr="00E16672">
        <w:rPr>
          <w:rFonts w:ascii="Times New Roman" w:hAnsi="Times New Roman" w:cs="Times New Roman"/>
          <w:color w:val="000000"/>
        </w:rPr>
        <w:t xml:space="preserve">___________________, </w:t>
      </w:r>
    </w:p>
    <w:p w14:paraId="4586337D" w14:textId="77777777" w:rsidR="007974E8" w:rsidRPr="002C163A" w:rsidRDefault="007974E8" w:rsidP="007974E8">
      <w:pPr>
        <w:pStyle w:val="af"/>
        <w:ind w:left="4956" w:firstLine="708"/>
        <w:rPr>
          <w:rFonts w:ascii="Times New Roman" w:hAnsi="Times New Roman" w:cs="Times New Roman"/>
          <w:i/>
          <w:iCs/>
          <w:color w:val="000000"/>
          <w:sz w:val="16"/>
          <w:szCs w:val="16"/>
        </w:rPr>
      </w:pPr>
      <w:r w:rsidRPr="002C163A">
        <w:rPr>
          <w:rFonts w:ascii="Times New Roman" w:hAnsi="Times New Roman" w:cs="Times New Roman"/>
          <w:i/>
          <w:iCs/>
          <w:color w:val="000000"/>
          <w:sz w:val="16"/>
          <w:szCs w:val="16"/>
        </w:rPr>
        <w:t>посада, прізвище, ім'я та по батькові)</w:t>
      </w:r>
    </w:p>
    <w:p w14:paraId="4872259D" w14:textId="77777777" w:rsidR="007974E8" w:rsidRPr="00E16672" w:rsidRDefault="007974E8" w:rsidP="007974E8">
      <w:pPr>
        <w:pStyle w:val="af"/>
        <w:rPr>
          <w:rFonts w:ascii="Times New Roman" w:hAnsi="Times New Roman" w:cs="Times New Roman"/>
          <w:color w:val="000000"/>
        </w:rPr>
      </w:pPr>
      <w:r w:rsidRPr="00E16672">
        <w:rPr>
          <w:rFonts w:ascii="Times New Roman" w:hAnsi="Times New Roman" w:cs="Times New Roman"/>
          <w:color w:val="000000"/>
        </w:rPr>
        <w:t xml:space="preserve">який </w:t>
      </w:r>
      <w:r w:rsidRPr="002C163A">
        <w:rPr>
          <w:rFonts w:ascii="Times New Roman" w:hAnsi="Times New Roman" w:cs="Times New Roman"/>
          <w:color w:val="000000"/>
        </w:rPr>
        <w:t>(яка)</w:t>
      </w:r>
      <w:r w:rsidRPr="00E16672">
        <w:rPr>
          <w:rFonts w:ascii="Times New Roman" w:hAnsi="Times New Roman" w:cs="Times New Roman"/>
          <w:i/>
          <w:color w:val="000000"/>
        </w:rPr>
        <w:t xml:space="preserve"> </w:t>
      </w:r>
      <w:r w:rsidRPr="002C163A">
        <w:rPr>
          <w:rFonts w:ascii="Times New Roman" w:hAnsi="Times New Roman" w:cs="Times New Roman"/>
          <w:color w:val="000000"/>
        </w:rPr>
        <w:t>діє на підставі</w:t>
      </w:r>
      <w:r w:rsidRPr="00E16672">
        <w:rPr>
          <w:rFonts w:ascii="Times New Roman" w:hAnsi="Times New Roman" w:cs="Times New Roman"/>
          <w:i/>
          <w:color w:val="000000"/>
          <w:lang w:val="ru-RU"/>
        </w:rPr>
        <w:t>_____________________</w:t>
      </w:r>
      <w:r w:rsidRPr="00E16672">
        <w:rPr>
          <w:rFonts w:ascii="Times New Roman" w:hAnsi="Times New Roman" w:cs="Times New Roman"/>
          <w:i/>
          <w:color w:val="000000"/>
        </w:rPr>
        <w:t xml:space="preserve">________________(назва документа) </w:t>
      </w:r>
      <w:r w:rsidRPr="00E16672">
        <w:rPr>
          <w:rFonts w:ascii="Times New Roman" w:hAnsi="Times New Roman" w:cs="Times New Roman"/>
          <w:color w:val="000000"/>
        </w:rPr>
        <w:t>з другої сторони, а разом</w:t>
      </w:r>
      <w:r w:rsidRPr="00E16672">
        <w:rPr>
          <w:rFonts w:ascii="Times New Roman" w:hAnsi="Times New Roman" w:cs="Times New Roman"/>
          <w:color w:val="000000"/>
          <w:vertAlign w:val="subscript"/>
        </w:rPr>
        <w:t xml:space="preserve"> </w:t>
      </w:r>
      <w:r w:rsidRPr="00E16672">
        <w:rPr>
          <w:rFonts w:ascii="Times New Roman" w:hAnsi="Times New Roman" w:cs="Times New Roman"/>
          <w:color w:val="000000"/>
        </w:rPr>
        <w:t>надалі іменовані Сторони, уклали цей Договір про обслуговування рахунка в цінних паперах (надалі – Договір) про наступне:</w:t>
      </w:r>
    </w:p>
    <w:p w14:paraId="5E19E4C1" w14:textId="77777777" w:rsidR="007974E8" w:rsidRPr="00E16672" w:rsidRDefault="007974E8" w:rsidP="007974E8">
      <w:pPr>
        <w:rPr>
          <w:rFonts w:ascii="Times New Roman" w:hAnsi="Times New Roman"/>
          <w:color w:val="000000"/>
          <w:szCs w:val="20"/>
        </w:rPr>
      </w:pPr>
    </w:p>
    <w:p w14:paraId="2269AF75" w14:textId="77777777" w:rsidR="007974E8" w:rsidRPr="00E16672" w:rsidRDefault="007974E8" w:rsidP="007974E8">
      <w:pPr>
        <w:jc w:val="center"/>
        <w:rPr>
          <w:rFonts w:ascii="Times New Roman" w:hAnsi="Times New Roman"/>
          <w:b/>
          <w:bCs/>
          <w:color w:val="000000"/>
          <w:szCs w:val="20"/>
        </w:rPr>
      </w:pPr>
      <w:r w:rsidRPr="00E16672">
        <w:rPr>
          <w:rFonts w:ascii="Times New Roman" w:hAnsi="Times New Roman"/>
          <w:b/>
          <w:bCs/>
          <w:color w:val="000000"/>
          <w:szCs w:val="20"/>
        </w:rPr>
        <w:t>1. Предмет Договору</w:t>
      </w:r>
    </w:p>
    <w:p w14:paraId="4B7CF232" w14:textId="77777777" w:rsidR="007974E8" w:rsidRPr="00E16672" w:rsidRDefault="007974E8" w:rsidP="007974E8">
      <w:pPr>
        <w:pStyle w:val="af"/>
        <w:ind w:firstLine="708"/>
        <w:rPr>
          <w:rFonts w:ascii="Times New Roman" w:hAnsi="Times New Roman" w:cs="Times New Roman"/>
          <w:color w:val="000000"/>
        </w:rPr>
      </w:pPr>
      <w:r w:rsidRPr="00E16672">
        <w:rPr>
          <w:rFonts w:ascii="Times New Roman" w:hAnsi="Times New Roman" w:cs="Times New Roman"/>
          <w:color w:val="000000"/>
        </w:rPr>
        <w:t xml:space="preserve">1.1. Депозитарна установа зобов’язується у порядку, передбаченому законодавством, внутрішніми документами Депозитарної установи та цим Договором, надавати послуги щодо відкриття та обслуговування рахунку </w:t>
      </w:r>
      <w:r w:rsidR="00C22309" w:rsidRPr="00E16672">
        <w:rPr>
          <w:rFonts w:ascii="Times New Roman" w:hAnsi="Times New Roman" w:cs="Times New Roman"/>
          <w:color w:val="000000"/>
        </w:rPr>
        <w:t>в цін</w:t>
      </w:r>
      <w:r w:rsidRPr="00E16672">
        <w:rPr>
          <w:rFonts w:ascii="Times New Roman" w:hAnsi="Times New Roman" w:cs="Times New Roman"/>
          <w:color w:val="000000"/>
        </w:rPr>
        <w:t xml:space="preserve">них паперах Депонента, та вести на ньому облік цінних паперів, що належать Депоненту, а також облік прав Депонента на цінні папери, що обліковуються на  рахунку </w:t>
      </w:r>
      <w:r w:rsidR="00C22309" w:rsidRPr="00E16672">
        <w:rPr>
          <w:rFonts w:ascii="Times New Roman" w:hAnsi="Times New Roman" w:cs="Times New Roman"/>
          <w:color w:val="000000"/>
        </w:rPr>
        <w:t>в цін</w:t>
      </w:r>
      <w:r w:rsidRPr="00E16672">
        <w:rPr>
          <w:rFonts w:ascii="Times New Roman" w:hAnsi="Times New Roman" w:cs="Times New Roman"/>
          <w:color w:val="000000"/>
        </w:rPr>
        <w:t xml:space="preserve">них паперах, та обмеження таких прав,  проводити депозитарні операції за рахунком </w:t>
      </w:r>
      <w:r w:rsidR="00C22309" w:rsidRPr="00E16672">
        <w:rPr>
          <w:rFonts w:ascii="Times New Roman" w:hAnsi="Times New Roman" w:cs="Times New Roman"/>
          <w:color w:val="000000"/>
        </w:rPr>
        <w:t>в цін</w:t>
      </w:r>
      <w:r w:rsidRPr="00E16672">
        <w:rPr>
          <w:rFonts w:ascii="Times New Roman" w:hAnsi="Times New Roman" w:cs="Times New Roman"/>
          <w:color w:val="000000"/>
        </w:rPr>
        <w:t>них паперах Депонента на підставі розпоряджень суб'єкта(</w:t>
      </w:r>
      <w:proofErr w:type="spellStart"/>
      <w:r w:rsidRPr="00E16672">
        <w:rPr>
          <w:rFonts w:ascii="Times New Roman" w:hAnsi="Times New Roman" w:cs="Times New Roman"/>
          <w:color w:val="000000"/>
        </w:rPr>
        <w:t>ів</w:t>
      </w:r>
      <w:proofErr w:type="spellEnd"/>
      <w:r w:rsidRPr="00E16672">
        <w:rPr>
          <w:rFonts w:ascii="Times New Roman" w:hAnsi="Times New Roman" w:cs="Times New Roman"/>
          <w:color w:val="000000"/>
        </w:rPr>
        <w:t>) управління об'єктами комунальної власності, який(і) відповідно до законодавства виконує(</w:t>
      </w:r>
      <w:proofErr w:type="spellStart"/>
      <w:r w:rsidRPr="00E16672">
        <w:rPr>
          <w:rFonts w:ascii="Times New Roman" w:hAnsi="Times New Roman" w:cs="Times New Roman"/>
          <w:color w:val="000000"/>
        </w:rPr>
        <w:t>ють</w:t>
      </w:r>
      <w:proofErr w:type="spellEnd"/>
      <w:r w:rsidRPr="00E16672">
        <w:rPr>
          <w:rFonts w:ascii="Times New Roman" w:hAnsi="Times New Roman" w:cs="Times New Roman"/>
          <w:color w:val="000000"/>
        </w:rPr>
        <w:t>) функції з управління відповідними цінними паперами та який(і) у Депозитарній установі набуває(</w:t>
      </w:r>
      <w:proofErr w:type="spellStart"/>
      <w:r w:rsidRPr="00E16672">
        <w:rPr>
          <w:rFonts w:ascii="Times New Roman" w:hAnsi="Times New Roman" w:cs="Times New Roman"/>
          <w:color w:val="000000"/>
        </w:rPr>
        <w:t>ють</w:t>
      </w:r>
      <w:proofErr w:type="spellEnd"/>
      <w:r w:rsidRPr="00E16672">
        <w:rPr>
          <w:rFonts w:ascii="Times New Roman" w:hAnsi="Times New Roman" w:cs="Times New Roman"/>
          <w:color w:val="000000"/>
        </w:rPr>
        <w:t>) статусу керуючого(</w:t>
      </w:r>
      <w:proofErr w:type="spellStart"/>
      <w:r w:rsidRPr="00E16672">
        <w:rPr>
          <w:rFonts w:ascii="Times New Roman" w:hAnsi="Times New Roman" w:cs="Times New Roman"/>
          <w:color w:val="000000"/>
        </w:rPr>
        <w:t>их</w:t>
      </w:r>
      <w:proofErr w:type="spellEnd"/>
      <w:r w:rsidRPr="00E16672">
        <w:rPr>
          <w:rFonts w:ascii="Times New Roman" w:hAnsi="Times New Roman" w:cs="Times New Roman"/>
          <w:color w:val="000000"/>
        </w:rPr>
        <w:t xml:space="preserve">) рахунком </w:t>
      </w:r>
      <w:r w:rsidR="00C22309" w:rsidRPr="00E16672">
        <w:rPr>
          <w:rFonts w:ascii="Times New Roman" w:hAnsi="Times New Roman" w:cs="Times New Roman"/>
          <w:color w:val="000000"/>
        </w:rPr>
        <w:t>в цін</w:t>
      </w:r>
      <w:r w:rsidRPr="00E16672">
        <w:rPr>
          <w:rFonts w:ascii="Times New Roman" w:hAnsi="Times New Roman" w:cs="Times New Roman"/>
          <w:color w:val="000000"/>
        </w:rPr>
        <w:t>них паперах Депонента в межах його (їх) повноважень та в інший спосіб, передбачений законодавством, а також надавати інші послуги у процесі провадження депозитарної діяльності відповідно до Положення про провадження депозитарної діяльності, затвердженого рішенням Національної комісії з цінних паперів та фондового ринку від 23.04.2013 року № 735, зареєстрованого в Міністерстві юстиції України 27.06.2013 року №  1084/23616 (далі – Положення), а Депонент (Керуючий рахунком) зобов’язується оплатити послуги Депозитарної установи.</w:t>
      </w:r>
    </w:p>
    <w:p w14:paraId="13644813" w14:textId="77777777" w:rsidR="007974E8" w:rsidRPr="00E16672" w:rsidRDefault="007974E8" w:rsidP="007974E8">
      <w:pPr>
        <w:pStyle w:val="af"/>
        <w:rPr>
          <w:rFonts w:ascii="Times New Roman" w:hAnsi="Times New Roman" w:cs="Times New Roman"/>
          <w:color w:val="000000"/>
        </w:rPr>
      </w:pPr>
      <w:r w:rsidRPr="00E16672">
        <w:rPr>
          <w:rFonts w:ascii="Times New Roman" w:hAnsi="Times New Roman" w:cs="Times New Roman"/>
          <w:color w:val="000000"/>
        </w:rPr>
        <w:t xml:space="preserve">1.2. Рахунок </w:t>
      </w:r>
      <w:r w:rsidR="00C22309" w:rsidRPr="00E16672">
        <w:rPr>
          <w:rFonts w:ascii="Times New Roman" w:hAnsi="Times New Roman" w:cs="Times New Roman"/>
          <w:color w:val="000000"/>
        </w:rPr>
        <w:t>в цін</w:t>
      </w:r>
      <w:r w:rsidRPr="00E16672">
        <w:rPr>
          <w:rFonts w:ascii="Times New Roman" w:hAnsi="Times New Roman" w:cs="Times New Roman"/>
          <w:color w:val="000000"/>
        </w:rPr>
        <w:t xml:space="preserve">них паперах відкривається Депозитарною установою для обліку на ньому прав на цінні папери, за якими функції з управління виконує суб’єкт управління, зазначений в Договорі. Для обліку прав на цінні папери, що є об’єктами комунальної власності, територіальній громаді, якій належать ці цінні папери, може відкриватись декілька рахунків </w:t>
      </w:r>
      <w:r w:rsidR="00C22309" w:rsidRPr="00E16672">
        <w:rPr>
          <w:rFonts w:ascii="Times New Roman" w:hAnsi="Times New Roman" w:cs="Times New Roman"/>
          <w:color w:val="000000"/>
        </w:rPr>
        <w:t>в цін</w:t>
      </w:r>
      <w:r w:rsidRPr="00E16672">
        <w:rPr>
          <w:rFonts w:ascii="Times New Roman" w:hAnsi="Times New Roman" w:cs="Times New Roman"/>
          <w:color w:val="000000"/>
        </w:rPr>
        <w:t xml:space="preserve">них паперах </w:t>
      </w:r>
      <w:proofErr w:type="spellStart"/>
      <w:r w:rsidRPr="00E16672">
        <w:rPr>
          <w:rFonts w:ascii="Times New Roman" w:hAnsi="Times New Roman" w:cs="Times New Roman"/>
          <w:color w:val="000000"/>
        </w:rPr>
        <w:t>пропорційно</w:t>
      </w:r>
      <w:proofErr w:type="spellEnd"/>
      <w:r w:rsidRPr="00E16672">
        <w:rPr>
          <w:rFonts w:ascii="Times New Roman" w:hAnsi="Times New Roman" w:cs="Times New Roman"/>
          <w:color w:val="000000"/>
        </w:rPr>
        <w:t xml:space="preserve"> кількості суб’єктів управління об’єктами комунальної власності, що виконують функції з управління такими цінними паперами. Окремо за кожним таким суб’єктом укладається окремий договір про обслуговування рахунку </w:t>
      </w:r>
      <w:r w:rsidR="00C22309" w:rsidRPr="00E16672">
        <w:rPr>
          <w:rFonts w:ascii="Times New Roman" w:hAnsi="Times New Roman" w:cs="Times New Roman"/>
          <w:color w:val="000000"/>
        </w:rPr>
        <w:t>в цін</w:t>
      </w:r>
      <w:r w:rsidRPr="00E16672">
        <w:rPr>
          <w:rFonts w:ascii="Times New Roman" w:hAnsi="Times New Roman" w:cs="Times New Roman"/>
          <w:color w:val="000000"/>
        </w:rPr>
        <w:t>них паперах.</w:t>
      </w:r>
    </w:p>
    <w:p w14:paraId="092DC790" w14:textId="77777777" w:rsidR="007974E8" w:rsidRPr="00E16672" w:rsidRDefault="007974E8" w:rsidP="00022F5F">
      <w:pPr>
        <w:pStyle w:val="af"/>
        <w:jc w:val="left"/>
        <w:rPr>
          <w:rFonts w:ascii="Times New Roman" w:hAnsi="Times New Roman" w:cs="Times New Roman"/>
          <w:color w:val="000000"/>
        </w:rPr>
      </w:pPr>
      <w:r w:rsidRPr="00E16672">
        <w:rPr>
          <w:rFonts w:ascii="Times New Roman" w:hAnsi="Times New Roman" w:cs="Times New Roman"/>
          <w:color w:val="000000"/>
        </w:rPr>
        <w:t xml:space="preserve">1.3. Цінні папери (фінансовий актив) Депонента, права на які обліковуються Депозитарною установою відповідно до умов цього Договору, зберігаються Центральним депозитарієм цінних паперів відповідно до Закону України </w:t>
      </w:r>
      <w:r w:rsidR="00022F5F">
        <w:rPr>
          <w:rFonts w:ascii="Times New Roman" w:hAnsi="Times New Roman" w:cs="Times New Roman"/>
          <w:color w:val="000000"/>
        </w:rPr>
        <w:t>"</w:t>
      </w:r>
      <w:r w:rsidRPr="00E16672">
        <w:rPr>
          <w:rFonts w:ascii="Times New Roman" w:hAnsi="Times New Roman" w:cs="Times New Roman"/>
          <w:color w:val="000000"/>
        </w:rPr>
        <w:t>Про депозитарну систему України</w:t>
      </w:r>
      <w:r w:rsidR="00022F5F">
        <w:rPr>
          <w:rFonts w:ascii="Times New Roman" w:hAnsi="Times New Roman" w:cs="Times New Roman"/>
          <w:color w:val="000000"/>
        </w:rPr>
        <w:t>"</w:t>
      </w:r>
      <w:r w:rsidRPr="00E16672">
        <w:rPr>
          <w:rFonts w:ascii="Times New Roman" w:hAnsi="Times New Roman" w:cs="Times New Roman"/>
          <w:color w:val="000000"/>
        </w:rPr>
        <w:t>.</w:t>
      </w:r>
    </w:p>
    <w:p w14:paraId="3C4D9DCE" w14:textId="77777777" w:rsidR="007974E8" w:rsidRPr="00E16672" w:rsidRDefault="007974E8" w:rsidP="007974E8">
      <w:pPr>
        <w:pStyle w:val="22"/>
        <w:ind w:firstLine="567"/>
        <w:rPr>
          <w:rFonts w:ascii="Times New Roman" w:eastAsia="NSimSun" w:hAnsi="Times New Roman"/>
          <w:color w:val="000000"/>
        </w:rPr>
      </w:pPr>
      <w:r w:rsidRPr="00E16672">
        <w:rPr>
          <w:rFonts w:ascii="Times New Roman" w:eastAsia="NSimSun" w:hAnsi="Times New Roman"/>
          <w:color w:val="000000"/>
        </w:rPr>
        <w:t xml:space="preserve">1.4. Виконання Депозитарною установою додаткових послуг та операцій, що не протирічать чинному законодавству України, оформлюється додатковими угодами, які з моменту їх підписання стають невід’ємною частиною цього Договору. </w:t>
      </w:r>
    </w:p>
    <w:p w14:paraId="08ABAE0C" w14:textId="77777777" w:rsidR="007974E8" w:rsidRPr="00E16672" w:rsidRDefault="007974E8" w:rsidP="007974E8">
      <w:pPr>
        <w:pStyle w:val="af"/>
        <w:rPr>
          <w:rFonts w:ascii="Times New Roman" w:hAnsi="Times New Roman" w:cs="Times New Roman"/>
          <w:color w:val="000000"/>
        </w:rPr>
      </w:pPr>
    </w:p>
    <w:p w14:paraId="3D40BD67" w14:textId="77777777" w:rsidR="007974E8" w:rsidRPr="00E16672" w:rsidRDefault="007974E8" w:rsidP="007974E8">
      <w:pPr>
        <w:pStyle w:val="af"/>
        <w:jc w:val="center"/>
        <w:rPr>
          <w:rFonts w:ascii="Times New Roman" w:hAnsi="Times New Roman" w:cs="Times New Roman"/>
          <w:b/>
          <w:bCs/>
          <w:color w:val="000000"/>
        </w:rPr>
      </w:pPr>
      <w:r w:rsidRPr="00E16672">
        <w:rPr>
          <w:rFonts w:ascii="Times New Roman" w:hAnsi="Times New Roman" w:cs="Times New Roman"/>
          <w:b/>
          <w:bCs/>
          <w:color w:val="000000"/>
        </w:rPr>
        <w:t xml:space="preserve">2. Права та обов'язки Сторін </w:t>
      </w:r>
    </w:p>
    <w:p w14:paraId="77AEF759" w14:textId="77777777" w:rsidR="007974E8" w:rsidRPr="00E16672" w:rsidRDefault="007974E8" w:rsidP="007974E8">
      <w:pPr>
        <w:tabs>
          <w:tab w:val="left" w:pos="450"/>
        </w:tabs>
        <w:ind w:firstLine="561"/>
        <w:rPr>
          <w:rFonts w:ascii="Times New Roman" w:hAnsi="Times New Roman"/>
          <w:b/>
          <w:color w:val="000000"/>
          <w:szCs w:val="20"/>
        </w:rPr>
      </w:pPr>
      <w:r w:rsidRPr="00E16672">
        <w:rPr>
          <w:rFonts w:ascii="Times New Roman" w:hAnsi="Times New Roman"/>
          <w:b/>
          <w:color w:val="000000"/>
          <w:szCs w:val="20"/>
        </w:rPr>
        <w:t xml:space="preserve">2.1. </w:t>
      </w:r>
      <w:proofErr w:type="spellStart"/>
      <w:r w:rsidRPr="00E16672">
        <w:rPr>
          <w:rFonts w:ascii="Times New Roman" w:hAnsi="Times New Roman"/>
          <w:b/>
          <w:color w:val="000000"/>
          <w:szCs w:val="20"/>
        </w:rPr>
        <w:t>Депозитарна</w:t>
      </w:r>
      <w:proofErr w:type="spellEnd"/>
      <w:r w:rsidRPr="00E16672">
        <w:rPr>
          <w:rFonts w:ascii="Times New Roman" w:hAnsi="Times New Roman"/>
          <w:b/>
          <w:color w:val="000000"/>
          <w:szCs w:val="20"/>
        </w:rPr>
        <w:t xml:space="preserve"> </w:t>
      </w:r>
      <w:proofErr w:type="spellStart"/>
      <w:r w:rsidRPr="00E16672">
        <w:rPr>
          <w:rFonts w:ascii="Times New Roman" w:hAnsi="Times New Roman"/>
          <w:b/>
          <w:color w:val="000000"/>
          <w:szCs w:val="20"/>
        </w:rPr>
        <w:t>установа</w:t>
      </w:r>
      <w:proofErr w:type="spellEnd"/>
      <w:r w:rsidRPr="00E16672">
        <w:rPr>
          <w:rFonts w:ascii="Times New Roman" w:hAnsi="Times New Roman"/>
          <w:b/>
          <w:color w:val="000000"/>
          <w:szCs w:val="20"/>
        </w:rPr>
        <w:t xml:space="preserve"> </w:t>
      </w:r>
      <w:proofErr w:type="spellStart"/>
      <w:r w:rsidRPr="00E16672">
        <w:rPr>
          <w:rFonts w:ascii="Times New Roman" w:hAnsi="Times New Roman"/>
          <w:b/>
          <w:color w:val="000000"/>
          <w:szCs w:val="20"/>
        </w:rPr>
        <w:t>зобов’язана</w:t>
      </w:r>
      <w:proofErr w:type="spellEnd"/>
      <w:r w:rsidRPr="00E16672">
        <w:rPr>
          <w:rFonts w:ascii="Times New Roman" w:hAnsi="Times New Roman"/>
          <w:b/>
          <w:color w:val="000000"/>
          <w:szCs w:val="20"/>
        </w:rPr>
        <w:t>:</w:t>
      </w:r>
    </w:p>
    <w:p w14:paraId="0E5416DC" w14:textId="77777777" w:rsidR="007974E8" w:rsidRPr="00E16672" w:rsidRDefault="007974E8" w:rsidP="007974E8">
      <w:pPr>
        <w:pStyle w:val="af"/>
        <w:rPr>
          <w:rFonts w:ascii="Times New Roman" w:hAnsi="Times New Roman" w:cs="Times New Roman"/>
          <w:color w:val="000000"/>
        </w:rPr>
      </w:pPr>
      <w:r w:rsidRPr="00E16672">
        <w:rPr>
          <w:rFonts w:ascii="Times New Roman" w:hAnsi="Times New Roman" w:cs="Times New Roman"/>
          <w:color w:val="000000"/>
        </w:rPr>
        <w:t xml:space="preserve">2.1.1 Відкрити Депоненту рахунок </w:t>
      </w:r>
      <w:r w:rsidR="00C22309" w:rsidRPr="00E16672">
        <w:rPr>
          <w:rFonts w:ascii="Times New Roman" w:hAnsi="Times New Roman" w:cs="Times New Roman"/>
          <w:color w:val="000000"/>
        </w:rPr>
        <w:t>в цін</w:t>
      </w:r>
      <w:r w:rsidRPr="00E16672">
        <w:rPr>
          <w:rFonts w:ascii="Times New Roman" w:hAnsi="Times New Roman" w:cs="Times New Roman"/>
          <w:color w:val="000000"/>
        </w:rPr>
        <w:t xml:space="preserve">них паперах протягом п'яти робочих днів після подання Керуючим рахунком визначених законодавством документів для відкриття рахунку в цінних паперах. Якщо Депонент є платником податків, видаткові операції на рахунку </w:t>
      </w:r>
      <w:r w:rsidR="00C22309" w:rsidRPr="00E16672">
        <w:rPr>
          <w:rFonts w:ascii="Times New Roman" w:hAnsi="Times New Roman" w:cs="Times New Roman"/>
          <w:color w:val="000000"/>
        </w:rPr>
        <w:t>в цін</w:t>
      </w:r>
      <w:r w:rsidRPr="00E16672">
        <w:rPr>
          <w:rFonts w:ascii="Times New Roman" w:hAnsi="Times New Roman" w:cs="Times New Roman"/>
          <w:color w:val="000000"/>
        </w:rPr>
        <w:t>них паперах здійснюються після узяття рахунку на облік в органах державної податкової служби.</w:t>
      </w:r>
    </w:p>
    <w:p w14:paraId="4AFD9D69" w14:textId="77777777" w:rsidR="007974E8" w:rsidRPr="00E16672" w:rsidRDefault="007974E8" w:rsidP="007974E8">
      <w:pPr>
        <w:pStyle w:val="af"/>
        <w:rPr>
          <w:rFonts w:ascii="Times New Roman" w:eastAsia="Arial" w:hAnsi="Times New Roman" w:cs="Times New Roman"/>
          <w:color w:val="000000"/>
        </w:rPr>
      </w:pPr>
      <w:r w:rsidRPr="00E16672">
        <w:rPr>
          <w:rFonts w:ascii="Times New Roman" w:hAnsi="Times New Roman" w:cs="Times New Roman"/>
          <w:color w:val="000000"/>
        </w:rPr>
        <w:t xml:space="preserve">2.1.2. Ознайомити Керуючого рахунком з внутрішніми документами (витягами з внутрішніх документів, діючими тарифами, що є чинними на час підписання цього Договору) Депозитарної установи, які регламентують відносини Депонента та Депозитарної установи стосовно порядку виконання розпоряджень Керуючого рахунком, отримання виписок про стан рахунку </w:t>
      </w:r>
      <w:r w:rsidR="00C22309" w:rsidRPr="00E16672">
        <w:rPr>
          <w:rFonts w:ascii="Times New Roman" w:hAnsi="Times New Roman" w:cs="Times New Roman"/>
          <w:color w:val="000000"/>
        </w:rPr>
        <w:t>в цін</w:t>
      </w:r>
      <w:r w:rsidRPr="00E16672">
        <w:rPr>
          <w:rFonts w:ascii="Times New Roman" w:hAnsi="Times New Roman" w:cs="Times New Roman"/>
          <w:color w:val="000000"/>
        </w:rPr>
        <w:t xml:space="preserve">них паперах Депонента та про операції з цінними паперами, інформаційних довідок про незавершені операції з цінними паперами по рахунку в цінних паперах Депонента та інших інформаційних довідок, шляхом оприлюднення на веб-сторінці Депозитарної установи </w:t>
      </w:r>
      <w:r w:rsidR="00E16672">
        <w:rPr>
          <w:rFonts w:ascii="Times New Roman" w:eastAsia="Arial" w:hAnsi="Times New Roman" w:cs="Times New Roman"/>
          <w:color w:val="000000"/>
        </w:rPr>
        <w:t>http://comex.uafin.net</w:t>
      </w:r>
      <w:r w:rsidRPr="00E16672">
        <w:rPr>
          <w:rFonts w:ascii="Times New Roman" w:hAnsi="Times New Roman" w:cs="Times New Roman"/>
          <w:color w:val="000000"/>
        </w:rPr>
        <w:t xml:space="preserve">, та в подальшому ознайомлювати Керуючого рахунком зі змінами та доповненнями до цих документів (витягів з внутрішніх документів, діючих тарифів) шляхом розміщення протягом п'яти робочих днів після затвердження змін відповідної інформації та тексту внутрішніх документів (витягів з внутрішніх документів) на веб-сторінці Депозитарної установи </w:t>
      </w:r>
      <w:r w:rsidR="00E16672">
        <w:rPr>
          <w:rFonts w:ascii="Times New Roman" w:eastAsia="Arial" w:hAnsi="Times New Roman" w:cs="Times New Roman"/>
          <w:color w:val="000000"/>
        </w:rPr>
        <w:t>http://comex.uafin.net</w:t>
      </w:r>
      <w:r w:rsidRPr="00E16672">
        <w:rPr>
          <w:rFonts w:ascii="Times New Roman" w:eastAsia="Arial" w:hAnsi="Times New Roman" w:cs="Times New Roman"/>
          <w:color w:val="000000"/>
        </w:rPr>
        <w:t>.</w:t>
      </w:r>
    </w:p>
    <w:p w14:paraId="7E8C946A" w14:textId="77777777" w:rsidR="007974E8" w:rsidRPr="00E16672" w:rsidRDefault="007974E8" w:rsidP="007974E8">
      <w:pPr>
        <w:pStyle w:val="af"/>
        <w:rPr>
          <w:rFonts w:ascii="Times New Roman" w:hAnsi="Times New Roman" w:cs="Times New Roman"/>
          <w:color w:val="000000"/>
        </w:rPr>
      </w:pPr>
      <w:r w:rsidRPr="00E16672">
        <w:rPr>
          <w:rFonts w:ascii="Times New Roman" w:hAnsi="Times New Roman" w:cs="Times New Roman"/>
          <w:color w:val="000000"/>
        </w:rPr>
        <w:t xml:space="preserve">2.1.3. Здійснювати облік цінних паперів, що належать Депоненту, на рахунку </w:t>
      </w:r>
      <w:r w:rsidR="00C22309" w:rsidRPr="00E16672">
        <w:rPr>
          <w:rFonts w:ascii="Times New Roman" w:hAnsi="Times New Roman" w:cs="Times New Roman"/>
          <w:color w:val="000000"/>
        </w:rPr>
        <w:t>в цін</w:t>
      </w:r>
      <w:r w:rsidRPr="00E16672">
        <w:rPr>
          <w:rFonts w:ascii="Times New Roman" w:hAnsi="Times New Roman" w:cs="Times New Roman"/>
          <w:color w:val="000000"/>
        </w:rPr>
        <w:t>них паперах.</w:t>
      </w:r>
    </w:p>
    <w:p w14:paraId="7226AD73" w14:textId="77777777" w:rsidR="007974E8" w:rsidRPr="00E16672" w:rsidRDefault="007974E8" w:rsidP="00022F5F">
      <w:pPr>
        <w:pStyle w:val="af"/>
        <w:jc w:val="left"/>
        <w:rPr>
          <w:rFonts w:ascii="Times New Roman" w:hAnsi="Times New Roman" w:cs="Times New Roman"/>
          <w:color w:val="000000"/>
        </w:rPr>
      </w:pPr>
      <w:r w:rsidRPr="00E16672">
        <w:rPr>
          <w:rFonts w:ascii="Times New Roman" w:hAnsi="Times New Roman" w:cs="Times New Roman"/>
          <w:color w:val="000000"/>
        </w:rPr>
        <w:t xml:space="preserve">2.1.4. Здійснювати облік прав Депонента на цінні папери, що обліковуються на певному рахунку </w:t>
      </w:r>
      <w:r w:rsidR="00C22309" w:rsidRPr="00E16672">
        <w:rPr>
          <w:rFonts w:ascii="Times New Roman" w:hAnsi="Times New Roman" w:cs="Times New Roman"/>
          <w:color w:val="000000"/>
        </w:rPr>
        <w:t>в цін</w:t>
      </w:r>
      <w:r w:rsidRPr="00E16672">
        <w:rPr>
          <w:rFonts w:ascii="Times New Roman" w:hAnsi="Times New Roman" w:cs="Times New Roman"/>
          <w:color w:val="000000"/>
        </w:rPr>
        <w:t xml:space="preserve">них паперах, та обмеження таких прав, у тому числі відокремлений облік прав на цінні папери, які зарезервовані для здійснення розрахунків за правочинами щодо цінних паперів з дотриманням принципу </w:t>
      </w:r>
      <w:r w:rsidR="00022F5F">
        <w:rPr>
          <w:rFonts w:ascii="Times New Roman" w:hAnsi="Times New Roman" w:cs="Times New Roman"/>
          <w:color w:val="000000"/>
        </w:rPr>
        <w:t>"</w:t>
      </w:r>
      <w:r w:rsidRPr="00E16672">
        <w:rPr>
          <w:rFonts w:ascii="Times New Roman" w:hAnsi="Times New Roman" w:cs="Times New Roman"/>
          <w:color w:val="000000"/>
        </w:rPr>
        <w:t>поставка цінних паперів проти оплати</w:t>
      </w:r>
      <w:r w:rsidR="00022F5F">
        <w:rPr>
          <w:rFonts w:ascii="Times New Roman" w:hAnsi="Times New Roman" w:cs="Times New Roman"/>
          <w:color w:val="000000"/>
        </w:rPr>
        <w:t>"</w:t>
      </w:r>
      <w:r w:rsidRPr="00E16672">
        <w:rPr>
          <w:rFonts w:ascii="Times New Roman" w:hAnsi="Times New Roman" w:cs="Times New Roman"/>
          <w:color w:val="000000"/>
        </w:rPr>
        <w:t>.</w:t>
      </w:r>
    </w:p>
    <w:p w14:paraId="50D91A39" w14:textId="77777777" w:rsidR="007974E8" w:rsidRPr="00E16672" w:rsidRDefault="007974E8" w:rsidP="007974E8">
      <w:pPr>
        <w:pStyle w:val="af"/>
        <w:rPr>
          <w:rFonts w:ascii="Times New Roman" w:hAnsi="Times New Roman" w:cs="Times New Roman"/>
          <w:color w:val="000000"/>
        </w:rPr>
      </w:pPr>
      <w:r w:rsidRPr="00E16672">
        <w:rPr>
          <w:rFonts w:ascii="Times New Roman" w:hAnsi="Times New Roman" w:cs="Times New Roman"/>
          <w:color w:val="000000"/>
        </w:rPr>
        <w:t xml:space="preserve">2.1.5. Здійснювати обслуговування </w:t>
      </w:r>
      <w:proofErr w:type="spellStart"/>
      <w:r w:rsidRPr="00E16672">
        <w:rPr>
          <w:rFonts w:ascii="Times New Roman" w:hAnsi="Times New Roman" w:cs="Times New Roman"/>
          <w:color w:val="000000"/>
        </w:rPr>
        <w:t>обіг</w:t>
      </w:r>
      <w:r w:rsidR="00C22309" w:rsidRPr="00E16672">
        <w:rPr>
          <w:rFonts w:ascii="Times New Roman" w:hAnsi="Times New Roman" w:cs="Times New Roman"/>
          <w:color w:val="000000"/>
        </w:rPr>
        <w:t>в</w:t>
      </w:r>
      <w:proofErr w:type="spellEnd"/>
      <w:r w:rsidR="00C22309" w:rsidRPr="00E16672">
        <w:rPr>
          <w:rFonts w:ascii="Times New Roman" w:hAnsi="Times New Roman" w:cs="Times New Roman"/>
          <w:color w:val="000000"/>
        </w:rPr>
        <w:t xml:space="preserve"> цін</w:t>
      </w:r>
      <w:r w:rsidRPr="00E16672">
        <w:rPr>
          <w:rFonts w:ascii="Times New Roman" w:hAnsi="Times New Roman" w:cs="Times New Roman"/>
          <w:color w:val="000000"/>
        </w:rPr>
        <w:t xml:space="preserve">них паперів на рахунку </w:t>
      </w:r>
      <w:r w:rsidR="00C22309" w:rsidRPr="00E16672">
        <w:rPr>
          <w:rFonts w:ascii="Times New Roman" w:hAnsi="Times New Roman" w:cs="Times New Roman"/>
          <w:color w:val="000000"/>
        </w:rPr>
        <w:t>в цін</w:t>
      </w:r>
      <w:r w:rsidRPr="00E16672">
        <w:rPr>
          <w:rFonts w:ascii="Times New Roman" w:hAnsi="Times New Roman" w:cs="Times New Roman"/>
          <w:color w:val="000000"/>
        </w:rPr>
        <w:t xml:space="preserve">них паперах Депонента шляхом проведення депозитарних операцій за рахунком </w:t>
      </w:r>
      <w:r w:rsidR="00C22309" w:rsidRPr="00E16672">
        <w:rPr>
          <w:rFonts w:ascii="Times New Roman" w:hAnsi="Times New Roman" w:cs="Times New Roman"/>
          <w:color w:val="000000"/>
        </w:rPr>
        <w:t>в цін</w:t>
      </w:r>
      <w:r w:rsidRPr="00E16672">
        <w:rPr>
          <w:rFonts w:ascii="Times New Roman" w:hAnsi="Times New Roman" w:cs="Times New Roman"/>
          <w:color w:val="000000"/>
        </w:rPr>
        <w:t>них паперах у порядку та строки, визначені законодавством та/або внутрішніми документами Депозитарної установи.</w:t>
      </w:r>
    </w:p>
    <w:p w14:paraId="33CFE9E1" w14:textId="77777777" w:rsidR="007974E8" w:rsidRPr="00E16672" w:rsidRDefault="007974E8" w:rsidP="007974E8">
      <w:pPr>
        <w:pStyle w:val="af"/>
        <w:rPr>
          <w:rFonts w:ascii="Times New Roman" w:hAnsi="Times New Roman" w:cs="Times New Roman"/>
          <w:color w:val="000000"/>
        </w:rPr>
      </w:pPr>
      <w:r w:rsidRPr="00E16672">
        <w:rPr>
          <w:rFonts w:ascii="Times New Roman" w:hAnsi="Times New Roman" w:cs="Times New Roman"/>
          <w:color w:val="000000"/>
        </w:rPr>
        <w:lastRenderedPageBreak/>
        <w:t xml:space="preserve">2.1.6. </w:t>
      </w:r>
      <w:r w:rsidRPr="00E16672">
        <w:rPr>
          <w:rFonts w:ascii="Times New Roman" w:eastAsia="Arial" w:hAnsi="Times New Roman" w:cs="Times New Roman"/>
          <w:color w:val="000000"/>
        </w:rPr>
        <w:t xml:space="preserve">Складати та видавати виписку про стан рахунку в цінних паперах Депонента та виписку про операції з цінними паперами на вимогу Депонента </w:t>
      </w:r>
      <w:r w:rsidRPr="00E16672">
        <w:rPr>
          <w:rFonts w:ascii="Times New Roman" w:hAnsi="Times New Roman" w:cs="Times New Roman"/>
          <w:color w:val="000000"/>
        </w:rPr>
        <w:t>не пізніше наступного робочого дня з дати отримання відповідного розпорядження у спосіб, визначений у розпорядженні.</w:t>
      </w:r>
    </w:p>
    <w:p w14:paraId="4A4C292A" w14:textId="77777777" w:rsidR="007974E8" w:rsidRPr="00E16672" w:rsidRDefault="007974E8" w:rsidP="007974E8">
      <w:pPr>
        <w:pStyle w:val="af"/>
        <w:rPr>
          <w:rFonts w:ascii="Times New Roman" w:hAnsi="Times New Roman" w:cs="Times New Roman"/>
          <w:color w:val="000000"/>
        </w:rPr>
      </w:pPr>
      <w:r w:rsidRPr="00E16672">
        <w:rPr>
          <w:rFonts w:ascii="Times New Roman" w:hAnsi="Times New Roman" w:cs="Times New Roman"/>
          <w:color w:val="000000"/>
        </w:rPr>
        <w:t>Щокварталу без розпорядження Керуючого рахунком готувати та надавати Керуючому рахунком в межах його повноважень виписку про стан рахунку в цінних паперах депонента без стягнення плати за підготовку і надання такої виписки.</w:t>
      </w:r>
    </w:p>
    <w:p w14:paraId="66D41496" w14:textId="77777777" w:rsidR="007974E8" w:rsidRPr="00E16672" w:rsidRDefault="007974E8" w:rsidP="007974E8">
      <w:pPr>
        <w:pStyle w:val="af"/>
        <w:rPr>
          <w:rFonts w:ascii="Times New Roman" w:hAnsi="Times New Roman" w:cs="Times New Roman"/>
          <w:color w:val="000000"/>
        </w:rPr>
      </w:pPr>
      <w:r w:rsidRPr="00E16672">
        <w:rPr>
          <w:rFonts w:ascii="Times New Roman" w:hAnsi="Times New Roman" w:cs="Times New Roman"/>
          <w:color w:val="000000"/>
        </w:rPr>
        <w:t xml:space="preserve">Виписка з рахунку </w:t>
      </w:r>
      <w:r w:rsidR="00C22309" w:rsidRPr="00E16672">
        <w:rPr>
          <w:rFonts w:ascii="Times New Roman" w:hAnsi="Times New Roman" w:cs="Times New Roman"/>
          <w:color w:val="000000"/>
        </w:rPr>
        <w:t>в цін</w:t>
      </w:r>
      <w:r w:rsidRPr="00E16672">
        <w:rPr>
          <w:rFonts w:ascii="Times New Roman" w:hAnsi="Times New Roman" w:cs="Times New Roman"/>
          <w:color w:val="000000"/>
        </w:rPr>
        <w:t xml:space="preserve">них паперах може надаватися Керуючому рахунком у вигляді електронного документу з використанням </w:t>
      </w:r>
      <w:r w:rsidR="00AE695D" w:rsidRPr="00E16672">
        <w:rPr>
          <w:rFonts w:ascii="Times New Roman" w:hAnsi="Times New Roman" w:cs="Times New Roman"/>
          <w:color w:val="000000"/>
        </w:rPr>
        <w:t>кваліфікованого електронного підпису</w:t>
      </w:r>
      <w:r w:rsidRPr="00E16672">
        <w:rPr>
          <w:rFonts w:ascii="Times New Roman" w:hAnsi="Times New Roman" w:cs="Times New Roman"/>
          <w:color w:val="000000"/>
        </w:rPr>
        <w:t xml:space="preserve"> та </w:t>
      </w:r>
      <w:r w:rsidR="00AE695D" w:rsidRPr="00E16672">
        <w:rPr>
          <w:rFonts w:ascii="Times New Roman" w:hAnsi="Times New Roman" w:cs="Times New Roman"/>
          <w:color w:val="000000"/>
        </w:rPr>
        <w:t>кваліфікованим електронним підписом</w:t>
      </w:r>
      <w:r w:rsidRPr="00E16672">
        <w:rPr>
          <w:rFonts w:ascii="Times New Roman" w:hAnsi="Times New Roman" w:cs="Times New Roman"/>
          <w:color w:val="000000"/>
        </w:rPr>
        <w:t>, що за правовим статусом прирівнюється до печатки юридичної особи (крім керуючих рахунком).</w:t>
      </w:r>
    </w:p>
    <w:p w14:paraId="7126A0A5" w14:textId="77777777" w:rsidR="007974E8" w:rsidRPr="00E16672" w:rsidRDefault="007974E8" w:rsidP="007974E8">
      <w:pPr>
        <w:pStyle w:val="af"/>
        <w:rPr>
          <w:rFonts w:ascii="Times New Roman" w:hAnsi="Times New Roman" w:cs="Times New Roman"/>
          <w:color w:val="000000"/>
        </w:rPr>
      </w:pPr>
      <w:r w:rsidRPr="00E16672">
        <w:rPr>
          <w:rFonts w:ascii="Times New Roman" w:eastAsia="Arial" w:hAnsi="Times New Roman" w:cs="Times New Roman"/>
          <w:color w:val="000000"/>
          <w:spacing w:val="-9"/>
        </w:rPr>
        <w:t xml:space="preserve">У якості звіту </w:t>
      </w:r>
      <w:r w:rsidRPr="00E16672">
        <w:rPr>
          <w:rFonts w:ascii="Times New Roman" w:hAnsi="Times New Roman" w:cs="Times New Roman"/>
          <w:color w:val="000000"/>
        </w:rPr>
        <w:t xml:space="preserve">надавати </w:t>
      </w:r>
      <w:r w:rsidRPr="00E16672">
        <w:rPr>
          <w:rFonts w:ascii="Times New Roman" w:eastAsia="Arial" w:hAnsi="Times New Roman" w:cs="Times New Roman"/>
          <w:color w:val="000000"/>
          <w:spacing w:val="-9"/>
        </w:rPr>
        <w:t xml:space="preserve">Виписку з рахунка в цінних паперах або Виписку про операції з цінними паперами </w:t>
      </w:r>
      <w:r w:rsidRPr="00E16672">
        <w:rPr>
          <w:rFonts w:ascii="Times New Roman" w:hAnsi="Times New Roman" w:cs="Times New Roman"/>
          <w:color w:val="000000"/>
        </w:rPr>
        <w:t xml:space="preserve">після здійснення хоча б однієї облікової операції не пізніше </w:t>
      </w:r>
      <w:r w:rsidRPr="00E16672">
        <w:rPr>
          <w:rFonts w:ascii="Times New Roman" w:hAnsi="Times New Roman" w:cs="Times New Roman"/>
          <w:i/>
          <w:color w:val="000000"/>
        </w:rPr>
        <w:t>трьох</w:t>
      </w:r>
      <w:r w:rsidRPr="00E16672">
        <w:rPr>
          <w:rFonts w:ascii="Times New Roman" w:hAnsi="Times New Roman" w:cs="Times New Roman"/>
          <w:color w:val="000000"/>
        </w:rPr>
        <w:t xml:space="preserve"> робочих днів</w:t>
      </w:r>
      <w:r w:rsidRPr="00E16672">
        <w:rPr>
          <w:rFonts w:ascii="Times New Roman" w:eastAsia="Arial" w:hAnsi="Times New Roman" w:cs="Times New Roman"/>
          <w:i/>
          <w:color w:val="000000"/>
          <w:spacing w:val="-9"/>
        </w:rPr>
        <w:t xml:space="preserve"> </w:t>
      </w:r>
      <w:r w:rsidRPr="00E16672">
        <w:rPr>
          <w:rFonts w:ascii="Times New Roman" w:eastAsia="Arial" w:hAnsi="Times New Roman" w:cs="Times New Roman"/>
          <w:color w:val="000000"/>
          <w:spacing w:val="-9"/>
        </w:rPr>
        <w:t>з дня здійснення такої операції.</w:t>
      </w:r>
    </w:p>
    <w:p w14:paraId="71EDD831" w14:textId="77777777" w:rsidR="007974E8" w:rsidRPr="00E16672" w:rsidRDefault="007974E8" w:rsidP="007974E8">
      <w:pPr>
        <w:pStyle w:val="af"/>
        <w:rPr>
          <w:rFonts w:ascii="Times New Roman" w:hAnsi="Times New Roman" w:cs="Times New Roman"/>
          <w:color w:val="000000"/>
        </w:rPr>
      </w:pPr>
      <w:r w:rsidRPr="00E16672">
        <w:rPr>
          <w:rFonts w:ascii="Times New Roman" w:hAnsi="Times New Roman" w:cs="Times New Roman"/>
          <w:color w:val="000000"/>
        </w:rPr>
        <w:t xml:space="preserve">2.1.7. Надавати Керуючому рахунком  інформаційні довідки (про незавершені операції з цінними паперами за рахунком в цінних паперах Депонента на запит Керуючого рахунком не пізніше </w:t>
      </w:r>
      <w:r w:rsidRPr="00E16672">
        <w:rPr>
          <w:rFonts w:ascii="Times New Roman" w:hAnsi="Times New Roman" w:cs="Times New Roman"/>
          <w:i/>
          <w:color w:val="000000"/>
        </w:rPr>
        <w:t>трьох</w:t>
      </w:r>
      <w:r w:rsidRPr="00E16672">
        <w:rPr>
          <w:rFonts w:ascii="Times New Roman" w:hAnsi="Times New Roman" w:cs="Times New Roman"/>
          <w:color w:val="000000"/>
        </w:rPr>
        <w:t xml:space="preserve"> робочих днів з дня отримання такого запиту. Інформаційна довідка надається Керуючому рахунком у спосіб, визначений у запиті про надання відповідної інформаційної довідки. </w:t>
      </w:r>
    </w:p>
    <w:p w14:paraId="4C8BD28D" w14:textId="77777777" w:rsidR="007974E8" w:rsidRPr="00E16672" w:rsidRDefault="007974E8" w:rsidP="007974E8">
      <w:pPr>
        <w:pStyle w:val="af"/>
        <w:rPr>
          <w:rFonts w:ascii="Times New Roman" w:hAnsi="Times New Roman" w:cs="Times New Roman"/>
          <w:color w:val="000000"/>
        </w:rPr>
      </w:pPr>
      <w:r w:rsidRPr="00E16672">
        <w:rPr>
          <w:rFonts w:ascii="Times New Roman" w:hAnsi="Times New Roman" w:cs="Times New Roman"/>
          <w:color w:val="000000"/>
        </w:rPr>
        <w:t xml:space="preserve">2.1.8. Повідомляти Керуючого рахунком про проведення коригувальної операції у разі виявлення технічної помилки, допущеної при виконанні депозитарної операції, протягом </w:t>
      </w:r>
      <w:r w:rsidRPr="00E16672">
        <w:rPr>
          <w:rFonts w:ascii="Times New Roman" w:hAnsi="Times New Roman" w:cs="Times New Roman"/>
          <w:i/>
          <w:color w:val="000000"/>
        </w:rPr>
        <w:t>трьох</w:t>
      </w:r>
      <w:r w:rsidRPr="00E16672">
        <w:rPr>
          <w:rFonts w:ascii="Times New Roman" w:hAnsi="Times New Roman" w:cs="Times New Roman"/>
          <w:color w:val="000000"/>
        </w:rPr>
        <w:t xml:space="preserve"> робочих днів з дня проведення коригувальної операції  шляхом направлення листа із відповідним повідомленням на адресу Керуючого рахунком, визначену в анкеті рахунку в цінних паперах Керуючого рахунком.</w:t>
      </w:r>
    </w:p>
    <w:p w14:paraId="2B1943B7" w14:textId="77777777" w:rsidR="007974E8" w:rsidRPr="00E16672" w:rsidRDefault="007974E8" w:rsidP="007974E8">
      <w:pPr>
        <w:pStyle w:val="af"/>
        <w:rPr>
          <w:rFonts w:ascii="Times New Roman" w:hAnsi="Times New Roman" w:cs="Times New Roman"/>
          <w:color w:val="000000"/>
        </w:rPr>
      </w:pPr>
      <w:r w:rsidRPr="00E16672">
        <w:rPr>
          <w:rFonts w:ascii="Times New Roman" w:hAnsi="Times New Roman" w:cs="Times New Roman"/>
          <w:color w:val="000000"/>
        </w:rPr>
        <w:t>2.1.9. Не виконувати дії та не надавати інформацію щодо цінних паперів, що належать Депоненту, або інформацію щодо Депонента без відповідних розпоряджень Керуючого рахунком, крім випадків, передбачених законодавством та Договором.</w:t>
      </w:r>
    </w:p>
    <w:p w14:paraId="03478AD1" w14:textId="77777777" w:rsidR="007974E8" w:rsidRPr="00E16672" w:rsidRDefault="007974E8" w:rsidP="00022F5F">
      <w:pPr>
        <w:pStyle w:val="af"/>
        <w:jc w:val="left"/>
        <w:rPr>
          <w:rFonts w:ascii="Times New Roman" w:hAnsi="Times New Roman" w:cs="Times New Roman"/>
          <w:color w:val="000000"/>
        </w:rPr>
      </w:pPr>
      <w:r w:rsidRPr="00E16672">
        <w:rPr>
          <w:rFonts w:ascii="Times New Roman" w:hAnsi="Times New Roman" w:cs="Times New Roman"/>
          <w:color w:val="000000"/>
        </w:rPr>
        <w:t xml:space="preserve">2.1.10. Надавати </w:t>
      </w:r>
      <w:r w:rsidR="00A72D18" w:rsidRPr="00E16672">
        <w:rPr>
          <w:rFonts w:ascii="Times New Roman" w:hAnsi="Times New Roman" w:cs="Times New Roman"/>
        </w:rPr>
        <w:t xml:space="preserve">Центральному депозитарію цінних паперів (далі – Центральний депозитарій) </w:t>
      </w:r>
      <w:r w:rsidRPr="00E16672">
        <w:rPr>
          <w:rFonts w:ascii="Times New Roman" w:hAnsi="Times New Roman" w:cs="Times New Roman"/>
          <w:color w:val="000000"/>
        </w:rPr>
        <w:t xml:space="preserve">інформацію щодо Депонента, </w:t>
      </w:r>
      <w:r w:rsidRPr="00E16672">
        <w:rPr>
          <w:rFonts w:ascii="Times New Roman" w:hAnsi="Times New Roman" w:cs="Times New Roman"/>
          <w:bCs/>
          <w:color w:val="000000"/>
        </w:rPr>
        <w:t xml:space="preserve">торговця цінними паперами, якому Депонентом надані повноваження на вчинення правочинів щодо цінних паперів в інтересах Депонента </w:t>
      </w:r>
      <w:r w:rsidRPr="00E16672">
        <w:rPr>
          <w:rFonts w:ascii="Times New Roman" w:hAnsi="Times New Roman" w:cs="Times New Roman"/>
          <w:color w:val="000000"/>
        </w:rPr>
        <w:t xml:space="preserve">та цінних паперів, що належать Депоненту, яка необхідна для здійснення розрахунків за правочинами щодо цінних паперів з дотриманням принципу </w:t>
      </w:r>
      <w:r w:rsidR="00022F5F">
        <w:rPr>
          <w:rFonts w:ascii="Times New Roman" w:hAnsi="Times New Roman" w:cs="Times New Roman"/>
          <w:color w:val="000000"/>
        </w:rPr>
        <w:t>"</w:t>
      </w:r>
      <w:r w:rsidRPr="00E16672">
        <w:rPr>
          <w:rFonts w:ascii="Times New Roman" w:hAnsi="Times New Roman" w:cs="Times New Roman"/>
          <w:color w:val="000000"/>
        </w:rPr>
        <w:t>поставка цінних паперів проти оплати</w:t>
      </w:r>
      <w:r w:rsidR="00022F5F">
        <w:rPr>
          <w:rFonts w:ascii="Times New Roman" w:hAnsi="Times New Roman" w:cs="Times New Roman"/>
          <w:color w:val="000000"/>
        </w:rPr>
        <w:t>"</w:t>
      </w:r>
      <w:r w:rsidRPr="00E16672">
        <w:rPr>
          <w:rFonts w:ascii="Times New Roman" w:hAnsi="Times New Roman" w:cs="Times New Roman"/>
          <w:color w:val="000000"/>
        </w:rPr>
        <w:t>, з метою подальшого надання такої інформації Розрахунковому центру з обслуговування договорів на фінансових ринках (далі – Розрахунковий центр) чи кліринговій установі для її відображення у внутрішній системі обліку такої особи.</w:t>
      </w:r>
    </w:p>
    <w:p w14:paraId="6AA52467" w14:textId="77777777" w:rsidR="007974E8" w:rsidRPr="00E16672" w:rsidRDefault="007974E8" w:rsidP="007974E8">
      <w:pPr>
        <w:pStyle w:val="af"/>
        <w:rPr>
          <w:rFonts w:ascii="Times New Roman" w:hAnsi="Times New Roman" w:cs="Times New Roman"/>
          <w:color w:val="000000"/>
        </w:rPr>
      </w:pPr>
      <w:r w:rsidRPr="00E16672">
        <w:rPr>
          <w:rFonts w:ascii="Times New Roman" w:hAnsi="Times New Roman" w:cs="Times New Roman"/>
          <w:color w:val="000000"/>
        </w:rPr>
        <w:t xml:space="preserve">2.1.11. Виконувати за рахунком </w:t>
      </w:r>
      <w:r w:rsidR="00C22309" w:rsidRPr="00E16672">
        <w:rPr>
          <w:rFonts w:ascii="Times New Roman" w:hAnsi="Times New Roman" w:cs="Times New Roman"/>
          <w:color w:val="000000"/>
        </w:rPr>
        <w:t>в цін</w:t>
      </w:r>
      <w:r w:rsidRPr="00E16672">
        <w:rPr>
          <w:rFonts w:ascii="Times New Roman" w:hAnsi="Times New Roman" w:cs="Times New Roman"/>
          <w:color w:val="000000"/>
        </w:rPr>
        <w:t xml:space="preserve">них паперах Депонента, що був узятий на облік Розрахунковим центром чи кліринговою установою, адміністративні операції, які визначені Регламентом Центрального депозитарію як такі, що можуть призвести до неможливості здійснення розрахунків </w:t>
      </w:r>
      <w:r w:rsidR="00C22309" w:rsidRPr="00E16672">
        <w:rPr>
          <w:rFonts w:ascii="Times New Roman" w:hAnsi="Times New Roman" w:cs="Times New Roman"/>
          <w:color w:val="000000"/>
        </w:rPr>
        <w:t>в цін</w:t>
      </w:r>
      <w:r w:rsidRPr="00E16672">
        <w:rPr>
          <w:rFonts w:ascii="Times New Roman" w:hAnsi="Times New Roman" w:cs="Times New Roman"/>
          <w:color w:val="000000"/>
        </w:rPr>
        <w:t>них паперах за результатами правочинів, тільки після отримання від Центрального депозитарію інформації про внесення до внутрішньої системи обліку Розрахункового центру чи клірингової установи відповідних змін щодо такого Депонента.</w:t>
      </w:r>
    </w:p>
    <w:p w14:paraId="5C727144" w14:textId="77777777" w:rsidR="007974E8" w:rsidRPr="00E16672" w:rsidRDefault="007974E8" w:rsidP="007974E8">
      <w:pPr>
        <w:pStyle w:val="af"/>
        <w:rPr>
          <w:rFonts w:ascii="Times New Roman" w:hAnsi="Times New Roman" w:cs="Times New Roman"/>
          <w:color w:val="000000"/>
        </w:rPr>
      </w:pPr>
      <w:r w:rsidRPr="00E16672">
        <w:rPr>
          <w:rFonts w:ascii="Times New Roman" w:hAnsi="Times New Roman" w:cs="Times New Roman"/>
          <w:color w:val="000000"/>
        </w:rPr>
        <w:t>2.1.1</w:t>
      </w:r>
      <w:r w:rsidR="000B00C3" w:rsidRPr="00E16672">
        <w:rPr>
          <w:rFonts w:ascii="Times New Roman" w:hAnsi="Times New Roman" w:cs="Times New Roman"/>
          <w:color w:val="000000"/>
        </w:rPr>
        <w:t>2</w:t>
      </w:r>
      <w:r w:rsidRPr="00E16672">
        <w:rPr>
          <w:rFonts w:ascii="Times New Roman" w:hAnsi="Times New Roman" w:cs="Times New Roman"/>
          <w:color w:val="000000"/>
        </w:rPr>
        <w:t xml:space="preserve">. Не здійснювати депозитарних операцій за рахунком </w:t>
      </w:r>
      <w:r w:rsidR="00C22309" w:rsidRPr="00E16672">
        <w:rPr>
          <w:rFonts w:ascii="Times New Roman" w:hAnsi="Times New Roman" w:cs="Times New Roman"/>
          <w:color w:val="000000"/>
        </w:rPr>
        <w:t>в цін</w:t>
      </w:r>
      <w:r w:rsidRPr="00E16672">
        <w:rPr>
          <w:rFonts w:ascii="Times New Roman" w:hAnsi="Times New Roman" w:cs="Times New Roman"/>
          <w:color w:val="000000"/>
        </w:rPr>
        <w:t>них паперах у випадку виявлення порушень вимог подання, заповнення розпорядження та захисту інформації, яка потрібна для здійснення цих операцій Депозитарною установою, або якщо виконання цього розпорядження буде суперечити законодавству України, або законодавству країн, в яких укладені угоди, на підставі яких здійснюється розпорядження.</w:t>
      </w:r>
    </w:p>
    <w:p w14:paraId="2D70131F" w14:textId="77777777" w:rsidR="007974E8" w:rsidRPr="00E16672" w:rsidRDefault="007974E8" w:rsidP="007974E8">
      <w:pPr>
        <w:pStyle w:val="af"/>
        <w:rPr>
          <w:rFonts w:ascii="Times New Roman" w:hAnsi="Times New Roman" w:cs="Times New Roman"/>
          <w:color w:val="000000"/>
        </w:rPr>
      </w:pPr>
      <w:r w:rsidRPr="00E16672">
        <w:rPr>
          <w:rFonts w:ascii="Times New Roman" w:hAnsi="Times New Roman" w:cs="Times New Roman"/>
          <w:color w:val="000000"/>
        </w:rPr>
        <w:t>2.1.1</w:t>
      </w:r>
      <w:r w:rsidR="000B00C3" w:rsidRPr="00E16672">
        <w:rPr>
          <w:rFonts w:ascii="Times New Roman" w:hAnsi="Times New Roman" w:cs="Times New Roman"/>
          <w:color w:val="000000"/>
        </w:rPr>
        <w:t>3</w:t>
      </w:r>
      <w:r w:rsidRPr="00E16672">
        <w:rPr>
          <w:rFonts w:ascii="Times New Roman" w:hAnsi="Times New Roman" w:cs="Times New Roman"/>
          <w:color w:val="000000"/>
        </w:rPr>
        <w:t xml:space="preserve">. Забезпечувати збереження та конфіденційність інформації, що міститься у системі депозитарного обліку, стосовно цінних паперів на рахунку </w:t>
      </w:r>
      <w:r w:rsidR="00C22309" w:rsidRPr="00E16672">
        <w:rPr>
          <w:rFonts w:ascii="Times New Roman" w:hAnsi="Times New Roman" w:cs="Times New Roman"/>
          <w:color w:val="000000"/>
        </w:rPr>
        <w:t>в цін</w:t>
      </w:r>
      <w:r w:rsidRPr="00E16672">
        <w:rPr>
          <w:rFonts w:ascii="Times New Roman" w:hAnsi="Times New Roman" w:cs="Times New Roman"/>
          <w:color w:val="000000"/>
        </w:rPr>
        <w:t>них паперах Депонента, а також будь-якої іншої інформації, що може завдати шкоду Депоненту. Обов’язки щодо зберігання конфіденційності інформації не виникають у випадках, якщо розголошування подібної інформації мало місце внаслідок дій судових або інших уповноважених чинним законодавством органів або в інших випадках відповідно до вимог чинного законодавства..</w:t>
      </w:r>
    </w:p>
    <w:p w14:paraId="3F9A68CC" w14:textId="77777777" w:rsidR="007974E8" w:rsidRPr="00E16672" w:rsidRDefault="007974E8" w:rsidP="007974E8">
      <w:pPr>
        <w:pStyle w:val="af"/>
        <w:rPr>
          <w:rFonts w:ascii="Times New Roman" w:hAnsi="Times New Roman" w:cs="Times New Roman"/>
          <w:color w:val="000000"/>
        </w:rPr>
      </w:pPr>
      <w:r w:rsidRPr="00E16672">
        <w:rPr>
          <w:rFonts w:ascii="Times New Roman" w:hAnsi="Times New Roman" w:cs="Times New Roman"/>
          <w:color w:val="000000"/>
        </w:rPr>
        <w:t>2.1.1</w:t>
      </w:r>
      <w:r w:rsidR="000B00C3" w:rsidRPr="00E16672">
        <w:rPr>
          <w:rFonts w:ascii="Times New Roman" w:hAnsi="Times New Roman" w:cs="Times New Roman"/>
          <w:color w:val="000000"/>
          <w:lang w:val="ru-RU"/>
        </w:rPr>
        <w:t>4</w:t>
      </w:r>
      <w:r w:rsidRPr="00E16672">
        <w:rPr>
          <w:rFonts w:ascii="Times New Roman" w:hAnsi="Times New Roman" w:cs="Times New Roman"/>
          <w:color w:val="000000"/>
        </w:rPr>
        <w:t>. Дотримуватися встановлених вимог захисту інформації від несанкціонованого доступу в електронних системах обміну даними.</w:t>
      </w:r>
    </w:p>
    <w:p w14:paraId="21B34077" w14:textId="77777777" w:rsidR="007974E8" w:rsidRPr="00E16672" w:rsidRDefault="007974E8" w:rsidP="007974E8">
      <w:pPr>
        <w:pStyle w:val="af"/>
        <w:rPr>
          <w:rFonts w:ascii="Times New Roman" w:hAnsi="Times New Roman" w:cs="Times New Roman"/>
          <w:color w:val="000000"/>
        </w:rPr>
      </w:pPr>
      <w:r w:rsidRPr="00E16672">
        <w:rPr>
          <w:rFonts w:ascii="Times New Roman" w:hAnsi="Times New Roman" w:cs="Times New Roman"/>
          <w:color w:val="000000"/>
        </w:rPr>
        <w:t>2.1.1</w:t>
      </w:r>
      <w:r w:rsidR="000B00C3" w:rsidRPr="00E16672">
        <w:rPr>
          <w:rFonts w:ascii="Times New Roman" w:hAnsi="Times New Roman" w:cs="Times New Roman"/>
          <w:color w:val="000000"/>
        </w:rPr>
        <w:t>5</w:t>
      </w:r>
      <w:r w:rsidRPr="00E16672">
        <w:rPr>
          <w:rFonts w:ascii="Times New Roman" w:hAnsi="Times New Roman" w:cs="Times New Roman"/>
          <w:color w:val="000000"/>
        </w:rPr>
        <w:t xml:space="preserve">. Протягом </w:t>
      </w:r>
      <w:r w:rsidRPr="00E16672">
        <w:rPr>
          <w:rFonts w:ascii="Times New Roman" w:hAnsi="Times New Roman" w:cs="Times New Roman"/>
          <w:i/>
          <w:color w:val="000000"/>
        </w:rPr>
        <w:t xml:space="preserve">трьох </w:t>
      </w:r>
      <w:r w:rsidRPr="00E16672">
        <w:rPr>
          <w:rFonts w:ascii="Times New Roman" w:hAnsi="Times New Roman" w:cs="Times New Roman"/>
          <w:color w:val="000000"/>
        </w:rPr>
        <w:t xml:space="preserve">робочих днів з дати початку Депозитарною установою процедури припинення нею провадження професійної діяльності на фондовому ринку - депозитарної діяльності депозитарної установи відповідно до вимог нормативно-правового </w:t>
      </w:r>
      <w:proofErr w:type="spellStart"/>
      <w:r w:rsidRPr="00E16672">
        <w:rPr>
          <w:rFonts w:ascii="Times New Roman" w:hAnsi="Times New Roman" w:cs="Times New Roman"/>
          <w:color w:val="000000"/>
        </w:rPr>
        <w:t>акта</w:t>
      </w:r>
      <w:proofErr w:type="spellEnd"/>
      <w:r w:rsidRPr="00E16672">
        <w:rPr>
          <w:rFonts w:ascii="Times New Roman" w:hAnsi="Times New Roman" w:cs="Times New Roman"/>
          <w:color w:val="000000"/>
        </w:rPr>
        <w:t xml:space="preserve"> щодо припинення депозитарної діяльності депозитарної установи, повідомити Керуючого рахунком рекомендованим листом щодо необхідності закриття рахунка в цінних паперах протягом </w:t>
      </w:r>
      <w:r w:rsidR="003D69AC" w:rsidRPr="00E16672">
        <w:rPr>
          <w:rFonts w:ascii="Times New Roman" w:hAnsi="Times New Roman" w:cs="Times New Roman"/>
          <w:color w:val="000000"/>
        </w:rPr>
        <w:t>шістдесяти</w:t>
      </w:r>
      <w:r w:rsidRPr="00E16672">
        <w:rPr>
          <w:rFonts w:ascii="Times New Roman" w:hAnsi="Times New Roman" w:cs="Times New Roman"/>
          <w:color w:val="000000"/>
        </w:rPr>
        <w:t xml:space="preserve"> календарних днів з дати початку цієї процедури.</w:t>
      </w:r>
    </w:p>
    <w:p w14:paraId="74BCCD59" w14:textId="77777777" w:rsidR="007974E8" w:rsidRPr="00E16672" w:rsidRDefault="007974E8" w:rsidP="007974E8">
      <w:pPr>
        <w:pStyle w:val="af"/>
        <w:rPr>
          <w:rFonts w:ascii="Times New Roman" w:hAnsi="Times New Roman" w:cs="Times New Roman"/>
          <w:color w:val="000000"/>
        </w:rPr>
      </w:pPr>
      <w:r w:rsidRPr="00E16672">
        <w:rPr>
          <w:rFonts w:ascii="Times New Roman" w:hAnsi="Times New Roman" w:cs="Times New Roman"/>
          <w:color w:val="000000"/>
        </w:rPr>
        <w:t>2.1.1</w:t>
      </w:r>
      <w:r w:rsidR="000B00C3" w:rsidRPr="00E16672">
        <w:rPr>
          <w:rFonts w:ascii="Times New Roman" w:hAnsi="Times New Roman" w:cs="Times New Roman"/>
          <w:color w:val="000000"/>
          <w:lang w:val="ru-RU"/>
        </w:rPr>
        <w:t>6</w:t>
      </w:r>
      <w:r w:rsidRPr="00E16672">
        <w:rPr>
          <w:rFonts w:ascii="Times New Roman" w:hAnsi="Times New Roman" w:cs="Times New Roman"/>
          <w:color w:val="000000"/>
        </w:rPr>
        <w:t xml:space="preserve">. Закрити рахунок </w:t>
      </w:r>
      <w:r w:rsidR="00C22309" w:rsidRPr="00E16672">
        <w:rPr>
          <w:rFonts w:ascii="Times New Roman" w:hAnsi="Times New Roman" w:cs="Times New Roman"/>
          <w:color w:val="000000"/>
        </w:rPr>
        <w:t>в цін</w:t>
      </w:r>
      <w:r w:rsidRPr="00E16672">
        <w:rPr>
          <w:rFonts w:ascii="Times New Roman" w:hAnsi="Times New Roman" w:cs="Times New Roman"/>
          <w:color w:val="000000"/>
        </w:rPr>
        <w:t xml:space="preserve">них паперах Депонента у порядку, передбаченому цим Договором та законодавством, внутрішніми документами Депозитарної установи. </w:t>
      </w:r>
    </w:p>
    <w:p w14:paraId="0A1ED169" w14:textId="77777777" w:rsidR="007974E8" w:rsidRPr="00E16672" w:rsidRDefault="007974E8" w:rsidP="00022F5F">
      <w:pPr>
        <w:pStyle w:val="western"/>
        <w:spacing w:before="0" w:after="0"/>
        <w:ind w:firstLine="539"/>
        <w:jc w:val="left"/>
        <w:rPr>
          <w:rFonts w:ascii="Times New Roman" w:hAnsi="Times New Roman"/>
          <w:b w:val="0"/>
          <w:bCs w:val="0"/>
          <w:color w:val="0070C0"/>
          <w:szCs w:val="20"/>
        </w:rPr>
      </w:pPr>
      <w:r w:rsidRPr="00E16672">
        <w:rPr>
          <w:rFonts w:ascii="Times New Roman" w:hAnsi="Times New Roman"/>
          <w:b w:val="0"/>
          <w:bCs w:val="0"/>
          <w:szCs w:val="20"/>
        </w:rPr>
        <w:t>2.1.1</w:t>
      </w:r>
      <w:r w:rsidR="000B00C3" w:rsidRPr="00E16672">
        <w:rPr>
          <w:rFonts w:ascii="Times New Roman" w:hAnsi="Times New Roman"/>
          <w:b w:val="0"/>
          <w:bCs w:val="0"/>
          <w:szCs w:val="20"/>
        </w:rPr>
        <w:t>7</w:t>
      </w:r>
      <w:r w:rsidRPr="00E16672">
        <w:rPr>
          <w:rFonts w:ascii="Times New Roman" w:hAnsi="Times New Roman"/>
          <w:b w:val="0"/>
          <w:bCs w:val="0"/>
          <w:szCs w:val="20"/>
        </w:rPr>
        <w:t xml:space="preserve">. </w:t>
      </w:r>
      <w:proofErr w:type="spellStart"/>
      <w:r w:rsidRPr="00E16672">
        <w:rPr>
          <w:rFonts w:ascii="Times New Roman" w:hAnsi="Times New Roman"/>
          <w:b w:val="0"/>
          <w:bCs w:val="0"/>
          <w:szCs w:val="20"/>
        </w:rPr>
        <w:t>Направляти</w:t>
      </w:r>
      <w:proofErr w:type="spellEnd"/>
      <w:r w:rsidRPr="00E16672">
        <w:rPr>
          <w:rFonts w:ascii="Times New Roman" w:hAnsi="Times New Roman"/>
          <w:b w:val="0"/>
          <w:bCs w:val="0"/>
          <w:szCs w:val="20"/>
        </w:rPr>
        <w:t xml:space="preserve"> у </w:t>
      </w:r>
      <w:proofErr w:type="spellStart"/>
      <w:r w:rsidRPr="00E16672">
        <w:rPr>
          <w:rFonts w:ascii="Times New Roman" w:hAnsi="Times New Roman"/>
          <w:b w:val="0"/>
          <w:bCs w:val="0"/>
          <w:szCs w:val="20"/>
        </w:rPr>
        <w:t>встановленому</w:t>
      </w:r>
      <w:proofErr w:type="spellEnd"/>
      <w:r w:rsidRPr="00E16672">
        <w:rPr>
          <w:rFonts w:ascii="Times New Roman" w:hAnsi="Times New Roman"/>
          <w:b w:val="0"/>
          <w:bCs w:val="0"/>
          <w:szCs w:val="20"/>
        </w:rPr>
        <w:t xml:space="preserve"> </w:t>
      </w:r>
      <w:proofErr w:type="spellStart"/>
      <w:r w:rsidRPr="00E16672">
        <w:rPr>
          <w:rFonts w:ascii="Times New Roman" w:hAnsi="Times New Roman"/>
          <w:b w:val="0"/>
          <w:bCs w:val="0"/>
          <w:szCs w:val="20"/>
        </w:rPr>
        <w:t>законодавством</w:t>
      </w:r>
      <w:proofErr w:type="spellEnd"/>
      <w:r w:rsidRPr="00E16672">
        <w:rPr>
          <w:rFonts w:ascii="Times New Roman" w:hAnsi="Times New Roman"/>
          <w:b w:val="0"/>
          <w:bCs w:val="0"/>
          <w:szCs w:val="20"/>
        </w:rPr>
        <w:t xml:space="preserve"> порядку депоненту, </w:t>
      </w:r>
      <w:proofErr w:type="spellStart"/>
      <w:r w:rsidRPr="00E16672">
        <w:rPr>
          <w:rFonts w:ascii="Times New Roman" w:hAnsi="Times New Roman"/>
          <w:b w:val="0"/>
          <w:bCs w:val="0"/>
          <w:szCs w:val="20"/>
        </w:rPr>
        <w:t>який</w:t>
      </w:r>
      <w:proofErr w:type="spellEnd"/>
      <w:r w:rsidRPr="00E16672">
        <w:rPr>
          <w:rFonts w:ascii="Times New Roman" w:hAnsi="Times New Roman"/>
          <w:b w:val="0"/>
          <w:bCs w:val="0"/>
          <w:szCs w:val="20"/>
        </w:rPr>
        <w:t xml:space="preserve"> є </w:t>
      </w:r>
      <w:proofErr w:type="spellStart"/>
      <w:r w:rsidRPr="00E16672">
        <w:rPr>
          <w:rFonts w:ascii="Times New Roman" w:hAnsi="Times New Roman"/>
          <w:b w:val="0"/>
          <w:bCs w:val="0"/>
          <w:szCs w:val="20"/>
        </w:rPr>
        <w:t>власником</w:t>
      </w:r>
      <w:proofErr w:type="spellEnd"/>
      <w:r w:rsidRPr="00E16672">
        <w:rPr>
          <w:rFonts w:ascii="Times New Roman" w:hAnsi="Times New Roman"/>
          <w:b w:val="0"/>
          <w:bCs w:val="0"/>
          <w:szCs w:val="20"/>
        </w:rPr>
        <w:t xml:space="preserve"> </w:t>
      </w:r>
      <w:proofErr w:type="spellStart"/>
      <w:r w:rsidRPr="00E16672">
        <w:rPr>
          <w:rFonts w:ascii="Times New Roman" w:hAnsi="Times New Roman"/>
          <w:b w:val="0"/>
          <w:bCs w:val="0"/>
          <w:szCs w:val="20"/>
        </w:rPr>
        <w:t>акцій</w:t>
      </w:r>
      <w:proofErr w:type="spellEnd"/>
      <w:r w:rsidRPr="00E16672">
        <w:rPr>
          <w:rFonts w:ascii="Times New Roman" w:hAnsi="Times New Roman"/>
          <w:b w:val="0"/>
          <w:bCs w:val="0"/>
          <w:szCs w:val="20"/>
        </w:rPr>
        <w:t xml:space="preserve"> </w:t>
      </w:r>
      <w:proofErr w:type="spellStart"/>
      <w:r w:rsidRPr="00E16672">
        <w:rPr>
          <w:rFonts w:ascii="Times New Roman" w:hAnsi="Times New Roman"/>
          <w:b w:val="0"/>
          <w:bCs w:val="0"/>
          <w:szCs w:val="20"/>
        </w:rPr>
        <w:t>акціонерного</w:t>
      </w:r>
      <w:proofErr w:type="spellEnd"/>
      <w:r w:rsidRPr="00E16672">
        <w:rPr>
          <w:rFonts w:ascii="Times New Roman" w:hAnsi="Times New Roman"/>
          <w:b w:val="0"/>
          <w:bCs w:val="0"/>
          <w:szCs w:val="20"/>
        </w:rPr>
        <w:t xml:space="preserve"> </w:t>
      </w:r>
      <w:proofErr w:type="spellStart"/>
      <w:r w:rsidRPr="00E16672">
        <w:rPr>
          <w:rFonts w:ascii="Times New Roman" w:hAnsi="Times New Roman"/>
          <w:b w:val="0"/>
          <w:bCs w:val="0"/>
          <w:szCs w:val="20"/>
        </w:rPr>
        <w:t>товариства</w:t>
      </w:r>
      <w:proofErr w:type="spellEnd"/>
      <w:r w:rsidRPr="00E16672">
        <w:rPr>
          <w:rFonts w:ascii="Times New Roman" w:hAnsi="Times New Roman"/>
          <w:b w:val="0"/>
          <w:bCs w:val="0"/>
          <w:szCs w:val="20"/>
        </w:rPr>
        <w:t xml:space="preserve"> на </w:t>
      </w:r>
      <w:proofErr w:type="spellStart"/>
      <w:r w:rsidRPr="00E16672">
        <w:rPr>
          <w:rFonts w:ascii="Times New Roman" w:hAnsi="Times New Roman"/>
          <w:b w:val="0"/>
          <w:bCs w:val="0"/>
          <w:szCs w:val="20"/>
        </w:rPr>
        <w:t>визначену</w:t>
      </w:r>
      <w:proofErr w:type="spellEnd"/>
      <w:r w:rsidRPr="00E16672">
        <w:rPr>
          <w:rFonts w:ascii="Times New Roman" w:hAnsi="Times New Roman"/>
          <w:b w:val="0"/>
          <w:bCs w:val="0"/>
          <w:szCs w:val="20"/>
        </w:rPr>
        <w:t xml:space="preserve"> </w:t>
      </w:r>
      <w:proofErr w:type="spellStart"/>
      <w:r w:rsidRPr="00E16672">
        <w:rPr>
          <w:rFonts w:ascii="Times New Roman" w:hAnsi="Times New Roman"/>
          <w:b w:val="0"/>
          <w:bCs w:val="0"/>
          <w:szCs w:val="20"/>
        </w:rPr>
        <w:t>відповідно</w:t>
      </w:r>
      <w:proofErr w:type="spellEnd"/>
      <w:r w:rsidRPr="00E16672">
        <w:rPr>
          <w:rFonts w:ascii="Times New Roman" w:hAnsi="Times New Roman"/>
          <w:b w:val="0"/>
          <w:bCs w:val="0"/>
          <w:szCs w:val="20"/>
        </w:rPr>
        <w:t xml:space="preserve"> до закону дату, </w:t>
      </w:r>
      <w:proofErr w:type="spellStart"/>
      <w:r w:rsidRPr="00E16672">
        <w:rPr>
          <w:rFonts w:ascii="Times New Roman" w:hAnsi="Times New Roman"/>
          <w:b w:val="0"/>
          <w:bCs w:val="0"/>
          <w:szCs w:val="20"/>
        </w:rPr>
        <w:t>повідомлення</w:t>
      </w:r>
      <w:proofErr w:type="spellEnd"/>
      <w:r w:rsidRPr="00E16672">
        <w:rPr>
          <w:rFonts w:ascii="Times New Roman" w:hAnsi="Times New Roman"/>
          <w:b w:val="0"/>
          <w:bCs w:val="0"/>
          <w:szCs w:val="20"/>
        </w:rPr>
        <w:t xml:space="preserve"> у </w:t>
      </w:r>
      <w:proofErr w:type="spellStart"/>
      <w:r w:rsidRPr="00E16672">
        <w:rPr>
          <w:rFonts w:ascii="Times New Roman" w:hAnsi="Times New Roman"/>
          <w:b w:val="0"/>
          <w:bCs w:val="0"/>
          <w:szCs w:val="20"/>
        </w:rPr>
        <w:t>разі</w:t>
      </w:r>
      <w:proofErr w:type="spellEnd"/>
      <w:r w:rsidRPr="00E16672">
        <w:rPr>
          <w:rFonts w:ascii="Times New Roman" w:hAnsi="Times New Roman"/>
          <w:b w:val="0"/>
          <w:bCs w:val="0"/>
          <w:szCs w:val="20"/>
        </w:rPr>
        <w:t xml:space="preserve"> </w:t>
      </w:r>
      <w:proofErr w:type="spellStart"/>
      <w:r w:rsidRPr="00E16672">
        <w:rPr>
          <w:rFonts w:ascii="Times New Roman" w:hAnsi="Times New Roman"/>
          <w:b w:val="0"/>
          <w:bCs w:val="0"/>
          <w:szCs w:val="20"/>
        </w:rPr>
        <w:t>направлення</w:t>
      </w:r>
      <w:proofErr w:type="spellEnd"/>
      <w:r w:rsidRPr="00E16672">
        <w:rPr>
          <w:rFonts w:ascii="Times New Roman" w:hAnsi="Times New Roman"/>
          <w:b w:val="0"/>
          <w:bCs w:val="0"/>
          <w:szCs w:val="20"/>
        </w:rPr>
        <w:t xml:space="preserve"> </w:t>
      </w:r>
      <w:proofErr w:type="spellStart"/>
      <w:r w:rsidRPr="00E16672">
        <w:rPr>
          <w:rFonts w:ascii="Times New Roman" w:hAnsi="Times New Roman"/>
          <w:b w:val="0"/>
          <w:bCs w:val="0"/>
          <w:szCs w:val="20"/>
        </w:rPr>
        <w:t>відповідним</w:t>
      </w:r>
      <w:proofErr w:type="spellEnd"/>
      <w:r w:rsidRPr="00E16672">
        <w:rPr>
          <w:rFonts w:ascii="Times New Roman" w:hAnsi="Times New Roman"/>
          <w:b w:val="0"/>
          <w:bCs w:val="0"/>
          <w:szCs w:val="20"/>
        </w:rPr>
        <w:t xml:space="preserve"> </w:t>
      </w:r>
      <w:proofErr w:type="spellStart"/>
      <w:r w:rsidRPr="00E16672">
        <w:rPr>
          <w:rFonts w:ascii="Times New Roman" w:hAnsi="Times New Roman"/>
          <w:b w:val="0"/>
          <w:bCs w:val="0"/>
          <w:szCs w:val="20"/>
        </w:rPr>
        <w:t>акціонерним</w:t>
      </w:r>
      <w:proofErr w:type="spellEnd"/>
      <w:r w:rsidRPr="00E16672">
        <w:rPr>
          <w:rFonts w:ascii="Times New Roman" w:hAnsi="Times New Roman"/>
          <w:b w:val="0"/>
          <w:bCs w:val="0"/>
          <w:szCs w:val="20"/>
        </w:rPr>
        <w:t xml:space="preserve"> </w:t>
      </w:r>
      <w:proofErr w:type="spellStart"/>
      <w:r w:rsidRPr="00E16672">
        <w:rPr>
          <w:rFonts w:ascii="Times New Roman" w:hAnsi="Times New Roman"/>
          <w:b w:val="0"/>
          <w:bCs w:val="0"/>
          <w:szCs w:val="20"/>
        </w:rPr>
        <w:t>товариством</w:t>
      </w:r>
      <w:proofErr w:type="spellEnd"/>
      <w:r w:rsidRPr="00E16672">
        <w:rPr>
          <w:rFonts w:ascii="Times New Roman" w:hAnsi="Times New Roman"/>
          <w:b w:val="0"/>
          <w:bCs w:val="0"/>
          <w:szCs w:val="20"/>
        </w:rPr>
        <w:t xml:space="preserve"> </w:t>
      </w:r>
      <w:proofErr w:type="spellStart"/>
      <w:r w:rsidRPr="00E16672">
        <w:rPr>
          <w:rFonts w:ascii="Times New Roman" w:hAnsi="Times New Roman"/>
          <w:b w:val="0"/>
          <w:bCs w:val="0"/>
          <w:szCs w:val="20"/>
        </w:rPr>
        <w:t>повідомлення</w:t>
      </w:r>
      <w:proofErr w:type="spellEnd"/>
      <w:r w:rsidRPr="00E16672">
        <w:rPr>
          <w:rFonts w:ascii="Times New Roman" w:hAnsi="Times New Roman"/>
          <w:b w:val="0"/>
          <w:bCs w:val="0"/>
          <w:szCs w:val="20"/>
        </w:rPr>
        <w:t xml:space="preserve"> </w:t>
      </w:r>
      <w:proofErr w:type="spellStart"/>
      <w:r w:rsidRPr="00E16672">
        <w:rPr>
          <w:rFonts w:ascii="Times New Roman" w:hAnsi="Times New Roman"/>
          <w:b w:val="0"/>
          <w:bCs w:val="0"/>
          <w:szCs w:val="20"/>
        </w:rPr>
        <w:t>акціонерам</w:t>
      </w:r>
      <w:proofErr w:type="spellEnd"/>
      <w:r w:rsidRPr="00E16672">
        <w:rPr>
          <w:rFonts w:ascii="Times New Roman" w:hAnsi="Times New Roman"/>
          <w:b w:val="0"/>
          <w:bCs w:val="0"/>
          <w:szCs w:val="20"/>
        </w:rPr>
        <w:t xml:space="preserve"> через </w:t>
      </w:r>
      <w:proofErr w:type="spellStart"/>
      <w:r w:rsidRPr="00E16672">
        <w:rPr>
          <w:rFonts w:ascii="Times New Roman" w:hAnsi="Times New Roman"/>
          <w:b w:val="0"/>
          <w:bCs w:val="0"/>
          <w:szCs w:val="20"/>
        </w:rPr>
        <w:t>депозитарну</w:t>
      </w:r>
      <w:proofErr w:type="spellEnd"/>
      <w:r w:rsidRPr="00E16672">
        <w:rPr>
          <w:rFonts w:ascii="Times New Roman" w:hAnsi="Times New Roman"/>
          <w:b w:val="0"/>
          <w:bCs w:val="0"/>
          <w:szCs w:val="20"/>
        </w:rPr>
        <w:t xml:space="preserve"> систему </w:t>
      </w:r>
      <w:proofErr w:type="spellStart"/>
      <w:r w:rsidRPr="00E16672">
        <w:rPr>
          <w:rFonts w:ascii="Times New Roman" w:hAnsi="Times New Roman"/>
          <w:b w:val="0"/>
          <w:bCs w:val="0"/>
          <w:szCs w:val="20"/>
        </w:rPr>
        <w:t>України</w:t>
      </w:r>
      <w:proofErr w:type="spellEnd"/>
      <w:r w:rsidRPr="00E16672">
        <w:rPr>
          <w:rFonts w:ascii="Times New Roman" w:hAnsi="Times New Roman"/>
          <w:b w:val="0"/>
          <w:bCs w:val="0"/>
          <w:szCs w:val="20"/>
        </w:rPr>
        <w:t xml:space="preserve"> </w:t>
      </w:r>
      <w:proofErr w:type="spellStart"/>
      <w:r w:rsidRPr="00E16672">
        <w:rPr>
          <w:rFonts w:ascii="Times New Roman" w:hAnsi="Times New Roman"/>
          <w:b w:val="0"/>
          <w:bCs w:val="0"/>
          <w:szCs w:val="20"/>
        </w:rPr>
        <w:t>відповідно</w:t>
      </w:r>
      <w:proofErr w:type="spellEnd"/>
      <w:r w:rsidRPr="00E16672">
        <w:rPr>
          <w:rFonts w:ascii="Times New Roman" w:hAnsi="Times New Roman"/>
          <w:b w:val="0"/>
          <w:bCs w:val="0"/>
          <w:szCs w:val="20"/>
        </w:rPr>
        <w:t xml:space="preserve"> до </w:t>
      </w:r>
      <w:hyperlink r:id="rId34" w:anchor="n3" w:tgtFrame="_blank" w:history="1">
        <w:r w:rsidRPr="00E16672">
          <w:rPr>
            <w:rFonts w:ascii="Times New Roman" w:hAnsi="Times New Roman"/>
            <w:b w:val="0"/>
            <w:bCs w:val="0"/>
            <w:szCs w:val="20"/>
          </w:rPr>
          <w:t xml:space="preserve">Закону </w:t>
        </w:r>
        <w:proofErr w:type="spellStart"/>
        <w:r w:rsidRPr="00E16672">
          <w:rPr>
            <w:rFonts w:ascii="Times New Roman" w:hAnsi="Times New Roman"/>
            <w:b w:val="0"/>
            <w:bCs w:val="0"/>
            <w:szCs w:val="20"/>
          </w:rPr>
          <w:t>України</w:t>
        </w:r>
        <w:proofErr w:type="spellEnd"/>
      </w:hyperlink>
      <w:r w:rsidRPr="00E16672">
        <w:rPr>
          <w:rFonts w:ascii="Times New Roman" w:hAnsi="Times New Roman"/>
          <w:b w:val="0"/>
          <w:bCs w:val="0"/>
          <w:szCs w:val="20"/>
        </w:rPr>
        <w:t> </w:t>
      </w:r>
      <w:r w:rsidR="00022F5F">
        <w:rPr>
          <w:rFonts w:ascii="Times New Roman" w:hAnsi="Times New Roman"/>
          <w:b w:val="0"/>
          <w:bCs w:val="0"/>
          <w:szCs w:val="20"/>
        </w:rPr>
        <w:t>"</w:t>
      </w:r>
      <w:r w:rsidRPr="00E16672">
        <w:rPr>
          <w:rFonts w:ascii="Times New Roman" w:hAnsi="Times New Roman"/>
          <w:b w:val="0"/>
          <w:bCs w:val="0"/>
          <w:szCs w:val="20"/>
        </w:rPr>
        <w:t xml:space="preserve">Про </w:t>
      </w:r>
      <w:proofErr w:type="spellStart"/>
      <w:r w:rsidRPr="00E16672">
        <w:rPr>
          <w:rFonts w:ascii="Times New Roman" w:hAnsi="Times New Roman"/>
          <w:b w:val="0"/>
          <w:bCs w:val="0"/>
          <w:szCs w:val="20"/>
        </w:rPr>
        <w:t>акціонерні</w:t>
      </w:r>
      <w:proofErr w:type="spellEnd"/>
      <w:r w:rsidRPr="00E16672">
        <w:rPr>
          <w:rFonts w:ascii="Times New Roman" w:hAnsi="Times New Roman"/>
          <w:b w:val="0"/>
          <w:bCs w:val="0"/>
          <w:szCs w:val="20"/>
        </w:rPr>
        <w:t xml:space="preserve"> </w:t>
      </w:r>
      <w:proofErr w:type="spellStart"/>
      <w:r w:rsidRPr="00E16672">
        <w:rPr>
          <w:rFonts w:ascii="Times New Roman" w:hAnsi="Times New Roman"/>
          <w:b w:val="0"/>
          <w:bCs w:val="0"/>
          <w:szCs w:val="20"/>
        </w:rPr>
        <w:t>товариства</w:t>
      </w:r>
      <w:proofErr w:type="spellEnd"/>
      <w:r w:rsidR="00022F5F">
        <w:rPr>
          <w:rFonts w:ascii="Times New Roman" w:hAnsi="Times New Roman"/>
          <w:b w:val="0"/>
          <w:bCs w:val="0"/>
          <w:szCs w:val="20"/>
        </w:rPr>
        <w:t>"</w:t>
      </w:r>
      <w:r w:rsidRPr="00E16672">
        <w:rPr>
          <w:rFonts w:ascii="Times New Roman" w:hAnsi="Times New Roman"/>
          <w:b w:val="0"/>
          <w:bCs w:val="0"/>
          <w:szCs w:val="20"/>
        </w:rPr>
        <w:t>.</w:t>
      </w:r>
    </w:p>
    <w:p w14:paraId="5B546935" w14:textId="77777777" w:rsidR="007974E8" w:rsidRPr="00E16672" w:rsidRDefault="007974E8" w:rsidP="007974E8">
      <w:pPr>
        <w:pStyle w:val="af"/>
        <w:rPr>
          <w:rFonts w:ascii="Times New Roman" w:hAnsi="Times New Roman" w:cs="Times New Roman"/>
          <w:color w:val="000000"/>
        </w:rPr>
      </w:pPr>
      <w:r w:rsidRPr="00E16672">
        <w:rPr>
          <w:rFonts w:ascii="Times New Roman" w:hAnsi="Times New Roman" w:cs="Times New Roman"/>
          <w:color w:val="000000"/>
        </w:rPr>
        <w:t>2.1.1</w:t>
      </w:r>
      <w:r w:rsidR="000B00C3" w:rsidRPr="00E16672">
        <w:rPr>
          <w:rFonts w:ascii="Times New Roman" w:hAnsi="Times New Roman" w:cs="Times New Roman"/>
          <w:color w:val="000000"/>
          <w:lang w:val="ru-RU"/>
        </w:rPr>
        <w:t>8</w:t>
      </w:r>
      <w:r w:rsidRPr="00E16672">
        <w:rPr>
          <w:rFonts w:ascii="Times New Roman" w:hAnsi="Times New Roman" w:cs="Times New Roman"/>
          <w:color w:val="000000"/>
        </w:rPr>
        <w:t xml:space="preserve">. Ідентифікувати та </w:t>
      </w:r>
      <w:proofErr w:type="spellStart"/>
      <w:r w:rsidRPr="00E16672">
        <w:rPr>
          <w:rFonts w:ascii="Times New Roman" w:hAnsi="Times New Roman" w:cs="Times New Roman"/>
          <w:color w:val="000000"/>
        </w:rPr>
        <w:t>верифікувати</w:t>
      </w:r>
      <w:proofErr w:type="spellEnd"/>
      <w:r w:rsidRPr="00E16672">
        <w:rPr>
          <w:rFonts w:ascii="Times New Roman" w:hAnsi="Times New Roman" w:cs="Times New Roman"/>
          <w:color w:val="000000"/>
        </w:rPr>
        <w:t xml:space="preserve"> осіб, що мають повноваження діяти від імені Депонента</w:t>
      </w:r>
      <w:r w:rsidRPr="00E16672">
        <w:rPr>
          <w:rFonts w:ascii="Times New Roman" w:hAnsi="Times New Roman" w:cs="Times New Roman"/>
          <w:color w:val="000000"/>
          <w:lang w:val="ru-RU"/>
        </w:rPr>
        <w:t>,</w:t>
      </w:r>
      <w:r w:rsidRPr="00E16672">
        <w:rPr>
          <w:rFonts w:ascii="Times New Roman" w:hAnsi="Times New Roman" w:cs="Times New Roman"/>
          <w:color w:val="000000"/>
        </w:rPr>
        <w:t xml:space="preserve"> Керуючого рахунком, у порядку встановленому законодавством України.</w:t>
      </w:r>
    </w:p>
    <w:p w14:paraId="5054FBB5" w14:textId="77777777" w:rsidR="007974E8" w:rsidRPr="00E16672" w:rsidRDefault="007974E8" w:rsidP="007974E8">
      <w:pPr>
        <w:tabs>
          <w:tab w:val="left" w:pos="360"/>
        </w:tabs>
        <w:ind w:left="-14" w:firstLine="581"/>
        <w:rPr>
          <w:rStyle w:val="rvts0"/>
          <w:rFonts w:ascii="Times New Roman" w:hAnsi="Times New Roman"/>
          <w:color w:val="000000"/>
          <w:szCs w:val="20"/>
          <w:lang w:val="uk-UA"/>
        </w:rPr>
      </w:pPr>
      <w:r w:rsidRPr="00E16672">
        <w:rPr>
          <w:rStyle w:val="rvts0"/>
          <w:rFonts w:ascii="Times New Roman" w:hAnsi="Times New Roman"/>
          <w:color w:val="000000"/>
          <w:szCs w:val="20"/>
          <w:lang w:val="uk-UA"/>
        </w:rPr>
        <w:t xml:space="preserve">Ідентифікація клієнта не є обов’язковою у разі проведення фінансової операції, якщо Депонент був раніше  ідентифікований або </w:t>
      </w:r>
      <w:proofErr w:type="spellStart"/>
      <w:r w:rsidRPr="00E16672">
        <w:rPr>
          <w:rStyle w:val="rvts0"/>
          <w:rFonts w:ascii="Times New Roman" w:hAnsi="Times New Roman"/>
          <w:color w:val="000000"/>
          <w:szCs w:val="20"/>
          <w:lang w:val="uk-UA"/>
        </w:rPr>
        <w:t>верифікований</w:t>
      </w:r>
      <w:proofErr w:type="spellEnd"/>
      <w:r w:rsidRPr="00E16672">
        <w:rPr>
          <w:rStyle w:val="rvts0"/>
          <w:rFonts w:ascii="Times New Roman" w:hAnsi="Times New Roman"/>
          <w:color w:val="000000"/>
          <w:szCs w:val="20"/>
          <w:lang w:val="uk-UA"/>
        </w:rPr>
        <w:t xml:space="preserve"> депозитарною установою згідно з вимогами закону.</w:t>
      </w:r>
    </w:p>
    <w:p w14:paraId="67492658" w14:textId="77777777" w:rsidR="007974E8" w:rsidRPr="00E16672" w:rsidRDefault="000B00C3" w:rsidP="007974E8">
      <w:pPr>
        <w:pStyle w:val="af"/>
        <w:rPr>
          <w:rFonts w:ascii="Times New Roman" w:hAnsi="Times New Roman" w:cs="Times New Roman"/>
          <w:color w:val="000000"/>
        </w:rPr>
      </w:pPr>
      <w:r w:rsidRPr="00E16672">
        <w:rPr>
          <w:rFonts w:ascii="Times New Roman" w:hAnsi="Times New Roman" w:cs="Times New Roman"/>
          <w:color w:val="000000"/>
        </w:rPr>
        <w:t>2.1.19</w:t>
      </w:r>
      <w:r w:rsidR="007974E8" w:rsidRPr="00E16672">
        <w:rPr>
          <w:rFonts w:ascii="Times New Roman" w:hAnsi="Times New Roman" w:cs="Times New Roman"/>
          <w:color w:val="000000"/>
        </w:rPr>
        <w:t xml:space="preserve">. Складати акт приймання-передавання документів, що були підставою для встановлення обмежень цінних паперів в обігу по рахунку </w:t>
      </w:r>
      <w:r w:rsidR="00C22309" w:rsidRPr="00E16672">
        <w:rPr>
          <w:rFonts w:ascii="Times New Roman" w:hAnsi="Times New Roman" w:cs="Times New Roman"/>
          <w:color w:val="000000"/>
        </w:rPr>
        <w:t>в цін</w:t>
      </w:r>
      <w:r w:rsidR="007974E8" w:rsidRPr="00E16672">
        <w:rPr>
          <w:rFonts w:ascii="Times New Roman" w:hAnsi="Times New Roman" w:cs="Times New Roman"/>
          <w:color w:val="000000"/>
        </w:rPr>
        <w:t>них паперах Депонента, з якого підлягають списанню права на цінні папери, що обмежені в обігу.</w:t>
      </w:r>
    </w:p>
    <w:p w14:paraId="7C50E4C4" w14:textId="77777777" w:rsidR="007974E8" w:rsidRPr="00E16672" w:rsidRDefault="007974E8" w:rsidP="00022F5F">
      <w:pPr>
        <w:pStyle w:val="af"/>
        <w:jc w:val="left"/>
        <w:rPr>
          <w:rFonts w:ascii="Times New Roman" w:eastAsia="Times New Roman" w:hAnsi="Times New Roman" w:cs="Times New Roman"/>
          <w:color w:val="000000"/>
        </w:rPr>
      </w:pPr>
      <w:r w:rsidRPr="00E16672">
        <w:rPr>
          <w:rFonts w:ascii="Times New Roman" w:hAnsi="Times New Roman" w:cs="Times New Roman"/>
          <w:color w:val="000000"/>
        </w:rPr>
        <w:t>2.1.</w:t>
      </w:r>
      <w:r w:rsidR="000B00C3" w:rsidRPr="00E16672">
        <w:rPr>
          <w:rFonts w:ascii="Times New Roman" w:hAnsi="Times New Roman" w:cs="Times New Roman"/>
          <w:color w:val="000000"/>
        </w:rPr>
        <w:t>20</w:t>
      </w:r>
      <w:r w:rsidRPr="00E16672">
        <w:rPr>
          <w:rFonts w:ascii="Times New Roman" w:hAnsi="Times New Roman" w:cs="Times New Roman"/>
          <w:color w:val="000000"/>
        </w:rPr>
        <w:t xml:space="preserve">. </w:t>
      </w:r>
      <w:r w:rsidR="00FC3003" w:rsidRPr="00E16672">
        <w:rPr>
          <w:rFonts w:ascii="Times New Roman" w:hAnsi="Times New Roman" w:cs="Times New Roman"/>
        </w:rPr>
        <w:t xml:space="preserve">Розкривати депоненту інформацію про умови та порядок діяльності депозитарної установи з урахуванням вимог, встановлених частиною першою статті 12 Закону України </w:t>
      </w:r>
      <w:r w:rsidR="00022F5F">
        <w:rPr>
          <w:rFonts w:ascii="Times New Roman" w:hAnsi="Times New Roman" w:cs="Times New Roman"/>
        </w:rPr>
        <w:t>"</w:t>
      </w:r>
      <w:r w:rsidR="00FC3003" w:rsidRPr="00E16672">
        <w:rPr>
          <w:rFonts w:ascii="Times New Roman" w:hAnsi="Times New Roman" w:cs="Times New Roman"/>
        </w:rPr>
        <w:t>Про фінансові послуги та державне регулювання ринків фінансових послуг</w:t>
      </w:r>
      <w:r w:rsidR="00022F5F">
        <w:rPr>
          <w:rFonts w:ascii="Times New Roman" w:hAnsi="Times New Roman" w:cs="Times New Roman"/>
        </w:rPr>
        <w:t>"</w:t>
      </w:r>
      <w:r w:rsidR="00FC3003" w:rsidRPr="00E16672">
        <w:rPr>
          <w:rFonts w:ascii="Times New Roman" w:hAnsi="Times New Roman" w:cs="Times New Roman"/>
        </w:rPr>
        <w:t>.</w:t>
      </w:r>
    </w:p>
    <w:p w14:paraId="46653B7F" w14:textId="77777777" w:rsidR="007974E8" w:rsidRPr="00E16672" w:rsidRDefault="007974E8" w:rsidP="007974E8">
      <w:pPr>
        <w:tabs>
          <w:tab w:val="left" w:pos="851"/>
          <w:tab w:val="left" w:pos="7200"/>
        </w:tabs>
        <w:ind w:firstLine="539"/>
        <w:rPr>
          <w:rFonts w:ascii="Times New Roman" w:hAnsi="Times New Roman"/>
          <w:color w:val="000000"/>
          <w:szCs w:val="20"/>
        </w:rPr>
      </w:pPr>
      <w:r w:rsidRPr="00E16672">
        <w:rPr>
          <w:rFonts w:ascii="Times New Roman" w:hAnsi="Times New Roman"/>
          <w:color w:val="000000"/>
          <w:szCs w:val="20"/>
        </w:rPr>
        <w:t>2.1.2</w:t>
      </w:r>
      <w:r w:rsidR="000B00C3" w:rsidRPr="00E16672">
        <w:rPr>
          <w:rFonts w:ascii="Times New Roman" w:hAnsi="Times New Roman"/>
          <w:color w:val="000000"/>
          <w:szCs w:val="20"/>
        </w:rPr>
        <w:t>1</w:t>
      </w:r>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Отримавши</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від</w:t>
      </w:r>
      <w:proofErr w:type="spellEnd"/>
      <w:r w:rsidRPr="00E16672">
        <w:rPr>
          <w:rFonts w:ascii="Times New Roman" w:hAnsi="Times New Roman"/>
          <w:color w:val="000000"/>
          <w:szCs w:val="20"/>
        </w:rPr>
        <w:t xml:space="preserve"> Центрального </w:t>
      </w:r>
      <w:proofErr w:type="spellStart"/>
      <w:r w:rsidRPr="00E16672">
        <w:rPr>
          <w:rFonts w:ascii="Times New Roman" w:hAnsi="Times New Roman"/>
          <w:color w:val="000000"/>
          <w:szCs w:val="20"/>
        </w:rPr>
        <w:t>депозитарію</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повідомлення</w:t>
      </w:r>
      <w:proofErr w:type="spellEnd"/>
      <w:r w:rsidRPr="00E16672">
        <w:rPr>
          <w:rFonts w:ascii="Times New Roman" w:hAnsi="Times New Roman"/>
          <w:color w:val="000000"/>
          <w:szCs w:val="20"/>
        </w:rPr>
        <w:t xml:space="preserve"> про </w:t>
      </w:r>
      <w:proofErr w:type="spellStart"/>
      <w:r w:rsidRPr="00E16672">
        <w:rPr>
          <w:rFonts w:ascii="Times New Roman" w:hAnsi="Times New Roman"/>
          <w:color w:val="000000"/>
          <w:szCs w:val="20"/>
        </w:rPr>
        <w:t>завершення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процедури</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переведення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іменних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цінних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паперів</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певного</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випуску</w:t>
      </w:r>
      <w:proofErr w:type="spellEnd"/>
      <w:r w:rsidRPr="00E16672">
        <w:rPr>
          <w:rFonts w:ascii="Times New Roman" w:hAnsi="Times New Roman"/>
          <w:color w:val="000000"/>
          <w:szCs w:val="20"/>
        </w:rPr>
        <w:t xml:space="preserve"> у </w:t>
      </w:r>
      <w:proofErr w:type="spellStart"/>
      <w:r w:rsidRPr="00E16672">
        <w:rPr>
          <w:rFonts w:ascii="Times New Roman" w:hAnsi="Times New Roman"/>
          <w:color w:val="000000"/>
          <w:szCs w:val="20"/>
        </w:rPr>
        <w:t>бездокументарну</w:t>
      </w:r>
      <w:proofErr w:type="spellEnd"/>
      <w:r w:rsidRPr="00E16672">
        <w:rPr>
          <w:rFonts w:ascii="Times New Roman" w:hAnsi="Times New Roman"/>
          <w:color w:val="000000"/>
          <w:szCs w:val="20"/>
        </w:rPr>
        <w:t xml:space="preserve"> форму </w:t>
      </w:r>
      <w:proofErr w:type="spellStart"/>
      <w:r w:rsidRPr="00E16672">
        <w:rPr>
          <w:rFonts w:ascii="Times New Roman" w:hAnsi="Times New Roman"/>
          <w:color w:val="000000"/>
          <w:szCs w:val="20"/>
        </w:rPr>
        <w:t>існування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протягом</w:t>
      </w:r>
      <w:proofErr w:type="spellEnd"/>
      <w:r w:rsidRPr="00E16672">
        <w:rPr>
          <w:rFonts w:ascii="Times New Roman" w:hAnsi="Times New Roman"/>
          <w:color w:val="000000"/>
          <w:szCs w:val="20"/>
        </w:rPr>
        <w:t xml:space="preserve"> </w:t>
      </w:r>
      <w:proofErr w:type="spellStart"/>
      <w:r w:rsidRPr="00E16672">
        <w:rPr>
          <w:rFonts w:ascii="Times New Roman" w:hAnsi="Times New Roman"/>
          <w:i/>
          <w:color w:val="000000"/>
          <w:szCs w:val="20"/>
        </w:rPr>
        <w:t>трьох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днів</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повідомити</w:t>
      </w:r>
      <w:proofErr w:type="spellEnd"/>
      <w:r w:rsidRPr="00E16672">
        <w:rPr>
          <w:rFonts w:ascii="Times New Roman" w:hAnsi="Times New Roman"/>
          <w:color w:val="000000"/>
          <w:szCs w:val="20"/>
        </w:rPr>
        <w:t xml:space="preserve"> про </w:t>
      </w:r>
      <w:proofErr w:type="spellStart"/>
      <w:r w:rsidRPr="00E16672">
        <w:rPr>
          <w:rFonts w:ascii="Times New Roman" w:hAnsi="Times New Roman"/>
          <w:color w:val="000000"/>
          <w:szCs w:val="20"/>
        </w:rPr>
        <w:t>її</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завершення</w:t>
      </w:r>
      <w:proofErr w:type="spellEnd"/>
      <w:r w:rsidRPr="00E16672">
        <w:rPr>
          <w:rFonts w:ascii="Times New Roman" w:hAnsi="Times New Roman"/>
          <w:color w:val="000000"/>
          <w:szCs w:val="20"/>
        </w:rPr>
        <w:t xml:space="preserve"> Депонента, </w:t>
      </w:r>
      <w:proofErr w:type="spellStart"/>
      <w:r w:rsidRPr="00E16672">
        <w:rPr>
          <w:rFonts w:ascii="Times New Roman" w:hAnsi="Times New Roman"/>
          <w:color w:val="000000"/>
          <w:szCs w:val="20"/>
        </w:rPr>
        <w:t>якщо</w:t>
      </w:r>
      <w:proofErr w:type="spellEnd"/>
      <w:r w:rsidRPr="00E16672">
        <w:rPr>
          <w:rFonts w:ascii="Times New Roman" w:hAnsi="Times New Roman"/>
          <w:color w:val="000000"/>
          <w:szCs w:val="20"/>
        </w:rPr>
        <w:t xml:space="preserve"> на </w:t>
      </w:r>
      <w:proofErr w:type="spellStart"/>
      <w:r w:rsidRPr="00E16672">
        <w:rPr>
          <w:rFonts w:ascii="Times New Roman" w:hAnsi="Times New Roman"/>
          <w:color w:val="000000"/>
          <w:szCs w:val="20"/>
        </w:rPr>
        <w:t>його</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рахунку</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обліковуються</w:t>
      </w:r>
      <w:proofErr w:type="spellEnd"/>
      <w:r w:rsidRPr="00E16672">
        <w:rPr>
          <w:rFonts w:ascii="Times New Roman" w:hAnsi="Times New Roman"/>
          <w:color w:val="000000"/>
          <w:szCs w:val="20"/>
        </w:rPr>
        <w:t xml:space="preserve"> права на </w:t>
      </w:r>
      <w:proofErr w:type="spellStart"/>
      <w:r w:rsidRPr="00E16672">
        <w:rPr>
          <w:rFonts w:ascii="Times New Roman" w:hAnsi="Times New Roman"/>
          <w:color w:val="000000"/>
          <w:szCs w:val="20"/>
        </w:rPr>
        <w:t>цінні</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папери</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цього</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випуску</w:t>
      </w:r>
      <w:proofErr w:type="spellEnd"/>
      <w:r w:rsidRPr="00E16672">
        <w:rPr>
          <w:rFonts w:ascii="Times New Roman" w:hAnsi="Times New Roman"/>
          <w:color w:val="000000"/>
          <w:szCs w:val="20"/>
        </w:rPr>
        <w:t xml:space="preserve">, шляхом </w:t>
      </w:r>
      <w:proofErr w:type="spellStart"/>
      <w:r w:rsidRPr="00E16672">
        <w:rPr>
          <w:rFonts w:ascii="Times New Roman" w:hAnsi="Times New Roman"/>
          <w:color w:val="000000"/>
          <w:szCs w:val="20"/>
        </w:rPr>
        <w:t>направлення</w:t>
      </w:r>
      <w:proofErr w:type="spellEnd"/>
      <w:r w:rsidRPr="00E16672">
        <w:rPr>
          <w:rFonts w:ascii="Times New Roman" w:hAnsi="Times New Roman"/>
          <w:color w:val="000000"/>
          <w:szCs w:val="20"/>
        </w:rPr>
        <w:t xml:space="preserve"> на </w:t>
      </w:r>
      <w:proofErr w:type="spellStart"/>
      <w:r w:rsidRPr="00E16672">
        <w:rPr>
          <w:rFonts w:ascii="Times New Roman" w:hAnsi="Times New Roman"/>
          <w:color w:val="000000"/>
          <w:szCs w:val="20"/>
        </w:rPr>
        <w:t>електронну</w:t>
      </w:r>
      <w:proofErr w:type="spellEnd"/>
      <w:r w:rsidRPr="00E16672">
        <w:rPr>
          <w:rFonts w:ascii="Times New Roman" w:hAnsi="Times New Roman"/>
          <w:color w:val="000000"/>
          <w:szCs w:val="20"/>
        </w:rPr>
        <w:t xml:space="preserve"> адресу Депонента (</w:t>
      </w:r>
      <w:proofErr w:type="spellStart"/>
      <w:r w:rsidRPr="00E16672">
        <w:rPr>
          <w:rFonts w:ascii="Times New Roman" w:hAnsi="Times New Roman"/>
          <w:color w:val="000000"/>
          <w:szCs w:val="20"/>
        </w:rPr>
        <w:t>Керуючого</w:t>
      </w:r>
      <w:proofErr w:type="spellEnd"/>
      <w:r w:rsidRPr="00E16672">
        <w:rPr>
          <w:rFonts w:ascii="Times New Roman" w:hAnsi="Times New Roman"/>
          <w:color w:val="000000"/>
          <w:szCs w:val="20"/>
        </w:rPr>
        <w:t xml:space="preserve"> </w:t>
      </w:r>
      <w:proofErr w:type="spellStart"/>
      <w:proofErr w:type="gramStart"/>
      <w:r w:rsidRPr="00E16672">
        <w:rPr>
          <w:rFonts w:ascii="Times New Roman" w:hAnsi="Times New Roman"/>
          <w:color w:val="000000"/>
          <w:szCs w:val="20"/>
        </w:rPr>
        <w:t>рахунком</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відповідного</w:t>
      </w:r>
      <w:proofErr w:type="spellEnd"/>
      <w:proofErr w:type="gram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повідомлення</w:t>
      </w:r>
      <w:proofErr w:type="spellEnd"/>
      <w:r w:rsidRPr="00E16672">
        <w:rPr>
          <w:rFonts w:ascii="Times New Roman" w:hAnsi="Times New Roman"/>
          <w:color w:val="000000"/>
          <w:szCs w:val="20"/>
        </w:rPr>
        <w:t>.</w:t>
      </w:r>
    </w:p>
    <w:p w14:paraId="34A86090" w14:textId="77777777" w:rsidR="007974E8" w:rsidRPr="00E16672" w:rsidRDefault="007974E8" w:rsidP="007974E8">
      <w:pPr>
        <w:pStyle w:val="af"/>
        <w:rPr>
          <w:rFonts w:ascii="Times New Roman" w:hAnsi="Times New Roman" w:cs="Times New Roman"/>
          <w:color w:val="0000FF"/>
        </w:rPr>
      </w:pPr>
    </w:p>
    <w:p w14:paraId="3A8D3D98" w14:textId="77777777" w:rsidR="007974E8" w:rsidRPr="00E16672" w:rsidRDefault="007974E8" w:rsidP="007974E8">
      <w:pPr>
        <w:tabs>
          <w:tab w:val="left" w:pos="709"/>
        </w:tabs>
        <w:rPr>
          <w:rFonts w:ascii="Times New Roman" w:hAnsi="Times New Roman"/>
          <w:b/>
          <w:color w:val="000000"/>
          <w:szCs w:val="20"/>
          <w:lang w:val="uk-UA"/>
        </w:rPr>
      </w:pPr>
      <w:r w:rsidRPr="00E16672">
        <w:rPr>
          <w:rFonts w:ascii="Times New Roman" w:hAnsi="Times New Roman"/>
          <w:b/>
          <w:color w:val="000000"/>
          <w:szCs w:val="20"/>
          <w:lang w:val="uk-UA"/>
        </w:rPr>
        <w:lastRenderedPageBreak/>
        <w:t>2.2. Депозитарна установа має право:</w:t>
      </w:r>
    </w:p>
    <w:p w14:paraId="5780BC6B" w14:textId="77777777" w:rsidR="000B00C3" w:rsidRPr="00E16672" w:rsidRDefault="000B00C3" w:rsidP="000B00C3">
      <w:pPr>
        <w:suppressAutoHyphens w:val="0"/>
        <w:ind w:firstLine="0"/>
        <w:jc w:val="left"/>
        <w:rPr>
          <w:rFonts w:ascii="Times New Roman" w:hAnsi="Times New Roman"/>
          <w:szCs w:val="20"/>
        </w:rPr>
      </w:pPr>
      <w:r w:rsidRPr="00E16672">
        <w:rPr>
          <w:rFonts w:ascii="Times New Roman" w:hAnsi="Times New Roman"/>
          <w:szCs w:val="20"/>
          <w:lang w:val="uk-UA"/>
        </w:rPr>
        <w:t xml:space="preserve">          2.2.1. Надавати письмову відмову у видачі виписки з рахунку в цінних паперах у разі невідповідності оформленого запиту вимогам законодавства та внутрішніх документів Депозитарної установи.</w:t>
      </w:r>
      <w:r w:rsidRPr="00E16672">
        <w:rPr>
          <w:rFonts w:ascii="Times New Roman" w:hAnsi="Times New Roman"/>
          <w:sz w:val="24"/>
          <w:lang w:val="uk-UA" w:eastAsia="uk-UA"/>
        </w:rPr>
        <w:t xml:space="preserve"> </w:t>
      </w:r>
    </w:p>
    <w:p w14:paraId="00C94AAA" w14:textId="77777777" w:rsidR="000B00C3" w:rsidRPr="00E16672" w:rsidRDefault="000B00C3" w:rsidP="000B00C3">
      <w:pPr>
        <w:tabs>
          <w:tab w:val="left" w:pos="709"/>
        </w:tabs>
        <w:rPr>
          <w:rFonts w:ascii="Times New Roman" w:hAnsi="Times New Roman"/>
          <w:szCs w:val="20"/>
        </w:rPr>
      </w:pPr>
      <w:r w:rsidRPr="00E16672">
        <w:rPr>
          <w:rFonts w:ascii="Times New Roman" w:hAnsi="Times New Roman"/>
          <w:szCs w:val="20"/>
        </w:rPr>
        <w:t xml:space="preserve">2.2.2. </w:t>
      </w:r>
      <w:proofErr w:type="spellStart"/>
      <w:r w:rsidRPr="00E16672">
        <w:rPr>
          <w:rFonts w:ascii="Times New Roman" w:hAnsi="Times New Roman"/>
          <w:szCs w:val="20"/>
        </w:rPr>
        <w:t>Вимагати</w:t>
      </w:r>
      <w:proofErr w:type="spellEnd"/>
      <w:r w:rsidRPr="00E16672">
        <w:rPr>
          <w:rFonts w:ascii="Times New Roman" w:hAnsi="Times New Roman"/>
          <w:szCs w:val="20"/>
        </w:rPr>
        <w:t xml:space="preserve"> </w:t>
      </w:r>
      <w:proofErr w:type="spellStart"/>
      <w:r w:rsidRPr="00E16672">
        <w:rPr>
          <w:rFonts w:ascii="Times New Roman" w:hAnsi="Times New Roman"/>
          <w:szCs w:val="20"/>
        </w:rPr>
        <w:t>від</w:t>
      </w:r>
      <w:proofErr w:type="spellEnd"/>
      <w:r w:rsidRPr="00E16672">
        <w:rPr>
          <w:rFonts w:ascii="Times New Roman" w:hAnsi="Times New Roman"/>
          <w:szCs w:val="20"/>
        </w:rPr>
        <w:t xml:space="preserve"> </w:t>
      </w:r>
      <w:proofErr w:type="spellStart"/>
      <w:r w:rsidRPr="00E16672">
        <w:rPr>
          <w:rFonts w:ascii="Times New Roman" w:hAnsi="Times New Roman"/>
          <w:szCs w:val="20"/>
        </w:rPr>
        <w:t>Керуючого</w:t>
      </w:r>
      <w:proofErr w:type="spellEnd"/>
      <w:r w:rsidRPr="00E16672">
        <w:rPr>
          <w:rFonts w:ascii="Times New Roman" w:hAnsi="Times New Roman"/>
          <w:szCs w:val="20"/>
        </w:rPr>
        <w:t xml:space="preserve"> </w:t>
      </w:r>
      <w:proofErr w:type="spellStart"/>
      <w:r w:rsidRPr="00E16672">
        <w:rPr>
          <w:rFonts w:ascii="Times New Roman" w:hAnsi="Times New Roman"/>
          <w:szCs w:val="20"/>
        </w:rPr>
        <w:t>рахунком</w:t>
      </w:r>
      <w:proofErr w:type="spellEnd"/>
      <w:r w:rsidRPr="00E16672">
        <w:rPr>
          <w:rFonts w:ascii="Times New Roman" w:hAnsi="Times New Roman"/>
          <w:szCs w:val="20"/>
        </w:rPr>
        <w:t xml:space="preserve"> </w:t>
      </w:r>
      <w:r w:rsidRPr="00E16672">
        <w:rPr>
          <w:rFonts w:ascii="Times New Roman" w:hAnsi="Times New Roman"/>
          <w:szCs w:val="20"/>
          <w:lang w:val="uk-UA"/>
        </w:rPr>
        <w:t>надання на виконання вимог законодавства та/або внутрішніх документів Депозитарної установи належним чином засвідчених документів та інформації, необхідних для виконання своїх обов’язків згідно умов Договору та законодавства</w:t>
      </w:r>
      <w:r w:rsidRPr="00E16672">
        <w:rPr>
          <w:rFonts w:ascii="Times New Roman" w:hAnsi="Times New Roman"/>
          <w:szCs w:val="20"/>
        </w:rPr>
        <w:t>.</w:t>
      </w:r>
    </w:p>
    <w:p w14:paraId="4541FD8D" w14:textId="77777777" w:rsidR="000B00C3" w:rsidRPr="00E16672" w:rsidRDefault="000B00C3" w:rsidP="000B00C3">
      <w:pPr>
        <w:tabs>
          <w:tab w:val="left" w:pos="709"/>
        </w:tabs>
        <w:rPr>
          <w:rFonts w:ascii="Times New Roman" w:hAnsi="Times New Roman"/>
          <w:szCs w:val="20"/>
        </w:rPr>
      </w:pPr>
      <w:r w:rsidRPr="00E16672">
        <w:rPr>
          <w:rFonts w:ascii="Times New Roman" w:hAnsi="Times New Roman"/>
          <w:szCs w:val="20"/>
        </w:rPr>
        <w:t xml:space="preserve">2.2.3. </w:t>
      </w:r>
      <w:proofErr w:type="spellStart"/>
      <w:r w:rsidRPr="00E16672">
        <w:rPr>
          <w:rFonts w:ascii="Times New Roman" w:hAnsi="Times New Roman"/>
          <w:szCs w:val="20"/>
        </w:rPr>
        <w:t>Згідно</w:t>
      </w:r>
      <w:proofErr w:type="spellEnd"/>
      <w:r w:rsidRPr="00E16672">
        <w:rPr>
          <w:rFonts w:ascii="Times New Roman" w:hAnsi="Times New Roman"/>
          <w:szCs w:val="20"/>
        </w:rPr>
        <w:t xml:space="preserve"> з </w:t>
      </w:r>
      <w:proofErr w:type="spellStart"/>
      <w:r w:rsidRPr="00E16672">
        <w:rPr>
          <w:rFonts w:ascii="Times New Roman" w:hAnsi="Times New Roman"/>
          <w:szCs w:val="20"/>
        </w:rPr>
        <w:t>чинним</w:t>
      </w:r>
      <w:proofErr w:type="spellEnd"/>
      <w:r w:rsidRPr="00E16672">
        <w:rPr>
          <w:rFonts w:ascii="Times New Roman" w:hAnsi="Times New Roman"/>
          <w:szCs w:val="20"/>
        </w:rPr>
        <w:t xml:space="preserve"> </w:t>
      </w:r>
      <w:proofErr w:type="spellStart"/>
      <w:r w:rsidRPr="00E16672">
        <w:rPr>
          <w:rFonts w:ascii="Times New Roman" w:hAnsi="Times New Roman"/>
          <w:szCs w:val="20"/>
        </w:rPr>
        <w:t>законодавством</w:t>
      </w:r>
      <w:proofErr w:type="spellEnd"/>
      <w:r w:rsidRPr="00E16672">
        <w:rPr>
          <w:rFonts w:ascii="Times New Roman" w:hAnsi="Times New Roman"/>
          <w:szCs w:val="20"/>
        </w:rPr>
        <w:t xml:space="preserve"> </w:t>
      </w:r>
      <w:proofErr w:type="spellStart"/>
      <w:r w:rsidRPr="00E16672">
        <w:rPr>
          <w:rFonts w:ascii="Times New Roman" w:hAnsi="Times New Roman"/>
          <w:szCs w:val="20"/>
        </w:rPr>
        <w:t>України</w:t>
      </w:r>
      <w:proofErr w:type="spellEnd"/>
      <w:r w:rsidRPr="00E16672">
        <w:rPr>
          <w:rFonts w:ascii="Times New Roman" w:hAnsi="Times New Roman"/>
          <w:szCs w:val="20"/>
        </w:rPr>
        <w:t xml:space="preserve">, у </w:t>
      </w:r>
      <w:proofErr w:type="spellStart"/>
      <w:r w:rsidRPr="00E16672">
        <w:rPr>
          <w:rFonts w:ascii="Times New Roman" w:hAnsi="Times New Roman"/>
          <w:szCs w:val="20"/>
        </w:rPr>
        <w:t>випадку</w:t>
      </w:r>
      <w:proofErr w:type="spellEnd"/>
      <w:r w:rsidRPr="00E16672">
        <w:rPr>
          <w:rFonts w:ascii="Times New Roman" w:hAnsi="Times New Roman"/>
          <w:szCs w:val="20"/>
        </w:rPr>
        <w:t xml:space="preserve"> </w:t>
      </w:r>
      <w:proofErr w:type="spellStart"/>
      <w:r w:rsidRPr="00E16672">
        <w:rPr>
          <w:rFonts w:ascii="Times New Roman" w:hAnsi="Times New Roman"/>
          <w:szCs w:val="20"/>
        </w:rPr>
        <w:t>необхідності</w:t>
      </w:r>
      <w:proofErr w:type="spellEnd"/>
      <w:r w:rsidRPr="00E16672">
        <w:rPr>
          <w:rFonts w:ascii="Times New Roman" w:hAnsi="Times New Roman"/>
          <w:szCs w:val="20"/>
        </w:rPr>
        <w:t xml:space="preserve">, </w:t>
      </w:r>
      <w:proofErr w:type="spellStart"/>
      <w:r w:rsidRPr="00E16672">
        <w:rPr>
          <w:rFonts w:ascii="Times New Roman" w:hAnsi="Times New Roman"/>
          <w:szCs w:val="20"/>
        </w:rPr>
        <w:t>вимагати</w:t>
      </w:r>
      <w:proofErr w:type="spellEnd"/>
      <w:r w:rsidRPr="00E16672">
        <w:rPr>
          <w:rFonts w:ascii="Times New Roman" w:hAnsi="Times New Roman"/>
          <w:szCs w:val="20"/>
        </w:rPr>
        <w:t xml:space="preserve"> </w:t>
      </w:r>
      <w:proofErr w:type="spellStart"/>
      <w:r w:rsidRPr="00E16672">
        <w:rPr>
          <w:rFonts w:ascii="Times New Roman" w:hAnsi="Times New Roman"/>
          <w:szCs w:val="20"/>
        </w:rPr>
        <w:t>від</w:t>
      </w:r>
      <w:proofErr w:type="spellEnd"/>
      <w:r w:rsidRPr="00E16672">
        <w:rPr>
          <w:rFonts w:ascii="Times New Roman" w:hAnsi="Times New Roman"/>
          <w:szCs w:val="20"/>
        </w:rPr>
        <w:t xml:space="preserve"> </w:t>
      </w:r>
      <w:proofErr w:type="spellStart"/>
      <w:r w:rsidRPr="00E16672">
        <w:rPr>
          <w:rFonts w:ascii="Times New Roman" w:hAnsi="Times New Roman"/>
          <w:szCs w:val="20"/>
        </w:rPr>
        <w:t>Керуючого</w:t>
      </w:r>
      <w:proofErr w:type="spellEnd"/>
      <w:r w:rsidRPr="00E16672">
        <w:rPr>
          <w:rFonts w:ascii="Times New Roman" w:hAnsi="Times New Roman"/>
          <w:szCs w:val="20"/>
        </w:rPr>
        <w:t xml:space="preserve"> </w:t>
      </w:r>
      <w:proofErr w:type="spellStart"/>
      <w:r w:rsidRPr="00E16672">
        <w:rPr>
          <w:rFonts w:ascii="Times New Roman" w:hAnsi="Times New Roman"/>
          <w:szCs w:val="20"/>
        </w:rPr>
        <w:t>рахунком</w:t>
      </w:r>
      <w:proofErr w:type="spellEnd"/>
      <w:r w:rsidRPr="00E16672">
        <w:rPr>
          <w:rFonts w:ascii="Times New Roman" w:hAnsi="Times New Roman"/>
          <w:szCs w:val="20"/>
        </w:rPr>
        <w:t xml:space="preserve"> </w:t>
      </w:r>
      <w:proofErr w:type="spellStart"/>
      <w:r w:rsidRPr="00E16672">
        <w:rPr>
          <w:rFonts w:ascii="Times New Roman" w:hAnsi="Times New Roman"/>
          <w:szCs w:val="20"/>
        </w:rPr>
        <w:t>надання</w:t>
      </w:r>
      <w:proofErr w:type="spellEnd"/>
      <w:r w:rsidRPr="00E16672">
        <w:rPr>
          <w:rFonts w:ascii="Times New Roman" w:hAnsi="Times New Roman"/>
          <w:szCs w:val="20"/>
        </w:rPr>
        <w:t xml:space="preserve"> </w:t>
      </w:r>
      <w:proofErr w:type="spellStart"/>
      <w:r w:rsidRPr="00E16672">
        <w:rPr>
          <w:rFonts w:ascii="Times New Roman" w:hAnsi="Times New Roman"/>
          <w:szCs w:val="20"/>
        </w:rPr>
        <w:t>додаткових</w:t>
      </w:r>
      <w:proofErr w:type="spellEnd"/>
      <w:r w:rsidRPr="00E16672">
        <w:rPr>
          <w:rFonts w:ascii="Times New Roman" w:hAnsi="Times New Roman"/>
          <w:szCs w:val="20"/>
        </w:rPr>
        <w:t xml:space="preserve"> </w:t>
      </w:r>
      <w:proofErr w:type="spellStart"/>
      <w:r w:rsidRPr="00E16672">
        <w:rPr>
          <w:rFonts w:ascii="Times New Roman" w:hAnsi="Times New Roman"/>
          <w:szCs w:val="20"/>
        </w:rPr>
        <w:t>документів</w:t>
      </w:r>
      <w:proofErr w:type="spellEnd"/>
      <w:r w:rsidRPr="00E16672">
        <w:rPr>
          <w:rFonts w:ascii="Times New Roman" w:hAnsi="Times New Roman"/>
          <w:szCs w:val="20"/>
        </w:rPr>
        <w:t xml:space="preserve">, </w:t>
      </w:r>
      <w:proofErr w:type="spellStart"/>
      <w:r w:rsidRPr="00E16672">
        <w:rPr>
          <w:rFonts w:ascii="Times New Roman" w:hAnsi="Times New Roman"/>
          <w:szCs w:val="20"/>
        </w:rPr>
        <w:t>відомостей</w:t>
      </w:r>
      <w:proofErr w:type="spellEnd"/>
      <w:r w:rsidRPr="00E16672">
        <w:rPr>
          <w:rFonts w:ascii="Times New Roman" w:hAnsi="Times New Roman"/>
          <w:szCs w:val="20"/>
        </w:rPr>
        <w:t xml:space="preserve"> та </w:t>
      </w:r>
      <w:proofErr w:type="spellStart"/>
      <w:r w:rsidRPr="00E16672">
        <w:rPr>
          <w:rFonts w:ascii="Times New Roman" w:hAnsi="Times New Roman"/>
          <w:szCs w:val="20"/>
        </w:rPr>
        <w:t>інформації</w:t>
      </w:r>
      <w:proofErr w:type="spellEnd"/>
      <w:r w:rsidRPr="00E16672">
        <w:rPr>
          <w:rFonts w:ascii="Times New Roman" w:hAnsi="Times New Roman"/>
          <w:szCs w:val="20"/>
        </w:rPr>
        <w:t xml:space="preserve">, </w:t>
      </w:r>
      <w:proofErr w:type="spellStart"/>
      <w:r w:rsidRPr="00E16672">
        <w:rPr>
          <w:rFonts w:ascii="Times New Roman" w:hAnsi="Times New Roman"/>
          <w:szCs w:val="20"/>
        </w:rPr>
        <w:t>засвідчених</w:t>
      </w:r>
      <w:proofErr w:type="spellEnd"/>
      <w:r w:rsidRPr="00E16672">
        <w:rPr>
          <w:rFonts w:ascii="Times New Roman" w:hAnsi="Times New Roman"/>
          <w:szCs w:val="20"/>
        </w:rPr>
        <w:t xml:space="preserve"> та </w:t>
      </w:r>
      <w:proofErr w:type="spellStart"/>
      <w:r w:rsidRPr="00E16672">
        <w:rPr>
          <w:rFonts w:ascii="Times New Roman" w:hAnsi="Times New Roman"/>
          <w:szCs w:val="20"/>
        </w:rPr>
        <w:t>погоджених</w:t>
      </w:r>
      <w:proofErr w:type="spellEnd"/>
      <w:r w:rsidRPr="00E16672">
        <w:rPr>
          <w:rFonts w:ascii="Times New Roman" w:hAnsi="Times New Roman"/>
          <w:szCs w:val="20"/>
        </w:rPr>
        <w:t xml:space="preserve"> </w:t>
      </w:r>
      <w:proofErr w:type="spellStart"/>
      <w:r w:rsidRPr="00E16672">
        <w:rPr>
          <w:rFonts w:ascii="Times New Roman" w:hAnsi="Times New Roman"/>
          <w:szCs w:val="20"/>
        </w:rPr>
        <w:t>належним</w:t>
      </w:r>
      <w:proofErr w:type="spellEnd"/>
      <w:r w:rsidRPr="00E16672">
        <w:rPr>
          <w:rFonts w:ascii="Times New Roman" w:hAnsi="Times New Roman"/>
          <w:szCs w:val="20"/>
        </w:rPr>
        <w:t xml:space="preserve"> чином.</w:t>
      </w:r>
    </w:p>
    <w:p w14:paraId="0FA8E0FE" w14:textId="77777777" w:rsidR="000B00C3" w:rsidRPr="00E16672" w:rsidRDefault="000B00C3" w:rsidP="000B00C3">
      <w:pPr>
        <w:tabs>
          <w:tab w:val="left" w:pos="709"/>
        </w:tabs>
        <w:rPr>
          <w:rFonts w:ascii="Times New Roman" w:hAnsi="Times New Roman"/>
          <w:szCs w:val="20"/>
        </w:rPr>
      </w:pPr>
      <w:r w:rsidRPr="00E16672">
        <w:rPr>
          <w:rFonts w:ascii="Times New Roman" w:hAnsi="Times New Roman"/>
          <w:szCs w:val="20"/>
        </w:rPr>
        <w:t xml:space="preserve">2.2.4. </w:t>
      </w:r>
      <w:proofErr w:type="spellStart"/>
      <w:r w:rsidRPr="00E16672">
        <w:rPr>
          <w:rFonts w:ascii="Times New Roman" w:hAnsi="Times New Roman"/>
          <w:szCs w:val="20"/>
        </w:rPr>
        <w:t>Надавати</w:t>
      </w:r>
      <w:proofErr w:type="spellEnd"/>
      <w:r w:rsidRPr="00E16672">
        <w:rPr>
          <w:rFonts w:ascii="Times New Roman" w:hAnsi="Times New Roman"/>
          <w:szCs w:val="20"/>
        </w:rPr>
        <w:t xml:space="preserve"> </w:t>
      </w:r>
      <w:proofErr w:type="spellStart"/>
      <w:r w:rsidRPr="00E16672">
        <w:rPr>
          <w:rFonts w:ascii="Times New Roman" w:hAnsi="Times New Roman"/>
          <w:szCs w:val="20"/>
        </w:rPr>
        <w:t>Керуючому</w:t>
      </w:r>
      <w:proofErr w:type="spellEnd"/>
      <w:r w:rsidRPr="00E16672">
        <w:rPr>
          <w:rFonts w:ascii="Times New Roman" w:hAnsi="Times New Roman"/>
          <w:szCs w:val="20"/>
        </w:rPr>
        <w:t xml:space="preserve"> </w:t>
      </w:r>
      <w:proofErr w:type="spellStart"/>
      <w:r w:rsidRPr="00E16672">
        <w:rPr>
          <w:rFonts w:ascii="Times New Roman" w:hAnsi="Times New Roman"/>
          <w:szCs w:val="20"/>
        </w:rPr>
        <w:t>рахунком</w:t>
      </w:r>
      <w:proofErr w:type="spellEnd"/>
      <w:r w:rsidRPr="00E16672">
        <w:rPr>
          <w:rFonts w:ascii="Times New Roman" w:hAnsi="Times New Roman"/>
          <w:szCs w:val="20"/>
        </w:rPr>
        <w:t xml:space="preserve"> </w:t>
      </w:r>
      <w:proofErr w:type="spellStart"/>
      <w:r w:rsidRPr="00E16672">
        <w:rPr>
          <w:rFonts w:ascii="Times New Roman" w:hAnsi="Times New Roman"/>
          <w:szCs w:val="20"/>
        </w:rPr>
        <w:t>додаткові</w:t>
      </w:r>
      <w:proofErr w:type="spellEnd"/>
      <w:r w:rsidRPr="00E16672">
        <w:rPr>
          <w:rFonts w:ascii="Times New Roman" w:hAnsi="Times New Roman"/>
          <w:szCs w:val="20"/>
        </w:rPr>
        <w:t xml:space="preserve"> (</w:t>
      </w:r>
      <w:proofErr w:type="spellStart"/>
      <w:r w:rsidRPr="00E16672">
        <w:rPr>
          <w:rFonts w:ascii="Times New Roman" w:hAnsi="Times New Roman"/>
          <w:szCs w:val="20"/>
        </w:rPr>
        <w:t>інформаційні</w:t>
      </w:r>
      <w:proofErr w:type="spellEnd"/>
      <w:r w:rsidRPr="00E16672">
        <w:rPr>
          <w:rFonts w:ascii="Times New Roman" w:hAnsi="Times New Roman"/>
          <w:szCs w:val="20"/>
        </w:rPr>
        <w:t xml:space="preserve"> та </w:t>
      </w:r>
      <w:proofErr w:type="spellStart"/>
      <w:r w:rsidRPr="00E16672">
        <w:rPr>
          <w:rFonts w:ascii="Times New Roman" w:hAnsi="Times New Roman"/>
          <w:szCs w:val="20"/>
        </w:rPr>
        <w:t>консультаційні</w:t>
      </w:r>
      <w:proofErr w:type="spellEnd"/>
      <w:r w:rsidRPr="00E16672">
        <w:rPr>
          <w:rFonts w:ascii="Times New Roman" w:hAnsi="Times New Roman"/>
          <w:szCs w:val="20"/>
        </w:rPr>
        <w:t xml:space="preserve">) </w:t>
      </w:r>
      <w:proofErr w:type="spellStart"/>
      <w:r w:rsidRPr="00E16672">
        <w:rPr>
          <w:rFonts w:ascii="Times New Roman" w:hAnsi="Times New Roman"/>
          <w:szCs w:val="20"/>
        </w:rPr>
        <w:t>послуги</w:t>
      </w:r>
      <w:proofErr w:type="spellEnd"/>
      <w:r w:rsidRPr="00E16672">
        <w:rPr>
          <w:rFonts w:ascii="Times New Roman" w:hAnsi="Times New Roman"/>
          <w:szCs w:val="20"/>
        </w:rPr>
        <w:t xml:space="preserve">, </w:t>
      </w:r>
      <w:proofErr w:type="spellStart"/>
      <w:r w:rsidRPr="00E16672">
        <w:rPr>
          <w:rFonts w:ascii="Times New Roman" w:hAnsi="Times New Roman"/>
          <w:szCs w:val="20"/>
        </w:rPr>
        <w:t>іншу</w:t>
      </w:r>
      <w:proofErr w:type="spellEnd"/>
      <w:r w:rsidRPr="00E16672">
        <w:rPr>
          <w:rFonts w:ascii="Times New Roman" w:hAnsi="Times New Roman"/>
          <w:szCs w:val="20"/>
        </w:rPr>
        <w:t xml:space="preserve"> </w:t>
      </w:r>
      <w:proofErr w:type="spellStart"/>
      <w:r w:rsidRPr="00E16672">
        <w:rPr>
          <w:rFonts w:ascii="Times New Roman" w:hAnsi="Times New Roman"/>
          <w:szCs w:val="20"/>
        </w:rPr>
        <w:t>інформацію</w:t>
      </w:r>
      <w:proofErr w:type="spellEnd"/>
      <w:r w:rsidRPr="00E16672">
        <w:rPr>
          <w:rFonts w:ascii="Times New Roman" w:hAnsi="Times New Roman"/>
          <w:szCs w:val="20"/>
        </w:rPr>
        <w:t xml:space="preserve">, яка </w:t>
      </w:r>
      <w:proofErr w:type="spellStart"/>
      <w:r w:rsidRPr="00E16672">
        <w:rPr>
          <w:rFonts w:ascii="Times New Roman" w:hAnsi="Times New Roman"/>
          <w:szCs w:val="20"/>
        </w:rPr>
        <w:t>необхідна</w:t>
      </w:r>
      <w:proofErr w:type="spellEnd"/>
      <w:r w:rsidRPr="00E16672">
        <w:rPr>
          <w:rFonts w:ascii="Times New Roman" w:hAnsi="Times New Roman"/>
          <w:szCs w:val="20"/>
        </w:rPr>
        <w:t xml:space="preserve"> </w:t>
      </w:r>
      <w:proofErr w:type="gramStart"/>
      <w:r w:rsidRPr="00E16672">
        <w:rPr>
          <w:rFonts w:ascii="Times New Roman" w:hAnsi="Times New Roman"/>
          <w:szCs w:val="20"/>
        </w:rPr>
        <w:t>Депоненту  для</w:t>
      </w:r>
      <w:proofErr w:type="gramEnd"/>
      <w:r w:rsidRPr="00E16672">
        <w:rPr>
          <w:rFonts w:ascii="Times New Roman" w:hAnsi="Times New Roman"/>
          <w:szCs w:val="20"/>
        </w:rPr>
        <w:t xml:space="preserve"> </w:t>
      </w:r>
      <w:proofErr w:type="spellStart"/>
      <w:r w:rsidRPr="00E16672">
        <w:rPr>
          <w:rFonts w:ascii="Times New Roman" w:hAnsi="Times New Roman"/>
          <w:szCs w:val="20"/>
        </w:rPr>
        <w:t>реалізації</w:t>
      </w:r>
      <w:proofErr w:type="spellEnd"/>
      <w:r w:rsidRPr="00E16672">
        <w:rPr>
          <w:rFonts w:ascii="Times New Roman" w:hAnsi="Times New Roman"/>
          <w:szCs w:val="20"/>
        </w:rPr>
        <w:t xml:space="preserve"> прав за </w:t>
      </w:r>
      <w:proofErr w:type="spellStart"/>
      <w:r w:rsidRPr="00E16672">
        <w:rPr>
          <w:rFonts w:ascii="Times New Roman" w:hAnsi="Times New Roman"/>
          <w:szCs w:val="20"/>
        </w:rPr>
        <w:t>цінними</w:t>
      </w:r>
      <w:proofErr w:type="spellEnd"/>
      <w:r w:rsidRPr="00E16672">
        <w:rPr>
          <w:rFonts w:ascii="Times New Roman" w:hAnsi="Times New Roman"/>
          <w:szCs w:val="20"/>
        </w:rPr>
        <w:t xml:space="preserve"> </w:t>
      </w:r>
      <w:proofErr w:type="spellStart"/>
      <w:r w:rsidRPr="00E16672">
        <w:rPr>
          <w:rFonts w:ascii="Times New Roman" w:hAnsi="Times New Roman"/>
          <w:szCs w:val="20"/>
        </w:rPr>
        <w:t>паперами</w:t>
      </w:r>
      <w:proofErr w:type="spellEnd"/>
      <w:r w:rsidRPr="00E16672">
        <w:rPr>
          <w:rFonts w:ascii="Times New Roman" w:hAnsi="Times New Roman"/>
          <w:szCs w:val="20"/>
        </w:rPr>
        <w:t xml:space="preserve">. </w:t>
      </w:r>
      <w:proofErr w:type="spellStart"/>
      <w:r w:rsidRPr="00E16672">
        <w:rPr>
          <w:rFonts w:ascii="Times New Roman" w:hAnsi="Times New Roman"/>
          <w:szCs w:val="20"/>
        </w:rPr>
        <w:t>Надавати</w:t>
      </w:r>
      <w:proofErr w:type="spellEnd"/>
      <w:r w:rsidRPr="00E16672">
        <w:rPr>
          <w:rFonts w:ascii="Times New Roman" w:hAnsi="Times New Roman"/>
          <w:szCs w:val="20"/>
        </w:rPr>
        <w:t xml:space="preserve"> </w:t>
      </w:r>
      <w:proofErr w:type="spellStart"/>
      <w:r w:rsidRPr="00E16672">
        <w:rPr>
          <w:rFonts w:ascii="Times New Roman" w:hAnsi="Times New Roman"/>
          <w:szCs w:val="20"/>
        </w:rPr>
        <w:t>Керуючому</w:t>
      </w:r>
      <w:proofErr w:type="spellEnd"/>
      <w:r w:rsidRPr="00E16672">
        <w:rPr>
          <w:rFonts w:ascii="Times New Roman" w:hAnsi="Times New Roman"/>
          <w:szCs w:val="20"/>
        </w:rPr>
        <w:t xml:space="preserve"> </w:t>
      </w:r>
      <w:proofErr w:type="spellStart"/>
      <w:r w:rsidRPr="00E16672">
        <w:rPr>
          <w:rFonts w:ascii="Times New Roman" w:hAnsi="Times New Roman"/>
          <w:szCs w:val="20"/>
        </w:rPr>
        <w:t>рахунком</w:t>
      </w:r>
      <w:proofErr w:type="spellEnd"/>
      <w:r w:rsidRPr="00E16672">
        <w:rPr>
          <w:rFonts w:ascii="Times New Roman" w:hAnsi="Times New Roman"/>
          <w:szCs w:val="20"/>
        </w:rPr>
        <w:t xml:space="preserve"> </w:t>
      </w:r>
      <w:proofErr w:type="spellStart"/>
      <w:r w:rsidRPr="00E16672">
        <w:rPr>
          <w:rFonts w:ascii="Times New Roman" w:hAnsi="Times New Roman"/>
          <w:szCs w:val="20"/>
        </w:rPr>
        <w:t>виписки</w:t>
      </w:r>
      <w:proofErr w:type="spellEnd"/>
      <w:r w:rsidRPr="00E16672">
        <w:rPr>
          <w:rFonts w:ascii="Times New Roman" w:hAnsi="Times New Roman"/>
          <w:szCs w:val="20"/>
        </w:rPr>
        <w:t xml:space="preserve"> з </w:t>
      </w:r>
      <w:proofErr w:type="spellStart"/>
      <w:r w:rsidRPr="00E16672">
        <w:rPr>
          <w:rFonts w:ascii="Times New Roman" w:hAnsi="Times New Roman"/>
          <w:szCs w:val="20"/>
        </w:rPr>
        <w:t>рахунку</w:t>
      </w:r>
      <w:proofErr w:type="spellEnd"/>
      <w:r w:rsidRPr="00E16672">
        <w:rPr>
          <w:rFonts w:ascii="Times New Roman" w:hAnsi="Times New Roman"/>
          <w:szCs w:val="20"/>
        </w:rPr>
        <w:t xml:space="preserve"> </w:t>
      </w:r>
      <w:r w:rsidR="00C22309" w:rsidRPr="00E16672">
        <w:rPr>
          <w:rFonts w:ascii="Times New Roman" w:hAnsi="Times New Roman"/>
          <w:szCs w:val="20"/>
        </w:rPr>
        <w:t xml:space="preserve">в </w:t>
      </w:r>
      <w:proofErr w:type="spellStart"/>
      <w:r w:rsidR="00C22309" w:rsidRPr="00E16672">
        <w:rPr>
          <w:rFonts w:ascii="Times New Roman" w:hAnsi="Times New Roman"/>
          <w:szCs w:val="20"/>
        </w:rPr>
        <w:t>цін</w:t>
      </w:r>
      <w:r w:rsidRPr="00E16672">
        <w:rPr>
          <w:rFonts w:ascii="Times New Roman" w:hAnsi="Times New Roman"/>
          <w:szCs w:val="20"/>
        </w:rPr>
        <w:t>них</w:t>
      </w:r>
      <w:proofErr w:type="spellEnd"/>
      <w:r w:rsidRPr="00E16672">
        <w:rPr>
          <w:rFonts w:ascii="Times New Roman" w:hAnsi="Times New Roman"/>
          <w:szCs w:val="20"/>
        </w:rPr>
        <w:t xml:space="preserve"> </w:t>
      </w:r>
      <w:proofErr w:type="spellStart"/>
      <w:r w:rsidRPr="00E16672">
        <w:rPr>
          <w:rFonts w:ascii="Times New Roman" w:hAnsi="Times New Roman"/>
          <w:szCs w:val="20"/>
        </w:rPr>
        <w:t>паперах</w:t>
      </w:r>
      <w:proofErr w:type="spellEnd"/>
      <w:r w:rsidRPr="00E16672">
        <w:rPr>
          <w:rFonts w:ascii="Times New Roman" w:hAnsi="Times New Roman"/>
          <w:szCs w:val="20"/>
        </w:rPr>
        <w:t xml:space="preserve"> Депонента, </w:t>
      </w:r>
      <w:proofErr w:type="spellStart"/>
      <w:r w:rsidRPr="00E16672">
        <w:rPr>
          <w:rFonts w:ascii="Times New Roman" w:hAnsi="Times New Roman"/>
          <w:szCs w:val="20"/>
        </w:rPr>
        <w:t>довідки</w:t>
      </w:r>
      <w:proofErr w:type="spellEnd"/>
      <w:r w:rsidRPr="00E16672">
        <w:rPr>
          <w:rFonts w:ascii="Times New Roman" w:hAnsi="Times New Roman"/>
          <w:szCs w:val="20"/>
        </w:rPr>
        <w:t xml:space="preserve"> </w:t>
      </w:r>
      <w:proofErr w:type="spellStart"/>
      <w:r w:rsidRPr="00E16672">
        <w:rPr>
          <w:rFonts w:ascii="Times New Roman" w:hAnsi="Times New Roman"/>
          <w:szCs w:val="20"/>
        </w:rPr>
        <w:t>або</w:t>
      </w:r>
      <w:proofErr w:type="spellEnd"/>
      <w:r w:rsidRPr="00E16672">
        <w:rPr>
          <w:rFonts w:ascii="Times New Roman" w:hAnsi="Times New Roman"/>
          <w:szCs w:val="20"/>
        </w:rPr>
        <w:t xml:space="preserve"> </w:t>
      </w:r>
      <w:proofErr w:type="spellStart"/>
      <w:r w:rsidRPr="00E16672">
        <w:rPr>
          <w:rFonts w:ascii="Times New Roman" w:hAnsi="Times New Roman"/>
          <w:szCs w:val="20"/>
        </w:rPr>
        <w:t>інші</w:t>
      </w:r>
      <w:proofErr w:type="spellEnd"/>
      <w:r w:rsidRPr="00E16672">
        <w:rPr>
          <w:rFonts w:ascii="Times New Roman" w:hAnsi="Times New Roman"/>
          <w:szCs w:val="20"/>
        </w:rPr>
        <w:t xml:space="preserve"> </w:t>
      </w:r>
      <w:proofErr w:type="spellStart"/>
      <w:r w:rsidRPr="00E16672">
        <w:rPr>
          <w:rFonts w:ascii="Times New Roman" w:hAnsi="Times New Roman"/>
          <w:szCs w:val="20"/>
        </w:rPr>
        <w:t>звіти</w:t>
      </w:r>
      <w:proofErr w:type="spellEnd"/>
      <w:r w:rsidRPr="00E16672">
        <w:rPr>
          <w:rFonts w:ascii="Times New Roman" w:hAnsi="Times New Roman"/>
          <w:szCs w:val="20"/>
        </w:rPr>
        <w:t xml:space="preserve"> по </w:t>
      </w:r>
      <w:proofErr w:type="spellStart"/>
      <w:r w:rsidRPr="00E16672">
        <w:rPr>
          <w:rFonts w:ascii="Times New Roman" w:hAnsi="Times New Roman"/>
          <w:szCs w:val="20"/>
        </w:rPr>
        <w:t>виконанню</w:t>
      </w:r>
      <w:proofErr w:type="spellEnd"/>
      <w:r w:rsidRPr="00E16672">
        <w:rPr>
          <w:rFonts w:ascii="Times New Roman" w:hAnsi="Times New Roman"/>
          <w:szCs w:val="20"/>
        </w:rPr>
        <w:t xml:space="preserve"> </w:t>
      </w:r>
      <w:proofErr w:type="spellStart"/>
      <w:r w:rsidRPr="00E16672">
        <w:rPr>
          <w:rFonts w:ascii="Times New Roman" w:hAnsi="Times New Roman"/>
          <w:szCs w:val="20"/>
        </w:rPr>
        <w:t>операцій</w:t>
      </w:r>
      <w:proofErr w:type="spellEnd"/>
      <w:r w:rsidRPr="00E16672">
        <w:rPr>
          <w:rFonts w:ascii="Times New Roman" w:hAnsi="Times New Roman"/>
          <w:szCs w:val="20"/>
        </w:rPr>
        <w:t xml:space="preserve">, </w:t>
      </w:r>
      <w:proofErr w:type="spellStart"/>
      <w:r w:rsidRPr="00E16672">
        <w:rPr>
          <w:rFonts w:ascii="Times New Roman" w:hAnsi="Times New Roman"/>
          <w:szCs w:val="20"/>
        </w:rPr>
        <w:t>які</w:t>
      </w:r>
      <w:proofErr w:type="spellEnd"/>
      <w:r w:rsidRPr="00E16672">
        <w:rPr>
          <w:rFonts w:ascii="Times New Roman" w:hAnsi="Times New Roman"/>
          <w:szCs w:val="20"/>
        </w:rPr>
        <w:t xml:space="preserve"> </w:t>
      </w:r>
      <w:proofErr w:type="spellStart"/>
      <w:r w:rsidRPr="00E16672">
        <w:rPr>
          <w:rFonts w:ascii="Times New Roman" w:hAnsi="Times New Roman"/>
          <w:szCs w:val="20"/>
        </w:rPr>
        <w:t>формуються</w:t>
      </w:r>
      <w:proofErr w:type="spellEnd"/>
      <w:r w:rsidRPr="00E16672">
        <w:rPr>
          <w:rFonts w:ascii="Times New Roman" w:hAnsi="Times New Roman"/>
          <w:szCs w:val="20"/>
        </w:rPr>
        <w:t xml:space="preserve"> </w:t>
      </w:r>
      <w:proofErr w:type="spellStart"/>
      <w:r w:rsidRPr="00E16672">
        <w:rPr>
          <w:rFonts w:ascii="Times New Roman" w:hAnsi="Times New Roman"/>
          <w:szCs w:val="20"/>
        </w:rPr>
        <w:t>програмним</w:t>
      </w:r>
      <w:proofErr w:type="spellEnd"/>
      <w:r w:rsidRPr="00E16672">
        <w:rPr>
          <w:rFonts w:ascii="Times New Roman" w:hAnsi="Times New Roman"/>
          <w:szCs w:val="20"/>
        </w:rPr>
        <w:t xml:space="preserve"> комплексом Центрального </w:t>
      </w:r>
      <w:proofErr w:type="spellStart"/>
      <w:r w:rsidRPr="00E16672">
        <w:rPr>
          <w:rFonts w:ascii="Times New Roman" w:hAnsi="Times New Roman"/>
          <w:szCs w:val="20"/>
        </w:rPr>
        <w:t>Депозитарію</w:t>
      </w:r>
      <w:proofErr w:type="spellEnd"/>
      <w:r w:rsidRPr="00E16672">
        <w:rPr>
          <w:rFonts w:ascii="Times New Roman" w:hAnsi="Times New Roman"/>
          <w:szCs w:val="20"/>
        </w:rPr>
        <w:t>.</w:t>
      </w:r>
    </w:p>
    <w:p w14:paraId="5CCC3C40" w14:textId="77777777" w:rsidR="000B00C3" w:rsidRPr="00E16672" w:rsidRDefault="000B00C3" w:rsidP="000B00C3">
      <w:pPr>
        <w:tabs>
          <w:tab w:val="left" w:pos="709"/>
        </w:tabs>
        <w:rPr>
          <w:rFonts w:ascii="Times New Roman" w:hAnsi="Times New Roman"/>
          <w:szCs w:val="20"/>
        </w:rPr>
      </w:pPr>
      <w:r w:rsidRPr="00E16672">
        <w:rPr>
          <w:rFonts w:ascii="Times New Roman" w:hAnsi="Times New Roman"/>
          <w:szCs w:val="20"/>
        </w:rPr>
        <w:t xml:space="preserve">2.2.5. У </w:t>
      </w:r>
      <w:proofErr w:type="spellStart"/>
      <w:r w:rsidRPr="00E16672">
        <w:rPr>
          <w:rFonts w:ascii="Times New Roman" w:hAnsi="Times New Roman"/>
          <w:szCs w:val="20"/>
        </w:rPr>
        <w:t>випадку</w:t>
      </w:r>
      <w:proofErr w:type="spellEnd"/>
      <w:r w:rsidRPr="00E16672">
        <w:rPr>
          <w:rFonts w:ascii="Times New Roman" w:hAnsi="Times New Roman"/>
          <w:szCs w:val="20"/>
        </w:rPr>
        <w:t xml:space="preserve"> початку Депозитарною </w:t>
      </w:r>
      <w:proofErr w:type="spellStart"/>
      <w:r w:rsidRPr="00E16672">
        <w:rPr>
          <w:rFonts w:ascii="Times New Roman" w:hAnsi="Times New Roman"/>
          <w:szCs w:val="20"/>
        </w:rPr>
        <w:t>установою</w:t>
      </w:r>
      <w:proofErr w:type="spellEnd"/>
      <w:r w:rsidRPr="00E16672">
        <w:rPr>
          <w:rFonts w:ascii="Times New Roman" w:hAnsi="Times New Roman"/>
          <w:szCs w:val="20"/>
        </w:rPr>
        <w:t xml:space="preserve"> </w:t>
      </w:r>
      <w:proofErr w:type="spellStart"/>
      <w:r w:rsidRPr="00E16672">
        <w:rPr>
          <w:rFonts w:ascii="Times New Roman" w:hAnsi="Times New Roman"/>
          <w:szCs w:val="20"/>
        </w:rPr>
        <w:t>процедури</w:t>
      </w:r>
      <w:proofErr w:type="spellEnd"/>
      <w:r w:rsidRPr="00E16672">
        <w:rPr>
          <w:rFonts w:ascii="Times New Roman" w:hAnsi="Times New Roman"/>
          <w:szCs w:val="20"/>
        </w:rPr>
        <w:t xml:space="preserve"> </w:t>
      </w:r>
      <w:proofErr w:type="spellStart"/>
      <w:r w:rsidRPr="00E16672">
        <w:rPr>
          <w:rFonts w:ascii="Times New Roman" w:hAnsi="Times New Roman"/>
          <w:szCs w:val="20"/>
        </w:rPr>
        <w:t>припинення</w:t>
      </w:r>
      <w:proofErr w:type="spellEnd"/>
      <w:r w:rsidRPr="00E16672">
        <w:rPr>
          <w:rFonts w:ascii="Times New Roman" w:hAnsi="Times New Roman"/>
          <w:szCs w:val="20"/>
        </w:rPr>
        <w:t xml:space="preserve"> нею </w:t>
      </w:r>
      <w:proofErr w:type="spellStart"/>
      <w:r w:rsidRPr="00E16672">
        <w:rPr>
          <w:rFonts w:ascii="Times New Roman" w:hAnsi="Times New Roman"/>
          <w:szCs w:val="20"/>
        </w:rPr>
        <w:t>провадження</w:t>
      </w:r>
      <w:proofErr w:type="spellEnd"/>
      <w:r w:rsidRPr="00E16672">
        <w:rPr>
          <w:rFonts w:ascii="Times New Roman" w:hAnsi="Times New Roman"/>
          <w:szCs w:val="20"/>
        </w:rPr>
        <w:t xml:space="preserve"> </w:t>
      </w:r>
      <w:proofErr w:type="spellStart"/>
      <w:r w:rsidRPr="00E16672">
        <w:rPr>
          <w:rFonts w:ascii="Times New Roman" w:hAnsi="Times New Roman"/>
          <w:szCs w:val="20"/>
        </w:rPr>
        <w:t>професійної</w:t>
      </w:r>
      <w:proofErr w:type="spellEnd"/>
      <w:r w:rsidRPr="00E16672">
        <w:rPr>
          <w:rFonts w:ascii="Times New Roman" w:hAnsi="Times New Roman"/>
          <w:szCs w:val="20"/>
        </w:rPr>
        <w:t xml:space="preserve"> </w:t>
      </w:r>
      <w:proofErr w:type="spellStart"/>
      <w:r w:rsidRPr="00E16672">
        <w:rPr>
          <w:rFonts w:ascii="Times New Roman" w:hAnsi="Times New Roman"/>
          <w:szCs w:val="20"/>
        </w:rPr>
        <w:t>діяльності</w:t>
      </w:r>
      <w:proofErr w:type="spellEnd"/>
      <w:r w:rsidRPr="00E16672">
        <w:rPr>
          <w:rFonts w:ascii="Times New Roman" w:hAnsi="Times New Roman"/>
          <w:szCs w:val="20"/>
        </w:rPr>
        <w:t xml:space="preserve"> </w:t>
      </w:r>
      <w:proofErr w:type="gramStart"/>
      <w:r w:rsidRPr="00E16672">
        <w:rPr>
          <w:rFonts w:ascii="Times New Roman" w:hAnsi="Times New Roman"/>
          <w:szCs w:val="20"/>
        </w:rPr>
        <w:t>на фондовому ринку</w:t>
      </w:r>
      <w:proofErr w:type="gramEnd"/>
      <w:r w:rsidRPr="00E16672">
        <w:rPr>
          <w:rFonts w:ascii="Times New Roman" w:hAnsi="Times New Roman"/>
          <w:szCs w:val="20"/>
        </w:rPr>
        <w:t xml:space="preserve"> - </w:t>
      </w:r>
      <w:proofErr w:type="spellStart"/>
      <w:r w:rsidRPr="00E16672">
        <w:rPr>
          <w:rFonts w:ascii="Times New Roman" w:hAnsi="Times New Roman"/>
          <w:szCs w:val="20"/>
        </w:rPr>
        <w:t>депозитарної</w:t>
      </w:r>
      <w:proofErr w:type="spellEnd"/>
      <w:r w:rsidRPr="00E16672">
        <w:rPr>
          <w:rFonts w:ascii="Times New Roman" w:hAnsi="Times New Roman"/>
          <w:szCs w:val="20"/>
        </w:rPr>
        <w:t xml:space="preserve"> </w:t>
      </w:r>
      <w:proofErr w:type="spellStart"/>
      <w:r w:rsidRPr="00E16672">
        <w:rPr>
          <w:rFonts w:ascii="Times New Roman" w:hAnsi="Times New Roman"/>
          <w:szCs w:val="20"/>
        </w:rPr>
        <w:t>діяльності</w:t>
      </w:r>
      <w:proofErr w:type="spellEnd"/>
      <w:r w:rsidRPr="00E16672">
        <w:rPr>
          <w:rFonts w:ascii="Times New Roman" w:hAnsi="Times New Roman"/>
          <w:szCs w:val="20"/>
        </w:rPr>
        <w:t xml:space="preserve"> </w:t>
      </w:r>
      <w:proofErr w:type="spellStart"/>
      <w:r w:rsidRPr="00E16672">
        <w:rPr>
          <w:rFonts w:ascii="Times New Roman" w:hAnsi="Times New Roman"/>
          <w:szCs w:val="20"/>
        </w:rPr>
        <w:t>депозитарної</w:t>
      </w:r>
      <w:proofErr w:type="spellEnd"/>
      <w:r w:rsidRPr="00E16672">
        <w:rPr>
          <w:rFonts w:ascii="Times New Roman" w:hAnsi="Times New Roman"/>
          <w:szCs w:val="20"/>
        </w:rPr>
        <w:t xml:space="preserve"> установи </w:t>
      </w:r>
      <w:proofErr w:type="spellStart"/>
      <w:r w:rsidRPr="00E16672">
        <w:rPr>
          <w:rFonts w:ascii="Times New Roman" w:hAnsi="Times New Roman"/>
          <w:szCs w:val="20"/>
        </w:rPr>
        <w:t>відповідно</w:t>
      </w:r>
      <w:proofErr w:type="spellEnd"/>
      <w:r w:rsidRPr="00E16672">
        <w:rPr>
          <w:rFonts w:ascii="Times New Roman" w:hAnsi="Times New Roman"/>
          <w:szCs w:val="20"/>
        </w:rPr>
        <w:t xml:space="preserve"> до </w:t>
      </w:r>
      <w:proofErr w:type="spellStart"/>
      <w:r w:rsidRPr="00E16672">
        <w:rPr>
          <w:rFonts w:ascii="Times New Roman" w:hAnsi="Times New Roman"/>
          <w:szCs w:val="20"/>
        </w:rPr>
        <w:t>вимог</w:t>
      </w:r>
      <w:proofErr w:type="spellEnd"/>
      <w:r w:rsidRPr="00E16672">
        <w:rPr>
          <w:rFonts w:ascii="Times New Roman" w:hAnsi="Times New Roman"/>
          <w:szCs w:val="20"/>
        </w:rPr>
        <w:t xml:space="preserve"> нормативно-правового акта </w:t>
      </w:r>
      <w:proofErr w:type="spellStart"/>
      <w:r w:rsidRPr="00E16672">
        <w:rPr>
          <w:rFonts w:ascii="Times New Roman" w:hAnsi="Times New Roman"/>
          <w:szCs w:val="20"/>
        </w:rPr>
        <w:t>щодо</w:t>
      </w:r>
      <w:proofErr w:type="spellEnd"/>
      <w:r w:rsidRPr="00E16672">
        <w:rPr>
          <w:rFonts w:ascii="Times New Roman" w:hAnsi="Times New Roman"/>
          <w:szCs w:val="20"/>
        </w:rPr>
        <w:t xml:space="preserve"> </w:t>
      </w:r>
      <w:proofErr w:type="spellStart"/>
      <w:r w:rsidRPr="00E16672">
        <w:rPr>
          <w:rFonts w:ascii="Times New Roman" w:hAnsi="Times New Roman"/>
          <w:szCs w:val="20"/>
        </w:rPr>
        <w:t>припинення</w:t>
      </w:r>
      <w:proofErr w:type="spellEnd"/>
      <w:r w:rsidRPr="00E16672">
        <w:rPr>
          <w:rFonts w:ascii="Times New Roman" w:hAnsi="Times New Roman"/>
          <w:szCs w:val="20"/>
        </w:rPr>
        <w:t xml:space="preserve"> </w:t>
      </w:r>
      <w:proofErr w:type="spellStart"/>
      <w:r w:rsidRPr="00E16672">
        <w:rPr>
          <w:rFonts w:ascii="Times New Roman" w:hAnsi="Times New Roman"/>
          <w:szCs w:val="20"/>
        </w:rPr>
        <w:t>депозитарної</w:t>
      </w:r>
      <w:proofErr w:type="spellEnd"/>
      <w:r w:rsidRPr="00E16672">
        <w:rPr>
          <w:rFonts w:ascii="Times New Roman" w:hAnsi="Times New Roman"/>
          <w:szCs w:val="20"/>
        </w:rPr>
        <w:t xml:space="preserve"> </w:t>
      </w:r>
      <w:proofErr w:type="spellStart"/>
      <w:r w:rsidRPr="00E16672">
        <w:rPr>
          <w:rFonts w:ascii="Times New Roman" w:hAnsi="Times New Roman"/>
          <w:szCs w:val="20"/>
        </w:rPr>
        <w:t>діяльності</w:t>
      </w:r>
      <w:proofErr w:type="spellEnd"/>
      <w:r w:rsidRPr="00E16672">
        <w:rPr>
          <w:rFonts w:ascii="Times New Roman" w:hAnsi="Times New Roman"/>
          <w:szCs w:val="20"/>
        </w:rPr>
        <w:t xml:space="preserve"> </w:t>
      </w:r>
      <w:proofErr w:type="spellStart"/>
      <w:r w:rsidRPr="00E16672">
        <w:rPr>
          <w:rFonts w:ascii="Times New Roman" w:hAnsi="Times New Roman"/>
          <w:szCs w:val="20"/>
        </w:rPr>
        <w:t>депозитарної</w:t>
      </w:r>
      <w:proofErr w:type="spellEnd"/>
      <w:r w:rsidRPr="00E16672">
        <w:rPr>
          <w:rFonts w:ascii="Times New Roman" w:hAnsi="Times New Roman"/>
          <w:szCs w:val="20"/>
        </w:rPr>
        <w:t xml:space="preserve"> установи </w:t>
      </w:r>
      <w:proofErr w:type="spellStart"/>
      <w:r w:rsidRPr="00E16672">
        <w:rPr>
          <w:rFonts w:ascii="Times New Roman" w:hAnsi="Times New Roman"/>
          <w:szCs w:val="20"/>
        </w:rPr>
        <w:t>виконувати</w:t>
      </w:r>
      <w:proofErr w:type="spellEnd"/>
      <w:r w:rsidRPr="00E16672">
        <w:rPr>
          <w:rFonts w:ascii="Times New Roman" w:hAnsi="Times New Roman"/>
          <w:szCs w:val="20"/>
        </w:rPr>
        <w:t xml:space="preserve"> </w:t>
      </w:r>
      <w:proofErr w:type="spellStart"/>
      <w:r w:rsidRPr="00E16672">
        <w:rPr>
          <w:rFonts w:ascii="Times New Roman" w:hAnsi="Times New Roman"/>
          <w:szCs w:val="20"/>
        </w:rPr>
        <w:t>тільки</w:t>
      </w:r>
      <w:proofErr w:type="spellEnd"/>
      <w:r w:rsidRPr="00E16672">
        <w:rPr>
          <w:rFonts w:ascii="Times New Roman" w:hAnsi="Times New Roman"/>
          <w:szCs w:val="20"/>
        </w:rPr>
        <w:t xml:space="preserve"> </w:t>
      </w:r>
      <w:proofErr w:type="spellStart"/>
      <w:r w:rsidRPr="00E16672">
        <w:rPr>
          <w:rFonts w:ascii="Times New Roman" w:hAnsi="Times New Roman"/>
          <w:szCs w:val="20"/>
        </w:rPr>
        <w:t>ті</w:t>
      </w:r>
      <w:proofErr w:type="spellEnd"/>
      <w:r w:rsidRPr="00E16672">
        <w:rPr>
          <w:rFonts w:ascii="Times New Roman" w:hAnsi="Times New Roman"/>
          <w:szCs w:val="20"/>
        </w:rPr>
        <w:t xml:space="preserve"> </w:t>
      </w:r>
      <w:proofErr w:type="spellStart"/>
      <w:r w:rsidRPr="00E16672">
        <w:rPr>
          <w:rFonts w:ascii="Times New Roman" w:hAnsi="Times New Roman"/>
          <w:szCs w:val="20"/>
        </w:rPr>
        <w:t>розпорядження</w:t>
      </w:r>
      <w:proofErr w:type="spellEnd"/>
      <w:r w:rsidRPr="00E16672">
        <w:rPr>
          <w:rFonts w:ascii="Times New Roman" w:hAnsi="Times New Roman"/>
          <w:szCs w:val="20"/>
        </w:rPr>
        <w:t xml:space="preserve"> </w:t>
      </w:r>
      <w:proofErr w:type="spellStart"/>
      <w:r w:rsidRPr="00E16672">
        <w:rPr>
          <w:rFonts w:ascii="Times New Roman" w:hAnsi="Times New Roman"/>
          <w:szCs w:val="20"/>
        </w:rPr>
        <w:t>Керуючого</w:t>
      </w:r>
      <w:proofErr w:type="spellEnd"/>
      <w:r w:rsidRPr="00E16672">
        <w:rPr>
          <w:rFonts w:ascii="Times New Roman" w:hAnsi="Times New Roman"/>
          <w:szCs w:val="20"/>
        </w:rPr>
        <w:t xml:space="preserve"> </w:t>
      </w:r>
      <w:proofErr w:type="spellStart"/>
      <w:r w:rsidRPr="00E16672">
        <w:rPr>
          <w:rFonts w:ascii="Times New Roman" w:hAnsi="Times New Roman"/>
          <w:szCs w:val="20"/>
        </w:rPr>
        <w:t>рахунком</w:t>
      </w:r>
      <w:proofErr w:type="spellEnd"/>
      <w:r w:rsidRPr="00E16672">
        <w:rPr>
          <w:rFonts w:ascii="Times New Roman" w:hAnsi="Times New Roman"/>
          <w:szCs w:val="20"/>
        </w:rPr>
        <w:t xml:space="preserve">, </w:t>
      </w:r>
      <w:proofErr w:type="spellStart"/>
      <w:r w:rsidRPr="00E16672">
        <w:rPr>
          <w:rFonts w:ascii="Times New Roman" w:hAnsi="Times New Roman"/>
          <w:szCs w:val="20"/>
        </w:rPr>
        <w:t>виконання</w:t>
      </w:r>
      <w:proofErr w:type="spellEnd"/>
      <w:r w:rsidRPr="00E16672">
        <w:rPr>
          <w:rFonts w:ascii="Times New Roman" w:hAnsi="Times New Roman"/>
          <w:szCs w:val="20"/>
        </w:rPr>
        <w:t xml:space="preserve"> </w:t>
      </w:r>
      <w:proofErr w:type="spellStart"/>
      <w:r w:rsidRPr="00E16672">
        <w:rPr>
          <w:rFonts w:ascii="Times New Roman" w:hAnsi="Times New Roman"/>
          <w:szCs w:val="20"/>
        </w:rPr>
        <w:t>яких</w:t>
      </w:r>
      <w:proofErr w:type="spellEnd"/>
      <w:r w:rsidRPr="00E16672">
        <w:rPr>
          <w:rFonts w:ascii="Times New Roman" w:hAnsi="Times New Roman"/>
          <w:szCs w:val="20"/>
        </w:rPr>
        <w:t xml:space="preserve"> не заборонено </w:t>
      </w:r>
      <w:proofErr w:type="spellStart"/>
      <w:r w:rsidRPr="00E16672">
        <w:rPr>
          <w:rFonts w:ascii="Times New Roman" w:hAnsi="Times New Roman"/>
          <w:szCs w:val="20"/>
        </w:rPr>
        <w:t>цим</w:t>
      </w:r>
      <w:proofErr w:type="spellEnd"/>
      <w:r w:rsidRPr="00E16672">
        <w:rPr>
          <w:rFonts w:ascii="Times New Roman" w:hAnsi="Times New Roman"/>
          <w:szCs w:val="20"/>
        </w:rPr>
        <w:t xml:space="preserve"> нормативно-</w:t>
      </w:r>
      <w:proofErr w:type="spellStart"/>
      <w:r w:rsidRPr="00E16672">
        <w:rPr>
          <w:rFonts w:ascii="Times New Roman" w:hAnsi="Times New Roman"/>
          <w:szCs w:val="20"/>
        </w:rPr>
        <w:t>правовим</w:t>
      </w:r>
      <w:proofErr w:type="spellEnd"/>
      <w:r w:rsidRPr="00E16672">
        <w:rPr>
          <w:rFonts w:ascii="Times New Roman" w:hAnsi="Times New Roman"/>
          <w:szCs w:val="20"/>
        </w:rPr>
        <w:t xml:space="preserve"> актом. </w:t>
      </w:r>
    </w:p>
    <w:p w14:paraId="22304422" w14:textId="77777777" w:rsidR="000B00C3" w:rsidRPr="00E16672" w:rsidRDefault="000B00C3" w:rsidP="000B00C3">
      <w:pPr>
        <w:tabs>
          <w:tab w:val="left" w:pos="709"/>
        </w:tabs>
        <w:rPr>
          <w:rFonts w:ascii="Times New Roman" w:hAnsi="Times New Roman"/>
          <w:szCs w:val="20"/>
        </w:rPr>
      </w:pPr>
      <w:r w:rsidRPr="00E16672">
        <w:rPr>
          <w:rFonts w:ascii="Times New Roman" w:hAnsi="Times New Roman"/>
          <w:szCs w:val="20"/>
        </w:rPr>
        <w:t xml:space="preserve">2.2.6. </w:t>
      </w:r>
      <w:proofErr w:type="spellStart"/>
      <w:r w:rsidRPr="00E16672">
        <w:rPr>
          <w:rFonts w:ascii="Times New Roman" w:hAnsi="Times New Roman"/>
          <w:szCs w:val="20"/>
        </w:rPr>
        <w:t>Вносити</w:t>
      </w:r>
      <w:proofErr w:type="spellEnd"/>
      <w:r w:rsidRPr="00E16672">
        <w:rPr>
          <w:rFonts w:ascii="Times New Roman" w:hAnsi="Times New Roman"/>
          <w:szCs w:val="20"/>
        </w:rPr>
        <w:t xml:space="preserve"> </w:t>
      </w:r>
      <w:proofErr w:type="spellStart"/>
      <w:r w:rsidRPr="00E16672">
        <w:rPr>
          <w:rFonts w:ascii="Times New Roman" w:hAnsi="Times New Roman"/>
          <w:szCs w:val="20"/>
        </w:rPr>
        <w:t>зміни</w:t>
      </w:r>
      <w:proofErr w:type="spellEnd"/>
      <w:r w:rsidRPr="00E16672">
        <w:rPr>
          <w:rFonts w:ascii="Times New Roman" w:hAnsi="Times New Roman"/>
          <w:szCs w:val="20"/>
        </w:rPr>
        <w:t xml:space="preserve"> до </w:t>
      </w:r>
      <w:proofErr w:type="spellStart"/>
      <w:r w:rsidRPr="00E16672">
        <w:rPr>
          <w:rFonts w:ascii="Times New Roman" w:hAnsi="Times New Roman"/>
          <w:szCs w:val="20"/>
        </w:rPr>
        <w:t>внутрішніх</w:t>
      </w:r>
      <w:proofErr w:type="spellEnd"/>
      <w:r w:rsidRPr="00E16672">
        <w:rPr>
          <w:rFonts w:ascii="Times New Roman" w:hAnsi="Times New Roman"/>
          <w:szCs w:val="20"/>
        </w:rPr>
        <w:t xml:space="preserve"> </w:t>
      </w:r>
      <w:proofErr w:type="spellStart"/>
      <w:r w:rsidRPr="00E16672">
        <w:rPr>
          <w:rFonts w:ascii="Times New Roman" w:hAnsi="Times New Roman"/>
          <w:szCs w:val="20"/>
        </w:rPr>
        <w:t>документів</w:t>
      </w:r>
      <w:proofErr w:type="spellEnd"/>
      <w:r w:rsidRPr="00E16672">
        <w:rPr>
          <w:rFonts w:ascii="Times New Roman" w:hAnsi="Times New Roman"/>
          <w:szCs w:val="20"/>
        </w:rPr>
        <w:t xml:space="preserve"> </w:t>
      </w:r>
      <w:proofErr w:type="spellStart"/>
      <w:r w:rsidRPr="00E16672">
        <w:rPr>
          <w:rFonts w:ascii="Times New Roman" w:hAnsi="Times New Roman"/>
          <w:szCs w:val="20"/>
        </w:rPr>
        <w:t>Депозитарної</w:t>
      </w:r>
      <w:proofErr w:type="spellEnd"/>
      <w:r w:rsidRPr="00E16672">
        <w:rPr>
          <w:rFonts w:ascii="Times New Roman" w:hAnsi="Times New Roman"/>
          <w:szCs w:val="20"/>
        </w:rPr>
        <w:t xml:space="preserve"> установи та </w:t>
      </w:r>
      <w:proofErr w:type="spellStart"/>
      <w:r w:rsidRPr="00E16672">
        <w:rPr>
          <w:rFonts w:ascii="Times New Roman" w:hAnsi="Times New Roman"/>
          <w:szCs w:val="20"/>
        </w:rPr>
        <w:t>тарифів</w:t>
      </w:r>
      <w:proofErr w:type="spellEnd"/>
      <w:r w:rsidRPr="00E16672">
        <w:rPr>
          <w:rFonts w:ascii="Times New Roman" w:hAnsi="Times New Roman"/>
          <w:szCs w:val="20"/>
        </w:rPr>
        <w:t xml:space="preserve"> </w:t>
      </w:r>
      <w:proofErr w:type="spellStart"/>
      <w:r w:rsidRPr="00E16672">
        <w:rPr>
          <w:rFonts w:ascii="Times New Roman" w:hAnsi="Times New Roman"/>
          <w:szCs w:val="20"/>
        </w:rPr>
        <w:t>Депозитарної</w:t>
      </w:r>
      <w:proofErr w:type="spellEnd"/>
      <w:r w:rsidRPr="00E16672">
        <w:rPr>
          <w:rFonts w:ascii="Times New Roman" w:hAnsi="Times New Roman"/>
          <w:szCs w:val="20"/>
        </w:rPr>
        <w:t xml:space="preserve"> установи.</w:t>
      </w:r>
    </w:p>
    <w:p w14:paraId="30B2A0DF" w14:textId="77777777" w:rsidR="000B00C3" w:rsidRPr="00E16672" w:rsidRDefault="000B00C3" w:rsidP="000B00C3">
      <w:pPr>
        <w:suppressAutoHyphens w:val="0"/>
        <w:autoSpaceDE w:val="0"/>
        <w:autoSpaceDN w:val="0"/>
        <w:adjustRightInd w:val="0"/>
        <w:rPr>
          <w:rFonts w:ascii="Times New Roman" w:hAnsi="Times New Roman"/>
          <w:strike/>
          <w:szCs w:val="20"/>
          <w:lang w:val="uk-UA"/>
        </w:rPr>
      </w:pPr>
      <w:r w:rsidRPr="00E16672">
        <w:rPr>
          <w:rFonts w:ascii="Times New Roman" w:hAnsi="Times New Roman"/>
          <w:szCs w:val="20"/>
        </w:rPr>
        <w:t xml:space="preserve">2.2.7. </w:t>
      </w:r>
      <w:proofErr w:type="spellStart"/>
      <w:r w:rsidRPr="00E16672">
        <w:rPr>
          <w:rFonts w:ascii="Times New Roman" w:hAnsi="Times New Roman"/>
          <w:szCs w:val="20"/>
        </w:rPr>
        <w:t>Закрити</w:t>
      </w:r>
      <w:proofErr w:type="spellEnd"/>
      <w:r w:rsidRPr="00E16672">
        <w:rPr>
          <w:rFonts w:ascii="Times New Roman" w:hAnsi="Times New Roman"/>
          <w:szCs w:val="20"/>
        </w:rPr>
        <w:t xml:space="preserve"> </w:t>
      </w:r>
      <w:proofErr w:type="spellStart"/>
      <w:r w:rsidRPr="00E16672">
        <w:rPr>
          <w:rFonts w:ascii="Times New Roman" w:hAnsi="Times New Roman"/>
          <w:szCs w:val="20"/>
        </w:rPr>
        <w:t>рахунок</w:t>
      </w:r>
      <w:proofErr w:type="spellEnd"/>
      <w:r w:rsidRPr="00E16672">
        <w:rPr>
          <w:rFonts w:ascii="Times New Roman" w:hAnsi="Times New Roman"/>
          <w:szCs w:val="20"/>
        </w:rPr>
        <w:t xml:space="preserve"> </w:t>
      </w:r>
      <w:r w:rsidR="00C22309" w:rsidRPr="00E16672">
        <w:rPr>
          <w:rFonts w:ascii="Times New Roman" w:hAnsi="Times New Roman"/>
          <w:szCs w:val="20"/>
        </w:rPr>
        <w:t xml:space="preserve">в </w:t>
      </w:r>
      <w:proofErr w:type="spellStart"/>
      <w:r w:rsidR="00C22309" w:rsidRPr="00E16672">
        <w:rPr>
          <w:rFonts w:ascii="Times New Roman" w:hAnsi="Times New Roman"/>
          <w:szCs w:val="20"/>
        </w:rPr>
        <w:t>цін</w:t>
      </w:r>
      <w:r w:rsidRPr="00E16672">
        <w:rPr>
          <w:rFonts w:ascii="Times New Roman" w:hAnsi="Times New Roman"/>
          <w:szCs w:val="20"/>
        </w:rPr>
        <w:t>них</w:t>
      </w:r>
      <w:proofErr w:type="spellEnd"/>
      <w:r w:rsidRPr="00E16672">
        <w:rPr>
          <w:rFonts w:ascii="Times New Roman" w:hAnsi="Times New Roman"/>
          <w:szCs w:val="20"/>
        </w:rPr>
        <w:t xml:space="preserve"> </w:t>
      </w:r>
      <w:proofErr w:type="spellStart"/>
      <w:r w:rsidRPr="00E16672">
        <w:rPr>
          <w:rFonts w:ascii="Times New Roman" w:hAnsi="Times New Roman"/>
          <w:szCs w:val="20"/>
        </w:rPr>
        <w:t>паперах</w:t>
      </w:r>
      <w:proofErr w:type="spellEnd"/>
      <w:r w:rsidRPr="00E16672">
        <w:rPr>
          <w:rFonts w:ascii="Times New Roman" w:hAnsi="Times New Roman"/>
          <w:szCs w:val="20"/>
        </w:rPr>
        <w:t xml:space="preserve"> Депонента, на </w:t>
      </w:r>
      <w:proofErr w:type="spellStart"/>
      <w:r w:rsidRPr="00E16672">
        <w:rPr>
          <w:rFonts w:ascii="Times New Roman" w:hAnsi="Times New Roman"/>
          <w:szCs w:val="20"/>
        </w:rPr>
        <w:t>якому</w:t>
      </w:r>
      <w:proofErr w:type="spellEnd"/>
      <w:r w:rsidRPr="00E16672">
        <w:rPr>
          <w:rFonts w:ascii="Times New Roman" w:hAnsi="Times New Roman"/>
          <w:szCs w:val="20"/>
        </w:rPr>
        <w:t xml:space="preserve"> </w:t>
      </w:r>
      <w:r w:rsidRPr="00E16672">
        <w:rPr>
          <w:rFonts w:ascii="Times New Roman" w:hAnsi="Times New Roman"/>
          <w:szCs w:val="20"/>
          <w:lang w:val="uk-UA"/>
        </w:rPr>
        <w:t xml:space="preserve">відсутні </w:t>
      </w:r>
      <w:r w:rsidRPr="00E16672">
        <w:rPr>
          <w:rFonts w:ascii="Times New Roman" w:hAnsi="Times New Roman"/>
          <w:szCs w:val="20"/>
        </w:rPr>
        <w:t xml:space="preserve">права на </w:t>
      </w:r>
      <w:proofErr w:type="spellStart"/>
      <w:r w:rsidRPr="00E16672">
        <w:rPr>
          <w:rFonts w:ascii="Times New Roman" w:hAnsi="Times New Roman"/>
          <w:szCs w:val="20"/>
        </w:rPr>
        <w:t>цінні</w:t>
      </w:r>
      <w:proofErr w:type="spellEnd"/>
      <w:r w:rsidRPr="00E16672">
        <w:rPr>
          <w:rFonts w:ascii="Times New Roman" w:hAnsi="Times New Roman"/>
          <w:szCs w:val="20"/>
        </w:rPr>
        <w:t xml:space="preserve"> </w:t>
      </w:r>
      <w:proofErr w:type="spellStart"/>
      <w:r w:rsidRPr="00E16672">
        <w:rPr>
          <w:rFonts w:ascii="Times New Roman" w:hAnsi="Times New Roman"/>
          <w:szCs w:val="20"/>
        </w:rPr>
        <w:t>папери</w:t>
      </w:r>
      <w:proofErr w:type="spellEnd"/>
      <w:r w:rsidRPr="00E16672">
        <w:rPr>
          <w:rFonts w:ascii="Times New Roman" w:hAnsi="Times New Roman"/>
          <w:szCs w:val="20"/>
        </w:rPr>
        <w:t xml:space="preserve">, без </w:t>
      </w:r>
      <w:proofErr w:type="spellStart"/>
      <w:r w:rsidRPr="00E16672">
        <w:rPr>
          <w:rFonts w:ascii="Times New Roman" w:hAnsi="Times New Roman"/>
          <w:szCs w:val="20"/>
        </w:rPr>
        <w:t>розпорядження</w:t>
      </w:r>
      <w:proofErr w:type="spellEnd"/>
      <w:r w:rsidRPr="00E16672">
        <w:rPr>
          <w:rFonts w:ascii="Times New Roman" w:hAnsi="Times New Roman"/>
          <w:szCs w:val="20"/>
        </w:rPr>
        <w:t xml:space="preserve"> </w:t>
      </w:r>
      <w:proofErr w:type="spellStart"/>
      <w:r w:rsidRPr="00E16672">
        <w:rPr>
          <w:rFonts w:ascii="Times New Roman" w:hAnsi="Times New Roman"/>
          <w:szCs w:val="20"/>
        </w:rPr>
        <w:t>Керуючого</w:t>
      </w:r>
      <w:proofErr w:type="spellEnd"/>
      <w:r w:rsidRPr="00E16672">
        <w:rPr>
          <w:rFonts w:ascii="Times New Roman" w:hAnsi="Times New Roman"/>
          <w:szCs w:val="20"/>
        </w:rPr>
        <w:t xml:space="preserve"> </w:t>
      </w:r>
      <w:proofErr w:type="spellStart"/>
      <w:r w:rsidRPr="00E16672">
        <w:rPr>
          <w:rFonts w:ascii="Times New Roman" w:hAnsi="Times New Roman"/>
          <w:szCs w:val="20"/>
        </w:rPr>
        <w:t>рахунком</w:t>
      </w:r>
      <w:proofErr w:type="spellEnd"/>
      <w:r w:rsidRPr="00E16672">
        <w:rPr>
          <w:rFonts w:ascii="Times New Roman" w:hAnsi="Times New Roman"/>
          <w:szCs w:val="20"/>
        </w:rPr>
        <w:t xml:space="preserve"> про </w:t>
      </w:r>
      <w:proofErr w:type="spellStart"/>
      <w:r w:rsidRPr="00E16672">
        <w:rPr>
          <w:rFonts w:ascii="Times New Roman" w:hAnsi="Times New Roman"/>
          <w:szCs w:val="20"/>
        </w:rPr>
        <w:t>закриття</w:t>
      </w:r>
      <w:proofErr w:type="spellEnd"/>
      <w:r w:rsidRPr="00E16672">
        <w:rPr>
          <w:rFonts w:ascii="Times New Roman" w:hAnsi="Times New Roman"/>
          <w:szCs w:val="20"/>
        </w:rPr>
        <w:t xml:space="preserve"> </w:t>
      </w:r>
      <w:proofErr w:type="spellStart"/>
      <w:r w:rsidRPr="00E16672">
        <w:rPr>
          <w:rFonts w:ascii="Times New Roman" w:hAnsi="Times New Roman"/>
          <w:szCs w:val="20"/>
        </w:rPr>
        <w:t>рахунку</w:t>
      </w:r>
      <w:proofErr w:type="spellEnd"/>
      <w:r w:rsidRPr="00E16672">
        <w:rPr>
          <w:rFonts w:ascii="Times New Roman" w:hAnsi="Times New Roman"/>
          <w:szCs w:val="20"/>
        </w:rPr>
        <w:t xml:space="preserve"> в </w:t>
      </w:r>
      <w:proofErr w:type="spellStart"/>
      <w:r w:rsidRPr="00E16672">
        <w:rPr>
          <w:rFonts w:ascii="Times New Roman" w:hAnsi="Times New Roman"/>
          <w:szCs w:val="20"/>
        </w:rPr>
        <w:t>цінних</w:t>
      </w:r>
      <w:proofErr w:type="spellEnd"/>
      <w:r w:rsidRPr="00E16672">
        <w:rPr>
          <w:rFonts w:ascii="Times New Roman" w:hAnsi="Times New Roman"/>
          <w:szCs w:val="20"/>
        </w:rPr>
        <w:t xml:space="preserve"> </w:t>
      </w:r>
      <w:proofErr w:type="spellStart"/>
      <w:r w:rsidRPr="00E16672">
        <w:rPr>
          <w:rFonts w:ascii="Times New Roman" w:hAnsi="Times New Roman"/>
          <w:szCs w:val="20"/>
        </w:rPr>
        <w:t>паперах</w:t>
      </w:r>
      <w:proofErr w:type="spellEnd"/>
      <w:r w:rsidRPr="00E16672">
        <w:rPr>
          <w:rFonts w:ascii="Times New Roman" w:hAnsi="Times New Roman"/>
          <w:szCs w:val="20"/>
        </w:rPr>
        <w:t xml:space="preserve"> </w:t>
      </w:r>
      <w:r w:rsidRPr="00E16672">
        <w:rPr>
          <w:rFonts w:ascii="Times New Roman" w:hAnsi="Times New Roman"/>
          <w:szCs w:val="20"/>
          <w:lang w:val="uk-UA"/>
        </w:rPr>
        <w:t xml:space="preserve">та розірвати Договір в односторонньому порядку у разі припинення здійснення Депозитарною установою </w:t>
      </w:r>
      <w:r w:rsidRPr="00E16672">
        <w:rPr>
          <w:rFonts w:ascii="Times New Roman" w:hAnsi="Times New Roman"/>
          <w:szCs w:val="20"/>
          <w:lang w:val="uk-UA" w:eastAsia="uk-UA"/>
        </w:rPr>
        <w:t xml:space="preserve">діяльності депозитарної установи відповідно до вимог нормативно-правового </w:t>
      </w:r>
      <w:proofErr w:type="spellStart"/>
      <w:r w:rsidRPr="00E16672">
        <w:rPr>
          <w:rFonts w:ascii="Times New Roman" w:hAnsi="Times New Roman"/>
          <w:szCs w:val="20"/>
          <w:lang w:val="uk-UA" w:eastAsia="uk-UA"/>
        </w:rPr>
        <w:t>акта</w:t>
      </w:r>
      <w:proofErr w:type="spellEnd"/>
      <w:r w:rsidRPr="00E16672">
        <w:rPr>
          <w:rFonts w:ascii="Times New Roman" w:hAnsi="Times New Roman"/>
          <w:szCs w:val="20"/>
          <w:lang w:val="uk-UA" w:eastAsia="uk-UA"/>
        </w:rPr>
        <w:t xml:space="preserve"> щодо припинення депозитарної діяльності депозитарної установи, у разі виконання безумовної операції списання цінних паперів у порядку спадкування (в тому числі на підставі рішення суду або документів виконавчого провадження), ліквідації юридичної особи, що підтверджується відомостями Єдиного державного реєстру юридичних осіб, фізичних осіб-підприємців та громадських формувань.</w:t>
      </w:r>
      <w:r w:rsidRPr="00E16672">
        <w:rPr>
          <w:rFonts w:ascii="Times New Roman" w:hAnsi="Times New Roman"/>
          <w:szCs w:val="20"/>
          <w:lang w:val="uk-UA"/>
        </w:rPr>
        <w:t>, а також у разі розірвання цього Договору.</w:t>
      </w:r>
    </w:p>
    <w:p w14:paraId="4FD260A7" w14:textId="77777777" w:rsidR="000B00C3" w:rsidRPr="00E16672" w:rsidRDefault="000B00C3" w:rsidP="00022F5F">
      <w:pPr>
        <w:pStyle w:val="aff0"/>
        <w:jc w:val="left"/>
        <w:rPr>
          <w:rFonts w:ascii="Times New Roman" w:hAnsi="Times New Roman"/>
          <w:bCs/>
          <w:lang w:val="uk-UA"/>
        </w:rPr>
      </w:pPr>
      <w:r w:rsidRPr="00E16672">
        <w:rPr>
          <w:rFonts w:ascii="Times New Roman" w:hAnsi="Times New Roman"/>
          <w:lang w:val="uk-UA"/>
        </w:rPr>
        <w:t xml:space="preserve">2.2.8. </w:t>
      </w:r>
      <w:r w:rsidRPr="00E16672">
        <w:rPr>
          <w:rFonts w:ascii="Times New Roman" w:hAnsi="Times New Roman"/>
          <w:bCs/>
          <w:lang w:val="uk-UA"/>
        </w:rPr>
        <w:t xml:space="preserve">При здійсненні розрахунків за правочинами щодо цінних паперів з дотриманням принципу </w:t>
      </w:r>
      <w:r w:rsidR="00022F5F">
        <w:rPr>
          <w:rFonts w:ascii="Times New Roman" w:hAnsi="Times New Roman"/>
          <w:bCs/>
          <w:lang w:val="uk-UA"/>
        </w:rPr>
        <w:t>"</w:t>
      </w:r>
      <w:r w:rsidRPr="00E16672">
        <w:rPr>
          <w:rFonts w:ascii="Times New Roman" w:hAnsi="Times New Roman"/>
          <w:bCs/>
          <w:lang w:val="uk-UA"/>
        </w:rPr>
        <w:t>поставка цінних паперів проти оплати</w:t>
      </w:r>
      <w:r w:rsidR="00022F5F">
        <w:rPr>
          <w:rFonts w:ascii="Times New Roman" w:hAnsi="Times New Roman"/>
          <w:bCs/>
          <w:lang w:val="uk-UA"/>
        </w:rPr>
        <w:t>"</w:t>
      </w:r>
      <w:r w:rsidRPr="00E16672">
        <w:rPr>
          <w:rFonts w:ascii="Times New Roman" w:hAnsi="Times New Roman"/>
          <w:bCs/>
          <w:lang w:val="uk-UA"/>
        </w:rPr>
        <w:t xml:space="preserve"> виконувати на рахунку в цінних паперах Депонента депозитарні операції щодо цінних паперів без розпорядження Керуючого </w:t>
      </w:r>
      <w:r w:rsidRPr="00E16672">
        <w:rPr>
          <w:rFonts w:ascii="Times New Roman" w:hAnsi="Times New Roman"/>
          <w:lang w:val="uk-UA"/>
        </w:rPr>
        <w:t>рахунком</w:t>
      </w:r>
      <w:r w:rsidRPr="00E16672">
        <w:rPr>
          <w:rFonts w:ascii="Times New Roman" w:hAnsi="Times New Roman"/>
          <w:bCs/>
          <w:lang w:val="uk-UA"/>
        </w:rPr>
        <w:t xml:space="preserve"> виключно на підставі розпоряджень та інформації Центрального депозитарію, наданих Депозитарній установі згідно з інформацією, отриманою Центральним депозитарієм від Розрахункового центру чи клірингової установи.</w:t>
      </w:r>
    </w:p>
    <w:p w14:paraId="54D2D81C" w14:textId="77777777" w:rsidR="000B00C3" w:rsidRPr="00E16672" w:rsidRDefault="000B00C3" w:rsidP="000B00C3">
      <w:pPr>
        <w:rPr>
          <w:rFonts w:ascii="Times New Roman" w:hAnsi="Times New Roman"/>
          <w:szCs w:val="20"/>
          <w:lang w:val="uk-UA"/>
        </w:rPr>
      </w:pPr>
      <w:r w:rsidRPr="00E16672">
        <w:rPr>
          <w:rFonts w:ascii="Times New Roman" w:hAnsi="Times New Roman"/>
          <w:szCs w:val="20"/>
          <w:lang w:val="uk-UA"/>
        </w:rPr>
        <w:t xml:space="preserve">2.2.9. Відмінити облікові операції, які були ініційовані Депозитарною установою у Центральному депозитарії, але не були завершені протягом </w:t>
      </w:r>
      <w:r w:rsidRPr="00E16672">
        <w:rPr>
          <w:rFonts w:ascii="Times New Roman" w:hAnsi="Times New Roman"/>
          <w:i/>
          <w:iCs/>
          <w:szCs w:val="20"/>
          <w:lang w:val="uk-UA"/>
        </w:rPr>
        <w:t>трьох</w:t>
      </w:r>
      <w:r w:rsidRPr="00E16672">
        <w:rPr>
          <w:rFonts w:ascii="Times New Roman" w:hAnsi="Times New Roman"/>
          <w:szCs w:val="20"/>
          <w:lang w:val="uk-UA"/>
        </w:rPr>
        <w:t xml:space="preserve"> робочих днів за підстав, які не залежать від Депозитарної установи, у випадку отримання від Керуючого рахунком відповідного розпорядження відміни (анулювання) його попереднього розпорядження згідно з внутрішніми документами депозитарної установи відповідно до Правил та інших внутрішніх документів Центрального депозитарію.</w:t>
      </w:r>
    </w:p>
    <w:p w14:paraId="37B98429" w14:textId="77777777" w:rsidR="000B00C3" w:rsidRPr="00E16672" w:rsidRDefault="000B00C3" w:rsidP="000B00C3">
      <w:pPr>
        <w:rPr>
          <w:rFonts w:ascii="Times New Roman" w:hAnsi="Times New Roman"/>
          <w:szCs w:val="20"/>
          <w:lang w:val="uk-UA"/>
        </w:rPr>
      </w:pPr>
      <w:r w:rsidRPr="00E16672">
        <w:rPr>
          <w:rFonts w:ascii="Times New Roman" w:hAnsi="Times New Roman"/>
          <w:szCs w:val="20"/>
          <w:lang w:val="uk-UA"/>
        </w:rPr>
        <w:t xml:space="preserve">2.2.10. Надавати письмову відмову у видачі виписки з рахунка в цінних паперах у разі невідповідності оформлення розпорядження вимогам </w:t>
      </w:r>
      <w:r w:rsidRPr="00E16672">
        <w:rPr>
          <w:rFonts w:ascii="Times New Roman" w:hAnsi="Times New Roman"/>
          <w:bCs/>
          <w:szCs w:val="20"/>
          <w:lang w:val="uk-UA"/>
        </w:rPr>
        <w:t>Положення про провадження депозитарної діяльності та/або внутрішніх документів Депозитарної установи</w:t>
      </w:r>
      <w:r w:rsidRPr="00E16672">
        <w:rPr>
          <w:rFonts w:ascii="Times New Roman" w:hAnsi="Times New Roman"/>
          <w:szCs w:val="20"/>
          <w:lang w:val="uk-UA"/>
        </w:rPr>
        <w:t>. Відмовити Депоненту (керуючому рахунком) у взятті до виконання розпорядження (запиту) у випадках, визначених законодавством та внутрішніми документами Депозитарної установи, в тому числі у разі відмови депонента у приведенні Договору у відповідність до вимог законодавства.</w:t>
      </w:r>
    </w:p>
    <w:p w14:paraId="630FF880" w14:textId="77777777" w:rsidR="000B00C3" w:rsidRPr="00E16672" w:rsidRDefault="000B00C3" w:rsidP="000B00C3">
      <w:pPr>
        <w:rPr>
          <w:rFonts w:ascii="Times New Roman" w:hAnsi="Times New Roman"/>
          <w:color w:val="0070C0"/>
        </w:rPr>
      </w:pPr>
      <w:r w:rsidRPr="00E16672">
        <w:rPr>
          <w:rFonts w:ascii="Times New Roman" w:hAnsi="Times New Roman"/>
          <w:szCs w:val="20"/>
        </w:rPr>
        <w:t xml:space="preserve">2.2.11. </w:t>
      </w:r>
      <w:r w:rsidRPr="00E16672">
        <w:rPr>
          <w:rFonts w:ascii="Times New Roman" w:hAnsi="Times New Roman"/>
          <w:szCs w:val="20"/>
          <w:lang w:val="uk-UA"/>
        </w:rPr>
        <w:t>Вимагати від Депонента повної та своєчасної оплати своїх послуг згідно умов цього Договору та тарифів Депозитарної установи. Відмовити</w:t>
      </w:r>
      <w:r w:rsidRPr="00E16672">
        <w:rPr>
          <w:rFonts w:ascii="Times New Roman" w:hAnsi="Times New Roman"/>
          <w:szCs w:val="20"/>
        </w:rPr>
        <w:t xml:space="preserve"> в </w:t>
      </w:r>
      <w:proofErr w:type="spellStart"/>
      <w:r w:rsidRPr="00E16672">
        <w:rPr>
          <w:rFonts w:ascii="Times New Roman" w:hAnsi="Times New Roman"/>
          <w:szCs w:val="20"/>
        </w:rPr>
        <w:t>узятті</w:t>
      </w:r>
      <w:proofErr w:type="spellEnd"/>
      <w:r w:rsidRPr="00E16672">
        <w:rPr>
          <w:rFonts w:ascii="Times New Roman" w:hAnsi="Times New Roman"/>
          <w:szCs w:val="20"/>
        </w:rPr>
        <w:t xml:space="preserve"> до </w:t>
      </w:r>
      <w:proofErr w:type="spellStart"/>
      <w:r w:rsidRPr="00E16672">
        <w:rPr>
          <w:rFonts w:ascii="Times New Roman" w:hAnsi="Times New Roman"/>
          <w:szCs w:val="20"/>
        </w:rPr>
        <w:t>виконання</w:t>
      </w:r>
      <w:proofErr w:type="spellEnd"/>
      <w:r w:rsidRPr="00E16672">
        <w:rPr>
          <w:rFonts w:ascii="Times New Roman" w:hAnsi="Times New Roman"/>
          <w:szCs w:val="20"/>
        </w:rPr>
        <w:t xml:space="preserve"> </w:t>
      </w:r>
      <w:proofErr w:type="spellStart"/>
      <w:r w:rsidRPr="00E16672">
        <w:rPr>
          <w:rFonts w:ascii="Times New Roman" w:hAnsi="Times New Roman"/>
          <w:szCs w:val="20"/>
        </w:rPr>
        <w:t>розпорядження</w:t>
      </w:r>
      <w:proofErr w:type="spellEnd"/>
      <w:r w:rsidRPr="00E16672">
        <w:rPr>
          <w:rFonts w:ascii="Times New Roman" w:hAnsi="Times New Roman"/>
          <w:szCs w:val="20"/>
        </w:rPr>
        <w:t xml:space="preserve"> </w:t>
      </w:r>
      <w:r w:rsidRPr="00E16672">
        <w:rPr>
          <w:rFonts w:ascii="Times New Roman" w:hAnsi="Times New Roman"/>
          <w:szCs w:val="20"/>
          <w:lang w:val="uk-UA"/>
        </w:rPr>
        <w:t>у разі несплати Депонентом  депозитарних послуг. Призупинити обслуговуван</w:t>
      </w:r>
      <w:r w:rsidRPr="00E16672">
        <w:rPr>
          <w:rFonts w:ascii="Times New Roman" w:hAnsi="Times New Roman"/>
          <w:color w:val="000000"/>
          <w:szCs w:val="20"/>
          <w:lang w:val="uk-UA"/>
        </w:rPr>
        <w:t xml:space="preserve">ня рахунку </w:t>
      </w:r>
      <w:r w:rsidR="00C22309" w:rsidRPr="00E16672">
        <w:rPr>
          <w:rFonts w:ascii="Times New Roman" w:hAnsi="Times New Roman"/>
          <w:color w:val="000000"/>
          <w:szCs w:val="20"/>
          <w:lang w:val="uk-UA"/>
        </w:rPr>
        <w:t>в цін</w:t>
      </w:r>
      <w:r w:rsidRPr="00E16672">
        <w:rPr>
          <w:rFonts w:ascii="Times New Roman" w:hAnsi="Times New Roman"/>
          <w:color w:val="000000"/>
          <w:szCs w:val="20"/>
          <w:lang w:val="uk-UA"/>
        </w:rPr>
        <w:t>них паперах Депонента у разі порушення Депонентом цього Договору щодо оплати послуг Депозитарної установи.</w:t>
      </w:r>
    </w:p>
    <w:p w14:paraId="76BD3E02" w14:textId="77777777" w:rsidR="007974E8" w:rsidRPr="00E16672" w:rsidRDefault="007974E8" w:rsidP="007974E8">
      <w:pPr>
        <w:pStyle w:val="af"/>
        <w:rPr>
          <w:rFonts w:ascii="Times New Roman" w:hAnsi="Times New Roman" w:cs="Times New Roman"/>
          <w:color w:val="000000"/>
          <w:lang w:val="ru-RU"/>
        </w:rPr>
      </w:pPr>
    </w:p>
    <w:p w14:paraId="5500C810" w14:textId="77777777" w:rsidR="007974E8" w:rsidRPr="00E16672" w:rsidRDefault="007974E8" w:rsidP="007974E8">
      <w:pPr>
        <w:tabs>
          <w:tab w:val="left" w:pos="709"/>
        </w:tabs>
        <w:rPr>
          <w:rFonts w:ascii="Times New Roman" w:hAnsi="Times New Roman"/>
          <w:b/>
          <w:color w:val="000000"/>
          <w:szCs w:val="20"/>
        </w:rPr>
      </w:pPr>
      <w:r w:rsidRPr="00E16672">
        <w:rPr>
          <w:rFonts w:ascii="Times New Roman" w:hAnsi="Times New Roman"/>
          <w:b/>
          <w:color w:val="000000"/>
          <w:szCs w:val="20"/>
        </w:rPr>
        <w:t xml:space="preserve">2.3.  </w:t>
      </w:r>
      <w:proofErr w:type="spellStart"/>
      <w:r w:rsidRPr="00E16672">
        <w:rPr>
          <w:rFonts w:ascii="Times New Roman" w:hAnsi="Times New Roman"/>
          <w:b/>
          <w:color w:val="000000"/>
          <w:szCs w:val="20"/>
        </w:rPr>
        <w:t>Керуючий</w:t>
      </w:r>
      <w:proofErr w:type="spellEnd"/>
      <w:r w:rsidRPr="00E16672">
        <w:rPr>
          <w:rFonts w:ascii="Times New Roman" w:hAnsi="Times New Roman"/>
          <w:b/>
          <w:color w:val="000000"/>
          <w:szCs w:val="20"/>
        </w:rPr>
        <w:t xml:space="preserve"> </w:t>
      </w:r>
      <w:proofErr w:type="spellStart"/>
      <w:r w:rsidRPr="00E16672">
        <w:rPr>
          <w:rFonts w:ascii="Times New Roman" w:hAnsi="Times New Roman"/>
          <w:b/>
          <w:color w:val="000000"/>
          <w:szCs w:val="20"/>
        </w:rPr>
        <w:t>рахунком</w:t>
      </w:r>
      <w:proofErr w:type="spellEnd"/>
      <w:r w:rsidRPr="00E16672">
        <w:rPr>
          <w:rFonts w:ascii="Times New Roman" w:hAnsi="Times New Roman"/>
          <w:b/>
          <w:color w:val="000000"/>
          <w:szCs w:val="20"/>
        </w:rPr>
        <w:t xml:space="preserve"> </w:t>
      </w:r>
      <w:proofErr w:type="spellStart"/>
      <w:r w:rsidRPr="00E16672">
        <w:rPr>
          <w:rFonts w:ascii="Times New Roman" w:hAnsi="Times New Roman"/>
          <w:b/>
          <w:color w:val="000000"/>
          <w:szCs w:val="20"/>
        </w:rPr>
        <w:t>зобов’язаний</w:t>
      </w:r>
      <w:proofErr w:type="spellEnd"/>
      <w:r w:rsidRPr="00E16672">
        <w:rPr>
          <w:rFonts w:ascii="Times New Roman" w:hAnsi="Times New Roman"/>
          <w:b/>
          <w:color w:val="000000"/>
          <w:szCs w:val="20"/>
        </w:rPr>
        <w:t>:</w:t>
      </w:r>
    </w:p>
    <w:p w14:paraId="1A07F90A" w14:textId="77777777" w:rsidR="007974E8" w:rsidRPr="00E16672" w:rsidRDefault="007974E8" w:rsidP="007974E8">
      <w:pPr>
        <w:rPr>
          <w:rFonts w:ascii="Times New Roman" w:hAnsi="Times New Roman"/>
          <w:color w:val="000000"/>
          <w:szCs w:val="20"/>
        </w:rPr>
      </w:pPr>
      <w:r w:rsidRPr="00E16672">
        <w:rPr>
          <w:rFonts w:ascii="Times New Roman" w:hAnsi="Times New Roman"/>
          <w:color w:val="000000"/>
          <w:szCs w:val="20"/>
        </w:rPr>
        <w:t xml:space="preserve">2.3.1. </w:t>
      </w:r>
      <w:proofErr w:type="spellStart"/>
      <w:r w:rsidRPr="00E16672">
        <w:rPr>
          <w:rFonts w:ascii="Times New Roman" w:hAnsi="Times New Roman"/>
          <w:color w:val="000000"/>
          <w:szCs w:val="20"/>
        </w:rPr>
        <w:t>Надати</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Депозитарній</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установі</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належним</w:t>
      </w:r>
      <w:proofErr w:type="spellEnd"/>
      <w:r w:rsidRPr="00E16672">
        <w:rPr>
          <w:rFonts w:ascii="Times New Roman" w:hAnsi="Times New Roman"/>
          <w:color w:val="000000"/>
          <w:szCs w:val="20"/>
        </w:rPr>
        <w:t xml:space="preserve"> чином </w:t>
      </w:r>
      <w:proofErr w:type="spellStart"/>
      <w:r w:rsidRPr="00E16672">
        <w:rPr>
          <w:rFonts w:ascii="Times New Roman" w:hAnsi="Times New Roman"/>
          <w:color w:val="000000"/>
          <w:szCs w:val="20"/>
        </w:rPr>
        <w:t>оформлені</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документи</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визначені</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законодавством</w:t>
      </w:r>
      <w:proofErr w:type="spellEnd"/>
      <w:r w:rsidRPr="00E16672">
        <w:rPr>
          <w:rFonts w:ascii="Times New Roman" w:hAnsi="Times New Roman"/>
          <w:color w:val="000000"/>
          <w:szCs w:val="20"/>
        </w:rPr>
        <w:t xml:space="preserve"> та </w:t>
      </w:r>
      <w:proofErr w:type="spellStart"/>
      <w:r w:rsidRPr="00E16672">
        <w:rPr>
          <w:rFonts w:ascii="Times New Roman" w:hAnsi="Times New Roman"/>
          <w:color w:val="000000"/>
          <w:szCs w:val="20"/>
        </w:rPr>
        <w:t>внутрішніми</w:t>
      </w:r>
      <w:proofErr w:type="spellEnd"/>
      <w:r w:rsidRPr="00E16672">
        <w:rPr>
          <w:rFonts w:ascii="Times New Roman" w:hAnsi="Times New Roman"/>
          <w:color w:val="000000"/>
          <w:szCs w:val="20"/>
        </w:rPr>
        <w:t xml:space="preserve"> документами </w:t>
      </w:r>
      <w:proofErr w:type="spellStart"/>
      <w:r w:rsidRPr="00E16672">
        <w:rPr>
          <w:rFonts w:ascii="Times New Roman" w:hAnsi="Times New Roman"/>
          <w:color w:val="000000"/>
          <w:szCs w:val="20"/>
        </w:rPr>
        <w:t>Депозитарної</w:t>
      </w:r>
      <w:proofErr w:type="spellEnd"/>
      <w:r w:rsidRPr="00E16672">
        <w:rPr>
          <w:rFonts w:ascii="Times New Roman" w:hAnsi="Times New Roman"/>
          <w:color w:val="000000"/>
          <w:szCs w:val="20"/>
        </w:rPr>
        <w:t xml:space="preserve"> установи, </w:t>
      </w:r>
      <w:proofErr w:type="spellStart"/>
      <w:r w:rsidRPr="00E16672">
        <w:rPr>
          <w:rFonts w:ascii="Times New Roman" w:hAnsi="Times New Roman"/>
          <w:color w:val="000000"/>
          <w:szCs w:val="20"/>
        </w:rPr>
        <w:t>необхідні</w:t>
      </w:r>
      <w:proofErr w:type="spellEnd"/>
      <w:r w:rsidRPr="00E16672">
        <w:rPr>
          <w:rFonts w:ascii="Times New Roman" w:hAnsi="Times New Roman"/>
          <w:color w:val="000000"/>
          <w:szCs w:val="20"/>
        </w:rPr>
        <w:t xml:space="preserve"> для </w:t>
      </w:r>
      <w:proofErr w:type="spellStart"/>
      <w:r w:rsidRPr="00E16672">
        <w:rPr>
          <w:rFonts w:ascii="Times New Roman" w:hAnsi="Times New Roman"/>
          <w:color w:val="000000"/>
          <w:szCs w:val="20"/>
        </w:rPr>
        <w:t>відкриття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рахунку</w:t>
      </w:r>
      <w:proofErr w:type="spellEnd"/>
      <w:r w:rsidRPr="00E16672">
        <w:rPr>
          <w:rFonts w:ascii="Times New Roman" w:hAnsi="Times New Roman"/>
          <w:color w:val="000000"/>
          <w:szCs w:val="20"/>
        </w:rPr>
        <w:t xml:space="preserve"> в </w:t>
      </w:r>
      <w:proofErr w:type="spellStart"/>
      <w:r w:rsidRPr="00E16672">
        <w:rPr>
          <w:rFonts w:ascii="Times New Roman" w:hAnsi="Times New Roman"/>
          <w:color w:val="000000"/>
          <w:szCs w:val="20"/>
        </w:rPr>
        <w:t>цінних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паперах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протягом</w:t>
      </w:r>
      <w:proofErr w:type="spellEnd"/>
      <w:r w:rsidRPr="00E16672">
        <w:rPr>
          <w:rFonts w:ascii="Times New Roman" w:hAnsi="Times New Roman"/>
          <w:color w:val="000000"/>
          <w:szCs w:val="20"/>
        </w:rPr>
        <w:t xml:space="preserve"> </w:t>
      </w:r>
      <w:proofErr w:type="spellStart"/>
      <w:r w:rsidRPr="00E16672">
        <w:rPr>
          <w:rFonts w:ascii="Times New Roman" w:hAnsi="Times New Roman"/>
          <w:i/>
          <w:color w:val="000000"/>
          <w:szCs w:val="20"/>
        </w:rPr>
        <w:t>п'яти</w:t>
      </w:r>
      <w:proofErr w:type="spellEnd"/>
      <w:r w:rsidRPr="00E16672">
        <w:rPr>
          <w:rFonts w:ascii="Times New Roman" w:hAnsi="Times New Roman"/>
          <w:i/>
          <w:color w:val="000000"/>
          <w:szCs w:val="20"/>
        </w:rPr>
        <w:t xml:space="preserve"> </w:t>
      </w:r>
      <w:proofErr w:type="spellStart"/>
      <w:r w:rsidRPr="00E16672">
        <w:rPr>
          <w:rFonts w:ascii="Times New Roman" w:hAnsi="Times New Roman"/>
          <w:color w:val="000000"/>
          <w:szCs w:val="20"/>
        </w:rPr>
        <w:t>робочих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днів</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після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укладення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цього</w:t>
      </w:r>
      <w:proofErr w:type="spellEnd"/>
      <w:r w:rsidRPr="00E16672">
        <w:rPr>
          <w:rFonts w:ascii="Times New Roman" w:hAnsi="Times New Roman"/>
          <w:color w:val="000000"/>
          <w:szCs w:val="20"/>
        </w:rPr>
        <w:t xml:space="preserve"> Договору.</w:t>
      </w:r>
    </w:p>
    <w:p w14:paraId="3EE9A556" w14:textId="77777777" w:rsidR="007974E8" w:rsidRPr="00E16672" w:rsidRDefault="007974E8" w:rsidP="007974E8">
      <w:pPr>
        <w:rPr>
          <w:rFonts w:ascii="Times New Roman" w:hAnsi="Times New Roman"/>
          <w:color w:val="000000"/>
          <w:szCs w:val="20"/>
        </w:rPr>
      </w:pPr>
      <w:r w:rsidRPr="00E16672">
        <w:rPr>
          <w:rFonts w:ascii="Times New Roman" w:hAnsi="Times New Roman"/>
          <w:color w:val="000000"/>
          <w:szCs w:val="20"/>
        </w:rPr>
        <w:t xml:space="preserve">2.3.2. </w:t>
      </w:r>
      <w:proofErr w:type="spellStart"/>
      <w:r w:rsidRPr="00E16672">
        <w:rPr>
          <w:rFonts w:ascii="Times New Roman" w:hAnsi="Times New Roman"/>
          <w:color w:val="000000"/>
          <w:szCs w:val="20"/>
        </w:rPr>
        <w:t>Призначити</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розпорядника</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рахунку</w:t>
      </w:r>
      <w:proofErr w:type="spellEnd"/>
      <w:r w:rsidRPr="00E16672">
        <w:rPr>
          <w:rFonts w:ascii="Times New Roman" w:hAnsi="Times New Roman"/>
          <w:color w:val="000000"/>
          <w:szCs w:val="20"/>
        </w:rPr>
        <w:t xml:space="preserve"> </w:t>
      </w:r>
      <w:r w:rsidR="00C22309" w:rsidRPr="00E16672">
        <w:rPr>
          <w:rFonts w:ascii="Times New Roman" w:hAnsi="Times New Roman"/>
          <w:color w:val="000000"/>
          <w:szCs w:val="20"/>
        </w:rPr>
        <w:t xml:space="preserve">в </w:t>
      </w:r>
      <w:proofErr w:type="spellStart"/>
      <w:r w:rsidR="00C22309" w:rsidRPr="00E16672">
        <w:rPr>
          <w:rFonts w:ascii="Times New Roman" w:hAnsi="Times New Roman"/>
          <w:color w:val="000000"/>
          <w:szCs w:val="20"/>
        </w:rPr>
        <w:t>цін</w:t>
      </w:r>
      <w:r w:rsidRPr="00E16672">
        <w:rPr>
          <w:rFonts w:ascii="Times New Roman" w:hAnsi="Times New Roman"/>
          <w:color w:val="000000"/>
          <w:szCs w:val="20"/>
        </w:rPr>
        <w:t>них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паперах</w:t>
      </w:r>
      <w:proofErr w:type="spellEnd"/>
      <w:r w:rsidRPr="00E16672">
        <w:rPr>
          <w:rFonts w:ascii="Times New Roman" w:hAnsi="Times New Roman"/>
          <w:color w:val="000000"/>
          <w:szCs w:val="20"/>
        </w:rPr>
        <w:t>.</w:t>
      </w:r>
    </w:p>
    <w:p w14:paraId="2478B0A1" w14:textId="77777777" w:rsidR="007974E8" w:rsidRPr="00E16672" w:rsidRDefault="007974E8" w:rsidP="007974E8">
      <w:pPr>
        <w:rPr>
          <w:rFonts w:ascii="Times New Roman" w:hAnsi="Times New Roman"/>
          <w:color w:val="000000"/>
          <w:szCs w:val="20"/>
        </w:rPr>
      </w:pPr>
      <w:r w:rsidRPr="00E16672">
        <w:rPr>
          <w:rFonts w:ascii="Times New Roman" w:hAnsi="Times New Roman"/>
          <w:color w:val="000000"/>
          <w:szCs w:val="20"/>
        </w:rPr>
        <w:t>2.3.3.</w:t>
      </w:r>
      <w:r w:rsidRPr="00E16672">
        <w:rPr>
          <w:rFonts w:ascii="Times New Roman" w:hAnsi="Times New Roman"/>
          <w:color w:val="000000"/>
          <w:szCs w:val="20"/>
          <w:lang w:val="uk-UA"/>
        </w:rPr>
        <w:t xml:space="preserve"> </w:t>
      </w:r>
      <w:proofErr w:type="spellStart"/>
      <w:r w:rsidRPr="00E16672">
        <w:rPr>
          <w:rFonts w:ascii="Times New Roman" w:hAnsi="Times New Roman"/>
          <w:color w:val="000000"/>
          <w:szCs w:val="20"/>
        </w:rPr>
        <w:t>Дотримуватись</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вимог</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внутрішніх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документів</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Депозитарної</w:t>
      </w:r>
      <w:proofErr w:type="spellEnd"/>
      <w:r w:rsidRPr="00E16672">
        <w:rPr>
          <w:rFonts w:ascii="Times New Roman" w:hAnsi="Times New Roman"/>
          <w:color w:val="000000"/>
          <w:szCs w:val="20"/>
        </w:rPr>
        <w:t xml:space="preserve"> установи, </w:t>
      </w:r>
      <w:proofErr w:type="spellStart"/>
      <w:r w:rsidRPr="00E16672">
        <w:rPr>
          <w:rFonts w:ascii="Times New Roman" w:hAnsi="Times New Roman"/>
          <w:color w:val="000000"/>
          <w:szCs w:val="20"/>
        </w:rPr>
        <w:t>які</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регламентують</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відносини</w:t>
      </w:r>
      <w:proofErr w:type="spellEnd"/>
      <w:r w:rsidRPr="00E16672">
        <w:rPr>
          <w:rFonts w:ascii="Times New Roman" w:hAnsi="Times New Roman"/>
          <w:color w:val="000000"/>
          <w:szCs w:val="20"/>
        </w:rPr>
        <w:t xml:space="preserve"> Депонента та </w:t>
      </w:r>
      <w:proofErr w:type="spellStart"/>
      <w:r w:rsidRPr="00E16672">
        <w:rPr>
          <w:rFonts w:ascii="Times New Roman" w:hAnsi="Times New Roman"/>
          <w:color w:val="000000"/>
          <w:szCs w:val="20"/>
        </w:rPr>
        <w:t>Депозитарної</w:t>
      </w:r>
      <w:proofErr w:type="spellEnd"/>
      <w:r w:rsidRPr="00E16672">
        <w:rPr>
          <w:rFonts w:ascii="Times New Roman" w:hAnsi="Times New Roman"/>
          <w:color w:val="000000"/>
          <w:szCs w:val="20"/>
        </w:rPr>
        <w:t xml:space="preserve"> установи.</w:t>
      </w:r>
    </w:p>
    <w:p w14:paraId="451CE8E7" w14:textId="77777777" w:rsidR="007974E8" w:rsidRPr="00E16672" w:rsidRDefault="007974E8" w:rsidP="007974E8">
      <w:pPr>
        <w:rPr>
          <w:rFonts w:ascii="Times New Roman" w:hAnsi="Times New Roman"/>
          <w:color w:val="000000"/>
          <w:szCs w:val="20"/>
        </w:rPr>
      </w:pPr>
      <w:r w:rsidRPr="00E16672">
        <w:rPr>
          <w:rFonts w:ascii="Times New Roman" w:hAnsi="Times New Roman"/>
          <w:color w:val="000000"/>
          <w:szCs w:val="20"/>
        </w:rPr>
        <w:t xml:space="preserve">2.3.4. </w:t>
      </w:r>
      <w:proofErr w:type="spellStart"/>
      <w:r w:rsidRPr="00E16672">
        <w:rPr>
          <w:rFonts w:ascii="Times New Roman" w:hAnsi="Times New Roman"/>
          <w:color w:val="000000"/>
          <w:szCs w:val="20"/>
        </w:rPr>
        <w:t>Своєчасно</w:t>
      </w:r>
      <w:proofErr w:type="spellEnd"/>
      <w:r w:rsidRPr="00E16672">
        <w:rPr>
          <w:rFonts w:ascii="Times New Roman" w:hAnsi="Times New Roman"/>
          <w:color w:val="000000"/>
          <w:szCs w:val="20"/>
        </w:rPr>
        <w:t xml:space="preserve"> та в </w:t>
      </w:r>
      <w:proofErr w:type="spellStart"/>
      <w:r w:rsidRPr="00E16672">
        <w:rPr>
          <w:rFonts w:ascii="Times New Roman" w:hAnsi="Times New Roman"/>
          <w:color w:val="000000"/>
          <w:szCs w:val="20"/>
        </w:rPr>
        <w:t>повному</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обсязі</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сплачувати</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послуги</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Депозитарної</w:t>
      </w:r>
      <w:proofErr w:type="spellEnd"/>
      <w:r w:rsidRPr="00E16672">
        <w:rPr>
          <w:rFonts w:ascii="Times New Roman" w:hAnsi="Times New Roman"/>
          <w:color w:val="000000"/>
          <w:szCs w:val="20"/>
        </w:rPr>
        <w:t xml:space="preserve"> установи </w:t>
      </w:r>
      <w:proofErr w:type="spellStart"/>
      <w:r w:rsidRPr="00E16672">
        <w:rPr>
          <w:rFonts w:ascii="Times New Roman" w:hAnsi="Times New Roman"/>
          <w:color w:val="000000"/>
          <w:szCs w:val="20"/>
        </w:rPr>
        <w:t>згідно</w:t>
      </w:r>
      <w:proofErr w:type="spellEnd"/>
      <w:r w:rsidRPr="00E16672">
        <w:rPr>
          <w:rFonts w:ascii="Times New Roman" w:hAnsi="Times New Roman"/>
          <w:color w:val="000000"/>
          <w:szCs w:val="20"/>
        </w:rPr>
        <w:t xml:space="preserve"> з </w:t>
      </w:r>
      <w:proofErr w:type="spellStart"/>
      <w:r w:rsidRPr="00E16672">
        <w:rPr>
          <w:rFonts w:ascii="Times New Roman" w:hAnsi="Times New Roman"/>
          <w:color w:val="000000"/>
          <w:szCs w:val="20"/>
        </w:rPr>
        <w:t>умовами</w:t>
      </w:r>
      <w:proofErr w:type="spellEnd"/>
      <w:r w:rsidRPr="00E16672">
        <w:rPr>
          <w:rFonts w:ascii="Times New Roman" w:hAnsi="Times New Roman"/>
          <w:color w:val="000000"/>
          <w:szCs w:val="20"/>
        </w:rPr>
        <w:t xml:space="preserve"> та строками, </w:t>
      </w:r>
      <w:proofErr w:type="spellStart"/>
      <w:r w:rsidRPr="00E16672">
        <w:rPr>
          <w:rFonts w:ascii="Times New Roman" w:hAnsi="Times New Roman"/>
          <w:color w:val="000000"/>
          <w:szCs w:val="20"/>
        </w:rPr>
        <w:t>передбаченими</w:t>
      </w:r>
      <w:proofErr w:type="spellEnd"/>
      <w:r w:rsidRPr="00E16672">
        <w:rPr>
          <w:rFonts w:ascii="Times New Roman" w:hAnsi="Times New Roman"/>
          <w:color w:val="000000"/>
          <w:szCs w:val="20"/>
        </w:rPr>
        <w:t xml:space="preserve"> Договором, та тарифами, </w:t>
      </w:r>
      <w:proofErr w:type="spellStart"/>
      <w:r w:rsidRPr="00E16672">
        <w:rPr>
          <w:rFonts w:ascii="Times New Roman" w:hAnsi="Times New Roman"/>
          <w:color w:val="000000"/>
          <w:szCs w:val="20"/>
        </w:rPr>
        <w:t>встановленими</w:t>
      </w:r>
      <w:proofErr w:type="spellEnd"/>
      <w:r w:rsidRPr="00E16672">
        <w:rPr>
          <w:rFonts w:ascii="Times New Roman" w:hAnsi="Times New Roman"/>
          <w:color w:val="000000"/>
          <w:szCs w:val="20"/>
        </w:rPr>
        <w:t xml:space="preserve"> Депозитарною </w:t>
      </w:r>
      <w:proofErr w:type="spellStart"/>
      <w:r w:rsidRPr="00E16672">
        <w:rPr>
          <w:rFonts w:ascii="Times New Roman" w:hAnsi="Times New Roman"/>
          <w:color w:val="000000"/>
          <w:szCs w:val="20"/>
        </w:rPr>
        <w:t>установою</w:t>
      </w:r>
      <w:proofErr w:type="spellEnd"/>
      <w:r w:rsidRPr="00E16672">
        <w:rPr>
          <w:rFonts w:ascii="Times New Roman" w:hAnsi="Times New Roman"/>
          <w:color w:val="000000"/>
          <w:szCs w:val="20"/>
        </w:rPr>
        <w:t xml:space="preserve"> на дату </w:t>
      </w:r>
      <w:proofErr w:type="spellStart"/>
      <w:r w:rsidRPr="00E16672">
        <w:rPr>
          <w:rFonts w:ascii="Times New Roman" w:hAnsi="Times New Roman"/>
          <w:color w:val="000000"/>
          <w:szCs w:val="20"/>
        </w:rPr>
        <w:t>надання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послуг</w:t>
      </w:r>
      <w:proofErr w:type="spellEnd"/>
      <w:r w:rsidRPr="00E16672">
        <w:rPr>
          <w:rFonts w:ascii="Times New Roman" w:hAnsi="Times New Roman"/>
          <w:color w:val="000000"/>
          <w:szCs w:val="20"/>
        </w:rPr>
        <w:t xml:space="preserve"> (у тому </w:t>
      </w:r>
      <w:proofErr w:type="spellStart"/>
      <w:r w:rsidRPr="00E16672">
        <w:rPr>
          <w:rFonts w:ascii="Times New Roman" w:hAnsi="Times New Roman"/>
          <w:color w:val="000000"/>
          <w:szCs w:val="20"/>
        </w:rPr>
        <w:t>числі</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послуги</w:t>
      </w:r>
      <w:proofErr w:type="spellEnd"/>
      <w:r w:rsidRPr="00E16672">
        <w:rPr>
          <w:rFonts w:ascii="Times New Roman" w:hAnsi="Times New Roman"/>
          <w:color w:val="000000"/>
          <w:szCs w:val="20"/>
        </w:rPr>
        <w:t xml:space="preserve"> з </w:t>
      </w:r>
      <w:proofErr w:type="spellStart"/>
      <w:r w:rsidRPr="00E16672">
        <w:rPr>
          <w:rFonts w:ascii="Times New Roman" w:hAnsi="Times New Roman"/>
          <w:color w:val="000000"/>
          <w:szCs w:val="20"/>
        </w:rPr>
        <w:t>надання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інформації</w:t>
      </w:r>
      <w:proofErr w:type="spellEnd"/>
      <w:r w:rsidRPr="00E16672">
        <w:rPr>
          <w:rFonts w:ascii="Times New Roman" w:hAnsi="Times New Roman"/>
          <w:color w:val="000000"/>
          <w:szCs w:val="20"/>
        </w:rPr>
        <w:t xml:space="preserve"> про </w:t>
      </w:r>
      <w:proofErr w:type="spellStart"/>
      <w:r w:rsidRPr="00E16672">
        <w:rPr>
          <w:rFonts w:ascii="Times New Roman" w:hAnsi="Times New Roman"/>
          <w:color w:val="000000"/>
          <w:szCs w:val="20"/>
        </w:rPr>
        <w:t>корпоративні</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операції</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емітентів</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іншої</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інформації</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отриманої</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від</w:t>
      </w:r>
      <w:proofErr w:type="spellEnd"/>
      <w:r w:rsidRPr="00E16672">
        <w:rPr>
          <w:rFonts w:ascii="Times New Roman" w:hAnsi="Times New Roman"/>
          <w:color w:val="000000"/>
          <w:szCs w:val="20"/>
        </w:rPr>
        <w:t xml:space="preserve"> Центрального </w:t>
      </w:r>
      <w:proofErr w:type="spellStart"/>
      <w:r w:rsidRPr="00E16672">
        <w:rPr>
          <w:rFonts w:ascii="Times New Roman" w:hAnsi="Times New Roman"/>
          <w:color w:val="000000"/>
          <w:szCs w:val="20"/>
        </w:rPr>
        <w:t>депозитарію</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згідно</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вимог</w:t>
      </w:r>
      <w:proofErr w:type="spellEnd"/>
      <w:r w:rsidRPr="00E16672">
        <w:rPr>
          <w:rFonts w:ascii="Times New Roman" w:hAnsi="Times New Roman"/>
          <w:color w:val="000000"/>
          <w:szCs w:val="20"/>
        </w:rPr>
        <w:t xml:space="preserve"> чинного </w:t>
      </w:r>
      <w:proofErr w:type="spellStart"/>
      <w:r w:rsidRPr="00E16672">
        <w:rPr>
          <w:rFonts w:ascii="Times New Roman" w:hAnsi="Times New Roman"/>
          <w:color w:val="000000"/>
          <w:szCs w:val="20"/>
        </w:rPr>
        <w:t>законодавства</w:t>
      </w:r>
      <w:proofErr w:type="spellEnd"/>
      <w:r w:rsidRPr="00E16672">
        <w:rPr>
          <w:rFonts w:ascii="Times New Roman" w:hAnsi="Times New Roman"/>
          <w:color w:val="000000"/>
          <w:szCs w:val="20"/>
        </w:rPr>
        <w:t>).</w:t>
      </w:r>
    </w:p>
    <w:p w14:paraId="011FCCA6" w14:textId="77777777" w:rsidR="007974E8" w:rsidRPr="00E16672" w:rsidRDefault="007974E8" w:rsidP="007974E8">
      <w:pPr>
        <w:rPr>
          <w:rFonts w:ascii="Times New Roman" w:hAnsi="Times New Roman"/>
          <w:color w:val="000000"/>
          <w:szCs w:val="20"/>
        </w:rPr>
      </w:pPr>
      <w:r w:rsidRPr="00E16672">
        <w:rPr>
          <w:rFonts w:ascii="Times New Roman" w:hAnsi="Times New Roman"/>
          <w:color w:val="000000"/>
          <w:szCs w:val="20"/>
        </w:rPr>
        <w:t xml:space="preserve">2.3.5. </w:t>
      </w:r>
      <w:proofErr w:type="spellStart"/>
      <w:r w:rsidRPr="00E16672">
        <w:rPr>
          <w:rFonts w:ascii="Times New Roman" w:hAnsi="Times New Roman"/>
          <w:color w:val="000000"/>
          <w:szCs w:val="20"/>
        </w:rPr>
        <w:t>Сплатити</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Депозитарній</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установі</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повну</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вартість</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отриманих</w:t>
      </w:r>
      <w:proofErr w:type="spellEnd"/>
      <w:r w:rsidRPr="00E16672">
        <w:rPr>
          <w:rFonts w:ascii="Times New Roman" w:hAnsi="Times New Roman"/>
          <w:color w:val="000000"/>
          <w:szCs w:val="20"/>
        </w:rPr>
        <w:t xml:space="preserve">, але не </w:t>
      </w:r>
      <w:proofErr w:type="spellStart"/>
      <w:r w:rsidRPr="00E16672">
        <w:rPr>
          <w:rFonts w:ascii="Times New Roman" w:hAnsi="Times New Roman"/>
          <w:color w:val="000000"/>
          <w:szCs w:val="20"/>
        </w:rPr>
        <w:t>сплачених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послуг</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протягом</w:t>
      </w:r>
      <w:proofErr w:type="spellEnd"/>
      <w:r w:rsidRPr="00E16672">
        <w:rPr>
          <w:rFonts w:ascii="Times New Roman" w:hAnsi="Times New Roman"/>
          <w:color w:val="000000"/>
          <w:szCs w:val="20"/>
        </w:rPr>
        <w:t xml:space="preserve"> десяти </w:t>
      </w:r>
      <w:proofErr w:type="spellStart"/>
      <w:r w:rsidRPr="00E16672">
        <w:rPr>
          <w:rFonts w:ascii="Times New Roman" w:hAnsi="Times New Roman"/>
          <w:color w:val="000000"/>
          <w:szCs w:val="20"/>
        </w:rPr>
        <w:t>банківських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днів</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після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отримання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письмового</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повідомлення</w:t>
      </w:r>
      <w:proofErr w:type="spellEnd"/>
      <w:r w:rsidRPr="00E16672">
        <w:rPr>
          <w:rFonts w:ascii="Times New Roman" w:hAnsi="Times New Roman"/>
          <w:color w:val="000000"/>
          <w:szCs w:val="20"/>
        </w:rPr>
        <w:t xml:space="preserve"> про </w:t>
      </w:r>
      <w:proofErr w:type="spellStart"/>
      <w:r w:rsidRPr="00E16672">
        <w:rPr>
          <w:rFonts w:ascii="Times New Roman" w:hAnsi="Times New Roman"/>
          <w:color w:val="000000"/>
          <w:szCs w:val="20"/>
        </w:rPr>
        <w:t>розірвання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цього</w:t>
      </w:r>
      <w:proofErr w:type="spellEnd"/>
      <w:r w:rsidRPr="00E16672">
        <w:rPr>
          <w:rFonts w:ascii="Times New Roman" w:hAnsi="Times New Roman"/>
          <w:color w:val="000000"/>
          <w:szCs w:val="20"/>
        </w:rPr>
        <w:t xml:space="preserve"> Договору.</w:t>
      </w:r>
    </w:p>
    <w:p w14:paraId="3BFAB0E8" w14:textId="77777777" w:rsidR="007974E8" w:rsidRPr="00E16672" w:rsidRDefault="007974E8" w:rsidP="007974E8">
      <w:pPr>
        <w:rPr>
          <w:rFonts w:ascii="Times New Roman" w:hAnsi="Times New Roman"/>
          <w:color w:val="000000"/>
          <w:szCs w:val="20"/>
        </w:rPr>
      </w:pPr>
      <w:r w:rsidRPr="00E16672">
        <w:rPr>
          <w:rFonts w:ascii="Times New Roman" w:hAnsi="Times New Roman"/>
          <w:color w:val="000000"/>
          <w:szCs w:val="20"/>
        </w:rPr>
        <w:t xml:space="preserve">2.3.6. </w:t>
      </w:r>
      <w:proofErr w:type="spellStart"/>
      <w:r w:rsidRPr="00E16672">
        <w:rPr>
          <w:rFonts w:ascii="Times New Roman" w:hAnsi="Times New Roman"/>
          <w:color w:val="000000"/>
          <w:szCs w:val="20"/>
        </w:rPr>
        <w:t>Надавати</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Депозитарній</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установі</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документи</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які</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передбачені</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законодавством</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України</w:t>
      </w:r>
      <w:proofErr w:type="spellEnd"/>
      <w:r w:rsidRPr="00E16672">
        <w:rPr>
          <w:rFonts w:ascii="Times New Roman" w:hAnsi="Times New Roman"/>
          <w:color w:val="000000"/>
          <w:szCs w:val="20"/>
        </w:rPr>
        <w:t xml:space="preserve"> та </w:t>
      </w:r>
      <w:proofErr w:type="spellStart"/>
      <w:r w:rsidRPr="00E16672">
        <w:rPr>
          <w:rFonts w:ascii="Times New Roman" w:hAnsi="Times New Roman"/>
          <w:color w:val="000000"/>
          <w:szCs w:val="20"/>
        </w:rPr>
        <w:t>внутрішніми</w:t>
      </w:r>
      <w:proofErr w:type="spellEnd"/>
      <w:r w:rsidRPr="00E16672">
        <w:rPr>
          <w:rFonts w:ascii="Times New Roman" w:hAnsi="Times New Roman"/>
          <w:color w:val="000000"/>
          <w:szCs w:val="20"/>
        </w:rPr>
        <w:t xml:space="preserve"> документами </w:t>
      </w:r>
      <w:proofErr w:type="spellStart"/>
      <w:r w:rsidRPr="00E16672">
        <w:rPr>
          <w:rFonts w:ascii="Times New Roman" w:hAnsi="Times New Roman"/>
          <w:color w:val="000000"/>
          <w:szCs w:val="20"/>
        </w:rPr>
        <w:t>Депозитарної</w:t>
      </w:r>
      <w:proofErr w:type="spellEnd"/>
      <w:r w:rsidRPr="00E16672">
        <w:rPr>
          <w:rFonts w:ascii="Times New Roman" w:hAnsi="Times New Roman"/>
          <w:color w:val="000000"/>
          <w:szCs w:val="20"/>
        </w:rPr>
        <w:t xml:space="preserve"> установи як </w:t>
      </w:r>
      <w:proofErr w:type="spellStart"/>
      <w:r w:rsidRPr="00E16672">
        <w:rPr>
          <w:rFonts w:ascii="Times New Roman" w:hAnsi="Times New Roman"/>
          <w:color w:val="000000"/>
          <w:szCs w:val="20"/>
        </w:rPr>
        <w:t>обов'язкові</w:t>
      </w:r>
      <w:proofErr w:type="spellEnd"/>
      <w:r w:rsidRPr="00E16672">
        <w:rPr>
          <w:rFonts w:ascii="Times New Roman" w:hAnsi="Times New Roman"/>
          <w:color w:val="000000"/>
          <w:szCs w:val="20"/>
        </w:rPr>
        <w:t xml:space="preserve"> для </w:t>
      </w:r>
      <w:proofErr w:type="spellStart"/>
      <w:r w:rsidRPr="00E16672">
        <w:rPr>
          <w:rFonts w:ascii="Times New Roman" w:hAnsi="Times New Roman"/>
          <w:color w:val="000000"/>
          <w:szCs w:val="20"/>
        </w:rPr>
        <w:t>подання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або</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необхідні</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їй</w:t>
      </w:r>
      <w:proofErr w:type="spellEnd"/>
      <w:r w:rsidRPr="00E16672">
        <w:rPr>
          <w:rFonts w:ascii="Times New Roman" w:hAnsi="Times New Roman"/>
          <w:color w:val="000000"/>
          <w:szCs w:val="20"/>
        </w:rPr>
        <w:t xml:space="preserve"> для </w:t>
      </w:r>
      <w:proofErr w:type="spellStart"/>
      <w:r w:rsidRPr="00E16672">
        <w:rPr>
          <w:rFonts w:ascii="Times New Roman" w:hAnsi="Times New Roman"/>
          <w:color w:val="000000"/>
          <w:szCs w:val="20"/>
        </w:rPr>
        <w:t>виконання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дій</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згідно</w:t>
      </w:r>
      <w:proofErr w:type="spellEnd"/>
      <w:r w:rsidRPr="00E16672">
        <w:rPr>
          <w:rFonts w:ascii="Times New Roman" w:hAnsi="Times New Roman"/>
          <w:color w:val="000000"/>
          <w:szCs w:val="20"/>
        </w:rPr>
        <w:t xml:space="preserve"> з </w:t>
      </w:r>
      <w:proofErr w:type="spellStart"/>
      <w:r w:rsidRPr="00E16672">
        <w:rPr>
          <w:rFonts w:ascii="Times New Roman" w:hAnsi="Times New Roman"/>
          <w:color w:val="000000"/>
          <w:szCs w:val="20"/>
        </w:rPr>
        <w:t>вимогами</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законодавства</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України</w:t>
      </w:r>
      <w:proofErr w:type="spellEnd"/>
      <w:r w:rsidRPr="00E16672">
        <w:rPr>
          <w:rFonts w:ascii="Times New Roman" w:hAnsi="Times New Roman"/>
          <w:color w:val="000000"/>
          <w:szCs w:val="20"/>
        </w:rPr>
        <w:t xml:space="preserve"> та </w:t>
      </w:r>
      <w:proofErr w:type="spellStart"/>
      <w:r w:rsidRPr="00E16672">
        <w:rPr>
          <w:rFonts w:ascii="Times New Roman" w:hAnsi="Times New Roman"/>
          <w:color w:val="000000"/>
          <w:szCs w:val="20"/>
        </w:rPr>
        <w:t>умовами</w:t>
      </w:r>
      <w:proofErr w:type="spellEnd"/>
      <w:r w:rsidRPr="00E16672">
        <w:rPr>
          <w:rFonts w:ascii="Times New Roman" w:hAnsi="Times New Roman"/>
          <w:color w:val="000000"/>
          <w:szCs w:val="20"/>
        </w:rPr>
        <w:t xml:space="preserve"> Договору.</w:t>
      </w:r>
    </w:p>
    <w:p w14:paraId="1B617B64" w14:textId="77777777" w:rsidR="007974E8" w:rsidRPr="00E16672" w:rsidRDefault="007974E8" w:rsidP="007974E8">
      <w:pPr>
        <w:rPr>
          <w:rFonts w:ascii="Times New Roman" w:hAnsi="Times New Roman"/>
          <w:color w:val="000000"/>
          <w:szCs w:val="20"/>
        </w:rPr>
      </w:pPr>
      <w:r w:rsidRPr="00E16672">
        <w:rPr>
          <w:rFonts w:ascii="Times New Roman" w:hAnsi="Times New Roman"/>
          <w:color w:val="000000"/>
          <w:szCs w:val="20"/>
        </w:rPr>
        <w:t xml:space="preserve">2.3.7. </w:t>
      </w:r>
      <w:proofErr w:type="spellStart"/>
      <w:r w:rsidRPr="00E16672">
        <w:rPr>
          <w:rFonts w:ascii="Times New Roman" w:hAnsi="Times New Roman"/>
          <w:color w:val="000000"/>
          <w:szCs w:val="20"/>
        </w:rPr>
        <w:t>Протягом</w:t>
      </w:r>
      <w:proofErr w:type="spellEnd"/>
      <w:r w:rsidRPr="00E16672">
        <w:rPr>
          <w:rFonts w:ascii="Times New Roman" w:hAnsi="Times New Roman"/>
          <w:color w:val="000000"/>
          <w:szCs w:val="20"/>
        </w:rPr>
        <w:t xml:space="preserve"> не </w:t>
      </w:r>
      <w:proofErr w:type="spellStart"/>
      <w:r w:rsidRPr="00E16672">
        <w:rPr>
          <w:rFonts w:ascii="Times New Roman" w:hAnsi="Times New Roman"/>
          <w:color w:val="000000"/>
          <w:szCs w:val="20"/>
        </w:rPr>
        <w:t>більше</w:t>
      </w:r>
      <w:proofErr w:type="spellEnd"/>
      <w:r w:rsidRPr="00E16672">
        <w:rPr>
          <w:rFonts w:ascii="Times New Roman" w:hAnsi="Times New Roman"/>
          <w:color w:val="000000"/>
          <w:szCs w:val="20"/>
        </w:rPr>
        <w:t xml:space="preserve"> як </w:t>
      </w:r>
      <w:r w:rsidR="002C163A">
        <w:rPr>
          <w:rFonts w:ascii="Times New Roman" w:hAnsi="Times New Roman"/>
          <w:color w:val="000000"/>
          <w:szCs w:val="20"/>
          <w:lang w:val="uk-UA"/>
        </w:rPr>
        <w:t>10 (</w:t>
      </w:r>
      <w:r w:rsidRPr="00E16672">
        <w:rPr>
          <w:rFonts w:ascii="Times New Roman" w:hAnsi="Times New Roman"/>
          <w:i/>
          <w:color w:val="000000"/>
          <w:szCs w:val="20"/>
        </w:rPr>
        <w:t>десять</w:t>
      </w:r>
      <w:r w:rsidR="002C163A">
        <w:rPr>
          <w:rFonts w:ascii="Times New Roman" w:hAnsi="Times New Roman"/>
          <w:i/>
          <w:color w:val="000000"/>
          <w:szCs w:val="20"/>
          <w:lang w:val="uk-UA"/>
        </w:rPr>
        <w:t>)</w:t>
      </w:r>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робочих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днів</w:t>
      </w:r>
      <w:proofErr w:type="spellEnd"/>
      <w:r w:rsidRPr="00E16672">
        <w:rPr>
          <w:rFonts w:ascii="Times New Roman" w:hAnsi="Times New Roman"/>
          <w:color w:val="000000"/>
          <w:szCs w:val="20"/>
        </w:rPr>
        <w:t xml:space="preserve"> з </w:t>
      </w:r>
      <w:proofErr w:type="spellStart"/>
      <w:r w:rsidRPr="00E16672">
        <w:rPr>
          <w:rFonts w:ascii="Times New Roman" w:hAnsi="Times New Roman"/>
          <w:color w:val="000000"/>
          <w:szCs w:val="20"/>
        </w:rPr>
        <w:t>дати</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внесення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відповідних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змін</w:t>
      </w:r>
      <w:proofErr w:type="spellEnd"/>
      <w:r w:rsidRPr="00E16672">
        <w:rPr>
          <w:rFonts w:ascii="Times New Roman" w:hAnsi="Times New Roman"/>
          <w:color w:val="000000"/>
          <w:szCs w:val="20"/>
        </w:rPr>
        <w:t xml:space="preserve"> до </w:t>
      </w:r>
      <w:proofErr w:type="spellStart"/>
      <w:r w:rsidRPr="00E16672">
        <w:rPr>
          <w:rFonts w:ascii="Times New Roman" w:hAnsi="Times New Roman"/>
          <w:color w:val="000000"/>
          <w:szCs w:val="20"/>
        </w:rPr>
        <w:t>своїх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реквізитів</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або</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документів</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що</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надавалися</w:t>
      </w:r>
      <w:proofErr w:type="spellEnd"/>
      <w:r w:rsidRPr="00E16672">
        <w:rPr>
          <w:rFonts w:ascii="Times New Roman" w:hAnsi="Times New Roman"/>
          <w:color w:val="000000"/>
          <w:szCs w:val="20"/>
        </w:rPr>
        <w:t xml:space="preserve"> для </w:t>
      </w:r>
      <w:proofErr w:type="spellStart"/>
      <w:r w:rsidRPr="00E16672">
        <w:rPr>
          <w:rFonts w:ascii="Times New Roman" w:hAnsi="Times New Roman"/>
          <w:color w:val="000000"/>
          <w:szCs w:val="20"/>
        </w:rPr>
        <w:t>відкриття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рахунка</w:t>
      </w:r>
      <w:proofErr w:type="spellEnd"/>
      <w:r w:rsidRPr="00E16672">
        <w:rPr>
          <w:rFonts w:ascii="Times New Roman" w:hAnsi="Times New Roman"/>
          <w:color w:val="000000"/>
          <w:szCs w:val="20"/>
        </w:rPr>
        <w:t xml:space="preserve"> в </w:t>
      </w:r>
      <w:proofErr w:type="spellStart"/>
      <w:r w:rsidRPr="00E16672">
        <w:rPr>
          <w:rFonts w:ascii="Times New Roman" w:hAnsi="Times New Roman"/>
          <w:color w:val="000000"/>
          <w:szCs w:val="20"/>
        </w:rPr>
        <w:t>цінних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паперах</w:t>
      </w:r>
      <w:proofErr w:type="spellEnd"/>
      <w:r w:rsidRPr="00E16672">
        <w:rPr>
          <w:rFonts w:ascii="Times New Roman" w:hAnsi="Times New Roman"/>
          <w:color w:val="000000"/>
          <w:szCs w:val="20"/>
        </w:rPr>
        <w:t xml:space="preserve">, </w:t>
      </w:r>
      <w:proofErr w:type="spellStart"/>
      <w:proofErr w:type="gramStart"/>
      <w:r w:rsidRPr="00E16672">
        <w:rPr>
          <w:rFonts w:ascii="Times New Roman" w:hAnsi="Times New Roman"/>
          <w:color w:val="000000"/>
          <w:szCs w:val="20"/>
        </w:rPr>
        <w:t>надавати</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інформацію</w:t>
      </w:r>
      <w:proofErr w:type="spellEnd"/>
      <w:proofErr w:type="gramEnd"/>
      <w:r w:rsidRPr="00E16672">
        <w:rPr>
          <w:rFonts w:ascii="Times New Roman" w:hAnsi="Times New Roman"/>
          <w:color w:val="000000"/>
          <w:szCs w:val="20"/>
        </w:rPr>
        <w:t xml:space="preserve"> про </w:t>
      </w:r>
      <w:proofErr w:type="spellStart"/>
      <w:r w:rsidRPr="00E16672">
        <w:rPr>
          <w:rFonts w:ascii="Times New Roman" w:hAnsi="Times New Roman"/>
          <w:color w:val="000000"/>
          <w:szCs w:val="20"/>
        </w:rPr>
        <w:t>ці</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зміни</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Депозитарній</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установі</w:t>
      </w:r>
      <w:proofErr w:type="spellEnd"/>
      <w:r w:rsidRPr="00E16672">
        <w:rPr>
          <w:rFonts w:ascii="Times New Roman" w:hAnsi="Times New Roman"/>
          <w:color w:val="000000"/>
          <w:szCs w:val="20"/>
        </w:rPr>
        <w:t xml:space="preserve"> у порядку, </w:t>
      </w:r>
      <w:proofErr w:type="spellStart"/>
      <w:r w:rsidRPr="00E16672">
        <w:rPr>
          <w:rFonts w:ascii="Times New Roman" w:hAnsi="Times New Roman"/>
          <w:color w:val="000000"/>
          <w:szCs w:val="20"/>
        </w:rPr>
        <w:t>встановленому</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законодавством</w:t>
      </w:r>
      <w:proofErr w:type="spellEnd"/>
      <w:r w:rsidRPr="00E16672">
        <w:rPr>
          <w:rFonts w:ascii="Times New Roman" w:hAnsi="Times New Roman"/>
          <w:color w:val="000000"/>
          <w:szCs w:val="20"/>
        </w:rPr>
        <w:t xml:space="preserve"> та </w:t>
      </w:r>
      <w:proofErr w:type="spellStart"/>
      <w:r w:rsidRPr="00E16672">
        <w:rPr>
          <w:rFonts w:ascii="Times New Roman" w:hAnsi="Times New Roman"/>
          <w:color w:val="000000"/>
          <w:szCs w:val="20"/>
        </w:rPr>
        <w:t>внутрішніми</w:t>
      </w:r>
      <w:proofErr w:type="spellEnd"/>
      <w:r w:rsidRPr="00E16672">
        <w:rPr>
          <w:rFonts w:ascii="Times New Roman" w:hAnsi="Times New Roman"/>
          <w:color w:val="000000"/>
          <w:szCs w:val="20"/>
        </w:rPr>
        <w:t xml:space="preserve"> документами </w:t>
      </w:r>
      <w:proofErr w:type="spellStart"/>
      <w:r w:rsidRPr="00E16672">
        <w:rPr>
          <w:rFonts w:ascii="Times New Roman" w:hAnsi="Times New Roman"/>
          <w:color w:val="000000"/>
          <w:szCs w:val="20"/>
        </w:rPr>
        <w:t>Депозитарної</w:t>
      </w:r>
      <w:proofErr w:type="spellEnd"/>
      <w:r w:rsidRPr="00E16672">
        <w:rPr>
          <w:rFonts w:ascii="Times New Roman" w:hAnsi="Times New Roman"/>
          <w:color w:val="000000"/>
          <w:szCs w:val="20"/>
        </w:rPr>
        <w:t xml:space="preserve"> установи.</w:t>
      </w:r>
    </w:p>
    <w:p w14:paraId="05C778BC" w14:textId="77777777" w:rsidR="007974E8" w:rsidRPr="00E16672" w:rsidRDefault="007974E8" w:rsidP="007974E8">
      <w:pPr>
        <w:rPr>
          <w:rFonts w:ascii="Times New Roman" w:hAnsi="Times New Roman"/>
          <w:color w:val="000000"/>
          <w:szCs w:val="20"/>
        </w:rPr>
      </w:pPr>
      <w:r w:rsidRPr="00E16672">
        <w:rPr>
          <w:rFonts w:ascii="Times New Roman" w:hAnsi="Times New Roman"/>
          <w:color w:val="000000"/>
          <w:szCs w:val="20"/>
        </w:rPr>
        <w:t xml:space="preserve">2.3.8. </w:t>
      </w:r>
      <w:proofErr w:type="spellStart"/>
      <w:r w:rsidRPr="00E16672">
        <w:rPr>
          <w:rFonts w:ascii="Times New Roman" w:hAnsi="Times New Roman"/>
          <w:color w:val="000000"/>
          <w:szCs w:val="20"/>
        </w:rPr>
        <w:t>Протягом</w:t>
      </w:r>
      <w:proofErr w:type="spellEnd"/>
      <w:r w:rsidRPr="00E16672">
        <w:rPr>
          <w:rFonts w:ascii="Times New Roman" w:hAnsi="Times New Roman"/>
          <w:color w:val="000000"/>
          <w:szCs w:val="20"/>
        </w:rPr>
        <w:t xml:space="preserve"> </w:t>
      </w:r>
      <w:r w:rsidR="002C163A">
        <w:rPr>
          <w:rFonts w:ascii="Times New Roman" w:hAnsi="Times New Roman"/>
          <w:color w:val="000000"/>
          <w:szCs w:val="20"/>
          <w:lang w:val="uk-UA"/>
        </w:rPr>
        <w:t>60 (</w:t>
      </w:r>
      <w:proofErr w:type="spellStart"/>
      <w:r w:rsidR="00F50251" w:rsidRPr="00E16672">
        <w:rPr>
          <w:rFonts w:ascii="Times New Roman" w:hAnsi="Times New Roman"/>
          <w:i/>
          <w:iCs/>
          <w:color w:val="000000"/>
          <w:szCs w:val="20"/>
        </w:rPr>
        <w:t>шістдесяти</w:t>
      </w:r>
      <w:proofErr w:type="spellEnd"/>
      <w:r w:rsidR="002C163A">
        <w:rPr>
          <w:rFonts w:ascii="Times New Roman" w:hAnsi="Times New Roman"/>
          <w:i/>
          <w:iCs/>
          <w:color w:val="000000"/>
          <w:szCs w:val="20"/>
          <w:lang w:val="uk-UA"/>
        </w:rPr>
        <w:t>)</w:t>
      </w:r>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календарних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днів</w:t>
      </w:r>
      <w:proofErr w:type="spellEnd"/>
      <w:r w:rsidRPr="00E16672">
        <w:rPr>
          <w:rFonts w:ascii="Times New Roman" w:hAnsi="Times New Roman"/>
          <w:color w:val="000000"/>
          <w:szCs w:val="20"/>
        </w:rPr>
        <w:t xml:space="preserve"> з </w:t>
      </w:r>
      <w:proofErr w:type="spellStart"/>
      <w:r w:rsidRPr="00E16672">
        <w:rPr>
          <w:rFonts w:ascii="Times New Roman" w:hAnsi="Times New Roman"/>
          <w:color w:val="000000"/>
          <w:szCs w:val="20"/>
        </w:rPr>
        <w:t>дати</w:t>
      </w:r>
      <w:proofErr w:type="spellEnd"/>
      <w:r w:rsidRPr="00E16672">
        <w:rPr>
          <w:rFonts w:ascii="Times New Roman" w:hAnsi="Times New Roman"/>
          <w:color w:val="000000"/>
          <w:szCs w:val="20"/>
        </w:rPr>
        <w:t xml:space="preserve"> початку Депозитарною </w:t>
      </w:r>
      <w:proofErr w:type="spellStart"/>
      <w:r w:rsidRPr="00E16672">
        <w:rPr>
          <w:rFonts w:ascii="Times New Roman" w:hAnsi="Times New Roman"/>
          <w:color w:val="000000"/>
          <w:szCs w:val="20"/>
        </w:rPr>
        <w:t>установою</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процедури</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припинення</w:t>
      </w:r>
      <w:proofErr w:type="spellEnd"/>
      <w:r w:rsidRPr="00E16672">
        <w:rPr>
          <w:rFonts w:ascii="Times New Roman" w:hAnsi="Times New Roman"/>
          <w:color w:val="000000"/>
          <w:szCs w:val="20"/>
        </w:rPr>
        <w:t xml:space="preserve"> нею </w:t>
      </w:r>
      <w:proofErr w:type="spellStart"/>
      <w:r w:rsidRPr="00E16672">
        <w:rPr>
          <w:rFonts w:ascii="Times New Roman" w:hAnsi="Times New Roman"/>
          <w:color w:val="000000"/>
          <w:szCs w:val="20"/>
        </w:rPr>
        <w:t>провадження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професійної</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діяльності</w:t>
      </w:r>
      <w:proofErr w:type="spellEnd"/>
      <w:r w:rsidRPr="00E16672">
        <w:rPr>
          <w:rFonts w:ascii="Times New Roman" w:hAnsi="Times New Roman"/>
          <w:color w:val="000000"/>
          <w:szCs w:val="20"/>
        </w:rPr>
        <w:t xml:space="preserve"> </w:t>
      </w:r>
      <w:proofErr w:type="gramStart"/>
      <w:r w:rsidRPr="00E16672">
        <w:rPr>
          <w:rFonts w:ascii="Times New Roman" w:hAnsi="Times New Roman"/>
          <w:color w:val="000000"/>
          <w:szCs w:val="20"/>
        </w:rPr>
        <w:t>на фондовому ринку</w:t>
      </w:r>
      <w:proofErr w:type="gramEnd"/>
      <w:r w:rsidRPr="00E16672">
        <w:rPr>
          <w:rFonts w:ascii="Times New Roman" w:hAnsi="Times New Roman"/>
          <w:color w:val="000000"/>
          <w:szCs w:val="20"/>
        </w:rPr>
        <w:t xml:space="preserve"> - </w:t>
      </w:r>
      <w:proofErr w:type="spellStart"/>
      <w:r w:rsidRPr="00E16672">
        <w:rPr>
          <w:rFonts w:ascii="Times New Roman" w:hAnsi="Times New Roman"/>
          <w:color w:val="000000"/>
          <w:szCs w:val="20"/>
        </w:rPr>
        <w:t>депозитарної</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діяльності</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депозитарної</w:t>
      </w:r>
      <w:proofErr w:type="spellEnd"/>
      <w:r w:rsidRPr="00E16672">
        <w:rPr>
          <w:rFonts w:ascii="Times New Roman" w:hAnsi="Times New Roman"/>
          <w:color w:val="000000"/>
          <w:szCs w:val="20"/>
        </w:rPr>
        <w:t xml:space="preserve"> установи </w:t>
      </w:r>
      <w:proofErr w:type="spellStart"/>
      <w:r w:rsidRPr="00E16672">
        <w:rPr>
          <w:rFonts w:ascii="Times New Roman" w:hAnsi="Times New Roman"/>
          <w:color w:val="000000"/>
          <w:szCs w:val="20"/>
        </w:rPr>
        <w:t>відповідно</w:t>
      </w:r>
      <w:proofErr w:type="spellEnd"/>
      <w:r w:rsidRPr="00E16672">
        <w:rPr>
          <w:rFonts w:ascii="Times New Roman" w:hAnsi="Times New Roman"/>
          <w:color w:val="000000"/>
          <w:szCs w:val="20"/>
        </w:rPr>
        <w:t xml:space="preserve"> до </w:t>
      </w:r>
      <w:proofErr w:type="spellStart"/>
      <w:r w:rsidRPr="00E16672">
        <w:rPr>
          <w:rFonts w:ascii="Times New Roman" w:hAnsi="Times New Roman"/>
          <w:color w:val="000000"/>
          <w:szCs w:val="20"/>
        </w:rPr>
        <w:t>вимог</w:t>
      </w:r>
      <w:proofErr w:type="spellEnd"/>
      <w:r w:rsidRPr="00E16672">
        <w:rPr>
          <w:rFonts w:ascii="Times New Roman" w:hAnsi="Times New Roman"/>
          <w:color w:val="000000"/>
          <w:szCs w:val="20"/>
        </w:rPr>
        <w:t xml:space="preserve"> нормативно-правового акта </w:t>
      </w:r>
      <w:proofErr w:type="spellStart"/>
      <w:r w:rsidRPr="00E16672">
        <w:rPr>
          <w:rFonts w:ascii="Times New Roman" w:hAnsi="Times New Roman"/>
          <w:color w:val="000000"/>
          <w:szCs w:val="20"/>
        </w:rPr>
        <w:t>щодо</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припинення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депозитарної</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діяльності</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депозитарної</w:t>
      </w:r>
      <w:proofErr w:type="spellEnd"/>
      <w:r w:rsidRPr="00E16672">
        <w:rPr>
          <w:rFonts w:ascii="Times New Roman" w:hAnsi="Times New Roman"/>
          <w:color w:val="000000"/>
          <w:szCs w:val="20"/>
        </w:rPr>
        <w:t xml:space="preserve"> установи </w:t>
      </w:r>
      <w:proofErr w:type="spellStart"/>
      <w:r w:rsidRPr="00E16672">
        <w:rPr>
          <w:rFonts w:ascii="Times New Roman" w:hAnsi="Times New Roman"/>
          <w:color w:val="000000"/>
          <w:szCs w:val="20"/>
        </w:rPr>
        <w:t>здійснити</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всі</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необхідні</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дії</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щодо</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закриття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рахунка</w:t>
      </w:r>
      <w:proofErr w:type="spellEnd"/>
      <w:r w:rsidRPr="00E16672">
        <w:rPr>
          <w:rFonts w:ascii="Times New Roman" w:hAnsi="Times New Roman"/>
          <w:color w:val="000000"/>
          <w:szCs w:val="20"/>
        </w:rPr>
        <w:t xml:space="preserve"> в </w:t>
      </w:r>
      <w:proofErr w:type="spellStart"/>
      <w:r w:rsidRPr="00E16672">
        <w:rPr>
          <w:rFonts w:ascii="Times New Roman" w:hAnsi="Times New Roman"/>
          <w:color w:val="000000"/>
          <w:szCs w:val="20"/>
        </w:rPr>
        <w:t>цінних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паперах</w:t>
      </w:r>
      <w:proofErr w:type="spellEnd"/>
      <w:r w:rsidRPr="00E16672">
        <w:rPr>
          <w:rFonts w:ascii="Times New Roman" w:hAnsi="Times New Roman"/>
          <w:color w:val="000000"/>
          <w:szCs w:val="20"/>
        </w:rPr>
        <w:t>.</w:t>
      </w:r>
    </w:p>
    <w:p w14:paraId="506F69C3" w14:textId="77777777" w:rsidR="007974E8" w:rsidRPr="00E16672" w:rsidRDefault="007974E8" w:rsidP="007974E8">
      <w:pPr>
        <w:rPr>
          <w:rFonts w:ascii="Times New Roman" w:hAnsi="Times New Roman"/>
          <w:color w:val="000000"/>
          <w:szCs w:val="20"/>
        </w:rPr>
      </w:pPr>
      <w:r w:rsidRPr="00E16672">
        <w:rPr>
          <w:rFonts w:ascii="Times New Roman" w:hAnsi="Times New Roman"/>
          <w:color w:val="000000"/>
          <w:szCs w:val="20"/>
        </w:rPr>
        <w:lastRenderedPageBreak/>
        <w:t xml:space="preserve">2.3.9. </w:t>
      </w:r>
      <w:proofErr w:type="spellStart"/>
      <w:r w:rsidRPr="00E16672">
        <w:rPr>
          <w:rFonts w:ascii="Times New Roman" w:hAnsi="Times New Roman"/>
          <w:color w:val="000000"/>
          <w:szCs w:val="20"/>
        </w:rPr>
        <w:t>Надавати</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Депозитарній</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установі</w:t>
      </w:r>
      <w:proofErr w:type="spellEnd"/>
      <w:r w:rsidRPr="00E16672">
        <w:rPr>
          <w:rFonts w:ascii="Times New Roman" w:hAnsi="Times New Roman"/>
          <w:color w:val="000000"/>
          <w:szCs w:val="20"/>
        </w:rPr>
        <w:t xml:space="preserve"> для </w:t>
      </w:r>
      <w:proofErr w:type="spellStart"/>
      <w:r w:rsidRPr="00E16672">
        <w:rPr>
          <w:rFonts w:ascii="Times New Roman" w:hAnsi="Times New Roman"/>
          <w:color w:val="000000"/>
          <w:szCs w:val="20"/>
        </w:rPr>
        <w:t>здійснення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розрахунків</w:t>
      </w:r>
      <w:proofErr w:type="spellEnd"/>
      <w:r w:rsidRPr="00E16672">
        <w:rPr>
          <w:rFonts w:ascii="Times New Roman" w:hAnsi="Times New Roman"/>
          <w:color w:val="000000"/>
          <w:szCs w:val="20"/>
        </w:rPr>
        <w:t xml:space="preserve"> за </w:t>
      </w:r>
      <w:proofErr w:type="spellStart"/>
      <w:r w:rsidRPr="00E16672">
        <w:rPr>
          <w:rFonts w:ascii="Times New Roman" w:hAnsi="Times New Roman"/>
          <w:color w:val="000000"/>
          <w:szCs w:val="20"/>
        </w:rPr>
        <w:t>правочинами</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щодо</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цінних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паперів</w:t>
      </w:r>
      <w:proofErr w:type="spellEnd"/>
      <w:r w:rsidRPr="00E16672">
        <w:rPr>
          <w:rFonts w:ascii="Times New Roman" w:hAnsi="Times New Roman"/>
          <w:color w:val="000000"/>
          <w:szCs w:val="20"/>
        </w:rPr>
        <w:t xml:space="preserve"> з </w:t>
      </w:r>
      <w:proofErr w:type="spellStart"/>
      <w:r w:rsidRPr="00E16672">
        <w:rPr>
          <w:rFonts w:ascii="Times New Roman" w:hAnsi="Times New Roman"/>
          <w:color w:val="000000"/>
          <w:szCs w:val="20"/>
        </w:rPr>
        <w:t>дотриманням</w:t>
      </w:r>
      <w:proofErr w:type="spellEnd"/>
      <w:r w:rsidRPr="00E16672">
        <w:rPr>
          <w:rFonts w:ascii="Times New Roman" w:hAnsi="Times New Roman"/>
          <w:color w:val="000000"/>
          <w:szCs w:val="20"/>
        </w:rPr>
        <w:t xml:space="preserve"> принципу "поставка </w:t>
      </w:r>
      <w:proofErr w:type="spellStart"/>
      <w:r w:rsidRPr="00E16672">
        <w:rPr>
          <w:rFonts w:ascii="Times New Roman" w:hAnsi="Times New Roman"/>
          <w:color w:val="000000"/>
          <w:szCs w:val="20"/>
        </w:rPr>
        <w:t>цінних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паперів</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проти</w:t>
      </w:r>
      <w:proofErr w:type="spellEnd"/>
      <w:r w:rsidRPr="00E16672">
        <w:rPr>
          <w:rFonts w:ascii="Times New Roman" w:hAnsi="Times New Roman"/>
          <w:color w:val="000000"/>
          <w:szCs w:val="20"/>
        </w:rPr>
        <w:t xml:space="preserve"> оплати" </w:t>
      </w:r>
      <w:proofErr w:type="spellStart"/>
      <w:r w:rsidRPr="00E16672">
        <w:rPr>
          <w:rFonts w:ascii="Times New Roman" w:hAnsi="Times New Roman"/>
          <w:color w:val="000000"/>
          <w:szCs w:val="20"/>
        </w:rPr>
        <w:t>інформацію</w:t>
      </w:r>
      <w:proofErr w:type="spellEnd"/>
      <w:r w:rsidRPr="00E16672">
        <w:rPr>
          <w:rFonts w:ascii="Times New Roman" w:hAnsi="Times New Roman"/>
          <w:color w:val="000000"/>
          <w:szCs w:val="20"/>
        </w:rPr>
        <w:t xml:space="preserve"> про </w:t>
      </w:r>
      <w:proofErr w:type="spellStart"/>
      <w:r w:rsidRPr="00E16672">
        <w:rPr>
          <w:rFonts w:ascii="Times New Roman" w:hAnsi="Times New Roman"/>
          <w:color w:val="000000"/>
          <w:szCs w:val="20"/>
        </w:rPr>
        <w:t>торговця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цінними</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паперами</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якому</w:t>
      </w:r>
      <w:proofErr w:type="spellEnd"/>
      <w:r w:rsidRPr="00E16672">
        <w:rPr>
          <w:rFonts w:ascii="Times New Roman" w:hAnsi="Times New Roman"/>
          <w:color w:val="000000"/>
          <w:szCs w:val="20"/>
        </w:rPr>
        <w:t xml:space="preserve"> Депонентом </w:t>
      </w:r>
      <w:proofErr w:type="spellStart"/>
      <w:r w:rsidRPr="00E16672">
        <w:rPr>
          <w:rFonts w:ascii="Times New Roman" w:hAnsi="Times New Roman"/>
          <w:color w:val="000000"/>
          <w:szCs w:val="20"/>
        </w:rPr>
        <w:t>надані</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повноваження</w:t>
      </w:r>
      <w:proofErr w:type="spellEnd"/>
      <w:r w:rsidRPr="00E16672">
        <w:rPr>
          <w:rFonts w:ascii="Times New Roman" w:hAnsi="Times New Roman"/>
          <w:color w:val="000000"/>
          <w:szCs w:val="20"/>
        </w:rPr>
        <w:t xml:space="preserve"> на </w:t>
      </w:r>
      <w:proofErr w:type="spellStart"/>
      <w:r w:rsidRPr="00E16672">
        <w:rPr>
          <w:rFonts w:ascii="Times New Roman" w:hAnsi="Times New Roman"/>
          <w:color w:val="000000"/>
          <w:szCs w:val="20"/>
        </w:rPr>
        <w:t>вчинення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правочинів</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щодо</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цінних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паперів</w:t>
      </w:r>
      <w:proofErr w:type="spellEnd"/>
      <w:r w:rsidRPr="00E16672">
        <w:rPr>
          <w:rFonts w:ascii="Times New Roman" w:hAnsi="Times New Roman"/>
          <w:color w:val="000000"/>
          <w:szCs w:val="20"/>
        </w:rPr>
        <w:t xml:space="preserve"> в </w:t>
      </w:r>
      <w:proofErr w:type="spellStart"/>
      <w:r w:rsidRPr="00E16672">
        <w:rPr>
          <w:rFonts w:ascii="Times New Roman" w:hAnsi="Times New Roman"/>
          <w:color w:val="000000"/>
          <w:szCs w:val="20"/>
        </w:rPr>
        <w:t>інтересах</w:t>
      </w:r>
      <w:proofErr w:type="spellEnd"/>
      <w:r w:rsidRPr="00E16672">
        <w:rPr>
          <w:rFonts w:ascii="Times New Roman" w:hAnsi="Times New Roman"/>
          <w:color w:val="000000"/>
          <w:szCs w:val="20"/>
        </w:rPr>
        <w:t xml:space="preserve"> Депонента, з метою </w:t>
      </w:r>
      <w:proofErr w:type="spellStart"/>
      <w:r w:rsidRPr="00E16672">
        <w:rPr>
          <w:rFonts w:ascii="Times New Roman" w:hAnsi="Times New Roman"/>
          <w:color w:val="000000"/>
          <w:szCs w:val="20"/>
        </w:rPr>
        <w:t>подальшого</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надання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такої</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інформації</w:t>
      </w:r>
      <w:proofErr w:type="spellEnd"/>
      <w:r w:rsidRPr="00E16672">
        <w:rPr>
          <w:rFonts w:ascii="Times New Roman" w:hAnsi="Times New Roman"/>
          <w:color w:val="000000"/>
          <w:szCs w:val="20"/>
        </w:rPr>
        <w:t xml:space="preserve"> Центральному </w:t>
      </w:r>
      <w:proofErr w:type="spellStart"/>
      <w:r w:rsidRPr="00E16672">
        <w:rPr>
          <w:rFonts w:ascii="Times New Roman" w:hAnsi="Times New Roman"/>
          <w:color w:val="000000"/>
          <w:szCs w:val="20"/>
        </w:rPr>
        <w:t>депозитарію</w:t>
      </w:r>
      <w:proofErr w:type="spellEnd"/>
      <w:r w:rsidRPr="00E16672">
        <w:rPr>
          <w:rFonts w:ascii="Times New Roman" w:hAnsi="Times New Roman"/>
          <w:color w:val="000000"/>
          <w:szCs w:val="20"/>
        </w:rPr>
        <w:t xml:space="preserve"> та </w:t>
      </w:r>
      <w:proofErr w:type="spellStart"/>
      <w:r w:rsidRPr="00E16672">
        <w:rPr>
          <w:rFonts w:ascii="Times New Roman" w:hAnsi="Times New Roman"/>
          <w:color w:val="000000"/>
          <w:szCs w:val="20"/>
        </w:rPr>
        <w:t>Розрахунковому</w:t>
      </w:r>
      <w:proofErr w:type="spellEnd"/>
      <w:r w:rsidRPr="00E16672">
        <w:rPr>
          <w:rFonts w:ascii="Times New Roman" w:hAnsi="Times New Roman"/>
          <w:color w:val="000000"/>
          <w:szCs w:val="20"/>
        </w:rPr>
        <w:t xml:space="preserve"> центру </w:t>
      </w:r>
      <w:proofErr w:type="spellStart"/>
      <w:r w:rsidRPr="00E16672">
        <w:rPr>
          <w:rFonts w:ascii="Times New Roman" w:hAnsi="Times New Roman"/>
          <w:color w:val="000000"/>
          <w:szCs w:val="20"/>
        </w:rPr>
        <w:t>чи</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кліринговій</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установі</w:t>
      </w:r>
      <w:proofErr w:type="spellEnd"/>
      <w:r w:rsidRPr="00E16672">
        <w:rPr>
          <w:rFonts w:ascii="Times New Roman" w:hAnsi="Times New Roman"/>
          <w:color w:val="000000"/>
          <w:szCs w:val="20"/>
        </w:rPr>
        <w:t xml:space="preserve"> для </w:t>
      </w:r>
      <w:proofErr w:type="spellStart"/>
      <w:r w:rsidRPr="00E16672">
        <w:rPr>
          <w:rFonts w:ascii="Times New Roman" w:hAnsi="Times New Roman"/>
          <w:color w:val="000000"/>
          <w:szCs w:val="20"/>
        </w:rPr>
        <w:t>її</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відображення</w:t>
      </w:r>
      <w:proofErr w:type="spellEnd"/>
      <w:r w:rsidRPr="00E16672">
        <w:rPr>
          <w:rFonts w:ascii="Times New Roman" w:hAnsi="Times New Roman"/>
          <w:color w:val="000000"/>
          <w:szCs w:val="20"/>
        </w:rPr>
        <w:t xml:space="preserve"> у </w:t>
      </w:r>
      <w:proofErr w:type="spellStart"/>
      <w:r w:rsidRPr="00E16672">
        <w:rPr>
          <w:rFonts w:ascii="Times New Roman" w:hAnsi="Times New Roman"/>
          <w:color w:val="000000"/>
          <w:szCs w:val="20"/>
        </w:rPr>
        <w:t>внутрішній</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системі</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обліку</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такої</w:t>
      </w:r>
      <w:proofErr w:type="spellEnd"/>
      <w:r w:rsidRPr="00E16672">
        <w:rPr>
          <w:rFonts w:ascii="Times New Roman" w:hAnsi="Times New Roman"/>
          <w:color w:val="000000"/>
          <w:szCs w:val="20"/>
        </w:rPr>
        <w:t xml:space="preserve"> особи.</w:t>
      </w:r>
    </w:p>
    <w:p w14:paraId="5D3930C9" w14:textId="77777777" w:rsidR="007974E8" w:rsidRPr="00E16672" w:rsidRDefault="007974E8" w:rsidP="007974E8">
      <w:pPr>
        <w:suppressAutoHyphens w:val="0"/>
        <w:rPr>
          <w:rFonts w:ascii="Times New Roman" w:hAnsi="Times New Roman"/>
          <w:iCs/>
          <w:color w:val="000000"/>
          <w:szCs w:val="20"/>
          <w:lang w:eastAsia="ru-RU"/>
        </w:rPr>
      </w:pPr>
      <w:r w:rsidRPr="00E16672">
        <w:rPr>
          <w:rFonts w:ascii="Times New Roman" w:hAnsi="Times New Roman"/>
          <w:color w:val="000000"/>
          <w:szCs w:val="20"/>
        </w:rPr>
        <w:t>2.3.10.</w:t>
      </w:r>
      <w:r w:rsidRPr="00E16672">
        <w:rPr>
          <w:rFonts w:ascii="Times New Roman" w:hAnsi="Times New Roman"/>
          <w:color w:val="000000"/>
          <w:szCs w:val="20"/>
          <w:lang w:val="uk-UA"/>
        </w:rPr>
        <w:t xml:space="preserve"> </w:t>
      </w:r>
      <w:proofErr w:type="spellStart"/>
      <w:r w:rsidRPr="00E16672">
        <w:rPr>
          <w:rFonts w:ascii="Times New Roman" w:hAnsi="Times New Roman"/>
          <w:iCs/>
          <w:color w:val="000000"/>
          <w:szCs w:val="20"/>
          <w:lang w:eastAsia="ru-RU"/>
        </w:rPr>
        <w:t>Після</w:t>
      </w:r>
      <w:proofErr w:type="spellEnd"/>
      <w:r w:rsidRPr="00E16672">
        <w:rPr>
          <w:rFonts w:ascii="Times New Roman" w:hAnsi="Times New Roman"/>
          <w:iCs/>
          <w:color w:val="000000"/>
          <w:szCs w:val="20"/>
          <w:lang w:eastAsia="ru-RU"/>
        </w:rPr>
        <w:t xml:space="preserve"> початку </w:t>
      </w:r>
      <w:proofErr w:type="spellStart"/>
      <w:r w:rsidRPr="00E16672">
        <w:rPr>
          <w:rFonts w:ascii="Times New Roman" w:hAnsi="Times New Roman"/>
          <w:iCs/>
          <w:color w:val="000000"/>
          <w:szCs w:val="20"/>
          <w:lang w:eastAsia="ru-RU"/>
        </w:rPr>
        <w:t>ліквідаційної</w:t>
      </w:r>
      <w:proofErr w:type="spellEnd"/>
      <w:r w:rsidRPr="00E16672">
        <w:rPr>
          <w:rFonts w:ascii="Times New Roman" w:hAnsi="Times New Roman"/>
          <w:iCs/>
          <w:color w:val="000000"/>
          <w:szCs w:val="20"/>
          <w:lang w:eastAsia="ru-RU"/>
        </w:rPr>
        <w:t xml:space="preserve"> </w:t>
      </w:r>
      <w:proofErr w:type="spellStart"/>
      <w:r w:rsidRPr="00E16672">
        <w:rPr>
          <w:rFonts w:ascii="Times New Roman" w:hAnsi="Times New Roman"/>
          <w:iCs/>
          <w:color w:val="000000"/>
          <w:szCs w:val="20"/>
          <w:lang w:eastAsia="ru-RU"/>
        </w:rPr>
        <w:t>процедури</w:t>
      </w:r>
      <w:proofErr w:type="spellEnd"/>
      <w:r w:rsidRPr="00E16672">
        <w:rPr>
          <w:rFonts w:ascii="Times New Roman" w:hAnsi="Times New Roman"/>
          <w:iCs/>
          <w:color w:val="000000"/>
          <w:szCs w:val="20"/>
          <w:lang w:eastAsia="ru-RU"/>
        </w:rPr>
        <w:t xml:space="preserve"> по </w:t>
      </w:r>
      <w:proofErr w:type="spellStart"/>
      <w:r w:rsidRPr="00E16672">
        <w:rPr>
          <w:rFonts w:ascii="Times New Roman" w:hAnsi="Times New Roman"/>
          <w:iCs/>
          <w:color w:val="000000"/>
          <w:szCs w:val="20"/>
          <w:lang w:eastAsia="ru-RU"/>
        </w:rPr>
        <w:t>відношенню</w:t>
      </w:r>
      <w:proofErr w:type="spellEnd"/>
      <w:r w:rsidRPr="00E16672">
        <w:rPr>
          <w:rFonts w:ascii="Times New Roman" w:hAnsi="Times New Roman"/>
          <w:iCs/>
          <w:color w:val="000000"/>
          <w:szCs w:val="20"/>
          <w:lang w:eastAsia="ru-RU"/>
        </w:rPr>
        <w:t xml:space="preserve"> до Депонента, але не </w:t>
      </w:r>
      <w:proofErr w:type="spellStart"/>
      <w:r w:rsidRPr="00E16672">
        <w:rPr>
          <w:rFonts w:ascii="Times New Roman" w:hAnsi="Times New Roman"/>
          <w:iCs/>
          <w:color w:val="000000"/>
          <w:szCs w:val="20"/>
          <w:lang w:eastAsia="ru-RU"/>
        </w:rPr>
        <w:t>пізніше</w:t>
      </w:r>
      <w:proofErr w:type="spellEnd"/>
      <w:r w:rsidRPr="00E16672">
        <w:rPr>
          <w:rFonts w:ascii="Times New Roman" w:hAnsi="Times New Roman"/>
          <w:iCs/>
          <w:color w:val="000000"/>
          <w:szCs w:val="20"/>
          <w:lang w:eastAsia="ru-RU"/>
        </w:rPr>
        <w:t xml:space="preserve"> дня </w:t>
      </w:r>
      <w:proofErr w:type="spellStart"/>
      <w:r w:rsidRPr="00E16672">
        <w:rPr>
          <w:rFonts w:ascii="Times New Roman" w:hAnsi="Times New Roman"/>
          <w:iCs/>
          <w:color w:val="000000"/>
          <w:szCs w:val="20"/>
          <w:lang w:eastAsia="ru-RU"/>
        </w:rPr>
        <w:t>внесення</w:t>
      </w:r>
      <w:proofErr w:type="spellEnd"/>
      <w:r w:rsidRPr="00E16672">
        <w:rPr>
          <w:rFonts w:ascii="Times New Roman" w:hAnsi="Times New Roman"/>
          <w:iCs/>
          <w:color w:val="000000"/>
          <w:szCs w:val="20"/>
          <w:lang w:eastAsia="ru-RU"/>
        </w:rPr>
        <w:t xml:space="preserve"> до </w:t>
      </w:r>
      <w:proofErr w:type="spellStart"/>
      <w:r w:rsidRPr="00E16672">
        <w:rPr>
          <w:rFonts w:ascii="Times New Roman" w:hAnsi="Times New Roman"/>
          <w:iCs/>
          <w:color w:val="000000"/>
          <w:szCs w:val="20"/>
          <w:lang w:eastAsia="ru-RU"/>
        </w:rPr>
        <w:t>єдиного</w:t>
      </w:r>
      <w:proofErr w:type="spellEnd"/>
      <w:r w:rsidRPr="00E16672">
        <w:rPr>
          <w:rFonts w:ascii="Times New Roman" w:hAnsi="Times New Roman"/>
          <w:iCs/>
          <w:color w:val="000000"/>
          <w:szCs w:val="20"/>
          <w:lang w:eastAsia="ru-RU"/>
        </w:rPr>
        <w:t xml:space="preserve"> державного </w:t>
      </w:r>
      <w:proofErr w:type="spellStart"/>
      <w:r w:rsidRPr="00E16672">
        <w:rPr>
          <w:rFonts w:ascii="Times New Roman" w:hAnsi="Times New Roman"/>
          <w:iCs/>
          <w:color w:val="000000"/>
          <w:szCs w:val="20"/>
          <w:lang w:eastAsia="ru-RU"/>
        </w:rPr>
        <w:t>реєстру</w:t>
      </w:r>
      <w:proofErr w:type="spellEnd"/>
      <w:r w:rsidRPr="00E16672">
        <w:rPr>
          <w:rFonts w:ascii="Times New Roman" w:hAnsi="Times New Roman"/>
          <w:iCs/>
          <w:color w:val="000000"/>
          <w:szCs w:val="20"/>
          <w:lang w:eastAsia="ru-RU"/>
        </w:rPr>
        <w:t xml:space="preserve"> </w:t>
      </w:r>
      <w:proofErr w:type="spellStart"/>
      <w:r w:rsidRPr="00E16672">
        <w:rPr>
          <w:rFonts w:ascii="Times New Roman" w:hAnsi="Times New Roman"/>
          <w:iCs/>
          <w:color w:val="000000"/>
          <w:szCs w:val="20"/>
          <w:lang w:eastAsia="ru-RU"/>
        </w:rPr>
        <w:t>запису</w:t>
      </w:r>
      <w:proofErr w:type="spellEnd"/>
      <w:r w:rsidRPr="00E16672">
        <w:rPr>
          <w:rFonts w:ascii="Times New Roman" w:hAnsi="Times New Roman"/>
          <w:iCs/>
          <w:color w:val="000000"/>
          <w:szCs w:val="20"/>
          <w:lang w:eastAsia="ru-RU"/>
        </w:rPr>
        <w:t xml:space="preserve"> про </w:t>
      </w:r>
      <w:proofErr w:type="spellStart"/>
      <w:r w:rsidRPr="00E16672">
        <w:rPr>
          <w:rFonts w:ascii="Times New Roman" w:hAnsi="Times New Roman"/>
          <w:iCs/>
          <w:color w:val="000000"/>
          <w:szCs w:val="20"/>
          <w:lang w:eastAsia="ru-RU"/>
        </w:rPr>
        <w:t>його</w:t>
      </w:r>
      <w:proofErr w:type="spellEnd"/>
      <w:r w:rsidRPr="00E16672">
        <w:rPr>
          <w:rFonts w:ascii="Times New Roman" w:hAnsi="Times New Roman"/>
          <w:iCs/>
          <w:color w:val="000000"/>
          <w:szCs w:val="20"/>
          <w:lang w:eastAsia="ru-RU"/>
        </w:rPr>
        <w:t xml:space="preserve"> </w:t>
      </w:r>
      <w:proofErr w:type="spellStart"/>
      <w:r w:rsidRPr="00E16672">
        <w:rPr>
          <w:rFonts w:ascii="Times New Roman" w:hAnsi="Times New Roman"/>
          <w:iCs/>
          <w:color w:val="000000"/>
          <w:szCs w:val="20"/>
          <w:lang w:eastAsia="ru-RU"/>
        </w:rPr>
        <w:t>припинення</w:t>
      </w:r>
      <w:proofErr w:type="spellEnd"/>
      <w:r w:rsidRPr="00E16672">
        <w:rPr>
          <w:rFonts w:ascii="Times New Roman" w:hAnsi="Times New Roman"/>
          <w:iCs/>
          <w:color w:val="000000"/>
          <w:szCs w:val="20"/>
          <w:lang w:eastAsia="ru-RU"/>
        </w:rPr>
        <w:t xml:space="preserve">, </w:t>
      </w:r>
      <w:proofErr w:type="spellStart"/>
      <w:r w:rsidRPr="00E16672">
        <w:rPr>
          <w:rFonts w:ascii="Times New Roman" w:hAnsi="Times New Roman"/>
          <w:iCs/>
          <w:color w:val="000000"/>
          <w:szCs w:val="20"/>
          <w:lang w:eastAsia="ru-RU"/>
        </w:rPr>
        <w:t>закрити</w:t>
      </w:r>
      <w:proofErr w:type="spellEnd"/>
      <w:r w:rsidRPr="00E16672">
        <w:rPr>
          <w:rFonts w:ascii="Times New Roman" w:hAnsi="Times New Roman"/>
          <w:iCs/>
          <w:color w:val="000000"/>
          <w:szCs w:val="20"/>
          <w:lang w:eastAsia="ru-RU"/>
        </w:rPr>
        <w:t xml:space="preserve"> </w:t>
      </w:r>
      <w:proofErr w:type="spellStart"/>
      <w:r w:rsidRPr="00E16672">
        <w:rPr>
          <w:rFonts w:ascii="Times New Roman" w:hAnsi="Times New Roman"/>
          <w:iCs/>
          <w:color w:val="000000"/>
          <w:szCs w:val="20"/>
          <w:lang w:eastAsia="ru-RU"/>
        </w:rPr>
        <w:t>рахунок</w:t>
      </w:r>
      <w:proofErr w:type="spellEnd"/>
      <w:r w:rsidRPr="00E16672">
        <w:rPr>
          <w:rFonts w:ascii="Times New Roman" w:hAnsi="Times New Roman"/>
          <w:iCs/>
          <w:color w:val="000000"/>
          <w:szCs w:val="20"/>
          <w:lang w:eastAsia="ru-RU"/>
        </w:rPr>
        <w:t xml:space="preserve"> в </w:t>
      </w:r>
      <w:proofErr w:type="spellStart"/>
      <w:r w:rsidRPr="00E16672">
        <w:rPr>
          <w:rFonts w:ascii="Times New Roman" w:hAnsi="Times New Roman"/>
          <w:iCs/>
          <w:color w:val="000000"/>
          <w:szCs w:val="20"/>
          <w:lang w:eastAsia="ru-RU"/>
        </w:rPr>
        <w:t>цінних</w:t>
      </w:r>
      <w:proofErr w:type="spellEnd"/>
      <w:r w:rsidRPr="00E16672">
        <w:rPr>
          <w:rFonts w:ascii="Times New Roman" w:hAnsi="Times New Roman"/>
          <w:iCs/>
          <w:color w:val="000000"/>
          <w:szCs w:val="20"/>
          <w:lang w:eastAsia="ru-RU"/>
        </w:rPr>
        <w:t xml:space="preserve"> </w:t>
      </w:r>
      <w:proofErr w:type="spellStart"/>
      <w:r w:rsidRPr="00E16672">
        <w:rPr>
          <w:rFonts w:ascii="Times New Roman" w:hAnsi="Times New Roman"/>
          <w:iCs/>
          <w:color w:val="000000"/>
          <w:szCs w:val="20"/>
          <w:lang w:eastAsia="ru-RU"/>
        </w:rPr>
        <w:t>паперах</w:t>
      </w:r>
      <w:proofErr w:type="spellEnd"/>
      <w:r w:rsidRPr="00E16672">
        <w:rPr>
          <w:rFonts w:ascii="Times New Roman" w:hAnsi="Times New Roman"/>
          <w:iCs/>
          <w:color w:val="000000"/>
          <w:szCs w:val="20"/>
          <w:lang w:eastAsia="ru-RU"/>
        </w:rPr>
        <w:t>.</w:t>
      </w:r>
    </w:p>
    <w:p w14:paraId="76116BC7" w14:textId="77777777" w:rsidR="007974E8" w:rsidRPr="00E16672" w:rsidRDefault="007974E8" w:rsidP="007974E8">
      <w:pPr>
        <w:suppressAutoHyphens w:val="0"/>
        <w:rPr>
          <w:rFonts w:ascii="Times New Roman" w:hAnsi="Times New Roman"/>
          <w:iCs/>
          <w:color w:val="000000"/>
          <w:szCs w:val="20"/>
          <w:lang w:eastAsia="ru-RU"/>
        </w:rPr>
      </w:pPr>
      <w:r w:rsidRPr="00E16672">
        <w:rPr>
          <w:rFonts w:ascii="Times New Roman" w:hAnsi="Times New Roman"/>
          <w:iCs/>
          <w:color w:val="000000"/>
          <w:szCs w:val="20"/>
          <w:lang w:eastAsia="ru-RU"/>
        </w:rPr>
        <w:t xml:space="preserve">2.3.11. </w:t>
      </w:r>
      <w:proofErr w:type="spellStart"/>
      <w:r w:rsidRPr="00E16672">
        <w:rPr>
          <w:rFonts w:ascii="Times New Roman" w:hAnsi="Times New Roman"/>
          <w:iCs/>
          <w:color w:val="000000"/>
          <w:szCs w:val="20"/>
          <w:lang w:eastAsia="ru-RU"/>
        </w:rPr>
        <w:t>Протягом</w:t>
      </w:r>
      <w:proofErr w:type="spellEnd"/>
      <w:r w:rsidRPr="00E16672">
        <w:rPr>
          <w:rFonts w:ascii="Times New Roman" w:hAnsi="Times New Roman"/>
          <w:iCs/>
          <w:color w:val="000000"/>
          <w:szCs w:val="20"/>
          <w:lang w:eastAsia="ru-RU"/>
        </w:rPr>
        <w:t xml:space="preserve"> </w:t>
      </w:r>
      <w:r w:rsidR="002C163A">
        <w:rPr>
          <w:rFonts w:ascii="Times New Roman" w:hAnsi="Times New Roman"/>
          <w:iCs/>
          <w:color w:val="000000"/>
          <w:szCs w:val="20"/>
          <w:lang w:val="uk-UA" w:eastAsia="ru-RU"/>
        </w:rPr>
        <w:t>3 (</w:t>
      </w:r>
      <w:proofErr w:type="spellStart"/>
      <w:r w:rsidRPr="00E16672">
        <w:rPr>
          <w:rFonts w:ascii="Times New Roman" w:hAnsi="Times New Roman"/>
          <w:i/>
          <w:iCs/>
          <w:color w:val="000000"/>
          <w:szCs w:val="20"/>
          <w:lang w:eastAsia="ru-RU"/>
        </w:rPr>
        <w:t>трьох</w:t>
      </w:r>
      <w:proofErr w:type="spellEnd"/>
      <w:r w:rsidR="002C163A">
        <w:rPr>
          <w:rFonts w:ascii="Times New Roman" w:hAnsi="Times New Roman"/>
          <w:i/>
          <w:iCs/>
          <w:color w:val="000000"/>
          <w:szCs w:val="20"/>
          <w:lang w:val="uk-UA" w:eastAsia="ru-RU"/>
        </w:rPr>
        <w:t>)</w:t>
      </w:r>
      <w:r w:rsidRPr="00E16672">
        <w:rPr>
          <w:rFonts w:ascii="Times New Roman" w:hAnsi="Times New Roman"/>
          <w:iCs/>
          <w:color w:val="000000"/>
          <w:szCs w:val="20"/>
          <w:lang w:eastAsia="ru-RU"/>
        </w:rPr>
        <w:t xml:space="preserve"> </w:t>
      </w:r>
      <w:proofErr w:type="spellStart"/>
      <w:r w:rsidRPr="00E16672">
        <w:rPr>
          <w:rFonts w:ascii="Times New Roman" w:hAnsi="Times New Roman"/>
          <w:iCs/>
          <w:color w:val="000000"/>
          <w:szCs w:val="20"/>
          <w:lang w:eastAsia="ru-RU"/>
        </w:rPr>
        <w:t>робочих</w:t>
      </w:r>
      <w:proofErr w:type="spellEnd"/>
      <w:r w:rsidRPr="00E16672">
        <w:rPr>
          <w:rFonts w:ascii="Times New Roman" w:hAnsi="Times New Roman"/>
          <w:iCs/>
          <w:color w:val="000000"/>
          <w:szCs w:val="20"/>
          <w:lang w:eastAsia="ru-RU"/>
        </w:rPr>
        <w:t xml:space="preserve"> </w:t>
      </w:r>
      <w:proofErr w:type="spellStart"/>
      <w:r w:rsidRPr="00E16672">
        <w:rPr>
          <w:rFonts w:ascii="Times New Roman" w:hAnsi="Times New Roman"/>
          <w:iCs/>
          <w:color w:val="000000"/>
          <w:szCs w:val="20"/>
          <w:lang w:eastAsia="ru-RU"/>
        </w:rPr>
        <w:t>днів</w:t>
      </w:r>
      <w:proofErr w:type="spellEnd"/>
      <w:r w:rsidRPr="00E16672">
        <w:rPr>
          <w:rFonts w:ascii="Times New Roman" w:hAnsi="Times New Roman"/>
          <w:iCs/>
          <w:color w:val="000000"/>
          <w:szCs w:val="20"/>
          <w:lang w:eastAsia="ru-RU"/>
        </w:rPr>
        <w:t xml:space="preserve"> з дня </w:t>
      </w:r>
      <w:proofErr w:type="spellStart"/>
      <w:r w:rsidRPr="00E16672">
        <w:rPr>
          <w:rFonts w:ascii="Times New Roman" w:hAnsi="Times New Roman"/>
          <w:iCs/>
          <w:color w:val="000000"/>
          <w:szCs w:val="20"/>
          <w:lang w:eastAsia="ru-RU"/>
        </w:rPr>
        <w:t>настання</w:t>
      </w:r>
      <w:proofErr w:type="spellEnd"/>
      <w:r w:rsidRPr="00E16672">
        <w:rPr>
          <w:rFonts w:ascii="Times New Roman" w:hAnsi="Times New Roman"/>
          <w:iCs/>
          <w:color w:val="000000"/>
          <w:szCs w:val="20"/>
          <w:lang w:eastAsia="ru-RU"/>
        </w:rPr>
        <w:t xml:space="preserve"> </w:t>
      </w:r>
      <w:proofErr w:type="spellStart"/>
      <w:r w:rsidRPr="00E16672">
        <w:rPr>
          <w:rFonts w:ascii="Times New Roman" w:hAnsi="Times New Roman"/>
          <w:iCs/>
          <w:color w:val="000000"/>
          <w:szCs w:val="20"/>
          <w:lang w:eastAsia="ru-RU"/>
        </w:rPr>
        <w:t>відповідної</w:t>
      </w:r>
      <w:proofErr w:type="spellEnd"/>
      <w:r w:rsidRPr="00E16672">
        <w:rPr>
          <w:rFonts w:ascii="Times New Roman" w:hAnsi="Times New Roman"/>
          <w:iCs/>
          <w:color w:val="000000"/>
          <w:szCs w:val="20"/>
          <w:lang w:eastAsia="ru-RU"/>
        </w:rPr>
        <w:t xml:space="preserve"> </w:t>
      </w:r>
      <w:proofErr w:type="spellStart"/>
      <w:r w:rsidRPr="00E16672">
        <w:rPr>
          <w:rFonts w:ascii="Times New Roman" w:hAnsi="Times New Roman"/>
          <w:iCs/>
          <w:color w:val="000000"/>
          <w:szCs w:val="20"/>
          <w:lang w:eastAsia="ru-RU"/>
        </w:rPr>
        <w:t>події</w:t>
      </w:r>
      <w:proofErr w:type="spellEnd"/>
      <w:r w:rsidRPr="00E16672">
        <w:rPr>
          <w:rFonts w:ascii="Times New Roman" w:hAnsi="Times New Roman"/>
          <w:iCs/>
          <w:color w:val="000000"/>
          <w:szCs w:val="20"/>
          <w:lang w:eastAsia="ru-RU"/>
        </w:rPr>
        <w:t xml:space="preserve"> </w:t>
      </w:r>
      <w:proofErr w:type="spellStart"/>
      <w:r w:rsidRPr="00E16672">
        <w:rPr>
          <w:rFonts w:ascii="Times New Roman" w:hAnsi="Times New Roman"/>
          <w:iCs/>
          <w:color w:val="000000"/>
          <w:szCs w:val="20"/>
          <w:lang w:eastAsia="ru-RU"/>
        </w:rPr>
        <w:t>письмово</w:t>
      </w:r>
      <w:proofErr w:type="spellEnd"/>
      <w:r w:rsidRPr="00E16672">
        <w:rPr>
          <w:rFonts w:ascii="Times New Roman" w:hAnsi="Times New Roman"/>
          <w:iCs/>
          <w:color w:val="000000"/>
          <w:szCs w:val="20"/>
          <w:lang w:eastAsia="ru-RU"/>
        </w:rPr>
        <w:t xml:space="preserve"> </w:t>
      </w:r>
      <w:proofErr w:type="spellStart"/>
      <w:r w:rsidRPr="00E16672">
        <w:rPr>
          <w:rFonts w:ascii="Times New Roman" w:hAnsi="Times New Roman"/>
          <w:iCs/>
          <w:color w:val="000000"/>
          <w:szCs w:val="20"/>
          <w:lang w:eastAsia="ru-RU"/>
        </w:rPr>
        <w:t>повідомити</w:t>
      </w:r>
      <w:proofErr w:type="spellEnd"/>
      <w:r w:rsidRPr="00E16672">
        <w:rPr>
          <w:rFonts w:ascii="Times New Roman" w:hAnsi="Times New Roman"/>
          <w:iCs/>
          <w:color w:val="000000"/>
          <w:szCs w:val="20"/>
          <w:lang w:eastAsia="ru-RU"/>
        </w:rPr>
        <w:t xml:space="preserve"> </w:t>
      </w:r>
      <w:proofErr w:type="spellStart"/>
      <w:r w:rsidRPr="00E16672">
        <w:rPr>
          <w:rFonts w:ascii="Times New Roman" w:hAnsi="Times New Roman"/>
          <w:iCs/>
          <w:color w:val="000000"/>
          <w:szCs w:val="20"/>
          <w:lang w:eastAsia="ru-RU"/>
        </w:rPr>
        <w:t>Депозитарну</w:t>
      </w:r>
      <w:proofErr w:type="spellEnd"/>
      <w:r w:rsidRPr="00E16672">
        <w:rPr>
          <w:rFonts w:ascii="Times New Roman" w:hAnsi="Times New Roman"/>
          <w:iCs/>
          <w:color w:val="000000"/>
          <w:szCs w:val="20"/>
          <w:lang w:eastAsia="ru-RU"/>
        </w:rPr>
        <w:t xml:space="preserve"> </w:t>
      </w:r>
      <w:proofErr w:type="spellStart"/>
      <w:r w:rsidRPr="00E16672">
        <w:rPr>
          <w:rFonts w:ascii="Times New Roman" w:hAnsi="Times New Roman"/>
          <w:iCs/>
          <w:color w:val="000000"/>
          <w:szCs w:val="20"/>
          <w:lang w:eastAsia="ru-RU"/>
        </w:rPr>
        <w:t>установу</w:t>
      </w:r>
      <w:proofErr w:type="spellEnd"/>
      <w:r w:rsidRPr="00E16672">
        <w:rPr>
          <w:rFonts w:ascii="Times New Roman" w:hAnsi="Times New Roman"/>
          <w:iCs/>
          <w:color w:val="000000"/>
          <w:szCs w:val="20"/>
          <w:lang w:eastAsia="ru-RU"/>
        </w:rPr>
        <w:t xml:space="preserve"> про </w:t>
      </w:r>
      <w:proofErr w:type="spellStart"/>
      <w:r w:rsidRPr="00E16672">
        <w:rPr>
          <w:rFonts w:ascii="Times New Roman" w:hAnsi="Times New Roman"/>
          <w:iCs/>
          <w:color w:val="000000"/>
          <w:szCs w:val="20"/>
          <w:lang w:eastAsia="ru-RU"/>
        </w:rPr>
        <w:t>зміни</w:t>
      </w:r>
      <w:proofErr w:type="spellEnd"/>
      <w:r w:rsidRPr="00E16672">
        <w:rPr>
          <w:rFonts w:ascii="Times New Roman" w:hAnsi="Times New Roman"/>
          <w:iCs/>
          <w:color w:val="000000"/>
          <w:szCs w:val="20"/>
          <w:lang w:eastAsia="ru-RU"/>
        </w:rPr>
        <w:t xml:space="preserve"> в </w:t>
      </w:r>
      <w:proofErr w:type="spellStart"/>
      <w:r w:rsidRPr="00E16672">
        <w:rPr>
          <w:rFonts w:ascii="Times New Roman" w:hAnsi="Times New Roman"/>
          <w:iCs/>
          <w:color w:val="000000"/>
          <w:szCs w:val="20"/>
          <w:lang w:eastAsia="ru-RU"/>
        </w:rPr>
        <w:t>інформації</w:t>
      </w:r>
      <w:proofErr w:type="spellEnd"/>
      <w:r w:rsidRPr="00E16672">
        <w:rPr>
          <w:rFonts w:ascii="Times New Roman" w:hAnsi="Times New Roman"/>
          <w:iCs/>
          <w:color w:val="000000"/>
          <w:szCs w:val="20"/>
          <w:lang w:eastAsia="ru-RU"/>
        </w:rPr>
        <w:t xml:space="preserve">, </w:t>
      </w:r>
      <w:proofErr w:type="spellStart"/>
      <w:r w:rsidRPr="00E16672">
        <w:rPr>
          <w:rFonts w:ascii="Times New Roman" w:hAnsi="Times New Roman"/>
          <w:iCs/>
          <w:color w:val="000000"/>
          <w:szCs w:val="20"/>
          <w:lang w:eastAsia="ru-RU"/>
        </w:rPr>
        <w:t>що</w:t>
      </w:r>
      <w:proofErr w:type="spellEnd"/>
      <w:r w:rsidRPr="00E16672">
        <w:rPr>
          <w:rFonts w:ascii="Times New Roman" w:hAnsi="Times New Roman"/>
          <w:iCs/>
          <w:color w:val="000000"/>
          <w:szCs w:val="20"/>
          <w:lang w:eastAsia="ru-RU"/>
        </w:rPr>
        <w:t xml:space="preserve"> </w:t>
      </w:r>
      <w:proofErr w:type="spellStart"/>
      <w:r w:rsidRPr="00E16672">
        <w:rPr>
          <w:rFonts w:ascii="Times New Roman" w:hAnsi="Times New Roman"/>
          <w:iCs/>
          <w:color w:val="000000"/>
          <w:szCs w:val="20"/>
          <w:lang w:eastAsia="ru-RU"/>
        </w:rPr>
        <w:t>надавалася</w:t>
      </w:r>
      <w:proofErr w:type="spellEnd"/>
      <w:r w:rsidRPr="00E16672">
        <w:rPr>
          <w:rFonts w:ascii="Times New Roman" w:hAnsi="Times New Roman"/>
          <w:iCs/>
          <w:color w:val="000000"/>
          <w:szCs w:val="20"/>
          <w:lang w:eastAsia="ru-RU"/>
        </w:rPr>
        <w:t xml:space="preserve"> </w:t>
      </w:r>
      <w:proofErr w:type="spellStart"/>
      <w:r w:rsidRPr="00E16672">
        <w:rPr>
          <w:rFonts w:ascii="Times New Roman" w:hAnsi="Times New Roman"/>
          <w:iCs/>
          <w:color w:val="000000"/>
          <w:szCs w:val="20"/>
          <w:lang w:eastAsia="ru-RU"/>
        </w:rPr>
        <w:t>Депозитарній</w:t>
      </w:r>
      <w:proofErr w:type="spellEnd"/>
      <w:r w:rsidRPr="00E16672">
        <w:rPr>
          <w:rFonts w:ascii="Times New Roman" w:hAnsi="Times New Roman"/>
          <w:iCs/>
          <w:color w:val="000000"/>
          <w:szCs w:val="20"/>
          <w:lang w:eastAsia="ru-RU"/>
        </w:rPr>
        <w:t xml:space="preserve"> </w:t>
      </w:r>
      <w:proofErr w:type="spellStart"/>
      <w:r w:rsidRPr="00E16672">
        <w:rPr>
          <w:rFonts w:ascii="Times New Roman" w:hAnsi="Times New Roman"/>
          <w:iCs/>
          <w:color w:val="000000"/>
          <w:szCs w:val="20"/>
          <w:lang w:eastAsia="ru-RU"/>
        </w:rPr>
        <w:t>установі</w:t>
      </w:r>
      <w:proofErr w:type="spellEnd"/>
      <w:r w:rsidRPr="00E16672">
        <w:rPr>
          <w:rFonts w:ascii="Times New Roman" w:hAnsi="Times New Roman"/>
          <w:iCs/>
          <w:color w:val="000000"/>
          <w:szCs w:val="20"/>
          <w:lang w:eastAsia="ru-RU"/>
        </w:rPr>
        <w:t xml:space="preserve"> для </w:t>
      </w:r>
      <w:proofErr w:type="spellStart"/>
      <w:r w:rsidRPr="00E16672">
        <w:rPr>
          <w:rFonts w:ascii="Times New Roman" w:hAnsi="Times New Roman"/>
          <w:iCs/>
          <w:color w:val="000000"/>
          <w:szCs w:val="20"/>
          <w:lang w:eastAsia="ru-RU"/>
        </w:rPr>
        <w:t>здійснення</w:t>
      </w:r>
      <w:proofErr w:type="spellEnd"/>
      <w:r w:rsidRPr="00E16672">
        <w:rPr>
          <w:rFonts w:ascii="Times New Roman" w:hAnsi="Times New Roman"/>
          <w:iCs/>
          <w:color w:val="000000"/>
          <w:szCs w:val="20"/>
          <w:lang w:eastAsia="ru-RU"/>
        </w:rPr>
        <w:t xml:space="preserve"> </w:t>
      </w:r>
      <w:proofErr w:type="spellStart"/>
      <w:r w:rsidRPr="00E16672">
        <w:rPr>
          <w:rFonts w:ascii="Times New Roman" w:hAnsi="Times New Roman"/>
          <w:iCs/>
          <w:color w:val="000000"/>
          <w:szCs w:val="20"/>
          <w:lang w:eastAsia="ru-RU"/>
        </w:rPr>
        <w:t>ідентифікації</w:t>
      </w:r>
      <w:proofErr w:type="spellEnd"/>
      <w:r w:rsidRPr="00E16672">
        <w:rPr>
          <w:rFonts w:ascii="Times New Roman" w:hAnsi="Times New Roman"/>
          <w:iCs/>
          <w:color w:val="000000"/>
          <w:szCs w:val="20"/>
          <w:lang w:eastAsia="ru-RU"/>
        </w:rPr>
        <w:t xml:space="preserve"> (</w:t>
      </w:r>
      <w:proofErr w:type="spellStart"/>
      <w:r w:rsidRPr="00E16672">
        <w:rPr>
          <w:rFonts w:ascii="Times New Roman" w:hAnsi="Times New Roman"/>
          <w:iCs/>
          <w:color w:val="000000"/>
          <w:szCs w:val="20"/>
          <w:lang w:eastAsia="ru-RU"/>
        </w:rPr>
        <w:t>верифікації</w:t>
      </w:r>
      <w:proofErr w:type="spellEnd"/>
      <w:r w:rsidRPr="00E16672">
        <w:rPr>
          <w:rFonts w:ascii="Times New Roman" w:hAnsi="Times New Roman"/>
          <w:iCs/>
          <w:color w:val="000000"/>
          <w:szCs w:val="20"/>
          <w:lang w:eastAsia="ru-RU"/>
        </w:rPr>
        <w:t xml:space="preserve">), у тому </w:t>
      </w:r>
      <w:proofErr w:type="spellStart"/>
      <w:r w:rsidRPr="00E16672">
        <w:rPr>
          <w:rFonts w:ascii="Times New Roman" w:hAnsi="Times New Roman"/>
          <w:iCs/>
          <w:color w:val="000000"/>
          <w:szCs w:val="20"/>
          <w:lang w:eastAsia="ru-RU"/>
        </w:rPr>
        <w:t>числі</w:t>
      </w:r>
      <w:proofErr w:type="spellEnd"/>
      <w:r w:rsidRPr="00E16672">
        <w:rPr>
          <w:rFonts w:ascii="Times New Roman" w:hAnsi="Times New Roman"/>
          <w:iCs/>
          <w:color w:val="000000"/>
          <w:szCs w:val="20"/>
          <w:lang w:eastAsia="ru-RU"/>
        </w:rPr>
        <w:t xml:space="preserve"> </w:t>
      </w:r>
      <w:proofErr w:type="spellStart"/>
      <w:r w:rsidRPr="00E16672">
        <w:rPr>
          <w:rStyle w:val="rvts0"/>
          <w:rFonts w:ascii="Times New Roman" w:hAnsi="Times New Roman"/>
          <w:color w:val="000000"/>
          <w:szCs w:val="20"/>
        </w:rPr>
        <w:t>щодо</w:t>
      </w:r>
      <w:proofErr w:type="spellEnd"/>
      <w:r w:rsidRPr="00E16672">
        <w:rPr>
          <w:rStyle w:val="rvts0"/>
          <w:rFonts w:ascii="Times New Roman" w:hAnsi="Times New Roman"/>
          <w:color w:val="000000"/>
          <w:szCs w:val="20"/>
        </w:rPr>
        <w:t xml:space="preserve"> </w:t>
      </w:r>
      <w:proofErr w:type="spellStart"/>
      <w:r w:rsidRPr="00E16672">
        <w:rPr>
          <w:rStyle w:val="rvts0"/>
          <w:rFonts w:ascii="Times New Roman" w:hAnsi="Times New Roman"/>
          <w:color w:val="000000"/>
          <w:szCs w:val="20"/>
        </w:rPr>
        <w:t>кінцевих</w:t>
      </w:r>
      <w:proofErr w:type="spellEnd"/>
      <w:r w:rsidRPr="00E16672">
        <w:rPr>
          <w:rStyle w:val="rvts0"/>
          <w:rFonts w:ascii="Times New Roman" w:hAnsi="Times New Roman"/>
          <w:color w:val="000000"/>
          <w:szCs w:val="20"/>
        </w:rPr>
        <w:t xml:space="preserve"> </w:t>
      </w:r>
      <w:proofErr w:type="spellStart"/>
      <w:r w:rsidRPr="00E16672">
        <w:rPr>
          <w:rStyle w:val="rvts0"/>
          <w:rFonts w:ascii="Times New Roman" w:hAnsi="Times New Roman"/>
          <w:color w:val="000000"/>
          <w:szCs w:val="20"/>
        </w:rPr>
        <w:t>бенефіціарних</w:t>
      </w:r>
      <w:proofErr w:type="spellEnd"/>
      <w:r w:rsidRPr="00E16672">
        <w:rPr>
          <w:rStyle w:val="rvts0"/>
          <w:rFonts w:ascii="Times New Roman" w:hAnsi="Times New Roman"/>
          <w:color w:val="000000"/>
          <w:szCs w:val="20"/>
        </w:rPr>
        <w:t xml:space="preserve"> </w:t>
      </w:r>
      <w:proofErr w:type="spellStart"/>
      <w:r w:rsidRPr="00E16672">
        <w:rPr>
          <w:rStyle w:val="rvts0"/>
          <w:rFonts w:ascii="Times New Roman" w:hAnsi="Times New Roman"/>
          <w:color w:val="000000"/>
          <w:szCs w:val="20"/>
        </w:rPr>
        <w:t>власників</w:t>
      </w:r>
      <w:proofErr w:type="spellEnd"/>
      <w:r w:rsidRPr="00E16672">
        <w:rPr>
          <w:rStyle w:val="rvts0"/>
          <w:rFonts w:ascii="Times New Roman" w:hAnsi="Times New Roman"/>
          <w:color w:val="000000"/>
          <w:szCs w:val="20"/>
        </w:rPr>
        <w:t xml:space="preserve"> (</w:t>
      </w:r>
      <w:proofErr w:type="spellStart"/>
      <w:r w:rsidRPr="00E16672">
        <w:rPr>
          <w:rStyle w:val="rvts0"/>
          <w:rFonts w:ascii="Times New Roman" w:hAnsi="Times New Roman"/>
          <w:color w:val="000000"/>
          <w:szCs w:val="20"/>
        </w:rPr>
        <w:t>контролерів</w:t>
      </w:r>
      <w:proofErr w:type="spellEnd"/>
      <w:r w:rsidRPr="00E16672">
        <w:rPr>
          <w:rStyle w:val="rvts0"/>
          <w:rFonts w:ascii="Times New Roman" w:hAnsi="Times New Roman"/>
          <w:color w:val="000000"/>
          <w:szCs w:val="20"/>
        </w:rPr>
        <w:t xml:space="preserve">), та </w:t>
      </w:r>
      <w:proofErr w:type="spellStart"/>
      <w:r w:rsidRPr="00E16672">
        <w:rPr>
          <w:rStyle w:val="rvts0"/>
          <w:rFonts w:ascii="Times New Roman" w:hAnsi="Times New Roman"/>
          <w:color w:val="000000"/>
          <w:szCs w:val="20"/>
        </w:rPr>
        <w:t>надати</w:t>
      </w:r>
      <w:proofErr w:type="spellEnd"/>
      <w:r w:rsidRPr="00E16672">
        <w:rPr>
          <w:rStyle w:val="rvts0"/>
          <w:rFonts w:ascii="Times New Roman" w:hAnsi="Times New Roman"/>
          <w:color w:val="000000"/>
          <w:szCs w:val="20"/>
        </w:rPr>
        <w:t xml:space="preserve"> </w:t>
      </w:r>
      <w:proofErr w:type="spellStart"/>
      <w:r w:rsidRPr="00E16672">
        <w:rPr>
          <w:rStyle w:val="rvts0"/>
          <w:rFonts w:ascii="Times New Roman" w:hAnsi="Times New Roman"/>
          <w:color w:val="000000"/>
          <w:szCs w:val="20"/>
        </w:rPr>
        <w:t>засвідчені</w:t>
      </w:r>
      <w:proofErr w:type="spellEnd"/>
      <w:r w:rsidRPr="00E16672">
        <w:rPr>
          <w:rStyle w:val="rvts0"/>
          <w:rFonts w:ascii="Times New Roman" w:hAnsi="Times New Roman"/>
          <w:color w:val="000000"/>
          <w:szCs w:val="20"/>
        </w:rPr>
        <w:t xml:space="preserve"> </w:t>
      </w:r>
      <w:proofErr w:type="spellStart"/>
      <w:r w:rsidRPr="00E16672">
        <w:rPr>
          <w:rStyle w:val="rvts0"/>
          <w:rFonts w:ascii="Times New Roman" w:hAnsi="Times New Roman"/>
          <w:color w:val="000000"/>
          <w:szCs w:val="20"/>
        </w:rPr>
        <w:t>належним</w:t>
      </w:r>
      <w:proofErr w:type="spellEnd"/>
      <w:r w:rsidRPr="00E16672">
        <w:rPr>
          <w:rStyle w:val="rvts0"/>
          <w:rFonts w:ascii="Times New Roman" w:hAnsi="Times New Roman"/>
          <w:color w:val="000000"/>
          <w:szCs w:val="20"/>
        </w:rPr>
        <w:t xml:space="preserve"> чином </w:t>
      </w:r>
      <w:proofErr w:type="spellStart"/>
      <w:r w:rsidRPr="00E16672">
        <w:rPr>
          <w:rStyle w:val="rvts0"/>
          <w:rFonts w:ascii="Times New Roman" w:hAnsi="Times New Roman"/>
          <w:color w:val="000000"/>
          <w:szCs w:val="20"/>
        </w:rPr>
        <w:t>копії</w:t>
      </w:r>
      <w:proofErr w:type="spellEnd"/>
      <w:r w:rsidRPr="00E16672">
        <w:rPr>
          <w:rStyle w:val="rvts0"/>
          <w:rFonts w:ascii="Times New Roman" w:hAnsi="Times New Roman"/>
          <w:color w:val="000000"/>
          <w:szCs w:val="20"/>
        </w:rPr>
        <w:t xml:space="preserve"> </w:t>
      </w:r>
      <w:proofErr w:type="spellStart"/>
      <w:r w:rsidRPr="00E16672">
        <w:rPr>
          <w:rStyle w:val="rvts0"/>
          <w:rFonts w:ascii="Times New Roman" w:hAnsi="Times New Roman"/>
          <w:color w:val="000000"/>
          <w:szCs w:val="20"/>
        </w:rPr>
        <w:t>підтверджуючих</w:t>
      </w:r>
      <w:proofErr w:type="spellEnd"/>
      <w:r w:rsidRPr="00E16672">
        <w:rPr>
          <w:rStyle w:val="rvts0"/>
          <w:rFonts w:ascii="Times New Roman" w:hAnsi="Times New Roman"/>
          <w:color w:val="000000"/>
          <w:szCs w:val="20"/>
        </w:rPr>
        <w:t xml:space="preserve"> </w:t>
      </w:r>
      <w:proofErr w:type="spellStart"/>
      <w:r w:rsidRPr="00E16672">
        <w:rPr>
          <w:rStyle w:val="rvts0"/>
          <w:rFonts w:ascii="Times New Roman" w:hAnsi="Times New Roman"/>
          <w:color w:val="000000"/>
          <w:szCs w:val="20"/>
        </w:rPr>
        <w:t>документів</w:t>
      </w:r>
      <w:proofErr w:type="spellEnd"/>
      <w:r w:rsidRPr="00E16672">
        <w:rPr>
          <w:rStyle w:val="rvts0"/>
          <w:rFonts w:ascii="Times New Roman" w:hAnsi="Times New Roman"/>
          <w:color w:val="000000"/>
          <w:szCs w:val="20"/>
        </w:rPr>
        <w:t xml:space="preserve">. </w:t>
      </w:r>
      <w:proofErr w:type="spellStart"/>
      <w:r w:rsidRPr="00E16672">
        <w:rPr>
          <w:rStyle w:val="rvts0"/>
          <w:rFonts w:ascii="Times New Roman" w:hAnsi="Times New Roman"/>
          <w:color w:val="000000"/>
          <w:szCs w:val="20"/>
        </w:rPr>
        <w:t>Повідомлення</w:t>
      </w:r>
      <w:proofErr w:type="spellEnd"/>
      <w:r w:rsidRPr="00E16672">
        <w:rPr>
          <w:rStyle w:val="rvts0"/>
          <w:rFonts w:ascii="Times New Roman" w:hAnsi="Times New Roman"/>
          <w:color w:val="000000"/>
          <w:szCs w:val="20"/>
        </w:rPr>
        <w:t xml:space="preserve"> та </w:t>
      </w:r>
      <w:proofErr w:type="spellStart"/>
      <w:r w:rsidRPr="00E16672">
        <w:rPr>
          <w:rStyle w:val="rvts0"/>
          <w:rFonts w:ascii="Times New Roman" w:hAnsi="Times New Roman"/>
          <w:color w:val="000000"/>
          <w:szCs w:val="20"/>
        </w:rPr>
        <w:t>документи</w:t>
      </w:r>
      <w:proofErr w:type="spellEnd"/>
      <w:r w:rsidRPr="00E16672">
        <w:rPr>
          <w:rStyle w:val="rvts0"/>
          <w:rFonts w:ascii="Times New Roman" w:hAnsi="Times New Roman"/>
          <w:color w:val="000000"/>
          <w:szCs w:val="20"/>
        </w:rPr>
        <w:t xml:space="preserve"> </w:t>
      </w:r>
      <w:proofErr w:type="spellStart"/>
      <w:r w:rsidRPr="00E16672">
        <w:rPr>
          <w:rStyle w:val="rvts0"/>
          <w:rFonts w:ascii="Times New Roman" w:hAnsi="Times New Roman"/>
          <w:color w:val="000000"/>
          <w:szCs w:val="20"/>
        </w:rPr>
        <w:t>можуть</w:t>
      </w:r>
      <w:proofErr w:type="spellEnd"/>
      <w:r w:rsidRPr="00E16672">
        <w:rPr>
          <w:rStyle w:val="rvts0"/>
          <w:rFonts w:ascii="Times New Roman" w:hAnsi="Times New Roman"/>
          <w:color w:val="000000"/>
          <w:szCs w:val="20"/>
        </w:rPr>
        <w:t xml:space="preserve"> </w:t>
      </w:r>
      <w:proofErr w:type="spellStart"/>
      <w:r w:rsidRPr="00E16672">
        <w:rPr>
          <w:rStyle w:val="rvts0"/>
          <w:rFonts w:ascii="Times New Roman" w:hAnsi="Times New Roman"/>
          <w:color w:val="000000"/>
          <w:szCs w:val="20"/>
        </w:rPr>
        <w:t>надаватися</w:t>
      </w:r>
      <w:proofErr w:type="spellEnd"/>
      <w:r w:rsidRPr="00E16672">
        <w:rPr>
          <w:rStyle w:val="rvts0"/>
          <w:rFonts w:ascii="Times New Roman" w:hAnsi="Times New Roman"/>
          <w:color w:val="000000"/>
          <w:szCs w:val="20"/>
        </w:rPr>
        <w:t xml:space="preserve"> </w:t>
      </w:r>
      <w:proofErr w:type="spellStart"/>
      <w:r w:rsidRPr="00E16672">
        <w:rPr>
          <w:rStyle w:val="rvts0"/>
          <w:rFonts w:ascii="Times New Roman" w:hAnsi="Times New Roman"/>
          <w:color w:val="000000"/>
          <w:szCs w:val="20"/>
        </w:rPr>
        <w:t>особисто</w:t>
      </w:r>
      <w:proofErr w:type="spellEnd"/>
      <w:r w:rsidRPr="00E16672">
        <w:rPr>
          <w:rStyle w:val="rvts0"/>
          <w:rFonts w:ascii="Times New Roman" w:hAnsi="Times New Roman"/>
          <w:color w:val="000000"/>
          <w:szCs w:val="20"/>
        </w:rPr>
        <w:t xml:space="preserve">, </w:t>
      </w:r>
      <w:proofErr w:type="spellStart"/>
      <w:r w:rsidRPr="00E16672">
        <w:rPr>
          <w:rStyle w:val="rvts0"/>
          <w:rFonts w:ascii="Times New Roman" w:hAnsi="Times New Roman"/>
          <w:color w:val="000000"/>
          <w:szCs w:val="20"/>
        </w:rPr>
        <w:t>поштою</w:t>
      </w:r>
      <w:proofErr w:type="spellEnd"/>
      <w:r w:rsidRPr="00E16672">
        <w:rPr>
          <w:rStyle w:val="rvts0"/>
          <w:rFonts w:ascii="Times New Roman" w:hAnsi="Times New Roman"/>
          <w:color w:val="000000"/>
          <w:szCs w:val="20"/>
        </w:rPr>
        <w:t xml:space="preserve">, </w:t>
      </w:r>
      <w:proofErr w:type="spellStart"/>
      <w:r w:rsidRPr="00E16672">
        <w:rPr>
          <w:rStyle w:val="rvts0"/>
          <w:rFonts w:ascii="Times New Roman" w:hAnsi="Times New Roman"/>
          <w:color w:val="000000"/>
          <w:szCs w:val="20"/>
        </w:rPr>
        <w:t>кур’єром</w:t>
      </w:r>
      <w:proofErr w:type="spellEnd"/>
      <w:r w:rsidRPr="00E16672">
        <w:rPr>
          <w:rStyle w:val="rvts0"/>
          <w:rFonts w:ascii="Times New Roman" w:hAnsi="Times New Roman"/>
          <w:color w:val="000000"/>
          <w:szCs w:val="20"/>
        </w:rPr>
        <w:t>.</w:t>
      </w:r>
    </w:p>
    <w:p w14:paraId="1560AC8E" w14:textId="77777777" w:rsidR="007974E8" w:rsidRPr="00E16672" w:rsidRDefault="007974E8" w:rsidP="007974E8">
      <w:pPr>
        <w:pStyle w:val="af"/>
        <w:rPr>
          <w:rFonts w:ascii="Times New Roman" w:hAnsi="Times New Roman" w:cs="Times New Roman"/>
          <w:color w:val="000000"/>
          <w:lang w:val="ru-RU"/>
        </w:rPr>
      </w:pPr>
    </w:p>
    <w:p w14:paraId="38C86F6B" w14:textId="77777777" w:rsidR="007974E8" w:rsidRPr="00E16672" w:rsidRDefault="007974E8" w:rsidP="007974E8">
      <w:pPr>
        <w:rPr>
          <w:rFonts w:ascii="Times New Roman" w:hAnsi="Times New Roman"/>
          <w:b/>
          <w:color w:val="000000"/>
          <w:szCs w:val="20"/>
          <w:lang w:val="uk-UA"/>
        </w:rPr>
      </w:pPr>
      <w:r w:rsidRPr="00E16672">
        <w:rPr>
          <w:rFonts w:ascii="Times New Roman" w:hAnsi="Times New Roman"/>
          <w:b/>
          <w:color w:val="000000"/>
          <w:szCs w:val="20"/>
          <w:lang w:val="uk-UA"/>
        </w:rPr>
        <w:t xml:space="preserve">2.4. Керуючий </w:t>
      </w:r>
      <w:proofErr w:type="spellStart"/>
      <w:r w:rsidRPr="00E16672">
        <w:rPr>
          <w:rFonts w:ascii="Times New Roman" w:hAnsi="Times New Roman"/>
          <w:b/>
          <w:color w:val="000000"/>
          <w:szCs w:val="20"/>
        </w:rPr>
        <w:t>рахунком</w:t>
      </w:r>
      <w:proofErr w:type="spellEnd"/>
      <w:r w:rsidRPr="00E16672">
        <w:rPr>
          <w:rFonts w:ascii="Times New Roman" w:hAnsi="Times New Roman"/>
          <w:b/>
          <w:color w:val="000000"/>
          <w:szCs w:val="20"/>
          <w:lang w:val="uk-UA"/>
        </w:rPr>
        <w:t xml:space="preserve"> має право:</w:t>
      </w:r>
    </w:p>
    <w:p w14:paraId="7C673FAC" w14:textId="77777777" w:rsidR="007974E8" w:rsidRPr="00E16672" w:rsidRDefault="007974E8" w:rsidP="007974E8">
      <w:pPr>
        <w:rPr>
          <w:rFonts w:ascii="Times New Roman" w:hAnsi="Times New Roman"/>
          <w:color w:val="000000"/>
          <w:szCs w:val="20"/>
          <w:lang w:val="uk-UA"/>
        </w:rPr>
      </w:pPr>
      <w:r w:rsidRPr="00E16672">
        <w:rPr>
          <w:rFonts w:ascii="Times New Roman" w:hAnsi="Times New Roman"/>
          <w:color w:val="000000"/>
          <w:szCs w:val="20"/>
          <w:lang w:val="uk-UA"/>
        </w:rPr>
        <w:t xml:space="preserve">2.4.1. Вимагати від Депозитарної установи своєчасного виконання своїх розпоряджень на рахунку </w:t>
      </w:r>
      <w:r w:rsidR="00C22309" w:rsidRPr="00E16672">
        <w:rPr>
          <w:rFonts w:ascii="Times New Roman" w:hAnsi="Times New Roman"/>
          <w:color w:val="000000"/>
          <w:szCs w:val="20"/>
          <w:lang w:val="uk-UA"/>
        </w:rPr>
        <w:t>в цін</w:t>
      </w:r>
      <w:r w:rsidRPr="00E16672">
        <w:rPr>
          <w:rFonts w:ascii="Times New Roman" w:hAnsi="Times New Roman"/>
          <w:color w:val="000000"/>
          <w:szCs w:val="20"/>
          <w:lang w:val="uk-UA"/>
        </w:rPr>
        <w:t xml:space="preserve">них паперах та отримувати відповідно до умов Договору повну інформацію щодо цінних паперів, прав на цінні папери, які обліковуються на рахунку </w:t>
      </w:r>
      <w:r w:rsidR="00C22309" w:rsidRPr="00E16672">
        <w:rPr>
          <w:rFonts w:ascii="Times New Roman" w:hAnsi="Times New Roman"/>
          <w:color w:val="000000"/>
          <w:szCs w:val="20"/>
          <w:lang w:val="uk-UA"/>
        </w:rPr>
        <w:t>в цін</w:t>
      </w:r>
      <w:r w:rsidRPr="00E16672">
        <w:rPr>
          <w:rFonts w:ascii="Times New Roman" w:hAnsi="Times New Roman"/>
          <w:color w:val="000000"/>
          <w:szCs w:val="20"/>
          <w:lang w:val="uk-UA"/>
        </w:rPr>
        <w:t>них паперах.</w:t>
      </w:r>
    </w:p>
    <w:p w14:paraId="2002A797" w14:textId="77777777" w:rsidR="007974E8" w:rsidRPr="00E16672" w:rsidRDefault="007974E8" w:rsidP="007974E8">
      <w:pPr>
        <w:rPr>
          <w:rFonts w:ascii="Times New Roman" w:hAnsi="Times New Roman"/>
          <w:color w:val="000000"/>
          <w:szCs w:val="20"/>
        </w:rPr>
      </w:pPr>
      <w:r w:rsidRPr="00E16672">
        <w:rPr>
          <w:rFonts w:ascii="Times New Roman" w:hAnsi="Times New Roman"/>
          <w:color w:val="000000"/>
          <w:szCs w:val="20"/>
        </w:rPr>
        <w:t xml:space="preserve">2.4.2. </w:t>
      </w:r>
      <w:proofErr w:type="spellStart"/>
      <w:r w:rsidRPr="00E16672">
        <w:rPr>
          <w:rFonts w:ascii="Times New Roman" w:hAnsi="Times New Roman"/>
          <w:color w:val="000000"/>
          <w:szCs w:val="20"/>
        </w:rPr>
        <w:t>Вимагати</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від</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Депозитарної</w:t>
      </w:r>
      <w:proofErr w:type="spellEnd"/>
      <w:r w:rsidRPr="00E16672">
        <w:rPr>
          <w:rFonts w:ascii="Times New Roman" w:hAnsi="Times New Roman"/>
          <w:color w:val="000000"/>
          <w:szCs w:val="20"/>
        </w:rPr>
        <w:t xml:space="preserve"> установи </w:t>
      </w:r>
      <w:proofErr w:type="spellStart"/>
      <w:r w:rsidRPr="00E16672">
        <w:rPr>
          <w:rFonts w:ascii="Times New Roman" w:hAnsi="Times New Roman"/>
          <w:color w:val="000000"/>
          <w:szCs w:val="20"/>
        </w:rPr>
        <w:t>виконання</w:t>
      </w:r>
      <w:proofErr w:type="spellEnd"/>
      <w:r w:rsidRPr="00E16672">
        <w:rPr>
          <w:rFonts w:ascii="Times New Roman" w:hAnsi="Times New Roman"/>
          <w:color w:val="000000"/>
          <w:szCs w:val="20"/>
        </w:rPr>
        <w:t xml:space="preserve"> умов </w:t>
      </w:r>
      <w:proofErr w:type="spellStart"/>
      <w:r w:rsidRPr="00E16672">
        <w:rPr>
          <w:rFonts w:ascii="Times New Roman" w:hAnsi="Times New Roman"/>
          <w:color w:val="000000"/>
          <w:szCs w:val="20"/>
        </w:rPr>
        <w:t>обслуговування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обіг</w:t>
      </w:r>
      <w:r w:rsidR="00C22309" w:rsidRPr="00E16672">
        <w:rPr>
          <w:rFonts w:ascii="Times New Roman" w:hAnsi="Times New Roman"/>
          <w:color w:val="000000"/>
          <w:szCs w:val="20"/>
        </w:rPr>
        <w:t>в</w:t>
      </w:r>
      <w:proofErr w:type="spellEnd"/>
      <w:r w:rsidR="00C22309" w:rsidRPr="00E16672">
        <w:rPr>
          <w:rFonts w:ascii="Times New Roman" w:hAnsi="Times New Roman"/>
          <w:color w:val="000000"/>
          <w:szCs w:val="20"/>
        </w:rPr>
        <w:t xml:space="preserve"> </w:t>
      </w:r>
      <w:proofErr w:type="spellStart"/>
      <w:r w:rsidR="00C22309" w:rsidRPr="00E16672">
        <w:rPr>
          <w:rFonts w:ascii="Times New Roman" w:hAnsi="Times New Roman"/>
          <w:color w:val="000000"/>
          <w:szCs w:val="20"/>
        </w:rPr>
        <w:t>цін</w:t>
      </w:r>
      <w:r w:rsidRPr="00E16672">
        <w:rPr>
          <w:rFonts w:ascii="Times New Roman" w:hAnsi="Times New Roman"/>
          <w:color w:val="000000"/>
          <w:szCs w:val="20"/>
        </w:rPr>
        <w:t>них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паперів</w:t>
      </w:r>
      <w:proofErr w:type="spellEnd"/>
      <w:r w:rsidRPr="00E16672">
        <w:rPr>
          <w:rFonts w:ascii="Times New Roman" w:hAnsi="Times New Roman"/>
          <w:color w:val="000000"/>
          <w:szCs w:val="20"/>
        </w:rPr>
        <w:t xml:space="preserve"> на </w:t>
      </w:r>
      <w:proofErr w:type="spellStart"/>
      <w:r w:rsidRPr="00E16672">
        <w:rPr>
          <w:rFonts w:ascii="Times New Roman" w:hAnsi="Times New Roman"/>
          <w:color w:val="000000"/>
          <w:szCs w:val="20"/>
        </w:rPr>
        <w:t>рахунку</w:t>
      </w:r>
      <w:proofErr w:type="spellEnd"/>
      <w:r w:rsidRPr="00E16672">
        <w:rPr>
          <w:rFonts w:ascii="Times New Roman" w:hAnsi="Times New Roman"/>
          <w:color w:val="000000"/>
          <w:szCs w:val="20"/>
        </w:rPr>
        <w:t xml:space="preserve"> </w:t>
      </w:r>
      <w:r w:rsidR="00C22309" w:rsidRPr="00E16672">
        <w:rPr>
          <w:rFonts w:ascii="Times New Roman" w:hAnsi="Times New Roman"/>
          <w:color w:val="000000"/>
          <w:szCs w:val="20"/>
        </w:rPr>
        <w:t xml:space="preserve">в </w:t>
      </w:r>
      <w:proofErr w:type="spellStart"/>
      <w:r w:rsidR="00C22309" w:rsidRPr="00E16672">
        <w:rPr>
          <w:rFonts w:ascii="Times New Roman" w:hAnsi="Times New Roman"/>
          <w:color w:val="000000"/>
          <w:szCs w:val="20"/>
        </w:rPr>
        <w:t>цін</w:t>
      </w:r>
      <w:r w:rsidRPr="00E16672">
        <w:rPr>
          <w:rFonts w:ascii="Times New Roman" w:hAnsi="Times New Roman"/>
          <w:color w:val="000000"/>
          <w:szCs w:val="20"/>
        </w:rPr>
        <w:t>них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паперах</w:t>
      </w:r>
      <w:proofErr w:type="spellEnd"/>
      <w:r w:rsidRPr="00E16672">
        <w:rPr>
          <w:rFonts w:ascii="Times New Roman" w:hAnsi="Times New Roman"/>
          <w:color w:val="000000"/>
          <w:szCs w:val="20"/>
        </w:rPr>
        <w:t xml:space="preserve"> Депонента, </w:t>
      </w:r>
      <w:proofErr w:type="spellStart"/>
      <w:r w:rsidRPr="00E16672">
        <w:rPr>
          <w:rFonts w:ascii="Times New Roman" w:hAnsi="Times New Roman"/>
          <w:color w:val="000000"/>
          <w:szCs w:val="20"/>
        </w:rPr>
        <w:t>обліку</w:t>
      </w:r>
      <w:proofErr w:type="spellEnd"/>
      <w:r w:rsidRPr="00E16672">
        <w:rPr>
          <w:rFonts w:ascii="Times New Roman" w:hAnsi="Times New Roman"/>
          <w:color w:val="000000"/>
          <w:szCs w:val="20"/>
        </w:rPr>
        <w:t xml:space="preserve"> прав на </w:t>
      </w:r>
      <w:proofErr w:type="spellStart"/>
      <w:r w:rsidRPr="00E16672">
        <w:rPr>
          <w:rFonts w:ascii="Times New Roman" w:hAnsi="Times New Roman"/>
          <w:color w:val="000000"/>
          <w:szCs w:val="20"/>
        </w:rPr>
        <w:t>цінні</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папери</w:t>
      </w:r>
      <w:proofErr w:type="spellEnd"/>
      <w:r w:rsidRPr="00E16672">
        <w:rPr>
          <w:rFonts w:ascii="Times New Roman" w:hAnsi="Times New Roman"/>
          <w:color w:val="000000"/>
          <w:szCs w:val="20"/>
        </w:rPr>
        <w:t xml:space="preserve"> та </w:t>
      </w:r>
      <w:proofErr w:type="spellStart"/>
      <w:r w:rsidRPr="00E16672">
        <w:rPr>
          <w:rFonts w:ascii="Times New Roman" w:hAnsi="Times New Roman"/>
          <w:color w:val="000000"/>
          <w:szCs w:val="20"/>
        </w:rPr>
        <w:t>їх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обмежень</w:t>
      </w:r>
      <w:proofErr w:type="spellEnd"/>
      <w:r w:rsidRPr="00E16672">
        <w:rPr>
          <w:rFonts w:ascii="Times New Roman" w:hAnsi="Times New Roman"/>
          <w:color w:val="000000"/>
          <w:szCs w:val="20"/>
        </w:rPr>
        <w:t xml:space="preserve"> на </w:t>
      </w:r>
      <w:proofErr w:type="spellStart"/>
      <w:r w:rsidRPr="00E16672">
        <w:rPr>
          <w:rFonts w:ascii="Times New Roman" w:hAnsi="Times New Roman"/>
          <w:color w:val="000000"/>
          <w:szCs w:val="20"/>
        </w:rPr>
        <w:t>рахунку</w:t>
      </w:r>
      <w:proofErr w:type="spellEnd"/>
      <w:r w:rsidRPr="00E16672">
        <w:rPr>
          <w:rFonts w:ascii="Times New Roman" w:hAnsi="Times New Roman"/>
          <w:color w:val="000000"/>
          <w:szCs w:val="20"/>
        </w:rPr>
        <w:t xml:space="preserve"> </w:t>
      </w:r>
      <w:r w:rsidR="00C22309" w:rsidRPr="00E16672">
        <w:rPr>
          <w:rFonts w:ascii="Times New Roman" w:hAnsi="Times New Roman"/>
          <w:color w:val="000000"/>
          <w:szCs w:val="20"/>
        </w:rPr>
        <w:t xml:space="preserve">в </w:t>
      </w:r>
      <w:proofErr w:type="spellStart"/>
      <w:r w:rsidR="00C22309" w:rsidRPr="00E16672">
        <w:rPr>
          <w:rFonts w:ascii="Times New Roman" w:hAnsi="Times New Roman"/>
          <w:color w:val="000000"/>
          <w:szCs w:val="20"/>
        </w:rPr>
        <w:t>цін</w:t>
      </w:r>
      <w:r w:rsidRPr="00E16672">
        <w:rPr>
          <w:rFonts w:ascii="Times New Roman" w:hAnsi="Times New Roman"/>
          <w:color w:val="000000"/>
          <w:szCs w:val="20"/>
        </w:rPr>
        <w:t>них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паперах</w:t>
      </w:r>
      <w:proofErr w:type="spellEnd"/>
      <w:r w:rsidRPr="00E16672">
        <w:rPr>
          <w:rFonts w:ascii="Times New Roman" w:hAnsi="Times New Roman"/>
          <w:color w:val="000000"/>
          <w:szCs w:val="20"/>
        </w:rPr>
        <w:t xml:space="preserve"> Депонента.</w:t>
      </w:r>
    </w:p>
    <w:p w14:paraId="20E41A4F" w14:textId="77777777" w:rsidR="007974E8" w:rsidRPr="00E16672" w:rsidRDefault="007974E8" w:rsidP="007974E8">
      <w:pPr>
        <w:rPr>
          <w:rFonts w:ascii="Times New Roman" w:hAnsi="Times New Roman"/>
          <w:color w:val="000000"/>
          <w:szCs w:val="20"/>
        </w:rPr>
      </w:pPr>
      <w:r w:rsidRPr="00E16672">
        <w:rPr>
          <w:rFonts w:ascii="Times New Roman" w:hAnsi="Times New Roman"/>
          <w:color w:val="000000"/>
          <w:szCs w:val="20"/>
        </w:rPr>
        <w:t xml:space="preserve">2.4.3. У </w:t>
      </w:r>
      <w:proofErr w:type="spellStart"/>
      <w:r w:rsidRPr="00E16672">
        <w:rPr>
          <w:rFonts w:ascii="Times New Roman" w:hAnsi="Times New Roman"/>
          <w:color w:val="000000"/>
          <w:szCs w:val="20"/>
        </w:rPr>
        <w:t>випадку</w:t>
      </w:r>
      <w:proofErr w:type="spellEnd"/>
      <w:r w:rsidRPr="00E16672">
        <w:rPr>
          <w:rFonts w:ascii="Times New Roman" w:hAnsi="Times New Roman"/>
          <w:color w:val="000000"/>
          <w:szCs w:val="20"/>
        </w:rPr>
        <w:t xml:space="preserve"> початку Депозитарною </w:t>
      </w:r>
      <w:proofErr w:type="spellStart"/>
      <w:proofErr w:type="gramStart"/>
      <w:r w:rsidRPr="00E16672">
        <w:rPr>
          <w:rFonts w:ascii="Times New Roman" w:hAnsi="Times New Roman"/>
          <w:color w:val="000000"/>
          <w:szCs w:val="20"/>
        </w:rPr>
        <w:t>установою</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процедури</w:t>
      </w:r>
      <w:proofErr w:type="spellEnd"/>
      <w:proofErr w:type="gram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припинення</w:t>
      </w:r>
      <w:proofErr w:type="spellEnd"/>
      <w:r w:rsidRPr="00E16672">
        <w:rPr>
          <w:rFonts w:ascii="Times New Roman" w:hAnsi="Times New Roman"/>
          <w:color w:val="000000"/>
          <w:szCs w:val="20"/>
        </w:rPr>
        <w:t xml:space="preserve"> ним </w:t>
      </w:r>
      <w:proofErr w:type="spellStart"/>
      <w:r w:rsidRPr="00E16672">
        <w:rPr>
          <w:rFonts w:ascii="Times New Roman" w:hAnsi="Times New Roman"/>
          <w:color w:val="000000"/>
          <w:szCs w:val="20"/>
        </w:rPr>
        <w:t>провадження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професійної</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діяльності</w:t>
      </w:r>
      <w:proofErr w:type="spellEnd"/>
      <w:r w:rsidRPr="00E16672">
        <w:rPr>
          <w:rFonts w:ascii="Times New Roman" w:hAnsi="Times New Roman"/>
          <w:color w:val="000000"/>
          <w:szCs w:val="20"/>
        </w:rPr>
        <w:t xml:space="preserve"> на фондовому ринку - </w:t>
      </w:r>
      <w:proofErr w:type="spellStart"/>
      <w:r w:rsidRPr="00E16672">
        <w:rPr>
          <w:rFonts w:ascii="Times New Roman" w:hAnsi="Times New Roman"/>
          <w:color w:val="000000"/>
          <w:szCs w:val="20"/>
        </w:rPr>
        <w:t>депозитарної</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діяльності</w:t>
      </w:r>
      <w:proofErr w:type="spellEnd"/>
      <w:r w:rsidRPr="00E16672">
        <w:rPr>
          <w:rFonts w:ascii="Times New Roman" w:hAnsi="Times New Roman"/>
          <w:color w:val="000000"/>
          <w:szCs w:val="20"/>
        </w:rPr>
        <w:t xml:space="preserve">, а </w:t>
      </w:r>
      <w:proofErr w:type="spellStart"/>
      <w:r w:rsidRPr="00E16672">
        <w:rPr>
          <w:rFonts w:ascii="Times New Roman" w:hAnsi="Times New Roman"/>
          <w:color w:val="000000"/>
          <w:szCs w:val="20"/>
        </w:rPr>
        <w:t>саме</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депозитарної</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діяльності</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депозитарної</w:t>
      </w:r>
      <w:proofErr w:type="spellEnd"/>
      <w:r w:rsidRPr="00E16672">
        <w:rPr>
          <w:rFonts w:ascii="Times New Roman" w:hAnsi="Times New Roman"/>
          <w:color w:val="000000"/>
          <w:szCs w:val="20"/>
        </w:rPr>
        <w:t xml:space="preserve"> установи </w:t>
      </w:r>
      <w:proofErr w:type="spellStart"/>
      <w:r w:rsidRPr="00E16672">
        <w:rPr>
          <w:rFonts w:ascii="Times New Roman" w:hAnsi="Times New Roman"/>
          <w:color w:val="000000"/>
          <w:szCs w:val="20"/>
        </w:rPr>
        <w:t>відповідно</w:t>
      </w:r>
      <w:proofErr w:type="spellEnd"/>
      <w:r w:rsidRPr="00E16672">
        <w:rPr>
          <w:rFonts w:ascii="Times New Roman" w:hAnsi="Times New Roman"/>
          <w:color w:val="000000"/>
          <w:szCs w:val="20"/>
        </w:rPr>
        <w:t xml:space="preserve"> до </w:t>
      </w:r>
      <w:proofErr w:type="spellStart"/>
      <w:r w:rsidRPr="00E16672">
        <w:rPr>
          <w:rFonts w:ascii="Times New Roman" w:hAnsi="Times New Roman"/>
          <w:color w:val="000000"/>
          <w:szCs w:val="20"/>
        </w:rPr>
        <w:t>вимог</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відповідно</w:t>
      </w:r>
      <w:proofErr w:type="spellEnd"/>
      <w:r w:rsidRPr="00E16672">
        <w:rPr>
          <w:rFonts w:ascii="Times New Roman" w:hAnsi="Times New Roman"/>
          <w:color w:val="000000"/>
          <w:szCs w:val="20"/>
        </w:rPr>
        <w:t xml:space="preserve"> до </w:t>
      </w:r>
      <w:proofErr w:type="spellStart"/>
      <w:r w:rsidRPr="00E16672">
        <w:rPr>
          <w:rFonts w:ascii="Times New Roman" w:hAnsi="Times New Roman"/>
          <w:color w:val="000000"/>
          <w:szCs w:val="20"/>
        </w:rPr>
        <w:t>вимог</w:t>
      </w:r>
      <w:proofErr w:type="spellEnd"/>
      <w:r w:rsidRPr="00E16672">
        <w:rPr>
          <w:rFonts w:ascii="Times New Roman" w:hAnsi="Times New Roman"/>
          <w:color w:val="000000"/>
          <w:szCs w:val="20"/>
        </w:rPr>
        <w:t xml:space="preserve"> нормативно-правового акта </w:t>
      </w:r>
      <w:proofErr w:type="spellStart"/>
      <w:r w:rsidRPr="00E16672">
        <w:rPr>
          <w:rFonts w:ascii="Times New Roman" w:hAnsi="Times New Roman"/>
          <w:color w:val="000000"/>
          <w:szCs w:val="20"/>
        </w:rPr>
        <w:t>щодо</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припинення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депозитарної</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діяльності</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депозитарної</w:t>
      </w:r>
      <w:proofErr w:type="spellEnd"/>
      <w:r w:rsidRPr="00E16672">
        <w:rPr>
          <w:rFonts w:ascii="Times New Roman" w:hAnsi="Times New Roman"/>
          <w:color w:val="000000"/>
          <w:szCs w:val="20"/>
        </w:rPr>
        <w:t xml:space="preserve"> установи, </w:t>
      </w:r>
      <w:proofErr w:type="spellStart"/>
      <w:r w:rsidRPr="00E16672">
        <w:rPr>
          <w:rFonts w:ascii="Times New Roman" w:hAnsi="Times New Roman"/>
          <w:color w:val="000000"/>
          <w:szCs w:val="20"/>
        </w:rPr>
        <w:t>надавати</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тільки</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ті</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розпорядження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щодо</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цінних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паперів</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що</w:t>
      </w:r>
      <w:proofErr w:type="spellEnd"/>
      <w:r w:rsidRPr="00E16672">
        <w:rPr>
          <w:rFonts w:ascii="Times New Roman" w:hAnsi="Times New Roman"/>
          <w:color w:val="000000"/>
          <w:szCs w:val="20"/>
        </w:rPr>
        <w:t xml:space="preserve"> належать </w:t>
      </w:r>
      <w:proofErr w:type="spellStart"/>
      <w:r w:rsidRPr="00E16672">
        <w:rPr>
          <w:rFonts w:ascii="Times New Roman" w:hAnsi="Times New Roman"/>
          <w:color w:val="000000"/>
          <w:szCs w:val="20"/>
        </w:rPr>
        <w:t>йому</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виконання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яких</w:t>
      </w:r>
      <w:proofErr w:type="spellEnd"/>
      <w:r w:rsidRPr="00E16672">
        <w:rPr>
          <w:rFonts w:ascii="Times New Roman" w:hAnsi="Times New Roman"/>
          <w:color w:val="000000"/>
          <w:szCs w:val="20"/>
        </w:rPr>
        <w:t xml:space="preserve"> не заборонено </w:t>
      </w:r>
      <w:proofErr w:type="spellStart"/>
      <w:r w:rsidRPr="00E16672">
        <w:rPr>
          <w:rFonts w:ascii="Times New Roman" w:hAnsi="Times New Roman"/>
          <w:color w:val="000000"/>
          <w:szCs w:val="20"/>
        </w:rPr>
        <w:t>законодавством</w:t>
      </w:r>
      <w:proofErr w:type="spellEnd"/>
      <w:r w:rsidRPr="00E16672">
        <w:rPr>
          <w:rFonts w:ascii="Times New Roman" w:hAnsi="Times New Roman"/>
          <w:color w:val="000000"/>
          <w:szCs w:val="20"/>
        </w:rPr>
        <w:t>.</w:t>
      </w:r>
    </w:p>
    <w:p w14:paraId="69D202FE" w14:textId="77777777" w:rsidR="007974E8" w:rsidRPr="00E16672" w:rsidRDefault="007974E8" w:rsidP="00022F5F">
      <w:pPr>
        <w:jc w:val="left"/>
        <w:rPr>
          <w:rFonts w:ascii="Times New Roman" w:hAnsi="Times New Roman"/>
          <w:color w:val="000000"/>
          <w:szCs w:val="20"/>
        </w:rPr>
      </w:pPr>
      <w:r w:rsidRPr="00E16672">
        <w:rPr>
          <w:rFonts w:ascii="Times New Roman" w:hAnsi="Times New Roman"/>
          <w:color w:val="000000"/>
          <w:szCs w:val="20"/>
        </w:rPr>
        <w:t xml:space="preserve">2.4.4. </w:t>
      </w:r>
      <w:proofErr w:type="spellStart"/>
      <w:r w:rsidRPr="00E16672">
        <w:rPr>
          <w:rFonts w:ascii="Times New Roman" w:hAnsi="Times New Roman"/>
          <w:bCs/>
          <w:color w:val="000000"/>
          <w:szCs w:val="20"/>
        </w:rPr>
        <w:t>Н</w:t>
      </w:r>
      <w:r w:rsidRPr="00E16672">
        <w:rPr>
          <w:rFonts w:ascii="Times New Roman" w:hAnsi="Times New Roman"/>
          <w:color w:val="000000"/>
          <w:szCs w:val="20"/>
        </w:rPr>
        <w:t>адавати</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Депозитарній</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установі</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інформацію</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лише</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щодо</w:t>
      </w:r>
      <w:proofErr w:type="spellEnd"/>
      <w:r w:rsidRPr="00E16672">
        <w:rPr>
          <w:rFonts w:ascii="Times New Roman" w:hAnsi="Times New Roman"/>
          <w:color w:val="000000"/>
          <w:szCs w:val="20"/>
        </w:rPr>
        <w:t xml:space="preserve"> одного - </w:t>
      </w:r>
      <w:proofErr w:type="spellStart"/>
      <w:r w:rsidRPr="00E16672">
        <w:rPr>
          <w:rFonts w:ascii="Times New Roman" w:hAnsi="Times New Roman"/>
          <w:color w:val="000000"/>
          <w:szCs w:val="20"/>
        </w:rPr>
        <w:t>торговця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цінними</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паперами</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якому</w:t>
      </w:r>
      <w:proofErr w:type="spellEnd"/>
      <w:r w:rsidRPr="00E16672">
        <w:rPr>
          <w:rFonts w:ascii="Times New Roman" w:hAnsi="Times New Roman"/>
          <w:color w:val="000000"/>
          <w:szCs w:val="20"/>
        </w:rPr>
        <w:t xml:space="preserve"> Депонентом </w:t>
      </w:r>
      <w:proofErr w:type="spellStart"/>
      <w:r w:rsidRPr="00E16672">
        <w:rPr>
          <w:rFonts w:ascii="Times New Roman" w:hAnsi="Times New Roman"/>
          <w:color w:val="000000"/>
          <w:szCs w:val="20"/>
        </w:rPr>
        <w:t>надані</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повноваження</w:t>
      </w:r>
      <w:proofErr w:type="spellEnd"/>
      <w:r w:rsidRPr="00E16672">
        <w:rPr>
          <w:rFonts w:ascii="Times New Roman" w:hAnsi="Times New Roman"/>
          <w:color w:val="000000"/>
          <w:szCs w:val="20"/>
        </w:rPr>
        <w:t xml:space="preserve"> на </w:t>
      </w:r>
      <w:proofErr w:type="spellStart"/>
      <w:r w:rsidRPr="00E16672">
        <w:rPr>
          <w:rFonts w:ascii="Times New Roman" w:hAnsi="Times New Roman"/>
          <w:color w:val="000000"/>
          <w:szCs w:val="20"/>
        </w:rPr>
        <w:t>вчинення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правочинів</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щодо</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цінних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паперів</w:t>
      </w:r>
      <w:proofErr w:type="spellEnd"/>
      <w:r w:rsidRPr="00E16672">
        <w:rPr>
          <w:rFonts w:ascii="Times New Roman" w:hAnsi="Times New Roman"/>
          <w:color w:val="000000"/>
          <w:szCs w:val="20"/>
        </w:rPr>
        <w:t xml:space="preserve"> в </w:t>
      </w:r>
      <w:proofErr w:type="spellStart"/>
      <w:r w:rsidRPr="00E16672">
        <w:rPr>
          <w:rFonts w:ascii="Times New Roman" w:hAnsi="Times New Roman"/>
          <w:color w:val="000000"/>
          <w:szCs w:val="20"/>
        </w:rPr>
        <w:t>інтересах</w:t>
      </w:r>
      <w:proofErr w:type="spellEnd"/>
      <w:r w:rsidRPr="00E16672">
        <w:rPr>
          <w:rFonts w:ascii="Times New Roman" w:hAnsi="Times New Roman"/>
          <w:color w:val="000000"/>
          <w:szCs w:val="20"/>
        </w:rPr>
        <w:t xml:space="preserve"> Депонента, </w:t>
      </w:r>
      <w:proofErr w:type="spellStart"/>
      <w:r w:rsidRPr="00E16672">
        <w:rPr>
          <w:rFonts w:ascii="Times New Roman" w:hAnsi="Times New Roman"/>
          <w:color w:val="000000"/>
          <w:szCs w:val="20"/>
        </w:rPr>
        <w:t>які</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виконуються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із</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забезпеченням</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здійснення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розрахунків</w:t>
      </w:r>
      <w:proofErr w:type="spellEnd"/>
      <w:r w:rsidRPr="00E16672">
        <w:rPr>
          <w:rFonts w:ascii="Times New Roman" w:hAnsi="Times New Roman"/>
          <w:color w:val="000000"/>
          <w:szCs w:val="20"/>
        </w:rPr>
        <w:t xml:space="preserve"> за </w:t>
      </w:r>
      <w:proofErr w:type="spellStart"/>
      <w:r w:rsidRPr="00E16672">
        <w:rPr>
          <w:rFonts w:ascii="Times New Roman" w:hAnsi="Times New Roman"/>
          <w:color w:val="000000"/>
          <w:szCs w:val="20"/>
        </w:rPr>
        <w:t>правочинами</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щодо</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цінних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паперів</w:t>
      </w:r>
      <w:proofErr w:type="spellEnd"/>
      <w:r w:rsidRPr="00E16672">
        <w:rPr>
          <w:rFonts w:ascii="Times New Roman" w:hAnsi="Times New Roman"/>
          <w:color w:val="000000"/>
          <w:szCs w:val="20"/>
        </w:rPr>
        <w:t xml:space="preserve"> з </w:t>
      </w:r>
      <w:proofErr w:type="spellStart"/>
      <w:r w:rsidRPr="00E16672">
        <w:rPr>
          <w:rFonts w:ascii="Times New Roman" w:hAnsi="Times New Roman"/>
          <w:color w:val="000000"/>
          <w:szCs w:val="20"/>
        </w:rPr>
        <w:t>дотриманням</w:t>
      </w:r>
      <w:proofErr w:type="spellEnd"/>
      <w:r w:rsidRPr="00E16672">
        <w:rPr>
          <w:rFonts w:ascii="Times New Roman" w:hAnsi="Times New Roman"/>
          <w:color w:val="000000"/>
          <w:szCs w:val="20"/>
        </w:rPr>
        <w:t xml:space="preserve"> принципу </w:t>
      </w:r>
      <w:r w:rsidR="00022F5F">
        <w:rPr>
          <w:rFonts w:ascii="Times New Roman" w:hAnsi="Times New Roman"/>
          <w:color w:val="000000"/>
          <w:szCs w:val="20"/>
          <w:lang w:val="uk-UA"/>
        </w:rPr>
        <w:t>"</w:t>
      </w:r>
      <w:r w:rsidRPr="00E16672">
        <w:rPr>
          <w:rFonts w:ascii="Times New Roman" w:hAnsi="Times New Roman"/>
          <w:color w:val="000000"/>
          <w:szCs w:val="20"/>
        </w:rPr>
        <w:t xml:space="preserve">поставка </w:t>
      </w:r>
      <w:proofErr w:type="spellStart"/>
      <w:r w:rsidRPr="00E16672">
        <w:rPr>
          <w:rFonts w:ascii="Times New Roman" w:hAnsi="Times New Roman"/>
          <w:color w:val="000000"/>
          <w:szCs w:val="20"/>
        </w:rPr>
        <w:t>цінних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паперів</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проти</w:t>
      </w:r>
      <w:proofErr w:type="spellEnd"/>
      <w:r w:rsidRPr="00E16672">
        <w:rPr>
          <w:rFonts w:ascii="Times New Roman" w:hAnsi="Times New Roman"/>
          <w:color w:val="000000"/>
          <w:szCs w:val="20"/>
        </w:rPr>
        <w:t xml:space="preserve"> оплати</w:t>
      </w:r>
      <w:r w:rsidR="00022F5F">
        <w:rPr>
          <w:rFonts w:ascii="Times New Roman" w:hAnsi="Times New Roman"/>
          <w:color w:val="000000"/>
          <w:szCs w:val="20"/>
          <w:lang w:val="uk-UA"/>
        </w:rPr>
        <w:t>"</w:t>
      </w:r>
      <w:r w:rsidRPr="00E16672">
        <w:rPr>
          <w:rFonts w:ascii="Times New Roman" w:hAnsi="Times New Roman"/>
          <w:color w:val="000000"/>
          <w:szCs w:val="20"/>
        </w:rPr>
        <w:t>.</w:t>
      </w:r>
    </w:p>
    <w:p w14:paraId="38C9B040" w14:textId="77777777" w:rsidR="00FC3003" w:rsidRPr="00E16672" w:rsidRDefault="00FC3003" w:rsidP="00022F5F">
      <w:pPr>
        <w:jc w:val="left"/>
        <w:rPr>
          <w:rFonts w:ascii="Times New Roman" w:hAnsi="Times New Roman"/>
          <w:color w:val="000000"/>
          <w:szCs w:val="20"/>
          <w:lang w:val="uk-UA"/>
        </w:rPr>
      </w:pPr>
      <w:r w:rsidRPr="00E16672">
        <w:rPr>
          <w:rFonts w:ascii="Times New Roman" w:hAnsi="Times New Roman"/>
          <w:color w:val="000000"/>
          <w:szCs w:val="20"/>
          <w:lang w:val="uk-UA"/>
        </w:rPr>
        <w:t xml:space="preserve">2.4.5. </w:t>
      </w:r>
      <w:r w:rsidRPr="00E16672">
        <w:rPr>
          <w:rFonts w:ascii="Times New Roman" w:hAnsi="Times New Roman"/>
          <w:szCs w:val="20"/>
          <w:lang w:val="uk-UA"/>
        </w:rPr>
        <w:t>Отримувати інформацію про умови та порядок діяльності депозитарної установи з урахуванням вимог, встановлених</w:t>
      </w:r>
      <w:r w:rsidRPr="00E16672">
        <w:rPr>
          <w:rFonts w:ascii="Times New Roman" w:hAnsi="Times New Roman"/>
          <w:szCs w:val="20"/>
        </w:rPr>
        <w:t> </w:t>
      </w:r>
      <w:r w:rsidRPr="00E16672">
        <w:rPr>
          <w:rFonts w:ascii="Times New Roman" w:hAnsi="Times New Roman"/>
          <w:szCs w:val="20"/>
          <w:lang w:val="uk-UA"/>
        </w:rPr>
        <w:t xml:space="preserve">частиною першою статті 12 Закону України </w:t>
      </w:r>
      <w:r w:rsidR="00022F5F">
        <w:rPr>
          <w:rFonts w:ascii="Times New Roman" w:hAnsi="Times New Roman"/>
          <w:szCs w:val="20"/>
          <w:lang w:val="uk-UA"/>
        </w:rPr>
        <w:t>"</w:t>
      </w:r>
      <w:r w:rsidRPr="00E16672">
        <w:rPr>
          <w:rFonts w:ascii="Times New Roman" w:hAnsi="Times New Roman"/>
          <w:szCs w:val="20"/>
          <w:lang w:val="uk-UA"/>
        </w:rPr>
        <w:t>Про фінансові послуги та державне регулювання ринків фінансових послуг</w:t>
      </w:r>
      <w:r w:rsidR="00022F5F">
        <w:rPr>
          <w:rFonts w:ascii="Times New Roman" w:hAnsi="Times New Roman"/>
          <w:szCs w:val="20"/>
          <w:lang w:val="uk-UA"/>
        </w:rPr>
        <w:t>"</w:t>
      </w:r>
      <w:r w:rsidRPr="00E16672">
        <w:rPr>
          <w:rFonts w:ascii="Times New Roman" w:hAnsi="Times New Roman"/>
          <w:szCs w:val="20"/>
          <w:lang w:val="uk-UA"/>
        </w:rPr>
        <w:t>.</w:t>
      </w:r>
    </w:p>
    <w:p w14:paraId="2C7B6942" w14:textId="77777777" w:rsidR="007974E8" w:rsidRPr="00E16672" w:rsidRDefault="007974E8" w:rsidP="007974E8">
      <w:pPr>
        <w:pStyle w:val="af"/>
        <w:rPr>
          <w:rFonts w:ascii="Times New Roman" w:hAnsi="Times New Roman" w:cs="Times New Roman"/>
          <w:color w:val="000000"/>
        </w:rPr>
      </w:pPr>
    </w:p>
    <w:p w14:paraId="1581D2EF" w14:textId="77777777" w:rsidR="007974E8" w:rsidRPr="00E16672" w:rsidRDefault="007974E8" w:rsidP="007974E8">
      <w:pPr>
        <w:jc w:val="center"/>
        <w:rPr>
          <w:rFonts w:ascii="Times New Roman" w:hAnsi="Times New Roman"/>
          <w:b/>
          <w:bCs/>
          <w:color w:val="000000"/>
          <w:szCs w:val="20"/>
        </w:rPr>
      </w:pPr>
      <w:r w:rsidRPr="00E16672">
        <w:rPr>
          <w:rFonts w:ascii="Times New Roman" w:hAnsi="Times New Roman"/>
          <w:b/>
          <w:bCs/>
          <w:color w:val="000000"/>
          <w:szCs w:val="20"/>
        </w:rPr>
        <w:t xml:space="preserve">3. Порядок </w:t>
      </w:r>
      <w:proofErr w:type="spellStart"/>
      <w:r w:rsidRPr="00E16672">
        <w:rPr>
          <w:rFonts w:ascii="Times New Roman" w:hAnsi="Times New Roman"/>
          <w:b/>
          <w:bCs/>
          <w:color w:val="000000"/>
          <w:szCs w:val="20"/>
        </w:rPr>
        <w:t>отримання</w:t>
      </w:r>
      <w:proofErr w:type="spellEnd"/>
      <w:r w:rsidRPr="00E16672">
        <w:rPr>
          <w:rFonts w:ascii="Times New Roman" w:hAnsi="Times New Roman"/>
          <w:b/>
          <w:bCs/>
          <w:color w:val="000000"/>
          <w:szCs w:val="20"/>
        </w:rPr>
        <w:t xml:space="preserve"> </w:t>
      </w:r>
      <w:proofErr w:type="spellStart"/>
      <w:r w:rsidRPr="00E16672">
        <w:rPr>
          <w:rFonts w:ascii="Times New Roman" w:hAnsi="Times New Roman"/>
          <w:b/>
          <w:bCs/>
          <w:color w:val="000000"/>
          <w:szCs w:val="20"/>
        </w:rPr>
        <w:t>розпоряджень</w:t>
      </w:r>
      <w:proofErr w:type="spellEnd"/>
    </w:p>
    <w:p w14:paraId="3085D904" w14:textId="77777777" w:rsidR="007974E8" w:rsidRPr="00E16672" w:rsidRDefault="007974E8" w:rsidP="007974E8">
      <w:pPr>
        <w:rPr>
          <w:rFonts w:ascii="Times New Roman" w:hAnsi="Times New Roman"/>
          <w:color w:val="000000"/>
          <w:szCs w:val="20"/>
        </w:rPr>
      </w:pPr>
      <w:r w:rsidRPr="00E16672">
        <w:rPr>
          <w:rFonts w:ascii="Times New Roman" w:hAnsi="Times New Roman"/>
          <w:color w:val="000000"/>
          <w:szCs w:val="20"/>
        </w:rPr>
        <w:t xml:space="preserve">3.1. </w:t>
      </w:r>
      <w:proofErr w:type="spellStart"/>
      <w:r w:rsidRPr="00E16672">
        <w:rPr>
          <w:rFonts w:ascii="Times New Roman" w:hAnsi="Times New Roman"/>
          <w:color w:val="000000"/>
          <w:szCs w:val="20"/>
        </w:rPr>
        <w:t>Обслуговування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операцій</w:t>
      </w:r>
      <w:proofErr w:type="spellEnd"/>
      <w:r w:rsidRPr="00E16672">
        <w:rPr>
          <w:rFonts w:ascii="Times New Roman" w:hAnsi="Times New Roman"/>
          <w:color w:val="000000"/>
          <w:szCs w:val="20"/>
        </w:rPr>
        <w:t xml:space="preserve"> з </w:t>
      </w:r>
      <w:proofErr w:type="spellStart"/>
      <w:r w:rsidRPr="00E16672">
        <w:rPr>
          <w:rFonts w:ascii="Times New Roman" w:hAnsi="Times New Roman"/>
          <w:color w:val="000000"/>
          <w:szCs w:val="20"/>
        </w:rPr>
        <w:t>цінними</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паперами</w:t>
      </w:r>
      <w:proofErr w:type="spellEnd"/>
      <w:r w:rsidRPr="00E16672">
        <w:rPr>
          <w:rFonts w:ascii="Times New Roman" w:hAnsi="Times New Roman"/>
          <w:color w:val="000000"/>
          <w:szCs w:val="20"/>
        </w:rPr>
        <w:t xml:space="preserve"> Депонента </w:t>
      </w:r>
      <w:proofErr w:type="spellStart"/>
      <w:r w:rsidRPr="00E16672">
        <w:rPr>
          <w:rFonts w:ascii="Times New Roman" w:hAnsi="Times New Roman"/>
          <w:color w:val="000000"/>
          <w:szCs w:val="20"/>
        </w:rPr>
        <w:t>здійснюються</w:t>
      </w:r>
      <w:proofErr w:type="spellEnd"/>
      <w:r w:rsidRPr="00E16672">
        <w:rPr>
          <w:rFonts w:ascii="Times New Roman" w:hAnsi="Times New Roman"/>
          <w:color w:val="000000"/>
          <w:szCs w:val="20"/>
        </w:rPr>
        <w:t xml:space="preserve"> Депозитарною </w:t>
      </w:r>
      <w:proofErr w:type="spellStart"/>
      <w:r w:rsidRPr="00E16672">
        <w:rPr>
          <w:rFonts w:ascii="Times New Roman" w:hAnsi="Times New Roman"/>
          <w:color w:val="000000"/>
          <w:szCs w:val="20"/>
        </w:rPr>
        <w:t>установою</w:t>
      </w:r>
      <w:proofErr w:type="spellEnd"/>
      <w:r w:rsidRPr="00E16672">
        <w:rPr>
          <w:rFonts w:ascii="Times New Roman" w:hAnsi="Times New Roman"/>
          <w:color w:val="000000"/>
          <w:szCs w:val="20"/>
        </w:rPr>
        <w:t xml:space="preserve"> за </w:t>
      </w:r>
      <w:proofErr w:type="spellStart"/>
      <w:r w:rsidRPr="00E16672">
        <w:rPr>
          <w:rFonts w:ascii="Times New Roman" w:hAnsi="Times New Roman"/>
          <w:color w:val="000000"/>
          <w:szCs w:val="20"/>
        </w:rPr>
        <w:t>розпорядженням</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Керуючого</w:t>
      </w:r>
      <w:proofErr w:type="spellEnd"/>
      <w:r w:rsidRPr="00E16672">
        <w:rPr>
          <w:rFonts w:ascii="Times New Roman" w:hAnsi="Times New Roman"/>
          <w:color w:val="000000"/>
          <w:szCs w:val="20"/>
        </w:rPr>
        <w:t xml:space="preserve"> </w:t>
      </w:r>
      <w:r w:rsidRPr="00E16672">
        <w:rPr>
          <w:rFonts w:ascii="Times New Roman" w:hAnsi="Times New Roman"/>
          <w:color w:val="000000"/>
          <w:szCs w:val="20"/>
          <w:lang w:val="uk-UA"/>
        </w:rPr>
        <w:t xml:space="preserve">рахунком </w:t>
      </w:r>
      <w:r w:rsidRPr="00E16672">
        <w:rPr>
          <w:rFonts w:ascii="Times New Roman" w:hAnsi="Times New Roman"/>
          <w:color w:val="000000"/>
          <w:szCs w:val="20"/>
        </w:rPr>
        <w:t xml:space="preserve">в </w:t>
      </w:r>
      <w:proofErr w:type="spellStart"/>
      <w:r w:rsidRPr="00E16672">
        <w:rPr>
          <w:rFonts w:ascii="Times New Roman" w:hAnsi="Times New Roman"/>
          <w:color w:val="000000"/>
          <w:szCs w:val="20"/>
        </w:rPr>
        <w:t>особі</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розпорядника</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рахунком</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уповноваженого</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представника</w:t>
      </w:r>
      <w:proofErr w:type="spellEnd"/>
      <w:r w:rsidRPr="00E16672">
        <w:rPr>
          <w:rFonts w:ascii="Times New Roman" w:hAnsi="Times New Roman"/>
          <w:color w:val="000000"/>
          <w:szCs w:val="20"/>
        </w:rPr>
        <w:t>).</w:t>
      </w:r>
    </w:p>
    <w:p w14:paraId="19E33F27" w14:textId="77777777" w:rsidR="007974E8" w:rsidRPr="00E16672" w:rsidRDefault="007974E8" w:rsidP="007974E8">
      <w:pPr>
        <w:rPr>
          <w:rFonts w:ascii="Times New Roman" w:hAnsi="Times New Roman"/>
          <w:szCs w:val="20"/>
          <w:lang w:val="uk-UA"/>
        </w:rPr>
      </w:pPr>
      <w:r w:rsidRPr="00E16672">
        <w:rPr>
          <w:rFonts w:ascii="Times New Roman" w:hAnsi="Times New Roman"/>
          <w:color w:val="000000"/>
          <w:szCs w:val="20"/>
        </w:rPr>
        <w:t xml:space="preserve">3.2. </w:t>
      </w:r>
      <w:r w:rsidRPr="00E16672">
        <w:rPr>
          <w:rFonts w:ascii="Times New Roman" w:hAnsi="Times New Roman"/>
          <w:color w:val="000000"/>
          <w:szCs w:val="20"/>
          <w:lang w:val="uk-UA"/>
        </w:rPr>
        <w:t>Особливості складання розпоряджень Депонентів встановлені</w:t>
      </w:r>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внутрішніми</w:t>
      </w:r>
      <w:proofErr w:type="spellEnd"/>
      <w:r w:rsidRPr="00E16672">
        <w:rPr>
          <w:rFonts w:ascii="Times New Roman" w:hAnsi="Times New Roman"/>
          <w:color w:val="000000"/>
          <w:szCs w:val="20"/>
        </w:rPr>
        <w:t xml:space="preserve"> документами </w:t>
      </w:r>
      <w:proofErr w:type="spellStart"/>
      <w:r w:rsidRPr="00E16672">
        <w:rPr>
          <w:rFonts w:ascii="Times New Roman" w:hAnsi="Times New Roman"/>
          <w:color w:val="000000"/>
          <w:szCs w:val="20"/>
        </w:rPr>
        <w:t>Депозитарної</w:t>
      </w:r>
      <w:proofErr w:type="spellEnd"/>
      <w:r w:rsidRPr="00E16672">
        <w:rPr>
          <w:rFonts w:ascii="Times New Roman" w:hAnsi="Times New Roman"/>
          <w:color w:val="000000"/>
          <w:szCs w:val="20"/>
        </w:rPr>
        <w:t xml:space="preserve"> установи</w:t>
      </w:r>
      <w:r w:rsidRPr="00E16672">
        <w:rPr>
          <w:rFonts w:ascii="Times New Roman" w:hAnsi="Times New Roman"/>
          <w:color w:val="000000"/>
          <w:szCs w:val="20"/>
          <w:lang w:val="uk-UA"/>
        </w:rPr>
        <w:t>. Розпорядження можуть надават</w:t>
      </w:r>
      <w:r w:rsidR="00F50251" w:rsidRPr="00E16672">
        <w:rPr>
          <w:rFonts w:ascii="Times New Roman" w:hAnsi="Times New Roman"/>
          <w:color w:val="000000"/>
          <w:szCs w:val="20"/>
          <w:lang w:val="uk-UA"/>
        </w:rPr>
        <w:t>и</w:t>
      </w:r>
      <w:r w:rsidRPr="00E16672">
        <w:rPr>
          <w:rFonts w:ascii="Times New Roman" w:hAnsi="Times New Roman"/>
          <w:color w:val="000000"/>
          <w:szCs w:val="20"/>
          <w:lang w:val="uk-UA"/>
        </w:rPr>
        <w:t>ся Депозитарній установі у формі: паперового документу, електронного документу, електронного до</w:t>
      </w:r>
      <w:r w:rsidRPr="00E16672">
        <w:rPr>
          <w:rFonts w:ascii="Times New Roman" w:hAnsi="Times New Roman"/>
          <w:szCs w:val="20"/>
          <w:lang w:val="uk-UA"/>
        </w:rPr>
        <w:t>кументу у формі S.W.I.F.T.-повідомлення. Спосіб підписання розпорядження визначається згідно зі способом підтвердження справжності підпису, що використовується при обміні інформацією між Депонентом та Депозитарною установою, і може бути таким:</w:t>
      </w:r>
    </w:p>
    <w:p w14:paraId="3DFA86B2" w14:textId="77777777" w:rsidR="007974E8" w:rsidRPr="00E16672" w:rsidRDefault="007974E8" w:rsidP="007974E8">
      <w:pPr>
        <w:rPr>
          <w:rFonts w:ascii="Times New Roman" w:hAnsi="Times New Roman"/>
          <w:szCs w:val="20"/>
        </w:rPr>
      </w:pPr>
      <w:r w:rsidRPr="00E16672">
        <w:rPr>
          <w:rFonts w:ascii="Times New Roman" w:hAnsi="Times New Roman"/>
          <w:szCs w:val="20"/>
        </w:rPr>
        <w:t xml:space="preserve">- </w:t>
      </w:r>
      <w:proofErr w:type="spellStart"/>
      <w:r w:rsidRPr="00E16672">
        <w:rPr>
          <w:rFonts w:ascii="Times New Roman" w:hAnsi="Times New Roman"/>
          <w:szCs w:val="20"/>
        </w:rPr>
        <w:t>підпис</w:t>
      </w:r>
      <w:proofErr w:type="spellEnd"/>
      <w:r w:rsidRPr="00E16672">
        <w:rPr>
          <w:rFonts w:ascii="Times New Roman" w:hAnsi="Times New Roman"/>
          <w:szCs w:val="20"/>
        </w:rPr>
        <w:t xml:space="preserve"> </w:t>
      </w:r>
      <w:proofErr w:type="spellStart"/>
      <w:r w:rsidRPr="00E16672">
        <w:rPr>
          <w:rFonts w:ascii="Times New Roman" w:hAnsi="Times New Roman"/>
          <w:szCs w:val="20"/>
        </w:rPr>
        <w:t>розпорядника</w:t>
      </w:r>
      <w:proofErr w:type="spellEnd"/>
      <w:r w:rsidRPr="00E16672">
        <w:rPr>
          <w:rFonts w:ascii="Times New Roman" w:hAnsi="Times New Roman"/>
          <w:szCs w:val="20"/>
        </w:rPr>
        <w:t xml:space="preserve"> </w:t>
      </w:r>
      <w:proofErr w:type="spellStart"/>
      <w:r w:rsidRPr="00E16672">
        <w:rPr>
          <w:rFonts w:ascii="Times New Roman" w:hAnsi="Times New Roman"/>
          <w:szCs w:val="20"/>
        </w:rPr>
        <w:t>рахунку</w:t>
      </w:r>
      <w:proofErr w:type="spellEnd"/>
      <w:r w:rsidRPr="00E16672">
        <w:rPr>
          <w:rFonts w:ascii="Times New Roman" w:hAnsi="Times New Roman"/>
          <w:szCs w:val="20"/>
        </w:rPr>
        <w:t xml:space="preserve">, печатка </w:t>
      </w:r>
      <w:proofErr w:type="spellStart"/>
      <w:r w:rsidRPr="00E16672">
        <w:rPr>
          <w:rFonts w:ascii="Times New Roman" w:hAnsi="Times New Roman"/>
          <w:szCs w:val="20"/>
        </w:rPr>
        <w:t>юридичної</w:t>
      </w:r>
      <w:proofErr w:type="spellEnd"/>
      <w:r w:rsidRPr="00E16672">
        <w:rPr>
          <w:rFonts w:ascii="Times New Roman" w:hAnsi="Times New Roman"/>
          <w:szCs w:val="20"/>
        </w:rPr>
        <w:t xml:space="preserve"> особи </w:t>
      </w:r>
      <w:r w:rsidRPr="00E16672">
        <w:rPr>
          <w:rFonts w:ascii="Times New Roman" w:hAnsi="Times New Roman"/>
          <w:szCs w:val="20"/>
          <w:lang w:val="uk-UA"/>
        </w:rPr>
        <w:t xml:space="preserve">(у разі її наявності) </w:t>
      </w:r>
      <w:r w:rsidRPr="00E16672">
        <w:rPr>
          <w:rFonts w:ascii="Times New Roman" w:hAnsi="Times New Roman"/>
          <w:szCs w:val="20"/>
        </w:rPr>
        <w:t xml:space="preserve">- у </w:t>
      </w:r>
      <w:proofErr w:type="spellStart"/>
      <w:r w:rsidRPr="00E16672">
        <w:rPr>
          <w:rFonts w:ascii="Times New Roman" w:hAnsi="Times New Roman"/>
          <w:szCs w:val="20"/>
        </w:rPr>
        <w:t>разі</w:t>
      </w:r>
      <w:proofErr w:type="spellEnd"/>
      <w:r w:rsidRPr="00E16672">
        <w:rPr>
          <w:rFonts w:ascii="Times New Roman" w:hAnsi="Times New Roman"/>
          <w:szCs w:val="20"/>
        </w:rPr>
        <w:t xml:space="preserve"> </w:t>
      </w:r>
      <w:proofErr w:type="spellStart"/>
      <w:proofErr w:type="gramStart"/>
      <w:r w:rsidRPr="00E16672">
        <w:rPr>
          <w:rFonts w:ascii="Times New Roman" w:hAnsi="Times New Roman"/>
          <w:szCs w:val="20"/>
        </w:rPr>
        <w:t>надання</w:t>
      </w:r>
      <w:proofErr w:type="spellEnd"/>
      <w:r w:rsidRPr="00E16672">
        <w:rPr>
          <w:rFonts w:ascii="Times New Roman" w:hAnsi="Times New Roman"/>
          <w:szCs w:val="20"/>
        </w:rPr>
        <w:t xml:space="preserve">  </w:t>
      </w:r>
      <w:proofErr w:type="spellStart"/>
      <w:r w:rsidRPr="00E16672">
        <w:rPr>
          <w:rFonts w:ascii="Times New Roman" w:hAnsi="Times New Roman"/>
          <w:szCs w:val="20"/>
        </w:rPr>
        <w:t>розпорядження</w:t>
      </w:r>
      <w:proofErr w:type="spellEnd"/>
      <w:proofErr w:type="gramEnd"/>
      <w:r w:rsidRPr="00E16672">
        <w:rPr>
          <w:rFonts w:ascii="Times New Roman" w:hAnsi="Times New Roman"/>
          <w:szCs w:val="20"/>
        </w:rPr>
        <w:t xml:space="preserve"> у </w:t>
      </w:r>
      <w:proofErr w:type="spellStart"/>
      <w:r w:rsidRPr="00E16672">
        <w:rPr>
          <w:rFonts w:ascii="Times New Roman" w:hAnsi="Times New Roman"/>
          <w:szCs w:val="20"/>
        </w:rPr>
        <w:t>вигляді</w:t>
      </w:r>
      <w:proofErr w:type="spellEnd"/>
      <w:r w:rsidRPr="00E16672">
        <w:rPr>
          <w:rFonts w:ascii="Times New Roman" w:hAnsi="Times New Roman"/>
          <w:szCs w:val="20"/>
        </w:rPr>
        <w:t xml:space="preserve"> </w:t>
      </w:r>
      <w:proofErr w:type="spellStart"/>
      <w:r w:rsidRPr="00E16672">
        <w:rPr>
          <w:rFonts w:ascii="Times New Roman" w:hAnsi="Times New Roman"/>
          <w:szCs w:val="20"/>
        </w:rPr>
        <w:t>паперового</w:t>
      </w:r>
      <w:proofErr w:type="spellEnd"/>
      <w:r w:rsidRPr="00E16672">
        <w:rPr>
          <w:rFonts w:ascii="Times New Roman" w:hAnsi="Times New Roman"/>
          <w:szCs w:val="20"/>
        </w:rPr>
        <w:t xml:space="preserve"> документа;</w:t>
      </w:r>
    </w:p>
    <w:p w14:paraId="4F0E3819" w14:textId="77777777" w:rsidR="007974E8" w:rsidRPr="00E16672" w:rsidRDefault="007974E8" w:rsidP="007974E8">
      <w:pPr>
        <w:rPr>
          <w:rFonts w:ascii="Times New Roman" w:hAnsi="Times New Roman"/>
          <w:szCs w:val="20"/>
        </w:rPr>
      </w:pPr>
      <w:r w:rsidRPr="00E16672">
        <w:rPr>
          <w:rFonts w:ascii="Times New Roman" w:hAnsi="Times New Roman"/>
          <w:szCs w:val="20"/>
        </w:rPr>
        <w:t xml:space="preserve">- </w:t>
      </w:r>
      <w:proofErr w:type="spellStart"/>
      <w:r w:rsidR="00AE695D" w:rsidRPr="00E16672">
        <w:rPr>
          <w:rFonts w:ascii="Times New Roman" w:hAnsi="Times New Roman"/>
          <w:szCs w:val="20"/>
        </w:rPr>
        <w:t>кваліфікований</w:t>
      </w:r>
      <w:proofErr w:type="spellEnd"/>
      <w:r w:rsidR="00AE695D" w:rsidRPr="00E16672">
        <w:rPr>
          <w:rFonts w:ascii="Times New Roman" w:hAnsi="Times New Roman"/>
          <w:szCs w:val="20"/>
        </w:rPr>
        <w:t xml:space="preserve"> </w:t>
      </w:r>
      <w:proofErr w:type="spellStart"/>
      <w:r w:rsidR="00AE695D" w:rsidRPr="00E16672">
        <w:rPr>
          <w:rFonts w:ascii="Times New Roman" w:hAnsi="Times New Roman"/>
          <w:szCs w:val="20"/>
        </w:rPr>
        <w:t>електронний</w:t>
      </w:r>
      <w:proofErr w:type="spellEnd"/>
      <w:r w:rsidR="00AE695D" w:rsidRPr="00E16672">
        <w:rPr>
          <w:rFonts w:ascii="Times New Roman" w:hAnsi="Times New Roman"/>
          <w:szCs w:val="20"/>
        </w:rPr>
        <w:t xml:space="preserve"> </w:t>
      </w:r>
      <w:proofErr w:type="spellStart"/>
      <w:r w:rsidR="00AE695D" w:rsidRPr="00E16672">
        <w:rPr>
          <w:rFonts w:ascii="Times New Roman" w:hAnsi="Times New Roman"/>
          <w:szCs w:val="20"/>
        </w:rPr>
        <w:t>підпис</w:t>
      </w:r>
      <w:proofErr w:type="spellEnd"/>
      <w:r w:rsidRPr="00E16672">
        <w:rPr>
          <w:rFonts w:ascii="Times New Roman" w:hAnsi="Times New Roman"/>
          <w:szCs w:val="20"/>
        </w:rPr>
        <w:t xml:space="preserve">, </w:t>
      </w:r>
      <w:proofErr w:type="spellStart"/>
      <w:r w:rsidRPr="00E16672">
        <w:rPr>
          <w:rFonts w:ascii="Times New Roman" w:hAnsi="Times New Roman"/>
          <w:szCs w:val="20"/>
        </w:rPr>
        <w:t>що</w:t>
      </w:r>
      <w:proofErr w:type="spellEnd"/>
      <w:r w:rsidRPr="00E16672">
        <w:rPr>
          <w:rFonts w:ascii="Times New Roman" w:hAnsi="Times New Roman"/>
          <w:szCs w:val="20"/>
        </w:rPr>
        <w:t xml:space="preserve"> </w:t>
      </w:r>
      <w:proofErr w:type="spellStart"/>
      <w:r w:rsidRPr="00E16672">
        <w:rPr>
          <w:rFonts w:ascii="Times New Roman" w:hAnsi="Times New Roman"/>
          <w:szCs w:val="20"/>
        </w:rPr>
        <w:t>накладається</w:t>
      </w:r>
      <w:proofErr w:type="spellEnd"/>
      <w:r w:rsidRPr="00E16672">
        <w:rPr>
          <w:rFonts w:ascii="Times New Roman" w:hAnsi="Times New Roman"/>
          <w:szCs w:val="20"/>
        </w:rPr>
        <w:t xml:space="preserve"> за </w:t>
      </w:r>
      <w:proofErr w:type="spellStart"/>
      <w:r w:rsidRPr="00E16672">
        <w:rPr>
          <w:rFonts w:ascii="Times New Roman" w:hAnsi="Times New Roman"/>
          <w:szCs w:val="20"/>
        </w:rPr>
        <w:t>допомогою</w:t>
      </w:r>
      <w:proofErr w:type="spellEnd"/>
      <w:r w:rsidRPr="00E16672">
        <w:rPr>
          <w:rFonts w:ascii="Times New Roman" w:hAnsi="Times New Roman"/>
          <w:szCs w:val="20"/>
        </w:rPr>
        <w:t xml:space="preserve"> </w:t>
      </w:r>
      <w:proofErr w:type="spellStart"/>
      <w:r w:rsidRPr="00E16672">
        <w:rPr>
          <w:rFonts w:ascii="Times New Roman" w:hAnsi="Times New Roman"/>
          <w:szCs w:val="20"/>
        </w:rPr>
        <w:t>особистого</w:t>
      </w:r>
      <w:proofErr w:type="spellEnd"/>
      <w:r w:rsidRPr="00E16672">
        <w:rPr>
          <w:rFonts w:ascii="Times New Roman" w:hAnsi="Times New Roman"/>
          <w:szCs w:val="20"/>
        </w:rPr>
        <w:t xml:space="preserve"> ключа </w:t>
      </w:r>
      <w:proofErr w:type="spellStart"/>
      <w:r w:rsidR="00AE695D" w:rsidRPr="00E16672">
        <w:rPr>
          <w:rFonts w:ascii="Times New Roman" w:hAnsi="Times New Roman"/>
          <w:szCs w:val="20"/>
        </w:rPr>
        <w:t>кваліфікованого</w:t>
      </w:r>
      <w:proofErr w:type="spellEnd"/>
      <w:r w:rsidR="00AE695D" w:rsidRPr="00E16672">
        <w:rPr>
          <w:rFonts w:ascii="Times New Roman" w:hAnsi="Times New Roman"/>
          <w:szCs w:val="20"/>
        </w:rPr>
        <w:t xml:space="preserve"> </w:t>
      </w:r>
      <w:proofErr w:type="spellStart"/>
      <w:r w:rsidR="00AE695D" w:rsidRPr="00E16672">
        <w:rPr>
          <w:rFonts w:ascii="Times New Roman" w:hAnsi="Times New Roman"/>
          <w:szCs w:val="20"/>
        </w:rPr>
        <w:t>електронного</w:t>
      </w:r>
      <w:proofErr w:type="spellEnd"/>
      <w:r w:rsidR="00AE695D" w:rsidRPr="00E16672">
        <w:rPr>
          <w:rFonts w:ascii="Times New Roman" w:hAnsi="Times New Roman"/>
          <w:szCs w:val="20"/>
        </w:rPr>
        <w:t xml:space="preserve"> </w:t>
      </w:r>
      <w:proofErr w:type="spellStart"/>
      <w:r w:rsidR="00AE695D" w:rsidRPr="00E16672">
        <w:rPr>
          <w:rFonts w:ascii="Times New Roman" w:hAnsi="Times New Roman"/>
          <w:szCs w:val="20"/>
        </w:rPr>
        <w:t>підпису</w:t>
      </w:r>
      <w:proofErr w:type="spellEnd"/>
      <w:r w:rsidRPr="00E16672">
        <w:rPr>
          <w:rFonts w:ascii="Times New Roman" w:hAnsi="Times New Roman"/>
          <w:szCs w:val="20"/>
        </w:rPr>
        <w:t xml:space="preserve"> </w:t>
      </w:r>
      <w:proofErr w:type="spellStart"/>
      <w:r w:rsidRPr="00E16672">
        <w:rPr>
          <w:rFonts w:ascii="Times New Roman" w:hAnsi="Times New Roman"/>
          <w:szCs w:val="20"/>
        </w:rPr>
        <w:t>розпорядника</w:t>
      </w:r>
      <w:proofErr w:type="spellEnd"/>
      <w:r w:rsidRPr="00E16672">
        <w:rPr>
          <w:rFonts w:ascii="Times New Roman" w:hAnsi="Times New Roman"/>
          <w:szCs w:val="20"/>
        </w:rPr>
        <w:t xml:space="preserve"> </w:t>
      </w:r>
      <w:proofErr w:type="spellStart"/>
      <w:r w:rsidRPr="00E16672">
        <w:rPr>
          <w:rFonts w:ascii="Times New Roman" w:hAnsi="Times New Roman"/>
          <w:szCs w:val="20"/>
        </w:rPr>
        <w:t>рахунку</w:t>
      </w:r>
      <w:proofErr w:type="spellEnd"/>
      <w:r w:rsidRPr="00E16672">
        <w:rPr>
          <w:rFonts w:ascii="Times New Roman" w:hAnsi="Times New Roman"/>
          <w:szCs w:val="20"/>
        </w:rPr>
        <w:t xml:space="preserve"> та </w:t>
      </w:r>
      <w:proofErr w:type="spellStart"/>
      <w:r w:rsidR="00AE695D" w:rsidRPr="00E16672">
        <w:rPr>
          <w:rFonts w:ascii="Times New Roman" w:hAnsi="Times New Roman"/>
          <w:szCs w:val="20"/>
        </w:rPr>
        <w:t>кваліфікований</w:t>
      </w:r>
      <w:proofErr w:type="spellEnd"/>
      <w:r w:rsidR="00AE695D" w:rsidRPr="00E16672">
        <w:rPr>
          <w:rFonts w:ascii="Times New Roman" w:hAnsi="Times New Roman"/>
          <w:szCs w:val="20"/>
        </w:rPr>
        <w:t xml:space="preserve"> </w:t>
      </w:r>
      <w:proofErr w:type="spellStart"/>
      <w:r w:rsidR="00AE695D" w:rsidRPr="00E16672">
        <w:rPr>
          <w:rFonts w:ascii="Times New Roman" w:hAnsi="Times New Roman"/>
          <w:szCs w:val="20"/>
        </w:rPr>
        <w:t>електронний</w:t>
      </w:r>
      <w:proofErr w:type="spellEnd"/>
      <w:r w:rsidR="00AE695D" w:rsidRPr="00E16672">
        <w:rPr>
          <w:rFonts w:ascii="Times New Roman" w:hAnsi="Times New Roman"/>
          <w:szCs w:val="20"/>
        </w:rPr>
        <w:t xml:space="preserve"> </w:t>
      </w:r>
      <w:proofErr w:type="spellStart"/>
      <w:r w:rsidR="00AE695D" w:rsidRPr="00E16672">
        <w:rPr>
          <w:rFonts w:ascii="Times New Roman" w:hAnsi="Times New Roman"/>
          <w:szCs w:val="20"/>
        </w:rPr>
        <w:t>підпис</w:t>
      </w:r>
      <w:proofErr w:type="spellEnd"/>
      <w:r w:rsidRPr="00E16672">
        <w:rPr>
          <w:rFonts w:ascii="Times New Roman" w:hAnsi="Times New Roman"/>
          <w:szCs w:val="20"/>
        </w:rPr>
        <w:t xml:space="preserve">, </w:t>
      </w:r>
      <w:proofErr w:type="spellStart"/>
      <w:r w:rsidRPr="00E16672">
        <w:rPr>
          <w:rFonts w:ascii="Times New Roman" w:hAnsi="Times New Roman"/>
          <w:szCs w:val="20"/>
        </w:rPr>
        <w:t>що</w:t>
      </w:r>
      <w:proofErr w:type="spellEnd"/>
      <w:r w:rsidRPr="00E16672">
        <w:rPr>
          <w:rFonts w:ascii="Times New Roman" w:hAnsi="Times New Roman"/>
          <w:szCs w:val="20"/>
        </w:rPr>
        <w:t xml:space="preserve"> за </w:t>
      </w:r>
      <w:proofErr w:type="spellStart"/>
      <w:r w:rsidRPr="00E16672">
        <w:rPr>
          <w:rFonts w:ascii="Times New Roman" w:hAnsi="Times New Roman"/>
          <w:szCs w:val="20"/>
        </w:rPr>
        <w:t>правовим</w:t>
      </w:r>
      <w:proofErr w:type="spellEnd"/>
      <w:r w:rsidRPr="00E16672">
        <w:rPr>
          <w:rFonts w:ascii="Times New Roman" w:hAnsi="Times New Roman"/>
          <w:szCs w:val="20"/>
        </w:rPr>
        <w:t xml:space="preserve"> статусом </w:t>
      </w:r>
      <w:proofErr w:type="spellStart"/>
      <w:r w:rsidRPr="00E16672">
        <w:rPr>
          <w:rFonts w:ascii="Times New Roman" w:hAnsi="Times New Roman"/>
          <w:szCs w:val="20"/>
        </w:rPr>
        <w:t>прирівнюється</w:t>
      </w:r>
      <w:proofErr w:type="spellEnd"/>
      <w:r w:rsidRPr="00E16672">
        <w:rPr>
          <w:rFonts w:ascii="Times New Roman" w:hAnsi="Times New Roman"/>
          <w:szCs w:val="20"/>
        </w:rPr>
        <w:t xml:space="preserve"> </w:t>
      </w:r>
      <w:proofErr w:type="gramStart"/>
      <w:r w:rsidRPr="00E16672">
        <w:rPr>
          <w:rFonts w:ascii="Times New Roman" w:hAnsi="Times New Roman"/>
          <w:szCs w:val="20"/>
        </w:rPr>
        <w:t>до  печатки</w:t>
      </w:r>
      <w:proofErr w:type="gramEnd"/>
      <w:r w:rsidRPr="00E16672">
        <w:rPr>
          <w:rFonts w:ascii="Times New Roman" w:hAnsi="Times New Roman"/>
          <w:szCs w:val="20"/>
        </w:rPr>
        <w:t xml:space="preserve">  </w:t>
      </w:r>
      <w:proofErr w:type="spellStart"/>
      <w:r w:rsidRPr="00E16672">
        <w:rPr>
          <w:rFonts w:ascii="Times New Roman" w:hAnsi="Times New Roman"/>
          <w:szCs w:val="20"/>
        </w:rPr>
        <w:t>юридичної</w:t>
      </w:r>
      <w:proofErr w:type="spellEnd"/>
      <w:r w:rsidRPr="00E16672">
        <w:rPr>
          <w:rFonts w:ascii="Times New Roman" w:hAnsi="Times New Roman"/>
          <w:szCs w:val="20"/>
        </w:rPr>
        <w:t xml:space="preserve"> особи у </w:t>
      </w:r>
      <w:proofErr w:type="spellStart"/>
      <w:r w:rsidRPr="00E16672">
        <w:rPr>
          <w:rFonts w:ascii="Times New Roman" w:hAnsi="Times New Roman"/>
          <w:szCs w:val="20"/>
        </w:rPr>
        <w:t>разі</w:t>
      </w:r>
      <w:proofErr w:type="spellEnd"/>
      <w:r w:rsidRPr="00E16672">
        <w:rPr>
          <w:rFonts w:ascii="Times New Roman" w:hAnsi="Times New Roman"/>
          <w:szCs w:val="20"/>
        </w:rPr>
        <w:t xml:space="preserve"> </w:t>
      </w:r>
      <w:proofErr w:type="spellStart"/>
      <w:r w:rsidRPr="00E16672">
        <w:rPr>
          <w:rFonts w:ascii="Times New Roman" w:hAnsi="Times New Roman"/>
          <w:szCs w:val="20"/>
        </w:rPr>
        <w:t>надання</w:t>
      </w:r>
      <w:proofErr w:type="spellEnd"/>
      <w:r w:rsidRPr="00E16672">
        <w:rPr>
          <w:rFonts w:ascii="Times New Roman" w:hAnsi="Times New Roman"/>
          <w:szCs w:val="20"/>
        </w:rPr>
        <w:t xml:space="preserve"> </w:t>
      </w:r>
      <w:proofErr w:type="spellStart"/>
      <w:r w:rsidRPr="00E16672">
        <w:rPr>
          <w:rFonts w:ascii="Times New Roman" w:hAnsi="Times New Roman"/>
          <w:szCs w:val="20"/>
        </w:rPr>
        <w:t>розпорядження</w:t>
      </w:r>
      <w:proofErr w:type="spellEnd"/>
      <w:r w:rsidRPr="00E16672">
        <w:rPr>
          <w:rFonts w:ascii="Times New Roman" w:hAnsi="Times New Roman"/>
          <w:szCs w:val="20"/>
        </w:rPr>
        <w:t xml:space="preserve"> у </w:t>
      </w:r>
      <w:proofErr w:type="spellStart"/>
      <w:r w:rsidRPr="00E16672">
        <w:rPr>
          <w:rFonts w:ascii="Times New Roman" w:hAnsi="Times New Roman"/>
          <w:szCs w:val="20"/>
        </w:rPr>
        <w:t>вигляді</w:t>
      </w:r>
      <w:proofErr w:type="spellEnd"/>
      <w:r w:rsidRPr="00E16672">
        <w:rPr>
          <w:rFonts w:ascii="Times New Roman" w:hAnsi="Times New Roman"/>
          <w:szCs w:val="20"/>
        </w:rPr>
        <w:t xml:space="preserve"> </w:t>
      </w:r>
      <w:proofErr w:type="spellStart"/>
      <w:r w:rsidRPr="00E16672">
        <w:rPr>
          <w:rFonts w:ascii="Times New Roman" w:hAnsi="Times New Roman"/>
          <w:szCs w:val="20"/>
        </w:rPr>
        <w:t>електронного</w:t>
      </w:r>
      <w:proofErr w:type="spellEnd"/>
      <w:r w:rsidRPr="00E16672">
        <w:rPr>
          <w:rFonts w:ascii="Times New Roman" w:hAnsi="Times New Roman"/>
          <w:szCs w:val="20"/>
        </w:rPr>
        <w:t xml:space="preserve"> документа; </w:t>
      </w:r>
      <w:proofErr w:type="spellStart"/>
      <w:r w:rsidRPr="00E16672">
        <w:rPr>
          <w:rFonts w:ascii="Times New Roman" w:hAnsi="Times New Roman"/>
          <w:szCs w:val="20"/>
        </w:rPr>
        <w:t>Цілісність</w:t>
      </w:r>
      <w:proofErr w:type="spellEnd"/>
      <w:r w:rsidRPr="00E16672">
        <w:rPr>
          <w:rFonts w:ascii="Times New Roman" w:hAnsi="Times New Roman"/>
          <w:szCs w:val="20"/>
        </w:rPr>
        <w:t xml:space="preserve"> </w:t>
      </w:r>
      <w:proofErr w:type="spellStart"/>
      <w:r w:rsidRPr="00E16672">
        <w:rPr>
          <w:rFonts w:ascii="Times New Roman" w:hAnsi="Times New Roman"/>
          <w:szCs w:val="20"/>
        </w:rPr>
        <w:t>наданого</w:t>
      </w:r>
      <w:proofErr w:type="spellEnd"/>
      <w:r w:rsidRPr="00E16672">
        <w:rPr>
          <w:rFonts w:ascii="Times New Roman" w:hAnsi="Times New Roman"/>
          <w:szCs w:val="20"/>
        </w:rPr>
        <w:t xml:space="preserve"> </w:t>
      </w:r>
      <w:proofErr w:type="spellStart"/>
      <w:r w:rsidRPr="00E16672">
        <w:rPr>
          <w:rFonts w:ascii="Times New Roman" w:hAnsi="Times New Roman"/>
          <w:szCs w:val="20"/>
        </w:rPr>
        <w:t>розпорядження</w:t>
      </w:r>
      <w:proofErr w:type="spellEnd"/>
      <w:r w:rsidRPr="00E16672">
        <w:rPr>
          <w:rFonts w:ascii="Times New Roman" w:hAnsi="Times New Roman"/>
          <w:szCs w:val="20"/>
        </w:rPr>
        <w:t xml:space="preserve">, а </w:t>
      </w:r>
      <w:proofErr w:type="spellStart"/>
      <w:r w:rsidRPr="00E16672">
        <w:rPr>
          <w:rFonts w:ascii="Times New Roman" w:hAnsi="Times New Roman"/>
          <w:szCs w:val="20"/>
        </w:rPr>
        <w:t>також</w:t>
      </w:r>
      <w:proofErr w:type="spellEnd"/>
      <w:r w:rsidRPr="00E16672">
        <w:rPr>
          <w:rFonts w:ascii="Times New Roman" w:hAnsi="Times New Roman"/>
          <w:szCs w:val="20"/>
        </w:rPr>
        <w:t xml:space="preserve"> </w:t>
      </w:r>
      <w:proofErr w:type="spellStart"/>
      <w:r w:rsidRPr="00E16672">
        <w:rPr>
          <w:rFonts w:ascii="Times New Roman" w:hAnsi="Times New Roman"/>
          <w:szCs w:val="20"/>
        </w:rPr>
        <w:t>ідентифікація</w:t>
      </w:r>
      <w:proofErr w:type="spellEnd"/>
      <w:r w:rsidRPr="00E16672">
        <w:rPr>
          <w:rFonts w:ascii="Times New Roman" w:hAnsi="Times New Roman"/>
          <w:szCs w:val="20"/>
        </w:rPr>
        <w:t xml:space="preserve"> </w:t>
      </w:r>
      <w:proofErr w:type="spellStart"/>
      <w:r w:rsidRPr="00E16672">
        <w:rPr>
          <w:rFonts w:ascii="Times New Roman" w:hAnsi="Times New Roman"/>
          <w:szCs w:val="20"/>
        </w:rPr>
        <w:t>підписувача</w:t>
      </w:r>
      <w:proofErr w:type="spellEnd"/>
      <w:r w:rsidRPr="00E16672">
        <w:rPr>
          <w:rFonts w:ascii="Times New Roman" w:hAnsi="Times New Roman"/>
          <w:szCs w:val="20"/>
        </w:rPr>
        <w:t xml:space="preserve"> </w:t>
      </w:r>
      <w:proofErr w:type="spellStart"/>
      <w:r w:rsidRPr="00E16672">
        <w:rPr>
          <w:rFonts w:ascii="Times New Roman" w:hAnsi="Times New Roman"/>
          <w:szCs w:val="20"/>
        </w:rPr>
        <w:t>здійснюються</w:t>
      </w:r>
      <w:proofErr w:type="spellEnd"/>
      <w:r w:rsidRPr="00E16672">
        <w:rPr>
          <w:rFonts w:ascii="Times New Roman" w:hAnsi="Times New Roman"/>
          <w:szCs w:val="20"/>
        </w:rPr>
        <w:t xml:space="preserve"> шляхом </w:t>
      </w:r>
      <w:proofErr w:type="spellStart"/>
      <w:r w:rsidRPr="00E16672">
        <w:rPr>
          <w:rFonts w:ascii="Times New Roman" w:hAnsi="Times New Roman"/>
          <w:szCs w:val="20"/>
        </w:rPr>
        <w:t>перевірки</w:t>
      </w:r>
      <w:proofErr w:type="spellEnd"/>
      <w:r w:rsidRPr="00E16672">
        <w:rPr>
          <w:rFonts w:ascii="Times New Roman" w:hAnsi="Times New Roman"/>
          <w:szCs w:val="20"/>
        </w:rPr>
        <w:t xml:space="preserve"> </w:t>
      </w:r>
      <w:proofErr w:type="spellStart"/>
      <w:r w:rsidR="00AE695D" w:rsidRPr="00E16672">
        <w:rPr>
          <w:rFonts w:ascii="Times New Roman" w:hAnsi="Times New Roman"/>
          <w:szCs w:val="20"/>
        </w:rPr>
        <w:t>кваліфікованого</w:t>
      </w:r>
      <w:proofErr w:type="spellEnd"/>
      <w:r w:rsidR="00AE695D" w:rsidRPr="00E16672">
        <w:rPr>
          <w:rFonts w:ascii="Times New Roman" w:hAnsi="Times New Roman"/>
          <w:szCs w:val="20"/>
        </w:rPr>
        <w:t xml:space="preserve"> </w:t>
      </w:r>
      <w:proofErr w:type="spellStart"/>
      <w:r w:rsidR="00AE695D" w:rsidRPr="00E16672">
        <w:rPr>
          <w:rFonts w:ascii="Times New Roman" w:hAnsi="Times New Roman"/>
          <w:szCs w:val="20"/>
        </w:rPr>
        <w:t>електронного</w:t>
      </w:r>
      <w:proofErr w:type="spellEnd"/>
      <w:r w:rsidR="00AE695D" w:rsidRPr="00E16672">
        <w:rPr>
          <w:rFonts w:ascii="Times New Roman" w:hAnsi="Times New Roman"/>
          <w:szCs w:val="20"/>
        </w:rPr>
        <w:t xml:space="preserve"> </w:t>
      </w:r>
      <w:proofErr w:type="spellStart"/>
      <w:r w:rsidR="00AE695D" w:rsidRPr="00E16672">
        <w:rPr>
          <w:rFonts w:ascii="Times New Roman" w:hAnsi="Times New Roman"/>
          <w:szCs w:val="20"/>
        </w:rPr>
        <w:t>підпису</w:t>
      </w:r>
      <w:proofErr w:type="spellEnd"/>
      <w:r w:rsidRPr="00E16672">
        <w:rPr>
          <w:rFonts w:ascii="Times New Roman" w:hAnsi="Times New Roman"/>
          <w:szCs w:val="20"/>
        </w:rPr>
        <w:t xml:space="preserve"> за </w:t>
      </w:r>
      <w:proofErr w:type="spellStart"/>
      <w:r w:rsidRPr="00E16672">
        <w:rPr>
          <w:rFonts w:ascii="Times New Roman" w:hAnsi="Times New Roman"/>
          <w:szCs w:val="20"/>
        </w:rPr>
        <w:t>допомогою</w:t>
      </w:r>
      <w:proofErr w:type="spellEnd"/>
      <w:r w:rsidRPr="00E16672">
        <w:rPr>
          <w:rFonts w:ascii="Times New Roman" w:hAnsi="Times New Roman"/>
          <w:szCs w:val="20"/>
        </w:rPr>
        <w:t xml:space="preserve"> </w:t>
      </w:r>
      <w:proofErr w:type="spellStart"/>
      <w:r w:rsidRPr="00E16672">
        <w:rPr>
          <w:rFonts w:ascii="Times New Roman" w:hAnsi="Times New Roman"/>
          <w:szCs w:val="20"/>
        </w:rPr>
        <w:t>відкритого</w:t>
      </w:r>
      <w:proofErr w:type="spellEnd"/>
      <w:r w:rsidRPr="00E16672">
        <w:rPr>
          <w:rFonts w:ascii="Times New Roman" w:hAnsi="Times New Roman"/>
          <w:szCs w:val="20"/>
        </w:rPr>
        <w:t xml:space="preserve"> ключа.</w:t>
      </w:r>
    </w:p>
    <w:p w14:paraId="6F8B0453" w14:textId="77777777" w:rsidR="007974E8" w:rsidRPr="00E16672" w:rsidRDefault="007974E8" w:rsidP="007974E8">
      <w:pPr>
        <w:rPr>
          <w:rFonts w:ascii="Times New Roman" w:hAnsi="Times New Roman"/>
          <w:color w:val="000000"/>
          <w:szCs w:val="20"/>
        </w:rPr>
      </w:pPr>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електронне</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підтвердження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авторизація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підписання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розпорядження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ініціатором</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депозитарної</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операції</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користувачем</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системи</w:t>
      </w:r>
      <w:proofErr w:type="spellEnd"/>
      <w:r w:rsidRPr="00E16672">
        <w:rPr>
          <w:rFonts w:ascii="Times New Roman" w:hAnsi="Times New Roman"/>
          <w:color w:val="000000"/>
          <w:szCs w:val="20"/>
        </w:rPr>
        <w:t xml:space="preserve"> S.W.I.F.T.) - у </w:t>
      </w:r>
      <w:proofErr w:type="spellStart"/>
      <w:r w:rsidRPr="00E16672">
        <w:rPr>
          <w:rFonts w:ascii="Times New Roman" w:hAnsi="Times New Roman"/>
          <w:color w:val="000000"/>
          <w:szCs w:val="20"/>
        </w:rPr>
        <w:t>разі</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надання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розпорядження</w:t>
      </w:r>
      <w:proofErr w:type="spellEnd"/>
      <w:r w:rsidRPr="00E16672">
        <w:rPr>
          <w:rFonts w:ascii="Times New Roman" w:hAnsi="Times New Roman"/>
          <w:color w:val="000000"/>
          <w:szCs w:val="20"/>
        </w:rPr>
        <w:t xml:space="preserve"> </w:t>
      </w:r>
      <w:proofErr w:type="gramStart"/>
      <w:r w:rsidRPr="00E16672">
        <w:rPr>
          <w:rFonts w:ascii="Times New Roman" w:hAnsi="Times New Roman"/>
          <w:color w:val="000000"/>
          <w:szCs w:val="20"/>
        </w:rPr>
        <w:t xml:space="preserve">у  </w:t>
      </w:r>
      <w:proofErr w:type="spellStart"/>
      <w:r w:rsidRPr="00E16672">
        <w:rPr>
          <w:rFonts w:ascii="Times New Roman" w:hAnsi="Times New Roman"/>
          <w:color w:val="000000"/>
          <w:szCs w:val="20"/>
        </w:rPr>
        <w:t>вигляді</w:t>
      </w:r>
      <w:proofErr w:type="spellEnd"/>
      <w:proofErr w:type="gram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електронного</w:t>
      </w:r>
      <w:proofErr w:type="spellEnd"/>
      <w:r w:rsidRPr="00E16672">
        <w:rPr>
          <w:rFonts w:ascii="Times New Roman" w:hAnsi="Times New Roman"/>
          <w:color w:val="000000"/>
          <w:szCs w:val="20"/>
        </w:rPr>
        <w:t xml:space="preserve"> документа у </w:t>
      </w:r>
      <w:proofErr w:type="spellStart"/>
      <w:r w:rsidRPr="00E16672">
        <w:rPr>
          <w:rFonts w:ascii="Times New Roman" w:hAnsi="Times New Roman"/>
          <w:color w:val="000000"/>
          <w:szCs w:val="20"/>
        </w:rPr>
        <w:t>формі</w:t>
      </w:r>
      <w:proofErr w:type="spellEnd"/>
      <w:r w:rsidRPr="00E16672">
        <w:rPr>
          <w:rFonts w:ascii="Times New Roman" w:hAnsi="Times New Roman"/>
          <w:color w:val="000000"/>
          <w:szCs w:val="20"/>
        </w:rPr>
        <w:t xml:space="preserve"> S.W.I.F.T. - </w:t>
      </w:r>
      <w:proofErr w:type="spellStart"/>
      <w:r w:rsidRPr="00E16672">
        <w:rPr>
          <w:rFonts w:ascii="Times New Roman" w:hAnsi="Times New Roman"/>
          <w:color w:val="000000"/>
          <w:szCs w:val="20"/>
        </w:rPr>
        <w:t>повідомлення</w:t>
      </w:r>
      <w:proofErr w:type="spellEnd"/>
      <w:r w:rsidRPr="00E16672">
        <w:rPr>
          <w:rFonts w:ascii="Times New Roman" w:hAnsi="Times New Roman"/>
          <w:color w:val="000000"/>
          <w:szCs w:val="20"/>
        </w:rPr>
        <w:t>.</w:t>
      </w:r>
    </w:p>
    <w:p w14:paraId="4331DDE9" w14:textId="77777777" w:rsidR="007974E8" w:rsidRPr="00E16672" w:rsidRDefault="007974E8" w:rsidP="007974E8">
      <w:pPr>
        <w:ind w:firstLine="480"/>
        <w:rPr>
          <w:rFonts w:ascii="Times New Roman" w:hAnsi="Times New Roman"/>
          <w:color w:val="000000"/>
          <w:szCs w:val="20"/>
          <w:lang w:val="uk-UA"/>
        </w:rPr>
      </w:pPr>
      <w:r w:rsidRPr="00E16672">
        <w:rPr>
          <w:rFonts w:ascii="Times New Roman" w:hAnsi="Times New Roman"/>
          <w:color w:val="000000"/>
          <w:szCs w:val="20"/>
        </w:rPr>
        <w:t xml:space="preserve">3.3. </w:t>
      </w:r>
      <w:proofErr w:type="spellStart"/>
      <w:r w:rsidRPr="00E16672">
        <w:rPr>
          <w:rFonts w:ascii="Times New Roman" w:hAnsi="Times New Roman"/>
          <w:szCs w:val="20"/>
        </w:rPr>
        <w:t>Розпорядження</w:t>
      </w:r>
      <w:proofErr w:type="spellEnd"/>
      <w:r w:rsidRPr="00E16672">
        <w:rPr>
          <w:rFonts w:ascii="Times New Roman" w:hAnsi="Times New Roman"/>
          <w:szCs w:val="20"/>
        </w:rPr>
        <w:t xml:space="preserve"> у </w:t>
      </w:r>
      <w:proofErr w:type="spellStart"/>
      <w:r w:rsidRPr="00E16672">
        <w:rPr>
          <w:rFonts w:ascii="Times New Roman" w:hAnsi="Times New Roman"/>
          <w:color w:val="000000"/>
          <w:szCs w:val="20"/>
        </w:rPr>
        <w:t>паперовому</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вигляді</w:t>
      </w:r>
      <w:proofErr w:type="spellEnd"/>
      <w:r w:rsidRPr="00E16672">
        <w:rPr>
          <w:rFonts w:ascii="Times New Roman" w:hAnsi="Times New Roman"/>
          <w:color w:val="000000"/>
          <w:szCs w:val="20"/>
        </w:rPr>
        <w:t xml:space="preserve">, а </w:t>
      </w:r>
      <w:proofErr w:type="spellStart"/>
      <w:r w:rsidRPr="00E16672">
        <w:rPr>
          <w:rFonts w:ascii="Times New Roman" w:hAnsi="Times New Roman"/>
          <w:color w:val="000000"/>
          <w:szCs w:val="20"/>
        </w:rPr>
        <w:t>також</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повідомлення</w:t>
      </w:r>
      <w:proofErr w:type="spellEnd"/>
      <w:r w:rsidRPr="00E16672">
        <w:rPr>
          <w:rFonts w:ascii="Times New Roman" w:hAnsi="Times New Roman"/>
          <w:color w:val="000000"/>
          <w:szCs w:val="20"/>
        </w:rPr>
        <w:t xml:space="preserve"> та </w:t>
      </w:r>
      <w:proofErr w:type="spellStart"/>
      <w:r w:rsidRPr="00E16672">
        <w:rPr>
          <w:rFonts w:ascii="Times New Roman" w:hAnsi="Times New Roman"/>
          <w:color w:val="000000"/>
          <w:szCs w:val="20"/>
        </w:rPr>
        <w:t>інформація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що</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надаються</w:t>
      </w:r>
      <w:proofErr w:type="spellEnd"/>
      <w:r w:rsidRPr="00E16672">
        <w:rPr>
          <w:rFonts w:ascii="Times New Roman" w:hAnsi="Times New Roman"/>
          <w:color w:val="000000"/>
          <w:szCs w:val="20"/>
        </w:rPr>
        <w:t xml:space="preserve"> у </w:t>
      </w:r>
      <w:proofErr w:type="spellStart"/>
      <w:r w:rsidRPr="00E16672">
        <w:rPr>
          <w:rFonts w:ascii="Times New Roman" w:hAnsi="Times New Roman"/>
          <w:color w:val="000000"/>
          <w:szCs w:val="20"/>
        </w:rPr>
        <w:t>зв’язку</w:t>
      </w:r>
      <w:proofErr w:type="spellEnd"/>
      <w:r w:rsidRPr="00E16672">
        <w:rPr>
          <w:rFonts w:ascii="Times New Roman" w:hAnsi="Times New Roman"/>
          <w:color w:val="000000"/>
          <w:szCs w:val="20"/>
        </w:rPr>
        <w:t xml:space="preserve"> з </w:t>
      </w:r>
      <w:proofErr w:type="spellStart"/>
      <w:r w:rsidRPr="00E16672">
        <w:rPr>
          <w:rFonts w:ascii="Times New Roman" w:hAnsi="Times New Roman"/>
          <w:color w:val="000000"/>
          <w:szCs w:val="20"/>
        </w:rPr>
        <w:t>виконанням</w:t>
      </w:r>
      <w:proofErr w:type="spellEnd"/>
      <w:r w:rsidRPr="00E16672">
        <w:rPr>
          <w:rFonts w:ascii="Times New Roman" w:hAnsi="Times New Roman"/>
          <w:color w:val="000000"/>
          <w:szCs w:val="20"/>
        </w:rPr>
        <w:t xml:space="preserve"> Сторонами Договору, </w:t>
      </w:r>
      <w:proofErr w:type="spellStart"/>
      <w:r w:rsidRPr="00E16672">
        <w:rPr>
          <w:rFonts w:ascii="Times New Roman" w:hAnsi="Times New Roman"/>
          <w:color w:val="000000"/>
          <w:szCs w:val="20"/>
        </w:rPr>
        <w:t>можуть</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отримуватися</w:t>
      </w:r>
      <w:proofErr w:type="spellEnd"/>
      <w:r w:rsidRPr="00E16672">
        <w:rPr>
          <w:rFonts w:ascii="Times New Roman" w:hAnsi="Times New Roman"/>
          <w:color w:val="000000"/>
          <w:szCs w:val="20"/>
        </w:rPr>
        <w:t xml:space="preserve"> Депозитарною </w:t>
      </w:r>
      <w:proofErr w:type="spellStart"/>
      <w:r w:rsidRPr="00E16672">
        <w:rPr>
          <w:rFonts w:ascii="Times New Roman" w:hAnsi="Times New Roman"/>
          <w:color w:val="000000"/>
          <w:szCs w:val="20"/>
        </w:rPr>
        <w:t>установою</w:t>
      </w:r>
      <w:proofErr w:type="spellEnd"/>
      <w:r w:rsidRPr="00E16672">
        <w:rPr>
          <w:rFonts w:ascii="Times New Roman" w:hAnsi="Times New Roman"/>
          <w:color w:val="000000"/>
          <w:szCs w:val="20"/>
          <w:lang w:val="uk-UA"/>
        </w:rPr>
        <w:t>:</w:t>
      </w:r>
    </w:p>
    <w:p w14:paraId="6B1B13ED" w14:textId="77777777" w:rsidR="007974E8" w:rsidRPr="00E16672" w:rsidRDefault="007974E8" w:rsidP="007974E8">
      <w:pPr>
        <w:numPr>
          <w:ilvl w:val="0"/>
          <w:numId w:val="2"/>
        </w:numPr>
        <w:ind w:left="0" w:firstLine="540"/>
        <w:rPr>
          <w:rFonts w:ascii="Times New Roman" w:hAnsi="Times New Roman"/>
          <w:color w:val="000000"/>
          <w:spacing w:val="-8"/>
          <w:szCs w:val="20"/>
          <w:lang w:val="uk-UA"/>
        </w:rPr>
      </w:pPr>
      <w:r w:rsidRPr="00E16672">
        <w:rPr>
          <w:rFonts w:ascii="Times New Roman" w:hAnsi="Times New Roman"/>
          <w:color w:val="000000"/>
          <w:szCs w:val="20"/>
          <w:lang w:val="uk-UA"/>
        </w:rPr>
        <w:t xml:space="preserve">- особисто при </w:t>
      </w:r>
      <w:r w:rsidRPr="00E16672">
        <w:rPr>
          <w:rFonts w:ascii="Times New Roman" w:hAnsi="Times New Roman"/>
          <w:color w:val="000000"/>
          <w:spacing w:val="-8"/>
          <w:szCs w:val="20"/>
          <w:lang w:val="uk-UA"/>
        </w:rPr>
        <w:t>зверненні Депонента,</w:t>
      </w:r>
      <w:r w:rsidRPr="00E16672">
        <w:rPr>
          <w:rFonts w:ascii="Times New Roman" w:hAnsi="Times New Roman"/>
          <w:color w:val="000000"/>
          <w:szCs w:val="20"/>
          <w:lang w:val="uk-UA"/>
        </w:rPr>
        <w:t xml:space="preserve"> Керуючого рахунком або розпорядника його рахунком (уповноваженого представника)</w:t>
      </w:r>
      <w:r w:rsidRPr="00E16672">
        <w:rPr>
          <w:rFonts w:ascii="Times New Roman" w:hAnsi="Times New Roman"/>
          <w:color w:val="000000"/>
          <w:spacing w:val="-8"/>
          <w:szCs w:val="20"/>
          <w:lang w:val="uk-UA"/>
        </w:rPr>
        <w:t>;</w:t>
      </w:r>
    </w:p>
    <w:p w14:paraId="08D8549A" w14:textId="77777777" w:rsidR="007974E8" w:rsidRPr="00E16672" w:rsidRDefault="007974E8" w:rsidP="007974E8">
      <w:pPr>
        <w:numPr>
          <w:ilvl w:val="0"/>
          <w:numId w:val="2"/>
        </w:numPr>
        <w:ind w:left="0" w:firstLine="540"/>
        <w:rPr>
          <w:rFonts w:ascii="Times New Roman" w:hAnsi="Times New Roman"/>
          <w:color w:val="000000"/>
          <w:szCs w:val="20"/>
          <w:lang w:val="uk-UA"/>
        </w:rPr>
      </w:pPr>
      <w:r w:rsidRPr="00E16672">
        <w:rPr>
          <w:rFonts w:ascii="Times New Roman" w:hAnsi="Times New Roman"/>
          <w:color w:val="000000"/>
          <w:spacing w:val="-8"/>
          <w:szCs w:val="20"/>
          <w:lang w:val="uk-UA"/>
        </w:rPr>
        <w:t xml:space="preserve">- </w:t>
      </w:r>
      <w:r w:rsidR="002C163A">
        <w:rPr>
          <w:rFonts w:ascii="Times New Roman" w:hAnsi="Times New Roman"/>
          <w:color w:val="000000"/>
          <w:spacing w:val="-8"/>
          <w:szCs w:val="20"/>
          <w:lang w:val="uk-UA"/>
        </w:rPr>
        <w:t xml:space="preserve"> </w:t>
      </w:r>
      <w:proofErr w:type="spellStart"/>
      <w:r w:rsidRPr="00E16672">
        <w:rPr>
          <w:rFonts w:ascii="Times New Roman" w:hAnsi="Times New Roman"/>
          <w:color w:val="000000"/>
          <w:spacing w:val="-8"/>
          <w:szCs w:val="20"/>
        </w:rPr>
        <w:t>засобами</w:t>
      </w:r>
      <w:proofErr w:type="spellEnd"/>
      <w:r w:rsidRPr="00E16672">
        <w:rPr>
          <w:rFonts w:ascii="Times New Roman" w:hAnsi="Times New Roman"/>
          <w:color w:val="000000"/>
          <w:spacing w:val="-8"/>
          <w:szCs w:val="20"/>
        </w:rPr>
        <w:t xml:space="preserve"> </w:t>
      </w:r>
      <w:proofErr w:type="spellStart"/>
      <w:r w:rsidRPr="00E16672">
        <w:rPr>
          <w:rFonts w:ascii="Times New Roman" w:hAnsi="Times New Roman"/>
          <w:color w:val="000000"/>
          <w:spacing w:val="-8"/>
          <w:szCs w:val="20"/>
        </w:rPr>
        <w:t>поштового</w:t>
      </w:r>
      <w:proofErr w:type="spellEnd"/>
      <w:r w:rsidRPr="00E16672">
        <w:rPr>
          <w:rFonts w:ascii="Times New Roman" w:hAnsi="Times New Roman"/>
          <w:color w:val="000000"/>
          <w:spacing w:val="-8"/>
          <w:szCs w:val="20"/>
        </w:rPr>
        <w:t xml:space="preserve"> </w:t>
      </w:r>
      <w:proofErr w:type="spellStart"/>
      <w:r w:rsidRPr="00E16672">
        <w:rPr>
          <w:rFonts w:ascii="Times New Roman" w:hAnsi="Times New Roman"/>
          <w:color w:val="000000"/>
          <w:spacing w:val="-8"/>
          <w:szCs w:val="20"/>
        </w:rPr>
        <w:t>зв’язку</w:t>
      </w:r>
      <w:proofErr w:type="spellEnd"/>
      <w:r w:rsidRPr="00E16672">
        <w:rPr>
          <w:rFonts w:ascii="Times New Roman" w:hAnsi="Times New Roman"/>
          <w:color w:val="000000"/>
          <w:spacing w:val="-8"/>
          <w:szCs w:val="20"/>
        </w:rPr>
        <w:t xml:space="preserve"> </w:t>
      </w:r>
      <w:proofErr w:type="spellStart"/>
      <w:r w:rsidRPr="00E16672">
        <w:rPr>
          <w:rFonts w:ascii="Times New Roman" w:hAnsi="Times New Roman"/>
          <w:color w:val="000000"/>
          <w:spacing w:val="-8"/>
          <w:szCs w:val="20"/>
        </w:rPr>
        <w:t>або</w:t>
      </w:r>
      <w:proofErr w:type="spellEnd"/>
      <w:r w:rsidRPr="00E16672">
        <w:rPr>
          <w:rFonts w:ascii="Times New Roman" w:hAnsi="Times New Roman"/>
          <w:color w:val="000000"/>
          <w:spacing w:val="-8"/>
          <w:szCs w:val="20"/>
        </w:rPr>
        <w:t xml:space="preserve"> </w:t>
      </w:r>
      <w:proofErr w:type="spellStart"/>
      <w:r w:rsidRPr="00E16672">
        <w:rPr>
          <w:rFonts w:ascii="Times New Roman" w:hAnsi="Times New Roman"/>
          <w:color w:val="000000"/>
          <w:spacing w:val="-8"/>
          <w:szCs w:val="20"/>
        </w:rPr>
        <w:t>кур’єром</w:t>
      </w:r>
      <w:proofErr w:type="spellEnd"/>
    </w:p>
    <w:p w14:paraId="6E3241D4" w14:textId="77777777" w:rsidR="007974E8" w:rsidRPr="00E16672" w:rsidRDefault="007974E8" w:rsidP="007974E8">
      <w:pPr>
        <w:rPr>
          <w:rFonts w:ascii="Times New Roman" w:hAnsi="Times New Roman"/>
          <w:color w:val="000000"/>
          <w:szCs w:val="20"/>
        </w:rPr>
      </w:pPr>
      <w:r w:rsidRPr="00E16672">
        <w:rPr>
          <w:rFonts w:ascii="Times New Roman" w:hAnsi="Times New Roman"/>
          <w:color w:val="000000"/>
          <w:szCs w:val="20"/>
        </w:rPr>
        <w:t>3.4.</w:t>
      </w:r>
      <w:r w:rsidRPr="00E16672">
        <w:rPr>
          <w:rFonts w:ascii="Times New Roman" w:hAnsi="Times New Roman"/>
          <w:b/>
          <w:bCs/>
          <w:color w:val="000000"/>
          <w:szCs w:val="20"/>
        </w:rPr>
        <w:t xml:space="preserve"> </w:t>
      </w:r>
      <w:proofErr w:type="spellStart"/>
      <w:r w:rsidRPr="00E16672">
        <w:rPr>
          <w:rFonts w:ascii="Times New Roman" w:hAnsi="Times New Roman"/>
          <w:color w:val="000000"/>
          <w:szCs w:val="20"/>
        </w:rPr>
        <w:t>Розпорядження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Керуючого</w:t>
      </w:r>
      <w:proofErr w:type="spellEnd"/>
      <w:r w:rsidRPr="00E16672">
        <w:rPr>
          <w:rFonts w:ascii="Times New Roman" w:hAnsi="Times New Roman"/>
          <w:color w:val="000000"/>
          <w:szCs w:val="20"/>
        </w:rPr>
        <w:t xml:space="preserve"> </w:t>
      </w:r>
      <w:r w:rsidRPr="00E16672">
        <w:rPr>
          <w:rFonts w:ascii="Times New Roman" w:hAnsi="Times New Roman"/>
          <w:color w:val="000000"/>
          <w:szCs w:val="20"/>
          <w:lang w:val="uk-UA"/>
        </w:rPr>
        <w:t>рахунком</w:t>
      </w:r>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має</w:t>
      </w:r>
      <w:proofErr w:type="spellEnd"/>
      <w:r w:rsidRPr="00E16672">
        <w:rPr>
          <w:rFonts w:ascii="Times New Roman" w:hAnsi="Times New Roman"/>
          <w:color w:val="000000"/>
          <w:szCs w:val="20"/>
        </w:rPr>
        <w:t xml:space="preserve"> бути </w:t>
      </w:r>
      <w:proofErr w:type="spellStart"/>
      <w:r w:rsidRPr="00E16672">
        <w:rPr>
          <w:rFonts w:ascii="Times New Roman" w:hAnsi="Times New Roman"/>
          <w:color w:val="000000"/>
          <w:szCs w:val="20"/>
        </w:rPr>
        <w:t>підписане</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розпорядником</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рахунку</w:t>
      </w:r>
      <w:proofErr w:type="spellEnd"/>
      <w:r w:rsidRPr="00E16672">
        <w:rPr>
          <w:rFonts w:ascii="Times New Roman" w:hAnsi="Times New Roman"/>
          <w:color w:val="000000"/>
          <w:szCs w:val="20"/>
        </w:rPr>
        <w:t xml:space="preserve"> </w:t>
      </w:r>
      <w:r w:rsidR="00C22309" w:rsidRPr="00E16672">
        <w:rPr>
          <w:rFonts w:ascii="Times New Roman" w:hAnsi="Times New Roman"/>
          <w:color w:val="000000"/>
          <w:szCs w:val="20"/>
        </w:rPr>
        <w:t xml:space="preserve">в </w:t>
      </w:r>
      <w:proofErr w:type="spellStart"/>
      <w:r w:rsidR="00C22309" w:rsidRPr="00E16672">
        <w:rPr>
          <w:rFonts w:ascii="Times New Roman" w:hAnsi="Times New Roman"/>
          <w:color w:val="000000"/>
          <w:szCs w:val="20"/>
        </w:rPr>
        <w:t>цін</w:t>
      </w:r>
      <w:r w:rsidRPr="00E16672">
        <w:rPr>
          <w:rFonts w:ascii="Times New Roman" w:hAnsi="Times New Roman"/>
          <w:color w:val="000000"/>
          <w:szCs w:val="20"/>
        </w:rPr>
        <w:t>них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паперах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Підпис</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розпорядника</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рахунку</w:t>
      </w:r>
      <w:proofErr w:type="spellEnd"/>
      <w:r w:rsidRPr="00E16672">
        <w:rPr>
          <w:rFonts w:ascii="Times New Roman" w:hAnsi="Times New Roman"/>
          <w:color w:val="000000"/>
          <w:szCs w:val="20"/>
        </w:rPr>
        <w:t xml:space="preserve"> </w:t>
      </w:r>
      <w:r w:rsidR="00C22309" w:rsidRPr="00E16672">
        <w:rPr>
          <w:rFonts w:ascii="Times New Roman" w:hAnsi="Times New Roman"/>
          <w:color w:val="000000"/>
          <w:szCs w:val="20"/>
        </w:rPr>
        <w:t xml:space="preserve">в </w:t>
      </w:r>
      <w:proofErr w:type="spellStart"/>
      <w:r w:rsidR="00C22309" w:rsidRPr="00E16672">
        <w:rPr>
          <w:rFonts w:ascii="Times New Roman" w:hAnsi="Times New Roman"/>
          <w:color w:val="000000"/>
          <w:szCs w:val="20"/>
        </w:rPr>
        <w:t>цін</w:t>
      </w:r>
      <w:r w:rsidRPr="00E16672">
        <w:rPr>
          <w:rFonts w:ascii="Times New Roman" w:hAnsi="Times New Roman"/>
          <w:color w:val="000000"/>
          <w:szCs w:val="20"/>
        </w:rPr>
        <w:t>них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паперах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засвідчується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печаткою</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Керуючого</w:t>
      </w:r>
      <w:proofErr w:type="spellEnd"/>
      <w:r w:rsidRPr="00E16672">
        <w:rPr>
          <w:rFonts w:ascii="Times New Roman" w:hAnsi="Times New Roman"/>
          <w:color w:val="000000"/>
          <w:szCs w:val="20"/>
          <w:lang w:val="uk-UA"/>
        </w:rPr>
        <w:t xml:space="preserve"> рахунком (</w:t>
      </w:r>
      <w:r w:rsidR="003352AE" w:rsidRPr="00E16672">
        <w:rPr>
          <w:rFonts w:ascii="Times New Roman" w:hAnsi="Times New Roman"/>
          <w:color w:val="000000"/>
          <w:szCs w:val="20"/>
          <w:lang w:val="uk-UA"/>
        </w:rPr>
        <w:t>у разі використання</w:t>
      </w:r>
      <w:proofErr w:type="gramStart"/>
      <w:r w:rsidRPr="00E16672">
        <w:rPr>
          <w:rFonts w:ascii="Times New Roman" w:hAnsi="Times New Roman"/>
          <w:color w:val="000000"/>
          <w:szCs w:val="20"/>
          <w:lang w:val="uk-UA"/>
        </w:rPr>
        <w:t>).</w:t>
      </w:r>
      <w:r w:rsidRPr="00E16672">
        <w:rPr>
          <w:rFonts w:ascii="Times New Roman" w:hAnsi="Times New Roman"/>
          <w:color w:val="000000"/>
          <w:szCs w:val="20"/>
        </w:rPr>
        <w:t>.</w:t>
      </w:r>
      <w:proofErr w:type="gramEnd"/>
    </w:p>
    <w:p w14:paraId="19145076" w14:textId="77777777" w:rsidR="007974E8" w:rsidRPr="00E16672" w:rsidRDefault="007974E8" w:rsidP="007974E8">
      <w:pPr>
        <w:rPr>
          <w:rFonts w:ascii="Times New Roman" w:hAnsi="Times New Roman"/>
          <w:color w:val="000000"/>
          <w:szCs w:val="20"/>
        </w:rPr>
      </w:pPr>
      <w:r w:rsidRPr="00E16672">
        <w:rPr>
          <w:rFonts w:ascii="Times New Roman" w:hAnsi="Times New Roman"/>
          <w:color w:val="000000"/>
          <w:szCs w:val="20"/>
          <w:lang w:val="uk-UA"/>
        </w:rPr>
        <w:t xml:space="preserve">3.5. Депозитарна установа приймає до виконання тільки ті розпорядження Керуючого рахунком, які підтверджені підписом розпорядника його рахунком. </w:t>
      </w:r>
      <w:proofErr w:type="spellStart"/>
      <w:r w:rsidRPr="00E16672">
        <w:rPr>
          <w:rFonts w:ascii="Times New Roman" w:hAnsi="Times New Roman"/>
          <w:color w:val="000000"/>
          <w:szCs w:val="20"/>
        </w:rPr>
        <w:t>Депозитарна</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установа</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перевіряє</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їх</w:t>
      </w:r>
      <w:proofErr w:type="spellEnd"/>
      <w:r w:rsidRPr="00E16672">
        <w:rPr>
          <w:rFonts w:ascii="Times New Roman" w:hAnsi="Times New Roman"/>
          <w:color w:val="000000"/>
          <w:szCs w:val="20"/>
        </w:rPr>
        <w:t xml:space="preserve"> на </w:t>
      </w:r>
      <w:proofErr w:type="spellStart"/>
      <w:r w:rsidRPr="00E16672">
        <w:rPr>
          <w:rFonts w:ascii="Times New Roman" w:hAnsi="Times New Roman"/>
          <w:color w:val="000000"/>
          <w:szCs w:val="20"/>
        </w:rPr>
        <w:t>достовірність</w:t>
      </w:r>
      <w:proofErr w:type="spellEnd"/>
      <w:r w:rsidRPr="00E16672">
        <w:rPr>
          <w:rFonts w:ascii="Times New Roman" w:hAnsi="Times New Roman"/>
          <w:color w:val="000000"/>
          <w:szCs w:val="20"/>
        </w:rPr>
        <w:t xml:space="preserve">. </w:t>
      </w:r>
    </w:p>
    <w:p w14:paraId="3B5F8ED1" w14:textId="77777777" w:rsidR="007974E8" w:rsidRPr="00E16672" w:rsidRDefault="007974E8" w:rsidP="007974E8">
      <w:pPr>
        <w:rPr>
          <w:rFonts w:ascii="Times New Roman" w:hAnsi="Times New Roman"/>
          <w:color w:val="000000"/>
          <w:szCs w:val="20"/>
        </w:rPr>
      </w:pPr>
      <w:proofErr w:type="spellStart"/>
      <w:r w:rsidRPr="00E16672">
        <w:rPr>
          <w:rFonts w:ascii="Times New Roman" w:hAnsi="Times New Roman"/>
          <w:color w:val="000000"/>
          <w:szCs w:val="20"/>
        </w:rPr>
        <w:t>Спосіб</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підтвердження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справжності</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підпису</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що</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використовується</w:t>
      </w:r>
      <w:proofErr w:type="spellEnd"/>
      <w:r w:rsidRPr="00E16672">
        <w:rPr>
          <w:rFonts w:ascii="Times New Roman" w:hAnsi="Times New Roman"/>
          <w:color w:val="000000"/>
          <w:szCs w:val="20"/>
        </w:rPr>
        <w:t xml:space="preserve"> при </w:t>
      </w:r>
      <w:proofErr w:type="spellStart"/>
      <w:r w:rsidRPr="00E16672">
        <w:rPr>
          <w:rFonts w:ascii="Times New Roman" w:hAnsi="Times New Roman"/>
          <w:color w:val="000000"/>
          <w:szCs w:val="20"/>
        </w:rPr>
        <w:t>обміні</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інформацією</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між</w:t>
      </w:r>
      <w:proofErr w:type="spellEnd"/>
      <w:r w:rsidRPr="00E16672">
        <w:rPr>
          <w:rFonts w:ascii="Times New Roman" w:hAnsi="Times New Roman"/>
          <w:color w:val="000000"/>
          <w:szCs w:val="20"/>
        </w:rPr>
        <w:t xml:space="preserve"> депонентом та Депозитарною </w:t>
      </w:r>
      <w:proofErr w:type="spellStart"/>
      <w:r w:rsidRPr="00E16672">
        <w:rPr>
          <w:rFonts w:ascii="Times New Roman" w:hAnsi="Times New Roman"/>
          <w:color w:val="000000"/>
          <w:szCs w:val="20"/>
        </w:rPr>
        <w:t>установою</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може</w:t>
      </w:r>
      <w:proofErr w:type="spellEnd"/>
      <w:r w:rsidRPr="00E16672">
        <w:rPr>
          <w:rFonts w:ascii="Times New Roman" w:hAnsi="Times New Roman"/>
          <w:color w:val="000000"/>
          <w:szCs w:val="20"/>
        </w:rPr>
        <w:t xml:space="preserve"> бути таким: </w:t>
      </w:r>
    </w:p>
    <w:p w14:paraId="5BF6BA7F" w14:textId="77777777" w:rsidR="007974E8" w:rsidRPr="00E16672" w:rsidRDefault="007974E8" w:rsidP="007974E8">
      <w:pPr>
        <w:rPr>
          <w:rFonts w:ascii="Times New Roman" w:hAnsi="Times New Roman"/>
          <w:color w:val="000000"/>
          <w:szCs w:val="20"/>
        </w:rPr>
      </w:pPr>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достовірність</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підпису</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розпорядника</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рахунку</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підтверджується</w:t>
      </w:r>
      <w:proofErr w:type="spellEnd"/>
      <w:r w:rsidRPr="00E16672">
        <w:rPr>
          <w:rFonts w:ascii="Times New Roman" w:hAnsi="Times New Roman"/>
          <w:color w:val="000000"/>
          <w:szCs w:val="20"/>
        </w:rPr>
        <w:t xml:space="preserve"> шляхом </w:t>
      </w:r>
      <w:proofErr w:type="spellStart"/>
      <w:r w:rsidRPr="00E16672">
        <w:rPr>
          <w:rFonts w:ascii="Times New Roman" w:hAnsi="Times New Roman"/>
          <w:color w:val="000000"/>
          <w:szCs w:val="20"/>
        </w:rPr>
        <w:t>зіставлення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підписів</w:t>
      </w:r>
      <w:proofErr w:type="spellEnd"/>
      <w:r w:rsidRPr="00E16672">
        <w:rPr>
          <w:rFonts w:ascii="Times New Roman" w:hAnsi="Times New Roman"/>
          <w:color w:val="000000"/>
          <w:szCs w:val="20"/>
        </w:rPr>
        <w:t xml:space="preserve"> у </w:t>
      </w:r>
      <w:proofErr w:type="spellStart"/>
      <w:r w:rsidRPr="00E16672">
        <w:rPr>
          <w:rFonts w:ascii="Times New Roman" w:hAnsi="Times New Roman"/>
          <w:color w:val="000000"/>
          <w:szCs w:val="20"/>
        </w:rPr>
        <w:t>розпорядженні</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із</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зразками</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підписів</w:t>
      </w:r>
      <w:proofErr w:type="spellEnd"/>
      <w:r w:rsidRPr="00E16672">
        <w:rPr>
          <w:rFonts w:ascii="Times New Roman" w:hAnsi="Times New Roman"/>
          <w:color w:val="000000"/>
          <w:szCs w:val="20"/>
        </w:rPr>
        <w:t xml:space="preserve"> у </w:t>
      </w:r>
      <w:proofErr w:type="spellStart"/>
      <w:r w:rsidRPr="00E16672">
        <w:rPr>
          <w:rFonts w:ascii="Times New Roman" w:hAnsi="Times New Roman"/>
          <w:color w:val="000000"/>
          <w:szCs w:val="20"/>
        </w:rPr>
        <w:t>картці</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із</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зразками</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підписів</w:t>
      </w:r>
      <w:proofErr w:type="spellEnd"/>
      <w:r w:rsidRPr="00E16672">
        <w:rPr>
          <w:rFonts w:ascii="Times New Roman" w:hAnsi="Times New Roman"/>
          <w:color w:val="000000"/>
          <w:szCs w:val="20"/>
        </w:rPr>
        <w:t xml:space="preserve"> та </w:t>
      </w:r>
      <w:proofErr w:type="spellStart"/>
      <w:r w:rsidRPr="00E16672">
        <w:rPr>
          <w:rFonts w:ascii="Times New Roman" w:hAnsi="Times New Roman"/>
          <w:color w:val="000000"/>
          <w:szCs w:val="20"/>
        </w:rPr>
        <w:t>відбитком</w:t>
      </w:r>
      <w:proofErr w:type="spellEnd"/>
      <w:r w:rsidRPr="00E16672">
        <w:rPr>
          <w:rFonts w:ascii="Times New Roman" w:hAnsi="Times New Roman"/>
          <w:color w:val="000000"/>
          <w:szCs w:val="20"/>
        </w:rPr>
        <w:t xml:space="preserve"> печатки;</w:t>
      </w:r>
    </w:p>
    <w:p w14:paraId="235D7A6C" w14:textId="77777777" w:rsidR="007974E8" w:rsidRPr="00E16672" w:rsidRDefault="007974E8" w:rsidP="007974E8">
      <w:pPr>
        <w:rPr>
          <w:rFonts w:ascii="Times New Roman" w:hAnsi="Times New Roman"/>
          <w:color w:val="000000"/>
          <w:szCs w:val="20"/>
          <w:lang w:val="uk-UA"/>
        </w:rPr>
      </w:pPr>
      <w:r w:rsidRPr="00E16672">
        <w:rPr>
          <w:rFonts w:ascii="Times New Roman" w:hAnsi="Times New Roman"/>
          <w:color w:val="000000"/>
          <w:szCs w:val="20"/>
        </w:rPr>
        <w:t xml:space="preserve">- </w:t>
      </w:r>
      <w:proofErr w:type="spellStart"/>
      <w:r w:rsidR="00AE695D" w:rsidRPr="00E16672">
        <w:rPr>
          <w:rFonts w:ascii="Times New Roman" w:hAnsi="Times New Roman"/>
          <w:color w:val="000000"/>
          <w:szCs w:val="20"/>
        </w:rPr>
        <w:t>кваліфікований</w:t>
      </w:r>
      <w:proofErr w:type="spellEnd"/>
      <w:r w:rsidR="00AE695D" w:rsidRPr="00E16672">
        <w:rPr>
          <w:rFonts w:ascii="Times New Roman" w:hAnsi="Times New Roman"/>
          <w:color w:val="000000"/>
          <w:szCs w:val="20"/>
        </w:rPr>
        <w:t xml:space="preserve"> </w:t>
      </w:r>
      <w:proofErr w:type="spellStart"/>
      <w:r w:rsidR="00AE695D" w:rsidRPr="00E16672">
        <w:rPr>
          <w:rFonts w:ascii="Times New Roman" w:hAnsi="Times New Roman"/>
          <w:color w:val="000000"/>
          <w:szCs w:val="20"/>
        </w:rPr>
        <w:t>електронний</w:t>
      </w:r>
      <w:proofErr w:type="spellEnd"/>
      <w:r w:rsidR="00AE695D" w:rsidRPr="00E16672">
        <w:rPr>
          <w:rFonts w:ascii="Times New Roman" w:hAnsi="Times New Roman"/>
          <w:color w:val="000000"/>
          <w:szCs w:val="20"/>
        </w:rPr>
        <w:t xml:space="preserve"> </w:t>
      </w:r>
      <w:proofErr w:type="spellStart"/>
      <w:r w:rsidR="00AE695D" w:rsidRPr="00E16672">
        <w:rPr>
          <w:rFonts w:ascii="Times New Roman" w:hAnsi="Times New Roman"/>
          <w:color w:val="000000"/>
          <w:szCs w:val="20"/>
        </w:rPr>
        <w:t>підпис</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вважається</w:t>
      </w:r>
      <w:proofErr w:type="spellEnd"/>
      <w:r w:rsidRPr="00E16672">
        <w:rPr>
          <w:rFonts w:ascii="Times New Roman" w:hAnsi="Times New Roman"/>
          <w:color w:val="000000"/>
          <w:szCs w:val="20"/>
        </w:rPr>
        <w:t xml:space="preserve"> таким, </w:t>
      </w:r>
      <w:proofErr w:type="spellStart"/>
      <w:r w:rsidRPr="00E16672">
        <w:rPr>
          <w:rFonts w:ascii="Times New Roman" w:hAnsi="Times New Roman"/>
          <w:color w:val="000000"/>
          <w:szCs w:val="20"/>
        </w:rPr>
        <w:t>що</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відповідає</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сертифікату</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відкритого</w:t>
      </w:r>
      <w:proofErr w:type="spellEnd"/>
      <w:r w:rsidRPr="00E16672">
        <w:rPr>
          <w:rFonts w:ascii="Times New Roman" w:hAnsi="Times New Roman"/>
          <w:color w:val="000000"/>
          <w:szCs w:val="20"/>
        </w:rPr>
        <w:t xml:space="preserve"> ключа, </w:t>
      </w:r>
      <w:proofErr w:type="spellStart"/>
      <w:r w:rsidRPr="00E16672">
        <w:rPr>
          <w:rFonts w:ascii="Times New Roman" w:hAnsi="Times New Roman"/>
          <w:color w:val="000000"/>
          <w:szCs w:val="20"/>
        </w:rPr>
        <w:t>якщо</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особистий</w:t>
      </w:r>
      <w:proofErr w:type="spellEnd"/>
      <w:r w:rsidRPr="00E16672">
        <w:rPr>
          <w:rFonts w:ascii="Times New Roman" w:hAnsi="Times New Roman"/>
          <w:color w:val="000000"/>
          <w:szCs w:val="20"/>
        </w:rPr>
        <w:t xml:space="preserve"> ключ </w:t>
      </w:r>
      <w:proofErr w:type="spellStart"/>
      <w:r w:rsidRPr="00E16672">
        <w:rPr>
          <w:rFonts w:ascii="Times New Roman" w:hAnsi="Times New Roman"/>
          <w:color w:val="000000"/>
          <w:szCs w:val="20"/>
        </w:rPr>
        <w:t>підписувача</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розпорядника</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рахунку</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використаний</w:t>
      </w:r>
      <w:proofErr w:type="spellEnd"/>
      <w:r w:rsidRPr="00E16672">
        <w:rPr>
          <w:rFonts w:ascii="Times New Roman" w:hAnsi="Times New Roman"/>
          <w:color w:val="000000"/>
          <w:szCs w:val="20"/>
        </w:rPr>
        <w:t xml:space="preserve"> при </w:t>
      </w:r>
      <w:proofErr w:type="spellStart"/>
      <w:r w:rsidRPr="00E16672">
        <w:rPr>
          <w:rFonts w:ascii="Times New Roman" w:hAnsi="Times New Roman"/>
          <w:color w:val="000000"/>
          <w:szCs w:val="20"/>
        </w:rPr>
        <w:t>формуванні</w:t>
      </w:r>
      <w:proofErr w:type="spellEnd"/>
      <w:r w:rsidRPr="00E16672">
        <w:rPr>
          <w:rFonts w:ascii="Times New Roman" w:hAnsi="Times New Roman"/>
          <w:color w:val="000000"/>
          <w:szCs w:val="20"/>
        </w:rPr>
        <w:t xml:space="preserve"> </w:t>
      </w:r>
      <w:proofErr w:type="spellStart"/>
      <w:r w:rsidR="00AE695D" w:rsidRPr="00E16672">
        <w:rPr>
          <w:rFonts w:ascii="Times New Roman" w:hAnsi="Times New Roman"/>
          <w:color w:val="000000"/>
          <w:szCs w:val="20"/>
        </w:rPr>
        <w:t>кваліфікованого</w:t>
      </w:r>
      <w:proofErr w:type="spellEnd"/>
      <w:r w:rsidR="00AE695D" w:rsidRPr="00E16672">
        <w:rPr>
          <w:rFonts w:ascii="Times New Roman" w:hAnsi="Times New Roman"/>
          <w:color w:val="000000"/>
          <w:szCs w:val="20"/>
        </w:rPr>
        <w:t xml:space="preserve"> </w:t>
      </w:r>
      <w:proofErr w:type="spellStart"/>
      <w:r w:rsidR="00AE695D" w:rsidRPr="00E16672">
        <w:rPr>
          <w:rFonts w:ascii="Times New Roman" w:hAnsi="Times New Roman"/>
          <w:color w:val="000000"/>
          <w:szCs w:val="20"/>
        </w:rPr>
        <w:t>електронного</w:t>
      </w:r>
      <w:proofErr w:type="spellEnd"/>
      <w:r w:rsidR="00AE695D" w:rsidRPr="00E16672">
        <w:rPr>
          <w:rFonts w:ascii="Times New Roman" w:hAnsi="Times New Roman"/>
          <w:color w:val="000000"/>
          <w:szCs w:val="20"/>
        </w:rPr>
        <w:t xml:space="preserve"> </w:t>
      </w:r>
      <w:proofErr w:type="spellStart"/>
      <w:r w:rsidR="00AE695D" w:rsidRPr="00E16672">
        <w:rPr>
          <w:rFonts w:ascii="Times New Roman" w:hAnsi="Times New Roman"/>
          <w:color w:val="000000"/>
          <w:szCs w:val="20"/>
        </w:rPr>
        <w:t>підпису</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відповідає</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відкритому</w:t>
      </w:r>
      <w:proofErr w:type="spellEnd"/>
      <w:r w:rsidRPr="00E16672">
        <w:rPr>
          <w:rFonts w:ascii="Times New Roman" w:hAnsi="Times New Roman"/>
          <w:color w:val="000000"/>
          <w:szCs w:val="20"/>
        </w:rPr>
        <w:t xml:space="preserve"> ключу, </w:t>
      </w:r>
      <w:proofErr w:type="spellStart"/>
      <w:r w:rsidRPr="00E16672">
        <w:rPr>
          <w:rFonts w:ascii="Times New Roman" w:hAnsi="Times New Roman"/>
          <w:color w:val="000000"/>
          <w:szCs w:val="20"/>
        </w:rPr>
        <w:t>зазначеному</w:t>
      </w:r>
      <w:proofErr w:type="spellEnd"/>
      <w:r w:rsidRPr="00E16672">
        <w:rPr>
          <w:rFonts w:ascii="Times New Roman" w:hAnsi="Times New Roman"/>
          <w:color w:val="000000"/>
          <w:szCs w:val="20"/>
        </w:rPr>
        <w:t xml:space="preserve"> у </w:t>
      </w:r>
      <w:proofErr w:type="spellStart"/>
      <w:r w:rsidRPr="00E16672">
        <w:rPr>
          <w:rFonts w:ascii="Times New Roman" w:hAnsi="Times New Roman"/>
          <w:color w:val="000000"/>
          <w:szCs w:val="20"/>
        </w:rPr>
        <w:t>сертифікаті</w:t>
      </w:r>
      <w:proofErr w:type="spellEnd"/>
      <w:r w:rsidRPr="00E16672">
        <w:rPr>
          <w:rFonts w:ascii="Times New Roman" w:hAnsi="Times New Roman"/>
          <w:color w:val="000000"/>
          <w:szCs w:val="20"/>
          <w:lang w:val="uk-UA"/>
        </w:rPr>
        <w:t>.</w:t>
      </w:r>
    </w:p>
    <w:p w14:paraId="542E445F" w14:textId="77777777" w:rsidR="007974E8" w:rsidRPr="00E16672" w:rsidRDefault="007974E8" w:rsidP="007974E8">
      <w:pPr>
        <w:rPr>
          <w:rFonts w:ascii="Times New Roman" w:hAnsi="Times New Roman"/>
          <w:color w:val="000000"/>
          <w:szCs w:val="20"/>
        </w:rPr>
      </w:pPr>
      <w:r w:rsidRPr="00E16672">
        <w:rPr>
          <w:rFonts w:ascii="Times New Roman" w:hAnsi="Times New Roman"/>
          <w:color w:val="000000"/>
          <w:szCs w:val="20"/>
        </w:rPr>
        <w:t xml:space="preserve">3.6. </w:t>
      </w:r>
      <w:proofErr w:type="spellStart"/>
      <w:r w:rsidRPr="00E16672">
        <w:rPr>
          <w:rFonts w:ascii="Times New Roman" w:hAnsi="Times New Roman"/>
          <w:color w:val="000000"/>
          <w:szCs w:val="20"/>
        </w:rPr>
        <w:t>Розпорядження</w:t>
      </w:r>
      <w:proofErr w:type="spellEnd"/>
      <w:r w:rsidRPr="00E16672">
        <w:rPr>
          <w:rFonts w:ascii="Times New Roman" w:hAnsi="Times New Roman"/>
          <w:color w:val="000000"/>
          <w:szCs w:val="20"/>
        </w:rPr>
        <w:t xml:space="preserve"> у </w:t>
      </w:r>
      <w:proofErr w:type="spellStart"/>
      <w:r w:rsidRPr="00E16672">
        <w:rPr>
          <w:rFonts w:ascii="Times New Roman" w:hAnsi="Times New Roman"/>
          <w:color w:val="000000"/>
          <w:szCs w:val="20"/>
        </w:rPr>
        <w:t>вигляді</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паперового</w:t>
      </w:r>
      <w:proofErr w:type="spellEnd"/>
      <w:r w:rsidRPr="00E16672">
        <w:rPr>
          <w:rFonts w:ascii="Times New Roman" w:hAnsi="Times New Roman"/>
          <w:color w:val="000000"/>
          <w:szCs w:val="20"/>
        </w:rPr>
        <w:t xml:space="preserve"> документа </w:t>
      </w:r>
      <w:proofErr w:type="spellStart"/>
      <w:r w:rsidRPr="00E16672">
        <w:rPr>
          <w:rFonts w:ascii="Times New Roman" w:hAnsi="Times New Roman"/>
          <w:color w:val="000000"/>
          <w:szCs w:val="20"/>
        </w:rPr>
        <w:t>повинні</w:t>
      </w:r>
      <w:proofErr w:type="spellEnd"/>
      <w:r w:rsidRPr="00E16672">
        <w:rPr>
          <w:rFonts w:ascii="Times New Roman" w:hAnsi="Times New Roman"/>
          <w:color w:val="000000"/>
          <w:szCs w:val="20"/>
        </w:rPr>
        <w:t xml:space="preserve"> бути </w:t>
      </w:r>
      <w:proofErr w:type="spellStart"/>
      <w:r w:rsidRPr="00E16672">
        <w:rPr>
          <w:rFonts w:ascii="Times New Roman" w:hAnsi="Times New Roman"/>
          <w:color w:val="000000"/>
          <w:szCs w:val="20"/>
        </w:rPr>
        <w:t>надані</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Депозитарній</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установі</w:t>
      </w:r>
      <w:proofErr w:type="spellEnd"/>
      <w:r w:rsidRPr="00E16672">
        <w:rPr>
          <w:rFonts w:ascii="Times New Roman" w:hAnsi="Times New Roman"/>
          <w:color w:val="000000"/>
          <w:szCs w:val="20"/>
        </w:rPr>
        <w:t xml:space="preserve"> без </w:t>
      </w:r>
      <w:proofErr w:type="spellStart"/>
      <w:r w:rsidRPr="00E16672">
        <w:rPr>
          <w:rFonts w:ascii="Times New Roman" w:hAnsi="Times New Roman"/>
          <w:color w:val="000000"/>
          <w:szCs w:val="20"/>
        </w:rPr>
        <w:t>перекручування</w:t>
      </w:r>
      <w:proofErr w:type="spellEnd"/>
      <w:r w:rsidRPr="00E16672">
        <w:rPr>
          <w:rFonts w:ascii="Times New Roman" w:hAnsi="Times New Roman"/>
          <w:color w:val="000000"/>
          <w:szCs w:val="20"/>
        </w:rPr>
        <w:t xml:space="preserve"> та </w:t>
      </w:r>
      <w:proofErr w:type="spellStart"/>
      <w:r w:rsidRPr="00E16672">
        <w:rPr>
          <w:rFonts w:ascii="Times New Roman" w:hAnsi="Times New Roman"/>
          <w:color w:val="000000"/>
          <w:szCs w:val="20"/>
        </w:rPr>
        <w:t>виправлення</w:t>
      </w:r>
      <w:proofErr w:type="spellEnd"/>
      <w:r w:rsidRPr="00E16672">
        <w:rPr>
          <w:rFonts w:ascii="Times New Roman" w:hAnsi="Times New Roman"/>
          <w:color w:val="000000"/>
          <w:szCs w:val="20"/>
        </w:rPr>
        <w:t xml:space="preserve"> тексту, з </w:t>
      </w:r>
      <w:proofErr w:type="spellStart"/>
      <w:r w:rsidRPr="00E16672">
        <w:rPr>
          <w:rFonts w:ascii="Times New Roman" w:hAnsi="Times New Roman"/>
          <w:color w:val="000000"/>
          <w:szCs w:val="20"/>
        </w:rPr>
        <w:t>чітким</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відбитком</w:t>
      </w:r>
      <w:proofErr w:type="spellEnd"/>
      <w:r w:rsidRPr="00E16672">
        <w:rPr>
          <w:rFonts w:ascii="Times New Roman" w:hAnsi="Times New Roman"/>
          <w:color w:val="000000"/>
          <w:szCs w:val="20"/>
        </w:rPr>
        <w:t xml:space="preserve"> печатки (</w:t>
      </w:r>
      <w:r w:rsidR="003352AE" w:rsidRPr="00E16672">
        <w:rPr>
          <w:rFonts w:ascii="Times New Roman" w:hAnsi="Times New Roman"/>
          <w:color w:val="000000"/>
          <w:szCs w:val="20"/>
        </w:rPr>
        <w:t xml:space="preserve">у </w:t>
      </w:r>
      <w:proofErr w:type="spellStart"/>
      <w:r w:rsidR="003352AE" w:rsidRPr="00E16672">
        <w:rPr>
          <w:rFonts w:ascii="Times New Roman" w:hAnsi="Times New Roman"/>
          <w:color w:val="000000"/>
          <w:szCs w:val="20"/>
        </w:rPr>
        <w:t>разі</w:t>
      </w:r>
      <w:proofErr w:type="spellEnd"/>
      <w:r w:rsidR="003352AE" w:rsidRPr="00E16672">
        <w:rPr>
          <w:rFonts w:ascii="Times New Roman" w:hAnsi="Times New Roman"/>
          <w:color w:val="000000"/>
          <w:szCs w:val="20"/>
        </w:rPr>
        <w:t xml:space="preserve"> </w:t>
      </w:r>
      <w:proofErr w:type="spellStart"/>
      <w:r w:rsidR="003352AE" w:rsidRPr="00E16672">
        <w:rPr>
          <w:rFonts w:ascii="Times New Roman" w:hAnsi="Times New Roman"/>
          <w:color w:val="000000"/>
          <w:szCs w:val="20"/>
        </w:rPr>
        <w:t>використання</w:t>
      </w:r>
      <w:proofErr w:type="spellEnd"/>
      <w:r w:rsidRPr="00E16672">
        <w:rPr>
          <w:rFonts w:ascii="Times New Roman" w:hAnsi="Times New Roman"/>
          <w:color w:val="000000"/>
          <w:szCs w:val="20"/>
        </w:rPr>
        <w:t xml:space="preserve">) за </w:t>
      </w:r>
      <w:proofErr w:type="spellStart"/>
      <w:r w:rsidRPr="00E16672">
        <w:rPr>
          <w:rFonts w:ascii="Times New Roman" w:hAnsi="Times New Roman"/>
          <w:color w:val="000000"/>
          <w:szCs w:val="20"/>
        </w:rPr>
        <w:t>підписом</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розпорядника</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рахунком</w:t>
      </w:r>
      <w:proofErr w:type="spellEnd"/>
      <w:r w:rsidRPr="00E16672">
        <w:rPr>
          <w:rFonts w:ascii="Times New Roman" w:hAnsi="Times New Roman"/>
          <w:color w:val="000000"/>
          <w:szCs w:val="20"/>
        </w:rPr>
        <w:t>.</w:t>
      </w:r>
    </w:p>
    <w:p w14:paraId="0E01C0C3" w14:textId="77777777" w:rsidR="007974E8" w:rsidRPr="00E16672" w:rsidRDefault="007974E8" w:rsidP="007974E8">
      <w:pPr>
        <w:ind w:left="-12" w:firstLine="564"/>
        <w:rPr>
          <w:rFonts w:ascii="Times New Roman" w:hAnsi="Times New Roman"/>
          <w:color w:val="000000"/>
          <w:szCs w:val="20"/>
        </w:rPr>
      </w:pPr>
      <w:r w:rsidRPr="00E16672">
        <w:rPr>
          <w:rFonts w:ascii="Times New Roman" w:hAnsi="Times New Roman"/>
          <w:color w:val="000000"/>
          <w:szCs w:val="20"/>
        </w:rPr>
        <w:t xml:space="preserve">3.7. </w:t>
      </w:r>
      <w:proofErr w:type="spellStart"/>
      <w:r w:rsidRPr="00E16672">
        <w:rPr>
          <w:rFonts w:ascii="Times New Roman" w:hAnsi="Times New Roman"/>
          <w:color w:val="000000"/>
          <w:szCs w:val="20"/>
        </w:rPr>
        <w:t>Розпорядження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Керуючого</w:t>
      </w:r>
      <w:proofErr w:type="spellEnd"/>
      <w:r w:rsidRPr="00E16672">
        <w:rPr>
          <w:rFonts w:ascii="Times New Roman" w:hAnsi="Times New Roman"/>
          <w:color w:val="000000"/>
          <w:szCs w:val="20"/>
          <w:lang w:val="uk-UA"/>
        </w:rPr>
        <w:t xml:space="preserve"> рахунком</w:t>
      </w:r>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повинні</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повністю</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розкривати</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зміст</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виконання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операцій</w:t>
      </w:r>
      <w:proofErr w:type="spellEnd"/>
      <w:r w:rsidRPr="00E16672">
        <w:rPr>
          <w:rFonts w:ascii="Times New Roman" w:hAnsi="Times New Roman"/>
          <w:color w:val="000000"/>
          <w:szCs w:val="20"/>
        </w:rPr>
        <w:t xml:space="preserve"> з </w:t>
      </w:r>
      <w:proofErr w:type="spellStart"/>
      <w:r w:rsidRPr="00E16672">
        <w:rPr>
          <w:rFonts w:ascii="Times New Roman" w:hAnsi="Times New Roman"/>
          <w:color w:val="000000"/>
          <w:szCs w:val="20"/>
        </w:rPr>
        <w:t>рахунком</w:t>
      </w:r>
      <w:proofErr w:type="spellEnd"/>
      <w:r w:rsidRPr="00E16672">
        <w:rPr>
          <w:rFonts w:ascii="Times New Roman" w:hAnsi="Times New Roman"/>
          <w:color w:val="000000"/>
          <w:szCs w:val="20"/>
        </w:rPr>
        <w:t xml:space="preserve"> в </w:t>
      </w:r>
      <w:proofErr w:type="spellStart"/>
      <w:r w:rsidRPr="00E16672">
        <w:rPr>
          <w:rFonts w:ascii="Times New Roman" w:hAnsi="Times New Roman"/>
          <w:color w:val="000000"/>
          <w:szCs w:val="20"/>
        </w:rPr>
        <w:t>цінних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паперах</w:t>
      </w:r>
      <w:proofErr w:type="spellEnd"/>
      <w:r w:rsidRPr="00E16672">
        <w:rPr>
          <w:rFonts w:ascii="Times New Roman" w:hAnsi="Times New Roman"/>
          <w:color w:val="000000"/>
          <w:szCs w:val="20"/>
        </w:rPr>
        <w:t xml:space="preserve"> та </w:t>
      </w:r>
      <w:proofErr w:type="spellStart"/>
      <w:r w:rsidRPr="00E16672">
        <w:rPr>
          <w:rFonts w:ascii="Times New Roman" w:hAnsi="Times New Roman"/>
          <w:color w:val="000000"/>
          <w:szCs w:val="20"/>
        </w:rPr>
        <w:t>відповідати</w:t>
      </w:r>
      <w:proofErr w:type="spellEnd"/>
      <w:r w:rsidRPr="00E16672">
        <w:rPr>
          <w:rFonts w:ascii="Times New Roman" w:hAnsi="Times New Roman"/>
          <w:color w:val="000000"/>
          <w:szCs w:val="20"/>
        </w:rPr>
        <w:t xml:space="preserve"> чинному </w:t>
      </w:r>
      <w:proofErr w:type="spellStart"/>
      <w:r w:rsidRPr="00E16672">
        <w:rPr>
          <w:rFonts w:ascii="Times New Roman" w:hAnsi="Times New Roman"/>
          <w:color w:val="000000"/>
          <w:szCs w:val="20"/>
        </w:rPr>
        <w:t>законодавству</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України</w:t>
      </w:r>
      <w:proofErr w:type="spellEnd"/>
      <w:r w:rsidRPr="00E16672">
        <w:rPr>
          <w:rFonts w:ascii="Times New Roman" w:hAnsi="Times New Roman"/>
          <w:color w:val="000000"/>
          <w:szCs w:val="20"/>
        </w:rPr>
        <w:t>.</w:t>
      </w:r>
    </w:p>
    <w:p w14:paraId="744CC0EB" w14:textId="77777777" w:rsidR="007974E8" w:rsidRPr="00E16672" w:rsidRDefault="007974E8" w:rsidP="007974E8">
      <w:pPr>
        <w:ind w:left="-12" w:firstLine="564"/>
        <w:rPr>
          <w:rFonts w:ascii="Times New Roman" w:hAnsi="Times New Roman"/>
          <w:color w:val="000000"/>
          <w:szCs w:val="20"/>
          <w:lang w:val="uk-UA"/>
        </w:rPr>
      </w:pPr>
      <w:r w:rsidRPr="00E16672">
        <w:rPr>
          <w:rFonts w:ascii="Times New Roman" w:hAnsi="Times New Roman"/>
          <w:color w:val="000000"/>
          <w:szCs w:val="20"/>
        </w:rPr>
        <w:lastRenderedPageBreak/>
        <w:t xml:space="preserve">3.8. </w:t>
      </w:r>
      <w:r w:rsidRPr="00E16672">
        <w:rPr>
          <w:rFonts w:ascii="Times New Roman" w:hAnsi="Times New Roman"/>
          <w:color w:val="000000"/>
          <w:szCs w:val="20"/>
          <w:lang w:val="uk-UA"/>
        </w:rPr>
        <w:t xml:space="preserve">Розпорядження виконується Депозитарною установою </w:t>
      </w:r>
      <w:proofErr w:type="gramStart"/>
      <w:r w:rsidRPr="00E16672">
        <w:rPr>
          <w:rFonts w:ascii="Times New Roman" w:hAnsi="Times New Roman"/>
          <w:color w:val="000000"/>
          <w:szCs w:val="20"/>
          <w:lang w:val="uk-UA"/>
        </w:rPr>
        <w:t>у порядку</w:t>
      </w:r>
      <w:proofErr w:type="gramEnd"/>
      <w:r w:rsidRPr="00E16672">
        <w:rPr>
          <w:rFonts w:ascii="Times New Roman" w:hAnsi="Times New Roman"/>
          <w:color w:val="000000"/>
          <w:szCs w:val="20"/>
          <w:lang w:val="uk-UA"/>
        </w:rPr>
        <w:t xml:space="preserve">, передбаченому внутрішніми документами Депозитарної установи. </w:t>
      </w:r>
    </w:p>
    <w:p w14:paraId="3F91ED89" w14:textId="77777777" w:rsidR="007974E8" w:rsidRPr="00E16672" w:rsidRDefault="007974E8" w:rsidP="007974E8">
      <w:pPr>
        <w:ind w:firstLine="585"/>
        <w:rPr>
          <w:rFonts w:ascii="Times New Roman" w:hAnsi="Times New Roman"/>
          <w:color w:val="000000"/>
          <w:szCs w:val="20"/>
          <w:lang w:val="uk-UA"/>
        </w:rPr>
      </w:pPr>
      <w:r w:rsidRPr="00E16672">
        <w:rPr>
          <w:rFonts w:ascii="Times New Roman" w:hAnsi="Times New Roman"/>
          <w:color w:val="000000"/>
          <w:szCs w:val="20"/>
          <w:lang w:val="uk-UA"/>
        </w:rPr>
        <w:t xml:space="preserve">Депозитарні операції (крім операції відкриття та закриття рахунку </w:t>
      </w:r>
      <w:r w:rsidR="00C22309" w:rsidRPr="00E16672">
        <w:rPr>
          <w:rFonts w:ascii="Times New Roman" w:hAnsi="Times New Roman"/>
          <w:color w:val="000000"/>
          <w:szCs w:val="20"/>
          <w:lang w:val="uk-UA"/>
        </w:rPr>
        <w:t>в цін</w:t>
      </w:r>
      <w:r w:rsidRPr="00E16672">
        <w:rPr>
          <w:rFonts w:ascii="Times New Roman" w:hAnsi="Times New Roman"/>
          <w:color w:val="000000"/>
          <w:szCs w:val="20"/>
          <w:lang w:val="uk-UA"/>
        </w:rPr>
        <w:t xml:space="preserve">них паперах) виконуються Депозитарною установою не пізніше </w:t>
      </w:r>
      <w:r w:rsidRPr="00E16672">
        <w:rPr>
          <w:rFonts w:ascii="Times New Roman" w:hAnsi="Times New Roman"/>
          <w:i/>
          <w:iCs/>
          <w:color w:val="000000"/>
          <w:szCs w:val="20"/>
          <w:lang w:val="uk-UA"/>
        </w:rPr>
        <w:t xml:space="preserve">трьох </w:t>
      </w:r>
      <w:r w:rsidRPr="00E16672">
        <w:rPr>
          <w:rFonts w:ascii="Times New Roman" w:hAnsi="Times New Roman"/>
          <w:color w:val="000000"/>
          <w:szCs w:val="20"/>
          <w:lang w:val="uk-UA"/>
        </w:rPr>
        <w:t>робочих днів з дати прийняття розпорядження та/або документів, що є підставою для здійснення цих операцій.</w:t>
      </w:r>
    </w:p>
    <w:p w14:paraId="5C52657A" w14:textId="77777777" w:rsidR="007974E8" w:rsidRPr="00E16672" w:rsidRDefault="007974E8" w:rsidP="007974E8">
      <w:pPr>
        <w:ind w:firstLine="585"/>
        <w:rPr>
          <w:rFonts w:ascii="Times New Roman" w:hAnsi="Times New Roman"/>
          <w:color w:val="000000"/>
          <w:szCs w:val="20"/>
          <w:lang w:val="uk-UA"/>
        </w:rPr>
      </w:pPr>
      <w:r w:rsidRPr="00E16672">
        <w:rPr>
          <w:rFonts w:ascii="Times New Roman" w:hAnsi="Times New Roman"/>
          <w:color w:val="000000"/>
          <w:lang w:val="uk-UA"/>
        </w:rPr>
        <w:t xml:space="preserve">Відкриття рахунку в цінних паперах Депозитарною установою здійснюється після укладання Договору з Депонентом не пізніше </w:t>
      </w:r>
      <w:r w:rsidR="002C163A">
        <w:rPr>
          <w:rFonts w:ascii="Times New Roman" w:hAnsi="Times New Roman"/>
          <w:color w:val="000000"/>
          <w:lang w:val="uk-UA"/>
        </w:rPr>
        <w:t>5 (</w:t>
      </w:r>
      <w:r w:rsidRPr="00E16672">
        <w:rPr>
          <w:rFonts w:ascii="Times New Roman" w:hAnsi="Times New Roman"/>
          <w:i/>
          <w:iCs/>
          <w:color w:val="000000"/>
          <w:lang w:val="uk-UA"/>
        </w:rPr>
        <w:t>п'яти</w:t>
      </w:r>
      <w:r w:rsidR="002C163A">
        <w:rPr>
          <w:rFonts w:ascii="Times New Roman" w:hAnsi="Times New Roman"/>
          <w:i/>
          <w:iCs/>
          <w:color w:val="000000"/>
          <w:lang w:val="uk-UA"/>
        </w:rPr>
        <w:t>)</w:t>
      </w:r>
      <w:r w:rsidRPr="00E16672">
        <w:rPr>
          <w:rFonts w:ascii="Times New Roman" w:hAnsi="Times New Roman"/>
          <w:color w:val="000000"/>
          <w:lang w:val="uk-UA"/>
        </w:rPr>
        <w:t xml:space="preserve"> робочих днів </w:t>
      </w:r>
      <w:r w:rsidRPr="00E16672">
        <w:rPr>
          <w:rFonts w:ascii="Times New Roman" w:hAnsi="Times New Roman"/>
          <w:color w:val="000000"/>
          <w:szCs w:val="20"/>
          <w:lang w:val="uk-UA"/>
        </w:rPr>
        <w:t>з дня отримання документів, передбачених законодавством та внутрішніми документами Депозитарної установи для відкриття рахунку в цінних паперах, та після проведення ідентифікації та верифікації.</w:t>
      </w:r>
    </w:p>
    <w:p w14:paraId="600BE8D0" w14:textId="77777777" w:rsidR="007974E8" w:rsidRPr="00E16672" w:rsidRDefault="007974E8" w:rsidP="007974E8">
      <w:pPr>
        <w:pStyle w:val="ab"/>
        <w:ind w:left="-12" w:firstLine="564"/>
        <w:jc w:val="both"/>
        <w:rPr>
          <w:rFonts w:ascii="Times New Roman" w:hAnsi="Times New Roman"/>
          <w:b w:val="0"/>
          <w:color w:val="000000"/>
        </w:rPr>
      </w:pPr>
      <w:r w:rsidRPr="00E16672">
        <w:rPr>
          <w:rFonts w:ascii="Times New Roman" w:hAnsi="Times New Roman"/>
          <w:b w:val="0"/>
          <w:color w:val="000000"/>
        </w:rPr>
        <w:t xml:space="preserve">Закриття рахунку </w:t>
      </w:r>
      <w:r w:rsidR="00C22309" w:rsidRPr="00E16672">
        <w:rPr>
          <w:rFonts w:ascii="Times New Roman" w:hAnsi="Times New Roman"/>
          <w:b w:val="0"/>
          <w:color w:val="000000"/>
        </w:rPr>
        <w:t>в цін</w:t>
      </w:r>
      <w:r w:rsidRPr="00E16672">
        <w:rPr>
          <w:rFonts w:ascii="Times New Roman" w:hAnsi="Times New Roman"/>
          <w:b w:val="0"/>
          <w:color w:val="000000"/>
        </w:rPr>
        <w:t xml:space="preserve">них паперах здійснюється  Депозитарною установою не пізніше </w:t>
      </w:r>
      <w:r w:rsidRPr="00E16672">
        <w:rPr>
          <w:rFonts w:ascii="Times New Roman" w:hAnsi="Times New Roman"/>
          <w:b w:val="0"/>
          <w:i/>
          <w:iCs/>
          <w:color w:val="000000"/>
        </w:rPr>
        <w:t>п'яти</w:t>
      </w:r>
      <w:r w:rsidRPr="00E16672">
        <w:rPr>
          <w:rFonts w:ascii="Times New Roman" w:hAnsi="Times New Roman"/>
          <w:b w:val="0"/>
          <w:color w:val="000000"/>
        </w:rPr>
        <w:t xml:space="preserve"> робочих днів з дати прийняття розпорядження та/або документів, що є підставою для здійснення цієї операції.</w:t>
      </w:r>
    </w:p>
    <w:p w14:paraId="43EF5831" w14:textId="77777777" w:rsidR="007974E8" w:rsidRPr="00E16672" w:rsidRDefault="007974E8" w:rsidP="007974E8">
      <w:pPr>
        <w:ind w:firstLine="561"/>
        <w:rPr>
          <w:rFonts w:ascii="Times New Roman" w:hAnsi="Times New Roman"/>
          <w:color w:val="000000"/>
          <w:szCs w:val="20"/>
        </w:rPr>
      </w:pPr>
      <w:r w:rsidRPr="00E16672">
        <w:rPr>
          <w:rFonts w:ascii="Times New Roman" w:hAnsi="Times New Roman"/>
          <w:color w:val="000000"/>
          <w:szCs w:val="20"/>
        </w:rPr>
        <w:t xml:space="preserve">3.9. У </w:t>
      </w:r>
      <w:proofErr w:type="spellStart"/>
      <w:r w:rsidRPr="00E16672">
        <w:rPr>
          <w:rFonts w:ascii="Times New Roman" w:hAnsi="Times New Roman"/>
          <w:color w:val="000000"/>
          <w:szCs w:val="20"/>
        </w:rPr>
        <w:t>випадках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установлених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законодавством</w:t>
      </w:r>
      <w:proofErr w:type="spellEnd"/>
      <w:r w:rsidRPr="00E16672">
        <w:rPr>
          <w:rFonts w:ascii="Times New Roman" w:hAnsi="Times New Roman"/>
          <w:color w:val="000000"/>
          <w:szCs w:val="20"/>
        </w:rPr>
        <w:t xml:space="preserve"> (у </w:t>
      </w:r>
      <w:proofErr w:type="spellStart"/>
      <w:r w:rsidRPr="00E16672">
        <w:rPr>
          <w:rFonts w:ascii="Times New Roman" w:hAnsi="Times New Roman"/>
          <w:color w:val="000000"/>
          <w:szCs w:val="20"/>
        </w:rPr>
        <w:t>разі</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необхідності</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Депозитарна</w:t>
      </w:r>
      <w:proofErr w:type="spellEnd"/>
      <w:r w:rsidRPr="00E16672">
        <w:rPr>
          <w:rFonts w:ascii="Times New Roman" w:hAnsi="Times New Roman"/>
          <w:color w:val="000000"/>
          <w:szCs w:val="20"/>
        </w:rPr>
        <w:t xml:space="preserve"> </w:t>
      </w:r>
      <w:proofErr w:type="spellStart"/>
      <w:proofErr w:type="gramStart"/>
      <w:r w:rsidRPr="00E16672">
        <w:rPr>
          <w:rFonts w:ascii="Times New Roman" w:hAnsi="Times New Roman"/>
          <w:color w:val="000000"/>
          <w:szCs w:val="20"/>
        </w:rPr>
        <w:t>установа</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повідомляє</w:t>
      </w:r>
      <w:proofErr w:type="spellEnd"/>
      <w:proofErr w:type="gram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Керуючого</w:t>
      </w:r>
      <w:proofErr w:type="spellEnd"/>
      <w:r w:rsidRPr="00E16672">
        <w:rPr>
          <w:rFonts w:ascii="Times New Roman" w:hAnsi="Times New Roman"/>
          <w:color w:val="000000"/>
          <w:szCs w:val="20"/>
        </w:rPr>
        <w:t xml:space="preserve"> </w:t>
      </w:r>
      <w:r w:rsidRPr="00E16672">
        <w:rPr>
          <w:rFonts w:ascii="Times New Roman" w:hAnsi="Times New Roman"/>
          <w:color w:val="000000"/>
          <w:szCs w:val="20"/>
          <w:lang w:val="uk-UA"/>
        </w:rPr>
        <w:t>рахунком</w:t>
      </w:r>
      <w:r w:rsidRPr="00E16672">
        <w:rPr>
          <w:rFonts w:ascii="Times New Roman" w:hAnsi="Times New Roman"/>
          <w:color w:val="000000"/>
          <w:szCs w:val="20"/>
        </w:rPr>
        <w:t xml:space="preserve"> про </w:t>
      </w:r>
      <w:proofErr w:type="spellStart"/>
      <w:r w:rsidRPr="00E16672">
        <w:rPr>
          <w:rFonts w:ascii="Times New Roman" w:hAnsi="Times New Roman"/>
          <w:color w:val="000000"/>
          <w:szCs w:val="20"/>
        </w:rPr>
        <w:t>прийняття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розпорядження</w:t>
      </w:r>
      <w:proofErr w:type="spellEnd"/>
      <w:r w:rsidRPr="00E16672">
        <w:rPr>
          <w:rFonts w:ascii="Times New Roman" w:hAnsi="Times New Roman"/>
          <w:color w:val="000000"/>
          <w:szCs w:val="20"/>
        </w:rPr>
        <w:t xml:space="preserve"> до </w:t>
      </w:r>
      <w:proofErr w:type="spellStart"/>
      <w:r w:rsidRPr="00E16672">
        <w:rPr>
          <w:rFonts w:ascii="Times New Roman" w:hAnsi="Times New Roman"/>
          <w:color w:val="000000"/>
          <w:szCs w:val="20"/>
        </w:rPr>
        <w:t>виконання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або</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надає</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вмотивовану</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відповідь</w:t>
      </w:r>
      <w:proofErr w:type="spellEnd"/>
      <w:r w:rsidRPr="00E16672">
        <w:rPr>
          <w:rFonts w:ascii="Times New Roman" w:hAnsi="Times New Roman"/>
          <w:color w:val="000000"/>
          <w:szCs w:val="20"/>
        </w:rPr>
        <w:t xml:space="preserve"> про </w:t>
      </w:r>
      <w:proofErr w:type="spellStart"/>
      <w:r w:rsidRPr="00E16672">
        <w:rPr>
          <w:rFonts w:ascii="Times New Roman" w:hAnsi="Times New Roman"/>
          <w:color w:val="000000"/>
          <w:szCs w:val="20"/>
        </w:rPr>
        <w:t>відмову</w:t>
      </w:r>
      <w:proofErr w:type="spellEnd"/>
      <w:r w:rsidRPr="00E16672">
        <w:rPr>
          <w:rFonts w:ascii="Times New Roman" w:hAnsi="Times New Roman"/>
          <w:color w:val="000000"/>
          <w:szCs w:val="20"/>
        </w:rPr>
        <w:t xml:space="preserve"> у </w:t>
      </w:r>
      <w:proofErr w:type="spellStart"/>
      <w:r w:rsidRPr="00E16672">
        <w:rPr>
          <w:rFonts w:ascii="Times New Roman" w:hAnsi="Times New Roman"/>
          <w:color w:val="000000"/>
          <w:szCs w:val="20"/>
        </w:rPr>
        <w:t>прийнятті</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Повідомлення</w:t>
      </w:r>
      <w:proofErr w:type="spellEnd"/>
      <w:r w:rsidRPr="00E16672">
        <w:rPr>
          <w:rFonts w:ascii="Times New Roman" w:hAnsi="Times New Roman"/>
          <w:color w:val="000000"/>
          <w:szCs w:val="20"/>
        </w:rPr>
        <w:t xml:space="preserve"> про </w:t>
      </w:r>
      <w:proofErr w:type="spellStart"/>
      <w:r w:rsidRPr="00E16672">
        <w:rPr>
          <w:rFonts w:ascii="Times New Roman" w:hAnsi="Times New Roman"/>
          <w:color w:val="000000"/>
          <w:szCs w:val="20"/>
        </w:rPr>
        <w:t>прийняття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розпорядження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або</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відповідь</w:t>
      </w:r>
      <w:proofErr w:type="spellEnd"/>
      <w:r w:rsidRPr="00E16672">
        <w:rPr>
          <w:rFonts w:ascii="Times New Roman" w:hAnsi="Times New Roman"/>
          <w:color w:val="000000"/>
          <w:szCs w:val="20"/>
        </w:rPr>
        <w:t xml:space="preserve"> про </w:t>
      </w:r>
      <w:proofErr w:type="spellStart"/>
      <w:proofErr w:type="gramStart"/>
      <w:r w:rsidRPr="00E16672">
        <w:rPr>
          <w:rFonts w:ascii="Times New Roman" w:hAnsi="Times New Roman"/>
          <w:color w:val="000000"/>
          <w:szCs w:val="20"/>
        </w:rPr>
        <w:t>відмову</w:t>
      </w:r>
      <w:proofErr w:type="spellEnd"/>
      <w:r w:rsidRPr="00E16672">
        <w:rPr>
          <w:rFonts w:ascii="Times New Roman" w:hAnsi="Times New Roman"/>
          <w:color w:val="000000"/>
          <w:szCs w:val="20"/>
        </w:rPr>
        <w:t xml:space="preserve">  у</w:t>
      </w:r>
      <w:proofErr w:type="gram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прийнятті</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можє</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надаватись</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особисто</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засобами</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електронної</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пошти</w:t>
      </w:r>
      <w:proofErr w:type="spellEnd"/>
      <w:r w:rsidRPr="00E16672">
        <w:rPr>
          <w:rFonts w:ascii="Times New Roman" w:hAnsi="Times New Roman"/>
          <w:color w:val="000000"/>
          <w:szCs w:val="20"/>
        </w:rPr>
        <w:t xml:space="preserve">, факсом, </w:t>
      </w:r>
      <w:proofErr w:type="spellStart"/>
      <w:r w:rsidRPr="00E16672">
        <w:rPr>
          <w:rFonts w:ascii="Times New Roman" w:hAnsi="Times New Roman"/>
          <w:color w:val="000000"/>
          <w:szCs w:val="20"/>
        </w:rPr>
        <w:t>поштовим</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відправленням</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кур’єром</w:t>
      </w:r>
      <w:proofErr w:type="spellEnd"/>
      <w:r w:rsidRPr="00E16672">
        <w:rPr>
          <w:rFonts w:ascii="Times New Roman" w:hAnsi="Times New Roman"/>
          <w:color w:val="000000"/>
          <w:szCs w:val="20"/>
        </w:rPr>
        <w:t xml:space="preserve">, у </w:t>
      </w:r>
      <w:proofErr w:type="spellStart"/>
      <w:r w:rsidRPr="00E16672">
        <w:rPr>
          <w:rFonts w:ascii="Times New Roman" w:hAnsi="Times New Roman"/>
          <w:color w:val="000000"/>
          <w:szCs w:val="20"/>
        </w:rPr>
        <w:t>формі</w:t>
      </w:r>
      <w:proofErr w:type="spellEnd"/>
      <w:r w:rsidRPr="00E16672">
        <w:rPr>
          <w:rFonts w:ascii="Times New Roman" w:hAnsi="Times New Roman"/>
          <w:color w:val="000000"/>
          <w:szCs w:val="20"/>
        </w:rPr>
        <w:t xml:space="preserve"> S.W.I.F.T. – </w:t>
      </w:r>
      <w:proofErr w:type="spellStart"/>
      <w:r w:rsidRPr="00E16672">
        <w:rPr>
          <w:rFonts w:ascii="Times New Roman" w:hAnsi="Times New Roman"/>
          <w:color w:val="000000"/>
          <w:szCs w:val="20"/>
        </w:rPr>
        <w:t>повідомлень</w:t>
      </w:r>
      <w:proofErr w:type="spellEnd"/>
      <w:r w:rsidRPr="00E16672">
        <w:rPr>
          <w:rFonts w:ascii="Times New Roman" w:hAnsi="Times New Roman"/>
          <w:color w:val="000000"/>
          <w:szCs w:val="20"/>
        </w:rPr>
        <w:t xml:space="preserve">, у </w:t>
      </w:r>
      <w:proofErr w:type="spellStart"/>
      <w:r w:rsidRPr="00E16672">
        <w:rPr>
          <w:rFonts w:ascii="Times New Roman" w:hAnsi="Times New Roman"/>
          <w:color w:val="000000"/>
          <w:szCs w:val="20"/>
        </w:rPr>
        <w:t>формі</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електронних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документів</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тощо</w:t>
      </w:r>
      <w:proofErr w:type="spellEnd"/>
      <w:r w:rsidRPr="00E16672">
        <w:rPr>
          <w:rFonts w:ascii="Times New Roman" w:hAnsi="Times New Roman"/>
          <w:color w:val="000000"/>
          <w:szCs w:val="20"/>
        </w:rPr>
        <w:t xml:space="preserve">. У </w:t>
      </w:r>
      <w:proofErr w:type="spellStart"/>
      <w:r w:rsidRPr="00E16672">
        <w:rPr>
          <w:rFonts w:ascii="Times New Roman" w:hAnsi="Times New Roman"/>
          <w:color w:val="000000"/>
          <w:szCs w:val="20"/>
        </w:rPr>
        <w:t>якості</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повідомлення</w:t>
      </w:r>
      <w:proofErr w:type="spellEnd"/>
      <w:r w:rsidRPr="00E16672">
        <w:rPr>
          <w:rFonts w:ascii="Times New Roman" w:hAnsi="Times New Roman"/>
          <w:color w:val="000000"/>
          <w:szCs w:val="20"/>
        </w:rPr>
        <w:t xml:space="preserve"> про </w:t>
      </w:r>
      <w:proofErr w:type="spellStart"/>
      <w:r w:rsidRPr="00E16672">
        <w:rPr>
          <w:rFonts w:ascii="Times New Roman" w:hAnsi="Times New Roman"/>
          <w:color w:val="000000"/>
          <w:szCs w:val="20"/>
        </w:rPr>
        <w:t>прийняття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розпорядження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може</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надаватися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виписка</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довідка</w:t>
      </w:r>
      <w:proofErr w:type="spellEnd"/>
      <w:r w:rsidRPr="00E16672">
        <w:rPr>
          <w:rFonts w:ascii="Times New Roman" w:hAnsi="Times New Roman"/>
          <w:color w:val="000000"/>
          <w:szCs w:val="20"/>
        </w:rPr>
        <w:t xml:space="preserve">) з </w:t>
      </w:r>
      <w:proofErr w:type="spellStart"/>
      <w:r w:rsidRPr="00E16672">
        <w:rPr>
          <w:rFonts w:ascii="Times New Roman" w:hAnsi="Times New Roman"/>
          <w:color w:val="000000"/>
          <w:szCs w:val="20"/>
        </w:rPr>
        <w:t>рахунку</w:t>
      </w:r>
      <w:proofErr w:type="spellEnd"/>
      <w:r w:rsidRPr="00E16672">
        <w:rPr>
          <w:rFonts w:ascii="Times New Roman" w:hAnsi="Times New Roman"/>
          <w:color w:val="000000"/>
          <w:szCs w:val="20"/>
        </w:rPr>
        <w:t xml:space="preserve"> </w:t>
      </w:r>
      <w:r w:rsidR="00C22309" w:rsidRPr="00E16672">
        <w:rPr>
          <w:rFonts w:ascii="Times New Roman" w:hAnsi="Times New Roman"/>
          <w:color w:val="000000"/>
          <w:szCs w:val="20"/>
        </w:rPr>
        <w:t xml:space="preserve">в </w:t>
      </w:r>
      <w:proofErr w:type="spellStart"/>
      <w:r w:rsidR="00C22309" w:rsidRPr="00E16672">
        <w:rPr>
          <w:rFonts w:ascii="Times New Roman" w:hAnsi="Times New Roman"/>
          <w:color w:val="000000"/>
          <w:szCs w:val="20"/>
        </w:rPr>
        <w:t>цін</w:t>
      </w:r>
      <w:r w:rsidRPr="00E16672">
        <w:rPr>
          <w:rFonts w:ascii="Times New Roman" w:hAnsi="Times New Roman"/>
          <w:color w:val="000000"/>
          <w:szCs w:val="20"/>
        </w:rPr>
        <w:t>них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паперах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свідоцтво</w:t>
      </w:r>
      <w:proofErr w:type="spellEnd"/>
      <w:r w:rsidRPr="00E16672">
        <w:rPr>
          <w:rFonts w:ascii="Times New Roman" w:hAnsi="Times New Roman"/>
          <w:color w:val="000000"/>
          <w:szCs w:val="20"/>
        </w:rPr>
        <w:t xml:space="preserve"> про </w:t>
      </w:r>
      <w:proofErr w:type="spellStart"/>
      <w:r w:rsidRPr="00E16672">
        <w:rPr>
          <w:rFonts w:ascii="Times New Roman" w:hAnsi="Times New Roman"/>
          <w:color w:val="000000"/>
          <w:szCs w:val="20"/>
        </w:rPr>
        <w:t>закриття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рахунку</w:t>
      </w:r>
      <w:proofErr w:type="spellEnd"/>
      <w:r w:rsidRPr="00E16672">
        <w:rPr>
          <w:rFonts w:ascii="Times New Roman" w:hAnsi="Times New Roman"/>
          <w:color w:val="000000"/>
          <w:szCs w:val="20"/>
        </w:rPr>
        <w:t xml:space="preserve"> </w:t>
      </w:r>
      <w:r w:rsidR="00C22309" w:rsidRPr="00E16672">
        <w:rPr>
          <w:rFonts w:ascii="Times New Roman" w:hAnsi="Times New Roman"/>
          <w:color w:val="000000"/>
          <w:szCs w:val="20"/>
        </w:rPr>
        <w:t xml:space="preserve">в </w:t>
      </w:r>
      <w:proofErr w:type="spellStart"/>
      <w:r w:rsidR="00C22309" w:rsidRPr="00E16672">
        <w:rPr>
          <w:rFonts w:ascii="Times New Roman" w:hAnsi="Times New Roman"/>
          <w:color w:val="000000"/>
          <w:szCs w:val="20"/>
        </w:rPr>
        <w:t>цін</w:t>
      </w:r>
      <w:r w:rsidRPr="00E16672">
        <w:rPr>
          <w:rFonts w:ascii="Times New Roman" w:hAnsi="Times New Roman"/>
          <w:color w:val="000000"/>
          <w:szCs w:val="20"/>
        </w:rPr>
        <w:t>них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паперах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або</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інший</w:t>
      </w:r>
      <w:proofErr w:type="spellEnd"/>
      <w:r w:rsidRPr="00E16672">
        <w:rPr>
          <w:rFonts w:ascii="Times New Roman" w:hAnsi="Times New Roman"/>
          <w:color w:val="000000"/>
          <w:szCs w:val="20"/>
        </w:rPr>
        <w:t xml:space="preserve"> документ </w:t>
      </w:r>
      <w:proofErr w:type="spellStart"/>
      <w:r w:rsidRPr="00E16672">
        <w:rPr>
          <w:rFonts w:ascii="Times New Roman" w:hAnsi="Times New Roman"/>
          <w:color w:val="000000"/>
          <w:szCs w:val="20"/>
        </w:rPr>
        <w:t>згідно</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внутрішніх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документів</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Депозитарної</w:t>
      </w:r>
      <w:proofErr w:type="spellEnd"/>
      <w:r w:rsidRPr="00E16672">
        <w:rPr>
          <w:rFonts w:ascii="Times New Roman" w:hAnsi="Times New Roman"/>
          <w:color w:val="000000"/>
          <w:szCs w:val="20"/>
        </w:rPr>
        <w:t xml:space="preserve"> установи, </w:t>
      </w:r>
      <w:proofErr w:type="spellStart"/>
      <w:r w:rsidRPr="00E16672">
        <w:rPr>
          <w:rFonts w:ascii="Times New Roman" w:hAnsi="Times New Roman"/>
          <w:color w:val="000000"/>
          <w:szCs w:val="20"/>
        </w:rPr>
        <w:t>що</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підтверджує</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виконання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розпорядження</w:t>
      </w:r>
      <w:proofErr w:type="spellEnd"/>
      <w:r w:rsidRPr="00E16672">
        <w:rPr>
          <w:rFonts w:ascii="Times New Roman" w:hAnsi="Times New Roman"/>
          <w:color w:val="000000"/>
          <w:szCs w:val="20"/>
        </w:rPr>
        <w:t>.</w:t>
      </w:r>
    </w:p>
    <w:p w14:paraId="50172777" w14:textId="77777777" w:rsidR="007974E8" w:rsidRPr="00E16672" w:rsidRDefault="007974E8" w:rsidP="007974E8">
      <w:pPr>
        <w:ind w:firstLine="561"/>
        <w:rPr>
          <w:rFonts w:ascii="Times New Roman" w:hAnsi="Times New Roman"/>
          <w:color w:val="000000"/>
          <w:szCs w:val="20"/>
        </w:rPr>
      </w:pPr>
      <w:r w:rsidRPr="00E16672">
        <w:rPr>
          <w:rFonts w:ascii="Times New Roman" w:hAnsi="Times New Roman"/>
          <w:color w:val="000000"/>
          <w:szCs w:val="20"/>
        </w:rPr>
        <w:t xml:space="preserve">3.10. </w:t>
      </w:r>
      <w:proofErr w:type="spellStart"/>
      <w:r w:rsidRPr="00E16672">
        <w:rPr>
          <w:rFonts w:ascii="Times New Roman" w:hAnsi="Times New Roman"/>
          <w:color w:val="000000"/>
          <w:szCs w:val="20"/>
        </w:rPr>
        <w:t>Облікові</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операції</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які</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були</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ініційовані</w:t>
      </w:r>
      <w:proofErr w:type="spellEnd"/>
      <w:r w:rsidRPr="00E16672">
        <w:rPr>
          <w:rFonts w:ascii="Times New Roman" w:hAnsi="Times New Roman"/>
          <w:color w:val="000000"/>
          <w:szCs w:val="20"/>
        </w:rPr>
        <w:t xml:space="preserve"> Депозитарною </w:t>
      </w:r>
      <w:proofErr w:type="spellStart"/>
      <w:r w:rsidRPr="00E16672">
        <w:rPr>
          <w:rFonts w:ascii="Times New Roman" w:hAnsi="Times New Roman"/>
          <w:color w:val="000000"/>
          <w:szCs w:val="20"/>
        </w:rPr>
        <w:t>установою</w:t>
      </w:r>
      <w:proofErr w:type="spellEnd"/>
      <w:r w:rsidRPr="00E16672">
        <w:rPr>
          <w:rFonts w:ascii="Times New Roman" w:hAnsi="Times New Roman"/>
          <w:color w:val="000000"/>
          <w:szCs w:val="20"/>
        </w:rPr>
        <w:t xml:space="preserve"> у </w:t>
      </w:r>
      <w:proofErr w:type="spellStart"/>
      <w:r w:rsidRPr="00E16672">
        <w:rPr>
          <w:rFonts w:ascii="Times New Roman" w:hAnsi="Times New Roman"/>
          <w:color w:val="000000"/>
          <w:szCs w:val="20"/>
        </w:rPr>
        <w:t>депозитарії</w:t>
      </w:r>
      <w:proofErr w:type="spellEnd"/>
      <w:r w:rsidRPr="00E16672">
        <w:rPr>
          <w:rFonts w:ascii="Times New Roman" w:hAnsi="Times New Roman"/>
          <w:color w:val="000000"/>
          <w:szCs w:val="20"/>
        </w:rPr>
        <w:t xml:space="preserve">, але не </w:t>
      </w:r>
      <w:proofErr w:type="spellStart"/>
      <w:r w:rsidRPr="00E16672">
        <w:rPr>
          <w:rFonts w:ascii="Times New Roman" w:hAnsi="Times New Roman"/>
          <w:color w:val="000000"/>
          <w:szCs w:val="20"/>
        </w:rPr>
        <w:t>були</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завершені</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протягом</w:t>
      </w:r>
      <w:proofErr w:type="spellEnd"/>
      <w:r w:rsidRPr="00E16672">
        <w:rPr>
          <w:rFonts w:ascii="Times New Roman" w:hAnsi="Times New Roman"/>
          <w:color w:val="000000"/>
          <w:szCs w:val="20"/>
        </w:rPr>
        <w:t xml:space="preserve"> </w:t>
      </w:r>
      <w:proofErr w:type="spellStart"/>
      <w:r w:rsidRPr="00E16672">
        <w:rPr>
          <w:rFonts w:ascii="Times New Roman" w:hAnsi="Times New Roman"/>
          <w:i/>
          <w:color w:val="000000"/>
          <w:szCs w:val="20"/>
        </w:rPr>
        <w:t>трьох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робочих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днів</w:t>
      </w:r>
      <w:proofErr w:type="spellEnd"/>
      <w:r w:rsidRPr="00E16672">
        <w:rPr>
          <w:rFonts w:ascii="Times New Roman" w:hAnsi="Times New Roman"/>
          <w:color w:val="000000"/>
          <w:szCs w:val="20"/>
        </w:rPr>
        <w:t xml:space="preserve"> за </w:t>
      </w:r>
      <w:proofErr w:type="spellStart"/>
      <w:r w:rsidRPr="00E16672">
        <w:rPr>
          <w:rFonts w:ascii="Times New Roman" w:hAnsi="Times New Roman"/>
          <w:color w:val="000000"/>
          <w:szCs w:val="20"/>
        </w:rPr>
        <w:t>підстав</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які</w:t>
      </w:r>
      <w:proofErr w:type="spellEnd"/>
      <w:r w:rsidRPr="00E16672">
        <w:rPr>
          <w:rFonts w:ascii="Times New Roman" w:hAnsi="Times New Roman"/>
          <w:color w:val="000000"/>
          <w:szCs w:val="20"/>
        </w:rPr>
        <w:t xml:space="preserve"> не </w:t>
      </w:r>
      <w:proofErr w:type="spellStart"/>
      <w:r w:rsidRPr="00E16672">
        <w:rPr>
          <w:rFonts w:ascii="Times New Roman" w:hAnsi="Times New Roman"/>
          <w:color w:val="000000"/>
          <w:szCs w:val="20"/>
        </w:rPr>
        <w:t>залежать</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від</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Депозитарної</w:t>
      </w:r>
      <w:proofErr w:type="spellEnd"/>
      <w:r w:rsidRPr="00E16672">
        <w:rPr>
          <w:rFonts w:ascii="Times New Roman" w:hAnsi="Times New Roman"/>
          <w:color w:val="000000"/>
          <w:szCs w:val="20"/>
        </w:rPr>
        <w:t xml:space="preserve"> установи (</w:t>
      </w:r>
      <w:proofErr w:type="spellStart"/>
      <w:r w:rsidRPr="00E16672">
        <w:rPr>
          <w:rFonts w:ascii="Times New Roman" w:hAnsi="Times New Roman"/>
          <w:color w:val="000000"/>
          <w:szCs w:val="20"/>
        </w:rPr>
        <w:t>розпорядження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Депозитарної</w:t>
      </w:r>
      <w:proofErr w:type="spellEnd"/>
      <w:r w:rsidRPr="00E16672">
        <w:rPr>
          <w:rFonts w:ascii="Times New Roman" w:hAnsi="Times New Roman"/>
          <w:color w:val="000000"/>
          <w:szCs w:val="20"/>
        </w:rPr>
        <w:t xml:space="preserve"> установи не </w:t>
      </w:r>
      <w:proofErr w:type="spellStart"/>
      <w:r w:rsidRPr="00E16672">
        <w:rPr>
          <w:rFonts w:ascii="Times New Roman" w:hAnsi="Times New Roman"/>
          <w:color w:val="000000"/>
          <w:szCs w:val="20"/>
        </w:rPr>
        <w:t>було</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відповідно</w:t>
      </w:r>
      <w:proofErr w:type="spellEnd"/>
      <w:r w:rsidRPr="00E16672">
        <w:rPr>
          <w:rFonts w:ascii="Times New Roman" w:hAnsi="Times New Roman"/>
          <w:color w:val="000000"/>
          <w:szCs w:val="20"/>
        </w:rPr>
        <w:t xml:space="preserve"> до </w:t>
      </w:r>
      <w:proofErr w:type="spellStart"/>
      <w:r w:rsidRPr="00E16672">
        <w:rPr>
          <w:rFonts w:ascii="Times New Roman" w:hAnsi="Times New Roman"/>
          <w:color w:val="000000"/>
          <w:szCs w:val="20"/>
        </w:rPr>
        <w:t>внутрішніх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документів</w:t>
      </w:r>
      <w:proofErr w:type="spellEnd"/>
      <w:r w:rsidRPr="00E16672">
        <w:rPr>
          <w:rFonts w:ascii="Times New Roman" w:hAnsi="Times New Roman"/>
          <w:color w:val="000000"/>
          <w:szCs w:val="20"/>
        </w:rPr>
        <w:t xml:space="preserve"> Центрального </w:t>
      </w:r>
      <w:proofErr w:type="spellStart"/>
      <w:r w:rsidRPr="00E16672">
        <w:rPr>
          <w:rFonts w:ascii="Times New Roman" w:hAnsi="Times New Roman"/>
          <w:color w:val="000000"/>
          <w:szCs w:val="20"/>
        </w:rPr>
        <w:t>депозитарію</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занесене</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Центральним</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депозитарієм</w:t>
      </w:r>
      <w:proofErr w:type="spellEnd"/>
      <w:r w:rsidRPr="00E16672">
        <w:rPr>
          <w:rFonts w:ascii="Times New Roman" w:hAnsi="Times New Roman"/>
          <w:color w:val="000000"/>
          <w:szCs w:val="20"/>
        </w:rPr>
        <w:t xml:space="preserve"> до </w:t>
      </w:r>
      <w:proofErr w:type="spellStart"/>
      <w:r w:rsidRPr="00E16672">
        <w:rPr>
          <w:rFonts w:ascii="Times New Roman" w:hAnsi="Times New Roman"/>
          <w:color w:val="000000"/>
          <w:szCs w:val="20"/>
        </w:rPr>
        <w:t>відомості</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сквитованих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розпоряджень</w:t>
      </w:r>
      <w:proofErr w:type="spellEnd"/>
      <w:r w:rsidRPr="00E16672">
        <w:rPr>
          <w:rFonts w:ascii="Times New Roman" w:hAnsi="Times New Roman"/>
          <w:color w:val="000000"/>
          <w:szCs w:val="20"/>
        </w:rPr>
        <w:t xml:space="preserve"> на поставку/</w:t>
      </w:r>
      <w:proofErr w:type="spellStart"/>
      <w:r w:rsidRPr="00E16672">
        <w:rPr>
          <w:rFonts w:ascii="Times New Roman" w:hAnsi="Times New Roman"/>
          <w:color w:val="000000"/>
          <w:szCs w:val="20"/>
        </w:rPr>
        <w:t>одержання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цінних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паперів</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можуть</w:t>
      </w:r>
      <w:proofErr w:type="spellEnd"/>
      <w:r w:rsidRPr="00E16672">
        <w:rPr>
          <w:rFonts w:ascii="Times New Roman" w:hAnsi="Times New Roman"/>
          <w:color w:val="000000"/>
          <w:szCs w:val="20"/>
        </w:rPr>
        <w:t xml:space="preserve"> бути </w:t>
      </w:r>
      <w:proofErr w:type="spellStart"/>
      <w:r w:rsidRPr="00E16672">
        <w:rPr>
          <w:rFonts w:ascii="Times New Roman" w:hAnsi="Times New Roman"/>
          <w:color w:val="000000"/>
          <w:szCs w:val="20"/>
        </w:rPr>
        <w:t>відмінені</w:t>
      </w:r>
      <w:proofErr w:type="spellEnd"/>
      <w:r w:rsidRPr="00E16672">
        <w:rPr>
          <w:rFonts w:ascii="Times New Roman" w:hAnsi="Times New Roman"/>
          <w:color w:val="000000"/>
          <w:szCs w:val="20"/>
        </w:rPr>
        <w:t xml:space="preserve"> ним у </w:t>
      </w:r>
      <w:proofErr w:type="spellStart"/>
      <w:r w:rsidRPr="00E16672">
        <w:rPr>
          <w:rFonts w:ascii="Times New Roman" w:hAnsi="Times New Roman"/>
          <w:color w:val="000000"/>
          <w:szCs w:val="20"/>
        </w:rPr>
        <w:t>випадку</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отримання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від</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Керуючого</w:t>
      </w:r>
      <w:proofErr w:type="spellEnd"/>
      <w:r w:rsidRPr="00E16672">
        <w:rPr>
          <w:rFonts w:ascii="Times New Roman" w:hAnsi="Times New Roman"/>
          <w:color w:val="000000"/>
          <w:szCs w:val="20"/>
        </w:rPr>
        <w:t xml:space="preserve"> </w:t>
      </w:r>
      <w:r w:rsidRPr="00E16672">
        <w:rPr>
          <w:rFonts w:ascii="Times New Roman" w:hAnsi="Times New Roman"/>
          <w:color w:val="000000"/>
          <w:szCs w:val="20"/>
          <w:lang w:val="uk-UA"/>
        </w:rPr>
        <w:t>рахунком</w:t>
      </w:r>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відповідного</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розпорядження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відміни</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анулювання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його</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попереднього</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розпорядження</w:t>
      </w:r>
      <w:proofErr w:type="spellEnd"/>
      <w:r w:rsidRPr="00E16672">
        <w:rPr>
          <w:rFonts w:ascii="Times New Roman" w:hAnsi="Times New Roman"/>
          <w:color w:val="000000"/>
          <w:szCs w:val="20"/>
        </w:rPr>
        <w:t>.</w:t>
      </w:r>
    </w:p>
    <w:p w14:paraId="2351EE01" w14:textId="77777777" w:rsidR="007974E8" w:rsidRPr="00E16672" w:rsidRDefault="007974E8" w:rsidP="007974E8">
      <w:pPr>
        <w:pStyle w:val="af"/>
        <w:rPr>
          <w:rFonts w:ascii="Times New Roman" w:eastAsia="Times New Roman" w:hAnsi="Times New Roman" w:cs="Times New Roman"/>
          <w:color w:val="000000"/>
        </w:rPr>
      </w:pPr>
    </w:p>
    <w:p w14:paraId="192453D0" w14:textId="77777777" w:rsidR="007974E8" w:rsidRPr="00E16672" w:rsidRDefault="007974E8" w:rsidP="007974E8">
      <w:pPr>
        <w:tabs>
          <w:tab w:val="left" w:pos="0"/>
        </w:tabs>
        <w:jc w:val="center"/>
        <w:rPr>
          <w:rFonts w:ascii="Times New Roman" w:hAnsi="Times New Roman"/>
          <w:b/>
          <w:color w:val="000000"/>
          <w:szCs w:val="20"/>
        </w:rPr>
      </w:pPr>
      <w:r w:rsidRPr="00E16672">
        <w:rPr>
          <w:rFonts w:ascii="Times New Roman" w:hAnsi="Times New Roman"/>
          <w:b/>
          <w:color w:val="000000"/>
          <w:szCs w:val="20"/>
        </w:rPr>
        <w:t xml:space="preserve">4. </w:t>
      </w:r>
      <w:proofErr w:type="spellStart"/>
      <w:r w:rsidRPr="00E16672">
        <w:rPr>
          <w:rFonts w:ascii="Times New Roman" w:hAnsi="Times New Roman"/>
          <w:b/>
          <w:color w:val="000000"/>
          <w:szCs w:val="20"/>
        </w:rPr>
        <w:t>Тарифи</w:t>
      </w:r>
      <w:proofErr w:type="spellEnd"/>
      <w:r w:rsidRPr="00E16672">
        <w:rPr>
          <w:rFonts w:ascii="Times New Roman" w:hAnsi="Times New Roman"/>
          <w:b/>
          <w:color w:val="000000"/>
          <w:szCs w:val="20"/>
        </w:rPr>
        <w:t xml:space="preserve"> на </w:t>
      </w:r>
      <w:proofErr w:type="spellStart"/>
      <w:r w:rsidRPr="00E16672">
        <w:rPr>
          <w:rFonts w:ascii="Times New Roman" w:hAnsi="Times New Roman"/>
          <w:b/>
          <w:color w:val="000000"/>
          <w:szCs w:val="20"/>
        </w:rPr>
        <w:t>послуги</w:t>
      </w:r>
      <w:proofErr w:type="spellEnd"/>
      <w:r w:rsidRPr="00E16672">
        <w:rPr>
          <w:rFonts w:ascii="Times New Roman" w:hAnsi="Times New Roman"/>
          <w:b/>
          <w:color w:val="000000"/>
          <w:szCs w:val="20"/>
        </w:rPr>
        <w:t xml:space="preserve"> та порядок </w:t>
      </w:r>
      <w:proofErr w:type="spellStart"/>
      <w:r w:rsidRPr="00E16672">
        <w:rPr>
          <w:rFonts w:ascii="Times New Roman" w:hAnsi="Times New Roman"/>
          <w:b/>
          <w:color w:val="000000"/>
          <w:szCs w:val="20"/>
        </w:rPr>
        <w:t>розрахунків</w:t>
      </w:r>
      <w:proofErr w:type="spellEnd"/>
      <w:r w:rsidRPr="00E16672">
        <w:rPr>
          <w:rFonts w:ascii="Times New Roman" w:hAnsi="Times New Roman"/>
          <w:b/>
          <w:color w:val="000000"/>
          <w:szCs w:val="20"/>
        </w:rPr>
        <w:t xml:space="preserve"> за </w:t>
      </w:r>
      <w:proofErr w:type="spellStart"/>
      <w:r w:rsidRPr="00E16672">
        <w:rPr>
          <w:rFonts w:ascii="Times New Roman" w:hAnsi="Times New Roman"/>
          <w:b/>
          <w:color w:val="000000"/>
          <w:szCs w:val="20"/>
        </w:rPr>
        <w:t>надані</w:t>
      </w:r>
      <w:proofErr w:type="spellEnd"/>
      <w:r w:rsidRPr="00E16672">
        <w:rPr>
          <w:rFonts w:ascii="Times New Roman" w:hAnsi="Times New Roman"/>
          <w:b/>
          <w:color w:val="000000"/>
          <w:szCs w:val="20"/>
        </w:rPr>
        <w:t xml:space="preserve"> </w:t>
      </w:r>
      <w:proofErr w:type="spellStart"/>
      <w:r w:rsidRPr="00E16672">
        <w:rPr>
          <w:rFonts w:ascii="Times New Roman" w:hAnsi="Times New Roman"/>
          <w:b/>
          <w:color w:val="000000"/>
          <w:szCs w:val="20"/>
        </w:rPr>
        <w:t>послуги</w:t>
      </w:r>
      <w:proofErr w:type="spellEnd"/>
    </w:p>
    <w:p w14:paraId="21B015ED" w14:textId="77777777" w:rsidR="007974E8" w:rsidRPr="00E16672" w:rsidRDefault="007974E8" w:rsidP="007974E8">
      <w:pPr>
        <w:pStyle w:val="310"/>
        <w:ind w:firstLine="561"/>
        <w:rPr>
          <w:rFonts w:ascii="Times New Roman" w:hAnsi="Times New Roman"/>
          <w:color w:val="000000"/>
          <w:sz w:val="20"/>
          <w:szCs w:val="20"/>
        </w:rPr>
      </w:pPr>
      <w:r w:rsidRPr="00E16672">
        <w:rPr>
          <w:rFonts w:ascii="Times New Roman" w:hAnsi="Times New Roman"/>
          <w:color w:val="000000"/>
          <w:sz w:val="20"/>
          <w:szCs w:val="20"/>
        </w:rPr>
        <w:t xml:space="preserve">4.1. </w:t>
      </w:r>
      <w:r w:rsidRPr="00E16672">
        <w:rPr>
          <w:rFonts w:ascii="Times New Roman" w:hAnsi="Times New Roman"/>
          <w:sz w:val="20"/>
          <w:szCs w:val="20"/>
        </w:rPr>
        <w:t xml:space="preserve">Тарифи на депозитарні послуги Депозитарної установи встановлюються Депозитарною установою самостійно. </w:t>
      </w:r>
      <w:r w:rsidRPr="00E16672">
        <w:rPr>
          <w:rFonts w:ascii="Times New Roman" w:hAnsi="Times New Roman"/>
          <w:color w:val="000000"/>
          <w:sz w:val="20"/>
          <w:szCs w:val="20"/>
        </w:rPr>
        <w:t xml:space="preserve">Підписавши цей Договір, Депонент (Керуючий) погоджується з тарифами, встановленими Депозитарною установою на дату укладення Договору, які оприлюднені на </w:t>
      </w:r>
      <w:r w:rsidRPr="00E16672">
        <w:rPr>
          <w:rFonts w:ascii="Times New Roman" w:hAnsi="Times New Roman"/>
          <w:bCs/>
          <w:color w:val="000000"/>
          <w:sz w:val="20"/>
          <w:szCs w:val="20"/>
        </w:rPr>
        <w:t xml:space="preserve">веб-сторінці Депозитарної установи </w:t>
      </w:r>
      <w:hyperlink r:id="rId35" w:history="1">
        <w:r w:rsidR="00E16672">
          <w:rPr>
            <w:rFonts w:ascii="Times New Roman" w:hAnsi="Times New Roman"/>
            <w:bCs/>
            <w:color w:val="000000"/>
            <w:sz w:val="20"/>
            <w:szCs w:val="20"/>
          </w:rPr>
          <w:t>http://comex.uafin.net</w:t>
        </w:r>
      </w:hyperlink>
      <w:r w:rsidRPr="00E16672">
        <w:rPr>
          <w:rFonts w:ascii="Times New Roman" w:hAnsi="Times New Roman"/>
          <w:color w:val="000000"/>
          <w:sz w:val="20"/>
          <w:szCs w:val="20"/>
        </w:rPr>
        <w:t>.</w:t>
      </w:r>
    </w:p>
    <w:p w14:paraId="7B45E3E2" w14:textId="77777777" w:rsidR="007974E8" w:rsidRPr="00E16672" w:rsidRDefault="007974E8" w:rsidP="007974E8">
      <w:pPr>
        <w:ind w:firstLine="532"/>
        <w:rPr>
          <w:rFonts w:ascii="Times New Roman" w:hAnsi="Times New Roman"/>
          <w:color w:val="000000"/>
          <w:szCs w:val="20"/>
          <w:lang w:val="uk-UA"/>
        </w:rPr>
      </w:pPr>
      <w:r w:rsidRPr="00E16672">
        <w:rPr>
          <w:rFonts w:ascii="Times New Roman" w:hAnsi="Times New Roman"/>
          <w:color w:val="000000"/>
          <w:szCs w:val="20"/>
          <w:lang w:val="uk-UA"/>
        </w:rPr>
        <w:t xml:space="preserve">Депозитарна установа  повідомляє про зміни до тарифів на послуги  шляхом розміщення змінених тарифів на </w:t>
      </w:r>
      <w:r w:rsidRPr="00E16672">
        <w:rPr>
          <w:rFonts w:ascii="Times New Roman" w:hAnsi="Times New Roman"/>
          <w:bCs/>
          <w:color w:val="000000"/>
          <w:szCs w:val="20"/>
          <w:lang w:val="uk-UA"/>
        </w:rPr>
        <w:t xml:space="preserve">веб-сторінці Депозитарної установи </w:t>
      </w:r>
      <w:hyperlink r:id="rId36" w:history="1">
        <w:r w:rsidR="00E16672">
          <w:rPr>
            <w:rFonts w:ascii="Times New Roman" w:hAnsi="Times New Roman"/>
            <w:bCs/>
            <w:color w:val="000000"/>
            <w:szCs w:val="20"/>
          </w:rPr>
          <w:t>http</w:t>
        </w:r>
        <w:r w:rsidR="00E16672" w:rsidRPr="00E16672">
          <w:rPr>
            <w:rFonts w:ascii="Times New Roman" w:hAnsi="Times New Roman"/>
            <w:bCs/>
            <w:color w:val="000000"/>
            <w:szCs w:val="20"/>
            <w:lang w:val="uk-UA"/>
          </w:rPr>
          <w:t>://</w:t>
        </w:r>
        <w:r w:rsidR="00E16672">
          <w:rPr>
            <w:rFonts w:ascii="Times New Roman" w:hAnsi="Times New Roman"/>
            <w:bCs/>
            <w:color w:val="000000"/>
            <w:szCs w:val="20"/>
          </w:rPr>
          <w:t>comex</w:t>
        </w:r>
        <w:r w:rsidR="00E16672" w:rsidRPr="00E16672">
          <w:rPr>
            <w:rFonts w:ascii="Times New Roman" w:hAnsi="Times New Roman"/>
            <w:bCs/>
            <w:color w:val="000000"/>
            <w:szCs w:val="20"/>
            <w:lang w:val="uk-UA"/>
          </w:rPr>
          <w:t>.</w:t>
        </w:r>
        <w:r w:rsidR="00E16672">
          <w:rPr>
            <w:rFonts w:ascii="Times New Roman" w:hAnsi="Times New Roman"/>
            <w:bCs/>
            <w:color w:val="000000"/>
            <w:szCs w:val="20"/>
          </w:rPr>
          <w:t>uafin</w:t>
        </w:r>
        <w:r w:rsidR="00E16672" w:rsidRPr="00E16672">
          <w:rPr>
            <w:rFonts w:ascii="Times New Roman" w:hAnsi="Times New Roman"/>
            <w:bCs/>
            <w:color w:val="000000"/>
            <w:szCs w:val="20"/>
            <w:lang w:val="uk-UA"/>
          </w:rPr>
          <w:t>.</w:t>
        </w:r>
        <w:proofErr w:type="spellStart"/>
        <w:r w:rsidR="00E16672">
          <w:rPr>
            <w:rFonts w:ascii="Times New Roman" w:hAnsi="Times New Roman"/>
            <w:bCs/>
            <w:color w:val="000000"/>
            <w:szCs w:val="20"/>
          </w:rPr>
          <w:t>net</w:t>
        </w:r>
        <w:proofErr w:type="spellEnd"/>
      </w:hyperlink>
      <w:r w:rsidRPr="00E16672">
        <w:rPr>
          <w:rFonts w:ascii="Times New Roman" w:hAnsi="Times New Roman"/>
          <w:bCs/>
          <w:color w:val="000000"/>
          <w:szCs w:val="20"/>
          <w:lang w:val="uk-UA"/>
        </w:rPr>
        <w:t xml:space="preserve"> </w:t>
      </w:r>
      <w:r w:rsidRPr="00E16672">
        <w:rPr>
          <w:rFonts w:ascii="Times New Roman" w:hAnsi="Times New Roman"/>
          <w:color w:val="000000"/>
          <w:szCs w:val="20"/>
          <w:lang w:val="uk-UA"/>
        </w:rPr>
        <w:t xml:space="preserve">протягом </w:t>
      </w:r>
      <w:r w:rsidRPr="00E16672">
        <w:rPr>
          <w:rFonts w:ascii="Times New Roman" w:hAnsi="Times New Roman"/>
          <w:i/>
          <w:color w:val="000000"/>
          <w:szCs w:val="20"/>
          <w:lang w:val="uk-UA"/>
        </w:rPr>
        <w:t>п'яти</w:t>
      </w:r>
      <w:r w:rsidRPr="00E16672">
        <w:rPr>
          <w:rFonts w:ascii="Times New Roman" w:hAnsi="Times New Roman"/>
          <w:color w:val="000000"/>
          <w:szCs w:val="20"/>
          <w:lang w:val="uk-UA"/>
        </w:rPr>
        <w:t xml:space="preserve"> робочих днів після затвердження відповідних змін. Змінені тарифи використовуються Сторонами для визначення вартості операцій на дату надання послуг.</w:t>
      </w:r>
    </w:p>
    <w:p w14:paraId="43445D8C" w14:textId="77777777" w:rsidR="007974E8" w:rsidRPr="00E16672" w:rsidRDefault="007974E8" w:rsidP="007974E8">
      <w:pPr>
        <w:ind w:firstLine="532"/>
        <w:rPr>
          <w:rFonts w:ascii="Times New Roman" w:hAnsi="Times New Roman"/>
          <w:color w:val="000000"/>
          <w:szCs w:val="20"/>
          <w:lang w:val="uk-UA"/>
        </w:rPr>
      </w:pPr>
      <w:r w:rsidRPr="00E16672">
        <w:rPr>
          <w:rFonts w:ascii="Times New Roman" w:hAnsi="Times New Roman"/>
          <w:color w:val="000000"/>
          <w:szCs w:val="20"/>
          <w:lang w:val="uk-UA"/>
        </w:rPr>
        <w:t>Депонент</w:t>
      </w:r>
      <w:r w:rsidR="00E357FB" w:rsidRPr="00E16672">
        <w:rPr>
          <w:rFonts w:ascii="Times New Roman" w:hAnsi="Times New Roman"/>
          <w:color w:val="000000"/>
          <w:szCs w:val="20"/>
          <w:lang w:val="uk-UA"/>
        </w:rPr>
        <w:t xml:space="preserve"> </w:t>
      </w:r>
      <w:r w:rsidRPr="00E16672">
        <w:rPr>
          <w:rFonts w:ascii="Times New Roman" w:hAnsi="Times New Roman"/>
          <w:color w:val="000000"/>
          <w:szCs w:val="20"/>
        </w:rPr>
        <w:t>(</w:t>
      </w:r>
      <w:proofErr w:type="spellStart"/>
      <w:r w:rsidRPr="00E16672">
        <w:rPr>
          <w:rFonts w:ascii="Times New Roman" w:hAnsi="Times New Roman"/>
          <w:color w:val="000000"/>
          <w:szCs w:val="20"/>
        </w:rPr>
        <w:t>Керуючий</w:t>
      </w:r>
      <w:proofErr w:type="spellEnd"/>
      <w:r w:rsidRPr="00E16672">
        <w:rPr>
          <w:rFonts w:ascii="Times New Roman" w:hAnsi="Times New Roman"/>
          <w:color w:val="000000"/>
          <w:szCs w:val="20"/>
          <w:lang w:val="uk-UA"/>
        </w:rPr>
        <w:t xml:space="preserve"> рахунком</w:t>
      </w:r>
      <w:r w:rsidRPr="00E16672">
        <w:rPr>
          <w:rFonts w:ascii="Times New Roman" w:hAnsi="Times New Roman"/>
          <w:color w:val="000000"/>
          <w:szCs w:val="20"/>
        </w:rPr>
        <w:t xml:space="preserve">) </w:t>
      </w:r>
      <w:r w:rsidRPr="00E16672">
        <w:rPr>
          <w:rFonts w:ascii="Times New Roman" w:hAnsi="Times New Roman"/>
          <w:color w:val="000000"/>
          <w:szCs w:val="20"/>
          <w:lang w:val="uk-UA"/>
        </w:rPr>
        <w:t>оплачує послуги Депозитарної установи відповідно до цього Договору та затверджених тарифів Депозитарної установи, що є чинними на дату надання послуг.</w:t>
      </w:r>
    </w:p>
    <w:p w14:paraId="30C594DC" w14:textId="77777777" w:rsidR="007974E8" w:rsidRPr="00E16672" w:rsidRDefault="007974E8" w:rsidP="007974E8">
      <w:pPr>
        <w:pStyle w:val="310"/>
        <w:ind w:firstLine="561"/>
        <w:rPr>
          <w:rFonts w:ascii="Times New Roman" w:hAnsi="Times New Roman"/>
          <w:color w:val="000000"/>
          <w:sz w:val="20"/>
          <w:szCs w:val="20"/>
        </w:rPr>
      </w:pPr>
      <w:r w:rsidRPr="00E16672">
        <w:rPr>
          <w:rFonts w:ascii="Times New Roman" w:hAnsi="Times New Roman"/>
          <w:color w:val="000000"/>
          <w:sz w:val="20"/>
          <w:szCs w:val="20"/>
        </w:rPr>
        <w:t xml:space="preserve">4.2. </w:t>
      </w:r>
      <w:r w:rsidRPr="00E16672">
        <w:rPr>
          <w:rFonts w:ascii="Times New Roman" w:hAnsi="Times New Roman"/>
          <w:sz w:val="20"/>
          <w:szCs w:val="20"/>
        </w:rPr>
        <w:t xml:space="preserve">Оплата за послуги Депозитарної установи </w:t>
      </w:r>
      <w:r w:rsidRPr="00E16672">
        <w:rPr>
          <w:rFonts w:ascii="Times New Roman" w:hAnsi="Times New Roman"/>
          <w:color w:val="000000"/>
          <w:sz w:val="20"/>
          <w:szCs w:val="20"/>
        </w:rPr>
        <w:t>здійснюється не пізніше одного робочого дня з дати підписання акту Депозитарною установою на підставі Акту виконаних операцій Депозитарної установи (якщо інше не передбачено додатковою угодою до цього Договору) або рахунку по реквізитах, вказаних в Акті або рахунку.</w:t>
      </w:r>
    </w:p>
    <w:p w14:paraId="26EC7CF6" w14:textId="77777777" w:rsidR="007974E8" w:rsidRPr="00E16672" w:rsidRDefault="007974E8" w:rsidP="007974E8">
      <w:pPr>
        <w:pStyle w:val="310"/>
        <w:ind w:left="-15" w:firstLine="555"/>
        <w:rPr>
          <w:rFonts w:ascii="Times New Roman" w:hAnsi="Times New Roman"/>
          <w:color w:val="000000"/>
          <w:sz w:val="20"/>
          <w:szCs w:val="20"/>
        </w:rPr>
      </w:pPr>
      <w:r w:rsidRPr="00E16672">
        <w:rPr>
          <w:rFonts w:ascii="Times New Roman" w:hAnsi="Times New Roman"/>
          <w:color w:val="000000"/>
          <w:sz w:val="20"/>
          <w:szCs w:val="20"/>
        </w:rPr>
        <w:t>4.3. Підтвердженням виконання послуг Депозитарної установи є акт виконаних Депозитарною установою операцій, який складається:</w:t>
      </w:r>
    </w:p>
    <w:p w14:paraId="5982B651" w14:textId="77777777" w:rsidR="007974E8" w:rsidRPr="00E16672" w:rsidRDefault="007974E8" w:rsidP="007974E8">
      <w:pPr>
        <w:pStyle w:val="310"/>
        <w:ind w:left="-15" w:firstLine="159"/>
        <w:rPr>
          <w:rFonts w:ascii="Times New Roman" w:hAnsi="Times New Roman"/>
          <w:color w:val="000000"/>
          <w:sz w:val="20"/>
          <w:szCs w:val="20"/>
        </w:rPr>
      </w:pPr>
      <w:r w:rsidRPr="00E16672">
        <w:rPr>
          <w:rFonts w:ascii="Times New Roman" w:hAnsi="Times New Roman"/>
          <w:color w:val="000000"/>
          <w:sz w:val="20"/>
          <w:szCs w:val="20"/>
        </w:rPr>
        <w:t xml:space="preserve">- по виконаним Депозитарною установою адміністративним, обліковим, інформаційним та іншим операціям по рахунку </w:t>
      </w:r>
      <w:r w:rsidR="00C22309" w:rsidRPr="00E16672">
        <w:rPr>
          <w:rFonts w:ascii="Times New Roman" w:hAnsi="Times New Roman"/>
          <w:color w:val="000000"/>
          <w:sz w:val="20"/>
          <w:szCs w:val="20"/>
        </w:rPr>
        <w:t>в цін</w:t>
      </w:r>
      <w:r w:rsidRPr="00E16672">
        <w:rPr>
          <w:rFonts w:ascii="Times New Roman" w:hAnsi="Times New Roman"/>
          <w:color w:val="000000"/>
          <w:sz w:val="20"/>
          <w:szCs w:val="20"/>
        </w:rPr>
        <w:t xml:space="preserve">них паперах - у день проведення операцій або на останній день місяця, в якому їх виконано, підписується Депозитарною установою у двох оригіналах та подається Депоненту (Керуючому) для підписання особисто або направляється поштою в адресу Депонента (Керуючого) (або іншим способом за домовленістю з Депонентом) протягом не більш як </w:t>
      </w:r>
      <w:r w:rsidRPr="00E16672">
        <w:rPr>
          <w:rFonts w:ascii="Times New Roman" w:hAnsi="Times New Roman"/>
          <w:i/>
          <w:color w:val="000000"/>
          <w:sz w:val="20"/>
          <w:szCs w:val="20"/>
        </w:rPr>
        <w:t>п</w:t>
      </w:r>
      <w:r w:rsidRPr="00E16672">
        <w:rPr>
          <w:rFonts w:ascii="Times New Roman" w:hAnsi="Times New Roman"/>
          <w:i/>
          <w:color w:val="000000"/>
          <w:sz w:val="20"/>
          <w:szCs w:val="20"/>
          <w:lang w:val="ru-RU"/>
        </w:rPr>
        <w:t>’</w:t>
      </w:r>
      <w:r w:rsidRPr="00E16672">
        <w:rPr>
          <w:rFonts w:ascii="Times New Roman" w:hAnsi="Times New Roman"/>
          <w:i/>
          <w:color w:val="000000"/>
          <w:sz w:val="20"/>
          <w:szCs w:val="20"/>
        </w:rPr>
        <w:t>ять</w:t>
      </w:r>
      <w:r w:rsidRPr="00E16672">
        <w:rPr>
          <w:rFonts w:ascii="Times New Roman" w:hAnsi="Times New Roman"/>
          <w:color w:val="000000"/>
          <w:sz w:val="20"/>
          <w:szCs w:val="20"/>
        </w:rPr>
        <w:t xml:space="preserve"> робочих днів з моменту підписання;</w:t>
      </w:r>
    </w:p>
    <w:p w14:paraId="0699302C" w14:textId="77777777" w:rsidR="007974E8" w:rsidRPr="00E16672" w:rsidRDefault="007974E8" w:rsidP="007974E8">
      <w:pPr>
        <w:pStyle w:val="310"/>
        <w:ind w:left="-15" w:firstLine="159"/>
        <w:rPr>
          <w:rFonts w:ascii="Times New Roman" w:hAnsi="Times New Roman"/>
          <w:color w:val="000000"/>
          <w:sz w:val="20"/>
          <w:szCs w:val="20"/>
        </w:rPr>
      </w:pPr>
      <w:r w:rsidRPr="00E16672">
        <w:rPr>
          <w:rFonts w:ascii="Times New Roman" w:hAnsi="Times New Roman"/>
          <w:color w:val="000000"/>
          <w:sz w:val="20"/>
          <w:szCs w:val="20"/>
        </w:rPr>
        <w:t xml:space="preserve">- за облік цінних паперів на рахунку </w:t>
      </w:r>
      <w:r w:rsidR="00C22309" w:rsidRPr="00E16672">
        <w:rPr>
          <w:rFonts w:ascii="Times New Roman" w:hAnsi="Times New Roman"/>
          <w:color w:val="000000"/>
          <w:sz w:val="20"/>
          <w:szCs w:val="20"/>
        </w:rPr>
        <w:t>в цін</w:t>
      </w:r>
      <w:r w:rsidRPr="00E16672">
        <w:rPr>
          <w:rFonts w:ascii="Times New Roman" w:hAnsi="Times New Roman"/>
          <w:color w:val="000000"/>
          <w:sz w:val="20"/>
          <w:szCs w:val="20"/>
        </w:rPr>
        <w:t xml:space="preserve">них паперах - на останній день кварталу, в якому їх виконано, підписуються Депозитарною установою у двох оригіналах та подаються Депоненту (Керуючому) для підписання </w:t>
      </w:r>
      <w:proofErr w:type="spellStart"/>
      <w:r w:rsidRPr="00E16672">
        <w:rPr>
          <w:rFonts w:ascii="Times New Roman" w:hAnsi="Times New Roman"/>
          <w:color w:val="000000"/>
          <w:sz w:val="20"/>
          <w:szCs w:val="20"/>
        </w:rPr>
        <w:t>підписання</w:t>
      </w:r>
      <w:proofErr w:type="spellEnd"/>
      <w:r w:rsidRPr="00E16672">
        <w:rPr>
          <w:rFonts w:ascii="Times New Roman" w:hAnsi="Times New Roman"/>
          <w:color w:val="000000"/>
          <w:sz w:val="20"/>
          <w:szCs w:val="20"/>
        </w:rPr>
        <w:t xml:space="preserve"> особисто або направляється поштою в адресу Депонента (Керуючого) (або іншим способом за домовленістю з Депонентом) протягом не більше </w:t>
      </w:r>
      <w:r w:rsidR="002C163A">
        <w:rPr>
          <w:rFonts w:ascii="Times New Roman" w:hAnsi="Times New Roman"/>
          <w:color w:val="000000"/>
          <w:sz w:val="20"/>
          <w:szCs w:val="20"/>
        </w:rPr>
        <w:t>20 (</w:t>
      </w:r>
      <w:r w:rsidRPr="00E16672">
        <w:rPr>
          <w:rFonts w:ascii="Times New Roman" w:hAnsi="Times New Roman"/>
          <w:i/>
          <w:color w:val="000000"/>
          <w:sz w:val="20"/>
          <w:szCs w:val="20"/>
        </w:rPr>
        <w:t>двадцяти</w:t>
      </w:r>
      <w:r w:rsidR="002C163A">
        <w:rPr>
          <w:rFonts w:ascii="Times New Roman" w:hAnsi="Times New Roman"/>
          <w:i/>
          <w:color w:val="000000"/>
          <w:sz w:val="20"/>
          <w:szCs w:val="20"/>
        </w:rPr>
        <w:t>)</w:t>
      </w:r>
      <w:r w:rsidRPr="00E16672">
        <w:rPr>
          <w:rFonts w:ascii="Times New Roman" w:hAnsi="Times New Roman"/>
          <w:color w:val="000000"/>
          <w:sz w:val="20"/>
          <w:szCs w:val="20"/>
        </w:rPr>
        <w:t xml:space="preserve"> робочих днів з моменту підписання. </w:t>
      </w:r>
    </w:p>
    <w:p w14:paraId="3DD9CD4B" w14:textId="77777777" w:rsidR="007974E8" w:rsidRPr="00E16672" w:rsidRDefault="007974E8" w:rsidP="007974E8">
      <w:pPr>
        <w:pStyle w:val="310"/>
        <w:ind w:left="-15" w:firstLine="582"/>
        <w:rPr>
          <w:rFonts w:ascii="Times New Roman" w:hAnsi="Times New Roman"/>
          <w:color w:val="000000"/>
          <w:sz w:val="20"/>
          <w:szCs w:val="20"/>
        </w:rPr>
      </w:pPr>
      <w:r w:rsidRPr="00E16672">
        <w:rPr>
          <w:rFonts w:ascii="Times New Roman" w:hAnsi="Times New Roman"/>
          <w:color w:val="000000"/>
          <w:sz w:val="20"/>
          <w:szCs w:val="20"/>
        </w:rPr>
        <w:t>Депонент (Керуючий рахунком) має підписати та повернути Депозитарній установі один оригінал на протязі </w:t>
      </w:r>
      <w:r w:rsidRPr="00E16672">
        <w:rPr>
          <w:rFonts w:ascii="Times New Roman" w:hAnsi="Times New Roman"/>
          <w:i/>
          <w:color w:val="000000"/>
          <w:sz w:val="20"/>
          <w:szCs w:val="20"/>
        </w:rPr>
        <w:t xml:space="preserve">десяти </w:t>
      </w:r>
      <w:r w:rsidRPr="00E16672">
        <w:rPr>
          <w:rFonts w:ascii="Times New Roman" w:hAnsi="Times New Roman"/>
          <w:color w:val="000000"/>
          <w:sz w:val="20"/>
          <w:szCs w:val="20"/>
        </w:rPr>
        <w:t xml:space="preserve">календарних днів </w:t>
      </w:r>
      <w:r w:rsidRPr="00E16672">
        <w:rPr>
          <w:rFonts w:ascii="Times New Roman" w:hAnsi="Times New Roman"/>
          <w:color w:val="000000"/>
          <w:sz w:val="20"/>
          <w:szCs w:val="20"/>
          <w:lang w:val="ru-RU"/>
        </w:rPr>
        <w:t>з</w:t>
      </w:r>
      <w:r w:rsidRPr="00E16672">
        <w:rPr>
          <w:rFonts w:ascii="Times New Roman" w:hAnsi="Times New Roman"/>
          <w:color w:val="000000"/>
          <w:sz w:val="20"/>
          <w:szCs w:val="20"/>
        </w:rPr>
        <w:t xml:space="preserve"> моменту отримання. У разі неповернення акту послуги вважаються наданими без заперечень.</w:t>
      </w:r>
    </w:p>
    <w:p w14:paraId="67A590C2" w14:textId="77777777" w:rsidR="007974E8" w:rsidRPr="00E16672" w:rsidRDefault="007974E8" w:rsidP="007974E8">
      <w:pPr>
        <w:pStyle w:val="western"/>
        <w:spacing w:before="0" w:after="0"/>
        <w:jc w:val="both"/>
        <w:rPr>
          <w:rFonts w:ascii="Times New Roman" w:hAnsi="Times New Roman"/>
          <w:b w:val="0"/>
          <w:bCs w:val="0"/>
          <w:color w:val="000000"/>
          <w:szCs w:val="20"/>
          <w:lang w:val="uk-UA"/>
        </w:rPr>
      </w:pPr>
      <w:r w:rsidRPr="00E16672">
        <w:rPr>
          <w:rFonts w:ascii="Times New Roman" w:hAnsi="Times New Roman"/>
          <w:b w:val="0"/>
          <w:bCs w:val="0"/>
          <w:color w:val="000000"/>
          <w:szCs w:val="20"/>
        </w:rPr>
        <w:t xml:space="preserve">Акт </w:t>
      </w:r>
      <w:proofErr w:type="spellStart"/>
      <w:r w:rsidRPr="00E16672">
        <w:rPr>
          <w:rFonts w:ascii="Times New Roman" w:hAnsi="Times New Roman"/>
          <w:b w:val="0"/>
          <w:bCs w:val="0"/>
          <w:color w:val="000000"/>
          <w:szCs w:val="20"/>
        </w:rPr>
        <w:t>виконаних</w:t>
      </w:r>
      <w:proofErr w:type="spellEnd"/>
      <w:r w:rsidRPr="00E16672">
        <w:rPr>
          <w:rFonts w:ascii="Times New Roman" w:hAnsi="Times New Roman"/>
          <w:b w:val="0"/>
          <w:bCs w:val="0"/>
          <w:color w:val="000000"/>
          <w:szCs w:val="20"/>
        </w:rPr>
        <w:t xml:space="preserve"> </w:t>
      </w:r>
      <w:proofErr w:type="spellStart"/>
      <w:r w:rsidRPr="00E16672">
        <w:rPr>
          <w:rFonts w:ascii="Times New Roman" w:hAnsi="Times New Roman"/>
          <w:b w:val="0"/>
          <w:bCs w:val="0"/>
          <w:color w:val="000000"/>
          <w:szCs w:val="20"/>
        </w:rPr>
        <w:t>операцій</w:t>
      </w:r>
      <w:proofErr w:type="spellEnd"/>
      <w:r w:rsidRPr="00E16672">
        <w:rPr>
          <w:rFonts w:ascii="Times New Roman" w:hAnsi="Times New Roman"/>
          <w:b w:val="0"/>
          <w:bCs w:val="0"/>
          <w:color w:val="000000"/>
          <w:szCs w:val="20"/>
        </w:rPr>
        <w:t xml:space="preserve"> </w:t>
      </w:r>
      <w:proofErr w:type="spellStart"/>
      <w:r w:rsidRPr="00E16672">
        <w:rPr>
          <w:rFonts w:ascii="Times New Roman" w:hAnsi="Times New Roman"/>
          <w:b w:val="0"/>
          <w:bCs w:val="0"/>
          <w:color w:val="000000"/>
          <w:szCs w:val="20"/>
        </w:rPr>
        <w:t>може</w:t>
      </w:r>
      <w:proofErr w:type="spellEnd"/>
      <w:r w:rsidRPr="00E16672">
        <w:rPr>
          <w:rFonts w:ascii="Times New Roman" w:hAnsi="Times New Roman"/>
          <w:b w:val="0"/>
          <w:bCs w:val="0"/>
          <w:color w:val="000000"/>
          <w:szCs w:val="20"/>
        </w:rPr>
        <w:t xml:space="preserve"> бути </w:t>
      </w:r>
      <w:proofErr w:type="spellStart"/>
      <w:r w:rsidRPr="00E16672">
        <w:rPr>
          <w:rFonts w:ascii="Times New Roman" w:hAnsi="Times New Roman"/>
          <w:b w:val="0"/>
          <w:bCs w:val="0"/>
          <w:color w:val="000000"/>
          <w:szCs w:val="20"/>
        </w:rPr>
        <w:t>підписаний</w:t>
      </w:r>
      <w:proofErr w:type="spellEnd"/>
      <w:r w:rsidRPr="00E16672">
        <w:rPr>
          <w:rFonts w:ascii="Times New Roman" w:hAnsi="Times New Roman"/>
          <w:b w:val="0"/>
          <w:bCs w:val="0"/>
          <w:color w:val="000000"/>
          <w:szCs w:val="20"/>
        </w:rPr>
        <w:t xml:space="preserve"> Депозитарною </w:t>
      </w:r>
      <w:proofErr w:type="spellStart"/>
      <w:r w:rsidRPr="00E16672">
        <w:rPr>
          <w:rFonts w:ascii="Times New Roman" w:hAnsi="Times New Roman"/>
          <w:b w:val="0"/>
          <w:bCs w:val="0"/>
          <w:color w:val="000000"/>
          <w:szCs w:val="20"/>
        </w:rPr>
        <w:t>установою</w:t>
      </w:r>
      <w:proofErr w:type="spellEnd"/>
      <w:r w:rsidRPr="00E16672">
        <w:rPr>
          <w:rFonts w:ascii="Times New Roman" w:hAnsi="Times New Roman"/>
          <w:b w:val="0"/>
          <w:bCs w:val="0"/>
          <w:color w:val="000000"/>
          <w:szCs w:val="20"/>
        </w:rPr>
        <w:t xml:space="preserve"> та Депонентом за </w:t>
      </w:r>
      <w:proofErr w:type="spellStart"/>
      <w:r w:rsidRPr="00E16672">
        <w:rPr>
          <w:rFonts w:ascii="Times New Roman" w:hAnsi="Times New Roman"/>
          <w:b w:val="0"/>
          <w:bCs w:val="0"/>
          <w:color w:val="000000"/>
          <w:szCs w:val="20"/>
        </w:rPr>
        <w:t>допомогою</w:t>
      </w:r>
      <w:proofErr w:type="spellEnd"/>
      <w:r w:rsidRPr="00E16672">
        <w:rPr>
          <w:rFonts w:ascii="Times New Roman" w:hAnsi="Times New Roman"/>
          <w:b w:val="0"/>
          <w:bCs w:val="0"/>
          <w:color w:val="000000"/>
          <w:szCs w:val="20"/>
        </w:rPr>
        <w:t xml:space="preserve"> </w:t>
      </w:r>
      <w:proofErr w:type="spellStart"/>
      <w:r w:rsidR="00AE695D" w:rsidRPr="00E16672">
        <w:rPr>
          <w:rFonts w:ascii="Times New Roman" w:hAnsi="Times New Roman"/>
          <w:b w:val="0"/>
          <w:bCs w:val="0"/>
          <w:color w:val="000000"/>
          <w:szCs w:val="20"/>
        </w:rPr>
        <w:t>кваліфікованого</w:t>
      </w:r>
      <w:proofErr w:type="spellEnd"/>
      <w:r w:rsidR="00AE695D" w:rsidRPr="00E16672">
        <w:rPr>
          <w:rFonts w:ascii="Times New Roman" w:hAnsi="Times New Roman"/>
          <w:b w:val="0"/>
          <w:bCs w:val="0"/>
          <w:color w:val="000000"/>
          <w:szCs w:val="20"/>
        </w:rPr>
        <w:t xml:space="preserve"> </w:t>
      </w:r>
      <w:proofErr w:type="spellStart"/>
      <w:r w:rsidR="00AE695D" w:rsidRPr="00E16672">
        <w:rPr>
          <w:rFonts w:ascii="Times New Roman" w:hAnsi="Times New Roman"/>
          <w:b w:val="0"/>
          <w:bCs w:val="0"/>
          <w:color w:val="000000"/>
          <w:szCs w:val="20"/>
        </w:rPr>
        <w:t>електронного</w:t>
      </w:r>
      <w:proofErr w:type="spellEnd"/>
      <w:r w:rsidR="00AE695D" w:rsidRPr="00E16672">
        <w:rPr>
          <w:rFonts w:ascii="Times New Roman" w:hAnsi="Times New Roman"/>
          <w:b w:val="0"/>
          <w:bCs w:val="0"/>
          <w:color w:val="000000"/>
          <w:szCs w:val="20"/>
        </w:rPr>
        <w:t xml:space="preserve"> </w:t>
      </w:r>
      <w:proofErr w:type="spellStart"/>
      <w:r w:rsidR="00AE695D" w:rsidRPr="00E16672">
        <w:rPr>
          <w:rFonts w:ascii="Times New Roman" w:hAnsi="Times New Roman"/>
          <w:b w:val="0"/>
          <w:bCs w:val="0"/>
          <w:color w:val="000000"/>
          <w:szCs w:val="20"/>
        </w:rPr>
        <w:t>підпису</w:t>
      </w:r>
      <w:proofErr w:type="spellEnd"/>
      <w:r w:rsidRPr="00E16672">
        <w:rPr>
          <w:rFonts w:ascii="Times New Roman" w:hAnsi="Times New Roman"/>
          <w:b w:val="0"/>
          <w:bCs w:val="0"/>
          <w:color w:val="000000"/>
          <w:szCs w:val="20"/>
        </w:rPr>
        <w:t xml:space="preserve"> </w:t>
      </w:r>
      <w:r w:rsidRPr="00E16672">
        <w:rPr>
          <w:rFonts w:ascii="Times New Roman" w:hAnsi="Times New Roman"/>
          <w:b w:val="0"/>
          <w:bCs w:val="0"/>
          <w:color w:val="000000"/>
          <w:szCs w:val="20"/>
          <w:lang w:val="uk-UA"/>
        </w:rPr>
        <w:t xml:space="preserve">та </w:t>
      </w:r>
      <w:r w:rsidR="00AE695D" w:rsidRPr="00E16672">
        <w:rPr>
          <w:rFonts w:ascii="Times New Roman" w:hAnsi="Times New Roman"/>
          <w:b w:val="0"/>
          <w:bCs w:val="0"/>
          <w:color w:val="000000"/>
          <w:szCs w:val="20"/>
          <w:lang w:val="uk-UA"/>
        </w:rPr>
        <w:t>кваліфікованого електронного підпису</w:t>
      </w:r>
      <w:r w:rsidRPr="00E16672">
        <w:rPr>
          <w:rFonts w:ascii="Times New Roman" w:hAnsi="Times New Roman"/>
          <w:b w:val="0"/>
          <w:bCs w:val="0"/>
          <w:color w:val="000000"/>
          <w:szCs w:val="20"/>
        </w:rPr>
        <w:t xml:space="preserve">, </w:t>
      </w:r>
      <w:proofErr w:type="spellStart"/>
      <w:r w:rsidRPr="00E16672">
        <w:rPr>
          <w:rFonts w:ascii="Times New Roman" w:hAnsi="Times New Roman"/>
          <w:b w:val="0"/>
          <w:bCs w:val="0"/>
          <w:color w:val="000000"/>
          <w:szCs w:val="20"/>
        </w:rPr>
        <w:t>що</w:t>
      </w:r>
      <w:proofErr w:type="spellEnd"/>
      <w:r w:rsidRPr="00E16672">
        <w:rPr>
          <w:rFonts w:ascii="Times New Roman" w:hAnsi="Times New Roman"/>
          <w:b w:val="0"/>
          <w:bCs w:val="0"/>
          <w:color w:val="000000"/>
          <w:szCs w:val="20"/>
        </w:rPr>
        <w:t xml:space="preserve"> за </w:t>
      </w:r>
      <w:proofErr w:type="spellStart"/>
      <w:r w:rsidRPr="00E16672">
        <w:rPr>
          <w:rFonts w:ascii="Times New Roman" w:hAnsi="Times New Roman"/>
          <w:b w:val="0"/>
          <w:bCs w:val="0"/>
          <w:color w:val="000000"/>
          <w:szCs w:val="20"/>
        </w:rPr>
        <w:t>правовим</w:t>
      </w:r>
      <w:proofErr w:type="spellEnd"/>
      <w:r w:rsidRPr="00E16672">
        <w:rPr>
          <w:rFonts w:ascii="Times New Roman" w:hAnsi="Times New Roman"/>
          <w:b w:val="0"/>
          <w:bCs w:val="0"/>
          <w:color w:val="000000"/>
          <w:szCs w:val="20"/>
        </w:rPr>
        <w:t xml:space="preserve"> статусом </w:t>
      </w:r>
      <w:proofErr w:type="spellStart"/>
      <w:r w:rsidRPr="00E16672">
        <w:rPr>
          <w:rFonts w:ascii="Times New Roman" w:hAnsi="Times New Roman"/>
          <w:b w:val="0"/>
          <w:bCs w:val="0"/>
          <w:color w:val="000000"/>
          <w:szCs w:val="20"/>
        </w:rPr>
        <w:t>прирівнюється</w:t>
      </w:r>
      <w:proofErr w:type="spellEnd"/>
      <w:r w:rsidRPr="00E16672">
        <w:rPr>
          <w:rFonts w:ascii="Times New Roman" w:hAnsi="Times New Roman"/>
          <w:b w:val="0"/>
          <w:bCs w:val="0"/>
          <w:color w:val="000000"/>
          <w:szCs w:val="20"/>
        </w:rPr>
        <w:t xml:space="preserve"> до печатки </w:t>
      </w:r>
      <w:proofErr w:type="spellStart"/>
      <w:r w:rsidRPr="00E16672">
        <w:rPr>
          <w:rFonts w:ascii="Times New Roman" w:hAnsi="Times New Roman"/>
          <w:b w:val="0"/>
          <w:bCs w:val="0"/>
          <w:color w:val="000000"/>
          <w:szCs w:val="20"/>
        </w:rPr>
        <w:t>юридичної</w:t>
      </w:r>
      <w:proofErr w:type="spellEnd"/>
      <w:r w:rsidRPr="00E16672">
        <w:rPr>
          <w:rFonts w:ascii="Times New Roman" w:hAnsi="Times New Roman"/>
          <w:b w:val="0"/>
          <w:bCs w:val="0"/>
          <w:color w:val="000000"/>
          <w:szCs w:val="20"/>
        </w:rPr>
        <w:t xml:space="preserve"> особи (</w:t>
      </w:r>
      <w:proofErr w:type="spellStart"/>
      <w:r w:rsidRPr="00E16672">
        <w:rPr>
          <w:rFonts w:ascii="Times New Roman" w:hAnsi="Times New Roman"/>
          <w:b w:val="0"/>
          <w:bCs w:val="0"/>
          <w:color w:val="000000"/>
          <w:szCs w:val="20"/>
        </w:rPr>
        <w:t>крім</w:t>
      </w:r>
      <w:proofErr w:type="spellEnd"/>
      <w:r w:rsidRPr="00E16672">
        <w:rPr>
          <w:rFonts w:ascii="Times New Roman" w:hAnsi="Times New Roman"/>
          <w:b w:val="0"/>
          <w:bCs w:val="0"/>
          <w:color w:val="000000"/>
          <w:szCs w:val="20"/>
        </w:rPr>
        <w:t xml:space="preserve"> </w:t>
      </w:r>
      <w:proofErr w:type="spellStart"/>
      <w:r w:rsidRPr="00E16672">
        <w:rPr>
          <w:rFonts w:ascii="Times New Roman" w:hAnsi="Times New Roman"/>
          <w:b w:val="0"/>
          <w:bCs w:val="0"/>
          <w:color w:val="000000"/>
          <w:szCs w:val="20"/>
        </w:rPr>
        <w:t>керуючих</w:t>
      </w:r>
      <w:proofErr w:type="spellEnd"/>
      <w:r w:rsidRPr="00E16672">
        <w:rPr>
          <w:rFonts w:ascii="Times New Roman" w:hAnsi="Times New Roman"/>
          <w:b w:val="0"/>
          <w:bCs w:val="0"/>
          <w:color w:val="000000"/>
          <w:szCs w:val="20"/>
        </w:rPr>
        <w:t xml:space="preserve"> </w:t>
      </w:r>
      <w:proofErr w:type="spellStart"/>
      <w:r w:rsidRPr="00E16672">
        <w:rPr>
          <w:rFonts w:ascii="Times New Roman" w:hAnsi="Times New Roman"/>
          <w:b w:val="0"/>
          <w:bCs w:val="0"/>
          <w:color w:val="000000"/>
          <w:szCs w:val="20"/>
        </w:rPr>
        <w:t>рахунком</w:t>
      </w:r>
      <w:proofErr w:type="spellEnd"/>
      <w:r w:rsidRPr="00E16672">
        <w:rPr>
          <w:rFonts w:ascii="Times New Roman" w:hAnsi="Times New Roman"/>
          <w:b w:val="0"/>
          <w:bCs w:val="0"/>
          <w:color w:val="000000"/>
          <w:szCs w:val="20"/>
        </w:rPr>
        <w:t xml:space="preserve">). </w:t>
      </w:r>
      <w:r w:rsidRPr="00E16672">
        <w:rPr>
          <w:rFonts w:ascii="Times New Roman" w:hAnsi="Times New Roman"/>
          <w:b w:val="0"/>
          <w:bCs w:val="0"/>
          <w:color w:val="000000"/>
          <w:szCs w:val="20"/>
          <w:lang w:val="uk-UA"/>
        </w:rPr>
        <w:t xml:space="preserve">Рахунок також може бути підписаний за допомогою </w:t>
      </w:r>
      <w:r w:rsidR="00AE695D" w:rsidRPr="00E16672">
        <w:rPr>
          <w:rFonts w:ascii="Times New Roman" w:hAnsi="Times New Roman"/>
          <w:b w:val="0"/>
          <w:bCs w:val="0"/>
          <w:color w:val="000000"/>
          <w:szCs w:val="20"/>
          <w:lang w:val="uk-UA"/>
        </w:rPr>
        <w:t>кваліфікованого електронного підпису</w:t>
      </w:r>
      <w:r w:rsidRPr="00E16672">
        <w:rPr>
          <w:rFonts w:ascii="Times New Roman" w:hAnsi="Times New Roman"/>
          <w:b w:val="0"/>
          <w:bCs w:val="0"/>
          <w:color w:val="000000"/>
          <w:szCs w:val="20"/>
          <w:lang w:val="uk-UA"/>
        </w:rPr>
        <w:t xml:space="preserve"> та </w:t>
      </w:r>
      <w:r w:rsidR="00AE695D" w:rsidRPr="00E16672">
        <w:rPr>
          <w:rFonts w:ascii="Times New Roman" w:hAnsi="Times New Roman"/>
          <w:b w:val="0"/>
          <w:bCs w:val="0"/>
          <w:color w:val="000000"/>
          <w:szCs w:val="20"/>
          <w:lang w:val="uk-UA"/>
        </w:rPr>
        <w:t>кваліфікованим електронним підписом</w:t>
      </w:r>
      <w:r w:rsidRPr="00E16672">
        <w:rPr>
          <w:rFonts w:ascii="Times New Roman" w:hAnsi="Times New Roman"/>
          <w:b w:val="0"/>
          <w:bCs w:val="0"/>
          <w:color w:val="000000"/>
          <w:szCs w:val="20"/>
          <w:lang w:val="uk-UA"/>
        </w:rPr>
        <w:t>, що за правовим статусом прирівнюється до печатки юридичної особи (крім керуючих рахунком).</w:t>
      </w:r>
    </w:p>
    <w:p w14:paraId="55AF4C80" w14:textId="77777777" w:rsidR="007974E8" w:rsidRPr="00E16672" w:rsidRDefault="007974E8" w:rsidP="007974E8">
      <w:pPr>
        <w:rPr>
          <w:rFonts w:ascii="Times New Roman" w:hAnsi="Times New Roman"/>
          <w:color w:val="000000"/>
          <w:szCs w:val="20"/>
        </w:rPr>
      </w:pPr>
      <w:r w:rsidRPr="00E16672">
        <w:rPr>
          <w:rFonts w:ascii="Times New Roman" w:hAnsi="Times New Roman"/>
          <w:color w:val="000000"/>
          <w:szCs w:val="20"/>
        </w:rPr>
        <w:t>4.4. Плата вноситься Депонентом (</w:t>
      </w:r>
      <w:proofErr w:type="spellStart"/>
      <w:r w:rsidRPr="00E16672">
        <w:rPr>
          <w:rFonts w:ascii="Times New Roman" w:hAnsi="Times New Roman"/>
          <w:color w:val="000000"/>
          <w:szCs w:val="20"/>
        </w:rPr>
        <w:t>Керуючим</w:t>
      </w:r>
      <w:proofErr w:type="spellEnd"/>
      <w:r w:rsidRPr="00E16672">
        <w:rPr>
          <w:rFonts w:ascii="Times New Roman" w:hAnsi="Times New Roman"/>
          <w:color w:val="000000"/>
          <w:szCs w:val="20"/>
          <w:lang w:val="uk-UA"/>
        </w:rPr>
        <w:t xml:space="preserve"> рахунком</w:t>
      </w:r>
      <w:r w:rsidRPr="00E16672">
        <w:rPr>
          <w:rFonts w:ascii="Times New Roman" w:hAnsi="Times New Roman"/>
          <w:color w:val="000000"/>
          <w:szCs w:val="20"/>
        </w:rPr>
        <w:t xml:space="preserve">) у </w:t>
      </w:r>
      <w:proofErr w:type="spellStart"/>
      <w:r w:rsidRPr="00E16672">
        <w:rPr>
          <w:rFonts w:ascii="Times New Roman" w:hAnsi="Times New Roman"/>
          <w:color w:val="000000"/>
          <w:szCs w:val="20"/>
        </w:rPr>
        <w:t>безготівковій</w:t>
      </w:r>
      <w:proofErr w:type="spellEnd"/>
      <w:r w:rsidRPr="00E16672">
        <w:rPr>
          <w:rFonts w:ascii="Times New Roman" w:hAnsi="Times New Roman"/>
          <w:color w:val="000000"/>
          <w:szCs w:val="20"/>
        </w:rPr>
        <w:t xml:space="preserve"> </w:t>
      </w:r>
      <w:proofErr w:type="spellStart"/>
      <w:proofErr w:type="gramStart"/>
      <w:r w:rsidRPr="00E16672">
        <w:rPr>
          <w:rFonts w:ascii="Times New Roman" w:hAnsi="Times New Roman"/>
          <w:color w:val="000000"/>
          <w:szCs w:val="20"/>
        </w:rPr>
        <w:t>формі</w:t>
      </w:r>
      <w:proofErr w:type="spellEnd"/>
      <w:r w:rsidRPr="00E16672">
        <w:rPr>
          <w:rFonts w:ascii="Times New Roman" w:hAnsi="Times New Roman"/>
          <w:color w:val="000000"/>
          <w:szCs w:val="20"/>
        </w:rPr>
        <w:t xml:space="preserve">  шляхом</w:t>
      </w:r>
      <w:proofErr w:type="gram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перерахування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грошових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коштів</w:t>
      </w:r>
      <w:proofErr w:type="spellEnd"/>
      <w:r w:rsidRPr="00E16672">
        <w:rPr>
          <w:rFonts w:ascii="Times New Roman" w:hAnsi="Times New Roman"/>
          <w:color w:val="000000"/>
          <w:szCs w:val="20"/>
        </w:rPr>
        <w:t xml:space="preserve"> на </w:t>
      </w:r>
      <w:proofErr w:type="spellStart"/>
      <w:r w:rsidRPr="00E16672">
        <w:rPr>
          <w:rFonts w:ascii="Times New Roman" w:hAnsi="Times New Roman"/>
          <w:color w:val="000000"/>
          <w:szCs w:val="20"/>
        </w:rPr>
        <w:t>рахунок</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Депозитарної</w:t>
      </w:r>
      <w:proofErr w:type="spellEnd"/>
      <w:r w:rsidRPr="00E16672">
        <w:rPr>
          <w:rFonts w:ascii="Times New Roman" w:hAnsi="Times New Roman"/>
          <w:color w:val="000000"/>
          <w:szCs w:val="20"/>
        </w:rPr>
        <w:t xml:space="preserve"> установи за </w:t>
      </w:r>
      <w:proofErr w:type="spellStart"/>
      <w:r w:rsidRPr="00E16672">
        <w:rPr>
          <w:rFonts w:ascii="Times New Roman" w:hAnsi="Times New Roman"/>
          <w:color w:val="000000"/>
          <w:szCs w:val="20"/>
        </w:rPr>
        <w:t>реквізитами</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вказаними</w:t>
      </w:r>
      <w:proofErr w:type="spellEnd"/>
      <w:r w:rsidRPr="00E16672">
        <w:rPr>
          <w:rFonts w:ascii="Times New Roman" w:hAnsi="Times New Roman"/>
          <w:color w:val="000000"/>
          <w:szCs w:val="20"/>
        </w:rPr>
        <w:t xml:space="preserve"> Депозитарною </w:t>
      </w:r>
      <w:proofErr w:type="spellStart"/>
      <w:r w:rsidRPr="00E16672">
        <w:rPr>
          <w:rFonts w:ascii="Times New Roman" w:hAnsi="Times New Roman"/>
          <w:color w:val="000000"/>
          <w:szCs w:val="20"/>
        </w:rPr>
        <w:t>установою</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Операція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закриття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рахунку</w:t>
      </w:r>
      <w:proofErr w:type="spellEnd"/>
      <w:r w:rsidRPr="00E16672">
        <w:rPr>
          <w:rFonts w:ascii="Times New Roman" w:hAnsi="Times New Roman"/>
          <w:color w:val="000000"/>
          <w:szCs w:val="20"/>
        </w:rPr>
        <w:t xml:space="preserve"> </w:t>
      </w:r>
      <w:r w:rsidR="00C22309" w:rsidRPr="00E16672">
        <w:rPr>
          <w:rFonts w:ascii="Times New Roman" w:hAnsi="Times New Roman"/>
          <w:color w:val="000000"/>
          <w:szCs w:val="20"/>
        </w:rPr>
        <w:t xml:space="preserve">в </w:t>
      </w:r>
      <w:proofErr w:type="spellStart"/>
      <w:r w:rsidR="00C22309" w:rsidRPr="00E16672">
        <w:rPr>
          <w:rFonts w:ascii="Times New Roman" w:hAnsi="Times New Roman"/>
          <w:color w:val="000000"/>
          <w:szCs w:val="20"/>
        </w:rPr>
        <w:t>цін</w:t>
      </w:r>
      <w:r w:rsidRPr="00E16672">
        <w:rPr>
          <w:rFonts w:ascii="Times New Roman" w:hAnsi="Times New Roman"/>
          <w:color w:val="000000"/>
          <w:szCs w:val="20"/>
        </w:rPr>
        <w:t>них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паперах</w:t>
      </w:r>
      <w:proofErr w:type="spellEnd"/>
      <w:r w:rsidRPr="00E16672">
        <w:rPr>
          <w:rFonts w:ascii="Times New Roman" w:hAnsi="Times New Roman"/>
          <w:color w:val="000000"/>
          <w:szCs w:val="20"/>
        </w:rPr>
        <w:t xml:space="preserve"> повинна бути оплачена до </w:t>
      </w:r>
      <w:proofErr w:type="spellStart"/>
      <w:r w:rsidRPr="00E16672">
        <w:rPr>
          <w:rFonts w:ascii="Times New Roman" w:hAnsi="Times New Roman"/>
          <w:color w:val="000000"/>
          <w:szCs w:val="20"/>
        </w:rPr>
        <w:t>виконання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цієї</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послуги</w:t>
      </w:r>
      <w:proofErr w:type="spellEnd"/>
      <w:r w:rsidRPr="00E16672">
        <w:rPr>
          <w:rFonts w:ascii="Times New Roman" w:hAnsi="Times New Roman"/>
          <w:color w:val="000000"/>
          <w:szCs w:val="20"/>
        </w:rPr>
        <w:t xml:space="preserve">.  </w:t>
      </w:r>
    </w:p>
    <w:p w14:paraId="4116A52A" w14:textId="77777777" w:rsidR="007974E8" w:rsidRPr="00E16672" w:rsidRDefault="007974E8" w:rsidP="007974E8">
      <w:pPr>
        <w:rPr>
          <w:rFonts w:ascii="Times New Roman" w:hAnsi="Times New Roman"/>
          <w:color w:val="000000"/>
          <w:szCs w:val="20"/>
        </w:rPr>
      </w:pPr>
      <w:r w:rsidRPr="00E16672">
        <w:rPr>
          <w:rFonts w:ascii="Times New Roman" w:hAnsi="Times New Roman"/>
          <w:color w:val="000000"/>
          <w:szCs w:val="20"/>
        </w:rPr>
        <w:t>4.</w:t>
      </w:r>
      <w:r w:rsidR="000B00C3" w:rsidRPr="00E16672">
        <w:rPr>
          <w:rFonts w:ascii="Times New Roman" w:hAnsi="Times New Roman"/>
          <w:color w:val="000000"/>
          <w:szCs w:val="20"/>
        </w:rPr>
        <w:t>5</w:t>
      </w:r>
      <w:r w:rsidRPr="00E16672">
        <w:rPr>
          <w:rFonts w:ascii="Times New Roman" w:hAnsi="Times New Roman"/>
          <w:color w:val="000000"/>
          <w:szCs w:val="20"/>
        </w:rPr>
        <w:t xml:space="preserve">. У </w:t>
      </w:r>
      <w:proofErr w:type="spellStart"/>
      <w:r w:rsidRPr="00E16672">
        <w:rPr>
          <w:rFonts w:ascii="Times New Roman" w:hAnsi="Times New Roman"/>
          <w:color w:val="000000"/>
          <w:szCs w:val="20"/>
        </w:rPr>
        <w:t>разі</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припинення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дії</w:t>
      </w:r>
      <w:proofErr w:type="spellEnd"/>
      <w:r w:rsidRPr="00E16672">
        <w:rPr>
          <w:rFonts w:ascii="Times New Roman" w:hAnsi="Times New Roman"/>
          <w:color w:val="000000"/>
          <w:szCs w:val="20"/>
        </w:rPr>
        <w:t xml:space="preserve"> Договору Депонент (</w:t>
      </w:r>
      <w:proofErr w:type="spellStart"/>
      <w:r w:rsidRPr="00E16672">
        <w:rPr>
          <w:rFonts w:ascii="Times New Roman" w:hAnsi="Times New Roman"/>
          <w:color w:val="000000"/>
          <w:szCs w:val="20"/>
        </w:rPr>
        <w:t>Керуючий</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рахунком</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зобов’язаний</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сплатити</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фактично</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надані</w:t>
      </w:r>
      <w:proofErr w:type="spellEnd"/>
      <w:r w:rsidRPr="00E16672">
        <w:rPr>
          <w:rFonts w:ascii="Times New Roman" w:hAnsi="Times New Roman"/>
          <w:color w:val="000000"/>
          <w:szCs w:val="20"/>
        </w:rPr>
        <w:t xml:space="preserve"> Депозитарною </w:t>
      </w:r>
      <w:proofErr w:type="spellStart"/>
      <w:r w:rsidRPr="00E16672">
        <w:rPr>
          <w:rFonts w:ascii="Times New Roman" w:hAnsi="Times New Roman"/>
          <w:color w:val="000000"/>
          <w:szCs w:val="20"/>
        </w:rPr>
        <w:t>установою</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послуги</w:t>
      </w:r>
      <w:proofErr w:type="spellEnd"/>
      <w:r w:rsidRPr="00E16672">
        <w:rPr>
          <w:rFonts w:ascii="Times New Roman" w:hAnsi="Times New Roman"/>
          <w:color w:val="000000"/>
          <w:szCs w:val="20"/>
        </w:rPr>
        <w:t xml:space="preserve"> </w:t>
      </w:r>
      <w:proofErr w:type="gramStart"/>
      <w:r w:rsidRPr="00E16672">
        <w:rPr>
          <w:rFonts w:ascii="Times New Roman" w:hAnsi="Times New Roman"/>
          <w:color w:val="000000"/>
          <w:szCs w:val="20"/>
        </w:rPr>
        <w:t>до моменту</w:t>
      </w:r>
      <w:proofErr w:type="gram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припинення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дії</w:t>
      </w:r>
      <w:proofErr w:type="spellEnd"/>
      <w:r w:rsidRPr="00E16672">
        <w:rPr>
          <w:rFonts w:ascii="Times New Roman" w:hAnsi="Times New Roman"/>
          <w:color w:val="000000"/>
          <w:szCs w:val="20"/>
        </w:rPr>
        <w:t xml:space="preserve"> Договору.</w:t>
      </w:r>
    </w:p>
    <w:p w14:paraId="1CCB0DDB" w14:textId="77777777" w:rsidR="007974E8" w:rsidRPr="00E16672" w:rsidRDefault="007974E8" w:rsidP="007974E8">
      <w:pPr>
        <w:rPr>
          <w:rFonts w:ascii="Times New Roman" w:hAnsi="Times New Roman"/>
          <w:color w:val="000000"/>
          <w:szCs w:val="20"/>
        </w:rPr>
      </w:pPr>
      <w:r w:rsidRPr="00E16672">
        <w:rPr>
          <w:rFonts w:ascii="Times New Roman" w:hAnsi="Times New Roman"/>
          <w:color w:val="000000"/>
          <w:szCs w:val="20"/>
        </w:rPr>
        <w:t>4.</w:t>
      </w:r>
      <w:r w:rsidR="000B00C3" w:rsidRPr="00E16672">
        <w:rPr>
          <w:rFonts w:ascii="Times New Roman" w:hAnsi="Times New Roman"/>
          <w:color w:val="000000"/>
          <w:szCs w:val="20"/>
        </w:rPr>
        <w:t>6</w:t>
      </w:r>
      <w:r w:rsidRPr="00E16672">
        <w:rPr>
          <w:rFonts w:ascii="Times New Roman" w:hAnsi="Times New Roman"/>
          <w:color w:val="000000"/>
          <w:szCs w:val="20"/>
        </w:rPr>
        <w:t xml:space="preserve">. Оплата за </w:t>
      </w:r>
      <w:proofErr w:type="spellStart"/>
      <w:r w:rsidRPr="00E16672">
        <w:rPr>
          <w:rFonts w:ascii="Times New Roman" w:hAnsi="Times New Roman"/>
          <w:color w:val="000000"/>
          <w:szCs w:val="20"/>
        </w:rPr>
        <w:t>послуги</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надані</w:t>
      </w:r>
      <w:proofErr w:type="spellEnd"/>
      <w:r w:rsidRPr="00E16672">
        <w:rPr>
          <w:rFonts w:ascii="Times New Roman" w:hAnsi="Times New Roman"/>
          <w:color w:val="000000"/>
          <w:szCs w:val="20"/>
        </w:rPr>
        <w:t xml:space="preserve"> </w:t>
      </w:r>
      <w:r w:rsidRPr="00E16672">
        <w:rPr>
          <w:rFonts w:ascii="Times New Roman" w:hAnsi="Times New Roman"/>
          <w:color w:val="000000"/>
          <w:szCs w:val="20"/>
          <w:lang w:val="uk-UA"/>
        </w:rPr>
        <w:t>Депоненту</w:t>
      </w:r>
      <w:r w:rsidRPr="00E16672">
        <w:rPr>
          <w:rFonts w:ascii="Times New Roman" w:hAnsi="Times New Roman"/>
          <w:color w:val="000000"/>
          <w:szCs w:val="20"/>
        </w:rPr>
        <w:t xml:space="preserve"> Депозитарною </w:t>
      </w:r>
      <w:proofErr w:type="spellStart"/>
      <w:r w:rsidRPr="00E16672">
        <w:rPr>
          <w:rFonts w:ascii="Times New Roman" w:hAnsi="Times New Roman"/>
          <w:color w:val="000000"/>
          <w:szCs w:val="20"/>
        </w:rPr>
        <w:t>установою</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може</w:t>
      </w:r>
      <w:proofErr w:type="spellEnd"/>
      <w:r w:rsidRPr="00E16672">
        <w:rPr>
          <w:rFonts w:ascii="Times New Roman" w:hAnsi="Times New Roman"/>
          <w:color w:val="000000"/>
          <w:szCs w:val="20"/>
        </w:rPr>
        <w:t xml:space="preserve"> бути </w:t>
      </w:r>
      <w:proofErr w:type="spellStart"/>
      <w:r w:rsidRPr="00E16672">
        <w:rPr>
          <w:rFonts w:ascii="Times New Roman" w:hAnsi="Times New Roman"/>
          <w:color w:val="000000"/>
          <w:szCs w:val="20"/>
        </w:rPr>
        <w:t>здійснена</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третіми</w:t>
      </w:r>
      <w:proofErr w:type="spellEnd"/>
      <w:r w:rsidRPr="00E16672">
        <w:rPr>
          <w:rFonts w:ascii="Times New Roman" w:hAnsi="Times New Roman"/>
          <w:color w:val="000000"/>
          <w:szCs w:val="20"/>
        </w:rPr>
        <w:t xml:space="preserve"> особами. Оплата </w:t>
      </w:r>
      <w:proofErr w:type="spellStart"/>
      <w:r w:rsidRPr="00E16672">
        <w:rPr>
          <w:rFonts w:ascii="Times New Roman" w:hAnsi="Times New Roman"/>
          <w:color w:val="000000"/>
          <w:szCs w:val="20"/>
        </w:rPr>
        <w:t>здійснюється</w:t>
      </w:r>
      <w:proofErr w:type="spellEnd"/>
      <w:r w:rsidRPr="00E16672">
        <w:rPr>
          <w:rFonts w:ascii="Times New Roman" w:hAnsi="Times New Roman"/>
          <w:color w:val="000000"/>
          <w:szCs w:val="20"/>
        </w:rPr>
        <w:t xml:space="preserve"> на </w:t>
      </w:r>
      <w:proofErr w:type="spellStart"/>
      <w:r w:rsidRPr="00E16672">
        <w:rPr>
          <w:rFonts w:ascii="Times New Roman" w:hAnsi="Times New Roman"/>
          <w:color w:val="000000"/>
          <w:szCs w:val="20"/>
        </w:rPr>
        <w:t>підставі</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рахунків</w:t>
      </w:r>
      <w:proofErr w:type="spellEnd"/>
      <w:r w:rsidRPr="00E16672">
        <w:rPr>
          <w:rFonts w:ascii="Times New Roman" w:hAnsi="Times New Roman"/>
          <w:color w:val="000000"/>
          <w:szCs w:val="20"/>
        </w:rPr>
        <w:t>/</w:t>
      </w:r>
      <w:proofErr w:type="spellStart"/>
      <w:r w:rsidRPr="00E16672">
        <w:rPr>
          <w:rFonts w:ascii="Times New Roman" w:hAnsi="Times New Roman"/>
          <w:color w:val="000000"/>
          <w:szCs w:val="20"/>
        </w:rPr>
        <w:t>актів</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виконаних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робіт</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виставлених</w:t>
      </w:r>
      <w:proofErr w:type="spellEnd"/>
      <w:r w:rsidRPr="00E16672">
        <w:rPr>
          <w:rFonts w:ascii="Times New Roman" w:hAnsi="Times New Roman"/>
          <w:color w:val="000000"/>
          <w:szCs w:val="20"/>
        </w:rPr>
        <w:t xml:space="preserve"> </w:t>
      </w:r>
      <w:r w:rsidRPr="00E16672">
        <w:rPr>
          <w:rFonts w:ascii="Times New Roman" w:hAnsi="Times New Roman"/>
          <w:color w:val="000000"/>
          <w:szCs w:val="20"/>
          <w:lang w:val="uk-UA"/>
        </w:rPr>
        <w:t>Д</w:t>
      </w:r>
      <w:proofErr w:type="spellStart"/>
      <w:r w:rsidRPr="00E16672">
        <w:rPr>
          <w:rFonts w:ascii="Times New Roman" w:hAnsi="Times New Roman"/>
          <w:color w:val="000000"/>
          <w:szCs w:val="20"/>
        </w:rPr>
        <w:t>епоненту</w:t>
      </w:r>
      <w:proofErr w:type="spellEnd"/>
      <w:r w:rsidRPr="00E16672">
        <w:rPr>
          <w:rFonts w:ascii="Times New Roman" w:hAnsi="Times New Roman"/>
          <w:color w:val="000000"/>
          <w:szCs w:val="20"/>
        </w:rPr>
        <w:t xml:space="preserve"> Депозитарною </w:t>
      </w:r>
      <w:proofErr w:type="spellStart"/>
      <w:r w:rsidRPr="00E16672">
        <w:rPr>
          <w:rFonts w:ascii="Times New Roman" w:hAnsi="Times New Roman"/>
          <w:color w:val="000000"/>
          <w:szCs w:val="20"/>
        </w:rPr>
        <w:t>установою</w:t>
      </w:r>
      <w:proofErr w:type="spellEnd"/>
      <w:r w:rsidRPr="00E16672">
        <w:rPr>
          <w:rFonts w:ascii="Times New Roman" w:hAnsi="Times New Roman"/>
          <w:color w:val="000000"/>
          <w:szCs w:val="20"/>
        </w:rPr>
        <w:t xml:space="preserve">. У </w:t>
      </w:r>
      <w:proofErr w:type="spellStart"/>
      <w:r w:rsidRPr="00E16672">
        <w:rPr>
          <w:rFonts w:ascii="Times New Roman" w:hAnsi="Times New Roman"/>
          <w:color w:val="000000"/>
          <w:szCs w:val="20"/>
        </w:rPr>
        <w:t>платіжному</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дорученні</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третьої</w:t>
      </w:r>
      <w:proofErr w:type="spellEnd"/>
      <w:r w:rsidRPr="00E16672">
        <w:rPr>
          <w:rFonts w:ascii="Times New Roman" w:hAnsi="Times New Roman"/>
          <w:color w:val="000000"/>
          <w:szCs w:val="20"/>
        </w:rPr>
        <w:t xml:space="preserve"> особи, яка </w:t>
      </w:r>
      <w:proofErr w:type="spellStart"/>
      <w:r w:rsidRPr="00E16672">
        <w:rPr>
          <w:rFonts w:ascii="Times New Roman" w:hAnsi="Times New Roman"/>
          <w:color w:val="000000"/>
          <w:szCs w:val="20"/>
        </w:rPr>
        <w:t>здійснює</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платіж</w:t>
      </w:r>
      <w:proofErr w:type="spellEnd"/>
      <w:r w:rsidRPr="00E16672">
        <w:rPr>
          <w:rFonts w:ascii="Times New Roman" w:hAnsi="Times New Roman"/>
          <w:color w:val="000000"/>
          <w:szCs w:val="20"/>
        </w:rPr>
        <w:t xml:space="preserve"> на </w:t>
      </w:r>
      <w:proofErr w:type="spellStart"/>
      <w:r w:rsidRPr="00E16672">
        <w:rPr>
          <w:rFonts w:ascii="Times New Roman" w:hAnsi="Times New Roman"/>
          <w:color w:val="000000"/>
          <w:szCs w:val="20"/>
        </w:rPr>
        <w:t>користь</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Депозитарної</w:t>
      </w:r>
      <w:proofErr w:type="spellEnd"/>
      <w:r w:rsidRPr="00E16672">
        <w:rPr>
          <w:rFonts w:ascii="Times New Roman" w:hAnsi="Times New Roman"/>
          <w:color w:val="000000"/>
          <w:szCs w:val="20"/>
        </w:rPr>
        <w:t xml:space="preserve"> установи, </w:t>
      </w:r>
      <w:proofErr w:type="spellStart"/>
      <w:r w:rsidRPr="00E16672">
        <w:rPr>
          <w:rFonts w:ascii="Times New Roman" w:hAnsi="Times New Roman"/>
          <w:color w:val="000000"/>
          <w:szCs w:val="20"/>
        </w:rPr>
        <w:t>має</w:t>
      </w:r>
      <w:proofErr w:type="spellEnd"/>
      <w:r w:rsidRPr="00E16672">
        <w:rPr>
          <w:rFonts w:ascii="Times New Roman" w:hAnsi="Times New Roman"/>
          <w:color w:val="000000"/>
          <w:szCs w:val="20"/>
        </w:rPr>
        <w:t xml:space="preserve"> бути </w:t>
      </w:r>
      <w:proofErr w:type="spellStart"/>
      <w:r w:rsidRPr="00E16672">
        <w:rPr>
          <w:rFonts w:ascii="Times New Roman" w:hAnsi="Times New Roman"/>
          <w:color w:val="000000"/>
          <w:szCs w:val="20"/>
        </w:rPr>
        <w:t>зазначено</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що</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призначенням</w:t>
      </w:r>
      <w:proofErr w:type="spellEnd"/>
      <w:r w:rsidRPr="00E16672">
        <w:rPr>
          <w:rFonts w:ascii="Times New Roman" w:hAnsi="Times New Roman"/>
          <w:color w:val="000000"/>
          <w:szCs w:val="20"/>
        </w:rPr>
        <w:t xml:space="preserve"> платежу є </w:t>
      </w:r>
      <w:proofErr w:type="spellStart"/>
      <w:r w:rsidRPr="00E16672">
        <w:rPr>
          <w:rFonts w:ascii="Times New Roman" w:hAnsi="Times New Roman"/>
          <w:color w:val="000000"/>
          <w:szCs w:val="20"/>
        </w:rPr>
        <w:t>сплата</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коштів</w:t>
      </w:r>
      <w:proofErr w:type="spellEnd"/>
      <w:r w:rsidRPr="00E16672">
        <w:rPr>
          <w:rFonts w:ascii="Times New Roman" w:hAnsi="Times New Roman"/>
          <w:color w:val="000000"/>
          <w:szCs w:val="20"/>
        </w:rPr>
        <w:t xml:space="preserve"> за </w:t>
      </w:r>
      <w:proofErr w:type="spellStart"/>
      <w:r w:rsidRPr="00E16672">
        <w:rPr>
          <w:rFonts w:ascii="Times New Roman" w:hAnsi="Times New Roman"/>
          <w:color w:val="000000"/>
          <w:szCs w:val="20"/>
        </w:rPr>
        <w:t>послуги</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отримані</w:t>
      </w:r>
      <w:proofErr w:type="spellEnd"/>
      <w:r w:rsidRPr="00E16672">
        <w:rPr>
          <w:rFonts w:ascii="Times New Roman" w:hAnsi="Times New Roman"/>
          <w:color w:val="000000"/>
          <w:szCs w:val="20"/>
        </w:rPr>
        <w:t xml:space="preserve"> </w:t>
      </w:r>
      <w:r w:rsidRPr="00E16672">
        <w:rPr>
          <w:rFonts w:ascii="Times New Roman" w:hAnsi="Times New Roman"/>
          <w:color w:val="000000"/>
          <w:szCs w:val="20"/>
          <w:lang w:val="uk-UA"/>
        </w:rPr>
        <w:t>Д</w:t>
      </w:r>
      <w:proofErr w:type="spellStart"/>
      <w:r w:rsidRPr="00E16672">
        <w:rPr>
          <w:rFonts w:ascii="Times New Roman" w:hAnsi="Times New Roman"/>
          <w:color w:val="000000"/>
          <w:szCs w:val="20"/>
        </w:rPr>
        <w:t>епонент</w:t>
      </w:r>
      <w:r w:rsidRPr="00E16672">
        <w:rPr>
          <w:rFonts w:ascii="Times New Roman" w:hAnsi="Times New Roman"/>
          <w:color w:val="000000"/>
          <w:szCs w:val="20"/>
          <w:lang w:val="uk-UA"/>
        </w:rPr>
        <w:t>ом</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Депозитарної</w:t>
      </w:r>
      <w:proofErr w:type="spellEnd"/>
      <w:r w:rsidRPr="00E16672">
        <w:rPr>
          <w:rFonts w:ascii="Times New Roman" w:hAnsi="Times New Roman"/>
          <w:color w:val="000000"/>
          <w:szCs w:val="20"/>
        </w:rPr>
        <w:t xml:space="preserve"> установи, а </w:t>
      </w:r>
      <w:proofErr w:type="spellStart"/>
      <w:r w:rsidRPr="00E16672">
        <w:rPr>
          <w:rFonts w:ascii="Times New Roman" w:hAnsi="Times New Roman"/>
          <w:color w:val="000000"/>
          <w:szCs w:val="20"/>
        </w:rPr>
        <w:t>також</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реквізити</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відповідних</w:t>
      </w:r>
      <w:proofErr w:type="spellEnd"/>
      <w:r w:rsidRPr="00E16672">
        <w:rPr>
          <w:rFonts w:ascii="Times New Roman" w:hAnsi="Times New Roman"/>
          <w:color w:val="000000"/>
          <w:szCs w:val="20"/>
        </w:rPr>
        <w:t xml:space="preserve"> договору з </w:t>
      </w:r>
      <w:r w:rsidRPr="00E16672">
        <w:rPr>
          <w:rFonts w:ascii="Times New Roman" w:hAnsi="Times New Roman"/>
          <w:color w:val="000000"/>
          <w:szCs w:val="20"/>
          <w:lang w:val="uk-UA"/>
        </w:rPr>
        <w:t>Д</w:t>
      </w:r>
      <w:proofErr w:type="spellStart"/>
      <w:r w:rsidRPr="00E16672">
        <w:rPr>
          <w:rFonts w:ascii="Times New Roman" w:hAnsi="Times New Roman"/>
          <w:color w:val="000000"/>
          <w:szCs w:val="20"/>
        </w:rPr>
        <w:t>епонентом</w:t>
      </w:r>
      <w:proofErr w:type="spellEnd"/>
      <w:r w:rsidRPr="00E16672">
        <w:rPr>
          <w:rFonts w:ascii="Times New Roman" w:hAnsi="Times New Roman"/>
          <w:color w:val="000000"/>
          <w:szCs w:val="20"/>
        </w:rPr>
        <w:t xml:space="preserve"> та </w:t>
      </w:r>
      <w:proofErr w:type="spellStart"/>
      <w:r w:rsidRPr="00E16672">
        <w:rPr>
          <w:rFonts w:ascii="Times New Roman" w:hAnsi="Times New Roman"/>
          <w:color w:val="000000"/>
          <w:szCs w:val="20"/>
        </w:rPr>
        <w:t>рахунку</w:t>
      </w:r>
      <w:proofErr w:type="spellEnd"/>
      <w:r w:rsidRPr="00E16672">
        <w:rPr>
          <w:rFonts w:ascii="Times New Roman" w:hAnsi="Times New Roman"/>
          <w:color w:val="000000"/>
          <w:szCs w:val="20"/>
        </w:rPr>
        <w:t xml:space="preserve">/акту </w:t>
      </w:r>
      <w:proofErr w:type="spellStart"/>
      <w:r w:rsidRPr="00E16672">
        <w:rPr>
          <w:rFonts w:ascii="Times New Roman" w:hAnsi="Times New Roman"/>
          <w:color w:val="000000"/>
          <w:szCs w:val="20"/>
        </w:rPr>
        <w:t>виконаних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робіт</w:t>
      </w:r>
      <w:proofErr w:type="spellEnd"/>
      <w:r w:rsidRPr="00E16672">
        <w:rPr>
          <w:rFonts w:ascii="Times New Roman" w:hAnsi="Times New Roman"/>
          <w:color w:val="000000"/>
          <w:szCs w:val="20"/>
        </w:rPr>
        <w:t>.</w:t>
      </w:r>
    </w:p>
    <w:p w14:paraId="34DF5CFB" w14:textId="77777777" w:rsidR="007974E8" w:rsidRPr="00E16672" w:rsidRDefault="007974E8" w:rsidP="007974E8">
      <w:pPr>
        <w:tabs>
          <w:tab w:val="left" w:pos="540"/>
        </w:tabs>
        <w:ind w:firstLine="540"/>
        <w:rPr>
          <w:rFonts w:ascii="Times New Roman" w:hAnsi="Times New Roman"/>
          <w:color w:val="000000"/>
          <w:szCs w:val="20"/>
        </w:rPr>
      </w:pPr>
      <w:r w:rsidRPr="00E16672">
        <w:rPr>
          <w:rFonts w:ascii="Times New Roman" w:hAnsi="Times New Roman"/>
          <w:color w:val="000000"/>
          <w:szCs w:val="20"/>
        </w:rPr>
        <w:t>4.</w:t>
      </w:r>
      <w:r w:rsidR="000B00C3" w:rsidRPr="00E16672">
        <w:rPr>
          <w:rFonts w:ascii="Times New Roman" w:hAnsi="Times New Roman"/>
          <w:color w:val="000000"/>
          <w:szCs w:val="20"/>
        </w:rPr>
        <w:t>7</w:t>
      </w:r>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Надання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депозитарних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послуг</w:t>
      </w:r>
      <w:proofErr w:type="spellEnd"/>
      <w:r w:rsidRPr="00E16672">
        <w:rPr>
          <w:rFonts w:ascii="Times New Roman" w:hAnsi="Times New Roman"/>
          <w:color w:val="000000"/>
          <w:szCs w:val="20"/>
        </w:rPr>
        <w:t xml:space="preserve"> Депоненту </w:t>
      </w:r>
      <w:proofErr w:type="spellStart"/>
      <w:r w:rsidRPr="00E16672">
        <w:rPr>
          <w:rFonts w:ascii="Times New Roman" w:hAnsi="Times New Roman"/>
          <w:color w:val="000000"/>
          <w:szCs w:val="20"/>
        </w:rPr>
        <w:t>може</w:t>
      </w:r>
      <w:proofErr w:type="spellEnd"/>
      <w:r w:rsidRPr="00E16672">
        <w:rPr>
          <w:rFonts w:ascii="Times New Roman" w:hAnsi="Times New Roman"/>
          <w:color w:val="000000"/>
          <w:szCs w:val="20"/>
        </w:rPr>
        <w:t xml:space="preserve"> бути </w:t>
      </w:r>
      <w:proofErr w:type="spellStart"/>
      <w:r w:rsidRPr="00E16672">
        <w:rPr>
          <w:rFonts w:ascii="Times New Roman" w:hAnsi="Times New Roman"/>
          <w:color w:val="000000"/>
          <w:szCs w:val="20"/>
        </w:rPr>
        <w:t>призупинено</w:t>
      </w:r>
      <w:proofErr w:type="spellEnd"/>
      <w:r w:rsidRPr="00E16672">
        <w:rPr>
          <w:rFonts w:ascii="Times New Roman" w:hAnsi="Times New Roman"/>
          <w:color w:val="000000"/>
          <w:szCs w:val="20"/>
        </w:rPr>
        <w:t xml:space="preserve"> Депозитарною </w:t>
      </w:r>
      <w:proofErr w:type="spellStart"/>
      <w:r w:rsidRPr="00E16672">
        <w:rPr>
          <w:rFonts w:ascii="Times New Roman" w:hAnsi="Times New Roman"/>
          <w:color w:val="000000"/>
          <w:szCs w:val="20"/>
        </w:rPr>
        <w:t>установою</w:t>
      </w:r>
      <w:proofErr w:type="spellEnd"/>
      <w:r w:rsidRPr="00E16672">
        <w:rPr>
          <w:rFonts w:ascii="Times New Roman" w:hAnsi="Times New Roman"/>
          <w:color w:val="000000"/>
          <w:szCs w:val="20"/>
        </w:rPr>
        <w:t xml:space="preserve"> у </w:t>
      </w:r>
      <w:proofErr w:type="spellStart"/>
      <w:r w:rsidRPr="00E16672">
        <w:rPr>
          <w:rFonts w:ascii="Times New Roman" w:hAnsi="Times New Roman"/>
          <w:color w:val="000000"/>
          <w:szCs w:val="20"/>
        </w:rPr>
        <w:t>разі</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відсутності</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належної</w:t>
      </w:r>
      <w:proofErr w:type="spellEnd"/>
      <w:r w:rsidRPr="00E16672">
        <w:rPr>
          <w:rFonts w:ascii="Times New Roman" w:hAnsi="Times New Roman"/>
          <w:color w:val="000000"/>
          <w:szCs w:val="20"/>
        </w:rPr>
        <w:t xml:space="preserve"> оплати </w:t>
      </w:r>
      <w:proofErr w:type="spellStart"/>
      <w:r w:rsidRPr="00E16672">
        <w:rPr>
          <w:rFonts w:ascii="Times New Roman" w:hAnsi="Times New Roman"/>
          <w:color w:val="000000"/>
          <w:szCs w:val="20"/>
        </w:rPr>
        <w:t>послуг</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Депозитарної</w:t>
      </w:r>
      <w:proofErr w:type="spellEnd"/>
      <w:r w:rsidRPr="00E16672">
        <w:rPr>
          <w:rFonts w:ascii="Times New Roman" w:hAnsi="Times New Roman"/>
          <w:color w:val="000000"/>
          <w:szCs w:val="20"/>
        </w:rPr>
        <w:t xml:space="preserve"> установи з боку Депонента до </w:t>
      </w:r>
      <w:proofErr w:type="spellStart"/>
      <w:r w:rsidRPr="00E16672">
        <w:rPr>
          <w:rFonts w:ascii="Times New Roman" w:hAnsi="Times New Roman"/>
          <w:color w:val="000000"/>
          <w:szCs w:val="20"/>
        </w:rPr>
        <w:t>повного</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погашення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заборгованості</w:t>
      </w:r>
      <w:proofErr w:type="spellEnd"/>
      <w:r w:rsidRPr="00E16672">
        <w:rPr>
          <w:rFonts w:ascii="Times New Roman" w:hAnsi="Times New Roman"/>
          <w:color w:val="000000"/>
          <w:szCs w:val="20"/>
        </w:rPr>
        <w:t>.</w:t>
      </w:r>
    </w:p>
    <w:p w14:paraId="77FEDB87" w14:textId="77777777" w:rsidR="007974E8" w:rsidRPr="00E16672" w:rsidRDefault="007974E8" w:rsidP="007974E8">
      <w:pPr>
        <w:pStyle w:val="af"/>
        <w:rPr>
          <w:rFonts w:ascii="Times New Roman" w:eastAsia="Times New Roman" w:hAnsi="Times New Roman" w:cs="Times New Roman"/>
          <w:color w:val="000000"/>
          <w:lang w:val="ru-RU"/>
        </w:rPr>
      </w:pPr>
    </w:p>
    <w:p w14:paraId="0738BBCA" w14:textId="77777777" w:rsidR="007974E8" w:rsidRPr="00E16672" w:rsidRDefault="007974E8" w:rsidP="007974E8">
      <w:pPr>
        <w:pStyle w:val="310"/>
        <w:ind w:firstLine="567"/>
        <w:jc w:val="center"/>
        <w:rPr>
          <w:rFonts w:ascii="Times New Roman" w:hAnsi="Times New Roman"/>
          <w:b/>
          <w:color w:val="000000"/>
          <w:sz w:val="20"/>
          <w:szCs w:val="20"/>
        </w:rPr>
      </w:pPr>
      <w:r w:rsidRPr="00E16672">
        <w:rPr>
          <w:rFonts w:ascii="Times New Roman" w:hAnsi="Times New Roman"/>
          <w:b/>
          <w:color w:val="000000"/>
          <w:sz w:val="20"/>
          <w:szCs w:val="20"/>
        </w:rPr>
        <w:lastRenderedPageBreak/>
        <w:t>5. Порядок розгляду спорів, що можуть виникнути між сторонами в процесі виконання, зміни чи розірвання Договору.</w:t>
      </w:r>
    </w:p>
    <w:p w14:paraId="2688DDAC" w14:textId="77777777" w:rsidR="007974E8" w:rsidRPr="00E16672" w:rsidRDefault="007974E8" w:rsidP="007974E8">
      <w:pPr>
        <w:pStyle w:val="310"/>
        <w:ind w:firstLine="567"/>
        <w:rPr>
          <w:rFonts w:ascii="Times New Roman" w:hAnsi="Times New Roman"/>
          <w:color w:val="000000"/>
          <w:sz w:val="20"/>
          <w:szCs w:val="20"/>
        </w:rPr>
      </w:pPr>
      <w:r w:rsidRPr="00E16672">
        <w:rPr>
          <w:rFonts w:ascii="Times New Roman" w:hAnsi="Times New Roman"/>
          <w:color w:val="000000"/>
          <w:sz w:val="20"/>
          <w:szCs w:val="20"/>
        </w:rPr>
        <w:t>5.1. Кожна Сторона зобов’язується виконувати свої обов’язки належним чином та сприяти іншій Стороні у виконанні.</w:t>
      </w:r>
    </w:p>
    <w:p w14:paraId="6BACC62E" w14:textId="77777777" w:rsidR="007974E8" w:rsidRPr="00E16672" w:rsidRDefault="007974E8" w:rsidP="007974E8">
      <w:pPr>
        <w:pStyle w:val="310"/>
        <w:ind w:firstLine="567"/>
        <w:rPr>
          <w:rFonts w:ascii="Times New Roman" w:hAnsi="Times New Roman"/>
          <w:color w:val="000000"/>
          <w:sz w:val="20"/>
          <w:szCs w:val="20"/>
        </w:rPr>
      </w:pPr>
      <w:r w:rsidRPr="00E16672">
        <w:rPr>
          <w:rFonts w:ascii="Times New Roman" w:hAnsi="Times New Roman"/>
          <w:color w:val="000000"/>
          <w:sz w:val="20"/>
          <w:szCs w:val="20"/>
        </w:rPr>
        <w:t xml:space="preserve">5.2. Обмін розпорядженнями, повідомленнями, інформацією, що надається у зв’язку з виконанням Сторонами Договору може </w:t>
      </w:r>
      <w:proofErr w:type="spellStart"/>
      <w:r w:rsidRPr="00E16672">
        <w:rPr>
          <w:rFonts w:ascii="Times New Roman" w:hAnsi="Times New Roman"/>
          <w:color w:val="000000"/>
          <w:sz w:val="20"/>
          <w:szCs w:val="20"/>
        </w:rPr>
        <w:t>здійснюватись</w:t>
      </w:r>
      <w:proofErr w:type="spellEnd"/>
      <w:r w:rsidRPr="00E16672">
        <w:rPr>
          <w:rFonts w:ascii="Times New Roman" w:hAnsi="Times New Roman"/>
          <w:color w:val="000000"/>
          <w:sz w:val="20"/>
          <w:szCs w:val="20"/>
        </w:rPr>
        <w:t xml:space="preserve"> особисто, засобами поштового зв’язку, кур’єром, у формі S.W.I.F.T. – повідомлень, у формі електронних документів. </w:t>
      </w:r>
    </w:p>
    <w:p w14:paraId="5E3BC37A" w14:textId="77777777" w:rsidR="007974E8" w:rsidRPr="00E16672" w:rsidRDefault="007974E8" w:rsidP="007974E8">
      <w:pPr>
        <w:pStyle w:val="310"/>
        <w:ind w:firstLine="567"/>
        <w:rPr>
          <w:rFonts w:ascii="Times New Roman" w:hAnsi="Times New Roman"/>
          <w:color w:val="000000"/>
          <w:sz w:val="20"/>
          <w:szCs w:val="20"/>
        </w:rPr>
      </w:pPr>
      <w:r w:rsidRPr="00E16672">
        <w:rPr>
          <w:rFonts w:ascii="Times New Roman" w:hAnsi="Times New Roman"/>
          <w:color w:val="000000"/>
          <w:sz w:val="20"/>
          <w:szCs w:val="20"/>
        </w:rPr>
        <w:t xml:space="preserve">5.3. Сторони </w:t>
      </w:r>
      <w:r w:rsidR="007B5C69" w:rsidRPr="00E16672">
        <w:rPr>
          <w:rFonts w:ascii="Times New Roman" w:hAnsi="Times New Roman"/>
          <w:color w:val="000000"/>
          <w:sz w:val="20"/>
          <w:szCs w:val="20"/>
        </w:rPr>
        <w:t>підтверджують</w:t>
      </w:r>
      <w:r w:rsidRPr="00E16672">
        <w:rPr>
          <w:rFonts w:ascii="Times New Roman" w:hAnsi="Times New Roman"/>
          <w:color w:val="000000"/>
          <w:sz w:val="20"/>
          <w:szCs w:val="20"/>
        </w:rPr>
        <w:t xml:space="preserve"> достовірність підписів на розпорядженнях Керуючого рахунком способом, визначеним у розділі 3 цього Договору.</w:t>
      </w:r>
    </w:p>
    <w:p w14:paraId="35C70766" w14:textId="77777777" w:rsidR="007974E8" w:rsidRPr="00E16672" w:rsidRDefault="007974E8" w:rsidP="007974E8">
      <w:pPr>
        <w:pStyle w:val="310"/>
        <w:ind w:firstLine="567"/>
        <w:rPr>
          <w:rFonts w:ascii="Times New Roman" w:hAnsi="Times New Roman"/>
          <w:color w:val="000000"/>
          <w:sz w:val="20"/>
          <w:szCs w:val="20"/>
        </w:rPr>
      </w:pPr>
      <w:r w:rsidRPr="00E16672">
        <w:rPr>
          <w:rFonts w:ascii="Times New Roman" w:hAnsi="Times New Roman"/>
          <w:color w:val="000000"/>
          <w:sz w:val="20"/>
          <w:szCs w:val="20"/>
        </w:rPr>
        <w:t>5.4. Сторони несуть відповідальність за невиконання або неналежне виконання своїх зобов’язань за цим Договором відповідно до законодавства, у тому числі нормативно-правових актів НКЦПФР.</w:t>
      </w:r>
    </w:p>
    <w:p w14:paraId="2F7392FF" w14:textId="77777777" w:rsidR="007974E8" w:rsidRPr="00E16672" w:rsidRDefault="007974E8" w:rsidP="007974E8">
      <w:pPr>
        <w:pStyle w:val="310"/>
        <w:ind w:firstLine="567"/>
        <w:rPr>
          <w:rFonts w:ascii="Times New Roman" w:hAnsi="Times New Roman"/>
          <w:color w:val="000000"/>
          <w:sz w:val="20"/>
          <w:szCs w:val="20"/>
        </w:rPr>
      </w:pPr>
      <w:r w:rsidRPr="00E16672">
        <w:rPr>
          <w:rFonts w:ascii="Times New Roman" w:hAnsi="Times New Roman"/>
          <w:color w:val="000000"/>
          <w:sz w:val="20"/>
          <w:szCs w:val="20"/>
        </w:rPr>
        <w:t>5.5. Сторона, яка порушила зобов’язання відповідно до цього Договору, повинна усунути ці порушення в найкоротший строк.</w:t>
      </w:r>
    </w:p>
    <w:p w14:paraId="7FDB0A4A" w14:textId="77777777" w:rsidR="007974E8" w:rsidRPr="00E16672" w:rsidRDefault="007974E8" w:rsidP="007974E8">
      <w:pPr>
        <w:pStyle w:val="310"/>
        <w:ind w:firstLine="567"/>
        <w:rPr>
          <w:rFonts w:ascii="Times New Roman" w:hAnsi="Times New Roman"/>
          <w:color w:val="000000"/>
          <w:sz w:val="20"/>
          <w:szCs w:val="20"/>
        </w:rPr>
      </w:pPr>
      <w:r w:rsidRPr="00E16672">
        <w:rPr>
          <w:rFonts w:ascii="Times New Roman" w:hAnsi="Times New Roman"/>
          <w:color w:val="000000"/>
          <w:sz w:val="20"/>
          <w:szCs w:val="20"/>
        </w:rPr>
        <w:t xml:space="preserve"> 5.6. Депозитарна установа несе </w:t>
      </w:r>
      <w:proofErr w:type="spellStart"/>
      <w:r w:rsidRPr="00E16672">
        <w:rPr>
          <w:rFonts w:ascii="Times New Roman" w:hAnsi="Times New Roman"/>
          <w:color w:val="000000"/>
          <w:sz w:val="20"/>
          <w:szCs w:val="20"/>
        </w:rPr>
        <w:t>вiдповiдальнiсть</w:t>
      </w:r>
      <w:proofErr w:type="spellEnd"/>
      <w:r w:rsidRPr="00E16672">
        <w:rPr>
          <w:rFonts w:ascii="Times New Roman" w:hAnsi="Times New Roman"/>
          <w:color w:val="000000"/>
          <w:sz w:val="20"/>
          <w:szCs w:val="20"/>
        </w:rPr>
        <w:t>:</w:t>
      </w:r>
    </w:p>
    <w:p w14:paraId="1126A7EE" w14:textId="77777777" w:rsidR="007974E8" w:rsidRPr="00E16672" w:rsidRDefault="007974E8" w:rsidP="007974E8">
      <w:pPr>
        <w:pStyle w:val="310"/>
        <w:ind w:firstLine="567"/>
        <w:rPr>
          <w:rFonts w:ascii="Times New Roman" w:hAnsi="Times New Roman"/>
          <w:color w:val="000000"/>
          <w:sz w:val="20"/>
          <w:szCs w:val="20"/>
        </w:rPr>
      </w:pPr>
      <w:r w:rsidRPr="00E16672">
        <w:rPr>
          <w:rFonts w:ascii="Times New Roman" w:hAnsi="Times New Roman"/>
          <w:color w:val="000000"/>
          <w:sz w:val="20"/>
          <w:szCs w:val="20"/>
        </w:rPr>
        <w:t xml:space="preserve">- за забезпечення режиму конфіденційності щодо Депонента та належних </w:t>
      </w:r>
      <w:proofErr w:type="spellStart"/>
      <w:r w:rsidRPr="00E16672">
        <w:rPr>
          <w:rFonts w:ascii="Times New Roman" w:hAnsi="Times New Roman"/>
          <w:color w:val="000000"/>
          <w:sz w:val="20"/>
          <w:szCs w:val="20"/>
        </w:rPr>
        <w:t>йом</w:t>
      </w:r>
      <w:r w:rsidR="00C22309" w:rsidRPr="00E16672">
        <w:rPr>
          <w:rFonts w:ascii="Times New Roman" w:hAnsi="Times New Roman"/>
          <w:color w:val="000000"/>
          <w:sz w:val="20"/>
          <w:szCs w:val="20"/>
        </w:rPr>
        <w:t>в</w:t>
      </w:r>
      <w:proofErr w:type="spellEnd"/>
      <w:r w:rsidR="00C22309" w:rsidRPr="00E16672">
        <w:rPr>
          <w:rFonts w:ascii="Times New Roman" w:hAnsi="Times New Roman"/>
          <w:color w:val="000000"/>
          <w:sz w:val="20"/>
          <w:szCs w:val="20"/>
        </w:rPr>
        <w:t xml:space="preserve"> цін</w:t>
      </w:r>
      <w:r w:rsidRPr="00E16672">
        <w:rPr>
          <w:rFonts w:ascii="Times New Roman" w:hAnsi="Times New Roman"/>
          <w:color w:val="000000"/>
          <w:sz w:val="20"/>
          <w:szCs w:val="20"/>
        </w:rPr>
        <w:t>них паперів;</w:t>
      </w:r>
    </w:p>
    <w:p w14:paraId="1305106F" w14:textId="77777777" w:rsidR="007974E8" w:rsidRPr="00E16672" w:rsidRDefault="007974E8" w:rsidP="007974E8">
      <w:pPr>
        <w:pStyle w:val="310"/>
        <w:ind w:firstLine="567"/>
        <w:rPr>
          <w:rFonts w:ascii="Times New Roman" w:hAnsi="Times New Roman"/>
          <w:color w:val="000000"/>
          <w:sz w:val="20"/>
          <w:szCs w:val="20"/>
        </w:rPr>
      </w:pPr>
      <w:r w:rsidRPr="00E16672">
        <w:rPr>
          <w:rFonts w:ascii="Times New Roman" w:hAnsi="Times New Roman"/>
          <w:color w:val="000000"/>
          <w:sz w:val="20"/>
          <w:szCs w:val="20"/>
        </w:rPr>
        <w:t>- за підтвердження достовірності підписів Керуючого рахунком на його розпорядженнях;</w:t>
      </w:r>
    </w:p>
    <w:p w14:paraId="445423ED" w14:textId="77777777" w:rsidR="007974E8" w:rsidRPr="00E16672" w:rsidRDefault="007974E8" w:rsidP="007974E8">
      <w:pPr>
        <w:pStyle w:val="310"/>
        <w:ind w:firstLine="567"/>
        <w:rPr>
          <w:rFonts w:ascii="Times New Roman" w:hAnsi="Times New Roman"/>
          <w:color w:val="000000"/>
          <w:sz w:val="20"/>
          <w:szCs w:val="20"/>
        </w:rPr>
      </w:pPr>
      <w:r w:rsidRPr="00E16672">
        <w:rPr>
          <w:rFonts w:ascii="Times New Roman" w:hAnsi="Times New Roman"/>
          <w:color w:val="000000"/>
          <w:sz w:val="20"/>
          <w:szCs w:val="20"/>
        </w:rPr>
        <w:t>- за перевірку розпорядження на правильність складання та інші перевірки, передбачені чинним законодавством України та внутрішніми документами Депозитарної установи;</w:t>
      </w:r>
    </w:p>
    <w:p w14:paraId="6AF31E60" w14:textId="77777777" w:rsidR="007974E8" w:rsidRPr="00E16672" w:rsidRDefault="007974E8" w:rsidP="007974E8">
      <w:pPr>
        <w:rPr>
          <w:rFonts w:ascii="Times New Roman" w:hAnsi="Times New Roman"/>
          <w:color w:val="000000"/>
          <w:szCs w:val="20"/>
          <w:lang w:val="uk-UA"/>
        </w:rPr>
      </w:pPr>
      <w:r w:rsidRPr="00E16672">
        <w:rPr>
          <w:rFonts w:ascii="Times New Roman" w:hAnsi="Times New Roman"/>
          <w:color w:val="000000"/>
          <w:szCs w:val="20"/>
        </w:rPr>
        <w:t xml:space="preserve">- </w:t>
      </w:r>
      <w:r w:rsidRPr="00E16672">
        <w:rPr>
          <w:rFonts w:ascii="Times New Roman" w:hAnsi="Times New Roman"/>
          <w:color w:val="000000"/>
          <w:szCs w:val="20"/>
          <w:lang w:val="uk-UA"/>
        </w:rPr>
        <w:t xml:space="preserve">за </w:t>
      </w:r>
      <w:proofErr w:type="spellStart"/>
      <w:r w:rsidRPr="00E16672">
        <w:rPr>
          <w:rFonts w:ascii="Times New Roman" w:hAnsi="Times New Roman"/>
          <w:color w:val="000000"/>
          <w:szCs w:val="20"/>
        </w:rPr>
        <w:t>правильне</w:t>
      </w:r>
      <w:proofErr w:type="spellEnd"/>
      <w:r w:rsidRPr="00E16672">
        <w:rPr>
          <w:rFonts w:ascii="Times New Roman" w:hAnsi="Times New Roman"/>
          <w:color w:val="000000"/>
          <w:szCs w:val="20"/>
          <w:lang w:val="uk-UA"/>
        </w:rPr>
        <w:t xml:space="preserve"> виконання розпоряджень Керуючого рахунком, які не суперечать вимогам чинного законодавства України;</w:t>
      </w:r>
    </w:p>
    <w:p w14:paraId="0BE13C91" w14:textId="77777777" w:rsidR="007974E8" w:rsidRPr="00E16672" w:rsidRDefault="007974E8" w:rsidP="007974E8">
      <w:pPr>
        <w:pStyle w:val="310"/>
        <w:ind w:firstLine="567"/>
        <w:rPr>
          <w:rFonts w:ascii="Times New Roman" w:hAnsi="Times New Roman"/>
          <w:color w:val="000000"/>
          <w:sz w:val="20"/>
          <w:szCs w:val="20"/>
        </w:rPr>
      </w:pPr>
      <w:r w:rsidRPr="00E16672">
        <w:rPr>
          <w:rFonts w:ascii="Times New Roman" w:hAnsi="Times New Roman"/>
          <w:color w:val="000000"/>
          <w:sz w:val="20"/>
          <w:szCs w:val="20"/>
        </w:rPr>
        <w:t xml:space="preserve">- за дотримання правил обліку при виконанні своїх обов’язків, за правильність ведення записів по рахунку </w:t>
      </w:r>
      <w:r w:rsidR="00C22309" w:rsidRPr="00E16672">
        <w:rPr>
          <w:rFonts w:ascii="Times New Roman" w:hAnsi="Times New Roman"/>
          <w:color w:val="000000"/>
          <w:sz w:val="20"/>
          <w:szCs w:val="20"/>
        </w:rPr>
        <w:t>в цін</w:t>
      </w:r>
      <w:r w:rsidRPr="00E16672">
        <w:rPr>
          <w:rFonts w:ascii="Times New Roman" w:hAnsi="Times New Roman"/>
          <w:color w:val="000000"/>
          <w:sz w:val="20"/>
          <w:szCs w:val="20"/>
        </w:rPr>
        <w:t>них паперах</w:t>
      </w:r>
    </w:p>
    <w:p w14:paraId="5ADD4B89" w14:textId="77777777" w:rsidR="007974E8" w:rsidRPr="00E16672" w:rsidRDefault="007974E8" w:rsidP="007974E8">
      <w:pPr>
        <w:pStyle w:val="310"/>
        <w:ind w:firstLine="567"/>
        <w:rPr>
          <w:rFonts w:ascii="Times New Roman" w:hAnsi="Times New Roman"/>
          <w:color w:val="000000"/>
          <w:sz w:val="20"/>
          <w:szCs w:val="20"/>
        </w:rPr>
      </w:pPr>
      <w:r w:rsidRPr="00E16672">
        <w:rPr>
          <w:rFonts w:ascii="Times New Roman" w:hAnsi="Times New Roman"/>
          <w:color w:val="000000"/>
          <w:sz w:val="20"/>
          <w:szCs w:val="20"/>
        </w:rPr>
        <w:t xml:space="preserve">- за зберігання цінних паперів Депонента, що обліковуються у Депозитарній установі на рахунку </w:t>
      </w:r>
      <w:r w:rsidR="00C22309" w:rsidRPr="00E16672">
        <w:rPr>
          <w:rFonts w:ascii="Times New Roman" w:hAnsi="Times New Roman"/>
          <w:color w:val="000000"/>
          <w:sz w:val="20"/>
          <w:szCs w:val="20"/>
        </w:rPr>
        <w:t>в цін</w:t>
      </w:r>
      <w:r w:rsidRPr="00E16672">
        <w:rPr>
          <w:rFonts w:ascii="Times New Roman" w:hAnsi="Times New Roman"/>
          <w:color w:val="000000"/>
          <w:sz w:val="20"/>
          <w:szCs w:val="20"/>
        </w:rPr>
        <w:t>них паперах Депонента.</w:t>
      </w:r>
    </w:p>
    <w:p w14:paraId="76A79DD5" w14:textId="77777777" w:rsidR="007974E8" w:rsidRPr="00E16672" w:rsidRDefault="007974E8" w:rsidP="007974E8">
      <w:pPr>
        <w:pStyle w:val="310"/>
        <w:ind w:firstLine="567"/>
        <w:rPr>
          <w:rFonts w:ascii="Times New Roman" w:hAnsi="Times New Roman"/>
          <w:color w:val="000000"/>
          <w:sz w:val="20"/>
          <w:szCs w:val="20"/>
        </w:rPr>
      </w:pPr>
      <w:r w:rsidRPr="00E16672">
        <w:rPr>
          <w:rFonts w:ascii="Times New Roman" w:hAnsi="Times New Roman"/>
          <w:color w:val="000000"/>
          <w:sz w:val="20"/>
          <w:szCs w:val="20"/>
        </w:rPr>
        <w:t xml:space="preserve">5.7. Депозитарна установа не несе відповідальності перед Депонентом за шкоду, заподіяну діями або бездіяльністю Депозитарної установи, якщо ці дії (бездіяльність) здійснювались Депозитарною установою за письмовими розпорядженнями Керуючого рахунком, виникли внаслідок дій (бездіяльності) інших учасників депозитарної системи. </w:t>
      </w:r>
    </w:p>
    <w:p w14:paraId="175EF722" w14:textId="77777777" w:rsidR="007974E8" w:rsidRPr="00E16672" w:rsidRDefault="007974E8" w:rsidP="007974E8">
      <w:pPr>
        <w:pStyle w:val="310"/>
        <w:ind w:firstLine="567"/>
        <w:rPr>
          <w:rFonts w:ascii="Times New Roman" w:hAnsi="Times New Roman"/>
          <w:color w:val="000000"/>
          <w:sz w:val="20"/>
          <w:szCs w:val="20"/>
        </w:rPr>
      </w:pPr>
      <w:r w:rsidRPr="00E16672">
        <w:rPr>
          <w:rFonts w:ascii="Times New Roman" w:hAnsi="Times New Roman"/>
          <w:color w:val="000000"/>
          <w:sz w:val="20"/>
          <w:szCs w:val="20"/>
        </w:rPr>
        <w:t xml:space="preserve">5.8. Депонент несе </w:t>
      </w:r>
      <w:proofErr w:type="spellStart"/>
      <w:r w:rsidRPr="00E16672">
        <w:rPr>
          <w:rFonts w:ascii="Times New Roman" w:hAnsi="Times New Roman"/>
          <w:color w:val="000000"/>
          <w:sz w:val="20"/>
          <w:szCs w:val="20"/>
        </w:rPr>
        <w:t>вiдповiдальнiсть</w:t>
      </w:r>
      <w:proofErr w:type="spellEnd"/>
      <w:r w:rsidRPr="00E16672">
        <w:rPr>
          <w:rFonts w:ascii="Times New Roman" w:hAnsi="Times New Roman"/>
          <w:color w:val="000000"/>
          <w:sz w:val="20"/>
          <w:szCs w:val="20"/>
        </w:rPr>
        <w:t xml:space="preserve"> за дії Керуючого рахунком, за всі дії розпорядників рахунків, а також за наслідки виданих ним розпоряджень. </w:t>
      </w:r>
    </w:p>
    <w:p w14:paraId="313B857B" w14:textId="77777777" w:rsidR="007974E8" w:rsidRPr="00E16672" w:rsidRDefault="007974E8" w:rsidP="007974E8">
      <w:pPr>
        <w:pStyle w:val="310"/>
        <w:ind w:firstLine="567"/>
        <w:rPr>
          <w:rFonts w:ascii="Times New Roman" w:hAnsi="Times New Roman"/>
          <w:color w:val="000000"/>
          <w:sz w:val="20"/>
          <w:szCs w:val="20"/>
        </w:rPr>
      </w:pPr>
      <w:r w:rsidRPr="00E16672">
        <w:rPr>
          <w:rFonts w:ascii="Times New Roman" w:hAnsi="Times New Roman"/>
          <w:color w:val="000000"/>
          <w:sz w:val="20"/>
          <w:szCs w:val="20"/>
        </w:rPr>
        <w:t xml:space="preserve">5.9. Депозитарна установа має право за порушення термінів оплаті нарахувати та стягнути з іншої Сторони пеню у розмірі </w:t>
      </w:r>
      <w:r w:rsidRPr="00E16672">
        <w:rPr>
          <w:rFonts w:ascii="Times New Roman" w:hAnsi="Times New Roman"/>
          <w:i/>
          <w:iCs/>
          <w:color w:val="000000"/>
          <w:sz w:val="20"/>
          <w:szCs w:val="20"/>
        </w:rPr>
        <w:t>подвійної облікової ставки</w:t>
      </w:r>
      <w:r w:rsidRPr="00E16672">
        <w:rPr>
          <w:rFonts w:ascii="Times New Roman" w:hAnsi="Times New Roman"/>
          <w:color w:val="000000"/>
          <w:sz w:val="20"/>
          <w:szCs w:val="20"/>
        </w:rPr>
        <w:t xml:space="preserve"> Національного банку України, що діяла у період за який нараховується пеня,</w:t>
      </w:r>
      <w:r w:rsidRPr="00E16672">
        <w:rPr>
          <w:rFonts w:ascii="Times New Roman" w:hAnsi="Times New Roman"/>
          <w:color w:val="000000"/>
          <w:sz w:val="20"/>
          <w:szCs w:val="20"/>
          <w:lang w:eastAsia="hi-IN" w:bidi="hi-IN"/>
        </w:rPr>
        <w:t xml:space="preserve"> від суми простроченого платежу за кожен день прострочення</w:t>
      </w:r>
      <w:r w:rsidRPr="00E16672">
        <w:rPr>
          <w:rFonts w:ascii="Times New Roman" w:hAnsi="Times New Roman"/>
          <w:color w:val="000000"/>
          <w:sz w:val="20"/>
          <w:szCs w:val="20"/>
        </w:rPr>
        <w:t xml:space="preserve">. Формула, за якою розраховується пеня: </w:t>
      </w:r>
    </w:p>
    <w:p w14:paraId="537C8704" w14:textId="77777777" w:rsidR="007974E8" w:rsidRPr="00E16672" w:rsidRDefault="007974E8" w:rsidP="007974E8">
      <w:pPr>
        <w:pStyle w:val="310"/>
        <w:ind w:firstLine="567"/>
        <w:rPr>
          <w:rFonts w:ascii="Times New Roman" w:hAnsi="Times New Roman"/>
          <w:color w:val="000000"/>
          <w:sz w:val="20"/>
          <w:szCs w:val="20"/>
        </w:rPr>
      </w:pPr>
      <w:r w:rsidRPr="00E16672">
        <w:rPr>
          <w:rFonts w:ascii="Times New Roman" w:hAnsi="Times New Roman"/>
          <w:color w:val="000000"/>
          <w:sz w:val="20"/>
          <w:szCs w:val="20"/>
        </w:rPr>
        <w:t>5.9.1. П=</w:t>
      </w:r>
      <w:proofErr w:type="spellStart"/>
      <w:r w:rsidRPr="00E16672">
        <w:rPr>
          <w:rFonts w:ascii="Times New Roman" w:hAnsi="Times New Roman"/>
          <w:color w:val="000000"/>
          <w:sz w:val="20"/>
          <w:szCs w:val="20"/>
        </w:rPr>
        <w:t>Тнеоплачений</w:t>
      </w:r>
      <w:proofErr w:type="spellEnd"/>
      <w:r w:rsidRPr="00E16672">
        <w:rPr>
          <w:rFonts w:ascii="Times New Roman" w:hAnsi="Times New Roman"/>
          <w:color w:val="000000"/>
          <w:sz w:val="20"/>
          <w:szCs w:val="20"/>
        </w:rPr>
        <w:t>*2НБУ/</w:t>
      </w:r>
      <w:proofErr w:type="spellStart"/>
      <w:r w:rsidRPr="00E16672">
        <w:rPr>
          <w:rFonts w:ascii="Times New Roman" w:hAnsi="Times New Roman"/>
          <w:color w:val="000000"/>
          <w:sz w:val="20"/>
          <w:szCs w:val="20"/>
        </w:rPr>
        <w:t>Дрік</w:t>
      </w:r>
      <w:proofErr w:type="spellEnd"/>
      <w:r w:rsidRPr="00E16672">
        <w:rPr>
          <w:rFonts w:ascii="Times New Roman" w:hAnsi="Times New Roman"/>
          <w:color w:val="000000"/>
          <w:sz w:val="20"/>
          <w:szCs w:val="20"/>
        </w:rPr>
        <w:t>*</w:t>
      </w:r>
      <w:proofErr w:type="spellStart"/>
      <w:r w:rsidRPr="00E16672">
        <w:rPr>
          <w:rFonts w:ascii="Times New Roman" w:hAnsi="Times New Roman"/>
          <w:color w:val="000000"/>
          <w:sz w:val="20"/>
          <w:szCs w:val="20"/>
        </w:rPr>
        <w:t>Днарахування</w:t>
      </w:r>
      <w:proofErr w:type="spellEnd"/>
      <w:r w:rsidRPr="00E16672">
        <w:rPr>
          <w:rFonts w:ascii="Times New Roman" w:hAnsi="Times New Roman"/>
          <w:color w:val="000000"/>
          <w:sz w:val="20"/>
          <w:szCs w:val="20"/>
        </w:rPr>
        <w:t>, де:</w:t>
      </w:r>
    </w:p>
    <w:p w14:paraId="6B547B4B" w14:textId="77777777" w:rsidR="007974E8" w:rsidRPr="00E16672" w:rsidRDefault="007974E8" w:rsidP="007974E8">
      <w:pPr>
        <w:pStyle w:val="310"/>
        <w:ind w:firstLine="567"/>
        <w:rPr>
          <w:rFonts w:ascii="Times New Roman" w:hAnsi="Times New Roman"/>
          <w:color w:val="000000"/>
          <w:sz w:val="20"/>
          <w:szCs w:val="20"/>
        </w:rPr>
      </w:pPr>
      <w:r w:rsidRPr="00E16672">
        <w:rPr>
          <w:rFonts w:ascii="Times New Roman" w:hAnsi="Times New Roman"/>
          <w:color w:val="000000"/>
          <w:sz w:val="20"/>
          <w:szCs w:val="20"/>
        </w:rPr>
        <w:t>П – пеня;</w:t>
      </w:r>
    </w:p>
    <w:p w14:paraId="230ADA18" w14:textId="77777777" w:rsidR="007974E8" w:rsidRPr="00E16672" w:rsidRDefault="007974E8" w:rsidP="007974E8">
      <w:pPr>
        <w:pStyle w:val="310"/>
        <w:ind w:firstLine="567"/>
        <w:rPr>
          <w:rFonts w:ascii="Times New Roman" w:hAnsi="Times New Roman"/>
          <w:color w:val="000000"/>
          <w:sz w:val="20"/>
          <w:szCs w:val="20"/>
        </w:rPr>
      </w:pPr>
      <w:r w:rsidRPr="00E16672">
        <w:rPr>
          <w:rFonts w:ascii="Times New Roman" w:hAnsi="Times New Roman"/>
          <w:color w:val="000000"/>
          <w:sz w:val="20"/>
          <w:szCs w:val="20"/>
        </w:rPr>
        <w:t>Т неоплачений – вартість неоплаченої послуги;</w:t>
      </w:r>
    </w:p>
    <w:p w14:paraId="725D8948" w14:textId="77777777" w:rsidR="007974E8" w:rsidRPr="00E16672" w:rsidRDefault="007974E8" w:rsidP="007974E8">
      <w:pPr>
        <w:pStyle w:val="310"/>
        <w:ind w:firstLine="567"/>
        <w:rPr>
          <w:rFonts w:ascii="Times New Roman" w:hAnsi="Times New Roman"/>
          <w:color w:val="000000"/>
          <w:sz w:val="20"/>
          <w:szCs w:val="20"/>
        </w:rPr>
      </w:pPr>
      <w:r w:rsidRPr="00E16672">
        <w:rPr>
          <w:rFonts w:ascii="Times New Roman" w:hAnsi="Times New Roman"/>
          <w:color w:val="000000"/>
          <w:sz w:val="20"/>
          <w:szCs w:val="20"/>
        </w:rPr>
        <w:t>2НБУ – подвійна облікова ставка Національного Банку України;</w:t>
      </w:r>
    </w:p>
    <w:p w14:paraId="096882B3" w14:textId="77777777" w:rsidR="007974E8" w:rsidRPr="00E16672" w:rsidRDefault="007974E8" w:rsidP="007974E8">
      <w:pPr>
        <w:pStyle w:val="310"/>
        <w:ind w:firstLine="567"/>
        <w:rPr>
          <w:rFonts w:ascii="Times New Roman" w:hAnsi="Times New Roman"/>
          <w:color w:val="000000"/>
          <w:sz w:val="20"/>
          <w:szCs w:val="20"/>
        </w:rPr>
      </w:pPr>
      <w:r w:rsidRPr="00E16672">
        <w:rPr>
          <w:rFonts w:ascii="Times New Roman" w:hAnsi="Times New Roman"/>
          <w:color w:val="000000"/>
          <w:sz w:val="20"/>
          <w:szCs w:val="20"/>
        </w:rPr>
        <w:t>Д рік – кількість днів у році;</w:t>
      </w:r>
    </w:p>
    <w:p w14:paraId="096AC41A" w14:textId="77777777" w:rsidR="007974E8" w:rsidRPr="00E16672" w:rsidRDefault="007974E8" w:rsidP="007974E8">
      <w:pPr>
        <w:pStyle w:val="310"/>
        <w:ind w:firstLine="567"/>
        <w:rPr>
          <w:rFonts w:ascii="Times New Roman" w:hAnsi="Times New Roman"/>
          <w:color w:val="000000"/>
          <w:sz w:val="20"/>
          <w:szCs w:val="20"/>
        </w:rPr>
      </w:pPr>
      <w:r w:rsidRPr="00E16672">
        <w:rPr>
          <w:rFonts w:ascii="Times New Roman" w:hAnsi="Times New Roman"/>
          <w:color w:val="000000"/>
          <w:sz w:val="20"/>
          <w:szCs w:val="20"/>
        </w:rPr>
        <w:t>Д нарахування – кількість днів нарахування пені.</w:t>
      </w:r>
    </w:p>
    <w:p w14:paraId="5FF1E053" w14:textId="77777777" w:rsidR="007974E8" w:rsidRPr="00E16672" w:rsidRDefault="007974E8" w:rsidP="007974E8">
      <w:pPr>
        <w:pStyle w:val="310"/>
        <w:ind w:firstLine="567"/>
        <w:rPr>
          <w:rFonts w:ascii="Times New Roman" w:hAnsi="Times New Roman"/>
          <w:color w:val="000000"/>
          <w:sz w:val="20"/>
          <w:szCs w:val="20"/>
        </w:rPr>
      </w:pPr>
      <w:r w:rsidRPr="00E16672">
        <w:rPr>
          <w:rFonts w:ascii="Times New Roman" w:hAnsi="Times New Roman"/>
          <w:color w:val="000000"/>
          <w:sz w:val="20"/>
          <w:szCs w:val="20"/>
        </w:rPr>
        <w:t>5.9.2. Депозитарна установа може пред'являти Депоненту (Керуючому рахунком) вимоги стосовно сплати пені, як шляхом надіслання рахунка, так і шляхом звернення до Депонента (Керуючого рахунком) з листом, телеграмою тощо.</w:t>
      </w:r>
    </w:p>
    <w:p w14:paraId="5D37C9E9" w14:textId="77777777" w:rsidR="007974E8" w:rsidRPr="00E16672" w:rsidRDefault="007974E8" w:rsidP="007974E8">
      <w:pPr>
        <w:pStyle w:val="310"/>
        <w:ind w:firstLine="567"/>
        <w:rPr>
          <w:rFonts w:ascii="Times New Roman" w:hAnsi="Times New Roman"/>
          <w:color w:val="000000"/>
          <w:sz w:val="20"/>
          <w:szCs w:val="20"/>
        </w:rPr>
      </w:pPr>
      <w:r w:rsidRPr="00E16672">
        <w:rPr>
          <w:rFonts w:ascii="Times New Roman" w:hAnsi="Times New Roman"/>
          <w:color w:val="000000"/>
          <w:sz w:val="20"/>
          <w:szCs w:val="20"/>
        </w:rPr>
        <w:t>5.9.3. Депонент (Керуючий рахунком) повинен виконати зобов'язання, визначене п.5.9., у п’ятиденний строк з дня пред'явлення вимоги Депозитарної установи згідно з пп.5.9. Таким днем слід вважати дату одержання вимоги Депонентом (Керуючим рахунком).</w:t>
      </w:r>
    </w:p>
    <w:p w14:paraId="4049CFDA" w14:textId="77777777" w:rsidR="007974E8" w:rsidRPr="00E16672" w:rsidRDefault="007974E8" w:rsidP="007974E8">
      <w:pPr>
        <w:pStyle w:val="310"/>
        <w:ind w:firstLine="567"/>
        <w:rPr>
          <w:rFonts w:ascii="Times New Roman" w:hAnsi="Times New Roman"/>
          <w:color w:val="000000"/>
          <w:sz w:val="20"/>
          <w:szCs w:val="20"/>
        </w:rPr>
      </w:pPr>
      <w:r w:rsidRPr="00E16672">
        <w:rPr>
          <w:rFonts w:ascii="Times New Roman" w:hAnsi="Times New Roman"/>
          <w:color w:val="000000"/>
          <w:sz w:val="20"/>
          <w:szCs w:val="20"/>
        </w:rPr>
        <w:t>5.9.4. При цьому визнання Депонентом (Керуючим рахунком) претензії Депозитарної установи про оплату послуг без перерахування заборгованості не може бути підставою для припинення нарахування пені за прострочку платежу.</w:t>
      </w:r>
    </w:p>
    <w:p w14:paraId="6AB7C0B9" w14:textId="77777777" w:rsidR="007974E8" w:rsidRPr="00E16672" w:rsidRDefault="007974E8" w:rsidP="007974E8">
      <w:pPr>
        <w:pStyle w:val="310"/>
        <w:ind w:firstLine="567"/>
        <w:rPr>
          <w:rFonts w:ascii="Times New Roman" w:hAnsi="Times New Roman"/>
          <w:color w:val="000000"/>
          <w:sz w:val="20"/>
          <w:szCs w:val="20"/>
        </w:rPr>
      </w:pPr>
      <w:r w:rsidRPr="00E16672">
        <w:rPr>
          <w:rFonts w:ascii="Times New Roman" w:hAnsi="Times New Roman"/>
          <w:color w:val="000000"/>
          <w:sz w:val="20"/>
          <w:szCs w:val="20"/>
        </w:rPr>
        <w:t>5.10. Прострочення платежу більш як на 180 днів вважається відмовою від виконання умов Договору, у зв'язку з чим , Депозитарна установа має право нарахувати та стягнути з іншої Сторони штраф у розмірі 20% від суми невиконаного зобов'язання</w:t>
      </w:r>
    </w:p>
    <w:p w14:paraId="266973F1" w14:textId="77777777" w:rsidR="007974E8" w:rsidRPr="00E16672" w:rsidRDefault="007974E8" w:rsidP="007974E8">
      <w:pPr>
        <w:pStyle w:val="310"/>
        <w:ind w:firstLine="567"/>
        <w:rPr>
          <w:rFonts w:ascii="Times New Roman" w:hAnsi="Times New Roman"/>
          <w:color w:val="000000"/>
          <w:sz w:val="20"/>
          <w:szCs w:val="20"/>
        </w:rPr>
      </w:pPr>
      <w:r w:rsidRPr="00E16672">
        <w:rPr>
          <w:rFonts w:ascii="Times New Roman" w:hAnsi="Times New Roman"/>
          <w:color w:val="000000"/>
          <w:sz w:val="20"/>
          <w:szCs w:val="20"/>
        </w:rPr>
        <w:t>5.10.1. Депозитарна установа може пред'являти Депоненту (Керуючому рахунком) вимоги стосовно сплати штрафу, як шляхом надіслання рахунка, так і шляхом звернення до Депонента (Керуючого рахунком) з листом, телеграмою тощо.</w:t>
      </w:r>
    </w:p>
    <w:p w14:paraId="3691AC42" w14:textId="77777777" w:rsidR="007974E8" w:rsidRPr="00E16672" w:rsidRDefault="007974E8" w:rsidP="007974E8">
      <w:pPr>
        <w:pStyle w:val="310"/>
        <w:ind w:firstLine="567"/>
        <w:rPr>
          <w:rFonts w:ascii="Times New Roman" w:hAnsi="Times New Roman"/>
          <w:color w:val="000000"/>
          <w:sz w:val="20"/>
          <w:szCs w:val="20"/>
        </w:rPr>
      </w:pPr>
      <w:r w:rsidRPr="00E16672">
        <w:rPr>
          <w:rFonts w:ascii="Times New Roman" w:hAnsi="Times New Roman"/>
          <w:color w:val="000000"/>
          <w:sz w:val="20"/>
          <w:szCs w:val="20"/>
        </w:rPr>
        <w:t>5.10.2. Депонент (Керуючий рахунком) повинен виконати зобов'язання, визначене п.5.10., у п’ятиденний строк з дня пред'явлення вимоги Депозитарної установи згідно з пп.5.10. Таким днем слід вважати дату одержання вимоги Депонентом (Керуючим рахунком).</w:t>
      </w:r>
    </w:p>
    <w:p w14:paraId="0D8A334D" w14:textId="77777777" w:rsidR="007974E8" w:rsidRPr="00E16672" w:rsidRDefault="007974E8" w:rsidP="007974E8">
      <w:pPr>
        <w:pStyle w:val="310"/>
        <w:ind w:firstLine="567"/>
        <w:rPr>
          <w:rFonts w:ascii="Times New Roman" w:hAnsi="Times New Roman"/>
          <w:color w:val="000000"/>
          <w:sz w:val="20"/>
          <w:szCs w:val="20"/>
        </w:rPr>
      </w:pPr>
      <w:r w:rsidRPr="00E16672">
        <w:rPr>
          <w:rFonts w:ascii="Times New Roman" w:hAnsi="Times New Roman"/>
          <w:color w:val="000000"/>
          <w:sz w:val="20"/>
          <w:szCs w:val="20"/>
        </w:rPr>
        <w:t>5.10.3. Виплата пені  або штрафу не звільняє Сторони від виконання обов’язків згідно з умовами цього Договору.</w:t>
      </w:r>
    </w:p>
    <w:p w14:paraId="09DEC3DA" w14:textId="77777777" w:rsidR="007974E8" w:rsidRPr="00E16672" w:rsidRDefault="007974E8" w:rsidP="007974E8">
      <w:pPr>
        <w:pStyle w:val="310"/>
        <w:ind w:firstLine="567"/>
        <w:rPr>
          <w:rFonts w:ascii="Times New Roman" w:hAnsi="Times New Roman"/>
          <w:color w:val="000000"/>
          <w:sz w:val="20"/>
          <w:szCs w:val="20"/>
        </w:rPr>
      </w:pPr>
      <w:r w:rsidRPr="00E16672">
        <w:rPr>
          <w:rFonts w:ascii="Times New Roman" w:hAnsi="Times New Roman"/>
          <w:color w:val="000000"/>
          <w:sz w:val="20"/>
          <w:szCs w:val="20"/>
        </w:rPr>
        <w:t>5.11. Сторона, яка порушила Договір (крім випадку порушення п.2.1.2) під час виконання своїх зобов'язань, несе відповідальність, якщо не доведе, що належне виконання зобов'язання унеможливив вплив обставин непереборної сили, тобто надзвичайних і невідворотних за даних умов подій: стихійного лиха, аварії, пожежі, масових порушень правопорядку, страйків, військових дій, протиправних дій третіх осіб (крім дій працівників Сторони) чи інших обставин, що виникли після підписання Договору та не залежать від волевиявлення Сторін. Не є непереборною силою недодержання своїх обов'язків іншими контрагентами однієї зі Сторін чи відсутність у Сторони достатніх коштів.</w:t>
      </w:r>
    </w:p>
    <w:p w14:paraId="420C427C" w14:textId="77777777" w:rsidR="007974E8" w:rsidRPr="00E16672" w:rsidRDefault="007974E8" w:rsidP="007974E8">
      <w:pPr>
        <w:pStyle w:val="310"/>
        <w:ind w:firstLine="567"/>
        <w:rPr>
          <w:rFonts w:ascii="Times New Roman" w:hAnsi="Times New Roman"/>
          <w:color w:val="000000"/>
          <w:sz w:val="20"/>
          <w:szCs w:val="20"/>
        </w:rPr>
      </w:pPr>
      <w:r w:rsidRPr="00E16672">
        <w:rPr>
          <w:rFonts w:ascii="Times New Roman" w:hAnsi="Times New Roman"/>
          <w:color w:val="000000"/>
          <w:sz w:val="20"/>
          <w:szCs w:val="20"/>
        </w:rPr>
        <w:t xml:space="preserve">Жодна із Сторін не несе відповідальності за невиконання або неналежне виконання своїх </w:t>
      </w:r>
      <w:r w:rsidR="007B5C69" w:rsidRPr="00E16672">
        <w:rPr>
          <w:rFonts w:ascii="Times New Roman" w:hAnsi="Times New Roman"/>
          <w:color w:val="000000"/>
          <w:sz w:val="20"/>
          <w:szCs w:val="20"/>
        </w:rPr>
        <w:t>зобов’язань</w:t>
      </w:r>
      <w:r w:rsidRPr="00E16672">
        <w:rPr>
          <w:rFonts w:ascii="Times New Roman" w:hAnsi="Times New Roman"/>
          <w:color w:val="000000"/>
          <w:sz w:val="20"/>
          <w:szCs w:val="20"/>
        </w:rPr>
        <w:t xml:space="preserve"> за цим Договором, якщо це невиконання або неналежне виконання зумовлено дією обставин непереборної сили (форс-мажорних обставин). </w:t>
      </w:r>
    </w:p>
    <w:p w14:paraId="6B5F630A" w14:textId="77777777" w:rsidR="007974E8" w:rsidRPr="00E16672" w:rsidRDefault="007974E8" w:rsidP="007974E8">
      <w:pPr>
        <w:pStyle w:val="310"/>
        <w:ind w:firstLine="567"/>
        <w:rPr>
          <w:rFonts w:ascii="Times New Roman" w:hAnsi="Times New Roman"/>
          <w:color w:val="000000"/>
          <w:sz w:val="20"/>
          <w:szCs w:val="20"/>
        </w:rPr>
      </w:pPr>
      <w:r w:rsidRPr="00E16672">
        <w:rPr>
          <w:rFonts w:ascii="Times New Roman" w:hAnsi="Times New Roman"/>
          <w:color w:val="000000"/>
          <w:sz w:val="20"/>
          <w:szCs w:val="20"/>
        </w:rPr>
        <w:t xml:space="preserve">Усі спори, що виникають з цього Договору або пов'язані із ним, вирішуються шляхом переговорів або у порядку, встановленому чинним законодавством України,  шляхом вирішення у судовому порядку. </w:t>
      </w:r>
    </w:p>
    <w:p w14:paraId="45676839" w14:textId="77777777" w:rsidR="007974E8" w:rsidRPr="00E16672" w:rsidRDefault="007974E8" w:rsidP="007974E8">
      <w:pPr>
        <w:pStyle w:val="310"/>
        <w:ind w:firstLine="567"/>
        <w:rPr>
          <w:rFonts w:ascii="Times New Roman" w:hAnsi="Times New Roman"/>
          <w:color w:val="000000"/>
          <w:sz w:val="20"/>
          <w:szCs w:val="20"/>
        </w:rPr>
      </w:pPr>
      <w:r w:rsidRPr="00E16672">
        <w:rPr>
          <w:rFonts w:ascii="Times New Roman" w:hAnsi="Times New Roman"/>
          <w:color w:val="000000"/>
          <w:sz w:val="20"/>
          <w:szCs w:val="20"/>
        </w:rPr>
        <w:t xml:space="preserve">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законодавства України або у постійно діючому Третейському суді </w:t>
      </w:r>
      <w:proofErr w:type="spellStart"/>
      <w:r w:rsidRPr="00E16672">
        <w:rPr>
          <w:rFonts w:ascii="Times New Roman" w:hAnsi="Times New Roman"/>
          <w:color w:val="000000"/>
          <w:sz w:val="20"/>
          <w:szCs w:val="20"/>
        </w:rPr>
        <w:t>саморегулівної</w:t>
      </w:r>
      <w:proofErr w:type="spellEnd"/>
      <w:r w:rsidRPr="00E16672">
        <w:rPr>
          <w:rFonts w:ascii="Times New Roman" w:hAnsi="Times New Roman"/>
          <w:color w:val="000000"/>
          <w:sz w:val="20"/>
          <w:szCs w:val="20"/>
        </w:rPr>
        <w:t xml:space="preserve"> організації Професійна асоціація реєстраторів і депозитаріїв.</w:t>
      </w:r>
    </w:p>
    <w:p w14:paraId="2B163AA2" w14:textId="77777777" w:rsidR="007974E8" w:rsidRPr="00E16672" w:rsidRDefault="007974E8" w:rsidP="007974E8">
      <w:pPr>
        <w:pStyle w:val="310"/>
        <w:ind w:firstLine="567"/>
        <w:rPr>
          <w:rFonts w:ascii="Times New Roman" w:hAnsi="Times New Roman"/>
          <w:sz w:val="20"/>
          <w:szCs w:val="20"/>
        </w:rPr>
      </w:pPr>
      <w:r w:rsidRPr="00E16672">
        <w:rPr>
          <w:rFonts w:ascii="Times New Roman" w:hAnsi="Times New Roman"/>
          <w:sz w:val="20"/>
          <w:szCs w:val="20"/>
        </w:rPr>
        <w:lastRenderedPageBreak/>
        <w:t>5.1</w:t>
      </w:r>
      <w:r w:rsidR="00090563">
        <w:rPr>
          <w:rFonts w:ascii="Times New Roman" w:hAnsi="Times New Roman"/>
          <w:sz w:val="20"/>
          <w:szCs w:val="20"/>
        </w:rPr>
        <w:t>2</w:t>
      </w:r>
      <w:r w:rsidRPr="00E16672">
        <w:rPr>
          <w:rFonts w:ascii="Times New Roman" w:hAnsi="Times New Roman"/>
          <w:sz w:val="20"/>
          <w:szCs w:val="20"/>
        </w:rPr>
        <w:t xml:space="preserve">. </w:t>
      </w:r>
      <w:r w:rsidRPr="00E16672">
        <w:rPr>
          <w:rFonts w:ascii="Times New Roman" w:hAnsi="Times New Roman"/>
          <w:bCs/>
          <w:sz w:val="20"/>
          <w:szCs w:val="20"/>
        </w:rPr>
        <w:t xml:space="preserve">Строк позовної давності, у межах якого одна із Сторін може звернутися до суду з вимогою про захист </w:t>
      </w:r>
      <w:r w:rsidRPr="00E16672">
        <w:rPr>
          <w:rFonts w:ascii="Times New Roman" w:hAnsi="Times New Roman"/>
          <w:bCs/>
          <w:i/>
          <w:iCs/>
          <w:color w:val="000000"/>
          <w:sz w:val="20"/>
          <w:szCs w:val="20"/>
        </w:rPr>
        <w:t xml:space="preserve">основних </w:t>
      </w:r>
      <w:r w:rsidRPr="00E16672">
        <w:rPr>
          <w:rFonts w:ascii="Times New Roman" w:hAnsi="Times New Roman"/>
          <w:bCs/>
          <w:color w:val="000000"/>
          <w:sz w:val="20"/>
          <w:szCs w:val="20"/>
        </w:rPr>
        <w:t xml:space="preserve">прав та інтересів встановлюється тривалістю у </w:t>
      </w:r>
      <w:r w:rsidRPr="00E16672">
        <w:rPr>
          <w:rFonts w:ascii="Times New Roman" w:hAnsi="Times New Roman"/>
          <w:bCs/>
          <w:i/>
          <w:iCs/>
          <w:color w:val="000000"/>
          <w:sz w:val="20"/>
          <w:szCs w:val="20"/>
        </w:rPr>
        <w:t>п’ятдесят</w:t>
      </w:r>
      <w:r w:rsidRPr="00E16672">
        <w:rPr>
          <w:rFonts w:ascii="Times New Roman" w:hAnsi="Times New Roman"/>
          <w:bCs/>
          <w:color w:val="000000"/>
          <w:sz w:val="20"/>
          <w:szCs w:val="20"/>
        </w:rPr>
        <w:t xml:space="preserve"> років. Позовна давність в </w:t>
      </w:r>
      <w:r w:rsidRPr="00E16672">
        <w:rPr>
          <w:rFonts w:ascii="Times New Roman" w:hAnsi="Times New Roman"/>
          <w:bCs/>
          <w:i/>
          <w:iCs/>
          <w:color w:val="000000"/>
          <w:sz w:val="20"/>
          <w:szCs w:val="20"/>
        </w:rPr>
        <w:t>п'ятдесят</w:t>
      </w:r>
      <w:r w:rsidRPr="00E16672">
        <w:rPr>
          <w:rFonts w:ascii="Times New Roman" w:hAnsi="Times New Roman"/>
          <w:bCs/>
          <w:color w:val="000000"/>
          <w:sz w:val="20"/>
          <w:szCs w:val="20"/>
        </w:rPr>
        <w:t xml:space="preserve"> років застосовується також до вимог про</w:t>
      </w:r>
      <w:r w:rsidRPr="00E16672">
        <w:rPr>
          <w:rFonts w:ascii="Times New Roman" w:hAnsi="Times New Roman"/>
          <w:bCs/>
          <w:sz w:val="20"/>
          <w:szCs w:val="20"/>
        </w:rPr>
        <w:t xml:space="preserve"> стягнення </w:t>
      </w:r>
      <w:r w:rsidRPr="00E16672">
        <w:rPr>
          <w:rFonts w:ascii="Times New Roman" w:hAnsi="Times New Roman"/>
          <w:bCs/>
          <w:i/>
          <w:iCs/>
          <w:sz w:val="20"/>
          <w:szCs w:val="20"/>
        </w:rPr>
        <w:t>неустойки</w:t>
      </w:r>
      <w:r w:rsidRPr="00E16672">
        <w:rPr>
          <w:rFonts w:ascii="Times New Roman" w:hAnsi="Times New Roman"/>
          <w:bCs/>
          <w:sz w:val="20"/>
          <w:szCs w:val="20"/>
        </w:rPr>
        <w:t xml:space="preserve"> (пені).</w:t>
      </w:r>
    </w:p>
    <w:p w14:paraId="0ED43039" w14:textId="77777777" w:rsidR="007974E8" w:rsidRPr="00E16672" w:rsidRDefault="007974E8" w:rsidP="007974E8">
      <w:pPr>
        <w:jc w:val="center"/>
        <w:rPr>
          <w:rFonts w:ascii="Times New Roman" w:hAnsi="Times New Roman"/>
          <w:b/>
          <w:color w:val="000000"/>
          <w:szCs w:val="20"/>
          <w:lang w:val="uk-UA"/>
        </w:rPr>
      </w:pPr>
    </w:p>
    <w:p w14:paraId="7D4AA63D" w14:textId="77777777" w:rsidR="007974E8" w:rsidRPr="00E16672" w:rsidRDefault="007974E8" w:rsidP="007974E8">
      <w:pPr>
        <w:jc w:val="center"/>
        <w:rPr>
          <w:rFonts w:ascii="Times New Roman" w:hAnsi="Times New Roman"/>
          <w:b/>
          <w:color w:val="000000"/>
          <w:szCs w:val="20"/>
        </w:rPr>
      </w:pPr>
      <w:r w:rsidRPr="00E16672">
        <w:rPr>
          <w:rFonts w:ascii="Times New Roman" w:hAnsi="Times New Roman"/>
          <w:b/>
          <w:color w:val="000000"/>
          <w:szCs w:val="20"/>
        </w:rPr>
        <w:t xml:space="preserve">6. Строк </w:t>
      </w:r>
      <w:proofErr w:type="spellStart"/>
      <w:r w:rsidRPr="00E16672">
        <w:rPr>
          <w:rFonts w:ascii="Times New Roman" w:hAnsi="Times New Roman"/>
          <w:b/>
          <w:color w:val="000000"/>
          <w:szCs w:val="20"/>
        </w:rPr>
        <w:t>дії</w:t>
      </w:r>
      <w:proofErr w:type="spellEnd"/>
      <w:r w:rsidRPr="00E16672">
        <w:rPr>
          <w:rFonts w:ascii="Times New Roman" w:hAnsi="Times New Roman"/>
          <w:b/>
          <w:color w:val="000000"/>
          <w:szCs w:val="20"/>
        </w:rPr>
        <w:t xml:space="preserve"> Договору, порядок </w:t>
      </w:r>
      <w:proofErr w:type="spellStart"/>
      <w:r w:rsidRPr="00E16672">
        <w:rPr>
          <w:rFonts w:ascii="Times New Roman" w:hAnsi="Times New Roman"/>
          <w:b/>
          <w:color w:val="000000"/>
          <w:szCs w:val="20"/>
        </w:rPr>
        <w:t>внесення</w:t>
      </w:r>
      <w:proofErr w:type="spellEnd"/>
      <w:r w:rsidRPr="00E16672">
        <w:rPr>
          <w:rFonts w:ascii="Times New Roman" w:hAnsi="Times New Roman"/>
          <w:b/>
          <w:color w:val="000000"/>
          <w:szCs w:val="20"/>
        </w:rPr>
        <w:t xml:space="preserve"> </w:t>
      </w:r>
      <w:proofErr w:type="spellStart"/>
      <w:r w:rsidRPr="00E16672">
        <w:rPr>
          <w:rFonts w:ascii="Times New Roman" w:hAnsi="Times New Roman"/>
          <w:b/>
          <w:color w:val="000000"/>
          <w:szCs w:val="20"/>
        </w:rPr>
        <w:t>змін</w:t>
      </w:r>
      <w:proofErr w:type="spellEnd"/>
      <w:r w:rsidRPr="00E16672">
        <w:rPr>
          <w:rFonts w:ascii="Times New Roman" w:hAnsi="Times New Roman"/>
          <w:b/>
          <w:color w:val="000000"/>
          <w:szCs w:val="20"/>
        </w:rPr>
        <w:t xml:space="preserve"> до </w:t>
      </w:r>
      <w:proofErr w:type="spellStart"/>
      <w:r w:rsidRPr="00E16672">
        <w:rPr>
          <w:rFonts w:ascii="Times New Roman" w:hAnsi="Times New Roman"/>
          <w:b/>
          <w:color w:val="000000"/>
          <w:szCs w:val="20"/>
        </w:rPr>
        <w:t>нього</w:t>
      </w:r>
      <w:proofErr w:type="spellEnd"/>
      <w:r w:rsidRPr="00E16672">
        <w:rPr>
          <w:rFonts w:ascii="Times New Roman" w:hAnsi="Times New Roman"/>
          <w:b/>
          <w:color w:val="000000"/>
          <w:szCs w:val="20"/>
        </w:rPr>
        <w:t xml:space="preserve">, </w:t>
      </w:r>
      <w:proofErr w:type="spellStart"/>
      <w:r w:rsidRPr="00E16672">
        <w:rPr>
          <w:rFonts w:ascii="Times New Roman" w:hAnsi="Times New Roman"/>
          <w:b/>
          <w:color w:val="000000"/>
          <w:szCs w:val="20"/>
        </w:rPr>
        <w:t>умови</w:t>
      </w:r>
      <w:proofErr w:type="spellEnd"/>
      <w:r w:rsidRPr="00E16672">
        <w:rPr>
          <w:rFonts w:ascii="Times New Roman" w:hAnsi="Times New Roman"/>
          <w:b/>
          <w:color w:val="000000"/>
          <w:szCs w:val="20"/>
        </w:rPr>
        <w:t xml:space="preserve"> </w:t>
      </w:r>
      <w:proofErr w:type="spellStart"/>
      <w:r w:rsidRPr="00E16672">
        <w:rPr>
          <w:rFonts w:ascii="Times New Roman" w:hAnsi="Times New Roman"/>
          <w:b/>
          <w:color w:val="000000"/>
          <w:szCs w:val="20"/>
        </w:rPr>
        <w:t>розірвання</w:t>
      </w:r>
      <w:proofErr w:type="spellEnd"/>
      <w:r w:rsidRPr="00E16672">
        <w:rPr>
          <w:rFonts w:ascii="Times New Roman" w:hAnsi="Times New Roman"/>
          <w:b/>
          <w:color w:val="000000"/>
          <w:szCs w:val="20"/>
        </w:rPr>
        <w:t xml:space="preserve"> Договору </w:t>
      </w:r>
    </w:p>
    <w:p w14:paraId="33D86075" w14:textId="77777777" w:rsidR="007974E8" w:rsidRPr="00E16672" w:rsidRDefault="007974E8" w:rsidP="007974E8">
      <w:pPr>
        <w:jc w:val="center"/>
        <w:rPr>
          <w:rFonts w:ascii="Times New Roman" w:hAnsi="Times New Roman"/>
          <w:b/>
          <w:color w:val="000000"/>
          <w:szCs w:val="20"/>
        </w:rPr>
      </w:pPr>
      <w:r w:rsidRPr="00E16672">
        <w:rPr>
          <w:rFonts w:ascii="Times New Roman" w:hAnsi="Times New Roman"/>
          <w:b/>
          <w:color w:val="000000"/>
          <w:szCs w:val="20"/>
        </w:rPr>
        <w:t xml:space="preserve"> та </w:t>
      </w:r>
      <w:proofErr w:type="spellStart"/>
      <w:r w:rsidRPr="00E16672">
        <w:rPr>
          <w:rFonts w:ascii="Times New Roman" w:hAnsi="Times New Roman"/>
          <w:b/>
          <w:color w:val="000000"/>
          <w:szCs w:val="20"/>
        </w:rPr>
        <w:t>припинення</w:t>
      </w:r>
      <w:proofErr w:type="spellEnd"/>
      <w:r w:rsidRPr="00E16672">
        <w:rPr>
          <w:rFonts w:ascii="Times New Roman" w:hAnsi="Times New Roman"/>
          <w:b/>
          <w:color w:val="000000"/>
          <w:szCs w:val="20"/>
        </w:rPr>
        <w:t xml:space="preserve"> </w:t>
      </w:r>
      <w:proofErr w:type="spellStart"/>
      <w:r w:rsidRPr="00E16672">
        <w:rPr>
          <w:rFonts w:ascii="Times New Roman" w:hAnsi="Times New Roman"/>
          <w:b/>
          <w:color w:val="000000"/>
          <w:szCs w:val="20"/>
        </w:rPr>
        <w:t>його</w:t>
      </w:r>
      <w:proofErr w:type="spellEnd"/>
      <w:r w:rsidRPr="00E16672">
        <w:rPr>
          <w:rFonts w:ascii="Times New Roman" w:hAnsi="Times New Roman"/>
          <w:b/>
          <w:color w:val="000000"/>
          <w:szCs w:val="20"/>
        </w:rPr>
        <w:t xml:space="preserve"> </w:t>
      </w:r>
      <w:proofErr w:type="spellStart"/>
      <w:r w:rsidRPr="00E16672">
        <w:rPr>
          <w:rFonts w:ascii="Times New Roman" w:hAnsi="Times New Roman"/>
          <w:b/>
          <w:color w:val="000000"/>
          <w:szCs w:val="20"/>
        </w:rPr>
        <w:t>дії</w:t>
      </w:r>
      <w:proofErr w:type="spellEnd"/>
    </w:p>
    <w:p w14:paraId="0EF92A5F" w14:textId="77777777" w:rsidR="007974E8" w:rsidRPr="00E16672" w:rsidRDefault="007974E8" w:rsidP="007974E8">
      <w:pPr>
        <w:rPr>
          <w:rFonts w:ascii="Times New Roman" w:hAnsi="Times New Roman"/>
          <w:color w:val="000000"/>
          <w:szCs w:val="20"/>
        </w:rPr>
      </w:pPr>
      <w:r w:rsidRPr="00E16672">
        <w:rPr>
          <w:rFonts w:ascii="Times New Roman" w:hAnsi="Times New Roman"/>
          <w:color w:val="000000"/>
          <w:szCs w:val="20"/>
        </w:rPr>
        <w:t>6.</w:t>
      </w:r>
      <w:proofErr w:type="gramStart"/>
      <w:r w:rsidRPr="00E16672">
        <w:rPr>
          <w:rFonts w:ascii="Times New Roman" w:hAnsi="Times New Roman"/>
          <w:color w:val="000000"/>
          <w:szCs w:val="20"/>
        </w:rPr>
        <w:t>1.Цей</w:t>
      </w:r>
      <w:proofErr w:type="gram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Договір</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набирає</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чинності</w:t>
      </w:r>
      <w:proofErr w:type="spellEnd"/>
      <w:r w:rsidRPr="00E16672">
        <w:rPr>
          <w:rFonts w:ascii="Times New Roman" w:hAnsi="Times New Roman"/>
          <w:color w:val="000000"/>
          <w:szCs w:val="20"/>
        </w:rPr>
        <w:t xml:space="preserve"> з моменту </w:t>
      </w:r>
      <w:proofErr w:type="spellStart"/>
      <w:r w:rsidRPr="00E16672">
        <w:rPr>
          <w:rFonts w:ascii="Times New Roman" w:hAnsi="Times New Roman"/>
          <w:color w:val="000000"/>
          <w:szCs w:val="20"/>
        </w:rPr>
        <w:t>його</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підписання</w:t>
      </w:r>
      <w:proofErr w:type="spellEnd"/>
      <w:r w:rsidRPr="00E16672">
        <w:rPr>
          <w:rFonts w:ascii="Times New Roman" w:hAnsi="Times New Roman"/>
          <w:color w:val="000000"/>
          <w:szCs w:val="20"/>
        </w:rPr>
        <w:t xml:space="preserve"> Сторонами і </w:t>
      </w:r>
      <w:proofErr w:type="spellStart"/>
      <w:r w:rsidRPr="00E16672">
        <w:rPr>
          <w:rFonts w:ascii="Times New Roman" w:hAnsi="Times New Roman"/>
          <w:color w:val="000000"/>
          <w:szCs w:val="20"/>
        </w:rPr>
        <w:t>скріплення</w:t>
      </w:r>
      <w:proofErr w:type="spellEnd"/>
      <w:r w:rsidRPr="00E16672">
        <w:rPr>
          <w:rFonts w:ascii="Times New Roman" w:hAnsi="Times New Roman"/>
          <w:color w:val="000000"/>
          <w:szCs w:val="20"/>
        </w:rPr>
        <w:t xml:space="preserve"> печатками та </w:t>
      </w:r>
      <w:proofErr w:type="spellStart"/>
      <w:r w:rsidRPr="00E16672">
        <w:rPr>
          <w:rFonts w:ascii="Times New Roman" w:hAnsi="Times New Roman"/>
          <w:color w:val="000000"/>
          <w:szCs w:val="20"/>
        </w:rPr>
        <w:t>діє</w:t>
      </w:r>
      <w:proofErr w:type="spellEnd"/>
      <w:r w:rsidRPr="00E16672">
        <w:rPr>
          <w:rFonts w:ascii="Times New Roman" w:hAnsi="Times New Roman"/>
          <w:color w:val="000000"/>
          <w:szCs w:val="20"/>
        </w:rPr>
        <w:t xml:space="preserve"> до </w:t>
      </w:r>
      <w:proofErr w:type="spellStart"/>
      <w:r w:rsidRPr="00E16672">
        <w:rPr>
          <w:rFonts w:ascii="Times New Roman" w:hAnsi="Times New Roman"/>
          <w:color w:val="000000"/>
          <w:szCs w:val="20"/>
        </w:rPr>
        <w:t>повного</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виконання</w:t>
      </w:r>
      <w:proofErr w:type="spellEnd"/>
      <w:r w:rsidRPr="00E16672">
        <w:rPr>
          <w:rFonts w:ascii="Times New Roman" w:hAnsi="Times New Roman"/>
          <w:color w:val="000000"/>
          <w:szCs w:val="20"/>
        </w:rPr>
        <w:t xml:space="preserve"> Договору. </w:t>
      </w:r>
    </w:p>
    <w:p w14:paraId="07DB2507" w14:textId="77777777" w:rsidR="007974E8" w:rsidRPr="00E16672" w:rsidRDefault="007974E8" w:rsidP="007974E8">
      <w:pPr>
        <w:rPr>
          <w:rFonts w:ascii="Times New Roman" w:hAnsi="Times New Roman"/>
          <w:color w:val="000000"/>
          <w:szCs w:val="20"/>
        </w:rPr>
      </w:pPr>
      <w:r w:rsidRPr="00E16672">
        <w:rPr>
          <w:rFonts w:ascii="Times New Roman" w:hAnsi="Times New Roman"/>
          <w:color w:val="000000"/>
          <w:szCs w:val="20"/>
        </w:rPr>
        <w:t xml:space="preserve">6.2. </w:t>
      </w:r>
      <w:proofErr w:type="spellStart"/>
      <w:r w:rsidRPr="00E16672">
        <w:rPr>
          <w:rFonts w:ascii="Times New Roman" w:hAnsi="Times New Roman"/>
          <w:color w:val="000000"/>
          <w:szCs w:val="20"/>
        </w:rPr>
        <w:t>Зміни</w:t>
      </w:r>
      <w:proofErr w:type="spellEnd"/>
      <w:r w:rsidRPr="00E16672">
        <w:rPr>
          <w:rFonts w:ascii="Times New Roman" w:hAnsi="Times New Roman"/>
          <w:color w:val="000000"/>
          <w:szCs w:val="20"/>
        </w:rPr>
        <w:t xml:space="preserve"> до умов </w:t>
      </w:r>
      <w:proofErr w:type="spellStart"/>
      <w:r w:rsidRPr="00E16672">
        <w:rPr>
          <w:rFonts w:ascii="Times New Roman" w:hAnsi="Times New Roman"/>
          <w:color w:val="000000"/>
          <w:szCs w:val="20"/>
        </w:rPr>
        <w:t>цього</w:t>
      </w:r>
      <w:proofErr w:type="spellEnd"/>
      <w:r w:rsidRPr="00E16672">
        <w:rPr>
          <w:rFonts w:ascii="Times New Roman" w:hAnsi="Times New Roman"/>
          <w:color w:val="000000"/>
          <w:szCs w:val="20"/>
        </w:rPr>
        <w:t xml:space="preserve"> Договору </w:t>
      </w:r>
      <w:proofErr w:type="spellStart"/>
      <w:r w:rsidRPr="00E16672">
        <w:rPr>
          <w:rFonts w:ascii="Times New Roman" w:hAnsi="Times New Roman"/>
          <w:color w:val="000000"/>
          <w:szCs w:val="20"/>
        </w:rPr>
        <w:t>вносяться</w:t>
      </w:r>
      <w:proofErr w:type="spellEnd"/>
      <w:r w:rsidRPr="00E16672">
        <w:rPr>
          <w:rFonts w:ascii="Times New Roman" w:hAnsi="Times New Roman"/>
          <w:color w:val="000000"/>
          <w:szCs w:val="20"/>
        </w:rPr>
        <w:t xml:space="preserve"> за </w:t>
      </w:r>
      <w:proofErr w:type="spellStart"/>
      <w:r w:rsidRPr="00E16672">
        <w:rPr>
          <w:rFonts w:ascii="Times New Roman" w:hAnsi="Times New Roman"/>
          <w:color w:val="000000"/>
          <w:szCs w:val="20"/>
        </w:rPr>
        <w:t>взаємною</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згодою</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Сторін</w:t>
      </w:r>
      <w:proofErr w:type="spellEnd"/>
      <w:r w:rsidRPr="00E16672">
        <w:rPr>
          <w:rFonts w:ascii="Times New Roman" w:hAnsi="Times New Roman"/>
          <w:color w:val="000000"/>
          <w:szCs w:val="20"/>
        </w:rPr>
        <w:t xml:space="preserve">, </w:t>
      </w:r>
      <w:proofErr w:type="spellStart"/>
      <w:proofErr w:type="gramStart"/>
      <w:r w:rsidRPr="00E16672">
        <w:rPr>
          <w:rFonts w:ascii="Times New Roman" w:hAnsi="Times New Roman"/>
          <w:color w:val="000000"/>
          <w:szCs w:val="20"/>
        </w:rPr>
        <w:t>оформленою</w:t>
      </w:r>
      <w:proofErr w:type="spellEnd"/>
      <w:r w:rsidRPr="00E16672">
        <w:rPr>
          <w:rFonts w:ascii="Times New Roman" w:hAnsi="Times New Roman"/>
          <w:color w:val="000000"/>
          <w:szCs w:val="20"/>
        </w:rPr>
        <w:t xml:space="preserve">  в</w:t>
      </w:r>
      <w:proofErr w:type="gram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письмовій</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формі</w:t>
      </w:r>
      <w:proofErr w:type="spellEnd"/>
      <w:r w:rsidRPr="00E16672">
        <w:rPr>
          <w:rFonts w:ascii="Times New Roman" w:hAnsi="Times New Roman"/>
          <w:color w:val="000000"/>
          <w:szCs w:val="20"/>
        </w:rPr>
        <w:t>.</w:t>
      </w:r>
    </w:p>
    <w:p w14:paraId="7D283EF4" w14:textId="77777777" w:rsidR="007974E8" w:rsidRPr="00E16672" w:rsidRDefault="007974E8" w:rsidP="007974E8">
      <w:pPr>
        <w:rPr>
          <w:rFonts w:ascii="Times New Roman" w:hAnsi="Times New Roman"/>
          <w:color w:val="000000"/>
          <w:szCs w:val="20"/>
        </w:rPr>
      </w:pPr>
      <w:r w:rsidRPr="00E16672">
        <w:rPr>
          <w:rFonts w:ascii="Times New Roman" w:hAnsi="Times New Roman"/>
          <w:color w:val="000000"/>
          <w:szCs w:val="20"/>
        </w:rPr>
        <w:t xml:space="preserve">6.3. </w:t>
      </w:r>
      <w:proofErr w:type="spellStart"/>
      <w:r w:rsidRPr="00E16672">
        <w:rPr>
          <w:rFonts w:ascii="Times New Roman" w:hAnsi="Times New Roman"/>
          <w:color w:val="000000"/>
          <w:szCs w:val="20"/>
        </w:rPr>
        <w:t>Цей</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Договір</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може</w:t>
      </w:r>
      <w:proofErr w:type="spellEnd"/>
      <w:r w:rsidRPr="00E16672">
        <w:rPr>
          <w:rFonts w:ascii="Times New Roman" w:hAnsi="Times New Roman"/>
          <w:color w:val="000000"/>
          <w:szCs w:val="20"/>
        </w:rPr>
        <w:t xml:space="preserve"> бути </w:t>
      </w:r>
      <w:proofErr w:type="spellStart"/>
      <w:r w:rsidRPr="00E16672">
        <w:rPr>
          <w:rFonts w:ascii="Times New Roman" w:hAnsi="Times New Roman"/>
          <w:color w:val="000000"/>
          <w:szCs w:val="20"/>
        </w:rPr>
        <w:t>достроково</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розірваний</w:t>
      </w:r>
      <w:proofErr w:type="spellEnd"/>
      <w:r w:rsidRPr="00E16672">
        <w:rPr>
          <w:rFonts w:ascii="Times New Roman" w:hAnsi="Times New Roman"/>
          <w:color w:val="000000"/>
          <w:szCs w:val="20"/>
        </w:rPr>
        <w:t>:</w:t>
      </w:r>
    </w:p>
    <w:p w14:paraId="0C040670" w14:textId="77777777" w:rsidR="007974E8" w:rsidRPr="00E16672" w:rsidRDefault="007974E8" w:rsidP="007974E8">
      <w:pPr>
        <w:rPr>
          <w:rFonts w:ascii="Times New Roman" w:hAnsi="Times New Roman"/>
          <w:color w:val="000000"/>
          <w:szCs w:val="20"/>
        </w:rPr>
      </w:pPr>
      <w:r w:rsidRPr="00E16672">
        <w:rPr>
          <w:rFonts w:ascii="Times New Roman" w:hAnsi="Times New Roman"/>
          <w:color w:val="000000"/>
          <w:szCs w:val="20"/>
        </w:rPr>
        <w:t xml:space="preserve">6.3.1. Кожною </w:t>
      </w:r>
      <w:proofErr w:type="spellStart"/>
      <w:r w:rsidRPr="00E16672">
        <w:rPr>
          <w:rFonts w:ascii="Times New Roman" w:hAnsi="Times New Roman"/>
          <w:color w:val="000000"/>
          <w:szCs w:val="20"/>
        </w:rPr>
        <w:t>із</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Сторін</w:t>
      </w:r>
      <w:proofErr w:type="spellEnd"/>
      <w:r w:rsidRPr="00E16672">
        <w:rPr>
          <w:rFonts w:ascii="Times New Roman" w:hAnsi="Times New Roman"/>
          <w:color w:val="000000"/>
          <w:szCs w:val="20"/>
        </w:rPr>
        <w:t xml:space="preserve"> в </w:t>
      </w:r>
      <w:proofErr w:type="spellStart"/>
      <w:r w:rsidRPr="00E16672">
        <w:rPr>
          <w:rFonts w:ascii="Times New Roman" w:hAnsi="Times New Roman"/>
          <w:color w:val="000000"/>
          <w:szCs w:val="20"/>
        </w:rPr>
        <w:t>односторонньому</w:t>
      </w:r>
      <w:proofErr w:type="spellEnd"/>
      <w:r w:rsidRPr="00E16672">
        <w:rPr>
          <w:rFonts w:ascii="Times New Roman" w:hAnsi="Times New Roman"/>
          <w:color w:val="000000"/>
          <w:szCs w:val="20"/>
        </w:rPr>
        <w:t xml:space="preserve"> порядку. Про </w:t>
      </w:r>
      <w:proofErr w:type="spellStart"/>
      <w:r w:rsidRPr="00E16672">
        <w:rPr>
          <w:rFonts w:ascii="Times New Roman" w:hAnsi="Times New Roman"/>
          <w:color w:val="000000"/>
          <w:szCs w:val="20"/>
        </w:rPr>
        <w:t>дострокове</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розірвання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цього</w:t>
      </w:r>
      <w:proofErr w:type="spellEnd"/>
      <w:r w:rsidRPr="00E16672">
        <w:rPr>
          <w:rFonts w:ascii="Times New Roman" w:hAnsi="Times New Roman"/>
          <w:color w:val="000000"/>
          <w:szCs w:val="20"/>
        </w:rPr>
        <w:t xml:space="preserve"> Договору в </w:t>
      </w:r>
      <w:proofErr w:type="spellStart"/>
      <w:r w:rsidRPr="00E16672">
        <w:rPr>
          <w:rFonts w:ascii="Times New Roman" w:hAnsi="Times New Roman"/>
          <w:color w:val="000000"/>
          <w:szCs w:val="20"/>
        </w:rPr>
        <w:t>односторонньому</w:t>
      </w:r>
      <w:proofErr w:type="spellEnd"/>
      <w:r w:rsidRPr="00E16672">
        <w:rPr>
          <w:rFonts w:ascii="Times New Roman" w:hAnsi="Times New Roman"/>
          <w:color w:val="000000"/>
          <w:szCs w:val="20"/>
        </w:rPr>
        <w:t xml:space="preserve"> порядку Сторона, яка </w:t>
      </w:r>
      <w:proofErr w:type="spellStart"/>
      <w:r w:rsidRPr="00E16672">
        <w:rPr>
          <w:rFonts w:ascii="Times New Roman" w:hAnsi="Times New Roman"/>
          <w:color w:val="000000"/>
          <w:szCs w:val="20"/>
        </w:rPr>
        <w:t>прийняла</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таке</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рішення</w:t>
      </w:r>
      <w:proofErr w:type="spellEnd"/>
      <w:r w:rsidRPr="00E16672">
        <w:rPr>
          <w:rFonts w:ascii="Times New Roman" w:hAnsi="Times New Roman"/>
          <w:color w:val="000000"/>
          <w:szCs w:val="20"/>
        </w:rPr>
        <w:t xml:space="preserve">, повинна </w:t>
      </w:r>
      <w:proofErr w:type="spellStart"/>
      <w:r w:rsidRPr="00E16672">
        <w:rPr>
          <w:rFonts w:ascii="Times New Roman" w:hAnsi="Times New Roman"/>
          <w:color w:val="000000"/>
          <w:szCs w:val="20"/>
        </w:rPr>
        <w:t>повідомити</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надіславши</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відповідне</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письмове</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повідомлення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іншій</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Стороні</w:t>
      </w:r>
      <w:proofErr w:type="spellEnd"/>
      <w:r w:rsidRPr="00E16672">
        <w:rPr>
          <w:rFonts w:ascii="Times New Roman" w:hAnsi="Times New Roman"/>
          <w:color w:val="000000"/>
          <w:szCs w:val="20"/>
        </w:rPr>
        <w:t xml:space="preserve"> за </w:t>
      </w:r>
      <w:proofErr w:type="spellStart"/>
      <w:r w:rsidRPr="00E16672">
        <w:rPr>
          <w:rFonts w:ascii="Times New Roman" w:hAnsi="Times New Roman"/>
          <w:color w:val="000000"/>
          <w:szCs w:val="20"/>
        </w:rPr>
        <w:t>її</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місцезнаходженням</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менше</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ніж</w:t>
      </w:r>
      <w:proofErr w:type="spellEnd"/>
      <w:r w:rsidRPr="00E16672">
        <w:rPr>
          <w:rFonts w:ascii="Times New Roman" w:hAnsi="Times New Roman"/>
          <w:color w:val="000000"/>
          <w:szCs w:val="20"/>
        </w:rPr>
        <w:t xml:space="preserve"> за </w:t>
      </w:r>
      <w:proofErr w:type="spellStart"/>
      <w:r w:rsidRPr="00E16672">
        <w:rPr>
          <w:rFonts w:ascii="Times New Roman" w:hAnsi="Times New Roman"/>
          <w:i/>
          <w:iCs/>
          <w:color w:val="000000"/>
          <w:szCs w:val="20"/>
        </w:rPr>
        <w:t>тридцять</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календарних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днів</w:t>
      </w:r>
      <w:proofErr w:type="spellEnd"/>
      <w:r w:rsidRPr="00E16672">
        <w:rPr>
          <w:rFonts w:ascii="Times New Roman" w:hAnsi="Times New Roman"/>
          <w:color w:val="000000"/>
          <w:szCs w:val="20"/>
        </w:rPr>
        <w:t xml:space="preserve"> до </w:t>
      </w:r>
      <w:proofErr w:type="spellStart"/>
      <w:r w:rsidRPr="00E16672">
        <w:rPr>
          <w:rFonts w:ascii="Times New Roman" w:hAnsi="Times New Roman"/>
          <w:color w:val="000000"/>
          <w:szCs w:val="20"/>
        </w:rPr>
        <w:t>дати</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припинення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дії</w:t>
      </w:r>
      <w:proofErr w:type="spellEnd"/>
      <w:r w:rsidRPr="00E16672">
        <w:rPr>
          <w:rFonts w:ascii="Times New Roman" w:hAnsi="Times New Roman"/>
          <w:color w:val="000000"/>
          <w:szCs w:val="20"/>
        </w:rPr>
        <w:t xml:space="preserve"> Договору </w:t>
      </w:r>
      <w:proofErr w:type="spellStart"/>
      <w:r w:rsidRPr="00E16672">
        <w:rPr>
          <w:rFonts w:ascii="Times New Roman" w:hAnsi="Times New Roman"/>
          <w:color w:val="000000"/>
          <w:szCs w:val="20"/>
        </w:rPr>
        <w:t>внаслідок</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розірвання</w:t>
      </w:r>
      <w:proofErr w:type="spellEnd"/>
      <w:r w:rsidRPr="00E16672">
        <w:rPr>
          <w:rFonts w:ascii="Times New Roman" w:hAnsi="Times New Roman"/>
          <w:color w:val="000000"/>
          <w:szCs w:val="20"/>
        </w:rPr>
        <w:t xml:space="preserve">. </w:t>
      </w:r>
    </w:p>
    <w:p w14:paraId="1177AA77" w14:textId="77777777" w:rsidR="007974E8" w:rsidRPr="00E16672" w:rsidRDefault="007974E8" w:rsidP="007974E8">
      <w:pPr>
        <w:rPr>
          <w:rFonts w:ascii="Times New Roman" w:hAnsi="Times New Roman"/>
          <w:color w:val="000000"/>
          <w:szCs w:val="20"/>
        </w:rPr>
      </w:pPr>
      <w:proofErr w:type="spellStart"/>
      <w:r w:rsidRPr="00E16672">
        <w:rPr>
          <w:rFonts w:ascii="Times New Roman" w:hAnsi="Times New Roman"/>
          <w:color w:val="000000"/>
          <w:szCs w:val="20"/>
        </w:rPr>
        <w:t>Депозитарна</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установа</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надсилає</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вказане</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письмове</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повідомлення</w:t>
      </w:r>
      <w:proofErr w:type="spellEnd"/>
      <w:r w:rsidRPr="00E16672">
        <w:rPr>
          <w:rFonts w:ascii="Times New Roman" w:hAnsi="Times New Roman"/>
          <w:color w:val="000000"/>
          <w:szCs w:val="20"/>
        </w:rPr>
        <w:t xml:space="preserve"> про </w:t>
      </w:r>
      <w:proofErr w:type="spellStart"/>
      <w:r w:rsidRPr="00E16672">
        <w:rPr>
          <w:rFonts w:ascii="Times New Roman" w:hAnsi="Times New Roman"/>
          <w:color w:val="000000"/>
          <w:szCs w:val="20"/>
        </w:rPr>
        <w:t>розірвання</w:t>
      </w:r>
      <w:proofErr w:type="spellEnd"/>
      <w:r w:rsidRPr="00E16672">
        <w:rPr>
          <w:rFonts w:ascii="Times New Roman" w:hAnsi="Times New Roman"/>
          <w:color w:val="000000"/>
          <w:szCs w:val="20"/>
        </w:rPr>
        <w:t xml:space="preserve"> договору в </w:t>
      </w:r>
      <w:proofErr w:type="spellStart"/>
      <w:r w:rsidRPr="00E16672">
        <w:rPr>
          <w:rFonts w:ascii="Times New Roman" w:hAnsi="Times New Roman"/>
          <w:color w:val="000000"/>
          <w:szCs w:val="20"/>
        </w:rPr>
        <w:t>односторонньому</w:t>
      </w:r>
      <w:proofErr w:type="spellEnd"/>
      <w:r w:rsidRPr="00E16672">
        <w:rPr>
          <w:rFonts w:ascii="Times New Roman" w:hAnsi="Times New Roman"/>
          <w:color w:val="000000"/>
          <w:szCs w:val="20"/>
        </w:rPr>
        <w:t xml:space="preserve"> порядку за </w:t>
      </w:r>
      <w:proofErr w:type="spellStart"/>
      <w:r w:rsidRPr="00E16672">
        <w:rPr>
          <w:rFonts w:ascii="Times New Roman" w:hAnsi="Times New Roman"/>
          <w:color w:val="000000"/>
          <w:szCs w:val="20"/>
        </w:rPr>
        <w:t>місцезнаходженням</w:t>
      </w:r>
      <w:proofErr w:type="spellEnd"/>
      <w:r w:rsidRPr="00E16672">
        <w:rPr>
          <w:rFonts w:ascii="Times New Roman" w:hAnsi="Times New Roman"/>
          <w:color w:val="000000"/>
          <w:szCs w:val="20"/>
        </w:rPr>
        <w:t xml:space="preserve"> Депонента, </w:t>
      </w:r>
      <w:proofErr w:type="spellStart"/>
      <w:r w:rsidRPr="00E16672">
        <w:rPr>
          <w:rFonts w:ascii="Times New Roman" w:hAnsi="Times New Roman"/>
          <w:color w:val="000000"/>
          <w:szCs w:val="20"/>
        </w:rPr>
        <w:t>що</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зазначене</w:t>
      </w:r>
      <w:proofErr w:type="spellEnd"/>
      <w:r w:rsidRPr="00E16672">
        <w:rPr>
          <w:rFonts w:ascii="Times New Roman" w:hAnsi="Times New Roman"/>
          <w:color w:val="000000"/>
          <w:szCs w:val="20"/>
        </w:rPr>
        <w:t xml:space="preserve"> в </w:t>
      </w:r>
      <w:proofErr w:type="spellStart"/>
      <w:r w:rsidRPr="00E16672">
        <w:rPr>
          <w:rFonts w:ascii="Times New Roman" w:hAnsi="Times New Roman"/>
          <w:color w:val="000000"/>
          <w:szCs w:val="20"/>
        </w:rPr>
        <w:t>анкеті</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рахунку</w:t>
      </w:r>
      <w:proofErr w:type="spellEnd"/>
      <w:r w:rsidRPr="00E16672">
        <w:rPr>
          <w:rFonts w:ascii="Times New Roman" w:hAnsi="Times New Roman"/>
          <w:color w:val="000000"/>
          <w:szCs w:val="20"/>
        </w:rPr>
        <w:t xml:space="preserve"> в </w:t>
      </w:r>
      <w:proofErr w:type="spellStart"/>
      <w:r w:rsidRPr="00E16672">
        <w:rPr>
          <w:rFonts w:ascii="Times New Roman" w:hAnsi="Times New Roman"/>
          <w:color w:val="000000"/>
          <w:szCs w:val="20"/>
        </w:rPr>
        <w:t>цінних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паперах</w:t>
      </w:r>
      <w:proofErr w:type="spellEnd"/>
      <w:r w:rsidRPr="00E16672">
        <w:rPr>
          <w:rFonts w:ascii="Times New Roman" w:hAnsi="Times New Roman"/>
          <w:color w:val="000000"/>
          <w:szCs w:val="20"/>
        </w:rPr>
        <w:t>.</w:t>
      </w:r>
    </w:p>
    <w:p w14:paraId="36D35E6A" w14:textId="77777777" w:rsidR="007974E8" w:rsidRPr="00E16672" w:rsidRDefault="007974E8" w:rsidP="007974E8">
      <w:pPr>
        <w:rPr>
          <w:rFonts w:ascii="Times New Roman" w:hAnsi="Times New Roman"/>
          <w:color w:val="000000"/>
          <w:szCs w:val="20"/>
        </w:rPr>
      </w:pPr>
      <w:r w:rsidRPr="00E16672">
        <w:rPr>
          <w:rFonts w:ascii="Times New Roman" w:hAnsi="Times New Roman"/>
          <w:color w:val="000000"/>
          <w:szCs w:val="20"/>
        </w:rPr>
        <w:t xml:space="preserve">6.3.2. За </w:t>
      </w:r>
      <w:proofErr w:type="spellStart"/>
      <w:r w:rsidRPr="00E16672">
        <w:rPr>
          <w:rFonts w:ascii="Times New Roman" w:hAnsi="Times New Roman"/>
          <w:color w:val="000000"/>
          <w:szCs w:val="20"/>
        </w:rPr>
        <w:t>згодою</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Сторін</w:t>
      </w:r>
      <w:proofErr w:type="spellEnd"/>
      <w:r w:rsidRPr="00E16672">
        <w:rPr>
          <w:rFonts w:ascii="Times New Roman" w:hAnsi="Times New Roman"/>
          <w:color w:val="000000"/>
          <w:szCs w:val="20"/>
        </w:rPr>
        <w:t>.</w:t>
      </w:r>
    </w:p>
    <w:p w14:paraId="65D9D169" w14:textId="77777777" w:rsidR="007974E8" w:rsidRPr="00E16672" w:rsidRDefault="007974E8" w:rsidP="007974E8">
      <w:pPr>
        <w:rPr>
          <w:rFonts w:ascii="Times New Roman" w:hAnsi="Times New Roman"/>
          <w:color w:val="000000"/>
          <w:szCs w:val="20"/>
        </w:rPr>
      </w:pPr>
      <w:r w:rsidRPr="00E16672">
        <w:rPr>
          <w:rFonts w:ascii="Times New Roman" w:hAnsi="Times New Roman"/>
          <w:color w:val="000000"/>
          <w:szCs w:val="20"/>
        </w:rPr>
        <w:t xml:space="preserve">6.3.3. За </w:t>
      </w:r>
      <w:proofErr w:type="spellStart"/>
      <w:r w:rsidRPr="00E16672">
        <w:rPr>
          <w:rFonts w:ascii="Times New Roman" w:hAnsi="Times New Roman"/>
          <w:color w:val="000000"/>
          <w:szCs w:val="20"/>
        </w:rPr>
        <w:t>відповідним</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рішенням</w:t>
      </w:r>
      <w:proofErr w:type="spellEnd"/>
      <w:r w:rsidRPr="00E16672">
        <w:rPr>
          <w:rFonts w:ascii="Times New Roman" w:hAnsi="Times New Roman"/>
          <w:color w:val="000000"/>
          <w:szCs w:val="20"/>
        </w:rPr>
        <w:t xml:space="preserve"> суду.</w:t>
      </w:r>
    </w:p>
    <w:p w14:paraId="70439F3B" w14:textId="77777777" w:rsidR="007974E8" w:rsidRPr="00E16672" w:rsidRDefault="007974E8" w:rsidP="007974E8">
      <w:pPr>
        <w:rPr>
          <w:rFonts w:ascii="Times New Roman" w:hAnsi="Times New Roman"/>
          <w:color w:val="000000"/>
          <w:szCs w:val="20"/>
        </w:rPr>
      </w:pPr>
      <w:r w:rsidRPr="00E16672">
        <w:rPr>
          <w:rFonts w:ascii="Times New Roman" w:hAnsi="Times New Roman"/>
          <w:color w:val="000000"/>
          <w:szCs w:val="20"/>
          <w:lang w:val="uk-UA"/>
        </w:rPr>
        <w:t xml:space="preserve">6.4. </w:t>
      </w:r>
      <w:proofErr w:type="spellStart"/>
      <w:r w:rsidRPr="00E16672">
        <w:rPr>
          <w:rFonts w:ascii="Times New Roman" w:hAnsi="Times New Roman"/>
          <w:color w:val="000000"/>
          <w:szCs w:val="20"/>
        </w:rPr>
        <w:t>Договір</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може</w:t>
      </w:r>
      <w:proofErr w:type="spellEnd"/>
      <w:r w:rsidRPr="00E16672">
        <w:rPr>
          <w:rFonts w:ascii="Times New Roman" w:hAnsi="Times New Roman"/>
          <w:color w:val="000000"/>
          <w:szCs w:val="20"/>
        </w:rPr>
        <w:t xml:space="preserve"> бути </w:t>
      </w:r>
      <w:proofErr w:type="spellStart"/>
      <w:r w:rsidRPr="00E16672">
        <w:rPr>
          <w:rFonts w:ascii="Times New Roman" w:hAnsi="Times New Roman"/>
          <w:color w:val="000000"/>
          <w:szCs w:val="20"/>
        </w:rPr>
        <w:t>розірваний</w:t>
      </w:r>
      <w:proofErr w:type="spellEnd"/>
      <w:r w:rsidRPr="00E16672">
        <w:rPr>
          <w:rFonts w:ascii="Times New Roman" w:hAnsi="Times New Roman"/>
          <w:color w:val="000000"/>
          <w:szCs w:val="20"/>
        </w:rPr>
        <w:t xml:space="preserve"> за </w:t>
      </w:r>
      <w:proofErr w:type="spellStart"/>
      <w:r w:rsidRPr="00E16672">
        <w:rPr>
          <w:rFonts w:ascii="Times New Roman" w:hAnsi="Times New Roman"/>
          <w:color w:val="000000"/>
          <w:szCs w:val="20"/>
        </w:rPr>
        <w:t>умови</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відсутності</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цінних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паперів</w:t>
      </w:r>
      <w:proofErr w:type="spellEnd"/>
      <w:r w:rsidRPr="00E16672">
        <w:rPr>
          <w:rFonts w:ascii="Times New Roman" w:hAnsi="Times New Roman"/>
          <w:color w:val="000000"/>
          <w:szCs w:val="20"/>
        </w:rPr>
        <w:t xml:space="preserve">, прав на </w:t>
      </w:r>
      <w:proofErr w:type="spellStart"/>
      <w:r w:rsidRPr="00E16672">
        <w:rPr>
          <w:rFonts w:ascii="Times New Roman" w:hAnsi="Times New Roman"/>
          <w:color w:val="000000"/>
          <w:szCs w:val="20"/>
        </w:rPr>
        <w:t>цінні</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папери</w:t>
      </w:r>
      <w:proofErr w:type="spellEnd"/>
      <w:r w:rsidRPr="00E16672">
        <w:rPr>
          <w:rFonts w:ascii="Times New Roman" w:hAnsi="Times New Roman"/>
          <w:color w:val="000000"/>
          <w:szCs w:val="20"/>
        </w:rPr>
        <w:t xml:space="preserve"> на </w:t>
      </w:r>
      <w:proofErr w:type="spellStart"/>
      <w:r w:rsidRPr="00E16672">
        <w:rPr>
          <w:rFonts w:ascii="Times New Roman" w:hAnsi="Times New Roman"/>
          <w:color w:val="000000"/>
          <w:szCs w:val="20"/>
        </w:rPr>
        <w:t>рахунку</w:t>
      </w:r>
      <w:proofErr w:type="spellEnd"/>
      <w:r w:rsidRPr="00E16672">
        <w:rPr>
          <w:rFonts w:ascii="Times New Roman" w:hAnsi="Times New Roman"/>
          <w:color w:val="000000"/>
          <w:szCs w:val="20"/>
        </w:rPr>
        <w:t xml:space="preserve"> </w:t>
      </w:r>
      <w:r w:rsidR="00C22309" w:rsidRPr="00E16672">
        <w:rPr>
          <w:rFonts w:ascii="Times New Roman" w:hAnsi="Times New Roman"/>
          <w:color w:val="000000"/>
          <w:szCs w:val="20"/>
        </w:rPr>
        <w:t xml:space="preserve">в </w:t>
      </w:r>
      <w:proofErr w:type="spellStart"/>
      <w:r w:rsidR="00C22309" w:rsidRPr="00E16672">
        <w:rPr>
          <w:rFonts w:ascii="Times New Roman" w:hAnsi="Times New Roman"/>
          <w:color w:val="000000"/>
          <w:szCs w:val="20"/>
        </w:rPr>
        <w:t>цін</w:t>
      </w:r>
      <w:r w:rsidRPr="00E16672">
        <w:rPr>
          <w:rFonts w:ascii="Times New Roman" w:hAnsi="Times New Roman"/>
          <w:color w:val="000000"/>
          <w:szCs w:val="20"/>
        </w:rPr>
        <w:t>них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паперах</w:t>
      </w:r>
      <w:proofErr w:type="spellEnd"/>
      <w:r w:rsidRPr="00E16672">
        <w:rPr>
          <w:rFonts w:ascii="Times New Roman" w:hAnsi="Times New Roman"/>
          <w:color w:val="000000"/>
          <w:szCs w:val="20"/>
        </w:rPr>
        <w:t xml:space="preserve"> Депонента.</w:t>
      </w:r>
    </w:p>
    <w:p w14:paraId="6D407E76" w14:textId="77777777" w:rsidR="007974E8" w:rsidRPr="00E16672" w:rsidRDefault="007974E8" w:rsidP="007974E8">
      <w:pPr>
        <w:rPr>
          <w:rFonts w:ascii="Times New Roman" w:hAnsi="Times New Roman"/>
          <w:color w:val="000000"/>
          <w:szCs w:val="20"/>
          <w:lang w:val="uk-UA"/>
        </w:rPr>
      </w:pPr>
      <w:r w:rsidRPr="00E16672">
        <w:rPr>
          <w:rFonts w:ascii="Times New Roman" w:hAnsi="Times New Roman"/>
          <w:color w:val="000000"/>
          <w:szCs w:val="20"/>
        </w:rPr>
        <w:t>6.</w:t>
      </w:r>
      <w:r w:rsidRPr="00E16672">
        <w:rPr>
          <w:rFonts w:ascii="Times New Roman" w:hAnsi="Times New Roman"/>
          <w:color w:val="000000"/>
          <w:szCs w:val="20"/>
          <w:lang w:val="uk-UA"/>
        </w:rPr>
        <w:t>5</w:t>
      </w:r>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Цей</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Договір</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припиняється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зокрема</w:t>
      </w:r>
      <w:proofErr w:type="spellEnd"/>
      <w:r w:rsidRPr="00E16672">
        <w:rPr>
          <w:rFonts w:ascii="Times New Roman" w:hAnsi="Times New Roman"/>
          <w:color w:val="000000"/>
          <w:szCs w:val="20"/>
        </w:rPr>
        <w:t xml:space="preserve">, у </w:t>
      </w:r>
      <w:proofErr w:type="spellStart"/>
      <w:r w:rsidRPr="00E16672">
        <w:rPr>
          <w:rFonts w:ascii="Times New Roman" w:hAnsi="Times New Roman"/>
          <w:color w:val="000000"/>
          <w:szCs w:val="20"/>
        </w:rPr>
        <w:t>разі</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закриття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рахунку</w:t>
      </w:r>
      <w:proofErr w:type="spellEnd"/>
      <w:r w:rsidRPr="00E16672">
        <w:rPr>
          <w:rFonts w:ascii="Times New Roman" w:hAnsi="Times New Roman"/>
          <w:color w:val="000000"/>
          <w:szCs w:val="20"/>
        </w:rPr>
        <w:t xml:space="preserve"> </w:t>
      </w:r>
      <w:r w:rsidR="00C22309" w:rsidRPr="00E16672">
        <w:rPr>
          <w:rFonts w:ascii="Times New Roman" w:hAnsi="Times New Roman"/>
          <w:color w:val="000000"/>
          <w:szCs w:val="20"/>
        </w:rPr>
        <w:t xml:space="preserve">в </w:t>
      </w:r>
      <w:proofErr w:type="spellStart"/>
      <w:r w:rsidR="00C22309" w:rsidRPr="00E16672">
        <w:rPr>
          <w:rFonts w:ascii="Times New Roman" w:hAnsi="Times New Roman"/>
          <w:color w:val="000000"/>
          <w:szCs w:val="20"/>
        </w:rPr>
        <w:t>цін</w:t>
      </w:r>
      <w:r w:rsidRPr="00E16672">
        <w:rPr>
          <w:rFonts w:ascii="Times New Roman" w:hAnsi="Times New Roman"/>
          <w:color w:val="000000"/>
          <w:szCs w:val="20"/>
        </w:rPr>
        <w:t>них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паперах</w:t>
      </w:r>
      <w:proofErr w:type="spellEnd"/>
      <w:r w:rsidRPr="00E16672">
        <w:rPr>
          <w:rFonts w:ascii="Times New Roman" w:hAnsi="Times New Roman"/>
          <w:color w:val="000000"/>
          <w:szCs w:val="20"/>
        </w:rPr>
        <w:t xml:space="preserve"> за </w:t>
      </w:r>
      <w:proofErr w:type="spellStart"/>
      <w:r w:rsidRPr="00E16672">
        <w:rPr>
          <w:rFonts w:ascii="Times New Roman" w:hAnsi="Times New Roman"/>
          <w:color w:val="000000"/>
          <w:szCs w:val="20"/>
        </w:rPr>
        <w:t>розпорядженням</w:t>
      </w:r>
      <w:proofErr w:type="spellEnd"/>
      <w:r w:rsidRPr="00E16672">
        <w:rPr>
          <w:rFonts w:ascii="Times New Roman" w:hAnsi="Times New Roman"/>
          <w:color w:val="000000"/>
          <w:szCs w:val="20"/>
        </w:rPr>
        <w:t xml:space="preserve"> Депонента. У </w:t>
      </w:r>
      <w:proofErr w:type="spellStart"/>
      <w:r w:rsidRPr="00E16672">
        <w:rPr>
          <w:rFonts w:ascii="Times New Roman" w:hAnsi="Times New Roman"/>
          <w:color w:val="000000"/>
          <w:szCs w:val="20"/>
        </w:rPr>
        <w:t>цьому</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випадку</w:t>
      </w:r>
      <w:proofErr w:type="spellEnd"/>
      <w:r w:rsidRPr="00E16672">
        <w:rPr>
          <w:rFonts w:ascii="Times New Roman" w:hAnsi="Times New Roman"/>
          <w:color w:val="000000"/>
          <w:szCs w:val="20"/>
        </w:rPr>
        <w:t xml:space="preserve"> дата </w:t>
      </w:r>
      <w:proofErr w:type="spellStart"/>
      <w:r w:rsidRPr="00E16672">
        <w:rPr>
          <w:rFonts w:ascii="Times New Roman" w:hAnsi="Times New Roman"/>
          <w:color w:val="000000"/>
          <w:szCs w:val="20"/>
        </w:rPr>
        <w:t>закриття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рахунку</w:t>
      </w:r>
      <w:proofErr w:type="spellEnd"/>
      <w:r w:rsidRPr="00E16672">
        <w:rPr>
          <w:rFonts w:ascii="Times New Roman" w:hAnsi="Times New Roman"/>
          <w:color w:val="000000"/>
          <w:szCs w:val="20"/>
        </w:rPr>
        <w:t xml:space="preserve"> </w:t>
      </w:r>
      <w:r w:rsidR="00C22309" w:rsidRPr="00E16672">
        <w:rPr>
          <w:rFonts w:ascii="Times New Roman" w:hAnsi="Times New Roman"/>
          <w:color w:val="000000"/>
          <w:szCs w:val="20"/>
        </w:rPr>
        <w:t xml:space="preserve">в </w:t>
      </w:r>
      <w:proofErr w:type="spellStart"/>
      <w:r w:rsidR="00C22309" w:rsidRPr="00E16672">
        <w:rPr>
          <w:rFonts w:ascii="Times New Roman" w:hAnsi="Times New Roman"/>
          <w:color w:val="000000"/>
          <w:szCs w:val="20"/>
        </w:rPr>
        <w:t>цін</w:t>
      </w:r>
      <w:r w:rsidRPr="00E16672">
        <w:rPr>
          <w:rFonts w:ascii="Times New Roman" w:hAnsi="Times New Roman"/>
          <w:color w:val="000000"/>
          <w:szCs w:val="20"/>
        </w:rPr>
        <w:t>них</w:t>
      </w:r>
      <w:proofErr w:type="spellEnd"/>
      <w:r w:rsidRPr="00E16672">
        <w:rPr>
          <w:rFonts w:ascii="Times New Roman" w:hAnsi="Times New Roman"/>
          <w:color w:val="000000"/>
          <w:szCs w:val="20"/>
        </w:rPr>
        <w:t xml:space="preserve"> </w:t>
      </w:r>
      <w:proofErr w:type="spellStart"/>
      <w:proofErr w:type="gramStart"/>
      <w:r w:rsidRPr="00E16672">
        <w:rPr>
          <w:rFonts w:ascii="Times New Roman" w:hAnsi="Times New Roman"/>
          <w:color w:val="000000"/>
          <w:szCs w:val="20"/>
        </w:rPr>
        <w:t>паперах</w:t>
      </w:r>
      <w:proofErr w:type="spellEnd"/>
      <w:r w:rsidRPr="00E16672">
        <w:rPr>
          <w:rFonts w:ascii="Times New Roman" w:hAnsi="Times New Roman"/>
          <w:color w:val="000000"/>
          <w:szCs w:val="20"/>
        </w:rPr>
        <w:t xml:space="preserve">  є</w:t>
      </w:r>
      <w:proofErr w:type="gram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останньою</w:t>
      </w:r>
      <w:proofErr w:type="spellEnd"/>
      <w:r w:rsidRPr="00E16672">
        <w:rPr>
          <w:rFonts w:ascii="Times New Roman" w:hAnsi="Times New Roman"/>
          <w:color w:val="000000"/>
          <w:szCs w:val="20"/>
        </w:rPr>
        <w:t xml:space="preserve"> датою </w:t>
      </w:r>
      <w:proofErr w:type="spellStart"/>
      <w:r w:rsidRPr="00E16672">
        <w:rPr>
          <w:rFonts w:ascii="Times New Roman" w:hAnsi="Times New Roman"/>
          <w:color w:val="000000"/>
          <w:szCs w:val="20"/>
        </w:rPr>
        <w:t>чинності</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дії</w:t>
      </w:r>
      <w:proofErr w:type="spellEnd"/>
      <w:r w:rsidRPr="00E16672">
        <w:rPr>
          <w:rFonts w:ascii="Times New Roman" w:hAnsi="Times New Roman"/>
          <w:color w:val="000000"/>
          <w:szCs w:val="20"/>
        </w:rPr>
        <w:t>) Договору.</w:t>
      </w:r>
    </w:p>
    <w:p w14:paraId="5E406196" w14:textId="77777777" w:rsidR="007974E8" w:rsidRPr="00E16672" w:rsidRDefault="007974E8" w:rsidP="007974E8">
      <w:pPr>
        <w:rPr>
          <w:rFonts w:ascii="Times New Roman" w:hAnsi="Times New Roman"/>
          <w:color w:val="000000"/>
          <w:szCs w:val="20"/>
          <w:lang w:val="uk-UA"/>
        </w:rPr>
      </w:pPr>
      <w:r w:rsidRPr="00E16672">
        <w:rPr>
          <w:rFonts w:ascii="Times New Roman" w:hAnsi="Times New Roman"/>
          <w:color w:val="000000"/>
          <w:szCs w:val="20"/>
          <w:lang w:val="uk-UA"/>
        </w:rPr>
        <w:t>6.6. Депозитарна установа та Депонент (Керуючий рахунком) зобов’язані у разі розірвання цього Договору (у тому числі у зв’язку з припиненням Депозитарною установою провадження професійної діяльності на фондовому ринку – депозитарної діяльності) діяти відповідно до вимог законодавства та цього Договору.</w:t>
      </w:r>
    </w:p>
    <w:p w14:paraId="66ECA6E9" w14:textId="77777777" w:rsidR="00E72E24" w:rsidRPr="00E16672" w:rsidRDefault="007974E8" w:rsidP="00022F5F">
      <w:pPr>
        <w:jc w:val="left"/>
        <w:rPr>
          <w:rFonts w:ascii="Times New Roman" w:hAnsi="Times New Roman"/>
          <w:b/>
          <w:color w:val="000000"/>
          <w:szCs w:val="20"/>
        </w:rPr>
      </w:pPr>
      <w:r w:rsidRPr="00E16672">
        <w:rPr>
          <w:rFonts w:ascii="Times New Roman" w:hAnsi="Times New Roman"/>
          <w:color w:val="000000"/>
          <w:szCs w:val="20"/>
        </w:rPr>
        <w:t>6.</w:t>
      </w:r>
      <w:r w:rsidRPr="00E16672">
        <w:rPr>
          <w:rFonts w:ascii="Times New Roman" w:hAnsi="Times New Roman"/>
          <w:color w:val="000000"/>
          <w:szCs w:val="20"/>
          <w:lang w:val="uk-UA"/>
        </w:rPr>
        <w:t>7</w:t>
      </w:r>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Питання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що</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виникають</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під</w:t>
      </w:r>
      <w:proofErr w:type="spellEnd"/>
      <w:r w:rsidRPr="00E16672">
        <w:rPr>
          <w:rFonts w:ascii="Times New Roman" w:hAnsi="Times New Roman"/>
          <w:color w:val="000000"/>
          <w:szCs w:val="20"/>
        </w:rPr>
        <w:t xml:space="preserve"> час </w:t>
      </w:r>
      <w:proofErr w:type="spellStart"/>
      <w:r w:rsidRPr="00E16672">
        <w:rPr>
          <w:rFonts w:ascii="Times New Roman" w:hAnsi="Times New Roman"/>
          <w:color w:val="000000"/>
          <w:szCs w:val="20"/>
        </w:rPr>
        <w:t>укладення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виконання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зміни</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розірвання</w:t>
      </w:r>
      <w:proofErr w:type="spellEnd"/>
      <w:r w:rsidRPr="00E16672">
        <w:rPr>
          <w:rFonts w:ascii="Times New Roman" w:hAnsi="Times New Roman"/>
          <w:color w:val="000000"/>
          <w:szCs w:val="20"/>
        </w:rPr>
        <w:t xml:space="preserve"> Договору і не </w:t>
      </w:r>
      <w:proofErr w:type="spellStart"/>
      <w:r w:rsidRPr="00E16672">
        <w:rPr>
          <w:rFonts w:ascii="Times New Roman" w:hAnsi="Times New Roman"/>
          <w:color w:val="000000"/>
          <w:szCs w:val="20"/>
        </w:rPr>
        <w:t>врегульовані</w:t>
      </w:r>
      <w:proofErr w:type="spellEnd"/>
      <w:r w:rsidRPr="00E16672">
        <w:rPr>
          <w:rFonts w:ascii="Times New Roman" w:hAnsi="Times New Roman"/>
          <w:color w:val="000000"/>
          <w:szCs w:val="20"/>
        </w:rPr>
        <w:t xml:space="preserve"> ним, </w:t>
      </w:r>
      <w:proofErr w:type="spellStart"/>
      <w:r w:rsidRPr="00E16672">
        <w:rPr>
          <w:rFonts w:ascii="Times New Roman" w:hAnsi="Times New Roman"/>
          <w:color w:val="000000"/>
          <w:szCs w:val="20"/>
        </w:rPr>
        <w:t>регулюються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Цивільним</w:t>
      </w:r>
      <w:proofErr w:type="spellEnd"/>
      <w:r w:rsidRPr="00E16672">
        <w:rPr>
          <w:rFonts w:ascii="Times New Roman" w:hAnsi="Times New Roman"/>
          <w:color w:val="000000"/>
          <w:szCs w:val="20"/>
        </w:rPr>
        <w:t xml:space="preserve"> кодексом </w:t>
      </w:r>
      <w:proofErr w:type="spellStart"/>
      <w:r w:rsidRPr="00E16672">
        <w:rPr>
          <w:rFonts w:ascii="Times New Roman" w:hAnsi="Times New Roman"/>
          <w:color w:val="000000"/>
          <w:szCs w:val="20"/>
        </w:rPr>
        <w:t>України</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Господарським</w:t>
      </w:r>
      <w:proofErr w:type="spellEnd"/>
      <w:r w:rsidRPr="00E16672">
        <w:rPr>
          <w:rFonts w:ascii="Times New Roman" w:hAnsi="Times New Roman"/>
          <w:color w:val="000000"/>
          <w:szCs w:val="20"/>
        </w:rPr>
        <w:t xml:space="preserve"> кодексом </w:t>
      </w:r>
      <w:proofErr w:type="spellStart"/>
      <w:r w:rsidRPr="00E16672">
        <w:rPr>
          <w:rFonts w:ascii="Times New Roman" w:hAnsi="Times New Roman"/>
          <w:color w:val="000000"/>
          <w:szCs w:val="20"/>
        </w:rPr>
        <w:t>України</w:t>
      </w:r>
      <w:proofErr w:type="spellEnd"/>
      <w:r w:rsidRPr="00E16672">
        <w:rPr>
          <w:rFonts w:ascii="Times New Roman" w:hAnsi="Times New Roman"/>
          <w:color w:val="000000"/>
          <w:szCs w:val="20"/>
        </w:rPr>
        <w:t xml:space="preserve">, Законом </w:t>
      </w:r>
      <w:proofErr w:type="spellStart"/>
      <w:r w:rsidRPr="00E16672">
        <w:rPr>
          <w:rFonts w:ascii="Times New Roman" w:hAnsi="Times New Roman"/>
          <w:color w:val="000000"/>
          <w:szCs w:val="20"/>
        </w:rPr>
        <w:t>України</w:t>
      </w:r>
      <w:proofErr w:type="spellEnd"/>
      <w:r w:rsidRPr="00E16672">
        <w:rPr>
          <w:rFonts w:ascii="Times New Roman" w:hAnsi="Times New Roman"/>
          <w:color w:val="000000"/>
          <w:szCs w:val="20"/>
        </w:rPr>
        <w:t xml:space="preserve"> </w:t>
      </w:r>
      <w:r w:rsidR="00022F5F">
        <w:rPr>
          <w:rFonts w:ascii="Times New Roman" w:hAnsi="Times New Roman"/>
          <w:color w:val="000000"/>
          <w:szCs w:val="20"/>
        </w:rPr>
        <w:t>"</w:t>
      </w:r>
      <w:r w:rsidRPr="00E16672">
        <w:rPr>
          <w:rFonts w:ascii="Times New Roman" w:hAnsi="Times New Roman"/>
          <w:color w:val="000000"/>
          <w:szCs w:val="20"/>
        </w:rPr>
        <w:t xml:space="preserve">Про </w:t>
      </w:r>
      <w:proofErr w:type="spellStart"/>
      <w:r w:rsidRPr="00E16672">
        <w:rPr>
          <w:rFonts w:ascii="Times New Roman" w:hAnsi="Times New Roman"/>
          <w:color w:val="000000"/>
          <w:szCs w:val="20"/>
        </w:rPr>
        <w:t>депозитарну</w:t>
      </w:r>
      <w:proofErr w:type="spellEnd"/>
      <w:r w:rsidRPr="00E16672">
        <w:rPr>
          <w:rFonts w:ascii="Times New Roman" w:hAnsi="Times New Roman"/>
          <w:color w:val="000000"/>
          <w:szCs w:val="20"/>
        </w:rPr>
        <w:t xml:space="preserve"> систему </w:t>
      </w:r>
      <w:proofErr w:type="spellStart"/>
      <w:r w:rsidRPr="00E16672">
        <w:rPr>
          <w:rFonts w:ascii="Times New Roman" w:hAnsi="Times New Roman"/>
          <w:color w:val="000000"/>
          <w:szCs w:val="20"/>
        </w:rPr>
        <w:t>України</w:t>
      </w:r>
      <w:proofErr w:type="spellEnd"/>
      <w:r w:rsidR="00022F5F">
        <w:rPr>
          <w:rFonts w:ascii="Times New Roman" w:hAnsi="Times New Roman"/>
          <w:color w:val="000000"/>
          <w:szCs w:val="20"/>
        </w:rPr>
        <w:t>"</w:t>
      </w:r>
      <w:r w:rsidRPr="00E16672">
        <w:rPr>
          <w:rFonts w:ascii="Times New Roman" w:hAnsi="Times New Roman"/>
          <w:color w:val="000000"/>
          <w:szCs w:val="20"/>
        </w:rPr>
        <w:t>, нормативно-</w:t>
      </w:r>
      <w:proofErr w:type="spellStart"/>
      <w:r w:rsidRPr="00E16672">
        <w:rPr>
          <w:rFonts w:ascii="Times New Roman" w:hAnsi="Times New Roman"/>
          <w:color w:val="000000"/>
          <w:szCs w:val="20"/>
        </w:rPr>
        <w:t>правовими</w:t>
      </w:r>
      <w:proofErr w:type="spellEnd"/>
      <w:r w:rsidRPr="00E16672">
        <w:rPr>
          <w:rFonts w:ascii="Times New Roman" w:hAnsi="Times New Roman"/>
          <w:color w:val="000000"/>
          <w:szCs w:val="20"/>
        </w:rPr>
        <w:t xml:space="preserve"> актами НКЦПФР.</w:t>
      </w:r>
    </w:p>
    <w:p w14:paraId="1FCC164F" w14:textId="77777777" w:rsidR="00E72E24" w:rsidRPr="00E16672" w:rsidRDefault="00E72E24" w:rsidP="007974E8">
      <w:pPr>
        <w:jc w:val="center"/>
        <w:rPr>
          <w:rFonts w:ascii="Times New Roman" w:hAnsi="Times New Roman"/>
          <w:b/>
          <w:color w:val="000000"/>
          <w:szCs w:val="20"/>
        </w:rPr>
      </w:pPr>
    </w:p>
    <w:p w14:paraId="73808A1F" w14:textId="77777777" w:rsidR="007974E8" w:rsidRPr="00E16672" w:rsidRDefault="007974E8" w:rsidP="007974E8">
      <w:pPr>
        <w:jc w:val="center"/>
        <w:rPr>
          <w:rFonts w:ascii="Times New Roman" w:hAnsi="Times New Roman"/>
          <w:b/>
          <w:color w:val="000000"/>
          <w:szCs w:val="20"/>
        </w:rPr>
      </w:pPr>
      <w:r w:rsidRPr="00E16672">
        <w:rPr>
          <w:rFonts w:ascii="Times New Roman" w:hAnsi="Times New Roman"/>
          <w:b/>
          <w:color w:val="000000"/>
          <w:szCs w:val="20"/>
        </w:rPr>
        <w:t xml:space="preserve">7. Порядок </w:t>
      </w:r>
      <w:proofErr w:type="spellStart"/>
      <w:r w:rsidRPr="00E16672">
        <w:rPr>
          <w:rFonts w:ascii="Times New Roman" w:hAnsi="Times New Roman"/>
          <w:b/>
          <w:color w:val="000000"/>
          <w:szCs w:val="20"/>
        </w:rPr>
        <w:t>розкриття</w:t>
      </w:r>
      <w:proofErr w:type="spellEnd"/>
      <w:r w:rsidRPr="00E16672">
        <w:rPr>
          <w:rFonts w:ascii="Times New Roman" w:hAnsi="Times New Roman"/>
          <w:b/>
          <w:color w:val="000000"/>
          <w:szCs w:val="20"/>
        </w:rPr>
        <w:t xml:space="preserve"> </w:t>
      </w:r>
      <w:proofErr w:type="spellStart"/>
      <w:r w:rsidRPr="00E16672">
        <w:rPr>
          <w:rFonts w:ascii="Times New Roman" w:hAnsi="Times New Roman"/>
          <w:b/>
          <w:color w:val="000000"/>
          <w:szCs w:val="20"/>
        </w:rPr>
        <w:t>інформації</w:t>
      </w:r>
      <w:proofErr w:type="spellEnd"/>
      <w:r w:rsidRPr="00E16672">
        <w:rPr>
          <w:rFonts w:ascii="Times New Roman" w:hAnsi="Times New Roman"/>
          <w:b/>
          <w:color w:val="000000"/>
          <w:szCs w:val="20"/>
        </w:rPr>
        <w:t xml:space="preserve">, </w:t>
      </w:r>
      <w:proofErr w:type="spellStart"/>
      <w:r w:rsidRPr="00E16672">
        <w:rPr>
          <w:rFonts w:ascii="Times New Roman" w:hAnsi="Times New Roman"/>
          <w:b/>
          <w:color w:val="000000"/>
          <w:szCs w:val="20"/>
        </w:rPr>
        <w:t>що</w:t>
      </w:r>
      <w:proofErr w:type="spellEnd"/>
      <w:r w:rsidRPr="00E16672">
        <w:rPr>
          <w:rFonts w:ascii="Times New Roman" w:hAnsi="Times New Roman"/>
          <w:b/>
          <w:color w:val="000000"/>
          <w:szCs w:val="20"/>
        </w:rPr>
        <w:t xml:space="preserve"> </w:t>
      </w:r>
      <w:proofErr w:type="spellStart"/>
      <w:r w:rsidRPr="00E16672">
        <w:rPr>
          <w:rFonts w:ascii="Times New Roman" w:hAnsi="Times New Roman"/>
          <w:b/>
          <w:color w:val="000000"/>
          <w:szCs w:val="20"/>
        </w:rPr>
        <w:t>належить</w:t>
      </w:r>
      <w:proofErr w:type="spellEnd"/>
    </w:p>
    <w:p w14:paraId="253FB4A9" w14:textId="77777777" w:rsidR="007974E8" w:rsidRPr="00E16672" w:rsidRDefault="007974E8" w:rsidP="007974E8">
      <w:pPr>
        <w:jc w:val="center"/>
        <w:rPr>
          <w:rFonts w:ascii="Times New Roman" w:hAnsi="Times New Roman"/>
          <w:b/>
          <w:color w:val="000000"/>
          <w:szCs w:val="20"/>
        </w:rPr>
      </w:pPr>
      <w:r w:rsidRPr="00E16672">
        <w:rPr>
          <w:rFonts w:ascii="Times New Roman" w:hAnsi="Times New Roman"/>
          <w:b/>
          <w:color w:val="000000"/>
          <w:szCs w:val="20"/>
        </w:rPr>
        <w:t xml:space="preserve"> до </w:t>
      </w:r>
      <w:proofErr w:type="spellStart"/>
      <w:r w:rsidRPr="00E16672">
        <w:rPr>
          <w:rFonts w:ascii="Times New Roman" w:hAnsi="Times New Roman"/>
          <w:b/>
          <w:color w:val="000000"/>
          <w:szCs w:val="20"/>
        </w:rPr>
        <w:t>інформації</w:t>
      </w:r>
      <w:proofErr w:type="spellEnd"/>
      <w:r w:rsidRPr="00E16672">
        <w:rPr>
          <w:rFonts w:ascii="Times New Roman" w:hAnsi="Times New Roman"/>
          <w:b/>
          <w:color w:val="000000"/>
          <w:szCs w:val="20"/>
        </w:rPr>
        <w:t xml:space="preserve"> з </w:t>
      </w:r>
      <w:proofErr w:type="spellStart"/>
      <w:r w:rsidRPr="00E16672">
        <w:rPr>
          <w:rFonts w:ascii="Times New Roman" w:hAnsi="Times New Roman"/>
          <w:b/>
          <w:color w:val="000000"/>
          <w:szCs w:val="20"/>
        </w:rPr>
        <w:t>обмеженим</w:t>
      </w:r>
      <w:proofErr w:type="spellEnd"/>
      <w:r w:rsidRPr="00E16672">
        <w:rPr>
          <w:rFonts w:ascii="Times New Roman" w:hAnsi="Times New Roman"/>
          <w:b/>
          <w:color w:val="000000"/>
          <w:szCs w:val="20"/>
        </w:rPr>
        <w:t xml:space="preserve"> доступом</w:t>
      </w:r>
    </w:p>
    <w:p w14:paraId="1802725E" w14:textId="77777777" w:rsidR="007974E8" w:rsidRPr="00E16672" w:rsidRDefault="007974E8" w:rsidP="00022F5F">
      <w:pPr>
        <w:jc w:val="left"/>
        <w:rPr>
          <w:rFonts w:ascii="Times New Roman" w:hAnsi="Times New Roman"/>
          <w:color w:val="000000"/>
          <w:szCs w:val="20"/>
        </w:rPr>
      </w:pPr>
      <w:r w:rsidRPr="00E16672">
        <w:rPr>
          <w:rFonts w:ascii="Times New Roman" w:hAnsi="Times New Roman"/>
          <w:color w:val="000000"/>
          <w:szCs w:val="20"/>
        </w:rPr>
        <w:t xml:space="preserve">7.1. </w:t>
      </w:r>
      <w:proofErr w:type="spellStart"/>
      <w:r w:rsidRPr="00E16672">
        <w:rPr>
          <w:rFonts w:ascii="Times New Roman" w:hAnsi="Times New Roman"/>
          <w:color w:val="000000"/>
          <w:szCs w:val="20"/>
        </w:rPr>
        <w:t>Інформація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що</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міститься</w:t>
      </w:r>
      <w:proofErr w:type="spellEnd"/>
      <w:r w:rsidRPr="00E16672">
        <w:rPr>
          <w:rFonts w:ascii="Times New Roman" w:hAnsi="Times New Roman"/>
          <w:color w:val="000000"/>
          <w:szCs w:val="20"/>
        </w:rPr>
        <w:t xml:space="preserve"> у </w:t>
      </w:r>
      <w:proofErr w:type="spellStart"/>
      <w:r w:rsidRPr="00E16672">
        <w:rPr>
          <w:rFonts w:ascii="Times New Roman" w:hAnsi="Times New Roman"/>
          <w:color w:val="000000"/>
          <w:szCs w:val="20"/>
        </w:rPr>
        <w:t>системі</w:t>
      </w:r>
      <w:proofErr w:type="spellEnd"/>
      <w:r w:rsidRPr="00E16672">
        <w:rPr>
          <w:rFonts w:ascii="Times New Roman" w:hAnsi="Times New Roman"/>
          <w:color w:val="000000"/>
          <w:szCs w:val="20"/>
        </w:rPr>
        <w:t xml:space="preserve"> депозитарного </w:t>
      </w:r>
      <w:proofErr w:type="spellStart"/>
      <w:r w:rsidRPr="00E16672">
        <w:rPr>
          <w:rFonts w:ascii="Times New Roman" w:hAnsi="Times New Roman"/>
          <w:color w:val="000000"/>
          <w:szCs w:val="20"/>
        </w:rPr>
        <w:t>обліку</w:t>
      </w:r>
      <w:proofErr w:type="spellEnd"/>
      <w:r w:rsidRPr="00E16672">
        <w:rPr>
          <w:rFonts w:ascii="Times New Roman" w:hAnsi="Times New Roman"/>
          <w:color w:val="000000"/>
          <w:szCs w:val="20"/>
        </w:rPr>
        <w:t xml:space="preserve">, є </w:t>
      </w:r>
      <w:proofErr w:type="spellStart"/>
      <w:r w:rsidRPr="00E16672">
        <w:rPr>
          <w:rFonts w:ascii="Times New Roman" w:hAnsi="Times New Roman"/>
          <w:color w:val="000000"/>
          <w:szCs w:val="20"/>
        </w:rPr>
        <w:t>інформацією</w:t>
      </w:r>
      <w:proofErr w:type="spellEnd"/>
      <w:r w:rsidRPr="00E16672">
        <w:rPr>
          <w:rFonts w:ascii="Times New Roman" w:hAnsi="Times New Roman"/>
          <w:color w:val="000000"/>
          <w:szCs w:val="20"/>
        </w:rPr>
        <w:t xml:space="preserve"> з </w:t>
      </w:r>
      <w:proofErr w:type="spellStart"/>
      <w:r w:rsidRPr="00E16672">
        <w:rPr>
          <w:rFonts w:ascii="Times New Roman" w:hAnsi="Times New Roman"/>
          <w:color w:val="000000"/>
          <w:szCs w:val="20"/>
        </w:rPr>
        <w:t>обмеженим</w:t>
      </w:r>
      <w:proofErr w:type="spellEnd"/>
      <w:r w:rsidRPr="00E16672">
        <w:rPr>
          <w:rFonts w:ascii="Times New Roman" w:hAnsi="Times New Roman"/>
          <w:color w:val="000000"/>
          <w:szCs w:val="20"/>
        </w:rPr>
        <w:t xml:space="preserve"> доступом, </w:t>
      </w:r>
      <w:proofErr w:type="spellStart"/>
      <w:r w:rsidRPr="00E16672">
        <w:rPr>
          <w:rFonts w:ascii="Times New Roman" w:hAnsi="Times New Roman"/>
          <w:color w:val="000000"/>
          <w:szCs w:val="20"/>
        </w:rPr>
        <w:t>охороняється</w:t>
      </w:r>
      <w:proofErr w:type="spellEnd"/>
      <w:r w:rsidRPr="00E16672">
        <w:rPr>
          <w:rFonts w:ascii="Times New Roman" w:hAnsi="Times New Roman"/>
          <w:color w:val="000000"/>
          <w:szCs w:val="20"/>
        </w:rPr>
        <w:t xml:space="preserve"> законом та не </w:t>
      </w:r>
      <w:proofErr w:type="spellStart"/>
      <w:r w:rsidRPr="00E16672">
        <w:rPr>
          <w:rFonts w:ascii="Times New Roman" w:hAnsi="Times New Roman"/>
          <w:color w:val="000000"/>
          <w:szCs w:val="20"/>
        </w:rPr>
        <w:t>підлягає</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розголошенню</w:t>
      </w:r>
      <w:proofErr w:type="spellEnd"/>
      <w:r w:rsidRPr="00E16672">
        <w:rPr>
          <w:rFonts w:ascii="Times New Roman" w:hAnsi="Times New Roman"/>
          <w:color w:val="000000"/>
          <w:szCs w:val="20"/>
        </w:rPr>
        <w:t xml:space="preserve"> Депозитарною </w:t>
      </w:r>
      <w:proofErr w:type="spellStart"/>
      <w:r w:rsidRPr="00E16672">
        <w:rPr>
          <w:rFonts w:ascii="Times New Roman" w:hAnsi="Times New Roman"/>
          <w:color w:val="000000"/>
          <w:szCs w:val="20"/>
        </w:rPr>
        <w:t>установою</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крім</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випадків</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передбачених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статтею</w:t>
      </w:r>
      <w:proofErr w:type="spellEnd"/>
      <w:r w:rsidRPr="00E16672">
        <w:rPr>
          <w:rFonts w:ascii="Times New Roman" w:hAnsi="Times New Roman"/>
          <w:color w:val="000000"/>
          <w:szCs w:val="20"/>
        </w:rPr>
        <w:t xml:space="preserve"> 25 Закону </w:t>
      </w:r>
      <w:proofErr w:type="spellStart"/>
      <w:r w:rsidRPr="00E16672">
        <w:rPr>
          <w:rFonts w:ascii="Times New Roman" w:hAnsi="Times New Roman"/>
          <w:color w:val="000000"/>
          <w:szCs w:val="20"/>
        </w:rPr>
        <w:t>України</w:t>
      </w:r>
      <w:proofErr w:type="spellEnd"/>
      <w:r w:rsidRPr="00E16672">
        <w:rPr>
          <w:rFonts w:ascii="Times New Roman" w:hAnsi="Times New Roman"/>
          <w:color w:val="000000"/>
          <w:szCs w:val="20"/>
        </w:rPr>
        <w:t xml:space="preserve"> </w:t>
      </w:r>
      <w:r w:rsidR="00022F5F">
        <w:rPr>
          <w:rFonts w:ascii="Times New Roman" w:hAnsi="Times New Roman"/>
          <w:color w:val="000000"/>
          <w:szCs w:val="20"/>
        </w:rPr>
        <w:t>"</w:t>
      </w:r>
      <w:r w:rsidRPr="00E16672">
        <w:rPr>
          <w:rFonts w:ascii="Times New Roman" w:hAnsi="Times New Roman"/>
          <w:color w:val="000000"/>
          <w:szCs w:val="20"/>
        </w:rPr>
        <w:t xml:space="preserve">Про </w:t>
      </w:r>
      <w:proofErr w:type="spellStart"/>
      <w:r w:rsidRPr="00E16672">
        <w:rPr>
          <w:rFonts w:ascii="Times New Roman" w:hAnsi="Times New Roman"/>
          <w:color w:val="000000"/>
          <w:szCs w:val="20"/>
        </w:rPr>
        <w:t>депозитарну</w:t>
      </w:r>
      <w:proofErr w:type="spellEnd"/>
      <w:r w:rsidRPr="00E16672">
        <w:rPr>
          <w:rFonts w:ascii="Times New Roman" w:hAnsi="Times New Roman"/>
          <w:color w:val="000000"/>
          <w:szCs w:val="20"/>
        </w:rPr>
        <w:t xml:space="preserve"> систему </w:t>
      </w:r>
      <w:proofErr w:type="spellStart"/>
      <w:r w:rsidRPr="00E16672">
        <w:rPr>
          <w:rFonts w:ascii="Times New Roman" w:hAnsi="Times New Roman"/>
          <w:color w:val="000000"/>
          <w:szCs w:val="20"/>
        </w:rPr>
        <w:t>України</w:t>
      </w:r>
      <w:proofErr w:type="spellEnd"/>
      <w:r w:rsidR="00022F5F">
        <w:rPr>
          <w:rFonts w:ascii="Times New Roman" w:hAnsi="Times New Roman"/>
          <w:color w:val="000000"/>
          <w:szCs w:val="20"/>
        </w:rPr>
        <w:t>"</w:t>
      </w:r>
      <w:r w:rsidRPr="00E16672">
        <w:rPr>
          <w:rFonts w:ascii="Times New Roman" w:hAnsi="Times New Roman"/>
          <w:color w:val="000000"/>
          <w:szCs w:val="20"/>
        </w:rPr>
        <w:t>.</w:t>
      </w:r>
    </w:p>
    <w:p w14:paraId="30EA31C1" w14:textId="77777777" w:rsidR="007974E8" w:rsidRPr="00E16672" w:rsidRDefault="007974E8" w:rsidP="007974E8">
      <w:pPr>
        <w:rPr>
          <w:rFonts w:ascii="Times New Roman" w:hAnsi="Times New Roman"/>
          <w:color w:val="000000"/>
          <w:szCs w:val="20"/>
        </w:rPr>
      </w:pPr>
      <w:r w:rsidRPr="00E16672">
        <w:rPr>
          <w:rFonts w:ascii="Times New Roman" w:hAnsi="Times New Roman"/>
          <w:color w:val="000000"/>
          <w:szCs w:val="20"/>
        </w:rPr>
        <w:t xml:space="preserve">7.2. </w:t>
      </w:r>
      <w:proofErr w:type="spellStart"/>
      <w:r w:rsidRPr="00E16672">
        <w:rPr>
          <w:rFonts w:ascii="Times New Roman" w:hAnsi="Times New Roman"/>
          <w:color w:val="000000"/>
          <w:szCs w:val="20"/>
        </w:rPr>
        <w:t>Інформація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що</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міститься</w:t>
      </w:r>
      <w:proofErr w:type="spellEnd"/>
      <w:r w:rsidRPr="00E16672">
        <w:rPr>
          <w:rFonts w:ascii="Times New Roman" w:hAnsi="Times New Roman"/>
          <w:color w:val="000000"/>
          <w:szCs w:val="20"/>
        </w:rPr>
        <w:t xml:space="preserve"> у </w:t>
      </w:r>
      <w:proofErr w:type="spellStart"/>
      <w:r w:rsidRPr="00E16672">
        <w:rPr>
          <w:rFonts w:ascii="Times New Roman" w:hAnsi="Times New Roman"/>
          <w:color w:val="000000"/>
          <w:szCs w:val="20"/>
        </w:rPr>
        <w:t>системі</w:t>
      </w:r>
      <w:proofErr w:type="spellEnd"/>
      <w:r w:rsidRPr="00E16672">
        <w:rPr>
          <w:rFonts w:ascii="Times New Roman" w:hAnsi="Times New Roman"/>
          <w:color w:val="000000"/>
          <w:szCs w:val="20"/>
        </w:rPr>
        <w:t xml:space="preserve"> депозитарного </w:t>
      </w:r>
      <w:proofErr w:type="spellStart"/>
      <w:r w:rsidRPr="00E16672">
        <w:rPr>
          <w:rFonts w:ascii="Times New Roman" w:hAnsi="Times New Roman"/>
          <w:color w:val="000000"/>
          <w:szCs w:val="20"/>
        </w:rPr>
        <w:t>обліку</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надається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власнику</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інформації</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або</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його</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представникові</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відповідно</w:t>
      </w:r>
      <w:proofErr w:type="spellEnd"/>
      <w:r w:rsidRPr="00E16672">
        <w:rPr>
          <w:rFonts w:ascii="Times New Roman" w:hAnsi="Times New Roman"/>
          <w:color w:val="000000"/>
          <w:szCs w:val="20"/>
        </w:rPr>
        <w:t xml:space="preserve"> до умов Договору, </w:t>
      </w:r>
      <w:proofErr w:type="spellStart"/>
      <w:r w:rsidRPr="00E16672">
        <w:rPr>
          <w:rFonts w:ascii="Times New Roman" w:hAnsi="Times New Roman"/>
          <w:color w:val="000000"/>
          <w:szCs w:val="20"/>
        </w:rPr>
        <w:t>або</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іншим</w:t>
      </w:r>
      <w:proofErr w:type="spellEnd"/>
      <w:r w:rsidRPr="00E16672">
        <w:rPr>
          <w:rFonts w:ascii="Times New Roman" w:hAnsi="Times New Roman"/>
          <w:color w:val="000000"/>
          <w:szCs w:val="20"/>
        </w:rPr>
        <w:t xml:space="preserve"> особам у </w:t>
      </w:r>
      <w:proofErr w:type="spellStart"/>
      <w:r w:rsidRPr="00E16672">
        <w:rPr>
          <w:rFonts w:ascii="Times New Roman" w:hAnsi="Times New Roman"/>
          <w:color w:val="000000"/>
          <w:szCs w:val="20"/>
        </w:rPr>
        <w:t>передбачених</w:t>
      </w:r>
      <w:proofErr w:type="spellEnd"/>
      <w:r w:rsidRPr="00E16672">
        <w:rPr>
          <w:rFonts w:ascii="Times New Roman" w:hAnsi="Times New Roman"/>
          <w:color w:val="000000"/>
          <w:szCs w:val="20"/>
        </w:rPr>
        <w:t xml:space="preserve"> законом </w:t>
      </w:r>
      <w:proofErr w:type="spellStart"/>
      <w:r w:rsidRPr="00E16672">
        <w:rPr>
          <w:rFonts w:ascii="Times New Roman" w:hAnsi="Times New Roman"/>
          <w:color w:val="000000"/>
          <w:szCs w:val="20"/>
        </w:rPr>
        <w:t>випадках</w:t>
      </w:r>
      <w:proofErr w:type="spellEnd"/>
      <w:r w:rsidRPr="00E16672">
        <w:rPr>
          <w:rFonts w:ascii="Times New Roman" w:hAnsi="Times New Roman"/>
          <w:color w:val="000000"/>
          <w:szCs w:val="20"/>
        </w:rPr>
        <w:t>.</w:t>
      </w:r>
    </w:p>
    <w:p w14:paraId="23837608" w14:textId="77777777" w:rsidR="007974E8" w:rsidRPr="00E16672" w:rsidRDefault="007974E8" w:rsidP="007974E8">
      <w:pPr>
        <w:rPr>
          <w:rFonts w:ascii="Times New Roman" w:hAnsi="Times New Roman"/>
          <w:color w:val="000000"/>
          <w:szCs w:val="20"/>
        </w:rPr>
      </w:pPr>
      <w:r w:rsidRPr="00E16672">
        <w:rPr>
          <w:rFonts w:ascii="Times New Roman" w:hAnsi="Times New Roman"/>
          <w:color w:val="000000"/>
          <w:szCs w:val="20"/>
        </w:rPr>
        <w:t xml:space="preserve">7.3. </w:t>
      </w:r>
      <w:proofErr w:type="spellStart"/>
      <w:r w:rsidRPr="00E16672">
        <w:rPr>
          <w:rFonts w:ascii="Times New Roman" w:hAnsi="Times New Roman"/>
          <w:color w:val="000000"/>
          <w:szCs w:val="20"/>
        </w:rPr>
        <w:t>Депозитарна</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установа</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забезпечує</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нерозголошення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інформації</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що</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міститься</w:t>
      </w:r>
      <w:proofErr w:type="spellEnd"/>
      <w:r w:rsidRPr="00E16672">
        <w:rPr>
          <w:rFonts w:ascii="Times New Roman" w:hAnsi="Times New Roman"/>
          <w:color w:val="000000"/>
          <w:szCs w:val="20"/>
        </w:rPr>
        <w:t xml:space="preserve"> у </w:t>
      </w:r>
      <w:proofErr w:type="spellStart"/>
      <w:r w:rsidRPr="00E16672">
        <w:rPr>
          <w:rFonts w:ascii="Times New Roman" w:hAnsi="Times New Roman"/>
          <w:color w:val="000000"/>
          <w:szCs w:val="20"/>
        </w:rPr>
        <w:t>системі</w:t>
      </w:r>
      <w:proofErr w:type="spellEnd"/>
      <w:r w:rsidRPr="00E16672">
        <w:rPr>
          <w:rFonts w:ascii="Times New Roman" w:hAnsi="Times New Roman"/>
          <w:color w:val="000000"/>
          <w:szCs w:val="20"/>
        </w:rPr>
        <w:t xml:space="preserve"> депозитарного </w:t>
      </w:r>
      <w:proofErr w:type="spellStart"/>
      <w:r w:rsidRPr="00E16672">
        <w:rPr>
          <w:rFonts w:ascii="Times New Roman" w:hAnsi="Times New Roman"/>
          <w:color w:val="000000"/>
          <w:szCs w:val="20"/>
        </w:rPr>
        <w:t>обліку</w:t>
      </w:r>
      <w:proofErr w:type="spellEnd"/>
      <w:r w:rsidRPr="00E16672">
        <w:rPr>
          <w:rFonts w:ascii="Times New Roman" w:hAnsi="Times New Roman"/>
          <w:color w:val="000000"/>
          <w:szCs w:val="20"/>
        </w:rPr>
        <w:t>, шляхом:</w:t>
      </w:r>
    </w:p>
    <w:p w14:paraId="0553DE3C" w14:textId="77777777" w:rsidR="007974E8" w:rsidRPr="00E16672" w:rsidRDefault="007974E8" w:rsidP="007974E8">
      <w:pPr>
        <w:rPr>
          <w:rFonts w:ascii="Times New Roman" w:hAnsi="Times New Roman"/>
          <w:color w:val="000000"/>
          <w:szCs w:val="20"/>
        </w:rPr>
      </w:pPr>
      <w:r w:rsidRPr="00E16672">
        <w:rPr>
          <w:rFonts w:ascii="Times New Roman" w:hAnsi="Times New Roman"/>
          <w:color w:val="000000"/>
          <w:szCs w:val="20"/>
        </w:rPr>
        <w:t xml:space="preserve">1) </w:t>
      </w:r>
      <w:proofErr w:type="spellStart"/>
      <w:r w:rsidRPr="00E16672">
        <w:rPr>
          <w:rFonts w:ascii="Times New Roman" w:hAnsi="Times New Roman"/>
          <w:color w:val="000000"/>
          <w:szCs w:val="20"/>
        </w:rPr>
        <w:t>обмеження</w:t>
      </w:r>
      <w:proofErr w:type="spellEnd"/>
      <w:r w:rsidRPr="00E16672">
        <w:rPr>
          <w:rFonts w:ascii="Times New Roman" w:hAnsi="Times New Roman"/>
          <w:color w:val="000000"/>
          <w:szCs w:val="20"/>
        </w:rPr>
        <w:t xml:space="preserve"> кола </w:t>
      </w:r>
      <w:proofErr w:type="spellStart"/>
      <w:r w:rsidRPr="00E16672">
        <w:rPr>
          <w:rFonts w:ascii="Times New Roman" w:hAnsi="Times New Roman"/>
          <w:color w:val="000000"/>
          <w:szCs w:val="20"/>
        </w:rPr>
        <w:t>осіб</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які</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мають</w:t>
      </w:r>
      <w:proofErr w:type="spellEnd"/>
      <w:r w:rsidRPr="00E16672">
        <w:rPr>
          <w:rFonts w:ascii="Times New Roman" w:hAnsi="Times New Roman"/>
          <w:color w:val="000000"/>
          <w:szCs w:val="20"/>
        </w:rPr>
        <w:t xml:space="preserve"> доступ до </w:t>
      </w:r>
      <w:proofErr w:type="spellStart"/>
      <w:r w:rsidRPr="00E16672">
        <w:rPr>
          <w:rFonts w:ascii="Times New Roman" w:hAnsi="Times New Roman"/>
          <w:color w:val="000000"/>
          <w:szCs w:val="20"/>
        </w:rPr>
        <w:t>зазначеної</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інформації</w:t>
      </w:r>
      <w:proofErr w:type="spellEnd"/>
      <w:r w:rsidRPr="00E16672">
        <w:rPr>
          <w:rFonts w:ascii="Times New Roman" w:hAnsi="Times New Roman"/>
          <w:color w:val="000000"/>
          <w:szCs w:val="20"/>
        </w:rPr>
        <w:t>;</w:t>
      </w:r>
    </w:p>
    <w:p w14:paraId="7D8168A7" w14:textId="77777777" w:rsidR="007974E8" w:rsidRPr="00E16672" w:rsidRDefault="007974E8" w:rsidP="007974E8">
      <w:pPr>
        <w:rPr>
          <w:rFonts w:ascii="Times New Roman" w:hAnsi="Times New Roman"/>
          <w:color w:val="000000"/>
          <w:szCs w:val="20"/>
        </w:rPr>
      </w:pPr>
      <w:r w:rsidRPr="00E16672">
        <w:rPr>
          <w:rFonts w:ascii="Times New Roman" w:hAnsi="Times New Roman"/>
          <w:color w:val="000000"/>
          <w:szCs w:val="20"/>
        </w:rPr>
        <w:t xml:space="preserve">2) </w:t>
      </w:r>
      <w:proofErr w:type="spellStart"/>
      <w:r w:rsidRPr="00E16672">
        <w:rPr>
          <w:rFonts w:ascii="Times New Roman" w:hAnsi="Times New Roman"/>
          <w:color w:val="000000"/>
          <w:szCs w:val="20"/>
        </w:rPr>
        <w:t>організації</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спеціального</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діловодства</w:t>
      </w:r>
      <w:proofErr w:type="spellEnd"/>
      <w:r w:rsidRPr="00E16672">
        <w:rPr>
          <w:rFonts w:ascii="Times New Roman" w:hAnsi="Times New Roman"/>
          <w:color w:val="000000"/>
          <w:szCs w:val="20"/>
        </w:rPr>
        <w:t xml:space="preserve"> у </w:t>
      </w:r>
      <w:proofErr w:type="spellStart"/>
      <w:r w:rsidRPr="00E16672">
        <w:rPr>
          <w:rFonts w:ascii="Times New Roman" w:hAnsi="Times New Roman"/>
          <w:color w:val="000000"/>
          <w:szCs w:val="20"/>
        </w:rPr>
        <w:t>системі</w:t>
      </w:r>
      <w:proofErr w:type="spellEnd"/>
      <w:r w:rsidRPr="00E16672">
        <w:rPr>
          <w:rFonts w:ascii="Times New Roman" w:hAnsi="Times New Roman"/>
          <w:color w:val="000000"/>
          <w:szCs w:val="20"/>
        </w:rPr>
        <w:t xml:space="preserve"> депозитарного </w:t>
      </w:r>
      <w:proofErr w:type="spellStart"/>
      <w:r w:rsidRPr="00E16672">
        <w:rPr>
          <w:rFonts w:ascii="Times New Roman" w:hAnsi="Times New Roman"/>
          <w:color w:val="000000"/>
          <w:szCs w:val="20"/>
        </w:rPr>
        <w:t>обліку</w:t>
      </w:r>
      <w:proofErr w:type="spellEnd"/>
      <w:r w:rsidRPr="00E16672">
        <w:rPr>
          <w:rFonts w:ascii="Times New Roman" w:hAnsi="Times New Roman"/>
          <w:color w:val="000000"/>
          <w:szCs w:val="20"/>
        </w:rPr>
        <w:t>;</w:t>
      </w:r>
    </w:p>
    <w:p w14:paraId="6898CC19" w14:textId="77777777" w:rsidR="007974E8" w:rsidRPr="00E16672" w:rsidRDefault="007974E8" w:rsidP="007974E8">
      <w:pPr>
        <w:rPr>
          <w:rFonts w:ascii="Times New Roman" w:hAnsi="Times New Roman"/>
          <w:color w:val="000000"/>
          <w:szCs w:val="20"/>
        </w:rPr>
      </w:pPr>
      <w:r w:rsidRPr="00E16672">
        <w:rPr>
          <w:rFonts w:ascii="Times New Roman" w:hAnsi="Times New Roman"/>
          <w:color w:val="000000"/>
          <w:szCs w:val="20"/>
        </w:rPr>
        <w:t xml:space="preserve">3) </w:t>
      </w:r>
      <w:proofErr w:type="spellStart"/>
      <w:r w:rsidRPr="00E16672">
        <w:rPr>
          <w:rFonts w:ascii="Times New Roman" w:hAnsi="Times New Roman"/>
          <w:color w:val="000000"/>
          <w:szCs w:val="20"/>
        </w:rPr>
        <w:t>застосування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технічних</w:t>
      </w:r>
      <w:proofErr w:type="spellEnd"/>
      <w:r w:rsidRPr="00E16672">
        <w:rPr>
          <w:rFonts w:ascii="Times New Roman" w:hAnsi="Times New Roman"/>
          <w:color w:val="000000"/>
          <w:szCs w:val="20"/>
        </w:rPr>
        <w:t xml:space="preserve"> та </w:t>
      </w:r>
      <w:proofErr w:type="spellStart"/>
      <w:r w:rsidRPr="00E16672">
        <w:rPr>
          <w:rFonts w:ascii="Times New Roman" w:hAnsi="Times New Roman"/>
          <w:color w:val="000000"/>
          <w:szCs w:val="20"/>
        </w:rPr>
        <w:t>програмних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засобів</w:t>
      </w:r>
      <w:proofErr w:type="spellEnd"/>
      <w:r w:rsidRPr="00E16672">
        <w:rPr>
          <w:rFonts w:ascii="Times New Roman" w:hAnsi="Times New Roman"/>
          <w:color w:val="000000"/>
          <w:szCs w:val="20"/>
        </w:rPr>
        <w:t xml:space="preserve"> для </w:t>
      </w:r>
      <w:proofErr w:type="spellStart"/>
      <w:r w:rsidRPr="00E16672">
        <w:rPr>
          <w:rFonts w:ascii="Times New Roman" w:hAnsi="Times New Roman"/>
          <w:color w:val="000000"/>
          <w:szCs w:val="20"/>
        </w:rPr>
        <w:t>запобігання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несанкціонованому</w:t>
      </w:r>
      <w:proofErr w:type="spellEnd"/>
      <w:r w:rsidRPr="00E16672">
        <w:rPr>
          <w:rFonts w:ascii="Times New Roman" w:hAnsi="Times New Roman"/>
          <w:color w:val="000000"/>
          <w:szCs w:val="20"/>
        </w:rPr>
        <w:t xml:space="preserve"> доступу до </w:t>
      </w:r>
      <w:proofErr w:type="spellStart"/>
      <w:r w:rsidRPr="00E16672">
        <w:rPr>
          <w:rFonts w:ascii="Times New Roman" w:hAnsi="Times New Roman"/>
          <w:color w:val="000000"/>
          <w:szCs w:val="20"/>
        </w:rPr>
        <w:t>носіїв</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такої</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інформації</w:t>
      </w:r>
      <w:proofErr w:type="spellEnd"/>
      <w:r w:rsidRPr="00E16672">
        <w:rPr>
          <w:rFonts w:ascii="Times New Roman" w:hAnsi="Times New Roman"/>
          <w:color w:val="000000"/>
          <w:szCs w:val="20"/>
        </w:rPr>
        <w:t>.</w:t>
      </w:r>
    </w:p>
    <w:p w14:paraId="48DAB79E" w14:textId="77777777" w:rsidR="007974E8" w:rsidRPr="00E16672" w:rsidRDefault="007974E8" w:rsidP="00022F5F">
      <w:pPr>
        <w:jc w:val="left"/>
        <w:rPr>
          <w:rFonts w:ascii="Times New Roman" w:hAnsi="Times New Roman"/>
          <w:bCs/>
          <w:color w:val="000000"/>
          <w:szCs w:val="20"/>
        </w:rPr>
      </w:pPr>
      <w:r w:rsidRPr="00E16672">
        <w:rPr>
          <w:rFonts w:ascii="Times New Roman" w:hAnsi="Times New Roman"/>
          <w:color w:val="000000"/>
          <w:szCs w:val="20"/>
        </w:rPr>
        <w:t xml:space="preserve">7.4. </w:t>
      </w:r>
      <w:proofErr w:type="spellStart"/>
      <w:r w:rsidRPr="00E16672">
        <w:rPr>
          <w:rFonts w:ascii="Times New Roman" w:hAnsi="Times New Roman"/>
          <w:color w:val="000000"/>
          <w:szCs w:val="20"/>
        </w:rPr>
        <w:t>Депозитарна</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установа</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надає</w:t>
      </w:r>
      <w:proofErr w:type="spellEnd"/>
      <w:r w:rsidRPr="00E16672">
        <w:rPr>
          <w:rFonts w:ascii="Times New Roman" w:hAnsi="Times New Roman"/>
          <w:color w:val="000000"/>
          <w:szCs w:val="20"/>
        </w:rPr>
        <w:t xml:space="preserve"> </w:t>
      </w:r>
      <w:r w:rsidRPr="00E16672">
        <w:rPr>
          <w:rFonts w:ascii="Times New Roman" w:hAnsi="Times New Roman"/>
          <w:bCs/>
          <w:color w:val="000000"/>
          <w:szCs w:val="20"/>
        </w:rPr>
        <w:t xml:space="preserve">Центральному </w:t>
      </w:r>
      <w:proofErr w:type="spellStart"/>
      <w:r w:rsidRPr="00E16672">
        <w:rPr>
          <w:rFonts w:ascii="Times New Roman" w:hAnsi="Times New Roman"/>
          <w:bCs/>
          <w:color w:val="000000"/>
          <w:szCs w:val="20"/>
        </w:rPr>
        <w:t>депозитарію</w:t>
      </w:r>
      <w:proofErr w:type="spellEnd"/>
      <w:r w:rsidRPr="00E16672">
        <w:rPr>
          <w:rFonts w:ascii="Times New Roman" w:hAnsi="Times New Roman"/>
          <w:bCs/>
          <w:color w:val="000000"/>
          <w:szCs w:val="20"/>
        </w:rPr>
        <w:t xml:space="preserve">, </w:t>
      </w:r>
      <w:proofErr w:type="spellStart"/>
      <w:r w:rsidRPr="00E16672">
        <w:rPr>
          <w:rFonts w:ascii="Times New Roman" w:hAnsi="Times New Roman"/>
          <w:bCs/>
          <w:color w:val="000000"/>
          <w:szCs w:val="20"/>
        </w:rPr>
        <w:t>іншим</w:t>
      </w:r>
      <w:proofErr w:type="spellEnd"/>
      <w:r w:rsidRPr="00E16672">
        <w:rPr>
          <w:rFonts w:ascii="Times New Roman" w:hAnsi="Times New Roman"/>
          <w:bCs/>
          <w:color w:val="000000"/>
          <w:szCs w:val="20"/>
        </w:rPr>
        <w:t xml:space="preserve"> </w:t>
      </w:r>
      <w:proofErr w:type="spellStart"/>
      <w:r w:rsidRPr="00E16672">
        <w:rPr>
          <w:rFonts w:ascii="Times New Roman" w:hAnsi="Times New Roman"/>
          <w:bCs/>
          <w:color w:val="000000"/>
          <w:szCs w:val="20"/>
        </w:rPr>
        <w:t>учасникам</w:t>
      </w:r>
      <w:proofErr w:type="spellEnd"/>
      <w:r w:rsidRPr="00E16672">
        <w:rPr>
          <w:rFonts w:ascii="Times New Roman" w:hAnsi="Times New Roman"/>
          <w:bCs/>
          <w:color w:val="000000"/>
          <w:szCs w:val="20"/>
        </w:rPr>
        <w:t xml:space="preserve"> </w:t>
      </w:r>
      <w:proofErr w:type="spellStart"/>
      <w:r w:rsidRPr="00E16672">
        <w:rPr>
          <w:rFonts w:ascii="Times New Roman" w:hAnsi="Times New Roman"/>
          <w:bCs/>
          <w:color w:val="000000"/>
          <w:szCs w:val="20"/>
        </w:rPr>
        <w:t>депозитарної</w:t>
      </w:r>
      <w:proofErr w:type="spellEnd"/>
      <w:r w:rsidRPr="00E16672">
        <w:rPr>
          <w:rFonts w:ascii="Times New Roman" w:hAnsi="Times New Roman"/>
          <w:bCs/>
          <w:color w:val="000000"/>
          <w:szCs w:val="20"/>
        </w:rPr>
        <w:t xml:space="preserve"> </w:t>
      </w:r>
      <w:proofErr w:type="spellStart"/>
      <w:r w:rsidRPr="00E16672">
        <w:rPr>
          <w:rFonts w:ascii="Times New Roman" w:hAnsi="Times New Roman"/>
          <w:bCs/>
          <w:color w:val="000000"/>
          <w:szCs w:val="20"/>
        </w:rPr>
        <w:t>системи</w:t>
      </w:r>
      <w:proofErr w:type="spellEnd"/>
      <w:r w:rsidRPr="00E16672">
        <w:rPr>
          <w:rFonts w:ascii="Times New Roman" w:hAnsi="Times New Roman"/>
          <w:bCs/>
          <w:color w:val="000000"/>
          <w:szCs w:val="20"/>
        </w:rPr>
        <w:t xml:space="preserve"> </w:t>
      </w:r>
      <w:proofErr w:type="spellStart"/>
      <w:r w:rsidRPr="00E16672">
        <w:rPr>
          <w:rFonts w:ascii="Times New Roman" w:hAnsi="Times New Roman"/>
          <w:bCs/>
          <w:color w:val="000000"/>
          <w:szCs w:val="20"/>
        </w:rPr>
        <w:t>відповідно</w:t>
      </w:r>
      <w:proofErr w:type="spellEnd"/>
      <w:r w:rsidRPr="00E16672">
        <w:rPr>
          <w:rFonts w:ascii="Times New Roman" w:hAnsi="Times New Roman"/>
          <w:bCs/>
          <w:color w:val="000000"/>
          <w:szCs w:val="20"/>
        </w:rPr>
        <w:t xml:space="preserve"> до </w:t>
      </w:r>
      <w:proofErr w:type="spellStart"/>
      <w:r w:rsidRPr="00E16672">
        <w:rPr>
          <w:rFonts w:ascii="Times New Roman" w:hAnsi="Times New Roman"/>
          <w:bCs/>
          <w:color w:val="000000"/>
          <w:szCs w:val="20"/>
        </w:rPr>
        <w:t>вимог</w:t>
      </w:r>
      <w:proofErr w:type="spellEnd"/>
      <w:r w:rsidRPr="00E16672">
        <w:rPr>
          <w:rFonts w:ascii="Times New Roman" w:hAnsi="Times New Roman"/>
          <w:bCs/>
          <w:color w:val="000000"/>
          <w:szCs w:val="20"/>
        </w:rPr>
        <w:t xml:space="preserve"> чинного </w:t>
      </w:r>
      <w:r w:rsidR="007B5C69" w:rsidRPr="00E16672">
        <w:rPr>
          <w:rFonts w:ascii="Times New Roman" w:hAnsi="Times New Roman"/>
          <w:bCs/>
          <w:szCs w:val="20"/>
          <w:lang w:val="uk-UA"/>
        </w:rPr>
        <w:t>законодавства</w:t>
      </w:r>
      <w:r w:rsidRPr="00E16672">
        <w:rPr>
          <w:rFonts w:ascii="Times New Roman" w:hAnsi="Times New Roman"/>
          <w:bCs/>
          <w:color w:val="000000"/>
          <w:szCs w:val="20"/>
        </w:rPr>
        <w:t xml:space="preserve">,  </w:t>
      </w:r>
      <w:proofErr w:type="spellStart"/>
      <w:r w:rsidRPr="00E16672">
        <w:rPr>
          <w:rFonts w:ascii="Times New Roman" w:hAnsi="Times New Roman"/>
          <w:bCs/>
          <w:color w:val="000000"/>
          <w:szCs w:val="20"/>
        </w:rPr>
        <w:t>інформацію</w:t>
      </w:r>
      <w:proofErr w:type="spellEnd"/>
      <w:r w:rsidRPr="00E16672">
        <w:rPr>
          <w:rFonts w:ascii="Times New Roman" w:hAnsi="Times New Roman"/>
          <w:bCs/>
          <w:color w:val="000000"/>
          <w:szCs w:val="20"/>
        </w:rPr>
        <w:t xml:space="preserve"> </w:t>
      </w:r>
      <w:proofErr w:type="spellStart"/>
      <w:r w:rsidRPr="00E16672">
        <w:rPr>
          <w:rFonts w:ascii="Times New Roman" w:hAnsi="Times New Roman"/>
          <w:bCs/>
          <w:color w:val="000000"/>
          <w:szCs w:val="20"/>
        </w:rPr>
        <w:t>щодо</w:t>
      </w:r>
      <w:proofErr w:type="spellEnd"/>
      <w:r w:rsidRPr="00E16672">
        <w:rPr>
          <w:rFonts w:ascii="Times New Roman" w:hAnsi="Times New Roman"/>
          <w:bCs/>
          <w:color w:val="000000"/>
          <w:szCs w:val="20"/>
        </w:rPr>
        <w:t xml:space="preserve"> Депонента, </w:t>
      </w:r>
      <w:proofErr w:type="spellStart"/>
      <w:r w:rsidRPr="00E16672">
        <w:rPr>
          <w:rFonts w:ascii="Times New Roman" w:hAnsi="Times New Roman"/>
          <w:bCs/>
          <w:color w:val="000000"/>
          <w:szCs w:val="20"/>
        </w:rPr>
        <w:t>Керуючого</w:t>
      </w:r>
      <w:proofErr w:type="spellEnd"/>
      <w:r w:rsidRPr="00E16672">
        <w:rPr>
          <w:rFonts w:ascii="Times New Roman" w:hAnsi="Times New Roman"/>
          <w:bCs/>
          <w:color w:val="000000"/>
          <w:szCs w:val="20"/>
        </w:rPr>
        <w:t xml:space="preserve"> </w:t>
      </w:r>
      <w:r w:rsidRPr="00E16672">
        <w:rPr>
          <w:rFonts w:ascii="Times New Roman" w:hAnsi="Times New Roman"/>
          <w:color w:val="000000"/>
          <w:szCs w:val="20"/>
          <w:lang w:val="uk-UA"/>
        </w:rPr>
        <w:t>рахунком</w:t>
      </w:r>
      <w:r w:rsidRPr="00E16672">
        <w:rPr>
          <w:rFonts w:ascii="Times New Roman" w:hAnsi="Times New Roman"/>
          <w:bCs/>
          <w:color w:val="000000"/>
          <w:szCs w:val="20"/>
        </w:rPr>
        <w:t xml:space="preserve"> та </w:t>
      </w:r>
      <w:proofErr w:type="spellStart"/>
      <w:r w:rsidRPr="00E16672">
        <w:rPr>
          <w:rFonts w:ascii="Times New Roman" w:hAnsi="Times New Roman"/>
          <w:bCs/>
          <w:color w:val="000000"/>
          <w:szCs w:val="20"/>
        </w:rPr>
        <w:t>цінних</w:t>
      </w:r>
      <w:proofErr w:type="spellEnd"/>
      <w:r w:rsidRPr="00E16672">
        <w:rPr>
          <w:rFonts w:ascii="Times New Roman" w:hAnsi="Times New Roman"/>
          <w:bCs/>
          <w:color w:val="000000"/>
          <w:szCs w:val="20"/>
        </w:rPr>
        <w:t xml:space="preserve"> </w:t>
      </w:r>
      <w:proofErr w:type="spellStart"/>
      <w:r w:rsidRPr="00E16672">
        <w:rPr>
          <w:rFonts w:ascii="Times New Roman" w:hAnsi="Times New Roman"/>
          <w:bCs/>
          <w:color w:val="000000"/>
          <w:szCs w:val="20"/>
        </w:rPr>
        <w:t>паперів</w:t>
      </w:r>
      <w:proofErr w:type="spellEnd"/>
      <w:r w:rsidRPr="00E16672">
        <w:rPr>
          <w:rFonts w:ascii="Times New Roman" w:hAnsi="Times New Roman"/>
          <w:bCs/>
          <w:color w:val="000000"/>
          <w:szCs w:val="20"/>
        </w:rPr>
        <w:t xml:space="preserve">, </w:t>
      </w:r>
      <w:proofErr w:type="spellStart"/>
      <w:r w:rsidRPr="00E16672">
        <w:rPr>
          <w:rFonts w:ascii="Times New Roman" w:hAnsi="Times New Roman"/>
          <w:bCs/>
          <w:color w:val="000000"/>
          <w:szCs w:val="20"/>
        </w:rPr>
        <w:t>що</w:t>
      </w:r>
      <w:proofErr w:type="spellEnd"/>
      <w:r w:rsidRPr="00E16672">
        <w:rPr>
          <w:rFonts w:ascii="Times New Roman" w:hAnsi="Times New Roman"/>
          <w:bCs/>
          <w:color w:val="000000"/>
          <w:szCs w:val="20"/>
        </w:rPr>
        <w:t xml:space="preserve"> належать Депоненту, яка </w:t>
      </w:r>
      <w:proofErr w:type="spellStart"/>
      <w:r w:rsidRPr="00E16672">
        <w:rPr>
          <w:rFonts w:ascii="Times New Roman" w:hAnsi="Times New Roman"/>
          <w:bCs/>
          <w:color w:val="000000"/>
          <w:szCs w:val="20"/>
        </w:rPr>
        <w:t>необхідна</w:t>
      </w:r>
      <w:proofErr w:type="spellEnd"/>
      <w:r w:rsidRPr="00E16672">
        <w:rPr>
          <w:rFonts w:ascii="Times New Roman" w:hAnsi="Times New Roman"/>
          <w:bCs/>
          <w:color w:val="000000"/>
          <w:szCs w:val="20"/>
        </w:rPr>
        <w:t xml:space="preserve"> для </w:t>
      </w:r>
      <w:proofErr w:type="spellStart"/>
      <w:r w:rsidRPr="00E16672">
        <w:rPr>
          <w:rFonts w:ascii="Times New Roman" w:hAnsi="Times New Roman"/>
          <w:bCs/>
          <w:color w:val="000000"/>
          <w:szCs w:val="20"/>
        </w:rPr>
        <w:t>здійснення</w:t>
      </w:r>
      <w:proofErr w:type="spellEnd"/>
      <w:r w:rsidRPr="00E16672">
        <w:rPr>
          <w:rFonts w:ascii="Times New Roman" w:hAnsi="Times New Roman"/>
          <w:bCs/>
          <w:color w:val="000000"/>
          <w:szCs w:val="20"/>
        </w:rPr>
        <w:t xml:space="preserve"> </w:t>
      </w:r>
      <w:proofErr w:type="spellStart"/>
      <w:r w:rsidRPr="00E16672">
        <w:rPr>
          <w:rFonts w:ascii="Times New Roman" w:hAnsi="Times New Roman"/>
          <w:bCs/>
          <w:color w:val="000000"/>
          <w:szCs w:val="20"/>
        </w:rPr>
        <w:t>розрахунків</w:t>
      </w:r>
      <w:proofErr w:type="spellEnd"/>
      <w:r w:rsidRPr="00E16672">
        <w:rPr>
          <w:rFonts w:ascii="Times New Roman" w:hAnsi="Times New Roman"/>
          <w:bCs/>
          <w:color w:val="000000"/>
          <w:szCs w:val="20"/>
        </w:rPr>
        <w:t xml:space="preserve"> за </w:t>
      </w:r>
      <w:proofErr w:type="spellStart"/>
      <w:r w:rsidRPr="00E16672">
        <w:rPr>
          <w:rFonts w:ascii="Times New Roman" w:hAnsi="Times New Roman"/>
          <w:bCs/>
          <w:color w:val="000000"/>
          <w:szCs w:val="20"/>
        </w:rPr>
        <w:t>правочинами</w:t>
      </w:r>
      <w:proofErr w:type="spellEnd"/>
      <w:r w:rsidRPr="00E16672">
        <w:rPr>
          <w:rFonts w:ascii="Times New Roman" w:hAnsi="Times New Roman"/>
          <w:bCs/>
          <w:color w:val="000000"/>
          <w:szCs w:val="20"/>
        </w:rPr>
        <w:t xml:space="preserve"> </w:t>
      </w:r>
      <w:proofErr w:type="spellStart"/>
      <w:r w:rsidRPr="00E16672">
        <w:rPr>
          <w:rFonts w:ascii="Times New Roman" w:hAnsi="Times New Roman"/>
          <w:bCs/>
          <w:color w:val="000000"/>
          <w:szCs w:val="20"/>
        </w:rPr>
        <w:t>щодо</w:t>
      </w:r>
      <w:proofErr w:type="spellEnd"/>
      <w:r w:rsidRPr="00E16672">
        <w:rPr>
          <w:rFonts w:ascii="Times New Roman" w:hAnsi="Times New Roman"/>
          <w:bCs/>
          <w:color w:val="000000"/>
          <w:szCs w:val="20"/>
        </w:rPr>
        <w:t xml:space="preserve"> </w:t>
      </w:r>
      <w:proofErr w:type="spellStart"/>
      <w:r w:rsidRPr="00E16672">
        <w:rPr>
          <w:rFonts w:ascii="Times New Roman" w:hAnsi="Times New Roman"/>
          <w:bCs/>
          <w:color w:val="000000"/>
          <w:szCs w:val="20"/>
        </w:rPr>
        <w:t>цінних</w:t>
      </w:r>
      <w:proofErr w:type="spellEnd"/>
      <w:r w:rsidRPr="00E16672">
        <w:rPr>
          <w:rFonts w:ascii="Times New Roman" w:hAnsi="Times New Roman"/>
          <w:bCs/>
          <w:color w:val="000000"/>
          <w:szCs w:val="20"/>
        </w:rPr>
        <w:t xml:space="preserve"> </w:t>
      </w:r>
      <w:proofErr w:type="spellStart"/>
      <w:r w:rsidRPr="00E16672">
        <w:rPr>
          <w:rFonts w:ascii="Times New Roman" w:hAnsi="Times New Roman"/>
          <w:bCs/>
          <w:color w:val="000000"/>
          <w:szCs w:val="20"/>
        </w:rPr>
        <w:t>паперів</w:t>
      </w:r>
      <w:proofErr w:type="spellEnd"/>
      <w:r w:rsidRPr="00E16672">
        <w:rPr>
          <w:rFonts w:ascii="Times New Roman" w:hAnsi="Times New Roman"/>
          <w:bCs/>
          <w:color w:val="000000"/>
          <w:szCs w:val="20"/>
        </w:rPr>
        <w:t xml:space="preserve"> з </w:t>
      </w:r>
      <w:proofErr w:type="spellStart"/>
      <w:r w:rsidRPr="00E16672">
        <w:rPr>
          <w:rFonts w:ascii="Times New Roman" w:hAnsi="Times New Roman"/>
          <w:bCs/>
          <w:color w:val="000000"/>
          <w:szCs w:val="20"/>
        </w:rPr>
        <w:t>дотриманням</w:t>
      </w:r>
      <w:proofErr w:type="spellEnd"/>
      <w:r w:rsidRPr="00E16672">
        <w:rPr>
          <w:rFonts w:ascii="Times New Roman" w:hAnsi="Times New Roman"/>
          <w:bCs/>
          <w:color w:val="000000"/>
          <w:szCs w:val="20"/>
        </w:rPr>
        <w:t xml:space="preserve"> принципу </w:t>
      </w:r>
      <w:r w:rsidR="00022F5F">
        <w:rPr>
          <w:rFonts w:ascii="Times New Roman" w:hAnsi="Times New Roman"/>
          <w:bCs/>
          <w:color w:val="000000"/>
          <w:szCs w:val="20"/>
        </w:rPr>
        <w:t>"</w:t>
      </w:r>
      <w:r w:rsidRPr="00E16672">
        <w:rPr>
          <w:rFonts w:ascii="Times New Roman" w:hAnsi="Times New Roman"/>
          <w:bCs/>
          <w:color w:val="000000"/>
          <w:szCs w:val="20"/>
        </w:rPr>
        <w:t xml:space="preserve">поставка </w:t>
      </w:r>
      <w:proofErr w:type="spellStart"/>
      <w:r w:rsidRPr="00E16672">
        <w:rPr>
          <w:rFonts w:ascii="Times New Roman" w:hAnsi="Times New Roman"/>
          <w:bCs/>
          <w:color w:val="000000"/>
          <w:szCs w:val="20"/>
        </w:rPr>
        <w:t>цінних</w:t>
      </w:r>
      <w:proofErr w:type="spellEnd"/>
      <w:r w:rsidRPr="00E16672">
        <w:rPr>
          <w:rFonts w:ascii="Times New Roman" w:hAnsi="Times New Roman"/>
          <w:bCs/>
          <w:color w:val="000000"/>
          <w:szCs w:val="20"/>
        </w:rPr>
        <w:t xml:space="preserve"> </w:t>
      </w:r>
      <w:proofErr w:type="spellStart"/>
      <w:r w:rsidRPr="00E16672">
        <w:rPr>
          <w:rFonts w:ascii="Times New Roman" w:hAnsi="Times New Roman"/>
          <w:bCs/>
          <w:color w:val="000000"/>
          <w:szCs w:val="20"/>
        </w:rPr>
        <w:t>паперів</w:t>
      </w:r>
      <w:proofErr w:type="spellEnd"/>
      <w:r w:rsidRPr="00E16672">
        <w:rPr>
          <w:rFonts w:ascii="Times New Roman" w:hAnsi="Times New Roman"/>
          <w:bCs/>
          <w:color w:val="000000"/>
          <w:szCs w:val="20"/>
        </w:rPr>
        <w:t xml:space="preserve"> </w:t>
      </w:r>
      <w:proofErr w:type="spellStart"/>
      <w:r w:rsidRPr="00E16672">
        <w:rPr>
          <w:rFonts w:ascii="Times New Roman" w:hAnsi="Times New Roman"/>
          <w:bCs/>
          <w:color w:val="000000"/>
          <w:szCs w:val="20"/>
        </w:rPr>
        <w:t>проти</w:t>
      </w:r>
      <w:proofErr w:type="spellEnd"/>
      <w:r w:rsidRPr="00E16672">
        <w:rPr>
          <w:rFonts w:ascii="Times New Roman" w:hAnsi="Times New Roman"/>
          <w:bCs/>
          <w:color w:val="000000"/>
          <w:szCs w:val="20"/>
        </w:rPr>
        <w:t xml:space="preserve"> оплати</w:t>
      </w:r>
      <w:r w:rsidR="00022F5F">
        <w:rPr>
          <w:rFonts w:ascii="Times New Roman" w:hAnsi="Times New Roman"/>
          <w:bCs/>
          <w:color w:val="000000"/>
          <w:szCs w:val="20"/>
        </w:rPr>
        <w:t>"</w:t>
      </w:r>
      <w:r w:rsidRPr="00E16672">
        <w:rPr>
          <w:rFonts w:ascii="Times New Roman" w:hAnsi="Times New Roman"/>
          <w:bCs/>
          <w:color w:val="000000"/>
          <w:szCs w:val="20"/>
        </w:rPr>
        <w:t xml:space="preserve">, з метою </w:t>
      </w:r>
      <w:proofErr w:type="spellStart"/>
      <w:r w:rsidRPr="00E16672">
        <w:rPr>
          <w:rFonts w:ascii="Times New Roman" w:hAnsi="Times New Roman"/>
          <w:bCs/>
          <w:color w:val="000000"/>
          <w:szCs w:val="20"/>
        </w:rPr>
        <w:t>подальшого</w:t>
      </w:r>
      <w:proofErr w:type="spellEnd"/>
      <w:r w:rsidRPr="00E16672">
        <w:rPr>
          <w:rFonts w:ascii="Times New Roman" w:hAnsi="Times New Roman"/>
          <w:bCs/>
          <w:color w:val="000000"/>
          <w:szCs w:val="20"/>
        </w:rPr>
        <w:t xml:space="preserve"> </w:t>
      </w:r>
      <w:proofErr w:type="spellStart"/>
      <w:r w:rsidRPr="00E16672">
        <w:rPr>
          <w:rFonts w:ascii="Times New Roman" w:hAnsi="Times New Roman"/>
          <w:bCs/>
          <w:color w:val="000000"/>
          <w:szCs w:val="20"/>
        </w:rPr>
        <w:t>надання</w:t>
      </w:r>
      <w:proofErr w:type="spellEnd"/>
      <w:r w:rsidRPr="00E16672">
        <w:rPr>
          <w:rFonts w:ascii="Times New Roman" w:hAnsi="Times New Roman"/>
          <w:bCs/>
          <w:color w:val="000000"/>
          <w:szCs w:val="20"/>
        </w:rPr>
        <w:t xml:space="preserve"> </w:t>
      </w:r>
      <w:proofErr w:type="spellStart"/>
      <w:r w:rsidRPr="00E16672">
        <w:rPr>
          <w:rFonts w:ascii="Times New Roman" w:hAnsi="Times New Roman"/>
          <w:bCs/>
          <w:color w:val="000000"/>
          <w:szCs w:val="20"/>
        </w:rPr>
        <w:t>такої</w:t>
      </w:r>
      <w:proofErr w:type="spellEnd"/>
      <w:r w:rsidRPr="00E16672">
        <w:rPr>
          <w:rFonts w:ascii="Times New Roman" w:hAnsi="Times New Roman"/>
          <w:bCs/>
          <w:color w:val="000000"/>
          <w:szCs w:val="20"/>
        </w:rPr>
        <w:t xml:space="preserve"> </w:t>
      </w:r>
      <w:proofErr w:type="spellStart"/>
      <w:r w:rsidRPr="00E16672">
        <w:rPr>
          <w:rFonts w:ascii="Times New Roman" w:hAnsi="Times New Roman"/>
          <w:bCs/>
          <w:color w:val="000000"/>
          <w:szCs w:val="20"/>
        </w:rPr>
        <w:t>інформації</w:t>
      </w:r>
      <w:proofErr w:type="spellEnd"/>
      <w:r w:rsidRPr="00E16672">
        <w:rPr>
          <w:rFonts w:ascii="Times New Roman" w:hAnsi="Times New Roman"/>
          <w:bCs/>
          <w:color w:val="000000"/>
          <w:szCs w:val="20"/>
        </w:rPr>
        <w:t xml:space="preserve"> </w:t>
      </w:r>
      <w:proofErr w:type="spellStart"/>
      <w:r w:rsidRPr="00E16672">
        <w:rPr>
          <w:rFonts w:ascii="Times New Roman" w:hAnsi="Times New Roman"/>
          <w:bCs/>
          <w:color w:val="000000"/>
          <w:szCs w:val="20"/>
        </w:rPr>
        <w:t>Розрахунковому</w:t>
      </w:r>
      <w:proofErr w:type="spellEnd"/>
      <w:r w:rsidRPr="00E16672">
        <w:rPr>
          <w:rFonts w:ascii="Times New Roman" w:hAnsi="Times New Roman"/>
          <w:bCs/>
          <w:color w:val="000000"/>
          <w:szCs w:val="20"/>
        </w:rPr>
        <w:t xml:space="preserve"> центру </w:t>
      </w:r>
      <w:proofErr w:type="spellStart"/>
      <w:r w:rsidRPr="00E16672">
        <w:rPr>
          <w:rFonts w:ascii="Times New Roman" w:hAnsi="Times New Roman"/>
          <w:bCs/>
          <w:color w:val="000000"/>
          <w:szCs w:val="20"/>
        </w:rPr>
        <w:t>чи</w:t>
      </w:r>
      <w:proofErr w:type="spellEnd"/>
      <w:r w:rsidRPr="00E16672">
        <w:rPr>
          <w:rFonts w:ascii="Times New Roman" w:hAnsi="Times New Roman"/>
          <w:bCs/>
          <w:color w:val="000000"/>
          <w:szCs w:val="20"/>
        </w:rPr>
        <w:t xml:space="preserve"> </w:t>
      </w:r>
      <w:proofErr w:type="spellStart"/>
      <w:r w:rsidRPr="00E16672">
        <w:rPr>
          <w:rFonts w:ascii="Times New Roman" w:hAnsi="Times New Roman"/>
          <w:bCs/>
          <w:color w:val="000000"/>
          <w:szCs w:val="20"/>
        </w:rPr>
        <w:t>кліринговій</w:t>
      </w:r>
      <w:proofErr w:type="spellEnd"/>
      <w:r w:rsidRPr="00E16672">
        <w:rPr>
          <w:rFonts w:ascii="Times New Roman" w:hAnsi="Times New Roman"/>
          <w:bCs/>
          <w:color w:val="000000"/>
          <w:szCs w:val="20"/>
        </w:rPr>
        <w:t xml:space="preserve"> </w:t>
      </w:r>
      <w:proofErr w:type="spellStart"/>
      <w:r w:rsidRPr="00E16672">
        <w:rPr>
          <w:rFonts w:ascii="Times New Roman" w:hAnsi="Times New Roman"/>
          <w:bCs/>
          <w:color w:val="000000"/>
          <w:szCs w:val="20"/>
        </w:rPr>
        <w:t>установі</w:t>
      </w:r>
      <w:proofErr w:type="spellEnd"/>
      <w:r w:rsidRPr="00E16672">
        <w:rPr>
          <w:rFonts w:ascii="Times New Roman" w:hAnsi="Times New Roman"/>
          <w:bCs/>
          <w:color w:val="000000"/>
          <w:szCs w:val="20"/>
        </w:rPr>
        <w:t xml:space="preserve"> для </w:t>
      </w:r>
      <w:proofErr w:type="spellStart"/>
      <w:r w:rsidRPr="00E16672">
        <w:rPr>
          <w:rFonts w:ascii="Times New Roman" w:hAnsi="Times New Roman"/>
          <w:bCs/>
          <w:color w:val="000000"/>
          <w:szCs w:val="20"/>
        </w:rPr>
        <w:t>її</w:t>
      </w:r>
      <w:proofErr w:type="spellEnd"/>
      <w:r w:rsidRPr="00E16672">
        <w:rPr>
          <w:rFonts w:ascii="Times New Roman" w:hAnsi="Times New Roman"/>
          <w:bCs/>
          <w:color w:val="000000"/>
          <w:szCs w:val="20"/>
        </w:rPr>
        <w:t xml:space="preserve"> </w:t>
      </w:r>
      <w:proofErr w:type="spellStart"/>
      <w:r w:rsidRPr="00E16672">
        <w:rPr>
          <w:rFonts w:ascii="Times New Roman" w:hAnsi="Times New Roman"/>
          <w:bCs/>
          <w:color w:val="000000"/>
          <w:szCs w:val="20"/>
        </w:rPr>
        <w:t>відображення</w:t>
      </w:r>
      <w:proofErr w:type="spellEnd"/>
      <w:r w:rsidRPr="00E16672">
        <w:rPr>
          <w:rFonts w:ascii="Times New Roman" w:hAnsi="Times New Roman"/>
          <w:bCs/>
          <w:color w:val="000000"/>
          <w:szCs w:val="20"/>
        </w:rPr>
        <w:t xml:space="preserve"> у </w:t>
      </w:r>
      <w:proofErr w:type="spellStart"/>
      <w:r w:rsidRPr="00E16672">
        <w:rPr>
          <w:rFonts w:ascii="Times New Roman" w:hAnsi="Times New Roman"/>
          <w:bCs/>
          <w:color w:val="000000"/>
          <w:szCs w:val="20"/>
        </w:rPr>
        <w:t>внутрішній</w:t>
      </w:r>
      <w:proofErr w:type="spellEnd"/>
      <w:r w:rsidRPr="00E16672">
        <w:rPr>
          <w:rFonts w:ascii="Times New Roman" w:hAnsi="Times New Roman"/>
          <w:bCs/>
          <w:color w:val="000000"/>
          <w:szCs w:val="20"/>
        </w:rPr>
        <w:t xml:space="preserve"> </w:t>
      </w:r>
      <w:proofErr w:type="spellStart"/>
      <w:r w:rsidRPr="00E16672">
        <w:rPr>
          <w:rFonts w:ascii="Times New Roman" w:hAnsi="Times New Roman"/>
          <w:bCs/>
          <w:color w:val="000000"/>
          <w:szCs w:val="20"/>
        </w:rPr>
        <w:t>системі</w:t>
      </w:r>
      <w:proofErr w:type="spellEnd"/>
      <w:r w:rsidRPr="00E16672">
        <w:rPr>
          <w:rFonts w:ascii="Times New Roman" w:hAnsi="Times New Roman"/>
          <w:bCs/>
          <w:color w:val="000000"/>
          <w:szCs w:val="20"/>
        </w:rPr>
        <w:t xml:space="preserve"> </w:t>
      </w:r>
      <w:proofErr w:type="spellStart"/>
      <w:r w:rsidRPr="00E16672">
        <w:rPr>
          <w:rFonts w:ascii="Times New Roman" w:hAnsi="Times New Roman"/>
          <w:bCs/>
          <w:color w:val="000000"/>
          <w:szCs w:val="20"/>
        </w:rPr>
        <w:t>обліку</w:t>
      </w:r>
      <w:proofErr w:type="spellEnd"/>
      <w:r w:rsidRPr="00E16672">
        <w:rPr>
          <w:rFonts w:ascii="Times New Roman" w:hAnsi="Times New Roman"/>
          <w:bCs/>
          <w:color w:val="000000"/>
          <w:szCs w:val="20"/>
        </w:rPr>
        <w:t xml:space="preserve"> </w:t>
      </w:r>
      <w:proofErr w:type="spellStart"/>
      <w:r w:rsidRPr="00E16672">
        <w:rPr>
          <w:rFonts w:ascii="Times New Roman" w:hAnsi="Times New Roman"/>
          <w:bCs/>
          <w:color w:val="000000"/>
          <w:szCs w:val="20"/>
        </w:rPr>
        <w:t>такої</w:t>
      </w:r>
      <w:proofErr w:type="spellEnd"/>
      <w:r w:rsidRPr="00E16672">
        <w:rPr>
          <w:rFonts w:ascii="Times New Roman" w:hAnsi="Times New Roman"/>
          <w:bCs/>
          <w:color w:val="000000"/>
          <w:szCs w:val="20"/>
        </w:rPr>
        <w:t xml:space="preserve"> особи, про </w:t>
      </w:r>
      <w:proofErr w:type="spellStart"/>
      <w:r w:rsidRPr="00E16672">
        <w:rPr>
          <w:rFonts w:ascii="Times New Roman" w:hAnsi="Times New Roman"/>
          <w:bCs/>
          <w:color w:val="000000"/>
          <w:szCs w:val="20"/>
        </w:rPr>
        <w:t>що</w:t>
      </w:r>
      <w:proofErr w:type="spellEnd"/>
      <w:r w:rsidRPr="00E16672">
        <w:rPr>
          <w:rFonts w:ascii="Times New Roman" w:hAnsi="Times New Roman"/>
          <w:bCs/>
          <w:color w:val="000000"/>
          <w:szCs w:val="20"/>
        </w:rPr>
        <w:t xml:space="preserve"> </w:t>
      </w:r>
      <w:proofErr w:type="spellStart"/>
      <w:r w:rsidRPr="00E16672">
        <w:rPr>
          <w:rFonts w:ascii="Times New Roman" w:hAnsi="Times New Roman"/>
          <w:bCs/>
          <w:color w:val="000000"/>
          <w:szCs w:val="20"/>
        </w:rPr>
        <w:t>Керуючий</w:t>
      </w:r>
      <w:proofErr w:type="spellEnd"/>
      <w:r w:rsidRPr="00E16672">
        <w:rPr>
          <w:rFonts w:ascii="Times New Roman" w:hAnsi="Times New Roman"/>
          <w:bCs/>
          <w:color w:val="000000"/>
          <w:szCs w:val="20"/>
        </w:rPr>
        <w:t xml:space="preserve"> </w:t>
      </w:r>
      <w:r w:rsidRPr="00E16672">
        <w:rPr>
          <w:rFonts w:ascii="Times New Roman" w:hAnsi="Times New Roman"/>
          <w:color w:val="000000"/>
          <w:szCs w:val="20"/>
          <w:lang w:val="uk-UA"/>
        </w:rPr>
        <w:t>рахунком</w:t>
      </w:r>
      <w:r w:rsidRPr="00E16672">
        <w:rPr>
          <w:rFonts w:ascii="Times New Roman" w:hAnsi="Times New Roman"/>
          <w:bCs/>
          <w:color w:val="000000"/>
          <w:szCs w:val="20"/>
        </w:rPr>
        <w:t xml:space="preserve"> </w:t>
      </w:r>
      <w:proofErr w:type="spellStart"/>
      <w:r w:rsidRPr="00E16672">
        <w:rPr>
          <w:rFonts w:ascii="Times New Roman" w:hAnsi="Times New Roman"/>
          <w:bCs/>
          <w:color w:val="000000"/>
          <w:szCs w:val="20"/>
        </w:rPr>
        <w:t>надає</w:t>
      </w:r>
      <w:proofErr w:type="spellEnd"/>
      <w:r w:rsidRPr="00E16672">
        <w:rPr>
          <w:rFonts w:ascii="Times New Roman" w:hAnsi="Times New Roman"/>
          <w:bCs/>
          <w:color w:val="000000"/>
          <w:szCs w:val="20"/>
        </w:rPr>
        <w:t xml:space="preserve"> </w:t>
      </w:r>
      <w:proofErr w:type="spellStart"/>
      <w:r w:rsidRPr="00E16672">
        <w:rPr>
          <w:rFonts w:ascii="Times New Roman" w:hAnsi="Times New Roman"/>
          <w:bCs/>
          <w:color w:val="000000"/>
          <w:szCs w:val="20"/>
        </w:rPr>
        <w:t>згоду</w:t>
      </w:r>
      <w:proofErr w:type="spellEnd"/>
      <w:r w:rsidRPr="00E16672">
        <w:rPr>
          <w:rFonts w:ascii="Times New Roman" w:hAnsi="Times New Roman"/>
          <w:bCs/>
          <w:color w:val="000000"/>
          <w:szCs w:val="20"/>
        </w:rPr>
        <w:t xml:space="preserve">, </w:t>
      </w:r>
      <w:proofErr w:type="spellStart"/>
      <w:r w:rsidRPr="00E16672">
        <w:rPr>
          <w:rFonts w:ascii="Times New Roman" w:hAnsi="Times New Roman"/>
          <w:bCs/>
          <w:color w:val="000000"/>
          <w:szCs w:val="20"/>
        </w:rPr>
        <w:t>підписавши</w:t>
      </w:r>
      <w:proofErr w:type="spellEnd"/>
      <w:r w:rsidRPr="00E16672">
        <w:rPr>
          <w:rFonts w:ascii="Times New Roman" w:hAnsi="Times New Roman"/>
          <w:bCs/>
          <w:color w:val="000000"/>
          <w:szCs w:val="20"/>
        </w:rPr>
        <w:t xml:space="preserve"> </w:t>
      </w:r>
      <w:proofErr w:type="spellStart"/>
      <w:r w:rsidRPr="00E16672">
        <w:rPr>
          <w:rFonts w:ascii="Times New Roman" w:hAnsi="Times New Roman"/>
          <w:bCs/>
          <w:color w:val="000000"/>
          <w:szCs w:val="20"/>
        </w:rPr>
        <w:t>цей</w:t>
      </w:r>
      <w:proofErr w:type="spellEnd"/>
      <w:r w:rsidRPr="00E16672">
        <w:rPr>
          <w:rFonts w:ascii="Times New Roman" w:hAnsi="Times New Roman"/>
          <w:bCs/>
          <w:color w:val="000000"/>
          <w:szCs w:val="20"/>
        </w:rPr>
        <w:t xml:space="preserve"> </w:t>
      </w:r>
      <w:proofErr w:type="spellStart"/>
      <w:r w:rsidRPr="00E16672">
        <w:rPr>
          <w:rFonts w:ascii="Times New Roman" w:hAnsi="Times New Roman"/>
          <w:bCs/>
          <w:color w:val="000000"/>
          <w:szCs w:val="20"/>
        </w:rPr>
        <w:t>Договір</w:t>
      </w:r>
      <w:proofErr w:type="spellEnd"/>
      <w:r w:rsidRPr="00E16672">
        <w:rPr>
          <w:rFonts w:ascii="Times New Roman" w:hAnsi="Times New Roman"/>
          <w:bCs/>
          <w:color w:val="000000"/>
          <w:szCs w:val="20"/>
        </w:rPr>
        <w:t>.</w:t>
      </w:r>
    </w:p>
    <w:p w14:paraId="09C30EC1" w14:textId="77777777" w:rsidR="007974E8" w:rsidRPr="00E16672" w:rsidRDefault="007974E8" w:rsidP="007974E8">
      <w:pPr>
        <w:pStyle w:val="af"/>
        <w:jc w:val="center"/>
        <w:rPr>
          <w:rFonts w:ascii="Times New Roman" w:hAnsi="Times New Roman" w:cs="Times New Roman"/>
          <w:b/>
          <w:bCs/>
          <w:color w:val="000000"/>
        </w:rPr>
      </w:pPr>
    </w:p>
    <w:p w14:paraId="1B19BA3D" w14:textId="77777777" w:rsidR="007974E8" w:rsidRPr="00E16672" w:rsidRDefault="007974E8" w:rsidP="007974E8">
      <w:pPr>
        <w:jc w:val="center"/>
        <w:rPr>
          <w:rFonts w:ascii="Times New Roman" w:hAnsi="Times New Roman"/>
          <w:b/>
          <w:bCs/>
          <w:color w:val="000000"/>
          <w:szCs w:val="20"/>
        </w:rPr>
      </w:pPr>
      <w:r w:rsidRPr="00E16672">
        <w:rPr>
          <w:rFonts w:ascii="Times New Roman" w:hAnsi="Times New Roman"/>
          <w:b/>
          <w:bCs/>
          <w:color w:val="000000"/>
          <w:szCs w:val="20"/>
        </w:rPr>
        <w:t xml:space="preserve">8. </w:t>
      </w:r>
      <w:proofErr w:type="spellStart"/>
      <w:r w:rsidRPr="00E16672">
        <w:rPr>
          <w:rFonts w:ascii="Times New Roman" w:hAnsi="Times New Roman"/>
          <w:b/>
          <w:bCs/>
          <w:color w:val="000000"/>
          <w:szCs w:val="20"/>
        </w:rPr>
        <w:t>Виконання</w:t>
      </w:r>
      <w:proofErr w:type="spellEnd"/>
      <w:r w:rsidRPr="00E16672">
        <w:rPr>
          <w:rFonts w:ascii="Times New Roman" w:hAnsi="Times New Roman"/>
          <w:b/>
          <w:bCs/>
          <w:color w:val="000000"/>
          <w:szCs w:val="20"/>
        </w:rPr>
        <w:t xml:space="preserve"> умов договору. Порядок </w:t>
      </w:r>
      <w:proofErr w:type="spellStart"/>
      <w:r w:rsidRPr="00E16672">
        <w:rPr>
          <w:rFonts w:ascii="Times New Roman" w:hAnsi="Times New Roman"/>
          <w:b/>
          <w:bCs/>
          <w:color w:val="000000"/>
          <w:szCs w:val="20"/>
        </w:rPr>
        <w:t>закриття</w:t>
      </w:r>
      <w:proofErr w:type="spellEnd"/>
      <w:r w:rsidRPr="00E16672">
        <w:rPr>
          <w:rFonts w:ascii="Times New Roman" w:hAnsi="Times New Roman"/>
          <w:b/>
          <w:bCs/>
          <w:color w:val="000000"/>
          <w:szCs w:val="20"/>
        </w:rPr>
        <w:t xml:space="preserve"> </w:t>
      </w:r>
      <w:proofErr w:type="spellStart"/>
      <w:r w:rsidRPr="00E16672">
        <w:rPr>
          <w:rFonts w:ascii="Times New Roman" w:hAnsi="Times New Roman"/>
          <w:b/>
          <w:bCs/>
          <w:color w:val="000000"/>
          <w:szCs w:val="20"/>
        </w:rPr>
        <w:t>рахунку</w:t>
      </w:r>
      <w:proofErr w:type="spellEnd"/>
      <w:r w:rsidRPr="00E16672">
        <w:rPr>
          <w:rFonts w:ascii="Times New Roman" w:hAnsi="Times New Roman"/>
          <w:b/>
          <w:bCs/>
          <w:color w:val="000000"/>
          <w:szCs w:val="20"/>
        </w:rPr>
        <w:t xml:space="preserve"> </w:t>
      </w:r>
      <w:r w:rsidR="00C22309" w:rsidRPr="00E16672">
        <w:rPr>
          <w:rFonts w:ascii="Times New Roman" w:hAnsi="Times New Roman"/>
          <w:b/>
          <w:bCs/>
          <w:color w:val="000000"/>
          <w:szCs w:val="20"/>
        </w:rPr>
        <w:t xml:space="preserve">в </w:t>
      </w:r>
      <w:proofErr w:type="spellStart"/>
      <w:r w:rsidR="00C22309" w:rsidRPr="00E16672">
        <w:rPr>
          <w:rFonts w:ascii="Times New Roman" w:hAnsi="Times New Roman"/>
          <w:b/>
          <w:bCs/>
          <w:color w:val="000000"/>
          <w:szCs w:val="20"/>
        </w:rPr>
        <w:t>цін</w:t>
      </w:r>
      <w:r w:rsidRPr="00E16672">
        <w:rPr>
          <w:rFonts w:ascii="Times New Roman" w:hAnsi="Times New Roman"/>
          <w:b/>
          <w:bCs/>
          <w:color w:val="000000"/>
          <w:szCs w:val="20"/>
        </w:rPr>
        <w:t>них</w:t>
      </w:r>
      <w:proofErr w:type="spellEnd"/>
      <w:r w:rsidRPr="00E16672">
        <w:rPr>
          <w:rFonts w:ascii="Times New Roman" w:hAnsi="Times New Roman"/>
          <w:b/>
          <w:bCs/>
          <w:color w:val="000000"/>
          <w:szCs w:val="20"/>
        </w:rPr>
        <w:t xml:space="preserve"> </w:t>
      </w:r>
      <w:proofErr w:type="spellStart"/>
      <w:r w:rsidRPr="00E16672">
        <w:rPr>
          <w:rFonts w:ascii="Times New Roman" w:hAnsi="Times New Roman"/>
          <w:b/>
          <w:bCs/>
          <w:color w:val="000000"/>
          <w:szCs w:val="20"/>
        </w:rPr>
        <w:t>паперах</w:t>
      </w:r>
      <w:proofErr w:type="spellEnd"/>
      <w:r w:rsidRPr="00E16672">
        <w:rPr>
          <w:rFonts w:ascii="Times New Roman" w:hAnsi="Times New Roman"/>
          <w:b/>
          <w:bCs/>
          <w:color w:val="000000"/>
          <w:szCs w:val="20"/>
        </w:rPr>
        <w:t xml:space="preserve">. </w:t>
      </w:r>
    </w:p>
    <w:p w14:paraId="450A6B82" w14:textId="77777777" w:rsidR="007974E8" w:rsidRPr="00E16672" w:rsidRDefault="007974E8" w:rsidP="007974E8">
      <w:pPr>
        <w:jc w:val="center"/>
        <w:rPr>
          <w:rFonts w:ascii="Times New Roman" w:hAnsi="Times New Roman"/>
          <w:b/>
          <w:bCs/>
          <w:color w:val="000000"/>
          <w:szCs w:val="20"/>
        </w:rPr>
      </w:pPr>
      <w:proofErr w:type="spellStart"/>
      <w:r w:rsidRPr="00E16672">
        <w:rPr>
          <w:rFonts w:ascii="Times New Roman" w:hAnsi="Times New Roman"/>
          <w:b/>
          <w:bCs/>
          <w:color w:val="000000"/>
          <w:szCs w:val="20"/>
        </w:rPr>
        <w:t>Особливі</w:t>
      </w:r>
      <w:proofErr w:type="spellEnd"/>
      <w:r w:rsidRPr="00E16672">
        <w:rPr>
          <w:rFonts w:ascii="Times New Roman" w:hAnsi="Times New Roman"/>
          <w:b/>
          <w:bCs/>
          <w:color w:val="000000"/>
          <w:szCs w:val="20"/>
        </w:rPr>
        <w:t xml:space="preserve"> </w:t>
      </w:r>
      <w:proofErr w:type="spellStart"/>
      <w:r w:rsidRPr="00E16672">
        <w:rPr>
          <w:rFonts w:ascii="Times New Roman" w:hAnsi="Times New Roman"/>
          <w:b/>
          <w:bCs/>
          <w:color w:val="000000"/>
          <w:szCs w:val="20"/>
        </w:rPr>
        <w:t>умови</w:t>
      </w:r>
      <w:proofErr w:type="spellEnd"/>
      <w:r w:rsidRPr="00E16672">
        <w:rPr>
          <w:rFonts w:ascii="Times New Roman" w:hAnsi="Times New Roman"/>
          <w:b/>
          <w:bCs/>
          <w:color w:val="000000"/>
          <w:szCs w:val="20"/>
        </w:rPr>
        <w:t>.</w:t>
      </w:r>
    </w:p>
    <w:p w14:paraId="3BCB40A7" w14:textId="77777777" w:rsidR="000B00C3" w:rsidRPr="00E16672" w:rsidRDefault="002C163A" w:rsidP="000B00C3">
      <w:pPr>
        <w:pStyle w:val="23"/>
        <w:ind w:firstLine="540"/>
        <w:rPr>
          <w:rFonts w:ascii="Times New Roman" w:hAnsi="Times New Roman"/>
        </w:rPr>
      </w:pPr>
      <w:r>
        <w:rPr>
          <w:rFonts w:ascii="Times New Roman" w:hAnsi="Times New Roman"/>
        </w:rPr>
        <w:t xml:space="preserve"> </w:t>
      </w:r>
      <w:r w:rsidR="000B00C3" w:rsidRPr="00E16672">
        <w:rPr>
          <w:rFonts w:ascii="Times New Roman" w:hAnsi="Times New Roman"/>
        </w:rPr>
        <w:t>8.1. Депозитарна установа має статус платника податку на прибуток підприємства на загальних умовах, передбачених.</w:t>
      </w:r>
    </w:p>
    <w:p w14:paraId="7F7C2C1E" w14:textId="77777777" w:rsidR="000B00C3" w:rsidRPr="00E16672" w:rsidRDefault="000B00C3" w:rsidP="000B00C3">
      <w:pPr>
        <w:rPr>
          <w:rFonts w:ascii="Times New Roman" w:hAnsi="Times New Roman"/>
          <w:szCs w:val="20"/>
        </w:rPr>
      </w:pPr>
      <w:r w:rsidRPr="00E16672">
        <w:rPr>
          <w:rFonts w:ascii="Times New Roman" w:hAnsi="Times New Roman"/>
          <w:szCs w:val="20"/>
          <w:lang w:val="uk-UA"/>
        </w:rPr>
        <w:t xml:space="preserve">8.2. </w:t>
      </w:r>
      <w:proofErr w:type="spellStart"/>
      <w:r w:rsidRPr="00E16672">
        <w:rPr>
          <w:rFonts w:ascii="Times New Roman" w:hAnsi="Times New Roman"/>
          <w:szCs w:val="20"/>
        </w:rPr>
        <w:t>Підписанням</w:t>
      </w:r>
      <w:proofErr w:type="spellEnd"/>
      <w:r w:rsidRPr="00E16672">
        <w:rPr>
          <w:rFonts w:ascii="Times New Roman" w:hAnsi="Times New Roman"/>
          <w:szCs w:val="20"/>
        </w:rPr>
        <w:t xml:space="preserve"> </w:t>
      </w:r>
      <w:proofErr w:type="spellStart"/>
      <w:r w:rsidRPr="00E16672">
        <w:rPr>
          <w:rFonts w:ascii="Times New Roman" w:hAnsi="Times New Roman"/>
          <w:szCs w:val="20"/>
        </w:rPr>
        <w:t>цього</w:t>
      </w:r>
      <w:proofErr w:type="spellEnd"/>
      <w:r w:rsidRPr="00E16672">
        <w:rPr>
          <w:rFonts w:ascii="Times New Roman" w:hAnsi="Times New Roman"/>
          <w:szCs w:val="20"/>
        </w:rPr>
        <w:t xml:space="preserve"> Договору </w:t>
      </w:r>
      <w:proofErr w:type="spellStart"/>
      <w:r w:rsidRPr="00E16672">
        <w:rPr>
          <w:rFonts w:ascii="Times New Roman" w:hAnsi="Times New Roman"/>
          <w:szCs w:val="20"/>
        </w:rPr>
        <w:t>Керуючого</w:t>
      </w:r>
      <w:proofErr w:type="spellEnd"/>
      <w:r w:rsidRPr="00E16672">
        <w:rPr>
          <w:rFonts w:ascii="Times New Roman" w:hAnsi="Times New Roman"/>
          <w:bCs/>
          <w:szCs w:val="20"/>
        </w:rPr>
        <w:t xml:space="preserve"> </w:t>
      </w:r>
      <w:r w:rsidRPr="00E16672">
        <w:rPr>
          <w:rFonts w:ascii="Times New Roman" w:hAnsi="Times New Roman"/>
          <w:szCs w:val="20"/>
          <w:lang w:val="uk-UA"/>
        </w:rPr>
        <w:t>рахунком</w:t>
      </w:r>
      <w:r w:rsidRPr="00E16672">
        <w:rPr>
          <w:rFonts w:ascii="Times New Roman" w:hAnsi="Times New Roman"/>
          <w:szCs w:val="20"/>
        </w:rPr>
        <w:t xml:space="preserve"> </w:t>
      </w:r>
      <w:proofErr w:type="spellStart"/>
      <w:r w:rsidRPr="00E16672">
        <w:rPr>
          <w:rFonts w:ascii="Times New Roman" w:hAnsi="Times New Roman"/>
          <w:szCs w:val="20"/>
        </w:rPr>
        <w:t>підтверджує</w:t>
      </w:r>
      <w:proofErr w:type="spellEnd"/>
      <w:r w:rsidRPr="00E16672">
        <w:rPr>
          <w:rFonts w:ascii="Times New Roman" w:hAnsi="Times New Roman"/>
          <w:szCs w:val="20"/>
        </w:rPr>
        <w:t xml:space="preserve">, </w:t>
      </w:r>
      <w:proofErr w:type="spellStart"/>
      <w:r w:rsidRPr="00E16672">
        <w:rPr>
          <w:rFonts w:ascii="Times New Roman" w:hAnsi="Times New Roman"/>
          <w:szCs w:val="20"/>
        </w:rPr>
        <w:t>що</w:t>
      </w:r>
      <w:proofErr w:type="spellEnd"/>
      <w:r w:rsidRPr="00E16672">
        <w:rPr>
          <w:rFonts w:ascii="Times New Roman" w:hAnsi="Times New Roman"/>
          <w:szCs w:val="20"/>
        </w:rPr>
        <w:t xml:space="preserve"> </w:t>
      </w:r>
      <w:proofErr w:type="spellStart"/>
      <w:r w:rsidRPr="00E16672">
        <w:rPr>
          <w:rFonts w:ascii="Times New Roman" w:hAnsi="Times New Roman"/>
          <w:szCs w:val="20"/>
        </w:rPr>
        <w:t>ознайомлений</w:t>
      </w:r>
      <w:proofErr w:type="spellEnd"/>
      <w:r w:rsidRPr="00E16672">
        <w:rPr>
          <w:rFonts w:ascii="Times New Roman" w:hAnsi="Times New Roman"/>
          <w:szCs w:val="20"/>
        </w:rPr>
        <w:t xml:space="preserve"> </w:t>
      </w:r>
      <w:proofErr w:type="spellStart"/>
      <w:r w:rsidRPr="00E16672">
        <w:rPr>
          <w:rFonts w:ascii="Times New Roman" w:hAnsi="Times New Roman"/>
          <w:szCs w:val="20"/>
        </w:rPr>
        <w:t>із</w:t>
      </w:r>
      <w:proofErr w:type="spellEnd"/>
      <w:r w:rsidRPr="00E16672">
        <w:rPr>
          <w:rFonts w:ascii="Times New Roman" w:hAnsi="Times New Roman"/>
          <w:szCs w:val="20"/>
        </w:rPr>
        <w:t xml:space="preserve"> </w:t>
      </w:r>
      <w:proofErr w:type="spellStart"/>
      <w:r w:rsidRPr="00E16672">
        <w:rPr>
          <w:rFonts w:ascii="Times New Roman" w:hAnsi="Times New Roman"/>
          <w:szCs w:val="20"/>
        </w:rPr>
        <w:t>внутрішніми</w:t>
      </w:r>
      <w:proofErr w:type="spellEnd"/>
      <w:r w:rsidRPr="00E16672">
        <w:rPr>
          <w:rFonts w:ascii="Times New Roman" w:hAnsi="Times New Roman"/>
          <w:szCs w:val="20"/>
        </w:rPr>
        <w:t xml:space="preserve"> документами </w:t>
      </w:r>
      <w:proofErr w:type="spellStart"/>
      <w:r w:rsidRPr="00E16672">
        <w:rPr>
          <w:rFonts w:ascii="Times New Roman" w:hAnsi="Times New Roman"/>
          <w:szCs w:val="20"/>
        </w:rPr>
        <w:t>Депозитарної</w:t>
      </w:r>
      <w:proofErr w:type="spellEnd"/>
      <w:r w:rsidRPr="00E16672">
        <w:rPr>
          <w:rFonts w:ascii="Times New Roman" w:hAnsi="Times New Roman"/>
          <w:szCs w:val="20"/>
        </w:rPr>
        <w:t xml:space="preserve"> установи, тарифами </w:t>
      </w:r>
      <w:proofErr w:type="spellStart"/>
      <w:r w:rsidRPr="00E16672">
        <w:rPr>
          <w:rFonts w:ascii="Times New Roman" w:hAnsi="Times New Roman"/>
          <w:szCs w:val="20"/>
        </w:rPr>
        <w:t>Депозитарної</w:t>
      </w:r>
      <w:proofErr w:type="spellEnd"/>
      <w:r w:rsidRPr="00E16672">
        <w:rPr>
          <w:rFonts w:ascii="Times New Roman" w:hAnsi="Times New Roman"/>
          <w:szCs w:val="20"/>
        </w:rPr>
        <w:t xml:space="preserve"> установи.</w:t>
      </w:r>
    </w:p>
    <w:p w14:paraId="59B578DA" w14:textId="77777777" w:rsidR="000B00C3" w:rsidRPr="00E16672" w:rsidRDefault="000B00C3" w:rsidP="00022F5F">
      <w:pPr>
        <w:tabs>
          <w:tab w:val="left" w:pos="1080"/>
          <w:tab w:val="left" w:pos="1134"/>
        </w:tabs>
        <w:jc w:val="left"/>
        <w:rPr>
          <w:rFonts w:ascii="Times New Roman" w:hAnsi="Times New Roman"/>
          <w:i/>
          <w:szCs w:val="20"/>
        </w:rPr>
      </w:pPr>
      <w:proofErr w:type="spellStart"/>
      <w:r w:rsidRPr="00E16672">
        <w:rPr>
          <w:rFonts w:ascii="Times New Roman" w:hAnsi="Times New Roman"/>
          <w:bCs/>
          <w:szCs w:val="20"/>
        </w:rPr>
        <w:t>Керуючий</w:t>
      </w:r>
      <w:proofErr w:type="spellEnd"/>
      <w:r w:rsidRPr="00E16672">
        <w:rPr>
          <w:rFonts w:ascii="Times New Roman" w:hAnsi="Times New Roman"/>
          <w:bCs/>
          <w:szCs w:val="20"/>
        </w:rPr>
        <w:t xml:space="preserve"> </w:t>
      </w:r>
      <w:r w:rsidRPr="00E16672">
        <w:rPr>
          <w:rFonts w:ascii="Times New Roman" w:hAnsi="Times New Roman"/>
          <w:szCs w:val="20"/>
          <w:lang w:val="uk-UA"/>
        </w:rPr>
        <w:t>рахунком</w:t>
      </w:r>
      <w:r w:rsidRPr="00E16672">
        <w:rPr>
          <w:rFonts w:ascii="Times New Roman" w:hAnsi="Times New Roman"/>
          <w:szCs w:val="20"/>
        </w:rPr>
        <w:t xml:space="preserve"> </w:t>
      </w:r>
      <w:proofErr w:type="spellStart"/>
      <w:r w:rsidRPr="00E16672">
        <w:rPr>
          <w:rFonts w:ascii="Times New Roman" w:hAnsi="Times New Roman"/>
          <w:szCs w:val="20"/>
        </w:rPr>
        <w:t>підтверджує</w:t>
      </w:r>
      <w:proofErr w:type="spellEnd"/>
      <w:r w:rsidRPr="00E16672">
        <w:rPr>
          <w:rFonts w:ascii="Times New Roman" w:hAnsi="Times New Roman"/>
          <w:szCs w:val="20"/>
        </w:rPr>
        <w:t xml:space="preserve">, </w:t>
      </w:r>
      <w:proofErr w:type="spellStart"/>
      <w:r w:rsidRPr="00E16672">
        <w:rPr>
          <w:rFonts w:ascii="Times New Roman" w:hAnsi="Times New Roman"/>
          <w:szCs w:val="20"/>
        </w:rPr>
        <w:t>що</w:t>
      </w:r>
      <w:proofErr w:type="spellEnd"/>
      <w:r w:rsidRPr="00E16672">
        <w:rPr>
          <w:rFonts w:ascii="Times New Roman" w:hAnsi="Times New Roman"/>
          <w:szCs w:val="20"/>
        </w:rPr>
        <w:t xml:space="preserve"> </w:t>
      </w:r>
      <w:proofErr w:type="spellStart"/>
      <w:r w:rsidRPr="00E16672">
        <w:rPr>
          <w:rFonts w:ascii="Times New Roman" w:hAnsi="Times New Roman"/>
          <w:szCs w:val="20"/>
        </w:rPr>
        <w:t>Депозитарн</w:t>
      </w:r>
      <w:r w:rsidRPr="00E16672">
        <w:rPr>
          <w:rFonts w:ascii="Times New Roman" w:hAnsi="Times New Roman"/>
          <w:szCs w:val="20"/>
          <w:lang w:val="uk-UA"/>
        </w:rPr>
        <w:t>ою</w:t>
      </w:r>
      <w:proofErr w:type="spellEnd"/>
      <w:r w:rsidRPr="00E16672">
        <w:rPr>
          <w:rFonts w:ascii="Times New Roman" w:hAnsi="Times New Roman"/>
          <w:szCs w:val="20"/>
        </w:rPr>
        <w:t xml:space="preserve"> </w:t>
      </w:r>
      <w:proofErr w:type="spellStart"/>
      <w:r w:rsidRPr="00E16672">
        <w:rPr>
          <w:rFonts w:ascii="Times New Roman" w:hAnsi="Times New Roman"/>
          <w:szCs w:val="20"/>
        </w:rPr>
        <w:t>установ</w:t>
      </w:r>
      <w:r w:rsidRPr="00E16672">
        <w:rPr>
          <w:rFonts w:ascii="Times New Roman" w:hAnsi="Times New Roman"/>
          <w:szCs w:val="20"/>
          <w:lang w:val="uk-UA"/>
        </w:rPr>
        <w:t>ою</w:t>
      </w:r>
      <w:proofErr w:type="spellEnd"/>
      <w:r w:rsidRPr="00E16672">
        <w:rPr>
          <w:rFonts w:ascii="Times New Roman" w:hAnsi="Times New Roman"/>
          <w:szCs w:val="20"/>
        </w:rPr>
        <w:t xml:space="preserve"> </w:t>
      </w:r>
      <w:proofErr w:type="spellStart"/>
      <w:r w:rsidRPr="00E16672">
        <w:rPr>
          <w:rFonts w:ascii="Times New Roman" w:hAnsi="Times New Roman"/>
          <w:szCs w:val="20"/>
        </w:rPr>
        <w:t>йому</w:t>
      </w:r>
      <w:proofErr w:type="spellEnd"/>
      <w:r w:rsidRPr="00E16672">
        <w:rPr>
          <w:rFonts w:ascii="Times New Roman" w:hAnsi="Times New Roman"/>
          <w:szCs w:val="20"/>
        </w:rPr>
        <w:t xml:space="preserve"> </w:t>
      </w:r>
      <w:proofErr w:type="spellStart"/>
      <w:r w:rsidRPr="00E16672">
        <w:rPr>
          <w:rFonts w:ascii="Times New Roman" w:hAnsi="Times New Roman"/>
          <w:szCs w:val="20"/>
        </w:rPr>
        <w:t>надана</w:t>
      </w:r>
      <w:proofErr w:type="spellEnd"/>
      <w:r w:rsidRPr="00E16672">
        <w:rPr>
          <w:rFonts w:ascii="Times New Roman" w:hAnsi="Times New Roman"/>
          <w:szCs w:val="20"/>
        </w:rPr>
        <w:t xml:space="preserve"> </w:t>
      </w:r>
      <w:proofErr w:type="spellStart"/>
      <w:r w:rsidRPr="00E16672">
        <w:rPr>
          <w:rFonts w:ascii="Times New Roman" w:hAnsi="Times New Roman"/>
          <w:szCs w:val="20"/>
        </w:rPr>
        <w:t>інформація</w:t>
      </w:r>
      <w:proofErr w:type="spellEnd"/>
      <w:r w:rsidRPr="00E16672">
        <w:rPr>
          <w:rFonts w:ascii="Times New Roman" w:hAnsi="Times New Roman"/>
          <w:szCs w:val="20"/>
        </w:rPr>
        <w:t xml:space="preserve">, </w:t>
      </w:r>
      <w:proofErr w:type="spellStart"/>
      <w:r w:rsidRPr="00E16672">
        <w:rPr>
          <w:rFonts w:ascii="Times New Roman" w:hAnsi="Times New Roman"/>
          <w:szCs w:val="20"/>
        </w:rPr>
        <w:t>зазначена</w:t>
      </w:r>
      <w:proofErr w:type="spellEnd"/>
      <w:r w:rsidRPr="00E16672">
        <w:rPr>
          <w:rFonts w:ascii="Times New Roman" w:hAnsi="Times New Roman"/>
          <w:szCs w:val="20"/>
        </w:rPr>
        <w:t xml:space="preserve"> в </w:t>
      </w:r>
      <w:proofErr w:type="spellStart"/>
      <w:r w:rsidRPr="00E16672">
        <w:rPr>
          <w:rFonts w:ascii="Times New Roman" w:hAnsi="Times New Roman"/>
          <w:szCs w:val="20"/>
        </w:rPr>
        <w:t>частині</w:t>
      </w:r>
      <w:proofErr w:type="spellEnd"/>
      <w:r w:rsidRPr="00E16672">
        <w:rPr>
          <w:rFonts w:ascii="Times New Roman" w:hAnsi="Times New Roman"/>
          <w:szCs w:val="20"/>
        </w:rPr>
        <w:t xml:space="preserve"> </w:t>
      </w:r>
      <w:proofErr w:type="spellStart"/>
      <w:r w:rsidRPr="00E16672">
        <w:rPr>
          <w:rFonts w:ascii="Times New Roman" w:hAnsi="Times New Roman"/>
          <w:szCs w:val="20"/>
        </w:rPr>
        <w:t>другій</w:t>
      </w:r>
      <w:proofErr w:type="spellEnd"/>
      <w:r w:rsidRPr="00E16672">
        <w:rPr>
          <w:rFonts w:ascii="Times New Roman" w:hAnsi="Times New Roman"/>
          <w:szCs w:val="20"/>
        </w:rPr>
        <w:t xml:space="preserve"> </w:t>
      </w:r>
      <w:proofErr w:type="spellStart"/>
      <w:r w:rsidRPr="00E16672">
        <w:rPr>
          <w:rFonts w:ascii="Times New Roman" w:hAnsi="Times New Roman"/>
          <w:szCs w:val="20"/>
        </w:rPr>
        <w:t>статті</w:t>
      </w:r>
      <w:proofErr w:type="spellEnd"/>
      <w:r w:rsidRPr="00E16672">
        <w:rPr>
          <w:rFonts w:ascii="Times New Roman" w:hAnsi="Times New Roman"/>
          <w:szCs w:val="20"/>
        </w:rPr>
        <w:t xml:space="preserve"> 12 Закону </w:t>
      </w:r>
      <w:proofErr w:type="spellStart"/>
      <w:r w:rsidRPr="00E16672">
        <w:rPr>
          <w:rFonts w:ascii="Times New Roman" w:hAnsi="Times New Roman"/>
          <w:szCs w:val="20"/>
        </w:rPr>
        <w:t>України</w:t>
      </w:r>
      <w:proofErr w:type="spellEnd"/>
      <w:r w:rsidRPr="00E16672">
        <w:rPr>
          <w:rFonts w:ascii="Times New Roman" w:hAnsi="Times New Roman"/>
          <w:szCs w:val="20"/>
        </w:rPr>
        <w:t xml:space="preserve"> </w:t>
      </w:r>
      <w:r w:rsidR="00022F5F">
        <w:rPr>
          <w:rFonts w:ascii="Times New Roman" w:hAnsi="Times New Roman"/>
          <w:szCs w:val="20"/>
        </w:rPr>
        <w:t>"</w:t>
      </w:r>
      <w:r w:rsidRPr="00E16672">
        <w:rPr>
          <w:rFonts w:ascii="Times New Roman" w:hAnsi="Times New Roman"/>
          <w:szCs w:val="20"/>
        </w:rPr>
        <w:t xml:space="preserve">Про </w:t>
      </w:r>
      <w:proofErr w:type="spellStart"/>
      <w:r w:rsidRPr="00E16672">
        <w:rPr>
          <w:rFonts w:ascii="Times New Roman" w:hAnsi="Times New Roman"/>
          <w:szCs w:val="20"/>
        </w:rPr>
        <w:t>фінансові</w:t>
      </w:r>
      <w:proofErr w:type="spellEnd"/>
      <w:r w:rsidRPr="00E16672">
        <w:rPr>
          <w:rFonts w:ascii="Times New Roman" w:hAnsi="Times New Roman"/>
          <w:szCs w:val="20"/>
        </w:rPr>
        <w:t xml:space="preserve"> </w:t>
      </w:r>
      <w:proofErr w:type="spellStart"/>
      <w:r w:rsidRPr="00E16672">
        <w:rPr>
          <w:rFonts w:ascii="Times New Roman" w:hAnsi="Times New Roman"/>
          <w:szCs w:val="20"/>
        </w:rPr>
        <w:t>послуги</w:t>
      </w:r>
      <w:proofErr w:type="spellEnd"/>
      <w:r w:rsidRPr="00E16672">
        <w:rPr>
          <w:rFonts w:ascii="Times New Roman" w:hAnsi="Times New Roman"/>
          <w:szCs w:val="20"/>
        </w:rPr>
        <w:t xml:space="preserve"> та </w:t>
      </w:r>
      <w:proofErr w:type="spellStart"/>
      <w:r w:rsidRPr="00E16672">
        <w:rPr>
          <w:rFonts w:ascii="Times New Roman" w:hAnsi="Times New Roman"/>
          <w:szCs w:val="20"/>
        </w:rPr>
        <w:t>державне</w:t>
      </w:r>
      <w:proofErr w:type="spellEnd"/>
      <w:r w:rsidRPr="00E16672">
        <w:rPr>
          <w:rFonts w:ascii="Times New Roman" w:hAnsi="Times New Roman"/>
          <w:szCs w:val="20"/>
        </w:rPr>
        <w:t xml:space="preserve"> </w:t>
      </w:r>
      <w:proofErr w:type="spellStart"/>
      <w:r w:rsidRPr="00E16672">
        <w:rPr>
          <w:rFonts w:ascii="Times New Roman" w:hAnsi="Times New Roman"/>
          <w:szCs w:val="20"/>
        </w:rPr>
        <w:t>регулювання</w:t>
      </w:r>
      <w:proofErr w:type="spellEnd"/>
      <w:r w:rsidRPr="00E16672">
        <w:rPr>
          <w:rFonts w:ascii="Times New Roman" w:hAnsi="Times New Roman"/>
          <w:szCs w:val="20"/>
        </w:rPr>
        <w:t xml:space="preserve"> </w:t>
      </w:r>
      <w:proofErr w:type="spellStart"/>
      <w:r w:rsidRPr="00E16672">
        <w:rPr>
          <w:rFonts w:ascii="Times New Roman" w:hAnsi="Times New Roman"/>
          <w:szCs w:val="20"/>
        </w:rPr>
        <w:t>ринків</w:t>
      </w:r>
      <w:proofErr w:type="spellEnd"/>
      <w:r w:rsidRPr="00E16672">
        <w:rPr>
          <w:rFonts w:ascii="Times New Roman" w:hAnsi="Times New Roman"/>
          <w:szCs w:val="20"/>
        </w:rPr>
        <w:t xml:space="preserve"> </w:t>
      </w:r>
      <w:proofErr w:type="spellStart"/>
      <w:r w:rsidRPr="00E16672">
        <w:rPr>
          <w:rFonts w:ascii="Times New Roman" w:hAnsi="Times New Roman"/>
          <w:szCs w:val="20"/>
        </w:rPr>
        <w:t>фінансових</w:t>
      </w:r>
      <w:proofErr w:type="spellEnd"/>
      <w:r w:rsidRPr="00E16672">
        <w:rPr>
          <w:rFonts w:ascii="Times New Roman" w:hAnsi="Times New Roman"/>
          <w:szCs w:val="20"/>
        </w:rPr>
        <w:t xml:space="preserve"> </w:t>
      </w:r>
      <w:proofErr w:type="spellStart"/>
      <w:r w:rsidRPr="00E16672">
        <w:rPr>
          <w:rFonts w:ascii="Times New Roman" w:hAnsi="Times New Roman"/>
          <w:szCs w:val="20"/>
        </w:rPr>
        <w:t>послуг</w:t>
      </w:r>
      <w:proofErr w:type="spellEnd"/>
      <w:r w:rsidR="00022F5F">
        <w:rPr>
          <w:rFonts w:ascii="Times New Roman" w:hAnsi="Times New Roman"/>
          <w:szCs w:val="20"/>
        </w:rPr>
        <w:t>"</w:t>
      </w:r>
      <w:r w:rsidRPr="00E16672">
        <w:rPr>
          <w:rFonts w:ascii="Times New Roman" w:hAnsi="Times New Roman"/>
          <w:szCs w:val="20"/>
        </w:rPr>
        <w:t>.</w:t>
      </w:r>
      <w:r w:rsidRPr="00E16672">
        <w:rPr>
          <w:rFonts w:ascii="Times New Roman" w:hAnsi="Times New Roman"/>
          <w:i/>
          <w:szCs w:val="20"/>
        </w:rPr>
        <w:t xml:space="preserve"> </w:t>
      </w:r>
    </w:p>
    <w:p w14:paraId="21EA2A13" w14:textId="77777777" w:rsidR="000B00C3" w:rsidRPr="00E16672" w:rsidRDefault="000B00C3" w:rsidP="000B00C3">
      <w:pPr>
        <w:pStyle w:val="ae"/>
        <w:tabs>
          <w:tab w:val="left" w:pos="1080"/>
          <w:tab w:val="left" w:pos="1134"/>
        </w:tabs>
        <w:ind w:firstLine="540"/>
        <w:rPr>
          <w:rFonts w:ascii="Times New Roman" w:hAnsi="Times New Roman"/>
          <w:szCs w:val="20"/>
        </w:rPr>
      </w:pPr>
      <w:r w:rsidRPr="00E16672">
        <w:rPr>
          <w:rFonts w:ascii="Times New Roman" w:hAnsi="Times New Roman"/>
          <w:szCs w:val="20"/>
        </w:rPr>
        <w:t>Інформація, що була надана Керуючому рахунком, забезпечила правильне розуміння Керуючим рахунком суті фінансової послуги, що має надаватись, без нав'язування її придбання.</w:t>
      </w:r>
    </w:p>
    <w:p w14:paraId="2F5CDD71" w14:textId="77777777" w:rsidR="000B00C3" w:rsidRPr="00E16672" w:rsidRDefault="000B00C3" w:rsidP="00022F5F">
      <w:pPr>
        <w:pStyle w:val="ae"/>
        <w:tabs>
          <w:tab w:val="left" w:pos="426"/>
        </w:tabs>
        <w:ind w:firstLine="550"/>
        <w:jc w:val="left"/>
        <w:rPr>
          <w:rFonts w:ascii="Times New Roman" w:hAnsi="Times New Roman"/>
          <w:szCs w:val="20"/>
        </w:rPr>
      </w:pPr>
      <w:r w:rsidRPr="00E16672">
        <w:rPr>
          <w:rFonts w:ascii="Times New Roman" w:hAnsi="Times New Roman"/>
          <w:szCs w:val="20"/>
        </w:rPr>
        <w:t xml:space="preserve">8.3. На виконання вимог Закону України </w:t>
      </w:r>
      <w:r w:rsidR="00022F5F">
        <w:rPr>
          <w:rFonts w:ascii="Times New Roman" w:hAnsi="Times New Roman"/>
          <w:szCs w:val="20"/>
        </w:rPr>
        <w:t>"</w:t>
      </w:r>
      <w:r w:rsidRPr="00E16672">
        <w:rPr>
          <w:rFonts w:ascii="Times New Roman" w:hAnsi="Times New Roman"/>
          <w:szCs w:val="20"/>
        </w:rPr>
        <w:t>Про захист персональних даних</w:t>
      </w:r>
      <w:r w:rsidR="00022F5F">
        <w:rPr>
          <w:rFonts w:ascii="Times New Roman" w:hAnsi="Times New Roman"/>
          <w:szCs w:val="20"/>
        </w:rPr>
        <w:t>"</w:t>
      </w:r>
      <w:r w:rsidRPr="00E16672">
        <w:rPr>
          <w:rFonts w:ascii="Times New Roman" w:hAnsi="Times New Roman"/>
          <w:szCs w:val="20"/>
        </w:rPr>
        <w:t xml:space="preserve"> у разі отримання Депозитарною установою інформації, яка стосується персональних даних фізичних осіб, Сторона, що надала такі дані підписанням цього Договору підтверджує легітимність їх отримання, та право на передання Депозитарній установі таких даних для використання (обробки) Депозитарною установою у випадках, передбачених законодавством, а також – передання Депозитарною установою таких даних третім особам у випадках встановлених чинним законодавством України. </w:t>
      </w:r>
    </w:p>
    <w:p w14:paraId="18A7F6EB" w14:textId="77777777" w:rsidR="002C163A" w:rsidRDefault="000B00C3" w:rsidP="002C163A">
      <w:pPr>
        <w:ind w:firstLine="540"/>
        <w:rPr>
          <w:rFonts w:ascii="Times New Roman" w:hAnsi="Times New Roman"/>
          <w:szCs w:val="20"/>
          <w:lang w:val="uk-UA"/>
        </w:rPr>
      </w:pPr>
      <w:r w:rsidRPr="00E16672">
        <w:rPr>
          <w:rFonts w:ascii="Times New Roman" w:hAnsi="Times New Roman"/>
          <w:szCs w:val="20"/>
        </w:rPr>
        <w:t>8.</w:t>
      </w:r>
      <w:r w:rsidRPr="00E16672">
        <w:rPr>
          <w:rFonts w:ascii="Times New Roman" w:hAnsi="Times New Roman"/>
          <w:szCs w:val="20"/>
          <w:lang w:val="uk-UA"/>
        </w:rPr>
        <w:t>4</w:t>
      </w:r>
      <w:r w:rsidRPr="00E16672">
        <w:rPr>
          <w:rFonts w:ascii="Times New Roman" w:hAnsi="Times New Roman"/>
          <w:szCs w:val="20"/>
        </w:rPr>
        <w:t xml:space="preserve">. </w:t>
      </w:r>
      <w:proofErr w:type="spellStart"/>
      <w:r w:rsidRPr="00E16672">
        <w:rPr>
          <w:rFonts w:ascii="Times New Roman" w:hAnsi="Times New Roman"/>
          <w:szCs w:val="20"/>
        </w:rPr>
        <w:t>Додаткові</w:t>
      </w:r>
      <w:proofErr w:type="spellEnd"/>
      <w:r w:rsidRPr="00E16672">
        <w:rPr>
          <w:rFonts w:ascii="Times New Roman" w:hAnsi="Times New Roman"/>
          <w:szCs w:val="20"/>
        </w:rPr>
        <w:t xml:space="preserve"> угоди </w:t>
      </w:r>
      <w:proofErr w:type="spellStart"/>
      <w:r w:rsidRPr="00E16672">
        <w:rPr>
          <w:rFonts w:ascii="Times New Roman" w:hAnsi="Times New Roman"/>
          <w:szCs w:val="20"/>
        </w:rPr>
        <w:t>набирають</w:t>
      </w:r>
      <w:proofErr w:type="spellEnd"/>
      <w:r w:rsidRPr="00E16672">
        <w:rPr>
          <w:rFonts w:ascii="Times New Roman" w:hAnsi="Times New Roman"/>
          <w:szCs w:val="20"/>
        </w:rPr>
        <w:t xml:space="preserve"> </w:t>
      </w:r>
      <w:proofErr w:type="spellStart"/>
      <w:r w:rsidRPr="00E16672">
        <w:rPr>
          <w:rFonts w:ascii="Times New Roman" w:hAnsi="Times New Roman"/>
          <w:szCs w:val="20"/>
        </w:rPr>
        <w:t>чинності</w:t>
      </w:r>
      <w:proofErr w:type="spellEnd"/>
      <w:r w:rsidRPr="00E16672">
        <w:rPr>
          <w:rFonts w:ascii="Times New Roman" w:hAnsi="Times New Roman"/>
          <w:szCs w:val="20"/>
        </w:rPr>
        <w:t xml:space="preserve"> з моменту </w:t>
      </w:r>
      <w:proofErr w:type="spellStart"/>
      <w:r w:rsidRPr="00E16672">
        <w:rPr>
          <w:rFonts w:ascii="Times New Roman" w:hAnsi="Times New Roman"/>
          <w:szCs w:val="20"/>
        </w:rPr>
        <w:t>їх</w:t>
      </w:r>
      <w:proofErr w:type="spellEnd"/>
      <w:r w:rsidRPr="00E16672">
        <w:rPr>
          <w:rFonts w:ascii="Times New Roman" w:hAnsi="Times New Roman"/>
          <w:szCs w:val="20"/>
        </w:rPr>
        <w:t xml:space="preserve"> </w:t>
      </w:r>
      <w:proofErr w:type="spellStart"/>
      <w:r w:rsidRPr="00E16672">
        <w:rPr>
          <w:rFonts w:ascii="Times New Roman" w:hAnsi="Times New Roman"/>
          <w:szCs w:val="20"/>
        </w:rPr>
        <w:t>підписання</w:t>
      </w:r>
      <w:proofErr w:type="spellEnd"/>
      <w:r w:rsidRPr="00E16672">
        <w:rPr>
          <w:rFonts w:ascii="Times New Roman" w:hAnsi="Times New Roman"/>
          <w:szCs w:val="20"/>
        </w:rPr>
        <w:t xml:space="preserve"> та є</w:t>
      </w:r>
      <w:r w:rsidR="002C163A">
        <w:rPr>
          <w:rFonts w:ascii="Times New Roman" w:hAnsi="Times New Roman"/>
          <w:szCs w:val="20"/>
        </w:rPr>
        <w:t xml:space="preserve"> </w:t>
      </w:r>
      <w:proofErr w:type="spellStart"/>
      <w:r w:rsidR="002C163A">
        <w:rPr>
          <w:rFonts w:ascii="Times New Roman" w:hAnsi="Times New Roman"/>
          <w:szCs w:val="20"/>
        </w:rPr>
        <w:t>невід’ємною</w:t>
      </w:r>
      <w:proofErr w:type="spellEnd"/>
      <w:r w:rsidR="002C163A">
        <w:rPr>
          <w:rFonts w:ascii="Times New Roman" w:hAnsi="Times New Roman"/>
          <w:szCs w:val="20"/>
        </w:rPr>
        <w:t xml:space="preserve"> </w:t>
      </w:r>
      <w:proofErr w:type="spellStart"/>
      <w:r w:rsidR="002C163A">
        <w:rPr>
          <w:rFonts w:ascii="Times New Roman" w:hAnsi="Times New Roman"/>
          <w:szCs w:val="20"/>
        </w:rPr>
        <w:t>частиною</w:t>
      </w:r>
      <w:proofErr w:type="spellEnd"/>
      <w:r w:rsidR="002C163A">
        <w:rPr>
          <w:rFonts w:ascii="Times New Roman" w:hAnsi="Times New Roman"/>
          <w:szCs w:val="20"/>
        </w:rPr>
        <w:t xml:space="preserve"> Договору</w:t>
      </w:r>
      <w:r w:rsidR="002C163A">
        <w:rPr>
          <w:rFonts w:ascii="Times New Roman" w:hAnsi="Times New Roman"/>
          <w:szCs w:val="20"/>
          <w:lang w:val="uk-UA"/>
        </w:rPr>
        <w:t>.</w:t>
      </w:r>
    </w:p>
    <w:p w14:paraId="7EB8580E" w14:textId="77777777" w:rsidR="000B00C3" w:rsidRPr="002C163A" w:rsidRDefault="000B00C3" w:rsidP="002C163A">
      <w:pPr>
        <w:ind w:firstLine="540"/>
        <w:rPr>
          <w:rFonts w:ascii="Times New Roman" w:hAnsi="Times New Roman"/>
          <w:szCs w:val="20"/>
        </w:rPr>
      </w:pPr>
      <w:r w:rsidRPr="00E16672">
        <w:rPr>
          <w:rFonts w:ascii="Times New Roman" w:hAnsi="Times New Roman"/>
          <w:szCs w:val="20"/>
        </w:rPr>
        <w:t>8.</w:t>
      </w:r>
      <w:r w:rsidRPr="00E16672">
        <w:rPr>
          <w:rFonts w:ascii="Times New Roman" w:hAnsi="Times New Roman"/>
          <w:szCs w:val="20"/>
          <w:lang w:val="uk-UA"/>
        </w:rPr>
        <w:t>5</w:t>
      </w:r>
      <w:r w:rsidRPr="00E16672">
        <w:rPr>
          <w:rFonts w:ascii="Times New Roman" w:hAnsi="Times New Roman"/>
          <w:szCs w:val="20"/>
        </w:rPr>
        <w:t xml:space="preserve">. </w:t>
      </w:r>
      <w:r w:rsidRPr="00E16672">
        <w:rPr>
          <w:rFonts w:ascii="Times New Roman" w:hAnsi="Times New Roman"/>
          <w:szCs w:val="20"/>
          <w:lang w:val="uk-UA"/>
        </w:rPr>
        <w:t>При виконанні даного Договору Сторони керуються умовами Договору</w:t>
      </w:r>
      <w:r w:rsidRPr="00E16672">
        <w:rPr>
          <w:rFonts w:ascii="Times New Roman" w:hAnsi="Times New Roman"/>
          <w:szCs w:val="20"/>
        </w:rPr>
        <w:t xml:space="preserve">, </w:t>
      </w:r>
      <w:proofErr w:type="spellStart"/>
      <w:r w:rsidRPr="00E16672">
        <w:rPr>
          <w:rFonts w:ascii="Times New Roman" w:hAnsi="Times New Roman"/>
          <w:szCs w:val="20"/>
        </w:rPr>
        <w:t>внутрішніх</w:t>
      </w:r>
      <w:proofErr w:type="spellEnd"/>
      <w:r w:rsidRPr="00E16672">
        <w:rPr>
          <w:rFonts w:ascii="Times New Roman" w:hAnsi="Times New Roman"/>
          <w:szCs w:val="20"/>
        </w:rPr>
        <w:t xml:space="preserve"> </w:t>
      </w:r>
      <w:proofErr w:type="spellStart"/>
      <w:r w:rsidRPr="00E16672">
        <w:rPr>
          <w:rFonts w:ascii="Times New Roman" w:hAnsi="Times New Roman"/>
          <w:szCs w:val="20"/>
        </w:rPr>
        <w:t>документів</w:t>
      </w:r>
      <w:proofErr w:type="spellEnd"/>
      <w:r w:rsidRPr="00E16672">
        <w:rPr>
          <w:rFonts w:ascii="Times New Roman" w:hAnsi="Times New Roman"/>
          <w:szCs w:val="20"/>
        </w:rPr>
        <w:t xml:space="preserve">  </w:t>
      </w:r>
      <w:proofErr w:type="spellStart"/>
      <w:r w:rsidRPr="00E16672">
        <w:rPr>
          <w:rFonts w:ascii="Times New Roman" w:hAnsi="Times New Roman"/>
          <w:szCs w:val="20"/>
        </w:rPr>
        <w:t>Депозитарної</w:t>
      </w:r>
      <w:proofErr w:type="spellEnd"/>
      <w:r w:rsidRPr="00E16672">
        <w:rPr>
          <w:rFonts w:ascii="Times New Roman" w:hAnsi="Times New Roman"/>
          <w:szCs w:val="20"/>
        </w:rPr>
        <w:t xml:space="preserve"> установи </w:t>
      </w:r>
      <w:r w:rsidRPr="00E16672">
        <w:rPr>
          <w:rFonts w:ascii="Times New Roman" w:hAnsi="Times New Roman"/>
          <w:szCs w:val="20"/>
          <w:lang w:val="uk-UA"/>
        </w:rPr>
        <w:t>та законодавством України.</w:t>
      </w:r>
    </w:p>
    <w:p w14:paraId="01170441" w14:textId="77777777" w:rsidR="000B00C3" w:rsidRPr="00E16672" w:rsidRDefault="000B00C3" w:rsidP="000B00C3">
      <w:pPr>
        <w:rPr>
          <w:rFonts w:ascii="Times New Roman" w:hAnsi="Times New Roman"/>
          <w:szCs w:val="20"/>
        </w:rPr>
      </w:pPr>
      <w:r w:rsidRPr="00E16672">
        <w:rPr>
          <w:rFonts w:ascii="Times New Roman" w:hAnsi="Times New Roman"/>
          <w:szCs w:val="20"/>
        </w:rPr>
        <w:t>8.</w:t>
      </w:r>
      <w:r w:rsidRPr="00E16672">
        <w:rPr>
          <w:rFonts w:ascii="Times New Roman" w:hAnsi="Times New Roman"/>
          <w:szCs w:val="20"/>
          <w:lang w:val="uk-UA"/>
        </w:rPr>
        <w:t>6</w:t>
      </w:r>
      <w:r w:rsidRPr="00E16672">
        <w:rPr>
          <w:rFonts w:ascii="Times New Roman" w:hAnsi="Times New Roman"/>
          <w:szCs w:val="20"/>
        </w:rPr>
        <w:t xml:space="preserve">. </w:t>
      </w:r>
      <w:proofErr w:type="spellStart"/>
      <w:r w:rsidRPr="00E16672">
        <w:rPr>
          <w:rFonts w:ascii="Times New Roman" w:hAnsi="Times New Roman"/>
          <w:bCs/>
          <w:szCs w:val="20"/>
        </w:rPr>
        <w:t>Керуючий</w:t>
      </w:r>
      <w:proofErr w:type="spellEnd"/>
      <w:r w:rsidRPr="00E16672">
        <w:rPr>
          <w:rFonts w:ascii="Times New Roman" w:hAnsi="Times New Roman"/>
          <w:szCs w:val="20"/>
        </w:rPr>
        <w:t xml:space="preserve"> </w:t>
      </w:r>
      <w:r w:rsidRPr="00E16672">
        <w:rPr>
          <w:rFonts w:ascii="Times New Roman" w:hAnsi="Times New Roman"/>
          <w:szCs w:val="20"/>
          <w:lang w:val="uk-UA"/>
        </w:rPr>
        <w:t>рахунком</w:t>
      </w:r>
      <w:r w:rsidRPr="00E16672">
        <w:rPr>
          <w:rFonts w:ascii="Times New Roman" w:hAnsi="Times New Roman"/>
          <w:szCs w:val="20"/>
        </w:rPr>
        <w:t xml:space="preserve"> </w:t>
      </w:r>
      <w:proofErr w:type="spellStart"/>
      <w:r w:rsidRPr="00E16672">
        <w:rPr>
          <w:rFonts w:ascii="Times New Roman" w:hAnsi="Times New Roman"/>
          <w:szCs w:val="20"/>
        </w:rPr>
        <w:t>бере</w:t>
      </w:r>
      <w:proofErr w:type="spellEnd"/>
      <w:r w:rsidRPr="00E16672">
        <w:rPr>
          <w:rFonts w:ascii="Times New Roman" w:hAnsi="Times New Roman"/>
          <w:szCs w:val="20"/>
        </w:rPr>
        <w:t xml:space="preserve"> на себе </w:t>
      </w:r>
      <w:proofErr w:type="spellStart"/>
      <w:r w:rsidRPr="00E16672">
        <w:rPr>
          <w:rFonts w:ascii="Times New Roman" w:hAnsi="Times New Roman"/>
          <w:szCs w:val="20"/>
        </w:rPr>
        <w:t>відповідальність</w:t>
      </w:r>
      <w:proofErr w:type="spellEnd"/>
      <w:r w:rsidRPr="00E16672">
        <w:rPr>
          <w:rFonts w:ascii="Times New Roman" w:hAnsi="Times New Roman"/>
          <w:szCs w:val="20"/>
        </w:rPr>
        <w:t xml:space="preserve"> за </w:t>
      </w:r>
      <w:proofErr w:type="spellStart"/>
      <w:r w:rsidRPr="00E16672">
        <w:rPr>
          <w:rFonts w:ascii="Times New Roman" w:hAnsi="Times New Roman"/>
          <w:szCs w:val="20"/>
        </w:rPr>
        <w:t>достовірність</w:t>
      </w:r>
      <w:proofErr w:type="spellEnd"/>
      <w:r w:rsidRPr="00E16672">
        <w:rPr>
          <w:rFonts w:ascii="Times New Roman" w:hAnsi="Times New Roman"/>
          <w:szCs w:val="20"/>
        </w:rPr>
        <w:t xml:space="preserve"> </w:t>
      </w:r>
      <w:proofErr w:type="spellStart"/>
      <w:r w:rsidRPr="00E16672">
        <w:rPr>
          <w:rFonts w:ascii="Times New Roman" w:hAnsi="Times New Roman"/>
          <w:szCs w:val="20"/>
        </w:rPr>
        <w:t>інформації</w:t>
      </w:r>
      <w:proofErr w:type="spellEnd"/>
      <w:r w:rsidRPr="00E16672">
        <w:rPr>
          <w:rFonts w:ascii="Times New Roman" w:hAnsi="Times New Roman"/>
          <w:szCs w:val="20"/>
        </w:rPr>
        <w:t xml:space="preserve">, </w:t>
      </w:r>
      <w:proofErr w:type="spellStart"/>
      <w:r w:rsidRPr="00E16672">
        <w:rPr>
          <w:rFonts w:ascii="Times New Roman" w:hAnsi="Times New Roman"/>
          <w:szCs w:val="20"/>
        </w:rPr>
        <w:t>що</w:t>
      </w:r>
      <w:proofErr w:type="spellEnd"/>
      <w:r w:rsidRPr="00E16672">
        <w:rPr>
          <w:rFonts w:ascii="Times New Roman" w:hAnsi="Times New Roman"/>
          <w:szCs w:val="20"/>
        </w:rPr>
        <w:t xml:space="preserve"> </w:t>
      </w:r>
      <w:proofErr w:type="spellStart"/>
      <w:r w:rsidRPr="00E16672">
        <w:rPr>
          <w:rFonts w:ascii="Times New Roman" w:hAnsi="Times New Roman"/>
          <w:szCs w:val="20"/>
        </w:rPr>
        <w:t>міститься</w:t>
      </w:r>
      <w:proofErr w:type="spellEnd"/>
      <w:r w:rsidRPr="00E16672">
        <w:rPr>
          <w:rFonts w:ascii="Times New Roman" w:hAnsi="Times New Roman"/>
          <w:szCs w:val="20"/>
        </w:rPr>
        <w:t xml:space="preserve"> в документах, </w:t>
      </w:r>
      <w:proofErr w:type="spellStart"/>
      <w:r w:rsidRPr="00E16672">
        <w:rPr>
          <w:rFonts w:ascii="Times New Roman" w:hAnsi="Times New Roman"/>
          <w:szCs w:val="20"/>
        </w:rPr>
        <w:t>які</w:t>
      </w:r>
      <w:proofErr w:type="spellEnd"/>
      <w:r w:rsidRPr="00E16672">
        <w:rPr>
          <w:rFonts w:ascii="Times New Roman" w:hAnsi="Times New Roman"/>
          <w:szCs w:val="20"/>
        </w:rPr>
        <w:t xml:space="preserve"> </w:t>
      </w:r>
      <w:proofErr w:type="spellStart"/>
      <w:r w:rsidRPr="00E16672">
        <w:rPr>
          <w:rFonts w:ascii="Times New Roman" w:hAnsi="Times New Roman"/>
          <w:szCs w:val="20"/>
        </w:rPr>
        <w:t>подаються</w:t>
      </w:r>
      <w:proofErr w:type="spellEnd"/>
      <w:r w:rsidRPr="00E16672">
        <w:rPr>
          <w:rFonts w:ascii="Times New Roman" w:hAnsi="Times New Roman"/>
          <w:szCs w:val="20"/>
        </w:rPr>
        <w:t xml:space="preserve"> </w:t>
      </w:r>
      <w:proofErr w:type="spellStart"/>
      <w:r w:rsidRPr="00E16672">
        <w:rPr>
          <w:rFonts w:ascii="Times New Roman" w:hAnsi="Times New Roman"/>
          <w:szCs w:val="20"/>
        </w:rPr>
        <w:t>Керуючим</w:t>
      </w:r>
      <w:proofErr w:type="spellEnd"/>
      <w:r w:rsidRPr="00E16672">
        <w:rPr>
          <w:rFonts w:ascii="Times New Roman" w:hAnsi="Times New Roman"/>
          <w:szCs w:val="20"/>
        </w:rPr>
        <w:t xml:space="preserve"> </w:t>
      </w:r>
      <w:r w:rsidRPr="00E16672">
        <w:rPr>
          <w:rFonts w:ascii="Times New Roman" w:hAnsi="Times New Roman"/>
          <w:szCs w:val="20"/>
          <w:lang w:val="uk-UA"/>
        </w:rPr>
        <w:t>рахунком</w:t>
      </w:r>
      <w:r w:rsidRPr="00E16672">
        <w:rPr>
          <w:rFonts w:ascii="Times New Roman" w:hAnsi="Times New Roman"/>
          <w:szCs w:val="20"/>
        </w:rPr>
        <w:t xml:space="preserve"> </w:t>
      </w:r>
      <w:proofErr w:type="spellStart"/>
      <w:r w:rsidRPr="00E16672">
        <w:rPr>
          <w:rFonts w:ascii="Times New Roman" w:hAnsi="Times New Roman"/>
          <w:szCs w:val="20"/>
        </w:rPr>
        <w:t>Депозитарній</w:t>
      </w:r>
      <w:proofErr w:type="spellEnd"/>
      <w:r w:rsidRPr="00E16672">
        <w:rPr>
          <w:rFonts w:ascii="Times New Roman" w:hAnsi="Times New Roman"/>
          <w:szCs w:val="20"/>
        </w:rPr>
        <w:t xml:space="preserve"> </w:t>
      </w:r>
      <w:proofErr w:type="spellStart"/>
      <w:r w:rsidRPr="00E16672">
        <w:rPr>
          <w:rFonts w:ascii="Times New Roman" w:hAnsi="Times New Roman"/>
          <w:szCs w:val="20"/>
        </w:rPr>
        <w:t>установі</w:t>
      </w:r>
      <w:proofErr w:type="spellEnd"/>
      <w:r w:rsidRPr="00E16672">
        <w:rPr>
          <w:rFonts w:ascii="Times New Roman" w:hAnsi="Times New Roman"/>
          <w:szCs w:val="20"/>
        </w:rPr>
        <w:t xml:space="preserve">, у тому </w:t>
      </w:r>
      <w:proofErr w:type="spellStart"/>
      <w:r w:rsidRPr="00E16672">
        <w:rPr>
          <w:rFonts w:ascii="Times New Roman" w:hAnsi="Times New Roman"/>
          <w:szCs w:val="20"/>
        </w:rPr>
        <w:t>числі</w:t>
      </w:r>
      <w:proofErr w:type="spellEnd"/>
      <w:r w:rsidRPr="00E16672">
        <w:rPr>
          <w:rFonts w:ascii="Times New Roman" w:hAnsi="Times New Roman"/>
          <w:szCs w:val="20"/>
        </w:rPr>
        <w:t xml:space="preserve"> документах, за </w:t>
      </w:r>
      <w:proofErr w:type="spellStart"/>
      <w:r w:rsidRPr="00E16672">
        <w:rPr>
          <w:rFonts w:ascii="Times New Roman" w:hAnsi="Times New Roman"/>
          <w:szCs w:val="20"/>
        </w:rPr>
        <w:t>якими</w:t>
      </w:r>
      <w:proofErr w:type="spellEnd"/>
      <w:r w:rsidRPr="00E16672">
        <w:rPr>
          <w:rFonts w:ascii="Times New Roman" w:hAnsi="Times New Roman"/>
          <w:szCs w:val="20"/>
        </w:rPr>
        <w:t xml:space="preserve"> </w:t>
      </w:r>
      <w:proofErr w:type="spellStart"/>
      <w:r w:rsidRPr="00E16672">
        <w:rPr>
          <w:rFonts w:ascii="Times New Roman" w:hAnsi="Times New Roman"/>
          <w:szCs w:val="20"/>
        </w:rPr>
        <w:t>Депозитарній</w:t>
      </w:r>
      <w:proofErr w:type="spellEnd"/>
      <w:r w:rsidRPr="00E16672">
        <w:rPr>
          <w:rFonts w:ascii="Times New Roman" w:hAnsi="Times New Roman"/>
          <w:szCs w:val="20"/>
        </w:rPr>
        <w:t xml:space="preserve"> </w:t>
      </w:r>
      <w:proofErr w:type="spellStart"/>
      <w:r w:rsidRPr="00E16672">
        <w:rPr>
          <w:rFonts w:ascii="Times New Roman" w:hAnsi="Times New Roman"/>
          <w:szCs w:val="20"/>
        </w:rPr>
        <w:t>установі</w:t>
      </w:r>
      <w:proofErr w:type="spellEnd"/>
      <w:r w:rsidRPr="00E16672">
        <w:rPr>
          <w:rFonts w:ascii="Times New Roman" w:hAnsi="Times New Roman"/>
          <w:szCs w:val="20"/>
        </w:rPr>
        <w:t xml:space="preserve"> </w:t>
      </w:r>
      <w:proofErr w:type="spellStart"/>
      <w:r w:rsidRPr="00E16672">
        <w:rPr>
          <w:rFonts w:ascii="Times New Roman" w:hAnsi="Times New Roman"/>
          <w:szCs w:val="20"/>
        </w:rPr>
        <w:t>Керуючим</w:t>
      </w:r>
      <w:proofErr w:type="spellEnd"/>
      <w:r w:rsidRPr="00E16672">
        <w:rPr>
          <w:rFonts w:ascii="Times New Roman" w:hAnsi="Times New Roman"/>
          <w:szCs w:val="20"/>
        </w:rPr>
        <w:t xml:space="preserve"> </w:t>
      </w:r>
      <w:r w:rsidRPr="00E16672">
        <w:rPr>
          <w:rFonts w:ascii="Times New Roman" w:hAnsi="Times New Roman"/>
          <w:szCs w:val="20"/>
          <w:lang w:val="uk-UA"/>
        </w:rPr>
        <w:t>рахунком</w:t>
      </w:r>
      <w:r w:rsidRPr="00E16672">
        <w:rPr>
          <w:rFonts w:ascii="Times New Roman" w:hAnsi="Times New Roman"/>
          <w:szCs w:val="20"/>
        </w:rPr>
        <w:t xml:space="preserve"> </w:t>
      </w:r>
      <w:proofErr w:type="spellStart"/>
      <w:r w:rsidRPr="00E16672">
        <w:rPr>
          <w:rFonts w:ascii="Times New Roman" w:hAnsi="Times New Roman"/>
          <w:szCs w:val="20"/>
        </w:rPr>
        <w:t>доручається</w:t>
      </w:r>
      <w:proofErr w:type="spellEnd"/>
      <w:r w:rsidRPr="00E16672">
        <w:rPr>
          <w:rFonts w:ascii="Times New Roman" w:hAnsi="Times New Roman"/>
          <w:szCs w:val="20"/>
        </w:rPr>
        <w:t xml:space="preserve"> </w:t>
      </w:r>
      <w:proofErr w:type="spellStart"/>
      <w:r w:rsidRPr="00E16672">
        <w:rPr>
          <w:rFonts w:ascii="Times New Roman" w:hAnsi="Times New Roman"/>
          <w:szCs w:val="20"/>
        </w:rPr>
        <w:t>проведення</w:t>
      </w:r>
      <w:proofErr w:type="spellEnd"/>
      <w:r w:rsidRPr="00E16672">
        <w:rPr>
          <w:rFonts w:ascii="Times New Roman" w:hAnsi="Times New Roman"/>
          <w:szCs w:val="20"/>
        </w:rPr>
        <w:t xml:space="preserve"> </w:t>
      </w:r>
      <w:proofErr w:type="spellStart"/>
      <w:r w:rsidRPr="00E16672">
        <w:rPr>
          <w:rFonts w:ascii="Times New Roman" w:hAnsi="Times New Roman"/>
          <w:szCs w:val="20"/>
        </w:rPr>
        <w:t>депозитарних</w:t>
      </w:r>
      <w:proofErr w:type="spellEnd"/>
      <w:r w:rsidRPr="00E16672">
        <w:rPr>
          <w:rFonts w:ascii="Times New Roman" w:hAnsi="Times New Roman"/>
          <w:szCs w:val="20"/>
        </w:rPr>
        <w:t xml:space="preserve"> </w:t>
      </w:r>
      <w:proofErr w:type="spellStart"/>
      <w:r w:rsidRPr="00E16672">
        <w:rPr>
          <w:rFonts w:ascii="Times New Roman" w:hAnsi="Times New Roman"/>
          <w:szCs w:val="20"/>
        </w:rPr>
        <w:t>операцій</w:t>
      </w:r>
      <w:proofErr w:type="spellEnd"/>
      <w:r w:rsidRPr="00E16672">
        <w:rPr>
          <w:rFonts w:ascii="Times New Roman" w:hAnsi="Times New Roman"/>
          <w:szCs w:val="20"/>
        </w:rPr>
        <w:t xml:space="preserve"> на </w:t>
      </w:r>
      <w:proofErr w:type="spellStart"/>
      <w:r w:rsidRPr="00E16672">
        <w:rPr>
          <w:rFonts w:ascii="Times New Roman" w:hAnsi="Times New Roman"/>
          <w:szCs w:val="20"/>
        </w:rPr>
        <w:t>рахунку</w:t>
      </w:r>
      <w:proofErr w:type="spellEnd"/>
      <w:r w:rsidRPr="00E16672">
        <w:rPr>
          <w:rFonts w:ascii="Times New Roman" w:hAnsi="Times New Roman"/>
          <w:szCs w:val="20"/>
        </w:rPr>
        <w:t xml:space="preserve"> Депонента.</w:t>
      </w:r>
    </w:p>
    <w:p w14:paraId="6B0AEC21" w14:textId="77777777" w:rsidR="000B00C3" w:rsidRPr="00E16672" w:rsidRDefault="000B00C3" w:rsidP="000B00C3">
      <w:pPr>
        <w:rPr>
          <w:rFonts w:ascii="Times New Roman" w:hAnsi="Times New Roman"/>
          <w:szCs w:val="20"/>
        </w:rPr>
      </w:pPr>
      <w:r w:rsidRPr="00E16672">
        <w:rPr>
          <w:rFonts w:ascii="Times New Roman" w:hAnsi="Times New Roman"/>
          <w:szCs w:val="20"/>
        </w:rPr>
        <w:lastRenderedPageBreak/>
        <w:t>8.</w:t>
      </w:r>
      <w:r w:rsidRPr="00E16672">
        <w:rPr>
          <w:rFonts w:ascii="Times New Roman" w:hAnsi="Times New Roman"/>
          <w:szCs w:val="20"/>
          <w:lang w:val="uk-UA"/>
        </w:rPr>
        <w:t>7</w:t>
      </w:r>
      <w:r w:rsidRPr="00E16672">
        <w:rPr>
          <w:rFonts w:ascii="Times New Roman" w:hAnsi="Times New Roman"/>
          <w:szCs w:val="20"/>
        </w:rPr>
        <w:t xml:space="preserve">. </w:t>
      </w:r>
      <w:proofErr w:type="spellStart"/>
      <w:r w:rsidRPr="00E16672">
        <w:rPr>
          <w:rFonts w:ascii="Times New Roman" w:hAnsi="Times New Roman"/>
          <w:szCs w:val="20"/>
        </w:rPr>
        <w:t>Укладення</w:t>
      </w:r>
      <w:proofErr w:type="spellEnd"/>
      <w:r w:rsidRPr="00E16672">
        <w:rPr>
          <w:rFonts w:ascii="Times New Roman" w:hAnsi="Times New Roman"/>
          <w:szCs w:val="20"/>
        </w:rPr>
        <w:t xml:space="preserve"> </w:t>
      </w:r>
      <w:proofErr w:type="spellStart"/>
      <w:r w:rsidRPr="00E16672">
        <w:rPr>
          <w:rFonts w:ascii="Times New Roman" w:hAnsi="Times New Roman"/>
          <w:szCs w:val="20"/>
        </w:rPr>
        <w:t>цього</w:t>
      </w:r>
      <w:proofErr w:type="spellEnd"/>
      <w:r w:rsidRPr="00E16672">
        <w:rPr>
          <w:rFonts w:ascii="Times New Roman" w:hAnsi="Times New Roman"/>
          <w:szCs w:val="20"/>
        </w:rPr>
        <w:t xml:space="preserve"> Договору не </w:t>
      </w:r>
      <w:proofErr w:type="spellStart"/>
      <w:r w:rsidRPr="00E16672">
        <w:rPr>
          <w:rFonts w:ascii="Times New Roman" w:hAnsi="Times New Roman"/>
          <w:szCs w:val="20"/>
        </w:rPr>
        <w:t>тягне</w:t>
      </w:r>
      <w:proofErr w:type="spellEnd"/>
      <w:r w:rsidRPr="00E16672">
        <w:rPr>
          <w:rFonts w:ascii="Times New Roman" w:hAnsi="Times New Roman"/>
          <w:szCs w:val="20"/>
        </w:rPr>
        <w:t xml:space="preserve"> за собою переходу прав на </w:t>
      </w:r>
      <w:proofErr w:type="spellStart"/>
      <w:r w:rsidRPr="00E16672">
        <w:rPr>
          <w:rFonts w:ascii="Times New Roman" w:hAnsi="Times New Roman"/>
          <w:szCs w:val="20"/>
        </w:rPr>
        <w:t>цінні</w:t>
      </w:r>
      <w:proofErr w:type="spellEnd"/>
      <w:r w:rsidRPr="00E16672">
        <w:rPr>
          <w:rFonts w:ascii="Times New Roman" w:hAnsi="Times New Roman"/>
          <w:szCs w:val="20"/>
        </w:rPr>
        <w:t xml:space="preserve"> </w:t>
      </w:r>
      <w:proofErr w:type="spellStart"/>
      <w:r w:rsidRPr="00E16672">
        <w:rPr>
          <w:rFonts w:ascii="Times New Roman" w:hAnsi="Times New Roman"/>
          <w:szCs w:val="20"/>
        </w:rPr>
        <w:t>папери</w:t>
      </w:r>
      <w:proofErr w:type="spellEnd"/>
      <w:r w:rsidRPr="00E16672">
        <w:rPr>
          <w:rFonts w:ascii="Times New Roman" w:hAnsi="Times New Roman"/>
          <w:szCs w:val="20"/>
        </w:rPr>
        <w:t xml:space="preserve"> та прав за </w:t>
      </w:r>
      <w:proofErr w:type="spellStart"/>
      <w:r w:rsidRPr="00E16672">
        <w:rPr>
          <w:rFonts w:ascii="Times New Roman" w:hAnsi="Times New Roman"/>
          <w:szCs w:val="20"/>
        </w:rPr>
        <w:t>цінними</w:t>
      </w:r>
      <w:proofErr w:type="spellEnd"/>
      <w:r w:rsidRPr="00E16672">
        <w:rPr>
          <w:rFonts w:ascii="Times New Roman" w:hAnsi="Times New Roman"/>
          <w:szCs w:val="20"/>
        </w:rPr>
        <w:t xml:space="preserve"> </w:t>
      </w:r>
      <w:proofErr w:type="spellStart"/>
      <w:r w:rsidRPr="00E16672">
        <w:rPr>
          <w:rFonts w:ascii="Times New Roman" w:hAnsi="Times New Roman"/>
          <w:szCs w:val="20"/>
        </w:rPr>
        <w:t>паперами</w:t>
      </w:r>
      <w:proofErr w:type="spellEnd"/>
      <w:r w:rsidRPr="00E16672">
        <w:rPr>
          <w:rFonts w:ascii="Times New Roman" w:hAnsi="Times New Roman"/>
          <w:szCs w:val="20"/>
        </w:rPr>
        <w:t xml:space="preserve"> Депонента до </w:t>
      </w:r>
      <w:proofErr w:type="spellStart"/>
      <w:r w:rsidRPr="00E16672">
        <w:rPr>
          <w:rFonts w:ascii="Times New Roman" w:hAnsi="Times New Roman"/>
          <w:szCs w:val="20"/>
        </w:rPr>
        <w:t>Депозитарної</w:t>
      </w:r>
      <w:proofErr w:type="spellEnd"/>
      <w:r w:rsidRPr="00E16672">
        <w:rPr>
          <w:rFonts w:ascii="Times New Roman" w:hAnsi="Times New Roman"/>
          <w:szCs w:val="20"/>
        </w:rPr>
        <w:t xml:space="preserve"> установи.</w:t>
      </w:r>
    </w:p>
    <w:p w14:paraId="1D11A8E0" w14:textId="77777777" w:rsidR="000B00C3" w:rsidRPr="00E16672" w:rsidRDefault="000B00C3" w:rsidP="000B00C3">
      <w:pPr>
        <w:pStyle w:val="af"/>
        <w:rPr>
          <w:rFonts w:ascii="Times New Roman" w:hAnsi="Times New Roman" w:cs="Times New Roman"/>
        </w:rPr>
      </w:pPr>
      <w:r w:rsidRPr="00E16672">
        <w:rPr>
          <w:rFonts w:ascii="Times New Roman" w:hAnsi="Times New Roman" w:cs="Times New Roman"/>
        </w:rPr>
        <w:t xml:space="preserve">8.8. Для набуття у Депозитарній установі статусу керуючого рахунком за рахунком </w:t>
      </w:r>
      <w:r w:rsidR="00C22309" w:rsidRPr="00E16672">
        <w:rPr>
          <w:rFonts w:ascii="Times New Roman" w:hAnsi="Times New Roman" w:cs="Times New Roman"/>
        </w:rPr>
        <w:t>в цін</w:t>
      </w:r>
      <w:r w:rsidRPr="00E16672">
        <w:rPr>
          <w:rFonts w:ascii="Times New Roman" w:hAnsi="Times New Roman" w:cs="Times New Roman"/>
        </w:rPr>
        <w:t xml:space="preserve">них паперах Депонента іншим суб'єктом управління об'єктами комунальної власності, який відповідно до законодавства виконує або виконуватиме функції з управління належними </w:t>
      </w:r>
      <w:proofErr w:type="spellStart"/>
      <w:r w:rsidRPr="00E16672">
        <w:rPr>
          <w:rFonts w:ascii="Times New Roman" w:hAnsi="Times New Roman" w:cs="Times New Roman"/>
        </w:rPr>
        <w:t>Депонент</w:t>
      </w:r>
      <w:r w:rsidR="00C22309" w:rsidRPr="00E16672">
        <w:rPr>
          <w:rFonts w:ascii="Times New Roman" w:hAnsi="Times New Roman" w:cs="Times New Roman"/>
        </w:rPr>
        <w:t>в</w:t>
      </w:r>
      <w:proofErr w:type="spellEnd"/>
      <w:r w:rsidR="00C22309" w:rsidRPr="00E16672">
        <w:rPr>
          <w:rFonts w:ascii="Times New Roman" w:hAnsi="Times New Roman" w:cs="Times New Roman"/>
        </w:rPr>
        <w:t xml:space="preserve"> цін</w:t>
      </w:r>
      <w:r w:rsidRPr="00E16672">
        <w:rPr>
          <w:rFonts w:ascii="Times New Roman" w:hAnsi="Times New Roman" w:cs="Times New Roman"/>
        </w:rPr>
        <w:t xml:space="preserve">ними паперами, такий суб'єкт управління  об'єктами державної власності від імені Депонента повинен укласти із Депозитарною установою додатковий договір до договору про обслуговування рахунку на ім'я територіальної громади, на підставі якого цей рахунок був відкритий, із зазначенням у ньому всіх умов цього Договору, крім вимог підпункту 2.1.1 пункту 2.1 розділу II цього договору, та надати Депозитарній установі документи, передбачені законодавством та внутрішніми документами Депозитарної установи. </w:t>
      </w:r>
    </w:p>
    <w:p w14:paraId="49885432" w14:textId="77777777" w:rsidR="000B00C3" w:rsidRPr="00E16672" w:rsidRDefault="000B00C3" w:rsidP="000B00C3">
      <w:pPr>
        <w:rPr>
          <w:rFonts w:ascii="Times New Roman" w:hAnsi="Times New Roman"/>
          <w:szCs w:val="20"/>
        </w:rPr>
      </w:pPr>
      <w:r w:rsidRPr="00E16672">
        <w:rPr>
          <w:rFonts w:ascii="Times New Roman" w:hAnsi="Times New Roman"/>
          <w:szCs w:val="20"/>
          <w:lang w:val="uk-UA"/>
        </w:rPr>
        <w:t xml:space="preserve">8.9. </w:t>
      </w:r>
      <w:proofErr w:type="spellStart"/>
      <w:r w:rsidRPr="00E16672">
        <w:rPr>
          <w:rFonts w:ascii="Times New Roman" w:hAnsi="Times New Roman"/>
          <w:szCs w:val="20"/>
        </w:rPr>
        <w:t>Закриття</w:t>
      </w:r>
      <w:proofErr w:type="spellEnd"/>
      <w:r w:rsidRPr="00E16672">
        <w:rPr>
          <w:rFonts w:ascii="Times New Roman" w:hAnsi="Times New Roman"/>
          <w:szCs w:val="20"/>
        </w:rPr>
        <w:t xml:space="preserve"> </w:t>
      </w:r>
      <w:proofErr w:type="spellStart"/>
      <w:r w:rsidRPr="00E16672">
        <w:rPr>
          <w:rFonts w:ascii="Times New Roman" w:hAnsi="Times New Roman"/>
          <w:szCs w:val="20"/>
        </w:rPr>
        <w:t>рахунків</w:t>
      </w:r>
      <w:proofErr w:type="spellEnd"/>
      <w:r w:rsidRPr="00E16672">
        <w:rPr>
          <w:rFonts w:ascii="Times New Roman" w:hAnsi="Times New Roman"/>
          <w:szCs w:val="20"/>
        </w:rPr>
        <w:t xml:space="preserve"> </w:t>
      </w:r>
      <w:r w:rsidR="00C22309" w:rsidRPr="00E16672">
        <w:rPr>
          <w:rFonts w:ascii="Times New Roman" w:hAnsi="Times New Roman"/>
          <w:szCs w:val="20"/>
        </w:rPr>
        <w:t xml:space="preserve">в </w:t>
      </w:r>
      <w:proofErr w:type="spellStart"/>
      <w:r w:rsidR="00C22309" w:rsidRPr="00E16672">
        <w:rPr>
          <w:rFonts w:ascii="Times New Roman" w:hAnsi="Times New Roman"/>
          <w:szCs w:val="20"/>
        </w:rPr>
        <w:t>цін</w:t>
      </w:r>
      <w:r w:rsidRPr="00E16672">
        <w:rPr>
          <w:rFonts w:ascii="Times New Roman" w:hAnsi="Times New Roman"/>
          <w:szCs w:val="20"/>
        </w:rPr>
        <w:t>них</w:t>
      </w:r>
      <w:proofErr w:type="spellEnd"/>
      <w:r w:rsidRPr="00E16672">
        <w:rPr>
          <w:rFonts w:ascii="Times New Roman" w:hAnsi="Times New Roman"/>
          <w:szCs w:val="20"/>
        </w:rPr>
        <w:t xml:space="preserve"> </w:t>
      </w:r>
      <w:proofErr w:type="spellStart"/>
      <w:r w:rsidRPr="00E16672">
        <w:rPr>
          <w:rFonts w:ascii="Times New Roman" w:hAnsi="Times New Roman"/>
          <w:szCs w:val="20"/>
        </w:rPr>
        <w:t>паперах</w:t>
      </w:r>
      <w:proofErr w:type="spellEnd"/>
      <w:r w:rsidRPr="00E16672">
        <w:rPr>
          <w:rFonts w:ascii="Times New Roman" w:hAnsi="Times New Roman"/>
          <w:szCs w:val="20"/>
        </w:rPr>
        <w:t xml:space="preserve"> </w:t>
      </w:r>
      <w:proofErr w:type="spellStart"/>
      <w:r w:rsidRPr="00E16672">
        <w:rPr>
          <w:rFonts w:ascii="Times New Roman" w:hAnsi="Times New Roman"/>
          <w:szCs w:val="20"/>
        </w:rPr>
        <w:t>відбувається</w:t>
      </w:r>
      <w:proofErr w:type="spellEnd"/>
      <w:r w:rsidRPr="00E16672">
        <w:rPr>
          <w:rFonts w:ascii="Times New Roman" w:hAnsi="Times New Roman"/>
          <w:szCs w:val="20"/>
        </w:rPr>
        <w:t xml:space="preserve"> за </w:t>
      </w:r>
      <w:proofErr w:type="spellStart"/>
      <w:r w:rsidRPr="00E16672">
        <w:rPr>
          <w:rFonts w:ascii="Times New Roman" w:hAnsi="Times New Roman"/>
          <w:szCs w:val="20"/>
        </w:rPr>
        <w:t>розпорядженням</w:t>
      </w:r>
      <w:proofErr w:type="spellEnd"/>
      <w:r w:rsidRPr="00E16672">
        <w:rPr>
          <w:rFonts w:ascii="Times New Roman" w:hAnsi="Times New Roman"/>
          <w:szCs w:val="20"/>
        </w:rPr>
        <w:t xml:space="preserve"> </w:t>
      </w:r>
      <w:proofErr w:type="spellStart"/>
      <w:r w:rsidRPr="00E16672">
        <w:rPr>
          <w:rFonts w:ascii="Times New Roman" w:hAnsi="Times New Roman"/>
          <w:szCs w:val="20"/>
        </w:rPr>
        <w:t>ініціатора</w:t>
      </w:r>
      <w:proofErr w:type="spellEnd"/>
      <w:r w:rsidRPr="00E16672">
        <w:rPr>
          <w:rFonts w:ascii="Times New Roman" w:hAnsi="Times New Roman"/>
          <w:szCs w:val="20"/>
        </w:rPr>
        <w:t xml:space="preserve"> </w:t>
      </w:r>
      <w:proofErr w:type="spellStart"/>
      <w:r w:rsidRPr="00E16672">
        <w:rPr>
          <w:rFonts w:ascii="Times New Roman" w:hAnsi="Times New Roman"/>
          <w:szCs w:val="20"/>
        </w:rPr>
        <w:t>депозитарної</w:t>
      </w:r>
      <w:proofErr w:type="spellEnd"/>
      <w:r w:rsidRPr="00E16672">
        <w:rPr>
          <w:rFonts w:ascii="Times New Roman" w:hAnsi="Times New Roman"/>
          <w:szCs w:val="20"/>
        </w:rPr>
        <w:t xml:space="preserve"> </w:t>
      </w:r>
      <w:proofErr w:type="spellStart"/>
      <w:r w:rsidRPr="00E16672">
        <w:rPr>
          <w:rFonts w:ascii="Times New Roman" w:hAnsi="Times New Roman"/>
          <w:szCs w:val="20"/>
        </w:rPr>
        <w:t>операції</w:t>
      </w:r>
      <w:proofErr w:type="spellEnd"/>
      <w:r w:rsidRPr="00E16672">
        <w:rPr>
          <w:rFonts w:ascii="Times New Roman" w:hAnsi="Times New Roman"/>
          <w:szCs w:val="20"/>
          <w:lang w:val="uk-UA"/>
        </w:rPr>
        <w:t xml:space="preserve">крім випадків, встановлених цим Договором та законом. </w:t>
      </w:r>
      <w:proofErr w:type="spellStart"/>
      <w:r w:rsidRPr="00E16672">
        <w:rPr>
          <w:rFonts w:ascii="Times New Roman" w:hAnsi="Times New Roman"/>
          <w:szCs w:val="20"/>
        </w:rPr>
        <w:t>Обов’язковою</w:t>
      </w:r>
      <w:proofErr w:type="spellEnd"/>
      <w:r w:rsidRPr="00E16672">
        <w:rPr>
          <w:rFonts w:ascii="Times New Roman" w:hAnsi="Times New Roman"/>
          <w:szCs w:val="20"/>
        </w:rPr>
        <w:t xml:space="preserve"> </w:t>
      </w:r>
      <w:proofErr w:type="spellStart"/>
      <w:r w:rsidRPr="00E16672">
        <w:rPr>
          <w:rFonts w:ascii="Times New Roman" w:hAnsi="Times New Roman"/>
          <w:szCs w:val="20"/>
        </w:rPr>
        <w:t>умовою</w:t>
      </w:r>
      <w:proofErr w:type="spellEnd"/>
      <w:r w:rsidRPr="00E16672">
        <w:rPr>
          <w:rFonts w:ascii="Times New Roman" w:hAnsi="Times New Roman"/>
          <w:szCs w:val="20"/>
        </w:rPr>
        <w:t xml:space="preserve"> </w:t>
      </w:r>
      <w:proofErr w:type="spellStart"/>
      <w:r w:rsidRPr="00E16672">
        <w:rPr>
          <w:rFonts w:ascii="Times New Roman" w:hAnsi="Times New Roman"/>
          <w:szCs w:val="20"/>
        </w:rPr>
        <w:t>закриття</w:t>
      </w:r>
      <w:proofErr w:type="spellEnd"/>
      <w:r w:rsidRPr="00E16672">
        <w:rPr>
          <w:rFonts w:ascii="Times New Roman" w:hAnsi="Times New Roman"/>
          <w:szCs w:val="20"/>
        </w:rPr>
        <w:t xml:space="preserve"> </w:t>
      </w:r>
      <w:proofErr w:type="spellStart"/>
      <w:r w:rsidRPr="00E16672">
        <w:rPr>
          <w:rFonts w:ascii="Times New Roman" w:hAnsi="Times New Roman"/>
          <w:szCs w:val="20"/>
        </w:rPr>
        <w:t>рахунку</w:t>
      </w:r>
      <w:proofErr w:type="spellEnd"/>
      <w:r w:rsidRPr="00E16672">
        <w:rPr>
          <w:rFonts w:ascii="Times New Roman" w:hAnsi="Times New Roman"/>
          <w:szCs w:val="20"/>
        </w:rPr>
        <w:t xml:space="preserve"> в </w:t>
      </w:r>
      <w:proofErr w:type="spellStart"/>
      <w:r w:rsidRPr="00E16672">
        <w:rPr>
          <w:rFonts w:ascii="Times New Roman" w:hAnsi="Times New Roman"/>
          <w:szCs w:val="20"/>
        </w:rPr>
        <w:t>цінних</w:t>
      </w:r>
      <w:proofErr w:type="spellEnd"/>
      <w:r w:rsidRPr="00E16672">
        <w:rPr>
          <w:rFonts w:ascii="Times New Roman" w:hAnsi="Times New Roman"/>
          <w:szCs w:val="20"/>
        </w:rPr>
        <w:t xml:space="preserve"> </w:t>
      </w:r>
      <w:proofErr w:type="spellStart"/>
      <w:r w:rsidRPr="00E16672">
        <w:rPr>
          <w:rFonts w:ascii="Times New Roman" w:hAnsi="Times New Roman"/>
          <w:szCs w:val="20"/>
        </w:rPr>
        <w:t>паперах</w:t>
      </w:r>
      <w:proofErr w:type="spellEnd"/>
      <w:r w:rsidRPr="00E16672">
        <w:rPr>
          <w:rFonts w:ascii="Times New Roman" w:hAnsi="Times New Roman"/>
          <w:szCs w:val="20"/>
        </w:rPr>
        <w:t xml:space="preserve"> </w:t>
      </w:r>
      <w:proofErr w:type="spellStart"/>
      <w:r w:rsidRPr="00E16672">
        <w:rPr>
          <w:rFonts w:ascii="Times New Roman" w:hAnsi="Times New Roman"/>
          <w:szCs w:val="20"/>
        </w:rPr>
        <w:t>має</w:t>
      </w:r>
      <w:proofErr w:type="spellEnd"/>
      <w:r w:rsidRPr="00E16672">
        <w:rPr>
          <w:rFonts w:ascii="Times New Roman" w:hAnsi="Times New Roman"/>
          <w:szCs w:val="20"/>
        </w:rPr>
        <w:t xml:space="preserve"> бути </w:t>
      </w:r>
      <w:proofErr w:type="spellStart"/>
      <w:r w:rsidRPr="00E16672">
        <w:rPr>
          <w:rFonts w:ascii="Times New Roman" w:hAnsi="Times New Roman"/>
          <w:szCs w:val="20"/>
        </w:rPr>
        <w:t>відсутність</w:t>
      </w:r>
      <w:proofErr w:type="spellEnd"/>
      <w:r w:rsidRPr="00E16672">
        <w:rPr>
          <w:rFonts w:ascii="Times New Roman" w:hAnsi="Times New Roman"/>
          <w:szCs w:val="20"/>
        </w:rPr>
        <w:t xml:space="preserve"> в </w:t>
      </w:r>
      <w:proofErr w:type="spellStart"/>
      <w:r w:rsidRPr="00E16672">
        <w:rPr>
          <w:rFonts w:ascii="Times New Roman" w:hAnsi="Times New Roman"/>
          <w:szCs w:val="20"/>
        </w:rPr>
        <w:t>облік</w:t>
      </w:r>
      <w:r w:rsidR="00C22309" w:rsidRPr="00E16672">
        <w:rPr>
          <w:rFonts w:ascii="Times New Roman" w:hAnsi="Times New Roman"/>
          <w:szCs w:val="20"/>
        </w:rPr>
        <w:t>в</w:t>
      </w:r>
      <w:proofErr w:type="spellEnd"/>
      <w:r w:rsidR="00C22309" w:rsidRPr="00E16672">
        <w:rPr>
          <w:rFonts w:ascii="Times New Roman" w:hAnsi="Times New Roman"/>
          <w:szCs w:val="20"/>
        </w:rPr>
        <w:t xml:space="preserve"> </w:t>
      </w:r>
      <w:proofErr w:type="spellStart"/>
      <w:r w:rsidR="00C22309" w:rsidRPr="00E16672">
        <w:rPr>
          <w:rFonts w:ascii="Times New Roman" w:hAnsi="Times New Roman"/>
          <w:szCs w:val="20"/>
        </w:rPr>
        <w:t>цін</w:t>
      </w:r>
      <w:r w:rsidRPr="00E16672">
        <w:rPr>
          <w:rFonts w:ascii="Times New Roman" w:hAnsi="Times New Roman"/>
          <w:szCs w:val="20"/>
        </w:rPr>
        <w:t>них</w:t>
      </w:r>
      <w:proofErr w:type="spellEnd"/>
      <w:r w:rsidRPr="00E16672">
        <w:rPr>
          <w:rFonts w:ascii="Times New Roman" w:hAnsi="Times New Roman"/>
          <w:szCs w:val="20"/>
        </w:rPr>
        <w:t xml:space="preserve"> </w:t>
      </w:r>
      <w:proofErr w:type="spellStart"/>
      <w:r w:rsidRPr="00E16672">
        <w:rPr>
          <w:rFonts w:ascii="Times New Roman" w:hAnsi="Times New Roman"/>
          <w:szCs w:val="20"/>
        </w:rPr>
        <w:t>паперів</w:t>
      </w:r>
      <w:proofErr w:type="spellEnd"/>
      <w:r w:rsidRPr="00E16672">
        <w:rPr>
          <w:rFonts w:ascii="Times New Roman" w:hAnsi="Times New Roman"/>
          <w:szCs w:val="20"/>
        </w:rPr>
        <w:t xml:space="preserve">, прав на </w:t>
      </w:r>
      <w:proofErr w:type="spellStart"/>
      <w:r w:rsidRPr="00E16672">
        <w:rPr>
          <w:rFonts w:ascii="Times New Roman" w:hAnsi="Times New Roman"/>
          <w:szCs w:val="20"/>
        </w:rPr>
        <w:t>цінні</w:t>
      </w:r>
      <w:proofErr w:type="spellEnd"/>
      <w:r w:rsidRPr="00E16672">
        <w:rPr>
          <w:rFonts w:ascii="Times New Roman" w:hAnsi="Times New Roman"/>
          <w:szCs w:val="20"/>
        </w:rPr>
        <w:t xml:space="preserve"> </w:t>
      </w:r>
      <w:proofErr w:type="spellStart"/>
      <w:r w:rsidRPr="00E16672">
        <w:rPr>
          <w:rFonts w:ascii="Times New Roman" w:hAnsi="Times New Roman"/>
          <w:szCs w:val="20"/>
        </w:rPr>
        <w:t>папери</w:t>
      </w:r>
      <w:proofErr w:type="spellEnd"/>
      <w:r w:rsidRPr="00E16672">
        <w:rPr>
          <w:rFonts w:ascii="Times New Roman" w:hAnsi="Times New Roman"/>
          <w:szCs w:val="20"/>
        </w:rPr>
        <w:t>.</w:t>
      </w:r>
    </w:p>
    <w:p w14:paraId="0E12CC32" w14:textId="77777777" w:rsidR="000B00C3" w:rsidRPr="00E16672" w:rsidRDefault="000B00C3" w:rsidP="000B00C3">
      <w:pPr>
        <w:pStyle w:val="32"/>
        <w:ind w:firstLine="555"/>
        <w:rPr>
          <w:rFonts w:ascii="Times New Roman" w:hAnsi="Times New Roman"/>
          <w:sz w:val="20"/>
          <w:lang w:val="uk-UA"/>
        </w:rPr>
      </w:pPr>
      <w:r w:rsidRPr="00E16672">
        <w:rPr>
          <w:rFonts w:ascii="Times New Roman" w:hAnsi="Times New Roman"/>
          <w:sz w:val="20"/>
          <w:lang w:val="uk-UA"/>
        </w:rPr>
        <w:t>8.10. Інші питання, які не регулюються положеннями цього Договору, регулюються чинним законодавством України та внутрішніми документами Депозитарної установи.</w:t>
      </w:r>
    </w:p>
    <w:p w14:paraId="02305F54" w14:textId="77777777" w:rsidR="000B00C3" w:rsidRPr="00E16672" w:rsidRDefault="000B00C3" w:rsidP="007974E8">
      <w:pPr>
        <w:jc w:val="center"/>
        <w:rPr>
          <w:rFonts w:ascii="Times New Roman" w:hAnsi="Times New Roman"/>
          <w:b/>
          <w:bCs/>
          <w:color w:val="000000"/>
          <w:szCs w:val="20"/>
          <w:lang w:val="uk-UA"/>
        </w:rPr>
      </w:pPr>
    </w:p>
    <w:p w14:paraId="14C5BFBB" w14:textId="77777777" w:rsidR="007974E8" w:rsidRPr="00E16672" w:rsidRDefault="007974E8" w:rsidP="007974E8">
      <w:pPr>
        <w:jc w:val="center"/>
        <w:rPr>
          <w:rFonts w:ascii="Times New Roman" w:hAnsi="Times New Roman"/>
          <w:b/>
          <w:bCs/>
          <w:color w:val="000000"/>
          <w:szCs w:val="20"/>
          <w:lang w:val="uk-UA"/>
        </w:rPr>
      </w:pPr>
      <w:r w:rsidRPr="00E16672">
        <w:rPr>
          <w:rFonts w:ascii="Times New Roman" w:hAnsi="Times New Roman"/>
          <w:b/>
          <w:bCs/>
          <w:color w:val="000000"/>
          <w:szCs w:val="20"/>
          <w:lang w:val="uk-UA"/>
        </w:rPr>
        <w:t>9. Форс-мажор</w:t>
      </w:r>
    </w:p>
    <w:p w14:paraId="015934D8" w14:textId="77777777" w:rsidR="007974E8" w:rsidRPr="00E16672" w:rsidRDefault="007974E8" w:rsidP="007974E8">
      <w:pPr>
        <w:rPr>
          <w:rFonts w:ascii="Times New Roman" w:hAnsi="Times New Roman"/>
          <w:color w:val="000000"/>
          <w:szCs w:val="20"/>
        </w:rPr>
      </w:pPr>
      <w:r w:rsidRPr="00E16672">
        <w:rPr>
          <w:rFonts w:ascii="Times New Roman" w:hAnsi="Times New Roman"/>
          <w:color w:val="000000"/>
          <w:szCs w:val="20"/>
          <w:lang w:val="uk-UA"/>
        </w:rPr>
        <w:t xml:space="preserve">9.1. Сторони звільняються від відповідальності за часткове або повне невиконання зобов’язань по цьому Договору (див.п.9.4.), якщо це виконання унеможливив вплив обставин непереборної сили, тобто надзвичайних і невідворотних за даних умов подій: стихійного лиха, аварії, пожежі, вихід із ладу мереж зв’язку та системи електропостачання, масових порушень правопорядку, страйків, військових дій, протиправних дій третіх осіб (крім дій працівників Сторони) чи інших обставин, що виникли після підписання Договору та не залежать від волевиявлення Сторін. </w:t>
      </w:r>
      <w:r w:rsidRPr="00E16672">
        <w:rPr>
          <w:rFonts w:ascii="Times New Roman" w:hAnsi="Times New Roman"/>
          <w:color w:val="000000"/>
          <w:szCs w:val="20"/>
        </w:rPr>
        <w:t xml:space="preserve">Не є </w:t>
      </w:r>
      <w:proofErr w:type="spellStart"/>
      <w:r w:rsidRPr="00E16672">
        <w:rPr>
          <w:rFonts w:ascii="Times New Roman" w:hAnsi="Times New Roman"/>
          <w:color w:val="000000"/>
          <w:szCs w:val="20"/>
        </w:rPr>
        <w:t>непереборною</w:t>
      </w:r>
      <w:proofErr w:type="spellEnd"/>
      <w:r w:rsidRPr="00E16672">
        <w:rPr>
          <w:rFonts w:ascii="Times New Roman" w:hAnsi="Times New Roman"/>
          <w:color w:val="000000"/>
          <w:szCs w:val="20"/>
        </w:rPr>
        <w:t xml:space="preserve"> силою </w:t>
      </w:r>
      <w:proofErr w:type="spellStart"/>
      <w:r w:rsidRPr="00E16672">
        <w:rPr>
          <w:rFonts w:ascii="Times New Roman" w:hAnsi="Times New Roman"/>
          <w:color w:val="000000"/>
          <w:szCs w:val="20"/>
        </w:rPr>
        <w:t>недодержання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своїх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обов’язків</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іншими</w:t>
      </w:r>
      <w:proofErr w:type="spellEnd"/>
      <w:r w:rsidRPr="00E16672">
        <w:rPr>
          <w:rFonts w:ascii="Times New Roman" w:hAnsi="Times New Roman"/>
          <w:color w:val="000000"/>
          <w:szCs w:val="20"/>
        </w:rPr>
        <w:t xml:space="preserve"> контрагентами </w:t>
      </w:r>
      <w:proofErr w:type="spellStart"/>
      <w:r w:rsidRPr="00E16672">
        <w:rPr>
          <w:rFonts w:ascii="Times New Roman" w:hAnsi="Times New Roman"/>
          <w:color w:val="000000"/>
          <w:szCs w:val="20"/>
        </w:rPr>
        <w:t>однієї</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зі</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Сторін</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чи</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відсутність</w:t>
      </w:r>
      <w:proofErr w:type="spellEnd"/>
      <w:r w:rsidRPr="00E16672">
        <w:rPr>
          <w:rFonts w:ascii="Times New Roman" w:hAnsi="Times New Roman"/>
          <w:color w:val="000000"/>
          <w:szCs w:val="20"/>
        </w:rPr>
        <w:t xml:space="preserve"> у </w:t>
      </w:r>
      <w:proofErr w:type="spellStart"/>
      <w:r w:rsidRPr="00E16672">
        <w:rPr>
          <w:rFonts w:ascii="Times New Roman" w:hAnsi="Times New Roman"/>
          <w:color w:val="000000"/>
          <w:szCs w:val="20"/>
        </w:rPr>
        <w:t>Сторони</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достатніх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коштів</w:t>
      </w:r>
      <w:proofErr w:type="spellEnd"/>
      <w:r w:rsidRPr="00E16672">
        <w:rPr>
          <w:rFonts w:ascii="Times New Roman" w:hAnsi="Times New Roman"/>
          <w:color w:val="000000"/>
          <w:szCs w:val="20"/>
        </w:rPr>
        <w:t>.</w:t>
      </w:r>
    </w:p>
    <w:p w14:paraId="564CE6A8" w14:textId="77777777" w:rsidR="007974E8" w:rsidRPr="00E16672" w:rsidRDefault="007974E8" w:rsidP="007974E8">
      <w:pPr>
        <w:rPr>
          <w:rFonts w:ascii="Times New Roman" w:hAnsi="Times New Roman"/>
          <w:color w:val="000000"/>
          <w:szCs w:val="20"/>
        </w:rPr>
      </w:pPr>
      <w:r w:rsidRPr="00E16672">
        <w:rPr>
          <w:rFonts w:ascii="Times New Roman" w:hAnsi="Times New Roman"/>
          <w:color w:val="000000"/>
          <w:szCs w:val="20"/>
        </w:rPr>
        <w:t xml:space="preserve">9.2. У </w:t>
      </w:r>
      <w:proofErr w:type="spellStart"/>
      <w:r w:rsidRPr="00E16672">
        <w:rPr>
          <w:rFonts w:ascii="Times New Roman" w:hAnsi="Times New Roman"/>
          <w:color w:val="000000"/>
          <w:szCs w:val="20"/>
        </w:rPr>
        <w:t>випадку</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виникнення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обставин</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непереборної</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сили</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термін</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виконання</w:t>
      </w:r>
      <w:proofErr w:type="spellEnd"/>
      <w:r w:rsidRPr="00E16672">
        <w:rPr>
          <w:rFonts w:ascii="Times New Roman" w:hAnsi="Times New Roman"/>
          <w:color w:val="000000"/>
          <w:szCs w:val="20"/>
        </w:rPr>
        <w:t xml:space="preserve"> Сторонами </w:t>
      </w:r>
      <w:proofErr w:type="spellStart"/>
      <w:r w:rsidRPr="00E16672">
        <w:rPr>
          <w:rFonts w:ascii="Times New Roman" w:hAnsi="Times New Roman"/>
          <w:color w:val="000000"/>
          <w:szCs w:val="20"/>
        </w:rPr>
        <w:t>обов`язків</w:t>
      </w:r>
      <w:proofErr w:type="spellEnd"/>
      <w:r w:rsidRPr="00E16672">
        <w:rPr>
          <w:rFonts w:ascii="Times New Roman" w:hAnsi="Times New Roman"/>
          <w:color w:val="000000"/>
          <w:szCs w:val="20"/>
        </w:rPr>
        <w:t xml:space="preserve"> по </w:t>
      </w:r>
      <w:proofErr w:type="spellStart"/>
      <w:r w:rsidRPr="00E16672">
        <w:rPr>
          <w:rFonts w:ascii="Times New Roman" w:hAnsi="Times New Roman"/>
          <w:color w:val="000000"/>
          <w:szCs w:val="20"/>
        </w:rPr>
        <w:t>цьому</w:t>
      </w:r>
      <w:proofErr w:type="spellEnd"/>
      <w:r w:rsidRPr="00E16672">
        <w:rPr>
          <w:rFonts w:ascii="Times New Roman" w:hAnsi="Times New Roman"/>
          <w:color w:val="000000"/>
          <w:szCs w:val="20"/>
        </w:rPr>
        <w:t xml:space="preserve"> Договору </w:t>
      </w:r>
      <w:proofErr w:type="spellStart"/>
      <w:r w:rsidRPr="00E16672">
        <w:rPr>
          <w:rFonts w:ascii="Times New Roman" w:hAnsi="Times New Roman"/>
          <w:color w:val="000000"/>
          <w:szCs w:val="20"/>
        </w:rPr>
        <w:t>відкладається</w:t>
      </w:r>
      <w:proofErr w:type="spellEnd"/>
      <w:r w:rsidRPr="00E16672">
        <w:rPr>
          <w:rFonts w:ascii="Times New Roman" w:hAnsi="Times New Roman"/>
          <w:color w:val="000000"/>
          <w:szCs w:val="20"/>
        </w:rPr>
        <w:t xml:space="preserve"> на </w:t>
      </w:r>
      <w:proofErr w:type="spellStart"/>
      <w:r w:rsidRPr="00E16672">
        <w:rPr>
          <w:rFonts w:ascii="Times New Roman" w:hAnsi="Times New Roman"/>
          <w:color w:val="000000"/>
          <w:szCs w:val="20"/>
        </w:rPr>
        <w:t>термін</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протягом</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якого</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діють</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такі</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обставини</w:t>
      </w:r>
      <w:proofErr w:type="spellEnd"/>
      <w:r w:rsidRPr="00E16672">
        <w:rPr>
          <w:rFonts w:ascii="Times New Roman" w:hAnsi="Times New Roman"/>
          <w:color w:val="000000"/>
          <w:szCs w:val="20"/>
        </w:rPr>
        <w:t xml:space="preserve"> та </w:t>
      </w:r>
      <w:proofErr w:type="spellStart"/>
      <w:r w:rsidRPr="00E16672">
        <w:rPr>
          <w:rFonts w:ascii="Times New Roman" w:hAnsi="Times New Roman"/>
          <w:color w:val="000000"/>
          <w:szCs w:val="20"/>
        </w:rPr>
        <w:t>їх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наслідки</w:t>
      </w:r>
      <w:proofErr w:type="spellEnd"/>
      <w:r w:rsidRPr="00E16672">
        <w:rPr>
          <w:rFonts w:ascii="Times New Roman" w:hAnsi="Times New Roman"/>
          <w:color w:val="000000"/>
          <w:szCs w:val="20"/>
        </w:rPr>
        <w:t>.</w:t>
      </w:r>
    </w:p>
    <w:p w14:paraId="5F39B0F8" w14:textId="77777777" w:rsidR="007974E8" w:rsidRPr="00E16672" w:rsidRDefault="007974E8" w:rsidP="007974E8">
      <w:pPr>
        <w:rPr>
          <w:rFonts w:ascii="Times New Roman" w:hAnsi="Times New Roman"/>
          <w:color w:val="000000"/>
          <w:szCs w:val="20"/>
        </w:rPr>
      </w:pPr>
      <w:r w:rsidRPr="00E16672">
        <w:rPr>
          <w:rFonts w:ascii="Times New Roman" w:hAnsi="Times New Roman"/>
          <w:color w:val="000000"/>
          <w:szCs w:val="20"/>
        </w:rPr>
        <w:t xml:space="preserve">9.3. </w:t>
      </w:r>
      <w:proofErr w:type="spellStart"/>
      <w:r w:rsidRPr="00E16672">
        <w:rPr>
          <w:rFonts w:ascii="Times New Roman" w:hAnsi="Times New Roman"/>
          <w:color w:val="000000"/>
          <w:szCs w:val="20"/>
        </w:rPr>
        <w:t>Сторони</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зобов`язуються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після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настання</w:t>
      </w:r>
      <w:proofErr w:type="spellEnd"/>
      <w:r w:rsidRPr="00E16672">
        <w:rPr>
          <w:rFonts w:ascii="Times New Roman" w:hAnsi="Times New Roman"/>
          <w:color w:val="000000"/>
          <w:szCs w:val="20"/>
        </w:rPr>
        <w:t xml:space="preserve"> форс-</w:t>
      </w:r>
      <w:proofErr w:type="spellStart"/>
      <w:r w:rsidRPr="00E16672">
        <w:rPr>
          <w:rFonts w:ascii="Times New Roman" w:hAnsi="Times New Roman"/>
          <w:color w:val="000000"/>
          <w:szCs w:val="20"/>
        </w:rPr>
        <w:t>мажорних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обставин</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вжити</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всі</w:t>
      </w:r>
      <w:proofErr w:type="spellEnd"/>
      <w:r w:rsidRPr="00E16672">
        <w:rPr>
          <w:rFonts w:ascii="Times New Roman" w:hAnsi="Times New Roman"/>
          <w:color w:val="000000"/>
          <w:szCs w:val="20"/>
        </w:rPr>
        <w:t xml:space="preserve"> заходи для </w:t>
      </w:r>
      <w:proofErr w:type="spellStart"/>
      <w:r w:rsidRPr="00E16672">
        <w:rPr>
          <w:rFonts w:ascii="Times New Roman" w:hAnsi="Times New Roman"/>
          <w:color w:val="000000"/>
          <w:szCs w:val="20"/>
        </w:rPr>
        <w:t>ліквідації</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наслідків</w:t>
      </w:r>
      <w:proofErr w:type="spellEnd"/>
      <w:r w:rsidRPr="00E16672">
        <w:rPr>
          <w:rFonts w:ascii="Times New Roman" w:hAnsi="Times New Roman"/>
          <w:color w:val="000000"/>
          <w:szCs w:val="20"/>
        </w:rPr>
        <w:t xml:space="preserve"> та </w:t>
      </w:r>
      <w:proofErr w:type="spellStart"/>
      <w:r w:rsidRPr="00E16672">
        <w:rPr>
          <w:rFonts w:ascii="Times New Roman" w:hAnsi="Times New Roman"/>
          <w:color w:val="000000"/>
          <w:szCs w:val="20"/>
        </w:rPr>
        <w:t>виконання</w:t>
      </w:r>
      <w:proofErr w:type="spellEnd"/>
      <w:r w:rsidRPr="00E16672">
        <w:rPr>
          <w:rFonts w:ascii="Times New Roman" w:hAnsi="Times New Roman"/>
          <w:color w:val="000000"/>
          <w:szCs w:val="20"/>
        </w:rPr>
        <w:t xml:space="preserve"> умов Договору. </w:t>
      </w:r>
    </w:p>
    <w:p w14:paraId="4346FBA7" w14:textId="77777777" w:rsidR="007974E8" w:rsidRPr="00E16672" w:rsidRDefault="007974E8" w:rsidP="007974E8">
      <w:pPr>
        <w:pStyle w:val="210"/>
        <w:snapToGrid w:val="0"/>
        <w:ind w:firstLine="540"/>
        <w:rPr>
          <w:rFonts w:ascii="Times New Roman" w:hAnsi="Times New Roman"/>
          <w:color w:val="000000"/>
          <w:sz w:val="20"/>
          <w:szCs w:val="20"/>
        </w:rPr>
      </w:pPr>
      <w:r w:rsidRPr="00E16672">
        <w:rPr>
          <w:rFonts w:ascii="Times New Roman" w:hAnsi="Times New Roman"/>
          <w:color w:val="000000"/>
          <w:sz w:val="20"/>
          <w:szCs w:val="20"/>
          <w:lang w:val="ru-RU"/>
        </w:rPr>
        <w:t>9</w:t>
      </w:r>
      <w:r w:rsidRPr="00E16672">
        <w:rPr>
          <w:rFonts w:ascii="Times New Roman" w:hAnsi="Times New Roman"/>
          <w:color w:val="000000"/>
          <w:sz w:val="20"/>
          <w:szCs w:val="20"/>
        </w:rPr>
        <w:t xml:space="preserve">.4. Кожна Сторона зобов’язана письмово підтвердити факт виникнення Форс-мажорних обставин іншій Стороні </w:t>
      </w:r>
      <w:proofErr w:type="gramStart"/>
      <w:r w:rsidRPr="00E16672">
        <w:rPr>
          <w:rFonts w:ascii="Times New Roman" w:hAnsi="Times New Roman"/>
          <w:color w:val="000000"/>
          <w:sz w:val="20"/>
          <w:szCs w:val="20"/>
        </w:rPr>
        <w:t>протягом</w:t>
      </w:r>
      <w:r w:rsidR="002C163A">
        <w:rPr>
          <w:rFonts w:ascii="Times New Roman" w:hAnsi="Times New Roman"/>
          <w:color w:val="000000"/>
          <w:sz w:val="20"/>
          <w:szCs w:val="20"/>
        </w:rPr>
        <w:t xml:space="preserve"> </w:t>
      </w:r>
      <w:r w:rsidRPr="00E16672">
        <w:rPr>
          <w:rFonts w:ascii="Times New Roman" w:hAnsi="Times New Roman"/>
          <w:color w:val="000000"/>
          <w:sz w:val="20"/>
          <w:szCs w:val="20"/>
        </w:rPr>
        <w:t xml:space="preserve"> </w:t>
      </w:r>
      <w:r w:rsidRPr="00E16672">
        <w:rPr>
          <w:rFonts w:ascii="Times New Roman" w:hAnsi="Times New Roman"/>
          <w:i/>
          <w:iCs/>
          <w:color w:val="000000"/>
          <w:sz w:val="20"/>
          <w:szCs w:val="20"/>
          <w:lang w:val="ru-RU"/>
        </w:rPr>
        <w:t>десяти</w:t>
      </w:r>
      <w:proofErr w:type="gramEnd"/>
      <w:r w:rsidRPr="00E16672">
        <w:rPr>
          <w:rFonts w:ascii="Times New Roman" w:hAnsi="Times New Roman"/>
          <w:color w:val="000000"/>
          <w:sz w:val="20"/>
          <w:szCs w:val="20"/>
        </w:rPr>
        <w:t xml:space="preserve"> днів після їх виникнення. </w:t>
      </w:r>
    </w:p>
    <w:p w14:paraId="1530FC2E" w14:textId="77777777" w:rsidR="007974E8" w:rsidRPr="00E16672" w:rsidRDefault="007974E8" w:rsidP="007974E8">
      <w:pPr>
        <w:rPr>
          <w:rFonts w:ascii="Times New Roman" w:hAnsi="Times New Roman"/>
          <w:color w:val="000000"/>
          <w:szCs w:val="20"/>
        </w:rPr>
      </w:pPr>
      <w:r w:rsidRPr="00E16672">
        <w:rPr>
          <w:rFonts w:ascii="Times New Roman" w:hAnsi="Times New Roman"/>
          <w:color w:val="000000"/>
          <w:szCs w:val="20"/>
        </w:rPr>
        <w:t xml:space="preserve">9.5. Форс-мажорна </w:t>
      </w:r>
      <w:proofErr w:type="spellStart"/>
      <w:r w:rsidRPr="00E16672">
        <w:rPr>
          <w:rFonts w:ascii="Times New Roman" w:hAnsi="Times New Roman"/>
          <w:color w:val="000000"/>
          <w:szCs w:val="20"/>
        </w:rPr>
        <w:t>ситуація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між</w:t>
      </w:r>
      <w:proofErr w:type="spellEnd"/>
      <w:r w:rsidRPr="00E16672">
        <w:rPr>
          <w:rFonts w:ascii="Times New Roman" w:hAnsi="Times New Roman"/>
          <w:color w:val="000000"/>
          <w:szCs w:val="20"/>
        </w:rPr>
        <w:t xml:space="preserve"> Сторонами </w:t>
      </w:r>
      <w:proofErr w:type="spellStart"/>
      <w:r w:rsidRPr="00E16672">
        <w:rPr>
          <w:rFonts w:ascii="Times New Roman" w:hAnsi="Times New Roman"/>
          <w:color w:val="000000"/>
          <w:szCs w:val="20"/>
        </w:rPr>
        <w:t>розглядається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тільки</w:t>
      </w:r>
      <w:proofErr w:type="spellEnd"/>
      <w:r w:rsidRPr="00E16672">
        <w:rPr>
          <w:rFonts w:ascii="Times New Roman" w:hAnsi="Times New Roman"/>
          <w:color w:val="000000"/>
          <w:szCs w:val="20"/>
        </w:rPr>
        <w:t xml:space="preserve"> за </w:t>
      </w:r>
      <w:proofErr w:type="spellStart"/>
      <w:r w:rsidRPr="00E16672">
        <w:rPr>
          <w:rFonts w:ascii="Times New Roman" w:hAnsi="Times New Roman"/>
          <w:color w:val="000000"/>
          <w:szCs w:val="20"/>
        </w:rPr>
        <w:t>умови</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сповіщення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протилежної</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сторони</w:t>
      </w:r>
      <w:proofErr w:type="spellEnd"/>
      <w:r w:rsidRPr="00E16672">
        <w:rPr>
          <w:rFonts w:ascii="Times New Roman" w:hAnsi="Times New Roman"/>
          <w:color w:val="000000"/>
          <w:szCs w:val="20"/>
        </w:rPr>
        <w:t xml:space="preserve"> в </w:t>
      </w:r>
      <w:proofErr w:type="spellStart"/>
      <w:r w:rsidRPr="00E16672">
        <w:rPr>
          <w:rFonts w:ascii="Times New Roman" w:hAnsi="Times New Roman"/>
          <w:color w:val="000000"/>
          <w:szCs w:val="20"/>
        </w:rPr>
        <w:t>письмовій</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формі</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із</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зазначенням</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обставин</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що</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виникли</w:t>
      </w:r>
      <w:proofErr w:type="spellEnd"/>
      <w:r w:rsidRPr="00E16672">
        <w:rPr>
          <w:rFonts w:ascii="Times New Roman" w:hAnsi="Times New Roman"/>
          <w:color w:val="000000"/>
          <w:szCs w:val="20"/>
        </w:rPr>
        <w:t xml:space="preserve">. </w:t>
      </w:r>
    </w:p>
    <w:p w14:paraId="13472144" w14:textId="77777777" w:rsidR="007974E8" w:rsidRPr="00E16672" w:rsidRDefault="007974E8" w:rsidP="007974E8">
      <w:pPr>
        <w:pStyle w:val="af"/>
        <w:jc w:val="center"/>
        <w:rPr>
          <w:rFonts w:ascii="Times New Roman" w:eastAsia="Times New Roman" w:hAnsi="Times New Roman" w:cs="Times New Roman"/>
          <w:color w:val="000000"/>
        </w:rPr>
      </w:pPr>
    </w:p>
    <w:p w14:paraId="2AD3FC28" w14:textId="77777777" w:rsidR="007974E8" w:rsidRPr="00E16672" w:rsidRDefault="007974E8" w:rsidP="007974E8">
      <w:pPr>
        <w:pStyle w:val="33"/>
        <w:tabs>
          <w:tab w:val="left" w:pos="851"/>
        </w:tabs>
        <w:ind w:firstLine="540"/>
        <w:jc w:val="center"/>
        <w:rPr>
          <w:rFonts w:ascii="Times New Roman" w:eastAsia="Times New Roman" w:hAnsi="Times New Roman" w:cs="Times New Roman"/>
          <w:b/>
          <w:color w:val="000000"/>
          <w:lang w:val="uk-UA" w:eastAsia="ar-SA" w:bidi="ar-SA"/>
        </w:rPr>
      </w:pPr>
      <w:r w:rsidRPr="00E16672">
        <w:rPr>
          <w:rFonts w:ascii="Times New Roman" w:eastAsia="Times New Roman" w:hAnsi="Times New Roman" w:cs="Times New Roman"/>
          <w:b/>
          <w:color w:val="000000"/>
          <w:lang w:val="uk-UA" w:eastAsia="ar-SA" w:bidi="ar-SA"/>
        </w:rPr>
        <w:t xml:space="preserve">10. Про визнання </w:t>
      </w:r>
      <w:r w:rsidR="00AE695D" w:rsidRPr="00E16672">
        <w:rPr>
          <w:rFonts w:ascii="Times New Roman" w:eastAsia="Times New Roman" w:hAnsi="Times New Roman" w:cs="Times New Roman"/>
          <w:b/>
          <w:color w:val="000000"/>
          <w:lang w:val="uk-UA" w:eastAsia="ar-SA" w:bidi="ar-SA"/>
        </w:rPr>
        <w:t>кваліфікованого електронного підпису</w:t>
      </w:r>
    </w:p>
    <w:p w14:paraId="217D44D4" w14:textId="77777777" w:rsidR="007974E8" w:rsidRPr="00E16672" w:rsidRDefault="007974E8" w:rsidP="007974E8">
      <w:pPr>
        <w:pStyle w:val="33"/>
        <w:tabs>
          <w:tab w:val="left" w:pos="851"/>
        </w:tabs>
        <w:ind w:firstLine="540"/>
        <w:rPr>
          <w:rFonts w:ascii="Times New Roman" w:eastAsia="Times New Roman" w:hAnsi="Times New Roman" w:cs="Times New Roman"/>
          <w:color w:val="000000"/>
          <w:lang w:val="uk-UA" w:eastAsia="ar-SA" w:bidi="ar-SA"/>
        </w:rPr>
      </w:pPr>
      <w:r w:rsidRPr="00E16672">
        <w:rPr>
          <w:rFonts w:ascii="Times New Roman" w:eastAsia="Times New Roman" w:hAnsi="Times New Roman" w:cs="Times New Roman"/>
          <w:color w:val="000000"/>
          <w:lang w:val="uk-UA" w:eastAsia="ar-SA" w:bidi="ar-SA"/>
        </w:rPr>
        <w:t xml:space="preserve">10.1. В ході виконання договору Сторони можуть обмінюватися електронними документами, які засвідчуються за допомогою </w:t>
      </w:r>
      <w:r w:rsidR="00AE695D" w:rsidRPr="00E16672">
        <w:rPr>
          <w:rFonts w:ascii="Times New Roman" w:eastAsia="Times New Roman" w:hAnsi="Times New Roman" w:cs="Times New Roman"/>
          <w:color w:val="000000"/>
          <w:lang w:val="uk-UA" w:eastAsia="ar-SA" w:bidi="ar-SA"/>
        </w:rPr>
        <w:t>кваліфікованого електронного підпису</w:t>
      </w:r>
      <w:r w:rsidRPr="00E16672">
        <w:rPr>
          <w:rFonts w:ascii="Times New Roman" w:eastAsia="Times New Roman" w:hAnsi="Times New Roman" w:cs="Times New Roman"/>
          <w:color w:val="000000"/>
          <w:lang w:val="uk-UA" w:eastAsia="ar-SA" w:bidi="ar-SA"/>
        </w:rPr>
        <w:t>.</w:t>
      </w:r>
    </w:p>
    <w:p w14:paraId="5DC638A1" w14:textId="77777777" w:rsidR="007974E8" w:rsidRPr="00E16672" w:rsidRDefault="007974E8" w:rsidP="007974E8">
      <w:pPr>
        <w:pStyle w:val="33"/>
        <w:tabs>
          <w:tab w:val="left" w:pos="851"/>
        </w:tabs>
        <w:ind w:firstLine="540"/>
        <w:rPr>
          <w:rFonts w:ascii="Times New Roman" w:eastAsia="Times New Roman" w:hAnsi="Times New Roman" w:cs="Times New Roman"/>
          <w:color w:val="000000"/>
          <w:lang w:val="uk-UA" w:eastAsia="ar-SA" w:bidi="ar-SA"/>
        </w:rPr>
      </w:pPr>
      <w:r w:rsidRPr="00E16672">
        <w:rPr>
          <w:rFonts w:ascii="Times New Roman" w:eastAsia="Times New Roman" w:hAnsi="Times New Roman" w:cs="Times New Roman"/>
          <w:color w:val="000000"/>
          <w:lang w:val="uk-UA" w:eastAsia="ar-SA" w:bidi="ar-SA"/>
        </w:rPr>
        <w:t xml:space="preserve">10.2. При виконанні цього Договору кожна Сторона може виступати як </w:t>
      </w:r>
      <w:proofErr w:type="spellStart"/>
      <w:r w:rsidRPr="00E16672">
        <w:rPr>
          <w:rFonts w:ascii="Times New Roman" w:eastAsia="Times New Roman" w:hAnsi="Times New Roman" w:cs="Times New Roman"/>
          <w:color w:val="000000"/>
          <w:lang w:val="uk-UA" w:eastAsia="ar-SA" w:bidi="ar-SA"/>
        </w:rPr>
        <w:t>підписувачем</w:t>
      </w:r>
      <w:proofErr w:type="spellEnd"/>
      <w:r w:rsidRPr="00E16672">
        <w:rPr>
          <w:rFonts w:ascii="Times New Roman" w:eastAsia="Times New Roman" w:hAnsi="Times New Roman" w:cs="Times New Roman"/>
          <w:color w:val="000000"/>
          <w:lang w:val="uk-UA" w:eastAsia="ar-SA" w:bidi="ar-SA"/>
        </w:rPr>
        <w:t xml:space="preserve"> , так і отримувачем електронних документів.</w:t>
      </w:r>
    </w:p>
    <w:p w14:paraId="18775A7F" w14:textId="77777777" w:rsidR="007974E8" w:rsidRPr="00E16672" w:rsidRDefault="007974E8" w:rsidP="007974E8">
      <w:pPr>
        <w:pStyle w:val="33"/>
        <w:tabs>
          <w:tab w:val="left" w:pos="851"/>
        </w:tabs>
        <w:ind w:firstLine="540"/>
        <w:rPr>
          <w:rFonts w:ascii="Times New Roman" w:eastAsia="Times New Roman" w:hAnsi="Times New Roman" w:cs="Times New Roman"/>
          <w:color w:val="000000"/>
          <w:lang w:val="uk-UA" w:eastAsia="ar-SA" w:bidi="ar-SA"/>
        </w:rPr>
      </w:pPr>
      <w:r w:rsidRPr="00E16672">
        <w:rPr>
          <w:rFonts w:ascii="Times New Roman" w:eastAsia="Times New Roman" w:hAnsi="Times New Roman" w:cs="Times New Roman"/>
          <w:color w:val="000000"/>
          <w:lang w:val="uk-UA" w:eastAsia="ar-SA" w:bidi="ar-SA"/>
        </w:rPr>
        <w:t xml:space="preserve">10.3. Електронний документ - документ, інформація в якому зафіксована у вигляді електронних даних, включаючи обов'язкові реквізити документа, в тому числі </w:t>
      </w:r>
      <w:r w:rsidR="00AE695D" w:rsidRPr="00E16672">
        <w:rPr>
          <w:rFonts w:ascii="Times New Roman" w:eastAsia="Times New Roman" w:hAnsi="Times New Roman" w:cs="Times New Roman"/>
          <w:color w:val="000000"/>
          <w:lang w:val="uk-UA" w:eastAsia="ar-SA" w:bidi="ar-SA"/>
        </w:rPr>
        <w:t>кваліфікований електронний підпис</w:t>
      </w:r>
      <w:r w:rsidRPr="00E16672">
        <w:rPr>
          <w:rFonts w:ascii="Times New Roman" w:eastAsia="Times New Roman" w:hAnsi="Times New Roman" w:cs="Times New Roman"/>
          <w:color w:val="000000"/>
          <w:lang w:val="uk-UA" w:eastAsia="ar-SA" w:bidi="ar-SA"/>
        </w:rPr>
        <w:t>.</w:t>
      </w:r>
    </w:p>
    <w:p w14:paraId="35D78418" w14:textId="77777777" w:rsidR="007974E8" w:rsidRPr="00E16672" w:rsidRDefault="007974E8" w:rsidP="007974E8">
      <w:pPr>
        <w:pStyle w:val="33"/>
        <w:tabs>
          <w:tab w:val="left" w:pos="851"/>
        </w:tabs>
        <w:ind w:firstLine="540"/>
        <w:rPr>
          <w:rFonts w:ascii="Times New Roman" w:eastAsia="Times New Roman" w:hAnsi="Times New Roman" w:cs="Times New Roman"/>
          <w:color w:val="000000"/>
          <w:lang w:val="uk-UA" w:eastAsia="ar-SA" w:bidi="ar-SA"/>
        </w:rPr>
      </w:pPr>
      <w:r w:rsidRPr="00E16672">
        <w:rPr>
          <w:rFonts w:ascii="Times New Roman" w:eastAsia="Times New Roman" w:hAnsi="Times New Roman" w:cs="Times New Roman"/>
          <w:color w:val="000000"/>
          <w:lang w:val="uk-UA" w:eastAsia="ar-SA" w:bidi="ar-SA"/>
        </w:rPr>
        <w:t xml:space="preserve">10.4. </w:t>
      </w:r>
      <w:r w:rsidR="00AE695D" w:rsidRPr="00E16672">
        <w:rPr>
          <w:rFonts w:ascii="Times New Roman" w:eastAsia="Times New Roman" w:hAnsi="Times New Roman" w:cs="Times New Roman"/>
          <w:color w:val="000000"/>
          <w:lang w:val="uk-UA" w:eastAsia="ar-SA" w:bidi="ar-SA"/>
        </w:rPr>
        <w:t>Кваліфікований електронний підпис</w:t>
      </w:r>
      <w:r w:rsidRPr="00E16672">
        <w:rPr>
          <w:rFonts w:ascii="Times New Roman" w:eastAsia="Times New Roman" w:hAnsi="Times New Roman" w:cs="Times New Roman"/>
          <w:color w:val="000000"/>
          <w:lang w:val="uk-UA" w:eastAsia="ar-SA" w:bidi="ar-SA"/>
        </w:rPr>
        <w:t xml:space="preserve"> - обов'язковий реквізит електронного документа, який використовується для ідентифікації отримувачем </w:t>
      </w:r>
      <w:proofErr w:type="spellStart"/>
      <w:r w:rsidRPr="00E16672">
        <w:rPr>
          <w:rFonts w:ascii="Times New Roman" w:eastAsia="Times New Roman" w:hAnsi="Times New Roman" w:cs="Times New Roman"/>
          <w:color w:val="000000"/>
          <w:lang w:val="uk-UA" w:eastAsia="ar-SA" w:bidi="ar-SA"/>
        </w:rPr>
        <w:t>підписувача</w:t>
      </w:r>
      <w:proofErr w:type="spellEnd"/>
      <w:r w:rsidRPr="00E16672">
        <w:rPr>
          <w:rFonts w:ascii="Times New Roman" w:eastAsia="Times New Roman" w:hAnsi="Times New Roman" w:cs="Times New Roman"/>
          <w:color w:val="000000"/>
          <w:lang w:val="uk-UA" w:eastAsia="ar-SA" w:bidi="ar-SA"/>
        </w:rPr>
        <w:t xml:space="preserve"> електронного документа та сформований за допомогою системи криптографічного захисту інформації Акредитованого Центру Сертифікації ключів.</w:t>
      </w:r>
    </w:p>
    <w:p w14:paraId="27F34AE9" w14:textId="77777777" w:rsidR="007974E8" w:rsidRPr="00E16672" w:rsidRDefault="007974E8" w:rsidP="007974E8">
      <w:pPr>
        <w:pStyle w:val="33"/>
        <w:tabs>
          <w:tab w:val="left" w:pos="851"/>
        </w:tabs>
        <w:ind w:firstLine="540"/>
        <w:rPr>
          <w:rFonts w:ascii="Times New Roman" w:eastAsia="Times New Roman" w:hAnsi="Times New Roman" w:cs="Times New Roman"/>
          <w:color w:val="000000"/>
          <w:lang w:val="uk-UA" w:eastAsia="ar-SA" w:bidi="ar-SA"/>
        </w:rPr>
      </w:pPr>
      <w:r w:rsidRPr="00E16672">
        <w:rPr>
          <w:rFonts w:ascii="Times New Roman" w:eastAsia="Times New Roman" w:hAnsi="Times New Roman" w:cs="Times New Roman"/>
          <w:color w:val="000000"/>
          <w:lang w:val="uk-UA" w:eastAsia="ar-SA" w:bidi="ar-SA"/>
        </w:rPr>
        <w:t xml:space="preserve">10.5. </w:t>
      </w:r>
      <w:r w:rsidR="00AE695D" w:rsidRPr="00E16672">
        <w:rPr>
          <w:rFonts w:ascii="Times New Roman" w:eastAsia="Times New Roman" w:hAnsi="Times New Roman" w:cs="Times New Roman"/>
          <w:color w:val="000000"/>
          <w:lang w:val="uk-UA" w:eastAsia="ar-SA" w:bidi="ar-SA"/>
        </w:rPr>
        <w:t>Кваліфікований електронний підпис</w:t>
      </w:r>
      <w:r w:rsidRPr="00E16672">
        <w:rPr>
          <w:rFonts w:ascii="Times New Roman" w:eastAsia="Times New Roman" w:hAnsi="Times New Roman" w:cs="Times New Roman"/>
          <w:color w:val="000000"/>
          <w:lang w:val="uk-UA" w:eastAsia="ar-SA" w:bidi="ar-SA"/>
        </w:rPr>
        <w:t xml:space="preserve"> за правовим статусом прирівнюється до власноручного підпису (печатки) особи, яка його вчинила. Юридична сила електронного документа не може бути заперечена виключно через те, що він має електронну форму.</w:t>
      </w:r>
    </w:p>
    <w:p w14:paraId="3B8D9D58" w14:textId="77777777" w:rsidR="007974E8" w:rsidRPr="00E16672" w:rsidRDefault="007974E8" w:rsidP="007974E8">
      <w:pPr>
        <w:pStyle w:val="33"/>
        <w:tabs>
          <w:tab w:val="left" w:pos="851"/>
        </w:tabs>
        <w:ind w:firstLine="540"/>
        <w:rPr>
          <w:rFonts w:ascii="Times New Roman" w:eastAsia="Times New Roman" w:hAnsi="Times New Roman" w:cs="Times New Roman"/>
          <w:color w:val="000000"/>
          <w:lang w:val="uk-UA" w:eastAsia="ar-SA" w:bidi="ar-SA"/>
        </w:rPr>
      </w:pPr>
      <w:r w:rsidRPr="00E16672">
        <w:rPr>
          <w:rFonts w:ascii="Times New Roman" w:eastAsia="Times New Roman" w:hAnsi="Times New Roman" w:cs="Times New Roman"/>
          <w:color w:val="000000"/>
          <w:lang w:val="uk-UA" w:eastAsia="ar-SA" w:bidi="ar-SA"/>
        </w:rPr>
        <w:t xml:space="preserve">10.6. </w:t>
      </w:r>
      <w:proofErr w:type="spellStart"/>
      <w:r w:rsidRPr="00E16672">
        <w:rPr>
          <w:rFonts w:ascii="Times New Roman" w:eastAsia="Times New Roman" w:hAnsi="Times New Roman" w:cs="Times New Roman"/>
          <w:color w:val="000000"/>
          <w:lang w:val="uk-UA" w:eastAsia="ar-SA" w:bidi="ar-SA"/>
        </w:rPr>
        <w:t>Підписувач</w:t>
      </w:r>
      <w:proofErr w:type="spellEnd"/>
      <w:r w:rsidRPr="00E16672">
        <w:rPr>
          <w:rFonts w:ascii="Times New Roman" w:eastAsia="Times New Roman" w:hAnsi="Times New Roman" w:cs="Times New Roman"/>
          <w:color w:val="000000"/>
          <w:lang w:val="uk-UA" w:eastAsia="ar-SA" w:bidi="ar-SA"/>
        </w:rPr>
        <w:t xml:space="preserve"> - особа, яка на законних підставах володіє особистим ключем та від свого імені накладає </w:t>
      </w:r>
      <w:r w:rsidR="00AE695D" w:rsidRPr="00E16672">
        <w:rPr>
          <w:rFonts w:ascii="Times New Roman" w:eastAsia="Times New Roman" w:hAnsi="Times New Roman" w:cs="Times New Roman"/>
          <w:color w:val="000000"/>
          <w:lang w:val="uk-UA" w:eastAsia="ar-SA" w:bidi="ar-SA"/>
        </w:rPr>
        <w:t>кваліфікований електронний підпис</w:t>
      </w:r>
      <w:r w:rsidRPr="00E16672">
        <w:rPr>
          <w:rFonts w:ascii="Times New Roman" w:eastAsia="Times New Roman" w:hAnsi="Times New Roman" w:cs="Times New Roman"/>
          <w:color w:val="000000"/>
          <w:lang w:val="uk-UA" w:eastAsia="ar-SA" w:bidi="ar-SA"/>
        </w:rPr>
        <w:t xml:space="preserve"> під час створення та надсилання електронного документа.</w:t>
      </w:r>
    </w:p>
    <w:p w14:paraId="42DA047F" w14:textId="77777777" w:rsidR="007974E8" w:rsidRPr="00E16672" w:rsidRDefault="007974E8" w:rsidP="007974E8">
      <w:pPr>
        <w:pStyle w:val="33"/>
        <w:tabs>
          <w:tab w:val="left" w:pos="851"/>
        </w:tabs>
        <w:ind w:firstLine="540"/>
        <w:rPr>
          <w:rFonts w:ascii="Times New Roman" w:eastAsia="Times New Roman" w:hAnsi="Times New Roman" w:cs="Times New Roman"/>
          <w:color w:val="000000"/>
          <w:lang w:val="uk-UA" w:eastAsia="ar-SA" w:bidi="ar-SA"/>
        </w:rPr>
      </w:pPr>
      <w:r w:rsidRPr="00E16672">
        <w:rPr>
          <w:rFonts w:ascii="Times New Roman" w:eastAsia="Times New Roman" w:hAnsi="Times New Roman" w:cs="Times New Roman"/>
          <w:color w:val="000000"/>
          <w:lang w:val="uk-UA" w:eastAsia="ar-SA" w:bidi="ar-SA"/>
        </w:rPr>
        <w:t>10.7. Отримувач - особа, яка отримує електронний документ.</w:t>
      </w:r>
    </w:p>
    <w:p w14:paraId="40EB5993" w14:textId="77777777" w:rsidR="007974E8" w:rsidRPr="00E16672" w:rsidRDefault="007974E8" w:rsidP="007974E8">
      <w:pPr>
        <w:pStyle w:val="33"/>
        <w:tabs>
          <w:tab w:val="left" w:pos="851"/>
        </w:tabs>
        <w:ind w:firstLine="540"/>
        <w:rPr>
          <w:rFonts w:ascii="Times New Roman" w:eastAsia="Times New Roman" w:hAnsi="Times New Roman" w:cs="Times New Roman"/>
          <w:color w:val="000000"/>
          <w:lang w:val="uk-UA" w:eastAsia="ar-SA" w:bidi="ar-SA"/>
        </w:rPr>
      </w:pPr>
      <w:r w:rsidRPr="00E16672">
        <w:rPr>
          <w:rFonts w:ascii="Times New Roman" w:eastAsia="Times New Roman" w:hAnsi="Times New Roman" w:cs="Times New Roman"/>
          <w:color w:val="000000"/>
          <w:lang w:val="uk-UA" w:eastAsia="ar-SA" w:bidi="ar-SA"/>
        </w:rPr>
        <w:t xml:space="preserve">10.8. </w:t>
      </w:r>
      <w:r w:rsidR="00AE695D" w:rsidRPr="00E16672">
        <w:rPr>
          <w:rFonts w:ascii="Times New Roman" w:eastAsia="Times New Roman" w:hAnsi="Times New Roman" w:cs="Times New Roman"/>
          <w:color w:val="000000"/>
          <w:lang w:val="uk-UA" w:eastAsia="ar-SA" w:bidi="ar-SA"/>
        </w:rPr>
        <w:t>Кваліфікований електронний підпис</w:t>
      </w:r>
      <w:r w:rsidRPr="00E16672">
        <w:rPr>
          <w:rFonts w:ascii="Times New Roman" w:eastAsia="Times New Roman" w:hAnsi="Times New Roman" w:cs="Times New Roman"/>
          <w:color w:val="000000"/>
          <w:lang w:val="uk-UA" w:eastAsia="ar-SA" w:bidi="ar-SA"/>
        </w:rPr>
        <w:t xml:space="preserve"> вважається таким, що відповідає сертифікату відкритого ключа, якщо особистий ключ </w:t>
      </w:r>
      <w:proofErr w:type="spellStart"/>
      <w:r w:rsidRPr="00E16672">
        <w:rPr>
          <w:rFonts w:ascii="Times New Roman" w:eastAsia="Times New Roman" w:hAnsi="Times New Roman" w:cs="Times New Roman"/>
          <w:color w:val="000000"/>
          <w:lang w:val="uk-UA" w:eastAsia="ar-SA" w:bidi="ar-SA"/>
        </w:rPr>
        <w:t>підписувача</w:t>
      </w:r>
      <w:proofErr w:type="spellEnd"/>
      <w:r w:rsidRPr="00E16672">
        <w:rPr>
          <w:rFonts w:ascii="Times New Roman" w:eastAsia="Times New Roman" w:hAnsi="Times New Roman" w:cs="Times New Roman"/>
          <w:color w:val="000000"/>
          <w:lang w:val="uk-UA" w:eastAsia="ar-SA" w:bidi="ar-SA"/>
        </w:rPr>
        <w:t xml:space="preserve">, використаний при формуванні </w:t>
      </w:r>
      <w:r w:rsidR="00AE695D" w:rsidRPr="00E16672">
        <w:rPr>
          <w:rFonts w:ascii="Times New Roman" w:eastAsia="Times New Roman" w:hAnsi="Times New Roman" w:cs="Times New Roman"/>
          <w:color w:val="000000"/>
          <w:lang w:val="uk-UA" w:eastAsia="ar-SA" w:bidi="ar-SA"/>
        </w:rPr>
        <w:t>кваліфікованого електронного підпису</w:t>
      </w:r>
      <w:r w:rsidRPr="00E16672">
        <w:rPr>
          <w:rFonts w:ascii="Times New Roman" w:eastAsia="Times New Roman" w:hAnsi="Times New Roman" w:cs="Times New Roman"/>
          <w:color w:val="000000"/>
          <w:lang w:val="uk-UA" w:eastAsia="ar-SA" w:bidi="ar-SA"/>
        </w:rPr>
        <w:t>, відповідає відкритому ключу, зазначеному у сертифікаті.</w:t>
      </w:r>
    </w:p>
    <w:p w14:paraId="1FD82349" w14:textId="77777777" w:rsidR="007974E8" w:rsidRPr="00E16672" w:rsidRDefault="007974E8" w:rsidP="007974E8">
      <w:pPr>
        <w:pStyle w:val="33"/>
        <w:tabs>
          <w:tab w:val="left" w:pos="851"/>
        </w:tabs>
        <w:ind w:firstLine="540"/>
        <w:rPr>
          <w:rFonts w:ascii="Times New Roman" w:eastAsia="Times New Roman" w:hAnsi="Times New Roman" w:cs="Times New Roman"/>
          <w:color w:val="000000"/>
          <w:lang w:val="uk-UA" w:eastAsia="ar-SA" w:bidi="ar-SA"/>
        </w:rPr>
      </w:pPr>
      <w:r w:rsidRPr="00E16672">
        <w:rPr>
          <w:rFonts w:ascii="Times New Roman" w:eastAsia="Times New Roman" w:hAnsi="Times New Roman" w:cs="Times New Roman"/>
          <w:color w:val="000000"/>
          <w:lang w:val="uk-UA" w:eastAsia="ar-SA" w:bidi="ar-SA"/>
        </w:rPr>
        <w:t xml:space="preserve">10.9. Відповідно до цього Договору Сторони зобов'язуються визнавати </w:t>
      </w:r>
      <w:r w:rsidR="00AE695D" w:rsidRPr="00E16672">
        <w:rPr>
          <w:rFonts w:ascii="Times New Roman" w:eastAsia="Times New Roman" w:hAnsi="Times New Roman" w:cs="Times New Roman"/>
          <w:color w:val="000000"/>
          <w:lang w:val="uk-UA" w:eastAsia="ar-SA" w:bidi="ar-SA"/>
        </w:rPr>
        <w:t>кваліфікований електронний підпис</w:t>
      </w:r>
      <w:r w:rsidRPr="00E16672">
        <w:rPr>
          <w:rFonts w:ascii="Times New Roman" w:eastAsia="Times New Roman" w:hAnsi="Times New Roman" w:cs="Times New Roman"/>
          <w:color w:val="000000"/>
          <w:lang w:val="uk-UA" w:eastAsia="ar-SA" w:bidi="ar-SA"/>
        </w:rPr>
        <w:t xml:space="preserve"> як такий, що надає юридичної сили електронним документам, сформованим з його використанням.</w:t>
      </w:r>
    </w:p>
    <w:p w14:paraId="41CE7AEA" w14:textId="77777777" w:rsidR="007974E8" w:rsidRPr="00E16672" w:rsidRDefault="007974E8" w:rsidP="007974E8">
      <w:pPr>
        <w:pStyle w:val="33"/>
        <w:tabs>
          <w:tab w:val="left" w:pos="851"/>
        </w:tabs>
        <w:ind w:firstLine="540"/>
        <w:rPr>
          <w:rFonts w:ascii="Times New Roman" w:eastAsia="Times New Roman" w:hAnsi="Times New Roman" w:cs="Times New Roman"/>
          <w:color w:val="000000"/>
          <w:lang w:val="uk-UA" w:eastAsia="ar-SA" w:bidi="ar-SA"/>
        </w:rPr>
      </w:pPr>
      <w:r w:rsidRPr="00E16672">
        <w:rPr>
          <w:rFonts w:ascii="Times New Roman" w:eastAsia="Times New Roman" w:hAnsi="Times New Roman" w:cs="Times New Roman"/>
          <w:color w:val="000000"/>
          <w:lang w:val="uk-UA" w:eastAsia="ar-SA" w:bidi="ar-SA"/>
        </w:rPr>
        <w:t xml:space="preserve">10.10. Визнання здійснюється отримувачем щодо кожного окремого електронного документа, наданого </w:t>
      </w:r>
      <w:proofErr w:type="spellStart"/>
      <w:r w:rsidRPr="00E16672">
        <w:rPr>
          <w:rFonts w:ascii="Times New Roman" w:eastAsia="Times New Roman" w:hAnsi="Times New Roman" w:cs="Times New Roman"/>
          <w:color w:val="000000"/>
          <w:lang w:val="uk-UA" w:eastAsia="ar-SA" w:bidi="ar-SA"/>
        </w:rPr>
        <w:t>підписувачем</w:t>
      </w:r>
      <w:proofErr w:type="spellEnd"/>
      <w:r w:rsidRPr="00E16672">
        <w:rPr>
          <w:rFonts w:ascii="Times New Roman" w:eastAsia="Times New Roman" w:hAnsi="Times New Roman" w:cs="Times New Roman"/>
          <w:color w:val="000000"/>
          <w:lang w:val="uk-UA" w:eastAsia="ar-SA" w:bidi="ar-SA"/>
        </w:rPr>
        <w:t>.</w:t>
      </w:r>
    </w:p>
    <w:p w14:paraId="294E4338" w14:textId="77777777" w:rsidR="007974E8" w:rsidRPr="00E16672" w:rsidRDefault="007974E8" w:rsidP="007974E8">
      <w:pPr>
        <w:pStyle w:val="33"/>
        <w:tabs>
          <w:tab w:val="left" w:pos="851"/>
        </w:tabs>
        <w:ind w:firstLine="540"/>
        <w:rPr>
          <w:rFonts w:ascii="Times New Roman" w:eastAsia="Times New Roman" w:hAnsi="Times New Roman" w:cs="Times New Roman"/>
          <w:color w:val="000000"/>
          <w:lang w:val="uk-UA" w:eastAsia="ar-SA" w:bidi="ar-SA"/>
        </w:rPr>
      </w:pPr>
      <w:r w:rsidRPr="00E16672">
        <w:rPr>
          <w:rFonts w:ascii="Times New Roman" w:eastAsia="Times New Roman" w:hAnsi="Times New Roman" w:cs="Times New Roman"/>
          <w:color w:val="000000"/>
          <w:lang w:val="uk-UA" w:eastAsia="ar-SA" w:bidi="ar-SA"/>
        </w:rPr>
        <w:t xml:space="preserve">10.11. Визнання </w:t>
      </w:r>
      <w:r w:rsidR="00AE695D" w:rsidRPr="00E16672">
        <w:rPr>
          <w:rFonts w:ascii="Times New Roman" w:eastAsia="Times New Roman" w:hAnsi="Times New Roman" w:cs="Times New Roman"/>
          <w:color w:val="000000"/>
          <w:lang w:val="uk-UA" w:eastAsia="ar-SA" w:bidi="ar-SA"/>
        </w:rPr>
        <w:t>кваліфікованого електронного підпису</w:t>
      </w:r>
      <w:r w:rsidRPr="00E16672">
        <w:rPr>
          <w:rFonts w:ascii="Times New Roman" w:eastAsia="Times New Roman" w:hAnsi="Times New Roman" w:cs="Times New Roman"/>
          <w:color w:val="000000"/>
          <w:lang w:val="uk-UA" w:eastAsia="ar-SA" w:bidi="ar-SA"/>
        </w:rPr>
        <w:t xml:space="preserve"> - визначення відповідності </w:t>
      </w:r>
      <w:r w:rsidR="00AE695D" w:rsidRPr="00E16672">
        <w:rPr>
          <w:rFonts w:ascii="Times New Roman" w:eastAsia="Times New Roman" w:hAnsi="Times New Roman" w:cs="Times New Roman"/>
          <w:color w:val="000000"/>
          <w:lang w:val="uk-UA" w:eastAsia="ar-SA" w:bidi="ar-SA"/>
        </w:rPr>
        <w:t>кваліфікованого електронного підпису</w:t>
      </w:r>
      <w:r w:rsidRPr="00E16672">
        <w:rPr>
          <w:rFonts w:ascii="Times New Roman" w:eastAsia="Times New Roman" w:hAnsi="Times New Roman" w:cs="Times New Roman"/>
          <w:color w:val="000000"/>
          <w:lang w:val="uk-UA" w:eastAsia="ar-SA" w:bidi="ar-SA"/>
        </w:rPr>
        <w:t xml:space="preserve"> сертифікату відкритого ключа </w:t>
      </w:r>
      <w:proofErr w:type="spellStart"/>
      <w:r w:rsidRPr="00E16672">
        <w:rPr>
          <w:rFonts w:ascii="Times New Roman" w:eastAsia="Times New Roman" w:hAnsi="Times New Roman" w:cs="Times New Roman"/>
          <w:color w:val="000000"/>
          <w:lang w:val="uk-UA" w:eastAsia="ar-SA" w:bidi="ar-SA"/>
        </w:rPr>
        <w:t>підписувача</w:t>
      </w:r>
      <w:proofErr w:type="spellEnd"/>
      <w:r w:rsidRPr="00E16672">
        <w:rPr>
          <w:rFonts w:ascii="Times New Roman" w:eastAsia="Times New Roman" w:hAnsi="Times New Roman" w:cs="Times New Roman"/>
          <w:color w:val="000000"/>
          <w:lang w:val="uk-UA" w:eastAsia="ar-SA" w:bidi="ar-SA"/>
        </w:rPr>
        <w:t>, який є чинним, та визнання підпису таким, що надає юридичної сили отриманим стороною електронним документам, сформованим з його використанням.</w:t>
      </w:r>
    </w:p>
    <w:p w14:paraId="3A757783" w14:textId="77777777" w:rsidR="007974E8" w:rsidRPr="00E16672" w:rsidRDefault="007974E8" w:rsidP="007974E8">
      <w:pPr>
        <w:jc w:val="center"/>
        <w:rPr>
          <w:rFonts w:ascii="Times New Roman" w:hAnsi="Times New Roman"/>
          <w:b/>
          <w:szCs w:val="20"/>
          <w:lang w:val="uk-UA"/>
        </w:rPr>
      </w:pPr>
    </w:p>
    <w:p w14:paraId="4776B0F5" w14:textId="77777777" w:rsidR="007974E8" w:rsidRPr="00E16672" w:rsidRDefault="007974E8" w:rsidP="007974E8">
      <w:pPr>
        <w:jc w:val="center"/>
        <w:rPr>
          <w:rFonts w:ascii="Times New Roman" w:hAnsi="Times New Roman"/>
          <w:b/>
          <w:color w:val="000000"/>
          <w:szCs w:val="20"/>
        </w:rPr>
      </w:pPr>
      <w:r w:rsidRPr="00E16672">
        <w:rPr>
          <w:rFonts w:ascii="Times New Roman" w:hAnsi="Times New Roman"/>
          <w:b/>
          <w:color w:val="000000"/>
          <w:szCs w:val="20"/>
        </w:rPr>
        <w:t>1</w:t>
      </w:r>
      <w:r w:rsidRPr="00E16672">
        <w:rPr>
          <w:rFonts w:ascii="Times New Roman" w:hAnsi="Times New Roman"/>
          <w:b/>
          <w:color w:val="000000"/>
          <w:szCs w:val="20"/>
          <w:lang w:val="uk-UA"/>
        </w:rPr>
        <w:t>1</w:t>
      </w:r>
      <w:r w:rsidRPr="00E16672">
        <w:rPr>
          <w:rFonts w:ascii="Times New Roman" w:hAnsi="Times New Roman"/>
          <w:b/>
          <w:color w:val="000000"/>
          <w:szCs w:val="20"/>
        </w:rPr>
        <w:t xml:space="preserve">. </w:t>
      </w:r>
      <w:proofErr w:type="spellStart"/>
      <w:r w:rsidRPr="00E16672">
        <w:rPr>
          <w:rFonts w:ascii="Times New Roman" w:hAnsi="Times New Roman"/>
          <w:b/>
          <w:color w:val="000000"/>
          <w:szCs w:val="20"/>
        </w:rPr>
        <w:t>Умови</w:t>
      </w:r>
      <w:proofErr w:type="spellEnd"/>
      <w:r w:rsidRPr="00E16672">
        <w:rPr>
          <w:rFonts w:ascii="Times New Roman" w:hAnsi="Times New Roman"/>
          <w:b/>
          <w:color w:val="000000"/>
          <w:szCs w:val="20"/>
        </w:rPr>
        <w:t xml:space="preserve"> порядку </w:t>
      </w:r>
      <w:proofErr w:type="spellStart"/>
      <w:r w:rsidRPr="00E16672">
        <w:rPr>
          <w:rFonts w:ascii="Times New Roman" w:hAnsi="Times New Roman"/>
          <w:b/>
          <w:color w:val="000000"/>
          <w:szCs w:val="20"/>
        </w:rPr>
        <w:t>виплати</w:t>
      </w:r>
      <w:proofErr w:type="spellEnd"/>
      <w:r w:rsidRPr="00E16672">
        <w:rPr>
          <w:rFonts w:ascii="Times New Roman" w:hAnsi="Times New Roman"/>
          <w:b/>
          <w:color w:val="000000"/>
          <w:szCs w:val="20"/>
        </w:rPr>
        <w:t xml:space="preserve"> </w:t>
      </w:r>
      <w:proofErr w:type="spellStart"/>
      <w:r w:rsidRPr="00E16672">
        <w:rPr>
          <w:rFonts w:ascii="Times New Roman" w:hAnsi="Times New Roman"/>
          <w:b/>
          <w:color w:val="000000"/>
          <w:szCs w:val="20"/>
        </w:rPr>
        <w:t>коштів</w:t>
      </w:r>
      <w:proofErr w:type="spellEnd"/>
      <w:r w:rsidRPr="00E16672">
        <w:rPr>
          <w:rFonts w:ascii="Times New Roman" w:hAnsi="Times New Roman"/>
          <w:b/>
          <w:color w:val="000000"/>
          <w:szCs w:val="20"/>
        </w:rPr>
        <w:t xml:space="preserve">, </w:t>
      </w:r>
      <w:proofErr w:type="spellStart"/>
      <w:r w:rsidRPr="00E16672">
        <w:rPr>
          <w:rFonts w:ascii="Times New Roman" w:hAnsi="Times New Roman"/>
          <w:b/>
          <w:color w:val="000000"/>
          <w:szCs w:val="20"/>
        </w:rPr>
        <w:t>отриманих</w:t>
      </w:r>
      <w:proofErr w:type="spellEnd"/>
      <w:r w:rsidRPr="00E16672">
        <w:rPr>
          <w:rFonts w:ascii="Times New Roman" w:hAnsi="Times New Roman"/>
          <w:b/>
          <w:color w:val="000000"/>
          <w:szCs w:val="20"/>
        </w:rPr>
        <w:t xml:space="preserve"> депонентом за результатами </w:t>
      </w:r>
      <w:proofErr w:type="spellStart"/>
      <w:r w:rsidRPr="00E16672">
        <w:rPr>
          <w:rFonts w:ascii="Times New Roman" w:hAnsi="Times New Roman"/>
          <w:b/>
          <w:color w:val="000000"/>
          <w:szCs w:val="20"/>
        </w:rPr>
        <w:t>проведених</w:t>
      </w:r>
      <w:proofErr w:type="spellEnd"/>
      <w:r w:rsidRPr="00E16672">
        <w:rPr>
          <w:rFonts w:ascii="Times New Roman" w:hAnsi="Times New Roman"/>
          <w:b/>
          <w:color w:val="000000"/>
          <w:szCs w:val="20"/>
        </w:rPr>
        <w:t xml:space="preserve"> </w:t>
      </w:r>
      <w:proofErr w:type="spellStart"/>
      <w:r w:rsidRPr="00E16672">
        <w:rPr>
          <w:rFonts w:ascii="Times New Roman" w:hAnsi="Times New Roman"/>
          <w:b/>
          <w:color w:val="000000"/>
          <w:szCs w:val="20"/>
        </w:rPr>
        <w:t>корпоративних</w:t>
      </w:r>
      <w:proofErr w:type="spellEnd"/>
      <w:r w:rsidRPr="00E16672">
        <w:rPr>
          <w:rFonts w:ascii="Times New Roman" w:hAnsi="Times New Roman"/>
          <w:b/>
          <w:color w:val="000000"/>
          <w:szCs w:val="20"/>
        </w:rPr>
        <w:t xml:space="preserve"> </w:t>
      </w:r>
      <w:proofErr w:type="spellStart"/>
      <w:r w:rsidRPr="00E16672">
        <w:rPr>
          <w:rFonts w:ascii="Times New Roman" w:hAnsi="Times New Roman"/>
          <w:b/>
          <w:color w:val="000000"/>
          <w:szCs w:val="20"/>
        </w:rPr>
        <w:t>операцій</w:t>
      </w:r>
      <w:proofErr w:type="spellEnd"/>
      <w:r w:rsidRPr="00E16672">
        <w:rPr>
          <w:rFonts w:ascii="Times New Roman" w:hAnsi="Times New Roman"/>
          <w:b/>
          <w:color w:val="000000"/>
          <w:szCs w:val="20"/>
        </w:rPr>
        <w:t xml:space="preserve"> </w:t>
      </w:r>
      <w:proofErr w:type="spellStart"/>
      <w:r w:rsidRPr="00E16672">
        <w:rPr>
          <w:rFonts w:ascii="Times New Roman" w:hAnsi="Times New Roman"/>
          <w:b/>
          <w:color w:val="000000"/>
          <w:szCs w:val="20"/>
        </w:rPr>
        <w:t>емітента</w:t>
      </w:r>
      <w:proofErr w:type="spellEnd"/>
      <w:r w:rsidRPr="00E16672">
        <w:rPr>
          <w:rFonts w:ascii="Times New Roman" w:hAnsi="Times New Roman"/>
          <w:b/>
          <w:color w:val="000000"/>
          <w:szCs w:val="20"/>
        </w:rPr>
        <w:t>.</w:t>
      </w:r>
    </w:p>
    <w:p w14:paraId="2F6F9513" w14:textId="77777777" w:rsidR="007974E8" w:rsidRPr="00E16672" w:rsidRDefault="007974E8" w:rsidP="007974E8">
      <w:pPr>
        <w:rPr>
          <w:rFonts w:ascii="Times New Roman" w:hAnsi="Times New Roman"/>
          <w:color w:val="000000"/>
          <w:szCs w:val="20"/>
        </w:rPr>
      </w:pPr>
      <w:r w:rsidRPr="00E16672">
        <w:rPr>
          <w:rFonts w:ascii="Times New Roman" w:hAnsi="Times New Roman"/>
          <w:color w:val="000000"/>
          <w:szCs w:val="20"/>
        </w:rPr>
        <w:t>1</w:t>
      </w:r>
      <w:r w:rsidRPr="00E16672">
        <w:rPr>
          <w:rFonts w:ascii="Times New Roman" w:hAnsi="Times New Roman"/>
          <w:color w:val="000000"/>
          <w:szCs w:val="20"/>
          <w:lang w:val="uk-UA"/>
        </w:rPr>
        <w:t>1</w:t>
      </w:r>
      <w:r w:rsidRPr="00E16672">
        <w:rPr>
          <w:rFonts w:ascii="Times New Roman" w:hAnsi="Times New Roman"/>
          <w:color w:val="000000"/>
          <w:szCs w:val="20"/>
        </w:rPr>
        <w:t xml:space="preserve">.1. </w:t>
      </w:r>
      <w:proofErr w:type="spellStart"/>
      <w:r w:rsidRPr="00E16672">
        <w:rPr>
          <w:rFonts w:ascii="Times New Roman" w:hAnsi="Times New Roman"/>
          <w:color w:val="000000"/>
          <w:szCs w:val="20"/>
        </w:rPr>
        <w:t>Щодо</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цінних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паперів</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облік</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яких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здійснює</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Центральний</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депозитарій</w:t>
      </w:r>
      <w:proofErr w:type="spellEnd"/>
      <w:r w:rsidRPr="00E16672">
        <w:rPr>
          <w:rFonts w:ascii="Times New Roman" w:hAnsi="Times New Roman"/>
          <w:color w:val="000000"/>
          <w:szCs w:val="20"/>
        </w:rPr>
        <w:t>:</w:t>
      </w:r>
    </w:p>
    <w:p w14:paraId="66B6CD38" w14:textId="77777777" w:rsidR="007974E8" w:rsidRPr="00E16672" w:rsidRDefault="007974E8" w:rsidP="007974E8">
      <w:pPr>
        <w:rPr>
          <w:rFonts w:ascii="Times New Roman" w:hAnsi="Times New Roman"/>
          <w:color w:val="000000"/>
          <w:szCs w:val="20"/>
        </w:rPr>
      </w:pPr>
      <w:r w:rsidRPr="00E16672">
        <w:rPr>
          <w:rFonts w:ascii="Times New Roman" w:hAnsi="Times New Roman"/>
          <w:color w:val="000000"/>
          <w:szCs w:val="20"/>
        </w:rPr>
        <w:t>1</w:t>
      </w:r>
      <w:r w:rsidRPr="00E16672">
        <w:rPr>
          <w:rFonts w:ascii="Times New Roman" w:hAnsi="Times New Roman"/>
          <w:color w:val="000000"/>
          <w:szCs w:val="20"/>
          <w:lang w:val="uk-UA"/>
        </w:rPr>
        <w:t>1</w:t>
      </w:r>
      <w:r w:rsidRPr="00E16672">
        <w:rPr>
          <w:rFonts w:ascii="Times New Roman" w:hAnsi="Times New Roman"/>
          <w:color w:val="000000"/>
          <w:szCs w:val="20"/>
        </w:rPr>
        <w:t xml:space="preserve">.1.1. У </w:t>
      </w:r>
      <w:proofErr w:type="spellStart"/>
      <w:r w:rsidRPr="00E16672">
        <w:rPr>
          <w:rFonts w:ascii="Times New Roman" w:hAnsi="Times New Roman"/>
          <w:color w:val="000000"/>
          <w:szCs w:val="20"/>
        </w:rPr>
        <w:t>термін</w:t>
      </w:r>
      <w:proofErr w:type="spellEnd"/>
      <w:r w:rsidRPr="00E16672">
        <w:rPr>
          <w:rFonts w:ascii="Times New Roman" w:hAnsi="Times New Roman"/>
          <w:color w:val="000000"/>
          <w:szCs w:val="20"/>
        </w:rPr>
        <w:t xml:space="preserve"> не </w:t>
      </w:r>
      <w:proofErr w:type="spellStart"/>
      <w:r w:rsidRPr="00E16672">
        <w:rPr>
          <w:rFonts w:ascii="Times New Roman" w:hAnsi="Times New Roman"/>
          <w:color w:val="000000"/>
          <w:szCs w:val="20"/>
        </w:rPr>
        <w:t>пізніше</w:t>
      </w:r>
      <w:proofErr w:type="spellEnd"/>
      <w:r w:rsidRPr="00E16672">
        <w:rPr>
          <w:rFonts w:ascii="Times New Roman" w:hAnsi="Times New Roman"/>
          <w:color w:val="000000"/>
          <w:szCs w:val="20"/>
        </w:rPr>
        <w:t xml:space="preserve"> десяти </w:t>
      </w:r>
      <w:proofErr w:type="spellStart"/>
      <w:r w:rsidRPr="00E16672">
        <w:rPr>
          <w:rFonts w:ascii="Times New Roman" w:hAnsi="Times New Roman"/>
          <w:color w:val="000000"/>
          <w:szCs w:val="20"/>
        </w:rPr>
        <w:t>робочих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днів</w:t>
      </w:r>
      <w:proofErr w:type="spellEnd"/>
      <w:r w:rsidRPr="00E16672">
        <w:rPr>
          <w:rFonts w:ascii="Times New Roman" w:hAnsi="Times New Roman"/>
          <w:color w:val="000000"/>
          <w:szCs w:val="20"/>
        </w:rPr>
        <w:t xml:space="preserve">  з моменту </w:t>
      </w:r>
      <w:proofErr w:type="spellStart"/>
      <w:r w:rsidRPr="00E16672">
        <w:rPr>
          <w:rFonts w:ascii="Times New Roman" w:hAnsi="Times New Roman"/>
          <w:color w:val="000000"/>
          <w:szCs w:val="20"/>
        </w:rPr>
        <w:t>надходження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відповідних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коштів</w:t>
      </w:r>
      <w:proofErr w:type="spellEnd"/>
      <w:r w:rsidRPr="00E16672">
        <w:rPr>
          <w:rFonts w:ascii="Times New Roman" w:hAnsi="Times New Roman"/>
          <w:color w:val="000000"/>
          <w:szCs w:val="20"/>
        </w:rPr>
        <w:t xml:space="preserve"> на </w:t>
      </w:r>
      <w:proofErr w:type="spellStart"/>
      <w:r w:rsidRPr="00E16672">
        <w:rPr>
          <w:rFonts w:ascii="Times New Roman" w:hAnsi="Times New Roman"/>
          <w:color w:val="000000"/>
          <w:szCs w:val="20"/>
        </w:rPr>
        <w:t>грошовий</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рахунок</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Депозитарної</w:t>
      </w:r>
      <w:proofErr w:type="spellEnd"/>
      <w:r w:rsidRPr="00E16672">
        <w:rPr>
          <w:rFonts w:ascii="Times New Roman" w:hAnsi="Times New Roman"/>
          <w:color w:val="000000"/>
          <w:szCs w:val="20"/>
        </w:rPr>
        <w:t xml:space="preserve"> установи, </w:t>
      </w:r>
      <w:proofErr w:type="spellStart"/>
      <w:r w:rsidRPr="00E16672">
        <w:rPr>
          <w:rFonts w:ascii="Times New Roman" w:hAnsi="Times New Roman"/>
          <w:color w:val="000000"/>
          <w:szCs w:val="20"/>
        </w:rPr>
        <w:t>отримання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розпорядження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від</w:t>
      </w:r>
      <w:proofErr w:type="spellEnd"/>
      <w:r w:rsidRPr="00E16672">
        <w:rPr>
          <w:rFonts w:ascii="Times New Roman" w:hAnsi="Times New Roman"/>
          <w:color w:val="000000"/>
          <w:szCs w:val="20"/>
        </w:rPr>
        <w:t xml:space="preserve"> Центрального </w:t>
      </w:r>
      <w:proofErr w:type="spellStart"/>
      <w:r w:rsidRPr="00E16672">
        <w:rPr>
          <w:rFonts w:ascii="Times New Roman" w:hAnsi="Times New Roman"/>
          <w:color w:val="000000"/>
          <w:szCs w:val="20"/>
        </w:rPr>
        <w:t>депозитарію</w:t>
      </w:r>
      <w:proofErr w:type="spellEnd"/>
      <w:r w:rsidRPr="00E16672">
        <w:rPr>
          <w:rFonts w:ascii="Times New Roman" w:hAnsi="Times New Roman"/>
          <w:color w:val="000000"/>
          <w:szCs w:val="20"/>
        </w:rPr>
        <w:t xml:space="preserve"> та </w:t>
      </w:r>
      <w:proofErr w:type="spellStart"/>
      <w:r w:rsidRPr="00E16672">
        <w:rPr>
          <w:rFonts w:ascii="Times New Roman" w:hAnsi="Times New Roman"/>
          <w:color w:val="000000"/>
          <w:szCs w:val="20"/>
        </w:rPr>
        <w:t>інших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документів</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згідно</w:t>
      </w:r>
      <w:proofErr w:type="spellEnd"/>
      <w:r w:rsidRPr="00E16672">
        <w:rPr>
          <w:rFonts w:ascii="Times New Roman" w:hAnsi="Times New Roman"/>
          <w:color w:val="000000"/>
          <w:szCs w:val="20"/>
        </w:rPr>
        <w:t xml:space="preserve"> чинного </w:t>
      </w:r>
      <w:proofErr w:type="spellStart"/>
      <w:r w:rsidRPr="00E16672">
        <w:rPr>
          <w:rFonts w:ascii="Times New Roman" w:hAnsi="Times New Roman"/>
          <w:color w:val="000000"/>
          <w:szCs w:val="20"/>
        </w:rPr>
        <w:t>законодавства</w:t>
      </w:r>
      <w:proofErr w:type="spellEnd"/>
      <w:r w:rsidRPr="00E16672">
        <w:rPr>
          <w:rFonts w:ascii="Times New Roman" w:hAnsi="Times New Roman"/>
          <w:color w:val="000000"/>
          <w:szCs w:val="20"/>
        </w:rPr>
        <w:t xml:space="preserve"> та регламенту Центрального </w:t>
      </w:r>
      <w:proofErr w:type="spellStart"/>
      <w:r w:rsidRPr="00E16672">
        <w:rPr>
          <w:rFonts w:ascii="Times New Roman" w:hAnsi="Times New Roman"/>
          <w:color w:val="000000"/>
          <w:szCs w:val="20"/>
        </w:rPr>
        <w:t>депозитарію</w:t>
      </w:r>
      <w:proofErr w:type="spellEnd"/>
      <w:r w:rsidRPr="00E16672">
        <w:rPr>
          <w:rFonts w:ascii="Times New Roman" w:hAnsi="Times New Roman"/>
          <w:color w:val="000000"/>
          <w:szCs w:val="20"/>
        </w:rPr>
        <w:t>,</w:t>
      </w:r>
      <w:r w:rsidRPr="00E16672">
        <w:rPr>
          <w:rFonts w:ascii="Times New Roman" w:hAnsi="Times New Roman"/>
          <w:color w:val="000000"/>
          <w:sz w:val="22"/>
          <w:szCs w:val="22"/>
        </w:rPr>
        <w:t xml:space="preserve"> </w:t>
      </w:r>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Депозитарна</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установа</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здійснює</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виплату</w:t>
      </w:r>
      <w:proofErr w:type="spellEnd"/>
      <w:r w:rsidRPr="00E16672">
        <w:rPr>
          <w:rFonts w:ascii="Times New Roman" w:hAnsi="Times New Roman"/>
          <w:color w:val="000000"/>
          <w:szCs w:val="20"/>
        </w:rPr>
        <w:t xml:space="preserve"> доходу за </w:t>
      </w:r>
      <w:proofErr w:type="spellStart"/>
      <w:r w:rsidRPr="00E16672">
        <w:rPr>
          <w:rFonts w:ascii="Times New Roman" w:hAnsi="Times New Roman"/>
          <w:color w:val="000000"/>
          <w:szCs w:val="20"/>
        </w:rPr>
        <w:t>цінними</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паперами</w:t>
      </w:r>
      <w:proofErr w:type="spellEnd"/>
      <w:r w:rsidRPr="00E16672">
        <w:rPr>
          <w:rFonts w:ascii="Times New Roman" w:hAnsi="Times New Roman"/>
          <w:color w:val="000000"/>
          <w:szCs w:val="20"/>
        </w:rPr>
        <w:t xml:space="preserve"> – </w:t>
      </w:r>
      <w:proofErr w:type="spellStart"/>
      <w:r w:rsidRPr="00E16672">
        <w:rPr>
          <w:rFonts w:ascii="Times New Roman" w:hAnsi="Times New Roman"/>
          <w:color w:val="000000"/>
          <w:szCs w:val="20"/>
        </w:rPr>
        <w:t>грошових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коштів</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отриманих</w:t>
      </w:r>
      <w:proofErr w:type="spellEnd"/>
      <w:r w:rsidRPr="00E16672">
        <w:rPr>
          <w:rFonts w:ascii="Times New Roman" w:hAnsi="Times New Roman"/>
          <w:color w:val="000000"/>
          <w:szCs w:val="20"/>
        </w:rPr>
        <w:t xml:space="preserve"> Депонентом за результатами </w:t>
      </w:r>
      <w:proofErr w:type="spellStart"/>
      <w:r w:rsidRPr="00E16672">
        <w:rPr>
          <w:rFonts w:ascii="Times New Roman" w:hAnsi="Times New Roman"/>
          <w:color w:val="000000"/>
          <w:szCs w:val="20"/>
        </w:rPr>
        <w:t>проведення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корпоративних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операцій</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емітента</w:t>
      </w:r>
      <w:proofErr w:type="spellEnd"/>
      <w:r w:rsidRPr="00E16672">
        <w:rPr>
          <w:rFonts w:ascii="Times New Roman" w:hAnsi="Times New Roman"/>
          <w:color w:val="000000"/>
          <w:szCs w:val="20"/>
        </w:rPr>
        <w:t xml:space="preserve">, шляхом </w:t>
      </w:r>
      <w:proofErr w:type="spellStart"/>
      <w:r w:rsidRPr="00E16672">
        <w:rPr>
          <w:rFonts w:ascii="Times New Roman" w:hAnsi="Times New Roman"/>
          <w:color w:val="000000"/>
          <w:szCs w:val="20"/>
        </w:rPr>
        <w:t>перерахування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грошових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коштів</w:t>
      </w:r>
      <w:proofErr w:type="spellEnd"/>
      <w:r w:rsidRPr="00E16672">
        <w:rPr>
          <w:rFonts w:ascii="Times New Roman" w:hAnsi="Times New Roman"/>
          <w:color w:val="000000"/>
          <w:szCs w:val="20"/>
        </w:rPr>
        <w:t xml:space="preserve"> на </w:t>
      </w:r>
      <w:proofErr w:type="spellStart"/>
      <w:r w:rsidRPr="00E16672">
        <w:rPr>
          <w:rFonts w:ascii="Times New Roman" w:hAnsi="Times New Roman"/>
          <w:color w:val="000000"/>
          <w:szCs w:val="20"/>
        </w:rPr>
        <w:t>грошовий</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банківський</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рахунок</w:t>
      </w:r>
      <w:proofErr w:type="spellEnd"/>
      <w:r w:rsidRPr="00E16672">
        <w:rPr>
          <w:rFonts w:ascii="Times New Roman" w:hAnsi="Times New Roman"/>
          <w:color w:val="000000"/>
          <w:szCs w:val="20"/>
        </w:rPr>
        <w:t xml:space="preserve"> Депонента, </w:t>
      </w:r>
      <w:proofErr w:type="spellStart"/>
      <w:r w:rsidRPr="00E16672">
        <w:rPr>
          <w:rFonts w:ascii="Times New Roman" w:hAnsi="Times New Roman"/>
          <w:color w:val="000000"/>
          <w:szCs w:val="20"/>
        </w:rPr>
        <w:t>реквізити</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якого</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зазначені</w:t>
      </w:r>
      <w:proofErr w:type="spellEnd"/>
      <w:r w:rsidRPr="00E16672">
        <w:rPr>
          <w:rFonts w:ascii="Times New Roman" w:hAnsi="Times New Roman"/>
          <w:color w:val="000000"/>
          <w:szCs w:val="20"/>
        </w:rPr>
        <w:t xml:space="preserve">  в </w:t>
      </w:r>
      <w:proofErr w:type="spellStart"/>
      <w:r w:rsidRPr="00E16672">
        <w:rPr>
          <w:rFonts w:ascii="Times New Roman" w:hAnsi="Times New Roman"/>
          <w:color w:val="000000"/>
          <w:szCs w:val="20"/>
        </w:rPr>
        <w:t>анкеті</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рахунка</w:t>
      </w:r>
      <w:proofErr w:type="spellEnd"/>
      <w:r w:rsidRPr="00E16672">
        <w:rPr>
          <w:rFonts w:ascii="Times New Roman" w:hAnsi="Times New Roman"/>
          <w:color w:val="000000"/>
          <w:szCs w:val="20"/>
        </w:rPr>
        <w:t xml:space="preserve"> </w:t>
      </w:r>
      <w:r w:rsidR="00C22309" w:rsidRPr="00E16672">
        <w:rPr>
          <w:rFonts w:ascii="Times New Roman" w:hAnsi="Times New Roman"/>
          <w:color w:val="000000"/>
          <w:szCs w:val="20"/>
        </w:rPr>
        <w:t xml:space="preserve">в </w:t>
      </w:r>
      <w:proofErr w:type="spellStart"/>
      <w:r w:rsidR="00C22309" w:rsidRPr="00E16672">
        <w:rPr>
          <w:rFonts w:ascii="Times New Roman" w:hAnsi="Times New Roman"/>
          <w:color w:val="000000"/>
          <w:szCs w:val="20"/>
        </w:rPr>
        <w:t>цін</w:t>
      </w:r>
      <w:r w:rsidRPr="00E16672">
        <w:rPr>
          <w:rFonts w:ascii="Times New Roman" w:hAnsi="Times New Roman"/>
          <w:color w:val="000000"/>
          <w:szCs w:val="20"/>
        </w:rPr>
        <w:t>них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паперах</w:t>
      </w:r>
      <w:proofErr w:type="spellEnd"/>
      <w:r w:rsidRPr="00E16672">
        <w:rPr>
          <w:rFonts w:ascii="Times New Roman" w:hAnsi="Times New Roman"/>
          <w:color w:val="000000"/>
          <w:szCs w:val="20"/>
        </w:rPr>
        <w:t xml:space="preserve"> Депонента.</w:t>
      </w:r>
    </w:p>
    <w:p w14:paraId="0DEBDCF3" w14:textId="77777777" w:rsidR="007974E8" w:rsidRPr="00E16672" w:rsidRDefault="007974E8" w:rsidP="007974E8">
      <w:pPr>
        <w:rPr>
          <w:rFonts w:ascii="Times New Roman" w:hAnsi="Times New Roman"/>
          <w:color w:val="000000"/>
          <w:szCs w:val="20"/>
        </w:rPr>
      </w:pPr>
      <w:proofErr w:type="spellStart"/>
      <w:r w:rsidRPr="00E16672">
        <w:rPr>
          <w:rFonts w:ascii="Times New Roman" w:hAnsi="Times New Roman"/>
          <w:color w:val="000000"/>
          <w:szCs w:val="20"/>
        </w:rPr>
        <w:lastRenderedPageBreak/>
        <w:t>Якщо</w:t>
      </w:r>
      <w:proofErr w:type="spellEnd"/>
      <w:r w:rsidRPr="00E16672">
        <w:rPr>
          <w:rFonts w:ascii="Times New Roman" w:hAnsi="Times New Roman"/>
          <w:color w:val="000000"/>
          <w:szCs w:val="20"/>
        </w:rPr>
        <w:t xml:space="preserve"> в </w:t>
      </w:r>
      <w:proofErr w:type="spellStart"/>
      <w:r w:rsidRPr="00E16672">
        <w:rPr>
          <w:rFonts w:ascii="Times New Roman" w:hAnsi="Times New Roman"/>
          <w:color w:val="000000"/>
          <w:szCs w:val="20"/>
        </w:rPr>
        <w:t>анкеті</w:t>
      </w:r>
      <w:proofErr w:type="spellEnd"/>
      <w:r w:rsidRPr="00E16672">
        <w:rPr>
          <w:rFonts w:ascii="Times New Roman" w:hAnsi="Times New Roman"/>
          <w:color w:val="000000"/>
          <w:szCs w:val="20"/>
        </w:rPr>
        <w:t xml:space="preserve"> Депонента </w:t>
      </w:r>
      <w:proofErr w:type="spellStart"/>
      <w:r w:rsidRPr="00E16672">
        <w:rPr>
          <w:rFonts w:ascii="Times New Roman" w:hAnsi="Times New Roman"/>
          <w:color w:val="000000"/>
          <w:szCs w:val="20"/>
        </w:rPr>
        <w:t>відсутні</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реквізити</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діючого</w:t>
      </w:r>
      <w:proofErr w:type="spellEnd"/>
      <w:r w:rsidRPr="00E16672">
        <w:rPr>
          <w:rFonts w:ascii="Times New Roman" w:hAnsi="Times New Roman"/>
          <w:color w:val="000000"/>
          <w:szCs w:val="20"/>
        </w:rPr>
        <w:t xml:space="preserve"> грошового </w:t>
      </w:r>
      <w:proofErr w:type="spellStart"/>
      <w:r w:rsidRPr="00E16672">
        <w:rPr>
          <w:rFonts w:ascii="Times New Roman" w:hAnsi="Times New Roman"/>
          <w:color w:val="000000"/>
          <w:szCs w:val="20"/>
        </w:rPr>
        <w:t>банківського</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рахунку</w:t>
      </w:r>
      <w:proofErr w:type="spellEnd"/>
      <w:r w:rsidRPr="00E16672">
        <w:rPr>
          <w:rFonts w:ascii="Times New Roman" w:hAnsi="Times New Roman"/>
          <w:color w:val="000000"/>
          <w:szCs w:val="20"/>
        </w:rPr>
        <w:t xml:space="preserve"> на дату </w:t>
      </w:r>
      <w:proofErr w:type="spellStart"/>
      <w:r w:rsidRPr="00E16672">
        <w:rPr>
          <w:rFonts w:ascii="Times New Roman" w:hAnsi="Times New Roman"/>
          <w:color w:val="000000"/>
          <w:szCs w:val="20"/>
        </w:rPr>
        <w:t>надходження</w:t>
      </w:r>
      <w:proofErr w:type="spellEnd"/>
      <w:r w:rsidRPr="00E16672">
        <w:rPr>
          <w:rFonts w:ascii="Times New Roman" w:hAnsi="Times New Roman"/>
          <w:color w:val="000000"/>
          <w:szCs w:val="20"/>
        </w:rPr>
        <w:t xml:space="preserve"> до </w:t>
      </w:r>
      <w:proofErr w:type="spellStart"/>
      <w:r w:rsidRPr="00E16672">
        <w:rPr>
          <w:rFonts w:ascii="Times New Roman" w:hAnsi="Times New Roman"/>
          <w:color w:val="000000"/>
          <w:szCs w:val="20"/>
        </w:rPr>
        <w:t>Депозитарної</w:t>
      </w:r>
      <w:proofErr w:type="spellEnd"/>
      <w:r w:rsidRPr="00E16672">
        <w:rPr>
          <w:rFonts w:ascii="Times New Roman" w:hAnsi="Times New Roman"/>
          <w:color w:val="000000"/>
          <w:szCs w:val="20"/>
        </w:rPr>
        <w:t xml:space="preserve"> установи </w:t>
      </w:r>
      <w:proofErr w:type="spellStart"/>
      <w:r w:rsidRPr="00E16672">
        <w:rPr>
          <w:rFonts w:ascii="Times New Roman" w:hAnsi="Times New Roman"/>
          <w:color w:val="000000"/>
          <w:szCs w:val="20"/>
        </w:rPr>
        <w:t>відповідних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коштів</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виплата</w:t>
      </w:r>
      <w:proofErr w:type="spellEnd"/>
      <w:r w:rsidRPr="00E16672">
        <w:rPr>
          <w:rFonts w:ascii="Times New Roman" w:hAnsi="Times New Roman"/>
          <w:color w:val="000000"/>
          <w:szCs w:val="20"/>
        </w:rPr>
        <w:t xml:space="preserve"> доходу за </w:t>
      </w:r>
      <w:proofErr w:type="spellStart"/>
      <w:r w:rsidRPr="00E16672">
        <w:rPr>
          <w:rFonts w:ascii="Times New Roman" w:hAnsi="Times New Roman"/>
          <w:color w:val="000000"/>
          <w:szCs w:val="20"/>
        </w:rPr>
        <w:t>цінними</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паперами</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здійснюється</w:t>
      </w:r>
      <w:proofErr w:type="spellEnd"/>
      <w:r w:rsidRPr="00E16672">
        <w:rPr>
          <w:rFonts w:ascii="Times New Roman" w:hAnsi="Times New Roman"/>
          <w:color w:val="000000"/>
          <w:szCs w:val="20"/>
        </w:rPr>
        <w:t xml:space="preserve"> не </w:t>
      </w:r>
      <w:proofErr w:type="spellStart"/>
      <w:r w:rsidRPr="00E16672">
        <w:rPr>
          <w:rFonts w:ascii="Times New Roman" w:hAnsi="Times New Roman"/>
          <w:color w:val="000000"/>
          <w:szCs w:val="20"/>
        </w:rPr>
        <w:t>пізніше</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ніж</w:t>
      </w:r>
      <w:proofErr w:type="spellEnd"/>
      <w:r w:rsidRPr="00E16672">
        <w:rPr>
          <w:rFonts w:ascii="Times New Roman" w:hAnsi="Times New Roman"/>
          <w:color w:val="000000"/>
          <w:szCs w:val="20"/>
        </w:rPr>
        <w:t xml:space="preserve"> за десять </w:t>
      </w:r>
      <w:proofErr w:type="spellStart"/>
      <w:r w:rsidRPr="00E16672">
        <w:rPr>
          <w:rFonts w:ascii="Times New Roman" w:hAnsi="Times New Roman"/>
          <w:color w:val="000000"/>
          <w:szCs w:val="20"/>
        </w:rPr>
        <w:t>робочих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днів</w:t>
      </w:r>
      <w:proofErr w:type="spellEnd"/>
      <w:r w:rsidRPr="00E16672">
        <w:rPr>
          <w:rFonts w:ascii="Times New Roman" w:hAnsi="Times New Roman"/>
          <w:color w:val="000000"/>
          <w:szCs w:val="20"/>
        </w:rPr>
        <w:t xml:space="preserve"> до </w:t>
      </w:r>
      <w:proofErr w:type="spellStart"/>
      <w:r w:rsidRPr="00E16672">
        <w:rPr>
          <w:rFonts w:ascii="Times New Roman" w:hAnsi="Times New Roman"/>
          <w:color w:val="000000"/>
          <w:szCs w:val="20"/>
        </w:rPr>
        <w:t>закінчення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шестимісячного</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терміну</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знаходження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коштів</w:t>
      </w:r>
      <w:proofErr w:type="spellEnd"/>
      <w:r w:rsidRPr="00E16672">
        <w:rPr>
          <w:rFonts w:ascii="Times New Roman" w:hAnsi="Times New Roman"/>
          <w:color w:val="000000"/>
          <w:szCs w:val="20"/>
        </w:rPr>
        <w:t xml:space="preserve"> у </w:t>
      </w:r>
      <w:proofErr w:type="spellStart"/>
      <w:r w:rsidRPr="00E16672">
        <w:rPr>
          <w:rFonts w:ascii="Times New Roman" w:hAnsi="Times New Roman"/>
          <w:color w:val="000000"/>
          <w:szCs w:val="20"/>
        </w:rPr>
        <w:t>Депозитарній</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установі</w:t>
      </w:r>
      <w:proofErr w:type="spellEnd"/>
      <w:r w:rsidRPr="00E16672">
        <w:rPr>
          <w:rFonts w:ascii="Times New Roman" w:hAnsi="Times New Roman"/>
          <w:color w:val="000000"/>
          <w:szCs w:val="20"/>
        </w:rPr>
        <w:t xml:space="preserve"> у </w:t>
      </w:r>
      <w:proofErr w:type="spellStart"/>
      <w:r w:rsidRPr="00E16672">
        <w:rPr>
          <w:rFonts w:ascii="Times New Roman" w:hAnsi="Times New Roman"/>
          <w:color w:val="000000"/>
          <w:szCs w:val="20"/>
        </w:rPr>
        <w:t>разі</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внесення</w:t>
      </w:r>
      <w:proofErr w:type="spellEnd"/>
      <w:r w:rsidRPr="00E16672">
        <w:rPr>
          <w:rFonts w:ascii="Times New Roman" w:hAnsi="Times New Roman"/>
          <w:color w:val="000000"/>
          <w:szCs w:val="20"/>
        </w:rPr>
        <w:t xml:space="preserve"> Депонентом до </w:t>
      </w:r>
      <w:proofErr w:type="spellStart"/>
      <w:r w:rsidRPr="00E16672">
        <w:rPr>
          <w:rFonts w:ascii="Times New Roman" w:hAnsi="Times New Roman"/>
          <w:color w:val="000000"/>
          <w:szCs w:val="20"/>
        </w:rPr>
        <w:t>анкети</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рахунку</w:t>
      </w:r>
      <w:proofErr w:type="spellEnd"/>
      <w:r w:rsidRPr="00E16672">
        <w:rPr>
          <w:rFonts w:ascii="Times New Roman" w:hAnsi="Times New Roman"/>
          <w:color w:val="000000"/>
          <w:szCs w:val="20"/>
        </w:rPr>
        <w:t xml:space="preserve"> </w:t>
      </w:r>
      <w:r w:rsidR="00C22309" w:rsidRPr="00E16672">
        <w:rPr>
          <w:rFonts w:ascii="Times New Roman" w:hAnsi="Times New Roman"/>
          <w:color w:val="000000"/>
          <w:szCs w:val="20"/>
        </w:rPr>
        <w:t xml:space="preserve">в </w:t>
      </w:r>
      <w:proofErr w:type="spellStart"/>
      <w:r w:rsidR="00C22309" w:rsidRPr="00E16672">
        <w:rPr>
          <w:rFonts w:ascii="Times New Roman" w:hAnsi="Times New Roman"/>
          <w:color w:val="000000"/>
          <w:szCs w:val="20"/>
        </w:rPr>
        <w:t>цін</w:t>
      </w:r>
      <w:r w:rsidRPr="00E16672">
        <w:rPr>
          <w:rFonts w:ascii="Times New Roman" w:hAnsi="Times New Roman"/>
          <w:color w:val="000000"/>
          <w:szCs w:val="20"/>
        </w:rPr>
        <w:t>них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паперах</w:t>
      </w:r>
      <w:proofErr w:type="spellEnd"/>
      <w:r w:rsidRPr="00E16672">
        <w:rPr>
          <w:rFonts w:ascii="Times New Roman" w:hAnsi="Times New Roman"/>
          <w:color w:val="000000"/>
          <w:szCs w:val="20"/>
        </w:rPr>
        <w:t xml:space="preserve"> не </w:t>
      </w:r>
      <w:proofErr w:type="spellStart"/>
      <w:r w:rsidRPr="00E16672">
        <w:rPr>
          <w:rFonts w:ascii="Times New Roman" w:hAnsi="Times New Roman"/>
          <w:color w:val="000000"/>
          <w:szCs w:val="20"/>
        </w:rPr>
        <w:t>пізніше</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ніж</w:t>
      </w:r>
      <w:proofErr w:type="spellEnd"/>
      <w:r w:rsidRPr="00E16672">
        <w:rPr>
          <w:rFonts w:ascii="Times New Roman" w:hAnsi="Times New Roman"/>
          <w:color w:val="000000"/>
          <w:szCs w:val="20"/>
        </w:rPr>
        <w:t xml:space="preserve"> за </w:t>
      </w:r>
      <w:proofErr w:type="spellStart"/>
      <w:r w:rsidRPr="00E16672">
        <w:rPr>
          <w:rFonts w:ascii="Times New Roman" w:hAnsi="Times New Roman"/>
          <w:color w:val="000000"/>
          <w:szCs w:val="20"/>
        </w:rPr>
        <w:t>п'ятнадцять</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робочих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днів</w:t>
      </w:r>
      <w:proofErr w:type="spellEnd"/>
      <w:r w:rsidRPr="00E16672">
        <w:rPr>
          <w:rFonts w:ascii="Times New Roman" w:hAnsi="Times New Roman"/>
          <w:color w:val="000000"/>
          <w:szCs w:val="20"/>
        </w:rPr>
        <w:t xml:space="preserve"> до </w:t>
      </w:r>
      <w:proofErr w:type="spellStart"/>
      <w:r w:rsidRPr="00E16672">
        <w:rPr>
          <w:rFonts w:ascii="Times New Roman" w:hAnsi="Times New Roman"/>
          <w:color w:val="000000"/>
          <w:szCs w:val="20"/>
        </w:rPr>
        <w:t>закінчення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зазначеного</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терміну</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інформації</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щодо</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діючого</w:t>
      </w:r>
      <w:proofErr w:type="spellEnd"/>
      <w:r w:rsidRPr="00E16672">
        <w:rPr>
          <w:rFonts w:ascii="Times New Roman" w:hAnsi="Times New Roman"/>
          <w:color w:val="000000"/>
          <w:szCs w:val="20"/>
        </w:rPr>
        <w:t xml:space="preserve"> грошового </w:t>
      </w:r>
      <w:proofErr w:type="spellStart"/>
      <w:r w:rsidRPr="00E16672">
        <w:rPr>
          <w:rFonts w:ascii="Times New Roman" w:hAnsi="Times New Roman"/>
          <w:color w:val="000000"/>
          <w:szCs w:val="20"/>
        </w:rPr>
        <w:t>банківського</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рахунку</w:t>
      </w:r>
      <w:proofErr w:type="spellEnd"/>
      <w:r w:rsidRPr="00E16672">
        <w:rPr>
          <w:rFonts w:ascii="Times New Roman" w:hAnsi="Times New Roman"/>
          <w:color w:val="000000"/>
          <w:szCs w:val="20"/>
        </w:rPr>
        <w:t xml:space="preserve">. </w:t>
      </w:r>
    </w:p>
    <w:p w14:paraId="2C881691" w14:textId="77777777" w:rsidR="007974E8" w:rsidRPr="00E16672" w:rsidRDefault="007974E8" w:rsidP="007974E8">
      <w:pPr>
        <w:rPr>
          <w:rFonts w:ascii="Times New Roman" w:hAnsi="Times New Roman"/>
          <w:color w:val="000000"/>
          <w:szCs w:val="20"/>
        </w:rPr>
      </w:pPr>
      <w:proofErr w:type="spellStart"/>
      <w:r w:rsidRPr="00E16672">
        <w:rPr>
          <w:rFonts w:ascii="Times New Roman" w:hAnsi="Times New Roman"/>
          <w:color w:val="000000"/>
          <w:szCs w:val="20"/>
        </w:rPr>
        <w:t>Щодо</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коштів</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які</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надійшли</w:t>
      </w:r>
      <w:proofErr w:type="spellEnd"/>
      <w:r w:rsidRPr="00E16672">
        <w:rPr>
          <w:rFonts w:ascii="Times New Roman" w:hAnsi="Times New Roman"/>
          <w:color w:val="000000"/>
          <w:szCs w:val="20"/>
        </w:rPr>
        <w:t xml:space="preserve"> на </w:t>
      </w:r>
      <w:proofErr w:type="spellStart"/>
      <w:r w:rsidRPr="00E16672">
        <w:rPr>
          <w:rFonts w:ascii="Times New Roman" w:hAnsi="Times New Roman"/>
          <w:color w:val="000000"/>
          <w:szCs w:val="20"/>
        </w:rPr>
        <w:t>грошовий</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рахунок</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Депозитарної</w:t>
      </w:r>
      <w:proofErr w:type="spellEnd"/>
      <w:r w:rsidRPr="00E16672">
        <w:rPr>
          <w:rFonts w:ascii="Times New Roman" w:hAnsi="Times New Roman"/>
          <w:color w:val="000000"/>
          <w:szCs w:val="20"/>
        </w:rPr>
        <w:t xml:space="preserve"> установи з метою </w:t>
      </w:r>
      <w:proofErr w:type="spellStart"/>
      <w:r w:rsidRPr="00E16672">
        <w:rPr>
          <w:rFonts w:ascii="Times New Roman" w:hAnsi="Times New Roman"/>
          <w:color w:val="000000"/>
          <w:szCs w:val="20"/>
        </w:rPr>
        <w:t>їх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подальшого</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переказу</w:t>
      </w:r>
      <w:proofErr w:type="spellEnd"/>
      <w:r w:rsidRPr="00E16672">
        <w:rPr>
          <w:rFonts w:ascii="Times New Roman" w:hAnsi="Times New Roman"/>
          <w:color w:val="000000"/>
          <w:szCs w:val="20"/>
        </w:rPr>
        <w:t xml:space="preserve"> та не </w:t>
      </w:r>
      <w:proofErr w:type="spellStart"/>
      <w:r w:rsidRPr="00E16672">
        <w:rPr>
          <w:rFonts w:ascii="Times New Roman" w:hAnsi="Times New Roman"/>
          <w:color w:val="000000"/>
          <w:szCs w:val="20"/>
        </w:rPr>
        <w:t>були</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виплачені</w:t>
      </w:r>
      <w:proofErr w:type="spellEnd"/>
      <w:r w:rsidRPr="00E16672">
        <w:rPr>
          <w:rFonts w:ascii="Times New Roman" w:hAnsi="Times New Roman"/>
          <w:color w:val="000000"/>
          <w:szCs w:val="20"/>
        </w:rPr>
        <w:t xml:space="preserve"> Депоненту через </w:t>
      </w:r>
      <w:proofErr w:type="spellStart"/>
      <w:r w:rsidRPr="00E16672">
        <w:rPr>
          <w:rFonts w:ascii="Times New Roman" w:hAnsi="Times New Roman"/>
          <w:color w:val="000000"/>
          <w:szCs w:val="20"/>
        </w:rPr>
        <w:t>незалежні</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від</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Депозитарної</w:t>
      </w:r>
      <w:proofErr w:type="spellEnd"/>
      <w:r w:rsidRPr="00E16672">
        <w:rPr>
          <w:rFonts w:ascii="Times New Roman" w:hAnsi="Times New Roman"/>
          <w:color w:val="000000"/>
          <w:szCs w:val="20"/>
        </w:rPr>
        <w:t xml:space="preserve"> установи </w:t>
      </w:r>
      <w:proofErr w:type="spellStart"/>
      <w:r w:rsidRPr="00E16672">
        <w:rPr>
          <w:rFonts w:ascii="Times New Roman" w:hAnsi="Times New Roman"/>
          <w:color w:val="000000"/>
          <w:szCs w:val="20"/>
        </w:rPr>
        <w:t>обставини</w:t>
      </w:r>
      <w:proofErr w:type="spellEnd"/>
      <w:r w:rsidRPr="00E16672">
        <w:rPr>
          <w:rFonts w:ascii="Times New Roman" w:hAnsi="Times New Roman"/>
          <w:color w:val="000000"/>
          <w:szCs w:val="20"/>
        </w:rPr>
        <w:t xml:space="preserve"> у </w:t>
      </w:r>
      <w:proofErr w:type="spellStart"/>
      <w:r w:rsidRPr="00E16672">
        <w:rPr>
          <w:rFonts w:ascii="Times New Roman" w:hAnsi="Times New Roman"/>
          <w:color w:val="000000"/>
          <w:szCs w:val="20"/>
        </w:rPr>
        <w:t>разі</w:t>
      </w:r>
      <w:proofErr w:type="spellEnd"/>
      <w:r w:rsidRPr="00E16672">
        <w:rPr>
          <w:rFonts w:ascii="Times New Roman" w:hAnsi="Times New Roman"/>
          <w:color w:val="000000"/>
          <w:szCs w:val="20"/>
        </w:rPr>
        <w:t xml:space="preserve"> не </w:t>
      </w:r>
      <w:proofErr w:type="spellStart"/>
      <w:r w:rsidRPr="00E16672">
        <w:rPr>
          <w:rFonts w:ascii="Times New Roman" w:hAnsi="Times New Roman"/>
          <w:color w:val="000000"/>
          <w:szCs w:val="20"/>
        </w:rPr>
        <w:t>вчинення</w:t>
      </w:r>
      <w:proofErr w:type="spellEnd"/>
      <w:r w:rsidRPr="00E16672">
        <w:rPr>
          <w:rFonts w:ascii="Times New Roman" w:hAnsi="Times New Roman"/>
          <w:color w:val="000000"/>
          <w:szCs w:val="20"/>
        </w:rPr>
        <w:t xml:space="preserve"> Депонентом </w:t>
      </w:r>
      <w:proofErr w:type="spellStart"/>
      <w:r w:rsidRPr="00E16672">
        <w:rPr>
          <w:rFonts w:ascii="Times New Roman" w:hAnsi="Times New Roman"/>
          <w:color w:val="000000"/>
          <w:szCs w:val="20"/>
        </w:rPr>
        <w:t>необхідних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дій</w:t>
      </w:r>
      <w:proofErr w:type="spellEnd"/>
      <w:r w:rsidRPr="00E16672">
        <w:rPr>
          <w:rFonts w:ascii="Times New Roman" w:hAnsi="Times New Roman"/>
          <w:color w:val="000000"/>
          <w:szCs w:val="20"/>
        </w:rPr>
        <w:t xml:space="preserve"> для </w:t>
      </w:r>
      <w:proofErr w:type="spellStart"/>
      <w:r w:rsidRPr="00E16672">
        <w:rPr>
          <w:rFonts w:ascii="Times New Roman" w:hAnsi="Times New Roman"/>
          <w:color w:val="000000"/>
          <w:szCs w:val="20"/>
        </w:rPr>
        <w:t>їх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отримання</w:t>
      </w:r>
      <w:proofErr w:type="spellEnd"/>
      <w:r w:rsidRPr="00E16672">
        <w:rPr>
          <w:rFonts w:ascii="Times New Roman" w:hAnsi="Times New Roman"/>
          <w:color w:val="000000"/>
          <w:szCs w:val="20"/>
        </w:rPr>
        <w:t xml:space="preserve">, Депозитарною </w:t>
      </w:r>
      <w:proofErr w:type="spellStart"/>
      <w:r w:rsidRPr="00E16672">
        <w:rPr>
          <w:rFonts w:ascii="Times New Roman" w:hAnsi="Times New Roman"/>
          <w:color w:val="000000"/>
          <w:szCs w:val="20"/>
        </w:rPr>
        <w:t>установою</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вчиняються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дії</w:t>
      </w:r>
      <w:proofErr w:type="spellEnd"/>
      <w:r w:rsidRPr="00E16672">
        <w:rPr>
          <w:rFonts w:ascii="Times New Roman" w:hAnsi="Times New Roman"/>
          <w:color w:val="000000"/>
          <w:szCs w:val="20"/>
        </w:rPr>
        <w:t xml:space="preserve"> </w:t>
      </w:r>
      <w:proofErr w:type="gramStart"/>
      <w:r w:rsidRPr="00E16672">
        <w:rPr>
          <w:rFonts w:ascii="Times New Roman" w:hAnsi="Times New Roman"/>
          <w:color w:val="000000"/>
          <w:szCs w:val="20"/>
        </w:rPr>
        <w:t>у порядку</w:t>
      </w:r>
      <w:proofErr w:type="gram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передбаченому</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законодавством</w:t>
      </w:r>
      <w:proofErr w:type="spellEnd"/>
      <w:r w:rsidRPr="00E16672">
        <w:rPr>
          <w:rFonts w:ascii="Times New Roman" w:hAnsi="Times New Roman"/>
          <w:color w:val="000000"/>
          <w:szCs w:val="20"/>
        </w:rPr>
        <w:t xml:space="preserve"> та/</w:t>
      </w:r>
      <w:proofErr w:type="spellStart"/>
      <w:r w:rsidRPr="00E16672">
        <w:rPr>
          <w:rFonts w:ascii="Times New Roman" w:hAnsi="Times New Roman"/>
          <w:color w:val="000000"/>
          <w:szCs w:val="20"/>
        </w:rPr>
        <w:t>або</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внутрішніми</w:t>
      </w:r>
      <w:proofErr w:type="spellEnd"/>
      <w:r w:rsidRPr="00E16672">
        <w:rPr>
          <w:rFonts w:ascii="Times New Roman" w:hAnsi="Times New Roman"/>
          <w:color w:val="000000"/>
          <w:szCs w:val="20"/>
        </w:rPr>
        <w:t xml:space="preserve"> документами </w:t>
      </w:r>
      <w:proofErr w:type="spellStart"/>
      <w:r w:rsidRPr="00E16672">
        <w:rPr>
          <w:rFonts w:ascii="Times New Roman" w:hAnsi="Times New Roman"/>
          <w:color w:val="000000"/>
          <w:szCs w:val="20"/>
        </w:rPr>
        <w:t>Депозитарної</w:t>
      </w:r>
      <w:proofErr w:type="spellEnd"/>
      <w:r w:rsidRPr="00E16672">
        <w:rPr>
          <w:rFonts w:ascii="Times New Roman" w:hAnsi="Times New Roman"/>
          <w:color w:val="000000"/>
          <w:szCs w:val="20"/>
        </w:rPr>
        <w:t xml:space="preserve"> установи.</w:t>
      </w:r>
    </w:p>
    <w:p w14:paraId="7BD68CAB" w14:textId="77777777" w:rsidR="007974E8" w:rsidRPr="00E16672" w:rsidRDefault="007974E8" w:rsidP="007974E8">
      <w:pPr>
        <w:rPr>
          <w:rFonts w:ascii="Times New Roman" w:hAnsi="Times New Roman"/>
          <w:color w:val="000000"/>
          <w:szCs w:val="20"/>
          <w:lang w:val="uk-UA"/>
        </w:rPr>
      </w:pPr>
      <w:r w:rsidRPr="00E16672">
        <w:rPr>
          <w:rFonts w:ascii="Times New Roman" w:hAnsi="Times New Roman"/>
          <w:color w:val="000000"/>
          <w:szCs w:val="20"/>
        </w:rPr>
        <w:t>1</w:t>
      </w:r>
      <w:r w:rsidRPr="00E16672">
        <w:rPr>
          <w:rFonts w:ascii="Times New Roman" w:hAnsi="Times New Roman"/>
          <w:color w:val="000000"/>
          <w:szCs w:val="20"/>
          <w:lang w:val="uk-UA"/>
        </w:rPr>
        <w:t>1</w:t>
      </w:r>
      <w:r w:rsidRPr="00E16672">
        <w:rPr>
          <w:rFonts w:ascii="Times New Roman" w:hAnsi="Times New Roman"/>
          <w:color w:val="000000"/>
          <w:szCs w:val="20"/>
        </w:rPr>
        <w:t xml:space="preserve">.1.2. У </w:t>
      </w:r>
      <w:proofErr w:type="spellStart"/>
      <w:r w:rsidRPr="00E16672">
        <w:rPr>
          <w:rFonts w:ascii="Times New Roman" w:hAnsi="Times New Roman"/>
          <w:color w:val="000000"/>
          <w:szCs w:val="20"/>
        </w:rPr>
        <w:t>термін</w:t>
      </w:r>
      <w:proofErr w:type="spellEnd"/>
      <w:r w:rsidRPr="00E16672">
        <w:rPr>
          <w:rFonts w:ascii="Times New Roman" w:hAnsi="Times New Roman"/>
          <w:color w:val="000000"/>
          <w:szCs w:val="20"/>
        </w:rPr>
        <w:t xml:space="preserve"> не </w:t>
      </w:r>
      <w:proofErr w:type="spellStart"/>
      <w:r w:rsidRPr="00E16672">
        <w:rPr>
          <w:rFonts w:ascii="Times New Roman" w:hAnsi="Times New Roman"/>
          <w:color w:val="000000"/>
          <w:szCs w:val="20"/>
        </w:rPr>
        <w:t>пізніше</w:t>
      </w:r>
      <w:proofErr w:type="spellEnd"/>
      <w:r w:rsidRPr="00E16672">
        <w:rPr>
          <w:rFonts w:ascii="Times New Roman" w:hAnsi="Times New Roman"/>
          <w:color w:val="000000"/>
          <w:szCs w:val="20"/>
        </w:rPr>
        <w:t xml:space="preserve"> десяти </w:t>
      </w:r>
      <w:proofErr w:type="spellStart"/>
      <w:r w:rsidRPr="00E16672">
        <w:rPr>
          <w:rFonts w:ascii="Times New Roman" w:hAnsi="Times New Roman"/>
          <w:color w:val="000000"/>
          <w:szCs w:val="20"/>
        </w:rPr>
        <w:t>робочих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днів</w:t>
      </w:r>
      <w:proofErr w:type="spellEnd"/>
      <w:r w:rsidRPr="00E16672">
        <w:rPr>
          <w:rFonts w:ascii="Times New Roman" w:hAnsi="Times New Roman"/>
          <w:color w:val="000000"/>
          <w:szCs w:val="20"/>
        </w:rPr>
        <w:t xml:space="preserve"> з моменту </w:t>
      </w:r>
      <w:proofErr w:type="spellStart"/>
      <w:r w:rsidRPr="00E16672">
        <w:rPr>
          <w:rFonts w:ascii="Times New Roman" w:hAnsi="Times New Roman"/>
          <w:color w:val="000000"/>
          <w:szCs w:val="20"/>
        </w:rPr>
        <w:t>надходження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відповідних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коштів</w:t>
      </w:r>
      <w:proofErr w:type="spellEnd"/>
      <w:r w:rsidRPr="00E16672">
        <w:rPr>
          <w:rFonts w:ascii="Times New Roman" w:hAnsi="Times New Roman"/>
          <w:color w:val="000000"/>
          <w:szCs w:val="20"/>
        </w:rPr>
        <w:t xml:space="preserve"> на </w:t>
      </w:r>
      <w:proofErr w:type="spellStart"/>
      <w:r w:rsidRPr="00E16672">
        <w:rPr>
          <w:rFonts w:ascii="Times New Roman" w:hAnsi="Times New Roman"/>
          <w:color w:val="000000"/>
          <w:szCs w:val="20"/>
        </w:rPr>
        <w:t>грошовий</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рахунок</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Депозитарної</w:t>
      </w:r>
      <w:proofErr w:type="spellEnd"/>
      <w:r w:rsidRPr="00E16672">
        <w:rPr>
          <w:rFonts w:ascii="Times New Roman" w:hAnsi="Times New Roman"/>
          <w:color w:val="000000"/>
          <w:szCs w:val="20"/>
        </w:rPr>
        <w:t xml:space="preserve"> установи </w:t>
      </w:r>
      <w:proofErr w:type="spellStart"/>
      <w:r w:rsidRPr="00E16672">
        <w:rPr>
          <w:rFonts w:ascii="Times New Roman" w:hAnsi="Times New Roman"/>
          <w:color w:val="000000"/>
          <w:szCs w:val="20"/>
        </w:rPr>
        <w:t>Депозитарна</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установа</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здійснює</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виплату</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грошових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коштів</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отриманих</w:t>
      </w:r>
      <w:proofErr w:type="spellEnd"/>
      <w:r w:rsidRPr="00E16672">
        <w:rPr>
          <w:rFonts w:ascii="Times New Roman" w:hAnsi="Times New Roman"/>
          <w:color w:val="000000"/>
          <w:szCs w:val="20"/>
        </w:rPr>
        <w:t xml:space="preserve"> Депонентом за результатами </w:t>
      </w:r>
      <w:proofErr w:type="spellStart"/>
      <w:r w:rsidRPr="00E16672">
        <w:rPr>
          <w:rFonts w:ascii="Times New Roman" w:hAnsi="Times New Roman"/>
          <w:color w:val="000000"/>
          <w:szCs w:val="20"/>
        </w:rPr>
        <w:t>погашення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цінних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паперів</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емітента</w:t>
      </w:r>
      <w:proofErr w:type="spellEnd"/>
      <w:r w:rsidRPr="00E16672">
        <w:rPr>
          <w:rFonts w:ascii="Times New Roman" w:hAnsi="Times New Roman"/>
          <w:color w:val="000000"/>
          <w:szCs w:val="20"/>
        </w:rPr>
        <w:t xml:space="preserve">, шляхом </w:t>
      </w:r>
      <w:proofErr w:type="spellStart"/>
      <w:r w:rsidRPr="00E16672">
        <w:rPr>
          <w:rFonts w:ascii="Times New Roman" w:hAnsi="Times New Roman"/>
          <w:color w:val="000000"/>
          <w:szCs w:val="20"/>
        </w:rPr>
        <w:t>перерахування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грошових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коштів</w:t>
      </w:r>
      <w:proofErr w:type="spellEnd"/>
      <w:r w:rsidRPr="00E16672">
        <w:rPr>
          <w:rFonts w:ascii="Times New Roman" w:hAnsi="Times New Roman"/>
          <w:color w:val="000000"/>
          <w:szCs w:val="20"/>
        </w:rPr>
        <w:t xml:space="preserve"> на </w:t>
      </w:r>
      <w:proofErr w:type="spellStart"/>
      <w:r w:rsidRPr="00E16672">
        <w:rPr>
          <w:rFonts w:ascii="Times New Roman" w:hAnsi="Times New Roman"/>
          <w:color w:val="000000"/>
          <w:szCs w:val="20"/>
        </w:rPr>
        <w:t>грошовий</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банківський</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рахунок</w:t>
      </w:r>
      <w:proofErr w:type="spellEnd"/>
      <w:r w:rsidRPr="00E16672">
        <w:rPr>
          <w:rFonts w:ascii="Times New Roman" w:hAnsi="Times New Roman"/>
          <w:color w:val="000000"/>
          <w:szCs w:val="20"/>
        </w:rPr>
        <w:t xml:space="preserve"> Депонента, </w:t>
      </w:r>
      <w:proofErr w:type="spellStart"/>
      <w:r w:rsidRPr="00E16672">
        <w:rPr>
          <w:rFonts w:ascii="Times New Roman" w:hAnsi="Times New Roman"/>
          <w:color w:val="000000"/>
          <w:szCs w:val="20"/>
        </w:rPr>
        <w:t>зазначений</w:t>
      </w:r>
      <w:proofErr w:type="spellEnd"/>
      <w:r w:rsidRPr="00E16672">
        <w:rPr>
          <w:rFonts w:ascii="Times New Roman" w:hAnsi="Times New Roman"/>
          <w:color w:val="000000"/>
          <w:szCs w:val="20"/>
        </w:rPr>
        <w:t xml:space="preserve"> в </w:t>
      </w:r>
      <w:proofErr w:type="spellStart"/>
      <w:r w:rsidRPr="00E16672">
        <w:rPr>
          <w:rFonts w:ascii="Times New Roman" w:hAnsi="Times New Roman"/>
          <w:color w:val="000000"/>
          <w:szCs w:val="20"/>
        </w:rPr>
        <w:t>анкеті</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рахунку</w:t>
      </w:r>
      <w:proofErr w:type="spellEnd"/>
      <w:r w:rsidRPr="00E16672">
        <w:rPr>
          <w:rFonts w:ascii="Times New Roman" w:hAnsi="Times New Roman"/>
          <w:color w:val="000000"/>
          <w:szCs w:val="20"/>
        </w:rPr>
        <w:t xml:space="preserve"> в </w:t>
      </w:r>
      <w:proofErr w:type="spellStart"/>
      <w:r w:rsidRPr="00E16672">
        <w:rPr>
          <w:rFonts w:ascii="Times New Roman" w:hAnsi="Times New Roman"/>
          <w:color w:val="000000"/>
          <w:szCs w:val="20"/>
        </w:rPr>
        <w:t>цінних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паперах</w:t>
      </w:r>
      <w:proofErr w:type="spellEnd"/>
      <w:r w:rsidRPr="00E16672">
        <w:rPr>
          <w:rFonts w:ascii="Times New Roman" w:hAnsi="Times New Roman"/>
          <w:color w:val="000000"/>
          <w:szCs w:val="20"/>
        </w:rPr>
        <w:t xml:space="preserve"> Депонента. </w:t>
      </w:r>
      <w:proofErr w:type="spellStart"/>
      <w:r w:rsidRPr="00E16672">
        <w:rPr>
          <w:rFonts w:ascii="Times New Roman" w:hAnsi="Times New Roman"/>
          <w:color w:val="000000"/>
          <w:szCs w:val="20"/>
        </w:rPr>
        <w:t>Вищезазначені</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дії</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виконуються</w:t>
      </w:r>
      <w:proofErr w:type="spellEnd"/>
      <w:r w:rsidRPr="00E16672">
        <w:rPr>
          <w:rFonts w:ascii="Times New Roman" w:hAnsi="Times New Roman"/>
          <w:color w:val="000000"/>
          <w:szCs w:val="20"/>
        </w:rPr>
        <w:t xml:space="preserve"> Депозитарною </w:t>
      </w:r>
      <w:proofErr w:type="spellStart"/>
      <w:r w:rsidRPr="00E16672">
        <w:rPr>
          <w:rFonts w:ascii="Times New Roman" w:hAnsi="Times New Roman"/>
          <w:color w:val="000000"/>
          <w:szCs w:val="20"/>
        </w:rPr>
        <w:t>установою</w:t>
      </w:r>
      <w:proofErr w:type="spellEnd"/>
      <w:r w:rsidRPr="00E16672">
        <w:rPr>
          <w:rFonts w:ascii="Times New Roman" w:hAnsi="Times New Roman"/>
          <w:color w:val="000000"/>
          <w:szCs w:val="20"/>
        </w:rPr>
        <w:t xml:space="preserve"> у </w:t>
      </w:r>
      <w:proofErr w:type="spellStart"/>
      <w:r w:rsidRPr="00E16672">
        <w:rPr>
          <w:rFonts w:ascii="Times New Roman" w:hAnsi="Times New Roman"/>
          <w:color w:val="000000"/>
          <w:szCs w:val="20"/>
        </w:rPr>
        <w:t>разі</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наявності</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реквізитів</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діючого</w:t>
      </w:r>
      <w:proofErr w:type="spellEnd"/>
      <w:r w:rsidRPr="00E16672">
        <w:rPr>
          <w:rFonts w:ascii="Times New Roman" w:hAnsi="Times New Roman"/>
          <w:color w:val="000000"/>
          <w:szCs w:val="20"/>
        </w:rPr>
        <w:t xml:space="preserve"> грошового </w:t>
      </w:r>
      <w:proofErr w:type="spellStart"/>
      <w:r w:rsidRPr="00E16672">
        <w:rPr>
          <w:rFonts w:ascii="Times New Roman" w:hAnsi="Times New Roman"/>
          <w:color w:val="000000"/>
          <w:szCs w:val="20"/>
        </w:rPr>
        <w:t>банківського</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рахунку</w:t>
      </w:r>
      <w:proofErr w:type="spellEnd"/>
      <w:r w:rsidRPr="00E16672">
        <w:rPr>
          <w:rFonts w:ascii="Times New Roman" w:hAnsi="Times New Roman"/>
          <w:color w:val="000000"/>
          <w:szCs w:val="20"/>
        </w:rPr>
        <w:t xml:space="preserve"> в </w:t>
      </w:r>
      <w:proofErr w:type="spellStart"/>
      <w:r w:rsidRPr="00E16672">
        <w:rPr>
          <w:rFonts w:ascii="Times New Roman" w:hAnsi="Times New Roman"/>
          <w:color w:val="000000"/>
          <w:szCs w:val="20"/>
        </w:rPr>
        <w:t>анкеті</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рахунку</w:t>
      </w:r>
      <w:proofErr w:type="spellEnd"/>
      <w:r w:rsidRPr="00E16672">
        <w:rPr>
          <w:rFonts w:ascii="Times New Roman" w:hAnsi="Times New Roman"/>
          <w:color w:val="000000"/>
          <w:szCs w:val="20"/>
        </w:rPr>
        <w:t xml:space="preserve"> </w:t>
      </w:r>
      <w:r w:rsidR="00C22309" w:rsidRPr="00E16672">
        <w:rPr>
          <w:rFonts w:ascii="Times New Roman" w:hAnsi="Times New Roman"/>
          <w:color w:val="000000"/>
          <w:szCs w:val="20"/>
        </w:rPr>
        <w:t xml:space="preserve">в </w:t>
      </w:r>
      <w:proofErr w:type="spellStart"/>
      <w:r w:rsidR="00C22309" w:rsidRPr="00E16672">
        <w:rPr>
          <w:rFonts w:ascii="Times New Roman" w:hAnsi="Times New Roman"/>
          <w:color w:val="000000"/>
          <w:szCs w:val="20"/>
        </w:rPr>
        <w:t>цін</w:t>
      </w:r>
      <w:r w:rsidRPr="00E16672">
        <w:rPr>
          <w:rFonts w:ascii="Times New Roman" w:hAnsi="Times New Roman"/>
          <w:color w:val="000000"/>
          <w:szCs w:val="20"/>
        </w:rPr>
        <w:t>них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паперах</w:t>
      </w:r>
      <w:proofErr w:type="spellEnd"/>
      <w:r w:rsidRPr="00E16672">
        <w:rPr>
          <w:rFonts w:ascii="Times New Roman" w:hAnsi="Times New Roman"/>
          <w:color w:val="000000"/>
          <w:szCs w:val="20"/>
        </w:rPr>
        <w:t xml:space="preserve"> Депонента на момент </w:t>
      </w:r>
      <w:proofErr w:type="spellStart"/>
      <w:r w:rsidRPr="00E16672">
        <w:rPr>
          <w:rFonts w:ascii="Times New Roman" w:hAnsi="Times New Roman"/>
          <w:color w:val="000000"/>
          <w:szCs w:val="20"/>
        </w:rPr>
        <w:t>надходження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відповідних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коштів</w:t>
      </w:r>
      <w:proofErr w:type="spellEnd"/>
      <w:r w:rsidRPr="00E16672">
        <w:rPr>
          <w:rFonts w:ascii="Times New Roman" w:hAnsi="Times New Roman"/>
          <w:color w:val="000000"/>
          <w:szCs w:val="20"/>
        </w:rPr>
        <w:t xml:space="preserve"> на </w:t>
      </w:r>
      <w:proofErr w:type="spellStart"/>
      <w:r w:rsidRPr="00E16672">
        <w:rPr>
          <w:rFonts w:ascii="Times New Roman" w:hAnsi="Times New Roman"/>
          <w:color w:val="000000"/>
          <w:szCs w:val="20"/>
        </w:rPr>
        <w:t>грошовий</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рахунок</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Депозитарної</w:t>
      </w:r>
      <w:proofErr w:type="spellEnd"/>
      <w:r w:rsidRPr="00E16672">
        <w:rPr>
          <w:rFonts w:ascii="Times New Roman" w:hAnsi="Times New Roman"/>
          <w:color w:val="000000"/>
          <w:szCs w:val="20"/>
        </w:rPr>
        <w:t xml:space="preserve"> установи.</w:t>
      </w:r>
    </w:p>
    <w:p w14:paraId="70DF6DB6" w14:textId="77777777" w:rsidR="007974E8" w:rsidRPr="00E16672" w:rsidRDefault="007974E8" w:rsidP="007974E8">
      <w:pPr>
        <w:rPr>
          <w:rFonts w:ascii="Times New Roman" w:hAnsi="Times New Roman"/>
          <w:color w:val="000000"/>
          <w:szCs w:val="20"/>
        </w:rPr>
      </w:pPr>
      <w:r w:rsidRPr="00E16672">
        <w:rPr>
          <w:rFonts w:ascii="Times New Roman" w:hAnsi="Times New Roman"/>
          <w:color w:val="000000"/>
          <w:szCs w:val="20"/>
        </w:rPr>
        <w:t>1</w:t>
      </w:r>
      <w:r w:rsidRPr="00E16672">
        <w:rPr>
          <w:rFonts w:ascii="Times New Roman" w:hAnsi="Times New Roman"/>
          <w:color w:val="000000"/>
          <w:szCs w:val="20"/>
          <w:lang w:val="uk-UA"/>
        </w:rPr>
        <w:t>1</w:t>
      </w:r>
      <w:r w:rsidRPr="00E16672">
        <w:rPr>
          <w:rFonts w:ascii="Times New Roman" w:hAnsi="Times New Roman"/>
          <w:color w:val="000000"/>
          <w:szCs w:val="20"/>
        </w:rPr>
        <w:t xml:space="preserve">.1.3. </w:t>
      </w:r>
      <w:proofErr w:type="spellStart"/>
      <w:r w:rsidRPr="00E16672">
        <w:rPr>
          <w:rFonts w:ascii="Times New Roman" w:hAnsi="Times New Roman"/>
          <w:color w:val="000000"/>
          <w:szCs w:val="20"/>
        </w:rPr>
        <w:t>Якщо</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виплата</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доходів</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здійснюється</w:t>
      </w:r>
      <w:proofErr w:type="spellEnd"/>
      <w:r w:rsidRPr="00E16672">
        <w:rPr>
          <w:rFonts w:ascii="Times New Roman" w:hAnsi="Times New Roman"/>
          <w:color w:val="000000"/>
          <w:szCs w:val="20"/>
        </w:rPr>
        <w:t xml:space="preserve"> </w:t>
      </w:r>
      <w:r w:rsidR="00C22309" w:rsidRPr="00E16672">
        <w:rPr>
          <w:rFonts w:ascii="Times New Roman" w:hAnsi="Times New Roman"/>
          <w:color w:val="000000"/>
          <w:szCs w:val="20"/>
        </w:rPr>
        <w:t xml:space="preserve">в </w:t>
      </w:r>
      <w:proofErr w:type="spellStart"/>
      <w:r w:rsidR="00C22309" w:rsidRPr="00E16672">
        <w:rPr>
          <w:rFonts w:ascii="Times New Roman" w:hAnsi="Times New Roman"/>
          <w:color w:val="000000"/>
          <w:szCs w:val="20"/>
        </w:rPr>
        <w:t>цін</w:t>
      </w:r>
      <w:r w:rsidRPr="00E16672">
        <w:rPr>
          <w:rFonts w:ascii="Times New Roman" w:hAnsi="Times New Roman"/>
          <w:color w:val="000000"/>
          <w:szCs w:val="20"/>
        </w:rPr>
        <w:t>них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паперах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після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надходження</w:t>
      </w:r>
      <w:proofErr w:type="spellEnd"/>
      <w:r w:rsidRPr="00E16672">
        <w:rPr>
          <w:rFonts w:ascii="Times New Roman" w:hAnsi="Times New Roman"/>
          <w:color w:val="000000"/>
          <w:szCs w:val="20"/>
        </w:rPr>
        <w:t xml:space="preserve"> до Центрального </w:t>
      </w:r>
      <w:proofErr w:type="spellStart"/>
      <w:r w:rsidRPr="00E16672">
        <w:rPr>
          <w:rFonts w:ascii="Times New Roman" w:hAnsi="Times New Roman"/>
          <w:color w:val="000000"/>
          <w:szCs w:val="20"/>
        </w:rPr>
        <w:t>депозитарію</w:t>
      </w:r>
      <w:proofErr w:type="spellEnd"/>
      <w:r w:rsidRPr="00E16672">
        <w:rPr>
          <w:rFonts w:ascii="Times New Roman" w:hAnsi="Times New Roman"/>
          <w:color w:val="000000"/>
          <w:szCs w:val="20"/>
        </w:rPr>
        <w:t xml:space="preserve"> таких </w:t>
      </w:r>
      <w:proofErr w:type="spellStart"/>
      <w:r w:rsidRPr="00E16672">
        <w:rPr>
          <w:rFonts w:ascii="Times New Roman" w:hAnsi="Times New Roman"/>
          <w:color w:val="000000"/>
          <w:szCs w:val="20"/>
        </w:rPr>
        <w:t>доходів</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цінних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паперів</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Центральний</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депозитарій</w:t>
      </w:r>
      <w:proofErr w:type="spellEnd"/>
      <w:r w:rsidRPr="00E16672">
        <w:rPr>
          <w:rFonts w:ascii="Times New Roman" w:hAnsi="Times New Roman"/>
          <w:color w:val="000000"/>
          <w:szCs w:val="20"/>
        </w:rPr>
        <w:t xml:space="preserve"> проводить </w:t>
      </w:r>
      <w:proofErr w:type="spellStart"/>
      <w:r w:rsidRPr="00E16672">
        <w:rPr>
          <w:rFonts w:ascii="Times New Roman" w:hAnsi="Times New Roman"/>
          <w:color w:val="000000"/>
          <w:szCs w:val="20"/>
        </w:rPr>
        <w:t>операції</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щодо</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переказу</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цих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цінних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паперів</w:t>
      </w:r>
      <w:proofErr w:type="spellEnd"/>
      <w:r w:rsidRPr="00E16672">
        <w:rPr>
          <w:rFonts w:ascii="Times New Roman" w:hAnsi="Times New Roman"/>
          <w:color w:val="000000"/>
          <w:szCs w:val="20"/>
        </w:rPr>
        <w:t xml:space="preserve"> з </w:t>
      </w:r>
      <w:proofErr w:type="spellStart"/>
      <w:r w:rsidRPr="00E16672">
        <w:rPr>
          <w:rFonts w:ascii="Times New Roman" w:hAnsi="Times New Roman"/>
          <w:color w:val="000000"/>
          <w:szCs w:val="20"/>
        </w:rPr>
        <w:t>рахунку</w:t>
      </w:r>
      <w:proofErr w:type="spellEnd"/>
      <w:r w:rsidRPr="00E16672">
        <w:rPr>
          <w:rFonts w:ascii="Times New Roman" w:hAnsi="Times New Roman"/>
          <w:color w:val="000000"/>
          <w:szCs w:val="20"/>
        </w:rPr>
        <w:t xml:space="preserve"> в </w:t>
      </w:r>
      <w:proofErr w:type="spellStart"/>
      <w:r w:rsidRPr="00E16672">
        <w:rPr>
          <w:rFonts w:ascii="Times New Roman" w:hAnsi="Times New Roman"/>
          <w:color w:val="000000"/>
          <w:szCs w:val="20"/>
        </w:rPr>
        <w:t>цінних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паперах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емітента</w:t>
      </w:r>
      <w:proofErr w:type="spellEnd"/>
      <w:r w:rsidRPr="00E16672">
        <w:rPr>
          <w:rFonts w:ascii="Times New Roman" w:hAnsi="Times New Roman"/>
          <w:color w:val="000000"/>
          <w:szCs w:val="20"/>
        </w:rPr>
        <w:t xml:space="preserve"> на </w:t>
      </w:r>
      <w:proofErr w:type="spellStart"/>
      <w:r w:rsidRPr="00E16672">
        <w:rPr>
          <w:rFonts w:ascii="Times New Roman" w:hAnsi="Times New Roman"/>
          <w:color w:val="000000"/>
          <w:szCs w:val="20"/>
        </w:rPr>
        <w:t>рахунки</w:t>
      </w:r>
      <w:proofErr w:type="spellEnd"/>
      <w:r w:rsidRPr="00E16672">
        <w:rPr>
          <w:rFonts w:ascii="Times New Roman" w:hAnsi="Times New Roman"/>
          <w:color w:val="000000"/>
          <w:szCs w:val="20"/>
        </w:rPr>
        <w:t xml:space="preserve"> </w:t>
      </w:r>
      <w:r w:rsidR="00C22309" w:rsidRPr="00E16672">
        <w:rPr>
          <w:rFonts w:ascii="Times New Roman" w:hAnsi="Times New Roman"/>
          <w:color w:val="000000"/>
          <w:szCs w:val="20"/>
        </w:rPr>
        <w:t xml:space="preserve">в </w:t>
      </w:r>
      <w:proofErr w:type="spellStart"/>
      <w:r w:rsidR="00C22309" w:rsidRPr="00E16672">
        <w:rPr>
          <w:rFonts w:ascii="Times New Roman" w:hAnsi="Times New Roman"/>
          <w:color w:val="000000"/>
          <w:szCs w:val="20"/>
        </w:rPr>
        <w:t>цін</w:t>
      </w:r>
      <w:r w:rsidRPr="00E16672">
        <w:rPr>
          <w:rFonts w:ascii="Times New Roman" w:hAnsi="Times New Roman"/>
          <w:color w:val="000000"/>
          <w:szCs w:val="20"/>
        </w:rPr>
        <w:t>них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паперах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депозитарних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установ</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які</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обслуговують</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власників</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цінних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паперів</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які</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мають</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отримати</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цей</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дохід</w:t>
      </w:r>
      <w:proofErr w:type="spellEnd"/>
      <w:r w:rsidRPr="00E16672">
        <w:rPr>
          <w:rFonts w:ascii="Times New Roman" w:hAnsi="Times New Roman"/>
          <w:color w:val="000000"/>
          <w:szCs w:val="20"/>
        </w:rPr>
        <w:t xml:space="preserve"> </w:t>
      </w:r>
      <w:r w:rsidR="00C22309" w:rsidRPr="00E16672">
        <w:rPr>
          <w:rFonts w:ascii="Times New Roman" w:hAnsi="Times New Roman"/>
          <w:color w:val="000000"/>
          <w:szCs w:val="20"/>
        </w:rPr>
        <w:t xml:space="preserve">в </w:t>
      </w:r>
      <w:proofErr w:type="spellStart"/>
      <w:r w:rsidR="00C22309" w:rsidRPr="00E16672">
        <w:rPr>
          <w:rFonts w:ascii="Times New Roman" w:hAnsi="Times New Roman"/>
          <w:color w:val="000000"/>
          <w:szCs w:val="20"/>
        </w:rPr>
        <w:t>цін</w:t>
      </w:r>
      <w:r w:rsidRPr="00E16672">
        <w:rPr>
          <w:rFonts w:ascii="Times New Roman" w:hAnsi="Times New Roman"/>
          <w:color w:val="000000"/>
          <w:szCs w:val="20"/>
        </w:rPr>
        <w:t>них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паперах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Депозитарна</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установа</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зобов'язана</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протягом</w:t>
      </w:r>
      <w:proofErr w:type="spellEnd"/>
      <w:r w:rsidRPr="00E16672">
        <w:rPr>
          <w:rFonts w:ascii="Times New Roman" w:hAnsi="Times New Roman"/>
          <w:color w:val="000000"/>
          <w:szCs w:val="20"/>
        </w:rPr>
        <w:t xml:space="preserve"> десяти </w:t>
      </w:r>
      <w:proofErr w:type="spellStart"/>
      <w:r w:rsidRPr="00E16672">
        <w:rPr>
          <w:rFonts w:ascii="Times New Roman" w:hAnsi="Times New Roman"/>
          <w:color w:val="000000"/>
          <w:szCs w:val="20"/>
        </w:rPr>
        <w:t>робочих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днів</w:t>
      </w:r>
      <w:proofErr w:type="spellEnd"/>
      <w:r w:rsidRPr="00E16672">
        <w:rPr>
          <w:rFonts w:ascii="Times New Roman" w:hAnsi="Times New Roman"/>
          <w:color w:val="000000"/>
          <w:szCs w:val="20"/>
        </w:rPr>
        <w:t xml:space="preserve"> з моменту </w:t>
      </w:r>
      <w:proofErr w:type="spellStart"/>
      <w:r w:rsidRPr="00E16672">
        <w:rPr>
          <w:rFonts w:ascii="Times New Roman" w:hAnsi="Times New Roman"/>
          <w:color w:val="000000"/>
          <w:szCs w:val="20"/>
        </w:rPr>
        <w:t>надходження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зарахувати</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зазначені</w:t>
      </w:r>
      <w:proofErr w:type="spellEnd"/>
      <w:r w:rsidRPr="00E16672">
        <w:rPr>
          <w:rFonts w:ascii="Times New Roman" w:hAnsi="Times New Roman"/>
          <w:color w:val="000000"/>
          <w:szCs w:val="20"/>
        </w:rPr>
        <w:t xml:space="preserve"> доходи (права на </w:t>
      </w:r>
      <w:proofErr w:type="spellStart"/>
      <w:r w:rsidRPr="00E16672">
        <w:rPr>
          <w:rFonts w:ascii="Times New Roman" w:hAnsi="Times New Roman"/>
          <w:color w:val="000000"/>
          <w:szCs w:val="20"/>
        </w:rPr>
        <w:t>цінні</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папери</w:t>
      </w:r>
      <w:proofErr w:type="spellEnd"/>
      <w:r w:rsidRPr="00E16672">
        <w:rPr>
          <w:rFonts w:ascii="Times New Roman" w:hAnsi="Times New Roman"/>
          <w:color w:val="000000"/>
          <w:szCs w:val="20"/>
        </w:rPr>
        <w:t xml:space="preserve">) на </w:t>
      </w:r>
      <w:proofErr w:type="spellStart"/>
      <w:r w:rsidRPr="00E16672">
        <w:rPr>
          <w:rFonts w:ascii="Times New Roman" w:hAnsi="Times New Roman"/>
          <w:color w:val="000000"/>
          <w:szCs w:val="20"/>
        </w:rPr>
        <w:t>рахунок</w:t>
      </w:r>
      <w:proofErr w:type="spellEnd"/>
      <w:r w:rsidRPr="00E16672">
        <w:rPr>
          <w:rFonts w:ascii="Times New Roman" w:hAnsi="Times New Roman"/>
          <w:color w:val="000000"/>
          <w:szCs w:val="20"/>
        </w:rPr>
        <w:t xml:space="preserve"> в </w:t>
      </w:r>
      <w:proofErr w:type="spellStart"/>
      <w:r w:rsidRPr="00E16672">
        <w:rPr>
          <w:rFonts w:ascii="Times New Roman" w:hAnsi="Times New Roman"/>
          <w:color w:val="000000"/>
          <w:szCs w:val="20"/>
        </w:rPr>
        <w:t>цінних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паперах</w:t>
      </w:r>
      <w:proofErr w:type="spellEnd"/>
      <w:r w:rsidRPr="00E16672">
        <w:rPr>
          <w:rFonts w:ascii="Times New Roman" w:hAnsi="Times New Roman"/>
          <w:color w:val="000000"/>
          <w:szCs w:val="20"/>
        </w:rPr>
        <w:t xml:space="preserve"> депонента.</w:t>
      </w:r>
    </w:p>
    <w:p w14:paraId="4680C70B" w14:textId="77777777" w:rsidR="007974E8" w:rsidRPr="00E16672" w:rsidRDefault="007974E8" w:rsidP="007974E8">
      <w:pPr>
        <w:rPr>
          <w:rFonts w:ascii="Times New Roman" w:hAnsi="Times New Roman"/>
          <w:color w:val="000000"/>
          <w:szCs w:val="20"/>
        </w:rPr>
      </w:pPr>
      <w:r w:rsidRPr="00E16672">
        <w:rPr>
          <w:rFonts w:ascii="Times New Roman" w:hAnsi="Times New Roman"/>
          <w:color w:val="000000"/>
          <w:szCs w:val="20"/>
        </w:rPr>
        <w:t>1</w:t>
      </w:r>
      <w:r w:rsidRPr="00E16672">
        <w:rPr>
          <w:rFonts w:ascii="Times New Roman" w:hAnsi="Times New Roman"/>
          <w:color w:val="000000"/>
          <w:szCs w:val="20"/>
          <w:lang w:val="uk-UA"/>
        </w:rPr>
        <w:t>1</w:t>
      </w:r>
      <w:r w:rsidRPr="00E16672">
        <w:rPr>
          <w:rFonts w:ascii="Times New Roman" w:hAnsi="Times New Roman"/>
          <w:color w:val="000000"/>
          <w:szCs w:val="20"/>
        </w:rPr>
        <w:t xml:space="preserve">.2. </w:t>
      </w:r>
      <w:proofErr w:type="spellStart"/>
      <w:r w:rsidRPr="00E16672">
        <w:rPr>
          <w:rFonts w:ascii="Times New Roman" w:hAnsi="Times New Roman"/>
          <w:color w:val="000000"/>
          <w:szCs w:val="20"/>
        </w:rPr>
        <w:t>Щодо</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цінних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паперів</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облік</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яких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здійснює</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Національний</w:t>
      </w:r>
      <w:proofErr w:type="spellEnd"/>
      <w:r w:rsidRPr="00E16672">
        <w:rPr>
          <w:rFonts w:ascii="Times New Roman" w:hAnsi="Times New Roman"/>
          <w:color w:val="000000"/>
          <w:szCs w:val="20"/>
        </w:rPr>
        <w:t xml:space="preserve"> Банк </w:t>
      </w:r>
      <w:proofErr w:type="spellStart"/>
      <w:r w:rsidRPr="00E16672">
        <w:rPr>
          <w:rFonts w:ascii="Times New Roman" w:hAnsi="Times New Roman"/>
          <w:color w:val="000000"/>
          <w:szCs w:val="20"/>
        </w:rPr>
        <w:t>України</w:t>
      </w:r>
      <w:proofErr w:type="spellEnd"/>
      <w:r w:rsidRPr="00E16672">
        <w:rPr>
          <w:rFonts w:ascii="Times New Roman" w:hAnsi="Times New Roman"/>
          <w:color w:val="000000"/>
          <w:szCs w:val="20"/>
        </w:rPr>
        <w:t>:</w:t>
      </w:r>
    </w:p>
    <w:p w14:paraId="5560C870" w14:textId="77777777" w:rsidR="007974E8" w:rsidRPr="00E16672" w:rsidRDefault="007974E8" w:rsidP="007974E8">
      <w:pPr>
        <w:rPr>
          <w:rFonts w:ascii="Times New Roman" w:hAnsi="Times New Roman"/>
          <w:color w:val="000000"/>
          <w:szCs w:val="20"/>
        </w:rPr>
      </w:pPr>
      <w:r w:rsidRPr="00E16672">
        <w:rPr>
          <w:rFonts w:ascii="Times New Roman" w:hAnsi="Times New Roman"/>
          <w:color w:val="000000"/>
          <w:szCs w:val="20"/>
        </w:rPr>
        <w:t xml:space="preserve">У </w:t>
      </w:r>
      <w:proofErr w:type="spellStart"/>
      <w:r w:rsidRPr="00E16672">
        <w:rPr>
          <w:rFonts w:ascii="Times New Roman" w:hAnsi="Times New Roman"/>
          <w:color w:val="000000"/>
          <w:szCs w:val="20"/>
        </w:rPr>
        <w:t>термін</w:t>
      </w:r>
      <w:proofErr w:type="spellEnd"/>
      <w:r w:rsidRPr="00E16672">
        <w:rPr>
          <w:rFonts w:ascii="Times New Roman" w:hAnsi="Times New Roman"/>
          <w:color w:val="000000"/>
          <w:szCs w:val="20"/>
        </w:rPr>
        <w:t xml:space="preserve"> не </w:t>
      </w:r>
      <w:proofErr w:type="spellStart"/>
      <w:r w:rsidRPr="00E16672">
        <w:rPr>
          <w:rFonts w:ascii="Times New Roman" w:hAnsi="Times New Roman"/>
          <w:color w:val="000000"/>
          <w:szCs w:val="20"/>
        </w:rPr>
        <w:t>пізніше</w:t>
      </w:r>
      <w:proofErr w:type="spellEnd"/>
      <w:r w:rsidRPr="00E16672">
        <w:rPr>
          <w:rFonts w:ascii="Times New Roman" w:hAnsi="Times New Roman"/>
          <w:color w:val="000000"/>
          <w:szCs w:val="20"/>
        </w:rPr>
        <w:t xml:space="preserve"> десяти </w:t>
      </w:r>
      <w:proofErr w:type="spellStart"/>
      <w:r w:rsidRPr="00E16672">
        <w:rPr>
          <w:rFonts w:ascii="Times New Roman" w:hAnsi="Times New Roman"/>
          <w:color w:val="000000"/>
          <w:szCs w:val="20"/>
        </w:rPr>
        <w:t>робочих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днів</w:t>
      </w:r>
      <w:proofErr w:type="spellEnd"/>
      <w:r w:rsidRPr="00E16672">
        <w:rPr>
          <w:rFonts w:ascii="Times New Roman" w:hAnsi="Times New Roman"/>
          <w:color w:val="000000"/>
          <w:szCs w:val="20"/>
        </w:rPr>
        <w:t xml:space="preserve"> з моменту </w:t>
      </w:r>
      <w:proofErr w:type="spellStart"/>
      <w:r w:rsidRPr="00E16672">
        <w:rPr>
          <w:rFonts w:ascii="Times New Roman" w:hAnsi="Times New Roman"/>
          <w:color w:val="000000"/>
          <w:szCs w:val="20"/>
        </w:rPr>
        <w:t>надходження</w:t>
      </w:r>
      <w:proofErr w:type="spellEnd"/>
      <w:r w:rsidRPr="00E16672">
        <w:rPr>
          <w:rFonts w:ascii="Times New Roman" w:hAnsi="Times New Roman"/>
          <w:color w:val="000000"/>
          <w:szCs w:val="20"/>
        </w:rPr>
        <w:t xml:space="preserve"> доходу за </w:t>
      </w:r>
      <w:proofErr w:type="spellStart"/>
      <w:r w:rsidRPr="00E16672">
        <w:rPr>
          <w:rFonts w:ascii="Times New Roman" w:hAnsi="Times New Roman"/>
          <w:color w:val="000000"/>
          <w:szCs w:val="20"/>
        </w:rPr>
        <w:t>цінними</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паперами</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грошових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коштів</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отриманих</w:t>
      </w:r>
      <w:proofErr w:type="spellEnd"/>
      <w:r w:rsidRPr="00E16672">
        <w:rPr>
          <w:rFonts w:ascii="Times New Roman" w:hAnsi="Times New Roman"/>
          <w:color w:val="000000"/>
          <w:szCs w:val="20"/>
        </w:rPr>
        <w:t xml:space="preserve"> за результатами </w:t>
      </w:r>
      <w:proofErr w:type="spellStart"/>
      <w:r w:rsidRPr="00E16672">
        <w:rPr>
          <w:rFonts w:ascii="Times New Roman" w:hAnsi="Times New Roman"/>
          <w:color w:val="000000"/>
          <w:szCs w:val="20"/>
        </w:rPr>
        <w:t>погашення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цінних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паперів</w:t>
      </w:r>
      <w:proofErr w:type="spellEnd"/>
      <w:r w:rsidRPr="00E16672">
        <w:rPr>
          <w:rFonts w:ascii="Times New Roman" w:hAnsi="Times New Roman"/>
          <w:color w:val="000000"/>
          <w:szCs w:val="20"/>
        </w:rPr>
        <w:t xml:space="preserve"> на </w:t>
      </w:r>
      <w:proofErr w:type="spellStart"/>
      <w:r w:rsidRPr="00E16672">
        <w:rPr>
          <w:rFonts w:ascii="Times New Roman" w:hAnsi="Times New Roman"/>
          <w:color w:val="000000"/>
          <w:szCs w:val="20"/>
        </w:rPr>
        <w:t>грошовий</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рахунок</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Депозитарної</w:t>
      </w:r>
      <w:proofErr w:type="spellEnd"/>
      <w:r w:rsidRPr="00E16672">
        <w:rPr>
          <w:rFonts w:ascii="Times New Roman" w:hAnsi="Times New Roman"/>
          <w:color w:val="000000"/>
          <w:szCs w:val="20"/>
        </w:rPr>
        <w:t xml:space="preserve"> установи </w:t>
      </w:r>
      <w:proofErr w:type="spellStart"/>
      <w:r w:rsidRPr="00E16672">
        <w:rPr>
          <w:rFonts w:ascii="Times New Roman" w:hAnsi="Times New Roman"/>
          <w:color w:val="000000"/>
          <w:szCs w:val="20"/>
        </w:rPr>
        <w:t>Депозитарна</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установа</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здійснює</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виплату</w:t>
      </w:r>
      <w:proofErr w:type="spellEnd"/>
      <w:r w:rsidRPr="00E16672">
        <w:rPr>
          <w:rFonts w:ascii="Times New Roman" w:hAnsi="Times New Roman"/>
          <w:color w:val="000000"/>
          <w:szCs w:val="20"/>
        </w:rPr>
        <w:t xml:space="preserve"> доходу за </w:t>
      </w:r>
      <w:proofErr w:type="spellStart"/>
      <w:r w:rsidRPr="00E16672">
        <w:rPr>
          <w:rFonts w:ascii="Times New Roman" w:hAnsi="Times New Roman"/>
          <w:color w:val="000000"/>
          <w:szCs w:val="20"/>
        </w:rPr>
        <w:t>цінними</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паперами</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грошових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коштів</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отриманих</w:t>
      </w:r>
      <w:proofErr w:type="spellEnd"/>
      <w:r w:rsidRPr="00E16672">
        <w:rPr>
          <w:rFonts w:ascii="Times New Roman" w:hAnsi="Times New Roman"/>
          <w:color w:val="000000"/>
          <w:szCs w:val="20"/>
        </w:rPr>
        <w:t xml:space="preserve"> Депонентом за результатами </w:t>
      </w:r>
      <w:proofErr w:type="spellStart"/>
      <w:r w:rsidRPr="00E16672">
        <w:rPr>
          <w:rFonts w:ascii="Times New Roman" w:hAnsi="Times New Roman"/>
          <w:color w:val="000000"/>
          <w:szCs w:val="20"/>
        </w:rPr>
        <w:t>погашення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цінних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паперів</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емітента</w:t>
      </w:r>
      <w:proofErr w:type="spellEnd"/>
      <w:r w:rsidRPr="00E16672">
        <w:rPr>
          <w:rFonts w:ascii="Times New Roman" w:hAnsi="Times New Roman"/>
          <w:color w:val="000000"/>
          <w:szCs w:val="20"/>
        </w:rPr>
        <w:t xml:space="preserve">, шляхом </w:t>
      </w:r>
      <w:proofErr w:type="spellStart"/>
      <w:r w:rsidRPr="00E16672">
        <w:rPr>
          <w:rFonts w:ascii="Times New Roman" w:hAnsi="Times New Roman"/>
          <w:color w:val="000000"/>
          <w:szCs w:val="20"/>
        </w:rPr>
        <w:t>перерахування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грошових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коштів</w:t>
      </w:r>
      <w:proofErr w:type="spellEnd"/>
      <w:r w:rsidRPr="00E16672">
        <w:rPr>
          <w:rFonts w:ascii="Times New Roman" w:hAnsi="Times New Roman"/>
          <w:color w:val="000000"/>
          <w:szCs w:val="20"/>
        </w:rPr>
        <w:t xml:space="preserve"> на </w:t>
      </w:r>
      <w:proofErr w:type="spellStart"/>
      <w:r w:rsidRPr="00E16672">
        <w:rPr>
          <w:rFonts w:ascii="Times New Roman" w:hAnsi="Times New Roman"/>
          <w:color w:val="000000"/>
          <w:szCs w:val="20"/>
        </w:rPr>
        <w:t>грошовий</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банківський</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рахунок</w:t>
      </w:r>
      <w:proofErr w:type="spellEnd"/>
      <w:r w:rsidRPr="00E16672">
        <w:rPr>
          <w:rFonts w:ascii="Times New Roman" w:hAnsi="Times New Roman"/>
          <w:color w:val="000000"/>
          <w:szCs w:val="20"/>
        </w:rPr>
        <w:t xml:space="preserve"> Депонента, </w:t>
      </w:r>
      <w:proofErr w:type="spellStart"/>
      <w:r w:rsidRPr="00E16672">
        <w:rPr>
          <w:rFonts w:ascii="Times New Roman" w:hAnsi="Times New Roman"/>
          <w:color w:val="000000"/>
          <w:szCs w:val="20"/>
        </w:rPr>
        <w:t>зазначений</w:t>
      </w:r>
      <w:proofErr w:type="spellEnd"/>
      <w:r w:rsidRPr="00E16672">
        <w:rPr>
          <w:rFonts w:ascii="Times New Roman" w:hAnsi="Times New Roman"/>
          <w:color w:val="000000"/>
          <w:szCs w:val="20"/>
        </w:rPr>
        <w:t xml:space="preserve"> в </w:t>
      </w:r>
      <w:proofErr w:type="spellStart"/>
      <w:r w:rsidRPr="00E16672">
        <w:rPr>
          <w:rFonts w:ascii="Times New Roman" w:hAnsi="Times New Roman"/>
          <w:color w:val="000000"/>
          <w:szCs w:val="20"/>
        </w:rPr>
        <w:t>анкеті</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рахунку</w:t>
      </w:r>
      <w:proofErr w:type="spellEnd"/>
      <w:r w:rsidRPr="00E16672">
        <w:rPr>
          <w:rFonts w:ascii="Times New Roman" w:hAnsi="Times New Roman"/>
          <w:color w:val="000000"/>
          <w:szCs w:val="20"/>
        </w:rPr>
        <w:t xml:space="preserve"> в </w:t>
      </w:r>
      <w:proofErr w:type="spellStart"/>
      <w:r w:rsidRPr="00E16672">
        <w:rPr>
          <w:rFonts w:ascii="Times New Roman" w:hAnsi="Times New Roman"/>
          <w:color w:val="000000"/>
          <w:szCs w:val="20"/>
        </w:rPr>
        <w:t>цінних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паперах</w:t>
      </w:r>
      <w:proofErr w:type="spellEnd"/>
      <w:r w:rsidRPr="00E16672">
        <w:rPr>
          <w:rFonts w:ascii="Times New Roman" w:hAnsi="Times New Roman"/>
          <w:color w:val="000000"/>
          <w:szCs w:val="20"/>
        </w:rPr>
        <w:t xml:space="preserve"> Депонента. </w:t>
      </w:r>
      <w:proofErr w:type="spellStart"/>
      <w:r w:rsidRPr="00E16672">
        <w:rPr>
          <w:rFonts w:ascii="Times New Roman" w:hAnsi="Times New Roman"/>
          <w:color w:val="000000"/>
          <w:szCs w:val="20"/>
        </w:rPr>
        <w:t>Вищезазначені</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дії</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виконуються</w:t>
      </w:r>
      <w:proofErr w:type="spellEnd"/>
      <w:r w:rsidRPr="00E16672">
        <w:rPr>
          <w:rFonts w:ascii="Times New Roman" w:hAnsi="Times New Roman"/>
          <w:color w:val="000000"/>
          <w:szCs w:val="20"/>
        </w:rPr>
        <w:t xml:space="preserve"> Депозитарною </w:t>
      </w:r>
      <w:proofErr w:type="spellStart"/>
      <w:r w:rsidRPr="00E16672">
        <w:rPr>
          <w:rFonts w:ascii="Times New Roman" w:hAnsi="Times New Roman"/>
          <w:color w:val="000000"/>
          <w:szCs w:val="20"/>
        </w:rPr>
        <w:t>установою</w:t>
      </w:r>
      <w:proofErr w:type="spellEnd"/>
      <w:r w:rsidRPr="00E16672">
        <w:rPr>
          <w:rFonts w:ascii="Times New Roman" w:hAnsi="Times New Roman"/>
          <w:color w:val="000000"/>
          <w:szCs w:val="20"/>
        </w:rPr>
        <w:t xml:space="preserve"> у </w:t>
      </w:r>
      <w:proofErr w:type="spellStart"/>
      <w:r w:rsidRPr="00E16672">
        <w:rPr>
          <w:rFonts w:ascii="Times New Roman" w:hAnsi="Times New Roman"/>
          <w:color w:val="000000"/>
          <w:szCs w:val="20"/>
        </w:rPr>
        <w:t>разі</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наявності</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реквізитів</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діючого</w:t>
      </w:r>
      <w:proofErr w:type="spellEnd"/>
      <w:r w:rsidRPr="00E16672">
        <w:rPr>
          <w:rFonts w:ascii="Times New Roman" w:hAnsi="Times New Roman"/>
          <w:color w:val="000000"/>
          <w:szCs w:val="20"/>
        </w:rPr>
        <w:t xml:space="preserve"> грошового </w:t>
      </w:r>
      <w:proofErr w:type="spellStart"/>
      <w:r w:rsidRPr="00E16672">
        <w:rPr>
          <w:rFonts w:ascii="Times New Roman" w:hAnsi="Times New Roman"/>
          <w:color w:val="000000"/>
          <w:szCs w:val="20"/>
        </w:rPr>
        <w:t>банківського</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рахунку</w:t>
      </w:r>
      <w:proofErr w:type="spellEnd"/>
      <w:r w:rsidRPr="00E16672">
        <w:rPr>
          <w:rFonts w:ascii="Times New Roman" w:hAnsi="Times New Roman"/>
          <w:color w:val="000000"/>
          <w:szCs w:val="20"/>
        </w:rPr>
        <w:t xml:space="preserve"> в </w:t>
      </w:r>
      <w:proofErr w:type="spellStart"/>
      <w:r w:rsidRPr="00E16672">
        <w:rPr>
          <w:rFonts w:ascii="Times New Roman" w:hAnsi="Times New Roman"/>
          <w:color w:val="000000"/>
          <w:szCs w:val="20"/>
        </w:rPr>
        <w:t>анкеті</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рахунку</w:t>
      </w:r>
      <w:proofErr w:type="spellEnd"/>
      <w:r w:rsidRPr="00E16672">
        <w:rPr>
          <w:rFonts w:ascii="Times New Roman" w:hAnsi="Times New Roman"/>
          <w:color w:val="000000"/>
          <w:szCs w:val="20"/>
        </w:rPr>
        <w:t xml:space="preserve"> </w:t>
      </w:r>
      <w:r w:rsidR="00C22309" w:rsidRPr="00E16672">
        <w:rPr>
          <w:rFonts w:ascii="Times New Roman" w:hAnsi="Times New Roman"/>
          <w:color w:val="000000"/>
          <w:szCs w:val="20"/>
        </w:rPr>
        <w:t xml:space="preserve">в </w:t>
      </w:r>
      <w:proofErr w:type="spellStart"/>
      <w:r w:rsidR="00C22309" w:rsidRPr="00E16672">
        <w:rPr>
          <w:rFonts w:ascii="Times New Roman" w:hAnsi="Times New Roman"/>
          <w:color w:val="000000"/>
          <w:szCs w:val="20"/>
        </w:rPr>
        <w:t>цін</w:t>
      </w:r>
      <w:r w:rsidRPr="00E16672">
        <w:rPr>
          <w:rFonts w:ascii="Times New Roman" w:hAnsi="Times New Roman"/>
          <w:color w:val="000000"/>
          <w:szCs w:val="20"/>
        </w:rPr>
        <w:t>них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паперах</w:t>
      </w:r>
      <w:proofErr w:type="spellEnd"/>
      <w:r w:rsidRPr="00E16672">
        <w:rPr>
          <w:rFonts w:ascii="Times New Roman" w:hAnsi="Times New Roman"/>
          <w:color w:val="000000"/>
          <w:szCs w:val="20"/>
        </w:rPr>
        <w:t xml:space="preserve"> Депонента на момент </w:t>
      </w:r>
      <w:proofErr w:type="spellStart"/>
      <w:r w:rsidRPr="00E16672">
        <w:rPr>
          <w:rFonts w:ascii="Times New Roman" w:hAnsi="Times New Roman"/>
          <w:color w:val="000000"/>
          <w:szCs w:val="20"/>
        </w:rPr>
        <w:t>надходження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відповідних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коштів</w:t>
      </w:r>
      <w:proofErr w:type="spellEnd"/>
      <w:r w:rsidRPr="00E16672">
        <w:rPr>
          <w:rFonts w:ascii="Times New Roman" w:hAnsi="Times New Roman"/>
          <w:color w:val="000000"/>
          <w:szCs w:val="20"/>
        </w:rPr>
        <w:t xml:space="preserve"> на </w:t>
      </w:r>
      <w:proofErr w:type="spellStart"/>
      <w:r w:rsidRPr="00E16672">
        <w:rPr>
          <w:rFonts w:ascii="Times New Roman" w:hAnsi="Times New Roman"/>
          <w:color w:val="000000"/>
          <w:szCs w:val="20"/>
        </w:rPr>
        <w:t>грошовий</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рахунок</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Депозитарної</w:t>
      </w:r>
      <w:proofErr w:type="spellEnd"/>
      <w:r w:rsidRPr="00E16672">
        <w:rPr>
          <w:rFonts w:ascii="Times New Roman" w:hAnsi="Times New Roman"/>
          <w:color w:val="000000"/>
          <w:szCs w:val="20"/>
        </w:rPr>
        <w:t xml:space="preserve"> установи.</w:t>
      </w:r>
    </w:p>
    <w:p w14:paraId="7CF6498D" w14:textId="57D23E0D" w:rsidR="007974E8" w:rsidRDefault="007974E8" w:rsidP="007974E8">
      <w:pPr>
        <w:rPr>
          <w:rFonts w:ascii="Times New Roman" w:hAnsi="Times New Roman"/>
          <w:color w:val="000000"/>
          <w:szCs w:val="20"/>
        </w:rPr>
      </w:pPr>
      <w:r w:rsidRPr="00E16672">
        <w:rPr>
          <w:rFonts w:ascii="Times New Roman" w:hAnsi="Times New Roman"/>
          <w:color w:val="000000"/>
          <w:szCs w:val="20"/>
        </w:rPr>
        <w:t>1</w:t>
      </w:r>
      <w:r w:rsidRPr="00E16672">
        <w:rPr>
          <w:rFonts w:ascii="Times New Roman" w:hAnsi="Times New Roman"/>
          <w:color w:val="000000"/>
          <w:szCs w:val="20"/>
          <w:lang w:val="uk-UA"/>
        </w:rPr>
        <w:t>1</w:t>
      </w:r>
      <w:r w:rsidRPr="00E16672">
        <w:rPr>
          <w:rFonts w:ascii="Times New Roman" w:hAnsi="Times New Roman"/>
          <w:color w:val="000000"/>
          <w:szCs w:val="20"/>
        </w:rPr>
        <w:t xml:space="preserve">.3. </w:t>
      </w:r>
      <w:proofErr w:type="spellStart"/>
      <w:r w:rsidRPr="00E16672">
        <w:rPr>
          <w:rFonts w:ascii="Times New Roman" w:hAnsi="Times New Roman"/>
          <w:color w:val="000000"/>
          <w:szCs w:val="20"/>
        </w:rPr>
        <w:t>Грошові</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кошти</w:t>
      </w:r>
      <w:proofErr w:type="spellEnd"/>
      <w:r w:rsidRPr="00E16672">
        <w:rPr>
          <w:rFonts w:ascii="Times New Roman" w:hAnsi="Times New Roman"/>
          <w:color w:val="000000"/>
          <w:szCs w:val="20"/>
        </w:rPr>
        <w:t xml:space="preserve">, </w:t>
      </w:r>
      <w:proofErr w:type="spellStart"/>
      <w:r w:rsidRPr="00E16672">
        <w:rPr>
          <w:rStyle w:val="rvts0"/>
          <w:rFonts w:ascii="Times New Roman" w:hAnsi="Times New Roman"/>
          <w:color w:val="000000"/>
          <w:szCs w:val="20"/>
        </w:rPr>
        <w:t>які</w:t>
      </w:r>
      <w:proofErr w:type="spellEnd"/>
      <w:r w:rsidRPr="00E16672">
        <w:rPr>
          <w:rStyle w:val="rvts0"/>
          <w:rFonts w:ascii="Times New Roman" w:hAnsi="Times New Roman"/>
          <w:color w:val="000000"/>
          <w:szCs w:val="20"/>
        </w:rPr>
        <w:t xml:space="preserve"> </w:t>
      </w:r>
      <w:proofErr w:type="spellStart"/>
      <w:r w:rsidRPr="00E16672">
        <w:rPr>
          <w:rStyle w:val="rvts0"/>
          <w:rFonts w:ascii="Times New Roman" w:hAnsi="Times New Roman"/>
          <w:color w:val="000000"/>
          <w:szCs w:val="20"/>
        </w:rPr>
        <w:t>відповідно</w:t>
      </w:r>
      <w:proofErr w:type="spellEnd"/>
      <w:r w:rsidRPr="00E16672">
        <w:rPr>
          <w:rStyle w:val="rvts0"/>
          <w:rFonts w:ascii="Times New Roman" w:hAnsi="Times New Roman"/>
          <w:color w:val="000000"/>
          <w:szCs w:val="20"/>
        </w:rPr>
        <w:t xml:space="preserve"> до </w:t>
      </w:r>
      <w:proofErr w:type="spellStart"/>
      <w:r w:rsidRPr="00E16672">
        <w:rPr>
          <w:rStyle w:val="rvts0"/>
          <w:rFonts w:ascii="Times New Roman" w:hAnsi="Times New Roman"/>
          <w:color w:val="000000"/>
          <w:szCs w:val="20"/>
        </w:rPr>
        <w:t>законодавства</w:t>
      </w:r>
      <w:proofErr w:type="spellEnd"/>
      <w:r w:rsidRPr="00E16672">
        <w:rPr>
          <w:rStyle w:val="rvts0"/>
          <w:rFonts w:ascii="Times New Roman" w:hAnsi="Times New Roman"/>
          <w:color w:val="000000"/>
          <w:szCs w:val="20"/>
        </w:rPr>
        <w:t xml:space="preserve"> </w:t>
      </w:r>
      <w:proofErr w:type="spellStart"/>
      <w:r w:rsidRPr="00E16672">
        <w:rPr>
          <w:rStyle w:val="rvts0"/>
          <w:rFonts w:ascii="Times New Roman" w:hAnsi="Times New Roman"/>
          <w:color w:val="000000"/>
          <w:szCs w:val="20"/>
        </w:rPr>
        <w:t>надходять</w:t>
      </w:r>
      <w:proofErr w:type="spellEnd"/>
      <w:r w:rsidRPr="00E16672">
        <w:rPr>
          <w:rStyle w:val="rvts0"/>
          <w:rFonts w:ascii="Times New Roman" w:hAnsi="Times New Roman"/>
          <w:color w:val="000000"/>
          <w:szCs w:val="20"/>
        </w:rPr>
        <w:t xml:space="preserve"> на </w:t>
      </w:r>
      <w:proofErr w:type="spellStart"/>
      <w:proofErr w:type="gramStart"/>
      <w:r w:rsidRPr="00E16672">
        <w:rPr>
          <w:rStyle w:val="rvts0"/>
          <w:rFonts w:ascii="Times New Roman" w:hAnsi="Times New Roman"/>
          <w:color w:val="000000"/>
          <w:szCs w:val="20"/>
        </w:rPr>
        <w:t>поточний</w:t>
      </w:r>
      <w:proofErr w:type="spellEnd"/>
      <w:r w:rsidRPr="00E16672">
        <w:rPr>
          <w:rStyle w:val="rvts0"/>
          <w:rFonts w:ascii="Times New Roman" w:hAnsi="Times New Roman"/>
          <w:color w:val="000000"/>
          <w:szCs w:val="20"/>
        </w:rPr>
        <w:t xml:space="preserve">  </w:t>
      </w:r>
      <w:proofErr w:type="spellStart"/>
      <w:r w:rsidRPr="00E16672">
        <w:rPr>
          <w:rStyle w:val="rvts0"/>
          <w:rFonts w:ascii="Times New Roman" w:hAnsi="Times New Roman"/>
          <w:color w:val="000000"/>
          <w:szCs w:val="20"/>
        </w:rPr>
        <w:t>рахунок</w:t>
      </w:r>
      <w:proofErr w:type="spellEnd"/>
      <w:proofErr w:type="gramEnd"/>
      <w:r w:rsidRPr="00E16672">
        <w:rPr>
          <w:rStyle w:val="rvts0"/>
          <w:rFonts w:ascii="Times New Roman" w:hAnsi="Times New Roman"/>
          <w:color w:val="000000"/>
          <w:szCs w:val="20"/>
        </w:rPr>
        <w:t xml:space="preserve"> </w:t>
      </w:r>
      <w:proofErr w:type="spellStart"/>
      <w:r w:rsidRPr="00E16672">
        <w:rPr>
          <w:rStyle w:val="rvts0"/>
          <w:rFonts w:ascii="Times New Roman" w:hAnsi="Times New Roman"/>
          <w:color w:val="000000"/>
          <w:szCs w:val="20"/>
        </w:rPr>
        <w:t>Депозитарної</w:t>
      </w:r>
      <w:proofErr w:type="spellEnd"/>
      <w:r w:rsidRPr="00E16672">
        <w:rPr>
          <w:rStyle w:val="rvts0"/>
          <w:rFonts w:ascii="Times New Roman" w:hAnsi="Times New Roman"/>
          <w:color w:val="000000"/>
          <w:szCs w:val="20"/>
        </w:rPr>
        <w:t xml:space="preserve"> установи з метою </w:t>
      </w:r>
      <w:proofErr w:type="spellStart"/>
      <w:r w:rsidRPr="00E16672">
        <w:rPr>
          <w:rStyle w:val="rvts0"/>
          <w:rFonts w:ascii="Times New Roman" w:hAnsi="Times New Roman"/>
          <w:color w:val="000000"/>
          <w:szCs w:val="20"/>
        </w:rPr>
        <w:t>їх</w:t>
      </w:r>
      <w:proofErr w:type="spellEnd"/>
      <w:r w:rsidRPr="00E16672">
        <w:rPr>
          <w:rStyle w:val="rvts0"/>
          <w:rFonts w:ascii="Times New Roman" w:hAnsi="Times New Roman"/>
          <w:color w:val="000000"/>
          <w:szCs w:val="20"/>
        </w:rPr>
        <w:t xml:space="preserve"> </w:t>
      </w:r>
      <w:proofErr w:type="spellStart"/>
      <w:r w:rsidRPr="00E16672">
        <w:rPr>
          <w:rStyle w:val="rvts0"/>
          <w:rFonts w:ascii="Times New Roman" w:hAnsi="Times New Roman"/>
          <w:color w:val="000000"/>
          <w:szCs w:val="20"/>
        </w:rPr>
        <w:t>подальшого</w:t>
      </w:r>
      <w:proofErr w:type="spellEnd"/>
      <w:r w:rsidRPr="00E16672">
        <w:rPr>
          <w:rStyle w:val="rvts0"/>
          <w:rFonts w:ascii="Times New Roman" w:hAnsi="Times New Roman"/>
          <w:color w:val="000000"/>
          <w:szCs w:val="20"/>
        </w:rPr>
        <w:t xml:space="preserve"> </w:t>
      </w:r>
      <w:proofErr w:type="spellStart"/>
      <w:r w:rsidRPr="00E16672">
        <w:rPr>
          <w:rStyle w:val="rvts0"/>
          <w:rFonts w:ascii="Times New Roman" w:hAnsi="Times New Roman"/>
          <w:color w:val="000000"/>
          <w:szCs w:val="20"/>
        </w:rPr>
        <w:t>переказу</w:t>
      </w:r>
      <w:proofErr w:type="spellEnd"/>
      <w:r w:rsidRPr="00E16672">
        <w:rPr>
          <w:rStyle w:val="rvts0"/>
          <w:rFonts w:ascii="Times New Roman" w:hAnsi="Times New Roman"/>
          <w:color w:val="000000"/>
          <w:szCs w:val="20"/>
        </w:rPr>
        <w:t xml:space="preserve"> Депоненту,</w:t>
      </w:r>
      <w:r w:rsidRPr="00E16672">
        <w:rPr>
          <w:rFonts w:ascii="Times New Roman" w:hAnsi="Times New Roman"/>
          <w:color w:val="000000"/>
          <w:szCs w:val="20"/>
        </w:rPr>
        <w:t xml:space="preserve"> не є </w:t>
      </w:r>
      <w:proofErr w:type="spellStart"/>
      <w:r w:rsidRPr="00E16672">
        <w:rPr>
          <w:rFonts w:ascii="Times New Roman" w:hAnsi="Times New Roman"/>
          <w:color w:val="000000"/>
          <w:szCs w:val="20"/>
        </w:rPr>
        <w:t>власністю</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Депозитарної</w:t>
      </w:r>
      <w:proofErr w:type="spellEnd"/>
      <w:r w:rsidRPr="00E16672">
        <w:rPr>
          <w:rFonts w:ascii="Times New Roman" w:hAnsi="Times New Roman"/>
          <w:color w:val="000000"/>
          <w:szCs w:val="20"/>
        </w:rPr>
        <w:t xml:space="preserve"> установи. </w:t>
      </w:r>
    </w:p>
    <w:p w14:paraId="37A35AB1" w14:textId="5426F3C7" w:rsidR="00C24538" w:rsidRPr="00E16672" w:rsidRDefault="00C24538" w:rsidP="007974E8">
      <w:pPr>
        <w:rPr>
          <w:rFonts w:ascii="Times New Roman" w:hAnsi="Times New Roman"/>
          <w:color w:val="000000"/>
          <w:szCs w:val="20"/>
        </w:rPr>
      </w:pPr>
      <w:proofErr w:type="spellStart"/>
      <w:r w:rsidRPr="00C24538">
        <w:rPr>
          <w:rFonts w:ascii="Times New Roman" w:hAnsi="Times New Roman"/>
          <w:color w:val="000000"/>
          <w:szCs w:val="20"/>
        </w:rPr>
        <w:t>Депозитарна</w:t>
      </w:r>
      <w:proofErr w:type="spellEnd"/>
      <w:r w:rsidRPr="00C24538">
        <w:rPr>
          <w:rFonts w:ascii="Times New Roman" w:hAnsi="Times New Roman"/>
          <w:color w:val="000000"/>
          <w:szCs w:val="20"/>
        </w:rPr>
        <w:t xml:space="preserve"> </w:t>
      </w:r>
      <w:proofErr w:type="spellStart"/>
      <w:r w:rsidRPr="00C24538">
        <w:rPr>
          <w:rFonts w:ascii="Times New Roman" w:hAnsi="Times New Roman"/>
          <w:color w:val="000000"/>
          <w:szCs w:val="20"/>
        </w:rPr>
        <w:t>установа</w:t>
      </w:r>
      <w:proofErr w:type="spellEnd"/>
      <w:r w:rsidRPr="00C24538">
        <w:rPr>
          <w:rFonts w:ascii="Times New Roman" w:hAnsi="Times New Roman"/>
          <w:color w:val="000000"/>
          <w:szCs w:val="20"/>
        </w:rPr>
        <w:t xml:space="preserve"> повинна </w:t>
      </w:r>
      <w:proofErr w:type="spellStart"/>
      <w:r w:rsidRPr="00C24538">
        <w:rPr>
          <w:rFonts w:ascii="Times New Roman" w:hAnsi="Times New Roman"/>
          <w:color w:val="000000"/>
          <w:szCs w:val="20"/>
        </w:rPr>
        <w:t>переказати</w:t>
      </w:r>
      <w:proofErr w:type="spellEnd"/>
      <w:r w:rsidRPr="00C24538">
        <w:rPr>
          <w:rFonts w:ascii="Times New Roman" w:hAnsi="Times New Roman"/>
          <w:color w:val="000000"/>
          <w:szCs w:val="20"/>
        </w:rPr>
        <w:t xml:space="preserve"> </w:t>
      </w:r>
      <w:proofErr w:type="spellStart"/>
      <w:r w:rsidRPr="00C24538">
        <w:rPr>
          <w:rFonts w:ascii="Times New Roman" w:hAnsi="Times New Roman"/>
          <w:color w:val="000000"/>
          <w:szCs w:val="20"/>
        </w:rPr>
        <w:t>кошти</w:t>
      </w:r>
      <w:proofErr w:type="spellEnd"/>
      <w:r w:rsidRPr="00C24538">
        <w:rPr>
          <w:rFonts w:ascii="Times New Roman" w:hAnsi="Times New Roman"/>
          <w:color w:val="000000"/>
          <w:szCs w:val="20"/>
        </w:rPr>
        <w:t xml:space="preserve">, </w:t>
      </w:r>
      <w:proofErr w:type="spellStart"/>
      <w:r w:rsidRPr="00C24538">
        <w:rPr>
          <w:rFonts w:ascii="Times New Roman" w:hAnsi="Times New Roman"/>
          <w:color w:val="000000"/>
          <w:szCs w:val="20"/>
        </w:rPr>
        <w:t>що</w:t>
      </w:r>
      <w:proofErr w:type="spellEnd"/>
      <w:r w:rsidRPr="00C24538">
        <w:rPr>
          <w:rFonts w:ascii="Times New Roman" w:hAnsi="Times New Roman"/>
          <w:color w:val="000000"/>
          <w:szCs w:val="20"/>
        </w:rPr>
        <w:t xml:space="preserve"> </w:t>
      </w:r>
      <w:proofErr w:type="spellStart"/>
      <w:r w:rsidRPr="00C24538">
        <w:rPr>
          <w:rFonts w:ascii="Times New Roman" w:hAnsi="Times New Roman"/>
          <w:color w:val="000000"/>
          <w:szCs w:val="20"/>
        </w:rPr>
        <w:t>призначені</w:t>
      </w:r>
      <w:proofErr w:type="spellEnd"/>
      <w:r w:rsidRPr="00C24538">
        <w:rPr>
          <w:rFonts w:ascii="Times New Roman" w:hAnsi="Times New Roman"/>
          <w:color w:val="000000"/>
          <w:szCs w:val="20"/>
        </w:rPr>
        <w:t xml:space="preserve"> для </w:t>
      </w:r>
      <w:proofErr w:type="spellStart"/>
      <w:r w:rsidRPr="00C24538">
        <w:rPr>
          <w:rFonts w:ascii="Times New Roman" w:hAnsi="Times New Roman"/>
          <w:color w:val="000000"/>
          <w:szCs w:val="20"/>
        </w:rPr>
        <w:t>виплати</w:t>
      </w:r>
      <w:proofErr w:type="spellEnd"/>
      <w:r w:rsidRPr="00C24538">
        <w:rPr>
          <w:rFonts w:ascii="Times New Roman" w:hAnsi="Times New Roman"/>
          <w:color w:val="000000"/>
          <w:szCs w:val="20"/>
        </w:rPr>
        <w:t xml:space="preserve"> за </w:t>
      </w:r>
      <w:proofErr w:type="spellStart"/>
      <w:r w:rsidRPr="00C24538">
        <w:rPr>
          <w:rFonts w:ascii="Times New Roman" w:hAnsi="Times New Roman"/>
          <w:color w:val="000000"/>
          <w:szCs w:val="20"/>
        </w:rPr>
        <w:t>цінними</w:t>
      </w:r>
      <w:proofErr w:type="spellEnd"/>
      <w:r w:rsidRPr="00C24538">
        <w:rPr>
          <w:rFonts w:ascii="Times New Roman" w:hAnsi="Times New Roman"/>
          <w:color w:val="000000"/>
          <w:szCs w:val="20"/>
        </w:rPr>
        <w:t xml:space="preserve"> </w:t>
      </w:r>
      <w:proofErr w:type="spellStart"/>
      <w:r w:rsidRPr="00C24538">
        <w:rPr>
          <w:rFonts w:ascii="Times New Roman" w:hAnsi="Times New Roman"/>
          <w:color w:val="000000"/>
          <w:szCs w:val="20"/>
        </w:rPr>
        <w:t>паперами</w:t>
      </w:r>
      <w:proofErr w:type="spellEnd"/>
      <w:r w:rsidRPr="00C24538">
        <w:rPr>
          <w:rFonts w:ascii="Times New Roman" w:hAnsi="Times New Roman"/>
          <w:color w:val="000000"/>
          <w:szCs w:val="20"/>
        </w:rPr>
        <w:t xml:space="preserve">, права на </w:t>
      </w:r>
      <w:proofErr w:type="spellStart"/>
      <w:r w:rsidRPr="00C24538">
        <w:rPr>
          <w:rFonts w:ascii="Times New Roman" w:hAnsi="Times New Roman"/>
          <w:color w:val="000000"/>
          <w:szCs w:val="20"/>
        </w:rPr>
        <w:t>які</w:t>
      </w:r>
      <w:proofErr w:type="spellEnd"/>
      <w:r w:rsidRPr="00C24538">
        <w:rPr>
          <w:rFonts w:ascii="Times New Roman" w:hAnsi="Times New Roman"/>
          <w:color w:val="000000"/>
          <w:szCs w:val="20"/>
        </w:rPr>
        <w:t xml:space="preserve"> </w:t>
      </w:r>
      <w:proofErr w:type="spellStart"/>
      <w:r w:rsidRPr="00C24538">
        <w:rPr>
          <w:rFonts w:ascii="Times New Roman" w:hAnsi="Times New Roman"/>
          <w:color w:val="000000"/>
          <w:szCs w:val="20"/>
        </w:rPr>
        <w:t>обліковувались</w:t>
      </w:r>
      <w:proofErr w:type="spellEnd"/>
      <w:r w:rsidRPr="00C24538">
        <w:rPr>
          <w:rFonts w:ascii="Times New Roman" w:hAnsi="Times New Roman"/>
          <w:color w:val="000000"/>
          <w:szCs w:val="20"/>
        </w:rPr>
        <w:t xml:space="preserve"> у </w:t>
      </w:r>
      <w:proofErr w:type="spellStart"/>
      <w:r w:rsidRPr="00C24538">
        <w:rPr>
          <w:rFonts w:ascii="Times New Roman" w:hAnsi="Times New Roman"/>
          <w:color w:val="000000"/>
          <w:szCs w:val="20"/>
        </w:rPr>
        <w:t>неї</w:t>
      </w:r>
      <w:proofErr w:type="spellEnd"/>
      <w:r w:rsidRPr="00C24538">
        <w:rPr>
          <w:rFonts w:ascii="Times New Roman" w:hAnsi="Times New Roman"/>
          <w:color w:val="000000"/>
          <w:szCs w:val="20"/>
        </w:rPr>
        <w:t xml:space="preserve">, та не </w:t>
      </w:r>
      <w:proofErr w:type="spellStart"/>
      <w:r w:rsidRPr="00C24538">
        <w:rPr>
          <w:rFonts w:ascii="Times New Roman" w:hAnsi="Times New Roman"/>
          <w:color w:val="000000"/>
          <w:szCs w:val="20"/>
        </w:rPr>
        <w:t>були</w:t>
      </w:r>
      <w:proofErr w:type="spellEnd"/>
      <w:r w:rsidRPr="00C24538">
        <w:rPr>
          <w:rFonts w:ascii="Times New Roman" w:hAnsi="Times New Roman"/>
          <w:color w:val="000000"/>
          <w:szCs w:val="20"/>
        </w:rPr>
        <w:t xml:space="preserve"> нею </w:t>
      </w:r>
      <w:proofErr w:type="spellStart"/>
      <w:r w:rsidRPr="00C24538">
        <w:rPr>
          <w:rFonts w:ascii="Times New Roman" w:hAnsi="Times New Roman"/>
          <w:color w:val="000000"/>
          <w:szCs w:val="20"/>
        </w:rPr>
        <w:t>виплачені</w:t>
      </w:r>
      <w:proofErr w:type="spellEnd"/>
      <w:r w:rsidRPr="00C24538">
        <w:rPr>
          <w:rFonts w:ascii="Times New Roman" w:hAnsi="Times New Roman"/>
          <w:color w:val="000000"/>
          <w:szCs w:val="20"/>
        </w:rPr>
        <w:t xml:space="preserve"> особам, </w:t>
      </w:r>
      <w:proofErr w:type="spellStart"/>
      <w:r w:rsidRPr="00C24538">
        <w:rPr>
          <w:rFonts w:ascii="Times New Roman" w:hAnsi="Times New Roman"/>
          <w:color w:val="000000"/>
          <w:szCs w:val="20"/>
        </w:rPr>
        <w:t>які</w:t>
      </w:r>
      <w:proofErr w:type="spellEnd"/>
      <w:r w:rsidRPr="00C24538">
        <w:rPr>
          <w:rFonts w:ascii="Times New Roman" w:hAnsi="Times New Roman"/>
          <w:color w:val="000000"/>
          <w:szCs w:val="20"/>
        </w:rPr>
        <w:t xml:space="preserve"> </w:t>
      </w:r>
      <w:proofErr w:type="spellStart"/>
      <w:r w:rsidRPr="00C24538">
        <w:rPr>
          <w:rFonts w:ascii="Times New Roman" w:hAnsi="Times New Roman"/>
          <w:color w:val="000000"/>
          <w:szCs w:val="20"/>
        </w:rPr>
        <w:t>мають</w:t>
      </w:r>
      <w:proofErr w:type="spellEnd"/>
      <w:r w:rsidRPr="00C24538">
        <w:rPr>
          <w:rFonts w:ascii="Times New Roman" w:hAnsi="Times New Roman"/>
          <w:color w:val="000000"/>
          <w:szCs w:val="20"/>
        </w:rPr>
        <w:t xml:space="preserve"> право на </w:t>
      </w:r>
      <w:proofErr w:type="spellStart"/>
      <w:r w:rsidRPr="00C24538">
        <w:rPr>
          <w:rFonts w:ascii="Times New Roman" w:hAnsi="Times New Roman"/>
          <w:color w:val="000000"/>
          <w:szCs w:val="20"/>
        </w:rPr>
        <w:t>їх</w:t>
      </w:r>
      <w:proofErr w:type="spellEnd"/>
      <w:r w:rsidRPr="00C24538">
        <w:rPr>
          <w:rFonts w:ascii="Times New Roman" w:hAnsi="Times New Roman"/>
          <w:color w:val="000000"/>
          <w:szCs w:val="20"/>
        </w:rPr>
        <w:t xml:space="preserve"> </w:t>
      </w:r>
      <w:proofErr w:type="spellStart"/>
      <w:r w:rsidRPr="00C24538">
        <w:rPr>
          <w:rFonts w:ascii="Times New Roman" w:hAnsi="Times New Roman"/>
          <w:color w:val="000000"/>
          <w:szCs w:val="20"/>
        </w:rPr>
        <w:t>отримання</w:t>
      </w:r>
      <w:proofErr w:type="spellEnd"/>
      <w:r w:rsidRPr="00C24538">
        <w:rPr>
          <w:rFonts w:ascii="Times New Roman" w:hAnsi="Times New Roman"/>
          <w:color w:val="000000"/>
          <w:szCs w:val="20"/>
        </w:rPr>
        <w:t xml:space="preserve">, у </w:t>
      </w:r>
      <w:proofErr w:type="spellStart"/>
      <w:r w:rsidRPr="00C24538">
        <w:rPr>
          <w:rFonts w:ascii="Times New Roman" w:hAnsi="Times New Roman"/>
          <w:color w:val="000000"/>
          <w:szCs w:val="20"/>
        </w:rPr>
        <w:t>встановленому</w:t>
      </w:r>
      <w:proofErr w:type="spellEnd"/>
      <w:r w:rsidRPr="00C24538">
        <w:rPr>
          <w:rFonts w:ascii="Times New Roman" w:hAnsi="Times New Roman"/>
          <w:color w:val="000000"/>
          <w:szCs w:val="20"/>
        </w:rPr>
        <w:t xml:space="preserve"> </w:t>
      </w:r>
      <w:proofErr w:type="spellStart"/>
      <w:r w:rsidRPr="00C24538">
        <w:rPr>
          <w:rFonts w:ascii="Times New Roman" w:hAnsi="Times New Roman"/>
          <w:color w:val="000000"/>
          <w:szCs w:val="20"/>
        </w:rPr>
        <w:t>законодавством</w:t>
      </w:r>
      <w:proofErr w:type="spellEnd"/>
      <w:r w:rsidRPr="00C24538">
        <w:rPr>
          <w:rFonts w:ascii="Times New Roman" w:hAnsi="Times New Roman"/>
          <w:color w:val="000000"/>
          <w:szCs w:val="20"/>
        </w:rPr>
        <w:t xml:space="preserve"> порядку на </w:t>
      </w:r>
      <w:proofErr w:type="spellStart"/>
      <w:r w:rsidRPr="00C24538">
        <w:rPr>
          <w:rFonts w:ascii="Times New Roman" w:hAnsi="Times New Roman"/>
          <w:color w:val="000000"/>
          <w:szCs w:val="20"/>
        </w:rPr>
        <w:t>грошовий</w:t>
      </w:r>
      <w:proofErr w:type="spellEnd"/>
      <w:r w:rsidRPr="00C24538">
        <w:rPr>
          <w:rFonts w:ascii="Times New Roman" w:hAnsi="Times New Roman"/>
          <w:color w:val="000000"/>
          <w:szCs w:val="20"/>
        </w:rPr>
        <w:t xml:space="preserve"> </w:t>
      </w:r>
      <w:proofErr w:type="spellStart"/>
      <w:r w:rsidRPr="00C24538">
        <w:rPr>
          <w:rFonts w:ascii="Times New Roman" w:hAnsi="Times New Roman"/>
          <w:color w:val="000000"/>
          <w:szCs w:val="20"/>
        </w:rPr>
        <w:t>рахунок</w:t>
      </w:r>
      <w:proofErr w:type="spellEnd"/>
      <w:r w:rsidRPr="00C24538">
        <w:rPr>
          <w:rFonts w:ascii="Times New Roman" w:hAnsi="Times New Roman"/>
          <w:color w:val="000000"/>
          <w:szCs w:val="20"/>
        </w:rPr>
        <w:t xml:space="preserve"> Центрального </w:t>
      </w:r>
      <w:proofErr w:type="spellStart"/>
      <w:r w:rsidRPr="00C24538">
        <w:rPr>
          <w:rFonts w:ascii="Times New Roman" w:hAnsi="Times New Roman"/>
          <w:color w:val="000000"/>
          <w:szCs w:val="20"/>
        </w:rPr>
        <w:t>депозитарію</w:t>
      </w:r>
      <w:proofErr w:type="spellEnd"/>
      <w:r w:rsidRPr="00C24538">
        <w:rPr>
          <w:rFonts w:ascii="Times New Roman" w:hAnsi="Times New Roman"/>
          <w:color w:val="000000"/>
          <w:szCs w:val="20"/>
        </w:rPr>
        <w:t xml:space="preserve"> у </w:t>
      </w:r>
      <w:proofErr w:type="spellStart"/>
      <w:r w:rsidRPr="00C24538">
        <w:rPr>
          <w:rFonts w:ascii="Times New Roman" w:hAnsi="Times New Roman"/>
          <w:color w:val="000000"/>
          <w:szCs w:val="20"/>
        </w:rPr>
        <w:t>Розрахунковому</w:t>
      </w:r>
      <w:proofErr w:type="spellEnd"/>
      <w:r w:rsidRPr="00C24538">
        <w:rPr>
          <w:rFonts w:ascii="Times New Roman" w:hAnsi="Times New Roman"/>
          <w:color w:val="000000"/>
          <w:szCs w:val="20"/>
        </w:rPr>
        <w:t xml:space="preserve"> </w:t>
      </w:r>
      <w:proofErr w:type="spellStart"/>
      <w:r w:rsidRPr="00C24538">
        <w:rPr>
          <w:rFonts w:ascii="Times New Roman" w:hAnsi="Times New Roman"/>
          <w:color w:val="000000"/>
          <w:szCs w:val="20"/>
        </w:rPr>
        <w:t>центрі</w:t>
      </w:r>
      <w:proofErr w:type="spellEnd"/>
      <w:r w:rsidRPr="00C24538">
        <w:rPr>
          <w:rFonts w:ascii="Times New Roman" w:hAnsi="Times New Roman"/>
          <w:color w:val="000000"/>
          <w:szCs w:val="20"/>
        </w:rPr>
        <w:t xml:space="preserve"> з </w:t>
      </w:r>
      <w:proofErr w:type="spellStart"/>
      <w:r w:rsidRPr="00C24538">
        <w:rPr>
          <w:rFonts w:ascii="Times New Roman" w:hAnsi="Times New Roman"/>
          <w:color w:val="000000"/>
          <w:szCs w:val="20"/>
        </w:rPr>
        <w:t>одночасним</w:t>
      </w:r>
      <w:proofErr w:type="spellEnd"/>
      <w:r w:rsidRPr="00C24538">
        <w:rPr>
          <w:rFonts w:ascii="Times New Roman" w:hAnsi="Times New Roman"/>
          <w:color w:val="000000"/>
          <w:szCs w:val="20"/>
        </w:rPr>
        <w:t xml:space="preserve"> </w:t>
      </w:r>
      <w:proofErr w:type="spellStart"/>
      <w:r w:rsidRPr="00C24538">
        <w:rPr>
          <w:rFonts w:ascii="Times New Roman" w:hAnsi="Times New Roman"/>
          <w:color w:val="000000"/>
          <w:szCs w:val="20"/>
        </w:rPr>
        <w:t>поданням</w:t>
      </w:r>
      <w:proofErr w:type="spellEnd"/>
      <w:r w:rsidRPr="00C24538">
        <w:rPr>
          <w:rFonts w:ascii="Times New Roman" w:hAnsi="Times New Roman"/>
          <w:color w:val="000000"/>
          <w:szCs w:val="20"/>
        </w:rPr>
        <w:t xml:space="preserve"> Центральному </w:t>
      </w:r>
      <w:proofErr w:type="spellStart"/>
      <w:r w:rsidRPr="00C24538">
        <w:rPr>
          <w:rFonts w:ascii="Times New Roman" w:hAnsi="Times New Roman"/>
          <w:color w:val="000000"/>
          <w:szCs w:val="20"/>
        </w:rPr>
        <w:t>депозитарію</w:t>
      </w:r>
      <w:proofErr w:type="spellEnd"/>
      <w:r w:rsidRPr="00C24538">
        <w:rPr>
          <w:rFonts w:ascii="Times New Roman" w:hAnsi="Times New Roman"/>
          <w:color w:val="000000"/>
          <w:szCs w:val="20"/>
        </w:rPr>
        <w:t xml:space="preserve"> </w:t>
      </w:r>
      <w:proofErr w:type="spellStart"/>
      <w:r w:rsidRPr="00C24538">
        <w:rPr>
          <w:rFonts w:ascii="Times New Roman" w:hAnsi="Times New Roman"/>
          <w:color w:val="000000"/>
          <w:szCs w:val="20"/>
        </w:rPr>
        <w:t>відповідного</w:t>
      </w:r>
      <w:proofErr w:type="spellEnd"/>
      <w:r w:rsidRPr="00C24538">
        <w:rPr>
          <w:rFonts w:ascii="Times New Roman" w:hAnsi="Times New Roman"/>
          <w:color w:val="000000"/>
          <w:szCs w:val="20"/>
        </w:rPr>
        <w:t xml:space="preserve"> </w:t>
      </w:r>
      <w:proofErr w:type="spellStart"/>
      <w:r w:rsidRPr="00C24538">
        <w:rPr>
          <w:rFonts w:ascii="Times New Roman" w:hAnsi="Times New Roman"/>
          <w:color w:val="000000"/>
          <w:szCs w:val="20"/>
        </w:rPr>
        <w:t>повідомлення</w:t>
      </w:r>
      <w:proofErr w:type="spellEnd"/>
      <w:r w:rsidRPr="00C24538">
        <w:rPr>
          <w:rFonts w:ascii="Times New Roman" w:hAnsi="Times New Roman"/>
          <w:color w:val="000000"/>
          <w:szCs w:val="20"/>
        </w:rPr>
        <w:t xml:space="preserve"> </w:t>
      </w:r>
      <w:proofErr w:type="spellStart"/>
      <w:r w:rsidRPr="00C24538">
        <w:rPr>
          <w:rFonts w:ascii="Times New Roman" w:hAnsi="Times New Roman"/>
          <w:color w:val="000000"/>
          <w:szCs w:val="20"/>
        </w:rPr>
        <w:t>щодо</w:t>
      </w:r>
      <w:proofErr w:type="spellEnd"/>
      <w:r w:rsidRPr="00C24538">
        <w:rPr>
          <w:rFonts w:ascii="Times New Roman" w:hAnsi="Times New Roman"/>
          <w:color w:val="000000"/>
          <w:szCs w:val="20"/>
        </w:rPr>
        <w:t xml:space="preserve"> </w:t>
      </w:r>
      <w:proofErr w:type="spellStart"/>
      <w:r w:rsidRPr="00C24538">
        <w:rPr>
          <w:rFonts w:ascii="Times New Roman" w:hAnsi="Times New Roman"/>
          <w:color w:val="000000"/>
          <w:szCs w:val="20"/>
        </w:rPr>
        <w:t>загальної</w:t>
      </w:r>
      <w:proofErr w:type="spellEnd"/>
      <w:r w:rsidRPr="00C24538">
        <w:rPr>
          <w:rFonts w:ascii="Times New Roman" w:hAnsi="Times New Roman"/>
          <w:color w:val="000000"/>
          <w:szCs w:val="20"/>
        </w:rPr>
        <w:t xml:space="preserve"> </w:t>
      </w:r>
      <w:proofErr w:type="spellStart"/>
      <w:r w:rsidRPr="00C24538">
        <w:rPr>
          <w:rFonts w:ascii="Times New Roman" w:hAnsi="Times New Roman"/>
          <w:color w:val="000000"/>
          <w:szCs w:val="20"/>
        </w:rPr>
        <w:t>суми</w:t>
      </w:r>
      <w:proofErr w:type="spellEnd"/>
      <w:r w:rsidRPr="00C24538">
        <w:rPr>
          <w:rFonts w:ascii="Times New Roman" w:hAnsi="Times New Roman"/>
          <w:color w:val="000000"/>
          <w:szCs w:val="20"/>
        </w:rPr>
        <w:t xml:space="preserve"> </w:t>
      </w:r>
      <w:proofErr w:type="spellStart"/>
      <w:r w:rsidRPr="00C24538">
        <w:rPr>
          <w:rFonts w:ascii="Times New Roman" w:hAnsi="Times New Roman"/>
          <w:color w:val="000000"/>
          <w:szCs w:val="20"/>
        </w:rPr>
        <w:t>коштів</w:t>
      </w:r>
      <w:proofErr w:type="spellEnd"/>
      <w:r w:rsidRPr="00C24538">
        <w:rPr>
          <w:rFonts w:ascii="Times New Roman" w:hAnsi="Times New Roman"/>
          <w:color w:val="000000"/>
          <w:szCs w:val="20"/>
        </w:rPr>
        <w:t xml:space="preserve"> </w:t>
      </w:r>
      <w:proofErr w:type="spellStart"/>
      <w:r w:rsidRPr="00C24538">
        <w:rPr>
          <w:rFonts w:ascii="Times New Roman" w:hAnsi="Times New Roman"/>
          <w:color w:val="000000"/>
          <w:szCs w:val="20"/>
        </w:rPr>
        <w:t>окремо</w:t>
      </w:r>
      <w:proofErr w:type="spellEnd"/>
      <w:r w:rsidRPr="00C24538">
        <w:rPr>
          <w:rFonts w:ascii="Times New Roman" w:hAnsi="Times New Roman"/>
          <w:color w:val="000000"/>
          <w:szCs w:val="20"/>
        </w:rPr>
        <w:t xml:space="preserve"> за </w:t>
      </w:r>
      <w:proofErr w:type="spellStart"/>
      <w:r w:rsidRPr="00C24538">
        <w:rPr>
          <w:rFonts w:ascii="Times New Roman" w:hAnsi="Times New Roman"/>
          <w:color w:val="000000"/>
          <w:szCs w:val="20"/>
        </w:rPr>
        <w:t>відповідним</w:t>
      </w:r>
      <w:proofErr w:type="spellEnd"/>
      <w:r w:rsidRPr="00C24538">
        <w:rPr>
          <w:rFonts w:ascii="Times New Roman" w:hAnsi="Times New Roman"/>
          <w:color w:val="000000"/>
          <w:szCs w:val="20"/>
        </w:rPr>
        <w:t xml:space="preserve"> </w:t>
      </w:r>
      <w:proofErr w:type="spellStart"/>
      <w:r w:rsidRPr="00C24538">
        <w:rPr>
          <w:rFonts w:ascii="Times New Roman" w:hAnsi="Times New Roman"/>
          <w:color w:val="000000"/>
          <w:szCs w:val="20"/>
        </w:rPr>
        <w:t>випуском</w:t>
      </w:r>
      <w:proofErr w:type="spellEnd"/>
      <w:r w:rsidRPr="00C24538">
        <w:rPr>
          <w:rFonts w:ascii="Times New Roman" w:hAnsi="Times New Roman"/>
          <w:color w:val="000000"/>
          <w:szCs w:val="20"/>
        </w:rPr>
        <w:t xml:space="preserve"> </w:t>
      </w:r>
      <w:proofErr w:type="spellStart"/>
      <w:r w:rsidRPr="00C24538">
        <w:rPr>
          <w:rFonts w:ascii="Times New Roman" w:hAnsi="Times New Roman"/>
          <w:color w:val="000000"/>
          <w:szCs w:val="20"/>
        </w:rPr>
        <w:t>цінних</w:t>
      </w:r>
      <w:proofErr w:type="spellEnd"/>
      <w:r w:rsidRPr="00C24538">
        <w:rPr>
          <w:rFonts w:ascii="Times New Roman" w:hAnsi="Times New Roman"/>
          <w:color w:val="000000"/>
          <w:szCs w:val="20"/>
        </w:rPr>
        <w:t xml:space="preserve"> </w:t>
      </w:r>
      <w:proofErr w:type="spellStart"/>
      <w:r w:rsidRPr="00C24538">
        <w:rPr>
          <w:rFonts w:ascii="Times New Roman" w:hAnsi="Times New Roman"/>
          <w:color w:val="000000"/>
          <w:szCs w:val="20"/>
        </w:rPr>
        <w:t>паперів</w:t>
      </w:r>
      <w:proofErr w:type="spellEnd"/>
      <w:r w:rsidRPr="00C24538">
        <w:rPr>
          <w:rFonts w:ascii="Times New Roman" w:hAnsi="Times New Roman"/>
          <w:color w:val="000000"/>
          <w:szCs w:val="20"/>
        </w:rPr>
        <w:t xml:space="preserve"> та </w:t>
      </w:r>
      <w:proofErr w:type="spellStart"/>
      <w:r w:rsidRPr="00C24538">
        <w:rPr>
          <w:rFonts w:ascii="Times New Roman" w:hAnsi="Times New Roman"/>
          <w:color w:val="000000"/>
          <w:szCs w:val="20"/>
        </w:rPr>
        <w:t>відповідного</w:t>
      </w:r>
      <w:proofErr w:type="spellEnd"/>
      <w:r w:rsidRPr="00C24538">
        <w:rPr>
          <w:rFonts w:ascii="Times New Roman" w:hAnsi="Times New Roman"/>
          <w:color w:val="000000"/>
          <w:szCs w:val="20"/>
        </w:rPr>
        <w:t xml:space="preserve"> </w:t>
      </w:r>
      <w:proofErr w:type="spellStart"/>
      <w:r w:rsidRPr="00C24538">
        <w:rPr>
          <w:rFonts w:ascii="Times New Roman" w:hAnsi="Times New Roman"/>
          <w:color w:val="000000"/>
          <w:szCs w:val="20"/>
        </w:rPr>
        <w:t>розпорядження</w:t>
      </w:r>
      <w:proofErr w:type="spellEnd"/>
      <w:r w:rsidRPr="00C24538">
        <w:rPr>
          <w:rFonts w:ascii="Times New Roman" w:hAnsi="Times New Roman"/>
          <w:color w:val="000000"/>
          <w:szCs w:val="20"/>
        </w:rPr>
        <w:t xml:space="preserve"> у порядку, </w:t>
      </w:r>
      <w:proofErr w:type="spellStart"/>
      <w:r w:rsidRPr="00C24538">
        <w:rPr>
          <w:rFonts w:ascii="Times New Roman" w:hAnsi="Times New Roman"/>
          <w:color w:val="000000"/>
          <w:szCs w:val="20"/>
        </w:rPr>
        <w:t>визначеному</w:t>
      </w:r>
      <w:proofErr w:type="spellEnd"/>
      <w:r w:rsidRPr="00C24538">
        <w:rPr>
          <w:rFonts w:ascii="Times New Roman" w:hAnsi="Times New Roman"/>
          <w:color w:val="000000"/>
          <w:szCs w:val="20"/>
        </w:rPr>
        <w:t xml:space="preserve"> </w:t>
      </w:r>
      <w:proofErr w:type="spellStart"/>
      <w:r w:rsidRPr="00C24538">
        <w:rPr>
          <w:rFonts w:ascii="Times New Roman" w:hAnsi="Times New Roman"/>
          <w:color w:val="000000"/>
          <w:szCs w:val="20"/>
        </w:rPr>
        <w:t>внутрішніми</w:t>
      </w:r>
      <w:proofErr w:type="spellEnd"/>
      <w:r w:rsidRPr="00C24538">
        <w:rPr>
          <w:rFonts w:ascii="Times New Roman" w:hAnsi="Times New Roman"/>
          <w:color w:val="000000"/>
          <w:szCs w:val="20"/>
        </w:rPr>
        <w:t xml:space="preserve"> документами Центрального </w:t>
      </w:r>
      <w:proofErr w:type="spellStart"/>
      <w:r w:rsidRPr="00C24538">
        <w:rPr>
          <w:rFonts w:ascii="Times New Roman" w:hAnsi="Times New Roman"/>
          <w:color w:val="000000"/>
          <w:szCs w:val="20"/>
        </w:rPr>
        <w:t>депозитарію</w:t>
      </w:r>
      <w:proofErr w:type="spellEnd"/>
      <w:r w:rsidRPr="00C24538">
        <w:rPr>
          <w:rFonts w:ascii="Times New Roman" w:hAnsi="Times New Roman"/>
          <w:color w:val="000000"/>
          <w:szCs w:val="20"/>
        </w:rPr>
        <w:t>.</w:t>
      </w:r>
    </w:p>
    <w:p w14:paraId="0F709066" w14:textId="77777777" w:rsidR="007974E8" w:rsidRPr="00E16672" w:rsidRDefault="007974E8" w:rsidP="007974E8">
      <w:pPr>
        <w:rPr>
          <w:rFonts w:ascii="Times New Roman" w:hAnsi="Times New Roman"/>
          <w:color w:val="000000"/>
          <w:szCs w:val="20"/>
          <w:lang w:val="uk-UA"/>
        </w:rPr>
      </w:pPr>
      <w:r w:rsidRPr="00E16672">
        <w:rPr>
          <w:rFonts w:ascii="Times New Roman" w:hAnsi="Times New Roman"/>
          <w:color w:val="000000"/>
          <w:szCs w:val="20"/>
        </w:rPr>
        <w:t>1</w:t>
      </w:r>
      <w:r w:rsidRPr="00E16672">
        <w:rPr>
          <w:rFonts w:ascii="Times New Roman" w:hAnsi="Times New Roman"/>
          <w:color w:val="000000"/>
          <w:szCs w:val="20"/>
          <w:lang w:val="uk-UA"/>
        </w:rPr>
        <w:t>1</w:t>
      </w:r>
      <w:r w:rsidRPr="00E16672">
        <w:rPr>
          <w:rFonts w:ascii="Times New Roman" w:hAnsi="Times New Roman"/>
          <w:color w:val="000000"/>
          <w:szCs w:val="20"/>
        </w:rPr>
        <w:t xml:space="preserve">.4. У </w:t>
      </w:r>
      <w:proofErr w:type="spellStart"/>
      <w:r w:rsidRPr="00E16672">
        <w:rPr>
          <w:rFonts w:ascii="Times New Roman" w:hAnsi="Times New Roman"/>
          <w:color w:val="000000"/>
          <w:szCs w:val="20"/>
        </w:rPr>
        <w:t>разі</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наявності</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заборгованості</w:t>
      </w:r>
      <w:proofErr w:type="spellEnd"/>
      <w:r w:rsidRPr="00E16672">
        <w:rPr>
          <w:rFonts w:ascii="Times New Roman" w:hAnsi="Times New Roman"/>
          <w:color w:val="000000"/>
          <w:szCs w:val="20"/>
        </w:rPr>
        <w:t xml:space="preserve"> з боку Депонента за </w:t>
      </w:r>
      <w:proofErr w:type="spellStart"/>
      <w:r w:rsidRPr="00E16672">
        <w:rPr>
          <w:rFonts w:ascii="Times New Roman" w:hAnsi="Times New Roman"/>
          <w:color w:val="000000"/>
          <w:szCs w:val="20"/>
        </w:rPr>
        <w:t>послуги</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Депозитарної</w:t>
      </w:r>
      <w:proofErr w:type="spellEnd"/>
      <w:r w:rsidRPr="00E16672">
        <w:rPr>
          <w:rFonts w:ascii="Times New Roman" w:hAnsi="Times New Roman"/>
          <w:color w:val="000000"/>
          <w:szCs w:val="20"/>
        </w:rPr>
        <w:t xml:space="preserve"> установи </w:t>
      </w:r>
      <w:proofErr w:type="spellStart"/>
      <w:r w:rsidRPr="00E16672">
        <w:rPr>
          <w:rFonts w:ascii="Times New Roman" w:hAnsi="Times New Roman"/>
          <w:color w:val="000000"/>
          <w:szCs w:val="20"/>
        </w:rPr>
        <w:t>термін</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здійснення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виплати</w:t>
      </w:r>
      <w:proofErr w:type="spellEnd"/>
      <w:r w:rsidRPr="00E16672">
        <w:rPr>
          <w:rFonts w:ascii="Times New Roman" w:hAnsi="Times New Roman"/>
          <w:color w:val="000000"/>
          <w:szCs w:val="20"/>
        </w:rPr>
        <w:t xml:space="preserve"> доходу за </w:t>
      </w:r>
      <w:proofErr w:type="spellStart"/>
      <w:r w:rsidRPr="00E16672">
        <w:rPr>
          <w:rFonts w:ascii="Times New Roman" w:hAnsi="Times New Roman"/>
          <w:color w:val="000000"/>
          <w:szCs w:val="20"/>
        </w:rPr>
        <w:t>цінними</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паперами</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грошових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коштів</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отриманих</w:t>
      </w:r>
      <w:proofErr w:type="spellEnd"/>
      <w:r w:rsidRPr="00E16672">
        <w:rPr>
          <w:rFonts w:ascii="Times New Roman" w:hAnsi="Times New Roman"/>
          <w:color w:val="000000"/>
          <w:szCs w:val="20"/>
        </w:rPr>
        <w:t xml:space="preserve"> за результатами </w:t>
      </w:r>
      <w:proofErr w:type="spellStart"/>
      <w:r w:rsidRPr="00E16672">
        <w:rPr>
          <w:rFonts w:ascii="Times New Roman" w:hAnsi="Times New Roman"/>
          <w:color w:val="000000"/>
          <w:szCs w:val="20"/>
        </w:rPr>
        <w:t>погашення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цінних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паперів</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емітента</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отриманих</w:t>
      </w:r>
      <w:proofErr w:type="spellEnd"/>
      <w:r w:rsidRPr="00E16672">
        <w:rPr>
          <w:rFonts w:ascii="Times New Roman" w:hAnsi="Times New Roman"/>
          <w:color w:val="000000"/>
          <w:szCs w:val="20"/>
        </w:rPr>
        <w:t xml:space="preserve"> Депонентом за результатами </w:t>
      </w:r>
      <w:proofErr w:type="spellStart"/>
      <w:r w:rsidRPr="00E16672">
        <w:rPr>
          <w:rFonts w:ascii="Times New Roman" w:hAnsi="Times New Roman"/>
          <w:color w:val="000000"/>
          <w:szCs w:val="20"/>
        </w:rPr>
        <w:t>проведення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корпоративних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операцій</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емітента</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може</w:t>
      </w:r>
      <w:proofErr w:type="spellEnd"/>
      <w:r w:rsidRPr="00E16672">
        <w:rPr>
          <w:rFonts w:ascii="Times New Roman" w:hAnsi="Times New Roman"/>
          <w:color w:val="000000"/>
          <w:szCs w:val="20"/>
        </w:rPr>
        <w:t xml:space="preserve"> бути </w:t>
      </w:r>
      <w:proofErr w:type="spellStart"/>
      <w:r w:rsidRPr="00E16672">
        <w:rPr>
          <w:rFonts w:ascii="Times New Roman" w:hAnsi="Times New Roman"/>
          <w:color w:val="000000"/>
          <w:szCs w:val="20"/>
        </w:rPr>
        <w:t>збільшений</w:t>
      </w:r>
      <w:proofErr w:type="spellEnd"/>
      <w:r w:rsidRPr="00E16672">
        <w:rPr>
          <w:rFonts w:ascii="Times New Roman" w:hAnsi="Times New Roman"/>
          <w:color w:val="000000"/>
          <w:szCs w:val="20"/>
        </w:rPr>
        <w:t xml:space="preserve"> </w:t>
      </w:r>
      <w:proofErr w:type="gramStart"/>
      <w:r w:rsidRPr="00E16672">
        <w:rPr>
          <w:rFonts w:ascii="Times New Roman" w:hAnsi="Times New Roman"/>
          <w:color w:val="000000"/>
          <w:szCs w:val="20"/>
        </w:rPr>
        <w:t>до моменту</w:t>
      </w:r>
      <w:proofErr w:type="gram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сплати</w:t>
      </w:r>
      <w:proofErr w:type="spellEnd"/>
      <w:r w:rsidRPr="00E16672">
        <w:rPr>
          <w:rFonts w:ascii="Times New Roman" w:hAnsi="Times New Roman"/>
          <w:color w:val="000000"/>
          <w:szCs w:val="20"/>
        </w:rPr>
        <w:t xml:space="preserve"> Депонентом </w:t>
      </w:r>
      <w:proofErr w:type="spellStart"/>
      <w:r w:rsidRPr="00E16672">
        <w:rPr>
          <w:rFonts w:ascii="Times New Roman" w:hAnsi="Times New Roman"/>
          <w:color w:val="000000"/>
          <w:szCs w:val="20"/>
        </w:rPr>
        <w:t>заборгованості</w:t>
      </w:r>
      <w:proofErr w:type="spellEnd"/>
      <w:r w:rsidRPr="00E16672">
        <w:rPr>
          <w:rFonts w:ascii="Times New Roman" w:hAnsi="Times New Roman"/>
          <w:color w:val="000000"/>
          <w:szCs w:val="20"/>
        </w:rPr>
        <w:t>.</w:t>
      </w:r>
    </w:p>
    <w:p w14:paraId="6C605B5D" w14:textId="77777777" w:rsidR="007974E8" w:rsidRPr="00E16672" w:rsidRDefault="007974E8" w:rsidP="007974E8">
      <w:pPr>
        <w:suppressAutoHyphens w:val="0"/>
        <w:rPr>
          <w:rFonts w:ascii="Times New Roman" w:hAnsi="Times New Roman"/>
          <w:color w:val="000000"/>
          <w:szCs w:val="20"/>
        </w:rPr>
      </w:pPr>
      <w:r w:rsidRPr="00E16672">
        <w:rPr>
          <w:rFonts w:ascii="Times New Roman" w:hAnsi="Times New Roman"/>
          <w:color w:val="000000"/>
          <w:szCs w:val="20"/>
          <w:lang w:val="uk-UA"/>
        </w:rPr>
        <w:t>11</w:t>
      </w:r>
      <w:r w:rsidRPr="00E16672">
        <w:rPr>
          <w:rFonts w:ascii="Times New Roman" w:hAnsi="Times New Roman"/>
          <w:color w:val="000000"/>
          <w:szCs w:val="20"/>
        </w:rPr>
        <w:t xml:space="preserve">.5. </w:t>
      </w:r>
      <w:proofErr w:type="spellStart"/>
      <w:r w:rsidRPr="00E16672">
        <w:rPr>
          <w:rFonts w:ascii="Times New Roman" w:hAnsi="Times New Roman"/>
          <w:color w:val="000000"/>
          <w:szCs w:val="20"/>
        </w:rPr>
        <w:t>Виплата</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дивідендів</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доходів</w:t>
      </w:r>
      <w:proofErr w:type="spellEnd"/>
      <w:r w:rsidRPr="00E16672">
        <w:rPr>
          <w:rFonts w:ascii="Times New Roman" w:hAnsi="Times New Roman"/>
          <w:color w:val="000000"/>
          <w:szCs w:val="20"/>
        </w:rPr>
        <w:t xml:space="preserve">) за </w:t>
      </w:r>
      <w:proofErr w:type="spellStart"/>
      <w:r w:rsidRPr="00E16672">
        <w:rPr>
          <w:rFonts w:ascii="Times New Roman" w:hAnsi="Times New Roman"/>
          <w:color w:val="000000"/>
          <w:szCs w:val="20"/>
        </w:rPr>
        <w:t>цінними</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паперами</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які</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розміщені</w:t>
      </w:r>
      <w:proofErr w:type="spellEnd"/>
      <w:r w:rsidRPr="00E16672">
        <w:rPr>
          <w:rFonts w:ascii="Times New Roman" w:hAnsi="Times New Roman"/>
          <w:color w:val="000000"/>
          <w:szCs w:val="20"/>
        </w:rPr>
        <w:t xml:space="preserve"> за межами </w:t>
      </w:r>
      <w:proofErr w:type="spellStart"/>
      <w:r w:rsidRPr="00E16672">
        <w:rPr>
          <w:rFonts w:ascii="Times New Roman" w:hAnsi="Times New Roman"/>
          <w:color w:val="000000"/>
          <w:szCs w:val="20"/>
        </w:rPr>
        <w:t>України</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здійснюється</w:t>
      </w:r>
      <w:proofErr w:type="spellEnd"/>
      <w:r w:rsidRPr="00E16672">
        <w:rPr>
          <w:rFonts w:ascii="Times New Roman" w:hAnsi="Times New Roman"/>
          <w:color w:val="000000"/>
          <w:szCs w:val="20"/>
        </w:rPr>
        <w:t xml:space="preserve"> </w:t>
      </w:r>
      <w:proofErr w:type="gramStart"/>
      <w:r w:rsidRPr="00E16672">
        <w:rPr>
          <w:rFonts w:ascii="Times New Roman" w:hAnsi="Times New Roman"/>
          <w:color w:val="000000"/>
          <w:szCs w:val="20"/>
        </w:rPr>
        <w:t>в порядку</w:t>
      </w:r>
      <w:proofErr w:type="gram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встановленому</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Положенням</w:t>
      </w:r>
      <w:proofErr w:type="spellEnd"/>
      <w:r w:rsidRPr="00E16672">
        <w:rPr>
          <w:rFonts w:ascii="Times New Roman" w:hAnsi="Times New Roman"/>
          <w:color w:val="000000"/>
          <w:szCs w:val="20"/>
        </w:rPr>
        <w:t xml:space="preserve"> про </w:t>
      </w:r>
      <w:proofErr w:type="spellStart"/>
      <w:r w:rsidRPr="00E16672">
        <w:rPr>
          <w:rFonts w:ascii="Times New Roman" w:hAnsi="Times New Roman"/>
          <w:color w:val="000000"/>
          <w:szCs w:val="20"/>
        </w:rPr>
        <w:t>провадження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депозитарної</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діяльності</w:t>
      </w:r>
      <w:proofErr w:type="spellEnd"/>
      <w:r w:rsidRPr="00E16672">
        <w:rPr>
          <w:rFonts w:ascii="Times New Roman" w:hAnsi="Times New Roman"/>
          <w:color w:val="000000"/>
          <w:szCs w:val="20"/>
        </w:rPr>
        <w:t xml:space="preserve"> та </w:t>
      </w:r>
      <w:proofErr w:type="spellStart"/>
      <w:r w:rsidRPr="00E16672">
        <w:rPr>
          <w:rFonts w:ascii="Times New Roman" w:hAnsi="Times New Roman"/>
          <w:color w:val="000000"/>
          <w:szCs w:val="20"/>
        </w:rPr>
        <w:t>внутрішніми</w:t>
      </w:r>
      <w:proofErr w:type="spellEnd"/>
      <w:r w:rsidRPr="00E16672">
        <w:rPr>
          <w:rFonts w:ascii="Times New Roman" w:hAnsi="Times New Roman"/>
          <w:color w:val="000000"/>
          <w:szCs w:val="20"/>
        </w:rPr>
        <w:t xml:space="preserve"> документами </w:t>
      </w:r>
      <w:proofErr w:type="spellStart"/>
      <w:r w:rsidRPr="00E16672">
        <w:rPr>
          <w:rFonts w:ascii="Times New Roman" w:hAnsi="Times New Roman"/>
          <w:color w:val="000000"/>
          <w:szCs w:val="20"/>
        </w:rPr>
        <w:t>Депозитарної</w:t>
      </w:r>
      <w:proofErr w:type="spellEnd"/>
      <w:r w:rsidRPr="00E16672">
        <w:rPr>
          <w:rFonts w:ascii="Times New Roman" w:hAnsi="Times New Roman"/>
          <w:color w:val="000000"/>
          <w:szCs w:val="20"/>
        </w:rPr>
        <w:t xml:space="preserve"> установи.</w:t>
      </w:r>
    </w:p>
    <w:p w14:paraId="479DF579" w14:textId="77777777" w:rsidR="007974E8" w:rsidRPr="00E16672" w:rsidRDefault="007974E8" w:rsidP="007974E8">
      <w:pPr>
        <w:pStyle w:val="33"/>
        <w:tabs>
          <w:tab w:val="left" w:pos="851"/>
        </w:tabs>
        <w:jc w:val="center"/>
        <w:rPr>
          <w:rFonts w:ascii="Times New Roman" w:hAnsi="Times New Roman" w:cs="Times New Roman"/>
          <w:b/>
          <w:bCs/>
          <w:color w:val="000000"/>
          <w:lang w:val="uk-UA"/>
        </w:rPr>
      </w:pPr>
      <w:r w:rsidRPr="00E16672">
        <w:rPr>
          <w:rFonts w:ascii="Times New Roman" w:hAnsi="Times New Roman" w:cs="Times New Roman"/>
          <w:b/>
          <w:bCs/>
          <w:color w:val="000000"/>
          <w:lang w:val="uk-UA"/>
        </w:rPr>
        <w:t>12</w:t>
      </w:r>
      <w:r w:rsidRPr="00E16672">
        <w:rPr>
          <w:rFonts w:ascii="Times New Roman" w:hAnsi="Times New Roman" w:cs="Times New Roman"/>
          <w:color w:val="000000"/>
          <w:lang w:val="uk-UA"/>
        </w:rPr>
        <w:t xml:space="preserve">. </w:t>
      </w:r>
      <w:r w:rsidRPr="00E16672">
        <w:rPr>
          <w:rFonts w:ascii="Times New Roman" w:hAnsi="Times New Roman" w:cs="Times New Roman"/>
          <w:b/>
          <w:bCs/>
          <w:color w:val="000000"/>
          <w:lang w:val="uk-UA"/>
        </w:rPr>
        <w:t>Заключні положення</w:t>
      </w:r>
    </w:p>
    <w:p w14:paraId="11DEF202" w14:textId="77777777" w:rsidR="007974E8" w:rsidRPr="00E16672" w:rsidRDefault="007974E8" w:rsidP="007974E8">
      <w:pPr>
        <w:tabs>
          <w:tab w:val="left" w:pos="5954"/>
        </w:tabs>
        <w:rPr>
          <w:rFonts w:ascii="Times New Roman" w:hAnsi="Times New Roman"/>
          <w:color w:val="000000"/>
          <w:szCs w:val="20"/>
        </w:rPr>
      </w:pPr>
      <w:r w:rsidRPr="00E16672">
        <w:rPr>
          <w:rFonts w:ascii="Times New Roman" w:hAnsi="Times New Roman"/>
          <w:color w:val="000000"/>
          <w:szCs w:val="20"/>
        </w:rPr>
        <w:t>1</w:t>
      </w:r>
      <w:r w:rsidRPr="00E16672">
        <w:rPr>
          <w:rFonts w:ascii="Times New Roman" w:hAnsi="Times New Roman"/>
          <w:color w:val="000000"/>
          <w:szCs w:val="20"/>
          <w:lang w:val="uk-UA"/>
        </w:rPr>
        <w:t>2</w:t>
      </w:r>
      <w:r w:rsidRPr="00E16672">
        <w:rPr>
          <w:rFonts w:ascii="Times New Roman" w:hAnsi="Times New Roman"/>
          <w:color w:val="000000"/>
          <w:szCs w:val="20"/>
        </w:rPr>
        <w:t xml:space="preserve">.1. </w:t>
      </w:r>
      <w:proofErr w:type="spellStart"/>
      <w:r w:rsidRPr="00E16672">
        <w:rPr>
          <w:rFonts w:ascii="Times New Roman" w:hAnsi="Times New Roman"/>
          <w:color w:val="000000"/>
          <w:szCs w:val="20"/>
        </w:rPr>
        <w:t>Цей</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Договір</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було</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складено</w:t>
      </w:r>
      <w:proofErr w:type="spellEnd"/>
      <w:r w:rsidRPr="00E16672">
        <w:rPr>
          <w:rFonts w:ascii="Times New Roman" w:hAnsi="Times New Roman"/>
          <w:color w:val="000000"/>
          <w:szCs w:val="20"/>
        </w:rPr>
        <w:t xml:space="preserve"> у </w:t>
      </w:r>
      <w:proofErr w:type="spellStart"/>
      <w:r w:rsidRPr="00E16672">
        <w:rPr>
          <w:rFonts w:ascii="Times New Roman" w:hAnsi="Times New Roman"/>
          <w:color w:val="000000"/>
          <w:szCs w:val="20"/>
        </w:rPr>
        <w:t>двох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примірниках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якi</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мають</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однакову</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юридичну</w:t>
      </w:r>
      <w:proofErr w:type="spellEnd"/>
      <w:r w:rsidRPr="00E16672">
        <w:rPr>
          <w:rFonts w:ascii="Times New Roman" w:hAnsi="Times New Roman"/>
          <w:color w:val="000000"/>
          <w:szCs w:val="20"/>
        </w:rPr>
        <w:t xml:space="preserve"> силу, по одному - </w:t>
      </w:r>
      <w:proofErr w:type="spellStart"/>
      <w:r w:rsidRPr="00E16672">
        <w:rPr>
          <w:rFonts w:ascii="Times New Roman" w:hAnsi="Times New Roman"/>
          <w:color w:val="000000"/>
          <w:szCs w:val="20"/>
        </w:rPr>
        <w:t>Депонентові</w:t>
      </w:r>
      <w:proofErr w:type="spellEnd"/>
      <w:r w:rsidRPr="00E16672">
        <w:rPr>
          <w:rFonts w:ascii="Times New Roman" w:hAnsi="Times New Roman"/>
          <w:color w:val="000000"/>
          <w:szCs w:val="20"/>
        </w:rPr>
        <w:t xml:space="preserve"> та </w:t>
      </w:r>
      <w:proofErr w:type="spellStart"/>
      <w:r w:rsidRPr="00E16672">
        <w:rPr>
          <w:rFonts w:ascii="Times New Roman" w:hAnsi="Times New Roman"/>
          <w:color w:val="000000"/>
          <w:szCs w:val="20"/>
        </w:rPr>
        <w:t>Депозитарній</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установі</w:t>
      </w:r>
      <w:proofErr w:type="spellEnd"/>
      <w:r w:rsidRPr="00E16672">
        <w:rPr>
          <w:rFonts w:ascii="Times New Roman" w:hAnsi="Times New Roman"/>
          <w:color w:val="000000"/>
          <w:szCs w:val="20"/>
        </w:rPr>
        <w:t xml:space="preserve">. </w:t>
      </w:r>
    </w:p>
    <w:p w14:paraId="30F70268" w14:textId="77777777" w:rsidR="007974E8" w:rsidRPr="00E16672" w:rsidRDefault="007974E8" w:rsidP="007974E8">
      <w:pPr>
        <w:pStyle w:val="af"/>
        <w:rPr>
          <w:rFonts w:ascii="Times New Roman" w:hAnsi="Times New Roman" w:cs="Times New Roman"/>
          <w:color w:val="000000"/>
        </w:rPr>
      </w:pPr>
      <w:r w:rsidRPr="00E16672">
        <w:rPr>
          <w:rFonts w:ascii="Times New Roman" w:hAnsi="Times New Roman" w:cs="Times New Roman"/>
          <w:color w:val="000000"/>
        </w:rPr>
        <w:t xml:space="preserve">12.2. У разі укладення додаткових договорів до Договору про обслуговування рахунку на ім'я держави, на підставі якого був відкритий рахунок Депоненту, між Депозитарною установою та Депонентом, від імені якого буде діяти інший Керуючий рахунком, такому Керуючому рахунком Депозитарна установа надає копію цього Договору. </w:t>
      </w:r>
    </w:p>
    <w:p w14:paraId="0F2414CB" w14:textId="77777777" w:rsidR="000B00C3" w:rsidRPr="00E16672" w:rsidRDefault="000B00C3" w:rsidP="007974E8">
      <w:pPr>
        <w:tabs>
          <w:tab w:val="left" w:pos="5954"/>
        </w:tabs>
        <w:rPr>
          <w:rFonts w:ascii="Times New Roman" w:hAnsi="Times New Roman"/>
          <w:color w:val="000000"/>
          <w:szCs w:val="20"/>
          <w:lang w:val="uk-UA"/>
        </w:rPr>
      </w:pPr>
      <w:r w:rsidRPr="00E16672">
        <w:rPr>
          <w:rFonts w:ascii="Times New Roman" w:hAnsi="Times New Roman"/>
          <w:color w:val="000000"/>
          <w:szCs w:val="20"/>
          <w:lang w:val="uk-UA"/>
        </w:rPr>
        <w:t>12.3. Підписуючи цей Договір, Депонент засвідчує, що він ознайомлений з внутрішніми документами Депозитарної установи, що регламентують провадження депозитарної діяльності, та тарифами Депозитарної установи.</w:t>
      </w:r>
    </w:p>
    <w:p w14:paraId="763E6E62" w14:textId="77777777" w:rsidR="007974E8" w:rsidRPr="00E16672" w:rsidRDefault="007974E8" w:rsidP="007974E8">
      <w:pPr>
        <w:pStyle w:val="1e"/>
        <w:jc w:val="center"/>
        <w:rPr>
          <w:rFonts w:ascii="Times New Roman" w:hAnsi="Times New Roman"/>
          <w:color w:val="000000"/>
          <w:sz w:val="20"/>
          <w:lang w:val="uk-UA"/>
        </w:rPr>
      </w:pPr>
      <w:r w:rsidRPr="00E16672">
        <w:rPr>
          <w:rFonts w:ascii="Times New Roman" w:hAnsi="Times New Roman"/>
          <w:color w:val="000000"/>
          <w:sz w:val="20"/>
          <w:lang w:val="uk-UA"/>
        </w:rPr>
        <w:t>13. Реквізити Сторін</w:t>
      </w:r>
    </w:p>
    <w:p w14:paraId="541DA01C" w14:textId="77777777" w:rsidR="007974E8" w:rsidRPr="00E16672" w:rsidRDefault="007974E8" w:rsidP="007974E8">
      <w:pPr>
        <w:jc w:val="center"/>
        <w:rPr>
          <w:rFonts w:ascii="Times New Roman" w:hAnsi="Times New Roman"/>
          <w:color w:val="000000"/>
          <w:szCs w:val="20"/>
          <w:lang w:val="uk-UA"/>
        </w:rPr>
      </w:pPr>
    </w:p>
    <w:tbl>
      <w:tblPr>
        <w:tblW w:w="10961" w:type="dxa"/>
        <w:tblInd w:w="158" w:type="dxa"/>
        <w:tblLayout w:type="fixed"/>
        <w:tblLook w:val="0000" w:firstRow="0" w:lastRow="0" w:firstColumn="0" w:lastColumn="0" w:noHBand="0" w:noVBand="0"/>
      </w:tblPr>
      <w:tblGrid>
        <w:gridCol w:w="25"/>
        <w:gridCol w:w="2511"/>
        <w:gridCol w:w="89"/>
        <w:gridCol w:w="2625"/>
        <w:gridCol w:w="236"/>
        <w:gridCol w:w="89"/>
        <w:gridCol w:w="2631"/>
        <w:gridCol w:w="17"/>
        <w:gridCol w:w="2552"/>
        <w:gridCol w:w="186"/>
      </w:tblGrid>
      <w:tr w:rsidR="007974E8" w:rsidRPr="00E16672" w14:paraId="368AEE0A" w14:textId="77777777" w:rsidTr="00154814">
        <w:trPr>
          <w:trHeight w:val="295"/>
        </w:trPr>
        <w:tc>
          <w:tcPr>
            <w:tcW w:w="5250" w:type="dxa"/>
            <w:gridSpan w:val="4"/>
            <w:shd w:val="clear" w:color="auto" w:fill="auto"/>
          </w:tcPr>
          <w:p w14:paraId="0F942B6A" w14:textId="77777777" w:rsidR="007974E8" w:rsidRPr="00E16672" w:rsidRDefault="007974E8" w:rsidP="00E72E24">
            <w:pPr>
              <w:pStyle w:val="4"/>
              <w:keepNext w:val="0"/>
              <w:numPr>
                <w:ilvl w:val="0"/>
                <w:numId w:val="0"/>
              </w:numPr>
              <w:snapToGrid w:val="0"/>
              <w:ind w:left="864" w:right="105" w:hanging="864"/>
              <w:rPr>
                <w:rFonts w:ascii="Times New Roman" w:hAnsi="Times New Roman"/>
                <w:iCs/>
                <w:color w:val="000000"/>
                <w:sz w:val="18"/>
                <w:szCs w:val="18"/>
              </w:rPr>
            </w:pPr>
            <w:r w:rsidRPr="00E16672">
              <w:rPr>
                <w:rFonts w:ascii="Times New Roman" w:hAnsi="Times New Roman"/>
                <w:iCs/>
                <w:color w:val="000000"/>
                <w:sz w:val="18"/>
                <w:szCs w:val="18"/>
              </w:rPr>
              <w:t>Керуючий рахунком:</w:t>
            </w:r>
          </w:p>
        </w:tc>
        <w:tc>
          <w:tcPr>
            <w:tcW w:w="236" w:type="dxa"/>
            <w:shd w:val="clear" w:color="auto" w:fill="auto"/>
          </w:tcPr>
          <w:p w14:paraId="425241CC" w14:textId="77777777" w:rsidR="007974E8" w:rsidRPr="00E16672" w:rsidRDefault="007974E8" w:rsidP="00E72E24">
            <w:pPr>
              <w:snapToGrid w:val="0"/>
              <w:rPr>
                <w:rFonts w:ascii="Times New Roman" w:hAnsi="Times New Roman"/>
                <w:b/>
                <w:bCs/>
                <w:color w:val="000000"/>
                <w:sz w:val="18"/>
                <w:szCs w:val="18"/>
              </w:rPr>
            </w:pPr>
          </w:p>
        </w:tc>
        <w:tc>
          <w:tcPr>
            <w:tcW w:w="5475" w:type="dxa"/>
            <w:gridSpan w:val="5"/>
            <w:shd w:val="clear" w:color="auto" w:fill="auto"/>
          </w:tcPr>
          <w:p w14:paraId="68B3031A" w14:textId="77777777" w:rsidR="007974E8" w:rsidRPr="00E16672" w:rsidRDefault="007974E8" w:rsidP="00E72E24">
            <w:pPr>
              <w:snapToGrid w:val="0"/>
              <w:jc w:val="center"/>
              <w:rPr>
                <w:rFonts w:ascii="Times New Roman" w:hAnsi="Times New Roman"/>
                <w:b/>
                <w:bCs/>
                <w:color w:val="000000"/>
                <w:sz w:val="18"/>
                <w:szCs w:val="18"/>
              </w:rPr>
            </w:pPr>
            <w:proofErr w:type="spellStart"/>
            <w:r w:rsidRPr="00E16672">
              <w:rPr>
                <w:rFonts w:ascii="Times New Roman" w:hAnsi="Times New Roman"/>
                <w:b/>
                <w:bCs/>
                <w:color w:val="000000"/>
                <w:sz w:val="18"/>
                <w:szCs w:val="18"/>
              </w:rPr>
              <w:t>Депозитарна</w:t>
            </w:r>
            <w:proofErr w:type="spellEnd"/>
            <w:r w:rsidRPr="00E16672">
              <w:rPr>
                <w:rFonts w:ascii="Times New Roman" w:hAnsi="Times New Roman"/>
                <w:b/>
                <w:bCs/>
                <w:color w:val="000000"/>
                <w:sz w:val="18"/>
                <w:szCs w:val="18"/>
              </w:rPr>
              <w:t xml:space="preserve"> </w:t>
            </w:r>
            <w:proofErr w:type="spellStart"/>
            <w:r w:rsidRPr="00E16672">
              <w:rPr>
                <w:rFonts w:ascii="Times New Roman" w:hAnsi="Times New Roman"/>
                <w:b/>
                <w:bCs/>
                <w:color w:val="000000"/>
                <w:sz w:val="18"/>
                <w:szCs w:val="18"/>
              </w:rPr>
              <w:t>установа</w:t>
            </w:r>
            <w:proofErr w:type="spellEnd"/>
            <w:r w:rsidRPr="00E16672">
              <w:rPr>
                <w:rFonts w:ascii="Times New Roman" w:hAnsi="Times New Roman"/>
                <w:b/>
                <w:bCs/>
                <w:color w:val="000000"/>
                <w:sz w:val="18"/>
                <w:szCs w:val="18"/>
              </w:rPr>
              <w:t>:</w:t>
            </w:r>
          </w:p>
        </w:tc>
      </w:tr>
      <w:tr w:rsidR="00E76246" w:rsidRPr="00E16672" w14:paraId="7EAF4F43" w14:textId="77777777" w:rsidTr="00154814">
        <w:trPr>
          <w:trHeight w:val="295"/>
        </w:trPr>
        <w:tc>
          <w:tcPr>
            <w:tcW w:w="5250" w:type="dxa"/>
            <w:gridSpan w:val="4"/>
            <w:shd w:val="clear" w:color="auto" w:fill="auto"/>
          </w:tcPr>
          <w:p w14:paraId="0ADAB733" w14:textId="77777777" w:rsidR="00E76246" w:rsidRPr="00E16672" w:rsidRDefault="00E76246" w:rsidP="00E76246">
            <w:pPr>
              <w:pStyle w:val="4"/>
              <w:ind w:left="864" w:right="105"/>
              <w:jc w:val="both"/>
              <w:rPr>
                <w:rFonts w:ascii="Times New Roman" w:hAnsi="Times New Roman"/>
                <w:iCs/>
                <w:color w:val="000000"/>
                <w:sz w:val="18"/>
                <w:szCs w:val="18"/>
              </w:rPr>
            </w:pPr>
            <w:r w:rsidRPr="00E16672">
              <w:rPr>
                <w:rFonts w:ascii="Times New Roman" w:hAnsi="Times New Roman"/>
                <w:iCs/>
                <w:color w:val="000000"/>
                <w:sz w:val="18"/>
                <w:szCs w:val="18"/>
              </w:rPr>
              <w:t xml:space="preserve">Повне найменування </w:t>
            </w:r>
          </w:p>
        </w:tc>
        <w:tc>
          <w:tcPr>
            <w:tcW w:w="236" w:type="dxa"/>
            <w:shd w:val="clear" w:color="auto" w:fill="auto"/>
          </w:tcPr>
          <w:p w14:paraId="03B2D089" w14:textId="77777777" w:rsidR="00E76246" w:rsidRPr="00E16672" w:rsidRDefault="00E76246" w:rsidP="00DC1E60">
            <w:pPr>
              <w:snapToGrid w:val="0"/>
              <w:rPr>
                <w:rFonts w:ascii="Times New Roman" w:hAnsi="Times New Roman"/>
                <w:b/>
                <w:bCs/>
                <w:color w:val="000000"/>
                <w:sz w:val="18"/>
                <w:szCs w:val="18"/>
              </w:rPr>
            </w:pPr>
          </w:p>
        </w:tc>
        <w:tc>
          <w:tcPr>
            <w:tcW w:w="5475" w:type="dxa"/>
            <w:gridSpan w:val="5"/>
            <w:shd w:val="clear" w:color="auto" w:fill="auto"/>
          </w:tcPr>
          <w:p w14:paraId="7DF6C34D" w14:textId="77777777" w:rsidR="00E76246" w:rsidRPr="00E16672" w:rsidRDefault="00E76246" w:rsidP="00E76246">
            <w:pPr>
              <w:ind w:firstLine="0"/>
              <w:rPr>
                <w:rFonts w:ascii="Times New Roman" w:hAnsi="Times New Roman"/>
                <w:b/>
                <w:bCs/>
                <w:color w:val="000000"/>
                <w:sz w:val="18"/>
                <w:szCs w:val="18"/>
              </w:rPr>
            </w:pPr>
            <w:proofErr w:type="spellStart"/>
            <w:r w:rsidRPr="00E16672">
              <w:rPr>
                <w:rFonts w:ascii="Times New Roman" w:hAnsi="Times New Roman"/>
                <w:b/>
                <w:bCs/>
                <w:color w:val="000000"/>
                <w:sz w:val="18"/>
                <w:szCs w:val="18"/>
              </w:rPr>
              <w:t>Повне</w:t>
            </w:r>
            <w:proofErr w:type="spellEnd"/>
            <w:r w:rsidRPr="00E16672">
              <w:rPr>
                <w:rFonts w:ascii="Times New Roman" w:hAnsi="Times New Roman"/>
                <w:b/>
                <w:bCs/>
                <w:color w:val="000000"/>
                <w:sz w:val="18"/>
                <w:szCs w:val="18"/>
              </w:rPr>
              <w:t xml:space="preserve"> </w:t>
            </w:r>
            <w:proofErr w:type="spellStart"/>
            <w:r w:rsidRPr="00E16672">
              <w:rPr>
                <w:rFonts w:ascii="Times New Roman" w:hAnsi="Times New Roman"/>
                <w:b/>
                <w:bCs/>
                <w:color w:val="000000"/>
                <w:sz w:val="18"/>
                <w:szCs w:val="18"/>
              </w:rPr>
              <w:t>найменування</w:t>
            </w:r>
            <w:proofErr w:type="spellEnd"/>
          </w:p>
        </w:tc>
      </w:tr>
      <w:tr w:rsidR="00E76246" w:rsidRPr="00E16672" w14:paraId="4FD91823" w14:textId="77777777" w:rsidTr="00154814">
        <w:trPr>
          <w:trHeight w:val="295"/>
        </w:trPr>
        <w:tc>
          <w:tcPr>
            <w:tcW w:w="5250" w:type="dxa"/>
            <w:gridSpan w:val="4"/>
            <w:shd w:val="clear" w:color="auto" w:fill="auto"/>
          </w:tcPr>
          <w:p w14:paraId="2680CBEE" w14:textId="77777777" w:rsidR="00E76246" w:rsidRPr="00E16672" w:rsidRDefault="00E76246" w:rsidP="00E76246">
            <w:pPr>
              <w:pStyle w:val="4"/>
              <w:keepNext w:val="0"/>
              <w:numPr>
                <w:ilvl w:val="0"/>
                <w:numId w:val="0"/>
              </w:numPr>
              <w:snapToGrid w:val="0"/>
              <w:ind w:left="864" w:right="105" w:hanging="864"/>
              <w:rPr>
                <w:rFonts w:ascii="Times New Roman" w:hAnsi="Times New Roman"/>
                <w:iCs/>
                <w:color w:val="000000"/>
                <w:sz w:val="18"/>
                <w:szCs w:val="18"/>
              </w:rPr>
            </w:pPr>
          </w:p>
        </w:tc>
        <w:tc>
          <w:tcPr>
            <w:tcW w:w="236" w:type="dxa"/>
            <w:shd w:val="clear" w:color="auto" w:fill="auto"/>
          </w:tcPr>
          <w:p w14:paraId="361C366A" w14:textId="77777777" w:rsidR="00E76246" w:rsidRPr="00E16672" w:rsidRDefault="00E76246" w:rsidP="00DC1E60">
            <w:pPr>
              <w:snapToGrid w:val="0"/>
              <w:rPr>
                <w:rFonts w:ascii="Times New Roman" w:hAnsi="Times New Roman"/>
                <w:b/>
                <w:bCs/>
                <w:color w:val="000000"/>
                <w:sz w:val="18"/>
                <w:szCs w:val="18"/>
              </w:rPr>
            </w:pPr>
          </w:p>
        </w:tc>
        <w:tc>
          <w:tcPr>
            <w:tcW w:w="5475" w:type="dxa"/>
            <w:gridSpan w:val="5"/>
            <w:shd w:val="clear" w:color="auto" w:fill="auto"/>
          </w:tcPr>
          <w:p w14:paraId="736048E3" w14:textId="77777777" w:rsidR="00E76246" w:rsidRPr="00E16672" w:rsidRDefault="00E76246" w:rsidP="00022F5F">
            <w:pPr>
              <w:ind w:firstLine="0"/>
              <w:jc w:val="left"/>
              <w:rPr>
                <w:rFonts w:ascii="Times New Roman" w:hAnsi="Times New Roman"/>
                <w:bCs/>
                <w:color w:val="000000"/>
                <w:sz w:val="18"/>
                <w:szCs w:val="18"/>
              </w:rPr>
            </w:pPr>
            <w:r w:rsidRPr="00E16672">
              <w:rPr>
                <w:rFonts w:ascii="Times New Roman" w:hAnsi="Times New Roman"/>
                <w:bCs/>
                <w:color w:val="000000"/>
                <w:sz w:val="18"/>
                <w:szCs w:val="18"/>
              </w:rPr>
              <w:t xml:space="preserve">ТОВАРИСТВО З ОБМЕЖЕНОЮ ВІДПОВІДАЛЬНІСТЮ </w:t>
            </w:r>
            <w:r w:rsidR="00022F5F">
              <w:rPr>
                <w:rFonts w:ascii="Times New Roman" w:hAnsi="Times New Roman"/>
                <w:bCs/>
                <w:color w:val="000000"/>
                <w:sz w:val="18"/>
                <w:szCs w:val="18"/>
              </w:rPr>
              <w:t>"</w:t>
            </w:r>
            <w:r w:rsidR="00E16672" w:rsidRPr="00E16672">
              <w:rPr>
                <w:rFonts w:ascii="Times New Roman" w:hAnsi="Times New Roman"/>
                <w:bCs/>
                <w:color w:val="000000"/>
                <w:sz w:val="18"/>
                <w:szCs w:val="18"/>
              </w:rPr>
              <w:t>КОМЕКС ЦІННІ ПАПЕРИ</w:t>
            </w:r>
            <w:r w:rsidR="00022F5F">
              <w:rPr>
                <w:rFonts w:ascii="Times New Roman" w:hAnsi="Times New Roman"/>
                <w:bCs/>
                <w:color w:val="000000"/>
                <w:sz w:val="18"/>
                <w:szCs w:val="18"/>
              </w:rPr>
              <w:t>"</w:t>
            </w:r>
          </w:p>
        </w:tc>
      </w:tr>
      <w:tr w:rsidR="00E76246" w:rsidRPr="00E16672" w14:paraId="5000CB4F" w14:textId="77777777" w:rsidTr="00154814">
        <w:trPr>
          <w:trHeight w:val="295"/>
        </w:trPr>
        <w:tc>
          <w:tcPr>
            <w:tcW w:w="5250" w:type="dxa"/>
            <w:gridSpan w:val="4"/>
            <w:shd w:val="clear" w:color="auto" w:fill="auto"/>
          </w:tcPr>
          <w:p w14:paraId="567FD14D" w14:textId="77777777" w:rsidR="00E76246" w:rsidRPr="00E16672" w:rsidRDefault="00E76246" w:rsidP="00E76246">
            <w:pPr>
              <w:pStyle w:val="4"/>
              <w:keepNext w:val="0"/>
              <w:ind w:left="864" w:right="105"/>
              <w:rPr>
                <w:rFonts w:ascii="Times New Roman" w:hAnsi="Times New Roman"/>
                <w:iCs/>
                <w:color w:val="000000"/>
                <w:sz w:val="18"/>
                <w:szCs w:val="18"/>
              </w:rPr>
            </w:pPr>
          </w:p>
          <w:p w14:paraId="008D67F8" w14:textId="77777777" w:rsidR="00E76246" w:rsidRPr="00E16672" w:rsidRDefault="00E76246" w:rsidP="00E76246">
            <w:pPr>
              <w:pStyle w:val="4"/>
              <w:keepNext w:val="0"/>
              <w:ind w:left="864" w:right="105"/>
              <w:jc w:val="left"/>
              <w:rPr>
                <w:rFonts w:ascii="Times New Roman" w:hAnsi="Times New Roman"/>
                <w:iCs/>
                <w:color w:val="000000"/>
                <w:sz w:val="18"/>
                <w:szCs w:val="18"/>
              </w:rPr>
            </w:pPr>
            <w:r w:rsidRPr="00E16672">
              <w:rPr>
                <w:rFonts w:ascii="Times New Roman" w:hAnsi="Times New Roman"/>
                <w:iCs/>
                <w:color w:val="000000"/>
                <w:sz w:val="18"/>
                <w:szCs w:val="18"/>
              </w:rPr>
              <w:t>Ідентифікаційний код юридичної особи</w:t>
            </w:r>
          </w:p>
          <w:p w14:paraId="4BDA4546" w14:textId="77777777" w:rsidR="00E76246" w:rsidRPr="00E16672" w:rsidRDefault="00E76246" w:rsidP="00E76246">
            <w:pPr>
              <w:pStyle w:val="4"/>
              <w:keepNext w:val="0"/>
              <w:ind w:left="864" w:right="105"/>
              <w:jc w:val="left"/>
              <w:rPr>
                <w:rFonts w:ascii="Times New Roman" w:hAnsi="Times New Roman"/>
                <w:iCs/>
                <w:color w:val="000000"/>
                <w:sz w:val="18"/>
                <w:szCs w:val="18"/>
              </w:rPr>
            </w:pPr>
            <w:r w:rsidRPr="00E16672">
              <w:rPr>
                <w:rFonts w:ascii="Times New Roman" w:hAnsi="Times New Roman"/>
                <w:iCs/>
                <w:color w:val="000000"/>
                <w:sz w:val="18"/>
                <w:szCs w:val="18"/>
              </w:rPr>
              <w:t xml:space="preserve">(код за ЄДРПОУ) </w:t>
            </w:r>
          </w:p>
        </w:tc>
        <w:tc>
          <w:tcPr>
            <w:tcW w:w="236" w:type="dxa"/>
            <w:shd w:val="clear" w:color="auto" w:fill="auto"/>
          </w:tcPr>
          <w:p w14:paraId="0FA06068" w14:textId="77777777" w:rsidR="00E76246" w:rsidRPr="00E16672" w:rsidRDefault="00E76246" w:rsidP="00DC1E60">
            <w:pPr>
              <w:snapToGrid w:val="0"/>
              <w:rPr>
                <w:rFonts w:ascii="Times New Roman" w:hAnsi="Times New Roman"/>
                <w:b/>
                <w:bCs/>
                <w:color w:val="000000"/>
                <w:sz w:val="18"/>
                <w:szCs w:val="18"/>
              </w:rPr>
            </w:pPr>
          </w:p>
        </w:tc>
        <w:tc>
          <w:tcPr>
            <w:tcW w:w="5475" w:type="dxa"/>
            <w:gridSpan w:val="5"/>
            <w:shd w:val="clear" w:color="auto" w:fill="auto"/>
          </w:tcPr>
          <w:p w14:paraId="169F29C9" w14:textId="77777777" w:rsidR="00E76246" w:rsidRPr="00E16672" w:rsidRDefault="00E76246" w:rsidP="00E76246">
            <w:pPr>
              <w:jc w:val="center"/>
              <w:rPr>
                <w:rFonts w:ascii="Times New Roman" w:hAnsi="Times New Roman"/>
                <w:b/>
                <w:bCs/>
                <w:color w:val="000000"/>
                <w:sz w:val="18"/>
                <w:szCs w:val="18"/>
              </w:rPr>
            </w:pPr>
          </w:p>
          <w:p w14:paraId="7312B9BE" w14:textId="77777777" w:rsidR="00E76246" w:rsidRPr="00E16672" w:rsidRDefault="00E76246" w:rsidP="00E76246">
            <w:pPr>
              <w:ind w:firstLine="0"/>
              <w:rPr>
                <w:rFonts w:ascii="Times New Roman" w:hAnsi="Times New Roman"/>
                <w:b/>
                <w:bCs/>
                <w:color w:val="000000"/>
                <w:sz w:val="18"/>
                <w:szCs w:val="18"/>
              </w:rPr>
            </w:pPr>
            <w:proofErr w:type="spellStart"/>
            <w:r w:rsidRPr="00E16672">
              <w:rPr>
                <w:rFonts w:ascii="Times New Roman" w:hAnsi="Times New Roman"/>
                <w:b/>
                <w:bCs/>
                <w:color w:val="000000"/>
                <w:sz w:val="18"/>
                <w:szCs w:val="18"/>
              </w:rPr>
              <w:t>Ідентифікаційний</w:t>
            </w:r>
            <w:proofErr w:type="spellEnd"/>
            <w:r w:rsidRPr="00E16672">
              <w:rPr>
                <w:rFonts w:ascii="Times New Roman" w:hAnsi="Times New Roman"/>
                <w:b/>
                <w:bCs/>
                <w:color w:val="000000"/>
                <w:sz w:val="18"/>
                <w:szCs w:val="18"/>
              </w:rPr>
              <w:t xml:space="preserve"> код </w:t>
            </w:r>
            <w:proofErr w:type="spellStart"/>
            <w:r w:rsidRPr="00E16672">
              <w:rPr>
                <w:rFonts w:ascii="Times New Roman" w:hAnsi="Times New Roman"/>
                <w:b/>
                <w:bCs/>
                <w:color w:val="000000"/>
                <w:sz w:val="18"/>
                <w:szCs w:val="18"/>
              </w:rPr>
              <w:t>юридичної</w:t>
            </w:r>
            <w:proofErr w:type="spellEnd"/>
            <w:r w:rsidRPr="00E16672">
              <w:rPr>
                <w:rFonts w:ascii="Times New Roman" w:hAnsi="Times New Roman"/>
                <w:b/>
                <w:bCs/>
                <w:color w:val="000000"/>
                <w:sz w:val="18"/>
                <w:szCs w:val="18"/>
              </w:rPr>
              <w:t xml:space="preserve"> особи</w:t>
            </w:r>
          </w:p>
          <w:p w14:paraId="306C90EE" w14:textId="77777777" w:rsidR="00E76246" w:rsidRPr="00E16672" w:rsidRDefault="00E76246" w:rsidP="00E76246">
            <w:pPr>
              <w:ind w:firstLine="0"/>
              <w:rPr>
                <w:rFonts w:ascii="Times New Roman" w:hAnsi="Times New Roman"/>
                <w:b/>
                <w:bCs/>
                <w:color w:val="000000"/>
                <w:sz w:val="18"/>
                <w:szCs w:val="18"/>
              </w:rPr>
            </w:pPr>
            <w:r w:rsidRPr="00E16672">
              <w:rPr>
                <w:rFonts w:ascii="Times New Roman" w:hAnsi="Times New Roman"/>
                <w:b/>
                <w:bCs/>
                <w:color w:val="000000"/>
                <w:sz w:val="18"/>
                <w:szCs w:val="18"/>
              </w:rPr>
              <w:t>(код за ЄДРПОУ)</w:t>
            </w:r>
          </w:p>
        </w:tc>
      </w:tr>
      <w:tr w:rsidR="00E76246" w:rsidRPr="00E16672" w14:paraId="1327A849" w14:textId="77777777" w:rsidTr="00154814">
        <w:trPr>
          <w:trHeight w:val="295"/>
        </w:trPr>
        <w:tc>
          <w:tcPr>
            <w:tcW w:w="5250" w:type="dxa"/>
            <w:gridSpan w:val="4"/>
            <w:shd w:val="clear" w:color="auto" w:fill="auto"/>
          </w:tcPr>
          <w:p w14:paraId="49846F2A" w14:textId="77777777" w:rsidR="00E76246" w:rsidRPr="00E16672" w:rsidRDefault="00E76246" w:rsidP="00E76246">
            <w:pPr>
              <w:pStyle w:val="4"/>
              <w:ind w:left="864" w:right="105"/>
              <w:rPr>
                <w:rFonts w:ascii="Times New Roman" w:hAnsi="Times New Roman"/>
                <w:iCs/>
                <w:color w:val="000000"/>
                <w:sz w:val="18"/>
                <w:szCs w:val="18"/>
              </w:rPr>
            </w:pPr>
          </w:p>
        </w:tc>
        <w:tc>
          <w:tcPr>
            <w:tcW w:w="236" w:type="dxa"/>
            <w:shd w:val="clear" w:color="auto" w:fill="auto"/>
          </w:tcPr>
          <w:p w14:paraId="78A97373" w14:textId="77777777" w:rsidR="00E76246" w:rsidRPr="00E16672" w:rsidRDefault="00E76246" w:rsidP="00DC1E60">
            <w:pPr>
              <w:snapToGrid w:val="0"/>
              <w:rPr>
                <w:rFonts w:ascii="Times New Roman" w:hAnsi="Times New Roman"/>
                <w:b/>
                <w:bCs/>
                <w:color w:val="000000"/>
                <w:sz w:val="18"/>
                <w:szCs w:val="18"/>
              </w:rPr>
            </w:pPr>
          </w:p>
        </w:tc>
        <w:tc>
          <w:tcPr>
            <w:tcW w:w="5475" w:type="dxa"/>
            <w:gridSpan w:val="5"/>
            <w:shd w:val="clear" w:color="auto" w:fill="auto"/>
          </w:tcPr>
          <w:p w14:paraId="17BEF0C6" w14:textId="77777777" w:rsidR="00E76246" w:rsidRPr="00E16672" w:rsidRDefault="00E16672" w:rsidP="00E76246">
            <w:pPr>
              <w:ind w:firstLine="0"/>
              <w:rPr>
                <w:rFonts w:ascii="Times New Roman" w:hAnsi="Times New Roman"/>
                <w:bCs/>
                <w:color w:val="000000"/>
                <w:sz w:val="18"/>
                <w:szCs w:val="18"/>
              </w:rPr>
            </w:pPr>
            <w:r w:rsidRPr="00E16672">
              <w:rPr>
                <w:rFonts w:ascii="Times New Roman" w:hAnsi="Times New Roman"/>
                <w:bCs/>
                <w:color w:val="000000"/>
                <w:sz w:val="18"/>
                <w:szCs w:val="18"/>
              </w:rPr>
              <w:t>33153077</w:t>
            </w:r>
          </w:p>
        </w:tc>
      </w:tr>
      <w:tr w:rsidR="00E76246" w:rsidRPr="00E16672" w14:paraId="32720CE3" w14:textId="77777777" w:rsidTr="00154814">
        <w:trPr>
          <w:trHeight w:val="295"/>
        </w:trPr>
        <w:tc>
          <w:tcPr>
            <w:tcW w:w="5250" w:type="dxa"/>
            <w:gridSpan w:val="4"/>
            <w:shd w:val="clear" w:color="auto" w:fill="auto"/>
          </w:tcPr>
          <w:p w14:paraId="736FAF84" w14:textId="77777777" w:rsidR="00E76246" w:rsidRPr="00E16672" w:rsidRDefault="00E76246" w:rsidP="00E76246">
            <w:pPr>
              <w:pStyle w:val="4"/>
              <w:keepNext w:val="0"/>
              <w:numPr>
                <w:ilvl w:val="0"/>
                <w:numId w:val="0"/>
              </w:numPr>
              <w:snapToGrid w:val="0"/>
              <w:ind w:left="864" w:right="105" w:hanging="864"/>
              <w:rPr>
                <w:rFonts w:ascii="Times New Roman" w:hAnsi="Times New Roman"/>
                <w:iCs/>
                <w:color w:val="000000"/>
                <w:sz w:val="18"/>
                <w:szCs w:val="18"/>
              </w:rPr>
            </w:pPr>
          </w:p>
          <w:p w14:paraId="1EAD413C" w14:textId="34922DD9" w:rsidR="00E76246" w:rsidRPr="00E16672" w:rsidRDefault="00E76246" w:rsidP="00E76246">
            <w:pPr>
              <w:pStyle w:val="4"/>
              <w:keepNext w:val="0"/>
              <w:numPr>
                <w:ilvl w:val="0"/>
                <w:numId w:val="0"/>
              </w:numPr>
              <w:snapToGrid w:val="0"/>
              <w:ind w:left="864" w:right="105" w:hanging="864"/>
              <w:jc w:val="both"/>
              <w:rPr>
                <w:rFonts w:ascii="Times New Roman" w:hAnsi="Times New Roman"/>
                <w:iCs/>
                <w:color w:val="000000"/>
                <w:sz w:val="18"/>
                <w:szCs w:val="18"/>
              </w:rPr>
            </w:pPr>
            <w:r w:rsidRPr="00E16672">
              <w:rPr>
                <w:rFonts w:ascii="Times New Roman" w:hAnsi="Times New Roman"/>
                <w:iCs/>
                <w:color w:val="000000"/>
                <w:sz w:val="18"/>
                <w:szCs w:val="18"/>
              </w:rPr>
              <w:t>Місцезнаходження</w:t>
            </w:r>
          </w:p>
        </w:tc>
        <w:tc>
          <w:tcPr>
            <w:tcW w:w="236" w:type="dxa"/>
            <w:shd w:val="clear" w:color="auto" w:fill="auto"/>
          </w:tcPr>
          <w:p w14:paraId="77AC4C06" w14:textId="77777777" w:rsidR="00E76246" w:rsidRPr="00E16672" w:rsidRDefault="00E76246" w:rsidP="00DC1E60">
            <w:pPr>
              <w:snapToGrid w:val="0"/>
              <w:rPr>
                <w:rFonts w:ascii="Times New Roman" w:hAnsi="Times New Roman"/>
                <w:b/>
                <w:bCs/>
                <w:color w:val="000000"/>
                <w:sz w:val="18"/>
                <w:szCs w:val="18"/>
              </w:rPr>
            </w:pPr>
          </w:p>
        </w:tc>
        <w:tc>
          <w:tcPr>
            <w:tcW w:w="5475" w:type="dxa"/>
            <w:gridSpan w:val="5"/>
            <w:shd w:val="clear" w:color="auto" w:fill="auto"/>
          </w:tcPr>
          <w:p w14:paraId="27ED68FC" w14:textId="77777777" w:rsidR="00E76246" w:rsidRPr="00E16672" w:rsidRDefault="00E76246" w:rsidP="00E76246">
            <w:pPr>
              <w:jc w:val="center"/>
              <w:rPr>
                <w:rFonts w:ascii="Times New Roman" w:hAnsi="Times New Roman"/>
                <w:b/>
                <w:bCs/>
                <w:color w:val="000000"/>
                <w:sz w:val="18"/>
                <w:szCs w:val="18"/>
              </w:rPr>
            </w:pPr>
          </w:p>
          <w:p w14:paraId="59E1471D" w14:textId="77777777" w:rsidR="00E76246" w:rsidRPr="00E16672" w:rsidRDefault="00E76246" w:rsidP="00E76246">
            <w:pPr>
              <w:ind w:firstLine="0"/>
              <w:rPr>
                <w:rFonts w:ascii="Times New Roman" w:hAnsi="Times New Roman"/>
                <w:b/>
                <w:bCs/>
                <w:color w:val="000000"/>
                <w:sz w:val="18"/>
                <w:szCs w:val="18"/>
              </w:rPr>
            </w:pPr>
            <w:proofErr w:type="spellStart"/>
            <w:r w:rsidRPr="00E16672">
              <w:rPr>
                <w:rFonts w:ascii="Times New Roman" w:hAnsi="Times New Roman"/>
                <w:b/>
                <w:bCs/>
                <w:color w:val="000000"/>
                <w:sz w:val="18"/>
                <w:szCs w:val="18"/>
              </w:rPr>
              <w:t>Місцезнаходження</w:t>
            </w:r>
            <w:proofErr w:type="spellEnd"/>
          </w:p>
        </w:tc>
      </w:tr>
      <w:tr w:rsidR="00E76246" w:rsidRPr="00E16672" w14:paraId="6463EF74" w14:textId="77777777" w:rsidTr="00154814">
        <w:trPr>
          <w:trHeight w:val="295"/>
        </w:trPr>
        <w:tc>
          <w:tcPr>
            <w:tcW w:w="5250" w:type="dxa"/>
            <w:gridSpan w:val="4"/>
            <w:shd w:val="clear" w:color="auto" w:fill="auto"/>
          </w:tcPr>
          <w:p w14:paraId="5C6522C6" w14:textId="77777777" w:rsidR="00E76246" w:rsidRPr="00E16672" w:rsidRDefault="00E76246" w:rsidP="00E76246">
            <w:pPr>
              <w:pStyle w:val="4"/>
              <w:keepNext w:val="0"/>
              <w:numPr>
                <w:ilvl w:val="0"/>
                <w:numId w:val="0"/>
              </w:numPr>
              <w:snapToGrid w:val="0"/>
              <w:ind w:left="864" w:right="105" w:hanging="864"/>
              <w:rPr>
                <w:rFonts w:ascii="Times New Roman" w:hAnsi="Times New Roman"/>
                <w:iCs/>
                <w:color w:val="000000"/>
                <w:sz w:val="18"/>
                <w:szCs w:val="18"/>
              </w:rPr>
            </w:pPr>
          </w:p>
        </w:tc>
        <w:tc>
          <w:tcPr>
            <w:tcW w:w="236" w:type="dxa"/>
            <w:shd w:val="clear" w:color="auto" w:fill="auto"/>
          </w:tcPr>
          <w:p w14:paraId="2EF3FC9E" w14:textId="77777777" w:rsidR="00E76246" w:rsidRPr="00E16672" w:rsidRDefault="00E76246" w:rsidP="00DC1E60">
            <w:pPr>
              <w:snapToGrid w:val="0"/>
              <w:rPr>
                <w:rFonts w:ascii="Times New Roman" w:hAnsi="Times New Roman"/>
                <w:b/>
                <w:bCs/>
                <w:color w:val="000000"/>
                <w:sz w:val="18"/>
                <w:szCs w:val="18"/>
              </w:rPr>
            </w:pPr>
          </w:p>
        </w:tc>
        <w:tc>
          <w:tcPr>
            <w:tcW w:w="5475" w:type="dxa"/>
            <w:gridSpan w:val="5"/>
            <w:shd w:val="clear" w:color="auto" w:fill="auto"/>
          </w:tcPr>
          <w:p w14:paraId="612F0872" w14:textId="77777777" w:rsidR="00E76246" w:rsidRPr="00E16672" w:rsidRDefault="00622BEB" w:rsidP="00DC1E60">
            <w:pPr>
              <w:pStyle w:val="4"/>
              <w:snapToGrid w:val="0"/>
              <w:ind w:left="57" w:right="57" w:firstLine="0"/>
              <w:jc w:val="left"/>
              <w:rPr>
                <w:rFonts w:ascii="Times New Roman" w:hAnsi="Times New Roman"/>
                <w:b w:val="0"/>
                <w:bCs/>
                <w:color w:val="000000"/>
                <w:sz w:val="18"/>
                <w:szCs w:val="18"/>
                <w:lang w:val="ru-RU"/>
              </w:rPr>
            </w:pPr>
            <w:proofErr w:type="spellStart"/>
            <w:r>
              <w:rPr>
                <w:rFonts w:ascii="Times New Roman" w:hAnsi="Times New Roman"/>
                <w:b w:val="0"/>
                <w:bCs/>
                <w:color w:val="000000"/>
                <w:sz w:val="18"/>
                <w:szCs w:val="18"/>
                <w:lang w:val="ru-RU"/>
              </w:rPr>
              <w:t>Україна</w:t>
            </w:r>
            <w:proofErr w:type="spellEnd"/>
            <w:r>
              <w:rPr>
                <w:rFonts w:ascii="Times New Roman" w:hAnsi="Times New Roman"/>
                <w:b w:val="0"/>
                <w:bCs/>
                <w:color w:val="000000"/>
                <w:sz w:val="18"/>
                <w:szCs w:val="18"/>
                <w:lang w:val="ru-RU"/>
              </w:rPr>
              <w:t xml:space="preserve">, </w:t>
            </w:r>
            <w:proofErr w:type="spellStart"/>
            <w:r>
              <w:rPr>
                <w:rFonts w:ascii="Times New Roman" w:hAnsi="Times New Roman"/>
                <w:b w:val="0"/>
                <w:bCs/>
                <w:color w:val="000000"/>
                <w:sz w:val="18"/>
                <w:szCs w:val="18"/>
                <w:lang w:val="ru-RU"/>
              </w:rPr>
              <w:t>м.Київ</w:t>
            </w:r>
            <w:proofErr w:type="spellEnd"/>
            <w:r>
              <w:rPr>
                <w:rFonts w:ascii="Times New Roman" w:hAnsi="Times New Roman"/>
                <w:b w:val="0"/>
                <w:bCs/>
                <w:color w:val="000000"/>
                <w:sz w:val="18"/>
                <w:szCs w:val="18"/>
                <w:lang w:val="ru-RU"/>
              </w:rPr>
              <w:t xml:space="preserve">, Велика </w:t>
            </w:r>
            <w:proofErr w:type="spellStart"/>
            <w:r>
              <w:rPr>
                <w:rFonts w:ascii="Times New Roman" w:hAnsi="Times New Roman"/>
                <w:b w:val="0"/>
                <w:bCs/>
                <w:color w:val="000000"/>
                <w:sz w:val="18"/>
                <w:szCs w:val="18"/>
                <w:lang w:val="ru-RU"/>
              </w:rPr>
              <w:t>Васильківська</w:t>
            </w:r>
            <w:proofErr w:type="spellEnd"/>
            <w:r>
              <w:rPr>
                <w:rFonts w:ascii="Times New Roman" w:hAnsi="Times New Roman"/>
                <w:b w:val="0"/>
                <w:bCs/>
                <w:color w:val="000000"/>
                <w:sz w:val="18"/>
                <w:szCs w:val="18"/>
                <w:lang w:val="ru-RU"/>
              </w:rPr>
              <w:t xml:space="preserve"> (</w:t>
            </w:r>
            <w:proofErr w:type="spellStart"/>
            <w:r>
              <w:rPr>
                <w:rFonts w:ascii="Times New Roman" w:hAnsi="Times New Roman"/>
                <w:b w:val="0"/>
                <w:bCs/>
                <w:color w:val="000000"/>
                <w:sz w:val="18"/>
                <w:szCs w:val="18"/>
                <w:lang w:val="ru-RU"/>
              </w:rPr>
              <w:t>колишня</w:t>
            </w:r>
            <w:proofErr w:type="spellEnd"/>
            <w:r>
              <w:rPr>
                <w:rFonts w:ascii="Times New Roman" w:hAnsi="Times New Roman"/>
                <w:b w:val="0"/>
                <w:bCs/>
                <w:color w:val="000000"/>
                <w:sz w:val="18"/>
                <w:szCs w:val="18"/>
                <w:lang w:val="ru-RU"/>
              </w:rPr>
              <w:t xml:space="preserve"> </w:t>
            </w:r>
            <w:proofErr w:type="spellStart"/>
            <w:r>
              <w:rPr>
                <w:rFonts w:ascii="Times New Roman" w:hAnsi="Times New Roman"/>
                <w:b w:val="0"/>
                <w:bCs/>
                <w:color w:val="000000"/>
                <w:sz w:val="18"/>
                <w:szCs w:val="18"/>
                <w:lang w:val="ru-RU"/>
              </w:rPr>
              <w:t>Червоноармійська</w:t>
            </w:r>
            <w:proofErr w:type="spellEnd"/>
            <w:r>
              <w:rPr>
                <w:rFonts w:ascii="Times New Roman" w:hAnsi="Times New Roman"/>
                <w:b w:val="0"/>
                <w:bCs/>
                <w:color w:val="000000"/>
                <w:sz w:val="18"/>
                <w:szCs w:val="18"/>
                <w:lang w:val="ru-RU"/>
              </w:rPr>
              <w:t xml:space="preserve">) </w:t>
            </w:r>
            <w:proofErr w:type="spellStart"/>
            <w:r>
              <w:rPr>
                <w:rFonts w:ascii="Times New Roman" w:hAnsi="Times New Roman"/>
                <w:b w:val="0"/>
                <w:bCs/>
                <w:color w:val="000000"/>
                <w:sz w:val="18"/>
                <w:szCs w:val="18"/>
                <w:lang w:val="ru-RU"/>
              </w:rPr>
              <w:t>вул</w:t>
            </w:r>
            <w:proofErr w:type="spellEnd"/>
            <w:r>
              <w:rPr>
                <w:rFonts w:ascii="Times New Roman" w:hAnsi="Times New Roman"/>
                <w:b w:val="0"/>
                <w:bCs/>
                <w:color w:val="000000"/>
                <w:sz w:val="18"/>
                <w:szCs w:val="18"/>
                <w:lang w:val="ru-RU"/>
              </w:rPr>
              <w:t>., буд. 65</w:t>
            </w:r>
          </w:p>
        </w:tc>
      </w:tr>
      <w:tr w:rsidR="00E76246" w:rsidRPr="00E16672" w14:paraId="04710F3A" w14:textId="77777777" w:rsidTr="00154814">
        <w:trPr>
          <w:trHeight w:val="295"/>
        </w:trPr>
        <w:tc>
          <w:tcPr>
            <w:tcW w:w="5250" w:type="dxa"/>
            <w:gridSpan w:val="4"/>
            <w:shd w:val="clear" w:color="auto" w:fill="auto"/>
          </w:tcPr>
          <w:p w14:paraId="68E62083" w14:textId="77777777" w:rsidR="00E76246" w:rsidRPr="00E16672" w:rsidRDefault="00E76246" w:rsidP="00FC3003">
            <w:pPr>
              <w:pStyle w:val="4"/>
              <w:keepNext w:val="0"/>
              <w:numPr>
                <w:ilvl w:val="0"/>
                <w:numId w:val="0"/>
              </w:numPr>
              <w:snapToGrid w:val="0"/>
              <w:ind w:left="864" w:right="105" w:hanging="864"/>
              <w:jc w:val="left"/>
              <w:rPr>
                <w:rFonts w:ascii="Times New Roman" w:hAnsi="Times New Roman"/>
                <w:iCs/>
                <w:color w:val="000000"/>
                <w:sz w:val="18"/>
                <w:szCs w:val="18"/>
              </w:rPr>
            </w:pPr>
          </w:p>
          <w:p w14:paraId="5F7A2697" w14:textId="77777777" w:rsidR="00E76246" w:rsidRPr="00E16672" w:rsidRDefault="00E76246" w:rsidP="00FC3003">
            <w:pPr>
              <w:pStyle w:val="4"/>
              <w:keepNext w:val="0"/>
              <w:numPr>
                <w:ilvl w:val="0"/>
                <w:numId w:val="0"/>
              </w:numPr>
              <w:snapToGrid w:val="0"/>
              <w:ind w:left="864" w:right="105" w:hanging="864"/>
              <w:jc w:val="left"/>
              <w:rPr>
                <w:rFonts w:ascii="Times New Roman" w:hAnsi="Times New Roman"/>
                <w:iCs/>
                <w:color w:val="000000"/>
                <w:sz w:val="18"/>
                <w:szCs w:val="18"/>
              </w:rPr>
            </w:pPr>
            <w:r w:rsidRPr="00E16672">
              <w:rPr>
                <w:rFonts w:ascii="Times New Roman" w:hAnsi="Times New Roman"/>
                <w:iCs/>
                <w:color w:val="000000"/>
                <w:sz w:val="18"/>
                <w:szCs w:val="18"/>
              </w:rPr>
              <w:t>Адреса для листування</w:t>
            </w:r>
          </w:p>
        </w:tc>
        <w:tc>
          <w:tcPr>
            <w:tcW w:w="236" w:type="dxa"/>
            <w:shd w:val="clear" w:color="auto" w:fill="auto"/>
          </w:tcPr>
          <w:p w14:paraId="6C27695C" w14:textId="77777777" w:rsidR="00E76246" w:rsidRPr="00E16672" w:rsidRDefault="00E76246" w:rsidP="00DC1E60">
            <w:pPr>
              <w:snapToGrid w:val="0"/>
              <w:rPr>
                <w:rFonts w:ascii="Times New Roman" w:hAnsi="Times New Roman"/>
                <w:b/>
                <w:bCs/>
                <w:color w:val="000000"/>
                <w:sz w:val="18"/>
                <w:szCs w:val="18"/>
              </w:rPr>
            </w:pPr>
          </w:p>
        </w:tc>
        <w:tc>
          <w:tcPr>
            <w:tcW w:w="5475" w:type="dxa"/>
            <w:gridSpan w:val="5"/>
            <w:shd w:val="clear" w:color="auto" w:fill="auto"/>
          </w:tcPr>
          <w:p w14:paraId="3F01EDF3" w14:textId="77777777" w:rsidR="00E76246" w:rsidRPr="00E16672" w:rsidRDefault="00E76246" w:rsidP="00E76246">
            <w:pPr>
              <w:jc w:val="center"/>
              <w:rPr>
                <w:rFonts w:ascii="Times New Roman" w:hAnsi="Times New Roman"/>
                <w:b/>
                <w:bCs/>
                <w:color w:val="000000"/>
                <w:sz w:val="18"/>
                <w:szCs w:val="18"/>
              </w:rPr>
            </w:pPr>
          </w:p>
          <w:p w14:paraId="4812631C" w14:textId="77777777" w:rsidR="00E76246" w:rsidRPr="00E16672" w:rsidRDefault="00E76246" w:rsidP="00154814">
            <w:pPr>
              <w:ind w:firstLine="0"/>
              <w:rPr>
                <w:rFonts w:ascii="Times New Roman" w:hAnsi="Times New Roman"/>
                <w:b/>
                <w:bCs/>
                <w:color w:val="000000"/>
                <w:sz w:val="18"/>
                <w:szCs w:val="18"/>
              </w:rPr>
            </w:pPr>
            <w:r w:rsidRPr="00E16672">
              <w:rPr>
                <w:rFonts w:ascii="Times New Roman" w:hAnsi="Times New Roman"/>
                <w:b/>
                <w:bCs/>
                <w:color w:val="000000"/>
                <w:sz w:val="18"/>
                <w:szCs w:val="18"/>
              </w:rPr>
              <w:t xml:space="preserve">Адреса для </w:t>
            </w:r>
            <w:proofErr w:type="spellStart"/>
            <w:r w:rsidRPr="00E16672">
              <w:rPr>
                <w:rFonts w:ascii="Times New Roman" w:hAnsi="Times New Roman"/>
                <w:b/>
                <w:bCs/>
                <w:color w:val="000000"/>
                <w:sz w:val="18"/>
                <w:szCs w:val="18"/>
              </w:rPr>
              <w:t>листування</w:t>
            </w:r>
            <w:proofErr w:type="spellEnd"/>
          </w:p>
        </w:tc>
      </w:tr>
      <w:tr w:rsidR="00E76246" w:rsidRPr="00E16672" w14:paraId="1B1728AF" w14:textId="77777777" w:rsidTr="00154814">
        <w:trPr>
          <w:trHeight w:val="295"/>
        </w:trPr>
        <w:tc>
          <w:tcPr>
            <w:tcW w:w="5250" w:type="dxa"/>
            <w:gridSpan w:val="4"/>
            <w:shd w:val="clear" w:color="auto" w:fill="auto"/>
          </w:tcPr>
          <w:p w14:paraId="0061E6B0" w14:textId="77777777" w:rsidR="00E76246" w:rsidRPr="00E16672" w:rsidRDefault="00E76246" w:rsidP="00FC3003">
            <w:pPr>
              <w:pStyle w:val="4"/>
              <w:keepNext w:val="0"/>
              <w:numPr>
                <w:ilvl w:val="0"/>
                <w:numId w:val="0"/>
              </w:numPr>
              <w:snapToGrid w:val="0"/>
              <w:ind w:left="864" w:right="105" w:hanging="864"/>
              <w:jc w:val="left"/>
              <w:rPr>
                <w:rFonts w:ascii="Times New Roman" w:hAnsi="Times New Roman"/>
                <w:iCs/>
                <w:color w:val="000000"/>
                <w:sz w:val="18"/>
                <w:szCs w:val="18"/>
              </w:rPr>
            </w:pPr>
          </w:p>
        </w:tc>
        <w:tc>
          <w:tcPr>
            <w:tcW w:w="236" w:type="dxa"/>
            <w:shd w:val="clear" w:color="auto" w:fill="auto"/>
          </w:tcPr>
          <w:p w14:paraId="46DB8D68" w14:textId="77777777" w:rsidR="00E76246" w:rsidRPr="00E16672" w:rsidRDefault="00E76246" w:rsidP="00DC1E60">
            <w:pPr>
              <w:snapToGrid w:val="0"/>
              <w:rPr>
                <w:rFonts w:ascii="Times New Roman" w:hAnsi="Times New Roman"/>
                <w:b/>
                <w:bCs/>
                <w:color w:val="000000"/>
                <w:sz w:val="18"/>
                <w:szCs w:val="18"/>
              </w:rPr>
            </w:pPr>
          </w:p>
        </w:tc>
        <w:tc>
          <w:tcPr>
            <w:tcW w:w="5475" w:type="dxa"/>
            <w:gridSpan w:val="5"/>
            <w:shd w:val="clear" w:color="auto" w:fill="auto"/>
          </w:tcPr>
          <w:p w14:paraId="6FCCB3B5" w14:textId="77777777" w:rsidR="00E76246" w:rsidRPr="00E16672" w:rsidRDefault="00622BEB" w:rsidP="00DC1E60">
            <w:pPr>
              <w:pStyle w:val="4"/>
              <w:snapToGrid w:val="0"/>
              <w:ind w:left="57" w:right="57" w:firstLine="0"/>
              <w:jc w:val="left"/>
              <w:rPr>
                <w:rFonts w:ascii="Times New Roman" w:hAnsi="Times New Roman"/>
                <w:b w:val="0"/>
                <w:bCs/>
                <w:color w:val="000000"/>
                <w:sz w:val="18"/>
                <w:szCs w:val="18"/>
                <w:lang w:val="ru-RU"/>
              </w:rPr>
            </w:pPr>
            <w:proofErr w:type="spellStart"/>
            <w:r>
              <w:rPr>
                <w:rFonts w:ascii="Times New Roman" w:hAnsi="Times New Roman"/>
                <w:b w:val="0"/>
                <w:bCs/>
                <w:color w:val="000000"/>
                <w:sz w:val="18"/>
                <w:szCs w:val="18"/>
                <w:lang w:val="ru-RU"/>
              </w:rPr>
              <w:t>Україна</w:t>
            </w:r>
            <w:proofErr w:type="spellEnd"/>
            <w:r>
              <w:rPr>
                <w:rFonts w:ascii="Times New Roman" w:hAnsi="Times New Roman"/>
                <w:b w:val="0"/>
                <w:bCs/>
                <w:color w:val="000000"/>
                <w:sz w:val="18"/>
                <w:szCs w:val="18"/>
                <w:lang w:val="ru-RU"/>
              </w:rPr>
              <w:t xml:space="preserve">, </w:t>
            </w:r>
            <w:proofErr w:type="spellStart"/>
            <w:r>
              <w:rPr>
                <w:rFonts w:ascii="Times New Roman" w:hAnsi="Times New Roman"/>
                <w:b w:val="0"/>
                <w:bCs/>
                <w:color w:val="000000"/>
                <w:sz w:val="18"/>
                <w:szCs w:val="18"/>
                <w:lang w:val="ru-RU"/>
              </w:rPr>
              <w:t>м.Київ</w:t>
            </w:r>
            <w:proofErr w:type="spellEnd"/>
            <w:r>
              <w:rPr>
                <w:rFonts w:ascii="Times New Roman" w:hAnsi="Times New Roman"/>
                <w:b w:val="0"/>
                <w:bCs/>
                <w:color w:val="000000"/>
                <w:sz w:val="18"/>
                <w:szCs w:val="18"/>
                <w:lang w:val="ru-RU"/>
              </w:rPr>
              <w:t xml:space="preserve">, Велика </w:t>
            </w:r>
            <w:proofErr w:type="spellStart"/>
            <w:r>
              <w:rPr>
                <w:rFonts w:ascii="Times New Roman" w:hAnsi="Times New Roman"/>
                <w:b w:val="0"/>
                <w:bCs/>
                <w:color w:val="000000"/>
                <w:sz w:val="18"/>
                <w:szCs w:val="18"/>
                <w:lang w:val="ru-RU"/>
              </w:rPr>
              <w:t>Васильківська</w:t>
            </w:r>
            <w:proofErr w:type="spellEnd"/>
            <w:r>
              <w:rPr>
                <w:rFonts w:ascii="Times New Roman" w:hAnsi="Times New Roman"/>
                <w:b w:val="0"/>
                <w:bCs/>
                <w:color w:val="000000"/>
                <w:sz w:val="18"/>
                <w:szCs w:val="18"/>
                <w:lang w:val="ru-RU"/>
              </w:rPr>
              <w:t xml:space="preserve"> (</w:t>
            </w:r>
            <w:proofErr w:type="spellStart"/>
            <w:r>
              <w:rPr>
                <w:rFonts w:ascii="Times New Roman" w:hAnsi="Times New Roman"/>
                <w:b w:val="0"/>
                <w:bCs/>
                <w:color w:val="000000"/>
                <w:sz w:val="18"/>
                <w:szCs w:val="18"/>
                <w:lang w:val="ru-RU"/>
              </w:rPr>
              <w:t>колишня</w:t>
            </w:r>
            <w:proofErr w:type="spellEnd"/>
            <w:r>
              <w:rPr>
                <w:rFonts w:ascii="Times New Roman" w:hAnsi="Times New Roman"/>
                <w:b w:val="0"/>
                <w:bCs/>
                <w:color w:val="000000"/>
                <w:sz w:val="18"/>
                <w:szCs w:val="18"/>
                <w:lang w:val="ru-RU"/>
              </w:rPr>
              <w:t xml:space="preserve"> </w:t>
            </w:r>
            <w:proofErr w:type="spellStart"/>
            <w:r>
              <w:rPr>
                <w:rFonts w:ascii="Times New Roman" w:hAnsi="Times New Roman"/>
                <w:b w:val="0"/>
                <w:bCs/>
                <w:color w:val="000000"/>
                <w:sz w:val="18"/>
                <w:szCs w:val="18"/>
                <w:lang w:val="ru-RU"/>
              </w:rPr>
              <w:t>Червоноармійська</w:t>
            </w:r>
            <w:proofErr w:type="spellEnd"/>
            <w:r>
              <w:rPr>
                <w:rFonts w:ascii="Times New Roman" w:hAnsi="Times New Roman"/>
                <w:b w:val="0"/>
                <w:bCs/>
                <w:color w:val="000000"/>
                <w:sz w:val="18"/>
                <w:szCs w:val="18"/>
                <w:lang w:val="ru-RU"/>
              </w:rPr>
              <w:t xml:space="preserve">) </w:t>
            </w:r>
            <w:proofErr w:type="spellStart"/>
            <w:r>
              <w:rPr>
                <w:rFonts w:ascii="Times New Roman" w:hAnsi="Times New Roman"/>
                <w:b w:val="0"/>
                <w:bCs/>
                <w:color w:val="000000"/>
                <w:sz w:val="18"/>
                <w:szCs w:val="18"/>
                <w:lang w:val="ru-RU"/>
              </w:rPr>
              <w:t>вул</w:t>
            </w:r>
            <w:proofErr w:type="spellEnd"/>
            <w:r>
              <w:rPr>
                <w:rFonts w:ascii="Times New Roman" w:hAnsi="Times New Roman"/>
                <w:b w:val="0"/>
                <w:bCs/>
                <w:color w:val="000000"/>
                <w:sz w:val="18"/>
                <w:szCs w:val="18"/>
                <w:lang w:val="ru-RU"/>
              </w:rPr>
              <w:t>., буд. 65</w:t>
            </w:r>
          </w:p>
        </w:tc>
      </w:tr>
      <w:tr w:rsidR="00E76246" w:rsidRPr="00E16672" w14:paraId="27F6196E" w14:textId="77777777" w:rsidTr="00154814">
        <w:trPr>
          <w:trHeight w:val="295"/>
        </w:trPr>
        <w:tc>
          <w:tcPr>
            <w:tcW w:w="5250" w:type="dxa"/>
            <w:gridSpan w:val="4"/>
            <w:shd w:val="clear" w:color="auto" w:fill="auto"/>
          </w:tcPr>
          <w:p w14:paraId="628073D9" w14:textId="77777777" w:rsidR="00E76246" w:rsidRPr="00E16672" w:rsidRDefault="00E76246" w:rsidP="00FC3003">
            <w:pPr>
              <w:pStyle w:val="4"/>
              <w:keepNext w:val="0"/>
              <w:numPr>
                <w:ilvl w:val="0"/>
                <w:numId w:val="0"/>
              </w:numPr>
              <w:snapToGrid w:val="0"/>
              <w:ind w:left="864" w:right="105" w:hanging="864"/>
              <w:jc w:val="left"/>
              <w:rPr>
                <w:rFonts w:ascii="Times New Roman" w:hAnsi="Times New Roman"/>
                <w:iCs/>
                <w:color w:val="000000"/>
                <w:sz w:val="18"/>
                <w:szCs w:val="18"/>
              </w:rPr>
            </w:pPr>
          </w:p>
          <w:p w14:paraId="74E94776" w14:textId="77777777" w:rsidR="00E76246" w:rsidRPr="00E16672" w:rsidRDefault="00E76246" w:rsidP="00FC3003">
            <w:pPr>
              <w:pStyle w:val="4"/>
              <w:keepNext w:val="0"/>
              <w:numPr>
                <w:ilvl w:val="0"/>
                <w:numId w:val="0"/>
              </w:numPr>
              <w:snapToGrid w:val="0"/>
              <w:ind w:left="864" w:right="105" w:hanging="864"/>
              <w:jc w:val="left"/>
              <w:rPr>
                <w:rFonts w:ascii="Times New Roman" w:hAnsi="Times New Roman"/>
                <w:iCs/>
                <w:color w:val="000000"/>
                <w:sz w:val="18"/>
                <w:szCs w:val="18"/>
              </w:rPr>
            </w:pPr>
            <w:r w:rsidRPr="00E16672">
              <w:rPr>
                <w:rFonts w:ascii="Times New Roman" w:hAnsi="Times New Roman"/>
                <w:iCs/>
                <w:color w:val="000000"/>
                <w:sz w:val="18"/>
                <w:szCs w:val="18"/>
              </w:rPr>
              <w:t>Банківські реквізити</w:t>
            </w:r>
          </w:p>
        </w:tc>
        <w:tc>
          <w:tcPr>
            <w:tcW w:w="236" w:type="dxa"/>
            <w:shd w:val="clear" w:color="auto" w:fill="auto"/>
          </w:tcPr>
          <w:p w14:paraId="34676ED5" w14:textId="77777777" w:rsidR="00E76246" w:rsidRPr="00E16672" w:rsidRDefault="00E76246" w:rsidP="00DC1E60">
            <w:pPr>
              <w:snapToGrid w:val="0"/>
              <w:rPr>
                <w:rFonts w:ascii="Times New Roman" w:hAnsi="Times New Roman"/>
                <w:b/>
                <w:bCs/>
                <w:color w:val="000000"/>
                <w:sz w:val="18"/>
                <w:szCs w:val="18"/>
              </w:rPr>
            </w:pPr>
          </w:p>
        </w:tc>
        <w:tc>
          <w:tcPr>
            <w:tcW w:w="5475" w:type="dxa"/>
            <w:gridSpan w:val="5"/>
            <w:shd w:val="clear" w:color="auto" w:fill="auto"/>
          </w:tcPr>
          <w:p w14:paraId="7F13A9AE" w14:textId="77777777" w:rsidR="00E76246" w:rsidRPr="00E16672" w:rsidRDefault="00E76246" w:rsidP="00E76246">
            <w:pPr>
              <w:jc w:val="center"/>
              <w:rPr>
                <w:rFonts w:ascii="Times New Roman" w:hAnsi="Times New Roman"/>
                <w:b/>
                <w:bCs/>
                <w:color w:val="000000"/>
                <w:sz w:val="18"/>
                <w:szCs w:val="18"/>
              </w:rPr>
            </w:pPr>
          </w:p>
          <w:p w14:paraId="30618347" w14:textId="77777777" w:rsidR="00E76246" w:rsidRPr="00E16672" w:rsidRDefault="00E76246" w:rsidP="00154814">
            <w:pPr>
              <w:ind w:firstLine="0"/>
              <w:rPr>
                <w:rFonts w:ascii="Times New Roman" w:hAnsi="Times New Roman"/>
                <w:b/>
                <w:bCs/>
                <w:color w:val="000000"/>
                <w:sz w:val="18"/>
                <w:szCs w:val="18"/>
              </w:rPr>
            </w:pPr>
            <w:proofErr w:type="spellStart"/>
            <w:r w:rsidRPr="00E16672">
              <w:rPr>
                <w:rFonts w:ascii="Times New Roman" w:hAnsi="Times New Roman"/>
                <w:b/>
                <w:bCs/>
                <w:color w:val="000000"/>
                <w:sz w:val="18"/>
                <w:szCs w:val="18"/>
              </w:rPr>
              <w:t>Банківські</w:t>
            </w:r>
            <w:proofErr w:type="spellEnd"/>
            <w:r w:rsidRPr="00E16672">
              <w:rPr>
                <w:rFonts w:ascii="Times New Roman" w:hAnsi="Times New Roman"/>
                <w:b/>
                <w:bCs/>
                <w:color w:val="000000"/>
                <w:sz w:val="18"/>
                <w:szCs w:val="18"/>
              </w:rPr>
              <w:t xml:space="preserve"> </w:t>
            </w:r>
            <w:proofErr w:type="spellStart"/>
            <w:r w:rsidRPr="00E16672">
              <w:rPr>
                <w:rFonts w:ascii="Times New Roman" w:hAnsi="Times New Roman"/>
                <w:b/>
                <w:bCs/>
                <w:color w:val="000000"/>
                <w:sz w:val="18"/>
                <w:szCs w:val="18"/>
              </w:rPr>
              <w:t>реквізити</w:t>
            </w:r>
            <w:proofErr w:type="spellEnd"/>
          </w:p>
        </w:tc>
      </w:tr>
      <w:tr w:rsidR="00E76246" w:rsidRPr="00E16672" w14:paraId="186ED785" w14:textId="77777777" w:rsidTr="00154814">
        <w:trPr>
          <w:trHeight w:val="295"/>
        </w:trPr>
        <w:tc>
          <w:tcPr>
            <w:tcW w:w="5250" w:type="dxa"/>
            <w:gridSpan w:val="4"/>
            <w:shd w:val="clear" w:color="auto" w:fill="auto"/>
          </w:tcPr>
          <w:p w14:paraId="273A5440" w14:textId="77777777" w:rsidR="00E76246" w:rsidRPr="00E16672" w:rsidRDefault="00E76246" w:rsidP="00E76246">
            <w:pPr>
              <w:pStyle w:val="4"/>
              <w:ind w:left="864" w:right="105"/>
              <w:rPr>
                <w:rFonts w:ascii="Times New Roman" w:hAnsi="Times New Roman"/>
                <w:iCs/>
                <w:color w:val="000000"/>
                <w:sz w:val="18"/>
                <w:szCs w:val="18"/>
              </w:rPr>
            </w:pPr>
          </w:p>
        </w:tc>
        <w:tc>
          <w:tcPr>
            <w:tcW w:w="236" w:type="dxa"/>
            <w:shd w:val="clear" w:color="auto" w:fill="auto"/>
          </w:tcPr>
          <w:p w14:paraId="03BED313" w14:textId="77777777" w:rsidR="00E76246" w:rsidRPr="00E16672" w:rsidRDefault="00E76246" w:rsidP="00DC1E60">
            <w:pPr>
              <w:snapToGrid w:val="0"/>
              <w:rPr>
                <w:rFonts w:ascii="Times New Roman" w:hAnsi="Times New Roman"/>
                <w:b/>
                <w:bCs/>
                <w:color w:val="000000"/>
                <w:sz w:val="18"/>
                <w:szCs w:val="18"/>
              </w:rPr>
            </w:pPr>
          </w:p>
        </w:tc>
        <w:tc>
          <w:tcPr>
            <w:tcW w:w="5475" w:type="dxa"/>
            <w:gridSpan w:val="5"/>
            <w:shd w:val="clear" w:color="auto" w:fill="auto"/>
          </w:tcPr>
          <w:p w14:paraId="4AB43FBE" w14:textId="77777777" w:rsidR="00565242" w:rsidRDefault="00622BEB" w:rsidP="00154814">
            <w:pPr>
              <w:ind w:firstLine="0"/>
              <w:jc w:val="left"/>
              <w:rPr>
                <w:rFonts w:ascii="Times New Roman" w:hAnsi="Times New Roman"/>
                <w:bCs/>
                <w:color w:val="000000"/>
                <w:sz w:val="18"/>
                <w:szCs w:val="18"/>
              </w:rPr>
            </w:pPr>
            <w:r>
              <w:rPr>
                <w:rFonts w:ascii="Times New Roman" w:hAnsi="Times New Roman"/>
                <w:bCs/>
                <w:color w:val="000000"/>
                <w:sz w:val="18"/>
                <w:szCs w:val="18"/>
              </w:rPr>
              <w:t>UA743281680000000026503815351</w:t>
            </w:r>
            <w:r w:rsidR="00A97BE7" w:rsidRPr="00E16672">
              <w:rPr>
                <w:rFonts w:ascii="Times New Roman" w:hAnsi="Times New Roman"/>
                <w:bCs/>
                <w:color w:val="000000"/>
                <w:sz w:val="18"/>
                <w:szCs w:val="18"/>
              </w:rPr>
              <w:t xml:space="preserve"> </w:t>
            </w:r>
          </w:p>
          <w:p w14:paraId="7FFE2C91" w14:textId="77777777" w:rsidR="00E76246" w:rsidRPr="00E16672" w:rsidRDefault="00622BEB" w:rsidP="00022F5F">
            <w:pPr>
              <w:ind w:firstLine="0"/>
              <w:jc w:val="left"/>
              <w:rPr>
                <w:rFonts w:ascii="Times New Roman" w:hAnsi="Times New Roman"/>
                <w:bCs/>
                <w:color w:val="000000"/>
                <w:sz w:val="18"/>
                <w:szCs w:val="18"/>
              </w:rPr>
            </w:pPr>
            <w:r>
              <w:rPr>
                <w:rFonts w:ascii="Times New Roman" w:hAnsi="Times New Roman"/>
                <w:bCs/>
                <w:color w:val="000000"/>
                <w:sz w:val="18"/>
                <w:szCs w:val="18"/>
              </w:rPr>
              <w:t xml:space="preserve">ПАТ </w:t>
            </w:r>
            <w:r w:rsidR="00022F5F">
              <w:rPr>
                <w:rFonts w:ascii="Times New Roman" w:hAnsi="Times New Roman"/>
                <w:bCs/>
                <w:color w:val="000000"/>
                <w:sz w:val="18"/>
                <w:szCs w:val="18"/>
              </w:rPr>
              <w:t>"</w:t>
            </w:r>
            <w:r>
              <w:rPr>
                <w:rFonts w:ascii="Times New Roman" w:hAnsi="Times New Roman"/>
                <w:bCs/>
                <w:color w:val="000000"/>
                <w:sz w:val="18"/>
                <w:szCs w:val="18"/>
              </w:rPr>
              <w:t>МТБ Банк</w:t>
            </w:r>
            <w:r w:rsidR="00022F5F">
              <w:rPr>
                <w:rFonts w:ascii="Times New Roman" w:hAnsi="Times New Roman"/>
                <w:bCs/>
                <w:color w:val="000000"/>
                <w:sz w:val="18"/>
                <w:szCs w:val="18"/>
              </w:rPr>
              <w:t>"</w:t>
            </w:r>
            <w:r>
              <w:rPr>
                <w:rFonts w:ascii="Times New Roman" w:hAnsi="Times New Roman"/>
                <w:bCs/>
                <w:color w:val="000000"/>
                <w:sz w:val="18"/>
                <w:szCs w:val="18"/>
              </w:rPr>
              <w:t>, МФО 328168</w:t>
            </w:r>
            <w:r w:rsidR="00E76246" w:rsidRPr="00E16672">
              <w:rPr>
                <w:rFonts w:ascii="Times New Roman" w:hAnsi="Times New Roman"/>
                <w:bCs/>
                <w:color w:val="000000"/>
                <w:sz w:val="18"/>
                <w:szCs w:val="18"/>
              </w:rPr>
              <w:t xml:space="preserve">, ЄДРПОУ </w:t>
            </w:r>
            <w:r w:rsidR="00565242" w:rsidRPr="004E51A1">
              <w:rPr>
                <w:rFonts w:ascii="Times New Roman" w:hAnsi="Times New Roman"/>
                <w:i/>
                <w:sz w:val="18"/>
                <w:szCs w:val="18"/>
                <w:lang w:val="uk-UA"/>
              </w:rPr>
              <w:t>21650966</w:t>
            </w:r>
          </w:p>
          <w:p w14:paraId="5500C0FE" w14:textId="77777777" w:rsidR="00E76246" w:rsidRDefault="00565242" w:rsidP="00154814">
            <w:pPr>
              <w:snapToGrid w:val="0"/>
              <w:ind w:firstLine="0"/>
              <w:jc w:val="left"/>
              <w:rPr>
                <w:rFonts w:ascii="Times New Roman" w:hAnsi="Times New Roman"/>
                <w:i/>
                <w:sz w:val="18"/>
                <w:szCs w:val="18"/>
                <w:lang w:val="uk-UA"/>
              </w:rPr>
            </w:pPr>
            <w:r w:rsidRPr="004E51A1">
              <w:rPr>
                <w:rFonts w:ascii="Times New Roman" w:hAnsi="Times New Roman"/>
                <w:i/>
                <w:sz w:val="18"/>
                <w:szCs w:val="18"/>
                <w:lang w:val="uk-UA"/>
              </w:rPr>
              <w:t xml:space="preserve">68003, </w:t>
            </w:r>
            <w:proofErr w:type="spellStart"/>
            <w:r w:rsidRPr="004E51A1">
              <w:rPr>
                <w:rFonts w:ascii="Times New Roman" w:hAnsi="Times New Roman"/>
                <w:i/>
                <w:sz w:val="18"/>
                <w:szCs w:val="18"/>
                <w:lang w:val="uk-UA"/>
              </w:rPr>
              <w:t>м.Чорноморськ</w:t>
            </w:r>
            <w:proofErr w:type="spellEnd"/>
            <w:r w:rsidRPr="004E51A1">
              <w:rPr>
                <w:rFonts w:ascii="Times New Roman" w:hAnsi="Times New Roman"/>
                <w:i/>
                <w:sz w:val="18"/>
                <w:szCs w:val="18"/>
                <w:lang w:val="uk-UA"/>
              </w:rPr>
              <w:t xml:space="preserve">, Миру </w:t>
            </w:r>
            <w:proofErr w:type="spellStart"/>
            <w:r w:rsidRPr="004E51A1">
              <w:rPr>
                <w:rFonts w:ascii="Times New Roman" w:hAnsi="Times New Roman"/>
                <w:i/>
                <w:sz w:val="18"/>
                <w:szCs w:val="18"/>
                <w:lang w:val="uk-UA"/>
              </w:rPr>
              <w:t>просп</w:t>
            </w:r>
            <w:proofErr w:type="spellEnd"/>
            <w:r w:rsidRPr="004E51A1">
              <w:rPr>
                <w:rFonts w:ascii="Times New Roman" w:hAnsi="Times New Roman"/>
                <w:i/>
                <w:sz w:val="18"/>
                <w:szCs w:val="18"/>
                <w:lang w:val="uk-UA"/>
              </w:rPr>
              <w:t>., буд. 28</w:t>
            </w:r>
          </w:p>
          <w:p w14:paraId="18F8B61B" w14:textId="77777777" w:rsidR="00565242" w:rsidRPr="00E16672" w:rsidRDefault="00565242" w:rsidP="00154814">
            <w:pPr>
              <w:snapToGrid w:val="0"/>
              <w:ind w:firstLine="0"/>
              <w:jc w:val="left"/>
              <w:rPr>
                <w:rFonts w:ascii="Times New Roman" w:hAnsi="Times New Roman"/>
                <w:b/>
                <w:bCs/>
                <w:color w:val="000000"/>
                <w:sz w:val="18"/>
                <w:szCs w:val="18"/>
              </w:rPr>
            </w:pPr>
          </w:p>
        </w:tc>
      </w:tr>
      <w:tr w:rsidR="00E76246" w:rsidRPr="00E16672" w:rsidDel="00D16973" w14:paraId="4021287B" w14:textId="77777777" w:rsidTr="00154814">
        <w:tc>
          <w:tcPr>
            <w:tcW w:w="2625" w:type="dxa"/>
            <w:gridSpan w:val="3"/>
            <w:shd w:val="clear" w:color="auto" w:fill="auto"/>
          </w:tcPr>
          <w:p w14:paraId="6F4EB526" w14:textId="77777777" w:rsidR="00E76246" w:rsidRPr="00E16672" w:rsidRDefault="00E76246" w:rsidP="00DC1E60">
            <w:pPr>
              <w:snapToGrid w:val="0"/>
              <w:ind w:firstLine="6"/>
              <w:rPr>
                <w:rFonts w:ascii="Times New Roman" w:hAnsi="Times New Roman"/>
                <w:b/>
                <w:color w:val="000000"/>
                <w:sz w:val="18"/>
                <w:szCs w:val="18"/>
                <w:lang w:val="uk-UA"/>
              </w:rPr>
            </w:pPr>
            <w:r w:rsidRPr="00E16672">
              <w:rPr>
                <w:rFonts w:ascii="Times New Roman" w:hAnsi="Times New Roman"/>
                <w:b/>
                <w:color w:val="000000"/>
                <w:sz w:val="18"/>
                <w:szCs w:val="18"/>
                <w:lang w:val="uk-UA"/>
              </w:rPr>
              <w:t>Документ, що підтверджує повноваження особи, яка підписує договір</w:t>
            </w:r>
          </w:p>
        </w:tc>
        <w:tc>
          <w:tcPr>
            <w:tcW w:w="2625" w:type="dxa"/>
            <w:shd w:val="clear" w:color="auto" w:fill="auto"/>
          </w:tcPr>
          <w:p w14:paraId="3988569C" w14:textId="77777777" w:rsidR="00E76246" w:rsidRPr="00E16672" w:rsidRDefault="00E76246" w:rsidP="00DC1E60">
            <w:pPr>
              <w:snapToGrid w:val="0"/>
              <w:ind w:firstLine="6"/>
              <w:rPr>
                <w:rFonts w:ascii="Times New Roman" w:hAnsi="Times New Roman"/>
                <w:b/>
                <w:color w:val="000000"/>
                <w:sz w:val="18"/>
                <w:szCs w:val="18"/>
                <w:lang w:val="uk-UA"/>
              </w:rPr>
            </w:pPr>
          </w:p>
        </w:tc>
        <w:tc>
          <w:tcPr>
            <w:tcW w:w="236" w:type="dxa"/>
            <w:shd w:val="clear" w:color="auto" w:fill="auto"/>
          </w:tcPr>
          <w:p w14:paraId="3E6F766A" w14:textId="77777777" w:rsidR="00E76246" w:rsidRPr="00E16672" w:rsidRDefault="00E76246" w:rsidP="00DC1E60">
            <w:pPr>
              <w:snapToGrid w:val="0"/>
              <w:rPr>
                <w:rFonts w:ascii="Times New Roman" w:hAnsi="Times New Roman"/>
                <w:color w:val="000000"/>
                <w:sz w:val="18"/>
                <w:szCs w:val="18"/>
              </w:rPr>
            </w:pPr>
          </w:p>
        </w:tc>
        <w:tc>
          <w:tcPr>
            <w:tcW w:w="2737" w:type="dxa"/>
            <w:gridSpan w:val="3"/>
            <w:shd w:val="clear" w:color="auto" w:fill="auto"/>
          </w:tcPr>
          <w:p w14:paraId="551E8EE2" w14:textId="77777777" w:rsidR="00E76246" w:rsidRPr="00E16672" w:rsidDel="00D16973" w:rsidRDefault="00E76246" w:rsidP="00DC1E60">
            <w:pPr>
              <w:pStyle w:val="6"/>
              <w:widowControl w:val="0"/>
              <w:snapToGrid w:val="0"/>
              <w:ind w:left="0" w:firstLine="0"/>
              <w:jc w:val="left"/>
              <w:rPr>
                <w:rFonts w:ascii="Times New Roman" w:hAnsi="Times New Roman"/>
                <w:b/>
                <w:bCs/>
                <w:color w:val="0000FF"/>
                <w:sz w:val="20"/>
              </w:rPr>
            </w:pPr>
            <w:r w:rsidRPr="00E16672">
              <w:rPr>
                <w:rFonts w:ascii="Times New Roman" w:hAnsi="Times New Roman"/>
                <w:b/>
                <w:color w:val="000000"/>
                <w:sz w:val="18"/>
                <w:szCs w:val="18"/>
                <w:lang w:val="uk-UA"/>
              </w:rPr>
              <w:t>Документ, що підтверджує повноваження особи, яка підписує договір</w:t>
            </w:r>
          </w:p>
        </w:tc>
        <w:tc>
          <w:tcPr>
            <w:tcW w:w="2738" w:type="dxa"/>
            <w:gridSpan w:val="2"/>
            <w:shd w:val="clear" w:color="auto" w:fill="auto"/>
            <w:vAlign w:val="center"/>
          </w:tcPr>
          <w:p w14:paraId="105C4DCB" w14:textId="77777777" w:rsidR="00E76246" w:rsidRPr="00E16672" w:rsidDel="00D16973" w:rsidRDefault="00E76246" w:rsidP="00DC1E60">
            <w:pPr>
              <w:pStyle w:val="6"/>
              <w:widowControl w:val="0"/>
              <w:snapToGrid w:val="0"/>
              <w:ind w:left="0" w:firstLine="0"/>
              <w:jc w:val="left"/>
              <w:rPr>
                <w:rFonts w:ascii="Times New Roman" w:hAnsi="Times New Roman"/>
                <w:bCs/>
                <w:sz w:val="18"/>
                <w:szCs w:val="18"/>
              </w:rPr>
            </w:pPr>
            <w:r w:rsidRPr="00E16672">
              <w:rPr>
                <w:rFonts w:ascii="Times New Roman" w:hAnsi="Times New Roman"/>
                <w:bCs/>
                <w:sz w:val="18"/>
                <w:szCs w:val="18"/>
                <w:lang w:val="uk-UA"/>
              </w:rPr>
              <w:t>Статут</w:t>
            </w:r>
          </w:p>
        </w:tc>
      </w:tr>
      <w:tr w:rsidR="00E76246" w:rsidRPr="00E16672" w14:paraId="660E934E" w14:textId="77777777" w:rsidTr="00154814">
        <w:tc>
          <w:tcPr>
            <w:tcW w:w="5250" w:type="dxa"/>
            <w:gridSpan w:val="4"/>
            <w:shd w:val="clear" w:color="auto" w:fill="auto"/>
          </w:tcPr>
          <w:p w14:paraId="531AD850" w14:textId="77777777" w:rsidR="00E76246" w:rsidRPr="00E16672" w:rsidRDefault="00E76246" w:rsidP="00DC1E60">
            <w:pPr>
              <w:snapToGrid w:val="0"/>
              <w:ind w:firstLine="6"/>
              <w:rPr>
                <w:rFonts w:ascii="Times New Roman" w:hAnsi="Times New Roman"/>
                <w:b/>
                <w:bCs/>
                <w:i/>
                <w:iCs/>
                <w:color w:val="000000"/>
                <w:sz w:val="18"/>
                <w:szCs w:val="18"/>
              </w:rPr>
            </w:pPr>
          </w:p>
        </w:tc>
        <w:tc>
          <w:tcPr>
            <w:tcW w:w="236" w:type="dxa"/>
            <w:shd w:val="clear" w:color="auto" w:fill="auto"/>
          </w:tcPr>
          <w:p w14:paraId="47E968E7" w14:textId="77777777" w:rsidR="00E76246" w:rsidRPr="00E16672" w:rsidRDefault="00E76246" w:rsidP="00DC1E60">
            <w:pPr>
              <w:snapToGrid w:val="0"/>
              <w:rPr>
                <w:rFonts w:ascii="Times New Roman" w:hAnsi="Times New Roman"/>
                <w:color w:val="000000"/>
                <w:sz w:val="18"/>
                <w:szCs w:val="18"/>
              </w:rPr>
            </w:pPr>
          </w:p>
        </w:tc>
        <w:tc>
          <w:tcPr>
            <w:tcW w:w="5475" w:type="dxa"/>
            <w:gridSpan w:val="5"/>
            <w:shd w:val="clear" w:color="auto" w:fill="auto"/>
            <w:vAlign w:val="center"/>
          </w:tcPr>
          <w:p w14:paraId="606A38B6" w14:textId="77777777" w:rsidR="00E76246" w:rsidRPr="00E16672" w:rsidRDefault="00E76246" w:rsidP="00DC1E60">
            <w:pPr>
              <w:snapToGrid w:val="0"/>
              <w:rPr>
                <w:rFonts w:ascii="Times New Roman" w:hAnsi="Times New Roman"/>
                <w:sz w:val="18"/>
                <w:szCs w:val="18"/>
              </w:rPr>
            </w:pPr>
          </w:p>
        </w:tc>
      </w:tr>
      <w:tr w:rsidR="00E76246" w:rsidRPr="00E16672" w14:paraId="6F92C78C" w14:textId="77777777" w:rsidTr="00154814">
        <w:tc>
          <w:tcPr>
            <w:tcW w:w="2536" w:type="dxa"/>
            <w:gridSpan w:val="2"/>
            <w:shd w:val="clear" w:color="auto" w:fill="auto"/>
          </w:tcPr>
          <w:p w14:paraId="5835F478" w14:textId="77777777" w:rsidR="00E76246" w:rsidRPr="00E16672" w:rsidRDefault="00E76246" w:rsidP="00DC1E60">
            <w:pPr>
              <w:snapToGrid w:val="0"/>
              <w:ind w:firstLine="6"/>
              <w:rPr>
                <w:rFonts w:ascii="Times New Roman" w:hAnsi="Times New Roman"/>
                <w:b/>
                <w:bCs/>
                <w:i/>
                <w:iCs/>
                <w:color w:val="000000"/>
                <w:sz w:val="18"/>
                <w:szCs w:val="18"/>
                <w:lang w:val="en-US"/>
              </w:rPr>
            </w:pPr>
            <w:r w:rsidRPr="00E16672">
              <w:rPr>
                <w:rFonts w:ascii="Times New Roman" w:hAnsi="Times New Roman"/>
                <w:b/>
                <w:bCs/>
                <w:i/>
                <w:iCs/>
                <w:color w:val="000000"/>
                <w:sz w:val="18"/>
                <w:szCs w:val="18"/>
                <w:lang w:val="en-US"/>
              </w:rPr>
              <w:t>E-mail</w:t>
            </w:r>
          </w:p>
        </w:tc>
        <w:tc>
          <w:tcPr>
            <w:tcW w:w="2714" w:type="dxa"/>
            <w:gridSpan w:val="2"/>
            <w:shd w:val="clear" w:color="auto" w:fill="auto"/>
          </w:tcPr>
          <w:p w14:paraId="28F09755" w14:textId="77777777" w:rsidR="00E76246" w:rsidRPr="00E16672" w:rsidRDefault="00E76246" w:rsidP="00DC1E60">
            <w:pPr>
              <w:snapToGrid w:val="0"/>
              <w:ind w:firstLine="6"/>
              <w:rPr>
                <w:rFonts w:ascii="Times New Roman" w:hAnsi="Times New Roman"/>
                <w:color w:val="000000"/>
                <w:sz w:val="18"/>
                <w:szCs w:val="18"/>
                <w:lang w:val="en-US"/>
              </w:rPr>
            </w:pPr>
          </w:p>
        </w:tc>
        <w:tc>
          <w:tcPr>
            <w:tcW w:w="236" w:type="dxa"/>
            <w:shd w:val="clear" w:color="auto" w:fill="auto"/>
          </w:tcPr>
          <w:p w14:paraId="30EA5565" w14:textId="77777777" w:rsidR="00E76246" w:rsidRPr="00E16672" w:rsidRDefault="00E76246" w:rsidP="00DC1E60">
            <w:pPr>
              <w:snapToGrid w:val="0"/>
              <w:rPr>
                <w:rFonts w:ascii="Times New Roman" w:hAnsi="Times New Roman"/>
                <w:color w:val="000000"/>
                <w:sz w:val="18"/>
                <w:szCs w:val="18"/>
              </w:rPr>
            </w:pPr>
          </w:p>
        </w:tc>
        <w:tc>
          <w:tcPr>
            <w:tcW w:w="2720" w:type="dxa"/>
            <w:gridSpan w:val="2"/>
            <w:shd w:val="clear" w:color="auto" w:fill="auto"/>
            <w:vAlign w:val="center"/>
          </w:tcPr>
          <w:p w14:paraId="28DAE267" w14:textId="77777777" w:rsidR="00E76246" w:rsidRPr="00E16672" w:rsidRDefault="00E76246" w:rsidP="00DC1E60">
            <w:pPr>
              <w:snapToGrid w:val="0"/>
              <w:ind w:firstLine="6"/>
              <w:jc w:val="left"/>
              <w:rPr>
                <w:rFonts w:ascii="Times New Roman" w:hAnsi="Times New Roman"/>
                <w:b/>
                <w:bCs/>
                <w:i/>
                <w:iCs/>
                <w:color w:val="000000"/>
                <w:sz w:val="18"/>
                <w:szCs w:val="18"/>
                <w:lang w:val="en-US"/>
              </w:rPr>
            </w:pPr>
            <w:r w:rsidRPr="00E16672">
              <w:rPr>
                <w:rFonts w:ascii="Times New Roman" w:hAnsi="Times New Roman"/>
                <w:b/>
                <w:bCs/>
                <w:i/>
                <w:iCs/>
                <w:color w:val="000000"/>
                <w:sz w:val="18"/>
                <w:szCs w:val="18"/>
                <w:lang w:val="en-US"/>
              </w:rPr>
              <w:t>E-mail</w:t>
            </w:r>
          </w:p>
        </w:tc>
        <w:tc>
          <w:tcPr>
            <w:tcW w:w="2755" w:type="dxa"/>
            <w:gridSpan w:val="3"/>
            <w:shd w:val="clear" w:color="auto" w:fill="auto"/>
            <w:vAlign w:val="center"/>
          </w:tcPr>
          <w:p w14:paraId="702C53AB" w14:textId="77777777" w:rsidR="00E76246" w:rsidRPr="00E16672" w:rsidRDefault="00622BEB" w:rsidP="00DC1E60">
            <w:pPr>
              <w:pStyle w:val="6"/>
              <w:widowControl w:val="0"/>
              <w:snapToGrid w:val="0"/>
              <w:ind w:left="0" w:firstLine="0"/>
              <w:jc w:val="left"/>
              <w:rPr>
                <w:rFonts w:ascii="Times New Roman" w:hAnsi="Times New Roman"/>
                <w:bCs/>
                <w:sz w:val="18"/>
                <w:szCs w:val="18"/>
                <w:lang w:val="uk-UA"/>
              </w:rPr>
            </w:pPr>
            <w:r>
              <w:rPr>
                <w:rFonts w:ascii="Times New Roman" w:hAnsi="Times New Roman"/>
                <w:bCs/>
                <w:sz w:val="18"/>
                <w:szCs w:val="18"/>
                <w:lang w:val="uk-UA"/>
              </w:rPr>
              <w:t>custody@comex.com.ua</w:t>
            </w:r>
          </w:p>
        </w:tc>
      </w:tr>
      <w:tr w:rsidR="00E76246" w:rsidRPr="00E16672" w14:paraId="7F794716" w14:textId="77777777" w:rsidTr="00154814">
        <w:tc>
          <w:tcPr>
            <w:tcW w:w="2536" w:type="dxa"/>
            <w:gridSpan w:val="2"/>
            <w:shd w:val="clear" w:color="auto" w:fill="auto"/>
          </w:tcPr>
          <w:p w14:paraId="6CFE2C95" w14:textId="77777777" w:rsidR="00E76246" w:rsidRPr="00E16672" w:rsidRDefault="00E76246" w:rsidP="00DC1E60">
            <w:pPr>
              <w:pStyle w:val="6"/>
              <w:numPr>
                <w:ilvl w:val="0"/>
                <w:numId w:val="0"/>
              </w:numPr>
              <w:snapToGrid w:val="0"/>
              <w:ind w:right="4"/>
              <w:jc w:val="left"/>
              <w:rPr>
                <w:rFonts w:ascii="Times New Roman" w:hAnsi="Times New Roman"/>
                <w:b/>
                <w:i/>
                <w:color w:val="000000"/>
                <w:sz w:val="18"/>
                <w:szCs w:val="18"/>
                <w:lang w:val="uk-UA"/>
              </w:rPr>
            </w:pPr>
            <w:r w:rsidRPr="00E16672">
              <w:rPr>
                <w:rFonts w:ascii="Times New Roman" w:hAnsi="Times New Roman"/>
                <w:b/>
                <w:i/>
                <w:color w:val="000000"/>
                <w:sz w:val="18"/>
                <w:szCs w:val="18"/>
                <w:lang w:val="uk-UA"/>
              </w:rPr>
              <w:t xml:space="preserve">Телефон </w:t>
            </w:r>
          </w:p>
        </w:tc>
        <w:tc>
          <w:tcPr>
            <w:tcW w:w="2714" w:type="dxa"/>
            <w:gridSpan w:val="2"/>
            <w:shd w:val="clear" w:color="auto" w:fill="auto"/>
          </w:tcPr>
          <w:p w14:paraId="6E015187" w14:textId="77777777" w:rsidR="00E76246" w:rsidRPr="00E16672" w:rsidRDefault="00E76246" w:rsidP="00DC1E60">
            <w:pPr>
              <w:pStyle w:val="6"/>
              <w:numPr>
                <w:ilvl w:val="0"/>
                <w:numId w:val="0"/>
              </w:numPr>
              <w:snapToGrid w:val="0"/>
              <w:ind w:right="4"/>
              <w:jc w:val="left"/>
              <w:rPr>
                <w:rFonts w:ascii="Times New Roman" w:hAnsi="Times New Roman"/>
                <w:color w:val="000000"/>
                <w:sz w:val="18"/>
                <w:szCs w:val="18"/>
                <w:lang w:val="uk-UA"/>
              </w:rPr>
            </w:pPr>
          </w:p>
        </w:tc>
        <w:tc>
          <w:tcPr>
            <w:tcW w:w="236" w:type="dxa"/>
            <w:shd w:val="clear" w:color="auto" w:fill="auto"/>
          </w:tcPr>
          <w:p w14:paraId="43A19C8E" w14:textId="77777777" w:rsidR="00E76246" w:rsidRPr="00E16672" w:rsidRDefault="00E76246" w:rsidP="00DC1E60">
            <w:pPr>
              <w:snapToGrid w:val="0"/>
              <w:rPr>
                <w:rFonts w:ascii="Times New Roman" w:hAnsi="Times New Roman"/>
                <w:color w:val="000000"/>
                <w:sz w:val="18"/>
                <w:szCs w:val="18"/>
              </w:rPr>
            </w:pPr>
          </w:p>
        </w:tc>
        <w:tc>
          <w:tcPr>
            <w:tcW w:w="2720" w:type="dxa"/>
            <w:gridSpan w:val="2"/>
            <w:shd w:val="clear" w:color="auto" w:fill="auto"/>
            <w:vAlign w:val="center"/>
          </w:tcPr>
          <w:p w14:paraId="29FFDECF" w14:textId="77777777" w:rsidR="00E76246" w:rsidRPr="00E16672" w:rsidRDefault="00E76246" w:rsidP="00DC1E60">
            <w:pPr>
              <w:snapToGrid w:val="0"/>
              <w:ind w:firstLine="0"/>
              <w:jc w:val="left"/>
              <w:rPr>
                <w:rFonts w:ascii="Times New Roman" w:hAnsi="Times New Roman"/>
                <w:b/>
                <w:i/>
                <w:color w:val="000000"/>
                <w:sz w:val="18"/>
                <w:szCs w:val="18"/>
              </w:rPr>
            </w:pPr>
            <w:r w:rsidRPr="00E16672">
              <w:rPr>
                <w:rFonts w:ascii="Times New Roman" w:hAnsi="Times New Roman"/>
                <w:b/>
                <w:i/>
                <w:color w:val="000000"/>
                <w:sz w:val="18"/>
                <w:szCs w:val="18"/>
              </w:rPr>
              <w:t>Телефон</w:t>
            </w:r>
          </w:p>
        </w:tc>
        <w:tc>
          <w:tcPr>
            <w:tcW w:w="2755" w:type="dxa"/>
            <w:gridSpan w:val="3"/>
            <w:shd w:val="clear" w:color="auto" w:fill="auto"/>
            <w:vAlign w:val="center"/>
          </w:tcPr>
          <w:p w14:paraId="58138244" w14:textId="77777777" w:rsidR="00E76246" w:rsidRPr="00E16672" w:rsidRDefault="00622BEB" w:rsidP="00DC1E60">
            <w:pPr>
              <w:snapToGrid w:val="0"/>
              <w:ind w:firstLine="0"/>
              <w:rPr>
                <w:rFonts w:ascii="Times New Roman" w:hAnsi="Times New Roman"/>
                <w:bCs/>
                <w:sz w:val="18"/>
                <w:szCs w:val="18"/>
                <w:lang w:val="uk-UA"/>
              </w:rPr>
            </w:pPr>
            <w:r>
              <w:rPr>
                <w:rFonts w:ascii="Times New Roman" w:hAnsi="Times New Roman"/>
                <w:bCs/>
                <w:sz w:val="18"/>
                <w:szCs w:val="18"/>
                <w:lang w:val="uk-UA"/>
              </w:rPr>
              <w:t>044 502 65 73</w:t>
            </w:r>
          </w:p>
        </w:tc>
      </w:tr>
      <w:tr w:rsidR="00E76246" w:rsidRPr="00E16672" w14:paraId="3BE102DA" w14:textId="77777777" w:rsidTr="00154814">
        <w:trPr>
          <w:trHeight w:val="56"/>
        </w:trPr>
        <w:tc>
          <w:tcPr>
            <w:tcW w:w="2536" w:type="dxa"/>
            <w:gridSpan w:val="2"/>
            <w:shd w:val="clear" w:color="auto" w:fill="auto"/>
          </w:tcPr>
          <w:p w14:paraId="6AA915C5" w14:textId="66F5B678" w:rsidR="00E76246" w:rsidRPr="00E16672" w:rsidRDefault="00E76246" w:rsidP="00DC1E60">
            <w:pPr>
              <w:snapToGrid w:val="0"/>
              <w:ind w:firstLine="6"/>
              <w:rPr>
                <w:rFonts w:ascii="Times New Roman" w:hAnsi="Times New Roman"/>
                <w:b/>
                <w:bCs/>
                <w:i/>
                <w:iCs/>
                <w:color w:val="000000"/>
                <w:sz w:val="18"/>
                <w:szCs w:val="18"/>
                <w:lang w:val="uk-UA"/>
              </w:rPr>
            </w:pPr>
          </w:p>
        </w:tc>
        <w:tc>
          <w:tcPr>
            <w:tcW w:w="2714" w:type="dxa"/>
            <w:gridSpan w:val="2"/>
            <w:shd w:val="clear" w:color="auto" w:fill="auto"/>
          </w:tcPr>
          <w:p w14:paraId="73B50D4A" w14:textId="77777777" w:rsidR="00E76246" w:rsidRPr="00E16672" w:rsidRDefault="00E76246" w:rsidP="00DC1E60">
            <w:pPr>
              <w:snapToGrid w:val="0"/>
              <w:ind w:firstLine="6"/>
              <w:rPr>
                <w:rFonts w:ascii="Times New Roman" w:hAnsi="Times New Roman"/>
                <w:color w:val="000000"/>
                <w:sz w:val="18"/>
                <w:szCs w:val="18"/>
              </w:rPr>
            </w:pPr>
          </w:p>
        </w:tc>
        <w:tc>
          <w:tcPr>
            <w:tcW w:w="236" w:type="dxa"/>
            <w:shd w:val="clear" w:color="auto" w:fill="auto"/>
          </w:tcPr>
          <w:p w14:paraId="03CBD137" w14:textId="77777777" w:rsidR="00E76246" w:rsidRPr="00E16672" w:rsidRDefault="00E76246" w:rsidP="00DC1E60">
            <w:pPr>
              <w:snapToGrid w:val="0"/>
              <w:rPr>
                <w:rFonts w:ascii="Times New Roman" w:hAnsi="Times New Roman"/>
                <w:color w:val="000000"/>
                <w:sz w:val="18"/>
                <w:szCs w:val="18"/>
              </w:rPr>
            </w:pPr>
          </w:p>
        </w:tc>
        <w:tc>
          <w:tcPr>
            <w:tcW w:w="2720" w:type="dxa"/>
            <w:gridSpan w:val="2"/>
            <w:shd w:val="clear" w:color="auto" w:fill="auto"/>
            <w:vAlign w:val="center"/>
          </w:tcPr>
          <w:p w14:paraId="3D25CBE0" w14:textId="7B661539" w:rsidR="00E76246" w:rsidRPr="00E16672" w:rsidRDefault="00E76246" w:rsidP="00DC1E60">
            <w:pPr>
              <w:snapToGrid w:val="0"/>
              <w:ind w:firstLine="0"/>
              <w:jc w:val="left"/>
              <w:rPr>
                <w:rFonts w:ascii="Times New Roman" w:hAnsi="Times New Roman"/>
                <w:color w:val="000000"/>
                <w:sz w:val="18"/>
                <w:szCs w:val="18"/>
              </w:rPr>
            </w:pPr>
          </w:p>
        </w:tc>
        <w:tc>
          <w:tcPr>
            <w:tcW w:w="2755" w:type="dxa"/>
            <w:gridSpan w:val="3"/>
            <w:shd w:val="clear" w:color="auto" w:fill="auto"/>
            <w:vAlign w:val="center"/>
          </w:tcPr>
          <w:p w14:paraId="6E0B203F" w14:textId="77777777" w:rsidR="00E76246" w:rsidRPr="00E16672" w:rsidRDefault="00E76246" w:rsidP="00DC1E60">
            <w:pPr>
              <w:snapToGrid w:val="0"/>
              <w:rPr>
                <w:rFonts w:ascii="Times New Roman" w:hAnsi="Times New Roman"/>
                <w:bCs/>
                <w:sz w:val="18"/>
                <w:szCs w:val="18"/>
                <w:lang w:val="en-US"/>
              </w:rPr>
            </w:pPr>
          </w:p>
        </w:tc>
      </w:tr>
      <w:tr w:rsidR="00E76246" w:rsidRPr="00E16672" w:rsidDel="00D16973" w14:paraId="142EC9B6" w14:textId="77777777" w:rsidTr="00154814">
        <w:tc>
          <w:tcPr>
            <w:tcW w:w="2536" w:type="dxa"/>
            <w:gridSpan w:val="2"/>
            <w:shd w:val="clear" w:color="auto" w:fill="auto"/>
          </w:tcPr>
          <w:p w14:paraId="423749AD" w14:textId="77777777" w:rsidR="00E76246" w:rsidRPr="00E16672" w:rsidRDefault="00E76246" w:rsidP="00DC1E60">
            <w:pPr>
              <w:snapToGrid w:val="0"/>
              <w:ind w:firstLine="6"/>
              <w:rPr>
                <w:rFonts w:ascii="Times New Roman" w:hAnsi="Times New Roman"/>
                <w:b/>
                <w:bCs/>
                <w:i/>
                <w:iCs/>
                <w:color w:val="000000"/>
                <w:sz w:val="18"/>
                <w:szCs w:val="18"/>
              </w:rPr>
            </w:pPr>
          </w:p>
        </w:tc>
        <w:tc>
          <w:tcPr>
            <w:tcW w:w="2714" w:type="dxa"/>
            <w:gridSpan w:val="2"/>
            <w:shd w:val="clear" w:color="auto" w:fill="auto"/>
          </w:tcPr>
          <w:p w14:paraId="5E123B93" w14:textId="77777777" w:rsidR="00E76246" w:rsidRPr="00E16672" w:rsidRDefault="00E76246" w:rsidP="00DC1E60">
            <w:pPr>
              <w:snapToGrid w:val="0"/>
              <w:ind w:firstLine="6"/>
              <w:rPr>
                <w:rFonts w:ascii="Times New Roman" w:hAnsi="Times New Roman"/>
                <w:color w:val="000000"/>
                <w:sz w:val="18"/>
                <w:szCs w:val="18"/>
              </w:rPr>
            </w:pPr>
          </w:p>
        </w:tc>
        <w:tc>
          <w:tcPr>
            <w:tcW w:w="236" w:type="dxa"/>
            <w:shd w:val="clear" w:color="auto" w:fill="auto"/>
          </w:tcPr>
          <w:p w14:paraId="7C846C69" w14:textId="77777777" w:rsidR="00E76246" w:rsidRPr="00E16672" w:rsidRDefault="00E76246" w:rsidP="00DC1E60">
            <w:pPr>
              <w:snapToGrid w:val="0"/>
              <w:rPr>
                <w:rFonts w:ascii="Times New Roman" w:hAnsi="Times New Roman"/>
                <w:color w:val="000000"/>
                <w:sz w:val="18"/>
                <w:szCs w:val="18"/>
              </w:rPr>
            </w:pPr>
          </w:p>
        </w:tc>
        <w:tc>
          <w:tcPr>
            <w:tcW w:w="2737" w:type="dxa"/>
            <w:gridSpan w:val="3"/>
            <w:shd w:val="clear" w:color="auto" w:fill="auto"/>
            <w:vAlign w:val="center"/>
          </w:tcPr>
          <w:p w14:paraId="7F3FFB91" w14:textId="77777777" w:rsidR="00E76246" w:rsidRPr="00E16672" w:rsidRDefault="00E76246" w:rsidP="00DC1E60">
            <w:pPr>
              <w:snapToGrid w:val="0"/>
              <w:ind w:firstLine="0"/>
              <w:jc w:val="left"/>
              <w:rPr>
                <w:rFonts w:ascii="Times New Roman" w:hAnsi="Times New Roman"/>
                <w:b/>
                <w:i/>
                <w:color w:val="000000"/>
                <w:sz w:val="18"/>
                <w:szCs w:val="18"/>
                <w:lang w:val="uk-UA"/>
              </w:rPr>
            </w:pPr>
          </w:p>
          <w:p w14:paraId="54A2DA97" w14:textId="77777777" w:rsidR="00E76246" w:rsidRPr="00E16672" w:rsidRDefault="00E76246" w:rsidP="00DC1E60">
            <w:pPr>
              <w:snapToGrid w:val="0"/>
              <w:ind w:firstLine="0"/>
              <w:jc w:val="left"/>
              <w:rPr>
                <w:rFonts w:ascii="Times New Roman" w:hAnsi="Times New Roman"/>
                <w:b/>
                <w:i/>
                <w:color w:val="000000"/>
                <w:sz w:val="18"/>
                <w:szCs w:val="18"/>
              </w:rPr>
            </w:pPr>
            <w:r w:rsidRPr="00E16672">
              <w:rPr>
                <w:rFonts w:ascii="Times New Roman" w:hAnsi="Times New Roman"/>
                <w:b/>
                <w:i/>
                <w:color w:val="000000"/>
                <w:sz w:val="18"/>
                <w:szCs w:val="18"/>
                <w:lang w:val="uk-UA"/>
              </w:rPr>
              <w:t xml:space="preserve">Ліцензія депозитарної установи </w:t>
            </w:r>
            <w:r w:rsidRPr="00E16672">
              <w:rPr>
                <w:rFonts w:ascii="Times New Roman" w:hAnsi="Times New Roman"/>
                <w:i/>
                <w:color w:val="000000"/>
                <w:sz w:val="18"/>
                <w:szCs w:val="18"/>
                <w:lang w:val="uk-UA"/>
              </w:rPr>
              <w:t>(серія, номер, дата видачі)</w:t>
            </w:r>
          </w:p>
        </w:tc>
        <w:tc>
          <w:tcPr>
            <w:tcW w:w="2738" w:type="dxa"/>
            <w:gridSpan w:val="2"/>
            <w:shd w:val="clear" w:color="auto" w:fill="auto"/>
            <w:vAlign w:val="center"/>
          </w:tcPr>
          <w:p w14:paraId="06A8C8DF" w14:textId="77777777" w:rsidR="00E76246" w:rsidRPr="00E16672" w:rsidDel="00D16973" w:rsidRDefault="00E76246" w:rsidP="00DC1E60">
            <w:pPr>
              <w:snapToGrid w:val="0"/>
              <w:ind w:firstLine="0"/>
              <w:rPr>
                <w:rFonts w:ascii="Times New Roman" w:hAnsi="Times New Roman"/>
                <w:bCs/>
                <w:sz w:val="18"/>
                <w:szCs w:val="18"/>
                <w:lang w:val="uk-UA"/>
              </w:rPr>
            </w:pPr>
            <w:r w:rsidRPr="00E16672">
              <w:rPr>
                <w:rFonts w:ascii="Times New Roman" w:hAnsi="Times New Roman"/>
                <w:bCs/>
                <w:sz w:val="18"/>
                <w:szCs w:val="18"/>
                <w:lang w:val="uk-UA"/>
              </w:rPr>
              <w:t xml:space="preserve">АЕ </w:t>
            </w:r>
            <w:r w:rsidR="00E16672" w:rsidRPr="00E16672">
              <w:rPr>
                <w:rFonts w:ascii="Times New Roman" w:hAnsi="Times New Roman"/>
                <w:bCs/>
                <w:sz w:val="18"/>
                <w:szCs w:val="18"/>
                <w:lang w:val="uk-UA"/>
              </w:rPr>
              <w:t>263429</w:t>
            </w:r>
            <w:r w:rsidRPr="00E16672">
              <w:rPr>
                <w:rFonts w:ascii="Times New Roman" w:hAnsi="Times New Roman"/>
                <w:bCs/>
                <w:sz w:val="18"/>
                <w:szCs w:val="18"/>
                <w:lang w:val="uk-UA"/>
              </w:rPr>
              <w:t xml:space="preserve">, </w:t>
            </w:r>
            <w:r w:rsidR="00E16672" w:rsidRPr="00E16672">
              <w:rPr>
                <w:rFonts w:ascii="Times New Roman" w:hAnsi="Times New Roman"/>
                <w:bCs/>
                <w:sz w:val="18"/>
                <w:szCs w:val="18"/>
                <w:lang w:val="uk-UA"/>
              </w:rPr>
              <w:t>01.10.2013</w:t>
            </w:r>
            <w:r w:rsidRPr="00E16672">
              <w:rPr>
                <w:rFonts w:ascii="Times New Roman" w:hAnsi="Times New Roman"/>
                <w:bCs/>
                <w:sz w:val="18"/>
                <w:szCs w:val="18"/>
                <w:lang w:val="uk-UA"/>
              </w:rPr>
              <w:t xml:space="preserve"> р.</w:t>
            </w:r>
          </w:p>
        </w:tc>
      </w:tr>
      <w:tr w:rsidR="007974E8" w:rsidRPr="00E16672" w14:paraId="368F1A68" w14:textId="77777777" w:rsidTr="00E76246">
        <w:trPr>
          <w:gridBefore w:val="1"/>
          <w:gridAfter w:val="1"/>
          <w:wBefore w:w="25" w:type="dxa"/>
          <w:wAfter w:w="186" w:type="dxa"/>
        </w:trPr>
        <w:tc>
          <w:tcPr>
            <w:tcW w:w="5550" w:type="dxa"/>
            <w:gridSpan w:val="5"/>
            <w:shd w:val="clear" w:color="auto" w:fill="auto"/>
          </w:tcPr>
          <w:p w14:paraId="61FD1585" w14:textId="77777777" w:rsidR="007974E8" w:rsidRPr="00E16672" w:rsidRDefault="007974E8" w:rsidP="00E72E24">
            <w:pPr>
              <w:tabs>
                <w:tab w:val="left" w:pos="1560"/>
              </w:tabs>
              <w:snapToGrid w:val="0"/>
              <w:ind w:left="1843" w:hanging="1395"/>
              <w:rPr>
                <w:rFonts w:ascii="Times New Roman" w:hAnsi="Times New Roman"/>
                <w:b/>
                <w:bCs/>
                <w:color w:val="000000"/>
                <w:sz w:val="18"/>
                <w:szCs w:val="18"/>
                <w:lang w:val="uk-UA"/>
              </w:rPr>
            </w:pPr>
          </w:p>
          <w:p w14:paraId="452F7751" w14:textId="77777777" w:rsidR="007974E8" w:rsidRPr="00E16672" w:rsidRDefault="007974E8" w:rsidP="00E72E24">
            <w:pPr>
              <w:tabs>
                <w:tab w:val="left" w:pos="1560"/>
              </w:tabs>
              <w:snapToGrid w:val="0"/>
              <w:ind w:left="1843" w:hanging="1395"/>
              <w:rPr>
                <w:rFonts w:ascii="Times New Roman" w:hAnsi="Times New Roman"/>
                <w:b/>
                <w:bCs/>
                <w:color w:val="000000"/>
                <w:sz w:val="18"/>
                <w:szCs w:val="18"/>
              </w:rPr>
            </w:pPr>
            <w:r w:rsidRPr="00E16672">
              <w:rPr>
                <w:rFonts w:ascii="Times New Roman" w:hAnsi="Times New Roman"/>
                <w:b/>
                <w:bCs/>
                <w:color w:val="000000"/>
                <w:sz w:val="18"/>
                <w:szCs w:val="18"/>
              </w:rPr>
              <w:t>КЕРУЮЧИЙ</w:t>
            </w:r>
            <w:r w:rsidRPr="00E16672">
              <w:rPr>
                <w:rFonts w:ascii="Times New Roman" w:hAnsi="Times New Roman"/>
                <w:b/>
                <w:bCs/>
                <w:color w:val="000000"/>
                <w:sz w:val="18"/>
                <w:szCs w:val="18"/>
                <w:lang w:val="uk-UA"/>
              </w:rPr>
              <w:t xml:space="preserve"> РАХУНКОМ</w:t>
            </w:r>
            <w:r w:rsidRPr="00E16672">
              <w:rPr>
                <w:rFonts w:ascii="Times New Roman" w:hAnsi="Times New Roman"/>
                <w:b/>
                <w:bCs/>
                <w:color w:val="000000"/>
                <w:sz w:val="18"/>
                <w:szCs w:val="18"/>
              </w:rPr>
              <w:t>:</w:t>
            </w:r>
            <w:r w:rsidRPr="00E16672">
              <w:rPr>
                <w:rFonts w:ascii="Times New Roman" w:hAnsi="Times New Roman"/>
                <w:b/>
                <w:bCs/>
                <w:color w:val="000000"/>
                <w:sz w:val="18"/>
                <w:szCs w:val="18"/>
              </w:rPr>
              <w:tab/>
            </w:r>
          </w:p>
          <w:p w14:paraId="49013CC3" w14:textId="77777777" w:rsidR="007974E8" w:rsidRPr="00E16672" w:rsidRDefault="007974E8" w:rsidP="00E72E24">
            <w:pPr>
              <w:tabs>
                <w:tab w:val="left" w:pos="1560"/>
              </w:tabs>
              <w:snapToGrid w:val="0"/>
              <w:ind w:left="1843" w:hanging="1395"/>
              <w:rPr>
                <w:rFonts w:ascii="Times New Roman" w:hAnsi="Times New Roman"/>
                <w:b/>
                <w:bCs/>
                <w:color w:val="000000"/>
                <w:sz w:val="18"/>
                <w:szCs w:val="18"/>
              </w:rPr>
            </w:pPr>
          </w:p>
          <w:p w14:paraId="4F84D29D" w14:textId="77777777" w:rsidR="007974E8" w:rsidRPr="00E16672" w:rsidRDefault="007974E8" w:rsidP="00E72E24">
            <w:pPr>
              <w:tabs>
                <w:tab w:val="left" w:pos="1560"/>
              </w:tabs>
              <w:rPr>
                <w:rFonts w:ascii="Times New Roman" w:hAnsi="Times New Roman"/>
                <w:color w:val="000000"/>
                <w:sz w:val="18"/>
                <w:szCs w:val="18"/>
              </w:rPr>
            </w:pPr>
            <w:r w:rsidRPr="00E16672">
              <w:rPr>
                <w:rFonts w:ascii="Times New Roman" w:hAnsi="Times New Roman"/>
                <w:color w:val="000000"/>
                <w:sz w:val="18"/>
                <w:szCs w:val="18"/>
              </w:rPr>
              <w:t xml:space="preserve">_____________________(_________________)   </w:t>
            </w:r>
          </w:p>
          <w:p w14:paraId="3590BFB5" w14:textId="77777777" w:rsidR="007974E8" w:rsidRPr="00E16672" w:rsidRDefault="00E72E24" w:rsidP="00E72E24">
            <w:pPr>
              <w:tabs>
                <w:tab w:val="left" w:pos="1560"/>
              </w:tabs>
              <w:ind w:left="1843" w:hanging="1395"/>
              <w:rPr>
                <w:rFonts w:ascii="Times New Roman" w:hAnsi="Times New Roman"/>
                <w:color w:val="000000"/>
                <w:sz w:val="14"/>
                <w:szCs w:val="14"/>
              </w:rPr>
            </w:pPr>
            <w:r w:rsidRPr="00E16672">
              <w:rPr>
                <w:rFonts w:ascii="Times New Roman" w:hAnsi="Times New Roman"/>
                <w:color w:val="000000"/>
                <w:sz w:val="14"/>
                <w:szCs w:val="14"/>
                <w:lang w:val="uk-UA"/>
              </w:rPr>
              <w:t xml:space="preserve">               </w:t>
            </w:r>
            <w:r w:rsidR="007974E8" w:rsidRPr="00E16672">
              <w:rPr>
                <w:rFonts w:ascii="Times New Roman" w:hAnsi="Times New Roman"/>
                <w:color w:val="000000"/>
                <w:sz w:val="14"/>
                <w:szCs w:val="14"/>
              </w:rPr>
              <w:t>М.П</w:t>
            </w:r>
            <w:r w:rsidR="007974E8" w:rsidRPr="00E16672">
              <w:rPr>
                <w:rFonts w:ascii="Times New Roman" w:hAnsi="Times New Roman"/>
                <w:i/>
                <w:color w:val="000000"/>
                <w:sz w:val="14"/>
                <w:szCs w:val="14"/>
              </w:rPr>
              <w:t>.</w:t>
            </w:r>
            <w:r w:rsidR="007974E8" w:rsidRPr="00E16672">
              <w:rPr>
                <w:rFonts w:ascii="Times New Roman" w:hAnsi="Times New Roman"/>
                <w:i/>
                <w:color w:val="000000"/>
                <w:sz w:val="14"/>
                <w:szCs w:val="14"/>
                <w:lang w:val="uk-UA"/>
              </w:rPr>
              <w:t xml:space="preserve"> (</w:t>
            </w:r>
            <w:r w:rsidR="00CD77BC" w:rsidRPr="00E16672">
              <w:rPr>
                <w:rFonts w:ascii="Times New Roman" w:hAnsi="Times New Roman"/>
                <w:i/>
                <w:sz w:val="14"/>
                <w:szCs w:val="14"/>
              </w:rPr>
              <w:t xml:space="preserve">у </w:t>
            </w:r>
            <w:proofErr w:type="spellStart"/>
            <w:r w:rsidR="00CD77BC" w:rsidRPr="00E16672">
              <w:rPr>
                <w:rFonts w:ascii="Times New Roman" w:hAnsi="Times New Roman"/>
                <w:i/>
                <w:sz w:val="14"/>
                <w:szCs w:val="14"/>
              </w:rPr>
              <w:t>разі</w:t>
            </w:r>
            <w:proofErr w:type="spellEnd"/>
            <w:r w:rsidR="00CD77BC" w:rsidRPr="00E16672">
              <w:rPr>
                <w:rFonts w:ascii="Times New Roman" w:hAnsi="Times New Roman"/>
                <w:i/>
                <w:sz w:val="14"/>
                <w:szCs w:val="14"/>
              </w:rPr>
              <w:t xml:space="preserve"> </w:t>
            </w:r>
            <w:proofErr w:type="spellStart"/>
            <w:r w:rsidR="00CD77BC" w:rsidRPr="00E16672">
              <w:rPr>
                <w:rFonts w:ascii="Times New Roman" w:hAnsi="Times New Roman"/>
                <w:i/>
                <w:sz w:val="14"/>
                <w:szCs w:val="14"/>
              </w:rPr>
              <w:t>використання</w:t>
            </w:r>
            <w:proofErr w:type="spellEnd"/>
            <w:r w:rsidR="007974E8" w:rsidRPr="00E16672">
              <w:rPr>
                <w:rFonts w:ascii="Times New Roman" w:hAnsi="Times New Roman"/>
                <w:i/>
                <w:color w:val="000000"/>
                <w:sz w:val="14"/>
                <w:szCs w:val="14"/>
                <w:lang w:val="uk-UA"/>
              </w:rPr>
              <w:t>)</w:t>
            </w:r>
            <w:r w:rsidRPr="00E16672">
              <w:rPr>
                <w:rFonts w:ascii="Times New Roman" w:hAnsi="Times New Roman"/>
                <w:color w:val="000000"/>
                <w:sz w:val="14"/>
                <w:szCs w:val="14"/>
              </w:rPr>
              <w:t xml:space="preserve">, </w:t>
            </w:r>
            <w:proofErr w:type="spellStart"/>
            <w:r w:rsidRPr="00E16672">
              <w:rPr>
                <w:rFonts w:ascii="Times New Roman" w:hAnsi="Times New Roman"/>
                <w:color w:val="000000"/>
                <w:sz w:val="14"/>
                <w:szCs w:val="14"/>
              </w:rPr>
              <w:t>підпис</w:t>
            </w:r>
            <w:proofErr w:type="spellEnd"/>
          </w:p>
          <w:p w14:paraId="0D174119" w14:textId="77777777" w:rsidR="007974E8" w:rsidRPr="00E16672" w:rsidRDefault="007974E8" w:rsidP="00E72E24">
            <w:pPr>
              <w:tabs>
                <w:tab w:val="left" w:pos="1560"/>
              </w:tabs>
              <w:rPr>
                <w:rFonts w:ascii="Times New Roman" w:hAnsi="Times New Roman"/>
                <w:b/>
                <w:bCs/>
                <w:color w:val="000000"/>
                <w:sz w:val="18"/>
                <w:szCs w:val="18"/>
              </w:rPr>
            </w:pPr>
          </w:p>
        </w:tc>
        <w:tc>
          <w:tcPr>
            <w:tcW w:w="5200" w:type="dxa"/>
            <w:gridSpan w:val="3"/>
            <w:shd w:val="clear" w:color="auto" w:fill="auto"/>
          </w:tcPr>
          <w:p w14:paraId="5029145A" w14:textId="77777777" w:rsidR="007974E8" w:rsidRPr="00E16672" w:rsidRDefault="007974E8" w:rsidP="00E72E24">
            <w:pPr>
              <w:tabs>
                <w:tab w:val="left" w:pos="1560"/>
              </w:tabs>
              <w:snapToGrid w:val="0"/>
              <w:rPr>
                <w:rFonts w:ascii="Times New Roman" w:hAnsi="Times New Roman"/>
                <w:b/>
                <w:bCs/>
                <w:color w:val="000000"/>
                <w:sz w:val="18"/>
                <w:szCs w:val="18"/>
                <w:lang w:val="uk-UA"/>
              </w:rPr>
            </w:pPr>
          </w:p>
          <w:p w14:paraId="52FEAA58" w14:textId="77777777" w:rsidR="007974E8" w:rsidRPr="00E16672" w:rsidRDefault="007974E8" w:rsidP="00E72E24">
            <w:pPr>
              <w:tabs>
                <w:tab w:val="left" w:pos="1560"/>
              </w:tabs>
              <w:snapToGrid w:val="0"/>
              <w:rPr>
                <w:rFonts w:ascii="Times New Roman" w:hAnsi="Times New Roman"/>
                <w:b/>
                <w:bCs/>
                <w:color w:val="000000"/>
                <w:sz w:val="18"/>
                <w:szCs w:val="18"/>
              </w:rPr>
            </w:pPr>
            <w:r w:rsidRPr="00E16672">
              <w:rPr>
                <w:rFonts w:ascii="Times New Roman" w:hAnsi="Times New Roman"/>
                <w:b/>
                <w:bCs/>
                <w:color w:val="000000"/>
                <w:sz w:val="18"/>
                <w:szCs w:val="18"/>
              </w:rPr>
              <w:t xml:space="preserve">ДЕПОЗИТАРНА УСТАНОВА:   </w:t>
            </w:r>
          </w:p>
          <w:p w14:paraId="0ED9D028" w14:textId="77777777" w:rsidR="007974E8" w:rsidRPr="00E16672" w:rsidRDefault="007974E8" w:rsidP="00E72E24">
            <w:pPr>
              <w:tabs>
                <w:tab w:val="left" w:pos="1560"/>
              </w:tabs>
              <w:snapToGrid w:val="0"/>
              <w:rPr>
                <w:rFonts w:ascii="Times New Roman" w:hAnsi="Times New Roman"/>
                <w:color w:val="000000"/>
                <w:sz w:val="18"/>
                <w:szCs w:val="18"/>
              </w:rPr>
            </w:pPr>
          </w:p>
          <w:p w14:paraId="55134E5F" w14:textId="77777777" w:rsidR="007974E8" w:rsidRPr="00E16672" w:rsidRDefault="007974E8" w:rsidP="00F82710">
            <w:pPr>
              <w:tabs>
                <w:tab w:val="left" w:pos="1560"/>
              </w:tabs>
              <w:snapToGrid w:val="0"/>
              <w:jc w:val="left"/>
              <w:rPr>
                <w:rFonts w:ascii="Times New Roman" w:hAnsi="Times New Roman"/>
                <w:color w:val="000000"/>
                <w:sz w:val="18"/>
                <w:szCs w:val="18"/>
              </w:rPr>
            </w:pPr>
            <w:r w:rsidRPr="00E16672">
              <w:rPr>
                <w:rFonts w:ascii="Times New Roman" w:hAnsi="Times New Roman"/>
                <w:b/>
                <w:bCs/>
                <w:color w:val="000000"/>
                <w:sz w:val="18"/>
                <w:szCs w:val="18"/>
              </w:rPr>
              <w:t xml:space="preserve">  </w:t>
            </w:r>
            <w:r w:rsidRPr="00E16672">
              <w:rPr>
                <w:rFonts w:ascii="Times New Roman" w:hAnsi="Times New Roman"/>
                <w:color w:val="000000"/>
                <w:sz w:val="18"/>
                <w:szCs w:val="18"/>
              </w:rPr>
              <w:t>_____________________   (</w:t>
            </w:r>
            <w:r w:rsidR="002C163A">
              <w:rPr>
                <w:rFonts w:ascii="Times New Roman" w:hAnsi="Times New Roman"/>
                <w:color w:val="000000"/>
                <w:sz w:val="18"/>
                <w:szCs w:val="18"/>
                <w:lang w:val="uk-UA"/>
              </w:rPr>
              <w:t>__________________</w:t>
            </w:r>
            <w:r w:rsidR="00565242">
              <w:rPr>
                <w:rFonts w:ascii="Times New Roman" w:hAnsi="Times New Roman"/>
                <w:color w:val="000000"/>
                <w:sz w:val="18"/>
                <w:szCs w:val="18"/>
                <w:lang w:val="uk-UA"/>
              </w:rPr>
              <w:t>.</w:t>
            </w:r>
            <w:r w:rsidRPr="00E16672">
              <w:rPr>
                <w:rFonts w:ascii="Times New Roman" w:hAnsi="Times New Roman"/>
                <w:color w:val="000000"/>
                <w:sz w:val="18"/>
                <w:szCs w:val="18"/>
              </w:rPr>
              <w:t xml:space="preserve">)                </w:t>
            </w:r>
          </w:p>
          <w:p w14:paraId="60B2630F" w14:textId="77777777" w:rsidR="007974E8" w:rsidRPr="00E16672" w:rsidRDefault="00E72E24" w:rsidP="00E72E24">
            <w:pPr>
              <w:tabs>
                <w:tab w:val="left" w:pos="1560"/>
              </w:tabs>
              <w:ind w:left="1843" w:hanging="1395"/>
              <w:rPr>
                <w:rFonts w:ascii="Times New Roman" w:hAnsi="Times New Roman"/>
                <w:b/>
                <w:bCs/>
                <w:color w:val="000000"/>
                <w:sz w:val="18"/>
                <w:szCs w:val="18"/>
              </w:rPr>
            </w:pPr>
            <w:r w:rsidRPr="00E16672">
              <w:rPr>
                <w:rFonts w:ascii="Times New Roman" w:hAnsi="Times New Roman"/>
                <w:color w:val="000000"/>
                <w:sz w:val="14"/>
                <w:szCs w:val="14"/>
                <w:lang w:val="uk-UA"/>
              </w:rPr>
              <w:t xml:space="preserve">                    </w:t>
            </w:r>
            <w:r w:rsidRPr="00E16672">
              <w:rPr>
                <w:rFonts w:ascii="Times New Roman" w:hAnsi="Times New Roman"/>
                <w:color w:val="000000"/>
                <w:sz w:val="14"/>
                <w:szCs w:val="14"/>
              </w:rPr>
              <w:t xml:space="preserve">М.П., </w:t>
            </w:r>
            <w:proofErr w:type="spellStart"/>
            <w:r w:rsidRPr="00E16672">
              <w:rPr>
                <w:rFonts w:ascii="Times New Roman" w:hAnsi="Times New Roman"/>
                <w:color w:val="000000"/>
                <w:sz w:val="14"/>
                <w:szCs w:val="14"/>
              </w:rPr>
              <w:t>підпис</w:t>
            </w:r>
            <w:proofErr w:type="spellEnd"/>
          </w:p>
        </w:tc>
      </w:tr>
    </w:tbl>
    <w:p w14:paraId="2AF4C719" w14:textId="77777777" w:rsidR="00FE12A6" w:rsidRPr="00E16672" w:rsidRDefault="00FE12A6" w:rsidP="007974E8">
      <w:pPr>
        <w:tabs>
          <w:tab w:val="left" w:pos="6447"/>
        </w:tabs>
        <w:jc w:val="right"/>
        <w:rPr>
          <w:rFonts w:ascii="Times New Roman" w:hAnsi="Times New Roman"/>
          <w:i/>
          <w:iCs/>
          <w:color w:val="000000"/>
          <w:lang w:val="uk-UA"/>
        </w:rPr>
      </w:pPr>
    </w:p>
    <w:p w14:paraId="0B86D038" w14:textId="77777777" w:rsidR="00FE12A6" w:rsidRPr="00E16672" w:rsidRDefault="00FE12A6" w:rsidP="007974E8">
      <w:pPr>
        <w:tabs>
          <w:tab w:val="left" w:pos="6447"/>
        </w:tabs>
        <w:jc w:val="right"/>
        <w:rPr>
          <w:rFonts w:ascii="Times New Roman" w:hAnsi="Times New Roman"/>
          <w:i/>
          <w:iCs/>
          <w:color w:val="000000"/>
          <w:lang w:val="uk-UA"/>
        </w:rPr>
      </w:pPr>
    </w:p>
    <w:p w14:paraId="4DEEA86B" w14:textId="77777777" w:rsidR="00FE12A6" w:rsidRPr="00E16672" w:rsidRDefault="00FE12A6" w:rsidP="007974E8">
      <w:pPr>
        <w:tabs>
          <w:tab w:val="left" w:pos="6447"/>
        </w:tabs>
        <w:jc w:val="right"/>
        <w:rPr>
          <w:rFonts w:ascii="Times New Roman" w:hAnsi="Times New Roman"/>
          <w:i/>
          <w:iCs/>
          <w:color w:val="000000"/>
          <w:lang w:val="uk-UA"/>
        </w:rPr>
      </w:pPr>
    </w:p>
    <w:p w14:paraId="57BFF3ED" w14:textId="77777777" w:rsidR="00FE12A6" w:rsidRPr="00E16672" w:rsidRDefault="00FE12A6" w:rsidP="007974E8">
      <w:pPr>
        <w:tabs>
          <w:tab w:val="left" w:pos="6447"/>
        </w:tabs>
        <w:jc w:val="right"/>
        <w:rPr>
          <w:rFonts w:ascii="Times New Roman" w:hAnsi="Times New Roman"/>
          <w:i/>
          <w:iCs/>
          <w:color w:val="000000"/>
          <w:lang w:val="uk-UA"/>
        </w:rPr>
      </w:pPr>
    </w:p>
    <w:p w14:paraId="79FDA9E1" w14:textId="77777777" w:rsidR="00FE12A6" w:rsidRPr="00E16672" w:rsidRDefault="00FE12A6" w:rsidP="007974E8">
      <w:pPr>
        <w:tabs>
          <w:tab w:val="left" w:pos="6447"/>
        </w:tabs>
        <w:jc w:val="right"/>
        <w:rPr>
          <w:rFonts w:ascii="Times New Roman" w:hAnsi="Times New Roman"/>
          <w:i/>
          <w:iCs/>
          <w:color w:val="000000"/>
          <w:lang w:val="uk-UA"/>
        </w:rPr>
      </w:pPr>
    </w:p>
    <w:p w14:paraId="136B1454" w14:textId="77777777" w:rsidR="00FE12A6" w:rsidRPr="00E16672" w:rsidRDefault="00FE12A6" w:rsidP="007974E8">
      <w:pPr>
        <w:tabs>
          <w:tab w:val="left" w:pos="6447"/>
        </w:tabs>
        <w:jc w:val="right"/>
        <w:rPr>
          <w:rFonts w:ascii="Times New Roman" w:hAnsi="Times New Roman"/>
          <w:i/>
          <w:iCs/>
          <w:color w:val="000000"/>
          <w:lang w:val="uk-UA"/>
        </w:rPr>
      </w:pPr>
    </w:p>
    <w:p w14:paraId="0DF78A19" w14:textId="77777777" w:rsidR="00FE12A6" w:rsidRPr="00E16672" w:rsidRDefault="00FE12A6" w:rsidP="007974E8">
      <w:pPr>
        <w:tabs>
          <w:tab w:val="left" w:pos="6447"/>
        </w:tabs>
        <w:jc w:val="right"/>
        <w:rPr>
          <w:rFonts w:ascii="Times New Roman" w:hAnsi="Times New Roman"/>
          <w:i/>
          <w:iCs/>
          <w:color w:val="000000"/>
          <w:lang w:val="uk-UA"/>
        </w:rPr>
      </w:pPr>
    </w:p>
    <w:p w14:paraId="6C79A1AB" w14:textId="77777777" w:rsidR="00FE12A6" w:rsidRPr="00E16672" w:rsidRDefault="00FE12A6" w:rsidP="007974E8">
      <w:pPr>
        <w:tabs>
          <w:tab w:val="left" w:pos="6447"/>
        </w:tabs>
        <w:jc w:val="right"/>
        <w:rPr>
          <w:rFonts w:ascii="Times New Roman" w:hAnsi="Times New Roman"/>
          <w:i/>
          <w:iCs/>
          <w:color w:val="000000"/>
          <w:lang w:val="uk-UA"/>
        </w:rPr>
      </w:pPr>
    </w:p>
    <w:p w14:paraId="113C0CFE" w14:textId="77777777" w:rsidR="00E357FB" w:rsidRPr="00E16672" w:rsidRDefault="00E357FB">
      <w:pPr>
        <w:suppressAutoHyphens w:val="0"/>
        <w:ind w:firstLine="0"/>
        <w:jc w:val="left"/>
        <w:rPr>
          <w:rFonts w:ascii="Times New Roman" w:hAnsi="Times New Roman"/>
          <w:i/>
          <w:iCs/>
          <w:color w:val="000000"/>
          <w:lang w:val="uk-UA"/>
        </w:rPr>
      </w:pPr>
      <w:r w:rsidRPr="00E16672">
        <w:rPr>
          <w:rFonts w:ascii="Times New Roman" w:hAnsi="Times New Roman"/>
          <w:i/>
          <w:iCs/>
          <w:color w:val="000000"/>
          <w:lang w:val="uk-UA"/>
        </w:rPr>
        <w:br w:type="page"/>
      </w:r>
    </w:p>
    <w:p w14:paraId="47CB2718" w14:textId="77777777" w:rsidR="007974E8" w:rsidRPr="00E16672" w:rsidRDefault="007974E8" w:rsidP="007974E8">
      <w:pPr>
        <w:jc w:val="center"/>
        <w:rPr>
          <w:rFonts w:ascii="Times New Roman" w:hAnsi="Times New Roman"/>
          <w:b/>
          <w:color w:val="000000"/>
          <w:szCs w:val="20"/>
          <w:lang w:val="uk-UA"/>
        </w:rPr>
      </w:pPr>
      <w:r w:rsidRPr="00E16672">
        <w:rPr>
          <w:rFonts w:ascii="Times New Roman" w:hAnsi="Times New Roman"/>
          <w:b/>
          <w:color w:val="000000"/>
          <w:szCs w:val="20"/>
          <w:lang w:val="uk-UA"/>
        </w:rPr>
        <w:lastRenderedPageBreak/>
        <w:t>Договір</w:t>
      </w:r>
    </w:p>
    <w:p w14:paraId="57A78DBF" w14:textId="77777777" w:rsidR="007974E8" w:rsidRPr="00E16672" w:rsidRDefault="007974E8" w:rsidP="007974E8">
      <w:pPr>
        <w:jc w:val="center"/>
        <w:rPr>
          <w:rFonts w:ascii="Times New Roman" w:hAnsi="Times New Roman"/>
          <w:b/>
          <w:color w:val="000000"/>
          <w:szCs w:val="20"/>
          <w:lang w:val="uk-UA"/>
        </w:rPr>
      </w:pPr>
      <w:r w:rsidRPr="00E16672">
        <w:rPr>
          <w:rFonts w:ascii="Times New Roman" w:hAnsi="Times New Roman"/>
          <w:b/>
          <w:color w:val="000000"/>
          <w:szCs w:val="20"/>
          <w:lang w:val="uk-UA"/>
        </w:rPr>
        <w:t xml:space="preserve">про обслуговування рахунка в цінних паперах </w:t>
      </w:r>
    </w:p>
    <w:p w14:paraId="51F5C3E8" w14:textId="77777777" w:rsidR="007974E8" w:rsidRPr="00E16672" w:rsidRDefault="007974E8" w:rsidP="007974E8">
      <w:pPr>
        <w:jc w:val="center"/>
        <w:rPr>
          <w:rFonts w:ascii="Times New Roman" w:hAnsi="Times New Roman"/>
          <w:b/>
          <w:bCs/>
          <w:color w:val="000000"/>
          <w:szCs w:val="20"/>
          <w:lang w:val="uk-UA"/>
        </w:rPr>
      </w:pPr>
      <w:r w:rsidRPr="00E16672">
        <w:rPr>
          <w:rFonts w:ascii="Times New Roman" w:hAnsi="Times New Roman"/>
          <w:b/>
          <w:bCs/>
          <w:color w:val="000000"/>
          <w:szCs w:val="20"/>
          <w:lang w:val="uk-UA"/>
        </w:rPr>
        <w:t>№  _____/____</w:t>
      </w:r>
    </w:p>
    <w:p w14:paraId="5C698E38" w14:textId="77777777" w:rsidR="007974E8" w:rsidRPr="00E16672" w:rsidRDefault="007974E8" w:rsidP="007974E8">
      <w:pPr>
        <w:rPr>
          <w:rFonts w:ascii="Times New Roman" w:hAnsi="Times New Roman"/>
          <w:color w:val="000000"/>
          <w:szCs w:val="20"/>
          <w:lang w:val="uk-UA"/>
        </w:rPr>
      </w:pPr>
    </w:p>
    <w:p w14:paraId="5881EC9C" w14:textId="77777777" w:rsidR="00EF78D0" w:rsidRDefault="00EF78D0" w:rsidP="00EF78D0">
      <w:pPr>
        <w:rPr>
          <w:rFonts w:ascii="Times New Roman" w:hAnsi="Times New Roman"/>
          <w:color w:val="000000"/>
          <w:szCs w:val="20"/>
          <w:lang w:val="uk-UA"/>
        </w:rPr>
      </w:pPr>
      <w:r w:rsidRPr="00EF78D0">
        <w:rPr>
          <w:rFonts w:ascii="Times New Roman" w:hAnsi="Times New Roman"/>
          <w:color w:val="000000"/>
          <w:szCs w:val="20"/>
          <w:lang w:val="uk-UA"/>
        </w:rPr>
        <w:t xml:space="preserve">м. Київ </w:t>
      </w:r>
      <w:r w:rsidRPr="00EF78D0">
        <w:rPr>
          <w:rFonts w:ascii="Times New Roman" w:hAnsi="Times New Roman"/>
          <w:color w:val="000000"/>
          <w:szCs w:val="20"/>
          <w:lang w:val="uk-UA"/>
        </w:rPr>
        <w:tab/>
      </w:r>
      <w:r w:rsidRPr="00EF78D0">
        <w:rPr>
          <w:rFonts w:ascii="Times New Roman" w:hAnsi="Times New Roman"/>
          <w:color w:val="000000"/>
          <w:szCs w:val="20"/>
          <w:lang w:val="uk-UA"/>
        </w:rPr>
        <w:tab/>
      </w:r>
      <w:r w:rsidRPr="00EF78D0">
        <w:rPr>
          <w:rFonts w:ascii="Times New Roman" w:hAnsi="Times New Roman"/>
          <w:color w:val="000000"/>
          <w:szCs w:val="20"/>
          <w:lang w:val="uk-UA"/>
        </w:rPr>
        <w:tab/>
      </w:r>
      <w:r>
        <w:rPr>
          <w:rFonts w:ascii="Times New Roman" w:hAnsi="Times New Roman"/>
          <w:color w:val="000000"/>
          <w:szCs w:val="20"/>
          <w:lang w:val="uk-UA"/>
        </w:rPr>
        <w:tab/>
      </w:r>
      <w:r>
        <w:rPr>
          <w:rFonts w:ascii="Times New Roman" w:hAnsi="Times New Roman"/>
          <w:color w:val="000000"/>
          <w:szCs w:val="20"/>
          <w:lang w:val="uk-UA"/>
        </w:rPr>
        <w:tab/>
      </w:r>
      <w:r>
        <w:rPr>
          <w:rFonts w:ascii="Times New Roman" w:hAnsi="Times New Roman"/>
          <w:color w:val="000000"/>
          <w:szCs w:val="20"/>
          <w:lang w:val="uk-UA"/>
        </w:rPr>
        <w:tab/>
      </w:r>
      <w:r>
        <w:rPr>
          <w:rFonts w:ascii="Times New Roman" w:hAnsi="Times New Roman"/>
          <w:color w:val="000000"/>
          <w:szCs w:val="20"/>
          <w:lang w:val="uk-UA"/>
        </w:rPr>
        <w:tab/>
      </w:r>
      <w:r>
        <w:rPr>
          <w:rFonts w:ascii="Times New Roman" w:hAnsi="Times New Roman"/>
          <w:color w:val="000000"/>
          <w:szCs w:val="20"/>
          <w:lang w:val="uk-UA"/>
        </w:rPr>
        <w:tab/>
      </w:r>
      <w:r>
        <w:rPr>
          <w:rFonts w:ascii="Times New Roman" w:hAnsi="Times New Roman"/>
          <w:color w:val="000000"/>
          <w:szCs w:val="20"/>
          <w:lang w:val="uk-UA"/>
        </w:rPr>
        <w:tab/>
      </w:r>
      <w:r w:rsidRPr="00EF78D0">
        <w:rPr>
          <w:rFonts w:ascii="Times New Roman" w:hAnsi="Times New Roman"/>
          <w:color w:val="000000"/>
          <w:szCs w:val="20"/>
          <w:lang w:val="uk-UA"/>
        </w:rPr>
        <w:tab/>
        <w:t>"       " ____________ 20____р</w:t>
      </w:r>
    </w:p>
    <w:p w14:paraId="0B5EF697" w14:textId="77777777" w:rsidR="007974E8" w:rsidRPr="00E16672" w:rsidRDefault="007974E8" w:rsidP="007974E8">
      <w:pPr>
        <w:ind w:left="142"/>
        <w:rPr>
          <w:rFonts w:ascii="Times New Roman" w:eastAsia="Arial" w:hAnsi="Times New Roman"/>
          <w:color w:val="000000"/>
          <w:sz w:val="16"/>
          <w:szCs w:val="16"/>
          <w:lang w:val="uk-UA"/>
        </w:rPr>
      </w:pPr>
    </w:p>
    <w:p w14:paraId="5526B122" w14:textId="77777777" w:rsidR="007974E8" w:rsidRPr="00E16672" w:rsidRDefault="007974E8" w:rsidP="006517E7">
      <w:pPr>
        <w:pStyle w:val="HTML"/>
        <w:jc w:val="left"/>
        <w:rPr>
          <w:rFonts w:ascii="Times New Roman" w:hAnsi="Times New Roman" w:cs="Times New Roman"/>
          <w:color w:val="000000"/>
          <w:lang w:val="uk-UA"/>
        </w:rPr>
      </w:pPr>
      <w:r w:rsidRPr="00E16672">
        <w:rPr>
          <w:rFonts w:ascii="Times New Roman" w:hAnsi="Times New Roman" w:cs="Times New Roman"/>
          <w:color w:val="000000"/>
          <w:lang w:val="uk-UA"/>
        </w:rPr>
        <w:t xml:space="preserve">      ТОВАРИСТВО З ОБМЕЖЕНОЮ ВІДПОВІДАЛЬНІСТЮ </w:t>
      </w:r>
      <w:r w:rsidR="00022F5F">
        <w:rPr>
          <w:rFonts w:ascii="Times New Roman" w:hAnsi="Times New Roman" w:cs="Times New Roman"/>
          <w:color w:val="000000"/>
          <w:lang w:val="uk-UA"/>
        </w:rPr>
        <w:t>"</w:t>
      </w:r>
      <w:r w:rsidR="00E16672" w:rsidRPr="00E16672">
        <w:rPr>
          <w:rFonts w:ascii="Times New Roman" w:hAnsi="Times New Roman" w:cs="Times New Roman"/>
          <w:color w:val="000000"/>
          <w:lang w:val="uk-UA"/>
        </w:rPr>
        <w:t>КОМЕКС ЦІННІ ПАПЕРИ</w:t>
      </w:r>
      <w:r w:rsidR="00022F5F">
        <w:rPr>
          <w:rFonts w:ascii="Times New Roman" w:hAnsi="Times New Roman" w:cs="Times New Roman"/>
          <w:color w:val="000000"/>
          <w:lang w:val="uk-UA"/>
        </w:rPr>
        <w:t>"</w:t>
      </w:r>
      <w:r w:rsidRPr="00E16672">
        <w:rPr>
          <w:rFonts w:ascii="Times New Roman" w:hAnsi="Times New Roman" w:cs="Times New Roman"/>
          <w:color w:val="000000"/>
          <w:lang w:val="uk-UA"/>
        </w:rPr>
        <w:t xml:space="preserve">, код за ЄДРПОУ </w:t>
      </w:r>
      <w:r w:rsidR="00E16672" w:rsidRPr="00E16672">
        <w:rPr>
          <w:rFonts w:ascii="Times New Roman" w:hAnsi="Times New Roman" w:cs="Times New Roman"/>
          <w:color w:val="000000"/>
          <w:lang w:val="uk-UA"/>
        </w:rPr>
        <w:t>33153077</w:t>
      </w:r>
      <w:r w:rsidRPr="00E16672">
        <w:rPr>
          <w:rFonts w:ascii="Times New Roman" w:hAnsi="Times New Roman" w:cs="Times New Roman"/>
          <w:color w:val="000000"/>
          <w:lang w:val="uk-UA"/>
        </w:rPr>
        <w:t xml:space="preserve"> (надалі – Депозитарна установа), що здійснює депозитарну діяльність депозитарної установи на підставі ліцензії серія АЕ № </w:t>
      </w:r>
      <w:r w:rsidR="00E16672" w:rsidRPr="00E16672">
        <w:rPr>
          <w:rFonts w:ascii="Times New Roman" w:hAnsi="Times New Roman" w:cs="Times New Roman"/>
          <w:color w:val="000000"/>
          <w:lang w:val="uk-UA"/>
        </w:rPr>
        <w:t>263429</w:t>
      </w:r>
      <w:r w:rsidRPr="00E16672">
        <w:rPr>
          <w:rFonts w:ascii="Times New Roman" w:hAnsi="Times New Roman" w:cs="Times New Roman"/>
          <w:color w:val="000000"/>
          <w:lang w:val="uk-UA"/>
        </w:rPr>
        <w:t xml:space="preserve">, виданої Національною комісією з цінних паперів та фондового ринку </w:t>
      </w:r>
      <w:r w:rsidR="00E16672" w:rsidRPr="00E16672">
        <w:rPr>
          <w:rFonts w:ascii="Times New Roman" w:hAnsi="Times New Roman" w:cs="Times New Roman"/>
          <w:color w:val="000000"/>
          <w:lang w:val="uk-UA"/>
        </w:rPr>
        <w:t>01.10.2013</w:t>
      </w:r>
      <w:r w:rsidRPr="00E16672">
        <w:rPr>
          <w:rFonts w:ascii="Times New Roman" w:hAnsi="Times New Roman" w:cs="Times New Roman"/>
          <w:color w:val="000000"/>
          <w:lang w:val="uk-UA"/>
        </w:rPr>
        <w:t xml:space="preserve">р.  (надалі – НКЦПФР), в особі директора </w:t>
      </w:r>
      <w:r w:rsidR="006517E7">
        <w:rPr>
          <w:rFonts w:ascii="Times New Roman" w:hAnsi="Times New Roman" w:cs="Times New Roman"/>
          <w:color w:val="000000"/>
          <w:lang w:val="uk-UA"/>
        </w:rPr>
        <w:t>Король Оксани Іванівни</w:t>
      </w:r>
      <w:r w:rsidRPr="00E16672">
        <w:rPr>
          <w:rFonts w:ascii="Times New Roman" w:hAnsi="Times New Roman" w:cs="Times New Roman"/>
          <w:color w:val="000000"/>
          <w:lang w:val="uk-UA"/>
        </w:rPr>
        <w:t xml:space="preserve">, що діє на підставі Статуту, з однієї сторони, </w:t>
      </w:r>
    </w:p>
    <w:p w14:paraId="48663A9F" w14:textId="77777777" w:rsidR="007974E8" w:rsidRPr="00E16672" w:rsidRDefault="007974E8" w:rsidP="007974E8">
      <w:pPr>
        <w:pStyle w:val="HTML"/>
        <w:rPr>
          <w:rFonts w:ascii="Times New Roman" w:hAnsi="Times New Roman" w:cs="Times New Roman"/>
          <w:color w:val="000000"/>
          <w:lang w:val="uk-UA"/>
        </w:rPr>
      </w:pPr>
      <w:r w:rsidRPr="00E16672">
        <w:rPr>
          <w:rFonts w:ascii="Times New Roman" w:hAnsi="Times New Roman" w:cs="Times New Roman"/>
          <w:color w:val="000000"/>
          <w:lang w:val="uk-UA"/>
        </w:rPr>
        <w:t xml:space="preserve">та  </w:t>
      </w:r>
      <w:r w:rsidRPr="00E16672">
        <w:rPr>
          <w:rFonts w:ascii="Times New Roman" w:hAnsi="Times New Roman" w:cs="Times New Roman"/>
          <w:b/>
          <w:bCs/>
          <w:color w:val="000000"/>
          <w:lang w:val="uk-UA"/>
        </w:rPr>
        <w:t>співвласники</w:t>
      </w:r>
      <w:r w:rsidRPr="00E16672">
        <w:rPr>
          <w:rFonts w:ascii="Times New Roman" w:hAnsi="Times New Roman" w:cs="Times New Roman"/>
          <w:b/>
          <w:bCs/>
          <w:color w:val="000000"/>
          <w:u w:val="single"/>
          <w:lang w:val="uk-UA"/>
        </w:rPr>
        <w:t xml:space="preserve"> </w:t>
      </w:r>
      <w:r w:rsidRPr="00E16672">
        <w:rPr>
          <w:rFonts w:ascii="Times New Roman" w:hAnsi="Times New Roman" w:cs="Times New Roman"/>
          <w:color w:val="000000"/>
          <w:lang w:val="uk-UA"/>
        </w:rPr>
        <w:t>____________</w:t>
      </w:r>
      <w:r w:rsidR="00EF78D0">
        <w:rPr>
          <w:rFonts w:ascii="Times New Roman" w:hAnsi="Times New Roman" w:cs="Times New Roman"/>
          <w:color w:val="000000"/>
          <w:lang w:val="uk-UA"/>
        </w:rPr>
        <w:t>___________</w:t>
      </w:r>
      <w:r w:rsidRPr="00E16672">
        <w:rPr>
          <w:rFonts w:ascii="Times New Roman" w:hAnsi="Times New Roman" w:cs="Times New Roman"/>
          <w:color w:val="000000"/>
          <w:lang w:val="uk-UA"/>
        </w:rPr>
        <w:t xml:space="preserve">____________________________________ (надалі - </w:t>
      </w:r>
      <w:r w:rsidRPr="00E16672">
        <w:rPr>
          <w:rFonts w:ascii="Times New Roman" w:hAnsi="Times New Roman" w:cs="Times New Roman"/>
          <w:b/>
          <w:bCs/>
          <w:color w:val="000000"/>
          <w:lang w:val="uk-UA"/>
        </w:rPr>
        <w:t>Власник 1</w:t>
      </w:r>
      <w:r w:rsidRPr="00E16672">
        <w:rPr>
          <w:rFonts w:ascii="Times New Roman" w:hAnsi="Times New Roman" w:cs="Times New Roman"/>
          <w:color w:val="000000"/>
          <w:lang w:val="uk-UA"/>
        </w:rPr>
        <w:t>), в особі</w:t>
      </w:r>
    </w:p>
    <w:p w14:paraId="14E3B45D" w14:textId="77777777" w:rsidR="007974E8" w:rsidRPr="00E16672" w:rsidRDefault="007974E8" w:rsidP="007974E8">
      <w:pPr>
        <w:ind w:firstLine="14"/>
        <w:rPr>
          <w:rFonts w:ascii="Times New Roman" w:hAnsi="Times New Roman"/>
          <w:color w:val="000000"/>
          <w:sz w:val="18"/>
          <w:szCs w:val="18"/>
          <w:lang w:val="uk-UA"/>
        </w:rPr>
      </w:pPr>
      <w:r w:rsidRPr="00E16672">
        <w:rPr>
          <w:rFonts w:ascii="Times New Roman" w:hAnsi="Times New Roman"/>
          <w:color w:val="000000"/>
          <w:szCs w:val="20"/>
          <w:lang w:val="uk-UA"/>
        </w:rPr>
        <w:tab/>
        <w:t xml:space="preserve">                              </w:t>
      </w:r>
      <w:r w:rsidRPr="00E16672">
        <w:rPr>
          <w:rFonts w:ascii="Times New Roman" w:hAnsi="Times New Roman"/>
          <w:color w:val="000000"/>
          <w:szCs w:val="20"/>
          <w:lang w:val="uk-UA"/>
        </w:rPr>
        <w:tab/>
      </w:r>
      <w:r w:rsidRPr="00E16672">
        <w:rPr>
          <w:rFonts w:ascii="Times New Roman" w:hAnsi="Times New Roman"/>
          <w:color w:val="000000"/>
          <w:sz w:val="18"/>
          <w:szCs w:val="18"/>
          <w:lang w:val="uk-UA"/>
        </w:rPr>
        <w:t>(</w:t>
      </w:r>
      <w:r w:rsidRPr="00E16672">
        <w:rPr>
          <w:rFonts w:ascii="Times New Roman" w:hAnsi="Times New Roman"/>
          <w:i/>
          <w:color w:val="000000"/>
          <w:sz w:val="18"/>
          <w:szCs w:val="18"/>
          <w:lang w:val="uk-UA"/>
        </w:rPr>
        <w:t>Найменування або ПІБ власника</w:t>
      </w:r>
      <w:r w:rsidRPr="00E16672">
        <w:rPr>
          <w:rFonts w:ascii="Times New Roman" w:hAnsi="Times New Roman"/>
          <w:color w:val="000000"/>
          <w:sz w:val="18"/>
          <w:szCs w:val="18"/>
          <w:lang w:val="uk-UA"/>
        </w:rPr>
        <w:t xml:space="preserve">) </w:t>
      </w:r>
    </w:p>
    <w:p w14:paraId="7E8B1C03" w14:textId="77777777" w:rsidR="007974E8" w:rsidRPr="00E16672" w:rsidRDefault="007974E8" w:rsidP="007974E8">
      <w:pPr>
        <w:ind w:firstLine="14"/>
        <w:rPr>
          <w:rFonts w:ascii="Times New Roman" w:hAnsi="Times New Roman"/>
          <w:color w:val="000000"/>
          <w:szCs w:val="20"/>
          <w:lang w:val="uk-UA"/>
        </w:rPr>
      </w:pPr>
      <w:r w:rsidRPr="00E16672">
        <w:rPr>
          <w:rFonts w:ascii="Times New Roman" w:hAnsi="Times New Roman"/>
          <w:color w:val="000000"/>
          <w:szCs w:val="20"/>
          <w:lang w:val="uk-UA"/>
        </w:rPr>
        <w:t>_______________________</w:t>
      </w:r>
      <w:r w:rsidR="00EF78D0">
        <w:rPr>
          <w:rFonts w:ascii="Times New Roman" w:hAnsi="Times New Roman"/>
          <w:color w:val="000000"/>
          <w:szCs w:val="20"/>
          <w:lang w:val="uk-UA"/>
        </w:rPr>
        <w:t>_______________</w:t>
      </w:r>
      <w:r w:rsidRPr="00E16672">
        <w:rPr>
          <w:rFonts w:ascii="Times New Roman" w:hAnsi="Times New Roman"/>
          <w:color w:val="000000"/>
          <w:szCs w:val="20"/>
          <w:lang w:val="uk-UA"/>
        </w:rPr>
        <w:t>_____________, або (паспорт серія __ № _______ виданий “___”______20__р.</w:t>
      </w:r>
    </w:p>
    <w:p w14:paraId="39BEA330" w14:textId="77777777" w:rsidR="007974E8" w:rsidRPr="00E16672" w:rsidRDefault="007974E8" w:rsidP="007974E8">
      <w:pPr>
        <w:rPr>
          <w:rFonts w:ascii="Times New Roman" w:hAnsi="Times New Roman"/>
          <w:color w:val="000000"/>
          <w:szCs w:val="20"/>
          <w:lang w:val="uk-UA"/>
        </w:rPr>
      </w:pPr>
      <w:r w:rsidRPr="00E16672">
        <w:rPr>
          <w:rFonts w:ascii="Times New Roman" w:hAnsi="Times New Roman"/>
          <w:color w:val="000000"/>
          <w:sz w:val="18"/>
          <w:szCs w:val="18"/>
          <w:lang w:val="uk-UA"/>
        </w:rPr>
        <w:tab/>
        <w:t>(</w:t>
      </w:r>
      <w:r w:rsidRPr="00E16672">
        <w:rPr>
          <w:rFonts w:ascii="Times New Roman" w:hAnsi="Times New Roman"/>
          <w:i/>
          <w:color w:val="000000"/>
          <w:sz w:val="18"/>
          <w:szCs w:val="18"/>
          <w:lang w:val="uk-UA"/>
        </w:rPr>
        <w:t>Посада, ПІБ керівника</w:t>
      </w:r>
      <w:r w:rsidRPr="00E16672">
        <w:rPr>
          <w:rFonts w:ascii="Times New Roman" w:hAnsi="Times New Roman"/>
          <w:color w:val="000000"/>
          <w:sz w:val="18"/>
          <w:szCs w:val="18"/>
          <w:lang w:val="uk-UA"/>
        </w:rPr>
        <w:t>)</w:t>
      </w:r>
      <w:r w:rsidRPr="00E16672">
        <w:rPr>
          <w:rFonts w:ascii="Times New Roman" w:hAnsi="Times New Roman"/>
          <w:color w:val="000000"/>
          <w:sz w:val="18"/>
          <w:szCs w:val="18"/>
          <w:lang w:val="uk-UA"/>
        </w:rPr>
        <w:tab/>
      </w:r>
      <w:r w:rsidRPr="00E16672">
        <w:rPr>
          <w:rFonts w:ascii="Times New Roman" w:hAnsi="Times New Roman"/>
          <w:color w:val="000000"/>
          <w:sz w:val="18"/>
          <w:szCs w:val="18"/>
          <w:lang w:val="uk-UA"/>
        </w:rPr>
        <w:tab/>
      </w:r>
      <w:r w:rsidRPr="00E16672">
        <w:rPr>
          <w:rFonts w:ascii="Times New Roman" w:hAnsi="Times New Roman"/>
          <w:color w:val="000000"/>
          <w:szCs w:val="20"/>
          <w:lang w:val="uk-UA"/>
        </w:rPr>
        <w:tab/>
      </w:r>
    </w:p>
    <w:p w14:paraId="61874B44" w14:textId="77777777" w:rsidR="007974E8" w:rsidRPr="00E16672" w:rsidRDefault="007974E8" w:rsidP="007974E8">
      <w:pPr>
        <w:ind w:firstLine="14"/>
        <w:rPr>
          <w:rFonts w:ascii="Times New Roman" w:hAnsi="Times New Roman"/>
          <w:color w:val="000000"/>
          <w:szCs w:val="20"/>
          <w:lang w:val="uk-UA"/>
        </w:rPr>
      </w:pPr>
      <w:r w:rsidRPr="00E16672">
        <w:rPr>
          <w:rFonts w:ascii="Times New Roman" w:hAnsi="Times New Roman"/>
          <w:color w:val="000000"/>
          <w:szCs w:val="20"/>
          <w:lang w:val="uk-UA"/>
        </w:rPr>
        <w:t>___________________________________</w:t>
      </w:r>
      <w:r w:rsidR="00EF78D0">
        <w:rPr>
          <w:rFonts w:ascii="Times New Roman" w:hAnsi="Times New Roman"/>
          <w:color w:val="000000"/>
          <w:szCs w:val="20"/>
          <w:lang w:val="uk-UA"/>
        </w:rPr>
        <w:t>______________</w:t>
      </w:r>
      <w:r w:rsidRPr="00E16672">
        <w:rPr>
          <w:rFonts w:ascii="Times New Roman" w:hAnsi="Times New Roman"/>
          <w:color w:val="000000"/>
          <w:szCs w:val="20"/>
          <w:lang w:val="uk-UA"/>
        </w:rPr>
        <w:t>________), що діє на підставі _____________________________,</w:t>
      </w:r>
    </w:p>
    <w:p w14:paraId="1E5F5FF3" w14:textId="77777777" w:rsidR="007974E8" w:rsidRPr="00E16672" w:rsidRDefault="007974E8" w:rsidP="007974E8">
      <w:pPr>
        <w:rPr>
          <w:rFonts w:ascii="Times New Roman" w:hAnsi="Times New Roman"/>
          <w:color w:val="000000"/>
          <w:sz w:val="18"/>
          <w:szCs w:val="18"/>
          <w:lang w:val="uk-UA"/>
        </w:rPr>
      </w:pPr>
      <w:r w:rsidRPr="00E16672">
        <w:rPr>
          <w:rFonts w:ascii="Times New Roman" w:hAnsi="Times New Roman"/>
          <w:color w:val="000000"/>
          <w:szCs w:val="20"/>
          <w:lang w:val="uk-UA"/>
        </w:rPr>
        <w:tab/>
      </w:r>
      <w:r w:rsidRPr="00E16672">
        <w:rPr>
          <w:rFonts w:ascii="Times New Roman" w:hAnsi="Times New Roman"/>
          <w:color w:val="000000"/>
          <w:szCs w:val="20"/>
          <w:lang w:val="uk-UA"/>
        </w:rPr>
        <w:tab/>
      </w:r>
      <w:r w:rsidRPr="00E16672">
        <w:rPr>
          <w:rFonts w:ascii="Times New Roman" w:hAnsi="Times New Roman"/>
          <w:color w:val="000000"/>
          <w:szCs w:val="20"/>
          <w:lang w:val="uk-UA"/>
        </w:rPr>
        <w:tab/>
      </w:r>
      <w:r w:rsidRPr="00E16672">
        <w:rPr>
          <w:rFonts w:ascii="Times New Roman" w:hAnsi="Times New Roman"/>
          <w:color w:val="000000"/>
          <w:szCs w:val="20"/>
          <w:lang w:val="uk-UA"/>
        </w:rPr>
        <w:tab/>
      </w:r>
      <w:r w:rsidRPr="00E16672">
        <w:rPr>
          <w:rFonts w:ascii="Times New Roman" w:hAnsi="Times New Roman"/>
          <w:color w:val="000000"/>
          <w:szCs w:val="20"/>
          <w:lang w:val="uk-UA"/>
        </w:rPr>
        <w:tab/>
      </w:r>
      <w:r w:rsidRPr="00E16672">
        <w:rPr>
          <w:rFonts w:ascii="Times New Roman" w:hAnsi="Times New Roman"/>
          <w:color w:val="000000"/>
          <w:szCs w:val="20"/>
          <w:lang w:val="uk-UA"/>
        </w:rPr>
        <w:tab/>
      </w:r>
      <w:r w:rsidRPr="00E16672">
        <w:rPr>
          <w:rFonts w:ascii="Times New Roman" w:hAnsi="Times New Roman"/>
          <w:color w:val="000000"/>
          <w:szCs w:val="20"/>
          <w:lang w:val="uk-UA"/>
        </w:rPr>
        <w:tab/>
      </w:r>
      <w:r w:rsidRPr="00E16672">
        <w:rPr>
          <w:rFonts w:ascii="Times New Roman" w:hAnsi="Times New Roman"/>
          <w:color w:val="000000"/>
          <w:szCs w:val="20"/>
          <w:lang w:val="uk-UA"/>
        </w:rPr>
        <w:tab/>
      </w:r>
      <w:r w:rsidRPr="00E16672">
        <w:rPr>
          <w:rFonts w:ascii="Times New Roman" w:hAnsi="Times New Roman"/>
          <w:color w:val="000000"/>
          <w:szCs w:val="20"/>
          <w:lang w:val="uk-UA"/>
        </w:rPr>
        <w:tab/>
        <w:t xml:space="preserve"> </w:t>
      </w:r>
      <w:r w:rsidR="00EF78D0">
        <w:rPr>
          <w:rFonts w:ascii="Times New Roman" w:hAnsi="Times New Roman"/>
          <w:color w:val="000000"/>
          <w:szCs w:val="20"/>
          <w:lang w:val="uk-UA"/>
        </w:rPr>
        <w:t xml:space="preserve">                 </w:t>
      </w:r>
      <w:r w:rsidRPr="00E16672">
        <w:rPr>
          <w:rFonts w:ascii="Times New Roman" w:hAnsi="Times New Roman"/>
          <w:color w:val="000000"/>
          <w:szCs w:val="20"/>
          <w:lang w:val="uk-UA"/>
        </w:rPr>
        <w:t xml:space="preserve">        </w:t>
      </w:r>
      <w:r w:rsidR="00EF78D0">
        <w:rPr>
          <w:rFonts w:ascii="Times New Roman" w:hAnsi="Times New Roman"/>
          <w:color w:val="000000"/>
          <w:sz w:val="18"/>
          <w:szCs w:val="18"/>
          <w:lang w:val="uk-UA"/>
        </w:rPr>
        <w:t xml:space="preserve"> (с</w:t>
      </w:r>
      <w:r w:rsidRPr="00E16672">
        <w:rPr>
          <w:rFonts w:ascii="Times New Roman" w:hAnsi="Times New Roman"/>
          <w:color w:val="000000"/>
          <w:sz w:val="18"/>
          <w:szCs w:val="18"/>
          <w:lang w:val="uk-UA"/>
        </w:rPr>
        <w:t>татуту або власного волевиявлення)</w:t>
      </w:r>
    </w:p>
    <w:p w14:paraId="4BF0A480" w14:textId="77777777" w:rsidR="007974E8" w:rsidRPr="00E16672" w:rsidRDefault="007974E8" w:rsidP="007974E8">
      <w:pPr>
        <w:rPr>
          <w:rFonts w:ascii="Times New Roman" w:hAnsi="Times New Roman"/>
          <w:color w:val="000000"/>
          <w:szCs w:val="20"/>
          <w:lang w:val="uk-UA"/>
        </w:rPr>
      </w:pPr>
    </w:p>
    <w:p w14:paraId="69E39751" w14:textId="77777777" w:rsidR="007974E8" w:rsidRPr="00E16672" w:rsidRDefault="007974E8" w:rsidP="007974E8">
      <w:pPr>
        <w:rPr>
          <w:rFonts w:ascii="Times New Roman" w:hAnsi="Times New Roman"/>
          <w:color w:val="000000"/>
          <w:szCs w:val="20"/>
          <w:lang w:val="uk-UA"/>
        </w:rPr>
      </w:pPr>
      <w:r w:rsidRPr="00E16672">
        <w:rPr>
          <w:rFonts w:ascii="Times New Roman" w:hAnsi="Times New Roman"/>
          <w:color w:val="000000"/>
          <w:szCs w:val="20"/>
          <w:lang w:val="uk-UA"/>
        </w:rPr>
        <w:t>_______________________</w:t>
      </w:r>
      <w:r w:rsidR="00EF78D0">
        <w:rPr>
          <w:rFonts w:ascii="Times New Roman" w:hAnsi="Times New Roman"/>
          <w:color w:val="000000"/>
          <w:szCs w:val="20"/>
          <w:lang w:val="uk-UA"/>
        </w:rPr>
        <w:t>_____________________________</w:t>
      </w:r>
      <w:r w:rsidRPr="00E16672">
        <w:rPr>
          <w:rFonts w:ascii="Times New Roman" w:hAnsi="Times New Roman"/>
          <w:color w:val="000000"/>
          <w:szCs w:val="20"/>
          <w:lang w:val="uk-UA"/>
        </w:rPr>
        <w:t xml:space="preserve">______________________ (надалі - </w:t>
      </w:r>
      <w:r w:rsidRPr="00E16672">
        <w:rPr>
          <w:rFonts w:ascii="Times New Roman" w:hAnsi="Times New Roman"/>
          <w:b/>
          <w:bCs/>
          <w:color w:val="000000"/>
          <w:szCs w:val="20"/>
          <w:lang w:val="uk-UA"/>
        </w:rPr>
        <w:t>Власник 2</w:t>
      </w:r>
      <w:r w:rsidRPr="00E16672">
        <w:rPr>
          <w:rFonts w:ascii="Times New Roman" w:hAnsi="Times New Roman"/>
          <w:color w:val="000000"/>
          <w:szCs w:val="20"/>
          <w:lang w:val="uk-UA"/>
        </w:rPr>
        <w:t>), в особі</w:t>
      </w:r>
    </w:p>
    <w:p w14:paraId="5B30EFF1" w14:textId="77777777" w:rsidR="007974E8" w:rsidRPr="00E16672" w:rsidRDefault="007974E8" w:rsidP="007974E8">
      <w:pPr>
        <w:ind w:firstLine="14"/>
        <w:rPr>
          <w:rFonts w:ascii="Times New Roman" w:hAnsi="Times New Roman"/>
          <w:color w:val="000000"/>
          <w:szCs w:val="20"/>
          <w:lang w:val="uk-UA"/>
        </w:rPr>
      </w:pPr>
      <w:r w:rsidRPr="00E16672">
        <w:rPr>
          <w:rFonts w:ascii="Times New Roman" w:hAnsi="Times New Roman"/>
          <w:color w:val="000000"/>
          <w:szCs w:val="20"/>
          <w:lang w:val="uk-UA"/>
        </w:rPr>
        <w:tab/>
      </w:r>
      <w:r w:rsidRPr="00E16672">
        <w:rPr>
          <w:rFonts w:ascii="Times New Roman" w:hAnsi="Times New Roman"/>
          <w:color w:val="000000"/>
          <w:szCs w:val="20"/>
          <w:lang w:val="uk-UA"/>
        </w:rPr>
        <w:tab/>
      </w:r>
      <w:r w:rsidRPr="00E16672">
        <w:rPr>
          <w:rFonts w:ascii="Times New Roman" w:hAnsi="Times New Roman"/>
          <w:color w:val="000000"/>
          <w:sz w:val="18"/>
          <w:szCs w:val="18"/>
          <w:lang w:val="uk-UA"/>
        </w:rPr>
        <w:t>(</w:t>
      </w:r>
      <w:r w:rsidRPr="00E16672">
        <w:rPr>
          <w:rFonts w:ascii="Times New Roman" w:hAnsi="Times New Roman"/>
          <w:i/>
          <w:color w:val="000000"/>
          <w:sz w:val="18"/>
          <w:szCs w:val="18"/>
          <w:lang w:val="uk-UA"/>
        </w:rPr>
        <w:t>Найменування або ПІБ власника</w:t>
      </w:r>
      <w:r w:rsidRPr="00E16672">
        <w:rPr>
          <w:rFonts w:ascii="Times New Roman" w:hAnsi="Times New Roman"/>
          <w:color w:val="000000"/>
          <w:sz w:val="18"/>
          <w:szCs w:val="18"/>
          <w:lang w:val="uk-UA"/>
        </w:rPr>
        <w:t>)</w:t>
      </w:r>
      <w:r w:rsidRPr="00E16672">
        <w:rPr>
          <w:rFonts w:ascii="Times New Roman" w:hAnsi="Times New Roman"/>
          <w:color w:val="000000"/>
          <w:szCs w:val="20"/>
          <w:lang w:val="uk-UA"/>
        </w:rPr>
        <w:t xml:space="preserve"> </w:t>
      </w:r>
    </w:p>
    <w:p w14:paraId="7F71D181" w14:textId="77777777" w:rsidR="007974E8" w:rsidRPr="00E16672" w:rsidRDefault="007974E8" w:rsidP="007974E8">
      <w:pPr>
        <w:ind w:firstLine="14"/>
        <w:rPr>
          <w:rFonts w:ascii="Times New Roman" w:hAnsi="Times New Roman"/>
          <w:color w:val="000000"/>
          <w:szCs w:val="20"/>
          <w:lang w:val="uk-UA"/>
        </w:rPr>
      </w:pPr>
      <w:r w:rsidRPr="00E16672">
        <w:rPr>
          <w:rFonts w:ascii="Times New Roman" w:hAnsi="Times New Roman"/>
          <w:color w:val="000000"/>
          <w:szCs w:val="20"/>
          <w:lang w:val="uk-UA"/>
        </w:rPr>
        <w:t>__________________</w:t>
      </w:r>
      <w:r w:rsidR="00EF78D0">
        <w:rPr>
          <w:rFonts w:ascii="Times New Roman" w:hAnsi="Times New Roman"/>
          <w:color w:val="000000"/>
          <w:szCs w:val="20"/>
          <w:lang w:val="uk-UA"/>
        </w:rPr>
        <w:t>_______________</w:t>
      </w:r>
      <w:r w:rsidRPr="00E16672">
        <w:rPr>
          <w:rFonts w:ascii="Times New Roman" w:hAnsi="Times New Roman"/>
          <w:color w:val="000000"/>
          <w:szCs w:val="20"/>
          <w:lang w:val="uk-UA"/>
        </w:rPr>
        <w:t>___________________, або (паспорт серія __ № _______ виданий “___”______20__р.</w:t>
      </w:r>
    </w:p>
    <w:p w14:paraId="4C7F43B7" w14:textId="77777777" w:rsidR="007974E8" w:rsidRPr="00E16672" w:rsidRDefault="007974E8" w:rsidP="007974E8">
      <w:pPr>
        <w:rPr>
          <w:rFonts w:ascii="Times New Roman" w:hAnsi="Times New Roman"/>
          <w:color w:val="000000"/>
          <w:szCs w:val="20"/>
          <w:lang w:val="uk-UA"/>
        </w:rPr>
      </w:pPr>
      <w:r w:rsidRPr="00E16672">
        <w:rPr>
          <w:rFonts w:ascii="Times New Roman" w:hAnsi="Times New Roman"/>
          <w:color w:val="000000"/>
          <w:sz w:val="18"/>
          <w:szCs w:val="18"/>
          <w:lang w:val="uk-UA"/>
        </w:rPr>
        <w:tab/>
        <w:t>(</w:t>
      </w:r>
      <w:r w:rsidRPr="00E16672">
        <w:rPr>
          <w:rFonts w:ascii="Times New Roman" w:hAnsi="Times New Roman"/>
          <w:i/>
          <w:color w:val="000000"/>
          <w:sz w:val="18"/>
          <w:szCs w:val="18"/>
          <w:lang w:val="uk-UA"/>
        </w:rPr>
        <w:t>Посада, ПІБ керівника</w:t>
      </w:r>
      <w:r w:rsidRPr="00E16672">
        <w:rPr>
          <w:rFonts w:ascii="Times New Roman" w:hAnsi="Times New Roman"/>
          <w:color w:val="000000"/>
          <w:sz w:val="18"/>
          <w:szCs w:val="18"/>
          <w:lang w:val="uk-UA"/>
        </w:rPr>
        <w:t>)</w:t>
      </w:r>
      <w:r w:rsidRPr="00E16672">
        <w:rPr>
          <w:rFonts w:ascii="Times New Roman" w:hAnsi="Times New Roman"/>
          <w:color w:val="000000"/>
          <w:szCs w:val="20"/>
          <w:lang w:val="uk-UA"/>
        </w:rPr>
        <w:tab/>
      </w:r>
      <w:r w:rsidRPr="00E16672">
        <w:rPr>
          <w:rFonts w:ascii="Times New Roman" w:hAnsi="Times New Roman"/>
          <w:color w:val="000000"/>
          <w:szCs w:val="20"/>
          <w:lang w:val="uk-UA"/>
        </w:rPr>
        <w:tab/>
      </w:r>
      <w:r w:rsidRPr="00E16672">
        <w:rPr>
          <w:rFonts w:ascii="Times New Roman" w:hAnsi="Times New Roman"/>
          <w:color w:val="000000"/>
          <w:szCs w:val="20"/>
          <w:lang w:val="uk-UA"/>
        </w:rPr>
        <w:tab/>
      </w:r>
    </w:p>
    <w:p w14:paraId="49559514" w14:textId="77777777" w:rsidR="007974E8" w:rsidRPr="00E16672" w:rsidRDefault="007974E8" w:rsidP="007974E8">
      <w:pPr>
        <w:ind w:firstLine="14"/>
        <w:rPr>
          <w:rFonts w:ascii="Times New Roman" w:hAnsi="Times New Roman"/>
          <w:color w:val="000000"/>
          <w:szCs w:val="20"/>
          <w:lang w:val="uk-UA"/>
        </w:rPr>
      </w:pPr>
      <w:r w:rsidRPr="00E16672">
        <w:rPr>
          <w:rFonts w:ascii="Times New Roman" w:hAnsi="Times New Roman"/>
          <w:color w:val="000000"/>
          <w:szCs w:val="20"/>
          <w:lang w:val="uk-UA"/>
        </w:rPr>
        <w:t>______________________________________</w:t>
      </w:r>
      <w:r w:rsidR="00EF78D0">
        <w:rPr>
          <w:rFonts w:ascii="Times New Roman" w:hAnsi="Times New Roman"/>
          <w:color w:val="000000"/>
          <w:szCs w:val="20"/>
          <w:lang w:val="uk-UA"/>
        </w:rPr>
        <w:t>_______________</w:t>
      </w:r>
      <w:r w:rsidRPr="00E16672">
        <w:rPr>
          <w:rFonts w:ascii="Times New Roman" w:hAnsi="Times New Roman"/>
          <w:color w:val="000000"/>
          <w:szCs w:val="20"/>
          <w:lang w:val="uk-UA"/>
        </w:rPr>
        <w:t xml:space="preserve">_____), що діє на підставі _____________________________, </w:t>
      </w:r>
    </w:p>
    <w:p w14:paraId="7344F2AF" w14:textId="77777777" w:rsidR="007974E8" w:rsidRPr="00E16672" w:rsidRDefault="007974E8" w:rsidP="007974E8">
      <w:pPr>
        <w:rPr>
          <w:rFonts w:ascii="Times New Roman" w:hAnsi="Times New Roman"/>
          <w:color w:val="000000"/>
          <w:sz w:val="18"/>
          <w:szCs w:val="18"/>
          <w:lang w:val="uk-UA"/>
        </w:rPr>
      </w:pPr>
      <w:r w:rsidRPr="00E16672">
        <w:rPr>
          <w:rFonts w:ascii="Times New Roman" w:hAnsi="Times New Roman"/>
          <w:color w:val="000000"/>
          <w:szCs w:val="20"/>
          <w:lang w:val="uk-UA"/>
        </w:rPr>
        <w:tab/>
      </w:r>
      <w:r w:rsidRPr="00E16672">
        <w:rPr>
          <w:rFonts w:ascii="Times New Roman" w:hAnsi="Times New Roman"/>
          <w:color w:val="000000"/>
          <w:szCs w:val="20"/>
          <w:lang w:val="uk-UA"/>
        </w:rPr>
        <w:tab/>
      </w:r>
      <w:r w:rsidRPr="00E16672">
        <w:rPr>
          <w:rFonts w:ascii="Times New Roman" w:hAnsi="Times New Roman"/>
          <w:color w:val="000000"/>
          <w:szCs w:val="20"/>
          <w:lang w:val="uk-UA"/>
        </w:rPr>
        <w:tab/>
      </w:r>
      <w:r w:rsidRPr="00E16672">
        <w:rPr>
          <w:rFonts w:ascii="Times New Roman" w:hAnsi="Times New Roman"/>
          <w:color w:val="000000"/>
          <w:szCs w:val="20"/>
          <w:lang w:val="uk-UA"/>
        </w:rPr>
        <w:tab/>
      </w:r>
      <w:r w:rsidRPr="00E16672">
        <w:rPr>
          <w:rFonts w:ascii="Times New Roman" w:hAnsi="Times New Roman"/>
          <w:color w:val="000000"/>
          <w:szCs w:val="20"/>
          <w:lang w:val="uk-UA"/>
        </w:rPr>
        <w:tab/>
      </w:r>
      <w:r w:rsidRPr="00E16672">
        <w:rPr>
          <w:rFonts w:ascii="Times New Roman" w:hAnsi="Times New Roman"/>
          <w:color w:val="000000"/>
          <w:szCs w:val="20"/>
          <w:lang w:val="uk-UA"/>
        </w:rPr>
        <w:tab/>
      </w:r>
      <w:r w:rsidRPr="00E16672">
        <w:rPr>
          <w:rFonts w:ascii="Times New Roman" w:hAnsi="Times New Roman"/>
          <w:color w:val="000000"/>
          <w:szCs w:val="20"/>
          <w:lang w:val="uk-UA"/>
        </w:rPr>
        <w:tab/>
      </w:r>
      <w:r w:rsidRPr="00E16672">
        <w:rPr>
          <w:rFonts w:ascii="Times New Roman" w:hAnsi="Times New Roman"/>
          <w:color w:val="000000"/>
          <w:szCs w:val="20"/>
          <w:lang w:val="uk-UA"/>
        </w:rPr>
        <w:tab/>
      </w:r>
      <w:r w:rsidRPr="00E16672">
        <w:rPr>
          <w:rFonts w:ascii="Times New Roman" w:hAnsi="Times New Roman"/>
          <w:color w:val="000000"/>
          <w:szCs w:val="20"/>
          <w:lang w:val="uk-UA"/>
        </w:rPr>
        <w:tab/>
        <w:t xml:space="preserve">      </w:t>
      </w:r>
      <w:r w:rsidRPr="00E16672">
        <w:rPr>
          <w:rFonts w:ascii="Times New Roman" w:hAnsi="Times New Roman"/>
          <w:color w:val="000000"/>
          <w:sz w:val="18"/>
          <w:szCs w:val="18"/>
          <w:lang w:val="uk-UA"/>
        </w:rPr>
        <w:t xml:space="preserve">   (Статуту або власного волевиявлення)</w:t>
      </w:r>
    </w:p>
    <w:p w14:paraId="371F1C49" w14:textId="77777777" w:rsidR="007974E8" w:rsidRPr="00E16672" w:rsidRDefault="007974E8" w:rsidP="007974E8">
      <w:pPr>
        <w:rPr>
          <w:rFonts w:ascii="Times New Roman" w:hAnsi="Times New Roman"/>
          <w:color w:val="000000"/>
          <w:szCs w:val="20"/>
          <w:lang w:val="uk-UA"/>
        </w:rPr>
      </w:pPr>
      <w:r w:rsidRPr="00E16672">
        <w:rPr>
          <w:rFonts w:ascii="Times New Roman" w:hAnsi="Times New Roman"/>
          <w:color w:val="000000"/>
          <w:szCs w:val="20"/>
          <w:lang w:val="uk-UA"/>
        </w:rPr>
        <w:t xml:space="preserve">разом Власник 1 та Власник 2  або </w:t>
      </w:r>
      <w:r w:rsidRPr="00E16672">
        <w:rPr>
          <w:rFonts w:ascii="Times New Roman" w:hAnsi="Times New Roman"/>
          <w:b/>
          <w:bCs/>
          <w:color w:val="000000"/>
          <w:szCs w:val="20"/>
          <w:lang w:val="uk-UA"/>
        </w:rPr>
        <w:t xml:space="preserve">загальний представник співвласників </w:t>
      </w:r>
      <w:r w:rsidRPr="00E16672">
        <w:rPr>
          <w:rFonts w:ascii="Times New Roman" w:hAnsi="Times New Roman"/>
          <w:color w:val="000000"/>
          <w:szCs w:val="20"/>
          <w:lang w:val="uk-UA"/>
        </w:rPr>
        <w:t xml:space="preserve"> ______________________________</w:t>
      </w:r>
      <w:r w:rsidR="00EF78D0">
        <w:rPr>
          <w:rFonts w:ascii="Times New Roman" w:hAnsi="Times New Roman"/>
          <w:color w:val="000000"/>
          <w:szCs w:val="20"/>
          <w:lang w:val="uk-UA"/>
        </w:rPr>
        <w:t>___________________________________________________________________</w:t>
      </w:r>
      <w:r w:rsidRPr="00E16672">
        <w:rPr>
          <w:rFonts w:ascii="Times New Roman" w:hAnsi="Times New Roman"/>
          <w:color w:val="000000"/>
          <w:szCs w:val="20"/>
          <w:lang w:val="uk-UA"/>
        </w:rPr>
        <w:t xml:space="preserve">_________   </w:t>
      </w:r>
      <w:r w:rsidRPr="00E16672">
        <w:rPr>
          <w:rFonts w:ascii="Times New Roman" w:hAnsi="Times New Roman"/>
          <w:color w:val="000000"/>
          <w:szCs w:val="20"/>
          <w:lang w:val="uk-UA"/>
        </w:rPr>
        <w:tab/>
        <w:t xml:space="preserve"> </w:t>
      </w:r>
      <w:r w:rsidRPr="00E16672">
        <w:rPr>
          <w:rFonts w:ascii="Times New Roman" w:hAnsi="Times New Roman"/>
          <w:color w:val="000000"/>
          <w:szCs w:val="20"/>
          <w:lang w:val="uk-UA"/>
        </w:rPr>
        <w:tab/>
      </w:r>
    </w:p>
    <w:p w14:paraId="3F8CE7F9" w14:textId="77777777" w:rsidR="007974E8" w:rsidRPr="00E16672" w:rsidRDefault="007974E8" w:rsidP="007974E8">
      <w:pPr>
        <w:rPr>
          <w:rFonts w:ascii="Times New Roman" w:hAnsi="Times New Roman"/>
          <w:color w:val="000000"/>
          <w:szCs w:val="20"/>
          <w:lang w:val="uk-UA"/>
        </w:rPr>
      </w:pPr>
      <w:r w:rsidRPr="00E16672">
        <w:rPr>
          <w:rFonts w:ascii="Times New Roman" w:hAnsi="Times New Roman"/>
          <w:color w:val="000000"/>
          <w:sz w:val="18"/>
          <w:szCs w:val="18"/>
          <w:lang w:val="uk-UA"/>
        </w:rPr>
        <w:t>(</w:t>
      </w:r>
      <w:r w:rsidRPr="00E16672">
        <w:rPr>
          <w:rFonts w:ascii="Times New Roman" w:hAnsi="Times New Roman"/>
          <w:i/>
          <w:color w:val="000000"/>
          <w:sz w:val="18"/>
          <w:szCs w:val="18"/>
          <w:lang w:val="uk-UA"/>
        </w:rPr>
        <w:t>Найменування або ПІБ власника</w:t>
      </w:r>
      <w:r w:rsidRPr="00E16672">
        <w:rPr>
          <w:rFonts w:ascii="Times New Roman" w:hAnsi="Times New Roman"/>
          <w:color w:val="000000"/>
          <w:sz w:val="18"/>
          <w:szCs w:val="18"/>
          <w:lang w:val="uk-UA"/>
        </w:rPr>
        <w:t>)</w:t>
      </w:r>
      <w:r w:rsidRPr="00E16672">
        <w:rPr>
          <w:rFonts w:ascii="Times New Roman" w:hAnsi="Times New Roman"/>
          <w:color w:val="000000"/>
          <w:szCs w:val="20"/>
          <w:lang w:val="uk-UA"/>
        </w:rPr>
        <w:t xml:space="preserve"> </w:t>
      </w:r>
    </w:p>
    <w:p w14:paraId="1BAC11ED" w14:textId="77777777" w:rsidR="007974E8" w:rsidRPr="00E16672" w:rsidRDefault="007974E8" w:rsidP="007974E8">
      <w:pPr>
        <w:ind w:firstLine="14"/>
        <w:rPr>
          <w:rFonts w:ascii="Times New Roman" w:hAnsi="Times New Roman"/>
          <w:color w:val="000000"/>
          <w:szCs w:val="20"/>
          <w:lang w:val="uk-UA"/>
        </w:rPr>
      </w:pPr>
      <w:r w:rsidRPr="00E16672">
        <w:rPr>
          <w:rFonts w:ascii="Times New Roman" w:hAnsi="Times New Roman"/>
          <w:color w:val="000000"/>
          <w:szCs w:val="20"/>
          <w:lang w:val="uk-UA"/>
        </w:rPr>
        <w:t>________________</w:t>
      </w:r>
      <w:r w:rsidR="00EF78D0">
        <w:rPr>
          <w:rFonts w:ascii="Times New Roman" w:hAnsi="Times New Roman"/>
          <w:color w:val="000000"/>
          <w:szCs w:val="20"/>
          <w:lang w:val="uk-UA"/>
        </w:rPr>
        <w:t>______________________________________________________</w:t>
      </w:r>
      <w:r w:rsidRPr="00E16672">
        <w:rPr>
          <w:rFonts w:ascii="Times New Roman" w:hAnsi="Times New Roman"/>
          <w:color w:val="000000"/>
          <w:szCs w:val="20"/>
          <w:lang w:val="uk-UA"/>
        </w:rPr>
        <w:t>_____________________, або (паспорт серія __ № _______ виданий “___”______20__р.</w:t>
      </w:r>
    </w:p>
    <w:p w14:paraId="33387C1A" w14:textId="77777777" w:rsidR="007974E8" w:rsidRPr="00E16672" w:rsidRDefault="007974E8" w:rsidP="007974E8">
      <w:pPr>
        <w:rPr>
          <w:rFonts w:ascii="Times New Roman" w:hAnsi="Times New Roman"/>
          <w:color w:val="000000"/>
          <w:szCs w:val="20"/>
          <w:lang w:val="uk-UA"/>
        </w:rPr>
      </w:pPr>
      <w:r w:rsidRPr="00E16672">
        <w:rPr>
          <w:rFonts w:ascii="Times New Roman" w:hAnsi="Times New Roman"/>
          <w:color w:val="000000"/>
          <w:szCs w:val="20"/>
          <w:lang w:val="uk-UA"/>
        </w:rPr>
        <w:tab/>
      </w:r>
      <w:r w:rsidRPr="00E16672">
        <w:rPr>
          <w:rFonts w:ascii="Times New Roman" w:hAnsi="Times New Roman"/>
          <w:color w:val="000000"/>
          <w:sz w:val="18"/>
          <w:szCs w:val="18"/>
          <w:lang w:val="uk-UA"/>
        </w:rPr>
        <w:t>(</w:t>
      </w:r>
      <w:r w:rsidRPr="00E16672">
        <w:rPr>
          <w:rFonts w:ascii="Times New Roman" w:hAnsi="Times New Roman"/>
          <w:i/>
          <w:color w:val="000000"/>
          <w:sz w:val="18"/>
          <w:szCs w:val="18"/>
          <w:lang w:val="uk-UA"/>
        </w:rPr>
        <w:t>Посада, ПІБ керівника</w:t>
      </w:r>
      <w:r w:rsidRPr="00E16672">
        <w:rPr>
          <w:rFonts w:ascii="Times New Roman" w:hAnsi="Times New Roman"/>
          <w:color w:val="000000"/>
          <w:sz w:val="18"/>
          <w:szCs w:val="18"/>
          <w:lang w:val="uk-UA"/>
        </w:rPr>
        <w:t>)</w:t>
      </w:r>
      <w:r w:rsidRPr="00E16672">
        <w:rPr>
          <w:rFonts w:ascii="Times New Roman" w:hAnsi="Times New Roman"/>
          <w:color w:val="000000"/>
          <w:szCs w:val="20"/>
          <w:lang w:val="uk-UA"/>
        </w:rPr>
        <w:tab/>
      </w:r>
      <w:r w:rsidRPr="00E16672">
        <w:rPr>
          <w:rFonts w:ascii="Times New Roman" w:hAnsi="Times New Roman"/>
          <w:color w:val="000000"/>
          <w:szCs w:val="20"/>
          <w:lang w:val="uk-UA"/>
        </w:rPr>
        <w:tab/>
      </w:r>
      <w:r w:rsidRPr="00E16672">
        <w:rPr>
          <w:rFonts w:ascii="Times New Roman" w:hAnsi="Times New Roman"/>
          <w:color w:val="000000"/>
          <w:szCs w:val="20"/>
          <w:lang w:val="uk-UA"/>
        </w:rPr>
        <w:tab/>
      </w:r>
    </w:p>
    <w:p w14:paraId="18FDC478" w14:textId="77777777" w:rsidR="007974E8" w:rsidRPr="00E16672" w:rsidRDefault="007974E8" w:rsidP="007974E8">
      <w:pPr>
        <w:ind w:firstLine="14"/>
        <w:rPr>
          <w:rFonts w:ascii="Times New Roman" w:hAnsi="Times New Roman"/>
          <w:color w:val="000000"/>
          <w:szCs w:val="20"/>
          <w:lang w:val="uk-UA"/>
        </w:rPr>
      </w:pPr>
      <w:r w:rsidRPr="00E16672">
        <w:rPr>
          <w:rFonts w:ascii="Times New Roman" w:hAnsi="Times New Roman"/>
          <w:color w:val="000000"/>
          <w:szCs w:val="20"/>
          <w:lang w:val="uk-UA"/>
        </w:rPr>
        <w:t>___________</w:t>
      </w:r>
      <w:r w:rsidR="00EF78D0">
        <w:rPr>
          <w:rFonts w:ascii="Times New Roman" w:hAnsi="Times New Roman"/>
          <w:color w:val="000000"/>
          <w:szCs w:val="20"/>
          <w:lang w:val="uk-UA"/>
        </w:rPr>
        <w:t>_______________________</w:t>
      </w:r>
      <w:r w:rsidRPr="00E16672">
        <w:rPr>
          <w:rFonts w:ascii="Times New Roman" w:hAnsi="Times New Roman"/>
          <w:color w:val="000000"/>
          <w:szCs w:val="20"/>
          <w:lang w:val="uk-UA"/>
        </w:rPr>
        <w:t xml:space="preserve">________________________________), що діє на підставі нотаріально засвідченої </w:t>
      </w:r>
      <w:proofErr w:type="spellStart"/>
      <w:r w:rsidRPr="00E16672">
        <w:rPr>
          <w:rFonts w:ascii="Times New Roman" w:hAnsi="Times New Roman"/>
          <w:color w:val="000000"/>
          <w:szCs w:val="20"/>
          <w:lang w:val="uk-UA"/>
        </w:rPr>
        <w:t>довірености</w:t>
      </w:r>
      <w:proofErr w:type="spellEnd"/>
      <w:r w:rsidRPr="00E16672">
        <w:rPr>
          <w:rFonts w:ascii="Times New Roman" w:hAnsi="Times New Roman"/>
          <w:color w:val="000000"/>
          <w:szCs w:val="20"/>
          <w:lang w:val="uk-UA"/>
        </w:rPr>
        <w:t xml:space="preserve"> № _____ від “___”______20__р., наданої співвласниками, (надалі — Депонент),  з другої сторони, а разом</w:t>
      </w:r>
      <w:r w:rsidRPr="00E16672">
        <w:rPr>
          <w:rFonts w:ascii="Times New Roman" w:hAnsi="Times New Roman"/>
          <w:color w:val="000000"/>
          <w:szCs w:val="20"/>
          <w:vertAlign w:val="subscript"/>
          <w:lang w:val="uk-UA"/>
        </w:rPr>
        <w:t xml:space="preserve"> </w:t>
      </w:r>
      <w:r w:rsidRPr="00E16672">
        <w:rPr>
          <w:rFonts w:ascii="Times New Roman" w:hAnsi="Times New Roman"/>
          <w:color w:val="000000"/>
          <w:szCs w:val="20"/>
          <w:lang w:val="uk-UA"/>
        </w:rPr>
        <w:t>надалі іменовані Сторони, уклали цей Договір про обслуговування рахунка в цінних паперах (надалі – Договір) про наступне:</w:t>
      </w:r>
    </w:p>
    <w:p w14:paraId="5A66ECF5" w14:textId="77777777" w:rsidR="007974E8" w:rsidRPr="00E16672" w:rsidRDefault="007974E8" w:rsidP="007974E8">
      <w:pPr>
        <w:pStyle w:val="ab"/>
        <w:rPr>
          <w:rFonts w:ascii="Times New Roman" w:hAnsi="Times New Roman"/>
          <w:color w:val="000000"/>
        </w:rPr>
      </w:pPr>
    </w:p>
    <w:p w14:paraId="399D6A24" w14:textId="77777777" w:rsidR="007974E8" w:rsidRPr="00E16672" w:rsidRDefault="007974E8" w:rsidP="007974E8">
      <w:pPr>
        <w:jc w:val="center"/>
        <w:rPr>
          <w:rFonts w:ascii="Times New Roman" w:hAnsi="Times New Roman"/>
          <w:b/>
          <w:color w:val="000000"/>
          <w:szCs w:val="20"/>
          <w:lang w:val="uk-UA"/>
        </w:rPr>
      </w:pPr>
      <w:r w:rsidRPr="00E16672">
        <w:rPr>
          <w:rFonts w:ascii="Times New Roman" w:hAnsi="Times New Roman"/>
          <w:b/>
          <w:color w:val="000000"/>
          <w:szCs w:val="20"/>
          <w:lang w:val="uk-UA"/>
        </w:rPr>
        <w:t>1. Предмет Договору</w:t>
      </w:r>
    </w:p>
    <w:p w14:paraId="66FDB992" w14:textId="77777777" w:rsidR="007974E8" w:rsidRPr="00E16672" w:rsidRDefault="007974E8" w:rsidP="007974E8">
      <w:pPr>
        <w:pStyle w:val="ab"/>
        <w:ind w:firstLine="538"/>
        <w:jc w:val="both"/>
        <w:rPr>
          <w:rFonts w:ascii="Times New Roman" w:hAnsi="Times New Roman"/>
          <w:b w:val="0"/>
          <w:color w:val="000000"/>
        </w:rPr>
      </w:pPr>
      <w:r w:rsidRPr="00E16672">
        <w:rPr>
          <w:rFonts w:ascii="Times New Roman" w:hAnsi="Times New Roman"/>
          <w:b w:val="0"/>
          <w:color w:val="000000"/>
        </w:rPr>
        <w:t xml:space="preserve">1.1. Депозитарна установа зобов’язується у порядку, передбаченому законодавством, внутрішніми документами Депозитарної установи та цим Договором, надавати послуги щодо відкриття та обслуговування рахунку </w:t>
      </w:r>
      <w:r w:rsidR="00C22309" w:rsidRPr="00E16672">
        <w:rPr>
          <w:rFonts w:ascii="Times New Roman" w:hAnsi="Times New Roman"/>
          <w:b w:val="0"/>
          <w:color w:val="000000"/>
        </w:rPr>
        <w:t>в цін</w:t>
      </w:r>
      <w:r w:rsidRPr="00E16672">
        <w:rPr>
          <w:rFonts w:ascii="Times New Roman" w:hAnsi="Times New Roman"/>
          <w:b w:val="0"/>
          <w:color w:val="000000"/>
        </w:rPr>
        <w:t xml:space="preserve">них паперах </w:t>
      </w:r>
      <w:r w:rsidRPr="00E16672">
        <w:rPr>
          <w:rFonts w:ascii="Times New Roman" w:hAnsi="Times New Roman"/>
          <w:b w:val="0"/>
        </w:rPr>
        <w:t xml:space="preserve">Депонента, та вести на ньому облік цінних паперів, що належать Депоненту, а також облік прав Депонента на цінні папери, що обліковуються на  рахунку </w:t>
      </w:r>
      <w:r w:rsidR="00C22309" w:rsidRPr="00E16672">
        <w:rPr>
          <w:rFonts w:ascii="Times New Roman" w:hAnsi="Times New Roman"/>
          <w:b w:val="0"/>
        </w:rPr>
        <w:t>в цін</w:t>
      </w:r>
      <w:r w:rsidRPr="00E16672">
        <w:rPr>
          <w:rFonts w:ascii="Times New Roman" w:hAnsi="Times New Roman"/>
          <w:b w:val="0"/>
        </w:rPr>
        <w:t xml:space="preserve">них паперах, та обмеження таких прав,  проводити депозитарні операції за рахунком </w:t>
      </w:r>
      <w:r w:rsidR="00C22309" w:rsidRPr="00E16672">
        <w:rPr>
          <w:rFonts w:ascii="Times New Roman" w:hAnsi="Times New Roman"/>
          <w:b w:val="0"/>
        </w:rPr>
        <w:t>в цін</w:t>
      </w:r>
      <w:r w:rsidRPr="00E16672">
        <w:rPr>
          <w:rFonts w:ascii="Times New Roman" w:hAnsi="Times New Roman"/>
          <w:b w:val="0"/>
        </w:rPr>
        <w:t>них паперах Депонента на підставі розпоряджень</w:t>
      </w:r>
      <w:r w:rsidRPr="00E16672">
        <w:rPr>
          <w:rFonts w:ascii="Times New Roman" w:hAnsi="Times New Roman"/>
          <w:b w:val="0"/>
          <w:color w:val="000000"/>
        </w:rPr>
        <w:t xml:space="preserve"> Депонента та в інший спосіб, передбачений законодавством, а також надавати інші послуги у процесі провадження депозитарної діяльності відповідно до Положення про провадження депозитарної діяльності, затвердженого рішенням Національної комісії з цінних паперів та фондового ринку від 23.04.2013 року № 735, зареєстрованого в Міністерстві юстиції України 27.06.2013 року № 1084/23616 (далі – Положення про провадження депозитарної діяльності), а Депонент зобов’язується оплатити послуги Депозитарної установи.</w:t>
      </w:r>
    </w:p>
    <w:p w14:paraId="2EC515B8" w14:textId="77777777" w:rsidR="007974E8" w:rsidRPr="00E16672" w:rsidRDefault="007974E8" w:rsidP="00022F5F">
      <w:pPr>
        <w:pStyle w:val="ab"/>
        <w:ind w:firstLine="538"/>
        <w:jc w:val="left"/>
        <w:rPr>
          <w:rFonts w:ascii="Times New Roman" w:hAnsi="Times New Roman"/>
          <w:b w:val="0"/>
        </w:rPr>
      </w:pPr>
      <w:r w:rsidRPr="00E16672">
        <w:rPr>
          <w:rFonts w:ascii="Times New Roman" w:hAnsi="Times New Roman"/>
          <w:b w:val="0"/>
        </w:rPr>
        <w:t xml:space="preserve">1.2. Цінні папери (фінансовий актив) Депонента, права на які обліковуються Депозитарною установою відповідно до умов цього Договору, зберігаються Центральним депозитарієм цінних паперів відповідно до Закону України </w:t>
      </w:r>
      <w:r w:rsidR="00022F5F">
        <w:rPr>
          <w:rFonts w:ascii="Times New Roman" w:hAnsi="Times New Roman"/>
          <w:b w:val="0"/>
        </w:rPr>
        <w:t>"</w:t>
      </w:r>
      <w:r w:rsidRPr="00E16672">
        <w:rPr>
          <w:rFonts w:ascii="Times New Roman" w:hAnsi="Times New Roman"/>
          <w:b w:val="0"/>
        </w:rPr>
        <w:t>Про депозитарну систему України</w:t>
      </w:r>
      <w:r w:rsidR="00022F5F">
        <w:rPr>
          <w:rFonts w:ascii="Times New Roman" w:hAnsi="Times New Roman"/>
          <w:b w:val="0"/>
        </w:rPr>
        <w:t>"</w:t>
      </w:r>
      <w:r w:rsidRPr="00E16672">
        <w:rPr>
          <w:rFonts w:ascii="Times New Roman" w:hAnsi="Times New Roman"/>
          <w:b w:val="0"/>
        </w:rPr>
        <w:t>.</w:t>
      </w:r>
    </w:p>
    <w:p w14:paraId="59DEFB19" w14:textId="77777777" w:rsidR="007974E8" w:rsidRPr="00E16672" w:rsidRDefault="007974E8" w:rsidP="007974E8">
      <w:pPr>
        <w:pStyle w:val="22"/>
        <w:ind w:firstLine="567"/>
        <w:rPr>
          <w:rFonts w:ascii="Times New Roman" w:hAnsi="Times New Roman"/>
        </w:rPr>
      </w:pPr>
      <w:r w:rsidRPr="00E16672">
        <w:rPr>
          <w:rFonts w:ascii="Times New Roman" w:hAnsi="Times New Roman"/>
        </w:rPr>
        <w:t xml:space="preserve">1.3. Виконання Депозитарною установою додаткових послуг та операцій, що не протирічать чинному законодавству України, оформлюється додатковими угодами, які з моменту їх підписання стають невід’ємною частиною цього Договору. </w:t>
      </w:r>
    </w:p>
    <w:p w14:paraId="5A53E451" w14:textId="77777777" w:rsidR="007974E8" w:rsidRPr="00E16672" w:rsidRDefault="007974E8" w:rsidP="007974E8">
      <w:pPr>
        <w:tabs>
          <w:tab w:val="left" w:pos="450"/>
        </w:tabs>
        <w:rPr>
          <w:rFonts w:ascii="Times New Roman" w:hAnsi="Times New Roman"/>
          <w:b/>
          <w:color w:val="000000"/>
          <w:szCs w:val="20"/>
          <w:lang w:val="uk-UA"/>
        </w:rPr>
      </w:pPr>
    </w:p>
    <w:p w14:paraId="5F6AE964" w14:textId="77777777" w:rsidR="007974E8" w:rsidRPr="00E16672" w:rsidRDefault="007974E8" w:rsidP="007974E8">
      <w:pPr>
        <w:tabs>
          <w:tab w:val="left" w:pos="450"/>
        </w:tabs>
        <w:jc w:val="center"/>
        <w:rPr>
          <w:rFonts w:ascii="Times New Roman" w:hAnsi="Times New Roman"/>
          <w:b/>
          <w:color w:val="000000"/>
          <w:szCs w:val="20"/>
          <w:lang w:val="uk-UA"/>
        </w:rPr>
      </w:pPr>
      <w:r w:rsidRPr="00E16672">
        <w:rPr>
          <w:rFonts w:ascii="Times New Roman" w:hAnsi="Times New Roman"/>
          <w:b/>
          <w:color w:val="000000"/>
          <w:szCs w:val="20"/>
          <w:lang w:val="uk-UA"/>
        </w:rPr>
        <w:t xml:space="preserve">2. Права та обов’язки сторін </w:t>
      </w:r>
    </w:p>
    <w:p w14:paraId="238885BC" w14:textId="77777777" w:rsidR="00FE12A6" w:rsidRPr="00E16672" w:rsidRDefault="00FE12A6" w:rsidP="007974E8">
      <w:pPr>
        <w:tabs>
          <w:tab w:val="left" w:pos="450"/>
        </w:tabs>
        <w:jc w:val="center"/>
        <w:rPr>
          <w:rFonts w:ascii="Times New Roman" w:hAnsi="Times New Roman"/>
          <w:b/>
          <w:color w:val="000000"/>
          <w:szCs w:val="20"/>
          <w:lang w:val="uk-UA"/>
        </w:rPr>
      </w:pPr>
    </w:p>
    <w:p w14:paraId="477F400F" w14:textId="77777777" w:rsidR="007974E8" w:rsidRPr="00E16672" w:rsidRDefault="007974E8" w:rsidP="007974E8">
      <w:pPr>
        <w:tabs>
          <w:tab w:val="left" w:pos="450"/>
        </w:tabs>
        <w:rPr>
          <w:rFonts w:ascii="Times New Roman" w:hAnsi="Times New Roman"/>
          <w:b/>
          <w:color w:val="000000"/>
          <w:szCs w:val="20"/>
          <w:lang w:val="uk-UA"/>
        </w:rPr>
      </w:pPr>
      <w:r w:rsidRPr="00E16672">
        <w:rPr>
          <w:rFonts w:ascii="Times New Roman" w:hAnsi="Times New Roman"/>
          <w:color w:val="000000"/>
          <w:szCs w:val="20"/>
          <w:lang w:val="uk-UA"/>
        </w:rPr>
        <w:tab/>
      </w:r>
      <w:r w:rsidRPr="00E16672">
        <w:rPr>
          <w:rFonts w:ascii="Times New Roman" w:hAnsi="Times New Roman"/>
          <w:b/>
          <w:color w:val="000000"/>
          <w:szCs w:val="20"/>
          <w:lang w:val="uk-UA"/>
        </w:rPr>
        <w:t>2.1. Депозитарна установа зобов’язана:</w:t>
      </w:r>
    </w:p>
    <w:p w14:paraId="77C95337" w14:textId="77777777" w:rsidR="007974E8" w:rsidRPr="00E16672" w:rsidRDefault="007974E8" w:rsidP="002C163A">
      <w:pPr>
        <w:tabs>
          <w:tab w:val="left" w:pos="851"/>
        </w:tabs>
        <w:rPr>
          <w:rFonts w:ascii="Times New Roman" w:hAnsi="Times New Roman"/>
          <w:color w:val="000000"/>
          <w:szCs w:val="20"/>
          <w:lang w:val="uk-UA"/>
        </w:rPr>
      </w:pPr>
      <w:r w:rsidRPr="00E16672">
        <w:rPr>
          <w:rFonts w:ascii="Times New Roman" w:hAnsi="Times New Roman"/>
          <w:color w:val="000000"/>
          <w:szCs w:val="20"/>
          <w:lang w:val="uk-UA"/>
        </w:rPr>
        <w:t xml:space="preserve">2.1.1 Відкрити Депоненту рахунок </w:t>
      </w:r>
      <w:r w:rsidR="00C22309" w:rsidRPr="00E16672">
        <w:rPr>
          <w:rFonts w:ascii="Times New Roman" w:hAnsi="Times New Roman"/>
          <w:color w:val="000000"/>
          <w:szCs w:val="20"/>
          <w:lang w:val="uk-UA"/>
        </w:rPr>
        <w:t>в цін</w:t>
      </w:r>
      <w:r w:rsidRPr="00E16672">
        <w:rPr>
          <w:rFonts w:ascii="Times New Roman" w:hAnsi="Times New Roman"/>
          <w:color w:val="000000"/>
          <w:szCs w:val="20"/>
          <w:lang w:val="uk-UA"/>
        </w:rPr>
        <w:t xml:space="preserve">них паперах протягом </w:t>
      </w:r>
      <w:r w:rsidRPr="00E16672">
        <w:rPr>
          <w:rFonts w:ascii="Times New Roman" w:hAnsi="Times New Roman"/>
          <w:i/>
          <w:color w:val="000000"/>
          <w:szCs w:val="20"/>
          <w:lang w:val="uk-UA"/>
        </w:rPr>
        <w:t xml:space="preserve">п'яти </w:t>
      </w:r>
      <w:r w:rsidRPr="00E16672">
        <w:rPr>
          <w:rFonts w:ascii="Times New Roman" w:hAnsi="Times New Roman"/>
          <w:color w:val="000000"/>
          <w:szCs w:val="20"/>
          <w:lang w:val="uk-UA"/>
        </w:rPr>
        <w:t xml:space="preserve">робочих днів після подання Депонентом визначених законодавством документів для відкриття рахунку в цінних паперах. Якщо Депонент є платником податків, видаткові операції на рахунку </w:t>
      </w:r>
      <w:r w:rsidR="00C22309" w:rsidRPr="00E16672">
        <w:rPr>
          <w:rFonts w:ascii="Times New Roman" w:hAnsi="Times New Roman"/>
          <w:color w:val="000000"/>
          <w:szCs w:val="20"/>
          <w:lang w:val="uk-UA"/>
        </w:rPr>
        <w:t>в цін</w:t>
      </w:r>
      <w:r w:rsidRPr="00E16672">
        <w:rPr>
          <w:rFonts w:ascii="Times New Roman" w:hAnsi="Times New Roman"/>
          <w:color w:val="000000"/>
          <w:szCs w:val="20"/>
          <w:lang w:val="uk-UA"/>
        </w:rPr>
        <w:t>них паперах здійснюються після узяття рахунку на облік в органах державної податкової служби.</w:t>
      </w:r>
    </w:p>
    <w:p w14:paraId="018A6809" w14:textId="77777777" w:rsidR="007974E8" w:rsidRPr="00E16672" w:rsidRDefault="007974E8" w:rsidP="007974E8">
      <w:pPr>
        <w:tabs>
          <w:tab w:val="left" w:pos="851"/>
        </w:tabs>
        <w:ind w:firstLine="539"/>
        <w:rPr>
          <w:rFonts w:ascii="Times New Roman" w:hAnsi="Times New Roman"/>
          <w:color w:val="000000"/>
          <w:szCs w:val="20"/>
          <w:lang w:val="uk-UA"/>
        </w:rPr>
      </w:pPr>
      <w:r w:rsidRPr="00E16672">
        <w:rPr>
          <w:rFonts w:ascii="Times New Roman" w:hAnsi="Times New Roman"/>
          <w:color w:val="000000"/>
          <w:szCs w:val="20"/>
          <w:lang w:val="uk-UA"/>
        </w:rPr>
        <w:t xml:space="preserve">2.1.2. </w:t>
      </w:r>
      <w:r w:rsidRPr="00E16672">
        <w:rPr>
          <w:rFonts w:ascii="Times New Roman" w:hAnsi="Times New Roman"/>
          <w:szCs w:val="20"/>
          <w:lang w:val="uk-UA"/>
        </w:rPr>
        <w:t xml:space="preserve">Ознайомити Депонента з внутрішніми документами (витягами з внутрішніх документів, діючими тарифами, що є чинними на час підписання цього Договору) Депозитарної установи, які регламентують відносини Депонента та Депозитарної установи стосовно порядку виконання розпоряджень Депонента, отримання виписок про стан рахунку </w:t>
      </w:r>
      <w:r w:rsidR="00C22309" w:rsidRPr="00E16672">
        <w:rPr>
          <w:rFonts w:ascii="Times New Roman" w:hAnsi="Times New Roman"/>
          <w:szCs w:val="20"/>
          <w:lang w:val="uk-UA"/>
        </w:rPr>
        <w:t>в цін</w:t>
      </w:r>
      <w:r w:rsidRPr="00E16672">
        <w:rPr>
          <w:rFonts w:ascii="Times New Roman" w:hAnsi="Times New Roman"/>
          <w:szCs w:val="20"/>
          <w:lang w:val="uk-UA"/>
        </w:rPr>
        <w:t xml:space="preserve">них </w:t>
      </w:r>
      <w:r w:rsidRPr="00E16672">
        <w:rPr>
          <w:rFonts w:ascii="Times New Roman" w:hAnsi="Times New Roman"/>
          <w:color w:val="000000"/>
          <w:szCs w:val="20"/>
          <w:lang w:val="uk-UA"/>
        </w:rPr>
        <w:t xml:space="preserve">паперах Депонента та про операції з цінними паперами, інформаційних довідок про незавершені операції з цінними паперами по рахунку в цінних паперах Депонента та інших інформаційних довідок, шляхом оприлюднення на </w:t>
      </w:r>
      <w:r w:rsidRPr="00E16672">
        <w:rPr>
          <w:rFonts w:ascii="Times New Roman" w:hAnsi="Times New Roman"/>
          <w:bCs/>
          <w:color w:val="000000"/>
          <w:szCs w:val="20"/>
          <w:lang w:val="uk-UA"/>
        </w:rPr>
        <w:t xml:space="preserve">веб-сторінці </w:t>
      </w:r>
      <w:r w:rsidRPr="00E16672">
        <w:rPr>
          <w:rFonts w:ascii="Times New Roman" w:hAnsi="Times New Roman"/>
          <w:color w:val="000000"/>
          <w:szCs w:val="20"/>
          <w:lang w:val="uk-UA"/>
        </w:rPr>
        <w:t xml:space="preserve">Депозитарної установи </w:t>
      </w:r>
      <w:r w:rsidR="00E16672">
        <w:rPr>
          <w:rFonts w:ascii="Times New Roman" w:hAnsi="Times New Roman"/>
          <w:color w:val="000000"/>
          <w:szCs w:val="20"/>
          <w:lang w:val="uk-UA"/>
        </w:rPr>
        <w:t>http://comex.uafin.net</w:t>
      </w:r>
      <w:r w:rsidRPr="00E16672">
        <w:rPr>
          <w:rFonts w:ascii="Times New Roman" w:hAnsi="Times New Roman"/>
          <w:color w:val="000000"/>
          <w:szCs w:val="20"/>
          <w:lang w:val="uk-UA"/>
        </w:rPr>
        <w:t xml:space="preserve">, та в подальшому ознайомлювати Депонента зі змінами та доповненнями до цих документів (витягів з внутрішніх документів, діючих тарифів) шляхом розміщення протягом </w:t>
      </w:r>
      <w:r w:rsidRPr="00E16672">
        <w:rPr>
          <w:rFonts w:ascii="Times New Roman" w:hAnsi="Times New Roman"/>
          <w:i/>
          <w:color w:val="000000"/>
          <w:szCs w:val="20"/>
          <w:lang w:val="uk-UA"/>
        </w:rPr>
        <w:t>п'яти</w:t>
      </w:r>
      <w:r w:rsidRPr="00E16672">
        <w:rPr>
          <w:rFonts w:ascii="Times New Roman" w:hAnsi="Times New Roman"/>
          <w:color w:val="000000"/>
          <w:szCs w:val="20"/>
          <w:lang w:val="uk-UA"/>
        </w:rPr>
        <w:t xml:space="preserve"> робочих днів після затвердження змін відповідної інформації та тексту внутрішніх документів (витягів з внутрішніх документів) на </w:t>
      </w:r>
      <w:r w:rsidRPr="00E16672">
        <w:rPr>
          <w:rFonts w:ascii="Times New Roman" w:hAnsi="Times New Roman"/>
          <w:bCs/>
          <w:color w:val="000000"/>
          <w:szCs w:val="20"/>
          <w:lang w:val="uk-UA"/>
        </w:rPr>
        <w:t xml:space="preserve">веб-сторінці </w:t>
      </w:r>
      <w:r w:rsidRPr="00E16672">
        <w:rPr>
          <w:rFonts w:ascii="Times New Roman" w:hAnsi="Times New Roman"/>
          <w:color w:val="000000"/>
          <w:szCs w:val="20"/>
          <w:lang w:val="uk-UA"/>
        </w:rPr>
        <w:t xml:space="preserve">Депозитарної установи </w:t>
      </w:r>
      <w:r w:rsidR="00E16672">
        <w:rPr>
          <w:rFonts w:ascii="Times New Roman" w:hAnsi="Times New Roman"/>
          <w:color w:val="000000"/>
          <w:szCs w:val="20"/>
          <w:lang w:val="uk-UA"/>
        </w:rPr>
        <w:t>http://comex.uafin.net</w:t>
      </w:r>
      <w:r w:rsidRPr="00E16672">
        <w:rPr>
          <w:rFonts w:ascii="Times New Roman" w:hAnsi="Times New Roman"/>
          <w:color w:val="000000"/>
          <w:szCs w:val="20"/>
          <w:lang w:val="uk-UA"/>
        </w:rPr>
        <w:t>.</w:t>
      </w:r>
    </w:p>
    <w:p w14:paraId="35C5C8E8" w14:textId="77777777" w:rsidR="007974E8" w:rsidRPr="00E16672" w:rsidRDefault="007974E8" w:rsidP="007974E8">
      <w:pPr>
        <w:tabs>
          <w:tab w:val="left" w:pos="851"/>
        </w:tabs>
        <w:ind w:firstLine="539"/>
        <w:rPr>
          <w:rFonts w:ascii="Times New Roman" w:hAnsi="Times New Roman"/>
          <w:szCs w:val="20"/>
          <w:lang w:val="uk-UA"/>
        </w:rPr>
      </w:pPr>
      <w:r w:rsidRPr="00E16672">
        <w:rPr>
          <w:rFonts w:ascii="Times New Roman" w:hAnsi="Times New Roman"/>
          <w:color w:val="000000"/>
          <w:szCs w:val="20"/>
          <w:lang w:val="uk-UA"/>
        </w:rPr>
        <w:t>2.1.3. Здійснювати облік цінних паперів, що належать</w:t>
      </w:r>
      <w:r w:rsidRPr="00E16672">
        <w:rPr>
          <w:rFonts w:ascii="Times New Roman" w:hAnsi="Times New Roman"/>
          <w:szCs w:val="20"/>
          <w:lang w:val="uk-UA"/>
        </w:rPr>
        <w:t xml:space="preserve"> Депоненту, на рахунку </w:t>
      </w:r>
      <w:r w:rsidR="00C22309" w:rsidRPr="00E16672">
        <w:rPr>
          <w:rFonts w:ascii="Times New Roman" w:hAnsi="Times New Roman"/>
          <w:szCs w:val="20"/>
          <w:lang w:val="uk-UA"/>
        </w:rPr>
        <w:t>в цін</w:t>
      </w:r>
      <w:r w:rsidRPr="00E16672">
        <w:rPr>
          <w:rFonts w:ascii="Times New Roman" w:hAnsi="Times New Roman"/>
          <w:szCs w:val="20"/>
          <w:lang w:val="uk-UA"/>
        </w:rPr>
        <w:t>них паперах.</w:t>
      </w:r>
    </w:p>
    <w:p w14:paraId="7FB9497D" w14:textId="77777777" w:rsidR="007974E8" w:rsidRPr="00E16672" w:rsidRDefault="007974E8" w:rsidP="00022F5F">
      <w:pPr>
        <w:tabs>
          <w:tab w:val="left" w:pos="851"/>
        </w:tabs>
        <w:ind w:firstLine="539"/>
        <w:jc w:val="left"/>
        <w:rPr>
          <w:rFonts w:ascii="Times New Roman" w:hAnsi="Times New Roman"/>
          <w:bCs/>
          <w:szCs w:val="20"/>
          <w:lang w:val="uk-UA"/>
        </w:rPr>
      </w:pPr>
      <w:r w:rsidRPr="00E16672">
        <w:rPr>
          <w:rFonts w:ascii="Times New Roman" w:hAnsi="Times New Roman"/>
          <w:szCs w:val="20"/>
          <w:lang w:val="uk-UA"/>
        </w:rPr>
        <w:lastRenderedPageBreak/>
        <w:t xml:space="preserve">2.1.4. Здійснювати облік прав Депонента на цінні папери, що обліковуються на певному рахунку </w:t>
      </w:r>
      <w:r w:rsidR="00C22309" w:rsidRPr="00E16672">
        <w:rPr>
          <w:rFonts w:ascii="Times New Roman" w:hAnsi="Times New Roman"/>
          <w:szCs w:val="20"/>
          <w:lang w:val="uk-UA"/>
        </w:rPr>
        <w:t>в цін</w:t>
      </w:r>
      <w:r w:rsidRPr="00E16672">
        <w:rPr>
          <w:rFonts w:ascii="Times New Roman" w:hAnsi="Times New Roman"/>
          <w:szCs w:val="20"/>
          <w:lang w:val="uk-UA"/>
        </w:rPr>
        <w:t xml:space="preserve">них паперах, та обмеження таких прав, у тому числі відокремлений </w:t>
      </w:r>
      <w:r w:rsidRPr="00E16672">
        <w:rPr>
          <w:rFonts w:ascii="Times New Roman" w:hAnsi="Times New Roman"/>
          <w:bCs/>
          <w:szCs w:val="20"/>
          <w:lang w:val="uk-UA"/>
        </w:rPr>
        <w:t xml:space="preserve">облік прав на цінні папери, які зарезервовані для здійснення розрахунків за правочинами щодо цінних паперів з дотриманням принципу </w:t>
      </w:r>
      <w:r w:rsidR="00022F5F">
        <w:rPr>
          <w:rFonts w:ascii="Times New Roman" w:hAnsi="Times New Roman"/>
          <w:bCs/>
          <w:szCs w:val="20"/>
          <w:lang w:val="uk-UA"/>
        </w:rPr>
        <w:t>"</w:t>
      </w:r>
      <w:r w:rsidRPr="00E16672">
        <w:rPr>
          <w:rFonts w:ascii="Times New Roman" w:hAnsi="Times New Roman"/>
          <w:bCs/>
          <w:szCs w:val="20"/>
          <w:lang w:val="uk-UA"/>
        </w:rPr>
        <w:t>поставка цінних паперів проти оплати</w:t>
      </w:r>
      <w:r w:rsidR="00022F5F">
        <w:rPr>
          <w:rFonts w:ascii="Times New Roman" w:hAnsi="Times New Roman"/>
          <w:bCs/>
          <w:szCs w:val="20"/>
          <w:lang w:val="uk-UA"/>
        </w:rPr>
        <w:t>"</w:t>
      </w:r>
      <w:r w:rsidRPr="00E16672">
        <w:rPr>
          <w:rFonts w:ascii="Times New Roman" w:hAnsi="Times New Roman"/>
          <w:bCs/>
          <w:szCs w:val="20"/>
          <w:lang w:val="uk-UA"/>
        </w:rPr>
        <w:t>.</w:t>
      </w:r>
    </w:p>
    <w:p w14:paraId="02454A95" w14:textId="77777777" w:rsidR="007974E8" w:rsidRPr="00E16672" w:rsidRDefault="007974E8" w:rsidP="007974E8">
      <w:pPr>
        <w:tabs>
          <w:tab w:val="left" w:pos="851"/>
        </w:tabs>
        <w:ind w:firstLine="539"/>
        <w:rPr>
          <w:rFonts w:ascii="Times New Roman" w:hAnsi="Times New Roman"/>
          <w:szCs w:val="20"/>
          <w:lang w:val="uk-UA"/>
        </w:rPr>
      </w:pPr>
      <w:r w:rsidRPr="00E16672">
        <w:rPr>
          <w:rFonts w:ascii="Times New Roman" w:hAnsi="Times New Roman"/>
          <w:szCs w:val="20"/>
          <w:lang w:val="uk-UA"/>
        </w:rPr>
        <w:t xml:space="preserve">2.1.5. Здійснювати обслуговування </w:t>
      </w:r>
      <w:proofErr w:type="spellStart"/>
      <w:r w:rsidRPr="00E16672">
        <w:rPr>
          <w:rFonts w:ascii="Times New Roman" w:hAnsi="Times New Roman"/>
          <w:szCs w:val="20"/>
          <w:lang w:val="uk-UA"/>
        </w:rPr>
        <w:t>обіг</w:t>
      </w:r>
      <w:r w:rsidR="00C22309" w:rsidRPr="00E16672">
        <w:rPr>
          <w:rFonts w:ascii="Times New Roman" w:hAnsi="Times New Roman"/>
          <w:szCs w:val="20"/>
          <w:lang w:val="uk-UA"/>
        </w:rPr>
        <w:t>в</w:t>
      </w:r>
      <w:proofErr w:type="spellEnd"/>
      <w:r w:rsidR="00C22309" w:rsidRPr="00E16672">
        <w:rPr>
          <w:rFonts w:ascii="Times New Roman" w:hAnsi="Times New Roman"/>
          <w:szCs w:val="20"/>
          <w:lang w:val="uk-UA"/>
        </w:rPr>
        <w:t xml:space="preserve"> цін</w:t>
      </w:r>
      <w:r w:rsidRPr="00E16672">
        <w:rPr>
          <w:rFonts w:ascii="Times New Roman" w:hAnsi="Times New Roman"/>
          <w:szCs w:val="20"/>
          <w:lang w:val="uk-UA"/>
        </w:rPr>
        <w:t xml:space="preserve">них паперів на рахунку </w:t>
      </w:r>
      <w:r w:rsidR="00C22309" w:rsidRPr="00E16672">
        <w:rPr>
          <w:rFonts w:ascii="Times New Roman" w:hAnsi="Times New Roman"/>
          <w:szCs w:val="20"/>
          <w:lang w:val="uk-UA"/>
        </w:rPr>
        <w:t>в цін</w:t>
      </w:r>
      <w:r w:rsidRPr="00E16672">
        <w:rPr>
          <w:rFonts w:ascii="Times New Roman" w:hAnsi="Times New Roman"/>
          <w:szCs w:val="20"/>
          <w:lang w:val="uk-UA"/>
        </w:rPr>
        <w:t xml:space="preserve">них паперах Депонента шляхом проведення депозитарних операцій за рахунком </w:t>
      </w:r>
      <w:r w:rsidR="00C22309" w:rsidRPr="00E16672">
        <w:rPr>
          <w:rFonts w:ascii="Times New Roman" w:hAnsi="Times New Roman"/>
          <w:szCs w:val="20"/>
          <w:lang w:val="uk-UA"/>
        </w:rPr>
        <w:t>в цін</w:t>
      </w:r>
      <w:r w:rsidRPr="00E16672">
        <w:rPr>
          <w:rFonts w:ascii="Times New Roman" w:hAnsi="Times New Roman"/>
          <w:szCs w:val="20"/>
          <w:lang w:val="uk-UA"/>
        </w:rPr>
        <w:t xml:space="preserve">них паперах у порядку та строки, визначені законодавством </w:t>
      </w:r>
      <w:r w:rsidRPr="00E16672">
        <w:rPr>
          <w:rFonts w:ascii="Times New Roman" w:hAnsi="Times New Roman"/>
          <w:color w:val="000000"/>
          <w:szCs w:val="20"/>
          <w:lang w:val="uk-UA"/>
        </w:rPr>
        <w:t>та/або внутрішніми</w:t>
      </w:r>
      <w:r w:rsidRPr="00E16672">
        <w:rPr>
          <w:rFonts w:ascii="Times New Roman" w:hAnsi="Times New Roman"/>
          <w:szCs w:val="20"/>
          <w:lang w:val="uk-UA"/>
        </w:rPr>
        <w:t xml:space="preserve"> документами Депозитарної установи.</w:t>
      </w:r>
    </w:p>
    <w:p w14:paraId="374AE782" w14:textId="77777777" w:rsidR="007974E8" w:rsidRPr="00E16672" w:rsidRDefault="007974E8" w:rsidP="007974E8">
      <w:pPr>
        <w:tabs>
          <w:tab w:val="left" w:pos="851"/>
        </w:tabs>
        <w:ind w:firstLine="539"/>
        <w:rPr>
          <w:rFonts w:ascii="Times New Roman" w:eastAsia="Arial" w:hAnsi="Times New Roman"/>
          <w:color w:val="000000"/>
          <w:szCs w:val="20"/>
        </w:rPr>
      </w:pPr>
      <w:r w:rsidRPr="00E16672">
        <w:rPr>
          <w:rFonts w:ascii="Times New Roman" w:hAnsi="Times New Roman"/>
          <w:szCs w:val="20"/>
        </w:rPr>
        <w:t>2</w:t>
      </w:r>
      <w:r w:rsidRPr="00E16672">
        <w:rPr>
          <w:rFonts w:ascii="Times New Roman" w:hAnsi="Times New Roman"/>
          <w:color w:val="000000"/>
          <w:szCs w:val="20"/>
        </w:rPr>
        <w:t xml:space="preserve">.1.6. </w:t>
      </w:r>
      <w:proofErr w:type="spellStart"/>
      <w:r w:rsidRPr="00E16672">
        <w:rPr>
          <w:rFonts w:ascii="Times New Roman" w:eastAsia="Arial" w:hAnsi="Times New Roman"/>
          <w:color w:val="000000"/>
          <w:szCs w:val="20"/>
        </w:rPr>
        <w:t>Складати</w:t>
      </w:r>
      <w:proofErr w:type="spellEnd"/>
      <w:r w:rsidRPr="00E16672">
        <w:rPr>
          <w:rFonts w:ascii="Times New Roman" w:eastAsia="Arial" w:hAnsi="Times New Roman"/>
          <w:color w:val="000000"/>
          <w:szCs w:val="20"/>
        </w:rPr>
        <w:t xml:space="preserve"> та </w:t>
      </w:r>
      <w:proofErr w:type="spellStart"/>
      <w:r w:rsidRPr="00E16672">
        <w:rPr>
          <w:rFonts w:ascii="Times New Roman" w:eastAsia="Arial" w:hAnsi="Times New Roman"/>
          <w:color w:val="000000"/>
          <w:szCs w:val="20"/>
        </w:rPr>
        <w:t>видавати</w:t>
      </w:r>
      <w:proofErr w:type="spellEnd"/>
      <w:r w:rsidRPr="00E16672">
        <w:rPr>
          <w:rFonts w:ascii="Times New Roman" w:eastAsia="Arial" w:hAnsi="Times New Roman"/>
          <w:color w:val="000000"/>
          <w:szCs w:val="20"/>
        </w:rPr>
        <w:t xml:space="preserve"> </w:t>
      </w:r>
      <w:proofErr w:type="spellStart"/>
      <w:r w:rsidRPr="00E16672">
        <w:rPr>
          <w:rFonts w:ascii="Times New Roman" w:eastAsia="Arial" w:hAnsi="Times New Roman"/>
          <w:color w:val="000000"/>
          <w:szCs w:val="20"/>
        </w:rPr>
        <w:t>виписку</w:t>
      </w:r>
      <w:proofErr w:type="spellEnd"/>
      <w:r w:rsidRPr="00E16672">
        <w:rPr>
          <w:rFonts w:ascii="Times New Roman" w:eastAsia="Arial" w:hAnsi="Times New Roman"/>
          <w:color w:val="000000"/>
          <w:szCs w:val="20"/>
        </w:rPr>
        <w:t xml:space="preserve"> про стан </w:t>
      </w:r>
      <w:proofErr w:type="spellStart"/>
      <w:r w:rsidRPr="00E16672">
        <w:rPr>
          <w:rFonts w:ascii="Times New Roman" w:eastAsia="Arial" w:hAnsi="Times New Roman"/>
          <w:color w:val="000000"/>
          <w:szCs w:val="20"/>
        </w:rPr>
        <w:t>рахунку</w:t>
      </w:r>
      <w:proofErr w:type="spellEnd"/>
      <w:r w:rsidRPr="00E16672">
        <w:rPr>
          <w:rFonts w:ascii="Times New Roman" w:eastAsia="Arial" w:hAnsi="Times New Roman"/>
          <w:color w:val="000000"/>
          <w:szCs w:val="20"/>
        </w:rPr>
        <w:t xml:space="preserve"> в </w:t>
      </w:r>
      <w:proofErr w:type="spellStart"/>
      <w:r w:rsidRPr="00E16672">
        <w:rPr>
          <w:rFonts w:ascii="Times New Roman" w:eastAsia="Arial" w:hAnsi="Times New Roman"/>
          <w:color w:val="000000"/>
          <w:szCs w:val="20"/>
        </w:rPr>
        <w:t>цінних</w:t>
      </w:r>
      <w:proofErr w:type="spellEnd"/>
      <w:r w:rsidRPr="00E16672">
        <w:rPr>
          <w:rFonts w:ascii="Times New Roman" w:eastAsia="Arial" w:hAnsi="Times New Roman"/>
          <w:color w:val="000000"/>
          <w:szCs w:val="20"/>
        </w:rPr>
        <w:t xml:space="preserve"> </w:t>
      </w:r>
      <w:proofErr w:type="spellStart"/>
      <w:r w:rsidRPr="00E16672">
        <w:rPr>
          <w:rFonts w:ascii="Times New Roman" w:eastAsia="Arial" w:hAnsi="Times New Roman"/>
          <w:color w:val="000000"/>
          <w:szCs w:val="20"/>
        </w:rPr>
        <w:t>паперах</w:t>
      </w:r>
      <w:proofErr w:type="spellEnd"/>
      <w:r w:rsidRPr="00E16672">
        <w:rPr>
          <w:rFonts w:ascii="Times New Roman" w:eastAsia="Arial" w:hAnsi="Times New Roman"/>
          <w:color w:val="000000"/>
          <w:szCs w:val="20"/>
        </w:rPr>
        <w:t xml:space="preserve"> Депонента та </w:t>
      </w:r>
      <w:proofErr w:type="spellStart"/>
      <w:r w:rsidRPr="00E16672">
        <w:rPr>
          <w:rFonts w:ascii="Times New Roman" w:eastAsia="Arial" w:hAnsi="Times New Roman"/>
          <w:color w:val="000000"/>
          <w:szCs w:val="20"/>
        </w:rPr>
        <w:t>виписку</w:t>
      </w:r>
      <w:proofErr w:type="spellEnd"/>
      <w:r w:rsidRPr="00E16672">
        <w:rPr>
          <w:rFonts w:ascii="Times New Roman" w:eastAsia="Arial" w:hAnsi="Times New Roman"/>
          <w:color w:val="000000"/>
          <w:szCs w:val="20"/>
        </w:rPr>
        <w:t xml:space="preserve"> про </w:t>
      </w:r>
      <w:proofErr w:type="spellStart"/>
      <w:r w:rsidRPr="00E16672">
        <w:rPr>
          <w:rFonts w:ascii="Times New Roman" w:eastAsia="Arial" w:hAnsi="Times New Roman"/>
          <w:color w:val="000000"/>
          <w:szCs w:val="20"/>
        </w:rPr>
        <w:t>операції</w:t>
      </w:r>
      <w:proofErr w:type="spellEnd"/>
      <w:r w:rsidRPr="00E16672">
        <w:rPr>
          <w:rFonts w:ascii="Times New Roman" w:eastAsia="Arial" w:hAnsi="Times New Roman"/>
          <w:color w:val="000000"/>
          <w:szCs w:val="20"/>
        </w:rPr>
        <w:t xml:space="preserve"> з </w:t>
      </w:r>
      <w:proofErr w:type="spellStart"/>
      <w:r w:rsidRPr="00E16672">
        <w:rPr>
          <w:rFonts w:ascii="Times New Roman" w:eastAsia="Arial" w:hAnsi="Times New Roman"/>
          <w:color w:val="000000"/>
          <w:szCs w:val="20"/>
        </w:rPr>
        <w:t>цінними</w:t>
      </w:r>
      <w:proofErr w:type="spellEnd"/>
      <w:r w:rsidRPr="00E16672">
        <w:rPr>
          <w:rFonts w:ascii="Times New Roman" w:eastAsia="Arial" w:hAnsi="Times New Roman"/>
          <w:color w:val="000000"/>
          <w:szCs w:val="20"/>
        </w:rPr>
        <w:t xml:space="preserve"> </w:t>
      </w:r>
      <w:proofErr w:type="spellStart"/>
      <w:r w:rsidRPr="00E16672">
        <w:rPr>
          <w:rFonts w:ascii="Times New Roman" w:eastAsia="Arial" w:hAnsi="Times New Roman"/>
          <w:color w:val="000000"/>
          <w:szCs w:val="20"/>
        </w:rPr>
        <w:t>паперами</w:t>
      </w:r>
      <w:proofErr w:type="spellEnd"/>
      <w:r w:rsidRPr="00E16672">
        <w:rPr>
          <w:rFonts w:ascii="Times New Roman" w:eastAsia="Arial" w:hAnsi="Times New Roman"/>
          <w:color w:val="000000"/>
          <w:szCs w:val="20"/>
          <w:lang w:val="uk-UA"/>
        </w:rPr>
        <w:t xml:space="preserve"> </w:t>
      </w:r>
      <w:r w:rsidRPr="00E16672">
        <w:rPr>
          <w:rFonts w:ascii="Times New Roman" w:eastAsia="Arial" w:hAnsi="Times New Roman"/>
          <w:color w:val="000000"/>
          <w:szCs w:val="20"/>
        </w:rPr>
        <w:t xml:space="preserve">на </w:t>
      </w:r>
      <w:proofErr w:type="spellStart"/>
      <w:r w:rsidRPr="00E16672">
        <w:rPr>
          <w:rFonts w:ascii="Times New Roman" w:eastAsia="Arial" w:hAnsi="Times New Roman"/>
          <w:color w:val="000000"/>
          <w:szCs w:val="20"/>
        </w:rPr>
        <w:t>вимогу</w:t>
      </w:r>
      <w:proofErr w:type="spellEnd"/>
      <w:r w:rsidRPr="00E16672">
        <w:rPr>
          <w:rFonts w:ascii="Times New Roman" w:eastAsia="Arial" w:hAnsi="Times New Roman"/>
          <w:color w:val="000000"/>
          <w:szCs w:val="20"/>
        </w:rPr>
        <w:t xml:space="preserve"> Депонента </w:t>
      </w:r>
      <w:r w:rsidRPr="00E16672">
        <w:rPr>
          <w:rFonts w:ascii="Times New Roman" w:hAnsi="Times New Roman"/>
          <w:color w:val="000000"/>
          <w:szCs w:val="20"/>
        </w:rPr>
        <w:t xml:space="preserve">не </w:t>
      </w:r>
      <w:proofErr w:type="spellStart"/>
      <w:r w:rsidRPr="00E16672">
        <w:rPr>
          <w:rFonts w:ascii="Times New Roman" w:hAnsi="Times New Roman"/>
          <w:color w:val="000000"/>
          <w:szCs w:val="20"/>
        </w:rPr>
        <w:t>пізніше</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наступного</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робочого</w:t>
      </w:r>
      <w:proofErr w:type="spellEnd"/>
      <w:r w:rsidRPr="00E16672">
        <w:rPr>
          <w:rFonts w:ascii="Times New Roman" w:hAnsi="Times New Roman"/>
          <w:color w:val="000000"/>
          <w:szCs w:val="20"/>
        </w:rPr>
        <w:t xml:space="preserve"> дня з </w:t>
      </w:r>
      <w:proofErr w:type="spellStart"/>
      <w:r w:rsidRPr="00E16672">
        <w:rPr>
          <w:rFonts w:ascii="Times New Roman" w:hAnsi="Times New Roman"/>
          <w:color w:val="000000"/>
          <w:szCs w:val="20"/>
        </w:rPr>
        <w:t>дати</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отримання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відповідного</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розпорядження</w:t>
      </w:r>
      <w:proofErr w:type="spellEnd"/>
      <w:r w:rsidRPr="00E16672">
        <w:rPr>
          <w:rFonts w:ascii="Times New Roman" w:hAnsi="Times New Roman"/>
          <w:color w:val="000000"/>
          <w:szCs w:val="20"/>
        </w:rPr>
        <w:t xml:space="preserve"> у </w:t>
      </w:r>
      <w:proofErr w:type="spellStart"/>
      <w:r w:rsidRPr="00E16672">
        <w:rPr>
          <w:rFonts w:ascii="Times New Roman" w:hAnsi="Times New Roman"/>
          <w:color w:val="000000"/>
          <w:szCs w:val="20"/>
        </w:rPr>
        <w:t>спосіб</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визначений</w:t>
      </w:r>
      <w:proofErr w:type="spellEnd"/>
      <w:r w:rsidRPr="00E16672">
        <w:rPr>
          <w:rFonts w:ascii="Times New Roman" w:hAnsi="Times New Roman"/>
          <w:color w:val="000000"/>
          <w:szCs w:val="20"/>
        </w:rPr>
        <w:t xml:space="preserve"> у </w:t>
      </w:r>
      <w:proofErr w:type="spellStart"/>
      <w:r w:rsidRPr="00E16672">
        <w:rPr>
          <w:rFonts w:ascii="Times New Roman" w:hAnsi="Times New Roman"/>
          <w:color w:val="000000"/>
          <w:szCs w:val="20"/>
        </w:rPr>
        <w:t>розпорядженні</w:t>
      </w:r>
      <w:proofErr w:type="spellEnd"/>
      <w:r w:rsidRPr="00E16672">
        <w:rPr>
          <w:rFonts w:ascii="Times New Roman" w:eastAsia="Arial" w:hAnsi="Times New Roman"/>
          <w:color w:val="000000"/>
          <w:szCs w:val="20"/>
        </w:rPr>
        <w:t>.</w:t>
      </w:r>
    </w:p>
    <w:p w14:paraId="4FA0349A" w14:textId="77777777" w:rsidR="007974E8" w:rsidRPr="00E16672" w:rsidRDefault="007974E8" w:rsidP="007974E8">
      <w:pPr>
        <w:pStyle w:val="23"/>
        <w:ind w:firstLine="539"/>
        <w:rPr>
          <w:rFonts w:ascii="Times New Roman" w:hAnsi="Times New Roman"/>
          <w:color w:val="000000"/>
          <w:spacing w:val="-9"/>
        </w:rPr>
      </w:pPr>
      <w:r w:rsidRPr="00E16672">
        <w:rPr>
          <w:rFonts w:ascii="Times New Roman" w:hAnsi="Times New Roman"/>
          <w:color w:val="000000"/>
        </w:rPr>
        <w:t xml:space="preserve">Виписка з рахунку </w:t>
      </w:r>
      <w:r w:rsidR="00C22309" w:rsidRPr="00E16672">
        <w:rPr>
          <w:rFonts w:ascii="Times New Roman" w:hAnsi="Times New Roman"/>
          <w:color w:val="000000"/>
          <w:spacing w:val="-9"/>
          <w:shd w:val="clear" w:color="auto" w:fill="FFFFFF"/>
        </w:rPr>
        <w:t>в цін</w:t>
      </w:r>
      <w:r w:rsidRPr="00E16672">
        <w:rPr>
          <w:rFonts w:ascii="Times New Roman" w:hAnsi="Times New Roman"/>
          <w:color w:val="000000"/>
          <w:spacing w:val="-9"/>
          <w:shd w:val="clear" w:color="auto" w:fill="FFFFFF"/>
        </w:rPr>
        <w:t xml:space="preserve">них паперах може надаватися </w:t>
      </w:r>
      <w:r w:rsidRPr="00E16672">
        <w:rPr>
          <w:rFonts w:ascii="Times New Roman" w:hAnsi="Times New Roman"/>
          <w:color w:val="000000"/>
        </w:rPr>
        <w:t xml:space="preserve">Депоненту у вигляді </w:t>
      </w:r>
      <w:r w:rsidRPr="00E16672">
        <w:rPr>
          <w:rFonts w:ascii="Times New Roman" w:hAnsi="Times New Roman"/>
          <w:color w:val="000000"/>
          <w:spacing w:val="-9"/>
        </w:rPr>
        <w:t xml:space="preserve">електронного документу з використанням </w:t>
      </w:r>
      <w:r w:rsidR="00AE695D" w:rsidRPr="00E16672">
        <w:rPr>
          <w:rFonts w:ascii="Times New Roman" w:hAnsi="Times New Roman"/>
          <w:color w:val="000000"/>
          <w:spacing w:val="-9"/>
        </w:rPr>
        <w:t>кваліфікованого електронного підпису</w:t>
      </w:r>
      <w:r w:rsidRPr="00E16672">
        <w:rPr>
          <w:rFonts w:ascii="Times New Roman" w:hAnsi="Times New Roman"/>
          <w:color w:val="000000"/>
          <w:spacing w:val="-9"/>
          <w:lang w:val="ru-RU"/>
        </w:rPr>
        <w:t xml:space="preserve"> </w:t>
      </w:r>
      <w:r w:rsidRPr="00E16672">
        <w:rPr>
          <w:rFonts w:ascii="Times New Roman" w:hAnsi="Times New Roman"/>
          <w:color w:val="000000"/>
          <w:spacing w:val="-9"/>
        </w:rPr>
        <w:t xml:space="preserve">та </w:t>
      </w:r>
      <w:r w:rsidR="00AE695D" w:rsidRPr="00E16672">
        <w:rPr>
          <w:rFonts w:ascii="Times New Roman" w:hAnsi="Times New Roman"/>
          <w:color w:val="000000"/>
          <w:spacing w:val="-9"/>
        </w:rPr>
        <w:t>кваліфікованим електронним підписом</w:t>
      </w:r>
      <w:r w:rsidRPr="00E16672">
        <w:rPr>
          <w:rFonts w:ascii="Times New Roman" w:hAnsi="Times New Roman"/>
          <w:color w:val="000000"/>
          <w:spacing w:val="-9"/>
        </w:rPr>
        <w:t>, що за правовим статусом прирівнюється до печатки юридичної  особи.</w:t>
      </w:r>
    </w:p>
    <w:p w14:paraId="500EE8A3" w14:textId="77777777" w:rsidR="007974E8" w:rsidRPr="00E16672" w:rsidRDefault="007974E8" w:rsidP="007974E8">
      <w:pPr>
        <w:tabs>
          <w:tab w:val="left" w:pos="867"/>
        </w:tabs>
        <w:snapToGrid w:val="0"/>
        <w:ind w:left="16" w:firstLine="543"/>
        <w:rPr>
          <w:rFonts w:ascii="Times New Roman" w:eastAsia="Arial" w:hAnsi="Times New Roman"/>
          <w:color w:val="000000"/>
          <w:spacing w:val="-9"/>
          <w:szCs w:val="20"/>
          <w:lang w:val="uk-UA"/>
        </w:rPr>
      </w:pPr>
      <w:r w:rsidRPr="00E16672">
        <w:rPr>
          <w:rFonts w:ascii="Times New Roman" w:eastAsia="Arial" w:hAnsi="Times New Roman"/>
          <w:color w:val="000000"/>
          <w:spacing w:val="-9"/>
          <w:szCs w:val="20"/>
          <w:lang w:val="uk-UA"/>
        </w:rPr>
        <w:t xml:space="preserve">У якості звіту надавати Депоненту виписку про стан рахунка в цінних паперах або виписку про операції з цінними паперами після здійснення хоча б однієї облікової операції </w:t>
      </w:r>
      <w:r w:rsidRPr="00E16672">
        <w:rPr>
          <w:rFonts w:ascii="Times New Roman" w:eastAsia="Arial" w:hAnsi="Times New Roman"/>
          <w:i/>
          <w:iCs/>
          <w:color w:val="000000"/>
          <w:spacing w:val="-9"/>
          <w:szCs w:val="20"/>
          <w:lang w:val="uk-UA"/>
        </w:rPr>
        <w:t>не пізніше трьох</w:t>
      </w:r>
      <w:r w:rsidRPr="00E16672">
        <w:rPr>
          <w:rFonts w:ascii="Times New Roman" w:eastAsia="Arial" w:hAnsi="Times New Roman"/>
          <w:color w:val="000000"/>
          <w:spacing w:val="-9"/>
          <w:szCs w:val="20"/>
          <w:lang w:val="uk-UA"/>
        </w:rPr>
        <w:t xml:space="preserve"> </w:t>
      </w:r>
      <w:r w:rsidRPr="00E16672">
        <w:rPr>
          <w:rFonts w:ascii="Times New Roman" w:eastAsia="Arial" w:hAnsi="Times New Roman"/>
          <w:i/>
          <w:color w:val="000000"/>
          <w:spacing w:val="-9"/>
          <w:szCs w:val="20"/>
          <w:lang w:val="uk-UA"/>
        </w:rPr>
        <w:t>робочих</w:t>
      </w:r>
      <w:r w:rsidRPr="00E16672">
        <w:rPr>
          <w:rFonts w:ascii="Times New Roman" w:eastAsia="Arial" w:hAnsi="Times New Roman"/>
          <w:color w:val="000000"/>
          <w:spacing w:val="-9"/>
          <w:szCs w:val="20"/>
          <w:lang w:val="uk-UA"/>
        </w:rPr>
        <w:t xml:space="preserve"> днів з дня здійснення такої операції.</w:t>
      </w:r>
    </w:p>
    <w:p w14:paraId="66FF963F" w14:textId="77777777" w:rsidR="007974E8" w:rsidRPr="00E16672" w:rsidRDefault="007974E8" w:rsidP="007974E8">
      <w:pPr>
        <w:tabs>
          <w:tab w:val="left" w:pos="851"/>
        </w:tabs>
        <w:ind w:firstLine="539"/>
        <w:rPr>
          <w:rFonts w:ascii="Times New Roman" w:hAnsi="Times New Roman"/>
          <w:color w:val="000000"/>
          <w:szCs w:val="20"/>
        </w:rPr>
      </w:pPr>
      <w:r w:rsidRPr="00E16672">
        <w:rPr>
          <w:rFonts w:ascii="Times New Roman" w:hAnsi="Times New Roman"/>
          <w:szCs w:val="20"/>
        </w:rPr>
        <w:t>2.1.7</w:t>
      </w:r>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Надавати</w:t>
      </w:r>
      <w:proofErr w:type="spellEnd"/>
      <w:r w:rsidRPr="00E16672">
        <w:rPr>
          <w:rFonts w:ascii="Times New Roman" w:hAnsi="Times New Roman"/>
          <w:color w:val="000000"/>
          <w:szCs w:val="20"/>
        </w:rPr>
        <w:t xml:space="preserve"> Депоненту </w:t>
      </w:r>
      <w:proofErr w:type="spellStart"/>
      <w:r w:rsidRPr="00E16672">
        <w:rPr>
          <w:rFonts w:ascii="Times New Roman" w:hAnsi="Times New Roman"/>
          <w:color w:val="000000"/>
          <w:szCs w:val="20"/>
        </w:rPr>
        <w:t>інформаційні</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довідки</w:t>
      </w:r>
      <w:proofErr w:type="spellEnd"/>
      <w:r w:rsidRPr="00E16672">
        <w:rPr>
          <w:rFonts w:ascii="Times New Roman" w:hAnsi="Times New Roman"/>
          <w:color w:val="000000"/>
          <w:szCs w:val="20"/>
        </w:rPr>
        <w:t xml:space="preserve"> про </w:t>
      </w:r>
      <w:proofErr w:type="spellStart"/>
      <w:r w:rsidRPr="00E16672">
        <w:rPr>
          <w:rFonts w:ascii="Times New Roman" w:hAnsi="Times New Roman"/>
          <w:color w:val="000000"/>
          <w:szCs w:val="20"/>
        </w:rPr>
        <w:t>незавершені</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операції</w:t>
      </w:r>
      <w:proofErr w:type="spellEnd"/>
      <w:r w:rsidRPr="00E16672">
        <w:rPr>
          <w:rFonts w:ascii="Times New Roman" w:hAnsi="Times New Roman"/>
          <w:color w:val="000000"/>
          <w:szCs w:val="20"/>
        </w:rPr>
        <w:t xml:space="preserve"> з </w:t>
      </w:r>
      <w:proofErr w:type="spellStart"/>
      <w:r w:rsidRPr="00E16672">
        <w:rPr>
          <w:rFonts w:ascii="Times New Roman" w:hAnsi="Times New Roman"/>
          <w:color w:val="000000"/>
          <w:szCs w:val="20"/>
        </w:rPr>
        <w:t>цінними</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паперами</w:t>
      </w:r>
      <w:proofErr w:type="spellEnd"/>
      <w:r w:rsidRPr="00E16672">
        <w:rPr>
          <w:rFonts w:ascii="Times New Roman" w:hAnsi="Times New Roman"/>
          <w:color w:val="000000"/>
          <w:szCs w:val="20"/>
        </w:rPr>
        <w:t xml:space="preserve"> за </w:t>
      </w:r>
      <w:proofErr w:type="spellStart"/>
      <w:r w:rsidRPr="00E16672">
        <w:rPr>
          <w:rFonts w:ascii="Times New Roman" w:hAnsi="Times New Roman"/>
          <w:color w:val="000000"/>
          <w:szCs w:val="20"/>
        </w:rPr>
        <w:t>рахунком</w:t>
      </w:r>
      <w:proofErr w:type="spellEnd"/>
      <w:r w:rsidRPr="00E16672">
        <w:rPr>
          <w:rFonts w:ascii="Times New Roman" w:hAnsi="Times New Roman"/>
          <w:color w:val="000000"/>
          <w:szCs w:val="20"/>
        </w:rPr>
        <w:t xml:space="preserve"> в </w:t>
      </w:r>
      <w:proofErr w:type="spellStart"/>
      <w:r w:rsidRPr="00E16672">
        <w:rPr>
          <w:rFonts w:ascii="Times New Roman" w:hAnsi="Times New Roman"/>
          <w:color w:val="000000"/>
          <w:szCs w:val="20"/>
        </w:rPr>
        <w:t>цінних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паперах</w:t>
      </w:r>
      <w:proofErr w:type="spellEnd"/>
      <w:r w:rsidRPr="00E16672">
        <w:rPr>
          <w:rFonts w:ascii="Times New Roman" w:hAnsi="Times New Roman"/>
          <w:color w:val="000000"/>
          <w:szCs w:val="20"/>
        </w:rPr>
        <w:t xml:space="preserve"> Депонента на запит Депонента не </w:t>
      </w:r>
      <w:proofErr w:type="spellStart"/>
      <w:r w:rsidRPr="00E16672">
        <w:rPr>
          <w:rFonts w:ascii="Times New Roman" w:hAnsi="Times New Roman"/>
          <w:color w:val="000000"/>
          <w:szCs w:val="20"/>
        </w:rPr>
        <w:t>пізніше</w:t>
      </w:r>
      <w:proofErr w:type="spellEnd"/>
      <w:r w:rsidRPr="00E16672">
        <w:rPr>
          <w:rFonts w:ascii="Times New Roman" w:hAnsi="Times New Roman"/>
          <w:color w:val="000000"/>
          <w:szCs w:val="20"/>
        </w:rPr>
        <w:t xml:space="preserve"> </w:t>
      </w:r>
      <w:proofErr w:type="spellStart"/>
      <w:r w:rsidRPr="00E16672">
        <w:rPr>
          <w:rFonts w:ascii="Times New Roman" w:hAnsi="Times New Roman"/>
          <w:i/>
          <w:color w:val="000000"/>
          <w:szCs w:val="20"/>
        </w:rPr>
        <w:t>трьох</w:t>
      </w:r>
      <w:proofErr w:type="spellEnd"/>
      <w:r w:rsidRPr="00E16672">
        <w:rPr>
          <w:rFonts w:ascii="Times New Roman" w:hAnsi="Times New Roman"/>
          <w:i/>
          <w:color w:val="000000"/>
          <w:szCs w:val="20"/>
        </w:rPr>
        <w:t xml:space="preserve"> </w:t>
      </w:r>
      <w:proofErr w:type="spellStart"/>
      <w:r w:rsidRPr="00E16672">
        <w:rPr>
          <w:rFonts w:ascii="Times New Roman" w:hAnsi="Times New Roman"/>
          <w:color w:val="000000"/>
          <w:szCs w:val="20"/>
        </w:rPr>
        <w:t>робочих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днів</w:t>
      </w:r>
      <w:proofErr w:type="spellEnd"/>
      <w:r w:rsidRPr="00E16672">
        <w:rPr>
          <w:rFonts w:ascii="Times New Roman" w:hAnsi="Times New Roman"/>
          <w:color w:val="000000"/>
          <w:szCs w:val="20"/>
        </w:rPr>
        <w:t xml:space="preserve"> з дня </w:t>
      </w:r>
      <w:proofErr w:type="spellStart"/>
      <w:r w:rsidRPr="00E16672">
        <w:rPr>
          <w:rFonts w:ascii="Times New Roman" w:hAnsi="Times New Roman"/>
          <w:color w:val="000000"/>
          <w:szCs w:val="20"/>
        </w:rPr>
        <w:t>отримання</w:t>
      </w:r>
      <w:proofErr w:type="spellEnd"/>
      <w:r w:rsidRPr="00E16672">
        <w:rPr>
          <w:rFonts w:ascii="Times New Roman" w:hAnsi="Times New Roman"/>
          <w:color w:val="000000"/>
          <w:szCs w:val="20"/>
        </w:rPr>
        <w:t xml:space="preserve"> такого </w:t>
      </w:r>
      <w:proofErr w:type="spellStart"/>
      <w:r w:rsidRPr="00E16672">
        <w:rPr>
          <w:rFonts w:ascii="Times New Roman" w:hAnsi="Times New Roman"/>
          <w:color w:val="000000"/>
          <w:szCs w:val="20"/>
        </w:rPr>
        <w:t>запиту</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pacing w:val="-9"/>
          <w:szCs w:val="20"/>
        </w:rPr>
        <w:t>Інформаційна</w:t>
      </w:r>
      <w:proofErr w:type="spellEnd"/>
      <w:r w:rsidRPr="00E16672">
        <w:rPr>
          <w:rFonts w:ascii="Times New Roman" w:hAnsi="Times New Roman"/>
          <w:color w:val="000000"/>
          <w:spacing w:val="-9"/>
          <w:szCs w:val="20"/>
        </w:rPr>
        <w:t xml:space="preserve"> </w:t>
      </w:r>
      <w:proofErr w:type="spellStart"/>
      <w:r w:rsidRPr="00E16672">
        <w:rPr>
          <w:rFonts w:ascii="Times New Roman" w:hAnsi="Times New Roman"/>
          <w:color w:val="000000"/>
          <w:spacing w:val="-9"/>
          <w:szCs w:val="20"/>
        </w:rPr>
        <w:t>довідка</w:t>
      </w:r>
      <w:proofErr w:type="spellEnd"/>
      <w:r w:rsidRPr="00E16672">
        <w:rPr>
          <w:rFonts w:ascii="Times New Roman" w:hAnsi="Times New Roman"/>
          <w:color w:val="000000"/>
          <w:spacing w:val="-9"/>
          <w:szCs w:val="20"/>
        </w:rPr>
        <w:t xml:space="preserve"> </w:t>
      </w:r>
      <w:proofErr w:type="spellStart"/>
      <w:r w:rsidRPr="00E16672">
        <w:rPr>
          <w:rFonts w:ascii="Times New Roman" w:hAnsi="Times New Roman"/>
          <w:color w:val="000000"/>
          <w:spacing w:val="-9"/>
          <w:szCs w:val="20"/>
        </w:rPr>
        <w:t>надається</w:t>
      </w:r>
      <w:proofErr w:type="spellEnd"/>
      <w:r w:rsidRPr="00E16672">
        <w:rPr>
          <w:rFonts w:ascii="Times New Roman" w:hAnsi="Times New Roman"/>
          <w:color w:val="000000"/>
          <w:spacing w:val="-9"/>
          <w:szCs w:val="20"/>
        </w:rPr>
        <w:t xml:space="preserve"> Депоненту у </w:t>
      </w:r>
      <w:proofErr w:type="spellStart"/>
      <w:r w:rsidRPr="00E16672">
        <w:rPr>
          <w:rFonts w:ascii="Times New Roman" w:hAnsi="Times New Roman"/>
          <w:color w:val="000000"/>
          <w:spacing w:val="-9"/>
          <w:szCs w:val="20"/>
        </w:rPr>
        <w:t>спосіб</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визначений</w:t>
      </w:r>
      <w:proofErr w:type="spellEnd"/>
      <w:r w:rsidRPr="00E16672">
        <w:rPr>
          <w:rFonts w:ascii="Times New Roman" w:hAnsi="Times New Roman"/>
          <w:color w:val="000000"/>
          <w:szCs w:val="20"/>
        </w:rPr>
        <w:t xml:space="preserve"> у </w:t>
      </w:r>
      <w:proofErr w:type="spellStart"/>
      <w:r w:rsidRPr="00E16672">
        <w:rPr>
          <w:rFonts w:ascii="Times New Roman" w:hAnsi="Times New Roman"/>
          <w:color w:val="000000"/>
          <w:szCs w:val="20"/>
        </w:rPr>
        <w:t>запиті</w:t>
      </w:r>
      <w:proofErr w:type="spellEnd"/>
      <w:r w:rsidRPr="00E16672">
        <w:rPr>
          <w:rFonts w:ascii="Times New Roman" w:hAnsi="Times New Roman"/>
          <w:color w:val="000000"/>
          <w:szCs w:val="20"/>
        </w:rPr>
        <w:t xml:space="preserve"> про </w:t>
      </w:r>
      <w:proofErr w:type="spellStart"/>
      <w:r w:rsidRPr="00E16672">
        <w:rPr>
          <w:rFonts w:ascii="Times New Roman" w:hAnsi="Times New Roman"/>
          <w:color w:val="000000"/>
          <w:szCs w:val="20"/>
        </w:rPr>
        <w:t>надання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відповідної</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інформаційної</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довідки</w:t>
      </w:r>
      <w:proofErr w:type="spellEnd"/>
      <w:r w:rsidRPr="00E16672">
        <w:rPr>
          <w:rFonts w:ascii="Times New Roman" w:hAnsi="Times New Roman"/>
          <w:color w:val="000000"/>
          <w:szCs w:val="20"/>
        </w:rPr>
        <w:t xml:space="preserve">. </w:t>
      </w:r>
    </w:p>
    <w:p w14:paraId="7633D157" w14:textId="77777777" w:rsidR="007974E8" w:rsidRPr="00E16672" w:rsidRDefault="007974E8" w:rsidP="007974E8">
      <w:pPr>
        <w:tabs>
          <w:tab w:val="left" w:pos="540"/>
          <w:tab w:val="left" w:pos="851"/>
        </w:tabs>
        <w:ind w:firstLine="539"/>
        <w:rPr>
          <w:rFonts w:ascii="Times New Roman" w:hAnsi="Times New Roman"/>
          <w:color w:val="000000"/>
          <w:szCs w:val="20"/>
          <w:lang w:val="uk-UA"/>
        </w:rPr>
      </w:pPr>
      <w:r w:rsidRPr="00E16672">
        <w:rPr>
          <w:rFonts w:ascii="Times New Roman" w:hAnsi="Times New Roman"/>
          <w:color w:val="000000"/>
          <w:szCs w:val="20"/>
        </w:rPr>
        <w:t xml:space="preserve">2.1.8. </w:t>
      </w:r>
      <w:r w:rsidRPr="00E16672">
        <w:rPr>
          <w:rFonts w:ascii="Times New Roman" w:hAnsi="Times New Roman"/>
          <w:szCs w:val="20"/>
          <w:lang w:val="uk-UA"/>
        </w:rPr>
        <w:t xml:space="preserve">Повідомляти Депонента про проведення коригувальної операції у разі виявлення технічної помилки, допущеної при виконанні депозитарної операції, протягом </w:t>
      </w:r>
      <w:r w:rsidRPr="00E16672">
        <w:rPr>
          <w:rFonts w:ascii="Times New Roman" w:hAnsi="Times New Roman"/>
          <w:i/>
          <w:iCs/>
          <w:color w:val="000000"/>
          <w:szCs w:val="20"/>
          <w:lang w:val="uk-UA"/>
        </w:rPr>
        <w:t xml:space="preserve">трьох </w:t>
      </w:r>
      <w:r w:rsidRPr="00E16672">
        <w:rPr>
          <w:rFonts w:ascii="Times New Roman" w:hAnsi="Times New Roman"/>
          <w:color w:val="000000"/>
          <w:szCs w:val="20"/>
          <w:lang w:val="uk-UA"/>
        </w:rPr>
        <w:t xml:space="preserve">робочих днів </w:t>
      </w:r>
      <w:r w:rsidRPr="00E16672">
        <w:rPr>
          <w:rFonts w:ascii="Times New Roman" w:hAnsi="Times New Roman"/>
          <w:color w:val="000000"/>
          <w:szCs w:val="20"/>
        </w:rPr>
        <w:t xml:space="preserve">з дня </w:t>
      </w:r>
      <w:proofErr w:type="spellStart"/>
      <w:r w:rsidRPr="00E16672">
        <w:rPr>
          <w:rFonts w:ascii="Times New Roman" w:hAnsi="Times New Roman"/>
          <w:color w:val="000000"/>
          <w:szCs w:val="20"/>
        </w:rPr>
        <w:t>проведення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коригувальної</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операції</w:t>
      </w:r>
      <w:proofErr w:type="spellEnd"/>
      <w:r w:rsidRPr="00E16672">
        <w:rPr>
          <w:rFonts w:ascii="Times New Roman" w:hAnsi="Times New Roman"/>
          <w:color w:val="000000"/>
          <w:szCs w:val="20"/>
        </w:rPr>
        <w:t xml:space="preserve"> </w:t>
      </w:r>
      <w:r w:rsidRPr="00E16672">
        <w:rPr>
          <w:rFonts w:ascii="Times New Roman" w:hAnsi="Times New Roman"/>
          <w:color w:val="000000"/>
          <w:szCs w:val="20"/>
          <w:lang w:val="uk-UA"/>
        </w:rPr>
        <w:t xml:space="preserve">шляхом направлення листа із відповідним повідомленням </w:t>
      </w:r>
      <w:proofErr w:type="gramStart"/>
      <w:r w:rsidRPr="00E16672">
        <w:rPr>
          <w:rFonts w:ascii="Times New Roman" w:hAnsi="Times New Roman"/>
          <w:color w:val="000000"/>
          <w:szCs w:val="20"/>
          <w:lang w:val="uk-UA"/>
        </w:rPr>
        <w:t>в адресу</w:t>
      </w:r>
      <w:proofErr w:type="gramEnd"/>
      <w:r w:rsidRPr="00E16672">
        <w:rPr>
          <w:rFonts w:ascii="Times New Roman" w:hAnsi="Times New Roman"/>
          <w:color w:val="000000"/>
          <w:szCs w:val="20"/>
          <w:lang w:val="uk-UA"/>
        </w:rPr>
        <w:t xml:space="preserve"> Депонента, визначену в анкеті рахунку в цінних паперах Депонента.</w:t>
      </w:r>
    </w:p>
    <w:p w14:paraId="3CF2EA5F" w14:textId="77777777" w:rsidR="007974E8" w:rsidRPr="00E16672" w:rsidRDefault="007974E8" w:rsidP="007974E8">
      <w:pPr>
        <w:tabs>
          <w:tab w:val="left" w:pos="851"/>
        </w:tabs>
        <w:ind w:firstLine="539"/>
        <w:rPr>
          <w:rFonts w:ascii="Times New Roman" w:hAnsi="Times New Roman"/>
          <w:szCs w:val="20"/>
          <w:lang w:val="uk-UA"/>
        </w:rPr>
      </w:pPr>
      <w:r w:rsidRPr="00E16672">
        <w:rPr>
          <w:rFonts w:ascii="Times New Roman" w:hAnsi="Times New Roman"/>
          <w:color w:val="000000"/>
          <w:szCs w:val="20"/>
          <w:lang w:val="uk-UA"/>
        </w:rPr>
        <w:t xml:space="preserve">2.1.9. </w:t>
      </w:r>
      <w:r w:rsidRPr="00E16672">
        <w:rPr>
          <w:rFonts w:ascii="Times New Roman" w:hAnsi="Times New Roman"/>
          <w:szCs w:val="20"/>
          <w:lang w:val="uk-UA"/>
        </w:rPr>
        <w:t xml:space="preserve">Не виконувати дії та не надавати інформацію щодо цінних паперів, що належать Депоненту, або інформацію щодо Депонента без відповідних розпоряджень Депонента або керуючого рахунком </w:t>
      </w:r>
      <w:r w:rsidR="00C22309" w:rsidRPr="00E16672">
        <w:rPr>
          <w:rFonts w:ascii="Times New Roman" w:hAnsi="Times New Roman"/>
          <w:szCs w:val="20"/>
          <w:lang w:val="uk-UA"/>
        </w:rPr>
        <w:t>в цін</w:t>
      </w:r>
      <w:r w:rsidRPr="00E16672">
        <w:rPr>
          <w:rFonts w:ascii="Times New Roman" w:hAnsi="Times New Roman"/>
          <w:szCs w:val="20"/>
          <w:lang w:val="uk-UA"/>
        </w:rPr>
        <w:t>них паперах Депонента, крім випадків, передбачених законодавством та Договором.</w:t>
      </w:r>
    </w:p>
    <w:p w14:paraId="4E160A6A" w14:textId="77777777" w:rsidR="000A1A7C" w:rsidRPr="00E16672" w:rsidRDefault="007974E8" w:rsidP="00022F5F">
      <w:pPr>
        <w:tabs>
          <w:tab w:val="left" w:pos="851"/>
        </w:tabs>
        <w:ind w:firstLine="539"/>
        <w:jc w:val="left"/>
        <w:rPr>
          <w:rFonts w:ascii="Times New Roman" w:hAnsi="Times New Roman"/>
          <w:bCs/>
          <w:szCs w:val="20"/>
          <w:lang w:val="uk-UA"/>
        </w:rPr>
      </w:pPr>
      <w:r w:rsidRPr="00E16672">
        <w:rPr>
          <w:rFonts w:ascii="Times New Roman" w:hAnsi="Times New Roman"/>
          <w:bCs/>
          <w:color w:val="000000"/>
          <w:szCs w:val="20"/>
          <w:lang w:val="uk-UA"/>
        </w:rPr>
        <w:t xml:space="preserve">2.1.10. </w:t>
      </w:r>
      <w:r w:rsidR="000A1A7C" w:rsidRPr="00E16672">
        <w:rPr>
          <w:rFonts w:ascii="Times New Roman" w:hAnsi="Times New Roman"/>
          <w:bCs/>
          <w:szCs w:val="20"/>
          <w:lang w:val="uk-UA"/>
        </w:rPr>
        <w:t xml:space="preserve">Надавати Центральному депозитарію цінних паперів (далі – Центральний депозитарій) інформацію щодо Депонента, торговця цінними паперами, якому Депонентом надані повноваження на вчинення правочинів щодо цінних паперів в інтересах Депонента та цінних паперів, що належать Депоненту, яка необхідна для здійснення розрахунків за правочинами щодо цінних паперів з дотриманням принципу </w:t>
      </w:r>
      <w:r w:rsidR="00022F5F">
        <w:rPr>
          <w:rFonts w:ascii="Times New Roman" w:hAnsi="Times New Roman"/>
          <w:bCs/>
          <w:szCs w:val="20"/>
          <w:lang w:val="uk-UA"/>
        </w:rPr>
        <w:t>"</w:t>
      </w:r>
      <w:r w:rsidR="000A1A7C" w:rsidRPr="00E16672">
        <w:rPr>
          <w:rFonts w:ascii="Times New Roman" w:hAnsi="Times New Roman"/>
          <w:bCs/>
          <w:szCs w:val="20"/>
          <w:lang w:val="uk-UA"/>
        </w:rPr>
        <w:t>поставка цінних паперів проти оплати</w:t>
      </w:r>
      <w:r w:rsidR="00022F5F">
        <w:rPr>
          <w:rFonts w:ascii="Times New Roman" w:hAnsi="Times New Roman"/>
          <w:bCs/>
          <w:szCs w:val="20"/>
          <w:lang w:val="uk-UA"/>
        </w:rPr>
        <w:t>"</w:t>
      </w:r>
      <w:r w:rsidR="000A1A7C" w:rsidRPr="00E16672">
        <w:rPr>
          <w:rFonts w:ascii="Times New Roman" w:hAnsi="Times New Roman"/>
          <w:bCs/>
          <w:szCs w:val="20"/>
          <w:lang w:val="uk-UA"/>
        </w:rPr>
        <w:t>, з метою подальшого надання такої інформації Розрахунковому центру з обслуговування договорів на фінансових ринках (далі – Розрахунковий центр) чи кліринговій установі для її відображення у внутрішній системі обліку такої особи.</w:t>
      </w:r>
    </w:p>
    <w:p w14:paraId="3E9A5E6C" w14:textId="77777777" w:rsidR="007974E8" w:rsidRPr="00E16672" w:rsidRDefault="007974E8" w:rsidP="007974E8">
      <w:pPr>
        <w:tabs>
          <w:tab w:val="left" w:pos="851"/>
        </w:tabs>
        <w:ind w:firstLine="539"/>
        <w:rPr>
          <w:rFonts w:ascii="Times New Roman" w:hAnsi="Times New Roman"/>
          <w:strike/>
          <w:color w:val="000000"/>
          <w:szCs w:val="20"/>
          <w:lang w:val="uk-UA"/>
        </w:rPr>
      </w:pPr>
      <w:r w:rsidRPr="00E16672">
        <w:rPr>
          <w:rFonts w:ascii="Times New Roman" w:hAnsi="Times New Roman"/>
          <w:color w:val="000000"/>
          <w:szCs w:val="20"/>
          <w:lang w:val="uk-UA"/>
        </w:rPr>
        <w:t>2.1.1</w:t>
      </w:r>
      <w:r w:rsidR="000A1A7C" w:rsidRPr="00E16672">
        <w:rPr>
          <w:rFonts w:ascii="Times New Roman" w:hAnsi="Times New Roman"/>
          <w:color w:val="000000"/>
          <w:szCs w:val="20"/>
        </w:rPr>
        <w:t>1</w:t>
      </w:r>
      <w:r w:rsidRPr="00E16672">
        <w:rPr>
          <w:rFonts w:ascii="Times New Roman" w:hAnsi="Times New Roman"/>
          <w:color w:val="000000"/>
          <w:szCs w:val="20"/>
          <w:lang w:val="uk-UA"/>
        </w:rPr>
        <w:t xml:space="preserve">. Виконувати за рахунком </w:t>
      </w:r>
      <w:r w:rsidR="00C22309" w:rsidRPr="00E16672">
        <w:rPr>
          <w:rFonts w:ascii="Times New Roman" w:hAnsi="Times New Roman"/>
          <w:color w:val="000000"/>
          <w:szCs w:val="20"/>
          <w:lang w:val="uk-UA"/>
        </w:rPr>
        <w:t>в цін</w:t>
      </w:r>
      <w:r w:rsidRPr="00E16672">
        <w:rPr>
          <w:rFonts w:ascii="Times New Roman" w:hAnsi="Times New Roman"/>
          <w:color w:val="000000"/>
          <w:szCs w:val="20"/>
          <w:lang w:val="uk-UA"/>
        </w:rPr>
        <w:t>них паперах Депонента, що був узятий на облік Розрахунковим центром чи кліринговою установою, адміністративні опера</w:t>
      </w:r>
      <w:r w:rsidRPr="00E16672">
        <w:rPr>
          <w:rFonts w:ascii="Times New Roman" w:hAnsi="Times New Roman"/>
          <w:szCs w:val="20"/>
          <w:lang w:val="uk-UA"/>
        </w:rPr>
        <w:t>ції</w:t>
      </w:r>
      <w:r w:rsidRPr="00E16672">
        <w:rPr>
          <w:rFonts w:ascii="Times New Roman" w:hAnsi="Times New Roman"/>
          <w:color w:val="000000"/>
          <w:szCs w:val="20"/>
          <w:lang w:val="uk-UA"/>
        </w:rPr>
        <w:t xml:space="preserve">, </w:t>
      </w:r>
      <w:proofErr w:type="spellStart"/>
      <w:r w:rsidRPr="00E16672">
        <w:rPr>
          <w:rFonts w:ascii="Times New Roman" w:hAnsi="Times New Roman"/>
          <w:color w:val="000000"/>
          <w:szCs w:val="20"/>
        </w:rPr>
        <w:t>які</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визначені</w:t>
      </w:r>
      <w:proofErr w:type="spellEnd"/>
      <w:r w:rsidRPr="00E16672">
        <w:rPr>
          <w:rFonts w:ascii="Times New Roman" w:hAnsi="Times New Roman"/>
          <w:color w:val="000000"/>
          <w:szCs w:val="20"/>
        </w:rPr>
        <w:t xml:space="preserve"> Регламентом Центрального </w:t>
      </w:r>
      <w:proofErr w:type="spellStart"/>
      <w:r w:rsidRPr="00E16672">
        <w:rPr>
          <w:rFonts w:ascii="Times New Roman" w:hAnsi="Times New Roman"/>
          <w:color w:val="000000"/>
          <w:szCs w:val="20"/>
        </w:rPr>
        <w:t>депозитарію</w:t>
      </w:r>
      <w:proofErr w:type="spellEnd"/>
      <w:r w:rsidRPr="00E16672">
        <w:rPr>
          <w:rFonts w:ascii="Times New Roman" w:hAnsi="Times New Roman"/>
          <w:color w:val="000000"/>
          <w:szCs w:val="20"/>
        </w:rPr>
        <w:t xml:space="preserve"> як </w:t>
      </w:r>
      <w:proofErr w:type="spellStart"/>
      <w:r w:rsidRPr="00E16672">
        <w:rPr>
          <w:rFonts w:ascii="Times New Roman" w:hAnsi="Times New Roman"/>
          <w:color w:val="000000"/>
          <w:szCs w:val="20"/>
        </w:rPr>
        <w:t>такі</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що</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можуть</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призвести</w:t>
      </w:r>
      <w:proofErr w:type="spellEnd"/>
      <w:r w:rsidRPr="00E16672">
        <w:rPr>
          <w:rFonts w:ascii="Times New Roman" w:hAnsi="Times New Roman"/>
          <w:color w:val="000000"/>
          <w:szCs w:val="20"/>
        </w:rPr>
        <w:t xml:space="preserve"> до </w:t>
      </w:r>
      <w:proofErr w:type="spellStart"/>
      <w:r w:rsidRPr="00E16672">
        <w:rPr>
          <w:rFonts w:ascii="Times New Roman" w:hAnsi="Times New Roman"/>
          <w:color w:val="000000"/>
          <w:szCs w:val="20"/>
        </w:rPr>
        <w:t>неможливості</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здійснення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розрахунків</w:t>
      </w:r>
      <w:proofErr w:type="spellEnd"/>
      <w:r w:rsidRPr="00E16672">
        <w:rPr>
          <w:rFonts w:ascii="Times New Roman" w:hAnsi="Times New Roman"/>
          <w:color w:val="000000"/>
          <w:szCs w:val="20"/>
        </w:rPr>
        <w:t xml:space="preserve"> </w:t>
      </w:r>
      <w:r w:rsidR="00C22309" w:rsidRPr="00E16672">
        <w:rPr>
          <w:rFonts w:ascii="Times New Roman" w:hAnsi="Times New Roman"/>
          <w:color w:val="000000"/>
          <w:szCs w:val="20"/>
        </w:rPr>
        <w:t xml:space="preserve">в </w:t>
      </w:r>
      <w:proofErr w:type="spellStart"/>
      <w:r w:rsidR="00C22309" w:rsidRPr="00E16672">
        <w:rPr>
          <w:rFonts w:ascii="Times New Roman" w:hAnsi="Times New Roman"/>
          <w:color w:val="000000"/>
          <w:szCs w:val="20"/>
        </w:rPr>
        <w:t>цін</w:t>
      </w:r>
      <w:r w:rsidRPr="00E16672">
        <w:rPr>
          <w:rFonts w:ascii="Times New Roman" w:hAnsi="Times New Roman"/>
          <w:color w:val="000000"/>
          <w:szCs w:val="20"/>
        </w:rPr>
        <w:t>них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паперах</w:t>
      </w:r>
      <w:proofErr w:type="spellEnd"/>
      <w:r w:rsidRPr="00E16672">
        <w:rPr>
          <w:rFonts w:ascii="Times New Roman" w:hAnsi="Times New Roman"/>
          <w:color w:val="000000"/>
          <w:szCs w:val="20"/>
        </w:rPr>
        <w:t xml:space="preserve"> за результатами </w:t>
      </w:r>
      <w:proofErr w:type="spellStart"/>
      <w:r w:rsidRPr="00E16672">
        <w:rPr>
          <w:rFonts w:ascii="Times New Roman" w:hAnsi="Times New Roman"/>
          <w:color w:val="000000"/>
          <w:szCs w:val="20"/>
        </w:rPr>
        <w:t>правочинів</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тільки</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після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отримання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від</w:t>
      </w:r>
      <w:proofErr w:type="spellEnd"/>
      <w:r w:rsidRPr="00E16672">
        <w:rPr>
          <w:rFonts w:ascii="Times New Roman" w:hAnsi="Times New Roman"/>
          <w:color w:val="000000"/>
          <w:szCs w:val="20"/>
        </w:rPr>
        <w:t xml:space="preserve"> Центрального </w:t>
      </w:r>
      <w:proofErr w:type="spellStart"/>
      <w:r w:rsidRPr="00E16672">
        <w:rPr>
          <w:rFonts w:ascii="Times New Roman" w:hAnsi="Times New Roman"/>
          <w:color w:val="000000"/>
          <w:szCs w:val="20"/>
        </w:rPr>
        <w:t>депозитарію</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інформації</w:t>
      </w:r>
      <w:proofErr w:type="spellEnd"/>
      <w:r w:rsidRPr="00E16672">
        <w:rPr>
          <w:rFonts w:ascii="Times New Roman" w:hAnsi="Times New Roman"/>
          <w:color w:val="000000"/>
          <w:szCs w:val="20"/>
        </w:rPr>
        <w:t xml:space="preserve"> про </w:t>
      </w:r>
      <w:proofErr w:type="spellStart"/>
      <w:r w:rsidRPr="00E16672">
        <w:rPr>
          <w:rFonts w:ascii="Times New Roman" w:hAnsi="Times New Roman"/>
          <w:color w:val="000000"/>
          <w:szCs w:val="20"/>
        </w:rPr>
        <w:t>внесення</w:t>
      </w:r>
      <w:proofErr w:type="spellEnd"/>
      <w:r w:rsidRPr="00E16672">
        <w:rPr>
          <w:rFonts w:ascii="Times New Roman" w:hAnsi="Times New Roman"/>
          <w:color w:val="000000"/>
          <w:szCs w:val="20"/>
        </w:rPr>
        <w:t xml:space="preserve"> до </w:t>
      </w:r>
      <w:proofErr w:type="spellStart"/>
      <w:r w:rsidRPr="00E16672">
        <w:rPr>
          <w:rFonts w:ascii="Times New Roman" w:hAnsi="Times New Roman"/>
          <w:color w:val="000000"/>
          <w:szCs w:val="20"/>
        </w:rPr>
        <w:t>внутрішньої</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системи</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обліку</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Розрахункового</w:t>
      </w:r>
      <w:proofErr w:type="spellEnd"/>
      <w:r w:rsidRPr="00E16672">
        <w:rPr>
          <w:rFonts w:ascii="Times New Roman" w:hAnsi="Times New Roman"/>
          <w:color w:val="000000"/>
          <w:szCs w:val="20"/>
        </w:rPr>
        <w:t xml:space="preserve"> центру </w:t>
      </w:r>
      <w:proofErr w:type="spellStart"/>
      <w:r w:rsidRPr="00E16672">
        <w:rPr>
          <w:rFonts w:ascii="Times New Roman" w:hAnsi="Times New Roman"/>
          <w:color w:val="000000"/>
          <w:szCs w:val="20"/>
        </w:rPr>
        <w:t>чи</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клірингової</w:t>
      </w:r>
      <w:proofErr w:type="spellEnd"/>
      <w:r w:rsidRPr="00E16672">
        <w:rPr>
          <w:rFonts w:ascii="Times New Roman" w:hAnsi="Times New Roman"/>
          <w:color w:val="000000"/>
          <w:szCs w:val="20"/>
        </w:rPr>
        <w:t xml:space="preserve"> установи </w:t>
      </w:r>
      <w:proofErr w:type="spellStart"/>
      <w:r w:rsidRPr="00E16672">
        <w:rPr>
          <w:rFonts w:ascii="Times New Roman" w:hAnsi="Times New Roman"/>
          <w:color w:val="000000"/>
          <w:szCs w:val="20"/>
        </w:rPr>
        <w:t>відповідних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змін</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щодо</w:t>
      </w:r>
      <w:proofErr w:type="spellEnd"/>
      <w:r w:rsidRPr="00E16672">
        <w:rPr>
          <w:rFonts w:ascii="Times New Roman" w:hAnsi="Times New Roman"/>
          <w:color w:val="000000"/>
          <w:szCs w:val="20"/>
        </w:rPr>
        <w:t xml:space="preserve"> такого Депонента.</w:t>
      </w:r>
    </w:p>
    <w:p w14:paraId="43252DE0" w14:textId="77777777" w:rsidR="007974E8" w:rsidRPr="00E16672" w:rsidRDefault="007974E8" w:rsidP="007974E8">
      <w:pPr>
        <w:tabs>
          <w:tab w:val="left" w:pos="851"/>
        </w:tabs>
        <w:ind w:firstLine="539"/>
        <w:rPr>
          <w:rFonts w:ascii="Times New Roman" w:hAnsi="Times New Roman"/>
          <w:color w:val="000000"/>
          <w:szCs w:val="20"/>
          <w:lang w:val="uk-UA"/>
        </w:rPr>
      </w:pPr>
      <w:r w:rsidRPr="00E16672">
        <w:rPr>
          <w:rFonts w:ascii="Times New Roman" w:hAnsi="Times New Roman"/>
          <w:color w:val="000000"/>
          <w:szCs w:val="20"/>
          <w:lang w:val="uk-UA"/>
        </w:rPr>
        <w:t>2.1.1</w:t>
      </w:r>
      <w:r w:rsidR="000A1A7C" w:rsidRPr="00E16672">
        <w:rPr>
          <w:rFonts w:ascii="Times New Roman" w:hAnsi="Times New Roman"/>
          <w:color w:val="000000"/>
          <w:szCs w:val="20"/>
          <w:lang w:val="uk-UA"/>
        </w:rPr>
        <w:t>2</w:t>
      </w:r>
      <w:r w:rsidRPr="00E16672">
        <w:rPr>
          <w:rFonts w:ascii="Times New Roman" w:hAnsi="Times New Roman"/>
          <w:color w:val="000000"/>
          <w:szCs w:val="20"/>
          <w:lang w:val="uk-UA"/>
        </w:rPr>
        <w:t xml:space="preserve">. Не здійснювати депозитарних операцій за рахунком </w:t>
      </w:r>
      <w:r w:rsidR="00C22309" w:rsidRPr="00E16672">
        <w:rPr>
          <w:rFonts w:ascii="Times New Roman" w:hAnsi="Times New Roman"/>
          <w:color w:val="000000"/>
          <w:szCs w:val="20"/>
          <w:lang w:val="uk-UA"/>
        </w:rPr>
        <w:t>в цін</w:t>
      </w:r>
      <w:r w:rsidRPr="00E16672">
        <w:rPr>
          <w:rFonts w:ascii="Times New Roman" w:hAnsi="Times New Roman"/>
          <w:color w:val="000000"/>
          <w:szCs w:val="20"/>
          <w:lang w:val="uk-UA"/>
        </w:rPr>
        <w:t>них паперах у випадку виявлення порушень вимог подання, заповнення розпорядження та захисту інформації, яка потрібна для здійснення цих операцій Депозитарною установою, або якщо виконання цього розпорядження буде суперечити законодавству України, або законодавству країн, в яких укладені угоди, на підставі яких здійснюється розпорядження.</w:t>
      </w:r>
    </w:p>
    <w:p w14:paraId="045DBFA6" w14:textId="77777777" w:rsidR="007974E8" w:rsidRPr="00E16672" w:rsidRDefault="007974E8" w:rsidP="007974E8">
      <w:pPr>
        <w:pStyle w:val="western"/>
        <w:spacing w:before="0" w:after="0"/>
        <w:jc w:val="both"/>
        <w:rPr>
          <w:rFonts w:ascii="Times New Roman" w:hAnsi="Times New Roman"/>
          <w:b w:val="0"/>
          <w:bCs w:val="0"/>
          <w:color w:val="000000"/>
          <w:szCs w:val="20"/>
          <w:lang w:val="uk-UA"/>
        </w:rPr>
      </w:pPr>
      <w:r w:rsidRPr="00E16672">
        <w:rPr>
          <w:rFonts w:ascii="Times New Roman" w:hAnsi="Times New Roman"/>
          <w:b w:val="0"/>
          <w:bCs w:val="0"/>
          <w:color w:val="000000"/>
          <w:szCs w:val="20"/>
          <w:lang w:val="uk-UA"/>
        </w:rPr>
        <w:t>2.1.1</w:t>
      </w:r>
      <w:r w:rsidR="000A1A7C" w:rsidRPr="00E16672">
        <w:rPr>
          <w:rFonts w:ascii="Times New Roman" w:hAnsi="Times New Roman"/>
          <w:b w:val="0"/>
          <w:bCs w:val="0"/>
          <w:color w:val="000000"/>
          <w:szCs w:val="20"/>
          <w:lang w:val="uk-UA"/>
        </w:rPr>
        <w:t>3</w:t>
      </w:r>
      <w:r w:rsidRPr="00E16672">
        <w:rPr>
          <w:rFonts w:ascii="Times New Roman" w:hAnsi="Times New Roman"/>
          <w:b w:val="0"/>
          <w:bCs w:val="0"/>
          <w:color w:val="000000"/>
          <w:szCs w:val="20"/>
          <w:lang w:val="uk-UA"/>
        </w:rPr>
        <w:t xml:space="preserve">. </w:t>
      </w:r>
      <w:r w:rsidRPr="00E16672">
        <w:rPr>
          <w:rFonts w:ascii="Times New Roman" w:hAnsi="Times New Roman"/>
          <w:b w:val="0"/>
          <w:color w:val="000000"/>
          <w:szCs w:val="20"/>
          <w:lang w:val="uk-UA"/>
        </w:rPr>
        <w:t xml:space="preserve">Забезпечувати збереження та конфіденційність інформації, що міститься у системі депозитарного обліку, стосовно цінних паперів на рахунку </w:t>
      </w:r>
      <w:r w:rsidR="00C22309" w:rsidRPr="00E16672">
        <w:rPr>
          <w:rFonts w:ascii="Times New Roman" w:hAnsi="Times New Roman"/>
          <w:b w:val="0"/>
          <w:color w:val="000000"/>
          <w:szCs w:val="20"/>
          <w:lang w:val="uk-UA"/>
        </w:rPr>
        <w:t>в цін</w:t>
      </w:r>
      <w:r w:rsidRPr="00E16672">
        <w:rPr>
          <w:rFonts w:ascii="Times New Roman" w:hAnsi="Times New Roman"/>
          <w:b w:val="0"/>
          <w:color w:val="000000"/>
          <w:szCs w:val="20"/>
          <w:lang w:val="uk-UA"/>
        </w:rPr>
        <w:t>них паперах Депонента, а також будь-якої іншої інформації, що може завдати шкоду Депоненту. Обов’язки щодо зберігання конфіденційності інформації не виникають у випадках, якщо розголошування подібної інформації мало місце внаслідок дій судових або інших уповноважених чинним законодавством органів або в інших випадках відповідно до вимог чинного законодавства</w:t>
      </w:r>
      <w:r w:rsidRPr="00E16672">
        <w:rPr>
          <w:rFonts w:ascii="Times New Roman" w:hAnsi="Times New Roman"/>
          <w:b w:val="0"/>
          <w:bCs w:val="0"/>
          <w:color w:val="000000"/>
          <w:szCs w:val="20"/>
          <w:lang w:val="uk-UA"/>
        </w:rPr>
        <w:t>.</w:t>
      </w:r>
    </w:p>
    <w:p w14:paraId="1B8DEB8B" w14:textId="77777777" w:rsidR="007974E8" w:rsidRPr="00E16672" w:rsidRDefault="007974E8" w:rsidP="007974E8">
      <w:pPr>
        <w:pStyle w:val="western"/>
        <w:spacing w:before="0" w:after="0"/>
        <w:jc w:val="both"/>
        <w:rPr>
          <w:rFonts w:ascii="Times New Roman" w:hAnsi="Times New Roman"/>
          <w:b w:val="0"/>
          <w:bCs w:val="0"/>
          <w:color w:val="000000"/>
          <w:szCs w:val="20"/>
        </w:rPr>
      </w:pPr>
      <w:r w:rsidRPr="00E16672">
        <w:rPr>
          <w:rFonts w:ascii="Times New Roman" w:hAnsi="Times New Roman"/>
          <w:b w:val="0"/>
          <w:bCs w:val="0"/>
          <w:color w:val="000000"/>
          <w:szCs w:val="20"/>
        </w:rPr>
        <w:t>2.1.1</w:t>
      </w:r>
      <w:r w:rsidR="000A1A7C" w:rsidRPr="00E16672">
        <w:rPr>
          <w:rFonts w:ascii="Times New Roman" w:hAnsi="Times New Roman"/>
          <w:b w:val="0"/>
          <w:bCs w:val="0"/>
          <w:color w:val="000000"/>
          <w:szCs w:val="20"/>
        </w:rPr>
        <w:t>4</w:t>
      </w:r>
      <w:r w:rsidRPr="00E16672">
        <w:rPr>
          <w:rFonts w:ascii="Times New Roman" w:hAnsi="Times New Roman"/>
          <w:b w:val="0"/>
          <w:bCs w:val="0"/>
          <w:color w:val="000000"/>
          <w:szCs w:val="20"/>
        </w:rPr>
        <w:t xml:space="preserve">. </w:t>
      </w:r>
      <w:proofErr w:type="spellStart"/>
      <w:r w:rsidRPr="00E16672">
        <w:rPr>
          <w:rFonts w:ascii="Times New Roman" w:hAnsi="Times New Roman"/>
          <w:b w:val="0"/>
          <w:bCs w:val="0"/>
          <w:color w:val="000000"/>
          <w:szCs w:val="20"/>
        </w:rPr>
        <w:t>Дотримуватися</w:t>
      </w:r>
      <w:proofErr w:type="spellEnd"/>
      <w:r w:rsidRPr="00E16672">
        <w:rPr>
          <w:rFonts w:ascii="Times New Roman" w:hAnsi="Times New Roman"/>
          <w:b w:val="0"/>
          <w:bCs w:val="0"/>
          <w:color w:val="000000"/>
          <w:szCs w:val="20"/>
        </w:rPr>
        <w:t xml:space="preserve"> </w:t>
      </w:r>
      <w:proofErr w:type="spellStart"/>
      <w:r w:rsidRPr="00E16672">
        <w:rPr>
          <w:rFonts w:ascii="Times New Roman" w:hAnsi="Times New Roman"/>
          <w:b w:val="0"/>
          <w:bCs w:val="0"/>
          <w:color w:val="000000"/>
          <w:szCs w:val="20"/>
        </w:rPr>
        <w:t>встановлених</w:t>
      </w:r>
      <w:proofErr w:type="spellEnd"/>
      <w:r w:rsidRPr="00E16672">
        <w:rPr>
          <w:rFonts w:ascii="Times New Roman" w:hAnsi="Times New Roman"/>
          <w:b w:val="0"/>
          <w:bCs w:val="0"/>
          <w:color w:val="000000"/>
          <w:szCs w:val="20"/>
        </w:rPr>
        <w:t xml:space="preserve"> </w:t>
      </w:r>
      <w:proofErr w:type="spellStart"/>
      <w:r w:rsidRPr="00E16672">
        <w:rPr>
          <w:rFonts w:ascii="Times New Roman" w:hAnsi="Times New Roman"/>
          <w:b w:val="0"/>
          <w:bCs w:val="0"/>
          <w:color w:val="000000"/>
          <w:szCs w:val="20"/>
        </w:rPr>
        <w:t>вимог</w:t>
      </w:r>
      <w:proofErr w:type="spellEnd"/>
      <w:r w:rsidRPr="00E16672">
        <w:rPr>
          <w:rFonts w:ascii="Times New Roman" w:hAnsi="Times New Roman"/>
          <w:b w:val="0"/>
          <w:bCs w:val="0"/>
          <w:color w:val="000000"/>
          <w:szCs w:val="20"/>
        </w:rPr>
        <w:t xml:space="preserve"> </w:t>
      </w:r>
      <w:proofErr w:type="spellStart"/>
      <w:r w:rsidRPr="00E16672">
        <w:rPr>
          <w:rFonts w:ascii="Times New Roman" w:hAnsi="Times New Roman"/>
          <w:b w:val="0"/>
          <w:bCs w:val="0"/>
          <w:color w:val="000000"/>
          <w:szCs w:val="20"/>
        </w:rPr>
        <w:t>захисту</w:t>
      </w:r>
      <w:proofErr w:type="spellEnd"/>
      <w:r w:rsidRPr="00E16672">
        <w:rPr>
          <w:rFonts w:ascii="Times New Roman" w:hAnsi="Times New Roman"/>
          <w:b w:val="0"/>
          <w:bCs w:val="0"/>
          <w:color w:val="000000"/>
          <w:szCs w:val="20"/>
        </w:rPr>
        <w:t xml:space="preserve"> </w:t>
      </w:r>
      <w:proofErr w:type="spellStart"/>
      <w:r w:rsidRPr="00E16672">
        <w:rPr>
          <w:rFonts w:ascii="Times New Roman" w:hAnsi="Times New Roman"/>
          <w:b w:val="0"/>
          <w:bCs w:val="0"/>
          <w:color w:val="000000"/>
          <w:szCs w:val="20"/>
        </w:rPr>
        <w:t>інформації</w:t>
      </w:r>
      <w:proofErr w:type="spellEnd"/>
      <w:r w:rsidRPr="00E16672">
        <w:rPr>
          <w:rFonts w:ascii="Times New Roman" w:hAnsi="Times New Roman"/>
          <w:b w:val="0"/>
          <w:bCs w:val="0"/>
          <w:color w:val="000000"/>
          <w:szCs w:val="20"/>
        </w:rPr>
        <w:t xml:space="preserve"> </w:t>
      </w:r>
      <w:proofErr w:type="spellStart"/>
      <w:r w:rsidRPr="00E16672">
        <w:rPr>
          <w:rFonts w:ascii="Times New Roman" w:hAnsi="Times New Roman"/>
          <w:b w:val="0"/>
          <w:bCs w:val="0"/>
          <w:color w:val="000000"/>
          <w:szCs w:val="20"/>
        </w:rPr>
        <w:t>від</w:t>
      </w:r>
      <w:proofErr w:type="spellEnd"/>
      <w:r w:rsidRPr="00E16672">
        <w:rPr>
          <w:rFonts w:ascii="Times New Roman" w:hAnsi="Times New Roman"/>
          <w:b w:val="0"/>
          <w:bCs w:val="0"/>
          <w:color w:val="000000"/>
          <w:szCs w:val="20"/>
        </w:rPr>
        <w:t xml:space="preserve"> </w:t>
      </w:r>
      <w:proofErr w:type="spellStart"/>
      <w:r w:rsidRPr="00E16672">
        <w:rPr>
          <w:rFonts w:ascii="Times New Roman" w:hAnsi="Times New Roman"/>
          <w:b w:val="0"/>
          <w:bCs w:val="0"/>
          <w:color w:val="000000"/>
          <w:szCs w:val="20"/>
        </w:rPr>
        <w:t>несанкціонованого</w:t>
      </w:r>
      <w:proofErr w:type="spellEnd"/>
      <w:r w:rsidRPr="00E16672">
        <w:rPr>
          <w:rFonts w:ascii="Times New Roman" w:hAnsi="Times New Roman"/>
          <w:b w:val="0"/>
          <w:bCs w:val="0"/>
          <w:color w:val="000000"/>
          <w:szCs w:val="20"/>
        </w:rPr>
        <w:t xml:space="preserve"> доступу в </w:t>
      </w:r>
      <w:proofErr w:type="spellStart"/>
      <w:r w:rsidRPr="00E16672">
        <w:rPr>
          <w:rFonts w:ascii="Times New Roman" w:hAnsi="Times New Roman"/>
          <w:b w:val="0"/>
          <w:bCs w:val="0"/>
          <w:color w:val="000000"/>
          <w:szCs w:val="20"/>
        </w:rPr>
        <w:t>електронних</w:t>
      </w:r>
      <w:proofErr w:type="spellEnd"/>
      <w:r w:rsidRPr="00E16672">
        <w:rPr>
          <w:rFonts w:ascii="Times New Roman" w:hAnsi="Times New Roman"/>
          <w:b w:val="0"/>
          <w:bCs w:val="0"/>
          <w:color w:val="000000"/>
          <w:szCs w:val="20"/>
        </w:rPr>
        <w:t xml:space="preserve"> системах </w:t>
      </w:r>
      <w:proofErr w:type="spellStart"/>
      <w:r w:rsidRPr="00E16672">
        <w:rPr>
          <w:rFonts w:ascii="Times New Roman" w:hAnsi="Times New Roman"/>
          <w:b w:val="0"/>
          <w:bCs w:val="0"/>
          <w:color w:val="000000"/>
          <w:szCs w:val="20"/>
        </w:rPr>
        <w:t>обміну</w:t>
      </w:r>
      <w:proofErr w:type="spellEnd"/>
      <w:r w:rsidRPr="00E16672">
        <w:rPr>
          <w:rFonts w:ascii="Times New Roman" w:hAnsi="Times New Roman"/>
          <w:b w:val="0"/>
          <w:bCs w:val="0"/>
          <w:color w:val="000000"/>
          <w:szCs w:val="20"/>
        </w:rPr>
        <w:t xml:space="preserve"> </w:t>
      </w:r>
      <w:proofErr w:type="spellStart"/>
      <w:r w:rsidRPr="00E16672">
        <w:rPr>
          <w:rFonts w:ascii="Times New Roman" w:hAnsi="Times New Roman"/>
          <w:b w:val="0"/>
          <w:bCs w:val="0"/>
          <w:color w:val="000000"/>
          <w:szCs w:val="20"/>
        </w:rPr>
        <w:t>даними</w:t>
      </w:r>
      <w:proofErr w:type="spellEnd"/>
      <w:r w:rsidRPr="00E16672">
        <w:rPr>
          <w:rFonts w:ascii="Times New Roman" w:hAnsi="Times New Roman"/>
          <w:b w:val="0"/>
          <w:bCs w:val="0"/>
          <w:color w:val="000000"/>
          <w:szCs w:val="20"/>
        </w:rPr>
        <w:t>.</w:t>
      </w:r>
    </w:p>
    <w:p w14:paraId="2E91FBBA" w14:textId="77777777" w:rsidR="007974E8" w:rsidRPr="00E16672" w:rsidRDefault="007974E8" w:rsidP="007974E8">
      <w:pPr>
        <w:pStyle w:val="western"/>
        <w:spacing w:before="0" w:after="0"/>
        <w:ind w:firstLine="539"/>
        <w:jc w:val="both"/>
        <w:rPr>
          <w:rFonts w:ascii="Times New Roman" w:hAnsi="Times New Roman"/>
          <w:b w:val="0"/>
          <w:bCs w:val="0"/>
          <w:color w:val="000000"/>
          <w:szCs w:val="20"/>
        </w:rPr>
      </w:pPr>
      <w:r w:rsidRPr="00E16672">
        <w:rPr>
          <w:rFonts w:ascii="Times New Roman" w:hAnsi="Times New Roman"/>
          <w:b w:val="0"/>
          <w:bCs w:val="0"/>
          <w:color w:val="000000"/>
          <w:szCs w:val="20"/>
        </w:rPr>
        <w:t>2.1.1</w:t>
      </w:r>
      <w:r w:rsidR="000A1A7C" w:rsidRPr="00E16672">
        <w:rPr>
          <w:rFonts w:ascii="Times New Roman" w:hAnsi="Times New Roman"/>
          <w:b w:val="0"/>
          <w:bCs w:val="0"/>
          <w:color w:val="000000"/>
          <w:szCs w:val="20"/>
        </w:rPr>
        <w:t>5</w:t>
      </w:r>
      <w:r w:rsidRPr="00E16672">
        <w:rPr>
          <w:rFonts w:ascii="Times New Roman" w:hAnsi="Times New Roman"/>
          <w:b w:val="0"/>
          <w:bCs w:val="0"/>
          <w:color w:val="000000"/>
          <w:szCs w:val="20"/>
        </w:rPr>
        <w:t xml:space="preserve">. </w:t>
      </w:r>
      <w:proofErr w:type="spellStart"/>
      <w:r w:rsidRPr="00E16672">
        <w:rPr>
          <w:rFonts w:ascii="Times New Roman" w:hAnsi="Times New Roman"/>
          <w:b w:val="0"/>
          <w:bCs w:val="0"/>
          <w:color w:val="000000"/>
          <w:szCs w:val="20"/>
        </w:rPr>
        <w:t>Протягом</w:t>
      </w:r>
      <w:proofErr w:type="spellEnd"/>
      <w:r w:rsidRPr="00E16672">
        <w:rPr>
          <w:rFonts w:ascii="Times New Roman" w:hAnsi="Times New Roman"/>
          <w:b w:val="0"/>
          <w:bCs w:val="0"/>
          <w:color w:val="000000"/>
          <w:szCs w:val="20"/>
        </w:rPr>
        <w:t xml:space="preserve"> </w:t>
      </w:r>
      <w:proofErr w:type="spellStart"/>
      <w:r w:rsidRPr="00E16672">
        <w:rPr>
          <w:rFonts w:ascii="Times New Roman" w:hAnsi="Times New Roman"/>
          <w:b w:val="0"/>
          <w:bCs w:val="0"/>
          <w:color w:val="000000"/>
          <w:szCs w:val="20"/>
        </w:rPr>
        <w:t>трьох</w:t>
      </w:r>
      <w:proofErr w:type="spellEnd"/>
      <w:r w:rsidRPr="00E16672">
        <w:rPr>
          <w:rFonts w:ascii="Times New Roman" w:hAnsi="Times New Roman"/>
          <w:b w:val="0"/>
          <w:bCs w:val="0"/>
          <w:color w:val="000000"/>
          <w:szCs w:val="20"/>
        </w:rPr>
        <w:t xml:space="preserve"> </w:t>
      </w:r>
      <w:proofErr w:type="spellStart"/>
      <w:r w:rsidRPr="00E16672">
        <w:rPr>
          <w:rFonts w:ascii="Times New Roman" w:hAnsi="Times New Roman"/>
          <w:b w:val="0"/>
          <w:bCs w:val="0"/>
          <w:color w:val="000000"/>
          <w:szCs w:val="20"/>
        </w:rPr>
        <w:t>робочих</w:t>
      </w:r>
      <w:proofErr w:type="spellEnd"/>
      <w:r w:rsidRPr="00E16672">
        <w:rPr>
          <w:rFonts w:ascii="Times New Roman" w:hAnsi="Times New Roman"/>
          <w:b w:val="0"/>
          <w:bCs w:val="0"/>
          <w:color w:val="000000"/>
          <w:szCs w:val="20"/>
        </w:rPr>
        <w:t xml:space="preserve"> </w:t>
      </w:r>
      <w:proofErr w:type="spellStart"/>
      <w:r w:rsidRPr="00E16672">
        <w:rPr>
          <w:rFonts w:ascii="Times New Roman" w:hAnsi="Times New Roman"/>
          <w:b w:val="0"/>
          <w:bCs w:val="0"/>
          <w:color w:val="000000"/>
          <w:szCs w:val="20"/>
        </w:rPr>
        <w:t>днів</w:t>
      </w:r>
      <w:proofErr w:type="spellEnd"/>
      <w:r w:rsidRPr="00E16672">
        <w:rPr>
          <w:rFonts w:ascii="Times New Roman" w:hAnsi="Times New Roman"/>
          <w:b w:val="0"/>
          <w:bCs w:val="0"/>
          <w:color w:val="000000"/>
          <w:szCs w:val="20"/>
        </w:rPr>
        <w:t xml:space="preserve"> з </w:t>
      </w:r>
      <w:proofErr w:type="spellStart"/>
      <w:r w:rsidRPr="00E16672">
        <w:rPr>
          <w:rFonts w:ascii="Times New Roman" w:hAnsi="Times New Roman"/>
          <w:b w:val="0"/>
          <w:bCs w:val="0"/>
          <w:color w:val="000000"/>
          <w:szCs w:val="20"/>
        </w:rPr>
        <w:t>дати</w:t>
      </w:r>
      <w:proofErr w:type="spellEnd"/>
      <w:r w:rsidRPr="00E16672">
        <w:rPr>
          <w:rFonts w:ascii="Times New Roman" w:hAnsi="Times New Roman"/>
          <w:b w:val="0"/>
          <w:bCs w:val="0"/>
          <w:color w:val="000000"/>
          <w:szCs w:val="20"/>
        </w:rPr>
        <w:t xml:space="preserve"> початку Депозитарною </w:t>
      </w:r>
      <w:proofErr w:type="spellStart"/>
      <w:r w:rsidRPr="00E16672">
        <w:rPr>
          <w:rFonts w:ascii="Times New Roman" w:hAnsi="Times New Roman"/>
          <w:b w:val="0"/>
          <w:bCs w:val="0"/>
          <w:color w:val="000000"/>
          <w:szCs w:val="20"/>
        </w:rPr>
        <w:t>установою</w:t>
      </w:r>
      <w:proofErr w:type="spellEnd"/>
      <w:r w:rsidRPr="00E16672">
        <w:rPr>
          <w:rFonts w:ascii="Times New Roman" w:hAnsi="Times New Roman"/>
          <w:b w:val="0"/>
          <w:bCs w:val="0"/>
          <w:color w:val="000000"/>
          <w:szCs w:val="20"/>
        </w:rPr>
        <w:t xml:space="preserve"> </w:t>
      </w:r>
      <w:proofErr w:type="spellStart"/>
      <w:r w:rsidRPr="00E16672">
        <w:rPr>
          <w:rFonts w:ascii="Times New Roman" w:hAnsi="Times New Roman"/>
          <w:b w:val="0"/>
          <w:bCs w:val="0"/>
          <w:color w:val="000000"/>
          <w:szCs w:val="20"/>
        </w:rPr>
        <w:t>процедури</w:t>
      </w:r>
      <w:proofErr w:type="spellEnd"/>
      <w:r w:rsidRPr="00E16672">
        <w:rPr>
          <w:rFonts w:ascii="Times New Roman" w:hAnsi="Times New Roman"/>
          <w:b w:val="0"/>
          <w:bCs w:val="0"/>
          <w:color w:val="000000"/>
          <w:szCs w:val="20"/>
        </w:rPr>
        <w:t xml:space="preserve"> </w:t>
      </w:r>
      <w:proofErr w:type="spellStart"/>
      <w:r w:rsidRPr="00E16672">
        <w:rPr>
          <w:rFonts w:ascii="Times New Roman" w:hAnsi="Times New Roman"/>
          <w:b w:val="0"/>
          <w:bCs w:val="0"/>
          <w:color w:val="000000"/>
          <w:szCs w:val="20"/>
        </w:rPr>
        <w:t>припинення</w:t>
      </w:r>
      <w:proofErr w:type="spellEnd"/>
      <w:r w:rsidRPr="00E16672">
        <w:rPr>
          <w:rFonts w:ascii="Times New Roman" w:hAnsi="Times New Roman"/>
          <w:b w:val="0"/>
          <w:bCs w:val="0"/>
          <w:color w:val="000000"/>
          <w:szCs w:val="20"/>
        </w:rPr>
        <w:t xml:space="preserve"> нею </w:t>
      </w:r>
      <w:proofErr w:type="spellStart"/>
      <w:r w:rsidRPr="00E16672">
        <w:rPr>
          <w:rFonts w:ascii="Times New Roman" w:hAnsi="Times New Roman"/>
          <w:b w:val="0"/>
          <w:bCs w:val="0"/>
          <w:color w:val="000000"/>
          <w:szCs w:val="20"/>
        </w:rPr>
        <w:t>провадження</w:t>
      </w:r>
      <w:proofErr w:type="spellEnd"/>
      <w:r w:rsidRPr="00E16672">
        <w:rPr>
          <w:rFonts w:ascii="Times New Roman" w:hAnsi="Times New Roman"/>
          <w:b w:val="0"/>
          <w:bCs w:val="0"/>
          <w:color w:val="000000"/>
          <w:szCs w:val="20"/>
        </w:rPr>
        <w:t xml:space="preserve"> </w:t>
      </w:r>
      <w:proofErr w:type="spellStart"/>
      <w:r w:rsidRPr="00E16672">
        <w:rPr>
          <w:rFonts w:ascii="Times New Roman" w:hAnsi="Times New Roman"/>
          <w:b w:val="0"/>
          <w:bCs w:val="0"/>
          <w:color w:val="000000"/>
          <w:szCs w:val="20"/>
        </w:rPr>
        <w:t>професійної</w:t>
      </w:r>
      <w:proofErr w:type="spellEnd"/>
      <w:r w:rsidRPr="00E16672">
        <w:rPr>
          <w:rFonts w:ascii="Times New Roman" w:hAnsi="Times New Roman"/>
          <w:b w:val="0"/>
          <w:bCs w:val="0"/>
          <w:color w:val="000000"/>
          <w:szCs w:val="20"/>
        </w:rPr>
        <w:t xml:space="preserve"> </w:t>
      </w:r>
      <w:proofErr w:type="spellStart"/>
      <w:r w:rsidRPr="00E16672">
        <w:rPr>
          <w:rFonts w:ascii="Times New Roman" w:hAnsi="Times New Roman"/>
          <w:b w:val="0"/>
          <w:bCs w:val="0"/>
          <w:color w:val="000000"/>
          <w:szCs w:val="20"/>
        </w:rPr>
        <w:t>діяльності</w:t>
      </w:r>
      <w:proofErr w:type="spellEnd"/>
      <w:r w:rsidRPr="00E16672">
        <w:rPr>
          <w:rFonts w:ascii="Times New Roman" w:hAnsi="Times New Roman"/>
          <w:b w:val="0"/>
          <w:bCs w:val="0"/>
          <w:color w:val="000000"/>
          <w:szCs w:val="20"/>
        </w:rPr>
        <w:t xml:space="preserve"> </w:t>
      </w:r>
      <w:proofErr w:type="gramStart"/>
      <w:r w:rsidRPr="00E16672">
        <w:rPr>
          <w:rFonts w:ascii="Times New Roman" w:hAnsi="Times New Roman"/>
          <w:b w:val="0"/>
          <w:bCs w:val="0"/>
          <w:color w:val="000000"/>
          <w:szCs w:val="20"/>
        </w:rPr>
        <w:t>на фондовому ринку</w:t>
      </w:r>
      <w:proofErr w:type="gramEnd"/>
      <w:r w:rsidRPr="00E16672">
        <w:rPr>
          <w:rFonts w:ascii="Times New Roman" w:hAnsi="Times New Roman"/>
          <w:b w:val="0"/>
          <w:bCs w:val="0"/>
          <w:color w:val="000000"/>
          <w:szCs w:val="20"/>
        </w:rPr>
        <w:t xml:space="preserve"> - </w:t>
      </w:r>
      <w:proofErr w:type="spellStart"/>
      <w:r w:rsidRPr="00E16672">
        <w:rPr>
          <w:rFonts w:ascii="Times New Roman" w:hAnsi="Times New Roman"/>
          <w:b w:val="0"/>
          <w:bCs w:val="0"/>
          <w:color w:val="000000"/>
          <w:szCs w:val="20"/>
        </w:rPr>
        <w:t>депозитарної</w:t>
      </w:r>
      <w:proofErr w:type="spellEnd"/>
      <w:r w:rsidRPr="00E16672">
        <w:rPr>
          <w:rFonts w:ascii="Times New Roman" w:hAnsi="Times New Roman"/>
          <w:b w:val="0"/>
          <w:bCs w:val="0"/>
          <w:color w:val="000000"/>
          <w:szCs w:val="20"/>
        </w:rPr>
        <w:t xml:space="preserve"> </w:t>
      </w:r>
      <w:proofErr w:type="spellStart"/>
      <w:r w:rsidRPr="00E16672">
        <w:rPr>
          <w:rFonts w:ascii="Times New Roman" w:hAnsi="Times New Roman"/>
          <w:b w:val="0"/>
          <w:bCs w:val="0"/>
          <w:color w:val="000000"/>
          <w:szCs w:val="20"/>
        </w:rPr>
        <w:t>діяльності</w:t>
      </w:r>
      <w:proofErr w:type="spellEnd"/>
      <w:r w:rsidRPr="00E16672">
        <w:rPr>
          <w:rFonts w:ascii="Times New Roman" w:hAnsi="Times New Roman"/>
          <w:b w:val="0"/>
          <w:bCs w:val="0"/>
          <w:color w:val="000000"/>
          <w:szCs w:val="20"/>
        </w:rPr>
        <w:t xml:space="preserve"> </w:t>
      </w:r>
      <w:proofErr w:type="spellStart"/>
      <w:r w:rsidRPr="00E16672">
        <w:rPr>
          <w:rFonts w:ascii="Times New Roman" w:hAnsi="Times New Roman"/>
          <w:b w:val="0"/>
          <w:bCs w:val="0"/>
          <w:color w:val="000000"/>
          <w:szCs w:val="20"/>
        </w:rPr>
        <w:t>депозитарної</w:t>
      </w:r>
      <w:proofErr w:type="spellEnd"/>
      <w:r w:rsidRPr="00E16672">
        <w:rPr>
          <w:rFonts w:ascii="Times New Roman" w:hAnsi="Times New Roman"/>
          <w:b w:val="0"/>
          <w:bCs w:val="0"/>
          <w:color w:val="000000"/>
          <w:szCs w:val="20"/>
        </w:rPr>
        <w:t xml:space="preserve"> установи </w:t>
      </w:r>
      <w:proofErr w:type="spellStart"/>
      <w:r w:rsidRPr="00E16672">
        <w:rPr>
          <w:rFonts w:ascii="Times New Roman" w:hAnsi="Times New Roman"/>
          <w:b w:val="0"/>
          <w:bCs w:val="0"/>
          <w:color w:val="000000"/>
          <w:szCs w:val="20"/>
        </w:rPr>
        <w:t>відповідно</w:t>
      </w:r>
      <w:proofErr w:type="spellEnd"/>
      <w:r w:rsidRPr="00E16672">
        <w:rPr>
          <w:rFonts w:ascii="Times New Roman" w:hAnsi="Times New Roman"/>
          <w:b w:val="0"/>
          <w:bCs w:val="0"/>
          <w:color w:val="000000"/>
          <w:szCs w:val="20"/>
        </w:rPr>
        <w:t xml:space="preserve"> до </w:t>
      </w:r>
      <w:proofErr w:type="spellStart"/>
      <w:r w:rsidRPr="00E16672">
        <w:rPr>
          <w:rFonts w:ascii="Times New Roman" w:hAnsi="Times New Roman"/>
          <w:b w:val="0"/>
          <w:bCs w:val="0"/>
          <w:color w:val="000000"/>
          <w:szCs w:val="20"/>
        </w:rPr>
        <w:t>вимог</w:t>
      </w:r>
      <w:proofErr w:type="spellEnd"/>
      <w:r w:rsidRPr="00E16672">
        <w:rPr>
          <w:rFonts w:ascii="Times New Roman" w:hAnsi="Times New Roman"/>
          <w:b w:val="0"/>
          <w:bCs w:val="0"/>
          <w:color w:val="000000"/>
          <w:szCs w:val="20"/>
        </w:rPr>
        <w:t xml:space="preserve"> нормативно-правового акта </w:t>
      </w:r>
      <w:proofErr w:type="spellStart"/>
      <w:r w:rsidRPr="00E16672">
        <w:rPr>
          <w:rFonts w:ascii="Times New Roman" w:hAnsi="Times New Roman"/>
          <w:b w:val="0"/>
          <w:bCs w:val="0"/>
          <w:color w:val="000000"/>
          <w:szCs w:val="20"/>
        </w:rPr>
        <w:t>щодо</w:t>
      </w:r>
      <w:proofErr w:type="spellEnd"/>
      <w:r w:rsidRPr="00E16672">
        <w:rPr>
          <w:rFonts w:ascii="Times New Roman" w:hAnsi="Times New Roman"/>
          <w:b w:val="0"/>
          <w:bCs w:val="0"/>
          <w:color w:val="000000"/>
          <w:szCs w:val="20"/>
        </w:rPr>
        <w:t xml:space="preserve"> </w:t>
      </w:r>
      <w:proofErr w:type="spellStart"/>
      <w:r w:rsidRPr="00E16672">
        <w:rPr>
          <w:rFonts w:ascii="Times New Roman" w:hAnsi="Times New Roman"/>
          <w:b w:val="0"/>
          <w:bCs w:val="0"/>
          <w:color w:val="000000"/>
          <w:szCs w:val="20"/>
        </w:rPr>
        <w:t>припинення</w:t>
      </w:r>
      <w:proofErr w:type="spellEnd"/>
      <w:r w:rsidRPr="00E16672">
        <w:rPr>
          <w:rFonts w:ascii="Times New Roman" w:hAnsi="Times New Roman"/>
          <w:b w:val="0"/>
          <w:bCs w:val="0"/>
          <w:color w:val="000000"/>
          <w:szCs w:val="20"/>
        </w:rPr>
        <w:t xml:space="preserve"> </w:t>
      </w:r>
      <w:proofErr w:type="spellStart"/>
      <w:r w:rsidRPr="00E16672">
        <w:rPr>
          <w:rFonts w:ascii="Times New Roman" w:hAnsi="Times New Roman"/>
          <w:b w:val="0"/>
          <w:bCs w:val="0"/>
          <w:color w:val="000000"/>
          <w:szCs w:val="20"/>
        </w:rPr>
        <w:t>депозитарної</w:t>
      </w:r>
      <w:proofErr w:type="spellEnd"/>
      <w:r w:rsidRPr="00E16672">
        <w:rPr>
          <w:rFonts w:ascii="Times New Roman" w:hAnsi="Times New Roman"/>
          <w:b w:val="0"/>
          <w:bCs w:val="0"/>
          <w:color w:val="000000"/>
          <w:szCs w:val="20"/>
        </w:rPr>
        <w:t xml:space="preserve"> </w:t>
      </w:r>
      <w:proofErr w:type="spellStart"/>
      <w:r w:rsidRPr="00E16672">
        <w:rPr>
          <w:rFonts w:ascii="Times New Roman" w:hAnsi="Times New Roman"/>
          <w:b w:val="0"/>
          <w:bCs w:val="0"/>
          <w:color w:val="000000"/>
          <w:szCs w:val="20"/>
        </w:rPr>
        <w:t>діяльності</w:t>
      </w:r>
      <w:proofErr w:type="spellEnd"/>
      <w:r w:rsidRPr="00E16672">
        <w:rPr>
          <w:rFonts w:ascii="Times New Roman" w:hAnsi="Times New Roman"/>
          <w:b w:val="0"/>
          <w:bCs w:val="0"/>
          <w:color w:val="000000"/>
          <w:szCs w:val="20"/>
        </w:rPr>
        <w:t xml:space="preserve"> </w:t>
      </w:r>
      <w:proofErr w:type="spellStart"/>
      <w:r w:rsidRPr="00E16672">
        <w:rPr>
          <w:rFonts w:ascii="Times New Roman" w:hAnsi="Times New Roman"/>
          <w:b w:val="0"/>
          <w:bCs w:val="0"/>
          <w:color w:val="000000"/>
          <w:szCs w:val="20"/>
        </w:rPr>
        <w:t>депозитарної</w:t>
      </w:r>
      <w:proofErr w:type="spellEnd"/>
      <w:r w:rsidRPr="00E16672">
        <w:rPr>
          <w:rFonts w:ascii="Times New Roman" w:hAnsi="Times New Roman"/>
          <w:b w:val="0"/>
          <w:bCs w:val="0"/>
          <w:color w:val="000000"/>
          <w:szCs w:val="20"/>
        </w:rPr>
        <w:t xml:space="preserve"> установи, </w:t>
      </w:r>
      <w:proofErr w:type="spellStart"/>
      <w:r w:rsidRPr="00E16672">
        <w:rPr>
          <w:rFonts w:ascii="Times New Roman" w:hAnsi="Times New Roman"/>
          <w:b w:val="0"/>
          <w:bCs w:val="0"/>
          <w:color w:val="000000"/>
          <w:szCs w:val="20"/>
        </w:rPr>
        <w:t>повідомити</w:t>
      </w:r>
      <w:proofErr w:type="spellEnd"/>
      <w:r w:rsidRPr="00E16672">
        <w:rPr>
          <w:rFonts w:ascii="Times New Roman" w:hAnsi="Times New Roman"/>
          <w:b w:val="0"/>
          <w:bCs w:val="0"/>
          <w:color w:val="000000"/>
          <w:szCs w:val="20"/>
        </w:rPr>
        <w:t xml:space="preserve"> Депонента </w:t>
      </w:r>
      <w:proofErr w:type="spellStart"/>
      <w:r w:rsidRPr="00E16672">
        <w:rPr>
          <w:rFonts w:ascii="Times New Roman" w:hAnsi="Times New Roman"/>
          <w:b w:val="0"/>
          <w:bCs w:val="0"/>
          <w:color w:val="000000"/>
          <w:szCs w:val="20"/>
        </w:rPr>
        <w:t>рекомендованим</w:t>
      </w:r>
      <w:proofErr w:type="spellEnd"/>
      <w:r w:rsidRPr="00E16672">
        <w:rPr>
          <w:rFonts w:ascii="Times New Roman" w:hAnsi="Times New Roman"/>
          <w:b w:val="0"/>
          <w:bCs w:val="0"/>
          <w:color w:val="000000"/>
          <w:szCs w:val="20"/>
        </w:rPr>
        <w:t xml:space="preserve"> листом </w:t>
      </w:r>
      <w:proofErr w:type="spellStart"/>
      <w:r w:rsidRPr="00E16672">
        <w:rPr>
          <w:rFonts w:ascii="Times New Roman" w:hAnsi="Times New Roman"/>
          <w:b w:val="0"/>
          <w:bCs w:val="0"/>
          <w:color w:val="000000"/>
          <w:szCs w:val="20"/>
        </w:rPr>
        <w:t>щодо</w:t>
      </w:r>
      <w:proofErr w:type="spellEnd"/>
      <w:r w:rsidRPr="00E16672">
        <w:rPr>
          <w:rFonts w:ascii="Times New Roman" w:hAnsi="Times New Roman"/>
          <w:b w:val="0"/>
          <w:bCs w:val="0"/>
          <w:color w:val="000000"/>
          <w:szCs w:val="20"/>
        </w:rPr>
        <w:t xml:space="preserve"> </w:t>
      </w:r>
      <w:proofErr w:type="spellStart"/>
      <w:r w:rsidRPr="00E16672">
        <w:rPr>
          <w:rFonts w:ascii="Times New Roman" w:hAnsi="Times New Roman"/>
          <w:b w:val="0"/>
          <w:bCs w:val="0"/>
          <w:color w:val="000000"/>
          <w:szCs w:val="20"/>
        </w:rPr>
        <w:t>необхідності</w:t>
      </w:r>
      <w:proofErr w:type="spellEnd"/>
      <w:r w:rsidRPr="00E16672">
        <w:rPr>
          <w:rFonts w:ascii="Times New Roman" w:hAnsi="Times New Roman"/>
          <w:b w:val="0"/>
          <w:bCs w:val="0"/>
          <w:color w:val="000000"/>
          <w:szCs w:val="20"/>
        </w:rPr>
        <w:t xml:space="preserve"> </w:t>
      </w:r>
      <w:proofErr w:type="spellStart"/>
      <w:r w:rsidRPr="00E16672">
        <w:rPr>
          <w:rFonts w:ascii="Times New Roman" w:hAnsi="Times New Roman"/>
          <w:b w:val="0"/>
          <w:bCs w:val="0"/>
          <w:color w:val="000000"/>
          <w:szCs w:val="20"/>
        </w:rPr>
        <w:t>закриття</w:t>
      </w:r>
      <w:proofErr w:type="spellEnd"/>
      <w:r w:rsidRPr="00E16672">
        <w:rPr>
          <w:rFonts w:ascii="Times New Roman" w:hAnsi="Times New Roman"/>
          <w:b w:val="0"/>
          <w:bCs w:val="0"/>
          <w:color w:val="000000"/>
          <w:szCs w:val="20"/>
        </w:rPr>
        <w:t xml:space="preserve"> </w:t>
      </w:r>
      <w:proofErr w:type="spellStart"/>
      <w:r w:rsidRPr="00E16672">
        <w:rPr>
          <w:rFonts w:ascii="Times New Roman" w:hAnsi="Times New Roman"/>
          <w:b w:val="0"/>
          <w:bCs w:val="0"/>
          <w:color w:val="000000"/>
          <w:szCs w:val="20"/>
        </w:rPr>
        <w:t>рахунка</w:t>
      </w:r>
      <w:proofErr w:type="spellEnd"/>
      <w:r w:rsidRPr="00E16672">
        <w:rPr>
          <w:rFonts w:ascii="Times New Roman" w:hAnsi="Times New Roman"/>
          <w:b w:val="0"/>
          <w:bCs w:val="0"/>
          <w:color w:val="000000"/>
          <w:szCs w:val="20"/>
        </w:rPr>
        <w:t xml:space="preserve"> в </w:t>
      </w:r>
      <w:proofErr w:type="spellStart"/>
      <w:r w:rsidRPr="00E16672">
        <w:rPr>
          <w:rFonts w:ascii="Times New Roman" w:hAnsi="Times New Roman"/>
          <w:b w:val="0"/>
          <w:bCs w:val="0"/>
          <w:color w:val="000000"/>
          <w:szCs w:val="20"/>
        </w:rPr>
        <w:t>цінних</w:t>
      </w:r>
      <w:proofErr w:type="spellEnd"/>
      <w:r w:rsidRPr="00E16672">
        <w:rPr>
          <w:rFonts w:ascii="Times New Roman" w:hAnsi="Times New Roman"/>
          <w:b w:val="0"/>
          <w:bCs w:val="0"/>
          <w:color w:val="000000"/>
          <w:szCs w:val="20"/>
        </w:rPr>
        <w:t xml:space="preserve"> </w:t>
      </w:r>
      <w:proofErr w:type="spellStart"/>
      <w:r w:rsidRPr="00E16672">
        <w:rPr>
          <w:rFonts w:ascii="Times New Roman" w:hAnsi="Times New Roman"/>
          <w:b w:val="0"/>
          <w:bCs w:val="0"/>
          <w:color w:val="000000"/>
          <w:szCs w:val="20"/>
        </w:rPr>
        <w:t>паперах</w:t>
      </w:r>
      <w:proofErr w:type="spellEnd"/>
      <w:r w:rsidRPr="00E16672">
        <w:rPr>
          <w:rFonts w:ascii="Times New Roman" w:hAnsi="Times New Roman"/>
          <w:b w:val="0"/>
          <w:bCs w:val="0"/>
          <w:color w:val="000000"/>
          <w:szCs w:val="20"/>
        </w:rPr>
        <w:t xml:space="preserve"> </w:t>
      </w:r>
      <w:proofErr w:type="spellStart"/>
      <w:r w:rsidRPr="00E16672">
        <w:rPr>
          <w:rFonts w:ascii="Times New Roman" w:hAnsi="Times New Roman"/>
          <w:b w:val="0"/>
          <w:bCs w:val="0"/>
          <w:color w:val="000000"/>
          <w:szCs w:val="20"/>
        </w:rPr>
        <w:t>протягом</w:t>
      </w:r>
      <w:proofErr w:type="spellEnd"/>
      <w:r w:rsidRPr="00E16672">
        <w:rPr>
          <w:rFonts w:ascii="Times New Roman" w:hAnsi="Times New Roman"/>
          <w:b w:val="0"/>
          <w:bCs w:val="0"/>
          <w:color w:val="000000"/>
          <w:szCs w:val="20"/>
        </w:rPr>
        <w:t xml:space="preserve"> </w:t>
      </w:r>
      <w:proofErr w:type="spellStart"/>
      <w:r w:rsidR="00F50251" w:rsidRPr="00E16672">
        <w:rPr>
          <w:rFonts w:ascii="Times New Roman" w:hAnsi="Times New Roman"/>
          <w:b w:val="0"/>
          <w:bCs w:val="0"/>
          <w:i/>
          <w:iCs/>
          <w:color w:val="000000"/>
          <w:szCs w:val="20"/>
        </w:rPr>
        <w:t>шістдесяти</w:t>
      </w:r>
      <w:proofErr w:type="spellEnd"/>
      <w:r w:rsidRPr="00E16672">
        <w:rPr>
          <w:rFonts w:ascii="Times New Roman" w:hAnsi="Times New Roman"/>
          <w:b w:val="0"/>
          <w:bCs w:val="0"/>
          <w:color w:val="000000"/>
          <w:szCs w:val="20"/>
        </w:rPr>
        <w:t xml:space="preserve"> </w:t>
      </w:r>
      <w:proofErr w:type="spellStart"/>
      <w:r w:rsidRPr="00E16672">
        <w:rPr>
          <w:rFonts w:ascii="Times New Roman" w:hAnsi="Times New Roman"/>
          <w:b w:val="0"/>
          <w:bCs w:val="0"/>
          <w:color w:val="000000"/>
          <w:szCs w:val="20"/>
        </w:rPr>
        <w:t>календарних</w:t>
      </w:r>
      <w:proofErr w:type="spellEnd"/>
      <w:r w:rsidRPr="00E16672">
        <w:rPr>
          <w:rFonts w:ascii="Times New Roman" w:hAnsi="Times New Roman"/>
          <w:b w:val="0"/>
          <w:bCs w:val="0"/>
          <w:color w:val="000000"/>
          <w:szCs w:val="20"/>
        </w:rPr>
        <w:t xml:space="preserve"> </w:t>
      </w:r>
      <w:proofErr w:type="spellStart"/>
      <w:r w:rsidRPr="00E16672">
        <w:rPr>
          <w:rFonts w:ascii="Times New Roman" w:hAnsi="Times New Roman"/>
          <w:b w:val="0"/>
          <w:bCs w:val="0"/>
          <w:color w:val="000000"/>
          <w:szCs w:val="20"/>
        </w:rPr>
        <w:t>днів</w:t>
      </w:r>
      <w:proofErr w:type="spellEnd"/>
      <w:r w:rsidRPr="00E16672">
        <w:rPr>
          <w:rFonts w:ascii="Times New Roman" w:hAnsi="Times New Roman"/>
          <w:b w:val="0"/>
          <w:bCs w:val="0"/>
          <w:color w:val="000000"/>
          <w:szCs w:val="20"/>
        </w:rPr>
        <w:t xml:space="preserve"> з </w:t>
      </w:r>
      <w:proofErr w:type="spellStart"/>
      <w:r w:rsidRPr="00E16672">
        <w:rPr>
          <w:rFonts w:ascii="Times New Roman" w:hAnsi="Times New Roman"/>
          <w:b w:val="0"/>
          <w:bCs w:val="0"/>
          <w:color w:val="000000"/>
          <w:szCs w:val="20"/>
        </w:rPr>
        <w:t>дати</w:t>
      </w:r>
      <w:proofErr w:type="spellEnd"/>
      <w:r w:rsidRPr="00E16672">
        <w:rPr>
          <w:rFonts w:ascii="Times New Roman" w:hAnsi="Times New Roman"/>
          <w:b w:val="0"/>
          <w:bCs w:val="0"/>
          <w:color w:val="000000"/>
          <w:szCs w:val="20"/>
        </w:rPr>
        <w:t xml:space="preserve"> початку </w:t>
      </w:r>
      <w:proofErr w:type="spellStart"/>
      <w:r w:rsidRPr="00E16672">
        <w:rPr>
          <w:rFonts w:ascii="Times New Roman" w:hAnsi="Times New Roman"/>
          <w:b w:val="0"/>
          <w:bCs w:val="0"/>
          <w:color w:val="000000"/>
          <w:szCs w:val="20"/>
        </w:rPr>
        <w:t>цієї</w:t>
      </w:r>
      <w:proofErr w:type="spellEnd"/>
      <w:r w:rsidRPr="00E16672">
        <w:rPr>
          <w:rFonts w:ascii="Times New Roman" w:hAnsi="Times New Roman"/>
          <w:b w:val="0"/>
          <w:bCs w:val="0"/>
          <w:color w:val="000000"/>
          <w:szCs w:val="20"/>
        </w:rPr>
        <w:t xml:space="preserve"> </w:t>
      </w:r>
      <w:proofErr w:type="spellStart"/>
      <w:r w:rsidRPr="00E16672">
        <w:rPr>
          <w:rFonts w:ascii="Times New Roman" w:hAnsi="Times New Roman"/>
          <w:b w:val="0"/>
          <w:bCs w:val="0"/>
          <w:color w:val="000000"/>
          <w:szCs w:val="20"/>
        </w:rPr>
        <w:t>процедури</w:t>
      </w:r>
      <w:proofErr w:type="spellEnd"/>
      <w:r w:rsidRPr="00E16672">
        <w:rPr>
          <w:rFonts w:ascii="Times New Roman" w:hAnsi="Times New Roman"/>
          <w:b w:val="0"/>
          <w:bCs w:val="0"/>
          <w:color w:val="000000"/>
          <w:szCs w:val="20"/>
        </w:rPr>
        <w:t>.</w:t>
      </w:r>
    </w:p>
    <w:p w14:paraId="3172EC4F" w14:textId="77777777" w:rsidR="007974E8" w:rsidRPr="00E16672" w:rsidRDefault="007974E8" w:rsidP="007974E8">
      <w:pPr>
        <w:pStyle w:val="western"/>
        <w:spacing w:before="0" w:after="0"/>
        <w:ind w:firstLine="539"/>
        <w:jc w:val="both"/>
        <w:rPr>
          <w:rFonts w:ascii="Times New Roman" w:hAnsi="Times New Roman"/>
          <w:b w:val="0"/>
          <w:bCs w:val="0"/>
          <w:szCs w:val="20"/>
          <w:lang w:val="uk-UA"/>
        </w:rPr>
      </w:pPr>
      <w:r w:rsidRPr="00E16672">
        <w:rPr>
          <w:rFonts w:ascii="Times New Roman" w:hAnsi="Times New Roman"/>
          <w:b w:val="0"/>
          <w:bCs w:val="0"/>
          <w:color w:val="000000"/>
          <w:szCs w:val="20"/>
        </w:rPr>
        <w:t>2.1.1</w:t>
      </w:r>
      <w:r w:rsidR="000A1A7C" w:rsidRPr="00E16672">
        <w:rPr>
          <w:rFonts w:ascii="Times New Roman" w:hAnsi="Times New Roman"/>
          <w:b w:val="0"/>
          <w:bCs w:val="0"/>
          <w:color w:val="000000"/>
          <w:szCs w:val="20"/>
        </w:rPr>
        <w:t>6</w:t>
      </w:r>
      <w:r w:rsidRPr="00E16672">
        <w:rPr>
          <w:rFonts w:ascii="Times New Roman" w:hAnsi="Times New Roman"/>
          <w:b w:val="0"/>
          <w:bCs w:val="0"/>
          <w:color w:val="000000"/>
          <w:szCs w:val="20"/>
        </w:rPr>
        <w:t xml:space="preserve">. </w:t>
      </w:r>
      <w:proofErr w:type="spellStart"/>
      <w:r w:rsidRPr="00E16672">
        <w:rPr>
          <w:rFonts w:ascii="Times New Roman" w:hAnsi="Times New Roman"/>
          <w:b w:val="0"/>
          <w:bCs w:val="0"/>
          <w:color w:val="000000"/>
          <w:szCs w:val="20"/>
        </w:rPr>
        <w:t>Закрити</w:t>
      </w:r>
      <w:proofErr w:type="spellEnd"/>
      <w:r w:rsidRPr="00E16672">
        <w:rPr>
          <w:rFonts w:ascii="Times New Roman" w:hAnsi="Times New Roman"/>
          <w:b w:val="0"/>
          <w:bCs w:val="0"/>
          <w:color w:val="000000"/>
          <w:szCs w:val="20"/>
        </w:rPr>
        <w:t xml:space="preserve"> </w:t>
      </w:r>
      <w:proofErr w:type="spellStart"/>
      <w:r w:rsidRPr="00E16672">
        <w:rPr>
          <w:rFonts w:ascii="Times New Roman" w:hAnsi="Times New Roman"/>
          <w:b w:val="0"/>
          <w:bCs w:val="0"/>
          <w:color w:val="000000"/>
          <w:szCs w:val="20"/>
        </w:rPr>
        <w:t>рахунок</w:t>
      </w:r>
      <w:proofErr w:type="spellEnd"/>
      <w:r w:rsidRPr="00E16672">
        <w:rPr>
          <w:rFonts w:ascii="Times New Roman" w:hAnsi="Times New Roman"/>
          <w:b w:val="0"/>
          <w:bCs w:val="0"/>
          <w:color w:val="000000"/>
          <w:szCs w:val="20"/>
        </w:rPr>
        <w:t xml:space="preserve"> </w:t>
      </w:r>
      <w:r w:rsidR="00C22309" w:rsidRPr="00E16672">
        <w:rPr>
          <w:rFonts w:ascii="Times New Roman" w:hAnsi="Times New Roman"/>
          <w:b w:val="0"/>
          <w:bCs w:val="0"/>
          <w:color w:val="000000"/>
          <w:szCs w:val="20"/>
        </w:rPr>
        <w:t xml:space="preserve">в </w:t>
      </w:r>
      <w:proofErr w:type="spellStart"/>
      <w:r w:rsidR="00C22309" w:rsidRPr="00E16672">
        <w:rPr>
          <w:rFonts w:ascii="Times New Roman" w:hAnsi="Times New Roman"/>
          <w:b w:val="0"/>
          <w:bCs w:val="0"/>
          <w:color w:val="000000"/>
          <w:szCs w:val="20"/>
        </w:rPr>
        <w:t>цін</w:t>
      </w:r>
      <w:r w:rsidRPr="00E16672">
        <w:rPr>
          <w:rFonts w:ascii="Times New Roman" w:hAnsi="Times New Roman"/>
          <w:b w:val="0"/>
          <w:bCs w:val="0"/>
          <w:color w:val="000000"/>
          <w:szCs w:val="20"/>
        </w:rPr>
        <w:t>них</w:t>
      </w:r>
      <w:proofErr w:type="spellEnd"/>
      <w:r w:rsidRPr="00E16672">
        <w:rPr>
          <w:rFonts w:ascii="Times New Roman" w:hAnsi="Times New Roman"/>
          <w:b w:val="0"/>
          <w:bCs w:val="0"/>
          <w:color w:val="000000"/>
          <w:szCs w:val="20"/>
        </w:rPr>
        <w:t xml:space="preserve"> </w:t>
      </w:r>
      <w:proofErr w:type="spellStart"/>
      <w:r w:rsidRPr="00E16672">
        <w:rPr>
          <w:rFonts w:ascii="Times New Roman" w:hAnsi="Times New Roman"/>
          <w:b w:val="0"/>
          <w:bCs w:val="0"/>
          <w:color w:val="000000"/>
          <w:szCs w:val="20"/>
        </w:rPr>
        <w:t>паперах</w:t>
      </w:r>
      <w:proofErr w:type="spellEnd"/>
      <w:r w:rsidRPr="00E16672">
        <w:rPr>
          <w:rFonts w:ascii="Times New Roman" w:hAnsi="Times New Roman"/>
          <w:b w:val="0"/>
          <w:bCs w:val="0"/>
          <w:color w:val="000000"/>
          <w:szCs w:val="20"/>
        </w:rPr>
        <w:t xml:space="preserve"> Депонента </w:t>
      </w:r>
      <w:proofErr w:type="gramStart"/>
      <w:r w:rsidRPr="00E16672">
        <w:rPr>
          <w:rFonts w:ascii="Times New Roman" w:hAnsi="Times New Roman"/>
          <w:b w:val="0"/>
          <w:bCs w:val="0"/>
          <w:color w:val="000000"/>
          <w:szCs w:val="20"/>
        </w:rPr>
        <w:t>у порядку</w:t>
      </w:r>
      <w:proofErr w:type="gramEnd"/>
      <w:r w:rsidRPr="00E16672">
        <w:rPr>
          <w:rFonts w:ascii="Times New Roman" w:hAnsi="Times New Roman"/>
          <w:b w:val="0"/>
          <w:bCs w:val="0"/>
          <w:color w:val="000000"/>
          <w:szCs w:val="20"/>
        </w:rPr>
        <w:t xml:space="preserve">, </w:t>
      </w:r>
      <w:proofErr w:type="spellStart"/>
      <w:r w:rsidRPr="00E16672">
        <w:rPr>
          <w:rFonts w:ascii="Times New Roman" w:hAnsi="Times New Roman"/>
          <w:b w:val="0"/>
          <w:bCs w:val="0"/>
          <w:color w:val="000000"/>
          <w:szCs w:val="20"/>
        </w:rPr>
        <w:t>передбаченому</w:t>
      </w:r>
      <w:proofErr w:type="spellEnd"/>
      <w:r w:rsidRPr="00E16672">
        <w:rPr>
          <w:rFonts w:ascii="Times New Roman" w:hAnsi="Times New Roman"/>
          <w:b w:val="0"/>
          <w:bCs w:val="0"/>
          <w:color w:val="000000"/>
          <w:szCs w:val="20"/>
        </w:rPr>
        <w:t xml:space="preserve"> </w:t>
      </w:r>
      <w:proofErr w:type="spellStart"/>
      <w:r w:rsidRPr="00E16672">
        <w:rPr>
          <w:rFonts w:ascii="Times New Roman" w:hAnsi="Times New Roman"/>
          <w:b w:val="0"/>
          <w:bCs w:val="0"/>
          <w:color w:val="000000"/>
          <w:szCs w:val="20"/>
        </w:rPr>
        <w:t>цим</w:t>
      </w:r>
      <w:proofErr w:type="spellEnd"/>
      <w:r w:rsidRPr="00E16672">
        <w:rPr>
          <w:rFonts w:ascii="Times New Roman" w:hAnsi="Times New Roman"/>
          <w:b w:val="0"/>
          <w:bCs w:val="0"/>
          <w:color w:val="000000"/>
          <w:szCs w:val="20"/>
        </w:rPr>
        <w:t xml:space="preserve"> Договором та </w:t>
      </w:r>
      <w:proofErr w:type="spellStart"/>
      <w:r w:rsidRPr="00E16672">
        <w:rPr>
          <w:rFonts w:ascii="Times New Roman" w:hAnsi="Times New Roman"/>
          <w:b w:val="0"/>
          <w:bCs w:val="0"/>
          <w:szCs w:val="20"/>
        </w:rPr>
        <w:t>законодавством</w:t>
      </w:r>
      <w:proofErr w:type="spellEnd"/>
      <w:r w:rsidRPr="00E16672">
        <w:rPr>
          <w:rFonts w:ascii="Times New Roman" w:hAnsi="Times New Roman"/>
          <w:b w:val="0"/>
          <w:bCs w:val="0"/>
          <w:szCs w:val="20"/>
        </w:rPr>
        <w:t xml:space="preserve">, </w:t>
      </w:r>
      <w:proofErr w:type="spellStart"/>
      <w:r w:rsidRPr="00E16672">
        <w:rPr>
          <w:rFonts w:ascii="Times New Roman" w:hAnsi="Times New Roman"/>
          <w:b w:val="0"/>
          <w:bCs w:val="0"/>
          <w:szCs w:val="20"/>
        </w:rPr>
        <w:t>внутрішніми</w:t>
      </w:r>
      <w:proofErr w:type="spellEnd"/>
      <w:r w:rsidRPr="00E16672">
        <w:rPr>
          <w:rFonts w:ascii="Times New Roman" w:hAnsi="Times New Roman"/>
          <w:b w:val="0"/>
          <w:bCs w:val="0"/>
          <w:szCs w:val="20"/>
        </w:rPr>
        <w:t xml:space="preserve"> документами </w:t>
      </w:r>
      <w:proofErr w:type="spellStart"/>
      <w:r w:rsidRPr="00E16672">
        <w:rPr>
          <w:rFonts w:ascii="Times New Roman" w:hAnsi="Times New Roman"/>
          <w:b w:val="0"/>
          <w:bCs w:val="0"/>
          <w:szCs w:val="20"/>
        </w:rPr>
        <w:t>Депозитарної</w:t>
      </w:r>
      <w:proofErr w:type="spellEnd"/>
      <w:r w:rsidRPr="00E16672">
        <w:rPr>
          <w:rFonts w:ascii="Times New Roman" w:hAnsi="Times New Roman"/>
          <w:b w:val="0"/>
          <w:bCs w:val="0"/>
          <w:szCs w:val="20"/>
        </w:rPr>
        <w:t xml:space="preserve"> установи.</w:t>
      </w:r>
    </w:p>
    <w:p w14:paraId="20E04F18" w14:textId="77777777" w:rsidR="007974E8" w:rsidRPr="00E16672" w:rsidRDefault="007974E8" w:rsidP="00022F5F">
      <w:pPr>
        <w:pStyle w:val="western"/>
        <w:spacing w:before="0" w:after="0"/>
        <w:ind w:firstLine="539"/>
        <w:jc w:val="left"/>
        <w:rPr>
          <w:rFonts w:ascii="Times New Roman" w:hAnsi="Times New Roman"/>
          <w:b w:val="0"/>
          <w:bCs w:val="0"/>
          <w:szCs w:val="20"/>
        </w:rPr>
      </w:pPr>
      <w:r w:rsidRPr="00E16672">
        <w:rPr>
          <w:rFonts w:ascii="Times New Roman" w:hAnsi="Times New Roman"/>
          <w:b w:val="0"/>
          <w:bCs w:val="0"/>
          <w:szCs w:val="20"/>
        </w:rPr>
        <w:t>2.1.1</w:t>
      </w:r>
      <w:r w:rsidR="000A1A7C" w:rsidRPr="00E16672">
        <w:rPr>
          <w:rFonts w:ascii="Times New Roman" w:hAnsi="Times New Roman"/>
          <w:b w:val="0"/>
          <w:bCs w:val="0"/>
          <w:szCs w:val="20"/>
        </w:rPr>
        <w:t>7</w:t>
      </w:r>
      <w:r w:rsidRPr="00E16672">
        <w:rPr>
          <w:rFonts w:ascii="Times New Roman" w:hAnsi="Times New Roman"/>
          <w:b w:val="0"/>
          <w:bCs w:val="0"/>
          <w:szCs w:val="20"/>
        </w:rPr>
        <w:t xml:space="preserve">. </w:t>
      </w:r>
      <w:proofErr w:type="spellStart"/>
      <w:r w:rsidRPr="00E16672">
        <w:rPr>
          <w:rFonts w:ascii="Times New Roman" w:hAnsi="Times New Roman"/>
          <w:b w:val="0"/>
          <w:bCs w:val="0"/>
          <w:szCs w:val="20"/>
        </w:rPr>
        <w:t>Направляти</w:t>
      </w:r>
      <w:proofErr w:type="spellEnd"/>
      <w:r w:rsidRPr="00E16672">
        <w:rPr>
          <w:rFonts w:ascii="Times New Roman" w:hAnsi="Times New Roman"/>
          <w:b w:val="0"/>
          <w:bCs w:val="0"/>
          <w:szCs w:val="20"/>
        </w:rPr>
        <w:t xml:space="preserve"> у </w:t>
      </w:r>
      <w:proofErr w:type="spellStart"/>
      <w:r w:rsidRPr="00E16672">
        <w:rPr>
          <w:rFonts w:ascii="Times New Roman" w:hAnsi="Times New Roman"/>
          <w:b w:val="0"/>
          <w:bCs w:val="0"/>
          <w:szCs w:val="20"/>
        </w:rPr>
        <w:t>встановленому</w:t>
      </w:r>
      <w:proofErr w:type="spellEnd"/>
      <w:r w:rsidRPr="00E16672">
        <w:rPr>
          <w:rFonts w:ascii="Times New Roman" w:hAnsi="Times New Roman"/>
          <w:b w:val="0"/>
          <w:bCs w:val="0"/>
          <w:szCs w:val="20"/>
        </w:rPr>
        <w:t xml:space="preserve"> </w:t>
      </w:r>
      <w:proofErr w:type="spellStart"/>
      <w:r w:rsidRPr="00E16672">
        <w:rPr>
          <w:rFonts w:ascii="Times New Roman" w:hAnsi="Times New Roman"/>
          <w:b w:val="0"/>
          <w:bCs w:val="0"/>
          <w:szCs w:val="20"/>
        </w:rPr>
        <w:t>законодавством</w:t>
      </w:r>
      <w:proofErr w:type="spellEnd"/>
      <w:r w:rsidRPr="00E16672">
        <w:rPr>
          <w:rFonts w:ascii="Times New Roman" w:hAnsi="Times New Roman"/>
          <w:b w:val="0"/>
          <w:bCs w:val="0"/>
          <w:szCs w:val="20"/>
        </w:rPr>
        <w:t xml:space="preserve"> порядку депоненту, </w:t>
      </w:r>
      <w:proofErr w:type="spellStart"/>
      <w:r w:rsidRPr="00E16672">
        <w:rPr>
          <w:rFonts w:ascii="Times New Roman" w:hAnsi="Times New Roman"/>
          <w:b w:val="0"/>
          <w:bCs w:val="0"/>
          <w:szCs w:val="20"/>
        </w:rPr>
        <w:t>який</w:t>
      </w:r>
      <w:proofErr w:type="spellEnd"/>
      <w:r w:rsidRPr="00E16672">
        <w:rPr>
          <w:rFonts w:ascii="Times New Roman" w:hAnsi="Times New Roman"/>
          <w:b w:val="0"/>
          <w:bCs w:val="0"/>
          <w:szCs w:val="20"/>
        </w:rPr>
        <w:t xml:space="preserve"> є </w:t>
      </w:r>
      <w:proofErr w:type="spellStart"/>
      <w:r w:rsidRPr="00E16672">
        <w:rPr>
          <w:rFonts w:ascii="Times New Roman" w:hAnsi="Times New Roman"/>
          <w:b w:val="0"/>
          <w:bCs w:val="0"/>
          <w:szCs w:val="20"/>
        </w:rPr>
        <w:t>власником</w:t>
      </w:r>
      <w:proofErr w:type="spellEnd"/>
      <w:r w:rsidRPr="00E16672">
        <w:rPr>
          <w:rFonts w:ascii="Times New Roman" w:hAnsi="Times New Roman"/>
          <w:b w:val="0"/>
          <w:bCs w:val="0"/>
          <w:szCs w:val="20"/>
        </w:rPr>
        <w:t xml:space="preserve"> </w:t>
      </w:r>
      <w:proofErr w:type="spellStart"/>
      <w:r w:rsidRPr="00E16672">
        <w:rPr>
          <w:rFonts w:ascii="Times New Roman" w:hAnsi="Times New Roman"/>
          <w:b w:val="0"/>
          <w:bCs w:val="0"/>
          <w:szCs w:val="20"/>
        </w:rPr>
        <w:t>акцій</w:t>
      </w:r>
      <w:proofErr w:type="spellEnd"/>
      <w:r w:rsidRPr="00E16672">
        <w:rPr>
          <w:rFonts w:ascii="Times New Roman" w:hAnsi="Times New Roman"/>
          <w:b w:val="0"/>
          <w:bCs w:val="0"/>
          <w:szCs w:val="20"/>
        </w:rPr>
        <w:t xml:space="preserve"> </w:t>
      </w:r>
      <w:proofErr w:type="spellStart"/>
      <w:r w:rsidRPr="00E16672">
        <w:rPr>
          <w:rFonts w:ascii="Times New Roman" w:hAnsi="Times New Roman"/>
          <w:b w:val="0"/>
          <w:bCs w:val="0"/>
          <w:szCs w:val="20"/>
        </w:rPr>
        <w:t>акціонерного</w:t>
      </w:r>
      <w:proofErr w:type="spellEnd"/>
      <w:r w:rsidRPr="00E16672">
        <w:rPr>
          <w:rFonts w:ascii="Times New Roman" w:hAnsi="Times New Roman"/>
          <w:b w:val="0"/>
          <w:bCs w:val="0"/>
          <w:szCs w:val="20"/>
        </w:rPr>
        <w:t xml:space="preserve"> </w:t>
      </w:r>
      <w:proofErr w:type="spellStart"/>
      <w:r w:rsidRPr="00E16672">
        <w:rPr>
          <w:rFonts w:ascii="Times New Roman" w:hAnsi="Times New Roman"/>
          <w:b w:val="0"/>
          <w:bCs w:val="0"/>
          <w:szCs w:val="20"/>
        </w:rPr>
        <w:t>товариства</w:t>
      </w:r>
      <w:proofErr w:type="spellEnd"/>
      <w:r w:rsidRPr="00E16672">
        <w:rPr>
          <w:rFonts w:ascii="Times New Roman" w:hAnsi="Times New Roman"/>
          <w:b w:val="0"/>
          <w:bCs w:val="0"/>
          <w:szCs w:val="20"/>
        </w:rPr>
        <w:t xml:space="preserve"> на </w:t>
      </w:r>
      <w:proofErr w:type="spellStart"/>
      <w:r w:rsidRPr="00E16672">
        <w:rPr>
          <w:rFonts w:ascii="Times New Roman" w:hAnsi="Times New Roman"/>
          <w:b w:val="0"/>
          <w:bCs w:val="0"/>
          <w:szCs w:val="20"/>
        </w:rPr>
        <w:t>визначену</w:t>
      </w:r>
      <w:proofErr w:type="spellEnd"/>
      <w:r w:rsidRPr="00E16672">
        <w:rPr>
          <w:rFonts w:ascii="Times New Roman" w:hAnsi="Times New Roman"/>
          <w:b w:val="0"/>
          <w:bCs w:val="0"/>
          <w:szCs w:val="20"/>
        </w:rPr>
        <w:t xml:space="preserve"> </w:t>
      </w:r>
      <w:proofErr w:type="spellStart"/>
      <w:r w:rsidRPr="00E16672">
        <w:rPr>
          <w:rFonts w:ascii="Times New Roman" w:hAnsi="Times New Roman"/>
          <w:b w:val="0"/>
          <w:bCs w:val="0"/>
          <w:szCs w:val="20"/>
        </w:rPr>
        <w:t>відповідно</w:t>
      </w:r>
      <w:proofErr w:type="spellEnd"/>
      <w:r w:rsidRPr="00E16672">
        <w:rPr>
          <w:rFonts w:ascii="Times New Roman" w:hAnsi="Times New Roman"/>
          <w:b w:val="0"/>
          <w:bCs w:val="0"/>
          <w:szCs w:val="20"/>
        </w:rPr>
        <w:t xml:space="preserve"> до закону дату, </w:t>
      </w:r>
      <w:proofErr w:type="spellStart"/>
      <w:r w:rsidRPr="00E16672">
        <w:rPr>
          <w:rFonts w:ascii="Times New Roman" w:hAnsi="Times New Roman"/>
          <w:b w:val="0"/>
          <w:bCs w:val="0"/>
          <w:szCs w:val="20"/>
        </w:rPr>
        <w:t>повідомлення</w:t>
      </w:r>
      <w:proofErr w:type="spellEnd"/>
      <w:r w:rsidRPr="00E16672">
        <w:rPr>
          <w:rFonts w:ascii="Times New Roman" w:hAnsi="Times New Roman"/>
          <w:b w:val="0"/>
          <w:bCs w:val="0"/>
          <w:szCs w:val="20"/>
        </w:rPr>
        <w:t xml:space="preserve"> у </w:t>
      </w:r>
      <w:proofErr w:type="spellStart"/>
      <w:r w:rsidRPr="00E16672">
        <w:rPr>
          <w:rFonts w:ascii="Times New Roman" w:hAnsi="Times New Roman"/>
          <w:b w:val="0"/>
          <w:bCs w:val="0"/>
          <w:szCs w:val="20"/>
        </w:rPr>
        <w:t>разі</w:t>
      </w:r>
      <w:proofErr w:type="spellEnd"/>
      <w:r w:rsidRPr="00E16672">
        <w:rPr>
          <w:rFonts w:ascii="Times New Roman" w:hAnsi="Times New Roman"/>
          <w:b w:val="0"/>
          <w:bCs w:val="0"/>
          <w:szCs w:val="20"/>
        </w:rPr>
        <w:t xml:space="preserve"> </w:t>
      </w:r>
      <w:proofErr w:type="spellStart"/>
      <w:r w:rsidRPr="00E16672">
        <w:rPr>
          <w:rFonts w:ascii="Times New Roman" w:hAnsi="Times New Roman"/>
          <w:b w:val="0"/>
          <w:bCs w:val="0"/>
          <w:szCs w:val="20"/>
        </w:rPr>
        <w:t>направлення</w:t>
      </w:r>
      <w:proofErr w:type="spellEnd"/>
      <w:r w:rsidRPr="00E16672">
        <w:rPr>
          <w:rFonts w:ascii="Times New Roman" w:hAnsi="Times New Roman"/>
          <w:b w:val="0"/>
          <w:bCs w:val="0"/>
          <w:szCs w:val="20"/>
        </w:rPr>
        <w:t xml:space="preserve"> </w:t>
      </w:r>
      <w:proofErr w:type="spellStart"/>
      <w:r w:rsidRPr="00E16672">
        <w:rPr>
          <w:rFonts w:ascii="Times New Roman" w:hAnsi="Times New Roman"/>
          <w:b w:val="0"/>
          <w:bCs w:val="0"/>
          <w:szCs w:val="20"/>
        </w:rPr>
        <w:t>відповідним</w:t>
      </w:r>
      <w:proofErr w:type="spellEnd"/>
      <w:r w:rsidRPr="00E16672">
        <w:rPr>
          <w:rFonts w:ascii="Times New Roman" w:hAnsi="Times New Roman"/>
          <w:b w:val="0"/>
          <w:bCs w:val="0"/>
          <w:szCs w:val="20"/>
        </w:rPr>
        <w:t xml:space="preserve"> </w:t>
      </w:r>
      <w:proofErr w:type="spellStart"/>
      <w:r w:rsidRPr="00E16672">
        <w:rPr>
          <w:rFonts w:ascii="Times New Roman" w:hAnsi="Times New Roman"/>
          <w:b w:val="0"/>
          <w:bCs w:val="0"/>
          <w:szCs w:val="20"/>
        </w:rPr>
        <w:t>акціонерним</w:t>
      </w:r>
      <w:proofErr w:type="spellEnd"/>
      <w:r w:rsidRPr="00E16672">
        <w:rPr>
          <w:rFonts w:ascii="Times New Roman" w:hAnsi="Times New Roman"/>
          <w:b w:val="0"/>
          <w:bCs w:val="0"/>
          <w:szCs w:val="20"/>
        </w:rPr>
        <w:t xml:space="preserve"> </w:t>
      </w:r>
      <w:proofErr w:type="spellStart"/>
      <w:r w:rsidRPr="00E16672">
        <w:rPr>
          <w:rFonts w:ascii="Times New Roman" w:hAnsi="Times New Roman"/>
          <w:b w:val="0"/>
          <w:bCs w:val="0"/>
          <w:szCs w:val="20"/>
        </w:rPr>
        <w:t>товариством</w:t>
      </w:r>
      <w:proofErr w:type="spellEnd"/>
      <w:r w:rsidRPr="00E16672">
        <w:rPr>
          <w:rFonts w:ascii="Times New Roman" w:hAnsi="Times New Roman"/>
          <w:b w:val="0"/>
          <w:bCs w:val="0"/>
          <w:szCs w:val="20"/>
        </w:rPr>
        <w:t xml:space="preserve"> </w:t>
      </w:r>
      <w:proofErr w:type="spellStart"/>
      <w:r w:rsidRPr="00E16672">
        <w:rPr>
          <w:rFonts w:ascii="Times New Roman" w:hAnsi="Times New Roman"/>
          <w:b w:val="0"/>
          <w:bCs w:val="0"/>
          <w:szCs w:val="20"/>
        </w:rPr>
        <w:t>повідомлення</w:t>
      </w:r>
      <w:proofErr w:type="spellEnd"/>
      <w:r w:rsidRPr="00E16672">
        <w:rPr>
          <w:rFonts w:ascii="Times New Roman" w:hAnsi="Times New Roman"/>
          <w:b w:val="0"/>
          <w:bCs w:val="0"/>
          <w:szCs w:val="20"/>
        </w:rPr>
        <w:t xml:space="preserve"> </w:t>
      </w:r>
      <w:proofErr w:type="spellStart"/>
      <w:r w:rsidRPr="00E16672">
        <w:rPr>
          <w:rFonts w:ascii="Times New Roman" w:hAnsi="Times New Roman"/>
          <w:b w:val="0"/>
          <w:bCs w:val="0"/>
          <w:szCs w:val="20"/>
        </w:rPr>
        <w:t>акціонерам</w:t>
      </w:r>
      <w:proofErr w:type="spellEnd"/>
      <w:r w:rsidRPr="00E16672">
        <w:rPr>
          <w:rFonts w:ascii="Times New Roman" w:hAnsi="Times New Roman"/>
          <w:b w:val="0"/>
          <w:bCs w:val="0"/>
          <w:szCs w:val="20"/>
        </w:rPr>
        <w:t xml:space="preserve"> через </w:t>
      </w:r>
      <w:proofErr w:type="spellStart"/>
      <w:r w:rsidRPr="00E16672">
        <w:rPr>
          <w:rFonts w:ascii="Times New Roman" w:hAnsi="Times New Roman"/>
          <w:b w:val="0"/>
          <w:bCs w:val="0"/>
          <w:szCs w:val="20"/>
        </w:rPr>
        <w:t>депозитарну</w:t>
      </w:r>
      <w:proofErr w:type="spellEnd"/>
      <w:r w:rsidRPr="00E16672">
        <w:rPr>
          <w:rFonts w:ascii="Times New Roman" w:hAnsi="Times New Roman"/>
          <w:b w:val="0"/>
          <w:bCs w:val="0"/>
          <w:szCs w:val="20"/>
        </w:rPr>
        <w:t xml:space="preserve"> систему </w:t>
      </w:r>
      <w:proofErr w:type="spellStart"/>
      <w:r w:rsidRPr="00E16672">
        <w:rPr>
          <w:rFonts w:ascii="Times New Roman" w:hAnsi="Times New Roman"/>
          <w:b w:val="0"/>
          <w:bCs w:val="0"/>
          <w:szCs w:val="20"/>
        </w:rPr>
        <w:t>України</w:t>
      </w:r>
      <w:proofErr w:type="spellEnd"/>
      <w:r w:rsidRPr="00E16672">
        <w:rPr>
          <w:rFonts w:ascii="Times New Roman" w:hAnsi="Times New Roman"/>
          <w:b w:val="0"/>
          <w:bCs w:val="0"/>
          <w:szCs w:val="20"/>
        </w:rPr>
        <w:t xml:space="preserve"> </w:t>
      </w:r>
      <w:proofErr w:type="spellStart"/>
      <w:r w:rsidRPr="00E16672">
        <w:rPr>
          <w:rFonts w:ascii="Times New Roman" w:hAnsi="Times New Roman"/>
          <w:b w:val="0"/>
          <w:bCs w:val="0"/>
          <w:szCs w:val="20"/>
        </w:rPr>
        <w:t>відповідно</w:t>
      </w:r>
      <w:proofErr w:type="spellEnd"/>
      <w:r w:rsidRPr="00E16672">
        <w:rPr>
          <w:rFonts w:ascii="Times New Roman" w:hAnsi="Times New Roman"/>
          <w:b w:val="0"/>
          <w:bCs w:val="0"/>
          <w:szCs w:val="20"/>
        </w:rPr>
        <w:t xml:space="preserve"> до </w:t>
      </w:r>
      <w:hyperlink r:id="rId37" w:anchor="n3" w:tgtFrame="_blank" w:history="1">
        <w:r w:rsidRPr="00E16672">
          <w:rPr>
            <w:rFonts w:ascii="Times New Roman" w:hAnsi="Times New Roman"/>
            <w:b w:val="0"/>
            <w:bCs w:val="0"/>
            <w:szCs w:val="20"/>
          </w:rPr>
          <w:t xml:space="preserve">Закону </w:t>
        </w:r>
        <w:proofErr w:type="spellStart"/>
        <w:r w:rsidRPr="00E16672">
          <w:rPr>
            <w:rFonts w:ascii="Times New Roman" w:hAnsi="Times New Roman"/>
            <w:b w:val="0"/>
            <w:bCs w:val="0"/>
            <w:szCs w:val="20"/>
          </w:rPr>
          <w:t>України</w:t>
        </w:r>
        <w:proofErr w:type="spellEnd"/>
      </w:hyperlink>
      <w:r w:rsidRPr="00E16672">
        <w:rPr>
          <w:rFonts w:ascii="Times New Roman" w:hAnsi="Times New Roman"/>
          <w:b w:val="0"/>
          <w:bCs w:val="0"/>
          <w:szCs w:val="20"/>
        </w:rPr>
        <w:t> </w:t>
      </w:r>
      <w:r w:rsidR="00022F5F">
        <w:rPr>
          <w:rFonts w:ascii="Times New Roman" w:hAnsi="Times New Roman"/>
          <w:b w:val="0"/>
          <w:bCs w:val="0"/>
          <w:szCs w:val="20"/>
        </w:rPr>
        <w:t>"</w:t>
      </w:r>
      <w:r w:rsidRPr="00E16672">
        <w:rPr>
          <w:rFonts w:ascii="Times New Roman" w:hAnsi="Times New Roman"/>
          <w:b w:val="0"/>
          <w:bCs w:val="0"/>
          <w:szCs w:val="20"/>
        </w:rPr>
        <w:t xml:space="preserve">Про </w:t>
      </w:r>
      <w:proofErr w:type="spellStart"/>
      <w:r w:rsidRPr="00E16672">
        <w:rPr>
          <w:rFonts w:ascii="Times New Roman" w:hAnsi="Times New Roman"/>
          <w:b w:val="0"/>
          <w:bCs w:val="0"/>
          <w:szCs w:val="20"/>
        </w:rPr>
        <w:t>акціонерні</w:t>
      </w:r>
      <w:proofErr w:type="spellEnd"/>
      <w:r w:rsidRPr="00E16672">
        <w:rPr>
          <w:rFonts w:ascii="Times New Roman" w:hAnsi="Times New Roman"/>
          <w:b w:val="0"/>
          <w:bCs w:val="0"/>
          <w:szCs w:val="20"/>
        </w:rPr>
        <w:t xml:space="preserve"> </w:t>
      </w:r>
      <w:proofErr w:type="spellStart"/>
      <w:r w:rsidRPr="00E16672">
        <w:rPr>
          <w:rFonts w:ascii="Times New Roman" w:hAnsi="Times New Roman"/>
          <w:b w:val="0"/>
          <w:bCs w:val="0"/>
          <w:szCs w:val="20"/>
        </w:rPr>
        <w:t>товариства</w:t>
      </w:r>
      <w:proofErr w:type="spellEnd"/>
      <w:r w:rsidR="00022F5F">
        <w:rPr>
          <w:rFonts w:ascii="Times New Roman" w:hAnsi="Times New Roman"/>
          <w:b w:val="0"/>
          <w:bCs w:val="0"/>
          <w:szCs w:val="20"/>
        </w:rPr>
        <w:t>"</w:t>
      </w:r>
      <w:r w:rsidRPr="00E16672">
        <w:rPr>
          <w:rFonts w:ascii="Times New Roman" w:hAnsi="Times New Roman"/>
          <w:b w:val="0"/>
          <w:bCs w:val="0"/>
          <w:szCs w:val="20"/>
        </w:rPr>
        <w:t>.</w:t>
      </w:r>
    </w:p>
    <w:p w14:paraId="58470EA1" w14:textId="77777777" w:rsidR="007974E8" w:rsidRPr="00E16672" w:rsidRDefault="007974E8" w:rsidP="007974E8">
      <w:pPr>
        <w:tabs>
          <w:tab w:val="left" w:pos="851"/>
          <w:tab w:val="left" w:pos="7200"/>
        </w:tabs>
        <w:ind w:firstLine="539"/>
        <w:rPr>
          <w:rFonts w:ascii="Times New Roman" w:hAnsi="Times New Roman"/>
          <w:szCs w:val="20"/>
        </w:rPr>
      </w:pPr>
      <w:r w:rsidRPr="00E16672">
        <w:rPr>
          <w:rFonts w:ascii="Times New Roman" w:hAnsi="Times New Roman"/>
          <w:bCs/>
          <w:color w:val="000000"/>
          <w:szCs w:val="20"/>
        </w:rPr>
        <w:t>2.1.1</w:t>
      </w:r>
      <w:r w:rsidR="000A1A7C" w:rsidRPr="00E16672">
        <w:rPr>
          <w:rFonts w:ascii="Times New Roman" w:hAnsi="Times New Roman"/>
          <w:bCs/>
          <w:color w:val="000000"/>
          <w:szCs w:val="20"/>
        </w:rPr>
        <w:t>8</w:t>
      </w:r>
      <w:r w:rsidRPr="00E16672">
        <w:rPr>
          <w:rFonts w:ascii="Times New Roman" w:hAnsi="Times New Roman"/>
          <w:bCs/>
          <w:color w:val="000000"/>
          <w:szCs w:val="20"/>
        </w:rPr>
        <w:t>.</w:t>
      </w:r>
      <w:r w:rsidRPr="00E16672">
        <w:rPr>
          <w:rFonts w:ascii="Times New Roman" w:hAnsi="Times New Roman"/>
          <w:b/>
          <w:bCs/>
          <w:color w:val="000000"/>
          <w:szCs w:val="20"/>
        </w:rPr>
        <w:t xml:space="preserve"> </w:t>
      </w:r>
      <w:r w:rsidRPr="00E16672">
        <w:rPr>
          <w:rFonts w:ascii="Times New Roman" w:hAnsi="Times New Roman"/>
          <w:color w:val="000000"/>
          <w:szCs w:val="20"/>
          <w:lang w:val="uk-UA"/>
        </w:rPr>
        <w:t>І</w:t>
      </w:r>
      <w:proofErr w:type="spellStart"/>
      <w:r w:rsidRPr="00E16672">
        <w:rPr>
          <w:rFonts w:ascii="Times New Roman" w:hAnsi="Times New Roman"/>
          <w:color w:val="000000"/>
          <w:szCs w:val="20"/>
        </w:rPr>
        <w:t>дентифікувати</w:t>
      </w:r>
      <w:proofErr w:type="spellEnd"/>
      <w:r w:rsidRPr="00E16672">
        <w:rPr>
          <w:rFonts w:ascii="Times New Roman" w:hAnsi="Times New Roman"/>
          <w:color w:val="000000"/>
          <w:szCs w:val="20"/>
        </w:rPr>
        <w:t xml:space="preserve"> та </w:t>
      </w:r>
      <w:proofErr w:type="spellStart"/>
      <w:r w:rsidRPr="00E16672">
        <w:rPr>
          <w:rFonts w:ascii="Times New Roman" w:hAnsi="Times New Roman"/>
          <w:color w:val="000000"/>
          <w:szCs w:val="20"/>
        </w:rPr>
        <w:t>верифікувати</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осіб</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яким</w:t>
      </w:r>
      <w:proofErr w:type="spellEnd"/>
      <w:r w:rsidRPr="00E16672">
        <w:rPr>
          <w:rFonts w:ascii="Times New Roman" w:hAnsi="Times New Roman"/>
          <w:color w:val="000000"/>
          <w:szCs w:val="20"/>
        </w:rPr>
        <w:t xml:space="preserve"> на </w:t>
      </w:r>
      <w:proofErr w:type="spellStart"/>
      <w:r w:rsidRPr="00E16672">
        <w:rPr>
          <w:rFonts w:ascii="Times New Roman" w:hAnsi="Times New Roman"/>
          <w:color w:val="000000"/>
          <w:szCs w:val="20"/>
        </w:rPr>
        <w:t>підставі</w:t>
      </w:r>
      <w:proofErr w:type="spellEnd"/>
      <w:r w:rsidRPr="00E16672">
        <w:rPr>
          <w:rFonts w:ascii="Times New Roman" w:hAnsi="Times New Roman"/>
          <w:color w:val="000000"/>
          <w:szCs w:val="20"/>
        </w:rPr>
        <w:t xml:space="preserve"> </w:t>
      </w:r>
      <w:r w:rsidRPr="00E16672">
        <w:rPr>
          <w:rFonts w:ascii="Times New Roman" w:hAnsi="Times New Roman"/>
          <w:color w:val="000000"/>
          <w:szCs w:val="20"/>
          <w:lang w:val="uk-UA"/>
        </w:rPr>
        <w:t>Д</w:t>
      </w:r>
      <w:r w:rsidRPr="00E16672">
        <w:rPr>
          <w:rFonts w:ascii="Times New Roman" w:hAnsi="Times New Roman"/>
          <w:color w:val="000000"/>
          <w:szCs w:val="20"/>
        </w:rPr>
        <w:t xml:space="preserve">оговору </w:t>
      </w:r>
      <w:r w:rsidRPr="00E16672">
        <w:rPr>
          <w:rFonts w:ascii="Times New Roman" w:hAnsi="Times New Roman"/>
          <w:color w:val="000000"/>
          <w:szCs w:val="20"/>
          <w:lang w:val="uk-UA"/>
        </w:rPr>
        <w:t>відкриває</w:t>
      </w:r>
      <w:r w:rsidRPr="00E16672">
        <w:rPr>
          <w:rFonts w:ascii="Times New Roman" w:hAnsi="Times New Roman"/>
          <w:szCs w:val="20"/>
          <w:lang w:val="uk-UA"/>
        </w:rPr>
        <w:t>ться</w:t>
      </w:r>
      <w:r w:rsidRPr="00E16672">
        <w:rPr>
          <w:rFonts w:ascii="Times New Roman" w:hAnsi="Times New Roman"/>
          <w:szCs w:val="20"/>
        </w:rPr>
        <w:t xml:space="preserve"> </w:t>
      </w:r>
      <w:proofErr w:type="spellStart"/>
      <w:r w:rsidRPr="00E16672">
        <w:rPr>
          <w:rFonts w:ascii="Times New Roman" w:hAnsi="Times New Roman"/>
          <w:szCs w:val="20"/>
        </w:rPr>
        <w:t>рахун</w:t>
      </w:r>
      <w:r w:rsidRPr="00E16672">
        <w:rPr>
          <w:rFonts w:ascii="Times New Roman" w:hAnsi="Times New Roman"/>
          <w:szCs w:val="20"/>
          <w:lang w:val="uk-UA"/>
        </w:rPr>
        <w:t>ок</w:t>
      </w:r>
      <w:proofErr w:type="spellEnd"/>
      <w:r w:rsidRPr="00E16672">
        <w:rPr>
          <w:rFonts w:ascii="Times New Roman" w:hAnsi="Times New Roman"/>
          <w:szCs w:val="20"/>
          <w:lang w:val="uk-UA"/>
        </w:rPr>
        <w:t xml:space="preserve"> </w:t>
      </w:r>
      <w:r w:rsidRPr="00E16672">
        <w:rPr>
          <w:rFonts w:ascii="Times New Roman" w:hAnsi="Times New Roman"/>
          <w:szCs w:val="20"/>
        </w:rPr>
        <w:t xml:space="preserve">в </w:t>
      </w:r>
      <w:proofErr w:type="spellStart"/>
      <w:r w:rsidRPr="00E16672">
        <w:rPr>
          <w:rFonts w:ascii="Times New Roman" w:hAnsi="Times New Roman"/>
          <w:szCs w:val="20"/>
        </w:rPr>
        <w:t>цінних</w:t>
      </w:r>
      <w:proofErr w:type="spellEnd"/>
      <w:r w:rsidRPr="00E16672">
        <w:rPr>
          <w:rFonts w:ascii="Times New Roman" w:hAnsi="Times New Roman"/>
          <w:szCs w:val="20"/>
        </w:rPr>
        <w:t xml:space="preserve"> </w:t>
      </w:r>
      <w:proofErr w:type="spellStart"/>
      <w:r w:rsidRPr="00E16672">
        <w:rPr>
          <w:rFonts w:ascii="Times New Roman" w:hAnsi="Times New Roman"/>
          <w:szCs w:val="20"/>
        </w:rPr>
        <w:t>паперах</w:t>
      </w:r>
      <w:proofErr w:type="spellEnd"/>
      <w:r w:rsidRPr="00E16672">
        <w:rPr>
          <w:rFonts w:ascii="Times New Roman" w:hAnsi="Times New Roman"/>
          <w:szCs w:val="20"/>
        </w:rPr>
        <w:t xml:space="preserve">, а </w:t>
      </w:r>
      <w:proofErr w:type="spellStart"/>
      <w:r w:rsidRPr="00E16672">
        <w:rPr>
          <w:rFonts w:ascii="Times New Roman" w:hAnsi="Times New Roman"/>
          <w:szCs w:val="20"/>
        </w:rPr>
        <w:t>також</w:t>
      </w:r>
      <w:proofErr w:type="spellEnd"/>
      <w:r w:rsidRPr="00E16672">
        <w:rPr>
          <w:rFonts w:ascii="Times New Roman" w:hAnsi="Times New Roman"/>
          <w:szCs w:val="20"/>
        </w:rPr>
        <w:t xml:space="preserve"> </w:t>
      </w:r>
      <w:proofErr w:type="spellStart"/>
      <w:r w:rsidRPr="00E16672">
        <w:rPr>
          <w:rFonts w:ascii="Times New Roman" w:hAnsi="Times New Roman"/>
          <w:szCs w:val="20"/>
        </w:rPr>
        <w:t>осіб</w:t>
      </w:r>
      <w:proofErr w:type="spellEnd"/>
      <w:r w:rsidRPr="00E16672">
        <w:rPr>
          <w:rFonts w:ascii="Times New Roman" w:hAnsi="Times New Roman"/>
          <w:szCs w:val="20"/>
        </w:rPr>
        <w:t xml:space="preserve">, </w:t>
      </w:r>
      <w:proofErr w:type="spellStart"/>
      <w:r w:rsidRPr="00E16672">
        <w:rPr>
          <w:rFonts w:ascii="Times New Roman" w:hAnsi="Times New Roman"/>
          <w:szCs w:val="20"/>
        </w:rPr>
        <w:t>що</w:t>
      </w:r>
      <w:proofErr w:type="spellEnd"/>
      <w:r w:rsidRPr="00E16672">
        <w:rPr>
          <w:rFonts w:ascii="Times New Roman" w:hAnsi="Times New Roman"/>
          <w:szCs w:val="20"/>
        </w:rPr>
        <w:t xml:space="preserve"> </w:t>
      </w:r>
      <w:proofErr w:type="spellStart"/>
      <w:r w:rsidRPr="00E16672">
        <w:rPr>
          <w:rFonts w:ascii="Times New Roman" w:hAnsi="Times New Roman"/>
          <w:szCs w:val="20"/>
        </w:rPr>
        <w:t>мають</w:t>
      </w:r>
      <w:proofErr w:type="spellEnd"/>
      <w:r w:rsidRPr="00E16672">
        <w:rPr>
          <w:rFonts w:ascii="Times New Roman" w:hAnsi="Times New Roman"/>
          <w:szCs w:val="20"/>
        </w:rPr>
        <w:t xml:space="preserve"> </w:t>
      </w:r>
      <w:proofErr w:type="spellStart"/>
      <w:r w:rsidRPr="00E16672">
        <w:rPr>
          <w:rFonts w:ascii="Times New Roman" w:hAnsi="Times New Roman"/>
          <w:szCs w:val="20"/>
        </w:rPr>
        <w:t>повноваження</w:t>
      </w:r>
      <w:proofErr w:type="spellEnd"/>
      <w:r w:rsidRPr="00E16672">
        <w:rPr>
          <w:rFonts w:ascii="Times New Roman" w:hAnsi="Times New Roman"/>
          <w:szCs w:val="20"/>
        </w:rPr>
        <w:t xml:space="preserve"> </w:t>
      </w:r>
      <w:proofErr w:type="spellStart"/>
      <w:r w:rsidRPr="00E16672">
        <w:rPr>
          <w:rFonts w:ascii="Times New Roman" w:hAnsi="Times New Roman"/>
          <w:szCs w:val="20"/>
        </w:rPr>
        <w:t>діяти</w:t>
      </w:r>
      <w:proofErr w:type="spellEnd"/>
      <w:r w:rsidRPr="00E16672">
        <w:rPr>
          <w:rFonts w:ascii="Times New Roman" w:hAnsi="Times New Roman"/>
          <w:szCs w:val="20"/>
        </w:rPr>
        <w:t xml:space="preserve"> </w:t>
      </w:r>
      <w:proofErr w:type="spellStart"/>
      <w:r w:rsidRPr="00E16672">
        <w:rPr>
          <w:rFonts w:ascii="Times New Roman" w:hAnsi="Times New Roman"/>
          <w:szCs w:val="20"/>
        </w:rPr>
        <w:t>від</w:t>
      </w:r>
      <w:proofErr w:type="spellEnd"/>
      <w:r w:rsidRPr="00E16672">
        <w:rPr>
          <w:rFonts w:ascii="Times New Roman" w:hAnsi="Times New Roman"/>
          <w:szCs w:val="20"/>
        </w:rPr>
        <w:t xml:space="preserve"> </w:t>
      </w:r>
      <w:proofErr w:type="spellStart"/>
      <w:r w:rsidRPr="00E16672">
        <w:rPr>
          <w:rFonts w:ascii="Times New Roman" w:hAnsi="Times New Roman"/>
          <w:szCs w:val="20"/>
        </w:rPr>
        <w:t>їх</w:t>
      </w:r>
      <w:proofErr w:type="spellEnd"/>
      <w:r w:rsidRPr="00E16672">
        <w:rPr>
          <w:rFonts w:ascii="Times New Roman" w:hAnsi="Times New Roman"/>
          <w:szCs w:val="20"/>
        </w:rPr>
        <w:t xml:space="preserve"> </w:t>
      </w:r>
      <w:proofErr w:type="spellStart"/>
      <w:r w:rsidRPr="00E16672">
        <w:rPr>
          <w:rFonts w:ascii="Times New Roman" w:hAnsi="Times New Roman"/>
          <w:szCs w:val="20"/>
        </w:rPr>
        <w:t>імені</w:t>
      </w:r>
      <w:proofErr w:type="spellEnd"/>
      <w:r w:rsidRPr="00E16672">
        <w:rPr>
          <w:rFonts w:ascii="Times New Roman" w:hAnsi="Times New Roman"/>
          <w:szCs w:val="20"/>
        </w:rPr>
        <w:t xml:space="preserve">, </w:t>
      </w:r>
      <w:proofErr w:type="gramStart"/>
      <w:r w:rsidRPr="00E16672">
        <w:rPr>
          <w:rFonts w:ascii="Times New Roman" w:hAnsi="Times New Roman"/>
          <w:szCs w:val="20"/>
        </w:rPr>
        <w:t>у порядку</w:t>
      </w:r>
      <w:proofErr w:type="gramEnd"/>
      <w:r w:rsidRPr="00E16672">
        <w:rPr>
          <w:rFonts w:ascii="Times New Roman" w:hAnsi="Times New Roman"/>
          <w:szCs w:val="20"/>
        </w:rPr>
        <w:t xml:space="preserve">, </w:t>
      </w:r>
      <w:proofErr w:type="spellStart"/>
      <w:r w:rsidRPr="00E16672">
        <w:rPr>
          <w:rFonts w:ascii="Times New Roman" w:hAnsi="Times New Roman"/>
          <w:szCs w:val="20"/>
        </w:rPr>
        <w:t>установленому</w:t>
      </w:r>
      <w:proofErr w:type="spellEnd"/>
      <w:r w:rsidRPr="00E16672">
        <w:rPr>
          <w:rFonts w:ascii="Times New Roman" w:hAnsi="Times New Roman"/>
          <w:szCs w:val="20"/>
        </w:rPr>
        <w:t xml:space="preserve"> </w:t>
      </w:r>
      <w:proofErr w:type="spellStart"/>
      <w:r w:rsidRPr="00E16672">
        <w:rPr>
          <w:rFonts w:ascii="Times New Roman" w:hAnsi="Times New Roman"/>
          <w:szCs w:val="20"/>
        </w:rPr>
        <w:t>законодавством</w:t>
      </w:r>
      <w:proofErr w:type="spellEnd"/>
      <w:r w:rsidRPr="00E16672">
        <w:rPr>
          <w:rFonts w:ascii="Times New Roman" w:hAnsi="Times New Roman"/>
          <w:szCs w:val="20"/>
        </w:rPr>
        <w:t xml:space="preserve"> </w:t>
      </w:r>
      <w:proofErr w:type="spellStart"/>
      <w:r w:rsidRPr="00E16672">
        <w:rPr>
          <w:rFonts w:ascii="Times New Roman" w:hAnsi="Times New Roman"/>
          <w:szCs w:val="20"/>
        </w:rPr>
        <w:t>України</w:t>
      </w:r>
      <w:proofErr w:type="spellEnd"/>
      <w:r w:rsidRPr="00E16672">
        <w:rPr>
          <w:rFonts w:ascii="Times New Roman" w:hAnsi="Times New Roman"/>
          <w:szCs w:val="20"/>
        </w:rPr>
        <w:t>.</w:t>
      </w:r>
    </w:p>
    <w:p w14:paraId="39091832" w14:textId="77777777" w:rsidR="007974E8" w:rsidRPr="00E16672" w:rsidRDefault="007974E8" w:rsidP="007974E8">
      <w:pPr>
        <w:tabs>
          <w:tab w:val="left" w:pos="360"/>
        </w:tabs>
        <w:ind w:left="-14" w:firstLine="581"/>
        <w:rPr>
          <w:rStyle w:val="rvts0"/>
          <w:rFonts w:ascii="Times New Roman" w:hAnsi="Times New Roman"/>
          <w:color w:val="000000"/>
          <w:szCs w:val="20"/>
          <w:lang w:val="uk-UA"/>
        </w:rPr>
      </w:pPr>
      <w:r w:rsidRPr="00E16672">
        <w:rPr>
          <w:rStyle w:val="rvts0"/>
          <w:rFonts w:ascii="Times New Roman" w:hAnsi="Times New Roman"/>
          <w:color w:val="000000"/>
          <w:szCs w:val="20"/>
          <w:lang w:val="uk-UA"/>
        </w:rPr>
        <w:t xml:space="preserve">Ідентифікація клієнта не є обов’язковою у разі проведення фінансової операції (відкриття рахунку) особами, які раніше були ідентифіковані або </w:t>
      </w:r>
      <w:proofErr w:type="spellStart"/>
      <w:r w:rsidRPr="00E16672">
        <w:rPr>
          <w:rStyle w:val="rvts0"/>
          <w:rFonts w:ascii="Times New Roman" w:hAnsi="Times New Roman"/>
          <w:color w:val="000000"/>
          <w:szCs w:val="20"/>
          <w:lang w:val="uk-UA"/>
        </w:rPr>
        <w:t>верифіковані</w:t>
      </w:r>
      <w:proofErr w:type="spellEnd"/>
      <w:r w:rsidRPr="00E16672">
        <w:rPr>
          <w:rStyle w:val="rvts0"/>
          <w:rFonts w:ascii="Times New Roman" w:hAnsi="Times New Roman"/>
          <w:color w:val="000000"/>
          <w:szCs w:val="20"/>
          <w:lang w:val="uk-UA"/>
        </w:rPr>
        <w:t xml:space="preserve"> Депозитарною установою згідно з вимогами закону.</w:t>
      </w:r>
    </w:p>
    <w:p w14:paraId="2CF20A9C" w14:textId="77777777" w:rsidR="007974E8" w:rsidRPr="00E16672" w:rsidRDefault="007974E8" w:rsidP="007974E8">
      <w:pPr>
        <w:pStyle w:val="western"/>
        <w:spacing w:before="0" w:after="0"/>
        <w:ind w:firstLine="561"/>
        <w:jc w:val="both"/>
        <w:rPr>
          <w:rFonts w:ascii="Times New Roman" w:hAnsi="Times New Roman"/>
          <w:b w:val="0"/>
          <w:bCs w:val="0"/>
          <w:color w:val="000000"/>
          <w:szCs w:val="20"/>
        </w:rPr>
      </w:pPr>
      <w:r w:rsidRPr="00E16672">
        <w:rPr>
          <w:rFonts w:ascii="Times New Roman" w:hAnsi="Times New Roman"/>
          <w:b w:val="0"/>
          <w:bCs w:val="0"/>
          <w:color w:val="000000"/>
          <w:szCs w:val="20"/>
        </w:rPr>
        <w:t>2.1.</w:t>
      </w:r>
      <w:r w:rsidR="000A1A7C" w:rsidRPr="00E16672">
        <w:rPr>
          <w:rFonts w:ascii="Times New Roman" w:hAnsi="Times New Roman"/>
          <w:b w:val="0"/>
          <w:bCs w:val="0"/>
          <w:color w:val="000000"/>
          <w:szCs w:val="20"/>
          <w:lang w:val="uk-UA"/>
        </w:rPr>
        <w:t>19</w:t>
      </w:r>
      <w:r w:rsidRPr="00E16672">
        <w:rPr>
          <w:rFonts w:ascii="Times New Roman" w:hAnsi="Times New Roman"/>
          <w:b w:val="0"/>
          <w:bCs w:val="0"/>
          <w:color w:val="000000"/>
          <w:szCs w:val="20"/>
        </w:rPr>
        <w:t xml:space="preserve">. </w:t>
      </w:r>
      <w:proofErr w:type="spellStart"/>
      <w:r w:rsidRPr="00E16672">
        <w:rPr>
          <w:rFonts w:ascii="Times New Roman" w:hAnsi="Times New Roman"/>
          <w:b w:val="0"/>
          <w:bCs w:val="0"/>
          <w:color w:val="000000"/>
          <w:szCs w:val="20"/>
        </w:rPr>
        <w:t>Складати</w:t>
      </w:r>
      <w:proofErr w:type="spellEnd"/>
      <w:r w:rsidRPr="00E16672">
        <w:rPr>
          <w:rFonts w:ascii="Times New Roman" w:hAnsi="Times New Roman"/>
          <w:b w:val="0"/>
          <w:bCs w:val="0"/>
          <w:color w:val="000000"/>
          <w:szCs w:val="20"/>
        </w:rPr>
        <w:t xml:space="preserve"> акт </w:t>
      </w:r>
      <w:proofErr w:type="spellStart"/>
      <w:r w:rsidRPr="00E16672">
        <w:rPr>
          <w:rFonts w:ascii="Times New Roman" w:hAnsi="Times New Roman"/>
          <w:b w:val="0"/>
          <w:bCs w:val="0"/>
          <w:color w:val="000000"/>
          <w:szCs w:val="20"/>
        </w:rPr>
        <w:t>приймання-передавання</w:t>
      </w:r>
      <w:proofErr w:type="spellEnd"/>
      <w:r w:rsidRPr="00E16672">
        <w:rPr>
          <w:rFonts w:ascii="Times New Roman" w:hAnsi="Times New Roman"/>
          <w:b w:val="0"/>
          <w:bCs w:val="0"/>
          <w:color w:val="000000"/>
          <w:szCs w:val="20"/>
        </w:rPr>
        <w:t xml:space="preserve"> </w:t>
      </w:r>
      <w:proofErr w:type="spellStart"/>
      <w:r w:rsidRPr="00E16672">
        <w:rPr>
          <w:rFonts w:ascii="Times New Roman" w:hAnsi="Times New Roman"/>
          <w:b w:val="0"/>
          <w:bCs w:val="0"/>
          <w:color w:val="000000"/>
          <w:szCs w:val="20"/>
        </w:rPr>
        <w:t>документів</w:t>
      </w:r>
      <w:proofErr w:type="spellEnd"/>
      <w:r w:rsidRPr="00E16672">
        <w:rPr>
          <w:rFonts w:ascii="Times New Roman" w:hAnsi="Times New Roman"/>
          <w:b w:val="0"/>
          <w:bCs w:val="0"/>
          <w:color w:val="000000"/>
          <w:szCs w:val="20"/>
        </w:rPr>
        <w:t xml:space="preserve">, </w:t>
      </w:r>
      <w:proofErr w:type="spellStart"/>
      <w:r w:rsidRPr="00E16672">
        <w:rPr>
          <w:rFonts w:ascii="Times New Roman" w:hAnsi="Times New Roman"/>
          <w:b w:val="0"/>
          <w:bCs w:val="0"/>
          <w:color w:val="000000"/>
          <w:szCs w:val="20"/>
        </w:rPr>
        <w:t>що</w:t>
      </w:r>
      <w:proofErr w:type="spellEnd"/>
      <w:r w:rsidRPr="00E16672">
        <w:rPr>
          <w:rFonts w:ascii="Times New Roman" w:hAnsi="Times New Roman"/>
          <w:b w:val="0"/>
          <w:bCs w:val="0"/>
          <w:color w:val="000000"/>
          <w:szCs w:val="20"/>
        </w:rPr>
        <w:t xml:space="preserve"> </w:t>
      </w:r>
      <w:proofErr w:type="spellStart"/>
      <w:r w:rsidRPr="00E16672">
        <w:rPr>
          <w:rFonts w:ascii="Times New Roman" w:hAnsi="Times New Roman"/>
          <w:b w:val="0"/>
          <w:bCs w:val="0"/>
          <w:color w:val="000000"/>
          <w:szCs w:val="20"/>
        </w:rPr>
        <w:t>були</w:t>
      </w:r>
      <w:proofErr w:type="spellEnd"/>
      <w:r w:rsidRPr="00E16672">
        <w:rPr>
          <w:rFonts w:ascii="Times New Roman" w:hAnsi="Times New Roman"/>
          <w:b w:val="0"/>
          <w:bCs w:val="0"/>
          <w:color w:val="000000"/>
          <w:szCs w:val="20"/>
        </w:rPr>
        <w:t xml:space="preserve"> </w:t>
      </w:r>
      <w:proofErr w:type="spellStart"/>
      <w:r w:rsidRPr="00E16672">
        <w:rPr>
          <w:rFonts w:ascii="Times New Roman" w:hAnsi="Times New Roman"/>
          <w:b w:val="0"/>
          <w:bCs w:val="0"/>
          <w:color w:val="000000"/>
          <w:szCs w:val="20"/>
        </w:rPr>
        <w:t>підставою</w:t>
      </w:r>
      <w:proofErr w:type="spellEnd"/>
      <w:r w:rsidRPr="00E16672">
        <w:rPr>
          <w:rFonts w:ascii="Times New Roman" w:hAnsi="Times New Roman"/>
          <w:b w:val="0"/>
          <w:bCs w:val="0"/>
          <w:color w:val="000000"/>
          <w:szCs w:val="20"/>
        </w:rPr>
        <w:t xml:space="preserve"> для </w:t>
      </w:r>
      <w:proofErr w:type="spellStart"/>
      <w:r w:rsidRPr="00E16672">
        <w:rPr>
          <w:rFonts w:ascii="Times New Roman" w:hAnsi="Times New Roman"/>
          <w:b w:val="0"/>
          <w:bCs w:val="0"/>
          <w:color w:val="000000"/>
          <w:szCs w:val="20"/>
        </w:rPr>
        <w:t>встановлення</w:t>
      </w:r>
      <w:proofErr w:type="spellEnd"/>
      <w:r w:rsidRPr="00E16672">
        <w:rPr>
          <w:rFonts w:ascii="Times New Roman" w:hAnsi="Times New Roman"/>
          <w:b w:val="0"/>
          <w:bCs w:val="0"/>
          <w:color w:val="000000"/>
          <w:szCs w:val="20"/>
        </w:rPr>
        <w:t xml:space="preserve"> </w:t>
      </w:r>
      <w:proofErr w:type="spellStart"/>
      <w:r w:rsidRPr="00E16672">
        <w:rPr>
          <w:rFonts w:ascii="Times New Roman" w:hAnsi="Times New Roman"/>
          <w:b w:val="0"/>
          <w:bCs w:val="0"/>
          <w:color w:val="000000"/>
          <w:szCs w:val="20"/>
        </w:rPr>
        <w:t>обмежень</w:t>
      </w:r>
      <w:proofErr w:type="spellEnd"/>
      <w:r w:rsidRPr="00E16672">
        <w:rPr>
          <w:rFonts w:ascii="Times New Roman" w:hAnsi="Times New Roman"/>
          <w:b w:val="0"/>
          <w:bCs w:val="0"/>
          <w:color w:val="000000"/>
          <w:szCs w:val="20"/>
        </w:rPr>
        <w:t xml:space="preserve"> </w:t>
      </w:r>
      <w:proofErr w:type="spellStart"/>
      <w:r w:rsidRPr="00E16672">
        <w:rPr>
          <w:rFonts w:ascii="Times New Roman" w:hAnsi="Times New Roman"/>
          <w:b w:val="0"/>
          <w:bCs w:val="0"/>
          <w:color w:val="000000"/>
          <w:szCs w:val="20"/>
        </w:rPr>
        <w:t>цінних</w:t>
      </w:r>
      <w:proofErr w:type="spellEnd"/>
      <w:r w:rsidRPr="00E16672">
        <w:rPr>
          <w:rFonts w:ascii="Times New Roman" w:hAnsi="Times New Roman"/>
          <w:b w:val="0"/>
          <w:bCs w:val="0"/>
          <w:color w:val="000000"/>
          <w:szCs w:val="20"/>
        </w:rPr>
        <w:t xml:space="preserve"> </w:t>
      </w:r>
      <w:proofErr w:type="spellStart"/>
      <w:r w:rsidRPr="00E16672">
        <w:rPr>
          <w:rFonts w:ascii="Times New Roman" w:hAnsi="Times New Roman"/>
          <w:b w:val="0"/>
          <w:bCs w:val="0"/>
          <w:color w:val="000000"/>
          <w:szCs w:val="20"/>
        </w:rPr>
        <w:t>паперів</w:t>
      </w:r>
      <w:proofErr w:type="spellEnd"/>
      <w:r w:rsidRPr="00E16672">
        <w:rPr>
          <w:rFonts w:ascii="Times New Roman" w:hAnsi="Times New Roman"/>
          <w:b w:val="0"/>
          <w:bCs w:val="0"/>
          <w:color w:val="000000"/>
          <w:szCs w:val="20"/>
        </w:rPr>
        <w:t xml:space="preserve"> в </w:t>
      </w:r>
      <w:proofErr w:type="spellStart"/>
      <w:r w:rsidRPr="00E16672">
        <w:rPr>
          <w:rFonts w:ascii="Times New Roman" w:hAnsi="Times New Roman"/>
          <w:b w:val="0"/>
          <w:bCs w:val="0"/>
          <w:color w:val="000000"/>
          <w:szCs w:val="20"/>
        </w:rPr>
        <w:t>обігу</w:t>
      </w:r>
      <w:proofErr w:type="spellEnd"/>
      <w:r w:rsidRPr="00E16672">
        <w:rPr>
          <w:rFonts w:ascii="Times New Roman" w:hAnsi="Times New Roman"/>
          <w:b w:val="0"/>
          <w:bCs w:val="0"/>
          <w:color w:val="000000"/>
          <w:szCs w:val="20"/>
        </w:rPr>
        <w:t xml:space="preserve"> по </w:t>
      </w:r>
      <w:proofErr w:type="spellStart"/>
      <w:r w:rsidRPr="00E16672">
        <w:rPr>
          <w:rFonts w:ascii="Times New Roman" w:hAnsi="Times New Roman"/>
          <w:b w:val="0"/>
          <w:bCs w:val="0"/>
          <w:color w:val="000000"/>
          <w:szCs w:val="20"/>
        </w:rPr>
        <w:t>рахунку</w:t>
      </w:r>
      <w:proofErr w:type="spellEnd"/>
      <w:r w:rsidRPr="00E16672">
        <w:rPr>
          <w:rFonts w:ascii="Times New Roman" w:hAnsi="Times New Roman"/>
          <w:b w:val="0"/>
          <w:bCs w:val="0"/>
          <w:color w:val="000000"/>
          <w:szCs w:val="20"/>
        </w:rPr>
        <w:t xml:space="preserve"> </w:t>
      </w:r>
      <w:r w:rsidR="00C22309" w:rsidRPr="00E16672">
        <w:rPr>
          <w:rFonts w:ascii="Times New Roman" w:hAnsi="Times New Roman"/>
          <w:b w:val="0"/>
          <w:bCs w:val="0"/>
          <w:color w:val="000000"/>
          <w:szCs w:val="20"/>
        </w:rPr>
        <w:t xml:space="preserve">в </w:t>
      </w:r>
      <w:proofErr w:type="spellStart"/>
      <w:r w:rsidR="00C22309" w:rsidRPr="00E16672">
        <w:rPr>
          <w:rFonts w:ascii="Times New Roman" w:hAnsi="Times New Roman"/>
          <w:b w:val="0"/>
          <w:bCs w:val="0"/>
          <w:color w:val="000000"/>
          <w:szCs w:val="20"/>
        </w:rPr>
        <w:t>цін</w:t>
      </w:r>
      <w:r w:rsidRPr="00E16672">
        <w:rPr>
          <w:rFonts w:ascii="Times New Roman" w:hAnsi="Times New Roman"/>
          <w:b w:val="0"/>
          <w:bCs w:val="0"/>
          <w:color w:val="000000"/>
          <w:szCs w:val="20"/>
        </w:rPr>
        <w:t>них</w:t>
      </w:r>
      <w:proofErr w:type="spellEnd"/>
      <w:r w:rsidRPr="00E16672">
        <w:rPr>
          <w:rFonts w:ascii="Times New Roman" w:hAnsi="Times New Roman"/>
          <w:b w:val="0"/>
          <w:bCs w:val="0"/>
          <w:color w:val="000000"/>
          <w:szCs w:val="20"/>
        </w:rPr>
        <w:t xml:space="preserve"> </w:t>
      </w:r>
      <w:proofErr w:type="spellStart"/>
      <w:r w:rsidRPr="00E16672">
        <w:rPr>
          <w:rFonts w:ascii="Times New Roman" w:hAnsi="Times New Roman"/>
          <w:b w:val="0"/>
          <w:bCs w:val="0"/>
          <w:color w:val="000000"/>
          <w:szCs w:val="20"/>
        </w:rPr>
        <w:t>паперах</w:t>
      </w:r>
      <w:proofErr w:type="spellEnd"/>
      <w:r w:rsidRPr="00E16672">
        <w:rPr>
          <w:rFonts w:ascii="Times New Roman" w:hAnsi="Times New Roman"/>
          <w:b w:val="0"/>
          <w:bCs w:val="0"/>
          <w:color w:val="000000"/>
          <w:szCs w:val="20"/>
        </w:rPr>
        <w:t xml:space="preserve"> Депонента, з </w:t>
      </w:r>
      <w:proofErr w:type="spellStart"/>
      <w:r w:rsidRPr="00E16672">
        <w:rPr>
          <w:rFonts w:ascii="Times New Roman" w:hAnsi="Times New Roman"/>
          <w:b w:val="0"/>
          <w:bCs w:val="0"/>
          <w:color w:val="000000"/>
          <w:szCs w:val="20"/>
        </w:rPr>
        <w:t>якого</w:t>
      </w:r>
      <w:proofErr w:type="spellEnd"/>
      <w:r w:rsidRPr="00E16672">
        <w:rPr>
          <w:rFonts w:ascii="Times New Roman" w:hAnsi="Times New Roman"/>
          <w:b w:val="0"/>
          <w:bCs w:val="0"/>
          <w:color w:val="000000"/>
          <w:szCs w:val="20"/>
        </w:rPr>
        <w:t xml:space="preserve"> </w:t>
      </w:r>
      <w:proofErr w:type="spellStart"/>
      <w:r w:rsidRPr="00E16672">
        <w:rPr>
          <w:rFonts w:ascii="Times New Roman" w:hAnsi="Times New Roman"/>
          <w:b w:val="0"/>
          <w:bCs w:val="0"/>
          <w:color w:val="000000"/>
          <w:szCs w:val="20"/>
        </w:rPr>
        <w:t>підлягають</w:t>
      </w:r>
      <w:proofErr w:type="spellEnd"/>
      <w:r w:rsidRPr="00E16672">
        <w:rPr>
          <w:rFonts w:ascii="Times New Roman" w:hAnsi="Times New Roman"/>
          <w:b w:val="0"/>
          <w:bCs w:val="0"/>
          <w:color w:val="000000"/>
          <w:szCs w:val="20"/>
        </w:rPr>
        <w:t xml:space="preserve"> </w:t>
      </w:r>
      <w:proofErr w:type="spellStart"/>
      <w:r w:rsidRPr="00E16672">
        <w:rPr>
          <w:rFonts w:ascii="Times New Roman" w:hAnsi="Times New Roman"/>
          <w:b w:val="0"/>
          <w:bCs w:val="0"/>
          <w:color w:val="000000"/>
          <w:szCs w:val="20"/>
        </w:rPr>
        <w:t>списанню</w:t>
      </w:r>
      <w:proofErr w:type="spellEnd"/>
      <w:r w:rsidRPr="00E16672">
        <w:rPr>
          <w:rFonts w:ascii="Times New Roman" w:hAnsi="Times New Roman"/>
          <w:b w:val="0"/>
          <w:bCs w:val="0"/>
          <w:color w:val="000000"/>
          <w:szCs w:val="20"/>
        </w:rPr>
        <w:t xml:space="preserve"> права на </w:t>
      </w:r>
      <w:proofErr w:type="spellStart"/>
      <w:r w:rsidRPr="00E16672">
        <w:rPr>
          <w:rFonts w:ascii="Times New Roman" w:hAnsi="Times New Roman"/>
          <w:b w:val="0"/>
          <w:bCs w:val="0"/>
          <w:color w:val="000000"/>
          <w:szCs w:val="20"/>
        </w:rPr>
        <w:t>цінні</w:t>
      </w:r>
      <w:proofErr w:type="spellEnd"/>
      <w:r w:rsidRPr="00E16672">
        <w:rPr>
          <w:rFonts w:ascii="Times New Roman" w:hAnsi="Times New Roman"/>
          <w:b w:val="0"/>
          <w:bCs w:val="0"/>
          <w:color w:val="000000"/>
          <w:szCs w:val="20"/>
        </w:rPr>
        <w:t xml:space="preserve"> </w:t>
      </w:r>
      <w:proofErr w:type="spellStart"/>
      <w:r w:rsidRPr="00E16672">
        <w:rPr>
          <w:rFonts w:ascii="Times New Roman" w:hAnsi="Times New Roman"/>
          <w:b w:val="0"/>
          <w:bCs w:val="0"/>
          <w:color w:val="000000"/>
          <w:szCs w:val="20"/>
        </w:rPr>
        <w:t>папери</w:t>
      </w:r>
      <w:proofErr w:type="spellEnd"/>
      <w:r w:rsidRPr="00E16672">
        <w:rPr>
          <w:rFonts w:ascii="Times New Roman" w:hAnsi="Times New Roman"/>
          <w:b w:val="0"/>
          <w:bCs w:val="0"/>
          <w:color w:val="000000"/>
          <w:szCs w:val="20"/>
        </w:rPr>
        <w:t xml:space="preserve">, </w:t>
      </w:r>
      <w:proofErr w:type="spellStart"/>
      <w:r w:rsidRPr="00E16672">
        <w:rPr>
          <w:rFonts w:ascii="Times New Roman" w:hAnsi="Times New Roman"/>
          <w:b w:val="0"/>
          <w:bCs w:val="0"/>
          <w:color w:val="000000"/>
          <w:szCs w:val="20"/>
        </w:rPr>
        <w:t>що</w:t>
      </w:r>
      <w:proofErr w:type="spellEnd"/>
      <w:r w:rsidRPr="00E16672">
        <w:rPr>
          <w:rFonts w:ascii="Times New Roman" w:hAnsi="Times New Roman"/>
          <w:b w:val="0"/>
          <w:bCs w:val="0"/>
          <w:color w:val="000000"/>
          <w:szCs w:val="20"/>
        </w:rPr>
        <w:t xml:space="preserve"> </w:t>
      </w:r>
      <w:proofErr w:type="spellStart"/>
      <w:r w:rsidRPr="00E16672">
        <w:rPr>
          <w:rFonts w:ascii="Times New Roman" w:hAnsi="Times New Roman"/>
          <w:b w:val="0"/>
          <w:bCs w:val="0"/>
          <w:color w:val="000000"/>
          <w:szCs w:val="20"/>
        </w:rPr>
        <w:t>обмежені</w:t>
      </w:r>
      <w:proofErr w:type="spellEnd"/>
      <w:r w:rsidRPr="00E16672">
        <w:rPr>
          <w:rFonts w:ascii="Times New Roman" w:hAnsi="Times New Roman"/>
          <w:b w:val="0"/>
          <w:bCs w:val="0"/>
          <w:color w:val="000000"/>
          <w:szCs w:val="20"/>
        </w:rPr>
        <w:t xml:space="preserve"> в </w:t>
      </w:r>
      <w:proofErr w:type="spellStart"/>
      <w:r w:rsidRPr="00E16672">
        <w:rPr>
          <w:rFonts w:ascii="Times New Roman" w:hAnsi="Times New Roman"/>
          <w:b w:val="0"/>
          <w:bCs w:val="0"/>
          <w:color w:val="000000"/>
          <w:szCs w:val="20"/>
        </w:rPr>
        <w:t>обігу</w:t>
      </w:r>
      <w:proofErr w:type="spellEnd"/>
      <w:r w:rsidRPr="00E16672">
        <w:rPr>
          <w:rFonts w:ascii="Times New Roman" w:hAnsi="Times New Roman"/>
          <w:b w:val="0"/>
          <w:bCs w:val="0"/>
          <w:color w:val="000000"/>
          <w:szCs w:val="20"/>
        </w:rPr>
        <w:t>.</w:t>
      </w:r>
    </w:p>
    <w:p w14:paraId="5C8DD158" w14:textId="77777777" w:rsidR="007974E8" w:rsidRPr="00E16672" w:rsidRDefault="007974E8" w:rsidP="00022F5F">
      <w:pPr>
        <w:pStyle w:val="western"/>
        <w:spacing w:before="0" w:after="0"/>
        <w:ind w:firstLine="539"/>
        <w:jc w:val="left"/>
        <w:rPr>
          <w:rFonts w:ascii="Times New Roman" w:hAnsi="Times New Roman"/>
          <w:b w:val="0"/>
          <w:bCs w:val="0"/>
          <w:color w:val="000000"/>
          <w:szCs w:val="20"/>
        </w:rPr>
      </w:pPr>
      <w:r w:rsidRPr="00E16672">
        <w:rPr>
          <w:rFonts w:ascii="Times New Roman" w:hAnsi="Times New Roman"/>
          <w:b w:val="0"/>
          <w:bCs w:val="0"/>
          <w:color w:val="000000"/>
          <w:szCs w:val="20"/>
        </w:rPr>
        <w:t>2.1.2</w:t>
      </w:r>
      <w:r w:rsidR="000A1A7C" w:rsidRPr="00E16672">
        <w:rPr>
          <w:rFonts w:ascii="Times New Roman" w:hAnsi="Times New Roman"/>
          <w:b w:val="0"/>
          <w:bCs w:val="0"/>
          <w:color w:val="000000"/>
          <w:szCs w:val="20"/>
        </w:rPr>
        <w:t>0</w:t>
      </w:r>
      <w:r w:rsidRPr="00E16672">
        <w:rPr>
          <w:rFonts w:ascii="Times New Roman" w:hAnsi="Times New Roman"/>
          <w:b w:val="0"/>
          <w:bCs w:val="0"/>
          <w:color w:val="000000"/>
          <w:szCs w:val="20"/>
        </w:rPr>
        <w:t xml:space="preserve">. </w:t>
      </w:r>
      <w:proofErr w:type="spellStart"/>
      <w:r w:rsidR="00FC3003" w:rsidRPr="00E16672">
        <w:rPr>
          <w:rFonts w:ascii="Times New Roman" w:hAnsi="Times New Roman"/>
          <w:b w:val="0"/>
          <w:szCs w:val="20"/>
        </w:rPr>
        <w:t>Розкривати</w:t>
      </w:r>
      <w:proofErr w:type="spellEnd"/>
      <w:r w:rsidR="00FC3003" w:rsidRPr="00E16672">
        <w:rPr>
          <w:rFonts w:ascii="Times New Roman" w:hAnsi="Times New Roman"/>
          <w:b w:val="0"/>
          <w:szCs w:val="20"/>
        </w:rPr>
        <w:t xml:space="preserve"> депоненту </w:t>
      </w:r>
      <w:proofErr w:type="spellStart"/>
      <w:r w:rsidR="00FC3003" w:rsidRPr="00E16672">
        <w:rPr>
          <w:rFonts w:ascii="Times New Roman" w:hAnsi="Times New Roman"/>
          <w:b w:val="0"/>
          <w:szCs w:val="20"/>
        </w:rPr>
        <w:t>інформацію</w:t>
      </w:r>
      <w:proofErr w:type="spellEnd"/>
      <w:r w:rsidR="00FC3003" w:rsidRPr="00E16672">
        <w:rPr>
          <w:rFonts w:ascii="Times New Roman" w:hAnsi="Times New Roman"/>
          <w:b w:val="0"/>
          <w:szCs w:val="20"/>
        </w:rPr>
        <w:t xml:space="preserve"> про </w:t>
      </w:r>
      <w:proofErr w:type="spellStart"/>
      <w:r w:rsidR="00FC3003" w:rsidRPr="00E16672">
        <w:rPr>
          <w:rFonts w:ascii="Times New Roman" w:hAnsi="Times New Roman"/>
          <w:b w:val="0"/>
          <w:szCs w:val="20"/>
        </w:rPr>
        <w:t>умови</w:t>
      </w:r>
      <w:proofErr w:type="spellEnd"/>
      <w:r w:rsidR="00FC3003" w:rsidRPr="00E16672">
        <w:rPr>
          <w:rFonts w:ascii="Times New Roman" w:hAnsi="Times New Roman"/>
          <w:b w:val="0"/>
          <w:szCs w:val="20"/>
        </w:rPr>
        <w:t xml:space="preserve"> та порядок </w:t>
      </w:r>
      <w:proofErr w:type="spellStart"/>
      <w:r w:rsidR="00FC3003" w:rsidRPr="00E16672">
        <w:rPr>
          <w:rFonts w:ascii="Times New Roman" w:hAnsi="Times New Roman"/>
          <w:b w:val="0"/>
          <w:szCs w:val="20"/>
        </w:rPr>
        <w:t>діяльності</w:t>
      </w:r>
      <w:proofErr w:type="spellEnd"/>
      <w:r w:rsidR="00FC3003" w:rsidRPr="00E16672">
        <w:rPr>
          <w:rFonts w:ascii="Times New Roman" w:hAnsi="Times New Roman"/>
          <w:b w:val="0"/>
          <w:szCs w:val="20"/>
        </w:rPr>
        <w:t xml:space="preserve"> </w:t>
      </w:r>
      <w:proofErr w:type="spellStart"/>
      <w:r w:rsidR="00FC3003" w:rsidRPr="00E16672">
        <w:rPr>
          <w:rFonts w:ascii="Times New Roman" w:hAnsi="Times New Roman"/>
          <w:b w:val="0"/>
          <w:szCs w:val="20"/>
        </w:rPr>
        <w:t>депозитарної</w:t>
      </w:r>
      <w:proofErr w:type="spellEnd"/>
      <w:r w:rsidR="00FC3003" w:rsidRPr="00E16672">
        <w:rPr>
          <w:rFonts w:ascii="Times New Roman" w:hAnsi="Times New Roman"/>
          <w:b w:val="0"/>
          <w:szCs w:val="20"/>
        </w:rPr>
        <w:t xml:space="preserve"> установи з </w:t>
      </w:r>
      <w:proofErr w:type="spellStart"/>
      <w:r w:rsidR="00FC3003" w:rsidRPr="00E16672">
        <w:rPr>
          <w:rFonts w:ascii="Times New Roman" w:hAnsi="Times New Roman"/>
          <w:b w:val="0"/>
          <w:szCs w:val="20"/>
        </w:rPr>
        <w:t>урахуванням</w:t>
      </w:r>
      <w:proofErr w:type="spellEnd"/>
      <w:r w:rsidR="00FC3003" w:rsidRPr="00E16672">
        <w:rPr>
          <w:rFonts w:ascii="Times New Roman" w:hAnsi="Times New Roman"/>
          <w:b w:val="0"/>
          <w:szCs w:val="20"/>
        </w:rPr>
        <w:t xml:space="preserve"> </w:t>
      </w:r>
      <w:proofErr w:type="spellStart"/>
      <w:r w:rsidR="00FC3003" w:rsidRPr="00E16672">
        <w:rPr>
          <w:rFonts w:ascii="Times New Roman" w:hAnsi="Times New Roman"/>
          <w:b w:val="0"/>
          <w:szCs w:val="20"/>
        </w:rPr>
        <w:t>вимог</w:t>
      </w:r>
      <w:proofErr w:type="spellEnd"/>
      <w:r w:rsidR="00FC3003" w:rsidRPr="00E16672">
        <w:rPr>
          <w:rFonts w:ascii="Times New Roman" w:hAnsi="Times New Roman"/>
          <w:b w:val="0"/>
          <w:szCs w:val="20"/>
        </w:rPr>
        <w:t xml:space="preserve">, </w:t>
      </w:r>
      <w:proofErr w:type="spellStart"/>
      <w:r w:rsidR="00FC3003" w:rsidRPr="00E16672">
        <w:rPr>
          <w:rFonts w:ascii="Times New Roman" w:hAnsi="Times New Roman"/>
          <w:b w:val="0"/>
          <w:szCs w:val="20"/>
        </w:rPr>
        <w:t>встановлених</w:t>
      </w:r>
      <w:proofErr w:type="spellEnd"/>
      <w:r w:rsidR="00FC3003" w:rsidRPr="00E16672">
        <w:rPr>
          <w:rFonts w:ascii="Times New Roman" w:hAnsi="Times New Roman"/>
          <w:b w:val="0"/>
          <w:szCs w:val="20"/>
        </w:rPr>
        <w:t> </w:t>
      </w:r>
      <w:proofErr w:type="spellStart"/>
      <w:r w:rsidR="00FC3003" w:rsidRPr="00E16672">
        <w:rPr>
          <w:rFonts w:ascii="Times New Roman" w:hAnsi="Times New Roman"/>
          <w:b w:val="0"/>
          <w:szCs w:val="20"/>
        </w:rPr>
        <w:t>частиною</w:t>
      </w:r>
      <w:proofErr w:type="spellEnd"/>
      <w:r w:rsidR="00FC3003" w:rsidRPr="00E16672">
        <w:rPr>
          <w:rFonts w:ascii="Times New Roman" w:hAnsi="Times New Roman"/>
          <w:b w:val="0"/>
          <w:szCs w:val="20"/>
        </w:rPr>
        <w:t xml:space="preserve"> </w:t>
      </w:r>
      <w:proofErr w:type="spellStart"/>
      <w:r w:rsidR="00FC3003" w:rsidRPr="00E16672">
        <w:rPr>
          <w:rFonts w:ascii="Times New Roman" w:hAnsi="Times New Roman"/>
          <w:b w:val="0"/>
          <w:szCs w:val="20"/>
        </w:rPr>
        <w:t>першою</w:t>
      </w:r>
      <w:proofErr w:type="spellEnd"/>
      <w:r w:rsidR="00FC3003" w:rsidRPr="00E16672">
        <w:rPr>
          <w:rFonts w:ascii="Times New Roman" w:hAnsi="Times New Roman"/>
          <w:b w:val="0"/>
          <w:szCs w:val="20"/>
        </w:rPr>
        <w:t xml:space="preserve"> </w:t>
      </w:r>
      <w:proofErr w:type="spellStart"/>
      <w:r w:rsidR="00FC3003" w:rsidRPr="00E16672">
        <w:rPr>
          <w:rFonts w:ascii="Times New Roman" w:hAnsi="Times New Roman"/>
          <w:b w:val="0"/>
          <w:szCs w:val="20"/>
        </w:rPr>
        <w:t>статті</w:t>
      </w:r>
      <w:proofErr w:type="spellEnd"/>
      <w:r w:rsidR="00FC3003" w:rsidRPr="00E16672">
        <w:rPr>
          <w:rFonts w:ascii="Times New Roman" w:hAnsi="Times New Roman"/>
          <w:b w:val="0"/>
          <w:szCs w:val="20"/>
        </w:rPr>
        <w:t xml:space="preserve"> 12 Закону </w:t>
      </w:r>
      <w:proofErr w:type="spellStart"/>
      <w:r w:rsidR="00FC3003" w:rsidRPr="00E16672">
        <w:rPr>
          <w:rFonts w:ascii="Times New Roman" w:hAnsi="Times New Roman"/>
          <w:b w:val="0"/>
          <w:szCs w:val="20"/>
        </w:rPr>
        <w:t>України</w:t>
      </w:r>
      <w:proofErr w:type="spellEnd"/>
      <w:r w:rsidR="00FC3003" w:rsidRPr="00E16672">
        <w:rPr>
          <w:rFonts w:ascii="Times New Roman" w:hAnsi="Times New Roman"/>
          <w:b w:val="0"/>
          <w:szCs w:val="20"/>
        </w:rPr>
        <w:t xml:space="preserve"> </w:t>
      </w:r>
      <w:r w:rsidR="00022F5F">
        <w:rPr>
          <w:rFonts w:ascii="Times New Roman" w:hAnsi="Times New Roman"/>
          <w:b w:val="0"/>
          <w:szCs w:val="20"/>
        </w:rPr>
        <w:t>"</w:t>
      </w:r>
      <w:r w:rsidR="00FC3003" w:rsidRPr="00E16672">
        <w:rPr>
          <w:rFonts w:ascii="Times New Roman" w:hAnsi="Times New Roman"/>
          <w:b w:val="0"/>
          <w:szCs w:val="20"/>
        </w:rPr>
        <w:t xml:space="preserve">Про </w:t>
      </w:r>
      <w:proofErr w:type="spellStart"/>
      <w:r w:rsidR="00FC3003" w:rsidRPr="00E16672">
        <w:rPr>
          <w:rFonts w:ascii="Times New Roman" w:hAnsi="Times New Roman"/>
          <w:b w:val="0"/>
          <w:szCs w:val="20"/>
        </w:rPr>
        <w:t>фінансові</w:t>
      </w:r>
      <w:proofErr w:type="spellEnd"/>
      <w:r w:rsidR="00FC3003" w:rsidRPr="00E16672">
        <w:rPr>
          <w:rFonts w:ascii="Times New Roman" w:hAnsi="Times New Roman"/>
          <w:b w:val="0"/>
          <w:szCs w:val="20"/>
        </w:rPr>
        <w:t xml:space="preserve"> </w:t>
      </w:r>
      <w:proofErr w:type="spellStart"/>
      <w:r w:rsidR="00FC3003" w:rsidRPr="00E16672">
        <w:rPr>
          <w:rFonts w:ascii="Times New Roman" w:hAnsi="Times New Roman"/>
          <w:b w:val="0"/>
          <w:szCs w:val="20"/>
        </w:rPr>
        <w:t>послуги</w:t>
      </w:r>
      <w:proofErr w:type="spellEnd"/>
      <w:r w:rsidR="00FC3003" w:rsidRPr="00E16672">
        <w:rPr>
          <w:rFonts w:ascii="Times New Roman" w:hAnsi="Times New Roman"/>
          <w:b w:val="0"/>
          <w:szCs w:val="20"/>
        </w:rPr>
        <w:t xml:space="preserve"> та </w:t>
      </w:r>
      <w:proofErr w:type="spellStart"/>
      <w:r w:rsidR="00FC3003" w:rsidRPr="00E16672">
        <w:rPr>
          <w:rFonts w:ascii="Times New Roman" w:hAnsi="Times New Roman"/>
          <w:b w:val="0"/>
          <w:szCs w:val="20"/>
        </w:rPr>
        <w:t>державне</w:t>
      </w:r>
      <w:proofErr w:type="spellEnd"/>
      <w:r w:rsidR="00FC3003" w:rsidRPr="00E16672">
        <w:rPr>
          <w:rFonts w:ascii="Times New Roman" w:hAnsi="Times New Roman"/>
          <w:b w:val="0"/>
          <w:szCs w:val="20"/>
        </w:rPr>
        <w:t xml:space="preserve"> </w:t>
      </w:r>
      <w:proofErr w:type="spellStart"/>
      <w:r w:rsidR="00FC3003" w:rsidRPr="00E16672">
        <w:rPr>
          <w:rFonts w:ascii="Times New Roman" w:hAnsi="Times New Roman"/>
          <w:b w:val="0"/>
          <w:szCs w:val="20"/>
        </w:rPr>
        <w:t>регулювання</w:t>
      </w:r>
      <w:proofErr w:type="spellEnd"/>
      <w:r w:rsidR="00FC3003" w:rsidRPr="00E16672">
        <w:rPr>
          <w:rFonts w:ascii="Times New Roman" w:hAnsi="Times New Roman"/>
          <w:b w:val="0"/>
          <w:szCs w:val="20"/>
        </w:rPr>
        <w:t xml:space="preserve"> </w:t>
      </w:r>
      <w:proofErr w:type="spellStart"/>
      <w:r w:rsidR="00FC3003" w:rsidRPr="00E16672">
        <w:rPr>
          <w:rFonts w:ascii="Times New Roman" w:hAnsi="Times New Roman"/>
          <w:b w:val="0"/>
          <w:szCs w:val="20"/>
        </w:rPr>
        <w:t>ринків</w:t>
      </w:r>
      <w:proofErr w:type="spellEnd"/>
      <w:r w:rsidR="00FC3003" w:rsidRPr="00E16672">
        <w:rPr>
          <w:rFonts w:ascii="Times New Roman" w:hAnsi="Times New Roman"/>
          <w:b w:val="0"/>
          <w:szCs w:val="20"/>
        </w:rPr>
        <w:t xml:space="preserve"> </w:t>
      </w:r>
      <w:proofErr w:type="spellStart"/>
      <w:r w:rsidR="00FC3003" w:rsidRPr="00E16672">
        <w:rPr>
          <w:rFonts w:ascii="Times New Roman" w:hAnsi="Times New Roman"/>
          <w:b w:val="0"/>
          <w:szCs w:val="20"/>
        </w:rPr>
        <w:t>фінансових</w:t>
      </w:r>
      <w:proofErr w:type="spellEnd"/>
      <w:r w:rsidR="00FC3003" w:rsidRPr="00E16672">
        <w:rPr>
          <w:rFonts w:ascii="Times New Roman" w:hAnsi="Times New Roman"/>
          <w:b w:val="0"/>
          <w:szCs w:val="20"/>
        </w:rPr>
        <w:t xml:space="preserve"> </w:t>
      </w:r>
      <w:proofErr w:type="spellStart"/>
      <w:r w:rsidR="00FC3003" w:rsidRPr="00E16672">
        <w:rPr>
          <w:rFonts w:ascii="Times New Roman" w:hAnsi="Times New Roman"/>
          <w:b w:val="0"/>
          <w:szCs w:val="20"/>
        </w:rPr>
        <w:t>послуг</w:t>
      </w:r>
      <w:proofErr w:type="spellEnd"/>
      <w:r w:rsidR="00022F5F">
        <w:rPr>
          <w:rFonts w:ascii="Times New Roman" w:hAnsi="Times New Roman"/>
          <w:b w:val="0"/>
          <w:szCs w:val="20"/>
        </w:rPr>
        <w:t>"</w:t>
      </w:r>
      <w:r w:rsidRPr="00E16672">
        <w:rPr>
          <w:rFonts w:ascii="Times New Roman" w:hAnsi="Times New Roman"/>
          <w:b w:val="0"/>
          <w:bCs w:val="0"/>
          <w:color w:val="000000"/>
          <w:szCs w:val="20"/>
        </w:rPr>
        <w:t>.</w:t>
      </w:r>
    </w:p>
    <w:p w14:paraId="47A51288" w14:textId="77777777" w:rsidR="007974E8" w:rsidRPr="00E16672" w:rsidRDefault="007974E8" w:rsidP="007974E8">
      <w:pPr>
        <w:tabs>
          <w:tab w:val="left" w:pos="851"/>
          <w:tab w:val="left" w:pos="7200"/>
        </w:tabs>
        <w:ind w:firstLine="539"/>
        <w:rPr>
          <w:rFonts w:ascii="Times New Roman" w:hAnsi="Times New Roman"/>
          <w:color w:val="000000"/>
          <w:szCs w:val="20"/>
        </w:rPr>
      </w:pPr>
      <w:r w:rsidRPr="00E16672">
        <w:rPr>
          <w:rFonts w:ascii="Times New Roman" w:hAnsi="Times New Roman"/>
          <w:color w:val="000000"/>
          <w:szCs w:val="20"/>
        </w:rPr>
        <w:t>2.1.2</w:t>
      </w:r>
      <w:r w:rsidR="000A1A7C" w:rsidRPr="00E16672">
        <w:rPr>
          <w:rFonts w:ascii="Times New Roman" w:hAnsi="Times New Roman"/>
          <w:color w:val="000000"/>
          <w:szCs w:val="20"/>
        </w:rPr>
        <w:t>1</w:t>
      </w:r>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Отримавши</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від</w:t>
      </w:r>
      <w:proofErr w:type="spellEnd"/>
      <w:r w:rsidRPr="00E16672">
        <w:rPr>
          <w:rFonts w:ascii="Times New Roman" w:hAnsi="Times New Roman"/>
          <w:color w:val="000000"/>
          <w:szCs w:val="20"/>
        </w:rPr>
        <w:t xml:space="preserve"> Центрального </w:t>
      </w:r>
      <w:proofErr w:type="spellStart"/>
      <w:r w:rsidRPr="00E16672">
        <w:rPr>
          <w:rFonts w:ascii="Times New Roman" w:hAnsi="Times New Roman"/>
          <w:color w:val="000000"/>
          <w:szCs w:val="20"/>
        </w:rPr>
        <w:t>депозитарію</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повідомлення</w:t>
      </w:r>
      <w:proofErr w:type="spellEnd"/>
      <w:r w:rsidRPr="00E16672">
        <w:rPr>
          <w:rFonts w:ascii="Times New Roman" w:hAnsi="Times New Roman"/>
          <w:color w:val="000000"/>
          <w:szCs w:val="20"/>
        </w:rPr>
        <w:t xml:space="preserve"> про </w:t>
      </w:r>
      <w:proofErr w:type="spellStart"/>
      <w:r w:rsidRPr="00E16672">
        <w:rPr>
          <w:rFonts w:ascii="Times New Roman" w:hAnsi="Times New Roman"/>
          <w:color w:val="000000"/>
          <w:szCs w:val="20"/>
        </w:rPr>
        <w:t>завершення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процедури</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переведення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іменних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цінних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паперів</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певного</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випуску</w:t>
      </w:r>
      <w:proofErr w:type="spellEnd"/>
      <w:r w:rsidRPr="00E16672">
        <w:rPr>
          <w:rFonts w:ascii="Times New Roman" w:hAnsi="Times New Roman"/>
          <w:color w:val="000000"/>
          <w:szCs w:val="20"/>
        </w:rPr>
        <w:t xml:space="preserve"> у </w:t>
      </w:r>
      <w:proofErr w:type="spellStart"/>
      <w:r w:rsidRPr="00E16672">
        <w:rPr>
          <w:rFonts w:ascii="Times New Roman" w:hAnsi="Times New Roman"/>
          <w:color w:val="000000"/>
          <w:szCs w:val="20"/>
        </w:rPr>
        <w:t>бездокументарну</w:t>
      </w:r>
      <w:proofErr w:type="spellEnd"/>
      <w:r w:rsidRPr="00E16672">
        <w:rPr>
          <w:rFonts w:ascii="Times New Roman" w:hAnsi="Times New Roman"/>
          <w:color w:val="000000"/>
          <w:szCs w:val="20"/>
        </w:rPr>
        <w:t xml:space="preserve"> форму </w:t>
      </w:r>
      <w:proofErr w:type="spellStart"/>
      <w:r w:rsidRPr="00E16672">
        <w:rPr>
          <w:rFonts w:ascii="Times New Roman" w:hAnsi="Times New Roman"/>
          <w:color w:val="000000"/>
          <w:szCs w:val="20"/>
        </w:rPr>
        <w:t>існування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протягом</w:t>
      </w:r>
      <w:proofErr w:type="spellEnd"/>
      <w:r w:rsidRPr="00E16672">
        <w:rPr>
          <w:rFonts w:ascii="Times New Roman" w:hAnsi="Times New Roman"/>
          <w:color w:val="000000"/>
          <w:szCs w:val="20"/>
        </w:rPr>
        <w:t xml:space="preserve"> 3 (</w:t>
      </w:r>
      <w:proofErr w:type="spellStart"/>
      <w:r w:rsidRPr="00E16672">
        <w:rPr>
          <w:rFonts w:ascii="Times New Roman" w:hAnsi="Times New Roman"/>
          <w:color w:val="000000"/>
          <w:szCs w:val="20"/>
        </w:rPr>
        <w:t>трьох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днів</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повідомити</w:t>
      </w:r>
      <w:proofErr w:type="spellEnd"/>
      <w:r w:rsidRPr="00E16672">
        <w:rPr>
          <w:rFonts w:ascii="Times New Roman" w:hAnsi="Times New Roman"/>
          <w:color w:val="000000"/>
          <w:szCs w:val="20"/>
        </w:rPr>
        <w:t xml:space="preserve"> про </w:t>
      </w:r>
      <w:proofErr w:type="spellStart"/>
      <w:r w:rsidRPr="00E16672">
        <w:rPr>
          <w:rFonts w:ascii="Times New Roman" w:hAnsi="Times New Roman"/>
          <w:color w:val="000000"/>
          <w:szCs w:val="20"/>
        </w:rPr>
        <w:t>її</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завершення</w:t>
      </w:r>
      <w:proofErr w:type="spellEnd"/>
      <w:r w:rsidRPr="00E16672">
        <w:rPr>
          <w:rFonts w:ascii="Times New Roman" w:hAnsi="Times New Roman"/>
          <w:color w:val="000000"/>
          <w:szCs w:val="20"/>
        </w:rPr>
        <w:t xml:space="preserve"> </w:t>
      </w:r>
      <w:r w:rsidRPr="00E16672">
        <w:rPr>
          <w:rFonts w:ascii="Times New Roman" w:hAnsi="Times New Roman"/>
          <w:color w:val="000000"/>
          <w:szCs w:val="20"/>
        </w:rPr>
        <w:lastRenderedPageBreak/>
        <w:t xml:space="preserve">Депонента, </w:t>
      </w:r>
      <w:proofErr w:type="spellStart"/>
      <w:r w:rsidRPr="00E16672">
        <w:rPr>
          <w:rFonts w:ascii="Times New Roman" w:hAnsi="Times New Roman"/>
          <w:color w:val="000000"/>
          <w:szCs w:val="20"/>
        </w:rPr>
        <w:t>якщо</w:t>
      </w:r>
      <w:proofErr w:type="spellEnd"/>
      <w:r w:rsidRPr="00E16672">
        <w:rPr>
          <w:rFonts w:ascii="Times New Roman" w:hAnsi="Times New Roman"/>
          <w:color w:val="000000"/>
          <w:szCs w:val="20"/>
        </w:rPr>
        <w:t xml:space="preserve"> на </w:t>
      </w:r>
      <w:proofErr w:type="spellStart"/>
      <w:r w:rsidRPr="00E16672">
        <w:rPr>
          <w:rFonts w:ascii="Times New Roman" w:hAnsi="Times New Roman"/>
          <w:color w:val="000000"/>
          <w:szCs w:val="20"/>
        </w:rPr>
        <w:t>його</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рахунку</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обліковуються</w:t>
      </w:r>
      <w:proofErr w:type="spellEnd"/>
      <w:r w:rsidRPr="00E16672">
        <w:rPr>
          <w:rFonts w:ascii="Times New Roman" w:hAnsi="Times New Roman"/>
          <w:color w:val="000000"/>
          <w:szCs w:val="20"/>
        </w:rPr>
        <w:t xml:space="preserve"> права на </w:t>
      </w:r>
      <w:proofErr w:type="spellStart"/>
      <w:r w:rsidRPr="00E16672">
        <w:rPr>
          <w:rFonts w:ascii="Times New Roman" w:hAnsi="Times New Roman"/>
          <w:color w:val="000000"/>
          <w:szCs w:val="20"/>
        </w:rPr>
        <w:t>цінні</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папери</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цього</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випуску</w:t>
      </w:r>
      <w:proofErr w:type="spellEnd"/>
      <w:r w:rsidRPr="00E16672">
        <w:rPr>
          <w:rFonts w:ascii="Times New Roman" w:hAnsi="Times New Roman"/>
          <w:color w:val="000000"/>
          <w:szCs w:val="20"/>
        </w:rPr>
        <w:t xml:space="preserve">, шляхом </w:t>
      </w:r>
      <w:proofErr w:type="spellStart"/>
      <w:r w:rsidRPr="00E16672">
        <w:rPr>
          <w:rFonts w:ascii="Times New Roman" w:hAnsi="Times New Roman"/>
          <w:color w:val="000000"/>
          <w:szCs w:val="20"/>
        </w:rPr>
        <w:t>направлення</w:t>
      </w:r>
      <w:proofErr w:type="spellEnd"/>
      <w:r w:rsidRPr="00E16672">
        <w:rPr>
          <w:rFonts w:ascii="Times New Roman" w:hAnsi="Times New Roman"/>
          <w:color w:val="000000"/>
          <w:szCs w:val="20"/>
        </w:rPr>
        <w:t xml:space="preserve"> на </w:t>
      </w:r>
      <w:proofErr w:type="spellStart"/>
      <w:proofErr w:type="gramStart"/>
      <w:r w:rsidRPr="00E16672">
        <w:rPr>
          <w:rFonts w:ascii="Times New Roman" w:hAnsi="Times New Roman"/>
          <w:color w:val="000000"/>
          <w:szCs w:val="20"/>
        </w:rPr>
        <w:t>електронну</w:t>
      </w:r>
      <w:proofErr w:type="spellEnd"/>
      <w:r w:rsidRPr="00E16672">
        <w:rPr>
          <w:rFonts w:ascii="Times New Roman" w:hAnsi="Times New Roman"/>
          <w:color w:val="000000"/>
          <w:szCs w:val="20"/>
        </w:rPr>
        <w:t xml:space="preserve">  адресу</w:t>
      </w:r>
      <w:proofErr w:type="gramEnd"/>
      <w:r w:rsidRPr="00E16672">
        <w:rPr>
          <w:rFonts w:ascii="Times New Roman" w:hAnsi="Times New Roman"/>
          <w:color w:val="000000"/>
          <w:szCs w:val="20"/>
        </w:rPr>
        <w:t xml:space="preserve"> Депонента </w:t>
      </w:r>
      <w:proofErr w:type="spellStart"/>
      <w:r w:rsidRPr="00E16672">
        <w:rPr>
          <w:rFonts w:ascii="Times New Roman" w:hAnsi="Times New Roman"/>
          <w:color w:val="000000"/>
          <w:szCs w:val="20"/>
        </w:rPr>
        <w:t>відповідного</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повідомлення</w:t>
      </w:r>
      <w:proofErr w:type="spellEnd"/>
      <w:r w:rsidRPr="00E16672">
        <w:rPr>
          <w:rFonts w:ascii="Times New Roman" w:hAnsi="Times New Roman"/>
          <w:color w:val="000000"/>
          <w:szCs w:val="20"/>
        </w:rPr>
        <w:t>.</w:t>
      </w:r>
    </w:p>
    <w:p w14:paraId="22C4C506" w14:textId="77777777" w:rsidR="007974E8" w:rsidRPr="00E16672" w:rsidRDefault="007974E8" w:rsidP="007974E8">
      <w:pPr>
        <w:tabs>
          <w:tab w:val="left" w:pos="709"/>
        </w:tabs>
        <w:rPr>
          <w:rFonts w:ascii="Times New Roman" w:hAnsi="Times New Roman"/>
          <w:b/>
          <w:color w:val="000000"/>
          <w:szCs w:val="20"/>
        </w:rPr>
      </w:pPr>
    </w:p>
    <w:p w14:paraId="71C733F2" w14:textId="77777777" w:rsidR="007974E8" w:rsidRPr="00E16672" w:rsidRDefault="007974E8" w:rsidP="007974E8">
      <w:pPr>
        <w:tabs>
          <w:tab w:val="left" w:pos="709"/>
        </w:tabs>
        <w:rPr>
          <w:rFonts w:ascii="Times New Roman" w:hAnsi="Times New Roman"/>
          <w:b/>
          <w:color w:val="000000"/>
          <w:szCs w:val="20"/>
          <w:lang w:val="uk-UA"/>
        </w:rPr>
      </w:pPr>
      <w:r w:rsidRPr="00E16672">
        <w:rPr>
          <w:rFonts w:ascii="Times New Roman" w:hAnsi="Times New Roman"/>
          <w:b/>
          <w:color w:val="000000"/>
          <w:szCs w:val="20"/>
          <w:lang w:val="uk-UA"/>
        </w:rPr>
        <w:t>2.2. Депозитарна установа має право:</w:t>
      </w:r>
    </w:p>
    <w:p w14:paraId="0220B0AC" w14:textId="77777777" w:rsidR="000A1A7C" w:rsidRPr="00E16672" w:rsidRDefault="000A1A7C" w:rsidP="002C163A">
      <w:pPr>
        <w:suppressAutoHyphens w:val="0"/>
        <w:jc w:val="left"/>
        <w:rPr>
          <w:rFonts w:ascii="Times New Roman" w:hAnsi="Times New Roman"/>
          <w:sz w:val="24"/>
          <w:lang w:val="uk-UA" w:eastAsia="uk-UA"/>
        </w:rPr>
      </w:pPr>
      <w:r w:rsidRPr="00E16672">
        <w:rPr>
          <w:rFonts w:ascii="Times New Roman" w:hAnsi="Times New Roman"/>
          <w:szCs w:val="20"/>
        </w:rPr>
        <w:t xml:space="preserve">2.2.1. </w:t>
      </w:r>
      <w:r w:rsidRPr="00E16672">
        <w:rPr>
          <w:rFonts w:ascii="Times New Roman" w:hAnsi="Times New Roman"/>
          <w:szCs w:val="20"/>
          <w:lang w:val="uk-UA"/>
        </w:rPr>
        <w:t>Надавати письмову відмову у видачі виписки з рахунку в цінних паперах у разі невідповідності оформленого запиту вимогам законодавства та внутрішніх документів Депозитарної установи.</w:t>
      </w:r>
      <w:r w:rsidRPr="00E16672">
        <w:rPr>
          <w:rFonts w:ascii="Times New Roman" w:hAnsi="Times New Roman"/>
          <w:sz w:val="24"/>
          <w:lang w:val="uk-UA" w:eastAsia="uk-UA"/>
        </w:rPr>
        <w:t xml:space="preserve"> </w:t>
      </w:r>
    </w:p>
    <w:p w14:paraId="3B265D5F" w14:textId="77777777" w:rsidR="000A1A7C" w:rsidRPr="00E16672" w:rsidRDefault="000A1A7C" w:rsidP="000A1A7C">
      <w:pPr>
        <w:tabs>
          <w:tab w:val="left" w:pos="709"/>
        </w:tabs>
        <w:rPr>
          <w:rFonts w:ascii="Times New Roman" w:hAnsi="Times New Roman"/>
          <w:szCs w:val="20"/>
          <w:lang w:val="uk-UA"/>
        </w:rPr>
      </w:pPr>
      <w:r w:rsidRPr="00E16672">
        <w:rPr>
          <w:rFonts w:ascii="Times New Roman" w:hAnsi="Times New Roman"/>
          <w:szCs w:val="20"/>
          <w:lang w:val="uk-UA"/>
        </w:rPr>
        <w:t xml:space="preserve">2.2.2. Вимагати від Депонента, керуючого рахунком, розпорядника рахунку </w:t>
      </w:r>
      <w:r w:rsidR="00C22309" w:rsidRPr="00E16672">
        <w:rPr>
          <w:rFonts w:ascii="Times New Roman" w:hAnsi="Times New Roman"/>
          <w:szCs w:val="20"/>
          <w:lang w:val="uk-UA"/>
        </w:rPr>
        <w:t>в цін</w:t>
      </w:r>
      <w:r w:rsidRPr="00E16672">
        <w:rPr>
          <w:rFonts w:ascii="Times New Roman" w:hAnsi="Times New Roman"/>
          <w:szCs w:val="20"/>
          <w:lang w:val="uk-UA"/>
        </w:rPr>
        <w:t>них паперах Депонента надання на виконання вимог законодавства та/або внутрішніх документів Депозитарної установи належним чином засвідчених документів та інформації, необхідних для виконання своїх обов’язків згідно умов Договору та законодавства.</w:t>
      </w:r>
    </w:p>
    <w:p w14:paraId="49D8E9C5" w14:textId="77777777" w:rsidR="000A1A7C" w:rsidRPr="00E16672" w:rsidRDefault="000A1A7C" w:rsidP="000A1A7C">
      <w:pPr>
        <w:tabs>
          <w:tab w:val="left" w:pos="709"/>
        </w:tabs>
        <w:rPr>
          <w:rFonts w:ascii="Times New Roman" w:hAnsi="Times New Roman"/>
          <w:szCs w:val="20"/>
          <w:lang w:val="uk-UA"/>
        </w:rPr>
      </w:pPr>
      <w:r w:rsidRPr="00E16672">
        <w:rPr>
          <w:rFonts w:ascii="Times New Roman" w:hAnsi="Times New Roman"/>
          <w:szCs w:val="20"/>
          <w:lang w:val="uk-UA"/>
        </w:rPr>
        <w:t xml:space="preserve">2.2.3. Згідно з чинним законодавством України, у випадку необхідності, вимагати від Депонента надання додаткових документів, відомостей та інформації </w:t>
      </w:r>
      <w:proofErr w:type="spellStart"/>
      <w:r w:rsidRPr="00E16672">
        <w:rPr>
          <w:rFonts w:ascii="Times New Roman" w:hAnsi="Times New Roman"/>
          <w:szCs w:val="20"/>
        </w:rPr>
        <w:t>засвідчених</w:t>
      </w:r>
      <w:proofErr w:type="spellEnd"/>
      <w:r w:rsidRPr="00E16672">
        <w:rPr>
          <w:rFonts w:ascii="Times New Roman" w:hAnsi="Times New Roman"/>
          <w:szCs w:val="20"/>
          <w:lang w:val="uk-UA"/>
        </w:rPr>
        <w:t xml:space="preserve"> та погоджених належним чином.</w:t>
      </w:r>
    </w:p>
    <w:p w14:paraId="218CF665" w14:textId="77777777" w:rsidR="000A1A7C" w:rsidRPr="00E16672" w:rsidRDefault="000A1A7C" w:rsidP="000A1A7C">
      <w:pPr>
        <w:tabs>
          <w:tab w:val="left" w:pos="709"/>
        </w:tabs>
        <w:rPr>
          <w:rFonts w:ascii="Times New Roman" w:hAnsi="Times New Roman"/>
          <w:szCs w:val="20"/>
          <w:lang w:val="uk-UA"/>
        </w:rPr>
      </w:pPr>
      <w:r w:rsidRPr="00E16672">
        <w:rPr>
          <w:rFonts w:ascii="Times New Roman" w:hAnsi="Times New Roman"/>
          <w:szCs w:val="20"/>
          <w:lang w:val="uk-UA"/>
        </w:rPr>
        <w:t>2.2.4. Надавати Депоненту додаткові (інформаційні та консультаційні) послуги, іншу інформацію, яка необхідна Депоненту для реалізації прав за цінними паперами.</w:t>
      </w:r>
      <w:r w:rsidRPr="00E16672">
        <w:rPr>
          <w:rFonts w:ascii="Times New Roman" w:hAnsi="Times New Roman"/>
          <w:szCs w:val="20"/>
        </w:rPr>
        <w:t xml:space="preserve"> </w:t>
      </w:r>
      <w:proofErr w:type="spellStart"/>
      <w:r w:rsidRPr="00E16672">
        <w:rPr>
          <w:rFonts w:ascii="Times New Roman" w:hAnsi="Times New Roman"/>
          <w:szCs w:val="20"/>
        </w:rPr>
        <w:t>Надавати</w:t>
      </w:r>
      <w:proofErr w:type="spellEnd"/>
      <w:r w:rsidRPr="00E16672">
        <w:rPr>
          <w:rFonts w:ascii="Times New Roman" w:hAnsi="Times New Roman"/>
          <w:szCs w:val="20"/>
        </w:rPr>
        <w:t xml:space="preserve"> Депоненту </w:t>
      </w:r>
      <w:proofErr w:type="spellStart"/>
      <w:r w:rsidRPr="00E16672">
        <w:rPr>
          <w:rFonts w:ascii="Times New Roman" w:hAnsi="Times New Roman"/>
          <w:szCs w:val="20"/>
        </w:rPr>
        <w:t>виписки</w:t>
      </w:r>
      <w:proofErr w:type="spellEnd"/>
      <w:r w:rsidRPr="00E16672">
        <w:rPr>
          <w:rFonts w:ascii="Times New Roman" w:hAnsi="Times New Roman"/>
          <w:szCs w:val="20"/>
        </w:rPr>
        <w:t xml:space="preserve"> з </w:t>
      </w:r>
      <w:proofErr w:type="spellStart"/>
      <w:r w:rsidRPr="00E16672">
        <w:rPr>
          <w:rFonts w:ascii="Times New Roman" w:hAnsi="Times New Roman"/>
          <w:szCs w:val="20"/>
        </w:rPr>
        <w:t>рахунку</w:t>
      </w:r>
      <w:proofErr w:type="spellEnd"/>
      <w:r w:rsidRPr="00E16672">
        <w:rPr>
          <w:rFonts w:ascii="Times New Roman" w:hAnsi="Times New Roman"/>
          <w:szCs w:val="20"/>
        </w:rPr>
        <w:t xml:space="preserve"> </w:t>
      </w:r>
      <w:r w:rsidR="00C22309" w:rsidRPr="00E16672">
        <w:rPr>
          <w:rFonts w:ascii="Times New Roman" w:hAnsi="Times New Roman"/>
          <w:szCs w:val="20"/>
        </w:rPr>
        <w:t xml:space="preserve">в </w:t>
      </w:r>
      <w:proofErr w:type="spellStart"/>
      <w:r w:rsidR="00C22309" w:rsidRPr="00E16672">
        <w:rPr>
          <w:rFonts w:ascii="Times New Roman" w:hAnsi="Times New Roman"/>
          <w:szCs w:val="20"/>
        </w:rPr>
        <w:t>цін</w:t>
      </w:r>
      <w:r w:rsidRPr="00E16672">
        <w:rPr>
          <w:rFonts w:ascii="Times New Roman" w:hAnsi="Times New Roman"/>
          <w:szCs w:val="20"/>
        </w:rPr>
        <w:t>них</w:t>
      </w:r>
      <w:proofErr w:type="spellEnd"/>
      <w:r w:rsidRPr="00E16672">
        <w:rPr>
          <w:rFonts w:ascii="Times New Roman" w:hAnsi="Times New Roman"/>
          <w:szCs w:val="20"/>
        </w:rPr>
        <w:t xml:space="preserve"> </w:t>
      </w:r>
      <w:proofErr w:type="spellStart"/>
      <w:r w:rsidRPr="00E16672">
        <w:rPr>
          <w:rFonts w:ascii="Times New Roman" w:hAnsi="Times New Roman"/>
          <w:szCs w:val="20"/>
        </w:rPr>
        <w:t>паперах</w:t>
      </w:r>
      <w:proofErr w:type="spellEnd"/>
      <w:r w:rsidRPr="00E16672">
        <w:rPr>
          <w:rFonts w:ascii="Times New Roman" w:hAnsi="Times New Roman"/>
          <w:szCs w:val="20"/>
        </w:rPr>
        <w:t xml:space="preserve"> Депонента, </w:t>
      </w:r>
      <w:proofErr w:type="spellStart"/>
      <w:r w:rsidRPr="00E16672">
        <w:rPr>
          <w:rFonts w:ascii="Times New Roman" w:hAnsi="Times New Roman"/>
          <w:szCs w:val="20"/>
        </w:rPr>
        <w:t>довідки</w:t>
      </w:r>
      <w:proofErr w:type="spellEnd"/>
      <w:r w:rsidRPr="00E16672">
        <w:rPr>
          <w:rFonts w:ascii="Times New Roman" w:hAnsi="Times New Roman"/>
          <w:szCs w:val="20"/>
        </w:rPr>
        <w:t xml:space="preserve"> </w:t>
      </w:r>
      <w:proofErr w:type="spellStart"/>
      <w:r w:rsidRPr="00E16672">
        <w:rPr>
          <w:rFonts w:ascii="Times New Roman" w:hAnsi="Times New Roman"/>
          <w:szCs w:val="20"/>
        </w:rPr>
        <w:t>або</w:t>
      </w:r>
      <w:proofErr w:type="spellEnd"/>
      <w:r w:rsidRPr="00E16672">
        <w:rPr>
          <w:rFonts w:ascii="Times New Roman" w:hAnsi="Times New Roman"/>
          <w:szCs w:val="20"/>
        </w:rPr>
        <w:t xml:space="preserve"> </w:t>
      </w:r>
      <w:proofErr w:type="spellStart"/>
      <w:r w:rsidRPr="00E16672">
        <w:rPr>
          <w:rFonts w:ascii="Times New Roman" w:hAnsi="Times New Roman"/>
          <w:szCs w:val="20"/>
        </w:rPr>
        <w:t>інші</w:t>
      </w:r>
      <w:proofErr w:type="spellEnd"/>
      <w:r w:rsidRPr="00E16672">
        <w:rPr>
          <w:rFonts w:ascii="Times New Roman" w:hAnsi="Times New Roman"/>
          <w:szCs w:val="20"/>
        </w:rPr>
        <w:t xml:space="preserve"> </w:t>
      </w:r>
      <w:proofErr w:type="spellStart"/>
      <w:r w:rsidRPr="00E16672">
        <w:rPr>
          <w:rFonts w:ascii="Times New Roman" w:hAnsi="Times New Roman"/>
          <w:szCs w:val="20"/>
        </w:rPr>
        <w:t>звіти</w:t>
      </w:r>
      <w:proofErr w:type="spellEnd"/>
      <w:r w:rsidRPr="00E16672">
        <w:rPr>
          <w:rFonts w:ascii="Times New Roman" w:hAnsi="Times New Roman"/>
          <w:szCs w:val="20"/>
        </w:rPr>
        <w:t xml:space="preserve"> про </w:t>
      </w:r>
      <w:proofErr w:type="spellStart"/>
      <w:r w:rsidRPr="00E16672">
        <w:rPr>
          <w:rFonts w:ascii="Times New Roman" w:hAnsi="Times New Roman"/>
          <w:szCs w:val="20"/>
        </w:rPr>
        <w:t>виконання</w:t>
      </w:r>
      <w:proofErr w:type="spellEnd"/>
      <w:r w:rsidRPr="00E16672">
        <w:rPr>
          <w:rFonts w:ascii="Times New Roman" w:hAnsi="Times New Roman"/>
          <w:szCs w:val="20"/>
        </w:rPr>
        <w:t xml:space="preserve"> </w:t>
      </w:r>
      <w:proofErr w:type="spellStart"/>
      <w:r w:rsidRPr="00E16672">
        <w:rPr>
          <w:rFonts w:ascii="Times New Roman" w:hAnsi="Times New Roman"/>
          <w:szCs w:val="20"/>
        </w:rPr>
        <w:t>операцій</w:t>
      </w:r>
      <w:proofErr w:type="spellEnd"/>
      <w:r w:rsidRPr="00E16672">
        <w:rPr>
          <w:rFonts w:ascii="Times New Roman" w:hAnsi="Times New Roman"/>
          <w:szCs w:val="20"/>
        </w:rPr>
        <w:t xml:space="preserve">, </w:t>
      </w:r>
      <w:proofErr w:type="spellStart"/>
      <w:r w:rsidRPr="00E16672">
        <w:rPr>
          <w:rFonts w:ascii="Times New Roman" w:hAnsi="Times New Roman"/>
          <w:szCs w:val="20"/>
        </w:rPr>
        <w:t>які</w:t>
      </w:r>
      <w:proofErr w:type="spellEnd"/>
      <w:r w:rsidRPr="00E16672">
        <w:rPr>
          <w:rFonts w:ascii="Times New Roman" w:hAnsi="Times New Roman"/>
          <w:szCs w:val="20"/>
        </w:rPr>
        <w:t xml:space="preserve"> </w:t>
      </w:r>
      <w:proofErr w:type="spellStart"/>
      <w:r w:rsidRPr="00E16672">
        <w:rPr>
          <w:rFonts w:ascii="Times New Roman" w:hAnsi="Times New Roman"/>
          <w:szCs w:val="20"/>
        </w:rPr>
        <w:t>формуються</w:t>
      </w:r>
      <w:proofErr w:type="spellEnd"/>
      <w:r w:rsidRPr="00E16672">
        <w:rPr>
          <w:rFonts w:ascii="Times New Roman" w:hAnsi="Times New Roman"/>
          <w:szCs w:val="20"/>
        </w:rPr>
        <w:t xml:space="preserve"> </w:t>
      </w:r>
      <w:proofErr w:type="spellStart"/>
      <w:r w:rsidRPr="00E16672">
        <w:rPr>
          <w:rFonts w:ascii="Times New Roman" w:hAnsi="Times New Roman"/>
          <w:szCs w:val="20"/>
        </w:rPr>
        <w:t>програмним</w:t>
      </w:r>
      <w:proofErr w:type="spellEnd"/>
      <w:r w:rsidRPr="00E16672">
        <w:rPr>
          <w:rFonts w:ascii="Times New Roman" w:hAnsi="Times New Roman"/>
          <w:szCs w:val="20"/>
        </w:rPr>
        <w:t xml:space="preserve"> комплексом Центрального </w:t>
      </w:r>
      <w:proofErr w:type="spellStart"/>
      <w:r w:rsidRPr="00E16672">
        <w:rPr>
          <w:rFonts w:ascii="Times New Roman" w:hAnsi="Times New Roman"/>
          <w:szCs w:val="20"/>
        </w:rPr>
        <w:t>Депозитарію</w:t>
      </w:r>
      <w:proofErr w:type="spellEnd"/>
      <w:r w:rsidRPr="00E16672">
        <w:rPr>
          <w:rFonts w:ascii="Times New Roman" w:hAnsi="Times New Roman"/>
          <w:szCs w:val="20"/>
        </w:rPr>
        <w:t>.</w:t>
      </w:r>
    </w:p>
    <w:p w14:paraId="37D553A3" w14:textId="77777777" w:rsidR="000A1A7C" w:rsidRPr="00E16672" w:rsidRDefault="000A1A7C" w:rsidP="000A1A7C">
      <w:pPr>
        <w:tabs>
          <w:tab w:val="left" w:pos="709"/>
        </w:tabs>
        <w:rPr>
          <w:rFonts w:ascii="Times New Roman" w:hAnsi="Times New Roman"/>
          <w:szCs w:val="20"/>
          <w:lang w:val="uk-UA"/>
        </w:rPr>
      </w:pPr>
      <w:r w:rsidRPr="00E16672">
        <w:rPr>
          <w:rFonts w:ascii="Times New Roman" w:hAnsi="Times New Roman"/>
          <w:szCs w:val="20"/>
          <w:lang w:val="uk-UA"/>
        </w:rPr>
        <w:t xml:space="preserve">2.2.5. У випадку початку Депозитарною установою процедури припинення нею провадження професійної діяльності на фондовому ринку - депозитарної діяльності депозитарної установи відповідно до вимог нормативно-правового </w:t>
      </w:r>
      <w:proofErr w:type="spellStart"/>
      <w:r w:rsidRPr="00E16672">
        <w:rPr>
          <w:rFonts w:ascii="Times New Roman" w:hAnsi="Times New Roman"/>
          <w:szCs w:val="20"/>
          <w:lang w:val="uk-UA"/>
        </w:rPr>
        <w:t>акта</w:t>
      </w:r>
      <w:proofErr w:type="spellEnd"/>
      <w:r w:rsidRPr="00E16672">
        <w:rPr>
          <w:rFonts w:ascii="Times New Roman" w:hAnsi="Times New Roman"/>
          <w:szCs w:val="20"/>
          <w:lang w:val="uk-UA"/>
        </w:rPr>
        <w:t xml:space="preserve"> щодо припинення депозитарної діяльності депозитарної установи виконувати тільки ті розпорядження Депонента, керуючого рахунком в цінних паперах Депонента, виконання яких не заборонено цим нормативно-правовим актом. </w:t>
      </w:r>
    </w:p>
    <w:p w14:paraId="0DF670FB" w14:textId="77777777" w:rsidR="000A1A7C" w:rsidRPr="00E16672" w:rsidRDefault="000A1A7C" w:rsidP="000A1A7C">
      <w:pPr>
        <w:tabs>
          <w:tab w:val="left" w:pos="709"/>
        </w:tabs>
        <w:rPr>
          <w:rFonts w:ascii="Times New Roman" w:hAnsi="Times New Roman"/>
          <w:szCs w:val="20"/>
          <w:lang w:val="uk-UA"/>
        </w:rPr>
      </w:pPr>
      <w:r w:rsidRPr="00E16672">
        <w:rPr>
          <w:rFonts w:ascii="Times New Roman" w:hAnsi="Times New Roman"/>
          <w:szCs w:val="20"/>
          <w:lang w:val="uk-UA"/>
        </w:rPr>
        <w:t>2.2.6. Вносити зміни до внутрішніх документів Депозитарної установи та тарифів Депозитарної установи.</w:t>
      </w:r>
    </w:p>
    <w:p w14:paraId="4258FBB7" w14:textId="77777777" w:rsidR="000A1A7C" w:rsidRPr="00E16672" w:rsidRDefault="000A1A7C" w:rsidP="000A1A7C">
      <w:pPr>
        <w:suppressAutoHyphens w:val="0"/>
        <w:autoSpaceDE w:val="0"/>
        <w:autoSpaceDN w:val="0"/>
        <w:adjustRightInd w:val="0"/>
        <w:rPr>
          <w:rFonts w:ascii="Times New Roman" w:hAnsi="Times New Roman"/>
          <w:strike/>
          <w:szCs w:val="20"/>
          <w:lang w:val="uk-UA"/>
        </w:rPr>
      </w:pPr>
      <w:r w:rsidRPr="00E16672">
        <w:rPr>
          <w:rFonts w:ascii="Times New Roman" w:hAnsi="Times New Roman"/>
          <w:szCs w:val="20"/>
          <w:lang w:val="uk-UA"/>
        </w:rPr>
        <w:t xml:space="preserve">2.2.7. Закрити рахунок </w:t>
      </w:r>
      <w:r w:rsidR="00C22309" w:rsidRPr="00E16672">
        <w:rPr>
          <w:rFonts w:ascii="Times New Roman" w:hAnsi="Times New Roman"/>
          <w:szCs w:val="20"/>
          <w:lang w:val="uk-UA"/>
        </w:rPr>
        <w:t>в цін</w:t>
      </w:r>
      <w:r w:rsidRPr="00E16672">
        <w:rPr>
          <w:rFonts w:ascii="Times New Roman" w:hAnsi="Times New Roman"/>
          <w:szCs w:val="20"/>
          <w:lang w:val="uk-UA"/>
        </w:rPr>
        <w:t xml:space="preserve">них паперах Депонента, на якому відсутні права на цінні папери, без розпорядження Депонента про закриття рахунку в цінних паперах та розірвати Договір в односторонньому порядку у разі припинення здійснення Депозитарною установою </w:t>
      </w:r>
      <w:r w:rsidRPr="00E16672">
        <w:rPr>
          <w:rFonts w:ascii="Times New Roman" w:hAnsi="Times New Roman"/>
          <w:szCs w:val="20"/>
          <w:lang w:val="uk-UA" w:eastAsia="uk-UA"/>
        </w:rPr>
        <w:t xml:space="preserve">діяльності депозитарної установи відповідно до вимог нормативно-правового </w:t>
      </w:r>
      <w:proofErr w:type="spellStart"/>
      <w:r w:rsidRPr="00E16672">
        <w:rPr>
          <w:rFonts w:ascii="Times New Roman" w:hAnsi="Times New Roman"/>
          <w:szCs w:val="20"/>
          <w:lang w:val="uk-UA" w:eastAsia="uk-UA"/>
        </w:rPr>
        <w:t>акта</w:t>
      </w:r>
      <w:proofErr w:type="spellEnd"/>
      <w:r w:rsidRPr="00E16672">
        <w:rPr>
          <w:rFonts w:ascii="Times New Roman" w:hAnsi="Times New Roman"/>
          <w:szCs w:val="20"/>
          <w:lang w:val="uk-UA" w:eastAsia="uk-UA"/>
        </w:rPr>
        <w:t xml:space="preserve"> щодо припинення депозитарної діяльності депозитарної установи, у разі виконання безумовної операції списання цінних паперів у порядку спадкування (в тому числі на підставі рішення суду або документів виконавчого провадження), ліквідації юридичної особи, що підтверджується відомостями Єдиного державного реєстру юридичних осіб, фізичних осіб-підприємців та громадських формувань</w:t>
      </w:r>
      <w:r w:rsidRPr="00E16672">
        <w:rPr>
          <w:rFonts w:ascii="Times New Roman" w:hAnsi="Times New Roman"/>
          <w:szCs w:val="20"/>
          <w:lang w:val="uk-UA"/>
        </w:rPr>
        <w:t>, а також у разі розірвання цього Договору.</w:t>
      </w:r>
    </w:p>
    <w:p w14:paraId="6ABD6D99" w14:textId="77777777" w:rsidR="000A1A7C" w:rsidRPr="00E16672" w:rsidRDefault="000A1A7C" w:rsidP="00022F5F">
      <w:pPr>
        <w:pStyle w:val="aff0"/>
        <w:jc w:val="left"/>
        <w:rPr>
          <w:rFonts w:ascii="Times New Roman" w:hAnsi="Times New Roman"/>
          <w:bCs/>
          <w:lang w:val="uk-UA"/>
        </w:rPr>
      </w:pPr>
      <w:r w:rsidRPr="00E16672">
        <w:rPr>
          <w:rFonts w:ascii="Times New Roman" w:hAnsi="Times New Roman"/>
          <w:lang w:val="uk-UA"/>
        </w:rPr>
        <w:t xml:space="preserve">2.2.8. </w:t>
      </w:r>
      <w:r w:rsidRPr="00E16672">
        <w:rPr>
          <w:rFonts w:ascii="Times New Roman" w:hAnsi="Times New Roman"/>
          <w:bCs/>
          <w:lang w:val="uk-UA"/>
        </w:rPr>
        <w:t xml:space="preserve">При здійсненні розрахунків за правочинами щодо цінних паперів з дотриманням принципу </w:t>
      </w:r>
      <w:r w:rsidR="00022F5F">
        <w:rPr>
          <w:rFonts w:ascii="Times New Roman" w:hAnsi="Times New Roman"/>
          <w:bCs/>
          <w:lang w:val="uk-UA"/>
        </w:rPr>
        <w:t>"</w:t>
      </w:r>
      <w:r w:rsidRPr="00E16672">
        <w:rPr>
          <w:rFonts w:ascii="Times New Roman" w:hAnsi="Times New Roman"/>
          <w:bCs/>
          <w:lang w:val="uk-UA"/>
        </w:rPr>
        <w:t>поставка цінних паперів проти оплати</w:t>
      </w:r>
      <w:r w:rsidR="00022F5F">
        <w:rPr>
          <w:rFonts w:ascii="Times New Roman" w:hAnsi="Times New Roman"/>
          <w:bCs/>
          <w:lang w:val="uk-UA"/>
        </w:rPr>
        <w:t>"</w:t>
      </w:r>
      <w:r w:rsidRPr="00E16672">
        <w:rPr>
          <w:rFonts w:ascii="Times New Roman" w:hAnsi="Times New Roman"/>
          <w:bCs/>
          <w:lang w:val="uk-UA"/>
        </w:rPr>
        <w:t xml:space="preserve"> виконувати на рахунку в цінних паперах Депонента депозитарні операції щодо цінних паперів без розпорядження депонента виключно на підставі розпоряджень та інформації Центрального депозитарію, наданих Депозитарній установі згідно з інформацією, отриманою Центральним депозитарієм від Розрахункового центру чи клірингової установи.</w:t>
      </w:r>
    </w:p>
    <w:p w14:paraId="002289C9" w14:textId="77777777" w:rsidR="000A1A7C" w:rsidRPr="00E16672" w:rsidRDefault="000A1A7C" w:rsidP="000A1A7C">
      <w:pPr>
        <w:rPr>
          <w:rFonts w:ascii="Times New Roman" w:hAnsi="Times New Roman"/>
          <w:szCs w:val="20"/>
          <w:lang w:val="uk-UA"/>
        </w:rPr>
      </w:pPr>
      <w:r w:rsidRPr="00E16672">
        <w:rPr>
          <w:rFonts w:ascii="Times New Roman" w:hAnsi="Times New Roman"/>
          <w:szCs w:val="20"/>
          <w:lang w:val="uk-UA"/>
        </w:rPr>
        <w:t xml:space="preserve">2.2.9. Відмінити облікові операції, які були ініційовані Депозитарною установою у Центральному депозитарії, але не були завершені протягом </w:t>
      </w:r>
      <w:r w:rsidRPr="00E16672">
        <w:rPr>
          <w:rFonts w:ascii="Times New Roman" w:hAnsi="Times New Roman"/>
          <w:i/>
          <w:iCs/>
          <w:szCs w:val="20"/>
          <w:lang w:val="uk-UA"/>
        </w:rPr>
        <w:t>трьох</w:t>
      </w:r>
      <w:r w:rsidRPr="00E16672">
        <w:rPr>
          <w:rFonts w:ascii="Times New Roman" w:hAnsi="Times New Roman"/>
          <w:szCs w:val="20"/>
          <w:lang w:val="uk-UA"/>
        </w:rPr>
        <w:t xml:space="preserve"> робочих днів за підстав, які не залежать від Депозитарної установи, у випадку отримання від Депонента відповідного розпорядження відміни (анулювання) його попереднього розпорядження згідно з внутрішніми документами депозитарної установи відповідно до Правил та інших внутрішніх документів Центрального депозитарію.</w:t>
      </w:r>
    </w:p>
    <w:p w14:paraId="480C9985" w14:textId="77777777" w:rsidR="000A1A7C" w:rsidRPr="00E16672" w:rsidRDefault="000A1A7C" w:rsidP="000A1A7C">
      <w:pPr>
        <w:rPr>
          <w:rFonts w:ascii="Times New Roman" w:hAnsi="Times New Roman"/>
          <w:szCs w:val="20"/>
          <w:lang w:val="uk-UA"/>
        </w:rPr>
      </w:pPr>
      <w:r w:rsidRPr="00E16672">
        <w:rPr>
          <w:rFonts w:ascii="Times New Roman" w:hAnsi="Times New Roman"/>
          <w:szCs w:val="20"/>
          <w:lang w:val="uk-UA"/>
        </w:rPr>
        <w:t xml:space="preserve">2.2.10. Надавати письмову відмову у видачі виписки з рахунку в цінних паперах у разі невідповідності оформлення розпорядження вимогам </w:t>
      </w:r>
      <w:r w:rsidRPr="00E16672">
        <w:rPr>
          <w:rFonts w:ascii="Times New Roman" w:hAnsi="Times New Roman"/>
          <w:bCs/>
          <w:szCs w:val="20"/>
          <w:lang w:val="uk-UA"/>
        </w:rPr>
        <w:t>Положення про провадження депозитарної діяльності та/або внутрішніх документів Депозитарної установи</w:t>
      </w:r>
      <w:r w:rsidRPr="00E16672">
        <w:rPr>
          <w:rFonts w:ascii="Times New Roman" w:hAnsi="Times New Roman"/>
          <w:szCs w:val="20"/>
          <w:lang w:val="uk-UA"/>
        </w:rPr>
        <w:t>. Відмовити Депоненту (розпоряднику рахунку, керуючому рахунком) у взятті до виконання розпорядження (запиту) у випадках, визначених законодавством та внутрішніми документами Депозитарної установи, в тому числі у разі відмови депонента у приведенні Договору у відповідність до вимог законодавства.</w:t>
      </w:r>
    </w:p>
    <w:p w14:paraId="266A5152" w14:textId="77777777" w:rsidR="007974E8" w:rsidRPr="00E16672" w:rsidRDefault="000A1A7C" w:rsidP="000A1A7C">
      <w:pPr>
        <w:tabs>
          <w:tab w:val="left" w:pos="709"/>
        </w:tabs>
        <w:rPr>
          <w:rFonts w:ascii="Times New Roman" w:hAnsi="Times New Roman"/>
          <w:szCs w:val="20"/>
          <w:lang w:val="uk-UA"/>
        </w:rPr>
      </w:pPr>
      <w:r w:rsidRPr="00E16672">
        <w:rPr>
          <w:rFonts w:ascii="Times New Roman" w:hAnsi="Times New Roman"/>
          <w:szCs w:val="20"/>
          <w:lang w:val="uk-UA"/>
        </w:rPr>
        <w:t>2.2.1</w:t>
      </w:r>
      <w:r w:rsidRPr="00E16672">
        <w:rPr>
          <w:rFonts w:ascii="Times New Roman" w:hAnsi="Times New Roman"/>
          <w:szCs w:val="20"/>
        </w:rPr>
        <w:t>1</w:t>
      </w:r>
      <w:r w:rsidRPr="00E16672">
        <w:rPr>
          <w:rFonts w:ascii="Times New Roman" w:hAnsi="Times New Roman"/>
          <w:szCs w:val="20"/>
          <w:lang w:val="uk-UA"/>
        </w:rPr>
        <w:t>. Вимагати від Депонента повної та своєчасної оплати своїх послуг згідно умов цього Договору та тарифів Депозитарної установи. Відмовити</w:t>
      </w:r>
      <w:r w:rsidRPr="00E16672">
        <w:rPr>
          <w:rFonts w:ascii="Times New Roman" w:hAnsi="Times New Roman"/>
          <w:szCs w:val="20"/>
        </w:rPr>
        <w:t xml:space="preserve"> в </w:t>
      </w:r>
      <w:proofErr w:type="spellStart"/>
      <w:r w:rsidRPr="00E16672">
        <w:rPr>
          <w:rFonts w:ascii="Times New Roman" w:hAnsi="Times New Roman"/>
          <w:szCs w:val="20"/>
        </w:rPr>
        <w:t>узятті</w:t>
      </w:r>
      <w:proofErr w:type="spellEnd"/>
      <w:r w:rsidRPr="00E16672">
        <w:rPr>
          <w:rFonts w:ascii="Times New Roman" w:hAnsi="Times New Roman"/>
          <w:szCs w:val="20"/>
        </w:rPr>
        <w:t xml:space="preserve"> до </w:t>
      </w:r>
      <w:proofErr w:type="spellStart"/>
      <w:r w:rsidRPr="00E16672">
        <w:rPr>
          <w:rFonts w:ascii="Times New Roman" w:hAnsi="Times New Roman"/>
          <w:szCs w:val="20"/>
        </w:rPr>
        <w:t>виконання</w:t>
      </w:r>
      <w:proofErr w:type="spellEnd"/>
      <w:r w:rsidRPr="00E16672">
        <w:rPr>
          <w:rFonts w:ascii="Times New Roman" w:hAnsi="Times New Roman"/>
          <w:szCs w:val="20"/>
        </w:rPr>
        <w:t xml:space="preserve"> </w:t>
      </w:r>
      <w:proofErr w:type="spellStart"/>
      <w:r w:rsidRPr="00E16672">
        <w:rPr>
          <w:rFonts w:ascii="Times New Roman" w:hAnsi="Times New Roman"/>
          <w:szCs w:val="20"/>
        </w:rPr>
        <w:t>розпорядження</w:t>
      </w:r>
      <w:proofErr w:type="spellEnd"/>
      <w:r w:rsidRPr="00E16672">
        <w:rPr>
          <w:rFonts w:ascii="Times New Roman" w:hAnsi="Times New Roman"/>
          <w:szCs w:val="20"/>
        </w:rPr>
        <w:t xml:space="preserve"> </w:t>
      </w:r>
      <w:r w:rsidRPr="00E16672">
        <w:rPr>
          <w:rFonts w:ascii="Times New Roman" w:hAnsi="Times New Roman"/>
          <w:szCs w:val="20"/>
          <w:lang w:val="uk-UA"/>
        </w:rPr>
        <w:t xml:space="preserve">у разі несплати Депонентом  депозитарних послуг. Призупинити обслуговування рахунку </w:t>
      </w:r>
      <w:r w:rsidR="00C22309" w:rsidRPr="00E16672">
        <w:rPr>
          <w:rFonts w:ascii="Times New Roman" w:hAnsi="Times New Roman"/>
          <w:szCs w:val="20"/>
          <w:lang w:val="uk-UA"/>
        </w:rPr>
        <w:t>в цін</w:t>
      </w:r>
      <w:r w:rsidRPr="00E16672">
        <w:rPr>
          <w:rFonts w:ascii="Times New Roman" w:hAnsi="Times New Roman"/>
          <w:szCs w:val="20"/>
          <w:lang w:val="uk-UA"/>
        </w:rPr>
        <w:t>них паперах Депонента у разі порушення Депонентом цього Договору щодо оплати послуг Депозитарної установи.</w:t>
      </w:r>
    </w:p>
    <w:p w14:paraId="57BE7C06" w14:textId="77777777" w:rsidR="000A1A7C" w:rsidRPr="00E16672" w:rsidRDefault="000A1A7C" w:rsidP="000A1A7C">
      <w:pPr>
        <w:tabs>
          <w:tab w:val="left" w:pos="709"/>
        </w:tabs>
        <w:rPr>
          <w:rFonts w:ascii="Times New Roman" w:hAnsi="Times New Roman"/>
          <w:color w:val="000000"/>
          <w:szCs w:val="20"/>
          <w:lang w:val="uk-UA"/>
        </w:rPr>
      </w:pPr>
    </w:p>
    <w:p w14:paraId="41A8C5BA" w14:textId="77777777" w:rsidR="007974E8" w:rsidRPr="00E16672" w:rsidRDefault="007974E8" w:rsidP="007974E8">
      <w:pPr>
        <w:tabs>
          <w:tab w:val="left" w:pos="709"/>
        </w:tabs>
        <w:rPr>
          <w:rFonts w:ascii="Times New Roman" w:hAnsi="Times New Roman"/>
          <w:b/>
          <w:color w:val="000000"/>
          <w:szCs w:val="20"/>
          <w:lang w:val="uk-UA"/>
        </w:rPr>
      </w:pPr>
      <w:r w:rsidRPr="00E16672">
        <w:rPr>
          <w:rFonts w:ascii="Times New Roman" w:hAnsi="Times New Roman"/>
          <w:b/>
          <w:color w:val="000000"/>
          <w:szCs w:val="20"/>
          <w:lang w:val="uk-UA"/>
        </w:rPr>
        <w:t>2.3. Депонент зобов’язаний:</w:t>
      </w:r>
    </w:p>
    <w:p w14:paraId="02B6385B" w14:textId="285AC962" w:rsidR="007974E8" w:rsidRPr="00E16672" w:rsidRDefault="007974E8" w:rsidP="007974E8">
      <w:pPr>
        <w:tabs>
          <w:tab w:val="left" w:pos="709"/>
        </w:tabs>
        <w:rPr>
          <w:rFonts w:ascii="Times New Roman" w:hAnsi="Times New Roman"/>
          <w:color w:val="000000"/>
          <w:szCs w:val="20"/>
          <w:lang w:val="uk-UA"/>
        </w:rPr>
      </w:pPr>
      <w:r w:rsidRPr="00E16672">
        <w:rPr>
          <w:rFonts w:ascii="Times New Roman" w:hAnsi="Times New Roman"/>
          <w:color w:val="000000"/>
          <w:szCs w:val="20"/>
          <w:lang w:val="uk-UA"/>
        </w:rPr>
        <w:t>2.3.1. Надати Депозитарній установі належним чином оформлені документи</w:t>
      </w:r>
      <w:r w:rsidR="004A0C83">
        <w:rPr>
          <w:rFonts w:ascii="Times New Roman" w:hAnsi="Times New Roman"/>
          <w:color w:val="000000"/>
          <w:szCs w:val="20"/>
          <w:lang w:val="uk-UA"/>
        </w:rPr>
        <w:t xml:space="preserve"> </w:t>
      </w:r>
      <w:r w:rsidR="004A0C83" w:rsidRPr="004A0C83">
        <w:rPr>
          <w:rFonts w:ascii="Times New Roman" w:hAnsi="Times New Roman"/>
          <w:color w:val="000000"/>
          <w:szCs w:val="20"/>
          <w:lang w:val="uk-UA"/>
        </w:rPr>
        <w:t>та інформацію</w:t>
      </w:r>
      <w:r w:rsidRPr="00E16672">
        <w:rPr>
          <w:rFonts w:ascii="Times New Roman" w:hAnsi="Times New Roman"/>
          <w:color w:val="000000"/>
          <w:szCs w:val="20"/>
          <w:lang w:val="uk-UA"/>
        </w:rPr>
        <w:t xml:space="preserve">, визначені законодавством та внутрішніми документами Депозитарної установи, необхідні для відкриття рахунку в цінних паперах протягом </w:t>
      </w:r>
      <w:r w:rsidRPr="00E16672">
        <w:rPr>
          <w:rFonts w:ascii="Times New Roman" w:hAnsi="Times New Roman"/>
          <w:i/>
          <w:iCs/>
          <w:color w:val="000000"/>
          <w:szCs w:val="20"/>
          <w:lang w:val="uk-UA"/>
        </w:rPr>
        <w:t>п</w:t>
      </w:r>
      <w:r w:rsidRPr="00E16672">
        <w:rPr>
          <w:rFonts w:ascii="Times New Roman" w:hAnsi="Times New Roman"/>
          <w:i/>
          <w:iCs/>
          <w:color w:val="000000"/>
          <w:szCs w:val="20"/>
        </w:rPr>
        <w:t>'</w:t>
      </w:r>
      <w:proofErr w:type="spellStart"/>
      <w:r w:rsidRPr="00E16672">
        <w:rPr>
          <w:rFonts w:ascii="Times New Roman" w:hAnsi="Times New Roman"/>
          <w:i/>
          <w:iCs/>
          <w:color w:val="000000"/>
          <w:szCs w:val="20"/>
          <w:lang w:val="uk-UA"/>
        </w:rPr>
        <w:t>яти</w:t>
      </w:r>
      <w:proofErr w:type="spellEnd"/>
      <w:r w:rsidRPr="00E16672">
        <w:rPr>
          <w:rFonts w:ascii="Times New Roman" w:hAnsi="Times New Roman"/>
          <w:color w:val="000000"/>
          <w:szCs w:val="20"/>
          <w:lang w:val="uk-UA"/>
        </w:rPr>
        <w:t xml:space="preserve"> робочих днів після укладення цього Договору.</w:t>
      </w:r>
    </w:p>
    <w:p w14:paraId="239CAEFC" w14:textId="77777777" w:rsidR="007974E8" w:rsidRPr="00E16672" w:rsidRDefault="007974E8" w:rsidP="007974E8">
      <w:pPr>
        <w:tabs>
          <w:tab w:val="left" w:pos="709"/>
        </w:tabs>
        <w:rPr>
          <w:rFonts w:ascii="Times New Roman" w:hAnsi="Times New Roman"/>
          <w:color w:val="000000"/>
          <w:szCs w:val="20"/>
          <w:lang w:val="uk-UA"/>
        </w:rPr>
      </w:pPr>
      <w:r w:rsidRPr="00E16672">
        <w:rPr>
          <w:rFonts w:ascii="Times New Roman" w:hAnsi="Times New Roman"/>
          <w:color w:val="000000"/>
          <w:szCs w:val="20"/>
          <w:lang w:val="uk-UA"/>
        </w:rPr>
        <w:t xml:space="preserve">2.3.2. Призначити розпорядника рахунку </w:t>
      </w:r>
      <w:r w:rsidR="00C22309" w:rsidRPr="00E16672">
        <w:rPr>
          <w:rFonts w:ascii="Times New Roman" w:hAnsi="Times New Roman"/>
          <w:color w:val="000000"/>
          <w:szCs w:val="20"/>
          <w:lang w:val="uk-UA"/>
        </w:rPr>
        <w:t>в цін</w:t>
      </w:r>
      <w:r w:rsidRPr="00E16672">
        <w:rPr>
          <w:rFonts w:ascii="Times New Roman" w:hAnsi="Times New Roman"/>
          <w:color w:val="000000"/>
          <w:szCs w:val="20"/>
          <w:lang w:val="uk-UA"/>
        </w:rPr>
        <w:t>них паперах.</w:t>
      </w:r>
    </w:p>
    <w:p w14:paraId="4CF1CEAB" w14:textId="77777777" w:rsidR="007974E8" w:rsidRPr="00E16672" w:rsidRDefault="007974E8" w:rsidP="007974E8">
      <w:pPr>
        <w:tabs>
          <w:tab w:val="left" w:pos="709"/>
        </w:tabs>
        <w:rPr>
          <w:rFonts w:ascii="Times New Roman" w:hAnsi="Times New Roman"/>
          <w:color w:val="000000"/>
          <w:szCs w:val="20"/>
          <w:lang w:val="uk-UA"/>
        </w:rPr>
      </w:pPr>
      <w:r w:rsidRPr="00E16672">
        <w:rPr>
          <w:rFonts w:ascii="Times New Roman" w:hAnsi="Times New Roman"/>
          <w:color w:val="000000"/>
          <w:szCs w:val="20"/>
          <w:lang w:val="uk-UA"/>
        </w:rPr>
        <w:t>2.3.3.Дотримуватись вимог внутрішніх документів Депозитарної установи, які регламентують відносини Депонента та Депозитарної установи.</w:t>
      </w:r>
    </w:p>
    <w:p w14:paraId="73924DC9" w14:textId="77777777" w:rsidR="007974E8" w:rsidRPr="00E16672" w:rsidRDefault="007974E8" w:rsidP="007974E8">
      <w:pPr>
        <w:tabs>
          <w:tab w:val="left" w:pos="709"/>
        </w:tabs>
        <w:rPr>
          <w:rFonts w:ascii="Times New Roman" w:hAnsi="Times New Roman"/>
          <w:color w:val="000000"/>
          <w:szCs w:val="20"/>
          <w:lang w:val="uk-UA"/>
        </w:rPr>
      </w:pPr>
      <w:r w:rsidRPr="00E16672">
        <w:rPr>
          <w:rFonts w:ascii="Times New Roman" w:hAnsi="Times New Roman"/>
          <w:color w:val="000000"/>
          <w:szCs w:val="20"/>
          <w:lang w:val="uk-UA"/>
        </w:rPr>
        <w:t xml:space="preserve">2.3.4. </w:t>
      </w:r>
      <w:proofErr w:type="spellStart"/>
      <w:r w:rsidRPr="00E16672">
        <w:rPr>
          <w:rFonts w:ascii="Times New Roman" w:hAnsi="Times New Roman"/>
          <w:szCs w:val="20"/>
        </w:rPr>
        <w:t>Своєчасно</w:t>
      </w:r>
      <w:proofErr w:type="spellEnd"/>
      <w:r w:rsidRPr="00E16672">
        <w:rPr>
          <w:rFonts w:ascii="Times New Roman" w:hAnsi="Times New Roman"/>
          <w:szCs w:val="20"/>
        </w:rPr>
        <w:t xml:space="preserve"> та в </w:t>
      </w:r>
      <w:proofErr w:type="spellStart"/>
      <w:r w:rsidRPr="00E16672">
        <w:rPr>
          <w:rFonts w:ascii="Times New Roman" w:hAnsi="Times New Roman"/>
          <w:szCs w:val="20"/>
        </w:rPr>
        <w:t>повному</w:t>
      </w:r>
      <w:proofErr w:type="spellEnd"/>
      <w:r w:rsidRPr="00E16672">
        <w:rPr>
          <w:rFonts w:ascii="Times New Roman" w:hAnsi="Times New Roman"/>
          <w:szCs w:val="20"/>
        </w:rPr>
        <w:t xml:space="preserve"> </w:t>
      </w:r>
      <w:proofErr w:type="spellStart"/>
      <w:r w:rsidRPr="00E16672">
        <w:rPr>
          <w:rFonts w:ascii="Times New Roman" w:hAnsi="Times New Roman"/>
          <w:szCs w:val="20"/>
        </w:rPr>
        <w:t>обсязі</w:t>
      </w:r>
      <w:proofErr w:type="spellEnd"/>
      <w:r w:rsidRPr="00E16672">
        <w:rPr>
          <w:rFonts w:ascii="Times New Roman" w:hAnsi="Times New Roman"/>
          <w:szCs w:val="20"/>
        </w:rPr>
        <w:t xml:space="preserve"> </w:t>
      </w:r>
      <w:proofErr w:type="spellStart"/>
      <w:r w:rsidRPr="00E16672">
        <w:rPr>
          <w:rFonts w:ascii="Times New Roman" w:hAnsi="Times New Roman"/>
          <w:szCs w:val="20"/>
        </w:rPr>
        <w:t>сплачувати</w:t>
      </w:r>
      <w:proofErr w:type="spellEnd"/>
      <w:r w:rsidRPr="00E16672">
        <w:rPr>
          <w:rFonts w:ascii="Times New Roman" w:hAnsi="Times New Roman"/>
          <w:szCs w:val="20"/>
        </w:rPr>
        <w:t xml:space="preserve"> </w:t>
      </w:r>
      <w:proofErr w:type="spellStart"/>
      <w:r w:rsidRPr="00E16672">
        <w:rPr>
          <w:rFonts w:ascii="Times New Roman" w:hAnsi="Times New Roman"/>
          <w:szCs w:val="20"/>
        </w:rPr>
        <w:t>послуги</w:t>
      </w:r>
      <w:proofErr w:type="spellEnd"/>
      <w:r w:rsidRPr="00E16672">
        <w:rPr>
          <w:rFonts w:ascii="Times New Roman" w:hAnsi="Times New Roman"/>
          <w:szCs w:val="20"/>
        </w:rPr>
        <w:t xml:space="preserve"> </w:t>
      </w:r>
      <w:proofErr w:type="spellStart"/>
      <w:r w:rsidRPr="00E16672">
        <w:rPr>
          <w:rFonts w:ascii="Times New Roman" w:hAnsi="Times New Roman"/>
          <w:szCs w:val="20"/>
        </w:rPr>
        <w:t>Депозитарної</w:t>
      </w:r>
      <w:proofErr w:type="spellEnd"/>
      <w:r w:rsidRPr="00E16672">
        <w:rPr>
          <w:rFonts w:ascii="Times New Roman" w:hAnsi="Times New Roman"/>
          <w:szCs w:val="20"/>
        </w:rPr>
        <w:t xml:space="preserve"> установи </w:t>
      </w:r>
      <w:proofErr w:type="spellStart"/>
      <w:r w:rsidRPr="00E16672">
        <w:rPr>
          <w:rFonts w:ascii="Times New Roman" w:hAnsi="Times New Roman"/>
          <w:szCs w:val="20"/>
        </w:rPr>
        <w:t>згідно</w:t>
      </w:r>
      <w:proofErr w:type="spellEnd"/>
      <w:r w:rsidRPr="00E16672">
        <w:rPr>
          <w:rFonts w:ascii="Times New Roman" w:hAnsi="Times New Roman"/>
          <w:szCs w:val="20"/>
        </w:rPr>
        <w:t xml:space="preserve"> з </w:t>
      </w:r>
      <w:proofErr w:type="spellStart"/>
      <w:r w:rsidRPr="00E16672">
        <w:rPr>
          <w:rFonts w:ascii="Times New Roman" w:hAnsi="Times New Roman"/>
          <w:szCs w:val="20"/>
        </w:rPr>
        <w:t>умовами</w:t>
      </w:r>
      <w:proofErr w:type="spellEnd"/>
      <w:r w:rsidRPr="00E16672">
        <w:rPr>
          <w:rFonts w:ascii="Times New Roman" w:hAnsi="Times New Roman"/>
          <w:szCs w:val="20"/>
        </w:rPr>
        <w:t xml:space="preserve"> та строками, </w:t>
      </w:r>
      <w:proofErr w:type="spellStart"/>
      <w:r w:rsidRPr="00E16672">
        <w:rPr>
          <w:rFonts w:ascii="Times New Roman" w:hAnsi="Times New Roman"/>
          <w:szCs w:val="20"/>
        </w:rPr>
        <w:t>передбаченими</w:t>
      </w:r>
      <w:proofErr w:type="spellEnd"/>
      <w:r w:rsidRPr="00E16672">
        <w:rPr>
          <w:rFonts w:ascii="Times New Roman" w:hAnsi="Times New Roman"/>
          <w:szCs w:val="20"/>
        </w:rPr>
        <w:t xml:space="preserve"> Договором, та тарифами, </w:t>
      </w:r>
      <w:proofErr w:type="spellStart"/>
      <w:r w:rsidRPr="00E16672">
        <w:rPr>
          <w:rFonts w:ascii="Times New Roman" w:hAnsi="Times New Roman"/>
          <w:szCs w:val="20"/>
        </w:rPr>
        <w:t>встановленими</w:t>
      </w:r>
      <w:proofErr w:type="spellEnd"/>
      <w:r w:rsidRPr="00E16672">
        <w:rPr>
          <w:rFonts w:ascii="Times New Roman" w:hAnsi="Times New Roman"/>
          <w:szCs w:val="20"/>
        </w:rPr>
        <w:t xml:space="preserve"> Депозитарною </w:t>
      </w:r>
      <w:proofErr w:type="spellStart"/>
      <w:r w:rsidRPr="00E16672">
        <w:rPr>
          <w:rFonts w:ascii="Times New Roman" w:hAnsi="Times New Roman"/>
          <w:szCs w:val="20"/>
        </w:rPr>
        <w:t>установою</w:t>
      </w:r>
      <w:proofErr w:type="spellEnd"/>
      <w:r w:rsidRPr="00E16672">
        <w:rPr>
          <w:rFonts w:ascii="Times New Roman" w:hAnsi="Times New Roman"/>
          <w:szCs w:val="20"/>
        </w:rPr>
        <w:t xml:space="preserve"> на дату </w:t>
      </w:r>
      <w:proofErr w:type="spellStart"/>
      <w:r w:rsidRPr="00E16672">
        <w:rPr>
          <w:rFonts w:ascii="Times New Roman" w:hAnsi="Times New Roman"/>
          <w:szCs w:val="20"/>
        </w:rPr>
        <w:t>надання</w:t>
      </w:r>
      <w:proofErr w:type="spellEnd"/>
      <w:r w:rsidRPr="00E16672">
        <w:rPr>
          <w:rFonts w:ascii="Times New Roman" w:hAnsi="Times New Roman"/>
          <w:szCs w:val="20"/>
        </w:rPr>
        <w:t xml:space="preserve"> </w:t>
      </w:r>
      <w:proofErr w:type="spellStart"/>
      <w:r w:rsidRPr="00E16672">
        <w:rPr>
          <w:rFonts w:ascii="Times New Roman" w:hAnsi="Times New Roman"/>
          <w:szCs w:val="20"/>
        </w:rPr>
        <w:t>послуг</w:t>
      </w:r>
      <w:proofErr w:type="spellEnd"/>
      <w:r w:rsidRPr="00E16672">
        <w:rPr>
          <w:rFonts w:ascii="Times New Roman" w:hAnsi="Times New Roman"/>
          <w:szCs w:val="20"/>
        </w:rPr>
        <w:t xml:space="preserve"> (у тому </w:t>
      </w:r>
      <w:proofErr w:type="spellStart"/>
      <w:r w:rsidRPr="00E16672">
        <w:rPr>
          <w:rFonts w:ascii="Times New Roman" w:hAnsi="Times New Roman"/>
          <w:szCs w:val="20"/>
        </w:rPr>
        <w:t>числі</w:t>
      </w:r>
      <w:proofErr w:type="spellEnd"/>
      <w:r w:rsidRPr="00E16672">
        <w:rPr>
          <w:rFonts w:ascii="Times New Roman" w:hAnsi="Times New Roman"/>
          <w:szCs w:val="20"/>
        </w:rPr>
        <w:t xml:space="preserve"> </w:t>
      </w:r>
      <w:proofErr w:type="spellStart"/>
      <w:r w:rsidRPr="00E16672">
        <w:rPr>
          <w:rFonts w:ascii="Times New Roman" w:hAnsi="Times New Roman"/>
          <w:szCs w:val="20"/>
        </w:rPr>
        <w:t>послуги</w:t>
      </w:r>
      <w:proofErr w:type="spellEnd"/>
      <w:r w:rsidRPr="00E16672">
        <w:rPr>
          <w:rFonts w:ascii="Times New Roman" w:hAnsi="Times New Roman"/>
          <w:szCs w:val="20"/>
        </w:rPr>
        <w:t xml:space="preserve"> з </w:t>
      </w:r>
      <w:proofErr w:type="spellStart"/>
      <w:r w:rsidRPr="00E16672">
        <w:rPr>
          <w:rFonts w:ascii="Times New Roman" w:hAnsi="Times New Roman"/>
          <w:szCs w:val="20"/>
        </w:rPr>
        <w:t>надання</w:t>
      </w:r>
      <w:proofErr w:type="spellEnd"/>
      <w:r w:rsidRPr="00E16672">
        <w:rPr>
          <w:rFonts w:ascii="Times New Roman" w:hAnsi="Times New Roman"/>
          <w:szCs w:val="20"/>
        </w:rPr>
        <w:t xml:space="preserve"> </w:t>
      </w:r>
      <w:proofErr w:type="spellStart"/>
      <w:r w:rsidRPr="00E16672">
        <w:rPr>
          <w:rFonts w:ascii="Times New Roman" w:hAnsi="Times New Roman"/>
          <w:szCs w:val="20"/>
        </w:rPr>
        <w:t>інформації</w:t>
      </w:r>
      <w:proofErr w:type="spellEnd"/>
      <w:r w:rsidRPr="00E16672">
        <w:rPr>
          <w:rFonts w:ascii="Times New Roman" w:hAnsi="Times New Roman"/>
          <w:szCs w:val="20"/>
        </w:rPr>
        <w:t xml:space="preserve"> про </w:t>
      </w:r>
      <w:proofErr w:type="spellStart"/>
      <w:r w:rsidRPr="00E16672">
        <w:rPr>
          <w:rFonts w:ascii="Times New Roman" w:hAnsi="Times New Roman"/>
          <w:szCs w:val="20"/>
        </w:rPr>
        <w:t>корпоративні</w:t>
      </w:r>
      <w:proofErr w:type="spellEnd"/>
      <w:r w:rsidRPr="00E16672">
        <w:rPr>
          <w:rFonts w:ascii="Times New Roman" w:hAnsi="Times New Roman"/>
          <w:szCs w:val="20"/>
        </w:rPr>
        <w:t xml:space="preserve"> </w:t>
      </w:r>
      <w:proofErr w:type="spellStart"/>
      <w:r w:rsidRPr="00E16672">
        <w:rPr>
          <w:rFonts w:ascii="Times New Roman" w:hAnsi="Times New Roman"/>
          <w:szCs w:val="20"/>
        </w:rPr>
        <w:t>операції</w:t>
      </w:r>
      <w:proofErr w:type="spellEnd"/>
      <w:r w:rsidRPr="00E16672">
        <w:rPr>
          <w:rFonts w:ascii="Times New Roman" w:hAnsi="Times New Roman"/>
          <w:szCs w:val="20"/>
        </w:rPr>
        <w:t xml:space="preserve"> </w:t>
      </w:r>
      <w:proofErr w:type="spellStart"/>
      <w:r w:rsidRPr="00E16672">
        <w:rPr>
          <w:rFonts w:ascii="Times New Roman" w:hAnsi="Times New Roman"/>
          <w:szCs w:val="20"/>
        </w:rPr>
        <w:t>емітентів</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іншої</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інформації</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отриманої</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від</w:t>
      </w:r>
      <w:proofErr w:type="spellEnd"/>
      <w:r w:rsidRPr="00E16672">
        <w:rPr>
          <w:rFonts w:ascii="Times New Roman" w:hAnsi="Times New Roman"/>
          <w:color w:val="000000"/>
          <w:szCs w:val="20"/>
        </w:rPr>
        <w:t xml:space="preserve"> Центрального </w:t>
      </w:r>
      <w:proofErr w:type="spellStart"/>
      <w:r w:rsidRPr="00E16672">
        <w:rPr>
          <w:rFonts w:ascii="Times New Roman" w:hAnsi="Times New Roman"/>
          <w:color w:val="000000"/>
          <w:szCs w:val="20"/>
        </w:rPr>
        <w:t>депозитарію</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згідно</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вимог</w:t>
      </w:r>
      <w:proofErr w:type="spellEnd"/>
      <w:r w:rsidRPr="00E16672">
        <w:rPr>
          <w:rFonts w:ascii="Times New Roman" w:hAnsi="Times New Roman"/>
          <w:color w:val="000000"/>
          <w:szCs w:val="20"/>
        </w:rPr>
        <w:t xml:space="preserve"> чинного </w:t>
      </w:r>
      <w:proofErr w:type="spellStart"/>
      <w:r w:rsidRPr="00E16672">
        <w:rPr>
          <w:rFonts w:ascii="Times New Roman" w:hAnsi="Times New Roman"/>
          <w:color w:val="000000"/>
          <w:szCs w:val="20"/>
        </w:rPr>
        <w:t>законодавства</w:t>
      </w:r>
      <w:proofErr w:type="spellEnd"/>
      <w:r w:rsidRPr="00E16672">
        <w:rPr>
          <w:rFonts w:ascii="Times New Roman" w:hAnsi="Times New Roman"/>
          <w:color w:val="000000"/>
          <w:szCs w:val="20"/>
          <w:lang w:val="uk-UA"/>
        </w:rPr>
        <w:t>.</w:t>
      </w:r>
    </w:p>
    <w:p w14:paraId="4EBF05CA" w14:textId="77777777" w:rsidR="007974E8" w:rsidRPr="00E16672" w:rsidRDefault="007974E8" w:rsidP="007974E8">
      <w:pPr>
        <w:pStyle w:val="ab"/>
        <w:tabs>
          <w:tab w:val="left" w:pos="709"/>
        </w:tabs>
        <w:jc w:val="both"/>
        <w:rPr>
          <w:rFonts w:ascii="Times New Roman" w:hAnsi="Times New Roman"/>
          <w:b w:val="0"/>
          <w:color w:val="000000"/>
        </w:rPr>
      </w:pPr>
      <w:r w:rsidRPr="00E16672">
        <w:rPr>
          <w:rFonts w:ascii="Times New Roman" w:hAnsi="Times New Roman"/>
          <w:b w:val="0"/>
          <w:color w:val="000000"/>
        </w:rPr>
        <w:t xml:space="preserve">2.3.5. Сплатити Депозитарній установі повну вартість отриманих, але не сплачених послуг протягом </w:t>
      </w:r>
      <w:r w:rsidRPr="00E16672">
        <w:rPr>
          <w:rFonts w:ascii="Times New Roman" w:hAnsi="Times New Roman"/>
          <w:b w:val="0"/>
          <w:i/>
          <w:iCs/>
          <w:color w:val="000000"/>
        </w:rPr>
        <w:t>десяти</w:t>
      </w:r>
      <w:r w:rsidRPr="00E16672">
        <w:rPr>
          <w:rFonts w:ascii="Times New Roman" w:hAnsi="Times New Roman"/>
          <w:b w:val="0"/>
          <w:color w:val="000000"/>
        </w:rPr>
        <w:t xml:space="preserve"> банківських днів після отримання письмового повідомлення про розірвання цього Договору.</w:t>
      </w:r>
    </w:p>
    <w:p w14:paraId="114DF445" w14:textId="77777777" w:rsidR="007974E8" w:rsidRPr="00E16672" w:rsidRDefault="007974E8" w:rsidP="007974E8">
      <w:pPr>
        <w:tabs>
          <w:tab w:val="left" w:pos="709"/>
        </w:tabs>
        <w:rPr>
          <w:rFonts w:ascii="Times New Roman" w:hAnsi="Times New Roman"/>
          <w:color w:val="000000"/>
          <w:szCs w:val="20"/>
          <w:lang w:val="uk-UA"/>
        </w:rPr>
      </w:pPr>
      <w:r w:rsidRPr="00E16672">
        <w:rPr>
          <w:rFonts w:ascii="Times New Roman" w:hAnsi="Times New Roman"/>
          <w:color w:val="000000"/>
          <w:szCs w:val="20"/>
          <w:lang w:val="uk-UA"/>
        </w:rPr>
        <w:t xml:space="preserve">2.3.6. </w:t>
      </w:r>
      <w:proofErr w:type="spellStart"/>
      <w:r w:rsidRPr="00E16672">
        <w:rPr>
          <w:rFonts w:ascii="Times New Roman" w:hAnsi="Times New Roman"/>
          <w:color w:val="000000"/>
          <w:szCs w:val="20"/>
        </w:rPr>
        <w:t>Надавати</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Депозитарній</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установі</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документи</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які</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передбачені</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законодавством</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України</w:t>
      </w:r>
      <w:proofErr w:type="spellEnd"/>
      <w:r w:rsidRPr="00E16672">
        <w:rPr>
          <w:rFonts w:ascii="Times New Roman" w:hAnsi="Times New Roman"/>
          <w:color w:val="000000"/>
          <w:szCs w:val="20"/>
        </w:rPr>
        <w:t xml:space="preserve"> та </w:t>
      </w:r>
      <w:proofErr w:type="spellStart"/>
      <w:r w:rsidRPr="00E16672">
        <w:rPr>
          <w:rFonts w:ascii="Times New Roman" w:hAnsi="Times New Roman"/>
          <w:color w:val="000000"/>
          <w:szCs w:val="20"/>
        </w:rPr>
        <w:t>внутрішніми</w:t>
      </w:r>
      <w:proofErr w:type="spellEnd"/>
      <w:r w:rsidRPr="00E16672">
        <w:rPr>
          <w:rFonts w:ascii="Times New Roman" w:hAnsi="Times New Roman"/>
          <w:color w:val="000000"/>
          <w:szCs w:val="20"/>
        </w:rPr>
        <w:t xml:space="preserve"> документами </w:t>
      </w:r>
      <w:proofErr w:type="spellStart"/>
      <w:r w:rsidRPr="00E16672">
        <w:rPr>
          <w:rFonts w:ascii="Times New Roman" w:hAnsi="Times New Roman"/>
          <w:color w:val="000000"/>
          <w:szCs w:val="20"/>
        </w:rPr>
        <w:t>Депозитарної</w:t>
      </w:r>
      <w:proofErr w:type="spellEnd"/>
      <w:r w:rsidRPr="00E16672">
        <w:rPr>
          <w:rFonts w:ascii="Times New Roman" w:hAnsi="Times New Roman"/>
          <w:color w:val="000000"/>
          <w:szCs w:val="20"/>
        </w:rPr>
        <w:t xml:space="preserve"> установи як </w:t>
      </w:r>
      <w:proofErr w:type="spellStart"/>
      <w:r w:rsidRPr="00E16672">
        <w:rPr>
          <w:rFonts w:ascii="Times New Roman" w:hAnsi="Times New Roman"/>
          <w:color w:val="000000"/>
          <w:szCs w:val="20"/>
        </w:rPr>
        <w:t>обов'язкові</w:t>
      </w:r>
      <w:proofErr w:type="spellEnd"/>
      <w:r w:rsidRPr="00E16672">
        <w:rPr>
          <w:rFonts w:ascii="Times New Roman" w:hAnsi="Times New Roman"/>
          <w:color w:val="000000"/>
          <w:szCs w:val="20"/>
        </w:rPr>
        <w:t xml:space="preserve"> для </w:t>
      </w:r>
      <w:proofErr w:type="spellStart"/>
      <w:r w:rsidRPr="00E16672">
        <w:rPr>
          <w:rFonts w:ascii="Times New Roman" w:hAnsi="Times New Roman"/>
          <w:color w:val="000000"/>
          <w:szCs w:val="20"/>
        </w:rPr>
        <w:t>подання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або</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необхідні</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їй</w:t>
      </w:r>
      <w:proofErr w:type="spellEnd"/>
      <w:r w:rsidRPr="00E16672">
        <w:rPr>
          <w:rFonts w:ascii="Times New Roman" w:hAnsi="Times New Roman"/>
          <w:color w:val="000000"/>
          <w:szCs w:val="20"/>
        </w:rPr>
        <w:t xml:space="preserve"> для </w:t>
      </w:r>
      <w:proofErr w:type="spellStart"/>
      <w:r w:rsidRPr="00E16672">
        <w:rPr>
          <w:rFonts w:ascii="Times New Roman" w:hAnsi="Times New Roman"/>
          <w:color w:val="000000"/>
          <w:szCs w:val="20"/>
        </w:rPr>
        <w:t>виконання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дій</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згідно</w:t>
      </w:r>
      <w:proofErr w:type="spellEnd"/>
      <w:r w:rsidRPr="00E16672">
        <w:rPr>
          <w:rFonts w:ascii="Times New Roman" w:hAnsi="Times New Roman"/>
          <w:color w:val="000000"/>
          <w:szCs w:val="20"/>
        </w:rPr>
        <w:t xml:space="preserve"> з </w:t>
      </w:r>
      <w:proofErr w:type="spellStart"/>
      <w:r w:rsidRPr="00E16672">
        <w:rPr>
          <w:rFonts w:ascii="Times New Roman" w:hAnsi="Times New Roman"/>
          <w:color w:val="000000"/>
          <w:szCs w:val="20"/>
        </w:rPr>
        <w:t>вимогами</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законодавства</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України</w:t>
      </w:r>
      <w:proofErr w:type="spellEnd"/>
      <w:r w:rsidRPr="00E16672">
        <w:rPr>
          <w:rFonts w:ascii="Times New Roman" w:hAnsi="Times New Roman"/>
          <w:color w:val="000000"/>
          <w:szCs w:val="20"/>
        </w:rPr>
        <w:t xml:space="preserve"> та </w:t>
      </w:r>
      <w:proofErr w:type="spellStart"/>
      <w:r w:rsidRPr="00E16672">
        <w:rPr>
          <w:rFonts w:ascii="Times New Roman" w:hAnsi="Times New Roman"/>
          <w:color w:val="000000"/>
          <w:szCs w:val="20"/>
        </w:rPr>
        <w:t>умовами</w:t>
      </w:r>
      <w:proofErr w:type="spellEnd"/>
      <w:r w:rsidRPr="00E16672">
        <w:rPr>
          <w:rFonts w:ascii="Times New Roman" w:hAnsi="Times New Roman"/>
          <w:color w:val="000000"/>
          <w:szCs w:val="20"/>
        </w:rPr>
        <w:t xml:space="preserve"> Договору</w:t>
      </w:r>
      <w:r w:rsidRPr="00E16672">
        <w:rPr>
          <w:rFonts w:ascii="Times New Roman" w:hAnsi="Times New Roman"/>
          <w:color w:val="000000"/>
          <w:szCs w:val="20"/>
          <w:lang w:val="uk-UA"/>
        </w:rPr>
        <w:t>.</w:t>
      </w:r>
    </w:p>
    <w:p w14:paraId="76A0C564" w14:textId="77777777" w:rsidR="007974E8" w:rsidRPr="00E16672" w:rsidRDefault="007974E8" w:rsidP="007974E8">
      <w:pPr>
        <w:tabs>
          <w:tab w:val="left" w:pos="709"/>
        </w:tabs>
        <w:rPr>
          <w:rFonts w:ascii="Times New Roman" w:hAnsi="Times New Roman"/>
          <w:color w:val="000000"/>
          <w:szCs w:val="20"/>
          <w:lang w:val="uk-UA"/>
        </w:rPr>
      </w:pPr>
      <w:r w:rsidRPr="00E16672">
        <w:rPr>
          <w:rFonts w:ascii="Times New Roman" w:hAnsi="Times New Roman"/>
          <w:color w:val="000000"/>
          <w:szCs w:val="20"/>
          <w:lang w:val="uk-UA"/>
        </w:rPr>
        <w:t xml:space="preserve">2.3.7. Протягом не більше як </w:t>
      </w:r>
      <w:r w:rsidR="00FE185D">
        <w:rPr>
          <w:rFonts w:ascii="Times New Roman" w:hAnsi="Times New Roman"/>
          <w:color w:val="000000"/>
          <w:szCs w:val="20"/>
          <w:lang w:val="uk-UA"/>
        </w:rPr>
        <w:t>10 (</w:t>
      </w:r>
      <w:r w:rsidRPr="00E16672">
        <w:rPr>
          <w:rFonts w:ascii="Times New Roman" w:hAnsi="Times New Roman"/>
          <w:i/>
          <w:iCs/>
          <w:color w:val="000000"/>
          <w:szCs w:val="20"/>
          <w:lang w:val="uk-UA"/>
        </w:rPr>
        <w:t>десять</w:t>
      </w:r>
      <w:r w:rsidR="00FE185D">
        <w:rPr>
          <w:rFonts w:ascii="Times New Roman" w:hAnsi="Times New Roman"/>
          <w:i/>
          <w:iCs/>
          <w:color w:val="000000"/>
          <w:szCs w:val="20"/>
          <w:lang w:val="uk-UA"/>
        </w:rPr>
        <w:t>)</w:t>
      </w:r>
      <w:r w:rsidRPr="00E16672">
        <w:rPr>
          <w:rFonts w:ascii="Times New Roman" w:hAnsi="Times New Roman"/>
          <w:i/>
          <w:iCs/>
          <w:color w:val="000000"/>
          <w:szCs w:val="20"/>
          <w:lang w:val="uk-UA"/>
        </w:rPr>
        <w:t xml:space="preserve"> </w:t>
      </w:r>
      <w:r w:rsidRPr="00E16672">
        <w:rPr>
          <w:rFonts w:ascii="Times New Roman" w:hAnsi="Times New Roman"/>
          <w:iCs/>
          <w:color w:val="000000"/>
          <w:szCs w:val="20"/>
          <w:lang w:val="uk-UA"/>
        </w:rPr>
        <w:t>робочих днів</w:t>
      </w:r>
      <w:r w:rsidRPr="00E16672">
        <w:rPr>
          <w:rFonts w:ascii="Times New Roman" w:hAnsi="Times New Roman"/>
          <w:i/>
          <w:iCs/>
          <w:color w:val="000000"/>
          <w:szCs w:val="20"/>
          <w:lang w:val="uk-UA"/>
        </w:rPr>
        <w:t xml:space="preserve"> </w:t>
      </w:r>
      <w:r w:rsidRPr="00E16672">
        <w:rPr>
          <w:rFonts w:ascii="Times New Roman" w:hAnsi="Times New Roman"/>
          <w:color w:val="000000"/>
          <w:szCs w:val="20"/>
          <w:lang w:val="uk-UA"/>
        </w:rPr>
        <w:t>з дати внесення відповідних змін до своїх реквізитів або документів, що надавалися для відкриття рахунка в цінних паперах, надавати  інформацію про ці зміни Депозитарній установі у порядку, встановленому законодавством та внутрішніми документами Депозитарної установи.</w:t>
      </w:r>
    </w:p>
    <w:p w14:paraId="10C194BA" w14:textId="77777777" w:rsidR="007974E8" w:rsidRPr="00E16672" w:rsidRDefault="007974E8" w:rsidP="007974E8">
      <w:pPr>
        <w:tabs>
          <w:tab w:val="left" w:pos="709"/>
        </w:tabs>
        <w:rPr>
          <w:rFonts w:ascii="Times New Roman" w:hAnsi="Times New Roman"/>
          <w:color w:val="000000"/>
          <w:szCs w:val="20"/>
          <w:lang w:val="uk-UA"/>
        </w:rPr>
      </w:pPr>
      <w:r w:rsidRPr="00E16672">
        <w:rPr>
          <w:rFonts w:ascii="Times New Roman" w:hAnsi="Times New Roman"/>
          <w:color w:val="000000"/>
          <w:szCs w:val="20"/>
          <w:lang w:val="uk-UA"/>
        </w:rPr>
        <w:t xml:space="preserve">2.3.8. Протягом </w:t>
      </w:r>
      <w:r w:rsidR="00FE185D">
        <w:rPr>
          <w:rFonts w:ascii="Times New Roman" w:hAnsi="Times New Roman"/>
          <w:color w:val="000000"/>
          <w:szCs w:val="20"/>
          <w:lang w:val="uk-UA"/>
        </w:rPr>
        <w:t>60 (</w:t>
      </w:r>
      <w:r w:rsidR="00F50251" w:rsidRPr="00E16672">
        <w:rPr>
          <w:rFonts w:ascii="Times New Roman" w:hAnsi="Times New Roman"/>
          <w:i/>
          <w:iCs/>
          <w:color w:val="000000"/>
          <w:szCs w:val="20"/>
          <w:lang w:val="uk-UA"/>
        </w:rPr>
        <w:t>шістдесяти</w:t>
      </w:r>
      <w:r w:rsidR="00FE185D">
        <w:rPr>
          <w:rFonts w:ascii="Times New Roman" w:hAnsi="Times New Roman"/>
          <w:i/>
          <w:iCs/>
          <w:color w:val="000000"/>
          <w:szCs w:val="20"/>
          <w:lang w:val="uk-UA"/>
        </w:rPr>
        <w:t>)</w:t>
      </w:r>
      <w:r w:rsidRPr="00E16672">
        <w:rPr>
          <w:rFonts w:ascii="Times New Roman" w:hAnsi="Times New Roman"/>
          <w:color w:val="000000"/>
          <w:szCs w:val="20"/>
          <w:lang w:val="uk-UA"/>
        </w:rPr>
        <w:t xml:space="preserve"> календарних днів з дати початку Депозитарною установою процедури припинення нею провадження професійної діяльності на фондовому ринку - депозитарної діяльності депозитарної установи відповідно до </w:t>
      </w:r>
      <w:r w:rsidRPr="00E16672">
        <w:rPr>
          <w:rFonts w:ascii="Times New Roman" w:hAnsi="Times New Roman"/>
          <w:color w:val="000000"/>
          <w:szCs w:val="20"/>
          <w:lang w:val="uk-UA"/>
        </w:rPr>
        <w:lastRenderedPageBreak/>
        <w:t xml:space="preserve">вимог нормативно-правового </w:t>
      </w:r>
      <w:proofErr w:type="spellStart"/>
      <w:r w:rsidRPr="00E16672">
        <w:rPr>
          <w:rFonts w:ascii="Times New Roman" w:hAnsi="Times New Roman"/>
          <w:color w:val="000000"/>
          <w:szCs w:val="20"/>
          <w:lang w:val="uk-UA"/>
        </w:rPr>
        <w:t>акта</w:t>
      </w:r>
      <w:proofErr w:type="spellEnd"/>
      <w:r w:rsidRPr="00E16672">
        <w:rPr>
          <w:rFonts w:ascii="Times New Roman" w:hAnsi="Times New Roman"/>
          <w:color w:val="000000"/>
          <w:szCs w:val="20"/>
          <w:lang w:val="uk-UA"/>
        </w:rPr>
        <w:t xml:space="preserve"> щодо припинення депозитарної діяльності депозитарної установи здійснити всі необхідні дії щодо закриття рахунка в цінних паперах.</w:t>
      </w:r>
    </w:p>
    <w:p w14:paraId="6D735FBC" w14:textId="77777777" w:rsidR="007974E8" w:rsidRPr="00E16672" w:rsidRDefault="007974E8" w:rsidP="00022F5F">
      <w:pPr>
        <w:jc w:val="left"/>
        <w:rPr>
          <w:rFonts w:ascii="Times New Roman" w:hAnsi="Times New Roman"/>
          <w:color w:val="000000"/>
          <w:szCs w:val="20"/>
          <w:lang w:val="uk-UA"/>
        </w:rPr>
      </w:pPr>
      <w:r w:rsidRPr="00E16672">
        <w:rPr>
          <w:rFonts w:ascii="Times New Roman" w:hAnsi="Times New Roman"/>
          <w:color w:val="000000"/>
          <w:szCs w:val="20"/>
          <w:lang w:val="uk-UA"/>
        </w:rPr>
        <w:t xml:space="preserve">2.3.9. Надавати Депозитарній установі для здійснення розрахунків за правочинами щодо цінних паперів з дотриманням принципу </w:t>
      </w:r>
      <w:r w:rsidR="00022F5F">
        <w:rPr>
          <w:rFonts w:ascii="Times New Roman" w:hAnsi="Times New Roman"/>
          <w:color w:val="000000"/>
          <w:szCs w:val="20"/>
          <w:lang w:val="uk-UA"/>
        </w:rPr>
        <w:t>"</w:t>
      </w:r>
      <w:r w:rsidRPr="00E16672">
        <w:rPr>
          <w:rFonts w:ascii="Times New Roman" w:hAnsi="Times New Roman"/>
          <w:color w:val="000000"/>
          <w:szCs w:val="20"/>
          <w:lang w:val="uk-UA"/>
        </w:rPr>
        <w:t>поставка цінних паперів проти оплати</w:t>
      </w:r>
      <w:r w:rsidR="00022F5F">
        <w:rPr>
          <w:rFonts w:ascii="Times New Roman" w:hAnsi="Times New Roman"/>
          <w:color w:val="000000"/>
          <w:szCs w:val="20"/>
          <w:lang w:val="uk-UA"/>
        </w:rPr>
        <w:t>"</w:t>
      </w:r>
      <w:r w:rsidRPr="00E16672">
        <w:rPr>
          <w:rFonts w:ascii="Times New Roman" w:hAnsi="Times New Roman"/>
          <w:color w:val="000000"/>
          <w:szCs w:val="20"/>
          <w:lang w:val="uk-UA"/>
        </w:rPr>
        <w:t xml:space="preserve"> інформацію про торговця цінними паперами, якому Депонентом надані повноваження на вчинення правочинів щодо цінних паперів в інтересах Депонента, з метою подальшого надання такої інформації Центральному депозитарію та Розрахунковому центру чи кліринговій установі для її відображення у внутрішній системі обліку такої особи.</w:t>
      </w:r>
    </w:p>
    <w:p w14:paraId="7E2CAA07" w14:textId="77777777" w:rsidR="007974E8" w:rsidRPr="00E16672" w:rsidRDefault="007974E8" w:rsidP="007974E8">
      <w:pPr>
        <w:suppressAutoHyphens w:val="0"/>
        <w:rPr>
          <w:rFonts w:ascii="Times New Roman" w:hAnsi="Times New Roman"/>
          <w:iCs/>
          <w:color w:val="000000"/>
          <w:szCs w:val="20"/>
          <w:lang w:eastAsia="ru-RU"/>
        </w:rPr>
      </w:pPr>
      <w:r w:rsidRPr="00E16672">
        <w:rPr>
          <w:rFonts w:ascii="Times New Roman" w:hAnsi="Times New Roman"/>
          <w:color w:val="000000"/>
          <w:szCs w:val="20"/>
        </w:rPr>
        <w:t>2.3.10.</w:t>
      </w:r>
      <w:r w:rsidRPr="00E16672">
        <w:rPr>
          <w:rFonts w:ascii="Times New Roman" w:hAnsi="Times New Roman"/>
          <w:color w:val="000000"/>
          <w:szCs w:val="20"/>
          <w:lang w:val="uk-UA"/>
        </w:rPr>
        <w:t xml:space="preserve"> </w:t>
      </w:r>
      <w:proofErr w:type="spellStart"/>
      <w:r w:rsidRPr="00E16672">
        <w:rPr>
          <w:rFonts w:ascii="Times New Roman" w:hAnsi="Times New Roman"/>
          <w:iCs/>
          <w:color w:val="000000"/>
          <w:szCs w:val="20"/>
          <w:lang w:eastAsia="ru-RU"/>
        </w:rPr>
        <w:t>Після</w:t>
      </w:r>
      <w:proofErr w:type="spellEnd"/>
      <w:r w:rsidRPr="00E16672">
        <w:rPr>
          <w:rFonts w:ascii="Times New Roman" w:hAnsi="Times New Roman"/>
          <w:iCs/>
          <w:color w:val="000000"/>
          <w:szCs w:val="20"/>
          <w:lang w:eastAsia="ru-RU"/>
        </w:rPr>
        <w:t xml:space="preserve"> початку </w:t>
      </w:r>
      <w:proofErr w:type="spellStart"/>
      <w:r w:rsidRPr="00E16672">
        <w:rPr>
          <w:rFonts w:ascii="Times New Roman" w:hAnsi="Times New Roman"/>
          <w:iCs/>
          <w:color w:val="000000"/>
          <w:szCs w:val="20"/>
          <w:lang w:eastAsia="ru-RU"/>
        </w:rPr>
        <w:t>ліквідаційної</w:t>
      </w:r>
      <w:proofErr w:type="spellEnd"/>
      <w:r w:rsidRPr="00E16672">
        <w:rPr>
          <w:rFonts w:ascii="Times New Roman" w:hAnsi="Times New Roman"/>
          <w:iCs/>
          <w:color w:val="000000"/>
          <w:szCs w:val="20"/>
          <w:lang w:eastAsia="ru-RU"/>
        </w:rPr>
        <w:t xml:space="preserve"> </w:t>
      </w:r>
      <w:proofErr w:type="spellStart"/>
      <w:r w:rsidRPr="00E16672">
        <w:rPr>
          <w:rFonts w:ascii="Times New Roman" w:hAnsi="Times New Roman"/>
          <w:iCs/>
          <w:color w:val="000000"/>
          <w:szCs w:val="20"/>
          <w:lang w:eastAsia="ru-RU"/>
        </w:rPr>
        <w:t>процедури</w:t>
      </w:r>
      <w:proofErr w:type="spellEnd"/>
      <w:r w:rsidRPr="00E16672">
        <w:rPr>
          <w:rFonts w:ascii="Times New Roman" w:hAnsi="Times New Roman"/>
          <w:iCs/>
          <w:color w:val="000000"/>
          <w:szCs w:val="20"/>
          <w:lang w:eastAsia="ru-RU"/>
        </w:rPr>
        <w:t xml:space="preserve"> по </w:t>
      </w:r>
      <w:proofErr w:type="spellStart"/>
      <w:r w:rsidRPr="00E16672">
        <w:rPr>
          <w:rFonts w:ascii="Times New Roman" w:hAnsi="Times New Roman"/>
          <w:iCs/>
          <w:color w:val="000000"/>
          <w:szCs w:val="20"/>
          <w:lang w:eastAsia="ru-RU"/>
        </w:rPr>
        <w:t>відношенню</w:t>
      </w:r>
      <w:proofErr w:type="spellEnd"/>
      <w:r w:rsidRPr="00E16672">
        <w:rPr>
          <w:rFonts w:ascii="Times New Roman" w:hAnsi="Times New Roman"/>
          <w:iCs/>
          <w:color w:val="000000"/>
          <w:szCs w:val="20"/>
          <w:lang w:eastAsia="ru-RU"/>
        </w:rPr>
        <w:t xml:space="preserve"> до Депонента</w:t>
      </w:r>
      <w:r w:rsidRPr="00E16672">
        <w:rPr>
          <w:rFonts w:ascii="Times New Roman" w:hAnsi="Times New Roman"/>
          <w:iCs/>
          <w:color w:val="000000"/>
          <w:szCs w:val="20"/>
          <w:lang w:val="uk-UA" w:eastAsia="ru-RU"/>
        </w:rPr>
        <w:t xml:space="preserve"> юридичної особи</w:t>
      </w:r>
      <w:r w:rsidRPr="00E16672">
        <w:rPr>
          <w:rFonts w:ascii="Times New Roman" w:hAnsi="Times New Roman"/>
          <w:iCs/>
          <w:color w:val="000000"/>
          <w:szCs w:val="20"/>
          <w:lang w:eastAsia="ru-RU"/>
        </w:rPr>
        <w:t xml:space="preserve">, але не </w:t>
      </w:r>
      <w:proofErr w:type="spellStart"/>
      <w:r w:rsidRPr="00E16672">
        <w:rPr>
          <w:rFonts w:ascii="Times New Roman" w:hAnsi="Times New Roman"/>
          <w:iCs/>
          <w:color w:val="000000"/>
          <w:szCs w:val="20"/>
          <w:lang w:eastAsia="ru-RU"/>
        </w:rPr>
        <w:t>пізніше</w:t>
      </w:r>
      <w:proofErr w:type="spellEnd"/>
      <w:r w:rsidRPr="00E16672">
        <w:rPr>
          <w:rFonts w:ascii="Times New Roman" w:hAnsi="Times New Roman"/>
          <w:iCs/>
          <w:color w:val="000000"/>
          <w:szCs w:val="20"/>
          <w:lang w:eastAsia="ru-RU"/>
        </w:rPr>
        <w:t xml:space="preserve"> дня </w:t>
      </w:r>
      <w:proofErr w:type="spellStart"/>
      <w:r w:rsidRPr="00E16672">
        <w:rPr>
          <w:rFonts w:ascii="Times New Roman" w:hAnsi="Times New Roman"/>
          <w:iCs/>
          <w:color w:val="000000"/>
          <w:szCs w:val="20"/>
          <w:lang w:eastAsia="ru-RU"/>
        </w:rPr>
        <w:t>внесення</w:t>
      </w:r>
      <w:proofErr w:type="spellEnd"/>
      <w:r w:rsidRPr="00E16672">
        <w:rPr>
          <w:rFonts w:ascii="Times New Roman" w:hAnsi="Times New Roman"/>
          <w:iCs/>
          <w:color w:val="000000"/>
          <w:szCs w:val="20"/>
          <w:lang w:eastAsia="ru-RU"/>
        </w:rPr>
        <w:t xml:space="preserve"> до </w:t>
      </w:r>
      <w:proofErr w:type="spellStart"/>
      <w:r w:rsidRPr="00E16672">
        <w:rPr>
          <w:rFonts w:ascii="Times New Roman" w:hAnsi="Times New Roman"/>
          <w:iCs/>
          <w:color w:val="000000"/>
          <w:szCs w:val="20"/>
          <w:lang w:eastAsia="ru-RU"/>
        </w:rPr>
        <w:t>єдиного</w:t>
      </w:r>
      <w:proofErr w:type="spellEnd"/>
      <w:r w:rsidRPr="00E16672">
        <w:rPr>
          <w:rFonts w:ascii="Times New Roman" w:hAnsi="Times New Roman"/>
          <w:iCs/>
          <w:color w:val="000000"/>
          <w:szCs w:val="20"/>
          <w:lang w:eastAsia="ru-RU"/>
        </w:rPr>
        <w:t xml:space="preserve"> державного </w:t>
      </w:r>
      <w:proofErr w:type="spellStart"/>
      <w:r w:rsidRPr="00E16672">
        <w:rPr>
          <w:rFonts w:ascii="Times New Roman" w:hAnsi="Times New Roman"/>
          <w:iCs/>
          <w:color w:val="000000"/>
          <w:szCs w:val="20"/>
          <w:lang w:eastAsia="ru-RU"/>
        </w:rPr>
        <w:t>реєстру</w:t>
      </w:r>
      <w:proofErr w:type="spellEnd"/>
      <w:r w:rsidRPr="00E16672">
        <w:rPr>
          <w:rFonts w:ascii="Times New Roman" w:hAnsi="Times New Roman"/>
          <w:iCs/>
          <w:color w:val="000000"/>
          <w:szCs w:val="20"/>
          <w:lang w:eastAsia="ru-RU"/>
        </w:rPr>
        <w:t xml:space="preserve"> </w:t>
      </w:r>
      <w:proofErr w:type="spellStart"/>
      <w:r w:rsidRPr="00E16672">
        <w:rPr>
          <w:rFonts w:ascii="Times New Roman" w:hAnsi="Times New Roman"/>
          <w:iCs/>
          <w:color w:val="000000"/>
          <w:szCs w:val="20"/>
          <w:lang w:eastAsia="ru-RU"/>
        </w:rPr>
        <w:t>запису</w:t>
      </w:r>
      <w:proofErr w:type="spellEnd"/>
      <w:r w:rsidRPr="00E16672">
        <w:rPr>
          <w:rFonts w:ascii="Times New Roman" w:hAnsi="Times New Roman"/>
          <w:iCs/>
          <w:color w:val="000000"/>
          <w:szCs w:val="20"/>
          <w:lang w:eastAsia="ru-RU"/>
        </w:rPr>
        <w:t xml:space="preserve"> про </w:t>
      </w:r>
      <w:proofErr w:type="spellStart"/>
      <w:r w:rsidRPr="00E16672">
        <w:rPr>
          <w:rFonts w:ascii="Times New Roman" w:hAnsi="Times New Roman"/>
          <w:iCs/>
          <w:color w:val="000000"/>
          <w:szCs w:val="20"/>
          <w:lang w:eastAsia="ru-RU"/>
        </w:rPr>
        <w:t>його</w:t>
      </w:r>
      <w:proofErr w:type="spellEnd"/>
      <w:r w:rsidRPr="00E16672">
        <w:rPr>
          <w:rFonts w:ascii="Times New Roman" w:hAnsi="Times New Roman"/>
          <w:iCs/>
          <w:color w:val="000000"/>
          <w:szCs w:val="20"/>
          <w:lang w:eastAsia="ru-RU"/>
        </w:rPr>
        <w:t xml:space="preserve"> </w:t>
      </w:r>
      <w:proofErr w:type="spellStart"/>
      <w:r w:rsidRPr="00E16672">
        <w:rPr>
          <w:rFonts w:ascii="Times New Roman" w:hAnsi="Times New Roman"/>
          <w:iCs/>
          <w:color w:val="000000"/>
          <w:szCs w:val="20"/>
          <w:lang w:eastAsia="ru-RU"/>
        </w:rPr>
        <w:t>припинення</w:t>
      </w:r>
      <w:proofErr w:type="spellEnd"/>
      <w:r w:rsidRPr="00E16672">
        <w:rPr>
          <w:rFonts w:ascii="Times New Roman" w:hAnsi="Times New Roman"/>
          <w:iCs/>
          <w:color w:val="000000"/>
          <w:szCs w:val="20"/>
          <w:lang w:eastAsia="ru-RU"/>
        </w:rPr>
        <w:t xml:space="preserve">, </w:t>
      </w:r>
      <w:proofErr w:type="spellStart"/>
      <w:r w:rsidRPr="00E16672">
        <w:rPr>
          <w:rFonts w:ascii="Times New Roman" w:hAnsi="Times New Roman"/>
          <w:iCs/>
          <w:color w:val="000000"/>
          <w:szCs w:val="20"/>
          <w:lang w:eastAsia="ru-RU"/>
        </w:rPr>
        <w:t>закрити</w:t>
      </w:r>
      <w:proofErr w:type="spellEnd"/>
      <w:r w:rsidRPr="00E16672">
        <w:rPr>
          <w:rFonts w:ascii="Times New Roman" w:hAnsi="Times New Roman"/>
          <w:iCs/>
          <w:color w:val="000000"/>
          <w:szCs w:val="20"/>
          <w:lang w:eastAsia="ru-RU"/>
        </w:rPr>
        <w:t xml:space="preserve"> </w:t>
      </w:r>
      <w:proofErr w:type="spellStart"/>
      <w:r w:rsidRPr="00E16672">
        <w:rPr>
          <w:rFonts w:ascii="Times New Roman" w:hAnsi="Times New Roman"/>
          <w:iCs/>
          <w:color w:val="000000"/>
          <w:szCs w:val="20"/>
          <w:lang w:eastAsia="ru-RU"/>
        </w:rPr>
        <w:t>рахунок</w:t>
      </w:r>
      <w:proofErr w:type="spellEnd"/>
      <w:r w:rsidRPr="00E16672">
        <w:rPr>
          <w:rFonts w:ascii="Times New Roman" w:hAnsi="Times New Roman"/>
          <w:iCs/>
          <w:color w:val="000000"/>
          <w:szCs w:val="20"/>
          <w:lang w:eastAsia="ru-RU"/>
        </w:rPr>
        <w:t xml:space="preserve"> в </w:t>
      </w:r>
      <w:proofErr w:type="spellStart"/>
      <w:r w:rsidRPr="00E16672">
        <w:rPr>
          <w:rFonts w:ascii="Times New Roman" w:hAnsi="Times New Roman"/>
          <w:iCs/>
          <w:color w:val="000000"/>
          <w:szCs w:val="20"/>
          <w:lang w:eastAsia="ru-RU"/>
        </w:rPr>
        <w:t>цінних</w:t>
      </w:r>
      <w:proofErr w:type="spellEnd"/>
      <w:r w:rsidRPr="00E16672">
        <w:rPr>
          <w:rFonts w:ascii="Times New Roman" w:hAnsi="Times New Roman"/>
          <w:iCs/>
          <w:color w:val="000000"/>
          <w:szCs w:val="20"/>
          <w:lang w:eastAsia="ru-RU"/>
        </w:rPr>
        <w:t xml:space="preserve"> </w:t>
      </w:r>
      <w:proofErr w:type="spellStart"/>
      <w:r w:rsidRPr="00E16672">
        <w:rPr>
          <w:rFonts w:ascii="Times New Roman" w:hAnsi="Times New Roman"/>
          <w:iCs/>
          <w:color w:val="000000"/>
          <w:szCs w:val="20"/>
          <w:lang w:eastAsia="ru-RU"/>
        </w:rPr>
        <w:t>паперах</w:t>
      </w:r>
      <w:proofErr w:type="spellEnd"/>
      <w:r w:rsidRPr="00E16672">
        <w:rPr>
          <w:rFonts w:ascii="Times New Roman" w:hAnsi="Times New Roman"/>
          <w:iCs/>
          <w:color w:val="000000"/>
          <w:szCs w:val="20"/>
          <w:lang w:eastAsia="ru-RU"/>
        </w:rPr>
        <w:t>.</w:t>
      </w:r>
    </w:p>
    <w:p w14:paraId="1283BCC4" w14:textId="77777777" w:rsidR="007974E8" w:rsidRPr="00E16672" w:rsidRDefault="007974E8" w:rsidP="007974E8">
      <w:pPr>
        <w:suppressAutoHyphens w:val="0"/>
        <w:rPr>
          <w:rFonts w:ascii="Times New Roman" w:hAnsi="Times New Roman"/>
          <w:iCs/>
          <w:color w:val="000000"/>
          <w:szCs w:val="20"/>
          <w:lang w:eastAsia="ru-RU"/>
        </w:rPr>
      </w:pPr>
      <w:r w:rsidRPr="00E16672">
        <w:rPr>
          <w:rFonts w:ascii="Times New Roman" w:hAnsi="Times New Roman"/>
          <w:iCs/>
          <w:color w:val="000000"/>
          <w:szCs w:val="20"/>
          <w:lang w:val="uk-UA" w:eastAsia="ru-RU"/>
        </w:rPr>
        <w:t xml:space="preserve">2.3.11. Протягом </w:t>
      </w:r>
      <w:r w:rsidR="00FE185D">
        <w:rPr>
          <w:rFonts w:ascii="Times New Roman" w:hAnsi="Times New Roman"/>
          <w:iCs/>
          <w:color w:val="000000"/>
          <w:szCs w:val="20"/>
          <w:lang w:val="uk-UA" w:eastAsia="ru-RU"/>
        </w:rPr>
        <w:t>3 (</w:t>
      </w:r>
      <w:r w:rsidRPr="00E16672">
        <w:rPr>
          <w:rFonts w:ascii="Times New Roman" w:hAnsi="Times New Roman"/>
          <w:i/>
          <w:iCs/>
          <w:color w:val="000000"/>
          <w:szCs w:val="20"/>
          <w:lang w:val="uk-UA" w:eastAsia="ru-RU"/>
        </w:rPr>
        <w:t>трьох</w:t>
      </w:r>
      <w:r w:rsidR="00FE185D">
        <w:rPr>
          <w:rFonts w:ascii="Times New Roman" w:hAnsi="Times New Roman"/>
          <w:i/>
          <w:iCs/>
          <w:color w:val="000000"/>
          <w:szCs w:val="20"/>
          <w:lang w:val="uk-UA" w:eastAsia="ru-RU"/>
        </w:rPr>
        <w:t>)</w:t>
      </w:r>
      <w:r w:rsidRPr="00E16672">
        <w:rPr>
          <w:rFonts w:ascii="Times New Roman" w:hAnsi="Times New Roman"/>
          <w:iCs/>
          <w:color w:val="000000"/>
          <w:szCs w:val="20"/>
          <w:lang w:val="uk-UA" w:eastAsia="ru-RU"/>
        </w:rPr>
        <w:t xml:space="preserve"> робочих днів з дня настання відповідної події письмово повідомити Депозитарну установу про зміни в інформації, що надавалася Депозитарній установі для здійснення ідентифікації (верифікації), у тому числі </w:t>
      </w:r>
      <w:r w:rsidRPr="00E16672">
        <w:rPr>
          <w:rStyle w:val="rvts0"/>
          <w:rFonts w:ascii="Times New Roman" w:hAnsi="Times New Roman"/>
          <w:color w:val="000000"/>
          <w:szCs w:val="20"/>
          <w:lang w:val="uk-UA"/>
        </w:rPr>
        <w:t xml:space="preserve">щодо кінцевих </w:t>
      </w:r>
      <w:proofErr w:type="spellStart"/>
      <w:r w:rsidRPr="00E16672">
        <w:rPr>
          <w:rStyle w:val="rvts0"/>
          <w:rFonts w:ascii="Times New Roman" w:hAnsi="Times New Roman"/>
          <w:color w:val="000000"/>
          <w:szCs w:val="20"/>
          <w:lang w:val="uk-UA"/>
        </w:rPr>
        <w:t>бенефіціарних</w:t>
      </w:r>
      <w:proofErr w:type="spellEnd"/>
      <w:r w:rsidRPr="00E16672">
        <w:rPr>
          <w:rStyle w:val="rvts0"/>
          <w:rFonts w:ascii="Times New Roman" w:hAnsi="Times New Roman"/>
          <w:color w:val="000000"/>
          <w:szCs w:val="20"/>
          <w:lang w:val="uk-UA"/>
        </w:rPr>
        <w:t xml:space="preserve"> власників (контролерів), та надати засвідчені належним чином копії підтверджуючих документів. </w:t>
      </w:r>
      <w:proofErr w:type="spellStart"/>
      <w:r w:rsidRPr="00E16672">
        <w:rPr>
          <w:rStyle w:val="rvts0"/>
          <w:rFonts w:ascii="Times New Roman" w:hAnsi="Times New Roman"/>
          <w:color w:val="000000"/>
          <w:szCs w:val="20"/>
        </w:rPr>
        <w:t>Повідомлення</w:t>
      </w:r>
      <w:proofErr w:type="spellEnd"/>
      <w:r w:rsidRPr="00E16672">
        <w:rPr>
          <w:rStyle w:val="rvts0"/>
          <w:rFonts w:ascii="Times New Roman" w:hAnsi="Times New Roman"/>
          <w:color w:val="000000"/>
          <w:szCs w:val="20"/>
        </w:rPr>
        <w:t xml:space="preserve"> та </w:t>
      </w:r>
      <w:proofErr w:type="spellStart"/>
      <w:r w:rsidRPr="00E16672">
        <w:rPr>
          <w:rStyle w:val="rvts0"/>
          <w:rFonts w:ascii="Times New Roman" w:hAnsi="Times New Roman"/>
          <w:color w:val="000000"/>
          <w:szCs w:val="20"/>
        </w:rPr>
        <w:t>документи</w:t>
      </w:r>
      <w:proofErr w:type="spellEnd"/>
      <w:r w:rsidRPr="00E16672">
        <w:rPr>
          <w:rStyle w:val="rvts0"/>
          <w:rFonts w:ascii="Times New Roman" w:hAnsi="Times New Roman"/>
          <w:color w:val="000000"/>
          <w:szCs w:val="20"/>
        </w:rPr>
        <w:t xml:space="preserve"> </w:t>
      </w:r>
      <w:proofErr w:type="spellStart"/>
      <w:r w:rsidRPr="00E16672">
        <w:rPr>
          <w:rStyle w:val="rvts0"/>
          <w:rFonts w:ascii="Times New Roman" w:hAnsi="Times New Roman"/>
          <w:color w:val="000000"/>
          <w:szCs w:val="20"/>
        </w:rPr>
        <w:t>можуть</w:t>
      </w:r>
      <w:proofErr w:type="spellEnd"/>
      <w:r w:rsidRPr="00E16672">
        <w:rPr>
          <w:rStyle w:val="rvts0"/>
          <w:rFonts w:ascii="Times New Roman" w:hAnsi="Times New Roman"/>
          <w:color w:val="000000"/>
          <w:szCs w:val="20"/>
        </w:rPr>
        <w:t xml:space="preserve"> </w:t>
      </w:r>
      <w:proofErr w:type="spellStart"/>
      <w:r w:rsidRPr="00E16672">
        <w:rPr>
          <w:rStyle w:val="rvts0"/>
          <w:rFonts w:ascii="Times New Roman" w:hAnsi="Times New Roman"/>
          <w:color w:val="000000"/>
          <w:szCs w:val="20"/>
        </w:rPr>
        <w:t>надаватися</w:t>
      </w:r>
      <w:proofErr w:type="spellEnd"/>
      <w:r w:rsidRPr="00E16672">
        <w:rPr>
          <w:rStyle w:val="rvts0"/>
          <w:rFonts w:ascii="Times New Roman" w:hAnsi="Times New Roman"/>
          <w:color w:val="000000"/>
          <w:szCs w:val="20"/>
        </w:rPr>
        <w:t xml:space="preserve"> </w:t>
      </w:r>
      <w:proofErr w:type="spellStart"/>
      <w:r w:rsidRPr="00E16672">
        <w:rPr>
          <w:rStyle w:val="rvts0"/>
          <w:rFonts w:ascii="Times New Roman" w:hAnsi="Times New Roman"/>
          <w:color w:val="000000"/>
          <w:szCs w:val="20"/>
        </w:rPr>
        <w:t>особисто</w:t>
      </w:r>
      <w:proofErr w:type="spellEnd"/>
      <w:r w:rsidRPr="00E16672">
        <w:rPr>
          <w:rStyle w:val="rvts0"/>
          <w:rFonts w:ascii="Times New Roman" w:hAnsi="Times New Roman"/>
          <w:color w:val="000000"/>
          <w:szCs w:val="20"/>
        </w:rPr>
        <w:t xml:space="preserve">, </w:t>
      </w:r>
      <w:proofErr w:type="spellStart"/>
      <w:r w:rsidRPr="00E16672">
        <w:rPr>
          <w:rStyle w:val="rvts0"/>
          <w:rFonts w:ascii="Times New Roman" w:hAnsi="Times New Roman"/>
          <w:color w:val="000000"/>
          <w:szCs w:val="20"/>
        </w:rPr>
        <w:t>поштою</w:t>
      </w:r>
      <w:proofErr w:type="spellEnd"/>
      <w:r w:rsidRPr="00E16672">
        <w:rPr>
          <w:rStyle w:val="rvts0"/>
          <w:rFonts w:ascii="Times New Roman" w:hAnsi="Times New Roman"/>
          <w:color w:val="000000"/>
          <w:szCs w:val="20"/>
        </w:rPr>
        <w:t xml:space="preserve">, </w:t>
      </w:r>
      <w:proofErr w:type="spellStart"/>
      <w:r w:rsidRPr="00E16672">
        <w:rPr>
          <w:rStyle w:val="rvts0"/>
          <w:rFonts w:ascii="Times New Roman" w:hAnsi="Times New Roman"/>
          <w:color w:val="000000"/>
          <w:szCs w:val="20"/>
        </w:rPr>
        <w:t>кур’єром</w:t>
      </w:r>
      <w:proofErr w:type="spellEnd"/>
      <w:r w:rsidRPr="00E16672">
        <w:rPr>
          <w:rStyle w:val="rvts0"/>
          <w:rFonts w:ascii="Times New Roman" w:hAnsi="Times New Roman"/>
          <w:color w:val="000000"/>
          <w:szCs w:val="20"/>
        </w:rPr>
        <w:t>.</w:t>
      </w:r>
    </w:p>
    <w:p w14:paraId="62ED662B" w14:textId="77777777" w:rsidR="007974E8" w:rsidRPr="00E16672" w:rsidRDefault="007974E8" w:rsidP="007974E8">
      <w:pPr>
        <w:tabs>
          <w:tab w:val="left" w:pos="709"/>
        </w:tabs>
        <w:rPr>
          <w:rFonts w:ascii="Times New Roman" w:hAnsi="Times New Roman"/>
          <w:color w:val="000000"/>
          <w:szCs w:val="20"/>
          <w:lang w:val="uk-UA"/>
        </w:rPr>
      </w:pPr>
    </w:p>
    <w:p w14:paraId="48757DF3" w14:textId="77777777" w:rsidR="007974E8" w:rsidRPr="00E16672" w:rsidRDefault="007974E8" w:rsidP="007974E8">
      <w:pPr>
        <w:tabs>
          <w:tab w:val="left" w:pos="709"/>
        </w:tabs>
        <w:rPr>
          <w:rFonts w:ascii="Times New Roman" w:hAnsi="Times New Roman"/>
          <w:b/>
          <w:color w:val="000000"/>
          <w:szCs w:val="20"/>
          <w:lang w:val="uk-UA"/>
        </w:rPr>
      </w:pPr>
      <w:r w:rsidRPr="00E16672">
        <w:rPr>
          <w:rFonts w:ascii="Times New Roman" w:hAnsi="Times New Roman"/>
          <w:b/>
          <w:color w:val="000000"/>
          <w:szCs w:val="20"/>
          <w:lang w:val="uk-UA"/>
        </w:rPr>
        <w:t>2.4. Депонент має право:</w:t>
      </w:r>
    </w:p>
    <w:p w14:paraId="5E6DB68E" w14:textId="77777777" w:rsidR="007974E8" w:rsidRPr="00E16672" w:rsidRDefault="007974E8" w:rsidP="007974E8">
      <w:pPr>
        <w:tabs>
          <w:tab w:val="left" w:pos="709"/>
        </w:tabs>
        <w:rPr>
          <w:rFonts w:ascii="Times New Roman" w:hAnsi="Times New Roman"/>
          <w:color w:val="000000"/>
          <w:szCs w:val="20"/>
          <w:lang w:val="uk-UA"/>
        </w:rPr>
      </w:pPr>
      <w:r w:rsidRPr="00E16672">
        <w:rPr>
          <w:rFonts w:ascii="Times New Roman" w:hAnsi="Times New Roman"/>
          <w:color w:val="000000"/>
          <w:szCs w:val="20"/>
          <w:lang w:val="uk-UA"/>
        </w:rPr>
        <w:t>2.4.1. Передати власні повноваження щодо відкриття рахунку в цінних паперах іншій особі, уповноваженій діяти від його імені на підставі визначеного законодавством правочину.</w:t>
      </w:r>
    </w:p>
    <w:p w14:paraId="32015947" w14:textId="77777777" w:rsidR="007974E8" w:rsidRPr="00E16672" w:rsidRDefault="007974E8" w:rsidP="007974E8">
      <w:pPr>
        <w:pStyle w:val="ab"/>
        <w:tabs>
          <w:tab w:val="left" w:pos="709"/>
        </w:tabs>
        <w:jc w:val="both"/>
        <w:rPr>
          <w:rFonts w:ascii="Times New Roman" w:hAnsi="Times New Roman"/>
          <w:b w:val="0"/>
          <w:color w:val="000000"/>
        </w:rPr>
      </w:pPr>
      <w:r w:rsidRPr="00E16672">
        <w:rPr>
          <w:rFonts w:ascii="Times New Roman" w:hAnsi="Times New Roman"/>
          <w:b w:val="0"/>
          <w:color w:val="000000"/>
        </w:rPr>
        <w:t>2.4.2. Передати власні повноваження з розпорядження цінними паперами, що обліковуються на його рахунку в цінних паперах, повноваження щодо здійснення прав, що випливають з цінних паперів, керуючому рахунком.</w:t>
      </w:r>
    </w:p>
    <w:p w14:paraId="78CABDA6" w14:textId="77777777" w:rsidR="007974E8" w:rsidRPr="00E16672" w:rsidRDefault="007974E8" w:rsidP="007974E8">
      <w:pPr>
        <w:pStyle w:val="ab"/>
        <w:jc w:val="both"/>
        <w:rPr>
          <w:rFonts w:ascii="Times New Roman" w:hAnsi="Times New Roman"/>
          <w:b w:val="0"/>
          <w:color w:val="000000"/>
        </w:rPr>
      </w:pPr>
      <w:r w:rsidRPr="00E16672">
        <w:rPr>
          <w:rFonts w:ascii="Times New Roman" w:hAnsi="Times New Roman"/>
          <w:b w:val="0"/>
          <w:color w:val="000000"/>
        </w:rPr>
        <w:t xml:space="preserve">2.4.3. </w:t>
      </w:r>
      <w:r w:rsidRPr="00E16672">
        <w:rPr>
          <w:rFonts w:ascii="Times New Roman" w:hAnsi="Times New Roman"/>
          <w:b w:val="0"/>
          <w:bCs/>
          <w:color w:val="000000"/>
        </w:rPr>
        <w:t xml:space="preserve"> </w:t>
      </w:r>
      <w:r w:rsidRPr="00E16672">
        <w:rPr>
          <w:rFonts w:ascii="Times New Roman" w:hAnsi="Times New Roman"/>
          <w:b w:val="0"/>
          <w:color w:val="000000"/>
        </w:rPr>
        <w:t xml:space="preserve">Власник має право розділити повноваження з управління рахунком </w:t>
      </w:r>
      <w:r w:rsidR="00C22309" w:rsidRPr="00E16672">
        <w:rPr>
          <w:rFonts w:ascii="Times New Roman" w:hAnsi="Times New Roman"/>
          <w:b w:val="0"/>
          <w:color w:val="000000"/>
        </w:rPr>
        <w:t>в цін</w:t>
      </w:r>
      <w:r w:rsidRPr="00E16672">
        <w:rPr>
          <w:rFonts w:ascii="Times New Roman" w:hAnsi="Times New Roman"/>
          <w:b w:val="0"/>
          <w:color w:val="000000"/>
        </w:rPr>
        <w:t>них паперах серед декількох керуючих рахунком. Різним керуючим рахунком - професійним учасникам фондового ринку не можуть делегуватися однакові повноваження. За певним випуском цінних паперів може бути визначений тільки один керуючий рахунком.</w:t>
      </w:r>
    </w:p>
    <w:p w14:paraId="14DA86BD" w14:textId="77777777" w:rsidR="007974E8" w:rsidRPr="00E16672" w:rsidRDefault="007974E8" w:rsidP="007974E8">
      <w:pPr>
        <w:tabs>
          <w:tab w:val="left" w:pos="709"/>
        </w:tabs>
        <w:rPr>
          <w:rFonts w:ascii="Times New Roman" w:hAnsi="Times New Roman"/>
          <w:color w:val="000000"/>
          <w:szCs w:val="20"/>
          <w:lang w:val="uk-UA"/>
        </w:rPr>
      </w:pPr>
      <w:r w:rsidRPr="00E16672">
        <w:rPr>
          <w:rFonts w:ascii="Times New Roman" w:hAnsi="Times New Roman"/>
          <w:color w:val="000000"/>
          <w:szCs w:val="20"/>
          <w:lang w:val="uk-UA"/>
        </w:rPr>
        <w:t xml:space="preserve">2.4.4. Вимагати від Депозитарної установи своєчасного виконання своїх розпоряджень на рахунку </w:t>
      </w:r>
      <w:r w:rsidR="00C22309" w:rsidRPr="00E16672">
        <w:rPr>
          <w:rFonts w:ascii="Times New Roman" w:hAnsi="Times New Roman"/>
          <w:color w:val="000000"/>
          <w:szCs w:val="20"/>
          <w:lang w:val="uk-UA"/>
        </w:rPr>
        <w:t>в цін</w:t>
      </w:r>
      <w:r w:rsidRPr="00E16672">
        <w:rPr>
          <w:rFonts w:ascii="Times New Roman" w:hAnsi="Times New Roman"/>
          <w:color w:val="000000"/>
          <w:szCs w:val="20"/>
          <w:lang w:val="uk-UA"/>
        </w:rPr>
        <w:t xml:space="preserve">них паперах та отримувати відповідно до умов Договору повну інформацію щодо цінних паперів, прав на цінні папери, які обліковуються на рахунку </w:t>
      </w:r>
      <w:r w:rsidR="00C22309" w:rsidRPr="00E16672">
        <w:rPr>
          <w:rFonts w:ascii="Times New Roman" w:hAnsi="Times New Roman"/>
          <w:color w:val="000000"/>
          <w:szCs w:val="20"/>
          <w:lang w:val="uk-UA"/>
        </w:rPr>
        <w:t>в цін</w:t>
      </w:r>
      <w:r w:rsidRPr="00E16672">
        <w:rPr>
          <w:rFonts w:ascii="Times New Roman" w:hAnsi="Times New Roman"/>
          <w:color w:val="000000"/>
          <w:szCs w:val="20"/>
          <w:lang w:val="uk-UA"/>
        </w:rPr>
        <w:t>них паперах.</w:t>
      </w:r>
    </w:p>
    <w:p w14:paraId="1E6FB6D6" w14:textId="77777777" w:rsidR="007974E8" w:rsidRPr="00E16672" w:rsidRDefault="007974E8" w:rsidP="007974E8">
      <w:pPr>
        <w:pStyle w:val="ab"/>
        <w:tabs>
          <w:tab w:val="left" w:pos="709"/>
        </w:tabs>
        <w:jc w:val="both"/>
        <w:rPr>
          <w:rFonts w:ascii="Times New Roman" w:hAnsi="Times New Roman"/>
          <w:b w:val="0"/>
          <w:color w:val="000000"/>
        </w:rPr>
      </w:pPr>
      <w:r w:rsidRPr="00E16672">
        <w:rPr>
          <w:rFonts w:ascii="Times New Roman" w:hAnsi="Times New Roman"/>
          <w:b w:val="0"/>
          <w:color w:val="000000"/>
        </w:rPr>
        <w:t xml:space="preserve">2.4.5. Вимагати від Депозитарної установи виконання умов обслуговування </w:t>
      </w:r>
      <w:proofErr w:type="spellStart"/>
      <w:r w:rsidRPr="00E16672">
        <w:rPr>
          <w:rFonts w:ascii="Times New Roman" w:hAnsi="Times New Roman"/>
          <w:b w:val="0"/>
          <w:color w:val="000000"/>
        </w:rPr>
        <w:t>обіг</w:t>
      </w:r>
      <w:r w:rsidR="00C22309" w:rsidRPr="00E16672">
        <w:rPr>
          <w:rFonts w:ascii="Times New Roman" w:hAnsi="Times New Roman"/>
          <w:b w:val="0"/>
          <w:color w:val="000000"/>
        </w:rPr>
        <w:t>в</w:t>
      </w:r>
      <w:proofErr w:type="spellEnd"/>
      <w:r w:rsidR="00C22309" w:rsidRPr="00E16672">
        <w:rPr>
          <w:rFonts w:ascii="Times New Roman" w:hAnsi="Times New Roman"/>
          <w:b w:val="0"/>
          <w:color w:val="000000"/>
        </w:rPr>
        <w:t xml:space="preserve"> цін</w:t>
      </w:r>
      <w:r w:rsidRPr="00E16672">
        <w:rPr>
          <w:rFonts w:ascii="Times New Roman" w:hAnsi="Times New Roman"/>
          <w:b w:val="0"/>
          <w:color w:val="000000"/>
        </w:rPr>
        <w:t xml:space="preserve">них паперів на рахунку </w:t>
      </w:r>
      <w:r w:rsidR="00C22309" w:rsidRPr="00E16672">
        <w:rPr>
          <w:rFonts w:ascii="Times New Roman" w:hAnsi="Times New Roman"/>
          <w:b w:val="0"/>
          <w:color w:val="000000"/>
        </w:rPr>
        <w:t>в цін</w:t>
      </w:r>
      <w:r w:rsidRPr="00E16672">
        <w:rPr>
          <w:rFonts w:ascii="Times New Roman" w:hAnsi="Times New Roman"/>
          <w:b w:val="0"/>
          <w:color w:val="000000"/>
        </w:rPr>
        <w:t xml:space="preserve">них паперах Депонента, обліку прав на цінні папери та їх обмежень на рахунках </w:t>
      </w:r>
      <w:r w:rsidR="00C22309" w:rsidRPr="00E16672">
        <w:rPr>
          <w:rFonts w:ascii="Times New Roman" w:hAnsi="Times New Roman"/>
          <w:b w:val="0"/>
          <w:color w:val="000000"/>
        </w:rPr>
        <w:t>в цін</w:t>
      </w:r>
      <w:r w:rsidRPr="00E16672">
        <w:rPr>
          <w:rFonts w:ascii="Times New Roman" w:hAnsi="Times New Roman"/>
          <w:b w:val="0"/>
          <w:color w:val="000000"/>
        </w:rPr>
        <w:t>них паперах Депонентів.</w:t>
      </w:r>
    </w:p>
    <w:p w14:paraId="3EC5EFBB" w14:textId="77777777" w:rsidR="007974E8" w:rsidRPr="00E16672" w:rsidRDefault="007974E8" w:rsidP="007974E8">
      <w:pPr>
        <w:pStyle w:val="ab"/>
        <w:tabs>
          <w:tab w:val="left" w:pos="709"/>
        </w:tabs>
        <w:jc w:val="both"/>
        <w:rPr>
          <w:rFonts w:ascii="Times New Roman" w:hAnsi="Times New Roman"/>
          <w:b w:val="0"/>
          <w:color w:val="000000"/>
        </w:rPr>
      </w:pPr>
      <w:r w:rsidRPr="00E16672">
        <w:rPr>
          <w:rFonts w:ascii="Times New Roman" w:hAnsi="Times New Roman"/>
          <w:b w:val="0"/>
          <w:color w:val="000000"/>
        </w:rPr>
        <w:t xml:space="preserve">2.4.6. У випадку початку Депозитарною установою  процедури припинення ним провадження професійної діяльності на фондовому ринку - депозитарної діяльності, а саме депозитарної діяльності депозитарної установи відповідно до вимог  відповідно до вимог нормативно-правового </w:t>
      </w:r>
      <w:proofErr w:type="spellStart"/>
      <w:r w:rsidRPr="00E16672">
        <w:rPr>
          <w:rFonts w:ascii="Times New Roman" w:hAnsi="Times New Roman"/>
          <w:b w:val="0"/>
          <w:color w:val="000000"/>
        </w:rPr>
        <w:t>акта</w:t>
      </w:r>
      <w:proofErr w:type="spellEnd"/>
      <w:r w:rsidRPr="00E16672">
        <w:rPr>
          <w:rFonts w:ascii="Times New Roman" w:hAnsi="Times New Roman"/>
          <w:b w:val="0"/>
          <w:color w:val="000000"/>
        </w:rPr>
        <w:t xml:space="preserve"> щодо припинення депозитарної діяльності депозитарної установи, надавати тільки ті розпорядження щодо  цінних паперів, що належать йому, виконання яких не заборонено законодавством.</w:t>
      </w:r>
    </w:p>
    <w:p w14:paraId="4A8AB76B" w14:textId="77777777" w:rsidR="007974E8" w:rsidRPr="00E16672" w:rsidRDefault="007974E8" w:rsidP="00022F5F">
      <w:pPr>
        <w:jc w:val="left"/>
        <w:rPr>
          <w:rFonts w:ascii="Times New Roman" w:hAnsi="Times New Roman"/>
          <w:color w:val="000000"/>
          <w:szCs w:val="20"/>
          <w:lang w:val="uk-UA"/>
        </w:rPr>
      </w:pPr>
      <w:r w:rsidRPr="00E16672">
        <w:rPr>
          <w:rFonts w:ascii="Times New Roman" w:hAnsi="Times New Roman"/>
          <w:color w:val="000000"/>
          <w:szCs w:val="20"/>
          <w:lang w:val="uk-UA"/>
        </w:rPr>
        <w:t xml:space="preserve">2.4.7. </w:t>
      </w:r>
      <w:r w:rsidRPr="00E16672">
        <w:rPr>
          <w:rFonts w:ascii="Times New Roman" w:hAnsi="Times New Roman"/>
          <w:bCs/>
          <w:color w:val="000000"/>
          <w:szCs w:val="20"/>
          <w:lang w:val="uk-UA"/>
        </w:rPr>
        <w:t>Н</w:t>
      </w:r>
      <w:r w:rsidRPr="00E16672">
        <w:rPr>
          <w:rFonts w:ascii="Times New Roman" w:hAnsi="Times New Roman"/>
          <w:color w:val="000000"/>
          <w:szCs w:val="20"/>
          <w:lang w:val="uk-UA"/>
        </w:rPr>
        <w:t xml:space="preserve">адавати Депозитарній установі інформацію лише щодо одного торговця цінними паперами, якому Депонентом надані повноваження на вчинення правочинів щодо цінних паперів в інтересах Депонента, які виконуються із забезпеченням здійснення розрахунків за правочинами щодо цінних паперів з дотриманням принципу </w:t>
      </w:r>
      <w:r w:rsidR="00022F5F">
        <w:rPr>
          <w:rFonts w:ascii="Times New Roman" w:hAnsi="Times New Roman"/>
          <w:color w:val="000000"/>
          <w:szCs w:val="20"/>
          <w:lang w:val="uk-UA"/>
        </w:rPr>
        <w:t>"</w:t>
      </w:r>
      <w:r w:rsidRPr="00E16672">
        <w:rPr>
          <w:rFonts w:ascii="Times New Roman" w:hAnsi="Times New Roman"/>
          <w:color w:val="000000"/>
          <w:szCs w:val="20"/>
          <w:lang w:val="uk-UA"/>
        </w:rPr>
        <w:t>поставка цінних паперів проти оплати</w:t>
      </w:r>
      <w:r w:rsidR="00022F5F">
        <w:rPr>
          <w:rFonts w:ascii="Times New Roman" w:hAnsi="Times New Roman"/>
          <w:color w:val="000000"/>
          <w:szCs w:val="20"/>
          <w:lang w:val="uk-UA"/>
        </w:rPr>
        <w:t>"</w:t>
      </w:r>
      <w:r w:rsidRPr="00E16672">
        <w:rPr>
          <w:rFonts w:ascii="Times New Roman" w:hAnsi="Times New Roman"/>
          <w:color w:val="000000"/>
          <w:szCs w:val="20"/>
          <w:lang w:val="uk-UA"/>
        </w:rPr>
        <w:t>.</w:t>
      </w:r>
    </w:p>
    <w:p w14:paraId="46AB5F95" w14:textId="77777777" w:rsidR="00FC3003" w:rsidRPr="00E16672" w:rsidRDefault="00FC3003" w:rsidP="00022F5F">
      <w:pPr>
        <w:jc w:val="left"/>
        <w:rPr>
          <w:rFonts w:ascii="Times New Roman" w:hAnsi="Times New Roman"/>
          <w:color w:val="000000"/>
          <w:szCs w:val="20"/>
          <w:lang w:val="uk-UA"/>
        </w:rPr>
      </w:pPr>
      <w:r w:rsidRPr="00E16672">
        <w:rPr>
          <w:rFonts w:ascii="Times New Roman" w:hAnsi="Times New Roman"/>
          <w:color w:val="000000"/>
          <w:szCs w:val="20"/>
          <w:lang w:val="uk-UA"/>
        </w:rPr>
        <w:t xml:space="preserve">2.4.8. </w:t>
      </w:r>
      <w:r w:rsidRPr="00E16672">
        <w:rPr>
          <w:rFonts w:ascii="Times New Roman" w:hAnsi="Times New Roman"/>
          <w:szCs w:val="20"/>
          <w:lang w:val="uk-UA"/>
        </w:rPr>
        <w:t>Отримувати інформацію про умови та порядок діяльності депозитарної установи з урахуванням вимог, встановлених</w:t>
      </w:r>
      <w:r w:rsidRPr="00E16672">
        <w:rPr>
          <w:rFonts w:ascii="Times New Roman" w:hAnsi="Times New Roman"/>
          <w:szCs w:val="20"/>
        </w:rPr>
        <w:t> </w:t>
      </w:r>
      <w:r w:rsidRPr="00E16672">
        <w:rPr>
          <w:rFonts w:ascii="Times New Roman" w:hAnsi="Times New Roman"/>
          <w:szCs w:val="20"/>
          <w:lang w:val="uk-UA"/>
        </w:rPr>
        <w:t xml:space="preserve">частиною першою статті 12 Закону України </w:t>
      </w:r>
      <w:r w:rsidR="00022F5F">
        <w:rPr>
          <w:rFonts w:ascii="Times New Roman" w:hAnsi="Times New Roman"/>
          <w:szCs w:val="20"/>
          <w:lang w:val="uk-UA"/>
        </w:rPr>
        <w:t>"</w:t>
      </w:r>
      <w:r w:rsidRPr="00E16672">
        <w:rPr>
          <w:rFonts w:ascii="Times New Roman" w:hAnsi="Times New Roman"/>
          <w:szCs w:val="20"/>
          <w:lang w:val="uk-UA"/>
        </w:rPr>
        <w:t>Про фінансові послуги та державне регулювання ринків фінансових послуг</w:t>
      </w:r>
      <w:r w:rsidR="00022F5F">
        <w:rPr>
          <w:rFonts w:ascii="Times New Roman" w:hAnsi="Times New Roman"/>
          <w:szCs w:val="20"/>
          <w:lang w:val="uk-UA"/>
        </w:rPr>
        <w:t>"</w:t>
      </w:r>
      <w:r w:rsidRPr="00E16672">
        <w:rPr>
          <w:rFonts w:ascii="Times New Roman" w:hAnsi="Times New Roman"/>
          <w:szCs w:val="20"/>
          <w:lang w:val="uk-UA"/>
        </w:rPr>
        <w:t>.</w:t>
      </w:r>
    </w:p>
    <w:p w14:paraId="377EBD8F" w14:textId="77777777" w:rsidR="007974E8" w:rsidRPr="00E16672" w:rsidRDefault="007974E8" w:rsidP="007974E8">
      <w:pPr>
        <w:rPr>
          <w:rFonts w:ascii="Times New Roman" w:hAnsi="Times New Roman"/>
          <w:color w:val="000000"/>
          <w:szCs w:val="20"/>
          <w:lang w:val="uk-UA"/>
        </w:rPr>
      </w:pPr>
    </w:p>
    <w:p w14:paraId="143AD60B" w14:textId="77777777" w:rsidR="007974E8" w:rsidRPr="00E16672" w:rsidRDefault="007974E8" w:rsidP="007974E8">
      <w:pPr>
        <w:jc w:val="center"/>
        <w:rPr>
          <w:rFonts w:ascii="Times New Roman" w:hAnsi="Times New Roman"/>
          <w:b/>
          <w:bCs/>
          <w:color w:val="000000"/>
          <w:szCs w:val="20"/>
          <w:lang w:val="uk-UA"/>
        </w:rPr>
      </w:pPr>
      <w:r w:rsidRPr="00E16672">
        <w:rPr>
          <w:rFonts w:ascii="Times New Roman" w:hAnsi="Times New Roman"/>
          <w:b/>
          <w:bCs/>
          <w:color w:val="000000"/>
          <w:szCs w:val="20"/>
          <w:lang w:val="uk-UA"/>
        </w:rPr>
        <w:t xml:space="preserve">3. Порядок отримання розпоряджень </w:t>
      </w:r>
    </w:p>
    <w:p w14:paraId="3032153A" w14:textId="77777777" w:rsidR="007974E8" w:rsidRPr="00E16672" w:rsidRDefault="007974E8" w:rsidP="007974E8">
      <w:pPr>
        <w:rPr>
          <w:rFonts w:ascii="Times New Roman" w:hAnsi="Times New Roman"/>
          <w:color w:val="000000"/>
          <w:szCs w:val="20"/>
          <w:lang w:val="uk-UA"/>
        </w:rPr>
      </w:pPr>
      <w:r w:rsidRPr="00E16672">
        <w:rPr>
          <w:rFonts w:ascii="Times New Roman" w:hAnsi="Times New Roman"/>
          <w:color w:val="000000"/>
          <w:szCs w:val="20"/>
          <w:lang w:val="uk-UA"/>
        </w:rPr>
        <w:t>3.1. Обслуговування операцій з цінними паперами здійснюються Депозитарною установою за розпорядженням Депонента, керуючого або розпорядника його рахунком (уповноваженого представника).</w:t>
      </w:r>
    </w:p>
    <w:p w14:paraId="0C651283" w14:textId="77777777" w:rsidR="007974E8" w:rsidRPr="00E16672" w:rsidRDefault="007974E8" w:rsidP="007974E8">
      <w:pPr>
        <w:rPr>
          <w:rFonts w:ascii="Times New Roman" w:hAnsi="Times New Roman"/>
          <w:szCs w:val="20"/>
          <w:lang w:val="uk-UA"/>
        </w:rPr>
      </w:pPr>
      <w:r w:rsidRPr="00E16672">
        <w:rPr>
          <w:rFonts w:ascii="Times New Roman" w:hAnsi="Times New Roman"/>
          <w:color w:val="000000"/>
          <w:szCs w:val="20"/>
          <w:lang w:val="uk-UA"/>
        </w:rPr>
        <w:t>3.2.</w:t>
      </w:r>
      <w:r w:rsidRPr="00E16672">
        <w:rPr>
          <w:rFonts w:ascii="Times New Roman" w:hAnsi="Times New Roman"/>
          <w:color w:val="000000"/>
          <w:szCs w:val="20"/>
        </w:rPr>
        <w:t xml:space="preserve"> </w:t>
      </w:r>
      <w:r w:rsidRPr="00E16672">
        <w:rPr>
          <w:rFonts w:ascii="Times New Roman" w:hAnsi="Times New Roman"/>
          <w:color w:val="000000"/>
          <w:szCs w:val="20"/>
          <w:lang w:val="uk-UA"/>
        </w:rPr>
        <w:t>Особливості складання розпоряджень Депонентів встановлені</w:t>
      </w:r>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внутрішніми</w:t>
      </w:r>
      <w:proofErr w:type="spellEnd"/>
      <w:r w:rsidRPr="00E16672">
        <w:rPr>
          <w:rFonts w:ascii="Times New Roman" w:hAnsi="Times New Roman"/>
          <w:color w:val="000000"/>
          <w:szCs w:val="20"/>
        </w:rPr>
        <w:t xml:space="preserve"> документами </w:t>
      </w:r>
      <w:proofErr w:type="spellStart"/>
      <w:r w:rsidRPr="00E16672">
        <w:rPr>
          <w:rFonts w:ascii="Times New Roman" w:hAnsi="Times New Roman"/>
          <w:color w:val="000000"/>
          <w:szCs w:val="20"/>
        </w:rPr>
        <w:t>Депозитарної</w:t>
      </w:r>
      <w:proofErr w:type="spellEnd"/>
      <w:r w:rsidRPr="00E16672">
        <w:rPr>
          <w:rFonts w:ascii="Times New Roman" w:hAnsi="Times New Roman"/>
          <w:color w:val="000000"/>
          <w:szCs w:val="20"/>
        </w:rPr>
        <w:t xml:space="preserve"> установи</w:t>
      </w:r>
      <w:r w:rsidRPr="00E16672">
        <w:rPr>
          <w:rFonts w:ascii="Times New Roman" w:hAnsi="Times New Roman"/>
          <w:color w:val="000000"/>
          <w:szCs w:val="20"/>
          <w:lang w:val="uk-UA"/>
        </w:rPr>
        <w:t>. Розпорядження можуть надават</w:t>
      </w:r>
      <w:r w:rsidR="00F50251" w:rsidRPr="00E16672">
        <w:rPr>
          <w:rFonts w:ascii="Times New Roman" w:hAnsi="Times New Roman"/>
          <w:color w:val="000000"/>
          <w:szCs w:val="20"/>
          <w:lang w:val="uk-UA"/>
        </w:rPr>
        <w:t>и</w:t>
      </w:r>
      <w:r w:rsidRPr="00E16672">
        <w:rPr>
          <w:rFonts w:ascii="Times New Roman" w:hAnsi="Times New Roman"/>
          <w:color w:val="000000"/>
          <w:szCs w:val="20"/>
          <w:lang w:val="uk-UA"/>
        </w:rPr>
        <w:t>ся Депозитарній установі</w:t>
      </w:r>
      <w:r w:rsidRPr="00E16672">
        <w:rPr>
          <w:rFonts w:ascii="Times New Roman" w:hAnsi="Times New Roman"/>
          <w:szCs w:val="20"/>
          <w:lang w:val="uk-UA"/>
        </w:rPr>
        <w:t xml:space="preserve"> у формі: паперового документу, електронного документу, електронного документу у формі S.W.I.F.T.-повідомлення. Спосіб підписання розпорядження визначається згідно зі способом підтвердження справжності підпису, що використовується при обміні інформацією між Депонентом та Депозитарною установою, і може бути таким:</w:t>
      </w:r>
    </w:p>
    <w:p w14:paraId="1C83E729" w14:textId="77777777" w:rsidR="007974E8" w:rsidRPr="00E16672" w:rsidRDefault="007974E8" w:rsidP="007974E8">
      <w:pPr>
        <w:rPr>
          <w:rFonts w:ascii="Times New Roman" w:hAnsi="Times New Roman"/>
          <w:color w:val="000000"/>
          <w:szCs w:val="20"/>
          <w:lang w:val="uk-UA"/>
        </w:rPr>
      </w:pPr>
      <w:r w:rsidRPr="00E16672">
        <w:rPr>
          <w:rFonts w:ascii="Times New Roman" w:hAnsi="Times New Roman"/>
          <w:color w:val="000000"/>
          <w:szCs w:val="20"/>
          <w:lang w:val="uk-UA"/>
        </w:rPr>
        <w:t>- підпис розпорядника рахунку та печатка Депонента (у разі її наявності) або підпис керуючого рахунком юридичної особи, печатка керуючого рахунком - юридичної особи (у разі її наявності та у відповідності до повноважень, які передбачають посвідчення підпису печаткою) - у разі надання розпорядження у вигляді паперового документа;</w:t>
      </w:r>
    </w:p>
    <w:p w14:paraId="0B47D2E2" w14:textId="77777777" w:rsidR="007974E8" w:rsidRPr="00E16672" w:rsidRDefault="007974E8" w:rsidP="007974E8">
      <w:pPr>
        <w:rPr>
          <w:rFonts w:ascii="Times New Roman" w:hAnsi="Times New Roman"/>
          <w:color w:val="000000"/>
          <w:szCs w:val="20"/>
          <w:lang w:val="uk-UA"/>
        </w:rPr>
      </w:pPr>
      <w:r w:rsidRPr="00E16672">
        <w:rPr>
          <w:rFonts w:ascii="Times New Roman" w:hAnsi="Times New Roman"/>
          <w:color w:val="000000"/>
          <w:szCs w:val="20"/>
          <w:lang w:val="uk-UA"/>
        </w:rPr>
        <w:t xml:space="preserve"> - </w:t>
      </w:r>
      <w:r w:rsidR="00AE695D" w:rsidRPr="00E16672">
        <w:rPr>
          <w:rFonts w:ascii="Times New Roman" w:hAnsi="Times New Roman"/>
          <w:color w:val="000000"/>
          <w:szCs w:val="20"/>
          <w:lang w:val="uk-UA"/>
        </w:rPr>
        <w:t>кваліфікований електронний підпис</w:t>
      </w:r>
      <w:r w:rsidRPr="00E16672">
        <w:rPr>
          <w:rFonts w:ascii="Times New Roman" w:hAnsi="Times New Roman"/>
          <w:color w:val="000000"/>
          <w:szCs w:val="20"/>
          <w:lang w:val="uk-UA"/>
        </w:rPr>
        <w:t xml:space="preserve">, що накладається за допомогою особистого ключа </w:t>
      </w:r>
      <w:r w:rsidR="00AE695D" w:rsidRPr="00E16672">
        <w:rPr>
          <w:rFonts w:ascii="Times New Roman" w:hAnsi="Times New Roman"/>
          <w:color w:val="000000"/>
          <w:szCs w:val="20"/>
          <w:lang w:val="uk-UA"/>
        </w:rPr>
        <w:t>кваліфікованого електронного підпису</w:t>
      </w:r>
      <w:r w:rsidRPr="00E16672">
        <w:rPr>
          <w:rFonts w:ascii="Times New Roman" w:hAnsi="Times New Roman"/>
          <w:color w:val="000000"/>
          <w:szCs w:val="20"/>
          <w:lang w:val="uk-UA"/>
        </w:rPr>
        <w:t xml:space="preserve"> розпорядника рахунку або керуючого рахунком юридичної особи, </w:t>
      </w:r>
      <w:r w:rsidR="00AE695D" w:rsidRPr="00E16672">
        <w:rPr>
          <w:rFonts w:ascii="Times New Roman" w:hAnsi="Times New Roman"/>
          <w:color w:val="000000"/>
          <w:szCs w:val="20"/>
          <w:lang w:val="uk-UA"/>
        </w:rPr>
        <w:t>кваліфікований електронний підпис</w:t>
      </w:r>
      <w:r w:rsidRPr="00E16672">
        <w:rPr>
          <w:rFonts w:ascii="Times New Roman" w:hAnsi="Times New Roman"/>
          <w:color w:val="000000"/>
          <w:szCs w:val="20"/>
          <w:lang w:val="uk-UA"/>
        </w:rPr>
        <w:t xml:space="preserve">, що за правовим статусом прирівнюється до печатки юридичної особи (крім керуючих рахунком та у відповідності до повноважень, які передбачають посвідчення підпису печаткою) – у разі надання розпорядження у вигляді електронного документа. </w:t>
      </w:r>
    </w:p>
    <w:p w14:paraId="5D71EA69" w14:textId="77777777" w:rsidR="007974E8" w:rsidRPr="00E16672" w:rsidRDefault="007974E8" w:rsidP="007974E8">
      <w:pPr>
        <w:rPr>
          <w:rFonts w:ascii="Times New Roman" w:hAnsi="Times New Roman"/>
          <w:color w:val="000000"/>
          <w:szCs w:val="20"/>
          <w:lang w:val="uk-UA"/>
        </w:rPr>
      </w:pPr>
      <w:r w:rsidRPr="00E16672">
        <w:rPr>
          <w:rFonts w:ascii="Times New Roman" w:hAnsi="Times New Roman"/>
          <w:color w:val="000000"/>
          <w:szCs w:val="20"/>
          <w:lang w:val="uk-UA"/>
        </w:rPr>
        <w:t>- електронне підтвердження (авторизація) підписання розпорядження ініціатором депозитарної операції (користувачем системи S.W.I.F.T.) - у разі надання розпорядження у  вигляді електронного документа у формі S.W.I.F.T. - повідомлення.</w:t>
      </w:r>
    </w:p>
    <w:p w14:paraId="763AB4D4" w14:textId="77777777" w:rsidR="007974E8" w:rsidRPr="00E16672" w:rsidRDefault="007974E8" w:rsidP="007974E8">
      <w:pPr>
        <w:ind w:firstLine="480"/>
        <w:rPr>
          <w:rFonts w:ascii="Times New Roman" w:hAnsi="Times New Roman"/>
          <w:szCs w:val="20"/>
          <w:lang w:val="uk-UA"/>
        </w:rPr>
      </w:pPr>
      <w:r w:rsidRPr="00E16672">
        <w:rPr>
          <w:rFonts w:ascii="Times New Roman" w:hAnsi="Times New Roman"/>
          <w:color w:val="000000"/>
          <w:szCs w:val="20"/>
          <w:lang w:val="uk-UA"/>
        </w:rPr>
        <w:t xml:space="preserve">3.3. Розпорядження у паперовому вигляді, </w:t>
      </w:r>
      <w:r w:rsidRPr="00E16672">
        <w:rPr>
          <w:rFonts w:ascii="Times New Roman" w:hAnsi="Times New Roman"/>
          <w:color w:val="000000"/>
          <w:szCs w:val="20"/>
        </w:rPr>
        <w:t xml:space="preserve">а </w:t>
      </w:r>
      <w:proofErr w:type="spellStart"/>
      <w:r w:rsidRPr="00E16672">
        <w:rPr>
          <w:rFonts w:ascii="Times New Roman" w:hAnsi="Times New Roman"/>
          <w:color w:val="000000"/>
          <w:szCs w:val="20"/>
        </w:rPr>
        <w:t>також</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повідомлення</w:t>
      </w:r>
      <w:proofErr w:type="spellEnd"/>
      <w:r w:rsidRPr="00E16672">
        <w:rPr>
          <w:rFonts w:ascii="Times New Roman" w:hAnsi="Times New Roman"/>
          <w:color w:val="000000"/>
          <w:szCs w:val="20"/>
        </w:rPr>
        <w:t xml:space="preserve"> та </w:t>
      </w:r>
      <w:proofErr w:type="spellStart"/>
      <w:r w:rsidRPr="00E16672">
        <w:rPr>
          <w:rFonts w:ascii="Times New Roman" w:hAnsi="Times New Roman"/>
          <w:color w:val="000000"/>
          <w:szCs w:val="20"/>
        </w:rPr>
        <w:t>інформація</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що</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надаються</w:t>
      </w:r>
      <w:proofErr w:type="spellEnd"/>
      <w:r w:rsidRPr="00E16672">
        <w:rPr>
          <w:rFonts w:ascii="Times New Roman" w:hAnsi="Times New Roman"/>
          <w:color w:val="000000"/>
          <w:szCs w:val="20"/>
        </w:rPr>
        <w:t xml:space="preserve"> у </w:t>
      </w:r>
      <w:proofErr w:type="spellStart"/>
      <w:r w:rsidRPr="00E16672">
        <w:rPr>
          <w:rFonts w:ascii="Times New Roman" w:hAnsi="Times New Roman"/>
          <w:color w:val="000000"/>
          <w:szCs w:val="20"/>
        </w:rPr>
        <w:t>зв’язку</w:t>
      </w:r>
      <w:proofErr w:type="spellEnd"/>
      <w:r w:rsidRPr="00E16672">
        <w:rPr>
          <w:rFonts w:ascii="Times New Roman" w:hAnsi="Times New Roman"/>
          <w:color w:val="000000"/>
          <w:szCs w:val="20"/>
        </w:rPr>
        <w:t xml:space="preserve"> з </w:t>
      </w:r>
      <w:proofErr w:type="spellStart"/>
      <w:r w:rsidRPr="00E16672">
        <w:rPr>
          <w:rFonts w:ascii="Times New Roman" w:hAnsi="Times New Roman"/>
          <w:color w:val="000000"/>
          <w:szCs w:val="20"/>
        </w:rPr>
        <w:t>виконанням</w:t>
      </w:r>
      <w:proofErr w:type="spellEnd"/>
      <w:r w:rsidRPr="00E16672">
        <w:rPr>
          <w:rFonts w:ascii="Times New Roman" w:hAnsi="Times New Roman"/>
          <w:color w:val="000000"/>
          <w:szCs w:val="20"/>
        </w:rPr>
        <w:t xml:space="preserve"> Сторонами Договору, </w:t>
      </w:r>
      <w:r w:rsidRPr="00E16672">
        <w:rPr>
          <w:rFonts w:ascii="Times New Roman" w:hAnsi="Times New Roman"/>
          <w:color w:val="000000"/>
          <w:szCs w:val="20"/>
          <w:lang w:val="uk-UA"/>
        </w:rPr>
        <w:t>можуть</w:t>
      </w:r>
      <w:r w:rsidRPr="00E16672">
        <w:rPr>
          <w:rFonts w:ascii="Times New Roman" w:hAnsi="Times New Roman"/>
          <w:szCs w:val="20"/>
          <w:lang w:val="uk-UA"/>
        </w:rPr>
        <w:t xml:space="preserve"> отримуватися Депозитарною установою:</w:t>
      </w:r>
    </w:p>
    <w:p w14:paraId="45381E6E" w14:textId="77777777" w:rsidR="007974E8" w:rsidRPr="00E16672" w:rsidRDefault="007974E8" w:rsidP="007974E8">
      <w:pPr>
        <w:numPr>
          <w:ilvl w:val="0"/>
          <w:numId w:val="2"/>
        </w:numPr>
        <w:ind w:left="0" w:firstLine="540"/>
        <w:rPr>
          <w:rFonts w:ascii="Times New Roman" w:hAnsi="Times New Roman"/>
          <w:color w:val="000000"/>
          <w:spacing w:val="-8"/>
          <w:szCs w:val="20"/>
          <w:lang w:val="uk-UA"/>
        </w:rPr>
      </w:pPr>
      <w:r w:rsidRPr="00E16672">
        <w:rPr>
          <w:rFonts w:ascii="Times New Roman" w:hAnsi="Times New Roman"/>
          <w:szCs w:val="20"/>
          <w:lang w:val="uk-UA"/>
        </w:rPr>
        <w:t xml:space="preserve">- особисто при </w:t>
      </w:r>
      <w:r w:rsidRPr="00E16672">
        <w:rPr>
          <w:rFonts w:ascii="Times New Roman" w:hAnsi="Times New Roman"/>
          <w:spacing w:val="-8"/>
          <w:szCs w:val="20"/>
          <w:lang w:val="uk-UA"/>
        </w:rPr>
        <w:t>зверненні Депонента,</w:t>
      </w:r>
      <w:r w:rsidRPr="00E16672">
        <w:rPr>
          <w:rFonts w:ascii="Times New Roman" w:hAnsi="Times New Roman"/>
          <w:szCs w:val="20"/>
          <w:lang w:val="uk-UA"/>
        </w:rPr>
        <w:t xml:space="preserve"> керуючого або розпорядника його рахунком (уповноваженого </w:t>
      </w:r>
      <w:r w:rsidRPr="00E16672">
        <w:rPr>
          <w:rFonts w:ascii="Times New Roman" w:hAnsi="Times New Roman"/>
          <w:color w:val="000000"/>
          <w:szCs w:val="20"/>
          <w:lang w:val="uk-UA"/>
        </w:rPr>
        <w:t>представника)</w:t>
      </w:r>
      <w:r w:rsidRPr="00E16672">
        <w:rPr>
          <w:rFonts w:ascii="Times New Roman" w:hAnsi="Times New Roman"/>
          <w:color w:val="000000"/>
          <w:spacing w:val="-8"/>
          <w:szCs w:val="20"/>
          <w:lang w:val="uk-UA"/>
        </w:rPr>
        <w:t>;</w:t>
      </w:r>
    </w:p>
    <w:p w14:paraId="14F42DB7" w14:textId="77777777" w:rsidR="007974E8" w:rsidRPr="00E16672" w:rsidRDefault="007974E8" w:rsidP="007974E8">
      <w:pPr>
        <w:numPr>
          <w:ilvl w:val="0"/>
          <w:numId w:val="2"/>
        </w:numPr>
        <w:ind w:left="0" w:firstLine="540"/>
        <w:rPr>
          <w:rFonts w:ascii="Times New Roman" w:hAnsi="Times New Roman"/>
          <w:color w:val="000000"/>
          <w:szCs w:val="20"/>
          <w:lang w:val="uk-UA"/>
        </w:rPr>
      </w:pPr>
      <w:r w:rsidRPr="00E16672">
        <w:rPr>
          <w:rFonts w:ascii="Times New Roman" w:hAnsi="Times New Roman"/>
          <w:color w:val="000000"/>
          <w:spacing w:val="-8"/>
          <w:szCs w:val="20"/>
          <w:lang w:val="uk-UA"/>
        </w:rPr>
        <w:t xml:space="preserve">- </w:t>
      </w:r>
      <w:r w:rsidR="00FE185D">
        <w:rPr>
          <w:rFonts w:ascii="Times New Roman" w:hAnsi="Times New Roman"/>
          <w:color w:val="000000"/>
          <w:spacing w:val="-8"/>
          <w:szCs w:val="20"/>
          <w:lang w:val="uk-UA"/>
        </w:rPr>
        <w:t xml:space="preserve"> </w:t>
      </w:r>
      <w:proofErr w:type="spellStart"/>
      <w:r w:rsidRPr="00E16672">
        <w:rPr>
          <w:rFonts w:ascii="Times New Roman" w:hAnsi="Times New Roman"/>
          <w:color w:val="000000"/>
          <w:spacing w:val="-8"/>
          <w:szCs w:val="20"/>
        </w:rPr>
        <w:t>засобами</w:t>
      </w:r>
      <w:proofErr w:type="spellEnd"/>
      <w:r w:rsidRPr="00E16672">
        <w:rPr>
          <w:rFonts w:ascii="Times New Roman" w:hAnsi="Times New Roman"/>
          <w:color w:val="000000"/>
          <w:spacing w:val="-8"/>
          <w:szCs w:val="20"/>
        </w:rPr>
        <w:t xml:space="preserve"> </w:t>
      </w:r>
      <w:proofErr w:type="spellStart"/>
      <w:r w:rsidRPr="00E16672">
        <w:rPr>
          <w:rFonts w:ascii="Times New Roman" w:hAnsi="Times New Roman"/>
          <w:color w:val="000000"/>
          <w:spacing w:val="-8"/>
          <w:szCs w:val="20"/>
        </w:rPr>
        <w:t>поштового</w:t>
      </w:r>
      <w:proofErr w:type="spellEnd"/>
      <w:r w:rsidRPr="00E16672">
        <w:rPr>
          <w:rFonts w:ascii="Times New Roman" w:hAnsi="Times New Roman"/>
          <w:color w:val="000000"/>
          <w:spacing w:val="-8"/>
          <w:szCs w:val="20"/>
        </w:rPr>
        <w:t xml:space="preserve"> </w:t>
      </w:r>
      <w:proofErr w:type="spellStart"/>
      <w:r w:rsidRPr="00E16672">
        <w:rPr>
          <w:rFonts w:ascii="Times New Roman" w:hAnsi="Times New Roman"/>
          <w:color w:val="000000"/>
          <w:spacing w:val="-8"/>
          <w:szCs w:val="20"/>
        </w:rPr>
        <w:t>зв’язку</w:t>
      </w:r>
      <w:proofErr w:type="spellEnd"/>
      <w:r w:rsidRPr="00E16672">
        <w:rPr>
          <w:rFonts w:ascii="Times New Roman" w:hAnsi="Times New Roman"/>
          <w:color w:val="000000"/>
          <w:spacing w:val="-8"/>
          <w:szCs w:val="20"/>
        </w:rPr>
        <w:t xml:space="preserve"> </w:t>
      </w:r>
      <w:proofErr w:type="spellStart"/>
      <w:r w:rsidRPr="00E16672">
        <w:rPr>
          <w:rFonts w:ascii="Times New Roman" w:hAnsi="Times New Roman"/>
          <w:color w:val="000000"/>
          <w:spacing w:val="-8"/>
          <w:szCs w:val="20"/>
        </w:rPr>
        <w:t>або</w:t>
      </w:r>
      <w:proofErr w:type="spellEnd"/>
      <w:r w:rsidRPr="00E16672">
        <w:rPr>
          <w:rFonts w:ascii="Times New Roman" w:hAnsi="Times New Roman"/>
          <w:color w:val="000000"/>
          <w:spacing w:val="-8"/>
          <w:szCs w:val="20"/>
        </w:rPr>
        <w:t xml:space="preserve"> </w:t>
      </w:r>
      <w:proofErr w:type="spellStart"/>
      <w:r w:rsidRPr="00E16672">
        <w:rPr>
          <w:rFonts w:ascii="Times New Roman" w:hAnsi="Times New Roman"/>
          <w:color w:val="000000"/>
          <w:spacing w:val="-8"/>
          <w:szCs w:val="20"/>
        </w:rPr>
        <w:t>кур’єром</w:t>
      </w:r>
      <w:proofErr w:type="spellEnd"/>
      <w:r w:rsidRPr="00E16672">
        <w:rPr>
          <w:rFonts w:ascii="Times New Roman" w:hAnsi="Times New Roman"/>
          <w:color w:val="000000"/>
          <w:spacing w:val="-8"/>
          <w:szCs w:val="20"/>
          <w:lang w:val="uk-UA"/>
        </w:rPr>
        <w:t>.</w:t>
      </w:r>
    </w:p>
    <w:p w14:paraId="768A9174" w14:textId="77777777" w:rsidR="007974E8" w:rsidRPr="00E16672" w:rsidRDefault="007974E8" w:rsidP="007974E8">
      <w:pPr>
        <w:rPr>
          <w:rFonts w:ascii="Times New Roman" w:hAnsi="Times New Roman"/>
          <w:color w:val="000000"/>
          <w:szCs w:val="20"/>
          <w:lang w:val="uk-UA"/>
        </w:rPr>
      </w:pPr>
      <w:r w:rsidRPr="00E16672">
        <w:rPr>
          <w:rFonts w:ascii="Times New Roman" w:hAnsi="Times New Roman"/>
          <w:color w:val="000000"/>
          <w:szCs w:val="20"/>
          <w:lang w:val="uk-UA"/>
        </w:rPr>
        <w:t>3.4.</w:t>
      </w:r>
      <w:r w:rsidRPr="00E16672">
        <w:rPr>
          <w:rFonts w:ascii="Times New Roman" w:hAnsi="Times New Roman"/>
          <w:b/>
          <w:bCs/>
          <w:color w:val="000000"/>
          <w:szCs w:val="20"/>
          <w:lang w:val="uk-UA"/>
        </w:rPr>
        <w:t xml:space="preserve"> </w:t>
      </w:r>
      <w:r w:rsidRPr="00E16672">
        <w:rPr>
          <w:rFonts w:ascii="Times New Roman" w:hAnsi="Times New Roman"/>
          <w:color w:val="000000"/>
          <w:szCs w:val="20"/>
          <w:lang w:val="uk-UA"/>
        </w:rPr>
        <w:t xml:space="preserve">Розпорядження Депонента або керуючого його рахунком має бути підписане розпорядником рахунку </w:t>
      </w:r>
      <w:r w:rsidR="00C22309" w:rsidRPr="00E16672">
        <w:rPr>
          <w:rFonts w:ascii="Times New Roman" w:hAnsi="Times New Roman"/>
          <w:color w:val="000000"/>
          <w:szCs w:val="20"/>
          <w:lang w:val="uk-UA"/>
        </w:rPr>
        <w:t>в цін</w:t>
      </w:r>
      <w:r w:rsidRPr="00E16672">
        <w:rPr>
          <w:rFonts w:ascii="Times New Roman" w:hAnsi="Times New Roman"/>
          <w:color w:val="000000"/>
          <w:szCs w:val="20"/>
          <w:lang w:val="uk-UA"/>
        </w:rPr>
        <w:t xml:space="preserve">них паперах. Підпис розпорядника рахунку </w:t>
      </w:r>
      <w:r w:rsidR="00C22309" w:rsidRPr="00E16672">
        <w:rPr>
          <w:rFonts w:ascii="Times New Roman" w:hAnsi="Times New Roman"/>
          <w:color w:val="000000"/>
          <w:szCs w:val="20"/>
          <w:lang w:val="uk-UA"/>
        </w:rPr>
        <w:t>в цін</w:t>
      </w:r>
      <w:r w:rsidRPr="00E16672">
        <w:rPr>
          <w:rFonts w:ascii="Times New Roman" w:hAnsi="Times New Roman"/>
          <w:color w:val="000000"/>
          <w:szCs w:val="20"/>
          <w:lang w:val="uk-UA"/>
        </w:rPr>
        <w:t>них паперах, якщо Депонентом або керуючим рахунком є юридична особа, засвідчується печаткою відповідної юридичною особи (</w:t>
      </w:r>
      <w:r w:rsidR="003352AE" w:rsidRPr="00E16672">
        <w:rPr>
          <w:rFonts w:ascii="Times New Roman" w:hAnsi="Times New Roman"/>
          <w:color w:val="000000"/>
          <w:szCs w:val="20"/>
          <w:lang w:val="uk-UA"/>
        </w:rPr>
        <w:t>у разі використання</w:t>
      </w:r>
      <w:r w:rsidRPr="00E16672">
        <w:rPr>
          <w:rFonts w:ascii="Times New Roman" w:hAnsi="Times New Roman"/>
          <w:color w:val="000000"/>
          <w:szCs w:val="20"/>
          <w:lang w:val="uk-UA"/>
        </w:rPr>
        <w:t>).</w:t>
      </w:r>
    </w:p>
    <w:p w14:paraId="3CFB1663" w14:textId="77777777" w:rsidR="007974E8" w:rsidRPr="00E16672" w:rsidRDefault="007974E8" w:rsidP="007974E8">
      <w:pPr>
        <w:rPr>
          <w:rFonts w:ascii="Times New Roman" w:hAnsi="Times New Roman"/>
          <w:color w:val="000000"/>
          <w:szCs w:val="20"/>
        </w:rPr>
      </w:pPr>
      <w:r w:rsidRPr="00E16672">
        <w:rPr>
          <w:rFonts w:ascii="Times New Roman" w:hAnsi="Times New Roman"/>
          <w:color w:val="000000"/>
          <w:szCs w:val="20"/>
          <w:lang w:val="uk-UA"/>
        </w:rPr>
        <w:t>3.5. Депозитарна установа приймає до виконання тільки ті розпорядження Депонента, які підтверджені підписом керуючого або розпорядника його рахунком (уповноваженого представника). Д</w:t>
      </w:r>
      <w:proofErr w:type="spellStart"/>
      <w:r w:rsidRPr="00E16672">
        <w:rPr>
          <w:rFonts w:ascii="Times New Roman" w:hAnsi="Times New Roman"/>
          <w:color w:val="000000"/>
          <w:szCs w:val="20"/>
        </w:rPr>
        <w:t>епозитарна</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установа</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перевіряє</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їх</w:t>
      </w:r>
      <w:proofErr w:type="spellEnd"/>
      <w:r w:rsidRPr="00E16672">
        <w:rPr>
          <w:rFonts w:ascii="Times New Roman" w:hAnsi="Times New Roman"/>
          <w:color w:val="000000"/>
          <w:szCs w:val="20"/>
        </w:rPr>
        <w:t xml:space="preserve"> на </w:t>
      </w:r>
      <w:proofErr w:type="spellStart"/>
      <w:r w:rsidRPr="00E16672">
        <w:rPr>
          <w:rFonts w:ascii="Times New Roman" w:hAnsi="Times New Roman"/>
          <w:color w:val="000000"/>
          <w:szCs w:val="20"/>
        </w:rPr>
        <w:t>достовірність</w:t>
      </w:r>
      <w:proofErr w:type="spellEnd"/>
      <w:r w:rsidRPr="00E16672">
        <w:rPr>
          <w:rFonts w:ascii="Times New Roman" w:hAnsi="Times New Roman"/>
          <w:color w:val="000000"/>
          <w:szCs w:val="20"/>
        </w:rPr>
        <w:t xml:space="preserve">. </w:t>
      </w:r>
    </w:p>
    <w:p w14:paraId="0796A890" w14:textId="77777777" w:rsidR="007974E8" w:rsidRPr="00E16672" w:rsidRDefault="007974E8" w:rsidP="007974E8">
      <w:pPr>
        <w:rPr>
          <w:rFonts w:ascii="Times New Roman" w:hAnsi="Times New Roman"/>
          <w:color w:val="000000"/>
          <w:szCs w:val="20"/>
          <w:lang w:val="uk-UA"/>
        </w:rPr>
      </w:pPr>
      <w:r w:rsidRPr="00E16672">
        <w:rPr>
          <w:rFonts w:ascii="Times New Roman" w:hAnsi="Times New Roman"/>
          <w:color w:val="000000"/>
          <w:szCs w:val="20"/>
          <w:lang w:val="uk-UA"/>
        </w:rPr>
        <w:lastRenderedPageBreak/>
        <w:t xml:space="preserve">Спосіб підтвердження справжності підпису, що використовується при обміні інформацією між депонентом та Депозитарною установою, може бути таким: </w:t>
      </w:r>
    </w:p>
    <w:p w14:paraId="39CD5290" w14:textId="77777777" w:rsidR="007974E8" w:rsidRPr="00E16672" w:rsidRDefault="007974E8" w:rsidP="007974E8">
      <w:pPr>
        <w:rPr>
          <w:rFonts w:ascii="Times New Roman" w:hAnsi="Times New Roman"/>
          <w:color w:val="000000"/>
          <w:szCs w:val="20"/>
          <w:lang w:val="uk-UA"/>
        </w:rPr>
      </w:pPr>
      <w:r w:rsidRPr="00E16672">
        <w:rPr>
          <w:rFonts w:ascii="Times New Roman" w:hAnsi="Times New Roman"/>
          <w:color w:val="000000"/>
          <w:szCs w:val="20"/>
          <w:lang w:val="uk-UA"/>
        </w:rPr>
        <w:t>- достовірність підпису розпорядника рахунку підтверджується шляхом зіставлення підписів у розпорядженні із зразками підписів у картці із зразками підписів та відбитком печатки;</w:t>
      </w:r>
    </w:p>
    <w:p w14:paraId="14E52546" w14:textId="77777777" w:rsidR="007974E8" w:rsidRPr="00E16672" w:rsidRDefault="007974E8" w:rsidP="007974E8">
      <w:pPr>
        <w:rPr>
          <w:rFonts w:ascii="Times New Roman" w:hAnsi="Times New Roman"/>
          <w:color w:val="000000"/>
          <w:szCs w:val="20"/>
          <w:lang w:val="uk-UA"/>
        </w:rPr>
      </w:pPr>
      <w:r w:rsidRPr="00E16672">
        <w:rPr>
          <w:rFonts w:ascii="Times New Roman" w:hAnsi="Times New Roman"/>
          <w:color w:val="000000"/>
          <w:szCs w:val="20"/>
          <w:lang w:val="uk-UA"/>
        </w:rPr>
        <w:t xml:space="preserve">- </w:t>
      </w:r>
      <w:r w:rsidR="00AE695D" w:rsidRPr="00E16672">
        <w:rPr>
          <w:rFonts w:ascii="Times New Roman" w:hAnsi="Times New Roman"/>
          <w:color w:val="000000"/>
          <w:szCs w:val="20"/>
          <w:lang w:val="uk-UA"/>
        </w:rPr>
        <w:t>кваліфікований електронний підпис</w:t>
      </w:r>
      <w:r w:rsidRPr="00E16672">
        <w:rPr>
          <w:rFonts w:ascii="Times New Roman" w:hAnsi="Times New Roman"/>
          <w:color w:val="000000"/>
          <w:szCs w:val="20"/>
          <w:lang w:val="uk-UA"/>
        </w:rPr>
        <w:t xml:space="preserve"> вважається таким, що відповідає сертифікату відкритого ключа, якщо особистий ключ </w:t>
      </w:r>
      <w:proofErr w:type="spellStart"/>
      <w:r w:rsidRPr="00E16672">
        <w:rPr>
          <w:rFonts w:ascii="Times New Roman" w:hAnsi="Times New Roman"/>
          <w:color w:val="000000"/>
          <w:szCs w:val="20"/>
          <w:lang w:val="uk-UA"/>
        </w:rPr>
        <w:t>підписувача</w:t>
      </w:r>
      <w:proofErr w:type="spellEnd"/>
      <w:r w:rsidRPr="00E16672">
        <w:rPr>
          <w:rFonts w:ascii="Times New Roman" w:hAnsi="Times New Roman"/>
          <w:color w:val="000000"/>
          <w:szCs w:val="20"/>
          <w:lang w:val="uk-UA"/>
        </w:rPr>
        <w:t xml:space="preserve"> (розпорядника рахунку), використаний при формуванні </w:t>
      </w:r>
      <w:r w:rsidR="00AE695D" w:rsidRPr="00E16672">
        <w:rPr>
          <w:rFonts w:ascii="Times New Roman" w:hAnsi="Times New Roman"/>
          <w:color w:val="000000"/>
          <w:szCs w:val="20"/>
          <w:lang w:val="uk-UA"/>
        </w:rPr>
        <w:t>кваліфікованого електронного підпису</w:t>
      </w:r>
      <w:r w:rsidRPr="00E16672">
        <w:rPr>
          <w:rFonts w:ascii="Times New Roman" w:hAnsi="Times New Roman"/>
          <w:color w:val="000000"/>
          <w:szCs w:val="20"/>
          <w:lang w:val="uk-UA"/>
        </w:rPr>
        <w:t>, відповідає відкритому ключу, зазначеному у сертифікаті.</w:t>
      </w:r>
    </w:p>
    <w:p w14:paraId="35D3A26E" w14:textId="77777777" w:rsidR="007974E8" w:rsidRPr="00E16672" w:rsidRDefault="007974E8" w:rsidP="007974E8">
      <w:pPr>
        <w:rPr>
          <w:rFonts w:ascii="Times New Roman" w:hAnsi="Times New Roman"/>
          <w:color w:val="000000"/>
          <w:szCs w:val="20"/>
          <w:lang w:val="uk-UA"/>
        </w:rPr>
      </w:pPr>
      <w:r w:rsidRPr="00E16672">
        <w:rPr>
          <w:rFonts w:ascii="Times New Roman" w:hAnsi="Times New Roman"/>
          <w:color w:val="000000"/>
          <w:szCs w:val="20"/>
        </w:rPr>
        <w:t xml:space="preserve">3.6. </w:t>
      </w:r>
      <w:r w:rsidRPr="00E16672">
        <w:rPr>
          <w:rFonts w:ascii="Times New Roman" w:hAnsi="Times New Roman"/>
          <w:color w:val="000000"/>
          <w:szCs w:val="20"/>
          <w:lang w:val="uk-UA"/>
        </w:rPr>
        <w:t xml:space="preserve">Розпорядження </w:t>
      </w:r>
      <w:r w:rsidRPr="00E16672">
        <w:rPr>
          <w:rFonts w:ascii="Times New Roman" w:hAnsi="Times New Roman"/>
          <w:color w:val="000000"/>
          <w:szCs w:val="20"/>
        </w:rPr>
        <w:t xml:space="preserve">у </w:t>
      </w:r>
      <w:r w:rsidRPr="00E16672">
        <w:rPr>
          <w:rFonts w:ascii="Times New Roman" w:hAnsi="Times New Roman"/>
          <w:color w:val="000000"/>
          <w:szCs w:val="20"/>
          <w:lang w:val="uk-UA"/>
        </w:rPr>
        <w:t xml:space="preserve">вигляді </w:t>
      </w:r>
      <w:proofErr w:type="spellStart"/>
      <w:r w:rsidRPr="00E16672">
        <w:rPr>
          <w:rFonts w:ascii="Times New Roman" w:hAnsi="Times New Roman"/>
          <w:color w:val="000000"/>
          <w:szCs w:val="20"/>
        </w:rPr>
        <w:t>паперового</w:t>
      </w:r>
      <w:proofErr w:type="spellEnd"/>
      <w:r w:rsidRPr="00E16672">
        <w:rPr>
          <w:rFonts w:ascii="Times New Roman" w:hAnsi="Times New Roman"/>
          <w:color w:val="000000"/>
          <w:szCs w:val="20"/>
        </w:rPr>
        <w:t xml:space="preserve"> документа </w:t>
      </w:r>
      <w:r w:rsidRPr="00E16672">
        <w:rPr>
          <w:rFonts w:ascii="Times New Roman" w:hAnsi="Times New Roman"/>
          <w:color w:val="000000"/>
          <w:szCs w:val="20"/>
          <w:lang w:val="uk-UA"/>
        </w:rPr>
        <w:t>повинні бути надані Депозитарній установі без перекручування та виправлення тексту, з чітким відбитком печатки (</w:t>
      </w:r>
      <w:r w:rsidR="003352AE" w:rsidRPr="00E16672">
        <w:rPr>
          <w:rFonts w:ascii="Times New Roman" w:hAnsi="Times New Roman"/>
          <w:color w:val="000000"/>
          <w:szCs w:val="20"/>
          <w:lang w:val="uk-UA"/>
        </w:rPr>
        <w:t>у разі використання</w:t>
      </w:r>
      <w:r w:rsidRPr="00E16672">
        <w:rPr>
          <w:rFonts w:ascii="Times New Roman" w:hAnsi="Times New Roman"/>
          <w:color w:val="000000"/>
          <w:szCs w:val="20"/>
          <w:lang w:val="uk-UA"/>
        </w:rPr>
        <w:t>) за підписом Депонента, або керуючого чи розпорядника його рахунком (уповноваженого представника).</w:t>
      </w:r>
    </w:p>
    <w:p w14:paraId="130B320D" w14:textId="77777777" w:rsidR="007974E8" w:rsidRPr="00E16672" w:rsidRDefault="007974E8" w:rsidP="007974E8">
      <w:pPr>
        <w:ind w:left="-12" w:firstLine="564"/>
        <w:rPr>
          <w:rFonts w:ascii="Times New Roman" w:hAnsi="Times New Roman"/>
          <w:color w:val="000000"/>
          <w:szCs w:val="20"/>
          <w:lang w:val="uk-UA"/>
        </w:rPr>
      </w:pPr>
      <w:r w:rsidRPr="00E16672">
        <w:rPr>
          <w:rFonts w:ascii="Times New Roman" w:hAnsi="Times New Roman"/>
          <w:color w:val="000000"/>
          <w:szCs w:val="20"/>
          <w:lang w:val="uk-UA"/>
        </w:rPr>
        <w:t>3.7. Розпорядження Депонентів повинні повністю розкривати зміст виконання операцій з рахунками в цінних паперах та відповідати чинному законодавству України.</w:t>
      </w:r>
    </w:p>
    <w:p w14:paraId="2F8BD944" w14:textId="77777777" w:rsidR="007974E8" w:rsidRPr="00E16672" w:rsidRDefault="007974E8" w:rsidP="007974E8">
      <w:pPr>
        <w:ind w:left="-12" w:firstLine="564"/>
        <w:rPr>
          <w:rFonts w:ascii="Times New Roman" w:hAnsi="Times New Roman"/>
          <w:color w:val="000000"/>
          <w:szCs w:val="20"/>
          <w:lang w:val="uk-UA"/>
        </w:rPr>
      </w:pPr>
      <w:r w:rsidRPr="00E16672">
        <w:rPr>
          <w:rFonts w:ascii="Times New Roman" w:hAnsi="Times New Roman"/>
          <w:color w:val="000000"/>
          <w:szCs w:val="20"/>
          <w:lang w:val="uk-UA"/>
        </w:rPr>
        <w:t xml:space="preserve">3.8. </w:t>
      </w:r>
      <w:r w:rsidRPr="00E16672">
        <w:rPr>
          <w:rFonts w:ascii="Times New Roman" w:hAnsi="Times New Roman"/>
          <w:szCs w:val="20"/>
          <w:lang w:val="uk-UA"/>
        </w:rPr>
        <w:t xml:space="preserve">Розпорядження </w:t>
      </w:r>
      <w:r w:rsidRPr="00E16672">
        <w:rPr>
          <w:rFonts w:ascii="Times New Roman" w:hAnsi="Times New Roman"/>
          <w:color w:val="000000"/>
          <w:szCs w:val="20"/>
          <w:lang w:val="uk-UA"/>
        </w:rPr>
        <w:t xml:space="preserve">виконується Депозитарною установою у порядку, передбаченому внутрішніми документами Депозитарної установи. </w:t>
      </w:r>
    </w:p>
    <w:p w14:paraId="231AD68E" w14:textId="77777777" w:rsidR="007974E8" w:rsidRPr="00E16672" w:rsidRDefault="007974E8" w:rsidP="007974E8">
      <w:pPr>
        <w:ind w:firstLine="585"/>
        <w:rPr>
          <w:rFonts w:ascii="Times New Roman" w:hAnsi="Times New Roman"/>
          <w:color w:val="000000"/>
          <w:szCs w:val="20"/>
          <w:lang w:val="uk-UA"/>
        </w:rPr>
      </w:pPr>
      <w:r w:rsidRPr="00E16672">
        <w:rPr>
          <w:rFonts w:ascii="Times New Roman" w:hAnsi="Times New Roman"/>
          <w:color w:val="000000"/>
          <w:szCs w:val="20"/>
          <w:lang w:val="uk-UA"/>
        </w:rPr>
        <w:t xml:space="preserve">Депозитарні операції (крім операції відкриття та закриття рахунку </w:t>
      </w:r>
      <w:r w:rsidR="00C22309" w:rsidRPr="00E16672">
        <w:rPr>
          <w:rFonts w:ascii="Times New Roman" w:hAnsi="Times New Roman"/>
          <w:color w:val="000000"/>
          <w:szCs w:val="20"/>
          <w:lang w:val="uk-UA"/>
        </w:rPr>
        <w:t>в цін</w:t>
      </w:r>
      <w:r w:rsidRPr="00E16672">
        <w:rPr>
          <w:rFonts w:ascii="Times New Roman" w:hAnsi="Times New Roman"/>
          <w:color w:val="000000"/>
          <w:szCs w:val="20"/>
          <w:lang w:val="uk-UA"/>
        </w:rPr>
        <w:t xml:space="preserve">них паперах) виконуються Депозитарною установою не пізніше </w:t>
      </w:r>
      <w:r w:rsidR="00FE185D">
        <w:rPr>
          <w:rFonts w:ascii="Times New Roman" w:hAnsi="Times New Roman"/>
          <w:color w:val="000000"/>
          <w:szCs w:val="20"/>
          <w:lang w:val="uk-UA"/>
        </w:rPr>
        <w:t>3 (</w:t>
      </w:r>
      <w:r w:rsidRPr="00E16672">
        <w:rPr>
          <w:rFonts w:ascii="Times New Roman" w:hAnsi="Times New Roman"/>
          <w:i/>
          <w:iCs/>
          <w:color w:val="000000"/>
          <w:szCs w:val="20"/>
          <w:lang w:val="uk-UA"/>
        </w:rPr>
        <w:t>трьох</w:t>
      </w:r>
      <w:r w:rsidR="00FE185D">
        <w:rPr>
          <w:rFonts w:ascii="Times New Roman" w:hAnsi="Times New Roman"/>
          <w:i/>
          <w:iCs/>
          <w:color w:val="000000"/>
          <w:szCs w:val="20"/>
          <w:lang w:val="uk-UA"/>
        </w:rPr>
        <w:t>)</w:t>
      </w:r>
      <w:r w:rsidRPr="00E16672">
        <w:rPr>
          <w:rFonts w:ascii="Times New Roman" w:hAnsi="Times New Roman"/>
          <w:i/>
          <w:iCs/>
          <w:color w:val="000000"/>
          <w:szCs w:val="20"/>
          <w:lang w:val="uk-UA"/>
        </w:rPr>
        <w:t xml:space="preserve"> </w:t>
      </w:r>
      <w:r w:rsidRPr="00E16672">
        <w:rPr>
          <w:rFonts w:ascii="Times New Roman" w:hAnsi="Times New Roman"/>
          <w:color w:val="000000"/>
          <w:szCs w:val="20"/>
          <w:lang w:val="uk-UA"/>
        </w:rPr>
        <w:t>робочих днів з дати прийняття розпорядження та/або документів, що є підставою для здійснення цих операцій.</w:t>
      </w:r>
    </w:p>
    <w:p w14:paraId="57A5B8B0" w14:textId="77777777" w:rsidR="007974E8" w:rsidRPr="00E16672" w:rsidRDefault="007974E8" w:rsidP="007974E8">
      <w:pPr>
        <w:ind w:firstLine="585"/>
        <w:rPr>
          <w:rFonts w:ascii="Times New Roman" w:hAnsi="Times New Roman"/>
          <w:color w:val="000000"/>
          <w:szCs w:val="20"/>
          <w:lang w:val="uk-UA"/>
        </w:rPr>
      </w:pPr>
      <w:r w:rsidRPr="00E16672">
        <w:rPr>
          <w:rFonts w:ascii="Times New Roman" w:hAnsi="Times New Roman"/>
          <w:color w:val="000000"/>
          <w:lang w:val="uk-UA"/>
        </w:rPr>
        <w:t>Відкриття рахунку в цінних паперах Депозитарною установою здійснюється після укладання Договору з Депонентом не пізніше</w:t>
      </w:r>
      <w:r w:rsidR="00FE185D">
        <w:rPr>
          <w:rFonts w:ascii="Times New Roman" w:hAnsi="Times New Roman"/>
          <w:color w:val="000000"/>
          <w:lang w:val="uk-UA"/>
        </w:rPr>
        <w:t xml:space="preserve"> 5 (</w:t>
      </w:r>
      <w:r w:rsidRPr="00E16672">
        <w:rPr>
          <w:rFonts w:ascii="Times New Roman" w:hAnsi="Times New Roman"/>
          <w:i/>
          <w:iCs/>
          <w:color w:val="000000"/>
          <w:lang w:val="uk-UA"/>
        </w:rPr>
        <w:t>п'яти</w:t>
      </w:r>
      <w:r w:rsidR="00FE185D">
        <w:rPr>
          <w:rFonts w:ascii="Times New Roman" w:hAnsi="Times New Roman"/>
          <w:i/>
          <w:iCs/>
          <w:color w:val="000000"/>
          <w:lang w:val="uk-UA"/>
        </w:rPr>
        <w:t>)</w:t>
      </w:r>
      <w:r w:rsidRPr="00E16672">
        <w:rPr>
          <w:rFonts w:ascii="Times New Roman" w:hAnsi="Times New Roman"/>
          <w:color w:val="000000"/>
          <w:lang w:val="uk-UA"/>
        </w:rPr>
        <w:t xml:space="preserve"> робочих днів </w:t>
      </w:r>
      <w:r w:rsidRPr="00E16672">
        <w:rPr>
          <w:rFonts w:ascii="Times New Roman" w:hAnsi="Times New Roman"/>
          <w:color w:val="000000"/>
          <w:szCs w:val="20"/>
          <w:lang w:val="uk-UA"/>
        </w:rPr>
        <w:t>з дня отримання документів, передбачених законодавством та внутрішніми документами Депозитарної установи для відкриття рахунку в цінних паперах, та після проведення ідентифікації та верифікації.</w:t>
      </w:r>
    </w:p>
    <w:p w14:paraId="0BAB0D22" w14:textId="77777777" w:rsidR="007974E8" w:rsidRPr="00E16672" w:rsidRDefault="007974E8" w:rsidP="007974E8">
      <w:pPr>
        <w:pStyle w:val="ab"/>
        <w:ind w:left="-12" w:firstLine="564"/>
        <w:jc w:val="both"/>
        <w:rPr>
          <w:rFonts w:ascii="Times New Roman" w:hAnsi="Times New Roman"/>
          <w:b w:val="0"/>
          <w:color w:val="000000"/>
        </w:rPr>
      </w:pPr>
      <w:r w:rsidRPr="00E16672">
        <w:rPr>
          <w:rFonts w:ascii="Times New Roman" w:hAnsi="Times New Roman"/>
          <w:b w:val="0"/>
          <w:color w:val="000000"/>
        </w:rPr>
        <w:t xml:space="preserve">Закриття рахунку </w:t>
      </w:r>
      <w:r w:rsidR="00C22309" w:rsidRPr="00E16672">
        <w:rPr>
          <w:rFonts w:ascii="Times New Roman" w:hAnsi="Times New Roman"/>
          <w:b w:val="0"/>
          <w:color w:val="000000"/>
        </w:rPr>
        <w:t>в цін</w:t>
      </w:r>
      <w:r w:rsidRPr="00E16672">
        <w:rPr>
          <w:rFonts w:ascii="Times New Roman" w:hAnsi="Times New Roman"/>
          <w:b w:val="0"/>
          <w:color w:val="000000"/>
        </w:rPr>
        <w:t xml:space="preserve">них паперах здійснюється Депозитарною установою не пізніше </w:t>
      </w:r>
      <w:r w:rsidRPr="00E16672">
        <w:rPr>
          <w:rFonts w:ascii="Times New Roman" w:hAnsi="Times New Roman"/>
          <w:b w:val="0"/>
          <w:i/>
          <w:iCs/>
          <w:color w:val="000000"/>
        </w:rPr>
        <w:t>п'яти</w:t>
      </w:r>
      <w:r w:rsidRPr="00E16672">
        <w:rPr>
          <w:rFonts w:ascii="Times New Roman" w:hAnsi="Times New Roman"/>
          <w:b w:val="0"/>
          <w:color w:val="000000"/>
        </w:rPr>
        <w:t xml:space="preserve"> робочих днів з дати прийняття розпорядження та/або документів, що є підставою для здійснення цієї операції.</w:t>
      </w:r>
    </w:p>
    <w:p w14:paraId="3C2398FC" w14:textId="77777777" w:rsidR="007974E8" w:rsidRPr="00E16672" w:rsidRDefault="007974E8" w:rsidP="007974E8">
      <w:pPr>
        <w:pStyle w:val="ab"/>
        <w:ind w:left="-12" w:firstLine="564"/>
        <w:jc w:val="both"/>
        <w:rPr>
          <w:rFonts w:ascii="Times New Roman" w:hAnsi="Times New Roman"/>
          <w:b w:val="0"/>
          <w:color w:val="000000"/>
        </w:rPr>
      </w:pPr>
      <w:r w:rsidRPr="00E16672">
        <w:rPr>
          <w:rFonts w:ascii="Times New Roman" w:hAnsi="Times New Roman"/>
          <w:b w:val="0"/>
          <w:color w:val="000000"/>
        </w:rPr>
        <w:t xml:space="preserve">3.9. У випадках, установлених законодавством (у разі необхідності), Депозитарна установа  повідомляє Депонента про прийняття розпорядження до виконання або надає вмотивовану відповідь про відмову у прийнятті. Повідомлення про прийняття розпорядження або відповідь про відмову  у прийнятті </w:t>
      </w:r>
      <w:proofErr w:type="spellStart"/>
      <w:r w:rsidRPr="00E16672">
        <w:rPr>
          <w:rFonts w:ascii="Times New Roman" w:hAnsi="Times New Roman"/>
          <w:b w:val="0"/>
          <w:color w:val="000000"/>
        </w:rPr>
        <w:t>можє</w:t>
      </w:r>
      <w:proofErr w:type="spellEnd"/>
      <w:r w:rsidRPr="00E16672">
        <w:rPr>
          <w:rFonts w:ascii="Times New Roman" w:hAnsi="Times New Roman"/>
          <w:b w:val="0"/>
          <w:color w:val="000000"/>
        </w:rPr>
        <w:t xml:space="preserve"> надаватись особисто, засобами електронної пошти, факсом, поштовим відправленням, кур’єром, у формі S.W.I.F.T. – повідомлень, у формі електронних документів, тощо. У якості повідомлення про прийняття розпорядження може надаватися виписка (довідка) з рахунку </w:t>
      </w:r>
      <w:r w:rsidR="00C22309" w:rsidRPr="00E16672">
        <w:rPr>
          <w:rFonts w:ascii="Times New Roman" w:hAnsi="Times New Roman"/>
          <w:b w:val="0"/>
          <w:color w:val="000000"/>
        </w:rPr>
        <w:t>в цін</w:t>
      </w:r>
      <w:r w:rsidRPr="00E16672">
        <w:rPr>
          <w:rFonts w:ascii="Times New Roman" w:hAnsi="Times New Roman"/>
          <w:b w:val="0"/>
          <w:color w:val="000000"/>
        </w:rPr>
        <w:t xml:space="preserve">них паперах, свідоцтво про закриття рахунку </w:t>
      </w:r>
      <w:r w:rsidR="00C22309" w:rsidRPr="00E16672">
        <w:rPr>
          <w:rFonts w:ascii="Times New Roman" w:hAnsi="Times New Roman"/>
          <w:b w:val="0"/>
          <w:color w:val="000000"/>
        </w:rPr>
        <w:t>в цін</w:t>
      </w:r>
      <w:r w:rsidRPr="00E16672">
        <w:rPr>
          <w:rFonts w:ascii="Times New Roman" w:hAnsi="Times New Roman"/>
          <w:b w:val="0"/>
          <w:color w:val="000000"/>
        </w:rPr>
        <w:t>них паперах, або інший документ згідно внутрішніх документів Депозитарної установи, що підтверджує виконання розпорядження.</w:t>
      </w:r>
    </w:p>
    <w:p w14:paraId="3CB0C7E6" w14:textId="77777777" w:rsidR="007974E8" w:rsidRPr="00E16672" w:rsidRDefault="007974E8" w:rsidP="007974E8">
      <w:pPr>
        <w:pStyle w:val="af"/>
        <w:ind w:left="-12" w:firstLine="564"/>
        <w:rPr>
          <w:rFonts w:ascii="Times New Roman" w:hAnsi="Times New Roman" w:cs="Times New Roman"/>
          <w:color w:val="000000"/>
        </w:rPr>
      </w:pPr>
      <w:r w:rsidRPr="00E16672">
        <w:rPr>
          <w:rFonts w:ascii="Times New Roman" w:hAnsi="Times New Roman" w:cs="Times New Roman"/>
          <w:color w:val="000000"/>
        </w:rPr>
        <w:t xml:space="preserve">3.10. Облікові операції, які були ініційовані Депозитарною установою у депозитарії, але не були завершені протягом </w:t>
      </w:r>
      <w:r w:rsidRPr="00E16672">
        <w:rPr>
          <w:rFonts w:ascii="Times New Roman" w:hAnsi="Times New Roman" w:cs="Times New Roman"/>
          <w:i/>
          <w:iCs/>
          <w:color w:val="000000"/>
        </w:rPr>
        <w:t>трьох</w:t>
      </w:r>
      <w:r w:rsidRPr="00E16672">
        <w:rPr>
          <w:rFonts w:ascii="Times New Roman" w:hAnsi="Times New Roman" w:cs="Times New Roman"/>
          <w:color w:val="000000"/>
        </w:rPr>
        <w:t xml:space="preserve"> робочих днів за підстав, які не залежать від Депозитарної установи (розпорядження Депозитарної установи не було відповідно до внутрішніх документів Центрального депозитарію занесене Центральним депозитарієм до відомості </w:t>
      </w:r>
      <w:proofErr w:type="spellStart"/>
      <w:r w:rsidRPr="00E16672">
        <w:rPr>
          <w:rFonts w:ascii="Times New Roman" w:hAnsi="Times New Roman" w:cs="Times New Roman"/>
          <w:color w:val="000000"/>
        </w:rPr>
        <w:t>сквитованих</w:t>
      </w:r>
      <w:proofErr w:type="spellEnd"/>
      <w:r w:rsidRPr="00E16672">
        <w:rPr>
          <w:rFonts w:ascii="Times New Roman" w:hAnsi="Times New Roman" w:cs="Times New Roman"/>
          <w:color w:val="000000"/>
        </w:rPr>
        <w:t xml:space="preserve"> розпоряджень на поставку/одержання цінних паперів), можуть бути відмінені ним у випадку отримання від Депонента відповідного розпорядження відміни (анулювання) його попереднього розпорядження.</w:t>
      </w:r>
    </w:p>
    <w:p w14:paraId="64F19FEA" w14:textId="77777777" w:rsidR="007974E8" w:rsidRPr="00E16672" w:rsidRDefault="007974E8" w:rsidP="007974E8">
      <w:pPr>
        <w:jc w:val="center"/>
        <w:rPr>
          <w:rFonts w:ascii="Times New Roman" w:hAnsi="Times New Roman"/>
          <w:color w:val="000000"/>
          <w:szCs w:val="20"/>
          <w:lang w:val="uk-UA"/>
        </w:rPr>
      </w:pPr>
    </w:p>
    <w:p w14:paraId="2490BA49" w14:textId="77777777" w:rsidR="007974E8" w:rsidRPr="00E16672" w:rsidRDefault="007974E8" w:rsidP="007974E8">
      <w:pPr>
        <w:tabs>
          <w:tab w:val="left" w:pos="0"/>
        </w:tabs>
        <w:jc w:val="center"/>
        <w:rPr>
          <w:rFonts w:ascii="Times New Roman" w:hAnsi="Times New Roman"/>
          <w:b/>
          <w:color w:val="000000"/>
          <w:szCs w:val="20"/>
          <w:lang w:val="uk-UA"/>
        </w:rPr>
      </w:pPr>
      <w:r w:rsidRPr="00E16672">
        <w:rPr>
          <w:rFonts w:ascii="Times New Roman" w:hAnsi="Times New Roman"/>
          <w:b/>
          <w:color w:val="000000"/>
          <w:szCs w:val="20"/>
          <w:lang w:val="uk-UA"/>
        </w:rPr>
        <w:t>4. Тарифи на послуги та порядок розрахунків за надані послуги</w:t>
      </w:r>
    </w:p>
    <w:p w14:paraId="5F475A09" w14:textId="77777777" w:rsidR="007974E8" w:rsidRPr="00E16672" w:rsidRDefault="007974E8" w:rsidP="007974E8">
      <w:pPr>
        <w:ind w:firstLine="532"/>
        <w:rPr>
          <w:rFonts w:ascii="Times New Roman" w:hAnsi="Times New Roman"/>
          <w:color w:val="000000"/>
          <w:szCs w:val="20"/>
          <w:lang w:val="uk-UA"/>
        </w:rPr>
      </w:pPr>
      <w:r w:rsidRPr="00E16672">
        <w:rPr>
          <w:rFonts w:ascii="Times New Roman" w:hAnsi="Times New Roman"/>
          <w:color w:val="000000"/>
          <w:szCs w:val="20"/>
          <w:lang w:val="uk-UA"/>
        </w:rPr>
        <w:t xml:space="preserve">4.1. </w:t>
      </w:r>
      <w:r w:rsidRPr="00E16672">
        <w:rPr>
          <w:rFonts w:ascii="Times New Roman" w:hAnsi="Times New Roman"/>
          <w:szCs w:val="20"/>
          <w:lang w:val="uk-UA"/>
        </w:rPr>
        <w:t xml:space="preserve">Тарифи </w:t>
      </w:r>
      <w:r w:rsidRPr="00E16672">
        <w:rPr>
          <w:rFonts w:ascii="Times New Roman" w:hAnsi="Times New Roman"/>
          <w:color w:val="000000"/>
          <w:szCs w:val="20"/>
          <w:lang w:val="uk-UA"/>
        </w:rPr>
        <w:t xml:space="preserve">на депозитарні послуги Депозитарної установи встановлюються Депозитарною установою самостійно. Підписавши цей Договір, депонент погоджується з тарифами, встановленими Депозитарною установою на дату укладення Договору, які оприлюднені на </w:t>
      </w:r>
      <w:r w:rsidRPr="00E16672">
        <w:rPr>
          <w:rFonts w:ascii="Times New Roman" w:hAnsi="Times New Roman"/>
          <w:bCs/>
          <w:color w:val="000000"/>
          <w:szCs w:val="20"/>
          <w:lang w:val="uk-UA"/>
        </w:rPr>
        <w:t xml:space="preserve">веб-сторінці Депозитарної установи </w:t>
      </w:r>
      <w:hyperlink r:id="rId38" w:history="1">
        <w:r w:rsidR="00E16672">
          <w:rPr>
            <w:rFonts w:ascii="Times New Roman" w:hAnsi="Times New Roman"/>
            <w:bCs/>
            <w:color w:val="000000"/>
            <w:szCs w:val="20"/>
          </w:rPr>
          <w:t>http://comex.uafin.net</w:t>
        </w:r>
      </w:hyperlink>
      <w:r w:rsidRPr="00E16672">
        <w:rPr>
          <w:rFonts w:ascii="Times New Roman" w:hAnsi="Times New Roman"/>
          <w:color w:val="000000"/>
          <w:szCs w:val="20"/>
          <w:lang w:val="uk-UA"/>
        </w:rPr>
        <w:t>.</w:t>
      </w:r>
    </w:p>
    <w:p w14:paraId="4F55EB1A" w14:textId="77777777" w:rsidR="007974E8" w:rsidRPr="00E16672" w:rsidRDefault="007974E8" w:rsidP="007974E8">
      <w:pPr>
        <w:ind w:firstLine="532"/>
        <w:rPr>
          <w:rFonts w:ascii="Times New Roman" w:hAnsi="Times New Roman"/>
          <w:szCs w:val="20"/>
          <w:lang w:val="uk-UA"/>
        </w:rPr>
      </w:pPr>
      <w:r w:rsidRPr="00E16672">
        <w:rPr>
          <w:rFonts w:ascii="Times New Roman" w:hAnsi="Times New Roman"/>
          <w:szCs w:val="20"/>
          <w:lang w:val="uk-UA"/>
        </w:rPr>
        <w:t xml:space="preserve">Депозитарна установа  повідомляє про зміни до тарифів на послуги  шляхом розміщення змінених тарифів на </w:t>
      </w:r>
      <w:r w:rsidRPr="00E16672">
        <w:rPr>
          <w:rFonts w:ascii="Times New Roman" w:hAnsi="Times New Roman"/>
          <w:bCs/>
          <w:szCs w:val="20"/>
          <w:lang w:val="uk-UA"/>
        </w:rPr>
        <w:t xml:space="preserve">веб-сторінці Депозитарної установи </w:t>
      </w:r>
      <w:hyperlink r:id="rId39" w:history="1">
        <w:r w:rsidR="00E16672">
          <w:rPr>
            <w:rFonts w:ascii="Times New Roman" w:hAnsi="Times New Roman"/>
            <w:bCs/>
            <w:szCs w:val="20"/>
          </w:rPr>
          <w:t>http</w:t>
        </w:r>
        <w:r w:rsidR="00E16672" w:rsidRPr="00E16672">
          <w:rPr>
            <w:rFonts w:ascii="Times New Roman" w:hAnsi="Times New Roman"/>
            <w:bCs/>
            <w:szCs w:val="20"/>
            <w:lang w:val="uk-UA"/>
          </w:rPr>
          <w:t>://</w:t>
        </w:r>
        <w:r w:rsidR="00E16672">
          <w:rPr>
            <w:rFonts w:ascii="Times New Roman" w:hAnsi="Times New Roman"/>
            <w:bCs/>
            <w:szCs w:val="20"/>
          </w:rPr>
          <w:t>comex</w:t>
        </w:r>
        <w:r w:rsidR="00E16672" w:rsidRPr="00E16672">
          <w:rPr>
            <w:rFonts w:ascii="Times New Roman" w:hAnsi="Times New Roman"/>
            <w:bCs/>
            <w:szCs w:val="20"/>
            <w:lang w:val="uk-UA"/>
          </w:rPr>
          <w:t>.</w:t>
        </w:r>
        <w:r w:rsidR="00E16672">
          <w:rPr>
            <w:rFonts w:ascii="Times New Roman" w:hAnsi="Times New Roman"/>
            <w:bCs/>
            <w:szCs w:val="20"/>
          </w:rPr>
          <w:t>uafin</w:t>
        </w:r>
        <w:r w:rsidR="00E16672" w:rsidRPr="00E16672">
          <w:rPr>
            <w:rFonts w:ascii="Times New Roman" w:hAnsi="Times New Roman"/>
            <w:bCs/>
            <w:szCs w:val="20"/>
            <w:lang w:val="uk-UA"/>
          </w:rPr>
          <w:t>.</w:t>
        </w:r>
        <w:proofErr w:type="spellStart"/>
        <w:r w:rsidR="00E16672">
          <w:rPr>
            <w:rFonts w:ascii="Times New Roman" w:hAnsi="Times New Roman"/>
            <w:bCs/>
            <w:szCs w:val="20"/>
          </w:rPr>
          <w:t>net</w:t>
        </w:r>
        <w:proofErr w:type="spellEnd"/>
      </w:hyperlink>
      <w:r w:rsidRPr="00E16672">
        <w:rPr>
          <w:rFonts w:ascii="Times New Roman" w:hAnsi="Times New Roman"/>
          <w:bCs/>
          <w:szCs w:val="20"/>
          <w:lang w:val="uk-UA"/>
        </w:rPr>
        <w:t xml:space="preserve"> </w:t>
      </w:r>
      <w:r w:rsidRPr="00E16672">
        <w:rPr>
          <w:rFonts w:ascii="Times New Roman" w:hAnsi="Times New Roman"/>
          <w:szCs w:val="20"/>
          <w:lang w:val="uk-UA"/>
        </w:rPr>
        <w:t xml:space="preserve">протягом </w:t>
      </w:r>
      <w:r w:rsidR="00FE185D">
        <w:rPr>
          <w:rFonts w:ascii="Times New Roman" w:hAnsi="Times New Roman"/>
          <w:szCs w:val="20"/>
          <w:lang w:val="uk-UA"/>
        </w:rPr>
        <w:t>5 (</w:t>
      </w:r>
      <w:r w:rsidRPr="00E16672">
        <w:rPr>
          <w:rFonts w:ascii="Times New Roman" w:hAnsi="Times New Roman"/>
          <w:i/>
          <w:szCs w:val="20"/>
          <w:lang w:val="uk-UA"/>
        </w:rPr>
        <w:t>п'яти</w:t>
      </w:r>
      <w:r w:rsidR="00FE185D">
        <w:rPr>
          <w:rFonts w:ascii="Times New Roman" w:hAnsi="Times New Roman"/>
          <w:i/>
          <w:szCs w:val="20"/>
          <w:lang w:val="uk-UA"/>
        </w:rPr>
        <w:t>)</w:t>
      </w:r>
      <w:r w:rsidRPr="00E16672">
        <w:rPr>
          <w:rFonts w:ascii="Times New Roman" w:hAnsi="Times New Roman"/>
          <w:szCs w:val="20"/>
          <w:lang w:val="uk-UA"/>
        </w:rPr>
        <w:t xml:space="preserve"> робочих днів після затвердження відповідних змін. Змінені тарифи використовуються Сторонами для визначення вартості операцій на дату надання послуг.</w:t>
      </w:r>
    </w:p>
    <w:p w14:paraId="2E292A80" w14:textId="77777777" w:rsidR="007974E8" w:rsidRPr="00E16672" w:rsidRDefault="007974E8" w:rsidP="007974E8">
      <w:pPr>
        <w:ind w:firstLine="532"/>
        <w:rPr>
          <w:rFonts w:ascii="Times New Roman" w:hAnsi="Times New Roman"/>
          <w:szCs w:val="20"/>
          <w:lang w:val="uk-UA"/>
        </w:rPr>
      </w:pPr>
      <w:r w:rsidRPr="00E16672">
        <w:rPr>
          <w:rFonts w:ascii="Times New Roman" w:hAnsi="Times New Roman"/>
          <w:szCs w:val="20"/>
          <w:lang w:val="uk-UA"/>
        </w:rPr>
        <w:t>Депонент оплачує послуги Депозитарної установи відповідно до цього Договору та затверджених тарифів Депозитарної установи, що є чинними на дату надання послуг.</w:t>
      </w:r>
    </w:p>
    <w:p w14:paraId="7C50331C" w14:textId="77777777" w:rsidR="007974E8" w:rsidRPr="00E16672" w:rsidRDefault="007974E8" w:rsidP="007974E8">
      <w:pPr>
        <w:ind w:firstLine="559"/>
        <w:rPr>
          <w:rFonts w:ascii="Times New Roman" w:hAnsi="Times New Roman"/>
          <w:szCs w:val="20"/>
        </w:rPr>
      </w:pPr>
      <w:r w:rsidRPr="00E16672">
        <w:rPr>
          <w:rFonts w:ascii="Times New Roman" w:hAnsi="Times New Roman"/>
          <w:szCs w:val="20"/>
        </w:rPr>
        <w:t xml:space="preserve">4.2. Депонент </w:t>
      </w:r>
      <w:proofErr w:type="spellStart"/>
      <w:r w:rsidRPr="00E16672">
        <w:rPr>
          <w:rFonts w:ascii="Times New Roman" w:hAnsi="Times New Roman"/>
          <w:szCs w:val="20"/>
        </w:rPr>
        <w:t>здійснює</w:t>
      </w:r>
      <w:proofErr w:type="spellEnd"/>
      <w:r w:rsidRPr="00E16672">
        <w:rPr>
          <w:rFonts w:ascii="Times New Roman" w:hAnsi="Times New Roman"/>
          <w:szCs w:val="20"/>
        </w:rPr>
        <w:t xml:space="preserve"> оплату </w:t>
      </w:r>
      <w:proofErr w:type="spellStart"/>
      <w:r w:rsidRPr="00E16672">
        <w:rPr>
          <w:rFonts w:ascii="Times New Roman" w:hAnsi="Times New Roman"/>
          <w:szCs w:val="20"/>
        </w:rPr>
        <w:t>Депозитарний</w:t>
      </w:r>
      <w:proofErr w:type="spellEnd"/>
      <w:r w:rsidRPr="00E16672">
        <w:rPr>
          <w:rFonts w:ascii="Times New Roman" w:hAnsi="Times New Roman"/>
          <w:szCs w:val="20"/>
        </w:rPr>
        <w:t xml:space="preserve"> </w:t>
      </w:r>
      <w:proofErr w:type="spellStart"/>
      <w:r w:rsidRPr="00E16672">
        <w:rPr>
          <w:rFonts w:ascii="Times New Roman" w:hAnsi="Times New Roman"/>
          <w:szCs w:val="20"/>
        </w:rPr>
        <w:t>установі</w:t>
      </w:r>
      <w:proofErr w:type="spellEnd"/>
      <w:r w:rsidRPr="00E16672">
        <w:rPr>
          <w:rFonts w:ascii="Times New Roman" w:hAnsi="Times New Roman"/>
          <w:szCs w:val="20"/>
        </w:rPr>
        <w:t xml:space="preserve"> на </w:t>
      </w:r>
      <w:proofErr w:type="spellStart"/>
      <w:r w:rsidRPr="00E16672">
        <w:rPr>
          <w:rFonts w:ascii="Times New Roman" w:hAnsi="Times New Roman"/>
          <w:szCs w:val="20"/>
        </w:rPr>
        <w:t>підставі</w:t>
      </w:r>
      <w:proofErr w:type="spellEnd"/>
      <w:r w:rsidRPr="00E16672">
        <w:rPr>
          <w:rFonts w:ascii="Times New Roman" w:hAnsi="Times New Roman"/>
          <w:szCs w:val="20"/>
        </w:rPr>
        <w:t>:</w:t>
      </w:r>
    </w:p>
    <w:p w14:paraId="2BC5A55F" w14:textId="77777777" w:rsidR="007974E8" w:rsidRPr="00E16672" w:rsidRDefault="007974E8" w:rsidP="007974E8">
      <w:pPr>
        <w:rPr>
          <w:rFonts w:ascii="Times New Roman" w:hAnsi="Times New Roman"/>
          <w:szCs w:val="20"/>
        </w:rPr>
      </w:pPr>
      <w:r w:rsidRPr="00E16672">
        <w:rPr>
          <w:rFonts w:ascii="Times New Roman" w:hAnsi="Times New Roman"/>
          <w:szCs w:val="20"/>
        </w:rPr>
        <w:t xml:space="preserve">- </w:t>
      </w:r>
      <w:proofErr w:type="spellStart"/>
      <w:r w:rsidRPr="00E16672">
        <w:rPr>
          <w:rFonts w:ascii="Times New Roman" w:hAnsi="Times New Roman"/>
          <w:szCs w:val="20"/>
        </w:rPr>
        <w:t>актів</w:t>
      </w:r>
      <w:proofErr w:type="spellEnd"/>
      <w:r w:rsidRPr="00E16672">
        <w:rPr>
          <w:rFonts w:ascii="Times New Roman" w:hAnsi="Times New Roman"/>
          <w:szCs w:val="20"/>
        </w:rPr>
        <w:t xml:space="preserve"> </w:t>
      </w:r>
      <w:proofErr w:type="spellStart"/>
      <w:r w:rsidRPr="00E16672">
        <w:rPr>
          <w:rFonts w:ascii="Times New Roman" w:hAnsi="Times New Roman"/>
          <w:color w:val="000000"/>
          <w:szCs w:val="20"/>
        </w:rPr>
        <w:t>виконаних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операцій</w:t>
      </w:r>
      <w:proofErr w:type="spellEnd"/>
      <w:r w:rsidRPr="00E16672">
        <w:rPr>
          <w:rFonts w:ascii="Times New Roman" w:hAnsi="Times New Roman"/>
          <w:color w:val="000000"/>
          <w:szCs w:val="20"/>
        </w:rPr>
        <w:t xml:space="preserve"> за </w:t>
      </w:r>
      <w:proofErr w:type="spellStart"/>
      <w:proofErr w:type="gramStart"/>
      <w:r w:rsidRPr="00E16672">
        <w:rPr>
          <w:rFonts w:ascii="Times New Roman" w:hAnsi="Times New Roman"/>
          <w:color w:val="000000"/>
          <w:szCs w:val="20"/>
        </w:rPr>
        <w:t>операції</w:t>
      </w:r>
      <w:proofErr w:type="spellEnd"/>
      <w:r w:rsidRPr="00E16672">
        <w:rPr>
          <w:rFonts w:ascii="Times New Roman" w:hAnsi="Times New Roman"/>
          <w:color w:val="000000"/>
          <w:szCs w:val="20"/>
        </w:rPr>
        <w:t xml:space="preserve">  не</w:t>
      </w:r>
      <w:proofErr w:type="gram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пізніше</w:t>
      </w:r>
      <w:proofErr w:type="spellEnd"/>
      <w:r w:rsidRPr="00E16672">
        <w:rPr>
          <w:rFonts w:ascii="Times New Roman" w:hAnsi="Times New Roman"/>
          <w:color w:val="000000"/>
          <w:szCs w:val="20"/>
        </w:rPr>
        <w:t xml:space="preserve"> одного </w:t>
      </w:r>
      <w:proofErr w:type="spellStart"/>
      <w:r w:rsidRPr="00E16672">
        <w:rPr>
          <w:rFonts w:ascii="Times New Roman" w:hAnsi="Times New Roman"/>
          <w:color w:val="000000"/>
          <w:szCs w:val="20"/>
        </w:rPr>
        <w:t>робочого</w:t>
      </w:r>
      <w:proofErr w:type="spellEnd"/>
      <w:r w:rsidRPr="00E16672">
        <w:rPr>
          <w:rFonts w:ascii="Times New Roman" w:hAnsi="Times New Roman"/>
          <w:color w:val="000000"/>
          <w:szCs w:val="20"/>
        </w:rPr>
        <w:t xml:space="preserve"> дня з </w:t>
      </w:r>
      <w:proofErr w:type="spellStart"/>
      <w:r w:rsidRPr="00E16672">
        <w:rPr>
          <w:rFonts w:ascii="Times New Roman" w:hAnsi="Times New Roman"/>
          <w:color w:val="000000"/>
          <w:szCs w:val="20"/>
        </w:rPr>
        <w:t>дати</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підписання</w:t>
      </w:r>
      <w:proofErr w:type="spellEnd"/>
      <w:r w:rsidRPr="00E16672">
        <w:rPr>
          <w:rFonts w:ascii="Times New Roman" w:hAnsi="Times New Roman"/>
          <w:color w:val="000000"/>
          <w:szCs w:val="20"/>
        </w:rPr>
        <w:t xml:space="preserve"> акту Депозитарною </w:t>
      </w:r>
      <w:proofErr w:type="spellStart"/>
      <w:r w:rsidRPr="00E16672">
        <w:rPr>
          <w:rFonts w:ascii="Times New Roman" w:hAnsi="Times New Roman"/>
          <w:color w:val="000000"/>
          <w:szCs w:val="20"/>
        </w:rPr>
        <w:t>установою</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якщо</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інше</w:t>
      </w:r>
      <w:proofErr w:type="spellEnd"/>
      <w:r w:rsidRPr="00E16672">
        <w:rPr>
          <w:rFonts w:ascii="Times New Roman" w:hAnsi="Times New Roman"/>
          <w:color w:val="000000"/>
          <w:szCs w:val="20"/>
        </w:rPr>
        <w:t xml:space="preserve"> не </w:t>
      </w:r>
      <w:proofErr w:type="spellStart"/>
      <w:r w:rsidRPr="00E16672">
        <w:rPr>
          <w:rFonts w:ascii="Times New Roman" w:hAnsi="Times New Roman"/>
          <w:color w:val="000000"/>
          <w:szCs w:val="20"/>
        </w:rPr>
        <w:t>передбачено</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додатковою</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угодою</w:t>
      </w:r>
      <w:proofErr w:type="spellEnd"/>
      <w:r w:rsidRPr="00E16672">
        <w:rPr>
          <w:rFonts w:ascii="Times New Roman" w:hAnsi="Times New Roman"/>
          <w:color w:val="000000"/>
          <w:szCs w:val="20"/>
        </w:rPr>
        <w:t xml:space="preserve"> до </w:t>
      </w:r>
      <w:proofErr w:type="spellStart"/>
      <w:r w:rsidRPr="00E16672">
        <w:rPr>
          <w:rFonts w:ascii="Times New Roman" w:hAnsi="Times New Roman"/>
          <w:color w:val="000000"/>
          <w:szCs w:val="20"/>
        </w:rPr>
        <w:t>цього</w:t>
      </w:r>
      <w:proofErr w:type="spellEnd"/>
      <w:r w:rsidRPr="00E16672">
        <w:rPr>
          <w:rFonts w:ascii="Times New Roman" w:hAnsi="Times New Roman"/>
          <w:color w:val="000000"/>
          <w:szCs w:val="20"/>
        </w:rPr>
        <w:t xml:space="preserve"> Договору) </w:t>
      </w:r>
      <w:proofErr w:type="spellStart"/>
      <w:r w:rsidRPr="00E16672">
        <w:rPr>
          <w:rFonts w:ascii="Times New Roman" w:hAnsi="Times New Roman"/>
          <w:color w:val="000000"/>
          <w:szCs w:val="20"/>
        </w:rPr>
        <w:t>або</w:t>
      </w:r>
      <w:proofErr w:type="spellEnd"/>
    </w:p>
    <w:p w14:paraId="5865EC13" w14:textId="77777777" w:rsidR="007974E8" w:rsidRPr="00E16672" w:rsidRDefault="007974E8" w:rsidP="007974E8">
      <w:pPr>
        <w:rPr>
          <w:rFonts w:ascii="Times New Roman" w:hAnsi="Times New Roman"/>
          <w:szCs w:val="20"/>
        </w:rPr>
      </w:pPr>
      <w:r w:rsidRPr="00E16672">
        <w:rPr>
          <w:rFonts w:ascii="Times New Roman" w:hAnsi="Times New Roman"/>
          <w:szCs w:val="20"/>
        </w:rPr>
        <w:t xml:space="preserve">- </w:t>
      </w:r>
      <w:proofErr w:type="spellStart"/>
      <w:r w:rsidRPr="00E16672">
        <w:rPr>
          <w:rFonts w:ascii="Times New Roman" w:hAnsi="Times New Roman"/>
          <w:szCs w:val="20"/>
        </w:rPr>
        <w:t>рахунків</w:t>
      </w:r>
      <w:proofErr w:type="spellEnd"/>
      <w:r w:rsidRPr="00E16672">
        <w:rPr>
          <w:rFonts w:ascii="Times New Roman" w:hAnsi="Times New Roman"/>
          <w:szCs w:val="20"/>
        </w:rPr>
        <w:t xml:space="preserve">, </w:t>
      </w:r>
      <w:proofErr w:type="spellStart"/>
      <w:r w:rsidRPr="00E16672">
        <w:rPr>
          <w:rFonts w:ascii="Times New Roman" w:hAnsi="Times New Roman"/>
          <w:szCs w:val="20"/>
        </w:rPr>
        <w:t>виставлених</w:t>
      </w:r>
      <w:proofErr w:type="spellEnd"/>
      <w:r w:rsidRPr="00E16672">
        <w:rPr>
          <w:rFonts w:ascii="Times New Roman" w:hAnsi="Times New Roman"/>
          <w:szCs w:val="20"/>
        </w:rPr>
        <w:t xml:space="preserve"> Депозитарною </w:t>
      </w:r>
      <w:proofErr w:type="spellStart"/>
      <w:r w:rsidRPr="00E16672">
        <w:rPr>
          <w:rFonts w:ascii="Times New Roman" w:hAnsi="Times New Roman"/>
          <w:szCs w:val="20"/>
        </w:rPr>
        <w:t>установою</w:t>
      </w:r>
      <w:proofErr w:type="spellEnd"/>
      <w:r w:rsidRPr="00E16672">
        <w:rPr>
          <w:rFonts w:ascii="Times New Roman" w:hAnsi="Times New Roman"/>
          <w:szCs w:val="20"/>
        </w:rPr>
        <w:t xml:space="preserve"> Депоненту для </w:t>
      </w:r>
      <w:proofErr w:type="spellStart"/>
      <w:r w:rsidRPr="00E16672">
        <w:rPr>
          <w:rFonts w:ascii="Times New Roman" w:hAnsi="Times New Roman"/>
          <w:szCs w:val="20"/>
        </w:rPr>
        <w:t>попередньої</w:t>
      </w:r>
      <w:proofErr w:type="spellEnd"/>
      <w:r w:rsidRPr="00E16672">
        <w:rPr>
          <w:rFonts w:ascii="Times New Roman" w:hAnsi="Times New Roman"/>
          <w:szCs w:val="20"/>
        </w:rPr>
        <w:t xml:space="preserve"> оплати за </w:t>
      </w:r>
      <w:proofErr w:type="spellStart"/>
      <w:proofErr w:type="gramStart"/>
      <w:r w:rsidRPr="00E16672">
        <w:rPr>
          <w:rFonts w:ascii="Times New Roman" w:hAnsi="Times New Roman"/>
          <w:szCs w:val="20"/>
        </w:rPr>
        <w:t>операції</w:t>
      </w:r>
      <w:proofErr w:type="spellEnd"/>
      <w:r w:rsidRPr="00E16672">
        <w:rPr>
          <w:rFonts w:ascii="Times New Roman" w:hAnsi="Times New Roman"/>
          <w:szCs w:val="20"/>
        </w:rPr>
        <w:t xml:space="preserve">  у</w:t>
      </w:r>
      <w:proofErr w:type="gramEnd"/>
      <w:r w:rsidRPr="00E16672">
        <w:rPr>
          <w:rFonts w:ascii="Times New Roman" w:hAnsi="Times New Roman"/>
          <w:szCs w:val="20"/>
        </w:rPr>
        <w:t xml:space="preserve"> строки, </w:t>
      </w:r>
      <w:proofErr w:type="spellStart"/>
      <w:r w:rsidRPr="00E16672">
        <w:rPr>
          <w:rFonts w:ascii="Times New Roman" w:hAnsi="Times New Roman"/>
          <w:szCs w:val="20"/>
        </w:rPr>
        <w:t>вказані</w:t>
      </w:r>
      <w:proofErr w:type="spellEnd"/>
      <w:r w:rsidRPr="00E16672">
        <w:rPr>
          <w:rFonts w:ascii="Times New Roman" w:hAnsi="Times New Roman"/>
          <w:szCs w:val="20"/>
        </w:rPr>
        <w:t xml:space="preserve"> в </w:t>
      </w:r>
      <w:proofErr w:type="spellStart"/>
      <w:r w:rsidRPr="00E16672">
        <w:rPr>
          <w:rFonts w:ascii="Times New Roman" w:hAnsi="Times New Roman"/>
          <w:szCs w:val="20"/>
        </w:rPr>
        <w:t>цих</w:t>
      </w:r>
      <w:proofErr w:type="spellEnd"/>
      <w:r w:rsidRPr="00E16672">
        <w:rPr>
          <w:rFonts w:ascii="Times New Roman" w:hAnsi="Times New Roman"/>
          <w:szCs w:val="20"/>
        </w:rPr>
        <w:t xml:space="preserve"> </w:t>
      </w:r>
      <w:proofErr w:type="spellStart"/>
      <w:r w:rsidRPr="00E16672">
        <w:rPr>
          <w:rFonts w:ascii="Times New Roman" w:hAnsi="Times New Roman"/>
          <w:szCs w:val="20"/>
        </w:rPr>
        <w:t>рахунках</w:t>
      </w:r>
      <w:proofErr w:type="spellEnd"/>
      <w:r w:rsidRPr="00E16672">
        <w:rPr>
          <w:rFonts w:ascii="Times New Roman" w:hAnsi="Times New Roman"/>
          <w:szCs w:val="20"/>
        </w:rPr>
        <w:t>;</w:t>
      </w:r>
    </w:p>
    <w:p w14:paraId="591E8871" w14:textId="77777777" w:rsidR="007974E8" w:rsidRPr="00E16672" w:rsidRDefault="007974E8" w:rsidP="007974E8">
      <w:pPr>
        <w:pStyle w:val="ae"/>
        <w:ind w:left="-17" w:firstLine="556"/>
        <w:rPr>
          <w:rFonts w:ascii="Times New Roman" w:hAnsi="Times New Roman"/>
          <w:color w:val="000000"/>
          <w:szCs w:val="20"/>
        </w:rPr>
      </w:pPr>
      <w:r w:rsidRPr="00E16672">
        <w:rPr>
          <w:rFonts w:ascii="Times New Roman" w:hAnsi="Times New Roman"/>
          <w:szCs w:val="20"/>
        </w:rPr>
        <w:t xml:space="preserve">4.3. </w:t>
      </w:r>
      <w:r w:rsidRPr="00E16672">
        <w:rPr>
          <w:rFonts w:ascii="Times New Roman" w:hAnsi="Times New Roman"/>
          <w:color w:val="000000"/>
          <w:szCs w:val="20"/>
        </w:rPr>
        <w:t>Підтвердженням виконання послуг Депозитарної установи є акт виконаних Депозитарною установою операцій, який складається:</w:t>
      </w:r>
    </w:p>
    <w:p w14:paraId="03653457" w14:textId="77777777" w:rsidR="007974E8" w:rsidRPr="00E16672" w:rsidRDefault="007974E8" w:rsidP="00FE185D">
      <w:pPr>
        <w:pStyle w:val="ae"/>
        <w:rPr>
          <w:rFonts w:ascii="Times New Roman" w:hAnsi="Times New Roman"/>
          <w:color w:val="000000"/>
          <w:szCs w:val="20"/>
          <w:lang w:val="ru-RU"/>
        </w:rPr>
      </w:pPr>
      <w:r w:rsidRPr="00E16672">
        <w:rPr>
          <w:rFonts w:ascii="Times New Roman" w:hAnsi="Times New Roman"/>
          <w:color w:val="000000"/>
          <w:szCs w:val="20"/>
        </w:rPr>
        <w:t>-</w:t>
      </w:r>
      <w:r w:rsidRPr="00E16672">
        <w:rPr>
          <w:rFonts w:ascii="Times New Roman" w:hAnsi="Times New Roman"/>
          <w:szCs w:val="20"/>
        </w:rPr>
        <w:t xml:space="preserve"> </w:t>
      </w:r>
      <w:r w:rsidRPr="00E16672">
        <w:rPr>
          <w:rFonts w:ascii="Times New Roman" w:hAnsi="Times New Roman"/>
          <w:color w:val="000000"/>
          <w:szCs w:val="20"/>
        </w:rPr>
        <w:t xml:space="preserve">по виконаним Депозитарною установою адміністративним, обліковим, інформаційним та іншим операціям по рахунку </w:t>
      </w:r>
      <w:r w:rsidR="00C22309" w:rsidRPr="00E16672">
        <w:rPr>
          <w:rFonts w:ascii="Times New Roman" w:hAnsi="Times New Roman"/>
          <w:color w:val="000000"/>
          <w:szCs w:val="20"/>
        </w:rPr>
        <w:t>в цін</w:t>
      </w:r>
      <w:r w:rsidRPr="00E16672">
        <w:rPr>
          <w:rFonts w:ascii="Times New Roman" w:hAnsi="Times New Roman"/>
          <w:color w:val="000000"/>
          <w:szCs w:val="20"/>
        </w:rPr>
        <w:t>них паперах - у день проведення операцій або на останній день місяця (та/або кварталу), в якому їх виконано</w:t>
      </w:r>
      <w:r w:rsidRPr="00E16672">
        <w:rPr>
          <w:rFonts w:ascii="Times New Roman" w:hAnsi="Times New Roman"/>
          <w:color w:val="000000"/>
          <w:szCs w:val="20"/>
          <w:lang w:val="ru-RU"/>
        </w:rPr>
        <w:t>,</w:t>
      </w:r>
      <w:r w:rsidRPr="00E16672">
        <w:rPr>
          <w:rFonts w:ascii="Times New Roman" w:hAnsi="Times New Roman"/>
          <w:color w:val="000000"/>
          <w:szCs w:val="20"/>
        </w:rPr>
        <w:t xml:space="preserve"> підписується Депозитарною установою у двох оригіналах та подається Депоненту для підписання особисто або направляється поштою в адресу Депонента (або іншим способом за домовленістю з Депонентом) протягом не більш як </w:t>
      </w:r>
      <w:r w:rsidRPr="00E16672">
        <w:rPr>
          <w:rFonts w:ascii="Times New Roman" w:hAnsi="Times New Roman"/>
          <w:i/>
          <w:color w:val="000000"/>
          <w:szCs w:val="20"/>
          <w:lang w:val="ru-RU"/>
        </w:rPr>
        <w:t>п’</w:t>
      </w:r>
      <w:r w:rsidRPr="00E16672">
        <w:rPr>
          <w:rFonts w:ascii="Times New Roman" w:hAnsi="Times New Roman"/>
          <w:i/>
          <w:color w:val="000000"/>
          <w:szCs w:val="20"/>
        </w:rPr>
        <w:t>ять</w:t>
      </w:r>
      <w:r w:rsidRPr="00E16672">
        <w:rPr>
          <w:rFonts w:ascii="Times New Roman" w:hAnsi="Times New Roman"/>
          <w:color w:val="000000"/>
          <w:szCs w:val="20"/>
        </w:rPr>
        <w:t xml:space="preserve"> робочих днів з моменту підписання</w:t>
      </w:r>
      <w:r w:rsidRPr="00E16672">
        <w:rPr>
          <w:rFonts w:ascii="Times New Roman" w:hAnsi="Times New Roman"/>
          <w:color w:val="000000"/>
          <w:szCs w:val="20"/>
          <w:lang w:val="ru-RU"/>
        </w:rPr>
        <w:t>;</w:t>
      </w:r>
    </w:p>
    <w:p w14:paraId="5C95A68D" w14:textId="77777777" w:rsidR="007974E8" w:rsidRPr="00E16672" w:rsidRDefault="007974E8" w:rsidP="00FE185D">
      <w:pPr>
        <w:pStyle w:val="ae"/>
        <w:rPr>
          <w:rFonts w:ascii="Times New Roman" w:hAnsi="Times New Roman"/>
          <w:color w:val="000000"/>
          <w:szCs w:val="20"/>
        </w:rPr>
      </w:pPr>
      <w:r w:rsidRPr="00E16672">
        <w:rPr>
          <w:rFonts w:ascii="Times New Roman" w:hAnsi="Times New Roman"/>
          <w:color w:val="000000"/>
          <w:szCs w:val="20"/>
        </w:rPr>
        <w:t xml:space="preserve">- за облік ЦП на рахунку у ЦП - на останній день кварталу, в якому їх виконано підписується Депозитарною установою у двох оригіналах та подається Депоненту для підписання особисто або направляється поштою в адресу Депонента (або іншим способом за домовленістю з Депонентом) протягом не більше </w:t>
      </w:r>
      <w:r w:rsidR="00FE185D">
        <w:rPr>
          <w:rFonts w:ascii="Times New Roman" w:hAnsi="Times New Roman"/>
          <w:color w:val="000000"/>
          <w:szCs w:val="20"/>
        </w:rPr>
        <w:t>20 (</w:t>
      </w:r>
      <w:r w:rsidRPr="00E16672">
        <w:rPr>
          <w:rFonts w:ascii="Times New Roman" w:hAnsi="Times New Roman"/>
          <w:i/>
          <w:color w:val="000000"/>
          <w:szCs w:val="20"/>
        </w:rPr>
        <w:t>двадцяти</w:t>
      </w:r>
      <w:r w:rsidR="00FE185D">
        <w:rPr>
          <w:rFonts w:ascii="Times New Roman" w:hAnsi="Times New Roman"/>
          <w:i/>
          <w:color w:val="000000"/>
          <w:szCs w:val="20"/>
        </w:rPr>
        <w:t xml:space="preserve">) </w:t>
      </w:r>
      <w:r w:rsidRPr="00E16672">
        <w:rPr>
          <w:rFonts w:ascii="Times New Roman" w:hAnsi="Times New Roman"/>
          <w:color w:val="000000"/>
          <w:szCs w:val="20"/>
        </w:rPr>
        <w:t xml:space="preserve"> робочих днів з моменту підписання.</w:t>
      </w:r>
    </w:p>
    <w:p w14:paraId="74234ADB" w14:textId="77777777" w:rsidR="007974E8" w:rsidRPr="00E16672" w:rsidRDefault="007974E8" w:rsidP="007974E8">
      <w:pPr>
        <w:pStyle w:val="310"/>
        <w:ind w:firstLine="567"/>
        <w:rPr>
          <w:rFonts w:ascii="Times New Roman" w:hAnsi="Times New Roman"/>
          <w:color w:val="000000"/>
          <w:sz w:val="20"/>
          <w:szCs w:val="20"/>
        </w:rPr>
      </w:pPr>
      <w:r w:rsidRPr="00E16672">
        <w:rPr>
          <w:rFonts w:ascii="Times New Roman" w:hAnsi="Times New Roman"/>
          <w:color w:val="000000"/>
          <w:sz w:val="20"/>
          <w:szCs w:val="20"/>
        </w:rPr>
        <w:t>Депонент має підписати та повернути Депозитарній установі один оригінал на протязі </w:t>
      </w:r>
      <w:r w:rsidRPr="00E16672">
        <w:rPr>
          <w:rFonts w:ascii="Times New Roman" w:hAnsi="Times New Roman"/>
          <w:i/>
          <w:iCs/>
          <w:color w:val="000000"/>
          <w:sz w:val="20"/>
          <w:szCs w:val="20"/>
          <w:lang w:val="ru-RU"/>
        </w:rPr>
        <w:t>десяти</w:t>
      </w:r>
      <w:r w:rsidRPr="00E16672">
        <w:rPr>
          <w:rFonts w:ascii="Times New Roman" w:hAnsi="Times New Roman"/>
          <w:color w:val="000000"/>
          <w:sz w:val="20"/>
          <w:szCs w:val="20"/>
          <w:lang w:val="ru-RU"/>
        </w:rPr>
        <w:t xml:space="preserve"> </w:t>
      </w:r>
      <w:proofErr w:type="spellStart"/>
      <w:r w:rsidRPr="00E16672">
        <w:rPr>
          <w:rFonts w:ascii="Times New Roman" w:hAnsi="Times New Roman"/>
          <w:color w:val="000000"/>
          <w:sz w:val="20"/>
          <w:szCs w:val="20"/>
          <w:lang w:val="ru-RU"/>
        </w:rPr>
        <w:t>календарних</w:t>
      </w:r>
      <w:proofErr w:type="spellEnd"/>
      <w:r w:rsidRPr="00E16672">
        <w:rPr>
          <w:rFonts w:ascii="Times New Roman" w:hAnsi="Times New Roman"/>
          <w:color w:val="000000"/>
          <w:sz w:val="20"/>
          <w:szCs w:val="20"/>
        </w:rPr>
        <w:t xml:space="preserve"> днів з моменту отримання. У разі неповернення акту послуги вважаються наданими без заперечень.</w:t>
      </w:r>
    </w:p>
    <w:p w14:paraId="08FBB962" w14:textId="77777777" w:rsidR="007974E8" w:rsidRPr="00E16672" w:rsidRDefault="007974E8" w:rsidP="007974E8">
      <w:pPr>
        <w:pStyle w:val="western"/>
        <w:spacing w:before="0" w:after="0"/>
        <w:ind w:firstLine="538"/>
        <w:jc w:val="both"/>
        <w:rPr>
          <w:rFonts w:ascii="Times New Roman" w:hAnsi="Times New Roman"/>
          <w:b w:val="0"/>
          <w:bCs w:val="0"/>
          <w:color w:val="000000"/>
          <w:szCs w:val="20"/>
          <w:lang w:val="uk-UA"/>
        </w:rPr>
      </w:pPr>
      <w:r w:rsidRPr="00E16672">
        <w:rPr>
          <w:rFonts w:ascii="Times New Roman" w:hAnsi="Times New Roman"/>
          <w:b w:val="0"/>
          <w:bCs w:val="0"/>
          <w:color w:val="000000"/>
          <w:szCs w:val="20"/>
        </w:rPr>
        <w:t xml:space="preserve">Акт </w:t>
      </w:r>
      <w:proofErr w:type="spellStart"/>
      <w:r w:rsidRPr="00E16672">
        <w:rPr>
          <w:rFonts w:ascii="Times New Roman" w:hAnsi="Times New Roman"/>
          <w:b w:val="0"/>
          <w:bCs w:val="0"/>
          <w:color w:val="000000"/>
          <w:szCs w:val="20"/>
        </w:rPr>
        <w:t>виконаних</w:t>
      </w:r>
      <w:proofErr w:type="spellEnd"/>
      <w:r w:rsidRPr="00E16672">
        <w:rPr>
          <w:rFonts w:ascii="Times New Roman" w:hAnsi="Times New Roman"/>
          <w:b w:val="0"/>
          <w:bCs w:val="0"/>
          <w:color w:val="000000"/>
          <w:szCs w:val="20"/>
        </w:rPr>
        <w:t xml:space="preserve"> </w:t>
      </w:r>
      <w:proofErr w:type="spellStart"/>
      <w:r w:rsidRPr="00E16672">
        <w:rPr>
          <w:rFonts w:ascii="Times New Roman" w:hAnsi="Times New Roman"/>
          <w:b w:val="0"/>
          <w:bCs w:val="0"/>
          <w:color w:val="000000"/>
          <w:szCs w:val="20"/>
        </w:rPr>
        <w:t>операцій</w:t>
      </w:r>
      <w:proofErr w:type="spellEnd"/>
      <w:r w:rsidRPr="00E16672">
        <w:rPr>
          <w:rFonts w:ascii="Times New Roman" w:hAnsi="Times New Roman"/>
          <w:b w:val="0"/>
          <w:bCs w:val="0"/>
          <w:color w:val="000000"/>
          <w:szCs w:val="20"/>
        </w:rPr>
        <w:t xml:space="preserve"> </w:t>
      </w:r>
      <w:proofErr w:type="spellStart"/>
      <w:r w:rsidRPr="00E16672">
        <w:rPr>
          <w:rFonts w:ascii="Times New Roman" w:hAnsi="Times New Roman"/>
          <w:b w:val="0"/>
          <w:bCs w:val="0"/>
          <w:color w:val="000000"/>
          <w:szCs w:val="20"/>
        </w:rPr>
        <w:t>може</w:t>
      </w:r>
      <w:proofErr w:type="spellEnd"/>
      <w:r w:rsidRPr="00E16672">
        <w:rPr>
          <w:rFonts w:ascii="Times New Roman" w:hAnsi="Times New Roman"/>
          <w:b w:val="0"/>
          <w:bCs w:val="0"/>
          <w:color w:val="000000"/>
          <w:szCs w:val="20"/>
        </w:rPr>
        <w:t xml:space="preserve"> бути </w:t>
      </w:r>
      <w:proofErr w:type="spellStart"/>
      <w:r w:rsidRPr="00E16672">
        <w:rPr>
          <w:rFonts w:ascii="Times New Roman" w:hAnsi="Times New Roman"/>
          <w:b w:val="0"/>
          <w:bCs w:val="0"/>
          <w:color w:val="000000"/>
          <w:szCs w:val="20"/>
        </w:rPr>
        <w:t>підписаний</w:t>
      </w:r>
      <w:proofErr w:type="spellEnd"/>
      <w:r w:rsidRPr="00E16672">
        <w:rPr>
          <w:rFonts w:ascii="Times New Roman" w:hAnsi="Times New Roman"/>
          <w:b w:val="0"/>
          <w:bCs w:val="0"/>
          <w:color w:val="000000"/>
          <w:szCs w:val="20"/>
        </w:rPr>
        <w:t xml:space="preserve"> Депозитарною </w:t>
      </w:r>
      <w:proofErr w:type="spellStart"/>
      <w:r w:rsidRPr="00E16672">
        <w:rPr>
          <w:rFonts w:ascii="Times New Roman" w:hAnsi="Times New Roman"/>
          <w:b w:val="0"/>
          <w:bCs w:val="0"/>
          <w:color w:val="000000"/>
          <w:szCs w:val="20"/>
        </w:rPr>
        <w:t>установою</w:t>
      </w:r>
      <w:proofErr w:type="spellEnd"/>
      <w:r w:rsidRPr="00E16672">
        <w:rPr>
          <w:rFonts w:ascii="Times New Roman" w:hAnsi="Times New Roman"/>
          <w:b w:val="0"/>
          <w:bCs w:val="0"/>
          <w:color w:val="000000"/>
          <w:szCs w:val="20"/>
        </w:rPr>
        <w:t xml:space="preserve"> та Депонентом за </w:t>
      </w:r>
      <w:proofErr w:type="spellStart"/>
      <w:r w:rsidRPr="00E16672">
        <w:rPr>
          <w:rFonts w:ascii="Times New Roman" w:hAnsi="Times New Roman"/>
          <w:b w:val="0"/>
          <w:bCs w:val="0"/>
          <w:color w:val="000000"/>
          <w:szCs w:val="20"/>
        </w:rPr>
        <w:t>допомогою</w:t>
      </w:r>
      <w:proofErr w:type="spellEnd"/>
      <w:r w:rsidRPr="00E16672">
        <w:rPr>
          <w:rFonts w:ascii="Times New Roman" w:hAnsi="Times New Roman"/>
          <w:b w:val="0"/>
          <w:bCs w:val="0"/>
          <w:color w:val="000000"/>
          <w:szCs w:val="20"/>
        </w:rPr>
        <w:t xml:space="preserve"> </w:t>
      </w:r>
      <w:proofErr w:type="spellStart"/>
      <w:r w:rsidR="00AE695D" w:rsidRPr="00E16672">
        <w:rPr>
          <w:rFonts w:ascii="Times New Roman" w:hAnsi="Times New Roman"/>
          <w:b w:val="0"/>
          <w:bCs w:val="0"/>
          <w:color w:val="000000"/>
          <w:szCs w:val="20"/>
        </w:rPr>
        <w:t>кваліфікованого</w:t>
      </w:r>
      <w:proofErr w:type="spellEnd"/>
      <w:r w:rsidR="00AE695D" w:rsidRPr="00E16672">
        <w:rPr>
          <w:rFonts w:ascii="Times New Roman" w:hAnsi="Times New Roman"/>
          <w:b w:val="0"/>
          <w:bCs w:val="0"/>
          <w:color w:val="000000"/>
          <w:szCs w:val="20"/>
        </w:rPr>
        <w:t xml:space="preserve"> </w:t>
      </w:r>
      <w:proofErr w:type="spellStart"/>
      <w:r w:rsidR="00AE695D" w:rsidRPr="00E16672">
        <w:rPr>
          <w:rFonts w:ascii="Times New Roman" w:hAnsi="Times New Roman"/>
          <w:b w:val="0"/>
          <w:bCs w:val="0"/>
          <w:color w:val="000000"/>
          <w:szCs w:val="20"/>
        </w:rPr>
        <w:t>електронного</w:t>
      </w:r>
      <w:proofErr w:type="spellEnd"/>
      <w:r w:rsidR="00AE695D" w:rsidRPr="00E16672">
        <w:rPr>
          <w:rFonts w:ascii="Times New Roman" w:hAnsi="Times New Roman"/>
          <w:b w:val="0"/>
          <w:bCs w:val="0"/>
          <w:color w:val="000000"/>
          <w:szCs w:val="20"/>
        </w:rPr>
        <w:t xml:space="preserve"> </w:t>
      </w:r>
      <w:proofErr w:type="spellStart"/>
      <w:r w:rsidR="00AE695D" w:rsidRPr="00E16672">
        <w:rPr>
          <w:rFonts w:ascii="Times New Roman" w:hAnsi="Times New Roman"/>
          <w:b w:val="0"/>
          <w:bCs w:val="0"/>
          <w:color w:val="000000"/>
          <w:szCs w:val="20"/>
        </w:rPr>
        <w:t>підпису</w:t>
      </w:r>
      <w:proofErr w:type="spellEnd"/>
      <w:r w:rsidRPr="00E16672">
        <w:rPr>
          <w:rFonts w:ascii="Times New Roman" w:hAnsi="Times New Roman"/>
          <w:b w:val="0"/>
          <w:bCs w:val="0"/>
          <w:color w:val="000000"/>
          <w:szCs w:val="20"/>
        </w:rPr>
        <w:t xml:space="preserve">. </w:t>
      </w:r>
      <w:r w:rsidRPr="00E16672">
        <w:rPr>
          <w:rFonts w:ascii="Times New Roman" w:hAnsi="Times New Roman"/>
          <w:b w:val="0"/>
          <w:bCs w:val="0"/>
          <w:color w:val="000000"/>
          <w:szCs w:val="20"/>
          <w:lang w:val="uk-UA"/>
        </w:rPr>
        <w:t xml:space="preserve">Рахунок також може бути підписаний за допомогою </w:t>
      </w:r>
      <w:r w:rsidR="00AE695D" w:rsidRPr="00E16672">
        <w:rPr>
          <w:rFonts w:ascii="Times New Roman" w:hAnsi="Times New Roman"/>
          <w:b w:val="0"/>
          <w:bCs w:val="0"/>
          <w:color w:val="000000"/>
          <w:szCs w:val="20"/>
          <w:lang w:val="uk-UA"/>
        </w:rPr>
        <w:t>кваліфікованого електронного підпису</w:t>
      </w:r>
      <w:r w:rsidRPr="00E16672">
        <w:rPr>
          <w:rFonts w:ascii="Times New Roman" w:hAnsi="Times New Roman"/>
          <w:b w:val="0"/>
          <w:bCs w:val="0"/>
          <w:color w:val="000000"/>
          <w:szCs w:val="20"/>
          <w:lang w:val="uk-UA"/>
        </w:rPr>
        <w:t>.</w:t>
      </w:r>
    </w:p>
    <w:p w14:paraId="3C03A7F6" w14:textId="77777777" w:rsidR="007974E8" w:rsidRPr="00E16672" w:rsidRDefault="007974E8" w:rsidP="007974E8">
      <w:pPr>
        <w:pStyle w:val="western"/>
        <w:spacing w:before="0" w:after="0"/>
        <w:jc w:val="both"/>
        <w:rPr>
          <w:rFonts w:ascii="Times New Roman" w:hAnsi="Times New Roman"/>
          <w:b w:val="0"/>
          <w:color w:val="000000"/>
          <w:szCs w:val="20"/>
          <w:lang w:val="uk-UA"/>
        </w:rPr>
      </w:pPr>
      <w:r w:rsidRPr="00E16672">
        <w:rPr>
          <w:rFonts w:ascii="Times New Roman" w:hAnsi="Times New Roman"/>
          <w:b w:val="0"/>
          <w:color w:val="000000"/>
          <w:szCs w:val="20"/>
          <w:lang w:val="uk-UA"/>
        </w:rPr>
        <w:t xml:space="preserve">4.4. Плата вноситься Депонентом у безготівковій формі шляхом перерахування грошових коштів на рахунок Депозитарної установи за реквізитами, вказаними Депозитарною установою. Операція закриття рахунку </w:t>
      </w:r>
      <w:r w:rsidR="00C22309" w:rsidRPr="00E16672">
        <w:rPr>
          <w:rFonts w:ascii="Times New Roman" w:hAnsi="Times New Roman"/>
          <w:b w:val="0"/>
          <w:color w:val="000000"/>
          <w:szCs w:val="20"/>
          <w:lang w:val="uk-UA"/>
        </w:rPr>
        <w:t>в цін</w:t>
      </w:r>
      <w:r w:rsidRPr="00E16672">
        <w:rPr>
          <w:rFonts w:ascii="Times New Roman" w:hAnsi="Times New Roman"/>
          <w:b w:val="0"/>
          <w:color w:val="000000"/>
          <w:szCs w:val="20"/>
          <w:lang w:val="uk-UA"/>
        </w:rPr>
        <w:t xml:space="preserve">них паперах повинна бути оплачена до виконання цієї послуги.  </w:t>
      </w:r>
    </w:p>
    <w:p w14:paraId="734F6D84" w14:textId="77777777" w:rsidR="007974E8" w:rsidRPr="00E16672" w:rsidRDefault="007974E8" w:rsidP="007974E8">
      <w:pPr>
        <w:numPr>
          <w:ilvl w:val="1"/>
          <w:numId w:val="4"/>
        </w:numPr>
        <w:tabs>
          <w:tab w:val="left" w:pos="0"/>
        </w:tabs>
        <w:ind w:firstLine="567"/>
        <w:rPr>
          <w:rFonts w:ascii="Times New Roman" w:hAnsi="Times New Roman"/>
          <w:color w:val="000000"/>
          <w:szCs w:val="20"/>
          <w:lang w:val="uk-UA"/>
        </w:rPr>
      </w:pPr>
      <w:r w:rsidRPr="00E16672">
        <w:rPr>
          <w:rFonts w:ascii="Times New Roman" w:hAnsi="Times New Roman"/>
          <w:color w:val="000000"/>
          <w:szCs w:val="20"/>
          <w:lang w:val="uk-UA"/>
        </w:rPr>
        <w:lastRenderedPageBreak/>
        <w:t>4.5. У разі припинення дії Договору Депонент зобов’язаний сплатити фактично надані Депозитарною установою послуги до моменту припинення дії Договору.</w:t>
      </w:r>
    </w:p>
    <w:p w14:paraId="49296966" w14:textId="77777777" w:rsidR="007974E8" w:rsidRPr="00E16672" w:rsidRDefault="007974E8" w:rsidP="007974E8">
      <w:pPr>
        <w:rPr>
          <w:rFonts w:ascii="Times New Roman" w:hAnsi="Times New Roman"/>
          <w:color w:val="000000"/>
          <w:szCs w:val="20"/>
          <w:lang w:val="uk-UA"/>
        </w:rPr>
      </w:pPr>
      <w:r w:rsidRPr="00E16672">
        <w:rPr>
          <w:rFonts w:ascii="Times New Roman" w:hAnsi="Times New Roman"/>
          <w:color w:val="000000"/>
          <w:szCs w:val="20"/>
          <w:lang w:val="uk-UA"/>
        </w:rPr>
        <w:t xml:space="preserve">4.6. </w:t>
      </w:r>
      <w:r w:rsidRPr="00E16672">
        <w:rPr>
          <w:rFonts w:ascii="Times New Roman" w:hAnsi="Times New Roman"/>
          <w:color w:val="000000"/>
          <w:szCs w:val="20"/>
        </w:rPr>
        <w:t xml:space="preserve">Оплата за </w:t>
      </w:r>
      <w:proofErr w:type="spellStart"/>
      <w:r w:rsidRPr="00E16672">
        <w:rPr>
          <w:rFonts w:ascii="Times New Roman" w:hAnsi="Times New Roman"/>
          <w:color w:val="000000"/>
          <w:szCs w:val="20"/>
        </w:rPr>
        <w:t>послуги</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надані</w:t>
      </w:r>
      <w:proofErr w:type="spellEnd"/>
      <w:r w:rsidRPr="00E16672">
        <w:rPr>
          <w:rFonts w:ascii="Times New Roman" w:hAnsi="Times New Roman"/>
          <w:color w:val="000000"/>
          <w:szCs w:val="20"/>
        </w:rPr>
        <w:t xml:space="preserve"> </w:t>
      </w:r>
      <w:r w:rsidRPr="00E16672">
        <w:rPr>
          <w:rFonts w:ascii="Times New Roman" w:hAnsi="Times New Roman"/>
          <w:color w:val="000000"/>
          <w:szCs w:val="20"/>
          <w:lang w:val="uk-UA"/>
        </w:rPr>
        <w:t>Депоненту</w:t>
      </w:r>
      <w:r w:rsidRPr="00E16672">
        <w:rPr>
          <w:rFonts w:ascii="Times New Roman" w:hAnsi="Times New Roman"/>
          <w:color w:val="000000"/>
          <w:szCs w:val="20"/>
        </w:rPr>
        <w:t xml:space="preserve"> Депозитарною </w:t>
      </w:r>
      <w:proofErr w:type="spellStart"/>
      <w:r w:rsidRPr="00E16672">
        <w:rPr>
          <w:rFonts w:ascii="Times New Roman" w:hAnsi="Times New Roman"/>
          <w:color w:val="000000"/>
          <w:szCs w:val="20"/>
        </w:rPr>
        <w:t>установою</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може</w:t>
      </w:r>
      <w:proofErr w:type="spellEnd"/>
      <w:r w:rsidRPr="00E16672">
        <w:rPr>
          <w:rFonts w:ascii="Times New Roman" w:hAnsi="Times New Roman"/>
          <w:color w:val="000000"/>
          <w:szCs w:val="20"/>
        </w:rPr>
        <w:t xml:space="preserve"> бути </w:t>
      </w:r>
      <w:proofErr w:type="spellStart"/>
      <w:r w:rsidRPr="00E16672">
        <w:rPr>
          <w:rFonts w:ascii="Times New Roman" w:hAnsi="Times New Roman"/>
          <w:color w:val="000000"/>
          <w:szCs w:val="20"/>
        </w:rPr>
        <w:t>здійснена</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третіми</w:t>
      </w:r>
      <w:proofErr w:type="spellEnd"/>
      <w:r w:rsidRPr="00E16672">
        <w:rPr>
          <w:rFonts w:ascii="Times New Roman" w:hAnsi="Times New Roman"/>
          <w:color w:val="000000"/>
          <w:szCs w:val="20"/>
        </w:rPr>
        <w:t xml:space="preserve"> особами. Оплата </w:t>
      </w:r>
      <w:proofErr w:type="spellStart"/>
      <w:r w:rsidRPr="00E16672">
        <w:rPr>
          <w:rFonts w:ascii="Times New Roman" w:hAnsi="Times New Roman"/>
          <w:color w:val="000000"/>
          <w:szCs w:val="20"/>
        </w:rPr>
        <w:t>здійснюється</w:t>
      </w:r>
      <w:proofErr w:type="spellEnd"/>
      <w:r w:rsidRPr="00E16672">
        <w:rPr>
          <w:rFonts w:ascii="Times New Roman" w:hAnsi="Times New Roman"/>
          <w:color w:val="000000"/>
          <w:szCs w:val="20"/>
        </w:rPr>
        <w:t xml:space="preserve"> на </w:t>
      </w:r>
      <w:proofErr w:type="spellStart"/>
      <w:r w:rsidRPr="00E16672">
        <w:rPr>
          <w:rFonts w:ascii="Times New Roman" w:hAnsi="Times New Roman"/>
          <w:color w:val="000000"/>
          <w:szCs w:val="20"/>
        </w:rPr>
        <w:t>підставі</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рахунків</w:t>
      </w:r>
      <w:proofErr w:type="spellEnd"/>
      <w:r w:rsidRPr="00E16672">
        <w:rPr>
          <w:rFonts w:ascii="Times New Roman" w:hAnsi="Times New Roman"/>
          <w:color w:val="000000"/>
          <w:szCs w:val="20"/>
        </w:rPr>
        <w:t>/</w:t>
      </w:r>
      <w:proofErr w:type="spellStart"/>
      <w:r w:rsidRPr="00E16672">
        <w:rPr>
          <w:rFonts w:ascii="Times New Roman" w:hAnsi="Times New Roman"/>
          <w:color w:val="000000"/>
          <w:szCs w:val="20"/>
        </w:rPr>
        <w:t>актів</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виконаних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робіт</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виставлених</w:t>
      </w:r>
      <w:proofErr w:type="spellEnd"/>
      <w:r w:rsidRPr="00E16672">
        <w:rPr>
          <w:rFonts w:ascii="Times New Roman" w:hAnsi="Times New Roman"/>
          <w:color w:val="000000"/>
          <w:szCs w:val="20"/>
        </w:rPr>
        <w:t xml:space="preserve"> </w:t>
      </w:r>
      <w:r w:rsidRPr="00E16672">
        <w:rPr>
          <w:rFonts w:ascii="Times New Roman" w:hAnsi="Times New Roman"/>
          <w:color w:val="000000"/>
          <w:szCs w:val="20"/>
          <w:lang w:val="uk-UA"/>
        </w:rPr>
        <w:t>Д</w:t>
      </w:r>
      <w:proofErr w:type="spellStart"/>
      <w:r w:rsidRPr="00E16672">
        <w:rPr>
          <w:rFonts w:ascii="Times New Roman" w:hAnsi="Times New Roman"/>
          <w:color w:val="000000"/>
          <w:szCs w:val="20"/>
        </w:rPr>
        <w:t>епоненту</w:t>
      </w:r>
      <w:proofErr w:type="spellEnd"/>
      <w:r w:rsidRPr="00E16672">
        <w:rPr>
          <w:rFonts w:ascii="Times New Roman" w:hAnsi="Times New Roman"/>
          <w:color w:val="000000"/>
          <w:szCs w:val="20"/>
        </w:rPr>
        <w:t xml:space="preserve"> Депозитарною </w:t>
      </w:r>
      <w:proofErr w:type="spellStart"/>
      <w:r w:rsidRPr="00E16672">
        <w:rPr>
          <w:rFonts w:ascii="Times New Roman" w:hAnsi="Times New Roman"/>
          <w:color w:val="000000"/>
          <w:szCs w:val="20"/>
        </w:rPr>
        <w:t>установою</w:t>
      </w:r>
      <w:proofErr w:type="spellEnd"/>
      <w:r w:rsidRPr="00E16672">
        <w:rPr>
          <w:rFonts w:ascii="Times New Roman" w:hAnsi="Times New Roman"/>
          <w:color w:val="000000"/>
          <w:szCs w:val="20"/>
        </w:rPr>
        <w:t xml:space="preserve">. У </w:t>
      </w:r>
      <w:proofErr w:type="spellStart"/>
      <w:r w:rsidRPr="00E16672">
        <w:rPr>
          <w:rFonts w:ascii="Times New Roman" w:hAnsi="Times New Roman"/>
          <w:color w:val="000000"/>
          <w:szCs w:val="20"/>
        </w:rPr>
        <w:t>платіжному</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дорученні</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третьої</w:t>
      </w:r>
      <w:proofErr w:type="spellEnd"/>
      <w:r w:rsidRPr="00E16672">
        <w:rPr>
          <w:rFonts w:ascii="Times New Roman" w:hAnsi="Times New Roman"/>
          <w:color w:val="000000"/>
          <w:szCs w:val="20"/>
        </w:rPr>
        <w:t xml:space="preserve"> особи, яка </w:t>
      </w:r>
      <w:proofErr w:type="spellStart"/>
      <w:r w:rsidRPr="00E16672">
        <w:rPr>
          <w:rFonts w:ascii="Times New Roman" w:hAnsi="Times New Roman"/>
          <w:color w:val="000000"/>
          <w:szCs w:val="20"/>
        </w:rPr>
        <w:t>здійснює</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платіж</w:t>
      </w:r>
      <w:proofErr w:type="spellEnd"/>
      <w:r w:rsidRPr="00E16672">
        <w:rPr>
          <w:rFonts w:ascii="Times New Roman" w:hAnsi="Times New Roman"/>
          <w:color w:val="000000"/>
          <w:szCs w:val="20"/>
        </w:rPr>
        <w:t xml:space="preserve"> на </w:t>
      </w:r>
      <w:proofErr w:type="spellStart"/>
      <w:r w:rsidRPr="00E16672">
        <w:rPr>
          <w:rFonts w:ascii="Times New Roman" w:hAnsi="Times New Roman"/>
          <w:color w:val="000000"/>
          <w:szCs w:val="20"/>
        </w:rPr>
        <w:t>користь</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Депозитарної</w:t>
      </w:r>
      <w:proofErr w:type="spellEnd"/>
      <w:r w:rsidRPr="00E16672">
        <w:rPr>
          <w:rFonts w:ascii="Times New Roman" w:hAnsi="Times New Roman"/>
          <w:color w:val="000000"/>
          <w:szCs w:val="20"/>
        </w:rPr>
        <w:t xml:space="preserve"> установи, </w:t>
      </w:r>
      <w:proofErr w:type="spellStart"/>
      <w:r w:rsidRPr="00E16672">
        <w:rPr>
          <w:rFonts w:ascii="Times New Roman" w:hAnsi="Times New Roman"/>
          <w:color w:val="000000"/>
          <w:szCs w:val="20"/>
        </w:rPr>
        <w:t>має</w:t>
      </w:r>
      <w:proofErr w:type="spellEnd"/>
      <w:r w:rsidRPr="00E16672">
        <w:rPr>
          <w:rFonts w:ascii="Times New Roman" w:hAnsi="Times New Roman"/>
          <w:color w:val="000000"/>
          <w:szCs w:val="20"/>
        </w:rPr>
        <w:t xml:space="preserve"> бути </w:t>
      </w:r>
      <w:proofErr w:type="spellStart"/>
      <w:r w:rsidRPr="00E16672">
        <w:rPr>
          <w:rFonts w:ascii="Times New Roman" w:hAnsi="Times New Roman"/>
          <w:color w:val="000000"/>
          <w:szCs w:val="20"/>
        </w:rPr>
        <w:t>зазначено</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що</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призначенням</w:t>
      </w:r>
      <w:proofErr w:type="spellEnd"/>
      <w:r w:rsidRPr="00E16672">
        <w:rPr>
          <w:rFonts w:ascii="Times New Roman" w:hAnsi="Times New Roman"/>
          <w:color w:val="000000"/>
          <w:szCs w:val="20"/>
        </w:rPr>
        <w:t xml:space="preserve"> платежу є </w:t>
      </w:r>
      <w:proofErr w:type="spellStart"/>
      <w:r w:rsidRPr="00E16672">
        <w:rPr>
          <w:rFonts w:ascii="Times New Roman" w:hAnsi="Times New Roman"/>
          <w:color w:val="000000"/>
          <w:szCs w:val="20"/>
        </w:rPr>
        <w:t>сплата</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коштів</w:t>
      </w:r>
      <w:proofErr w:type="spellEnd"/>
      <w:r w:rsidRPr="00E16672">
        <w:rPr>
          <w:rFonts w:ascii="Times New Roman" w:hAnsi="Times New Roman"/>
          <w:color w:val="000000"/>
          <w:szCs w:val="20"/>
        </w:rPr>
        <w:t xml:space="preserve"> за </w:t>
      </w:r>
      <w:proofErr w:type="spellStart"/>
      <w:r w:rsidRPr="00E16672">
        <w:rPr>
          <w:rFonts w:ascii="Times New Roman" w:hAnsi="Times New Roman"/>
          <w:color w:val="000000"/>
          <w:szCs w:val="20"/>
        </w:rPr>
        <w:t>послуги</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отримані</w:t>
      </w:r>
      <w:proofErr w:type="spellEnd"/>
      <w:r w:rsidRPr="00E16672">
        <w:rPr>
          <w:rFonts w:ascii="Times New Roman" w:hAnsi="Times New Roman"/>
          <w:color w:val="000000"/>
          <w:szCs w:val="20"/>
        </w:rPr>
        <w:t xml:space="preserve"> </w:t>
      </w:r>
      <w:r w:rsidRPr="00E16672">
        <w:rPr>
          <w:rFonts w:ascii="Times New Roman" w:hAnsi="Times New Roman"/>
          <w:color w:val="000000"/>
          <w:szCs w:val="20"/>
          <w:lang w:val="uk-UA"/>
        </w:rPr>
        <w:t>Д</w:t>
      </w:r>
      <w:proofErr w:type="spellStart"/>
      <w:r w:rsidRPr="00E16672">
        <w:rPr>
          <w:rFonts w:ascii="Times New Roman" w:hAnsi="Times New Roman"/>
          <w:color w:val="000000"/>
          <w:szCs w:val="20"/>
        </w:rPr>
        <w:t>епонент</w:t>
      </w:r>
      <w:r w:rsidRPr="00E16672">
        <w:rPr>
          <w:rFonts w:ascii="Times New Roman" w:hAnsi="Times New Roman"/>
          <w:color w:val="000000"/>
          <w:szCs w:val="20"/>
          <w:lang w:val="uk-UA"/>
        </w:rPr>
        <w:t>ом</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Депозитарної</w:t>
      </w:r>
      <w:proofErr w:type="spellEnd"/>
      <w:r w:rsidRPr="00E16672">
        <w:rPr>
          <w:rFonts w:ascii="Times New Roman" w:hAnsi="Times New Roman"/>
          <w:color w:val="000000"/>
          <w:szCs w:val="20"/>
        </w:rPr>
        <w:t xml:space="preserve"> установи, а </w:t>
      </w:r>
      <w:proofErr w:type="spellStart"/>
      <w:r w:rsidRPr="00E16672">
        <w:rPr>
          <w:rFonts w:ascii="Times New Roman" w:hAnsi="Times New Roman"/>
          <w:color w:val="000000"/>
          <w:szCs w:val="20"/>
        </w:rPr>
        <w:t>також</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реквізити</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відповідних</w:t>
      </w:r>
      <w:proofErr w:type="spellEnd"/>
      <w:r w:rsidRPr="00E16672">
        <w:rPr>
          <w:rFonts w:ascii="Times New Roman" w:hAnsi="Times New Roman"/>
          <w:color w:val="000000"/>
          <w:szCs w:val="20"/>
        </w:rPr>
        <w:t xml:space="preserve"> договору з </w:t>
      </w:r>
      <w:r w:rsidRPr="00E16672">
        <w:rPr>
          <w:rFonts w:ascii="Times New Roman" w:hAnsi="Times New Roman"/>
          <w:color w:val="000000"/>
          <w:szCs w:val="20"/>
          <w:lang w:val="uk-UA"/>
        </w:rPr>
        <w:t>Д</w:t>
      </w:r>
      <w:proofErr w:type="spellStart"/>
      <w:r w:rsidRPr="00E16672">
        <w:rPr>
          <w:rFonts w:ascii="Times New Roman" w:hAnsi="Times New Roman"/>
          <w:color w:val="000000"/>
          <w:szCs w:val="20"/>
        </w:rPr>
        <w:t>епонентом</w:t>
      </w:r>
      <w:proofErr w:type="spellEnd"/>
      <w:r w:rsidRPr="00E16672">
        <w:rPr>
          <w:rFonts w:ascii="Times New Roman" w:hAnsi="Times New Roman"/>
          <w:color w:val="000000"/>
          <w:szCs w:val="20"/>
        </w:rPr>
        <w:t xml:space="preserve"> та </w:t>
      </w:r>
      <w:proofErr w:type="spellStart"/>
      <w:r w:rsidRPr="00E16672">
        <w:rPr>
          <w:rFonts w:ascii="Times New Roman" w:hAnsi="Times New Roman"/>
          <w:color w:val="000000"/>
          <w:szCs w:val="20"/>
        </w:rPr>
        <w:t>рахунку</w:t>
      </w:r>
      <w:proofErr w:type="spellEnd"/>
      <w:r w:rsidRPr="00E16672">
        <w:rPr>
          <w:rFonts w:ascii="Times New Roman" w:hAnsi="Times New Roman"/>
          <w:color w:val="000000"/>
          <w:szCs w:val="20"/>
        </w:rPr>
        <w:t xml:space="preserve">/акту </w:t>
      </w:r>
      <w:proofErr w:type="spellStart"/>
      <w:r w:rsidRPr="00E16672">
        <w:rPr>
          <w:rFonts w:ascii="Times New Roman" w:hAnsi="Times New Roman"/>
          <w:color w:val="000000"/>
          <w:szCs w:val="20"/>
        </w:rPr>
        <w:t>виконаних</w:t>
      </w:r>
      <w:proofErr w:type="spellEnd"/>
      <w:r w:rsidRPr="00E16672">
        <w:rPr>
          <w:rFonts w:ascii="Times New Roman" w:hAnsi="Times New Roman"/>
          <w:color w:val="000000"/>
          <w:szCs w:val="20"/>
        </w:rPr>
        <w:t xml:space="preserve"> </w:t>
      </w:r>
      <w:proofErr w:type="spellStart"/>
      <w:r w:rsidRPr="00E16672">
        <w:rPr>
          <w:rFonts w:ascii="Times New Roman" w:hAnsi="Times New Roman"/>
          <w:color w:val="000000"/>
          <w:szCs w:val="20"/>
        </w:rPr>
        <w:t>робіт</w:t>
      </w:r>
      <w:proofErr w:type="spellEnd"/>
      <w:r w:rsidRPr="00E16672">
        <w:rPr>
          <w:rFonts w:ascii="Times New Roman" w:hAnsi="Times New Roman"/>
          <w:color w:val="000000"/>
          <w:szCs w:val="20"/>
        </w:rPr>
        <w:t>.</w:t>
      </w:r>
    </w:p>
    <w:p w14:paraId="54BD3F0D" w14:textId="77777777" w:rsidR="007974E8" w:rsidRPr="00E16672" w:rsidRDefault="007974E8" w:rsidP="007974E8">
      <w:pPr>
        <w:rPr>
          <w:rFonts w:ascii="Times New Roman" w:hAnsi="Times New Roman"/>
          <w:color w:val="000000"/>
          <w:szCs w:val="20"/>
          <w:lang w:val="uk-UA"/>
        </w:rPr>
      </w:pPr>
      <w:r w:rsidRPr="00E16672">
        <w:rPr>
          <w:rFonts w:ascii="Times New Roman" w:hAnsi="Times New Roman"/>
          <w:color w:val="000000"/>
          <w:szCs w:val="20"/>
          <w:lang w:val="uk-UA"/>
        </w:rPr>
        <w:t>4.7. Надання депозитарних послуг Депоненту може бути призупинено Депозитарною установою у разі відсутності належної оплати послуг Депозитарної установи з боку Депонента до повного погашення заборгованості.</w:t>
      </w:r>
    </w:p>
    <w:p w14:paraId="7B28BD1F" w14:textId="77777777" w:rsidR="007974E8" w:rsidRPr="00E16672" w:rsidRDefault="007974E8" w:rsidP="007974E8">
      <w:pPr>
        <w:tabs>
          <w:tab w:val="left" w:pos="0"/>
        </w:tabs>
        <w:rPr>
          <w:rFonts w:ascii="Times New Roman" w:hAnsi="Times New Roman"/>
          <w:color w:val="0000FF"/>
          <w:szCs w:val="20"/>
          <w:lang w:val="uk-UA"/>
        </w:rPr>
      </w:pPr>
    </w:p>
    <w:p w14:paraId="64EC4193" w14:textId="77777777" w:rsidR="007974E8" w:rsidRPr="00E16672" w:rsidRDefault="007974E8" w:rsidP="007974E8">
      <w:pPr>
        <w:jc w:val="center"/>
        <w:rPr>
          <w:rFonts w:ascii="Times New Roman" w:hAnsi="Times New Roman"/>
          <w:b/>
          <w:color w:val="000000"/>
          <w:szCs w:val="20"/>
          <w:lang w:val="uk-UA"/>
        </w:rPr>
      </w:pPr>
      <w:r w:rsidRPr="00E16672">
        <w:rPr>
          <w:rFonts w:ascii="Times New Roman" w:hAnsi="Times New Roman"/>
          <w:b/>
          <w:color w:val="000000"/>
          <w:szCs w:val="20"/>
          <w:lang w:val="uk-UA"/>
        </w:rPr>
        <w:t xml:space="preserve">5. Відповідальність Сторін. </w:t>
      </w:r>
    </w:p>
    <w:p w14:paraId="569C9338" w14:textId="77777777" w:rsidR="007974E8" w:rsidRPr="00E16672" w:rsidRDefault="007974E8" w:rsidP="007974E8">
      <w:pPr>
        <w:ind w:firstLine="570"/>
        <w:jc w:val="center"/>
        <w:rPr>
          <w:rFonts w:ascii="Times New Roman" w:hAnsi="Times New Roman"/>
          <w:b/>
          <w:bCs/>
          <w:color w:val="000000"/>
          <w:szCs w:val="20"/>
          <w:lang w:val="uk-UA"/>
        </w:rPr>
      </w:pPr>
      <w:r w:rsidRPr="00E16672">
        <w:rPr>
          <w:rFonts w:ascii="Times New Roman" w:hAnsi="Times New Roman"/>
          <w:b/>
          <w:bCs/>
          <w:color w:val="000000"/>
          <w:szCs w:val="20"/>
          <w:lang w:val="uk-UA"/>
        </w:rPr>
        <w:t>Порядок розгляду спорів, що можуть виникнути між сторонами в процесі виконання, зміни чи розірвання Договору.</w:t>
      </w:r>
    </w:p>
    <w:p w14:paraId="4FC8BDFC" w14:textId="77777777" w:rsidR="007974E8" w:rsidRPr="00E16672" w:rsidRDefault="007974E8" w:rsidP="007974E8">
      <w:pPr>
        <w:ind w:firstLine="570"/>
        <w:rPr>
          <w:rFonts w:ascii="Times New Roman" w:hAnsi="Times New Roman"/>
          <w:color w:val="000000"/>
          <w:szCs w:val="20"/>
          <w:lang w:val="uk-UA"/>
        </w:rPr>
      </w:pPr>
      <w:r w:rsidRPr="00E16672">
        <w:rPr>
          <w:rFonts w:ascii="Times New Roman" w:hAnsi="Times New Roman"/>
          <w:color w:val="000000"/>
          <w:szCs w:val="20"/>
          <w:lang w:val="uk-UA"/>
        </w:rPr>
        <w:t>5.1. Кожна сторона зобов’язується виконувати свої обов’язки належним чином та сприяти іншій стороні у виконанні.</w:t>
      </w:r>
    </w:p>
    <w:p w14:paraId="632D42F0" w14:textId="77777777" w:rsidR="007974E8" w:rsidRPr="00E16672" w:rsidRDefault="007974E8" w:rsidP="007974E8">
      <w:pPr>
        <w:ind w:firstLine="570"/>
        <w:rPr>
          <w:rFonts w:ascii="Times New Roman" w:hAnsi="Times New Roman"/>
          <w:color w:val="000000"/>
          <w:szCs w:val="20"/>
          <w:lang w:val="uk-UA"/>
        </w:rPr>
      </w:pPr>
      <w:r w:rsidRPr="00E16672">
        <w:rPr>
          <w:rFonts w:ascii="Times New Roman" w:hAnsi="Times New Roman"/>
          <w:color w:val="000000"/>
          <w:szCs w:val="20"/>
          <w:lang w:val="uk-UA"/>
        </w:rPr>
        <w:t xml:space="preserve">5.2. Обмін розпорядженнями, повідомленнями, інформацією, що надається у зв’язку з виконанням Сторонами Договору може </w:t>
      </w:r>
      <w:proofErr w:type="spellStart"/>
      <w:r w:rsidRPr="00E16672">
        <w:rPr>
          <w:rFonts w:ascii="Times New Roman" w:hAnsi="Times New Roman"/>
          <w:color w:val="000000"/>
          <w:szCs w:val="20"/>
          <w:lang w:val="uk-UA"/>
        </w:rPr>
        <w:t>здійснюватись</w:t>
      </w:r>
      <w:proofErr w:type="spellEnd"/>
      <w:r w:rsidRPr="00E16672">
        <w:rPr>
          <w:rFonts w:ascii="Times New Roman" w:hAnsi="Times New Roman"/>
          <w:color w:val="000000"/>
          <w:szCs w:val="20"/>
          <w:lang w:val="uk-UA"/>
        </w:rPr>
        <w:t xml:space="preserve"> особисто, засобами поштового зв’язку, кур’єром, у формі S.W.I.F.T. – повідомлень, у формі електронних документів. </w:t>
      </w:r>
    </w:p>
    <w:p w14:paraId="5A6DDB96" w14:textId="77777777" w:rsidR="007974E8" w:rsidRPr="00E16672" w:rsidRDefault="007974E8" w:rsidP="007974E8">
      <w:pPr>
        <w:ind w:firstLine="570"/>
        <w:rPr>
          <w:rFonts w:ascii="Times New Roman" w:hAnsi="Times New Roman"/>
          <w:color w:val="000000"/>
          <w:szCs w:val="20"/>
          <w:lang w:val="uk-UA"/>
        </w:rPr>
      </w:pPr>
      <w:r w:rsidRPr="00E16672">
        <w:rPr>
          <w:rFonts w:ascii="Times New Roman" w:hAnsi="Times New Roman"/>
          <w:color w:val="000000"/>
          <w:szCs w:val="20"/>
          <w:lang w:val="uk-UA"/>
        </w:rPr>
        <w:t xml:space="preserve">5.3. Сторони </w:t>
      </w:r>
      <w:r w:rsidR="007B5C69" w:rsidRPr="00E16672">
        <w:rPr>
          <w:rFonts w:ascii="Times New Roman" w:hAnsi="Times New Roman"/>
          <w:szCs w:val="20"/>
          <w:lang w:val="uk-UA"/>
        </w:rPr>
        <w:t>підтверджують</w:t>
      </w:r>
      <w:r w:rsidRPr="00E16672">
        <w:rPr>
          <w:rFonts w:ascii="Times New Roman" w:hAnsi="Times New Roman"/>
          <w:color w:val="000000"/>
          <w:szCs w:val="20"/>
          <w:lang w:val="uk-UA"/>
        </w:rPr>
        <w:t xml:space="preserve"> достовірність підписів на розпорядженнях Депонента способом, визначеним у розділі 3 цього Договору.</w:t>
      </w:r>
    </w:p>
    <w:p w14:paraId="438DE0A2" w14:textId="77777777" w:rsidR="007974E8" w:rsidRPr="00E16672" w:rsidRDefault="007974E8" w:rsidP="007974E8">
      <w:pPr>
        <w:ind w:firstLine="570"/>
        <w:rPr>
          <w:rFonts w:ascii="Times New Roman" w:hAnsi="Times New Roman"/>
          <w:color w:val="000000"/>
          <w:szCs w:val="20"/>
          <w:lang w:val="uk-UA"/>
        </w:rPr>
      </w:pPr>
      <w:r w:rsidRPr="00E16672">
        <w:rPr>
          <w:rFonts w:ascii="Times New Roman" w:hAnsi="Times New Roman"/>
          <w:color w:val="000000"/>
          <w:szCs w:val="20"/>
          <w:lang w:val="uk-UA"/>
        </w:rPr>
        <w:t xml:space="preserve">5.4. Сторони несуть  відповідальність за невиконання або неналежне виконання своїх зобов’язань за цим Договором відповідно до законодавства, у тому числі нормативно-правових актів </w:t>
      </w:r>
      <w:r w:rsidRPr="00E16672">
        <w:rPr>
          <w:rFonts w:ascii="Times New Roman" w:hAnsi="Times New Roman"/>
          <w:color w:val="000000"/>
          <w:szCs w:val="20"/>
        </w:rPr>
        <w:t>НКЦПФР</w:t>
      </w:r>
      <w:r w:rsidRPr="00E16672">
        <w:rPr>
          <w:rFonts w:ascii="Times New Roman" w:hAnsi="Times New Roman"/>
          <w:color w:val="000000"/>
          <w:szCs w:val="20"/>
          <w:lang w:val="uk-UA"/>
        </w:rPr>
        <w:t>.</w:t>
      </w:r>
    </w:p>
    <w:p w14:paraId="34EF8A35" w14:textId="77777777" w:rsidR="007974E8" w:rsidRPr="00E16672" w:rsidRDefault="007974E8" w:rsidP="007974E8">
      <w:pPr>
        <w:ind w:firstLine="570"/>
        <w:rPr>
          <w:rFonts w:ascii="Times New Roman" w:hAnsi="Times New Roman"/>
          <w:color w:val="000000"/>
          <w:szCs w:val="20"/>
          <w:lang w:val="uk-UA"/>
        </w:rPr>
      </w:pPr>
      <w:r w:rsidRPr="00E16672">
        <w:rPr>
          <w:rFonts w:ascii="Times New Roman" w:hAnsi="Times New Roman"/>
          <w:color w:val="000000"/>
          <w:szCs w:val="20"/>
          <w:lang w:val="uk-UA"/>
        </w:rPr>
        <w:t>5.5. Сторона, яка порушила зобов’язання відповідно до цього Договору, повинна усунути ці порушення в найкоротший строк.</w:t>
      </w:r>
    </w:p>
    <w:p w14:paraId="6495E78C" w14:textId="77777777" w:rsidR="007974E8" w:rsidRPr="00E16672" w:rsidRDefault="007974E8" w:rsidP="007974E8">
      <w:pPr>
        <w:ind w:firstLine="570"/>
        <w:rPr>
          <w:rFonts w:ascii="Times New Roman" w:hAnsi="Times New Roman"/>
          <w:color w:val="000000"/>
          <w:szCs w:val="20"/>
          <w:lang w:val="uk-UA"/>
        </w:rPr>
      </w:pPr>
      <w:r w:rsidRPr="00E16672">
        <w:rPr>
          <w:rFonts w:ascii="Times New Roman" w:hAnsi="Times New Roman"/>
          <w:color w:val="000000"/>
          <w:szCs w:val="20"/>
          <w:lang w:val="uk-UA"/>
        </w:rPr>
        <w:t xml:space="preserve"> 5.6. Депозитарна установа несе </w:t>
      </w:r>
      <w:proofErr w:type="spellStart"/>
      <w:r w:rsidRPr="00E16672">
        <w:rPr>
          <w:rFonts w:ascii="Times New Roman" w:hAnsi="Times New Roman"/>
          <w:color w:val="000000"/>
          <w:szCs w:val="20"/>
          <w:lang w:val="uk-UA"/>
        </w:rPr>
        <w:t>вiдповiдальнiсть</w:t>
      </w:r>
      <w:proofErr w:type="spellEnd"/>
      <w:r w:rsidRPr="00E16672">
        <w:rPr>
          <w:rFonts w:ascii="Times New Roman" w:hAnsi="Times New Roman"/>
          <w:color w:val="000000"/>
          <w:szCs w:val="20"/>
          <w:lang w:val="uk-UA"/>
        </w:rPr>
        <w:t>:</w:t>
      </w:r>
    </w:p>
    <w:p w14:paraId="65E0CCF5" w14:textId="77777777" w:rsidR="007974E8" w:rsidRPr="00E16672" w:rsidRDefault="007974E8" w:rsidP="007974E8">
      <w:pPr>
        <w:rPr>
          <w:rFonts w:ascii="Times New Roman" w:hAnsi="Times New Roman"/>
          <w:color w:val="000000"/>
          <w:szCs w:val="20"/>
          <w:lang w:val="uk-UA"/>
        </w:rPr>
      </w:pPr>
      <w:r w:rsidRPr="00E16672">
        <w:rPr>
          <w:rFonts w:ascii="Times New Roman" w:hAnsi="Times New Roman"/>
          <w:color w:val="000000"/>
          <w:szCs w:val="20"/>
          <w:lang w:val="uk-UA"/>
        </w:rPr>
        <w:t xml:space="preserve">- </w:t>
      </w:r>
      <w:r w:rsidR="00FE185D">
        <w:rPr>
          <w:rFonts w:ascii="Times New Roman" w:hAnsi="Times New Roman"/>
          <w:color w:val="000000"/>
          <w:szCs w:val="20"/>
          <w:lang w:val="uk-UA"/>
        </w:rPr>
        <w:t xml:space="preserve"> </w:t>
      </w:r>
      <w:r w:rsidRPr="00E16672">
        <w:rPr>
          <w:rFonts w:ascii="Times New Roman" w:hAnsi="Times New Roman"/>
          <w:color w:val="000000"/>
          <w:szCs w:val="20"/>
          <w:lang w:val="uk-UA"/>
        </w:rPr>
        <w:t xml:space="preserve">за забезпечення режиму конфіденційності щодо Депонента та належних </w:t>
      </w:r>
      <w:proofErr w:type="spellStart"/>
      <w:r w:rsidRPr="00E16672">
        <w:rPr>
          <w:rFonts w:ascii="Times New Roman" w:hAnsi="Times New Roman"/>
          <w:color w:val="000000"/>
          <w:szCs w:val="20"/>
          <w:lang w:val="uk-UA"/>
        </w:rPr>
        <w:t>йом</w:t>
      </w:r>
      <w:r w:rsidR="00C22309" w:rsidRPr="00E16672">
        <w:rPr>
          <w:rFonts w:ascii="Times New Roman" w:hAnsi="Times New Roman"/>
          <w:color w:val="000000"/>
          <w:szCs w:val="20"/>
          <w:lang w:val="uk-UA"/>
        </w:rPr>
        <w:t>в</w:t>
      </w:r>
      <w:proofErr w:type="spellEnd"/>
      <w:r w:rsidR="00C22309" w:rsidRPr="00E16672">
        <w:rPr>
          <w:rFonts w:ascii="Times New Roman" w:hAnsi="Times New Roman"/>
          <w:color w:val="000000"/>
          <w:szCs w:val="20"/>
          <w:lang w:val="uk-UA"/>
        </w:rPr>
        <w:t xml:space="preserve"> цін</w:t>
      </w:r>
      <w:r w:rsidRPr="00E16672">
        <w:rPr>
          <w:rFonts w:ascii="Times New Roman" w:hAnsi="Times New Roman"/>
          <w:color w:val="000000"/>
          <w:szCs w:val="20"/>
          <w:lang w:val="uk-UA"/>
        </w:rPr>
        <w:t>них паперів;</w:t>
      </w:r>
    </w:p>
    <w:p w14:paraId="7C23D0CE" w14:textId="77777777" w:rsidR="007974E8" w:rsidRPr="00E16672" w:rsidRDefault="007974E8" w:rsidP="007974E8">
      <w:pPr>
        <w:rPr>
          <w:rFonts w:ascii="Times New Roman" w:hAnsi="Times New Roman"/>
          <w:color w:val="000000"/>
          <w:szCs w:val="20"/>
          <w:lang w:val="uk-UA"/>
        </w:rPr>
      </w:pPr>
      <w:r w:rsidRPr="00E16672">
        <w:rPr>
          <w:rFonts w:ascii="Times New Roman" w:hAnsi="Times New Roman"/>
          <w:color w:val="000000"/>
          <w:szCs w:val="20"/>
          <w:lang w:val="uk-UA"/>
        </w:rPr>
        <w:t xml:space="preserve">- </w:t>
      </w:r>
      <w:r w:rsidR="00FE185D">
        <w:rPr>
          <w:rFonts w:ascii="Times New Roman" w:hAnsi="Times New Roman"/>
          <w:color w:val="000000"/>
          <w:szCs w:val="20"/>
          <w:lang w:val="uk-UA"/>
        </w:rPr>
        <w:t xml:space="preserve"> </w:t>
      </w:r>
      <w:r w:rsidRPr="00E16672">
        <w:rPr>
          <w:rFonts w:ascii="Times New Roman" w:hAnsi="Times New Roman"/>
          <w:color w:val="000000"/>
          <w:szCs w:val="20"/>
          <w:lang w:val="uk-UA"/>
        </w:rPr>
        <w:t>за підтвердження достовірності підписів Депонента на їх розпорядженнях;</w:t>
      </w:r>
    </w:p>
    <w:p w14:paraId="050E6E11" w14:textId="77777777" w:rsidR="007974E8" w:rsidRPr="00E16672" w:rsidRDefault="007974E8" w:rsidP="007974E8">
      <w:pPr>
        <w:rPr>
          <w:rFonts w:ascii="Times New Roman" w:hAnsi="Times New Roman"/>
          <w:color w:val="000000"/>
          <w:szCs w:val="20"/>
          <w:lang w:val="uk-UA"/>
        </w:rPr>
      </w:pPr>
      <w:r w:rsidRPr="00E16672">
        <w:rPr>
          <w:rFonts w:ascii="Times New Roman" w:hAnsi="Times New Roman"/>
          <w:color w:val="000000"/>
          <w:szCs w:val="20"/>
          <w:lang w:val="uk-UA"/>
        </w:rPr>
        <w:t>- за перевірку розпорядження на правильність складання та інші перевірки, передбачені чинним законодавством України та внутрішніми документами Депозитарної установи;</w:t>
      </w:r>
    </w:p>
    <w:p w14:paraId="15A14623" w14:textId="77777777" w:rsidR="007974E8" w:rsidRPr="00E16672" w:rsidRDefault="007974E8" w:rsidP="007974E8">
      <w:pPr>
        <w:rPr>
          <w:rFonts w:ascii="Times New Roman" w:hAnsi="Times New Roman"/>
          <w:color w:val="000000"/>
          <w:szCs w:val="20"/>
          <w:lang w:val="uk-UA"/>
        </w:rPr>
      </w:pPr>
      <w:r w:rsidRPr="00E16672">
        <w:rPr>
          <w:rFonts w:ascii="Times New Roman" w:hAnsi="Times New Roman"/>
          <w:color w:val="000000"/>
          <w:szCs w:val="20"/>
          <w:lang w:val="uk-UA"/>
        </w:rPr>
        <w:t xml:space="preserve">- за </w:t>
      </w:r>
      <w:proofErr w:type="spellStart"/>
      <w:r w:rsidRPr="00E16672">
        <w:rPr>
          <w:rFonts w:ascii="Times New Roman" w:hAnsi="Times New Roman"/>
          <w:color w:val="000000"/>
          <w:szCs w:val="20"/>
        </w:rPr>
        <w:t>правильне</w:t>
      </w:r>
      <w:proofErr w:type="spellEnd"/>
      <w:r w:rsidRPr="00E16672">
        <w:rPr>
          <w:rFonts w:ascii="Times New Roman" w:hAnsi="Times New Roman"/>
          <w:color w:val="000000"/>
          <w:szCs w:val="20"/>
          <w:lang w:val="uk-UA"/>
        </w:rPr>
        <w:t xml:space="preserve"> виконання розпоряджень Депонента, які не суперечать вимогам чинного законодавства України;</w:t>
      </w:r>
    </w:p>
    <w:p w14:paraId="670C7CE3" w14:textId="77777777" w:rsidR="007974E8" w:rsidRPr="00E16672" w:rsidRDefault="007974E8" w:rsidP="007974E8">
      <w:pPr>
        <w:rPr>
          <w:rFonts w:ascii="Times New Roman" w:hAnsi="Times New Roman"/>
          <w:color w:val="000000"/>
          <w:szCs w:val="20"/>
          <w:lang w:val="uk-UA"/>
        </w:rPr>
      </w:pPr>
      <w:r w:rsidRPr="00E16672">
        <w:rPr>
          <w:rFonts w:ascii="Times New Roman" w:hAnsi="Times New Roman"/>
          <w:color w:val="000000"/>
          <w:szCs w:val="20"/>
          <w:lang w:val="uk-UA"/>
        </w:rPr>
        <w:t xml:space="preserve">- за дотримання правил обліку при виконанні своїх обов’язків, за </w:t>
      </w:r>
      <w:proofErr w:type="spellStart"/>
      <w:r w:rsidRPr="00E16672">
        <w:rPr>
          <w:rFonts w:ascii="Times New Roman" w:hAnsi="Times New Roman"/>
          <w:color w:val="000000"/>
          <w:szCs w:val="20"/>
        </w:rPr>
        <w:t>правильність</w:t>
      </w:r>
      <w:proofErr w:type="spellEnd"/>
      <w:r w:rsidRPr="00E16672">
        <w:rPr>
          <w:rFonts w:ascii="Times New Roman" w:hAnsi="Times New Roman"/>
          <w:color w:val="000000"/>
          <w:szCs w:val="20"/>
          <w:lang w:val="uk-UA"/>
        </w:rPr>
        <w:t xml:space="preserve"> ведення записів по рахунку </w:t>
      </w:r>
      <w:r w:rsidR="00C22309" w:rsidRPr="00E16672">
        <w:rPr>
          <w:rFonts w:ascii="Times New Roman" w:hAnsi="Times New Roman"/>
          <w:color w:val="000000"/>
          <w:szCs w:val="20"/>
          <w:lang w:val="uk-UA"/>
        </w:rPr>
        <w:t>в цін</w:t>
      </w:r>
      <w:r w:rsidRPr="00E16672">
        <w:rPr>
          <w:rFonts w:ascii="Times New Roman" w:hAnsi="Times New Roman"/>
          <w:color w:val="000000"/>
          <w:szCs w:val="20"/>
          <w:lang w:val="uk-UA"/>
        </w:rPr>
        <w:t>них паперах;</w:t>
      </w:r>
    </w:p>
    <w:p w14:paraId="651FF7F0" w14:textId="77777777" w:rsidR="007974E8" w:rsidRPr="00E16672" w:rsidRDefault="007974E8" w:rsidP="007974E8">
      <w:pPr>
        <w:rPr>
          <w:rFonts w:ascii="Times New Roman" w:hAnsi="Times New Roman"/>
          <w:color w:val="000000"/>
          <w:szCs w:val="20"/>
          <w:lang w:val="uk-UA"/>
        </w:rPr>
      </w:pPr>
      <w:r w:rsidRPr="00E16672">
        <w:rPr>
          <w:rFonts w:ascii="Times New Roman" w:hAnsi="Times New Roman"/>
          <w:color w:val="000000"/>
          <w:szCs w:val="20"/>
          <w:lang w:val="uk-UA"/>
        </w:rPr>
        <w:t>-</w:t>
      </w:r>
      <w:r w:rsidR="00FE185D">
        <w:rPr>
          <w:rFonts w:ascii="Times New Roman" w:hAnsi="Times New Roman"/>
          <w:color w:val="000000"/>
          <w:szCs w:val="20"/>
          <w:lang w:val="uk-UA"/>
        </w:rPr>
        <w:t xml:space="preserve"> </w:t>
      </w:r>
      <w:r w:rsidRPr="00E16672">
        <w:rPr>
          <w:rFonts w:ascii="Times New Roman" w:hAnsi="Times New Roman"/>
          <w:color w:val="000000"/>
          <w:szCs w:val="20"/>
          <w:lang w:val="uk-UA"/>
        </w:rPr>
        <w:t xml:space="preserve">за зберігання цінних паперів Депонента, що обліковуються у Депозитарній установі на рахунку </w:t>
      </w:r>
      <w:r w:rsidR="00C22309" w:rsidRPr="00E16672">
        <w:rPr>
          <w:rFonts w:ascii="Times New Roman" w:hAnsi="Times New Roman"/>
          <w:color w:val="000000"/>
          <w:szCs w:val="20"/>
          <w:lang w:val="uk-UA"/>
        </w:rPr>
        <w:t>в цін</w:t>
      </w:r>
      <w:r w:rsidRPr="00E16672">
        <w:rPr>
          <w:rFonts w:ascii="Times New Roman" w:hAnsi="Times New Roman"/>
          <w:color w:val="000000"/>
          <w:szCs w:val="20"/>
          <w:lang w:val="uk-UA"/>
        </w:rPr>
        <w:t>них паперах Депонента.</w:t>
      </w:r>
    </w:p>
    <w:p w14:paraId="1677AC79" w14:textId="77777777" w:rsidR="007974E8" w:rsidRPr="00E16672" w:rsidRDefault="007974E8" w:rsidP="007974E8">
      <w:pPr>
        <w:ind w:firstLine="570"/>
        <w:rPr>
          <w:rFonts w:ascii="Times New Roman" w:hAnsi="Times New Roman"/>
          <w:color w:val="000000"/>
          <w:szCs w:val="20"/>
          <w:lang w:val="uk-UA"/>
        </w:rPr>
      </w:pPr>
      <w:r w:rsidRPr="00E16672">
        <w:rPr>
          <w:rFonts w:ascii="Times New Roman" w:hAnsi="Times New Roman"/>
          <w:color w:val="000000"/>
          <w:szCs w:val="20"/>
          <w:lang w:val="uk-UA"/>
        </w:rPr>
        <w:t xml:space="preserve">5.7. Депозитарна установа не несе відповідальності перед Депонентом за шкоду, заподіяну діями або бездіяльністю Депозитарної установи, якщо ці дії (бездіяльність) здійснювались Депозитарною установою за письмовими розпорядженнями Депонента, виникли внаслідок дій (бездіяльності) інших учасників депозитарної системи. </w:t>
      </w:r>
    </w:p>
    <w:p w14:paraId="08206238" w14:textId="77777777" w:rsidR="007974E8" w:rsidRPr="00E16672" w:rsidRDefault="007974E8" w:rsidP="007974E8">
      <w:pPr>
        <w:ind w:firstLine="555"/>
        <w:rPr>
          <w:rFonts w:ascii="Times New Roman" w:hAnsi="Times New Roman"/>
          <w:color w:val="000000"/>
          <w:szCs w:val="20"/>
          <w:lang w:val="uk-UA"/>
        </w:rPr>
      </w:pPr>
      <w:r w:rsidRPr="00E16672">
        <w:rPr>
          <w:rFonts w:ascii="Times New Roman" w:hAnsi="Times New Roman"/>
          <w:color w:val="000000"/>
          <w:szCs w:val="20"/>
          <w:lang w:val="uk-UA"/>
        </w:rPr>
        <w:t xml:space="preserve">5.8. Депонент несе </w:t>
      </w:r>
      <w:proofErr w:type="spellStart"/>
      <w:r w:rsidRPr="00E16672">
        <w:rPr>
          <w:rFonts w:ascii="Times New Roman" w:hAnsi="Times New Roman"/>
          <w:color w:val="000000"/>
          <w:szCs w:val="20"/>
          <w:lang w:val="uk-UA"/>
        </w:rPr>
        <w:t>вiдповiдальнiсть</w:t>
      </w:r>
      <w:proofErr w:type="spellEnd"/>
      <w:r w:rsidRPr="00E16672">
        <w:rPr>
          <w:rFonts w:ascii="Times New Roman" w:hAnsi="Times New Roman"/>
          <w:color w:val="000000"/>
          <w:szCs w:val="20"/>
          <w:lang w:val="uk-UA"/>
        </w:rPr>
        <w:t xml:space="preserve"> за власні дії, за всі дії його уповноважених осіб та розпорядників рахунків, а також за наслідки виданих ним розпоряджень. </w:t>
      </w:r>
    </w:p>
    <w:p w14:paraId="5D64C407" w14:textId="77777777" w:rsidR="007974E8" w:rsidRPr="00E16672" w:rsidRDefault="007974E8" w:rsidP="007974E8">
      <w:pPr>
        <w:ind w:firstLine="555"/>
        <w:rPr>
          <w:rFonts w:ascii="Times New Roman" w:hAnsi="Times New Roman"/>
          <w:szCs w:val="20"/>
          <w:lang w:val="uk-UA"/>
        </w:rPr>
      </w:pPr>
      <w:r w:rsidRPr="00E16672">
        <w:rPr>
          <w:rFonts w:ascii="Times New Roman" w:hAnsi="Times New Roman"/>
          <w:color w:val="000000"/>
          <w:szCs w:val="20"/>
          <w:lang w:val="uk-UA"/>
        </w:rPr>
        <w:t xml:space="preserve">5.9. Депозитарна установа має право за порушення термінів оплаті нарахувати та стягнути з іншої Сторони пеню у розмірі </w:t>
      </w:r>
      <w:r w:rsidRPr="00E16672">
        <w:rPr>
          <w:rFonts w:ascii="Times New Roman" w:hAnsi="Times New Roman"/>
          <w:i/>
          <w:iCs/>
          <w:color w:val="000000"/>
          <w:szCs w:val="20"/>
          <w:lang w:val="uk-UA"/>
        </w:rPr>
        <w:t>подвійної облікової ставки</w:t>
      </w:r>
      <w:r w:rsidRPr="00E16672">
        <w:rPr>
          <w:rFonts w:ascii="Times New Roman" w:hAnsi="Times New Roman"/>
          <w:color w:val="000000"/>
          <w:szCs w:val="20"/>
          <w:lang w:val="uk-UA"/>
        </w:rPr>
        <w:t xml:space="preserve"> Національного банку України, що діяла у період за який нараховується пеня,</w:t>
      </w:r>
      <w:r w:rsidRPr="00E16672">
        <w:rPr>
          <w:rFonts w:ascii="Times New Roman" w:hAnsi="Times New Roman"/>
          <w:color w:val="000000"/>
          <w:szCs w:val="20"/>
          <w:lang w:eastAsia="hi-IN" w:bidi="hi-IN"/>
        </w:rPr>
        <w:t xml:space="preserve"> </w:t>
      </w:r>
      <w:proofErr w:type="spellStart"/>
      <w:r w:rsidRPr="00E16672">
        <w:rPr>
          <w:rFonts w:ascii="Times New Roman" w:hAnsi="Times New Roman"/>
          <w:color w:val="000000"/>
          <w:szCs w:val="20"/>
          <w:lang w:eastAsia="hi-IN" w:bidi="hi-IN"/>
        </w:rPr>
        <w:t>від</w:t>
      </w:r>
      <w:proofErr w:type="spellEnd"/>
      <w:r w:rsidRPr="00E16672">
        <w:rPr>
          <w:rFonts w:ascii="Times New Roman" w:hAnsi="Times New Roman"/>
          <w:color w:val="000000"/>
          <w:szCs w:val="20"/>
          <w:lang w:eastAsia="hi-IN" w:bidi="hi-IN"/>
        </w:rPr>
        <w:t xml:space="preserve"> </w:t>
      </w:r>
      <w:proofErr w:type="spellStart"/>
      <w:r w:rsidRPr="00E16672">
        <w:rPr>
          <w:rFonts w:ascii="Times New Roman" w:hAnsi="Times New Roman"/>
          <w:color w:val="000000"/>
          <w:szCs w:val="20"/>
          <w:lang w:eastAsia="hi-IN" w:bidi="hi-IN"/>
        </w:rPr>
        <w:t>суми</w:t>
      </w:r>
      <w:proofErr w:type="spellEnd"/>
      <w:r w:rsidRPr="00E16672">
        <w:rPr>
          <w:rFonts w:ascii="Times New Roman" w:hAnsi="Times New Roman"/>
          <w:color w:val="000000"/>
          <w:szCs w:val="20"/>
          <w:lang w:eastAsia="hi-IN" w:bidi="hi-IN"/>
        </w:rPr>
        <w:t xml:space="preserve"> </w:t>
      </w:r>
      <w:proofErr w:type="spellStart"/>
      <w:r w:rsidRPr="00E16672">
        <w:rPr>
          <w:rFonts w:ascii="Times New Roman" w:hAnsi="Times New Roman"/>
          <w:color w:val="000000"/>
          <w:szCs w:val="20"/>
          <w:lang w:eastAsia="hi-IN" w:bidi="hi-IN"/>
        </w:rPr>
        <w:t>простроченого</w:t>
      </w:r>
      <w:proofErr w:type="spellEnd"/>
      <w:r w:rsidRPr="00E16672">
        <w:rPr>
          <w:rFonts w:ascii="Times New Roman" w:hAnsi="Times New Roman"/>
          <w:color w:val="000000"/>
          <w:szCs w:val="20"/>
          <w:lang w:eastAsia="hi-IN" w:bidi="hi-IN"/>
        </w:rPr>
        <w:t xml:space="preserve"> платежу за </w:t>
      </w:r>
      <w:proofErr w:type="spellStart"/>
      <w:r w:rsidRPr="00E16672">
        <w:rPr>
          <w:rFonts w:ascii="Times New Roman" w:hAnsi="Times New Roman"/>
          <w:color w:val="000000"/>
          <w:szCs w:val="20"/>
          <w:lang w:eastAsia="hi-IN" w:bidi="hi-IN"/>
        </w:rPr>
        <w:t>кожен</w:t>
      </w:r>
      <w:proofErr w:type="spellEnd"/>
      <w:r w:rsidRPr="00E16672">
        <w:rPr>
          <w:rFonts w:ascii="Times New Roman" w:hAnsi="Times New Roman"/>
          <w:color w:val="000000"/>
          <w:szCs w:val="20"/>
          <w:lang w:eastAsia="hi-IN" w:bidi="hi-IN"/>
        </w:rPr>
        <w:t xml:space="preserve"> день </w:t>
      </w:r>
      <w:proofErr w:type="spellStart"/>
      <w:r w:rsidRPr="00E16672">
        <w:rPr>
          <w:rFonts w:ascii="Times New Roman" w:hAnsi="Times New Roman"/>
          <w:color w:val="000000"/>
          <w:szCs w:val="20"/>
          <w:lang w:eastAsia="hi-IN" w:bidi="hi-IN"/>
        </w:rPr>
        <w:t>прострочення</w:t>
      </w:r>
      <w:proofErr w:type="spellEnd"/>
      <w:r w:rsidRPr="00E16672">
        <w:rPr>
          <w:rFonts w:ascii="Times New Roman" w:hAnsi="Times New Roman"/>
          <w:color w:val="000000"/>
          <w:szCs w:val="20"/>
          <w:lang w:val="uk-UA"/>
        </w:rPr>
        <w:t>. Формула</w:t>
      </w:r>
      <w:r w:rsidRPr="00E16672">
        <w:rPr>
          <w:rFonts w:ascii="Times New Roman" w:hAnsi="Times New Roman"/>
          <w:szCs w:val="20"/>
          <w:lang w:val="uk-UA"/>
        </w:rPr>
        <w:t xml:space="preserve">, за якою розраховується пеня: </w:t>
      </w:r>
    </w:p>
    <w:p w14:paraId="7DC11788" w14:textId="77777777" w:rsidR="007974E8" w:rsidRPr="00E16672" w:rsidRDefault="007974E8" w:rsidP="007974E8">
      <w:pPr>
        <w:ind w:firstLine="555"/>
        <w:rPr>
          <w:rFonts w:ascii="Times New Roman" w:hAnsi="Times New Roman"/>
          <w:color w:val="000000"/>
          <w:szCs w:val="20"/>
          <w:lang w:val="uk-UA"/>
        </w:rPr>
      </w:pPr>
      <w:r w:rsidRPr="00E16672">
        <w:rPr>
          <w:rFonts w:ascii="Times New Roman" w:hAnsi="Times New Roman"/>
          <w:color w:val="000000"/>
          <w:szCs w:val="20"/>
          <w:lang w:val="uk-UA"/>
        </w:rPr>
        <w:t>5.9.1. П=</w:t>
      </w:r>
      <w:proofErr w:type="spellStart"/>
      <w:r w:rsidRPr="00E16672">
        <w:rPr>
          <w:rFonts w:ascii="Times New Roman" w:hAnsi="Times New Roman"/>
          <w:color w:val="000000"/>
          <w:szCs w:val="20"/>
          <w:lang w:val="uk-UA"/>
        </w:rPr>
        <w:t>Тнеоплачений</w:t>
      </w:r>
      <w:proofErr w:type="spellEnd"/>
      <w:r w:rsidRPr="00E16672">
        <w:rPr>
          <w:rFonts w:ascii="Times New Roman" w:hAnsi="Times New Roman"/>
          <w:color w:val="000000"/>
          <w:szCs w:val="20"/>
          <w:lang w:val="uk-UA"/>
        </w:rPr>
        <w:t>*2НБУ/</w:t>
      </w:r>
      <w:proofErr w:type="spellStart"/>
      <w:r w:rsidRPr="00E16672">
        <w:rPr>
          <w:rFonts w:ascii="Times New Roman" w:hAnsi="Times New Roman"/>
          <w:color w:val="000000"/>
          <w:szCs w:val="20"/>
          <w:lang w:val="uk-UA"/>
        </w:rPr>
        <w:t>Дрік</w:t>
      </w:r>
      <w:proofErr w:type="spellEnd"/>
      <w:r w:rsidRPr="00E16672">
        <w:rPr>
          <w:rFonts w:ascii="Times New Roman" w:hAnsi="Times New Roman"/>
          <w:color w:val="000000"/>
          <w:szCs w:val="20"/>
          <w:lang w:val="uk-UA"/>
        </w:rPr>
        <w:t>*</w:t>
      </w:r>
      <w:proofErr w:type="spellStart"/>
      <w:r w:rsidRPr="00E16672">
        <w:rPr>
          <w:rFonts w:ascii="Times New Roman" w:hAnsi="Times New Roman"/>
          <w:color w:val="000000"/>
          <w:szCs w:val="20"/>
          <w:lang w:val="uk-UA"/>
        </w:rPr>
        <w:t>Днарахування</w:t>
      </w:r>
      <w:proofErr w:type="spellEnd"/>
      <w:r w:rsidRPr="00E16672">
        <w:rPr>
          <w:rFonts w:ascii="Times New Roman" w:hAnsi="Times New Roman"/>
          <w:color w:val="000000"/>
          <w:szCs w:val="20"/>
          <w:lang w:val="uk-UA"/>
        </w:rPr>
        <w:t>, де:</w:t>
      </w:r>
    </w:p>
    <w:p w14:paraId="73B0B82F" w14:textId="77777777" w:rsidR="007974E8" w:rsidRPr="00E16672" w:rsidRDefault="007974E8" w:rsidP="007B5C69">
      <w:pPr>
        <w:ind w:left="709" w:firstLine="11"/>
        <w:jc w:val="left"/>
        <w:rPr>
          <w:rFonts w:ascii="Times New Roman" w:hAnsi="Times New Roman"/>
          <w:color w:val="000000"/>
          <w:szCs w:val="20"/>
          <w:lang w:val="uk-UA"/>
        </w:rPr>
      </w:pPr>
      <w:r w:rsidRPr="00E16672">
        <w:rPr>
          <w:rFonts w:ascii="Times New Roman" w:hAnsi="Times New Roman"/>
          <w:color w:val="000000"/>
          <w:szCs w:val="20"/>
          <w:lang w:val="uk-UA"/>
        </w:rPr>
        <w:t>П – пеня;</w:t>
      </w:r>
      <w:r w:rsidRPr="00E16672">
        <w:rPr>
          <w:rFonts w:ascii="Times New Roman" w:hAnsi="Times New Roman"/>
          <w:color w:val="000000"/>
          <w:szCs w:val="20"/>
          <w:lang w:val="uk-UA"/>
        </w:rPr>
        <w:br/>
        <w:t>Т неоплачений – вартість неоплаченої послуги;</w:t>
      </w:r>
    </w:p>
    <w:p w14:paraId="5D96E5F9" w14:textId="77777777" w:rsidR="007974E8" w:rsidRPr="00E16672" w:rsidRDefault="007974E8" w:rsidP="007974E8">
      <w:pPr>
        <w:ind w:firstLine="720"/>
        <w:rPr>
          <w:rFonts w:ascii="Times New Roman" w:hAnsi="Times New Roman"/>
          <w:color w:val="000000"/>
          <w:szCs w:val="20"/>
          <w:lang w:val="uk-UA"/>
        </w:rPr>
      </w:pPr>
      <w:r w:rsidRPr="00E16672">
        <w:rPr>
          <w:rFonts w:ascii="Times New Roman" w:hAnsi="Times New Roman"/>
          <w:color w:val="000000"/>
          <w:szCs w:val="20"/>
          <w:lang w:val="uk-UA"/>
        </w:rPr>
        <w:t>2НБУ – подвійна облікова ставка Національного Банку України;</w:t>
      </w:r>
    </w:p>
    <w:p w14:paraId="010167E3" w14:textId="77777777" w:rsidR="007974E8" w:rsidRPr="00E16672" w:rsidRDefault="007974E8" w:rsidP="007974E8">
      <w:pPr>
        <w:ind w:firstLine="720"/>
        <w:rPr>
          <w:rFonts w:ascii="Times New Roman" w:hAnsi="Times New Roman"/>
          <w:color w:val="000000"/>
          <w:szCs w:val="20"/>
          <w:lang w:val="uk-UA"/>
        </w:rPr>
      </w:pPr>
      <w:r w:rsidRPr="00E16672">
        <w:rPr>
          <w:rFonts w:ascii="Times New Roman" w:hAnsi="Times New Roman"/>
          <w:color w:val="000000"/>
          <w:szCs w:val="20"/>
          <w:lang w:val="uk-UA"/>
        </w:rPr>
        <w:t>Д рік – кількість днів у році;</w:t>
      </w:r>
    </w:p>
    <w:p w14:paraId="2DFB2E8E" w14:textId="77777777" w:rsidR="007974E8" w:rsidRPr="00E16672" w:rsidRDefault="007974E8" w:rsidP="007974E8">
      <w:pPr>
        <w:ind w:firstLine="720"/>
        <w:rPr>
          <w:rFonts w:ascii="Times New Roman" w:hAnsi="Times New Roman"/>
          <w:color w:val="000000"/>
          <w:szCs w:val="20"/>
          <w:lang w:val="uk-UA"/>
        </w:rPr>
      </w:pPr>
      <w:r w:rsidRPr="00E16672">
        <w:rPr>
          <w:rFonts w:ascii="Times New Roman" w:hAnsi="Times New Roman"/>
          <w:color w:val="000000"/>
          <w:szCs w:val="20"/>
          <w:lang w:val="uk-UA"/>
        </w:rPr>
        <w:t>Д нарахування – кількість днів нарахування пені.</w:t>
      </w:r>
    </w:p>
    <w:p w14:paraId="1835D52E" w14:textId="77777777" w:rsidR="007974E8" w:rsidRPr="00E16672" w:rsidRDefault="007974E8" w:rsidP="007974E8">
      <w:pPr>
        <w:ind w:firstLine="540"/>
        <w:rPr>
          <w:rFonts w:ascii="Times New Roman" w:hAnsi="Times New Roman"/>
          <w:color w:val="000000"/>
          <w:szCs w:val="20"/>
          <w:lang w:val="uk-UA"/>
        </w:rPr>
      </w:pPr>
      <w:r w:rsidRPr="00E16672">
        <w:rPr>
          <w:rFonts w:ascii="Times New Roman" w:hAnsi="Times New Roman"/>
          <w:color w:val="000000"/>
          <w:szCs w:val="20"/>
          <w:lang w:val="uk-UA"/>
        </w:rPr>
        <w:t>5.9.2. Депозитарна установа може пред'являти Депоненту вимоги стосовно сплати пені, як шляхом надіслання рахунка, так і шляхом звернення до Депонента з листом, телеграмою тощо.</w:t>
      </w:r>
    </w:p>
    <w:p w14:paraId="644011A6" w14:textId="77777777" w:rsidR="007974E8" w:rsidRPr="00E16672" w:rsidRDefault="007974E8" w:rsidP="007974E8">
      <w:pPr>
        <w:ind w:firstLine="540"/>
        <w:rPr>
          <w:rFonts w:ascii="Times New Roman" w:hAnsi="Times New Roman"/>
          <w:color w:val="000000"/>
          <w:szCs w:val="20"/>
          <w:lang w:val="uk-UA"/>
        </w:rPr>
      </w:pPr>
      <w:r w:rsidRPr="00E16672">
        <w:rPr>
          <w:rFonts w:ascii="Times New Roman" w:hAnsi="Times New Roman"/>
          <w:color w:val="000000"/>
          <w:szCs w:val="20"/>
          <w:lang w:val="uk-UA"/>
        </w:rPr>
        <w:t xml:space="preserve">5.9.3. Депонент повинен виконати зобов'язання, визначене п.5.9., у </w:t>
      </w:r>
      <w:r w:rsidRPr="00E16672">
        <w:rPr>
          <w:rFonts w:ascii="Times New Roman" w:hAnsi="Times New Roman"/>
          <w:i/>
          <w:color w:val="000000"/>
          <w:szCs w:val="20"/>
          <w:lang w:val="uk-UA"/>
        </w:rPr>
        <w:t>п’ятиденний</w:t>
      </w:r>
      <w:r w:rsidRPr="00E16672">
        <w:rPr>
          <w:rFonts w:ascii="Times New Roman" w:hAnsi="Times New Roman"/>
          <w:color w:val="000000"/>
          <w:szCs w:val="20"/>
          <w:lang w:val="uk-UA"/>
        </w:rPr>
        <w:t xml:space="preserve"> строк з дня пред'явлення вимоги Депозитарної установи згідно з пп.5.9. Таким днем слід вважати дату одержання вимоги Депонентом.</w:t>
      </w:r>
    </w:p>
    <w:p w14:paraId="08F1FDE3" w14:textId="77777777" w:rsidR="007974E8" w:rsidRPr="00E16672" w:rsidRDefault="007974E8" w:rsidP="007974E8">
      <w:pPr>
        <w:ind w:firstLine="540"/>
        <w:rPr>
          <w:rFonts w:ascii="Times New Roman" w:hAnsi="Times New Roman"/>
          <w:color w:val="000000"/>
          <w:szCs w:val="20"/>
          <w:lang w:val="uk-UA"/>
        </w:rPr>
      </w:pPr>
      <w:r w:rsidRPr="00E16672">
        <w:rPr>
          <w:rFonts w:ascii="Times New Roman" w:hAnsi="Times New Roman"/>
          <w:color w:val="000000"/>
          <w:szCs w:val="20"/>
          <w:lang w:val="uk-UA"/>
        </w:rPr>
        <w:t>5.9.4. При цьому визнання Депонентом претензії Депозитарної установи про оплату послуг без перерахування заборгованості не може бути підставою для припинення нарахування пені за прострочку платежу.</w:t>
      </w:r>
    </w:p>
    <w:p w14:paraId="46A5B0E6" w14:textId="77777777" w:rsidR="007974E8" w:rsidRPr="00E16672" w:rsidRDefault="007974E8" w:rsidP="007974E8">
      <w:pPr>
        <w:ind w:firstLine="540"/>
        <w:rPr>
          <w:rFonts w:ascii="Times New Roman" w:hAnsi="Times New Roman"/>
          <w:color w:val="000000"/>
          <w:szCs w:val="20"/>
          <w:lang w:val="uk-UA"/>
        </w:rPr>
      </w:pPr>
      <w:r w:rsidRPr="00E16672">
        <w:rPr>
          <w:rFonts w:ascii="Times New Roman" w:hAnsi="Times New Roman"/>
          <w:color w:val="000000"/>
          <w:szCs w:val="20"/>
          <w:lang w:val="uk-UA"/>
        </w:rPr>
        <w:t>5.10. Прострочення платежу більш як на 180 днів вважається відмовою від виконання умов Договору, у зв'язку з чим , Депозитарна установа має право нарахувати та стягнути з іншої Сторони  штраф у розмірі 20% від суми невиконаного зобов'язання</w:t>
      </w:r>
    </w:p>
    <w:p w14:paraId="5D8053AD" w14:textId="77777777" w:rsidR="007974E8" w:rsidRPr="00E16672" w:rsidRDefault="007974E8" w:rsidP="007974E8">
      <w:pPr>
        <w:ind w:firstLine="540"/>
        <w:rPr>
          <w:rFonts w:ascii="Times New Roman" w:hAnsi="Times New Roman"/>
          <w:color w:val="000000"/>
          <w:szCs w:val="20"/>
          <w:lang w:val="uk-UA"/>
        </w:rPr>
      </w:pPr>
      <w:r w:rsidRPr="00E16672">
        <w:rPr>
          <w:rFonts w:ascii="Times New Roman" w:hAnsi="Times New Roman"/>
          <w:color w:val="000000"/>
          <w:szCs w:val="20"/>
          <w:lang w:val="uk-UA"/>
        </w:rPr>
        <w:t>5.10.1. Депозитарна установа може пред'являти Депоненту вимоги стосовно сплати штрафу, як шляхом надіслання рахунка, так і шляхом звернення до Депонента з листом, телеграмою тощо.</w:t>
      </w:r>
    </w:p>
    <w:p w14:paraId="1F16F1CF" w14:textId="77777777" w:rsidR="007974E8" w:rsidRPr="00E16672" w:rsidRDefault="007974E8" w:rsidP="007974E8">
      <w:pPr>
        <w:ind w:firstLine="540"/>
        <w:rPr>
          <w:rFonts w:ascii="Times New Roman" w:hAnsi="Times New Roman"/>
          <w:color w:val="000000"/>
          <w:szCs w:val="20"/>
          <w:lang w:val="uk-UA"/>
        </w:rPr>
      </w:pPr>
      <w:r w:rsidRPr="00E16672">
        <w:rPr>
          <w:rFonts w:ascii="Times New Roman" w:hAnsi="Times New Roman"/>
          <w:color w:val="000000"/>
          <w:szCs w:val="20"/>
          <w:lang w:val="uk-UA"/>
        </w:rPr>
        <w:t xml:space="preserve">5.10.2. Депонент повинен виконати зобов'язання, визначене п.5.10., у </w:t>
      </w:r>
      <w:r w:rsidR="00FE185D">
        <w:rPr>
          <w:rFonts w:ascii="Times New Roman" w:hAnsi="Times New Roman"/>
          <w:color w:val="000000"/>
          <w:szCs w:val="20"/>
          <w:lang w:val="uk-UA"/>
        </w:rPr>
        <w:t>15 (</w:t>
      </w:r>
      <w:r w:rsidRPr="00E16672">
        <w:rPr>
          <w:rFonts w:ascii="Times New Roman" w:hAnsi="Times New Roman"/>
          <w:i/>
          <w:color w:val="000000"/>
          <w:szCs w:val="20"/>
          <w:lang w:val="uk-UA"/>
        </w:rPr>
        <w:t>п’ятиденний</w:t>
      </w:r>
      <w:r w:rsidR="00FE185D">
        <w:rPr>
          <w:rFonts w:ascii="Times New Roman" w:hAnsi="Times New Roman"/>
          <w:i/>
          <w:color w:val="000000"/>
          <w:szCs w:val="20"/>
          <w:lang w:val="uk-UA"/>
        </w:rPr>
        <w:t>)</w:t>
      </w:r>
      <w:r w:rsidRPr="00E16672">
        <w:rPr>
          <w:rFonts w:ascii="Times New Roman" w:hAnsi="Times New Roman"/>
          <w:color w:val="000000"/>
          <w:szCs w:val="20"/>
          <w:lang w:val="uk-UA"/>
        </w:rPr>
        <w:t xml:space="preserve"> строк з дня пред'явлення вимоги Депозитарної установи згідно з пп.5.10. Таким днем слід вважати дату одержання вимоги Депонентом.</w:t>
      </w:r>
    </w:p>
    <w:p w14:paraId="4E47637F" w14:textId="77777777" w:rsidR="007974E8" w:rsidRPr="00E16672" w:rsidRDefault="007974E8" w:rsidP="007974E8">
      <w:pPr>
        <w:ind w:firstLine="540"/>
        <w:rPr>
          <w:rFonts w:ascii="Times New Roman" w:hAnsi="Times New Roman"/>
          <w:color w:val="000000"/>
          <w:szCs w:val="20"/>
          <w:lang w:val="uk-UA"/>
        </w:rPr>
      </w:pPr>
      <w:r w:rsidRPr="00E16672">
        <w:rPr>
          <w:rFonts w:ascii="Times New Roman" w:hAnsi="Times New Roman"/>
          <w:color w:val="000000"/>
          <w:szCs w:val="20"/>
          <w:lang w:val="uk-UA"/>
        </w:rPr>
        <w:t>5.10.3. Виплата пені  або штрафу не звільняє Сторони від виконання обов’язків згідно з умовами цього Договору.</w:t>
      </w:r>
    </w:p>
    <w:p w14:paraId="23C0DC0D" w14:textId="77777777" w:rsidR="007974E8" w:rsidRPr="00E16672" w:rsidRDefault="007974E8" w:rsidP="007974E8">
      <w:pPr>
        <w:pStyle w:val="23"/>
        <w:ind w:firstLine="555"/>
        <w:rPr>
          <w:rFonts w:ascii="Times New Roman" w:hAnsi="Times New Roman"/>
          <w:color w:val="000000"/>
        </w:rPr>
      </w:pPr>
      <w:r w:rsidRPr="00E16672">
        <w:rPr>
          <w:rFonts w:ascii="Times New Roman" w:hAnsi="Times New Roman"/>
          <w:color w:val="000000"/>
        </w:rPr>
        <w:t>5.11. Сторона, яка порушила Договір (крім випадку порушення п.2.1.2) під час виконання своїх зобов'язань, несе відповідальність, якщо не доведе, що належне виконання зобов'язання унеможливив вплив обставин непереборної сили, тобто надзвичайних і невідворотних за даних умов подій: стихійного лиха, аварії, пожежі, масових порушень правопорядку, страйків, військових дій, протиправних дій третіх осіб (крім дій працівників Сторони) чи інших обставин, що виникли після підписання Договору та не залежать від волевиявлення Сторін. Не є непереборною силою недодержання своїх обов'язків іншими контрагентами однієї зі Сторін чи відсутність у Сторони достатніх коштів.</w:t>
      </w:r>
    </w:p>
    <w:p w14:paraId="38C69B31" w14:textId="77777777" w:rsidR="007974E8" w:rsidRPr="00E16672" w:rsidRDefault="007974E8" w:rsidP="007974E8">
      <w:pPr>
        <w:pStyle w:val="23"/>
        <w:numPr>
          <w:ilvl w:val="1"/>
          <w:numId w:val="4"/>
        </w:numPr>
        <w:tabs>
          <w:tab w:val="left" w:pos="1080"/>
        </w:tabs>
        <w:ind w:firstLine="555"/>
        <w:rPr>
          <w:rFonts w:ascii="Times New Roman" w:hAnsi="Times New Roman"/>
          <w:color w:val="000000"/>
        </w:rPr>
      </w:pPr>
      <w:r w:rsidRPr="00E16672">
        <w:rPr>
          <w:rFonts w:ascii="Times New Roman" w:hAnsi="Times New Roman"/>
          <w:color w:val="000000"/>
        </w:rPr>
        <w:lastRenderedPageBreak/>
        <w:t xml:space="preserve">Жодна із Сторін не несе відповідальності за невиконання або неналежне виконання своїх </w:t>
      </w:r>
      <w:r w:rsidR="007B5C69" w:rsidRPr="00E16672">
        <w:rPr>
          <w:rFonts w:ascii="Times New Roman" w:hAnsi="Times New Roman"/>
        </w:rPr>
        <w:t>зобов’язань</w:t>
      </w:r>
      <w:r w:rsidRPr="00E16672">
        <w:rPr>
          <w:rFonts w:ascii="Times New Roman" w:hAnsi="Times New Roman"/>
          <w:color w:val="000000"/>
        </w:rPr>
        <w:t xml:space="preserve"> за цим Договором, якщо це невиконання або неналежне виконання зумовлено дією обставин непереборної сили (форс-мажорних обставин). </w:t>
      </w:r>
    </w:p>
    <w:p w14:paraId="363C70AE" w14:textId="77777777" w:rsidR="007974E8" w:rsidRPr="00E16672" w:rsidRDefault="007974E8" w:rsidP="007974E8">
      <w:pPr>
        <w:pStyle w:val="23"/>
        <w:numPr>
          <w:ilvl w:val="1"/>
          <w:numId w:val="4"/>
        </w:numPr>
        <w:tabs>
          <w:tab w:val="left" w:pos="1080"/>
        </w:tabs>
        <w:ind w:firstLine="555"/>
        <w:rPr>
          <w:rFonts w:ascii="Times New Roman" w:hAnsi="Times New Roman"/>
          <w:color w:val="000000"/>
        </w:rPr>
      </w:pPr>
      <w:r w:rsidRPr="00E16672">
        <w:rPr>
          <w:rFonts w:ascii="Times New Roman" w:hAnsi="Times New Roman"/>
          <w:color w:val="000000"/>
        </w:rPr>
        <w:t xml:space="preserve">Усі спори, що виникають з цього Договору або пов'язані із ним, вирішуються шляхом переговорів або у порядку, встановленому чинним законодавством України,  шляхом вирішення у судовому порядку. </w:t>
      </w:r>
    </w:p>
    <w:p w14:paraId="47BBA0CC" w14:textId="77777777" w:rsidR="00FE185D" w:rsidRDefault="007974E8" w:rsidP="00FE185D">
      <w:pPr>
        <w:pStyle w:val="23"/>
        <w:ind w:firstLine="540"/>
        <w:rPr>
          <w:rFonts w:ascii="Times New Roman" w:hAnsi="Times New Roman"/>
          <w:color w:val="000000"/>
        </w:rPr>
      </w:pPr>
      <w:r w:rsidRPr="00E16672">
        <w:rPr>
          <w:rFonts w:ascii="Times New Roman" w:hAnsi="Times New Roman"/>
          <w:color w:val="000000"/>
        </w:rPr>
        <w:t xml:space="preserve">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законодавства України або у постійно діючому Третейському суді </w:t>
      </w:r>
      <w:proofErr w:type="spellStart"/>
      <w:r w:rsidRPr="00E16672">
        <w:rPr>
          <w:rFonts w:ascii="Times New Roman" w:hAnsi="Times New Roman"/>
          <w:color w:val="000000"/>
        </w:rPr>
        <w:t>саморегулівної</w:t>
      </w:r>
      <w:proofErr w:type="spellEnd"/>
      <w:r w:rsidRPr="00E16672">
        <w:rPr>
          <w:rFonts w:ascii="Times New Roman" w:hAnsi="Times New Roman"/>
          <w:color w:val="000000"/>
        </w:rPr>
        <w:t xml:space="preserve"> організації Професійна асоціація реєстраторів і депозитаріїв.</w:t>
      </w:r>
    </w:p>
    <w:p w14:paraId="041486EF" w14:textId="77777777" w:rsidR="007974E8" w:rsidRPr="00E16672" w:rsidRDefault="00FE185D" w:rsidP="00FE185D">
      <w:pPr>
        <w:pStyle w:val="23"/>
        <w:ind w:firstLine="540"/>
        <w:rPr>
          <w:rFonts w:ascii="Times New Roman" w:hAnsi="Times New Roman"/>
          <w:color w:val="000000"/>
        </w:rPr>
      </w:pPr>
      <w:r>
        <w:rPr>
          <w:rFonts w:ascii="Times New Roman" w:hAnsi="Times New Roman"/>
          <w:color w:val="000000"/>
        </w:rPr>
        <w:t xml:space="preserve">5.12. </w:t>
      </w:r>
      <w:r w:rsidR="007974E8" w:rsidRPr="00E16672">
        <w:rPr>
          <w:rFonts w:ascii="Times New Roman" w:hAnsi="Times New Roman"/>
          <w:bCs/>
        </w:rPr>
        <w:t xml:space="preserve">Строк позовної давності, у межах якого одна із Сторін може звернутися до суду з вимогою про захист </w:t>
      </w:r>
      <w:r w:rsidR="007974E8" w:rsidRPr="00E16672">
        <w:rPr>
          <w:rFonts w:ascii="Times New Roman" w:hAnsi="Times New Roman"/>
          <w:bCs/>
          <w:i/>
          <w:iCs/>
          <w:color w:val="000000"/>
        </w:rPr>
        <w:t xml:space="preserve">основних </w:t>
      </w:r>
      <w:r w:rsidR="007974E8" w:rsidRPr="00E16672">
        <w:rPr>
          <w:rFonts w:ascii="Times New Roman" w:hAnsi="Times New Roman"/>
          <w:bCs/>
          <w:color w:val="000000"/>
        </w:rPr>
        <w:t xml:space="preserve">прав та інтересів встановлюється тривалістю у </w:t>
      </w:r>
      <w:r w:rsidR="007974E8" w:rsidRPr="00E16672">
        <w:rPr>
          <w:rFonts w:ascii="Times New Roman" w:hAnsi="Times New Roman"/>
          <w:bCs/>
          <w:i/>
          <w:iCs/>
          <w:color w:val="000000"/>
        </w:rPr>
        <w:t>п’ятдесят</w:t>
      </w:r>
      <w:r w:rsidR="007974E8" w:rsidRPr="00E16672">
        <w:rPr>
          <w:rFonts w:ascii="Times New Roman" w:hAnsi="Times New Roman"/>
          <w:bCs/>
          <w:color w:val="000000"/>
        </w:rPr>
        <w:t xml:space="preserve"> років. Позовна давність в </w:t>
      </w:r>
      <w:r w:rsidR="007974E8" w:rsidRPr="00E16672">
        <w:rPr>
          <w:rFonts w:ascii="Times New Roman" w:hAnsi="Times New Roman"/>
          <w:bCs/>
          <w:i/>
          <w:iCs/>
          <w:color w:val="000000"/>
        </w:rPr>
        <w:t>п'ятдесят</w:t>
      </w:r>
      <w:r w:rsidR="007974E8" w:rsidRPr="00E16672">
        <w:rPr>
          <w:rFonts w:ascii="Times New Roman" w:hAnsi="Times New Roman"/>
          <w:bCs/>
          <w:color w:val="000000"/>
        </w:rPr>
        <w:t xml:space="preserve"> років застосовується також до вимог пр</w:t>
      </w:r>
      <w:r w:rsidR="007974E8" w:rsidRPr="00E16672">
        <w:rPr>
          <w:rFonts w:ascii="Times New Roman" w:hAnsi="Times New Roman"/>
          <w:bCs/>
        </w:rPr>
        <w:t xml:space="preserve">о стягнення </w:t>
      </w:r>
      <w:r w:rsidR="007974E8" w:rsidRPr="00E16672">
        <w:rPr>
          <w:rFonts w:ascii="Times New Roman" w:hAnsi="Times New Roman"/>
          <w:bCs/>
          <w:i/>
          <w:iCs/>
        </w:rPr>
        <w:t>неустойки</w:t>
      </w:r>
      <w:r w:rsidR="007974E8" w:rsidRPr="00E16672">
        <w:rPr>
          <w:rFonts w:ascii="Times New Roman" w:hAnsi="Times New Roman"/>
          <w:bCs/>
        </w:rPr>
        <w:t xml:space="preserve"> (пені)</w:t>
      </w:r>
      <w:r w:rsidR="007974E8" w:rsidRPr="00E16672">
        <w:rPr>
          <w:rFonts w:ascii="Times New Roman" w:hAnsi="Times New Roman"/>
          <w:color w:val="000000"/>
        </w:rPr>
        <w:t>.</w:t>
      </w:r>
    </w:p>
    <w:p w14:paraId="2289239E" w14:textId="77777777" w:rsidR="007974E8" w:rsidRPr="00E16672" w:rsidRDefault="007974E8" w:rsidP="007974E8">
      <w:pPr>
        <w:jc w:val="center"/>
        <w:rPr>
          <w:rFonts w:ascii="Times New Roman" w:hAnsi="Times New Roman"/>
          <w:b/>
          <w:color w:val="000000"/>
          <w:szCs w:val="20"/>
          <w:lang w:val="uk-UA"/>
        </w:rPr>
      </w:pPr>
    </w:p>
    <w:p w14:paraId="02281EFF" w14:textId="77777777" w:rsidR="007974E8" w:rsidRPr="00E16672" w:rsidRDefault="007974E8" w:rsidP="007974E8">
      <w:pPr>
        <w:jc w:val="center"/>
        <w:rPr>
          <w:rFonts w:ascii="Times New Roman" w:hAnsi="Times New Roman"/>
          <w:b/>
          <w:color w:val="000000"/>
          <w:szCs w:val="20"/>
          <w:lang w:val="uk-UA"/>
        </w:rPr>
      </w:pPr>
      <w:r w:rsidRPr="00E16672">
        <w:rPr>
          <w:rFonts w:ascii="Times New Roman" w:hAnsi="Times New Roman"/>
          <w:b/>
          <w:color w:val="000000"/>
          <w:szCs w:val="20"/>
          <w:lang w:val="uk-UA"/>
        </w:rPr>
        <w:t xml:space="preserve">6. Строк дії Договору, порядок внесення змін до нього, умови розірвання Договору </w:t>
      </w:r>
    </w:p>
    <w:p w14:paraId="5839D1C2" w14:textId="77777777" w:rsidR="007974E8" w:rsidRPr="00E16672" w:rsidRDefault="007974E8" w:rsidP="007974E8">
      <w:pPr>
        <w:jc w:val="center"/>
        <w:rPr>
          <w:rFonts w:ascii="Times New Roman" w:hAnsi="Times New Roman"/>
          <w:b/>
          <w:color w:val="000000"/>
          <w:szCs w:val="20"/>
          <w:lang w:val="uk-UA"/>
        </w:rPr>
      </w:pPr>
      <w:r w:rsidRPr="00E16672">
        <w:rPr>
          <w:rFonts w:ascii="Times New Roman" w:hAnsi="Times New Roman"/>
          <w:b/>
          <w:color w:val="000000"/>
          <w:szCs w:val="20"/>
          <w:lang w:val="uk-UA"/>
        </w:rPr>
        <w:t xml:space="preserve"> та припинення його дії</w:t>
      </w:r>
    </w:p>
    <w:p w14:paraId="3D30F75D" w14:textId="77777777" w:rsidR="007974E8" w:rsidRPr="00E16672" w:rsidRDefault="007974E8" w:rsidP="007974E8">
      <w:pPr>
        <w:rPr>
          <w:rFonts w:ascii="Times New Roman" w:hAnsi="Times New Roman"/>
          <w:color w:val="000000"/>
          <w:szCs w:val="20"/>
          <w:lang w:val="uk-UA"/>
        </w:rPr>
      </w:pPr>
      <w:r w:rsidRPr="00E16672">
        <w:rPr>
          <w:rFonts w:ascii="Times New Roman" w:hAnsi="Times New Roman"/>
          <w:color w:val="000000"/>
          <w:szCs w:val="20"/>
          <w:lang w:val="uk-UA"/>
        </w:rPr>
        <w:t xml:space="preserve">6.1.Цей Договір набирає чинності з моменту його підписання Сторонами і скріплення печатками </w:t>
      </w:r>
      <w:r w:rsidR="00E357FB" w:rsidRPr="00E16672">
        <w:rPr>
          <w:rFonts w:ascii="Times New Roman" w:hAnsi="Times New Roman"/>
          <w:color w:val="000000"/>
          <w:szCs w:val="20"/>
          <w:lang w:val="uk-UA"/>
        </w:rPr>
        <w:t xml:space="preserve">(у разі використання) </w:t>
      </w:r>
      <w:r w:rsidRPr="00E16672">
        <w:rPr>
          <w:rFonts w:ascii="Times New Roman" w:hAnsi="Times New Roman"/>
          <w:color w:val="000000"/>
          <w:szCs w:val="20"/>
          <w:lang w:val="uk-UA"/>
        </w:rPr>
        <w:t xml:space="preserve">та діє до повного виконання Договору. </w:t>
      </w:r>
    </w:p>
    <w:p w14:paraId="1A8E8D3E" w14:textId="77777777" w:rsidR="007974E8" w:rsidRPr="00E16672" w:rsidRDefault="007974E8" w:rsidP="007974E8">
      <w:pPr>
        <w:rPr>
          <w:rFonts w:ascii="Times New Roman" w:hAnsi="Times New Roman"/>
          <w:color w:val="000000"/>
          <w:szCs w:val="20"/>
          <w:lang w:val="uk-UA"/>
        </w:rPr>
      </w:pPr>
      <w:r w:rsidRPr="00E16672">
        <w:rPr>
          <w:rFonts w:ascii="Times New Roman" w:hAnsi="Times New Roman"/>
          <w:color w:val="000000"/>
          <w:szCs w:val="20"/>
          <w:lang w:val="uk-UA"/>
        </w:rPr>
        <w:t>6.2. Зміни до умов цього Договору вносяться за взаємною згодою Сторін, оформленою  в письмовій формі.</w:t>
      </w:r>
    </w:p>
    <w:p w14:paraId="69CD50EC" w14:textId="77777777" w:rsidR="007974E8" w:rsidRPr="00E16672" w:rsidRDefault="007974E8" w:rsidP="007974E8">
      <w:pPr>
        <w:rPr>
          <w:rFonts w:ascii="Times New Roman" w:hAnsi="Times New Roman"/>
          <w:color w:val="000000"/>
          <w:szCs w:val="20"/>
          <w:lang w:val="uk-UA"/>
        </w:rPr>
      </w:pPr>
      <w:r w:rsidRPr="00E16672">
        <w:rPr>
          <w:rFonts w:ascii="Times New Roman" w:hAnsi="Times New Roman"/>
          <w:color w:val="000000"/>
          <w:szCs w:val="20"/>
          <w:lang w:val="uk-UA"/>
        </w:rPr>
        <w:t>6.3. Цей Договір може бути достроково розірваний:</w:t>
      </w:r>
    </w:p>
    <w:p w14:paraId="04A65FEE" w14:textId="77777777" w:rsidR="007974E8" w:rsidRPr="00E16672" w:rsidRDefault="007974E8" w:rsidP="007974E8">
      <w:pPr>
        <w:rPr>
          <w:rFonts w:ascii="Times New Roman" w:hAnsi="Times New Roman"/>
          <w:color w:val="000000"/>
          <w:szCs w:val="20"/>
          <w:lang w:val="uk-UA"/>
        </w:rPr>
      </w:pPr>
      <w:r w:rsidRPr="00E16672">
        <w:rPr>
          <w:rFonts w:ascii="Times New Roman" w:hAnsi="Times New Roman"/>
          <w:color w:val="000000"/>
          <w:szCs w:val="20"/>
          <w:lang w:val="uk-UA"/>
        </w:rPr>
        <w:t xml:space="preserve">6.3.1. Кожною із Сторін в односторонньому порядку. Про дострокове розірвання цього Договору в односторонньому порядку Сторона, яка прийняла таке рішення, повинна повідомити надіславши відповідне письмове повідомлення іншій Стороні за її місцезнаходженням менше ніж за </w:t>
      </w:r>
      <w:r w:rsidRPr="00E16672">
        <w:rPr>
          <w:rFonts w:ascii="Times New Roman" w:hAnsi="Times New Roman"/>
          <w:i/>
          <w:iCs/>
          <w:color w:val="000000"/>
          <w:szCs w:val="20"/>
          <w:lang w:val="uk-UA"/>
        </w:rPr>
        <w:t>тридцять</w:t>
      </w:r>
      <w:r w:rsidRPr="00E16672">
        <w:rPr>
          <w:rFonts w:ascii="Times New Roman" w:hAnsi="Times New Roman"/>
          <w:color w:val="000000"/>
          <w:szCs w:val="20"/>
          <w:lang w:val="uk-UA"/>
        </w:rPr>
        <w:t xml:space="preserve"> календарних днів до дати припинення дії Договору внаслідок розірвання. </w:t>
      </w:r>
    </w:p>
    <w:p w14:paraId="7DBADA0A" w14:textId="77777777" w:rsidR="007974E8" w:rsidRPr="00E16672" w:rsidRDefault="007974E8" w:rsidP="007974E8">
      <w:pPr>
        <w:rPr>
          <w:rFonts w:ascii="Times New Roman" w:hAnsi="Times New Roman"/>
          <w:color w:val="000000"/>
          <w:szCs w:val="20"/>
          <w:lang w:val="uk-UA"/>
        </w:rPr>
      </w:pPr>
      <w:r w:rsidRPr="00E16672">
        <w:rPr>
          <w:rFonts w:ascii="Times New Roman" w:hAnsi="Times New Roman"/>
          <w:color w:val="000000"/>
          <w:szCs w:val="20"/>
          <w:lang w:val="uk-UA"/>
        </w:rPr>
        <w:t>Депозитарна установа надсилає вказане письмове повідомлення про розірвання договору в односторонньому порядку за місцезнаходженням Депонента, що зазначене в анкеті рахунку в цінних паперах.</w:t>
      </w:r>
    </w:p>
    <w:p w14:paraId="044BB4C3" w14:textId="77777777" w:rsidR="007974E8" w:rsidRPr="00E16672" w:rsidRDefault="007974E8" w:rsidP="007974E8">
      <w:pPr>
        <w:rPr>
          <w:rFonts w:ascii="Times New Roman" w:hAnsi="Times New Roman"/>
          <w:color w:val="000000"/>
          <w:szCs w:val="20"/>
          <w:lang w:val="uk-UA"/>
        </w:rPr>
      </w:pPr>
      <w:r w:rsidRPr="00E16672">
        <w:rPr>
          <w:rFonts w:ascii="Times New Roman" w:hAnsi="Times New Roman"/>
          <w:color w:val="000000"/>
          <w:szCs w:val="20"/>
          <w:lang w:val="uk-UA"/>
        </w:rPr>
        <w:t>6.3.2. За згодою Сторін.</w:t>
      </w:r>
    </w:p>
    <w:p w14:paraId="67624B85" w14:textId="77777777" w:rsidR="007974E8" w:rsidRPr="00E16672" w:rsidRDefault="007974E8" w:rsidP="007974E8">
      <w:pPr>
        <w:rPr>
          <w:rFonts w:ascii="Times New Roman" w:hAnsi="Times New Roman"/>
          <w:color w:val="000000"/>
          <w:szCs w:val="20"/>
          <w:lang w:val="uk-UA"/>
        </w:rPr>
      </w:pPr>
      <w:r w:rsidRPr="00E16672">
        <w:rPr>
          <w:rFonts w:ascii="Times New Roman" w:hAnsi="Times New Roman"/>
          <w:color w:val="000000"/>
          <w:szCs w:val="20"/>
          <w:lang w:val="uk-UA"/>
        </w:rPr>
        <w:t>6.3.3. За відповідним рішенням суду.</w:t>
      </w:r>
    </w:p>
    <w:p w14:paraId="40F80D60" w14:textId="77777777" w:rsidR="000A1A7C" w:rsidRPr="00E16672" w:rsidRDefault="000A1A7C" w:rsidP="000A1A7C">
      <w:pPr>
        <w:rPr>
          <w:rFonts w:ascii="Times New Roman" w:hAnsi="Times New Roman"/>
          <w:szCs w:val="20"/>
        </w:rPr>
      </w:pPr>
      <w:r w:rsidRPr="00E16672">
        <w:rPr>
          <w:rFonts w:ascii="Times New Roman" w:hAnsi="Times New Roman"/>
          <w:szCs w:val="20"/>
        </w:rPr>
        <w:t xml:space="preserve">6.4. </w:t>
      </w:r>
      <w:proofErr w:type="spellStart"/>
      <w:r w:rsidRPr="00E16672">
        <w:rPr>
          <w:rFonts w:ascii="Times New Roman" w:hAnsi="Times New Roman"/>
          <w:szCs w:val="20"/>
        </w:rPr>
        <w:t>Договір</w:t>
      </w:r>
      <w:proofErr w:type="spellEnd"/>
      <w:r w:rsidRPr="00E16672">
        <w:rPr>
          <w:rFonts w:ascii="Times New Roman" w:hAnsi="Times New Roman"/>
          <w:szCs w:val="20"/>
        </w:rPr>
        <w:t xml:space="preserve"> </w:t>
      </w:r>
      <w:proofErr w:type="spellStart"/>
      <w:r w:rsidRPr="00E16672">
        <w:rPr>
          <w:rFonts w:ascii="Times New Roman" w:hAnsi="Times New Roman"/>
          <w:szCs w:val="20"/>
        </w:rPr>
        <w:t>може</w:t>
      </w:r>
      <w:proofErr w:type="spellEnd"/>
      <w:r w:rsidRPr="00E16672">
        <w:rPr>
          <w:rFonts w:ascii="Times New Roman" w:hAnsi="Times New Roman"/>
          <w:szCs w:val="20"/>
        </w:rPr>
        <w:t xml:space="preserve"> бути </w:t>
      </w:r>
      <w:proofErr w:type="spellStart"/>
      <w:r w:rsidRPr="00E16672">
        <w:rPr>
          <w:rFonts w:ascii="Times New Roman" w:hAnsi="Times New Roman"/>
          <w:szCs w:val="20"/>
        </w:rPr>
        <w:t>розірваний</w:t>
      </w:r>
      <w:proofErr w:type="spellEnd"/>
      <w:r w:rsidRPr="00E16672">
        <w:rPr>
          <w:rFonts w:ascii="Times New Roman" w:hAnsi="Times New Roman"/>
          <w:szCs w:val="20"/>
        </w:rPr>
        <w:t xml:space="preserve"> за </w:t>
      </w:r>
      <w:proofErr w:type="spellStart"/>
      <w:r w:rsidRPr="00E16672">
        <w:rPr>
          <w:rFonts w:ascii="Times New Roman" w:hAnsi="Times New Roman"/>
          <w:szCs w:val="20"/>
        </w:rPr>
        <w:t>умови</w:t>
      </w:r>
      <w:proofErr w:type="spellEnd"/>
      <w:r w:rsidRPr="00E16672">
        <w:rPr>
          <w:rFonts w:ascii="Times New Roman" w:hAnsi="Times New Roman"/>
          <w:szCs w:val="20"/>
        </w:rPr>
        <w:t xml:space="preserve"> </w:t>
      </w:r>
      <w:proofErr w:type="spellStart"/>
      <w:r w:rsidRPr="00E16672">
        <w:rPr>
          <w:rFonts w:ascii="Times New Roman" w:hAnsi="Times New Roman"/>
          <w:szCs w:val="20"/>
        </w:rPr>
        <w:t>відсутності</w:t>
      </w:r>
      <w:proofErr w:type="spellEnd"/>
      <w:r w:rsidRPr="00E16672">
        <w:rPr>
          <w:rFonts w:ascii="Times New Roman" w:hAnsi="Times New Roman"/>
          <w:szCs w:val="20"/>
        </w:rPr>
        <w:t xml:space="preserve"> </w:t>
      </w:r>
      <w:proofErr w:type="spellStart"/>
      <w:r w:rsidRPr="00E16672">
        <w:rPr>
          <w:rFonts w:ascii="Times New Roman" w:hAnsi="Times New Roman"/>
          <w:szCs w:val="20"/>
        </w:rPr>
        <w:t>цінних</w:t>
      </w:r>
      <w:proofErr w:type="spellEnd"/>
      <w:r w:rsidRPr="00E16672">
        <w:rPr>
          <w:rFonts w:ascii="Times New Roman" w:hAnsi="Times New Roman"/>
          <w:szCs w:val="20"/>
        </w:rPr>
        <w:t xml:space="preserve"> </w:t>
      </w:r>
      <w:proofErr w:type="spellStart"/>
      <w:r w:rsidRPr="00E16672">
        <w:rPr>
          <w:rFonts w:ascii="Times New Roman" w:hAnsi="Times New Roman"/>
          <w:szCs w:val="20"/>
        </w:rPr>
        <w:t>паперів</w:t>
      </w:r>
      <w:proofErr w:type="spellEnd"/>
      <w:r w:rsidRPr="00E16672">
        <w:rPr>
          <w:rFonts w:ascii="Times New Roman" w:hAnsi="Times New Roman"/>
          <w:szCs w:val="20"/>
        </w:rPr>
        <w:t xml:space="preserve">, прав на </w:t>
      </w:r>
      <w:proofErr w:type="spellStart"/>
      <w:r w:rsidRPr="00E16672">
        <w:rPr>
          <w:rFonts w:ascii="Times New Roman" w:hAnsi="Times New Roman"/>
          <w:szCs w:val="20"/>
        </w:rPr>
        <w:t>цінні</w:t>
      </w:r>
      <w:proofErr w:type="spellEnd"/>
      <w:r w:rsidRPr="00E16672">
        <w:rPr>
          <w:rFonts w:ascii="Times New Roman" w:hAnsi="Times New Roman"/>
          <w:szCs w:val="20"/>
        </w:rPr>
        <w:t xml:space="preserve"> </w:t>
      </w:r>
      <w:proofErr w:type="spellStart"/>
      <w:r w:rsidRPr="00E16672">
        <w:rPr>
          <w:rFonts w:ascii="Times New Roman" w:hAnsi="Times New Roman"/>
          <w:szCs w:val="20"/>
        </w:rPr>
        <w:t>папери</w:t>
      </w:r>
      <w:proofErr w:type="spellEnd"/>
      <w:r w:rsidRPr="00E16672">
        <w:rPr>
          <w:rFonts w:ascii="Times New Roman" w:hAnsi="Times New Roman"/>
          <w:szCs w:val="20"/>
        </w:rPr>
        <w:t xml:space="preserve"> на </w:t>
      </w:r>
      <w:proofErr w:type="spellStart"/>
      <w:r w:rsidRPr="00E16672">
        <w:rPr>
          <w:rFonts w:ascii="Times New Roman" w:hAnsi="Times New Roman"/>
          <w:szCs w:val="20"/>
        </w:rPr>
        <w:t>рахунку</w:t>
      </w:r>
      <w:proofErr w:type="spellEnd"/>
      <w:r w:rsidRPr="00E16672">
        <w:rPr>
          <w:rFonts w:ascii="Times New Roman" w:hAnsi="Times New Roman"/>
          <w:szCs w:val="20"/>
        </w:rPr>
        <w:t xml:space="preserve"> </w:t>
      </w:r>
      <w:r w:rsidR="00C22309" w:rsidRPr="00E16672">
        <w:rPr>
          <w:rFonts w:ascii="Times New Roman" w:hAnsi="Times New Roman"/>
          <w:szCs w:val="20"/>
        </w:rPr>
        <w:t xml:space="preserve">в </w:t>
      </w:r>
      <w:proofErr w:type="spellStart"/>
      <w:r w:rsidR="00C22309" w:rsidRPr="00E16672">
        <w:rPr>
          <w:rFonts w:ascii="Times New Roman" w:hAnsi="Times New Roman"/>
          <w:szCs w:val="20"/>
        </w:rPr>
        <w:t>цін</w:t>
      </w:r>
      <w:r w:rsidRPr="00E16672">
        <w:rPr>
          <w:rFonts w:ascii="Times New Roman" w:hAnsi="Times New Roman"/>
          <w:szCs w:val="20"/>
        </w:rPr>
        <w:t>них</w:t>
      </w:r>
      <w:proofErr w:type="spellEnd"/>
      <w:r w:rsidRPr="00E16672">
        <w:rPr>
          <w:rFonts w:ascii="Times New Roman" w:hAnsi="Times New Roman"/>
          <w:szCs w:val="20"/>
        </w:rPr>
        <w:t xml:space="preserve"> </w:t>
      </w:r>
      <w:proofErr w:type="spellStart"/>
      <w:r w:rsidRPr="00E16672">
        <w:rPr>
          <w:rFonts w:ascii="Times New Roman" w:hAnsi="Times New Roman"/>
          <w:szCs w:val="20"/>
        </w:rPr>
        <w:t>паперах</w:t>
      </w:r>
      <w:proofErr w:type="spellEnd"/>
      <w:r w:rsidRPr="00E16672">
        <w:rPr>
          <w:rFonts w:ascii="Times New Roman" w:hAnsi="Times New Roman"/>
          <w:szCs w:val="20"/>
        </w:rPr>
        <w:t xml:space="preserve"> Депонента.</w:t>
      </w:r>
    </w:p>
    <w:p w14:paraId="0725F079" w14:textId="77777777" w:rsidR="000A1A7C" w:rsidRPr="00E16672" w:rsidRDefault="000A1A7C" w:rsidP="000A1A7C">
      <w:pPr>
        <w:rPr>
          <w:rFonts w:ascii="Times New Roman" w:hAnsi="Times New Roman"/>
          <w:szCs w:val="20"/>
          <w:lang w:val="uk-UA"/>
        </w:rPr>
      </w:pPr>
      <w:r w:rsidRPr="00E16672">
        <w:rPr>
          <w:rFonts w:ascii="Times New Roman" w:hAnsi="Times New Roman"/>
          <w:szCs w:val="20"/>
        </w:rPr>
        <w:t xml:space="preserve">6.5. </w:t>
      </w:r>
      <w:proofErr w:type="spellStart"/>
      <w:r w:rsidRPr="00E16672">
        <w:rPr>
          <w:rFonts w:ascii="Times New Roman" w:hAnsi="Times New Roman"/>
          <w:szCs w:val="20"/>
        </w:rPr>
        <w:t>Цей</w:t>
      </w:r>
      <w:proofErr w:type="spellEnd"/>
      <w:r w:rsidRPr="00E16672">
        <w:rPr>
          <w:rFonts w:ascii="Times New Roman" w:hAnsi="Times New Roman"/>
          <w:szCs w:val="20"/>
        </w:rPr>
        <w:t xml:space="preserve"> </w:t>
      </w:r>
      <w:proofErr w:type="spellStart"/>
      <w:r w:rsidRPr="00E16672">
        <w:rPr>
          <w:rFonts w:ascii="Times New Roman" w:hAnsi="Times New Roman"/>
          <w:szCs w:val="20"/>
        </w:rPr>
        <w:t>Договір</w:t>
      </w:r>
      <w:proofErr w:type="spellEnd"/>
      <w:r w:rsidRPr="00E16672">
        <w:rPr>
          <w:rFonts w:ascii="Times New Roman" w:hAnsi="Times New Roman"/>
          <w:szCs w:val="20"/>
        </w:rPr>
        <w:t xml:space="preserve"> </w:t>
      </w:r>
      <w:proofErr w:type="spellStart"/>
      <w:r w:rsidRPr="00E16672">
        <w:rPr>
          <w:rFonts w:ascii="Times New Roman" w:hAnsi="Times New Roman"/>
          <w:szCs w:val="20"/>
        </w:rPr>
        <w:t>припиняється</w:t>
      </w:r>
      <w:proofErr w:type="spellEnd"/>
      <w:r w:rsidRPr="00E16672">
        <w:rPr>
          <w:rFonts w:ascii="Times New Roman" w:hAnsi="Times New Roman"/>
          <w:szCs w:val="20"/>
        </w:rPr>
        <w:t xml:space="preserve">, </w:t>
      </w:r>
      <w:proofErr w:type="spellStart"/>
      <w:r w:rsidRPr="00E16672">
        <w:rPr>
          <w:rFonts w:ascii="Times New Roman" w:hAnsi="Times New Roman"/>
          <w:szCs w:val="20"/>
        </w:rPr>
        <w:t>зокрема</w:t>
      </w:r>
      <w:proofErr w:type="spellEnd"/>
      <w:r w:rsidRPr="00E16672">
        <w:rPr>
          <w:rFonts w:ascii="Times New Roman" w:hAnsi="Times New Roman"/>
          <w:szCs w:val="20"/>
        </w:rPr>
        <w:t xml:space="preserve">, у </w:t>
      </w:r>
      <w:proofErr w:type="spellStart"/>
      <w:r w:rsidRPr="00E16672">
        <w:rPr>
          <w:rFonts w:ascii="Times New Roman" w:hAnsi="Times New Roman"/>
          <w:szCs w:val="20"/>
        </w:rPr>
        <w:t>разі</w:t>
      </w:r>
      <w:proofErr w:type="spellEnd"/>
      <w:r w:rsidRPr="00E16672">
        <w:rPr>
          <w:rFonts w:ascii="Times New Roman" w:hAnsi="Times New Roman"/>
          <w:szCs w:val="20"/>
        </w:rPr>
        <w:t xml:space="preserve"> </w:t>
      </w:r>
      <w:proofErr w:type="spellStart"/>
      <w:r w:rsidRPr="00E16672">
        <w:rPr>
          <w:rFonts w:ascii="Times New Roman" w:hAnsi="Times New Roman"/>
          <w:szCs w:val="20"/>
        </w:rPr>
        <w:t>закриття</w:t>
      </w:r>
      <w:proofErr w:type="spellEnd"/>
      <w:r w:rsidRPr="00E16672">
        <w:rPr>
          <w:rFonts w:ascii="Times New Roman" w:hAnsi="Times New Roman"/>
          <w:szCs w:val="20"/>
        </w:rPr>
        <w:t xml:space="preserve"> </w:t>
      </w:r>
      <w:proofErr w:type="spellStart"/>
      <w:r w:rsidRPr="00E16672">
        <w:rPr>
          <w:rFonts w:ascii="Times New Roman" w:hAnsi="Times New Roman"/>
          <w:szCs w:val="20"/>
        </w:rPr>
        <w:t>рахунку</w:t>
      </w:r>
      <w:proofErr w:type="spellEnd"/>
      <w:r w:rsidRPr="00E16672">
        <w:rPr>
          <w:rFonts w:ascii="Times New Roman" w:hAnsi="Times New Roman"/>
          <w:szCs w:val="20"/>
        </w:rPr>
        <w:t xml:space="preserve"> </w:t>
      </w:r>
      <w:r w:rsidR="00C22309" w:rsidRPr="00E16672">
        <w:rPr>
          <w:rFonts w:ascii="Times New Roman" w:hAnsi="Times New Roman"/>
          <w:szCs w:val="20"/>
        </w:rPr>
        <w:t xml:space="preserve">в </w:t>
      </w:r>
      <w:proofErr w:type="spellStart"/>
      <w:r w:rsidR="00C22309" w:rsidRPr="00E16672">
        <w:rPr>
          <w:rFonts w:ascii="Times New Roman" w:hAnsi="Times New Roman"/>
          <w:szCs w:val="20"/>
        </w:rPr>
        <w:t>цін</w:t>
      </w:r>
      <w:r w:rsidRPr="00E16672">
        <w:rPr>
          <w:rFonts w:ascii="Times New Roman" w:hAnsi="Times New Roman"/>
          <w:szCs w:val="20"/>
        </w:rPr>
        <w:t>них</w:t>
      </w:r>
      <w:proofErr w:type="spellEnd"/>
      <w:r w:rsidRPr="00E16672">
        <w:rPr>
          <w:rFonts w:ascii="Times New Roman" w:hAnsi="Times New Roman"/>
          <w:szCs w:val="20"/>
        </w:rPr>
        <w:t xml:space="preserve"> </w:t>
      </w:r>
      <w:proofErr w:type="spellStart"/>
      <w:r w:rsidRPr="00E16672">
        <w:rPr>
          <w:rFonts w:ascii="Times New Roman" w:hAnsi="Times New Roman"/>
          <w:szCs w:val="20"/>
        </w:rPr>
        <w:t>паперах</w:t>
      </w:r>
      <w:proofErr w:type="spellEnd"/>
      <w:r w:rsidRPr="00E16672">
        <w:rPr>
          <w:rFonts w:ascii="Times New Roman" w:hAnsi="Times New Roman"/>
          <w:szCs w:val="20"/>
        </w:rPr>
        <w:t xml:space="preserve"> за </w:t>
      </w:r>
      <w:proofErr w:type="spellStart"/>
      <w:r w:rsidRPr="00E16672">
        <w:rPr>
          <w:rFonts w:ascii="Times New Roman" w:hAnsi="Times New Roman"/>
          <w:szCs w:val="20"/>
        </w:rPr>
        <w:t>розпорядженням</w:t>
      </w:r>
      <w:proofErr w:type="spellEnd"/>
      <w:r w:rsidRPr="00E16672">
        <w:rPr>
          <w:rFonts w:ascii="Times New Roman" w:hAnsi="Times New Roman"/>
          <w:szCs w:val="20"/>
        </w:rPr>
        <w:t xml:space="preserve"> Депонента. У </w:t>
      </w:r>
      <w:proofErr w:type="spellStart"/>
      <w:r w:rsidRPr="00E16672">
        <w:rPr>
          <w:rFonts w:ascii="Times New Roman" w:hAnsi="Times New Roman"/>
          <w:szCs w:val="20"/>
        </w:rPr>
        <w:t>цьому</w:t>
      </w:r>
      <w:proofErr w:type="spellEnd"/>
      <w:r w:rsidRPr="00E16672">
        <w:rPr>
          <w:rFonts w:ascii="Times New Roman" w:hAnsi="Times New Roman"/>
          <w:szCs w:val="20"/>
        </w:rPr>
        <w:t xml:space="preserve"> </w:t>
      </w:r>
      <w:proofErr w:type="spellStart"/>
      <w:r w:rsidRPr="00E16672">
        <w:rPr>
          <w:rFonts w:ascii="Times New Roman" w:hAnsi="Times New Roman"/>
          <w:szCs w:val="20"/>
        </w:rPr>
        <w:t>випадку</w:t>
      </w:r>
      <w:proofErr w:type="spellEnd"/>
      <w:r w:rsidRPr="00E16672">
        <w:rPr>
          <w:rFonts w:ascii="Times New Roman" w:hAnsi="Times New Roman"/>
          <w:szCs w:val="20"/>
        </w:rPr>
        <w:t xml:space="preserve"> дата </w:t>
      </w:r>
      <w:proofErr w:type="spellStart"/>
      <w:r w:rsidRPr="00E16672">
        <w:rPr>
          <w:rFonts w:ascii="Times New Roman" w:hAnsi="Times New Roman"/>
          <w:szCs w:val="20"/>
        </w:rPr>
        <w:t>закриття</w:t>
      </w:r>
      <w:proofErr w:type="spellEnd"/>
      <w:r w:rsidRPr="00E16672">
        <w:rPr>
          <w:rFonts w:ascii="Times New Roman" w:hAnsi="Times New Roman"/>
          <w:szCs w:val="20"/>
        </w:rPr>
        <w:t xml:space="preserve"> </w:t>
      </w:r>
      <w:proofErr w:type="spellStart"/>
      <w:r w:rsidRPr="00E16672">
        <w:rPr>
          <w:rFonts w:ascii="Times New Roman" w:hAnsi="Times New Roman"/>
          <w:szCs w:val="20"/>
        </w:rPr>
        <w:t>рахунку</w:t>
      </w:r>
      <w:proofErr w:type="spellEnd"/>
      <w:r w:rsidRPr="00E16672">
        <w:rPr>
          <w:rFonts w:ascii="Times New Roman" w:hAnsi="Times New Roman"/>
          <w:szCs w:val="20"/>
        </w:rPr>
        <w:t xml:space="preserve"> </w:t>
      </w:r>
      <w:r w:rsidR="00C22309" w:rsidRPr="00E16672">
        <w:rPr>
          <w:rFonts w:ascii="Times New Roman" w:hAnsi="Times New Roman"/>
          <w:szCs w:val="20"/>
        </w:rPr>
        <w:t xml:space="preserve">в </w:t>
      </w:r>
      <w:proofErr w:type="spellStart"/>
      <w:r w:rsidR="00C22309" w:rsidRPr="00E16672">
        <w:rPr>
          <w:rFonts w:ascii="Times New Roman" w:hAnsi="Times New Roman"/>
          <w:szCs w:val="20"/>
        </w:rPr>
        <w:t>цін</w:t>
      </w:r>
      <w:r w:rsidRPr="00E16672">
        <w:rPr>
          <w:rFonts w:ascii="Times New Roman" w:hAnsi="Times New Roman"/>
          <w:szCs w:val="20"/>
        </w:rPr>
        <w:t>них</w:t>
      </w:r>
      <w:proofErr w:type="spellEnd"/>
      <w:r w:rsidRPr="00E16672">
        <w:rPr>
          <w:rFonts w:ascii="Times New Roman" w:hAnsi="Times New Roman"/>
          <w:szCs w:val="20"/>
        </w:rPr>
        <w:t xml:space="preserve"> </w:t>
      </w:r>
      <w:proofErr w:type="spellStart"/>
      <w:proofErr w:type="gramStart"/>
      <w:r w:rsidRPr="00E16672">
        <w:rPr>
          <w:rFonts w:ascii="Times New Roman" w:hAnsi="Times New Roman"/>
          <w:szCs w:val="20"/>
        </w:rPr>
        <w:t>паперах</w:t>
      </w:r>
      <w:proofErr w:type="spellEnd"/>
      <w:r w:rsidRPr="00E16672">
        <w:rPr>
          <w:rFonts w:ascii="Times New Roman" w:hAnsi="Times New Roman"/>
          <w:szCs w:val="20"/>
        </w:rPr>
        <w:t xml:space="preserve">  є</w:t>
      </w:r>
      <w:proofErr w:type="gramEnd"/>
      <w:r w:rsidRPr="00E16672">
        <w:rPr>
          <w:rFonts w:ascii="Times New Roman" w:hAnsi="Times New Roman"/>
          <w:szCs w:val="20"/>
        </w:rPr>
        <w:t xml:space="preserve"> </w:t>
      </w:r>
      <w:proofErr w:type="spellStart"/>
      <w:r w:rsidRPr="00E16672">
        <w:rPr>
          <w:rFonts w:ascii="Times New Roman" w:hAnsi="Times New Roman"/>
          <w:szCs w:val="20"/>
        </w:rPr>
        <w:t>останньою</w:t>
      </w:r>
      <w:proofErr w:type="spellEnd"/>
      <w:r w:rsidRPr="00E16672">
        <w:rPr>
          <w:rFonts w:ascii="Times New Roman" w:hAnsi="Times New Roman"/>
          <w:szCs w:val="20"/>
        </w:rPr>
        <w:t xml:space="preserve"> датою </w:t>
      </w:r>
      <w:proofErr w:type="spellStart"/>
      <w:r w:rsidRPr="00E16672">
        <w:rPr>
          <w:rFonts w:ascii="Times New Roman" w:hAnsi="Times New Roman"/>
          <w:szCs w:val="20"/>
        </w:rPr>
        <w:t>чинності</w:t>
      </w:r>
      <w:proofErr w:type="spellEnd"/>
      <w:r w:rsidRPr="00E16672">
        <w:rPr>
          <w:rFonts w:ascii="Times New Roman" w:hAnsi="Times New Roman"/>
          <w:szCs w:val="20"/>
        </w:rPr>
        <w:t xml:space="preserve"> (</w:t>
      </w:r>
      <w:proofErr w:type="spellStart"/>
      <w:r w:rsidRPr="00E16672">
        <w:rPr>
          <w:rFonts w:ascii="Times New Roman" w:hAnsi="Times New Roman"/>
          <w:szCs w:val="20"/>
        </w:rPr>
        <w:t>дії</w:t>
      </w:r>
      <w:proofErr w:type="spellEnd"/>
      <w:r w:rsidRPr="00E16672">
        <w:rPr>
          <w:rFonts w:ascii="Times New Roman" w:hAnsi="Times New Roman"/>
          <w:szCs w:val="20"/>
        </w:rPr>
        <w:t>) Договору</w:t>
      </w:r>
      <w:r w:rsidRPr="00E16672">
        <w:rPr>
          <w:rFonts w:ascii="Times New Roman" w:hAnsi="Times New Roman"/>
          <w:szCs w:val="20"/>
          <w:lang w:val="uk-UA"/>
        </w:rPr>
        <w:t xml:space="preserve">. </w:t>
      </w:r>
    </w:p>
    <w:p w14:paraId="55870834" w14:textId="77777777" w:rsidR="000A1A7C" w:rsidRPr="00E16672" w:rsidRDefault="000A1A7C" w:rsidP="000A1A7C">
      <w:pPr>
        <w:rPr>
          <w:rFonts w:ascii="Times New Roman" w:hAnsi="Times New Roman"/>
          <w:szCs w:val="20"/>
          <w:lang w:val="uk-UA"/>
        </w:rPr>
      </w:pPr>
      <w:r w:rsidRPr="00E16672">
        <w:rPr>
          <w:rFonts w:ascii="Times New Roman" w:hAnsi="Times New Roman"/>
          <w:szCs w:val="20"/>
          <w:lang w:val="uk-UA"/>
        </w:rPr>
        <w:t>6.6. Депозитарна установа та Депонент зобов’язані у разі розірвання цього Договору (у тому числі у зв’язку з припиненням Депозитарною установою провадження професійної діяльності на фондовому ринку – депозитарної діяльності) діяти відповідно до вимог законодавства та цього Договору.</w:t>
      </w:r>
    </w:p>
    <w:p w14:paraId="3852A036" w14:textId="77777777" w:rsidR="000A1A7C" w:rsidRPr="00E16672" w:rsidRDefault="000A1A7C" w:rsidP="00022F5F">
      <w:pPr>
        <w:jc w:val="left"/>
        <w:rPr>
          <w:rFonts w:ascii="Times New Roman" w:hAnsi="Times New Roman"/>
          <w:szCs w:val="20"/>
          <w:lang w:val="uk-UA"/>
        </w:rPr>
      </w:pPr>
      <w:r w:rsidRPr="00E16672">
        <w:rPr>
          <w:rFonts w:ascii="Times New Roman" w:hAnsi="Times New Roman"/>
          <w:szCs w:val="20"/>
          <w:lang w:val="uk-UA"/>
        </w:rPr>
        <w:t xml:space="preserve">6.7. Питання, що виникають під час укладення, виконання, зміни, розірвання Договору і не врегульовані ним, регулюються Цивільним кодексом України, Господарським кодексом України, Законом України </w:t>
      </w:r>
      <w:r w:rsidR="00022F5F">
        <w:rPr>
          <w:rFonts w:ascii="Times New Roman" w:hAnsi="Times New Roman"/>
          <w:szCs w:val="20"/>
          <w:lang w:val="uk-UA"/>
        </w:rPr>
        <w:t>"</w:t>
      </w:r>
      <w:r w:rsidRPr="00E16672">
        <w:rPr>
          <w:rFonts w:ascii="Times New Roman" w:hAnsi="Times New Roman"/>
          <w:szCs w:val="20"/>
          <w:lang w:val="uk-UA"/>
        </w:rPr>
        <w:t>Про депозитарну систему України</w:t>
      </w:r>
      <w:r w:rsidR="00022F5F">
        <w:rPr>
          <w:rFonts w:ascii="Times New Roman" w:hAnsi="Times New Roman"/>
          <w:szCs w:val="20"/>
          <w:lang w:val="uk-UA"/>
        </w:rPr>
        <w:t>"</w:t>
      </w:r>
      <w:r w:rsidRPr="00E16672">
        <w:rPr>
          <w:rFonts w:ascii="Times New Roman" w:hAnsi="Times New Roman"/>
          <w:szCs w:val="20"/>
          <w:lang w:val="uk-UA"/>
        </w:rPr>
        <w:t>, нормативно-правовими актами НКЦПФР.</w:t>
      </w:r>
    </w:p>
    <w:p w14:paraId="54D911FB" w14:textId="77777777" w:rsidR="007974E8" w:rsidRPr="00E16672" w:rsidRDefault="007974E8" w:rsidP="007974E8">
      <w:pPr>
        <w:rPr>
          <w:rFonts w:ascii="Times New Roman" w:hAnsi="Times New Roman"/>
          <w:color w:val="000000"/>
          <w:szCs w:val="20"/>
          <w:lang w:val="uk-UA"/>
        </w:rPr>
      </w:pPr>
    </w:p>
    <w:p w14:paraId="2693A646" w14:textId="77777777" w:rsidR="007974E8" w:rsidRPr="00E16672" w:rsidRDefault="007974E8" w:rsidP="007974E8">
      <w:pPr>
        <w:jc w:val="center"/>
        <w:rPr>
          <w:rFonts w:ascii="Times New Roman" w:hAnsi="Times New Roman"/>
          <w:b/>
          <w:color w:val="000000"/>
          <w:szCs w:val="20"/>
          <w:lang w:val="uk-UA"/>
        </w:rPr>
      </w:pPr>
      <w:r w:rsidRPr="00E16672">
        <w:rPr>
          <w:rFonts w:ascii="Times New Roman" w:hAnsi="Times New Roman"/>
          <w:b/>
          <w:color w:val="000000"/>
          <w:szCs w:val="20"/>
          <w:lang w:val="uk-UA"/>
        </w:rPr>
        <w:t>7. Порядок розкриття інформації, що належить</w:t>
      </w:r>
    </w:p>
    <w:p w14:paraId="095E87FA" w14:textId="77777777" w:rsidR="007974E8" w:rsidRPr="00E16672" w:rsidRDefault="007974E8" w:rsidP="007974E8">
      <w:pPr>
        <w:jc w:val="center"/>
        <w:rPr>
          <w:rFonts w:ascii="Times New Roman" w:hAnsi="Times New Roman"/>
          <w:b/>
          <w:color w:val="000000"/>
          <w:szCs w:val="20"/>
          <w:lang w:val="uk-UA"/>
        </w:rPr>
      </w:pPr>
      <w:r w:rsidRPr="00E16672">
        <w:rPr>
          <w:rFonts w:ascii="Times New Roman" w:hAnsi="Times New Roman"/>
          <w:b/>
          <w:color w:val="000000"/>
          <w:szCs w:val="20"/>
          <w:lang w:val="uk-UA"/>
        </w:rPr>
        <w:t xml:space="preserve"> до інформації з обмеженим доступом</w:t>
      </w:r>
    </w:p>
    <w:p w14:paraId="0A932C4F" w14:textId="77777777" w:rsidR="007974E8" w:rsidRPr="00E16672" w:rsidRDefault="007974E8" w:rsidP="00022F5F">
      <w:pPr>
        <w:jc w:val="left"/>
        <w:rPr>
          <w:rFonts w:ascii="Times New Roman" w:hAnsi="Times New Roman"/>
          <w:color w:val="000000"/>
          <w:szCs w:val="20"/>
          <w:lang w:val="uk-UA"/>
        </w:rPr>
      </w:pPr>
      <w:r w:rsidRPr="00E16672">
        <w:rPr>
          <w:rFonts w:ascii="Times New Roman" w:hAnsi="Times New Roman"/>
          <w:color w:val="000000"/>
          <w:szCs w:val="20"/>
          <w:lang w:val="uk-UA"/>
        </w:rPr>
        <w:t xml:space="preserve">7.1. Інформація, що міститься у системі депозитарного обліку, є інформацією з обмеженим доступом, охороняється законом та не підлягає розголошенню Депозитарною установою, крім випадків, передбачених статтею 25 Закону України </w:t>
      </w:r>
      <w:r w:rsidR="00022F5F">
        <w:rPr>
          <w:rFonts w:ascii="Times New Roman" w:hAnsi="Times New Roman"/>
          <w:color w:val="000000"/>
          <w:szCs w:val="20"/>
          <w:lang w:val="uk-UA"/>
        </w:rPr>
        <w:t>"</w:t>
      </w:r>
      <w:r w:rsidRPr="00E16672">
        <w:rPr>
          <w:rFonts w:ascii="Times New Roman" w:hAnsi="Times New Roman"/>
          <w:color w:val="000000"/>
          <w:szCs w:val="20"/>
          <w:lang w:val="uk-UA"/>
        </w:rPr>
        <w:t>Про депозитарну систему України</w:t>
      </w:r>
      <w:r w:rsidR="00022F5F">
        <w:rPr>
          <w:rFonts w:ascii="Times New Roman" w:hAnsi="Times New Roman"/>
          <w:color w:val="000000"/>
          <w:szCs w:val="20"/>
          <w:lang w:val="uk-UA"/>
        </w:rPr>
        <w:t>"</w:t>
      </w:r>
      <w:r w:rsidRPr="00E16672">
        <w:rPr>
          <w:rFonts w:ascii="Times New Roman" w:hAnsi="Times New Roman"/>
          <w:color w:val="000000"/>
          <w:szCs w:val="20"/>
          <w:lang w:val="uk-UA"/>
        </w:rPr>
        <w:t>.</w:t>
      </w:r>
    </w:p>
    <w:p w14:paraId="4B1785CD" w14:textId="77777777" w:rsidR="007974E8" w:rsidRPr="00E16672" w:rsidRDefault="007974E8" w:rsidP="007974E8">
      <w:pPr>
        <w:rPr>
          <w:rFonts w:ascii="Times New Roman" w:hAnsi="Times New Roman"/>
          <w:color w:val="000000"/>
          <w:szCs w:val="20"/>
          <w:lang w:val="uk-UA"/>
        </w:rPr>
      </w:pPr>
      <w:r w:rsidRPr="00E16672">
        <w:rPr>
          <w:rFonts w:ascii="Times New Roman" w:hAnsi="Times New Roman"/>
          <w:color w:val="000000"/>
          <w:szCs w:val="20"/>
          <w:lang w:val="uk-UA"/>
        </w:rPr>
        <w:t>7.2. Інформація, що міститься у системі депозитарного обліку, надається власнику інформації або його представникові відповідно до умов Договору, або іншим особам у передбачених законом випадках.</w:t>
      </w:r>
    </w:p>
    <w:p w14:paraId="6074DEAA" w14:textId="77777777" w:rsidR="007974E8" w:rsidRPr="00E16672" w:rsidRDefault="007974E8" w:rsidP="007974E8">
      <w:pPr>
        <w:rPr>
          <w:rFonts w:ascii="Times New Roman" w:hAnsi="Times New Roman"/>
          <w:color w:val="000000"/>
          <w:szCs w:val="20"/>
          <w:lang w:val="uk-UA"/>
        </w:rPr>
      </w:pPr>
      <w:r w:rsidRPr="00E16672">
        <w:rPr>
          <w:rFonts w:ascii="Times New Roman" w:hAnsi="Times New Roman"/>
          <w:color w:val="000000"/>
          <w:szCs w:val="20"/>
          <w:lang w:val="uk-UA"/>
        </w:rPr>
        <w:t>7.3. Депозитарна установа забезпечує нерозголошення інформації, що міститься у системі депозитарного обліку, шляхом:</w:t>
      </w:r>
    </w:p>
    <w:p w14:paraId="7E8F0DC0" w14:textId="77777777" w:rsidR="007974E8" w:rsidRPr="00E16672" w:rsidRDefault="007974E8" w:rsidP="007974E8">
      <w:pPr>
        <w:rPr>
          <w:rFonts w:ascii="Times New Roman" w:hAnsi="Times New Roman"/>
          <w:color w:val="000000"/>
          <w:szCs w:val="20"/>
          <w:lang w:val="uk-UA"/>
        </w:rPr>
      </w:pPr>
      <w:r w:rsidRPr="00E16672">
        <w:rPr>
          <w:rFonts w:ascii="Times New Roman" w:hAnsi="Times New Roman"/>
          <w:color w:val="000000"/>
          <w:szCs w:val="20"/>
          <w:lang w:val="uk-UA"/>
        </w:rPr>
        <w:t>1) обмеження кола осіб, які мають доступ до зазначеної інформації;</w:t>
      </w:r>
    </w:p>
    <w:p w14:paraId="510F7177" w14:textId="77777777" w:rsidR="007974E8" w:rsidRPr="00E16672" w:rsidRDefault="007974E8" w:rsidP="007974E8">
      <w:pPr>
        <w:rPr>
          <w:rFonts w:ascii="Times New Roman" w:hAnsi="Times New Roman"/>
          <w:color w:val="000000"/>
          <w:szCs w:val="20"/>
          <w:lang w:val="uk-UA"/>
        </w:rPr>
      </w:pPr>
      <w:r w:rsidRPr="00E16672">
        <w:rPr>
          <w:rFonts w:ascii="Times New Roman" w:hAnsi="Times New Roman"/>
          <w:color w:val="000000"/>
          <w:szCs w:val="20"/>
          <w:lang w:val="uk-UA"/>
        </w:rPr>
        <w:t>2) організації спеціального діловодства у системі депозитарного обліку;</w:t>
      </w:r>
    </w:p>
    <w:p w14:paraId="5880BFAA" w14:textId="77777777" w:rsidR="007974E8" w:rsidRPr="00E16672" w:rsidRDefault="007974E8" w:rsidP="007974E8">
      <w:pPr>
        <w:rPr>
          <w:rFonts w:ascii="Times New Roman" w:hAnsi="Times New Roman"/>
          <w:color w:val="000000"/>
          <w:szCs w:val="20"/>
          <w:lang w:val="uk-UA"/>
        </w:rPr>
      </w:pPr>
      <w:r w:rsidRPr="00E16672">
        <w:rPr>
          <w:rFonts w:ascii="Times New Roman" w:hAnsi="Times New Roman"/>
          <w:color w:val="000000"/>
          <w:szCs w:val="20"/>
          <w:lang w:val="uk-UA"/>
        </w:rPr>
        <w:t>3) застосування технічних та програмних засобів для запобігання несанкціонованому доступу до носіїв такої інформації.</w:t>
      </w:r>
    </w:p>
    <w:p w14:paraId="5E45CA00" w14:textId="77777777" w:rsidR="007974E8" w:rsidRPr="00E16672" w:rsidRDefault="007974E8" w:rsidP="00022F5F">
      <w:pPr>
        <w:jc w:val="left"/>
        <w:rPr>
          <w:rFonts w:ascii="Times New Roman" w:hAnsi="Times New Roman"/>
          <w:bCs/>
          <w:color w:val="000000"/>
          <w:szCs w:val="20"/>
          <w:lang w:val="uk-UA"/>
        </w:rPr>
      </w:pPr>
      <w:r w:rsidRPr="00E16672">
        <w:rPr>
          <w:rFonts w:ascii="Times New Roman" w:hAnsi="Times New Roman"/>
          <w:bCs/>
          <w:color w:val="000000"/>
          <w:szCs w:val="20"/>
          <w:lang w:val="uk-UA"/>
        </w:rPr>
        <w:t xml:space="preserve">7.4. </w:t>
      </w:r>
      <w:r w:rsidRPr="00E16672">
        <w:rPr>
          <w:rFonts w:ascii="Times New Roman" w:hAnsi="Times New Roman"/>
          <w:color w:val="000000"/>
          <w:szCs w:val="20"/>
          <w:lang w:val="uk-UA"/>
        </w:rPr>
        <w:t xml:space="preserve">Депозитарна установа надає </w:t>
      </w:r>
      <w:r w:rsidRPr="00E16672">
        <w:rPr>
          <w:rFonts w:ascii="Times New Roman" w:hAnsi="Times New Roman"/>
          <w:bCs/>
          <w:color w:val="000000"/>
          <w:szCs w:val="20"/>
          <w:lang w:val="uk-UA"/>
        </w:rPr>
        <w:t xml:space="preserve">Центральному депозитарію, іншім учасникам депозитарної системи відповідно до вимог чинного </w:t>
      </w:r>
      <w:r w:rsidR="007B5C69" w:rsidRPr="00E16672">
        <w:rPr>
          <w:rFonts w:ascii="Times New Roman" w:hAnsi="Times New Roman"/>
          <w:bCs/>
          <w:szCs w:val="20"/>
          <w:lang w:val="uk-UA"/>
        </w:rPr>
        <w:t>законодавства</w:t>
      </w:r>
      <w:r w:rsidRPr="00E16672">
        <w:rPr>
          <w:rFonts w:ascii="Times New Roman" w:hAnsi="Times New Roman"/>
          <w:bCs/>
          <w:color w:val="000000"/>
          <w:szCs w:val="20"/>
          <w:lang w:val="uk-UA"/>
        </w:rPr>
        <w:t xml:space="preserve">,  цінних паперів інформацію щодо Депонента, керуючого рахунком </w:t>
      </w:r>
      <w:r w:rsidR="00C22309" w:rsidRPr="00E16672">
        <w:rPr>
          <w:rFonts w:ascii="Times New Roman" w:hAnsi="Times New Roman"/>
          <w:bCs/>
          <w:color w:val="000000"/>
          <w:szCs w:val="20"/>
          <w:lang w:val="uk-UA"/>
        </w:rPr>
        <w:t>в цін</w:t>
      </w:r>
      <w:r w:rsidRPr="00E16672">
        <w:rPr>
          <w:rFonts w:ascii="Times New Roman" w:hAnsi="Times New Roman"/>
          <w:bCs/>
          <w:color w:val="000000"/>
          <w:szCs w:val="20"/>
          <w:lang w:val="uk-UA"/>
        </w:rPr>
        <w:t xml:space="preserve">них паперах Депонента та цінних паперів, що належать Депоненту, яка необхідна для здійснення розрахунків за правочинами щодо цінних паперів з дотриманням принципу </w:t>
      </w:r>
      <w:r w:rsidR="00022F5F">
        <w:rPr>
          <w:rFonts w:ascii="Times New Roman" w:hAnsi="Times New Roman"/>
          <w:bCs/>
          <w:color w:val="000000"/>
          <w:szCs w:val="20"/>
          <w:lang w:val="uk-UA"/>
        </w:rPr>
        <w:t>"</w:t>
      </w:r>
      <w:r w:rsidRPr="00E16672">
        <w:rPr>
          <w:rFonts w:ascii="Times New Roman" w:hAnsi="Times New Roman"/>
          <w:bCs/>
          <w:color w:val="000000"/>
          <w:szCs w:val="20"/>
          <w:lang w:val="uk-UA"/>
        </w:rPr>
        <w:t>поставка цінних паперів проти оплати</w:t>
      </w:r>
      <w:r w:rsidR="00022F5F">
        <w:rPr>
          <w:rFonts w:ascii="Times New Roman" w:hAnsi="Times New Roman"/>
          <w:bCs/>
          <w:color w:val="000000"/>
          <w:szCs w:val="20"/>
          <w:lang w:val="uk-UA"/>
        </w:rPr>
        <w:t>"</w:t>
      </w:r>
      <w:r w:rsidRPr="00E16672">
        <w:rPr>
          <w:rFonts w:ascii="Times New Roman" w:hAnsi="Times New Roman"/>
          <w:bCs/>
          <w:color w:val="000000"/>
          <w:szCs w:val="20"/>
          <w:lang w:val="uk-UA"/>
        </w:rPr>
        <w:t>, з метою подальшого надання такої інформації Розрахунковому центру чи кліринговій установі для її відображення у внутрішній системі обліку такої особи, про що Депонент надає згоду підписавши цей Договір.</w:t>
      </w:r>
    </w:p>
    <w:p w14:paraId="36635BC2" w14:textId="77777777" w:rsidR="007974E8" w:rsidRPr="00E16672" w:rsidRDefault="007974E8" w:rsidP="007974E8">
      <w:pPr>
        <w:jc w:val="center"/>
        <w:rPr>
          <w:rFonts w:ascii="Times New Roman" w:hAnsi="Times New Roman"/>
          <w:b/>
          <w:bCs/>
          <w:color w:val="000000"/>
          <w:szCs w:val="20"/>
          <w:lang w:val="uk-UA"/>
        </w:rPr>
      </w:pPr>
    </w:p>
    <w:p w14:paraId="1CC401B0" w14:textId="77777777" w:rsidR="007974E8" w:rsidRPr="00E16672" w:rsidRDefault="007974E8" w:rsidP="007974E8">
      <w:pPr>
        <w:jc w:val="center"/>
        <w:rPr>
          <w:rFonts w:ascii="Times New Roman" w:hAnsi="Times New Roman"/>
          <w:b/>
          <w:bCs/>
          <w:color w:val="000000"/>
          <w:szCs w:val="20"/>
          <w:lang w:val="uk-UA"/>
        </w:rPr>
      </w:pPr>
      <w:r w:rsidRPr="00E16672">
        <w:rPr>
          <w:rFonts w:ascii="Times New Roman" w:hAnsi="Times New Roman"/>
          <w:b/>
          <w:color w:val="000000"/>
          <w:szCs w:val="20"/>
        </w:rPr>
        <w:t xml:space="preserve">8. </w:t>
      </w:r>
      <w:r w:rsidRPr="00E16672">
        <w:rPr>
          <w:rFonts w:ascii="Times New Roman" w:hAnsi="Times New Roman"/>
          <w:b/>
          <w:bCs/>
          <w:color w:val="000000"/>
          <w:szCs w:val="20"/>
          <w:lang w:val="uk-UA"/>
        </w:rPr>
        <w:t xml:space="preserve">Виконання умов договору. Порядок закриття рахунку </w:t>
      </w:r>
      <w:r w:rsidR="00C22309" w:rsidRPr="00E16672">
        <w:rPr>
          <w:rFonts w:ascii="Times New Roman" w:hAnsi="Times New Roman"/>
          <w:b/>
          <w:bCs/>
          <w:color w:val="000000"/>
          <w:szCs w:val="20"/>
          <w:lang w:val="uk-UA"/>
        </w:rPr>
        <w:t>в цін</w:t>
      </w:r>
      <w:r w:rsidRPr="00E16672">
        <w:rPr>
          <w:rFonts w:ascii="Times New Roman" w:hAnsi="Times New Roman"/>
          <w:b/>
          <w:bCs/>
          <w:color w:val="000000"/>
          <w:szCs w:val="20"/>
          <w:lang w:val="uk-UA"/>
        </w:rPr>
        <w:t>них паперах. Особливі умови.</w:t>
      </w:r>
    </w:p>
    <w:p w14:paraId="2681791B" w14:textId="77777777" w:rsidR="006517E7" w:rsidRDefault="000A1A7C" w:rsidP="006517E7">
      <w:pPr>
        <w:pStyle w:val="23"/>
        <w:ind w:firstLine="540"/>
        <w:rPr>
          <w:rFonts w:ascii="Times New Roman" w:hAnsi="Times New Roman"/>
        </w:rPr>
      </w:pPr>
      <w:r w:rsidRPr="00E16672">
        <w:rPr>
          <w:rFonts w:ascii="Times New Roman" w:hAnsi="Times New Roman"/>
        </w:rPr>
        <w:t>8.1. Депозитарна установа має статус платника податку на прибуток підприємства на загальних умовах.</w:t>
      </w:r>
    </w:p>
    <w:p w14:paraId="500FD52D" w14:textId="77777777" w:rsidR="000A1A7C" w:rsidRPr="00E16672" w:rsidRDefault="000A1A7C" w:rsidP="006517E7">
      <w:pPr>
        <w:pStyle w:val="23"/>
        <w:ind w:firstLine="540"/>
        <w:rPr>
          <w:rFonts w:ascii="Times New Roman" w:hAnsi="Times New Roman"/>
        </w:rPr>
      </w:pPr>
      <w:r w:rsidRPr="00E16672">
        <w:rPr>
          <w:rFonts w:ascii="Times New Roman" w:hAnsi="Times New Roman"/>
        </w:rPr>
        <w:t>8.2. Підписанням цього Договору Депонент підтверджує, що ознайомлений із внутрішніми документами Депозитарної установи, тарифами Депозитарної установи.</w:t>
      </w:r>
    </w:p>
    <w:p w14:paraId="0A720D6C" w14:textId="77777777" w:rsidR="000A1A7C" w:rsidRPr="00E16672" w:rsidRDefault="000A1A7C" w:rsidP="00022F5F">
      <w:pPr>
        <w:tabs>
          <w:tab w:val="left" w:pos="1080"/>
          <w:tab w:val="left" w:pos="1134"/>
        </w:tabs>
        <w:jc w:val="left"/>
        <w:rPr>
          <w:rFonts w:ascii="Times New Roman" w:hAnsi="Times New Roman"/>
          <w:i/>
          <w:szCs w:val="20"/>
          <w:lang w:val="uk-UA"/>
        </w:rPr>
      </w:pPr>
      <w:r w:rsidRPr="00E16672">
        <w:rPr>
          <w:rFonts w:ascii="Times New Roman" w:hAnsi="Times New Roman"/>
          <w:szCs w:val="20"/>
          <w:lang w:val="uk-UA"/>
        </w:rPr>
        <w:t xml:space="preserve">Депонент підтверджує, що Депозитарною установою йому надана інформація, зазначена в частині другій статті 12 Закону України </w:t>
      </w:r>
      <w:r w:rsidR="00022F5F">
        <w:rPr>
          <w:rFonts w:ascii="Times New Roman" w:hAnsi="Times New Roman"/>
          <w:szCs w:val="20"/>
          <w:lang w:val="uk-UA"/>
        </w:rPr>
        <w:t>"</w:t>
      </w:r>
      <w:r w:rsidRPr="00E16672">
        <w:rPr>
          <w:rFonts w:ascii="Times New Roman" w:hAnsi="Times New Roman"/>
          <w:szCs w:val="20"/>
          <w:lang w:val="uk-UA"/>
        </w:rPr>
        <w:t>Про фінансові послуги та державне регулювання ринків фінансових послуг</w:t>
      </w:r>
      <w:r w:rsidR="00022F5F">
        <w:rPr>
          <w:rFonts w:ascii="Times New Roman" w:hAnsi="Times New Roman"/>
          <w:szCs w:val="20"/>
          <w:lang w:val="uk-UA"/>
        </w:rPr>
        <w:t>"</w:t>
      </w:r>
      <w:r w:rsidRPr="00E16672">
        <w:rPr>
          <w:rFonts w:ascii="Times New Roman" w:hAnsi="Times New Roman"/>
          <w:szCs w:val="20"/>
          <w:lang w:val="uk-UA"/>
        </w:rPr>
        <w:t>.</w:t>
      </w:r>
      <w:r w:rsidRPr="00E16672">
        <w:rPr>
          <w:rFonts w:ascii="Times New Roman" w:hAnsi="Times New Roman"/>
          <w:i/>
          <w:szCs w:val="20"/>
          <w:lang w:val="uk-UA"/>
        </w:rPr>
        <w:t xml:space="preserve"> </w:t>
      </w:r>
    </w:p>
    <w:p w14:paraId="54799531" w14:textId="77777777" w:rsidR="000A1A7C" w:rsidRPr="00E16672" w:rsidRDefault="000A1A7C" w:rsidP="000A1A7C">
      <w:pPr>
        <w:pStyle w:val="ae"/>
        <w:tabs>
          <w:tab w:val="left" w:pos="1080"/>
          <w:tab w:val="left" w:pos="1134"/>
        </w:tabs>
        <w:ind w:firstLine="540"/>
        <w:rPr>
          <w:rFonts w:ascii="Times New Roman" w:hAnsi="Times New Roman"/>
          <w:szCs w:val="20"/>
        </w:rPr>
      </w:pPr>
      <w:r w:rsidRPr="00E16672">
        <w:rPr>
          <w:rFonts w:ascii="Times New Roman" w:hAnsi="Times New Roman"/>
          <w:szCs w:val="20"/>
        </w:rPr>
        <w:t>Інформація, що була надана Депоненту, забезпечила правильне розуміння Депонентом  суті фінансової послуги, що має надаватись, без нав'язування її придбання.</w:t>
      </w:r>
    </w:p>
    <w:p w14:paraId="575D520A" w14:textId="77777777" w:rsidR="006517E7" w:rsidRDefault="000A1A7C" w:rsidP="006517E7">
      <w:pPr>
        <w:pStyle w:val="ae"/>
        <w:tabs>
          <w:tab w:val="left" w:pos="426"/>
        </w:tabs>
        <w:ind w:firstLine="550"/>
        <w:jc w:val="left"/>
        <w:rPr>
          <w:rFonts w:ascii="Times New Roman" w:hAnsi="Times New Roman"/>
          <w:szCs w:val="20"/>
        </w:rPr>
      </w:pPr>
      <w:r w:rsidRPr="00E16672">
        <w:rPr>
          <w:rFonts w:ascii="Times New Roman" w:hAnsi="Times New Roman"/>
          <w:szCs w:val="20"/>
        </w:rPr>
        <w:t xml:space="preserve">8.3. На виконання вимог Закону України </w:t>
      </w:r>
      <w:r w:rsidR="00022F5F">
        <w:rPr>
          <w:rFonts w:ascii="Times New Roman" w:hAnsi="Times New Roman"/>
          <w:szCs w:val="20"/>
        </w:rPr>
        <w:t>"</w:t>
      </w:r>
      <w:r w:rsidRPr="00E16672">
        <w:rPr>
          <w:rFonts w:ascii="Times New Roman" w:hAnsi="Times New Roman"/>
          <w:szCs w:val="20"/>
        </w:rPr>
        <w:t>Про захист персональних даних</w:t>
      </w:r>
      <w:r w:rsidR="00022F5F">
        <w:rPr>
          <w:rFonts w:ascii="Times New Roman" w:hAnsi="Times New Roman"/>
          <w:szCs w:val="20"/>
        </w:rPr>
        <w:t>"</w:t>
      </w:r>
      <w:r w:rsidRPr="00E16672">
        <w:rPr>
          <w:rFonts w:ascii="Times New Roman" w:hAnsi="Times New Roman"/>
          <w:szCs w:val="20"/>
        </w:rPr>
        <w:t xml:space="preserve"> у разі отримання Депозитарною установою інформації, яка стосується персональних даних фізичних осіб, Сторона, що надала такі дані підписанням цього Договору підтверджує легітимність їх отримання, та право на передання Депозитарній установі таких даних для використання (обробки) </w:t>
      </w:r>
      <w:r w:rsidRPr="00E16672">
        <w:rPr>
          <w:rFonts w:ascii="Times New Roman" w:hAnsi="Times New Roman"/>
          <w:szCs w:val="20"/>
        </w:rPr>
        <w:lastRenderedPageBreak/>
        <w:t xml:space="preserve">Депозитарною установою у випадках, передбачених законодавством, а також – передання Депозитарною установою таких даних третім особам у випадках встановлених чинним законодавством України. </w:t>
      </w:r>
    </w:p>
    <w:p w14:paraId="32213049" w14:textId="77777777" w:rsidR="000A1A7C" w:rsidRPr="00E16672" w:rsidRDefault="000A1A7C" w:rsidP="006517E7">
      <w:pPr>
        <w:pStyle w:val="ae"/>
        <w:tabs>
          <w:tab w:val="left" w:pos="426"/>
        </w:tabs>
        <w:ind w:firstLine="550"/>
        <w:jc w:val="left"/>
        <w:rPr>
          <w:rFonts w:ascii="Times New Roman" w:hAnsi="Times New Roman"/>
          <w:szCs w:val="20"/>
        </w:rPr>
      </w:pPr>
      <w:r w:rsidRPr="00E16672">
        <w:rPr>
          <w:rFonts w:ascii="Times New Roman" w:hAnsi="Times New Roman"/>
          <w:szCs w:val="20"/>
        </w:rPr>
        <w:t>8.4. Додаткові угоди набирають чинності з моменту їх підписання та є невід’ємною частиною Договору .</w:t>
      </w:r>
    </w:p>
    <w:p w14:paraId="3E463484" w14:textId="77777777" w:rsidR="000A1A7C" w:rsidRPr="00E16672" w:rsidRDefault="000A1A7C" w:rsidP="000A1A7C">
      <w:pPr>
        <w:rPr>
          <w:rFonts w:ascii="Times New Roman" w:hAnsi="Times New Roman"/>
          <w:szCs w:val="20"/>
          <w:lang w:val="uk-UA"/>
        </w:rPr>
      </w:pPr>
      <w:r w:rsidRPr="00E16672">
        <w:rPr>
          <w:rFonts w:ascii="Times New Roman" w:hAnsi="Times New Roman"/>
          <w:szCs w:val="20"/>
          <w:lang w:val="uk-UA"/>
        </w:rPr>
        <w:t>8.5. При виконанні даного Договору Сторони керуються умовами Договору та законодавством України.</w:t>
      </w:r>
    </w:p>
    <w:p w14:paraId="2659772F" w14:textId="77777777" w:rsidR="000A1A7C" w:rsidRPr="00E16672" w:rsidRDefault="000A1A7C" w:rsidP="000A1A7C">
      <w:pPr>
        <w:rPr>
          <w:rFonts w:ascii="Times New Roman" w:hAnsi="Times New Roman"/>
          <w:szCs w:val="20"/>
          <w:lang w:val="uk-UA"/>
        </w:rPr>
      </w:pPr>
      <w:r w:rsidRPr="00E16672">
        <w:rPr>
          <w:rFonts w:ascii="Times New Roman" w:hAnsi="Times New Roman"/>
          <w:szCs w:val="20"/>
          <w:lang w:val="uk-UA"/>
        </w:rPr>
        <w:t>8.6. Депонент бере на себе відповідальність за достовірність інформації, що міститься в документах, які подаються Депонентом Депозитарній установі, у тому числі документах, за якими Депозитарній установі Депонентом доручається проведення депозитарних операцій на рахунку Депонента.</w:t>
      </w:r>
    </w:p>
    <w:p w14:paraId="513E07A3" w14:textId="77777777" w:rsidR="000A1A7C" w:rsidRPr="00E16672" w:rsidRDefault="000A1A7C" w:rsidP="000A1A7C">
      <w:pPr>
        <w:rPr>
          <w:rFonts w:ascii="Times New Roman" w:hAnsi="Times New Roman"/>
          <w:szCs w:val="20"/>
          <w:lang w:val="uk-UA"/>
        </w:rPr>
      </w:pPr>
      <w:r w:rsidRPr="00E16672">
        <w:rPr>
          <w:rFonts w:ascii="Times New Roman" w:hAnsi="Times New Roman"/>
          <w:szCs w:val="20"/>
          <w:lang w:val="uk-UA"/>
        </w:rPr>
        <w:t>8.7. Укладення цього Договору не тягне за собою переходу прав на цінні папери та прав за цінними паперами Депонента до Депозитарної установи.</w:t>
      </w:r>
    </w:p>
    <w:p w14:paraId="53B7CF95" w14:textId="77777777" w:rsidR="000A1A7C" w:rsidRPr="00E16672" w:rsidRDefault="000A1A7C" w:rsidP="000A1A7C">
      <w:pPr>
        <w:rPr>
          <w:rFonts w:ascii="Times New Roman" w:hAnsi="Times New Roman"/>
          <w:szCs w:val="20"/>
          <w:lang w:val="uk-UA"/>
        </w:rPr>
      </w:pPr>
      <w:r w:rsidRPr="00E16672">
        <w:rPr>
          <w:rFonts w:ascii="Times New Roman" w:hAnsi="Times New Roman"/>
          <w:szCs w:val="20"/>
          <w:lang w:val="uk-UA"/>
        </w:rPr>
        <w:t xml:space="preserve">8.8. Закриття рахунків </w:t>
      </w:r>
      <w:r w:rsidR="00C22309" w:rsidRPr="00E16672">
        <w:rPr>
          <w:rFonts w:ascii="Times New Roman" w:hAnsi="Times New Roman"/>
          <w:szCs w:val="20"/>
          <w:lang w:val="uk-UA"/>
        </w:rPr>
        <w:t>в цін</w:t>
      </w:r>
      <w:r w:rsidRPr="00E16672">
        <w:rPr>
          <w:rFonts w:ascii="Times New Roman" w:hAnsi="Times New Roman"/>
          <w:szCs w:val="20"/>
          <w:lang w:val="uk-UA"/>
        </w:rPr>
        <w:t xml:space="preserve">них паперах відбувається за розпорядженням ініціатора депозитарної операції, крім випадків, встановлених цим Договором та законом. Обов’язковою умовою закриття рахунку в цінних паперах має бути відсутність в </w:t>
      </w:r>
      <w:proofErr w:type="spellStart"/>
      <w:r w:rsidRPr="00E16672">
        <w:rPr>
          <w:rFonts w:ascii="Times New Roman" w:hAnsi="Times New Roman"/>
          <w:szCs w:val="20"/>
          <w:lang w:val="uk-UA"/>
        </w:rPr>
        <w:t>облік</w:t>
      </w:r>
      <w:r w:rsidR="00C22309" w:rsidRPr="00E16672">
        <w:rPr>
          <w:rFonts w:ascii="Times New Roman" w:hAnsi="Times New Roman"/>
          <w:szCs w:val="20"/>
          <w:lang w:val="uk-UA"/>
        </w:rPr>
        <w:t>в</w:t>
      </w:r>
      <w:proofErr w:type="spellEnd"/>
      <w:r w:rsidR="00C22309" w:rsidRPr="00E16672">
        <w:rPr>
          <w:rFonts w:ascii="Times New Roman" w:hAnsi="Times New Roman"/>
          <w:szCs w:val="20"/>
          <w:lang w:val="uk-UA"/>
        </w:rPr>
        <w:t xml:space="preserve"> цін</w:t>
      </w:r>
      <w:r w:rsidRPr="00E16672">
        <w:rPr>
          <w:rFonts w:ascii="Times New Roman" w:hAnsi="Times New Roman"/>
          <w:szCs w:val="20"/>
          <w:lang w:val="uk-UA"/>
        </w:rPr>
        <w:t>них паперів, прав на цінні папери.</w:t>
      </w:r>
    </w:p>
    <w:p w14:paraId="4DA35906" w14:textId="77777777" w:rsidR="000A1A7C" w:rsidRPr="00E16672" w:rsidRDefault="000A1A7C" w:rsidP="000A1A7C">
      <w:pPr>
        <w:pStyle w:val="32"/>
        <w:ind w:firstLine="555"/>
        <w:rPr>
          <w:rFonts w:ascii="Times New Roman" w:hAnsi="Times New Roman"/>
          <w:sz w:val="20"/>
          <w:lang w:val="uk-UA"/>
        </w:rPr>
      </w:pPr>
      <w:r w:rsidRPr="00E16672">
        <w:rPr>
          <w:rFonts w:ascii="Times New Roman" w:hAnsi="Times New Roman"/>
          <w:sz w:val="20"/>
          <w:lang w:val="uk-UA"/>
        </w:rPr>
        <w:t>8.9. Інші питання, які не регулюються положеннями цього Договору, регулюються чинним законодавством України та внутрішніми документами Депозитарної установи.</w:t>
      </w:r>
    </w:p>
    <w:p w14:paraId="0E9B297A" w14:textId="77777777" w:rsidR="000A1A7C" w:rsidRPr="00E16672" w:rsidRDefault="000A1A7C" w:rsidP="007974E8">
      <w:pPr>
        <w:jc w:val="center"/>
        <w:rPr>
          <w:rFonts w:ascii="Times New Roman" w:hAnsi="Times New Roman"/>
          <w:b/>
          <w:bCs/>
          <w:color w:val="000000"/>
          <w:szCs w:val="20"/>
          <w:lang w:val="uk-UA"/>
        </w:rPr>
      </w:pPr>
    </w:p>
    <w:p w14:paraId="7192EF2E" w14:textId="77777777" w:rsidR="007974E8" w:rsidRPr="00E16672" w:rsidRDefault="007974E8" w:rsidP="007974E8">
      <w:pPr>
        <w:jc w:val="center"/>
        <w:rPr>
          <w:rFonts w:ascii="Times New Roman" w:hAnsi="Times New Roman"/>
          <w:b/>
          <w:bCs/>
          <w:color w:val="000000"/>
          <w:szCs w:val="20"/>
          <w:lang w:val="uk-UA"/>
        </w:rPr>
      </w:pPr>
      <w:r w:rsidRPr="00E16672">
        <w:rPr>
          <w:rFonts w:ascii="Times New Roman" w:hAnsi="Times New Roman"/>
          <w:b/>
          <w:bCs/>
          <w:color w:val="000000"/>
          <w:szCs w:val="20"/>
          <w:lang w:val="uk-UA"/>
        </w:rPr>
        <w:t>9. Форс-мажор</w:t>
      </w:r>
    </w:p>
    <w:p w14:paraId="2CEEAAF4" w14:textId="77777777" w:rsidR="007974E8" w:rsidRPr="00E16672" w:rsidRDefault="007974E8" w:rsidP="007974E8">
      <w:pPr>
        <w:rPr>
          <w:rFonts w:ascii="Times New Roman" w:hAnsi="Times New Roman"/>
          <w:color w:val="000000"/>
          <w:szCs w:val="20"/>
          <w:lang w:val="uk-UA"/>
        </w:rPr>
      </w:pPr>
      <w:r w:rsidRPr="00E16672">
        <w:rPr>
          <w:rFonts w:ascii="Times New Roman" w:hAnsi="Times New Roman"/>
          <w:color w:val="000000"/>
          <w:szCs w:val="20"/>
          <w:lang w:val="uk-UA"/>
        </w:rPr>
        <w:t>9.1. Сторони звільняються від відповідальності за часткове або повне невиконання зобов’язань по цьому Договору (див.п.9.4.), якщо це виконання унеможливив вплив обставин непереборної сили, тобто надзвичайних і невідворотних за даних умов подій: стихійного лиха, аварії, пожежі, вихід із ладу мереж зв’язку та системи електропостачання, масових порушень правопорядку, страйків, військових дій, протиправних дій третіх осіб (крім дій працівників Сторони) чи інших обставин, що виникли після підписання Договору та не залежать від волевиявлення Сторін. Не є непереборною силою недодержання своїх обов’язків іншими контрагентами однієї зі Сторін чи відсутність у Сторони достатніх коштів.</w:t>
      </w:r>
    </w:p>
    <w:p w14:paraId="5B211434" w14:textId="77777777" w:rsidR="007974E8" w:rsidRPr="00E16672" w:rsidRDefault="007974E8" w:rsidP="007974E8">
      <w:pPr>
        <w:rPr>
          <w:rFonts w:ascii="Times New Roman" w:hAnsi="Times New Roman"/>
          <w:color w:val="000000"/>
          <w:szCs w:val="20"/>
          <w:lang w:val="uk-UA"/>
        </w:rPr>
      </w:pPr>
      <w:r w:rsidRPr="00E16672">
        <w:rPr>
          <w:rFonts w:ascii="Times New Roman" w:hAnsi="Times New Roman"/>
          <w:color w:val="000000"/>
          <w:szCs w:val="20"/>
        </w:rPr>
        <w:t>9</w:t>
      </w:r>
      <w:r w:rsidRPr="00E16672">
        <w:rPr>
          <w:rFonts w:ascii="Times New Roman" w:hAnsi="Times New Roman"/>
          <w:color w:val="000000"/>
          <w:szCs w:val="20"/>
          <w:lang w:val="uk-UA"/>
        </w:rPr>
        <w:t>.2. У випадку виникнення обставин непереборної сили термін виконання Сторонами обов`язків по цьому Договору відкладається на термін, протягом якого діють такі обставини та їх наслідки.</w:t>
      </w:r>
    </w:p>
    <w:p w14:paraId="1F10E642" w14:textId="77777777" w:rsidR="007974E8" w:rsidRPr="00E16672" w:rsidRDefault="007974E8" w:rsidP="007974E8">
      <w:pPr>
        <w:rPr>
          <w:rFonts w:ascii="Times New Roman" w:hAnsi="Times New Roman"/>
          <w:color w:val="000000"/>
          <w:szCs w:val="20"/>
          <w:lang w:val="uk-UA"/>
        </w:rPr>
      </w:pPr>
      <w:r w:rsidRPr="00E16672">
        <w:rPr>
          <w:rFonts w:ascii="Times New Roman" w:hAnsi="Times New Roman"/>
          <w:color w:val="000000"/>
          <w:szCs w:val="20"/>
        </w:rPr>
        <w:t>9</w:t>
      </w:r>
      <w:r w:rsidRPr="00E16672">
        <w:rPr>
          <w:rFonts w:ascii="Times New Roman" w:hAnsi="Times New Roman"/>
          <w:color w:val="000000"/>
          <w:szCs w:val="20"/>
          <w:lang w:val="uk-UA"/>
        </w:rPr>
        <w:t xml:space="preserve">.3. Сторони зобов`язуються після настання форс-мажорних обставин вжити всі заходи для ліквідації наслідків та виконання умов Договору. </w:t>
      </w:r>
    </w:p>
    <w:p w14:paraId="665E43DF" w14:textId="77777777" w:rsidR="007974E8" w:rsidRPr="00E16672" w:rsidRDefault="007974E8" w:rsidP="007974E8">
      <w:pPr>
        <w:pStyle w:val="210"/>
        <w:snapToGrid w:val="0"/>
        <w:ind w:firstLine="540"/>
        <w:rPr>
          <w:rFonts w:ascii="Times New Roman" w:hAnsi="Times New Roman"/>
          <w:color w:val="000000"/>
          <w:sz w:val="20"/>
          <w:szCs w:val="20"/>
        </w:rPr>
      </w:pPr>
      <w:r w:rsidRPr="00E16672">
        <w:rPr>
          <w:rFonts w:ascii="Times New Roman" w:hAnsi="Times New Roman"/>
          <w:color w:val="000000"/>
          <w:sz w:val="20"/>
          <w:szCs w:val="20"/>
          <w:lang w:val="ru-RU"/>
        </w:rPr>
        <w:t>9</w:t>
      </w:r>
      <w:r w:rsidRPr="00E16672">
        <w:rPr>
          <w:rFonts w:ascii="Times New Roman" w:hAnsi="Times New Roman"/>
          <w:color w:val="000000"/>
          <w:sz w:val="20"/>
          <w:szCs w:val="20"/>
        </w:rPr>
        <w:t xml:space="preserve">.4. Кожна Сторона зобов’язана письмово підтвердити факт виникнення Форс-мажорних обставин іншій Стороні протягом </w:t>
      </w:r>
      <w:r w:rsidRPr="00E16672">
        <w:rPr>
          <w:rFonts w:ascii="Times New Roman" w:hAnsi="Times New Roman"/>
          <w:i/>
          <w:iCs/>
          <w:color w:val="000000"/>
          <w:sz w:val="20"/>
          <w:szCs w:val="20"/>
          <w:lang w:val="ru-RU"/>
        </w:rPr>
        <w:t>десяти</w:t>
      </w:r>
      <w:r w:rsidRPr="00E16672">
        <w:rPr>
          <w:rFonts w:ascii="Times New Roman" w:hAnsi="Times New Roman"/>
          <w:color w:val="000000"/>
          <w:sz w:val="20"/>
          <w:szCs w:val="20"/>
        </w:rPr>
        <w:t xml:space="preserve"> днів після їх виникнення. </w:t>
      </w:r>
    </w:p>
    <w:p w14:paraId="495EB04E" w14:textId="77777777" w:rsidR="007974E8" w:rsidRPr="00E16672" w:rsidRDefault="007974E8" w:rsidP="007974E8">
      <w:pPr>
        <w:rPr>
          <w:rFonts w:ascii="Times New Roman" w:hAnsi="Times New Roman"/>
          <w:color w:val="000000"/>
          <w:szCs w:val="20"/>
          <w:lang w:val="uk-UA"/>
        </w:rPr>
      </w:pPr>
      <w:r w:rsidRPr="00E16672">
        <w:rPr>
          <w:rFonts w:ascii="Times New Roman" w:hAnsi="Times New Roman"/>
          <w:color w:val="000000"/>
          <w:szCs w:val="20"/>
          <w:lang w:val="uk-UA"/>
        </w:rPr>
        <w:t xml:space="preserve">9.5. Форс-мажорна ситуація між Сторонами розглядається тільки за умови сповіщення протилежної сторони в письмовій формі із зазначенням обставин, що виникли.  </w:t>
      </w:r>
    </w:p>
    <w:p w14:paraId="509E888F" w14:textId="77777777" w:rsidR="007974E8" w:rsidRPr="00E16672" w:rsidRDefault="007974E8" w:rsidP="007974E8">
      <w:pPr>
        <w:pStyle w:val="32"/>
        <w:ind w:firstLine="0"/>
        <w:rPr>
          <w:rFonts w:ascii="Times New Roman" w:hAnsi="Times New Roman"/>
          <w:color w:val="000000"/>
          <w:sz w:val="20"/>
          <w:lang w:val="uk-UA"/>
        </w:rPr>
      </w:pPr>
    </w:p>
    <w:p w14:paraId="6CE9C930" w14:textId="77777777" w:rsidR="003A3CDF" w:rsidRPr="00E16672" w:rsidRDefault="003A3CDF" w:rsidP="003A3CDF">
      <w:pPr>
        <w:ind w:firstLine="540"/>
        <w:jc w:val="center"/>
        <w:rPr>
          <w:rFonts w:ascii="Times New Roman" w:hAnsi="Times New Roman"/>
          <w:b/>
          <w:szCs w:val="20"/>
          <w:lang w:val="uk-UA"/>
        </w:rPr>
      </w:pPr>
      <w:r w:rsidRPr="00E16672">
        <w:rPr>
          <w:rFonts w:ascii="Times New Roman" w:hAnsi="Times New Roman"/>
          <w:b/>
          <w:szCs w:val="20"/>
          <w:lang w:val="uk-UA"/>
        </w:rPr>
        <w:t>10. Згода-повідомлення</w:t>
      </w:r>
    </w:p>
    <w:p w14:paraId="5FD81E36" w14:textId="77777777" w:rsidR="003A3CDF" w:rsidRPr="00E16672" w:rsidRDefault="003A3CDF" w:rsidP="006517E7">
      <w:pPr>
        <w:ind w:firstLine="540"/>
        <w:rPr>
          <w:rFonts w:ascii="Times New Roman" w:hAnsi="Times New Roman"/>
          <w:szCs w:val="20"/>
          <w:lang w:val="uk-UA"/>
        </w:rPr>
      </w:pPr>
      <w:r w:rsidRPr="00E16672">
        <w:rPr>
          <w:rFonts w:ascii="Times New Roman" w:hAnsi="Times New Roman"/>
          <w:szCs w:val="20"/>
          <w:lang w:val="uk-UA"/>
        </w:rPr>
        <w:t xml:space="preserve">10.1. Даним договором Депонент, як суб’єкт персональних даних, на виконання вимог частини 2 статті 12 Закону України </w:t>
      </w:r>
      <w:r w:rsidR="00022F5F">
        <w:rPr>
          <w:rFonts w:ascii="Times New Roman" w:hAnsi="Times New Roman"/>
          <w:szCs w:val="20"/>
          <w:lang w:val="uk-UA"/>
        </w:rPr>
        <w:t>"</w:t>
      </w:r>
      <w:r w:rsidRPr="00E16672">
        <w:rPr>
          <w:rFonts w:ascii="Times New Roman" w:hAnsi="Times New Roman"/>
          <w:szCs w:val="20"/>
          <w:lang w:val="uk-UA"/>
        </w:rPr>
        <w:t>Про захист персональних даних</w:t>
      </w:r>
      <w:r w:rsidR="00022F5F">
        <w:rPr>
          <w:rFonts w:ascii="Times New Roman" w:hAnsi="Times New Roman"/>
          <w:szCs w:val="20"/>
          <w:lang w:val="uk-UA"/>
        </w:rPr>
        <w:t>"</w:t>
      </w:r>
      <w:r w:rsidRPr="00E16672">
        <w:rPr>
          <w:rFonts w:ascii="Times New Roman" w:hAnsi="Times New Roman"/>
          <w:szCs w:val="20"/>
          <w:lang w:val="uk-UA"/>
        </w:rPr>
        <w:t xml:space="preserve"> </w:t>
      </w:r>
      <w:r w:rsidR="006517E7">
        <w:rPr>
          <w:rFonts w:ascii="Times New Roman" w:hAnsi="Times New Roman"/>
          <w:szCs w:val="20"/>
          <w:lang w:val="uk-UA"/>
        </w:rPr>
        <w:t xml:space="preserve"> </w:t>
      </w:r>
      <w:r w:rsidRPr="00E16672">
        <w:rPr>
          <w:rFonts w:ascii="Times New Roman" w:hAnsi="Times New Roman"/>
          <w:szCs w:val="20"/>
          <w:lang w:val="uk-UA"/>
        </w:rPr>
        <w:t xml:space="preserve">повідомляється про включення добровільно наданих ним Депозитарній установі власних персональних даних до бази персональних даних “Система депозитарного обліку Депозитарної установи ТОВ </w:t>
      </w:r>
      <w:r w:rsidR="00022F5F">
        <w:rPr>
          <w:rFonts w:ascii="Times New Roman" w:hAnsi="Times New Roman"/>
          <w:szCs w:val="20"/>
          <w:lang w:val="uk-UA"/>
        </w:rPr>
        <w:t>"</w:t>
      </w:r>
      <w:r w:rsidR="006517E7">
        <w:rPr>
          <w:rFonts w:ascii="Times New Roman" w:hAnsi="Times New Roman"/>
          <w:szCs w:val="20"/>
          <w:lang w:val="uk-UA"/>
        </w:rPr>
        <w:t>КОМЕКС ЦІННІ ПАПЕРИ</w:t>
      </w:r>
      <w:r w:rsidR="00022F5F">
        <w:rPr>
          <w:rFonts w:ascii="Times New Roman" w:hAnsi="Times New Roman"/>
          <w:szCs w:val="20"/>
          <w:lang w:val="uk-UA"/>
        </w:rPr>
        <w:t>"</w:t>
      </w:r>
      <w:r w:rsidRPr="00E16672">
        <w:rPr>
          <w:rFonts w:ascii="Times New Roman" w:hAnsi="Times New Roman"/>
          <w:szCs w:val="20"/>
          <w:lang w:val="uk-UA"/>
        </w:rPr>
        <w:t>, яка розташована за місцезнаходженням Депозитарної установи.</w:t>
      </w:r>
    </w:p>
    <w:p w14:paraId="010BED7D" w14:textId="77777777" w:rsidR="003A3CDF" w:rsidRPr="00E16672" w:rsidRDefault="003A3CDF" w:rsidP="006517E7">
      <w:pPr>
        <w:ind w:firstLine="540"/>
        <w:rPr>
          <w:rFonts w:ascii="Times New Roman" w:hAnsi="Times New Roman"/>
          <w:szCs w:val="20"/>
          <w:lang w:val="uk-UA"/>
        </w:rPr>
      </w:pPr>
      <w:r w:rsidRPr="00E16672">
        <w:rPr>
          <w:rFonts w:ascii="Times New Roman" w:hAnsi="Times New Roman"/>
          <w:szCs w:val="20"/>
          <w:lang w:val="uk-UA"/>
        </w:rPr>
        <w:t xml:space="preserve">Підписуючи даний договір Депонент, як суб’єкт персональних даних, дає свій добровільний та однозначний дозвіл на  вчинення Депозитарною установою Депозитарною установою, як володільцем персональних даних всіх дій, які, відповідно до Закону України </w:t>
      </w:r>
      <w:r w:rsidR="00022F5F">
        <w:rPr>
          <w:rFonts w:ascii="Times New Roman" w:hAnsi="Times New Roman"/>
          <w:szCs w:val="20"/>
          <w:lang w:val="uk-UA"/>
        </w:rPr>
        <w:t>"</w:t>
      </w:r>
      <w:r w:rsidRPr="00E16672">
        <w:rPr>
          <w:rFonts w:ascii="Times New Roman" w:hAnsi="Times New Roman"/>
          <w:szCs w:val="20"/>
          <w:lang w:val="uk-UA"/>
        </w:rPr>
        <w:t>Про захист персональних даних</w:t>
      </w:r>
      <w:r w:rsidR="00022F5F">
        <w:rPr>
          <w:rFonts w:ascii="Times New Roman" w:hAnsi="Times New Roman"/>
          <w:szCs w:val="20"/>
          <w:lang w:val="uk-UA"/>
        </w:rPr>
        <w:t>"</w:t>
      </w:r>
      <w:r w:rsidRPr="00E16672">
        <w:rPr>
          <w:rFonts w:ascii="Times New Roman" w:hAnsi="Times New Roman"/>
          <w:szCs w:val="20"/>
          <w:lang w:val="uk-UA"/>
        </w:rPr>
        <w:t>, є обробкою його персональних даних у відповідності до сформульованої мети їх обробки.</w:t>
      </w:r>
    </w:p>
    <w:p w14:paraId="41A28F27" w14:textId="77777777" w:rsidR="003A3CDF" w:rsidRPr="00E16672" w:rsidRDefault="003A3CDF" w:rsidP="006517E7">
      <w:pPr>
        <w:ind w:firstLine="540"/>
        <w:rPr>
          <w:rFonts w:ascii="Times New Roman" w:hAnsi="Times New Roman"/>
          <w:szCs w:val="20"/>
          <w:lang w:val="uk-UA"/>
        </w:rPr>
      </w:pPr>
      <w:r w:rsidRPr="00E16672">
        <w:rPr>
          <w:rFonts w:ascii="Times New Roman" w:hAnsi="Times New Roman"/>
          <w:szCs w:val="20"/>
          <w:lang w:val="uk-UA"/>
        </w:rPr>
        <w:t xml:space="preserve">10.2. Метою обробки добровільно наданих Депонентом персональних даних є, відповідно до ч. 1 ст. 5 та ч. 1 ст. 18 Закону України </w:t>
      </w:r>
      <w:r w:rsidR="00022F5F">
        <w:rPr>
          <w:rFonts w:ascii="Times New Roman" w:hAnsi="Times New Roman"/>
          <w:szCs w:val="20"/>
          <w:lang w:val="uk-UA"/>
        </w:rPr>
        <w:t>"</w:t>
      </w:r>
      <w:r w:rsidRPr="00E16672">
        <w:rPr>
          <w:rFonts w:ascii="Times New Roman" w:hAnsi="Times New Roman"/>
          <w:szCs w:val="20"/>
          <w:lang w:val="uk-UA"/>
        </w:rPr>
        <w:t>Про депозитарну систему України</w:t>
      </w:r>
      <w:r w:rsidR="00022F5F">
        <w:rPr>
          <w:rFonts w:ascii="Times New Roman" w:hAnsi="Times New Roman"/>
          <w:szCs w:val="20"/>
          <w:lang w:val="uk-UA"/>
        </w:rPr>
        <w:t>"</w:t>
      </w:r>
      <w:r w:rsidRPr="00E16672">
        <w:rPr>
          <w:rFonts w:ascii="Times New Roman" w:hAnsi="Times New Roman"/>
          <w:szCs w:val="20"/>
          <w:lang w:val="uk-UA"/>
        </w:rPr>
        <w:t xml:space="preserve"> є відкриття рахунку </w:t>
      </w:r>
      <w:r w:rsidR="00C22309" w:rsidRPr="00E16672">
        <w:rPr>
          <w:rFonts w:ascii="Times New Roman" w:hAnsi="Times New Roman"/>
          <w:szCs w:val="20"/>
          <w:lang w:val="uk-UA"/>
        </w:rPr>
        <w:t>в цін</w:t>
      </w:r>
      <w:r w:rsidRPr="00E16672">
        <w:rPr>
          <w:rFonts w:ascii="Times New Roman" w:hAnsi="Times New Roman"/>
          <w:szCs w:val="20"/>
          <w:lang w:val="uk-UA"/>
        </w:rPr>
        <w:t xml:space="preserve">них паперах та здійснення депозитарного обліку та обслуговування </w:t>
      </w:r>
      <w:proofErr w:type="spellStart"/>
      <w:r w:rsidRPr="00E16672">
        <w:rPr>
          <w:rFonts w:ascii="Times New Roman" w:hAnsi="Times New Roman"/>
          <w:szCs w:val="20"/>
          <w:lang w:val="uk-UA"/>
        </w:rPr>
        <w:t>обіг</w:t>
      </w:r>
      <w:r w:rsidR="00C22309" w:rsidRPr="00E16672">
        <w:rPr>
          <w:rFonts w:ascii="Times New Roman" w:hAnsi="Times New Roman"/>
          <w:szCs w:val="20"/>
          <w:lang w:val="uk-UA"/>
        </w:rPr>
        <w:t>в</w:t>
      </w:r>
      <w:proofErr w:type="spellEnd"/>
      <w:r w:rsidR="00C22309" w:rsidRPr="00E16672">
        <w:rPr>
          <w:rFonts w:ascii="Times New Roman" w:hAnsi="Times New Roman"/>
          <w:szCs w:val="20"/>
          <w:lang w:val="uk-UA"/>
        </w:rPr>
        <w:t xml:space="preserve"> цін</w:t>
      </w:r>
      <w:r w:rsidRPr="00E16672">
        <w:rPr>
          <w:rFonts w:ascii="Times New Roman" w:hAnsi="Times New Roman"/>
          <w:szCs w:val="20"/>
          <w:lang w:val="uk-UA"/>
        </w:rPr>
        <w:t xml:space="preserve">них паперів і корпоративних операцій емітента на рахунках </w:t>
      </w:r>
      <w:r w:rsidR="00C22309" w:rsidRPr="00E16672">
        <w:rPr>
          <w:rFonts w:ascii="Times New Roman" w:hAnsi="Times New Roman"/>
          <w:szCs w:val="20"/>
          <w:lang w:val="uk-UA"/>
        </w:rPr>
        <w:t>в цін</w:t>
      </w:r>
      <w:r w:rsidRPr="00E16672">
        <w:rPr>
          <w:rFonts w:ascii="Times New Roman" w:hAnsi="Times New Roman"/>
          <w:szCs w:val="20"/>
          <w:lang w:val="uk-UA"/>
        </w:rPr>
        <w:t>них паперах депонентів, а також на власному рахунку в цінних паперах, на якому обліковуються цінні папери, права на цінні папери та обмеження прав на цінні папери, що належать депозитарній установі</w:t>
      </w:r>
    </w:p>
    <w:p w14:paraId="145AB499" w14:textId="77777777" w:rsidR="003A3CDF" w:rsidRPr="00E16672" w:rsidRDefault="003A3CDF" w:rsidP="003A3CDF">
      <w:pPr>
        <w:ind w:firstLine="540"/>
        <w:rPr>
          <w:rFonts w:ascii="Times New Roman" w:hAnsi="Times New Roman"/>
          <w:szCs w:val="20"/>
          <w:lang w:val="uk-UA"/>
        </w:rPr>
      </w:pPr>
      <w:r w:rsidRPr="00E16672">
        <w:rPr>
          <w:rFonts w:ascii="Times New Roman" w:hAnsi="Times New Roman"/>
          <w:szCs w:val="20"/>
          <w:lang w:val="uk-UA"/>
        </w:rPr>
        <w:t>10.3. Для досягнення мети обробки до системи депозитарного обліку Депозитарної установи можуть бути включені наступні персональні дані:</w:t>
      </w:r>
    </w:p>
    <w:p w14:paraId="76CEFFF6" w14:textId="77777777" w:rsidR="003A3CDF" w:rsidRPr="00E16672" w:rsidRDefault="003A3CDF" w:rsidP="003A3CDF">
      <w:pPr>
        <w:ind w:firstLine="540"/>
        <w:rPr>
          <w:rFonts w:ascii="Times New Roman" w:hAnsi="Times New Roman"/>
          <w:szCs w:val="20"/>
          <w:lang w:val="uk-UA"/>
        </w:rPr>
      </w:pPr>
      <w:r w:rsidRPr="00E16672">
        <w:rPr>
          <w:rFonts w:ascii="Times New Roman" w:hAnsi="Times New Roman"/>
          <w:szCs w:val="20"/>
          <w:lang w:val="uk-UA"/>
        </w:rPr>
        <w:t xml:space="preserve">- </w:t>
      </w:r>
      <w:r w:rsidR="006517E7">
        <w:rPr>
          <w:rFonts w:ascii="Times New Roman" w:hAnsi="Times New Roman"/>
          <w:szCs w:val="20"/>
          <w:lang w:val="uk-UA"/>
        </w:rPr>
        <w:t xml:space="preserve"> </w:t>
      </w:r>
      <w:r w:rsidRPr="00E16672">
        <w:rPr>
          <w:rFonts w:ascii="Times New Roman" w:hAnsi="Times New Roman"/>
          <w:szCs w:val="20"/>
          <w:lang w:val="uk-UA"/>
        </w:rPr>
        <w:t xml:space="preserve">прізвище, ім’я, по батькові (за наявності); </w:t>
      </w:r>
    </w:p>
    <w:p w14:paraId="7E3E6AE9" w14:textId="77777777" w:rsidR="003A3CDF" w:rsidRPr="00E16672" w:rsidRDefault="003A3CDF" w:rsidP="003A3CDF">
      <w:pPr>
        <w:ind w:firstLine="540"/>
        <w:rPr>
          <w:rFonts w:ascii="Times New Roman" w:hAnsi="Times New Roman"/>
          <w:szCs w:val="20"/>
          <w:lang w:val="uk-UA"/>
        </w:rPr>
      </w:pPr>
      <w:r w:rsidRPr="00E16672">
        <w:rPr>
          <w:rFonts w:ascii="Times New Roman" w:hAnsi="Times New Roman"/>
          <w:szCs w:val="20"/>
          <w:lang w:val="uk-UA"/>
        </w:rPr>
        <w:t xml:space="preserve">- </w:t>
      </w:r>
      <w:r w:rsidR="006517E7">
        <w:rPr>
          <w:rFonts w:ascii="Times New Roman" w:hAnsi="Times New Roman"/>
          <w:szCs w:val="20"/>
          <w:lang w:val="uk-UA"/>
        </w:rPr>
        <w:t xml:space="preserve"> </w:t>
      </w:r>
      <w:r w:rsidRPr="00E16672">
        <w:rPr>
          <w:rFonts w:ascii="Times New Roman" w:hAnsi="Times New Roman"/>
          <w:szCs w:val="20"/>
          <w:lang w:val="uk-UA"/>
        </w:rPr>
        <w:t>дата народження;</w:t>
      </w:r>
    </w:p>
    <w:p w14:paraId="3B98783D" w14:textId="77777777" w:rsidR="003A3CDF" w:rsidRPr="00E16672" w:rsidRDefault="003A3CDF" w:rsidP="003A3CDF">
      <w:pPr>
        <w:ind w:firstLine="540"/>
        <w:rPr>
          <w:rFonts w:ascii="Times New Roman" w:hAnsi="Times New Roman"/>
          <w:szCs w:val="20"/>
          <w:lang w:val="uk-UA"/>
        </w:rPr>
      </w:pPr>
      <w:r w:rsidRPr="00E16672">
        <w:rPr>
          <w:rFonts w:ascii="Times New Roman" w:hAnsi="Times New Roman"/>
          <w:szCs w:val="20"/>
          <w:lang w:val="uk-UA"/>
        </w:rPr>
        <w:t xml:space="preserve">- </w:t>
      </w:r>
      <w:r w:rsidR="006517E7">
        <w:rPr>
          <w:rFonts w:ascii="Times New Roman" w:hAnsi="Times New Roman"/>
          <w:szCs w:val="20"/>
          <w:lang w:val="uk-UA"/>
        </w:rPr>
        <w:t xml:space="preserve"> </w:t>
      </w:r>
      <w:r w:rsidRPr="00E16672">
        <w:rPr>
          <w:rFonts w:ascii="Times New Roman" w:hAnsi="Times New Roman"/>
          <w:szCs w:val="20"/>
          <w:lang w:val="uk-UA"/>
        </w:rPr>
        <w:t>місце народження;</w:t>
      </w:r>
    </w:p>
    <w:p w14:paraId="63497EEB" w14:textId="77777777" w:rsidR="003A3CDF" w:rsidRPr="00E16672" w:rsidRDefault="003A3CDF" w:rsidP="003A3CDF">
      <w:pPr>
        <w:ind w:firstLine="540"/>
        <w:rPr>
          <w:rFonts w:ascii="Times New Roman" w:hAnsi="Times New Roman"/>
          <w:szCs w:val="20"/>
          <w:lang w:val="uk-UA"/>
        </w:rPr>
      </w:pPr>
      <w:r w:rsidRPr="00E16672">
        <w:rPr>
          <w:rFonts w:ascii="Times New Roman" w:hAnsi="Times New Roman"/>
          <w:szCs w:val="20"/>
          <w:lang w:val="uk-UA"/>
        </w:rPr>
        <w:t xml:space="preserve">- </w:t>
      </w:r>
      <w:r w:rsidR="006517E7">
        <w:rPr>
          <w:rFonts w:ascii="Times New Roman" w:hAnsi="Times New Roman"/>
          <w:szCs w:val="20"/>
          <w:lang w:val="uk-UA"/>
        </w:rPr>
        <w:t xml:space="preserve"> </w:t>
      </w:r>
      <w:r w:rsidRPr="00E16672">
        <w:rPr>
          <w:rFonts w:ascii="Times New Roman" w:hAnsi="Times New Roman"/>
          <w:szCs w:val="20"/>
          <w:lang w:val="uk-UA"/>
        </w:rPr>
        <w:t>місце проживання (перебування);</w:t>
      </w:r>
    </w:p>
    <w:p w14:paraId="1596F782" w14:textId="6CCC1AEE" w:rsidR="003A3CDF" w:rsidRPr="00E16672" w:rsidRDefault="003A3CDF" w:rsidP="003A3CDF">
      <w:pPr>
        <w:ind w:firstLine="540"/>
        <w:rPr>
          <w:rFonts w:ascii="Times New Roman" w:hAnsi="Times New Roman"/>
          <w:szCs w:val="20"/>
          <w:lang w:val="uk-UA"/>
        </w:rPr>
      </w:pPr>
      <w:r w:rsidRPr="00E16672">
        <w:rPr>
          <w:rFonts w:ascii="Times New Roman" w:hAnsi="Times New Roman"/>
          <w:szCs w:val="20"/>
          <w:lang w:val="uk-UA"/>
        </w:rPr>
        <w:t xml:space="preserve">- </w:t>
      </w:r>
      <w:r w:rsidR="006517E7">
        <w:rPr>
          <w:rFonts w:ascii="Times New Roman" w:hAnsi="Times New Roman"/>
          <w:szCs w:val="20"/>
          <w:lang w:val="uk-UA"/>
        </w:rPr>
        <w:t xml:space="preserve"> </w:t>
      </w:r>
      <w:r w:rsidR="004A0C83" w:rsidRPr="004A0C83">
        <w:rPr>
          <w:rFonts w:ascii="Times New Roman" w:hAnsi="Times New Roman"/>
          <w:szCs w:val="20"/>
          <w:lang w:val="uk-UA"/>
        </w:rPr>
        <w:t xml:space="preserve">статус податкового </w:t>
      </w:r>
      <w:proofErr w:type="spellStart"/>
      <w:r w:rsidR="004A0C83" w:rsidRPr="004A0C83">
        <w:rPr>
          <w:rFonts w:ascii="Times New Roman" w:hAnsi="Times New Roman"/>
          <w:szCs w:val="20"/>
          <w:lang w:val="uk-UA"/>
        </w:rPr>
        <w:t>резидентства</w:t>
      </w:r>
      <w:proofErr w:type="spellEnd"/>
      <w:r w:rsidRPr="00E16672">
        <w:rPr>
          <w:rFonts w:ascii="Times New Roman" w:hAnsi="Times New Roman"/>
          <w:szCs w:val="20"/>
          <w:lang w:val="uk-UA"/>
        </w:rPr>
        <w:t>;</w:t>
      </w:r>
    </w:p>
    <w:p w14:paraId="5BA1EC8C" w14:textId="77777777" w:rsidR="003A3CDF" w:rsidRPr="00E16672" w:rsidRDefault="003A3CDF" w:rsidP="003A3CDF">
      <w:pPr>
        <w:ind w:firstLine="540"/>
        <w:rPr>
          <w:rFonts w:ascii="Times New Roman" w:hAnsi="Times New Roman"/>
          <w:szCs w:val="20"/>
          <w:lang w:val="uk-UA"/>
        </w:rPr>
      </w:pPr>
      <w:r w:rsidRPr="00E16672">
        <w:rPr>
          <w:rFonts w:ascii="Times New Roman" w:hAnsi="Times New Roman"/>
          <w:szCs w:val="20"/>
          <w:lang w:val="uk-UA"/>
        </w:rPr>
        <w:t>- Реєстраційний  номер облікової картки платника податків за даними Державного реєстру фізичних  осіб  -  платників податків;</w:t>
      </w:r>
    </w:p>
    <w:p w14:paraId="6DFCAB25" w14:textId="77777777" w:rsidR="003A3CDF" w:rsidRPr="00E16672" w:rsidRDefault="003A3CDF" w:rsidP="003A3CDF">
      <w:pPr>
        <w:ind w:firstLine="540"/>
        <w:rPr>
          <w:rFonts w:ascii="Times New Roman" w:hAnsi="Times New Roman"/>
          <w:szCs w:val="20"/>
          <w:lang w:val="uk-UA"/>
        </w:rPr>
      </w:pPr>
      <w:r w:rsidRPr="00E16672">
        <w:rPr>
          <w:rFonts w:ascii="Times New Roman" w:hAnsi="Times New Roman"/>
          <w:szCs w:val="20"/>
          <w:lang w:val="uk-UA"/>
        </w:rPr>
        <w:t>- серія і номер паспорта (або іншого документа, що посвідчує особу), строк (термін) дії (у разі наявності), дату видачі та орган, що його видав;</w:t>
      </w:r>
    </w:p>
    <w:p w14:paraId="113EA70D" w14:textId="77777777" w:rsidR="003A3CDF" w:rsidRPr="00E16672" w:rsidRDefault="003A3CDF" w:rsidP="003A3CDF">
      <w:pPr>
        <w:ind w:firstLine="540"/>
        <w:rPr>
          <w:rFonts w:ascii="Times New Roman" w:hAnsi="Times New Roman"/>
          <w:szCs w:val="20"/>
          <w:lang w:val="uk-UA"/>
        </w:rPr>
      </w:pPr>
      <w:r w:rsidRPr="00E16672">
        <w:rPr>
          <w:rFonts w:ascii="Times New Roman" w:hAnsi="Times New Roman"/>
          <w:szCs w:val="20"/>
          <w:lang w:val="uk-UA"/>
        </w:rPr>
        <w:t>- реквізити банку, в якому відкрито рахунок, і номер банківського рахунку (за наявності);</w:t>
      </w:r>
    </w:p>
    <w:p w14:paraId="2B9B53E6" w14:textId="3599A20E" w:rsidR="003A3CDF" w:rsidRPr="00E16672" w:rsidRDefault="003A3CDF" w:rsidP="003A3CDF">
      <w:pPr>
        <w:ind w:firstLine="540"/>
        <w:rPr>
          <w:rFonts w:ascii="Times New Roman" w:hAnsi="Times New Roman"/>
          <w:szCs w:val="20"/>
          <w:lang w:val="uk-UA"/>
        </w:rPr>
      </w:pPr>
      <w:r w:rsidRPr="00E16672">
        <w:rPr>
          <w:rFonts w:ascii="Times New Roman" w:hAnsi="Times New Roman"/>
          <w:szCs w:val="20"/>
          <w:lang w:val="uk-UA"/>
        </w:rPr>
        <w:t>- контактн</w:t>
      </w:r>
      <w:r w:rsidR="004A0C83">
        <w:rPr>
          <w:rFonts w:ascii="Times New Roman" w:hAnsi="Times New Roman"/>
          <w:szCs w:val="20"/>
          <w:lang w:val="uk-UA"/>
        </w:rPr>
        <w:t>и</w:t>
      </w:r>
      <w:r w:rsidRPr="00E16672">
        <w:rPr>
          <w:rFonts w:ascii="Times New Roman" w:hAnsi="Times New Roman"/>
          <w:szCs w:val="20"/>
          <w:lang w:val="uk-UA"/>
        </w:rPr>
        <w:t>й телефон;</w:t>
      </w:r>
    </w:p>
    <w:p w14:paraId="00EE5E8C" w14:textId="77777777" w:rsidR="003A3CDF" w:rsidRPr="00E16672" w:rsidRDefault="003A3CDF" w:rsidP="003A3CDF">
      <w:pPr>
        <w:ind w:firstLine="540"/>
        <w:rPr>
          <w:rFonts w:ascii="Times New Roman" w:hAnsi="Times New Roman"/>
          <w:szCs w:val="20"/>
          <w:lang w:val="uk-UA"/>
        </w:rPr>
      </w:pPr>
      <w:r w:rsidRPr="00E16672">
        <w:rPr>
          <w:rFonts w:ascii="Times New Roman" w:hAnsi="Times New Roman"/>
          <w:szCs w:val="20"/>
          <w:lang w:val="uk-UA"/>
        </w:rPr>
        <w:t>- інші персональні дані Депонента, якими володіє Депозитарна установа.</w:t>
      </w:r>
    </w:p>
    <w:p w14:paraId="53ADD8FB" w14:textId="77777777" w:rsidR="003A3CDF" w:rsidRPr="00E16672" w:rsidRDefault="003A3CDF" w:rsidP="00022F5F">
      <w:pPr>
        <w:ind w:firstLine="540"/>
        <w:jc w:val="left"/>
        <w:rPr>
          <w:rFonts w:ascii="Times New Roman" w:hAnsi="Times New Roman"/>
          <w:szCs w:val="20"/>
          <w:lang w:val="uk-UA"/>
        </w:rPr>
      </w:pPr>
      <w:r w:rsidRPr="00E16672">
        <w:rPr>
          <w:rFonts w:ascii="Times New Roman" w:hAnsi="Times New Roman"/>
          <w:szCs w:val="20"/>
          <w:lang w:val="uk-UA"/>
        </w:rPr>
        <w:t xml:space="preserve">10.4. У зв’язку з внесенням до системи депозитарного обліку персональних даних, відповідно до статті 8 Закону України </w:t>
      </w:r>
      <w:r w:rsidR="00022F5F">
        <w:rPr>
          <w:rFonts w:ascii="Times New Roman" w:hAnsi="Times New Roman"/>
          <w:szCs w:val="20"/>
          <w:lang w:val="uk-UA"/>
        </w:rPr>
        <w:t>"</w:t>
      </w:r>
      <w:r w:rsidRPr="00E16672">
        <w:rPr>
          <w:rFonts w:ascii="Times New Roman" w:hAnsi="Times New Roman"/>
          <w:szCs w:val="20"/>
          <w:lang w:val="uk-UA"/>
        </w:rPr>
        <w:t>Про захист персональних даних</w:t>
      </w:r>
      <w:r w:rsidR="00022F5F">
        <w:rPr>
          <w:rFonts w:ascii="Times New Roman" w:hAnsi="Times New Roman"/>
          <w:szCs w:val="20"/>
          <w:lang w:val="uk-UA"/>
        </w:rPr>
        <w:t>"</w:t>
      </w:r>
      <w:r w:rsidRPr="00E16672">
        <w:rPr>
          <w:rFonts w:ascii="Times New Roman" w:hAnsi="Times New Roman"/>
          <w:szCs w:val="20"/>
          <w:lang w:val="uk-UA"/>
        </w:rPr>
        <w:t xml:space="preserve"> Депонент має право: </w:t>
      </w:r>
    </w:p>
    <w:p w14:paraId="4F69F0E5" w14:textId="77777777" w:rsidR="003A3CDF" w:rsidRPr="00E16672" w:rsidRDefault="003A3CDF" w:rsidP="003A3CDF">
      <w:pPr>
        <w:ind w:firstLine="540"/>
        <w:rPr>
          <w:rFonts w:ascii="Times New Roman" w:hAnsi="Times New Roman"/>
          <w:szCs w:val="20"/>
          <w:lang w:val="uk-UA"/>
        </w:rPr>
      </w:pPr>
      <w:r w:rsidRPr="00E16672">
        <w:rPr>
          <w:rFonts w:ascii="Times New Roman" w:hAnsi="Times New Roman"/>
          <w:szCs w:val="20"/>
          <w:lang w:val="uk-UA"/>
        </w:rPr>
        <w:t xml:space="preserve">1) знати про </w:t>
      </w:r>
      <w:proofErr w:type="spellStart"/>
      <w:r w:rsidRPr="00E16672">
        <w:rPr>
          <w:rFonts w:ascii="Times New Roman" w:hAnsi="Times New Roman"/>
          <w:szCs w:val="20"/>
          <w:lang w:val="uk-UA"/>
        </w:rPr>
        <w:t>про</w:t>
      </w:r>
      <w:proofErr w:type="spellEnd"/>
      <w:r w:rsidRPr="00E16672">
        <w:rPr>
          <w:rFonts w:ascii="Times New Roman" w:hAnsi="Times New Roman"/>
          <w:szCs w:val="20"/>
          <w:lang w:val="uk-UA"/>
        </w:rPr>
        <w:t xml:space="preserve"> джерела збирання, місцезнаходження своїх персональних даних, мету їх обробки, місцезнаходження та/або місце проживання (перебування) володільця чи розпорядника персональних даних або дати відповідне доручення щодо отримання цієї інформації уповноваженим ним особам, крім випадків, встановлених законом; </w:t>
      </w:r>
    </w:p>
    <w:p w14:paraId="2E4B7315" w14:textId="77777777" w:rsidR="003A3CDF" w:rsidRPr="00E16672" w:rsidRDefault="003A3CDF" w:rsidP="003A3CDF">
      <w:pPr>
        <w:ind w:firstLine="540"/>
        <w:rPr>
          <w:rFonts w:ascii="Times New Roman" w:hAnsi="Times New Roman"/>
          <w:szCs w:val="20"/>
          <w:lang w:val="uk-UA"/>
        </w:rPr>
      </w:pPr>
      <w:r w:rsidRPr="00E16672">
        <w:rPr>
          <w:rFonts w:ascii="Times New Roman" w:hAnsi="Times New Roman"/>
          <w:szCs w:val="20"/>
          <w:lang w:val="uk-UA"/>
        </w:rPr>
        <w:t xml:space="preserve">2) отримувати інформацію про умови надання доступу до персональних даних, зокрема інформацію про третіх осіб, яким передаються його персональні дані; </w:t>
      </w:r>
    </w:p>
    <w:p w14:paraId="1F8ACA11" w14:textId="77777777" w:rsidR="003A3CDF" w:rsidRPr="00E16672" w:rsidRDefault="003A3CDF" w:rsidP="003A3CDF">
      <w:pPr>
        <w:ind w:firstLine="540"/>
        <w:rPr>
          <w:rFonts w:ascii="Times New Roman" w:hAnsi="Times New Roman"/>
          <w:szCs w:val="20"/>
          <w:lang w:val="uk-UA"/>
        </w:rPr>
      </w:pPr>
      <w:r w:rsidRPr="00E16672">
        <w:rPr>
          <w:rFonts w:ascii="Times New Roman" w:hAnsi="Times New Roman"/>
          <w:szCs w:val="20"/>
          <w:lang w:val="uk-UA"/>
        </w:rPr>
        <w:t xml:space="preserve">3) на доступ до своїх персональних даних; </w:t>
      </w:r>
    </w:p>
    <w:p w14:paraId="2A76B50F" w14:textId="77777777" w:rsidR="003A3CDF" w:rsidRPr="00E16672" w:rsidRDefault="003A3CDF" w:rsidP="003A3CDF">
      <w:pPr>
        <w:ind w:firstLine="540"/>
        <w:rPr>
          <w:rFonts w:ascii="Times New Roman" w:hAnsi="Times New Roman"/>
          <w:szCs w:val="20"/>
          <w:lang w:val="uk-UA"/>
        </w:rPr>
      </w:pPr>
      <w:r w:rsidRPr="00E16672">
        <w:rPr>
          <w:rFonts w:ascii="Times New Roman" w:hAnsi="Times New Roman"/>
          <w:szCs w:val="20"/>
          <w:lang w:val="uk-UA"/>
        </w:rPr>
        <w:lastRenderedPageBreak/>
        <w:t xml:space="preserve">4) отримувати не пізніш як за тридцять календарних днів з дня надходження запиту, крім випадків, передбачених законом, відповідь про те, чи обробляються його персональні дані, а також отримувати зміст персональних даних; </w:t>
      </w:r>
    </w:p>
    <w:p w14:paraId="270CD3D9" w14:textId="77777777" w:rsidR="003A3CDF" w:rsidRPr="00E16672" w:rsidRDefault="003A3CDF" w:rsidP="003A3CDF">
      <w:pPr>
        <w:ind w:firstLine="540"/>
        <w:rPr>
          <w:rFonts w:ascii="Times New Roman" w:hAnsi="Times New Roman"/>
          <w:szCs w:val="20"/>
          <w:lang w:val="uk-UA"/>
        </w:rPr>
      </w:pPr>
      <w:r w:rsidRPr="00E16672">
        <w:rPr>
          <w:rFonts w:ascii="Times New Roman" w:hAnsi="Times New Roman"/>
          <w:szCs w:val="20"/>
          <w:lang w:val="uk-UA"/>
        </w:rPr>
        <w:t>5) пред'являти вмотивовану вимогу володільцю персональних даних</w:t>
      </w:r>
      <w:r w:rsidRPr="00E16672">
        <w:rPr>
          <w:rFonts w:ascii="Times New Roman" w:hAnsi="Times New Roman"/>
          <w:szCs w:val="20"/>
        </w:rPr>
        <w:t xml:space="preserve"> </w:t>
      </w:r>
      <w:r w:rsidRPr="00E16672">
        <w:rPr>
          <w:rFonts w:ascii="Times New Roman" w:hAnsi="Times New Roman"/>
          <w:szCs w:val="20"/>
          <w:lang w:val="uk-UA"/>
        </w:rPr>
        <w:t xml:space="preserve">із запереченням проти обробки своїх персональних даних; </w:t>
      </w:r>
    </w:p>
    <w:p w14:paraId="3227E5AE" w14:textId="77777777" w:rsidR="003A3CDF" w:rsidRPr="00E16672" w:rsidRDefault="003A3CDF" w:rsidP="003A3CDF">
      <w:pPr>
        <w:ind w:firstLine="540"/>
        <w:rPr>
          <w:rFonts w:ascii="Times New Roman" w:hAnsi="Times New Roman"/>
          <w:szCs w:val="20"/>
          <w:lang w:val="uk-UA"/>
        </w:rPr>
      </w:pPr>
      <w:r w:rsidRPr="00E16672">
        <w:rPr>
          <w:rFonts w:ascii="Times New Roman" w:hAnsi="Times New Roman"/>
          <w:szCs w:val="20"/>
          <w:lang w:val="uk-UA"/>
        </w:rPr>
        <w:t xml:space="preserve">6) пред'являти вмотивовану вимогу щодо зміни або знищення своїх персональних даних будь-яким володільцем та розпорядником персональних даних, якщо ці дані обробляються незаконно чи є недостовірними; </w:t>
      </w:r>
    </w:p>
    <w:p w14:paraId="3FA30061" w14:textId="77777777" w:rsidR="003A3CDF" w:rsidRPr="00E16672" w:rsidRDefault="003A3CDF" w:rsidP="003A3CDF">
      <w:pPr>
        <w:ind w:firstLine="540"/>
        <w:rPr>
          <w:rFonts w:ascii="Times New Roman" w:hAnsi="Times New Roman"/>
          <w:szCs w:val="20"/>
          <w:lang w:val="uk-UA"/>
        </w:rPr>
      </w:pPr>
      <w:r w:rsidRPr="00E16672">
        <w:rPr>
          <w:rFonts w:ascii="Times New Roman" w:hAnsi="Times New Roman"/>
          <w:szCs w:val="20"/>
          <w:lang w:val="uk-UA"/>
        </w:rPr>
        <w:t xml:space="preserve">7) на захист своїх персональних даних від незаконної обробки та випадкової втрати, знищення, пошкодження у зв'язку з умисним приховуванням, ненаданням чи несвоєчасним їх наданням, а також на захист від надання відомостей, що є недостовірними чи ганьблять честь, гідність та ділову репутацію фізичної особи; </w:t>
      </w:r>
    </w:p>
    <w:p w14:paraId="6B525D9B" w14:textId="77777777" w:rsidR="003A3CDF" w:rsidRPr="00E16672" w:rsidRDefault="003A3CDF" w:rsidP="003A3CDF">
      <w:pPr>
        <w:ind w:firstLine="540"/>
        <w:rPr>
          <w:rFonts w:ascii="Times New Roman" w:hAnsi="Times New Roman"/>
          <w:szCs w:val="20"/>
          <w:lang w:val="uk-UA"/>
        </w:rPr>
      </w:pPr>
      <w:r w:rsidRPr="00E16672">
        <w:rPr>
          <w:rFonts w:ascii="Times New Roman" w:hAnsi="Times New Roman"/>
          <w:szCs w:val="20"/>
          <w:lang w:val="uk-UA"/>
        </w:rPr>
        <w:t xml:space="preserve">8) </w:t>
      </w:r>
      <w:proofErr w:type="spellStart"/>
      <w:r w:rsidRPr="00E16672">
        <w:rPr>
          <w:rFonts w:ascii="Times New Roman" w:hAnsi="Times New Roman"/>
          <w:szCs w:val="20"/>
        </w:rPr>
        <w:t>звертатися</w:t>
      </w:r>
      <w:proofErr w:type="spellEnd"/>
      <w:r w:rsidRPr="00E16672">
        <w:rPr>
          <w:rFonts w:ascii="Times New Roman" w:hAnsi="Times New Roman"/>
          <w:szCs w:val="20"/>
        </w:rPr>
        <w:t xml:space="preserve"> </w:t>
      </w:r>
      <w:proofErr w:type="spellStart"/>
      <w:r w:rsidRPr="00E16672">
        <w:rPr>
          <w:rFonts w:ascii="Times New Roman" w:hAnsi="Times New Roman"/>
          <w:szCs w:val="20"/>
        </w:rPr>
        <w:t>із</w:t>
      </w:r>
      <w:proofErr w:type="spellEnd"/>
      <w:r w:rsidRPr="00E16672">
        <w:rPr>
          <w:rFonts w:ascii="Times New Roman" w:hAnsi="Times New Roman"/>
          <w:szCs w:val="20"/>
        </w:rPr>
        <w:t xml:space="preserve"> </w:t>
      </w:r>
      <w:proofErr w:type="spellStart"/>
      <w:r w:rsidRPr="00E16672">
        <w:rPr>
          <w:rFonts w:ascii="Times New Roman" w:hAnsi="Times New Roman"/>
          <w:szCs w:val="20"/>
        </w:rPr>
        <w:t>скаргами</w:t>
      </w:r>
      <w:proofErr w:type="spellEnd"/>
      <w:r w:rsidRPr="00E16672">
        <w:rPr>
          <w:rFonts w:ascii="Times New Roman" w:hAnsi="Times New Roman"/>
          <w:szCs w:val="20"/>
        </w:rPr>
        <w:t xml:space="preserve"> на </w:t>
      </w:r>
      <w:proofErr w:type="spellStart"/>
      <w:r w:rsidRPr="00E16672">
        <w:rPr>
          <w:rFonts w:ascii="Times New Roman" w:hAnsi="Times New Roman"/>
          <w:szCs w:val="20"/>
        </w:rPr>
        <w:t>обробку</w:t>
      </w:r>
      <w:proofErr w:type="spellEnd"/>
      <w:r w:rsidRPr="00E16672">
        <w:rPr>
          <w:rFonts w:ascii="Times New Roman" w:hAnsi="Times New Roman"/>
          <w:szCs w:val="20"/>
        </w:rPr>
        <w:t xml:space="preserve"> </w:t>
      </w:r>
      <w:proofErr w:type="spellStart"/>
      <w:r w:rsidRPr="00E16672">
        <w:rPr>
          <w:rFonts w:ascii="Times New Roman" w:hAnsi="Times New Roman"/>
          <w:szCs w:val="20"/>
        </w:rPr>
        <w:t>своїх</w:t>
      </w:r>
      <w:proofErr w:type="spellEnd"/>
      <w:r w:rsidRPr="00E16672">
        <w:rPr>
          <w:rFonts w:ascii="Times New Roman" w:hAnsi="Times New Roman"/>
          <w:szCs w:val="20"/>
        </w:rPr>
        <w:t xml:space="preserve"> </w:t>
      </w:r>
      <w:proofErr w:type="spellStart"/>
      <w:r w:rsidRPr="00E16672">
        <w:rPr>
          <w:rFonts w:ascii="Times New Roman" w:hAnsi="Times New Roman"/>
          <w:szCs w:val="20"/>
        </w:rPr>
        <w:t>персональних</w:t>
      </w:r>
      <w:proofErr w:type="spellEnd"/>
      <w:r w:rsidRPr="00E16672">
        <w:rPr>
          <w:rFonts w:ascii="Times New Roman" w:hAnsi="Times New Roman"/>
          <w:szCs w:val="20"/>
        </w:rPr>
        <w:t xml:space="preserve"> </w:t>
      </w:r>
      <w:proofErr w:type="spellStart"/>
      <w:r w:rsidRPr="00E16672">
        <w:rPr>
          <w:rFonts w:ascii="Times New Roman" w:hAnsi="Times New Roman"/>
          <w:szCs w:val="20"/>
        </w:rPr>
        <w:t>даних</w:t>
      </w:r>
      <w:proofErr w:type="spellEnd"/>
      <w:r w:rsidRPr="00E16672">
        <w:rPr>
          <w:rFonts w:ascii="Times New Roman" w:hAnsi="Times New Roman"/>
          <w:szCs w:val="20"/>
        </w:rPr>
        <w:t xml:space="preserve"> до </w:t>
      </w:r>
      <w:r w:rsidRPr="00E16672">
        <w:rPr>
          <w:rFonts w:ascii="Times New Roman" w:hAnsi="Times New Roman"/>
          <w:szCs w:val="20"/>
          <w:lang w:val="uk-UA"/>
        </w:rPr>
        <w:t>Уповноваженого Верховної Ради України з прав людини</w:t>
      </w:r>
      <w:r w:rsidRPr="00E16672">
        <w:rPr>
          <w:rFonts w:ascii="Times New Roman" w:hAnsi="Times New Roman"/>
          <w:szCs w:val="20"/>
        </w:rPr>
        <w:t xml:space="preserve"> </w:t>
      </w:r>
      <w:proofErr w:type="spellStart"/>
      <w:r w:rsidRPr="00E16672">
        <w:rPr>
          <w:rFonts w:ascii="Times New Roman" w:hAnsi="Times New Roman"/>
          <w:szCs w:val="20"/>
        </w:rPr>
        <w:t>або</w:t>
      </w:r>
      <w:proofErr w:type="spellEnd"/>
      <w:r w:rsidRPr="00E16672">
        <w:rPr>
          <w:rFonts w:ascii="Times New Roman" w:hAnsi="Times New Roman"/>
          <w:szCs w:val="20"/>
        </w:rPr>
        <w:t xml:space="preserve"> до суду</w:t>
      </w:r>
      <w:r w:rsidRPr="00E16672">
        <w:rPr>
          <w:rFonts w:ascii="Times New Roman" w:hAnsi="Times New Roman"/>
          <w:szCs w:val="20"/>
          <w:lang w:val="uk-UA"/>
        </w:rPr>
        <w:t xml:space="preserve">; </w:t>
      </w:r>
    </w:p>
    <w:p w14:paraId="51DDF161" w14:textId="77777777" w:rsidR="003A3CDF" w:rsidRPr="00E16672" w:rsidRDefault="003A3CDF" w:rsidP="003A3CDF">
      <w:pPr>
        <w:ind w:firstLine="540"/>
        <w:rPr>
          <w:rFonts w:ascii="Times New Roman" w:hAnsi="Times New Roman"/>
          <w:szCs w:val="20"/>
          <w:lang w:val="uk-UA"/>
        </w:rPr>
      </w:pPr>
      <w:r w:rsidRPr="00E16672">
        <w:rPr>
          <w:rFonts w:ascii="Times New Roman" w:hAnsi="Times New Roman"/>
          <w:szCs w:val="20"/>
          <w:lang w:val="uk-UA"/>
        </w:rPr>
        <w:t>9) застосовувати засоби правового захисту в разі порушення законодавства про захист персональних даних.</w:t>
      </w:r>
    </w:p>
    <w:p w14:paraId="4A81E9A2" w14:textId="77777777" w:rsidR="003A3CDF" w:rsidRPr="00E16672" w:rsidRDefault="003A3CDF" w:rsidP="003A3CDF">
      <w:pPr>
        <w:ind w:firstLine="540"/>
        <w:rPr>
          <w:rFonts w:ascii="Times New Roman" w:hAnsi="Times New Roman"/>
          <w:szCs w:val="20"/>
          <w:lang w:val="uk-UA"/>
        </w:rPr>
      </w:pPr>
      <w:r w:rsidRPr="00E16672">
        <w:rPr>
          <w:rFonts w:ascii="Times New Roman" w:hAnsi="Times New Roman"/>
          <w:szCs w:val="20"/>
          <w:lang w:val="uk-UA"/>
        </w:rPr>
        <w:t>10) вносити застереження стосовно обмеження права на обробку своїх персональних даних під час надання згоди;</w:t>
      </w:r>
    </w:p>
    <w:p w14:paraId="74ECCC0E" w14:textId="77777777" w:rsidR="003A3CDF" w:rsidRPr="00E16672" w:rsidRDefault="003A3CDF" w:rsidP="003A3CDF">
      <w:pPr>
        <w:ind w:firstLine="540"/>
        <w:rPr>
          <w:rFonts w:ascii="Times New Roman" w:hAnsi="Times New Roman"/>
          <w:szCs w:val="20"/>
          <w:lang w:val="uk-UA"/>
        </w:rPr>
      </w:pPr>
      <w:r w:rsidRPr="00E16672">
        <w:rPr>
          <w:rFonts w:ascii="Times New Roman" w:hAnsi="Times New Roman"/>
          <w:szCs w:val="20"/>
          <w:lang w:val="uk-UA"/>
        </w:rPr>
        <w:t>11) відкликати згоду на обробку персональних даних;</w:t>
      </w:r>
    </w:p>
    <w:p w14:paraId="3B5D3DFB" w14:textId="77777777" w:rsidR="003A3CDF" w:rsidRPr="00E16672" w:rsidRDefault="003A3CDF" w:rsidP="003A3CDF">
      <w:pPr>
        <w:ind w:firstLine="540"/>
        <w:rPr>
          <w:rFonts w:ascii="Times New Roman" w:hAnsi="Times New Roman"/>
          <w:szCs w:val="20"/>
          <w:lang w:val="uk-UA"/>
        </w:rPr>
      </w:pPr>
      <w:r w:rsidRPr="00E16672">
        <w:rPr>
          <w:rFonts w:ascii="Times New Roman" w:hAnsi="Times New Roman"/>
          <w:szCs w:val="20"/>
          <w:lang w:val="uk-UA"/>
        </w:rPr>
        <w:t>12) знати механізм автоматичної обробки персональних даних;</w:t>
      </w:r>
    </w:p>
    <w:p w14:paraId="031F9AA2" w14:textId="77777777" w:rsidR="003A3CDF" w:rsidRPr="00E16672" w:rsidRDefault="003A3CDF" w:rsidP="003A3CDF">
      <w:pPr>
        <w:ind w:firstLine="540"/>
        <w:rPr>
          <w:rFonts w:ascii="Times New Roman" w:hAnsi="Times New Roman"/>
          <w:szCs w:val="20"/>
          <w:lang w:val="uk-UA"/>
        </w:rPr>
      </w:pPr>
      <w:r w:rsidRPr="00E16672">
        <w:rPr>
          <w:rFonts w:ascii="Times New Roman" w:hAnsi="Times New Roman"/>
          <w:szCs w:val="20"/>
          <w:lang w:val="uk-UA"/>
        </w:rPr>
        <w:t>13) на захист від автоматизованого рішення, яке має для нього правові наслідки.</w:t>
      </w:r>
    </w:p>
    <w:p w14:paraId="6E7BE129" w14:textId="77777777" w:rsidR="003A3CDF" w:rsidRPr="00E16672" w:rsidRDefault="003A3CDF" w:rsidP="003A3CDF">
      <w:pPr>
        <w:ind w:firstLine="540"/>
        <w:rPr>
          <w:rFonts w:ascii="Times New Roman" w:hAnsi="Times New Roman"/>
          <w:szCs w:val="20"/>
          <w:lang w:val="uk-UA"/>
        </w:rPr>
      </w:pPr>
      <w:r w:rsidRPr="00E16672">
        <w:rPr>
          <w:rFonts w:ascii="Times New Roman" w:hAnsi="Times New Roman"/>
          <w:szCs w:val="20"/>
          <w:lang w:val="uk-UA"/>
        </w:rPr>
        <w:t xml:space="preserve">10.5. Депонент дає згоду на передачу (поширення) своїх персональних даних, що включені до системи депозитарного обліку, виключно з метою зберігання та обслуговування </w:t>
      </w:r>
      <w:proofErr w:type="spellStart"/>
      <w:r w:rsidRPr="00E16672">
        <w:rPr>
          <w:rFonts w:ascii="Times New Roman" w:hAnsi="Times New Roman"/>
          <w:szCs w:val="20"/>
          <w:lang w:val="uk-UA"/>
        </w:rPr>
        <w:t>обіг</w:t>
      </w:r>
      <w:r w:rsidR="00C22309" w:rsidRPr="00E16672">
        <w:rPr>
          <w:rFonts w:ascii="Times New Roman" w:hAnsi="Times New Roman"/>
          <w:szCs w:val="20"/>
          <w:lang w:val="uk-UA"/>
        </w:rPr>
        <w:t>в</w:t>
      </w:r>
      <w:proofErr w:type="spellEnd"/>
      <w:r w:rsidR="00C22309" w:rsidRPr="00E16672">
        <w:rPr>
          <w:rFonts w:ascii="Times New Roman" w:hAnsi="Times New Roman"/>
          <w:szCs w:val="20"/>
          <w:lang w:val="uk-UA"/>
        </w:rPr>
        <w:t xml:space="preserve"> цін</w:t>
      </w:r>
      <w:r w:rsidRPr="00E16672">
        <w:rPr>
          <w:rFonts w:ascii="Times New Roman" w:hAnsi="Times New Roman"/>
          <w:szCs w:val="20"/>
          <w:lang w:val="uk-UA"/>
        </w:rPr>
        <w:t xml:space="preserve">них паперів і операцій емітента з цінними паперами на рахунку </w:t>
      </w:r>
      <w:r w:rsidR="00C22309" w:rsidRPr="00E16672">
        <w:rPr>
          <w:rFonts w:ascii="Times New Roman" w:hAnsi="Times New Roman"/>
          <w:szCs w:val="20"/>
          <w:lang w:val="uk-UA"/>
        </w:rPr>
        <w:t>в цін</w:t>
      </w:r>
      <w:r w:rsidRPr="00E16672">
        <w:rPr>
          <w:rFonts w:ascii="Times New Roman" w:hAnsi="Times New Roman"/>
          <w:szCs w:val="20"/>
          <w:lang w:val="uk-UA"/>
        </w:rPr>
        <w:t xml:space="preserve">них паперах, який належить Депоненту, складання облікового реєстру власників цінних паперів у порядку і випадках, визначених Положенням про провадження депозитарної діяльності та </w:t>
      </w:r>
      <w:r w:rsidRPr="00E16672">
        <w:rPr>
          <w:rFonts w:ascii="Times New Roman" w:hAnsi="Times New Roman"/>
          <w:iCs/>
          <w:szCs w:val="20"/>
          <w:lang w:val="uk-UA"/>
        </w:rPr>
        <w:t>у інших випадках, передбачених нормативно-правовими актами НКЦПФР та</w:t>
      </w:r>
      <w:r w:rsidRPr="00E16672">
        <w:rPr>
          <w:rFonts w:ascii="Times New Roman" w:hAnsi="Times New Roman"/>
          <w:szCs w:val="20"/>
          <w:lang w:val="uk-UA"/>
        </w:rPr>
        <w:t xml:space="preserve"> законами України.</w:t>
      </w:r>
      <w:r w:rsidRPr="00E16672">
        <w:rPr>
          <w:rFonts w:ascii="Times New Roman" w:hAnsi="Times New Roman"/>
          <w:iCs/>
          <w:szCs w:val="20"/>
          <w:lang w:val="uk-UA"/>
        </w:rPr>
        <w:t xml:space="preserve"> </w:t>
      </w:r>
    </w:p>
    <w:p w14:paraId="2179D776" w14:textId="77777777" w:rsidR="003A3CDF" w:rsidRPr="00E16672" w:rsidRDefault="003A3CDF" w:rsidP="003A3CDF">
      <w:pPr>
        <w:ind w:firstLine="540"/>
        <w:rPr>
          <w:rFonts w:ascii="Times New Roman" w:hAnsi="Times New Roman"/>
          <w:szCs w:val="20"/>
          <w:lang w:val="uk-UA"/>
        </w:rPr>
      </w:pPr>
      <w:r w:rsidRPr="00E16672">
        <w:rPr>
          <w:rFonts w:ascii="Times New Roman" w:hAnsi="Times New Roman"/>
          <w:szCs w:val="20"/>
          <w:lang w:val="uk-UA"/>
        </w:rPr>
        <w:t>10.6. Депонент дає згоду на зберігання своїх персональних даних протягом строку, визначеного Положенням про провадження депозитарної діяльності, затвердженого рішення НКЦПФР від 23.04.2013 року № 735.</w:t>
      </w:r>
    </w:p>
    <w:p w14:paraId="5A4B941F" w14:textId="77777777" w:rsidR="003A3CDF" w:rsidRPr="00E16672" w:rsidRDefault="003A3CDF" w:rsidP="003A3CDF">
      <w:pPr>
        <w:ind w:firstLine="540"/>
        <w:rPr>
          <w:rFonts w:ascii="Times New Roman" w:hAnsi="Times New Roman"/>
          <w:szCs w:val="20"/>
          <w:lang w:val="uk-UA"/>
        </w:rPr>
      </w:pPr>
      <w:r w:rsidRPr="00E16672">
        <w:rPr>
          <w:rFonts w:ascii="Times New Roman" w:hAnsi="Times New Roman"/>
          <w:szCs w:val="20"/>
          <w:lang w:val="uk-UA"/>
        </w:rPr>
        <w:t>10.7. Доступ до персональних даних Депонента, що включені до системи депозитарного обліку Депозитарної установи третіх осіб, дозволяється у випадках та порядку, передбаченому законодавством України.</w:t>
      </w:r>
    </w:p>
    <w:p w14:paraId="207E4354" w14:textId="77777777" w:rsidR="003A3CDF" w:rsidRPr="00E16672" w:rsidRDefault="003A3CDF" w:rsidP="003A3CDF">
      <w:pPr>
        <w:pStyle w:val="33"/>
        <w:tabs>
          <w:tab w:val="left" w:pos="851"/>
        </w:tabs>
        <w:ind w:firstLine="540"/>
        <w:rPr>
          <w:rFonts w:ascii="Times New Roman" w:eastAsia="Times New Roman" w:hAnsi="Times New Roman" w:cs="Times New Roman"/>
          <w:kern w:val="0"/>
          <w:lang w:val="uk-UA" w:eastAsia="ar-SA" w:bidi="ar-SA"/>
        </w:rPr>
      </w:pPr>
      <w:r w:rsidRPr="00E16672">
        <w:rPr>
          <w:rFonts w:ascii="Times New Roman" w:eastAsia="Times New Roman" w:hAnsi="Times New Roman" w:cs="Times New Roman"/>
          <w:kern w:val="0"/>
          <w:lang w:val="uk-UA" w:eastAsia="ar-SA" w:bidi="ar-SA"/>
        </w:rPr>
        <w:t>10.8 Депонент не вимагає здійснення повідомлення про передачу (поширення) своїх персональних даних, що включені до системи депозитарного обліку, якщо така передача (поширення) відбувається виключно з метою, визначеною у відповідному пункті цієї Згоди-повідомлення.</w:t>
      </w:r>
    </w:p>
    <w:p w14:paraId="26E9ADBB" w14:textId="77777777" w:rsidR="003A3CDF" w:rsidRPr="00E16672" w:rsidRDefault="003A3CDF" w:rsidP="003A3CDF">
      <w:pPr>
        <w:pStyle w:val="33"/>
        <w:tabs>
          <w:tab w:val="left" w:pos="851"/>
        </w:tabs>
        <w:ind w:firstLine="540"/>
        <w:rPr>
          <w:rFonts w:ascii="Times New Roman" w:eastAsia="Times New Roman" w:hAnsi="Times New Roman" w:cs="Times New Roman"/>
          <w:kern w:val="0"/>
          <w:lang w:val="uk-UA" w:eastAsia="ar-SA" w:bidi="ar-SA"/>
        </w:rPr>
      </w:pPr>
    </w:p>
    <w:p w14:paraId="6DBAABF5" w14:textId="77777777" w:rsidR="003A3CDF" w:rsidRPr="00E16672" w:rsidRDefault="003A3CDF" w:rsidP="003A3CDF">
      <w:pPr>
        <w:pStyle w:val="33"/>
        <w:tabs>
          <w:tab w:val="left" w:pos="851"/>
        </w:tabs>
        <w:ind w:firstLine="540"/>
        <w:jc w:val="center"/>
        <w:rPr>
          <w:rFonts w:ascii="Times New Roman" w:hAnsi="Times New Roman" w:cs="Times New Roman"/>
          <w:b/>
          <w:bCs/>
          <w:lang w:val="uk-UA"/>
        </w:rPr>
      </w:pPr>
      <w:r w:rsidRPr="00E16672">
        <w:rPr>
          <w:rFonts w:ascii="Times New Roman" w:hAnsi="Times New Roman" w:cs="Times New Roman"/>
          <w:b/>
          <w:bCs/>
          <w:lang w:val="uk-UA"/>
        </w:rPr>
        <w:t>11. Про визнання кваліфікованого електронного підпису</w:t>
      </w:r>
    </w:p>
    <w:p w14:paraId="2D63CBB8" w14:textId="77777777" w:rsidR="003A3CDF" w:rsidRPr="00E16672" w:rsidRDefault="003A3CDF" w:rsidP="003A3CDF">
      <w:pPr>
        <w:pStyle w:val="33"/>
        <w:tabs>
          <w:tab w:val="left" w:pos="851"/>
        </w:tabs>
        <w:ind w:firstLine="540"/>
        <w:rPr>
          <w:rFonts w:ascii="Times New Roman" w:hAnsi="Times New Roman" w:cs="Times New Roman"/>
          <w:strike/>
          <w:color w:val="000000"/>
          <w:kern w:val="20"/>
          <w:lang w:val="uk-UA"/>
        </w:rPr>
      </w:pPr>
      <w:r w:rsidRPr="00E16672">
        <w:rPr>
          <w:rFonts w:ascii="Times New Roman" w:hAnsi="Times New Roman" w:cs="Times New Roman"/>
          <w:color w:val="000000"/>
          <w:lang w:val="uk-UA"/>
        </w:rPr>
        <w:t xml:space="preserve">11.1. </w:t>
      </w:r>
      <w:r w:rsidRPr="00E16672">
        <w:rPr>
          <w:rFonts w:ascii="Times New Roman" w:hAnsi="Times New Roman" w:cs="Times New Roman"/>
          <w:lang w:val="uk-UA"/>
        </w:rPr>
        <w:t xml:space="preserve">В ході виконання договору Сторони можуть обмінюватися електронними документами, які засвідчуються за допомогою кваліфікованого електронного підпису </w:t>
      </w:r>
      <w:proofErr w:type="spellStart"/>
      <w:r w:rsidRPr="00E16672">
        <w:rPr>
          <w:rFonts w:ascii="Times New Roman" w:hAnsi="Times New Roman" w:cs="Times New Roman"/>
          <w:lang w:eastAsia="ru-RU"/>
        </w:rPr>
        <w:t>відповідно</w:t>
      </w:r>
      <w:proofErr w:type="spellEnd"/>
      <w:r w:rsidRPr="00E16672">
        <w:rPr>
          <w:rFonts w:ascii="Times New Roman" w:hAnsi="Times New Roman" w:cs="Times New Roman"/>
          <w:lang w:eastAsia="ru-RU"/>
        </w:rPr>
        <w:t xml:space="preserve"> до </w:t>
      </w:r>
      <w:proofErr w:type="spellStart"/>
      <w:r w:rsidRPr="00E16672">
        <w:rPr>
          <w:rFonts w:ascii="Times New Roman" w:hAnsi="Times New Roman" w:cs="Times New Roman"/>
          <w:lang w:eastAsia="ru-RU"/>
        </w:rPr>
        <w:t>вимог</w:t>
      </w:r>
      <w:proofErr w:type="spellEnd"/>
      <w:r w:rsidRPr="00E16672">
        <w:rPr>
          <w:rFonts w:ascii="Times New Roman" w:hAnsi="Times New Roman" w:cs="Times New Roman"/>
          <w:lang w:eastAsia="ru-RU"/>
        </w:rPr>
        <w:t xml:space="preserve"> </w:t>
      </w:r>
      <w:proofErr w:type="spellStart"/>
      <w:r w:rsidRPr="00E16672">
        <w:rPr>
          <w:rFonts w:ascii="Times New Roman" w:hAnsi="Times New Roman" w:cs="Times New Roman"/>
          <w:lang w:eastAsia="ru-RU"/>
        </w:rPr>
        <w:t>законодавства</w:t>
      </w:r>
      <w:proofErr w:type="spellEnd"/>
      <w:r w:rsidRPr="00E16672">
        <w:rPr>
          <w:rFonts w:ascii="Times New Roman" w:hAnsi="Times New Roman" w:cs="Times New Roman"/>
          <w:lang w:eastAsia="ru-RU"/>
        </w:rPr>
        <w:t xml:space="preserve"> у </w:t>
      </w:r>
      <w:proofErr w:type="spellStart"/>
      <w:r w:rsidRPr="00E16672">
        <w:rPr>
          <w:rFonts w:ascii="Times New Roman" w:hAnsi="Times New Roman" w:cs="Times New Roman"/>
          <w:lang w:eastAsia="ru-RU"/>
        </w:rPr>
        <w:t>сфері</w:t>
      </w:r>
      <w:proofErr w:type="spellEnd"/>
      <w:r w:rsidRPr="00E16672">
        <w:rPr>
          <w:rFonts w:ascii="Times New Roman" w:hAnsi="Times New Roman" w:cs="Times New Roman"/>
          <w:lang w:eastAsia="ru-RU"/>
        </w:rPr>
        <w:t xml:space="preserve"> </w:t>
      </w:r>
      <w:proofErr w:type="spellStart"/>
      <w:r w:rsidRPr="00E16672">
        <w:rPr>
          <w:rFonts w:ascii="Times New Roman" w:hAnsi="Times New Roman" w:cs="Times New Roman"/>
          <w:lang w:eastAsia="ru-RU"/>
        </w:rPr>
        <w:t>електронного</w:t>
      </w:r>
      <w:proofErr w:type="spellEnd"/>
      <w:r w:rsidRPr="00E16672">
        <w:rPr>
          <w:rFonts w:ascii="Times New Roman" w:hAnsi="Times New Roman" w:cs="Times New Roman"/>
          <w:lang w:eastAsia="ru-RU"/>
        </w:rPr>
        <w:t xml:space="preserve"> </w:t>
      </w:r>
      <w:proofErr w:type="spellStart"/>
      <w:r w:rsidRPr="00E16672">
        <w:rPr>
          <w:rFonts w:ascii="Times New Roman" w:hAnsi="Times New Roman" w:cs="Times New Roman"/>
          <w:lang w:eastAsia="ru-RU"/>
        </w:rPr>
        <w:t>документообігу</w:t>
      </w:r>
      <w:proofErr w:type="spellEnd"/>
      <w:r w:rsidRPr="00E16672">
        <w:rPr>
          <w:rFonts w:ascii="Times New Roman" w:hAnsi="Times New Roman" w:cs="Times New Roman"/>
          <w:lang w:eastAsia="ru-RU"/>
        </w:rPr>
        <w:t xml:space="preserve"> та </w:t>
      </w:r>
      <w:proofErr w:type="spellStart"/>
      <w:r w:rsidRPr="00E16672">
        <w:rPr>
          <w:rFonts w:ascii="Times New Roman" w:hAnsi="Times New Roman" w:cs="Times New Roman"/>
          <w:lang w:eastAsia="ru-RU"/>
        </w:rPr>
        <w:t>електронних</w:t>
      </w:r>
      <w:proofErr w:type="spellEnd"/>
      <w:r w:rsidRPr="00E16672">
        <w:rPr>
          <w:rFonts w:ascii="Times New Roman" w:hAnsi="Times New Roman" w:cs="Times New Roman"/>
          <w:lang w:eastAsia="ru-RU"/>
        </w:rPr>
        <w:t xml:space="preserve"> </w:t>
      </w:r>
      <w:proofErr w:type="spellStart"/>
      <w:r w:rsidRPr="00E16672">
        <w:rPr>
          <w:rFonts w:ascii="Times New Roman" w:hAnsi="Times New Roman" w:cs="Times New Roman"/>
          <w:lang w:eastAsia="ru-RU"/>
        </w:rPr>
        <w:t>довірчих</w:t>
      </w:r>
      <w:proofErr w:type="spellEnd"/>
      <w:r w:rsidRPr="00E16672">
        <w:rPr>
          <w:rFonts w:ascii="Times New Roman" w:hAnsi="Times New Roman" w:cs="Times New Roman"/>
          <w:lang w:eastAsia="ru-RU"/>
        </w:rPr>
        <w:t xml:space="preserve"> </w:t>
      </w:r>
      <w:proofErr w:type="spellStart"/>
      <w:r w:rsidRPr="00E16672">
        <w:rPr>
          <w:rFonts w:ascii="Times New Roman" w:hAnsi="Times New Roman" w:cs="Times New Roman"/>
          <w:lang w:eastAsia="ru-RU"/>
        </w:rPr>
        <w:t>послуг</w:t>
      </w:r>
      <w:proofErr w:type="spellEnd"/>
      <w:r w:rsidRPr="00E16672">
        <w:rPr>
          <w:rFonts w:ascii="Times New Roman" w:hAnsi="Times New Roman" w:cs="Times New Roman"/>
          <w:lang w:val="uk-UA"/>
        </w:rPr>
        <w:t>.</w:t>
      </w:r>
    </w:p>
    <w:p w14:paraId="688B131B" w14:textId="77777777" w:rsidR="003A3CDF" w:rsidRPr="00E16672" w:rsidRDefault="003A3CDF" w:rsidP="003A3CDF">
      <w:pPr>
        <w:pStyle w:val="33"/>
        <w:tabs>
          <w:tab w:val="left" w:pos="851"/>
        </w:tabs>
        <w:ind w:firstLine="540"/>
        <w:rPr>
          <w:rFonts w:ascii="Times New Roman" w:hAnsi="Times New Roman" w:cs="Times New Roman"/>
          <w:kern w:val="2"/>
          <w:lang w:val="uk-UA"/>
        </w:rPr>
      </w:pPr>
      <w:r w:rsidRPr="00E16672">
        <w:rPr>
          <w:rFonts w:ascii="Times New Roman" w:hAnsi="Times New Roman" w:cs="Times New Roman"/>
          <w:color w:val="000000"/>
          <w:lang w:val="uk-UA"/>
        </w:rPr>
        <w:t>11.2</w:t>
      </w:r>
      <w:r w:rsidR="006517E7">
        <w:rPr>
          <w:rFonts w:ascii="Times New Roman" w:hAnsi="Times New Roman" w:cs="Times New Roman"/>
          <w:color w:val="000000"/>
          <w:lang w:val="uk-UA"/>
        </w:rPr>
        <w:t>.</w:t>
      </w:r>
      <w:r w:rsidRPr="00E16672">
        <w:rPr>
          <w:rFonts w:ascii="Times New Roman" w:hAnsi="Times New Roman" w:cs="Times New Roman"/>
          <w:color w:val="000000"/>
          <w:lang w:val="uk-UA"/>
        </w:rPr>
        <w:t xml:space="preserve"> При виконанні ц</w:t>
      </w:r>
      <w:r w:rsidRPr="00E16672">
        <w:rPr>
          <w:rFonts w:ascii="Times New Roman" w:hAnsi="Times New Roman" w:cs="Times New Roman"/>
          <w:lang w:val="uk-UA"/>
        </w:rPr>
        <w:t xml:space="preserve">ього Договору кожна Сторона може виступати як </w:t>
      </w:r>
      <w:proofErr w:type="spellStart"/>
      <w:r w:rsidRPr="00E16672">
        <w:rPr>
          <w:rFonts w:ascii="Times New Roman" w:hAnsi="Times New Roman" w:cs="Times New Roman"/>
          <w:lang w:val="uk-UA"/>
        </w:rPr>
        <w:t>підписувачем</w:t>
      </w:r>
      <w:proofErr w:type="spellEnd"/>
      <w:r w:rsidRPr="00E16672">
        <w:rPr>
          <w:rFonts w:ascii="Times New Roman" w:hAnsi="Times New Roman" w:cs="Times New Roman"/>
          <w:lang w:val="uk-UA"/>
        </w:rPr>
        <w:t>, так і адресатом електронних документів.</w:t>
      </w:r>
    </w:p>
    <w:p w14:paraId="3A68D4AA" w14:textId="77777777" w:rsidR="003A3CDF" w:rsidRPr="00E16672" w:rsidRDefault="003A3CDF" w:rsidP="003A3CDF">
      <w:pPr>
        <w:pStyle w:val="33"/>
        <w:tabs>
          <w:tab w:val="left" w:pos="851"/>
        </w:tabs>
        <w:ind w:firstLine="540"/>
        <w:rPr>
          <w:rFonts w:ascii="Times New Roman" w:hAnsi="Times New Roman" w:cs="Times New Roman"/>
          <w:lang w:val="uk-UA"/>
        </w:rPr>
      </w:pPr>
      <w:r w:rsidRPr="00E16672">
        <w:rPr>
          <w:rFonts w:ascii="Times New Roman" w:hAnsi="Times New Roman" w:cs="Times New Roman"/>
          <w:lang w:val="uk-UA"/>
        </w:rPr>
        <w:t>11.3</w:t>
      </w:r>
      <w:r w:rsidR="006517E7">
        <w:rPr>
          <w:rFonts w:ascii="Times New Roman" w:hAnsi="Times New Roman" w:cs="Times New Roman"/>
          <w:lang w:val="uk-UA"/>
        </w:rPr>
        <w:t>.</w:t>
      </w:r>
      <w:r w:rsidRPr="00E16672">
        <w:rPr>
          <w:rFonts w:ascii="Times New Roman" w:hAnsi="Times New Roman" w:cs="Times New Roman"/>
          <w:lang w:val="uk-UA"/>
        </w:rPr>
        <w:t xml:space="preserve"> Електронний документ - документ, інформація в якому зафіксована у вигляді електронних даних, включаючи обов'язкові реквізити документа, в тому числі кваліфікований електронний підпис.</w:t>
      </w:r>
    </w:p>
    <w:p w14:paraId="62B36023" w14:textId="77777777" w:rsidR="003A3CDF" w:rsidRPr="00E16672" w:rsidRDefault="003A3CDF" w:rsidP="003A3CDF">
      <w:pPr>
        <w:pStyle w:val="33"/>
        <w:tabs>
          <w:tab w:val="left" w:pos="851"/>
        </w:tabs>
        <w:ind w:firstLine="540"/>
        <w:rPr>
          <w:rFonts w:ascii="Times New Roman" w:hAnsi="Times New Roman" w:cs="Times New Roman"/>
          <w:lang w:val="uk-UA"/>
        </w:rPr>
      </w:pPr>
      <w:r w:rsidRPr="00E16672">
        <w:rPr>
          <w:rFonts w:ascii="Times New Roman" w:hAnsi="Times New Roman" w:cs="Times New Roman"/>
          <w:lang w:val="uk-UA"/>
        </w:rPr>
        <w:t>11.4</w:t>
      </w:r>
      <w:r w:rsidR="006517E7">
        <w:rPr>
          <w:rFonts w:ascii="Times New Roman" w:hAnsi="Times New Roman" w:cs="Times New Roman"/>
          <w:lang w:val="uk-UA"/>
        </w:rPr>
        <w:t>.</w:t>
      </w:r>
      <w:r w:rsidRPr="00E16672">
        <w:rPr>
          <w:rFonts w:ascii="Times New Roman" w:hAnsi="Times New Roman" w:cs="Times New Roman"/>
          <w:lang w:val="uk-UA"/>
        </w:rPr>
        <w:t xml:space="preserve"> Кваліфікований електронний підпис -  </w:t>
      </w:r>
      <w:r w:rsidRPr="00E16672">
        <w:rPr>
          <w:rStyle w:val="rvts0"/>
          <w:rFonts w:ascii="Times New Roman" w:hAnsi="Times New Roman" w:cs="Times New Roman"/>
          <w:lang w:val="uk-UA"/>
        </w:rPr>
        <w:t xml:space="preserve">удосконалений електронний підпис, який створюється з використанням засобу кваліфікованого електронного підпису, а саме </w:t>
      </w:r>
      <w:r w:rsidRPr="00E16672">
        <w:rPr>
          <w:rFonts w:ascii="Times New Roman" w:hAnsi="Times New Roman" w:cs="Times New Roman"/>
          <w:lang w:val="uk-UA"/>
        </w:rPr>
        <w:t>за допомогою системи криптографічного захисту інформації Акредитованого Центру Сертифікації ключів,</w:t>
      </w:r>
      <w:r w:rsidRPr="00E16672">
        <w:rPr>
          <w:rStyle w:val="rvts0"/>
          <w:rFonts w:ascii="Times New Roman" w:hAnsi="Times New Roman" w:cs="Times New Roman"/>
          <w:lang w:val="uk-UA"/>
        </w:rPr>
        <w:t xml:space="preserve"> і базується на кваліфікованому сертифікаті відкритого ключа</w:t>
      </w:r>
      <w:r w:rsidRPr="00E16672">
        <w:rPr>
          <w:rFonts w:ascii="Times New Roman" w:hAnsi="Times New Roman" w:cs="Times New Roman"/>
          <w:lang w:val="uk-UA"/>
        </w:rPr>
        <w:t xml:space="preserve">. Кваліфікований електронний підпис є обов'язковим реквізитом електронного документа та використовується для ідентифікації адресатом </w:t>
      </w:r>
      <w:proofErr w:type="spellStart"/>
      <w:r w:rsidRPr="00E16672">
        <w:rPr>
          <w:rFonts w:ascii="Times New Roman" w:hAnsi="Times New Roman" w:cs="Times New Roman"/>
          <w:lang w:val="uk-UA"/>
        </w:rPr>
        <w:t>підписувача</w:t>
      </w:r>
      <w:proofErr w:type="spellEnd"/>
      <w:r w:rsidRPr="00E16672">
        <w:rPr>
          <w:rFonts w:ascii="Times New Roman" w:hAnsi="Times New Roman" w:cs="Times New Roman"/>
          <w:lang w:val="uk-UA"/>
        </w:rPr>
        <w:t xml:space="preserve"> електронного документа.</w:t>
      </w:r>
    </w:p>
    <w:p w14:paraId="167C0B83" w14:textId="77777777" w:rsidR="003A3CDF" w:rsidRPr="00E16672" w:rsidRDefault="003A3CDF" w:rsidP="003A3CDF">
      <w:pPr>
        <w:pStyle w:val="33"/>
        <w:tabs>
          <w:tab w:val="left" w:pos="851"/>
        </w:tabs>
        <w:ind w:firstLine="540"/>
        <w:rPr>
          <w:rFonts w:ascii="Times New Roman" w:hAnsi="Times New Roman" w:cs="Times New Roman"/>
          <w:lang w:val="uk-UA"/>
        </w:rPr>
      </w:pPr>
      <w:r w:rsidRPr="00E16672">
        <w:rPr>
          <w:rFonts w:ascii="Times New Roman" w:hAnsi="Times New Roman" w:cs="Times New Roman"/>
          <w:lang w:val="uk-UA"/>
        </w:rPr>
        <w:t>11.5</w:t>
      </w:r>
      <w:r w:rsidR="006517E7">
        <w:rPr>
          <w:rFonts w:ascii="Times New Roman" w:hAnsi="Times New Roman" w:cs="Times New Roman"/>
          <w:lang w:val="uk-UA"/>
        </w:rPr>
        <w:t>.</w:t>
      </w:r>
      <w:r w:rsidRPr="00E16672">
        <w:rPr>
          <w:rFonts w:ascii="Times New Roman" w:hAnsi="Times New Roman" w:cs="Times New Roman"/>
          <w:lang w:val="uk-UA"/>
        </w:rPr>
        <w:t xml:space="preserve"> Кваліфікований електронний підпис за правовим статусом прирівнюється до власноручного підпису (печатки) особи, яка його вчинила, згідно законодавства та цього Договору. Юридична сила електронного документа не може бути заперечена виключно через те, що він має електронну форму.</w:t>
      </w:r>
    </w:p>
    <w:p w14:paraId="2FD2708A" w14:textId="77777777" w:rsidR="003A3CDF" w:rsidRPr="00E16672" w:rsidRDefault="003A3CDF" w:rsidP="003A3CDF">
      <w:pPr>
        <w:pStyle w:val="33"/>
        <w:tabs>
          <w:tab w:val="left" w:pos="851"/>
        </w:tabs>
        <w:ind w:firstLine="540"/>
        <w:rPr>
          <w:rFonts w:ascii="Times New Roman" w:hAnsi="Times New Roman" w:cs="Times New Roman"/>
          <w:lang w:val="uk-UA"/>
        </w:rPr>
      </w:pPr>
      <w:r w:rsidRPr="00E16672">
        <w:rPr>
          <w:rFonts w:ascii="Times New Roman" w:hAnsi="Times New Roman" w:cs="Times New Roman"/>
          <w:lang w:val="uk-UA"/>
        </w:rPr>
        <w:t>11.6</w:t>
      </w:r>
      <w:r w:rsidR="006517E7">
        <w:rPr>
          <w:rFonts w:ascii="Times New Roman" w:hAnsi="Times New Roman" w:cs="Times New Roman"/>
          <w:lang w:val="uk-UA"/>
        </w:rPr>
        <w:t>.</w:t>
      </w:r>
      <w:r w:rsidRPr="00E16672">
        <w:rPr>
          <w:rFonts w:ascii="Times New Roman" w:hAnsi="Times New Roman" w:cs="Times New Roman"/>
          <w:lang w:val="uk-UA"/>
        </w:rPr>
        <w:t xml:space="preserve"> </w:t>
      </w:r>
      <w:proofErr w:type="spellStart"/>
      <w:r w:rsidRPr="00E16672">
        <w:rPr>
          <w:rFonts w:ascii="Times New Roman" w:hAnsi="Times New Roman" w:cs="Times New Roman"/>
          <w:lang w:val="uk-UA"/>
        </w:rPr>
        <w:t>Підписувач</w:t>
      </w:r>
      <w:proofErr w:type="spellEnd"/>
      <w:r w:rsidRPr="00E16672">
        <w:rPr>
          <w:rFonts w:ascii="Times New Roman" w:hAnsi="Times New Roman" w:cs="Times New Roman"/>
          <w:lang w:val="uk-UA"/>
        </w:rPr>
        <w:t xml:space="preserve"> - </w:t>
      </w:r>
      <w:proofErr w:type="spellStart"/>
      <w:r w:rsidRPr="00E16672">
        <w:rPr>
          <w:rStyle w:val="rvts0"/>
          <w:rFonts w:ascii="Times New Roman" w:hAnsi="Times New Roman" w:cs="Times New Roman"/>
        </w:rPr>
        <w:t>фізична</w:t>
      </w:r>
      <w:proofErr w:type="spellEnd"/>
      <w:r w:rsidRPr="00E16672">
        <w:rPr>
          <w:rStyle w:val="rvts0"/>
          <w:rFonts w:ascii="Times New Roman" w:hAnsi="Times New Roman" w:cs="Times New Roman"/>
        </w:rPr>
        <w:t xml:space="preserve"> особа, яка </w:t>
      </w:r>
      <w:proofErr w:type="spellStart"/>
      <w:r w:rsidRPr="00E16672">
        <w:rPr>
          <w:rStyle w:val="rvts0"/>
          <w:rFonts w:ascii="Times New Roman" w:hAnsi="Times New Roman" w:cs="Times New Roman"/>
        </w:rPr>
        <w:t>створює</w:t>
      </w:r>
      <w:proofErr w:type="spellEnd"/>
      <w:r w:rsidRPr="00E16672">
        <w:rPr>
          <w:rStyle w:val="rvts0"/>
          <w:rFonts w:ascii="Times New Roman" w:hAnsi="Times New Roman" w:cs="Times New Roman"/>
        </w:rPr>
        <w:t xml:space="preserve"> </w:t>
      </w:r>
      <w:proofErr w:type="spellStart"/>
      <w:r w:rsidRPr="00E16672">
        <w:rPr>
          <w:rStyle w:val="rvts0"/>
          <w:rFonts w:ascii="Times New Roman" w:hAnsi="Times New Roman" w:cs="Times New Roman"/>
        </w:rPr>
        <w:t>електронний</w:t>
      </w:r>
      <w:proofErr w:type="spellEnd"/>
      <w:r w:rsidRPr="00E16672">
        <w:rPr>
          <w:rStyle w:val="rvts0"/>
          <w:rFonts w:ascii="Times New Roman" w:hAnsi="Times New Roman" w:cs="Times New Roman"/>
        </w:rPr>
        <w:t xml:space="preserve"> </w:t>
      </w:r>
      <w:proofErr w:type="spellStart"/>
      <w:r w:rsidRPr="00E16672">
        <w:rPr>
          <w:rStyle w:val="rvts0"/>
          <w:rFonts w:ascii="Times New Roman" w:hAnsi="Times New Roman" w:cs="Times New Roman"/>
        </w:rPr>
        <w:t>підпис</w:t>
      </w:r>
      <w:proofErr w:type="spellEnd"/>
      <w:r w:rsidRPr="00E16672">
        <w:rPr>
          <w:rFonts w:ascii="Times New Roman" w:hAnsi="Times New Roman" w:cs="Times New Roman"/>
          <w:lang w:val="uk-UA"/>
        </w:rPr>
        <w:t>.</w:t>
      </w:r>
    </w:p>
    <w:p w14:paraId="373430B4" w14:textId="77777777" w:rsidR="003A3CDF" w:rsidRPr="00E16672" w:rsidRDefault="003A3CDF" w:rsidP="003A3CDF">
      <w:pPr>
        <w:pStyle w:val="HTML"/>
        <w:ind w:firstLine="540"/>
        <w:rPr>
          <w:rFonts w:ascii="Times New Roman" w:hAnsi="Times New Roman" w:cs="Times New Roman"/>
          <w:lang w:val="uk-UA"/>
        </w:rPr>
      </w:pPr>
      <w:r w:rsidRPr="00E16672">
        <w:rPr>
          <w:rFonts w:ascii="Times New Roman" w:hAnsi="Times New Roman" w:cs="Times New Roman"/>
          <w:lang w:val="uk-UA"/>
        </w:rPr>
        <w:t>11.7</w:t>
      </w:r>
      <w:r w:rsidR="006517E7">
        <w:rPr>
          <w:rFonts w:ascii="Times New Roman" w:hAnsi="Times New Roman" w:cs="Times New Roman"/>
          <w:lang w:val="uk-UA"/>
        </w:rPr>
        <w:t>.</w:t>
      </w:r>
      <w:r w:rsidRPr="00E16672">
        <w:rPr>
          <w:rFonts w:ascii="Times New Roman" w:hAnsi="Times New Roman" w:cs="Times New Roman"/>
          <w:lang w:val="uk-UA"/>
        </w:rPr>
        <w:t xml:space="preserve"> Адресат - </w:t>
      </w:r>
      <w:proofErr w:type="spellStart"/>
      <w:r w:rsidRPr="00E16672">
        <w:rPr>
          <w:rFonts w:ascii="Times New Roman" w:hAnsi="Times New Roman" w:cs="Times New Roman"/>
        </w:rPr>
        <w:t>фізична</w:t>
      </w:r>
      <w:proofErr w:type="spellEnd"/>
      <w:r w:rsidRPr="00E16672">
        <w:rPr>
          <w:rFonts w:ascii="Times New Roman" w:hAnsi="Times New Roman" w:cs="Times New Roman"/>
        </w:rPr>
        <w:t xml:space="preserve">  </w:t>
      </w:r>
      <w:proofErr w:type="spellStart"/>
      <w:r w:rsidRPr="00E16672">
        <w:rPr>
          <w:rFonts w:ascii="Times New Roman" w:hAnsi="Times New Roman" w:cs="Times New Roman"/>
        </w:rPr>
        <w:t>або</w:t>
      </w:r>
      <w:proofErr w:type="spellEnd"/>
      <w:r w:rsidRPr="00E16672">
        <w:rPr>
          <w:rFonts w:ascii="Times New Roman" w:hAnsi="Times New Roman" w:cs="Times New Roman"/>
        </w:rPr>
        <w:t xml:space="preserve">  </w:t>
      </w:r>
      <w:proofErr w:type="spellStart"/>
      <w:r w:rsidRPr="00E16672">
        <w:rPr>
          <w:rFonts w:ascii="Times New Roman" w:hAnsi="Times New Roman" w:cs="Times New Roman"/>
        </w:rPr>
        <w:t>юридична</w:t>
      </w:r>
      <w:proofErr w:type="spellEnd"/>
      <w:r w:rsidRPr="00E16672">
        <w:rPr>
          <w:rFonts w:ascii="Times New Roman" w:hAnsi="Times New Roman" w:cs="Times New Roman"/>
        </w:rPr>
        <w:t xml:space="preserve">  особа,  </w:t>
      </w:r>
      <w:proofErr w:type="spellStart"/>
      <w:r w:rsidRPr="00E16672">
        <w:rPr>
          <w:rFonts w:ascii="Times New Roman" w:hAnsi="Times New Roman" w:cs="Times New Roman"/>
        </w:rPr>
        <w:t>якій</w:t>
      </w:r>
      <w:proofErr w:type="spellEnd"/>
      <w:r w:rsidRPr="00E16672">
        <w:rPr>
          <w:rFonts w:ascii="Times New Roman" w:hAnsi="Times New Roman" w:cs="Times New Roman"/>
        </w:rPr>
        <w:t xml:space="preserve">  </w:t>
      </w:r>
      <w:proofErr w:type="spellStart"/>
      <w:r w:rsidRPr="00E16672">
        <w:rPr>
          <w:rFonts w:ascii="Times New Roman" w:hAnsi="Times New Roman" w:cs="Times New Roman"/>
        </w:rPr>
        <w:t>адресується</w:t>
      </w:r>
      <w:proofErr w:type="spellEnd"/>
      <w:r w:rsidRPr="00E16672">
        <w:rPr>
          <w:rFonts w:ascii="Times New Roman" w:hAnsi="Times New Roman" w:cs="Times New Roman"/>
        </w:rPr>
        <w:t xml:space="preserve"> </w:t>
      </w:r>
      <w:proofErr w:type="spellStart"/>
      <w:r w:rsidRPr="00E16672">
        <w:rPr>
          <w:rFonts w:ascii="Times New Roman" w:hAnsi="Times New Roman" w:cs="Times New Roman"/>
        </w:rPr>
        <w:t>електронний</w:t>
      </w:r>
      <w:proofErr w:type="spellEnd"/>
      <w:r w:rsidRPr="00E16672">
        <w:rPr>
          <w:rFonts w:ascii="Times New Roman" w:hAnsi="Times New Roman" w:cs="Times New Roman"/>
        </w:rPr>
        <w:t xml:space="preserve"> документ</w:t>
      </w:r>
      <w:r w:rsidRPr="00E16672">
        <w:rPr>
          <w:rFonts w:ascii="Times New Roman" w:hAnsi="Times New Roman" w:cs="Times New Roman"/>
          <w:lang w:val="uk-UA"/>
        </w:rPr>
        <w:t>.</w:t>
      </w:r>
    </w:p>
    <w:p w14:paraId="683D49AC" w14:textId="77777777" w:rsidR="003A3CDF" w:rsidRPr="00E16672" w:rsidRDefault="003A3CDF" w:rsidP="003A3CDF">
      <w:pPr>
        <w:pStyle w:val="33"/>
        <w:tabs>
          <w:tab w:val="left" w:pos="851"/>
        </w:tabs>
        <w:ind w:firstLine="540"/>
        <w:rPr>
          <w:rFonts w:ascii="Times New Roman" w:hAnsi="Times New Roman" w:cs="Times New Roman"/>
          <w:lang w:val="uk-UA"/>
        </w:rPr>
      </w:pPr>
      <w:r w:rsidRPr="00E16672">
        <w:rPr>
          <w:rFonts w:ascii="Times New Roman" w:hAnsi="Times New Roman" w:cs="Times New Roman"/>
          <w:lang w:val="uk-UA"/>
        </w:rPr>
        <w:t>11.8</w:t>
      </w:r>
      <w:r w:rsidR="006517E7">
        <w:rPr>
          <w:rFonts w:ascii="Times New Roman" w:hAnsi="Times New Roman" w:cs="Times New Roman"/>
          <w:lang w:val="uk-UA"/>
        </w:rPr>
        <w:t>.</w:t>
      </w:r>
      <w:r w:rsidRPr="00E16672">
        <w:rPr>
          <w:rFonts w:ascii="Times New Roman" w:hAnsi="Times New Roman" w:cs="Times New Roman"/>
          <w:lang w:val="uk-UA"/>
        </w:rPr>
        <w:t xml:space="preserve"> Кваліфікований електронний підпис вважається таким, що відповідає сертифікату відкритого ключа, якщо особистий ключ </w:t>
      </w:r>
      <w:proofErr w:type="spellStart"/>
      <w:r w:rsidRPr="00E16672">
        <w:rPr>
          <w:rFonts w:ascii="Times New Roman" w:hAnsi="Times New Roman" w:cs="Times New Roman"/>
          <w:lang w:val="uk-UA"/>
        </w:rPr>
        <w:t>підписувача</w:t>
      </w:r>
      <w:proofErr w:type="spellEnd"/>
      <w:r w:rsidRPr="00E16672">
        <w:rPr>
          <w:rFonts w:ascii="Times New Roman" w:hAnsi="Times New Roman" w:cs="Times New Roman"/>
          <w:lang w:val="uk-UA"/>
        </w:rPr>
        <w:t>, використаний при формуванні кваліфікованого електронного підпису, відповідає відкритому ключу, зазначеному у сертифікаті.</w:t>
      </w:r>
    </w:p>
    <w:p w14:paraId="124034FD" w14:textId="77777777" w:rsidR="003A3CDF" w:rsidRPr="00E16672" w:rsidRDefault="003A3CDF" w:rsidP="003A3CDF">
      <w:pPr>
        <w:pStyle w:val="33"/>
        <w:tabs>
          <w:tab w:val="left" w:pos="851"/>
        </w:tabs>
        <w:ind w:firstLine="540"/>
        <w:rPr>
          <w:rFonts w:ascii="Times New Roman" w:hAnsi="Times New Roman" w:cs="Times New Roman"/>
          <w:lang w:val="uk-UA"/>
        </w:rPr>
      </w:pPr>
      <w:r w:rsidRPr="00E16672">
        <w:rPr>
          <w:rFonts w:ascii="Times New Roman" w:hAnsi="Times New Roman" w:cs="Times New Roman"/>
          <w:lang w:val="uk-UA"/>
        </w:rPr>
        <w:t>11.9</w:t>
      </w:r>
      <w:r w:rsidR="006517E7">
        <w:rPr>
          <w:rFonts w:ascii="Times New Roman" w:hAnsi="Times New Roman" w:cs="Times New Roman"/>
          <w:lang w:val="uk-UA"/>
        </w:rPr>
        <w:t>.</w:t>
      </w:r>
      <w:r w:rsidRPr="00E16672">
        <w:rPr>
          <w:rFonts w:ascii="Times New Roman" w:hAnsi="Times New Roman" w:cs="Times New Roman"/>
          <w:lang w:val="uk-UA"/>
        </w:rPr>
        <w:t xml:space="preserve"> Відповідно до цього Договору Сторони зобов'язуються визнавати кваліфікований електронний підпис як такий, що надає юридичної сили електронним документам, сформованим з його використанням.</w:t>
      </w:r>
    </w:p>
    <w:p w14:paraId="443D77CC" w14:textId="77777777" w:rsidR="003A3CDF" w:rsidRPr="00E16672" w:rsidRDefault="003A3CDF" w:rsidP="003A3CDF">
      <w:pPr>
        <w:pStyle w:val="33"/>
        <w:tabs>
          <w:tab w:val="left" w:pos="851"/>
        </w:tabs>
        <w:ind w:firstLine="540"/>
        <w:rPr>
          <w:rFonts w:ascii="Times New Roman" w:hAnsi="Times New Roman" w:cs="Times New Roman"/>
          <w:lang w:val="uk-UA"/>
        </w:rPr>
      </w:pPr>
      <w:r w:rsidRPr="00E16672">
        <w:rPr>
          <w:rFonts w:ascii="Times New Roman" w:hAnsi="Times New Roman" w:cs="Times New Roman"/>
          <w:lang w:val="uk-UA"/>
        </w:rPr>
        <w:t>11.10</w:t>
      </w:r>
      <w:r w:rsidR="006517E7">
        <w:rPr>
          <w:rFonts w:ascii="Times New Roman" w:hAnsi="Times New Roman" w:cs="Times New Roman"/>
          <w:lang w:val="uk-UA"/>
        </w:rPr>
        <w:t>.</w:t>
      </w:r>
      <w:r w:rsidRPr="00E16672">
        <w:rPr>
          <w:rFonts w:ascii="Times New Roman" w:hAnsi="Times New Roman" w:cs="Times New Roman"/>
          <w:lang w:val="uk-UA"/>
        </w:rPr>
        <w:t xml:space="preserve"> Визнання здійснюється адресатом щодо кожного окремого електронного документа, наданого </w:t>
      </w:r>
      <w:proofErr w:type="spellStart"/>
      <w:r w:rsidRPr="00E16672">
        <w:rPr>
          <w:rFonts w:ascii="Times New Roman" w:hAnsi="Times New Roman" w:cs="Times New Roman"/>
          <w:lang w:val="uk-UA"/>
        </w:rPr>
        <w:t>підписувачем</w:t>
      </w:r>
      <w:proofErr w:type="spellEnd"/>
      <w:r w:rsidRPr="00E16672">
        <w:rPr>
          <w:rFonts w:ascii="Times New Roman" w:hAnsi="Times New Roman" w:cs="Times New Roman"/>
          <w:lang w:val="uk-UA"/>
        </w:rPr>
        <w:t>.</w:t>
      </w:r>
    </w:p>
    <w:p w14:paraId="05299532" w14:textId="77777777" w:rsidR="003A3CDF" w:rsidRPr="00E16672" w:rsidRDefault="003A3CDF" w:rsidP="003A3CDF">
      <w:pPr>
        <w:pStyle w:val="33"/>
        <w:tabs>
          <w:tab w:val="left" w:pos="851"/>
        </w:tabs>
        <w:ind w:firstLine="540"/>
        <w:rPr>
          <w:rFonts w:ascii="Times New Roman" w:hAnsi="Times New Roman" w:cs="Times New Roman"/>
          <w:lang w:val="uk-UA"/>
        </w:rPr>
      </w:pPr>
      <w:r w:rsidRPr="00E16672">
        <w:rPr>
          <w:rFonts w:ascii="Times New Roman" w:hAnsi="Times New Roman" w:cs="Times New Roman"/>
          <w:lang w:val="uk-UA"/>
        </w:rPr>
        <w:t>11.11</w:t>
      </w:r>
      <w:r w:rsidR="006517E7">
        <w:rPr>
          <w:rFonts w:ascii="Times New Roman" w:hAnsi="Times New Roman" w:cs="Times New Roman"/>
          <w:lang w:val="uk-UA"/>
        </w:rPr>
        <w:t>.</w:t>
      </w:r>
      <w:r w:rsidRPr="00E16672">
        <w:rPr>
          <w:rFonts w:ascii="Times New Roman" w:hAnsi="Times New Roman" w:cs="Times New Roman"/>
          <w:lang w:val="uk-UA"/>
        </w:rPr>
        <w:t xml:space="preserve"> Визнання кваліфікованого електронного підпису - визначення відповідності </w:t>
      </w:r>
      <w:r w:rsidRPr="00E16672">
        <w:rPr>
          <w:rFonts w:ascii="Times New Roman" w:hAnsi="Times New Roman" w:cs="Times New Roman"/>
          <w:szCs w:val="16"/>
          <w:lang w:val="uk-UA"/>
        </w:rPr>
        <w:t>кваліфікованого</w:t>
      </w:r>
      <w:r w:rsidRPr="00E16672">
        <w:rPr>
          <w:rFonts w:ascii="Times New Roman" w:hAnsi="Times New Roman" w:cs="Times New Roman"/>
          <w:sz w:val="24"/>
          <w:lang w:val="uk-UA"/>
        </w:rPr>
        <w:t xml:space="preserve"> </w:t>
      </w:r>
      <w:r w:rsidRPr="00E16672">
        <w:rPr>
          <w:rFonts w:ascii="Times New Roman" w:hAnsi="Times New Roman" w:cs="Times New Roman"/>
          <w:lang w:val="uk-UA"/>
        </w:rPr>
        <w:t xml:space="preserve">електронного підпису сертифікату відкритого ключа </w:t>
      </w:r>
      <w:proofErr w:type="spellStart"/>
      <w:r w:rsidRPr="00E16672">
        <w:rPr>
          <w:rFonts w:ascii="Times New Roman" w:hAnsi="Times New Roman" w:cs="Times New Roman"/>
          <w:lang w:val="uk-UA"/>
        </w:rPr>
        <w:t>підписувача</w:t>
      </w:r>
      <w:proofErr w:type="spellEnd"/>
      <w:r w:rsidRPr="00E16672">
        <w:rPr>
          <w:rFonts w:ascii="Times New Roman" w:hAnsi="Times New Roman" w:cs="Times New Roman"/>
          <w:lang w:val="uk-UA"/>
        </w:rPr>
        <w:t>, який є чинним, та визнання підпису таким, що надає юридичної сили отриманим стороною електронним документам, сформованим з його використанням.</w:t>
      </w:r>
    </w:p>
    <w:p w14:paraId="274D489A" w14:textId="77777777" w:rsidR="007974E8" w:rsidRPr="00E16672" w:rsidRDefault="007974E8" w:rsidP="007974E8">
      <w:pPr>
        <w:pStyle w:val="33"/>
        <w:tabs>
          <w:tab w:val="left" w:pos="851"/>
        </w:tabs>
        <w:ind w:firstLine="540"/>
        <w:jc w:val="center"/>
        <w:rPr>
          <w:rFonts w:ascii="Times New Roman" w:hAnsi="Times New Roman" w:cs="Times New Roman"/>
          <w:color w:val="000000"/>
          <w:lang w:val="uk-UA"/>
        </w:rPr>
      </w:pPr>
    </w:p>
    <w:p w14:paraId="5AE70094" w14:textId="77777777" w:rsidR="003A3CDF" w:rsidRPr="00E16672" w:rsidRDefault="003A3CDF" w:rsidP="003A3CDF">
      <w:pPr>
        <w:jc w:val="center"/>
        <w:rPr>
          <w:rFonts w:ascii="Times New Roman" w:hAnsi="Times New Roman"/>
          <w:b/>
          <w:szCs w:val="20"/>
        </w:rPr>
      </w:pPr>
      <w:r w:rsidRPr="00E16672">
        <w:rPr>
          <w:rFonts w:ascii="Times New Roman" w:hAnsi="Times New Roman"/>
          <w:b/>
          <w:szCs w:val="20"/>
        </w:rPr>
        <w:t xml:space="preserve">12. </w:t>
      </w:r>
      <w:proofErr w:type="spellStart"/>
      <w:r w:rsidRPr="00E16672">
        <w:rPr>
          <w:rFonts w:ascii="Times New Roman" w:hAnsi="Times New Roman"/>
          <w:b/>
          <w:szCs w:val="20"/>
        </w:rPr>
        <w:t>Умови</w:t>
      </w:r>
      <w:proofErr w:type="spellEnd"/>
      <w:r w:rsidRPr="00E16672">
        <w:rPr>
          <w:rFonts w:ascii="Times New Roman" w:hAnsi="Times New Roman"/>
          <w:b/>
          <w:szCs w:val="20"/>
        </w:rPr>
        <w:t xml:space="preserve"> </w:t>
      </w:r>
      <w:r w:rsidRPr="00E16672">
        <w:rPr>
          <w:rFonts w:ascii="Times New Roman" w:hAnsi="Times New Roman"/>
          <w:b/>
          <w:szCs w:val="20"/>
          <w:lang w:val="uk-UA"/>
        </w:rPr>
        <w:t xml:space="preserve">щодо </w:t>
      </w:r>
      <w:r w:rsidRPr="00E16672">
        <w:rPr>
          <w:rFonts w:ascii="Times New Roman" w:hAnsi="Times New Roman"/>
          <w:b/>
          <w:szCs w:val="20"/>
        </w:rPr>
        <w:t xml:space="preserve">порядку </w:t>
      </w:r>
      <w:proofErr w:type="spellStart"/>
      <w:r w:rsidRPr="00E16672">
        <w:rPr>
          <w:rFonts w:ascii="Times New Roman" w:hAnsi="Times New Roman"/>
          <w:b/>
          <w:szCs w:val="20"/>
        </w:rPr>
        <w:t>виплати</w:t>
      </w:r>
      <w:proofErr w:type="spellEnd"/>
      <w:r w:rsidRPr="00E16672">
        <w:rPr>
          <w:rFonts w:ascii="Times New Roman" w:hAnsi="Times New Roman"/>
          <w:b/>
          <w:szCs w:val="20"/>
        </w:rPr>
        <w:t xml:space="preserve"> </w:t>
      </w:r>
      <w:r w:rsidRPr="00E16672">
        <w:rPr>
          <w:rFonts w:ascii="Times New Roman" w:hAnsi="Times New Roman"/>
          <w:b/>
          <w:szCs w:val="20"/>
          <w:lang w:val="uk-UA"/>
        </w:rPr>
        <w:t>доходів</w:t>
      </w:r>
      <w:r w:rsidRPr="00E16672">
        <w:rPr>
          <w:rFonts w:ascii="Times New Roman" w:hAnsi="Times New Roman"/>
          <w:b/>
          <w:szCs w:val="20"/>
        </w:rPr>
        <w:t xml:space="preserve">, </w:t>
      </w:r>
      <w:proofErr w:type="spellStart"/>
      <w:r w:rsidRPr="00E16672">
        <w:rPr>
          <w:rFonts w:ascii="Times New Roman" w:hAnsi="Times New Roman"/>
          <w:b/>
          <w:szCs w:val="20"/>
        </w:rPr>
        <w:t>отриманих</w:t>
      </w:r>
      <w:proofErr w:type="spellEnd"/>
      <w:r w:rsidRPr="00E16672">
        <w:rPr>
          <w:rFonts w:ascii="Times New Roman" w:hAnsi="Times New Roman"/>
          <w:b/>
          <w:szCs w:val="20"/>
        </w:rPr>
        <w:t xml:space="preserve"> депонентом за результатами </w:t>
      </w:r>
      <w:proofErr w:type="spellStart"/>
      <w:r w:rsidRPr="00E16672">
        <w:rPr>
          <w:rFonts w:ascii="Times New Roman" w:hAnsi="Times New Roman"/>
          <w:b/>
          <w:szCs w:val="20"/>
        </w:rPr>
        <w:t>проведених</w:t>
      </w:r>
      <w:proofErr w:type="spellEnd"/>
      <w:r w:rsidRPr="00E16672">
        <w:rPr>
          <w:rFonts w:ascii="Times New Roman" w:hAnsi="Times New Roman"/>
          <w:b/>
          <w:szCs w:val="20"/>
        </w:rPr>
        <w:t xml:space="preserve"> </w:t>
      </w:r>
      <w:proofErr w:type="spellStart"/>
      <w:r w:rsidRPr="00E16672">
        <w:rPr>
          <w:rFonts w:ascii="Times New Roman" w:hAnsi="Times New Roman"/>
          <w:b/>
          <w:szCs w:val="20"/>
        </w:rPr>
        <w:t>корпоративних</w:t>
      </w:r>
      <w:proofErr w:type="spellEnd"/>
      <w:r w:rsidRPr="00E16672">
        <w:rPr>
          <w:rFonts w:ascii="Times New Roman" w:hAnsi="Times New Roman"/>
          <w:b/>
          <w:szCs w:val="20"/>
        </w:rPr>
        <w:t xml:space="preserve"> </w:t>
      </w:r>
      <w:proofErr w:type="spellStart"/>
      <w:r w:rsidRPr="00E16672">
        <w:rPr>
          <w:rFonts w:ascii="Times New Roman" w:hAnsi="Times New Roman"/>
          <w:b/>
          <w:szCs w:val="20"/>
        </w:rPr>
        <w:t>операцій</w:t>
      </w:r>
      <w:proofErr w:type="spellEnd"/>
      <w:r w:rsidRPr="00E16672">
        <w:rPr>
          <w:rFonts w:ascii="Times New Roman" w:hAnsi="Times New Roman"/>
          <w:b/>
          <w:szCs w:val="20"/>
        </w:rPr>
        <w:t xml:space="preserve"> </w:t>
      </w:r>
      <w:proofErr w:type="spellStart"/>
      <w:r w:rsidRPr="00E16672">
        <w:rPr>
          <w:rFonts w:ascii="Times New Roman" w:hAnsi="Times New Roman"/>
          <w:b/>
          <w:szCs w:val="20"/>
        </w:rPr>
        <w:t>емітента</w:t>
      </w:r>
      <w:proofErr w:type="spellEnd"/>
      <w:r w:rsidRPr="00E16672">
        <w:rPr>
          <w:rFonts w:ascii="Times New Roman" w:hAnsi="Times New Roman"/>
          <w:b/>
          <w:szCs w:val="20"/>
        </w:rPr>
        <w:t>.</w:t>
      </w:r>
    </w:p>
    <w:p w14:paraId="6B0E164A" w14:textId="77777777" w:rsidR="003A3CDF" w:rsidRPr="00E16672" w:rsidRDefault="003A3CDF" w:rsidP="003A3CDF">
      <w:pPr>
        <w:rPr>
          <w:rFonts w:ascii="Times New Roman" w:hAnsi="Times New Roman"/>
          <w:szCs w:val="20"/>
        </w:rPr>
      </w:pPr>
      <w:r w:rsidRPr="00E16672">
        <w:rPr>
          <w:rFonts w:ascii="Times New Roman" w:hAnsi="Times New Roman"/>
          <w:szCs w:val="20"/>
        </w:rPr>
        <w:t xml:space="preserve">12.1. </w:t>
      </w:r>
      <w:proofErr w:type="spellStart"/>
      <w:r w:rsidRPr="00E16672">
        <w:rPr>
          <w:rFonts w:ascii="Times New Roman" w:hAnsi="Times New Roman"/>
          <w:szCs w:val="20"/>
        </w:rPr>
        <w:t>Щодо</w:t>
      </w:r>
      <w:proofErr w:type="spellEnd"/>
      <w:r w:rsidRPr="00E16672">
        <w:rPr>
          <w:rFonts w:ascii="Times New Roman" w:hAnsi="Times New Roman"/>
          <w:szCs w:val="20"/>
        </w:rPr>
        <w:t xml:space="preserve"> </w:t>
      </w:r>
      <w:proofErr w:type="spellStart"/>
      <w:r w:rsidRPr="00E16672">
        <w:rPr>
          <w:rFonts w:ascii="Times New Roman" w:hAnsi="Times New Roman"/>
          <w:szCs w:val="20"/>
        </w:rPr>
        <w:t>цінних</w:t>
      </w:r>
      <w:proofErr w:type="spellEnd"/>
      <w:r w:rsidRPr="00E16672">
        <w:rPr>
          <w:rFonts w:ascii="Times New Roman" w:hAnsi="Times New Roman"/>
          <w:szCs w:val="20"/>
        </w:rPr>
        <w:t xml:space="preserve"> </w:t>
      </w:r>
      <w:proofErr w:type="spellStart"/>
      <w:r w:rsidRPr="00E16672">
        <w:rPr>
          <w:rFonts w:ascii="Times New Roman" w:hAnsi="Times New Roman"/>
          <w:szCs w:val="20"/>
        </w:rPr>
        <w:t>паперів</w:t>
      </w:r>
      <w:proofErr w:type="spellEnd"/>
      <w:r w:rsidRPr="00E16672">
        <w:rPr>
          <w:rFonts w:ascii="Times New Roman" w:hAnsi="Times New Roman"/>
          <w:szCs w:val="20"/>
        </w:rPr>
        <w:t xml:space="preserve">, </w:t>
      </w:r>
      <w:proofErr w:type="spellStart"/>
      <w:r w:rsidRPr="00E16672">
        <w:rPr>
          <w:rFonts w:ascii="Times New Roman" w:hAnsi="Times New Roman"/>
          <w:szCs w:val="20"/>
        </w:rPr>
        <w:t>облік</w:t>
      </w:r>
      <w:proofErr w:type="spellEnd"/>
      <w:r w:rsidRPr="00E16672">
        <w:rPr>
          <w:rFonts w:ascii="Times New Roman" w:hAnsi="Times New Roman"/>
          <w:szCs w:val="20"/>
        </w:rPr>
        <w:t xml:space="preserve"> </w:t>
      </w:r>
      <w:proofErr w:type="spellStart"/>
      <w:r w:rsidRPr="00E16672">
        <w:rPr>
          <w:rFonts w:ascii="Times New Roman" w:hAnsi="Times New Roman"/>
          <w:szCs w:val="20"/>
        </w:rPr>
        <w:t>яких</w:t>
      </w:r>
      <w:proofErr w:type="spellEnd"/>
      <w:r w:rsidRPr="00E16672">
        <w:rPr>
          <w:rFonts w:ascii="Times New Roman" w:hAnsi="Times New Roman"/>
          <w:szCs w:val="20"/>
        </w:rPr>
        <w:t xml:space="preserve"> </w:t>
      </w:r>
      <w:proofErr w:type="spellStart"/>
      <w:r w:rsidRPr="00E16672">
        <w:rPr>
          <w:rFonts w:ascii="Times New Roman" w:hAnsi="Times New Roman"/>
          <w:szCs w:val="20"/>
        </w:rPr>
        <w:t>здійснює</w:t>
      </w:r>
      <w:proofErr w:type="spellEnd"/>
      <w:r w:rsidRPr="00E16672">
        <w:rPr>
          <w:rFonts w:ascii="Times New Roman" w:hAnsi="Times New Roman"/>
          <w:szCs w:val="20"/>
        </w:rPr>
        <w:t xml:space="preserve"> </w:t>
      </w:r>
      <w:proofErr w:type="spellStart"/>
      <w:r w:rsidRPr="00E16672">
        <w:rPr>
          <w:rFonts w:ascii="Times New Roman" w:hAnsi="Times New Roman"/>
          <w:szCs w:val="20"/>
        </w:rPr>
        <w:t>Центральний</w:t>
      </w:r>
      <w:proofErr w:type="spellEnd"/>
      <w:r w:rsidRPr="00E16672">
        <w:rPr>
          <w:rFonts w:ascii="Times New Roman" w:hAnsi="Times New Roman"/>
          <w:szCs w:val="20"/>
        </w:rPr>
        <w:t xml:space="preserve"> </w:t>
      </w:r>
      <w:proofErr w:type="spellStart"/>
      <w:r w:rsidRPr="00E16672">
        <w:rPr>
          <w:rFonts w:ascii="Times New Roman" w:hAnsi="Times New Roman"/>
          <w:szCs w:val="20"/>
        </w:rPr>
        <w:t>депозитарій</w:t>
      </w:r>
      <w:proofErr w:type="spellEnd"/>
      <w:r w:rsidRPr="00E16672">
        <w:rPr>
          <w:rFonts w:ascii="Times New Roman" w:hAnsi="Times New Roman"/>
          <w:szCs w:val="20"/>
        </w:rPr>
        <w:t>:</w:t>
      </w:r>
    </w:p>
    <w:p w14:paraId="1679FDA3" w14:textId="77777777" w:rsidR="003A3CDF" w:rsidRPr="00E16672" w:rsidRDefault="003A3CDF" w:rsidP="003A3CDF">
      <w:pPr>
        <w:rPr>
          <w:rFonts w:ascii="Times New Roman" w:hAnsi="Times New Roman"/>
          <w:szCs w:val="20"/>
        </w:rPr>
      </w:pPr>
      <w:r w:rsidRPr="00E16672">
        <w:rPr>
          <w:rFonts w:ascii="Times New Roman" w:hAnsi="Times New Roman"/>
          <w:szCs w:val="20"/>
        </w:rPr>
        <w:t xml:space="preserve">12.1.1. У </w:t>
      </w:r>
      <w:proofErr w:type="spellStart"/>
      <w:r w:rsidRPr="00E16672">
        <w:rPr>
          <w:rFonts w:ascii="Times New Roman" w:hAnsi="Times New Roman"/>
          <w:szCs w:val="20"/>
        </w:rPr>
        <w:t>термін</w:t>
      </w:r>
      <w:proofErr w:type="spellEnd"/>
      <w:r w:rsidRPr="00E16672">
        <w:rPr>
          <w:rFonts w:ascii="Times New Roman" w:hAnsi="Times New Roman"/>
          <w:szCs w:val="20"/>
        </w:rPr>
        <w:t xml:space="preserve"> не </w:t>
      </w:r>
      <w:proofErr w:type="spellStart"/>
      <w:r w:rsidRPr="00E16672">
        <w:rPr>
          <w:rFonts w:ascii="Times New Roman" w:hAnsi="Times New Roman"/>
          <w:szCs w:val="20"/>
        </w:rPr>
        <w:t>пізніше</w:t>
      </w:r>
      <w:proofErr w:type="spellEnd"/>
      <w:r w:rsidRPr="00E16672">
        <w:rPr>
          <w:rFonts w:ascii="Times New Roman" w:hAnsi="Times New Roman"/>
          <w:szCs w:val="20"/>
        </w:rPr>
        <w:t xml:space="preserve"> </w:t>
      </w:r>
      <w:r w:rsidRPr="00E16672">
        <w:rPr>
          <w:rFonts w:ascii="Times New Roman" w:hAnsi="Times New Roman"/>
          <w:i/>
          <w:szCs w:val="20"/>
        </w:rPr>
        <w:t>десяти</w:t>
      </w:r>
      <w:r w:rsidRPr="00E16672">
        <w:rPr>
          <w:rFonts w:ascii="Times New Roman" w:hAnsi="Times New Roman"/>
          <w:szCs w:val="20"/>
        </w:rPr>
        <w:t xml:space="preserve"> </w:t>
      </w:r>
      <w:proofErr w:type="spellStart"/>
      <w:r w:rsidRPr="00E16672">
        <w:rPr>
          <w:rFonts w:ascii="Times New Roman" w:hAnsi="Times New Roman"/>
          <w:szCs w:val="20"/>
        </w:rPr>
        <w:t>робочих</w:t>
      </w:r>
      <w:proofErr w:type="spellEnd"/>
      <w:r w:rsidRPr="00E16672">
        <w:rPr>
          <w:rFonts w:ascii="Times New Roman" w:hAnsi="Times New Roman"/>
          <w:szCs w:val="20"/>
        </w:rPr>
        <w:t xml:space="preserve"> </w:t>
      </w:r>
      <w:proofErr w:type="spellStart"/>
      <w:r w:rsidRPr="00E16672">
        <w:rPr>
          <w:rFonts w:ascii="Times New Roman" w:hAnsi="Times New Roman"/>
          <w:szCs w:val="20"/>
        </w:rPr>
        <w:t>днів</w:t>
      </w:r>
      <w:proofErr w:type="spellEnd"/>
      <w:r w:rsidRPr="00E16672">
        <w:rPr>
          <w:rFonts w:ascii="Times New Roman" w:hAnsi="Times New Roman"/>
          <w:szCs w:val="20"/>
        </w:rPr>
        <w:t xml:space="preserve">  з моменту </w:t>
      </w:r>
      <w:proofErr w:type="spellStart"/>
      <w:r w:rsidRPr="00E16672">
        <w:rPr>
          <w:rFonts w:ascii="Times New Roman" w:hAnsi="Times New Roman"/>
          <w:szCs w:val="20"/>
        </w:rPr>
        <w:t>надходження</w:t>
      </w:r>
      <w:proofErr w:type="spellEnd"/>
      <w:r w:rsidRPr="00E16672">
        <w:rPr>
          <w:rFonts w:ascii="Times New Roman" w:hAnsi="Times New Roman"/>
          <w:szCs w:val="20"/>
        </w:rPr>
        <w:t xml:space="preserve"> </w:t>
      </w:r>
      <w:proofErr w:type="spellStart"/>
      <w:r w:rsidRPr="00E16672">
        <w:rPr>
          <w:rFonts w:ascii="Times New Roman" w:hAnsi="Times New Roman"/>
          <w:szCs w:val="20"/>
        </w:rPr>
        <w:t>відповідних</w:t>
      </w:r>
      <w:proofErr w:type="spellEnd"/>
      <w:r w:rsidRPr="00E16672">
        <w:rPr>
          <w:rFonts w:ascii="Times New Roman" w:hAnsi="Times New Roman"/>
          <w:szCs w:val="20"/>
        </w:rPr>
        <w:t xml:space="preserve"> </w:t>
      </w:r>
      <w:proofErr w:type="spellStart"/>
      <w:r w:rsidRPr="00E16672">
        <w:rPr>
          <w:rFonts w:ascii="Times New Roman" w:hAnsi="Times New Roman"/>
          <w:szCs w:val="20"/>
        </w:rPr>
        <w:t>коштів</w:t>
      </w:r>
      <w:proofErr w:type="spellEnd"/>
      <w:r w:rsidRPr="00E16672">
        <w:rPr>
          <w:rFonts w:ascii="Times New Roman" w:hAnsi="Times New Roman"/>
          <w:szCs w:val="20"/>
        </w:rPr>
        <w:t xml:space="preserve"> на </w:t>
      </w:r>
      <w:proofErr w:type="spellStart"/>
      <w:r w:rsidRPr="00E16672">
        <w:rPr>
          <w:rFonts w:ascii="Times New Roman" w:hAnsi="Times New Roman"/>
          <w:szCs w:val="20"/>
        </w:rPr>
        <w:t>грошовий</w:t>
      </w:r>
      <w:proofErr w:type="spellEnd"/>
      <w:r w:rsidRPr="00E16672">
        <w:rPr>
          <w:rFonts w:ascii="Times New Roman" w:hAnsi="Times New Roman"/>
          <w:szCs w:val="20"/>
        </w:rPr>
        <w:t xml:space="preserve"> </w:t>
      </w:r>
      <w:proofErr w:type="spellStart"/>
      <w:r w:rsidRPr="00E16672">
        <w:rPr>
          <w:rFonts w:ascii="Times New Roman" w:hAnsi="Times New Roman"/>
          <w:szCs w:val="20"/>
        </w:rPr>
        <w:t>рахунок</w:t>
      </w:r>
      <w:proofErr w:type="spellEnd"/>
      <w:r w:rsidRPr="00E16672">
        <w:rPr>
          <w:rFonts w:ascii="Times New Roman" w:hAnsi="Times New Roman"/>
          <w:szCs w:val="20"/>
        </w:rPr>
        <w:t xml:space="preserve"> </w:t>
      </w:r>
      <w:proofErr w:type="spellStart"/>
      <w:r w:rsidRPr="00E16672">
        <w:rPr>
          <w:rFonts w:ascii="Times New Roman" w:hAnsi="Times New Roman"/>
          <w:szCs w:val="20"/>
        </w:rPr>
        <w:t>Депозитарної</w:t>
      </w:r>
      <w:proofErr w:type="spellEnd"/>
      <w:r w:rsidRPr="00E16672">
        <w:rPr>
          <w:rFonts w:ascii="Times New Roman" w:hAnsi="Times New Roman"/>
          <w:szCs w:val="20"/>
        </w:rPr>
        <w:t xml:space="preserve"> установи, </w:t>
      </w:r>
      <w:proofErr w:type="spellStart"/>
      <w:r w:rsidRPr="00E16672">
        <w:rPr>
          <w:rFonts w:ascii="Times New Roman" w:hAnsi="Times New Roman"/>
          <w:szCs w:val="20"/>
        </w:rPr>
        <w:t>отримання</w:t>
      </w:r>
      <w:proofErr w:type="spellEnd"/>
      <w:r w:rsidRPr="00E16672">
        <w:rPr>
          <w:rFonts w:ascii="Times New Roman" w:hAnsi="Times New Roman"/>
          <w:szCs w:val="20"/>
        </w:rPr>
        <w:t xml:space="preserve"> </w:t>
      </w:r>
      <w:proofErr w:type="spellStart"/>
      <w:r w:rsidRPr="00E16672">
        <w:rPr>
          <w:rFonts w:ascii="Times New Roman" w:hAnsi="Times New Roman"/>
          <w:szCs w:val="20"/>
        </w:rPr>
        <w:t>розпорядження</w:t>
      </w:r>
      <w:proofErr w:type="spellEnd"/>
      <w:r w:rsidRPr="00E16672">
        <w:rPr>
          <w:rFonts w:ascii="Times New Roman" w:hAnsi="Times New Roman"/>
          <w:szCs w:val="20"/>
        </w:rPr>
        <w:t xml:space="preserve"> </w:t>
      </w:r>
      <w:proofErr w:type="spellStart"/>
      <w:r w:rsidRPr="00E16672">
        <w:rPr>
          <w:rFonts w:ascii="Times New Roman" w:hAnsi="Times New Roman"/>
          <w:szCs w:val="20"/>
        </w:rPr>
        <w:t>від</w:t>
      </w:r>
      <w:proofErr w:type="spellEnd"/>
      <w:r w:rsidRPr="00E16672">
        <w:rPr>
          <w:rFonts w:ascii="Times New Roman" w:hAnsi="Times New Roman"/>
          <w:szCs w:val="20"/>
        </w:rPr>
        <w:t xml:space="preserve"> Центрального </w:t>
      </w:r>
      <w:proofErr w:type="spellStart"/>
      <w:r w:rsidRPr="00E16672">
        <w:rPr>
          <w:rFonts w:ascii="Times New Roman" w:hAnsi="Times New Roman"/>
          <w:szCs w:val="20"/>
        </w:rPr>
        <w:t>депозитарію</w:t>
      </w:r>
      <w:proofErr w:type="spellEnd"/>
      <w:r w:rsidRPr="00E16672">
        <w:rPr>
          <w:rFonts w:ascii="Times New Roman" w:hAnsi="Times New Roman"/>
          <w:szCs w:val="20"/>
        </w:rPr>
        <w:t xml:space="preserve"> та </w:t>
      </w:r>
      <w:proofErr w:type="spellStart"/>
      <w:r w:rsidRPr="00E16672">
        <w:rPr>
          <w:rFonts w:ascii="Times New Roman" w:hAnsi="Times New Roman"/>
          <w:szCs w:val="20"/>
        </w:rPr>
        <w:t>інших</w:t>
      </w:r>
      <w:proofErr w:type="spellEnd"/>
      <w:r w:rsidRPr="00E16672">
        <w:rPr>
          <w:rFonts w:ascii="Times New Roman" w:hAnsi="Times New Roman"/>
          <w:szCs w:val="20"/>
        </w:rPr>
        <w:t xml:space="preserve"> </w:t>
      </w:r>
      <w:proofErr w:type="spellStart"/>
      <w:r w:rsidRPr="00E16672">
        <w:rPr>
          <w:rFonts w:ascii="Times New Roman" w:hAnsi="Times New Roman"/>
          <w:szCs w:val="20"/>
        </w:rPr>
        <w:t>документів</w:t>
      </w:r>
      <w:proofErr w:type="spellEnd"/>
      <w:r w:rsidRPr="00E16672">
        <w:rPr>
          <w:rFonts w:ascii="Times New Roman" w:hAnsi="Times New Roman"/>
          <w:szCs w:val="20"/>
        </w:rPr>
        <w:t xml:space="preserve">, </w:t>
      </w:r>
      <w:proofErr w:type="spellStart"/>
      <w:r w:rsidRPr="00E16672">
        <w:rPr>
          <w:rFonts w:ascii="Times New Roman" w:hAnsi="Times New Roman"/>
          <w:szCs w:val="20"/>
        </w:rPr>
        <w:t>згідно</w:t>
      </w:r>
      <w:proofErr w:type="spellEnd"/>
      <w:r w:rsidRPr="00E16672">
        <w:rPr>
          <w:rFonts w:ascii="Times New Roman" w:hAnsi="Times New Roman"/>
          <w:szCs w:val="20"/>
        </w:rPr>
        <w:t xml:space="preserve"> чинного </w:t>
      </w:r>
      <w:proofErr w:type="spellStart"/>
      <w:r w:rsidRPr="00E16672">
        <w:rPr>
          <w:rFonts w:ascii="Times New Roman" w:hAnsi="Times New Roman"/>
          <w:szCs w:val="20"/>
        </w:rPr>
        <w:t>законодавства</w:t>
      </w:r>
      <w:proofErr w:type="spellEnd"/>
      <w:r w:rsidRPr="00E16672">
        <w:rPr>
          <w:rFonts w:ascii="Times New Roman" w:hAnsi="Times New Roman"/>
          <w:szCs w:val="20"/>
        </w:rPr>
        <w:t xml:space="preserve"> та регламенту Центрального </w:t>
      </w:r>
      <w:proofErr w:type="spellStart"/>
      <w:r w:rsidRPr="00E16672">
        <w:rPr>
          <w:rFonts w:ascii="Times New Roman" w:hAnsi="Times New Roman"/>
          <w:szCs w:val="20"/>
        </w:rPr>
        <w:t>депозитарію</w:t>
      </w:r>
      <w:proofErr w:type="spellEnd"/>
      <w:r w:rsidRPr="00E16672">
        <w:rPr>
          <w:rFonts w:ascii="Times New Roman" w:hAnsi="Times New Roman"/>
          <w:szCs w:val="20"/>
        </w:rPr>
        <w:t xml:space="preserve">,  </w:t>
      </w:r>
      <w:proofErr w:type="spellStart"/>
      <w:r w:rsidRPr="00E16672">
        <w:rPr>
          <w:rFonts w:ascii="Times New Roman" w:hAnsi="Times New Roman"/>
          <w:szCs w:val="20"/>
        </w:rPr>
        <w:t>Депозитарна</w:t>
      </w:r>
      <w:proofErr w:type="spellEnd"/>
      <w:r w:rsidRPr="00E16672">
        <w:rPr>
          <w:rFonts w:ascii="Times New Roman" w:hAnsi="Times New Roman"/>
          <w:szCs w:val="20"/>
        </w:rPr>
        <w:t xml:space="preserve"> </w:t>
      </w:r>
      <w:proofErr w:type="spellStart"/>
      <w:r w:rsidRPr="00E16672">
        <w:rPr>
          <w:rFonts w:ascii="Times New Roman" w:hAnsi="Times New Roman"/>
          <w:szCs w:val="20"/>
        </w:rPr>
        <w:t>установа</w:t>
      </w:r>
      <w:proofErr w:type="spellEnd"/>
      <w:r w:rsidRPr="00E16672">
        <w:rPr>
          <w:rFonts w:ascii="Times New Roman" w:hAnsi="Times New Roman"/>
          <w:szCs w:val="20"/>
        </w:rPr>
        <w:t xml:space="preserve"> </w:t>
      </w:r>
      <w:proofErr w:type="spellStart"/>
      <w:r w:rsidRPr="00E16672">
        <w:rPr>
          <w:rFonts w:ascii="Times New Roman" w:hAnsi="Times New Roman"/>
          <w:szCs w:val="20"/>
        </w:rPr>
        <w:t>здійснює</w:t>
      </w:r>
      <w:proofErr w:type="spellEnd"/>
      <w:r w:rsidRPr="00E16672">
        <w:rPr>
          <w:rFonts w:ascii="Times New Roman" w:hAnsi="Times New Roman"/>
          <w:szCs w:val="20"/>
        </w:rPr>
        <w:t xml:space="preserve"> </w:t>
      </w:r>
      <w:proofErr w:type="spellStart"/>
      <w:r w:rsidRPr="00E16672">
        <w:rPr>
          <w:rFonts w:ascii="Times New Roman" w:hAnsi="Times New Roman"/>
          <w:szCs w:val="20"/>
        </w:rPr>
        <w:t>виплату</w:t>
      </w:r>
      <w:proofErr w:type="spellEnd"/>
      <w:r w:rsidRPr="00E16672">
        <w:rPr>
          <w:rFonts w:ascii="Times New Roman" w:hAnsi="Times New Roman"/>
          <w:szCs w:val="20"/>
        </w:rPr>
        <w:t xml:space="preserve"> доходу за </w:t>
      </w:r>
      <w:proofErr w:type="spellStart"/>
      <w:r w:rsidRPr="00E16672">
        <w:rPr>
          <w:rFonts w:ascii="Times New Roman" w:hAnsi="Times New Roman"/>
          <w:szCs w:val="20"/>
        </w:rPr>
        <w:t>цінними</w:t>
      </w:r>
      <w:proofErr w:type="spellEnd"/>
      <w:r w:rsidRPr="00E16672">
        <w:rPr>
          <w:rFonts w:ascii="Times New Roman" w:hAnsi="Times New Roman"/>
          <w:szCs w:val="20"/>
        </w:rPr>
        <w:t xml:space="preserve"> </w:t>
      </w:r>
      <w:proofErr w:type="spellStart"/>
      <w:r w:rsidRPr="00E16672">
        <w:rPr>
          <w:rFonts w:ascii="Times New Roman" w:hAnsi="Times New Roman"/>
          <w:szCs w:val="20"/>
        </w:rPr>
        <w:t>паперами</w:t>
      </w:r>
      <w:proofErr w:type="spellEnd"/>
      <w:r w:rsidRPr="00E16672">
        <w:rPr>
          <w:rFonts w:ascii="Times New Roman" w:hAnsi="Times New Roman"/>
          <w:szCs w:val="20"/>
        </w:rPr>
        <w:t xml:space="preserve"> – </w:t>
      </w:r>
      <w:proofErr w:type="spellStart"/>
      <w:r w:rsidRPr="00E16672">
        <w:rPr>
          <w:rFonts w:ascii="Times New Roman" w:hAnsi="Times New Roman"/>
          <w:szCs w:val="20"/>
        </w:rPr>
        <w:t>грошових</w:t>
      </w:r>
      <w:proofErr w:type="spellEnd"/>
      <w:r w:rsidRPr="00E16672">
        <w:rPr>
          <w:rFonts w:ascii="Times New Roman" w:hAnsi="Times New Roman"/>
          <w:szCs w:val="20"/>
        </w:rPr>
        <w:t xml:space="preserve"> </w:t>
      </w:r>
      <w:proofErr w:type="spellStart"/>
      <w:r w:rsidRPr="00E16672">
        <w:rPr>
          <w:rFonts w:ascii="Times New Roman" w:hAnsi="Times New Roman"/>
          <w:szCs w:val="20"/>
        </w:rPr>
        <w:t>коштів</w:t>
      </w:r>
      <w:proofErr w:type="spellEnd"/>
      <w:r w:rsidRPr="00E16672">
        <w:rPr>
          <w:rFonts w:ascii="Times New Roman" w:hAnsi="Times New Roman"/>
          <w:szCs w:val="20"/>
        </w:rPr>
        <w:t xml:space="preserve">, </w:t>
      </w:r>
      <w:proofErr w:type="spellStart"/>
      <w:r w:rsidRPr="00E16672">
        <w:rPr>
          <w:rFonts w:ascii="Times New Roman" w:hAnsi="Times New Roman"/>
          <w:szCs w:val="20"/>
        </w:rPr>
        <w:t>отриманих</w:t>
      </w:r>
      <w:proofErr w:type="spellEnd"/>
      <w:r w:rsidRPr="00E16672">
        <w:rPr>
          <w:rFonts w:ascii="Times New Roman" w:hAnsi="Times New Roman"/>
          <w:szCs w:val="20"/>
        </w:rPr>
        <w:t xml:space="preserve"> Депонентом за результатами </w:t>
      </w:r>
      <w:proofErr w:type="spellStart"/>
      <w:r w:rsidRPr="00E16672">
        <w:rPr>
          <w:rFonts w:ascii="Times New Roman" w:hAnsi="Times New Roman"/>
          <w:szCs w:val="20"/>
        </w:rPr>
        <w:t>проведення</w:t>
      </w:r>
      <w:proofErr w:type="spellEnd"/>
      <w:r w:rsidRPr="00E16672">
        <w:rPr>
          <w:rFonts w:ascii="Times New Roman" w:hAnsi="Times New Roman"/>
          <w:szCs w:val="20"/>
        </w:rPr>
        <w:t xml:space="preserve"> </w:t>
      </w:r>
      <w:proofErr w:type="spellStart"/>
      <w:r w:rsidRPr="00E16672">
        <w:rPr>
          <w:rFonts w:ascii="Times New Roman" w:hAnsi="Times New Roman"/>
          <w:szCs w:val="20"/>
        </w:rPr>
        <w:t>корпоративних</w:t>
      </w:r>
      <w:proofErr w:type="spellEnd"/>
      <w:r w:rsidRPr="00E16672">
        <w:rPr>
          <w:rFonts w:ascii="Times New Roman" w:hAnsi="Times New Roman"/>
          <w:szCs w:val="20"/>
        </w:rPr>
        <w:t xml:space="preserve"> </w:t>
      </w:r>
      <w:proofErr w:type="spellStart"/>
      <w:r w:rsidRPr="00E16672">
        <w:rPr>
          <w:rFonts w:ascii="Times New Roman" w:hAnsi="Times New Roman"/>
          <w:szCs w:val="20"/>
        </w:rPr>
        <w:t>операцій</w:t>
      </w:r>
      <w:proofErr w:type="spellEnd"/>
      <w:r w:rsidRPr="00E16672">
        <w:rPr>
          <w:rFonts w:ascii="Times New Roman" w:hAnsi="Times New Roman"/>
          <w:szCs w:val="20"/>
        </w:rPr>
        <w:t xml:space="preserve"> </w:t>
      </w:r>
      <w:proofErr w:type="spellStart"/>
      <w:r w:rsidRPr="00E16672">
        <w:rPr>
          <w:rFonts w:ascii="Times New Roman" w:hAnsi="Times New Roman"/>
          <w:szCs w:val="20"/>
        </w:rPr>
        <w:t>емітента</w:t>
      </w:r>
      <w:proofErr w:type="spellEnd"/>
      <w:r w:rsidRPr="00E16672">
        <w:rPr>
          <w:rFonts w:ascii="Times New Roman" w:hAnsi="Times New Roman"/>
          <w:szCs w:val="20"/>
        </w:rPr>
        <w:t xml:space="preserve">, шляхом </w:t>
      </w:r>
      <w:proofErr w:type="spellStart"/>
      <w:r w:rsidRPr="00E16672">
        <w:rPr>
          <w:rFonts w:ascii="Times New Roman" w:hAnsi="Times New Roman"/>
          <w:szCs w:val="20"/>
        </w:rPr>
        <w:t>перерахування</w:t>
      </w:r>
      <w:proofErr w:type="spellEnd"/>
      <w:r w:rsidRPr="00E16672">
        <w:rPr>
          <w:rFonts w:ascii="Times New Roman" w:hAnsi="Times New Roman"/>
          <w:szCs w:val="20"/>
        </w:rPr>
        <w:t xml:space="preserve"> </w:t>
      </w:r>
      <w:proofErr w:type="spellStart"/>
      <w:r w:rsidRPr="00E16672">
        <w:rPr>
          <w:rFonts w:ascii="Times New Roman" w:hAnsi="Times New Roman"/>
          <w:szCs w:val="20"/>
        </w:rPr>
        <w:t>грошових</w:t>
      </w:r>
      <w:proofErr w:type="spellEnd"/>
      <w:r w:rsidRPr="00E16672">
        <w:rPr>
          <w:rFonts w:ascii="Times New Roman" w:hAnsi="Times New Roman"/>
          <w:szCs w:val="20"/>
        </w:rPr>
        <w:t xml:space="preserve"> </w:t>
      </w:r>
      <w:proofErr w:type="spellStart"/>
      <w:r w:rsidRPr="00E16672">
        <w:rPr>
          <w:rFonts w:ascii="Times New Roman" w:hAnsi="Times New Roman"/>
          <w:szCs w:val="20"/>
        </w:rPr>
        <w:t>коштів</w:t>
      </w:r>
      <w:proofErr w:type="spellEnd"/>
      <w:r w:rsidRPr="00E16672">
        <w:rPr>
          <w:rFonts w:ascii="Times New Roman" w:hAnsi="Times New Roman"/>
          <w:szCs w:val="20"/>
        </w:rPr>
        <w:t xml:space="preserve"> на </w:t>
      </w:r>
      <w:proofErr w:type="spellStart"/>
      <w:r w:rsidRPr="00E16672">
        <w:rPr>
          <w:rFonts w:ascii="Times New Roman" w:hAnsi="Times New Roman"/>
          <w:szCs w:val="20"/>
        </w:rPr>
        <w:t>грошовий</w:t>
      </w:r>
      <w:proofErr w:type="spellEnd"/>
      <w:r w:rsidRPr="00E16672">
        <w:rPr>
          <w:rFonts w:ascii="Times New Roman" w:hAnsi="Times New Roman"/>
          <w:szCs w:val="20"/>
        </w:rPr>
        <w:t xml:space="preserve"> </w:t>
      </w:r>
      <w:proofErr w:type="spellStart"/>
      <w:r w:rsidRPr="00E16672">
        <w:rPr>
          <w:rFonts w:ascii="Times New Roman" w:hAnsi="Times New Roman"/>
          <w:szCs w:val="20"/>
        </w:rPr>
        <w:t>банківський</w:t>
      </w:r>
      <w:proofErr w:type="spellEnd"/>
      <w:r w:rsidRPr="00E16672">
        <w:rPr>
          <w:rFonts w:ascii="Times New Roman" w:hAnsi="Times New Roman"/>
          <w:szCs w:val="20"/>
        </w:rPr>
        <w:t xml:space="preserve"> </w:t>
      </w:r>
      <w:proofErr w:type="spellStart"/>
      <w:r w:rsidRPr="00E16672">
        <w:rPr>
          <w:rFonts w:ascii="Times New Roman" w:hAnsi="Times New Roman"/>
          <w:szCs w:val="20"/>
        </w:rPr>
        <w:t>рахунок</w:t>
      </w:r>
      <w:proofErr w:type="spellEnd"/>
      <w:r w:rsidRPr="00E16672">
        <w:rPr>
          <w:rFonts w:ascii="Times New Roman" w:hAnsi="Times New Roman"/>
          <w:szCs w:val="20"/>
        </w:rPr>
        <w:t xml:space="preserve"> Депонента, </w:t>
      </w:r>
      <w:proofErr w:type="spellStart"/>
      <w:r w:rsidRPr="00E16672">
        <w:rPr>
          <w:rFonts w:ascii="Times New Roman" w:hAnsi="Times New Roman"/>
          <w:szCs w:val="20"/>
        </w:rPr>
        <w:t>реквізити</w:t>
      </w:r>
      <w:proofErr w:type="spellEnd"/>
      <w:r w:rsidRPr="00E16672">
        <w:rPr>
          <w:rFonts w:ascii="Times New Roman" w:hAnsi="Times New Roman"/>
          <w:szCs w:val="20"/>
        </w:rPr>
        <w:t xml:space="preserve"> </w:t>
      </w:r>
      <w:proofErr w:type="spellStart"/>
      <w:r w:rsidRPr="00E16672">
        <w:rPr>
          <w:rFonts w:ascii="Times New Roman" w:hAnsi="Times New Roman"/>
          <w:szCs w:val="20"/>
        </w:rPr>
        <w:t>якого</w:t>
      </w:r>
      <w:proofErr w:type="spellEnd"/>
      <w:r w:rsidRPr="00E16672">
        <w:rPr>
          <w:rFonts w:ascii="Times New Roman" w:hAnsi="Times New Roman"/>
          <w:szCs w:val="20"/>
        </w:rPr>
        <w:t xml:space="preserve"> </w:t>
      </w:r>
      <w:proofErr w:type="spellStart"/>
      <w:r w:rsidRPr="00E16672">
        <w:rPr>
          <w:rFonts w:ascii="Times New Roman" w:hAnsi="Times New Roman"/>
          <w:szCs w:val="20"/>
        </w:rPr>
        <w:t>зазначені</w:t>
      </w:r>
      <w:proofErr w:type="spellEnd"/>
      <w:r w:rsidRPr="00E16672">
        <w:rPr>
          <w:rFonts w:ascii="Times New Roman" w:hAnsi="Times New Roman"/>
          <w:szCs w:val="20"/>
        </w:rPr>
        <w:t xml:space="preserve">  в </w:t>
      </w:r>
      <w:proofErr w:type="spellStart"/>
      <w:r w:rsidRPr="00E16672">
        <w:rPr>
          <w:rFonts w:ascii="Times New Roman" w:hAnsi="Times New Roman"/>
          <w:szCs w:val="20"/>
        </w:rPr>
        <w:t>анкеті</w:t>
      </w:r>
      <w:proofErr w:type="spellEnd"/>
      <w:r w:rsidRPr="00E16672">
        <w:rPr>
          <w:rFonts w:ascii="Times New Roman" w:hAnsi="Times New Roman"/>
          <w:szCs w:val="20"/>
        </w:rPr>
        <w:t xml:space="preserve"> </w:t>
      </w:r>
      <w:proofErr w:type="spellStart"/>
      <w:r w:rsidRPr="00E16672">
        <w:rPr>
          <w:rFonts w:ascii="Times New Roman" w:hAnsi="Times New Roman"/>
          <w:szCs w:val="20"/>
        </w:rPr>
        <w:t>рахунка</w:t>
      </w:r>
      <w:proofErr w:type="spellEnd"/>
      <w:r w:rsidRPr="00E16672">
        <w:rPr>
          <w:rFonts w:ascii="Times New Roman" w:hAnsi="Times New Roman"/>
          <w:szCs w:val="20"/>
        </w:rPr>
        <w:t xml:space="preserve"> </w:t>
      </w:r>
      <w:r w:rsidR="00C22309" w:rsidRPr="00E16672">
        <w:rPr>
          <w:rFonts w:ascii="Times New Roman" w:hAnsi="Times New Roman"/>
          <w:szCs w:val="20"/>
        </w:rPr>
        <w:t xml:space="preserve">в </w:t>
      </w:r>
      <w:proofErr w:type="spellStart"/>
      <w:r w:rsidR="00C22309" w:rsidRPr="00E16672">
        <w:rPr>
          <w:rFonts w:ascii="Times New Roman" w:hAnsi="Times New Roman"/>
          <w:szCs w:val="20"/>
        </w:rPr>
        <w:t>цін</w:t>
      </w:r>
      <w:r w:rsidRPr="00E16672">
        <w:rPr>
          <w:rFonts w:ascii="Times New Roman" w:hAnsi="Times New Roman"/>
          <w:szCs w:val="20"/>
        </w:rPr>
        <w:t>них</w:t>
      </w:r>
      <w:proofErr w:type="spellEnd"/>
      <w:r w:rsidRPr="00E16672">
        <w:rPr>
          <w:rFonts w:ascii="Times New Roman" w:hAnsi="Times New Roman"/>
          <w:szCs w:val="20"/>
        </w:rPr>
        <w:t xml:space="preserve"> </w:t>
      </w:r>
      <w:proofErr w:type="spellStart"/>
      <w:r w:rsidRPr="00E16672">
        <w:rPr>
          <w:rFonts w:ascii="Times New Roman" w:hAnsi="Times New Roman"/>
          <w:szCs w:val="20"/>
        </w:rPr>
        <w:t>паперах</w:t>
      </w:r>
      <w:proofErr w:type="spellEnd"/>
      <w:r w:rsidRPr="00E16672">
        <w:rPr>
          <w:rFonts w:ascii="Times New Roman" w:hAnsi="Times New Roman"/>
          <w:szCs w:val="20"/>
        </w:rPr>
        <w:t xml:space="preserve"> Депонента.</w:t>
      </w:r>
    </w:p>
    <w:p w14:paraId="6104074B" w14:textId="77777777" w:rsidR="003A3CDF" w:rsidRPr="00E16672" w:rsidRDefault="003A3CDF" w:rsidP="003A3CDF">
      <w:pPr>
        <w:rPr>
          <w:rFonts w:ascii="Times New Roman" w:hAnsi="Times New Roman"/>
          <w:szCs w:val="20"/>
        </w:rPr>
      </w:pPr>
      <w:proofErr w:type="spellStart"/>
      <w:r w:rsidRPr="00E16672">
        <w:rPr>
          <w:rFonts w:ascii="Times New Roman" w:hAnsi="Times New Roman"/>
          <w:szCs w:val="20"/>
        </w:rPr>
        <w:lastRenderedPageBreak/>
        <w:t>Якщо</w:t>
      </w:r>
      <w:proofErr w:type="spellEnd"/>
      <w:r w:rsidRPr="00E16672">
        <w:rPr>
          <w:rFonts w:ascii="Times New Roman" w:hAnsi="Times New Roman"/>
          <w:szCs w:val="20"/>
        </w:rPr>
        <w:t xml:space="preserve"> в </w:t>
      </w:r>
      <w:proofErr w:type="spellStart"/>
      <w:r w:rsidRPr="00E16672">
        <w:rPr>
          <w:rFonts w:ascii="Times New Roman" w:hAnsi="Times New Roman"/>
          <w:szCs w:val="20"/>
        </w:rPr>
        <w:t>анкеті</w:t>
      </w:r>
      <w:proofErr w:type="spellEnd"/>
      <w:r w:rsidRPr="00E16672">
        <w:rPr>
          <w:rFonts w:ascii="Times New Roman" w:hAnsi="Times New Roman"/>
          <w:szCs w:val="20"/>
        </w:rPr>
        <w:t xml:space="preserve"> Депонента </w:t>
      </w:r>
      <w:proofErr w:type="spellStart"/>
      <w:r w:rsidRPr="00E16672">
        <w:rPr>
          <w:rFonts w:ascii="Times New Roman" w:hAnsi="Times New Roman"/>
          <w:szCs w:val="20"/>
        </w:rPr>
        <w:t>відсутні</w:t>
      </w:r>
      <w:proofErr w:type="spellEnd"/>
      <w:r w:rsidRPr="00E16672">
        <w:rPr>
          <w:rFonts w:ascii="Times New Roman" w:hAnsi="Times New Roman"/>
          <w:szCs w:val="20"/>
        </w:rPr>
        <w:t xml:space="preserve"> </w:t>
      </w:r>
      <w:proofErr w:type="spellStart"/>
      <w:r w:rsidRPr="00E16672">
        <w:rPr>
          <w:rFonts w:ascii="Times New Roman" w:hAnsi="Times New Roman"/>
          <w:szCs w:val="20"/>
        </w:rPr>
        <w:t>реквізити</w:t>
      </w:r>
      <w:proofErr w:type="spellEnd"/>
      <w:r w:rsidRPr="00E16672">
        <w:rPr>
          <w:rFonts w:ascii="Times New Roman" w:hAnsi="Times New Roman"/>
          <w:szCs w:val="20"/>
        </w:rPr>
        <w:t xml:space="preserve"> </w:t>
      </w:r>
      <w:proofErr w:type="spellStart"/>
      <w:r w:rsidRPr="00E16672">
        <w:rPr>
          <w:rFonts w:ascii="Times New Roman" w:hAnsi="Times New Roman"/>
          <w:szCs w:val="20"/>
        </w:rPr>
        <w:t>діючого</w:t>
      </w:r>
      <w:proofErr w:type="spellEnd"/>
      <w:r w:rsidRPr="00E16672">
        <w:rPr>
          <w:rFonts w:ascii="Times New Roman" w:hAnsi="Times New Roman"/>
          <w:szCs w:val="20"/>
        </w:rPr>
        <w:t xml:space="preserve"> грошового </w:t>
      </w:r>
      <w:proofErr w:type="spellStart"/>
      <w:r w:rsidRPr="00E16672">
        <w:rPr>
          <w:rFonts w:ascii="Times New Roman" w:hAnsi="Times New Roman"/>
          <w:szCs w:val="20"/>
        </w:rPr>
        <w:t>банківського</w:t>
      </w:r>
      <w:proofErr w:type="spellEnd"/>
      <w:r w:rsidRPr="00E16672">
        <w:rPr>
          <w:rFonts w:ascii="Times New Roman" w:hAnsi="Times New Roman"/>
          <w:szCs w:val="20"/>
        </w:rPr>
        <w:t xml:space="preserve"> </w:t>
      </w:r>
      <w:proofErr w:type="spellStart"/>
      <w:r w:rsidRPr="00E16672">
        <w:rPr>
          <w:rFonts w:ascii="Times New Roman" w:hAnsi="Times New Roman"/>
          <w:szCs w:val="20"/>
        </w:rPr>
        <w:t>рахунку</w:t>
      </w:r>
      <w:proofErr w:type="spellEnd"/>
      <w:r w:rsidRPr="00E16672">
        <w:rPr>
          <w:rFonts w:ascii="Times New Roman" w:hAnsi="Times New Roman"/>
          <w:szCs w:val="20"/>
        </w:rPr>
        <w:t xml:space="preserve"> на дату </w:t>
      </w:r>
      <w:proofErr w:type="spellStart"/>
      <w:r w:rsidRPr="00E16672">
        <w:rPr>
          <w:rFonts w:ascii="Times New Roman" w:hAnsi="Times New Roman"/>
          <w:szCs w:val="20"/>
        </w:rPr>
        <w:t>надходження</w:t>
      </w:r>
      <w:proofErr w:type="spellEnd"/>
      <w:r w:rsidRPr="00E16672">
        <w:rPr>
          <w:rFonts w:ascii="Times New Roman" w:hAnsi="Times New Roman"/>
          <w:szCs w:val="20"/>
        </w:rPr>
        <w:t xml:space="preserve"> до </w:t>
      </w:r>
      <w:proofErr w:type="spellStart"/>
      <w:r w:rsidRPr="00E16672">
        <w:rPr>
          <w:rFonts w:ascii="Times New Roman" w:hAnsi="Times New Roman"/>
          <w:szCs w:val="20"/>
        </w:rPr>
        <w:t>Депозитарної</w:t>
      </w:r>
      <w:proofErr w:type="spellEnd"/>
      <w:r w:rsidRPr="00E16672">
        <w:rPr>
          <w:rFonts w:ascii="Times New Roman" w:hAnsi="Times New Roman"/>
          <w:szCs w:val="20"/>
        </w:rPr>
        <w:t xml:space="preserve"> установи </w:t>
      </w:r>
      <w:proofErr w:type="spellStart"/>
      <w:r w:rsidRPr="00E16672">
        <w:rPr>
          <w:rFonts w:ascii="Times New Roman" w:hAnsi="Times New Roman"/>
          <w:szCs w:val="20"/>
        </w:rPr>
        <w:t>відповідних</w:t>
      </w:r>
      <w:proofErr w:type="spellEnd"/>
      <w:r w:rsidRPr="00E16672">
        <w:rPr>
          <w:rFonts w:ascii="Times New Roman" w:hAnsi="Times New Roman"/>
          <w:szCs w:val="20"/>
        </w:rPr>
        <w:t xml:space="preserve"> </w:t>
      </w:r>
      <w:proofErr w:type="spellStart"/>
      <w:r w:rsidRPr="00E16672">
        <w:rPr>
          <w:rFonts w:ascii="Times New Roman" w:hAnsi="Times New Roman"/>
          <w:szCs w:val="20"/>
        </w:rPr>
        <w:t>коштів</w:t>
      </w:r>
      <w:proofErr w:type="spellEnd"/>
      <w:r w:rsidRPr="00E16672">
        <w:rPr>
          <w:rFonts w:ascii="Times New Roman" w:hAnsi="Times New Roman"/>
          <w:szCs w:val="20"/>
        </w:rPr>
        <w:t xml:space="preserve">, </w:t>
      </w:r>
      <w:proofErr w:type="spellStart"/>
      <w:r w:rsidRPr="00E16672">
        <w:rPr>
          <w:rFonts w:ascii="Times New Roman" w:hAnsi="Times New Roman"/>
          <w:szCs w:val="20"/>
        </w:rPr>
        <w:t>виплата</w:t>
      </w:r>
      <w:proofErr w:type="spellEnd"/>
      <w:r w:rsidRPr="00E16672">
        <w:rPr>
          <w:rFonts w:ascii="Times New Roman" w:hAnsi="Times New Roman"/>
          <w:szCs w:val="20"/>
        </w:rPr>
        <w:t xml:space="preserve"> доходу за </w:t>
      </w:r>
      <w:proofErr w:type="spellStart"/>
      <w:r w:rsidRPr="00E16672">
        <w:rPr>
          <w:rFonts w:ascii="Times New Roman" w:hAnsi="Times New Roman"/>
          <w:szCs w:val="20"/>
        </w:rPr>
        <w:t>цінними</w:t>
      </w:r>
      <w:proofErr w:type="spellEnd"/>
      <w:r w:rsidRPr="00E16672">
        <w:rPr>
          <w:rFonts w:ascii="Times New Roman" w:hAnsi="Times New Roman"/>
          <w:szCs w:val="20"/>
        </w:rPr>
        <w:t xml:space="preserve"> </w:t>
      </w:r>
      <w:proofErr w:type="spellStart"/>
      <w:r w:rsidRPr="00E16672">
        <w:rPr>
          <w:rFonts w:ascii="Times New Roman" w:hAnsi="Times New Roman"/>
          <w:szCs w:val="20"/>
        </w:rPr>
        <w:t>паперами</w:t>
      </w:r>
      <w:proofErr w:type="spellEnd"/>
      <w:r w:rsidRPr="00E16672">
        <w:rPr>
          <w:rFonts w:ascii="Times New Roman" w:hAnsi="Times New Roman"/>
          <w:szCs w:val="20"/>
        </w:rPr>
        <w:t xml:space="preserve"> </w:t>
      </w:r>
      <w:proofErr w:type="spellStart"/>
      <w:r w:rsidRPr="00E16672">
        <w:rPr>
          <w:rFonts w:ascii="Times New Roman" w:hAnsi="Times New Roman"/>
          <w:szCs w:val="20"/>
        </w:rPr>
        <w:t>здійснюється</w:t>
      </w:r>
      <w:proofErr w:type="spellEnd"/>
      <w:r w:rsidRPr="00E16672">
        <w:rPr>
          <w:rFonts w:ascii="Times New Roman" w:hAnsi="Times New Roman"/>
          <w:szCs w:val="20"/>
        </w:rPr>
        <w:t xml:space="preserve"> не </w:t>
      </w:r>
      <w:proofErr w:type="spellStart"/>
      <w:r w:rsidRPr="00E16672">
        <w:rPr>
          <w:rFonts w:ascii="Times New Roman" w:hAnsi="Times New Roman"/>
          <w:szCs w:val="20"/>
        </w:rPr>
        <w:t>пізніше</w:t>
      </w:r>
      <w:proofErr w:type="spellEnd"/>
      <w:r w:rsidRPr="00E16672">
        <w:rPr>
          <w:rFonts w:ascii="Times New Roman" w:hAnsi="Times New Roman"/>
          <w:szCs w:val="20"/>
        </w:rPr>
        <w:t xml:space="preserve">, </w:t>
      </w:r>
      <w:proofErr w:type="spellStart"/>
      <w:r w:rsidRPr="00E16672">
        <w:rPr>
          <w:rFonts w:ascii="Times New Roman" w:hAnsi="Times New Roman"/>
          <w:szCs w:val="20"/>
        </w:rPr>
        <w:t>ніж</w:t>
      </w:r>
      <w:proofErr w:type="spellEnd"/>
      <w:r w:rsidRPr="00E16672">
        <w:rPr>
          <w:rFonts w:ascii="Times New Roman" w:hAnsi="Times New Roman"/>
          <w:szCs w:val="20"/>
        </w:rPr>
        <w:t xml:space="preserve"> за </w:t>
      </w:r>
      <w:r w:rsidRPr="00E16672">
        <w:rPr>
          <w:rFonts w:ascii="Times New Roman" w:hAnsi="Times New Roman"/>
          <w:i/>
          <w:szCs w:val="20"/>
        </w:rPr>
        <w:t xml:space="preserve">десять </w:t>
      </w:r>
      <w:proofErr w:type="spellStart"/>
      <w:r w:rsidRPr="00E16672">
        <w:rPr>
          <w:rFonts w:ascii="Times New Roman" w:hAnsi="Times New Roman"/>
          <w:i/>
          <w:szCs w:val="20"/>
        </w:rPr>
        <w:t>робочих</w:t>
      </w:r>
      <w:proofErr w:type="spellEnd"/>
      <w:r w:rsidRPr="00E16672">
        <w:rPr>
          <w:rFonts w:ascii="Times New Roman" w:hAnsi="Times New Roman"/>
          <w:i/>
          <w:szCs w:val="20"/>
        </w:rPr>
        <w:t xml:space="preserve"> </w:t>
      </w:r>
      <w:proofErr w:type="spellStart"/>
      <w:r w:rsidRPr="00E16672">
        <w:rPr>
          <w:rFonts w:ascii="Times New Roman" w:hAnsi="Times New Roman"/>
          <w:i/>
          <w:szCs w:val="20"/>
        </w:rPr>
        <w:t>днів</w:t>
      </w:r>
      <w:proofErr w:type="spellEnd"/>
      <w:r w:rsidRPr="00E16672">
        <w:rPr>
          <w:rFonts w:ascii="Times New Roman" w:hAnsi="Times New Roman"/>
          <w:szCs w:val="20"/>
        </w:rPr>
        <w:t xml:space="preserve"> до </w:t>
      </w:r>
      <w:proofErr w:type="spellStart"/>
      <w:r w:rsidRPr="00E16672">
        <w:rPr>
          <w:rFonts w:ascii="Times New Roman" w:hAnsi="Times New Roman"/>
          <w:szCs w:val="20"/>
        </w:rPr>
        <w:t>закінчення</w:t>
      </w:r>
      <w:proofErr w:type="spellEnd"/>
      <w:r w:rsidRPr="00E16672">
        <w:rPr>
          <w:rFonts w:ascii="Times New Roman" w:hAnsi="Times New Roman"/>
          <w:szCs w:val="20"/>
        </w:rPr>
        <w:t xml:space="preserve"> </w:t>
      </w:r>
      <w:proofErr w:type="spellStart"/>
      <w:r w:rsidRPr="00E16672">
        <w:rPr>
          <w:rFonts w:ascii="Times New Roman" w:hAnsi="Times New Roman"/>
          <w:i/>
          <w:szCs w:val="20"/>
        </w:rPr>
        <w:t>шестимісячного</w:t>
      </w:r>
      <w:proofErr w:type="spellEnd"/>
      <w:r w:rsidRPr="00E16672">
        <w:rPr>
          <w:rFonts w:ascii="Times New Roman" w:hAnsi="Times New Roman"/>
          <w:i/>
          <w:szCs w:val="20"/>
        </w:rPr>
        <w:t xml:space="preserve"> </w:t>
      </w:r>
      <w:proofErr w:type="spellStart"/>
      <w:r w:rsidRPr="00E16672">
        <w:rPr>
          <w:rFonts w:ascii="Times New Roman" w:hAnsi="Times New Roman"/>
          <w:i/>
          <w:szCs w:val="20"/>
        </w:rPr>
        <w:t>терміну</w:t>
      </w:r>
      <w:proofErr w:type="spellEnd"/>
      <w:r w:rsidRPr="00E16672">
        <w:rPr>
          <w:rFonts w:ascii="Times New Roman" w:hAnsi="Times New Roman"/>
          <w:szCs w:val="20"/>
        </w:rPr>
        <w:t xml:space="preserve"> </w:t>
      </w:r>
      <w:proofErr w:type="spellStart"/>
      <w:r w:rsidRPr="00E16672">
        <w:rPr>
          <w:rFonts w:ascii="Times New Roman" w:hAnsi="Times New Roman"/>
          <w:szCs w:val="20"/>
        </w:rPr>
        <w:t>знаходження</w:t>
      </w:r>
      <w:proofErr w:type="spellEnd"/>
      <w:r w:rsidRPr="00E16672">
        <w:rPr>
          <w:rFonts w:ascii="Times New Roman" w:hAnsi="Times New Roman"/>
          <w:szCs w:val="20"/>
        </w:rPr>
        <w:t xml:space="preserve"> </w:t>
      </w:r>
      <w:proofErr w:type="spellStart"/>
      <w:r w:rsidRPr="00E16672">
        <w:rPr>
          <w:rFonts w:ascii="Times New Roman" w:hAnsi="Times New Roman"/>
          <w:szCs w:val="20"/>
        </w:rPr>
        <w:t>коштів</w:t>
      </w:r>
      <w:proofErr w:type="spellEnd"/>
      <w:r w:rsidRPr="00E16672">
        <w:rPr>
          <w:rFonts w:ascii="Times New Roman" w:hAnsi="Times New Roman"/>
          <w:szCs w:val="20"/>
        </w:rPr>
        <w:t xml:space="preserve"> у </w:t>
      </w:r>
      <w:proofErr w:type="spellStart"/>
      <w:r w:rsidRPr="00E16672">
        <w:rPr>
          <w:rFonts w:ascii="Times New Roman" w:hAnsi="Times New Roman"/>
          <w:szCs w:val="20"/>
        </w:rPr>
        <w:t>Депозитарній</w:t>
      </w:r>
      <w:proofErr w:type="spellEnd"/>
      <w:r w:rsidRPr="00E16672">
        <w:rPr>
          <w:rFonts w:ascii="Times New Roman" w:hAnsi="Times New Roman"/>
          <w:szCs w:val="20"/>
        </w:rPr>
        <w:t xml:space="preserve"> </w:t>
      </w:r>
      <w:proofErr w:type="spellStart"/>
      <w:r w:rsidRPr="00E16672">
        <w:rPr>
          <w:rFonts w:ascii="Times New Roman" w:hAnsi="Times New Roman"/>
          <w:szCs w:val="20"/>
        </w:rPr>
        <w:t>установі</w:t>
      </w:r>
      <w:proofErr w:type="spellEnd"/>
      <w:r w:rsidRPr="00E16672">
        <w:rPr>
          <w:rFonts w:ascii="Times New Roman" w:hAnsi="Times New Roman"/>
          <w:szCs w:val="20"/>
        </w:rPr>
        <w:t xml:space="preserve"> у </w:t>
      </w:r>
      <w:proofErr w:type="spellStart"/>
      <w:r w:rsidRPr="00E16672">
        <w:rPr>
          <w:rFonts w:ascii="Times New Roman" w:hAnsi="Times New Roman"/>
          <w:szCs w:val="20"/>
        </w:rPr>
        <w:t>разі</w:t>
      </w:r>
      <w:proofErr w:type="spellEnd"/>
      <w:r w:rsidRPr="00E16672">
        <w:rPr>
          <w:rFonts w:ascii="Times New Roman" w:hAnsi="Times New Roman"/>
          <w:szCs w:val="20"/>
        </w:rPr>
        <w:t xml:space="preserve"> </w:t>
      </w:r>
      <w:proofErr w:type="spellStart"/>
      <w:r w:rsidRPr="00E16672">
        <w:rPr>
          <w:rFonts w:ascii="Times New Roman" w:hAnsi="Times New Roman"/>
          <w:szCs w:val="20"/>
        </w:rPr>
        <w:t>внесення</w:t>
      </w:r>
      <w:proofErr w:type="spellEnd"/>
      <w:r w:rsidRPr="00E16672">
        <w:rPr>
          <w:rFonts w:ascii="Times New Roman" w:hAnsi="Times New Roman"/>
          <w:szCs w:val="20"/>
        </w:rPr>
        <w:t xml:space="preserve"> Депонентом до </w:t>
      </w:r>
      <w:proofErr w:type="spellStart"/>
      <w:r w:rsidRPr="00E16672">
        <w:rPr>
          <w:rFonts w:ascii="Times New Roman" w:hAnsi="Times New Roman"/>
          <w:szCs w:val="20"/>
        </w:rPr>
        <w:t>анкети</w:t>
      </w:r>
      <w:proofErr w:type="spellEnd"/>
      <w:r w:rsidRPr="00E16672">
        <w:rPr>
          <w:rFonts w:ascii="Times New Roman" w:hAnsi="Times New Roman"/>
          <w:szCs w:val="20"/>
        </w:rPr>
        <w:t xml:space="preserve"> </w:t>
      </w:r>
      <w:proofErr w:type="spellStart"/>
      <w:r w:rsidRPr="00E16672">
        <w:rPr>
          <w:rFonts w:ascii="Times New Roman" w:hAnsi="Times New Roman"/>
          <w:szCs w:val="20"/>
        </w:rPr>
        <w:t>рахунку</w:t>
      </w:r>
      <w:proofErr w:type="spellEnd"/>
      <w:r w:rsidRPr="00E16672">
        <w:rPr>
          <w:rFonts w:ascii="Times New Roman" w:hAnsi="Times New Roman"/>
          <w:szCs w:val="20"/>
        </w:rPr>
        <w:t xml:space="preserve"> </w:t>
      </w:r>
      <w:r w:rsidR="00C22309" w:rsidRPr="00E16672">
        <w:rPr>
          <w:rFonts w:ascii="Times New Roman" w:hAnsi="Times New Roman"/>
          <w:szCs w:val="20"/>
        </w:rPr>
        <w:t xml:space="preserve">в </w:t>
      </w:r>
      <w:proofErr w:type="spellStart"/>
      <w:r w:rsidR="00C22309" w:rsidRPr="00E16672">
        <w:rPr>
          <w:rFonts w:ascii="Times New Roman" w:hAnsi="Times New Roman"/>
          <w:szCs w:val="20"/>
        </w:rPr>
        <w:t>цін</w:t>
      </w:r>
      <w:r w:rsidRPr="00E16672">
        <w:rPr>
          <w:rFonts w:ascii="Times New Roman" w:hAnsi="Times New Roman"/>
          <w:szCs w:val="20"/>
        </w:rPr>
        <w:t>них</w:t>
      </w:r>
      <w:proofErr w:type="spellEnd"/>
      <w:r w:rsidRPr="00E16672">
        <w:rPr>
          <w:rFonts w:ascii="Times New Roman" w:hAnsi="Times New Roman"/>
          <w:szCs w:val="20"/>
        </w:rPr>
        <w:t xml:space="preserve"> </w:t>
      </w:r>
      <w:proofErr w:type="spellStart"/>
      <w:r w:rsidRPr="00E16672">
        <w:rPr>
          <w:rFonts w:ascii="Times New Roman" w:hAnsi="Times New Roman"/>
          <w:szCs w:val="20"/>
        </w:rPr>
        <w:t>паперах</w:t>
      </w:r>
      <w:proofErr w:type="spellEnd"/>
      <w:r w:rsidRPr="00E16672">
        <w:rPr>
          <w:rFonts w:ascii="Times New Roman" w:hAnsi="Times New Roman"/>
          <w:szCs w:val="20"/>
        </w:rPr>
        <w:t xml:space="preserve"> не </w:t>
      </w:r>
      <w:proofErr w:type="spellStart"/>
      <w:r w:rsidRPr="00E16672">
        <w:rPr>
          <w:rFonts w:ascii="Times New Roman" w:hAnsi="Times New Roman"/>
          <w:szCs w:val="20"/>
        </w:rPr>
        <w:t>пізніше</w:t>
      </w:r>
      <w:proofErr w:type="spellEnd"/>
      <w:r w:rsidRPr="00E16672">
        <w:rPr>
          <w:rFonts w:ascii="Times New Roman" w:hAnsi="Times New Roman"/>
          <w:szCs w:val="20"/>
        </w:rPr>
        <w:t xml:space="preserve"> </w:t>
      </w:r>
      <w:proofErr w:type="spellStart"/>
      <w:r w:rsidRPr="00E16672">
        <w:rPr>
          <w:rFonts w:ascii="Times New Roman" w:hAnsi="Times New Roman"/>
          <w:szCs w:val="20"/>
        </w:rPr>
        <w:t>ніж</w:t>
      </w:r>
      <w:proofErr w:type="spellEnd"/>
      <w:r w:rsidRPr="00E16672">
        <w:rPr>
          <w:rFonts w:ascii="Times New Roman" w:hAnsi="Times New Roman"/>
          <w:szCs w:val="20"/>
        </w:rPr>
        <w:t xml:space="preserve"> </w:t>
      </w:r>
      <w:r w:rsidRPr="00E16672">
        <w:rPr>
          <w:rFonts w:ascii="Times New Roman" w:hAnsi="Times New Roman"/>
          <w:i/>
          <w:szCs w:val="20"/>
        </w:rPr>
        <w:t xml:space="preserve">за </w:t>
      </w:r>
      <w:proofErr w:type="spellStart"/>
      <w:r w:rsidRPr="00E16672">
        <w:rPr>
          <w:rFonts w:ascii="Times New Roman" w:hAnsi="Times New Roman"/>
          <w:i/>
          <w:szCs w:val="20"/>
        </w:rPr>
        <w:t>п'ятнадцять</w:t>
      </w:r>
      <w:proofErr w:type="spellEnd"/>
      <w:r w:rsidRPr="00E16672">
        <w:rPr>
          <w:rFonts w:ascii="Times New Roman" w:hAnsi="Times New Roman"/>
          <w:i/>
          <w:szCs w:val="20"/>
        </w:rPr>
        <w:t xml:space="preserve"> </w:t>
      </w:r>
      <w:proofErr w:type="spellStart"/>
      <w:r w:rsidRPr="00E16672">
        <w:rPr>
          <w:rFonts w:ascii="Times New Roman" w:hAnsi="Times New Roman"/>
          <w:i/>
          <w:szCs w:val="20"/>
        </w:rPr>
        <w:t>робочих</w:t>
      </w:r>
      <w:proofErr w:type="spellEnd"/>
      <w:r w:rsidRPr="00E16672">
        <w:rPr>
          <w:rFonts w:ascii="Times New Roman" w:hAnsi="Times New Roman"/>
          <w:i/>
          <w:szCs w:val="20"/>
        </w:rPr>
        <w:t xml:space="preserve"> </w:t>
      </w:r>
      <w:proofErr w:type="spellStart"/>
      <w:r w:rsidRPr="00E16672">
        <w:rPr>
          <w:rFonts w:ascii="Times New Roman" w:hAnsi="Times New Roman"/>
          <w:i/>
          <w:szCs w:val="20"/>
        </w:rPr>
        <w:t>днів</w:t>
      </w:r>
      <w:proofErr w:type="spellEnd"/>
      <w:r w:rsidRPr="00E16672">
        <w:rPr>
          <w:rFonts w:ascii="Times New Roman" w:hAnsi="Times New Roman"/>
          <w:szCs w:val="20"/>
        </w:rPr>
        <w:t xml:space="preserve"> до </w:t>
      </w:r>
      <w:proofErr w:type="spellStart"/>
      <w:r w:rsidRPr="00E16672">
        <w:rPr>
          <w:rFonts w:ascii="Times New Roman" w:hAnsi="Times New Roman"/>
          <w:szCs w:val="20"/>
        </w:rPr>
        <w:t>закінчення</w:t>
      </w:r>
      <w:proofErr w:type="spellEnd"/>
      <w:r w:rsidRPr="00E16672">
        <w:rPr>
          <w:rFonts w:ascii="Times New Roman" w:hAnsi="Times New Roman"/>
          <w:szCs w:val="20"/>
        </w:rPr>
        <w:t xml:space="preserve"> </w:t>
      </w:r>
      <w:proofErr w:type="spellStart"/>
      <w:r w:rsidRPr="00E16672">
        <w:rPr>
          <w:rFonts w:ascii="Times New Roman" w:hAnsi="Times New Roman"/>
          <w:szCs w:val="20"/>
        </w:rPr>
        <w:t>зазначеного</w:t>
      </w:r>
      <w:proofErr w:type="spellEnd"/>
      <w:r w:rsidRPr="00E16672">
        <w:rPr>
          <w:rFonts w:ascii="Times New Roman" w:hAnsi="Times New Roman"/>
          <w:szCs w:val="20"/>
        </w:rPr>
        <w:t xml:space="preserve"> </w:t>
      </w:r>
      <w:proofErr w:type="spellStart"/>
      <w:r w:rsidRPr="00E16672">
        <w:rPr>
          <w:rFonts w:ascii="Times New Roman" w:hAnsi="Times New Roman"/>
          <w:szCs w:val="20"/>
        </w:rPr>
        <w:t>терміну</w:t>
      </w:r>
      <w:proofErr w:type="spellEnd"/>
      <w:r w:rsidRPr="00E16672">
        <w:rPr>
          <w:rFonts w:ascii="Times New Roman" w:hAnsi="Times New Roman"/>
          <w:szCs w:val="20"/>
        </w:rPr>
        <w:t xml:space="preserve"> </w:t>
      </w:r>
      <w:proofErr w:type="spellStart"/>
      <w:r w:rsidRPr="00E16672">
        <w:rPr>
          <w:rFonts w:ascii="Times New Roman" w:hAnsi="Times New Roman"/>
          <w:szCs w:val="20"/>
        </w:rPr>
        <w:t>інформації</w:t>
      </w:r>
      <w:proofErr w:type="spellEnd"/>
      <w:r w:rsidRPr="00E16672">
        <w:rPr>
          <w:rFonts w:ascii="Times New Roman" w:hAnsi="Times New Roman"/>
          <w:szCs w:val="20"/>
        </w:rPr>
        <w:t xml:space="preserve"> </w:t>
      </w:r>
      <w:proofErr w:type="spellStart"/>
      <w:r w:rsidRPr="00E16672">
        <w:rPr>
          <w:rFonts w:ascii="Times New Roman" w:hAnsi="Times New Roman"/>
          <w:szCs w:val="20"/>
        </w:rPr>
        <w:t>щодо</w:t>
      </w:r>
      <w:proofErr w:type="spellEnd"/>
      <w:r w:rsidRPr="00E16672">
        <w:rPr>
          <w:rFonts w:ascii="Times New Roman" w:hAnsi="Times New Roman"/>
          <w:szCs w:val="20"/>
        </w:rPr>
        <w:t xml:space="preserve"> </w:t>
      </w:r>
      <w:proofErr w:type="spellStart"/>
      <w:r w:rsidRPr="00E16672">
        <w:rPr>
          <w:rFonts w:ascii="Times New Roman" w:hAnsi="Times New Roman"/>
          <w:szCs w:val="20"/>
        </w:rPr>
        <w:t>діючого</w:t>
      </w:r>
      <w:proofErr w:type="spellEnd"/>
      <w:r w:rsidRPr="00E16672">
        <w:rPr>
          <w:rFonts w:ascii="Times New Roman" w:hAnsi="Times New Roman"/>
          <w:szCs w:val="20"/>
        </w:rPr>
        <w:t xml:space="preserve"> грошового </w:t>
      </w:r>
      <w:proofErr w:type="spellStart"/>
      <w:r w:rsidRPr="00E16672">
        <w:rPr>
          <w:rFonts w:ascii="Times New Roman" w:hAnsi="Times New Roman"/>
          <w:szCs w:val="20"/>
        </w:rPr>
        <w:t>банківського</w:t>
      </w:r>
      <w:proofErr w:type="spellEnd"/>
      <w:r w:rsidRPr="00E16672">
        <w:rPr>
          <w:rFonts w:ascii="Times New Roman" w:hAnsi="Times New Roman"/>
          <w:szCs w:val="20"/>
        </w:rPr>
        <w:t xml:space="preserve"> </w:t>
      </w:r>
      <w:proofErr w:type="spellStart"/>
      <w:r w:rsidRPr="00E16672">
        <w:rPr>
          <w:rFonts w:ascii="Times New Roman" w:hAnsi="Times New Roman"/>
          <w:szCs w:val="20"/>
        </w:rPr>
        <w:t>рахунку</w:t>
      </w:r>
      <w:proofErr w:type="spellEnd"/>
      <w:r w:rsidRPr="00E16672">
        <w:rPr>
          <w:rFonts w:ascii="Times New Roman" w:hAnsi="Times New Roman"/>
          <w:szCs w:val="20"/>
        </w:rPr>
        <w:t xml:space="preserve">. </w:t>
      </w:r>
    </w:p>
    <w:p w14:paraId="7298A11C" w14:textId="77777777" w:rsidR="003A3CDF" w:rsidRPr="00E16672" w:rsidRDefault="003A3CDF" w:rsidP="003A3CDF">
      <w:pPr>
        <w:rPr>
          <w:rFonts w:ascii="Times New Roman" w:hAnsi="Times New Roman"/>
          <w:szCs w:val="20"/>
        </w:rPr>
      </w:pPr>
      <w:proofErr w:type="spellStart"/>
      <w:r w:rsidRPr="00E16672">
        <w:rPr>
          <w:rFonts w:ascii="Times New Roman" w:hAnsi="Times New Roman"/>
          <w:szCs w:val="20"/>
        </w:rPr>
        <w:t>Щодо</w:t>
      </w:r>
      <w:proofErr w:type="spellEnd"/>
      <w:r w:rsidRPr="00E16672">
        <w:rPr>
          <w:rFonts w:ascii="Times New Roman" w:hAnsi="Times New Roman"/>
          <w:szCs w:val="20"/>
        </w:rPr>
        <w:t xml:space="preserve"> </w:t>
      </w:r>
      <w:proofErr w:type="spellStart"/>
      <w:r w:rsidRPr="00E16672">
        <w:rPr>
          <w:rFonts w:ascii="Times New Roman" w:hAnsi="Times New Roman"/>
          <w:szCs w:val="20"/>
        </w:rPr>
        <w:t>коштів</w:t>
      </w:r>
      <w:proofErr w:type="spellEnd"/>
      <w:r w:rsidRPr="00E16672">
        <w:rPr>
          <w:rFonts w:ascii="Times New Roman" w:hAnsi="Times New Roman"/>
          <w:szCs w:val="20"/>
        </w:rPr>
        <w:t xml:space="preserve">, </w:t>
      </w:r>
      <w:proofErr w:type="spellStart"/>
      <w:r w:rsidRPr="00E16672">
        <w:rPr>
          <w:rFonts w:ascii="Times New Roman" w:hAnsi="Times New Roman"/>
          <w:szCs w:val="20"/>
        </w:rPr>
        <w:t>які</w:t>
      </w:r>
      <w:proofErr w:type="spellEnd"/>
      <w:r w:rsidRPr="00E16672">
        <w:rPr>
          <w:rFonts w:ascii="Times New Roman" w:hAnsi="Times New Roman"/>
          <w:szCs w:val="20"/>
        </w:rPr>
        <w:t xml:space="preserve"> </w:t>
      </w:r>
      <w:proofErr w:type="spellStart"/>
      <w:r w:rsidRPr="00E16672">
        <w:rPr>
          <w:rFonts w:ascii="Times New Roman" w:hAnsi="Times New Roman"/>
          <w:szCs w:val="20"/>
        </w:rPr>
        <w:t>надійшли</w:t>
      </w:r>
      <w:proofErr w:type="spellEnd"/>
      <w:r w:rsidRPr="00E16672">
        <w:rPr>
          <w:rFonts w:ascii="Times New Roman" w:hAnsi="Times New Roman"/>
          <w:szCs w:val="20"/>
        </w:rPr>
        <w:t xml:space="preserve"> на </w:t>
      </w:r>
      <w:proofErr w:type="spellStart"/>
      <w:r w:rsidRPr="00E16672">
        <w:rPr>
          <w:rFonts w:ascii="Times New Roman" w:hAnsi="Times New Roman"/>
          <w:szCs w:val="20"/>
        </w:rPr>
        <w:t>грошовий</w:t>
      </w:r>
      <w:proofErr w:type="spellEnd"/>
      <w:r w:rsidRPr="00E16672">
        <w:rPr>
          <w:rFonts w:ascii="Times New Roman" w:hAnsi="Times New Roman"/>
          <w:szCs w:val="20"/>
        </w:rPr>
        <w:t xml:space="preserve"> </w:t>
      </w:r>
      <w:proofErr w:type="spellStart"/>
      <w:r w:rsidRPr="00E16672">
        <w:rPr>
          <w:rFonts w:ascii="Times New Roman" w:hAnsi="Times New Roman"/>
          <w:szCs w:val="20"/>
        </w:rPr>
        <w:t>рахунок</w:t>
      </w:r>
      <w:proofErr w:type="spellEnd"/>
      <w:r w:rsidRPr="00E16672">
        <w:rPr>
          <w:rFonts w:ascii="Times New Roman" w:hAnsi="Times New Roman"/>
          <w:szCs w:val="20"/>
        </w:rPr>
        <w:t xml:space="preserve"> </w:t>
      </w:r>
      <w:proofErr w:type="spellStart"/>
      <w:r w:rsidRPr="00E16672">
        <w:rPr>
          <w:rFonts w:ascii="Times New Roman" w:hAnsi="Times New Roman"/>
          <w:szCs w:val="20"/>
        </w:rPr>
        <w:t>Депозитарної</w:t>
      </w:r>
      <w:proofErr w:type="spellEnd"/>
      <w:r w:rsidRPr="00E16672">
        <w:rPr>
          <w:rFonts w:ascii="Times New Roman" w:hAnsi="Times New Roman"/>
          <w:szCs w:val="20"/>
        </w:rPr>
        <w:t xml:space="preserve"> установи з метою </w:t>
      </w:r>
      <w:proofErr w:type="spellStart"/>
      <w:r w:rsidRPr="00E16672">
        <w:rPr>
          <w:rFonts w:ascii="Times New Roman" w:hAnsi="Times New Roman"/>
          <w:szCs w:val="20"/>
        </w:rPr>
        <w:t>їх</w:t>
      </w:r>
      <w:proofErr w:type="spellEnd"/>
      <w:r w:rsidRPr="00E16672">
        <w:rPr>
          <w:rFonts w:ascii="Times New Roman" w:hAnsi="Times New Roman"/>
          <w:szCs w:val="20"/>
        </w:rPr>
        <w:t xml:space="preserve"> </w:t>
      </w:r>
      <w:proofErr w:type="spellStart"/>
      <w:r w:rsidRPr="00E16672">
        <w:rPr>
          <w:rFonts w:ascii="Times New Roman" w:hAnsi="Times New Roman"/>
          <w:szCs w:val="20"/>
        </w:rPr>
        <w:t>подальшого</w:t>
      </w:r>
      <w:proofErr w:type="spellEnd"/>
      <w:r w:rsidRPr="00E16672">
        <w:rPr>
          <w:rFonts w:ascii="Times New Roman" w:hAnsi="Times New Roman"/>
          <w:szCs w:val="20"/>
        </w:rPr>
        <w:t xml:space="preserve"> </w:t>
      </w:r>
      <w:proofErr w:type="spellStart"/>
      <w:r w:rsidRPr="00E16672">
        <w:rPr>
          <w:rFonts w:ascii="Times New Roman" w:hAnsi="Times New Roman"/>
          <w:szCs w:val="20"/>
        </w:rPr>
        <w:t>переказу</w:t>
      </w:r>
      <w:proofErr w:type="spellEnd"/>
      <w:r w:rsidRPr="00E16672">
        <w:rPr>
          <w:rFonts w:ascii="Times New Roman" w:hAnsi="Times New Roman"/>
          <w:szCs w:val="20"/>
        </w:rPr>
        <w:t xml:space="preserve"> та не </w:t>
      </w:r>
      <w:proofErr w:type="spellStart"/>
      <w:r w:rsidRPr="00E16672">
        <w:rPr>
          <w:rFonts w:ascii="Times New Roman" w:hAnsi="Times New Roman"/>
          <w:szCs w:val="20"/>
        </w:rPr>
        <w:t>були</w:t>
      </w:r>
      <w:proofErr w:type="spellEnd"/>
      <w:r w:rsidRPr="00E16672">
        <w:rPr>
          <w:rFonts w:ascii="Times New Roman" w:hAnsi="Times New Roman"/>
          <w:szCs w:val="20"/>
        </w:rPr>
        <w:t xml:space="preserve"> </w:t>
      </w:r>
      <w:proofErr w:type="spellStart"/>
      <w:r w:rsidRPr="00E16672">
        <w:rPr>
          <w:rFonts w:ascii="Times New Roman" w:hAnsi="Times New Roman"/>
          <w:szCs w:val="20"/>
        </w:rPr>
        <w:t>виплачені</w:t>
      </w:r>
      <w:proofErr w:type="spellEnd"/>
      <w:r w:rsidRPr="00E16672">
        <w:rPr>
          <w:rFonts w:ascii="Times New Roman" w:hAnsi="Times New Roman"/>
          <w:szCs w:val="20"/>
        </w:rPr>
        <w:t xml:space="preserve"> Депоненту через </w:t>
      </w:r>
      <w:proofErr w:type="spellStart"/>
      <w:r w:rsidRPr="00E16672">
        <w:rPr>
          <w:rFonts w:ascii="Times New Roman" w:hAnsi="Times New Roman"/>
          <w:szCs w:val="20"/>
        </w:rPr>
        <w:t>незалежні</w:t>
      </w:r>
      <w:proofErr w:type="spellEnd"/>
      <w:r w:rsidRPr="00E16672">
        <w:rPr>
          <w:rFonts w:ascii="Times New Roman" w:hAnsi="Times New Roman"/>
          <w:szCs w:val="20"/>
        </w:rPr>
        <w:t xml:space="preserve"> </w:t>
      </w:r>
      <w:proofErr w:type="spellStart"/>
      <w:r w:rsidRPr="00E16672">
        <w:rPr>
          <w:rFonts w:ascii="Times New Roman" w:hAnsi="Times New Roman"/>
          <w:szCs w:val="20"/>
        </w:rPr>
        <w:t>від</w:t>
      </w:r>
      <w:proofErr w:type="spellEnd"/>
      <w:r w:rsidRPr="00E16672">
        <w:rPr>
          <w:rFonts w:ascii="Times New Roman" w:hAnsi="Times New Roman"/>
          <w:szCs w:val="20"/>
        </w:rPr>
        <w:t xml:space="preserve"> </w:t>
      </w:r>
      <w:proofErr w:type="spellStart"/>
      <w:r w:rsidRPr="00E16672">
        <w:rPr>
          <w:rFonts w:ascii="Times New Roman" w:hAnsi="Times New Roman"/>
          <w:szCs w:val="20"/>
        </w:rPr>
        <w:t>Депозитарної</w:t>
      </w:r>
      <w:proofErr w:type="spellEnd"/>
      <w:r w:rsidRPr="00E16672">
        <w:rPr>
          <w:rFonts w:ascii="Times New Roman" w:hAnsi="Times New Roman"/>
          <w:szCs w:val="20"/>
        </w:rPr>
        <w:t xml:space="preserve"> установи </w:t>
      </w:r>
      <w:proofErr w:type="spellStart"/>
      <w:r w:rsidRPr="00E16672">
        <w:rPr>
          <w:rFonts w:ascii="Times New Roman" w:hAnsi="Times New Roman"/>
          <w:szCs w:val="20"/>
        </w:rPr>
        <w:t>обставини</w:t>
      </w:r>
      <w:proofErr w:type="spellEnd"/>
      <w:r w:rsidRPr="00E16672">
        <w:rPr>
          <w:rFonts w:ascii="Times New Roman" w:hAnsi="Times New Roman"/>
          <w:szCs w:val="20"/>
        </w:rPr>
        <w:t xml:space="preserve"> у </w:t>
      </w:r>
      <w:proofErr w:type="spellStart"/>
      <w:r w:rsidRPr="00E16672">
        <w:rPr>
          <w:rFonts w:ascii="Times New Roman" w:hAnsi="Times New Roman"/>
          <w:szCs w:val="20"/>
        </w:rPr>
        <w:t>разі</w:t>
      </w:r>
      <w:proofErr w:type="spellEnd"/>
      <w:r w:rsidRPr="00E16672">
        <w:rPr>
          <w:rFonts w:ascii="Times New Roman" w:hAnsi="Times New Roman"/>
          <w:szCs w:val="20"/>
        </w:rPr>
        <w:t xml:space="preserve"> не </w:t>
      </w:r>
      <w:proofErr w:type="spellStart"/>
      <w:r w:rsidRPr="00E16672">
        <w:rPr>
          <w:rFonts w:ascii="Times New Roman" w:hAnsi="Times New Roman"/>
          <w:szCs w:val="20"/>
        </w:rPr>
        <w:t>вчинення</w:t>
      </w:r>
      <w:proofErr w:type="spellEnd"/>
      <w:r w:rsidRPr="00E16672">
        <w:rPr>
          <w:rFonts w:ascii="Times New Roman" w:hAnsi="Times New Roman"/>
          <w:szCs w:val="20"/>
        </w:rPr>
        <w:t xml:space="preserve"> Депонентом </w:t>
      </w:r>
      <w:proofErr w:type="spellStart"/>
      <w:r w:rsidRPr="00E16672">
        <w:rPr>
          <w:rFonts w:ascii="Times New Roman" w:hAnsi="Times New Roman"/>
          <w:szCs w:val="20"/>
        </w:rPr>
        <w:t>необхідних</w:t>
      </w:r>
      <w:proofErr w:type="spellEnd"/>
      <w:r w:rsidRPr="00E16672">
        <w:rPr>
          <w:rFonts w:ascii="Times New Roman" w:hAnsi="Times New Roman"/>
          <w:szCs w:val="20"/>
        </w:rPr>
        <w:t xml:space="preserve"> </w:t>
      </w:r>
      <w:proofErr w:type="spellStart"/>
      <w:r w:rsidRPr="00E16672">
        <w:rPr>
          <w:rFonts w:ascii="Times New Roman" w:hAnsi="Times New Roman"/>
          <w:szCs w:val="20"/>
        </w:rPr>
        <w:t>дій</w:t>
      </w:r>
      <w:proofErr w:type="spellEnd"/>
      <w:r w:rsidRPr="00E16672">
        <w:rPr>
          <w:rFonts w:ascii="Times New Roman" w:hAnsi="Times New Roman"/>
          <w:szCs w:val="20"/>
        </w:rPr>
        <w:t xml:space="preserve"> для </w:t>
      </w:r>
      <w:proofErr w:type="spellStart"/>
      <w:r w:rsidRPr="00E16672">
        <w:rPr>
          <w:rFonts w:ascii="Times New Roman" w:hAnsi="Times New Roman"/>
          <w:szCs w:val="20"/>
        </w:rPr>
        <w:t>їх</w:t>
      </w:r>
      <w:proofErr w:type="spellEnd"/>
      <w:r w:rsidRPr="00E16672">
        <w:rPr>
          <w:rFonts w:ascii="Times New Roman" w:hAnsi="Times New Roman"/>
          <w:szCs w:val="20"/>
        </w:rPr>
        <w:t xml:space="preserve"> </w:t>
      </w:r>
      <w:proofErr w:type="spellStart"/>
      <w:r w:rsidRPr="00E16672">
        <w:rPr>
          <w:rFonts w:ascii="Times New Roman" w:hAnsi="Times New Roman"/>
          <w:szCs w:val="20"/>
        </w:rPr>
        <w:t>отримання</w:t>
      </w:r>
      <w:proofErr w:type="spellEnd"/>
      <w:r w:rsidRPr="00E16672">
        <w:rPr>
          <w:rFonts w:ascii="Times New Roman" w:hAnsi="Times New Roman"/>
          <w:szCs w:val="20"/>
        </w:rPr>
        <w:t xml:space="preserve">, Депозитарною </w:t>
      </w:r>
      <w:proofErr w:type="spellStart"/>
      <w:r w:rsidRPr="00E16672">
        <w:rPr>
          <w:rFonts w:ascii="Times New Roman" w:hAnsi="Times New Roman"/>
          <w:szCs w:val="20"/>
        </w:rPr>
        <w:t>установою</w:t>
      </w:r>
      <w:proofErr w:type="spellEnd"/>
      <w:r w:rsidRPr="00E16672">
        <w:rPr>
          <w:rFonts w:ascii="Times New Roman" w:hAnsi="Times New Roman"/>
          <w:szCs w:val="20"/>
        </w:rPr>
        <w:t xml:space="preserve"> </w:t>
      </w:r>
      <w:proofErr w:type="spellStart"/>
      <w:r w:rsidRPr="00E16672">
        <w:rPr>
          <w:rFonts w:ascii="Times New Roman" w:hAnsi="Times New Roman"/>
          <w:szCs w:val="20"/>
        </w:rPr>
        <w:t>вчиняються</w:t>
      </w:r>
      <w:proofErr w:type="spellEnd"/>
      <w:r w:rsidRPr="00E16672">
        <w:rPr>
          <w:rFonts w:ascii="Times New Roman" w:hAnsi="Times New Roman"/>
          <w:szCs w:val="20"/>
        </w:rPr>
        <w:t xml:space="preserve"> </w:t>
      </w:r>
      <w:proofErr w:type="spellStart"/>
      <w:r w:rsidRPr="00E16672">
        <w:rPr>
          <w:rFonts w:ascii="Times New Roman" w:hAnsi="Times New Roman"/>
          <w:szCs w:val="20"/>
        </w:rPr>
        <w:t>дії</w:t>
      </w:r>
      <w:proofErr w:type="spellEnd"/>
      <w:r w:rsidRPr="00E16672">
        <w:rPr>
          <w:rFonts w:ascii="Times New Roman" w:hAnsi="Times New Roman"/>
          <w:szCs w:val="20"/>
        </w:rPr>
        <w:t xml:space="preserve"> </w:t>
      </w:r>
      <w:proofErr w:type="gramStart"/>
      <w:r w:rsidRPr="00E16672">
        <w:rPr>
          <w:rFonts w:ascii="Times New Roman" w:hAnsi="Times New Roman"/>
          <w:szCs w:val="20"/>
        </w:rPr>
        <w:t>у порядку</w:t>
      </w:r>
      <w:proofErr w:type="gramEnd"/>
      <w:r w:rsidRPr="00E16672">
        <w:rPr>
          <w:rFonts w:ascii="Times New Roman" w:hAnsi="Times New Roman"/>
          <w:szCs w:val="20"/>
        </w:rPr>
        <w:t xml:space="preserve">, </w:t>
      </w:r>
      <w:proofErr w:type="spellStart"/>
      <w:r w:rsidRPr="00E16672">
        <w:rPr>
          <w:rFonts w:ascii="Times New Roman" w:hAnsi="Times New Roman"/>
          <w:szCs w:val="20"/>
        </w:rPr>
        <w:t>передбаченому</w:t>
      </w:r>
      <w:proofErr w:type="spellEnd"/>
      <w:r w:rsidRPr="00E16672">
        <w:rPr>
          <w:rFonts w:ascii="Times New Roman" w:hAnsi="Times New Roman"/>
          <w:szCs w:val="20"/>
        </w:rPr>
        <w:t xml:space="preserve"> </w:t>
      </w:r>
      <w:proofErr w:type="spellStart"/>
      <w:r w:rsidRPr="00E16672">
        <w:rPr>
          <w:rFonts w:ascii="Times New Roman" w:hAnsi="Times New Roman"/>
          <w:szCs w:val="20"/>
        </w:rPr>
        <w:t>законодавством</w:t>
      </w:r>
      <w:proofErr w:type="spellEnd"/>
      <w:r w:rsidRPr="00E16672">
        <w:rPr>
          <w:rFonts w:ascii="Times New Roman" w:hAnsi="Times New Roman"/>
          <w:szCs w:val="20"/>
        </w:rPr>
        <w:t xml:space="preserve"> та/</w:t>
      </w:r>
      <w:proofErr w:type="spellStart"/>
      <w:r w:rsidRPr="00E16672">
        <w:rPr>
          <w:rFonts w:ascii="Times New Roman" w:hAnsi="Times New Roman"/>
          <w:szCs w:val="20"/>
        </w:rPr>
        <w:t>або</w:t>
      </w:r>
      <w:proofErr w:type="spellEnd"/>
      <w:r w:rsidRPr="00E16672">
        <w:rPr>
          <w:rFonts w:ascii="Times New Roman" w:hAnsi="Times New Roman"/>
          <w:szCs w:val="20"/>
        </w:rPr>
        <w:t xml:space="preserve"> </w:t>
      </w:r>
      <w:proofErr w:type="spellStart"/>
      <w:r w:rsidRPr="00E16672">
        <w:rPr>
          <w:rFonts w:ascii="Times New Roman" w:hAnsi="Times New Roman"/>
          <w:szCs w:val="20"/>
        </w:rPr>
        <w:t>внутрішніми</w:t>
      </w:r>
      <w:proofErr w:type="spellEnd"/>
      <w:r w:rsidRPr="00E16672">
        <w:rPr>
          <w:rFonts w:ascii="Times New Roman" w:hAnsi="Times New Roman"/>
          <w:szCs w:val="20"/>
        </w:rPr>
        <w:t xml:space="preserve"> документами </w:t>
      </w:r>
      <w:proofErr w:type="spellStart"/>
      <w:r w:rsidRPr="00E16672">
        <w:rPr>
          <w:rFonts w:ascii="Times New Roman" w:hAnsi="Times New Roman"/>
          <w:szCs w:val="20"/>
        </w:rPr>
        <w:t>Депозитарної</w:t>
      </w:r>
      <w:proofErr w:type="spellEnd"/>
      <w:r w:rsidRPr="00E16672">
        <w:rPr>
          <w:rFonts w:ascii="Times New Roman" w:hAnsi="Times New Roman"/>
          <w:szCs w:val="20"/>
        </w:rPr>
        <w:t xml:space="preserve"> установи.</w:t>
      </w:r>
    </w:p>
    <w:p w14:paraId="64699958" w14:textId="77777777" w:rsidR="003A3CDF" w:rsidRPr="00E16672" w:rsidRDefault="003A3CDF" w:rsidP="003A3CDF">
      <w:pPr>
        <w:rPr>
          <w:rFonts w:ascii="Times New Roman" w:hAnsi="Times New Roman"/>
          <w:szCs w:val="20"/>
          <w:lang w:val="uk-UA"/>
        </w:rPr>
      </w:pPr>
      <w:r w:rsidRPr="00E16672">
        <w:rPr>
          <w:rFonts w:ascii="Times New Roman" w:hAnsi="Times New Roman"/>
          <w:szCs w:val="20"/>
        </w:rPr>
        <w:t xml:space="preserve">12.1.2. У </w:t>
      </w:r>
      <w:proofErr w:type="spellStart"/>
      <w:r w:rsidRPr="00E16672">
        <w:rPr>
          <w:rFonts w:ascii="Times New Roman" w:hAnsi="Times New Roman"/>
          <w:szCs w:val="20"/>
        </w:rPr>
        <w:t>термін</w:t>
      </w:r>
      <w:proofErr w:type="spellEnd"/>
      <w:r w:rsidRPr="00E16672">
        <w:rPr>
          <w:rFonts w:ascii="Times New Roman" w:hAnsi="Times New Roman"/>
          <w:szCs w:val="20"/>
        </w:rPr>
        <w:t xml:space="preserve"> не </w:t>
      </w:r>
      <w:proofErr w:type="spellStart"/>
      <w:r w:rsidRPr="00E16672">
        <w:rPr>
          <w:rFonts w:ascii="Times New Roman" w:hAnsi="Times New Roman"/>
          <w:szCs w:val="20"/>
        </w:rPr>
        <w:t>пізніше</w:t>
      </w:r>
      <w:proofErr w:type="spellEnd"/>
      <w:r w:rsidRPr="00E16672">
        <w:rPr>
          <w:rFonts w:ascii="Times New Roman" w:hAnsi="Times New Roman"/>
          <w:szCs w:val="20"/>
        </w:rPr>
        <w:t xml:space="preserve"> </w:t>
      </w:r>
      <w:r w:rsidRPr="00E16672">
        <w:rPr>
          <w:rFonts w:ascii="Times New Roman" w:hAnsi="Times New Roman"/>
          <w:i/>
          <w:szCs w:val="20"/>
        </w:rPr>
        <w:t>десяти</w:t>
      </w:r>
      <w:r w:rsidRPr="00E16672">
        <w:rPr>
          <w:rFonts w:ascii="Times New Roman" w:hAnsi="Times New Roman"/>
          <w:szCs w:val="20"/>
        </w:rPr>
        <w:t xml:space="preserve"> </w:t>
      </w:r>
      <w:proofErr w:type="spellStart"/>
      <w:r w:rsidRPr="00E16672">
        <w:rPr>
          <w:rFonts w:ascii="Times New Roman" w:hAnsi="Times New Roman"/>
          <w:szCs w:val="20"/>
        </w:rPr>
        <w:t>робочих</w:t>
      </w:r>
      <w:proofErr w:type="spellEnd"/>
      <w:r w:rsidRPr="00E16672">
        <w:rPr>
          <w:rFonts w:ascii="Times New Roman" w:hAnsi="Times New Roman"/>
          <w:szCs w:val="20"/>
        </w:rPr>
        <w:t xml:space="preserve"> </w:t>
      </w:r>
      <w:proofErr w:type="spellStart"/>
      <w:r w:rsidRPr="00E16672">
        <w:rPr>
          <w:rFonts w:ascii="Times New Roman" w:hAnsi="Times New Roman"/>
          <w:szCs w:val="20"/>
        </w:rPr>
        <w:t>днів</w:t>
      </w:r>
      <w:proofErr w:type="spellEnd"/>
      <w:r w:rsidRPr="00E16672">
        <w:rPr>
          <w:rFonts w:ascii="Times New Roman" w:hAnsi="Times New Roman"/>
          <w:szCs w:val="20"/>
        </w:rPr>
        <w:t xml:space="preserve"> з моменту </w:t>
      </w:r>
      <w:proofErr w:type="spellStart"/>
      <w:r w:rsidRPr="00E16672">
        <w:rPr>
          <w:rFonts w:ascii="Times New Roman" w:hAnsi="Times New Roman"/>
          <w:szCs w:val="20"/>
        </w:rPr>
        <w:t>надходження</w:t>
      </w:r>
      <w:proofErr w:type="spellEnd"/>
      <w:r w:rsidRPr="00E16672">
        <w:rPr>
          <w:rFonts w:ascii="Times New Roman" w:hAnsi="Times New Roman"/>
          <w:szCs w:val="20"/>
        </w:rPr>
        <w:t xml:space="preserve"> </w:t>
      </w:r>
      <w:proofErr w:type="spellStart"/>
      <w:r w:rsidRPr="00E16672">
        <w:rPr>
          <w:rFonts w:ascii="Times New Roman" w:hAnsi="Times New Roman"/>
          <w:szCs w:val="20"/>
        </w:rPr>
        <w:t>відповідних</w:t>
      </w:r>
      <w:proofErr w:type="spellEnd"/>
      <w:r w:rsidRPr="00E16672">
        <w:rPr>
          <w:rFonts w:ascii="Times New Roman" w:hAnsi="Times New Roman"/>
          <w:szCs w:val="20"/>
        </w:rPr>
        <w:t xml:space="preserve"> </w:t>
      </w:r>
      <w:proofErr w:type="spellStart"/>
      <w:r w:rsidRPr="00E16672">
        <w:rPr>
          <w:rFonts w:ascii="Times New Roman" w:hAnsi="Times New Roman"/>
          <w:szCs w:val="20"/>
        </w:rPr>
        <w:t>коштів</w:t>
      </w:r>
      <w:proofErr w:type="spellEnd"/>
      <w:r w:rsidRPr="00E16672">
        <w:rPr>
          <w:rFonts w:ascii="Times New Roman" w:hAnsi="Times New Roman"/>
          <w:szCs w:val="20"/>
        </w:rPr>
        <w:t xml:space="preserve"> на </w:t>
      </w:r>
      <w:proofErr w:type="spellStart"/>
      <w:r w:rsidRPr="00E16672">
        <w:rPr>
          <w:rFonts w:ascii="Times New Roman" w:hAnsi="Times New Roman"/>
          <w:szCs w:val="20"/>
        </w:rPr>
        <w:t>грошовий</w:t>
      </w:r>
      <w:proofErr w:type="spellEnd"/>
      <w:r w:rsidRPr="00E16672">
        <w:rPr>
          <w:rFonts w:ascii="Times New Roman" w:hAnsi="Times New Roman"/>
          <w:szCs w:val="20"/>
        </w:rPr>
        <w:t xml:space="preserve"> </w:t>
      </w:r>
      <w:proofErr w:type="spellStart"/>
      <w:r w:rsidRPr="00E16672">
        <w:rPr>
          <w:rFonts w:ascii="Times New Roman" w:hAnsi="Times New Roman"/>
          <w:szCs w:val="20"/>
        </w:rPr>
        <w:t>рахунок</w:t>
      </w:r>
      <w:proofErr w:type="spellEnd"/>
      <w:r w:rsidRPr="00E16672">
        <w:rPr>
          <w:rFonts w:ascii="Times New Roman" w:hAnsi="Times New Roman"/>
          <w:szCs w:val="20"/>
        </w:rPr>
        <w:t xml:space="preserve"> </w:t>
      </w:r>
      <w:proofErr w:type="spellStart"/>
      <w:r w:rsidRPr="00E16672">
        <w:rPr>
          <w:rFonts w:ascii="Times New Roman" w:hAnsi="Times New Roman"/>
          <w:szCs w:val="20"/>
        </w:rPr>
        <w:t>Депозитарної</w:t>
      </w:r>
      <w:proofErr w:type="spellEnd"/>
      <w:r w:rsidRPr="00E16672">
        <w:rPr>
          <w:rFonts w:ascii="Times New Roman" w:hAnsi="Times New Roman"/>
          <w:szCs w:val="20"/>
        </w:rPr>
        <w:t xml:space="preserve"> установи </w:t>
      </w:r>
      <w:proofErr w:type="spellStart"/>
      <w:r w:rsidRPr="00E16672">
        <w:rPr>
          <w:rFonts w:ascii="Times New Roman" w:hAnsi="Times New Roman"/>
          <w:szCs w:val="20"/>
        </w:rPr>
        <w:t>Депозитарна</w:t>
      </w:r>
      <w:proofErr w:type="spellEnd"/>
      <w:r w:rsidRPr="00E16672">
        <w:rPr>
          <w:rFonts w:ascii="Times New Roman" w:hAnsi="Times New Roman"/>
          <w:szCs w:val="20"/>
        </w:rPr>
        <w:t xml:space="preserve"> </w:t>
      </w:r>
      <w:proofErr w:type="spellStart"/>
      <w:r w:rsidRPr="00E16672">
        <w:rPr>
          <w:rFonts w:ascii="Times New Roman" w:hAnsi="Times New Roman"/>
          <w:szCs w:val="20"/>
        </w:rPr>
        <w:t>установа</w:t>
      </w:r>
      <w:proofErr w:type="spellEnd"/>
      <w:r w:rsidRPr="00E16672">
        <w:rPr>
          <w:rFonts w:ascii="Times New Roman" w:hAnsi="Times New Roman"/>
          <w:szCs w:val="20"/>
        </w:rPr>
        <w:t xml:space="preserve"> </w:t>
      </w:r>
      <w:proofErr w:type="spellStart"/>
      <w:r w:rsidRPr="00E16672">
        <w:rPr>
          <w:rFonts w:ascii="Times New Roman" w:hAnsi="Times New Roman"/>
          <w:szCs w:val="20"/>
        </w:rPr>
        <w:t>здійснює</w:t>
      </w:r>
      <w:proofErr w:type="spellEnd"/>
      <w:r w:rsidRPr="00E16672">
        <w:rPr>
          <w:rFonts w:ascii="Times New Roman" w:hAnsi="Times New Roman"/>
          <w:szCs w:val="20"/>
        </w:rPr>
        <w:t xml:space="preserve"> </w:t>
      </w:r>
      <w:proofErr w:type="spellStart"/>
      <w:r w:rsidRPr="00E16672">
        <w:rPr>
          <w:rFonts w:ascii="Times New Roman" w:hAnsi="Times New Roman"/>
          <w:szCs w:val="20"/>
        </w:rPr>
        <w:t>виплату</w:t>
      </w:r>
      <w:proofErr w:type="spellEnd"/>
      <w:r w:rsidRPr="00E16672">
        <w:rPr>
          <w:rFonts w:ascii="Times New Roman" w:hAnsi="Times New Roman"/>
          <w:szCs w:val="20"/>
        </w:rPr>
        <w:t xml:space="preserve"> </w:t>
      </w:r>
      <w:proofErr w:type="spellStart"/>
      <w:r w:rsidRPr="00E16672">
        <w:rPr>
          <w:rFonts w:ascii="Times New Roman" w:hAnsi="Times New Roman"/>
          <w:szCs w:val="20"/>
        </w:rPr>
        <w:t>грошових</w:t>
      </w:r>
      <w:proofErr w:type="spellEnd"/>
      <w:r w:rsidRPr="00E16672">
        <w:rPr>
          <w:rFonts w:ascii="Times New Roman" w:hAnsi="Times New Roman"/>
          <w:szCs w:val="20"/>
        </w:rPr>
        <w:t xml:space="preserve"> </w:t>
      </w:r>
      <w:proofErr w:type="spellStart"/>
      <w:r w:rsidRPr="00E16672">
        <w:rPr>
          <w:rFonts w:ascii="Times New Roman" w:hAnsi="Times New Roman"/>
          <w:szCs w:val="20"/>
        </w:rPr>
        <w:t>коштів</w:t>
      </w:r>
      <w:proofErr w:type="spellEnd"/>
      <w:r w:rsidRPr="00E16672">
        <w:rPr>
          <w:rFonts w:ascii="Times New Roman" w:hAnsi="Times New Roman"/>
          <w:szCs w:val="20"/>
        </w:rPr>
        <w:t xml:space="preserve">, </w:t>
      </w:r>
      <w:proofErr w:type="spellStart"/>
      <w:r w:rsidRPr="00E16672">
        <w:rPr>
          <w:rFonts w:ascii="Times New Roman" w:hAnsi="Times New Roman"/>
          <w:szCs w:val="20"/>
        </w:rPr>
        <w:t>отриманих</w:t>
      </w:r>
      <w:proofErr w:type="spellEnd"/>
      <w:r w:rsidRPr="00E16672">
        <w:rPr>
          <w:rFonts w:ascii="Times New Roman" w:hAnsi="Times New Roman"/>
          <w:szCs w:val="20"/>
        </w:rPr>
        <w:t xml:space="preserve"> Депонентом за результатами </w:t>
      </w:r>
      <w:proofErr w:type="spellStart"/>
      <w:r w:rsidRPr="00E16672">
        <w:rPr>
          <w:rFonts w:ascii="Times New Roman" w:hAnsi="Times New Roman"/>
          <w:szCs w:val="20"/>
        </w:rPr>
        <w:t>погашення</w:t>
      </w:r>
      <w:proofErr w:type="spellEnd"/>
      <w:r w:rsidRPr="00E16672">
        <w:rPr>
          <w:rFonts w:ascii="Times New Roman" w:hAnsi="Times New Roman"/>
          <w:szCs w:val="20"/>
        </w:rPr>
        <w:t xml:space="preserve"> </w:t>
      </w:r>
      <w:proofErr w:type="spellStart"/>
      <w:r w:rsidRPr="00E16672">
        <w:rPr>
          <w:rFonts w:ascii="Times New Roman" w:hAnsi="Times New Roman"/>
          <w:szCs w:val="20"/>
        </w:rPr>
        <w:t>цінних</w:t>
      </w:r>
      <w:proofErr w:type="spellEnd"/>
      <w:r w:rsidRPr="00E16672">
        <w:rPr>
          <w:rFonts w:ascii="Times New Roman" w:hAnsi="Times New Roman"/>
          <w:szCs w:val="20"/>
        </w:rPr>
        <w:t xml:space="preserve"> </w:t>
      </w:r>
      <w:proofErr w:type="spellStart"/>
      <w:r w:rsidRPr="00E16672">
        <w:rPr>
          <w:rFonts w:ascii="Times New Roman" w:hAnsi="Times New Roman"/>
          <w:szCs w:val="20"/>
        </w:rPr>
        <w:t>паперів</w:t>
      </w:r>
      <w:proofErr w:type="spellEnd"/>
      <w:r w:rsidRPr="00E16672">
        <w:rPr>
          <w:rFonts w:ascii="Times New Roman" w:hAnsi="Times New Roman"/>
          <w:szCs w:val="20"/>
        </w:rPr>
        <w:t xml:space="preserve"> </w:t>
      </w:r>
      <w:proofErr w:type="spellStart"/>
      <w:r w:rsidRPr="00E16672">
        <w:rPr>
          <w:rFonts w:ascii="Times New Roman" w:hAnsi="Times New Roman"/>
          <w:szCs w:val="20"/>
        </w:rPr>
        <w:t>емітента</w:t>
      </w:r>
      <w:proofErr w:type="spellEnd"/>
      <w:r w:rsidRPr="00E16672">
        <w:rPr>
          <w:rFonts w:ascii="Times New Roman" w:hAnsi="Times New Roman"/>
          <w:szCs w:val="20"/>
        </w:rPr>
        <w:t xml:space="preserve">, шляхом </w:t>
      </w:r>
      <w:proofErr w:type="spellStart"/>
      <w:r w:rsidRPr="00E16672">
        <w:rPr>
          <w:rFonts w:ascii="Times New Roman" w:hAnsi="Times New Roman"/>
          <w:szCs w:val="20"/>
        </w:rPr>
        <w:t>перерахування</w:t>
      </w:r>
      <w:proofErr w:type="spellEnd"/>
      <w:r w:rsidRPr="00E16672">
        <w:rPr>
          <w:rFonts w:ascii="Times New Roman" w:hAnsi="Times New Roman"/>
          <w:szCs w:val="20"/>
        </w:rPr>
        <w:t xml:space="preserve"> </w:t>
      </w:r>
      <w:proofErr w:type="spellStart"/>
      <w:r w:rsidRPr="00E16672">
        <w:rPr>
          <w:rFonts w:ascii="Times New Roman" w:hAnsi="Times New Roman"/>
          <w:szCs w:val="20"/>
        </w:rPr>
        <w:t>грошових</w:t>
      </w:r>
      <w:proofErr w:type="spellEnd"/>
      <w:r w:rsidRPr="00E16672">
        <w:rPr>
          <w:rFonts w:ascii="Times New Roman" w:hAnsi="Times New Roman"/>
          <w:szCs w:val="20"/>
        </w:rPr>
        <w:t xml:space="preserve"> </w:t>
      </w:r>
      <w:proofErr w:type="spellStart"/>
      <w:r w:rsidRPr="00E16672">
        <w:rPr>
          <w:rFonts w:ascii="Times New Roman" w:hAnsi="Times New Roman"/>
          <w:szCs w:val="20"/>
        </w:rPr>
        <w:t>коштів</w:t>
      </w:r>
      <w:proofErr w:type="spellEnd"/>
      <w:r w:rsidRPr="00E16672">
        <w:rPr>
          <w:rFonts w:ascii="Times New Roman" w:hAnsi="Times New Roman"/>
          <w:szCs w:val="20"/>
        </w:rPr>
        <w:t xml:space="preserve"> на </w:t>
      </w:r>
      <w:proofErr w:type="spellStart"/>
      <w:r w:rsidRPr="00E16672">
        <w:rPr>
          <w:rFonts w:ascii="Times New Roman" w:hAnsi="Times New Roman"/>
          <w:szCs w:val="20"/>
        </w:rPr>
        <w:t>грошовий</w:t>
      </w:r>
      <w:proofErr w:type="spellEnd"/>
      <w:r w:rsidRPr="00E16672">
        <w:rPr>
          <w:rFonts w:ascii="Times New Roman" w:hAnsi="Times New Roman"/>
          <w:szCs w:val="20"/>
        </w:rPr>
        <w:t xml:space="preserve"> </w:t>
      </w:r>
      <w:proofErr w:type="spellStart"/>
      <w:r w:rsidRPr="00E16672">
        <w:rPr>
          <w:rFonts w:ascii="Times New Roman" w:hAnsi="Times New Roman"/>
          <w:szCs w:val="20"/>
        </w:rPr>
        <w:t>банківський</w:t>
      </w:r>
      <w:proofErr w:type="spellEnd"/>
      <w:r w:rsidRPr="00E16672">
        <w:rPr>
          <w:rFonts w:ascii="Times New Roman" w:hAnsi="Times New Roman"/>
          <w:szCs w:val="20"/>
        </w:rPr>
        <w:t xml:space="preserve"> </w:t>
      </w:r>
      <w:proofErr w:type="spellStart"/>
      <w:r w:rsidRPr="00E16672">
        <w:rPr>
          <w:rFonts w:ascii="Times New Roman" w:hAnsi="Times New Roman"/>
          <w:szCs w:val="20"/>
        </w:rPr>
        <w:t>рахунок</w:t>
      </w:r>
      <w:proofErr w:type="spellEnd"/>
      <w:r w:rsidRPr="00E16672">
        <w:rPr>
          <w:rFonts w:ascii="Times New Roman" w:hAnsi="Times New Roman"/>
          <w:szCs w:val="20"/>
        </w:rPr>
        <w:t xml:space="preserve"> Депонента, </w:t>
      </w:r>
      <w:proofErr w:type="spellStart"/>
      <w:r w:rsidRPr="00E16672">
        <w:rPr>
          <w:rFonts w:ascii="Times New Roman" w:hAnsi="Times New Roman"/>
          <w:szCs w:val="20"/>
        </w:rPr>
        <w:t>зазначений</w:t>
      </w:r>
      <w:proofErr w:type="spellEnd"/>
      <w:r w:rsidRPr="00E16672">
        <w:rPr>
          <w:rFonts w:ascii="Times New Roman" w:hAnsi="Times New Roman"/>
          <w:szCs w:val="20"/>
        </w:rPr>
        <w:t xml:space="preserve"> в </w:t>
      </w:r>
      <w:proofErr w:type="spellStart"/>
      <w:r w:rsidRPr="00E16672">
        <w:rPr>
          <w:rFonts w:ascii="Times New Roman" w:hAnsi="Times New Roman"/>
          <w:szCs w:val="20"/>
        </w:rPr>
        <w:t>анкеті</w:t>
      </w:r>
      <w:proofErr w:type="spellEnd"/>
      <w:r w:rsidRPr="00E16672">
        <w:rPr>
          <w:rFonts w:ascii="Times New Roman" w:hAnsi="Times New Roman"/>
          <w:szCs w:val="20"/>
        </w:rPr>
        <w:t xml:space="preserve"> </w:t>
      </w:r>
      <w:proofErr w:type="spellStart"/>
      <w:r w:rsidRPr="00E16672">
        <w:rPr>
          <w:rFonts w:ascii="Times New Roman" w:hAnsi="Times New Roman"/>
          <w:szCs w:val="20"/>
        </w:rPr>
        <w:t>рахунку</w:t>
      </w:r>
      <w:proofErr w:type="spellEnd"/>
      <w:r w:rsidRPr="00E16672">
        <w:rPr>
          <w:rFonts w:ascii="Times New Roman" w:hAnsi="Times New Roman"/>
          <w:szCs w:val="20"/>
        </w:rPr>
        <w:t xml:space="preserve"> в </w:t>
      </w:r>
      <w:proofErr w:type="spellStart"/>
      <w:r w:rsidRPr="00E16672">
        <w:rPr>
          <w:rFonts w:ascii="Times New Roman" w:hAnsi="Times New Roman"/>
          <w:szCs w:val="20"/>
        </w:rPr>
        <w:t>цінних</w:t>
      </w:r>
      <w:proofErr w:type="spellEnd"/>
      <w:r w:rsidRPr="00E16672">
        <w:rPr>
          <w:rFonts w:ascii="Times New Roman" w:hAnsi="Times New Roman"/>
          <w:szCs w:val="20"/>
        </w:rPr>
        <w:t xml:space="preserve"> </w:t>
      </w:r>
      <w:proofErr w:type="spellStart"/>
      <w:r w:rsidRPr="00E16672">
        <w:rPr>
          <w:rFonts w:ascii="Times New Roman" w:hAnsi="Times New Roman"/>
          <w:szCs w:val="20"/>
        </w:rPr>
        <w:t>паперах</w:t>
      </w:r>
      <w:proofErr w:type="spellEnd"/>
      <w:r w:rsidRPr="00E16672">
        <w:rPr>
          <w:rFonts w:ascii="Times New Roman" w:hAnsi="Times New Roman"/>
          <w:szCs w:val="20"/>
        </w:rPr>
        <w:t xml:space="preserve"> Депонента. </w:t>
      </w:r>
      <w:proofErr w:type="spellStart"/>
      <w:r w:rsidRPr="00E16672">
        <w:rPr>
          <w:rFonts w:ascii="Times New Roman" w:hAnsi="Times New Roman"/>
          <w:szCs w:val="20"/>
        </w:rPr>
        <w:t>Вищезазначені</w:t>
      </w:r>
      <w:proofErr w:type="spellEnd"/>
      <w:r w:rsidRPr="00E16672">
        <w:rPr>
          <w:rFonts w:ascii="Times New Roman" w:hAnsi="Times New Roman"/>
          <w:szCs w:val="20"/>
        </w:rPr>
        <w:t xml:space="preserve"> </w:t>
      </w:r>
      <w:proofErr w:type="spellStart"/>
      <w:r w:rsidRPr="00E16672">
        <w:rPr>
          <w:rFonts w:ascii="Times New Roman" w:hAnsi="Times New Roman"/>
          <w:szCs w:val="20"/>
        </w:rPr>
        <w:t>дії</w:t>
      </w:r>
      <w:proofErr w:type="spellEnd"/>
      <w:r w:rsidRPr="00E16672">
        <w:rPr>
          <w:rFonts w:ascii="Times New Roman" w:hAnsi="Times New Roman"/>
          <w:szCs w:val="20"/>
        </w:rPr>
        <w:t xml:space="preserve"> </w:t>
      </w:r>
      <w:proofErr w:type="spellStart"/>
      <w:r w:rsidRPr="00E16672">
        <w:rPr>
          <w:rFonts w:ascii="Times New Roman" w:hAnsi="Times New Roman"/>
          <w:szCs w:val="20"/>
        </w:rPr>
        <w:t>виконуються</w:t>
      </w:r>
      <w:proofErr w:type="spellEnd"/>
      <w:r w:rsidRPr="00E16672">
        <w:rPr>
          <w:rFonts w:ascii="Times New Roman" w:hAnsi="Times New Roman"/>
          <w:szCs w:val="20"/>
        </w:rPr>
        <w:t xml:space="preserve"> Депозитарною </w:t>
      </w:r>
      <w:proofErr w:type="spellStart"/>
      <w:r w:rsidRPr="00E16672">
        <w:rPr>
          <w:rFonts w:ascii="Times New Roman" w:hAnsi="Times New Roman"/>
          <w:szCs w:val="20"/>
        </w:rPr>
        <w:t>установою</w:t>
      </w:r>
      <w:proofErr w:type="spellEnd"/>
      <w:r w:rsidRPr="00E16672">
        <w:rPr>
          <w:rFonts w:ascii="Times New Roman" w:hAnsi="Times New Roman"/>
          <w:szCs w:val="20"/>
        </w:rPr>
        <w:t xml:space="preserve"> у </w:t>
      </w:r>
      <w:proofErr w:type="spellStart"/>
      <w:r w:rsidRPr="00E16672">
        <w:rPr>
          <w:rFonts w:ascii="Times New Roman" w:hAnsi="Times New Roman"/>
          <w:szCs w:val="20"/>
        </w:rPr>
        <w:t>разі</w:t>
      </w:r>
      <w:proofErr w:type="spellEnd"/>
      <w:r w:rsidRPr="00E16672">
        <w:rPr>
          <w:rFonts w:ascii="Times New Roman" w:hAnsi="Times New Roman"/>
          <w:szCs w:val="20"/>
        </w:rPr>
        <w:t xml:space="preserve"> </w:t>
      </w:r>
      <w:proofErr w:type="spellStart"/>
      <w:r w:rsidRPr="00E16672">
        <w:rPr>
          <w:rFonts w:ascii="Times New Roman" w:hAnsi="Times New Roman"/>
          <w:szCs w:val="20"/>
        </w:rPr>
        <w:t>наявності</w:t>
      </w:r>
      <w:proofErr w:type="spellEnd"/>
      <w:r w:rsidRPr="00E16672">
        <w:rPr>
          <w:rFonts w:ascii="Times New Roman" w:hAnsi="Times New Roman"/>
          <w:szCs w:val="20"/>
        </w:rPr>
        <w:t xml:space="preserve"> </w:t>
      </w:r>
      <w:proofErr w:type="spellStart"/>
      <w:r w:rsidRPr="00E16672">
        <w:rPr>
          <w:rFonts w:ascii="Times New Roman" w:hAnsi="Times New Roman"/>
          <w:szCs w:val="20"/>
        </w:rPr>
        <w:t>реквізитів</w:t>
      </w:r>
      <w:proofErr w:type="spellEnd"/>
      <w:r w:rsidRPr="00E16672">
        <w:rPr>
          <w:rFonts w:ascii="Times New Roman" w:hAnsi="Times New Roman"/>
          <w:szCs w:val="20"/>
        </w:rPr>
        <w:t xml:space="preserve"> </w:t>
      </w:r>
      <w:proofErr w:type="spellStart"/>
      <w:r w:rsidRPr="00E16672">
        <w:rPr>
          <w:rFonts w:ascii="Times New Roman" w:hAnsi="Times New Roman"/>
          <w:szCs w:val="20"/>
        </w:rPr>
        <w:t>діючого</w:t>
      </w:r>
      <w:proofErr w:type="spellEnd"/>
      <w:r w:rsidRPr="00E16672">
        <w:rPr>
          <w:rFonts w:ascii="Times New Roman" w:hAnsi="Times New Roman"/>
          <w:szCs w:val="20"/>
        </w:rPr>
        <w:t xml:space="preserve"> грошового </w:t>
      </w:r>
      <w:proofErr w:type="spellStart"/>
      <w:r w:rsidRPr="00E16672">
        <w:rPr>
          <w:rFonts w:ascii="Times New Roman" w:hAnsi="Times New Roman"/>
          <w:szCs w:val="20"/>
        </w:rPr>
        <w:t>банківського</w:t>
      </w:r>
      <w:proofErr w:type="spellEnd"/>
      <w:r w:rsidRPr="00E16672">
        <w:rPr>
          <w:rFonts w:ascii="Times New Roman" w:hAnsi="Times New Roman"/>
          <w:szCs w:val="20"/>
        </w:rPr>
        <w:t xml:space="preserve"> </w:t>
      </w:r>
      <w:proofErr w:type="spellStart"/>
      <w:r w:rsidRPr="00E16672">
        <w:rPr>
          <w:rFonts w:ascii="Times New Roman" w:hAnsi="Times New Roman"/>
          <w:szCs w:val="20"/>
        </w:rPr>
        <w:t>рахунку</w:t>
      </w:r>
      <w:proofErr w:type="spellEnd"/>
      <w:r w:rsidRPr="00E16672">
        <w:rPr>
          <w:rFonts w:ascii="Times New Roman" w:hAnsi="Times New Roman"/>
          <w:szCs w:val="20"/>
        </w:rPr>
        <w:t xml:space="preserve"> в </w:t>
      </w:r>
      <w:proofErr w:type="spellStart"/>
      <w:r w:rsidRPr="00E16672">
        <w:rPr>
          <w:rFonts w:ascii="Times New Roman" w:hAnsi="Times New Roman"/>
          <w:szCs w:val="20"/>
        </w:rPr>
        <w:t>анкеті</w:t>
      </w:r>
      <w:proofErr w:type="spellEnd"/>
      <w:r w:rsidRPr="00E16672">
        <w:rPr>
          <w:rFonts w:ascii="Times New Roman" w:hAnsi="Times New Roman"/>
          <w:szCs w:val="20"/>
        </w:rPr>
        <w:t xml:space="preserve"> </w:t>
      </w:r>
      <w:proofErr w:type="spellStart"/>
      <w:r w:rsidRPr="00E16672">
        <w:rPr>
          <w:rFonts w:ascii="Times New Roman" w:hAnsi="Times New Roman"/>
          <w:szCs w:val="20"/>
        </w:rPr>
        <w:t>рахунку</w:t>
      </w:r>
      <w:proofErr w:type="spellEnd"/>
      <w:r w:rsidRPr="00E16672">
        <w:rPr>
          <w:rFonts w:ascii="Times New Roman" w:hAnsi="Times New Roman"/>
          <w:szCs w:val="20"/>
        </w:rPr>
        <w:t xml:space="preserve"> </w:t>
      </w:r>
      <w:r w:rsidR="00C22309" w:rsidRPr="00E16672">
        <w:rPr>
          <w:rFonts w:ascii="Times New Roman" w:hAnsi="Times New Roman"/>
          <w:szCs w:val="20"/>
        </w:rPr>
        <w:t xml:space="preserve">в </w:t>
      </w:r>
      <w:proofErr w:type="spellStart"/>
      <w:r w:rsidR="00C22309" w:rsidRPr="00E16672">
        <w:rPr>
          <w:rFonts w:ascii="Times New Roman" w:hAnsi="Times New Roman"/>
          <w:szCs w:val="20"/>
        </w:rPr>
        <w:t>цін</w:t>
      </w:r>
      <w:r w:rsidRPr="00E16672">
        <w:rPr>
          <w:rFonts w:ascii="Times New Roman" w:hAnsi="Times New Roman"/>
          <w:szCs w:val="20"/>
        </w:rPr>
        <w:t>них</w:t>
      </w:r>
      <w:proofErr w:type="spellEnd"/>
      <w:r w:rsidRPr="00E16672">
        <w:rPr>
          <w:rFonts w:ascii="Times New Roman" w:hAnsi="Times New Roman"/>
          <w:szCs w:val="20"/>
        </w:rPr>
        <w:t xml:space="preserve"> </w:t>
      </w:r>
      <w:proofErr w:type="spellStart"/>
      <w:r w:rsidRPr="00E16672">
        <w:rPr>
          <w:rFonts w:ascii="Times New Roman" w:hAnsi="Times New Roman"/>
          <w:szCs w:val="20"/>
        </w:rPr>
        <w:t>паперах</w:t>
      </w:r>
      <w:proofErr w:type="spellEnd"/>
      <w:r w:rsidRPr="00E16672">
        <w:rPr>
          <w:rFonts w:ascii="Times New Roman" w:hAnsi="Times New Roman"/>
          <w:szCs w:val="20"/>
        </w:rPr>
        <w:t xml:space="preserve"> Депонента на момент </w:t>
      </w:r>
      <w:proofErr w:type="spellStart"/>
      <w:r w:rsidRPr="00E16672">
        <w:rPr>
          <w:rFonts w:ascii="Times New Roman" w:hAnsi="Times New Roman"/>
          <w:szCs w:val="20"/>
        </w:rPr>
        <w:t>надходження</w:t>
      </w:r>
      <w:proofErr w:type="spellEnd"/>
      <w:r w:rsidRPr="00E16672">
        <w:rPr>
          <w:rFonts w:ascii="Times New Roman" w:hAnsi="Times New Roman"/>
          <w:szCs w:val="20"/>
        </w:rPr>
        <w:t xml:space="preserve"> </w:t>
      </w:r>
      <w:proofErr w:type="spellStart"/>
      <w:r w:rsidRPr="00E16672">
        <w:rPr>
          <w:rFonts w:ascii="Times New Roman" w:hAnsi="Times New Roman"/>
          <w:szCs w:val="20"/>
        </w:rPr>
        <w:t>відповідних</w:t>
      </w:r>
      <w:proofErr w:type="spellEnd"/>
      <w:r w:rsidRPr="00E16672">
        <w:rPr>
          <w:rFonts w:ascii="Times New Roman" w:hAnsi="Times New Roman"/>
          <w:szCs w:val="20"/>
        </w:rPr>
        <w:t xml:space="preserve"> </w:t>
      </w:r>
      <w:proofErr w:type="spellStart"/>
      <w:r w:rsidRPr="00E16672">
        <w:rPr>
          <w:rFonts w:ascii="Times New Roman" w:hAnsi="Times New Roman"/>
          <w:szCs w:val="20"/>
        </w:rPr>
        <w:t>коштів</w:t>
      </w:r>
      <w:proofErr w:type="spellEnd"/>
      <w:r w:rsidRPr="00E16672">
        <w:rPr>
          <w:rFonts w:ascii="Times New Roman" w:hAnsi="Times New Roman"/>
          <w:szCs w:val="20"/>
        </w:rPr>
        <w:t xml:space="preserve"> на </w:t>
      </w:r>
      <w:proofErr w:type="spellStart"/>
      <w:r w:rsidRPr="00E16672">
        <w:rPr>
          <w:rFonts w:ascii="Times New Roman" w:hAnsi="Times New Roman"/>
          <w:szCs w:val="20"/>
        </w:rPr>
        <w:t>грошовий</w:t>
      </w:r>
      <w:proofErr w:type="spellEnd"/>
      <w:r w:rsidRPr="00E16672">
        <w:rPr>
          <w:rFonts w:ascii="Times New Roman" w:hAnsi="Times New Roman"/>
          <w:szCs w:val="20"/>
        </w:rPr>
        <w:t xml:space="preserve"> </w:t>
      </w:r>
      <w:proofErr w:type="spellStart"/>
      <w:r w:rsidRPr="00E16672">
        <w:rPr>
          <w:rFonts w:ascii="Times New Roman" w:hAnsi="Times New Roman"/>
          <w:szCs w:val="20"/>
        </w:rPr>
        <w:t>рахунок</w:t>
      </w:r>
      <w:proofErr w:type="spellEnd"/>
      <w:r w:rsidRPr="00E16672">
        <w:rPr>
          <w:rFonts w:ascii="Times New Roman" w:hAnsi="Times New Roman"/>
          <w:szCs w:val="20"/>
        </w:rPr>
        <w:t xml:space="preserve"> </w:t>
      </w:r>
      <w:proofErr w:type="spellStart"/>
      <w:r w:rsidRPr="00E16672">
        <w:rPr>
          <w:rFonts w:ascii="Times New Roman" w:hAnsi="Times New Roman"/>
          <w:szCs w:val="20"/>
        </w:rPr>
        <w:t>Депозитарної</w:t>
      </w:r>
      <w:proofErr w:type="spellEnd"/>
      <w:r w:rsidRPr="00E16672">
        <w:rPr>
          <w:rFonts w:ascii="Times New Roman" w:hAnsi="Times New Roman"/>
          <w:szCs w:val="20"/>
        </w:rPr>
        <w:t xml:space="preserve"> установи.</w:t>
      </w:r>
    </w:p>
    <w:p w14:paraId="422CADA5" w14:textId="77777777" w:rsidR="003A3CDF" w:rsidRPr="00E16672" w:rsidRDefault="003A3CDF" w:rsidP="003A3CDF">
      <w:pPr>
        <w:rPr>
          <w:rFonts w:ascii="Times New Roman" w:hAnsi="Times New Roman"/>
          <w:szCs w:val="20"/>
        </w:rPr>
      </w:pPr>
      <w:r w:rsidRPr="00E16672">
        <w:rPr>
          <w:rFonts w:ascii="Times New Roman" w:hAnsi="Times New Roman"/>
          <w:szCs w:val="20"/>
        </w:rPr>
        <w:t>1</w:t>
      </w:r>
      <w:r w:rsidRPr="00E16672">
        <w:rPr>
          <w:rFonts w:ascii="Times New Roman" w:hAnsi="Times New Roman"/>
          <w:szCs w:val="20"/>
          <w:lang w:val="uk-UA"/>
        </w:rPr>
        <w:t>2</w:t>
      </w:r>
      <w:r w:rsidRPr="00E16672">
        <w:rPr>
          <w:rFonts w:ascii="Times New Roman" w:hAnsi="Times New Roman"/>
          <w:szCs w:val="20"/>
        </w:rPr>
        <w:t xml:space="preserve">.1.3. </w:t>
      </w:r>
      <w:proofErr w:type="spellStart"/>
      <w:r w:rsidRPr="00E16672">
        <w:rPr>
          <w:rFonts w:ascii="Times New Roman" w:hAnsi="Times New Roman"/>
          <w:szCs w:val="20"/>
        </w:rPr>
        <w:t>Якщо</w:t>
      </w:r>
      <w:proofErr w:type="spellEnd"/>
      <w:r w:rsidRPr="00E16672">
        <w:rPr>
          <w:rFonts w:ascii="Times New Roman" w:hAnsi="Times New Roman"/>
          <w:szCs w:val="20"/>
        </w:rPr>
        <w:t xml:space="preserve"> </w:t>
      </w:r>
      <w:proofErr w:type="spellStart"/>
      <w:r w:rsidRPr="00E16672">
        <w:rPr>
          <w:rFonts w:ascii="Times New Roman" w:hAnsi="Times New Roman"/>
          <w:szCs w:val="20"/>
        </w:rPr>
        <w:t>виплата</w:t>
      </w:r>
      <w:proofErr w:type="spellEnd"/>
      <w:r w:rsidRPr="00E16672">
        <w:rPr>
          <w:rFonts w:ascii="Times New Roman" w:hAnsi="Times New Roman"/>
          <w:szCs w:val="20"/>
        </w:rPr>
        <w:t xml:space="preserve"> </w:t>
      </w:r>
      <w:proofErr w:type="spellStart"/>
      <w:r w:rsidRPr="00E16672">
        <w:rPr>
          <w:rFonts w:ascii="Times New Roman" w:hAnsi="Times New Roman"/>
          <w:szCs w:val="20"/>
        </w:rPr>
        <w:t>доходів</w:t>
      </w:r>
      <w:proofErr w:type="spellEnd"/>
      <w:r w:rsidRPr="00E16672">
        <w:rPr>
          <w:rFonts w:ascii="Times New Roman" w:hAnsi="Times New Roman"/>
          <w:szCs w:val="20"/>
        </w:rPr>
        <w:t xml:space="preserve"> </w:t>
      </w:r>
      <w:proofErr w:type="spellStart"/>
      <w:r w:rsidRPr="00E16672">
        <w:rPr>
          <w:rFonts w:ascii="Times New Roman" w:hAnsi="Times New Roman"/>
          <w:szCs w:val="20"/>
        </w:rPr>
        <w:t>здійснюється</w:t>
      </w:r>
      <w:proofErr w:type="spellEnd"/>
      <w:r w:rsidRPr="00E16672">
        <w:rPr>
          <w:rFonts w:ascii="Times New Roman" w:hAnsi="Times New Roman"/>
          <w:szCs w:val="20"/>
        </w:rPr>
        <w:t xml:space="preserve"> </w:t>
      </w:r>
      <w:r w:rsidR="00C22309" w:rsidRPr="00E16672">
        <w:rPr>
          <w:rFonts w:ascii="Times New Roman" w:hAnsi="Times New Roman"/>
          <w:szCs w:val="20"/>
        </w:rPr>
        <w:t xml:space="preserve">в </w:t>
      </w:r>
      <w:proofErr w:type="spellStart"/>
      <w:r w:rsidR="00C22309" w:rsidRPr="00E16672">
        <w:rPr>
          <w:rFonts w:ascii="Times New Roman" w:hAnsi="Times New Roman"/>
          <w:szCs w:val="20"/>
        </w:rPr>
        <w:t>цін</w:t>
      </w:r>
      <w:r w:rsidRPr="00E16672">
        <w:rPr>
          <w:rFonts w:ascii="Times New Roman" w:hAnsi="Times New Roman"/>
          <w:szCs w:val="20"/>
        </w:rPr>
        <w:t>них</w:t>
      </w:r>
      <w:proofErr w:type="spellEnd"/>
      <w:r w:rsidRPr="00E16672">
        <w:rPr>
          <w:rFonts w:ascii="Times New Roman" w:hAnsi="Times New Roman"/>
          <w:szCs w:val="20"/>
        </w:rPr>
        <w:t xml:space="preserve"> </w:t>
      </w:r>
      <w:proofErr w:type="spellStart"/>
      <w:r w:rsidRPr="00E16672">
        <w:rPr>
          <w:rFonts w:ascii="Times New Roman" w:hAnsi="Times New Roman"/>
          <w:szCs w:val="20"/>
        </w:rPr>
        <w:t>паперах</w:t>
      </w:r>
      <w:proofErr w:type="spellEnd"/>
      <w:r w:rsidRPr="00E16672">
        <w:rPr>
          <w:rFonts w:ascii="Times New Roman" w:hAnsi="Times New Roman"/>
          <w:szCs w:val="20"/>
        </w:rPr>
        <w:t xml:space="preserve">, </w:t>
      </w:r>
      <w:proofErr w:type="spellStart"/>
      <w:r w:rsidRPr="00E16672">
        <w:rPr>
          <w:rFonts w:ascii="Times New Roman" w:hAnsi="Times New Roman"/>
          <w:szCs w:val="20"/>
        </w:rPr>
        <w:t>після</w:t>
      </w:r>
      <w:proofErr w:type="spellEnd"/>
      <w:r w:rsidRPr="00E16672">
        <w:rPr>
          <w:rFonts w:ascii="Times New Roman" w:hAnsi="Times New Roman"/>
          <w:szCs w:val="20"/>
        </w:rPr>
        <w:t xml:space="preserve"> </w:t>
      </w:r>
      <w:proofErr w:type="spellStart"/>
      <w:r w:rsidRPr="00E16672">
        <w:rPr>
          <w:rFonts w:ascii="Times New Roman" w:hAnsi="Times New Roman"/>
          <w:szCs w:val="20"/>
        </w:rPr>
        <w:t>надходження</w:t>
      </w:r>
      <w:proofErr w:type="spellEnd"/>
      <w:r w:rsidRPr="00E16672">
        <w:rPr>
          <w:rFonts w:ascii="Times New Roman" w:hAnsi="Times New Roman"/>
          <w:szCs w:val="20"/>
        </w:rPr>
        <w:t xml:space="preserve"> до Центрального </w:t>
      </w:r>
      <w:proofErr w:type="spellStart"/>
      <w:r w:rsidRPr="00E16672">
        <w:rPr>
          <w:rFonts w:ascii="Times New Roman" w:hAnsi="Times New Roman"/>
          <w:szCs w:val="20"/>
        </w:rPr>
        <w:t>депозитарію</w:t>
      </w:r>
      <w:proofErr w:type="spellEnd"/>
      <w:r w:rsidRPr="00E16672">
        <w:rPr>
          <w:rFonts w:ascii="Times New Roman" w:hAnsi="Times New Roman"/>
          <w:szCs w:val="20"/>
        </w:rPr>
        <w:t xml:space="preserve"> таких </w:t>
      </w:r>
      <w:proofErr w:type="spellStart"/>
      <w:r w:rsidRPr="00E16672">
        <w:rPr>
          <w:rFonts w:ascii="Times New Roman" w:hAnsi="Times New Roman"/>
          <w:szCs w:val="20"/>
        </w:rPr>
        <w:t>доходів</w:t>
      </w:r>
      <w:proofErr w:type="spellEnd"/>
      <w:r w:rsidRPr="00E16672">
        <w:rPr>
          <w:rFonts w:ascii="Times New Roman" w:hAnsi="Times New Roman"/>
          <w:szCs w:val="20"/>
        </w:rPr>
        <w:t xml:space="preserve"> (</w:t>
      </w:r>
      <w:proofErr w:type="spellStart"/>
      <w:r w:rsidRPr="00E16672">
        <w:rPr>
          <w:rFonts w:ascii="Times New Roman" w:hAnsi="Times New Roman"/>
          <w:szCs w:val="20"/>
        </w:rPr>
        <w:t>цінних</w:t>
      </w:r>
      <w:proofErr w:type="spellEnd"/>
      <w:r w:rsidRPr="00E16672">
        <w:rPr>
          <w:rFonts w:ascii="Times New Roman" w:hAnsi="Times New Roman"/>
          <w:szCs w:val="20"/>
        </w:rPr>
        <w:t xml:space="preserve"> </w:t>
      </w:r>
      <w:proofErr w:type="spellStart"/>
      <w:r w:rsidRPr="00E16672">
        <w:rPr>
          <w:rFonts w:ascii="Times New Roman" w:hAnsi="Times New Roman"/>
          <w:szCs w:val="20"/>
        </w:rPr>
        <w:t>паперів</w:t>
      </w:r>
      <w:proofErr w:type="spellEnd"/>
      <w:r w:rsidRPr="00E16672">
        <w:rPr>
          <w:rFonts w:ascii="Times New Roman" w:hAnsi="Times New Roman"/>
          <w:szCs w:val="20"/>
        </w:rPr>
        <w:t xml:space="preserve">) </w:t>
      </w:r>
      <w:proofErr w:type="spellStart"/>
      <w:r w:rsidRPr="00E16672">
        <w:rPr>
          <w:rFonts w:ascii="Times New Roman" w:hAnsi="Times New Roman"/>
          <w:szCs w:val="20"/>
        </w:rPr>
        <w:t>Центральний</w:t>
      </w:r>
      <w:proofErr w:type="spellEnd"/>
      <w:r w:rsidRPr="00E16672">
        <w:rPr>
          <w:rFonts w:ascii="Times New Roman" w:hAnsi="Times New Roman"/>
          <w:szCs w:val="20"/>
        </w:rPr>
        <w:t xml:space="preserve"> </w:t>
      </w:r>
      <w:proofErr w:type="spellStart"/>
      <w:r w:rsidRPr="00E16672">
        <w:rPr>
          <w:rFonts w:ascii="Times New Roman" w:hAnsi="Times New Roman"/>
          <w:szCs w:val="20"/>
        </w:rPr>
        <w:t>депозитарій</w:t>
      </w:r>
      <w:proofErr w:type="spellEnd"/>
      <w:r w:rsidRPr="00E16672">
        <w:rPr>
          <w:rFonts w:ascii="Times New Roman" w:hAnsi="Times New Roman"/>
          <w:szCs w:val="20"/>
        </w:rPr>
        <w:t xml:space="preserve"> проводить </w:t>
      </w:r>
      <w:proofErr w:type="spellStart"/>
      <w:r w:rsidRPr="00E16672">
        <w:rPr>
          <w:rFonts w:ascii="Times New Roman" w:hAnsi="Times New Roman"/>
          <w:szCs w:val="20"/>
        </w:rPr>
        <w:t>операції</w:t>
      </w:r>
      <w:proofErr w:type="spellEnd"/>
      <w:r w:rsidRPr="00E16672">
        <w:rPr>
          <w:rFonts w:ascii="Times New Roman" w:hAnsi="Times New Roman"/>
          <w:szCs w:val="20"/>
        </w:rPr>
        <w:t xml:space="preserve"> </w:t>
      </w:r>
      <w:proofErr w:type="spellStart"/>
      <w:r w:rsidRPr="00E16672">
        <w:rPr>
          <w:rFonts w:ascii="Times New Roman" w:hAnsi="Times New Roman"/>
          <w:szCs w:val="20"/>
        </w:rPr>
        <w:t>щодо</w:t>
      </w:r>
      <w:proofErr w:type="spellEnd"/>
      <w:r w:rsidRPr="00E16672">
        <w:rPr>
          <w:rFonts w:ascii="Times New Roman" w:hAnsi="Times New Roman"/>
          <w:szCs w:val="20"/>
        </w:rPr>
        <w:t xml:space="preserve"> </w:t>
      </w:r>
      <w:proofErr w:type="spellStart"/>
      <w:r w:rsidRPr="00E16672">
        <w:rPr>
          <w:rFonts w:ascii="Times New Roman" w:hAnsi="Times New Roman"/>
          <w:szCs w:val="20"/>
        </w:rPr>
        <w:t>переказу</w:t>
      </w:r>
      <w:proofErr w:type="spellEnd"/>
      <w:r w:rsidRPr="00E16672">
        <w:rPr>
          <w:rFonts w:ascii="Times New Roman" w:hAnsi="Times New Roman"/>
          <w:szCs w:val="20"/>
        </w:rPr>
        <w:t xml:space="preserve"> </w:t>
      </w:r>
      <w:proofErr w:type="spellStart"/>
      <w:r w:rsidRPr="00E16672">
        <w:rPr>
          <w:rFonts w:ascii="Times New Roman" w:hAnsi="Times New Roman"/>
          <w:szCs w:val="20"/>
        </w:rPr>
        <w:t>цих</w:t>
      </w:r>
      <w:proofErr w:type="spellEnd"/>
      <w:r w:rsidRPr="00E16672">
        <w:rPr>
          <w:rFonts w:ascii="Times New Roman" w:hAnsi="Times New Roman"/>
          <w:szCs w:val="20"/>
        </w:rPr>
        <w:t xml:space="preserve"> </w:t>
      </w:r>
      <w:proofErr w:type="spellStart"/>
      <w:r w:rsidRPr="00E16672">
        <w:rPr>
          <w:rFonts w:ascii="Times New Roman" w:hAnsi="Times New Roman"/>
          <w:szCs w:val="20"/>
        </w:rPr>
        <w:t>цінних</w:t>
      </w:r>
      <w:proofErr w:type="spellEnd"/>
      <w:r w:rsidRPr="00E16672">
        <w:rPr>
          <w:rFonts w:ascii="Times New Roman" w:hAnsi="Times New Roman"/>
          <w:szCs w:val="20"/>
        </w:rPr>
        <w:t xml:space="preserve"> </w:t>
      </w:r>
      <w:proofErr w:type="spellStart"/>
      <w:r w:rsidRPr="00E16672">
        <w:rPr>
          <w:rFonts w:ascii="Times New Roman" w:hAnsi="Times New Roman"/>
          <w:szCs w:val="20"/>
        </w:rPr>
        <w:t>паперів</w:t>
      </w:r>
      <w:proofErr w:type="spellEnd"/>
      <w:r w:rsidRPr="00E16672">
        <w:rPr>
          <w:rFonts w:ascii="Times New Roman" w:hAnsi="Times New Roman"/>
          <w:szCs w:val="20"/>
        </w:rPr>
        <w:t xml:space="preserve"> з </w:t>
      </w:r>
      <w:proofErr w:type="spellStart"/>
      <w:r w:rsidRPr="00E16672">
        <w:rPr>
          <w:rFonts w:ascii="Times New Roman" w:hAnsi="Times New Roman"/>
          <w:szCs w:val="20"/>
        </w:rPr>
        <w:t>рахунку</w:t>
      </w:r>
      <w:proofErr w:type="spellEnd"/>
      <w:r w:rsidRPr="00E16672">
        <w:rPr>
          <w:rFonts w:ascii="Times New Roman" w:hAnsi="Times New Roman"/>
          <w:szCs w:val="20"/>
        </w:rPr>
        <w:t xml:space="preserve"> в </w:t>
      </w:r>
      <w:proofErr w:type="spellStart"/>
      <w:r w:rsidRPr="00E16672">
        <w:rPr>
          <w:rFonts w:ascii="Times New Roman" w:hAnsi="Times New Roman"/>
          <w:szCs w:val="20"/>
        </w:rPr>
        <w:t>цінних</w:t>
      </w:r>
      <w:proofErr w:type="spellEnd"/>
      <w:r w:rsidRPr="00E16672">
        <w:rPr>
          <w:rFonts w:ascii="Times New Roman" w:hAnsi="Times New Roman"/>
          <w:szCs w:val="20"/>
        </w:rPr>
        <w:t xml:space="preserve"> </w:t>
      </w:r>
      <w:proofErr w:type="spellStart"/>
      <w:r w:rsidRPr="00E16672">
        <w:rPr>
          <w:rFonts w:ascii="Times New Roman" w:hAnsi="Times New Roman"/>
          <w:szCs w:val="20"/>
        </w:rPr>
        <w:t>паперах</w:t>
      </w:r>
      <w:proofErr w:type="spellEnd"/>
      <w:r w:rsidRPr="00E16672">
        <w:rPr>
          <w:rFonts w:ascii="Times New Roman" w:hAnsi="Times New Roman"/>
          <w:szCs w:val="20"/>
        </w:rPr>
        <w:t xml:space="preserve"> </w:t>
      </w:r>
      <w:proofErr w:type="spellStart"/>
      <w:r w:rsidRPr="00E16672">
        <w:rPr>
          <w:rFonts w:ascii="Times New Roman" w:hAnsi="Times New Roman"/>
          <w:szCs w:val="20"/>
        </w:rPr>
        <w:t>емітента</w:t>
      </w:r>
      <w:proofErr w:type="spellEnd"/>
      <w:r w:rsidRPr="00E16672">
        <w:rPr>
          <w:rFonts w:ascii="Times New Roman" w:hAnsi="Times New Roman"/>
          <w:szCs w:val="20"/>
        </w:rPr>
        <w:t xml:space="preserve"> на </w:t>
      </w:r>
      <w:proofErr w:type="spellStart"/>
      <w:r w:rsidRPr="00E16672">
        <w:rPr>
          <w:rFonts w:ascii="Times New Roman" w:hAnsi="Times New Roman"/>
          <w:szCs w:val="20"/>
        </w:rPr>
        <w:t>рахунки</w:t>
      </w:r>
      <w:proofErr w:type="spellEnd"/>
      <w:r w:rsidRPr="00E16672">
        <w:rPr>
          <w:rFonts w:ascii="Times New Roman" w:hAnsi="Times New Roman"/>
          <w:szCs w:val="20"/>
        </w:rPr>
        <w:t xml:space="preserve"> </w:t>
      </w:r>
      <w:r w:rsidR="00C22309" w:rsidRPr="00E16672">
        <w:rPr>
          <w:rFonts w:ascii="Times New Roman" w:hAnsi="Times New Roman"/>
          <w:szCs w:val="20"/>
        </w:rPr>
        <w:t xml:space="preserve">в </w:t>
      </w:r>
      <w:proofErr w:type="spellStart"/>
      <w:r w:rsidR="00C22309" w:rsidRPr="00E16672">
        <w:rPr>
          <w:rFonts w:ascii="Times New Roman" w:hAnsi="Times New Roman"/>
          <w:szCs w:val="20"/>
        </w:rPr>
        <w:t>цін</w:t>
      </w:r>
      <w:r w:rsidRPr="00E16672">
        <w:rPr>
          <w:rFonts w:ascii="Times New Roman" w:hAnsi="Times New Roman"/>
          <w:szCs w:val="20"/>
        </w:rPr>
        <w:t>них</w:t>
      </w:r>
      <w:proofErr w:type="spellEnd"/>
      <w:r w:rsidRPr="00E16672">
        <w:rPr>
          <w:rFonts w:ascii="Times New Roman" w:hAnsi="Times New Roman"/>
          <w:szCs w:val="20"/>
        </w:rPr>
        <w:t xml:space="preserve"> </w:t>
      </w:r>
      <w:proofErr w:type="spellStart"/>
      <w:r w:rsidRPr="00E16672">
        <w:rPr>
          <w:rFonts w:ascii="Times New Roman" w:hAnsi="Times New Roman"/>
          <w:szCs w:val="20"/>
        </w:rPr>
        <w:t>паперах</w:t>
      </w:r>
      <w:proofErr w:type="spellEnd"/>
      <w:r w:rsidRPr="00E16672">
        <w:rPr>
          <w:rFonts w:ascii="Times New Roman" w:hAnsi="Times New Roman"/>
          <w:szCs w:val="20"/>
        </w:rPr>
        <w:t xml:space="preserve"> </w:t>
      </w:r>
      <w:proofErr w:type="spellStart"/>
      <w:r w:rsidRPr="00E16672">
        <w:rPr>
          <w:rFonts w:ascii="Times New Roman" w:hAnsi="Times New Roman"/>
          <w:szCs w:val="20"/>
        </w:rPr>
        <w:t>депозитарних</w:t>
      </w:r>
      <w:proofErr w:type="spellEnd"/>
      <w:r w:rsidRPr="00E16672">
        <w:rPr>
          <w:rFonts w:ascii="Times New Roman" w:hAnsi="Times New Roman"/>
          <w:szCs w:val="20"/>
        </w:rPr>
        <w:t xml:space="preserve"> </w:t>
      </w:r>
      <w:proofErr w:type="spellStart"/>
      <w:r w:rsidRPr="00E16672">
        <w:rPr>
          <w:rFonts w:ascii="Times New Roman" w:hAnsi="Times New Roman"/>
          <w:szCs w:val="20"/>
        </w:rPr>
        <w:t>установ</w:t>
      </w:r>
      <w:proofErr w:type="spellEnd"/>
      <w:r w:rsidRPr="00E16672">
        <w:rPr>
          <w:rFonts w:ascii="Times New Roman" w:hAnsi="Times New Roman"/>
          <w:szCs w:val="20"/>
        </w:rPr>
        <w:t xml:space="preserve">, </w:t>
      </w:r>
      <w:proofErr w:type="spellStart"/>
      <w:r w:rsidRPr="00E16672">
        <w:rPr>
          <w:rFonts w:ascii="Times New Roman" w:hAnsi="Times New Roman"/>
          <w:szCs w:val="20"/>
        </w:rPr>
        <w:t>які</w:t>
      </w:r>
      <w:proofErr w:type="spellEnd"/>
      <w:r w:rsidRPr="00E16672">
        <w:rPr>
          <w:rFonts w:ascii="Times New Roman" w:hAnsi="Times New Roman"/>
          <w:szCs w:val="20"/>
        </w:rPr>
        <w:t xml:space="preserve"> </w:t>
      </w:r>
      <w:proofErr w:type="spellStart"/>
      <w:r w:rsidRPr="00E16672">
        <w:rPr>
          <w:rFonts w:ascii="Times New Roman" w:hAnsi="Times New Roman"/>
          <w:szCs w:val="20"/>
        </w:rPr>
        <w:t>обслуговують</w:t>
      </w:r>
      <w:proofErr w:type="spellEnd"/>
      <w:r w:rsidRPr="00E16672">
        <w:rPr>
          <w:rFonts w:ascii="Times New Roman" w:hAnsi="Times New Roman"/>
          <w:szCs w:val="20"/>
        </w:rPr>
        <w:t xml:space="preserve"> </w:t>
      </w:r>
      <w:proofErr w:type="spellStart"/>
      <w:r w:rsidRPr="00E16672">
        <w:rPr>
          <w:rFonts w:ascii="Times New Roman" w:hAnsi="Times New Roman"/>
          <w:szCs w:val="20"/>
        </w:rPr>
        <w:t>власників</w:t>
      </w:r>
      <w:proofErr w:type="spellEnd"/>
      <w:r w:rsidRPr="00E16672">
        <w:rPr>
          <w:rFonts w:ascii="Times New Roman" w:hAnsi="Times New Roman"/>
          <w:szCs w:val="20"/>
        </w:rPr>
        <w:t xml:space="preserve"> </w:t>
      </w:r>
      <w:proofErr w:type="spellStart"/>
      <w:r w:rsidRPr="00E16672">
        <w:rPr>
          <w:rFonts w:ascii="Times New Roman" w:hAnsi="Times New Roman"/>
          <w:szCs w:val="20"/>
        </w:rPr>
        <w:t>цінних</w:t>
      </w:r>
      <w:proofErr w:type="spellEnd"/>
      <w:r w:rsidRPr="00E16672">
        <w:rPr>
          <w:rFonts w:ascii="Times New Roman" w:hAnsi="Times New Roman"/>
          <w:szCs w:val="20"/>
        </w:rPr>
        <w:t xml:space="preserve"> </w:t>
      </w:r>
      <w:proofErr w:type="spellStart"/>
      <w:r w:rsidRPr="00E16672">
        <w:rPr>
          <w:rFonts w:ascii="Times New Roman" w:hAnsi="Times New Roman"/>
          <w:szCs w:val="20"/>
        </w:rPr>
        <w:t>паперів</w:t>
      </w:r>
      <w:proofErr w:type="spellEnd"/>
      <w:r w:rsidRPr="00E16672">
        <w:rPr>
          <w:rFonts w:ascii="Times New Roman" w:hAnsi="Times New Roman"/>
          <w:szCs w:val="20"/>
        </w:rPr>
        <w:t xml:space="preserve">, </w:t>
      </w:r>
      <w:proofErr w:type="spellStart"/>
      <w:r w:rsidRPr="00E16672">
        <w:rPr>
          <w:rFonts w:ascii="Times New Roman" w:hAnsi="Times New Roman"/>
          <w:szCs w:val="20"/>
        </w:rPr>
        <w:t>які</w:t>
      </w:r>
      <w:proofErr w:type="spellEnd"/>
      <w:r w:rsidRPr="00E16672">
        <w:rPr>
          <w:rFonts w:ascii="Times New Roman" w:hAnsi="Times New Roman"/>
          <w:szCs w:val="20"/>
        </w:rPr>
        <w:t xml:space="preserve"> </w:t>
      </w:r>
      <w:proofErr w:type="spellStart"/>
      <w:r w:rsidRPr="00E16672">
        <w:rPr>
          <w:rFonts w:ascii="Times New Roman" w:hAnsi="Times New Roman"/>
          <w:szCs w:val="20"/>
        </w:rPr>
        <w:t>мають</w:t>
      </w:r>
      <w:proofErr w:type="spellEnd"/>
      <w:r w:rsidRPr="00E16672">
        <w:rPr>
          <w:rFonts w:ascii="Times New Roman" w:hAnsi="Times New Roman"/>
          <w:szCs w:val="20"/>
        </w:rPr>
        <w:t xml:space="preserve"> </w:t>
      </w:r>
      <w:proofErr w:type="spellStart"/>
      <w:r w:rsidRPr="00E16672">
        <w:rPr>
          <w:rFonts w:ascii="Times New Roman" w:hAnsi="Times New Roman"/>
          <w:szCs w:val="20"/>
        </w:rPr>
        <w:t>отримати</w:t>
      </w:r>
      <w:proofErr w:type="spellEnd"/>
      <w:r w:rsidRPr="00E16672">
        <w:rPr>
          <w:rFonts w:ascii="Times New Roman" w:hAnsi="Times New Roman"/>
          <w:szCs w:val="20"/>
        </w:rPr>
        <w:t xml:space="preserve"> </w:t>
      </w:r>
      <w:proofErr w:type="spellStart"/>
      <w:r w:rsidRPr="00E16672">
        <w:rPr>
          <w:rFonts w:ascii="Times New Roman" w:hAnsi="Times New Roman"/>
          <w:szCs w:val="20"/>
        </w:rPr>
        <w:t>цей</w:t>
      </w:r>
      <w:proofErr w:type="spellEnd"/>
      <w:r w:rsidRPr="00E16672">
        <w:rPr>
          <w:rFonts w:ascii="Times New Roman" w:hAnsi="Times New Roman"/>
          <w:szCs w:val="20"/>
        </w:rPr>
        <w:t xml:space="preserve"> </w:t>
      </w:r>
      <w:proofErr w:type="spellStart"/>
      <w:r w:rsidRPr="00E16672">
        <w:rPr>
          <w:rFonts w:ascii="Times New Roman" w:hAnsi="Times New Roman"/>
          <w:szCs w:val="20"/>
        </w:rPr>
        <w:t>дохід</w:t>
      </w:r>
      <w:proofErr w:type="spellEnd"/>
      <w:r w:rsidRPr="00E16672">
        <w:rPr>
          <w:rFonts w:ascii="Times New Roman" w:hAnsi="Times New Roman"/>
          <w:szCs w:val="20"/>
        </w:rPr>
        <w:t xml:space="preserve"> </w:t>
      </w:r>
      <w:r w:rsidR="00C22309" w:rsidRPr="00E16672">
        <w:rPr>
          <w:rFonts w:ascii="Times New Roman" w:hAnsi="Times New Roman"/>
          <w:szCs w:val="20"/>
        </w:rPr>
        <w:t xml:space="preserve">в </w:t>
      </w:r>
      <w:proofErr w:type="spellStart"/>
      <w:r w:rsidR="00C22309" w:rsidRPr="00E16672">
        <w:rPr>
          <w:rFonts w:ascii="Times New Roman" w:hAnsi="Times New Roman"/>
          <w:szCs w:val="20"/>
        </w:rPr>
        <w:t>цін</w:t>
      </w:r>
      <w:r w:rsidRPr="00E16672">
        <w:rPr>
          <w:rFonts w:ascii="Times New Roman" w:hAnsi="Times New Roman"/>
          <w:szCs w:val="20"/>
        </w:rPr>
        <w:t>них</w:t>
      </w:r>
      <w:proofErr w:type="spellEnd"/>
      <w:r w:rsidRPr="00E16672">
        <w:rPr>
          <w:rFonts w:ascii="Times New Roman" w:hAnsi="Times New Roman"/>
          <w:szCs w:val="20"/>
        </w:rPr>
        <w:t xml:space="preserve"> </w:t>
      </w:r>
      <w:proofErr w:type="spellStart"/>
      <w:r w:rsidRPr="00E16672">
        <w:rPr>
          <w:rFonts w:ascii="Times New Roman" w:hAnsi="Times New Roman"/>
          <w:szCs w:val="20"/>
        </w:rPr>
        <w:t>паперах</w:t>
      </w:r>
      <w:proofErr w:type="spellEnd"/>
      <w:r w:rsidRPr="00E16672">
        <w:rPr>
          <w:rFonts w:ascii="Times New Roman" w:hAnsi="Times New Roman"/>
          <w:szCs w:val="20"/>
        </w:rPr>
        <w:t xml:space="preserve">. </w:t>
      </w:r>
      <w:proofErr w:type="spellStart"/>
      <w:r w:rsidRPr="00E16672">
        <w:rPr>
          <w:rFonts w:ascii="Times New Roman" w:hAnsi="Times New Roman"/>
          <w:szCs w:val="20"/>
        </w:rPr>
        <w:t>Депозитарна</w:t>
      </w:r>
      <w:proofErr w:type="spellEnd"/>
      <w:r w:rsidRPr="00E16672">
        <w:rPr>
          <w:rFonts w:ascii="Times New Roman" w:hAnsi="Times New Roman"/>
          <w:szCs w:val="20"/>
        </w:rPr>
        <w:t xml:space="preserve"> </w:t>
      </w:r>
      <w:proofErr w:type="spellStart"/>
      <w:r w:rsidRPr="00E16672">
        <w:rPr>
          <w:rFonts w:ascii="Times New Roman" w:hAnsi="Times New Roman"/>
          <w:szCs w:val="20"/>
        </w:rPr>
        <w:t>установа</w:t>
      </w:r>
      <w:proofErr w:type="spellEnd"/>
      <w:r w:rsidRPr="00E16672">
        <w:rPr>
          <w:rFonts w:ascii="Times New Roman" w:hAnsi="Times New Roman"/>
          <w:szCs w:val="20"/>
        </w:rPr>
        <w:t xml:space="preserve"> </w:t>
      </w:r>
      <w:proofErr w:type="spellStart"/>
      <w:r w:rsidRPr="00E16672">
        <w:rPr>
          <w:rFonts w:ascii="Times New Roman" w:hAnsi="Times New Roman"/>
          <w:szCs w:val="20"/>
        </w:rPr>
        <w:t>зобов'язана</w:t>
      </w:r>
      <w:proofErr w:type="spellEnd"/>
      <w:r w:rsidRPr="00E16672">
        <w:rPr>
          <w:rFonts w:ascii="Times New Roman" w:hAnsi="Times New Roman"/>
          <w:szCs w:val="20"/>
        </w:rPr>
        <w:t xml:space="preserve"> </w:t>
      </w:r>
      <w:proofErr w:type="spellStart"/>
      <w:r w:rsidRPr="00E16672">
        <w:rPr>
          <w:rFonts w:ascii="Times New Roman" w:hAnsi="Times New Roman"/>
          <w:szCs w:val="20"/>
        </w:rPr>
        <w:t>протягом</w:t>
      </w:r>
      <w:proofErr w:type="spellEnd"/>
      <w:r w:rsidRPr="00E16672">
        <w:rPr>
          <w:rFonts w:ascii="Times New Roman" w:hAnsi="Times New Roman"/>
          <w:szCs w:val="20"/>
        </w:rPr>
        <w:t xml:space="preserve"> десяти </w:t>
      </w:r>
      <w:proofErr w:type="spellStart"/>
      <w:r w:rsidRPr="00E16672">
        <w:rPr>
          <w:rFonts w:ascii="Times New Roman" w:hAnsi="Times New Roman"/>
          <w:szCs w:val="20"/>
        </w:rPr>
        <w:t>робочих</w:t>
      </w:r>
      <w:proofErr w:type="spellEnd"/>
      <w:r w:rsidRPr="00E16672">
        <w:rPr>
          <w:rFonts w:ascii="Times New Roman" w:hAnsi="Times New Roman"/>
          <w:szCs w:val="20"/>
        </w:rPr>
        <w:t xml:space="preserve"> </w:t>
      </w:r>
      <w:proofErr w:type="spellStart"/>
      <w:r w:rsidRPr="00E16672">
        <w:rPr>
          <w:rFonts w:ascii="Times New Roman" w:hAnsi="Times New Roman"/>
          <w:szCs w:val="20"/>
        </w:rPr>
        <w:t>днів</w:t>
      </w:r>
      <w:proofErr w:type="spellEnd"/>
      <w:r w:rsidRPr="00E16672">
        <w:rPr>
          <w:rFonts w:ascii="Times New Roman" w:hAnsi="Times New Roman"/>
          <w:szCs w:val="20"/>
        </w:rPr>
        <w:t xml:space="preserve"> з моменту </w:t>
      </w:r>
      <w:proofErr w:type="spellStart"/>
      <w:r w:rsidRPr="00E16672">
        <w:rPr>
          <w:rFonts w:ascii="Times New Roman" w:hAnsi="Times New Roman"/>
          <w:szCs w:val="20"/>
        </w:rPr>
        <w:t>надходження</w:t>
      </w:r>
      <w:proofErr w:type="spellEnd"/>
      <w:r w:rsidRPr="00E16672">
        <w:rPr>
          <w:rFonts w:ascii="Times New Roman" w:hAnsi="Times New Roman"/>
          <w:szCs w:val="20"/>
        </w:rPr>
        <w:t xml:space="preserve"> </w:t>
      </w:r>
      <w:proofErr w:type="spellStart"/>
      <w:r w:rsidRPr="00E16672">
        <w:rPr>
          <w:rFonts w:ascii="Times New Roman" w:hAnsi="Times New Roman"/>
          <w:szCs w:val="20"/>
        </w:rPr>
        <w:t>зарахувати</w:t>
      </w:r>
      <w:proofErr w:type="spellEnd"/>
      <w:r w:rsidRPr="00E16672">
        <w:rPr>
          <w:rFonts w:ascii="Times New Roman" w:hAnsi="Times New Roman"/>
          <w:szCs w:val="20"/>
        </w:rPr>
        <w:t xml:space="preserve"> </w:t>
      </w:r>
      <w:proofErr w:type="spellStart"/>
      <w:r w:rsidRPr="00E16672">
        <w:rPr>
          <w:rFonts w:ascii="Times New Roman" w:hAnsi="Times New Roman"/>
          <w:szCs w:val="20"/>
        </w:rPr>
        <w:t>зазначені</w:t>
      </w:r>
      <w:proofErr w:type="spellEnd"/>
      <w:r w:rsidRPr="00E16672">
        <w:rPr>
          <w:rFonts w:ascii="Times New Roman" w:hAnsi="Times New Roman"/>
          <w:szCs w:val="20"/>
        </w:rPr>
        <w:t xml:space="preserve"> доходи (права на </w:t>
      </w:r>
      <w:proofErr w:type="spellStart"/>
      <w:r w:rsidRPr="00E16672">
        <w:rPr>
          <w:rFonts w:ascii="Times New Roman" w:hAnsi="Times New Roman"/>
          <w:szCs w:val="20"/>
        </w:rPr>
        <w:t>цінні</w:t>
      </w:r>
      <w:proofErr w:type="spellEnd"/>
      <w:r w:rsidRPr="00E16672">
        <w:rPr>
          <w:rFonts w:ascii="Times New Roman" w:hAnsi="Times New Roman"/>
          <w:szCs w:val="20"/>
        </w:rPr>
        <w:t xml:space="preserve"> </w:t>
      </w:r>
      <w:proofErr w:type="spellStart"/>
      <w:r w:rsidRPr="00E16672">
        <w:rPr>
          <w:rFonts w:ascii="Times New Roman" w:hAnsi="Times New Roman"/>
          <w:szCs w:val="20"/>
        </w:rPr>
        <w:t>папери</w:t>
      </w:r>
      <w:proofErr w:type="spellEnd"/>
      <w:r w:rsidRPr="00E16672">
        <w:rPr>
          <w:rFonts w:ascii="Times New Roman" w:hAnsi="Times New Roman"/>
          <w:szCs w:val="20"/>
        </w:rPr>
        <w:t xml:space="preserve">) на </w:t>
      </w:r>
      <w:proofErr w:type="spellStart"/>
      <w:r w:rsidRPr="00E16672">
        <w:rPr>
          <w:rFonts w:ascii="Times New Roman" w:hAnsi="Times New Roman"/>
          <w:szCs w:val="20"/>
        </w:rPr>
        <w:t>рахунок</w:t>
      </w:r>
      <w:proofErr w:type="spellEnd"/>
      <w:r w:rsidRPr="00E16672">
        <w:rPr>
          <w:rFonts w:ascii="Times New Roman" w:hAnsi="Times New Roman"/>
          <w:szCs w:val="20"/>
        </w:rPr>
        <w:t xml:space="preserve"> в </w:t>
      </w:r>
      <w:proofErr w:type="spellStart"/>
      <w:r w:rsidRPr="00E16672">
        <w:rPr>
          <w:rFonts w:ascii="Times New Roman" w:hAnsi="Times New Roman"/>
          <w:szCs w:val="20"/>
        </w:rPr>
        <w:t>цінних</w:t>
      </w:r>
      <w:proofErr w:type="spellEnd"/>
      <w:r w:rsidRPr="00E16672">
        <w:rPr>
          <w:rFonts w:ascii="Times New Roman" w:hAnsi="Times New Roman"/>
          <w:szCs w:val="20"/>
        </w:rPr>
        <w:t xml:space="preserve"> </w:t>
      </w:r>
      <w:proofErr w:type="spellStart"/>
      <w:r w:rsidRPr="00E16672">
        <w:rPr>
          <w:rFonts w:ascii="Times New Roman" w:hAnsi="Times New Roman"/>
          <w:szCs w:val="20"/>
        </w:rPr>
        <w:t>паперах</w:t>
      </w:r>
      <w:proofErr w:type="spellEnd"/>
      <w:r w:rsidRPr="00E16672">
        <w:rPr>
          <w:rFonts w:ascii="Times New Roman" w:hAnsi="Times New Roman"/>
          <w:szCs w:val="20"/>
        </w:rPr>
        <w:t xml:space="preserve"> депонента.</w:t>
      </w:r>
    </w:p>
    <w:p w14:paraId="470E6344" w14:textId="77777777" w:rsidR="003A3CDF" w:rsidRPr="00E16672" w:rsidRDefault="003A3CDF" w:rsidP="003A3CDF">
      <w:pPr>
        <w:rPr>
          <w:rFonts w:ascii="Times New Roman" w:hAnsi="Times New Roman"/>
          <w:szCs w:val="20"/>
        </w:rPr>
      </w:pPr>
      <w:r w:rsidRPr="00E16672">
        <w:rPr>
          <w:rFonts w:ascii="Times New Roman" w:hAnsi="Times New Roman"/>
          <w:szCs w:val="20"/>
        </w:rPr>
        <w:t xml:space="preserve">12.2. </w:t>
      </w:r>
      <w:proofErr w:type="spellStart"/>
      <w:r w:rsidRPr="00E16672">
        <w:rPr>
          <w:rFonts w:ascii="Times New Roman" w:hAnsi="Times New Roman"/>
          <w:szCs w:val="20"/>
        </w:rPr>
        <w:t>Щодо</w:t>
      </w:r>
      <w:proofErr w:type="spellEnd"/>
      <w:r w:rsidRPr="00E16672">
        <w:rPr>
          <w:rFonts w:ascii="Times New Roman" w:hAnsi="Times New Roman"/>
          <w:szCs w:val="20"/>
        </w:rPr>
        <w:t xml:space="preserve"> </w:t>
      </w:r>
      <w:proofErr w:type="spellStart"/>
      <w:r w:rsidRPr="00E16672">
        <w:rPr>
          <w:rFonts w:ascii="Times New Roman" w:hAnsi="Times New Roman"/>
          <w:szCs w:val="20"/>
        </w:rPr>
        <w:t>цінних</w:t>
      </w:r>
      <w:proofErr w:type="spellEnd"/>
      <w:r w:rsidRPr="00E16672">
        <w:rPr>
          <w:rFonts w:ascii="Times New Roman" w:hAnsi="Times New Roman"/>
          <w:szCs w:val="20"/>
        </w:rPr>
        <w:t xml:space="preserve"> </w:t>
      </w:r>
      <w:proofErr w:type="spellStart"/>
      <w:r w:rsidRPr="00E16672">
        <w:rPr>
          <w:rFonts w:ascii="Times New Roman" w:hAnsi="Times New Roman"/>
          <w:szCs w:val="20"/>
        </w:rPr>
        <w:t>паперів</w:t>
      </w:r>
      <w:proofErr w:type="spellEnd"/>
      <w:r w:rsidRPr="00E16672">
        <w:rPr>
          <w:rFonts w:ascii="Times New Roman" w:hAnsi="Times New Roman"/>
          <w:szCs w:val="20"/>
        </w:rPr>
        <w:t xml:space="preserve">, </w:t>
      </w:r>
      <w:proofErr w:type="spellStart"/>
      <w:r w:rsidRPr="00E16672">
        <w:rPr>
          <w:rFonts w:ascii="Times New Roman" w:hAnsi="Times New Roman"/>
          <w:szCs w:val="20"/>
        </w:rPr>
        <w:t>облік</w:t>
      </w:r>
      <w:proofErr w:type="spellEnd"/>
      <w:r w:rsidRPr="00E16672">
        <w:rPr>
          <w:rFonts w:ascii="Times New Roman" w:hAnsi="Times New Roman"/>
          <w:szCs w:val="20"/>
        </w:rPr>
        <w:t xml:space="preserve"> </w:t>
      </w:r>
      <w:proofErr w:type="spellStart"/>
      <w:r w:rsidRPr="00E16672">
        <w:rPr>
          <w:rFonts w:ascii="Times New Roman" w:hAnsi="Times New Roman"/>
          <w:szCs w:val="20"/>
        </w:rPr>
        <w:t>яких</w:t>
      </w:r>
      <w:proofErr w:type="spellEnd"/>
      <w:r w:rsidRPr="00E16672">
        <w:rPr>
          <w:rFonts w:ascii="Times New Roman" w:hAnsi="Times New Roman"/>
          <w:szCs w:val="20"/>
        </w:rPr>
        <w:t xml:space="preserve"> </w:t>
      </w:r>
      <w:proofErr w:type="spellStart"/>
      <w:r w:rsidRPr="00E16672">
        <w:rPr>
          <w:rFonts w:ascii="Times New Roman" w:hAnsi="Times New Roman"/>
          <w:szCs w:val="20"/>
        </w:rPr>
        <w:t>здійснює</w:t>
      </w:r>
      <w:proofErr w:type="spellEnd"/>
      <w:r w:rsidRPr="00E16672">
        <w:rPr>
          <w:rFonts w:ascii="Times New Roman" w:hAnsi="Times New Roman"/>
          <w:szCs w:val="20"/>
        </w:rPr>
        <w:t xml:space="preserve"> </w:t>
      </w:r>
      <w:proofErr w:type="spellStart"/>
      <w:r w:rsidRPr="00E16672">
        <w:rPr>
          <w:rFonts w:ascii="Times New Roman" w:hAnsi="Times New Roman"/>
          <w:szCs w:val="20"/>
        </w:rPr>
        <w:t>Національний</w:t>
      </w:r>
      <w:proofErr w:type="spellEnd"/>
      <w:r w:rsidRPr="00E16672">
        <w:rPr>
          <w:rFonts w:ascii="Times New Roman" w:hAnsi="Times New Roman"/>
          <w:szCs w:val="20"/>
        </w:rPr>
        <w:t xml:space="preserve"> Банк </w:t>
      </w:r>
      <w:proofErr w:type="spellStart"/>
      <w:r w:rsidRPr="00E16672">
        <w:rPr>
          <w:rFonts w:ascii="Times New Roman" w:hAnsi="Times New Roman"/>
          <w:szCs w:val="20"/>
        </w:rPr>
        <w:t>України</w:t>
      </w:r>
      <w:proofErr w:type="spellEnd"/>
      <w:r w:rsidRPr="00E16672">
        <w:rPr>
          <w:rFonts w:ascii="Times New Roman" w:hAnsi="Times New Roman"/>
          <w:szCs w:val="20"/>
        </w:rPr>
        <w:t>:</w:t>
      </w:r>
    </w:p>
    <w:p w14:paraId="0E02F6C1" w14:textId="77777777" w:rsidR="003A3CDF" w:rsidRPr="00E16672" w:rsidRDefault="003A3CDF" w:rsidP="003A3CDF">
      <w:pPr>
        <w:rPr>
          <w:rFonts w:ascii="Times New Roman" w:hAnsi="Times New Roman"/>
          <w:szCs w:val="20"/>
        </w:rPr>
      </w:pPr>
      <w:r w:rsidRPr="00E16672">
        <w:rPr>
          <w:rFonts w:ascii="Times New Roman" w:hAnsi="Times New Roman"/>
          <w:szCs w:val="20"/>
        </w:rPr>
        <w:t xml:space="preserve">У </w:t>
      </w:r>
      <w:proofErr w:type="spellStart"/>
      <w:r w:rsidRPr="00E16672">
        <w:rPr>
          <w:rFonts w:ascii="Times New Roman" w:hAnsi="Times New Roman"/>
          <w:szCs w:val="20"/>
        </w:rPr>
        <w:t>термін</w:t>
      </w:r>
      <w:proofErr w:type="spellEnd"/>
      <w:r w:rsidRPr="00E16672">
        <w:rPr>
          <w:rFonts w:ascii="Times New Roman" w:hAnsi="Times New Roman"/>
          <w:szCs w:val="20"/>
        </w:rPr>
        <w:t xml:space="preserve"> не </w:t>
      </w:r>
      <w:proofErr w:type="spellStart"/>
      <w:r w:rsidRPr="00E16672">
        <w:rPr>
          <w:rFonts w:ascii="Times New Roman" w:hAnsi="Times New Roman"/>
          <w:szCs w:val="20"/>
        </w:rPr>
        <w:t>пізніше</w:t>
      </w:r>
      <w:proofErr w:type="spellEnd"/>
      <w:r w:rsidRPr="00E16672">
        <w:rPr>
          <w:rFonts w:ascii="Times New Roman" w:hAnsi="Times New Roman"/>
          <w:szCs w:val="20"/>
        </w:rPr>
        <w:t xml:space="preserve"> </w:t>
      </w:r>
      <w:r w:rsidRPr="00E16672">
        <w:rPr>
          <w:rFonts w:ascii="Times New Roman" w:hAnsi="Times New Roman"/>
          <w:i/>
          <w:szCs w:val="20"/>
        </w:rPr>
        <w:t xml:space="preserve">десяти </w:t>
      </w:r>
      <w:proofErr w:type="spellStart"/>
      <w:r w:rsidRPr="00E16672">
        <w:rPr>
          <w:rFonts w:ascii="Times New Roman" w:hAnsi="Times New Roman"/>
          <w:i/>
          <w:szCs w:val="20"/>
        </w:rPr>
        <w:t>робочих</w:t>
      </w:r>
      <w:proofErr w:type="spellEnd"/>
      <w:r w:rsidRPr="00E16672">
        <w:rPr>
          <w:rFonts w:ascii="Times New Roman" w:hAnsi="Times New Roman"/>
          <w:i/>
          <w:szCs w:val="20"/>
        </w:rPr>
        <w:t xml:space="preserve"> </w:t>
      </w:r>
      <w:proofErr w:type="spellStart"/>
      <w:r w:rsidRPr="00E16672">
        <w:rPr>
          <w:rFonts w:ascii="Times New Roman" w:hAnsi="Times New Roman"/>
          <w:i/>
          <w:szCs w:val="20"/>
        </w:rPr>
        <w:t>днів</w:t>
      </w:r>
      <w:proofErr w:type="spellEnd"/>
      <w:r w:rsidRPr="00E16672">
        <w:rPr>
          <w:rFonts w:ascii="Times New Roman" w:hAnsi="Times New Roman"/>
          <w:szCs w:val="20"/>
        </w:rPr>
        <w:t xml:space="preserve"> з моменту </w:t>
      </w:r>
      <w:proofErr w:type="spellStart"/>
      <w:r w:rsidRPr="00E16672">
        <w:rPr>
          <w:rFonts w:ascii="Times New Roman" w:hAnsi="Times New Roman"/>
          <w:szCs w:val="20"/>
        </w:rPr>
        <w:t>надходження</w:t>
      </w:r>
      <w:proofErr w:type="spellEnd"/>
      <w:r w:rsidRPr="00E16672">
        <w:rPr>
          <w:rFonts w:ascii="Times New Roman" w:hAnsi="Times New Roman"/>
          <w:szCs w:val="20"/>
        </w:rPr>
        <w:t xml:space="preserve"> доходу за </w:t>
      </w:r>
      <w:proofErr w:type="spellStart"/>
      <w:r w:rsidRPr="00E16672">
        <w:rPr>
          <w:rFonts w:ascii="Times New Roman" w:hAnsi="Times New Roman"/>
          <w:szCs w:val="20"/>
        </w:rPr>
        <w:t>цінними</w:t>
      </w:r>
      <w:proofErr w:type="spellEnd"/>
      <w:r w:rsidRPr="00E16672">
        <w:rPr>
          <w:rFonts w:ascii="Times New Roman" w:hAnsi="Times New Roman"/>
          <w:szCs w:val="20"/>
        </w:rPr>
        <w:t xml:space="preserve"> </w:t>
      </w:r>
      <w:proofErr w:type="spellStart"/>
      <w:r w:rsidRPr="00E16672">
        <w:rPr>
          <w:rFonts w:ascii="Times New Roman" w:hAnsi="Times New Roman"/>
          <w:szCs w:val="20"/>
        </w:rPr>
        <w:t>паперами</w:t>
      </w:r>
      <w:proofErr w:type="spellEnd"/>
      <w:r w:rsidRPr="00E16672">
        <w:rPr>
          <w:rFonts w:ascii="Times New Roman" w:hAnsi="Times New Roman"/>
          <w:szCs w:val="20"/>
        </w:rPr>
        <w:t xml:space="preserve">, </w:t>
      </w:r>
      <w:proofErr w:type="spellStart"/>
      <w:r w:rsidRPr="00E16672">
        <w:rPr>
          <w:rFonts w:ascii="Times New Roman" w:hAnsi="Times New Roman"/>
          <w:szCs w:val="20"/>
        </w:rPr>
        <w:t>грошових</w:t>
      </w:r>
      <w:proofErr w:type="spellEnd"/>
      <w:r w:rsidRPr="00E16672">
        <w:rPr>
          <w:rFonts w:ascii="Times New Roman" w:hAnsi="Times New Roman"/>
          <w:szCs w:val="20"/>
        </w:rPr>
        <w:t xml:space="preserve"> </w:t>
      </w:r>
      <w:proofErr w:type="spellStart"/>
      <w:r w:rsidRPr="00E16672">
        <w:rPr>
          <w:rFonts w:ascii="Times New Roman" w:hAnsi="Times New Roman"/>
          <w:szCs w:val="20"/>
        </w:rPr>
        <w:t>коштів</w:t>
      </w:r>
      <w:proofErr w:type="spellEnd"/>
      <w:r w:rsidRPr="00E16672">
        <w:rPr>
          <w:rFonts w:ascii="Times New Roman" w:hAnsi="Times New Roman"/>
          <w:szCs w:val="20"/>
        </w:rPr>
        <w:t xml:space="preserve">, </w:t>
      </w:r>
      <w:proofErr w:type="spellStart"/>
      <w:r w:rsidRPr="00E16672">
        <w:rPr>
          <w:rFonts w:ascii="Times New Roman" w:hAnsi="Times New Roman"/>
          <w:szCs w:val="20"/>
        </w:rPr>
        <w:t>отриманих</w:t>
      </w:r>
      <w:proofErr w:type="spellEnd"/>
      <w:r w:rsidRPr="00E16672">
        <w:rPr>
          <w:rFonts w:ascii="Times New Roman" w:hAnsi="Times New Roman"/>
          <w:szCs w:val="20"/>
        </w:rPr>
        <w:t xml:space="preserve"> за результатами </w:t>
      </w:r>
      <w:proofErr w:type="spellStart"/>
      <w:r w:rsidRPr="00E16672">
        <w:rPr>
          <w:rFonts w:ascii="Times New Roman" w:hAnsi="Times New Roman"/>
          <w:szCs w:val="20"/>
        </w:rPr>
        <w:t>погашення</w:t>
      </w:r>
      <w:proofErr w:type="spellEnd"/>
      <w:r w:rsidRPr="00E16672">
        <w:rPr>
          <w:rFonts w:ascii="Times New Roman" w:hAnsi="Times New Roman"/>
          <w:szCs w:val="20"/>
        </w:rPr>
        <w:t xml:space="preserve"> </w:t>
      </w:r>
      <w:proofErr w:type="spellStart"/>
      <w:r w:rsidRPr="00E16672">
        <w:rPr>
          <w:rFonts w:ascii="Times New Roman" w:hAnsi="Times New Roman"/>
          <w:szCs w:val="20"/>
        </w:rPr>
        <w:t>цінних</w:t>
      </w:r>
      <w:proofErr w:type="spellEnd"/>
      <w:r w:rsidRPr="00E16672">
        <w:rPr>
          <w:rFonts w:ascii="Times New Roman" w:hAnsi="Times New Roman"/>
          <w:szCs w:val="20"/>
        </w:rPr>
        <w:t xml:space="preserve"> </w:t>
      </w:r>
      <w:proofErr w:type="spellStart"/>
      <w:r w:rsidRPr="00E16672">
        <w:rPr>
          <w:rFonts w:ascii="Times New Roman" w:hAnsi="Times New Roman"/>
          <w:szCs w:val="20"/>
        </w:rPr>
        <w:t>паперів</w:t>
      </w:r>
      <w:proofErr w:type="spellEnd"/>
      <w:r w:rsidRPr="00E16672">
        <w:rPr>
          <w:rFonts w:ascii="Times New Roman" w:hAnsi="Times New Roman"/>
          <w:szCs w:val="20"/>
        </w:rPr>
        <w:t xml:space="preserve"> на </w:t>
      </w:r>
      <w:proofErr w:type="spellStart"/>
      <w:r w:rsidRPr="00E16672">
        <w:rPr>
          <w:rFonts w:ascii="Times New Roman" w:hAnsi="Times New Roman"/>
          <w:szCs w:val="20"/>
        </w:rPr>
        <w:t>грошовий</w:t>
      </w:r>
      <w:proofErr w:type="spellEnd"/>
      <w:r w:rsidRPr="00E16672">
        <w:rPr>
          <w:rFonts w:ascii="Times New Roman" w:hAnsi="Times New Roman"/>
          <w:szCs w:val="20"/>
        </w:rPr>
        <w:t xml:space="preserve"> </w:t>
      </w:r>
      <w:proofErr w:type="spellStart"/>
      <w:r w:rsidRPr="00E16672">
        <w:rPr>
          <w:rFonts w:ascii="Times New Roman" w:hAnsi="Times New Roman"/>
          <w:szCs w:val="20"/>
        </w:rPr>
        <w:t>рахунок</w:t>
      </w:r>
      <w:proofErr w:type="spellEnd"/>
      <w:r w:rsidRPr="00E16672">
        <w:rPr>
          <w:rFonts w:ascii="Times New Roman" w:hAnsi="Times New Roman"/>
          <w:szCs w:val="20"/>
        </w:rPr>
        <w:t xml:space="preserve"> </w:t>
      </w:r>
      <w:proofErr w:type="spellStart"/>
      <w:r w:rsidRPr="00E16672">
        <w:rPr>
          <w:rFonts w:ascii="Times New Roman" w:hAnsi="Times New Roman"/>
          <w:szCs w:val="20"/>
        </w:rPr>
        <w:t>Депозитарної</w:t>
      </w:r>
      <w:proofErr w:type="spellEnd"/>
      <w:r w:rsidRPr="00E16672">
        <w:rPr>
          <w:rFonts w:ascii="Times New Roman" w:hAnsi="Times New Roman"/>
          <w:szCs w:val="20"/>
        </w:rPr>
        <w:t xml:space="preserve"> установи </w:t>
      </w:r>
      <w:proofErr w:type="spellStart"/>
      <w:r w:rsidRPr="00E16672">
        <w:rPr>
          <w:rFonts w:ascii="Times New Roman" w:hAnsi="Times New Roman"/>
          <w:szCs w:val="20"/>
        </w:rPr>
        <w:t>Депозитарна</w:t>
      </w:r>
      <w:proofErr w:type="spellEnd"/>
      <w:r w:rsidRPr="00E16672">
        <w:rPr>
          <w:rFonts w:ascii="Times New Roman" w:hAnsi="Times New Roman"/>
          <w:szCs w:val="20"/>
        </w:rPr>
        <w:t xml:space="preserve"> </w:t>
      </w:r>
      <w:proofErr w:type="spellStart"/>
      <w:r w:rsidRPr="00E16672">
        <w:rPr>
          <w:rFonts w:ascii="Times New Roman" w:hAnsi="Times New Roman"/>
          <w:szCs w:val="20"/>
        </w:rPr>
        <w:t>установа</w:t>
      </w:r>
      <w:proofErr w:type="spellEnd"/>
      <w:r w:rsidRPr="00E16672">
        <w:rPr>
          <w:rFonts w:ascii="Times New Roman" w:hAnsi="Times New Roman"/>
          <w:szCs w:val="20"/>
        </w:rPr>
        <w:t xml:space="preserve"> </w:t>
      </w:r>
      <w:proofErr w:type="spellStart"/>
      <w:r w:rsidRPr="00E16672">
        <w:rPr>
          <w:rFonts w:ascii="Times New Roman" w:hAnsi="Times New Roman"/>
          <w:szCs w:val="20"/>
        </w:rPr>
        <w:t>здійснює</w:t>
      </w:r>
      <w:proofErr w:type="spellEnd"/>
      <w:r w:rsidRPr="00E16672">
        <w:rPr>
          <w:rFonts w:ascii="Times New Roman" w:hAnsi="Times New Roman"/>
          <w:szCs w:val="20"/>
        </w:rPr>
        <w:t xml:space="preserve"> </w:t>
      </w:r>
      <w:proofErr w:type="spellStart"/>
      <w:r w:rsidRPr="00E16672">
        <w:rPr>
          <w:rFonts w:ascii="Times New Roman" w:hAnsi="Times New Roman"/>
          <w:szCs w:val="20"/>
        </w:rPr>
        <w:t>виплату</w:t>
      </w:r>
      <w:proofErr w:type="spellEnd"/>
      <w:r w:rsidRPr="00E16672">
        <w:rPr>
          <w:rFonts w:ascii="Times New Roman" w:hAnsi="Times New Roman"/>
          <w:szCs w:val="20"/>
        </w:rPr>
        <w:t xml:space="preserve"> доходу за </w:t>
      </w:r>
      <w:proofErr w:type="spellStart"/>
      <w:r w:rsidRPr="00E16672">
        <w:rPr>
          <w:rFonts w:ascii="Times New Roman" w:hAnsi="Times New Roman"/>
          <w:szCs w:val="20"/>
        </w:rPr>
        <w:t>цінними</w:t>
      </w:r>
      <w:proofErr w:type="spellEnd"/>
      <w:r w:rsidRPr="00E16672">
        <w:rPr>
          <w:rFonts w:ascii="Times New Roman" w:hAnsi="Times New Roman"/>
          <w:szCs w:val="20"/>
        </w:rPr>
        <w:t xml:space="preserve"> </w:t>
      </w:r>
      <w:proofErr w:type="spellStart"/>
      <w:r w:rsidRPr="00E16672">
        <w:rPr>
          <w:rFonts w:ascii="Times New Roman" w:hAnsi="Times New Roman"/>
          <w:szCs w:val="20"/>
        </w:rPr>
        <w:t>паперами</w:t>
      </w:r>
      <w:proofErr w:type="spellEnd"/>
      <w:r w:rsidRPr="00E16672">
        <w:rPr>
          <w:rFonts w:ascii="Times New Roman" w:hAnsi="Times New Roman"/>
          <w:szCs w:val="20"/>
        </w:rPr>
        <w:t xml:space="preserve">, </w:t>
      </w:r>
      <w:proofErr w:type="spellStart"/>
      <w:r w:rsidRPr="00E16672">
        <w:rPr>
          <w:rFonts w:ascii="Times New Roman" w:hAnsi="Times New Roman"/>
          <w:szCs w:val="20"/>
        </w:rPr>
        <w:t>грошових</w:t>
      </w:r>
      <w:proofErr w:type="spellEnd"/>
      <w:r w:rsidRPr="00E16672">
        <w:rPr>
          <w:rFonts w:ascii="Times New Roman" w:hAnsi="Times New Roman"/>
          <w:szCs w:val="20"/>
        </w:rPr>
        <w:t xml:space="preserve"> </w:t>
      </w:r>
      <w:proofErr w:type="spellStart"/>
      <w:r w:rsidRPr="00E16672">
        <w:rPr>
          <w:rFonts w:ascii="Times New Roman" w:hAnsi="Times New Roman"/>
          <w:szCs w:val="20"/>
        </w:rPr>
        <w:t>коштів</w:t>
      </w:r>
      <w:proofErr w:type="spellEnd"/>
      <w:r w:rsidRPr="00E16672">
        <w:rPr>
          <w:rFonts w:ascii="Times New Roman" w:hAnsi="Times New Roman"/>
          <w:szCs w:val="20"/>
        </w:rPr>
        <w:t xml:space="preserve">, </w:t>
      </w:r>
      <w:proofErr w:type="spellStart"/>
      <w:r w:rsidRPr="00E16672">
        <w:rPr>
          <w:rFonts w:ascii="Times New Roman" w:hAnsi="Times New Roman"/>
          <w:szCs w:val="20"/>
        </w:rPr>
        <w:t>отриманих</w:t>
      </w:r>
      <w:proofErr w:type="spellEnd"/>
      <w:r w:rsidRPr="00E16672">
        <w:rPr>
          <w:rFonts w:ascii="Times New Roman" w:hAnsi="Times New Roman"/>
          <w:szCs w:val="20"/>
        </w:rPr>
        <w:t xml:space="preserve"> Депонентом за результатами </w:t>
      </w:r>
      <w:proofErr w:type="spellStart"/>
      <w:r w:rsidRPr="00E16672">
        <w:rPr>
          <w:rFonts w:ascii="Times New Roman" w:hAnsi="Times New Roman"/>
          <w:szCs w:val="20"/>
        </w:rPr>
        <w:t>погашення</w:t>
      </w:r>
      <w:proofErr w:type="spellEnd"/>
      <w:r w:rsidRPr="00E16672">
        <w:rPr>
          <w:rFonts w:ascii="Times New Roman" w:hAnsi="Times New Roman"/>
          <w:szCs w:val="20"/>
        </w:rPr>
        <w:t xml:space="preserve"> </w:t>
      </w:r>
      <w:proofErr w:type="spellStart"/>
      <w:r w:rsidRPr="00E16672">
        <w:rPr>
          <w:rFonts w:ascii="Times New Roman" w:hAnsi="Times New Roman"/>
          <w:szCs w:val="20"/>
        </w:rPr>
        <w:t>цінних</w:t>
      </w:r>
      <w:proofErr w:type="spellEnd"/>
      <w:r w:rsidRPr="00E16672">
        <w:rPr>
          <w:rFonts w:ascii="Times New Roman" w:hAnsi="Times New Roman"/>
          <w:szCs w:val="20"/>
        </w:rPr>
        <w:t xml:space="preserve"> </w:t>
      </w:r>
      <w:proofErr w:type="spellStart"/>
      <w:r w:rsidRPr="00E16672">
        <w:rPr>
          <w:rFonts w:ascii="Times New Roman" w:hAnsi="Times New Roman"/>
          <w:szCs w:val="20"/>
        </w:rPr>
        <w:t>паперів</w:t>
      </w:r>
      <w:proofErr w:type="spellEnd"/>
      <w:r w:rsidRPr="00E16672">
        <w:rPr>
          <w:rFonts w:ascii="Times New Roman" w:hAnsi="Times New Roman"/>
          <w:szCs w:val="20"/>
        </w:rPr>
        <w:t xml:space="preserve"> </w:t>
      </w:r>
      <w:proofErr w:type="spellStart"/>
      <w:r w:rsidRPr="00E16672">
        <w:rPr>
          <w:rFonts w:ascii="Times New Roman" w:hAnsi="Times New Roman"/>
          <w:szCs w:val="20"/>
        </w:rPr>
        <w:t>емітента</w:t>
      </w:r>
      <w:proofErr w:type="spellEnd"/>
      <w:r w:rsidRPr="00E16672">
        <w:rPr>
          <w:rFonts w:ascii="Times New Roman" w:hAnsi="Times New Roman"/>
          <w:szCs w:val="20"/>
        </w:rPr>
        <w:t xml:space="preserve">, шляхом </w:t>
      </w:r>
      <w:proofErr w:type="spellStart"/>
      <w:r w:rsidRPr="00E16672">
        <w:rPr>
          <w:rFonts w:ascii="Times New Roman" w:hAnsi="Times New Roman"/>
          <w:szCs w:val="20"/>
        </w:rPr>
        <w:t>перерахування</w:t>
      </w:r>
      <w:proofErr w:type="spellEnd"/>
      <w:r w:rsidRPr="00E16672">
        <w:rPr>
          <w:rFonts w:ascii="Times New Roman" w:hAnsi="Times New Roman"/>
          <w:szCs w:val="20"/>
        </w:rPr>
        <w:t xml:space="preserve"> </w:t>
      </w:r>
      <w:proofErr w:type="spellStart"/>
      <w:r w:rsidRPr="00E16672">
        <w:rPr>
          <w:rFonts w:ascii="Times New Roman" w:hAnsi="Times New Roman"/>
          <w:szCs w:val="20"/>
        </w:rPr>
        <w:t>грошових</w:t>
      </w:r>
      <w:proofErr w:type="spellEnd"/>
      <w:r w:rsidRPr="00E16672">
        <w:rPr>
          <w:rFonts w:ascii="Times New Roman" w:hAnsi="Times New Roman"/>
          <w:szCs w:val="20"/>
        </w:rPr>
        <w:t xml:space="preserve"> </w:t>
      </w:r>
      <w:proofErr w:type="spellStart"/>
      <w:r w:rsidRPr="00E16672">
        <w:rPr>
          <w:rFonts w:ascii="Times New Roman" w:hAnsi="Times New Roman"/>
          <w:szCs w:val="20"/>
        </w:rPr>
        <w:t>коштів</w:t>
      </w:r>
      <w:proofErr w:type="spellEnd"/>
      <w:r w:rsidRPr="00E16672">
        <w:rPr>
          <w:rFonts w:ascii="Times New Roman" w:hAnsi="Times New Roman"/>
          <w:szCs w:val="20"/>
        </w:rPr>
        <w:t xml:space="preserve"> на </w:t>
      </w:r>
      <w:proofErr w:type="spellStart"/>
      <w:r w:rsidRPr="00E16672">
        <w:rPr>
          <w:rFonts w:ascii="Times New Roman" w:hAnsi="Times New Roman"/>
          <w:szCs w:val="20"/>
        </w:rPr>
        <w:t>грошовий</w:t>
      </w:r>
      <w:proofErr w:type="spellEnd"/>
      <w:r w:rsidRPr="00E16672">
        <w:rPr>
          <w:rFonts w:ascii="Times New Roman" w:hAnsi="Times New Roman"/>
          <w:szCs w:val="20"/>
        </w:rPr>
        <w:t xml:space="preserve"> </w:t>
      </w:r>
      <w:proofErr w:type="spellStart"/>
      <w:r w:rsidRPr="00E16672">
        <w:rPr>
          <w:rFonts w:ascii="Times New Roman" w:hAnsi="Times New Roman"/>
          <w:szCs w:val="20"/>
        </w:rPr>
        <w:t>банківський</w:t>
      </w:r>
      <w:proofErr w:type="spellEnd"/>
      <w:r w:rsidRPr="00E16672">
        <w:rPr>
          <w:rFonts w:ascii="Times New Roman" w:hAnsi="Times New Roman"/>
          <w:szCs w:val="20"/>
        </w:rPr>
        <w:t xml:space="preserve"> </w:t>
      </w:r>
      <w:proofErr w:type="spellStart"/>
      <w:r w:rsidRPr="00E16672">
        <w:rPr>
          <w:rFonts w:ascii="Times New Roman" w:hAnsi="Times New Roman"/>
          <w:szCs w:val="20"/>
        </w:rPr>
        <w:t>рахунок</w:t>
      </w:r>
      <w:proofErr w:type="spellEnd"/>
      <w:r w:rsidRPr="00E16672">
        <w:rPr>
          <w:rFonts w:ascii="Times New Roman" w:hAnsi="Times New Roman"/>
          <w:szCs w:val="20"/>
        </w:rPr>
        <w:t xml:space="preserve"> Депонента, </w:t>
      </w:r>
      <w:proofErr w:type="spellStart"/>
      <w:r w:rsidRPr="00E16672">
        <w:rPr>
          <w:rFonts w:ascii="Times New Roman" w:hAnsi="Times New Roman"/>
          <w:szCs w:val="20"/>
        </w:rPr>
        <w:t>зазначений</w:t>
      </w:r>
      <w:proofErr w:type="spellEnd"/>
      <w:r w:rsidRPr="00E16672">
        <w:rPr>
          <w:rFonts w:ascii="Times New Roman" w:hAnsi="Times New Roman"/>
          <w:szCs w:val="20"/>
        </w:rPr>
        <w:t xml:space="preserve"> в </w:t>
      </w:r>
      <w:proofErr w:type="spellStart"/>
      <w:r w:rsidRPr="00E16672">
        <w:rPr>
          <w:rFonts w:ascii="Times New Roman" w:hAnsi="Times New Roman"/>
          <w:szCs w:val="20"/>
        </w:rPr>
        <w:t>анкеті</w:t>
      </w:r>
      <w:proofErr w:type="spellEnd"/>
      <w:r w:rsidRPr="00E16672">
        <w:rPr>
          <w:rFonts w:ascii="Times New Roman" w:hAnsi="Times New Roman"/>
          <w:szCs w:val="20"/>
        </w:rPr>
        <w:t xml:space="preserve"> </w:t>
      </w:r>
      <w:proofErr w:type="spellStart"/>
      <w:r w:rsidRPr="00E16672">
        <w:rPr>
          <w:rFonts w:ascii="Times New Roman" w:hAnsi="Times New Roman"/>
          <w:szCs w:val="20"/>
        </w:rPr>
        <w:t>рахунку</w:t>
      </w:r>
      <w:proofErr w:type="spellEnd"/>
      <w:r w:rsidRPr="00E16672">
        <w:rPr>
          <w:rFonts w:ascii="Times New Roman" w:hAnsi="Times New Roman"/>
          <w:szCs w:val="20"/>
        </w:rPr>
        <w:t xml:space="preserve"> в </w:t>
      </w:r>
      <w:proofErr w:type="spellStart"/>
      <w:r w:rsidRPr="00E16672">
        <w:rPr>
          <w:rFonts w:ascii="Times New Roman" w:hAnsi="Times New Roman"/>
          <w:szCs w:val="20"/>
        </w:rPr>
        <w:t>цінних</w:t>
      </w:r>
      <w:proofErr w:type="spellEnd"/>
      <w:r w:rsidRPr="00E16672">
        <w:rPr>
          <w:rFonts w:ascii="Times New Roman" w:hAnsi="Times New Roman"/>
          <w:szCs w:val="20"/>
        </w:rPr>
        <w:t xml:space="preserve"> </w:t>
      </w:r>
      <w:proofErr w:type="spellStart"/>
      <w:r w:rsidRPr="00E16672">
        <w:rPr>
          <w:rFonts w:ascii="Times New Roman" w:hAnsi="Times New Roman"/>
          <w:szCs w:val="20"/>
        </w:rPr>
        <w:t>паперах</w:t>
      </w:r>
      <w:proofErr w:type="spellEnd"/>
      <w:r w:rsidRPr="00E16672">
        <w:rPr>
          <w:rFonts w:ascii="Times New Roman" w:hAnsi="Times New Roman"/>
          <w:szCs w:val="20"/>
        </w:rPr>
        <w:t xml:space="preserve"> Депонента. </w:t>
      </w:r>
      <w:proofErr w:type="spellStart"/>
      <w:r w:rsidRPr="00E16672">
        <w:rPr>
          <w:rFonts w:ascii="Times New Roman" w:hAnsi="Times New Roman"/>
          <w:szCs w:val="20"/>
        </w:rPr>
        <w:t>Вищезазначені</w:t>
      </w:r>
      <w:proofErr w:type="spellEnd"/>
      <w:r w:rsidRPr="00E16672">
        <w:rPr>
          <w:rFonts w:ascii="Times New Roman" w:hAnsi="Times New Roman"/>
          <w:szCs w:val="20"/>
        </w:rPr>
        <w:t xml:space="preserve"> </w:t>
      </w:r>
      <w:proofErr w:type="spellStart"/>
      <w:r w:rsidRPr="00E16672">
        <w:rPr>
          <w:rFonts w:ascii="Times New Roman" w:hAnsi="Times New Roman"/>
          <w:szCs w:val="20"/>
        </w:rPr>
        <w:t>дії</w:t>
      </w:r>
      <w:proofErr w:type="spellEnd"/>
      <w:r w:rsidRPr="00E16672">
        <w:rPr>
          <w:rFonts w:ascii="Times New Roman" w:hAnsi="Times New Roman"/>
          <w:szCs w:val="20"/>
        </w:rPr>
        <w:t xml:space="preserve"> </w:t>
      </w:r>
      <w:proofErr w:type="spellStart"/>
      <w:r w:rsidRPr="00E16672">
        <w:rPr>
          <w:rFonts w:ascii="Times New Roman" w:hAnsi="Times New Roman"/>
          <w:szCs w:val="20"/>
        </w:rPr>
        <w:t>виконуються</w:t>
      </w:r>
      <w:proofErr w:type="spellEnd"/>
      <w:r w:rsidRPr="00E16672">
        <w:rPr>
          <w:rFonts w:ascii="Times New Roman" w:hAnsi="Times New Roman"/>
          <w:szCs w:val="20"/>
        </w:rPr>
        <w:t xml:space="preserve"> Депозитарною </w:t>
      </w:r>
      <w:proofErr w:type="spellStart"/>
      <w:r w:rsidRPr="00E16672">
        <w:rPr>
          <w:rFonts w:ascii="Times New Roman" w:hAnsi="Times New Roman"/>
          <w:szCs w:val="20"/>
        </w:rPr>
        <w:t>установою</w:t>
      </w:r>
      <w:proofErr w:type="spellEnd"/>
      <w:r w:rsidRPr="00E16672">
        <w:rPr>
          <w:rFonts w:ascii="Times New Roman" w:hAnsi="Times New Roman"/>
          <w:szCs w:val="20"/>
        </w:rPr>
        <w:t xml:space="preserve"> у </w:t>
      </w:r>
      <w:proofErr w:type="spellStart"/>
      <w:r w:rsidRPr="00E16672">
        <w:rPr>
          <w:rFonts w:ascii="Times New Roman" w:hAnsi="Times New Roman"/>
          <w:szCs w:val="20"/>
        </w:rPr>
        <w:t>разі</w:t>
      </w:r>
      <w:proofErr w:type="spellEnd"/>
      <w:r w:rsidRPr="00E16672">
        <w:rPr>
          <w:rFonts w:ascii="Times New Roman" w:hAnsi="Times New Roman"/>
          <w:szCs w:val="20"/>
        </w:rPr>
        <w:t xml:space="preserve"> </w:t>
      </w:r>
      <w:proofErr w:type="spellStart"/>
      <w:r w:rsidRPr="00E16672">
        <w:rPr>
          <w:rFonts w:ascii="Times New Roman" w:hAnsi="Times New Roman"/>
          <w:szCs w:val="20"/>
        </w:rPr>
        <w:t>наявності</w:t>
      </w:r>
      <w:proofErr w:type="spellEnd"/>
      <w:r w:rsidRPr="00E16672">
        <w:rPr>
          <w:rFonts w:ascii="Times New Roman" w:hAnsi="Times New Roman"/>
          <w:szCs w:val="20"/>
        </w:rPr>
        <w:t xml:space="preserve"> </w:t>
      </w:r>
      <w:proofErr w:type="spellStart"/>
      <w:r w:rsidRPr="00E16672">
        <w:rPr>
          <w:rFonts w:ascii="Times New Roman" w:hAnsi="Times New Roman"/>
          <w:szCs w:val="20"/>
        </w:rPr>
        <w:t>реквізитів</w:t>
      </w:r>
      <w:proofErr w:type="spellEnd"/>
      <w:r w:rsidRPr="00E16672">
        <w:rPr>
          <w:rFonts w:ascii="Times New Roman" w:hAnsi="Times New Roman"/>
          <w:szCs w:val="20"/>
        </w:rPr>
        <w:t xml:space="preserve"> </w:t>
      </w:r>
      <w:proofErr w:type="spellStart"/>
      <w:r w:rsidRPr="00E16672">
        <w:rPr>
          <w:rFonts w:ascii="Times New Roman" w:hAnsi="Times New Roman"/>
          <w:szCs w:val="20"/>
        </w:rPr>
        <w:t>діючого</w:t>
      </w:r>
      <w:proofErr w:type="spellEnd"/>
      <w:r w:rsidRPr="00E16672">
        <w:rPr>
          <w:rFonts w:ascii="Times New Roman" w:hAnsi="Times New Roman"/>
          <w:szCs w:val="20"/>
        </w:rPr>
        <w:t xml:space="preserve"> грошового </w:t>
      </w:r>
      <w:proofErr w:type="spellStart"/>
      <w:r w:rsidRPr="00E16672">
        <w:rPr>
          <w:rFonts w:ascii="Times New Roman" w:hAnsi="Times New Roman"/>
          <w:szCs w:val="20"/>
        </w:rPr>
        <w:t>банківського</w:t>
      </w:r>
      <w:proofErr w:type="spellEnd"/>
      <w:r w:rsidRPr="00E16672">
        <w:rPr>
          <w:rFonts w:ascii="Times New Roman" w:hAnsi="Times New Roman"/>
          <w:szCs w:val="20"/>
        </w:rPr>
        <w:t xml:space="preserve"> </w:t>
      </w:r>
      <w:proofErr w:type="spellStart"/>
      <w:r w:rsidRPr="00E16672">
        <w:rPr>
          <w:rFonts w:ascii="Times New Roman" w:hAnsi="Times New Roman"/>
          <w:szCs w:val="20"/>
        </w:rPr>
        <w:t>рахунку</w:t>
      </w:r>
      <w:proofErr w:type="spellEnd"/>
      <w:r w:rsidRPr="00E16672">
        <w:rPr>
          <w:rFonts w:ascii="Times New Roman" w:hAnsi="Times New Roman"/>
          <w:szCs w:val="20"/>
        </w:rPr>
        <w:t xml:space="preserve"> в </w:t>
      </w:r>
      <w:proofErr w:type="spellStart"/>
      <w:r w:rsidRPr="00E16672">
        <w:rPr>
          <w:rFonts w:ascii="Times New Roman" w:hAnsi="Times New Roman"/>
          <w:szCs w:val="20"/>
        </w:rPr>
        <w:t>анкеті</w:t>
      </w:r>
      <w:proofErr w:type="spellEnd"/>
      <w:r w:rsidRPr="00E16672">
        <w:rPr>
          <w:rFonts w:ascii="Times New Roman" w:hAnsi="Times New Roman"/>
          <w:szCs w:val="20"/>
        </w:rPr>
        <w:t xml:space="preserve"> </w:t>
      </w:r>
      <w:proofErr w:type="spellStart"/>
      <w:r w:rsidRPr="00E16672">
        <w:rPr>
          <w:rFonts w:ascii="Times New Roman" w:hAnsi="Times New Roman"/>
          <w:szCs w:val="20"/>
        </w:rPr>
        <w:t>рахунку</w:t>
      </w:r>
      <w:proofErr w:type="spellEnd"/>
      <w:r w:rsidRPr="00E16672">
        <w:rPr>
          <w:rFonts w:ascii="Times New Roman" w:hAnsi="Times New Roman"/>
          <w:szCs w:val="20"/>
        </w:rPr>
        <w:t xml:space="preserve"> </w:t>
      </w:r>
      <w:r w:rsidR="00C22309" w:rsidRPr="00E16672">
        <w:rPr>
          <w:rFonts w:ascii="Times New Roman" w:hAnsi="Times New Roman"/>
          <w:szCs w:val="20"/>
        </w:rPr>
        <w:t xml:space="preserve">в </w:t>
      </w:r>
      <w:proofErr w:type="spellStart"/>
      <w:r w:rsidR="00C22309" w:rsidRPr="00E16672">
        <w:rPr>
          <w:rFonts w:ascii="Times New Roman" w:hAnsi="Times New Roman"/>
          <w:szCs w:val="20"/>
        </w:rPr>
        <w:t>цін</w:t>
      </w:r>
      <w:r w:rsidRPr="00E16672">
        <w:rPr>
          <w:rFonts w:ascii="Times New Roman" w:hAnsi="Times New Roman"/>
          <w:szCs w:val="20"/>
        </w:rPr>
        <w:t>них</w:t>
      </w:r>
      <w:proofErr w:type="spellEnd"/>
      <w:r w:rsidRPr="00E16672">
        <w:rPr>
          <w:rFonts w:ascii="Times New Roman" w:hAnsi="Times New Roman"/>
          <w:szCs w:val="20"/>
        </w:rPr>
        <w:t xml:space="preserve"> </w:t>
      </w:r>
      <w:proofErr w:type="spellStart"/>
      <w:r w:rsidRPr="00E16672">
        <w:rPr>
          <w:rFonts w:ascii="Times New Roman" w:hAnsi="Times New Roman"/>
          <w:szCs w:val="20"/>
        </w:rPr>
        <w:t>паперах</w:t>
      </w:r>
      <w:proofErr w:type="spellEnd"/>
      <w:r w:rsidRPr="00E16672">
        <w:rPr>
          <w:rFonts w:ascii="Times New Roman" w:hAnsi="Times New Roman"/>
          <w:szCs w:val="20"/>
        </w:rPr>
        <w:t xml:space="preserve"> Депонента на момент </w:t>
      </w:r>
      <w:proofErr w:type="spellStart"/>
      <w:r w:rsidRPr="00E16672">
        <w:rPr>
          <w:rFonts w:ascii="Times New Roman" w:hAnsi="Times New Roman"/>
          <w:szCs w:val="20"/>
        </w:rPr>
        <w:t>надходження</w:t>
      </w:r>
      <w:proofErr w:type="spellEnd"/>
      <w:r w:rsidRPr="00E16672">
        <w:rPr>
          <w:rFonts w:ascii="Times New Roman" w:hAnsi="Times New Roman"/>
          <w:szCs w:val="20"/>
        </w:rPr>
        <w:t xml:space="preserve"> </w:t>
      </w:r>
      <w:proofErr w:type="spellStart"/>
      <w:r w:rsidRPr="00E16672">
        <w:rPr>
          <w:rFonts w:ascii="Times New Roman" w:hAnsi="Times New Roman"/>
          <w:szCs w:val="20"/>
        </w:rPr>
        <w:t>відповідних</w:t>
      </w:r>
      <w:proofErr w:type="spellEnd"/>
      <w:r w:rsidRPr="00E16672">
        <w:rPr>
          <w:rFonts w:ascii="Times New Roman" w:hAnsi="Times New Roman"/>
          <w:szCs w:val="20"/>
        </w:rPr>
        <w:t xml:space="preserve"> </w:t>
      </w:r>
      <w:proofErr w:type="spellStart"/>
      <w:r w:rsidRPr="00E16672">
        <w:rPr>
          <w:rFonts w:ascii="Times New Roman" w:hAnsi="Times New Roman"/>
          <w:szCs w:val="20"/>
        </w:rPr>
        <w:t>коштів</w:t>
      </w:r>
      <w:proofErr w:type="spellEnd"/>
      <w:r w:rsidRPr="00E16672">
        <w:rPr>
          <w:rFonts w:ascii="Times New Roman" w:hAnsi="Times New Roman"/>
          <w:szCs w:val="20"/>
        </w:rPr>
        <w:t xml:space="preserve"> на </w:t>
      </w:r>
      <w:proofErr w:type="spellStart"/>
      <w:r w:rsidRPr="00E16672">
        <w:rPr>
          <w:rFonts w:ascii="Times New Roman" w:hAnsi="Times New Roman"/>
          <w:szCs w:val="20"/>
        </w:rPr>
        <w:t>грошовий</w:t>
      </w:r>
      <w:proofErr w:type="spellEnd"/>
      <w:r w:rsidRPr="00E16672">
        <w:rPr>
          <w:rFonts w:ascii="Times New Roman" w:hAnsi="Times New Roman"/>
          <w:szCs w:val="20"/>
        </w:rPr>
        <w:t xml:space="preserve"> </w:t>
      </w:r>
      <w:proofErr w:type="spellStart"/>
      <w:r w:rsidRPr="00E16672">
        <w:rPr>
          <w:rFonts w:ascii="Times New Roman" w:hAnsi="Times New Roman"/>
          <w:szCs w:val="20"/>
        </w:rPr>
        <w:t>рахунок</w:t>
      </w:r>
      <w:proofErr w:type="spellEnd"/>
      <w:r w:rsidRPr="00E16672">
        <w:rPr>
          <w:rFonts w:ascii="Times New Roman" w:hAnsi="Times New Roman"/>
          <w:szCs w:val="20"/>
        </w:rPr>
        <w:t xml:space="preserve"> </w:t>
      </w:r>
      <w:proofErr w:type="spellStart"/>
      <w:r w:rsidRPr="00E16672">
        <w:rPr>
          <w:rFonts w:ascii="Times New Roman" w:hAnsi="Times New Roman"/>
          <w:szCs w:val="20"/>
        </w:rPr>
        <w:t>Депозитарної</w:t>
      </w:r>
      <w:proofErr w:type="spellEnd"/>
      <w:r w:rsidRPr="00E16672">
        <w:rPr>
          <w:rFonts w:ascii="Times New Roman" w:hAnsi="Times New Roman"/>
          <w:szCs w:val="20"/>
        </w:rPr>
        <w:t xml:space="preserve"> установи.</w:t>
      </w:r>
    </w:p>
    <w:p w14:paraId="22C115CB" w14:textId="3E785AAA" w:rsidR="003A3CDF" w:rsidRPr="00000F8C" w:rsidRDefault="00000F8C" w:rsidP="00000F8C">
      <w:pPr>
        <w:rPr>
          <w:rFonts w:ascii="Times New Roman" w:hAnsi="Times New Roman"/>
          <w:szCs w:val="20"/>
        </w:rPr>
      </w:pPr>
      <w:r w:rsidRPr="00000F8C">
        <w:rPr>
          <w:rFonts w:ascii="Times New Roman" w:hAnsi="Times New Roman"/>
          <w:szCs w:val="20"/>
        </w:rPr>
        <w:t>12</w:t>
      </w:r>
      <w:r>
        <w:rPr>
          <w:rFonts w:ascii="Times New Roman" w:hAnsi="Times New Roman"/>
          <w:szCs w:val="20"/>
        </w:rPr>
        <w:t xml:space="preserve">.3. </w:t>
      </w:r>
      <w:proofErr w:type="spellStart"/>
      <w:r w:rsidR="003A3CDF" w:rsidRPr="00000F8C">
        <w:rPr>
          <w:rFonts w:ascii="Times New Roman" w:hAnsi="Times New Roman"/>
          <w:szCs w:val="20"/>
        </w:rPr>
        <w:t>Грошові</w:t>
      </w:r>
      <w:proofErr w:type="spellEnd"/>
      <w:r w:rsidR="003A3CDF" w:rsidRPr="00000F8C">
        <w:rPr>
          <w:rFonts w:ascii="Times New Roman" w:hAnsi="Times New Roman"/>
          <w:szCs w:val="20"/>
        </w:rPr>
        <w:t xml:space="preserve"> </w:t>
      </w:r>
      <w:proofErr w:type="spellStart"/>
      <w:r w:rsidR="003A3CDF" w:rsidRPr="00000F8C">
        <w:rPr>
          <w:rFonts w:ascii="Times New Roman" w:hAnsi="Times New Roman"/>
          <w:szCs w:val="20"/>
        </w:rPr>
        <w:t>кошти</w:t>
      </w:r>
      <w:proofErr w:type="spellEnd"/>
      <w:r w:rsidR="003A3CDF" w:rsidRPr="00000F8C">
        <w:rPr>
          <w:rFonts w:ascii="Times New Roman" w:hAnsi="Times New Roman"/>
          <w:szCs w:val="20"/>
        </w:rPr>
        <w:t xml:space="preserve">, </w:t>
      </w:r>
      <w:proofErr w:type="spellStart"/>
      <w:r w:rsidR="003A3CDF" w:rsidRPr="00000F8C">
        <w:rPr>
          <w:rStyle w:val="rvts0"/>
          <w:rFonts w:ascii="Times New Roman" w:hAnsi="Times New Roman"/>
          <w:szCs w:val="20"/>
        </w:rPr>
        <w:t>які</w:t>
      </w:r>
      <w:proofErr w:type="spellEnd"/>
      <w:r w:rsidR="003A3CDF" w:rsidRPr="00000F8C">
        <w:rPr>
          <w:rStyle w:val="rvts0"/>
          <w:rFonts w:ascii="Times New Roman" w:hAnsi="Times New Roman"/>
          <w:szCs w:val="20"/>
        </w:rPr>
        <w:t xml:space="preserve"> </w:t>
      </w:r>
      <w:proofErr w:type="spellStart"/>
      <w:r w:rsidR="003A3CDF" w:rsidRPr="00000F8C">
        <w:rPr>
          <w:rStyle w:val="rvts0"/>
          <w:rFonts w:ascii="Times New Roman" w:hAnsi="Times New Roman"/>
          <w:szCs w:val="20"/>
        </w:rPr>
        <w:t>відповідно</w:t>
      </w:r>
      <w:proofErr w:type="spellEnd"/>
      <w:r w:rsidR="003A3CDF" w:rsidRPr="00000F8C">
        <w:rPr>
          <w:rStyle w:val="rvts0"/>
          <w:rFonts w:ascii="Times New Roman" w:hAnsi="Times New Roman"/>
          <w:szCs w:val="20"/>
        </w:rPr>
        <w:t xml:space="preserve"> до </w:t>
      </w:r>
      <w:proofErr w:type="spellStart"/>
      <w:r w:rsidR="003A3CDF" w:rsidRPr="00000F8C">
        <w:rPr>
          <w:rStyle w:val="rvts0"/>
          <w:rFonts w:ascii="Times New Roman" w:hAnsi="Times New Roman"/>
          <w:szCs w:val="20"/>
        </w:rPr>
        <w:t>законодавства</w:t>
      </w:r>
      <w:proofErr w:type="spellEnd"/>
      <w:r w:rsidR="003A3CDF" w:rsidRPr="00000F8C">
        <w:rPr>
          <w:rStyle w:val="rvts0"/>
          <w:rFonts w:ascii="Times New Roman" w:hAnsi="Times New Roman"/>
          <w:szCs w:val="20"/>
        </w:rPr>
        <w:t xml:space="preserve"> </w:t>
      </w:r>
      <w:proofErr w:type="spellStart"/>
      <w:r w:rsidR="003A3CDF" w:rsidRPr="00000F8C">
        <w:rPr>
          <w:rStyle w:val="rvts0"/>
          <w:rFonts w:ascii="Times New Roman" w:hAnsi="Times New Roman"/>
          <w:szCs w:val="20"/>
        </w:rPr>
        <w:t>надходять</w:t>
      </w:r>
      <w:proofErr w:type="spellEnd"/>
      <w:r w:rsidR="003A3CDF" w:rsidRPr="00000F8C">
        <w:rPr>
          <w:rStyle w:val="rvts0"/>
          <w:rFonts w:ascii="Times New Roman" w:hAnsi="Times New Roman"/>
          <w:szCs w:val="20"/>
        </w:rPr>
        <w:t xml:space="preserve"> на </w:t>
      </w:r>
      <w:proofErr w:type="spellStart"/>
      <w:r w:rsidR="003A3CDF" w:rsidRPr="00000F8C">
        <w:rPr>
          <w:rStyle w:val="rvts0"/>
          <w:rFonts w:ascii="Times New Roman" w:hAnsi="Times New Roman"/>
          <w:szCs w:val="20"/>
        </w:rPr>
        <w:t>поточний</w:t>
      </w:r>
      <w:proofErr w:type="spellEnd"/>
      <w:r w:rsidR="003A3CDF" w:rsidRPr="00000F8C">
        <w:rPr>
          <w:rStyle w:val="rvts0"/>
          <w:rFonts w:ascii="Times New Roman" w:hAnsi="Times New Roman"/>
          <w:szCs w:val="20"/>
        </w:rPr>
        <w:t xml:space="preserve"> </w:t>
      </w:r>
      <w:proofErr w:type="spellStart"/>
      <w:r w:rsidR="003A3CDF" w:rsidRPr="00000F8C">
        <w:rPr>
          <w:rStyle w:val="rvts0"/>
          <w:rFonts w:ascii="Times New Roman" w:hAnsi="Times New Roman"/>
          <w:szCs w:val="20"/>
        </w:rPr>
        <w:t>рахунок</w:t>
      </w:r>
      <w:proofErr w:type="spellEnd"/>
      <w:r w:rsidR="003A3CDF" w:rsidRPr="00000F8C">
        <w:rPr>
          <w:rStyle w:val="rvts0"/>
          <w:rFonts w:ascii="Times New Roman" w:hAnsi="Times New Roman"/>
          <w:szCs w:val="20"/>
        </w:rPr>
        <w:t xml:space="preserve"> </w:t>
      </w:r>
      <w:proofErr w:type="spellStart"/>
      <w:r w:rsidR="003A3CDF" w:rsidRPr="00000F8C">
        <w:rPr>
          <w:rStyle w:val="rvts0"/>
          <w:rFonts w:ascii="Times New Roman" w:hAnsi="Times New Roman"/>
          <w:szCs w:val="20"/>
        </w:rPr>
        <w:t>Депозитарної</w:t>
      </w:r>
      <w:proofErr w:type="spellEnd"/>
      <w:r w:rsidR="003A3CDF" w:rsidRPr="00000F8C">
        <w:rPr>
          <w:rStyle w:val="rvts0"/>
          <w:rFonts w:ascii="Times New Roman" w:hAnsi="Times New Roman"/>
          <w:szCs w:val="20"/>
        </w:rPr>
        <w:t xml:space="preserve"> установи з метою </w:t>
      </w:r>
      <w:proofErr w:type="spellStart"/>
      <w:r w:rsidR="003A3CDF" w:rsidRPr="00000F8C">
        <w:rPr>
          <w:rStyle w:val="rvts0"/>
          <w:rFonts w:ascii="Times New Roman" w:hAnsi="Times New Roman"/>
          <w:szCs w:val="20"/>
        </w:rPr>
        <w:t>їх</w:t>
      </w:r>
      <w:proofErr w:type="spellEnd"/>
      <w:r w:rsidR="003A3CDF" w:rsidRPr="00000F8C">
        <w:rPr>
          <w:rStyle w:val="rvts0"/>
          <w:rFonts w:ascii="Times New Roman" w:hAnsi="Times New Roman"/>
          <w:szCs w:val="20"/>
        </w:rPr>
        <w:t xml:space="preserve"> </w:t>
      </w:r>
      <w:proofErr w:type="spellStart"/>
      <w:r w:rsidR="003A3CDF" w:rsidRPr="00000F8C">
        <w:rPr>
          <w:rStyle w:val="rvts0"/>
          <w:rFonts w:ascii="Times New Roman" w:hAnsi="Times New Roman"/>
          <w:szCs w:val="20"/>
        </w:rPr>
        <w:t>подальшого</w:t>
      </w:r>
      <w:proofErr w:type="spellEnd"/>
      <w:r w:rsidR="003A3CDF" w:rsidRPr="00000F8C">
        <w:rPr>
          <w:rStyle w:val="rvts0"/>
          <w:rFonts w:ascii="Times New Roman" w:hAnsi="Times New Roman"/>
          <w:szCs w:val="20"/>
        </w:rPr>
        <w:t xml:space="preserve"> </w:t>
      </w:r>
      <w:proofErr w:type="spellStart"/>
      <w:r w:rsidR="003A3CDF" w:rsidRPr="00000F8C">
        <w:rPr>
          <w:rStyle w:val="rvts0"/>
          <w:rFonts w:ascii="Times New Roman" w:hAnsi="Times New Roman"/>
          <w:szCs w:val="20"/>
        </w:rPr>
        <w:t>переказу</w:t>
      </w:r>
      <w:proofErr w:type="spellEnd"/>
      <w:r w:rsidR="003A3CDF" w:rsidRPr="00000F8C">
        <w:rPr>
          <w:rStyle w:val="rvts0"/>
          <w:rFonts w:ascii="Times New Roman" w:hAnsi="Times New Roman"/>
          <w:szCs w:val="20"/>
        </w:rPr>
        <w:t xml:space="preserve"> Депоненту,</w:t>
      </w:r>
      <w:r w:rsidR="003A3CDF" w:rsidRPr="00000F8C">
        <w:rPr>
          <w:rFonts w:ascii="Times New Roman" w:hAnsi="Times New Roman"/>
          <w:szCs w:val="20"/>
        </w:rPr>
        <w:t xml:space="preserve"> не є </w:t>
      </w:r>
      <w:proofErr w:type="spellStart"/>
      <w:r w:rsidR="003A3CDF" w:rsidRPr="00000F8C">
        <w:rPr>
          <w:rFonts w:ascii="Times New Roman" w:hAnsi="Times New Roman"/>
          <w:szCs w:val="20"/>
        </w:rPr>
        <w:t>власністю</w:t>
      </w:r>
      <w:proofErr w:type="spellEnd"/>
      <w:r w:rsidR="003A3CDF" w:rsidRPr="00000F8C">
        <w:rPr>
          <w:rFonts w:ascii="Times New Roman" w:hAnsi="Times New Roman"/>
          <w:szCs w:val="20"/>
        </w:rPr>
        <w:t xml:space="preserve"> </w:t>
      </w:r>
      <w:proofErr w:type="spellStart"/>
      <w:r w:rsidR="003A3CDF" w:rsidRPr="00000F8C">
        <w:rPr>
          <w:rFonts w:ascii="Times New Roman" w:hAnsi="Times New Roman"/>
          <w:szCs w:val="20"/>
        </w:rPr>
        <w:t>Депозитарної</w:t>
      </w:r>
      <w:proofErr w:type="spellEnd"/>
      <w:r w:rsidR="003A3CDF" w:rsidRPr="00000F8C">
        <w:rPr>
          <w:rFonts w:ascii="Times New Roman" w:hAnsi="Times New Roman"/>
          <w:szCs w:val="20"/>
        </w:rPr>
        <w:t xml:space="preserve"> установи. </w:t>
      </w:r>
    </w:p>
    <w:p w14:paraId="72A9AFAD" w14:textId="5F096BBB" w:rsidR="00000F8C" w:rsidRPr="00000F8C" w:rsidRDefault="00000F8C" w:rsidP="00000F8C">
      <w:pPr>
        <w:rPr>
          <w:rFonts w:ascii="Times New Roman" w:hAnsi="Times New Roman"/>
          <w:szCs w:val="20"/>
        </w:rPr>
      </w:pPr>
      <w:proofErr w:type="spellStart"/>
      <w:r w:rsidRPr="00000F8C">
        <w:rPr>
          <w:rFonts w:ascii="Times New Roman" w:hAnsi="Times New Roman"/>
          <w:szCs w:val="20"/>
        </w:rPr>
        <w:t>Депозитарна</w:t>
      </w:r>
      <w:proofErr w:type="spellEnd"/>
      <w:r w:rsidRPr="00000F8C">
        <w:rPr>
          <w:rFonts w:ascii="Times New Roman" w:hAnsi="Times New Roman"/>
          <w:szCs w:val="20"/>
        </w:rPr>
        <w:t xml:space="preserve"> </w:t>
      </w:r>
      <w:proofErr w:type="spellStart"/>
      <w:r w:rsidRPr="00000F8C">
        <w:rPr>
          <w:rFonts w:ascii="Times New Roman" w:hAnsi="Times New Roman"/>
          <w:szCs w:val="20"/>
        </w:rPr>
        <w:t>установа</w:t>
      </w:r>
      <w:proofErr w:type="spellEnd"/>
      <w:r w:rsidRPr="00000F8C">
        <w:rPr>
          <w:rFonts w:ascii="Times New Roman" w:hAnsi="Times New Roman"/>
          <w:szCs w:val="20"/>
        </w:rPr>
        <w:t xml:space="preserve"> повинна </w:t>
      </w:r>
      <w:proofErr w:type="spellStart"/>
      <w:r w:rsidRPr="00000F8C">
        <w:rPr>
          <w:rFonts w:ascii="Times New Roman" w:hAnsi="Times New Roman"/>
          <w:szCs w:val="20"/>
        </w:rPr>
        <w:t>переказати</w:t>
      </w:r>
      <w:proofErr w:type="spellEnd"/>
      <w:r w:rsidRPr="00000F8C">
        <w:rPr>
          <w:rFonts w:ascii="Times New Roman" w:hAnsi="Times New Roman"/>
          <w:szCs w:val="20"/>
        </w:rPr>
        <w:t xml:space="preserve"> </w:t>
      </w:r>
      <w:proofErr w:type="spellStart"/>
      <w:r w:rsidRPr="00000F8C">
        <w:rPr>
          <w:rFonts w:ascii="Times New Roman" w:hAnsi="Times New Roman"/>
          <w:szCs w:val="20"/>
        </w:rPr>
        <w:t>кошти</w:t>
      </w:r>
      <w:proofErr w:type="spellEnd"/>
      <w:r w:rsidRPr="00000F8C">
        <w:rPr>
          <w:rFonts w:ascii="Times New Roman" w:hAnsi="Times New Roman"/>
          <w:szCs w:val="20"/>
        </w:rPr>
        <w:t xml:space="preserve">, </w:t>
      </w:r>
      <w:proofErr w:type="spellStart"/>
      <w:r w:rsidRPr="00000F8C">
        <w:rPr>
          <w:rFonts w:ascii="Times New Roman" w:hAnsi="Times New Roman"/>
          <w:szCs w:val="20"/>
        </w:rPr>
        <w:t>що</w:t>
      </w:r>
      <w:proofErr w:type="spellEnd"/>
      <w:r w:rsidRPr="00000F8C">
        <w:rPr>
          <w:rFonts w:ascii="Times New Roman" w:hAnsi="Times New Roman"/>
          <w:szCs w:val="20"/>
        </w:rPr>
        <w:t xml:space="preserve"> </w:t>
      </w:r>
      <w:proofErr w:type="spellStart"/>
      <w:r w:rsidRPr="00000F8C">
        <w:rPr>
          <w:rFonts w:ascii="Times New Roman" w:hAnsi="Times New Roman"/>
          <w:szCs w:val="20"/>
        </w:rPr>
        <w:t>призначені</w:t>
      </w:r>
      <w:proofErr w:type="spellEnd"/>
      <w:r w:rsidRPr="00000F8C">
        <w:rPr>
          <w:rFonts w:ascii="Times New Roman" w:hAnsi="Times New Roman"/>
          <w:szCs w:val="20"/>
        </w:rPr>
        <w:t xml:space="preserve"> для </w:t>
      </w:r>
      <w:proofErr w:type="spellStart"/>
      <w:r w:rsidRPr="00000F8C">
        <w:rPr>
          <w:rFonts w:ascii="Times New Roman" w:hAnsi="Times New Roman"/>
          <w:szCs w:val="20"/>
        </w:rPr>
        <w:t>виплати</w:t>
      </w:r>
      <w:proofErr w:type="spellEnd"/>
      <w:r w:rsidRPr="00000F8C">
        <w:rPr>
          <w:rFonts w:ascii="Times New Roman" w:hAnsi="Times New Roman"/>
          <w:szCs w:val="20"/>
        </w:rPr>
        <w:t xml:space="preserve"> за </w:t>
      </w:r>
      <w:proofErr w:type="spellStart"/>
      <w:r w:rsidRPr="00000F8C">
        <w:rPr>
          <w:rFonts w:ascii="Times New Roman" w:hAnsi="Times New Roman"/>
          <w:szCs w:val="20"/>
        </w:rPr>
        <w:t>цінними</w:t>
      </w:r>
      <w:proofErr w:type="spellEnd"/>
      <w:r w:rsidRPr="00000F8C">
        <w:rPr>
          <w:rFonts w:ascii="Times New Roman" w:hAnsi="Times New Roman"/>
          <w:szCs w:val="20"/>
        </w:rPr>
        <w:t xml:space="preserve"> </w:t>
      </w:r>
      <w:proofErr w:type="spellStart"/>
      <w:r w:rsidRPr="00000F8C">
        <w:rPr>
          <w:rFonts w:ascii="Times New Roman" w:hAnsi="Times New Roman"/>
          <w:szCs w:val="20"/>
        </w:rPr>
        <w:t>паперами</w:t>
      </w:r>
      <w:proofErr w:type="spellEnd"/>
      <w:r w:rsidRPr="00000F8C">
        <w:rPr>
          <w:rFonts w:ascii="Times New Roman" w:hAnsi="Times New Roman"/>
          <w:szCs w:val="20"/>
        </w:rPr>
        <w:t xml:space="preserve">, права на </w:t>
      </w:r>
      <w:proofErr w:type="spellStart"/>
      <w:r w:rsidRPr="00000F8C">
        <w:rPr>
          <w:rFonts w:ascii="Times New Roman" w:hAnsi="Times New Roman"/>
          <w:szCs w:val="20"/>
        </w:rPr>
        <w:t>які</w:t>
      </w:r>
      <w:proofErr w:type="spellEnd"/>
      <w:r w:rsidRPr="00000F8C">
        <w:rPr>
          <w:rFonts w:ascii="Times New Roman" w:hAnsi="Times New Roman"/>
          <w:szCs w:val="20"/>
        </w:rPr>
        <w:t xml:space="preserve"> </w:t>
      </w:r>
      <w:proofErr w:type="spellStart"/>
      <w:r w:rsidRPr="00000F8C">
        <w:rPr>
          <w:rFonts w:ascii="Times New Roman" w:hAnsi="Times New Roman"/>
          <w:szCs w:val="20"/>
        </w:rPr>
        <w:t>обліковувались</w:t>
      </w:r>
      <w:proofErr w:type="spellEnd"/>
      <w:r w:rsidRPr="00000F8C">
        <w:rPr>
          <w:rFonts w:ascii="Times New Roman" w:hAnsi="Times New Roman"/>
          <w:szCs w:val="20"/>
        </w:rPr>
        <w:t xml:space="preserve"> у </w:t>
      </w:r>
      <w:proofErr w:type="spellStart"/>
      <w:r w:rsidRPr="00000F8C">
        <w:rPr>
          <w:rFonts w:ascii="Times New Roman" w:hAnsi="Times New Roman"/>
          <w:szCs w:val="20"/>
        </w:rPr>
        <w:t>неї</w:t>
      </w:r>
      <w:proofErr w:type="spellEnd"/>
      <w:r w:rsidRPr="00000F8C">
        <w:rPr>
          <w:rFonts w:ascii="Times New Roman" w:hAnsi="Times New Roman"/>
          <w:szCs w:val="20"/>
        </w:rPr>
        <w:t xml:space="preserve">, та не </w:t>
      </w:r>
      <w:proofErr w:type="spellStart"/>
      <w:r w:rsidRPr="00000F8C">
        <w:rPr>
          <w:rFonts w:ascii="Times New Roman" w:hAnsi="Times New Roman"/>
          <w:szCs w:val="20"/>
        </w:rPr>
        <w:t>були</w:t>
      </w:r>
      <w:proofErr w:type="spellEnd"/>
      <w:r w:rsidRPr="00000F8C">
        <w:rPr>
          <w:rFonts w:ascii="Times New Roman" w:hAnsi="Times New Roman"/>
          <w:szCs w:val="20"/>
        </w:rPr>
        <w:t xml:space="preserve"> нею </w:t>
      </w:r>
      <w:proofErr w:type="spellStart"/>
      <w:r w:rsidRPr="00000F8C">
        <w:rPr>
          <w:rFonts w:ascii="Times New Roman" w:hAnsi="Times New Roman"/>
          <w:szCs w:val="20"/>
        </w:rPr>
        <w:t>виплачені</w:t>
      </w:r>
      <w:proofErr w:type="spellEnd"/>
      <w:r w:rsidRPr="00000F8C">
        <w:rPr>
          <w:rFonts w:ascii="Times New Roman" w:hAnsi="Times New Roman"/>
          <w:szCs w:val="20"/>
        </w:rPr>
        <w:t xml:space="preserve"> особам, </w:t>
      </w:r>
      <w:proofErr w:type="spellStart"/>
      <w:r w:rsidRPr="00000F8C">
        <w:rPr>
          <w:rFonts w:ascii="Times New Roman" w:hAnsi="Times New Roman"/>
          <w:szCs w:val="20"/>
        </w:rPr>
        <w:t>які</w:t>
      </w:r>
      <w:proofErr w:type="spellEnd"/>
      <w:r w:rsidRPr="00000F8C">
        <w:rPr>
          <w:rFonts w:ascii="Times New Roman" w:hAnsi="Times New Roman"/>
          <w:szCs w:val="20"/>
        </w:rPr>
        <w:t xml:space="preserve"> </w:t>
      </w:r>
      <w:proofErr w:type="spellStart"/>
      <w:r w:rsidRPr="00000F8C">
        <w:rPr>
          <w:rFonts w:ascii="Times New Roman" w:hAnsi="Times New Roman"/>
          <w:szCs w:val="20"/>
        </w:rPr>
        <w:t>мають</w:t>
      </w:r>
      <w:proofErr w:type="spellEnd"/>
      <w:r w:rsidRPr="00000F8C">
        <w:rPr>
          <w:rFonts w:ascii="Times New Roman" w:hAnsi="Times New Roman"/>
          <w:szCs w:val="20"/>
        </w:rPr>
        <w:t xml:space="preserve"> право на </w:t>
      </w:r>
      <w:proofErr w:type="spellStart"/>
      <w:r w:rsidRPr="00000F8C">
        <w:rPr>
          <w:rFonts w:ascii="Times New Roman" w:hAnsi="Times New Roman"/>
          <w:szCs w:val="20"/>
        </w:rPr>
        <w:t>їх</w:t>
      </w:r>
      <w:proofErr w:type="spellEnd"/>
      <w:r w:rsidRPr="00000F8C">
        <w:rPr>
          <w:rFonts w:ascii="Times New Roman" w:hAnsi="Times New Roman"/>
          <w:szCs w:val="20"/>
        </w:rPr>
        <w:t xml:space="preserve"> </w:t>
      </w:r>
      <w:proofErr w:type="spellStart"/>
      <w:r w:rsidRPr="00000F8C">
        <w:rPr>
          <w:rFonts w:ascii="Times New Roman" w:hAnsi="Times New Roman"/>
          <w:szCs w:val="20"/>
        </w:rPr>
        <w:t>отримання</w:t>
      </w:r>
      <w:proofErr w:type="spellEnd"/>
      <w:r w:rsidRPr="00000F8C">
        <w:rPr>
          <w:rFonts w:ascii="Times New Roman" w:hAnsi="Times New Roman"/>
          <w:szCs w:val="20"/>
        </w:rPr>
        <w:t xml:space="preserve">, у </w:t>
      </w:r>
      <w:proofErr w:type="spellStart"/>
      <w:r w:rsidRPr="00000F8C">
        <w:rPr>
          <w:rFonts w:ascii="Times New Roman" w:hAnsi="Times New Roman"/>
          <w:szCs w:val="20"/>
        </w:rPr>
        <w:t>встановленому</w:t>
      </w:r>
      <w:proofErr w:type="spellEnd"/>
      <w:r w:rsidRPr="00000F8C">
        <w:rPr>
          <w:rFonts w:ascii="Times New Roman" w:hAnsi="Times New Roman"/>
          <w:szCs w:val="20"/>
        </w:rPr>
        <w:t xml:space="preserve"> </w:t>
      </w:r>
      <w:proofErr w:type="spellStart"/>
      <w:r w:rsidRPr="00000F8C">
        <w:rPr>
          <w:rFonts w:ascii="Times New Roman" w:hAnsi="Times New Roman"/>
          <w:szCs w:val="20"/>
        </w:rPr>
        <w:t>законодавством</w:t>
      </w:r>
      <w:proofErr w:type="spellEnd"/>
      <w:r w:rsidRPr="00000F8C">
        <w:rPr>
          <w:rFonts w:ascii="Times New Roman" w:hAnsi="Times New Roman"/>
          <w:szCs w:val="20"/>
        </w:rPr>
        <w:t xml:space="preserve"> порядку на </w:t>
      </w:r>
      <w:proofErr w:type="spellStart"/>
      <w:r w:rsidRPr="00000F8C">
        <w:rPr>
          <w:rFonts w:ascii="Times New Roman" w:hAnsi="Times New Roman"/>
          <w:szCs w:val="20"/>
        </w:rPr>
        <w:t>грошовий</w:t>
      </w:r>
      <w:proofErr w:type="spellEnd"/>
      <w:r w:rsidRPr="00000F8C">
        <w:rPr>
          <w:rFonts w:ascii="Times New Roman" w:hAnsi="Times New Roman"/>
          <w:szCs w:val="20"/>
        </w:rPr>
        <w:t xml:space="preserve"> </w:t>
      </w:r>
      <w:proofErr w:type="spellStart"/>
      <w:r w:rsidRPr="00000F8C">
        <w:rPr>
          <w:rFonts w:ascii="Times New Roman" w:hAnsi="Times New Roman"/>
          <w:szCs w:val="20"/>
        </w:rPr>
        <w:t>рахунок</w:t>
      </w:r>
      <w:proofErr w:type="spellEnd"/>
      <w:r w:rsidRPr="00000F8C">
        <w:rPr>
          <w:rFonts w:ascii="Times New Roman" w:hAnsi="Times New Roman"/>
          <w:szCs w:val="20"/>
        </w:rPr>
        <w:t xml:space="preserve"> Центрального </w:t>
      </w:r>
      <w:proofErr w:type="spellStart"/>
      <w:r w:rsidRPr="00000F8C">
        <w:rPr>
          <w:rFonts w:ascii="Times New Roman" w:hAnsi="Times New Roman"/>
          <w:szCs w:val="20"/>
        </w:rPr>
        <w:t>депозитарію</w:t>
      </w:r>
      <w:proofErr w:type="spellEnd"/>
      <w:r w:rsidRPr="00000F8C">
        <w:rPr>
          <w:rFonts w:ascii="Times New Roman" w:hAnsi="Times New Roman"/>
          <w:szCs w:val="20"/>
        </w:rPr>
        <w:t xml:space="preserve"> у </w:t>
      </w:r>
      <w:proofErr w:type="spellStart"/>
      <w:r w:rsidRPr="00000F8C">
        <w:rPr>
          <w:rFonts w:ascii="Times New Roman" w:hAnsi="Times New Roman"/>
          <w:szCs w:val="20"/>
        </w:rPr>
        <w:t>Розрахунковому</w:t>
      </w:r>
      <w:proofErr w:type="spellEnd"/>
      <w:r w:rsidRPr="00000F8C">
        <w:rPr>
          <w:rFonts w:ascii="Times New Roman" w:hAnsi="Times New Roman"/>
          <w:szCs w:val="20"/>
        </w:rPr>
        <w:t xml:space="preserve"> </w:t>
      </w:r>
      <w:proofErr w:type="spellStart"/>
      <w:r w:rsidRPr="00000F8C">
        <w:rPr>
          <w:rFonts w:ascii="Times New Roman" w:hAnsi="Times New Roman"/>
          <w:szCs w:val="20"/>
        </w:rPr>
        <w:t>центрі</w:t>
      </w:r>
      <w:proofErr w:type="spellEnd"/>
      <w:r w:rsidRPr="00000F8C">
        <w:rPr>
          <w:rFonts w:ascii="Times New Roman" w:hAnsi="Times New Roman"/>
          <w:szCs w:val="20"/>
        </w:rPr>
        <w:t xml:space="preserve"> з </w:t>
      </w:r>
      <w:proofErr w:type="spellStart"/>
      <w:r w:rsidRPr="00000F8C">
        <w:rPr>
          <w:rFonts w:ascii="Times New Roman" w:hAnsi="Times New Roman"/>
          <w:szCs w:val="20"/>
        </w:rPr>
        <w:t>одночасним</w:t>
      </w:r>
      <w:proofErr w:type="spellEnd"/>
      <w:r w:rsidRPr="00000F8C">
        <w:rPr>
          <w:rFonts w:ascii="Times New Roman" w:hAnsi="Times New Roman"/>
          <w:szCs w:val="20"/>
        </w:rPr>
        <w:t xml:space="preserve"> </w:t>
      </w:r>
      <w:proofErr w:type="spellStart"/>
      <w:r w:rsidRPr="00000F8C">
        <w:rPr>
          <w:rFonts w:ascii="Times New Roman" w:hAnsi="Times New Roman"/>
          <w:szCs w:val="20"/>
        </w:rPr>
        <w:t>поданням</w:t>
      </w:r>
      <w:proofErr w:type="spellEnd"/>
      <w:r w:rsidRPr="00000F8C">
        <w:rPr>
          <w:rFonts w:ascii="Times New Roman" w:hAnsi="Times New Roman"/>
          <w:szCs w:val="20"/>
        </w:rPr>
        <w:t xml:space="preserve"> Центральному </w:t>
      </w:r>
      <w:proofErr w:type="spellStart"/>
      <w:r w:rsidRPr="00000F8C">
        <w:rPr>
          <w:rFonts w:ascii="Times New Roman" w:hAnsi="Times New Roman"/>
          <w:szCs w:val="20"/>
        </w:rPr>
        <w:t>депозитарію</w:t>
      </w:r>
      <w:proofErr w:type="spellEnd"/>
      <w:r w:rsidRPr="00000F8C">
        <w:rPr>
          <w:rFonts w:ascii="Times New Roman" w:hAnsi="Times New Roman"/>
          <w:szCs w:val="20"/>
        </w:rPr>
        <w:t xml:space="preserve"> </w:t>
      </w:r>
      <w:proofErr w:type="spellStart"/>
      <w:r w:rsidRPr="00000F8C">
        <w:rPr>
          <w:rFonts w:ascii="Times New Roman" w:hAnsi="Times New Roman"/>
          <w:szCs w:val="20"/>
        </w:rPr>
        <w:t>відповідного</w:t>
      </w:r>
      <w:proofErr w:type="spellEnd"/>
      <w:r w:rsidRPr="00000F8C">
        <w:rPr>
          <w:rFonts w:ascii="Times New Roman" w:hAnsi="Times New Roman"/>
          <w:szCs w:val="20"/>
        </w:rPr>
        <w:t xml:space="preserve"> </w:t>
      </w:r>
      <w:proofErr w:type="spellStart"/>
      <w:r w:rsidRPr="00000F8C">
        <w:rPr>
          <w:rFonts w:ascii="Times New Roman" w:hAnsi="Times New Roman"/>
          <w:szCs w:val="20"/>
        </w:rPr>
        <w:t>повідомлення</w:t>
      </w:r>
      <w:proofErr w:type="spellEnd"/>
      <w:r w:rsidRPr="00000F8C">
        <w:rPr>
          <w:rFonts w:ascii="Times New Roman" w:hAnsi="Times New Roman"/>
          <w:szCs w:val="20"/>
        </w:rPr>
        <w:t xml:space="preserve"> </w:t>
      </w:r>
      <w:proofErr w:type="spellStart"/>
      <w:r w:rsidRPr="00000F8C">
        <w:rPr>
          <w:rFonts w:ascii="Times New Roman" w:hAnsi="Times New Roman"/>
          <w:szCs w:val="20"/>
        </w:rPr>
        <w:t>щодо</w:t>
      </w:r>
      <w:proofErr w:type="spellEnd"/>
      <w:r w:rsidRPr="00000F8C">
        <w:rPr>
          <w:rFonts w:ascii="Times New Roman" w:hAnsi="Times New Roman"/>
          <w:szCs w:val="20"/>
        </w:rPr>
        <w:t xml:space="preserve"> </w:t>
      </w:r>
      <w:proofErr w:type="spellStart"/>
      <w:r w:rsidRPr="00000F8C">
        <w:rPr>
          <w:rFonts w:ascii="Times New Roman" w:hAnsi="Times New Roman"/>
          <w:szCs w:val="20"/>
        </w:rPr>
        <w:t>загальної</w:t>
      </w:r>
      <w:proofErr w:type="spellEnd"/>
      <w:r w:rsidRPr="00000F8C">
        <w:rPr>
          <w:rFonts w:ascii="Times New Roman" w:hAnsi="Times New Roman"/>
          <w:szCs w:val="20"/>
        </w:rPr>
        <w:t xml:space="preserve"> </w:t>
      </w:r>
      <w:proofErr w:type="spellStart"/>
      <w:r w:rsidRPr="00000F8C">
        <w:rPr>
          <w:rFonts w:ascii="Times New Roman" w:hAnsi="Times New Roman"/>
          <w:szCs w:val="20"/>
        </w:rPr>
        <w:t>суми</w:t>
      </w:r>
      <w:proofErr w:type="spellEnd"/>
      <w:r w:rsidRPr="00000F8C">
        <w:rPr>
          <w:rFonts w:ascii="Times New Roman" w:hAnsi="Times New Roman"/>
          <w:szCs w:val="20"/>
        </w:rPr>
        <w:t xml:space="preserve"> </w:t>
      </w:r>
      <w:proofErr w:type="spellStart"/>
      <w:r w:rsidRPr="00000F8C">
        <w:rPr>
          <w:rFonts w:ascii="Times New Roman" w:hAnsi="Times New Roman"/>
          <w:szCs w:val="20"/>
        </w:rPr>
        <w:t>коштів</w:t>
      </w:r>
      <w:proofErr w:type="spellEnd"/>
      <w:r w:rsidRPr="00000F8C">
        <w:rPr>
          <w:rFonts w:ascii="Times New Roman" w:hAnsi="Times New Roman"/>
          <w:szCs w:val="20"/>
        </w:rPr>
        <w:t xml:space="preserve"> </w:t>
      </w:r>
      <w:proofErr w:type="spellStart"/>
      <w:r w:rsidRPr="00000F8C">
        <w:rPr>
          <w:rFonts w:ascii="Times New Roman" w:hAnsi="Times New Roman"/>
          <w:szCs w:val="20"/>
        </w:rPr>
        <w:t>окремо</w:t>
      </w:r>
      <w:proofErr w:type="spellEnd"/>
      <w:r w:rsidRPr="00000F8C">
        <w:rPr>
          <w:rFonts w:ascii="Times New Roman" w:hAnsi="Times New Roman"/>
          <w:szCs w:val="20"/>
        </w:rPr>
        <w:t xml:space="preserve"> за </w:t>
      </w:r>
      <w:proofErr w:type="spellStart"/>
      <w:r w:rsidRPr="00000F8C">
        <w:rPr>
          <w:rFonts w:ascii="Times New Roman" w:hAnsi="Times New Roman"/>
          <w:szCs w:val="20"/>
        </w:rPr>
        <w:t>відповідним</w:t>
      </w:r>
      <w:proofErr w:type="spellEnd"/>
      <w:r w:rsidRPr="00000F8C">
        <w:rPr>
          <w:rFonts w:ascii="Times New Roman" w:hAnsi="Times New Roman"/>
          <w:szCs w:val="20"/>
        </w:rPr>
        <w:t xml:space="preserve"> </w:t>
      </w:r>
      <w:proofErr w:type="spellStart"/>
      <w:r w:rsidRPr="00000F8C">
        <w:rPr>
          <w:rFonts w:ascii="Times New Roman" w:hAnsi="Times New Roman"/>
          <w:szCs w:val="20"/>
        </w:rPr>
        <w:t>випуском</w:t>
      </w:r>
      <w:proofErr w:type="spellEnd"/>
      <w:r w:rsidRPr="00000F8C">
        <w:rPr>
          <w:rFonts w:ascii="Times New Roman" w:hAnsi="Times New Roman"/>
          <w:szCs w:val="20"/>
        </w:rPr>
        <w:t xml:space="preserve"> </w:t>
      </w:r>
      <w:proofErr w:type="spellStart"/>
      <w:r w:rsidRPr="00000F8C">
        <w:rPr>
          <w:rFonts w:ascii="Times New Roman" w:hAnsi="Times New Roman"/>
          <w:szCs w:val="20"/>
        </w:rPr>
        <w:t>цінних</w:t>
      </w:r>
      <w:proofErr w:type="spellEnd"/>
      <w:r w:rsidRPr="00000F8C">
        <w:rPr>
          <w:rFonts w:ascii="Times New Roman" w:hAnsi="Times New Roman"/>
          <w:szCs w:val="20"/>
        </w:rPr>
        <w:t xml:space="preserve"> </w:t>
      </w:r>
      <w:proofErr w:type="spellStart"/>
      <w:r w:rsidRPr="00000F8C">
        <w:rPr>
          <w:rFonts w:ascii="Times New Roman" w:hAnsi="Times New Roman"/>
          <w:szCs w:val="20"/>
        </w:rPr>
        <w:t>паперів</w:t>
      </w:r>
      <w:proofErr w:type="spellEnd"/>
      <w:r w:rsidRPr="00000F8C">
        <w:rPr>
          <w:rFonts w:ascii="Times New Roman" w:hAnsi="Times New Roman"/>
          <w:szCs w:val="20"/>
        </w:rPr>
        <w:t xml:space="preserve"> та </w:t>
      </w:r>
      <w:proofErr w:type="spellStart"/>
      <w:r w:rsidRPr="00000F8C">
        <w:rPr>
          <w:rFonts w:ascii="Times New Roman" w:hAnsi="Times New Roman"/>
          <w:szCs w:val="20"/>
        </w:rPr>
        <w:t>відповідного</w:t>
      </w:r>
      <w:proofErr w:type="spellEnd"/>
      <w:r w:rsidRPr="00000F8C">
        <w:rPr>
          <w:rFonts w:ascii="Times New Roman" w:hAnsi="Times New Roman"/>
          <w:szCs w:val="20"/>
        </w:rPr>
        <w:t xml:space="preserve"> </w:t>
      </w:r>
      <w:proofErr w:type="spellStart"/>
      <w:r w:rsidRPr="00000F8C">
        <w:rPr>
          <w:rFonts w:ascii="Times New Roman" w:hAnsi="Times New Roman"/>
          <w:szCs w:val="20"/>
        </w:rPr>
        <w:t>розпорядження</w:t>
      </w:r>
      <w:proofErr w:type="spellEnd"/>
      <w:r w:rsidRPr="00000F8C">
        <w:rPr>
          <w:rFonts w:ascii="Times New Roman" w:hAnsi="Times New Roman"/>
          <w:szCs w:val="20"/>
        </w:rPr>
        <w:t xml:space="preserve"> у порядку, </w:t>
      </w:r>
      <w:proofErr w:type="spellStart"/>
      <w:r w:rsidRPr="00000F8C">
        <w:rPr>
          <w:rFonts w:ascii="Times New Roman" w:hAnsi="Times New Roman"/>
          <w:szCs w:val="20"/>
        </w:rPr>
        <w:t>визначеному</w:t>
      </w:r>
      <w:proofErr w:type="spellEnd"/>
      <w:r w:rsidRPr="00000F8C">
        <w:rPr>
          <w:rFonts w:ascii="Times New Roman" w:hAnsi="Times New Roman"/>
          <w:szCs w:val="20"/>
        </w:rPr>
        <w:t xml:space="preserve"> </w:t>
      </w:r>
      <w:proofErr w:type="spellStart"/>
      <w:r w:rsidRPr="00000F8C">
        <w:rPr>
          <w:rFonts w:ascii="Times New Roman" w:hAnsi="Times New Roman"/>
          <w:szCs w:val="20"/>
        </w:rPr>
        <w:t>внутрішніми</w:t>
      </w:r>
      <w:proofErr w:type="spellEnd"/>
      <w:r w:rsidRPr="00000F8C">
        <w:rPr>
          <w:rFonts w:ascii="Times New Roman" w:hAnsi="Times New Roman"/>
          <w:szCs w:val="20"/>
        </w:rPr>
        <w:t xml:space="preserve"> документами Центрального </w:t>
      </w:r>
      <w:proofErr w:type="spellStart"/>
      <w:r w:rsidRPr="00000F8C">
        <w:rPr>
          <w:rFonts w:ascii="Times New Roman" w:hAnsi="Times New Roman"/>
          <w:szCs w:val="20"/>
        </w:rPr>
        <w:t>депозитарію</w:t>
      </w:r>
      <w:proofErr w:type="spellEnd"/>
      <w:r w:rsidRPr="00000F8C">
        <w:rPr>
          <w:rFonts w:ascii="Times New Roman" w:hAnsi="Times New Roman"/>
          <w:szCs w:val="20"/>
        </w:rPr>
        <w:t>.</w:t>
      </w:r>
    </w:p>
    <w:p w14:paraId="646DD1C1" w14:textId="77777777" w:rsidR="003A3CDF" w:rsidRPr="00E16672" w:rsidRDefault="003A3CDF" w:rsidP="003A3CDF">
      <w:pPr>
        <w:pStyle w:val="33"/>
        <w:tabs>
          <w:tab w:val="left" w:pos="851"/>
        </w:tabs>
        <w:rPr>
          <w:rFonts w:ascii="Times New Roman" w:hAnsi="Times New Roman" w:cs="Times New Roman"/>
          <w:lang w:val="uk-UA"/>
        </w:rPr>
      </w:pPr>
      <w:r w:rsidRPr="00E16672">
        <w:rPr>
          <w:rFonts w:ascii="Times New Roman" w:hAnsi="Times New Roman" w:cs="Times New Roman"/>
        </w:rPr>
        <w:t xml:space="preserve">12.4. У </w:t>
      </w:r>
      <w:proofErr w:type="spellStart"/>
      <w:r w:rsidRPr="00E16672">
        <w:rPr>
          <w:rFonts w:ascii="Times New Roman" w:hAnsi="Times New Roman" w:cs="Times New Roman"/>
        </w:rPr>
        <w:t>разі</w:t>
      </w:r>
      <w:proofErr w:type="spellEnd"/>
      <w:r w:rsidRPr="00E16672">
        <w:rPr>
          <w:rFonts w:ascii="Times New Roman" w:hAnsi="Times New Roman" w:cs="Times New Roman"/>
        </w:rPr>
        <w:t xml:space="preserve"> </w:t>
      </w:r>
      <w:proofErr w:type="spellStart"/>
      <w:r w:rsidRPr="00E16672">
        <w:rPr>
          <w:rFonts w:ascii="Times New Roman" w:hAnsi="Times New Roman" w:cs="Times New Roman"/>
        </w:rPr>
        <w:t>наявності</w:t>
      </w:r>
      <w:proofErr w:type="spellEnd"/>
      <w:r w:rsidRPr="00E16672">
        <w:rPr>
          <w:rFonts w:ascii="Times New Roman" w:hAnsi="Times New Roman" w:cs="Times New Roman"/>
        </w:rPr>
        <w:t xml:space="preserve"> </w:t>
      </w:r>
      <w:proofErr w:type="spellStart"/>
      <w:r w:rsidRPr="00E16672">
        <w:rPr>
          <w:rFonts w:ascii="Times New Roman" w:hAnsi="Times New Roman" w:cs="Times New Roman"/>
        </w:rPr>
        <w:t>заборгованості</w:t>
      </w:r>
      <w:proofErr w:type="spellEnd"/>
      <w:r w:rsidRPr="00E16672">
        <w:rPr>
          <w:rFonts w:ascii="Times New Roman" w:hAnsi="Times New Roman" w:cs="Times New Roman"/>
        </w:rPr>
        <w:t xml:space="preserve"> з боку Депонента за </w:t>
      </w:r>
      <w:proofErr w:type="spellStart"/>
      <w:r w:rsidRPr="00E16672">
        <w:rPr>
          <w:rFonts w:ascii="Times New Roman" w:hAnsi="Times New Roman" w:cs="Times New Roman"/>
        </w:rPr>
        <w:t>послуги</w:t>
      </w:r>
      <w:proofErr w:type="spellEnd"/>
      <w:r w:rsidRPr="00E16672">
        <w:rPr>
          <w:rFonts w:ascii="Times New Roman" w:hAnsi="Times New Roman" w:cs="Times New Roman"/>
        </w:rPr>
        <w:t xml:space="preserve"> </w:t>
      </w:r>
      <w:proofErr w:type="spellStart"/>
      <w:r w:rsidRPr="00E16672">
        <w:rPr>
          <w:rFonts w:ascii="Times New Roman" w:hAnsi="Times New Roman" w:cs="Times New Roman"/>
        </w:rPr>
        <w:t>Депозитарної</w:t>
      </w:r>
      <w:proofErr w:type="spellEnd"/>
      <w:r w:rsidRPr="00E16672">
        <w:rPr>
          <w:rFonts w:ascii="Times New Roman" w:hAnsi="Times New Roman" w:cs="Times New Roman"/>
        </w:rPr>
        <w:t xml:space="preserve"> установи </w:t>
      </w:r>
      <w:proofErr w:type="spellStart"/>
      <w:r w:rsidRPr="00E16672">
        <w:rPr>
          <w:rFonts w:ascii="Times New Roman" w:hAnsi="Times New Roman" w:cs="Times New Roman"/>
        </w:rPr>
        <w:t>термін</w:t>
      </w:r>
      <w:proofErr w:type="spellEnd"/>
      <w:r w:rsidRPr="00E16672">
        <w:rPr>
          <w:rFonts w:ascii="Times New Roman" w:hAnsi="Times New Roman" w:cs="Times New Roman"/>
        </w:rPr>
        <w:t xml:space="preserve"> </w:t>
      </w:r>
      <w:proofErr w:type="spellStart"/>
      <w:r w:rsidRPr="00E16672">
        <w:rPr>
          <w:rFonts w:ascii="Times New Roman" w:hAnsi="Times New Roman" w:cs="Times New Roman"/>
        </w:rPr>
        <w:t>здійснення</w:t>
      </w:r>
      <w:proofErr w:type="spellEnd"/>
      <w:r w:rsidRPr="00E16672">
        <w:rPr>
          <w:rFonts w:ascii="Times New Roman" w:hAnsi="Times New Roman" w:cs="Times New Roman"/>
        </w:rPr>
        <w:t xml:space="preserve"> </w:t>
      </w:r>
      <w:proofErr w:type="spellStart"/>
      <w:r w:rsidRPr="00E16672">
        <w:rPr>
          <w:rFonts w:ascii="Times New Roman" w:hAnsi="Times New Roman" w:cs="Times New Roman"/>
        </w:rPr>
        <w:t>виплати</w:t>
      </w:r>
      <w:proofErr w:type="spellEnd"/>
      <w:r w:rsidRPr="00E16672">
        <w:rPr>
          <w:rFonts w:ascii="Times New Roman" w:hAnsi="Times New Roman" w:cs="Times New Roman"/>
        </w:rPr>
        <w:t xml:space="preserve"> доходу за </w:t>
      </w:r>
      <w:proofErr w:type="spellStart"/>
      <w:r w:rsidRPr="00E16672">
        <w:rPr>
          <w:rFonts w:ascii="Times New Roman" w:hAnsi="Times New Roman" w:cs="Times New Roman"/>
        </w:rPr>
        <w:t>цінними</w:t>
      </w:r>
      <w:proofErr w:type="spellEnd"/>
      <w:r w:rsidRPr="00E16672">
        <w:rPr>
          <w:rFonts w:ascii="Times New Roman" w:hAnsi="Times New Roman" w:cs="Times New Roman"/>
        </w:rPr>
        <w:t xml:space="preserve"> </w:t>
      </w:r>
      <w:proofErr w:type="spellStart"/>
      <w:r w:rsidRPr="00E16672">
        <w:rPr>
          <w:rFonts w:ascii="Times New Roman" w:hAnsi="Times New Roman" w:cs="Times New Roman"/>
        </w:rPr>
        <w:t>паперами</w:t>
      </w:r>
      <w:proofErr w:type="spellEnd"/>
      <w:r w:rsidRPr="00E16672">
        <w:rPr>
          <w:rFonts w:ascii="Times New Roman" w:hAnsi="Times New Roman" w:cs="Times New Roman"/>
        </w:rPr>
        <w:t xml:space="preserve">, </w:t>
      </w:r>
      <w:proofErr w:type="spellStart"/>
      <w:r w:rsidRPr="00E16672">
        <w:rPr>
          <w:rFonts w:ascii="Times New Roman" w:hAnsi="Times New Roman" w:cs="Times New Roman"/>
        </w:rPr>
        <w:t>грошових</w:t>
      </w:r>
      <w:proofErr w:type="spellEnd"/>
      <w:r w:rsidRPr="00E16672">
        <w:rPr>
          <w:rFonts w:ascii="Times New Roman" w:hAnsi="Times New Roman" w:cs="Times New Roman"/>
        </w:rPr>
        <w:t xml:space="preserve"> </w:t>
      </w:r>
      <w:proofErr w:type="spellStart"/>
      <w:r w:rsidRPr="00E16672">
        <w:rPr>
          <w:rFonts w:ascii="Times New Roman" w:hAnsi="Times New Roman" w:cs="Times New Roman"/>
        </w:rPr>
        <w:t>коштів</w:t>
      </w:r>
      <w:proofErr w:type="spellEnd"/>
      <w:r w:rsidRPr="00E16672">
        <w:rPr>
          <w:rFonts w:ascii="Times New Roman" w:hAnsi="Times New Roman" w:cs="Times New Roman"/>
        </w:rPr>
        <w:t xml:space="preserve">, </w:t>
      </w:r>
      <w:proofErr w:type="spellStart"/>
      <w:r w:rsidRPr="00E16672">
        <w:rPr>
          <w:rFonts w:ascii="Times New Roman" w:hAnsi="Times New Roman" w:cs="Times New Roman"/>
        </w:rPr>
        <w:t>отриманих</w:t>
      </w:r>
      <w:proofErr w:type="spellEnd"/>
      <w:r w:rsidRPr="00E16672">
        <w:rPr>
          <w:rFonts w:ascii="Times New Roman" w:hAnsi="Times New Roman" w:cs="Times New Roman"/>
        </w:rPr>
        <w:t xml:space="preserve"> за результатами </w:t>
      </w:r>
      <w:proofErr w:type="spellStart"/>
      <w:r w:rsidRPr="00E16672">
        <w:rPr>
          <w:rFonts w:ascii="Times New Roman" w:hAnsi="Times New Roman" w:cs="Times New Roman"/>
        </w:rPr>
        <w:t>погашення</w:t>
      </w:r>
      <w:proofErr w:type="spellEnd"/>
      <w:r w:rsidRPr="00E16672">
        <w:rPr>
          <w:rFonts w:ascii="Times New Roman" w:hAnsi="Times New Roman" w:cs="Times New Roman"/>
        </w:rPr>
        <w:t xml:space="preserve"> </w:t>
      </w:r>
      <w:proofErr w:type="spellStart"/>
      <w:r w:rsidRPr="00E16672">
        <w:rPr>
          <w:rFonts w:ascii="Times New Roman" w:hAnsi="Times New Roman" w:cs="Times New Roman"/>
        </w:rPr>
        <w:t>цінних</w:t>
      </w:r>
      <w:proofErr w:type="spellEnd"/>
      <w:r w:rsidRPr="00E16672">
        <w:rPr>
          <w:rFonts w:ascii="Times New Roman" w:hAnsi="Times New Roman" w:cs="Times New Roman"/>
        </w:rPr>
        <w:t xml:space="preserve"> </w:t>
      </w:r>
      <w:proofErr w:type="spellStart"/>
      <w:r w:rsidRPr="00E16672">
        <w:rPr>
          <w:rFonts w:ascii="Times New Roman" w:hAnsi="Times New Roman" w:cs="Times New Roman"/>
        </w:rPr>
        <w:t>паперів</w:t>
      </w:r>
      <w:proofErr w:type="spellEnd"/>
      <w:r w:rsidRPr="00E16672">
        <w:rPr>
          <w:rFonts w:ascii="Times New Roman" w:hAnsi="Times New Roman" w:cs="Times New Roman"/>
        </w:rPr>
        <w:t xml:space="preserve"> </w:t>
      </w:r>
      <w:proofErr w:type="spellStart"/>
      <w:r w:rsidRPr="00E16672">
        <w:rPr>
          <w:rFonts w:ascii="Times New Roman" w:hAnsi="Times New Roman" w:cs="Times New Roman"/>
        </w:rPr>
        <w:t>емітента</w:t>
      </w:r>
      <w:proofErr w:type="spellEnd"/>
      <w:r w:rsidRPr="00E16672">
        <w:rPr>
          <w:rFonts w:ascii="Times New Roman" w:hAnsi="Times New Roman" w:cs="Times New Roman"/>
        </w:rPr>
        <w:t xml:space="preserve">, </w:t>
      </w:r>
      <w:proofErr w:type="spellStart"/>
      <w:r w:rsidRPr="00E16672">
        <w:rPr>
          <w:rFonts w:ascii="Times New Roman" w:hAnsi="Times New Roman" w:cs="Times New Roman"/>
        </w:rPr>
        <w:t>отриманих</w:t>
      </w:r>
      <w:proofErr w:type="spellEnd"/>
      <w:r w:rsidRPr="00E16672">
        <w:rPr>
          <w:rFonts w:ascii="Times New Roman" w:hAnsi="Times New Roman" w:cs="Times New Roman"/>
        </w:rPr>
        <w:t xml:space="preserve"> Депонентом за результатами </w:t>
      </w:r>
      <w:proofErr w:type="spellStart"/>
      <w:r w:rsidRPr="00E16672">
        <w:rPr>
          <w:rFonts w:ascii="Times New Roman" w:hAnsi="Times New Roman" w:cs="Times New Roman"/>
        </w:rPr>
        <w:t>проведення</w:t>
      </w:r>
      <w:proofErr w:type="spellEnd"/>
      <w:r w:rsidRPr="00E16672">
        <w:rPr>
          <w:rFonts w:ascii="Times New Roman" w:hAnsi="Times New Roman" w:cs="Times New Roman"/>
        </w:rPr>
        <w:t xml:space="preserve"> </w:t>
      </w:r>
      <w:proofErr w:type="spellStart"/>
      <w:r w:rsidRPr="00E16672">
        <w:rPr>
          <w:rFonts w:ascii="Times New Roman" w:hAnsi="Times New Roman" w:cs="Times New Roman"/>
        </w:rPr>
        <w:t>корпоративних</w:t>
      </w:r>
      <w:proofErr w:type="spellEnd"/>
      <w:r w:rsidRPr="00E16672">
        <w:rPr>
          <w:rFonts w:ascii="Times New Roman" w:hAnsi="Times New Roman" w:cs="Times New Roman"/>
        </w:rPr>
        <w:t xml:space="preserve"> </w:t>
      </w:r>
      <w:proofErr w:type="spellStart"/>
      <w:r w:rsidRPr="00E16672">
        <w:rPr>
          <w:rFonts w:ascii="Times New Roman" w:hAnsi="Times New Roman" w:cs="Times New Roman"/>
        </w:rPr>
        <w:t>операцій</w:t>
      </w:r>
      <w:proofErr w:type="spellEnd"/>
      <w:r w:rsidRPr="00E16672">
        <w:rPr>
          <w:rFonts w:ascii="Times New Roman" w:hAnsi="Times New Roman" w:cs="Times New Roman"/>
        </w:rPr>
        <w:t xml:space="preserve"> </w:t>
      </w:r>
      <w:proofErr w:type="spellStart"/>
      <w:r w:rsidRPr="00E16672">
        <w:rPr>
          <w:rFonts w:ascii="Times New Roman" w:hAnsi="Times New Roman" w:cs="Times New Roman"/>
        </w:rPr>
        <w:t>емітента</w:t>
      </w:r>
      <w:proofErr w:type="spellEnd"/>
      <w:r w:rsidRPr="00E16672">
        <w:rPr>
          <w:rFonts w:ascii="Times New Roman" w:hAnsi="Times New Roman" w:cs="Times New Roman"/>
        </w:rPr>
        <w:t xml:space="preserve">, </w:t>
      </w:r>
      <w:proofErr w:type="spellStart"/>
      <w:r w:rsidRPr="00E16672">
        <w:rPr>
          <w:rFonts w:ascii="Times New Roman" w:hAnsi="Times New Roman" w:cs="Times New Roman"/>
        </w:rPr>
        <w:t>може</w:t>
      </w:r>
      <w:proofErr w:type="spellEnd"/>
      <w:r w:rsidRPr="00E16672">
        <w:rPr>
          <w:rFonts w:ascii="Times New Roman" w:hAnsi="Times New Roman" w:cs="Times New Roman"/>
        </w:rPr>
        <w:t xml:space="preserve"> бути </w:t>
      </w:r>
      <w:proofErr w:type="spellStart"/>
      <w:r w:rsidRPr="00E16672">
        <w:rPr>
          <w:rFonts w:ascii="Times New Roman" w:hAnsi="Times New Roman" w:cs="Times New Roman"/>
        </w:rPr>
        <w:t>збільшений</w:t>
      </w:r>
      <w:proofErr w:type="spellEnd"/>
      <w:r w:rsidRPr="00E16672">
        <w:rPr>
          <w:rFonts w:ascii="Times New Roman" w:hAnsi="Times New Roman" w:cs="Times New Roman"/>
        </w:rPr>
        <w:t xml:space="preserve"> </w:t>
      </w:r>
      <w:proofErr w:type="gramStart"/>
      <w:r w:rsidRPr="00E16672">
        <w:rPr>
          <w:rFonts w:ascii="Times New Roman" w:hAnsi="Times New Roman" w:cs="Times New Roman"/>
        </w:rPr>
        <w:t>до моменту</w:t>
      </w:r>
      <w:proofErr w:type="gramEnd"/>
      <w:r w:rsidRPr="00E16672">
        <w:rPr>
          <w:rFonts w:ascii="Times New Roman" w:hAnsi="Times New Roman" w:cs="Times New Roman"/>
        </w:rPr>
        <w:t xml:space="preserve"> </w:t>
      </w:r>
      <w:proofErr w:type="spellStart"/>
      <w:r w:rsidRPr="00E16672">
        <w:rPr>
          <w:rFonts w:ascii="Times New Roman" w:hAnsi="Times New Roman" w:cs="Times New Roman"/>
        </w:rPr>
        <w:t>сплати</w:t>
      </w:r>
      <w:proofErr w:type="spellEnd"/>
      <w:r w:rsidRPr="00E16672">
        <w:rPr>
          <w:rFonts w:ascii="Times New Roman" w:hAnsi="Times New Roman" w:cs="Times New Roman"/>
        </w:rPr>
        <w:t xml:space="preserve"> Депонентом </w:t>
      </w:r>
      <w:proofErr w:type="spellStart"/>
      <w:r w:rsidRPr="00E16672">
        <w:rPr>
          <w:rFonts w:ascii="Times New Roman" w:hAnsi="Times New Roman" w:cs="Times New Roman"/>
        </w:rPr>
        <w:t>заборгованості</w:t>
      </w:r>
      <w:proofErr w:type="spellEnd"/>
      <w:r w:rsidRPr="00E16672">
        <w:rPr>
          <w:rFonts w:ascii="Times New Roman" w:hAnsi="Times New Roman" w:cs="Times New Roman"/>
        </w:rPr>
        <w:t>.</w:t>
      </w:r>
    </w:p>
    <w:p w14:paraId="6414BE1D" w14:textId="77777777" w:rsidR="003A3CDF" w:rsidRPr="00E16672" w:rsidRDefault="003A3CDF" w:rsidP="003A3CDF">
      <w:pPr>
        <w:suppressAutoHyphens w:val="0"/>
        <w:rPr>
          <w:rFonts w:ascii="Times New Roman" w:hAnsi="Times New Roman"/>
          <w:szCs w:val="20"/>
          <w:lang w:val="uk-UA"/>
        </w:rPr>
      </w:pPr>
      <w:r w:rsidRPr="00E16672">
        <w:rPr>
          <w:rFonts w:ascii="Times New Roman" w:hAnsi="Times New Roman"/>
          <w:szCs w:val="20"/>
          <w:lang w:val="uk-UA"/>
        </w:rPr>
        <w:t xml:space="preserve">12.5. Виплата дивідендів (доходів) </w:t>
      </w:r>
      <w:r w:rsidRPr="00E16672">
        <w:rPr>
          <w:rFonts w:ascii="Times New Roman" w:hAnsi="Times New Roman"/>
          <w:szCs w:val="20"/>
          <w:lang w:val="uk-UA" w:eastAsia="ru-RU"/>
        </w:rPr>
        <w:t>та інших виплат, що здійснюються (здійснювалися) відповідно до закону,</w:t>
      </w:r>
      <w:r w:rsidRPr="00E16672">
        <w:rPr>
          <w:rFonts w:ascii="Times New Roman" w:hAnsi="Times New Roman"/>
          <w:lang w:val="uk-UA" w:eastAsia="ru-RU"/>
        </w:rPr>
        <w:t xml:space="preserve"> </w:t>
      </w:r>
      <w:r w:rsidRPr="00E16672">
        <w:rPr>
          <w:rFonts w:ascii="Times New Roman" w:hAnsi="Times New Roman"/>
          <w:szCs w:val="20"/>
          <w:lang w:val="uk-UA"/>
        </w:rPr>
        <w:t>за цінними паперами, які розміщені за межами України, здійснюється в порядку, встановленому Положенням про провадження депозитарної діяльності та внутрішніми документами Депозитарної установи.</w:t>
      </w:r>
    </w:p>
    <w:p w14:paraId="0ACE590C" w14:textId="77777777" w:rsidR="003A3CDF" w:rsidRPr="00E16672" w:rsidRDefault="003A3CDF" w:rsidP="003A3CDF">
      <w:pPr>
        <w:pStyle w:val="33"/>
        <w:tabs>
          <w:tab w:val="left" w:pos="851"/>
        </w:tabs>
        <w:jc w:val="center"/>
        <w:rPr>
          <w:rFonts w:ascii="Times New Roman" w:hAnsi="Times New Roman" w:cs="Times New Roman"/>
          <w:b/>
          <w:bCs/>
          <w:shd w:val="clear" w:color="auto" w:fill="FFFFFF"/>
          <w:lang w:val="uk-UA"/>
        </w:rPr>
      </w:pPr>
    </w:p>
    <w:p w14:paraId="293AD42A" w14:textId="77777777" w:rsidR="00FC3003" w:rsidRPr="00E16672" w:rsidRDefault="00FC3003" w:rsidP="003A3CDF">
      <w:pPr>
        <w:pStyle w:val="33"/>
        <w:tabs>
          <w:tab w:val="left" w:pos="851"/>
        </w:tabs>
        <w:jc w:val="center"/>
        <w:rPr>
          <w:rFonts w:ascii="Times New Roman" w:hAnsi="Times New Roman" w:cs="Times New Roman"/>
          <w:b/>
          <w:bCs/>
          <w:shd w:val="clear" w:color="auto" w:fill="FFFFFF"/>
          <w:lang w:val="uk-UA"/>
        </w:rPr>
      </w:pPr>
    </w:p>
    <w:p w14:paraId="50EA0894" w14:textId="77777777" w:rsidR="00FC3003" w:rsidRPr="00E16672" w:rsidRDefault="00FC3003" w:rsidP="003A3CDF">
      <w:pPr>
        <w:pStyle w:val="33"/>
        <w:tabs>
          <w:tab w:val="left" w:pos="851"/>
        </w:tabs>
        <w:jc w:val="center"/>
        <w:rPr>
          <w:rFonts w:ascii="Times New Roman" w:hAnsi="Times New Roman" w:cs="Times New Roman"/>
          <w:b/>
          <w:bCs/>
          <w:shd w:val="clear" w:color="auto" w:fill="FFFFFF"/>
          <w:lang w:val="uk-UA"/>
        </w:rPr>
      </w:pPr>
    </w:p>
    <w:p w14:paraId="3D57EDE2" w14:textId="77777777" w:rsidR="003A3CDF" w:rsidRPr="00E16672" w:rsidRDefault="003A3CDF" w:rsidP="003A3CDF">
      <w:pPr>
        <w:pStyle w:val="33"/>
        <w:tabs>
          <w:tab w:val="left" w:pos="851"/>
        </w:tabs>
        <w:jc w:val="center"/>
        <w:rPr>
          <w:rFonts w:ascii="Times New Roman" w:hAnsi="Times New Roman" w:cs="Times New Roman"/>
          <w:b/>
          <w:bCs/>
          <w:shd w:val="clear" w:color="auto" w:fill="FFFFFF"/>
          <w:lang w:val="uk-UA"/>
        </w:rPr>
      </w:pPr>
      <w:r w:rsidRPr="00E16672">
        <w:rPr>
          <w:rFonts w:ascii="Times New Roman" w:hAnsi="Times New Roman" w:cs="Times New Roman"/>
          <w:b/>
          <w:bCs/>
          <w:shd w:val="clear" w:color="auto" w:fill="FFFFFF"/>
          <w:lang w:val="uk-UA"/>
        </w:rPr>
        <w:t>13</w:t>
      </w:r>
      <w:r w:rsidRPr="00E16672">
        <w:rPr>
          <w:rFonts w:ascii="Times New Roman" w:hAnsi="Times New Roman" w:cs="Times New Roman"/>
          <w:lang w:val="uk-UA"/>
        </w:rPr>
        <w:t xml:space="preserve">. </w:t>
      </w:r>
      <w:r w:rsidRPr="00E16672">
        <w:rPr>
          <w:rFonts w:ascii="Times New Roman" w:hAnsi="Times New Roman" w:cs="Times New Roman"/>
          <w:b/>
          <w:bCs/>
          <w:shd w:val="clear" w:color="auto" w:fill="FFFFFF"/>
          <w:lang w:val="uk-UA"/>
        </w:rPr>
        <w:t>Заключні положення</w:t>
      </w:r>
    </w:p>
    <w:p w14:paraId="714DC1F4" w14:textId="77777777" w:rsidR="003A3CDF" w:rsidRPr="00E16672" w:rsidRDefault="003A3CDF" w:rsidP="003A3CDF">
      <w:pPr>
        <w:tabs>
          <w:tab w:val="left" w:pos="5954"/>
        </w:tabs>
        <w:rPr>
          <w:rFonts w:ascii="Times New Roman" w:hAnsi="Times New Roman"/>
          <w:szCs w:val="20"/>
          <w:shd w:val="clear" w:color="auto" w:fill="FFFFFF"/>
          <w:lang w:val="uk-UA"/>
        </w:rPr>
      </w:pPr>
      <w:r w:rsidRPr="00E16672">
        <w:rPr>
          <w:rFonts w:ascii="Times New Roman" w:hAnsi="Times New Roman"/>
          <w:szCs w:val="20"/>
          <w:lang w:val="uk-UA"/>
        </w:rPr>
        <w:t xml:space="preserve">13.1. </w:t>
      </w:r>
      <w:r w:rsidRPr="00E16672">
        <w:rPr>
          <w:rFonts w:ascii="Times New Roman" w:hAnsi="Times New Roman"/>
          <w:szCs w:val="20"/>
          <w:shd w:val="clear" w:color="auto" w:fill="FFFFFF"/>
          <w:lang w:val="uk-UA"/>
        </w:rPr>
        <w:t xml:space="preserve">Цей Договір було складено у двох примірниках, </w:t>
      </w:r>
      <w:proofErr w:type="spellStart"/>
      <w:r w:rsidRPr="00E16672">
        <w:rPr>
          <w:rFonts w:ascii="Times New Roman" w:hAnsi="Times New Roman"/>
          <w:szCs w:val="20"/>
          <w:shd w:val="clear" w:color="auto" w:fill="FFFFFF"/>
          <w:lang w:val="uk-UA"/>
        </w:rPr>
        <w:t>якi</w:t>
      </w:r>
      <w:proofErr w:type="spellEnd"/>
      <w:r w:rsidRPr="00E16672">
        <w:rPr>
          <w:rFonts w:ascii="Times New Roman" w:hAnsi="Times New Roman"/>
          <w:szCs w:val="20"/>
          <w:shd w:val="clear" w:color="auto" w:fill="FFFFFF"/>
          <w:lang w:val="uk-UA"/>
        </w:rPr>
        <w:t xml:space="preserve"> мають однакову юридичну силу, по одному - Депонентові та Депозитарній установі. </w:t>
      </w:r>
    </w:p>
    <w:p w14:paraId="4F169916" w14:textId="77777777" w:rsidR="003A3CDF" w:rsidRPr="00E16672" w:rsidRDefault="003A3CDF" w:rsidP="003A3CDF">
      <w:pPr>
        <w:tabs>
          <w:tab w:val="left" w:pos="5954"/>
        </w:tabs>
        <w:rPr>
          <w:rFonts w:ascii="Times New Roman" w:hAnsi="Times New Roman"/>
          <w:szCs w:val="20"/>
          <w:lang w:val="uk-UA"/>
        </w:rPr>
      </w:pPr>
      <w:r w:rsidRPr="00E16672">
        <w:rPr>
          <w:rFonts w:ascii="Times New Roman" w:hAnsi="Times New Roman"/>
          <w:szCs w:val="20"/>
          <w:lang w:val="uk-UA"/>
        </w:rPr>
        <w:t>13.2. Підписуючи цей Договір, Депонент засвідчує, що він ознайомлений з внутрішніми документами Депозитарної установи, що регламентують провадження депозитарної діяльності, та тарифами Депозитарної установи.</w:t>
      </w:r>
    </w:p>
    <w:p w14:paraId="30FBCD1D" w14:textId="77777777" w:rsidR="007974E8" w:rsidRPr="00E16672" w:rsidRDefault="007974E8" w:rsidP="007974E8">
      <w:pPr>
        <w:pStyle w:val="24"/>
        <w:jc w:val="center"/>
        <w:rPr>
          <w:rFonts w:ascii="Times New Roman" w:hAnsi="Times New Roman"/>
          <w:color w:val="000000"/>
          <w:sz w:val="20"/>
          <w:lang w:val="uk-UA"/>
        </w:rPr>
      </w:pPr>
      <w:r w:rsidRPr="00E16672">
        <w:rPr>
          <w:rFonts w:ascii="Times New Roman" w:hAnsi="Times New Roman"/>
          <w:color w:val="000000"/>
          <w:sz w:val="20"/>
          <w:lang w:val="uk-UA"/>
        </w:rPr>
        <w:t>1</w:t>
      </w:r>
      <w:r w:rsidR="003A3CDF" w:rsidRPr="00E16672">
        <w:rPr>
          <w:rFonts w:ascii="Times New Roman" w:hAnsi="Times New Roman"/>
          <w:color w:val="000000"/>
          <w:sz w:val="20"/>
          <w:lang w:val="uk-UA"/>
        </w:rPr>
        <w:t>4</w:t>
      </w:r>
      <w:r w:rsidRPr="00E16672">
        <w:rPr>
          <w:rFonts w:ascii="Times New Roman" w:hAnsi="Times New Roman"/>
          <w:color w:val="000000"/>
          <w:sz w:val="20"/>
          <w:lang w:val="uk-UA"/>
        </w:rPr>
        <w:t>. Реквізити Сторін</w:t>
      </w:r>
    </w:p>
    <w:tbl>
      <w:tblPr>
        <w:tblW w:w="11252" w:type="dxa"/>
        <w:tblLayout w:type="fixed"/>
        <w:tblLook w:val="0000" w:firstRow="0" w:lastRow="0" w:firstColumn="0" w:lastColumn="0" w:noHBand="0" w:noVBand="0"/>
      </w:tblPr>
      <w:tblGrid>
        <w:gridCol w:w="1701"/>
        <w:gridCol w:w="567"/>
        <w:gridCol w:w="1134"/>
        <w:gridCol w:w="1701"/>
        <w:gridCol w:w="567"/>
        <w:gridCol w:w="1133"/>
        <w:gridCol w:w="236"/>
        <w:gridCol w:w="2175"/>
        <w:gridCol w:w="851"/>
        <w:gridCol w:w="1187"/>
      </w:tblGrid>
      <w:tr w:rsidR="007974E8" w:rsidRPr="00E16672" w14:paraId="26DA1D5F" w14:textId="77777777" w:rsidTr="00154814">
        <w:trPr>
          <w:trHeight w:val="295"/>
        </w:trPr>
        <w:tc>
          <w:tcPr>
            <w:tcW w:w="3402" w:type="dxa"/>
            <w:gridSpan w:val="3"/>
            <w:shd w:val="clear" w:color="auto" w:fill="auto"/>
            <w:vAlign w:val="center"/>
          </w:tcPr>
          <w:p w14:paraId="46F8AF7F" w14:textId="77777777" w:rsidR="007974E8" w:rsidRPr="00E16672" w:rsidRDefault="007974E8" w:rsidP="00E72E24">
            <w:pPr>
              <w:snapToGrid w:val="0"/>
              <w:jc w:val="center"/>
              <w:rPr>
                <w:rFonts w:ascii="Times New Roman" w:hAnsi="Times New Roman"/>
                <w:b/>
                <w:bCs/>
                <w:color w:val="000000"/>
                <w:sz w:val="16"/>
                <w:szCs w:val="16"/>
                <w:lang w:val="uk-UA"/>
              </w:rPr>
            </w:pPr>
            <w:r w:rsidRPr="00E16672">
              <w:rPr>
                <w:rFonts w:ascii="Times New Roman" w:hAnsi="Times New Roman"/>
                <w:b/>
                <w:bCs/>
                <w:color w:val="000000"/>
                <w:sz w:val="16"/>
                <w:szCs w:val="16"/>
                <w:lang w:val="uk-UA"/>
              </w:rPr>
              <w:t>Депонент:</w:t>
            </w:r>
          </w:p>
        </w:tc>
        <w:tc>
          <w:tcPr>
            <w:tcW w:w="3401" w:type="dxa"/>
            <w:gridSpan w:val="3"/>
            <w:shd w:val="clear" w:color="auto" w:fill="auto"/>
            <w:vAlign w:val="center"/>
          </w:tcPr>
          <w:p w14:paraId="4D716C6F" w14:textId="77777777" w:rsidR="007974E8" w:rsidRPr="00E16672" w:rsidRDefault="007974E8" w:rsidP="00E72E24">
            <w:pPr>
              <w:snapToGrid w:val="0"/>
              <w:rPr>
                <w:rFonts w:ascii="Times New Roman" w:hAnsi="Times New Roman"/>
                <w:sz w:val="16"/>
                <w:szCs w:val="16"/>
              </w:rPr>
            </w:pPr>
          </w:p>
        </w:tc>
        <w:tc>
          <w:tcPr>
            <w:tcW w:w="236" w:type="dxa"/>
            <w:shd w:val="clear" w:color="auto" w:fill="auto"/>
            <w:vAlign w:val="center"/>
          </w:tcPr>
          <w:p w14:paraId="1359BB3D" w14:textId="77777777" w:rsidR="007974E8" w:rsidRPr="00E16672" w:rsidRDefault="007974E8" w:rsidP="00E72E24">
            <w:pPr>
              <w:snapToGrid w:val="0"/>
              <w:jc w:val="center"/>
              <w:rPr>
                <w:rFonts w:ascii="Times New Roman" w:hAnsi="Times New Roman"/>
                <w:b/>
                <w:bCs/>
                <w:color w:val="000000"/>
                <w:sz w:val="16"/>
                <w:szCs w:val="16"/>
              </w:rPr>
            </w:pPr>
          </w:p>
        </w:tc>
        <w:tc>
          <w:tcPr>
            <w:tcW w:w="4213" w:type="dxa"/>
            <w:gridSpan w:val="3"/>
            <w:shd w:val="clear" w:color="auto" w:fill="auto"/>
            <w:vAlign w:val="center"/>
          </w:tcPr>
          <w:p w14:paraId="7470CFA0" w14:textId="77777777" w:rsidR="007974E8" w:rsidRPr="00E16672" w:rsidRDefault="007974E8" w:rsidP="00E72E24">
            <w:pPr>
              <w:snapToGrid w:val="0"/>
              <w:jc w:val="center"/>
              <w:rPr>
                <w:rFonts w:ascii="Times New Roman" w:hAnsi="Times New Roman"/>
                <w:b/>
                <w:bCs/>
                <w:color w:val="000000"/>
                <w:sz w:val="16"/>
                <w:szCs w:val="16"/>
              </w:rPr>
            </w:pPr>
            <w:proofErr w:type="spellStart"/>
            <w:r w:rsidRPr="00E16672">
              <w:rPr>
                <w:rFonts w:ascii="Times New Roman" w:hAnsi="Times New Roman"/>
                <w:b/>
                <w:bCs/>
                <w:color w:val="000000"/>
                <w:sz w:val="16"/>
                <w:szCs w:val="16"/>
              </w:rPr>
              <w:t>Депозитарна</w:t>
            </w:r>
            <w:proofErr w:type="spellEnd"/>
            <w:r w:rsidRPr="00E16672">
              <w:rPr>
                <w:rFonts w:ascii="Times New Roman" w:hAnsi="Times New Roman"/>
                <w:b/>
                <w:bCs/>
                <w:color w:val="000000"/>
                <w:sz w:val="16"/>
                <w:szCs w:val="16"/>
              </w:rPr>
              <w:t xml:space="preserve"> </w:t>
            </w:r>
            <w:proofErr w:type="spellStart"/>
            <w:r w:rsidRPr="00E16672">
              <w:rPr>
                <w:rFonts w:ascii="Times New Roman" w:hAnsi="Times New Roman"/>
                <w:b/>
                <w:bCs/>
                <w:color w:val="000000"/>
                <w:sz w:val="16"/>
                <w:szCs w:val="16"/>
              </w:rPr>
              <w:t>установа</w:t>
            </w:r>
            <w:proofErr w:type="spellEnd"/>
            <w:r w:rsidRPr="00E16672">
              <w:rPr>
                <w:rFonts w:ascii="Times New Roman" w:hAnsi="Times New Roman"/>
                <w:b/>
                <w:bCs/>
                <w:color w:val="000000"/>
                <w:sz w:val="16"/>
                <w:szCs w:val="16"/>
              </w:rPr>
              <w:t>:</w:t>
            </w:r>
          </w:p>
        </w:tc>
      </w:tr>
      <w:tr w:rsidR="007974E8" w:rsidRPr="00E16672" w14:paraId="01E59F71" w14:textId="77777777" w:rsidTr="00154814">
        <w:trPr>
          <w:trHeight w:val="409"/>
        </w:trPr>
        <w:tc>
          <w:tcPr>
            <w:tcW w:w="3402" w:type="dxa"/>
            <w:gridSpan w:val="3"/>
            <w:shd w:val="clear" w:color="auto" w:fill="auto"/>
            <w:vAlign w:val="center"/>
          </w:tcPr>
          <w:p w14:paraId="18A57CE3" w14:textId="77777777" w:rsidR="007974E8" w:rsidRPr="00E16672" w:rsidRDefault="007974E8" w:rsidP="00E72E24">
            <w:pPr>
              <w:snapToGrid w:val="0"/>
              <w:ind w:firstLine="6"/>
              <w:jc w:val="center"/>
              <w:rPr>
                <w:rFonts w:ascii="Times New Roman" w:hAnsi="Times New Roman"/>
                <w:b/>
                <w:bCs/>
                <w:i/>
                <w:color w:val="000000"/>
                <w:sz w:val="16"/>
                <w:szCs w:val="16"/>
              </w:rPr>
            </w:pPr>
            <w:proofErr w:type="spellStart"/>
            <w:r w:rsidRPr="00E16672">
              <w:rPr>
                <w:rFonts w:ascii="Times New Roman" w:hAnsi="Times New Roman"/>
                <w:b/>
                <w:bCs/>
                <w:i/>
                <w:color w:val="000000"/>
                <w:sz w:val="16"/>
                <w:szCs w:val="16"/>
              </w:rPr>
              <w:t>Власник</w:t>
            </w:r>
            <w:proofErr w:type="spellEnd"/>
            <w:r w:rsidRPr="00E16672">
              <w:rPr>
                <w:rFonts w:ascii="Times New Roman" w:hAnsi="Times New Roman"/>
                <w:b/>
                <w:bCs/>
                <w:i/>
                <w:color w:val="000000"/>
                <w:sz w:val="16"/>
                <w:szCs w:val="16"/>
              </w:rPr>
              <w:t xml:space="preserve"> 1</w:t>
            </w:r>
          </w:p>
        </w:tc>
        <w:tc>
          <w:tcPr>
            <w:tcW w:w="3401" w:type="dxa"/>
            <w:gridSpan w:val="3"/>
            <w:shd w:val="clear" w:color="auto" w:fill="auto"/>
            <w:vAlign w:val="center"/>
          </w:tcPr>
          <w:p w14:paraId="1FB4CCDC" w14:textId="77777777" w:rsidR="007974E8" w:rsidRPr="00E16672" w:rsidRDefault="007974E8" w:rsidP="00E72E24">
            <w:pPr>
              <w:snapToGrid w:val="0"/>
              <w:ind w:firstLine="6"/>
              <w:jc w:val="center"/>
              <w:rPr>
                <w:rFonts w:ascii="Times New Roman" w:hAnsi="Times New Roman"/>
                <w:b/>
                <w:bCs/>
                <w:i/>
                <w:color w:val="000000"/>
                <w:sz w:val="16"/>
                <w:szCs w:val="16"/>
              </w:rPr>
            </w:pPr>
            <w:proofErr w:type="spellStart"/>
            <w:r w:rsidRPr="00E16672">
              <w:rPr>
                <w:rFonts w:ascii="Times New Roman" w:hAnsi="Times New Roman"/>
                <w:b/>
                <w:bCs/>
                <w:i/>
                <w:color w:val="000000"/>
                <w:sz w:val="16"/>
                <w:szCs w:val="16"/>
              </w:rPr>
              <w:t>Власник</w:t>
            </w:r>
            <w:proofErr w:type="spellEnd"/>
            <w:r w:rsidRPr="00E16672">
              <w:rPr>
                <w:rFonts w:ascii="Times New Roman" w:hAnsi="Times New Roman"/>
                <w:b/>
                <w:bCs/>
                <w:i/>
                <w:color w:val="000000"/>
                <w:sz w:val="16"/>
                <w:szCs w:val="16"/>
              </w:rPr>
              <w:t xml:space="preserve"> 2</w:t>
            </w:r>
          </w:p>
        </w:tc>
        <w:tc>
          <w:tcPr>
            <w:tcW w:w="236" w:type="dxa"/>
            <w:shd w:val="clear" w:color="auto" w:fill="auto"/>
            <w:vAlign w:val="center"/>
          </w:tcPr>
          <w:p w14:paraId="7623D6D4" w14:textId="77777777" w:rsidR="007974E8" w:rsidRPr="00E16672" w:rsidRDefault="007974E8" w:rsidP="00E72E24">
            <w:pPr>
              <w:snapToGrid w:val="0"/>
              <w:jc w:val="center"/>
              <w:rPr>
                <w:rFonts w:ascii="Times New Roman" w:hAnsi="Times New Roman"/>
                <w:b/>
                <w:bCs/>
                <w:color w:val="000000"/>
                <w:sz w:val="16"/>
                <w:szCs w:val="16"/>
              </w:rPr>
            </w:pPr>
          </w:p>
        </w:tc>
        <w:tc>
          <w:tcPr>
            <w:tcW w:w="4213" w:type="dxa"/>
            <w:gridSpan w:val="3"/>
            <w:shd w:val="clear" w:color="auto" w:fill="auto"/>
            <w:vAlign w:val="center"/>
          </w:tcPr>
          <w:p w14:paraId="57F58B16" w14:textId="77777777" w:rsidR="007974E8" w:rsidRPr="00E16672" w:rsidRDefault="007974E8" w:rsidP="00E72E24">
            <w:pPr>
              <w:pStyle w:val="4"/>
              <w:numPr>
                <w:ilvl w:val="0"/>
                <w:numId w:val="0"/>
              </w:numPr>
              <w:snapToGrid w:val="0"/>
              <w:spacing w:before="240" w:after="60"/>
              <w:ind w:left="1800" w:hanging="360"/>
              <w:rPr>
                <w:rFonts w:ascii="Times New Roman" w:hAnsi="Times New Roman"/>
                <w:bCs/>
                <w:i/>
                <w:color w:val="000000"/>
                <w:sz w:val="16"/>
                <w:szCs w:val="16"/>
              </w:rPr>
            </w:pPr>
          </w:p>
        </w:tc>
      </w:tr>
      <w:tr w:rsidR="007974E8" w:rsidRPr="00E16672" w14:paraId="4379053D" w14:textId="77777777" w:rsidTr="00154814">
        <w:trPr>
          <w:trHeight w:val="182"/>
        </w:trPr>
        <w:tc>
          <w:tcPr>
            <w:tcW w:w="3402" w:type="dxa"/>
            <w:gridSpan w:val="3"/>
            <w:shd w:val="clear" w:color="auto" w:fill="auto"/>
            <w:vAlign w:val="center"/>
          </w:tcPr>
          <w:p w14:paraId="61225A5C" w14:textId="77777777" w:rsidR="007974E8" w:rsidRPr="00E16672" w:rsidRDefault="007974E8" w:rsidP="00E72E24">
            <w:pPr>
              <w:snapToGrid w:val="0"/>
              <w:ind w:firstLine="6"/>
              <w:jc w:val="center"/>
              <w:rPr>
                <w:rFonts w:ascii="Times New Roman" w:hAnsi="Times New Roman"/>
                <w:b/>
                <w:bCs/>
                <w:color w:val="000000"/>
                <w:sz w:val="16"/>
                <w:szCs w:val="16"/>
                <w:lang w:val="uk-UA"/>
              </w:rPr>
            </w:pPr>
            <w:r w:rsidRPr="00E16672">
              <w:rPr>
                <w:rFonts w:ascii="Times New Roman" w:hAnsi="Times New Roman"/>
                <w:b/>
                <w:bCs/>
                <w:color w:val="000000"/>
                <w:sz w:val="16"/>
                <w:szCs w:val="16"/>
                <w:lang w:val="uk-UA"/>
              </w:rPr>
              <w:t>ПІБ (повне</w:t>
            </w:r>
            <w:r w:rsidRPr="00E16672">
              <w:rPr>
                <w:rFonts w:ascii="Times New Roman" w:hAnsi="Times New Roman"/>
                <w:b/>
                <w:bCs/>
                <w:i/>
                <w:color w:val="000000"/>
                <w:sz w:val="16"/>
                <w:szCs w:val="16"/>
                <w:lang w:val="uk-UA"/>
              </w:rPr>
              <w:t xml:space="preserve"> </w:t>
            </w:r>
            <w:r w:rsidRPr="00E16672">
              <w:rPr>
                <w:rFonts w:ascii="Times New Roman" w:hAnsi="Times New Roman"/>
                <w:b/>
                <w:bCs/>
                <w:color w:val="000000"/>
                <w:sz w:val="16"/>
                <w:szCs w:val="16"/>
                <w:lang w:val="uk-UA"/>
              </w:rPr>
              <w:t>найменування)</w:t>
            </w:r>
          </w:p>
        </w:tc>
        <w:tc>
          <w:tcPr>
            <w:tcW w:w="3401" w:type="dxa"/>
            <w:gridSpan w:val="3"/>
            <w:shd w:val="clear" w:color="auto" w:fill="auto"/>
            <w:vAlign w:val="center"/>
          </w:tcPr>
          <w:p w14:paraId="7DF170FC" w14:textId="77777777" w:rsidR="007974E8" w:rsidRPr="00E16672" w:rsidRDefault="007974E8" w:rsidP="00E72E24">
            <w:pPr>
              <w:snapToGrid w:val="0"/>
              <w:ind w:firstLine="6"/>
              <w:jc w:val="center"/>
              <w:rPr>
                <w:rFonts w:ascii="Times New Roman" w:hAnsi="Times New Roman"/>
                <w:b/>
                <w:bCs/>
                <w:color w:val="000000"/>
                <w:sz w:val="16"/>
                <w:szCs w:val="16"/>
                <w:lang w:val="uk-UA"/>
              </w:rPr>
            </w:pPr>
            <w:r w:rsidRPr="00E16672">
              <w:rPr>
                <w:rFonts w:ascii="Times New Roman" w:hAnsi="Times New Roman"/>
                <w:b/>
                <w:bCs/>
                <w:color w:val="000000"/>
                <w:sz w:val="16"/>
                <w:szCs w:val="16"/>
                <w:lang w:val="uk-UA"/>
              </w:rPr>
              <w:t>ПІБ (повне</w:t>
            </w:r>
            <w:r w:rsidRPr="00E16672">
              <w:rPr>
                <w:rFonts w:ascii="Times New Roman" w:hAnsi="Times New Roman"/>
                <w:b/>
                <w:bCs/>
                <w:i/>
                <w:color w:val="000000"/>
                <w:sz w:val="16"/>
                <w:szCs w:val="16"/>
                <w:lang w:val="uk-UA"/>
              </w:rPr>
              <w:t xml:space="preserve"> </w:t>
            </w:r>
            <w:r w:rsidRPr="00E16672">
              <w:rPr>
                <w:rFonts w:ascii="Times New Roman" w:hAnsi="Times New Roman"/>
                <w:b/>
                <w:bCs/>
                <w:color w:val="000000"/>
                <w:sz w:val="16"/>
                <w:szCs w:val="16"/>
                <w:lang w:val="uk-UA"/>
              </w:rPr>
              <w:t>найменування)</w:t>
            </w:r>
          </w:p>
        </w:tc>
        <w:tc>
          <w:tcPr>
            <w:tcW w:w="236" w:type="dxa"/>
            <w:shd w:val="clear" w:color="auto" w:fill="auto"/>
            <w:vAlign w:val="center"/>
          </w:tcPr>
          <w:p w14:paraId="3288642A" w14:textId="77777777" w:rsidR="007974E8" w:rsidRPr="00E16672" w:rsidRDefault="007974E8" w:rsidP="00E72E24">
            <w:pPr>
              <w:snapToGrid w:val="0"/>
              <w:jc w:val="center"/>
              <w:rPr>
                <w:rFonts w:ascii="Times New Roman" w:hAnsi="Times New Roman"/>
                <w:color w:val="000000"/>
                <w:sz w:val="16"/>
                <w:szCs w:val="16"/>
                <w:lang w:val="uk-UA"/>
              </w:rPr>
            </w:pPr>
          </w:p>
        </w:tc>
        <w:tc>
          <w:tcPr>
            <w:tcW w:w="4213" w:type="dxa"/>
            <w:gridSpan w:val="3"/>
            <w:shd w:val="clear" w:color="auto" w:fill="auto"/>
            <w:vAlign w:val="center"/>
          </w:tcPr>
          <w:p w14:paraId="35777966" w14:textId="77777777" w:rsidR="007974E8" w:rsidRPr="00E16672" w:rsidRDefault="007974E8" w:rsidP="00E72E24">
            <w:pPr>
              <w:snapToGrid w:val="0"/>
              <w:jc w:val="center"/>
              <w:rPr>
                <w:rFonts w:ascii="Times New Roman" w:hAnsi="Times New Roman"/>
                <w:b/>
                <w:bCs/>
                <w:color w:val="000000"/>
                <w:sz w:val="16"/>
                <w:szCs w:val="16"/>
                <w:lang w:val="uk-UA"/>
              </w:rPr>
            </w:pPr>
            <w:r w:rsidRPr="00E16672">
              <w:rPr>
                <w:rFonts w:ascii="Times New Roman" w:hAnsi="Times New Roman"/>
                <w:b/>
                <w:bCs/>
                <w:color w:val="000000"/>
                <w:sz w:val="16"/>
                <w:szCs w:val="16"/>
                <w:lang w:val="uk-UA"/>
              </w:rPr>
              <w:t>Повне</w:t>
            </w:r>
            <w:r w:rsidRPr="00E16672">
              <w:rPr>
                <w:rFonts w:ascii="Times New Roman" w:hAnsi="Times New Roman"/>
                <w:b/>
                <w:bCs/>
                <w:i/>
                <w:color w:val="000000"/>
                <w:sz w:val="16"/>
                <w:szCs w:val="16"/>
                <w:lang w:val="uk-UA"/>
              </w:rPr>
              <w:t xml:space="preserve"> </w:t>
            </w:r>
            <w:r w:rsidRPr="00E16672">
              <w:rPr>
                <w:rFonts w:ascii="Times New Roman" w:hAnsi="Times New Roman"/>
                <w:b/>
                <w:bCs/>
                <w:color w:val="000000"/>
                <w:sz w:val="16"/>
                <w:szCs w:val="16"/>
                <w:lang w:val="uk-UA"/>
              </w:rPr>
              <w:t>найменування</w:t>
            </w:r>
          </w:p>
        </w:tc>
      </w:tr>
      <w:tr w:rsidR="007974E8" w:rsidRPr="00E16672" w14:paraId="39322C75" w14:textId="77777777" w:rsidTr="00154814">
        <w:trPr>
          <w:trHeight w:val="353"/>
        </w:trPr>
        <w:tc>
          <w:tcPr>
            <w:tcW w:w="3402" w:type="dxa"/>
            <w:gridSpan w:val="3"/>
            <w:shd w:val="clear" w:color="auto" w:fill="auto"/>
          </w:tcPr>
          <w:p w14:paraId="14CABE11" w14:textId="77777777" w:rsidR="007974E8" w:rsidRPr="00E16672" w:rsidRDefault="007974E8" w:rsidP="00E72E24">
            <w:pPr>
              <w:pStyle w:val="4"/>
              <w:keepNext w:val="0"/>
              <w:widowControl w:val="0"/>
              <w:numPr>
                <w:ilvl w:val="0"/>
                <w:numId w:val="0"/>
              </w:numPr>
              <w:snapToGrid w:val="0"/>
              <w:spacing w:before="240" w:after="60"/>
              <w:jc w:val="left"/>
              <w:rPr>
                <w:rFonts w:ascii="Times New Roman" w:hAnsi="Times New Roman"/>
                <w:b w:val="0"/>
                <w:bCs/>
                <w:i/>
                <w:iCs/>
                <w:color w:val="000000"/>
                <w:sz w:val="16"/>
                <w:szCs w:val="16"/>
                <w:u w:val="single"/>
              </w:rPr>
            </w:pPr>
          </w:p>
        </w:tc>
        <w:tc>
          <w:tcPr>
            <w:tcW w:w="3401" w:type="dxa"/>
            <w:gridSpan w:val="3"/>
            <w:shd w:val="clear" w:color="auto" w:fill="auto"/>
          </w:tcPr>
          <w:p w14:paraId="40EA61E6" w14:textId="77777777" w:rsidR="007974E8" w:rsidRPr="00E16672" w:rsidRDefault="007974E8" w:rsidP="00E72E24">
            <w:pPr>
              <w:pStyle w:val="4"/>
              <w:keepNext w:val="0"/>
              <w:widowControl w:val="0"/>
              <w:numPr>
                <w:ilvl w:val="0"/>
                <w:numId w:val="0"/>
              </w:numPr>
              <w:snapToGrid w:val="0"/>
              <w:spacing w:before="240" w:after="60"/>
              <w:jc w:val="left"/>
              <w:rPr>
                <w:rFonts w:ascii="Times New Roman" w:hAnsi="Times New Roman"/>
                <w:b w:val="0"/>
                <w:bCs/>
                <w:i/>
                <w:iCs/>
                <w:color w:val="000000"/>
                <w:sz w:val="16"/>
                <w:szCs w:val="16"/>
                <w:u w:val="single"/>
              </w:rPr>
            </w:pPr>
          </w:p>
        </w:tc>
        <w:tc>
          <w:tcPr>
            <w:tcW w:w="236" w:type="dxa"/>
            <w:shd w:val="clear" w:color="auto" w:fill="auto"/>
          </w:tcPr>
          <w:p w14:paraId="7ABA9895" w14:textId="77777777" w:rsidR="007974E8" w:rsidRPr="00E16672" w:rsidRDefault="007974E8" w:rsidP="00E72E24">
            <w:pPr>
              <w:snapToGrid w:val="0"/>
              <w:rPr>
                <w:rFonts w:ascii="Times New Roman" w:hAnsi="Times New Roman"/>
                <w:b/>
                <w:bCs/>
                <w:color w:val="000000"/>
                <w:sz w:val="16"/>
                <w:szCs w:val="16"/>
              </w:rPr>
            </w:pPr>
          </w:p>
        </w:tc>
        <w:tc>
          <w:tcPr>
            <w:tcW w:w="4213" w:type="dxa"/>
            <w:gridSpan w:val="3"/>
            <w:shd w:val="clear" w:color="auto" w:fill="auto"/>
          </w:tcPr>
          <w:p w14:paraId="637C78C6" w14:textId="77777777" w:rsidR="007974E8" w:rsidRPr="00E16672" w:rsidRDefault="007974E8" w:rsidP="00022F5F">
            <w:pPr>
              <w:pStyle w:val="3"/>
              <w:numPr>
                <w:ilvl w:val="0"/>
                <w:numId w:val="0"/>
              </w:numPr>
              <w:tabs>
                <w:tab w:val="left" w:leader="dot" w:pos="9639"/>
              </w:tabs>
              <w:snapToGrid w:val="0"/>
              <w:spacing w:before="0"/>
              <w:ind w:right="5"/>
              <w:jc w:val="left"/>
              <w:rPr>
                <w:rFonts w:ascii="Times New Roman" w:hAnsi="Times New Roman" w:cs="Times New Roman"/>
                <w:b w:val="0"/>
                <w:color w:val="000000"/>
                <w:sz w:val="16"/>
                <w:szCs w:val="16"/>
              </w:rPr>
            </w:pPr>
            <w:r w:rsidRPr="00E16672">
              <w:rPr>
                <w:rFonts w:ascii="Times New Roman" w:hAnsi="Times New Roman" w:cs="Times New Roman"/>
                <w:b w:val="0"/>
                <w:color w:val="000000"/>
                <w:sz w:val="16"/>
                <w:szCs w:val="16"/>
              </w:rPr>
              <w:t xml:space="preserve">ТОВАРИСТВО З ОБМЕЖЕНОЮ ВІДПОВІДАЛЬНІСТЮ </w:t>
            </w:r>
            <w:r w:rsidR="00022F5F">
              <w:rPr>
                <w:rFonts w:ascii="Times New Roman" w:hAnsi="Times New Roman" w:cs="Times New Roman"/>
                <w:b w:val="0"/>
                <w:color w:val="000000"/>
                <w:sz w:val="16"/>
                <w:szCs w:val="16"/>
              </w:rPr>
              <w:t>"</w:t>
            </w:r>
            <w:r w:rsidR="00E16672" w:rsidRPr="00E16672">
              <w:rPr>
                <w:rFonts w:ascii="Times New Roman" w:hAnsi="Times New Roman" w:cs="Times New Roman"/>
                <w:b w:val="0"/>
                <w:color w:val="000000"/>
                <w:sz w:val="16"/>
                <w:szCs w:val="16"/>
              </w:rPr>
              <w:t>КОМЕКС ЦІННІ ПАПЕРИ</w:t>
            </w:r>
            <w:r w:rsidR="00022F5F">
              <w:rPr>
                <w:rFonts w:ascii="Times New Roman" w:hAnsi="Times New Roman" w:cs="Times New Roman"/>
                <w:b w:val="0"/>
                <w:color w:val="000000"/>
                <w:sz w:val="16"/>
                <w:szCs w:val="16"/>
              </w:rPr>
              <w:t>"</w:t>
            </w:r>
          </w:p>
        </w:tc>
      </w:tr>
      <w:tr w:rsidR="007974E8" w:rsidRPr="00E16672" w14:paraId="4DCF6A0C" w14:textId="77777777" w:rsidTr="00154814">
        <w:tc>
          <w:tcPr>
            <w:tcW w:w="3402" w:type="dxa"/>
            <w:gridSpan w:val="3"/>
            <w:shd w:val="clear" w:color="auto" w:fill="auto"/>
            <w:vAlign w:val="center"/>
          </w:tcPr>
          <w:p w14:paraId="54E046E4" w14:textId="77777777" w:rsidR="007974E8" w:rsidRPr="00E16672" w:rsidRDefault="007974E8" w:rsidP="00E72E24">
            <w:pPr>
              <w:snapToGrid w:val="0"/>
              <w:ind w:firstLine="6"/>
              <w:jc w:val="center"/>
              <w:rPr>
                <w:rFonts w:ascii="Times New Roman" w:hAnsi="Times New Roman"/>
                <w:b/>
                <w:bCs/>
                <w:i/>
                <w:color w:val="000000"/>
                <w:sz w:val="16"/>
                <w:szCs w:val="16"/>
              </w:rPr>
            </w:pPr>
            <w:proofErr w:type="spellStart"/>
            <w:proofErr w:type="gramStart"/>
            <w:r w:rsidRPr="00E16672">
              <w:rPr>
                <w:rFonts w:ascii="Times New Roman" w:hAnsi="Times New Roman"/>
                <w:b/>
                <w:bCs/>
                <w:color w:val="000000"/>
                <w:sz w:val="16"/>
                <w:szCs w:val="16"/>
              </w:rPr>
              <w:t>Реєстраційний</w:t>
            </w:r>
            <w:proofErr w:type="spellEnd"/>
            <w:r w:rsidRPr="00E16672">
              <w:rPr>
                <w:rFonts w:ascii="Times New Roman" w:hAnsi="Times New Roman"/>
                <w:b/>
                <w:bCs/>
                <w:color w:val="000000"/>
                <w:sz w:val="16"/>
                <w:szCs w:val="16"/>
              </w:rPr>
              <w:t xml:space="preserve">  номер</w:t>
            </w:r>
            <w:proofErr w:type="gramEnd"/>
            <w:r w:rsidRPr="00E16672">
              <w:rPr>
                <w:rFonts w:ascii="Times New Roman" w:hAnsi="Times New Roman"/>
                <w:b/>
                <w:bCs/>
                <w:color w:val="000000"/>
                <w:sz w:val="16"/>
                <w:szCs w:val="16"/>
              </w:rPr>
              <w:t xml:space="preserve"> </w:t>
            </w:r>
            <w:proofErr w:type="spellStart"/>
            <w:r w:rsidRPr="00E16672">
              <w:rPr>
                <w:rFonts w:ascii="Times New Roman" w:hAnsi="Times New Roman"/>
                <w:b/>
                <w:bCs/>
                <w:color w:val="000000"/>
                <w:sz w:val="16"/>
                <w:szCs w:val="16"/>
              </w:rPr>
              <w:t>облікової</w:t>
            </w:r>
            <w:proofErr w:type="spellEnd"/>
            <w:r w:rsidRPr="00E16672">
              <w:rPr>
                <w:rFonts w:ascii="Times New Roman" w:hAnsi="Times New Roman"/>
                <w:b/>
                <w:bCs/>
                <w:color w:val="000000"/>
                <w:sz w:val="16"/>
                <w:szCs w:val="16"/>
              </w:rPr>
              <w:t xml:space="preserve"> </w:t>
            </w:r>
            <w:proofErr w:type="spellStart"/>
            <w:r w:rsidRPr="00E16672">
              <w:rPr>
                <w:rFonts w:ascii="Times New Roman" w:hAnsi="Times New Roman"/>
                <w:b/>
                <w:bCs/>
                <w:color w:val="000000"/>
                <w:sz w:val="16"/>
                <w:szCs w:val="16"/>
              </w:rPr>
              <w:t>картки</w:t>
            </w:r>
            <w:proofErr w:type="spellEnd"/>
            <w:r w:rsidRPr="00E16672">
              <w:rPr>
                <w:rFonts w:ascii="Times New Roman" w:hAnsi="Times New Roman"/>
                <w:b/>
                <w:bCs/>
                <w:color w:val="000000"/>
                <w:sz w:val="16"/>
                <w:szCs w:val="16"/>
              </w:rPr>
              <w:t xml:space="preserve"> </w:t>
            </w:r>
            <w:proofErr w:type="spellStart"/>
            <w:r w:rsidRPr="00E16672">
              <w:rPr>
                <w:rFonts w:ascii="Times New Roman" w:hAnsi="Times New Roman"/>
                <w:b/>
                <w:bCs/>
                <w:color w:val="000000"/>
                <w:sz w:val="16"/>
                <w:szCs w:val="16"/>
              </w:rPr>
              <w:t>платника</w:t>
            </w:r>
            <w:proofErr w:type="spellEnd"/>
            <w:r w:rsidRPr="00E16672">
              <w:rPr>
                <w:rFonts w:ascii="Times New Roman" w:hAnsi="Times New Roman"/>
                <w:b/>
                <w:bCs/>
                <w:color w:val="000000"/>
                <w:sz w:val="16"/>
                <w:szCs w:val="16"/>
              </w:rPr>
              <w:t xml:space="preserve"> </w:t>
            </w:r>
            <w:proofErr w:type="spellStart"/>
            <w:r w:rsidRPr="00E16672">
              <w:rPr>
                <w:rFonts w:ascii="Times New Roman" w:hAnsi="Times New Roman"/>
                <w:b/>
                <w:bCs/>
                <w:color w:val="000000"/>
                <w:sz w:val="16"/>
                <w:szCs w:val="16"/>
              </w:rPr>
              <w:t>податків</w:t>
            </w:r>
            <w:proofErr w:type="spellEnd"/>
            <w:r w:rsidRPr="00E16672">
              <w:rPr>
                <w:rFonts w:ascii="Times New Roman" w:hAnsi="Times New Roman"/>
                <w:b/>
                <w:bCs/>
                <w:color w:val="000000"/>
                <w:sz w:val="16"/>
                <w:szCs w:val="16"/>
              </w:rPr>
              <w:t xml:space="preserve"> за </w:t>
            </w:r>
            <w:proofErr w:type="spellStart"/>
            <w:r w:rsidRPr="00E16672">
              <w:rPr>
                <w:rFonts w:ascii="Times New Roman" w:hAnsi="Times New Roman"/>
                <w:b/>
                <w:bCs/>
                <w:color w:val="000000"/>
                <w:sz w:val="16"/>
                <w:szCs w:val="16"/>
              </w:rPr>
              <w:t>даними</w:t>
            </w:r>
            <w:proofErr w:type="spellEnd"/>
            <w:r w:rsidRPr="00E16672">
              <w:rPr>
                <w:rFonts w:ascii="Times New Roman" w:hAnsi="Times New Roman"/>
                <w:b/>
                <w:bCs/>
                <w:color w:val="000000"/>
                <w:sz w:val="16"/>
                <w:szCs w:val="16"/>
              </w:rPr>
              <w:t xml:space="preserve"> Державного </w:t>
            </w:r>
            <w:proofErr w:type="spellStart"/>
            <w:r w:rsidRPr="00E16672">
              <w:rPr>
                <w:rFonts w:ascii="Times New Roman" w:hAnsi="Times New Roman"/>
                <w:b/>
                <w:bCs/>
                <w:color w:val="000000"/>
                <w:sz w:val="16"/>
                <w:szCs w:val="16"/>
              </w:rPr>
              <w:t>реєстру</w:t>
            </w:r>
            <w:proofErr w:type="spellEnd"/>
            <w:r w:rsidRPr="00E16672">
              <w:rPr>
                <w:rFonts w:ascii="Times New Roman" w:hAnsi="Times New Roman"/>
                <w:b/>
                <w:bCs/>
                <w:color w:val="000000"/>
                <w:sz w:val="16"/>
                <w:szCs w:val="16"/>
              </w:rPr>
              <w:t xml:space="preserve"> </w:t>
            </w:r>
            <w:proofErr w:type="spellStart"/>
            <w:r w:rsidRPr="00E16672">
              <w:rPr>
                <w:rFonts w:ascii="Times New Roman" w:hAnsi="Times New Roman"/>
                <w:b/>
                <w:bCs/>
                <w:color w:val="000000"/>
                <w:sz w:val="16"/>
                <w:szCs w:val="16"/>
              </w:rPr>
              <w:t>фізичних</w:t>
            </w:r>
            <w:proofErr w:type="spellEnd"/>
            <w:r w:rsidRPr="00E16672">
              <w:rPr>
                <w:rFonts w:ascii="Times New Roman" w:hAnsi="Times New Roman"/>
                <w:b/>
                <w:bCs/>
                <w:color w:val="000000"/>
                <w:sz w:val="16"/>
                <w:szCs w:val="16"/>
              </w:rPr>
              <w:t xml:space="preserve">  </w:t>
            </w:r>
            <w:proofErr w:type="spellStart"/>
            <w:r w:rsidRPr="00E16672">
              <w:rPr>
                <w:rFonts w:ascii="Times New Roman" w:hAnsi="Times New Roman"/>
                <w:b/>
                <w:bCs/>
                <w:color w:val="000000"/>
                <w:sz w:val="16"/>
                <w:szCs w:val="16"/>
              </w:rPr>
              <w:t>осіб</w:t>
            </w:r>
            <w:proofErr w:type="spellEnd"/>
            <w:r w:rsidRPr="00E16672">
              <w:rPr>
                <w:rFonts w:ascii="Times New Roman" w:hAnsi="Times New Roman"/>
                <w:b/>
                <w:bCs/>
                <w:color w:val="000000"/>
                <w:sz w:val="16"/>
                <w:szCs w:val="16"/>
              </w:rPr>
              <w:t xml:space="preserve">  -  </w:t>
            </w:r>
            <w:proofErr w:type="spellStart"/>
            <w:r w:rsidRPr="00E16672">
              <w:rPr>
                <w:rFonts w:ascii="Times New Roman" w:hAnsi="Times New Roman"/>
                <w:b/>
                <w:bCs/>
                <w:color w:val="000000"/>
                <w:sz w:val="16"/>
                <w:szCs w:val="16"/>
              </w:rPr>
              <w:t>платників</w:t>
            </w:r>
            <w:proofErr w:type="spellEnd"/>
            <w:r w:rsidRPr="00E16672">
              <w:rPr>
                <w:rFonts w:ascii="Times New Roman" w:hAnsi="Times New Roman"/>
                <w:b/>
                <w:bCs/>
                <w:color w:val="000000"/>
                <w:sz w:val="16"/>
                <w:szCs w:val="16"/>
              </w:rPr>
              <w:t xml:space="preserve"> </w:t>
            </w:r>
            <w:proofErr w:type="spellStart"/>
            <w:r w:rsidRPr="00E16672">
              <w:rPr>
                <w:rFonts w:ascii="Times New Roman" w:hAnsi="Times New Roman"/>
                <w:b/>
                <w:bCs/>
                <w:color w:val="000000"/>
                <w:sz w:val="16"/>
                <w:szCs w:val="16"/>
              </w:rPr>
              <w:t>податків</w:t>
            </w:r>
            <w:proofErr w:type="spellEnd"/>
            <w:r w:rsidRPr="00E16672">
              <w:rPr>
                <w:rFonts w:ascii="Times New Roman" w:hAnsi="Times New Roman"/>
                <w:b/>
                <w:bCs/>
                <w:color w:val="000000"/>
                <w:sz w:val="16"/>
                <w:szCs w:val="16"/>
              </w:rPr>
              <w:t xml:space="preserve"> / </w:t>
            </w:r>
            <w:proofErr w:type="spellStart"/>
            <w:r w:rsidRPr="00E16672">
              <w:rPr>
                <w:rFonts w:ascii="Times New Roman" w:hAnsi="Times New Roman"/>
                <w:b/>
                <w:bCs/>
                <w:i/>
                <w:color w:val="000000"/>
                <w:sz w:val="16"/>
                <w:szCs w:val="16"/>
              </w:rPr>
              <w:t>Ідентифікаційний</w:t>
            </w:r>
            <w:proofErr w:type="spellEnd"/>
            <w:r w:rsidRPr="00E16672">
              <w:rPr>
                <w:rFonts w:ascii="Times New Roman" w:hAnsi="Times New Roman"/>
                <w:b/>
                <w:bCs/>
                <w:i/>
                <w:color w:val="000000"/>
                <w:sz w:val="16"/>
                <w:szCs w:val="16"/>
              </w:rPr>
              <w:t xml:space="preserve"> код </w:t>
            </w:r>
            <w:proofErr w:type="spellStart"/>
            <w:r w:rsidRPr="00E16672">
              <w:rPr>
                <w:rFonts w:ascii="Times New Roman" w:hAnsi="Times New Roman"/>
                <w:b/>
                <w:bCs/>
                <w:i/>
                <w:color w:val="000000"/>
                <w:sz w:val="16"/>
                <w:szCs w:val="16"/>
              </w:rPr>
              <w:t>юридичної</w:t>
            </w:r>
            <w:proofErr w:type="spellEnd"/>
            <w:r w:rsidRPr="00E16672">
              <w:rPr>
                <w:rFonts w:ascii="Times New Roman" w:hAnsi="Times New Roman"/>
                <w:b/>
                <w:bCs/>
                <w:i/>
                <w:color w:val="000000"/>
                <w:sz w:val="16"/>
                <w:szCs w:val="16"/>
              </w:rPr>
              <w:t xml:space="preserve"> особи</w:t>
            </w:r>
          </w:p>
        </w:tc>
        <w:tc>
          <w:tcPr>
            <w:tcW w:w="3401" w:type="dxa"/>
            <w:gridSpan w:val="3"/>
            <w:shd w:val="clear" w:color="auto" w:fill="auto"/>
            <w:vAlign w:val="center"/>
          </w:tcPr>
          <w:p w14:paraId="3B0C701F" w14:textId="77777777" w:rsidR="007974E8" w:rsidRPr="00E16672" w:rsidRDefault="007974E8" w:rsidP="006F3E88">
            <w:pPr>
              <w:snapToGrid w:val="0"/>
              <w:ind w:right="57" w:firstLine="0"/>
              <w:jc w:val="center"/>
              <w:rPr>
                <w:rFonts w:ascii="Times New Roman" w:hAnsi="Times New Roman"/>
                <w:b/>
                <w:bCs/>
                <w:color w:val="000000"/>
                <w:sz w:val="16"/>
                <w:szCs w:val="16"/>
              </w:rPr>
            </w:pPr>
            <w:proofErr w:type="spellStart"/>
            <w:proofErr w:type="gramStart"/>
            <w:r w:rsidRPr="00E16672">
              <w:rPr>
                <w:rFonts w:ascii="Times New Roman" w:hAnsi="Times New Roman"/>
                <w:b/>
                <w:bCs/>
                <w:color w:val="000000"/>
                <w:sz w:val="16"/>
                <w:szCs w:val="16"/>
              </w:rPr>
              <w:t>Реєстраційний</w:t>
            </w:r>
            <w:proofErr w:type="spellEnd"/>
            <w:r w:rsidRPr="00E16672">
              <w:rPr>
                <w:rFonts w:ascii="Times New Roman" w:hAnsi="Times New Roman"/>
                <w:b/>
                <w:bCs/>
                <w:color w:val="000000"/>
                <w:sz w:val="16"/>
                <w:szCs w:val="16"/>
              </w:rPr>
              <w:t xml:space="preserve">  номер</w:t>
            </w:r>
            <w:proofErr w:type="gramEnd"/>
            <w:r w:rsidRPr="00E16672">
              <w:rPr>
                <w:rFonts w:ascii="Times New Roman" w:hAnsi="Times New Roman"/>
                <w:b/>
                <w:bCs/>
                <w:color w:val="000000"/>
                <w:sz w:val="16"/>
                <w:szCs w:val="16"/>
              </w:rPr>
              <w:t xml:space="preserve"> </w:t>
            </w:r>
            <w:proofErr w:type="spellStart"/>
            <w:r w:rsidRPr="00E16672">
              <w:rPr>
                <w:rFonts w:ascii="Times New Roman" w:hAnsi="Times New Roman"/>
                <w:b/>
                <w:bCs/>
                <w:color w:val="000000"/>
                <w:sz w:val="16"/>
                <w:szCs w:val="16"/>
              </w:rPr>
              <w:t>облікової</w:t>
            </w:r>
            <w:proofErr w:type="spellEnd"/>
            <w:r w:rsidRPr="00E16672">
              <w:rPr>
                <w:rFonts w:ascii="Times New Roman" w:hAnsi="Times New Roman"/>
                <w:b/>
                <w:bCs/>
                <w:color w:val="000000"/>
                <w:sz w:val="16"/>
                <w:szCs w:val="16"/>
              </w:rPr>
              <w:t xml:space="preserve"> </w:t>
            </w:r>
            <w:proofErr w:type="spellStart"/>
            <w:r w:rsidRPr="00E16672">
              <w:rPr>
                <w:rFonts w:ascii="Times New Roman" w:hAnsi="Times New Roman"/>
                <w:b/>
                <w:bCs/>
                <w:color w:val="000000"/>
                <w:sz w:val="16"/>
                <w:szCs w:val="16"/>
              </w:rPr>
              <w:t>картки</w:t>
            </w:r>
            <w:proofErr w:type="spellEnd"/>
            <w:r w:rsidRPr="00E16672">
              <w:rPr>
                <w:rFonts w:ascii="Times New Roman" w:hAnsi="Times New Roman"/>
                <w:b/>
                <w:bCs/>
                <w:color w:val="000000"/>
                <w:sz w:val="16"/>
                <w:szCs w:val="16"/>
              </w:rPr>
              <w:t xml:space="preserve"> </w:t>
            </w:r>
            <w:proofErr w:type="spellStart"/>
            <w:r w:rsidRPr="00E16672">
              <w:rPr>
                <w:rFonts w:ascii="Times New Roman" w:hAnsi="Times New Roman"/>
                <w:b/>
                <w:bCs/>
                <w:color w:val="000000"/>
                <w:sz w:val="16"/>
                <w:szCs w:val="16"/>
              </w:rPr>
              <w:t>платника</w:t>
            </w:r>
            <w:proofErr w:type="spellEnd"/>
            <w:r w:rsidRPr="00E16672">
              <w:rPr>
                <w:rFonts w:ascii="Times New Roman" w:hAnsi="Times New Roman"/>
                <w:b/>
                <w:bCs/>
                <w:color w:val="000000"/>
                <w:sz w:val="16"/>
                <w:szCs w:val="16"/>
              </w:rPr>
              <w:t xml:space="preserve"> </w:t>
            </w:r>
            <w:proofErr w:type="spellStart"/>
            <w:r w:rsidRPr="00E16672">
              <w:rPr>
                <w:rFonts w:ascii="Times New Roman" w:hAnsi="Times New Roman"/>
                <w:b/>
                <w:bCs/>
                <w:color w:val="000000"/>
                <w:sz w:val="16"/>
                <w:szCs w:val="16"/>
              </w:rPr>
              <w:t>податків</w:t>
            </w:r>
            <w:proofErr w:type="spellEnd"/>
            <w:r w:rsidRPr="00E16672">
              <w:rPr>
                <w:rFonts w:ascii="Times New Roman" w:hAnsi="Times New Roman"/>
                <w:b/>
                <w:bCs/>
                <w:color w:val="000000"/>
                <w:sz w:val="16"/>
                <w:szCs w:val="16"/>
              </w:rPr>
              <w:t xml:space="preserve"> за </w:t>
            </w:r>
            <w:proofErr w:type="spellStart"/>
            <w:r w:rsidRPr="00E16672">
              <w:rPr>
                <w:rFonts w:ascii="Times New Roman" w:hAnsi="Times New Roman"/>
                <w:b/>
                <w:bCs/>
                <w:color w:val="000000"/>
                <w:sz w:val="16"/>
                <w:szCs w:val="16"/>
              </w:rPr>
              <w:t>даними</w:t>
            </w:r>
            <w:proofErr w:type="spellEnd"/>
            <w:r w:rsidRPr="00E16672">
              <w:rPr>
                <w:rFonts w:ascii="Times New Roman" w:hAnsi="Times New Roman"/>
                <w:b/>
                <w:bCs/>
                <w:color w:val="000000"/>
                <w:sz w:val="16"/>
                <w:szCs w:val="16"/>
              </w:rPr>
              <w:t xml:space="preserve"> Державного </w:t>
            </w:r>
            <w:proofErr w:type="spellStart"/>
            <w:r w:rsidRPr="00E16672">
              <w:rPr>
                <w:rFonts w:ascii="Times New Roman" w:hAnsi="Times New Roman"/>
                <w:b/>
                <w:bCs/>
                <w:color w:val="000000"/>
                <w:sz w:val="16"/>
                <w:szCs w:val="16"/>
              </w:rPr>
              <w:t>реєстру</w:t>
            </w:r>
            <w:proofErr w:type="spellEnd"/>
            <w:r w:rsidRPr="00E16672">
              <w:rPr>
                <w:rFonts w:ascii="Times New Roman" w:hAnsi="Times New Roman"/>
                <w:b/>
                <w:bCs/>
                <w:color w:val="000000"/>
                <w:sz w:val="16"/>
                <w:szCs w:val="16"/>
              </w:rPr>
              <w:t xml:space="preserve"> </w:t>
            </w:r>
            <w:proofErr w:type="spellStart"/>
            <w:r w:rsidRPr="00E16672">
              <w:rPr>
                <w:rFonts w:ascii="Times New Roman" w:hAnsi="Times New Roman"/>
                <w:b/>
                <w:bCs/>
                <w:color w:val="000000"/>
                <w:sz w:val="16"/>
                <w:szCs w:val="16"/>
              </w:rPr>
              <w:t>фізичних</w:t>
            </w:r>
            <w:proofErr w:type="spellEnd"/>
            <w:r w:rsidRPr="00E16672">
              <w:rPr>
                <w:rFonts w:ascii="Times New Roman" w:hAnsi="Times New Roman"/>
                <w:b/>
                <w:bCs/>
                <w:color w:val="000000"/>
                <w:sz w:val="16"/>
                <w:szCs w:val="16"/>
              </w:rPr>
              <w:t xml:space="preserve">  </w:t>
            </w:r>
            <w:proofErr w:type="spellStart"/>
            <w:r w:rsidRPr="00E16672">
              <w:rPr>
                <w:rFonts w:ascii="Times New Roman" w:hAnsi="Times New Roman"/>
                <w:b/>
                <w:bCs/>
                <w:color w:val="000000"/>
                <w:sz w:val="16"/>
                <w:szCs w:val="16"/>
              </w:rPr>
              <w:t>осіб</w:t>
            </w:r>
            <w:proofErr w:type="spellEnd"/>
            <w:r w:rsidRPr="00E16672">
              <w:rPr>
                <w:rFonts w:ascii="Times New Roman" w:hAnsi="Times New Roman"/>
                <w:b/>
                <w:bCs/>
                <w:color w:val="000000"/>
                <w:sz w:val="16"/>
                <w:szCs w:val="16"/>
              </w:rPr>
              <w:t xml:space="preserve">  -  </w:t>
            </w:r>
            <w:proofErr w:type="spellStart"/>
            <w:r w:rsidRPr="00E16672">
              <w:rPr>
                <w:rFonts w:ascii="Times New Roman" w:hAnsi="Times New Roman"/>
                <w:b/>
                <w:bCs/>
                <w:color w:val="000000"/>
                <w:sz w:val="16"/>
                <w:szCs w:val="16"/>
              </w:rPr>
              <w:t>платників</w:t>
            </w:r>
            <w:proofErr w:type="spellEnd"/>
            <w:r w:rsidRPr="00E16672">
              <w:rPr>
                <w:rFonts w:ascii="Times New Roman" w:hAnsi="Times New Roman"/>
                <w:b/>
                <w:bCs/>
                <w:color w:val="000000"/>
                <w:sz w:val="16"/>
                <w:szCs w:val="16"/>
              </w:rPr>
              <w:t xml:space="preserve"> </w:t>
            </w:r>
            <w:proofErr w:type="spellStart"/>
            <w:r w:rsidRPr="00E16672">
              <w:rPr>
                <w:rFonts w:ascii="Times New Roman" w:hAnsi="Times New Roman"/>
                <w:b/>
                <w:bCs/>
                <w:color w:val="000000"/>
                <w:sz w:val="16"/>
                <w:szCs w:val="16"/>
              </w:rPr>
              <w:t>податків</w:t>
            </w:r>
            <w:proofErr w:type="spellEnd"/>
            <w:r w:rsidRPr="00E16672">
              <w:rPr>
                <w:rFonts w:ascii="Times New Roman" w:hAnsi="Times New Roman"/>
                <w:b/>
                <w:bCs/>
                <w:color w:val="000000"/>
                <w:sz w:val="16"/>
                <w:szCs w:val="16"/>
              </w:rPr>
              <w:t xml:space="preserve"> / </w:t>
            </w:r>
            <w:proofErr w:type="spellStart"/>
            <w:r w:rsidRPr="00E16672">
              <w:rPr>
                <w:rFonts w:ascii="Times New Roman" w:hAnsi="Times New Roman"/>
                <w:b/>
                <w:bCs/>
                <w:color w:val="000000"/>
                <w:sz w:val="16"/>
                <w:szCs w:val="16"/>
              </w:rPr>
              <w:t>Ідентифікаційний</w:t>
            </w:r>
            <w:proofErr w:type="spellEnd"/>
            <w:r w:rsidRPr="00E16672">
              <w:rPr>
                <w:rFonts w:ascii="Times New Roman" w:hAnsi="Times New Roman"/>
                <w:b/>
                <w:bCs/>
                <w:color w:val="000000"/>
                <w:sz w:val="16"/>
                <w:szCs w:val="16"/>
              </w:rPr>
              <w:t xml:space="preserve"> код </w:t>
            </w:r>
            <w:proofErr w:type="spellStart"/>
            <w:r w:rsidRPr="00E16672">
              <w:rPr>
                <w:rFonts w:ascii="Times New Roman" w:hAnsi="Times New Roman"/>
                <w:b/>
                <w:bCs/>
                <w:color w:val="000000"/>
                <w:sz w:val="16"/>
                <w:szCs w:val="16"/>
              </w:rPr>
              <w:t>юридичної</w:t>
            </w:r>
            <w:proofErr w:type="spellEnd"/>
            <w:r w:rsidRPr="00E16672">
              <w:rPr>
                <w:rFonts w:ascii="Times New Roman" w:hAnsi="Times New Roman"/>
                <w:b/>
                <w:bCs/>
                <w:color w:val="000000"/>
                <w:sz w:val="16"/>
                <w:szCs w:val="16"/>
              </w:rPr>
              <w:t xml:space="preserve"> особи</w:t>
            </w:r>
          </w:p>
        </w:tc>
        <w:tc>
          <w:tcPr>
            <w:tcW w:w="236" w:type="dxa"/>
            <w:shd w:val="clear" w:color="auto" w:fill="auto"/>
            <w:vAlign w:val="center"/>
          </w:tcPr>
          <w:p w14:paraId="67362030" w14:textId="77777777" w:rsidR="007974E8" w:rsidRPr="00E16672" w:rsidRDefault="007974E8" w:rsidP="00E72E24">
            <w:pPr>
              <w:snapToGrid w:val="0"/>
              <w:jc w:val="center"/>
              <w:rPr>
                <w:rFonts w:ascii="Times New Roman" w:hAnsi="Times New Roman"/>
                <w:b/>
                <w:bCs/>
                <w:color w:val="000000"/>
                <w:sz w:val="16"/>
                <w:szCs w:val="16"/>
              </w:rPr>
            </w:pPr>
          </w:p>
        </w:tc>
        <w:tc>
          <w:tcPr>
            <w:tcW w:w="4213" w:type="dxa"/>
            <w:gridSpan w:val="3"/>
            <w:shd w:val="clear" w:color="auto" w:fill="auto"/>
            <w:vAlign w:val="center"/>
          </w:tcPr>
          <w:p w14:paraId="227DC3DB" w14:textId="77777777" w:rsidR="007974E8" w:rsidRPr="00E16672" w:rsidRDefault="007974E8" w:rsidP="00E72E24">
            <w:pPr>
              <w:pStyle w:val="3"/>
              <w:numPr>
                <w:ilvl w:val="0"/>
                <w:numId w:val="0"/>
              </w:numPr>
              <w:tabs>
                <w:tab w:val="left" w:leader="dot" w:pos="9639"/>
              </w:tabs>
              <w:snapToGrid w:val="0"/>
              <w:spacing w:before="0"/>
              <w:ind w:left="55" w:right="5"/>
              <w:jc w:val="center"/>
              <w:rPr>
                <w:rFonts w:ascii="Times New Roman" w:hAnsi="Times New Roman" w:cs="Times New Roman"/>
                <w:color w:val="000000"/>
                <w:sz w:val="16"/>
                <w:szCs w:val="16"/>
              </w:rPr>
            </w:pPr>
            <w:r w:rsidRPr="00E16672">
              <w:rPr>
                <w:rFonts w:ascii="Times New Roman" w:hAnsi="Times New Roman" w:cs="Times New Roman"/>
                <w:color w:val="000000"/>
                <w:sz w:val="16"/>
                <w:szCs w:val="16"/>
              </w:rPr>
              <w:t>Ідентифікаційний код юридичної особи (код за ЄДРПОУ)</w:t>
            </w:r>
          </w:p>
        </w:tc>
      </w:tr>
      <w:tr w:rsidR="007974E8" w:rsidRPr="00E16672" w14:paraId="67BBA4D7" w14:textId="77777777" w:rsidTr="00154814">
        <w:tc>
          <w:tcPr>
            <w:tcW w:w="3402" w:type="dxa"/>
            <w:gridSpan w:val="3"/>
            <w:shd w:val="clear" w:color="auto" w:fill="auto"/>
          </w:tcPr>
          <w:p w14:paraId="29241EC2" w14:textId="77777777" w:rsidR="007974E8" w:rsidRPr="00E16672" w:rsidRDefault="007974E8" w:rsidP="00E72E24">
            <w:pPr>
              <w:snapToGrid w:val="0"/>
              <w:ind w:firstLine="6"/>
              <w:rPr>
                <w:rFonts w:ascii="Times New Roman" w:hAnsi="Times New Roman"/>
                <w:b/>
                <w:i/>
                <w:iCs/>
                <w:color w:val="000000"/>
                <w:sz w:val="16"/>
                <w:szCs w:val="16"/>
                <w:u w:val="single"/>
              </w:rPr>
            </w:pPr>
          </w:p>
        </w:tc>
        <w:tc>
          <w:tcPr>
            <w:tcW w:w="3401" w:type="dxa"/>
            <w:gridSpan w:val="3"/>
            <w:shd w:val="clear" w:color="auto" w:fill="auto"/>
          </w:tcPr>
          <w:p w14:paraId="69BCCE7E" w14:textId="77777777" w:rsidR="007974E8" w:rsidRPr="00E16672" w:rsidRDefault="007974E8" w:rsidP="00E72E24">
            <w:pPr>
              <w:snapToGrid w:val="0"/>
              <w:ind w:firstLine="6"/>
              <w:rPr>
                <w:rFonts w:ascii="Times New Roman" w:hAnsi="Times New Roman"/>
                <w:b/>
                <w:i/>
                <w:iCs/>
                <w:color w:val="000000"/>
                <w:sz w:val="16"/>
                <w:szCs w:val="16"/>
                <w:u w:val="single"/>
              </w:rPr>
            </w:pPr>
          </w:p>
        </w:tc>
        <w:tc>
          <w:tcPr>
            <w:tcW w:w="236" w:type="dxa"/>
            <w:shd w:val="clear" w:color="auto" w:fill="auto"/>
          </w:tcPr>
          <w:p w14:paraId="0B4AA5B2" w14:textId="77777777" w:rsidR="007974E8" w:rsidRPr="00E16672" w:rsidRDefault="007974E8" w:rsidP="00E72E24">
            <w:pPr>
              <w:snapToGrid w:val="0"/>
              <w:rPr>
                <w:rFonts w:ascii="Times New Roman" w:hAnsi="Times New Roman"/>
                <w:b/>
                <w:bCs/>
                <w:color w:val="000000"/>
                <w:sz w:val="16"/>
                <w:szCs w:val="16"/>
              </w:rPr>
            </w:pPr>
          </w:p>
        </w:tc>
        <w:tc>
          <w:tcPr>
            <w:tcW w:w="4213" w:type="dxa"/>
            <w:gridSpan w:val="3"/>
            <w:shd w:val="clear" w:color="auto" w:fill="auto"/>
          </w:tcPr>
          <w:p w14:paraId="49C3630C" w14:textId="77777777" w:rsidR="007974E8" w:rsidRPr="00E16672" w:rsidRDefault="00E16672" w:rsidP="00E72E24">
            <w:pPr>
              <w:pStyle w:val="3"/>
              <w:numPr>
                <w:ilvl w:val="0"/>
                <w:numId w:val="0"/>
              </w:numPr>
              <w:tabs>
                <w:tab w:val="left" w:leader="dot" w:pos="9639"/>
              </w:tabs>
              <w:snapToGrid w:val="0"/>
              <w:spacing w:before="0"/>
              <w:ind w:left="5" w:right="5"/>
              <w:rPr>
                <w:rFonts w:ascii="Times New Roman" w:hAnsi="Times New Roman" w:cs="Times New Roman"/>
                <w:b w:val="0"/>
                <w:color w:val="000000"/>
                <w:sz w:val="16"/>
                <w:szCs w:val="16"/>
              </w:rPr>
            </w:pPr>
            <w:r w:rsidRPr="00E16672">
              <w:rPr>
                <w:rFonts w:ascii="Times New Roman" w:hAnsi="Times New Roman" w:cs="Times New Roman"/>
                <w:b w:val="0"/>
                <w:color w:val="000000"/>
                <w:sz w:val="16"/>
                <w:szCs w:val="16"/>
              </w:rPr>
              <w:t>33153077</w:t>
            </w:r>
          </w:p>
        </w:tc>
      </w:tr>
      <w:tr w:rsidR="007974E8" w:rsidRPr="00E16672" w14:paraId="51E6B0AE" w14:textId="77777777" w:rsidTr="00154814">
        <w:tc>
          <w:tcPr>
            <w:tcW w:w="3402" w:type="dxa"/>
            <w:gridSpan w:val="3"/>
            <w:shd w:val="clear" w:color="auto" w:fill="auto"/>
            <w:vAlign w:val="center"/>
          </w:tcPr>
          <w:p w14:paraId="24AFB203" w14:textId="77777777" w:rsidR="007974E8" w:rsidRPr="00E16672" w:rsidRDefault="007974E8" w:rsidP="00E72E24">
            <w:pPr>
              <w:snapToGrid w:val="0"/>
              <w:jc w:val="center"/>
              <w:rPr>
                <w:rFonts w:ascii="Times New Roman" w:hAnsi="Times New Roman"/>
                <w:b/>
                <w:bCs/>
                <w:color w:val="000000"/>
                <w:sz w:val="16"/>
                <w:szCs w:val="16"/>
              </w:rPr>
            </w:pPr>
            <w:proofErr w:type="spellStart"/>
            <w:r w:rsidRPr="00E16672">
              <w:rPr>
                <w:rFonts w:ascii="Times New Roman" w:hAnsi="Times New Roman"/>
                <w:b/>
                <w:bCs/>
                <w:color w:val="000000"/>
                <w:sz w:val="16"/>
                <w:szCs w:val="16"/>
              </w:rPr>
              <w:t>Паспортні</w:t>
            </w:r>
            <w:proofErr w:type="spellEnd"/>
            <w:r w:rsidRPr="00E16672">
              <w:rPr>
                <w:rFonts w:ascii="Times New Roman" w:hAnsi="Times New Roman"/>
                <w:b/>
                <w:bCs/>
                <w:color w:val="000000"/>
                <w:sz w:val="16"/>
                <w:szCs w:val="16"/>
              </w:rPr>
              <w:t xml:space="preserve"> </w:t>
            </w:r>
            <w:proofErr w:type="spellStart"/>
            <w:r w:rsidRPr="00E16672">
              <w:rPr>
                <w:rFonts w:ascii="Times New Roman" w:hAnsi="Times New Roman"/>
                <w:b/>
                <w:bCs/>
                <w:color w:val="000000"/>
                <w:sz w:val="16"/>
                <w:szCs w:val="16"/>
              </w:rPr>
              <w:t>дані</w:t>
            </w:r>
            <w:proofErr w:type="spellEnd"/>
            <w:r w:rsidRPr="00E16672">
              <w:rPr>
                <w:rFonts w:ascii="Times New Roman" w:hAnsi="Times New Roman"/>
                <w:b/>
                <w:bCs/>
                <w:color w:val="000000"/>
                <w:sz w:val="16"/>
                <w:szCs w:val="16"/>
              </w:rPr>
              <w:t xml:space="preserve"> (</w:t>
            </w:r>
            <w:proofErr w:type="spellStart"/>
            <w:r w:rsidRPr="00E16672">
              <w:rPr>
                <w:rFonts w:ascii="Times New Roman" w:hAnsi="Times New Roman"/>
                <w:b/>
                <w:bCs/>
                <w:color w:val="000000"/>
                <w:sz w:val="16"/>
                <w:szCs w:val="16"/>
              </w:rPr>
              <w:t>місцезнаходження</w:t>
            </w:r>
            <w:proofErr w:type="spellEnd"/>
            <w:r w:rsidRPr="00E16672">
              <w:rPr>
                <w:rFonts w:ascii="Times New Roman" w:hAnsi="Times New Roman"/>
                <w:b/>
                <w:bCs/>
                <w:color w:val="000000"/>
                <w:sz w:val="16"/>
                <w:szCs w:val="16"/>
              </w:rPr>
              <w:t>)</w:t>
            </w:r>
          </w:p>
        </w:tc>
        <w:tc>
          <w:tcPr>
            <w:tcW w:w="3401" w:type="dxa"/>
            <w:gridSpan w:val="3"/>
            <w:shd w:val="clear" w:color="auto" w:fill="auto"/>
            <w:vAlign w:val="center"/>
          </w:tcPr>
          <w:p w14:paraId="034CD1C5" w14:textId="77777777" w:rsidR="007974E8" w:rsidRPr="00E16672" w:rsidRDefault="007974E8" w:rsidP="00E72E24">
            <w:pPr>
              <w:snapToGrid w:val="0"/>
              <w:jc w:val="center"/>
              <w:rPr>
                <w:rFonts w:ascii="Times New Roman" w:hAnsi="Times New Roman"/>
                <w:b/>
                <w:bCs/>
                <w:color w:val="000000"/>
                <w:sz w:val="16"/>
                <w:szCs w:val="16"/>
              </w:rPr>
            </w:pPr>
            <w:proofErr w:type="spellStart"/>
            <w:r w:rsidRPr="00E16672">
              <w:rPr>
                <w:rFonts w:ascii="Times New Roman" w:hAnsi="Times New Roman"/>
                <w:b/>
                <w:bCs/>
                <w:color w:val="000000"/>
                <w:sz w:val="16"/>
                <w:szCs w:val="16"/>
              </w:rPr>
              <w:t>Паспортні</w:t>
            </w:r>
            <w:proofErr w:type="spellEnd"/>
            <w:r w:rsidRPr="00E16672">
              <w:rPr>
                <w:rFonts w:ascii="Times New Roman" w:hAnsi="Times New Roman"/>
                <w:b/>
                <w:bCs/>
                <w:color w:val="000000"/>
                <w:sz w:val="16"/>
                <w:szCs w:val="16"/>
              </w:rPr>
              <w:t xml:space="preserve"> </w:t>
            </w:r>
            <w:proofErr w:type="spellStart"/>
            <w:r w:rsidRPr="00E16672">
              <w:rPr>
                <w:rFonts w:ascii="Times New Roman" w:hAnsi="Times New Roman"/>
                <w:b/>
                <w:bCs/>
                <w:color w:val="000000"/>
                <w:sz w:val="16"/>
                <w:szCs w:val="16"/>
              </w:rPr>
              <w:t>дані</w:t>
            </w:r>
            <w:proofErr w:type="spellEnd"/>
            <w:r w:rsidRPr="00E16672">
              <w:rPr>
                <w:rFonts w:ascii="Times New Roman" w:hAnsi="Times New Roman"/>
                <w:b/>
                <w:bCs/>
                <w:color w:val="000000"/>
                <w:sz w:val="16"/>
                <w:szCs w:val="16"/>
              </w:rPr>
              <w:t xml:space="preserve"> (</w:t>
            </w:r>
            <w:proofErr w:type="spellStart"/>
            <w:r w:rsidRPr="00E16672">
              <w:rPr>
                <w:rFonts w:ascii="Times New Roman" w:hAnsi="Times New Roman"/>
                <w:b/>
                <w:bCs/>
                <w:color w:val="000000"/>
                <w:sz w:val="16"/>
                <w:szCs w:val="16"/>
              </w:rPr>
              <w:t>місцезнаходження</w:t>
            </w:r>
            <w:proofErr w:type="spellEnd"/>
            <w:r w:rsidRPr="00E16672">
              <w:rPr>
                <w:rFonts w:ascii="Times New Roman" w:hAnsi="Times New Roman"/>
                <w:b/>
                <w:bCs/>
                <w:color w:val="000000"/>
                <w:sz w:val="16"/>
                <w:szCs w:val="16"/>
              </w:rPr>
              <w:t>)</w:t>
            </w:r>
          </w:p>
        </w:tc>
        <w:tc>
          <w:tcPr>
            <w:tcW w:w="236" w:type="dxa"/>
            <w:shd w:val="clear" w:color="auto" w:fill="auto"/>
            <w:vAlign w:val="center"/>
          </w:tcPr>
          <w:p w14:paraId="35181A48" w14:textId="77777777" w:rsidR="007974E8" w:rsidRPr="00E16672" w:rsidRDefault="007974E8" w:rsidP="00E72E24">
            <w:pPr>
              <w:snapToGrid w:val="0"/>
              <w:jc w:val="center"/>
              <w:rPr>
                <w:rFonts w:ascii="Times New Roman" w:hAnsi="Times New Roman"/>
                <w:b/>
                <w:bCs/>
                <w:color w:val="000000"/>
                <w:sz w:val="16"/>
                <w:szCs w:val="16"/>
              </w:rPr>
            </w:pPr>
          </w:p>
        </w:tc>
        <w:tc>
          <w:tcPr>
            <w:tcW w:w="4213" w:type="dxa"/>
            <w:gridSpan w:val="3"/>
            <w:shd w:val="clear" w:color="auto" w:fill="auto"/>
            <w:vAlign w:val="center"/>
          </w:tcPr>
          <w:p w14:paraId="78B4F9F9" w14:textId="77777777" w:rsidR="007974E8" w:rsidRPr="00E16672" w:rsidRDefault="007974E8" w:rsidP="00E72E24">
            <w:pPr>
              <w:snapToGrid w:val="0"/>
              <w:jc w:val="center"/>
              <w:rPr>
                <w:rFonts w:ascii="Times New Roman" w:hAnsi="Times New Roman"/>
                <w:b/>
                <w:bCs/>
                <w:color w:val="000000"/>
                <w:sz w:val="16"/>
                <w:szCs w:val="16"/>
              </w:rPr>
            </w:pPr>
            <w:proofErr w:type="spellStart"/>
            <w:r w:rsidRPr="00E16672">
              <w:rPr>
                <w:rFonts w:ascii="Times New Roman" w:hAnsi="Times New Roman"/>
                <w:b/>
                <w:bCs/>
                <w:color w:val="000000"/>
                <w:sz w:val="16"/>
                <w:szCs w:val="16"/>
              </w:rPr>
              <w:t>Місцезнаходження</w:t>
            </w:r>
            <w:proofErr w:type="spellEnd"/>
          </w:p>
        </w:tc>
      </w:tr>
      <w:tr w:rsidR="007974E8" w:rsidRPr="00E16672" w14:paraId="41CEB807" w14:textId="77777777" w:rsidTr="00154814">
        <w:tc>
          <w:tcPr>
            <w:tcW w:w="3402" w:type="dxa"/>
            <w:gridSpan w:val="3"/>
            <w:shd w:val="clear" w:color="auto" w:fill="auto"/>
          </w:tcPr>
          <w:p w14:paraId="1A14DA5B" w14:textId="77777777" w:rsidR="007974E8" w:rsidRPr="00E16672" w:rsidRDefault="007974E8" w:rsidP="00E72E24">
            <w:pPr>
              <w:pStyle w:val="4"/>
              <w:keepNext w:val="0"/>
              <w:widowControl w:val="0"/>
              <w:numPr>
                <w:ilvl w:val="0"/>
                <w:numId w:val="0"/>
              </w:numPr>
              <w:snapToGrid w:val="0"/>
              <w:spacing w:before="240" w:after="60"/>
              <w:jc w:val="left"/>
              <w:rPr>
                <w:rFonts w:ascii="Times New Roman" w:hAnsi="Times New Roman"/>
                <w:i/>
                <w:iCs/>
                <w:color w:val="000000"/>
                <w:sz w:val="16"/>
                <w:szCs w:val="16"/>
                <w:u w:val="single"/>
              </w:rPr>
            </w:pPr>
          </w:p>
        </w:tc>
        <w:tc>
          <w:tcPr>
            <w:tcW w:w="3401" w:type="dxa"/>
            <w:gridSpan w:val="3"/>
            <w:shd w:val="clear" w:color="auto" w:fill="auto"/>
          </w:tcPr>
          <w:p w14:paraId="2D09920D" w14:textId="77777777" w:rsidR="007974E8" w:rsidRPr="00E16672" w:rsidRDefault="007974E8" w:rsidP="00E72E24">
            <w:pPr>
              <w:pStyle w:val="4"/>
              <w:keepNext w:val="0"/>
              <w:widowControl w:val="0"/>
              <w:numPr>
                <w:ilvl w:val="0"/>
                <w:numId w:val="0"/>
              </w:numPr>
              <w:snapToGrid w:val="0"/>
              <w:spacing w:before="240" w:after="60"/>
              <w:jc w:val="left"/>
              <w:rPr>
                <w:rFonts w:ascii="Times New Roman" w:hAnsi="Times New Roman"/>
                <w:i/>
                <w:iCs/>
                <w:color w:val="000000"/>
                <w:sz w:val="16"/>
                <w:szCs w:val="16"/>
                <w:u w:val="single"/>
              </w:rPr>
            </w:pPr>
          </w:p>
        </w:tc>
        <w:tc>
          <w:tcPr>
            <w:tcW w:w="236" w:type="dxa"/>
            <w:shd w:val="clear" w:color="auto" w:fill="auto"/>
          </w:tcPr>
          <w:p w14:paraId="6334D104" w14:textId="77777777" w:rsidR="007974E8" w:rsidRPr="00E16672" w:rsidRDefault="007974E8" w:rsidP="00E72E24">
            <w:pPr>
              <w:snapToGrid w:val="0"/>
              <w:rPr>
                <w:rFonts w:ascii="Times New Roman" w:hAnsi="Times New Roman"/>
                <w:b/>
                <w:bCs/>
                <w:color w:val="000000"/>
                <w:sz w:val="16"/>
                <w:szCs w:val="16"/>
                <w:lang w:val="uk-UA"/>
              </w:rPr>
            </w:pPr>
          </w:p>
        </w:tc>
        <w:tc>
          <w:tcPr>
            <w:tcW w:w="4213" w:type="dxa"/>
            <w:gridSpan w:val="3"/>
            <w:shd w:val="clear" w:color="auto" w:fill="auto"/>
          </w:tcPr>
          <w:p w14:paraId="7C436D8D" w14:textId="77777777" w:rsidR="007974E8" w:rsidRPr="00E16672" w:rsidRDefault="00622BEB" w:rsidP="006F3E88">
            <w:pPr>
              <w:pStyle w:val="western"/>
              <w:snapToGrid w:val="0"/>
              <w:spacing w:before="0" w:after="0"/>
              <w:ind w:firstLine="0"/>
              <w:jc w:val="left"/>
              <w:rPr>
                <w:rFonts w:ascii="Times New Roman" w:hAnsi="Times New Roman"/>
                <w:b w:val="0"/>
                <w:color w:val="000000"/>
                <w:sz w:val="16"/>
                <w:szCs w:val="16"/>
                <w:lang w:val="uk-UA"/>
              </w:rPr>
            </w:pPr>
            <w:proofErr w:type="spellStart"/>
            <w:r>
              <w:rPr>
                <w:rFonts w:ascii="Times New Roman" w:hAnsi="Times New Roman"/>
                <w:b w:val="0"/>
                <w:bCs w:val="0"/>
                <w:sz w:val="16"/>
                <w:szCs w:val="16"/>
              </w:rPr>
              <w:t>Україна</w:t>
            </w:r>
            <w:proofErr w:type="spellEnd"/>
            <w:r>
              <w:rPr>
                <w:rFonts w:ascii="Times New Roman" w:hAnsi="Times New Roman"/>
                <w:b w:val="0"/>
                <w:bCs w:val="0"/>
                <w:sz w:val="16"/>
                <w:szCs w:val="16"/>
              </w:rPr>
              <w:t xml:space="preserve">, </w:t>
            </w:r>
            <w:proofErr w:type="spellStart"/>
            <w:r>
              <w:rPr>
                <w:rFonts w:ascii="Times New Roman" w:hAnsi="Times New Roman"/>
                <w:b w:val="0"/>
                <w:bCs w:val="0"/>
                <w:sz w:val="16"/>
                <w:szCs w:val="16"/>
              </w:rPr>
              <w:t>м.Київ</w:t>
            </w:r>
            <w:proofErr w:type="spellEnd"/>
            <w:r>
              <w:rPr>
                <w:rFonts w:ascii="Times New Roman" w:hAnsi="Times New Roman"/>
                <w:b w:val="0"/>
                <w:bCs w:val="0"/>
                <w:sz w:val="16"/>
                <w:szCs w:val="16"/>
              </w:rPr>
              <w:t xml:space="preserve">, Велика </w:t>
            </w:r>
            <w:proofErr w:type="spellStart"/>
            <w:r>
              <w:rPr>
                <w:rFonts w:ascii="Times New Roman" w:hAnsi="Times New Roman"/>
                <w:b w:val="0"/>
                <w:bCs w:val="0"/>
                <w:sz w:val="16"/>
                <w:szCs w:val="16"/>
              </w:rPr>
              <w:t>Васильківська</w:t>
            </w:r>
            <w:proofErr w:type="spellEnd"/>
            <w:r>
              <w:rPr>
                <w:rFonts w:ascii="Times New Roman" w:hAnsi="Times New Roman"/>
                <w:b w:val="0"/>
                <w:bCs w:val="0"/>
                <w:sz w:val="16"/>
                <w:szCs w:val="16"/>
              </w:rPr>
              <w:t xml:space="preserve"> (</w:t>
            </w:r>
            <w:proofErr w:type="spellStart"/>
            <w:r>
              <w:rPr>
                <w:rFonts w:ascii="Times New Roman" w:hAnsi="Times New Roman"/>
                <w:b w:val="0"/>
                <w:bCs w:val="0"/>
                <w:sz w:val="16"/>
                <w:szCs w:val="16"/>
              </w:rPr>
              <w:t>колишня</w:t>
            </w:r>
            <w:proofErr w:type="spellEnd"/>
            <w:r>
              <w:rPr>
                <w:rFonts w:ascii="Times New Roman" w:hAnsi="Times New Roman"/>
                <w:b w:val="0"/>
                <w:bCs w:val="0"/>
                <w:sz w:val="16"/>
                <w:szCs w:val="16"/>
              </w:rPr>
              <w:t xml:space="preserve"> </w:t>
            </w:r>
            <w:proofErr w:type="spellStart"/>
            <w:r>
              <w:rPr>
                <w:rFonts w:ascii="Times New Roman" w:hAnsi="Times New Roman"/>
                <w:b w:val="0"/>
                <w:bCs w:val="0"/>
                <w:sz w:val="16"/>
                <w:szCs w:val="16"/>
              </w:rPr>
              <w:t>Червоноармійська</w:t>
            </w:r>
            <w:proofErr w:type="spellEnd"/>
            <w:r>
              <w:rPr>
                <w:rFonts w:ascii="Times New Roman" w:hAnsi="Times New Roman"/>
                <w:b w:val="0"/>
                <w:bCs w:val="0"/>
                <w:sz w:val="16"/>
                <w:szCs w:val="16"/>
              </w:rPr>
              <w:t xml:space="preserve">) </w:t>
            </w:r>
            <w:proofErr w:type="spellStart"/>
            <w:r>
              <w:rPr>
                <w:rFonts w:ascii="Times New Roman" w:hAnsi="Times New Roman"/>
                <w:b w:val="0"/>
                <w:bCs w:val="0"/>
                <w:sz w:val="16"/>
                <w:szCs w:val="16"/>
              </w:rPr>
              <w:t>вул</w:t>
            </w:r>
            <w:proofErr w:type="spellEnd"/>
            <w:r>
              <w:rPr>
                <w:rFonts w:ascii="Times New Roman" w:hAnsi="Times New Roman"/>
                <w:b w:val="0"/>
                <w:bCs w:val="0"/>
                <w:sz w:val="16"/>
                <w:szCs w:val="16"/>
              </w:rPr>
              <w:t>., буд. 65</w:t>
            </w:r>
          </w:p>
        </w:tc>
      </w:tr>
      <w:tr w:rsidR="007974E8" w:rsidRPr="00E16672" w14:paraId="2CEB0AEE" w14:textId="77777777" w:rsidTr="00154814">
        <w:tc>
          <w:tcPr>
            <w:tcW w:w="3402" w:type="dxa"/>
            <w:gridSpan w:val="3"/>
            <w:shd w:val="clear" w:color="auto" w:fill="auto"/>
          </w:tcPr>
          <w:p w14:paraId="3276BD7C" w14:textId="77777777" w:rsidR="007974E8" w:rsidRPr="00E16672" w:rsidRDefault="007974E8" w:rsidP="00E72E24">
            <w:pPr>
              <w:pStyle w:val="4"/>
              <w:keepNext w:val="0"/>
              <w:widowControl w:val="0"/>
              <w:numPr>
                <w:ilvl w:val="0"/>
                <w:numId w:val="0"/>
              </w:numPr>
              <w:snapToGrid w:val="0"/>
              <w:spacing w:before="240" w:after="60"/>
              <w:jc w:val="left"/>
              <w:rPr>
                <w:rFonts w:ascii="Times New Roman" w:hAnsi="Times New Roman"/>
                <w:i/>
                <w:iCs/>
                <w:color w:val="000000"/>
                <w:sz w:val="16"/>
                <w:szCs w:val="16"/>
                <w:u w:val="single"/>
              </w:rPr>
            </w:pPr>
          </w:p>
        </w:tc>
        <w:tc>
          <w:tcPr>
            <w:tcW w:w="3401" w:type="dxa"/>
            <w:gridSpan w:val="3"/>
            <w:shd w:val="clear" w:color="auto" w:fill="auto"/>
          </w:tcPr>
          <w:p w14:paraId="105008D4" w14:textId="77777777" w:rsidR="007974E8" w:rsidRPr="00E16672" w:rsidRDefault="007974E8" w:rsidP="00E72E24">
            <w:pPr>
              <w:pStyle w:val="4"/>
              <w:keepNext w:val="0"/>
              <w:widowControl w:val="0"/>
              <w:numPr>
                <w:ilvl w:val="0"/>
                <w:numId w:val="0"/>
              </w:numPr>
              <w:snapToGrid w:val="0"/>
              <w:spacing w:before="240" w:after="60"/>
              <w:jc w:val="left"/>
              <w:rPr>
                <w:rFonts w:ascii="Times New Roman" w:hAnsi="Times New Roman"/>
                <w:i/>
                <w:iCs/>
                <w:color w:val="000000"/>
                <w:sz w:val="16"/>
                <w:szCs w:val="16"/>
                <w:u w:val="single"/>
              </w:rPr>
            </w:pPr>
          </w:p>
        </w:tc>
        <w:tc>
          <w:tcPr>
            <w:tcW w:w="236" w:type="dxa"/>
            <w:shd w:val="clear" w:color="auto" w:fill="auto"/>
          </w:tcPr>
          <w:p w14:paraId="696F6B21" w14:textId="77777777" w:rsidR="007974E8" w:rsidRPr="00E16672" w:rsidRDefault="007974E8" w:rsidP="00E72E24">
            <w:pPr>
              <w:snapToGrid w:val="0"/>
              <w:rPr>
                <w:rFonts w:ascii="Times New Roman" w:hAnsi="Times New Roman"/>
                <w:b/>
                <w:bCs/>
                <w:color w:val="000000"/>
                <w:sz w:val="16"/>
                <w:szCs w:val="16"/>
                <w:lang w:val="uk-UA"/>
              </w:rPr>
            </w:pPr>
          </w:p>
        </w:tc>
        <w:tc>
          <w:tcPr>
            <w:tcW w:w="4213" w:type="dxa"/>
            <w:gridSpan w:val="3"/>
            <w:shd w:val="clear" w:color="auto" w:fill="auto"/>
          </w:tcPr>
          <w:p w14:paraId="726DC114" w14:textId="77777777" w:rsidR="006F3E88" w:rsidRPr="00E16672" w:rsidRDefault="006F3E88" w:rsidP="00E72E24">
            <w:pPr>
              <w:snapToGrid w:val="0"/>
              <w:jc w:val="center"/>
              <w:rPr>
                <w:rFonts w:ascii="Times New Roman" w:hAnsi="Times New Roman"/>
                <w:b/>
                <w:iCs/>
                <w:color w:val="000000"/>
                <w:sz w:val="16"/>
                <w:szCs w:val="16"/>
                <w:shd w:val="clear" w:color="auto" w:fill="FFFFFF"/>
              </w:rPr>
            </w:pPr>
          </w:p>
          <w:p w14:paraId="77951246" w14:textId="77777777" w:rsidR="007974E8" w:rsidRPr="00E16672" w:rsidRDefault="007974E8" w:rsidP="00E72E24">
            <w:pPr>
              <w:snapToGrid w:val="0"/>
              <w:jc w:val="center"/>
              <w:rPr>
                <w:rFonts w:ascii="Times New Roman" w:hAnsi="Times New Roman"/>
                <w:b/>
                <w:color w:val="000000"/>
                <w:sz w:val="16"/>
                <w:szCs w:val="16"/>
                <w:lang w:val="uk-UA"/>
              </w:rPr>
            </w:pPr>
            <w:r w:rsidRPr="00E16672">
              <w:rPr>
                <w:rFonts w:ascii="Times New Roman" w:hAnsi="Times New Roman"/>
                <w:b/>
                <w:iCs/>
                <w:color w:val="000000"/>
                <w:sz w:val="16"/>
                <w:szCs w:val="16"/>
                <w:shd w:val="clear" w:color="auto" w:fill="FFFFFF"/>
              </w:rPr>
              <w:t xml:space="preserve">Адреса для </w:t>
            </w:r>
            <w:proofErr w:type="spellStart"/>
            <w:r w:rsidRPr="00E16672">
              <w:rPr>
                <w:rFonts w:ascii="Times New Roman" w:hAnsi="Times New Roman"/>
                <w:b/>
                <w:iCs/>
                <w:color w:val="000000"/>
                <w:sz w:val="16"/>
                <w:szCs w:val="16"/>
                <w:shd w:val="clear" w:color="auto" w:fill="FFFFFF"/>
              </w:rPr>
              <w:t>листування</w:t>
            </w:r>
            <w:proofErr w:type="spellEnd"/>
          </w:p>
        </w:tc>
      </w:tr>
      <w:tr w:rsidR="007974E8" w:rsidRPr="00E16672" w14:paraId="56E0351A" w14:textId="77777777" w:rsidTr="00154814">
        <w:tc>
          <w:tcPr>
            <w:tcW w:w="3402" w:type="dxa"/>
            <w:gridSpan w:val="3"/>
            <w:shd w:val="clear" w:color="auto" w:fill="auto"/>
          </w:tcPr>
          <w:p w14:paraId="500F1DE8" w14:textId="77777777" w:rsidR="007974E8" w:rsidRPr="00E16672" w:rsidRDefault="007974E8" w:rsidP="00E72E24">
            <w:pPr>
              <w:pStyle w:val="4"/>
              <w:keepNext w:val="0"/>
              <w:widowControl w:val="0"/>
              <w:numPr>
                <w:ilvl w:val="0"/>
                <w:numId w:val="0"/>
              </w:numPr>
              <w:snapToGrid w:val="0"/>
              <w:spacing w:before="240" w:after="60"/>
              <w:jc w:val="left"/>
              <w:rPr>
                <w:rFonts w:ascii="Times New Roman" w:hAnsi="Times New Roman"/>
                <w:i/>
                <w:iCs/>
                <w:color w:val="000000"/>
                <w:sz w:val="16"/>
                <w:szCs w:val="16"/>
                <w:u w:val="single"/>
              </w:rPr>
            </w:pPr>
          </w:p>
        </w:tc>
        <w:tc>
          <w:tcPr>
            <w:tcW w:w="3401" w:type="dxa"/>
            <w:gridSpan w:val="3"/>
            <w:shd w:val="clear" w:color="auto" w:fill="auto"/>
          </w:tcPr>
          <w:p w14:paraId="6EFB3820" w14:textId="77777777" w:rsidR="007974E8" w:rsidRPr="00E16672" w:rsidRDefault="007974E8" w:rsidP="00E72E24">
            <w:pPr>
              <w:pStyle w:val="4"/>
              <w:keepNext w:val="0"/>
              <w:widowControl w:val="0"/>
              <w:numPr>
                <w:ilvl w:val="0"/>
                <w:numId w:val="0"/>
              </w:numPr>
              <w:snapToGrid w:val="0"/>
              <w:spacing w:before="240" w:after="60"/>
              <w:jc w:val="left"/>
              <w:rPr>
                <w:rFonts w:ascii="Times New Roman" w:hAnsi="Times New Roman"/>
                <w:i/>
                <w:iCs/>
                <w:color w:val="000000"/>
                <w:sz w:val="16"/>
                <w:szCs w:val="16"/>
                <w:u w:val="single"/>
              </w:rPr>
            </w:pPr>
          </w:p>
        </w:tc>
        <w:tc>
          <w:tcPr>
            <w:tcW w:w="236" w:type="dxa"/>
            <w:shd w:val="clear" w:color="auto" w:fill="auto"/>
          </w:tcPr>
          <w:p w14:paraId="36A52494" w14:textId="77777777" w:rsidR="007974E8" w:rsidRPr="00E16672" w:rsidRDefault="007974E8" w:rsidP="00E72E24">
            <w:pPr>
              <w:snapToGrid w:val="0"/>
              <w:rPr>
                <w:rFonts w:ascii="Times New Roman" w:hAnsi="Times New Roman"/>
                <w:b/>
                <w:bCs/>
                <w:color w:val="000000"/>
                <w:sz w:val="16"/>
                <w:szCs w:val="16"/>
                <w:lang w:val="uk-UA"/>
              </w:rPr>
            </w:pPr>
          </w:p>
        </w:tc>
        <w:tc>
          <w:tcPr>
            <w:tcW w:w="4213" w:type="dxa"/>
            <w:gridSpan w:val="3"/>
            <w:shd w:val="clear" w:color="auto" w:fill="auto"/>
          </w:tcPr>
          <w:p w14:paraId="78790C77" w14:textId="77777777" w:rsidR="007974E8" w:rsidRPr="00E16672" w:rsidRDefault="00622BEB" w:rsidP="006F3E88">
            <w:pPr>
              <w:pStyle w:val="western"/>
              <w:snapToGrid w:val="0"/>
              <w:spacing w:before="0" w:after="0"/>
              <w:ind w:firstLine="0"/>
              <w:jc w:val="left"/>
              <w:rPr>
                <w:rFonts w:ascii="Times New Roman" w:hAnsi="Times New Roman"/>
                <w:b w:val="0"/>
                <w:sz w:val="16"/>
                <w:szCs w:val="16"/>
                <w:lang w:val="uk-UA"/>
              </w:rPr>
            </w:pPr>
            <w:proofErr w:type="spellStart"/>
            <w:r>
              <w:rPr>
                <w:rFonts w:ascii="Times New Roman" w:hAnsi="Times New Roman"/>
                <w:b w:val="0"/>
                <w:bCs w:val="0"/>
                <w:sz w:val="16"/>
                <w:szCs w:val="16"/>
              </w:rPr>
              <w:t>Україна</w:t>
            </w:r>
            <w:proofErr w:type="spellEnd"/>
            <w:r>
              <w:rPr>
                <w:rFonts w:ascii="Times New Roman" w:hAnsi="Times New Roman"/>
                <w:b w:val="0"/>
                <w:bCs w:val="0"/>
                <w:sz w:val="16"/>
                <w:szCs w:val="16"/>
              </w:rPr>
              <w:t xml:space="preserve">, </w:t>
            </w:r>
            <w:proofErr w:type="spellStart"/>
            <w:r>
              <w:rPr>
                <w:rFonts w:ascii="Times New Roman" w:hAnsi="Times New Roman"/>
                <w:b w:val="0"/>
                <w:bCs w:val="0"/>
                <w:sz w:val="16"/>
                <w:szCs w:val="16"/>
              </w:rPr>
              <w:t>м.Київ</w:t>
            </w:r>
            <w:proofErr w:type="spellEnd"/>
            <w:r>
              <w:rPr>
                <w:rFonts w:ascii="Times New Roman" w:hAnsi="Times New Roman"/>
                <w:b w:val="0"/>
                <w:bCs w:val="0"/>
                <w:sz w:val="16"/>
                <w:szCs w:val="16"/>
              </w:rPr>
              <w:t xml:space="preserve">, Велика </w:t>
            </w:r>
            <w:proofErr w:type="spellStart"/>
            <w:r>
              <w:rPr>
                <w:rFonts w:ascii="Times New Roman" w:hAnsi="Times New Roman"/>
                <w:b w:val="0"/>
                <w:bCs w:val="0"/>
                <w:sz w:val="16"/>
                <w:szCs w:val="16"/>
              </w:rPr>
              <w:t>Васильківська</w:t>
            </w:r>
            <w:proofErr w:type="spellEnd"/>
            <w:r>
              <w:rPr>
                <w:rFonts w:ascii="Times New Roman" w:hAnsi="Times New Roman"/>
                <w:b w:val="0"/>
                <w:bCs w:val="0"/>
                <w:sz w:val="16"/>
                <w:szCs w:val="16"/>
              </w:rPr>
              <w:t xml:space="preserve"> (</w:t>
            </w:r>
            <w:proofErr w:type="spellStart"/>
            <w:r>
              <w:rPr>
                <w:rFonts w:ascii="Times New Roman" w:hAnsi="Times New Roman"/>
                <w:b w:val="0"/>
                <w:bCs w:val="0"/>
                <w:sz w:val="16"/>
                <w:szCs w:val="16"/>
              </w:rPr>
              <w:t>колишня</w:t>
            </w:r>
            <w:proofErr w:type="spellEnd"/>
            <w:r>
              <w:rPr>
                <w:rFonts w:ascii="Times New Roman" w:hAnsi="Times New Roman"/>
                <w:b w:val="0"/>
                <w:bCs w:val="0"/>
                <w:sz w:val="16"/>
                <w:szCs w:val="16"/>
              </w:rPr>
              <w:t xml:space="preserve"> </w:t>
            </w:r>
            <w:proofErr w:type="spellStart"/>
            <w:r>
              <w:rPr>
                <w:rFonts w:ascii="Times New Roman" w:hAnsi="Times New Roman"/>
                <w:b w:val="0"/>
                <w:bCs w:val="0"/>
                <w:sz w:val="16"/>
                <w:szCs w:val="16"/>
              </w:rPr>
              <w:t>Червоноармійська</w:t>
            </w:r>
            <w:proofErr w:type="spellEnd"/>
            <w:r>
              <w:rPr>
                <w:rFonts w:ascii="Times New Roman" w:hAnsi="Times New Roman"/>
                <w:b w:val="0"/>
                <w:bCs w:val="0"/>
                <w:sz w:val="16"/>
                <w:szCs w:val="16"/>
              </w:rPr>
              <w:t xml:space="preserve">) </w:t>
            </w:r>
            <w:proofErr w:type="spellStart"/>
            <w:r>
              <w:rPr>
                <w:rFonts w:ascii="Times New Roman" w:hAnsi="Times New Roman"/>
                <w:b w:val="0"/>
                <w:bCs w:val="0"/>
                <w:sz w:val="16"/>
                <w:szCs w:val="16"/>
              </w:rPr>
              <w:t>вул</w:t>
            </w:r>
            <w:proofErr w:type="spellEnd"/>
            <w:r>
              <w:rPr>
                <w:rFonts w:ascii="Times New Roman" w:hAnsi="Times New Roman"/>
                <w:b w:val="0"/>
                <w:bCs w:val="0"/>
                <w:sz w:val="16"/>
                <w:szCs w:val="16"/>
              </w:rPr>
              <w:t>., буд. 65</w:t>
            </w:r>
          </w:p>
        </w:tc>
      </w:tr>
      <w:tr w:rsidR="007974E8" w:rsidRPr="00E16672" w14:paraId="1357447C" w14:textId="77777777" w:rsidTr="00154814">
        <w:tc>
          <w:tcPr>
            <w:tcW w:w="3402" w:type="dxa"/>
            <w:gridSpan w:val="3"/>
            <w:shd w:val="clear" w:color="auto" w:fill="auto"/>
            <w:vAlign w:val="center"/>
          </w:tcPr>
          <w:p w14:paraId="72621AA8" w14:textId="77777777" w:rsidR="00154814" w:rsidRPr="00E16672" w:rsidRDefault="007974E8" w:rsidP="00E72E24">
            <w:pPr>
              <w:snapToGrid w:val="0"/>
              <w:jc w:val="center"/>
              <w:rPr>
                <w:rFonts w:ascii="Times New Roman" w:hAnsi="Times New Roman"/>
                <w:b/>
                <w:bCs/>
                <w:color w:val="000000"/>
                <w:sz w:val="16"/>
                <w:szCs w:val="16"/>
              </w:rPr>
            </w:pPr>
            <w:r w:rsidRPr="00E16672">
              <w:rPr>
                <w:rFonts w:ascii="Times New Roman" w:hAnsi="Times New Roman"/>
                <w:b/>
                <w:bCs/>
                <w:color w:val="000000"/>
                <w:sz w:val="16"/>
                <w:szCs w:val="16"/>
              </w:rPr>
              <w:t>Адреса</w:t>
            </w:r>
          </w:p>
          <w:p w14:paraId="38A594AB" w14:textId="77777777" w:rsidR="007974E8" w:rsidRPr="00E16672" w:rsidRDefault="007974E8" w:rsidP="00E72E24">
            <w:pPr>
              <w:snapToGrid w:val="0"/>
              <w:jc w:val="center"/>
              <w:rPr>
                <w:rFonts w:ascii="Times New Roman" w:hAnsi="Times New Roman"/>
                <w:b/>
                <w:bCs/>
                <w:color w:val="000000"/>
                <w:sz w:val="16"/>
                <w:szCs w:val="16"/>
              </w:rPr>
            </w:pPr>
            <w:r w:rsidRPr="00E16672">
              <w:rPr>
                <w:rFonts w:ascii="Times New Roman" w:hAnsi="Times New Roman"/>
                <w:b/>
                <w:bCs/>
                <w:color w:val="000000"/>
                <w:sz w:val="16"/>
                <w:szCs w:val="16"/>
              </w:rPr>
              <w:t xml:space="preserve"> (</w:t>
            </w:r>
            <w:proofErr w:type="spellStart"/>
            <w:r w:rsidRPr="00E16672">
              <w:rPr>
                <w:rFonts w:ascii="Times New Roman" w:hAnsi="Times New Roman"/>
                <w:b/>
                <w:bCs/>
                <w:color w:val="000000"/>
                <w:sz w:val="16"/>
                <w:szCs w:val="16"/>
              </w:rPr>
              <w:t>Банківські</w:t>
            </w:r>
            <w:proofErr w:type="spellEnd"/>
            <w:r w:rsidRPr="00E16672">
              <w:rPr>
                <w:rFonts w:ascii="Times New Roman" w:hAnsi="Times New Roman"/>
                <w:b/>
                <w:bCs/>
                <w:color w:val="000000"/>
                <w:sz w:val="16"/>
                <w:szCs w:val="16"/>
              </w:rPr>
              <w:t xml:space="preserve"> </w:t>
            </w:r>
            <w:proofErr w:type="spellStart"/>
            <w:r w:rsidRPr="00E16672">
              <w:rPr>
                <w:rFonts w:ascii="Times New Roman" w:hAnsi="Times New Roman"/>
                <w:b/>
                <w:bCs/>
                <w:color w:val="000000"/>
                <w:sz w:val="16"/>
                <w:szCs w:val="16"/>
              </w:rPr>
              <w:t>реквізити</w:t>
            </w:r>
            <w:proofErr w:type="spellEnd"/>
            <w:r w:rsidRPr="00E16672">
              <w:rPr>
                <w:rFonts w:ascii="Times New Roman" w:hAnsi="Times New Roman"/>
                <w:b/>
                <w:bCs/>
                <w:color w:val="000000"/>
                <w:sz w:val="16"/>
                <w:szCs w:val="16"/>
              </w:rPr>
              <w:t>)</w:t>
            </w:r>
          </w:p>
        </w:tc>
        <w:tc>
          <w:tcPr>
            <w:tcW w:w="3401" w:type="dxa"/>
            <w:gridSpan w:val="3"/>
            <w:shd w:val="clear" w:color="auto" w:fill="auto"/>
            <w:vAlign w:val="center"/>
          </w:tcPr>
          <w:p w14:paraId="434544DB" w14:textId="77777777" w:rsidR="00154814" w:rsidRPr="00E16672" w:rsidRDefault="007974E8" w:rsidP="00E72E24">
            <w:pPr>
              <w:snapToGrid w:val="0"/>
              <w:jc w:val="center"/>
              <w:rPr>
                <w:rFonts w:ascii="Times New Roman" w:hAnsi="Times New Roman"/>
                <w:b/>
                <w:bCs/>
                <w:color w:val="000000"/>
                <w:sz w:val="16"/>
                <w:szCs w:val="16"/>
              </w:rPr>
            </w:pPr>
            <w:r w:rsidRPr="00E16672">
              <w:rPr>
                <w:rFonts w:ascii="Times New Roman" w:hAnsi="Times New Roman"/>
                <w:b/>
                <w:bCs/>
                <w:color w:val="000000"/>
                <w:sz w:val="16"/>
                <w:szCs w:val="16"/>
              </w:rPr>
              <w:t>Адреса</w:t>
            </w:r>
          </w:p>
          <w:p w14:paraId="536F4C24" w14:textId="77777777" w:rsidR="007974E8" w:rsidRPr="00E16672" w:rsidRDefault="007974E8" w:rsidP="00E72E24">
            <w:pPr>
              <w:snapToGrid w:val="0"/>
              <w:jc w:val="center"/>
              <w:rPr>
                <w:rFonts w:ascii="Times New Roman" w:hAnsi="Times New Roman"/>
                <w:b/>
                <w:bCs/>
                <w:color w:val="000000"/>
                <w:sz w:val="16"/>
                <w:szCs w:val="16"/>
              </w:rPr>
            </w:pPr>
            <w:r w:rsidRPr="00E16672">
              <w:rPr>
                <w:rFonts w:ascii="Times New Roman" w:hAnsi="Times New Roman"/>
                <w:b/>
                <w:bCs/>
                <w:color w:val="000000"/>
                <w:sz w:val="16"/>
                <w:szCs w:val="16"/>
              </w:rPr>
              <w:t xml:space="preserve"> (</w:t>
            </w:r>
            <w:proofErr w:type="spellStart"/>
            <w:r w:rsidRPr="00E16672">
              <w:rPr>
                <w:rFonts w:ascii="Times New Roman" w:hAnsi="Times New Roman"/>
                <w:b/>
                <w:bCs/>
                <w:color w:val="000000"/>
                <w:sz w:val="16"/>
                <w:szCs w:val="16"/>
              </w:rPr>
              <w:t>Банківські</w:t>
            </w:r>
            <w:proofErr w:type="spellEnd"/>
            <w:r w:rsidRPr="00E16672">
              <w:rPr>
                <w:rFonts w:ascii="Times New Roman" w:hAnsi="Times New Roman"/>
                <w:b/>
                <w:bCs/>
                <w:color w:val="000000"/>
                <w:sz w:val="16"/>
                <w:szCs w:val="16"/>
              </w:rPr>
              <w:t xml:space="preserve"> </w:t>
            </w:r>
            <w:proofErr w:type="spellStart"/>
            <w:r w:rsidRPr="00E16672">
              <w:rPr>
                <w:rFonts w:ascii="Times New Roman" w:hAnsi="Times New Roman"/>
                <w:b/>
                <w:bCs/>
                <w:color w:val="000000"/>
                <w:sz w:val="16"/>
                <w:szCs w:val="16"/>
              </w:rPr>
              <w:t>реквізити</w:t>
            </w:r>
            <w:proofErr w:type="spellEnd"/>
            <w:r w:rsidRPr="00E16672">
              <w:rPr>
                <w:rFonts w:ascii="Times New Roman" w:hAnsi="Times New Roman"/>
                <w:b/>
                <w:bCs/>
                <w:color w:val="000000"/>
                <w:sz w:val="16"/>
                <w:szCs w:val="16"/>
              </w:rPr>
              <w:t>)</w:t>
            </w:r>
          </w:p>
        </w:tc>
        <w:tc>
          <w:tcPr>
            <w:tcW w:w="236" w:type="dxa"/>
            <w:shd w:val="clear" w:color="auto" w:fill="auto"/>
            <w:vAlign w:val="center"/>
          </w:tcPr>
          <w:p w14:paraId="6FC8DEF6" w14:textId="77777777" w:rsidR="007974E8" w:rsidRPr="00E16672" w:rsidRDefault="007974E8" w:rsidP="00E72E24">
            <w:pPr>
              <w:snapToGrid w:val="0"/>
              <w:jc w:val="center"/>
              <w:rPr>
                <w:rFonts w:ascii="Times New Roman" w:hAnsi="Times New Roman"/>
                <w:b/>
                <w:bCs/>
                <w:color w:val="000000"/>
                <w:sz w:val="16"/>
                <w:szCs w:val="16"/>
              </w:rPr>
            </w:pPr>
          </w:p>
        </w:tc>
        <w:tc>
          <w:tcPr>
            <w:tcW w:w="4213" w:type="dxa"/>
            <w:gridSpan w:val="3"/>
            <w:shd w:val="clear" w:color="auto" w:fill="auto"/>
            <w:vAlign w:val="center"/>
          </w:tcPr>
          <w:p w14:paraId="081E7410" w14:textId="77777777" w:rsidR="007974E8" w:rsidRPr="00E16672" w:rsidRDefault="007974E8" w:rsidP="00E72E24">
            <w:pPr>
              <w:snapToGrid w:val="0"/>
              <w:jc w:val="center"/>
              <w:rPr>
                <w:rFonts w:ascii="Times New Roman" w:hAnsi="Times New Roman"/>
                <w:b/>
                <w:bCs/>
                <w:sz w:val="16"/>
                <w:szCs w:val="16"/>
              </w:rPr>
            </w:pPr>
            <w:proofErr w:type="spellStart"/>
            <w:r w:rsidRPr="00E16672">
              <w:rPr>
                <w:rFonts w:ascii="Times New Roman" w:hAnsi="Times New Roman"/>
                <w:b/>
                <w:bCs/>
                <w:sz w:val="16"/>
                <w:szCs w:val="16"/>
              </w:rPr>
              <w:t>Банківські</w:t>
            </w:r>
            <w:proofErr w:type="spellEnd"/>
            <w:r w:rsidRPr="00E16672">
              <w:rPr>
                <w:rFonts w:ascii="Times New Roman" w:hAnsi="Times New Roman"/>
                <w:b/>
                <w:bCs/>
                <w:sz w:val="16"/>
                <w:szCs w:val="16"/>
              </w:rPr>
              <w:t xml:space="preserve"> </w:t>
            </w:r>
            <w:proofErr w:type="spellStart"/>
            <w:r w:rsidRPr="00E16672">
              <w:rPr>
                <w:rFonts w:ascii="Times New Roman" w:hAnsi="Times New Roman"/>
                <w:b/>
                <w:bCs/>
                <w:sz w:val="16"/>
                <w:szCs w:val="16"/>
              </w:rPr>
              <w:t>реквізити</w:t>
            </w:r>
            <w:proofErr w:type="spellEnd"/>
          </w:p>
        </w:tc>
      </w:tr>
      <w:tr w:rsidR="007974E8" w:rsidRPr="00E16672" w14:paraId="00E2E32C" w14:textId="77777777" w:rsidTr="00154814">
        <w:tc>
          <w:tcPr>
            <w:tcW w:w="3402" w:type="dxa"/>
            <w:gridSpan w:val="3"/>
            <w:shd w:val="clear" w:color="auto" w:fill="auto"/>
          </w:tcPr>
          <w:p w14:paraId="15EB0524" w14:textId="77777777" w:rsidR="007974E8" w:rsidRPr="00E16672" w:rsidRDefault="007974E8" w:rsidP="00E72E24">
            <w:pPr>
              <w:snapToGrid w:val="0"/>
              <w:ind w:firstLine="6"/>
              <w:rPr>
                <w:rFonts w:ascii="Times New Roman" w:hAnsi="Times New Roman"/>
                <w:color w:val="000000"/>
                <w:sz w:val="16"/>
                <w:szCs w:val="16"/>
                <w:lang w:val="uk-UA"/>
              </w:rPr>
            </w:pPr>
          </w:p>
        </w:tc>
        <w:tc>
          <w:tcPr>
            <w:tcW w:w="3401" w:type="dxa"/>
            <w:gridSpan w:val="3"/>
            <w:shd w:val="clear" w:color="auto" w:fill="auto"/>
          </w:tcPr>
          <w:p w14:paraId="7431037A" w14:textId="77777777" w:rsidR="007974E8" w:rsidRPr="00E16672" w:rsidRDefault="007974E8" w:rsidP="00E72E24">
            <w:pPr>
              <w:snapToGrid w:val="0"/>
              <w:ind w:firstLine="6"/>
              <w:rPr>
                <w:rFonts w:ascii="Times New Roman" w:hAnsi="Times New Roman"/>
                <w:color w:val="000000"/>
                <w:sz w:val="16"/>
                <w:szCs w:val="16"/>
                <w:lang w:val="uk-UA"/>
              </w:rPr>
            </w:pPr>
          </w:p>
        </w:tc>
        <w:tc>
          <w:tcPr>
            <w:tcW w:w="236" w:type="dxa"/>
            <w:shd w:val="clear" w:color="auto" w:fill="auto"/>
          </w:tcPr>
          <w:p w14:paraId="175F5184" w14:textId="77777777" w:rsidR="007974E8" w:rsidRPr="00E16672" w:rsidRDefault="007974E8" w:rsidP="00E72E24">
            <w:pPr>
              <w:snapToGrid w:val="0"/>
              <w:rPr>
                <w:rFonts w:ascii="Times New Roman" w:hAnsi="Times New Roman"/>
                <w:color w:val="000000"/>
                <w:sz w:val="16"/>
                <w:szCs w:val="16"/>
                <w:lang w:val="uk-UA"/>
              </w:rPr>
            </w:pPr>
          </w:p>
        </w:tc>
        <w:tc>
          <w:tcPr>
            <w:tcW w:w="4213" w:type="dxa"/>
            <w:gridSpan w:val="3"/>
            <w:shd w:val="clear" w:color="auto" w:fill="auto"/>
          </w:tcPr>
          <w:p w14:paraId="3EC6E189" w14:textId="77777777" w:rsidR="00FC3003" w:rsidRPr="00E16672" w:rsidRDefault="00622BEB" w:rsidP="00154814">
            <w:pPr>
              <w:pStyle w:val="3"/>
              <w:numPr>
                <w:ilvl w:val="0"/>
                <w:numId w:val="0"/>
              </w:numPr>
              <w:snapToGrid w:val="0"/>
              <w:spacing w:before="0" w:after="0"/>
              <w:ind w:left="15" w:right="219"/>
              <w:jc w:val="left"/>
              <w:rPr>
                <w:rFonts w:ascii="Times New Roman" w:hAnsi="Times New Roman" w:cs="Times New Roman"/>
                <w:b w:val="0"/>
                <w:sz w:val="16"/>
                <w:szCs w:val="16"/>
              </w:rPr>
            </w:pPr>
            <w:r>
              <w:rPr>
                <w:rFonts w:ascii="Times New Roman" w:hAnsi="Times New Roman" w:cs="Times New Roman"/>
                <w:b w:val="0"/>
                <w:sz w:val="16"/>
                <w:szCs w:val="16"/>
              </w:rPr>
              <w:t>UA743281680000000026503815351</w:t>
            </w:r>
            <w:r w:rsidR="00A97BE7" w:rsidRPr="00E16672">
              <w:rPr>
                <w:rFonts w:ascii="Times New Roman" w:hAnsi="Times New Roman" w:cs="Times New Roman"/>
                <w:b w:val="0"/>
                <w:sz w:val="16"/>
                <w:szCs w:val="16"/>
              </w:rPr>
              <w:t xml:space="preserve"> </w:t>
            </w:r>
          </w:p>
          <w:p w14:paraId="6EC72187" w14:textId="77777777" w:rsidR="00154814" w:rsidRPr="00E16672" w:rsidRDefault="00622BEB" w:rsidP="00022F5F">
            <w:pPr>
              <w:pStyle w:val="3"/>
              <w:numPr>
                <w:ilvl w:val="0"/>
                <w:numId w:val="0"/>
              </w:numPr>
              <w:snapToGrid w:val="0"/>
              <w:spacing w:before="0" w:after="0"/>
              <w:ind w:left="15" w:right="219"/>
              <w:jc w:val="left"/>
              <w:rPr>
                <w:rFonts w:ascii="Times New Roman" w:hAnsi="Times New Roman" w:cs="Times New Roman"/>
                <w:b w:val="0"/>
                <w:sz w:val="16"/>
                <w:szCs w:val="16"/>
              </w:rPr>
            </w:pPr>
            <w:r>
              <w:rPr>
                <w:rFonts w:ascii="Times New Roman" w:hAnsi="Times New Roman" w:cs="Times New Roman"/>
                <w:b w:val="0"/>
                <w:bCs w:val="0"/>
                <w:color w:val="000000"/>
                <w:sz w:val="16"/>
                <w:szCs w:val="16"/>
              </w:rPr>
              <w:t xml:space="preserve">ПАТ </w:t>
            </w:r>
            <w:r w:rsidR="00022F5F">
              <w:rPr>
                <w:rFonts w:ascii="Times New Roman" w:hAnsi="Times New Roman" w:cs="Times New Roman"/>
                <w:b w:val="0"/>
                <w:bCs w:val="0"/>
                <w:color w:val="000000"/>
                <w:sz w:val="16"/>
                <w:szCs w:val="16"/>
              </w:rPr>
              <w:t>"</w:t>
            </w:r>
            <w:r>
              <w:rPr>
                <w:rFonts w:ascii="Times New Roman" w:hAnsi="Times New Roman" w:cs="Times New Roman"/>
                <w:b w:val="0"/>
                <w:bCs w:val="0"/>
                <w:color w:val="000000"/>
                <w:sz w:val="16"/>
                <w:szCs w:val="16"/>
              </w:rPr>
              <w:t>МТБ Банк</w:t>
            </w:r>
            <w:r w:rsidR="00022F5F">
              <w:rPr>
                <w:rFonts w:ascii="Times New Roman" w:hAnsi="Times New Roman" w:cs="Times New Roman"/>
                <w:b w:val="0"/>
                <w:bCs w:val="0"/>
                <w:color w:val="000000"/>
                <w:sz w:val="16"/>
                <w:szCs w:val="16"/>
              </w:rPr>
              <w:t>"</w:t>
            </w:r>
            <w:r>
              <w:rPr>
                <w:rFonts w:ascii="Times New Roman" w:hAnsi="Times New Roman" w:cs="Times New Roman"/>
                <w:b w:val="0"/>
                <w:bCs w:val="0"/>
                <w:color w:val="000000"/>
                <w:sz w:val="16"/>
                <w:szCs w:val="16"/>
              </w:rPr>
              <w:t>, МФО 328168</w:t>
            </w:r>
            <w:r w:rsidR="00154814" w:rsidRPr="00E16672">
              <w:rPr>
                <w:rFonts w:ascii="Times New Roman" w:hAnsi="Times New Roman" w:cs="Times New Roman"/>
                <w:b w:val="0"/>
                <w:sz w:val="16"/>
                <w:szCs w:val="16"/>
              </w:rPr>
              <w:t xml:space="preserve">, ЄДРПОУ </w:t>
            </w:r>
            <w:r w:rsidR="00565242">
              <w:rPr>
                <w:rFonts w:ascii="Times New Roman" w:hAnsi="Times New Roman" w:cs="Times New Roman"/>
                <w:b w:val="0"/>
                <w:sz w:val="16"/>
                <w:szCs w:val="16"/>
              </w:rPr>
              <w:t>21650966</w:t>
            </w:r>
          </w:p>
          <w:p w14:paraId="685E334C" w14:textId="77777777" w:rsidR="007974E8" w:rsidRPr="00E16672" w:rsidRDefault="00565242" w:rsidP="00154814">
            <w:pPr>
              <w:pStyle w:val="6"/>
              <w:widowControl w:val="0"/>
              <w:tabs>
                <w:tab w:val="clear" w:pos="-501"/>
                <w:tab w:val="num" w:pos="0"/>
              </w:tabs>
              <w:snapToGrid w:val="0"/>
              <w:ind w:left="0" w:firstLine="0"/>
              <w:jc w:val="left"/>
              <w:rPr>
                <w:rFonts w:ascii="Times New Roman" w:hAnsi="Times New Roman"/>
                <w:sz w:val="16"/>
                <w:szCs w:val="16"/>
              </w:rPr>
            </w:pPr>
            <w:r w:rsidRPr="00565242">
              <w:rPr>
                <w:rFonts w:ascii="Times New Roman" w:hAnsi="Times New Roman"/>
                <w:bCs/>
                <w:sz w:val="16"/>
                <w:szCs w:val="16"/>
              </w:rPr>
              <w:t xml:space="preserve">68003, </w:t>
            </w:r>
            <w:proofErr w:type="spellStart"/>
            <w:r w:rsidRPr="00565242">
              <w:rPr>
                <w:rFonts w:ascii="Times New Roman" w:hAnsi="Times New Roman"/>
                <w:bCs/>
                <w:sz w:val="16"/>
                <w:szCs w:val="16"/>
              </w:rPr>
              <w:t>м.Чорноморськ</w:t>
            </w:r>
            <w:proofErr w:type="spellEnd"/>
            <w:r w:rsidRPr="00565242">
              <w:rPr>
                <w:rFonts w:ascii="Times New Roman" w:hAnsi="Times New Roman"/>
                <w:bCs/>
                <w:sz w:val="16"/>
                <w:szCs w:val="16"/>
              </w:rPr>
              <w:t>, Миру просп., буд. 28</w:t>
            </w:r>
          </w:p>
        </w:tc>
      </w:tr>
      <w:tr w:rsidR="007974E8" w:rsidRPr="00E16672" w14:paraId="03B87D65" w14:textId="77777777" w:rsidTr="00154814">
        <w:tc>
          <w:tcPr>
            <w:tcW w:w="3402" w:type="dxa"/>
            <w:gridSpan w:val="3"/>
            <w:shd w:val="clear" w:color="auto" w:fill="auto"/>
          </w:tcPr>
          <w:p w14:paraId="1B31CC6E" w14:textId="77777777" w:rsidR="007974E8" w:rsidRPr="00E16672" w:rsidRDefault="007974E8" w:rsidP="00E72E24">
            <w:pPr>
              <w:snapToGrid w:val="0"/>
              <w:ind w:firstLine="6"/>
              <w:rPr>
                <w:rFonts w:ascii="Times New Roman" w:hAnsi="Times New Roman"/>
                <w:color w:val="000000"/>
                <w:sz w:val="16"/>
                <w:szCs w:val="16"/>
                <w:lang w:val="uk-UA"/>
              </w:rPr>
            </w:pPr>
          </w:p>
        </w:tc>
        <w:tc>
          <w:tcPr>
            <w:tcW w:w="3401" w:type="dxa"/>
            <w:gridSpan w:val="3"/>
            <w:shd w:val="clear" w:color="auto" w:fill="auto"/>
          </w:tcPr>
          <w:p w14:paraId="607C4957" w14:textId="77777777" w:rsidR="007974E8" w:rsidRPr="00E16672" w:rsidRDefault="007974E8" w:rsidP="00E72E24">
            <w:pPr>
              <w:snapToGrid w:val="0"/>
              <w:ind w:firstLine="6"/>
              <w:rPr>
                <w:rFonts w:ascii="Times New Roman" w:hAnsi="Times New Roman"/>
                <w:color w:val="000000"/>
                <w:sz w:val="16"/>
                <w:szCs w:val="16"/>
                <w:lang w:val="uk-UA"/>
              </w:rPr>
            </w:pPr>
          </w:p>
        </w:tc>
        <w:tc>
          <w:tcPr>
            <w:tcW w:w="236" w:type="dxa"/>
            <w:shd w:val="clear" w:color="auto" w:fill="auto"/>
          </w:tcPr>
          <w:p w14:paraId="1B16687C" w14:textId="77777777" w:rsidR="007974E8" w:rsidRPr="00E16672" w:rsidRDefault="007974E8" w:rsidP="00E72E24">
            <w:pPr>
              <w:snapToGrid w:val="0"/>
              <w:rPr>
                <w:rFonts w:ascii="Times New Roman" w:hAnsi="Times New Roman"/>
                <w:color w:val="000000"/>
                <w:sz w:val="16"/>
                <w:szCs w:val="16"/>
                <w:lang w:val="uk-UA"/>
              </w:rPr>
            </w:pPr>
          </w:p>
        </w:tc>
        <w:tc>
          <w:tcPr>
            <w:tcW w:w="4213" w:type="dxa"/>
            <w:gridSpan w:val="3"/>
            <w:shd w:val="clear" w:color="auto" w:fill="auto"/>
          </w:tcPr>
          <w:p w14:paraId="45B31EFC" w14:textId="77777777" w:rsidR="007974E8" w:rsidRPr="00E16672" w:rsidRDefault="007974E8" w:rsidP="00E72E24">
            <w:pPr>
              <w:snapToGrid w:val="0"/>
              <w:rPr>
                <w:rFonts w:ascii="Times New Roman" w:hAnsi="Times New Roman"/>
                <w:color w:val="000000"/>
                <w:sz w:val="16"/>
                <w:szCs w:val="16"/>
              </w:rPr>
            </w:pPr>
          </w:p>
        </w:tc>
      </w:tr>
      <w:tr w:rsidR="00154814" w:rsidRPr="00E16672" w14:paraId="04A06E11" w14:textId="77777777" w:rsidTr="00154814">
        <w:tc>
          <w:tcPr>
            <w:tcW w:w="2268" w:type="dxa"/>
            <w:gridSpan w:val="2"/>
            <w:shd w:val="clear" w:color="auto" w:fill="auto"/>
          </w:tcPr>
          <w:p w14:paraId="57AF48FB" w14:textId="77777777" w:rsidR="00154814" w:rsidRPr="00E16672" w:rsidRDefault="00154814" w:rsidP="00154814">
            <w:pPr>
              <w:snapToGrid w:val="0"/>
              <w:ind w:firstLine="6"/>
              <w:jc w:val="left"/>
              <w:rPr>
                <w:rFonts w:ascii="Times New Roman" w:hAnsi="Times New Roman"/>
                <w:b/>
                <w:bCs/>
                <w:i/>
                <w:iCs/>
                <w:color w:val="000000"/>
                <w:sz w:val="16"/>
                <w:szCs w:val="16"/>
              </w:rPr>
            </w:pPr>
            <w:r w:rsidRPr="00E16672">
              <w:rPr>
                <w:rFonts w:ascii="Times New Roman" w:hAnsi="Times New Roman"/>
                <w:b/>
                <w:color w:val="000000"/>
                <w:sz w:val="16"/>
                <w:szCs w:val="16"/>
                <w:lang w:val="uk-UA"/>
              </w:rPr>
              <w:t>Документ, що підтверджує повноваження особи, яка підписує договір</w:t>
            </w:r>
          </w:p>
        </w:tc>
        <w:tc>
          <w:tcPr>
            <w:tcW w:w="1134" w:type="dxa"/>
            <w:shd w:val="clear" w:color="auto" w:fill="auto"/>
          </w:tcPr>
          <w:p w14:paraId="7A8FB559" w14:textId="77777777" w:rsidR="00154814" w:rsidRPr="00E16672" w:rsidRDefault="00154814" w:rsidP="00154814">
            <w:pPr>
              <w:snapToGrid w:val="0"/>
              <w:ind w:firstLine="6"/>
              <w:rPr>
                <w:rFonts w:ascii="Times New Roman" w:hAnsi="Times New Roman"/>
                <w:b/>
                <w:bCs/>
                <w:i/>
                <w:iCs/>
                <w:color w:val="000000"/>
                <w:sz w:val="16"/>
                <w:szCs w:val="16"/>
              </w:rPr>
            </w:pPr>
          </w:p>
        </w:tc>
        <w:tc>
          <w:tcPr>
            <w:tcW w:w="2268" w:type="dxa"/>
            <w:gridSpan w:val="2"/>
            <w:shd w:val="clear" w:color="auto" w:fill="auto"/>
          </w:tcPr>
          <w:p w14:paraId="762D144F" w14:textId="77777777" w:rsidR="00154814" w:rsidRPr="00E16672" w:rsidRDefault="00154814" w:rsidP="00154814">
            <w:pPr>
              <w:snapToGrid w:val="0"/>
              <w:ind w:firstLine="6"/>
              <w:jc w:val="left"/>
              <w:rPr>
                <w:rFonts w:ascii="Times New Roman" w:hAnsi="Times New Roman"/>
                <w:b/>
                <w:bCs/>
                <w:i/>
                <w:iCs/>
                <w:color w:val="000000"/>
                <w:sz w:val="16"/>
                <w:szCs w:val="16"/>
              </w:rPr>
            </w:pPr>
            <w:r w:rsidRPr="00E16672">
              <w:rPr>
                <w:rFonts w:ascii="Times New Roman" w:hAnsi="Times New Roman"/>
                <w:b/>
                <w:color w:val="000000"/>
                <w:sz w:val="16"/>
                <w:szCs w:val="16"/>
                <w:lang w:val="uk-UA"/>
              </w:rPr>
              <w:t>Документ, що підтверджує повноваження особи, яка підписує договір</w:t>
            </w:r>
          </w:p>
        </w:tc>
        <w:tc>
          <w:tcPr>
            <w:tcW w:w="1133" w:type="dxa"/>
            <w:shd w:val="clear" w:color="auto" w:fill="auto"/>
          </w:tcPr>
          <w:p w14:paraId="3A711A01" w14:textId="77777777" w:rsidR="00154814" w:rsidRPr="00E16672" w:rsidRDefault="00154814" w:rsidP="00154814">
            <w:pPr>
              <w:snapToGrid w:val="0"/>
              <w:ind w:firstLine="6"/>
              <w:rPr>
                <w:rFonts w:ascii="Times New Roman" w:hAnsi="Times New Roman"/>
                <w:b/>
                <w:bCs/>
                <w:i/>
                <w:iCs/>
                <w:color w:val="000000"/>
                <w:sz w:val="16"/>
                <w:szCs w:val="16"/>
              </w:rPr>
            </w:pPr>
          </w:p>
        </w:tc>
        <w:tc>
          <w:tcPr>
            <w:tcW w:w="236" w:type="dxa"/>
            <w:shd w:val="clear" w:color="auto" w:fill="auto"/>
          </w:tcPr>
          <w:p w14:paraId="1FFF6338" w14:textId="77777777" w:rsidR="00154814" w:rsidRPr="00E16672" w:rsidRDefault="00154814" w:rsidP="00154814">
            <w:pPr>
              <w:snapToGrid w:val="0"/>
              <w:ind w:firstLine="6"/>
              <w:rPr>
                <w:rFonts w:ascii="Times New Roman" w:hAnsi="Times New Roman"/>
                <w:b/>
                <w:bCs/>
                <w:i/>
                <w:iCs/>
                <w:color w:val="000000"/>
                <w:sz w:val="16"/>
                <w:szCs w:val="16"/>
              </w:rPr>
            </w:pPr>
          </w:p>
        </w:tc>
        <w:tc>
          <w:tcPr>
            <w:tcW w:w="3026" w:type="dxa"/>
            <w:gridSpan w:val="2"/>
            <w:shd w:val="clear" w:color="auto" w:fill="auto"/>
          </w:tcPr>
          <w:p w14:paraId="238E206E" w14:textId="77777777" w:rsidR="00154814" w:rsidRPr="00E16672" w:rsidRDefault="00154814" w:rsidP="00154814">
            <w:pPr>
              <w:snapToGrid w:val="0"/>
              <w:ind w:firstLine="6"/>
              <w:rPr>
                <w:rFonts w:ascii="Times New Roman" w:hAnsi="Times New Roman"/>
                <w:b/>
                <w:bCs/>
                <w:i/>
                <w:iCs/>
                <w:color w:val="000000"/>
                <w:sz w:val="16"/>
                <w:szCs w:val="16"/>
              </w:rPr>
            </w:pPr>
            <w:r w:rsidRPr="00E16672">
              <w:rPr>
                <w:rFonts w:ascii="Times New Roman" w:hAnsi="Times New Roman"/>
                <w:b/>
                <w:color w:val="000000"/>
                <w:sz w:val="16"/>
                <w:szCs w:val="16"/>
                <w:lang w:val="uk-UA"/>
              </w:rPr>
              <w:t>Документ, що підтверджує повноваження особи, яка підписує договір</w:t>
            </w:r>
          </w:p>
        </w:tc>
        <w:tc>
          <w:tcPr>
            <w:tcW w:w="1187" w:type="dxa"/>
            <w:shd w:val="clear" w:color="auto" w:fill="auto"/>
            <w:vAlign w:val="center"/>
          </w:tcPr>
          <w:p w14:paraId="1E7EE192" w14:textId="77777777" w:rsidR="00154814" w:rsidRPr="00E16672" w:rsidRDefault="00154814" w:rsidP="00154814">
            <w:pPr>
              <w:snapToGrid w:val="0"/>
              <w:ind w:firstLine="6"/>
              <w:rPr>
                <w:rFonts w:ascii="Times New Roman" w:hAnsi="Times New Roman"/>
                <w:color w:val="000000"/>
                <w:sz w:val="16"/>
                <w:szCs w:val="16"/>
                <w:lang w:val="en-US"/>
              </w:rPr>
            </w:pPr>
            <w:r w:rsidRPr="00E16672">
              <w:rPr>
                <w:rFonts w:ascii="Times New Roman" w:hAnsi="Times New Roman"/>
                <w:bCs/>
                <w:sz w:val="16"/>
                <w:szCs w:val="16"/>
                <w:lang w:val="uk-UA"/>
              </w:rPr>
              <w:t>Статут</w:t>
            </w:r>
          </w:p>
        </w:tc>
      </w:tr>
      <w:tr w:rsidR="00154814" w:rsidRPr="00E16672" w14:paraId="30CB696A" w14:textId="77777777" w:rsidTr="00154814">
        <w:tc>
          <w:tcPr>
            <w:tcW w:w="1701" w:type="dxa"/>
            <w:shd w:val="clear" w:color="auto" w:fill="auto"/>
          </w:tcPr>
          <w:p w14:paraId="19AB355B" w14:textId="77777777" w:rsidR="00154814" w:rsidRPr="00E16672" w:rsidRDefault="00154814" w:rsidP="00154814">
            <w:pPr>
              <w:snapToGrid w:val="0"/>
              <w:ind w:firstLine="6"/>
              <w:rPr>
                <w:rFonts w:ascii="Times New Roman" w:hAnsi="Times New Roman"/>
                <w:b/>
                <w:bCs/>
                <w:i/>
                <w:iCs/>
                <w:color w:val="000000"/>
                <w:sz w:val="16"/>
                <w:szCs w:val="16"/>
                <w:lang w:val="en-US"/>
              </w:rPr>
            </w:pPr>
            <w:r w:rsidRPr="00E16672">
              <w:rPr>
                <w:rFonts w:ascii="Times New Roman" w:hAnsi="Times New Roman"/>
                <w:b/>
                <w:bCs/>
                <w:i/>
                <w:iCs/>
                <w:color w:val="000000"/>
                <w:sz w:val="16"/>
                <w:szCs w:val="16"/>
                <w:lang w:val="en-US"/>
              </w:rPr>
              <w:t>E-mail</w:t>
            </w:r>
          </w:p>
        </w:tc>
        <w:tc>
          <w:tcPr>
            <w:tcW w:w="1701" w:type="dxa"/>
            <w:gridSpan w:val="2"/>
            <w:shd w:val="clear" w:color="auto" w:fill="auto"/>
          </w:tcPr>
          <w:p w14:paraId="582A99DB" w14:textId="77777777" w:rsidR="00154814" w:rsidRPr="00E16672" w:rsidRDefault="00154814" w:rsidP="00154814">
            <w:pPr>
              <w:snapToGrid w:val="0"/>
              <w:ind w:firstLine="6"/>
              <w:rPr>
                <w:rFonts w:ascii="Times New Roman" w:hAnsi="Times New Roman"/>
                <w:b/>
                <w:bCs/>
                <w:i/>
                <w:iCs/>
                <w:color w:val="000000"/>
                <w:sz w:val="16"/>
                <w:szCs w:val="16"/>
                <w:lang w:val="en-US"/>
              </w:rPr>
            </w:pPr>
          </w:p>
        </w:tc>
        <w:tc>
          <w:tcPr>
            <w:tcW w:w="1701" w:type="dxa"/>
            <w:shd w:val="clear" w:color="auto" w:fill="auto"/>
          </w:tcPr>
          <w:p w14:paraId="755D506E" w14:textId="77777777" w:rsidR="00154814" w:rsidRPr="00E16672" w:rsidRDefault="00154814" w:rsidP="00154814">
            <w:pPr>
              <w:snapToGrid w:val="0"/>
              <w:ind w:firstLine="6"/>
              <w:rPr>
                <w:rFonts w:ascii="Times New Roman" w:hAnsi="Times New Roman"/>
                <w:b/>
                <w:bCs/>
                <w:i/>
                <w:iCs/>
                <w:color w:val="000000"/>
                <w:sz w:val="16"/>
                <w:szCs w:val="16"/>
                <w:lang w:val="en-US"/>
              </w:rPr>
            </w:pPr>
            <w:r w:rsidRPr="00E16672">
              <w:rPr>
                <w:rFonts w:ascii="Times New Roman" w:hAnsi="Times New Roman"/>
                <w:b/>
                <w:bCs/>
                <w:i/>
                <w:iCs/>
                <w:color w:val="000000"/>
                <w:sz w:val="16"/>
                <w:szCs w:val="16"/>
                <w:lang w:val="en-US"/>
              </w:rPr>
              <w:t>E-mail</w:t>
            </w:r>
          </w:p>
        </w:tc>
        <w:tc>
          <w:tcPr>
            <w:tcW w:w="1700" w:type="dxa"/>
            <w:gridSpan w:val="2"/>
            <w:shd w:val="clear" w:color="auto" w:fill="auto"/>
          </w:tcPr>
          <w:p w14:paraId="17E37F0E" w14:textId="77777777" w:rsidR="00154814" w:rsidRPr="00E16672" w:rsidRDefault="00154814" w:rsidP="00154814">
            <w:pPr>
              <w:snapToGrid w:val="0"/>
              <w:ind w:firstLine="6"/>
              <w:rPr>
                <w:rFonts w:ascii="Times New Roman" w:hAnsi="Times New Roman"/>
                <w:b/>
                <w:bCs/>
                <w:i/>
                <w:iCs/>
                <w:color w:val="000000"/>
                <w:sz w:val="16"/>
                <w:szCs w:val="16"/>
                <w:lang w:val="en-US"/>
              </w:rPr>
            </w:pPr>
          </w:p>
        </w:tc>
        <w:tc>
          <w:tcPr>
            <w:tcW w:w="236" w:type="dxa"/>
            <w:shd w:val="clear" w:color="auto" w:fill="auto"/>
          </w:tcPr>
          <w:p w14:paraId="0D8DEF91" w14:textId="77777777" w:rsidR="00154814" w:rsidRPr="00E16672" w:rsidRDefault="00154814" w:rsidP="00154814">
            <w:pPr>
              <w:snapToGrid w:val="0"/>
              <w:ind w:firstLine="6"/>
              <w:rPr>
                <w:rFonts w:ascii="Times New Roman" w:hAnsi="Times New Roman"/>
                <w:b/>
                <w:bCs/>
                <w:i/>
                <w:iCs/>
                <w:color w:val="000000"/>
                <w:sz w:val="16"/>
                <w:szCs w:val="16"/>
                <w:lang w:val="en-US"/>
              </w:rPr>
            </w:pPr>
          </w:p>
        </w:tc>
        <w:tc>
          <w:tcPr>
            <w:tcW w:w="2175" w:type="dxa"/>
            <w:shd w:val="clear" w:color="auto" w:fill="auto"/>
            <w:vAlign w:val="center"/>
          </w:tcPr>
          <w:p w14:paraId="192C38FD" w14:textId="77777777" w:rsidR="00154814" w:rsidRPr="00E16672" w:rsidRDefault="00154814" w:rsidP="00154814">
            <w:pPr>
              <w:snapToGrid w:val="0"/>
              <w:ind w:firstLine="6"/>
              <w:rPr>
                <w:rFonts w:ascii="Times New Roman" w:hAnsi="Times New Roman"/>
                <w:b/>
                <w:bCs/>
                <w:i/>
                <w:iCs/>
                <w:color w:val="000000"/>
                <w:sz w:val="16"/>
                <w:szCs w:val="16"/>
                <w:lang w:val="en-US"/>
              </w:rPr>
            </w:pPr>
            <w:r w:rsidRPr="00E16672">
              <w:rPr>
                <w:rFonts w:ascii="Times New Roman" w:hAnsi="Times New Roman"/>
                <w:b/>
                <w:bCs/>
                <w:i/>
                <w:iCs/>
                <w:color w:val="000000"/>
                <w:sz w:val="16"/>
                <w:szCs w:val="16"/>
                <w:lang w:val="en-US"/>
              </w:rPr>
              <w:t>E-mail</w:t>
            </w:r>
          </w:p>
        </w:tc>
        <w:tc>
          <w:tcPr>
            <w:tcW w:w="2038" w:type="dxa"/>
            <w:gridSpan w:val="2"/>
            <w:shd w:val="clear" w:color="auto" w:fill="auto"/>
            <w:vAlign w:val="center"/>
          </w:tcPr>
          <w:p w14:paraId="5092F4F0" w14:textId="77777777" w:rsidR="00154814" w:rsidRPr="00E16672" w:rsidRDefault="00622BEB" w:rsidP="00154814">
            <w:pPr>
              <w:snapToGrid w:val="0"/>
              <w:ind w:firstLine="6"/>
              <w:rPr>
                <w:rFonts w:ascii="Times New Roman" w:hAnsi="Times New Roman"/>
                <w:color w:val="000000"/>
                <w:sz w:val="16"/>
                <w:szCs w:val="16"/>
                <w:lang w:val="en-US"/>
              </w:rPr>
            </w:pPr>
            <w:r>
              <w:rPr>
                <w:rFonts w:ascii="Times New Roman" w:hAnsi="Times New Roman"/>
                <w:bCs/>
                <w:sz w:val="16"/>
                <w:szCs w:val="16"/>
                <w:lang w:val="uk-UA"/>
              </w:rPr>
              <w:t>custody@comex.com.ua</w:t>
            </w:r>
          </w:p>
        </w:tc>
      </w:tr>
      <w:tr w:rsidR="00154814" w:rsidRPr="00E16672" w14:paraId="10F2E2E8" w14:textId="77777777" w:rsidTr="00154814">
        <w:tc>
          <w:tcPr>
            <w:tcW w:w="1701" w:type="dxa"/>
            <w:shd w:val="clear" w:color="auto" w:fill="auto"/>
          </w:tcPr>
          <w:p w14:paraId="0697D344" w14:textId="77777777" w:rsidR="00154814" w:rsidRPr="00E16672" w:rsidRDefault="00154814" w:rsidP="00154814">
            <w:pPr>
              <w:snapToGrid w:val="0"/>
              <w:ind w:firstLine="0"/>
              <w:rPr>
                <w:rFonts w:ascii="Times New Roman" w:hAnsi="Times New Roman"/>
                <w:b/>
                <w:i/>
                <w:color w:val="000000"/>
                <w:sz w:val="16"/>
                <w:szCs w:val="16"/>
              </w:rPr>
            </w:pPr>
            <w:r w:rsidRPr="00E16672">
              <w:rPr>
                <w:rFonts w:ascii="Times New Roman" w:hAnsi="Times New Roman"/>
                <w:b/>
                <w:i/>
                <w:color w:val="000000"/>
                <w:sz w:val="16"/>
                <w:szCs w:val="16"/>
              </w:rPr>
              <w:t>Телефон</w:t>
            </w:r>
          </w:p>
        </w:tc>
        <w:tc>
          <w:tcPr>
            <w:tcW w:w="1701" w:type="dxa"/>
            <w:gridSpan w:val="2"/>
            <w:shd w:val="clear" w:color="auto" w:fill="auto"/>
          </w:tcPr>
          <w:p w14:paraId="09907D52" w14:textId="77777777" w:rsidR="00154814" w:rsidRPr="00E16672" w:rsidRDefault="00154814" w:rsidP="00154814">
            <w:pPr>
              <w:snapToGrid w:val="0"/>
              <w:rPr>
                <w:rFonts w:ascii="Times New Roman" w:hAnsi="Times New Roman"/>
                <w:color w:val="000000"/>
                <w:sz w:val="16"/>
                <w:szCs w:val="16"/>
              </w:rPr>
            </w:pPr>
          </w:p>
        </w:tc>
        <w:tc>
          <w:tcPr>
            <w:tcW w:w="1701" w:type="dxa"/>
            <w:shd w:val="clear" w:color="auto" w:fill="auto"/>
          </w:tcPr>
          <w:p w14:paraId="07246D50" w14:textId="77777777" w:rsidR="00154814" w:rsidRPr="00E16672" w:rsidRDefault="00154814" w:rsidP="00154814">
            <w:pPr>
              <w:snapToGrid w:val="0"/>
              <w:ind w:firstLine="0"/>
              <w:rPr>
                <w:rFonts w:ascii="Times New Roman" w:hAnsi="Times New Roman"/>
                <w:b/>
                <w:i/>
                <w:color w:val="000000"/>
                <w:sz w:val="16"/>
                <w:szCs w:val="16"/>
              </w:rPr>
            </w:pPr>
            <w:r w:rsidRPr="00E16672">
              <w:rPr>
                <w:rFonts w:ascii="Times New Roman" w:hAnsi="Times New Roman"/>
                <w:b/>
                <w:i/>
                <w:color w:val="000000"/>
                <w:sz w:val="16"/>
                <w:szCs w:val="16"/>
              </w:rPr>
              <w:t>Телефон</w:t>
            </w:r>
          </w:p>
        </w:tc>
        <w:tc>
          <w:tcPr>
            <w:tcW w:w="1700" w:type="dxa"/>
            <w:gridSpan w:val="2"/>
            <w:shd w:val="clear" w:color="auto" w:fill="auto"/>
          </w:tcPr>
          <w:p w14:paraId="1B824439" w14:textId="77777777" w:rsidR="00154814" w:rsidRPr="00E16672" w:rsidRDefault="00154814" w:rsidP="00154814">
            <w:pPr>
              <w:snapToGrid w:val="0"/>
              <w:rPr>
                <w:rFonts w:ascii="Times New Roman" w:hAnsi="Times New Roman"/>
                <w:color w:val="000000"/>
                <w:sz w:val="16"/>
                <w:szCs w:val="16"/>
              </w:rPr>
            </w:pPr>
          </w:p>
        </w:tc>
        <w:tc>
          <w:tcPr>
            <w:tcW w:w="236" w:type="dxa"/>
            <w:shd w:val="clear" w:color="auto" w:fill="auto"/>
          </w:tcPr>
          <w:p w14:paraId="6F7FEDFC" w14:textId="77777777" w:rsidR="00154814" w:rsidRPr="00E16672" w:rsidRDefault="00154814" w:rsidP="00154814">
            <w:pPr>
              <w:snapToGrid w:val="0"/>
              <w:rPr>
                <w:rFonts w:ascii="Times New Roman" w:hAnsi="Times New Roman"/>
                <w:color w:val="000000"/>
                <w:sz w:val="16"/>
                <w:szCs w:val="16"/>
              </w:rPr>
            </w:pPr>
          </w:p>
        </w:tc>
        <w:tc>
          <w:tcPr>
            <w:tcW w:w="2175" w:type="dxa"/>
            <w:shd w:val="clear" w:color="auto" w:fill="auto"/>
            <w:vAlign w:val="center"/>
          </w:tcPr>
          <w:p w14:paraId="19D9CDFE" w14:textId="77777777" w:rsidR="00154814" w:rsidRPr="00E16672" w:rsidRDefault="00154814" w:rsidP="00154814">
            <w:pPr>
              <w:snapToGrid w:val="0"/>
              <w:ind w:firstLine="0"/>
              <w:rPr>
                <w:rFonts w:ascii="Times New Roman" w:hAnsi="Times New Roman"/>
                <w:b/>
                <w:i/>
                <w:color w:val="000000"/>
                <w:sz w:val="16"/>
                <w:szCs w:val="16"/>
              </w:rPr>
            </w:pPr>
            <w:r w:rsidRPr="00E16672">
              <w:rPr>
                <w:rFonts w:ascii="Times New Roman" w:hAnsi="Times New Roman"/>
                <w:b/>
                <w:i/>
                <w:color w:val="000000"/>
                <w:sz w:val="16"/>
                <w:szCs w:val="16"/>
              </w:rPr>
              <w:t>Телефон</w:t>
            </w:r>
          </w:p>
        </w:tc>
        <w:tc>
          <w:tcPr>
            <w:tcW w:w="2038" w:type="dxa"/>
            <w:gridSpan w:val="2"/>
            <w:shd w:val="clear" w:color="auto" w:fill="auto"/>
            <w:vAlign w:val="center"/>
          </w:tcPr>
          <w:p w14:paraId="53C03D0C" w14:textId="77777777" w:rsidR="00154814" w:rsidRPr="00E16672" w:rsidRDefault="00622BEB" w:rsidP="00154814">
            <w:pPr>
              <w:snapToGrid w:val="0"/>
              <w:ind w:firstLine="0"/>
              <w:rPr>
                <w:rFonts w:ascii="Times New Roman" w:hAnsi="Times New Roman"/>
                <w:bCs/>
                <w:color w:val="000000"/>
                <w:sz w:val="16"/>
                <w:szCs w:val="16"/>
                <w:lang w:val="en-US"/>
              </w:rPr>
            </w:pPr>
            <w:r>
              <w:rPr>
                <w:rFonts w:ascii="Times New Roman" w:hAnsi="Times New Roman"/>
                <w:bCs/>
                <w:sz w:val="16"/>
                <w:szCs w:val="16"/>
                <w:lang w:val="uk-UA"/>
              </w:rPr>
              <w:t>044 502 65 73</w:t>
            </w:r>
          </w:p>
        </w:tc>
      </w:tr>
      <w:tr w:rsidR="00154814" w:rsidRPr="00E16672" w14:paraId="3955D0BC" w14:textId="77777777" w:rsidTr="00154814">
        <w:tc>
          <w:tcPr>
            <w:tcW w:w="1701" w:type="dxa"/>
            <w:shd w:val="clear" w:color="auto" w:fill="auto"/>
          </w:tcPr>
          <w:p w14:paraId="50F7A730" w14:textId="77777777" w:rsidR="00154814" w:rsidRPr="00E16672" w:rsidRDefault="00154814" w:rsidP="00154814">
            <w:pPr>
              <w:snapToGrid w:val="0"/>
              <w:ind w:firstLine="0"/>
              <w:rPr>
                <w:rFonts w:ascii="Times New Roman" w:hAnsi="Times New Roman"/>
                <w:color w:val="000000"/>
                <w:sz w:val="16"/>
                <w:szCs w:val="16"/>
              </w:rPr>
            </w:pPr>
            <w:r w:rsidRPr="00E16672">
              <w:rPr>
                <w:rFonts w:ascii="Times New Roman" w:hAnsi="Times New Roman"/>
                <w:b/>
                <w:i/>
                <w:color w:val="000000"/>
                <w:sz w:val="16"/>
                <w:szCs w:val="16"/>
              </w:rPr>
              <w:t>Факс</w:t>
            </w:r>
            <w:r w:rsidRPr="00E16672">
              <w:rPr>
                <w:rFonts w:ascii="Times New Roman" w:hAnsi="Times New Roman"/>
                <w:i/>
                <w:color w:val="000000"/>
                <w:sz w:val="16"/>
                <w:szCs w:val="16"/>
              </w:rPr>
              <w:t xml:space="preserve"> </w:t>
            </w:r>
            <w:r w:rsidRPr="00E16672">
              <w:rPr>
                <w:rFonts w:ascii="Times New Roman" w:hAnsi="Times New Roman"/>
                <w:color w:val="000000"/>
                <w:sz w:val="16"/>
                <w:szCs w:val="16"/>
              </w:rPr>
              <w:t xml:space="preserve">   </w:t>
            </w:r>
          </w:p>
        </w:tc>
        <w:tc>
          <w:tcPr>
            <w:tcW w:w="1701" w:type="dxa"/>
            <w:gridSpan w:val="2"/>
            <w:shd w:val="clear" w:color="auto" w:fill="auto"/>
          </w:tcPr>
          <w:p w14:paraId="47D5AC29" w14:textId="77777777" w:rsidR="00154814" w:rsidRPr="00E16672" w:rsidRDefault="00154814" w:rsidP="00154814">
            <w:pPr>
              <w:snapToGrid w:val="0"/>
              <w:rPr>
                <w:rFonts w:ascii="Times New Roman" w:hAnsi="Times New Roman"/>
                <w:color w:val="000000"/>
                <w:sz w:val="16"/>
                <w:szCs w:val="16"/>
              </w:rPr>
            </w:pPr>
          </w:p>
        </w:tc>
        <w:tc>
          <w:tcPr>
            <w:tcW w:w="1701" w:type="dxa"/>
            <w:shd w:val="clear" w:color="auto" w:fill="auto"/>
          </w:tcPr>
          <w:p w14:paraId="6B3A84EC" w14:textId="77777777" w:rsidR="00154814" w:rsidRPr="00E16672" w:rsidRDefault="00154814" w:rsidP="00154814">
            <w:pPr>
              <w:snapToGrid w:val="0"/>
              <w:ind w:firstLine="0"/>
              <w:rPr>
                <w:rFonts w:ascii="Times New Roman" w:hAnsi="Times New Roman"/>
                <w:color w:val="000000"/>
                <w:sz w:val="16"/>
                <w:szCs w:val="16"/>
              </w:rPr>
            </w:pPr>
            <w:r w:rsidRPr="00E16672">
              <w:rPr>
                <w:rFonts w:ascii="Times New Roman" w:hAnsi="Times New Roman"/>
                <w:b/>
                <w:i/>
                <w:color w:val="000000"/>
                <w:sz w:val="16"/>
                <w:szCs w:val="16"/>
              </w:rPr>
              <w:t>Факс</w:t>
            </w:r>
            <w:r w:rsidRPr="00E16672">
              <w:rPr>
                <w:rFonts w:ascii="Times New Roman" w:hAnsi="Times New Roman"/>
                <w:i/>
                <w:color w:val="000000"/>
                <w:sz w:val="16"/>
                <w:szCs w:val="16"/>
              </w:rPr>
              <w:t xml:space="preserve"> </w:t>
            </w:r>
            <w:r w:rsidRPr="00E16672">
              <w:rPr>
                <w:rFonts w:ascii="Times New Roman" w:hAnsi="Times New Roman"/>
                <w:color w:val="000000"/>
                <w:sz w:val="16"/>
                <w:szCs w:val="16"/>
              </w:rPr>
              <w:t xml:space="preserve">   </w:t>
            </w:r>
          </w:p>
        </w:tc>
        <w:tc>
          <w:tcPr>
            <w:tcW w:w="1700" w:type="dxa"/>
            <w:gridSpan w:val="2"/>
            <w:shd w:val="clear" w:color="auto" w:fill="auto"/>
          </w:tcPr>
          <w:p w14:paraId="3F0A3E61" w14:textId="77777777" w:rsidR="00154814" w:rsidRPr="00E16672" w:rsidRDefault="00154814" w:rsidP="00154814">
            <w:pPr>
              <w:snapToGrid w:val="0"/>
              <w:rPr>
                <w:rFonts w:ascii="Times New Roman" w:hAnsi="Times New Roman"/>
                <w:color w:val="000000"/>
                <w:sz w:val="16"/>
                <w:szCs w:val="16"/>
              </w:rPr>
            </w:pPr>
          </w:p>
        </w:tc>
        <w:tc>
          <w:tcPr>
            <w:tcW w:w="236" w:type="dxa"/>
            <w:shd w:val="clear" w:color="auto" w:fill="auto"/>
          </w:tcPr>
          <w:p w14:paraId="0707F7C4" w14:textId="77777777" w:rsidR="00154814" w:rsidRPr="00E16672" w:rsidRDefault="00154814" w:rsidP="00154814">
            <w:pPr>
              <w:snapToGrid w:val="0"/>
              <w:rPr>
                <w:rFonts w:ascii="Times New Roman" w:hAnsi="Times New Roman"/>
                <w:color w:val="000000"/>
                <w:sz w:val="16"/>
                <w:szCs w:val="16"/>
              </w:rPr>
            </w:pPr>
          </w:p>
        </w:tc>
        <w:tc>
          <w:tcPr>
            <w:tcW w:w="2175" w:type="dxa"/>
            <w:shd w:val="clear" w:color="auto" w:fill="auto"/>
            <w:vAlign w:val="center"/>
          </w:tcPr>
          <w:p w14:paraId="57B8DC97" w14:textId="77777777" w:rsidR="00154814" w:rsidRPr="00E16672" w:rsidRDefault="00154814" w:rsidP="00154814">
            <w:pPr>
              <w:snapToGrid w:val="0"/>
              <w:ind w:firstLine="0"/>
              <w:jc w:val="left"/>
              <w:rPr>
                <w:rFonts w:ascii="Times New Roman" w:hAnsi="Times New Roman"/>
                <w:color w:val="000000"/>
                <w:sz w:val="16"/>
                <w:szCs w:val="16"/>
              </w:rPr>
            </w:pPr>
            <w:r w:rsidRPr="00E16672">
              <w:rPr>
                <w:rFonts w:ascii="Times New Roman" w:hAnsi="Times New Roman"/>
                <w:b/>
                <w:i/>
                <w:color w:val="000000"/>
                <w:sz w:val="16"/>
                <w:szCs w:val="16"/>
              </w:rPr>
              <w:t>Факс</w:t>
            </w:r>
            <w:r w:rsidRPr="00E16672">
              <w:rPr>
                <w:rFonts w:ascii="Times New Roman" w:hAnsi="Times New Roman"/>
                <w:i/>
                <w:color w:val="000000"/>
                <w:sz w:val="16"/>
                <w:szCs w:val="16"/>
              </w:rPr>
              <w:t xml:space="preserve"> </w:t>
            </w:r>
            <w:r w:rsidRPr="00E16672">
              <w:rPr>
                <w:rFonts w:ascii="Times New Roman" w:hAnsi="Times New Roman"/>
                <w:bCs/>
                <w:i/>
                <w:iCs/>
                <w:color w:val="000000"/>
                <w:sz w:val="16"/>
                <w:szCs w:val="16"/>
                <w:lang w:val="uk-UA"/>
              </w:rPr>
              <w:t xml:space="preserve">(за </w:t>
            </w:r>
            <w:proofErr w:type="gramStart"/>
            <w:r w:rsidRPr="00E16672">
              <w:rPr>
                <w:rFonts w:ascii="Times New Roman" w:hAnsi="Times New Roman"/>
                <w:bCs/>
                <w:i/>
                <w:iCs/>
                <w:color w:val="000000"/>
                <w:sz w:val="16"/>
                <w:szCs w:val="16"/>
                <w:lang w:val="uk-UA"/>
              </w:rPr>
              <w:t>наявності)</w:t>
            </w:r>
            <w:r w:rsidRPr="00E16672">
              <w:rPr>
                <w:rFonts w:ascii="Times New Roman" w:hAnsi="Times New Roman"/>
                <w:color w:val="000000"/>
                <w:sz w:val="16"/>
                <w:szCs w:val="16"/>
              </w:rPr>
              <w:t xml:space="preserve">   </w:t>
            </w:r>
            <w:proofErr w:type="gramEnd"/>
          </w:p>
        </w:tc>
        <w:tc>
          <w:tcPr>
            <w:tcW w:w="2038" w:type="dxa"/>
            <w:gridSpan w:val="2"/>
            <w:shd w:val="clear" w:color="auto" w:fill="auto"/>
            <w:vAlign w:val="center"/>
          </w:tcPr>
          <w:p w14:paraId="69F36425" w14:textId="77777777" w:rsidR="00154814" w:rsidRPr="00E16672" w:rsidRDefault="00154814" w:rsidP="00154814">
            <w:pPr>
              <w:snapToGrid w:val="0"/>
              <w:ind w:firstLine="0"/>
              <w:rPr>
                <w:rFonts w:ascii="Times New Roman" w:hAnsi="Times New Roman"/>
                <w:bCs/>
                <w:color w:val="000000"/>
                <w:sz w:val="16"/>
                <w:szCs w:val="16"/>
                <w:lang w:val="en-US"/>
              </w:rPr>
            </w:pPr>
          </w:p>
        </w:tc>
      </w:tr>
      <w:tr w:rsidR="00154814" w:rsidRPr="00E16672" w14:paraId="3CE6016D" w14:textId="77777777" w:rsidTr="00154814">
        <w:tc>
          <w:tcPr>
            <w:tcW w:w="1701" w:type="dxa"/>
            <w:shd w:val="clear" w:color="auto" w:fill="auto"/>
          </w:tcPr>
          <w:p w14:paraId="2C35885A" w14:textId="77777777" w:rsidR="00154814" w:rsidRPr="00E16672" w:rsidRDefault="00154814" w:rsidP="00154814">
            <w:pPr>
              <w:snapToGrid w:val="0"/>
              <w:ind w:firstLine="0"/>
              <w:rPr>
                <w:rFonts w:ascii="Times New Roman" w:hAnsi="Times New Roman"/>
                <w:b/>
                <w:i/>
                <w:color w:val="000000"/>
                <w:sz w:val="16"/>
                <w:szCs w:val="16"/>
              </w:rPr>
            </w:pPr>
          </w:p>
        </w:tc>
        <w:tc>
          <w:tcPr>
            <w:tcW w:w="1701" w:type="dxa"/>
            <w:gridSpan w:val="2"/>
            <w:shd w:val="clear" w:color="auto" w:fill="auto"/>
          </w:tcPr>
          <w:p w14:paraId="1CBCA62F" w14:textId="77777777" w:rsidR="00154814" w:rsidRPr="00E16672" w:rsidRDefault="00154814" w:rsidP="00154814">
            <w:pPr>
              <w:snapToGrid w:val="0"/>
              <w:rPr>
                <w:rFonts w:ascii="Times New Roman" w:hAnsi="Times New Roman"/>
                <w:color w:val="000000"/>
                <w:sz w:val="16"/>
                <w:szCs w:val="16"/>
              </w:rPr>
            </w:pPr>
          </w:p>
        </w:tc>
        <w:tc>
          <w:tcPr>
            <w:tcW w:w="1701" w:type="dxa"/>
            <w:shd w:val="clear" w:color="auto" w:fill="auto"/>
          </w:tcPr>
          <w:p w14:paraId="0C40297A" w14:textId="77777777" w:rsidR="00154814" w:rsidRPr="00E16672" w:rsidRDefault="00154814" w:rsidP="00154814">
            <w:pPr>
              <w:snapToGrid w:val="0"/>
              <w:ind w:firstLine="0"/>
              <w:rPr>
                <w:rFonts w:ascii="Times New Roman" w:hAnsi="Times New Roman"/>
                <w:b/>
                <w:i/>
                <w:color w:val="000000"/>
                <w:sz w:val="16"/>
                <w:szCs w:val="16"/>
              </w:rPr>
            </w:pPr>
          </w:p>
        </w:tc>
        <w:tc>
          <w:tcPr>
            <w:tcW w:w="1700" w:type="dxa"/>
            <w:gridSpan w:val="2"/>
            <w:shd w:val="clear" w:color="auto" w:fill="auto"/>
          </w:tcPr>
          <w:p w14:paraId="1483DCFA" w14:textId="77777777" w:rsidR="00154814" w:rsidRPr="00E16672" w:rsidRDefault="00154814" w:rsidP="00154814">
            <w:pPr>
              <w:snapToGrid w:val="0"/>
              <w:rPr>
                <w:rFonts w:ascii="Times New Roman" w:hAnsi="Times New Roman"/>
                <w:color w:val="000000"/>
                <w:sz w:val="16"/>
                <w:szCs w:val="16"/>
              </w:rPr>
            </w:pPr>
          </w:p>
        </w:tc>
        <w:tc>
          <w:tcPr>
            <w:tcW w:w="236" w:type="dxa"/>
            <w:shd w:val="clear" w:color="auto" w:fill="auto"/>
          </w:tcPr>
          <w:p w14:paraId="21C12A61" w14:textId="77777777" w:rsidR="00154814" w:rsidRPr="00E16672" w:rsidRDefault="00154814" w:rsidP="00154814">
            <w:pPr>
              <w:snapToGrid w:val="0"/>
              <w:rPr>
                <w:rFonts w:ascii="Times New Roman" w:hAnsi="Times New Roman"/>
                <w:color w:val="000000"/>
                <w:sz w:val="16"/>
                <w:szCs w:val="16"/>
              </w:rPr>
            </w:pPr>
          </w:p>
        </w:tc>
        <w:tc>
          <w:tcPr>
            <w:tcW w:w="2175" w:type="dxa"/>
            <w:shd w:val="clear" w:color="auto" w:fill="auto"/>
            <w:vAlign w:val="center"/>
          </w:tcPr>
          <w:p w14:paraId="0A8390A0" w14:textId="77777777" w:rsidR="00154814" w:rsidRPr="00E16672" w:rsidRDefault="00154814" w:rsidP="00154814">
            <w:pPr>
              <w:snapToGrid w:val="0"/>
              <w:ind w:firstLine="0"/>
              <w:jc w:val="left"/>
              <w:rPr>
                <w:rFonts w:ascii="Times New Roman" w:hAnsi="Times New Roman"/>
                <w:b/>
                <w:i/>
                <w:color w:val="000000"/>
                <w:sz w:val="16"/>
                <w:szCs w:val="16"/>
              </w:rPr>
            </w:pPr>
            <w:r w:rsidRPr="00E16672">
              <w:rPr>
                <w:rFonts w:ascii="Times New Roman" w:hAnsi="Times New Roman"/>
                <w:b/>
                <w:i/>
                <w:color w:val="000000"/>
                <w:sz w:val="16"/>
                <w:szCs w:val="16"/>
                <w:lang w:val="uk-UA"/>
              </w:rPr>
              <w:t xml:space="preserve">Ліцензія депозитарної установи </w:t>
            </w:r>
            <w:r w:rsidRPr="00E16672">
              <w:rPr>
                <w:rFonts w:ascii="Times New Roman" w:hAnsi="Times New Roman"/>
                <w:i/>
                <w:color w:val="000000"/>
                <w:sz w:val="16"/>
                <w:szCs w:val="16"/>
                <w:lang w:val="uk-UA"/>
              </w:rPr>
              <w:t>(серія, номер, дата видачі)</w:t>
            </w:r>
          </w:p>
        </w:tc>
        <w:tc>
          <w:tcPr>
            <w:tcW w:w="2038" w:type="dxa"/>
            <w:gridSpan w:val="2"/>
            <w:shd w:val="clear" w:color="auto" w:fill="auto"/>
            <w:vAlign w:val="center"/>
          </w:tcPr>
          <w:p w14:paraId="7450053E" w14:textId="77777777" w:rsidR="00154814" w:rsidRPr="00E16672" w:rsidRDefault="00154814" w:rsidP="00154814">
            <w:pPr>
              <w:snapToGrid w:val="0"/>
              <w:ind w:firstLine="0"/>
              <w:jc w:val="left"/>
              <w:rPr>
                <w:rFonts w:ascii="Times New Roman" w:hAnsi="Times New Roman"/>
                <w:bCs/>
                <w:color w:val="000000"/>
                <w:sz w:val="16"/>
                <w:szCs w:val="16"/>
                <w:lang w:val="en-US"/>
              </w:rPr>
            </w:pPr>
            <w:r w:rsidRPr="00E16672">
              <w:rPr>
                <w:rFonts w:ascii="Times New Roman" w:hAnsi="Times New Roman"/>
                <w:bCs/>
                <w:sz w:val="16"/>
                <w:szCs w:val="16"/>
                <w:lang w:val="uk-UA"/>
              </w:rPr>
              <w:t xml:space="preserve">АЕ </w:t>
            </w:r>
            <w:r w:rsidR="00E16672" w:rsidRPr="00E16672">
              <w:rPr>
                <w:rFonts w:ascii="Times New Roman" w:hAnsi="Times New Roman"/>
                <w:bCs/>
                <w:sz w:val="16"/>
                <w:szCs w:val="16"/>
                <w:lang w:val="uk-UA"/>
              </w:rPr>
              <w:t>263429</w:t>
            </w:r>
            <w:r w:rsidRPr="00E16672">
              <w:rPr>
                <w:rFonts w:ascii="Times New Roman" w:hAnsi="Times New Roman"/>
                <w:bCs/>
                <w:sz w:val="16"/>
                <w:szCs w:val="16"/>
                <w:lang w:val="uk-UA"/>
              </w:rPr>
              <w:t xml:space="preserve">, </w:t>
            </w:r>
            <w:r w:rsidR="00E16672" w:rsidRPr="00E16672">
              <w:rPr>
                <w:rFonts w:ascii="Times New Roman" w:hAnsi="Times New Roman"/>
                <w:bCs/>
                <w:sz w:val="16"/>
                <w:szCs w:val="16"/>
                <w:lang w:val="uk-UA"/>
              </w:rPr>
              <w:t>01.10.2013</w:t>
            </w:r>
            <w:r w:rsidRPr="00E16672">
              <w:rPr>
                <w:rFonts w:ascii="Times New Roman" w:hAnsi="Times New Roman"/>
                <w:bCs/>
                <w:sz w:val="16"/>
                <w:szCs w:val="16"/>
                <w:lang w:val="uk-UA"/>
              </w:rPr>
              <w:t xml:space="preserve"> р.</w:t>
            </w:r>
          </w:p>
        </w:tc>
      </w:tr>
    </w:tbl>
    <w:p w14:paraId="5ED18DA2" w14:textId="77777777" w:rsidR="007974E8" w:rsidRPr="00E16672" w:rsidRDefault="007974E8" w:rsidP="007974E8">
      <w:pPr>
        <w:rPr>
          <w:rFonts w:ascii="Times New Roman" w:hAnsi="Times New Roman"/>
          <w:color w:val="000000"/>
          <w:sz w:val="16"/>
          <w:szCs w:val="16"/>
        </w:rPr>
      </w:pPr>
      <w:proofErr w:type="spellStart"/>
      <w:r w:rsidRPr="00E16672">
        <w:rPr>
          <w:rFonts w:ascii="Times New Roman" w:hAnsi="Times New Roman"/>
          <w:color w:val="000000"/>
          <w:sz w:val="16"/>
          <w:szCs w:val="16"/>
        </w:rPr>
        <w:t>або</w:t>
      </w:r>
      <w:proofErr w:type="spellEnd"/>
    </w:p>
    <w:p w14:paraId="2833744B" w14:textId="77777777" w:rsidR="007974E8" w:rsidRPr="00E16672" w:rsidRDefault="007974E8" w:rsidP="006F3E88">
      <w:pPr>
        <w:snapToGrid w:val="0"/>
        <w:ind w:firstLine="6"/>
        <w:rPr>
          <w:rFonts w:ascii="Times New Roman" w:hAnsi="Times New Roman"/>
          <w:b/>
          <w:bCs/>
          <w:i/>
          <w:color w:val="000000"/>
          <w:sz w:val="16"/>
          <w:szCs w:val="16"/>
        </w:rPr>
      </w:pPr>
      <w:proofErr w:type="spellStart"/>
      <w:r w:rsidRPr="00E16672">
        <w:rPr>
          <w:rFonts w:ascii="Times New Roman" w:hAnsi="Times New Roman"/>
          <w:b/>
          <w:bCs/>
          <w:i/>
          <w:color w:val="000000"/>
          <w:sz w:val="16"/>
          <w:szCs w:val="16"/>
        </w:rPr>
        <w:t>Загальний</w:t>
      </w:r>
      <w:proofErr w:type="spellEnd"/>
      <w:r w:rsidRPr="00E16672">
        <w:rPr>
          <w:rFonts w:ascii="Times New Roman" w:hAnsi="Times New Roman"/>
          <w:b/>
          <w:bCs/>
          <w:i/>
          <w:color w:val="000000"/>
          <w:sz w:val="16"/>
          <w:szCs w:val="16"/>
        </w:rPr>
        <w:t xml:space="preserve"> </w:t>
      </w:r>
      <w:proofErr w:type="spellStart"/>
      <w:r w:rsidRPr="00E16672">
        <w:rPr>
          <w:rFonts w:ascii="Times New Roman" w:hAnsi="Times New Roman"/>
          <w:b/>
          <w:bCs/>
          <w:i/>
          <w:color w:val="000000"/>
          <w:sz w:val="16"/>
          <w:szCs w:val="16"/>
        </w:rPr>
        <w:t>представник</w:t>
      </w:r>
      <w:proofErr w:type="spellEnd"/>
    </w:p>
    <w:tbl>
      <w:tblPr>
        <w:tblW w:w="0" w:type="auto"/>
        <w:tblInd w:w="240" w:type="dxa"/>
        <w:tblLayout w:type="fixed"/>
        <w:tblLook w:val="0000" w:firstRow="0" w:lastRow="0" w:firstColumn="0" w:lastColumn="0" w:noHBand="0" w:noVBand="0"/>
      </w:tblPr>
      <w:tblGrid>
        <w:gridCol w:w="1887"/>
        <w:gridCol w:w="3838"/>
      </w:tblGrid>
      <w:tr w:rsidR="007974E8" w:rsidRPr="00E16672" w14:paraId="1B117D09" w14:textId="77777777" w:rsidTr="00E72E24">
        <w:trPr>
          <w:trHeight w:val="182"/>
        </w:trPr>
        <w:tc>
          <w:tcPr>
            <w:tcW w:w="5725" w:type="dxa"/>
            <w:gridSpan w:val="2"/>
            <w:shd w:val="clear" w:color="auto" w:fill="auto"/>
          </w:tcPr>
          <w:p w14:paraId="59011F10" w14:textId="77777777" w:rsidR="007974E8" w:rsidRPr="00E16672" w:rsidRDefault="007974E8" w:rsidP="006F3E88">
            <w:pPr>
              <w:snapToGrid w:val="0"/>
              <w:ind w:firstLine="6"/>
              <w:rPr>
                <w:rFonts w:ascii="Times New Roman" w:hAnsi="Times New Roman"/>
                <w:b/>
                <w:bCs/>
                <w:color w:val="000000"/>
                <w:sz w:val="16"/>
                <w:szCs w:val="16"/>
              </w:rPr>
            </w:pPr>
            <w:r w:rsidRPr="00E16672">
              <w:rPr>
                <w:rFonts w:ascii="Times New Roman" w:hAnsi="Times New Roman"/>
                <w:b/>
                <w:bCs/>
                <w:color w:val="000000"/>
                <w:sz w:val="16"/>
                <w:szCs w:val="16"/>
              </w:rPr>
              <w:t>ПІБ (</w:t>
            </w:r>
            <w:proofErr w:type="spellStart"/>
            <w:r w:rsidRPr="00E16672">
              <w:rPr>
                <w:rFonts w:ascii="Times New Roman" w:hAnsi="Times New Roman"/>
                <w:b/>
                <w:bCs/>
                <w:color w:val="000000"/>
                <w:sz w:val="16"/>
                <w:szCs w:val="16"/>
              </w:rPr>
              <w:t>повн</w:t>
            </w:r>
            <w:proofErr w:type="spellEnd"/>
            <w:r w:rsidRPr="00E16672">
              <w:rPr>
                <w:rFonts w:ascii="Times New Roman" w:hAnsi="Times New Roman"/>
                <w:b/>
                <w:bCs/>
                <w:color w:val="000000"/>
                <w:sz w:val="16"/>
                <w:szCs w:val="16"/>
                <w:lang w:val="uk-UA"/>
              </w:rPr>
              <w:t>е</w:t>
            </w:r>
            <w:r w:rsidRPr="00E16672">
              <w:rPr>
                <w:rFonts w:ascii="Times New Roman" w:hAnsi="Times New Roman"/>
                <w:b/>
                <w:bCs/>
                <w:color w:val="000000"/>
                <w:sz w:val="16"/>
                <w:szCs w:val="16"/>
              </w:rPr>
              <w:t xml:space="preserve"> </w:t>
            </w:r>
            <w:r w:rsidRPr="00E16672">
              <w:rPr>
                <w:rFonts w:ascii="Times New Roman" w:hAnsi="Times New Roman"/>
                <w:b/>
                <w:bCs/>
                <w:color w:val="000000"/>
                <w:sz w:val="16"/>
                <w:szCs w:val="16"/>
                <w:lang w:val="uk-UA"/>
              </w:rPr>
              <w:t>найменування</w:t>
            </w:r>
            <w:r w:rsidRPr="00E16672">
              <w:rPr>
                <w:rFonts w:ascii="Times New Roman" w:hAnsi="Times New Roman"/>
                <w:b/>
                <w:bCs/>
                <w:color w:val="000000"/>
                <w:sz w:val="16"/>
                <w:szCs w:val="16"/>
              </w:rPr>
              <w:t>)</w:t>
            </w:r>
          </w:p>
        </w:tc>
      </w:tr>
      <w:tr w:rsidR="007974E8" w:rsidRPr="00E16672" w14:paraId="73016731" w14:textId="77777777" w:rsidTr="00E72E24">
        <w:trPr>
          <w:trHeight w:val="353"/>
        </w:trPr>
        <w:tc>
          <w:tcPr>
            <w:tcW w:w="5725" w:type="dxa"/>
            <w:gridSpan w:val="2"/>
            <w:shd w:val="clear" w:color="auto" w:fill="auto"/>
          </w:tcPr>
          <w:p w14:paraId="08F67C0B" w14:textId="77777777" w:rsidR="007974E8" w:rsidRPr="00E16672" w:rsidRDefault="007974E8" w:rsidP="006F3E88">
            <w:pPr>
              <w:snapToGrid w:val="0"/>
              <w:rPr>
                <w:rFonts w:ascii="Times New Roman" w:hAnsi="Times New Roman"/>
                <w:color w:val="000000"/>
                <w:sz w:val="16"/>
                <w:szCs w:val="16"/>
              </w:rPr>
            </w:pPr>
          </w:p>
        </w:tc>
      </w:tr>
      <w:tr w:rsidR="007974E8" w:rsidRPr="00E16672" w14:paraId="24721171" w14:textId="77777777" w:rsidTr="00E72E24">
        <w:tc>
          <w:tcPr>
            <w:tcW w:w="5725" w:type="dxa"/>
            <w:gridSpan w:val="2"/>
            <w:shd w:val="clear" w:color="auto" w:fill="auto"/>
          </w:tcPr>
          <w:p w14:paraId="17E0C1A8" w14:textId="77777777" w:rsidR="007974E8" w:rsidRPr="00E16672" w:rsidRDefault="007974E8" w:rsidP="006F3E88">
            <w:pPr>
              <w:snapToGrid w:val="0"/>
              <w:ind w:left="57" w:right="57" w:firstLine="0"/>
              <w:jc w:val="left"/>
              <w:rPr>
                <w:rFonts w:ascii="Times New Roman" w:hAnsi="Times New Roman"/>
                <w:b/>
                <w:bCs/>
                <w:color w:val="000000"/>
                <w:sz w:val="16"/>
                <w:szCs w:val="16"/>
              </w:rPr>
            </w:pPr>
            <w:proofErr w:type="spellStart"/>
            <w:proofErr w:type="gramStart"/>
            <w:r w:rsidRPr="00E16672">
              <w:rPr>
                <w:rFonts w:ascii="Times New Roman" w:hAnsi="Times New Roman"/>
                <w:b/>
                <w:bCs/>
                <w:color w:val="000000"/>
                <w:sz w:val="16"/>
                <w:szCs w:val="16"/>
              </w:rPr>
              <w:t>Реєстраційний</w:t>
            </w:r>
            <w:proofErr w:type="spellEnd"/>
            <w:r w:rsidRPr="00E16672">
              <w:rPr>
                <w:rFonts w:ascii="Times New Roman" w:hAnsi="Times New Roman"/>
                <w:b/>
                <w:bCs/>
                <w:color w:val="000000"/>
                <w:sz w:val="16"/>
                <w:szCs w:val="16"/>
              </w:rPr>
              <w:t xml:space="preserve">  номер</w:t>
            </w:r>
            <w:proofErr w:type="gramEnd"/>
            <w:r w:rsidRPr="00E16672">
              <w:rPr>
                <w:rFonts w:ascii="Times New Roman" w:hAnsi="Times New Roman"/>
                <w:b/>
                <w:bCs/>
                <w:color w:val="000000"/>
                <w:sz w:val="16"/>
                <w:szCs w:val="16"/>
              </w:rPr>
              <w:t xml:space="preserve"> </w:t>
            </w:r>
            <w:proofErr w:type="spellStart"/>
            <w:r w:rsidRPr="00E16672">
              <w:rPr>
                <w:rFonts w:ascii="Times New Roman" w:hAnsi="Times New Roman"/>
                <w:b/>
                <w:bCs/>
                <w:color w:val="000000"/>
                <w:sz w:val="16"/>
                <w:szCs w:val="16"/>
              </w:rPr>
              <w:t>облікової</w:t>
            </w:r>
            <w:proofErr w:type="spellEnd"/>
            <w:r w:rsidRPr="00E16672">
              <w:rPr>
                <w:rFonts w:ascii="Times New Roman" w:hAnsi="Times New Roman"/>
                <w:b/>
                <w:bCs/>
                <w:color w:val="000000"/>
                <w:sz w:val="16"/>
                <w:szCs w:val="16"/>
              </w:rPr>
              <w:t xml:space="preserve"> </w:t>
            </w:r>
            <w:proofErr w:type="spellStart"/>
            <w:r w:rsidRPr="00E16672">
              <w:rPr>
                <w:rFonts w:ascii="Times New Roman" w:hAnsi="Times New Roman"/>
                <w:b/>
                <w:bCs/>
                <w:color w:val="000000"/>
                <w:sz w:val="16"/>
                <w:szCs w:val="16"/>
              </w:rPr>
              <w:t>картки</w:t>
            </w:r>
            <w:proofErr w:type="spellEnd"/>
            <w:r w:rsidRPr="00E16672">
              <w:rPr>
                <w:rFonts w:ascii="Times New Roman" w:hAnsi="Times New Roman"/>
                <w:b/>
                <w:bCs/>
                <w:color w:val="000000"/>
                <w:sz w:val="16"/>
                <w:szCs w:val="16"/>
              </w:rPr>
              <w:t xml:space="preserve"> </w:t>
            </w:r>
            <w:proofErr w:type="spellStart"/>
            <w:r w:rsidRPr="00E16672">
              <w:rPr>
                <w:rFonts w:ascii="Times New Roman" w:hAnsi="Times New Roman"/>
                <w:b/>
                <w:bCs/>
                <w:color w:val="000000"/>
                <w:sz w:val="16"/>
                <w:szCs w:val="16"/>
              </w:rPr>
              <w:t>платника</w:t>
            </w:r>
            <w:proofErr w:type="spellEnd"/>
            <w:r w:rsidRPr="00E16672">
              <w:rPr>
                <w:rFonts w:ascii="Times New Roman" w:hAnsi="Times New Roman"/>
                <w:b/>
                <w:bCs/>
                <w:color w:val="000000"/>
                <w:sz w:val="16"/>
                <w:szCs w:val="16"/>
              </w:rPr>
              <w:t xml:space="preserve"> </w:t>
            </w:r>
            <w:proofErr w:type="spellStart"/>
            <w:r w:rsidRPr="00E16672">
              <w:rPr>
                <w:rFonts w:ascii="Times New Roman" w:hAnsi="Times New Roman"/>
                <w:b/>
                <w:bCs/>
                <w:color w:val="000000"/>
                <w:sz w:val="16"/>
                <w:szCs w:val="16"/>
              </w:rPr>
              <w:t>податків</w:t>
            </w:r>
            <w:proofErr w:type="spellEnd"/>
            <w:r w:rsidRPr="00E16672">
              <w:rPr>
                <w:rFonts w:ascii="Times New Roman" w:hAnsi="Times New Roman"/>
                <w:b/>
                <w:bCs/>
                <w:color w:val="000000"/>
                <w:sz w:val="16"/>
                <w:szCs w:val="16"/>
              </w:rPr>
              <w:t xml:space="preserve"> за </w:t>
            </w:r>
            <w:proofErr w:type="spellStart"/>
            <w:r w:rsidRPr="00E16672">
              <w:rPr>
                <w:rFonts w:ascii="Times New Roman" w:hAnsi="Times New Roman"/>
                <w:b/>
                <w:bCs/>
                <w:color w:val="000000"/>
                <w:sz w:val="16"/>
                <w:szCs w:val="16"/>
              </w:rPr>
              <w:t>даними</w:t>
            </w:r>
            <w:proofErr w:type="spellEnd"/>
            <w:r w:rsidRPr="00E16672">
              <w:rPr>
                <w:rFonts w:ascii="Times New Roman" w:hAnsi="Times New Roman"/>
                <w:b/>
                <w:bCs/>
                <w:color w:val="000000"/>
                <w:sz w:val="16"/>
                <w:szCs w:val="16"/>
              </w:rPr>
              <w:t xml:space="preserve"> Державного </w:t>
            </w:r>
            <w:proofErr w:type="spellStart"/>
            <w:r w:rsidRPr="00E16672">
              <w:rPr>
                <w:rFonts w:ascii="Times New Roman" w:hAnsi="Times New Roman"/>
                <w:b/>
                <w:bCs/>
                <w:color w:val="000000"/>
                <w:sz w:val="16"/>
                <w:szCs w:val="16"/>
              </w:rPr>
              <w:t>реєстру</w:t>
            </w:r>
            <w:proofErr w:type="spellEnd"/>
            <w:r w:rsidRPr="00E16672">
              <w:rPr>
                <w:rFonts w:ascii="Times New Roman" w:hAnsi="Times New Roman"/>
                <w:b/>
                <w:bCs/>
                <w:color w:val="000000"/>
                <w:sz w:val="16"/>
                <w:szCs w:val="16"/>
              </w:rPr>
              <w:t xml:space="preserve"> </w:t>
            </w:r>
            <w:proofErr w:type="spellStart"/>
            <w:r w:rsidRPr="00E16672">
              <w:rPr>
                <w:rFonts w:ascii="Times New Roman" w:hAnsi="Times New Roman"/>
                <w:b/>
                <w:bCs/>
                <w:color w:val="000000"/>
                <w:sz w:val="16"/>
                <w:szCs w:val="16"/>
              </w:rPr>
              <w:t>фізичних</w:t>
            </w:r>
            <w:proofErr w:type="spellEnd"/>
            <w:r w:rsidRPr="00E16672">
              <w:rPr>
                <w:rFonts w:ascii="Times New Roman" w:hAnsi="Times New Roman"/>
                <w:b/>
                <w:bCs/>
                <w:color w:val="000000"/>
                <w:sz w:val="16"/>
                <w:szCs w:val="16"/>
              </w:rPr>
              <w:t xml:space="preserve">  </w:t>
            </w:r>
            <w:proofErr w:type="spellStart"/>
            <w:r w:rsidRPr="00E16672">
              <w:rPr>
                <w:rFonts w:ascii="Times New Roman" w:hAnsi="Times New Roman"/>
                <w:b/>
                <w:bCs/>
                <w:color w:val="000000"/>
                <w:sz w:val="16"/>
                <w:szCs w:val="16"/>
              </w:rPr>
              <w:t>осіб</w:t>
            </w:r>
            <w:proofErr w:type="spellEnd"/>
            <w:r w:rsidRPr="00E16672">
              <w:rPr>
                <w:rFonts w:ascii="Times New Roman" w:hAnsi="Times New Roman"/>
                <w:b/>
                <w:bCs/>
                <w:color w:val="000000"/>
                <w:sz w:val="16"/>
                <w:szCs w:val="16"/>
              </w:rPr>
              <w:t xml:space="preserve">  -  </w:t>
            </w:r>
            <w:proofErr w:type="spellStart"/>
            <w:r w:rsidRPr="00E16672">
              <w:rPr>
                <w:rFonts w:ascii="Times New Roman" w:hAnsi="Times New Roman"/>
                <w:b/>
                <w:bCs/>
                <w:color w:val="000000"/>
                <w:sz w:val="16"/>
                <w:szCs w:val="16"/>
              </w:rPr>
              <w:t>платників</w:t>
            </w:r>
            <w:proofErr w:type="spellEnd"/>
            <w:r w:rsidRPr="00E16672">
              <w:rPr>
                <w:rFonts w:ascii="Times New Roman" w:hAnsi="Times New Roman"/>
                <w:b/>
                <w:bCs/>
                <w:color w:val="000000"/>
                <w:sz w:val="16"/>
                <w:szCs w:val="16"/>
              </w:rPr>
              <w:t xml:space="preserve"> </w:t>
            </w:r>
            <w:proofErr w:type="spellStart"/>
            <w:r w:rsidRPr="00E16672">
              <w:rPr>
                <w:rFonts w:ascii="Times New Roman" w:hAnsi="Times New Roman"/>
                <w:b/>
                <w:bCs/>
                <w:color w:val="000000"/>
                <w:sz w:val="16"/>
                <w:szCs w:val="16"/>
              </w:rPr>
              <w:t>податків</w:t>
            </w:r>
            <w:proofErr w:type="spellEnd"/>
            <w:r w:rsidRPr="00E16672">
              <w:rPr>
                <w:rFonts w:ascii="Times New Roman" w:hAnsi="Times New Roman"/>
                <w:b/>
                <w:bCs/>
                <w:color w:val="000000"/>
                <w:sz w:val="16"/>
                <w:szCs w:val="16"/>
              </w:rPr>
              <w:t xml:space="preserve"> / </w:t>
            </w:r>
            <w:proofErr w:type="spellStart"/>
            <w:r w:rsidRPr="00E16672">
              <w:rPr>
                <w:rFonts w:ascii="Times New Roman" w:hAnsi="Times New Roman"/>
                <w:b/>
                <w:bCs/>
                <w:color w:val="000000"/>
                <w:sz w:val="16"/>
                <w:szCs w:val="16"/>
              </w:rPr>
              <w:t>Ідентифікаційний</w:t>
            </w:r>
            <w:proofErr w:type="spellEnd"/>
            <w:r w:rsidRPr="00E16672">
              <w:rPr>
                <w:rFonts w:ascii="Times New Roman" w:hAnsi="Times New Roman"/>
                <w:b/>
                <w:bCs/>
                <w:color w:val="000000"/>
                <w:sz w:val="16"/>
                <w:szCs w:val="16"/>
              </w:rPr>
              <w:t xml:space="preserve"> код </w:t>
            </w:r>
            <w:proofErr w:type="spellStart"/>
            <w:r w:rsidRPr="00E16672">
              <w:rPr>
                <w:rFonts w:ascii="Times New Roman" w:hAnsi="Times New Roman"/>
                <w:b/>
                <w:bCs/>
                <w:color w:val="000000"/>
                <w:sz w:val="16"/>
                <w:szCs w:val="16"/>
              </w:rPr>
              <w:t>юридичної</w:t>
            </w:r>
            <w:proofErr w:type="spellEnd"/>
            <w:r w:rsidRPr="00E16672">
              <w:rPr>
                <w:rFonts w:ascii="Times New Roman" w:hAnsi="Times New Roman"/>
                <w:b/>
                <w:bCs/>
                <w:color w:val="000000"/>
                <w:sz w:val="16"/>
                <w:szCs w:val="16"/>
              </w:rPr>
              <w:t xml:space="preserve"> особи</w:t>
            </w:r>
          </w:p>
        </w:tc>
      </w:tr>
      <w:tr w:rsidR="007974E8" w:rsidRPr="00E16672" w14:paraId="5EA598DC" w14:textId="77777777" w:rsidTr="00E72E24">
        <w:tc>
          <w:tcPr>
            <w:tcW w:w="5725" w:type="dxa"/>
            <w:gridSpan w:val="2"/>
            <w:shd w:val="clear" w:color="auto" w:fill="auto"/>
          </w:tcPr>
          <w:p w14:paraId="4713D37F" w14:textId="77777777" w:rsidR="007974E8" w:rsidRPr="00E16672" w:rsidRDefault="007974E8" w:rsidP="006F3E88">
            <w:pPr>
              <w:snapToGrid w:val="0"/>
              <w:ind w:left="57" w:right="57"/>
              <w:rPr>
                <w:rFonts w:ascii="Times New Roman" w:hAnsi="Times New Roman"/>
                <w:color w:val="000000"/>
                <w:sz w:val="16"/>
                <w:szCs w:val="16"/>
              </w:rPr>
            </w:pPr>
          </w:p>
        </w:tc>
      </w:tr>
      <w:tr w:rsidR="007974E8" w:rsidRPr="00E16672" w14:paraId="42C35BFC" w14:textId="77777777" w:rsidTr="00E72E24">
        <w:tc>
          <w:tcPr>
            <w:tcW w:w="5725" w:type="dxa"/>
            <w:gridSpan w:val="2"/>
            <w:shd w:val="clear" w:color="auto" w:fill="auto"/>
            <w:vAlign w:val="center"/>
          </w:tcPr>
          <w:p w14:paraId="11E61514" w14:textId="77777777" w:rsidR="007974E8" w:rsidRPr="00E16672" w:rsidRDefault="007974E8" w:rsidP="006F3E88">
            <w:pPr>
              <w:snapToGrid w:val="0"/>
              <w:ind w:firstLine="0"/>
              <w:rPr>
                <w:rFonts w:ascii="Times New Roman" w:hAnsi="Times New Roman"/>
                <w:b/>
                <w:bCs/>
                <w:color w:val="000000"/>
                <w:sz w:val="16"/>
                <w:szCs w:val="16"/>
              </w:rPr>
            </w:pPr>
            <w:proofErr w:type="spellStart"/>
            <w:r w:rsidRPr="00E16672">
              <w:rPr>
                <w:rFonts w:ascii="Times New Roman" w:hAnsi="Times New Roman"/>
                <w:b/>
                <w:bCs/>
                <w:color w:val="000000"/>
                <w:sz w:val="16"/>
                <w:szCs w:val="16"/>
              </w:rPr>
              <w:t>Паспортні</w:t>
            </w:r>
            <w:proofErr w:type="spellEnd"/>
            <w:r w:rsidRPr="00E16672">
              <w:rPr>
                <w:rFonts w:ascii="Times New Roman" w:hAnsi="Times New Roman"/>
                <w:b/>
                <w:bCs/>
                <w:color w:val="000000"/>
                <w:sz w:val="16"/>
                <w:szCs w:val="16"/>
              </w:rPr>
              <w:t xml:space="preserve"> </w:t>
            </w:r>
            <w:proofErr w:type="spellStart"/>
            <w:r w:rsidRPr="00E16672">
              <w:rPr>
                <w:rFonts w:ascii="Times New Roman" w:hAnsi="Times New Roman"/>
                <w:b/>
                <w:bCs/>
                <w:color w:val="000000"/>
                <w:sz w:val="16"/>
                <w:szCs w:val="16"/>
              </w:rPr>
              <w:t>дані</w:t>
            </w:r>
            <w:proofErr w:type="spellEnd"/>
            <w:r w:rsidRPr="00E16672">
              <w:rPr>
                <w:rFonts w:ascii="Times New Roman" w:hAnsi="Times New Roman"/>
                <w:b/>
                <w:bCs/>
                <w:color w:val="000000"/>
                <w:sz w:val="16"/>
                <w:szCs w:val="16"/>
              </w:rPr>
              <w:t xml:space="preserve"> (</w:t>
            </w:r>
            <w:proofErr w:type="spellStart"/>
            <w:r w:rsidRPr="00E16672">
              <w:rPr>
                <w:rFonts w:ascii="Times New Roman" w:hAnsi="Times New Roman"/>
                <w:b/>
                <w:bCs/>
                <w:color w:val="000000"/>
                <w:sz w:val="16"/>
                <w:szCs w:val="16"/>
              </w:rPr>
              <w:t>юридична</w:t>
            </w:r>
            <w:proofErr w:type="spellEnd"/>
            <w:r w:rsidRPr="00E16672">
              <w:rPr>
                <w:rFonts w:ascii="Times New Roman" w:hAnsi="Times New Roman"/>
                <w:b/>
                <w:bCs/>
                <w:color w:val="000000"/>
                <w:sz w:val="16"/>
                <w:szCs w:val="16"/>
              </w:rPr>
              <w:t xml:space="preserve"> адреса)</w:t>
            </w:r>
          </w:p>
        </w:tc>
      </w:tr>
      <w:tr w:rsidR="007974E8" w:rsidRPr="00E16672" w14:paraId="09081308" w14:textId="77777777" w:rsidTr="00E72E24">
        <w:trPr>
          <w:trHeight w:val="321"/>
        </w:trPr>
        <w:tc>
          <w:tcPr>
            <w:tcW w:w="5725" w:type="dxa"/>
            <w:gridSpan w:val="2"/>
            <w:shd w:val="clear" w:color="auto" w:fill="auto"/>
          </w:tcPr>
          <w:p w14:paraId="5BACA378" w14:textId="77777777" w:rsidR="007974E8" w:rsidRPr="00E16672" w:rsidRDefault="007974E8" w:rsidP="006F3E88">
            <w:pPr>
              <w:snapToGrid w:val="0"/>
              <w:rPr>
                <w:rFonts w:ascii="Times New Roman" w:hAnsi="Times New Roman"/>
                <w:color w:val="000000"/>
                <w:sz w:val="16"/>
                <w:szCs w:val="16"/>
              </w:rPr>
            </w:pPr>
          </w:p>
        </w:tc>
      </w:tr>
      <w:tr w:rsidR="007974E8" w:rsidRPr="00E16672" w14:paraId="3859A968" w14:textId="77777777" w:rsidTr="00E72E24">
        <w:trPr>
          <w:trHeight w:val="321"/>
        </w:trPr>
        <w:tc>
          <w:tcPr>
            <w:tcW w:w="5725" w:type="dxa"/>
            <w:gridSpan w:val="2"/>
            <w:shd w:val="clear" w:color="auto" w:fill="auto"/>
            <w:vAlign w:val="center"/>
          </w:tcPr>
          <w:p w14:paraId="15CEC49E" w14:textId="77777777" w:rsidR="007974E8" w:rsidRPr="00E16672" w:rsidRDefault="007974E8" w:rsidP="006F3E88">
            <w:pPr>
              <w:snapToGrid w:val="0"/>
              <w:ind w:firstLine="0"/>
              <w:rPr>
                <w:rFonts w:ascii="Times New Roman" w:hAnsi="Times New Roman"/>
                <w:b/>
                <w:bCs/>
                <w:color w:val="000000"/>
                <w:sz w:val="16"/>
                <w:szCs w:val="16"/>
              </w:rPr>
            </w:pPr>
            <w:r w:rsidRPr="00E16672">
              <w:rPr>
                <w:rFonts w:ascii="Times New Roman" w:hAnsi="Times New Roman"/>
                <w:b/>
                <w:bCs/>
                <w:color w:val="000000"/>
                <w:sz w:val="16"/>
                <w:szCs w:val="16"/>
              </w:rPr>
              <w:t>Адреса (</w:t>
            </w:r>
            <w:proofErr w:type="spellStart"/>
            <w:r w:rsidRPr="00E16672">
              <w:rPr>
                <w:rFonts w:ascii="Times New Roman" w:hAnsi="Times New Roman"/>
                <w:b/>
                <w:bCs/>
                <w:color w:val="000000"/>
                <w:sz w:val="16"/>
                <w:szCs w:val="16"/>
              </w:rPr>
              <w:t>Банківські</w:t>
            </w:r>
            <w:proofErr w:type="spellEnd"/>
            <w:r w:rsidRPr="00E16672">
              <w:rPr>
                <w:rFonts w:ascii="Times New Roman" w:hAnsi="Times New Roman"/>
                <w:b/>
                <w:bCs/>
                <w:color w:val="000000"/>
                <w:sz w:val="16"/>
                <w:szCs w:val="16"/>
              </w:rPr>
              <w:t xml:space="preserve"> </w:t>
            </w:r>
            <w:proofErr w:type="spellStart"/>
            <w:r w:rsidRPr="00E16672">
              <w:rPr>
                <w:rFonts w:ascii="Times New Roman" w:hAnsi="Times New Roman"/>
                <w:b/>
                <w:bCs/>
                <w:color w:val="000000"/>
                <w:sz w:val="16"/>
                <w:szCs w:val="16"/>
              </w:rPr>
              <w:t>реквізити</w:t>
            </w:r>
            <w:proofErr w:type="spellEnd"/>
            <w:r w:rsidRPr="00E16672">
              <w:rPr>
                <w:rFonts w:ascii="Times New Roman" w:hAnsi="Times New Roman"/>
                <w:b/>
                <w:bCs/>
                <w:color w:val="000000"/>
                <w:sz w:val="16"/>
                <w:szCs w:val="16"/>
              </w:rPr>
              <w:t>)</w:t>
            </w:r>
          </w:p>
        </w:tc>
      </w:tr>
      <w:tr w:rsidR="007974E8" w:rsidRPr="00E16672" w14:paraId="319126CB" w14:textId="77777777" w:rsidTr="00E72E24">
        <w:trPr>
          <w:trHeight w:val="321"/>
        </w:trPr>
        <w:tc>
          <w:tcPr>
            <w:tcW w:w="5725" w:type="dxa"/>
            <w:gridSpan w:val="2"/>
            <w:shd w:val="clear" w:color="auto" w:fill="auto"/>
          </w:tcPr>
          <w:p w14:paraId="62C4C39C" w14:textId="77777777" w:rsidR="007974E8" w:rsidRPr="00E16672" w:rsidRDefault="007974E8" w:rsidP="006F3E88">
            <w:pPr>
              <w:snapToGrid w:val="0"/>
              <w:rPr>
                <w:rFonts w:ascii="Times New Roman" w:hAnsi="Times New Roman"/>
                <w:color w:val="000000"/>
                <w:sz w:val="16"/>
                <w:szCs w:val="16"/>
              </w:rPr>
            </w:pPr>
          </w:p>
        </w:tc>
      </w:tr>
      <w:tr w:rsidR="007974E8" w:rsidRPr="00E16672" w14:paraId="5F52E4BE" w14:textId="77777777" w:rsidTr="006F3E88">
        <w:trPr>
          <w:trHeight w:val="197"/>
        </w:trPr>
        <w:tc>
          <w:tcPr>
            <w:tcW w:w="1887" w:type="dxa"/>
            <w:shd w:val="clear" w:color="auto" w:fill="auto"/>
            <w:vAlign w:val="center"/>
          </w:tcPr>
          <w:p w14:paraId="2889FB89" w14:textId="77777777" w:rsidR="007974E8" w:rsidRPr="00E16672" w:rsidRDefault="007974E8" w:rsidP="006F3E88">
            <w:pPr>
              <w:snapToGrid w:val="0"/>
              <w:ind w:firstLine="6"/>
              <w:rPr>
                <w:rFonts w:ascii="Times New Roman" w:hAnsi="Times New Roman"/>
                <w:b/>
                <w:bCs/>
                <w:i/>
                <w:iCs/>
                <w:color w:val="000000"/>
                <w:sz w:val="16"/>
                <w:szCs w:val="16"/>
                <w:lang w:val="en-US"/>
              </w:rPr>
            </w:pPr>
            <w:r w:rsidRPr="00E16672">
              <w:rPr>
                <w:rFonts w:ascii="Times New Roman" w:hAnsi="Times New Roman"/>
                <w:b/>
                <w:bCs/>
                <w:i/>
                <w:iCs/>
                <w:color w:val="000000"/>
                <w:sz w:val="16"/>
                <w:szCs w:val="16"/>
                <w:lang w:val="en-US"/>
              </w:rPr>
              <w:t>E-mail</w:t>
            </w:r>
          </w:p>
        </w:tc>
        <w:tc>
          <w:tcPr>
            <w:tcW w:w="3838" w:type="dxa"/>
            <w:shd w:val="clear" w:color="auto" w:fill="auto"/>
            <w:vAlign w:val="center"/>
          </w:tcPr>
          <w:p w14:paraId="50837CAD" w14:textId="77777777" w:rsidR="007974E8" w:rsidRPr="00E16672" w:rsidRDefault="007974E8" w:rsidP="006F3E88">
            <w:pPr>
              <w:snapToGrid w:val="0"/>
              <w:ind w:firstLine="6"/>
              <w:rPr>
                <w:rFonts w:ascii="Times New Roman" w:hAnsi="Times New Roman"/>
                <w:b/>
                <w:bCs/>
                <w:i/>
                <w:iCs/>
                <w:color w:val="000000"/>
                <w:sz w:val="16"/>
                <w:szCs w:val="16"/>
                <w:lang w:val="en-US"/>
              </w:rPr>
            </w:pPr>
          </w:p>
        </w:tc>
      </w:tr>
      <w:tr w:rsidR="007974E8" w:rsidRPr="00E16672" w14:paraId="694C59E7" w14:textId="77777777" w:rsidTr="006F3E88">
        <w:trPr>
          <w:trHeight w:val="321"/>
        </w:trPr>
        <w:tc>
          <w:tcPr>
            <w:tcW w:w="1887" w:type="dxa"/>
            <w:shd w:val="clear" w:color="auto" w:fill="auto"/>
            <w:vAlign w:val="center"/>
          </w:tcPr>
          <w:p w14:paraId="0A1E3C72" w14:textId="77777777" w:rsidR="007974E8" w:rsidRPr="00E16672" w:rsidRDefault="007974E8" w:rsidP="006F3E88">
            <w:pPr>
              <w:snapToGrid w:val="0"/>
              <w:ind w:firstLine="0"/>
              <w:rPr>
                <w:rFonts w:ascii="Times New Roman" w:hAnsi="Times New Roman"/>
                <w:b/>
                <w:i/>
                <w:color w:val="000000"/>
                <w:sz w:val="16"/>
                <w:szCs w:val="16"/>
              </w:rPr>
            </w:pPr>
            <w:r w:rsidRPr="00E16672">
              <w:rPr>
                <w:rFonts w:ascii="Times New Roman" w:hAnsi="Times New Roman"/>
                <w:b/>
                <w:i/>
                <w:color w:val="000000"/>
                <w:sz w:val="16"/>
                <w:szCs w:val="16"/>
              </w:rPr>
              <w:t>Телефон</w:t>
            </w:r>
          </w:p>
        </w:tc>
        <w:tc>
          <w:tcPr>
            <w:tcW w:w="3838" w:type="dxa"/>
            <w:shd w:val="clear" w:color="auto" w:fill="auto"/>
            <w:vAlign w:val="center"/>
          </w:tcPr>
          <w:p w14:paraId="450198B6" w14:textId="77777777" w:rsidR="007974E8" w:rsidRPr="00E16672" w:rsidRDefault="007974E8" w:rsidP="006F3E88">
            <w:pPr>
              <w:snapToGrid w:val="0"/>
              <w:rPr>
                <w:rFonts w:ascii="Times New Roman" w:hAnsi="Times New Roman"/>
                <w:color w:val="000000"/>
                <w:sz w:val="16"/>
                <w:szCs w:val="16"/>
              </w:rPr>
            </w:pPr>
          </w:p>
        </w:tc>
      </w:tr>
      <w:tr w:rsidR="007974E8" w:rsidRPr="00E16672" w14:paraId="5A1180A8" w14:textId="77777777" w:rsidTr="006F3E88">
        <w:trPr>
          <w:trHeight w:val="122"/>
        </w:trPr>
        <w:tc>
          <w:tcPr>
            <w:tcW w:w="1887" w:type="dxa"/>
            <w:shd w:val="clear" w:color="auto" w:fill="auto"/>
            <w:vAlign w:val="center"/>
          </w:tcPr>
          <w:p w14:paraId="3121E051" w14:textId="77777777" w:rsidR="007974E8" w:rsidRPr="00E16672" w:rsidRDefault="007974E8" w:rsidP="006F3E88">
            <w:pPr>
              <w:snapToGrid w:val="0"/>
              <w:ind w:firstLine="0"/>
              <w:rPr>
                <w:rFonts w:ascii="Times New Roman" w:hAnsi="Times New Roman"/>
                <w:color w:val="000000"/>
                <w:sz w:val="16"/>
                <w:szCs w:val="16"/>
              </w:rPr>
            </w:pPr>
            <w:r w:rsidRPr="00E16672">
              <w:rPr>
                <w:rFonts w:ascii="Times New Roman" w:hAnsi="Times New Roman"/>
                <w:b/>
                <w:i/>
                <w:color w:val="000000"/>
                <w:sz w:val="16"/>
                <w:szCs w:val="16"/>
              </w:rPr>
              <w:t>Факс</w:t>
            </w:r>
            <w:r w:rsidRPr="00E16672">
              <w:rPr>
                <w:rFonts w:ascii="Times New Roman" w:hAnsi="Times New Roman"/>
                <w:i/>
                <w:color w:val="000000"/>
                <w:sz w:val="16"/>
                <w:szCs w:val="16"/>
              </w:rPr>
              <w:t xml:space="preserve"> </w:t>
            </w:r>
            <w:r w:rsidRPr="00E16672">
              <w:rPr>
                <w:rFonts w:ascii="Times New Roman" w:hAnsi="Times New Roman"/>
                <w:color w:val="000000"/>
                <w:sz w:val="16"/>
                <w:szCs w:val="16"/>
              </w:rPr>
              <w:t xml:space="preserve">   </w:t>
            </w:r>
          </w:p>
        </w:tc>
        <w:tc>
          <w:tcPr>
            <w:tcW w:w="3838" w:type="dxa"/>
            <w:shd w:val="clear" w:color="auto" w:fill="auto"/>
            <w:vAlign w:val="center"/>
          </w:tcPr>
          <w:p w14:paraId="7BA73E64" w14:textId="77777777" w:rsidR="007974E8" w:rsidRPr="00E16672" w:rsidRDefault="007974E8" w:rsidP="00E72E24">
            <w:pPr>
              <w:snapToGrid w:val="0"/>
              <w:rPr>
                <w:rFonts w:ascii="Times New Roman" w:hAnsi="Times New Roman"/>
                <w:color w:val="000000"/>
                <w:sz w:val="16"/>
                <w:szCs w:val="16"/>
              </w:rPr>
            </w:pPr>
          </w:p>
        </w:tc>
      </w:tr>
    </w:tbl>
    <w:p w14:paraId="6C819075" w14:textId="77777777" w:rsidR="007974E8" w:rsidRPr="00E16672" w:rsidRDefault="007974E8" w:rsidP="007974E8">
      <w:pPr>
        <w:tabs>
          <w:tab w:val="left" w:pos="5954"/>
        </w:tabs>
        <w:rPr>
          <w:rFonts w:ascii="Times New Roman" w:hAnsi="Times New Roman"/>
          <w:b/>
          <w:bCs/>
          <w:color w:val="0000FF"/>
          <w:sz w:val="16"/>
          <w:szCs w:val="16"/>
        </w:rPr>
      </w:pPr>
      <w:r w:rsidRPr="00E16672">
        <w:rPr>
          <w:rFonts w:ascii="Times New Roman" w:hAnsi="Times New Roman"/>
          <w:b/>
          <w:bCs/>
          <w:color w:val="0000FF"/>
          <w:sz w:val="16"/>
          <w:szCs w:val="16"/>
        </w:rPr>
        <w:t xml:space="preserve">  </w:t>
      </w:r>
    </w:p>
    <w:p w14:paraId="418FDA21" w14:textId="77777777" w:rsidR="007974E8" w:rsidRPr="00E16672" w:rsidRDefault="007974E8" w:rsidP="007974E8">
      <w:pPr>
        <w:tabs>
          <w:tab w:val="left" w:pos="5954"/>
        </w:tabs>
        <w:rPr>
          <w:rFonts w:ascii="Times New Roman" w:hAnsi="Times New Roman"/>
          <w:b/>
          <w:bCs/>
          <w:color w:val="000000"/>
          <w:sz w:val="16"/>
          <w:szCs w:val="16"/>
        </w:rPr>
      </w:pPr>
      <w:r w:rsidRPr="00E16672">
        <w:rPr>
          <w:rFonts w:ascii="Times New Roman" w:hAnsi="Times New Roman"/>
          <w:b/>
          <w:bCs/>
          <w:color w:val="000000"/>
          <w:sz w:val="16"/>
          <w:szCs w:val="16"/>
        </w:rPr>
        <w:t xml:space="preserve"> </w:t>
      </w:r>
      <w:proofErr w:type="gramStart"/>
      <w:r w:rsidRPr="00E16672">
        <w:rPr>
          <w:rFonts w:ascii="Times New Roman" w:hAnsi="Times New Roman"/>
          <w:b/>
          <w:bCs/>
          <w:color w:val="000000"/>
          <w:sz w:val="16"/>
          <w:szCs w:val="16"/>
        </w:rPr>
        <w:t>Депонент :</w:t>
      </w:r>
      <w:proofErr w:type="gramEnd"/>
      <w:r w:rsidRPr="00E16672">
        <w:rPr>
          <w:rFonts w:ascii="Times New Roman" w:hAnsi="Times New Roman"/>
          <w:b/>
          <w:bCs/>
          <w:color w:val="000000"/>
          <w:sz w:val="16"/>
          <w:szCs w:val="16"/>
        </w:rPr>
        <w:t xml:space="preserve">                                                                         </w:t>
      </w:r>
      <w:r w:rsidRPr="00E16672">
        <w:rPr>
          <w:rFonts w:ascii="Times New Roman" w:hAnsi="Times New Roman"/>
          <w:b/>
          <w:bCs/>
          <w:color w:val="000000"/>
          <w:sz w:val="16"/>
          <w:szCs w:val="16"/>
          <w:lang w:val="uk-UA"/>
        </w:rPr>
        <w:t xml:space="preserve">                        </w:t>
      </w:r>
      <w:r w:rsidRPr="00E16672">
        <w:rPr>
          <w:rFonts w:ascii="Times New Roman" w:hAnsi="Times New Roman"/>
          <w:b/>
          <w:bCs/>
          <w:color w:val="000000"/>
          <w:sz w:val="16"/>
          <w:szCs w:val="16"/>
        </w:rPr>
        <w:t xml:space="preserve"> </w:t>
      </w:r>
      <w:proofErr w:type="spellStart"/>
      <w:r w:rsidRPr="00E16672">
        <w:rPr>
          <w:rFonts w:ascii="Times New Roman" w:hAnsi="Times New Roman"/>
          <w:b/>
          <w:bCs/>
          <w:color w:val="000000"/>
          <w:sz w:val="16"/>
          <w:szCs w:val="16"/>
        </w:rPr>
        <w:t>Депозитарна</w:t>
      </w:r>
      <w:proofErr w:type="spellEnd"/>
      <w:r w:rsidRPr="00E16672">
        <w:rPr>
          <w:rFonts w:ascii="Times New Roman" w:hAnsi="Times New Roman"/>
          <w:b/>
          <w:bCs/>
          <w:color w:val="000000"/>
          <w:sz w:val="16"/>
          <w:szCs w:val="16"/>
        </w:rPr>
        <w:t xml:space="preserve"> </w:t>
      </w:r>
      <w:proofErr w:type="spellStart"/>
      <w:r w:rsidRPr="00E16672">
        <w:rPr>
          <w:rFonts w:ascii="Times New Roman" w:hAnsi="Times New Roman"/>
          <w:b/>
          <w:bCs/>
          <w:color w:val="000000"/>
          <w:sz w:val="16"/>
          <w:szCs w:val="16"/>
        </w:rPr>
        <w:t>установа</w:t>
      </w:r>
      <w:proofErr w:type="spellEnd"/>
      <w:r w:rsidRPr="00E16672">
        <w:rPr>
          <w:rFonts w:ascii="Times New Roman" w:hAnsi="Times New Roman"/>
          <w:b/>
          <w:bCs/>
          <w:color w:val="000000"/>
          <w:sz w:val="16"/>
          <w:szCs w:val="16"/>
        </w:rPr>
        <w:t>:</w:t>
      </w:r>
    </w:p>
    <w:p w14:paraId="46B0071E" w14:textId="77777777" w:rsidR="007974E8" w:rsidRPr="00E16672" w:rsidRDefault="007974E8" w:rsidP="007974E8">
      <w:pPr>
        <w:tabs>
          <w:tab w:val="left" w:pos="5954"/>
        </w:tabs>
        <w:rPr>
          <w:rFonts w:ascii="Times New Roman" w:hAnsi="Times New Roman"/>
          <w:color w:val="000000"/>
          <w:sz w:val="16"/>
          <w:szCs w:val="16"/>
        </w:rPr>
      </w:pPr>
    </w:p>
    <w:p w14:paraId="6A0DEFA6" w14:textId="77777777" w:rsidR="007974E8" w:rsidRPr="00E16672" w:rsidRDefault="007974E8" w:rsidP="00F82710">
      <w:pPr>
        <w:jc w:val="left"/>
        <w:rPr>
          <w:rFonts w:ascii="Times New Roman" w:hAnsi="Times New Roman"/>
          <w:b/>
          <w:color w:val="000000"/>
          <w:sz w:val="16"/>
          <w:szCs w:val="16"/>
          <w:lang w:val="uk-UA"/>
        </w:rPr>
      </w:pPr>
      <w:r w:rsidRPr="00E16672">
        <w:rPr>
          <w:rFonts w:ascii="Times New Roman" w:hAnsi="Times New Roman"/>
          <w:i/>
          <w:color w:val="000000"/>
          <w:sz w:val="16"/>
          <w:szCs w:val="16"/>
        </w:rPr>
        <w:t xml:space="preserve">  _______</w:t>
      </w:r>
      <w:r w:rsidR="006517E7">
        <w:rPr>
          <w:rFonts w:ascii="Times New Roman" w:hAnsi="Times New Roman"/>
          <w:i/>
          <w:color w:val="000000"/>
          <w:sz w:val="16"/>
          <w:szCs w:val="16"/>
          <w:lang w:val="uk-UA"/>
        </w:rPr>
        <w:t>______________</w:t>
      </w:r>
      <w:r w:rsidRPr="00E16672">
        <w:rPr>
          <w:rFonts w:ascii="Times New Roman" w:hAnsi="Times New Roman"/>
          <w:i/>
          <w:color w:val="000000"/>
          <w:sz w:val="16"/>
          <w:szCs w:val="16"/>
        </w:rPr>
        <w:t>__</w:t>
      </w:r>
      <w:r w:rsidRPr="00E16672">
        <w:rPr>
          <w:rFonts w:ascii="Times New Roman" w:hAnsi="Times New Roman"/>
          <w:color w:val="000000"/>
          <w:sz w:val="16"/>
          <w:szCs w:val="16"/>
        </w:rPr>
        <w:t xml:space="preserve"> (________</w:t>
      </w:r>
      <w:r w:rsidR="006517E7">
        <w:rPr>
          <w:rFonts w:ascii="Times New Roman" w:hAnsi="Times New Roman"/>
          <w:color w:val="000000"/>
          <w:sz w:val="16"/>
          <w:szCs w:val="16"/>
          <w:lang w:val="uk-UA"/>
        </w:rPr>
        <w:t>___________</w:t>
      </w:r>
      <w:r w:rsidRPr="00E16672">
        <w:rPr>
          <w:rFonts w:ascii="Times New Roman" w:hAnsi="Times New Roman"/>
          <w:color w:val="000000"/>
          <w:sz w:val="16"/>
          <w:szCs w:val="16"/>
        </w:rPr>
        <w:t xml:space="preserve">____) </w:t>
      </w:r>
      <w:r w:rsidRPr="00E16672">
        <w:rPr>
          <w:rFonts w:ascii="Times New Roman" w:hAnsi="Times New Roman"/>
          <w:color w:val="000000"/>
          <w:sz w:val="16"/>
          <w:szCs w:val="16"/>
          <w:lang w:val="uk-UA"/>
        </w:rPr>
        <w:t xml:space="preserve">   </w:t>
      </w:r>
      <w:r w:rsidR="00C06E0C">
        <w:rPr>
          <w:rFonts w:ascii="Times New Roman" w:hAnsi="Times New Roman"/>
          <w:color w:val="000000"/>
          <w:sz w:val="16"/>
          <w:szCs w:val="16"/>
          <w:lang w:val="uk-UA"/>
        </w:rPr>
        <w:t xml:space="preserve">                      </w:t>
      </w:r>
      <w:r w:rsidR="006517E7">
        <w:rPr>
          <w:rFonts w:ascii="Times New Roman" w:hAnsi="Times New Roman"/>
          <w:color w:val="000000"/>
          <w:sz w:val="16"/>
          <w:szCs w:val="16"/>
          <w:lang w:val="uk-UA"/>
        </w:rPr>
        <w:t xml:space="preserve">  </w:t>
      </w:r>
      <w:r w:rsidRPr="00E16672">
        <w:rPr>
          <w:rFonts w:ascii="Times New Roman" w:hAnsi="Times New Roman"/>
          <w:color w:val="000000"/>
          <w:sz w:val="16"/>
          <w:szCs w:val="16"/>
          <w:lang w:val="uk-UA"/>
        </w:rPr>
        <w:t xml:space="preserve"> _________ (____________)             ____________    (</w:t>
      </w:r>
      <w:r w:rsidR="006517E7">
        <w:rPr>
          <w:rFonts w:ascii="Times New Roman" w:hAnsi="Times New Roman"/>
          <w:color w:val="000000"/>
          <w:sz w:val="16"/>
          <w:szCs w:val="16"/>
          <w:lang w:val="uk-UA"/>
        </w:rPr>
        <w:t>__________________</w:t>
      </w:r>
      <w:r w:rsidR="00E16672" w:rsidRPr="00E16672">
        <w:rPr>
          <w:rFonts w:ascii="Times New Roman" w:hAnsi="Times New Roman"/>
          <w:color w:val="000000"/>
          <w:sz w:val="16"/>
          <w:szCs w:val="16"/>
          <w:lang w:val="uk-UA"/>
        </w:rPr>
        <w:t>.</w:t>
      </w:r>
      <w:r w:rsidRPr="00E16672">
        <w:rPr>
          <w:rFonts w:ascii="Times New Roman" w:hAnsi="Times New Roman"/>
          <w:color w:val="000000"/>
          <w:sz w:val="16"/>
          <w:szCs w:val="16"/>
          <w:lang w:val="uk-UA"/>
        </w:rPr>
        <w:t>)</w:t>
      </w:r>
      <w:r w:rsidRPr="00E16672">
        <w:rPr>
          <w:rFonts w:ascii="Times New Roman" w:hAnsi="Times New Roman"/>
          <w:b/>
          <w:color w:val="000000"/>
          <w:sz w:val="16"/>
          <w:szCs w:val="16"/>
          <w:lang w:val="uk-UA"/>
        </w:rPr>
        <w:t xml:space="preserve">               </w:t>
      </w:r>
    </w:p>
    <w:p w14:paraId="33AFA6C5" w14:textId="77777777" w:rsidR="007974E8" w:rsidRPr="00E16672" w:rsidRDefault="006F3E88" w:rsidP="007974E8">
      <w:pPr>
        <w:rPr>
          <w:rFonts w:ascii="Times New Roman" w:hAnsi="Times New Roman"/>
          <w:i/>
          <w:color w:val="000000"/>
          <w:sz w:val="14"/>
          <w:szCs w:val="14"/>
          <w:lang w:val="uk-UA"/>
        </w:rPr>
      </w:pPr>
      <w:r w:rsidRPr="00E16672">
        <w:rPr>
          <w:rFonts w:ascii="Times New Roman" w:hAnsi="Times New Roman"/>
          <w:i/>
          <w:color w:val="000000"/>
          <w:sz w:val="14"/>
          <w:szCs w:val="14"/>
          <w:lang w:val="uk-UA"/>
        </w:rPr>
        <w:t xml:space="preserve">         В</w:t>
      </w:r>
      <w:r w:rsidR="007974E8" w:rsidRPr="00E16672">
        <w:rPr>
          <w:rFonts w:ascii="Times New Roman" w:hAnsi="Times New Roman"/>
          <w:i/>
          <w:color w:val="000000"/>
          <w:sz w:val="14"/>
          <w:szCs w:val="14"/>
          <w:lang w:val="uk-UA"/>
        </w:rPr>
        <w:t>.</w:t>
      </w:r>
      <w:r w:rsidRPr="00E16672">
        <w:rPr>
          <w:rFonts w:ascii="Times New Roman" w:hAnsi="Times New Roman"/>
          <w:i/>
          <w:color w:val="000000"/>
          <w:sz w:val="14"/>
          <w:szCs w:val="14"/>
          <w:lang w:val="uk-UA"/>
        </w:rPr>
        <w:t>П</w:t>
      </w:r>
      <w:r w:rsidR="007974E8" w:rsidRPr="00E16672">
        <w:rPr>
          <w:rFonts w:ascii="Times New Roman" w:hAnsi="Times New Roman"/>
          <w:i/>
          <w:color w:val="000000"/>
          <w:sz w:val="14"/>
          <w:szCs w:val="14"/>
          <w:lang w:val="uk-UA"/>
        </w:rPr>
        <w:t>. (</w:t>
      </w:r>
      <w:r w:rsidR="00CD77BC" w:rsidRPr="00E16672">
        <w:rPr>
          <w:rFonts w:ascii="Times New Roman" w:hAnsi="Times New Roman"/>
          <w:i/>
          <w:sz w:val="14"/>
          <w:szCs w:val="14"/>
        </w:rPr>
        <w:t xml:space="preserve">у </w:t>
      </w:r>
      <w:proofErr w:type="spellStart"/>
      <w:r w:rsidR="00CD77BC" w:rsidRPr="00E16672">
        <w:rPr>
          <w:rFonts w:ascii="Times New Roman" w:hAnsi="Times New Roman"/>
          <w:i/>
          <w:sz w:val="14"/>
          <w:szCs w:val="14"/>
        </w:rPr>
        <w:t>разі</w:t>
      </w:r>
      <w:proofErr w:type="spellEnd"/>
      <w:r w:rsidR="00CD77BC" w:rsidRPr="00E16672">
        <w:rPr>
          <w:rFonts w:ascii="Times New Roman" w:hAnsi="Times New Roman"/>
          <w:i/>
          <w:sz w:val="14"/>
          <w:szCs w:val="14"/>
        </w:rPr>
        <w:t xml:space="preserve"> </w:t>
      </w:r>
      <w:proofErr w:type="spellStart"/>
      <w:r w:rsidR="00CD77BC" w:rsidRPr="00E16672">
        <w:rPr>
          <w:rFonts w:ascii="Times New Roman" w:hAnsi="Times New Roman"/>
          <w:i/>
          <w:sz w:val="14"/>
          <w:szCs w:val="14"/>
        </w:rPr>
        <w:t>використання</w:t>
      </w:r>
      <w:proofErr w:type="spellEnd"/>
      <w:r w:rsidR="007974E8" w:rsidRPr="00E16672">
        <w:rPr>
          <w:rFonts w:ascii="Times New Roman" w:hAnsi="Times New Roman"/>
          <w:i/>
          <w:color w:val="000000"/>
          <w:sz w:val="14"/>
          <w:szCs w:val="14"/>
          <w:lang w:val="uk-UA"/>
        </w:rPr>
        <w:t>)</w:t>
      </w:r>
      <w:r w:rsidR="007974E8" w:rsidRPr="00E16672">
        <w:rPr>
          <w:rFonts w:ascii="Times New Roman" w:hAnsi="Times New Roman"/>
          <w:i/>
          <w:iCs/>
          <w:color w:val="000000"/>
          <w:sz w:val="14"/>
          <w:szCs w:val="14"/>
          <w:lang w:val="uk-UA"/>
        </w:rPr>
        <w:t>, підпис</w:t>
      </w:r>
      <w:r w:rsidR="007974E8" w:rsidRPr="00E16672">
        <w:rPr>
          <w:rFonts w:ascii="Times New Roman" w:hAnsi="Times New Roman"/>
          <w:i/>
          <w:color w:val="000000"/>
          <w:sz w:val="16"/>
          <w:szCs w:val="16"/>
          <w:lang w:val="uk-UA"/>
        </w:rPr>
        <w:t xml:space="preserve">              </w:t>
      </w:r>
      <w:r w:rsidR="00C06E0C">
        <w:rPr>
          <w:rFonts w:ascii="Times New Roman" w:hAnsi="Times New Roman"/>
          <w:i/>
          <w:color w:val="000000"/>
          <w:sz w:val="16"/>
          <w:szCs w:val="16"/>
          <w:lang w:val="uk-UA"/>
        </w:rPr>
        <w:t xml:space="preserve">                               </w:t>
      </w:r>
      <w:r w:rsidR="007974E8" w:rsidRPr="00E16672">
        <w:rPr>
          <w:rFonts w:ascii="Times New Roman" w:hAnsi="Times New Roman"/>
          <w:i/>
          <w:color w:val="000000"/>
          <w:sz w:val="16"/>
          <w:szCs w:val="16"/>
          <w:lang w:val="uk-UA"/>
        </w:rPr>
        <w:t xml:space="preserve"> </w:t>
      </w:r>
      <w:r w:rsidRPr="00E16672">
        <w:rPr>
          <w:rFonts w:ascii="Times New Roman" w:hAnsi="Times New Roman"/>
          <w:i/>
          <w:color w:val="000000"/>
          <w:sz w:val="16"/>
          <w:szCs w:val="16"/>
          <w:lang w:val="uk-UA"/>
        </w:rPr>
        <w:t xml:space="preserve"> </w:t>
      </w:r>
      <w:r w:rsidR="006517E7">
        <w:rPr>
          <w:rFonts w:ascii="Times New Roman" w:hAnsi="Times New Roman"/>
          <w:i/>
          <w:color w:val="000000"/>
          <w:sz w:val="16"/>
          <w:szCs w:val="16"/>
          <w:lang w:val="uk-UA"/>
        </w:rPr>
        <w:t xml:space="preserve">            </w:t>
      </w:r>
      <w:r w:rsidRPr="00E16672">
        <w:rPr>
          <w:rFonts w:ascii="Times New Roman" w:hAnsi="Times New Roman"/>
          <w:i/>
          <w:color w:val="000000"/>
          <w:sz w:val="16"/>
          <w:szCs w:val="16"/>
          <w:lang w:val="uk-UA"/>
        </w:rPr>
        <w:t xml:space="preserve"> В</w:t>
      </w:r>
      <w:r w:rsidR="007974E8" w:rsidRPr="00E16672">
        <w:rPr>
          <w:rFonts w:ascii="Times New Roman" w:hAnsi="Times New Roman"/>
          <w:i/>
          <w:color w:val="000000"/>
          <w:sz w:val="14"/>
          <w:szCs w:val="14"/>
          <w:lang w:val="uk-UA"/>
        </w:rPr>
        <w:t>.</w:t>
      </w:r>
      <w:r w:rsidRPr="00E16672">
        <w:rPr>
          <w:rFonts w:ascii="Times New Roman" w:hAnsi="Times New Roman"/>
          <w:i/>
          <w:color w:val="000000"/>
          <w:sz w:val="14"/>
          <w:szCs w:val="14"/>
          <w:lang w:val="uk-UA"/>
        </w:rPr>
        <w:t>П</w:t>
      </w:r>
      <w:r w:rsidR="007974E8" w:rsidRPr="00E16672">
        <w:rPr>
          <w:rFonts w:ascii="Times New Roman" w:hAnsi="Times New Roman"/>
          <w:i/>
          <w:color w:val="000000"/>
          <w:sz w:val="14"/>
          <w:szCs w:val="14"/>
          <w:lang w:val="uk-UA"/>
        </w:rPr>
        <w:t>. (</w:t>
      </w:r>
      <w:r w:rsidR="00CD77BC" w:rsidRPr="00E16672">
        <w:rPr>
          <w:rFonts w:ascii="Times New Roman" w:hAnsi="Times New Roman"/>
          <w:i/>
          <w:sz w:val="14"/>
          <w:szCs w:val="14"/>
        </w:rPr>
        <w:t xml:space="preserve">у </w:t>
      </w:r>
      <w:proofErr w:type="spellStart"/>
      <w:r w:rsidR="00CD77BC" w:rsidRPr="00E16672">
        <w:rPr>
          <w:rFonts w:ascii="Times New Roman" w:hAnsi="Times New Roman"/>
          <w:i/>
          <w:sz w:val="14"/>
          <w:szCs w:val="14"/>
        </w:rPr>
        <w:t>разі</w:t>
      </w:r>
      <w:proofErr w:type="spellEnd"/>
      <w:r w:rsidR="00CD77BC" w:rsidRPr="00E16672">
        <w:rPr>
          <w:rFonts w:ascii="Times New Roman" w:hAnsi="Times New Roman"/>
          <w:i/>
          <w:sz w:val="14"/>
          <w:szCs w:val="14"/>
        </w:rPr>
        <w:t xml:space="preserve"> </w:t>
      </w:r>
      <w:proofErr w:type="spellStart"/>
      <w:r w:rsidR="00CD77BC" w:rsidRPr="00E16672">
        <w:rPr>
          <w:rFonts w:ascii="Times New Roman" w:hAnsi="Times New Roman"/>
          <w:i/>
          <w:sz w:val="14"/>
          <w:szCs w:val="14"/>
        </w:rPr>
        <w:t>використання</w:t>
      </w:r>
      <w:proofErr w:type="spellEnd"/>
      <w:r w:rsidR="007974E8" w:rsidRPr="00E16672">
        <w:rPr>
          <w:rFonts w:ascii="Times New Roman" w:hAnsi="Times New Roman"/>
          <w:i/>
          <w:color w:val="000000"/>
          <w:sz w:val="14"/>
          <w:szCs w:val="14"/>
          <w:lang w:val="uk-UA"/>
        </w:rPr>
        <w:t xml:space="preserve">), підпис                            </w:t>
      </w:r>
      <w:r w:rsidRPr="00E16672">
        <w:rPr>
          <w:rFonts w:ascii="Times New Roman" w:hAnsi="Times New Roman"/>
          <w:i/>
          <w:color w:val="000000"/>
          <w:sz w:val="14"/>
          <w:szCs w:val="14"/>
          <w:lang w:val="uk-UA"/>
        </w:rPr>
        <w:t xml:space="preserve">          В</w:t>
      </w:r>
      <w:r w:rsidR="007974E8" w:rsidRPr="00E16672">
        <w:rPr>
          <w:rFonts w:ascii="Times New Roman" w:hAnsi="Times New Roman"/>
          <w:i/>
          <w:color w:val="000000"/>
          <w:sz w:val="14"/>
          <w:szCs w:val="14"/>
          <w:lang w:val="uk-UA"/>
        </w:rPr>
        <w:t>.</w:t>
      </w:r>
      <w:r w:rsidRPr="00E16672">
        <w:rPr>
          <w:rFonts w:ascii="Times New Roman" w:hAnsi="Times New Roman"/>
          <w:i/>
          <w:color w:val="000000"/>
          <w:sz w:val="14"/>
          <w:szCs w:val="14"/>
          <w:lang w:val="uk-UA"/>
        </w:rPr>
        <w:t>П</w:t>
      </w:r>
      <w:r w:rsidR="007974E8" w:rsidRPr="00E16672">
        <w:rPr>
          <w:rFonts w:ascii="Times New Roman" w:hAnsi="Times New Roman"/>
          <w:i/>
          <w:color w:val="000000"/>
          <w:sz w:val="14"/>
          <w:szCs w:val="14"/>
          <w:lang w:val="uk-UA"/>
        </w:rPr>
        <w:t>., підпис</w:t>
      </w:r>
    </w:p>
    <w:p w14:paraId="749DA9E2" w14:textId="77777777" w:rsidR="007974E8" w:rsidRPr="00E16672" w:rsidRDefault="007974E8" w:rsidP="007974E8">
      <w:pPr>
        <w:pStyle w:val="HTML"/>
        <w:shd w:val="clear" w:color="auto" w:fill="FFFFFF"/>
        <w:rPr>
          <w:rFonts w:ascii="Times New Roman" w:hAnsi="Times New Roman" w:cs="Times New Roman"/>
          <w:sz w:val="16"/>
          <w:szCs w:val="16"/>
          <w:lang w:val="uk-UA" w:eastAsia="uk-UA"/>
        </w:rPr>
      </w:pPr>
      <w:r w:rsidRPr="00E16672">
        <w:rPr>
          <w:rFonts w:ascii="Times New Roman" w:hAnsi="Times New Roman" w:cs="Times New Roman"/>
          <w:i/>
          <w:color w:val="000000"/>
          <w:sz w:val="16"/>
          <w:szCs w:val="16"/>
          <w:lang w:val="uk-UA"/>
        </w:rPr>
        <w:br w:type="page"/>
      </w:r>
    </w:p>
    <w:p w14:paraId="5F8B2688" w14:textId="77777777" w:rsidR="00493A17" w:rsidRPr="00E16672" w:rsidRDefault="006D2BB7" w:rsidP="00493A17">
      <w:pPr>
        <w:pStyle w:val="ab"/>
        <w:widowControl w:val="0"/>
        <w:rPr>
          <w:rFonts w:ascii="Times New Roman" w:hAnsi="Times New Roman"/>
          <w:lang w:val="ru-RU"/>
        </w:rPr>
      </w:pPr>
      <w:r w:rsidRPr="00E16672">
        <w:rPr>
          <w:rFonts w:ascii="Times New Roman" w:hAnsi="Times New Roman"/>
          <w:b w:val="0"/>
          <w:color w:val="000000"/>
        </w:rPr>
        <w:lastRenderedPageBreak/>
        <w:t xml:space="preserve"> </w:t>
      </w:r>
      <w:r w:rsidR="00493A17" w:rsidRPr="00E16672">
        <w:rPr>
          <w:rFonts w:ascii="Times New Roman" w:hAnsi="Times New Roman"/>
        </w:rPr>
        <w:t xml:space="preserve">Договір № </w:t>
      </w:r>
    </w:p>
    <w:p w14:paraId="78520ABE" w14:textId="77777777" w:rsidR="00493A17" w:rsidRPr="00E16672" w:rsidRDefault="00493A17" w:rsidP="00493A17">
      <w:pPr>
        <w:pStyle w:val="ab"/>
        <w:widowControl w:val="0"/>
        <w:rPr>
          <w:rFonts w:ascii="Times New Roman" w:hAnsi="Times New Roman"/>
        </w:rPr>
      </w:pPr>
      <w:r w:rsidRPr="00E16672">
        <w:rPr>
          <w:rFonts w:ascii="Times New Roman" w:hAnsi="Times New Roman"/>
        </w:rPr>
        <w:t>про надання послуг по інформаційному та організаційному</w:t>
      </w:r>
    </w:p>
    <w:p w14:paraId="7E7304F8" w14:textId="77777777" w:rsidR="00493A17" w:rsidRPr="00E16672" w:rsidRDefault="00493A17" w:rsidP="00493A17">
      <w:pPr>
        <w:pStyle w:val="ab"/>
        <w:widowControl w:val="0"/>
        <w:rPr>
          <w:rFonts w:ascii="Times New Roman" w:hAnsi="Times New Roman"/>
        </w:rPr>
      </w:pPr>
      <w:r w:rsidRPr="00E16672">
        <w:rPr>
          <w:rFonts w:ascii="Times New Roman" w:hAnsi="Times New Roman"/>
        </w:rPr>
        <w:t>забезпеченню проведення загальних зборів акціонерів</w:t>
      </w:r>
    </w:p>
    <w:p w14:paraId="1D92984E" w14:textId="77777777" w:rsidR="00493A17" w:rsidRPr="00E16672" w:rsidRDefault="00493A17" w:rsidP="00493A17">
      <w:pPr>
        <w:pStyle w:val="ab"/>
        <w:widowControl w:val="0"/>
        <w:rPr>
          <w:rFonts w:ascii="Times New Roman" w:hAnsi="Times New Roman"/>
        </w:rPr>
      </w:pPr>
      <w:r w:rsidRPr="00E16672">
        <w:rPr>
          <w:rFonts w:ascii="Times New Roman" w:hAnsi="Times New Roman"/>
        </w:rPr>
        <w:t>_</w:t>
      </w:r>
      <w:r w:rsidR="00602650">
        <w:rPr>
          <w:rFonts w:ascii="Times New Roman" w:hAnsi="Times New Roman"/>
        </w:rPr>
        <w:t>______________</w:t>
      </w:r>
      <w:r w:rsidRPr="00E16672">
        <w:rPr>
          <w:rFonts w:ascii="Times New Roman" w:hAnsi="Times New Roman"/>
        </w:rPr>
        <w:t>___, призначених на _</w:t>
      </w:r>
      <w:r w:rsidR="00602650">
        <w:rPr>
          <w:rFonts w:ascii="Times New Roman" w:hAnsi="Times New Roman"/>
        </w:rPr>
        <w:t>______________</w:t>
      </w:r>
      <w:r w:rsidRPr="00E16672">
        <w:rPr>
          <w:rFonts w:ascii="Times New Roman" w:hAnsi="Times New Roman"/>
        </w:rPr>
        <w:t>_ р.</w:t>
      </w:r>
    </w:p>
    <w:p w14:paraId="1BE9A5B4" w14:textId="77777777" w:rsidR="00493A17" w:rsidRPr="00E16672" w:rsidRDefault="00493A17" w:rsidP="00493A17">
      <w:pPr>
        <w:pStyle w:val="ab"/>
        <w:widowControl w:val="0"/>
        <w:rPr>
          <w:rFonts w:ascii="Times New Roman" w:hAnsi="Times New Roman"/>
        </w:rPr>
      </w:pPr>
    </w:p>
    <w:p w14:paraId="6D86BB29" w14:textId="77777777" w:rsidR="00493A17" w:rsidRPr="00E16672" w:rsidRDefault="00493A17" w:rsidP="00493A17">
      <w:pPr>
        <w:widowControl w:val="0"/>
        <w:ind w:right="-55"/>
        <w:jc w:val="center"/>
        <w:rPr>
          <w:rFonts w:ascii="Times New Roman" w:hAnsi="Times New Roman"/>
          <w:b/>
          <w:caps/>
          <w:lang w:val="uk-UA"/>
        </w:rPr>
      </w:pPr>
    </w:p>
    <w:p w14:paraId="64C70CC0" w14:textId="77777777" w:rsidR="00EF78D0" w:rsidRDefault="00EF78D0" w:rsidP="00EF78D0">
      <w:pPr>
        <w:rPr>
          <w:rFonts w:ascii="Times New Roman" w:hAnsi="Times New Roman"/>
          <w:color w:val="000000"/>
          <w:szCs w:val="20"/>
          <w:lang w:val="uk-UA"/>
        </w:rPr>
      </w:pPr>
      <w:r w:rsidRPr="00EF78D0">
        <w:rPr>
          <w:rFonts w:ascii="Times New Roman" w:hAnsi="Times New Roman"/>
          <w:color w:val="000000"/>
          <w:szCs w:val="20"/>
          <w:lang w:val="uk-UA"/>
        </w:rPr>
        <w:t xml:space="preserve">м. Київ </w:t>
      </w:r>
      <w:r w:rsidRPr="00EF78D0">
        <w:rPr>
          <w:rFonts w:ascii="Times New Roman" w:hAnsi="Times New Roman"/>
          <w:color w:val="000000"/>
          <w:szCs w:val="20"/>
          <w:lang w:val="uk-UA"/>
        </w:rPr>
        <w:tab/>
      </w:r>
      <w:r w:rsidRPr="00EF78D0">
        <w:rPr>
          <w:rFonts w:ascii="Times New Roman" w:hAnsi="Times New Roman"/>
          <w:color w:val="000000"/>
          <w:szCs w:val="20"/>
          <w:lang w:val="uk-UA"/>
        </w:rPr>
        <w:tab/>
      </w:r>
      <w:r w:rsidRPr="00EF78D0">
        <w:rPr>
          <w:rFonts w:ascii="Times New Roman" w:hAnsi="Times New Roman"/>
          <w:color w:val="000000"/>
          <w:szCs w:val="20"/>
          <w:lang w:val="uk-UA"/>
        </w:rPr>
        <w:tab/>
      </w:r>
      <w:r>
        <w:rPr>
          <w:rFonts w:ascii="Times New Roman" w:hAnsi="Times New Roman"/>
          <w:color w:val="000000"/>
          <w:szCs w:val="20"/>
          <w:lang w:val="uk-UA"/>
        </w:rPr>
        <w:tab/>
      </w:r>
      <w:r>
        <w:rPr>
          <w:rFonts w:ascii="Times New Roman" w:hAnsi="Times New Roman"/>
          <w:color w:val="000000"/>
          <w:szCs w:val="20"/>
          <w:lang w:val="uk-UA"/>
        </w:rPr>
        <w:tab/>
      </w:r>
      <w:r>
        <w:rPr>
          <w:rFonts w:ascii="Times New Roman" w:hAnsi="Times New Roman"/>
          <w:color w:val="000000"/>
          <w:szCs w:val="20"/>
          <w:lang w:val="uk-UA"/>
        </w:rPr>
        <w:tab/>
      </w:r>
      <w:r>
        <w:rPr>
          <w:rFonts w:ascii="Times New Roman" w:hAnsi="Times New Roman"/>
          <w:color w:val="000000"/>
          <w:szCs w:val="20"/>
          <w:lang w:val="uk-UA"/>
        </w:rPr>
        <w:tab/>
      </w:r>
      <w:r>
        <w:rPr>
          <w:rFonts w:ascii="Times New Roman" w:hAnsi="Times New Roman"/>
          <w:color w:val="000000"/>
          <w:szCs w:val="20"/>
          <w:lang w:val="uk-UA"/>
        </w:rPr>
        <w:tab/>
      </w:r>
      <w:r>
        <w:rPr>
          <w:rFonts w:ascii="Times New Roman" w:hAnsi="Times New Roman"/>
          <w:color w:val="000000"/>
          <w:szCs w:val="20"/>
          <w:lang w:val="uk-UA"/>
        </w:rPr>
        <w:tab/>
      </w:r>
      <w:r w:rsidRPr="00EF78D0">
        <w:rPr>
          <w:rFonts w:ascii="Times New Roman" w:hAnsi="Times New Roman"/>
          <w:color w:val="000000"/>
          <w:szCs w:val="20"/>
          <w:lang w:val="uk-UA"/>
        </w:rPr>
        <w:tab/>
        <w:t>"       " ____________ 20____</w:t>
      </w:r>
      <w:r>
        <w:rPr>
          <w:rFonts w:ascii="Times New Roman" w:hAnsi="Times New Roman"/>
          <w:color w:val="000000"/>
          <w:szCs w:val="20"/>
          <w:lang w:val="uk-UA"/>
        </w:rPr>
        <w:t xml:space="preserve"> </w:t>
      </w:r>
      <w:r w:rsidRPr="00EF78D0">
        <w:rPr>
          <w:rFonts w:ascii="Times New Roman" w:hAnsi="Times New Roman"/>
          <w:color w:val="000000"/>
          <w:szCs w:val="20"/>
          <w:lang w:val="uk-UA"/>
        </w:rPr>
        <w:t>р</w:t>
      </w:r>
    </w:p>
    <w:p w14:paraId="43412181" w14:textId="77777777" w:rsidR="00493A17" w:rsidRPr="00E16672" w:rsidRDefault="00493A17" w:rsidP="006517E7">
      <w:pPr>
        <w:pStyle w:val="af2"/>
        <w:widowControl w:val="0"/>
        <w:ind w:firstLine="720"/>
        <w:rPr>
          <w:rFonts w:ascii="Times New Roman" w:hAnsi="Times New Roman"/>
          <w:lang w:val="uk-UA"/>
        </w:rPr>
      </w:pPr>
    </w:p>
    <w:p w14:paraId="34AF2017" w14:textId="77777777" w:rsidR="007671CA" w:rsidRPr="004D320D" w:rsidRDefault="007671CA" w:rsidP="004D320D">
      <w:pPr>
        <w:pStyle w:val="21"/>
        <w:ind w:right="30"/>
        <w:rPr>
          <w:rFonts w:ascii="Times New Roman" w:hAnsi="Times New Roman"/>
          <w:lang w:val="uk-UA"/>
        </w:rPr>
      </w:pPr>
      <w:r w:rsidRPr="00E16672">
        <w:rPr>
          <w:rFonts w:ascii="Times New Roman" w:hAnsi="Times New Roman"/>
          <w:lang w:val="uk-UA"/>
        </w:rPr>
        <w:t xml:space="preserve">ТОВАРИСТВО З ОБМЕЖЕНОЮ ВІДПОВІДАЛЬНІСТЮ </w:t>
      </w:r>
      <w:r w:rsidR="00022F5F">
        <w:rPr>
          <w:rFonts w:ascii="Times New Roman" w:hAnsi="Times New Roman"/>
          <w:lang w:val="uk-UA"/>
        </w:rPr>
        <w:t>"</w:t>
      </w:r>
      <w:r w:rsidR="00E16672" w:rsidRPr="00E16672">
        <w:rPr>
          <w:rFonts w:ascii="Times New Roman" w:hAnsi="Times New Roman"/>
          <w:lang w:val="uk-UA"/>
        </w:rPr>
        <w:t>КОМЕКС ЦІННІ ПАПЕРИ</w:t>
      </w:r>
      <w:r w:rsidR="00022F5F">
        <w:rPr>
          <w:rFonts w:ascii="Times New Roman" w:hAnsi="Times New Roman"/>
          <w:lang w:val="uk-UA"/>
        </w:rPr>
        <w:t>"</w:t>
      </w:r>
      <w:r w:rsidRPr="00E16672">
        <w:rPr>
          <w:rFonts w:ascii="Times New Roman" w:hAnsi="Times New Roman"/>
          <w:lang w:val="uk-UA"/>
        </w:rPr>
        <w:t xml:space="preserve">, код за ЄДРПОУ </w:t>
      </w:r>
      <w:r w:rsidR="00E16672" w:rsidRPr="00E16672">
        <w:rPr>
          <w:rFonts w:ascii="Times New Roman" w:hAnsi="Times New Roman"/>
          <w:lang w:val="uk-UA"/>
        </w:rPr>
        <w:t>33153077</w:t>
      </w:r>
      <w:r w:rsidRPr="00E16672">
        <w:rPr>
          <w:rFonts w:ascii="Times New Roman" w:hAnsi="Times New Roman"/>
          <w:lang w:val="uk-UA"/>
        </w:rPr>
        <w:t xml:space="preserve"> (надалі – Виконавець), що здійснює депозитарну діяльність депозитарної установи на підставі ліцензії серія АЕ № </w:t>
      </w:r>
      <w:r w:rsidR="00E16672" w:rsidRPr="00E16672">
        <w:rPr>
          <w:rFonts w:ascii="Times New Roman" w:hAnsi="Times New Roman"/>
          <w:lang w:val="uk-UA"/>
        </w:rPr>
        <w:t>263429</w:t>
      </w:r>
      <w:r w:rsidRPr="00E16672">
        <w:rPr>
          <w:rFonts w:ascii="Times New Roman" w:hAnsi="Times New Roman"/>
          <w:lang w:val="uk-UA"/>
        </w:rPr>
        <w:t xml:space="preserve">, виданої Національною комісією з цінних паперів та фондового ринку </w:t>
      </w:r>
      <w:r w:rsidR="00E16672" w:rsidRPr="00E16672">
        <w:rPr>
          <w:rFonts w:ascii="Times New Roman" w:hAnsi="Times New Roman"/>
          <w:lang w:val="uk-UA"/>
        </w:rPr>
        <w:t>01.10.2013</w:t>
      </w:r>
      <w:r w:rsidRPr="00E16672">
        <w:rPr>
          <w:rFonts w:ascii="Times New Roman" w:hAnsi="Times New Roman"/>
          <w:lang w:val="uk-UA"/>
        </w:rPr>
        <w:t xml:space="preserve">р.  (надалі – НКЦПФР), в особі директора </w:t>
      </w:r>
      <w:r w:rsidR="006517E7" w:rsidRPr="006517E7">
        <w:rPr>
          <w:rFonts w:ascii="Times New Roman" w:hAnsi="Times New Roman"/>
          <w:lang w:val="uk-UA"/>
        </w:rPr>
        <w:t>Король Оксани Іванівни</w:t>
      </w:r>
      <w:r w:rsidRPr="00E16672">
        <w:rPr>
          <w:rFonts w:ascii="Times New Roman" w:hAnsi="Times New Roman"/>
          <w:lang w:val="uk-UA"/>
        </w:rPr>
        <w:t xml:space="preserve">, що діє на підставі Статуту з одного боку, Емітент </w:t>
      </w:r>
      <w:r w:rsidR="006517E7">
        <w:rPr>
          <w:rFonts w:ascii="Times New Roman" w:hAnsi="Times New Roman"/>
          <w:lang w:val="uk-UA"/>
        </w:rPr>
        <w:t xml:space="preserve"> </w:t>
      </w:r>
      <w:r w:rsidRPr="00E16672">
        <w:rPr>
          <w:rFonts w:ascii="Times New Roman" w:hAnsi="Times New Roman"/>
          <w:lang w:val="uk-UA"/>
        </w:rPr>
        <w:t>________</w:t>
      </w:r>
      <w:r w:rsidR="00EF78D0">
        <w:rPr>
          <w:rFonts w:ascii="Times New Roman" w:hAnsi="Times New Roman"/>
          <w:lang w:val="uk-UA"/>
        </w:rPr>
        <w:t>_________________________</w:t>
      </w:r>
      <w:r w:rsidRPr="00E16672">
        <w:rPr>
          <w:rFonts w:ascii="Times New Roman" w:hAnsi="Times New Roman"/>
          <w:lang w:val="uk-UA"/>
        </w:rPr>
        <w:t>_______, в особі директора _______________</w:t>
      </w:r>
      <w:r w:rsidR="006517E7">
        <w:rPr>
          <w:rFonts w:ascii="Times New Roman" w:hAnsi="Times New Roman"/>
          <w:lang w:val="uk-UA"/>
        </w:rPr>
        <w:t>_____</w:t>
      </w:r>
      <w:r w:rsidRPr="00E16672">
        <w:rPr>
          <w:rFonts w:ascii="Times New Roman" w:hAnsi="Times New Roman"/>
          <w:lang w:val="uk-UA"/>
        </w:rPr>
        <w:t>_</w:t>
      </w:r>
      <w:r w:rsidR="00EF78D0">
        <w:rPr>
          <w:rFonts w:ascii="Times New Roman" w:hAnsi="Times New Roman"/>
          <w:lang w:val="uk-UA"/>
        </w:rPr>
        <w:t>_______</w:t>
      </w:r>
      <w:r w:rsidRPr="00E16672">
        <w:rPr>
          <w:rFonts w:ascii="Times New Roman" w:hAnsi="Times New Roman"/>
          <w:lang w:val="uk-UA"/>
        </w:rPr>
        <w:t>___, (надалі - Замовник), що діє на підставі _____</w:t>
      </w:r>
      <w:r w:rsidR="00EF78D0">
        <w:rPr>
          <w:rFonts w:ascii="Times New Roman" w:hAnsi="Times New Roman"/>
          <w:lang w:val="uk-UA"/>
        </w:rPr>
        <w:t>___________________</w:t>
      </w:r>
      <w:r w:rsidRPr="00E16672">
        <w:rPr>
          <w:rFonts w:ascii="Times New Roman" w:hAnsi="Times New Roman"/>
          <w:lang w:val="uk-UA"/>
        </w:rPr>
        <w:t xml:space="preserve">__, з другого боку, надалі </w:t>
      </w:r>
      <w:proofErr w:type="spellStart"/>
      <w:r w:rsidRPr="00E16672">
        <w:rPr>
          <w:rFonts w:ascii="Times New Roman" w:hAnsi="Times New Roman"/>
          <w:lang w:val="uk-UA"/>
        </w:rPr>
        <w:t>поiменованi</w:t>
      </w:r>
      <w:proofErr w:type="spellEnd"/>
      <w:r w:rsidRPr="00E16672">
        <w:rPr>
          <w:rFonts w:ascii="Times New Roman" w:hAnsi="Times New Roman"/>
          <w:lang w:val="uk-UA"/>
        </w:rPr>
        <w:t xml:space="preserve"> Сторонами, склали цей Договір про </w:t>
      </w:r>
      <w:proofErr w:type="spellStart"/>
      <w:r w:rsidRPr="00E16672">
        <w:rPr>
          <w:rFonts w:ascii="Times New Roman" w:hAnsi="Times New Roman"/>
          <w:lang w:val="uk-UA"/>
        </w:rPr>
        <w:t>про</w:t>
      </w:r>
      <w:proofErr w:type="spellEnd"/>
      <w:r w:rsidRPr="00E16672">
        <w:rPr>
          <w:rFonts w:ascii="Times New Roman" w:hAnsi="Times New Roman"/>
          <w:lang w:val="uk-UA"/>
        </w:rPr>
        <w:t xml:space="preserve"> </w:t>
      </w:r>
      <w:r w:rsidRPr="00E16672">
        <w:rPr>
          <w:rFonts w:ascii="Times New Roman" w:hAnsi="Times New Roman"/>
          <w:color w:val="000000"/>
          <w:lang w:val="uk-UA"/>
        </w:rPr>
        <w:t>нижченаведене:</w:t>
      </w:r>
    </w:p>
    <w:p w14:paraId="3D6EDE1C" w14:textId="77777777" w:rsidR="00493A17" w:rsidRPr="00E16672" w:rsidRDefault="00493A17" w:rsidP="006517E7">
      <w:pPr>
        <w:pStyle w:val="af2"/>
        <w:widowControl w:val="0"/>
        <w:ind w:firstLine="720"/>
        <w:rPr>
          <w:rFonts w:ascii="Times New Roman" w:hAnsi="Times New Roman"/>
        </w:rPr>
      </w:pPr>
      <w:r w:rsidRPr="00E16672">
        <w:rPr>
          <w:rFonts w:ascii="Times New Roman" w:hAnsi="Times New Roman"/>
        </w:rPr>
        <w:t>:</w:t>
      </w:r>
    </w:p>
    <w:p w14:paraId="614BA426" w14:textId="77777777" w:rsidR="00493A17" w:rsidRPr="00E16672" w:rsidRDefault="00493A17" w:rsidP="000D0438">
      <w:pPr>
        <w:widowControl w:val="0"/>
        <w:numPr>
          <w:ilvl w:val="0"/>
          <w:numId w:val="22"/>
        </w:numPr>
        <w:suppressAutoHyphens w:val="0"/>
        <w:jc w:val="center"/>
        <w:rPr>
          <w:rFonts w:ascii="Times New Roman" w:hAnsi="Times New Roman"/>
          <w:b/>
          <w:lang w:val="uk-UA"/>
        </w:rPr>
      </w:pPr>
      <w:r w:rsidRPr="00E16672">
        <w:rPr>
          <w:rFonts w:ascii="Times New Roman" w:hAnsi="Times New Roman"/>
          <w:b/>
          <w:lang w:val="uk-UA"/>
        </w:rPr>
        <w:t>ПРЕДМЕТ ДОГОВОРУ</w:t>
      </w:r>
    </w:p>
    <w:p w14:paraId="2DE526B0" w14:textId="77777777" w:rsidR="00493A17" w:rsidRPr="00E16672" w:rsidRDefault="00493A17" w:rsidP="00493A17">
      <w:pPr>
        <w:widowControl w:val="0"/>
        <w:jc w:val="center"/>
        <w:rPr>
          <w:rFonts w:ascii="Times New Roman" w:hAnsi="Times New Roman"/>
          <w:b/>
          <w:lang w:val="uk-UA"/>
        </w:rPr>
      </w:pPr>
    </w:p>
    <w:p w14:paraId="4B0A0275" w14:textId="77777777" w:rsidR="00493A17" w:rsidRPr="00E16672" w:rsidRDefault="00493A17" w:rsidP="00493A17">
      <w:pPr>
        <w:widowControl w:val="0"/>
        <w:ind w:right="-1" w:firstLine="708"/>
        <w:rPr>
          <w:rFonts w:ascii="Times New Roman" w:hAnsi="Times New Roman"/>
          <w:lang w:val="uk-UA"/>
        </w:rPr>
      </w:pPr>
      <w:r w:rsidRPr="00E16672">
        <w:rPr>
          <w:rFonts w:ascii="Times New Roman" w:hAnsi="Times New Roman"/>
          <w:lang w:val="uk-UA"/>
        </w:rPr>
        <w:t xml:space="preserve">1.1. Замовник доручає, а Виконавець зобов’язується надати послуги з інформаційного та організаційного забезпечення проведення загальних зборів Замовника, призначених на </w:t>
      </w:r>
      <w:r w:rsidRPr="00E16672">
        <w:rPr>
          <w:rFonts w:ascii="Times New Roman" w:hAnsi="Times New Roman"/>
        </w:rPr>
        <w:t>____</w:t>
      </w:r>
      <w:r w:rsidRPr="00E16672">
        <w:rPr>
          <w:rFonts w:ascii="Times New Roman" w:hAnsi="Times New Roman"/>
          <w:lang w:val="uk-UA"/>
        </w:rPr>
        <w:t xml:space="preserve"> року, а саме:</w:t>
      </w:r>
    </w:p>
    <w:p w14:paraId="5A0D1825" w14:textId="77777777" w:rsidR="00493A17" w:rsidRPr="00E16672" w:rsidRDefault="00493A17" w:rsidP="000D0438">
      <w:pPr>
        <w:widowControl w:val="0"/>
        <w:numPr>
          <w:ilvl w:val="2"/>
          <w:numId w:val="23"/>
        </w:numPr>
        <w:tabs>
          <w:tab w:val="num" w:pos="720"/>
        </w:tabs>
        <w:suppressAutoHyphens w:val="0"/>
        <w:ind w:left="0" w:right="-1" w:firstLine="426"/>
        <w:rPr>
          <w:rFonts w:ascii="Times New Roman" w:hAnsi="Times New Roman"/>
          <w:lang w:val="uk-UA"/>
        </w:rPr>
      </w:pPr>
      <w:r w:rsidRPr="00E16672">
        <w:rPr>
          <w:rFonts w:ascii="Times New Roman" w:hAnsi="Times New Roman"/>
          <w:lang w:val="uk-UA"/>
        </w:rPr>
        <w:t>Здійснити п</w:t>
      </w:r>
      <w:proofErr w:type="spellStart"/>
      <w:r w:rsidRPr="00E16672">
        <w:rPr>
          <w:rFonts w:ascii="Times New Roman" w:hAnsi="Times New Roman"/>
        </w:rPr>
        <w:t>ов</w:t>
      </w:r>
      <w:r w:rsidRPr="00E16672">
        <w:rPr>
          <w:rFonts w:ascii="Times New Roman" w:hAnsi="Times New Roman"/>
          <w:lang w:val="uk-UA"/>
        </w:rPr>
        <w:t>ідомлення</w:t>
      </w:r>
      <w:proofErr w:type="spellEnd"/>
      <w:r w:rsidRPr="00E16672">
        <w:rPr>
          <w:rFonts w:ascii="Times New Roman" w:hAnsi="Times New Roman"/>
          <w:lang w:val="uk-UA"/>
        </w:rPr>
        <w:t xml:space="preserve"> акціонерів про проведення загальних зборів акціонерів ___ року:</w:t>
      </w:r>
    </w:p>
    <w:p w14:paraId="436434E2" w14:textId="77777777" w:rsidR="00493A17" w:rsidRPr="00E16672" w:rsidRDefault="00493A17" w:rsidP="000D0438">
      <w:pPr>
        <w:widowControl w:val="0"/>
        <w:numPr>
          <w:ilvl w:val="0"/>
          <w:numId w:val="25"/>
        </w:numPr>
        <w:tabs>
          <w:tab w:val="num" w:pos="993"/>
          <w:tab w:val="num" w:pos="1429"/>
        </w:tabs>
        <w:suppressAutoHyphens w:val="0"/>
        <w:ind w:left="0" w:right="-1" w:firstLine="426"/>
        <w:rPr>
          <w:rFonts w:ascii="Times New Roman" w:hAnsi="Times New Roman"/>
          <w:lang w:val="uk-UA"/>
        </w:rPr>
      </w:pPr>
      <w:r w:rsidRPr="00E16672">
        <w:rPr>
          <w:rFonts w:ascii="Times New Roman" w:hAnsi="Times New Roman"/>
          <w:lang w:val="uk-UA"/>
        </w:rPr>
        <w:t>сформувати поштові повідомлення в кількості, необхідній для повідомлення всіх акціонерів (фізичних та юридичних осіб), про проведення загальних зборів акціонерів Замовника;</w:t>
      </w:r>
    </w:p>
    <w:p w14:paraId="764D9C16" w14:textId="77777777" w:rsidR="00493A17" w:rsidRPr="00E16672" w:rsidRDefault="00493A17" w:rsidP="000D0438">
      <w:pPr>
        <w:widowControl w:val="0"/>
        <w:numPr>
          <w:ilvl w:val="0"/>
          <w:numId w:val="25"/>
        </w:numPr>
        <w:tabs>
          <w:tab w:val="num" w:pos="993"/>
          <w:tab w:val="num" w:pos="1429"/>
        </w:tabs>
        <w:suppressAutoHyphens w:val="0"/>
        <w:ind w:left="0" w:right="-1" w:firstLine="426"/>
        <w:rPr>
          <w:rFonts w:ascii="Times New Roman" w:hAnsi="Times New Roman"/>
          <w:lang w:val="uk-UA"/>
        </w:rPr>
      </w:pPr>
      <w:r w:rsidRPr="00E16672">
        <w:rPr>
          <w:rFonts w:ascii="Times New Roman" w:hAnsi="Times New Roman"/>
          <w:lang w:val="uk-UA"/>
        </w:rPr>
        <w:t>на підставі наданого Замовником зразка письмового повідомлення в термін до ____ року включно направити простими листами повідомлення про проведення загальних зборів та проект порядку денного Замовника всім акціонерам Замовника, зазначеним в переліку акціонерів. Персональні повідомлення направляються на поштові адреси акціонерів, зазначені в переліку акціонерів;</w:t>
      </w:r>
    </w:p>
    <w:p w14:paraId="1A69FDF7" w14:textId="77777777" w:rsidR="00493A17" w:rsidRPr="00E16672" w:rsidRDefault="00493A17" w:rsidP="000D0438">
      <w:pPr>
        <w:widowControl w:val="0"/>
        <w:numPr>
          <w:ilvl w:val="0"/>
          <w:numId w:val="25"/>
        </w:numPr>
        <w:tabs>
          <w:tab w:val="num" w:pos="993"/>
          <w:tab w:val="num" w:pos="1429"/>
        </w:tabs>
        <w:suppressAutoHyphens w:val="0"/>
        <w:ind w:left="0" w:right="-1" w:firstLine="426"/>
        <w:rPr>
          <w:rFonts w:ascii="Times New Roman" w:hAnsi="Times New Roman"/>
          <w:lang w:val="uk-UA"/>
        </w:rPr>
      </w:pPr>
      <w:r w:rsidRPr="00E16672">
        <w:rPr>
          <w:rFonts w:ascii="Times New Roman" w:hAnsi="Times New Roman"/>
          <w:lang w:val="uk-UA"/>
        </w:rPr>
        <w:t>розмістити оголошення про проведення загальних зборів акціонерів</w:t>
      </w:r>
      <w:r w:rsidRPr="00E16672">
        <w:rPr>
          <w:rFonts w:ascii="Times New Roman" w:hAnsi="Times New Roman"/>
        </w:rPr>
        <w:t xml:space="preserve"> </w:t>
      </w:r>
      <w:r w:rsidRPr="00E16672">
        <w:rPr>
          <w:rFonts w:ascii="Times New Roman" w:hAnsi="Times New Roman"/>
          <w:lang w:val="uk-UA"/>
        </w:rPr>
        <w:t>(крім проектів рішень щодо кожного з питань, включених до проекту порядку денного) Замовника в офіційному друкованому виданні Національної комісії з цінних паперів та фондового ринку на підставі повідомлення, наданого Замовником.</w:t>
      </w:r>
    </w:p>
    <w:p w14:paraId="6F40BDE0" w14:textId="77777777" w:rsidR="00493A17" w:rsidRPr="00E16672" w:rsidRDefault="00493A17" w:rsidP="000D0438">
      <w:pPr>
        <w:widowControl w:val="0"/>
        <w:numPr>
          <w:ilvl w:val="2"/>
          <w:numId w:val="23"/>
        </w:numPr>
        <w:tabs>
          <w:tab w:val="num" w:pos="720"/>
        </w:tabs>
        <w:suppressAutoHyphens w:val="0"/>
        <w:ind w:left="0" w:right="-1" w:firstLine="426"/>
        <w:rPr>
          <w:rFonts w:ascii="Times New Roman" w:hAnsi="Times New Roman"/>
          <w:lang w:val="uk-UA"/>
        </w:rPr>
      </w:pPr>
      <w:r w:rsidRPr="00E16672">
        <w:rPr>
          <w:rFonts w:ascii="Times New Roman" w:hAnsi="Times New Roman"/>
          <w:lang w:val="uk-UA"/>
        </w:rPr>
        <w:t>Здійснити виконання функцій реєстраційної комісії на загальних зборах акціонерів Замовника ____ року:</w:t>
      </w:r>
    </w:p>
    <w:p w14:paraId="21C12FB7" w14:textId="77777777" w:rsidR="00493A17" w:rsidRPr="00E16672" w:rsidRDefault="00493A17" w:rsidP="006517E7">
      <w:pPr>
        <w:widowControl w:val="0"/>
        <w:numPr>
          <w:ilvl w:val="0"/>
          <w:numId w:val="46"/>
        </w:numPr>
        <w:tabs>
          <w:tab w:val="left" w:pos="426"/>
        </w:tabs>
        <w:suppressAutoHyphens w:val="0"/>
        <w:ind w:left="426" w:right="-1" w:firstLine="0"/>
        <w:rPr>
          <w:rFonts w:ascii="Times New Roman" w:hAnsi="Times New Roman"/>
          <w:lang w:val="uk-UA"/>
        </w:rPr>
      </w:pPr>
      <w:r w:rsidRPr="00E16672">
        <w:rPr>
          <w:rFonts w:ascii="Times New Roman" w:hAnsi="Times New Roman"/>
          <w:lang w:val="uk-UA"/>
        </w:rPr>
        <w:t>виготовити бюлетені для голосування на загальних зборах акціонерів згідно форми та тексту, затвердженого Наглядовою радою Замовника;</w:t>
      </w:r>
    </w:p>
    <w:p w14:paraId="0B504458" w14:textId="77777777" w:rsidR="00493A17" w:rsidRPr="00E16672" w:rsidRDefault="00493A17" w:rsidP="006517E7">
      <w:pPr>
        <w:widowControl w:val="0"/>
        <w:numPr>
          <w:ilvl w:val="0"/>
          <w:numId w:val="46"/>
        </w:numPr>
        <w:tabs>
          <w:tab w:val="left" w:pos="426"/>
          <w:tab w:val="left" w:pos="851"/>
          <w:tab w:val="num" w:pos="1429"/>
        </w:tabs>
        <w:suppressAutoHyphens w:val="0"/>
        <w:ind w:left="426" w:right="-1" w:firstLine="0"/>
        <w:rPr>
          <w:rFonts w:ascii="Times New Roman" w:hAnsi="Times New Roman"/>
          <w:lang w:val="uk-UA"/>
        </w:rPr>
      </w:pPr>
      <w:r w:rsidRPr="00E16672">
        <w:rPr>
          <w:rFonts w:ascii="Times New Roman" w:hAnsi="Times New Roman"/>
          <w:lang w:val="uk-UA"/>
        </w:rPr>
        <w:t>налагодити програмно-технічний комплекс для проведення реєстрації учасників загальних зборів акціонерів Замовника;</w:t>
      </w:r>
    </w:p>
    <w:p w14:paraId="215A94AD" w14:textId="77777777" w:rsidR="00493A17" w:rsidRPr="00E16672" w:rsidRDefault="00493A17" w:rsidP="006517E7">
      <w:pPr>
        <w:widowControl w:val="0"/>
        <w:numPr>
          <w:ilvl w:val="0"/>
          <w:numId w:val="46"/>
        </w:numPr>
        <w:tabs>
          <w:tab w:val="left" w:pos="426"/>
          <w:tab w:val="left" w:pos="851"/>
          <w:tab w:val="num" w:pos="1429"/>
        </w:tabs>
        <w:suppressAutoHyphens w:val="0"/>
        <w:ind w:left="426" w:right="-1" w:firstLine="0"/>
        <w:rPr>
          <w:rFonts w:ascii="Times New Roman" w:hAnsi="Times New Roman"/>
          <w:lang w:val="uk-UA"/>
        </w:rPr>
      </w:pPr>
      <w:r w:rsidRPr="00E16672">
        <w:rPr>
          <w:rFonts w:ascii="Times New Roman" w:hAnsi="Times New Roman"/>
          <w:lang w:val="uk-UA"/>
        </w:rPr>
        <w:t>здійснити перевірку повноважень акціонерів та їх представників, які прибудуть для участі у загальних зборах акціонерів Замовника;</w:t>
      </w:r>
    </w:p>
    <w:p w14:paraId="2B0666DF" w14:textId="77777777" w:rsidR="00493A17" w:rsidRPr="00E16672" w:rsidRDefault="00493A17" w:rsidP="006517E7">
      <w:pPr>
        <w:widowControl w:val="0"/>
        <w:numPr>
          <w:ilvl w:val="0"/>
          <w:numId w:val="46"/>
        </w:numPr>
        <w:tabs>
          <w:tab w:val="left" w:pos="426"/>
          <w:tab w:val="left" w:pos="851"/>
          <w:tab w:val="num" w:pos="1429"/>
        </w:tabs>
        <w:suppressAutoHyphens w:val="0"/>
        <w:ind w:left="426" w:right="-1" w:firstLine="0"/>
        <w:rPr>
          <w:rFonts w:ascii="Times New Roman" w:hAnsi="Times New Roman"/>
          <w:lang w:val="uk-UA"/>
        </w:rPr>
      </w:pPr>
      <w:r w:rsidRPr="00E16672">
        <w:rPr>
          <w:rFonts w:ascii="Times New Roman" w:hAnsi="Times New Roman"/>
          <w:lang w:val="uk-UA"/>
        </w:rPr>
        <w:t>здійснити реєстрацію акціонерів та їх представників, що прибудуть для участі у загальних зборах акціонерів Замовника;</w:t>
      </w:r>
    </w:p>
    <w:p w14:paraId="2FA5516E" w14:textId="77777777" w:rsidR="00493A17" w:rsidRPr="00E16672" w:rsidRDefault="00493A17" w:rsidP="006517E7">
      <w:pPr>
        <w:widowControl w:val="0"/>
        <w:numPr>
          <w:ilvl w:val="0"/>
          <w:numId w:val="46"/>
        </w:numPr>
        <w:tabs>
          <w:tab w:val="left" w:pos="426"/>
          <w:tab w:val="left" w:pos="851"/>
          <w:tab w:val="num" w:pos="1429"/>
        </w:tabs>
        <w:suppressAutoHyphens w:val="0"/>
        <w:ind w:left="426" w:right="-1" w:firstLine="0"/>
        <w:rPr>
          <w:rFonts w:ascii="Times New Roman" w:hAnsi="Times New Roman"/>
          <w:lang w:val="uk-UA"/>
        </w:rPr>
      </w:pPr>
      <w:r w:rsidRPr="00E16672">
        <w:rPr>
          <w:rFonts w:ascii="Times New Roman" w:hAnsi="Times New Roman"/>
          <w:lang w:val="uk-UA"/>
        </w:rPr>
        <w:t>підготувати протоколи реєстраційної комісії та перелік акціонерів, які зареєструвались для участі у загальних зборах акціонерів.</w:t>
      </w:r>
    </w:p>
    <w:p w14:paraId="7431A952" w14:textId="77777777" w:rsidR="00493A17" w:rsidRPr="00E16672" w:rsidRDefault="00493A17" w:rsidP="000D0438">
      <w:pPr>
        <w:widowControl w:val="0"/>
        <w:numPr>
          <w:ilvl w:val="2"/>
          <w:numId w:val="23"/>
        </w:numPr>
        <w:tabs>
          <w:tab w:val="num" w:pos="720"/>
        </w:tabs>
        <w:suppressAutoHyphens w:val="0"/>
        <w:ind w:left="0" w:right="-1" w:firstLine="426"/>
        <w:rPr>
          <w:rFonts w:ascii="Times New Roman" w:hAnsi="Times New Roman"/>
          <w:lang w:val="uk-UA"/>
        </w:rPr>
      </w:pPr>
      <w:r w:rsidRPr="00E16672">
        <w:rPr>
          <w:rFonts w:ascii="Times New Roman" w:hAnsi="Times New Roman"/>
          <w:lang w:val="uk-UA"/>
        </w:rPr>
        <w:t xml:space="preserve">Здійснити виконання функцій лічильної комісії  на загальних зборах акціонерів Замовника, призначених на </w:t>
      </w:r>
      <w:r w:rsidR="00EF78D0">
        <w:rPr>
          <w:rFonts w:ascii="Times New Roman" w:hAnsi="Times New Roman"/>
          <w:lang w:val="uk-UA"/>
        </w:rPr>
        <w:t xml:space="preserve">     "    " </w:t>
      </w:r>
      <w:r w:rsidRPr="00E16672">
        <w:rPr>
          <w:rFonts w:ascii="Times New Roman" w:hAnsi="Times New Roman"/>
          <w:lang w:val="uk-UA"/>
        </w:rPr>
        <w:t>__</w:t>
      </w:r>
      <w:r w:rsidR="00EF78D0">
        <w:rPr>
          <w:rFonts w:ascii="Times New Roman" w:hAnsi="Times New Roman"/>
          <w:lang w:val="uk-UA"/>
        </w:rPr>
        <w:t>____________20__</w:t>
      </w:r>
      <w:r w:rsidRPr="00E16672">
        <w:rPr>
          <w:rFonts w:ascii="Times New Roman" w:hAnsi="Times New Roman"/>
          <w:lang w:val="uk-UA"/>
        </w:rPr>
        <w:t>:</w:t>
      </w:r>
    </w:p>
    <w:p w14:paraId="3039B01E" w14:textId="77777777" w:rsidR="00493A17" w:rsidRPr="00E16672" w:rsidRDefault="00493A17" w:rsidP="006517E7">
      <w:pPr>
        <w:widowControl w:val="0"/>
        <w:numPr>
          <w:ilvl w:val="0"/>
          <w:numId w:val="25"/>
        </w:numPr>
        <w:tabs>
          <w:tab w:val="num" w:pos="993"/>
          <w:tab w:val="num" w:pos="1429"/>
        </w:tabs>
        <w:suppressAutoHyphens w:val="0"/>
        <w:ind w:left="426" w:right="-1" w:firstLine="0"/>
        <w:rPr>
          <w:rFonts w:ascii="Times New Roman" w:hAnsi="Times New Roman"/>
          <w:lang w:val="uk-UA"/>
        </w:rPr>
      </w:pPr>
      <w:r w:rsidRPr="00E16672">
        <w:rPr>
          <w:rFonts w:ascii="Times New Roman" w:hAnsi="Times New Roman"/>
          <w:lang w:val="uk-UA"/>
        </w:rPr>
        <w:t>налагодити програмно-технічний комплекс для проведення підрахунку голосів з питань порядку денного загальних зборів акціонерів Замовника;</w:t>
      </w:r>
    </w:p>
    <w:p w14:paraId="30263628" w14:textId="77777777" w:rsidR="00493A17" w:rsidRPr="00E16672" w:rsidRDefault="00493A17" w:rsidP="006517E7">
      <w:pPr>
        <w:widowControl w:val="0"/>
        <w:numPr>
          <w:ilvl w:val="0"/>
          <w:numId w:val="25"/>
        </w:numPr>
        <w:tabs>
          <w:tab w:val="num" w:pos="993"/>
          <w:tab w:val="num" w:pos="1260"/>
          <w:tab w:val="num" w:pos="1429"/>
        </w:tabs>
        <w:suppressAutoHyphens w:val="0"/>
        <w:ind w:left="426" w:right="-1" w:firstLine="0"/>
        <w:rPr>
          <w:rFonts w:ascii="Times New Roman" w:hAnsi="Times New Roman"/>
          <w:lang w:val="uk-UA"/>
        </w:rPr>
      </w:pPr>
      <w:r w:rsidRPr="00E16672">
        <w:rPr>
          <w:rFonts w:ascii="Times New Roman" w:hAnsi="Times New Roman"/>
          <w:lang w:val="uk-UA"/>
        </w:rPr>
        <w:t>здійснити підрахунок результатів голосів на загальних зборах;</w:t>
      </w:r>
    </w:p>
    <w:p w14:paraId="44F86C68" w14:textId="77777777" w:rsidR="00493A17" w:rsidRPr="00E16672" w:rsidRDefault="00493A17" w:rsidP="006517E7">
      <w:pPr>
        <w:widowControl w:val="0"/>
        <w:numPr>
          <w:ilvl w:val="0"/>
          <w:numId w:val="25"/>
        </w:numPr>
        <w:tabs>
          <w:tab w:val="num" w:pos="993"/>
          <w:tab w:val="num" w:pos="1260"/>
          <w:tab w:val="num" w:pos="1429"/>
        </w:tabs>
        <w:suppressAutoHyphens w:val="0"/>
        <w:ind w:left="426" w:right="-1" w:firstLine="0"/>
        <w:rPr>
          <w:rFonts w:ascii="Times New Roman" w:hAnsi="Times New Roman"/>
          <w:lang w:val="uk-UA"/>
        </w:rPr>
      </w:pPr>
      <w:r w:rsidRPr="00E16672">
        <w:rPr>
          <w:rFonts w:ascii="Times New Roman" w:hAnsi="Times New Roman"/>
          <w:lang w:val="uk-UA"/>
        </w:rPr>
        <w:t>підготувати протоколи про підсумки голосування;</w:t>
      </w:r>
    </w:p>
    <w:p w14:paraId="09639D63" w14:textId="77777777" w:rsidR="00493A17" w:rsidRPr="00E16672" w:rsidRDefault="00493A17" w:rsidP="006517E7">
      <w:pPr>
        <w:widowControl w:val="0"/>
        <w:numPr>
          <w:ilvl w:val="0"/>
          <w:numId w:val="25"/>
        </w:numPr>
        <w:tabs>
          <w:tab w:val="num" w:pos="993"/>
          <w:tab w:val="num" w:pos="1260"/>
          <w:tab w:val="num" w:pos="1429"/>
        </w:tabs>
        <w:suppressAutoHyphens w:val="0"/>
        <w:ind w:left="426" w:right="-1" w:firstLine="0"/>
        <w:rPr>
          <w:rFonts w:ascii="Times New Roman" w:hAnsi="Times New Roman"/>
          <w:lang w:val="uk-UA"/>
        </w:rPr>
      </w:pPr>
      <w:r w:rsidRPr="00E16672">
        <w:rPr>
          <w:rFonts w:ascii="Times New Roman" w:hAnsi="Times New Roman"/>
          <w:lang w:val="uk-UA"/>
        </w:rPr>
        <w:t>надавати роз’яснення щодо порядку голосування, підрахунку голосів та інших питань, пов’язаних із забезпеченням проведення голосування на загальних зборах Замовника.</w:t>
      </w:r>
    </w:p>
    <w:p w14:paraId="4D999D01" w14:textId="77777777" w:rsidR="00493A17" w:rsidRPr="00E16672" w:rsidRDefault="00493A17" w:rsidP="000D0438">
      <w:pPr>
        <w:widowControl w:val="0"/>
        <w:numPr>
          <w:ilvl w:val="2"/>
          <w:numId w:val="23"/>
        </w:numPr>
        <w:tabs>
          <w:tab w:val="num" w:pos="720"/>
        </w:tabs>
        <w:suppressAutoHyphens w:val="0"/>
        <w:ind w:left="0" w:right="-1" w:firstLine="426"/>
        <w:rPr>
          <w:rFonts w:ascii="Times New Roman" w:hAnsi="Times New Roman"/>
          <w:lang w:val="uk-UA"/>
        </w:rPr>
      </w:pPr>
      <w:r w:rsidRPr="00E16672">
        <w:rPr>
          <w:rFonts w:ascii="Times New Roman" w:hAnsi="Times New Roman"/>
          <w:lang w:val="uk-UA"/>
        </w:rPr>
        <w:t>Здійснити повідомлення акціонерів Замовника про підсумки голосування на загальних зборах Замовника ___ року:</w:t>
      </w:r>
    </w:p>
    <w:p w14:paraId="1929187E" w14:textId="77777777" w:rsidR="00493A17" w:rsidRPr="00E16672" w:rsidRDefault="00493A17" w:rsidP="006517E7">
      <w:pPr>
        <w:widowControl w:val="0"/>
        <w:numPr>
          <w:ilvl w:val="0"/>
          <w:numId w:val="47"/>
        </w:numPr>
        <w:suppressAutoHyphens w:val="0"/>
        <w:ind w:left="426" w:right="-1" w:firstLine="0"/>
        <w:rPr>
          <w:rFonts w:ascii="Times New Roman" w:hAnsi="Times New Roman"/>
          <w:lang w:val="uk-UA"/>
        </w:rPr>
      </w:pPr>
      <w:r w:rsidRPr="00E16672">
        <w:rPr>
          <w:rFonts w:ascii="Times New Roman" w:hAnsi="Times New Roman"/>
          <w:lang w:val="uk-UA"/>
        </w:rPr>
        <w:t>сформувати поштові повідомлення в кількості, необхідній для повідомлення всіх акціонерів (фізичних та юридичних осіб), про підсумки голосування на загальних зборів акціонерів Замовника;</w:t>
      </w:r>
    </w:p>
    <w:p w14:paraId="589D472E" w14:textId="77777777" w:rsidR="00493A17" w:rsidRPr="00E16672" w:rsidRDefault="00493A17" w:rsidP="006517E7">
      <w:pPr>
        <w:widowControl w:val="0"/>
        <w:numPr>
          <w:ilvl w:val="0"/>
          <w:numId w:val="47"/>
        </w:numPr>
        <w:suppressAutoHyphens w:val="0"/>
        <w:ind w:left="426" w:right="-1" w:firstLine="0"/>
        <w:rPr>
          <w:rFonts w:ascii="Times New Roman" w:hAnsi="Times New Roman"/>
          <w:lang w:val="uk-UA"/>
        </w:rPr>
      </w:pPr>
      <w:r w:rsidRPr="00E16672">
        <w:rPr>
          <w:rFonts w:ascii="Times New Roman" w:hAnsi="Times New Roman"/>
          <w:lang w:val="uk-UA"/>
        </w:rPr>
        <w:t xml:space="preserve">на підставі наданого Замовником зразка письмового повідомлення в термін до ___ року направити простими листами підсумки голосування на загальних зборах акціонерів Замовника. Персональні повідомлення направляються на поштові адреси акціонерів, зазначені в переліку акціонерів, які мають право на участь у загальних зборах акціонерів Замовника </w:t>
      </w:r>
      <w:r w:rsidR="006517E7">
        <w:rPr>
          <w:rFonts w:ascii="Times New Roman" w:hAnsi="Times New Roman"/>
          <w:lang w:val="uk-UA"/>
        </w:rPr>
        <w:t>---__________</w:t>
      </w:r>
      <w:r w:rsidRPr="00E16672">
        <w:rPr>
          <w:rFonts w:ascii="Times New Roman" w:hAnsi="Times New Roman"/>
          <w:lang w:val="uk-UA"/>
        </w:rPr>
        <w:t>_ року.</w:t>
      </w:r>
    </w:p>
    <w:p w14:paraId="24C08C66" w14:textId="77777777" w:rsidR="00493A17" w:rsidRPr="00E16672" w:rsidRDefault="00493A17" w:rsidP="00493A17">
      <w:pPr>
        <w:widowControl w:val="0"/>
        <w:ind w:left="709" w:right="-1"/>
        <w:rPr>
          <w:rFonts w:ascii="Times New Roman" w:hAnsi="Times New Roman"/>
          <w:lang w:val="uk-UA"/>
        </w:rPr>
      </w:pPr>
    </w:p>
    <w:p w14:paraId="09D6F2FC" w14:textId="77777777" w:rsidR="00493A17" w:rsidRPr="00E16672" w:rsidRDefault="00493A17" w:rsidP="00493A17">
      <w:pPr>
        <w:pStyle w:val="1"/>
        <w:widowControl w:val="0"/>
        <w:rPr>
          <w:rFonts w:ascii="Times New Roman" w:hAnsi="Times New Roman" w:cs="Times New Roman"/>
          <w:sz w:val="20"/>
          <w:lang w:val="uk-UA"/>
        </w:rPr>
      </w:pPr>
      <w:r w:rsidRPr="00E16672">
        <w:rPr>
          <w:rFonts w:ascii="Times New Roman" w:hAnsi="Times New Roman" w:cs="Times New Roman"/>
          <w:sz w:val="20"/>
          <w:lang w:val="uk-UA"/>
        </w:rPr>
        <w:t>II. ПРАВА ТА ОБОВ`ЯЗКИ СТОРІН</w:t>
      </w:r>
    </w:p>
    <w:p w14:paraId="16345D6E" w14:textId="77777777" w:rsidR="00493A17" w:rsidRPr="00E16672" w:rsidRDefault="00493A17" w:rsidP="00493A17">
      <w:pPr>
        <w:widowControl w:val="0"/>
        <w:rPr>
          <w:rFonts w:ascii="Times New Roman" w:hAnsi="Times New Roman"/>
          <w:lang w:val="uk-UA"/>
        </w:rPr>
      </w:pPr>
    </w:p>
    <w:p w14:paraId="71F0FB0E" w14:textId="77777777" w:rsidR="00493A17" w:rsidRPr="00E16672" w:rsidRDefault="00115A42" w:rsidP="00493A17">
      <w:pPr>
        <w:widowControl w:val="0"/>
        <w:ind w:right="-1" w:firstLine="720"/>
        <w:rPr>
          <w:rFonts w:ascii="Times New Roman" w:hAnsi="Times New Roman"/>
          <w:b/>
          <w:lang w:val="uk-UA"/>
        </w:rPr>
      </w:pPr>
      <w:r w:rsidRPr="00E16672">
        <w:rPr>
          <w:rFonts w:ascii="Times New Roman" w:hAnsi="Times New Roman"/>
          <w:b/>
          <w:lang w:val="uk-UA"/>
        </w:rPr>
        <w:t xml:space="preserve">2.1. </w:t>
      </w:r>
      <w:r w:rsidR="00493A17" w:rsidRPr="00E16672">
        <w:rPr>
          <w:rFonts w:ascii="Times New Roman" w:hAnsi="Times New Roman"/>
          <w:b/>
          <w:lang w:val="uk-UA"/>
        </w:rPr>
        <w:t>Виконавець зобов`язаний:</w:t>
      </w:r>
    </w:p>
    <w:p w14:paraId="44DC4DD5" w14:textId="77777777" w:rsidR="00493A17" w:rsidRPr="00E16672" w:rsidRDefault="00115A42" w:rsidP="00115A42">
      <w:pPr>
        <w:pStyle w:val="aff5"/>
        <w:tabs>
          <w:tab w:val="left" w:pos="993"/>
        </w:tabs>
        <w:suppressAutoHyphens w:val="0"/>
        <w:snapToGrid w:val="0"/>
        <w:ind w:left="0" w:firstLine="709"/>
        <w:rPr>
          <w:rFonts w:ascii="Times New Roman" w:hAnsi="Times New Roman"/>
          <w:szCs w:val="20"/>
          <w:lang w:val="uk-UA"/>
        </w:rPr>
      </w:pPr>
      <w:r w:rsidRPr="00E16672">
        <w:rPr>
          <w:rFonts w:ascii="Times New Roman" w:hAnsi="Times New Roman"/>
          <w:szCs w:val="20"/>
          <w:lang w:val="uk-UA"/>
        </w:rPr>
        <w:t xml:space="preserve">2.1.1. </w:t>
      </w:r>
      <w:r w:rsidR="00493A17" w:rsidRPr="00E16672">
        <w:rPr>
          <w:rFonts w:ascii="Times New Roman" w:hAnsi="Times New Roman"/>
          <w:szCs w:val="20"/>
          <w:lang w:val="uk-UA"/>
        </w:rPr>
        <w:t>Надати послуги згідно з цього Договору у відповідності до вимог чинного законодавства за умови надання Замовником інформації та документів, необхідних для надання послуг.</w:t>
      </w:r>
    </w:p>
    <w:p w14:paraId="52A2C70F" w14:textId="77777777" w:rsidR="00493A17" w:rsidRPr="00E16672" w:rsidRDefault="00493A17" w:rsidP="000D0438">
      <w:pPr>
        <w:pStyle w:val="aff5"/>
        <w:numPr>
          <w:ilvl w:val="2"/>
          <w:numId w:val="34"/>
        </w:numPr>
        <w:tabs>
          <w:tab w:val="left" w:pos="993"/>
        </w:tabs>
        <w:suppressAutoHyphens w:val="0"/>
        <w:snapToGrid w:val="0"/>
        <w:ind w:left="0" w:firstLine="709"/>
        <w:rPr>
          <w:rFonts w:ascii="Times New Roman" w:hAnsi="Times New Roman"/>
          <w:szCs w:val="20"/>
          <w:lang w:val="uk-UA"/>
        </w:rPr>
      </w:pPr>
      <w:r w:rsidRPr="00E16672">
        <w:rPr>
          <w:rFonts w:ascii="Times New Roman" w:hAnsi="Times New Roman"/>
          <w:szCs w:val="20"/>
          <w:lang w:val="uk-UA"/>
        </w:rPr>
        <w:t xml:space="preserve">Після складання протоколів про підсумки голосування опечатати бюлетені для голосування. </w:t>
      </w:r>
    </w:p>
    <w:p w14:paraId="49BB6CC1" w14:textId="77777777" w:rsidR="00115A42" w:rsidRPr="00E16672" w:rsidRDefault="00115A42" w:rsidP="00022F5F">
      <w:pPr>
        <w:pStyle w:val="aff5"/>
        <w:tabs>
          <w:tab w:val="left" w:pos="993"/>
        </w:tabs>
        <w:suppressAutoHyphens w:val="0"/>
        <w:snapToGrid w:val="0"/>
        <w:ind w:left="0" w:firstLine="709"/>
        <w:jc w:val="left"/>
        <w:rPr>
          <w:rFonts w:ascii="Times New Roman" w:hAnsi="Times New Roman"/>
          <w:szCs w:val="20"/>
          <w:lang w:val="uk-UA"/>
        </w:rPr>
      </w:pPr>
      <w:r w:rsidRPr="00E16672">
        <w:rPr>
          <w:rFonts w:ascii="Times New Roman" w:hAnsi="Times New Roman"/>
          <w:szCs w:val="20"/>
          <w:lang w:val="uk-UA"/>
        </w:rPr>
        <w:t>2.1.3. Розкривати Замовнику інформацію про умови та порядок діяльності депозитарної установи з урахуванням вимог, встановлених</w:t>
      </w:r>
      <w:r w:rsidRPr="00E16672">
        <w:rPr>
          <w:rFonts w:ascii="Times New Roman" w:hAnsi="Times New Roman"/>
          <w:szCs w:val="20"/>
        </w:rPr>
        <w:t> </w:t>
      </w:r>
      <w:r w:rsidRPr="00E16672">
        <w:rPr>
          <w:rFonts w:ascii="Times New Roman" w:hAnsi="Times New Roman"/>
          <w:szCs w:val="20"/>
          <w:lang w:val="uk-UA"/>
        </w:rPr>
        <w:t xml:space="preserve">частиною першою статті 12 Закону України </w:t>
      </w:r>
      <w:r w:rsidR="00022F5F">
        <w:rPr>
          <w:rFonts w:ascii="Times New Roman" w:hAnsi="Times New Roman"/>
          <w:szCs w:val="20"/>
          <w:lang w:val="uk-UA"/>
        </w:rPr>
        <w:t>"</w:t>
      </w:r>
      <w:r w:rsidRPr="00E16672">
        <w:rPr>
          <w:rFonts w:ascii="Times New Roman" w:hAnsi="Times New Roman"/>
          <w:szCs w:val="20"/>
          <w:lang w:val="uk-UA"/>
        </w:rPr>
        <w:t>Про фінансові послуги та державне регулювання ринків фінансових послуг</w:t>
      </w:r>
      <w:r w:rsidR="00022F5F">
        <w:rPr>
          <w:rFonts w:ascii="Times New Roman" w:hAnsi="Times New Roman"/>
          <w:szCs w:val="20"/>
          <w:lang w:val="uk-UA"/>
        </w:rPr>
        <w:t>"</w:t>
      </w:r>
      <w:r w:rsidRPr="00E16672">
        <w:rPr>
          <w:rFonts w:ascii="Times New Roman" w:hAnsi="Times New Roman"/>
          <w:szCs w:val="20"/>
          <w:lang w:val="uk-UA"/>
        </w:rPr>
        <w:t>.</w:t>
      </w:r>
    </w:p>
    <w:p w14:paraId="36480DF1" w14:textId="77777777" w:rsidR="00493A17" w:rsidRPr="00E16672" w:rsidRDefault="00493A17" w:rsidP="00115A42">
      <w:pPr>
        <w:widowControl w:val="0"/>
        <w:tabs>
          <w:tab w:val="left" w:pos="0"/>
        </w:tabs>
        <w:ind w:right="-1" w:firstLine="709"/>
        <w:rPr>
          <w:rFonts w:ascii="Times New Roman" w:hAnsi="Times New Roman"/>
          <w:sz w:val="10"/>
          <w:szCs w:val="10"/>
          <w:lang w:val="uk-UA"/>
        </w:rPr>
      </w:pPr>
    </w:p>
    <w:p w14:paraId="054BAAA0" w14:textId="77777777" w:rsidR="00493A17" w:rsidRPr="00E16672" w:rsidRDefault="00493A17" w:rsidP="00493A17">
      <w:pPr>
        <w:widowControl w:val="0"/>
        <w:ind w:right="-1" w:firstLine="720"/>
        <w:rPr>
          <w:rFonts w:ascii="Times New Roman" w:hAnsi="Times New Roman"/>
          <w:b/>
          <w:lang w:val="uk-UA"/>
        </w:rPr>
      </w:pPr>
    </w:p>
    <w:p w14:paraId="42DD67F5" w14:textId="77777777" w:rsidR="00493A17" w:rsidRPr="00E16672" w:rsidRDefault="00115A42" w:rsidP="00493A17">
      <w:pPr>
        <w:widowControl w:val="0"/>
        <w:ind w:right="-1" w:firstLine="720"/>
        <w:rPr>
          <w:rFonts w:ascii="Times New Roman" w:hAnsi="Times New Roman"/>
          <w:b/>
          <w:lang w:val="uk-UA"/>
        </w:rPr>
      </w:pPr>
      <w:r w:rsidRPr="00E16672">
        <w:rPr>
          <w:rFonts w:ascii="Times New Roman" w:hAnsi="Times New Roman"/>
          <w:b/>
          <w:lang w:val="uk-UA"/>
        </w:rPr>
        <w:t xml:space="preserve">2.2. </w:t>
      </w:r>
      <w:r w:rsidR="00493A17" w:rsidRPr="00E16672">
        <w:rPr>
          <w:rFonts w:ascii="Times New Roman" w:hAnsi="Times New Roman"/>
          <w:b/>
          <w:lang w:val="uk-UA"/>
        </w:rPr>
        <w:t>Виконавець має право:</w:t>
      </w:r>
    </w:p>
    <w:p w14:paraId="42EA05CF" w14:textId="77777777" w:rsidR="00493A17" w:rsidRPr="00E16672" w:rsidRDefault="00115A42" w:rsidP="00115A42">
      <w:pPr>
        <w:pStyle w:val="aff5"/>
        <w:tabs>
          <w:tab w:val="left" w:pos="993"/>
        </w:tabs>
        <w:suppressAutoHyphens w:val="0"/>
        <w:snapToGrid w:val="0"/>
        <w:ind w:left="0" w:firstLine="709"/>
        <w:rPr>
          <w:rFonts w:ascii="Times New Roman" w:hAnsi="Times New Roman"/>
          <w:szCs w:val="20"/>
          <w:lang w:val="uk-UA"/>
        </w:rPr>
      </w:pPr>
      <w:r w:rsidRPr="00E16672">
        <w:rPr>
          <w:rFonts w:ascii="Times New Roman" w:hAnsi="Times New Roman"/>
          <w:szCs w:val="20"/>
          <w:lang w:val="uk-UA"/>
        </w:rPr>
        <w:t xml:space="preserve">2.2.1. </w:t>
      </w:r>
      <w:r w:rsidR="00493A17" w:rsidRPr="00E16672">
        <w:rPr>
          <w:rFonts w:ascii="Times New Roman" w:hAnsi="Times New Roman"/>
          <w:szCs w:val="20"/>
          <w:lang w:val="uk-UA"/>
        </w:rPr>
        <w:t>Виконувати функції тимчасової лічильної комісії у випадках, передбачених чинним законодавством, Статутом та внутрішніми документами Товариства.</w:t>
      </w:r>
    </w:p>
    <w:p w14:paraId="26EDADF1" w14:textId="77777777" w:rsidR="00493A17" w:rsidRPr="00E16672" w:rsidRDefault="00115A42" w:rsidP="00115A42">
      <w:pPr>
        <w:pStyle w:val="aff5"/>
        <w:tabs>
          <w:tab w:val="left" w:pos="993"/>
        </w:tabs>
        <w:suppressAutoHyphens w:val="0"/>
        <w:snapToGrid w:val="0"/>
        <w:ind w:left="0" w:firstLine="709"/>
        <w:rPr>
          <w:rFonts w:ascii="Times New Roman" w:hAnsi="Times New Roman"/>
          <w:szCs w:val="20"/>
          <w:lang w:val="uk-UA"/>
        </w:rPr>
      </w:pPr>
      <w:r w:rsidRPr="00E16672">
        <w:rPr>
          <w:rFonts w:ascii="Times New Roman" w:hAnsi="Times New Roman"/>
          <w:szCs w:val="20"/>
          <w:lang w:val="uk-UA"/>
        </w:rPr>
        <w:t xml:space="preserve">2.2.2. </w:t>
      </w:r>
      <w:r w:rsidR="00493A17" w:rsidRPr="00E16672">
        <w:rPr>
          <w:rFonts w:ascii="Times New Roman" w:hAnsi="Times New Roman"/>
          <w:szCs w:val="20"/>
          <w:lang w:val="uk-UA"/>
        </w:rPr>
        <w:t>Відмовити в реєстрації акціонера чи його представника для участі у загальних зборах у разі відсутності  документів, що ідентифікують акціонера (його представника), та/або у разі  відсутності документів, що підтверджують повноваження представника для участі у загальних зборах акціонерів.</w:t>
      </w:r>
    </w:p>
    <w:p w14:paraId="0736C4EE" w14:textId="77777777" w:rsidR="00493A17" w:rsidRPr="00E16672" w:rsidRDefault="00115A42" w:rsidP="00115A42">
      <w:pPr>
        <w:pStyle w:val="aff5"/>
        <w:tabs>
          <w:tab w:val="left" w:pos="993"/>
        </w:tabs>
        <w:suppressAutoHyphens w:val="0"/>
        <w:snapToGrid w:val="0"/>
        <w:ind w:left="0" w:firstLine="709"/>
        <w:rPr>
          <w:rFonts w:ascii="Times New Roman" w:hAnsi="Times New Roman"/>
          <w:szCs w:val="20"/>
          <w:lang w:val="uk-UA"/>
        </w:rPr>
      </w:pPr>
      <w:r w:rsidRPr="00E16672">
        <w:rPr>
          <w:rFonts w:ascii="Times New Roman" w:hAnsi="Times New Roman"/>
          <w:szCs w:val="20"/>
          <w:lang w:val="uk-UA"/>
        </w:rPr>
        <w:t xml:space="preserve">2.2.3. </w:t>
      </w:r>
      <w:r w:rsidR="00493A17" w:rsidRPr="00E16672">
        <w:rPr>
          <w:rFonts w:ascii="Times New Roman" w:hAnsi="Times New Roman"/>
          <w:szCs w:val="20"/>
          <w:lang w:val="uk-UA"/>
        </w:rPr>
        <w:t>Подовжити термін реєстрації акціонерів та їх представників у випадку отримання відповідних письмових клопотань акціонерів та їх представників, а також в інших випадках, передбачених чинним законодавством України, статутом Замовника та внутрішніми положеннями Замовника.</w:t>
      </w:r>
    </w:p>
    <w:p w14:paraId="5B2D91C9" w14:textId="77777777" w:rsidR="00493A17" w:rsidRPr="00E16672" w:rsidRDefault="00115A42" w:rsidP="00115A42">
      <w:pPr>
        <w:pStyle w:val="aff5"/>
        <w:tabs>
          <w:tab w:val="left" w:pos="993"/>
        </w:tabs>
        <w:suppressAutoHyphens w:val="0"/>
        <w:snapToGrid w:val="0"/>
        <w:ind w:left="0" w:firstLine="709"/>
        <w:rPr>
          <w:rFonts w:ascii="Times New Roman" w:hAnsi="Times New Roman"/>
          <w:szCs w:val="20"/>
          <w:lang w:val="uk-UA"/>
        </w:rPr>
      </w:pPr>
      <w:r w:rsidRPr="00E16672">
        <w:rPr>
          <w:rFonts w:ascii="Times New Roman" w:hAnsi="Times New Roman"/>
          <w:szCs w:val="20"/>
          <w:lang w:val="uk-UA"/>
        </w:rPr>
        <w:t xml:space="preserve">2.2.4. </w:t>
      </w:r>
      <w:r w:rsidR="00493A17" w:rsidRPr="00E16672">
        <w:rPr>
          <w:rFonts w:ascii="Times New Roman" w:hAnsi="Times New Roman"/>
          <w:szCs w:val="20"/>
          <w:lang w:val="uk-UA"/>
        </w:rPr>
        <w:t>Не надавати всіх або частини послуг згідно цього Договору у випадку не виконання Замовником своїх обов’язків, передбачених цим Договором, а також у разі наявності заборгованості Замовника перед виконавцем за цим Договором та/або іншими договорами, укладеними з Виконавцем.</w:t>
      </w:r>
    </w:p>
    <w:p w14:paraId="7E3EB61D" w14:textId="77777777" w:rsidR="00493A17" w:rsidRPr="00E16672" w:rsidRDefault="00493A17" w:rsidP="00493A17">
      <w:pPr>
        <w:pStyle w:val="aff5"/>
        <w:tabs>
          <w:tab w:val="left" w:pos="993"/>
        </w:tabs>
        <w:snapToGrid w:val="0"/>
        <w:ind w:left="709"/>
        <w:rPr>
          <w:rFonts w:ascii="Times New Roman" w:hAnsi="Times New Roman"/>
          <w:szCs w:val="20"/>
          <w:lang w:val="uk-UA"/>
        </w:rPr>
      </w:pPr>
    </w:p>
    <w:p w14:paraId="46DD7E88" w14:textId="77777777" w:rsidR="00493A17" w:rsidRPr="00E16672" w:rsidRDefault="00115A42" w:rsidP="00493A17">
      <w:pPr>
        <w:widowControl w:val="0"/>
        <w:ind w:right="-1" w:firstLine="720"/>
        <w:rPr>
          <w:rFonts w:ascii="Times New Roman" w:hAnsi="Times New Roman"/>
          <w:b/>
          <w:lang w:val="uk-UA"/>
        </w:rPr>
      </w:pPr>
      <w:r w:rsidRPr="00E16672">
        <w:rPr>
          <w:rFonts w:ascii="Times New Roman" w:hAnsi="Times New Roman"/>
          <w:b/>
          <w:lang w:val="uk-UA"/>
        </w:rPr>
        <w:t xml:space="preserve">2.3. </w:t>
      </w:r>
      <w:r w:rsidR="00493A17" w:rsidRPr="00E16672">
        <w:rPr>
          <w:rFonts w:ascii="Times New Roman" w:hAnsi="Times New Roman"/>
          <w:b/>
          <w:lang w:val="uk-UA"/>
        </w:rPr>
        <w:t>Замовник зобов`язаний:</w:t>
      </w:r>
    </w:p>
    <w:p w14:paraId="3A4BF4F5" w14:textId="77777777" w:rsidR="00493A17" w:rsidRPr="00E16672" w:rsidRDefault="00115A42" w:rsidP="003352AE">
      <w:pPr>
        <w:pStyle w:val="aff5"/>
        <w:tabs>
          <w:tab w:val="left" w:pos="993"/>
        </w:tabs>
        <w:suppressAutoHyphens w:val="0"/>
        <w:snapToGrid w:val="0"/>
        <w:ind w:left="0" w:firstLine="709"/>
        <w:rPr>
          <w:rFonts w:ascii="Times New Roman" w:hAnsi="Times New Roman"/>
          <w:szCs w:val="20"/>
          <w:lang w:val="uk-UA"/>
        </w:rPr>
      </w:pPr>
      <w:r w:rsidRPr="00E16672">
        <w:rPr>
          <w:rFonts w:ascii="Times New Roman" w:hAnsi="Times New Roman"/>
          <w:szCs w:val="20"/>
          <w:lang w:val="uk-UA"/>
        </w:rPr>
        <w:t xml:space="preserve">2.3.1. </w:t>
      </w:r>
      <w:r w:rsidR="00493A17" w:rsidRPr="00E16672">
        <w:rPr>
          <w:rFonts w:ascii="Times New Roman" w:hAnsi="Times New Roman"/>
          <w:szCs w:val="20"/>
          <w:lang w:val="uk-UA"/>
        </w:rPr>
        <w:t>У термін до ____ року надати Виконавцю засвідчений Замовником та затверджений наглядовою радою зразок повідомлення про проведення загальних зборів акціонерів та проект порядку денного для направлення повідомлення акціонерам Замовника та опублікування повідомлення про проведення загальних зборів (крім проектів рішень щодо кожного з питань, включених до проекту порядку денного), а також копію протоколу Наглядової ради про скликання загальних зборів Замовника, призначених на _____ року, та затвердження їх порядку денного</w:t>
      </w:r>
    </w:p>
    <w:p w14:paraId="0F0134C5" w14:textId="77777777" w:rsidR="00493A17" w:rsidRPr="00E16672" w:rsidRDefault="00115A42" w:rsidP="003352AE">
      <w:pPr>
        <w:pStyle w:val="aff5"/>
        <w:tabs>
          <w:tab w:val="left" w:pos="993"/>
        </w:tabs>
        <w:suppressAutoHyphens w:val="0"/>
        <w:snapToGrid w:val="0"/>
        <w:ind w:left="0" w:firstLine="709"/>
        <w:rPr>
          <w:rFonts w:ascii="Times New Roman" w:hAnsi="Times New Roman"/>
          <w:szCs w:val="20"/>
          <w:lang w:val="uk-UA"/>
        </w:rPr>
      </w:pPr>
      <w:r w:rsidRPr="00E16672">
        <w:rPr>
          <w:rFonts w:ascii="Times New Roman" w:hAnsi="Times New Roman"/>
          <w:szCs w:val="20"/>
          <w:lang w:val="uk-UA"/>
        </w:rPr>
        <w:t xml:space="preserve">2.3.2. </w:t>
      </w:r>
      <w:r w:rsidR="00493A17" w:rsidRPr="00E16672">
        <w:rPr>
          <w:rFonts w:ascii="Times New Roman" w:hAnsi="Times New Roman"/>
          <w:szCs w:val="20"/>
          <w:lang w:val="uk-UA"/>
        </w:rPr>
        <w:t xml:space="preserve">Для здійснення персонального повідомлення акціонерів у термін до _____ року надати Виконавцю оформлене (ний) відповідно до вимог чинного законодавства розпорядження на складання реєстру власників іменних цінних паперів для отримання переліку акціонерів, яким </w:t>
      </w:r>
      <w:proofErr w:type="spellStart"/>
      <w:r w:rsidR="00493A17" w:rsidRPr="00E16672">
        <w:rPr>
          <w:rFonts w:ascii="Times New Roman" w:hAnsi="Times New Roman"/>
          <w:szCs w:val="20"/>
          <w:lang w:val="uk-UA"/>
        </w:rPr>
        <w:t>надсилатиметься</w:t>
      </w:r>
      <w:proofErr w:type="spellEnd"/>
      <w:r w:rsidR="00493A17" w:rsidRPr="00E16672">
        <w:rPr>
          <w:rFonts w:ascii="Times New Roman" w:hAnsi="Times New Roman"/>
          <w:szCs w:val="20"/>
          <w:lang w:val="uk-UA"/>
        </w:rPr>
        <w:t xml:space="preserve"> письмове повідомлення про проведення загальних зборів акціонерного товариства  для отримання від Центрального депозитарію переліку акціонерів, яким </w:t>
      </w:r>
      <w:proofErr w:type="spellStart"/>
      <w:r w:rsidR="00493A17" w:rsidRPr="00E16672">
        <w:rPr>
          <w:rFonts w:ascii="Times New Roman" w:hAnsi="Times New Roman"/>
          <w:szCs w:val="20"/>
          <w:lang w:val="uk-UA"/>
        </w:rPr>
        <w:t>надсилатиметься</w:t>
      </w:r>
      <w:proofErr w:type="spellEnd"/>
      <w:r w:rsidR="00493A17" w:rsidRPr="00E16672">
        <w:rPr>
          <w:rFonts w:ascii="Times New Roman" w:hAnsi="Times New Roman"/>
          <w:szCs w:val="20"/>
          <w:lang w:val="uk-UA"/>
        </w:rPr>
        <w:t xml:space="preserve"> письмове повідомлення про проведення загальних зборів акціонерного товариства. </w:t>
      </w:r>
    </w:p>
    <w:p w14:paraId="3C523445" w14:textId="77777777" w:rsidR="00493A17" w:rsidRPr="00E16672" w:rsidRDefault="00115A42" w:rsidP="003352AE">
      <w:pPr>
        <w:pStyle w:val="aff5"/>
        <w:tabs>
          <w:tab w:val="left" w:pos="993"/>
        </w:tabs>
        <w:suppressAutoHyphens w:val="0"/>
        <w:snapToGrid w:val="0"/>
        <w:ind w:left="0" w:firstLine="709"/>
        <w:rPr>
          <w:rFonts w:ascii="Times New Roman" w:hAnsi="Times New Roman"/>
          <w:szCs w:val="20"/>
          <w:lang w:val="uk-UA"/>
        </w:rPr>
      </w:pPr>
      <w:r w:rsidRPr="00E16672">
        <w:rPr>
          <w:rFonts w:ascii="Times New Roman" w:hAnsi="Times New Roman"/>
          <w:szCs w:val="20"/>
          <w:lang w:val="uk-UA"/>
        </w:rPr>
        <w:t xml:space="preserve">2.3.3. </w:t>
      </w:r>
      <w:r w:rsidR="00493A17" w:rsidRPr="00E16672">
        <w:rPr>
          <w:rFonts w:ascii="Times New Roman" w:hAnsi="Times New Roman"/>
          <w:szCs w:val="20"/>
          <w:lang w:val="uk-UA"/>
        </w:rPr>
        <w:t>У термін до ____ року надати Виконавцю засвідчений Замовником та затверджений Наглядовою Радою бланк бюлетеня для голосування, а також надати затверджену копію рішення Наглядової ради про призначення реєстраційної комісії та затвердження бланку бюлетеню для голосування.</w:t>
      </w:r>
    </w:p>
    <w:p w14:paraId="38AC1894" w14:textId="77777777" w:rsidR="00493A17" w:rsidRPr="00E16672" w:rsidRDefault="00115A42" w:rsidP="003352AE">
      <w:pPr>
        <w:pStyle w:val="aff5"/>
        <w:tabs>
          <w:tab w:val="left" w:pos="993"/>
        </w:tabs>
        <w:suppressAutoHyphens w:val="0"/>
        <w:snapToGrid w:val="0"/>
        <w:ind w:left="0" w:firstLine="709"/>
        <w:rPr>
          <w:rFonts w:ascii="Times New Roman" w:hAnsi="Times New Roman"/>
          <w:szCs w:val="20"/>
          <w:lang w:val="uk-UA"/>
        </w:rPr>
      </w:pPr>
      <w:r w:rsidRPr="00E16672">
        <w:rPr>
          <w:rFonts w:ascii="Times New Roman" w:hAnsi="Times New Roman"/>
          <w:szCs w:val="20"/>
          <w:lang w:val="uk-UA"/>
        </w:rPr>
        <w:t xml:space="preserve">2.3.4. </w:t>
      </w:r>
      <w:r w:rsidR="00493A17" w:rsidRPr="00E16672">
        <w:rPr>
          <w:rFonts w:ascii="Times New Roman" w:hAnsi="Times New Roman"/>
          <w:szCs w:val="20"/>
          <w:lang w:val="uk-UA"/>
        </w:rPr>
        <w:t xml:space="preserve">Для здійснення перевірки повноважень та реєстрації акціонерів та їх представників у термін до ___ року надати Виконавцю оформлене (ний) відповідно до вимог чинного законодавства розпорядження на складання реєстру власників іменних цінних паперів для отримання переліку акціонерів, які мають право на участь у загальних зборах акціонерного </w:t>
      </w:r>
      <w:proofErr w:type="spellStart"/>
      <w:r w:rsidR="00493A17" w:rsidRPr="00E16672">
        <w:rPr>
          <w:rFonts w:ascii="Times New Roman" w:hAnsi="Times New Roman"/>
          <w:szCs w:val="20"/>
          <w:lang w:val="uk-UA"/>
        </w:rPr>
        <w:t>товариствадля</w:t>
      </w:r>
      <w:proofErr w:type="spellEnd"/>
      <w:r w:rsidR="00493A17" w:rsidRPr="00E16672">
        <w:rPr>
          <w:rFonts w:ascii="Times New Roman" w:hAnsi="Times New Roman"/>
          <w:szCs w:val="20"/>
          <w:lang w:val="uk-UA"/>
        </w:rPr>
        <w:t xml:space="preserve"> отримання від Центрального депозитарію переліку акціонерів, які мають право участі у загальних зборах акціонерів Замовника/перелік акціонерів, які мають право на участь у загальних зборах акціонерного товариства. </w:t>
      </w:r>
    </w:p>
    <w:p w14:paraId="3D37B39E" w14:textId="77777777" w:rsidR="00493A17" w:rsidRPr="00E16672" w:rsidRDefault="00115A42" w:rsidP="003352AE">
      <w:pPr>
        <w:pStyle w:val="aff5"/>
        <w:tabs>
          <w:tab w:val="left" w:pos="993"/>
        </w:tabs>
        <w:suppressAutoHyphens w:val="0"/>
        <w:snapToGrid w:val="0"/>
        <w:ind w:left="0" w:firstLine="709"/>
        <w:rPr>
          <w:rFonts w:ascii="Times New Roman" w:hAnsi="Times New Roman"/>
          <w:szCs w:val="20"/>
          <w:lang w:val="uk-UA"/>
        </w:rPr>
      </w:pPr>
      <w:r w:rsidRPr="00E16672">
        <w:rPr>
          <w:rFonts w:ascii="Times New Roman" w:hAnsi="Times New Roman"/>
          <w:szCs w:val="20"/>
          <w:lang w:val="uk-UA"/>
        </w:rPr>
        <w:t xml:space="preserve">2.3.5. </w:t>
      </w:r>
      <w:r w:rsidR="00493A17" w:rsidRPr="00E16672">
        <w:rPr>
          <w:rFonts w:ascii="Times New Roman" w:hAnsi="Times New Roman"/>
          <w:szCs w:val="20"/>
          <w:lang w:val="uk-UA"/>
        </w:rPr>
        <w:t>____ року забезпечити за місцем проведення загальних зборів, зазначеному в повідомленні акціонерів, техніку та робочі місця, необхідні для роботи реєстраційної комісії та проведення реєстрації акціонерів та їх представників, які прибудуть для участі у загальних зборах Замовника.</w:t>
      </w:r>
    </w:p>
    <w:p w14:paraId="1CF283AD" w14:textId="77777777" w:rsidR="00493A17" w:rsidRPr="00E16672" w:rsidRDefault="00115A42" w:rsidP="003352AE">
      <w:pPr>
        <w:pStyle w:val="aff5"/>
        <w:tabs>
          <w:tab w:val="left" w:pos="993"/>
        </w:tabs>
        <w:suppressAutoHyphens w:val="0"/>
        <w:snapToGrid w:val="0"/>
        <w:ind w:left="0" w:firstLine="709"/>
        <w:rPr>
          <w:rFonts w:ascii="Times New Roman" w:hAnsi="Times New Roman"/>
          <w:szCs w:val="20"/>
          <w:lang w:val="uk-UA"/>
        </w:rPr>
      </w:pPr>
      <w:r w:rsidRPr="00E16672">
        <w:rPr>
          <w:rFonts w:ascii="Times New Roman" w:hAnsi="Times New Roman"/>
          <w:szCs w:val="20"/>
          <w:lang w:val="uk-UA"/>
        </w:rPr>
        <w:t xml:space="preserve">2.3.6. </w:t>
      </w:r>
      <w:r w:rsidR="00493A17" w:rsidRPr="00E16672">
        <w:rPr>
          <w:rFonts w:ascii="Times New Roman" w:hAnsi="Times New Roman"/>
          <w:szCs w:val="20"/>
          <w:lang w:val="uk-UA"/>
        </w:rPr>
        <w:t>___ року забезпечити за місцем проведення загальних зборів, зазначеному в повідомленні акціонерів, техніку та робочі місця, необхідні для роботи лічильної комісії та проведення підрахунку голосів акціонерів та їх представників з питань порядку денного загальних зборів Замовника.</w:t>
      </w:r>
    </w:p>
    <w:p w14:paraId="1EB23E12" w14:textId="77777777" w:rsidR="00493A17" w:rsidRPr="00E16672" w:rsidRDefault="00115A42" w:rsidP="003352AE">
      <w:pPr>
        <w:pStyle w:val="aff5"/>
        <w:tabs>
          <w:tab w:val="left" w:pos="993"/>
        </w:tabs>
        <w:suppressAutoHyphens w:val="0"/>
        <w:snapToGrid w:val="0"/>
        <w:ind w:left="0" w:firstLine="709"/>
        <w:rPr>
          <w:rFonts w:ascii="Times New Roman" w:hAnsi="Times New Roman"/>
          <w:szCs w:val="20"/>
          <w:lang w:val="uk-UA"/>
        </w:rPr>
      </w:pPr>
      <w:r w:rsidRPr="00E16672">
        <w:rPr>
          <w:rFonts w:ascii="Times New Roman" w:hAnsi="Times New Roman"/>
          <w:szCs w:val="20"/>
          <w:lang w:val="uk-UA"/>
        </w:rPr>
        <w:t xml:space="preserve">2.3.7. </w:t>
      </w:r>
      <w:r w:rsidR="00493A17" w:rsidRPr="00E16672">
        <w:rPr>
          <w:rFonts w:ascii="Times New Roman" w:hAnsi="Times New Roman"/>
          <w:szCs w:val="20"/>
          <w:lang w:val="uk-UA"/>
        </w:rPr>
        <w:t>У термін до ___ року надати Виконавцю засвідчений Замовником текст повідомлення  про підсумки голосування на загальних зборах Замовника.</w:t>
      </w:r>
    </w:p>
    <w:p w14:paraId="3703F130" w14:textId="77777777" w:rsidR="00493A17" w:rsidRPr="00E16672" w:rsidRDefault="00115A42" w:rsidP="003352AE">
      <w:pPr>
        <w:pStyle w:val="aff5"/>
        <w:tabs>
          <w:tab w:val="left" w:pos="993"/>
        </w:tabs>
        <w:suppressAutoHyphens w:val="0"/>
        <w:snapToGrid w:val="0"/>
        <w:ind w:left="0" w:firstLine="709"/>
        <w:rPr>
          <w:rFonts w:ascii="Times New Roman" w:hAnsi="Times New Roman"/>
          <w:szCs w:val="20"/>
          <w:lang w:val="uk-UA"/>
        </w:rPr>
      </w:pPr>
      <w:r w:rsidRPr="00E16672">
        <w:rPr>
          <w:rFonts w:ascii="Times New Roman" w:hAnsi="Times New Roman"/>
          <w:szCs w:val="20"/>
          <w:lang w:val="uk-UA"/>
        </w:rPr>
        <w:t xml:space="preserve">2.3.8. </w:t>
      </w:r>
      <w:r w:rsidR="00493A17" w:rsidRPr="00E16672">
        <w:rPr>
          <w:rFonts w:ascii="Times New Roman" w:hAnsi="Times New Roman"/>
          <w:szCs w:val="20"/>
          <w:lang w:val="uk-UA"/>
        </w:rPr>
        <w:t>У термін до ___ року надати Виконавцю перелік акціонерів, які мають бути повідомлені про підсумки голосування (перелік власників іменних цінних паперів, які мають право участі на загальних зборах акціонерів Замовника року).</w:t>
      </w:r>
    </w:p>
    <w:p w14:paraId="2D487E34" w14:textId="77777777" w:rsidR="00493A17" w:rsidRPr="00E16672" w:rsidRDefault="00115A42" w:rsidP="003352AE">
      <w:pPr>
        <w:pStyle w:val="aff5"/>
        <w:tabs>
          <w:tab w:val="left" w:pos="993"/>
        </w:tabs>
        <w:suppressAutoHyphens w:val="0"/>
        <w:snapToGrid w:val="0"/>
        <w:ind w:left="0" w:firstLine="709"/>
        <w:rPr>
          <w:rFonts w:ascii="Times New Roman" w:hAnsi="Times New Roman"/>
          <w:szCs w:val="20"/>
          <w:lang w:val="uk-UA"/>
        </w:rPr>
      </w:pPr>
      <w:r w:rsidRPr="00E16672">
        <w:rPr>
          <w:rFonts w:ascii="Times New Roman" w:hAnsi="Times New Roman"/>
          <w:szCs w:val="20"/>
          <w:lang w:val="uk-UA"/>
        </w:rPr>
        <w:t xml:space="preserve">2.3.9. </w:t>
      </w:r>
      <w:r w:rsidR="00493A17" w:rsidRPr="00E16672">
        <w:rPr>
          <w:rFonts w:ascii="Times New Roman" w:hAnsi="Times New Roman"/>
          <w:szCs w:val="20"/>
          <w:lang w:val="uk-UA"/>
        </w:rPr>
        <w:t>Оплатити вартість послуг Виконавця у терміни та в сумі, визначеній цим Договором, а також погасити всю заборгованість за цим Договором та/або іншими договорами, укладеними з Виконавцем.</w:t>
      </w:r>
    </w:p>
    <w:p w14:paraId="511E5A78" w14:textId="77777777" w:rsidR="00493A17" w:rsidRPr="00E16672" w:rsidRDefault="00115A42" w:rsidP="003352AE">
      <w:pPr>
        <w:pStyle w:val="aff5"/>
        <w:tabs>
          <w:tab w:val="left" w:pos="993"/>
        </w:tabs>
        <w:suppressAutoHyphens w:val="0"/>
        <w:snapToGrid w:val="0"/>
        <w:ind w:left="0" w:firstLine="709"/>
        <w:rPr>
          <w:rFonts w:ascii="Times New Roman" w:hAnsi="Times New Roman"/>
          <w:szCs w:val="20"/>
          <w:lang w:val="uk-UA"/>
        </w:rPr>
      </w:pPr>
      <w:r w:rsidRPr="00E16672">
        <w:rPr>
          <w:rFonts w:ascii="Times New Roman" w:hAnsi="Times New Roman"/>
          <w:szCs w:val="20"/>
          <w:lang w:val="uk-UA"/>
        </w:rPr>
        <w:t xml:space="preserve">2.3.10. </w:t>
      </w:r>
      <w:r w:rsidR="00493A17" w:rsidRPr="00E16672">
        <w:rPr>
          <w:rFonts w:ascii="Times New Roman" w:hAnsi="Times New Roman"/>
          <w:szCs w:val="20"/>
          <w:lang w:val="uk-UA"/>
        </w:rPr>
        <w:t>Повідомляти рекомендованим листом Виконавця про відміну проведення загальних зборів акціонерів Замовника (у разі наявності події).  Виконавець вважається повідомленим з дати отримання рекомендованого листа Замовника.</w:t>
      </w:r>
    </w:p>
    <w:p w14:paraId="148195AC" w14:textId="77777777" w:rsidR="003352AE" w:rsidRPr="00E16672" w:rsidRDefault="003352AE" w:rsidP="003352AE">
      <w:pPr>
        <w:pStyle w:val="aff5"/>
        <w:tabs>
          <w:tab w:val="left" w:pos="993"/>
        </w:tabs>
        <w:suppressAutoHyphens w:val="0"/>
        <w:snapToGrid w:val="0"/>
        <w:ind w:left="0" w:firstLine="709"/>
        <w:rPr>
          <w:rFonts w:ascii="Times New Roman" w:hAnsi="Times New Roman"/>
          <w:szCs w:val="20"/>
          <w:lang w:val="uk-UA"/>
        </w:rPr>
      </w:pPr>
    </w:p>
    <w:p w14:paraId="4A57A66D" w14:textId="77777777" w:rsidR="003352AE" w:rsidRPr="00E16672" w:rsidRDefault="003352AE" w:rsidP="000D0438">
      <w:pPr>
        <w:pStyle w:val="aff5"/>
        <w:widowControl w:val="0"/>
        <w:numPr>
          <w:ilvl w:val="1"/>
          <w:numId w:val="35"/>
        </w:numPr>
        <w:ind w:right="-1"/>
        <w:rPr>
          <w:rFonts w:ascii="Times New Roman" w:hAnsi="Times New Roman"/>
          <w:b/>
          <w:lang w:val="uk-UA"/>
        </w:rPr>
      </w:pPr>
      <w:r w:rsidRPr="00E16672">
        <w:rPr>
          <w:rFonts w:ascii="Times New Roman" w:hAnsi="Times New Roman"/>
          <w:b/>
          <w:lang w:val="uk-UA"/>
        </w:rPr>
        <w:t>Замовник має право:</w:t>
      </w:r>
    </w:p>
    <w:p w14:paraId="1F986D41" w14:textId="77777777" w:rsidR="003352AE" w:rsidRPr="00E16672" w:rsidRDefault="003352AE" w:rsidP="00022F5F">
      <w:pPr>
        <w:widowControl w:val="0"/>
        <w:ind w:right="-1"/>
        <w:jc w:val="left"/>
        <w:rPr>
          <w:rFonts w:ascii="Times New Roman" w:hAnsi="Times New Roman"/>
          <w:bCs/>
          <w:lang w:val="uk-UA"/>
        </w:rPr>
      </w:pPr>
      <w:r w:rsidRPr="00E16672">
        <w:rPr>
          <w:rFonts w:ascii="Times New Roman" w:hAnsi="Times New Roman"/>
          <w:bCs/>
          <w:lang w:val="uk-UA"/>
        </w:rPr>
        <w:t>2.4.1.</w:t>
      </w:r>
      <w:r w:rsidRPr="00E16672">
        <w:rPr>
          <w:rFonts w:ascii="Times New Roman" w:hAnsi="Times New Roman"/>
          <w:szCs w:val="20"/>
          <w:lang w:val="uk-UA"/>
        </w:rPr>
        <w:t xml:space="preserve"> Отримувати інформацію про умови та порядок діяльності депозитарної установи з урахуванням вимог, встановлених</w:t>
      </w:r>
      <w:r w:rsidRPr="00E16672">
        <w:rPr>
          <w:rFonts w:ascii="Times New Roman" w:hAnsi="Times New Roman"/>
          <w:szCs w:val="20"/>
        </w:rPr>
        <w:t> </w:t>
      </w:r>
      <w:r w:rsidRPr="00E16672">
        <w:rPr>
          <w:rFonts w:ascii="Times New Roman" w:hAnsi="Times New Roman"/>
          <w:szCs w:val="20"/>
          <w:lang w:val="uk-UA"/>
        </w:rPr>
        <w:t xml:space="preserve">частиною першою статті 12 Закону України </w:t>
      </w:r>
      <w:r w:rsidR="00022F5F">
        <w:rPr>
          <w:rFonts w:ascii="Times New Roman" w:hAnsi="Times New Roman"/>
          <w:szCs w:val="20"/>
          <w:lang w:val="uk-UA"/>
        </w:rPr>
        <w:t>"</w:t>
      </w:r>
      <w:r w:rsidRPr="00E16672">
        <w:rPr>
          <w:rFonts w:ascii="Times New Roman" w:hAnsi="Times New Roman"/>
          <w:szCs w:val="20"/>
          <w:lang w:val="uk-UA"/>
        </w:rPr>
        <w:t>Про фінансові послуги та державне регулювання ринків фінансових послуг</w:t>
      </w:r>
      <w:r w:rsidR="00022F5F">
        <w:rPr>
          <w:rFonts w:ascii="Times New Roman" w:hAnsi="Times New Roman"/>
          <w:szCs w:val="20"/>
          <w:lang w:val="uk-UA"/>
        </w:rPr>
        <w:t>"</w:t>
      </w:r>
      <w:r w:rsidRPr="00E16672">
        <w:rPr>
          <w:rFonts w:ascii="Times New Roman" w:hAnsi="Times New Roman"/>
          <w:szCs w:val="20"/>
          <w:lang w:val="uk-UA"/>
        </w:rPr>
        <w:t>.</w:t>
      </w:r>
    </w:p>
    <w:p w14:paraId="35A41F4B" w14:textId="77777777" w:rsidR="00493A17" w:rsidRPr="00E16672" w:rsidRDefault="00493A17" w:rsidP="00493A17">
      <w:pPr>
        <w:widowControl w:val="0"/>
        <w:ind w:right="-1" w:firstLine="720"/>
        <w:rPr>
          <w:rFonts w:ascii="Times New Roman" w:hAnsi="Times New Roman"/>
          <w:lang w:val="uk-UA"/>
        </w:rPr>
      </w:pPr>
    </w:p>
    <w:p w14:paraId="7451616D" w14:textId="77777777" w:rsidR="00493A17" w:rsidRPr="00E16672" w:rsidRDefault="00493A17" w:rsidP="00493A17">
      <w:pPr>
        <w:widowControl w:val="0"/>
        <w:tabs>
          <w:tab w:val="num" w:pos="0"/>
        </w:tabs>
        <w:ind w:firstLine="540"/>
        <w:jc w:val="center"/>
        <w:rPr>
          <w:rFonts w:ascii="Times New Roman" w:hAnsi="Times New Roman"/>
          <w:b/>
          <w:lang w:val="uk-UA"/>
        </w:rPr>
      </w:pPr>
      <w:r w:rsidRPr="00E16672">
        <w:rPr>
          <w:rFonts w:ascii="Times New Roman" w:hAnsi="Times New Roman"/>
          <w:b/>
          <w:lang w:val="uk-UA"/>
        </w:rPr>
        <w:t>III. ВАРТІСТЬ ТА УМОВИ ОПЛАТИ НАДАНИХ ПОСЛУГ.</w:t>
      </w:r>
    </w:p>
    <w:p w14:paraId="711382FD" w14:textId="77777777" w:rsidR="00493A17" w:rsidRPr="00E16672" w:rsidRDefault="00493A17" w:rsidP="00493A17">
      <w:pPr>
        <w:pStyle w:val="aff5"/>
        <w:tabs>
          <w:tab w:val="left" w:pos="1134"/>
        </w:tabs>
        <w:snapToGrid w:val="0"/>
        <w:ind w:left="709"/>
        <w:rPr>
          <w:rFonts w:ascii="Times New Roman" w:hAnsi="Times New Roman"/>
          <w:szCs w:val="20"/>
          <w:lang w:val="uk-UA"/>
        </w:rPr>
      </w:pPr>
    </w:p>
    <w:p w14:paraId="14950F6F" w14:textId="77777777" w:rsidR="00493A17" w:rsidRPr="00E16672" w:rsidRDefault="00493A17" w:rsidP="000D0438">
      <w:pPr>
        <w:pStyle w:val="aff5"/>
        <w:numPr>
          <w:ilvl w:val="1"/>
          <w:numId w:val="26"/>
        </w:numPr>
        <w:tabs>
          <w:tab w:val="left" w:pos="0"/>
        </w:tabs>
        <w:suppressAutoHyphens w:val="0"/>
        <w:snapToGrid w:val="0"/>
        <w:ind w:left="0" w:firstLine="709"/>
        <w:rPr>
          <w:rFonts w:ascii="Times New Roman" w:hAnsi="Times New Roman"/>
          <w:szCs w:val="20"/>
          <w:lang w:val="uk-UA"/>
        </w:rPr>
      </w:pPr>
      <w:r w:rsidRPr="00E16672">
        <w:rPr>
          <w:rFonts w:ascii="Times New Roman" w:hAnsi="Times New Roman"/>
          <w:szCs w:val="20"/>
          <w:lang w:val="uk-UA"/>
        </w:rPr>
        <w:t>Замовник оплачує надані Виконавцем послуги по інформаційному та організаційному забезпеченню проведення загальних зборів акціонерів Замовника, проведення яких призначено на ____ року, у наступному розмірі та порядку:</w:t>
      </w:r>
    </w:p>
    <w:p w14:paraId="357DE1FA" w14:textId="77777777" w:rsidR="00493A17" w:rsidRPr="00E16672" w:rsidRDefault="00493A17" w:rsidP="00493A17">
      <w:pPr>
        <w:pStyle w:val="aff5"/>
        <w:tabs>
          <w:tab w:val="left" w:pos="0"/>
        </w:tabs>
        <w:snapToGrid w:val="0"/>
        <w:ind w:left="0" w:firstLine="851"/>
        <w:rPr>
          <w:rFonts w:ascii="Times New Roman" w:hAnsi="Times New Roman"/>
          <w:szCs w:val="20"/>
          <w:lang w:val="uk-UA"/>
        </w:rPr>
      </w:pPr>
      <w:r w:rsidRPr="00E16672">
        <w:rPr>
          <w:rFonts w:ascii="Times New Roman" w:hAnsi="Times New Roman"/>
          <w:szCs w:val="20"/>
          <w:lang w:val="uk-UA"/>
        </w:rPr>
        <w:t xml:space="preserve">3.1.1. Вартість послуг щодо повідомлення акціонерів про проведення загальних зборів акціонерів згідно пункту 1.1.1. цього Договору становить ___грн. (_____) без ПДВ., яку Замовник оплачує у термін до _________. </w:t>
      </w:r>
    </w:p>
    <w:p w14:paraId="395306B1" w14:textId="77777777" w:rsidR="00493A17" w:rsidRPr="00E16672" w:rsidRDefault="00493A17" w:rsidP="00493A17">
      <w:pPr>
        <w:pStyle w:val="aff5"/>
        <w:tabs>
          <w:tab w:val="left" w:pos="0"/>
        </w:tabs>
        <w:snapToGrid w:val="0"/>
        <w:ind w:left="0" w:firstLine="851"/>
        <w:rPr>
          <w:rFonts w:ascii="Times New Roman" w:hAnsi="Times New Roman"/>
          <w:szCs w:val="20"/>
          <w:lang w:val="uk-UA"/>
        </w:rPr>
      </w:pPr>
      <w:r w:rsidRPr="00E16672">
        <w:rPr>
          <w:rFonts w:ascii="Times New Roman" w:hAnsi="Times New Roman"/>
          <w:szCs w:val="20"/>
          <w:lang w:val="uk-UA"/>
        </w:rPr>
        <w:t>3.1.2. Вартість послуг щодо виконання функцій реєстраційної комісії згідно пункту 1.1.2. цього Договору становить  ___ грн. (___) без ПДВ, яку Замовник оплачує у термін до _________.</w:t>
      </w:r>
    </w:p>
    <w:p w14:paraId="41348A18" w14:textId="77777777" w:rsidR="00493A17" w:rsidRPr="00E16672" w:rsidRDefault="00493A17" w:rsidP="00493A17">
      <w:pPr>
        <w:pStyle w:val="aff5"/>
        <w:tabs>
          <w:tab w:val="left" w:pos="0"/>
        </w:tabs>
        <w:snapToGrid w:val="0"/>
        <w:ind w:left="0" w:firstLine="851"/>
        <w:rPr>
          <w:rFonts w:ascii="Times New Roman" w:hAnsi="Times New Roman"/>
          <w:szCs w:val="20"/>
          <w:lang w:val="uk-UA"/>
        </w:rPr>
      </w:pPr>
      <w:r w:rsidRPr="00E16672">
        <w:rPr>
          <w:rFonts w:ascii="Times New Roman" w:hAnsi="Times New Roman"/>
          <w:szCs w:val="20"/>
          <w:lang w:val="uk-UA"/>
        </w:rPr>
        <w:t>3.1.3. Вартість послуг щодо виконання функцій лічильної комісії згідно пункту 1.1.3. цього Договору становить ___ грн. (___) без ПДВ, яку Замовник оплачує у термін до ____________.</w:t>
      </w:r>
    </w:p>
    <w:p w14:paraId="17A293BD" w14:textId="77777777" w:rsidR="00493A17" w:rsidRPr="00E16672" w:rsidRDefault="00493A17" w:rsidP="00493A17">
      <w:pPr>
        <w:pStyle w:val="aff5"/>
        <w:tabs>
          <w:tab w:val="left" w:pos="0"/>
        </w:tabs>
        <w:snapToGrid w:val="0"/>
        <w:ind w:left="0" w:firstLine="851"/>
        <w:rPr>
          <w:rFonts w:ascii="Times New Roman" w:hAnsi="Times New Roman"/>
          <w:szCs w:val="20"/>
          <w:lang w:val="uk-UA"/>
        </w:rPr>
      </w:pPr>
      <w:r w:rsidRPr="00E16672">
        <w:rPr>
          <w:rFonts w:ascii="Times New Roman" w:hAnsi="Times New Roman"/>
          <w:szCs w:val="20"/>
          <w:lang w:val="uk-UA"/>
        </w:rPr>
        <w:lastRenderedPageBreak/>
        <w:t>3.1.4. Вартість послуг щодо повідомлення акціонерів про підсумки голосування на загальних зборів акціонерів Замовника згідно пункту 1.1.4. цього Договору становить  ___ грн. (___) без ПДВ, яку Замовник оплачує у термін до ___________.</w:t>
      </w:r>
    </w:p>
    <w:p w14:paraId="530A650B" w14:textId="77777777" w:rsidR="00493A17" w:rsidRPr="00E16672" w:rsidRDefault="00493A17" w:rsidP="00493A17">
      <w:pPr>
        <w:pStyle w:val="aff5"/>
        <w:tabs>
          <w:tab w:val="left" w:pos="1134"/>
        </w:tabs>
        <w:snapToGrid w:val="0"/>
        <w:ind w:left="0" w:firstLine="851"/>
        <w:rPr>
          <w:rFonts w:ascii="Times New Roman" w:hAnsi="Times New Roman"/>
          <w:szCs w:val="20"/>
          <w:lang w:val="uk-UA"/>
        </w:rPr>
      </w:pPr>
      <w:r w:rsidRPr="00E16672">
        <w:rPr>
          <w:rFonts w:ascii="Times New Roman" w:hAnsi="Times New Roman"/>
          <w:szCs w:val="20"/>
          <w:lang w:val="uk-UA"/>
        </w:rPr>
        <w:t>Загальна вартість Договору становить ________ грн..</w:t>
      </w:r>
    </w:p>
    <w:p w14:paraId="50D3375A" w14:textId="77777777" w:rsidR="00493A17" w:rsidRPr="00E16672" w:rsidRDefault="00493A17" w:rsidP="00493A17">
      <w:pPr>
        <w:pStyle w:val="aff5"/>
        <w:tabs>
          <w:tab w:val="left" w:pos="1134"/>
        </w:tabs>
        <w:snapToGrid w:val="0"/>
        <w:ind w:left="0" w:firstLine="851"/>
        <w:rPr>
          <w:rFonts w:ascii="Times New Roman" w:hAnsi="Times New Roman"/>
          <w:szCs w:val="20"/>
          <w:lang w:val="uk-UA"/>
        </w:rPr>
      </w:pPr>
      <w:r w:rsidRPr="00E16672">
        <w:rPr>
          <w:rFonts w:ascii="Times New Roman" w:hAnsi="Times New Roman"/>
          <w:szCs w:val="20"/>
          <w:lang w:val="uk-UA"/>
        </w:rPr>
        <w:t>Підставою для оплати послуг Виконавця є даний Договір.</w:t>
      </w:r>
    </w:p>
    <w:p w14:paraId="51FF6829" w14:textId="77777777" w:rsidR="00493A17" w:rsidRPr="00E16672" w:rsidRDefault="00493A17" w:rsidP="000D0438">
      <w:pPr>
        <w:pStyle w:val="aff5"/>
        <w:numPr>
          <w:ilvl w:val="1"/>
          <w:numId w:val="26"/>
        </w:numPr>
        <w:tabs>
          <w:tab w:val="left" w:pos="0"/>
        </w:tabs>
        <w:suppressAutoHyphens w:val="0"/>
        <w:snapToGrid w:val="0"/>
        <w:ind w:left="0" w:firstLine="709"/>
        <w:rPr>
          <w:rFonts w:ascii="Times New Roman" w:hAnsi="Times New Roman"/>
          <w:szCs w:val="20"/>
          <w:lang w:val="uk-UA"/>
        </w:rPr>
      </w:pPr>
      <w:r w:rsidRPr="00E16672">
        <w:rPr>
          <w:rFonts w:ascii="Times New Roman" w:hAnsi="Times New Roman"/>
          <w:szCs w:val="20"/>
          <w:lang w:val="uk-UA"/>
        </w:rPr>
        <w:t xml:space="preserve">Якщо загальні збори акціонерів Замовника, проведення яких призначено на ___ року, відмінено після здійснення повідомлення акціонерів про проведення загальних зборів акціонерів Замовника, але до дати проведення загальних зборів, а саме _____ року-не пізніше терміну, передбаченого для забезпечення особистої присутності представників реєстраційної та лічильної комісії (зазначається термін з урахуванням терміну відрядження до місця проведення загальних зборів акціонерів), сплачена сума згідно п.3.1.1. цього Договору не повертається Замовнику. Послуги, передбачені п. 1.1.2-1.1.4 цього Договору, не надаються, та вартість послуг, передбачена п. 3.1.2-3.1.4, не оплачується. У разі відміни загальних зборів  до дати проведення загальних зборів, але після терміну, необхідному для забезпечення особистої присутності співробітників Замовника для виконання послуг за цим Договором, сплачується вартість витрат  Замовника у розмірі _____ року.  </w:t>
      </w:r>
    </w:p>
    <w:p w14:paraId="4E4BDF62" w14:textId="77777777" w:rsidR="00493A17" w:rsidRPr="00E16672" w:rsidRDefault="00493A17" w:rsidP="000D0438">
      <w:pPr>
        <w:pStyle w:val="aff5"/>
        <w:numPr>
          <w:ilvl w:val="1"/>
          <w:numId w:val="26"/>
        </w:numPr>
        <w:tabs>
          <w:tab w:val="left" w:pos="0"/>
        </w:tabs>
        <w:suppressAutoHyphens w:val="0"/>
        <w:snapToGrid w:val="0"/>
        <w:ind w:left="0" w:firstLine="709"/>
        <w:rPr>
          <w:rFonts w:ascii="Times New Roman" w:hAnsi="Times New Roman"/>
          <w:szCs w:val="20"/>
          <w:lang w:val="uk-UA"/>
        </w:rPr>
      </w:pPr>
      <w:r w:rsidRPr="00E16672">
        <w:rPr>
          <w:rFonts w:ascii="Times New Roman" w:hAnsi="Times New Roman"/>
          <w:szCs w:val="20"/>
          <w:lang w:val="uk-UA"/>
        </w:rPr>
        <w:t>Якщо загальні збори акціонерів Замовника, проведення яких призначено на ___ року, не відбулись через відсутність кворуму, сплачена сума згідно п. 3.1.1-3.1.3 (включено) не повертається. Послуги, передбачені п. 1.1.4 цього Договору, не надаються, та вартість послуг, передбачена 3.1.4 цього Договору, не оплачується.</w:t>
      </w:r>
    </w:p>
    <w:p w14:paraId="4FC5A16B" w14:textId="77777777" w:rsidR="00493A17" w:rsidRPr="00E16672" w:rsidRDefault="00493A17" w:rsidP="000D0438">
      <w:pPr>
        <w:pStyle w:val="aff5"/>
        <w:numPr>
          <w:ilvl w:val="1"/>
          <w:numId w:val="26"/>
        </w:numPr>
        <w:tabs>
          <w:tab w:val="left" w:pos="0"/>
        </w:tabs>
        <w:suppressAutoHyphens w:val="0"/>
        <w:snapToGrid w:val="0"/>
        <w:ind w:left="0" w:firstLine="709"/>
        <w:rPr>
          <w:rFonts w:ascii="Times New Roman" w:hAnsi="Times New Roman"/>
          <w:szCs w:val="20"/>
          <w:lang w:val="uk-UA"/>
        </w:rPr>
      </w:pPr>
      <w:r w:rsidRPr="00E16672">
        <w:rPr>
          <w:rFonts w:ascii="Times New Roman" w:hAnsi="Times New Roman"/>
          <w:szCs w:val="20"/>
          <w:lang w:val="uk-UA"/>
        </w:rPr>
        <w:t>У разі не затвердження складу лічильної комісії, наданого згідно цього Договору, на загальних зборах Замовника, послуги, передбачені п. 1.1.3 цього Договору, не надаються, вартість послуг згідно п. 3.1.3 цього Договору повертається Замовнику за відрахуванням витрат Замовника для забезпечення виконання функцій лічильної комісії у розмірі ____ грн.</w:t>
      </w:r>
    </w:p>
    <w:p w14:paraId="6BCE7882" w14:textId="77777777" w:rsidR="00493A17" w:rsidRPr="00E16672" w:rsidRDefault="00493A17" w:rsidP="000D0438">
      <w:pPr>
        <w:pStyle w:val="aff5"/>
        <w:numPr>
          <w:ilvl w:val="1"/>
          <w:numId w:val="26"/>
        </w:numPr>
        <w:tabs>
          <w:tab w:val="left" w:pos="0"/>
        </w:tabs>
        <w:suppressAutoHyphens w:val="0"/>
        <w:snapToGrid w:val="0"/>
        <w:ind w:left="0" w:firstLine="709"/>
        <w:rPr>
          <w:rFonts w:ascii="Times New Roman" w:hAnsi="Times New Roman"/>
          <w:szCs w:val="20"/>
          <w:lang w:val="uk-UA"/>
        </w:rPr>
      </w:pPr>
      <w:r w:rsidRPr="00E16672">
        <w:rPr>
          <w:rFonts w:ascii="Times New Roman" w:hAnsi="Times New Roman"/>
          <w:szCs w:val="20"/>
          <w:lang w:val="uk-UA"/>
        </w:rPr>
        <w:t>Виконання Сторонами своїх обов’язків згідно цього Договору оформлюється актом виконаних робіт.</w:t>
      </w:r>
    </w:p>
    <w:p w14:paraId="6AF20FFB" w14:textId="77777777" w:rsidR="00493A17" w:rsidRPr="00E16672" w:rsidRDefault="00493A17" w:rsidP="000D0438">
      <w:pPr>
        <w:pStyle w:val="aff5"/>
        <w:numPr>
          <w:ilvl w:val="1"/>
          <w:numId w:val="26"/>
        </w:numPr>
        <w:tabs>
          <w:tab w:val="left" w:pos="0"/>
        </w:tabs>
        <w:suppressAutoHyphens w:val="0"/>
        <w:snapToGrid w:val="0"/>
        <w:ind w:left="0" w:firstLine="709"/>
        <w:rPr>
          <w:rFonts w:ascii="Times New Roman" w:hAnsi="Times New Roman"/>
          <w:szCs w:val="20"/>
          <w:lang w:val="uk-UA"/>
        </w:rPr>
      </w:pPr>
      <w:r w:rsidRPr="00E16672">
        <w:rPr>
          <w:rFonts w:ascii="Times New Roman" w:hAnsi="Times New Roman"/>
          <w:szCs w:val="20"/>
          <w:lang w:val="uk-UA"/>
        </w:rPr>
        <w:t>Замовник зобов’язаний повернути підписаний зі свого боку акт виконаних робіт (наданих послуг) протягом 10 (десяти) робочих днів з дати його отримання. Якщо Замовник не оформляє і не повертає у вищезазначений строк акти виконаних робіт (наданих послуг), то послуги вважаються прийнятими без зауважень.</w:t>
      </w:r>
    </w:p>
    <w:p w14:paraId="635BFAA8" w14:textId="77777777" w:rsidR="00493A17" w:rsidRPr="00E16672" w:rsidRDefault="00493A17" w:rsidP="00493A17">
      <w:pPr>
        <w:widowControl w:val="0"/>
        <w:ind w:firstLine="720"/>
        <w:rPr>
          <w:rFonts w:ascii="Times New Roman" w:hAnsi="Times New Roman"/>
          <w:lang w:val="uk-UA"/>
        </w:rPr>
      </w:pPr>
    </w:p>
    <w:p w14:paraId="5AABDD37" w14:textId="77777777" w:rsidR="00493A17" w:rsidRPr="00E16672" w:rsidRDefault="00493A17" w:rsidP="00493A17">
      <w:pPr>
        <w:widowControl w:val="0"/>
        <w:ind w:firstLine="720"/>
        <w:rPr>
          <w:rFonts w:ascii="Times New Roman" w:hAnsi="Times New Roman"/>
          <w:lang w:val="uk-UA"/>
        </w:rPr>
      </w:pPr>
    </w:p>
    <w:p w14:paraId="0E526D30" w14:textId="77777777" w:rsidR="00493A17" w:rsidRPr="00E16672" w:rsidRDefault="00493A17" w:rsidP="00493A17">
      <w:pPr>
        <w:widowControl w:val="0"/>
        <w:jc w:val="center"/>
        <w:rPr>
          <w:rFonts w:ascii="Times New Roman" w:hAnsi="Times New Roman"/>
          <w:b/>
          <w:lang w:val="uk-UA"/>
        </w:rPr>
      </w:pPr>
      <w:r w:rsidRPr="00E16672">
        <w:rPr>
          <w:rFonts w:ascii="Times New Roman" w:hAnsi="Times New Roman"/>
          <w:b/>
          <w:lang w:val="uk-UA"/>
        </w:rPr>
        <w:t>ІV. ВІДПОВІДАЛЬНІСТЬ СТОРІН</w:t>
      </w:r>
    </w:p>
    <w:p w14:paraId="0B3374A0" w14:textId="77777777" w:rsidR="00493A17" w:rsidRPr="00E16672" w:rsidRDefault="00493A17" w:rsidP="00493A17">
      <w:pPr>
        <w:widowControl w:val="0"/>
        <w:jc w:val="center"/>
        <w:rPr>
          <w:rFonts w:ascii="Times New Roman" w:hAnsi="Times New Roman"/>
          <w:lang w:val="uk-UA"/>
        </w:rPr>
      </w:pPr>
    </w:p>
    <w:p w14:paraId="500DDBB7" w14:textId="77777777" w:rsidR="00493A17" w:rsidRPr="00E16672" w:rsidRDefault="00493A17" w:rsidP="000D0438">
      <w:pPr>
        <w:pStyle w:val="aff5"/>
        <w:numPr>
          <w:ilvl w:val="1"/>
          <w:numId w:val="24"/>
        </w:numPr>
        <w:tabs>
          <w:tab w:val="left" w:pos="993"/>
        </w:tabs>
        <w:suppressAutoHyphens w:val="0"/>
        <w:snapToGrid w:val="0"/>
        <w:ind w:left="0" w:firstLine="709"/>
        <w:rPr>
          <w:rFonts w:ascii="Times New Roman" w:hAnsi="Times New Roman"/>
          <w:szCs w:val="20"/>
          <w:lang w:val="uk-UA"/>
        </w:rPr>
      </w:pPr>
      <w:r w:rsidRPr="00E16672">
        <w:rPr>
          <w:rFonts w:ascii="Times New Roman" w:hAnsi="Times New Roman"/>
          <w:szCs w:val="20"/>
          <w:lang w:val="uk-UA"/>
        </w:rPr>
        <w:t>За невиконання або невідповідне виконання зобов’язань, прийнятих по цьому Договору, Сторони несуть відповідальність згідно з діючим законодавством України.</w:t>
      </w:r>
    </w:p>
    <w:p w14:paraId="3EB2E129" w14:textId="77777777" w:rsidR="00493A17" w:rsidRPr="00E16672" w:rsidRDefault="00493A17" w:rsidP="000D0438">
      <w:pPr>
        <w:pStyle w:val="aff5"/>
        <w:numPr>
          <w:ilvl w:val="1"/>
          <w:numId w:val="24"/>
        </w:numPr>
        <w:tabs>
          <w:tab w:val="left" w:pos="993"/>
        </w:tabs>
        <w:suppressAutoHyphens w:val="0"/>
        <w:snapToGrid w:val="0"/>
        <w:ind w:left="0" w:firstLine="709"/>
        <w:rPr>
          <w:rFonts w:ascii="Times New Roman" w:hAnsi="Times New Roman"/>
          <w:szCs w:val="20"/>
          <w:lang w:val="uk-UA"/>
        </w:rPr>
      </w:pPr>
      <w:r w:rsidRPr="00E16672">
        <w:rPr>
          <w:rFonts w:ascii="Times New Roman" w:hAnsi="Times New Roman"/>
          <w:szCs w:val="20"/>
          <w:lang w:val="uk-UA"/>
        </w:rPr>
        <w:t>За порушення термінів оплати, передбачених цим Договором, Замовник виплачує Виконавцю пеню відповідно до чинного законодавства у розмірі подвійної облікової ставки НБУ від простроченої загальної суми виконаних операцій за кожен день прострочи.</w:t>
      </w:r>
    </w:p>
    <w:p w14:paraId="6F74A806" w14:textId="77777777" w:rsidR="00493A17" w:rsidRPr="00E16672" w:rsidRDefault="00493A17" w:rsidP="000D0438">
      <w:pPr>
        <w:pStyle w:val="aff5"/>
        <w:numPr>
          <w:ilvl w:val="1"/>
          <w:numId w:val="24"/>
        </w:numPr>
        <w:tabs>
          <w:tab w:val="left" w:pos="993"/>
        </w:tabs>
        <w:suppressAutoHyphens w:val="0"/>
        <w:snapToGrid w:val="0"/>
        <w:ind w:left="0" w:firstLine="709"/>
        <w:rPr>
          <w:rFonts w:ascii="Times New Roman" w:hAnsi="Times New Roman"/>
          <w:szCs w:val="20"/>
          <w:lang w:val="uk-UA"/>
        </w:rPr>
      </w:pPr>
      <w:r w:rsidRPr="00E16672">
        <w:rPr>
          <w:rFonts w:ascii="Times New Roman" w:hAnsi="Times New Roman"/>
          <w:szCs w:val="20"/>
          <w:lang w:val="uk-UA"/>
        </w:rPr>
        <w:t xml:space="preserve">Виплата пені не звільнює Сторони від виконання обов’язків по цьому Договору та відшкодування збитків у повному обсязі. </w:t>
      </w:r>
    </w:p>
    <w:p w14:paraId="695EEEFB" w14:textId="77777777" w:rsidR="00493A17" w:rsidRPr="00E16672" w:rsidRDefault="00493A17" w:rsidP="000D0438">
      <w:pPr>
        <w:pStyle w:val="aff5"/>
        <w:numPr>
          <w:ilvl w:val="1"/>
          <w:numId w:val="24"/>
        </w:numPr>
        <w:tabs>
          <w:tab w:val="left" w:pos="993"/>
        </w:tabs>
        <w:suppressAutoHyphens w:val="0"/>
        <w:snapToGrid w:val="0"/>
        <w:ind w:left="0" w:firstLine="709"/>
        <w:rPr>
          <w:rFonts w:ascii="Times New Roman" w:hAnsi="Times New Roman"/>
          <w:szCs w:val="20"/>
          <w:lang w:val="uk-UA"/>
        </w:rPr>
      </w:pPr>
      <w:r w:rsidRPr="00E16672">
        <w:rPr>
          <w:rFonts w:ascii="Times New Roman" w:hAnsi="Times New Roman"/>
          <w:szCs w:val="20"/>
          <w:lang w:val="uk-UA"/>
        </w:rPr>
        <w:t>Виконавець не несе відповідальність за порушення терміну опублікування в друкованому виданні інформації про скликання загальних зборів акціонерів та розсилки повідомлень акціонерам Замовника у разі невиконання Замовником зобов’язань за цим Договором.</w:t>
      </w:r>
    </w:p>
    <w:p w14:paraId="7A02F64F" w14:textId="77777777" w:rsidR="00493A17" w:rsidRPr="00E16672" w:rsidRDefault="00493A17" w:rsidP="000D0438">
      <w:pPr>
        <w:pStyle w:val="aff5"/>
        <w:numPr>
          <w:ilvl w:val="1"/>
          <w:numId w:val="24"/>
        </w:numPr>
        <w:tabs>
          <w:tab w:val="left" w:pos="993"/>
        </w:tabs>
        <w:suppressAutoHyphens w:val="0"/>
        <w:snapToGrid w:val="0"/>
        <w:ind w:left="0" w:firstLine="709"/>
        <w:rPr>
          <w:rFonts w:ascii="Times New Roman" w:hAnsi="Times New Roman"/>
          <w:szCs w:val="20"/>
          <w:lang w:val="uk-UA"/>
        </w:rPr>
      </w:pPr>
      <w:r w:rsidRPr="00E16672">
        <w:rPr>
          <w:rFonts w:ascii="Times New Roman" w:hAnsi="Times New Roman"/>
          <w:szCs w:val="20"/>
          <w:lang w:val="uk-UA"/>
        </w:rPr>
        <w:t>Виконавець не несе відповідальність за зміст персонального повідомлення та проект порядку денного, які надані Замовником для опублікування та розсилки.</w:t>
      </w:r>
    </w:p>
    <w:p w14:paraId="5EB040D0" w14:textId="77777777" w:rsidR="00493A17" w:rsidRPr="00E16672" w:rsidRDefault="00493A17" w:rsidP="000D0438">
      <w:pPr>
        <w:pStyle w:val="aff5"/>
        <w:numPr>
          <w:ilvl w:val="1"/>
          <w:numId w:val="24"/>
        </w:numPr>
        <w:tabs>
          <w:tab w:val="left" w:pos="993"/>
        </w:tabs>
        <w:suppressAutoHyphens w:val="0"/>
        <w:snapToGrid w:val="0"/>
        <w:ind w:left="0" w:firstLine="709"/>
        <w:rPr>
          <w:rFonts w:ascii="Times New Roman" w:hAnsi="Times New Roman"/>
          <w:szCs w:val="20"/>
          <w:lang w:val="uk-UA"/>
        </w:rPr>
      </w:pPr>
      <w:r w:rsidRPr="00E16672">
        <w:rPr>
          <w:rFonts w:ascii="Times New Roman" w:hAnsi="Times New Roman"/>
          <w:szCs w:val="20"/>
          <w:lang w:val="uk-UA"/>
        </w:rPr>
        <w:t>Виконавець не несе відповідальність за визначення Замовником дати переліку акціонерів, які мають бути повідомлені про скликання загальних зборів акціонерів.</w:t>
      </w:r>
    </w:p>
    <w:p w14:paraId="2AB35F2E" w14:textId="77777777" w:rsidR="00493A17" w:rsidRPr="00E16672" w:rsidRDefault="00493A17" w:rsidP="000D0438">
      <w:pPr>
        <w:pStyle w:val="aff5"/>
        <w:numPr>
          <w:ilvl w:val="1"/>
          <w:numId w:val="24"/>
        </w:numPr>
        <w:tabs>
          <w:tab w:val="left" w:pos="993"/>
        </w:tabs>
        <w:suppressAutoHyphens w:val="0"/>
        <w:snapToGrid w:val="0"/>
        <w:ind w:left="0" w:firstLine="709"/>
        <w:rPr>
          <w:rFonts w:ascii="Times New Roman" w:hAnsi="Times New Roman"/>
          <w:szCs w:val="20"/>
          <w:lang w:val="uk-UA"/>
        </w:rPr>
      </w:pPr>
      <w:r w:rsidRPr="00E16672">
        <w:rPr>
          <w:rFonts w:ascii="Times New Roman" w:hAnsi="Times New Roman"/>
          <w:szCs w:val="20"/>
          <w:lang w:val="uk-UA"/>
        </w:rPr>
        <w:t>Виконавець не несе відповідальність за відповідність вимогам чинного законодавства України, за зміст та достовірність інформації, наведеній у переліку акціонерів, наданому для проведення персонального повідомлення акціонерів про скликання загальних зборів акціонерів Замовника.</w:t>
      </w:r>
    </w:p>
    <w:p w14:paraId="3E57259A" w14:textId="77777777" w:rsidR="00493A17" w:rsidRPr="00E16672" w:rsidRDefault="00493A17" w:rsidP="000D0438">
      <w:pPr>
        <w:pStyle w:val="aff5"/>
        <w:numPr>
          <w:ilvl w:val="1"/>
          <w:numId w:val="24"/>
        </w:numPr>
        <w:tabs>
          <w:tab w:val="left" w:pos="993"/>
        </w:tabs>
        <w:suppressAutoHyphens w:val="0"/>
        <w:snapToGrid w:val="0"/>
        <w:ind w:left="0" w:firstLine="709"/>
        <w:rPr>
          <w:rFonts w:ascii="Times New Roman" w:hAnsi="Times New Roman"/>
          <w:szCs w:val="20"/>
          <w:lang w:val="uk-UA"/>
        </w:rPr>
      </w:pPr>
      <w:r w:rsidRPr="00E16672">
        <w:rPr>
          <w:rFonts w:ascii="Times New Roman" w:hAnsi="Times New Roman"/>
          <w:szCs w:val="20"/>
          <w:lang w:val="uk-UA"/>
        </w:rPr>
        <w:t>Виконавець не несе відповідальність за зміст тексту та форму бюлетеня, затвердженого Наглядовою Радою Замовника для голосування;</w:t>
      </w:r>
    </w:p>
    <w:p w14:paraId="304A6022" w14:textId="77777777" w:rsidR="00493A17" w:rsidRPr="00E16672" w:rsidRDefault="00493A17" w:rsidP="000D0438">
      <w:pPr>
        <w:pStyle w:val="aff5"/>
        <w:numPr>
          <w:ilvl w:val="1"/>
          <w:numId w:val="24"/>
        </w:numPr>
        <w:tabs>
          <w:tab w:val="left" w:pos="993"/>
        </w:tabs>
        <w:suppressAutoHyphens w:val="0"/>
        <w:snapToGrid w:val="0"/>
        <w:ind w:left="0" w:firstLine="709"/>
        <w:rPr>
          <w:rFonts w:ascii="Times New Roman" w:hAnsi="Times New Roman"/>
          <w:szCs w:val="20"/>
          <w:lang w:val="uk-UA"/>
        </w:rPr>
      </w:pPr>
      <w:r w:rsidRPr="00E16672">
        <w:rPr>
          <w:rFonts w:ascii="Times New Roman" w:hAnsi="Times New Roman"/>
          <w:szCs w:val="20"/>
          <w:lang w:val="uk-UA"/>
        </w:rPr>
        <w:t>Виконавець не несе відповідальність за визначенням Замовником дати переліку акціонерів, які мають брати участь у загальних зборах акціонерів Замовника.</w:t>
      </w:r>
    </w:p>
    <w:p w14:paraId="3056D45D" w14:textId="77777777" w:rsidR="00493A17" w:rsidRPr="00E16672" w:rsidRDefault="00493A17" w:rsidP="000D0438">
      <w:pPr>
        <w:pStyle w:val="aff5"/>
        <w:numPr>
          <w:ilvl w:val="1"/>
          <w:numId w:val="24"/>
        </w:numPr>
        <w:tabs>
          <w:tab w:val="left" w:pos="993"/>
        </w:tabs>
        <w:suppressAutoHyphens w:val="0"/>
        <w:snapToGrid w:val="0"/>
        <w:ind w:left="0" w:firstLine="709"/>
        <w:rPr>
          <w:rFonts w:ascii="Times New Roman" w:hAnsi="Times New Roman"/>
          <w:szCs w:val="20"/>
          <w:lang w:val="uk-UA"/>
        </w:rPr>
      </w:pPr>
      <w:r w:rsidRPr="00E16672">
        <w:rPr>
          <w:rFonts w:ascii="Times New Roman" w:hAnsi="Times New Roman"/>
          <w:szCs w:val="20"/>
          <w:lang w:val="uk-UA"/>
        </w:rPr>
        <w:t>Виконавець не несе відповідальність за відповідність вимогам чинного законодавства України, за зміст та достовірність інформації, наведеній у переліку акціонерів, які мають право брати участь у загальних зборах Замовника.</w:t>
      </w:r>
    </w:p>
    <w:p w14:paraId="0E1DCFBA" w14:textId="77777777" w:rsidR="00493A17" w:rsidRPr="00E16672" w:rsidRDefault="00493A17" w:rsidP="000D0438">
      <w:pPr>
        <w:pStyle w:val="aff5"/>
        <w:numPr>
          <w:ilvl w:val="1"/>
          <w:numId w:val="24"/>
        </w:numPr>
        <w:tabs>
          <w:tab w:val="left" w:pos="993"/>
        </w:tabs>
        <w:suppressAutoHyphens w:val="0"/>
        <w:snapToGrid w:val="0"/>
        <w:ind w:left="0" w:firstLine="709"/>
        <w:rPr>
          <w:rFonts w:ascii="Times New Roman" w:hAnsi="Times New Roman"/>
          <w:szCs w:val="20"/>
          <w:lang w:val="uk-UA"/>
        </w:rPr>
      </w:pPr>
      <w:r w:rsidRPr="00E16672">
        <w:rPr>
          <w:rFonts w:ascii="Times New Roman" w:hAnsi="Times New Roman"/>
          <w:szCs w:val="20"/>
          <w:lang w:val="uk-UA"/>
        </w:rPr>
        <w:t>Виконавець не несе відповідальність за неналежне оформлення акціонером (представником акціонера) бюлетеня голосування (відсутність підпису та інші недоліки бюлетеня), які призводять до його недійсності.</w:t>
      </w:r>
    </w:p>
    <w:p w14:paraId="28B6C12D" w14:textId="77777777" w:rsidR="00493A17" w:rsidRPr="00E16672" w:rsidRDefault="00493A17" w:rsidP="000D0438">
      <w:pPr>
        <w:pStyle w:val="aff5"/>
        <w:numPr>
          <w:ilvl w:val="1"/>
          <w:numId w:val="24"/>
        </w:numPr>
        <w:tabs>
          <w:tab w:val="left" w:pos="993"/>
        </w:tabs>
        <w:suppressAutoHyphens w:val="0"/>
        <w:snapToGrid w:val="0"/>
        <w:ind w:left="0" w:firstLine="709"/>
        <w:rPr>
          <w:rFonts w:ascii="Times New Roman" w:hAnsi="Times New Roman"/>
          <w:szCs w:val="20"/>
          <w:lang w:val="uk-UA"/>
        </w:rPr>
      </w:pPr>
      <w:r w:rsidRPr="00E16672">
        <w:rPr>
          <w:rFonts w:ascii="Times New Roman" w:hAnsi="Times New Roman"/>
          <w:szCs w:val="20"/>
          <w:lang w:val="uk-UA"/>
        </w:rPr>
        <w:t>Виконавець не несе відповідальність за порушення терміну розсилки повідомлень про результати голосування на загальних зборах акціонерів Замовника у разі невиконання Замовником зобов’язань за цим Договором.</w:t>
      </w:r>
    </w:p>
    <w:p w14:paraId="061DB471" w14:textId="77777777" w:rsidR="00493A17" w:rsidRPr="00E16672" w:rsidRDefault="00493A17" w:rsidP="000D0438">
      <w:pPr>
        <w:pStyle w:val="aff5"/>
        <w:numPr>
          <w:ilvl w:val="1"/>
          <w:numId w:val="24"/>
        </w:numPr>
        <w:tabs>
          <w:tab w:val="left" w:pos="993"/>
        </w:tabs>
        <w:suppressAutoHyphens w:val="0"/>
        <w:snapToGrid w:val="0"/>
        <w:ind w:left="0" w:firstLine="709"/>
        <w:rPr>
          <w:rFonts w:ascii="Times New Roman" w:hAnsi="Times New Roman"/>
          <w:szCs w:val="20"/>
          <w:lang w:val="uk-UA"/>
        </w:rPr>
      </w:pPr>
      <w:r w:rsidRPr="00E16672">
        <w:rPr>
          <w:rFonts w:ascii="Times New Roman" w:hAnsi="Times New Roman"/>
          <w:szCs w:val="20"/>
          <w:lang w:val="uk-UA"/>
        </w:rPr>
        <w:t>Виконавець не несе відповідальність за зміст персонального повідомлення про результати голосування на загальних зборах акціонерів Замовника, які надані Замовником для розсилки.</w:t>
      </w:r>
    </w:p>
    <w:p w14:paraId="3CA00567" w14:textId="77777777" w:rsidR="00493A17" w:rsidRPr="00E16672" w:rsidRDefault="00493A17" w:rsidP="000D0438">
      <w:pPr>
        <w:pStyle w:val="aff5"/>
        <w:numPr>
          <w:ilvl w:val="1"/>
          <w:numId w:val="24"/>
        </w:numPr>
        <w:tabs>
          <w:tab w:val="left" w:pos="993"/>
        </w:tabs>
        <w:suppressAutoHyphens w:val="0"/>
        <w:snapToGrid w:val="0"/>
        <w:ind w:left="0" w:firstLine="709"/>
        <w:rPr>
          <w:rFonts w:ascii="Times New Roman" w:hAnsi="Times New Roman"/>
          <w:szCs w:val="20"/>
          <w:lang w:val="uk-UA"/>
        </w:rPr>
      </w:pPr>
      <w:r w:rsidRPr="00E16672">
        <w:rPr>
          <w:rFonts w:ascii="Times New Roman" w:hAnsi="Times New Roman"/>
          <w:szCs w:val="20"/>
          <w:lang w:val="uk-UA"/>
        </w:rPr>
        <w:t>Виконавець не несе відповідальність за відповідність вимогам чинного законодавства України, за зміст та достовірність інформації, наведеній у переліку акціонерів, наданому для проведення персонального повідомлення акціонерів про підсумки голосування на загальних зборах акціонерів Замовника.</w:t>
      </w:r>
    </w:p>
    <w:p w14:paraId="61FC1CA7" w14:textId="77777777" w:rsidR="00493A17" w:rsidRPr="00E16672" w:rsidRDefault="00493A17" w:rsidP="00493A17">
      <w:pPr>
        <w:pStyle w:val="aff5"/>
        <w:tabs>
          <w:tab w:val="left" w:pos="993"/>
        </w:tabs>
        <w:snapToGrid w:val="0"/>
        <w:ind w:left="709"/>
        <w:rPr>
          <w:rFonts w:ascii="Times New Roman" w:hAnsi="Times New Roman"/>
          <w:szCs w:val="20"/>
          <w:lang w:val="uk-UA"/>
        </w:rPr>
      </w:pPr>
    </w:p>
    <w:p w14:paraId="1FE42383" w14:textId="77777777" w:rsidR="00493A17" w:rsidRPr="00E16672" w:rsidRDefault="00493A17" w:rsidP="00493A17">
      <w:pPr>
        <w:pStyle w:val="3a"/>
        <w:widowControl w:val="0"/>
        <w:spacing w:after="0"/>
        <w:rPr>
          <w:b/>
          <w:sz w:val="10"/>
          <w:szCs w:val="10"/>
          <w:lang w:val="uk-UA"/>
        </w:rPr>
      </w:pPr>
    </w:p>
    <w:p w14:paraId="0E332133" w14:textId="77777777" w:rsidR="00493A17" w:rsidRPr="00E16672" w:rsidRDefault="00493A17" w:rsidP="00493A17">
      <w:pPr>
        <w:widowControl w:val="0"/>
        <w:jc w:val="center"/>
        <w:rPr>
          <w:rFonts w:ascii="Times New Roman" w:hAnsi="Times New Roman"/>
          <w:b/>
          <w:lang w:val="uk-UA"/>
        </w:rPr>
      </w:pPr>
      <w:r w:rsidRPr="00E16672">
        <w:rPr>
          <w:rFonts w:ascii="Times New Roman" w:hAnsi="Times New Roman"/>
          <w:b/>
          <w:lang w:val="uk-UA"/>
        </w:rPr>
        <w:t>V. ВИРІШЕННЯ СПОРІВ</w:t>
      </w:r>
    </w:p>
    <w:p w14:paraId="5A8D5560" w14:textId="77777777" w:rsidR="00493A17" w:rsidRPr="00E16672" w:rsidRDefault="00493A17" w:rsidP="00493A17">
      <w:pPr>
        <w:widowControl w:val="0"/>
        <w:ind w:right="-1" w:firstLine="720"/>
        <w:rPr>
          <w:rFonts w:ascii="Times New Roman" w:hAnsi="Times New Roman"/>
          <w:lang w:val="uk-UA"/>
        </w:rPr>
      </w:pPr>
      <w:r w:rsidRPr="00E16672">
        <w:rPr>
          <w:rFonts w:ascii="Times New Roman" w:hAnsi="Times New Roman"/>
          <w:lang w:val="uk-UA"/>
        </w:rPr>
        <w:t>5.1. Усі спори, які пов`язані з виконанням умов цього Договору, розв`язуються шляхом переговорів між Сторонами.</w:t>
      </w:r>
    </w:p>
    <w:p w14:paraId="7B113863" w14:textId="77777777" w:rsidR="00493A17" w:rsidRPr="00E16672" w:rsidRDefault="00493A17" w:rsidP="00493A17">
      <w:pPr>
        <w:widowControl w:val="0"/>
        <w:ind w:right="-1" w:firstLine="720"/>
        <w:rPr>
          <w:rFonts w:ascii="Times New Roman" w:hAnsi="Times New Roman"/>
          <w:lang w:val="uk-UA"/>
        </w:rPr>
      </w:pPr>
      <w:r w:rsidRPr="00E16672">
        <w:rPr>
          <w:rFonts w:ascii="Times New Roman" w:hAnsi="Times New Roman"/>
          <w:lang w:val="uk-UA"/>
        </w:rPr>
        <w:t>5.2. У випадку неможливості досягнення домовленості, спір передається на розгляд згідно з чинним законодавством в Господарський суд.</w:t>
      </w:r>
    </w:p>
    <w:p w14:paraId="5EAD191C" w14:textId="77777777" w:rsidR="00493A17" w:rsidRPr="00E16672" w:rsidRDefault="00493A17" w:rsidP="00493A17">
      <w:pPr>
        <w:widowControl w:val="0"/>
        <w:jc w:val="center"/>
        <w:rPr>
          <w:rFonts w:ascii="Times New Roman" w:hAnsi="Times New Roman"/>
          <w:b/>
          <w:lang w:val="uk-UA"/>
        </w:rPr>
      </w:pPr>
    </w:p>
    <w:p w14:paraId="31A93DC9" w14:textId="77777777" w:rsidR="00493A17" w:rsidRPr="00E16672" w:rsidRDefault="00493A17" w:rsidP="00493A17">
      <w:pPr>
        <w:widowControl w:val="0"/>
        <w:jc w:val="center"/>
        <w:rPr>
          <w:rFonts w:ascii="Times New Roman" w:hAnsi="Times New Roman"/>
          <w:b/>
          <w:lang w:val="uk-UA"/>
        </w:rPr>
      </w:pPr>
      <w:r w:rsidRPr="00E16672">
        <w:rPr>
          <w:rFonts w:ascii="Times New Roman" w:hAnsi="Times New Roman"/>
          <w:b/>
          <w:lang w:val="uk-UA"/>
        </w:rPr>
        <w:lastRenderedPageBreak/>
        <w:t>VI. ІНШІ УМОВИ</w:t>
      </w:r>
    </w:p>
    <w:p w14:paraId="44B4101A" w14:textId="77777777" w:rsidR="00493A17" w:rsidRPr="00E16672" w:rsidRDefault="00493A17" w:rsidP="00493A17">
      <w:pPr>
        <w:widowControl w:val="0"/>
        <w:ind w:right="-1" w:firstLine="720"/>
        <w:rPr>
          <w:rFonts w:ascii="Times New Roman" w:hAnsi="Times New Roman"/>
          <w:lang w:val="uk-UA"/>
        </w:rPr>
      </w:pPr>
      <w:r w:rsidRPr="00E16672">
        <w:rPr>
          <w:rFonts w:ascii="Times New Roman" w:hAnsi="Times New Roman"/>
          <w:lang w:val="uk-UA"/>
        </w:rPr>
        <w:t>6.1. Цей Договір набуває чинності з моменту його підписання та діє до виконання Сторонами своїх зобов’язань.</w:t>
      </w:r>
    </w:p>
    <w:p w14:paraId="4ADA853E" w14:textId="77777777" w:rsidR="00493A17" w:rsidRPr="00E16672" w:rsidRDefault="00493A17" w:rsidP="00493A17">
      <w:pPr>
        <w:widowControl w:val="0"/>
        <w:ind w:right="-1" w:firstLine="720"/>
        <w:rPr>
          <w:rFonts w:ascii="Times New Roman" w:hAnsi="Times New Roman"/>
          <w:lang w:val="uk-UA"/>
        </w:rPr>
      </w:pPr>
      <w:r w:rsidRPr="00E16672">
        <w:rPr>
          <w:rFonts w:ascii="Times New Roman" w:hAnsi="Times New Roman"/>
          <w:lang w:val="uk-UA"/>
        </w:rPr>
        <w:t>6.2. Сторони підтверджують, що до укладання цього Договору Замовнику була надана  інформація про фінансову послугу, що пропонується надати клієнту, із зазначенням вартості цієї послуги для клієнта, якщо інше не передбачено законами з питань регулювання окремих ринків фінансових послуг; умови надання додаткових фінансових послуг та їх вартість; порядок сплати податків і зборів за рахунок фізичної особи в результаті отримання фінансової послуги; правові наслідки та порядок здійснення розрахунків з фізичною особою внаслідок дострокового припинення надання фінансової послуги; механізм захисту фінансовою установою прав споживачів та порядок урегулювання спірних питань, що виникають у процесі надання фінансової послуги; реквізити органу, який здійснює державне регулювання ринків фінансових послуг (адреса, номер телефону тощо), а також реквізити органів з питань захисту прав споживачів; розмір винагороди фінансової установи у разі, коли вона пропонує фінансові послуги, що надаються іншими фінансовими установами.</w:t>
      </w:r>
    </w:p>
    <w:p w14:paraId="3C368686" w14:textId="77777777" w:rsidR="00493A17" w:rsidRPr="00E16672" w:rsidRDefault="00493A17" w:rsidP="00493A17">
      <w:pPr>
        <w:widowControl w:val="0"/>
        <w:ind w:right="-1" w:firstLine="720"/>
        <w:rPr>
          <w:rFonts w:ascii="Times New Roman" w:hAnsi="Times New Roman"/>
          <w:lang w:val="uk-UA"/>
        </w:rPr>
      </w:pPr>
      <w:r w:rsidRPr="00E16672">
        <w:rPr>
          <w:rFonts w:ascii="Times New Roman" w:hAnsi="Times New Roman"/>
          <w:lang w:val="uk-UA"/>
        </w:rPr>
        <w:t>6.3. Цей Договір складений у двох примірниках, які мають однакову юридичну силу, один - для Замовника, а другий – для Виконавця.</w:t>
      </w:r>
    </w:p>
    <w:p w14:paraId="12D384D8" w14:textId="77777777" w:rsidR="00493A17" w:rsidRPr="00E16672" w:rsidRDefault="00493A17" w:rsidP="00493A17">
      <w:pPr>
        <w:widowControl w:val="0"/>
        <w:ind w:right="-1" w:firstLine="720"/>
        <w:rPr>
          <w:rFonts w:ascii="Times New Roman" w:hAnsi="Times New Roman"/>
          <w:lang w:val="uk-UA"/>
        </w:rPr>
      </w:pPr>
      <w:r w:rsidRPr="00E16672">
        <w:rPr>
          <w:rFonts w:ascii="Times New Roman" w:hAnsi="Times New Roman"/>
          <w:lang w:val="uk-UA"/>
        </w:rPr>
        <w:t xml:space="preserve">6.4. Дію цього Договору може бути припинено за узгодженням сторін згідно з чинним законодавством України. </w:t>
      </w:r>
    </w:p>
    <w:p w14:paraId="579C14DB" w14:textId="77777777" w:rsidR="00493A17" w:rsidRPr="00E16672" w:rsidRDefault="00493A17" w:rsidP="00493A17">
      <w:pPr>
        <w:widowControl w:val="0"/>
        <w:ind w:right="-1" w:firstLine="720"/>
        <w:rPr>
          <w:rFonts w:ascii="Times New Roman" w:hAnsi="Times New Roman"/>
          <w:lang w:val="uk-UA"/>
        </w:rPr>
      </w:pPr>
    </w:p>
    <w:p w14:paraId="19D8ECDA" w14:textId="77777777" w:rsidR="006D2BB7" w:rsidRPr="00E16672" w:rsidRDefault="006D2BB7" w:rsidP="00493A17">
      <w:pPr>
        <w:ind w:firstLine="709"/>
        <w:jc w:val="center"/>
        <w:rPr>
          <w:rFonts w:ascii="Times New Roman" w:hAnsi="Times New Roman"/>
          <w:color w:val="000000"/>
          <w:lang w:val="uk-UA"/>
        </w:rPr>
      </w:pPr>
    </w:p>
    <w:p w14:paraId="32033220" w14:textId="77777777" w:rsidR="006D2BB7" w:rsidRPr="00E16672" w:rsidRDefault="006D2BB7" w:rsidP="006D2BB7">
      <w:pPr>
        <w:jc w:val="center"/>
        <w:rPr>
          <w:rFonts w:ascii="Times New Roman" w:hAnsi="Times New Roman"/>
          <w:b/>
          <w:bCs/>
          <w:color w:val="000000"/>
          <w:kern w:val="1"/>
          <w:szCs w:val="20"/>
          <w:lang w:val="uk-UA" w:eastAsia="hi-IN" w:bidi="hi-IN"/>
        </w:rPr>
      </w:pPr>
      <w:r w:rsidRPr="00E16672">
        <w:rPr>
          <w:rFonts w:ascii="Times New Roman" w:hAnsi="Times New Roman"/>
          <w:b/>
          <w:bCs/>
          <w:color w:val="000000"/>
          <w:szCs w:val="20"/>
          <w:lang w:val="uk-UA"/>
        </w:rPr>
        <w:t>VIІ.</w:t>
      </w:r>
      <w:r w:rsidRPr="00E16672">
        <w:rPr>
          <w:rFonts w:ascii="Times New Roman" w:hAnsi="Times New Roman"/>
          <w:b/>
          <w:bCs/>
          <w:color w:val="000000"/>
          <w:kern w:val="1"/>
          <w:szCs w:val="20"/>
          <w:lang w:val="uk-UA" w:eastAsia="hi-IN" w:bidi="hi-IN"/>
        </w:rPr>
        <w:t xml:space="preserve"> РЕКВІЗИТИ СТОРІН</w:t>
      </w:r>
    </w:p>
    <w:p w14:paraId="3FA6C1AD" w14:textId="77777777" w:rsidR="006D2BB7" w:rsidRPr="00E16672" w:rsidRDefault="006D2BB7" w:rsidP="006D2BB7">
      <w:pPr>
        <w:jc w:val="center"/>
        <w:rPr>
          <w:rFonts w:ascii="Times New Roman" w:hAnsi="Times New Roman"/>
          <w:color w:val="000000"/>
        </w:rPr>
      </w:pPr>
    </w:p>
    <w:tbl>
      <w:tblPr>
        <w:tblW w:w="10750" w:type="dxa"/>
        <w:tblInd w:w="208" w:type="dxa"/>
        <w:tblLayout w:type="fixed"/>
        <w:tblLook w:val="0000" w:firstRow="0" w:lastRow="0" w:firstColumn="0" w:lastColumn="0" w:noHBand="0" w:noVBand="0"/>
      </w:tblPr>
      <w:tblGrid>
        <w:gridCol w:w="2197"/>
        <w:gridCol w:w="714"/>
        <w:gridCol w:w="425"/>
        <w:gridCol w:w="1877"/>
        <w:gridCol w:w="262"/>
        <w:gridCol w:w="1972"/>
        <w:gridCol w:w="850"/>
        <w:gridCol w:w="426"/>
        <w:gridCol w:w="2027"/>
      </w:tblGrid>
      <w:tr w:rsidR="005D35AE" w:rsidRPr="00E16672" w14:paraId="43C4A3D3" w14:textId="77777777" w:rsidTr="00D43FD2">
        <w:trPr>
          <w:trHeight w:val="295"/>
        </w:trPr>
        <w:tc>
          <w:tcPr>
            <w:tcW w:w="5213" w:type="dxa"/>
            <w:gridSpan w:val="4"/>
            <w:shd w:val="clear" w:color="auto" w:fill="auto"/>
          </w:tcPr>
          <w:p w14:paraId="7B60F1B2" w14:textId="77777777" w:rsidR="005D35AE" w:rsidRPr="00E16672" w:rsidRDefault="005D35AE" w:rsidP="005D35AE">
            <w:pPr>
              <w:pStyle w:val="4"/>
              <w:keepNext w:val="0"/>
              <w:tabs>
                <w:tab w:val="clear" w:pos="-501"/>
                <w:tab w:val="left" w:pos="6"/>
              </w:tabs>
              <w:snapToGrid w:val="0"/>
              <w:ind w:left="6" w:firstLine="0"/>
              <w:jc w:val="left"/>
              <w:rPr>
                <w:rFonts w:ascii="Times New Roman" w:hAnsi="Times New Roman"/>
                <w:bCs/>
                <w:iCs/>
                <w:color w:val="000000"/>
                <w:sz w:val="18"/>
                <w:szCs w:val="18"/>
              </w:rPr>
            </w:pPr>
            <w:r w:rsidRPr="00E16672">
              <w:rPr>
                <w:rFonts w:ascii="Times New Roman" w:hAnsi="Times New Roman"/>
                <w:bCs/>
                <w:color w:val="000000"/>
                <w:sz w:val="18"/>
                <w:szCs w:val="18"/>
              </w:rPr>
              <w:t>Замовник:</w:t>
            </w:r>
          </w:p>
        </w:tc>
        <w:tc>
          <w:tcPr>
            <w:tcW w:w="262" w:type="dxa"/>
            <w:tcBorders>
              <w:left w:val="nil"/>
            </w:tcBorders>
            <w:shd w:val="clear" w:color="auto" w:fill="auto"/>
          </w:tcPr>
          <w:p w14:paraId="5125306D" w14:textId="77777777" w:rsidR="005D35AE" w:rsidRPr="00E16672" w:rsidRDefault="005D35AE" w:rsidP="005D35AE">
            <w:pPr>
              <w:snapToGrid w:val="0"/>
              <w:rPr>
                <w:rFonts w:ascii="Times New Roman" w:hAnsi="Times New Roman"/>
                <w:b/>
                <w:bCs/>
                <w:color w:val="000000"/>
                <w:sz w:val="18"/>
                <w:szCs w:val="18"/>
                <w:lang w:val="uk-UA"/>
              </w:rPr>
            </w:pPr>
          </w:p>
        </w:tc>
        <w:tc>
          <w:tcPr>
            <w:tcW w:w="5275" w:type="dxa"/>
            <w:gridSpan w:val="4"/>
            <w:shd w:val="clear" w:color="auto" w:fill="auto"/>
          </w:tcPr>
          <w:p w14:paraId="1ABF9BB1" w14:textId="77777777" w:rsidR="005D35AE" w:rsidRPr="00E16672" w:rsidRDefault="005D35AE" w:rsidP="005D35AE">
            <w:pPr>
              <w:snapToGrid w:val="0"/>
              <w:rPr>
                <w:rFonts w:ascii="Times New Roman" w:hAnsi="Times New Roman"/>
                <w:b/>
                <w:bCs/>
                <w:color w:val="000000"/>
                <w:sz w:val="18"/>
                <w:szCs w:val="18"/>
                <w:lang w:val="uk-UA"/>
              </w:rPr>
            </w:pPr>
            <w:r w:rsidRPr="00E16672">
              <w:rPr>
                <w:rFonts w:ascii="Times New Roman" w:hAnsi="Times New Roman"/>
                <w:color w:val="000000"/>
                <w:szCs w:val="20"/>
                <w:lang w:val="en-US"/>
              </w:rPr>
              <w:t xml:space="preserve"> </w:t>
            </w:r>
            <w:r w:rsidRPr="00E16672">
              <w:rPr>
                <w:rFonts w:ascii="Times New Roman" w:hAnsi="Times New Roman"/>
                <w:b/>
                <w:color w:val="000000"/>
                <w:szCs w:val="20"/>
                <w:lang w:val="uk-UA"/>
              </w:rPr>
              <w:t>Виконавець</w:t>
            </w:r>
            <w:r w:rsidRPr="00E16672">
              <w:rPr>
                <w:rFonts w:ascii="Times New Roman" w:hAnsi="Times New Roman"/>
                <w:b/>
                <w:color w:val="000000"/>
                <w:szCs w:val="20"/>
              </w:rPr>
              <w:t>:</w:t>
            </w:r>
          </w:p>
        </w:tc>
      </w:tr>
      <w:tr w:rsidR="00493A17" w:rsidRPr="00E16672" w14:paraId="03FFBE60" w14:textId="77777777" w:rsidTr="00D43FD2">
        <w:trPr>
          <w:trHeight w:val="182"/>
        </w:trPr>
        <w:tc>
          <w:tcPr>
            <w:tcW w:w="5213" w:type="dxa"/>
            <w:gridSpan w:val="4"/>
            <w:shd w:val="clear" w:color="auto" w:fill="auto"/>
          </w:tcPr>
          <w:p w14:paraId="69CDBD47" w14:textId="77777777" w:rsidR="00493A17" w:rsidRPr="00E16672" w:rsidRDefault="00493A17" w:rsidP="00493A17">
            <w:pPr>
              <w:snapToGrid w:val="0"/>
              <w:ind w:firstLine="6"/>
              <w:rPr>
                <w:rFonts w:ascii="Times New Roman" w:hAnsi="Times New Roman"/>
                <w:b/>
                <w:bCs/>
                <w:i/>
                <w:color w:val="000000"/>
                <w:sz w:val="18"/>
                <w:szCs w:val="18"/>
                <w:lang w:val="uk-UA"/>
              </w:rPr>
            </w:pPr>
            <w:proofErr w:type="spellStart"/>
            <w:r w:rsidRPr="00E16672">
              <w:rPr>
                <w:rFonts w:ascii="Times New Roman" w:hAnsi="Times New Roman"/>
                <w:b/>
                <w:i/>
                <w:color w:val="000000"/>
                <w:sz w:val="18"/>
                <w:szCs w:val="18"/>
              </w:rPr>
              <w:t>Повне</w:t>
            </w:r>
            <w:proofErr w:type="spellEnd"/>
            <w:r w:rsidRPr="00E16672">
              <w:rPr>
                <w:rFonts w:ascii="Times New Roman" w:hAnsi="Times New Roman"/>
                <w:b/>
                <w:i/>
                <w:color w:val="000000"/>
                <w:sz w:val="18"/>
                <w:szCs w:val="18"/>
              </w:rPr>
              <w:t xml:space="preserve"> </w:t>
            </w:r>
            <w:proofErr w:type="spellStart"/>
            <w:r w:rsidRPr="00E16672">
              <w:rPr>
                <w:rFonts w:ascii="Times New Roman" w:hAnsi="Times New Roman"/>
                <w:b/>
                <w:i/>
                <w:color w:val="000000"/>
                <w:sz w:val="18"/>
                <w:szCs w:val="18"/>
              </w:rPr>
              <w:t>найменування</w:t>
            </w:r>
            <w:proofErr w:type="spellEnd"/>
            <w:r w:rsidRPr="00E16672">
              <w:rPr>
                <w:rFonts w:ascii="Times New Roman" w:hAnsi="Times New Roman"/>
                <w:b/>
                <w:i/>
                <w:color w:val="000000"/>
                <w:sz w:val="18"/>
                <w:szCs w:val="18"/>
              </w:rPr>
              <w:t xml:space="preserve"> </w:t>
            </w:r>
          </w:p>
        </w:tc>
        <w:tc>
          <w:tcPr>
            <w:tcW w:w="262" w:type="dxa"/>
            <w:shd w:val="clear" w:color="auto" w:fill="auto"/>
          </w:tcPr>
          <w:p w14:paraId="14E32EA7" w14:textId="77777777" w:rsidR="00493A17" w:rsidRPr="00E16672" w:rsidRDefault="00493A17" w:rsidP="00493A17">
            <w:pPr>
              <w:snapToGrid w:val="0"/>
              <w:rPr>
                <w:rFonts w:ascii="Times New Roman" w:hAnsi="Times New Roman"/>
                <w:b/>
                <w:bCs/>
                <w:color w:val="000000"/>
                <w:sz w:val="18"/>
                <w:szCs w:val="18"/>
                <w:lang w:val="uk-UA"/>
              </w:rPr>
            </w:pPr>
          </w:p>
        </w:tc>
        <w:tc>
          <w:tcPr>
            <w:tcW w:w="5275" w:type="dxa"/>
            <w:gridSpan w:val="4"/>
            <w:shd w:val="clear" w:color="auto" w:fill="auto"/>
          </w:tcPr>
          <w:p w14:paraId="6A8178AF" w14:textId="77777777" w:rsidR="00493A17" w:rsidRPr="00E16672" w:rsidRDefault="00493A17" w:rsidP="00493A17">
            <w:pPr>
              <w:pStyle w:val="4"/>
              <w:tabs>
                <w:tab w:val="clear" w:pos="-501"/>
                <w:tab w:val="num" w:pos="0"/>
              </w:tabs>
              <w:snapToGrid w:val="0"/>
              <w:ind w:left="864"/>
              <w:jc w:val="both"/>
              <w:rPr>
                <w:rFonts w:ascii="Times New Roman" w:hAnsi="Times New Roman"/>
                <w:bCs/>
                <w:i/>
                <w:color w:val="000000"/>
                <w:sz w:val="18"/>
                <w:szCs w:val="18"/>
              </w:rPr>
            </w:pPr>
            <w:r w:rsidRPr="00E16672">
              <w:rPr>
                <w:rFonts w:ascii="Times New Roman" w:hAnsi="Times New Roman"/>
                <w:i/>
                <w:color w:val="000000"/>
                <w:sz w:val="18"/>
                <w:szCs w:val="18"/>
              </w:rPr>
              <w:t>Повне найменування</w:t>
            </w:r>
          </w:p>
        </w:tc>
      </w:tr>
      <w:tr w:rsidR="00493A17" w:rsidRPr="00E16672" w14:paraId="613BBE97" w14:textId="77777777" w:rsidTr="00D43FD2">
        <w:trPr>
          <w:trHeight w:val="527"/>
        </w:trPr>
        <w:tc>
          <w:tcPr>
            <w:tcW w:w="5213" w:type="dxa"/>
            <w:gridSpan w:val="4"/>
            <w:shd w:val="clear" w:color="auto" w:fill="auto"/>
          </w:tcPr>
          <w:p w14:paraId="05371277" w14:textId="77777777" w:rsidR="00493A17" w:rsidRPr="00E16672" w:rsidRDefault="00493A17" w:rsidP="00493A17">
            <w:pPr>
              <w:pStyle w:val="4"/>
              <w:keepNext w:val="0"/>
              <w:tabs>
                <w:tab w:val="clear" w:pos="-501"/>
                <w:tab w:val="left" w:pos="6"/>
              </w:tabs>
              <w:snapToGrid w:val="0"/>
              <w:ind w:left="6" w:firstLine="0"/>
              <w:jc w:val="left"/>
              <w:rPr>
                <w:rFonts w:ascii="Times New Roman" w:hAnsi="Times New Roman"/>
                <w:b w:val="0"/>
                <w:bCs/>
                <w:i/>
                <w:iCs/>
                <w:color w:val="000000"/>
                <w:sz w:val="18"/>
                <w:szCs w:val="18"/>
                <w:u w:val="single"/>
              </w:rPr>
            </w:pPr>
          </w:p>
        </w:tc>
        <w:tc>
          <w:tcPr>
            <w:tcW w:w="262" w:type="dxa"/>
            <w:shd w:val="clear" w:color="auto" w:fill="auto"/>
          </w:tcPr>
          <w:p w14:paraId="2CCC0B71" w14:textId="77777777" w:rsidR="00493A17" w:rsidRPr="00E16672" w:rsidRDefault="00493A17" w:rsidP="00493A17">
            <w:pPr>
              <w:snapToGrid w:val="0"/>
              <w:rPr>
                <w:rFonts w:ascii="Times New Roman" w:hAnsi="Times New Roman"/>
                <w:b/>
                <w:bCs/>
                <w:color w:val="000000"/>
                <w:sz w:val="18"/>
                <w:szCs w:val="18"/>
                <w:lang w:val="uk-UA"/>
              </w:rPr>
            </w:pPr>
          </w:p>
        </w:tc>
        <w:tc>
          <w:tcPr>
            <w:tcW w:w="5275" w:type="dxa"/>
            <w:gridSpan w:val="4"/>
            <w:shd w:val="clear" w:color="auto" w:fill="auto"/>
          </w:tcPr>
          <w:p w14:paraId="2ADFA7F9" w14:textId="77777777" w:rsidR="00493A17" w:rsidRPr="00E16672" w:rsidRDefault="00493A17" w:rsidP="00022F5F">
            <w:pPr>
              <w:snapToGrid w:val="0"/>
              <w:ind w:firstLine="0"/>
              <w:jc w:val="left"/>
              <w:rPr>
                <w:rFonts w:ascii="Times New Roman" w:hAnsi="Times New Roman"/>
                <w:sz w:val="18"/>
                <w:szCs w:val="18"/>
              </w:rPr>
            </w:pPr>
            <w:r w:rsidRPr="00E16672">
              <w:rPr>
                <w:rFonts w:ascii="Times New Roman" w:hAnsi="Times New Roman"/>
                <w:sz w:val="18"/>
                <w:szCs w:val="18"/>
              </w:rPr>
              <w:t xml:space="preserve">ТОВАРИСТВО З ОБМЕЖЕНОЮ ВІДПОВІДАЛЬНІСТЮ </w:t>
            </w:r>
            <w:r w:rsidR="00022F5F">
              <w:rPr>
                <w:rFonts w:ascii="Times New Roman" w:hAnsi="Times New Roman"/>
                <w:sz w:val="18"/>
                <w:szCs w:val="18"/>
              </w:rPr>
              <w:t>"</w:t>
            </w:r>
            <w:r w:rsidR="00E16672" w:rsidRPr="00E16672">
              <w:rPr>
                <w:rFonts w:ascii="Times New Roman" w:hAnsi="Times New Roman"/>
                <w:sz w:val="18"/>
                <w:szCs w:val="18"/>
              </w:rPr>
              <w:t>КОМЕКС ЦІННІ ПАПЕРИ</w:t>
            </w:r>
            <w:r w:rsidR="00022F5F">
              <w:rPr>
                <w:rFonts w:ascii="Times New Roman" w:hAnsi="Times New Roman"/>
                <w:sz w:val="18"/>
                <w:szCs w:val="18"/>
              </w:rPr>
              <w:t>"</w:t>
            </w:r>
          </w:p>
        </w:tc>
      </w:tr>
      <w:tr w:rsidR="00493A17" w:rsidRPr="00E16672" w14:paraId="2009340E" w14:textId="77777777" w:rsidTr="00D43FD2">
        <w:tc>
          <w:tcPr>
            <w:tcW w:w="5213" w:type="dxa"/>
            <w:gridSpan w:val="4"/>
            <w:shd w:val="clear" w:color="auto" w:fill="auto"/>
          </w:tcPr>
          <w:p w14:paraId="4C0B9D77" w14:textId="77777777" w:rsidR="00493A17" w:rsidRPr="00E16672" w:rsidRDefault="00493A17" w:rsidP="00493A17">
            <w:pPr>
              <w:pStyle w:val="3"/>
              <w:numPr>
                <w:ilvl w:val="0"/>
                <w:numId w:val="0"/>
              </w:numPr>
              <w:snapToGrid w:val="0"/>
              <w:spacing w:before="0" w:after="0"/>
              <w:ind w:right="115"/>
              <w:rPr>
                <w:rFonts w:ascii="Times New Roman" w:hAnsi="Times New Roman" w:cs="Times New Roman"/>
                <w:i/>
                <w:color w:val="000000"/>
                <w:sz w:val="18"/>
                <w:szCs w:val="18"/>
              </w:rPr>
            </w:pPr>
          </w:p>
          <w:p w14:paraId="74A4CCAC" w14:textId="77777777" w:rsidR="00493A17" w:rsidRPr="00E16672" w:rsidRDefault="00493A17" w:rsidP="00493A17">
            <w:pPr>
              <w:pStyle w:val="3"/>
              <w:numPr>
                <w:ilvl w:val="0"/>
                <w:numId w:val="0"/>
              </w:numPr>
              <w:snapToGrid w:val="0"/>
              <w:spacing w:before="0" w:after="0"/>
              <w:ind w:right="115"/>
              <w:rPr>
                <w:rFonts w:ascii="Times New Roman" w:hAnsi="Times New Roman" w:cs="Times New Roman"/>
                <w:i/>
                <w:color w:val="000000"/>
                <w:sz w:val="18"/>
                <w:szCs w:val="18"/>
              </w:rPr>
            </w:pPr>
            <w:r w:rsidRPr="00E16672">
              <w:rPr>
                <w:rFonts w:ascii="Times New Roman" w:hAnsi="Times New Roman" w:cs="Times New Roman"/>
                <w:i/>
                <w:color w:val="000000"/>
                <w:sz w:val="18"/>
                <w:szCs w:val="18"/>
              </w:rPr>
              <w:t>Ідентифікаційний код юридичної особи</w:t>
            </w:r>
          </w:p>
          <w:p w14:paraId="714CD8A5" w14:textId="77777777" w:rsidR="00493A17" w:rsidRPr="00E16672" w:rsidRDefault="00493A17" w:rsidP="00493A17">
            <w:pPr>
              <w:snapToGrid w:val="0"/>
              <w:ind w:firstLine="6"/>
              <w:rPr>
                <w:rFonts w:ascii="Times New Roman" w:hAnsi="Times New Roman"/>
                <w:b/>
                <w:i/>
                <w:color w:val="000000"/>
                <w:sz w:val="18"/>
                <w:szCs w:val="18"/>
                <w:lang w:val="uk-UA"/>
              </w:rPr>
            </w:pPr>
            <w:r w:rsidRPr="00E16672">
              <w:rPr>
                <w:rFonts w:ascii="Times New Roman" w:hAnsi="Times New Roman"/>
                <w:b/>
                <w:i/>
                <w:color w:val="000000"/>
                <w:sz w:val="18"/>
                <w:szCs w:val="18"/>
              </w:rPr>
              <w:t>(код за ЄДРПОУ)</w:t>
            </w:r>
            <w:r w:rsidRPr="00E16672">
              <w:rPr>
                <w:rFonts w:ascii="Times New Roman" w:hAnsi="Times New Roman"/>
                <w:i/>
                <w:sz w:val="18"/>
              </w:rPr>
              <w:t xml:space="preserve"> </w:t>
            </w:r>
          </w:p>
        </w:tc>
        <w:tc>
          <w:tcPr>
            <w:tcW w:w="262" w:type="dxa"/>
            <w:shd w:val="clear" w:color="auto" w:fill="auto"/>
          </w:tcPr>
          <w:p w14:paraId="2C201D04" w14:textId="77777777" w:rsidR="00493A17" w:rsidRPr="00E16672" w:rsidRDefault="00493A17" w:rsidP="00493A17">
            <w:pPr>
              <w:snapToGrid w:val="0"/>
              <w:rPr>
                <w:rFonts w:ascii="Times New Roman" w:hAnsi="Times New Roman"/>
                <w:b/>
                <w:bCs/>
                <w:color w:val="000000"/>
                <w:sz w:val="18"/>
                <w:szCs w:val="18"/>
                <w:lang w:val="uk-UA"/>
              </w:rPr>
            </w:pPr>
          </w:p>
        </w:tc>
        <w:tc>
          <w:tcPr>
            <w:tcW w:w="5275" w:type="dxa"/>
            <w:gridSpan w:val="4"/>
            <w:shd w:val="clear" w:color="auto" w:fill="auto"/>
          </w:tcPr>
          <w:p w14:paraId="6705EBA8" w14:textId="77777777" w:rsidR="00493A17" w:rsidRPr="00E16672" w:rsidRDefault="00493A17" w:rsidP="00493A17">
            <w:pPr>
              <w:pStyle w:val="3"/>
              <w:numPr>
                <w:ilvl w:val="0"/>
                <w:numId w:val="0"/>
              </w:numPr>
              <w:snapToGrid w:val="0"/>
              <w:spacing w:before="0" w:after="0"/>
              <w:ind w:left="15" w:right="219"/>
              <w:rPr>
                <w:rFonts w:ascii="Times New Roman" w:hAnsi="Times New Roman" w:cs="Times New Roman"/>
                <w:i/>
                <w:color w:val="000000"/>
                <w:sz w:val="18"/>
                <w:szCs w:val="18"/>
              </w:rPr>
            </w:pPr>
          </w:p>
          <w:p w14:paraId="692E77A0" w14:textId="77777777" w:rsidR="00493A17" w:rsidRPr="00E16672" w:rsidRDefault="00493A17" w:rsidP="00493A17">
            <w:pPr>
              <w:pStyle w:val="3"/>
              <w:numPr>
                <w:ilvl w:val="0"/>
                <w:numId w:val="0"/>
              </w:numPr>
              <w:snapToGrid w:val="0"/>
              <w:spacing w:before="0" w:after="0"/>
              <w:ind w:left="15" w:right="219"/>
              <w:rPr>
                <w:rFonts w:ascii="Times New Roman" w:hAnsi="Times New Roman" w:cs="Times New Roman"/>
                <w:i/>
                <w:color w:val="000000"/>
                <w:sz w:val="18"/>
                <w:szCs w:val="18"/>
              </w:rPr>
            </w:pPr>
            <w:r w:rsidRPr="00E16672">
              <w:rPr>
                <w:rFonts w:ascii="Times New Roman" w:hAnsi="Times New Roman" w:cs="Times New Roman"/>
                <w:i/>
                <w:color w:val="000000"/>
                <w:sz w:val="18"/>
                <w:szCs w:val="18"/>
              </w:rPr>
              <w:t>Ідентифікаційний код юридичної особи</w:t>
            </w:r>
          </w:p>
          <w:p w14:paraId="36B02F09" w14:textId="77777777" w:rsidR="00493A17" w:rsidRPr="00E16672" w:rsidRDefault="00493A17" w:rsidP="00493A17">
            <w:pPr>
              <w:pStyle w:val="3"/>
              <w:tabs>
                <w:tab w:val="clear" w:pos="-501"/>
                <w:tab w:val="num" w:pos="0"/>
              </w:tabs>
              <w:snapToGrid w:val="0"/>
              <w:spacing w:before="0"/>
              <w:ind w:left="720"/>
              <w:jc w:val="left"/>
              <w:rPr>
                <w:rFonts w:ascii="Times New Roman" w:hAnsi="Times New Roman" w:cs="Times New Roman"/>
                <w:sz w:val="18"/>
                <w:szCs w:val="18"/>
              </w:rPr>
            </w:pPr>
            <w:r w:rsidRPr="00E16672">
              <w:rPr>
                <w:rFonts w:ascii="Times New Roman" w:hAnsi="Times New Roman" w:cs="Times New Roman"/>
                <w:b w:val="0"/>
                <w:i/>
                <w:color w:val="000000"/>
                <w:sz w:val="18"/>
                <w:szCs w:val="18"/>
              </w:rPr>
              <w:t>(код за ЄДРПОУ)</w:t>
            </w:r>
          </w:p>
        </w:tc>
      </w:tr>
      <w:tr w:rsidR="00493A17" w:rsidRPr="00E16672" w14:paraId="37310FA1" w14:textId="77777777" w:rsidTr="00D43FD2">
        <w:tc>
          <w:tcPr>
            <w:tcW w:w="5213" w:type="dxa"/>
            <w:gridSpan w:val="4"/>
            <w:shd w:val="clear" w:color="auto" w:fill="auto"/>
          </w:tcPr>
          <w:p w14:paraId="1C1EB104" w14:textId="77777777" w:rsidR="00493A17" w:rsidRPr="00E16672" w:rsidRDefault="00493A17" w:rsidP="00493A17">
            <w:pPr>
              <w:snapToGrid w:val="0"/>
              <w:ind w:firstLine="6"/>
              <w:rPr>
                <w:rFonts w:ascii="Times New Roman" w:hAnsi="Times New Roman"/>
                <w:b/>
                <w:i/>
                <w:iCs/>
                <w:color w:val="000000"/>
                <w:sz w:val="18"/>
                <w:szCs w:val="18"/>
                <w:u w:val="single"/>
                <w:lang w:val="uk-UA"/>
              </w:rPr>
            </w:pPr>
          </w:p>
        </w:tc>
        <w:tc>
          <w:tcPr>
            <w:tcW w:w="262" w:type="dxa"/>
            <w:shd w:val="clear" w:color="auto" w:fill="auto"/>
          </w:tcPr>
          <w:p w14:paraId="60799535" w14:textId="77777777" w:rsidR="00493A17" w:rsidRPr="00E16672" w:rsidRDefault="00493A17" w:rsidP="00493A17">
            <w:pPr>
              <w:snapToGrid w:val="0"/>
              <w:rPr>
                <w:rFonts w:ascii="Times New Roman" w:hAnsi="Times New Roman"/>
                <w:b/>
                <w:bCs/>
                <w:color w:val="000000"/>
                <w:sz w:val="18"/>
                <w:szCs w:val="18"/>
                <w:lang w:val="uk-UA"/>
              </w:rPr>
            </w:pPr>
          </w:p>
        </w:tc>
        <w:tc>
          <w:tcPr>
            <w:tcW w:w="5275" w:type="dxa"/>
            <w:gridSpan w:val="4"/>
            <w:shd w:val="clear" w:color="auto" w:fill="auto"/>
          </w:tcPr>
          <w:p w14:paraId="335DF948" w14:textId="77777777" w:rsidR="00493A17" w:rsidRPr="00E16672" w:rsidRDefault="00E16672" w:rsidP="00493A17">
            <w:pPr>
              <w:pStyle w:val="3"/>
              <w:tabs>
                <w:tab w:val="clear" w:pos="-501"/>
                <w:tab w:val="num" w:pos="0"/>
              </w:tabs>
              <w:snapToGrid w:val="0"/>
              <w:spacing w:before="0"/>
              <w:ind w:left="720"/>
              <w:jc w:val="left"/>
              <w:rPr>
                <w:rFonts w:ascii="Times New Roman" w:hAnsi="Times New Roman" w:cs="Times New Roman"/>
                <w:b w:val="0"/>
                <w:bCs w:val="0"/>
                <w:sz w:val="18"/>
                <w:szCs w:val="18"/>
              </w:rPr>
            </w:pPr>
            <w:r w:rsidRPr="00E16672">
              <w:rPr>
                <w:rFonts w:ascii="Times New Roman" w:hAnsi="Times New Roman" w:cs="Times New Roman"/>
                <w:b w:val="0"/>
                <w:bCs w:val="0"/>
                <w:color w:val="000000"/>
                <w:sz w:val="18"/>
                <w:szCs w:val="18"/>
              </w:rPr>
              <w:t>33153077</w:t>
            </w:r>
          </w:p>
        </w:tc>
      </w:tr>
      <w:tr w:rsidR="00493A17" w:rsidRPr="00E16672" w14:paraId="0B46D5D8" w14:textId="77777777" w:rsidTr="00D43FD2">
        <w:tc>
          <w:tcPr>
            <w:tcW w:w="5213" w:type="dxa"/>
            <w:gridSpan w:val="4"/>
            <w:shd w:val="clear" w:color="auto" w:fill="auto"/>
          </w:tcPr>
          <w:p w14:paraId="70317079" w14:textId="77777777" w:rsidR="00493A17" w:rsidRPr="00E16672" w:rsidRDefault="00493A17" w:rsidP="00493A17">
            <w:pPr>
              <w:pStyle w:val="4"/>
              <w:keepNext w:val="0"/>
              <w:numPr>
                <w:ilvl w:val="0"/>
                <w:numId w:val="0"/>
              </w:numPr>
              <w:snapToGrid w:val="0"/>
              <w:ind w:left="5" w:right="-8" w:hanging="13"/>
              <w:jc w:val="left"/>
              <w:rPr>
                <w:rFonts w:ascii="Times New Roman" w:hAnsi="Times New Roman"/>
                <w:i/>
                <w:iCs/>
                <w:color w:val="000000"/>
                <w:sz w:val="18"/>
                <w:szCs w:val="18"/>
              </w:rPr>
            </w:pPr>
          </w:p>
          <w:p w14:paraId="33B4BBC2" w14:textId="77777777" w:rsidR="00493A17" w:rsidRPr="00E16672" w:rsidRDefault="00493A17" w:rsidP="00493A17">
            <w:pPr>
              <w:pStyle w:val="4"/>
              <w:keepNext w:val="0"/>
              <w:tabs>
                <w:tab w:val="clear" w:pos="-501"/>
                <w:tab w:val="left" w:pos="6"/>
              </w:tabs>
              <w:snapToGrid w:val="0"/>
              <w:ind w:left="6" w:firstLine="0"/>
              <w:jc w:val="left"/>
              <w:rPr>
                <w:rFonts w:ascii="Times New Roman" w:hAnsi="Times New Roman"/>
                <w:i/>
                <w:iCs/>
                <w:color w:val="000000"/>
                <w:sz w:val="18"/>
                <w:szCs w:val="18"/>
              </w:rPr>
            </w:pPr>
            <w:r w:rsidRPr="00E16672">
              <w:rPr>
                <w:rFonts w:ascii="Times New Roman" w:hAnsi="Times New Roman"/>
                <w:i/>
                <w:iCs/>
                <w:color w:val="000000"/>
                <w:sz w:val="18"/>
                <w:szCs w:val="18"/>
              </w:rPr>
              <w:t>Місцезнаходження</w:t>
            </w:r>
          </w:p>
        </w:tc>
        <w:tc>
          <w:tcPr>
            <w:tcW w:w="262" w:type="dxa"/>
            <w:shd w:val="clear" w:color="auto" w:fill="auto"/>
          </w:tcPr>
          <w:p w14:paraId="3793C73C" w14:textId="77777777" w:rsidR="00493A17" w:rsidRPr="00E16672" w:rsidRDefault="00493A17" w:rsidP="00493A17">
            <w:pPr>
              <w:snapToGrid w:val="0"/>
              <w:rPr>
                <w:rFonts w:ascii="Times New Roman" w:hAnsi="Times New Roman"/>
                <w:b/>
                <w:bCs/>
                <w:color w:val="000000"/>
                <w:sz w:val="18"/>
                <w:szCs w:val="18"/>
                <w:lang w:val="uk-UA"/>
              </w:rPr>
            </w:pPr>
          </w:p>
        </w:tc>
        <w:tc>
          <w:tcPr>
            <w:tcW w:w="5275" w:type="dxa"/>
            <w:gridSpan w:val="4"/>
            <w:shd w:val="clear" w:color="auto" w:fill="auto"/>
          </w:tcPr>
          <w:p w14:paraId="3B4F26C2" w14:textId="77777777" w:rsidR="00493A17" w:rsidRPr="00E16672" w:rsidRDefault="00493A17" w:rsidP="00493A17">
            <w:pPr>
              <w:pStyle w:val="4"/>
              <w:keepNext w:val="0"/>
              <w:numPr>
                <w:ilvl w:val="0"/>
                <w:numId w:val="0"/>
              </w:numPr>
              <w:tabs>
                <w:tab w:val="left" w:pos="5640"/>
              </w:tabs>
              <w:snapToGrid w:val="0"/>
              <w:ind w:right="105"/>
              <w:jc w:val="left"/>
              <w:rPr>
                <w:rFonts w:ascii="Times New Roman" w:hAnsi="Times New Roman"/>
                <w:i/>
                <w:iCs/>
                <w:color w:val="000000"/>
                <w:sz w:val="18"/>
                <w:szCs w:val="18"/>
              </w:rPr>
            </w:pPr>
          </w:p>
          <w:p w14:paraId="668EB1C6" w14:textId="77777777" w:rsidR="00493A17" w:rsidRPr="00E16672" w:rsidRDefault="00493A17" w:rsidP="00493A17">
            <w:pPr>
              <w:pStyle w:val="4"/>
              <w:keepNext w:val="0"/>
              <w:tabs>
                <w:tab w:val="clear" w:pos="-501"/>
                <w:tab w:val="num" w:pos="0"/>
              </w:tabs>
              <w:snapToGrid w:val="0"/>
              <w:ind w:left="864"/>
              <w:jc w:val="left"/>
              <w:rPr>
                <w:rFonts w:ascii="Times New Roman" w:hAnsi="Times New Roman"/>
                <w:i/>
                <w:iCs/>
                <w:sz w:val="18"/>
                <w:szCs w:val="18"/>
              </w:rPr>
            </w:pPr>
            <w:r w:rsidRPr="00E16672">
              <w:rPr>
                <w:rFonts w:ascii="Times New Roman" w:hAnsi="Times New Roman"/>
                <w:i/>
                <w:iCs/>
                <w:color w:val="000000"/>
                <w:sz w:val="18"/>
                <w:szCs w:val="18"/>
              </w:rPr>
              <w:t>Місцезнаходження</w:t>
            </w:r>
          </w:p>
        </w:tc>
      </w:tr>
      <w:tr w:rsidR="00493A17" w:rsidRPr="00E16672" w14:paraId="16D622A9" w14:textId="77777777" w:rsidTr="00D43FD2">
        <w:trPr>
          <w:trHeight w:val="80"/>
        </w:trPr>
        <w:tc>
          <w:tcPr>
            <w:tcW w:w="5213" w:type="dxa"/>
            <w:gridSpan w:val="4"/>
            <w:shd w:val="clear" w:color="auto" w:fill="auto"/>
          </w:tcPr>
          <w:p w14:paraId="37867BF0" w14:textId="77777777" w:rsidR="00493A17" w:rsidRPr="00E16672" w:rsidRDefault="00493A17" w:rsidP="00493A17">
            <w:pPr>
              <w:pStyle w:val="4"/>
              <w:keepNext w:val="0"/>
              <w:tabs>
                <w:tab w:val="clear" w:pos="-501"/>
                <w:tab w:val="left" w:pos="6"/>
              </w:tabs>
              <w:snapToGrid w:val="0"/>
              <w:ind w:left="6" w:firstLine="0"/>
              <w:jc w:val="left"/>
              <w:rPr>
                <w:rFonts w:ascii="Times New Roman" w:hAnsi="Times New Roman"/>
                <w:i/>
                <w:iCs/>
                <w:color w:val="000000"/>
                <w:sz w:val="18"/>
                <w:szCs w:val="18"/>
                <w:u w:val="single"/>
              </w:rPr>
            </w:pPr>
          </w:p>
        </w:tc>
        <w:tc>
          <w:tcPr>
            <w:tcW w:w="262" w:type="dxa"/>
            <w:shd w:val="clear" w:color="auto" w:fill="auto"/>
          </w:tcPr>
          <w:p w14:paraId="3D4D7011" w14:textId="77777777" w:rsidR="00493A17" w:rsidRPr="00E16672" w:rsidRDefault="00493A17" w:rsidP="00493A17">
            <w:pPr>
              <w:snapToGrid w:val="0"/>
              <w:rPr>
                <w:rFonts w:ascii="Times New Roman" w:hAnsi="Times New Roman"/>
                <w:b/>
                <w:bCs/>
                <w:color w:val="000000"/>
                <w:sz w:val="18"/>
                <w:szCs w:val="18"/>
                <w:lang w:val="uk-UA"/>
              </w:rPr>
            </w:pPr>
          </w:p>
        </w:tc>
        <w:tc>
          <w:tcPr>
            <w:tcW w:w="5275" w:type="dxa"/>
            <w:gridSpan w:val="4"/>
            <w:shd w:val="clear" w:color="auto" w:fill="auto"/>
          </w:tcPr>
          <w:p w14:paraId="5ED119C2" w14:textId="77777777" w:rsidR="00493A17" w:rsidRPr="00E16672" w:rsidRDefault="00622BEB" w:rsidP="00493A17">
            <w:pPr>
              <w:pStyle w:val="western"/>
              <w:snapToGrid w:val="0"/>
              <w:spacing w:before="0" w:after="0"/>
              <w:ind w:firstLine="0"/>
              <w:jc w:val="left"/>
              <w:rPr>
                <w:rFonts w:ascii="Times New Roman" w:hAnsi="Times New Roman"/>
                <w:b w:val="0"/>
                <w:sz w:val="18"/>
                <w:szCs w:val="18"/>
                <w:lang w:val="uk-UA"/>
              </w:rPr>
            </w:pPr>
            <w:proofErr w:type="spellStart"/>
            <w:r>
              <w:rPr>
                <w:rFonts w:ascii="Times New Roman" w:hAnsi="Times New Roman"/>
                <w:b w:val="0"/>
                <w:bCs w:val="0"/>
                <w:sz w:val="18"/>
                <w:szCs w:val="18"/>
              </w:rPr>
              <w:t>Україна</w:t>
            </w:r>
            <w:proofErr w:type="spellEnd"/>
            <w:r>
              <w:rPr>
                <w:rFonts w:ascii="Times New Roman" w:hAnsi="Times New Roman"/>
                <w:b w:val="0"/>
                <w:bCs w:val="0"/>
                <w:sz w:val="18"/>
                <w:szCs w:val="18"/>
              </w:rPr>
              <w:t xml:space="preserve">, </w:t>
            </w:r>
            <w:proofErr w:type="spellStart"/>
            <w:r>
              <w:rPr>
                <w:rFonts w:ascii="Times New Roman" w:hAnsi="Times New Roman"/>
                <w:b w:val="0"/>
                <w:bCs w:val="0"/>
                <w:sz w:val="18"/>
                <w:szCs w:val="18"/>
              </w:rPr>
              <w:t>м.Київ</w:t>
            </w:r>
            <w:proofErr w:type="spellEnd"/>
            <w:r>
              <w:rPr>
                <w:rFonts w:ascii="Times New Roman" w:hAnsi="Times New Roman"/>
                <w:b w:val="0"/>
                <w:bCs w:val="0"/>
                <w:sz w:val="18"/>
                <w:szCs w:val="18"/>
              </w:rPr>
              <w:t xml:space="preserve">, Велика </w:t>
            </w:r>
            <w:proofErr w:type="spellStart"/>
            <w:r>
              <w:rPr>
                <w:rFonts w:ascii="Times New Roman" w:hAnsi="Times New Roman"/>
                <w:b w:val="0"/>
                <w:bCs w:val="0"/>
                <w:sz w:val="18"/>
                <w:szCs w:val="18"/>
              </w:rPr>
              <w:t>Васильківська</w:t>
            </w:r>
            <w:proofErr w:type="spellEnd"/>
            <w:r>
              <w:rPr>
                <w:rFonts w:ascii="Times New Roman" w:hAnsi="Times New Roman"/>
                <w:b w:val="0"/>
                <w:bCs w:val="0"/>
                <w:sz w:val="18"/>
                <w:szCs w:val="18"/>
              </w:rPr>
              <w:t xml:space="preserve"> (</w:t>
            </w:r>
            <w:proofErr w:type="spellStart"/>
            <w:r>
              <w:rPr>
                <w:rFonts w:ascii="Times New Roman" w:hAnsi="Times New Roman"/>
                <w:b w:val="0"/>
                <w:bCs w:val="0"/>
                <w:sz w:val="18"/>
                <w:szCs w:val="18"/>
              </w:rPr>
              <w:t>колишня</w:t>
            </w:r>
            <w:proofErr w:type="spellEnd"/>
            <w:r>
              <w:rPr>
                <w:rFonts w:ascii="Times New Roman" w:hAnsi="Times New Roman"/>
                <w:b w:val="0"/>
                <w:bCs w:val="0"/>
                <w:sz w:val="18"/>
                <w:szCs w:val="18"/>
              </w:rPr>
              <w:t xml:space="preserve"> </w:t>
            </w:r>
            <w:proofErr w:type="spellStart"/>
            <w:r>
              <w:rPr>
                <w:rFonts w:ascii="Times New Roman" w:hAnsi="Times New Roman"/>
                <w:b w:val="0"/>
                <w:bCs w:val="0"/>
                <w:sz w:val="18"/>
                <w:szCs w:val="18"/>
              </w:rPr>
              <w:t>Червоноармійська</w:t>
            </w:r>
            <w:proofErr w:type="spellEnd"/>
            <w:r>
              <w:rPr>
                <w:rFonts w:ascii="Times New Roman" w:hAnsi="Times New Roman"/>
                <w:b w:val="0"/>
                <w:bCs w:val="0"/>
                <w:sz w:val="18"/>
                <w:szCs w:val="18"/>
              </w:rPr>
              <w:t xml:space="preserve">) </w:t>
            </w:r>
            <w:proofErr w:type="spellStart"/>
            <w:r>
              <w:rPr>
                <w:rFonts w:ascii="Times New Roman" w:hAnsi="Times New Roman"/>
                <w:b w:val="0"/>
                <w:bCs w:val="0"/>
                <w:sz w:val="18"/>
                <w:szCs w:val="18"/>
              </w:rPr>
              <w:t>вул</w:t>
            </w:r>
            <w:proofErr w:type="spellEnd"/>
            <w:r>
              <w:rPr>
                <w:rFonts w:ascii="Times New Roman" w:hAnsi="Times New Roman"/>
                <w:b w:val="0"/>
                <w:bCs w:val="0"/>
                <w:sz w:val="18"/>
                <w:szCs w:val="18"/>
              </w:rPr>
              <w:t>., буд. 65</w:t>
            </w:r>
          </w:p>
        </w:tc>
      </w:tr>
      <w:tr w:rsidR="00493A17" w:rsidRPr="00E16672" w14:paraId="75F1FDE3" w14:textId="77777777" w:rsidTr="00D43FD2">
        <w:trPr>
          <w:trHeight w:val="80"/>
        </w:trPr>
        <w:tc>
          <w:tcPr>
            <w:tcW w:w="5213" w:type="dxa"/>
            <w:gridSpan w:val="4"/>
            <w:shd w:val="clear" w:color="auto" w:fill="auto"/>
          </w:tcPr>
          <w:p w14:paraId="2FFC788D" w14:textId="77777777" w:rsidR="00493A17" w:rsidRPr="00E16672" w:rsidRDefault="00493A17" w:rsidP="00493A17">
            <w:pPr>
              <w:pStyle w:val="4"/>
              <w:keepNext w:val="0"/>
              <w:numPr>
                <w:ilvl w:val="0"/>
                <w:numId w:val="0"/>
              </w:numPr>
              <w:snapToGrid w:val="0"/>
              <w:ind w:left="42" w:right="110"/>
              <w:jc w:val="left"/>
              <w:rPr>
                <w:rFonts w:ascii="Times New Roman" w:hAnsi="Times New Roman"/>
                <w:i/>
                <w:iCs/>
                <w:color w:val="000000"/>
                <w:sz w:val="18"/>
                <w:szCs w:val="18"/>
              </w:rPr>
            </w:pPr>
          </w:p>
          <w:p w14:paraId="03A973D2" w14:textId="77777777" w:rsidR="00493A17" w:rsidRPr="00E16672" w:rsidRDefault="00493A17" w:rsidP="00493A17">
            <w:pPr>
              <w:pStyle w:val="4"/>
              <w:keepNext w:val="0"/>
              <w:numPr>
                <w:ilvl w:val="0"/>
                <w:numId w:val="0"/>
              </w:numPr>
              <w:snapToGrid w:val="0"/>
              <w:ind w:left="6"/>
              <w:jc w:val="left"/>
              <w:rPr>
                <w:rFonts w:ascii="Times New Roman" w:hAnsi="Times New Roman"/>
                <w:i/>
                <w:iCs/>
                <w:color w:val="000000"/>
                <w:sz w:val="18"/>
                <w:szCs w:val="18"/>
              </w:rPr>
            </w:pPr>
            <w:r w:rsidRPr="00E16672">
              <w:rPr>
                <w:rFonts w:ascii="Times New Roman" w:hAnsi="Times New Roman"/>
                <w:i/>
                <w:iCs/>
                <w:color w:val="000000"/>
                <w:sz w:val="18"/>
                <w:szCs w:val="18"/>
              </w:rPr>
              <w:t>Адреса для листування</w:t>
            </w:r>
          </w:p>
        </w:tc>
        <w:tc>
          <w:tcPr>
            <w:tcW w:w="262" w:type="dxa"/>
            <w:shd w:val="clear" w:color="auto" w:fill="auto"/>
          </w:tcPr>
          <w:p w14:paraId="16CCF46B" w14:textId="77777777" w:rsidR="00493A17" w:rsidRPr="00E16672" w:rsidRDefault="00493A17" w:rsidP="00493A17">
            <w:pPr>
              <w:snapToGrid w:val="0"/>
              <w:rPr>
                <w:rFonts w:ascii="Times New Roman" w:hAnsi="Times New Roman"/>
                <w:color w:val="000000"/>
                <w:sz w:val="18"/>
                <w:szCs w:val="18"/>
                <w:lang w:val="uk-UA"/>
              </w:rPr>
            </w:pPr>
          </w:p>
        </w:tc>
        <w:tc>
          <w:tcPr>
            <w:tcW w:w="5275" w:type="dxa"/>
            <w:gridSpan w:val="4"/>
            <w:shd w:val="clear" w:color="auto" w:fill="auto"/>
          </w:tcPr>
          <w:p w14:paraId="4FC95807" w14:textId="77777777" w:rsidR="00493A17" w:rsidRPr="00E16672" w:rsidRDefault="00493A17" w:rsidP="00493A17">
            <w:pPr>
              <w:pStyle w:val="4"/>
              <w:keepNext w:val="0"/>
              <w:numPr>
                <w:ilvl w:val="0"/>
                <w:numId w:val="0"/>
              </w:numPr>
              <w:snapToGrid w:val="0"/>
              <w:ind w:left="-8" w:right="105" w:hanging="13"/>
              <w:jc w:val="left"/>
              <w:rPr>
                <w:rFonts w:ascii="Times New Roman" w:hAnsi="Times New Roman"/>
                <w:i/>
                <w:iCs/>
                <w:color w:val="000000"/>
                <w:sz w:val="18"/>
                <w:szCs w:val="18"/>
              </w:rPr>
            </w:pPr>
          </w:p>
          <w:p w14:paraId="7A42F65B" w14:textId="77777777" w:rsidR="00493A17" w:rsidRPr="00E16672" w:rsidRDefault="00493A17" w:rsidP="00493A17">
            <w:pPr>
              <w:pStyle w:val="4"/>
              <w:keepNext w:val="0"/>
              <w:tabs>
                <w:tab w:val="clear" w:pos="-501"/>
                <w:tab w:val="num" w:pos="0"/>
              </w:tabs>
              <w:snapToGrid w:val="0"/>
              <w:ind w:left="864"/>
              <w:jc w:val="left"/>
              <w:rPr>
                <w:rFonts w:ascii="Times New Roman" w:hAnsi="Times New Roman"/>
                <w:i/>
                <w:iCs/>
                <w:sz w:val="18"/>
                <w:szCs w:val="18"/>
              </w:rPr>
            </w:pPr>
            <w:r w:rsidRPr="00E16672">
              <w:rPr>
                <w:rFonts w:ascii="Times New Roman" w:hAnsi="Times New Roman"/>
                <w:i/>
                <w:iCs/>
                <w:color w:val="000000"/>
                <w:sz w:val="18"/>
                <w:szCs w:val="18"/>
              </w:rPr>
              <w:t>Адреса для листування</w:t>
            </w:r>
          </w:p>
        </w:tc>
      </w:tr>
      <w:tr w:rsidR="00493A17" w:rsidRPr="00E16672" w14:paraId="25E27A3D" w14:textId="77777777" w:rsidTr="00D43FD2">
        <w:tc>
          <w:tcPr>
            <w:tcW w:w="5213" w:type="dxa"/>
            <w:gridSpan w:val="4"/>
            <w:shd w:val="clear" w:color="auto" w:fill="auto"/>
          </w:tcPr>
          <w:p w14:paraId="5FA5DEFB" w14:textId="77777777" w:rsidR="00493A17" w:rsidRPr="00E16672" w:rsidRDefault="00493A17" w:rsidP="00493A17">
            <w:pPr>
              <w:pStyle w:val="4"/>
              <w:keepNext w:val="0"/>
              <w:tabs>
                <w:tab w:val="clear" w:pos="-501"/>
                <w:tab w:val="left" w:pos="6"/>
              </w:tabs>
              <w:snapToGrid w:val="0"/>
              <w:ind w:left="6" w:firstLine="0"/>
              <w:jc w:val="left"/>
              <w:rPr>
                <w:rFonts w:ascii="Times New Roman" w:hAnsi="Times New Roman"/>
                <w:i/>
                <w:iCs/>
                <w:color w:val="000000"/>
                <w:sz w:val="18"/>
                <w:szCs w:val="18"/>
              </w:rPr>
            </w:pPr>
          </w:p>
        </w:tc>
        <w:tc>
          <w:tcPr>
            <w:tcW w:w="262" w:type="dxa"/>
            <w:shd w:val="clear" w:color="auto" w:fill="auto"/>
          </w:tcPr>
          <w:p w14:paraId="79682436" w14:textId="77777777" w:rsidR="00493A17" w:rsidRPr="00E16672" w:rsidRDefault="00493A17" w:rsidP="00493A17">
            <w:pPr>
              <w:snapToGrid w:val="0"/>
              <w:rPr>
                <w:rFonts w:ascii="Times New Roman" w:hAnsi="Times New Roman"/>
                <w:color w:val="000000"/>
                <w:sz w:val="18"/>
                <w:szCs w:val="18"/>
                <w:lang w:val="uk-UA"/>
              </w:rPr>
            </w:pPr>
          </w:p>
        </w:tc>
        <w:tc>
          <w:tcPr>
            <w:tcW w:w="5275" w:type="dxa"/>
            <w:gridSpan w:val="4"/>
            <w:shd w:val="clear" w:color="auto" w:fill="auto"/>
          </w:tcPr>
          <w:p w14:paraId="2B423470" w14:textId="77777777" w:rsidR="00493A17" w:rsidRPr="00E16672" w:rsidRDefault="00622BEB" w:rsidP="00493A17">
            <w:pPr>
              <w:pStyle w:val="western"/>
              <w:snapToGrid w:val="0"/>
              <w:spacing w:before="0" w:after="0"/>
              <w:ind w:firstLine="0"/>
              <w:jc w:val="left"/>
              <w:rPr>
                <w:rFonts w:ascii="Times New Roman" w:hAnsi="Times New Roman"/>
                <w:b w:val="0"/>
                <w:bCs w:val="0"/>
                <w:sz w:val="18"/>
                <w:szCs w:val="18"/>
              </w:rPr>
            </w:pPr>
            <w:proofErr w:type="spellStart"/>
            <w:r>
              <w:rPr>
                <w:rFonts w:ascii="Times New Roman" w:hAnsi="Times New Roman"/>
                <w:b w:val="0"/>
                <w:bCs w:val="0"/>
                <w:sz w:val="18"/>
                <w:szCs w:val="18"/>
              </w:rPr>
              <w:t>Україна</w:t>
            </w:r>
            <w:proofErr w:type="spellEnd"/>
            <w:r>
              <w:rPr>
                <w:rFonts w:ascii="Times New Roman" w:hAnsi="Times New Roman"/>
                <w:b w:val="0"/>
                <w:bCs w:val="0"/>
                <w:sz w:val="18"/>
                <w:szCs w:val="18"/>
              </w:rPr>
              <w:t xml:space="preserve">, </w:t>
            </w:r>
            <w:proofErr w:type="spellStart"/>
            <w:r>
              <w:rPr>
                <w:rFonts w:ascii="Times New Roman" w:hAnsi="Times New Roman"/>
                <w:b w:val="0"/>
                <w:bCs w:val="0"/>
                <w:sz w:val="18"/>
                <w:szCs w:val="18"/>
              </w:rPr>
              <w:t>м.Київ</w:t>
            </w:r>
            <w:proofErr w:type="spellEnd"/>
            <w:r>
              <w:rPr>
                <w:rFonts w:ascii="Times New Roman" w:hAnsi="Times New Roman"/>
                <w:b w:val="0"/>
                <w:bCs w:val="0"/>
                <w:sz w:val="18"/>
                <w:szCs w:val="18"/>
              </w:rPr>
              <w:t xml:space="preserve">, Велика </w:t>
            </w:r>
            <w:proofErr w:type="spellStart"/>
            <w:r>
              <w:rPr>
                <w:rFonts w:ascii="Times New Roman" w:hAnsi="Times New Roman"/>
                <w:b w:val="0"/>
                <w:bCs w:val="0"/>
                <w:sz w:val="18"/>
                <w:szCs w:val="18"/>
              </w:rPr>
              <w:t>Васильківська</w:t>
            </w:r>
            <w:proofErr w:type="spellEnd"/>
            <w:r>
              <w:rPr>
                <w:rFonts w:ascii="Times New Roman" w:hAnsi="Times New Roman"/>
                <w:b w:val="0"/>
                <w:bCs w:val="0"/>
                <w:sz w:val="18"/>
                <w:szCs w:val="18"/>
              </w:rPr>
              <w:t xml:space="preserve"> (</w:t>
            </w:r>
            <w:proofErr w:type="spellStart"/>
            <w:r>
              <w:rPr>
                <w:rFonts w:ascii="Times New Roman" w:hAnsi="Times New Roman"/>
                <w:b w:val="0"/>
                <w:bCs w:val="0"/>
                <w:sz w:val="18"/>
                <w:szCs w:val="18"/>
              </w:rPr>
              <w:t>колишня</w:t>
            </w:r>
            <w:proofErr w:type="spellEnd"/>
            <w:r>
              <w:rPr>
                <w:rFonts w:ascii="Times New Roman" w:hAnsi="Times New Roman"/>
                <w:b w:val="0"/>
                <w:bCs w:val="0"/>
                <w:sz w:val="18"/>
                <w:szCs w:val="18"/>
              </w:rPr>
              <w:t xml:space="preserve"> </w:t>
            </w:r>
            <w:proofErr w:type="spellStart"/>
            <w:r>
              <w:rPr>
                <w:rFonts w:ascii="Times New Roman" w:hAnsi="Times New Roman"/>
                <w:b w:val="0"/>
                <w:bCs w:val="0"/>
                <w:sz w:val="18"/>
                <w:szCs w:val="18"/>
              </w:rPr>
              <w:t>Червоноармійська</w:t>
            </w:r>
            <w:proofErr w:type="spellEnd"/>
            <w:r>
              <w:rPr>
                <w:rFonts w:ascii="Times New Roman" w:hAnsi="Times New Roman"/>
                <w:b w:val="0"/>
                <w:bCs w:val="0"/>
                <w:sz w:val="18"/>
                <w:szCs w:val="18"/>
              </w:rPr>
              <w:t xml:space="preserve">) </w:t>
            </w:r>
            <w:proofErr w:type="spellStart"/>
            <w:r>
              <w:rPr>
                <w:rFonts w:ascii="Times New Roman" w:hAnsi="Times New Roman"/>
                <w:b w:val="0"/>
                <w:bCs w:val="0"/>
                <w:sz w:val="18"/>
                <w:szCs w:val="18"/>
              </w:rPr>
              <w:t>вул</w:t>
            </w:r>
            <w:proofErr w:type="spellEnd"/>
            <w:r>
              <w:rPr>
                <w:rFonts w:ascii="Times New Roman" w:hAnsi="Times New Roman"/>
                <w:b w:val="0"/>
                <w:bCs w:val="0"/>
                <w:sz w:val="18"/>
                <w:szCs w:val="18"/>
              </w:rPr>
              <w:t>., буд. 65</w:t>
            </w:r>
          </w:p>
        </w:tc>
      </w:tr>
      <w:tr w:rsidR="00493A17" w:rsidRPr="00E16672" w14:paraId="0E64124E" w14:textId="77777777" w:rsidTr="00D43FD2">
        <w:tc>
          <w:tcPr>
            <w:tcW w:w="5213" w:type="dxa"/>
            <w:gridSpan w:val="4"/>
            <w:shd w:val="clear" w:color="auto" w:fill="auto"/>
          </w:tcPr>
          <w:p w14:paraId="7C784FEC" w14:textId="77777777" w:rsidR="00493A17" w:rsidRPr="00E16672" w:rsidRDefault="00493A17" w:rsidP="00493A17">
            <w:pPr>
              <w:pStyle w:val="4"/>
              <w:keepNext w:val="0"/>
              <w:numPr>
                <w:ilvl w:val="0"/>
                <w:numId w:val="0"/>
              </w:numPr>
              <w:snapToGrid w:val="0"/>
              <w:ind w:left="-20" w:right="105" w:hanging="25"/>
              <w:jc w:val="left"/>
              <w:rPr>
                <w:rFonts w:ascii="Times New Roman" w:hAnsi="Times New Roman"/>
                <w:i/>
                <w:iCs/>
                <w:color w:val="000000"/>
                <w:sz w:val="18"/>
                <w:szCs w:val="18"/>
              </w:rPr>
            </w:pPr>
          </w:p>
          <w:p w14:paraId="2E9F01CD" w14:textId="77777777" w:rsidR="00493A17" w:rsidRPr="00E16672" w:rsidRDefault="00493A17" w:rsidP="00493A17">
            <w:pPr>
              <w:pStyle w:val="4"/>
              <w:tabs>
                <w:tab w:val="clear" w:pos="-501"/>
                <w:tab w:val="left" w:pos="6"/>
              </w:tabs>
              <w:snapToGrid w:val="0"/>
              <w:ind w:left="6" w:firstLine="0"/>
              <w:jc w:val="left"/>
              <w:rPr>
                <w:rFonts w:ascii="Times New Roman" w:hAnsi="Times New Roman"/>
                <w:bCs/>
                <w:i/>
                <w:color w:val="000000"/>
                <w:sz w:val="18"/>
                <w:szCs w:val="18"/>
              </w:rPr>
            </w:pPr>
            <w:r w:rsidRPr="00E16672">
              <w:rPr>
                <w:rFonts w:ascii="Times New Roman" w:hAnsi="Times New Roman"/>
                <w:i/>
                <w:iCs/>
                <w:color w:val="000000"/>
                <w:sz w:val="18"/>
                <w:szCs w:val="18"/>
              </w:rPr>
              <w:t>Банківські реквізити</w:t>
            </w:r>
          </w:p>
        </w:tc>
        <w:tc>
          <w:tcPr>
            <w:tcW w:w="262" w:type="dxa"/>
            <w:shd w:val="clear" w:color="auto" w:fill="auto"/>
          </w:tcPr>
          <w:p w14:paraId="2514F30F" w14:textId="77777777" w:rsidR="00493A17" w:rsidRPr="00E16672" w:rsidRDefault="00493A17" w:rsidP="00493A17">
            <w:pPr>
              <w:snapToGrid w:val="0"/>
              <w:rPr>
                <w:rFonts w:ascii="Times New Roman" w:hAnsi="Times New Roman"/>
                <w:color w:val="000000"/>
                <w:sz w:val="18"/>
                <w:szCs w:val="18"/>
                <w:lang w:val="uk-UA"/>
              </w:rPr>
            </w:pPr>
          </w:p>
        </w:tc>
        <w:tc>
          <w:tcPr>
            <w:tcW w:w="5275" w:type="dxa"/>
            <w:gridSpan w:val="4"/>
            <w:shd w:val="clear" w:color="auto" w:fill="auto"/>
          </w:tcPr>
          <w:p w14:paraId="2FBD5B45" w14:textId="77777777" w:rsidR="00493A17" w:rsidRPr="00E16672" w:rsidRDefault="00493A17" w:rsidP="00493A17">
            <w:pPr>
              <w:pStyle w:val="6"/>
              <w:numPr>
                <w:ilvl w:val="0"/>
                <w:numId w:val="0"/>
              </w:numPr>
              <w:snapToGrid w:val="0"/>
              <w:ind w:left="15" w:right="1"/>
              <w:jc w:val="left"/>
              <w:rPr>
                <w:rFonts w:ascii="Times New Roman" w:hAnsi="Times New Roman"/>
                <w:b/>
                <w:i/>
                <w:color w:val="000000"/>
                <w:sz w:val="18"/>
                <w:szCs w:val="18"/>
                <w:lang w:val="uk-UA"/>
              </w:rPr>
            </w:pPr>
          </w:p>
          <w:p w14:paraId="0E633139" w14:textId="77777777" w:rsidR="00493A17" w:rsidRPr="00E16672" w:rsidRDefault="00493A17" w:rsidP="00493A17">
            <w:pPr>
              <w:pStyle w:val="6"/>
              <w:tabs>
                <w:tab w:val="clear" w:pos="-501"/>
                <w:tab w:val="num" w:pos="0"/>
              </w:tabs>
              <w:snapToGrid w:val="0"/>
              <w:ind w:left="1152"/>
              <w:jc w:val="left"/>
              <w:rPr>
                <w:rFonts w:ascii="Times New Roman" w:hAnsi="Times New Roman"/>
                <w:b/>
                <w:i/>
                <w:sz w:val="18"/>
                <w:szCs w:val="18"/>
                <w:lang w:val="uk-UA"/>
              </w:rPr>
            </w:pPr>
            <w:r w:rsidRPr="00E16672">
              <w:rPr>
                <w:rFonts w:ascii="Times New Roman" w:hAnsi="Times New Roman"/>
                <w:b/>
                <w:i/>
                <w:color w:val="000000"/>
                <w:sz w:val="18"/>
                <w:szCs w:val="18"/>
                <w:lang w:val="uk-UA"/>
              </w:rPr>
              <w:t>Банківські реквізити</w:t>
            </w:r>
          </w:p>
        </w:tc>
      </w:tr>
      <w:tr w:rsidR="00493A17" w:rsidRPr="00E16672" w14:paraId="4CD25E53" w14:textId="77777777" w:rsidTr="00D43FD2">
        <w:tc>
          <w:tcPr>
            <w:tcW w:w="5213" w:type="dxa"/>
            <w:gridSpan w:val="4"/>
            <w:shd w:val="clear" w:color="auto" w:fill="auto"/>
          </w:tcPr>
          <w:p w14:paraId="301EEF76" w14:textId="77777777" w:rsidR="00493A17" w:rsidRPr="00E16672" w:rsidRDefault="00493A17" w:rsidP="00493A17">
            <w:pPr>
              <w:snapToGrid w:val="0"/>
              <w:ind w:firstLine="6"/>
              <w:rPr>
                <w:rFonts w:ascii="Times New Roman" w:hAnsi="Times New Roman"/>
                <w:color w:val="000000"/>
                <w:sz w:val="18"/>
                <w:szCs w:val="18"/>
                <w:lang w:val="uk-UA"/>
              </w:rPr>
            </w:pPr>
          </w:p>
        </w:tc>
        <w:tc>
          <w:tcPr>
            <w:tcW w:w="262" w:type="dxa"/>
            <w:shd w:val="clear" w:color="auto" w:fill="auto"/>
          </w:tcPr>
          <w:p w14:paraId="2DD55364" w14:textId="77777777" w:rsidR="00493A17" w:rsidRPr="00E16672" w:rsidRDefault="00493A17" w:rsidP="00493A17">
            <w:pPr>
              <w:snapToGrid w:val="0"/>
              <w:rPr>
                <w:rFonts w:ascii="Times New Roman" w:hAnsi="Times New Roman"/>
                <w:color w:val="000000"/>
                <w:sz w:val="18"/>
                <w:szCs w:val="18"/>
                <w:lang w:val="uk-UA"/>
              </w:rPr>
            </w:pPr>
          </w:p>
        </w:tc>
        <w:tc>
          <w:tcPr>
            <w:tcW w:w="5275" w:type="dxa"/>
            <w:gridSpan w:val="4"/>
            <w:shd w:val="clear" w:color="auto" w:fill="auto"/>
          </w:tcPr>
          <w:p w14:paraId="6BECEEC7" w14:textId="77777777" w:rsidR="00930A41" w:rsidRPr="00E16672" w:rsidRDefault="00622BEB" w:rsidP="00493A17">
            <w:pPr>
              <w:pStyle w:val="3"/>
              <w:numPr>
                <w:ilvl w:val="0"/>
                <w:numId w:val="0"/>
              </w:numPr>
              <w:snapToGrid w:val="0"/>
              <w:spacing w:before="0" w:after="0"/>
              <w:ind w:left="15" w:right="219"/>
              <w:jc w:val="left"/>
              <w:rPr>
                <w:rFonts w:ascii="Times New Roman" w:hAnsi="Times New Roman" w:cs="Times New Roman"/>
                <w:b w:val="0"/>
                <w:sz w:val="18"/>
                <w:szCs w:val="18"/>
              </w:rPr>
            </w:pPr>
            <w:r>
              <w:rPr>
                <w:rFonts w:ascii="Times New Roman" w:hAnsi="Times New Roman" w:cs="Times New Roman"/>
                <w:b w:val="0"/>
                <w:sz w:val="18"/>
                <w:szCs w:val="18"/>
              </w:rPr>
              <w:t>UA743281680000000026503815351</w:t>
            </w:r>
            <w:r w:rsidR="00E471B0" w:rsidRPr="00E16672">
              <w:rPr>
                <w:rFonts w:ascii="Times New Roman" w:hAnsi="Times New Roman" w:cs="Times New Roman"/>
                <w:b w:val="0"/>
                <w:sz w:val="18"/>
                <w:szCs w:val="18"/>
              </w:rPr>
              <w:t xml:space="preserve"> </w:t>
            </w:r>
          </w:p>
          <w:p w14:paraId="7B91451F" w14:textId="77777777" w:rsidR="00493A17" w:rsidRPr="00E16672" w:rsidRDefault="00622BEB" w:rsidP="00022F5F">
            <w:pPr>
              <w:pStyle w:val="3"/>
              <w:numPr>
                <w:ilvl w:val="0"/>
                <w:numId w:val="0"/>
              </w:numPr>
              <w:snapToGrid w:val="0"/>
              <w:spacing w:before="0" w:after="0"/>
              <w:ind w:left="15" w:right="219"/>
              <w:jc w:val="left"/>
              <w:rPr>
                <w:rFonts w:ascii="Times New Roman" w:hAnsi="Times New Roman" w:cs="Times New Roman"/>
                <w:b w:val="0"/>
                <w:sz w:val="18"/>
                <w:szCs w:val="18"/>
              </w:rPr>
            </w:pPr>
            <w:r>
              <w:rPr>
                <w:rFonts w:ascii="Times New Roman" w:hAnsi="Times New Roman" w:cs="Times New Roman"/>
                <w:b w:val="0"/>
                <w:bCs w:val="0"/>
                <w:color w:val="000000"/>
                <w:sz w:val="18"/>
                <w:szCs w:val="18"/>
              </w:rPr>
              <w:t xml:space="preserve">ПАТ </w:t>
            </w:r>
            <w:r w:rsidR="00022F5F">
              <w:rPr>
                <w:rFonts w:ascii="Times New Roman" w:hAnsi="Times New Roman" w:cs="Times New Roman"/>
                <w:b w:val="0"/>
                <w:bCs w:val="0"/>
                <w:color w:val="000000"/>
                <w:sz w:val="18"/>
                <w:szCs w:val="18"/>
              </w:rPr>
              <w:t>"</w:t>
            </w:r>
            <w:r>
              <w:rPr>
                <w:rFonts w:ascii="Times New Roman" w:hAnsi="Times New Roman" w:cs="Times New Roman"/>
                <w:b w:val="0"/>
                <w:bCs w:val="0"/>
                <w:color w:val="000000"/>
                <w:sz w:val="18"/>
                <w:szCs w:val="18"/>
              </w:rPr>
              <w:t>МТБ Банк</w:t>
            </w:r>
            <w:r w:rsidR="00022F5F">
              <w:rPr>
                <w:rFonts w:ascii="Times New Roman" w:hAnsi="Times New Roman" w:cs="Times New Roman"/>
                <w:b w:val="0"/>
                <w:bCs w:val="0"/>
                <w:color w:val="000000"/>
                <w:sz w:val="18"/>
                <w:szCs w:val="18"/>
              </w:rPr>
              <w:t>"</w:t>
            </w:r>
            <w:r>
              <w:rPr>
                <w:rFonts w:ascii="Times New Roman" w:hAnsi="Times New Roman" w:cs="Times New Roman"/>
                <w:b w:val="0"/>
                <w:bCs w:val="0"/>
                <w:color w:val="000000"/>
                <w:sz w:val="18"/>
                <w:szCs w:val="18"/>
              </w:rPr>
              <w:t>, МФО 328168</w:t>
            </w:r>
            <w:r w:rsidR="00493A17" w:rsidRPr="00E16672">
              <w:rPr>
                <w:rFonts w:ascii="Times New Roman" w:hAnsi="Times New Roman" w:cs="Times New Roman"/>
                <w:b w:val="0"/>
                <w:sz w:val="18"/>
                <w:szCs w:val="18"/>
              </w:rPr>
              <w:t xml:space="preserve">, ЄДРПОУ </w:t>
            </w:r>
            <w:r w:rsidR="00565242">
              <w:rPr>
                <w:rFonts w:ascii="Times New Roman" w:hAnsi="Times New Roman" w:cs="Times New Roman"/>
                <w:b w:val="0"/>
                <w:sz w:val="18"/>
                <w:szCs w:val="18"/>
              </w:rPr>
              <w:t>21650966</w:t>
            </w:r>
          </w:p>
          <w:p w14:paraId="0F15A7C8" w14:textId="77777777" w:rsidR="00493A17" w:rsidRPr="00E16672" w:rsidRDefault="00565242" w:rsidP="00493A17">
            <w:pPr>
              <w:ind w:firstLine="0"/>
              <w:jc w:val="left"/>
              <w:rPr>
                <w:rFonts w:ascii="Times New Roman" w:hAnsi="Times New Roman"/>
                <w:sz w:val="18"/>
                <w:szCs w:val="18"/>
                <w:lang w:val="uk-UA"/>
              </w:rPr>
            </w:pPr>
            <w:r w:rsidRPr="00565242">
              <w:rPr>
                <w:rFonts w:ascii="Times New Roman" w:hAnsi="Times New Roman"/>
                <w:sz w:val="18"/>
                <w:szCs w:val="18"/>
                <w:lang w:val="uk-UA"/>
              </w:rPr>
              <w:t xml:space="preserve">68003, </w:t>
            </w:r>
            <w:proofErr w:type="spellStart"/>
            <w:r w:rsidRPr="00565242">
              <w:rPr>
                <w:rFonts w:ascii="Times New Roman" w:hAnsi="Times New Roman"/>
                <w:sz w:val="18"/>
                <w:szCs w:val="18"/>
                <w:lang w:val="uk-UA"/>
              </w:rPr>
              <w:t>м.Чорноморськ</w:t>
            </w:r>
            <w:proofErr w:type="spellEnd"/>
            <w:r w:rsidRPr="00565242">
              <w:rPr>
                <w:rFonts w:ascii="Times New Roman" w:hAnsi="Times New Roman"/>
                <w:sz w:val="18"/>
                <w:szCs w:val="18"/>
                <w:lang w:val="uk-UA"/>
              </w:rPr>
              <w:t xml:space="preserve">, Миру </w:t>
            </w:r>
            <w:proofErr w:type="spellStart"/>
            <w:r w:rsidRPr="00565242">
              <w:rPr>
                <w:rFonts w:ascii="Times New Roman" w:hAnsi="Times New Roman"/>
                <w:sz w:val="18"/>
                <w:szCs w:val="18"/>
                <w:lang w:val="uk-UA"/>
              </w:rPr>
              <w:t>просп</w:t>
            </w:r>
            <w:proofErr w:type="spellEnd"/>
            <w:r w:rsidRPr="00565242">
              <w:rPr>
                <w:rFonts w:ascii="Times New Roman" w:hAnsi="Times New Roman"/>
                <w:sz w:val="18"/>
                <w:szCs w:val="18"/>
                <w:lang w:val="uk-UA"/>
              </w:rPr>
              <w:t>., буд. 28</w:t>
            </w:r>
          </w:p>
        </w:tc>
      </w:tr>
      <w:tr w:rsidR="00D43FD2" w:rsidRPr="00E16672" w14:paraId="1F3827CF" w14:textId="77777777" w:rsidTr="00D43FD2">
        <w:tc>
          <w:tcPr>
            <w:tcW w:w="3336" w:type="dxa"/>
            <w:gridSpan w:val="3"/>
            <w:shd w:val="clear" w:color="auto" w:fill="auto"/>
          </w:tcPr>
          <w:p w14:paraId="3D79789C" w14:textId="77777777" w:rsidR="00D43FD2" w:rsidRPr="00E16672" w:rsidRDefault="00D43FD2" w:rsidP="00D43FD2">
            <w:pPr>
              <w:snapToGrid w:val="0"/>
              <w:ind w:firstLine="6"/>
              <w:jc w:val="left"/>
              <w:rPr>
                <w:rFonts w:ascii="Times New Roman" w:hAnsi="Times New Roman"/>
                <w:b/>
                <w:color w:val="000000"/>
                <w:sz w:val="18"/>
                <w:szCs w:val="18"/>
                <w:lang w:val="uk-UA"/>
              </w:rPr>
            </w:pPr>
          </w:p>
          <w:p w14:paraId="7814C612" w14:textId="77777777" w:rsidR="00D43FD2" w:rsidRPr="00E16672" w:rsidRDefault="00D43FD2" w:rsidP="00D43FD2">
            <w:pPr>
              <w:snapToGrid w:val="0"/>
              <w:ind w:firstLine="6"/>
              <w:jc w:val="left"/>
              <w:rPr>
                <w:rFonts w:ascii="Times New Roman" w:hAnsi="Times New Roman"/>
                <w:color w:val="000000"/>
                <w:sz w:val="18"/>
                <w:szCs w:val="18"/>
                <w:lang w:val="uk-UA"/>
              </w:rPr>
            </w:pPr>
            <w:r w:rsidRPr="00E16672">
              <w:rPr>
                <w:rFonts w:ascii="Times New Roman" w:hAnsi="Times New Roman"/>
                <w:b/>
                <w:color w:val="000000"/>
                <w:sz w:val="18"/>
                <w:szCs w:val="18"/>
                <w:lang w:val="uk-UA"/>
              </w:rPr>
              <w:t>Документ, що підтверджує повноваження особи, яка підписує договір</w:t>
            </w:r>
          </w:p>
        </w:tc>
        <w:tc>
          <w:tcPr>
            <w:tcW w:w="1877" w:type="dxa"/>
            <w:shd w:val="clear" w:color="auto" w:fill="auto"/>
          </w:tcPr>
          <w:p w14:paraId="4FFF92BB" w14:textId="77777777" w:rsidR="00D43FD2" w:rsidRPr="00E16672" w:rsidRDefault="00D43FD2" w:rsidP="00D43FD2">
            <w:pPr>
              <w:tabs>
                <w:tab w:val="left" w:pos="3795"/>
              </w:tabs>
              <w:rPr>
                <w:rFonts w:ascii="Times New Roman" w:hAnsi="Times New Roman"/>
                <w:sz w:val="18"/>
                <w:szCs w:val="18"/>
                <w:lang w:val="uk-UA"/>
              </w:rPr>
            </w:pPr>
            <w:r w:rsidRPr="00E16672">
              <w:rPr>
                <w:rFonts w:ascii="Times New Roman" w:hAnsi="Times New Roman"/>
                <w:sz w:val="18"/>
                <w:szCs w:val="18"/>
                <w:lang w:val="uk-UA"/>
              </w:rPr>
              <w:tab/>
            </w:r>
          </w:p>
        </w:tc>
        <w:tc>
          <w:tcPr>
            <w:tcW w:w="262" w:type="dxa"/>
            <w:shd w:val="clear" w:color="auto" w:fill="auto"/>
          </w:tcPr>
          <w:p w14:paraId="1AACE2E2" w14:textId="77777777" w:rsidR="00D43FD2" w:rsidRPr="00E16672" w:rsidRDefault="00D43FD2" w:rsidP="00493A17">
            <w:pPr>
              <w:snapToGrid w:val="0"/>
              <w:rPr>
                <w:rFonts w:ascii="Times New Roman" w:hAnsi="Times New Roman"/>
                <w:color w:val="000000"/>
                <w:sz w:val="18"/>
                <w:szCs w:val="18"/>
                <w:lang w:val="uk-UA"/>
              </w:rPr>
            </w:pPr>
          </w:p>
        </w:tc>
        <w:tc>
          <w:tcPr>
            <w:tcW w:w="3248" w:type="dxa"/>
            <w:gridSpan w:val="3"/>
            <w:shd w:val="clear" w:color="auto" w:fill="auto"/>
          </w:tcPr>
          <w:p w14:paraId="7588AE7F" w14:textId="77777777" w:rsidR="00D43FD2" w:rsidRPr="00E16672" w:rsidRDefault="00D43FD2" w:rsidP="00D43FD2">
            <w:pPr>
              <w:snapToGrid w:val="0"/>
              <w:ind w:firstLine="0"/>
              <w:jc w:val="left"/>
              <w:rPr>
                <w:rFonts w:ascii="Times New Roman" w:hAnsi="Times New Roman"/>
                <w:b/>
                <w:color w:val="000000"/>
                <w:sz w:val="18"/>
                <w:szCs w:val="18"/>
                <w:lang w:val="uk-UA"/>
              </w:rPr>
            </w:pPr>
          </w:p>
          <w:p w14:paraId="179B3966" w14:textId="77777777" w:rsidR="00D43FD2" w:rsidRPr="00E16672" w:rsidRDefault="00D43FD2" w:rsidP="00D43FD2">
            <w:pPr>
              <w:snapToGrid w:val="0"/>
              <w:ind w:firstLine="0"/>
              <w:jc w:val="left"/>
              <w:rPr>
                <w:rFonts w:ascii="Times New Roman" w:hAnsi="Times New Roman"/>
                <w:sz w:val="18"/>
                <w:szCs w:val="18"/>
                <w:lang w:val="uk-UA"/>
              </w:rPr>
            </w:pPr>
            <w:r w:rsidRPr="00E16672">
              <w:rPr>
                <w:rFonts w:ascii="Times New Roman" w:hAnsi="Times New Roman"/>
                <w:b/>
                <w:color w:val="000000"/>
                <w:sz w:val="18"/>
                <w:szCs w:val="18"/>
                <w:lang w:val="uk-UA"/>
              </w:rPr>
              <w:t>Документ, що підтверджує повноваження особи, яка підписує договір</w:t>
            </w:r>
          </w:p>
        </w:tc>
        <w:tc>
          <w:tcPr>
            <w:tcW w:w="2027" w:type="dxa"/>
            <w:shd w:val="clear" w:color="auto" w:fill="auto"/>
          </w:tcPr>
          <w:p w14:paraId="38F5A9E3" w14:textId="77777777" w:rsidR="00D43FD2" w:rsidRPr="00E16672" w:rsidRDefault="00D43FD2" w:rsidP="00D43FD2">
            <w:pPr>
              <w:snapToGrid w:val="0"/>
              <w:rPr>
                <w:rFonts w:ascii="Times New Roman" w:hAnsi="Times New Roman"/>
                <w:sz w:val="18"/>
                <w:szCs w:val="18"/>
                <w:lang w:val="uk-UA"/>
              </w:rPr>
            </w:pPr>
          </w:p>
          <w:p w14:paraId="43834D45" w14:textId="77777777" w:rsidR="00D43FD2" w:rsidRPr="00E16672" w:rsidRDefault="00D43FD2" w:rsidP="00D43FD2">
            <w:pPr>
              <w:snapToGrid w:val="0"/>
              <w:rPr>
                <w:rFonts w:ascii="Times New Roman" w:hAnsi="Times New Roman"/>
                <w:sz w:val="18"/>
                <w:szCs w:val="18"/>
                <w:lang w:val="uk-UA"/>
              </w:rPr>
            </w:pPr>
            <w:r w:rsidRPr="00E16672">
              <w:rPr>
                <w:rFonts w:ascii="Times New Roman" w:hAnsi="Times New Roman"/>
                <w:sz w:val="18"/>
                <w:szCs w:val="18"/>
                <w:lang w:val="uk-UA"/>
              </w:rPr>
              <w:t>Статут</w:t>
            </w:r>
          </w:p>
        </w:tc>
      </w:tr>
      <w:tr w:rsidR="00493A17" w:rsidRPr="00E16672" w14:paraId="099E9BBB" w14:textId="77777777" w:rsidTr="00D43FD2">
        <w:tc>
          <w:tcPr>
            <w:tcW w:w="2197" w:type="dxa"/>
            <w:shd w:val="clear" w:color="auto" w:fill="auto"/>
          </w:tcPr>
          <w:p w14:paraId="485BFE93" w14:textId="77777777" w:rsidR="00493A17" w:rsidRPr="00E16672" w:rsidRDefault="00493A17" w:rsidP="00493A17">
            <w:pPr>
              <w:snapToGrid w:val="0"/>
              <w:ind w:firstLine="0"/>
              <w:rPr>
                <w:rFonts w:ascii="Times New Roman" w:hAnsi="Times New Roman"/>
                <w:color w:val="000000"/>
                <w:sz w:val="18"/>
                <w:szCs w:val="18"/>
                <w:lang w:val="uk-UA"/>
              </w:rPr>
            </w:pPr>
          </w:p>
        </w:tc>
        <w:tc>
          <w:tcPr>
            <w:tcW w:w="3016" w:type="dxa"/>
            <w:gridSpan w:val="3"/>
            <w:shd w:val="clear" w:color="auto" w:fill="auto"/>
          </w:tcPr>
          <w:p w14:paraId="0C422718" w14:textId="77777777" w:rsidR="00493A17" w:rsidRPr="00E16672" w:rsidRDefault="00493A17" w:rsidP="00493A17">
            <w:pPr>
              <w:pStyle w:val="6"/>
              <w:tabs>
                <w:tab w:val="clear" w:pos="-501"/>
                <w:tab w:val="left" w:pos="6"/>
              </w:tabs>
              <w:snapToGrid w:val="0"/>
              <w:ind w:left="6" w:firstLine="0"/>
              <w:jc w:val="left"/>
              <w:rPr>
                <w:rFonts w:ascii="Times New Roman" w:hAnsi="Times New Roman"/>
                <w:b/>
                <w:i/>
                <w:color w:val="000000"/>
                <w:sz w:val="18"/>
                <w:szCs w:val="18"/>
                <w:lang w:val="uk-UA"/>
              </w:rPr>
            </w:pPr>
          </w:p>
        </w:tc>
        <w:tc>
          <w:tcPr>
            <w:tcW w:w="262" w:type="dxa"/>
            <w:shd w:val="clear" w:color="auto" w:fill="auto"/>
            <w:vAlign w:val="center"/>
          </w:tcPr>
          <w:p w14:paraId="60E28774" w14:textId="77777777" w:rsidR="00493A17" w:rsidRPr="00E16672" w:rsidRDefault="00493A17" w:rsidP="00493A17">
            <w:pPr>
              <w:snapToGrid w:val="0"/>
              <w:rPr>
                <w:rFonts w:ascii="Times New Roman" w:hAnsi="Times New Roman"/>
                <w:color w:val="000000"/>
                <w:sz w:val="18"/>
                <w:szCs w:val="18"/>
                <w:lang w:val="uk-UA"/>
              </w:rPr>
            </w:pPr>
          </w:p>
        </w:tc>
        <w:tc>
          <w:tcPr>
            <w:tcW w:w="1972" w:type="dxa"/>
            <w:shd w:val="clear" w:color="auto" w:fill="auto"/>
          </w:tcPr>
          <w:p w14:paraId="6D734EC5" w14:textId="77777777" w:rsidR="00493A17" w:rsidRPr="00E16672" w:rsidRDefault="00493A17" w:rsidP="00493A17">
            <w:pPr>
              <w:snapToGrid w:val="0"/>
              <w:ind w:firstLine="0"/>
              <w:jc w:val="left"/>
              <w:rPr>
                <w:rFonts w:ascii="Times New Roman" w:hAnsi="Times New Roman"/>
                <w:b/>
                <w:sz w:val="18"/>
                <w:szCs w:val="18"/>
                <w:lang w:val="uk-UA"/>
              </w:rPr>
            </w:pPr>
          </w:p>
        </w:tc>
        <w:tc>
          <w:tcPr>
            <w:tcW w:w="3303" w:type="dxa"/>
            <w:gridSpan w:val="3"/>
            <w:shd w:val="clear" w:color="auto" w:fill="auto"/>
          </w:tcPr>
          <w:p w14:paraId="7BA1CF67" w14:textId="77777777" w:rsidR="00493A17" w:rsidRPr="00E16672" w:rsidRDefault="00493A17" w:rsidP="00493A17">
            <w:pPr>
              <w:snapToGrid w:val="0"/>
              <w:ind w:firstLine="0"/>
              <w:rPr>
                <w:rFonts w:ascii="Times New Roman" w:hAnsi="Times New Roman"/>
                <w:sz w:val="18"/>
                <w:szCs w:val="18"/>
              </w:rPr>
            </w:pPr>
          </w:p>
        </w:tc>
      </w:tr>
      <w:tr w:rsidR="00D43FD2" w:rsidRPr="00E16672" w14:paraId="3DFE4E8B" w14:textId="77777777" w:rsidTr="00D43FD2">
        <w:tc>
          <w:tcPr>
            <w:tcW w:w="2911" w:type="dxa"/>
            <w:gridSpan w:val="2"/>
            <w:shd w:val="clear" w:color="auto" w:fill="auto"/>
            <w:vAlign w:val="center"/>
          </w:tcPr>
          <w:p w14:paraId="24C90B69" w14:textId="77777777" w:rsidR="00D43FD2" w:rsidRPr="00E16672" w:rsidRDefault="00D43FD2" w:rsidP="00D43FD2">
            <w:pPr>
              <w:snapToGrid w:val="0"/>
              <w:ind w:firstLine="0"/>
              <w:rPr>
                <w:rFonts w:ascii="Times New Roman" w:hAnsi="Times New Roman"/>
                <w:color w:val="000000"/>
                <w:sz w:val="18"/>
                <w:szCs w:val="18"/>
                <w:lang w:val="uk-UA"/>
              </w:rPr>
            </w:pPr>
            <w:r w:rsidRPr="00E16672">
              <w:rPr>
                <w:rFonts w:ascii="Times New Roman" w:hAnsi="Times New Roman"/>
                <w:b/>
                <w:bCs/>
                <w:i/>
                <w:iCs/>
                <w:color w:val="000000"/>
                <w:sz w:val="18"/>
                <w:szCs w:val="18"/>
                <w:lang w:val="en-US"/>
              </w:rPr>
              <w:t>E-mail</w:t>
            </w:r>
          </w:p>
        </w:tc>
        <w:tc>
          <w:tcPr>
            <w:tcW w:w="2302" w:type="dxa"/>
            <w:gridSpan w:val="2"/>
            <w:shd w:val="clear" w:color="auto" w:fill="auto"/>
            <w:vAlign w:val="center"/>
          </w:tcPr>
          <w:p w14:paraId="4FC770A5" w14:textId="77777777" w:rsidR="00D43FD2" w:rsidRPr="00E16672" w:rsidRDefault="00D43FD2" w:rsidP="00D43FD2">
            <w:pPr>
              <w:pStyle w:val="6"/>
              <w:tabs>
                <w:tab w:val="clear" w:pos="-501"/>
                <w:tab w:val="left" w:pos="6"/>
              </w:tabs>
              <w:snapToGrid w:val="0"/>
              <w:ind w:left="6" w:firstLine="0"/>
              <w:jc w:val="left"/>
              <w:rPr>
                <w:rFonts w:ascii="Times New Roman" w:hAnsi="Times New Roman"/>
                <w:b/>
                <w:i/>
                <w:color w:val="000000"/>
                <w:sz w:val="18"/>
                <w:szCs w:val="18"/>
                <w:lang w:val="uk-UA"/>
              </w:rPr>
            </w:pPr>
          </w:p>
        </w:tc>
        <w:tc>
          <w:tcPr>
            <w:tcW w:w="262" w:type="dxa"/>
            <w:shd w:val="clear" w:color="auto" w:fill="auto"/>
          </w:tcPr>
          <w:p w14:paraId="313937F1" w14:textId="77777777" w:rsidR="00D43FD2" w:rsidRPr="00E16672" w:rsidRDefault="00D43FD2" w:rsidP="00D43FD2">
            <w:pPr>
              <w:snapToGrid w:val="0"/>
              <w:rPr>
                <w:rFonts w:ascii="Times New Roman" w:hAnsi="Times New Roman"/>
                <w:color w:val="000000"/>
                <w:sz w:val="18"/>
                <w:szCs w:val="18"/>
                <w:lang w:val="uk-UA"/>
              </w:rPr>
            </w:pPr>
          </w:p>
        </w:tc>
        <w:tc>
          <w:tcPr>
            <w:tcW w:w="2822" w:type="dxa"/>
            <w:gridSpan w:val="2"/>
            <w:shd w:val="clear" w:color="auto" w:fill="auto"/>
            <w:vAlign w:val="center"/>
          </w:tcPr>
          <w:p w14:paraId="7B23F5C2" w14:textId="77777777" w:rsidR="00D43FD2" w:rsidRPr="00E16672" w:rsidRDefault="00D43FD2" w:rsidP="00D43FD2">
            <w:pPr>
              <w:snapToGrid w:val="0"/>
              <w:ind w:firstLine="0"/>
              <w:jc w:val="left"/>
              <w:rPr>
                <w:rFonts w:ascii="Times New Roman" w:hAnsi="Times New Roman"/>
                <w:b/>
                <w:sz w:val="18"/>
                <w:szCs w:val="18"/>
                <w:lang w:val="uk-UA"/>
              </w:rPr>
            </w:pPr>
            <w:r w:rsidRPr="00E16672">
              <w:rPr>
                <w:rFonts w:ascii="Times New Roman" w:hAnsi="Times New Roman"/>
                <w:b/>
                <w:bCs/>
                <w:i/>
                <w:iCs/>
                <w:color w:val="000000"/>
                <w:sz w:val="18"/>
                <w:szCs w:val="18"/>
                <w:lang w:val="en-US"/>
              </w:rPr>
              <w:t>E-mail</w:t>
            </w:r>
          </w:p>
        </w:tc>
        <w:tc>
          <w:tcPr>
            <w:tcW w:w="2453" w:type="dxa"/>
            <w:gridSpan w:val="2"/>
            <w:shd w:val="clear" w:color="auto" w:fill="auto"/>
            <w:vAlign w:val="center"/>
          </w:tcPr>
          <w:p w14:paraId="2D98122F" w14:textId="77777777" w:rsidR="00D43FD2" w:rsidRPr="00E16672" w:rsidRDefault="00622BEB" w:rsidP="00D43FD2">
            <w:pPr>
              <w:snapToGrid w:val="0"/>
              <w:ind w:firstLine="0"/>
              <w:rPr>
                <w:rFonts w:ascii="Times New Roman" w:hAnsi="Times New Roman"/>
                <w:sz w:val="18"/>
                <w:szCs w:val="18"/>
                <w:lang w:val="uk-UA"/>
              </w:rPr>
            </w:pPr>
            <w:r>
              <w:rPr>
                <w:rFonts w:ascii="Times New Roman" w:hAnsi="Times New Roman"/>
                <w:bCs/>
                <w:sz w:val="18"/>
                <w:szCs w:val="18"/>
                <w:lang w:val="uk-UA"/>
              </w:rPr>
              <w:t>custody@comex.com.ua</w:t>
            </w:r>
          </w:p>
        </w:tc>
      </w:tr>
      <w:tr w:rsidR="00D43FD2" w:rsidRPr="00E16672" w14:paraId="5857BA5F" w14:textId="77777777" w:rsidTr="00D43FD2">
        <w:trPr>
          <w:trHeight w:val="273"/>
        </w:trPr>
        <w:tc>
          <w:tcPr>
            <w:tcW w:w="2911" w:type="dxa"/>
            <w:gridSpan w:val="2"/>
            <w:shd w:val="clear" w:color="auto" w:fill="auto"/>
            <w:vAlign w:val="center"/>
          </w:tcPr>
          <w:p w14:paraId="6018108C" w14:textId="77777777" w:rsidR="00D43FD2" w:rsidRPr="00E16672" w:rsidRDefault="00D43FD2" w:rsidP="00D43FD2">
            <w:pPr>
              <w:snapToGrid w:val="0"/>
              <w:ind w:firstLine="0"/>
              <w:rPr>
                <w:rFonts w:ascii="Times New Roman" w:hAnsi="Times New Roman"/>
                <w:color w:val="000000"/>
                <w:sz w:val="18"/>
                <w:szCs w:val="18"/>
                <w:lang w:val="uk-UA"/>
              </w:rPr>
            </w:pPr>
            <w:r w:rsidRPr="00E16672">
              <w:rPr>
                <w:rFonts w:ascii="Times New Roman" w:hAnsi="Times New Roman"/>
                <w:b/>
                <w:i/>
                <w:color w:val="000000"/>
                <w:sz w:val="18"/>
                <w:szCs w:val="18"/>
              </w:rPr>
              <w:t>Телефон</w:t>
            </w:r>
          </w:p>
        </w:tc>
        <w:tc>
          <w:tcPr>
            <w:tcW w:w="2302" w:type="dxa"/>
            <w:gridSpan w:val="2"/>
            <w:shd w:val="clear" w:color="auto" w:fill="auto"/>
            <w:vAlign w:val="center"/>
          </w:tcPr>
          <w:p w14:paraId="163FB3D6" w14:textId="77777777" w:rsidR="00D43FD2" w:rsidRPr="00E16672" w:rsidRDefault="00D43FD2" w:rsidP="00D43FD2">
            <w:pPr>
              <w:snapToGrid w:val="0"/>
              <w:ind w:firstLine="6"/>
              <w:rPr>
                <w:rFonts w:ascii="Times New Roman" w:hAnsi="Times New Roman"/>
                <w:b/>
                <w:bCs/>
                <w:i/>
                <w:iCs/>
                <w:color w:val="000000"/>
                <w:sz w:val="18"/>
                <w:szCs w:val="18"/>
                <w:lang w:val="uk-UA"/>
              </w:rPr>
            </w:pPr>
          </w:p>
        </w:tc>
        <w:tc>
          <w:tcPr>
            <w:tcW w:w="262" w:type="dxa"/>
            <w:shd w:val="clear" w:color="auto" w:fill="auto"/>
          </w:tcPr>
          <w:p w14:paraId="24E2DE94" w14:textId="77777777" w:rsidR="00D43FD2" w:rsidRPr="00E16672" w:rsidRDefault="00D43FD2" w:rsidP="00D43FD2">
            <w:pPr>
              <w:snapToGrid w:val="0"/>
              <w:rPr>
                <w:rFonts w:ascii="Times New Roman" w:hAnsi="Times New Roman"/>
                <w:color w:val="000000"/>
                <w:sz w:val="18"/>
                <w:szCs w:val="18"/>
                <w:lang w:val="uk-UA"/>
              </w:rPr>
            </w:pPr>
          </w:p>
        </w:tc>
        <w:tc>
          <w:tcPr>
            <w:tcW w:w="2822" w:type="dxa"/>
            <w:gridSpan w:val="2"/>
            <w:shd w:val="clear" w:color="auto" w:fill="auto"/>
            <w:vAlign w:val="center"/>
          </w:tcPr>
          <w:p w14:paraId="2E819255" w14:textId="77777777" w:rsidR="00D43FD2" w:rsidRPr="00E16672" w:rsidRDefault="00D43FD2" w:rsidP="00D43FD2">
            <w:pPr>
              <w:snapToGrid w:val="0"/>
              <w:ind w:firstLine="0"/>
              <w:jc w:val="left"/>
              <w:rPr>
                <w:rFonts w:ascii="Times New Roman" w:hAnsi="Times New Roman"/>
                <w:b/>
                <w:sz w:val="18"/>
                <w:szCs w:val="18"/>
                <w:lang w:val="uk-UA"/>
              </w:rPr>
            </w:pPr>
            <w:r w:rsidRPr="00E16672">
              <w:rPr>
                <w:rFonts w:ascii="Times New Roman" w:hAnsi="Times New Roman"/>
                <w:b/>
                <w:i/>
                <w:color w:val="000000"/>
                <w:sz w:val="18"/>
                <w:szCs w:val="18"/>
              </w:rPr>
              <w:t>Телефон</w:t>
            </w:r>
          </w:p>
        </w:tc>
        <w:tc>
          <w:tcPr>
            <w:tcW w:w="2453" w:type="dxa"/>
            <w:gridSpan w:val="2"/>
            <w:shd w:val="clear" w:color="auto" w:fill="auto"/>
            <w:vAlign w:val="center"/>
          </w:tcPr>
          <w:p w14:paraId="3BD7940E" w14:textId="77777777" w:rsidR="00D43FD2" w:rsidRPr="00E16672" w:rsidRDefault="00622BEB" w:rsidP="00D43FD2">
            <w:pPr>
              <w:snapToGrid w:val="0"/>
              <w:ind w:firstLine="0"/>
              <w:rPr>
                <w:rFonts w:ascii="Times New Roman" w:hAnsi="Times New Roman"/>
                <w:sz w:val="18"/>
                <w:szCs w:val="18"/>
                <w:lang w:val="uk-UA"/>
              </w:rPr>
            </w:pPr>
            <w:r>
              <w:rPr>
                <w:rFonts w:ascii="Times New Roman" w:hAnsi="Times New Roman"/>
                <w:bCs/>
                <w:sz w:val="18"/>
                <w:szCs w:val="18"/>
                <w:lang w:val="uk-UA"/>
              </w:rPr>
              <w:t>044 502 65 73</w:t>
            </w:r>
          </w:p>
        </w:tc>
      </w:tr>
      <w:tr w:rsidR="00D43FD2" w:rsidRPr="00E16672" w14:paraId="13DFFC80" w14:textId="77777777" w:rsidTr="00D43FD2">
        <w:trPr>
          <w:trHeight w:val="273"/>
        </w:trPr>
        <w:tc>
          <w:tcPr>
            <w:tcW w:w="2911" w:type="dxa"/>
            <w:gridSpan w:val="2"/>
            <w:shd w:val="clear" w:color="auto" w:fill="auto"/>
            <w:vAlign w:val="center"/>
          </w:tcPr>
          <w:p w14:paraId="3895ADD2" w14:textId="77777777" w:rsidR="00D43FD2" w:rsidRPr="00E16672" w:rsidRDefault="00D43FD2" w:rsidP="00D43FD2">
            <w:pPr>
              <w:snapToGrid w:val="0"/>
              <w:ind w:firstLine="0"/>
              <w:rPr>
                <w:rFonts w:ascii="Times New Roman" w:hAnsi="Times New Roman"/>
                <w:b/>
                <w:i/>
                <w:color w:val="000000"/>
                <w:sz w:val="18"/>
                <w:szCs w:val="18"/>
                <w:lang w:val="uk-UA"/>
              </w:rPr>
            </w:pPr>
            <w:r w:rsidRPr="00E16672">
              <w:rPr>
                <w:rFonts w:ascii="Times New Roman" w:hAnsi="Times New Roman"/>
                <w:b/>
                <w:i/>
                <w:color w:val="000000"/>
                <w:sz w:val="18"/>
                <w:szCs w:val="18"/>
              </w:rPr>
              <w:t>Факс</w:t>
            </w:r>
            <w:r w:rsidRPr="00E16672">
              <w:rPr>
                <w:rFonts w:ascii="Times New Roman" w:hAnsi="Times New Roman"/>
                <w:i/>
                <w:color w:val="000000"/>
                <w:sz w:val="18"/>
                <w:szCs w:val="18"/>
              </w:rPr>
              <w:t xml:space="preserve"> </w:t>
            </w:r>
            <w:r w:rsidRPr="00E16672">
              <w:rPr>
                <w:rFonts w:ascii="Times New Roman" w:hAnsi="Times New Roman"/>
                <w:bCs/>
                <w:i/>
                <w:iCs/>
                <w:color w:val="000000"/>
                <w:sz w:val="18"/>
                <w:szCs w:val="18"/>
                <w:lang w:val="uk-UA"/>
              </w:rPr>
              <w:t xml:space="preserve">(за </w:t>
            </w:r>
            <w:proofErr w:type="gramStart"/>
            <w:r w:rsidRPr="00E16672">
              <w:rPr>
                <w:rFonts w:ascii="Times New Roman" w:hAnsi="Times New Roman"/>
                <w:bCs/>
                <w:i/>
                <w:iCs/>
                <w:color w:val="000000"/>
                <w:sz w:val="18"/>
                <w:szCs w:val="18"/>
                <w:lang w:val="uk-UA"/>
              </w:rPr>
              <w:t>наявності)</w:t>
            </w:r>
            <w:r w:rsidRPr="00E16672">
              <w:rPr>
                <w:rFonts w:ascii="Times New Roman" w:hAnsi="Times New Roman"/>
                <w:color w:val="000000"/>
                <w:sz w:val="18"/>
                <w:szCs w:val="18"/>
              </w:rPr>
              <w:t xml:space="preserve">   </w:t>
            </w:r>
            <w:proofErr w:type="gramEnd"/>
          </w:p>
        </w:tc>
        <w:tc>
          <w:tcPr>
            <w:tcW w:w="2302" w:type="dxa"/>
            <w:gridSpan w:val="2"/>
            <w:shd w:val="clear" w:color="auto" w:fill="auto"/>
            <w:vAlign w:val="center"/>
          </w:tcPr>
          <w:p w14:paraId="613A2CED" w14:textId="77777777" w:rsidR="00D43FD2" w:rsidRPr="00E16672" w:rsidRDefault="00D43FD2" w:rsidP="00D43FD2">
            <w:pPr>
              <w:snapToGrid w:val="0"/>
              <w:ind w:firstLine="6"/>
              <w:rPr>
                <w:rFonts w:ascii="Times New Roman" w:hAnsi="Times New Roman"/>
                <w:b/>
                <w:bCs/>
                <w:i/>
                <w:iCs/>
                <w:color w:val="000000"/>
                <w:sz w:val="18"/>
                <w:szCs w:val="18"/>
                <w:lang w:val="uk-UA"/>
              </w:rPr>
            </w:pPr>
          </w:p>
        </w:tc>
        <w:tc>
          <w:tcPr>
            <w:tcW w:w="262" w:type="dxa"/>
            <w:shd w:val="clear" w:color="auto" w:fill="auto"/>
          </w:tcPr>
          <w:p w14:paraId="0FDA5F8F" w14:textId="77777777" w:rsidR="00D43FD2" w:rsidRPr="00E16672" w:rsidRDefault="00D43FD2" w:rsidP="00D43FD2">
            <w:pPr>
              <w:snapToGrid w:val="0"/>
              <w:rPr>
                <w:rFonts w:ascii="Times New Roman" w:hAnsi="Times New Roman"/>
                <w:color w:val="000000"/>
                <w:sz w:val="18"/>
                <w:szCs w:val="18"/>
                <w:lang w:val="uk-UA"/>
              </w:rPr>
            </w:pPr>
          </w:p>
        </w:tc>
        <w:tc>
          <w:tcPr>
            <w:tcW w:w="2822" w:type="dxa"/>
            <w:gridSpan w:val="2"/>
            <w:shd w:val="clear" w:color="auto" w:fill="auto"/>
            <w:vAlign w:val="center"/>
          </w:tcPr>
          <w:p w14:paraId="4790B429" w14:textId="77777777" w:rsidR="00D43FD2" w:rsidRPr="00E16672" w:rsidRDefault="00D43FD2" w:rsidP="00D43FD2">
            <w:pPr>
              <w:snapToGrid w:val="0"/>
              <w:ind w:firstLine="0"/>
              <w:jc w:val="left"/>
              <w:rPr>
                <w:rFonts w:ascii="Times New Roman" w:hAnsi="Times New Roman"/>
                <w:b/>
                <w:i/>
                <w:color w:val="000000"/>
                <w:sz w:val="18"/>
                <w:szCs w:val="18"/>
                <w:lang w:val="uk-UA"/>
              </w:rPr>
            </w:pPr>
            <w:r w:rsidRPr="00E16672">
              <w:rPr>
                <w:rFonts w:ascii="Times New Roman" w:hAnsi="Times New Roman"/>
                <w:b/>
                <w:i/>
                <w:color w:val="000000"/>
                <w:sz w:val="18"/>
                <w:szCs w:val="18"/>
              </w:rPr>
              <w:t>Факс</w:t>
            </w:r>
            <w:r w:rsidRPr="00E16672">
              <w:rPr>
                <w:rFonts w:ascii="Times New Roman" w:hAnsi="Times New Roman"/>
                <w:i/>
                <w:color w:val="000000"/>
                <w:sz w:val="18"/>
                <w:szCs w:val="18"/>
              </w:rPr>
              <w:t xml:space="preserve"> </w:t>
            </w:r>
            <w:r w:rsidRPr="00E16672">
              <w:rPr>
                <w:rFonts w:ascii="Times New Roman" w:hAnsi="Times New Roman"/>
                <w:bCs/>
                <w:i/>
                <w:iCs/>
                <w:color w:val="000000"/>
                <w:sz w:val="18"/>
                <w:szCs w:val="18"/>
                <w:lang w:val="uk-UA"/>
              </w:rPr>
              <w:t xml:space="preserve">(за </w:t>
            </w:r>
            <w:proofErr w:type="gramStart"/>
            <w:r w:rsidRPr="00E16672">
              <w:rPr>
                <w:rFonts w:ascii="Times New Roman" w:hAnsi="Times New Roman"/>
                <w:bCs/>
                <w:i/>
                <w:iCs/>
                <w:color w:val="000000"/>
                <w:sz w:val="18"/>
                <w:szCs w:val="18"/>
                <w:lang w:val="uk-UA"/>
              </w:rPr>
              <w:t>наявності)</w:t>
            </w:r>
            <w:r w:rsidRPr="00E16672">
              <w:rPr>
                <w:rFonts w:ascii="Times New Roman" w:hAnsi="Times New Roman"/>
                <w:color w:val="000000"/>
                <w:sz w:val="18"/>
                <w:szCs w:val="18"/>
              </w:rPr>
              <w:t xml:space="preserve">   </w:t>
            </w:r>
            <w:proofErr w:type="gramEnd"/>
          </w:p>
        </w:tc>
        <w:tc>
          <w:tcPr>
            <w:tcW w:w="2453" w:type="dxa"/>
            <w:gridSpan w:val="2"/>
            <w:shd w:val="clear" w:color="auto" w:fill="auto"/>
            <w:vAlign w:val="center"/>
          </w:tcPr>
          <w:p w14:paraId="155C601D" w14:textId="77777777" w:rsidR="00D43FD2" w:rsidRPr="00E16672" w:rsidRDefault="00D43FD2" w:rsidP="00D43FD2">
            <w:pPr>
              <w:snapToGrid w:val="0"/>
              <w:ind w:firstLine="0"/>
              <w:rPr>
                <w:rFonts w:ascii="Times New Roman" w:hAnsi="Times New Roman"/>
                <w:sz w:val="18"/>
                <w:szCs w:val="18"/>
                <w:lang w:val="uk-UA"/>
              </w:rPr>
            </w:pPr>
          </w:p>
        </w:tc>
      </w:tr>
      <w:tr w:rsidR="00D43FD2" w:rsidRPr="00E16672" w14:paraId="1321D17B" w14:textId="77777777" w:rsidTr="00D43FD2">
        <w:trPr>
          <w:trHeight w:val="273"/>
        </w:trPr>
        <w:tc>
          <w:tcPr>
            <w:tcW w:w="2911" w:type="dxa"/>
            <w:gridSpan w:val="2"/>
            <w:shd w:val="clear" w:color="auto" w:fill="auto"/>
          </w:tcPr>
          <w:p w14:paraId="12E66450" w14:textId="77777777" w:rsidR="00D43FD2" w:rsidRPr="00E16672" w:rsidRDefault="00D43FD2" w:rsidP="00D43FD2">
            <w:pPr>
              <w:snapToGrid w:val="0"/>
              <w:ind w:firstLine="0"/>
              <w:rPr>
                <w:rFonts w:ascii="Times New Roman" w:hAnsi="Times New Roman"/>
                <w:b/>
                <w:i/>
                <w:color w:val="000000"/>
                <w:sz w:val="18"/>
                <w:szCs w:val="18"/>
                <w:lang w:val="uk-UA"/>
              </w:rPr>
            </w:pPr>
          </w:p>
        </w:tc>
        <w:tc>
          <w:tcPr>
            <w:tcW w:w="2302" w:type="dxa"/>
            <w:gridSpan w:val="2"/>
            <w:shd w:val="clear" w:color="auto" w:fill="auto"/>
            <w:vAlign w:val="center"/>
          </w:tcPr>
          <w:p w14:paraId="2BA3122D" w14:textId="77777777" w:rsidR="00D43FD2" w:rsidRPr="00E16672" w:rsidRDefault="00D43FD2" w:rsidP="00D43FD2">
            <w:pPr>
              <w:snapToGrid w:val="0"/>
              <w:ind w:firstLine="6"/>
              <w:rPr>
                <w:rFonts w:ascii="Times New Roman" w:hAnsi="Times New Roman"/>
                <w:b/>
                <w:bCs/>
                <w:i/>
                <w:iCs/>
                <w:color w:val="000000"/>
                <w:sz w:val="18"/>
                <w:szCs w:val="18"/>
                <w:lang w:val="uk-UA"/>
              </w:rPr>
            </w:pPr>
          </w:p>
        </w:tc>
        <w:tc>
          <w:tcPr>
            <w:tcW w:w="262" w:type="dxa"/>
            <w:shd w:val="clear" w:color="auto" w:fill="auto"/>
          </w:tcPr>
          <w:p w14:paraId="29FD1C45" w14:textId="77777777" w:rsidR="00D43FD2" w:rsidRPr="00E16672" w:rsidRDefault="00D43FD2" w:rsidP="00D43FD2">
            <w:pPr>
              <w:snapToGrid w:val="0"/>
              <w:rPr>
                <w:rFonts w:ascii="Times New Roman" w:hAnsi="Times New Roman"/>
                <w:color w:val="000000"/>
                <w:sz w:val="18"/>
                <w:szCs w:val="18"/>
                <w:lang w:val="uk-UA"/>
              </w:rPr>
            </w:pPr>
          </w:p>
        </w:tc>
        <w:tc>
          <w:tcPr>
            <w:tcW w:w="2822" w:type="dxa"/>
            <w:gridSpan w:val="2"/>
            <w:shd w:val="clear" w:color="auto" w:fill="auto"/>
            <w:vAlign w:val="center"/>
          </w:tcPr>
          <w:p w14:paraId="6E324753" w14:textId="77777777" w:rsidR="007671CA" w:rsidRPr="00E16672" w:rsidRDefault="007671CA" w:rsidP="00D43FD2">
            <w:pPr>
              <w:snapToGrid w:val="0"/>
              <w:ind w:firstLine="0"/>
              <w:jc w:val="left"/>
              <w:rPr>
                <w:rFonts w:ascii="Times New Roman" w:hAnsi="Times New Roman"/>
                <w:b/>
                <w:i/>
                <w:color w:val="000000"/>
                <w:sz w:val="18"/>
                <w:szCs w:val="18"/>
                <w:lang w:val="uk-UA"/>
              </w:rPr>
            </w:pPr>
          </w:p>
          <w:p w14:paraId="19E72734" w14:textId="77777777" w:rsidR="00D43FD2" w:rsidRPr="00E16672" w:rsidRDefault="00D43FD2" w:rsidP="00D43FD2">
            <w:pPr>
              <w:snapToGrid w:val="0"/>
              <w:ind w:firstLine="0"/>
              <w:jc w:val="left"/>
              <w:rPr>
                <w:rFonts w:ascii="Times New Roman" w:hAnsi="Times New Roman"/>
                <w:b/>
                <w:i/>
                <w:color w:val="000000"/>
                <w:sz w:val="18"/>
                <w:szCs w:val="18"/>
                <w:lang w:val="uk-UA"/>
              </w:rPr>
            </w:pPr>
            <w:r w:rsidRPr="00E16672">
              <w:rPr>
                <w:rFonts w:ascii="Times New Roman" w:hAnsi="Times New Roman"/>
                <w:b/>
                <w:i/>
                <w:color w:val="000000"/>
                <w:sz w:val="18"/>
                <w:szCs w:val="18"/>
                <w:lang w:val="uk-UA"/>
              </w:rPr>
              <w:t xml:space="preserve">Ліцензія депозитарної установи </w:t>
            </w:r>
            <w:r w:rsidRPr="00E16672">
              <w:rPr>
                <w:rFonts w:ascii="Times New Roman" w:hAnsi="Times New Roman"/>
                <w:i/>
                <w:color w:val="000000"/>
                <w:sz w:val="18"/>
                <w:szCs w:val="18"/>
                <w:lang w:val="uk-UA"/>
              </w:rPr>
              <w:t>(серія, номер, дата видачі)</w:t>
            </w:r>
          </w:p>
        </w:tc>
        <w:tc>
          <w:tcPr>
            <w:tcW w:w="2453" w:type="dxa"/>
            <w:gridSpan w:val="2"/>
            <w:shd w:val="clear" w:color="auto" w:fill="auto"/>
            <w:vAlign w:val="center"/>
          </w:tcPr>
          <w:p w14:paraId="53D7A6AB" w14:textId="77777777" w:rsidR="00D43FD2" w:rsidRPr="00E16672" w:rsidRDefault="00D43FD2" w:rsidP="00D43FD2">
            <w:pPr>
              <w:snapToGrid w:val="0"/>
              <w:ind w:firstLine="0"/>
              <w:rPr>
                <w:rFonts w:ascii="Times New Roman" w:hAnsi="Times New Roman"/>
                <w:sz w:val="18"/>
                <w:szCs w:val="18"/>
                <w:lang w:val="uk-UA"/>
              </w:rPr>
            </w:pPr>
            <w:r w:rsidRPr="00E16672">
              <w:rPr>
                <w:rFonts w:ascii="Times New Roman" w:hAnsi="Times New Roman"/>
                <w:bCs/>
                <w:sz w:val="18"/>
                <w:szCs w:val="18"/>
                <w:lang w:val="uk-UA"/>
              </w:rPr>
              <w:t xml:space="preserve">АЕ </w:t>
            </w:r>
            <w:r w:rsidR="00E16672" w:rsidRPr="00E16672">
              <w:rPr>
                <w:rFonts w:ascii="Times New Roman" w:hAnsi="Times New Roman"/>
                <w:bCs/>
                <w:sz w:val="18"/>
                <w:szCs w:val="18"/>
                <w:lang w:val="uk-UA"/>
              </w:rPr>
              <w:t>263429</w:t>
            </w:r>
            <w:r w:rsidRPr="00E16672">
              <w:rPr>
                <w:rFonts w:ascii="Times New Roman" w:hAnsi="Times New Roman"/>
                <w:bCs/>
                <w:sz w:val="18"/>
                <w:szCs w:val="18"/>
                <w:lang w:val="uk-UA"/>
              </w:rPr>
              <w:t xml:space="preserve">, </w:t>
            </w:r>
            <w:r w:rsidR="00E16672" w:rsidRPr="00E16672">
              <w:rPr>
                <w:rFonts w:ascii="Times New Roman" w:hAnsi="Times New Roman"/>
                <w:bCs/>
                <w:sz w:val="18"/>
                <w:szCs w:val="18"/>
                <w:lang w:val="uk-UA"/>
              </w:rPr>
              <w:t>01.10.2013</w:t>
            </w:r>
            <w:r w:rsidRPr="00E16672">
              <w:rPr>
                <w:rFonts w:ascii="Times New Roman" w:hAnsi="Times New Roman"/>
                <w:bCs/>
                <w:sz w:val="18"/>
                <w:szCs w:val="18"/>
                <w:lang w:val="uk-UA"/>
              </w:rPr>
              <w:t xml:space="preserve"> р.</w:t>
            </w:r>
          </w:p>
        </w:tc>
      </w:tr>
    </w:tbl>
    <w:p w14:paraId="136E099E" w14:textId="77777777" w:rsidR="006D2BB7" w:rsidRPr="00E16672" w:rsidRDefault="006D2BB7" w:rsidP="006D2BB7">
      <w:pPr>
        <w:tabs>
          <w:tab w:val="left" w:pos="5954"/>
        </w:tabs>
        <w:rPr>
          <w:rFonts w:ascii="Times New Roman" w:hAnsi="Times New Roman"/>
          <w:b/>
          <w:bCs/>
          <w:color w:val="000000"/>
          <w:szCs w:val="20"/>
          <w:lang w:val="uk-UA"/>
        </w:rPr>
      </w:pPr>
      <w:r w:rsidRPr="00E16672">
        <w:rPr>
          <w:rFonts w:ascii="Times New Roman" w:hAnsi="Times New Roman"/>
          <w:b/>
          <w:bCs/>
          <w:color w:val="0000FF"/>
          <w:szCs w:val="20"/>
          <w:lang w:val="uk-UA"/>
        </w:rPr>
        <w:t xml:space="preserve">  </w:t>
      </w:r>
      <w:r w:rsidRPr="00E16672">
        <w:rPr>
          <w:rFonts w:ascii="Times New Roman" w:hAnsi="Times New Roman"/>
          <w:b/>
          <w:bCs/>
          <w:color w:val="000000"/>
          <w:szCs w:val="20"/>
          <w:lang w:val="uk-UA"/>
        </w:rPr>
        <w:t xml:space="preserve">                                                      </w:t>
      </w:r>
    </w:p>
    <w:p w14:paraId="7F73B322" w14:textId="77777777" w:rsidR="006D2BB7" w:rsidRPr="00E16672" w:rsidRDefault="006D2BB7" w:rsidP="006D2BB7">
      <w:pPr>
        <w:rPr>
          <w:rFonts w:ascii="Times New Roman" w:hAnsi="Times New Roman"/>
          <w:color w:val="000000"/>
          <w:szCs w:val="20"/>
          <w:lang w:val="uk-UA"/>
        </w:rPr>
      </w:pPr>
      <w:r w:rsidRPr="00E16672">
        <w:rPr>
          <w:rFonts w:ascii="Times New Roman" w:hAnsi="Times New Roman"/>
          <w:color w:val="000000"/>
          <w:szCs w:val="20"/>
          <w:lang w:val="uk-UA"/>
        </w:rPr>
        <w:t xml:space="preserve">         </w:t>
      </w:r>
    </w:p>
    <w:p w14:paraId="14AC1D29" w14:textId="77777777" w:rsidR="006D2BB7" w:rsidRPr="00E16672" w:rsidRDefault="006D2BB7" w:rsidP="006D2BB7">
      <w:pPr>
        <w:snapToGrid w:val="0"/>
        <w:rPr>
          <w:rFonts w:ascii="Times New Roman" w:hAnsi="Times New Roman"/>
          <w:b/>
          <w:bCs/>
          <w:color w:val="000000"/>
          <w:szCs w:val="20"/>
          <w:lang w:val="uk-UA"/>
        </w:rPr>
      </w:pPr>
      <w:r w:rsidRPr="00E16672">
        <w:rPr>
          <w:rFonts w:ascii="Times New Roman" w:hAnsi="Times New Roman"/>
          <w:b/>
          <w:bCs/>
          <w:iCs/>
          <w:color w:val="000000"/>
          <w:szCs w:val="20"/>
          <w:lang w:val="uk-UA"/>
        </w:rPr>
        <w:t xml:space="preserve">  З</w:t>
      </w:r>
      <w:r w:rsidR="005D35AE" w:rsidRPr="00E16672">
        <w:rPr>
          <w:rFonts w:ascii="Times New Roman" w:hAnsi="Times New Roman"/>
          <w:b/>
          <w:bCs/>
          <w:iCs/>
          <w:color w:val="000000"/>
          <w:szCs w:val="20"/>
          <w:lang w:val="uk-UA"/>
        </w:rPr>
        <w:t>АМОВНИК</w:t>
      </w:r>
      <w:r w:rsidRPr="00E16672">
        <w:rPr>
          <w:rFonts w:ascii="Times New Roman" w:hAnsi="Times New Roman"/>
          <w:b/>
          <w:bCs/>
          <w:iCs/>
          <w:color w:val="000000"/>
          <w:szCs w:val="20"/>
          <w:lang w:val="uk-UA"/>
        </w:rPr>
        <w:t xml:space="preserve">:                                                                               </w:t>
      </w:r>
      <w:r w:rsidR="005D35AE" w:rsidRPr="00E16672">
        <w:rPr>
          <w:rFonts w:ascii="Times New Roman" w:hAnsi="Times New Roman"/>
          <w:b/>
          <w:bCs/>
          <w:iCs/>
          <w:color w:val="000000"/>
          <w:szCs w:val="20"/>
          <w:lang w:val="uk-UA"/>
        </w:rPr>
        <w:t>ВИКОНАВЕЦЬ</w:t>
      </w:r>
      <w:r w:rsidRPr="00E16672">
        <w:rPr>
          <w:rFonts w:ascii="Times New Roman" w:hAnsi="Times New Roman"/>
          <w:b/>
          <w:bCs/>
          <w:color w:val="000000"/>
          <w:szCs w:val="20"/>
          <w:lang w:val="uk-UA"/>
        </w:rPr>
        <w:t>:</w:t>
      </w:r>
    </w:p>
    <w:p w14:paraId="29E76079" w14:textId="77777777" w:rsidR="006D2BB7" w:rsidRPr="00E16672" w:rsidRDefault="006D2BB7" w:rsidP="006D2BB7">
      <w:pPr>
        <w:rPr>
          <w:rFonts w:ascii="Times New Roman" w:hAnsi="Times New Roman"/>
          <w:color w:val="000000"/>
        </w:rPr>
      </w:pPr>
    </w:p>
    <w:p w14:paraId="2C6CCCBD" w14:textId="77777777" w:rsidR="006D2BB7" w:rsidRPr="00E16672" w:rsidRDefault="006D2BB7" w:rsidP="00F82710">
      <w:pPr>
        <w:ind w:firstLine="0"/>
        <w:jc w:val="left"/>
        <w:rPr>
          <w:rFonts w:ascii="Times New Roman" w:hAnsi="Times New Roman"/>
          <w:color w:val="000000"/>
          <w:szCs w:val="20"/>
          <w:lang w:val="uk-UA"/>
        </w:rPr>
      </w:pPr>
      <w:r w:rsidRPr="00E16672">
        <w:rPr>
          <w:rFonts w:ascii="Times New Roman" w:hAnsi="Times New Roman"/>
          <w:color w:val="000000"/>
          <w:szCs w:val="20"/>
          <w:lang w:val="uk-UA"/>
        </w:rPr>
        <w:t xml:space="preserve">                    _______________ (_________________)               </w:t>
      </w:r>
      <w:r w:rsidR="00602650">
        <w:rPr>
          <w:rFonts w:ascii="Times New Roman" w:hAnsi="Times New Roman"/>
          <w:color w:val="000000"/>
          <w:szCs w:val="20"/>
          <w:lang w:val="uk-UA"/>
        </w:rPr>
        <w:t xml:space="preserve">             </w:t>
      </w:r>
      <w:r w:rsidRPr="00E16672">
        <w:rPr>
          <w:rFonts w:ascii="Times New Roman" w:hAnsi="Times New Roman"/>
          <w:color w:val="000000"/>
          <w:szCs w:val="20"/>
          <w:lang w:val="uk-UA"/>
        </w:rPr>
        <w:t xml:space="preserve">  __________________ (</w:t>
      </w:r>
      <w:r w:rsidR="006517E7">
        <w:rPr>
          <w:rFonts w:ascii="Times New Roman" w:hAnsi="Times New Roman"/>
          <w:color w:val="000000"/>
          <w:szCs w:val="20"/>
          <w:lang w:val="uk-UA"/>
        </w:rPr>
        <w:t>_______________________)</w:t>
      </w:r>
    </w:p>
    <w:p w14:paraId="64F72CC6" w14:textId="77777777" w:rsidR="006D2BB7" w:rsidRPr="00E16672" w:rsidRDefault="006D2BB7" w:rsidP="006D2BB7">
      <w:pPr>
        <w:spacing w:line="216" w:lineRule="auto"/>
        <w:ind w:firstLine="709"/>
        <w:rPr>
          <w:rFonts w:ascii="Times New Roman" w:hAnsi="Times New Roman"/>
          <w:bCs/>
          <w:i/>
          <w:color w:val="000000"/>
          <w:sz w:val="14"/>
          <w:szCs w:val="14"/>
          <w:lang w:val="uk-UA"/>
        </w:rPr>
      </w:pPr>
      <w:r w:rsidRPr="00E16672">
        <w:rPr>
          <w:rFonts w:ascii="Times New Roman" w:hAnsi="Times New Roman"/>
          <w:bCs/>
          <w:i/>
          <w:color w:val="000000"/>
          <w:sz w:val="14"/>
          <w:szCs w:val="14"/>
          <w:lang w:val="uk-UA"/>
        </w:rPr>
        <w:t xml:space="preserve">    </w:t>
      </w:r>
      <w:r w:rsidR="00AA10EC" w:rsidRPr="00E16672">
        <w:rPr>
          <w:rFonts w:ascii="Times New Roman" w:hAnsi="Times New Roman"/>
          <w:bCs/>
          <w:i/>
          <w:color w:val="000000"/>
          <w:sz w:val="14"/>
          <w:szCs w:val="14"/>
          <w:lang w:val="uk-UA"/>
        </w:rPr>
        <w:t xml:space="preserve">                           </w:t>
      </w:r>
      <w:r w:rsidRPr="00E16672">
        <w:rPr>
          <w:rFonts w:ascii="Times New Roman" w:hAnsi="Times New Roman"/>
          <w:bCs/>
          <w:i/>
          <w:color w:val="000000"/>
          <w:sz w:val="14"/>
          <w:szCs w:val="14"/>
          <w:lang w:val="uk-UA"/>
        </w:rPr>
        <w:t xml:space="preserve">  </w:t>
      </w:r>
      <w:r w:rsidR="00AA10EC" w:rsidRPr="00E16672">
        <w:rPr>
          <w:rFonts w:ascii="Times New Roman" w:hAnsi="Times New Roman"/>
          <w:bCs/>
          <w:i/>
          <w:color w:val="000000"/>
          <w:sz w:val="14"/>
          <w:szCs w:val="14"/>
          <w:lang w:val="uk-UA"/>
        </w:rPr>
        <w:t>В</w:t>
      </w:r>
      <w:r w:rsidRPr="00E16672">
        <w:rPr>
          <w:rFonts w:ascii="Times New Roman" w:hAnsi="Times New Roman"/>
          <w:bCs/>
          <w:i/>
          <w:color w:val="000000"/>
          <w:sz w:val="14"/>
          <w:szCs w:val="14"/>
          <w:lang w:val="uk-UA"/>
        </w:rPr>
        <w:t>.</w:t>
      </w:r>
      <w:r w:rsidR="00AA10EC" w:rsidRPr="00E16672">
        <w:rPr>
          <w:rFonts w:ascii="Times New Roman" w:hAnsi="Times New Roman"/>
          <w:bCs/>
          <w:i/>
          <w:color w:val="000000"/>
          <w:sz w:val="14"/>
          <w:szCs w:val="14"/>
          <w:lang w:val="uk-UA"/>
        </w:rPr>
        <w:t>П</w:t>
      </w:r>
      <w:r w:rsidRPr="00E16672">
        <w:rPr>
          <w:rFonts w:ascii="Times New Roman" w:hAnsi="Times New Roman"/>
          <w:bCs/>
          <w:i/>
          <w:color w:val="000000"/>
          <w:sz w:val="14"/>
          <w:szCs w:val="14"/>
          <w:lang w:val="uk-UA"/>
        </w:rPr>
        <w:t>.(</w:t>
      </w:r>
      <w:r w:rsidR="003352AE" w:rsidRPr="00E16672">
        <w:rPr>
          <w:rFonts w:ascii="Times New Roman" w:hAnsi="Times New Roman"/>
          <w:bCs/>
          <w:i/>
          <w:color w:val="000000"/>
          <w:sz w:val="14"/>
          <w:szCs w:val="14"/>
          <w:lang w:val="uk-UA"/>
        </w:rPr>
        <w:t>у разі використання</w:t>
      </w:r>
      <w:r w:rsidRPr="00E16672">
        <w:rPr>
          <w:rFonts w:ascii="Times New Roman" w:hAnsi="Times New Roman"/>
          <w:bCs/>
          <w:i/>
          <w:color w:val="000000"/>
          <w:sz w:val="14"/>
          <w:szCs w:val="14"/>
          <w:lang w:val="uk-UA"/>
        </w:rPr>
        <w:t xml:space="preserve">), підпис                                                                             </w:t>
      </w:r>
      <w:r w:rsidR="00AA10EC" w:rsidRPr="00E16672">
        <w:rPr>
          <w:rFonts w:ascii="Times New Roman" w:hAnsi="Times New Roman"/>
          <w:bCs/>
          <w:i/>
          <w:color w:val="000000"/>
          <w:sz w:val="14"/>
          <w:szCs w:val="14"/>
          <w:lang w:val="uk-UA"/>
        </w:rPr>
        <w:t>В</w:t>
      </w:r>
      <w:r w:rsidRPr="00E16672">
        <w:rPr>
          <w:rFonts w:ascii="Times New Roman" w:hAnsi="Times New Roman"/>
          <w:bCs/>
          <w:i/>
          <w:color w:val="000000"/>
          <w:sz w:val="14"/>
          <w:szCs w:val="14"/>
          <w:lang w:val="uk-UA"/>
        </w:rPr>
        <w:t>.</w:t>
      </w:r>
      <w:r w:rsidR="00AA10EC" w:rsidRPr="00E16672">
        <w:rPr>
          <w:rFonts w:ascii="Times New Roman" w:hAnsi="Times New Roman"/>
          <w:bCs/>
          <w:i/>
          <w:color w:val="000000"/>
          <w:sz w:val="14"/>
          <w:szCs w:val="14"/>
          <w:lang w:val="uk-UA"/>
        </w:rPr>
        <w:t>П</w:t>
      </w:r>
      <w:r w:rsidRPr="00E16672">
        <w:rPr>
          <w:rFonts w:ascii="Times New Roman" w:hAnsi="Times New Roman"/>
          <w:bCs/>
          <w:i/>
          <w:color w:val="000000"/>
          <w:sz w:val="14"/>
          <w:szCs w:val="14"/>
          <w:lang w:val="uk-UA"/>
        </w:rPr>
        <w:t>.</w:t>
      </w:r>
      <w:r w:rsidR="00DD0C00" w:rsidRPr="00E16672">
        <w:rPr>
          <w:rFonts w:ascii="Times New Roman" w:hAnsi="Times New Roman"/>
          <w:bCs/>
          <w:i/>
          <w:color w:val="000000"/>
          <w:sz w:val="14"/>
          <w:szCs w:val="14"/>
          <w:lang w:val="uk-UA"/>
        </w:rPr>
        <w:t>,</w:t>
      </w:r>
      <w:r w:rsidRPr="00E16672">
        <w:rPr>
          <w:rFonts w:ascii="Times New Roman" w:hAnsi="Times New Roman"/>
          <w:bCs/>
          <w:i/>
          <w:color w:val="000000"/>
          <w:sz w:val="14"/>
          <w:szCs w:val="14"/>
          <w:lang w:val="uk-UA"/>
        </w:rPr>
        <w:t xml:space="preserve"> підпис</w:t>
      </w:r>
    </w:p>
    <w:p w14:paraId="797D9805" w14:textId="77777777" w:rsidR="0045385C" w:rsidRPr="00E16672" w:rsidRDefault="006D2BB7" w:rsidP="0045385C">
      <w:pPr>
        <w:tabs>
          <w:tab w:val="left" w:pos="-1843"/>
          <w:tab w:val="left" w:pos="-1701"/>
        </w:tabs>
        <w:jc w:val="right"/>
        <w:rPr>
          <w:rFonts w:ascii="Times New Roman" w:hAnsi="Times New Roman"/>
          <w:color w:val="000000"/>
          <w:szCs w:val="20"/>
          <w:lang w:val="uk-UA"/>
        </w:rPr>
      </w:pPr>
      <w:r w:rsidRPr="00E16672">
        <w:rPr>
          <w:rFonts w:ascii="Times New Roman" w:hAnsi="Times New Roman"/>
          <w:i/>
          <w:iCs/>
          <w:color w:val="0000FF"/>
          <w:sz w:val="14"/>
          <w:szCs w:val="14"/>
          <w:lang w:val="uk-UA"/>
        </w:rPr>
        <w:br w:type="page"/>
      </w:r>
    </w:p>
    <w:p w14:paraId="623DEDD4" w14:textId="77777777" w:rsidR="006D2BB7" w:rsidRPr="00E16672" w:rsidRDefault="006D2BB7" w:rsidP="006D2BB7">
      <w:pPr>
        <w:ind w:firstLine="709"/>
        <w:rPr>
          <w:rFonts w:ascii="Times New Roman" w:hAnsi="Times New Roman"/>
          <w:color w:val="000000"/>
          <w:szCs w:val="20"/>
          <w:lang w:val="uk-UA"/>
        </w:rPr>
      </w:pPr>
      <w:r w:rsidRPr="00E16672">
        <w:rPr>
          <w:rFonts w:ascii="Times New Roman" w:hAnsi="Times New Roman"/>
          <w:color w:val="000000"/>
          <w:szCs w:val="20"/>
          <w:lang w:val="uk-UA"/>
        </w:rPr>
        <w:lastRenderedPageBreak/>
        <w:t xml:space="preserve">                                                   </w:t>
      </w:r>
    </w:p>
    <w:p w14:paraId="7CD9BB26" w14:textId="77777777" w:rsidR="006D2BB7" w:rsidRPr="00E16672" w:rsidRDefault="006D2BB7" w:rsidP="006D2BB7">
      <w:pPr>
        <w:ind w:right="283"/>
        <w:jc w:val="center"/>
        <w:rPr>
          <w:rFonts w:ascii="Times New Roman" w:hAnsi="Times New Roman"/>
          <w:b/>
          <w:color w:val="000000"/>
          <w:szCs w:val="20"/>
        </w:rPr>
      </w:pPr>
      <w:proofErr w:type="spellStart"/>
      <w:r w:rsidRPr="00E16672">
        <w:rPr>
          <w:rFonts w:ascii="Times New Roman" w:hAnsi="Times New Roman"/>
          <w:b/>
          <w:color w:val="000000"/>
          <w:szCs w:val="20"/>
        </w:rPr>
        <w:t>Договір</w:t>
      </w:r>
      <w:proofErr w:type="spellEnd"/>
      <w:r w:rsidRPr="00E16672">
        <w:rPr>
          <w:rFonts w:ascii="Times New Roman" w:hAnsi="Times New Roman"/>
          <w:b/>
          <w:color w:val="000000"/>
          <w:szCs w:val="20"/>
        </w:rPr>
        <w:t xml:space="preserve"> №__  </w:t>
      </w:r>
    </w:p>
    <w:p w14:paraId="47ED988A" w14:textId="77777777" w:rsidR="006D2BB7" w:rsidRPr="00E16672" w:rsidRDefault="006D2BB7" w:rsidP="006D2BB7">
      <w:pPr>
        <w:ind w:right="283"/>
        <w:jc w:val="center"/>
        <w:rPr>
          <w:rFonts w:ascii="Times New Roman" w:hAnsi="Times New Roman"/>
          <w:b/>
          <w:color w:val="000000"/>
          <w:szCs w:val="20"/>
        </w:rPr>
      </w:pPr>
      <w:r w:rsidRPr="00E16672">
        <w:rPr>
          <w:rFonts w:ascii="Times New Roman" w:hAnsi="Times New Roman"/>
          <w:b/>
          <w:color w:val="000000"/>
          <w:szCs w:val="20"/>
        </w:rPr>
        <w:t xml:space="preserve"> про </w:t>
      </w:r>
      <w:proofErr w:type="spellStart"/>
      <w:proofErr w:type="gramStart"/>
      <w:r w:rsidRPr="00E16672">
        <w:rPr>
          <w:rFonts w:ascii="Times New Roman" w:hAnsi="Times New Roman"/>
          <w:b/>
          <w:color w:val="000000"/>
          <w:szCs w:val="20"/>
        </w:rPr>
        <w:t>надання</w:t>
      </w:r>
      <w:proofErr w:type="spellEnd"/>
      <w:r w:rsidRPr="00E16672">
        <w:rPr>
          <w:rFonts w:ascii="Times New Roman" w:hAnsi="Times New Roman"/>
          <w:b/>
          <w:color w:val="000000"/>
          <w:szCs w:val="20"/>
        </w:rPr>
        <w:t xml:space="preserve">  </w:t>
      </w:r>
      <w:proofErr w:type="spellStart"/>
      <w:r w:rsidRPr="00E16672">
        <w:rPr>
          <w:rFonts w:ascii="Times New Roman" w:hAnsi="Times New Roman"/>
          <w:b/>
          <w:color w:val="000000"/>
          <w:szCs w:val="20"/>
        </w:rPr>
        <w:t>інформаційних</w:t>
      </w:r>
      <w:proofErr w:type="spellEnd"/>
      <w:proofErr w:type="gramEnd"/>
      <w:r w:rsidRPr="00E16672">
        <w:rPr>
          <w:rFonts w:ascii="Times New Roman" w:hAnsi="Times New Roman"/>
          <w:b/>
          <w:color w:val="000000"/>
          <w:szCs w:val="20"/>
        </w:rPr>
        <w:t xml:space="preserve"> </w:t>
      </w:r>
      <w:proofErr w:type="spellStart"/>
      <w:r w:rsidRPr="00E16672">
        <w:rPr>
          <w:rFonts w:ascii="Times New Roman" w:hAnsi="Times New Roman"/>
          <w:b/>
          <w:color w:val="000000"/>
          <w:szCs w:val="20"/>
        </w:rPr>
        <w:t>послуг</w:t>
      </w:r>
      <w:proofErr w:type="spellEnd"/>
      <w:r w:rsidR="003A3CDF" w:rsidRPr="00E16672">
        <w:rPr>
          <w:rFonts w:ascii="Times New Roman" w:hAnsi="Times New Roman"/>
          <w:b/>
          <w:color w:val="000000"/>
          <w:szCs w:val="20"/>
        </w:rPr>
        <w:t xml:space="preserve"> - </w:t>
      </w:r>
      <w:r w:rsidRPr="00E16672">
        <w:rPr>
          <w:rFonts w:ascii="Times New Roman" w:hAnsi="Times New Roman"/>
          <w:b/>
          <w:color w:val="000000"/>
          <w:szCs w:val="20"/>
        </w:rPr>
        <w:t>(</w:t>
      </w:r>
      <w:proofErr w:type="spellStart"/>
      <w:r w:rsidRPr="00E16672">
        <w:rPr>
          <w:rFonts w:ascii="Times New Roman" w:hAnsi="Times New Roman"/>
          <w:b/>
          <w:color w:val="000000"/>
          <w:szCs w:val="20"/>
        </w:rPr>
        <w:t>довідково-аналітичних</w:t>
      </w:r>
      <w:proofErr w:type="spellEnd"/>
      <w:r w:rsidRPr="00E16672">
        <w:rPr>
          <w:rFonts w:ascii="Times New Roman" w:hAnsi="Times New Roman"/>
          <w:b/>
          <w:color w:val="000000"/>
          <w:szCs w:val="20"/>
        </w:rPr>
        <w:t xml:space="preserve"> </w:t>
      </w:r>
      <w:proofErr w:type="spellStart"/>
      <w:r w:rsidRPr="00E16672">
        <w:rPr>
          <w:rFonts w:ascii="Times New Roman" w:hAnsi="Times New Roman"/>
          <w:b/>
          <w:color w:val="000000"/>
          <w:szCs w:val="20"/>
        </w:rPr>
        <w:t>матеріалів</w:t>
      </w:r>
      <w:proofErr w:type="spellEnd"/>
      <w:r w:rsidRPr="00E16672">
        <w:rPr>
          <w:rFonts w:ascii="Times New Roman" w:hAnsi="Times New Roman"/>
          <w:b/>
          <w:color w:val="000000"/>
          <w:szCs w:val="20"/>
        </w:rPr>
        <w:t>)</w:t>
      </w:r>
    </w:p>
    <w:p w14:paraId="0101CA2B" w14:textId="77777777" w:rsidR="006D2BB7" w:rsidRPr="00E16672" w:rsidRDefault="006D2BB7" w:rsidP="006D2BB7">
      <w:pPr>
        <w:jc w:val="center"/>
        <w:rPr>
          <w:rFonts w:ascii="Times New Roman" w:hAnsi="Times New Roman"/>
          <w:szCs w:val="20"/>
        </w:rPr>
      </w:pPr>
    </w:p>
    <w:p w14:paraId="3CB5738B" w14:textId="77777777" w:rsidR="00EF78D0" w:rsidRDefault="006D2BB7" w:rsidP="00EF78D0">
      <w:pPr>
        <w:rPr>
          <w:rFonts w:ascii="Times New Roman" w:hAnsi="Times New Roman"/>
          <w:color w:val="000000"/>
          <w:szCs w:val="20"/>
          <w:lang w:val="uk-UA"/>
        </w:rPr>
      </w:pPr>
      <w:r w:rsidRPr="00E16672">
        <w:rPr>
          <w:rFonts w:ascii="Times New Roman" w:hAnsi="Times New Roman"/>
          <w:color w:val="000000"/>
          <w:szCs w:val="20"/>
          <w:lang w:val="uk-UA"/>
        </w:rPr>
        <w:t xml:space="preserve">      </w:t>
      </w:r>
      <w:r w:rsidR="00EF78D0" w:rsidRPr="00EF78D0">
        <w:rPr>
          <w:rFonts w:ascii="Times New Roman" w:hAnsi="Times New Roman"/>
          <w:color w:val="000000"/>
          <w:szCs w:val="20"/>
          <w:lang w:val="uk-UA"/>
        </w:rPr>
        <w:t xml:space="preserve">м. Київ </w:t>
      </w:r>
      <w:r w:rsidR="00EF78D0" w:rsidRPr="00EF78D0">
        <w:rPr>
          <w:rFonts w:ascii="Times New Roman" w:hAnsi="Times New Roman"/>
          <w:color w:val="000000"/>
          <w:szCs w:val="20"/>
          <w:lang w:val="uk-UA"/>
        </w:rPr>
        <w:tab/>
      </w:r>
      <w:r w:rsidR="00EF78D0" w:rsidRPr="00EF78D0">
        <w:rPr>
          <w:rFonts w:ascii="Times New Roman" w:hAnsi="Times New Roman"/>
          <w:color w:val="000000"/>
          <w:szCs w:val="20"/>
          <w:lang w:val="uk-UA"/>
        </w:rPr>
        <w:tab/>
      </w:r>
      <w:r w:rsidR="00EF78D0" w:rsidRPr="00EF78D0">
        <w:rPr>
          <w:rFonts w:ascii="Times New Roman" w:hAnsi="Times New Roman"/>
          <w:color w:val="000000"/>
          <w:szCs w:val="20"/>
          <w:lang w:val="uk-UA"/>
        </w:rPr>
        <w:tab/>
      </w:r>
      <w:r w:rsidR="00EF78D0">
        <w:rPr>
          <w:rFonts w:ascii="Times New Roman" w:hAnsi="Times New Roman"/>
          <w:color w:val="000000"/>
          <w:szCs w:val="20"/>
          <w:lang w:val="uk-UA"/>
        </w:rPr>
        <w:tab/>
      </w:r>
      <w:r w:rsidR="00EF78D0">
        <w:rPr>
          <w:rFonts w:ascii="Times New Roman" w:hAnsi="Times New Roman"/>
          <w:color w:val="000000"/>
          <w:szCs w:val="20"/>
          <w:lang w:val="uk-UA"/>
        </w:rPr>
        <w:tab/>
      </w:r>
      <w:r w:rsidR="00EF78D0">
        <w:rPr>
          <w:rFonts w:ascii="Times New Roman" w:hAnsi="Times New Roman"/>
          <w:color w:val="000000"/>
          <w:szCs w:val="20"/>
          <w:lang w:val="uk-UA"/>
        </w:rPr>
        <w:tab/>
      </w:r>
      <w:r w:rsidR="00EF78D0">
        <w:rPr>
          <w:rFonts w:ascii="Times New Roman" w:hAnsi="Times New Roman"/>
          <w:color w:val="000000"/>
          <w:szCs w:val="20"/>
          <w:lang w:val="uk-UA"/>
        </w:rPr>
        <w:tab/>
      </w:r>
      <w:r w:rsidR="00EF78D0">
        <w:rPr>
          <w:rFonts w:ascii="Times New Roman" w:hAnsi="Times New Roman"/>
          <w:color w:val="000000"/>
          <w:szCs w:val="20"/>
          <w:lang w:val="uk-UA"/>
        </w:rPr>
        <w:tab/>
      </w:r>
      <w:r w:rsidR="00EF78D0" w:rsidRPr="00EF78D0">
        <w:rPr>
          <w:rFonts w:ascii="Times New Roman" w:hAnsi="Times New Roman"/>
          <w:color w:val="000000"/>
          <w:szCs w:val="20"/>
          <w:lang w:val="uk-UA"/>
        </w:rPr>
        <w:tab/>
        <w:t>"       " ____________ 20____р</w:t>
      </w:r>
    </w:p>
    <w:p w14:paraId="181E5D83" w14:textId="77777777" w:rsidR="006D2BB7" w:rsidRPr="00E16672" w:rsidRDefault="006D2BB7" w:rsidP="00EF78D0">
      <w:pPr>
        <w:rPr>
          <w:rFonts w:ascii="Times New Roman" w:hAnsi="Times New Roman"/>
          <w:color w:val="000000"/>
          <w:szCs w:val="20"/>
          <w:lang w:val="uk-UA"/>
        </w:rPr>
      </w:pPr>
    </w:p>
    <w:p w14:paraId="5FF62A81" w14:textId="77777777" w:rsidR="006D2BB7" w:rsidRPr="00E16672" w:rsidRDefault="006D2BB7" w:rsidP="006517E7">
      <w:pPr>
        <w:pStyle w:val="21"/>
        <w:ind w:right="30"/>
        <w:rPr>
          <w:rFonts w:ascii="Times New Roman" w:hAnsi="Times New Roman"/>
          <w:color w:val="000000"/>
          <w:lang w:val="uk-UA"/>
        </w:rPr>
      </w:pPr>
      <w:r w:rsidRPr="00E16672">
        <w:rPr>
          <w:rFonts w:ascii="Times New Roman" w:hAnsi="Times New Roman"/>
          <w:lang w:val="uk-UA"/>
        </w:rPr>
        <w:t xml:space="preserve">ТОВАРИСТВО З ОБМЕЖЕНОЮ ВІДПОВІДАЛЬНІСТЮ </w:t>
      </w:r>
      <w:r w:rsidR="00022F5F">
        <w:rPr>
          <w:rFonts w:ascii="Times New Roman" w:hAnsi="Times New Roman"/>
          <w:lang w:val="uk-UA"/>
        </w:rPr>
        <w:t>"</w:t>
      </w:r>
      <w:r w:rsidR="00E16672" w:rsidRPr="00E16672">
        <w:rPr>
          <w:rFonts w:ascii="Times New Roman" w:hAnsi="Times New Roman"/>
          <w:lang w:val="uk-UA"/>
        </w:rPr>
        <w:t>КОМЕКС ЦІННІ ПАПЕРИ</w:t>
      </w:r>
      <w:r w:rsidR="00022F5F">
        <w:rPr>
          <w:rFonts w:ascii="Times New Roman" w:hAnsi="Times New Roman"/>
          <w:lang w:val="uk-UA"/>
        </w:rPr>
        <w:t>"</w:t>
      </w:r>
      <w:r w:rsidRPr="00E16672">
        <w:rPr>
          <w:rFonts w:ascii="Times New Roman" w:hAnsi="Times New Roman"/>
          <w:lang w:val="uk-UA"/>
        </w:rPr>
        <w:t xml:space="preserve">, код за ЄДРПОУ </w:t>
      </w:r>
      <w:r w:rsidR="00E16672" w:rsidRPr="00E16672">
        <w:rPr>
          <w:rFonts w:ascii="Times New Roman" w:hAnsi="Times New Roman"/>
          <w:lang w:val="uk-UA"/>
        </w:rPr>
        <w:t>33153077</w:t>
      </w:r>
      <w:r w:rsidRPr="00E16672">
        <w:rPr>
          <w:rFonts w:ascii="Times New Roman" w:hAnsi="Times New Roman"/>
          <w:lang w:val="uk-UA"/>
        </w:rPr>
        <w:t xml:space="preserve"> (надалі – </w:t>
      </w:r>
      <w:r w:rsidR="007671CA" w:rsidRPr="00E16672">
        <w:rPr>
          <w:rFonts w:ascii="Times New Roman" w:hAnsi="Times New Roman"/>
          <w:lang w:val="uk-UA"/>
        </w:rPr>
        <w:t>Виконавець</w:t>
      </w:r>
      <w:r w:rsidRPr="00E16672">
        <w:rPr>
          <w:rFonts w:ascii="Times New Roman" w:hAnsi="Times New Roman"/>
          <w:lang w:val="uk-UA"/>
        </w:rPr>
        <w:t xml:space="preserve">), що здійснює депозитарну діяльність депозитарної установи на підставі ліцензії серія АЕ № </w:t>
      </w:r>
      <w:r w:rsidR="00E16672" w:rsidRPr="00E16672">
        <w:rPr>
          <w:rFonts w:ascii="Times New Roman" w:hAnsi="Times New Roman"/>
          <w:lang w:val="uk-UA"/>
        </w:rPr>
        <w:t>263429</w:t>
      </w:r>
      <w:r w:rsidRPr="00E16672">
        <w:rPr>
          <w:rFonts w:ascii="Times New Roman" w:hAnsi="Times New Roman"/>
          <w:lang w:val="uk-UA"/>
        </w:rPr>
        <w:t xml:space="preserve">, виданої Національною комісією з цінних паперів та фондового ринку </w:t>
      </w:r>
      <w:r w:rsidR="00E16672" w:rsidRPr="00E16672">
        <w:rPr>
          <w:rFonts w:ascii="Times New Roman" w:hAnsi="Times New Roman"/>
          <w:lang w:val="uk-UA"/>
        </w:rPr>
        <w:t>01.10.2013</w:t>
      </w:r>
      <w:r w:rsidRPr="00E16672">
        <w:rPr>
          <w:rFonts w:ascii="Times New Roman" w:hAnsi="Times New Roman"/>
          <w:lang w:val="uk-UA"/>
        </w:rPr>
        <w:t xml:space="preserve">р.  (надалі – НКЦПФР), в особі директора </w:t>
      </w:r>
      <w:r w:rsidR="006517E7" w:rsidRPr="006517E7">
        <w:rPr>
          <w:rFonts w:ascii="Times New Roman" w:hAnsi="Times New Roman"/>
          <w:lang w:val="uk-UA"/>
        </w:rPr>
        <w:t>Король Оксани Іванівни</w:t>
      </w:r>
      <w:r w:rsidRPr="00E16672">
        <w:rPr>
          <w:rFonts w:ascii="Times New Roman" w:hAnsi="Times New Roman"/>
          <w:lang w:val="uk-UA"/>
        </w:rPr>
        <w:t xml:space="preserve">, що діє на підставі Статуту з одного боку, </w:t>
      </w:r>
      <w:r w:rsidR="007671CA" w:rsidRPr="00E16672">
        <w:rPr>
          <w:rFonts w:ascii="Times New Roman" w:hAnsi="Times New Roman"/>
          <w:lang w:val="uk-UA"/>
        </w:rPr>
        <w:t xml:space="preserve">Емітент </w:t>
      </w:r>
      <w:r w:rsidR="006517E7">
        <w:rPr>
          <w:rFonts w:ascii="Times New Roman" w:hAnsi="Times New Roman"/>
          <w:lang w:val="uk-UA"/>
        </w:rPr>
        <w:t>___</w:t>
      </w:r>
      <w:r w:rsidR="007671CA" w:rsidRPr="00E16672">
        <w:rPr>
          <w:rFonts w:ascii="Times New Roman" w:hAnsi="Times New Roman"/>
          <w:lang w:val="uk-UA"/>
        </w:rPr>
        <w:t>______</w:t>
      </w:r>
      <w:r w:rsidR="006517E7">
        <w:rPr>
          <w:rFonts w:ascii="Times New Roman" w:hAnsi="Times New Roman"/>
          <w:lang w:val="uk-UA"/>
        </w:rPr>
        <w:t>_______</w:t>
      </w:r>
      <w:r w:rsidR="007671CA" w:rsidRPr="00E16672">
        <w:rPr>
          <w:rFonts w:ascii="Times New Roman" w:hAnsi="Times New Roman"/>
          <w:lang w:val="uk-UA"/>
        </w:rPr>
        <w:t>________________, в особі директора ____________</w:t>
      </w:r>
      <w:r w:rsidR="006517E7">
        <w:rPr>
          <w:rFonts w:ascii="Times New Roman" w:hAnsi="Times New Roman"/>
          <w:lang w:val="uk-UA"/>
        </w:rPr>
        <w:t>____________</w:t>
      </w:r>
      <w:r w:rsidR="007671CA" w:rsidRPr="00E16672">
        <w:rPr>
          <w:rFonts w:ascii="Times New Roman" w:hAnsi="Times New Roman"/>
          <w:lang w:val="uk-UA"/>
        </w:rPr>
        <w:t>_______, (надалі - Замовник)</w:t>
      </w:r>
      <w:r w:rsidRPr="00E16672">
        <w:rPr>
          <w:rFonts w:ascii="Times New Roman" w:hAnsi="Times New Roman"/>
          <w:lang w:val="uk-UA"/>
        </w:rPr>
        <w:t>, що діє на підставі __</w:t>
      </w:r>
      <w:r w:rsidR="006517E7">
        <w:rPr>
          <w:rFonts w:ascii="Times New Roman" w:hAnsi="Times New Roman"/>
          <w:lang w:val="uk-UA"/>
        </w:rPr>
        <w:t>____</w:t>
      </w:r>
      <w:r w:rsidRPr="00E16672">
        <w:rPr>
          <w:rFonts w:ascii="Times New Roman" w:hAnsi="Times New Roman"/>
          <w:lang w:val="uk-UA"/>
        </w:rPr>
        <w:t xml:space="preserve">_____, з другого боку, надалі </w:t>
      </w:r>
      <w:proofErr w:type="spellStart"/>
      <w:r w:rsidRPr="00E16672">
        <w:rPr>
          <w:rFonts w:ascii="Times New Roman" w:hAnsi="Times New Roman"/>
          <w:lang w:val="uk-UA"/>
        </w:rPr>
        <w:t>поiменованi</w:t>
      </w:r>
      <w:proofErr w:type="spellEnd"/>
      <w:r w:rsidRPr="00E16672">
        <w:rPr>
          <w:rFonts w:ascii="Times New Roman" w:hAnsi="Times New Roman"/>
          <w:lang w:val="uk-UA"/>
        </w:rPr>
        <w:t xml:space="preserve"> Сторонами, склали цей Договір про </w:t>
      </w:r>
      <w:proofErr w:type="spellStart"/>
      <w:r w:rsidRPr="00E16672">
        <w:rPr>
          <w:rFonts w:ascii="Times New Roman" w:hAnsi="Times New Roman"/>
          <w:lang w:val="uk-UA"/>
        </w:rPr>
        <w:t>про</w:t>
      </w:r>
      <w:proofErr w:type="spellEnd"/>
      <w:r w:rsidRPr="00E16672">
        <w:rPr>
          <w:rFonts w:ascii="Times New Roman" w:hAnsi="Times New Roman"/>
          <w:lang w:val="uk-UA"/>
        </w:rPr>
        <w:t xml:space="preserve"> </w:t>
      </w:r>
      <w:r w:rsidRPr="00E16672">
        <w:rPr>
          <w:rFonts w:ascii="Times New Roman" w:hAnsi="Times New Roman"/>
          <w:color w:val="000000"/>
          <w:lang w:val="uk-UA"/>
        </w:rPr>
        <w:t>нижченаведене:</w:t>
      </w:r>
    </w:p>
    <w:p w14:paraId="01C96E62" w14:textId="77777777" w:rsidR="007671CA" w:rsidRPr="00E16672" w:rsidRDefault="007671CA" w:rsidP="007671CA">
      <w:pPr>
        <w:pStyle w:val="2"/>
        <w:numPr>
          <w:ilvl w:val="1"/>
          <w:numId w:val="0"/>
        </w:numPr>
        <w:tabs>
          <w:tab w:val="num" w:pos="0"/>
        </w:tabs>
        <w:spacing w:before="0" w:after="0"/>
        <w:ind w:firstLine="567"/>
        <w:rPr>
          <w:rFonts w:ascii="Times New Roman" w:hAnsi="Times New Roman" w:cs="Times New Roman"/>
          <w:szCs w:val="20"/>
          <w:lang w:val="uk-UA"/>
        </w:rPr>
      </w:pPr>
    </w:p>
    <w:p w14:paraId="279C5F13" w14:textId="77777777" w:rsidR="007671CA" w:rsidRPr="00E16672" w:rsidRDefault="007671CA" w:rsidP="007671CA">
      <w:pPr>
        <w:pStyle w:val="2"/>
        <w:numPr>
          <w:ilvl w:val="1"/>
          <w:numId w:val="0"/>
        </w:numPr>
        <w:tabs>
          <w:tab w:val="num" w:pos="0"/>
        </w:tabs>
        <w:spacing w:before="0" w:after="0"/>
        <w:ind w:firstLine="567"/>
        <w:rPr>
          <w:rFonts w:ascii="Times New Roman" w:hAnsi="Times New Roman" w:cs="Times New Roman"/>
          <w:szCs w:val="20"/>
          <w:lang w:val="uk-UA"/>
        </w:rPr>
      </w:pPr>
      <w:r w:rsidRPr="00E16672">
        <w:rPr>
          <w:rFonts w:ascii="Times New Roman" w:hAnsi="Times New Roman" w:cs="Times New Roman"/>
          <w:szCs w:val="20"/>
        </w:rPr>
        <w:t>I. ПРЕДМЕТ УГОДИ</w:t>
      </w:r>
    </w:p>
    <w:p w14:paraId="34F81B98" w14:textId="77777777" w:rsidR="007671CA" w:rsidRPr="00E16672" w:rsidRDefault="007671CA" w:rsidP="007671CA">
      <w:pPr>
        <w:rPr>
          <w:rFonts w:ascii="Times New Roman" w:hAnsi="Times New Roman"/>
          <w:szCs w:val="20"/>
          <w:lang w:val="en-US"/>
        </w:rPr>
      </w:pPr>
    </w:p>
    <w:p w14:paraId="2D476FD6" w14:textId="77777777" w:rsidR="007671CA" w:rsidRPr="00E16672" w:rsidRDefault="007671CA" w:rsidP="000D0438">
      <w:pPr>
        <w:numPr>
          <w:ilvl w:val="1"/>
          <w:numId w:val="27"/>
        </w:numPr>
        <w:rPr>
          <w:rFonts w:ascii="Times New Roman" w:hAnsi="Times New Roman"/>
          <w:szCs w:val="20"/>
          <w:lang w:val="uk-UA"/>
        </w:rPr>
      </w:pPr>
      <w:r w:rsidRPr="00E16672">
        <w:rPr>
          <w:rFonts w:ascii="Times New Roman" w:hAnsi="Times New Roman"/>
          <w:szCs w:val="20"/>
          <w:lang w:val="uk-UA"/>
        </w:rPr>
        <w:t>Замовник доручає, а Виконавець приймає на себе обов’язки щодо надання консультаційних послуг з питань:</w:t>
      </w:r>
    </w:p>
    <w:p w14:paraId="289A2183" w14:textId="77777777" w:rsidR="007671CA" w:rsidRPr="00E16672" w:rsidRDefault="00980F19" w:rsidP="00022F5F">
      <w:pPr>
        <w:numPr>
          <w:ilvl w:val="0"/>
          <w:numId w:val="28"/>
        </w:numPr>
        <w:ind w:left="0" w:firstLine="567"/>
        <w:jc w:val="left"/>
        <w:rPr>
          <w:rFonts w:ascii="Times New Roman" w:hAnsi="Times New Roman"/>
          <w:szCs w:val="20"/>
          <w:lang w:val="uk-UA"/>
        </w:rPr>
      </w:pPr>
      <w:r w:rsidRPr="00E16672">
        <w:rPr>
          <w:rFonts w:ascii="Times New Roman" w:hAnsi="Times New Roman"/>
          <w:szCs w:val="20"/>
          <w:lang w:val="uk-UA"/>
        </w:rPr>
        <w:t xml:space="preserve">складання, розкриття та надання до Національної комісії з цінних паперів та фондового ринку регулярної річної інформації за 20__ рік Замовника, як емітента цінних паперів, у відповідності до вимог чинного законодавства, у тому числі  у відповідності до </w:t>
      </w:r>
      <w:r w:rsidR="00022F5F">
        <w:rPr>
          <w:rFonts w:ascii="Times New Roman" w:hAnsi="Times New Roman"/>
          <w:szCs w:val="20"/>
          <w:lang w:val="uk-UA"/>
        </w:rPr>
        <w:t>"</w:t>
      </w:r>
      <w:r w:rsidRPr="00E16672">
        <w:rPr>
          <w:rFonts w:ascii="Times New Roman" w:hAnsi="Times New Roman"/>
          <w:szCs w:val="20"/>
          <w:lang w:val="uk-UA"/>
        </w:rPr>
        <w:t>Положення про розкриття інформації емітентами цінних паперів</w:t>
      </w:r>
      <w:r w:rsidR="00022F5F">
        <w:rPr>
          <w:rFonts w:ascii="Times New Roman" w:hAnsi="Times New Roman"/>
          <w:szCs w:val="20"/>
          <w:lang w:val="uk-UA"/>
        </w:rPr>
        <w:t>"</w:t>
      </w:r>
      <w:r w:rsidRPr="00E16672">
        <w:rPr>
          <w:rFonts w:ascii="Times New Roman" w:hAnsi="Times New Roman"/>
          <w:szCs w:val="20"/>
          <w:lang w:val="uk-UA"/>
        </w:rPr>
        <w:t>, затвердженого Рішенням НКЦПФР № 2826 від 03.12.2013 р. (із змінами</w:t>
      </w:r>
      <w:r w:rsidR="007671CA" w:rsidRPr="00E16672">
        <w:rPr>
          <w:rFonts w:ascii="Times New Roman" w:hAnsi="Times New Roman"/>
          <w:szCs w:val="20"/>
          <w:lang w:val="uk-UA"/>
        </w:rPr>
        <w:t>).</w:t>
      </w:r>
    </w:p>
    <w:p w14:paraId="3C045DFB" w14:textId="77777777" w:rsidR="007671CA" w:rsidRPr="00E16672" w:rsidRDefault="007671CA" w:rsidP="007671CA">
      <w:pPr>
        <w:ind w:left="567"/>
        <w:rPr>
          <w:rFonts w:ascii="Times New Roman" w:hAnsi="Times New Roman"/>
          <w:szCs w:val="20"/>
          <w:lang w:val="uk-UA"/>
        </w:rPr>
      </w:pPr>
    </w:p>
    <w:p w14:paraId="0E96334A" w14:textId="77777777" w:rsidR="007671CA" w:rsidRPr="00E16672" w:rsidRDefault="007671CA" w:rsidP="007671CA">
      <w:pPr>
        <w:pStyle w:val="2"/>
        <w:numPr>
          <w:ilvl w:val="1"/>
          <w:numId w:val="0"/>
        </w:numPr>
        <w:tabs>
          <w:tab w:val="num" w:pos="0"/>
        </w:tabs>
        <w:spacing w:before="0" w:after="0"/>
        <w:ind w:firstLine="567"/>
        <w:rPr>
          <w:rFonts w:ascii="Times New Roman" w:hAnsi="Times New Roman" w:cs="Times New Roman"/>
          <w:szCs w:val="20"/>
          <w:lang w:val="uk-UA"/>
        </w:rPr>
      </w:pPr>
      <w:r w:rsidRPr="00E16672">
        <w:rPr>
          <w:rFonts w:ascii="Times New Roman" w:hAnsi="Times New Roman" w:cs="Times New Roman"/>
          <w:szCs w:val="20"/>
        </w:rPr>
        <w:t>II. ПРАВА ТА ОБОВ`ЯЗКИ СТОРІН</w:t>
      </w:r>
    </w:p>
    <w:p w14:paraId="333A4DD7" w14:textId="77777777" w:rsidR="007671CA" w:rsidRPr="00E16672" w:rsidRDefault="007671CA" w:rsidP="007671CA">
      <w:pPr>
        <w:rPr>
          <w:rFonts w:ascii="Times New Roman" w:hAnsi="Times New Roman"/>
          <w:szCs w:val="20"/>
          <w:lang w:val="uk-UA"/>
        </w:rPr>
      </w:pPr>
    </w:p>
    <w:p w14:paraId="5EC8EE2C" w14:textId="77777777" w:rsidR="007671CA" w:rsidRPr="00E16672" w:rsidRDefault="007671CA" w:rsidP="007671CA">
      <w:pPr>
        <w:rPr>
          <w:rFonts w:ascii="Times New Roman" w:hAnsi="Times New Roman"/>
          <w:b/>
          <w:szCs w:val="20"/>
          <w:lang w:val="uk-UA"/>
        </w:rPr>
      </w:pPr>
      <w:r w:rsidRPr="00E16672">
        <w:rPr>
          <w:rFonts w:ascii="Times New Roman" w:hAnsi="Times New Roman"/>
          <w:b/>
          <w:szCs w:val="20"/>
          <w:lang w:val="uk-UA"/>
        </w:rPr>
        <w:t>2.1. Виконавець зобов`язаний:</w:t>
      </w:r>
    </w:p>
    <w:p w14:paraId="5D65E93F" w14:textId="77777777" w:rsidR="007671CA" w:rsidRPr="00E16672" w:rsidRDefault="007671CA" w:rsidP="007671CA">
      <w:pPr>
        <w:tabs>
          <w:tab w:val="left" w:pos="851"/>
          <w:tab w:val="left" w:pos="1276"/>
        </w:tabs>
        <w:rPr>
          <w:rFonts w:ascii="Times New Roman" w:hAnsi="Times New Roman"/>
          <w:szCs w:val="20"/>
          <w:lang w:val="uk-UA"/>
        </w:rPr>
      </w:pPr>
      <w:r w:rsidRPr="00E16672">
        <w:rPr>
          <w:rFonts w:ascii="Times New Roman" w:hAnsi="Times New Roman"/>
          <w:szCs w:val="20"/>
          <w:lang w:val="uk-UA"/>
        </w:rPr>
        <w:t>2.1.1.  Під час виконання цього Договору надавати консультаційні послуги в усному та/або письмовому вигляді.</w:t>
      </w:r>
    </w:p>
    <w:p w14:paraId="29B1F8DE" w14:textId="77777777" w:rsidR="007671CA" w:rsidRPr="00E16672" w:rsidRDefault="007671CA" w:rsidP="007671CA">
      <w:pPr>
        <w:tabs>
          <w:tab w:val="left" w:pos="851"/>
          <w:tab w:val="left" w:pos="1134"/>
        </w:tabs>
        <w:rPr>
          <w:rFonts w:ascii="Times New Roman" w:hAnsi="Times New Roman"/>
          <w:szCs w:val="20"/>
          <w:lang w:val="uk-UA"/>
        </w:rPr>
      </w:pPr>
      <w:r w:rsidRPr="00E16672">
        <w:rPr>
          <w:rFonts w:ascii="Times New Roman" w:hAnsi="Times New Roman"/>
          <w:szCs w:val="20"/>
          <w:lang w:val="uk-UA"/>
        </w:rPr>
        <w:t>2.1.2. Не розголошувати відомості та інформацію, які стануть відомими Виконавцю під час виконання цього Договору.</w:t>
      </w:r>
    </w:p>
    <w:p w14:paraId="2BA53477" w14:textId="77777777" w:rsidR="007671CA" w:rsidRPr="00E16672" w:rsidRDefault="007671CA" w:rsidP="007671CA">
      <w:pPr>
        <w:tabs>
          <w:tab w:val="left" w:pos="851"/>
          <w:tab w:val="left" w:pos="1134"/>
        </w:tabs>
        <w:rPr>
          <w:rFonts w:ascii="Times New Roman" w:hAnsi="Times New Roman"/>
          <w:szCs w:val="20"/>
          <w:lang w:val="uk-UA"/>
        </w:rPr>
      </w:pPr>
      <w:r w:rsidRPr="00E16672">
        <w:rPr>
          <w:rFonts w:ascii="Times New Roman" w:hAnsi="Times New Roman"/>
          <w:szCs w:val="20"/>
          <w:lang w:val="uk-UA"/>
        </w:rPr>
        <w:t>2.1.3. Надати послуги згідно з п.1.1. цього Договору у відповідності до вимог чинного законодавства за умови надання Замовником інформації та/або документів, необхідних для надання послуг</w:t>
      </w:r>
      <w:r w:rsidRPr="00E16672">
        <w:rPr>
          <w:rFonts w:ascii="Times New Roman" w:hAnsi="Times New Roman"/>
          <w:szCs w:val="20"/>
        </w:rPr>
        <w:t xml:space="preserve"> </w:t>
      </w:r>
      <w:r w:rsidRPr="00E16672">
        <w:rPr>
          <w:rFonts w:ascii="Times New Roman" w:hAnsi="Times New Roman"/>
          <w:szCs w:val="20"/>
          <w:lang w:val="uk-UA"/>
        </w:rPr>
        <w:t>відповідно до положень цього Договору.</w:t>
      </w:r>
    </w:p>
    <w:p w14:paraId="7BDA8E92" w14:textId="77777777" w:rsidR="007671CA" w:rsidRPr="00E16672" w:rsidRDefault="007671CA" w:rsidP="007671CA">
      <w:pPr>
        <w:ind w:right="-1"/>
        <w:rPr>
          <w:rFonts w:ascii="Times New Roman" w:hAnsi="Times New Roman"/>
          <w:szCs w:val="20"/>
          <w:lang w:val="uk-UA"/>
        </w:rPr>
      </w:pPr>
      <w:r w:rsidRPr="00E16672">
        <w:rPr>
          <w:rFonts w:ascii="Times New Roman" w:hAnsi="Times New Roman"/>
          <w:szCs w:val="20"/>
          <w:lang w:val="uk-UA"/>
        </w:rPr>
        <w:t>2.1.4. Протягом одного робочого дня з дати отримання від Замовника на електронну адресу  Виконавця</w:t>
      </w:r>
      <w:r w:rsidRPr="00E16672">
        <w:rPr>
          <w:rFonts w:ascii="Times New Roman" w:hAnsi="Times New Roman"/>
          <w:szCs w:val="20"/>
        </w:rPr>
        <w:t xml:space="preserve"> </w:t>
      </w:r>
      <w:r w:rsidRPr="00E16672">
        <w:rPr>
          <w:rFonts w:ascii="Times New Roman" w:hAnsi="Times New Roman"/>
          <w:szCs w:val="20"/>
          <w:lang w:val="uk-UA"/>
        </w:rPr>
        <w:t>документів та/або інформації за цим Договором направити повідомлення на електронну адресу</w:t>
      </w:r>
      <w:r w:rsidRPr="00E16672">
        <w:rPr>
          <w:rFonts w:ascii="Times New Roman" w:hAnsi="Times New Roman"/>
          <w:szCs w:val="20"/>
        </w:rPr>
        <w:t xml:space="preserve"> </w:t>
      </w:r>
      <w:r w:rsidRPr="00E16672">
        <w:rPr>
          <w:rFonts w:ascii="Times New Roman" w:hAnsi="Times New Roman"/>
          <w:szCs w:val="20"/>
          <w:lang w:val="uk-UA"/>
        </w:rPr>
        <w:t xml:space="preserve">Замовника про повноту та достатність документів та інформації, передбачених цим Договором, для надання послуг згідно п. 1.1. цього Договору.  </w:t>
      </w:r>
    </w:p>
    <w:p w14:paraId="0A9C72F9" w14:textId="77777777" w:rsidR="007671CA" w:rsidRPr="00E16672" w:rsidRDefault="007671CA" w:rsidP="007671CA">
      <w:pPr>
        <w:ind w:right="-1"/>
        <w:rPr>
          <w:rFonts w:ascii="Times New Roman" w:hAnsi="Times New Roman"/>
          <w:szCs w:val="20"/>
          <w:lang w:val="uk-UA"/>
        </w:rPr>
      </w:pPr>
      <w:r w:rsidRPr="00E16672">
        <w:rPr>
          <w:rFonts w:ascii="Times New Roman" w:hAnsi="Times New Roman"/>
          <w:szCs w:val="20"/>
          <w:lang w:val="uk-UA"/>
        </w:rPr>
        <w:t>2.1.5. У разі недостатності документів та/або інформації, або надання неповного переліку документів та/або інформації, необхідності отримання уточнень щодо документів та інформації, наданих Замовником,  направити на електронну адресу Замовника запит на надання інформації та документів із зазначенням терміну надання запитуваної інформації.</w:t>
      </w:r>
    </w:p>
    <w:p w14:paraId="2EF37EB8" w14:textId="77777777" w:rsidR="00DD0C00" w:rsidRPr="00E16672" w:rsidRDefault="00DD0C00" w:rsidP="00022F5F">
      <w:pPr>
        <w:ind w:right="-1"/>
        <w:jc w:val="left"/>
        <w:rPr>
          <w:rFonts w:ascii="Times New Roman" w:hAnsi="Times New Roman"/>
          <w:szCs w:val="20"/>
          <w:lang w:val="uk-UA"/>
        </w:rPr>
      </w:pPr>
      <w:r w:rsidRPr="00E16672">
        <w:rPr>
          <w:rFonts w:ascii="Times New Roman" w:hAnsi="Times New Roman"/>
          <w:szCs w:val="20"/>
          <w:lang w:val="uk-UA"/>
        </w:rPr>
        <w:t>2.1.6. Розкривати Замовнику інформацію про умови та порядок діяльності депозитарної установи з урахуванням вимог, встановлених</w:t>
      </w:r>
      <w:r w:rsidRPr="00E16672">
        <w:rPr>
          <w:rFonts w:ascii="Times New Roman" w:hAnsi="Times New Roman"/>
          <w:szCs w:val="20"/>
        </w:rPr>
        <w:t> </w:t>
      </w:r>
      <w:r w:rsidRPr="00E16672">
        <w:rPr>
          <w:rFonts w:ascii="Times New Roman" w:hAnsi="Times New Roman"/>
          <w:szCs w:val="20"/>
          <w:lang w:val="uk-UA"/>
        </w:rPr>
        <w:t xml:space="preserve">частиною першою статті 12 Закону України </w:t>
      </w:r>
      <w:r w:rsidR="00022F5F">
        <w:rPr>
          <w:rFonts w:ascii="Times New Roman" w:hAnsi="Times New Roman"/>
          <w:szCs w:val="20"/>
          <w:lang w:val="uk-UA"/>
        </w:rPr>
        <w:t>"</w:t>
      </w:r>
      <w:r w:rsidRPr="00E16672">
        <w:rPr>
          <w:rFonts w:ascii="Times New Roman" w:hAnsi="Times New Roman"/>
          <w:szCs w:val="20"/>
          <w:lang w:val="uk-UA"/>
        </w:rPr>
        <w:t>Про фінансові послуги та державне регулювання ринків фінансових послуг</w:t>
      </w:r>
      <w:r w:rsidR="00022F5F">
        <w:rPr>
          <w:rFonts w:ascii="Times New Roman" w:hAnsi="Times New Roman"/>
          <w:szCs w:val="20"/>
          <w:lang w:val="uk-UA"/>
        </w:rPr>
        <w:t>"</w:t>
      </w:r>
      <w:r w:rsidRPr="00E16672">
        <w:rPr>
          <w:rFonts w:ascii="Times New Roman" w:hAnsi="Times New Roman"/>
          <w:szCs w:val="20"/>
          <w:lang w:val="uk-UA"/>
        </w:rPr>
        <w:t>.</w:t>
      </w:r>
    </w:p>
    <w:p w14:paraId="4E511E87" w14:textId="77777777" w:rsidR="007671CA" w:rsidRPr="00E16672" w:rsidRDefault="007671CA" w:rsidP="007671CA">
      <w:pPr>
        <w:rPr>
          <w:rFonts w:ascii="Times New Roman" w:hAnsi="Times New Roman"/>
          <w:szCs w:val="20"/>
          <w:lang w:val="uk-UA"/>
        </w:rPr>
      </w:pPr>
      <w:r w:rsidRPr="00E16672">
        <w:rPr>
          <w:rFonts w:ascii="Times New Roman" w:hAnsi="Times New Roman"/>
          <w:szCs w:val="20"/>
          <w:lang w:val="uk-UA"/>
        </w:rPr>
        <w:t xml:space="preserve"> </w:t>
      </w:r>
    </w:p>
    <w:p w14:paraId="190CF80A" w14:textId="77777777" w:rsidR="007671CA" w:rsidRPr="00E16672" w:rsidRDefault="007671CA" w:rsidP="007671CA">
      <w:pPr>
        <w:rPr>
          <w:rFonts w:ascii="Times New Roman" w:hAnsi="Times New Roman"/>
          <w:b/>
          <w:szCs w:val="20"/>
          <w:lang w:val="uk-UA"/>
        </w:rPr>
      </w:pPr>
      <w:r w:rsidRPr="00E16672">
        <w:rPr>
          <w:rFonts w:ascii="Times New Roman" w:hAnsi="Times New Roman"/>
          <w:b/>
          <w:szCs w:val="20"/>
          <w:lang w:val="uk-UA"/>
        </w:rPr>
        <w:t>2.2. Виконавець має право:</w:t>
      </w:r>
    </w:p>
    <w:p w14:paraId="219446B1" w14:textId="77777777" w:rsidR="007671CA" w:rsidRPr="00E16672" w:rsidRDefault="007671CA" w:rsidP="007671CA">
      <w:pPr>
        <w:rPr>
          <w:rFonts w:ascii="Times New Roman" w:hAnsi="Times New Roman"/>
          <w:szCs w:val="20"/>
          <w:lang w:val="uk-UA"/>
        </w:rPr>
      </w:pPr>
      <w:r w:rsidRPr="00E16672">
        <w:rPr>
          <w:rFonts w:ascii="Times New Roman" w:hAnsi="Times New Roman"/>
          <w:szCs w:val="20"/>
          <w:lang w:val="uk-UA"/>
        </w:rPr>
        <w:t>2.2.1. Отримувати інформацію та документи, в тому числі які містять конфіденційну інформацію, для надання послуг за цим Договором.</w:t>
      </w:r>
    </w:p>
    <w:p w14:paraId="5068AA79" w14:textId="77777777" w:rsidR="007671CA" w:rsidRPr="00E16672" w:rsidRDefault="007671CA" w:rsidP="007671CA">
      <w:pPr>
        <w:rPr>
          <w:rFonts w:ascii="Times New Roman" w:hAnsi="Times New Roman"/>
          <w:szCs w:val="20"/>
          <w:lang w:val="uk-UA"/>
        </w:rPr>
      </w:pPr>
      <w:r w:rsidRPr="00E16672">
        <w:rPr>
          <w:rFonts w:ascii="Times New Roman" w:hAnsi="Times New Roman"/>
          <w:szCs w:val="20"/>
          <w:lang w:val="uk-UA"/>
        </w:rPr>
        <w:t>2.2.2. Не виконувати послуги за цим Договором у разі ненадання Замовником інформації та документів, необхідних для надання послуг, та/або у випадку нездійснення оплати Замовником послуг Виконавця</w:t>
      </w:r>
      <w:r w:rsidRPr="00E16672">
        <w:rPr>
          <w:rFonts w:ascii="Times New Roman" w:hAnsi="Times New Roman"/>
          <w:szCs w:val="20"/>
        </w:rPr>
        <w:t>.</w:t>
      </w:r>
    </w:p>
    <w:p w14:paraId="5A60CA4F" w14:textId="77777777" w:rsidR="007671CA" w:rsidRPr="00E16672" w:rsidRDefault="007671CA" w:rsidP="007671CA">
      <w:pPr>
        <w:rPr>
          <w:rFonts w:ascii="Times New Roman" w:hAnsi="Times New Roman"/>
          <w:szCs w:val="20"/>
          <w:lang w:val="uk-UA"/>
        </w:rPr>
      </w:pPr>
      <w:r w:rsidRPr="00E16672">
        <w:rPr>
          <w:rFonts w:ascii="Times New Roman" w:hAnsi="Times New Roman"/>
          <w:szCs w:val="20"/>
          <w:lang w:val="uk-UA"/>
        </w:rPr>
        <w:t>2.2.3. Вимагати надання пояснень щодо інформації та документів, які надаються Замовником для виконання вимог цього Договору.</w:t>
      </w:r>
    </w:p>
    <w:p w14:paraId="4E3E172F" w14:textId="77777777" w:rsidR="007671CA" w:rsidRPr="00E16672" w:rsidRDefault="007671CA" w:rsidP="007671CA">
      <w:pPr>
        <w:rPr>
          <w:rFonts w:ascii="Times New Roman" w:hAnsi="Times New Roman"/>
          <w:szCs w:val="20"/>
          <w:lang w:val="uk-UA"/>
        </w:rPr>
      </w:pPr>
      <w:r w:rsidRPr="00E16672">
        <w:rPr>
          <w:rFonts w:ascii="Times New Roman" w:hAnsi="Times New Roman"/>
          <w:szCs w:val="20"/>
          <w:lang w:val="uk-UA"/>
        </w:rPr>
        <w:t>2.2.4. Вимагати усунення помилок та недоліків в інформації та документах, які надаються Замовником для виконання вимог цього Договору.</w:t>
      </w:r>
    </w:p>
    <w:p w14:paraId="3F0C41C9" w14:textId="77777777" w:rsidR="007671CA" w:rsidRPr="00E16672" w:rsidRDefault="007671CA" w:rsidP="007671CA">
      <w:pPr>
        <w:rPr>
          <w:rFonts w:ascii="Times New Roman" w:hAnsi="Times New Roman"/>
          <w:szCs w:val="20"/>
          <w:lang w:val="uk-UA"/>
        </w:rPr>
      </w:pPr>
    </w:p>
    <w:p w14:paraId="5444A272" w14:textId="77777777" w:rsidR="007671CA" w:rsidRPr="00E16672" w:rsidRDefault="007671CA" w:rsidP="007671CA">
      <w:pPr>
        <w:ind w:left="284" w:firstLine="283"/>
        <w:rPr>
          <w:rFonts w:ascii="Times New Roman" w:hAnsi="Times New Roman"/>
          <w:b/>
          <w:szCs w:val="20"/>
          <w:lang w:val="uk-UA"/>
        </w:rPr>
      </w:pPr>
      <w:r w:rsidRPr="00E16672">
        <w:rPr>
          <w:rFonts w:ascii="Times New Roman" w:hAnsi="Times New Roman"/>
          <w:b/>
          <w:szCs w:val="20"/>
          <w:lang w:val="uk-UA"/>
        </w:rPr>
        <w:t>2.3. Замовник зобов`язаний:</w:t>
      </w:r>
    </w:p>
    <w:p w14:paraId="6818D4DD" w14:textId="77777777" w:rsidR="00FE477B" w:rsidRPr="00E16672" w:rsidRDefault="00FE477B" w:rsidP="00FE477B">
      <w:pPr>
        <w:ind w:right="-1"/>
        <w:rPr>
          <w:rFonts w:ascii="Times New Roman" w:hAnsi="Times New Roman"/>
          <w:szCs w:val="20"/>
          <w:lang w:val="uk-UA"/>
        </w:rPr>
      </w:pPr>
      <w:r w:rsidRPr="00E16672">
        <w:rPr>
          <w:rFonts w:ascii="Times New Roman" w:hAnsi="Times New Roman"/>
          <w:szCs w:val="20"/>
          <w:lang w:val="uk-UA"/>
        </w:rPr>
        <w:t>2.3.1. Протягом п’яти робочих днів з дати укладання цього Договору, але не пізніше 28 лютого 20__ року, надати Виконавцю інформацію та/або документи, які необхідні для розкриття річної інформації згідно діючого законодавства в тому числі аудиторський висновок та річну фінансову звітність за 20__ рік.</w:t>
      </w:r>
    </w:p>
    <w:p w14:paraId="1BAB203E" w14:textId="77777777" w:rsidR="00FE477B" w:rsidRPr="00E16672" w:rsidRDefault="00FE477B" w:rsidP="00FE477B">
      <w:pPr>
        <w:ind w:right="-1"/>
        <w:rPr>
          <w:rFonts w:ascii="Times New Roman" w:hAnsi="Times New Roman"/>
          <w:szCs w:val="20"/>
          <w:lang w:val="uk-UA"/>
        </w:rPr>
      </w:pPr>
      <w:r w:rsidRPr="00E16672">
        <w:rPr>
          <w:rFonts w:ascii="Times New Roman" w:hAnsi="Times New Roman"/>
          <w:szCs w:val="20"/>
          <w:lang w:val="uk-UA"/>
        </w:rPr>
        <w:t xml:space="preserve">Зазначені документи та інформація надається Виконавцю в паперовому вигляді та у вигляді </w:t>
      </w:r>
      <w:proofErr w:type="spellStart"/>
      <w:r w:rsidRPr="00E16672">
        <w:rPr>
          <w:rFonts w:ascii="Times New Roman" w:hAnsi="Times New Roman"/>
          <w:szCs w:val="20"/>
          <w:lang w:val="uk-UA"/>
        </w:rPr>
        <w:t>скано</w:t>
      </w:r>
      <w:proofErr w:type="spellEnd"/>
      <w:r w:rsidRPr="00E16672">
        <w:rPr>
          <w:rFonts w:ascii="Times New Roman" w:hAnsi="Times New Roman"/>
          <w:szCs w:val="20"/>
          <w:lang w:val="uk-UA"/>
        </w:rPr>
        <w:t xml:space="preserve">-копій. </w:t>
      </w:r>
      <w:proofErr w:type="spellStart"/>
      <w:r w:rsidRPr="00E16672">
        <w:rPr>
          <w:rFonts w:ascii="Times New Roman" w:hAnsi="Times New Roman"/>
          <w:szCs w:val="20"/>
          <w:lang w:val="uk-UA"/>
        </w:rPr>
        <w:t>Скано</w:t>
      </w:r>
      <w:proofErr w:type="spellEnd"/>
      <w:r w:rsidRPr="00E16672">
        <w:rPr>
          <w:rFonts w:ascii="Times New Roman" w:hAnsi="Times New Roman"/>
          <w:szCs w:val="20"/>
          <w:lang w:val="uk-UA"/>
        </w:rPr>
        <w:t>-копії документів та інформації направляються Замовником на електронну адресу Виконавця у терміни, передбачені цим договором та/або запитом Виконавця, наданого згідно п.2.1.</w:t>
      </w:r>
      <w:r w:rsidRPr="00E16672">
        <w:rPr>
          <w:rFonts w:ascii="Times New Roman" w:hAnsi="Times New Roman"/>
          <w:szCs w:val="20"/>
        </w:rPr>
        <w:t>6</w:t>
      </w:r>
      <w:r w:rsidRPr="00E16672">
        <w:rPr>
          <w:rFonts w:ascii="Times New Roman" w:hAnsi="Times New Roman"/>
          <w:szCs w:val="20"/>
          <w:lang w:val="uk-UA"/>
        </w:rPr>
        <w:t>. цього Договору.  Інформація та документи згідно цього пункту вважаються прийнятими Виконавцем у разі отримання Замовником на електронну адресу повідомлення від Виконавця згідно п. 2.1.</w:t>
      </w:r>
      <w:r w:rsidRPr="00E16672">
        <w:rPr>
          <w:rFonts w:ascii="Times New Roman" w:hAnsi="Times New Roman"/>
          <w:szCs w:val="20"/>
        </w:rPr>
        <w:t>5</w:t>
      </w:r>
      <w:r w:rsidRPr="00E16672">
        <w:rPr>
          <w:rFonts w:ascii="Times New Roman" w:hAnsi="Times New Roman"/>
          <w:szCs w:val="20"/>
          <w:lang w:val="uk-UA"/>
        </w:rPr>
        <w:t xml:space="preserve">. цього Договору. </w:t>
      </w:r>
    </w:p>
    <w:p w14:paraId="0F00AAF7" w14:textId="77777777" w:rsidR="00FE477B" w:rsidRPr="00E16672" w:rsidRDefault="00FE477B" w:rsidP="00FE477B">
      <w:pPr>
        <w:ind w:right="-1"/>
        <w:rPr>
          <w:rFonts w:ascii="Times New Roman" w:hAnsi="Times New Roman"/>
          <w:szCs w:val="20"/>
          <w:lang w:val="uk-UA"/>
        </w:rPr>
      </w:pPr>
      <w:r w:rsidRPr="00E16672">
        <w:rPr>
          <w:rFonts w:ascii="Times New Roman" w:hAnsi="Times New Roman"/>
          <w:szCs w:val="20"/>
          <w:lang w:val="uk-UA"/>
        </w:rPr>
        <w:t>2.3.2. У разі звернення Виконавця щодо отримання додаткової інформації, необхідної для надання послуг за Договором, надати таку інформацію протягом трьох робочих днів з дня надходження відповідного запиту від Виконавця, але не пізніше 11.03.20__ року.</w:t>
      </w:r>
    </w:p>
    <w:p w14:paraId="27AB814D" w14:textId="77777777" w:rsidR="00FE477B" w:rsidRPr="00E16672" w:rsidRDefault="00FE477B" w:rsidP="00FE477B">
      <w:pPr>
        <w:ind w:right="-1"/>
        <w:rPr>
          <w:rFonts w:ascii="Times New Roman" w:hAnsi="Times New Roman"/>
          <w:szCs w:val="20"/>
          <w:lang w:val="uk-UA"/>
        </w:rPr>
      </w:pPr>
      <w:r w:rsidRPr="00E16672">
        <w:rPr>
          <w:rFonts w:ascii="Times New Roman" w:hAnsi="Times New Roman"/>
          <w:szCs w:val="20"/>
          <w:lang w:val="uk-UA"/>
        </w:rPr>
        <w:t>2.3.3. Здійснювати погодження документів та інформації, необхідної для надання якісної консультації за цим Договором, у терміни, встановлені запитом Виконавця, але не пізніше 11.03.20__ року.</w:t>
      </w:r>
    </w:p>
    <w:p w14:paraId="798C29F5" w14:textId="77777777" w:rsidR="00FE477B" w:rsidRPr="00E16672" w:rsidRDefault="00FE477B" w:rsidP="00FE477B">
      <w:pPr>
        <w:ind w:right="-1"/>
        <w:rPr>
          <w:rFonts w:ascii="Times New Roman" w:hAnsi="Times New Roman"/>
          <w:szCs w:val="20"/>
          <w:lang w:val="uk-UA"/>
        </w:rPr>
      </w:pPr>
      <w:r w:rsidRPr="00E16672">
        <w:rPr>
          <w:rFonts w:ascii="Times New Roman" w:hAnsi="Times New Roman"/>
          <w:szCs w:val="20"/>
          <w:lang w:val="uk-UA"/>
        </w:rPr>
        <w:t>2.3.4. З метою дотримання вимог чинного законодавства виконувати в повному обсязі рекомендації Виконавця щодо порядку оформлення, термінів складання та порядку надання річної звітності.</w:t>
      </w:r>
    </w:p>
    <w:p w14:paraId="113284AF" w14:textId="77777777" w:rsidR="00FE477B" w:rsidRPr="00E16672" w:rsidRDefault="00FE477B" w:rsidP="00FE477B">
      <w:pPr>
        <w:ind w:right="-1"/>
        <w:rPr>
          <w:rFonts w:ascii="Times New Roman" w:hAnsi="Times New Roman"/>
          <w:szCs w:val="20"/>
          <w:lang w:val="uk-UA"/>
        </w:rPr>
      </w:pPr>
      <w:r w:rsidRPr="00E16672">
        <w:rPr>
          <w:rFonts w:ascii="Times New Roman" w:hAnsi="Times New Roman"/>
          <w:szCs w:val="20"/>
          <w:lang w:val="uk-UA"/>
        </w:rPr>
        <w:t>2.3.5. Вчасно оплатити надані Виконавцем послуги.</w:t>
      </w:r>
    </w:p>
    <w:p w14:paraId="5A18D79C" w14:textId="77777777" w:rsidR="00FE477B" w:rsidRPr="00E16672" w:rsidRDefault="00FE477B" w:rsidP="00FE477B">
      <w:pPr>
        <w:ind w:right="-1"/>
        <w:rPr>
          <w:rFonts w:ascii="Times New Roman" w:hAnsi="Times New Roman"/>
          <w:szCs w:val="20"/>
          <w:lang w:val="uk-UA"/>
        </w:rPr>
      </w:pPr>
      <w:r w:rsidRPr="00E16672">
        <w:rPr>
          <w:rFonts w:ascii="Times New Roman" w:hAnsi="Times New Roman"/>
          <w:szCs w:val="20"/>
          <w:lang w:val="uk-UA"/>
        </w:rPr>
        <w:t xml:space="preserve">2.3.6. У термін до 11.03.20__ </w:t>
      </w:r>
      <w:r w:rsidRPr="00E16672">
        <w:rPr>
          <w:rFonts w:ascii="Times New Roman" w:hAnsi="Times New Roman"/>
          <w:szCs w:val="20"/>
        </w:rPr>
        <w:t xml:space="preserve">року </w:t>
      </w:r>
      <w:r w:rsidRPr="00E16672">
        <w:rPr>
          <w:rFonts w:ascii="Times New Roman" w:hAnsi="Times New Roman"/>
          <w:szCs w:val="20"/>
          <w:lang w:val="uk-UA"/>
        </w:rPr>
        <w:t xml:space="preserve">забезпечити Виконавцю можливість технічного доступу до програмного комплексу з розміщення річної інформації.  </w:t>
      </w:r>
    </w:p>
    <w:p w14:paraId="061451B2" w14:textId="77777777" w:rsidR="007671CA" w:rsidRPr="00E16672" w:rsidRDefault="007671CA" w:rsidP="007671CA">
      <w:pPr>
        <w:ind w:right="-1"/>
        <w:rPr>
          <w:rFonts w:ascii="Times New Roman" w:hAnsi="Times New Roman"/>
          <w:szCs w:val="20"/>
          <w:lang w:val="uk-UA"/>
        </w:rPr>
      </w:pPr>
    </w:p>
    <w:p w14:paraId="548EBADB" w14:textId="77777777" w:rsidR="007671CA" w:rsidRPr="00E16672" w:rsidRDefault="007671CA" w:rsidP="007671CA">
      <w:pPr>
        <w:rPr>
          <w:rFonts w:ascii="Times New Roman" w:hAnsi="Times New Roman"/>
          <w:b/>
          <w:szCs w:val="20"/>
          <w:lang w:val="uk-UA"/>
        </w:rPr>
      </w:pPr>
      <w:r w:rsidRPr="00E16672">
        <w:rPr>
          <w:rFonts w:ascii="Times New Roman" w:hAnsi="Times New Roman"/>
          <w:b/>
          <w:szCs w:val="20"/>
          <w:lang w:val="uk-UA"/>
        </w:rPr>
        <w:t>2.4. Замовник має право:</w:t>
      </w:r>
    </w:p>
    <w:p w14:paraId="02A34F4F" w14:textId="77777777" w:rsidR="007671CA" w:rsidRPr="00E16672" w:rsidRDefault="007671CA" w:rsidP="007671CA">
      <w:pPr>
        <w:rPr>
          <w:rFonts w:ascii="Times New Roman" w:hAnsi="Times New Roman"/>
          <w:szCs w:val="20"/>
          <w:lang w:val="uk-UA"/>
        </w:rPr>
      </w:pPr>
      <w:r w:rsidRPr="00E16672">
        <w:rPr>
          <w:rFonts w:ascii="Times New Roman" w:hAnsi="Times New Roman"/>
          <w:szCs w:val="20"/>
          <w:lang w:val="uk-UA"/>
        </w:rPr>
        <w:t>2.4.1. Отримувати відомості та іншу необхідну інформацію, яка стосується цього Договору;</w:t>
      </w:r>
    </w:p>
    <w:p w14:paraId="4E2644D1" w14:textId="77777777" w:rsidR="007671CA" w:rsidRPr="00E16672" w:rsidRDefault="007671CA" w:rsidP="007671CA">
      <w:pPr>
        <w:rPr>
          <w:rFonts w:ascii="Times New Roman" w:hAnsi="Times New Roman"/>
          <w:szCs w:val="20"/>
          <w:lang w:val="uk-UA"/>
        </w:rPr>
      </w:pPr>
      <w:r w:rsidRPr="00E16672">
        <w:rPr>
          <w:rFonts w:ascii="Times New Roman" w:hAnsi="Times New Roman"/>
          <w:szCs w:val="20"/>
          <w:lang w:val="uk-UA"/>
        </w:rPr>
        <w:t>2.4.2. Реалізовувати інші права, встановлені законодавством та/або цим Договором.</w:t>
      </w:r>
    </w:p>
    <w:p w14:paraId="2D2AEBD5" w14:textId="77777777" w:rsidR="00DD0C00" w:rsidRPr="00E16672" w:rsidRDefault="00DD0C00" w:rsidP="00022F5F">
      <w:pPr>
        <w:jc w:val="left"/>
        <w:rPr>
          <w:rFonts w:ascii="Times New Roman" w:hAnsi="Times New Roman"/>
          <w:szCs w:val="20"/>
          <w:lang w:val="uk-UA"/>
        </w:rPr>
      </w:pPr>
      <w:r w:rsidRPr="00E16672">
        <w:rPr>
          <w:rFonts w:ascii="Times New Roman" w:hAnsi="Times New Roman"/>
          <w:szCs w:val="20"/>
          <w:lang w:val="uk-UA"/>
        </w:rPr>
        <w:t>2.4.3. Отримувати інформацію про умови та порядок діяльності депозитарної установи з урахуванням вимог, встановлених</w:t>
      </w:r>
      <w:r w:rsidRPr="00E16672">
        <w:rPr>
          <w:rFonts w:ascii="Times New Roman" w:hAnsi="Times New Roman"/>
          <w:szCs w:val="20"/>
        </w:rPr>
        <w:t> </w:t>
      </w:r>
      <w:r w:rsidRPr="00E16672">
        <w:rPr>
          <w:rFonts w:ascii="Times New Roman" w:hAnsi="Times New Roman"/>
          <w:szCs w:val="20"/>
          <w:lang w:val="uk-UA"/>
        </w:rPr>
        <w:t xml:space="preserve">частиною першою статті 12 Закону України </w:t>
      </w:r>
      <w:r w:rsidR="00022F5F">
        <w:rPr>
          <w:rFonts w:ascii="Times New Roman" w:hAnsi="Times New Roman"/>
          <w:szCs w:val="20"/>
          <w:lang w:val="uk-UA"/>
        </w:rPr>
        <w:t>"</w:t>
      </w:r>
      <w:r w:rsidRPr="00E16672">
        <w:rPr>
          <w:rFonts w:ascii="Times New Roman" w:hAnsi="Times New Roman"/>
          <w:szCs w:val="20"/>
          <w:lang w:val="uk-UA"/>
        </w:rPr>
        <w:t>Про фінансові послуги та державне регулювання ринків фінансових послуг</w:t>
      </w:r>
      <w:r w:rsidR="00022F5F">
        <w:rPr>
          <w:rFonts w:ascii="Times New Roman" w:hAnsi="Times New Roman"/>
          <w:szCs w:val="20"/>
          <w:lang w:val="uk-UA"/>
        </w:rPr>
        <w:t>"</w:t>
      </w:r>
      <w:r w:rsidRPr="00E16672">
        <w:rPr>
          <w:rFonts w:ascii="Times New Roman" w:hAnsi="Times New Roman"/>
          <w:szCs w:val="20"/>
          <w:lang w:val="uk-UA"/>
        </w:rPr>
        <w:t>.</w:t>
      </w:r>
    </w:p>
    <w:p w14:paraId="62A6160E" w14:textId="77777777" w:rsidR="007671CA" w:rsidRPr="00E16672" w:rsidRDefault="007671CA" w:rsidP="007671CA">
      <w:pPr>
        <w:rPr>
          <w:rFonts w:ascii="Times New Roman" w:hAnsi="Times New Roman"/>
          <w:b/>
          <w:szCs w:val="20"/>
          <w:lang w:val="uk-UA"/>
        </w:rPr>
      </w:pPr>
    </w:p>
    <w:p w14:paraId="18A90276" w14:textId="77777777" w:rsidR="007671CA" w:rsidRPr="00E16672" w:rsidRDefault="007671CA" w:rsidP="007671CA">
      <w:pPr>
        <w:pStyle w:val="2"/>
        <w:numPr>
          <w:ilvl w:val="1"/>
          <w:numId w:val="0"/>
        </w:numPr>
        <w:tabs>
          <w:tab w:val="num" w:pos="0"/>
        </w:tabs>
        <w:spacing w:before="0" w:after="0"/>
        <w:ind w:firstLine="567"/>
        <w:rPr>
          <w:rFonts w:ascii="Times New Roman" w:hAnsi="Times New Roman" w:cs="Times New Roman"/>
          <w:szCs w:val="20"/>
          <w:lang w:val="uk-UA"/>
        </w:rPr>
      </w:pPr>
      <w:r w:rsidRPr="00E16672">
        <w:rPr>
          <w:rFonts w:ascii="Times New Roman" w:hAnsi="Times New Roman" w:cs="Times New Roman"/>
          <w:szCs w:val="20"/>
        </w:rPr>
        <w:t xml:space="preserve">III. ВАРТІСТЬ </w:t>
      </w:r>
      <w:r w:rsidRPr="00E16672">
        <w:rPr>
          <w:rFonts w:ascii="Times New Roman" w:hAnsi="Times New Roman" w:cs="Times New Roman"/>
          <w:szCs w:val="20"/>
          <w:lang w:val="uk-UA"/>
        </w:rPr>
        <w:t>НАДАНИХ ПОСЛУГ</w:t>
      </w:r>
    </w:p>
    <w:p w14:paraId="26D02782" w14:textId="77777777" w:rsidR="007671CA" w:rsidRPr="00E16672" w:rsidRDefault="007671CA" w:rsidP="007671CA">
      <w:pPr>
        <w:rPr>
          <w:rFonts w:ascii="Times New Roman" w:hAnsi="Times New Roman"/>
          <w:szCs w:val="20"/>
        </w:rPr>
      </w:pPr>
    </w:p>
    <w:p w14:paraId="1A887A60" w14:textId="77777777" w:rsidR="007671CA" w:rsidRPr="00E16672" w:rsidRDefault="007671CA" w:rsidP="007671CA">
      <w:pPr>
        <w:rPr>
          <w:rFonts w:ascii="Times New Roman" w:hAnsi="Times New Roman"/>
          <w:szCs w:val="20"/>
          <w:lang w:val="uk-UA"/>
        </w:rPr>
      </w:pPr>
      <w:r w:rsidRPr="00E16672">
        <w:rPr>
          <w:rFonts w:ascii="Times New Roman" w:hAnsi="Times New Roman"/>
          <w:szCs w:val="20"/>
          <w:lang w:val="uk-UA"/>
        </w:rPr>
        <w:t>3.1. Замовник оплачує послуги Виконавця  у розмірі _________ (_______________ гривень нуль копійок)</w:t>
      </w:r>
      <w:r w:rsidR="00EF78D0">
        <w:rPr>
          <w:rFonts w:ascii="Times New Roman" w:hAnsi="Times New Roman"/>
          <w:szCs w:val="20"/>
          <w:lang w:val="uk-UA"/>
        </w:rPr>
        <w:t xml:space="preserve"> </w:t>
      </w:r>
      <w:r w:rsidR="00EF78D0" w:rsidRPr="00E16672">
        <w:rPr>
          <w:rFonts w:ascii="Times New Roman" w:hAnsi="Times New Roman"/>
          <w:szCs w:val="20"/>
          <w:lang w:val="uk-UA"/>
        </w:rPr>
        <w:t xml:space="preserve">грн. </w:t>
      </w:r>
      <w:r w:rsidRPr="00E16672">
        <w:rPr>
          <w:rFonts w:ascii="Times New Roman" w:hAnsi="Times New Roman"/>
          <w:szCs w:val="20"/>
          <w:lang w:val="uk-UA"/>
        </w:rPr>
        <w:t xml:space="preserve"> без ПДВ  на підставі рахунку протягом десяти робочих днів з дня його отримання. </w:t>
      </w:r>
    </w:p>
    <w:p w14:paraId="00CB67AE" w14:textId="77777777" w:rsidR="007671CA" w:rsidRPr="00E16672" w:rsidRDefault="007671CA" w:rsidP="007671CA">
      <w:pPr>
        <w:pStyle w:val="2"/>
        <w:numPr>
          <w:ilvl w:val="1"/>
          <w:numId w:val="0"/>
        </w:numPr>
        <w:tabs>
          <w:tab w:val="num" w:pos="0"/>
        </w:tabs>
        <w:spacing w:before="0" w:after="0"/>
        <w:ind w:firstLine="567"/>
        <w:rPr>
          <w:rFonts w:ascii="Times New Roman" w:hAnsi="Times New Roman" w:cs="Times New Roman"/>
          <w:szCs w:val="20"/>
          <w:lang w:val="uk-UA"/>
        </w:rPr>
      </w:pPr>
    </w:p>
    <w:p w14:paraId="16553789" w14:textId="77777777" w:rsidR="007671CA" w:rsidRPr="00E16672" w:rsidRDefault="007671CA" w:rsidP="007671CA">
      <w:pPr>
        <w:pStyle w:val="2"/>
        <w:numPr>
          <w:ilvl w:val="1"/>
          <w:numId w:val="0"/>
        </w:numPr>
        <w:tabs>
          <w:tab w:val="num" w:pos="0"/>
        </w:tabs>
        <w:spacing w:before="0" w:after="0"/>
        <w:ind w:firstLine="567"/>
        <w:rPr>
          <w:rFonts w:ascii="Times New Roman" w:hAnsi="Times New Roman" w:cs="Times New Roman"/>
          <w:szCs w:val="20"/>
          <w:lang w:val="uk-UA"/>
        </w:rPr>
      </w:pPr>
      <w:r w:rsidRPr="00E16672">
        <w:rPr>
          <w:rFonts w:ascii="Times New Roman" w:hAnsi="Times New Roman" w:cs="Times New Roman"/>
          <w:szCs w:val="20"/>
        </w:rPr>
        <w:t>IV. ВІДПОВІДАЛЬНІСТЬ СТОРІН</w:t>
      </w:r>
    </w:p>
    <w:p w14:paraId="5E403486" w14:textId="77777777" w:rsidR="007671CA" w:rsidRPr="00E16672" w:rsidRDefault="007671CA" w:rsidP="007671CA">
      <w:pPr>
        <w:rPr>
          <w:rFonts w:ascii="Times New Roman" w:hAnsi="Times New Roman"/>
          <w:szCs w:val="20"/>
        </w:rPr>
      </w:pPr>
    </w:p>
    <w:p w14:paraId="602BCF08" w14:textId="77777777" w:rsidR="007671CA" w:rsidRPr="00E16672" w:rsidRDefault="007671CA" w:rsidP="007671CA">
      <w:pPr>
        <w:rPr>
          <w:rFonts w:ascii="Times New Roman" w:hAnsi="Times New Roman"/>
          <w:szCs w:val="20"/>
          <w:lang w:val="uk-UA"/>
        </w:rPr>
      </w:pPr>
      <w:r w:rsidRPr="00E16672">
        <w:rPr>
          <w:rFonts w:ascii="Times New Roman" w:hAnsi="Times New Roman"/>
          <w:szCs w:val="20"/>
          <w:lang w:val="uk-UA"/>
        </w:rPr>
        <w:t>4.1. За невиконання або невідповідне виконання зобов’язань, прийнятих за цим Договором, Сторони несуть відповідальність згідно з діючим законодавством України.</w:t>
      </w:r>
    </w:p>
    <w:p w14:paraId="0BB2600B" w14:textId="77777777" w:rsidR="007671CA" w:rsidRPr="00E16672" w:rsidRDefault="007671CA" w:rsidP="007671CA">
      <w:pPr>
        <w:rPr>
          <w:rFonts w:ascii="Times New Roman" w:hAnsi="Times New Roman"/>
          <w:szCs w:val="20"/>
          <w:lang w:val="uk-UA"/>
        </w:rPr>
      </w:pPr>
      <w:r w:rsidRPr="00E16672">
        <w:rPr>
          <w:rFonts w:ascii="Times New Roman" w:hAnsi="Times New Roman"/>
          <w:szCs w:val="20"/>
          <w:lang w:val="uk-UA"/>
        </w:rPr>
        <w:t>4.2. За порушення термінів оплати, передбачених цим Договором, Замовник виплачує Виконавцю пеню відповідно до чинного законодавства у розмірі подвійної облікової ставки НБУ від простроченої загальної суми виконаних операцій за кожен день прострочення.</w:t>
      </w:r>
    </w:p>
    <w:p w14:paraId="551B3C51" w14:textId="77777777" w:rsidR="007671CA" w:rsidRPr="00E16672" w:rsidRDefault="007671CA" w:rsidP="007671CA">
      <w:pPr>
        <w:rPr>
          <w:rFonts w:ascii="Times New Roman" w:hAnsi="Times New Roman"/>
          <w:szCs w:val="20"/>
          <w:lang w:val="uk-UA"/>
        </w:rPr>
      </w:pPr>
      <w:r w:rsidRPr="00E16672">
        <w:rPr>
          <w:rFonts w:ascii="Times New Roman" w:hAnsi="Times New Roman"/>
          <w:szCs w:val="20"/>
          <w:lang w:val="uk-UA"/>
        </w:rPr>
        <w:t>4.3. Виплата пені не звільнює Сторони від виконання обов’язків по цьому Договору та відшкодування збитків у повному обсязі.</w:t>
      </w:r>
    </w:p>
    <w:p w14:paraId="10E5E3B8" w14:textId="77777777" w:rsidR="007671CA" w:rsidRPr="00E16672" w:rsidRDefault="007671CA" w:rsidP="007671CA">
      <w:pPr>
        <w:rPr>
          <w:rFonts w:ascii="Times New Roman" w:hAnsi="Times New Roman"/>
          <w:szCs w:val="20"/>
          <w:lang w:val="uk-UA"/>
        </w:rPr>
      </w:pPr>
      <w:r w:rsidRPr="00E16672">
        <w:rPr>
          <w:rFonts w:ascii="Times New Roman" w:hAnsi="Times New Roman"/>
          <w:szCs w:val="20"/>
          <w:lang w:val="uk-UA"/>
        </w:rPr>
        <w:t>4.4. Виконавець не несе відповідальності за несвоєчасне та/або невірне виконання своїх зобов’язань у разі невиконання Замовником зобов’язань, передбачених пунктом 2.3 цього Договору, у тому числі у випадку помилкової інформації, що містилась у наданих документах та/або інформації.</w:t>
      </w:r>
    </w:p>
    <w:p w14:paraId="5E5DB9B9" w14:textId="77777777" w:rsidR="007671CA" w:rsidRPr="00E16672" w:rsidRDefault="007671CA" w:rsidP="007671CA">
      <w:pPr>
        <w:pStyle w:val="aff5"/>
        <w:tabs>
          <w:tab w:val="left" w:pos="567"/>
        </w:tabs>
        <w:suppressAutoHyphens w:val="0"/>
        <w:snapToGrid w:val="0"/>
        <w:ind w:left="0"/>
        <w:rPr>
          <w:rFonts w:ascii="Times New Roman" w:hAnsi="Times New Roman"/>
          <w:szCs w:val="20"/>
          <w:lang w:val="uk-UA"/>
        </w:rPr>
      </w:pPr>
      <w:r w:rsidRPr="00E16672">
        <w:rPr>
          <w:rFonts w:ascii="Times New Roman" w:hAnsi="Times New Roman"/>
          <w:szCs w:val="20"/>
          <w:lang w:val="uk-UA"/>
        </w:rPr>
        <w:t>4.5. Виконавець не несе відповідальності за зміст інформації, яка розкривається згідно пункту 1.1., повноту та достовірність наданої інформації, а також за її відповідність вимогам чинного законодавства України, у тому числі у випадку, якщо до Замовника з боку Комісії будуть застосовані санкції за несвоєчасне розкриття та/або розкриття недостовірної інформації, розкриття якої є обов’язковим відповідно до вимог чинного законодавства.</w:t>
      </w:r>
    </w:p>
    <w:p w14:paraId="4CAACAAB" w14:textId="77777777" w:rsidR="007671CA" w:rsidRPr="00E16672" w:rsidRDefault="007671CA" w:rsidP="007671CA">
      <w:pPr>
        <w:rPr>
          <w:rFonts w:ascii="Times New Roman" w:hAnsi="Times New Roman"/>
          <w:szCs w:val="20"/>
          <w:lang w:val="uk-UA"/>
        </w:rPr>
      </w:pPr>
      <w:r w:rsidRPr="00E16672">
        <w:rPr>
          <w:rFonts w:ascii="Times New Roman" w:hAnsi="Times New Roman"/>
          <w:szCs w:val="20"/>
          <w:lang w:val="uk-UA"/>
        </w:rPr>
        <w:t>4.6. Жодна з Сторін не несе відповідальності у випадку невиконання, несвоєчасного чи неналежного виконання нею будь-якого її зобов`язання за цим Договором, якщо зазначене невиконання,  несвоєчасне чи неналежне виконання обумовлено виключно настанням чи дією обставин непереборної сили (форс-мажорні обставини).</w:t>
      </w:r>
    </w:p>
    <w:p w14:paraId="4F2DE181" w14:textId="77777777" w:rsidR="007671CA" w:rsidRPr="00E16672" w:rsidRDefault="007671CA" w:rsidP="007671CA">
      <w:pPr>
        <w:rPr>
          <w:rFonts w:ascii="Times New Roman" w:hAnsi="Times New Roman"/>
          <w:szCs w:val="20"/>
          <w:lang w:val="uk-UA"/>
        </w:rPr>
      </w:pPr>
      <w:r w:rsidRPr="00E16672">
        <w:rPr>
          <w:rFonts w:ascii="Times New Roman" w:hAnsi="Times New Roman"/>
          <w:szCs w:val="20"/>
          <w:lang w:val="uk-UA"/>
        </w:rPr>
        <w:t xml:space="preserve">4.7. Кожна із Сторін зобов’язана вживати заходи проти несанкціонованого використання або розголошення інформації, яка належить до </w:t>
      </w:r>
      <w:proofErr w:type="spellStart"/>
      <w:r w:rsidRPr="00E16672">
        <w:rPr>
          <w:rFonts w:ascii="Times New Roman" w:hAnsi="Times New Roman"/>
          <w:szCs w:val="20"/>
          <w:lang w:val="uk-UA"/>
        </w:rPr>
        <w:t>інсайдерської</w:t>
      </w:r>
      <w:proofErr w:type="spellEnd"/>
      <w:r w:rsidRPr="00E16672">
        <w:rPr>
          <w:rFonts w:ascii="Times New Roman" w:hAnsi="Times New Roman"/>
          <w:szCs w:val="20"/>
          <w:lang w:val="uk-UA"/>
        </w:rPr>
        <w:t xml:space="preserve"> та пов’язаної із виконанням Сторонами зобов’язань за цим Договором.</w:t>
      </w:r>
    </w:p>
    <w:p w14:paraId="2E30F478" w14:textId="77777777" w:rsidR="007671CA" w:rsidRPr="00E16672" w:rsidRDefault="007671CA" w:rsidP="007671CA">
      <w:pPr>
        <w:rPr>
          <w:rFonts w:ascii="Times New Roman" w:hAnsi="Times New Roman"/>
          <w:szCs w:val="20"/>
          <w:lang w:val="uk-UA"/>
        </w:rPr>
      </w:pPr>
      <w:r w:rsidRPr="00E16672">
        <w:rPr>
          <w:rFonts w:ascii="Times New Roman" w:hAnsi="Times New Roman"/>
          <w:szCs w:val="20"/>
          <w:lang w:val="uk-UA"/>
        </w:rPr>
        <w:t xml:space="preserve">Обов`язки по зберіганню інформації, яка належить до </w:t>
      </w:r>
      <w:proofErr w:type="spellStart"/>
      <w:r w:rsidRPr="00E16672">
        <w:rPr>
          <w:rFonts w:ascii="Times New Roman" w:hAnsi="Times New Roman"/>
          <w:szCs w:val="20"/>
          <w:lang w:val="uk-UA"/>
        </w:rPr>
        <w:t>інсайдерської</w:t>
      </w:r>
      <w:proofErr w:type="spellEnd"/>
      <w:r w:rsidRPr="00E16672">
        <w:rPr>
          <w:rFonts w:ascii="Times New Roman" w:hAnsi="Times New Roman"/>
          <w:szCs w:val="20"/>
          <w:lang w:val="uk-UA"/>
        </w:rPr>
        <w:t>, не виникають у випадках коли:</w:t>
      </w:r>
    </w:p>
    <w:p w14:paraId="271F7AEF" w14:textId="77777777" w:rsidR="007671CA" w:rsidRPr="00E16672" w:rsidRDefault="007671CA" w:rsidP="007671CA">
      <w:pPr>
        <w:rPr>
          <w:rFonts w:ascii="Times New Roman" w:hAnsi="Times New Roman"/>
          <w:szCs w:val="20"/>
          <w:lang w:val="uk-UA"/>
        </w:rPr>
      </w:pPr>
      <w:r w:rsidRPr="00E16672">
        <w:rPr>
          <w:rFonts w:ascii="Times New Roman" w:hAnsi="Times New Roman"/>
          <w:szCs w:val="20"/>
          <w:lang w:val="uk-UA"/>
        </w:rPr>
        <w:t>- розголошення подібної інформації прямо передбачено цим Договором;</w:t>
      </w:r>
    </w:p>
    <w:p w14:paraId="7DBBE668" w14:textId="77777777" w:rsidR="007671CA" w:rsidRPr="00E16672" w:rsidRDefault="007671CA" w:rsidP="007671CA">
      <w:pPr>
        <w:tabs>
          <w:tab w:val="left" w:pos="709"/>
        </w:tabs>
        <w:rPr>
          <w:rFonts w:ascii="Times New Roman" w:hAnsi="Times New Roman"/>
          <w:szCs w:val="20"/>
          <w:lang w:val="uk-UA"/>
        </w:rPr>
      </w:pPr>
      <w:r w:rsidRPr="00E16672">
        <w:rPr>
          <w:rFonts w:ascii="Times New Roman" w:hAnsi="Times New Roman"/>
          <w:szCs w:val="20"/>
          <w:lang w:val="uk-UA"/>
        </w:rPr>
        <w:t>- розголошення подібної інформації мало місце за вимогами судових або інших уповноважених чинним  законодавством органів.</w:t>
      </w:r>
    </w:p>
    <w:p w14:paraId="2C831DD7" w14:textId="77777777" w:rsidR="007671CA" w:rsidRPr="00E16672" w:rsidRDefault="007671CA" w:rsidP="007671CA">
      <w:pPr>
        <w:rPr>
          <w:rFonts w:ascii="Times New Roman" w:hAnsi="Times New Roman"/>
          <w:szCs w:val="20"/>
          <w:lang w:val="uk-UA"/>
        </w:rPr>
      </w:pPr>
    </w:p>
    <w:p w14:paraId="3D1C96E6" w14:textId="77777777" w:rsidR="007671CA" w:rsidRPr="00E16672" w:rsidRDefault="007671CA" w:rsidP="007671CA">
      <w:pPr>
        <w:pStyle w:val="2"/>
        <w:numPr>
          <w:ilvl w:val="1"/>
          <w:numId w:val="0"/>
        </w:numPr>
        <w:tabs>
          <w:tab w:val="num" w:pos="0"/>
        </w:tabs>
        <w:spacing w:before="0" w:after="0"/>
        <w:ind w:firstLine="567"/>
        <w:rPr>
          <w:rFonts w:ascii="Times New Roman" w:hAnsi="Times New Roman" w:cs="Times New Roman"/>
          <w:szCs w:val="20"/>
          <w:lang w:val="uk-UA"/>
        </w:rPr>
      </w:pPr>
      <w:r w:rsidRPr="00E16672">
        <w:rPr>
          <w:rFonts w:ascii="Times New Roman" w:hAnsi="Times New Roman" w:cs="Times New Roman"/>
          <w:szCs w:val="20"/>
        </w:rPr>
        <w:t>V</w:t>
      </w:r>
      <w:r w:rsidRPr="00E16672">
        <w:rPr>
          <w:rFonts w:ascii="Times New Roman" w:hAnsi="Times New Roman" w:cs="Times New Roman"/>
          <w:szCs w:val="20"/>
          <w:lang w:val="uk-UA"/>
        </w:rPr>
        <w:t>. ВИРІШЕННЯ СПОРІВ</w:t>
      </w:r>
    </w:p>
    <w:p w14:paraId="0CD5CE93" w14:textId="77777777" w:rsidR="007671CA" w:rsidRPr="00E16672" w:rsidRDefault="007671CA" w:rsidP="007671CA">
      <w:pPr>
        <w:rPr>
          <w:rFonts w:ascii="Times New Roman" w:hAnsi="Times New Roman"/>
          <w:szCs w:val="20"/>
          <w:lang w:val="uk-UA"/>
        </w:rPr>
      </w:pPr>
    </w:p>
    <w:p w14:paraId="016288CA" w14:textId="77777777" w:rsidR="007671CA" w:rsidRPr="00E16672" w:rsidRDefault="007671CA" w:rsidP="007671CA">
      <w:pPr>
        <w:pStyle w:val="210"/>
        <w:rPr>
          <w:rFonts w:ascii="Times New Roman" w:hAnsi="Times New Roman"/>
          <w:sz w:val="20"/>
          <w:szCs w:val="20"/>
        </w:rPr>
      </w:pPr>
      <w:r w:rsidRPr="00E16672">
        <w:rPr>
          <w:rFonts w:ascii="Times New Roman" w:hAnsi="Times New Roman"/>
          <w:sz w:val="20"/>
          <w:szCs w:val="20"/>
        </w:rPr>
        <w:t>5. Усі спори, які пов`язані з виконанням умов цього Договору, розв`язуються шляхом переговорів між Сторонами. У випадку неможливості досягнення домовленості, спір передається на розгляд згідно з чинним законодавством в Господарський суд.</w:t>
      </w:r>
    </w:p>
    <w:p w14:paraId="3C266761" w14:textId="77777777" w:rsidR="007671CA" w:rsidRPr="00E16672" w:rsidRDefault="007671CA" w:rsidP="007671CA">
      <w:pPr>
        <w:pStyle w:val="2"/>
        <w:numPr>
          <w:ilvl w:val="1"/>
          <w:numId w:val="0"/>
        </w:numPr>
        <w:tabs>
          <w:tab w:val="num" w:pos="0"/>
        </w:tabs>
        <w:spacing w:before="0" w:after="0"/>
        <w:ind w:firstLine="567"/>
        <w:rPr>
          <w:rFonts w:ascii="Times New Roman" w:hAnsi="Times New Roman" w:cs="Times New Roman"/>
          <w:szCs w:val="20"/>
        </w:rPr>
      </w:pPr>
    </w:p>
    <w:p w14:paraId="2858BE58" w14:textId="77777777" w:rsidR="007671CA" w:rsidRPr="00E16672" w:rsidRDefault="007671CA" w:rsidP="007671CA">
      <w:pPr>
        <w:pStyle w:val="2"/>
        <w:numPr>
          <w:ilvl w:val="1"/>
          <w:numId w:val="0"/>
        </w:numPr>
        <w:tabs>
          <w:tab w:val="num" w:pos="0"/>
        </w:tabs>
        <w:spacing w:before="0" w:after="0"/>
        <w:ind w:firstLine="567"/>
        <w:rPr>
          <w:rFonts w:ascii="Times New Roman" w:hAnsi="Times New Roman" w:cs="Times New Roman"/>
          <w:szCs w:val="20"/>
          <w:lang w:val="uk-UA"/>
        </w:rPr>
      </w:pPr>
      <w:r w:rsidRPr="00E16672">
        <w:rPr>
          <w:rFonts w:ascii="Times New Roman" w:hAnsi="Times New Roman" w:cs="Times New Roman"/>
          <w:szCs w:val="20"/>
        </w:rPr>
        <w:t>V</w:t>
      </w:r>
      <w:r w:rsidRPr="00E16672">
        <w:rPr>
          <w:rFonts w:ascii="Times New Roman" w:hAnsi="Times New Roman" w:cs="Times New Roman"/>
          <w:szCs w:val="20"/>
          <w:lang w:val="en-US"/>
        </w:rPr>
        <w:t>I</w:t>
      </w:r>
      <w:r w:rsidRPr="00E16672">
        <w:rPr>
          <w:rFonts w:ascii="Times New Roman" w:hAnsi="Times New Roman" w:cs="Times New Roman"/>
          <w:szCs w:val="20"/>
        </w:rPr>
        <w:t xml:space="preserve">. </w:t>
      </w:r>
      <w:r w:rsidRPr="00E16672">
        <w:rPr>
          <w:rFonts w:ascii="Times New Roman" w:hAnsi="Times New Roman" w:cs="Times New Roman"/>
          <w:szCs w:val="20"/>
          <w:lang w:val="uk-UA"/>
        </w:rPr>
        <w:t>ІНШІ УМОВИ</w:t>
      </w:r>
    </w:p>
    <w:p w14:paraId="6F8B0D8F" w14:textId="77777777" w:rsidR="007671CA" w:rsidRPr="00E16672" w:rsidRDefault="007671CA" w:rsidP="007671CA">
      <w:pPr>
        <w:rPr>
          <w:rFonts w:ascii="Times New Roman" w:hAnsi="Times New Roman"/>
          <w:sz w:val="22"/>
          <w:szCs w:val="22"/>
        </w:rPr>
      </w:pPr>
    </w:p>
    <w:p w14:paraId="44940DC0" w14:textId="77777777" w:rsidR="007671CA" w:rsidRPr="00E16672" w:rsidRDefault="007671CA" w:rsidP="007671CA">
      <w:pPr>
        <w:ind w:right="-1"/>
        <w:rPr>
          <w:rFonts w:ascii="Times New Roman" w:hAnsi="Times New Roman"/>
          <w:szCs w:val="20"/>
          <w:lang w:val="uk-UA"/>
        </w:rPr>
      </w:pPr>
      <w:r w:rsidRPr="00E16672">
        <w:rPr>
          <w:rFonts w:ascii="Times New Roman" w:hAnsi="Times New Roman"/>
          <w:szCs w:val="20"/>
          <w:lang w:val="uk-UA"/>
        </w:rPr>
        <w:t>6.1. Цей Договір набуває чинності з моменту його підписання та діє до виконання Сторонами своїх зобов’язань.</w:t>
      </w:r>
    </w:p>
    <w:p w14:paraId="7EE060AE" w14:textId="77777777" w:rsidR="007671CA" w:rsidRPr="00E16672" w:rsidRDefault="007671CA" w:rsidP="007671CA">
      <w:pPr>
        <w:ind w:right="-1"/>
        <w:rPr>
          <w:rFonts w:ascii="Times New Roman" w:hAnsi="Times New Roman"/>
          <w:szCs w:val="20"/>
          <w:lang w:val="uk-UA"/>
        </w:rPr>
      </w:pPr>
      <w:r w:rsidRPr="00E16672">
        <w:rPr>
          <w:rFonts w:ascii="Times New Roman" w:hAnsi="Times New Roman"/>
          <w:szCs w:val="20"/>
          <w:lang w:val="uk-UA"/>
        </w:rPr>
        <w:t>6.2. Цей Договір складений у двох примірниках, які мають однакову юридичну силу, один - для Замовника, а другий – для Виконавця.</w:t>
      </w:r>
    </w:p>
    <w:p w14:paraId="00E9DC90" w14:textId="77777777" w:rsidR="007671CA" w:rsidRPr="00E16672" w:rsidRDefault="007671CA" w:rsidP="007671CA">
      <w:pPr>
        <w:ind w:right="-1"/>
        <w:rPr>
          <w:rFonts w:ascii="Times New Roman" w:hAnsi="Times New Roman"/>
          <w:szCs w:val="20"/>
          <w:lang w:val="uk-UA"/>
        </w:rPr>
      </w:pPr>
      <w:r w:rsidRPr="00E16672">
        <w:rPr>
          <w:rFonts w:ascii="Times New Roman" w:hAnsi="Times New Roman"/>
          <w:szCs w:val="20"/>
          <w:lang w:val="uk-UA"/>
        </w:rPr>
        <w:t xml:space="preserve">6.3. Дію цього Договору може бути припинено за узгодженням Сторін згідно з чинним законодавством України. </w:t>
      </w:r>
    </w:p>
    <w:p w14:paraId="26BF42C7" w14:textId="77777777" w:rsidR="007671CA" w:rsidRPr="00E16672" w:rsidRDefault="007671CA" w:rsidP="007671CA">
      <w:pPr>
        <w:widowControl w:val="0"/>
        <w:tabs>
          <w:tab w:val="left" w:pos="851"/>
          <w:tab w:val="left" w:pos="993"/>
        </w:tabs>
        <w:spacing w:line="216" w:lineRule="auto"/>
        <w:rPr>
          <w:rFonts w:ascii="Times New Roman" w:hAnsi="Times New Roman"/>
          <w:szCs w:val="20"/>
          <w:lang w:val="uk-UA"/>
        </w:rPr>
      </w:pPr>
      <w:r w:rsidRPr="00E16672">
        <w:rPr>
          <w:rFonts w:ascii="Times New Roman" w:hAnsi="Times New Roman"/>
          <w:szCs w:val="20"/>
          <w:lang w:val="uk-UA"/>
        </w:rPr>
        <w:t>6.4.</w:t>
      </w:r>
      <w:r w:rsidRPr="00E16672">
        <w:rPr>
          <w:rFonts w:ascii="Times New Roman" w:hAnsi="Times New Roman"/>
          <w:szCs w:val="20"/>
          <w:lang w:val="uk-UA"/>
        </w:rPr>
        <w:tab/>
        <w:t>Замовник є платником податків на прибуток на загальних умовах  у відповідності до Податкового Кодексу України,</w:t>
      </w:r>
    </w:p>
    <w:p w14:paraId="12718432" w14:textId="77777777" w:rsidR="007671CA" w:rsidRPr="00E16672" w:rsidRDefault="007671CA" w:rsidP="007671CA">
      <w:pPr>
        <w:widowControl w:val="0"/>
        <w:tabs>
          <w:tab w:val="left" w:pos="851"/>
          <w:tab w:val="left" w:pos="993"/>
        </w:tabs>
        <w:spacing w:line="216" w:lineRule="auto"/>
        <w:rPr>
          <w:rFonts w:ascii="Times New Roman" w:hAnsi="Times New Roman"/>
          <w:szCs w:val="20"/>
          <w:lang w:val="uk-UA"/>
        </w:rPr>
      </w:pPr>
      <w:r w:rsidRPr="00E16672">
        <w:rPr>
          <w:rFonts w:ascii="Times New Roman" w:hAnsi="Times New Roman"/>
          <w:szCs w:val="20"/>
          <w:lang w:val="uk-UA"/>
        </w:rPr>
        <w:t>6.5.</w:t>
      </w:r>
      <w:r w:rsidRPr="00E16672">
        <w:rPr>
          <w:rFonts w:ascii="Times New Roman" w:hAnsi="Times New Roman"/>
          <w:szCs w:val="20"/>
          <w:lang w:val="uk-UA"/>
        </w:rPr>
        <w:tab/>
        <w:t>Виконавець є платником податків на прибуток на загальних умовах  у відповідності до Податкового Кодексу України.</w:t>
      </w:r>
    </w:p>
    <w:p w14:paraId="27E91E1C" w14:textId="77777777" w:rsidR="006D2BB7" w:rsidRPr="00E16672" w:rsidRDefault="007671CA" w:rsidP="007671CA">
      <w:pPr>
        <w:pStyle w:val="ae"/>
        <w:tabs>
          <w:tab w:val="left" w:pos="426"/>
        </w:tabs>
        <w:rPr>
          <w:rFonts w:ascii="Times New Roman" w:hAnsi="Times New Roman"/>
          <w:color w:val="000000"/>
          <w:szCs w:val="20"/>
          <w:shd w:val="clear" w:color="auto" w:fill="FFFFFF"/>
        </w:rPr>
      </w:pPr>
      <w:r w:rsidRPr="00E16672">
        <w:rPr>
          <w:rFonts w:ascii="Times New Roman" w:hAnsi="Times New Roman"/>
          <w:szCs w:val="20"/>
        </w:rPr>
        <w:t>6.6. Сторони підтверджують, що  до  укладання цього Договору, Замовнику була надана  інформація про фінансову послугу, що пропонується надати клієнту, із зазначенням вартості цієї послуги для клієнта, якщо інше не передбачено законами з питань регулювання окремих ринків фінансових послуг; умови надання додаткових фінансових послуг та їх вартість; порядок сплати податків і зборів за рахунок фізичної особи в результаті отримання фінансової послуги; правові наслідки та порядок здійснення розрахунків з фізичною особою внаслідок дострокового припинення надання фінансової послуги; механізм захисту фінансовою установою прав споживачів та порядок урегулювання спірних питань, що виникають у процесі надання фінансової послуги; реквізити органу, який здійснює державне регулювання ринків фінансових послуг (адреса, номер телефону тощо), а також реквізити органів з питань захисту прав споживачів; розмір винагороди фінансової установи у разі, коли вона пропонує фінансові послуги, що надаються іншими фінансовими установами.</w:t>
      </w:r>
    </w:p>
    <w:p w14:paraId="3534F340" w14:textId="77777777" w:rsidR="006D2BB7" w:rsidRPr="00E16672" w:rsidRDefault="006D2BB7" w:rsidP="006D2BB7">
      <w:pPr>
        <w:pStyle w:val="1"/>
        <w:tabs>
          <w:tab w:val="left" w:pos="0"/>
          <w:tab w:val="left" w:pos="720"/>
        </w:tabs>
        <w:rPr>
          <w:rFonts w:ascii="Times New Roman" w:hAnsi="Times New Roman" w:cs="Times New Roman"/>
          <w:color w:val="000000"/>
          <w:sz w:val="20"/>
          <w:szCs w:val="20"/>
          <w:lang w:val="uk-UA"/>
        </w:rPr>
      </w:pPr>
    </w:p>
    <w:p w14:paraId="4B649CA1" w14:textId="77777777" w:rsidR="006D2BB7" w:rsidRPr="00E16672" w:rsidRDefault="006D2BB7" w:rsidP="006D2BB7">
      <w:pPr>
        <w:pStyle w:val="1"/>
        <w:tabs>
          <w:tab w:val="left" w:pos="0"/>
          <w:tab w:val="left" w:pos="720"/>
        </w:tabs>
        <w:rPr>
          <w:rFonts w:ascii="Times New Roman" w:hAnsi="Times New Roman" w:cs="Times New Roman"/>
          <w:color w:val="000000"/>
          <w:sz w:val="20"/>
          <w:szCs w:val="20"/>
        </w:rPr>
      </w:pPr>
      <w:r w:rsidRPr="00E16672">
        <w:rPr>
          <w:rFonts w:ascii="Times New Roman" w:hAnsi="Times New Roman" w:cs="Times New Roman"/>
          <w:color w:val="000000"/>
          <w:sz w:val="20"/>
          <w:szCs w:val="20"/>
        </w:rPr>
        <w:t>VI</w:t>
      </w:r>
      <w:r w:rsidRPr="00E16672">
        <w:rPr>
          <w:rFonts w:ascii="Times New Roman" w:hAnsi="Times New Roman" w:cs="Times New Roman"/>
          <w:color w:val="000000"/>
          <w:sz w:val="20"/>
          <w:szCs w:val="20"/>
          <w:lang w:val="en-US"/>
        </w:rPr>
        <w:t>I</w:t>
      </w:r>
      <w:r w:rsidRPr="00E16672">
        <w:rPr>
          <w:rFonts w:ascii="Times New Roman" w:hAnsi="Times New Roman" w:cs="Times New Roman"/>
          <w:color w:val="000000"/>
          <w:sz w:val="20"/>
          <w:szCs w:val="20"/>
        </w:rPr>
        <w:t>. РЕКВІЗИТИ СТОРІН</w:t>
      </w:r>
    </w:p>
    <w:p w14:paraId="6DD99B6C" w14:textId="77777777" w:rsidR="006D2BB7" w:rsidRPr="00E16672" w:rsidRDefault="006D2BB7" w:rsidP="006D2BB7">
      <w:pPr>
        <w:rPr>
          <w:rFonts w:ascii="Times New Roman" w:hAnsi="Times New Roman"/>
          <w:color w:val="0000FF"/>
          <w:szCs w:val="20"/>
        </w:rPr>
      </w:pPr>
    </w:p>
    <w:tbl>
      <w:tblPr>
        <w:tblW w:w="11000" w:type="dxa"/>
        <w:tblInd w:w="55" w:type="dxa"/>
        <w:tblLayout w:type="fixed"/>
        <w:tblCellMar>
          <w:top w:w="55" w:type="dxa"/>
          <w:left w:w="55" w:type="dxa"/>
          <w:bottom w:w="55" w:type="dxa"/>
          <w:right w:w="55" w:type="dxa"/>
        </w:tblCellMar>
        <w:tblLook w:val="0000" w:firstRow="0" w:lastRow="0" w:firstColumn="0" w:lastColumn="0" w:noHBand="0" w:noVBand="0"/>
      </w:tblPr>
      <w:tblGrid>
        <w:gridCol w:w="2413"/>
        <w:gridCol w:w="934"/>
        <w:gridCol w:w="1480"/>
        <w:gridCol w:w="341"/>
        <w:gridCol w:w="2715"/>
        <w:gridCol w:w="709"/>
        <w:gridCol w:w="1488"/>
        <w:gridCol w:w="71"/>
        <w:gridCol w:w="849"/>
      </w:tblGrid>
      <w:tr w:rsidR="005D35AE" w:rsidRPr="00E16672" w14:paraId="0BED28C5" w14:textId="77777777" w:rsidTr="009C0AAD">
        <w:trPr>
          <w:gridAfter w:val="2"/>
          <w:wAfter w:w="920" w:type="dxa"/>
        </w:trPr>
        <w:tc>
          <w:tcPr>
            <w:tcW w:w="4827" w:type="dxa"/>
            <w:gridSpan w:val="3"/>
            <w:shd w:val="clear" w:color="auto" w:fill="auto"/>
          </w:tcPr>
          <w:p w14:paraId="502C78F7" w14:textId="77777777" w:rsidR="005D35AE" w:rsidRPr="00E16672" w:rsidRDefault="005D35AE" w:rsidP="005D35AE">
            <w:pPr>
              <w:pStyle w:val="4"/>
              <w:keepNext w:val="0"/>
              <w:tabs>
                <w:tab w:val="clear" w:pos="-501"/>
                <w:tab w:val="num" w:pos="0"/>
              </w:tabs>
              <w:snapToGrid w:val="0"/>
              <w:ind w:left="-57" w:right="-57" w:firstLine="0"/>
              <w:jc w:val="both"/>
              <w:rPr>
                <w:rFonts w:ascii="Times New Roman" w:hAnsi="Times New Roman"/>
                <w:sz w:val="20"/>
              </w:rPr>
            </w:pPr>
            <w:r w:rsidRPr="00E16672">
              <w:rPr>
                <w:rFonts w:ascii="Times New Roman" w:hAnsi="Times New Roman"/>
                <w:bCs/>
                <w:color w:val="000000"/>
                <w:sz w:val="18"/>
                <w:szCs w:val="18"/>
              </w:rPr>
              <w:lastRenderedPageBreak/>
              <w:t>Замовник:</w:t>
            </w:r>
          </w:p>
        </w:tc>
        <w:tc>
          <w:tcPr>
            <w:tcW w:w="341" w:type="dxa"/>
            <w:shd w:val="clear" w:color="auto" w:fill="auto"/>
          </w:tcPr>
          <w:p w14:paraId="552989F3" w14:textId="77777777" w:rsidR="005D35AE" w:rsidRPr="00E16672" w:rsidRDefault="005D35AE" w:rsidP="005D35AE">
            <w:pPr>
              <w:pStyle w:val="af7"/>
              <w:snapToGrid w:val="0"/>
              <w:rPr>
                <w:rFonts w:ascii="Times New Roman" w:hAnsi="Times New Roman"/>
                <w:szCs w:val="20"/>
              </w:rPr>
            </w:pPr>
          </w:p>
        </w:tc>
        <w:tc>
          <w:tcPr>
            <w:tcW w:w="4912" w:type="dxa"/>
            <w:gridSpan w:val="3"/>
            <w:shd w:val="clear" w:color="auto" w:fill="auto"/>
          </w:tcPr>
          <w:p w14:paraId="359E1089" w14:textId="77777777" w:rsidR="005D35AE" w:rsidRPr="00E16672" w:rsidRDefault="005D35AE" w:rsidP="005D35AE">
            <w:pPr>
              <w:pStyle w:val="western"/>
              <w:snapToGrid w:val="0"/>
              <w:spacing w:before="0" w:after="0"/>
              <w:ind w:left="-57" w:right="-57"/>
              <w:jc w:val="both"/>
              <w:rPr>
                <w:rFonts w:ascii="Times New Roman" w:hAnsi="Times New Roman"/>
                <w:szCs w:val="20"/>
              </w:rPr>
            </w:pPr>
            <w:r w:rsidRPr="00E16672">
              <w:rPr>
                <w:rFonts w:ascii="Times New Roman" w:hAnsi="Times New Roman"/>
                <w:color w:val="000000"/>
                <w:szCs w:val="20"/>
                <w:lang w:val="en-US"/>
              </w:rPr>
              <w:t xml:space="preserve"> </w:t>
            </w:r>
            <w:r w:rsidRPr="00E16672">
              <w:rPr>
                <w:rFonts w:ascii="Times New Roman" w:hAnsi="Times New Roman"/>
                <w:color w:val="000000"/>
                <w:szCs w:val="20"/>
                <w:lang w:val="uk-UA"/>
              </w:rPr>
              <w:t>Виконавець</w:t>
            </w:r>
            <w:r w:rsidRPr="00E16672">
              <w:rPr>
                <w:rFonts w:ascii="Times New Roman" w:hAnsi="Times New Roman"/>
                <w:color w:val="000000"/>
                <w:szCs w:val="20"/>
              </w:rPr>
              <w:t>:</w:t>
            </w:r>
          </w:p>
        </w:tc>
      </w:tr>
      <w:tr w:rsidR="006D2BB7" w:rsidRPr="00E16672" w14:paraId="5F4C4D84" w14:textId="77777777" w:rsidTr="009C0AAD">
        <w:trPr>
          <w:gridAfter w:val="2"/>
          <w:wAfter w:w="920" w:type="dxa"/>
        </w:trPr>
        <w:tc>
          <w:tcPr>
            <w:tcW w:w="4827" w:type="dxa"/>
            <w:gridSpan w:val="3"/>
            <w:shd w:val="clear" w:color="auto" w:fill="auto"/>
          </w:tcPr>
          <w:p w14:paraId="2441CE9B" w14:textId="77777777" w:rsidR="006D2BB7" w:rsidRPr="00E16672" w:rsidRDefault="006D2BB7" w:rsidP="00E72E24">
            <w:pPr>
              <w:pStyle w:val="western"/>
              <w:snapToGrid w:val="0"/>
              <w:spacing w:before="0" w:after="0"/>
              <w:ind w:left="-57" w:right="-57"/>
              <w:jc w:val="both"/>
              <w:rPr>
                <w:rFonts w:ascii="Times New Roman" w:hAnsi="Times New Roman"/>
                <w:i/>
                <w:iCs/>
                <w:szCs w:val="20"/>
              </w:rPr>
            </w:pPr>
            <w:proofErr w:type="spellStart"/>
            <w:r w:rsidRPr="00E16672">
              <w:rPr>
                <w:rFonts w:ascii="Times New Roman" w:hAnsi="Times New Roman"/>
                <w:i/>
                <w:iCs/>
                <w:szCs w:val="20"/>
              </w:rPr>
              <w:t>Повне</w:t>
            </w:r>
            <w:proofErr w:type="spellEnd"/>
            <w:r w:rsidRPr="00E16672">
              <w:rPr>
                <w:rFonts w:ascii="Times New Roman" w:hAnsi="Times New Roman"/>
                <w:i/>
                <w:iCs/>
                <w:szCs w:val="20"/>
              </w:rPr>
              <w:t xml:space="preserve"> </w:t>
            </w:r>
            <w:proofErr w:type="spellStart"/>
            <w:r w:rsidRPr="00E16672">
              <w:rPr>
                <w:rFonts w:ascii="Times New Roman" w:hAnsi="Times New Roman"/>
                <w:i/>
                <w:iCs/>
                <w:szCs w:val="20"/>
              </w:rPr>
              <w:t>найменування</w:t>
            </w:r>
            <w:proofErr w:type="spellEnd"/>
            <w:r w:rsidRPr="00E16672">
              <w:rPr>
                <w:rFonts w:ascii="Times New Roman" w:hAnsi="Times New Roman"/>
                <w:i/>
                <w:iCs/>
                <w:szCs w:val="20"/>
              </w:rPr>
              <w:t xml:space="preserve"> </w:t>
            </w:r>
          </w:p>
        </w:tc>
        <w:tc>
          <w:tcPr>
            <w:tcW w:w="341" w:type="dxa"/>
            <w:shd w:val="clear" w:color="auto" w:fill="auto"/>
          </w:tcPr>
          <w:p w14:paraId="0B9FDD43" w14:textId="77777777" w:rsidR="006D2BB7" w:rsidRPr="00E16672" w:rsidRDefault="006D2BB7" w:rsidP="00E72E24">
            <w:pPr>
              <w:pStyle w:val="af7"/>
              <w:snapToGrid w:val="0"/>
              <w:rPr>
                <w:rFonts w:ascii="Times New Roman" w:hAnsi="Times New Roman"/>
                <w:szCs w:val="20"/>
              </w:rPr>
            </w:pPr>
          </w:p>
        </w:tc>
        <w:tc>
          <w:tcPr>
            <w:tcW w:w="4912" w:type="dxa"/>
            <w:gridSpan w:val="3"/>
            <w:shd w:val="clear" w:color="auto" w:fill="auto"/>
          </w:tcPr>
          <w:p w14:paraId="0EF81BB9" w14:textId="77777777" w:rsidR="006D2BB7" w:rsidRPr="00E16672" w:rsidRDefault="006D2BB7" w:rsidP="00E72E24">
            <w:pPr>
              <w:pStyle w:val="western"/>
              <w:snapToGrid w:val="0"/>
              <w:spacing w:before="0" w:after="0"/>
              <w:ind w:left="57" w:right="57"/>
              <w:jc w:val="both"/>
              <w:rPr>
                <w:rFonts w:ascii="Times New Roman" w:hAnsi="Times New Roman"/>
                <w:i/>
                <w:iCs/>
                <w:szCs w:val="20"/>
                <w:lang w:val="uk-UA"/>
              </w:rPr>
            </w:pPr>
            <w:r w:rsidRPr="00E16672">
              <w:rPr>
                <w:rFonts w:ascii="Times New Roman" w:hAnsi="Times New Roman"/>
                <w:i/>
                <w:iCs/>
                <w:szCs w:val="20"/>
                <w:lang w:val="uk-UA"/>
              </w:rPr>
              <w:t>Повне найменування</w:t>
            </w:r>
          </w:p>
        </w:tc>
      </w:tr>
      <w:tr w:rsidR="009C0AAD" w:rsidRPr="00E16672" w14:paraId="787CAB63" w14:textId="77777777" w:rsidTr="009C0AAD">
        <w:trPr>
          <w:gridAfter w:val="2"/>
          <w:wAfter w:w="920" w:type="dxa"/>
        </w:trPr>
        <w:tc>
          <w:tcPr>
            <w:tcW w:w="4827" w:type="dxa"/>
            <w:gridSpan w:val="3"/>
            <w:shd w:val="clear" w:color="auto" w:fill="auto"/>
          </w:tcPr>
          <w:p w14:paraId="0D469B78" w14:textId="77777777" w:rsidR="009C0AAD" w:rsidRPr="00E16672" w:rsidRDefault="009C0AAD" w:rsidP="009C0AAD">
            <w:pPr>
              <w:pStyle w:val="western"/>
              <w:snapToGrid w:val="0"/>
              <w:spacing w:before="0" w:after="0"/>
              <w:ind w:left="-57" w:right="-57"/>
              <w:jc w:val="both"/>
              <w:rPr>
                <w:rFonts w:ascii="Times New Roman" w:hAnsi="Times New Roman"/>
                <w:szCs w:val="20"/>
              </w:rPr>
            </w:pPr>
          </w:p>
        </w:tc>
        <w:tc>
          <w:tcPr>
            <w:tcW w:w="341" w:type="dxa"/>
            <w:shd w:val="clear" w:color="auto" w:fill="auto"/>
          </w:tcPr>
          <w:p w14:paraId="68C70E40" w14:textId="77777777" w:rsidR="009C0AAD" w:rsidRPr="00E16672" w:rsidRDefault="009C0AAD" w:rsidP="009C0AAD">
            <w:pPr>
              <w:pStyle w:val="af7"/>
              <w:snapToGrid w:val="0"/>
              <w:rPr>
                <w:rFonts w:ascii="Times New Roman" w:hAnsi="Times New Roman"/>
                <w:b/>
                <w:szCs w:val="20"/>
              </w:rPr>
            </w:pPr>
          </w:p>
        </w:tc>
        <w:tc>
          <w:tcPr>
            <w:tcW w:w="4912" w:type="dxa"/>
            <w:gridSpan w:val="3"/>
            <w:shd w:val="clear" w:color="auto" w:fill="auto"/>
            <w:vAlign w:val="center"/>
          </w:tcPr>
          <w:p w14:paraId="377AAE47" w14:textId="77777777" w:rsidR="009C0AAD" w:rsidRPr="00E16672" w:rsidRDefault="009C0AAD" w:rsidP="00022F5F">
            <w:pPr>
              <w:pStyle w:val="4"/>
              <w:tabs>
                <w:tab w:val="clear" w:pos="-501"/>
                <w:tab w:val="num" w:pos="0"/>
              </w:tabs>
              <w:snapToGrid w:val="0"/>
              <w:ind w:left="57" w:right="57" w:firstLine="0"/>
              <w:jc w:val="left"/>
              <w:rPr>
                <w:rFonts w:ascii="Times New Roman" w:hAnsi="Times New Roman"/>
                <w:bCs/>
                <w:sz w:val="20"/>
              </w:rPr>
            </w:pPr>
            <w:r w:rsidRPr="00E16672">
              <w:rPr>
                <w:rFonts w:ascii="Times New Roman" w:hAnsi="Times New Roman"/>
                <w:b w:val="0"/>
                <w:sz w:val="18"/>
                <w:szCs w:val="18"/>
              </w:rPr>
              <w:t xml:space="preserve">ТОВАРИСТВО З ОБМЕЖЕНОЮ ВІДПОВІДАЛЬНІСТЮ </w:t>
            </w:r>
            <w:r w:rsidR="00022F5F">
              <w:rPr>
                <w:rFonts w:ascii="Times New Roman" w:hAnsi="Times New Roman"/>
                <w:b w:val="0"/>
                <w:sz w:val="18"/>
                <w:szCs w:val="18"/>
              </w:rPr>
              <w:t>"</w:t>
            </w:r>
            <w:r w:rsidR="00E16672" w:rsidRPr="00E16672">
              <w:rPr>
                <w:rFonts w:ascii="Times New Roman" w:hAnsi="Times New Roman"/>
                <w:b w:val="0"/>
                <w:sz w:val="18"/>
                <w:szCs w:val="18"/>
              </w:rPr>
              <w:t>КОМЕКС ЦІННІ ПАПЕРИ</w:t>
            </w:r>
            <w:r w:rsidR="00022F5F">
              <w:rPr>
                <w:rFonts w:ascii="Times New Roman" w:hAnsi="Times New Roman"/>
                <w:b w:val="0"/>
                <w:sz w:val="18"/>
                <w:szCs w:val="18"/>
              </w:rPr>
              <w:t>"</w:t>
            </w:r>
          </w:p>
        </w:tc>
      </w:tr>
      <w:tr w:rsidR="009C0AAD" w:rsidRPr="00E16672" w14:paraId="4A33A213" w14:textId="77777777" w:rsidTr="009C0AAD">
        <w:trPr>
          <w:gridAfter w:val="2"/>
          <w:wAfter w:w="920" w:type="dxa"/>
        </w:trPr>
        <w:tc>
          <w:tcPr>
            <w:tcW w:w="4827" w:type="dxa"/>
            <w:gridSpan w:val="3"/>
            <w:shd w:val="clear" w:color="auto" w:fill="auto"/>
          </w:tcPr>
          <w:p w14:paraId="61C7EDBF" w14:textId="77777777" w:rsidR="009C0AAD" w:rsidRPr="00E16672" w:rsidRDefault="009C0AAD" w:rsidP="009C0AAD">
            <w:pPr>
              <w:pStyle w:val="3"/>
              <w:tabs>
                <w:tab w:val="clear" w:pos="-501"/>
                <w:tab w:val="num" w:pos="0"/>
              </w:tabs>
              <w:snapToGrid w:val="0"/>
              <w:spacing w:before="0" w:after="0"/>
              <w:ind w:left="-57" w:right="-57" w:firstLine="0"/>
              <w:rPr>
                <w:rFonts w:ascii="Times New Roman" w:hAnsi="Times New Roman" w:cs="Times New Roman"/>
                <w:i/>
                <w:iCs/>
                <w:sz w:val="20"/>
                <w:szCs w:val="20"/>
              </w:rPr>
            </w:pPr>
            <w:r w:rsidRPr="00E16672">
              <w:rPr>
                <w:rFonts w:ascii="Times New Roman" w:hAnsi="Times New Roman" w:cs="Times New Roman"/>
                <w:i/>
                <w:iCs/>
                <w:sz w:val="20"/>
                <w:szCs w:val="20"/>
              </w:rPr>
              <w:t>Ідентифікаційний код юридичної особи</w:t>
            </w:r>
          </w:p>
          <w:p w14:paraId="4DF8B118" w14:textId="77777777" w:rsidR="009C0AAD" w:rsidRPr="00E16672" w:rsidRDefault="009C0AAD" w:rsidP="009C0AAD">
            <w:pPr>
              <w:pStyle w:val="3"/>
              <w:tabs>
                <w:tab w:val="clear" w:pos="-501"/>
                <w:tab w:val="num" w:pos="0"/>
              </w:tabs>
              <w:snapToGrid w:val="0"/>
              <w:spacing w:before="0" w:after="0"/>
              <w:ind w:left="-57" w:right="-57" w:firstLine="0"/>
              <w:rPr>
                <w:rFonts w:ascii="Times New Roman" w:hAnsi="Times New Roman" w:cs="Times New Roman"/>
                <w:i/>
                <w:iCs/>
                <w:sz w:val="20"/>
                <w:szCs w:val="20"/>
              </w:rPr>
            </w:pPr>
            <w:r w:rsidRPr="00E16672">
              <w:rPr>
                <w:rFonts w:ascii="Times New Roman" w:hAnsi="Times New Roman" w:cs="Times New Roman"/>
                <w:i/>
                <w:iCs/>
                <w:sz w:val="20"/>
                <w:szCs w:val="20"/>
              </w:rPr>
              <w:t>(код за ЄДРПОУ)</w:t>
            </w:r>
          </w:p>
        </w:tc>
        <w:tc>
          <w:tcPr>
            <w:tcW w:w="341" w:type="dxa"/>
            <w:shd w:val="clear" w:color="auto" w:fill="auto"/>
          </w:tcPr>
          <w:p w14:paraId="58AED775" w14:textId="77777777" w:rsidR="009C0AAD" w:rsidRPr="00E16672" w:rsidRDefault="009C0AAD" w:rsidP="009C0AAD">
            <w:pPr>
              <w:pStyle w:val="af7"/>
              <w:snapToGrid w:val="0"/>
              <w:rPr>
                <w:rFonts w:ascii="Times New Roman" w:hAnsi="Times New Roman"/>
                <w:szCs w:val="20"/>
              </w:rPr>
            </w:pPr>
          </w:p>
        </w:tc>
        <w:tc>
          <w:tcPr>
            <w:tcW w:w="4912" w:type="dxa"/>
            <w:gridSpan w:val="3"/>
            <w:shd w:val="clear" w:color="auto" w:fill="auto"/>
            <w:vAlign w:val="center"/>
          </w:tcPr>
          <w:p w14:paraId="468C995E" w14:textId="77777777" w:rsidR="009C0AAD" w:rsidRPr="00E16672" w:rsidRDefault="009C0AAD" w:rsidP="009C0AAD">
            <w:pPr>
              <w:pStyle w:val="3"/>
              <w:numPr>
                <w:ilvl w:val="0"/>
                <w:numId w:val="0"/>
              </w:numPr>
              <w:snapToGrid w:val="0"/>
              <w:spacing w:before="0" w:after="0"/>
              <w:ind w:left="15" w:right="219"/>
              <w:jc w:val="left"/>
              <w:rPr>
                <w:rFonts w:ascii="Times New Roman" w:hAnsi="Times New Roman" w:cs="Times New Roman"/>
                <w:i/>
                <w:color w:val="000000"/>
                <w:sz w:val="18"/>
                <w:szCs w:val="18"/>
              </w:rPr>
            </w:pPr>
            <w:r w:rsidRPr="00E16672">
              <w:rPr>
                <w:rFonts w:ascii="Times New Roman" w:hAnsi="Times New Roman" w:cs="Times New Roman"/>
                <w:i/>
                <w:color w:val="000000"/>
                <w:sz w:val="18"/>
                <w:szCs w:val="18"/>
              </w:rPr>
              <w:t>Ідентифікаційний код юридичної особи</w:t>
            </w:r>
          </w:p>
          <w:p w14:paraId="1AE47A46" w14:textId="77777777" w:rsidR="009C0AAD" w:rsidRPr="00E16672" w:rsidRDefault="009C0AAD" w:rsidP="009C0AAD">
            <w:pPr>
              <w:pStyle w:val="3"/>
              <w:tabs>
                <w:tab w:val="clear" w:pos="-501"/>
                <w:tab w:val="num" w:pos="0"/>
              </w:tabs>
              <w:snapToGrid w:val="0"/>
              <w:spacing w:before="0" w:after="0"/>
              <w:ind w:left="57" w:right="57" w:firstLine="0"/>
              <w:jc w:val="left"/>
              <w:rPr>
                <w:rFonts w:ascii="Times New Roman" w:hAnsi="Times New Roman" w:cs="Times New Roman"/>
                <w:i/>
                <w:iCs/>
                <w:sz w:val="20"/>
                <w:szCs w:val="20"/>
              </w:rPr>
            </w:pPr>
            <w:r w:rsidRPr="00E16672">
              <w:rPr>
                <w:rFonts w:ascii="Times New Roman" w:hAnsi="Times New Roman" w:cs="Times New Roman"/>
                <w:b w:val="0"/>
                <w:i/>
                <w:color w:val="000000"/>
                <w:sz w:val="18"/>
                <w:szCs w:val="18"/>
              </w:rPr>
              <w:t>(код за ЄДРПОУ)</w:t>
            </w:r>
          </w:p>
        </w:tc>
      </w:tr>
      <w:tr w:rsidR="009C0AAD" w:rsidRPr="00E16672" w14:paraId="446B7F9B" w14:textId="77777777" w:rsidTr="009C0AAD">
        <w:trPr>
          <w:gridAfter w:val="2"/>
          <w:wAfter w:w="920" w:type="dxa"/>
        </w:trPr>
        <w:tc>
          <w:tcPr>
            <w:tcW w:w="4827" w:type="dxa"/>
            <w:gridSpan w:val="3"/>
            <w:shd w:val="clear" w:color="auto" w:fill="auto"/>
          </w:tcPr>
          <w:p w14:paraId="39DD9A27" w14:textId="77777777" w:rsidR="009C0AAD" w:rsidRPr="00E16672" w:rsidRDefault="009C0AAD" w:rsidP="009C0AAD">
            <w:pPr>
              <w:pStyle w:val="af7"/>
              <w:snapToGrid w:val="0"/>
              <w:rPr>
                <w:rFonts w:ascii="Times New Roman" w:hAnsi="Times New Roman"/>
                <w:color w:val="000000"/>
                <w:szCs w:val="20"/>
              </w:rPr>
            </w:pPr>
          </w:p>
        </w:tc>
        <w:tc>
          <w:tcPr>
            <w:tcW w:w="341" w:type="dxa"/>
            <w:shd w:val="clear" w:color="auto" w:fill="auto"/>
          </w:tcPr>
          <w:p w14:paraId="056FAF8D" w14:textId="77777777" w:rsidR="009C0AAD" w:rsidRPr="00E16672" w:rsidRDefault="009C0AAD" w:rsidP="009C0AAD">
            <w:pPr>
              <w:pStyle w:val="af7"/>
              <w:snapToGrid w:val="0"/>
              <w:rPr>
                <w:rFonts w:ascii="Times New Roman" w:hAnsi="Times New Roman"/>
                <w:color w:val="000000"/>
                <w:szCs w:val="20"/>
              </w:rPr>
            </w:pPr>
          </w:p>
        </w:tc>
        <w:tc>
          <w:tcPr>
            <w:tcW w:w="4912" w:type="dxa"/>
            <w:gridSpan w:val="3"/>
            <w:shd w:val="clear" w:color="auto" w:fill="auto"/>
            <w:vAlign w:val="center"/>
          </w:tcPr>
          <w:p w14:paraId="28AE5E7C" w14:textId="77777777" w:rsidR="009C0AAD" w:rsidRPr="00E16672" w:rsidRDefault="00E16672" w:rsidP="009C0AAD">
            <w:pPr>
              <w:pStyle w:val="3"/>
              <w:tabs>
                <w:tab w:val="clear" w:pos="-501"/>
                <w:tab w:val="num" w:pos="0"/>
              </w:tabs>
              <w:snapToGrid w:val="0"/>
              <w:spacing w:before="0" w:after="0"/>
              <w:ind w:left="57" w:right="57" w:firstLine="0"/>
              <w:jc w:val="left"/>
              <w:rPr>
                <w:rFonts w:ascii="Times New Roman" w:hAnsi="Times New Roman" w:cs="Times New Roman"/>
                <w:b w:val="0"/>
                <w:bCs w:val="0"/>
                <w:color w:val="000000"/>
                <w:sz w:val="20"/>
                <w:szCs w:val="20"/>
              </w:rPr>
            </w:pPr>
            <w:r w:rsidRPr="00E16672">
              <w:rPr>
                <w:rFonts w:ascii="Times New Roman" w:hAnsi="Times New Roman" w:cs="Times New Roman"/>
                <w:b w:val="0"/>
                <w:bCs w:val="0"/>
                <w:color w:val="000000"/>
                <w:sz w:val="18"/>
                <w:szCs w:val="18"/>
              </w:rPr>
              <w:t>33153077</w:t>
            </w:r>
          </w:p>
        </w:tc>
      </w:tr>
      <w:tr w:rsidR="009C0AAD" w:rsidRPr="00E16672" w14:paraId="798326BF" w14:textId="77777777" w:rsidTr="009C0AAD">
        <w:trPr>
          <w:gridAfter w:val="2"/>
          <w:wAfter w:w="920" w:type="dxa"/>
        </w:trPr>
        <w:tc>
          <w:tcPr>
            <w:tcW w:w="4827" w:type="dxa"/>
            <w:gridSpan w:val="3"/>
            <w:shd w:val="clear" w:color="auto" w:fill="auto"/>
          </w:tcPr>
          <w:p w14:paraId="6B0B3EDD" w14:textId="77777777" w:rsidR="009C0AAD" w:rsidRPr="00E16672" w:rsidRDefault="009C0AAD" w:rsidP="009C0AAD">
            <w:pPr>
              <w:pStyle w:val="4"/>
              <w:keepNext w:val="0"/>
              <w:tabs>
                <w:tab w:val="clear" w:pos="-501"/>
                <w:tab w:val="num" w:pos="0"/>
              </w:tabs>
              <w:snapToGrid w:val="0"/>
              <w:ind w:left="-57" w:right="-57" w:firstLine="0"/>
              <w:jc w:val="both"/>
              <w:rPr>
                <w:rFonts w:ascii="Times New Roman" w:hAnsi="Times New Roman"/>
                <w:i/>
                <w:iCs/>
                <w:color w:val="000000"/>
                <w:sz w:val="20"/>
              </w:rPr>
            </w:pPr>
          </w:p>
          <w:p w14:paraId="29779128" w14:textId="77777777" w:rsidR="009C0AAD" w:rsidRPr="00E16672" w:rsidRDefault="009C0AAD" w:rsidP="009C0AAD">
            <w:pPr>
              <w:pStyle w:val="4"/>
              <w:keepNext w:val="0"/>
              <w:tabs>
                <w:tab w:val="clear" w:pos="-501"/>
                <w:tab w:val="num" w:pos="0"/>
              </w:tabs>
              <w:snapToGrid w:val="0"/>
              <w:ind w:left="-57" w:right="-57" w:firstLine="0"/>
              <w:jc w:val="both"/>
              <w:rPr>
                <w:rFonts w:ascii="Times New Roman" w:hAnsi="Times New Roman"/>
                <w:i/>
                <w:iCs/>
                <w:color w:val="000000"/>
                <w:sz w:val="20"/>
              </w:rPr>
            </w:pPr>
            <w:r w:rsidRPr="00E16672">
              <w:rPr>
                <w:rFonts w:ascii="Times New Roman" w:hAnsi="Times New Roman"/>
                <w:i/>
                <w:iCs/>
                <w:color w:val="000000"/>
                <w:sz w:val="20"/>
              </w:rPr>
              <w:t xml:space="preserve">Місцезнаходження </w:t>
            </w:r>
          </w:p>
        </w:tc>
        <w:tc>
          <w:tcPr>
            <w:tcW w:w="341" w:type="dxa"/>
            <w:shd w:val="clear" w:color="auto" w:fill="auto"/>
          </w:tcPr>
          <w:p w14:paraId="6B088285" w14:textId="77777777" w:rsidR="009C0AAD" w:rsidRPr="00E16672" w:rsidRDefault="009C0AAD" w:rsidP="009C0AAD">
            <w:pPr>
              <w:pStyle w:val="af7"/>
              <w:snapToGrid w:val="0"/>
              <w:rPr>
                <w:rFonts w:ascii="Times New Roman" w:hAnsi="Times New Roman"/>
                <w:color w:val="000000"/>
                <w:szCs w:val="20"/>
              </w:rPr>
            </w:pPr>
          </w:p>
        </w:tc>
        <w:tc>
          <w:tcPr>
            <w:tcW w:w="4912" w:type="dxa"/>
            <w:gridSpan w:val="3"/>
            <w:shd w:val="clear" w:color="auto" w:fill="auto"/>
            <w:vAlign w:val="center"/>
          </w:tcPr>
          <w:p w14:paraId="40842419" w14:textId="77777777" w:rsidR="009C0AAD" w:rsidRPr="00E16672" w:rsidRDefault="009C0AAD" w:rsidP="009C0AAD">
            <w:pPr>
              <w:pStyle w:val="4"/>
              <w:keepNext w:val="0"/>
              <w:tabs>
                <w:tab w:val="clear" w:pos="-501"/>
                <w:tab w:val="num" w:pos="0"/>
              </w:tabs>
              <w:snapToGrid w:val="0"/>
              <w:ind w:left="57" w:right="57" w:firstLine="0"/>
              <w:jc w:val="left"/>
              <w:rPr>
                <w:rFonts w:ascii="Times New Roman" w:hAnsi="Times New Roman"/>
                <w:i/>
                <w:iCs/>
                <w:color w:val="000000"/>
                <w:sz w:val="20"/>
              </w:rPr>
            </w:pPr>
          </w:p>
          <w:p w14:paraId="2869AF9F" w14:textId="77777777" w:rsidR="009C0AAD" w:rsidRPr="00E16672" w:rsidRDefault="009C0AAD" w:rsidP="009C0AAD">
            <w:pPr>
              <w:pStyle w:val="4"/>
              <w:keepNext w:val="0"/>
              <w:tabs>
                <w:tab w:val="clear" w:pos="-501"/>
                <w:tab w:val="num" w:pos="0"/>
              </w:tabs>
              <w:snapToGrid w:val="0"/>
              <w:ind w:left="57" w:right="57" w:firstLine="0"/>
              <w:jc w:val="left"/>
              <w:rPr>
                <w:rFonts w:ascii="Times New Roman" w:hAnsi="Times New Roman"/>
                <w:i/>
                <w:iCs/>
                <w:color w:val="000000"/>
                <w:sz w:val="20"/>
              </w:rPr>
            </w:pPr>
            <w:r w:rsidRPr="00E16672">
              <w:rPr>
                <w:rFonts w:ascii="Times New Roman" w:hAnsi="Times New Roman"/>
                <w:i/>
                <w:iCs/>
                <w:color w:val="000000"/>
                <w:sz w:val="18"/>
                <w:szCs w:val="18"/>
              </w:rPr>
              <w:t>Місцезнаходження</w:t>
            </w:r>
          </w:p>
        </w:tc>
      </w:tr>
      <w:tr w:rsidR="009C0AAD" w:rsidRPr="00E16672" w14:paraId="733E2E02" w14:textId="77777777" w:rsidTr="009C0AAD">
        <w:trPr>
          <w:gridAfter w:val="2"/>
          <w:wAfter w:w="920" w:type="dxa"/>
        </w:trPr>
        <w:tc>
          <w:tcPr>
            <w:tcW w:w="4827" w:type="dxa"/>
            <w:gridSpan w:val="3"/>
            <w:shd w:val="clear" w:color="auto" w:fill="auto"/>
          </w:tcPr>
          <w:p w14:paraId="3772723C" w14:textId="77777777" w:rsidR="009C0AAD" w:rsidRPr="00E16672" w:rsidRDefault="009C0AAD" w:rsidP="009C0AAD">
            <w:pPr>
              <w:pStyle w:val="af7"/>
              <w:snapToGrid w:val="0"/>
              <w:rPr>
                <w:rFonts w:ascii="Times New Roman" w:hAnsi="Times New Roman"/>
                <w:color w:val="000000"/>
                <w:szCs w:val="20"/>
              </w:rPr>
            </w:pPr>
          </w:p>
        </w:tc>
        <w:tc>
          <w:tcPr>
            <w:tcW w:w="341" w:type="dxa"/>
            <w:shd w:val="clear" w:color="auto" w:fill="auto"/>
          </w:tcPr>
          <w:p w14:paraId="3C954396" w14:textId="77777777" w:rsidR="009C0AAD" w:rsidRPr="00E16672" w:rsidRDefault="009C0AAD" w:rsidP="009C0AAD">
            <w:pPr>
              <w:pStyle w:val="af7"/>
              <w:snapToGrid w:val="0"/>
              <w:rPr>
                <w:rFonts w:ascii="Times New Roman" w:hAnsi="Times New Roman"/>
                <w:color w:val="000000"/>
                <w:szCs w:val="20"/>
              </w:rPr>
            </w:pPr>
          </w:p>
        </w:tc>
        <w:tc>
          <w:tcPr>
            <w:tcW w:w="4912" w:type="dxa"/>
            <w:gridSpan w:val="3"/>
            <w:shd w:val="clear" w:color="auto" w:fill="auto"/>
            <w:vAlign w:val="center"/>
          </w:tcPr>
          <w:p w14:paraId="454E9886" w14:textId="77777777" w:rsidR="009C0AAD" w:rsidRPr="00E16672" w:rsidRDefault="00622BEB" w:rsidP="009C0AAD">
            <w:pPr>
              <w:pStyle w:val="western"/>
              <w:snapToGrid w:val="0"/>
              <w:spacing w:before="0" w:after="0"/>
              <w:ind w:firstLine="0"/>
              <w:jc w:val="left"/>
              <w:rPr>
                <w:rFonts w:ascii="Times New Roman" w:hAnsi="Times New Roman"/>
                <w:b w:val="0"/>
                <w:bCs w:val="0"/>
                <w:color w:val="000000"/>
                <w:szCs w:val="20"/>
                <w:lang w:val="uk-UA"/>
              </w:rPr>
            </w:pPr>
            <w:proofErr w:type="spellStart"/>
            <w:r>
              <w:rPr>
                <w:rFonts w:ascii="Times New Roman" w:hAnsi="Times New Roman"/>
                <w:b w:val="0"/>
                <w:bCs w:val="0"/>
                <w:sz w:val="18"/>
                <w:szCs w:val="18"/>
              </w:rPr>
              <w:t>Україна</w:t>
            </w:r>
            <w:proofErr w:type="spellEnd"/>
            <w:r>
              <w:rPr>
                <w:rFonts w:ascii="Times New Roman" w:hAnsi="Times New Roman"/>
                <w:b w:val="0"/>
                <w:bCs w:val="0"/>
                <w:sz w:val="18"/>
                <w:szCs w:val="18"/>
              </w:rPr>
              <w:t xml:space="preserve">, </w:t>
            </w:r>
            <w:proofErr w:type="spellStart"/>
            <w:r>
              <w:rPr>
                <w:rFonts w:ascii="Times New Roman" w:hAnsi="Times New Roman"/>
                <w:b w:val="0"/>
                <w:bCs w:val="0"/>
                <w:sz w:val="18"/>
                <w:szCs w:val="18"/>
              </w:rPr>
              <w:t>м.Київ</w:t>
            </w:r>
            <w:proofErr w:type="spellEnd"/>
            <w:r>
              <w:rPr>
                <w:rFonts w:ascii="Times New Roman" w:hAnsi="Times New Roman"/>
                <w:b w:val="0"/>
                <w:bCs w:val="0"/>
                <w:sz w:val="18"/>
                <w:szCs w:val="18"/>
              </w:rPr>
              <w:t xml:space="preserve">, Велика </w:t>
            </w:r>
            <w:proofErr w:type="spellStart"/>
            <w:r>
              <w:rPr>
                <w:rFonts w:ascii="Times New Roman" w:hAnsi="Times New Roman"/>
                <w:b w:val="0"/>
                <w:bCs w:val="0"/>
                <w:sz w:val="18"/>
                <w:szCs w:val="18"/>
              </w:rPr>
              <w:t>Васильківська</w:t>
            </w:r>
            <w:proofErr w:type="spellEnd"/>
            <w:r>
              <w:rPr>
                <w:rFonts w:ascii="Times New Roman" w:hAnsi="Times New Roman"/>
                <w:b w:val="0"/>
                <w:bCs w:val="0"/>
                <w:sz w:val="18"/>
                <w:szCs w:val="18"/>
              </w:rPr>
              <w:t xml:space="preserve"> (</w:t>
            </w:r>
            <w:proofErr w:type="spellStart"/>
            <w:r>
              <w:rPr>
                <w:rFonts w:ascii="Times New Roman" w:hAnsi="Times New Roman"/>
                <w:b w:val="0"/>
                <w:bCs w:val="0"/>
                <w:sz w:val="18"/>
                <w:szCs w:val="18"/>
              </w:rPr>
              <w:t>колишня</w:t>
            </w:r>
            <w:proofErr w:type="spellEnd"/>
            <w:r>
              <w:rPr>
                <w:rFonts w:ascii="Times New Roman" w:hAnsi="Times New Roman"/>
                <w:b w:val="0"/>
                <w:bCs w:val="0"/>
                <w:sz w:val="18"/>
                <w:szCs w:val="18"/>
              </w:rPr>
              <w:t xml:space="preserve"> </w:t>
            </w:r>
            <w:proofErr w:type="spellStart"/>
            <w:r>
              <w:rPr>
                <w:rFonts w:ascii="Times New Roman" w:hAnsi="Times New Roman"/>
                <w:b w:val="0"/>
                <w:bCs w:val="0"/>
                <w:sz w:val="18"/>
                <w:szCs w:val="18"/>
              </w:rPr>
              <w:t>Червоноармійська</w:t>
            </w:r>
            <w:proofErr w:type="spellEnd"/>
            <w:r>
              <w:rPr>
                <w:rFonts w:ascii="Times New Roman" w:hAnsi="Times New Roman"/>
                <w:b w:val="0"/>
                <w:bCs w:val="0"/>
                <w:sz w:val="18"/>
                <w:szCs w:val="18"/>
              </w:rPr>
              <w:t xml:space="preserve">) </w:t>
            </w:r>
            <w:proofErr w:type="spellStart"/>
            <w:r>
              <w:rPr>
                <w:rFonts w:ascii="Times New Roman" w:hAnsi="Times New Roman"/>
                <w:b w:val="0"/>
                <w:bCs w:val="0"/>
                <w:sz w:val="18"/>
                <w:szCs w:val="18"/>
              </w:rPr>
              <w:t>вул</w:t>
            </w:r>
            <w:proofErr w:type="spellEnd"/>
            <w:r>
              <w:rPr>
                <w:rFonts w:ascii="Times New Roman" w:hAnsi="Times New Roman"/>
                <w:b w:val="0"/>
                <w:bCs w:val="0"/>
                <w:sz w:val="18"/>
                <w:szCs w:val="18"/>
              </w:rPr>
              <w:t>., буд. 65</w:t>
            </w:r>
          </w:p>
        </w:tc>
      </w:tr>
      <w:tr w:rsidR="009C0AAD" w:rsidRPr="00E16672" w14:paraId="0CA6996C" w14:textId="77777777" w:rsidTr="009C0AAD">
        <w:trPr>
          <w:gridAfter w:val="2"/>
          <w:wAfter w:w="920" w:type="dxa"/>
        </w:trPr>
        <w:tc>
          <w:tcPr>
            <w:tcW w:w="4827" w:type="dxa"/>
            <w:gridSpan w:val="3"/>
            <w:shd w:val="clear" w:color="auto" w:fill="auto"/>
          </w:tcPr>
          <w:p w14:paraId="3378010F" w14:textId="77777777" w:rsidR="009C0AAD" w:rsidRPr="00E16672" w:rsidRDefault="009C0AAD" w:rsidP="009C0AAD">
            <w:pPr>
              <w:pStyle w:val="4"/>
              <w:keepNext w:val="0"/>
              <w:numPr>
                <w:ilvl w:val="0"/>
                <w:numId w:val="0"/>
              </w:numPr>
              <w:snapToGrid w:val="0"/>
              <w:ind w:left="36" w:right="4" w:firstLine="32"/>
              <w:jc w:val="left"/>
              <w:rPr>
                <w:rFonts w:ascii="Times New Roman" w:hAnsi="Times New Roman"/>
                <w:i/>
                <w:iCs/>
                <w:color w:val="000000"/>
                <w:sz w:val="20"/>
                <w:shd w:val="clear" w:color="auto" w:fill="FFFFFF"/>
                <w:lang w:val="ru-RU"/>
              </w:rPr>
            </w:pPr>
          </w:p>
          <w:p w14:paraId="1DCD5985" w14:textId="77777777" w:rsidR="009C0AAD" w:rsidRPr="00E16672" w:rsidRDefault="009C0AAD" w:rsidP="009C0AAD">
            <w:pPr>
              <w:pStyle w:val="4"/>
              <w:keepNext w:val="0"/>
              <w:numPr>
                <w:ilvl w:val="0"/>
                <w:numId w:val="0"/>
              </w:numPr>
              <w:snapToGrid w:val="0"/>
              <w:ind w:left="36" w:right="4" w:firstLine="32"/>
              <w:jc w:val="left"/>
              <w:rPr>
                <w:rFonts w:ascii="Times New Roman" w:hAnsi="Times New Roman"/>
                <w:i/>
                <w:iCs/>
                <w:color w:val="000000"/>
                <w:sz w:val="20"/>
                <w:shd w:val="clear" w:color="auto" w:fill="FFFF00"/>
                <w:lang w:val="ru-RU"/>
              </w:rPr>
            </w:pPr>
            <w:r w:rsidRPr="00E16672">
              <w:rPr>
                <w:rFonts w:ascii="Times New Roman" w:hAnsi="Times New Roman"/>
                <w:i/>
                <w:iCs/>
                <w:color w:val="000000"/>
                <w:sz w:val="20"/>
                <w:shd w:val="clear" w:color="auto" w:fill="FFFFFF"/>
                <w:lang w:val="ru-RU"/>
              </w:rPr>
              <w:t xml:space="preserve">Адреса для </w:t>
            </w:r>
            <w:proofErr w:type="spellStart"/>
            <w:r w:rsidRPr="00E16672">
              <w:rPr>
                <w:rFonts w:ascii="Times New Roman" w:hAnsi="Times New Roman"/>
                <w:i/>
                <w:iCs/>
                <w:color w:val="000000"/>
                <w:sz w:val="20"/>
                <w:shd w:val="clear" w:color="auto" w:fill="FFFFFF"/>
                <w:lang w:val="ru-RU"/>
              </w:rPr>
              <w:t>листування</w:t>
            </w:r>
            <w:proofErr w:type="spellEnd"/>
          </w:p>
        </w:tc>
        <w:tc>
          <w:tcPr>
            <w:tcW w:w="341" w:type="dxa"/>
            <w:shd w:val="clear" w:color="auto" w:fill="auto"/>
          </w:tcPr>
          <w:p w14:paraId="69EFF837" w14:textId="77777777" w:rsidR="009C0AAD" w:rsidRPr="00E16672" w:rsidRDefault="009C0AAD" w:rsidP="009C0AAD">
            <w:pPr>
              <w:snapToGrid w:val="0"/>
              <w:rPr>
                <w:rFonts w:ascii="Times New Roman" w:hAnsi="Times New Roman"/>
                <w:color w:val="000000"/>
                <w:sz w:val="18"/>
                <w:szCs w:val="18"/>
                <w:shd w:val="clear" w:color="auto" w:fill="FFFF00"/>
                <w:lang w:val="uk-UA"/>
              </w:rPr>
            </w:pPr>
          </w:p>
        </w:tc>
        <w:tc>
          <w:tcPr>
            <w:tcW w:w="4912" w:type="dxa"/>
            <w:gridSpan w:val="3"/>
            <w:shd w:val="clear" w:color="auto" w:fill="auto"/>
            <w:vAlign w:val="center"/>
          </w:tcPr>
          <w:p w14:paraId="361238F6" w14:textId="77777777" w:rsidR="009C0AAD" w:rsidRPr="00E16672" w:rsidRDefault="009C0AAD" w:rsidP="009C0AAD">
            <w:pPr>
              <w:pStyle w:val="4"/>
              <w:keepNext w:val="0"/>
              <w:numPr>
                <w:ilvl w:val="0"/>
                <w:numId w:val="0"/>
              </w:numPr>
              <w:snapToGrid w:val="0"/>
              <w:ind w:left="-8" w:right="105" w:hanging="13"/>
              <w:jc w:val="left"/>
              <w:rPr>
                <w:rFonts w:ascii="Times New Roman" w:hAnsi="Times New Roman"/>
                <w:i/>
                <w:iCs/>
                <w:color w:val="000000"/>
                <w:sz w:val="18"/>
                <w:szCs w:val="18"/>
              </w:rPr>
            </w:pPr>
          </w:p>
          <w:p w14:paraId="74200D2E" w14:textId="77777777" w:rsidR="009C0AAD" w:rsidRPr="00E16672" w:rsidRDefault="009C0AAD" w:rsidP="009C0AAD">
            <w:pPr>
              <w:pStyle w:val="4"/>
              <w:keepNext w:val="0"/>
              <w:numPr>
                <w:ilvl w:val="0"/>
                <w:numId w:val="0"/>
              </w:numPr>
              <w:snapToGrid w:val="0"/>
              <w:ind w:left="36" w:right="4" w:firstLine="32"/>
              <w:jc w:val="left"/>
              <w:rPr>
                <w:rFonts w:ascii="Times New Roman" w:hAnsi="Times New Roman"/>
                <w:i/>
                <w:iCs/>
                <w:color w:val="000000"/>
                <w:sz w:val="20"/>
                <w:shd w:val="clear" w:color="auto" w:fill="FFFF00"/>
                <w:lang w:val="ru-RU"/>
              </w:rPr>
            </w:pPr>
            <w:r w:rsidRPr="00E16672">
              <w:rPr>
                <w:rFonts w:ascii="Times New Roman" w:hAnsi="Times New Roman"/>
                <w:i/>
                <w:iCs/>
                <w:color w:val="000000"/>
                <w:sz w:val="18"/>
                <w:szCs w:val="18"/>
              </w:rPr>
              <w:t>Адреса для листування</w:t>
            </w:r>
          </w:p>
        </w:tc>
      </w:tr>
      <w:tr w:rsidR="009C0AAD" w:rsidRPr="00E16672" w14:paraId="15C3F68B" w14:textId="77777777" w:rsidTr="009C0AAD">
        <w:trPr>
          <w:gridAfter w:val="2"/>
          <w:wAfter w:w="920" w:type="dxa"/>
        </w:trPr>
        <w:tc>
          <w:tcPr>
            <w:tcW w:w="4827" w:type="dxa"/>
            <w:gridSpan w:val="3"/>
            <w:shd w:val="clear" w:color="auto" w:fill="auto"/>
          </w:tcPr>
          <w:p w14:paraId="6E587383" w14:textId="77777777" w:rsidR="009C0AAD" w:rsidRPr="00E16672" w:rsidRDefault="009C0AAD" w:rsidP="009C0AAD">
            <w:pPr>
              <w:pStyle w:val="af7"/>
              <w:snapToGrid w:val="0"/>
              <w:rPr>
                <w:rFonts w:ascii="Times New Roman" w:hAnsi="Times New Roman"/>
                <w:szCs w:val="20"/>
              </w:rPr>
            </w:pPr>
          </w:p>
        </w:tc>
        <w:tc>
          <w:tcPr>
            <w:tcW w:w="341" w:type="dxa"/>
            <w:shd w:val="clear" w:color="auto" w:fill="auto"/>
          </w:tcPr>
          <w:p w14:paraId="52545A08" w14:textId="77777777" w:rsidR="009C0AAD" w:rsidRPr="00E16672" w:rsidRDefault="009C0AAD" w:rsidP="009C0AAD">
            <w:pPr>
              <w:pStyle w:val="af7"/>
              <w:snapToGrid w:val="0"/>
              <w:rPr>
                <w:rFonts w:ascii="Times New Roman" w:hAnsi="Times New Roman"/>
                <w:szCs w:val="20"/>
              </w:rPr>
            </w:pPr>
          </w:p>
        </w:tc>
        <w:tc>
          <w:tcPr>
            <w:tcW w:w="4912" w:type="dxa"/>
            <w:gridSpan w:val="3"/>
            <w:shd w:val="clear" w:color="auto" w:fill="auto"/>
            <w:vAlign w:val="center"/>
          </w:tcPr>
          <w:p w14:paraId="090EBF0C" w14:textId="77777777" w:rsidR="009C0AAD" w:rsidRPr="00E16672" w:rsidRDefault="00622BEB" w:rsidP="009C0AAD">
            <w:pPr>
              <w:pStyle w:val="4"/>
              <w:widowControl w:val="0"/>
              <w:tabs>
                <w:tab w:val="clear" w:pos="-501"/>
                <w:tab w:val="num" w:pos="0"/>
              </w:tabs>
              <w:snapToGrid w:val="0"/>
              <w:ind w:left="0" w:firstLine="0"/>
              <w:jc w:val="left"/>
              <w:rPr>
                <w:rFonts w:ascii="Times New Roman" w:hAnsi="Times New Roman"/>
                <w:b w:val="0"/>
                <w:sz w:val="20"/>
              </w:rPr>
            </w:pPr>
            <w:r>
              <w:rPr>
                <w:rFonts w:ascii="Times New Roman" w:hAnsi="Times New Roman"/>
                <w:b w:val="0"/>
                <w:bCs/>
                <w:sz w:val="18"/>
                <w:szCs w:val="18"/>
              </w:rPr>
              <w:t xml:space="preserve">Україна, </w:t>
            </w:r>
            <w:proofErr w:type="spellStart"/>
            <w:r>
              <w:rPr>
                <w:rFonts w:ascii="Times New Roman" w:hAnsi="Times New Roman"/>
                <w:b w:val="0"/>
                <w:bCs/>
                <w:sz w:val="18"/>
                <w:szCs w:val="18"/>
              </w:rPr>
              <w:t>м.Київ</w:t>
            </w:r>
            <w:proofErr w:type="spellEnd"/>
            <w:r>
              <w:rPr>
                <w:rFonts w:ascii="Times New Roman" w:hAnsi="Times New Roman"/>
                <w:b w:val="0"/>
                <w:bCs/>
                <w:sz w:val="18"/>
                <w:szCs w:val="18"/>
              </w:rPr>
              <w:t>, Велика Васильківська (колишня Червоноармійська) вул., буд. 65</w:t>
            </w:r>
          </w:p>
        </w:tc>
      </w:tr>
      <w:tr w:rsidR="009C0AAD" w:rsidRPr="00E16672" w14:paraId="47C177C4" w14:textId="77777777" w:rsidTr="009C0AAD">
        <w:trPr>
          <w:gridAfter w:val="2"/>
          <w:wAfter w:w="920" w:type="dxa"/>
        </w:trPr>
        <w:tc>
          <w:tcPr>
            <w:tcW w:w="4827" w:type="dxa"/>
            <w:gridSpan w:val="3"/>
            <w:shd w:val="clear" w:color="auto" w:fill="auto"/>
          </w:tcPr>
          <w:p w14:paraId="19D5FB67" w14:textId="77777777" w:rsidR="009C0AAD" w:rsidRPr="00E16672" w:rsidRDefault="009C0AAD" w:rsidP="009C0AAD">
            <w:pPr>
              <w:pStyle w:val="4"/>
              <w:keepNext w:val="0"/>
              <w:tabs>
                <w:tab w:val="clear" w:pos="-501"/>
                <w:tab w:val="num" w:pos="0"/>
              </w:tabs>
              <w:snapToGrid w:val="0"/>
              <w:ind w:left="-57" w:right="-57" w:firstLine="0"/>
              <w:jc w:val="both"/>
              <w:rPr>
                <w:rFonts w:ascii="Times New Roman" w:hAnsi="Times New Roman"/>
                <w:i/>
                <w:iCs/>
                <w:sz w:val="20"/>
              </w:rPr>
            </w:pPr>
          </w:p>
          <w:p w14:paraId="411A6E24" w14:textId="77777777" w:rsidR="009C0AAD" w:rsidRPr="00E16672" w:rsidRDefault="009C0AAD" w:rsidP="009C0AAD">
            <w:pPr>
              <w:pStyle w:val="4"/>
              <w:keepNext w:val="0"/>
              <w:tabs>
                <w:tab w:val="clear" w:pos="-501"/>
                <w:tab w:val="num" w:pos="0"/>
              </w:tabs>
              <w:snapToGrid w:val="0"/>
              <w:ind w:left="-57" w:right="-57" w:firstLine="0"/>
              <w:jc w:val="both"/>
              <w:rPr>
                <w:rFonts w:ascii="Times New Roman" w:hAnsi="Times New Roman"/>
                <w:i/>
                <w:iCs/>
                <w:sz w:val="20"/>
              </w:rPr>
            </w:pPr>
            <w:r w:rsidRPr="00E16672">
              <w:rPr>
                <w:rFonts w:ascii="Times New Roman" w:hAnsi="Times New Roman"/>
                <w:i/>
                <w:iCs/>
                <w:sz w:val="20"/>
              </w:rPr>
              <w:t>Банківські реквізити</w:t>
            </w:r>
          </w:p>
        </w:tc>
        <w:tc>
          <w:tcPr>
            <w:tcW w:w="341" w:type="dxa"/>
            <w:shd w:val="clear" w:color="auto" w:fill="auto"/>
          </w:tcPr>
          <w:p w14:paraId="2E003F1C" w14:textId="77777777" w:rsidR="009C0AAD" w:rsidRPr="00E16672" w:rsidRDefault="009C0AAD" w:rsidP="009C0AAD">
            <w:pPr>
              <w:pStyle w:val="af7"/>
              <w:snapToGrid w:val="0"/>
              <w:rPr>
                <w:rFonts w:ascii="Times New Roman" w:hAnsi="Times New Roman"/>
                <w:szCs w:val="20"/>
              </w:rPr>
            </w:pPr>
          </w:p>
        </w:tc>
        <w:tc>
          <w:tcPr>
            <w:tcW w:w="4912" w:type="dxa"/>
            <w:gridSpan w:val="3"/>
            <w:shd w:val="clear" w:color="auto" w:fill="auto"/>
            <w:vAlign w:val="center"/>
          </w:tcPr>
          <w:p w14:paraId="5A81DB74" w14:textId="77777777" w:rsidR="009C0AAD" w:rsidRPr="00E16672" w:rsidRDefault="009C0AAD" w:rsidP="009C0AAD">
            <w:pPr>
              <w:pStyle w:val="6"/>
              <w:numPr>
                <w:ilvl w:val="0"/>
                <w:numId w:val="0"/>
              </w:numPr>
              <w:snapToGrid w:val="0"/>
              <w:ind w:left="15" w:right="1"/>
              <w:jc w:val="left"/>
              <w:rPr>
                <w:rFonts w:ascii="Times New Roman" w:hAnsi="Times New Roman"/>
                <w:b/>
                <w:i/>
                <w:color w:val="000000"/>
                <w:sz w:val="18"/>
                <w:szCs w:val="18"/>
                <w:lang w:val="uk-UA"/>
              </w:rPr>
            </w:pPr>
          </w:p>
          <w:p w14:paraId="42CCD984" w14:textId="77777777" w:rsidR="009C0AAD" w:rsidRPr="00E16672" w:rsidRDefault="009C0AAD" w:rsidP="009C0AAD">
            <w:pPr>
              <w:pStyle w:val="western"/>
              <w:snapToGrid w:val="0"/>
              <w:spacing w:before="0" w:after="0"/>
              <w:ind w:right="57" w:firstLine="0"/>
              <w:jc w:val="left"/>
              <w:rPr>
                <w:rFonts w:ascii="Times New Roman" w:hAnsi="Times New Roman"/>
                <w:i/>
                <w:iCs/>
                <w:szCs w:val="20"/>
              </w:rPr>
            </w:pPr>
            <w:r w:rsidRPr="00E16672">
              <w:rPr>
                <w:rFonts w:ascii="Times New Roman" w:hAnsi="Times New Roman"/>
                <w:i/>
                <w:color w:val="000000"/>
                <w:sz w:val="18"/>
                <w:szCs w:val="18"/>
                <w:lang w:val="uk-UA"/>
              </w:rPr>
              <w:t>Банківські реквізити</w:t>
            </w:r>
          </w:p>
        </w:tc>
      </w:tr>
      <w:tr w:rsidR="009C0AAD" w:rsidRPr="00E16672" w14:paraId="19C15415" w14:textId="77777777" w:rsidTr="009C0AAD">
        <w:trPr>
          <w:gridAfter w:val="2"/>
          <w:wAfter w:w="920" w:type="dxa"/>
        </w:trPr>
        <w:tc>
          <w:tcPr>
            <w:tcW w:w="4827" w:type="dxa"/>
            <w:gridSpan w:val="3"/>
            <w:shd w:val="clear" w:color="auto" w:fill="auto"/>
          </w:tcPr>
          <w:p w14:paraId="641C79BC" w14:textId="77777777" w:rsidR="009C0AAD" w:rsidRPr="00E16672" w:rsidRDefault="009C0AAD" w:rsidP="009C0AAD">
            <w:pPr>
              <w:pStyle w:val="af7"/>
              <w:snapToGrid w:val="0"/>
              <w:rPr>
                <w:rFonts w:ascii="Times New Roman" w:hAnsi="Times New Roman"/>
                <w:szCs w:val="20"/>
              </w:rPr>
            </w:pPr>
          </w:p>
        </w:tc>
        <w:tc>
          <w:tcPr>
            <w:tcW w:w="341" w:type="dxa"/>
            <w:shd w:val="clear" w:color="auto" w:fill="auto"/>
          </w:tcPr>
          <w:p w14:paraId="337711D7" w14:textId="77777777" w:rsidR="009C0AAD" w:rsidRPr="00E16672" w:rsidRDefault="009C0AAD" w:rsidP="009C0AAD">
            <w:pPr>
              <w:pStyle w:val="af7"/>
              <w:snapToGrid w:val="0"/>
              <w:rPr>
                <w:rFonts w:ascii="Times New Roman" w:hAnsi="Times New Roman"/>
                <w:szCs w:val="20"/>
              </w:rPr>
            </w:pPr>
          </w:p>
        </w:tc>
        <w:tc>
          <w:tcPr>
            <w:tcW w:w="4912" w:type="dxa"/>
            <w:gridSpan w:val="3"/>
            <w:shd w:val="clear" w:color="auto" w:fill="auto"/>
            <w:vAlign w:val="center"/>
          </w:tcPr>
          <w:p w14:paraId="79F43833" w14:textId="77777777" w:rsidR="00930A41" w:rsidRPr="00E16672" w:rsidRDefault="00622BEB" w:rsidP="009C0AAD">
            <w:pPr>
              <w:pStyle w:val="3"/>
              <w:numPr>
                <w:ilvl w:val="0"/>
                <w:numId w:val="0"/>
              </w:numPr>
              <w:snapToGrid w:val="0"/>
              <w:spacing w:before="0" w:after="0"/>
              <w:ind w:left="15" w:right="219"/>
              <w:jc w:val="left"/>
              <w:rPr>
                <w:rFonts w:ascii="Times New Roman" w:hAnsi="Times New Roman" w:cs="Times New Roman"/>
                <w:b w:val="0"/>
                <w:sz w:val="18"/>
                <w:szCs w:val="18"/>
              </w:rPr>
            </w:pPr>
            <w:r>
              <w:rPr>
                <w:rFonts w:ascii="Times New Roman" w:hAnsi="Times New Roman" w:cs="Times New Roman"/>
                <w:b w:val="0"/>
                <w:sz w:val="18"/>
                <w:szCs w:val="18"/>
              </w:rPr>
              <w:t>UA743281680000000026503815351</w:t>
            </w:r>
          </w:p>
          <w:p w14:paraId="291CE73A" w14:textId="77777777" w:rsidR="009C0AAD" w:rsidRPr="00E16672" w:rsidRDefault="00622BEB" w:rsidP="00022F5F">
            <w:pPr>
              <w:pStyle w:val="3"/>
              <w:numPr>
                <w:ilvl w:val="0"/>
                <w:numId w:val="0"/>
              </w:numPr>
              <w:snapToGrid w:val="0"/>
              <w:spacing w:before="0" w:after="0"/>
              <w:ind w:left="15" w:right="219"/>
              <w:jc w:val="left"/>
              <w:rPr>
                <w:rFonts w:ascii="Times New Roman" w:hAnsi="Times New Roman" w:cs="Times New Roman"/>
                <w:b w:val="0"/>
                <w:sz w:val="18"/>
                <w:szCs w:val="18"/>
              </w:rPr>
            </w:pPr>
            <w:r>
              <w:rPr>
                <w:rFonts w:ascii="Times New Roman" w:hAnsi="Times New Roman" w:cs="Times New Roman"/>
                <w:b w:val="0"/>
                <w:bCs w:val="0"/>
                <w:color w:val="000000"/>
                <w:sz w:val="18"/>
                <w:szCs w:val="18"/>
              </w:rPr>
              <w:t xml:space="preserve">ПАТ </w:t>
            </w:r>
            <w:r w:rsidR="00022F5F">
              <w:rPr>
                <w:rFonts w:ascii="Times New Roman" w:hAnsi="Times New Roman" w:cs="Times New Roman"/>
                <w:b w:val="0"/>
                <w:bCs w:val="0"/>
                <w:color w:val="000000"/>
                <w:sz w:val="18"/>
                <w:szCs w:val="18"/>
              </w:rPr>
              <w:t>"</w:t>
            </w:r>
            <w:r>
              <w:rPr>
                <w:rFonts w:ascii="Times New Roman" w:hAnsi="Times New Roman" w:cs="Times New Roman"/>
                <w:b w:val="0"/>
                <w:bCs w:val="0"/>
                <w:color w:val="000000"/>
                <w:sz w:val="18"/>
                <w:szCs w:val="18"/>
              </w:rPr>
              <w:t>МТБ Банк</w:t>
            </w:r>
            <w:r w:rsidR="00022F5F">
              <w:rPr>
                <w:rFonts w:ascii="Times New Roman" w:hAnsi="Times New Roman" w:cs="Times New Roman"/>
                <w:b w:val="0"/>
                <w:bCs w:val="0"/>
                <w:color w:val="000000"/>
                <w:sz w:val="18"/>
                <w:szCs w:val="18"/>
              </w:rPr>
              <w:t>"</w:t>
            </w:r>
            <w:r>
              <w:rPr>
                <w:rFonts w:ascii="Times New Roman" w:hAnsi="Times New Roman" w:cs="Times New Roman"/>
                <w:b w:val="0"/>
                <w:bCs w:val="0"/>
                <w:color w:val="000000"/>
                <w:sz w:val="18"/>
                <w:szCs w:val="18"/>
              </w:rPr>
              <w:t>, МФО 328168</w:t>
            </w:r>
            <w:r w:rsidR="009C0AAD" w:rsidRPr="00E16672">
              <w:rPr>
                <w:rFonts w:ascii="Times New Roman" w:hAnsi="Times New Roman" w:cs="Times New Roman"/>
                <w:b w:val="0"/>
                <w:sz w:val="18"/>
                <w:szCs w:val="18"/>
              </w:rPr>
              <w:t xml:space="preserve">, ЄДРПОУ </w:t>
            </w:r>
            <w:r w:rsidR="00565242">
              <w:rPr>
                <w:rFonts w:ascii="Times New Roman" w:hAnsi="Times New Roman" w:cs="Times New Roman"/>
                <w:b w:val="0"/>
                <w:sz w:val="18"/>
                <w:szCs w:val="18"/>
              </w:rPr>
              <w:t>21650966</w:t>
            </w:r>
          </w:p>
          <w:p w14:paraId="54DF68B9" w14:textId="77777777" w:rsidR="009C0AAD" w:rsidRPr="00E16672" w:rsidRDefault="00CE0D17" w:rsidP="009C0AAD">
            <w:pPr>
              <w:pStyle w:val="6"/>
              <w:widowControl w:val="0"/>
              <w:tabs>
                <w:tab w:val="clear" w:pos="-501"/>
                <w:tab w:val="num" w:pos="0"/>
              </w:tabs>
              <w:snapToGrid w:val="0"/>
              <w:ind w:left="0" w:firstLine="0"/>
              <w:jc w:val="left"/>
              <w:rPr>
                <w:rFonts w:ascii="Times New Roman" w:hAnsi="Times New Roman"/>
                <w:sz w:val="20"/>
              </w:rPr>
            </w:pPr>
            <w:r w:rsidRPr="00CE0D17">
              <w:rPr>
                <w:rFonts w:ascii="Times New Roman" w:hAnsi="Times New Roman"/>
                <w:bCs/>
                <w:sz w:val="18"/>
                <w:szCs w:val="18"/>
              </w:rPr>
              <w:t xml:space="preserve">68003, </w:t>
            </w:r>
            <w:proofErr w:type="spellStart"/>
            <w:r w:rsidRPr="00CE0D17">
              <w:rPr>
                <w:rFonts w:ascii="Times New Roman" w:hAnsi="Times New Roman"/>
                <w:bCs/>
                <w:sz w:val="18"/>
                <w:szCs w:val="18"/>
              </w:rPr>
              <w:t>м.Чорноморськ</w:t>
            </w:r>
            <w:proofErr w:type="spellEnd"/>
            <w:r w:rsidRPr="00CE0D17">
              <w:rPr>
                <w:rFonts w:ascii="Times New Roman" w:hAnsi="Times New Roman"/>
                <w:bCs/>
                <w:sz w:val="18"/>
                <w:szCs w:val="18"/>
              </w:rPr>
              <w:t>, Миру просп., буд. 28</w:t>
            </w:r>
          </w:p>
        </w:tc>
      </w:tr>
      <w:tr w:rsidR="009C0AAD" w:rsidRPr="00E16672" w14:paraId="7060DE0D" w14:textId="77777777" w:rsidTr="009C0AAD">
        <w:trPr>
          <w:gridAfter w:val="1"/>
          <w:wAfter w:w="849" w:type="dxa"/>
        </w:trPr>
        <w:tc>
          <w:tcPr>
            <w:tcW w:w="3347" w:type="dxa"/>
            <w:gridSpan w:val="2"/>
            <w:shd w:val="clear" w:color="auto" w:fill="auto"/>
            <w:vAlign w:val="center"/>
          </w:tcPr>
          <w:p w14:paraId="28C3590F" w14:textId="77777777" w:rsidR="009C0AAD" w:rsidRPr="00E16672" w:rsidRDefault="009C0AAD" w:rsidP="009C0AAD">
            <w:pPr>
              <w:pStyle w:val="western"/>
              <w:snapToGrid w:val="0"/>
              <w:spacing w:before="0" w:after="0"/>
              <w:ind w:left="-57" w:right="-57" w:firstLine="0"/>
              <w:jc w:val="left"/>
              <w:rPr>
                <w:rFonts w:ascii="Times New Roman" w:hAnsi="Times New Roman"/>
                <w:i/>
                <w:iCs/>
                <w:szCs w:val="20"/>
              </w:rPr>
            </w:pPr>
            <w:r w:rsidRPr="00E16672">
              <w:rPr>
                <w:rFonts w:ascii="Times New Roman" w:hAnsi="Times New Roman"/>
                <w:color w:val="000000"/>
                <w:sz w:val="18"/>
                <w:szCs w:val="18"/>
                <w:lang w:val="uk-UA"/>
              </w:rPr>
              <w:t>Документ, що підтверджує повноваження особи, яка підписує договір</w:t>
            </w:r>
          </w:p>
        </w:tc>
        <w:tc>
          <w:tcPr>
            <w:tcW w:w="1480" w:type="dxa"/>
            <w:shd w:val="clear" w:color="auto" w:fill="auto"/>
          </w:tcPr>
          <w:p w14:paraId="693C6D76" w14:textId="77777777" w:rsidR="009C0AAD" w:rsidRPr="00E16672" w:rsidRDefault="009C0AAD" w:rsidP="009C0AAD">
            <w:pPr>
              <w:pStyle w:val="western"/>
              <w:snapToGrid w:val="0"/>
              <w:spacing w:before="0" w:after="0"/>
              <w:ind w:left="-57" w:right="-57"/>
              <w:jc w:val="both"/>
              <w:rPr>
                <w:rFonts w:ascii="Times New Roman" w:hAnsi="Times New Roman"/>
                <w:i/>
                <w:iCs/>
                <w:szCs w:val="20"/>
              </w:rPr>
            </w:pPr>
          </w:p>
        </w:tc>
        <w:tc>
          <w:tcPr>
            <w:tcW w:w="341" w:type="dxa"/>
            <w:shd w:val="clear" w:color="auto" w:fill="auto"/>
          </w:tcPr>
          <w:p w14:paraId="4E403FFA" w14:textId="77777777" w:rsidR="009C0AAD" w:rsidRPr="00E16672" w:rsidRDefault="009C0AAD" w:rsidP="009C0AAD">
            <w:pPr>
              <w:pStyle w:val="af7"/>
              <w:snapToGrid w:val="0"/>
              <w:rPr>
                <w:rFonts w:ascii="Times New Roman" w:hAnsi="Times New Roman"/>
                <w:szCs w:val="20"/>
              </w:rPr>
            </w:pPr>
          </w:p>
        </w:tc>
        <w:tc>
          <w:tcPr>
            <w:tcW w:w="3424" w:type="dxa"/>
            <w:gridSpan w:val="2"/>
            <w:shd w:val="clear" w:color="auto" w:fill="auto"/>
            <w:vAlign w:val="center"/>
          </w:tcPr>
          <w:p w14:paraId="11E33A2E" w14:textId="77777777" w:rsidR="009C0AAD" w:rsidRPr="00E16672" w:rsidRDefault="009C0AAD" w:rsidP="009C0AAD">
            <w:pPr>
              <w:pStyle w:val="western"/>
              <w:snapToGrid w:val="0"/>
              <w:spacing w:before="0" w:after="0"/>
              <w:ind w:left="57" w:right="57" w:firstLine="0"/>
              <w:jc w:val="left"/>
              <w:rPr>
                <w:rFonts w:ascii="Times New Roman" w:hAnsi="Times New Roman"/>
                <w:bCs w:val="0"/>
                <w:szCs w:val="20"/>
                <w:lang w:val="uk-UA"/>
              </w:rPr>
            </w:pPr>
            <w:r w:rsidRPr="00E16672">
              <w:rPr>
                <w:rFonts w:ascii="Times New Roman" w:hAnsi="Times New Roman"/>
                <w:color w:val="000000"/>
                <w:sz w:val="18"/>
                <w:szCs w:val="18"/>
                <w:lang w:val="uk-UA"/>
              </w:rPr>
              <w:t>Документ, що підтверджує повноваження особи, яка підписує договір</w:t>
            </w:r>
          </w:p>
        </w:tc>
        <w:tc>
          <w:tcPr>
            <w:tcW w:w="1559" w:type="dxa"/>
            <w:gridSpan w:val="2"/>
            <w:vAlign w:val="center"/>
          </w:tcPr>
          <w:p w14:paraId="553BC0D0" w14:textId="77777777" w:rsidR="009C0AAD" w:rsidRPr="00E16672" w:rsidRDefault="009C0AAD" w:rsidP="009C0AAD">
            <w:pPr>
              <w:suppressAutoHyphens w:val="0"/>
              <w:ind w:firstLine="0"/>
              <w:jc w:val="left"/>
              <w:rPr>
                <w:rFonts w:ascii="Times New Roman" w:hAnsi="Times New Roman"/>
                <w:i/>
                <w:iCs/>
                <w:sz w:val="18"/>
                <w:szCs w:val="18"/>
              </w:rPr>
            </w:pPr>
            <w:r w:rsidRPr="00E16672">
              <w:rPr>
                <w:rFonts w:ascii="Times New Roman" w:hAnsi="Times New Roman"/>
                <w:sz w:val="18"/>
                <w:szCs w:val="18"/>
                <w:lang w:val="uk-UA"/>
              </w:rPr>
              <w:t>Статут</w:t>
            </w:r>
          </w:p>
        </w:tc>
      </w:tr>
      <w:tr w:rsidR="009C0AAD" w:rsidRPr="00E16672" w14:paraId="1C78C97E" w14:textId="77777777" w:rsidTr="009C0AAD">
        <w:tc>
          <w:tcPr>
            <w:tcW w:w="2413" w:type="dxa"/>
            <w:shd w:val="clear" w:color="auto" w:fill="auto"/>
            <w:vAlign w:val="center"/>
          </w:tcPr>
          <w:p w14:paraId="4F33878A" w14:textId="77777777" w:rsidR="009C0AAD" w:rsidRPr="00E16672" w:rsidRDefault="009C0AAD" w:rsidP="009C0AAD">
            <w:pPr>
              <w:pStyle w:val="western"/>
              <w:snapToGrid w:val="0"/>
              <w:spacing w:before="0" w:after="0"/>
              <w:ind w:left="-57" w:right="-57"/>
              <w:jc w:val="both"/>
              <w:rPr>
                <w:rFonts w:ascii="Times New Roman" w:hAnsi="Times New Roman"/>
                <w:i/>
                <w:iCs/>
                <w:szCs w:val="20"/>
              </w:rPr>
            </w:pPr>
          </w:p>
        </w:tc>
        <w:tc>
          <w:tcPr>
            <w:tcW w:w="2414" w:type="dxa"/>
            <w:gridSpan w:val="2"/>
            <w:shd w:val="clear" w:color="auto" w:fill="auto"/>
          </w:tcPr>
          <w:p w14:paraId="06E3ABDA" w14:textId="77777777" w:rsidR="009C0AAD" w:rsidRPr="00E16672" w:rsidRDefault="009C0AAD" w:rsidP="009C0AAD">
            <w:pPr>
              <w:pStyle w:val="western"/>
              <w:snapToGrid w:val="0"/>
              <w:spacing w:before="0" w:after="0"/>
              <w:ind w:left="-57" w:right="-57"/>
              <w:jc w:val="both"/>
              <w:rPr>
                <w:rFonts w:ascii="Times New Roman" w:hAnsi="Times New Roman"/>
                <w:i/>
                <w:iCs/>
                <w:szCs w:val="20"/>
              </w:rPr>
            </w:pPr>
          </w:p>
        </w:tc>
        <w:tc>
          <w:tcPr>
            <w:tcW w:w="341" w:type="dxa"/>
            <w:shd w:val="clear" w:color="auto" w:fill="auto"/>
          </w:tcPr>
          <w:p w14:paraId="67448131" w14:textId="77777777" w:rsidR="009C0AAD" w:rsidRPr="00E16672" w:rsidRDefault="009C0AAD" w:rsidP="009C0AAD">
            <w:pPr>
              <w:pStyle w:val="af7"/>
              <w:snapToGrid w:val="0"/>
              <w:rPr>
                <w:rFonts w:ascii="Times New Roman" w:hAnsi="Times New Roman"/>
                <w:szCs w:val="20"/>
              </w:rPr>
            </w:pPr>
          </w:p>
        </w:tc>
        <w:tc>
          <w:tcPr>
            <w:tcW w:w="2715" w:type="dxa"/>
            <w:shd w:val="clear" w:color="auto" w:fill="auto"/>
            <w:vAlign w:val="center"/>
          </w:tcPr>
          <w:p w14:paraId="4A1D1B14" w14:textId="77777777" w:rsidR="009C0AAD" w:rsidRPr="00E16672" w:rsidRDefault="009C0AAD" w:rsidP="009C0AAD">
            <w:pPr>
              <w:pStyle w:val="western"/>
              <w:snapToGrid w:val="0"/>
              <w:spacing w:before="0" w:after="0"/>
              <w:ind w:left="57" w:right="57"/>
              <w:jc w:val="left"/>
              <w:rPr>
                <w:rFonts w:ascii="Times New Roman" w:hAnsi="Times New Roman"/>
                <w:bCs w:val="0"/>
                <w:szCs w:val="20"/>
                <w:lang w:val="uk-UA"/>
              </w:rPr>
            </w:pPr>
          </w:p>
        </w:tc>
        <w:tc>
          <w:tcPr>
            <w:tcW w:w="3117" w:type="dxa"/>
            <w:gridSpan w:val="4"/>
            <w:vAlign w:val="center"/>
          </w:tcPr>
          <w:p w14:paraId="59A4A5C8" w14:textId="77777777" w:rsidR="009C0AAD" w:rsidRPr="00E16672" w:rsidRDefault="009C0AAD" w:rsidP="009C0AAD">
            <w:pPr>
              <w:suppressAutoHyphens w:val="0"/>
              <w:ind w:firstLine="0"/>
              <w:jc w:val="left"/>
              <w:rPr>
                <w:rFonts w:ascii="Times New Roman" w:hAnsi="Times New Roman"/>
                <w:i/>
                <w:iCs/>
                <w:sz w:val="18"/>
                <w:szCs w:val="18"/>
                <w:lang w:val="en-US"/>
              </w:rPr>
            </w:pPr>
          </w:p>
        </w:tc>
      </w:tr>
      <w:tr w:rsidR="009C0AAD" w:rsidRPr="00E16672" w14:paraId="4DEC5C01" w14:textId="77777777" w:rsidTr="009C0AAD">
        <w:trPr>
          <w:gridAfter w:val="1"/>
          <w:wAfter w:w="849" w:type="dxa"/>
        </w:trPr>
        <w:tc>
          <w:tcPr>
            <w:tcW w:w="2413" w:type="dxa"/>
            <w:shd w:val="clear" w:color="auto" w:fill="auto"/>
            <w:vAlign w:val="center"/>
          </w:tcPr>
          <w:p w14:paraId="60D6A676" w14:textId="77777777" w:rsidR="009C0AAD" w:rsidRPr="00E16672" w:rsidRDefault="009C0AAD" w:rsidP="009C0AAD">
            <w:pPr>
              <w:pStyle w:val="western"/>
              <w:snapToGrid w:val="0"/>
              <w:spacing w:before="0" w:after="0"/>
              <w:ind w:right="-57" w:firstLine="0"/>
              <w:jc w:val="both"/>
              <w:rPr>
                <w:rFonts w:ascii="Times New Roman" w:hAnsi="Times New Roman"/>
                <w:i/>
                <w:iCs/>
                <w:szCs w:val="20"/>
              </w:rPr>
            </w:pPr>
            <w:r w:rsidRPr="00E16672">
              <w:rPr>
                <w:rFonts w:ascii="Times New Roman" w:hAnsi="Times New Roman"/>
                <w:bCs w:val="0"/>
                <w:i/>
                <w:iCs/>
                <w:color w:val="000000"/>
                <w:sz w:val="18"/>
                <w:szCs w:val="18"/>
                <w:lang w:val="en-US"/>
              </w:rPr>
              <w:t>E-mail</w:t>
            </w:r>
          </w:p>
        </w:tc>
        <w:tc>
          <w:tcPr>
            <w:tcW w:w="2414" w:type="dxa"/>
            <w:gridSpan w:val="2"/>
            <w:shd w:val="clear" w:color="auto" w:fill="auto"/>
          </w:tcPr>
          <w:p w14:paraId="25BCE5D8" w14:textId="77777777" w:rsidR="009C0AAD" w:rsidRPr="00E16672" w:rsidRDefault="009C0AAD" w:rsidP="009C0AAD">
            <w:pPr>
              <w:pStyle w:val="western"/>
              <w:snapToGrid w:val="0"/>
              <w:spacing w:before="0" w:after="0"/>
              <w:ind w:left="-57" w:right="-57"/>
              <w:jc w:val="both"/>
              <w:rPr>
                <w:rFonts w:ascii="Times New Roman" w:hAnsi="Times New Roman"/>
                <w:i/>
                <w:iCs/>
                <w:szCs w:val="20"/>
              </w:rPr>
            </w:pPr>
          </w:p>
        </w:tc>
        <w:tc>
          <w:tcPr>
            <w:tcW w:w="341" w:type="dxa"/>
            <w:shd w:val="clear" w:color="auto" w:fill="auto"/>
          </w:tcPr>
          <w:p w14:paraId="5ACA554D" w14:textId="77777777" w:rsidR="009C0AAD" w:rsidRPr="00E16672" w:rsidRDefault="009C0AAD" w:rsidP="009C0AAD">
            <w:pPr>
              <w:pStyle w:val="af7"/>
              <w:snapToGrid w:val="0"/>
              <w:rPr>
                <w:rFonts w:ascii="Times New Roman" w:hAnsi="Times New Roman"/>
                <w:szCs w:val="20"/>
              </w:rPr>
            </w:pPr>
          </w:p>
        </w:tc>
        <w:tc>
          <w:tcPr>
            <w:tcW w:w="2715" w:type="dxa"/>
            <w:shd w:val="clear" w:color="auto" w:fill="auto"/>
            <w:vAlign w:val="center"/>
          </w:tcPr>
          <w:p w14:paraId="1F374FE7" w14:textId="77777777" w:rsidR="009C0AAD" w:rsidRPr="00E16672" w:rsidRDefault="009C0AAD" w:rsidP="009C0AAD">
            <w:pPr>
              <w:pStyle w:val="western"/>
              <w:snapToGrid w:val="0"/>
              <w:spacing w:before="0" w:after="0"/>
              <w:ind w:right="57" w:firstLine="0"/>
              <w:jc w:val="left"/>
              <w:rPr>
                <w:rFonts w:ascii="Times New Roman" w:hAnsi="Times New Roman"/>
                <w:bCs w:val="0"/>
                <w:szCs w:val="20"/>
                <w:lang w:val="uk-UA"/>
              </w:rPr>
            </w:pPr>
            <w:r w:rsidRPr="00E16672">
              <w:rPr>
                <w:rFonts w:ascii="Times New Roman" w:hAnsi="Times New Roman"/>
                <w:bCs w:val="0"/>
                <w:i/>
                <w:iCs/>
                <w:color w:val="000000"/>
                <w:sz w:val="18"/>
                <w:szCs w:val="18"/>
                <w:lang w:val="en-US"/>
              </w:rPr>
              <w:t>E-mail</w:t>
            </w:r>
          </w:p>
        </w:tc>
        <w:tc>
          <w:tcPr>
            <w:tcW w:w="2268" w:type="dxa"/>
            <w:gridSpan w:val="3"/>
            <w:vAlign w:val="center"/>
          </w:tcPr>
          <w:p w14:paraId="28011E19" w14:textId="77777777" w:rsidR="009C0AAD" w:rsidRPr="00E16672" w:rsidRDefault="00622BEB" w:rsidP="009C0AAD">
            <w:pPr>
              <w:suppressAutoHyphens w:val="0"/>
              <w:ind w:firstLine="0"/>
              <w:jc w:val="left"/>
              <w:rPr>
                <w:rFonts w:ascii="Times New Roman" w:hAnsi="Times New Roman"/>
                <w:b/>
                <w:bCs/>
                <w:i/>
                <w:iCs/>
                <w:sz w:val="18"/>
                <w:szCs w:val="18"/>
                <w:lang w:val="en-US"/>
              </w:rPr>
            </w:pPr>
            <w:r>
              <w:rPr>
                <w:rFonts w:ascii="Times New Roman" w:hAnsi="Times New Roman"/>
                <w:bCs/>
                <w:sz w:val="18"/>
                <w:szCs w:val="18"/>
                <w:lang w:val="uk-UA"/>
              </w:rPr>
              <w:t>custody@comex.com.ua</w:t>
            </w:r>
          </w:p>
        </w:tc>
      </w:tr>
      <w:tr w:rsidR="009C0AAD" w:rsidRPr="00E16672" w14:paraId="672DB584" w14:textId="77777777" w:rsidTr="009C0AAD">
        <w:trPr>
          <w:gridAfter w:val="1"/>
          <w:wAfter w:w="849" w:type="dxa"/>
        </w:trPr>
        <w:tc>
          <w:tcPr>
            <w:tcW w:w="2413" w:type="dxa"/>
            <w:shd w:val="clear" w:color="auto" w:fill="auto"/>
            <w:vAlign w:val="center"/>
          </w:tcPr>
          <w:p w14:paraId="7F9271AB" w14:textId="77777777" w:rsidR="009C0AAD" w:rsidRPr="00E16672" w:rsidRDefault="009C0AAD" w:rsidP="009C0AAD">
            <w:pPr>
              <w:pStyle w:val="western"/>
              <w:snapToGrid w:val="0"/>
              <w:spacing w:before="0" w:after="0"/>
              <w:ind w:right="-57" w:firstLine="0"/>
              <w:jc w:val="both"/>
              <w:rPr>
                <w:rFonts w:ascii="Times New Roman" w:hAnsi="Times New Roman"/>
                <w:i/>
                <w:iCs/>
                <w:szCs w:val="20"/>
              </w:rPr>
            </w:pPr>
            <w:r w:rsidRPr="00E16672">
              <w:rPr>
                <w:rFonts w:ascii="Times New Roman" w:hAnsi="Times New Roman"/>
                <w:i/>
                <w:color w:val="000000"/>
                <w:sz w:val="18"/>
                <w:szCs w:val="18"/>
              </w:rPr>
              <w:t>Телефон</w:t>
            </w:r>
          </w:p>
        </w:tc>
        <w:tc>
          <w:tcPr>
            <w:tcW w:w="2414" w:type="dxa"/>
            <w:gridSpan w:val="2"/>
            <w:shd w:val="clear" w:color="auto" w:fill="auto"/>
          </w:tcPr>
          <w:p w14:paraId="301FAF1F" w14:textId="77777777" w:rsidR="009C0AAD" w:rsidRPr="00E16672" w:rsidRDefault="009C0AAD" w:rsidP="009C0AAD">
            <w:pPr>
              <w:pStyle w:val="western"/>
              <w:snapToGrid w:val="0"/>
              <w:spacing w:before="0" w:after="0"/>
              <w:ind w:left="-57" w:right="-57"/>
              <w:jc w:val="both"/>
              <w:rPr>
                <w:rFonts w:ascii="Times New Roman" w:hAnsi="Times New Roman"/>
                <w:i/>
                <w:iCs/>
                <w:szCs w:val="20"/>
              </w:rPr>
            </w:pPr>
          </w:p>
        </w:tc>
        <w:tc>
          <w:tcPr>
            <w:tcW w:w="341" w:type="dxa"/>
            <w:shd w:val="clear" w:color="auto" w:fill="auto"/>
          </w:tcPr>
          <w:p w14:paraId="4A8E17CC" w14:textId="77777777" w:rsidR="009C0AAD" w:rsidRPr="00E16672" w:rsidRDefault="009C0AAD" w:rsidP="009C0AAD">
            <w:pPr>
              <w:pStyle w:val="af7"/>
              <w:snapToGrid w:val="0"/>
              <w:rPr>
                <w:rFonts w:ascii="Times New Roman" w:hAnsi="Times New Roman"/>
                <w:szCs w:val="20"/>
              </w:rPr>
            </w:pPr>
          </w:p>
        </w:tc>
        <w:tc>
          <w:tcPr>
            <w:tcW w:w="2715" w:type="dxa"/>
            <w:shd w:val="clear" w:color="auto" w:fill="auto"/>
            <w:vAlign w:val="center"/>
          </w:tcPr>
          <w:p w14:paraId="4833B74A" w14:textId="77777777" w:rsidR="009C0AAD" w:rsidRPr="00E16672" w:rsidRDefault="009C0AAD" w:rsidP="009C0AAD">
            <w:pPr>
              <w:pStyle w:val="western"/>
              <w:snapToGrid w:val="0"/>
              <w:spacing w:before="0" w:after="0"/>
              <w:ind w:right="57" w:firstLine="0"/>
              <w:jc w:val="left"/>
              <w:rPr>
                <w:rFonts w:ascii="Times New Roman" w:hAnsi="Times New Roman"/>
                <w:bCs w:val="0"/>
                <w:szCs w:val="20"/>
                <w:lang w:val="uk-UA"/>
              </w:rPr>
            </w:pPr>
            <w:r w:rsidRPr="00E16672">
              <w:rPr>
                <w:rFonts w:ascii="Times New Roman" w:hAnsi="Times New Roman"/>
                <w:i/>
                <w:color w:val="000000"/>
                <w:sz w:val="18"/>
                <w:szCs w:val="18"/>
              </w:rPr>
              <w:t>Телефон</w:t>
            </w:r>
          </w:p>
        </w:tc>
        <w:tc>
          <w:tcPr>
            <w:tcW w:w="2268" w:type="dxa"/>
            <w:gridSpan w:val="3"/>
            <w:vAlign w:val="center"/>
          </w:tcPr>
          <w:p w14:paraId="030B64FB" w14:textId="77777777" w:rsidR="009C0AAD" w:rsidRPr="00E16672" w:rsidRDefault="00622BEB" w:rsidP="009C0AAD">
            <w:pPr>
              <w:suppressAutoHyphens w:val="0"/>
              <w:ind w:firstLine="0"/>
              <w:jc w:val="left"/>
              <w:rPr>
                <w:rFonts w:ascii="Times New Roman" w:hAnsi="Times New Roman"/>
                <w:b/>
                <w:bCs/>
                <w:i/>
                <w:iCs/>
                <w:sz w:val="18"/>
                <w:szCs w:val="18"/>
                <w:lang w:val="en-US"/>
              </w:rPr>
            </w:pPr>
            <w:r>
              <w:rPr>
                <w:rFonts w:ascii="Times New Roman" w:hAnsi="Times New Roman"/>
                <w:bCs/>
                <w:sz w:val="18"/>
                <w:szCs w:val="18"/>
                <w:lang w:val="uk-UA"/>
              </w:rPr>
              <w:t>044 502 65 73</w:t>
            </w:r>
          </w:p>
        </w:tc>
      </w:tr>
      <w:tr w:rsidR="009C0AAD" w:rsidRPr="00E16672" w14:paraId="2CFD95C9" w14:textId="77777777" w:rsidTr="009C0AAD">
        <w:trPr>
          <w:gridAfter w:val="1"/>
          <w:wAfter w:w="849" w:type="dxa"/>
        </w:trPr>
        <w:tc>
          <w:tcPr>
            <w:tcW w:w="2413" w:type="dxa"/>
            <w:shd w:val="clear" w:color="auto" w:fill="auto"/>
            <w:vAlign w:val="center"/>
          </w:tcPr>
          <w:p w14:paraId="5F997BF8" w14:textId="4535AA00" w:rsidR="009C0AAD" w:rsidRPr="00E16672" w:rsidRDefault="009C0AAD" w:rsidP="009C0AAD">
            <w:pPr>
              <w:pStyle w:val="western"/>
              <w:snapToGrid w:val="0"/>
              <w:spacing w:before="0" w:after="0"/>
              <w:ind w:right="-57" w:firstLine="0"/>
              <w:jc w:val="both"/>
              <w:rPr>
                <w:rFonts w:ascii="Times New Roman" w:hAnsi="Times New Roman"/>
                <w:i/>
                <w:iCs/>
                <w:szCs w:val="20"/>
                <w:lang w:val="en-US"/>
              </w:rPr>
            </w:pPr>
          </w:p>
        </w:tc>
        <w:tc>
          <w:tcPr>
            <w:tcW w:w="2414" w:type="dxa"/>
            <w:gridSpan w:val="2"/>
            <w:shd w:val="clear" w:color="auto" w:fill="auto"/>
          </w:tcPr>
          <w:p w14:paraId="1E35C2F8" w14:textId="77777777" w:rsidR="009C0AAD" w:rsidRPr="00E16672" w:rsidRDefault="009C0AAD" w:rsidP="009C0AAD">
            <w:pPr>
              <w:pStyle w:val="western"/>
              <w:snapToGrid w:val="0"/>
              <w:spacing w:before="0" w:after="0"/>
              <w:ind w:left="-57" w:right="-57"/>
              <w:jc w:val="both"/>
              <w:rPr>
                <w:rFonts w:ascii="Times New Roman" w:hAnsi="Times New Roman"/>
                <w:i/>
                <w:iCs/>
                <w:szCs w:val="20"/>
                <w:lang w:val="en-US"/>
              </w:rPr>
            </w:pPr>
          </w:p>
        </w:tc>
        <w:tc>
          <w:tcPr>
            <w:tcW w:w="341" w:type="dxa"/>
            <w:shd w:val="clear" w:color="auto" w:fill="auto"/>
          </w:tcPr>
          <w:p w14:paraId="0F8570D3" w14:textId="77777777" w:rsidR="009C0AAD" w:rsidRPr="00E16672" w:rsidRDefault="009C0AAD" w:rsidP="009C0AAD">
            <w:pPr>
              <w:pStyle w:val="af7"/>
              <w:snapToGrid w:val="0"/>
              <w:rPr>
                <w:rFonts w:ascii="Times New Roman" w:hAnsi="Times New Roman"/>
                <w:szCs w:val="20"/>
              </w:rPr>
            </w:pPr>
          </w:p>
        </w:tc>
        <w:tc>
          <w:tcPr>
            <w:tcW w:w="2715" w:type="dxa"/>
            <w:shd w:val="clear" w:color="auto" w:fill="auto"/>
            <w:vAlign w:val="center"/>
          </w:tcPr>
          <w:p w14:paraId="0D460222" w14:textId="234D91CC" w:rsidR="009C0AAD" w:rsidRPr="00E16672" w:rsidRDefault="009C0AAD" w:rsidP="009C0AAD">
            <w:pPr>
              <w:pStyle w:val="western"/>
              <w:snapToGrid w:val="0"/>
              <w:spacing w:before="0" w:after="0"/>
              <w:ind w:right="57" w:firstLine="0"/>
              <w:jc w:val="left"/>
              <w:rPr>
                <w:rFonts w:ascii="Times New Roman" w:hAnsi="Times New Roman"/>
                <w:bCs w:val="0"/>
                <w:szCs w:val="20"/>
                <w:lang w:val="en-US"/>
              </w:rPr>
            </w:pPr>
            <w:r w:rsidRPr="00E16672">
              <w:rPr>
                <w:rFonts w:ascii="Times New Roman" w:hAnsi="Times New Roman"/>
                <w:color w:val="000000"/>
                <w:sz w:val="18"/>
                <w:szCs w:val="18"/>
              </w:rPr>
              <w:t xml:space="preserve">   </w:t>
            </w:r>
          </w:p>
        </w:tc>
        <w:tc>
          <w:tcPr>
            <w:tcW w:w="2268" w:type="dxa"/>
            <w:gridSpan w:val="3"/>
            <w:vAlign w:val="center"/>
          </w:tcPr>
          <w:p w14:paraId="51CC7DA9" w14:textId="77777777" w:rsidR="009C0AAD" w:rsidRPr="00E16672" w:rsidRDefault="009C0AAD" w:rsidP="009C0AAD">
            <w:pPr>
              <w:suppressAutoHyphens w:val="0"/>
              <w:ind w:firstLine="0"/>
              <w:jc w:val="left"/>
              <w:rPr>
                <w:rFonts w:ascii="Times New Roman" w:hAnsi="Times New Roman"/>
                <w:szCs w:val="20"/>
                <w:lang w:val="en-US"/>
              </w:rPr>
            </w:pPr>
          </w:p>
        </w:tc>
      </w:tr>
      <w:tr w:rsidR="009C0AAD" w:rsidRPr="00E16672" w14:paraId="1556F32E" w14:textId="77777777" w:rsidTr="009C0AAD">
        <w:trPr>
          <w:gridAfter w:val="1"/>
          <w:wAfter w:w="849" w:type="dxa"/>
        </w:trPr>
        <w:tc>
          <w:tcPr>
            <w:tcW w:w="4827" w:type="dxa"/>
            <w:gridSpan w:val="3"/>
            <w:shd w:val="clear" w:color="auto" w:fill="auto"/>
          </w:tcPr>
          <w:p w14:paraId="17680E3F" w14:textId="77777777" w:rsidR="009C0AAD" w:rsidRPr="00E16672" w:rsidRDefault="009C0AAD" w:rsidP="009C0AAD">
            <w:pPr>
              <w:pStyle w:val="western"/>
              <w:snapToGrid w:val="0"/>
              <w:spacing w:before="0" w:after="0"/>
              <w:ind w:left="-57" w:right="-57"/>
              <w:jc w:val="both"/>
              <w:rPr>
                <w:rFonts w:ascii="Times New Roman" w:hAnsi="Times New Roman"/>
                <w:i/>
                <w:iCs/>
                <w:szCs w:val="20"/>
                <w:lang w:val="en-US"/>
              </w:rPr>
            </w:pPr>
          </w:p>
        </w:tc>
        <w:tc>
          <w:tcPr>
            <w:tcW w:w="341" w:type="dxa"/>
            <w:shd w:val="clear" w:color="auto" w:fill="auto"/>
          </w:tcPr>
          <w:p w14:paraId="0DF752A5" w14:textId="77777777" w:rsidR="009C0AAD" w:rsidRPr="00E16672" w:rsidRDefault="009C0AAD" w:rsidP="009C0AAD">
            <w:pPr>
              <w:pStyle w:val="af7"/>
              <w:snapToGrid w:val="0"/>
              <w:rPr>
                <w:rFonts w:ascii="Times New Roman" w:hAnsi="Times New Roman"/>
                <w:szCs w:val="20"/>
              </w:rPr>
            </w:pPr>
          </w:p>
        </w:tc>
        <w:tc>
          <w:tcPr>
            <w:tcW w:w="2715" w:type="dxa"/>
            <w:shd w:val="clear" w:color="auto" w:fill="auto"/>
            <w:vAlign w:val="center"/>
          </w:tcPr>
          <w:p w14:paraId="642A298E" w14:textId="77777777" w:rsidR="009C0AAD" w:rsidRPr="00E16672" w:rsidRDefault="009C0AAD" w:rsidP="009C0AAD">
            <w:pPr>
              <w:snapToGrid w:val="0"/>
              <w:ind w:firstLine="0"/>
              <w:jc w:val="left"/>
              <w:rPr>
                <w:rFonts w:ascii="Times New Roman" w:hAnsi="Times New Roman"/>
                <w:b/>
                <w:i/>
                <w:color w:val="000000"/>
                <w:sz w:val="18"/>
                <w:szCs w:val="18"/>
                <w:lang w:val="uk-UA"/>
              </w:rPr>
            </w:pPr>
          </w:p>
          <w:p w14:paraId="40890D78" w14:textId="77777777" w:rsidR="009C0AAD" w:rsidRPr="00E16672" w:rsidRDefault="009C0AAD" w:rsidP="009C0AAD">
            <w:pPr>
              <w:pStyle w:val="western"/>
              <w:snapToGrid w:val="0"/>
              <w:spacing w:before="0" w:after="0"/>
              <w:ind w:right="57" w:firstLine="0"/>
              <w:jc w:val="left"/>
              <w:rPr>
                <w:rFonts w:ascii="Times New Roman" w:hAnsi="Times New Roman"/>
                <w:i/>
                <w:color w:val="000000"/>
                <w:sz w:val="18"/>
                <w:szCs w:val="18"/>
              </w:rPr>
            </w:pPr>
            <w:r w:rsidRPr="00E16672">
              <w:rPr>
                <w:rFonts w:ascii="Times New Roman" w:hAnsi="Times New Roman"/>
                <w:i/>
                <w:color w:val="000000"/>
                <w:sz w:val="18"/>
                <w:szCs w:val="18"/>
                <w:lang w:val="uk-UA"/>
              </w:rPr>
              <w:t>Ліцензія депозитарної установи (серія, номер, дата видачі)</w:t>
            </w:r>
          </w:p>
        </w:tc>
        <w:tc>
          <w:tcPr>
            <w:tcW w:w="2268" w:type="dxa"/>
            <w:gridSpan w:val="3"/>
            <w:vAlign w:val="center"/>
          </w:tcPr>
          <w:p w14:paraId="64D6891C" w14:textId="77777777" w:rsidR="009C0AAD" w:rsidRPr="00E16672" w:rsidRDefault="009C0AAD" w:rsidP="009C0AAD">
            <w:pPr>
              <w:suppressAutoHyphens w:val="0"/>
              <w:ind w:firstLine="0"/>
              <w:jc w:val="left"/>
              <w:rPr>
                <w:rFonts w:ascii="Times New Roman" w:hAnsi="Times New Roman"/>
                <w:szCs w:val="20"/>
                <w:lang w:val="en-US"/>
              </w:rPr>
            </w:pPr>
            <w:r w:rsidRPr="00E16672">
              <w:rPr>
                <w:rFonts w:ascii="Times New Roman" w:hAnsi="Times New Roman"/>
                <w:bCs/>
                <w:sz w:val="18"/>
                <w:szCs w:val="18"/>
                <w:lang w:val="uk-UA"/>
              </w:rPr>
              <w:t xml:space="preserve">АЕ </w:t>
            </w:r>
            <w:r w:rsidR="00E16672" w:rsidRPr="00E16672">
              <w:rPr>
                <w:rFonts w:ascii="Times New Roman" w:hAnsi="Times New Roman"/>
                <w:bCs/>
                <w:sz w:val="18"/>
                <w:szCs w:val="18"/>
                <w:lang w:val="uk-UA"/>
              </w:rPr>
              <w:t>263429</w:t>
            </w:r>
            <w:r w:rsidRPr="00E16672">
              <w:rPr>
                <w:rFonts w:ascii="Times New Roman" w:hAnsi="Times New Roman"/>
                <w:bCs/>
                <w:sz w:val="18"/>
                <w:szCs w:val="18"/>
                <w:lang w:val="uk-UA"/>
              </w:rPr>
              <w:t xml:space="preserve">, </w:t>
            </w:r>
            <w:r w:rsidR="00E16672" w:rsidRPr="00E16672">
              <w:rPr>
                <w:rFonts w:ascii="Times New Roman" w:hAnsi="Times New Roman"/>
                <w:bCs/>
                <w:sz w:val="18"/>
                <w:szCs w:val="18"/>
                <w:lang w:val="uk-UA"/>
              </w:rPr>
              <w:t>01.10.2013</w:t>
            </w:r>
            <w:r w:rsidRPr="00E16672">
              <w:rPr>
                <w:rFonts w:ascii="Times New Roman" w:hAnsi="Times New Roman"/>
                <w:bCs/>
                <w:sz w:val="18"/>
                <w:szCs w:val="18"/>
                <w:lang w:val="uk-UA"/>
              </w:rPr>
              <w:t xml:space="preserve"> р.</w:t>
            </w:r>
          </w:p>
        </w:tc>
      </w:tr>
    </w:tbl>
    <w:p w14:paraId="43BBF6CA" w14:textId="77777777" w:rsidR="006D2BB7" w:rsidRPr="00E16672" w:rsidRDefault="006D2BB7" w:rsidP="006D2BB7">
      <w:pPr>
        <w:pStyle w:val="western"/>
        <w:spacing w:before="0" w:after="0"/>
        <w:jc w:val="left"/>
        <w:rPr>
          <w:rFonts w:ascii="Times New Roman" w:hAnsi="Times New Roman"/>
          <w:szCs w:val="20"/>
          <w:lang w:val="en-US"/>
        </w:rPr>
      </w:pPr>
      <w:r w:rsidRPr="00E16672">
        <w:rPr>
          <w:rFonts w:ascii="Times New Roman" w:hAnsi="Times New Roman"/>
          <w:szCs w:val="20"/>
          <w:lang w:val="en-US"/>
        </w:rPr>
        <w:t xml:space="preserve">                                                                                        </w:t>
      </w:r>
    </w:p>
    <w:p w14:paraId="1CF77D60" w14:textId="77777777" w:rsidR="006D2BB7" w:rsidRPr="00E16672" w:rsidRDefault="006D2BB7" w:rsidP="006D2BB7">
      <w:pPr>
        <w:pStyle w:val="ae"/>
        <w:rPr>
          <w:rFonts w:ascii="Times New Roman" w:hAnsi="Times New Roman"/>
          <w:b/>
          <w:szCs w:val="20"/>
        </w:rPr>
      </w:pPr>
    </w:p>
    <w:p w14:paraId="5D91851E" w14:textId="77777777" w:rsidR="006D2BB7" w:rsidRPr="00E16672" w:rsidRDefault="006D2BB7" w:rsidP="006D2BB7">
      <w:pPr>
        <w:pStyle w:val="western"/>
        <w:spacing w:before="0" w:after="0"/>
        <w:ind w:hanging="1395"/>
        <w:jc w:val="both"/>
        <w:rPr>
          <w:rFonts w:ascii="Times New Roman" w:hAnsi="Times New Roman"/>
          <w:szCs w:val="20"/>
          <w:lang w:val="en-US"/>
        </w:rPr>
      </w:pPr>
      <w:r w:rsidRPr="00E16672">
        <w:rPr>
          <w:rFonts w:ascii="Times New Roman" w:hAnsi="Times New Roman"/>
          <w:szCs w:val="20"/>
          <w:lang w:val="en-US"/>
        </w:rPr>
        <w:t xml:space="preserve"> </w:t>
      </w:r>
    </w:p>
    <w:p w14:paraId="32ACC769" w14:textId="77777777" w:rsidR="006D2BB7" w:rsidRPr="00E16672" w:rsidRDefault="006D2BB7" w:rsidP="006D2BB7">
      <w:pPr>
        <w:pStyle w:val="western"/>
        <w:spacing w:before="0" w:after="0"/>
        <w:ind w:left="1843" w:hanging="1395"/>
        <w:jc w:val="both"/>
        <w:rPr>
          <w:rFonts w:ascii="Times New Roman" w:hAnsi="Times New Roman"/>
          <w:szCs w:val="20"/>
          <w:lang w:val="en-US"/>
        </w:rPr>
      </w:pPr>
    </w:p>
    <w:p w14:paraId="296AD61F" w14:textId="77777777" w:rsidR="006D2BB7" w:rsidRPr="00E16672" w:rsidRDefault="005D35AE" w:rsidP="006D2BB7">
      <w:pPr>
        <w:pStyle w:val="western"/>
        <w:spacing w:before="0" w:after="0"/>
        <w:jc w:val="left"/>
        <w:rPr>
          <w:rFonts w:ascii="Times New Roman" w:hAnsi="Times New Roman"/>
          <w:sz w:val="18"/>
          <w:szCs w:val="18"/>
        </w:rPr>
      </w:pPr>
      <w:r w:rsidRPr="00E16672">
        <w:rPr>
          <w:rFonts w:ascii="Times New Roman" w:hAnsi="Times New Roman"/>
          <w:bCs w:val="0"/>
          <w:color w:val="000000"/>
          <w:sz w:val="18"/>
          <w:szCs w:val="18"/>
          <w:lang w:val="uk-UA"/>
        </w:rPr>
        <w:t>ЗАМОВНИК</w:t>
      </w:r>
      <w:r w:rsidR="006D2BB7" w:rsidRPr="00E16672">
        <w:rPr>
          <w:rFonts w:ascii="Times New Roman" w:hAnsi="Times New Roman"/>
          <w:sz w:val="18"/>
          <w:szCs w:val="18"/>
        </w:rPr>
        <w:t>:</w:t>
      </w:r>
      <w:r w:rsidR="006D2BB7" w:rsidRPr="00E16672">
        <w:rPr>
          <w:rFonts w:ascii="Times New Roman" w:hAnsi="Times New Roman"/>
          <w:szCs w:val="20"/>
        </w:rPr>
        <w:t xml:space="preserve">                                                                        </w:t>
      </w:r>
      <w:r w:rsidR="006D2BB7" w:rsidRPr="00E16672">
        <w:rPr>
          <w:rFonts w:ascii="Times New Roman" w:hAnsi="Times New Roman"/>
          <w:sz w:val="18"/>
          <w:szCs w:val="18"/>
        </w:rPr>
        <w:t xml:space="preserve"> </w:t>
      </w:r>
      <w:r w:rsidRPr="00E16672">
        <w:rPr>
          <w:rFonts w:ascii="Times New Roman" w:hAnsi="Times New Roman"/>
          <w:sz w:val="18"/>
          <w:szCs w:val="18"/>
          <w:lang w:val="uk-UA"/>
        </w:rPr>
        <w:t>ВИКОНАВЕЦЬ</w:t>
      </w:r>
      <w:r w:rsidR="006D2BB7" w:rsidRPr="00E16672">
        <w:rPr>
          <w:rFonts w:ascii="Times New Roman" w:hAnsi="Times New Roman"/>
          <w:sz w:val="18"/>
          <w:szCs w:val="18"/>
        </w:rPr>
        <w:t>:</w:t>
      </w:r>
    </w:p>
    <w:p w14:paraId="02A527FA" w14:textId="77777777" w:rsidR="006D2BB7" w:rsidRPr="00E16672" w:rsidRDefault="006D2BB7" w:rsidP="006D2BB7">
      <w:pPr>
        <w:pStyle w:val="western"/>
        <w:spacing w:before="0" w:after="0"/>
        <w:ind w:left="-180"/>
        <w:jc w:val="left"/>
        <w:rPr>
          <w:rFonts w:ascii="Times New Roman" w:hAnsi="Times New Roman"/>
          <w:sz w:val="18"/>
          <w:szCs w:val="18"/>
        </w:rPr>
      </w:pPr>
      <w:r w:rsidRPr="00E16672">
        <w:rPr>
          <w:rFonts w:ascii="Times New Roman" w:hAnsi="Times New Roman"/>
          <w:sz w:val="18"/>
          <w:szCs w:val="18"/>
        </w:rPr>
        <w:t xml:space="preserve">                                                 </w:t>
      </w:r>
    </w:p>
    <w:p w14:paraId="14FB4497" w14:textId="77777777" w:rsidR="006D2BB7" w:rsidRPr="00E16672" w:rsidRDefault="006D2BB7" w:rsidP="00F82710">
      <w:pPr>
        <w:pStyle w:val="western"/>
        <w:spacing w:before="0" w:after="0"/>
        <w:ind w:left="-180"/>
        <w:jc w:val="left"/>
        <w:rPr>
          <w:rFonts w:ascii="Times New Roman" w:hAnsi="Times New Roman"/>
          <w:b w:val="0"/>
          <w:bCs w:val="0"/>
          <w:sz w:val="18"/>
          <w:szCs w:val="18"/>
        </w:rPr>
      </w:pPr>
      <w:r w:rsidRPr="00E16672">
        <w:rPr>
          <w:rFonts w:ascii="Times New Roman" w:hAnsi="Times New Roman"/>
          <w:sz w:val="18"/>
          <w:szCs w:val="18"/>
        </w:rPr>
        <w:t xml:space="preserve">         </w:t>
      </w:r>
      <w:r w:rsidRPr="00E16672">
        <w:rPr>
          <w:rFonts w:ascii="Times New Roman" w:hAnsi="Times New Roman"/>
          <w:b w:val="0"/>
          <w:bCs w:val="0"/>
          <w:sz w:val="18"/>
          <w:szCs w:val="18"/>
        </w:rPr>
        <w:t>________________( ____________)</w:t>
      </w:r>
      <w:r w:rsidRPr="00E16672">
        <w:rPr>
          <w:rFonts w:ascii="Times New Roman" w:hAnsi="Times New Roman"/>
          <w:sz w:val="18"/>
          <w:szCs w:val="18"/>
        </w:rPr>
        <w:t xml:space="preserve">                                </w:t>
      </w:r>
      <w:r w:rsidR="00602650">
        <w:rPr>
          <w:rFonts w:ascii="Times New Roman" w:hAnsi="Times New Roman"/>
          <w:sz w:val="18"/>
          <w:szCs w:val="18"/>
          <w:lang w:val="uk-UA"/>
        </w:rPr>
        <w:t xml:space="preserve">      </w:t>
      </w:r>
      <w:r w:rsidRPr="00E16672">
        <w:rPr>
          <w:rFonts w:ascii="Times New Roman" w:hAnsi="Times New Roman"/>
          <w:sz w:val="18"/>
          <w:szCs w:val="18"/>
        </w:rPr>
        <w:t xml:space="preserve">   _______</w:t>
      </w:r>
      <w:r w:rsidRPr="00E16672">
        <w:rPr>
          <w:rFonts w:ascii="Times New Roman" w:hAnsi="Times New Roman"/>
          <w:b w:val="0"/>
          <w:bCs w:val="0"/>
          <w:sz w:val="18"/>
          <w:szCs w:val="18"/>
        </w:rPr>
        <w:t>___</w:t>
      </w:r>
      <w:r w:rsidR="00602650">
        <w:rPr>
          <w:rFonts w:ascii="Times New Roman" w:hAnsi="Times New Roman"/>
          <w:b w:val="0"/>
          <w:bCs w:val="0"/>
          <w:sz w:val="18"/>
          <w:szCs w:val="18"/>
          <w:lang w:val="uk-UA"/>
        </w:rPr>
        <w:t>______</w:t>
      </w:r>
      <w:r w:rsidRPr="00E16672">
        <w:rPr>
          <w:rFonts w:ascii="Times New Roman" w:hAnsi="Times New Roman"/>
          <w:b w:val="0"/>
          <w:bCs w:val="0"/>
          <w:sz w:val="18"/>
          <w:szCs w:val="18"/>
        </w:rPr>
        <w:t>__________(</w:t>
      </w:r>
      <w:r w:rsidR="00F864F1">
        <w:rPr>
          <w:rFonts w:ascii="Times New Roman" w:hAnsi="Times New Roman"/>
          <w:b w:val="0"/>
          <w:bCs w:val="0"/>
          <w:sz w:val="18"/>
          <w:szCs w:val="18"/>
          <w:lang w:val="uk-UA"/>
        </w:rPr>
        <w:t>_______________</w:t>
      </w:r>
      <w:r w:rsidR="00565242">
        <w:rPr>
          <w:rFonts w:ascii="Times New Roman" w:hAnsi="Times New Roman"/>
          <w:b w:val="0"/>
          <w:bCs w:val="0"/>
          <w:sz w:val="18"/>
          <w:szCs w:val="18"/>
          <w:lang w:val="uk-UA"/>
        </w:rPr>
        <w:t>.</w:t>
      </w:r>
      <w:r w:rsidRPr="00E16672">
        <w:rPr>
          <w:rFonts w:ascii="Times New Roman" w:hAnsi="Times New Roman"/>
          <w:b w:val="0"/>
          <w:bCs w:val="0"/>
          <w:sz w:val="18"/>
          <w:szCs w:val="18"/>
        </w:rPr>
        <w:t xml:space="preserve">) </w:t>
      </w:r>
    </w:p>
    <w:p w14:paraId="06831321" w14:textId="77777777" w:rsidR="006D2BB7" w:rsidRPr="00E16672" w:rsidRDefault="006D2BB7" w:rsidP="006D2BB7">
      <w:pPr>
        <w:pStyle w:val="western"/>
        <w:spacing w:before="0" w:after="0"/>
        <w:jc w:val="both"/>
        <w:rPr>
          <w:rFonts w:ascii="Times New Roman" w:hAnsi="Times New Roman"/>
          <w:b w:val="0"/>
          <w:bCs w:val="0"/>
          <w:color w:val="0000FF"/>
          <w:szCs w:val="20"/>
          <w:lang w:val="uk-UA"/>
        </w:rPr>
      </w:pPr>
      <w:r w:rsidRPr="00E16672">
        <w:rPr>
          <w:rFonts w:ascii="Times New Roman" w:hAnsi="Times New Roman"/>
          <w:b w:val="0"/>
          <w:bCs w:val="0"/>
          <w:szCs w:val="20"/>
          <w:lang w:val="uk-UA"/>
        </w:rPr>
        <w:t xml:space="preserve">  </w:t>
      </w:r>
      <w:r w:rsidRPr="00E16672">
        <w:rPr>
          <w:rFonts w:ascii="Times New Roman" w:hAnsi="Times New Roman"/>
          <w:b w:val="0"/>
          <w:bCs w:val="0"/>
          <w:sz w:val="18"/>
          <w:szCs w:val="18"/>
          <w:lang w:val="uk-UA"/>
        </w:rPr>
        <w:t xml:space="preserve">     </w:t>
      </w:r>
      <w:r w:rsidR="005D35AE" w:rsidRPr="00E16672">
        <w:rPr>
          <w:rFonts w:ascii="Times New Roman" w:hAnsi="Times New Roman"/>
          <w:b w:val="0"/>
          <w:bCs w:val="0"/>
          <w:i/>
          <w:sz w:val="18"/>
          <w:szCs w:val="18"/>
          <w:lang w:val="uk-UA"/>
        </w:rPr>
        <w:t>В</w:t>
      </w:r>
      <w:r w:rsidRPr="00E16672">
        <w:rPr>
          <w:rFonts w:ascii="Times New Roman" w:hAnsi="Times New Roman"/>
          <w:b w:val="0"/>
          <w:bCs w:val="0"/>
          <w:i/>
          <w:sz w:val="18"/>
          <w:szCs w:val="18"/>
          <w:lang w:val="uk-UA"/>
        </w:rPr>
        <w:t>.</w:t>
      </w:r>
      <w:r w:rsidRPr="00E16672">
        <w:rPr>
          <w:rFonts w:ascii="Times New Roman" w:hAnsi="Times New Roman"/>
          <w:b w:val="0"/>
          <w:bCs w:val="0"/>
          <w:i/>
          <w:color w:val="000000"/>
          <w:sz w:val="18"/>
          <w:szCs w:val="18"/>
          <w:lang w:val="uk-UA"/>
        </w:rPr>
        <w:t>П. (</w:t>
      </w:r>
      <w:r w:rsidR="003352AE" w:rsidRPr="00E16672">
        <w:rPr>
          <w:rFonts w:ascii="Times New Roman" w:hAnsi="Times New Roman"/>
          <w:b w:val="0"/>
          <w:bCs w:val="0"/>
          <w:i/>
          <w:color w:val="000000"/>
          <w:sz w:val="18"/>
          <w:szCs w:val="18"/>
          <w:lang w:val="uk-UA"/>
        </w:rPr>
        <w:t>у разі використання</w:t>
      </w:r>
      <w:r w:rsidRPr="00E16672">
        <w:rPr>
          <w:rFonts w:ascii="Times New Roman" w:hAnsi="Times New Roman"/>
          <w:b w:val="0"/>
          <w:bCs w:val="0"/>
          <w:i/>
          <w:color w:val="000000"/>
          <w:sz w:val="18"/>
          <w:szCs w:val="18"/>
          <w:lang w:val="uk-UA"/>
        </w:rPr>
        <w:t>)</w:t>
      </w:r>
      <w:r w:rsidR="00DD0C00" w:rsidRPr="00E16672">
        <w:rPr>
          <w:rFonts w:ascii="Times New Roman" w:hAnsi="Times New Roman"/>
          <w:b w:val="0"/>
          <w:bCs w:val="0"/>
          <w:i/>
          <w:color w:val="000000"/>
          <w:sz w:val="18"/>
          <w:szCs w:val="18"/>
          <w:lang w:val="uk-UA"/>
        </w:rPr>
        <w:t>,</w:t>
      </w:r>
      <w:r w:rsidRPr="00E16672">
        <w:rPr>
          <w:rFonts w:ascii="Times New Roman" w:hAnsi="Times New Roman"/>
          <w:b w:val="0"/>
          <w:bCs w:val="0"/>
          <w:i/>
          <w:color w:val="000000"/>
          <w:sz w:val="18"/>
          <w:szCs w:val="18"/>
          <w:lang w:val="uk-UA"/>
        </w:rPr>
        <w:t xml:space="preserve"> підпис</w:t>
      </w:r>
      <w:r w:rsidRPr="00E16672">
        <w:rPr>
          <w:rFonts w:ascii="Times New Roman" w:hAnsi="Times New Roman"/>
          <w:b w:val="0"/>
          <w:bCs w:val="0"/>
          <w:sz w:val="18"/>
          <w:szCs w:val="18"/>
          <w:lang w:val="uk-UA"/>
        </w:rPr>
        <w:t xml:space="preserve">                                               </w:t>
      </w:r>
      <w:r w:rsidR="005D35AE" w:rsidRPr="00E16672">
        <w:rPr>
          <w:rFonts w:ascii="Times New Roman" w:hAnsi="Times New Roman"/>
          <w:b w:val="0"/>
          <w:bCs w:val="0"/>
          <w:i/>
          <w:iCs/>
          <w:sz w:val="18"/>
          <w:szCs w:val="18"/>
          <w:lang w:val="uk-UA"/>
        </w:rPr>
        <w:t>В</w:t>
      </w:r>
      <w:r w:rsidRPr="00E16672">
        <w:rPr>
          <w:rFonts w:ascii="Times New Roman" w:hAnsi="Times New Roman"/>
          <w:b w:val="0"/>
          <w:bCs w:val="0"/>
          <w:i/>
          <w:iCs/>
          <w:sz w:val="18"/>
          <w:szCs w:val="18"/>
          <w:lang w:val="uk-UA"/>
        </w:rPr>
        <w:t>.П., підпис</w:t>
      </w:r>
    </w:p>
    <w:p w14:paraId="6D817AEE" w14:textId="77777777" w:rsidR="006D2BB7" w:rsidRPr="00E16672" w:rsidRDefault="006D2BB7" w:rsidP="006D2BB7">
      <w:pPr>
        <w:pStyle w:val="ae"/>
        <w:tabs>
          <w:tab w:val="left" w:pos="426"/>
        </w:tabs>
        <w:rPr>
          <w:rFonts w:ascii="Times New Roman" w:hAnsi="Times New Roman"/>
          <w:szCs w:val="20"/>
          <w:shd w:val="clear" w:color="auto" w:fill="FFFFFF"/>
        </w:rPr>
      </w:pPr>
    </w:p>
    <w:p w14:paraId="1B55E12B" w14:textId="77777777" w:rsidR="006D2BB7" w:rsidRPr="00E16672" w:rsidRDefault="006D2BB7" w:rsidP="006D2BB7">
      <w:pPr>
        <w:ind w:firstLine="709"/>
        <w:rPr>
          <w:rFonts w:ascii="Times New Roman" w:hAnsi="Times New Roman"/>
          <w:color w:val="000000"/>
          <w:sz w:val="18"/>
          <w:szCs w:val="18"/>
          <w:lang w:val="uk-UA"/>
        </w:rPr>
      </w:pPr>
      <w:r w:rsidRPr="00E16672">
        <w:rPr>
          <w:rFonts w:ascii="Times New Roman" w:hAnsi="Times New Roman"/>
          <w:color w:val="000000"/>
          <w:sz w:val="18"/>
          <w:szCs w:val="18"/>
          <w:lang w:val="uk-UA"/>
        </w:rPr>
        <w:br w:type="page"/>
      </w:r>
    </w:p>
    <w:p w14:paraId="48ABE6E4" w14:textId="77777777" w:rsidR="006D2BB7" w:rsidRPr="00E16672" w:rsidRDefault="006D2BB7" w:rsidP="006D2BB7">
      <w:pPr>
        <w:ind w:right="283"/>
        <w:jc w:val="center"/>
        <w:rPr>
          <w:rFonts w:ascii="Times New Roman" w:hAnsi="Times New Roman"/>
          <w:b/>
          <w:bCs/>
          <w:color w:val="000000"/>
          <w:szCs w:val="20"/>
          <w:lang w:val="uk-UA"/>
        </w:rPr>
      </w:pPr>
      <w:r w:rsidRPr="00E16672">
        <w:rPr>
          <w:rFonts w:ascii="Times New Roman" w:hAnsi="Times New Roman"/>
          <w:b/>
          <w:bCs/>
          <w:color w:val="000000"/>
          <w:szCs w:val="20"/>
          <w:lang w:val="uk-UA"/>
        </w:rPr>
        <w:lastRenderedPageBreak/>
        <w:t xml:space="preserve">Договір   №   </w:t>
      </w:r>
    </w:p>
    <w:p w14:paraId="05C5A27B" w14:textId="77777777" w:rsidR="006D2BB7" w:rsidRPr="00E16672" w:rsidRDefault="006D2BB7" w:rsidP="006D2BB7">
      <w:pPr>
        <w:ind w:right="283"/>
        <w:jc w:val="center"/>
        <w:rPr>
          <w:rFonts w:ascii="Times New Roman" w:hAnsi="Times New Roman"/>
          <w:b/>
          <w:bCs/>
          <w:color w:val="000000"/>
          <w:szCs w:val="20"/>
          <w:lang w:val="uk-UA"/>
        </w:rPr>
      </w:pPr>
      <w:r w:rsidRPr="00E16672">
        <w:rPr>
          <w:rFonts w:ascii="Times New Roman" w:hAnsi="Times New Roman"/>
          <w:b/>
          <w:bCs/>
          <w:color w:val="000000"/>
          <w:szCs w:val="20"/>
          <w:lang w:val="uk-UA"/>
        </w:rPr>
        <w:t xml:space="preserve"> про надання  інформаційних послуг (довідково-аналітичних матеріалів)</w:t>
      </w:r>
    </w:p>
    <w:p w14:paraId="09F70082" w14:textId="77777777" w:rsidR="006D2BB7" w:rsidRPr="00E16672" w:rsidRDefault="006D2BB7" w:rsidP="006D2BB7">
      <w:pPr>
        <w:ind w:right="-50"/>
        <w:jc w:val="center"/>
        <w:rPr>
          <w:rFonts w:ascii="Times New Roman" w:hAnsi="Times New Roman"/>
          <w:b/>
          <w:bCs/>
          <w:color w:val="000000"/>
          <w:szCs w:val="20"/>
          <w:lang w:val="uk-UA"/>
        </w:rPr>
      </w:pPr>
    </w:p>
    <w:p w14:paraId="63DB3B10" w14:textId="77777777" w:rsidR="006D2BB7" w:rsidRPr="00E16672" w:rsidRDefault="006D2BB7" w:rsidP="006D2BB7">
      <w:pPr>
        <w:ind w:right="-50"/>
        <w:rPr>
          <w:rFonts w:ascii="Times New Roman" w:hAnsi="Times New Roman"/>
          <w:color w:val="000000"/>
          <w:szCs w:val="20"/>
          <w:lang w:val="uk-UA"/>
        </w:rPr>
      </w:pPr>
      <w:r w:rsidRPr="00E16672">
        <w:rPr>
          <w:rFonts w:ascii="Times New Roman" w:hAnsi="Times New Roman"/>
          <w:color w:val="000000"/>
          <w:szCs w:val="20"/>
          <w:lang w:val="uk-UA"/>
        </w:rPr>
        <w:t xml:space="preserve">                  м. </w:t>
      </w:r>
      <w:r w:rsidR="00EF78D0">
        <w:rPr>
          <w:rFonts w:ascii="Times New Roman" w:hAnsi="Times New Roman"/>
          <w:color w:val="000000"/>
          <w:szCs w:val="20"/>
          <w:lang w:val="uk-UA"/>
        </w:rPr>
        <w:t>Київ</w:t>
      </w:r>
      <w:r w:rsidR="00EF78D0">
        <w:rPr>
          <w:rFonts w:ascii="Times New Roman" w:hAnsi="Times New Roman"/>
          <w:color w:val="000000"/>
          <w:szCs w:val="20"/>
          <w:lang w:val="uk-UA"/>
        </w:rPr>
        <w:tab/>
      </w:r>
      <w:r w:rsidR="00EF78D0">
        <w:rPr>
          <w:rFonts w:ascii="Times New Roman" w:hAnsi="Times New Roman"/>
          <w:color w:val="000000"/>
          <w:szCs w:val="20"/>
          <w:lang w:val="uk-UA"/>
        </w:rPr>
        <w:tab/>
      </w:r>
      <w:r w:rsidR="00EF78D0">
        <w:rPr>
          <w:rFonts w:ascii="Times New Roman" w:hAnsi="Times New Roman"/>
          <w:color w:val="000000"/>
          <w:szCs w:val="20"/>
          <w:lang w:val="uk-UA"/>
        </w:rPr>
        <w:tab/>
      </w:r>
      <w:r w:rsidR="00EF78D0">
        <w:rPr>
          <w:rFonts w:ascii="Times New Roman" w:hAnsi="Times New Roman"/>
          <w:color w:val="000000"/>
          <w:szCs w:val="20"/>
          <w:lang w:val="uk-UA"/>
        </w:rPr>
        <w:tab/>
      </w:r>
      <w:r w:rsidR="00EF78D0">
        <w:rPr>
          <w:rFonts w:ascii="Times New Roman" w:hAnsi="Times New Roman"/>
          <w:color w:val="000000"/>
          <w:szCs w:val="20"/>
          <w:lang w:val="uk-UA"/>
        </w:rPr>
        <w:tab/>
      </w:r>
      <w:r w:rsidR="00EF78D0">
        <w:rPr>
          <w:rFonts w:ascii="Times New Roman" w:hAnsi="Times New Roman"/>
          <w:color w:val="000000"/>
          <w:szCs w:val="20"/>
          <w:lang w:val="uk-UA"/>
        </w:rPr>
        <w:tab/>
      </w:r>
      <w:r w:rsidR="00EF78D0">
        <w:rPr>
          <w:rFonts w:ascii="Times New Roman" w:hAnsi="Times New Roman"/>
          <w:color w:val="000000"/>
          <w:szCs w:val="20"/>
          <w:lang w:val="uk-UA"/>
        </w:rPr>
        <w:tab/>
      </w:r>
      <w:r w:rsidR="00EF78D0">
        <w:rPr>
          <w:rFonts w:ascii="Times New Roman" w:hAnsi="Times New Roman"/>
          <w:color w:val="000000"/>
          <w:szCs w:val="20"/>
          <w:lang w:val="uk-UA"/>
        </w:rPr>
        <w:tab/>
      </w:r>
      <w:r w:rsidR="00EF78D0">
        <w:rPr>
          <w:rFonts w:ascii="Times New Roman" w:hAnsi="Times New Roman"/>
          <w:color w:val="000000"/>
          <w:szCs w:val="20"/>
          <w:lang w:val="uk-UA"/>
        </w:rPr>
        <w:tab/>
        <w:t>"        "</w:t>
      </w:r>
      <w:r w:rsidRPr="00E16672">
        <w:rPr>
          <w:rFonts w:ascii="Times New Roman" w:hAnsi="Times New Roman"/>
          <w:color w:val="000000"/>
          <w:szCs w:val="20"/>
          <w:lang w:val="uk-UA"/>
        </w:rPr>
        <w:t xml:space="preserve"> ______________</w:t>
      </w:r>
      <w:r w:rsidR="00EF78D0">
        <w:rPr>
          <w:rFonts w:ascii="Times New Roman" w:hAnsi="Times New Roman"/>
          <w:color w:val="000000"/>
          <w:szCs w:val="20"/>
          <w:lang w:val="uk-UA"/>
        </w:rPr>
        <w:t xml:space="preserve"> 20__ </w:t>
      </w:r>
      <w:r w:rsidRPr="00E16672">
        <w:rPr>
          <w:rFonts w:ascii="Times New Roman" w:hAnsi="Times New Roman"/>
          <w:color w:val="000000"/>
          <w:szCs w:val="20"/>
          <w:lang w:val="uk-UA"/>
        </w:rPr>
        <w:t>р.</w:t>
      </w:r>
    </w:p>
    <w:p w14:paraId="6C75CBB9" w14:textId="77777777" w:rsidR="006D2BB7" w:rsidRPr="00E16672" w:rsidRDefault="006D2BB7" w:rsidP="006D2BB7">
      <w:pPr>
        <w:widowControl w:val="0"/>
        <w:ind w:right="-50"/>
        <w:jc w:val="center"/>
        <w:rPr>
          <w:rFonts w:ascii="Times New Roman" w:hAnsi="Times New Roman"/>
          <w:color w:val="000000"/>
          <w:szCs w:val="20"/>
          <w:lang w:val="uk-UA"/>
        </w:rPr>
      </w:pPr>
    </w:p>
    <w:p w14:paraId="7E155C28" w14:textId="77777777" w:rsidR="003A1FFA" w:rsidRPr="00E16672" w:rsidRDefault="003A1FFA" w:rsidP="00F864F1">
      <w:pPr>
        <w:pStyle w:val="21"/>
        <w:ind w:right="30"/>
        <w:rPr>
          <w:rFonts w:ascii="Times New Roman" w:hAnsi="Times New Roman"/>
          <w:color w:val="000000"/>
          <w:lang w:val="uk-UA"/>
        </w:rPr>
      </w:pPr>
      <w:r w:rsidRPr="00E16672">
        <w:rPr>
          <w:rFonts w:ascii="Times New Roman" w:hAnsi="Times New Roman"/>
          <w:lang w:val="uk-UA"/>
        </w:rPr>
        <w:t xml:space="preserve">ТОВАРИСТВО З ОБМЕЖЕНОЮ ВІДПОВІДАЛЬНІСТЮ </w:t>
      </w:r>
      <w:r w:rsidR="00022F5F">
        <w:rPr>
          <w:rFonts w:ascii="Times New Roman" w:hAnsi="Times New Roman"/>
          <w:lang w:val="uk-UA"/>
        </w:rPr>
        <w:t>"</w:t>
      </w:r>
      <w:r w:rsidR="00E16672" w:rsidRPr="00E16672">
        <w:rPr>
          <w:rFonts w:ascii="Times New Roman" w:hAnsi="Times New Roman"/>
          <w:lang w:val="uk-UA"/>
        </w:rPr>
        <w:t>КОМЕКС ЦІННІ ПАПЕРИ</w:t>
      </w:r>
      <w:r w:rsidR="00022F5F">
        <w:rPr>
          <w:rFonts w:ascii="Times New Roman" w:hAnsi="Times New Roman"/>
          <w:lang w:val="uk-UA"/>
        </w:rPr>
        <w:t>"</w:t>
      </w:r>
      <w:r w:rsidRPr="00E16672">
        <w:rPr>
          <w:rFonts w:ascii="Times New Roman" w:hAnsi="Times New Roman"/>
          <w:lang w:val="uk-UA"/>
        </w:rPr>
        <w:t xml:space="preserve">, код за ЄДРПОУ </w:t>
      </w:r>
      <w:r w:rsidR="00E16672" w:rsidRPr="00E16672">
        <w:rPr>
          <w:rFonts w:ascii="Times New Roman" w:hAnsi="Times New Roman"/>
          <w:lang w:val="uk-UA"/>
        </w:rPr>
        <w:t>33153077</w:t>
      </w:r>
      <w:r w:rsidRPr="00E16672">
        <w:rPr>
          <w:rFonts w:ascii="Times New Roman" w:hAnsi="Times New Roman"/>
          <w:lang w:val="uk-UA"/>
        </w:rPr>
        <w:t xml:space="preserve"> (надалі – Виконавець), що здійснює депозитарну діяльність депозитарної установи на підставі ліцензії серія АЕ № </w:t>
      </w:r>
      <w:r w:rsidR="00E16672" w:rsidRPr="00E16672">
        <w:rPr>
          <w:rFonts w:ascii="Times New Roman" w:hAnsi="Times New Roman"/>
          <w:lang w:val="uk-UA"/>
        </w:rPr>
        <w:t>263429</w:t>
      </w:r>
      <w:r w:rsidRPr="00E16672">
        <w:rPr>
          <w:rFonts w:ascii="Times New Roman" w:hAnsi="Times New Roman"/>
          <w:lang w:val="uk-UA"/>
        </w:rPr>
        <w:t xml:space="preserve">, виданої Національною комісією з цінних паперів та фондового ринку </w:t>
      </w:r>
      <w:r w:rsidR="00E16672" w:rsidRPr="00E16672">
        <w:rPr>
          <w:rFonts w:ascii="Times New Roman" w:hAnsi="Times New Roman"/>
          <w:lang w:val="uk-UA"/>
        </w:rPr>
        <w:t>01.10.2013</w:t>
      </w:r>
      <w:r w:rsidRPr="00E16672">
        <w:rPr>
          <w:rFonts w:ascii="Times New Roman" w:hAnsi="Times New Roman"/>
          <w:lang w:val="uk-UA"/>
        </w:rPr>
        <w:t xml:space="preserve">р.  (надалі – НКЦПФР), в особі директора </w:t>
      </w:r>
      <w:r w:rsidR="00F864F1" w:rsidRPr="00F864F1">
        <w:rPr>
          <w:rFonts w:ascii="Times New Roman" w:hAnsi="Times New Roman"/>
          <w:lang w:val="uk-UA"/>
        </w:rPr>
        <w:t>Король Оксани Іванівни</w:t>
      </w:r>
      <w:r w:rsidRPr="00E16672">
        <w:rPr>
          <w:rFonts w:ascii="Times New Roman" w:hAnsi="Times New Roman"/>
          <w:lang w:val="uk-UA"/>
        </w:rPr>
        <w:t>, що діє на підставі Статуту з одного боку, Емітент __</w:t>
      </w:r>
      <w:r w:rsidR="00F864F1">
        <w:rPr>
          <w:rFonts w:ascii="Times New Roman" w:hAnsi="Times New Roman"/>
          <w:lang w:val="uk-UA"/>
        </w:rPr>
        <w:t>___________</w:t>
      </w:r>
      <w:r w:rsidRPr="00E16672">
        <w:rPr>
          <w:rFonts w:ascii="Times New Roman" w:hAnsi="Times New Roman"/>
          <w:lang w:val="uk-UA"/>
        </w:rPr>
        <w:t>____________________, в особі директора _____________</w:t>
      </w:r>
      <w:r w:rsidR="00F864F1">
        <w:rPr>
          <w:rFonts w:ascii="Times New Roman" w:hAnsi="Times New Roman"/>
          <w:lang w:val="uk-UA"/>
        </w:rPr>
        <w:t>__________________</w:t>
      </w:r>
      <w:r w:rsidRPr="00E16672">
        <w:rPr>
          <w:rFonts w:ascii="Times New Roman" w:hAnsi="Times New Roman"/>
          <w:lang w:val="uk-UA"/>
        </w:rPr>
        <w:t>______, (надалі - Замовник), що діє на підставі ___</w:t>
      </w:r>
      <w:r w:rsidR="00F864F1">
        <w:rPr>
          <w:rFonts w:ascii="Times New Roman" w:hAnsi="Times New Roman"/>
          <w:lang w:val="uk-UA"/>
        </w:rPr>
        <w:t>_________</w:t>
      </w:r>
      <w:r w:rsidRPr="00E16672">
        <w:rPr>
          <w:rFonts w:ascii="Times New Roman" w:hAnsi="Times New Roman"/>
          <w:lang w:val="uk-UA"/>
        </w:rPr>
        <w:t xml:space="preserve">____, з другого боку, надалі </w:t>
      </w:r>
      <w:proofErr w:type="spellStart"/>
      <w:r w:rsidRPr="00E16672">
        <w:rPr>
          <w:rFonts w:ascii="Times New Roman" w:hAnsi="Times New Roman"/>
          <w:lang w:val="uk-UA"/>
        </w:rPr>
        <w:t>поiменованi</w:t>
      </w:r>
      <w:proofErr w:type="spellEnd"/>
      <w:r w:rsidRPr="00E16672">
        <w:rPr>
          <w:rFonts w:ascii="Times New Roman" w:hAnsi="Times New Roman"/>
          <w:lang w:val="uk-UA"/>
        </w:rPr>
        <w:t xml:space="preserve"> Сторонами, склали цей Договір про </w:t>
      </w:r>
      <w:proofErr w:type="spellStart"/>
      <w:r w:rsidRPr="00E16672">
        <w:rPr>
          <w:rFonts w:ascii="Times New Roman" w:hAnsi="Times New Roman"/>
          <w:lang w:val="uk-UA"/>
        </w:rPr>
        <w:t>про</w:t>
      </w:r>
      <w:proofErr w:type="spellEnd"/>
      <w:r w:rsidRPr="00E16672">
        <w:rPr>
          <w:rFonts w:ascii="Times New Roman" w:hAnsi="Times New Roman"/>
          <w:lang w:val="uk-UA"/>
        </w:rPr>
        <w:t xml:space="preserve"> </w:t>
      </w:r>
      <w:r w:rsidRPr="00E16672">
        <w:rPr>
          <w:rFonts w:ascii="Times New Roman" w:hAnsi="Times New Roman"/>
          <w:color w:val="000000"/>
          <w:lang w:val="uk-UA"/>
        </w:rPr>
        <w:t>нижченаведене:</w:t>
      </w:r>
    </w:p>
    <w:p w14:paraId="147D76BA" w14:textId="77777777" w:rsidR="003A1FFA" w:rsidRPr="00E16672" w:rsidRDefault="003A1FFA" w:rsidP="003A1FFA">
      <w:pPr>
        <w:pStyle w:val="1"/>
        <w:widowControl w:val="0"/>
        <w:tabs>
          <w:tab w:val="num" w:pos="432"/>
          <w:tab w:val="left" w:pos="1134"/>
        </w:tabs>
        <w:ind w:left="567" w:firstLine="0"/>
        <w:rPr>
          <w:rFonts w:ascii="Times New Roman" w:hAnsi="Times New Roman" w:cs="Times New Roman"/>
          <w:sz w:val="20"/>
          <w:szCs w:val="20"/>
          <w:lang w:val="uk-UA"/>
        </w:rPr>
      </w:pPr>
    </w:p>
    <w:p w14:paraId="2C406B5A" w14:textId="77777777" w:rsidR="003A1FFA" w:rsidRPr="00E16672" w:rsidRDefault="003A1FFA" w:rsidP="003A1FFA">
      <w:pPr>
        <w:pStyle w:val="1"/>
        <w:widowControl w:val="0"/>
        <w:tabs>
          <w:tab w:val="num" w:pos="432"/>
          <w:tab w:val="left" w:pos="1134"/>
        </w:tabs>
        <w:ind w:left="567" w:firstLine="0"/>
        <w:rPr>
          <w:rFonts w:ascii="Times New Roman" w:hAnsi="Times New Roman" w:cs="Times New Roman"/>
          <w:sz w:val="20"/>
          <w:szCs w:val="20"/>
          <w:lang w:val="uk-UA"/>
        </w:rPr>
      </w:pPr>
      <w:r w:rsidRPr="00E16672">
        <w:rPr>
          <w:rFonts w:ascii="Times New Roman" w:hAnsi="Times New Roman" w:cs="Times New Roman"/>
          <w:sz w:val="20"/>
          <w:szCs w:val="20"/>
          <w:lang w:val="uk-UA"/>
        </w:rPr>
        <w:t>I. ПРЕДМЕТ УГОДИ</w:t>
      </w:r>
    </w:p>
    <w:p w14:paraId="3E6334DC" w14:textId="77777777" w:rsidR="003A1FFA" w:rsidRPr="00E16672" w:rsidRDefault="003A1FFA" w:rsidP="003A1FFA">
      <w:pPr>
        <w:rPr>
          <w:rFonts w:ascii="Times New Roman" w:hAnsi="Times New Roman"/>
          <w:szCs w:val="20"/>
          <w:highlight w:val="yellow"/>
          <w:lang w:val="uk-UA"/>
        </w:rPr>
      </w:pPr>
    </w:p>
    <w:p w14:paraId="7EEFBB9A" w14:textId="77777777" w:rsidR="003A1FFA" w:rsidRPr="00E16672" w:rsidRDefault="00173D5D" w:rsidP="00173D5D">
      <w:pPr>
        <w:widowControl w:val="0"/>
        <w:tabs>
          <w:tab w:val="left" w:pos="0"/>
          <w:tab w:val="left" w:pos="851"/>
          <w:tab w:val="left" w:pos="1701"/>
        </w:tabs>
        <w:rPr>
          <w:rFonts w:ascii="Times New Roman" w:hAnsi="Times New Roman"/>
          <w:szCs w:val="20"/>
          <w:lang w:val="uk-UA"/>
        </w:rPr>
      </w:pPr>
      <w:r w:rsidRPr="00E16672">
        <w:rPr>
          <w:rFonts w:ascii="Times New Roman" w:hAnsi="Times New Roman"/>
          <w:szCs w:val="20"/>
          <w:lang w:val="uk-UA"/>
        </w:rPr>
        <w:t xml:space="preserve">1. </w:t>
      </w:r>
      <w:r w:rsidR="003A1FFA" w:rsidRPr="00E16672">
        <w:rPr>
          <w:rFonts w:ascii="Times New Roman" w:hAnsi="Times New Roman"/>
          <w:szCs w:val="20"/>
          <w:lang w:val="uk-UA"/>
        </w:rPr>
        <w:t xml:space="preserve">Замовник доручає, а Виконавець зобов’язується надати консультаційні послуги з питань розкриття на фондовому ринку одного виду особливої інформації емітента щодо зміни складу посадових осіб емітента у відповідності до Положення про розкриття інформації емітентами цінних паперів, затвердженого Рішенням НКЦПФР № 2826 від 03.12.2013 р. (із змінами), а саме стосовно: </w:t>
      </w:r>
    </w:p>
    <w:p w14:paraId="4DFD016C" w14:textId="77777777" w:rsidR="003A1FFA" w:rsidRPr="00E16672" w:rsidRDefault="00173D5D" w:rsidP="00173D5D">
      <w:pPr>
        <w:widowControl w:val="0"/>
        <w:tabs>
          <w:tab w:val="left" w:pos="851"/>
        </w:tabs>
        <w:ind w:left="710" w:firstLine="0"/>
        <w:rPr>
          <w:rFonts w:ascii="Times New Roman" w:hAnsi="Times New Roman"/>
          <w:szCs w:val="20"/>
          <w:lang w:val="uk-UA"/>
        </w:rPr>
      </w:pPr>
      <w:r w:rsidRPr="00E16672">
        <w:rPr>
          <w:rFonts w:ascii="Times New Roman" w:hAnsi="Times New Roman"/>
          <w:szCs w:val="20"/>
          <w:lang w:val="uk-UA"/>
        </w:rPr>
        <w:t xml:space="preserve">- </w:t>
      </w:r>
      <w:r w:rsidR="003A1FFA" w:rsidRPr="00E16672">
        <w:rPr>
          <w:rFonts w:ascii="Times New Roman" w:hAnsi="Times New Roman"/>
          <w:szCs w:val="20"/>
          <w:lang w:val="uk-UA"/>
        </w:rPr>
        <w:t>розміщення в загальнодоступній інформаційній базі даних Національної комісії з цінних паперів та фондового ринку про ринок цінних паперів (надалі – Комісія);</w:t>
      </w:r>
    </w:p>
    <w:p w14:paraId="7E2C7D73" w14:textId="77777777" w:rsidR="003A1FFA" w:rsidRPr="00E16672" w:rsidRDefault="00173D5D" w:rsidP="00173D5D">
      <w:pPr>
        <w:widowControl w:val="0"/>
        <w:tabs>
          <w:tab w:val="left" w:pos="851"/>
        </w:tabs>
        <w:ind w:left="710" w:firstLine="0"/>
        <w:rPr>
          <w:rFonts w:ascii="Times New Roman" w:hAnsi="Times New Roman"/>
          <w:szCs w:val="20"/>
          <w:lang w:val="uk-UA"/>
        </w:rPr>
      </w:pPr>
      <w:r w:rsidRPr="00E16672">
        <w:rPr>
          <w:rFonts w:ascii="Times New Roman" w:hAnsi="Times New Roman"/>
          <w:szCs w:val="20"/>
          <w:lang w:val="uk-UA"/>
        </w:rPr>
        <w:t xml:space="preserve">- </w:t>
      </w:r>
      <w:r w:rsidR="003A1FFA" w:rsidRPr="00E16672">
        <w:rPr>
          <w:rFonts w:ascii="Times New Roman" w:hAnsi="Times New Roman"/>
          <w:szCs w:val="20"/>
          <w:lang w:val="uk-UA"/>
        </w:rPr>
        <w:t>опублікування в одному з офіційних друкованих видань Верховної Ради України, Кабінету Міністрів України або Комісії;</w:t>
      </w:r>
    </w:p>
    <w:p w14:paraId="0BD5903A" w14:textId="77777777" w:rsidR="003A1FFA" w:rsidRPr="00E16672" w:rsidRDefault="00173D5D" w:rsidP="00173D5D">
      <w:pPr>
        <w:widowControl w:val="0"/>
        <w:tabs>
          <w:tab w:val="left" w:pos="851"/>
        </w:tabs>
        <w:ind w:left="710" w:firstLine="0"/>
        <w:rPr>
          <w:rFonts w:ascii="Times New Roman" w:hAnsi="Times New Roman"/>
          <w:szCs w:val="20"/>
          <w:lang w:val="uk-UA"/>
        </w:rPr>
      </w:pPr>
      <w:r w:rsidRPr="00E16672">
        <w:rPr>
          <w:rFonts w:ascii="Times New Roman" w:hAnsi="Times New Roman"/>
          <w:szCs w:val="20"/>
          <w:lang w:val="uk-UA"/>
        </w:rPr>
        <w:t xml:space="preserve">- </w:t>
      </w:r>
      <w:r w:rsidR="003A1FFA" w:rsidRPr="00E16672">
        <w:rPr>
          <w:rFonts w:ascii="Times New Roman" w:hAnsi="Times New Roman"/>
          <w:szCs w:val="20"/>
          <w:lang w:val="uk-UA"/>
        </w:rPr>
        <w:t>розміщення на власному веб-сайті (веб-сторінці) емітента;</w:t>
      </w:r>
    </w:p>
    <w:p w14:paraId="1B0AC6D5" w14:textId="77777777" w:rsidR="003A1FFA" w:rsidRPr="00E16672" w:rsidRDefault="00173D5D" w:rsidP="00173D5D">
      <w:pPr>
        <w:widowControl w:val="0"/>
        <w:tabs>
          <w:tab w:val="left" w:pos="851"/>
        </w:tabs>
        <w:ind w:left="710" w:firstLine="0"/>
        <w:rPr>
          <w:rFonts w:ascii="Times New Roman" w:hAnsi="Times New Roman"/>
          <w:szCs w:val="20"/>
          <w:lang w:val="uk-UA"/>
        </w:rPr>
      </w:pPr>
      <w:r w:rsidRPr="00E16672">
        <w:rPr>
          <w:rFonts w:ascii="Times New Roman" w:hAnsi="Times New Roman"/>
          <w:szCs w:val="20"/>
          <w:lang w:val="uk-UA"/>
        </w:rPr>
        <w:t xml:space="preserve">- </w:t>
      </w:r>
      <w:r w:rsidR="003A1FFA" w:rsidRPr="00E16672">
        <w:rPr>
          <w:rFonts w:ascii="Times New Roman" w:hAnsi="Times New Roman"/>
          <w:szCs w:val="20"/>
          <w:lang w:val="uk-UA"/>
        </w:rPr>
        <w:t>подання до Комісії.</w:t>
      </w:r>
    </w:p>
    <w:p w14:paraId="077A90FB" w14:textId="77777777" w:rsidR="003A1FFA" w:rsidRPr="00E16672" w:rsidRDefault="003A1FFA" w:rsidP="003A1FFA">
      <w:pPr>
        <w:tabs>
          <w:tab w:val="left" w:pos="567"/>
        </w:tabs>
        <w:rPr>
          <w:rFonts w:ascii="Times New Roman" w:hAnsi="Times New Roman"/>
          <w:szCs w:val="20"/>
          <w:highlight w:val="yellow"/>
          <w:lang w:val="uk-UA"/>
        </w:rPr>
      </w:pPr>
    </w:p>
    <w:p w14:paraId="0418981F" w14:textId="77777777" w:rsidR="003A1FFA" w:rsidRPr="00E16672" w:rsidRDefault="003A1FFA" w:rsidP="003A1FFA">
      <w:pPr>
        <w:pStyle w:val="1"/>
        <w:widowControl w:val="0"/>
        <w:tabs>
          <w:tab w:val="num" w:pos="432"/>
          <w:tab w:val="left" w:pos="1134"/>
        </w:tabs>
        <w:ind w:left="567" w:firstLine="0"/>
        <w:rPr>
          <w:rFonts w:ascii="Times New Roman" w:hAnsi="Times New Roman" w:cs="Times New Roman"/>
          <w:sz w:val="20"/>
          <w:szCs w:val="20"/>
          <w:lang w:val="uk-UA"/>
        </w:rPr>
      </w:pPr>
      <w:r w:rsidRPr="00E16672">
        <w:rPr>
          <w:rFonts w:ascii="Times New Roman" w:hAnsi="Times New Roman" w:cs="Times New Roman"/>
          <w:sz w:val="20"/>
          <w:szCs w:val="20"/>
          <w:lang w:val="uk-UA"/>
        </w:rPr>
        <w:t>II.  ПРАВА ТА ОБОВ’ЯЗКИ СТОРІН</w:t>
      </w:r>
    </w:p>
    <w:p w14:paraId="3E9093CF" w14:textId="77777777" w:rsidR="003A1FFA" w:rsidRPr="00E16672" w:rsidRDefault="003A1FFA" w:rsidP="003A1FFA">
      <w:pPr>
        <w:widowControl w:val="0"/>
        <w:ind w:firstLine="540"/>
        <w:rPr>
          <w:rFonts w:ascii="Times New Roman" w:hAnsi="Times New Roman"/>
          <w:szCs w:val="20"/>
          <w:lang w:val="uk-UA"/>
        </w:rPr>
      </w:pPr>
    </w:p>
    <w:p w14:paraId="4B834F07" w14:textId="77777777" w:rsidR="003A1FFA" w:rsidRPr="00E16672" w:rsidRDefault="003A1FFA" w:rsidP="00F864F1">
      <w:pPr>
        <w:pStyle w:val="aff5"/>
        <w:widowControl w:val="0"/>
        <w:numPr>
          <w:ilvl w:val="1"/>
          <w:numId w:val="36"/>
        </w:numPr>
        <w:ind w:hanging="333"/>
        <w:rPr>
          <w:rFonts w:ascii="Times New Roman" w:hAnsi="Times New Roman"/>
          <w:b/>
          <w:szCs w:val="20"/>
          <w:lang w:val="uk-UA"/>
        </w:rPr>
      </w:pPr>
      <w:r w:rsidRPr="00E16672">
        <w:rPr>
          <w:rFonts w:ascii="Times New Roman" w:hAnsi="Times New Roman"/>
          <w:b/>
          <w:szCs w:val="20"/>
          <w:lang w:val="uk-UA"/>
        </w:rPr>
        <w:t>Виконавець зобов’язаний:</w:t>
      </w:r>
    </w:p>
    <w:p w14:paraId="077BAFCA" w14:textId="77777777" w:rsidR="003A1FFA" w:rsidRPr="00E16672" w:rsidRDefault="00DD0C00" w:rsidP="00F864F1">
      <w:pPr>
        <w:pStyle w:val="aff5"/>
        <w:tabs>
          <w:tab w:val="left" w:pos="567"/>
        </w:tabs>
        <w:snapToGrid w:val="0"/>
        <w:ind w:left="567" w:firstLine="0"/>
        <w:contextualSpacing w:val="0"/>
        <w:rPr>
          <w:rFonts w:ascii="Times New Roman" w:hAnsi="Times New Roman"/>
          <w:szCs w:val="20"/>
          <w:lang w:val="uk-UA"/>
        </w:rPr>
      </w:pPr>
      <w:r w:rsidRPr="00E16672">
        <w:rPr>
          <w:rFonts w:ascii="Times New Roman" w:hAnsi="Times New Roman"/>
          <w:szCs w:val="20"/>
          <w:lang w:val="uk-UA"/>
        </w:rPr>
        <w:t xml:space="preserve">2.1.1. </w:t>
      </w:r>
      <w:r w:rsidR="003A1FFA" w:rsidRPr="00E16672">
        <w:rPr>
          <w:rFonts w:ascii="Times New Roman" w:hAnsi="Times New Roman"/>
          <w:szCs w:val="20"/>
          <w:lang w:val="uk-UA"/>
        </w:rPr>
        <w:t>Надавати консультаційні послуги в усному та /або письмовому вигляді.</w:t>
      </w:r>
    </w:p>
    <w:p w14:paraId="2F138F9B" w14:textId="77777777" w:rsidR="003A1FFA" w:rsidRPr="00E16672" w:rsidRDefault="00DD0C00" w:rsidP="00DD0C00">
      <w:pPr>
        <w:pStyle w:val="aff5"/>
        <w:tabs>
          <w:tab w:val="left" w:pos="993"/>
        </w:tabs>
        <w:snapToGrid w:val="0"/>
        <w:ind w:left="0"/>
        <w:contextualSpacing w:val="0"/>
        <w:rPr>
          <w:rFonts w:ascii="Times New Roman" w:hAnsi="Times New Roman"/>
          <w:szCs w:val="20"/>
          <w:lang w:val="uk-UA"/>
        </w:rPr>
      </w:pPr>
      <w:r w:rsidRPr="00E16672">
        <w:rPr>
          <w:rFonts w:ascii="Times New Roman" w:hAnsi="Times New Roman"/>
          <w:szCs w:val="20"/>
          <w:lang w:val="uk-UA"/>
        </w:rPr>
        <w:t xml:space="preserve">2.1.2. </w:t>
      </w:r>
      <w:r w:rsidR="003A1FFA" w:rsidRPr="00E16672">
        <w:rPr>
          <w:rFonts w:ascii="Times New Roman" w:hAnsi="Times New Roman"/>
          <w:szCs w:val="20"/>
          <w:lang w:val="uk-UA"/>
        </w:rPr>
        <w:t>Не розголошувати відомості та інформацію, яка стане відомою Виконавцю під час виконання цього Договору.</w:t>
      </w:r>
    </w:p>
    <w:p w14:paraId="1C790221" w14:textId="77777777" w:rsidR="003A1FFA" w:rsidRPr="00E16672" w:rsidRDefault="00DD0C00" w:rsidP="00DD0C00">
      <w:pPr>
        <w:pStyle w:val="aff5"/>
        <w:tabs>
          <w:tab w:val="left" w:pos="993"/>
        </w:tabs>
        <w:snapToGrid w:val="0"/>
        <w:ind w:left="0"/>
        <w:contextualSpacing w:val="0"/>
        <w:rPr>
          <w:rFonts w:ascii="Times New Roman" w:hAnsi="Times New Roman"/>
          <w:szCs w:val="20"/>
          <w:lang w:val="uk-UA"/>
        </w:rPr>
      </w:pPr>
      <w:r w:rsidRPr="00E16672">
        <w:rPr>
          <w:rFonts w:ascii="Times New Roman" w:hAnsi="Times New Roman"/>
          <w:szCs w:val="20"/>
          <w:lang w:val="uk-UA"/>
        </w:rPr>
        <w:t xml:space="preserve">2.1.3. </w:t>
      </w:r>
      <w:r w:rsidR="003A1FFA" w:rsidRPr="00E16672">
        <w:rPr>
          <w:rFonts w:ascii="Times New Roman" w:hAnsi="Times New Roman"/>
          <w:szCs w:val="20"/>
          <w:lang w:val="uk-UA"/>
        </w:rPr>
        <w:t>Надати послуги згідно з п.1. цього Договору у відповідності до вимог чинного законодавства за умови надання Замовником інформації та документів, необхідних для надання послуг, у строки, встановлені цим Договором.</w:t>
      </w:r>
    </w:p>
    <w:p w14:paraId="69537724" w14:textId="77777777" w:rsidR="00DD0C00" w:rsidRPr="00E16672" w:rsidRDefault="00DD0C00" w:rsidP="00022F5F">
      <w:pPr>
        <w:pStyle w:val="aff5"/>
        <w:ind w:left="0" w:right="-1"/>
        <w:jc w:val="left"/>
        <w:rPr>
          <w:rFonts w:ascii="Times New Roman" w:hAnsi="Times New Roman"/>
          <w:szCs w:val="20"/>
          <w:lang w:val="uk-UA"/>
        </w:rPr>
      </w:pPr>
      <w:r w:rsidRPr="00E16672">
        <w:rPr>
          <w:rFonts w:ascii="Times New Roman" w:hAnsi="Times New Roman"/>
          <w:szCs w:val="20"/>
          <w:lang w:val="uk-UA"/>
        </w:rPr>
        <w:t>2.1.4. Розкривати Замовнику інформацію про умови та порядок діяльності депозитарної установи з урахуванням вимог, встановлених</w:t>
      </w:r>
      <w:r w:rsidRPr="00E16672">
        <w:rPr>
          <w:rFonts w:ascii="Times New Roman" w:hAnsi="Times New Roman"/>
          <w:szCs w:val="20"/>
        </w:rPr>
        <w:t> </w:t>
      </w:r>
      <w:r w:rsidRPr="00E16672">
        <w:rPr>
          <w:rFonts w:ascii="Times New Roman" w:hAnsi="Times New Roman"/>
          <w:szCs w:val="20"/>
          <w:lang w:val="uk-UA"/>
        </w:rPr>
        <w:t xml:space="preserve">частиною першою статті 12 Закону України </w:t>
      </w:r>
      <w:r w:rsidR="00022F5F">
        <w:rPr>
          <w:rFonts w:ascii="Times New Roman" w:hAnsi="Times New Roman"/>
          <w:szCs w:val="20"/>
          <w:lang w:val="uk-UA"/>
        </w:rPr>
        <w:t>"</w:t>
      </w:r>
      <w:r w:rsidRPr="00E16672">
        <w:rPr>
          <w:rFonts w:ascii="Times New Roman" w:hAnsi="Times New Roman"/>
          <w:szCs w:val="20"/>
          <w:lang w:val="uk-UA"/>
        </w:rPr>
        <w:t>Про фінансові послуги та державне регулювання ринків фінансових послуг</w:t>
      </w:r>
      <w:r w:rsidR="00022F5F">
        <w:rPr>
          <w:rFonts w:ascii="Times New Roman" w:hAnsi="Times New Roman"/>
          <w:szCs w:val="20"/>
          <w:lang w:val="uk-UA"/>
        </w:rPr>
        <w:t>"</w:t>
      </w:r>
      <w:r w:rsidRPr="00E16672">
        <w:rPr>
          <w:rFonts w:ascii="Times New Roman" w:hAnsi="Times New Roman"/>
          <w:szCs w:val="20"/>
          <w:lang w:val="uk-UA"/>
        </w:rPr>
        <w:t>.</w:t>
      </w:r>
    </w:p>
    <w:p w14:paraId="420E8109" w14:textId="77777777" w:rsidR="00DD0C00" w:rsidRPr="00F864F1" w:rsidRDefault="00DD0C00" w:rsidP="00F864F1">
      <w:pPr>
        <w:tabs>
          <w:tab w:val="left" w:pos="993"/>
        </w:tabs>
        <w:snapToGrid w:val="0"/>
        <w:ind w:left="540" w:firstLine="0"/>
        <w:rPr>
          <w:rFonts w:ascii="Times New Roman" w:hAnsi="Times New Roman"/>
          <w:szCs w:val="20"/>
          <w:lang w:val="uk-UA"/>
        </w:rPr>
      </w:pPr>
    </w:p>
    <w:p w14:paraId="417911C2" w14:textId="77777777" w:rsidR="003A1FFA" w:rsidRPr="00E16672" w:rsidRDefault="003A1FFA" w:rsidP="003A1FFA">
      <w:pPr>
        <w:widowControl w:val="0"/>
        <w:ind w:firstLine="540"/>
        <w:rPr>
          <w:rFonts w:ascii="Times New Roman" w:hAnsi="Times New Roman"/>
          <w:b/>
          <w:szCs w:val="20"/>
          <w:lang w:val="uk-UA"/>
        </w:rPr>
      </w:pPr>
    </w:p>
    <w:p w14:paraId="5CAB10FF" w14:textId="77777777" w:rsidR="003A1FFA" w:rsidRPr="00E16672" w:rsidRDefault="00173D5D" w:rsidP="00F864F1">
      <w:pPr>
        <w:widowControl w:val="0"/>
        <w:ind w:firstLine="540"/>
        <w:rPr>
          <w:rFonts w:ascii="Times New Roman" w:hAnsi="Times New Roman"/>
          <w:szCs w:val="20"/>
          <w:lang w:val="uk-UA"/>
        </w:rPr>
      </w:pPr>
      <w:r w:rsidRPr="00E16672">
        <w:rPr>
          <w:rFonts w:ascii="Times New Roman" w:hAnsi="Times New Roman"/>
          <w:b/>
          <w:szCs w:val="20"/>
          <w:lang w:val="uk-UA"/>
        </w:rPr>
        <w:t xml:space="preserve">2.2. </w:t>
      </w:r>
      <w:r w:rsidR="003A1FFA" w:rsidRPr="00E16672">
        <w:rPr>
          <w:rFonts w:ascii="Times New Roman" w:hAnsi="Times New Roman"/>
          <w:b/>
          <w:szCs w:val="20"/>
          <w:lang w:val="uk-UA"/>
        </w:rPr>
        <w:t>Виконавець має право</w:t>
      </w:r>
      <w:r w:rsidR="00F864F1">
        <w:rPr>
          <w:rFonts w:ascii="Times New Roman" w:hAnsi="Times New Roman"/>
          <w:b/>
          <w:szCs w:val="20"/>
          <w:lang w:val="uk-UA"/>
        </w:rPr>
        <w:t xml:space="preserve"> н</w:t>
      </w:r>
      <w:r w:rsidR="003A1FFA" w:rsidRPr="00E16672">
        <w:rPr>
          <w:rFonts w:ascii="Times New Roman" w:hAnsi="Times New Roman"/>
          <w:szCs w:val="20"/>
          <w:lang w:val="uk-UA"/>
        </w:rPr>
        <w:t>е надавати послуги згідно п. 1. цього Договору у випадку не виконання Замовником обов’язків, передбачених  п. 2.</w:t>
      </w:r>
      <w:r w:rsidRPr="00E16672">
        <w:rPr>
          <w:rFonts w:ascii="Times New Roman" w:hAnsi="Times New Roman"/>
          <w:szCs w:val="20"/>
          <w:lang w:val="uk-UA"/>
        </w:rPr>
        <w:t>3</w:t>
      </w:r>
      <w:r w:rsidR="003A1FFA" w:rsidRPr="00E16672">
        <w:rPr>
          <w:rFonts w:ascii="Times New Roman" w:hAnsi="Times New Roman"/>
          <w:szCs w:val="20"/>
          <w:lang w:val="uk-UA"/>
        </w:rPr>
        <w:t>. цього Договору.</w:t>
      </w:r>
    </w:p>
    <w:p w14:paraId="29B7F874" w14:textId="77777777" w:rsidR="003A1FFA" w:rsidRPr="00E16672" w:rsidRDefault="003A1FFA" w:rsidP="003A1FFA">
      <w:pPr>
        <w:widowControl w:val="0"/>
        <w:ind w:firstLine="540"/>
        <w:rPr>
          <w:rFonts w:ascii="Times New Roman" w:hAnsi="Times New Roman"/>
          <w:b/>
          <w:szCs w:val="20"/>
          <w:lang w:val="uk-UA"/>
        </w:rPr>
      </w:pPr>
    </w:p>
    <w:p w14:paraId="11C3509C" w14:textId="77777777" w:rsidR="00F864F1" w:rsidRDefault="00173D5D" w:rsidP="00F864F1">
      <w:pPr>
        <w:widowControl w:val="0"/>
        <w:ind w:firstLine="540"/>
        <w:rPr>
          <w:rFonts w:ascii="Times New Roman" w:hAnsi="Times New Roman"/>
          <w:b/>
          <w:szCs w:val="20"/>
          <w:lang w:val="uk-UA"/>
        </w:rPr>
      </w:pPr>
      <w:r w:rsidRPr="00E16672">
        <w:rPr>
          <w:rFonts w:ascii="Times New Roman" w:hAnsi="Times New Roman"/>
          <w:b/>
          <w:szCs w:val="20"/>
          <w:lang w:val="uk-UA"/>
        </w:rPr>
        <w:t xml:space="preserve">2.3. </w:t>
      </w:r>
      <w:r w:rsidR="003A1FFA" w:rsidRPr="00E16672">
        <w:rPr>
          <w:rFonts w:ascii="Times New Roman" w:hAnsi="Times New Roman"/>
          <w:b/>
          <w:szCs w:val="20"/>
          <w:lang w:val="uk-UA"/>
        </w:rPr>
        <w:t>Замовник зобов’язаний:</w:t>
      </w:r>
    </w:p>
    <w:p w14:paraId="0CF83BAE" w14:textId="77777777" w:rsidR="003A1FFA" w:rsidRPr="00F864F1" w:rsidRDefault="003A1FFA" w:rsidP="00F864F1">
      <w:pPr>
        <w:widowControl w:val="0"/>
        <w:ind w:firstLine="540"/>
        <w:rPr>
          <w:rFonts w:ascii="Times New Roman" w:hAnsi="Times New Roman"/>
          <w:b/>
          <w:szCs w:val="20"/>
          <w:lang w:val="uk-UA"/>
        </w:rPr>
      </w:pPr>
      <w:r w:rsidRPr="00E16672">
        <w:rPr>
          <w:rFonts w:ascii="Times New Roman" w:hAnsi="Times New Roman"/>
          <w:szCs w:val="20"/>
          <w:lang w:val="uk-UA"/>
        </w:rPr>
        <w:t>2.3.1. Не пізніше 20.04.20</w:t>
      </w:r>
      <w:r w:rsidR="00FE477B" w:rsidRPr="00E16672">
        <w:rPr>
          <w:rFonts w:ascii="Times New Roman" w:hAnsi="Times New Roman"/>
          <w:szCs w:val="20"/>
          <w:lang w:val="uk-UA"/>
        </w:rPr>
        <w:t>__</w:t>
      </w:r>
      <w:r w:rsidRPr="00E16672">
        <w:rPr>
          <w:rFonts w:ascii="Times New Roman" w:hAnsi="Times New Roman"/>
          <w:szCs w:val="20"/>
          <w:lang w:val="uk-UA"/>
        </w:rPr>
        <w:t xml:space="preserve"> року надати Виконавцю в електронному вигляді на електронну адресу Виконавця інформацію та/або документи, необхідні для розкриття особливої інформації емітента згідно з пунктом 1.1.1. цього Договору.</w:t>
      </w:r>
    </w:p>
    <w:p w14:paraId="2A162EDF" w14:textId="77777777" w:rsidR="003A1FFA" w:rsidRPr="00E16672" w:rsidRDefault="003A1FFA" w:rsidP="000D0438">
      <w:pPr>
        <w:pStyle w:val="aff5"/>
        <w:numPr>
          <w:ilvl w:val="2"/>
          <w:numId w:val="29"/>
        </w:numPr>
        <w:tabs>
          <w:tab w:val="left" w:pos="993"/>
        </w:tabs>
        <w:snapToGrid w:val="0"/>
        <w:contextualSpacing w:val="0"/>
        <w:rPr>
          <w:rFonts w:ascii="Times New Roman" w:hAnsi="Times New Roman"/>
          <w:szCs w:val="20"/>
          <w:lang w:val="uk-UA"/>
        </w:rPr>
      </w:pPr>
      <w:r w:rsidRPr="00E16672">
        <w:rPr>
          <w:rFonts w:ascii="Times New Roman" w:hAnsi="Times New Roman"/>
          <w:szCs w:val="20"/>
          <w:lang w:val="uk-UA"/>
        </w:rPr>
        <w:t>Оплатити вартість послуг Виконавця у терміни та в сумі, визначеній цим Договором.</w:t>
      </w:r>
    </w:p>
    <w:p w14:paraId="3010DE61" w14:textId="77777777" w:rsidR="00516E92" w:rsidRPr="00E16672" w:rsidRDefault="00516E92" w:rsidP="00516E92">
      <w:pPr>
        <w:pStyle w:val="aff5"/>
        <w:widowControl w:val="0"/>
        <w:ind w:left="810" w:firstLine="0"/>
        <w:rPr>
          <w:rFonts w:ascii="Times New Roman" w:hAnsi="Times New Roman"/>
          <w:b/>
          <w:szCs w:val="20"/>
          <w:lang w:val="uk-UA"/>
        </w:rPr>
      </w:pPr>
    </w:p>
    <w:p w14:paraId="12300004" w14:textId="77777777" w:rsidR="00516E92" w:rsidRPr="00E16672" w:rsidRDefault="00516E92" w:rsidP="00F864F1">
      <w:pPr>
        <w:pStyle w:val="aff5"/>
        <w:widowControl w:val="0"/>
        <w:ind w:left="0"/>
        <w:rPr>
          <w:rFonts w:ascii="Times New Roman" w:hAnsi="Times New Roman"/>
          <w:b/>
          <w:szCs w:val="20"/>
          <w:lang w:val="uk-UA"/>
        </w:rPr>
      </w:pPr>
      <w:r w:rsidRPr="00E16672">
        <w:rPr>
          <w:rFonts w:ascii="Times New Roman" w:hAnsi="Times New Roman"/>
          <w:b/>
          <w:szCs w:val="20"/>
          <w:lang w:val="uk-UA"/>
        </w:rPr>
        <w:t>2.4. Замовник має право</w:t>
      </w:r>
      <w:r w:rsidR="00F864F1">
        <w:rPr>
          <w:rFonts w:ascii="Times New Roman" w:hAnsi="Times New Roman"/>
          <w:b/>
          <w:szCs w:val="20"/>
          <w:lang w:val="uk-UA"/>
        </w:rPr>
        <w:t xml:space="preserve"> о</w:t>
      </w:r>
      <w:r w:rsidRPr="00E16672">
        <w:rPr>
          <w:rFonts w:ascii="Times New Roman" w:hAnsi="Times New Roman"/>
          <w:szCs w:val="20"/>
          <w:lang w:val="uk-UA"/>
        </w:rPr>
        <w:t>тримувати інформацію про умови та порядок діяльності депозитарної установи з урахуванням вимог, встановлених</w:t>
      </w:r>
      <w:r w:rsidRPr="00E16672">
        <w:rPr>
          <w:rFonts w:ascii="Times New Roman" w:hAnsi="Times New Roman"/>
          <w:szCs w:val="20"/>
        </w:rPr>
        <w:t> </w:t>
      </w:r>
      <w:r w:rsidRPr="00E16672">
        <w:rPr>
          <w:rFonts w:ascii="Times New Roman" w:hAnsi="Times New Roman"/>
          <w:szCs w:val="20"/>
          <w:lang w:val="uk-UA"/>
        </w:rPr>
        <w:t>частиною першою статті 12 Закону України "Про фінансові послуги та державне регулювання ринків фінансових послуг".</w:t>
      </w:r>
    </w:p>
    <w:p w14:paraId="567D4596" w14:textId="77777777" w:rsidR="003A1FFA" w:rsidRPr="00E16672" w:rsidRDefault="003A1FFA" w:rsidP="003A1FFA">
      <w:pPr>
        <w:widowControl w:val="0"/>
        <w:ind w:left="1647"/>
        <w:jc w:val="center"/>
        <w:rPr>
          <w:rFonts w:ascii="Times New Roman" w:hAnsi="Times New Roman"/>
          <w:szCs w:val="20"/>
          <w:lang w:val="uk-UA"/>
        </w:rPr>
      </w:pPr>
    </w:p>
    <w:p w14:paraId="1EE364CF" w14:textId="77777777" w:rsidR="003A1FFA" w:rsidRPr="00E16672" w:rsidRDefault="003A1FFA" w:rsidP="003A1FFA">
      <w:pPr>
        <w:widowControl w:val="0"/>
        <w:ind w:left="1080" w:firstLine="0"/>
        <w:rPr>
          <w:rFonts w:ascii="Times New Roman" w:hAnsi="Times New Roman"/>
          <w:b/>
          <w:szCs w:val="20"/>
          <w:lang w:val="uk-UA"/>
        </w:rPr>
      </w:pPr>
      <w:r w:rsidRPr="00E16672">
        <w:rPr>
          <w:rFonts w:ascii="Times New Roman" w:hAnsi="Times New Roman"/>
          <w:b/>
          <w:szCs w:val="20"/>
          <w:lang w:val="uk-UA"/>
        </w:rPr>
        <w:t xml:space="preserve">                                                    III. ВАРТІСТЬ ЗДIЙСНЕНИХ ОПЕРАЦІЙ</w:t>
      </w:r>
    </w:p>
    <w:p w14:paraId="149F2076" w14:textId="77777777" w:rsidR="003A1FFA" w:rsidRPr="00E16672" w:rsidRDefault="003A1FFA" w:rsidP="003A1FFA">
      <w:pPr>
        <w:ind w:left="1080"/>
        <w:rPr>
          <w:rFonts w:ascii="Times New Roman" w:hAnsi="Times New Roman"/>
          <w:szCs w:val="20"/>
          <w:lang w:val="uk-UA"/>
        </w:rPr>
      </w:pPr>
    </w:p>
    <w:p w14:paraId="37ACF861" w14:textId="77777777" w:rsidR="003A1FFA" w:rsidRPr="00E16672" w:rsidRDefault="00173D5D" w:rsidP="003A1FFA">
      <w:pPr>
        <w:pStyle w:val="aff5"/>
        <w:numPr>
          <w:ilvl w:val="1"/>
          <w:numId w:val="4"/>
        </w:numPr>
        <w:tabs>
          <w:tab w:val="left" w:pos="993"/>
        </w:tabs>
        <w:snapToGrid w:val="0"/>
        <w:ind w:firstLine="567"/>
        <w:contextualSpacing w:val="0"/>
        <w:rPr>
          <w:rFonts w:ascii="Times New Roman" w:hAnsi="Times New Roman"/>
          <w:szCs w:val="20"/>
          <w:lang w:val="uk-UA"/>
        </w:rPr>
      </w:pPr>
      <w:r w:rsidRPr="00E16672">
        <w:rPr>
          <w:rFonts w:ascii="Times New Roman" w:hAnsi="Times New Roman"/>
          <w:szCs w:val="20"/>
          <w:lang w:val="uk-UA"/>
        </w:rPr>
        <w:t xml:space="preserve">3.1. </w:t>
      </w:r>
      <w:r w:rsidR="003A1FFA" w:rsidRPr="00E16672">
        <w:rPr>
          <w:rFonts w:ascii="Times New Roman" w:hAnsi="Times New Roman"/>
          <w:szCs w:val="20"/>
          <w:lang w:val="uk-UA"/>
        </w:rPr>
        <w:t>Замовник оплачує надані Виконавцем консультаційні послуги з питань розкриття на фондовому ринку особливої інформації Емітента у розмірі _____________ (_________________ гривень 00 коп</w:t>
      </w:r>
      <w:r w:rsidR="00602650">
        <w:rPr>
          <w:rFonts w:ascii="Times New Roman" w:hAnsi="Times New Roman"/>
          <w:szCs w:val="20"/>
          <w:lang w:val="uk-UA"/>
        </w:rPr>
        <w:t>ійок</w:t>
      </w:r>
      <w:r w:rsidR="003A1FFA" w:rsidRPr="00E16672">
        <w:rPr>
          <w:rFonts w:ascii="Times New Roman" w:hAnsi="Times New Roman"/>
          <w:szCs w:val="20"/>
          <w:lang w:val="uk-UA"/>
        </w:rPr>
        <w:t xml:space="preserve">) </w:t>
      </w:r>
      <w:r w:rsidR="00602650" w:rsidRPr="00E16672">
        <w:rPr>
          <w:rFonts w:ascii="Times New Roman" w:hAnsi="Times New Roman"/>
          <w:szCs w:val="20"/>
          <w:lang w:val="uk-UA"/>
        </w:rPr>
        <w:t xml:space="preserve">грн. </w:t>
      </w:r>
      <w:r w:rsidR="003A1FFA" w:rsidRPr="00E16672">
        <w:rPr>
          <w:rFonts w:ascii="Times New Roman" w:hAnsi="Times New Roman"/>
          <w:szCs w:val="20"/>
          <w:lang w:val="uk-UA"/>
        </w:rPr>
        <w:t>без ПДВ, в строк до 24.04.2018 року. Підставою для оплати послуг Виконавця є даний Договір.</w:t>
      </w:r>
    </w:p>
    <w:p w14:paraId="01C16CD8" w14:textId="77777777" w:rsidR="003A1FFA" w:rsidRPr="00E16672" w:rsidRDefault="00173D5D" w:rsidP="003A1FFA">
      <w:pPr>
        <w:pStyle w:val="aff5"/>
        <w:numPr>
          <w:ilvl w:val="1"/>
          <w:numId w:val="4"/>
        </w:numPr>
        <w:tabs>
          <w:tab w:val="left" w:pos="993"/>
        </w:tabs>
        <w:snapToGrid w:val="0"/>
        <w:ind w:firstLine="567"/>
        <w:contextualSpacing w:val="0"/>
        <w:rPr>
          <w:rFonts w:ascii="Times New Roman" w:hAnsi="Times New Roman"/>
          <w:szCs w:val="20"/>
          <w:lang w:val="uk-UA"/>
        </w:rPr>
      </w:pPr>
      <w:r w:rsidRPr="00E16672">
        <w:rPr>
          <w:rFonts w:ascii="Times New Roman" w:hAnsi="Times New Roman"/>
          <w:szCs w:val="20"/>
          <w:lang w:val="uk-UA"/>
        </w:rPr>
        <w:t xml:space="preserve">3.2. </w:t>
      </w:r>
      <w:r w:rsidR="003A1FFA" w:rsidRPr="00E16672">
        <w:rPr>
          <w:rFonts w:ascii="Times New Roman" w:hAnsi="Times New Roman"/>
          <w:szCs w:val="20"/>
          <w:lang w:val="uk-UA"/>
        </w:rPr>
        <w:t>Оплата послуг Виконавця  здійснюється шляхом сплати грошових коштів на рахунок Виконавця протягом 2 робочих днів з дати отримання  рахунку.</w:t>
      </w:r>
    </w:p>
    <w:p w14:paraId="74795882" w14:textId="77777777" w:rsidR="003A1FFA" w:rsidRPr="00E16672" w:rsidRDefault="00173D5D" w:rsidP="003A1FFA">
      <w:pPr>
        <w:pStyle w:val="aff5"/>
        <w:numPr>
          <w:ilvl w:val="1"/>
          <w:numId w:val="4"/>
        </w:numPr>
        <w:tabs>
          <w:tab w:val="left" w:pos="993"/>
        </w:tabs>
        <w:snapToGrid w:val="0"/>
        <w:ind w:firstLine="567"/>
        <w:contextualSpacing w:val="0"/>
        <w:rPr>
          <w:rFonts w:ascii="Times New Roman" w:hAnsi="Times New Roman"/>
          <w:szCs w:val="20"/>
          <w:lang w:val="uk-UA"/>
        </w:rPr>
      </w:pPr>
      <w:r w:rsidRPr="00E16672">
        <w:rPr>
          <w:rFonts w:ascii="Times New Roman" w:hAnsi="Times New Roman"/>
          <w:szCs w:val="20"/>
          <w:lang w:val="uk-UA"/>
        </w:rPr>
        <w:t xml:space="preserve">3.3. </w:t>
      </w:r>
      <w:r w:rsidR="003A1FFA" w:rsidRPr="00E16672">
        <w:rPr>
          <w:rFonts w:ascii="Times New Roman" w:hAnsi="Times New Roman"/>
          <w:szCs w:val="20"/>
          <w:lang w:val="uk-UA"/>
        </w:rPr>
        <w:t>Підтвердженням надання даних послуг є складений Сторонами Акт наданих послуг.</w:t>
      </w:r>
    </w:p>
    <w:p w14:paraId="6E455C5A" w14:textId="77777777" w:rsidR="003A1FFA" w:rsidRPr="00E16672" w:rsidRDefault="00173D5D" w:rsidP="003A1FFA">
      <w:pPr>
        <w:pStyle w:val="aff5"/>
        <w:numPr>
          <w:ilvl w:val="1"/>
          <w:numId w:val="4"/>
        </w:numPr>
        <w:tabs>
          <w:tab w:val="left" w:pos="993"/>
        </w:tabs>
        <w:snapToGrid w:val="0"/>
        <w:ind w:firstLine="567"/>
        <w:contextualSpacing w:val="0"/>
        <w:rPr>
          <w:rFonts w:ascii="Times New Roman" w:hAnsi="Times New Roman"/>
          <w:szCs w:val="20"/>
          <w:lang w:val="uk-UA"/>
        </w:rPr>
      </w:pPr>
      <w:r w:rsidRPr="00E16672">
        <w:rPr>
          <w:rFonts w:ascii="Times New Roman" w:hAnsi="Times New Roman"/>
          <w:szCs w:val="20"/>
          <w:lang w:val="uk-UA"/>
        </w:rPr>
        <w:t xml:space="preserve">3.4. </w:t>
      </w:r>
      <w:r w:rsidR="003A1FFA" w:rsidRPr="00E16672">
        <w:rPr>
          <w:rFonts w:ascii="Times New Roman" w:hAnsi="Times New Roman"/>
          <w:szCs w:val="20"/>
          <w:lang w:val="uk-UA"/>
        </w:rPr>
        <w:t>Замовник зобов’язаний повернути підписаний зі свого боку акт наданих послуг протягом 14 (чотирнадцяти) календарних днів з дня його отримання.</w:t>
      </w:r>
    </w:p>
    <w:p w14:paraId="75F4D377" w14:textId="77777777" w:rsidR="003A1FFA" w:rsidRPr="00E16672" w:rsidRDefault="00173D5D" w:rsidP="003A1FFA">
      <w:pPr>
        <w:pStyle w:val="aff5"/>
        <w:numPr>
          <w:ilvl w:val="1"/>
          <w:numId w:val="4"/>
        </w:numPr>
        <w:tabs>
          <w:tab w:val="left" w:pos="993"/>
        </w:tabs>
        <w:snapToGrid w:val="0"/>
        <w:ind w:firstLine="567"/>
        <w:contextualSpacing w:val="0"/>
        <w:rPr>
          <w:rFonts w:ascii="Times New Roman" w:hAnsi="Times New Roman"/>
          <w:szCs w:val="20"/>
          <w:lang w:val="uk-UA"/>
        </w:rPr>
      </w:pPr>
      <w:r w:rsidRPr="00E16672">
        <w:rPr>
          <w:rFonts w:ascii="Times New Roman" w:hAnsi="Times New Roman"/>
          <w:szCs w:val="20"/>
          <w:lang w:val="uk-UA"/>
        </w:rPr>
        <w:t xml:space="preserve">3.5. </w:t>
      </w:r>
      <w:r w:rsidR="003A1FFA" w:rsidRPr="00E16672">
        <w:rPr>
          <w:rFonts w:ascii="Times New Roman" w:hAnsi="Times New Roman"/>
          <w:szCs w:val="20"/>
          <w:lang w:val="uk-UA"/>
        </w:rPr>
        <w:t>Зміна вартості послуг за цим Договором здійснюється за взаємною згодою сторін шляхом внесення змін та доповнень до цього Договору.</w:t>
      </w:r>
    </w:p>
    <w:p w14:paraId="4C61764A" w14:textId="77777777" w:rsidR="003A1FFA" w:rsidRPr="00E16672" w:rsidRDefault="003A1FFA" w:rsidP="003A1FFA">
      <w:pPr>
        <w:widowControl w:val="0"/>
        <w:ind w:firstLine="540"/>
        <w:jc w:val="center"/>
        <w:rPr>
          <w:rFonts w:ascii="Times New Roman" w:hAnsi="Times New Roman"/>
          <w:b/>
          <w:szCs w:val="20"/>
          <w:lang w:val="uk-UA"/>
        </w:rPr>
      </w:pPr>
      <w:r w:rsidRPr="00E16672">
        <w:rPr>
          <w:rFonts w:ascii="Times New Roman" w:hAnsi="Times New Roman"/>
          <w:b/>
          <w:szCs w:val="20"/>
          <w:lang w:val="uk-UA"/>
        </w:rPr>
        <w:t>ІV. ВІДПОВІДАЛЬНІСТЬ СТОРІН</w:t>
      </w:r>
    </w:p>
    <w:p w14:paraId="5203CAAD" w14:textId="77777777" w:rsidR="003A1FFA" w:rsidRPr="00E16672" w:rsidRDefault="003A1FFA" w:rsidP="003A1FFA">
      <w:pPr>
        <w:widowControl w:val="0"/>
        <w:ind w:firstLine="540"/>
        <w:jc w:val="center"/>
        <w:rPr>
          <w:rFonts w:ascii="Times New Roman" w:hAnsi="Times New Roman"/>
          <w:szCs w:val="20"/>
          <w:lang w:val="uk-UA"/>
        </w:rPr>
      </w:pPr>
    </w:p>
    <w:p w14:paraId="768327DC" w14:textId="77777777" w:rsidR="003A1FFA" w:rsidRPr="00E16672" w:rsidRDefault="00173D5D" w:rsidP="000D0438">
      <w:pPr>
        <w:pStyle w:val="aff5"/>
        <w:numPr>
          <w:ilvl w:val="1"/>
          <w:numId w:val="5"/>
        </w:numPr>
        <w:tabs>
          <w:tab w:val="left" w:pos="993"/>
        </w:tabs>
        <w:snapToGrid w:val="0"/>
        <w:ind w:firstLine="539"/>
        <w:contextualSpacing w:val="0"/>
        <w:rPr>
          <w:rFonts w:ascii="Times New Roman" w:hAnsi="Times New Roman"/>
          <w:szCs w:val="20"/>
          <w:lang w:val="uk-UA"/>
        </w:rPr>
      </w:pPr>
      <w:r w:rsidRPr="00E16672">
        <w:rPr>
          <w:rFonts w:ascii="Times New Roman" w:hAnsi="Times New Roman"/>
          <w:szCs w:val="20"/>
          <w:lang w:val="uk-UA"/>
        </w:rPr>
        <w:t xml:space="preserve">4.1. </w:t>
      </w:r>
      <w:r w:rsidR="003A1FFA" w:rsidRPr="00E16672">
        <w:rPr>
          <w:rFonts w:ascii="Times New Roman" w:hAnsi="Times New Roman"/>
          <w:szCs w:val="20"/>
          <w:lang w:val="uk-UA"/>
        </w:rPr>
        <w:t>За невиконання або невідповідне виконання зобов’язань, прийнятих по цьому Договору, Сторони несуть відповідальність згідно з діючим законодавством України.</w:t>
      </w:r>
    </w:p>
    <w:p w14:paraId="209D1B09" w14:textId="77777777" w:rsidR="003A1FFA" w:rsidRPr="00E16672" w:rsidRDefault="00173D5D" w:rsidP="000D0438">
      <w:pPr>
        <w:pStyle w:val="aff5"/>
        <w:numPr>
          <w:ilvl w:val="1"/>
          <w:numId w:val="5"/>
        </w:numPr>
        <w:tabs>
          <w:tab w:val="left" w:pos="993"/>
        </w:tabs>
        <w:snapToGrid w:val="0"/>
        <w:ind w:firstLine="567"/>
        <w:contextualSpacing w:val="0"/>
        <w:rPr>
          <w:rFonts w:ascii="Times New Roman" w:hAnsi="Times New Roman"/>
          <w:szCs w:val="20"/>
          <w:lang w:val="uk-UA"/>
        </w:rPr>
      </w:pPr>
      <w:r w:rsidRPr="00E16672">
        <w:rPr>
          <w:rFonts w:ascii="Times New Roman" w:hAnsi="Times New Roman"/>
          <w:szCs w:val="20"/>
          <w:lang w:val="uk-UA"/>
        </w:rPr>
        <w:t xml:space="preserve">4.2. </w:t>
      </w:r>
      <w:r w:rsidR="003A1FFA" w:rsidRPr="00E16672">
        <w:rPr>
          <w:rFonts w:ascii="Times New Roman" w:hAnsi="Times New Roman"/>
          <w:szCs w:val="20"/>
          <w:lang w:val="uk-UA"/>
        </w:rPr>
        <w:t xml:space="preserve">Виконавець не несе відповідальності за несвоєчасне  розміщення особливої інформації емітента в загальнодоступній інформаційній базі даних НКЦПФР у випадку ненадання емітентом у встановлений термін технічного </w:t>
      </w:r>
      <w:r w:rsidR="003A1FFA" w:rsidRPr="00E16672">
        <w:rPr>
          <w:rFonts w:ascii="Times New Roman" w:hAnsi="Times New Roman"/>
          <w:szCs w:val="20"/>
          <w:lang w:val="uk-UA"/>
        </w:rPr>
        <w:lastRenderedPageBreak/>
        <w:t xml:space="preserve">доступу до програмного комплексу з розміщення особливої інформації у загальнодоступній інформаційній базі даних Комісії (веб-сайт </w:t>
      </w:r>
      <w:proofErr w:type="spellStart"/>
      <w:r w:rsidR="003A1FFA" w:rsidRPr="00E16672">
        <w:rPr>
          <w:rFonts w:ascii="Times New Roman" w:hAnsi="Times New Roman"/>
          <w:szCs w:val="20"/>
          <w:lang w:val="en-US"/>
        </w:rPr>
        <w:t>stockmarket</w:t>
      </w:r>
      <w:proofErr w:type="spellEnd"/>
      <w:r w:rsidR="003A1FFA" w:rsidRPr="00E16672">
        <w:rPr>
          <w:rFonts w:ascii="Times New Roman" w:hAnsi="Times New Roman"/>
          <w:szCs w:val="20"/>
          <w:lang w:val="uk-UA"/>
        </w:rPr>
        <w:t>.</w:t>
      </w:r>
      <w:r w:rsidR="003A1FFA" w:rsidRPr="00E16672">
        <w:rPr>
          <w:rFonts w:ascii="Times New Roman" w:hAnsi="Times New Roman"/>
          <w:szCs w:val="20"/>
          <w:lang w:val="en-US"/>
        </w:rPr>
        <w:t>gov</w:t>
      </w:r>
      <w:r w:rsidR="003A1FFA" w:rsidRPr="00E16672">
        <w:rPr>
          <w:rFonts w:ascii="Times New Roman" w:hAnsi="Times New Roman"/>
          <w:szCs w:val="20"/>
          <w:lang w:val="uk-UA"/>
        </w:rPr>
        <w:t>.</w:t>
      </w:r>
      <w:proofErr w:type="spellStart"/>
      <w:r w:rsidR="003A1FFA" w:rsidRPr="00E16672">
        <w:rPr>
          <w:rFonts w:ascii="Times New Roman" w:hAnsi="Times New Roman"/>
          <w:szCs w:val="20"/>
          <w:lang w:val="en-US"/>
        </w:rPr>
        <w:t>ua</w:t>
      </w:r>
      <w:proofErr w:type="spellEnd"/>
      <w:r w:rsidR="003A1FFA" w:rsidRPr="00E16672">
        <w:rPr>
          <w:rFonts w:ascii="Times New Roman" w:hAnsi="Times New Roman"/>
          <w:szCs w:val="20"/>
          <w:lang w:val="uk-UA"/>
        </w:rPr>
        <w:t>).</w:t>
      </w:r>
    </w:p>
    <w:p w14:paraId="4622E257" w14:textId="77777777" w:rsidR="003A1FFA" w:rsidRPr="00E16672" w:rsidRDefault="00173D5D" w:rsidP="000D0438">
      <w:pPr>
        <w:pStyle w:val="aff5"/>
        <w:numPr>
          <w:ilvl w:val="1"/>
          <w:numId w:val="5"/>
        </w:numPr>
        <w:tabs>
          <w:tab w:val="left" w:pos="993"/>
        </w:tabs>
        <w:snapToGrid w:val="0"/>
        <w:ind w:firstLine="567"/>
        <w:contextualSpacing w:val="0"/>
        <w:rPr>
          <w:rFonts w:ascii="Times New Roman" w:hAnsi="Times New Roman"/>
          <w:szCs w:val="20"/>
          <w:lang w:val="uk-UA"/>
        </w:rPr>
      </w:pPr>
      <w:r w:rsidRPr="00E16672">
        <w:rPr>
          <w:rFonts w:ascii="Times New Roman" w:hAnsi="Times New Roman"/>
          <w:szCs w:val="20"/>
          <w:lang w:val="uk-UA"/>
        </w:rPr>
        <w:t xml:space="preserve">4.3. </w:t>
      </w:r>
      <w:r w:rsidR="003A1FFA" w:rsidRPr="00E16672">
        <w:rPr>
          <w:rFonts w:ascii="Times New Roman" w:hAnsi="Times New Roman"/>
          <w:szCs w:val="20"/>
          <w:lang w:val="uk-UA"/>
        </w:rPr>
        <w:t xml:space="preserve">Виконавець не несе відповідальності за несвоєчасне подання до Комісії особливої інформації емітента у випадку незабезпечення у встановлений термін підписання та відправки особливої інформації емітента до НКЦПФР </w:t>
      </w:r>
      <w:r w:rsidR="00AE695D" w:rsidRPr="00E16672">
        <w:rPr>
          <w:rFonts w:ascii="Times New Roman" w:hAnsi="Times New Roman"/>
          <w:szCs w:val="20"/>
          <w:lang w:val="uk-UA"/>
        </w:rPr>
        <w:t>кваліфікованим електронним підписом</w:t>
      </w:r>
      <w:r w:rsidR="003A1FFA" w:rsidRPr="00E16672">
        <w:rPr>
          <w:rFonts w:ascii="Times New Roman" w:hAnsi="Times New Roman"/>
          <w:szCs w:val="20"/>
          <w:lang w:val="uk-UA"/>
        </w:rPr>
        <w:t xml:space="preserve"> та </w:t>
      </w:r>
      <w:r w:rsidR="00AE695D" w:rsidRPr="00E16672">
        <w:rPr>
          <w:rFonts w:ascii="Times New Roman" w:hAnsi="Times New Roman"/>
          <w:szCs w:val="20"/>
          <w:lang w:val="uk-UA"/>
        </w:rPr>
        <w:t xml:space="preserve">кваліфікованою </w:t>
      </w:r>
      <w:r w:rsidR="003A1FFA" w:rsidRPr="00E16672">
        <w:rPr>
          <w:rFonts w:ascii="Times New Roman" w:hAnsi="Times New Roman"/>
          <w:szCs w:val="20"/>
          <w:lang w:val="uk-UA"/>
        </w:rPr>
        <w:t>печаткою емітента.</w:t>
      </w:r>
    </w:p>
    <w:p w14:paraId="4351F4AE" w14:textId="77777777" w:rsidR="003A1FFA" w:rsidRPr="00E16672" w:rsidRDefault="00173D5D" w:rsidP="000D0438">
      <w:pPr>
        <w:pStyle w:val="aff5"/>
        <w:numPr>
          <w:ilvl w:val="1"/>
          <w:numId w:val="5"/>
        </w:numPr>
        <w:tabs>
          <w:tab w:val="left" w:pos="993"/>
        </w:tabs>
        <w:snapToGrid w:val="0"/>
        <w:ind w:firstLine="539"/>
        <w:contextualSpacing w:val="0"/>
        <w:rPr>
          <w:rFonts w:ascii="Times New Roman" w:hAnsi="Times New Roman"/>
          <w:szCs w:val="20"/>
          <w:lang w:val="uk-UA"/>
        </w:rPr>
      </w:pPr>
      <w:r w:rsidRPr="00E16672">
        <w:rPr>
          <w:rFonts w:ascii="Times New Roman" w:hAnsi="Times New Roman"/>
          <w:szCs w:val="20"/>
          <w:lang w:val="uk-UA"/>
        </w:rPr>
        <w:t xml:space="preserve">4.4. </w:t>
      </w:r>
      <w:r w:rsidR="003A1FFA" w:rsidRPr="00E16672">
        <w:rPr>
          <w:rFonts w:ascii="Times New Roman" w:hAnsi="Times New Roman"/>
          <w:szCs w:val="20"/>
          <w:lang w:val="uk-UA"/>
        </w:rPr>
        <w:t>За порушення термінів оплати, передбачених цим Договором, Замовник виплачує Виконавцю пеню відповідно до чинного законодавства у розмірі подвійної облікової ставки НБУ від простроченої загальної суми виконаних операцій за кожен день прострочи.</w:t>
      </w:r>
    </w:p>
    <w:p w14:paraId="3A247F38" w14:textId="77777777" w:rsidR="003A1FFA" w:rsidRPr="00E16672" w:rsidRDefault="00173D5D" w:rsidP="000D0438">
      <w:pPr>
        <w:pStyle w:val="aff5"/>
        <w:numPr>
          <w:ilvl w:val="1"/>
          <w:numId w:val="5"/>
        </w:numPr>
        <w:tabs>
          <w:tab w:val="left" w:pos="993"/>
        </w:tabs>
        <w:snapToGrid w:val="0"/>
        <w:ind w:firstLine="539"/>
        <w:contextualSpacing w:val="0"/>
        <w:rPr>
          <w:rFonts w:ascii="Times New Roman" w:hAnsi="Times New Roman"/>
          <w:szCs w:val="20"/>
          <w:lang w:val="uk-UA"/>
        </w:rPr>
      </w:pPr>
      <w:r w:rsidRPr="00E16672">
        <w:rPr>
          <w:rFonts w:ascii="Times New Roman" w:hAnsi="Times New Roman"/>
          <w:szCs w:val="20"/>
          <w:lang w:val="uk-UA"/>
        </w:rPr>
        <w:t xml:space="preserve">4.5. </w:t>
      </w:r>
      <w:r w:rsidR="003A1FFA" w:rsidRPr="00E16672">
        <w:rPr>
          <w:rFonts w:ascii="Times New Roman" w:hAnsi="Times New Roman"/>
          <w:szCs w:val="20"/>
          <w:lang w:val="uk-UA"/>
        </w:rPr>
        <w:t xml:space="preserve">Виплата пені не звільнює Сторони від виконання обов’язків по цьому Договору та відшкодування збитків у повному обсязі. </w:t>
      </w:r>
    </w:p>
    <w:p w14:paraId="2531502D" w14:textId="77777777" w:rsidR="003A1FFA" w:rsidRPr="00E16672" w:rsidRDefault="003A1FFA" w:rsidP="003A1FFA">
      <w:pPr>
        <w:widowControl w:val="0"/>
        <w:ind w:firstLine="540"/>
        <w:jc w:val="center"/>
        <w:rPr>
          <w:rFonts w:ascii="Times New Roman" w:hAnsi="Times New Roman"/>
          <w:b/>
          <w:szCs w:val="20"/>
          <w:lang w:val="uk-UA"/>
        </w:rPr>
      </w:pPr>
      <w:r w:rsidRPr="00E16672">
        <w:rPr>
          <w:rFonts w:ascii="Times New Roman" w:hAnsi="Times New Roman"/>
          <w:b/>
          <w:szCs w:val="20"/>
          <w:lang w:val="uk-UA"/>
        </w:rPr>
        <w:t>V. ВИРІШЕННЯ СПОРІВ</w:t>
      </w:r>
    </w:p>
    <w:p w14:paraId="6FDD971A" w14:textId="77777777" w:rsidR="003A1FFA" w:rsidRPr="00E16672" w:rsidRDefault="003A1FFA" w:rsidP="003A1FFA">
      <w:pPr>
        <w:widowControl w:val="0"/>
        <w:ind w:firstLine="540"/>
        <w:jc w:val="center"/>
        <w:rPr>
          <w:rFonts w:ascii="Times New Roman" w:hAnsi="Times New Roman"/>
          <w:b/>
          <w:szCs w:val="20"/>
          <w:lang w:val="uk-UA"/>
        </w:rPr>
      </w:pPr>
    </w:p>
    <w:p w14:paraId="22FAA899" w14:textId="77777777" w:rsidR="003A1FFA" w:rsidRPr="00E16672" w:rsidRDefault="003A1FFA" w:rsidP="003A1FFA">
      <w:pPr>
        <w:widowControl w:val="0"/>
        <w:ind w:firstLine="540"/>
        <w:rPr>
          <w:rFonts w:ascii="Times New Roman" w:hAnsi="Times New Roman"/>
          <w:szCs w:val="20"/>
          <w:lang w:val="uk-UA"/>
        </w:rPr>
      </w:pPr>
      <w:r w:rsidRPr="00E16672">
        <w:rPr>
          <w:rFonts w:ascii="Times New Roman" w:hAnsi="Times New Roman"/>
          <w:szCs w:val="20"/>
          <w:lang w:val="uk-UA"/>
        </w:rPr>
        <w:t>5.1. Усі спори, які пов’язані з виконанням умов цього Договору, розв’язуються шляхом переговорів між Сторонами.</w:t>
      </w:r>
    </w:p>
    <w:p w14:paraId="0522BBA5" w14:textId="77777777" w:rsidR="003A1FFA" w:rsidRPr="00E16672" w:rsidRDefault="003A1FFA" w:rsidP="003A1FFA">
      <w:pPr>
        <w:widowControl w:val="0"/>
        <w:ind w:firstLine="540"/>
        <w:rPr>
          <w:rFonts w:ascii="Times New Roman" w:hAnsi="Times New Roman"/>
          <w:szCs w:val="20"/>
          <w:lang w:val="uk-UA"/>
        </w:rPr>
      </w:pPr>
      <w:r w:rsidRPr="00E16672">
        <w:rPr>
          <w:rFonts w:ascii="Times New Roman" w:hAnsi="Times New Roman"/>
          <w:szCs w:val="20"/>
          <w:lang w:val="uk-UA"/>
        </w:rPr>
        <w:t>5.2. У випадку неможливості досягнення домовленості, спір передається на розгляд згідно з чинним законодавством в Господарський суд.</w:t>
      </w:r>
    </w:p>
    <w:p w14:paraId="2085560D" w14:textId="77777777" w:rsidR="003A1FFA" w:rsidRPr="00E16672" w:rsidRDefault="003A1FFA" w:rsidP="003A1FFA">
      <w:pPr>
        <w:widowControl w:val="0"/>
        <w:ind w:firstLine="540"/>
        <w:jc w:val="center"/>
        <w:rPr>
          <w:rFonts w:ascii="Times New Roman" w:hAnsi="Times New Roman"/>
          <w:b/>
          <w:szCs w:val="20"/>
          <w:lang w:val="uk-UA"/>
        </w:rPr>
      </w:pPr>
    </w:p>
    <w:p w14:paraId="3642F189" w14:textId="77777777" w:rsidR="003A1FFA" w:rsidRPr="00E16672" w:rsidRDefault="003A1FFA" w:rsidP="003A1FFA">
      <w:pPr>
        <w:widowControl w:val="0"/>
        <w:ind w:firstLine="540"/>
        <w:jc w:val="center"/>
        <w:rPr>
          <w:rFonts w:ascii="Times New Roman" w:hAnsi="Times New Roman"/>
          <w:b/>
          <w:szCs w:val="20"/>
          <w:lang w:val="uk-UA"/>
        </w:rPr>
      </w:pPr>
      <w:r w:rsidRPr="00E16672">
        <w:rPr>
          <w:rFonts w:ascii="Times New Roman" w:hAnsi="Times New Roman"/>
          <w:b/>
          <w:szCs w:val="20"/>
          <w:lang w:val="uk-UA"/>
        </w:rPr>
        <w:t>VI. ІНШІ УМОВИ</w:t>
      </w:r>
    </w:p>
    <w:p w14:paraId="4138F32E" w14:textId="77777777" w:rsidR="003A1FFA" w:rsidRPr="00E16672" w:rsidRDefault="003A1FFA" w:rsidP="003A1FFA">
      <w:pPr>
        <w:widowControl w:val="0"/>
        <w:ind w:firstLine="540"/>
        <w:jc w:val="center"/>
        <w:rPr>
          <w:rFonts w:ascii="Times New Roman" w:hAnsi="Times New Roman"/>
          <w:b/>
          <w:szCs w:val="20"/>
          <w:lang w:val="uk-UA"/>
        </w:rPr>
      </w:pPr>
    </w:p>
    <w:p w14:paraId="40D60075" w14:textId="77777777" w:rsidR="003A1FFA" w:rsidRPr="00E16672" w:rsidRDefault="003A1FFA" w:rsidP="003A1FFA">
      <w:pPr>
        <w:widowControl w:val="0"/>
        <w:spacing w:line="216" w:lineRule="auto"/>
        <w:ind w:firstLine="540"/>
        <w:rPr>
          <w:rFonts w:ascii="Times New Roman" w:hAnsi="Times New Roman"/>
          <w:szCs w:val="20"/>
          <w:lang w:val="uk-UA"/>
        </w:rPr>
      </w:pPr>
      <w:r w:rsidRPr="00E16672">
        <w:rPr>
          <w:rFonts w:ascii="Times New Roman" w:hAnsi="Times New Roman"/>
          <w:szCs w:val="20"/>
          <w:lang w:val="uk-UA"/>
        </w:rPr>
        <w:t>6.1. Цей Договір набуває чинності з моменту його підписання та діє до виконання Сторонами своїх зобов’язань.</w:t>
      </w:r>
    </w:p>
    <w:p w14:paraId="6CDC4CB0" w14:textId="77777777" w:rsidR="003A1FFA" w:rsidRPr="00E16672" w:rsidRDefault="003A1FFA" w:rsidP="003A1FFA">
      <w:pPr>
        <w:widowControl w:val="0"/>
        <w:spacing w:line="216" w:lineRule="auto"/>
        <w:ind w:firstLine="540"/>
        <w:rPr>
          <w:rFonts w:ascii="Times New Roman" w:hAnsi="Times New Roman"/>
          <w:szCs w:val="20"/>
          <w:lang w:val="uk-UA"/>
        </w:rPr>
      </w:pPr>
      <w:r w:rsidRPr="00E16672">
        <w:rPr>
          <w:rFonts w:ascii="Times New Roman" w:hAnsi="Times New Roman"/>
          <w:szCs w:val="20"/>
          <w:lang w:val="uk-UA"/>
        </w:rPr>
        <w:t>6.2. Цей Договір складений у двох примірниках, які мають однакову юридичну силу, один – для Замовника, а другий – для Виконавця.</w:t>
      </w:r>
    </w:p>
    <w:p w14:paraId="5A76E104" w14:textId="77777777" w:rsidR="00F864F1" w:rsidRDefault="003A1FFA" w:rsidP="00F864F1">
      <w:pPr>
        <w:widowControl w:val="0"/>
        <w:spacing w:line="216" w:lineRule="auto"/>
        <w:ind w:firstLine="540"/>
        <w:rPr>
          <w:rFonts w:ascii="Times New Roman" w:hAnsi="Times New Roman"/>
          <w:szCs w:val="20"/>
          <w:lang w:val="uk-UA"/>
        </w:rPr>
      </w:pPr>
      <w:r w:rsidRPr="00E16672">
        <w:rPr>
          <w:rFonts w:ascii="Times New Roman" w:hAnsi="Times New Roman"/>
          <w:szCs w:val="20"/>
          <w:lang w:val="uk-UA"/>
        </w:rPr>
        <w:t>6.3. Дію цього Договору може бути припинено за узгодженням сторін згідно з чинним законодавством України</w:t>
      </w:r>
      <w:r w:rsidR="00F864F1">
        <w:rPr>
          <w:rFonts w:ascii="Times New Roman" w:hAnsi="Times New Roman"/>
          <w:szCs w:val="20"/>
          <w:lang w:val="uk-UA"/>
        </w:rPr>
        <w:t>.</w:t>
      </w:r>
    </w:p>
    <w:p w14:paraId="1DA331A5" w14:textId="77777777" w:rsidR="003A1FFA" w:rsidRPr="00E16672" w:rsidRDefault="003A1FFA" w:rsidP="00F864F1">
      <w:pPr>
        <w:widowControl w:val="0"/>
        <w:spacing w:line="216" w:lineRule="auto"/>
        <w:ind w:firstLine="540"/>
        <w:rPr>
          <w:rFonts w:ascii="Times New Roman" w:hAnsi="Times New Roman"/>
          <w:szCs w:val="20"/>
          <w:lang w:val="uk-UA"/>
        </w:rPr>
      </w:pPr>
      <w:r w:rsidRPr="00E16672">
        <w:rPr>
          <w:rFonts w:ascii="Times New Roman" w:hAnsi="Times New Roman"/>
          <w:szCs w:val="20"/>
          <w:lang w:val="uk-UA"/>
        </w:rPr>
        <w:t>6.4.</w:t>
      </w:r>
      <w:r w:rsidRPr="00E16672">
        <w:rPr>
          <w:rFonts w:ascii="Times New Roman" w:hAnsi="Times New Roman"/>
          <w:szCs w:val="20"/>
          <w:lang w:val="uk-UA"/>
        </w:rPr>
        <w:tab/>
        <w:t>Замовник є платником податків на прибуток на загальних умовах  у відповідності до Податкового Кодексу України,</w:t>
      </w:r>
    </w:p>
    <w:p w14:paraId="18B43C98" w14:textId="77777777" w:rsidR="003A1FFA" w:rsidRPr="00E16672" w:rsidRDefault="003A1FFA" w:rsidP="003A1FFA">
      <w:pPr>
        <w:widowControl w:val="0"/>
        <w:tabs>
          <w:tab w:val="left" w:pos="851"/>
          <w:tab w:val="left" w:pos="993"/>
        </w:tabs>
        <w:spacing w:line="216" w:lineRule="auto"/>
        <w:rPr>
          <w:rFonts w:ascii="Times New Roman" w:hAnsi="Times New Roman"/>
          <w:szCs w:val="20"/>
          <w:lang w:val="uk-UA"/>
        </w:rPr>
      </w:pPr>
      <w:r w:rsidRPr="00E16672">
        <w:rPr>
          <w:rFonts w:ascii="Times New Roman" w:hAnsi="Times New Roman"/>
          <w:szCs w:val="20"/>
          <w:lang w:val="uk-UA"/>
        </w:rPr>
        <w:t>6.5.</w:t>
      </w:r>
      <w:r w:rsidRPr="00E16672">
        <w:rPr>
          <w:rFonts w:ascii="Times New Roman" w:hAnsi="Times New Roman"/>
          <w:szCs w:val="20"/>
          <w:lang w:val="uk-UA"/>
        </w:rPr>
        <w:tab/>
        <w:t>Виконавець є платником податків на прибуток на загальних умовах  у відповідності до Податкового Кодексу України.</w:t>
      </w:r>
    </w:p>
    <w:p w14:paraId="558548CB" w14:textId="77777777" w:rsidR="006D2BB7" w:rsidRPr="00E16672" w:rsidRDefault="003A1FFA" w:rsidP="003A1FFA">
      <w:pPr>
        <w:pStyle w:val="1"/>
        <w:tabs>
          <w:tab w:val="left" w:pos="0"/>
          <w:tab w:val="left" w:pos="720"/>
        </w:tabs>
        <w:jc w:val="left"/>
        <w:rPr>
          <w:rFonts w:ascii="Times New Roman" w:hAnsi="Times New Roman" w:cs="Times New Roman"/>
          <w:b w:val="0"/>
          <w:color w:val="000000"/>
          <w:sz w:val="20"/>
          <w:szCs w:val="20"/>
          <w:lang w:val="uk-UA"/>
        </w:rPr>
      </w:pPr>
      <w:r w:rsidRPr="00E16672">
        <w:rPr>
          <w:rFonts w:ascii="Times New Roman" w:hAnsi="Times New Roman" w:cs="Times New Roman"/>
          <w:b w:val="0"/>
          <w:sz w:val="20"/>
          <w:szCs w:val="20"/>
          <w:lang w:val="uk-UA"/>
        </w:rPr>
        <w:t>6.6.Сторони підтверджують, що до укладання цього Договору Замовнику була надана інформація про фінансову послугу, що пропонується надати клієнту, із зазначенням вартості цієї послуги для клієнта, якщо інше не передбачено законами з питань регулювання окремих ринків фінансових послуг; умови надання додаткових фінансових послуг та їх вартість; порядок сплати податків і зборів за рахунок фізичної особи в результаті отримання фінансової послуги; правові наслідки та порядок здійснення розрахунків з фізичною особою внаслідок дострокового припинення надання фінансової послуги; механізм захисту фінансовою установою прав споживачів та порядок урегулювання спірних питань, що виникають у процесі надання фінансової послуги; реквізити органу, який здійснює державне регулювання ринків фінансових послуг (адреса, номер телефону тощо), а також реквізити органів з питань захисту прав споживачів; розмір винагороди фінансової установи у разі, коли вона пропонує фінансові послуги, що надаються іншими фінансовими установами.</w:t>
      </w:r>
    </w:p>
    <w:p w14:paraId="754668B6" w14:textId="77777777" w:rsidR="003A1FFA" w:rsidRPr="00E16672" w:rsidRDefault="003A1FFA" w:rsidP="006D2BB7">
      <w:pPr>
        <w:pStyle w:val="1"/>
        <w:tabs>
          <w:tab w:val="left" w:pos="0"/>
          <w:tab w:val="left" w:pos="720"/>
        </w:tabs>
        <w:rPr>
          <w:rFonts w:ascii="Times New Roman" w:hAnsi="Times New Roman" w:cs="Times New Roman"/>
          <w:color w:val="000000"/>
          <w:sz w:val="20"/>
          <w:szCs w:val="20"/>
          <w:lang w:val="uk-UA"/>
        </w:rPr>
      </w:pPr>
    </w:p>
    <w:p w14:paraId="292C0D92" w14:textId="77777777" w:rsidR="005D35AE" w:rsidRPr="00E16672" w:rsidRDefault="005D35AE" w:rsidP="005D35AE">
      <w:pPr>
        <w:pStyle w:val="1"/>
        <w:tabs>
          <w:tab w:val="left" w:pos="0"/>
          <w:tab w:val="left" w:pos="720"/>
        </w:tabs>
        <w:rPr>
          <w:rFonts w:ascii="Times New Roman" w:hAnsi="Times New Roman" w:cs="Times New Roman"/>
          <w:color w:val="000000"/>
          <w:sz w:val="20"/>
          <w:szCs w:val="20"/>
        </w:rPr>
      </w:pPr>
      <w:r w:rsidRPr="00E16672">
        <w:rPr>
          <w:rFonts w:ascii="Times New Roman" w:hAnsi="Times New Roman" w:cs="Times New Roman"/>
          <w:color w:val="000000"/>
          <w:sz w:val="20"/>
          <w:szCs w:val="20"/>
        </w:rPr>
        <w:t>VI</w:t>
      </w:r>
      <w:r w:rsidRPr="00E16672">
        <w:rPr>
          <w:rFonts w:ascii="Times New Roman" w:hAnsi="Times New Roman" w:cs="Times New Roman"/>
          <w:color w:val="000000"/>
          <w:sz w:val="20"/>
          <w:szCs w:val="20"/>
          <w:lang w:val="en-US"/>
        </w:rPr>
        <w:t>I</w:t>
      </w:r>
      <w:r w:rsidRPr="00E16672">
        <w:rPr>
          <w:rFonts w:ascii="Times New Roman" w:hAnsi="Times New Roman" w:cs="Times New Roman"/>
          <w:color w:val="000000"/>
          <w:sz w:val="20"/>
          <w:szCs w:val="20"/>
        </w:rPr>
        <w:t>. РЕКВІЗИТИ СТОРІН</w:t>
      </w:r>
    </w:p>
    <w:p w14:paraId="1A1172D5" w14:textId="77777777" w:rsidR="005D35AE" w:rsidRPr="00E16672" w:rsidRDefault="005D35AE" w:rsidP="005D35AE">
      <w:pPr>
        <w:rPr>
          <w:rFonts w:ascii="Times New Roman" w:hAnsi="Times New Roman"/>
          <w:color w:val="0000FF"/>
          <w:szCs w:val="20"/>
        </w:rPr>
      </w:pPr>
    </w:p>
    <w:tbl>
      <w:tblPr>
        <w:tblW w:w="11000" w:type="dxa"/>
        <w:tblInd w:w="55" w:type="dxa"/>
        <w:tblLayout w:type="fixed"/>
        <w:tblCellMar>
          <w:top w:w="55" w:type="dxa"/>
          <w:left w:w="55" w:type="dxa"/>
          <w:bottom w:w="55" w:type="dxa"/>
          <w:right w:w="55" w:type="dxa"/>
        </w:tblCellMar>
        <w:tblLook w:val="0000" w:firstRow="0" w:lastRow="0" w:firstColumn="0" w:lastColumn="0" w:noHBand="0" w:noVBand="0"/>
      </w:tblPr>
      <w:tblGrid>
        <w:gridCol w:w="2413"/>
        <w:gridCol w:w="934"/>
        <w:gridCol w:w="1480"/>
        <w:gridCol w:w="341"/>
        <w:gridCol w:w="2715"/>
        <w:gridCol w:w="709"/>
        <w:gridCol w:w="1488"/>
        <w:gridCol w:w="71"/>
        <w:gridCol w:w="849"/>
      </w:tblGrid>
      <w:tr w:rsidR="005D35AE" w:rsidRPr="00E16672" w14:paraId="1607A93A" w14:textId="77777777" w:rsidTr="00C922B4">
        <w:trPr>
          <w:gridAfter w:val="2"/>
          <w:wAfter w:w="920" w:type="dxa"/>
        </w:trPr>
        <w:tc>
          <w:tcPr>
            <w:tcW w:w="4827" w:type="dxa"/>
            <w:gridSpan w:val="3"/>
            <w:shd w:val="clear" w:color="auto" w:fill="auto"/>
          </w:tcPr>
          <w:p w14:paraId="2A6F1239" w14:textId="77777777" w:rsidR="005D35AE" w:rsidRPr="00E16672" w:rsidRDefault="005D35AE" w:rsidP="00C922B4">
            <w:pPr>
              <w:pStyle w:val="4"/>
              <w:keepNext w:val="0"/>
              <w:tabs>
                <w:tab w:val="clear" w:pos="-501"/>
                <w:tab w:val="num" w:pos="0"/>
              </w:tabs>
              <w:snapToGrid w:val="0"/>
              <w:ind w:left="-57" w:right="-57" w:firstLine="0"/>
              <w:jc w:val="both"/>
              <w:rPr>
                <w:rFonts w:ascii="Times New Roman" w:hAnsi="Times New Roman"/>
                <w:sz w:val="20"/>
              </w:rPr>
            </w:pPr>
            <w:r w:rsidRPr="00E16672">
              <w:rPr>
                <w:rFonts w:ascii="Times New Roman" w:hAnsi="Times New Roman"/>
                <w:bCs/>
                <w:color w:val="000000"/>
                <w:sz w:val="18"/>
                <w:szCs w:val="18"/>
              </w:rPr>
              <w:t>Замовник:</w:t>
            </w:r>
          </w:p>
        </w:tc>
        <w:tc>
          <w:tcPr>
            <w:tcW w:w="341" w:type="dxa"/>
            <w:shd w:val="clear" w:color="auto" w:fill="auto"/>
          </w:tcPr>
          <w:p w14:paraId="021ADB12" w14:textId="77777777" w:rsidR="005D35AE" w:rsidRPr="00E16672" w:rsidRDefault="005D35AE" w:rsidP="00C922B4">
            <w:pPr>
              <w:pStyle w:val="af7"/>
              <w:snapToGrid w:val="0"/>
              <w:rPr>
                <w:rFonts w:ascii="Times New Roman" w:hAnsi="Times New Roman"/>
                <w:szCs w:val="20"/>
              </w:rPr>
            </w:pPr>
          </w:p>
        </w:tc>
        <w:tc>
          <w:tcPr>
            <w:tcW w:w="4912" w:type="dxa"/>
            <w:gridSpan w:val="3"/>
            <w:shd w:val="clear" w:color="auto" w:fill="auto"/>
          </w:tcPr>
          <w:p w14:paraId="5B52E428" w14:textId="77777777" w:rsidR="005D35AE" w:rsidRPr="00E16672" w:rsidRDefault="005D35AE" w:rsidP="00C922B4">
            <w:pPr>
              <w:pStyle w:val="western"/>
              <w:snapToGrid w:val="0"/>
              <w:spacing w:before="0" w:after="0"/>
              <w:ind w:left="-57" w:right="-57"/>
              <w:jc w:val="both"/>
              <w:rPr>
                <w:rFonts w:ascii="Times New Roman" w:hAnsi="Times New Roman"/>
                <w:szCs w:val="20"/>
              </w:rPr>
            </w:pPr>
            <w:r w:rsidRPr="00E16672">
              <w:rPr>
                <w:rFonts w:ascii="Times New Roman" w:hAnsi="Times New Roman"/>
                <w:color w:val="000000"/>
                <w:szCs w:val="20"/>
                <w:lang w:val="en-US"/>
              </w:rPr>
              <w:t xml:space="preserve"> </w:t>
            </w:r>
            <w:r w:rsidRPr="00E16672">
              <w:rPr>
                <w:rFonts w:ascii="Times New Roman" w:hAnsi="Times New Roman"/>
                <w:color w:val="000000"/>
                <w:szCs w:val="20"/>
                <w:lang w:val="uk-UA"/>
              </w:rPr>
              <w:t>Виконавець</w:t>
            </w:r>
            <w:r w:rsidRPr="00E16672">
              <w:rPr>
                <w:rFonts w:ascii="Times New Roman" w:hAnsi="Times New Roman"/>
                <w:color w:val="000000"/>
                <w:szCs w:val="20"/>
              </w:rPr>
              <w:t>:</w:t>
            </w:r>
          </w:p>
        </w:tc>
      </w:tr>
      <w:tr w:rsidR="005D35AE" w:rsidRPr="00E16672" w14:paraId="34731A02" w14:textId="77777777" w:rsidTr="00C922B4">
        <w:trPr>
          <w:gridAfter w:val="2"/>
          <w:wAfter w:w="920" w:type="dxa"/>
        </w:trPr>
        <w:tc>
          <w:tcPr>
            <w:tcW w:w="4827" w:type="dxa"/>
            <w:gridSpan w:val="3"/>
            <w:shd w:val="clear" w:color="auto" w:fill="auto"/>
          </w:tcPr>
          <w:p w14:paraId="3EF3E69E" w14:textId="77777777" w:rsidR="005D35AE" w:rsidRPr="00E16672" w:rsidRDefault="005D35AE" w:rsidP="00C922B4">
            <w:pPr>
              <w:pStyle w:val="western"/>
              <w:snapToGrid w:val="0"/>
              <w:spacing w:before="0" w:after="0"/>
              <w:ind w:left="-57" w:right="-57"/>
              <w:jc w:val="both"/>
              <w:rPr>
                <w:rFonts w:ascii="Times New Roman" w:hAnsi="Times New Roman"/>
                <w:i/>
                <w:iCs/>
                <w:szCs w:val="20"/>
              </w:rPr>
            </w:pPr>
            <w:proofErr w:type="spellStart"/>
            <w:r w:rsidRPr="00E16672">
              <w:rPr>
                <w:rFonts w:ascii="Times New Roman" w:hAnsi="Times New Roman"/>
                <w:i/>
                <w:iCs/>
                <w:szCs w:val="20"/>
              </w:rPr>
              <w:t>Повне</w:t>
            </w:r>
            <w:proofErr w:type="spellEnd"/>
            <w:r w:rsidRPr="00E16672">
              <w:rPr>
                <w:rFonts w:ascii="Times New Roman" w:hAnsi="Times New Roman"/>
                <w:i/>
                <w:iCs/>
                <w:szCs w:val="20"/>
              </w:rPr>
              <w:t xml:space="preserve"> </w:t>
            </w:r>
            <w:proofErr w:type="spellStart"/>
            <w:r w:rsidRPr="00E16672">
              <w:rPr>
                <w:rFonts w:ascii="Times New Roman" w:hAnsi="Times New Roman"/>
                <w:i/>
                <w:iCs/>
                <w:szCs w:val="20"/>
              </w:rPr>
              <w:t>найменування</w:t>
            </w:r>
            <w:proofErr w:type="spellEnd"/>
            <w:r w:rsidRPr="00E16672">
              <w:rPr>
                <w:rFonts w:ascii="Times New Roman" w:hAnsi="Times New Roman"/>
                <w:i/>
                <w:iCs/>
                <w:szCs w:val="20"/>
              </w:rPr>
              <w:t xml:space="preserve"> </w:t>
            </w:r>
          </w:p>
        </w:tc>
        <w:tc>
          <w:tcPr>
            <w:tcW w:w="341" w:type="dxa"/>
            <w:shd w:val="clear" w:color="auto" w:fill="auto"/>
          </w:tcPr>
          <w:p w14:paraId="2DE31F5B" w14:textId="77777777" w:rsidR="005D35AE" w:rsidRPr="00E16672" w:rsidRDefault="005D35AE" w:rsidP="00C922B4">
            <w:pPr>
              <w:pStyle w:val="af7"/>
              <w:snapToGrid w:val="0"/>
              <w:rPr>
                <w:rFonts w:ascii="Times New Roman" w:hAnsi="Times New Roman"/>
                <w:szCs w:val="20"/>
              </w:rPr>
            </w:pPr>
          </w:p>
        </w:tc>
        <w:tc>
          <w:tcPr>
            <w:tcW w:w="4912" w:type="dxa"/>
            <w:gridSpan w:val="3"/>
            <w:shd w:val="clear" w:color="auto" w:fill="auto"/>
          </w:tcPr>
          <w:p w14:paraId="7D36A55F" w14:textId="77777777" w:rsidR="005D35AE" w:rsidRPr="00E16672" w:rsidRDefault="005D35AE" w:rsidP="00C922B4">
            <w:pPr>
              <w:pStyle w:val="western"/>
              <w:snapToGrid w:val="0"/>
              <w:spacing w:before="0" w:after="0"/>
              <w:ind w:left="57" w:right="57"/>
              <w:jc w:val="both"/>
              <w:rPr>
                <w:rFonts w:ascii="Times New Roman" w:hAnsi="Times New Roman"/>
                <w:i/>
                <w:iCs/>
                <w:szCs w:val="20"/>
                <w:lang w:val="uk-UA"/>
              </w:rPr>
            </w:pPr>
            <w:r w:rsidRPr="00E16672">
              <w:rPr>
                <w:rFonts w:ascii="Times New Roman" w:hAnsi="Times New Roman"/>
                <w:i/>
                <w:iCs/>
                <w:szCs w:val="20"/>
                <w:lang w:val="uk-UA"/>
              </w:rPr>
              <w:t>Повне найменування</w:t>
            </w:r>
          </w:p>
        </w:tc>
      </w:tr>
      <w:tr w:rsidR="005D35AE" w:rsidRPr="00E16672" w14:paraId="34E40021" w14:textId="77777777" w:rsidTr="00C922B4">
        <w:trPr>
          <w:gridAfter w:val="2"/>
          <w:wAfter w:w="920" w:type="dxa"/>
        </w:trPr>
        <w:tc>
          <w:tcPr>
            <w:tcW w:w="4827" w:type="dxa"/>
            <w:gridSpan w:val="3"/>
            <w:shd w:val="clear" w:color="auto" w:fill="auto"/>
          </w:tcPr>
          <w:p w14:paraId="3EB9992A" w14:textId="77777777" w:rsidR="005D35AE" w:rsidRPr="00E16672" w:rsidRDefault="005D35AE" w:rsidP="00C922B4">
            <w:pPr>
              <w:pStyle w:val="western"/>
              <w:snapToGrid w:val="0"/>
              <w:spacing w:before="0" w:after="0"/>
              <w:ind w:left="-57" w:right="-57"/>
              <w:jc w:val="both"/>
              <w:rPr>
                <w:rFonts w:ascii="Times New Roman" w:hAnsi="Times New Roman"/>
                <w:szCs w:val="20"/>
              </w:rPr>
            </w:pPr>
          </w:p>
        </w:tc>
        <w:tc>
          <w:tcPr>
            <w:tcW w:w="341" w:type="dxa"/>
            <w:shd w:val="clear" w:color="auto" w:fill="auto"/>
          </w:tcPr>
          <w:p w14:paraId="7135C34F" w14:textId="77777777" w:rsidR="005D35AE" w:rsidRPr="00E16672" w:rsidRDefault="005D35AE" w:rsidP="00C922B4">
            <w:pPr>
              <w:pStyle w:val="af7"/>
              <w:snapToGrid w:val="0"/>
              <w:rPr>
                <w:rFonts w:ascii="Times New Roman" w:hAnsi="Times New Roman"/>
                <w:b/>
                <w:szCs w:val="20"/>
              </w:rPr>
            </w:pPr>
          </w:p>
        </w:tc>
        <w:tc>
          <w:tcPr>
            <w:tcW w:w="4912" w:type="dxa"/>
            <w:gridSpan w:val="3"/>
            <w:shd w:val="clear" w:color="auto" w:fill="auto"/>
            <w:vAlign w:val="center"/>
          </w:tcPr>
          <w:p w14:paraId="3692B2D9" w14:textId="77777777" w:rsidR="005D35AE" w:rsidRPr="00E16672" w:rsidRDefault="005D35AE" w:rsidP="00022F5F">
            <w:pPr>
              <w:pStyle w:val="4"/>
              <w:tabs>
                <w:tab w:val="clear" w:pos="-501"/>
                <w:tab w:val="num" w:pos="0"/>
              </w:tabs>
              <w:snapToGrid w:val="0"/>
              <w:ind w:left="57" w:right="57" w:firstLine="0"/>
              <w:jc w:val="left"/>
              <w:rPr>
                <w:rFonts w:ascii="Times New Roman" w:hAnsi="Times New Roman"/>
                <w:bCs/>
                <w:sz w:val="20"/>
              </w:rPr>
            </w:pPr>
            <w:r w:rsidRPr="00E16672">
              <w:rPr>
                <w:rFonts w:ascii="Times New Roman" w:hAnsi="Times New Roman"/>
                <w:b w:val="0"/>
                <w:sz w:val="18"/>
                <w:szCs w:val="18"/>
              </w:rPr>
              <w:t xml:space="preserve">ТОВАРИСТВО З ОБМЕЖЕНОЮ ВІДПОВІДАЛЬНІСТЮ </w:t>
            </w:r>
            <w:r w:rsidR="00022F5F">
              <w:rPr>
                <w:rFonts w:ascii="Times New Roman" w:hAnsi="Times New Roman"/>
                <w:b w:val="0"/>
                <w:sz w:val="18"/>
                <w:szCs w:val="18"/>
              </w:rPr>
              <w:t>"</w:t>
            </w:r>
            <w:r w:rsidR="00E16672" w:rsidRPr="00E16672">
              <w:rPr>
                <w:rFonts w:ascii="Times New Roman" w:hAnsi="Times New Roman"/>
                <w:b w:val="0"/>
                <w:sz w:val="18"/>
                <w:szCs w:val="18"/>
              </w:rPr>
              <w:t>КОМЕКС ЦІННІ ПАПЕРИ</w:t>
            </w:r>
            <w:r w:rsidR="00022F5F">
              <w:rPr>
                <w:rFonts w:ascii="Times New Roman" w:hAnsi="Times New Roman"/>
                <w:b w:val="0"/>
                <w:sz w:val="18"/>
                <w:szCs w:val="18"/>
              </w:rPr>
              <w:t>"</w:t>
            </w:r>
          </w:p>
        </w:tc>
      </w:tr>
      <w:tr w:rsidR="005D35AE" w:rsidRPr="00E16672" w14:paraId="3BCEE337" w14:textId="77777777" w:rsidTr="00C922B4">
        <w:trPr>
          <w:gridAfter w:val="2"/>
          <w:wAfter w:w="920" w:type="dxa"/>
        </w:trPr>
        <w:tc>
          <w:tcPr>
            <w:tcW w:w="4827" w:type="dxa"/>
            <w:gridSpan w:val="3"/>
            <w:shd w:val="clear" w:color="auto" w:fill="auto"/>
          </w:tcPr>
          <w:p w14:paraId="29E5CEE7" w14:textId="77777777" w:rsidR="005D35AE" w:rsidRPr="00E16672" w:rsidRDefault="005D35AE" w:rsidP="00C922B4">
            <w:pPr>
              <w:pStyle w:val="3"/>
              <w:tabs>
                <w:tab w:val="clear" w:pos="-501"/>
                <w:tab w:val="num" w:pos="0"/>
              </w:tabs>
              <w:snapToGrid w:val="0"/>
              <w:spacing w:before="0" w:after="0"/>
              <w:ind w:left="-57" w:right="-57" w:firstLine="0"/>
              <w:rPr>
                <w:rFonts w:ascii="Times New Roman" w:hAnsi="Times New Roman" w:cs="Times New Roman"/>
                <w:i/>
                <w:iCs/>
                <w:sz w:val="20"/>
                <w:szCs w:val="20"/>
              </w:rPr>
            </w:pPr>
            <w:r w:rsidRPr="00E16672">
              <w:rPr>
                <w:rFonts w:ascii="Times New Roman" w:hAnsi="Times New Roman" w:cs="Times New Roman"/>
                <w:i/>
                <w:iCs/>
                <w:sz w:val="20"/>
                <w:szCs w:val="20"/>
              </w:rPr>
              <w:t>Ідентифікаційний код юридичної особи</w:t>
            </w:r>
          </w:p>
          <w:p w14:paraId="703F3062" w14:textId="77777777" w:rsidR="005D35AE" w:rsidRPr="00E16672" w:rsidRDefault="005D35AE" w:rsidP="00C922B4">
            <w:pPr>
              <w:pStyle w:val="3"/>
              <w:tabs>
                <w:tab w:val="clear" w:pos="-501"/>
                <w:tab w:val="num" w:pos="0"/>
              </w:tabs>
              <w:snapToGrid w:val="0"/>
              <w:spacing w:before="0" w:after="0"/>
              <w:ind w:left="-57" w:right="-57" w:firstLine="0"/>
              <w:rPr>
                <w:rFonts w:ascii="Times New Roman" w:hAnsi="Times New Roman" w:cs="Times New Roman"/>
                <w:i/>
                <w:iCs/>
                <w:sz w:val="20"/>
                <w:szCs w:val="20"/>
              </w:rPr>
            </w:pPr>
            <w:r w:rsidRPr="00E16672">
              <w:rPr>
                <w:rFonts w:ascii="Times New Roman" w:hAnsi="Times New Roman" w:cs="Times New Roman"/>
                <w:i/>
                <w:iCs/>
                <w:sz w:val="20"/>
                <w:szCs w:val="20"/>
              </w:rPr>
              <w:t>(код за ЄДРПОУ)</w:t>
            </w:r>
          </w:p>
        </w:tc>
        <w:tc>
          <w:tcPr>
            <w:tcW w:w="341" w:type="dxa"/>
            <w:shd w:val="clear" w:color="auto" w:fill="auto"/>
          </w:tcPr>
          <w:p w14:paraId="43300FD8" w14:textId="77777777" w:rsidR="005D35AE" w:rsidRPr="00E16672" w:rsidRDefault="005D35AE" w:rsidP="00C922B4">
            <w:pPr>
              <w:pStyle w:val="af7"/>
              <w:snapToGrid w:val="0"/>
              <w:rPr>
                <w:rFonts w:ascii="Times New Roman" w:hAnsi="Times New Roman"/>
                <w:szCs w:val="20"/>
              </w:rPr>
            </w:pPr>
          </w:p>
        </w:tc>
        <w:tc>
          <w:tcPr>
            <w:tcW w:w="4912" w:type="dxa"/>
            <w:gridSpan w:val="3"/>
            <w:shd w:val="clear" w:color="auto" w:fill="auto"/>
            <w:vAlign w:val="center"/>
          </w:tcPr>
          <w:p w14:paraId="25DCAF35" w14:textId="77777777" w:rsidR="005D35AE" w:rsidRPr="00E16672" w:rsidRDefault="005D35AE" w:rsidP="00C922B4">
            <w:pPr>
              <w:pStyle w:val="3"/>
              <w:numPr>
                <w:ilvl w:val="0"/>
                <w:numId w:val="0"/>
              </w:numPr>
              <w:snapToGrid w:val="0"/>
              <w:spacing w:before="0" w:after="0"/>
              <w:ind w:left="15" w:right="219"/>
              <w:jc w:val="left"/>
              <w:rPr>
                <w:rFonts w:ascii="Times New Roman" w:hAnsi="Times New Roman" w:cs="Times New Roman"/>
                <w:i/>
                <w:color w:val="000000"/>
                <w:sz w:val="18"/>
                <w:szCs w:val="18"/>
              </w:rPr>
            </w:pPr>
            <w:r w:rsidRPr="00E16672">
              <w:rPr>
                <w:rFonts w:ascii="Times New Roman" w:hAnsi="Times New Roman" w:cs="Times New Roman"/>
                <w:i/>
                <w:color w:val="000000"/>
                <w:sz w:val="18"/>
                <w:szCs w:val="18"/>
              </w:rPr>
              <w:t>Ідентифікаційний код юридичної особи</w:t>
            </w:r>
          </w:p>
          <w:p w14:paraId="1E3A40A6" w14:textId="77777777" w:rsidR="005D35AE" w:rsidRPr="00E16672" w:rsidRDefault="005D35AE" w:rsidP="00C922B4">
            <w:pPr>
              <w:pStyle w:val="3"/>
              <w:tabs>
                <w:tab w:val="clear" w:pos="-501"/>
                <w:tab w:val="num" w:pos="0"/>
              </w:tabs>
              <w:snapToGrid w:val="0"/>
              <w:spacing w:before="0" w:after="0"/>
              <w:ind w:left="57" w:right="57" w:firstLine="0"/>
              <w:jc w:val="left"/>
              <w:rPr>
                <w:rFonts w:ascii="Times New Roman" w:hAnsi="Times New Roman" w:cs="Times New Roman"/>
                <w:i/>
                <w:iCs/>
                <w:sz w:val="20"/>
                <w:szCs w:val="20"/>
              </w:rPr>
            </w:pPr>
            <w:r w:rsidRPr="00E16672">
              <w:rPr>
                <w:rFonts w:ascii="Times New Roman" w:hAnsi="Times New Roman" w:cs="Times New Roman"/>
                <w:b w:val="0"/>
                <w:i/>
                <w:color w:val="000000"/>
                <w:sz w:val="18"/>
                <w:szCs w:val="18"/>
              </w:rPr>
              <w:t>(код за ЄДРПОУ)</w:t>
            </w:r>
          </w:p>
        </w:tc>
      </w:tr>
      <w:tr w:rsidR="005D35AE" w:rsidRPr="00E16672" w14:paraId="1DD1FAFF" w14:textId="77777777" w:rsidTr="00C922B4">
        <w:trPr>
          <w:gridAfter w:val="2"/>
          <w:wAfter w:w="920" w:type="dxa"/>
        </w:trPr>
        <w:tc>
          <w:tcPr>
            <w:tcW w:w="4827" w:type="dxa"/>
            <w:gridSpan w:val="3"/>
            <w:shd w:val="clear" w:color="auto" w:fill="auto"/>
          </w:tcPr>
          <w:p w14:paraId="0AEF96B1" w14:textId="77777777" w:rsidR="005D35AE" w:rsidRPr="00E16672" w:rsidRDefault="005D35AE" w:rsidP="00C922B4">
            <w:pPr>
              <w:pStyle w:val="af7"/>
              <w:snapToGrid w:val="0"/>
              <w:rPr>
                <w:rFonts w:ascii="Times New Roman" w:hAnsi="Times New Roman"/>
                <w:color w:val="000000"/>
                <w:szCs w:val="20"/>
              </w:rPr>
            </w:pPr>
          </w:p>
        </w:tc>
        <w:tc>
          <w:tcPr>
            <w:tcW w:w="341" w:type="dxa"/>
            <w:shd w:val="clear" w:color="auto" w:fill="auto"/>
          </w:tcPr>
          <w:p w14:paraId="2474B262" w14:textId="77777777" w:rsidR="005D35AE" w:rsidRPr="00E16672" w:rsidRDefault="005D35AE" w:rsidP="00C922B4">
            <w:pPr>
              <w:pStyle w:val="af7"/>
              <w:snapToGrid w:val="0"/>
              <w:rPr>
                <w:rFonts w:ascii="Times New Roman" w:hAnsi="Times New Roman"/>
                <w:color w:val="000000"/>
                <w:szCs w:val="20"/>
              </w:rPr>
            </w:pPr>
          </w:p>
        </w:tc>
        <w:tc>
          <w:tcPr>
            <w:tcW w:w="4912" w:type="dxa"/>
            <w:gridSpan w:val="3"/>
            <w:shd w:val="clear" w:color="auto" w:fill="auto"/>
            <w:vAlign w:val="center"/>
          </w:tcPr>
          <w:p w14:paraId="2BEC2847" w14:textId="77777777" w:rsidR="005D35AE" w:rsidRPr="00E16672" w:rsidRDefault="00E16672" w:rsidP="00C922B4">
            <w:pPr>
              <w:pStyle w:val="3"/>
              <w:tabs>
                <w:tab w:val="clear" w:pos="-501"/>
                <w:tab w:val="num" w:pos="0"/>
              </w:tabs>
              <w:snapToGrid w:val="0"/>
              <w:spacing w:before="0" w:after="0"/>
              <w:ind w:left="57" w:right="57" w:firstLine="0"/>
              <w:jc w:val="left"/>
              <w:rPr>
                <w:rFonts w:ascii="Times New Roman" w:hAnsi="Times New Roman" w:cs="Times New Roman"/>
                <w:b w:val="0"/>
                <w:bCs w:val="0"/>
                <w:color w:val="000000"/>
                <w:sz w:val="20"/>
                <w:szCs w:val="20"/>
              </w:rPr>
            </w:pPr>
            <w:r w:rsidRPr="00E16672">
              <w:rPr>
                <w:rFonts w:ascii="Times New Roman" w:hAnsi="Times New Roman" w:cs="Times New Roman"/>
                <w:b w:val="0"/>
                <w:bCs w:val="0"/>
                <w:color w:val="000000"/>
                <w:sz w:val="18"/>
                <w:szCs w:val="18"/>
              </w:rPr>
              <w:t>33153077</w:t>
            </w:r>
          </w:p>
        </w:tc>
      </w:tr>
      <w:tr w:rsidR="005D35AE" w:rsidRPr="00E16672" w14:paraId="7B486B58" w14:textId="77777777" w:rsidTr="00C922B4">
        <w:trPr>
          <w:gridAfter w:val="2"/>
          <w:wAfter w:w="920" w:type="dxa"/>
        </w:trPr>
        <w:tc>
          <w:tcPr>
            <w:tcW w:w="4827" w:type="dxa"/>
            <w:gridSpan w:val="3"/>
            <w:shd w:val="clear" w:color="auto" w:fill="auto"/>
          </w:tcPr>
          <w:p w14:paraId="1B96BBE4" w14:textId="77777777" w:rsidR="005D35AE" w:rsidRPr="00E16672" w:rsidRDefault="005D35AE" w:rsidP="00C922B4">
            <w:pPr>
              <w:pStyle w:val="4"/>
              <w:keepNext w:val="0"/>
              <w:tabs>
                <w:tab w:val="clear" w:pos="-501"/>
                <w:tab w:val="num" w:pos="0"/>
              </w:tabs>
              <w:snapToGrid w:val="0"/>
              <w:ind w:left="-57" w:right="-57" w:firstLine="0"/>
              <w:jc w:val="both"/>
              <w:rPr>
                <w:rFonts w:ascii="Times New Roman" w:hAnsi="Times New Roman"/>
                <w:i/>
                <w:iCs/>
                <w:color w:val="000000"/>
                <w:sz w:val="20"/>
              </w:rPr>
            </w:pPr>
          </w:p>
          <w:p w14:paraId="00B2D699" w14:textId="77777777" w:rsidR="005D35AE" w:rsidRPr="00E16672" w:rsidRDefault="005D35AE" w:rsidP="00C922B4">
            <w:pPr>
              <w:pStyle w:val="4"/>
              <w:keepNext w:val="0"/>
              <w:tabs>
                <w:tab w:val="clear" w:pos="-501"/>
                <w:tab w:val="num" w:pos="0"/>
              </w:tabs>
              <w:snapToGrid w:val="0"/>
              <w:ind w:left="-57" w:right="-57" w:firstLine="0"/>
              <w:jc w:val="both"/>
              <w:rPr>
                <w:rFonts w:ascii="Times New Roman" w:hAnsi="Times New Roman"/>
                <w:i/>
                <w:iCs/>
                <w:color w:val="000000"/>
                <w:sz w:val="20"/>
              </w:rPr>
            </w:pPr>
            <w:r w:rsidRPr="00E16672">
              <w:rPr>
                <w:rFonts w:ascii="Times New Roman" w:hAnsi="Times New Roman"/>
                <w:i/>
                <w:iCs/>
                <w:color w:val="000000"/>
                <w:sz w:val="20"/>
              </w:rPr>
              <w:t xml:space="preserve">Місцезнаходження </w:t>
            </w:r>
          </w:p>
        </w:tc>
        <w:tc>
          <w:tcPr>
            <w:tcW w:w="341" w:type="dxa"/>
            <w:shd w:val="clear" w:color="auto" w:fill="auto"/>
          </w:tcPr>
          <w:p w14:paraId="67DF6AF8" w14:textId="77777777" w:rsidR="005D35AE" w:rsidRPr="00E16672" w:rsidRDefault="005D35AE" w:rsidP="00C922B4">
            <w:pPr>
              <w:pStyle w:val="af7"/>
              <w:snapToGrid w:val="0"/>
              <w:rPr>
                <w:rFonts w:ascii="Times New Roman" w:hAnsi="Times New Roman"/>
                <w:color w:val="000000"/>
                <w:szCs w:val="20"/>
              </w:rPr>
            </w:pPr>
          </w:p>
        </w:tc>
        <w:tc>
          <w:tcPr>
            <w:tcW w:w="4912" w:type="dxa"/>
            <w:gridSpan w:val="3"/>
            <w:shd w:val="clear" w:color="auto" w:fill="auto"/>
            <w:vAlign w:val="center"/>
          </w:tcPr>
          <w:p w14:paraId="01179F90" w14:textId="77777777" w:rsidR="005D35AE" w:rsidRPr="00E16672" w:rsidRDefault="005D35AE" w:rsidP="00C922B4">
            <w:pPr>
              <w:pStyle w:val="4"/>
              <w:keepNext w:val="0"/>
              <w:tabs>
                <w:tab w:val="clear" w:pos="-501"/>
                <w:tab w:val="num" w:pos="0"/>
              </w:tabs>
              <w:snapToGrid w:val="0"/>
              <w:ind w:left="57" w:right="57" w:firstLine="0"/>
              <w:jc w:val="left"/>
              <w:rPr>
                <w:rFonts w:ascii="Times New Roman" w:hAnsi="Times New Roman"/>
                <w:i/>
                <w:iCs/>
                <w:color w:val="000000"/>
                <w:sz w:val="20"/>
              </w:rPr>
            </w:pPr>
          </w:p>
          <w:p w14:paraId="025112BC" w14:textId="77777777" w:rsidR="005D35AE" w:rsidRPr="00E16672" w:rsidRDefault="005D35AE" w:rsidP="00C922B4">
            <w:pPr>
              <w:pStyle w:val="4"/>
              <w:keepNext w:val="0"/>
              <w:tabs>
                <w:tab w:val="clear" w:pos="-501"/>
                <w:tab w:val="num" w:pos="0"/>
              </w:tabs>
              <w:snapToGrid w:val="0"/>
              <w:ind w:left="57" w:right="57" w:firstLine="0"/>
              <w:jc w:val="left"/>
              <w:rPr>
                <w:rFonts w:ascii="Times New Roman" w:hAnsi="Times New Roman"/>
                <w:i/>
                <w:iCs/>
                <w:color w:val="000000"/>
                <w:sz w:val="20"/>
              </w:rPr>
            </w:pPr>
            <w:r w:rsidRPr="00E16672">
              <w:rPr>
                <w:rFonts w:ascii="Times New Roman" w:hAnsi="Times New Roman"/>
                <w:i/>
                <w:iCs/>
                <w:color w:val="000000"/>
                <w:sz w:val="18"/>
                <w:szCs w:val="18"/>
              </w:rPr>
              <w:t>Місцезнаходження</w:t>
            </w:r>
          </w:p>
        </w:tc>
      </w:tr>
      <w:tr w:rsidR="005D35AE" w:rsidRPr="00E16672" w14:paraId="52E74DE1" w14:textId="77777777" w:rsidTr="00C922B4">
        <w:trPr>
          <w:gridAfter w:val="2"/>
          <w:wAfter w:w="920" w:type="dxa"/>
        </w:trPr>
        <w:tc>
          <w:tcPr>
            <w:tcW w:w="4827" w:type="dxa"/>
            <w:gridSpan w:val="3"/>
            <w:shd w:val="clear" w:color="auto" w:fill="auto"/>
          </w:tcPr>
          <w:p w14:paraId="244B0B63" w14:textId="77777777" w:rsidR="005D35AE" w:rsidRPr="00E16672" w:rsidRDefault="005D35AE" w:rsidP="00C922B4">
            <w:pPr>
              <w:pStyle w:val="af7"/>
              <w:snapToGrid w:val="0"/>
              <w:rPr>
                <w:rFonts w:ascii="Times New Roman" w:hAnsi="Times New Roman"/>
                <w:color w:val="000000"/>
                <w:szCs w:val="20"/>
              </w:rPr>
            </w:pPr>
          </w:p>
        </w:tc>
        <w:tc>
          <w:tcPr>
            <w:tcW w:w="341" w:type="dxa"/>
            <w:shd w:val="clear" w:color="auto" w:fill="auto"/>
          </w:tcPr>
          <w:p w14:paraId="6E009C38" w14:textId="77777777" w:rsidR="005D35AE" w:rsidRPr="00E16672" w:rsidRDefault="005D35AE" w:rsidP="00C922B4">
            <w:pPr>
              <w:pStyle w:val="af7"/>
              <w:snapToGrid w:val="0"/>
              <w:rPr>
                <w:rFonts w:ascii="Times New Roman" w:hAnsi="Times New Roman"/>
                <w:color w:val="000000"/>
                <w:szCs w:val="20"/>
              </w:rPr>
            </w:pPr>
          </w:p>
        </w:tc>
        <w:tc>
          <w:tcPr>
            <w:tcW w:w="4912" w:type="dxa"/>
            <w:gridSpan w:val="3"/>
            <w:shd w:val="clear" w:color="auto" w:fill="auto"/>
            <w:vAlign w:val="center"/>
          </w:tcPr>
          <w:p w14:paraId="28760695" w14:textId="77777777" w:rsidR="005D35AE" w:rsidRPr="00E16672" w:rsidRDefault="00622BEB" w:rsidP="00C922B4">
            <w:pPr>
              <w:pStyle w:val="western"/>
              <w:snapToGrid w:val="0"/>
              <w:spacing w:before="0" w:after="0"/>
              <w:ind w:firstLine="0"/>
              <w:jc w:val="left"/>
              <w:rPr>
                <w:rFonts w:ascii="Times New Roman" w:hAnsi="Times New Roman"/>
                <w:b w:val="0"/>
                <w:bCs w:val="0"/>
                <w:color w:val="000000"/>
                <w:szCs w:val="20"/>
                <w:lang w:val="uk-UA"/>
              </w:rPr>
            </w:pPr>
            <w:proofErr w:type="spellStart"/>
            <w:r>
              <w:rPr>
                <w:rFonts w:ascii="Times New Roman" w:hAnsi="Times New Roman"/>
                <w:b w:val="0"/>
                <w:bCs w:val="0"/>
                <w:sz w:val="18"/>
                <w:szCs w:val="18"/>
              </w:rPr>
              <w:t>Україна</w:t>
            </w:r>
            <w:proofErr w:type="spellEnd"/>
            <w:r>
              <w:rPr>
                <w:rFonts w:ascii="Times New Roman" w:hAnsi="Times New Roman"/>
                <w:b w:val="0"/>
                <w:bCs w:val="0"/>
                <w:sz w:val="18"/>
                <w:szCs w:val="18"/>
              </w:rPr>
              <w:t xml:space="preserve">, </w:t>
            </w:r>
            <w:proofErr w:type="spellStart"/>
            <w:r>
              <w:rPr>
                <w:rFonts w:ascii="Times New Roman" w:hAnsi="Times New Roman"/>
                <w:b w:val="0"/>
                <w:bCs w:val="0"/>
                <w:sz w:val="18"/>
                <w:szCs w:val="18"/>
              </w:rPr>
              <w:t>м.Київ</w:t>
            </w:r>
            <w:proofErr w:type="spellEnd"/>
            <w:r>
              <w:rPr>
                <w:rFonts w:ascii="Times New Roman" w:hAnsi="Times New Roman"/>
                <w:b w:val="0"/>
                <w:bCs w:val="0"/>
                <w:sz w:val="18"/>
                <w:szCs w:val="18"/>
              </w:rPr>
              <w:t xml:space="preserve">, Велика </w:t>
            </w:r>
            <w:proofErr w:type="spellStart"/>
            <w:r>
              <w:rPr>
                <w:rFonts w:ascii="Times New Roman" w:hAnsi="Times New Roman"/>
                <w:b w:val="0"/>
                <w:bCs w:val="0"/>
                <w:sz w:val="18"/>
                <w:szCs w:val="18"/>
              </w:rPr>
              <w:t>Васильківська</w:t>
            </w:r>
            <w:proofErr w:type="spellEnd"/>
            <w:r>
              <w:rPr>
                <w:rFonts w:ascii="Times New Roman" w:hAnsi="Times New Roman"/>
                <w:b w:val="0"/>
                <w:bCs w:val="0"/>
                <w:sz w:val="18"/>
                <w:szCs w:val="18"/>
              </w:rPr>
              <w:t xml:space="preserve"> (</w:t>
            </w:r>
            <w:proofErr w:type="spellStart"/>
            <w:r>
              <w:rPr>
                <w:rFonts w:ascii="Times New Roman" w:hAnsi="Times New Roman"/>
                <w:b w:val="0"/>
                <w:bCs w:val="0"/>
                <w:sz w:val="18"/>
                <w:szCs w:val="18"/>
              </w:rPr>
              <w:t>колишня</w:t>
            </w:r>
            <w:proofErr w:type="spellEnd"/>
            <w:r>
              <w:rPr>
                <w:rFonts w:ascii="Times New Roman" w:hAnsi="Times New Roman"/>
                <w:b w:val="0"/>
                <w:bCs w:val="0"/>
                <w:sz w:val="18"/>
                <w:szCs w:val="18"/>
              </w:rPr>
              <w:t xml:space="preserve"> </w:t>
            </w:r>
            <w:proofErr w:type="spellStart"/>
            <w:r>
              <w:rPr>
                <w:rFonts w:ascii="Times New Roman" w:hAnsi="Times New Roman"/>
                <w:b w:val="0"/>
                <w:bCs w:val="0"/>
                <w:sz w:val="18"/>
                <w:szCs w:val="18"/>
              </w:rPr>
              <w:t>Червоноармійська</w:t>
            </w:r>
            <w:proofErr w:type="spellEnd"/>
            <w:r>
              <w:rPr>
                <w:rFonts w:ascii="Times New Roman" w:hAnsi="Times New Roman"/>
                <w:b w:val="0"/>
                <w:bCs w:val="0"/>
                <w:sz w:val="18"/>
                <w:szCs w:val="18"/>
              </w:rPr>
              <w:t xml:space="preserve">) </w:t>
            </w:r>
            <w:proofErr w:type="spellStart"/>
            <w:r>
              <w:rPr>
                <w:rFonts w:ascii="Times New Roman" w:hAnsi="Times New Roman"/>
                <w:b w:val="0"/>
                <w:bCs w:val="0"/>
                <w:sz w:val="18"/>
                <w:szCs w:val="18"/>
              </w:rPr>
              <w:t>вул</w:t>
            </w:r>
            <w:proofErr w:type="spellEnd"/>
            <w:r>
              <w:rPr>
                <w:rFonts w:ascii="Times New Roman" w:hAnsi="Times New Roman"/>
                <w:b w:val="0"/>
                <w:bCs w:val="0"/>
                <w:sz w:val="18"/>
                <w:szCs w:val="18"/>
              </w:rPr>
              <w:t>., буд. 65</w:t>
            </w:r>
          </w:p>
        </w:tc>
      </w:tr>
      <w:tr w:rsidR="005D35AE" w:rsidRPr="00E16672" w14:paraId="43BF666D" w14:textId="77777777" w:rsidTr="00C922B4">
        <w:trPr>
          <w:gridAfter w:val="2"/>
          <w:wAfter w:w="920" w:type="dxa"/>
        </w:trPr>
        <w:tc>
          <w:tcPr>
            <w:tcW w:w="4827" w:type="dxa"/>
            <w:gridSpan w:val="3"/>
            <w:shd w:val="clear" w:color="auto" w:fill="auto"/>
          </w:tcPr>
          <w:p w14:paraId="0EA3A315" w14:textId="77777777" w:rsidR="005D35AE" w:rsidRPr="00E16672" w:rsidRDefault="005D35AE" w:rsidP="00C922B4">
            <w:pPr>
              <w:pStyle w:val="4"/>
              <w:keepNext w:val="0"/>
              <w:numPr>
                <w:ilvl w:val="0"/>
                <w:numId w:val="0"/>
              </w:numPr>
              <w:snapToGrid w:val="0"/>
              <w:ind w:left="36" w:right="4" w:firstLine="32"/>
              <w:jc w:val="left"/>
              <w:rPr>
                <w:rFonts w:ascii="Times New Roman" w:hAnsi="Times New Roman"/>
                <w:i/>
                <w:iCs/>
                <w:color w:val="000000"/>
                <w:sz w:val="20"/>
                <w:shd w:val="clear" w:color="auto" w:fill="FFFFFF"/>
                <w:lang w:val="ru-RU"/>
              </w:rPr>
            </w:pPr>
          </w:p>
          <w:p w14:paraId="36B41726" w14:textId="77777777" w:rsidR="005D35AE" w:rsidRPr="00E16672" w:rsidRDefault="005D35AE" w:rsidP="00C922B4">
            <w:pPr>
              <w:pStyle w:val="4"/>
              <w:keepNext w:val="0"/>
              <w:numPr>
                <w:ilvl w:val="0"/>
                <w:numId w:val="0"/>
              </w:numPr>
              <w:snapToGrid w:val="0"/>
              <w:ind w:left="36" w:right="4" w:firstLine="32"/>
              <w:jc w:val="left"/>
              <w:rPr>
                <w:rFonts w:ascii="Times New Roman" w:hAnsi="Times New Roman"/>
                <w:i/>
                <w:iCs/>
                <w:color w:val="000000"/>
                <w:sz w:val="20"/>
                <w:shd w:val="clear" w:color="auto" w:fill="FFFF00"/>
                <w:lang w:val="ru-RU"/>
              </w:rPr>
            </w:pPr>
            <w:r w:rsidRPr="00E16672">
              <w:rPr>
                <w:rFonts w:ascii="Times New Roman" w:hAnsi="Times New Roman"/>
                <w:i/>
                <w:iCs/>
                <w:color w:val="000000"/>
                <w:sz w:val="20"/>
                <w:shd w:val="clear" w:color="auto" w:fill="FFFFFF"/>
                <w:lang w:val="ru-RU"/>
              </w:rPr>
              <w:t xml:space="preserve">Адреса для </w:t>
            </w:r>
            <w:proofErr w:type="spellStart"/>
            <w:r w:rsidRPr="00E16672">
              <w:rPr>
                <w:rFonts w:ascii="Times New Roman" w:hAnsi="Times New Roman"/>
                <w:i/>
                <w:iCs/>
                <w:color w:val="000000"/>
                <w:sz w:val="20"/>
                <w:shd w:val="clear" w:color="auto" w:fill="FFFFFF"/>
                <w:lang w:val="ru-RU"/>
              </w:rPr>
              <w:t>листування</w:t>
            </w:r>
            <w:proofErr w:type="spellEnd"/>
          </w:p>
        </w:tc>
        <w:tc>
          <w:tcPr>
            <w:tcW w:w="341" w:type="dxa"/>
            <w:shd w:val="clear" w:color="auto" w:fill="auto"/>
          </w:tcPr>
          <w:p w14:paraId="35E8E153" w14:textId="77777777" w:rsidR="005D35AE" w:rsidRPr="00E16672" w:rsidRDefault="005D35AE" w:rsidP="00C922B4">
            <w:pPr>
              <w:snapToGrid w:val="0"/>
              <w:rPr>
                <w:rFonts w:ascii="Times New Roman" w:hAnsi="Times New Roman"/>
                <w:color w:val="000000"/>
                <w:sz w:val="18"/>
                <w:szCs w:val="18"/>
                <w:shd w:val="clear" w:color="auto" w:fill="FFFF00"/>
                <w:lang w:val="uk-UA"/>
              </w:rPr>
            </w:pPr>
          </w:p>
        </w:tc>
        <w:tc>
          <w:tcPr>
            <w:tcW w:w="4912" w:type="dxa"/>
            <w:gridSpan w:val="3"/>
            <w:shd w:val="clear" w:color="auto" w:fill="auto"/>
            <w:vAlign w:val="center"/>
          </w:tcPr>
          <w:p w14:paraId="421902CC" w14:textId="77777777" w:rsidR="005D35AE" w:rsidRPr="00E16672" w:rsidRDefault="005D35AE" w:rsidP="00C922B4">
            <w:pPr>
              <w:pStyle w:val="4"/>
              <w:keepNext w:val="0"/>
              <w:numPr>
                <w:ilvl w:val="0"/>
                <w:numId w:val="0"/>
              </w:numPr>
              <w:snapToGrid w:val="0"/>
              <w:ind w:left="-8" w:right="105" w:hanging="13"/>
              <w:jc w:val="left"/>
              <w:rPr>
                <w:rFonts w:ascii="Times New Roman" w:hAnsi="Times New Roman"/>
                <w:i/>
                <w:iCs/>
                <w:color w:val="000000"/>
                <w:sz w:val="18"/>
                <w:szCs w:val="18"/>
              </w:rPr>
            </w:pPr>
          </w:p>
          <w:p w14:paraId="548D1730" w14:textId="77777777" w:rsidR="005D35AE" w:rsidRPr="00E16672" w:rsidRDefault="005D35AE" w:rsidP="00C922B4">
            <w:pPr>
              <w:pStyle w:val="4"/>
              <w:keepNext w:val="0"/>
              <w:numPr>
                <w:ilvl w:val="0"/>
                <w:numId w:val="0"/>
              </w:numPr>
              <w:snapToGrid w:val="0"/>
              <w:ind w:left="36" w:right="4" w:firstLine="32"/>
              <w:jc w:val="left"/>
              <w:rPr>
                <w:rFonts w:ascii="Times New Roman" w:hAnsi="Times New Roman"/>
                <w:i/>
                <w:iCs/>
                <w:color w:val="000000"/>
                <w:sz w:val="20"/>
                <w:shd w:val="clear" w:color="auto" w:fill="FFFF00"/>
                <w:lang w:val="ru-RU"/>
              </w:rPr>
            </w:pPr>
            <w:r w:rsidRPr="00E16672">
              <w:rPr>
                <w:rFonts w:ascii="Times New Roman" w:hAnsi="Times New Roman"/>
                <w:i/>
                <w:iCs/>
                <w:color w:val="000000"/>
                <w:sz w:val="18"/>
                <w:szCs w:val="18"/>
              </w:rPr>
              <w:t>Адреса для листування</w:t>
            </w:r>
          </w:p>
        </w:tc>
      </w:tr>
      <w:tr w:rsidR="005D35AE" w:rsidRPr="00E16672" w14:paraId="135F0E67" w14:textId="77777777" w:rsidTr="00C922B4">
        <w:trPr>
          <w:gridAfter w:val="2"/>
          <w:wAfter w:w="920" w:type="dxa"/>
        </w:trPr>
        <w:tc>
          <w:tcPr>
            <w:tcW w:w="4827" w:type="dxa"/>
            <w:gridSpan w:val="3"/>
            <w:shd w:val="clear" w:color="auto" w:fill="auto"/>
          </w:tcPr>
          <w:p w14:paraId="20C94335" w14:textId="77777777" w:rsidR="005D35AE" w:rsidRPr="00E16672" w:rsidRDefault="005D35AE" w:rsidP="00C922B4">
            <w:pPr>
              <w:pStyle w:val="af7"/>
              <w:snapToGrid w:val="0"/>
              <w:rPr>
                <w:rFonts w:ascii="Times New Roman" w:hAnsi="Times New Roman"/>
                <w:szCs w:val="20"/>
              </w:rPr>
            </w:pPr>
          </w:p>
        </w:tc>
        <w:tc>
          <w:tcPr>
            <w:tcW w:w="341" w:type="dxa"/>
            <w:shd w:val="clear" w:color="auto" w:fill="auto"/>
          </w:tcPr>
          <w:p w14:paraId="64241966" w14:textId="77777777" w:rsidR="005D35AE" w:rsidRPr="00E16672" w:rsidRDefault="005D35AE" w:rsidP="00C922B4">
            <w:pPr>
              <w:pStyle w:val="af7"/>
              <w:snapToGrid w:val="0"/>
              <w:rPr>
                <w:rFonts w:ascii="Times New Roman" w:hAnsi="Times New Roman"/>
                <w:szCs w:val="20"/>
              </w:rPr>
            </w:pPr>
          </w:p>
        </w:tc>
        <w:tc>
          <w:tcPr>
            <w:tcW w:w="4912" w:type="dxa"/>
            <w:gridSpan w:val="3"/>
            <w:shd w:val="clear" w:color="auto" w:fill="auto"/>
            <w:vAlign w:val="center"/>
          </w:tcPr>
          <w:p w14:paraId="57EF5364" w14:textId="77777777" w:rsidR="005D35AE" w:rsidRPr="00E16672" w:rsidRDefault="00622BEB" w:rsidP="00C922B4">
            <w:pPr>
              <w:pStyle w:val="4"/>
              <w:widowControl w:val="0"/>
              <w:tabs>
                <w:tab w:val="clear" w:pos="-501"/>
                <w:tab w:val="num" w:pos="0"/>
              </w:tabs>
              <w:snapToGrid w:val="0"/>
              <w:ind w:left="0" w:firstLine="0"/>
              <w:jc w:val="left"/>
              <w:rPr>
                <w:rFonts w:ascii="Times New Roman" w:hAnsi="Times New Roman"/>
                <w:b w:val="0"/>
                <w:sz w:val="20"/>
              </w:rPr>
            </w:pPr>
            <w:r>
              <w:rPr>
                <w:rFonts w:ascii="Times New Roman" w:hAnsi="Times New Roman"/>
                <w:b w:val="0"/>
                <w:bCs/>
                <w:sz w:val="18"/>
                <w:szCs w:val="18"/>
              </w:rPr>
              <w:t xml:space="preserve">Україна, </w:t>
            </w:r>
            <w:proofErr w:type="spellStart"/>
            <w:r>
              <w:rPr>
                <w:rFonts w:ascii="Times New Roman" w:hAnsi="Times New Roman"/>
                <w:b w:val="0"/>
                <w:bCs/>
                <w:sz w:val="18"/>
                <w:szCs w:val="18"/>
              </w:rPr>
              <w:t>м.Київ</w:t>
            </w:r>
            <w:proofErr w:type="spellEnd"/>
            <w:r>
              <w:rPr>
                <w:rFonts w:ascii="Times New Roman" w:hAnsi="Times New Roman"/>
                <w:b w:val="0"/>
                <w:bCs/>
                <w:sz w:val="18"/>
                <w:szCs w:val="18"/>
              </w:rPr>
              <w:t>, Велика Васильківська (колишня Червоноармійська) вул., буд. 65</w:t>
            </w:r>
          </w:p>
        </w:tc>
      </w:tr>
      <w:tr w:rsidR="005D35AE" w:rsidRPr="00E16672" w14:paraId="7A5528BF" w14:textId="77777777" w:rsidTr="00C922B4">
        <w:trPr>
          <w:gridAfter w:val="2"/>
          <w:wAfter w:w="920" w:type="dxa"/>
        </w:trPr>
        <w:tc>
          <w:tcPr>
            <w:tcW w:w="4827" w:type="dxa"/>
            <w:gridSpan w:val="3"/>
            <w:shd w:val="clear" w:color="auto" w:fill="auto"/>
          </w:tcPr>
          <w:p w14:paraId="40B84E8C" w14:textId="77777777" w:rsidR="005D35AE" w:rsidRPr="00E16672" w:rsidRDefault="005D35AE" w:rsidP="00C922B4">
            <w:pPr>
              <w:pStyle w:val="4"/>
              <w:keepNext w:val="0"/>
              <w:tabs>
                <w:tab w:val="clear" w:pos="-501"/>
                <w:tab w:val="num" w:pos="0"/>
              </w:tabs>
              <w:snapToGrid w:val="0"/>
              <w:ind w:left="-57" w:right="-57" w:firstLine="0"/>
              <w:jc w:val="both"/>
              <w:rPr>
                <w:rFonts w:ascii="Times New Roman" w:hAnsi="Times New Roman"/>
                <w:i/>
                <w:iCs/>
                <w:sz w:val="20"/>
              </w:rPr>
            </w:pPr>
          </w:p>
          <w:p w14:paraId="79AA357C" w14:textId="77777777" w:rsidR="005D35AE" w:rsidRPr="00E16672" w:rsidRDefault="005D35AE" w:rsidP="00C922B4">
            <w:pPr>
              <w:pStyle w:val="4"/>
              <w:keepNext w:val="0"/>
              <w:tabs>
                <w:tab w:val="clear" w:pos="-501"/>
                <w:tab w:val="num" w:pos="0"/>
              </w:tabs>
              <w:snapToGrid w:val="0"/>
              <w:ind w:left="-57" w:right="-57" w:firstLine="0"/>
              <w:jc w:val="both"/>
              <w:rPr>
                <w:rFonts w:ascii="Times New Roman" w:hAnsi="Times New Roman"/>
                <w:i/>
                <w:iCs/>
                <w:sz w:val="20"/>
              </w:rPr>
            </w:pPr>
            <w:r w:rsidRPr="00E16672">
              <w:rPr>
                <w:rFonts w:ascii="Times New Roman" w:hAnsi="Times New Roman"/>
                <w:i/>
                <w:iCs/>
                <w:sz w:val="20"/>
              </w:rPr>
              <w:t>Банківські реквізити</w:t>
            </w:r>
          </w:p>
        </w:tc>
        <w:tc>
          <w:tcPr>
            <w:tcW w:w="341" w:type="dxa"/>
            <w:shd w:val="clear" w:color="auto" w:fill="auto"/>
          </w:tcPr>
          <w:p w14:paraId="11D2D414" w14:textId="77777777" w:rsidR="005D35AE" w:rsidRPr="00E16672" w:rsidRDefault="005D35AE" w:rsidP="00C922B4">
            <w:pPr>
              <w:pStyle w:val="af7"/>
              <w:snapToGrid w:val="0"/>
              <w:rPr>
                <w:rFonts w:ascii="Times New Roman" w:hAnsi="Times New Roman"/>
                <w:szCs w:val="20"/>
              </w:rPr>
            </w:pPr>
          </w:p>
        </w:tc>
        <w:tc>
          <w:tcPr>
            <w:tcW w:w="4912" w:type="dxa"/>
            <w:gridSpan w:val="3"/>
            <w:shd w:val="clear" w:color="auto" w:fill="auto"/>
            <w:vAlign w:val="center"/>
          </w:tcPr>
          <w:p w14:paraId="601ECAD2" w14:textId="77777777" w:rsidR="005D35AE" w:rsidRPr="00E16672" w:rsidRDefault="005D35AE" w:rsidP="00C922B4">
            <w:pPr>
              <w:pStyle w:val="6"/>
              <w:numPr>
                <w:ilvl w:val="0"/>
                <w:numId w:val="0"/>
              </w:numPr>
              <w:snapToGrid w:val="0"/>
              <w:ind w:left="15" w:right="1"/>
              <w:jc w:val="left"/>
              <w:rPr>
                <w:rFonts w:ascii="Times New Roman" w:hAnsi="Times New Roman"/>
                <w:b/>
                <w:i/>
                <w:color w:val="000000"/>
                <w:sz w:val="18"/>
                <w:szCs w:val="18"/>
                <w:lang w:val="uk-UA"/>
              </w:rPr>
            </w:pPr>
          </w:p>
          <w:p w14:paraId="1857C60A" w14:textId="77777777" w:rsidR="005D35AE" w:rsidRPr="00E16672" w:rsidRDefault="005D35AE" w:rsidP="00C922B4">
            <w:pPr>
              <w:pStyle w:val="western"/>
              <w:snapToGrid w:val="0"/>
              <w:spacing w:before="0" w:after="0"/>
              <w:ind w:right="57" w:firstLine="0"/>
              <w:jc w:val="left"/>
              <w:rPr>
                <w:rFonts w:ascii="Times New Roman" w:hAnsi="Times New Roman"/>
                <w:i/>
                <w:iCs/>
                <w:szCs w:val="20"/>
              </w:rPr>
            </w:pPr>
            <w:r w:rsidRPr="00E16672">
              <w:rPr>
                <w:rFonts w:ascii="Times New Roman" w:hAnsi="Times New Roman"/>
                <w:i/>
                <w:color w:val="000000"/>
                <w:sz w:val="18"/>
                <w:szCs w:val="18"/>
                <w:lang w:val="uk-UA"/>
              </w:rPr>
              <w:t>Банківські реквізити</w:t>
            </w:r>
          </w:p>
        </w:tc>
      </w:tr>
      <w:tr w:rsidR="005D35AE" w:rsidRPr="00E16672" w14:paraId="33676784" w14:textId="77777777" w:rsidTr="00C922B4">
        <w:trPr>
          <w:gridAfter w:val="2"/>
          <w:wAfter w:w="920" w:type="dxa"/>
        </w:trPr>
        <w:tc>
          <w:tcPr>
            <w:tcW w:w="4827" w:type="dxa"/>
            <w:gridSpan w:val="3"/>
            <w:shd w:val="clear" w:color="auto" w:fill="auto"/>
          </w:tcPr>
          <w:p w14:paraId="300933A7" w14:textId="77777777" w:rsidR="005D35AE" w:rsidRPr="00E16672" w:rsidRDefault="005D35AE" w:rsidP="00C922B4">
            <w:pPr>
              <w:pStyle w:val="af7"/>
              <w:snapToGrid w:val="0"/>
              <w:rPr>
                <w:rFonts w:ascii="Times New Roman" w:hAnsi="Times New Roman"/>
                <w:szCs w:val="20"/>
              </w:rPr>
            </w:pPr>
          </w:p>
        </w:tc>
        <w:tc>
          <w:tcPr>
            <w:tcW w:w="341" w:type="dxa"/>
            <w:shd w:val="clear" w:color="auto" w:fill="auto"/>
          </w:tcPr>
          <w:p w14:paraId="6C0F68B4" w14:textId="77777777" w:rsidR="005D35AE" w:rsidRPr="00E16672" w:rsidRDefault="005D35AE" w:rsidP="00C922B4">
            <w:pPr>
              <w:pStyle w:val="af7"/>
              <w:snapToGrid w:val="0"/>
              <w:rPr>
                <w:rFonts w:ascii="Times New Roman" w:hAnsi="Times New Roman"/>
                <w:szCs w:val="20"/>
              </w:rPr>
            </w:pPr>
          </w:p>
        </w:tc>
        <w:tc>
          <w:tcPr>
            <w:tcW w:w="4912" w:type="dxa"/>
            <w:gridSpan w:val="3"/>
            <w:shd w:val="clear" w:color="auto" w:fill="auto"/>
            <w:vAlign w:val="center"/>
          </w:tcPr>
          <w:p w14:paraId="2630B5D5" w14:textId="77777777" w:rsidR="00930A41" w:rsidRPr="00E16672" w:rsidRDefault="00622BEB" w:rsidP="00C922B4">
            <w:pPr>
              <w:pStyle w:val="3"/>
              <w:numPr>
                <w:ilvl w:val="0"/>
                <w:numId w:val="0"/>
              </w:numPr>
              <w:snapToGrid w:val="0"/>
              <w:spacing w:before="0" w:after="0"/>
              <w:ind w:left="15" w:right="219"/>
              <w:jc w:val="left"/>
              <w:rPr>
                <w:rFonts w:ascii="Times New Roman" w:hAnsi="Times New Roman" w:cs="Times New Roman"/>
                <w:b w:val="0"/>
                <w:sz w:val="18"/>
                <w:szCs w:val="18"/>
              </w:rPr>
            </w:pPr>
            <w:r>
              <w:rPr>
                <w:rFonts w:ascii="Times New Roman" w:hAnsi="Times New Roman" w:cs="Times New Roman"/>
                <w:b w:val="0"/>
                <w:sz w:val="18"/>
                <w:szCs w:val="18"/>
              </w:rPr>
              <w:t>UA743281680000000026503815351</w:t>
            </w:r>
            <w:r w:rsidR="00E471B0" w:rsidRPr="00E16672">
              <w:rPr>
                <w:rFonts w:ascii="Times New Roman" w:hAnsi="Times New Roman" w:cs="Times New Roman"/>
                <w:b w:val="0"/>
                <w:sz w:val="18"/>
                <w:szCs w:val="18"/>
              </w:rPr>
              <w:t xml:space="preserve"> </w:t>
            </w:r>
          </w:p>
          <w:p w14:paraId="35BC6A58" w14:textId="77777777" w:rsidR="005D35AE" w:rsidRPr="00E16672" w:rsidRDefault="00622BEB" w:rsidP="00022F5F">
            <w:pPr>
              <w:pStyle w:val="3"/>
              <w:numPr>
                <w:ilvl w:val="0"/>
                <w:numId w:val="0"/>
              </w:numPr>
              <w:snapToGrid w:val="0"/>
              <w:spacing w:before="0" w:after="0"/>
              <w:ind w:left="15" w:right="219"/>
              <w:jc w:val="left"/>
              <w:rPr>
                <w:rFonts w:ascii="Times New Roman" w:hAnsi="Times New Roman" w:cs="Times New Roman"/>
                <w:b w:val="0"/>
                <w:sz w:val="18"/>
                <w:szCs w:val="18"/>
              </w:rPr>
            </w:pPr>
            <w:r>
              <w:rPr>
                <w:rFonts w:ascii="Times New Roman" w:hAnsi="Times New Roman" w:cs="Times New Roman"/>
                <w:b w:val="0"/>
                <w:bCs w:val="0"/>
                <w:color w:val="000000"/>
                <w:sz w:val="18"/>
                <w:szCs w:val="18"/>
              </w:rPr>
              <w:t xml:space="preserve">ПАТ </w:t>
            </w:r>
            <w:r w:rsidR="00022F5F">
              <w:rPr>
                <w:rFonts w:ascii="Times New Roman" w:hAnsi="Times New Roman" w:cs="Times New Roman"/>
                <w:b w:val="0"/>
                <w:bCs w:val="0"/>
                <w:color w:val="000000"/>
                <w:sz w:val="18"/>
                <w:szCs w:val="18"/>
              </w:rPr>
              <w:t>"</w:t>
            </w:r>
            <w:r>
              <w:rPr>
                <w:rFonts w:ascii="Times New Roman" w:hAnsi="Times New Roman" w:cs="Times New Roman"/>
                <w:b w:val="0"/>
                <w:bCs w:val="0"/>
                <w:color w:val="000000"/>
                <w:sz w:val="18"/>
                <w:szCs w:val="18"/>
              </w:rPr>
              <w:t>МТБ Банк</w:t>
            </w:r>
            <w:r w:rsidR="00022F5F">
              <w:rPr>
                <w:rFonts w:ascii="Times New Roman" w:hAnsi="Times New Roman" w:cs="Times New Roman"/>
                <w:b w:val="0"/>
                <w:bCs w:val="0"/>
                <w:color w:val="000000"/>
                <w:sz w:val="18"/>
                <w:szCs w:val="18"/>
              </w:rPr>
              <w:t>"</w:t>
            </w:r>
            <w:r>
              <w:rPr>
                <w:rFonts w:ascii="Times New Roman" w:hAnsi="Times New Roman" w:cs="Times New Roman"/>
                <w:b w:val="0"/>
                <w:bCs w:val="0"/>
                <w:color w:val="000000"/>
                <w:sz w:val="18"/>
                <w:szCs w:val="18"/>
              </w:rPr>
              <w:t>, МФО 328168</w:t>
            </w:r>
            <w:r w:rsidR="005D35AE" w:rsidRPr="00E16672">
              <w:rPr>
                <w:rFonts w:ascii="Times New Roman" w:hAnsi="Times New Roman" w:cs="Times New Roman"/>
                <w:b w:val="0"/>
                <w:sz w:val="18"/>
                <w:szCs w:val="18"/>
              </w:rPr>
              <w:t xml:space="preserve">, ЄДРПОУ </w:t>
            </w:r>
            <w:r w:rsidR="00565242">
              <w:rPr>
                <w:rFonts w:ascii="Times New Roman" w:hAnsi="Times New Roman" w:cs="Times New Roman"/>
                <w:b w:val="0"/>
                <w:sz w:val="18"/>
                <w:szCs w:val="18"/>
              </w:rPr>
              <w:t>21650966</w:t>
            </w:r>
          </w:p>
          <w:p w14:paraId="18489421" w14:textId="77777777" w:rsidR="005D35AE" w:rsidRPr="00E16672" w:rsidRDefault="00CE0D17" w:rsidP="00C922B4">
            <w:pPr>
              <w:pStyle w:val="6"/>
              <w:widowControl w:val="0"/>
              <w:tabs>
                <w:tab w:val="clear" w:pos="-501"/>
                <w:tab w:val="num" w:pos="0"/>
              </w:tabs>
              <w:snapToGrid w:val="0"/>
              <w:ind w:left="0" w:firstLine="0"/>
              <w:jc w:val="left"/>
              <w:rPr>
                <w:rFonts w:ascii="Times New Roman" w:hAnsi="Times New Roman"/>
                <w:sz w:val="20"/>
              </w:rPr>
            </w:pPr>
            <w:r w:rsidRPr="00CE0D17">
              <w:rPr>
                <w:rFonts w:ascii="Times New Roman" w:hAnsi="Times New Roman"/>
                <w:bCs/>
                <w:sz w:val="18"/>
                <w:szCs w:val="18"/>
              </w:rPr>
              <w:t xml:space="preserve">68003, </w:t>
            </w:r>
            <w:proofErr w:type="spellStart"/>
            <w:r w:rsidRPr="00CE0D17">
              <w:rPr>
                <w:rFonts w:ascii="Times New Roman" w:hAnsi="Times New Roman"/>
                <w:bCs/>
                <w:sz w:val="18"/>
                <w:szCs w:val="18"/>
              </w:rPr>
              <w:t>м.Чорноморськ</w:t>
            </w:r>
            <w:proofErr w:type="spellEnd"/>
            <w:r w:rsidRPr="00CE0D17">
              <w:rPr>
                <w:rFonts w:ascii="Times New Roman" w:hAnsi="Times New Roman"/>
                <w:bCs/>
                <w:sz w:val="18"/>
                <w:szCs w:val="18"/>
              </w:rPr>
              <w:t>, Миру просп., буд. 28</w:t>
            </w:r>
          </w:p>
        </w:tc>
      </w:tr>
      <w:tr w:rsidR="005D35AE" w:rsidRPr="00E16672" w14:paraId="555480DA" w14:textId="77777777" w:rsidTr="00C922B4">
        <w:trPr>
          <w:gridAfter w:val="1"/>
          <w:wAfter w:w="849" w:type="dxa"/>
        </w:trPr>
        <w:tc>
          <w:tcPr>
            <w:tcW w:w="3347" w:type="dxa"/>
            <w:gridSpan w:val="2"/>
            <w:shd w:val="clear" w:color="auto" w:fill="auto"/>
            <w:vAlign w:val="center"/>
          </w:tcPr>
          <w:p w14:paraId="20FB0F44" w14:textId="77777777" w:rsidR="005D35AE" w:rsidRPr="00E16672" w:rsidRDefault="005D35AE" w:rsidP="00C922B4">
            <w:pPr>
              <w:pStyle w:val="western"/>
              <w:snapToGrid w:val="0"/>
              <w:spacing w:before="0" w:after="0"/>
              <w:ind w:left="-57" w:right="-57" w:firstLine="0"/>
              <w:jc w:val="left"/>
              <w:rPr>
                <w:rFonts w:ascii="Times New Roman" w:hAnsi="Times New Roman"/>
                <w:i/>
                <w:iCs/>
                <w:szCs w:val="20"/>
              </w:rPr>
            </w:pPr>
            <w:r w:rsidRPr="00E16672">
              <w:rPr>
                <w:rFonts w:ascii="Times New Roman" w:hAnsi="Times New Roman"/>
                <w:color w:val="000000"/>
                <w:sz w:val="18"/>
                <w:szCs w:val="18"/>
                <w:lang w:val="uk-UA"/>
              </w:rPr>
              <w:t>Документ, що підтверджує повноваження особи, яка підписує договір</w:t>
            </w:r>
          </w:p>
        </w:tc>
        <w:tc>
          <w:tcPr>
            <w:tcW w:w="1480" w:type="dxa"/>
            <w:shd w:val="clear" w:color="auto" w:fill="auto"/>
          </w:tcPr>
          <w:p w14:paraId="5A857526" w14:textId="77777777" w:rsidR="005D35AE" w:rsidRPr="00E16672" w:rsidRDefault="005D35AE" w:rsidP="00C922B4">
            <w:pPr>
              <w:pStyle w:val="western"/>
              <w:snapToGrid w:val="0"/>
              <w:spacing w:before="0" w:after="0"/>
              <w:ind w:left="-57" w:right="-57"/>
              <w:jc w:val="both"/>
              <w:rPr>
                <w:rFonts w:ascii="Times New Roman" w:hAnsi="Times New Roman"/>
                <w:i/>
                <w:iCs/>
                <w:szCs w:val="20"/>
              </w:rPr>
            </w:pPr>
          </w:p>
        </w:tc>
        <w:tc>
          <w:tcPr>
            <w:tcW w:w="341" w:type="dxa"/>
            <w:shd w:val="clear" w:color="auto" w:fill="auto"/>
          </w:tcPr>
          <w:p w14:paraId="4CEC1DA7" w14:textId="77777777" w:rsidR="005D35AE" w:rsidRPr="00E16672" w:rsidRDefault="005D35AE" w:rsidP="00C922B4">
            <w:pPr>
              <w:pStyle w:val="af7"/>
              <w:snapToGrid w:val="0"/>
              <w:rPr>
                <w:rFonts w:ascii="Times New Roman" w:hAnsi="Times New Roman"/>
                <w:szCs w:val="20"/>
              </w:rPr>
            </w:pPr>
          </w:p>
        </w:tc>
        <w:tc>
          <w:tcPr>
            <w:tcW w:w="3424" w:type="dxa"/>
            <w:gridSpan w:val="2"/>
            <w:shd w:val="clear" w:color="auto" w:fill="auto"/>
            <w:vAlign w:val="center"/>
          </w:tcPr>
          <w:p w14:paraId="193A6A42" w14:textId="77777777" w:rsidR="005D35AE" w:rsidRPr="00E16672" w:rsidRDefault="005D35AE" w:rsidP="00C922B4">
            <w:pPr>
              <w:pStyle w:val="western"/>
              <w:snapToGrid w:val="0"/>
              <w:spacing w:before="0" w:after="0"/>
              <w:ind w:left="57" w:right="57" w:firstLine="0"/>
              <w:jc w:val="left"/>
              <w:rPr>
                <w:rFonts w:ascii="Times New Roman" w:hAnsi="Times New Roman"/>
                <w:bCs w:val="0"/>
                <w:szCs w:val="20"/>
                <w:lang w:val="uk-UA"/>
              </w:rPr>
            </w:pPr>
            <w:r w:rsidRPr="00E16672">
              <w:rPr>
                <w:rFonts w:ascii="Times New Roman" w:hAnsi="Times New Roman"/>
                <w:color w:val="000000"/>
                <w:sz w:val="18"/>
                <w:szCs w:val="18"/>
                <w:lang w:val="uk-UA"/>
              </w:rPr>
              <w:t>Документ, що підтверджує повноваження особи, яка підписує договір</w:t>
            </w:r>
          </w:p>
        </w:tc>
        <w:tc>
          <w:tcPr>
            <w:tcW w:w="1559" w:type="dxa"/>
            <w:gridSpan w:val="2"/>
            <w:vAlign w:val="center"/>
          </w:tcPr>
          <w:p w14:paraId="710B309A" w14:textId="77777777" w:rsidR="005D35AE" w:rsidRPr="00E16672" w:rsidRDefault="005D35AE" w:rsidP="00C922B4">
            <w:pPr>
              <w:suppressAutoHyphens w:val="0"/>
              <w:ind w:firstLine="0"/>
              <w:jc w:val="left"/>
              <w:rPr>
                <w:rFonts w:ascii="Times New Roman" w:hAnsi="Times New Roman"/>
                <w:i/>
                <w:iCs/>
                <w:sz w:val="18"/>
                <w:szCs w:val="18"/>
              </w:rPr>
            </w:pPr>
            <w:r w:rsidRPr="00E16672">
              <w:rPr>
                <w:rFonts w:ascii="Times New Roman" w:hAnsi="Times New Roman"/>
                <w:sz w:val="18"/>
                <w:szCs w:val="18"/>
                <w:lang w:val="uk-UA"/>
              </w:rPr>
              <w:t>Статут</w:t>
            </w:r>
          </w:p>
        </w:tc>
      </w:tr>
      <w:tr w:rsidR="005D35AE" w:rsidRPr="00E16672" w14:paraId="3D060C11" w14:textId="77777777" w:rsidTr="00C922B4">
        <w:tc>
          <w:tcPr>
            <w:tcW w:w="2413" w:type="dxa"/>
            <w:shd w:val="clear" w:color="auto" w:fill="auto"/>
            <w:vAlign w:val="center"/>
          </w:tcPr>
          <w:p w14:paraId="25DFFD3E" w14:textId="77777777" w:rsidR="005D35AE" w:rsidRPr="00E16672" w:rsidRDefault="005D35AE" w:rsidP="00C922B4">
            <w:pPr>
              <w:pStyle w:val="western"/>
              <w:snapToGrid w:val="0"/>
              <w:spacing w:before="0" w:after="0"/>
              <w:ind w:left="-57" w:right="-57"/>
              <w:jc w:val="both"/>
              <w:rPr>
                <w:rFonts w:ascii="Times New Roman" w:hAnsi="Times New Roman"/>
                <w:i/>
                <w:iCs/>
                <w:szCs w:val="20"/>
              </w:rPr>
            </w:pPr>
          </w:p>
        </w:tc>
        <w:tc>
          <w:tcPr>
            <w:tcW w:w="2414" w:type="dxa"/>
            <w:gridSpan w:val="2"/>
            <w:shd w:val="clear" w:color="auto" w:fill="auto"/>
          </w:tcPr>
          <w:p w14:paraId="1D030965" w14:textId="77777777" w:rsidR="005D35AE" w:rsidRPr="00E16672" w:rsidRDefault="005D35AE" w:rsidP="00C922B4">
            <w:pPr>
              <w:pStyle w:val="western"/>
              <w:snapToGrid w:val="0"/>
              <w:spacing w:before="0" w:after="0"/>
              <w:ind w:left="-57" w:right="-57"/>
              <w:jc w:val="both"/>
              <w:rPr>
                <w:rFonts w:ascii="Times New Roman" w:hAnsi="Times New Roman"/>
                <w:i/>
                <w:iCs/>
                <w:szCs w:val="20"/>
              </w:rPr>
            </w:pPr>
          </w:p>
        </w:tc>
        <w:tc>
          <w:tcPr>
            <w:tcW w:w="341" w:type="dxa"/>
            <w:shd w:val="clear" w:color="auto" w:fill="auto"/>
          </w:tcPr>
          <w:p w14:paraId="188C2150" w14:textId="77777777" w:rsidR="005D35AE" w:rsidRPr="00E16672" w:rsidRDefault="005D35AE" w:rsidP="00C922B4">
            <w:pPr>
              <w:pStyle w:val="af7"/>
              <w:snapToGrid w:val="0"/>
              <w:rPr>
                <w:rFonts w:ascii="Times New Roman" w:hAnsi="Times New Roman"/>
                <w:szCs w:val="20"/>
              </w:rPr>
            </w:pPr>
          </w:p>
        </w:tc>
        <w:tc>
          <w:tcPr>
            <w:tcW w:w="2715" w:type="dxa"/>
            <w:shd w:val="clear" w:color="auto" w:fill="auto"/>
            <w:vAlign w:val="center"/>
          </w:tcPr>
          <w:p w14:paraId="52E6C7B0" w14:textId="77777777" w:rsidR="005D35AE" w:rsidRPr="00E16672" w:rsidRDefault="005D35AE" w:rsidP="00C922B4">
            <w:pPr>
              <w:pStyle w:val="western"/>
              <w:snapToGrid w:val="0"/>
              <w:spacing w:before="0" w:after="0"/>
              <w:ind w:left="57" w:right="57"/>
              <w:jc w:val="left"/>
              <w:rPr>
                <w:rFonts w:ascii="Times New Roman" w:hAnsi="Times New Roman"/>
                <w:bCs w:val="0"/>
                <w:szCs w:val="20"/>
                <w:lang w:val="uk-UA"/>
              </w:rPr>
            </w:pPr>
          </w:p>
        </w:tc>
        <w:tc>
          <w:tcPr>
            <w:tcW w:w="3117" w:type="dxa"/>
            <w:gridSpan w:val="4"/>
            <w:vAlign w:val="center"/>
          </w:tcPr>
          <w:p w14:paraId="7A878BAB" w14:textId="77777777" w:rsidR="005D35AE" w:rsidRPr="00E16672" w:rsidRDefault="005D35AE" w:rsidP="00C922B4">
            <w:pPr>
              <w:suppressAutoHyphens w:val="0"/>
              <w:ind w:firstLine="0"/>
              <w:jc w:val="left"/>
              <w:rPr>
                <w:rFonts w:ascii="Times New Roman" w:hAnsi="Times New Roman"/>
                <w:i/>
                <w:iCs/>
                <w:sz w:val="18"/>
                <w:szCs w:val="18"/>
                <w:lang w:val="en-US"/>
              </w:rPr>
            </w:pPr>
          </w:p>
        </w:tc>
      </w:tr>
      <w:tr w:rsidR="005D35AE" w:rsidRPr="00E16672" w14:paraId="05F62579" w14:textId="77777777" w:rsidTr="00C922B4">
        <w:trPr>
          <w:gridAfter w:val="1"/>
          <w:wAfter w:w="849" w:type="dxa"/>
        </w:trPr>
        <w:tc>
          <w:tcPr>
            <w:tcW w:w="2413" w:type="dxa"/>
            <w:shd w:val="clear" w:color="auto" w:fill="auto"/>
            <w:vAlign w:val="center"/>
          </w:tcPr>
          <w:p w14:paraId="2C09C636" w14:textId="77777777" w:rsidR="005D35AE" w:rsidRPr="00E16672" w:rsidRDefault="005D35AE" w:rsidP="00C922B4">
            <w:pPr>
              <w:pStyle w:val="western"/>
              <w:snapToGrid w:val="0"/>
              <w:spacing w:before="0" w:after="0"/>
              <w:ind w:right="-57" w:firstLine="0"/>
              <w:jc w:val="both"/>
              <w:rPr>
                <w:rFonts w:ascii="Times New Roman" w:hAnsi="Times New Roman"/>
                <w:i/>
                <w:iCs/>
                <w:szCs w:val="20"/>
              </w:rPr>
            </w:pPr>
            <w:r w:rsidRPr="00E16672">
              <w:rPr>
                <w:rFonts w:ascii="Times New Roman" w:hAnsi="Times New Roman"/>
                <w:bCs w:val="0"/>
                <w:i/>
                <w:iCs/>
                <w:color w:val="000000"/>
                <w:sz w:val="18"/>
                <w:szCs w:val="18"/>
                <w:lang w:val="en-US"/>
              </w:rPr>
              <w:lastRenderedPageBreak/>
              <w:t>E-mail</w:t>
            </w:r>
          </w:p>
        </w:tc>
        <w:tc>
          <w:tcPr>
            <w:tcW w:w="2414" w:type="dxa"/>
            <w:gridSpan w:val="2"/>
            <w:shd w:val="clear" w:color="auto" w:fill="auto"/>
          </w:tcPr>
          <w:p w14:paraId="0E05DDE3" w14:textId="77777777" w:rsidR="005D35AE" w:rsidRPr="00E16672" w:rsidRDefault="005D35AE" w:rsidP="00C922B4">
            <w:pPr>
              <w:pStyle w:val="western"/>
              <w:snapToGrid w:val="0"/>
              <w:spacing w:before="0" w:after="0"/>
              <w:ind w:left="-57" w:right="-57"/>
              <w:jc w:val="both"/>
              <w:rPr>
                <w:rFonts w:ascii="Times New Roman" w:hAnsi="Times New Roman"/>
                <w:i/>
                <w:iCs/>
                <w:szCs w:val="20"/>
              </w:rPr>
            </w:pPr>
          </w:p>
        </w:tc>
        <w:tc>
          <w:tcPr>
            <w:tcW w:w="341" w:type="dxa"/>
            <w:shd w:val="clear" w:color="auto" w:fill="auto"/>
          </w:tcPr>
          <w:p w14:paraId="121DFFE5" w14:textId="77777777" w:rsidR="005D35AE" w:rsidRPr="00E16672" w:rsidRDefault="005D35AE" w:rsidP="00C922B4">
            <w:pPr>
              <w:pStyle w:val="af7"/>
              <w:snapToGrid w:val="0"/>
              <w:rPr>
                <w:rFonts w:ascii="Times New Roman" w:hAnsi="Times New Roman"/>
                <w:szCs w:val="20"/>
              </w:rPr>
            </w:pPr>
          </w:p>
        </w:tc>
        <w:tc>
          <w:tcPr>
            <w:tcW w:w="2715" w:type="dxa"/>
            <w:shd w:val="clear" w:color="auto" w:fill="auto"/>
            <w:vAlign w:val="center"/>
          </w:tcPr>
          <w:p w14:paraId="23EEB109" w14:textId="77777777" w:rsidR="005D35AE" w:rsidRPr="00E16672" w:rsidRDefault="005D35AE" w:rsidP="00C922B4">
            <w:pPr>
              <w:pStyle w:val="western"/>
              <w:snapToGrid w:val="0"/>
              <w:spacing w:before="0" w:after="0"/>
              <w:ind w:right="57" w:firstLine="0"/>
              <w:jc w:val="left"/>
              <w:rPr>
                <w:rFonts w:ascii="Times New Roman" w:hAnsi="Times New Roman"/>
                <w:bCs w:val="0"/>
                <w:szCs w:val="20"/>
                <w:lang w:val="uk-UA"/>
              </w:rPr>
            </w:pPr>
            <w:r w:rsidRPr="00E16672">
              <w:rPr>
                <w:rFonts w:ascii="Times New Roman" w:hAnsi="Times New Roman"/>
                <w:bCs w:val="0"/>
                <w:i/>
                <w:iCs/>
                <w:color w:val="000000"/>
                <w:sz w:val="18"/>
                <w:szCs w:val="18"/>
                <w:lang w:val="en-US"/>
              </w:rPr>
              <w:t>E-mail</w:t>
            </w:r>
          </w:p>
        </w:tc>
        <w:tc>
          <w:tcPr>
            <w:tcW w:w="2268" w:type="dxa"/>
            <w:gridSpan w:val="3"/>
            <w:vAlign w:val="center"/>
          </w:tcPr>
          <w:p w14:paraId="170A6CA1" w14:textId="77777777" w:rsidR="005D35AE" w:rsidRPr="00E16672" w:rsidRDefault="00622BEB" w:rsidP="00C922B4">
            <w:pPr>
              <w:suppressAutoHyphens w:val="0"/>
              <w:ind w:firstLine="0"/>
              <w:jc w:val="left"/>
              <w:rPr>
                <w:rFonts w:ascii="Times New Roman" w:hAnsi="Times New Roman"/>
                <w:b/>
                <w:bCs/>
                <w:i/>
                <w:iCs/>
                <w:sz w:val="18"/>
                <w:szCs w:val="18"/>
                <w:lang w:val="en-US"/>
              </w:rPr>
            </w:pPr>
            <w:r>
              <w:rPr>
                <w:rFonts w:ascii="Times New Roman" w:hAnsi="Times New Roman"/>
                <w:bCs/>
                <w:sz w:val="18"/>
                <w:szCs w:val="18"/>
                <w:lang w:val="uk-UA"/>
              </w:rPr>
              <w:t>custody@comex.com.ua</w:t>
            </w:r>
          </w:p>
        </w:tc>
      </w:tr>
      <w:tr w:rsidR="005D35AE" w:rsidRPr="00E16672" w14:paraId="4969B3B2" w14:textId="77777777" w:rsidTr="00C922B4">
        <w:trPr>
          <w:gridAfter w:val="1"/>
          <w:wAfter w:w="849" w:type="dxa"/>
        </w:trPr>
        <w:tc>
          <w:tcPr>
            <w:tcW w:w="2413" w:type="dxa"/>
            <w:shd w:val="clear" w:color="auto" w:fill="auto"/>
            <w:vAlign w:val="center"/>
          </w:tcPr>
          <w:p w14:paraId="4F084349" w14:textId="77777777" w:rsidR="005D35AE" w:rsidRPr="00E16672" w:rsidRDefault="005D35AE" w:rsidP="00C922B4">
            <w:pPr>
              <w:pStyle w:val="western"/>
              <w:snapToGrid w:val="0"/>
              <w:spacing w:before="0" w:after="0"/>
              <w:ind w:right="-57" w:firstLine="0"/>
              <w:jc w:val="both"/>
              <w:rPr>
                <w:rFonts w:ascii="Times New Roman" w:hAnsi="Times New Roman"/>
                <w:i/>
                <w:iCs/>
                <w:szCs w:val="20"/>
              </w:rPr>
            </w:pPr>
            <w:r w:rsidRPr="00E16672">
              <w:rPr>
                <w:rFonts w:ascii="Times New Roman" w:hAnsi="Times New Roman"/>
                <w:i/>
                <w:color w:val="000000"/>
                <w:sz w:val="18"/>
                <w:szCs w:val="18"/>
              </w:rPr>
              <w:t>Телефон</w:t>
            </w:r>
          </w:p>
        </w:tc>
        <w:tc>
          <w:tcPr>
            <w:tcW w:w="2414" w:type="dxa"/>
            <w:gridSpan w:val="2"/>
            <w:shd w:val="clear" w:color="auto" w:fill="auto"/>
          </w:tcPr>
          <w:p w14:paraId="0B0A276E" w14:textId="77777777" w:rsidR="005D35AE" w:rsidRPr="00E16672" w:rsidRDefault="005D35AE" w:rsidP="00C922B4">
            <w:pPr>
              <w:pStyle w:val="western"/>
              <w:snapToGrid w:val="0"/>
              <w:spacing w:before="0" w:after="0"/>
              <w:ind w:left="-57" w:right="-57"/>
              <w:jc w:val="both"/>
              <w:rPr>
                <w:rFonts w:ascii="Times New Roman" w:hAnsi="Times New Roman"/>
                <w:i/>
                <w:iCs/>
                <w:szCs w:val="20"/>
              </w:rPr>
            </w:pPr>
          </w:p>
        </w:tc>
        <w:tc>
          <w:tcPr>
            <w:tcW w:w="341" w:type="dxa"/>
            <w:shd w:val="clear" w:color="auto" w:fill="auto"/>
          </w:tcPr>
          <w:p w14:paraId="1F976D9F" w14:textId="77777777" w:rsidR="005D35AE" w:rsidRPr="00E16672" w:rsidRDefault="005D35AE" w:rsidP="00C922B4">
            <w:pPr>
              <w:pStyle w:val="af7"/>
              <w:snapToGrid w:val="0"/>
              <w:rPr>
                <w:rFonts w:ascii="Times New Roman" w:hAnsi="Times New Roman"/>
                <w:szCs w:val="20"/>
              </w:rPr>
            </w:pPr>
          </w:p>
        </w:tc>
        <w:tc>
          <w:tcPr>
            <w:tcW w:w="2715" w:type="dxa"/>
            <w:shd w:val="clear" w:color="auto" w:fill="auto"/>
            <w:vAlign w:val="center"/>
          </w:tcPr>
          <w:p w14:paraId="0F552B41" w14:textId="77777777" w:rsidR="005D35AE" w:rsidRPr="00E16672" w:rsidRDefault="005D35AE" w:rsidP="00C922B4">
            <w:pPr>
              <w:pStyle w:val="western"/>
              <w:snapToGrid w:val="0"/>
              <w:spacing w:before="0" w:after="0"/>
              <w:ind w:right="57" w:firstLine="0"/>
              <w:jc w:val="left"/>
              <w:rPr>
                <w:rFonts w:ascii="Times New Roman" w:hAnsi="Times New Roman"/>
                <w:bCs w:val="0"/>
                <w:szCs w:val="20"/>
                <w:lang w:val="uk-UA"/>
              </w:rPr>
            </w:pPr>
            <w:r w:rsidRPr="00E16672">
              <w:rPr>
                <w:rFonts w:ascii="Times New Roman" w:hAnsi="Times New Roman"/>
                <w:i/>
                <w:color w:val="000000"/>
                <w:sz w:val="18"/>
                <w:szCs w:val="18"/>
              </w:rPr>
              <w:t>Телефон</w:t>
            </w:r>
          </w:p>
        </w:tc>
        <w:tc>
          <w:tcPr>
            <w:tcW w:w="2268" w:type="dxa"/>
            <w:gridSpan w:val="3"/>
            <w:vAlign w:val="center"/>
          </w:tcPr>
          <w:p w14:paraId="516922D2" w14:textId="77777777" w:rsidR="005D35AE" w:rsidRPr="00E16672" w:rsidRDefault="00622BEB" w:rsidP="00C922B4">
            <w:pPr>
              <w:suppressAutoHyphens w:val="0"/>
              <w:ind w:firstLine="0"/>
              <w:jc w:val="left"/>
              <w:rPr>
                <w:rFonts w:ascii="Times New Roman" w:hAnsi="Times New Roman"/>
                <w:b/>
                <w:bCs/>
                <w:i/>
                <w:iCs/>
                <w:sz w:val="18"/>
                <w:szCs w:val="18"/>
                <w:lang w:val="en-US"/>
              </w:rPr>
            </w:pPr>
            <w:r>
              <w:rPr>
                <w:rFonts w:ascii="Times New Roman" w:hAnsi="Times New Roman"/>
                <w:bCs/>
                <w:sz w:val="18"/>
                <w:szCs w:val="18"/>
                <w:lang w:val="uk-UA"/>
              </w:rPr>
              <w:t>044 502 65 73</w:t>
            </w:r>
          </w:p>
        </w:tc>
      </w:tr>
      <w:tr w:rsidR="005D35AE" w:rsidRPr="00E16672" w14:paraId="49C77AF9" w14:textId="77777777" w:rsidTr="00C922B4">
        <w:trPr>
          <w:gridAfter w:val="1"/>
          <w:wAfter w:w="849" w:type="dxa"/>
        </w:trPr>
        <w:tc>
          <w:tcPr>
            <w:tcW w:w="4827" w:type="dxa"/>
            <w:gridSpan w:val="3"/>
            <w:shd w:val="clear" w:color="auto" w:fill="auto"/>
          </w:tcPr>
          <w:p w14:paraId="7FAA6315" w14:textId="77777777" w:rsidR="005D35AE" w:rsidRPr="00E16672" w:rsidRDefault="005D35AE" w:rsidP="00C922B4">
            <w:pPr>
              <w:pStyle w:val="western"/>
              <w:snapToGrid w:val="0"/>
              <w:spacing w:before="0" w:after="0"/>
              <w:ind w:left="-57" w:right="-57"/>
              <w:jc w:val="both"/>
              <w:rPr>
                <w:rFonts w:ascii="Times New Roman" w:hAnsi="Times New Roman"/>
                <w:i/>
                <w:iCs/>
                <w:szCs w:val="20"/>
                <w:lang w:val="en-US"/>
              </w:rPr>
            </w:pPr>
          </w:p>
        </w:tc>
        <w:tc>
          <w:tcPr>
            <w:tcW w:w="341" w:type="dxa"/>
            <w:shd w:val="clear" w:color="auto" w:fill="auto"/>
          </w:tcPr>
          <w:p w14:paraId="46A80C93" w14:textId="77777777" w:rsidR="005D35AE" w:rsidRPr="00E16672" w:rsidRDefault="005D35AE" w:rsidP="00C922B4">
            <w:pPr>
              <w:pStyle w:val="af7"/>
              <w:snapToGrid w:val="0"/>
              <w:rPr>
                <w:rFonts w:ascii="Times New Roman" w:hAnsi="Times New Roman"/>
                <w:szCs w:val="20"/>
              </w:rPr>
            </w:pPr>
          </w:p>
        </w:tc>
        <w:tc>
          <w:tcPr>
            <w:tcW w:w="2715" w:type="dxa"/>
            <w:shd w:val="clear" w:color="auto" w:fill="auto"/>
            <w:vAlign w:val="center"/>
          </w:tcPr>
          <w:p w14:paraId="37F73C31" w14:textId="77777777" w:rsidR="005D35AE" w:rsidRPr="00E16672" w:rsidRDefault="005D35AE" w:rsidP="00C922B4">
            <w:pPr>
              <w:snapToGrid w:val="0"/>
              <w:ind w:firstLine="0"/>
              <w:jc w:val="left"/>
              <w:rPr>
                <w:rFonts w:ascii="Times New Roman" w:hAnsi="Times New Roman"/>
                <w:b/>
                <w:i/>
                <w:color w:val="000000"/>
                <w:sz w:val="18"/>
                <w:szCs w:val="18"/>
                <w:lang w:val="uk-UA"/>
              </w:rPr>
            </w:pPr>
          </w:p>
          <w:p w14:paraId="22CD0702" w14:textId="77777777" w:rsidR="005D35AE" w:rsidRPr="00E16672" w:rsidRDefault="005D35AE" w:rsidP="00C922B4">
            <w:pPr>
              <w:pStyle w:val="western"/>
              <w:snapToGrid w:val="0"/>
              <w:spacing w:before="0" w:after="0"/>
              <w:ind w:right="57" w:firstLine="0"/>
              <w:jc w:val="left"/>
              <w:rPr>
                <w:rFonts w:ascii="Times New Roman" w:hAnsi="Times New Roman"/>
                <w:i/>
                <w:color w:val="000000"/>
                <w:sz w:val="18"/>
                <w:szCs w:val="18"/>
              </w:rPr>
            </w:pPr>
            <w:r w:rsidRPr="00E16672">
              <w:rPr>
                <w:rFonts w:ascii="Times New Roman" w:hAnsi="Times New Roman"/>
                <w:i/>
                <w:color w:val="000000"/>
                <w:sz w:val="18"/>
                <w:szCs w:val="18"/>
                <w:lang w:val="uk-UA"/>
              </w:rPr>
              <w:t>Ліцензія депозитарної установи (серія, номер, дата видачі)</w:t>
            </w:r>
          </w:p>
        </w:tc>
        <w:tc>
          <w:tcPr>
            <w:tcW w:w="2268" w:type="dxa"/>
            <w:gridSpan w:val="3"/>
            <w:vAlign w:val="center"/>
          </w:tcPr>
          <w:p w14:paraId="2E929E16" w14:textId="77777777" w:rsidR="005D35AE" w:rsidRPr="00E16672" w:rsidRDefault="005D35AE" w:rsidP="00C922B4">
            <w:pPr>
              <w:suppressAutoHyphens w:val="0"/>
              <w:ind w:firstLine="0"/>
              <w:jc w:val="left"/>
              <w:rPr>
                <w:rFonts w:ascii="Times New Roman" w:hAnsi="Times New Roman"/>
                <w:szCs w:val="20"/>
                <w:lang w:val="en-US"/>
              </w:rPr>
            </w:pPr>
            <w:r w:rsidRPr="00E16672">
              <w:rPr>
                <w:rFonts w:ascii="Times New Roman" w:hAnsi="Times New Roman"/>
                <w:bCs/>
                <w:sz w:val="18"/>
                <w:szCs w:val="18"/>
                <w:lang w:val="uk-UA"/>
              </w:rPr>
              <w:t xml:space="preserve">АЕ </w:t>
            </w:r>
            <w:r w:rsidR="00E16672" w:rsidRPr="00E16672">
              <w:rPr>
                <w:rFonts w:ascii="Times New Roman" w:hAnsi="Times New Roman"/>
                <w:bCs/>
                <w:sz w:val="18"/>
                <w:szCs w:val="18"/>
                <w:lang w:val="uk-UA"/>
              </w:rPr>
              <w:t>263429</w:t>
            </w:r>
            <w:r w:rsidRPr="00E16672">
              <w:rPr>
                <w:rFonts w:ascii="Times New Roman" w:hAnsi="Times New Roman"/>
                <w:bCs/>
                <w:sz w:val="18"/>
                <w:szCs w:val="18"/>
                <w:lang w:val="uk-UA"/>
              </w:rPr>
              <w:t xml:space="preserve">, </w:t>
            </w:r>
            <w:r w:rsidR="00E16672" w:rsidRPr="00E16672">
              <w:rPr>
                <w:rFonts w:ascii="Times New Roman" w:hAnsi="Times New Roman"/>
                <w:bCs/>
                <w:sz w:val="18"/>
                <w:szCs w:val="18"/>
                <w:lang w:val="uk-UA"/>
              </w:rPr>
              <w:t>01.10.2013</w:t>
            </w:r>
            <w:r w:rsidRPr="00E16672">
              <w:rPr>
                <w:rFonts w:ascii="Times New Roman" w:hAnsi="Times New Roman"/>
                <w:bCs/>
                <w:sz w:val="18"/>
                <w:szCs w:val="18"/>
                <w:lang w:val="uk-UA"/>
              </w:rPr>
              <w:t xml:space="preserve"> р.</w:t>
            </w:r>
          </w:p>
        </w:tc>
      </w:tr>
    </w:tbl>
    <w:p w14:paraId="04C57927" w14:textId="77777777" w:rsidR="005D35AE" w:rsidRPr="00E16672" w:rsidRDefault="005D35AE" w:rsidP="005D35AE">
      <w:pPr>
        <w:pStyle w:val="western"/>
        <w:spacing w:before="0" w:after="0"/>
        <w:jc w:val="left"/>
        <w:rPr>
          <w:rFonts w:ascii="Times New Roman" w:hAnsi="Times New Roman"/>
          <w:szCs w:val="20"/>
          <w:lang w:val="en-US"/>
        </w:rPr>
      </w:pPr>
      <w:r w:rsidRPr="00E16672">
        <w:rPr>
          <w:rFonts w:ascii="Times New Roman" w:hAnsi="Times New Roman"/>
          <w:szCs w:val="20"/>
          <w:lang w:val="en-US"/>
        </w:rPr>
        <w:t xml:space="preserve">                                                                                        </w:t>
      </w:r>
    </w:p>
    <w:p w14:paraId="26C586B7" w14:textId="77777777" w:rsidR="005D35AE" w:rsidRPr="00E16672" w:rsidRDefault="005D35AE" w:rsidP="005D35AE">
      <w:pPr>
        <w:pStyle w:val="ae"/>
        <w:rPr>
          <w:rFonts w:ascii="Times New Roman" w:hAnsi="Times New Roman"/>
          <w:b/>
          <w:szCs w:val="20"/>
        </w:rPr>
      </w:pPr>
    </w:p>
    <w:p w14:paraId="02CDE124" w14:textId="77777777" w:rsidR="005D35AE" w:rsidRPr="00E16672" w:rsidRDefault="005D35AE" w:rsidP="005D35AE">
      <w:pPr>
        <w:pStyle w:val="western"/>
        <w:spacing w:before="0" w:after="0"/>
        <w:ind w:hanging="1395"/>
        <w:jc w:val="both"/>
        <w:rPr>
          <w:rFonts w:ascii="Times New Roman" w:hAnsi="Times New Roman"/>
          <w:szCs w:val="20"/>
          <w:lang w:val="en-US"/>
        </w:rPr>
      </w:pPr>
      <w:r w:rsidRPr="00E16672">
        <w:rPr>
          <w:rFonts w:ascii="Times New Roman" w:hAnsi="Times New Roman"/>
          <w:szCs w:val="20"/>
          <w:lang w:val="en-US"/>
        </w:rPr>
        <w:t xml:space="preserve"> </w:t>
      </w:r>
    </w:p>
    <w:p w14:paraId="2F42E092" w14:textId="77777777" w:rsidR="005D35AE" w:rsidRPr="00E16672" w:rsidRDefault="005D35AE" w:rsidP="005D35AE">
      <w:pPr>
        <w:pStyle w:val="western"/>
        <w:spacing w:before="0" w:after="0"/>
        <w:ind w:left="1843" w:hanging="1395"/>
        <w:jc w:val="both"/>
        <w:rPr>
          <w:rFonts w:ascii="Times New Roman" w:hAnsi="Times New Roman"/>
          <w:szCs w:val="20"/>
          <w:lang w:val="en-US"/>
        </w:rPr>
      </w:pPr>
    </w:p>
    <w:p w14:paraId="33AE0740" w14:textId="77777777" w:rsidR="005D35AE" w:rsidRPr="00E16672" w:rsidRDefault="005D35AE" w:rsidP="005D35AE">
      <w:pPr>
        <w:pStyle w:val="western"/>
        <w:spacing w:before="0" w:after="0"/>
        <w:jc w:val="left"/>
        <w:rPr>
          <w:rFonts w:ascii="Times New Roman" w:hAnsi="Times New Roman"/>
          <w:sz w:val="18"/>
          <w:szCs w:val="18"/>
        </w:rPr>
      </w:pPr>
      <w:r w:rsidRPr="00E16672">
        <w:rPr>
          <w:rFonts w:ascii="Times New Roman" w:hAnsi="Times New Roman"/>
          <w:bCs w:val="0"/>
          <w:color w:val="000000"/>
          <w:sz w:val="18"/>
          <w:szCs w:val="18"/>
          <w:lang w:val="uk-UA"/>
        </w:rPr>
        <w:t>ЗАМОВНИК</w:t>
      </w:r>
      <w:r w:rsidRPr="00E16672">
        <w:rPr>
          <w:rFonts w:ascii="Times New Roman" w:hAnsi="Times New Roman"/>
          <w:sz w:val="18"/>
          <w:szCs w:val="18"/>
        </w:rPr>
        <w:t>:</w:t>
      </w:r>
      <w:r w:rsidRPr="00E16672">
        <w:rPr>
          <w:rFonts w:ascii="Times New Roman" w:hAnsi="Times New Roman"/>
          <w:szCs w:val="20"/>
        </w:rPr>
        <w:t xml:space="preserve">                                                                        </w:t>
      </w:r>
      <w:r w:rsidRPr="00E16672">
        <w:rPr>
          <w:rFonts w:ascii="Times New Roman" w:hAnsi="Times New Roman"/>
          <w:sz w:val="18"/>
          <w:szCs w:val="18"/>
        </w:rPr>
        <w:t xml:space="preserve"> </w:t>
      </w:r>
      <w:r w:rsidRPr="00E16672">
        <w:rPr>
          <w:rFonts w:ascii="Times New Roman" w:hAnsi="Times New Roman"/>
          <w:sz w:val="18"/>
          <w:szCs w:val="18"/>
          <w:lang w:val="uk-UA"/>
        </w:rPr>
        <w:t>ВИКОНАВЕЦЬ</w:t>
      </w:r>
      <w:r w:rsidRPr="00E16672">
        <w:rPr>
          <w:rFonts w:ascii="Times New Roman" w:hAnsi="Times New Roman"/>
          <w:sz w:val="18"/>
          <w:szCs w:val="18"/>
        </w:rPr>
        <w:t>:</w:t>
      </w:r>
    </w:p>
    <w:p w14:paraId="3658F44C" w14:textId="77777777" w:rsidR="005D35AE" w:rsidRPr="00E16672" w:rsidRDefault="005D35AE" w:rsidP="005D35AE">
      <w:pPr>
        <w:pStyle w:val="western"/>
        <w:spacing w:before="0" w:after="0"/>
        <w:ind w:left="-180"/>
        <w:jc w:val="left"/>
        <w:rPr>
          <w:rFonts w:ascii="Times New Roman" w:hAnsi="Times New Roman"/>
          <w:sz w:val="18"/>
          <w:szCs w:val="18"/>
        </w:rPr>
      </w:pPr>
      <w:r w:rsidRPr="00E16672">
        <w:rPr>
          <w:rFonts w:ascii="Times New Roman" w:hAnsi="Times New Roman"/>
          <w:sz w:val="18"/>
          <w:szCs w:val="18"/>
        </w:rPr>
        <w:t xml:space="preserve">                                                 </w:t>
      </w:r>
    </w:p>
    <w:p w14:paraId="0DA0DD7B" w14:textId="77777777" w:rsidR="005D35AE" w:rsidRPr="00E16672" w:rsidRDefault="005D35AE" w:rsidP="00F82710">
      <w:pPr>
        <w:pStyle w:val="western"/>
        <w:spacing w:before="0" w:after="0"/>
        <w:ind w:left="-180" w:firstLine="180"/>
        <w:jc w:val="left"/>
        <w:rPr>
          <w:rFonts w:ascii="Times New Roman" w:hAnsi="Times New Roman"/>
          <w:b w:val="0"/>
          <w:bCs w:val="0"/>
          <w:sz w:val="18"/>
          <w:szCs w:val="18"/>
        </w:rPr>
      </w:pPr>
      <w:r w:rsidRPr="00E16672">
        <w:rPr>
          <w:rFonts w:ascii="Times New Roman" w:hAnsi="Times New Roman"/>
          <w:sz w:val="18"/>
          <w:szCs w:val="18"/>
        </w:rPr>
        <w:t xml:space="preserve">         </w:t>
      </w:r>
      <w:r w:rsidRPr="00E16672">
        <w:rPr>
          <w:rFonts w:ascii="Times New Roman" w:hAnsi="Times New Roman"/>
          <w:b w:val="0"/>
          <w:bCs w:val="0"/>
          <w:sz w:val="18"/>
          <w:szCs w:val="18"/>
        </w:rPr>
        <w:t>____________</w:t>
      </w:r>
      <w:r w:rsidR="00F864F1">
        <w:rPr>
          <w:rFonts w:ascii="Times New Roman" w:hAnsi="Times New Roman"/>
          <w:b w:val="0"/>
          <w:bCs w:val="0"/>
          <w:sz w:val="18"/>
          <w:szCs w:val="18"/>
          <w:lang w:val="uk-UA"/>
        </w:rPr>
        <w:t>____</w:t>
      </w:r>
      <w:r w:rsidRPr="00E16672">
        <w:rPr>
          <w:rFonts w:ascii="Times New Roman" w:hAnsi="Times New Roman"/>
          <w:b w:val="0"/>
          <w:bCs w:val="0"/>
          <w:sz w:val="18"/>
          <w:szCs w:val="18"/>
        </w:rPr>
        <w:t>____( _______</w:t>
      </w:r>
      <w:r w:rsidR="00F864F1">
        <w:rPr>
          <w:rFonts w:ascii="Times New Roman" w:hAnsi="Times New Roman"/>
          <w:b w:val="0"/>
          <w:bCs w:val="0"/>
          <w:sz w:val="18"/>
          <w:szCs w:val="18"/>
          <w:lang w:val="uk-UA"/>
        </w:rPr>
        <w:t>____</w:t>
      </w:r>
      <w:r w:rsidRPr="00E16672">
        <w:rPr>
          <w:rFonts w:ascii="Times New Roman" w:hAnsi="Times New Roman"/>
          <w:b w:val="0"/>
          <w:bCs w:val="0"/>
          <w:sz w:val="18"/>
          <w:szCs w:val="18"/>
        </w:rPr>
        <w:t>_____)</w:t>
      </w:r>
      <w:r w:rsidRPr="00E16672">
        <w:rPr>
          <w:rFonts w:ascii="Times New Roman" w:hAnsi="Times New Roman"/>
          <w:sz w:val="18"/>
          <w:szCs w:val="18"/>
        </w:rPr>
        <w:t xml:space="preserve">                    </w:t>
      </w:r>
      <w:r w:rsidR="00602650">
        <w:rPr>
          <w:rFonts w:ascii="Times New Roman" w:hAnsi="Times New Roman"/>
          <w:sz w:val="18"/>
          <w:szCs w:val="18"/>
          <w:lang w:val="uk-UA"/>
        </w:rPr>
        <w:t xml:space="preserve">          </w:t>
      </w:r>
      <w:r w:rsidRPr="00E16672">
        <w:rPr>
          <w:rFonts w:ascii="Times New Roman" w:hAnsi="Times New Roman"/>
          <w:sz w:val="18"/>
          <w:szCs w:val="18"/>
        </w:rPr>
        <w:t xml:space="preserve">  _______</w:t>
      </w:r>
      <w:r w:rsidRPr="00E16672">
        <w:rPr>
          <w:rFonts w:ascii="Times New Roman" w:hAnsi="Times New Roman"/>
          <w:b w:val="0"/>
          <w:bCs w:val="0"/>
          <w:sz w:val="18"/>
          <w:szCs w:val="18"/>
        </w:rPr>
        <w:t>_______</w:t>
      </w:r>
      <w:r w:rsidR="00602650">
        <w:rPr>
          <w:rFonts w:ascii="Times New Roman" w:hAnsi="Times New Roman"/>
          <w:b w:val="0"/>
          <w:bCs w:val="0"/>
          <w:sz w:val="18"/>
          <w:szCs w:val="18"/>
          <w:lang w:val="uk-UA"/>
        </w:rPr>
        <w:t>_________</w:t>
      </w:r>
      <w:r w:rsidRPr="00E16672">
        <w:rPr>
          <w:rFonts w:ascii="Times New Roman" w:hAnsi="Times New Roman"/>
          <w:b w:val="0"/>
          <w:bCs w:val="0"/>
          <w:sz w:val="18"/>
          <w:szCs w:val="18"/>
        </w:rPr>
        <w:t>_</w:t>
      </w:r>
      <w:r w:rsidR="00F864F1">
        <w:rPr>
          <w:rFonts w:ascii="Times New Roman" w:hAnsi="Times New Roman"/>
          <w:b w:val="0"/>
          <w:bCs w:val="0"/>
          <w:sz w:val="18"/>
          <w:szCs w:val="18"/>
          <w:lang w:val="uk-UA"/>
        </w:rPr>
        <w:t xml:space="preserve"> </w:t>
      </w:r>
      <w:r w:rsidRPr="00E16672">
        <w:rPr>
          <w:rFonts w:ascii="Times New Roman" w:hAnsi="Times New Roman"/>
          <w:b w:val="0"/>
          <w:bCs w:val="0"/>
          <w:sz w:val="18"/>
          <w:szCs w:val="18"/>
        </w:rPr>
        <w:t>(</w:t>
      </w:r>
      <w:r w:rsidR="00F864F1">
        <w:rPr>
          <w:rFonts w:ascii="Times New Roman" w:hAnsi="Times New Roman"/>
          <w:b w:val="0"/>
          <w:bCs w:val="0"/>
          <w:sz w:val="18"/>
          <w:szCs w:val="18"/>
          <w:lang w:val="uk-UA"/>
        </w:rPr>
        <w:t>_________________</w:t>
      </w:r>
      <w:r w:rsidR="00565242">
        <w:rPr>
          <w:rFonts w:ascii="Times New Roman" w:hAnsi="Times New Roman"/>
          <w:b w:val="0"/>
          <w:bCs w:val="0"/>
          <w:sz w:val="18"/>
          <w:szCs w:val="18"/>
          <w:lang w:val="uk-UA"/>
        </w:rPr>
        <w:t>.</w:t>
      </w:r>
      <w:r w:rsidRPr="00E16672">
        <w:rPr>
          <w:rFonts w:ascii="Times New Roman" w:hAnsi="Times New Roman"/>
          <w:b w:val="0"/>
          <w:bCs w:val="0"/>
          <w:sz w:val="18"/>
          <w:szCs w:val="18"/>
        </w:rPr>
        <w:t xml:space="preserve">) </w:t>
      </w:r>
    </w:p>
    <w:p w14:paraId="6F5D714D" w14:textId="77777777" w:rsidR="005D35AE" w:rsidRPr="00E16672" w:rsidRDefault="005D35AE" w:rsidP="005D35AE">
      <w:pPr>
        <w:pStyle w:val="1"/>
        <w:tabs>
          <w:tab w:val="left" w:pos="0"/>
          <w:tab w:val="left" w:pos="720"/>
        </w:tabs>
        <w:jc w:val="both"/>
        <w:rPr>
          <w:rFonts w:ascii="Times New Roman" w:hAnsi="Times New Roman" w:cs="Times New Roman"/>
          <w:color w:val="000000"/>
          <w:sz w:val="20"/>
          <w:szCs w:val="20"/>
        </w:rPr>
      </w:pPr>
      <w:r w:rsidRPr="00E16672">
        <w:rPr>
          <w:rFonts w:ascii="Times New Roman" w:hAnsi="Times New Roman" w:cs="Times New Roman"/>
          <w:b w:val="0"/>
          <w:bCs w:val="0"/>
          <w:szCs w:val="20"/>
          <w:lang w:val="uk-UA"/>
        </w:rPr>
        <w:t xml:space="preserve">  </w:t>
      </w:r>
      <w:r w:rsidRPr="00E16672">
        <w:rPr>
          <w:rFonts w:ascii="Times New Roman" w:hAnsi="Times New Roman" w:cs="Times New Roman"/>
          <w:b w:val="0"/>
          <w:bCs w:val="0"/>
          <w:sz w:val="18"/>
          <w:szCs w:val="18"/>
          <w:lang w:val="uk-UA"/>
        </w:rPr>
        <w:t xml:space="preserve">     </w:t>
      </w:r>
      <w:r w:rsidRPr="00E16672">
        <w:rPr>
          <w:rFonts w:ascii="Times New Roman" w:hAnsi="Times New Roman" w:cs="Times New Roman"/>
          <w:b w:val="0"/>
          <w:bCs w:val="0"/>
          <w:i/>
          <w:sz w:val="18"/>
          <w:szCs w:val="18"/>
          <w:lang w:val="uk-UA"/>
        </w:rPr>
        <w:t>В.</w:t>
      </w:r>
      <w:r w:rsidRPr="00E16672">
        <w:rPr>
          <w:rFonts w:ascii="Times New Roman" w:hAnsi="Times New Roman" w:cs="Times New Roman"/>
          <w:b w:val="0"/>
          <w:bCs w:val="0"/>
          <w:i/>
          <w:color w:val="000000"/>
          <w:sz w:val="18"/>
          <w:szCs w:val="18"/>
          <w:lang w:val="uk-UA"/>
        </w:rPr>
        <w:t>П. (</w:t>
      </w:r>
      <w:r w:rsidR="003352AE" w:rsidRPr="00E16672">
        <w:rPr>
          <w:rFonts w:ascii="Times New Roman" w:hAnsi="Times New Roman" w:cs="Times New Roman"/>
          <w:b w:val="0"/>
          <w:bCs w:val="0"/>
          <w:i/>
          <w:color w:val="000000"/>
          <w:sz w:val="18"/>
          <w:szCs w:val="18"/>
          <w:lang w:val="uk-UA"/>
        </w:rPr>
        <w:t>у разі використання</w:t>
      </w:r>
      <w:r w:rsidRPr="00E16672">
        <w:rPr>
          <w:rFonts w:ascii="Times New Roman" w:hAnsi="Times New Roman" w:cs="Times New Roman"/>
          <w:b w:val="0"/>
          <w:bCs w:val="0"/>
          <w:i/>
          <w:color w:val="000000"/>
          <w:sz w:val="18"/>
          <w:szCs w:val="18"/>
          <w:lang w:val="uk-UA"/>
        </w:rPr>
        <w:t>)</w:t>
      </w:r>
      <w:r w:rsidR="00516E92" w:rsidRPr="00E16672">
        <w:rPr>
          <w:rFonts w:ascii="Times New Roman" w:hAnsi="Times New Roman" w:cs="Times New Roman"/>
          <w:b w:val="0"/>
          <w:bCs w:val="0"/>
          <w:i/>
          <w:color w:val="000000"/>
          <w:sz w:val="18"/>
          <w:szCs w:val="18"/>
          <w:lang w:val="uk-UA"/>
        </w:rPr>
        <w:t>,</w:t>
      </w:r>
      <w:r w:rsidRPr="00E16672">
        <w:rPr>
          <w:rFonts w:ascii="Times New Roman" w:hAnsi="Times New Roman" w:cs="Times New Roman"/>
          <w:b w:val="0"/>
          <w:bCs w:val="0"/>
          <w:i/>
          <w:color w:val="000000"/>
          <w:sz w:val="18"/>
          <w:szCs w:val="18"/>
          <w:lang w:val="uk-UA"/>
        </w:rPr>
        <w:t xml:space="preserve"> підпис</w:t>
      </w:r>
      <w:r w:rsidRPr="00E16672">
        <w:rPr>
          <w:rFonts w:ascii="Times New Roman" w:hAnsi="Times New Roman" w:cs="Times New Roman"/>
          <w:b w:val="0"/>
          <w:bCs w:val="0"/>
          <w:sz w:val="18"/>
          <w:szCs w:val="18"/>
          <w:lang w:val="uk-UA"/>
        </w:rPr>
        <w:t xml:space="preserve">                                               В</w:t>
      </w:r>
      <w:r w:rsidRPr="00E16672">
        <w:rPr>
          <w:rFonts w:ascii="Times New Roman" w:hAnsi="Times New Roman" w:cs="Times New Roman"/>
          <w:b w:val="0"/>
          <w:bCs w:val="0"/>
          <w:i/>
          <w:iCs/>
          <w:sz w:val="18"/>
          <w:szCs w:val="18"/>
          <w:lang w:val="uk-UA"/>
        </w:rPr>
        <w:t>.П., підпис</w:t>
      </w:r>
    </w:p>
    <w:p w14:paraId="6ED08AF6" w14:textId="77777777" w:rsidR="005D35AE" w:rsidRPr="00E16672" w:rsidRDefault="005D35AE" w:rsidP="006D2BB7">
      <w:pPr>
        <w:pStyle w:val="1"/>
        <w:tabs>
          <w:tab w:val="left" w:pos="0"/>
          <w:tab w:val="left" w:pos="720"/>
        </w:tabs>
        <w:rPr>
          <w:rFonts w:ascii="Times New Roman" w:hAnsi="Times New Roman" w:cs="Times New Roman"/>
          <w:color w:val="000000"/>
          <w:sz w:val="20"/>
          <w:szCs w:val="20"/>
        </w:rPr>
      </w:pPr>
    </w:p>
    <w:p w14:paraId="516FE019" w14:textId="77777777" w:rsidR="005D35AE" w:rsidRPr="00E16672" w:rsidRDefault="005D35AE" w:rsidP="006D2BB7">
      <w:pPr>
        <w:pStyle w:val="1"/>
        <w:tabs>
          <w:tab w:val="left" w:pos="0"/>
          <w:tab w:val="left" w:pos="720"/>
        </w:tabs>
        <w:rPr>
          <w:rFonts w:ascii="Times New Roman" w:hAnsi="Times New Roman" w:cs="Times New Roman"/>
          <w:color w:val="000000"/>
          <w:sz w:val="20"/>
          <w:szCs w:val="20"/>
        </w:rPr>
      </w:pPr>
    </w:p>
    <w:p w14:paraId="4BF50C1A" w14:textId="77777777" w:rsidR="006D2BB7" w:rsidRPr="00E16672" w:rsidRDefault="006D2BB7" w:rsidP="006D2BB7">
      <w:pPr>
        <w:widowControl w:val="0"/>
        <w:tabs>
          <w:tab w:val="left" w:pos="9360"/>
        </w:tabs>
        <w:snapToGrid w:val="0"/>
        <w:spacing w:line="360" w:lineRule="auto"/>
        <w:ind w:right="-6"/>
        <w:jc w:val="right"/>
        <w:rPr>
          <w:rFonts w:ascii="Times New Roman" w:hAnsi="Times New Roman"/>
          <w:iCs/>
          <w:color w:val="0000FF"/>
          <w:kern w:val="1"/>
          <w:lang w:val="uk-UA"/>
        </w:rPr>
      </w:pPr>
    </w:p>
    <w:p w14:paraId="12DE264D" w14:textId="77777777" w:rsidR="006D2BB7" w:rsidRPr="00E16672" w:rsidRDefault="006D2BB7" w:rsidP="006D2BB7">
      <w:pPr>
        <w:widowControl w:val="0"/>
        <w:tabs>
          <w:tab w:val="left" w:pos="9360"/>
        </w:tabs>
        <w:snapToGrid w:val="0"/>
        <w:spacing w:line="360" w:lineRule="auto"/>
        <w:ind w:right="-6"/>
        <w:jc w:val="right"/>
        <w:rPr>
          <w:rFonts w:ascii="Times New Roman" w:hAnsi="Times New Roman"/>
          <w:iCs/>
          <w:color w:val="0000FF"/>
          <w:kern w:val="1"/>
          <w:lang w:val="uk-UA"/>
        </w:rPr>
      </w:pPr>
    </w:p>
    <w:p w14:paraId="6F701E2E" w14:textId="77777777" w:rsidR="006D2BB7" w:rsidRPr="00E16672" w:rsidRDefault="006D2BB7" w:rsidP="006D2BB7">
      <w:pPr>
        <w:widowControl w:val="0"/>
        <w:tabs>
          <w:tab w:val="left" w:pos="9360"/>
        </w:tabs>
        <w:snapToGrid w:val="0"/>
        <w:spacing w:line="360" w:lineRule="auto"/>
        <w:ind w:right="-6"/>
        <w:jc w:val="right"/>
        <w:rPr>
          <w:rFonts w:ascii="Times New Roman" w:hAnsi="Times New Roman"/>
          <w:iCs/>
          <w:color w:val="0000FF"/>
          <w:kern w:val="1"/>
          <w:lang w:val="uk-UA"/>
        </w:rPr>
      </w:pPr>
    </w:p>
    <w:p w14:paraId="3B42AC1E" w14:textId="77777777" w:rsidR="006D2BB7" w:rsidRPr="00E16672" w:rsidRDefault="006D2BB7" w:rsidP="006D2BB7">
      <w:pPr>
        <w:widowControl w:val="0"/>
        <w:tabs>
          <w:tab w:val="left" w:pos="9360"/>
        </w:tabs>
        <w:snapToGrid w:val="0"/>
        <w:spacing w:line="360" w:lineRule="auto"/>
        <w:ind w:right="-6"/>
        <w:jc w:val="right"/>
        <w:rPr>
          <w:rFonts w:ascii="Times New Roman" w:hAnsi="Times New Roman"/>
          <w:iCs/>
          <w:color w:val="0000FF"/>
          <w:kern w:val="1"/>
          <w:lang w:val="uk-UA"/>
        </w:rPr>
      </w:pPr>
    </w:p>
    <w:p w14:paraId="07D1D9D6" w14:textId="77777777" w:rsidR="006D2BB7" w:rsidRPr="00E16672" w:rsidRDefault="006D2BB7" w:rsidP="006D2BB7">
      <w:pPr>
        <w:widowControl w:val="0"/>
        <w:tabs>
          <w:tab w:val="left" w:pos="9360"/>
        </w:tabs>
        <w:snapToGrid w:val="0"/>
        <w:spacing w:line="360" w:lineRule="auto"/>
        <w:ind w:right="-6"/>
        <w:jc w:val="right"/>
        <w:rPr>
          <w:rFonts w:ascii="Times New Roman" w:hAnsi="Times New Roman"/>
          <w:iCs/>
          <w:color w:val="0000FF"/>
          <w:kern w:val="1"/>
          <w:lang w:val="uk-UA"/>
        </w:rPr>
      </w:pPr>
    </w:p>
    <w:p w14:paraId="189E9F8A" w14:textId="77777777" w:rsidR="006D2BB7" w:rsidRPr="00E16672" w:rsidRDefault="006D2BB7" w:rsidP="006D2BB7">
      <w:pPr>
        <w:widowControl w:val="0"/>
        <w:tabs>
          <w:tab w:val="left" w:pos="9360"/>
        </w:tabs>
        <w:snapToGrid w:val="0"/>
        <w:spacing w:line="360" w:lineRule="auto"/>
        <w:ind w:right="-6"/>
        <w:jc w:val="right"/>
        <w:rPr>
          <w:rFonts w:ascii="Times New Roman" w:hAnsi="Times New Roman"/>
          <w:iCs/>
          <w:color w:val="0000FF"/>
          <w:kern w:val="1"/>
          <w:lang w:val="uk-UA"/>
        </w:rPr>
      </w:pPr>
    </w:p>
    <w:p w14:paraId="185B3ED6" w14:textId="77777777" w:rsidR="006D2BB7" w:rsidRPr="00E16672" w:rsidRDefault="006D2BB7" w:rsidP="006D2BB7">
      <w:pPr>
        <w:widowControl w:val="0"/>
        <w:tabs>
          <w:tab w:val="left" w:pos="9360"/>
        </w:tabs>
        <w:snapToGrid w:val="0"/>
        <w:spacing w:line="360" w:lineRule="auto"/>
        <w:ind w:right="-6"/>
        <w:jc w:val="right"/>
        <w:rPr>
          <w:rFonts w:ascii="Times New Roman" w:hAnsi="Times New Roman"/>
          <w:iCs/>
          <w:color w:val="0000FF"/>
          <w:kern w:val="1"/>
          <w:lang w:val="uk-UA"/>
        </w:rPr>
      </w:pPr>
    </w:p>
    <w:p w14:paraId="7F865913" w14:textId="77777777" w:rsidR="006D2BB7" w:rsidRPr="00E16672" w:rsidRDefault="006D2BB7" w:rsidP="006D2BB7">
      <w:pPr>
        <w:widowControl w:val="0"/>
        <w:tabs>
          <w:tab w:val="left" w:pos="9360"/>
        </w:tabs>
        <w:snapToGrid w:val="0"/>
        <w:spacing w:line="360" w:lineRule="auto"/>
        <w:ind w:right="-6"/>
        <w:jc w:val="right"/>
        <w:rPr>
          <w:rFonts w:ascii="Times New Roman" w:hAnsi="Times New Roman"/>
          <w:iCs/>
          <w:color w:val="0000FF"/>
          <w:kern w:val="1"/>
          <w:lang w:val="uk-UA"/>
        </w:rPr>
      </w:pPr>
    </w:p>
    <w:p w14:paraId="60143D17" w14:textId="77777777" w:rsidR="00010BDE" w:rsidRPr="00E16672" w:rsidRDefault="00010BDE" w:rsidP="00010BDE">
      <w:pPr>
        <w:tabs>
          <w:tab w:val="left" w:pos="-1843"/>
          <w:tab w:val="left" w:pos="-1701"/>
        </w:tabs>
        <w:jc w:val="right"/>
        <w:rPr>
          <w:rFonts w:ascii="Times New Roman" w:hAnsi="Times New Roman"/>
          <w:i/>
          <w:iCs/>
          <w:color w:val="000000"/>
          <w:lang w:val="uk-UA"/>
        </w:rPr>
      </w:pPr>
    </w:p>
    <w:p w14:paraId="037879B2" w14:textId="77777777" w:rsidR="00010BDE" w:rsidRPr="00E16672" w:rsidRDefault="00010BDE" w:rsidP="00010BDE">
      <w:pPr>
        <w:tabs>
          <w:tab w:val="left" w:pos="-1843"/>
          <w:tab w:val="left" w:pos="-1701"/>
        </w:tabs>
        <w:jc w:val="right"/>
        <w:rPr>
          <w:rFonts w:ascii="Times New Roman" w:hAnsi="Times New Roman"/>
          <w:i/>
          <w:iCs/>
          <w:color w:val="000000"/>
          <w:lang w:val="uk-UA"/>
        </w:rPr>
      </w:pPr>
    </w:p>
    <w:p w14:paraId="3FE14914" w14:textId="77777777" w:rsidR="00010BDE" w:rsidRPr="00E16672" w:rsidRDefault="00010BDE" w:rsidP="00010BDE">
      <w:pPr>
        <w:tabs>
          <w:tab w:val="left" w:pos="-1843"/>
          <w:tab w:val="left" w:pos="-1701"/>
        </w:tabs>
        <w:jc w:val="right"/>
        <w:rPr>
          <w:rFonts w:ascii="Times New Roman" w:hAnsi="Times New Roman"/>
          <w:i/>
          <w:iCs/>
          <w:color w:val="000000"/>
          <w:lang w:val="uk-UA"/>
        </w:rPr>
      </w:pPr>
    </w:p>
    <w:p w14:paraId="40BD4C92" w14:textId="77777777" w:rsidR="00010BDE" w:rsidRPr="00E16672" w:rsidRDefault="00010BDE" w:rsidP="00010BDE">
      <w:pPr>
        <w:tabs>
          <w:tab w:val="left" w:pos="-1843"/>
          <w:tab w:val="left" w:pos="-1701"/>
        </w:tabs>
        <w:jc w:val="right"/>
        <w:rPr>
          <w:rFonts w:ascii="Times New Roman" w:hAnsi="Times New Roman"/>
          <w:i/>
          <w:iCs/>
          <w:color w:val="000000"/>
          <w:lang w:val="uk-UA"/>
        </w:rPr>
      </w:pPr>
    </w:p>
    <w:p w14:paraId="392F61BE" w14:textId="77777777" w:rsidR="00010BDE" w:rsidRPr="00E16672" w:rsidRDefault="00010BDE" w:rsidP="00010BDE">
      <w:pPr>
        <w:tabs>
          <w:tab w:val="left" w:pos="-1843"/>
          <w:tab w:val="left" w:pos="-1701"/>
        </w:tabs>
        <w:jc w:val="right"/>
        <w:rPr>
          <w:rFonts w:ascii="Times New Roman" w:hAnsi="Times New Roman"/>
          <w:i/>
          <w:iCs/>
          <w:color w:val="000000"/>
          <w:lang w:val="uk-UA"/>
        </w:rPr>
      </w:pPr>
    </w:p>
    <w:p w14:paraId="69C594A8" w14:textId="77777777" w:rsidR="00010BDE" w:rsidRPr="00E16672" w:rsidRDefault="00010BDE" w:rsidP="00010BDE">
      <w:pPr>
        <w:tabs>
          <w:tab w:val="left" w:pos="-1843"/>
          <w:tab w:val="left" w:pos="-1701"/>
        </w:tabs>
        <w:jc w:val="right"/>
        <w:rPr>
          <w:rFonts w:ascii="Times New Roman" w:hAnsi="Times New Roman"/>
          <w:i/>
          <w:iCs/>
          <w:color w:val="000000"/>
          <w:lang w:val="uk-UA"/>
        </w:rPr>
      </w:pPr>
    </w:p>
    <w:p w14:paraId="5BE4DAAE" w14:textId="77777777" w:rsidR="00010BDE" w:rsidRPr="00E16672" w:rsidRDefault="00010BDE" w:rsidP="00010BDE">
      <w:pPr>
        <w:tabs>
          <w:tab w:val="left" w:pos="-1843"/>
          <w:tab w:val="left" w:pos="-1701"/>
        </w:tabs>
        <w:jc w:val="right"/>
        <w:rPr>
          <w:rFonts w:ascii="Times New Roman" w:hAnsi="Times New Roman"/>
          <w:i/>
          <w:iCs/>
          <w:color w:val="000000"/>
          <w:lang w:val="uk-UA"/>
        </w:rPr>
      </w:pPr>
    </w:p>
    <w:p w14:paraId="75A62365" w14:textId="77777777" w:rsidR="00010BDE" w:rsidRPr="00E16672" w:rsidRDefault="00010BDE" w:rsidP="00010BDE">
      <w:pPr>
        <w:tabs>
          <w:tab w:val="left" w:pos="-1843"/>
          <w:tab w:val="left" w:pos="-1701"/>
        </w:tabs>
        <w:jc w:val="right"/>
        <w:rPr>
          <w:rFonts w:ascii="Times New Roman" w:hAnsi="Times New Roman"/>
          <w:i/>
          <w:iCs/>
          <w:color w:val="000000"/>
          <w:lang w:val="uk-UA"/>
        </w:rPr>
      </w:pPr>
    </w:p>
    <w:p w14:paraId="01A8BFE6" w14:textId="77777777" w:rsidR="00010BDE" w:rsidRPr="00E16672" w:rsidRDefault="00010BDE" w:rsidP="00010BDE">
      <w:pPr>
        <w:tabs>
          <w:tab w:val="left" w:pos="-1843"/>
          <w:tab w:val="left" w:pos="-1701"/>
        </w:tabs>
        <w:jc w:val="right"/>
        <w:rPr>
          <w:rFonts w:ascii="Times New Roman" w:hAnsi="Times New Roman"/>
          <w:i/>
          <w:iCs/>
          <w:color w:val="000000"/>
          <w:lang w:val="uk-UA"/>
        </w:rPr>
      </w:pPr>
    </w:p>
    <w:p w14:paraId="41D684BD" w14:textId="77777777" w:rsidR="00010BDE" w:rsidRPr="00E16672" w:rsidRDefault="00010BDE" w:rsidP="00010BDE">
      <w:pPr>
        <w:tabs>
          <w:tab w:val="left" w:pos="-1843"/>
          <w:tab w:val="left" w:pos="-1701"/>
        </w:tabs>
        <w:jc w:val="right"/>
        <w:rPr>
          <w:rFonts w:ascii="Times New Roman" w:hAnsi="Times New Roman"/>
          <w:i/>
          <w:iCs/>
          <w:color w:val="000000"/>
          <w:lang w:val="uk-UA"/>
        </w:rPr>
      </w:pPr>
    </w:p>
    <w:p w14:paraId="5DAF2A9D" w14:textId="77777777" w:rsidR="00010BDE" w:rsidRPr="00E16672" w:rsidRDefault="00010BDE" w:rsidP="00010BDE">
      <w:pPr>
        <w:tabs>
          <w:tab w:val="left" w:pos="-1843"/>
          <w:tab w:val="left" w:pos="-1701"/>
        </w:tabs>
        <w:jc w:val="right"/>
        <w:rPr>
          <w:rFonts w:ascii="Times New Roman" w:hAnsi="Times New Roman"/>
          <w:i/>
          <w:iCs/>
          <w:color w:val="000000"/>
          <w:lang w:val="uk-UA"/>
        </w:rPr>
      </w:pPr>
    </w:p>
    <w:p w14:paraId="2402BA2E" w14:textId="77777777" w:rsidR="00010BDE" w:rsidRPr="00E16672" w:rsidRDefault="00010BDE" w:rsidP="00010BDE">
      <w:pPr>
        <w:tabs>
          <w:tab w:val="left" w:pos="-1843"/>
          <w:tab w:val="left" w:pos="-1701"/>
        </w:tabs>
        <w:jc w:val="right"/>
        <w:rPr>
          <w:rFonts w:ascii="Times New Roman" w:hAnsi="Times New Roman"/>
          <w:i/>
          <w:iCs/>
          <w:color w:val="000000"/>
          <w:lang w:val="uk-UA"/>
        </w:rPr>
      </w:pPr>
    </w:p>
    <w:p w14:paraId="17AD34D4" w14:textId="77777777" w:rsidR="00010BDE" w:rsidRPr="00E16672" w:rsidRDefault="00010BDE" w:rsidP="00010BDE">
      <w:pPr>
        <w:tabs>
          <w:tab w:val="left" w:pos="-1843"/>
          <w:tab w:val="left" w:pos="-1701"/>
        </w:tabs>
        <w:jc w:val="right"/>
        <w:rPr>
          <w:rFonts w:ascii="Times New Roman" w:hAnsi="Times New Roman"/>
          <w:i/>
          <w:iCs/>
          <w:color w:val="000000"/>
          <w:lang w:val="uk-UA"/>
        </w:rPr>
      </w:pPr>
    </w:p>
    <w:p w14:paraId="6AD072BE" w14:textId="77777777" w:rsidR="00010BDE" w:rsidRPr="00E16672" w:rsidRDefault="00010BDE" w:rsidP="00010BDE">
      <w:pPr>
        <w:tabs>
          <w:tab w:val="left" w:pos="-1843"/>
          <w:tab w:val="left" w:pos="-1701"/>
        </w:tabs>
        <w:jc w:val="right"/>
        <w:rPr>
          <w:rFonts w:ascii="Times New Roman" w:hAnsi="Times New Roman"/>
          <w:i/>
          <w:iCs/>
          <w:color w:val="000000"/>
          <w:lang w:val="uk-UA"/>
        </w:rPr>
      </w:pPr>
    </w:p>
    <w:p w14:paraId="59CED909" w14:textId="77777777" w:rsidR="00010BDE" w:rsidRPr="00E16672" w:rsidRDefault="00010BDE" w:rsidP="00010BDE">
      <w:pPr>
        <w:tabs>
          <w:tab w:val="left" w:pos="-1843"/>
          <w:tab w:val="left" w:pos="-1701"/>
        </w:tabs>
        <w:jc w:val="right"/>
        <w:rPr>
          <w:rFonts w:ascii="Times New Roman" w:hAnsi="Times New Roman"/>
          <w:i/>
          <w:iCs/>
          <w:color w:val="000000"/>
          <w:lang w:val="uk-UA"/>
        </w:rPr>
      </w:pPr>
    </w:p>
    <w:p w14:paraId="6F690B67" w14:textId="77777777" w:rsidR="00010BDE" w:rsidRPr="00E16672" w:rsidRDefault="00010BDE" w:rsidP="00010BDE">
      <w:pPr>
        <w:tabs>
          <w:tab w:val="left" w:pos="-1843"/>
          <w:tab w:val="left" w:pos="-1701"/>
        </w:tabs>
        <w:jc w:val="right"/>
        <w:rPr>
          <w:rFonts w:ascii="Times New Roman" w:hAnsi="Times New Roman"/>
          <w:i/>
          <w:iCs/>
          <w:color w:val="000000"/>
          <w:lang w:val="uk-UA"/>
        </w:rPr>
      </w:pPr>
    </w:p>
    <w:p w14:paraId="2BE76628" w14:textId="77777777" w:rsidR="00010BDE" w:rsidRPr="00E16672" w:rsidRDefault="00010BDE" w:rsidP="00010BDE">
      <w:pPr>
        <w:tabs>
          <w:tab w:val="left" w:pos="-1843"/>
          <w:tab w:val="left" w:pos="-1701"/>
        </w:tabs>
        <w:jc w:val="right"/>
        <w:rPr>
          <w:rFonts w:ascii="Times New Roman" w:hAnsi="Times New Roman"/>
          <w:i/>
          <w:iCs/>
          <w:color w:val="000000"/>
          <w:lang w:val="uk-UA"/>
        </w:rPr>
      </w:pPr>
    </w:p>
    <w:p w14:paraId="6746CA32" w14:textId="77777777" w:rsidR="00010BDE" w:rsidRPr="00E16672" w:rsidRDefault="00010BDE" w:rsidP="00010BDE">
      <w:pPr>
        <w:tabs>
          <w:tab w:val="left" w:pos="-1843"/>
          <w:tab w:val="left" w:pos="-1701"/>
        </w:tabs>
        <w:jc w:val="right"/>
        <w:rPr>
          <w:rFonts w:ascii="Times New Roman" w:hAnsi="Times New Roman"/>
          <w:i/>
          <w:iCs/>
          <w:color w:val="000000"/>
          <w:lang w:val="uk-UA"/>
        </w:rPr>
      </w:pPr>
    </w:p>
    <w:p w14:paraId="21C7CCD0" w14:textId="77777777" w:rsidR="00010BDE" w:rsidRPr="00E16672" w:rsidRDefault="00010BDE" w:rsidP="00010BDE">
      <w:pPr>
        <w:tabs>
          <w:tab w:val="left" w:pos="-1843"/>
          <w:tab w:val="left" w:pos="-1701"/>
        </w:tabs>
        <w:jc w:val="right"/>
        <w:rPr>
          <w:rFonts w:ascii="Times New Roman" w:hAnsi="Times New Roman"/>
          <w:i/>
          <w:iCs/>
          <w:color w:val="000000"/>
          <w:lang w:val="uk-UA"/>
        </w:rPr>
      </w:pPr>
    </w:p>
    <w:p w14:paraId="09090994" w14:textId="77777777" w:rsidR="00010BDE" w:rsidRPr="00E16672" w:rsidRDefault="00010BDE" w:rsidP="00010BDE">
      <w:pPr>
        <w:tabs>
          <w:tab w:val="left" w:pos="-1843"/>
          <w:tab w:val="left" w:pos="-1701"/>
        </w:tabs>
        <w:jc w:val="right"/>
        <w:rPr>
          <w:rFonts w:ascii="Times New Roman" w:hAnsi="Times New Roman"/>
          <w:i/>
          <w:iCs/>
          <w:color w:val="000000"/>
          <w:lang w:val="uk-UA"/>
        </w:rPr>
      </w:pPr>
    </w:p>
    <w:p w14:paraId="3AC12737" w14:textId="77777777" w:rsidR="00010BDE" w:rsidRPr="00E16672" w:rsidRDefault="00010BDE" w:rsidP="00010BDE">
      <w:pPr>
        <w:tabs>
          <w:tab w:val="left" w:pos="-1843"/>
          <w:tab w:val="left" w:pos="-1701"/>
        </w:tabs>
        <w:jc w:val="right"/>
        <w:rPr>
          <w:rFonts w:ascii="Times New Roman" w:hAnsi="Times New Roman"/>
          <w:i/>
          <w:iCs/>
          <w:color w:val="000000"/>
          <w:lang w:val="uk-UA"/>
        </w:rPr>
      </w:pPr>
    </w:p>
    <w:p w14:paraId="1F0A4884" w14:textId="77777777" w:rsidR="00010BDE" w:rsidRPr="00E16672" w:rsidRDefault="00010BDE" w:rsidP="00010BDE">
      <w:pPr>
        <w:tabs>
          <w:tab w:val="left" w:pos="-1843"/>
          <w:tab w:val="left" w:pos="-1701"/>
        </w:tabs>
        <w:jc w:val="right"/>
        <w:rPr>
          <w:rFonts w:ascii="Times New Roman" w:hAnsi="Times New Roman"/>
          <w:i/>
          <w:iCs/>
          <w:color w:val="000000"/>
          <w:lang w:val="uk-UA"/>
        </w:rPr>
      </w:pPr>
    </w:p>
    <w:p w14:paraId="688CBA21" w14:textId="77777777" w:rsidR="00CE0D17" w:rsidRDefault="00CE0D17" w:rsidP="00010BDE">
      <w:pPr>
        <w:tabs>
          <w:tab w:val="left" w:pos="-1843"/>
          <w:tab w:val="left" w:pos="-1701"/>
        </w:tabs>
        <w:jc w:val="right"/>
        <w:rPr>
          <w:rFonts w:ascii="Times New Roman" w:hAnsi="Times New Roman"/>
          <w:i/>
          <w:iCs/>
          <w:color w:val="000000"/>
          <w:lang w:val="uk-UA"/>
        </w:rPr>
      </w:pPr>
    </w:p>
    <w:p w14:paraId="79CD7D72" w14:textId="77777777" w:rsidR="00CE0D17" w:rsidRDefault="00CE0D17" w:rsidP="00010BDE">
      <w:pPr>
        <w:tabs>
          <w:tab w:val="left" w:pos="-1843"/>
          <w:tab w:val="left" w:pos="-1701"/>
        </w:tabs>
        <w:jc w:val="right"/>
        <w:rPr>
          <w:rFonts w:ascii="Times New Roman" w:hAnsi="Times New Roman"/>
          <w:i/>
          <w:iCs/>
          <w:color w:val="000000"/>
          <w:lang w:val="uk-UA"/>
        </w:rPr>
      </w:pPr>
    </w:p>
    <w:p w14:paraId="5B52691C" w14:textId="77777777" w:rsidR="00CE0D17" w:rsidRDefault="00CE0D17" w:rsidP="00010BDE">
      <w:pPr>
        <w:tabs>
          <w:tab w:val="left" w:pos="-1843"/>
          <w:tab w:val="left" w:pos="-1701"/>
        </w:tabs>
        <w:jc w:val="right"/>
        <w:rPr>
          <w:rFonts w:ascii="Times New Roman" w:hAnsi="Times New Roman"/>
          <w:i/>
          <w:iCs/>
          <w:color w:val="000000"/>
          <w:lang w:val="uk-UA"/>
        </w:rPr>
      </w:pPr>
    </w:p>
    <w:p w14:paraId="03974A31" w14:textId="77777777" w:rsidR="00CE0D17" w:rsidRDefault="00CE0D17" w:rsidP="00010BDE">
      <w:pPr>
        <w:tabs>
          <w:tab w:val="left" w:pos="-1843"/>
          <w:tab w:val="left" w:pos="-1701"/>
        </w:tabs>
        <w:jc w:val="right"/>
        <w:rPr>
          <w:rFonts w:ascii="Times New Roman" w:hAnsi="Times New Roman"/>
          <w:i/>
          <w:iCs/>
          <w:color w:val="000000"/>
          <w:lang w:val="uk-UA"/>
        </w:rPr>
      </w:pPr>
    </w:p>
    <w:p w14:paraId="5E05E64F" w14:textId="77777777" w:rsidR="00CE0D17" w:rsidRDefault="00CE0D17" w:rsidP="00010BDE">
      <w:pPr>
        <w:tabs>
          <w:tab w:val="left" w:pos="-1843"/>
          <w:tab w:val="left" w:pos="-1701"/>
        </w:tabs>
        <w:jc w:val="right"/>
        <w:rPr>
          <w:rFonts w:ascii="Times New Roman" w:hAnsi="Times New Roman"/>
          <w:i/>
          <w:iCs/>
          <w:color w:val="000000"/>
          <w:lang w:val="uk-UA"/>
        </w:rPr>
      </w:pPr>
    </w:p>
    <w:p w14:paraId="23613A7F" w14:textId="77777777" w:rsidR="00CE0D17" w:rsidRDefault="00CE0D17" w:rsidP="00010BDE">
      <w:pPr>
        <w:tabs>
          <w:tab w:val="left" w:pos="-1843"/>
          <w:tab w:val="left" w:pos="-1701"/>
        </w:tabs>
        <w:jc w:val="right"/>
        <w:rPr>
          <w:rFonts w:ascii="Times New Roman" w:hAnsi="Times New Roman"/>
          <w:i/>
          <w:iCs/>
          <w:color w:val="000000"/>
          <w:lang w:val="uk-UA"/>
        </w:rPr>
      </w:pPr>
    </w:p>
    <w:p w14:paraId="640DCCC9" w14:textId="77777777" w:rsidR="00CE0D17" w:rsidRDefault="00CE0D17" w:rsidP="00010BDE">
      <w:pPr>
        <w:tabs>
          <w:tab w:val="left" w:pos="-1843"/>
          <w:tab w:val="left" w:pos="-1701"/>
        </w:tabs>
        <w:jc w:val="right"/>
        <w:rPr>
          <w:rFonts w:ascii="Times New Roman" w:hAnsi="Times New Roman"/>
          <w:i/>
          <w:iCs/>
          <w:color w:val="000000"/>
          <w:lang w:val="uk-UA"/>
        </w:rPr>
      </w:pPr>
    </w:p>
    <w:p w14:paraId="00763322" w14:textId="77777777" w:rsidR="00CE0D17" w:rsidRDefault="00CE0D17" w:rsidP="00010BDE">
      <w:pPr>
        <w:tabs>
          <w:tab w:val="left" w:pos="-1843"/>
          <w:tab w:val="left" w:pos="-1701"/>
        </w:tabs>
        <w:jc w:val="right"/>
        <w:rPr>
          <w:rFonts w:ascii="Times New Roman" w:hAnsi="Times New Roman"/>
          <w:i/>
          <w:iCs/>
          <w:color w:val="000000"/>
          <w:lang w:val="uk-UA"/>
        </w:rPr>
      </w:pPr>
    </w:p>
    <w:p w14:paraId="51945958" w14:textId="77777777" w:rsidR="00CE0D17" w:rsidRDefault="00CE0D17" w:rsidP="00010BDE">
      <w:pPr>
        <w:tabs>
          <w:tab w:val="left" w:pos="-1843"/>
          <w:tab w:val="left" w:pos="-1701"/>
        </w:tabs>
        <w:jc w:val="right"/>
        <w:rPr>
          <w:rFonts w:ascii="Times New Roman" w:hAnsi="Times New Roman"/>
          <w:i/>
          <w:iCs/>
          <w:color w:val="000000"/>
          <w:lang w:val="uk-UA"/>
        </w:rPr>
      </w:pPr>
    </w:p>
    <w:p w14:paraId="43347570" w14:textId="77777777" w:rsidR="00F864F1" w:rsidRDefault="00F864F1" w:rsidP="00010BDE">
      <w:pPr>
        <w:tabs>
          <w:tab w:val="left" w:pos="-1843"/>
          <w:tab w:val="left" w:pos="-1701"/>
        </w:tabs>
        <w:jc w:val="right"/>
        <w:rPr>
          <w:rFonts w:ascii="Times New Roman" w:hAnsi="Times New Roman"/>
          <w:i/>
          <w:iCs/>
          <w:color w:val="000000"/>
          <w:lang w:val="uk-UA"/>
        </w:rPr>
      </w:pPr>
    </w:p>
    <w:p w14:paraId="4E8A2147" w14:textId="77777777" w:rsidR="00F864F1" w:rsidRDefault="00F864F1" w:rsidP="00010BDE">
      <w:pPr>
        <w:tabs>
          <w:tab w:val="left" w:pos="-1843"/>
          <w:tab w:val="left" w:pos="-1701"/>
        </w:tabs>
        <w:jc w:val="right"/>
        <w:rPr>
          <w:rFonts w:ascii="Times New Roman" w:hAnsi="Times New Roman"/>
          <w:i/>
          <w:iCs/>
          <w:color w:val="000000"/>
          <w:lang w:val="uk-UA"/>
        </w:rPr>
      </w:pPr>
    </w:p>
    <w:p w14:paraId="242B8799" w14:textId="77777777" w:rsidR="00F864F1" w:rsidRDefault="00F864F1" w:rsidP="00010BDE">
      <w:pPr>
        <w:tabs>
          <w:tab w:val="left" w:pos="-1843"/>
          <w:tab w:val="left" w:pos="-1701"/>
        </w:tabs>
        <w:jc w:val="right"/>
        <w:rPr>
          <w:rFonts w:ascii="Times New Roman" w:hAnsi="Times New Roman"/>
          <w:i/>
          <w:iCs/>
          <w:color w:val="000000"/>
          <w:lang w:val="uk-UA"/>
        </w:rPr>
      </w:pPr>
    </w:p>
    <w:p w14:paraId="34FDB427" w14:textId="77777777" w:rsidR="00F864F1" w:rsidRDefault="00F864F1" w:rsidP="00010BDE">
      <w:pPr>
        <w:tabs>
          <w:tab w:val="left" w:pos="-1843"/>
          <w:tab w:val="left" w:pos="-1701"/>
        </w:tabs>
        <w:jc w:val="right"/>
        <w:rPr>
          <w:rFonts w:ascii="Times New Roman" w:hAnsi="Times New Roman"/>
          <w:i/>
          <w:iCs/>
          <w:color w:val="000000"/>
          <w:lang w:val="uk-UA"/>
        </w:rPr>
      </w:pPr>
    </w:p>
    <w:p w14:paraId="03F4FF28" w14:textId="77777777" w:rsidR="00F864F1" w:rsidRDefault="00F864F1" w:rsidP="00010BDE">
      <w:pPr>
        <w:tabs>
          <w:tab w:val="left" w:pos="-1843"/>
          <w:tab w:val="left" w:pos="-1701"/>
        </w:tabs>
        <w:jc w:val="right"/>
        <w:rPr>
          <w:rFonts w:ascii="Times New Roman" w:hAnsi="Times New Roman"/>
          <w:i/>
          <w:iCs/>
          <w:color w:val="000000"/>
          <w:lang w:val="uk-UA"/>
        </w:rPr>
      </w:pPr>
    </w:p>
    <w:p w14:paraId="68ED63D7" w14:textId="77777777" w:rsidR="00CE0D17" w:rsidRDefault="00CE0D17" w:rsidP="00010BDE">
      <w:pPr>
        <w:tabs>
          <w:tab w:val="left" w:pos="-1843"/>
          <w:tab w:val="left" w:pos="-1701"/>
        </w:tabs>
        <w:jc w:val="right"/>
        <w:rPr>
          <w:rFonts w:ascii="Times New Roman" w:hAnsi="Times New Roman"/>
          <w:i/>
          <w:iCs/>
          <w:color w:val="000000"/>
          <w:lang w:val="uk-UA"/>
        </w:rPr>
      </w:pPr>
    </w:p>
    <w:p w14:paraId="345D9B32" w14:textId="77777777" w:rsidR="00484342" w:rsidRDefault="00484342" w:rsidP="00010BDE">
      <w:pPr>
        <w:ind w:right="283"/>
        <w:jc w:val="center"/>
        <w:rPr>
          <w:rFonts w:ascii="Times New Roman" w:hAnsi="Times New Roman"/>
          <w:b/>
          <w:bCs/>
          <w:color w:val="000000"/>
          <w:szCs w:val="20"/>
          <w:lang w:val="uk-UA"/>
        </w:rPr>
      </w:pPr>
    </w:p>
    <w:p w14:paraId="761C25CA" w14:textId="035D7BA8" w:rsidR="00010BDE" w:rsidRPr="00E16672" w:rsidRDefault="00010BDE" w:rsidP="00010BDE">
      <w:pPr>
        <w:ind w:right="283"/>
        <w:jc w:val="center"/>
        <w:rPr>
          <w:rFonts w:ascii="Times New Roman" w:hAnsi="Times New Roman"/>
          <w:b/>
          <w:bCs/>
          <w:color w:val="000000"/>
          <w:szCs w:val="20"/>
          <w:lang w:val="uk-UA"/>
        </w:rPr>
      </w:pPr>
      <w:r w:rsidRPr="00E16672">
        <w:rPr>
          <w:rFonts w:ascii="Times New Roman" w:hAnsi="Times New Roman"/>
          <w:b/>
          <w:bCs/>
          <w:color w:val="000000"/>
          <w:szCs w:val="20"/>
          <w:lang w:val="uk-UA"/>
        </w:rPr>
        <w:lastRenderedPageBreak/>
        <w:t xml:space="preserve">Договір   №   </w:t>
      </w:r>
    </w:p>
    <w:p w14:paraId="30E2ABCC" w14:textId="77777777" w:rsidR="00010BDE" w:rsidRPr="00E16672" w:rsidRDefault="00010BDE" w:rsidP="00010BDE">
      <w:pPr>
        <w:ind w:left="709" w:hanging="709"/>
        <w:jc w:val="center"/>
        <w:rPr>
          <w:rFonts w:ascii="Times New Roman" w:hAnsi="Times New Roman"/>
          <w:b/>
          <w:bCs/>
          <w:szCs w:val="22"/>
        </w:rPr>
      </w:pPr>
      <w:r w:rsidRPr="00E16672">
        <w:rPr>
          <w:rFonts w:ascii="Times New Roman" w:hAnsi="Times New Roman"/>
          <w:b/>
          <w:bCs/>
          <w:color w:val="000000"/>
          <w:szCs w:val="20"/>
          <w:lang w:val="uk-UA"/>
        </w:rPr>
        <w:t xml:space="preserve">про </w:t>
      </w:r>
      <w:proofErr w:type="spellStart"/>
      <w:r w:rsidRPr="00E16672">
        <w:rPr>
          <w:rFonts w:ascii="Times New Roman" w:hAnsi="Times New Roman"/>
          <w:b/>
          <w:bCs/>
          <w:szCs w:val="22"/>
        </w:rPr>
        <w:t>виконання</w:t>
      </w:r>
      <w:proofErr w:type="spellEnd"/>
      <w:r w:rsidRPr="00E16672">
        <w:rPr>
          <w:rFonts w:ascii="Times New Roman" w:hAnsi="Times New Roman"/>
          <w:b/>
          <w:bCs/>
          <w:szCs w:val="22"/>
        </w:rPr>
        <w:t xml:space="preserve"> </w:t>
      </w:r>
      <w:proofErr w:type="spellStart"/>
      <w:r w:rsidRPr="00E16672">
        <w:rPr>
          <w:rFonts w:ascii="Times New Roman" w:hAnsi="Times New Roman"/>
          <w:b/>
          <w:bCs/>
          <w:szCs w:val="22"/>
        </w:rPr>
        <w:t>операцій</w:t>
      </w:r>
      <w:proofErr w:type="spellEnd"/>
      <w:r w:rsidRPr="00E16672">
        <w:rPr>
          <w:rFonts w:ascii="Times New Roman" w:hAnsi="Times New Roman"/>
          <w:b/>
          <w:bCs/>
          <w:szCs w:val="22"/>
        </w:rPr>
        <w:t xml:space="preserve"> по </w:t>
      </w:r>
      <w:proofErr w:type="spellStart"/>
      <w:r w:rsidRPr="00E16672">
        <w:rPr>
          <w:rFonts w:ascii="Times New Roman" w:hAnsi="Times New Roman"/>
          <w:b/>
          <w:bCs/>
          <w:szCs w:val="22"/>
        </w:rPr>
        <w:t>інформаційному</w:t>
      </w:r>
      <w:proofErr w:type="spellEnd"/>
      <w:r w:rsidRPr="00E16672">
        <w:rPr>
          <w:rFonts w:ascii="Times New Roman" w:hAnsi="Times New Roman"/>
          <w:b/>
          <w:bCs/>
          <w:szCs w:val="22"/>
        </w:rPr>
        <w:t xml:space="preserve"> та </w:t>
      </w:r>
      <w:proofErr w:type="spellStart"/>
      <w:r w:rsidRPr="00E16672">
        <w:rPr>
          <w:rFonts w:ascii="Times New Roman" w:hAnsi="Times New Roman"/>
          <w:b/>
          <w:bCs/>
          <w:szCs w:val="22"/>
        </w:rPr>
        <w:t>організаційному</w:t>
      </w:r>
      <w:proofErr w:type="spellEnd"/>
      <w:r w:rsidRPr="00E16672">
        <w:rPr>
          <w:rFonts w:ascii="Times New Roman" w:hAnsi="Times New Roman"/>
          <w:b/>
          <w:bCs/>
          <w:szCs w:val="22"/>
        </w:rPr>
        <w:t xml:space="preserve"> </w:t>
      </w:r>
      <w:proofErr w:type="spellStart"/>
      <w:r w:rsidRPr="00E16672">
        <w:rPr>
          <w:rFonts w:ascii="Times New Roman" w:hAnsi="Times New Roman"/>
          <w:b/>
          <w:bCs/>
          <w:szCs w:val="22"/>
        </w:rPr>
        <w:t>забезпеченню</w:t>
      </w:r>
      <w:proofErr w:type="spellEnd"/>
      <w:r w:rsidRPr="00E16672">
        <w:rPr>
          <w:rFonts w:ascii="Times New Roman" w:hAnsi="Times New Roman"/>
          <w:b/>
          <w:bCs/>
          <w:szCs w:val="22"/>
        </w:rPr>
        <w:t xml:space="preserve"> </w:t>
      </w:r>
      <w:proofErr w:type="spellStart"/>
      <w:r w:rsidRPr="00E16672">
        <w:rPr>
          <w:rFonts w:ascii="Times New Roman" w:hAnsi="Times New Roman"/>
          <w:b/>
          <w:bCs/>
          <w:szCs w:val="22"/>
        </w:rPr>
        <w:t>проведення</w:t>
      </w:r>
      <w:proofErr w:type="spellEnd"/>
    </w:p>
    <w:p w14:paraId="02E57CDE" w14:textId="77777777" w:rsidR="00010BDE" w:rsidRPr="00E16672" w:rsidRDefault="00010BDE" w:rsidP="00010BDE">
      <w:pPr>
        <w:ind w:right="283"/>
        <w:jc w:val="center"/>
        <w:rPr>
          <w:rFonts w:ascii="Times New Roman" w:hAnsi="Times New Roman"/>
          <w:b/>
          <w:bCs/>
          <w:szCs w:val="20"/>
          <w:lang w:val="uk-UA"/>
        </w:rPr>
      </w:pPr>
      <w:proofErr w:type="spellStart"/>
      <w:r w:rsidRPr="00E16672">
        <w:rPr>
          <w:rFonts w:ascii="Times New Roman" w:hAnsi="Times New Roman"/>
          <w:b/>
          <w:bCs/>
          <w:szCs w:val="22"/>
        </w:rPr>
        <w:t>загальних</w:t>
      </w:r>
      <w:proofErr w:type="spellEnd"/>
      <w:r w:rsidRPr="00E16672">
        <w:rPr>
          <w:rFonts w:ascii="Times New Roman" w:hAnsi="Times New Roman"/>
          <w:b/>
          <w:bCs/>
          <w:szCs w:val="22"/>
        </w:rPr>
        <w:t xml:space="preserve"> </w:t>
      </w:r>
      <w:proofErr w:type="spellStart"/>
      <w:r w:rsidRPr="00E16672">
        <w:rPr>
          <w:rFonts w:ascii="Times New Roman" w:hAnsi="Times New Roman"/>
          <w:b/>
          <w:bCs/>
          <w:szCs w:val="22"/>
        </w:rPr>
        <w:t>зборів</w:t>
      </w:r>
      <w:proofErr w:type="spellEnd"/>
      <w:r w:rsidRPr="00E16672">
        <w:rPr>
          <w:rFonts w:ascii="Times New Roman" w:hAnsi="Times New Roman"/>
          <w:b/>
          <w:bCs/>
          <w:szCs w:val="22"/>
        </w:rPr>
        <w:t xml:space="preserve"> </w:t>
      </w:r>
      <w:proofErr w:type="spellStart"/>
      <w:r w:rsidRPr="00E16672">
        <w:rPr>
          <w:rFonts w:ascii="Times New Roman" w:hAnsi="Times New Roman"/>
          <w:b/>
          <w:bCs/>
          <w:szCs w:val="22"/>
        </w:rPr>
        <w:t>акціонерів</w:t>
      </w:r>
      <w:proofErr w:type="spellEnd"/>
      <w:r w:rsidRPr="00E16672">
        <w:rPr>
          <w:rFonts w:ascii="Times New Roman" w:hAnsi="Times New Roman"/>
          <w:b/>
          <w:szCs w:val="22"/>
        </w:rPr>
        <w:t xml:space="preserve"> та </w:t>
      </w:r>
      <w:proofErr w:type="spellStart"/>
      <w:r w:rsidRPr="00E16672">
        <w:rPr>
          <w:rFonts w:ascii="Times New Roman" w:hAnsi="Times New Roman"/>
          <w:b/>
          <w:szCs w:val="22"/>
        </w:rPr>
        <w:t>особливої</w:t>
      </w:r>
      <w:proofErr w:type="spellEnd"/>
      <w:r w:rsidRPr="00E16672">
        <w:rPr>
          <w:rFonts w:ascii="Times New Roman" w:hAnsi="Times New Roman"/>
          <w:b/>
          <w:szCs w:val="22"/>
        </w:rPr>
        <w:t xml:space="preserve"> </w:t>
      </w:r>
      <w:proofErr w:type="spellStart"/>
      <w:r w:rsidRPr="00E16672">
        <w:rPr>
          <w:rFonts w:ascii="Times New Roman" w:hAnsi="Times New Roman"/>
          <w:b/>
          <w:szCs w:val="22"/>
        </w:rPr>
        <w:t>інформації</w:t>
      </w:r>
      <w:proofErr w:type="spellEnd"/>
      <w:r w:rsidRPr="00E16672">
        <w:rPr>
          <w:rFonts w:ascii="Times New Roman" w:hAnsi="Times New Roman"/>
          <w:b/>
          <w:szCs w:val="22"/>
        </w:rPr>
        <w:t xml:space="preserve"> про </w:t>
      </w:r>
      <w:proofErr w:type="spellStart"/>
      <w:r w:rsidRPr="00E16672">
        <w:rPr>
          <w:rFonts w:ascii="Times New Roman" w:hAnsi="Times New Roman"/>
          <w:b/>
          <w:szCs w:val="22"/>
        </w:rPr>
        <w:t>емітента</w:t>
      </w:r>
      <w:proofErr w:type="spellEnd"/>
    </w:p>
    <w:p w14:paraId="38F3F643" w14:textId="77777777" w:rsidR="00010BDE" w:rsidRPr="00E16672" w:rsidRDefault="00010BDE" w:rsidP="00010BDE">
      <w:pPr>
        <w:ind w:right="-50"/>
        <w:jc w:val="center"/>
        <w:rPr>
          <w:rFonts w:ascii="Times New Roman" w:hAnsi="Times New Roman"/>
          <w:b/>
          <w:bCs/>
          <w:color w:val="000000"/>
          <w:szCs w:val="20"/>
          <w:lang w:val="uk-UA"/>
        </w:rPr>
      </w:pPr>
    </w:p>
    <w:p w14:paraId="023B493B" w14:textId="77777777" w:rsidR="00EF78D0" w:rsidRDefault="00010BDE" w:rsidP="00EF78D0">
      <w:pPr>
        <w:ind w:right="-50"/>
        <w:rPr>
          <w:rFonts w:ascii="Times New Roman" w:hAnsi="Times New Roman"/>
          <w:color w:val="000000"/>
          <w:szCs w:val="20"/>
          <w:lang w:val="uk-UA"/>
        </w:rPr>
      </w:pPr>
      <w:r w:rsidRPr="00E16672">
        <w:rPr>
          <w:rFonts w:ascii="Times New Roman" w:hAnsi="Times New Roman"/>
          <w:color w:val="000000"/>
          <w:szCs w:val="20"/>
          <w:lang w:val="uk-UA"/>
        </w:rPr>
        <w:t xml:space="preserve">                  </w:t>
      </w:r>
      <w:r w:rsidR="00EF78D0" w:rsidRPr="00E16672">
        <w:rPr>
          <w:rFonts w:ascii="Times New Roman" w:hAnsi="Times New Roman"/>
          <w:color w:val="000000"/>
          <w:szCs w:val="20"/>
          <w:lang w:val="uk-UA"/>
        </w:rPr>
        <w:t xml:space="preserve">м. </w:t>
      </w:r>
      <w:r w:rsidR="00EF78D0">
        <w:rPr>
          <w:rFonts w:ascii="Times New Roman" w:hAnsi="Times New Roman"/>
          <w:color w:val="000000"/>
          <w:szCs w:val="20"/>
          <w:lang w:val="uk-UA"/>
        </w:rPr>
        <w:t>Київ</w:t>
      </w:r>
      <w:r w:rsidR="00EF78D0">
        <w:rPr>
          <w:rFonts w:ascii="Times New Roman" w:hAnsi="Times New Roman"/>
          <w:color w:val="000000"/>
          <w:szCs w:val="20"/>
          <w:lang w:val="uk-UA"/>
        </w:rPr>
        <w:tab/>
      </w:r>
      <w:r w:rsidR="00EF78D0">
        <w:rPr>
          <w:rFonts w:ascii="Times New Roman" w:hAnsi="Times New Roman"/>
          <w:color w:val="000000"/>
          <w:szCs w:val="20"/>
          <w:lang w:val="uk-UA"/>
        </w:rPr>
        <w:tab/>
      </w:r>
      <w:r w:rsidR="00EF78D0">
        <w:rPr>
          <w:rFonts w:ascii="Times New Roman" w:hAnsi="Times New Roman"/>
          <w:color w:val="000000"/>
          <w:szCs w:val="20"/>
          <w:lang w:val="uk-UA"/>
        </w:rPr>
        <w:tab/>
      </w:r>
      <w:r w:rsidR="00EF78D0">
        <w:rPr>
          <w:rFonts w:ascii="Times New Roman" w:hAnsi="Times New Roman"/>
          <w:color w:val="000000"/>
          <w:szCs w:val="20"/>
          <w:lang w:val="uk-UA"/>
        </w:rPr>
        <w:tab/>
      </w:r>
      <w:r w:rsidR="00EF78D0">
        <w:rPr>
          <w:rFonts w:ascii="Times New Roman" w:hAnsi="Times New Roman"/>
          <w:color w:val="000000"/>
          <w:szCs w:val="20"/>
          <w:lang w:val="uk-UA"/>
        </w:rPr>
        <w:tab/>
      </w:r>
      <w:r w:rsidR="00EF78D0">
        <w:rPr>
          <w:rFonts w:ascii="Times New Roman" w:hAnsi="Times New Roman"/>
          <w:color w:val="000000"/>
          <w:szCs w:val="20"/>
          <w:lang w:val="uk-UA"/>
        </w:rPr>
        <w:tab/>
      </w:r>
      <w:r w:rsidR="00EF78D0">
        <w:rPr>
          <w:rFonts w:ascii="Times New Roman" w:hAnsi="Times New Roman"/>
          <w:color w:val="000000"/>
          <w:szCs w:val="20"/>
          <w:lang w:val="uk-UA"/>
        </w:rPr>
        <w:tab/>
      </w:r>
      <w:r w:rsidR="00EF78D0">
        <w:rPr>
          <w:rFonts w:ascii="Times New Roman" w:hAnsi="Times New Roman"/>
          <w:color w:val="000000"/>
          <w:szCs w:val="20"/>
          <w:lang w:val="uk-UA"/>
        </w:rPr>
        <w:tab/>
      </w:r>
      <w:r w:rsidR="00EF78D0">
        <w:rPr>
          <w:rFonts w:ascii="Times New Roman" w:hAnsi="Times New Roman"/>
          <w:color w:val="000000"/>
          <w:szCs w:val="20"/>
          <w:lang w:val="uk-UA"/>
        </w:rPr>
        <w:tab/>
        <w:t>"        "</w:t>
      </w:r>
      <w:r w:rsidR="00EF78D0" w:rsidRPr="00E16672">
        <w:rPr>
          <w:rFonts w:ascii="Times New Roman" w:hAnsi="Times New Roman"/>
          <w:color w:val="000000"/>
          <w:szCs w:val="20"/>
          <w:lang w:val="uk-UA"/>
        </w:rPr>
        <w:t xml:space="preserve"> ______________</w:t>
      </w:r>
      <w:r w:rsidR="00EF78D0">
        <w:rPr>
          <w:rFonts w:ascii="Times New Roman" w:hAnsi="Times New Roman"/>
          <w:color w:val="000000"/>
          <w:szCs w:val="20"/>
          <w:lang w:val="uk-UA"/>
        </w:rPr>
        <w:t xml:space="preserve"> 20__ </w:t>
      </w:r>
      <w:r w:rsidR="00EF78D0" w:rsidRPr="00E16672">
        <w:rPr>
          <w:rFonts w:ascii="Times New Roman" w:hAnsi="Times New Roman"/>
          <w:color w:val="000000"/>
          <w:szCs w:val="20"/>
          <w:lang w:val="uk-UA"/>
        </w:rPr>
        <w:t>р.</w:t>
      </w:r>
    </w:p>
    <w:p w14:paraId="3774FB3B" w14:textId="77777777" w:rsidR="00EF78D0" w:rsidRPr="00E16672" w:rsidRDefault="00EF78D0" w:rsidP="00EF78D0">
      <w:pPr>
        <w:ind w:right="-50"/>
        <w:rPr>
          <w:rFonts w:ascii="Times New Roman" w:hAnsi="Times New Roman"/>
          <w:color w:val="000000"/>
          <w:szCs w:val="20"/>
          <w:lang w:val="uk-UA"/>
        </w:rPr>
      </w:pPr>
    </w:p>
    <w:p w14:paraId="1DD6D304" w14:textId="77777777" w:rsidR="00010BDE" w:rsidRPr="00E16672" w:rsidRDefault="00010BDE" w:rsidP="00F864F1">
      <w:pPr>
        <w:ind w:right="-50"/>
        <w:rPr>
          <w:rFonts w:ascii="Times New Roman" w:hAnsi="Times New Roman"/>
          <w:color w:val="000000"/>
          <w:lang w:val="uk-UA"/>
        </w:rPr>
      </w:pPr>
      <w:r w:rsidRPr="00E16672">
        <w:rPr>
          <w:rFonts w:ascii="Times New Roman" w:hAnsi="Times New Roman"/>
          <w:lang w:val="uk-UA"/>
        </w:rPr>
        <w:t xml:space="preserve">ТОВАРИСТВО З ОБМЕЖЕНОЮ ВІДПОВІДАЛЬНІСТЮ </w:t>
      </w:r>
      <w:r w:rsidR="00022F5F">
        <w:rPr>
          <w:rFonts w:ascii="Times New Roman" w:hAnsi="Times New Roman"/>
          <w:lang w:val="uk-UA"/>
        </w:rPr>
        <w:t>"</w:t>
      </w:r>
      <w:r w:rsidR="00E16672" w:rsidRPr="00E16672">
        <w:rPr>
          <w:rFonts w:ascii="Times New Roman" w:hAnsi="Times New Roman"/>
          <w:lang w:val="uk-UA"/>
        </w:rPr>
        <w:t>КОМЕКС ЦІННІ ПАПЕРИ</w:t>
      </w:r>
      <w:r w:rsidR="00022F5F">
        <w:rPr>
          <w:rFonts w:ascii="Times New Roman" w:hAnsi="Times New Roman"/>
          <w:lang w:val="uk-UA"/>
        </w:rPr>
        <w:t>"</w:t>
      </w:r>
      <w:r w:rsidRPr="00E16672">
        <w:rPr>
          <w:rFonts w:ascii="Times New Roman" w:hAnsi="Times New Roman"/>
          <w:lang w:val="uk-UA"/>
        </w:rPr>
        <w:t xml:space="preserve">, код за ЄДРПОУ </w:t>
      </w:r>
      <w:r w:rsidR="00E16672" w:rsidRPr="00E16672">
        <w:rPr>
          <w:rFonts w:ascii="Times New Roman" w:hAnsi="Times New Roman"/>
          <w:lang w:val="uk-UA"/>
        </w:rPr>
        <w:t>33153077</w:t>
      </w:r>
      <w:r w:rsidRPr="00E16672">
        <w:rPr>
          <w:rFonts w:ascii="Times New Roman" w:hAnsi="Times New Roman"/>
          <w:lang w:val="uk-UA"/>
        </w:rPr>
        <w:t xml:space="preserve"> (надалі – Виконавець), що здійснює депозитарну діяльність депозитарної установи на підставі ліцензії серія АЕ № </w:t>
      </w:r>
      <w:r w:rsidR="00E16672" w:rsidRPr="00E16672">
        <w:rPr>
          <w:rFonts w:ascii="Times New Roman" w:hAnsi="Times New Roman"/>
          <w:lang w:val="uk-UA"/>
        </w:rPr>
        <w:t>263429</w:t>
      </w:r>
      <w:r w:rsidRPr="00E16672">
        <w:rPr>
          <w:rFonts w:ascii="Times New Roman" w:hAnsi="Times New Roman"/>
          <w:lang w:val="uk-UA"/>
        </w:rPr>
        <w:t xml:space="preserve">, виданої Національною комісією з цінних паперів та фондового ринку </w:t>
      </w:r>
      <w:r w:rsidR="00E16672" w:rsidRPr="00E16672">
        <w:rPr>
          <w:rFonts w:ascii="Times New Roman" w:hAnsi="Times New Roman"/>
          <w:lang w:val="uk-UA"/>
        </w:rPr>
        <w:t>01.10.2013</w:t>
      </w:r>
      <w:r w:rsidRPr="00E16672">
        <w:rPr>
          <w:rFonts w:ascii="Times New Roman" w:hAnsi="Times New Roman"/>
          <w:lang w:val="uk-UA"/>
        </w:rPr>
        <w:t xml:space="preserve">р.  (надалі – НКЦПФР), в особі директора </w:t>
      </w:r>
      <w:r w:rsidR="00F864F1" w:rsidRPr="00F864F1">
        <w:rPr>
          <w:rFonts w:ascii="Times New Roman" w:hAnsi="Times New Roman"/>
          <w:lang w:val="uk-UA"/>
        </w:rPr>
        <w:t>Король Оксани Іванівни</w:t>
      </w:r>
      <w:r w:rsidRPr="00E16672">
        <w:rPr>
          <w:rFonts w:ascii="Times New Roman" w:hAnsi="Times New Roman"/>
          <w:lang w:val="uk-UA"/>
        </w:rPr>
        <w:t>, що діє на підставі Статуту з одного боку, Емітент ____</w:t>
      </w:r>
      <w:r w:rsidR="00F864F1">
        <w:rPr>
          <w:rFonts w:ascii="Times New Roman" w:hAnsi="Times New Roman"/>
          <w:lang w:val="uk-UA"/>
        </w:rPr>
        <w:t>_______________</w:t>
      </w:r>
      <w:r w:rsidRPr="00E16672">
        <w:rPr>
          <w:rFonts w:ascii="Times New Roman" w:hAnsi="Times New Roman"/>
          <w:lang w:val="uk-UA"/>
        </w:rPr>
        <w:t>__________________, в особі директора _</w:t>
      </w:r>
      <w:r w:rsidR="00F864F1">
        <w:rPr>
          <w:rFonts w:ascii="Times New Roman" w:hAnsi="Times New Roman"/>
          <w:lang w:val="uk-UA"/>
        </w:rPr>
        <w:t>__________________</w:t>
      </w:r>
      <w:r w:rsidRPr="00E16672">
        <w:rPr>
          <w:rFonts w:ascii="Times New Roman" w:hAnsi="Times New Roman"/>
          <w:lang w:val="uk-UA"/>
        </w:rPr>
        <w:t>__________________, (надалі - Замовник), що діє на підставі _</w:t>
      </w:r>
      <w:r w:rsidR="00F864F1">
        <w:rPr>
          <w:rFonts w:ascii="Times New Roman" w:hAnsi="Times New Roman"/>
          <w:lang w:val="uk-UA"/>
        </w:rPr>
        <w:t>__________</w:t>
      </w:r>
      <w:r w:rsidRPr="00E16672">
        <w:rPr>
          <w:rFonts w:ascii="Times New Roman" w:hAnsi="Times New Roman"/>
          <w:lang w:val="uk-UA"/>
        </w:rPr>
        <w:t xml:space="preserve">______, з другого боку, надалі </w:t>
      </w:r>
      <w:proofErr w:type="spellStart"/>
      <w:r w:rsidRPr="00E16672">
        <w:rPr>
          <w:rFonts w:ascii="Times New Roman" w:hAnsi="Times New Roman"/>
          <w:lang w:val="uk-UA"/>
        </w:rPr>
        <w:t>поiменованi</w:t>
      </w:r>
      <w:proofErr w:type="spellEnd"/>
      <w:r w:rsidRPr="00E16672">
        <w:rPr>
          <w:rFonts w:ascii="Times New Roman" w:hAnsi="Times New Roman"/>
          <w:lang w:val="uk-UA"/>
        </w:rPr>
        <w:t xml:space="preserve"> Сторонами, склали цей Договір про </w:t>
      </w:r>
      <w:proofErr w:type="spellStart"/>
      <w:r w:rsidRPr="00E16672">
        <w:rPr>
          <w:rFonts w:ascii="Times New Roman" w:hAnsi="Times New Roman"/>
          <w:lang w:val="uk-UA"/>
        </w:rPr>
        <w:t>про</w:t>
      </w:r>
      <w:proofErr w:type="spellEnd"/>
      <w:r w:rsidRPr="00E16672">
        <w:rPr>
          <w:rFonts w:ascii="Times New Roman" w:hAnsi="Times New Roman"/>
          <w:lang w:val="uk-UA"/>
        </w:rPr>
        <w:t xml:space="preserve"> </w:t>
      </w:r>
      <w:r w:rsidRPr="00E16672">
        <w:rPr>
          <w:rFonts w:ascii="Times New Roman" w:hAnsi="Times New Roman"/>
          <w:color w:val="000000"/>
          <w:lang w:val="uk-UA"/>
        </w:rPr>
        <w:t>нижченаведене:</w:t>
      </w:r>
    </w:p>
    <w:p w14:paraId="5569FCFF" w14:textId="77777777" w:rsidR="00010BDE" w:rsidRPr="00E16672" w:rsidRDefault="00010BDE" w:rsidP="00010BDE">
      <w:pPr>
        <w:pStyle w:val="1"/>
        <w:widowControl w:val="0"/>
        <w:tabs>
          <w:tab w:val="num" w:pos="432"/>
          <w:tab w:val="left" w:pos="1134"/>
        </w:tabs>
        <w:ind w:left="567" w:firstLine="0"/>
        <w:rPr>
          <w:rFonts w:ascii="Times New Roman" w:hAnsi="Times New Roman" w:cs="Times New Roman"/>
          <w:sz w:val="20"/>
          <w:szCs w:val="20"/>
          <w:lang w:val="uk-UA"/>
        </w:rPr>
      </w:pPr>
    </w:p>
    <w:p w14:paraId="5E1B937C" w14:textId="77777777" w:rsidR="00010BDE" w:rsidRPr="00E16672" w:rsidRDefault="00010BDE" w:rsidP="000D0438">
      <w:pPr>
        <w:widowControl w:val="0"/>
        <w:numPr>
          <w:ilvl w:val="0"/>
          <w:numId w:val="22"/>
        </w:numPr>
        <w:suppressAutoHyphens w:val="0"/>
        <w:jc w:val="center"/>
        <w:rPr>
          <w:rFonts w:ascii="Times New Roman" w:hAnsi="Times New Roman"/>
          <w:b/>
          <w:lang w:val="uk-UA"/>
        </w:rPr>
      </w:pPr>
      <w:r w:rsidRPr="00E16672">
        <w:rPr>
          <w:rFonts w:ascii="Times New Roman" w:hAnsi="Times New Roman"/>
          <w:b/>
          <w:lang w:val="uk-UA"/>
        </w:rPr>
        <w:t>ПРЕДМЕТ ДОГОВОРУ</w:t>
      </w:r>
    </w:p>
    <w:p w14:paraId="62F5D582" w14:textId="77777777" w:rsidR="00FE477B" w:rsidRPr="00E16672" w:rsidRDefault="00FE477B" w:rsidP="00FE477B">
      <w:pPr>
        <w:widowControl w:val="0"/>
        <w:tabs>
          <w:tab w:val="left" w:pos="1418"/>
        </w:tabs>
        <w:ind w:right="-1" w:firstLine="709"/>
        <w:rPr>
          <w:rFonts w:ascii="Times New Roman" w:hAnsi="Times New Roman"/>
          <w:lang w:val="uk-UA"/>
        </w:rPr>
      </w:pPr>
      <w:r w:rsidRPr="00E16672">
        <w:rPr>
          <w:rFonts w:ascii="Times New Roman" w:hAnsi="Times New Roman"/>
          <w:lang w:val="uk-UA"/>
        </w:rPr>
        <w:t xml:space="preserve">1.1. Замовник доручає, а Виконавець зобов’язується надати послуги з інформаційного та організаційного забезпечення проведення загальних зборів Замовника, призначених на </w:t>
      </w:r>
      <w:r w:rsidR="00602650">
        <w:rPr>
          <w:rFonts w:ascii="Times New Roman" w:hAnsi="Times New Roman"/>
          <w:lang w:val="uk-UA"/>
        </w:rPr>
        <w:t>"       " ____</w:t>
      </w:r>
      <w:r w:rsidRPr="00E16672">
        <w:rPr>
          <w:rFonts w:ascii="Times New Roman" w:hAnsi="Times New Roman"/>
          <w:lang w:val="uk-UA"/>
        </w:rPr>
        <w:t>________ 20__ року, а саме:</w:t>
      </w:r>
    </w:p>
    <w:p w14:paraId="0C0CD7C9" w14:textId="77777777" w:rsidR="00FE477B" w:rsidRPr="00E16672" w:rsidRDefault="00FE477B" w:rsidP="00022F5F">
      <w:pPr>
        <w:widowControl w:val="0"/>
        <w:tabs>
          <w:tab w:val="num" w:pos="0"/>
        </w:tabs>
        <w:suppressAutoHyphens w:val="0"/>
        <w:ind w:right="-1" w:firstLine="709"/>
        <w:jc w:val="left"/>
        <w:rPr>
          <w:rFonts w:ascii="Times New Roman" w:hAnsi="Times New Roman"/>
          <w:lang w:val="uk-UA"/>
        </w:rPr>
      </w:pPr>
      <w:r w:rsidRPr="00E16672">
        <w:rPr>
          <w:rFonts w:ascii="Times New Roman" w:hAnsi="Times New Roman"/>
          <w:lang w:val="uk-UA"/>
        </w:rPr>
        <w:t>1.1.1. Здійснити повідомлення акціонерів про проведення загальних зборів акціонерів</w:t>
      </w:r>
      <w:r w:rsidR="00602650">
        <w:rPr>
          <w:rFonts w:ascii="Times New Roman" w:hAnsi="Times New Roman"/>
          <w:lang w:val="uk-UA"/>
        </w:rPr>
        <w:t xml:space="preserve"> </w:t>
      </w:r>
      <w:r w:rsidRPr="00E16672">
        <w:rPr>
          <w:rFonts w:ascii="Times New Roman" w:hAnsi="Times New Roman"/>
          <w:lang w:val="uk-UA"/>
        </w:rPr>
        <w:t xml:space="preserve"> </w:t>
      </w:r>
      <w:r w:rsidR="00022F5F">
        <w:rPr>
          <w:rFonts w:ascii="Times New Roman" w:hAnsi="Times New Roman"/>
          <w:lang w:val="uk-UA"/>
        </w:rPr>
        <w:t>"</w:t>
      </w:r>
      <w:r w:rsidRPr="00E16672">
        <w:rPr>
          <w:rFonts w:ascii="Times New Roman" w:hAnsi="Times New Roman"/>
          <w:lang w:val="uk-UA"/>
        </w:rPr>
        <w:t>_____</w:t>
      </w:r>
      <w:r w:rsidR="00022F5F">
        <w:rPr>
          <w:rFonts w:ascii="Times New Roman" w:hAnsi="Times New Roman"/>
          <w:lang w:val="uk-UA"/>
        </w:rPr>
        <w:t>"</w:t>
      </w:r>
      <w:r w:rsidRPr="00E16672">
        <w:rPr>
          <w:rFonts w:ascii="Times New Roman" w:hAnsi="Times New Roman"/>
          <w:lang w:val="uk-UA"/>
        </w:rPr>
        <w:t>_______ 20__ року:</w:t>
      </w:r>
    </w:p>
    <w:p w14:paraId="63BF01A6" w14:textId="77777777" w:rsidR="00FE477B" w:rsidRPr="00E16672" w:rsidRDefault="00FE477B" w:rsidP="000D0438">
      <w:pPr>
        <w:widowControl w:val="0"/>
        <w:numPr>
          <w:ilvl w:val="0"/>
          <w:numId w:val="25"/>
        </w:numPr>
        <w:tabs>
          <w:tab w:val="num" w:pos="993"/>
          <w:tab w:val="num" w:pos="1429"/>
        </w:tabs>
        <w:suppressAutoHyphens w:val="0"/>
        <w:ind w:left="0" w:right="-1" w:firstLine="709"/>
        <w:rPr>
          <w:rFonts w:ascii="Times New Roman" w:hAnsi="Times New Roman"/>
          <w:lang w:val="uk-UA"/>
        </w:rPr>
      </w:pPr>
      <w:r w:rsidRPr="00E16672">
        <w:rPr>
          <w:rFonts w:ascii="Times New Roman" w:hAnsi="Times New Roman"/>
          <w:lang w:val="uk-UA"/>
        </w:rPr>
        <w:t>сформувати поштові повідомлення в кількості, необхідній для повідомлення всіх акціонерів (фізичних та юридичних осіб), про проведення загальних зборів акціонерів Замовника;</w:t>
      </w:r>
    </w:p>
    <w:p w14:paraId="31AF3005" w14:textId="77777777" w:rsidR="00FE477B" w:rsidRPr="00E16672" w:rsidRDefault="00FE477B" w:rsidP="00022F5F">
      <w:pPr>
        <w:widowControl w:val="0"/>
        <w:numPr>
          <w:ilvl w:val="0"/>
          <w:numId w:val="25"/>
        </w:numPr>
        <w:tabs>
          <w:tab w:val="num" w:pos="993"/>
          <w:tab w:val="num" w:pos="1429"/>
        </w:tabs>
        <w:suppressAutoHyphens w:val="0"/>
        <w:ind w:left="0" w:right="-1" w:firstLine="709"/>
        <w:jc w:val="left"/>
        <w:rPr>
          <w:rFonts w:ascii="Times New Roman" w:hAnsi="Times New Roman"/>
          <w:lang w:val="uk-UA"/>
        </w:rPr>
      </w:pPr>
      <w:r w:rsidRPr="00E16672">
        <w:rPr>
          <w:rFonts w:ascii="Times New Roman" w:hAnsi="Times New Roman"/>
          <w:lang w:val="uk-UA"/>
        </w:rPr>
        <w:t xml:space="preserve">на підставі наданого Замовником зразка письмового повідомлення в термін до </w:t>
      </w:r>
      <w:r w:rsidR="00022F5F">
        <w:rPr>
          <w:rFonts w:ascii="Times New Roman" w:hAnsi="Times New Roman"/>
          <w:lang w:val="uk-UA"/>
        </w:rPr>
        <w:t>"</w:t>
      </w:r>
      <w:r w:rsidRPr="00E16672">
        <w:rPr>
          <w:rFonts w:ascii="Times New Roman" w:hAnsi="Times New Roman"/>
          <w:lang w:val="uk-UA"/>
        </w:rPr>
        <w:t>_____</w:t>
      </w:r>
      <w:r w:rsidR="00022F5F">
        <w:rPr>
          <w:rFonts w:ascii="Times New Roman" w:hAnsi="Times New Roman"/>
          <w:lang w:val="uk-UA"/>
        </w:rPr>
        <w:t>"</w:t>
      </w:r>
      <w:r w:rsidRPr="00E16672">
        <w:rPr>
          <w:rFonts w:ascii="Times New Roman" w:hAnsi="Times New Roman"/>
          <w:lang w:val="uk-UA"/>
        </w:rPr>
        <w:t>_______ 20__ року включно направити простими листами повідомлення про проведення загальних зборів та проект порядку денного Замовника всім акціонерам Замовника, зазначеним в переліку акціонерів. Персональні повідомлення направляються на поштові адреси акціонерів, зазначені в переліку акціонерів;</w:t>
      </w:r>
    </w:p>
    <w:p w14:paraId="28D20D2E" w14:textId="77777777" w:rsidR="00FE477B" w:rsidRPr="00E16672" w:rsidRDefault="00FE477B" w:rsidP="000D0438">
      <w:pPr>
        <w:widowControl w:val="0"/>
        <w:numPr>
          <w:ilvl w:val="0"/>
          <w:numId w:val="25"/>
        </w:numPr>
        <w:tabs>
          <w:tab w:val="num" w:pos="993"/>
          <w:tab w:val="num" w:pos="1429"/>
        </w:tabs>
        <w:suppressAutoHyphens w:val="0"/>
        <w:ind w:left="0" w:right="-1" w:firstLine="709"/>
        <w:rPr>
          <w:rFonts w:ascii="Times New Roman" w:hAnsi="Times New Roman"/>
          <w:lang w:val="uk-UA"/>
        </w:rPr>
      </w:pPr>
      <w:r w:rsidRPr="00E16672">
        <w:rPr>
          <w:rFonts w:ascii="Times New Roman" w:hAnsi="Times New Roman"/>
          <w:lang w:val="uk-UA"/>
        </w:rPr>
        <w:t>розмістити оголошення про проведення загальних зборів акціонерів (крім проектів рішень щодо кожного з питань, включених до проекту порядку денного) Замовника в офіційному друкованому виданні Національної комісії з цінних паперів та фондового ринку на підставі повідомлення, наданого Замовником.</w:t>
      </w:r>
    </w:p>
    <w:p w14:paraId="1D505DA1" w14:textId="77777777" w:rsidR="00FE477B" w:rsidRPr="00E16672" w:rsidRDefault="00FE477B" w:rsidP="00022F5F">
      <w:pPr>
        <w:widowControl w:val="0"/>
        <w:tabs>
          <w:tab w:val="num" w:pos="0"/>
        </w:tabs>
        <w:suppressAutoHyphens w:val="0"/>
        <w:ind w:right="-1" w:firstLine="709"/>
        <w:jc w:val="left"/>
        <w:rPr>
          <w:rFonts w:ascii="Times New Roman" w:hAnsi="Times New Roman"/>
          <w:lang w:val="uk-UA"/>
        </w:rPr>
      </w:pPr>
      <w:r w:rsidRPr="00E16672">
        <w:rPr>
          <w:rFonts w:ascii="Times New Roman" w:hAnsi="Times New Roman"/>
          <w:lang w:val="uk-UA"/>
        </w:rPr>
        <w:t xml:space="preserve">1.1.2. Здійснити виконання функцій реєстраційної комісії на загальних зборах акціонерів Замовника </w:t>
      </w:r>
      <w:r w:rsidR="00022F5F">
        <w:rPr>
          <w:rFonts w:ascii="Times New Roman" w:hAnsi="Times New Roman"/>
          <w:lang w:val="uk-UA"/>
        </w:rPr>
        <w:t>"</w:t>
      </w:r>
      <w:r w:rsidRPr="00E16672">
        <w:rPr>
          <w:rFonts w:ascii="Times New Roman" w:hAnsi="Times New Roman"/>
          <w:lang w:val="uk-UA"/>
        </w:rPr>
        <w:t>_____</w:t>
      </w:r>
      <w:r w:rsidR="00022F5F">
        <w:rPr>
          <w:rFonts w:ascii="Times New Roman" w:hAnsi="Times New Roman"/>
          <w:lang w:val="uk-UA"/>
        </w:rPr>
        <w:t>"</w:t>
      </w:r>
      <w:r w:rsidRPr="00E16672">
        <w:rPr>
          <w:rFonts w:ascii="Times New Roman" w:hAnsi="Times New Roman"/>
          <w:lang w:val="uk-UA"/>
        </w:rPr>
        <w:t>_______ 20__  року:</w:t>
      </w:r>
    </w:p>
    <w:p w14:paraId="2F249AA5" w14:textId="77777777" w:rsidR="00FE477B" w:rsidRPr="00E16672" w:rsidRDefault="00FE477B" w:rsidP="00FE477B">
      <w:pPr>
        <w:widowControl w:val="0"/>
        <w:tabs>
          <w:tab w:val="num" w:pos="0"/>
          <w:tab w:val="num" w:pos="993"/>
          <w:tab w:val="num" w:pos="1429"/>
        </w:tabs>
        <w:suppressAutoHyphens w:val="0"/>
        <w:ind w:right="-1" w:firstLine="709"/>
        <w:rPr>
          <w:rFonts w:ascii="Times New Roman" w:hAnsi="Times New Roman"/>
          <w:lang w:val="uk-UA"/>
        </w:rPr>
      </w:pPr>
      <w:r w:rsidRPr="00E16672">
        <w:rPr>
          <w:rFonts w:ascii="Times New Roman" w:hAnsi="Times New Roman"/>
          <w:lang w:val="uk-UA"/>
        </w:rPr>
        <w:t>виготовити бюлетені для голосування на загальних зборах акціонерів згідно форми та тексту, затвердженого Наглядовою радою Замовника;</w:t>
      </w:r>
    </w:p>
    <w:p w14:paraId="2A4D656A" w14:textId="77777777" w:rsidR="00FE477B" w:rsidRPr="00E16672" w:rsidRDefault="00FE477B" w:rsidP="000D0438">
      <w:pPr>
        <w:widowControl w:val="0"/>
        <w:numPr>
          <w:ilvl w:val="0"/>
          <w:numId w:val="25"/>
        </w:numPr>
        <w:tabs>
          <w:tab w:val="num" w:pos="993"/>
          <w:tab w:val="num" w:pos="1260"/>
          <w:tab w:val="num" w:pos="1429"/>
        </w:tabs>
        <w:suppressAutoHyphens w:val="0"/>
        <w:ind w:left="0" w:right="-1" w:firstLine="709"/>
        <w:rPr>
          <w:rFonts w:ascii="Times New Roman" w:hAnsi="Times New Roman"/>
          <w:lang w:val="uk-UA"/>
        </w:rPr>
      </w:pPr>
      <w:r w:rsidRPr="00E16672">
        <w:rPr>
          <w:rFonts w:ascii="Times New Roman" w:hAnsi="Times New Roman"/>
          <w:lang w:val="uk-UA"/>
        </w:rPr>
        <w:t>налагодити програмно-технічний комплекс для проведення реєстрації учасників загальних зборів акціонерів Замовника;</w:t>
      </w:r>
    </w:p>
    <w:p w14:paraId="76385332" w14:textId="77777777" w:rsidR="00FE477B" w:rsidRPr="00E16672" w:rsidRDefault="00FE477B" w:rsidP="000D0438">
      <w:pPr>
        <w:widowControl w:val="0"/>
        <w:numPr>
          <w:ilvl w:val="0"/>
          <w:numId w:val="25"/>
        </w:numPr>
        <w:tabs>
          <w:tab w:val="num" w:pos="993"/>
          <w:tab w:val="num" w:pos="1260"/>
          <w:tab w:val="num" w:pos="1429"/>
        </w:tabs>
        <w:suppressAutoHyphens w:val="0"/>
        <w:ind w:left="0" w:right="-1" w:firstLine="709"/>
        <w:rPr>
          <w:rFonts w:ascii="Times New Roman" w:hAnsi="Times New Roman"/>
          <w:lang w:val="uk-UA"/>
        </w:rPr>
      </w:pPr>
      <w:r w:rsidRPr="00E16672">
        <w:rPr>
          <w:rFonts w:ascii="Times New Roman" w:hAnsi="Times New Roman"/>
          <w:lang w:val="uk-UA"/>
        </w:rPr>
        <w:t>здійснити перевірку повноважень акціонерів та їх представників, які прибудуть для участі у загальних зборах акціонерів Замовника;</w:t>
      </w:r>
    </w:p>
    <w:p w14:paraId="69DC8E23" w14:textId="77777777" w:rsidR="00FE477B" w:rsidRPr="00E16672" w:rsidRDefault="00FE477B" w:rsidP="000D0438">
      <w:pPr>
        <w:widowControl w:val="0"/>
        <w:numPr>
          <w:ilvl w:val="0"/>
          <w:numId w:val="25"/>
        </w:numPr>
        <w:tabs>
          <w:tab w:val="num" w:pos="993"/>
          <w:tab w:val="num" w:pos="1260"/>
          <w:tab w:val="num" w:pos="1429"/>
        </w:tabs>
        <w:suppressAutoHyphens w:val="0"/>
        <w:ind w:left="0" w:right="-1" w:firstLine="709"/>
        <w:rPr>
          <w:rFonts w:ascii="Times New Roman" w:hAnsi="Times New Roman"/>
          <w:lang w:val="uk-UA"/>
        </w:rPr>
      </w:pPr>
      <w:r w:rsidRPr="00E16672">
        <w:rPr>
          <w:rFonts w:ascii="Times New Roman" w:hAnsi="Times New Roman"/>
          <w:lang w:val="uk-UA"/>
        </w:rPr>
        <w:t>здійснити реєстрацію акціонерів та їх представників, що прибудуть для участі у загальних зборах акціонерів Замовника;</w:t>
      </w:r>
    </w:p>
    <w:p w14:paraId="4D45C0FC" w14:textId="77777777" w:rsidR="00FE477B" w:rsidRPr="00E16672" w:rsidRDefault="00FE477B" w:rsidP="000D0438">
      <w:pPr>
        <w:widowControl w:val="0"/>
        <w:numPr>
          <w:ilvl w:val="0"/>
          <w:numId w:val="25"/>
        </w:numPr>
        <w:tabs>
          <w:tab w:val="num" w:pos="993"/>
          <w:tab w:val="num" w:pos="1260"/>
          <w:tab w:val="num" w:pos="1429"/>
        </w:tabs>
        <w:suppressAutoHyphens w:val="0"/>
        <w:ind w:left="0" w:right="-1" w:firstLine="426"/>
        <w:rPr>
          <w:rFonts w:ascii="Times New Roman" w:hAnsi="Times New Roman"/>
          <w:lang w:val="uk-UA"/>
        </w:rPr>
      </w:pPr>
      <w:r w:rsidRPr="00E16672">
        <w:rPr>
          <w:rFonts w:ascii="Times New Roman" w:hAnsi="Times New Roman"/>
          <w:lang w:val="uk-UA"/>
        </w:rPr>
        <w:t>підготувати протоколи реєстраційної комісії та перелік акціонерів, які зареєструвались для участі у загальних зборах акціонерів.</w:t>
      </w:r>
    </w:p>
    <w:p w14:paraId="08096F73" w14:textId="77777777" w:rsidR="00FE477B" w:rsidRPr="00E16672" w:rsidRDefault="00173D5D" w:rsidP="00173D5D">
      <w:pPr>
        <w:widowControl w:val="0"/>
        <w:tabs>
          <w:tab w:val="num" w:pos="0"/>
        </w:tabs>
        <w:suppressAutoHyphens w:val="0"/>
        <w:ind w:right="-1" w:firstLine="709"/>
        <w:rPr>
          <w:rFonts w:ascii="Times New Roman" w:hAnsi="Times New Roman"/>
          <w:lang w:val="uk-UA"/>
        </w:rPr>
      </w:pPr>
      <w:r w:rsidRPr="00E16672">
        <w:rPr>
          <w:rFonts w:ascii="Times New Roman" w:hAnsi="Times New Roman"/>
          <w:lang w:val="uk-UA"/>
        </w:rPr>
        <w:t xml:space="preserve">1.1.3. </w:t>
      </w:r>
      <w:r w:rsidR="00FE477B" w:rsidRPr="00E16672">
        <w:rPr>
          <w:rFonts w:ascii="Times New Roman" w:hAnsi="Times New Roman"/>
          <w:lang w:val="uk-UA"/>
        </w:rPr>
        <w:t xml:space="preserve">Здійснити </w:t>
      </w:r>
      <w:r w:rsidR="00EF78D0">
        <w:rPr>
          <w:rFonts w:ascii="Times New Roman" w:hAnsi="Times New Roman"/>
          <w:lang w:val="uk-UA"/>
        </w:rPr>
        <w:t xml:space="preserve"> </w:t>
      </w:r>
      <w:r w:rsidR="00FE477B" w:rsidRPr="00E16672">
        <w:rPr>
          <w:rFonts w:ascii="Times New Roman" w:hAnsi="Times New Roman"/>
          <w:lang w:val="uk-UA"/>
        </w:rPr>
        <w:t xml:space="preserve">виконання </w:t>
      </w:r>
      <w:r w:rsidR="00EF78D0">
        <w:rPr>
          <w:rFonts w:ascii="Times New Roman" w:hAnsi="Times New Roman"/>
          <w:lang w:val="uk-UA"/>
        </w:rPr>
        <w:t xml:space="preserve"> </w:t>
      </w:r>
      <w:r w:rsidR="00FE477B" w:rsidRPr="00E16672">
        <w:rPr>
          <w:rFonts w:ascii="Times New Roman" w:hAnsi="Times New Roman"/>
          <w:lang w:val="uk-UA"/>
        </w:rPr>
        <w:t xml:space="preserve">функцій </w:t>
      </w:r>
      <w:r w:rsidR="00EF78D0">
        <w:rPr>
          <w:rFonts w:ascii="Times New Roman" w:hAnsi="Times New Roman"/>
          <w:lang w:val="uk-UA"/>
        </w:rPr>
        <w:t xml:space="preserve"> </w:t>
      </w:r>
      <w:r w:rsidR="00FE477B" w:rsidRPr="00E16672">
        <w:rPr>
          <w:rFonts w:ascii="Times New Roman" w:hAnsi="Times New Roman"/>
          <w:lang w:val="uk-UA"/>
        </w:rPr>
        <w:t xml:space="preserve">лічильної </w:t>
      </w:r>
      <w:r w:rsidR="00EF78D0">
        <w:rPr>
          <w:rFonts w:ascii="Times New Roman" w:hAnsi="Times New Roman"/>
          <w:lang w:val="uk-UA"/>
        </w:rPr>
        <w:t xml:space="preserve"> </w:t>
      </w:r>
      <w:r w:rsidR="00FE477B" w:rsidRPr="00E16672">
        <w:rPr>
          <w:rFonts w:ascii="Times New Roman" w:hAnsi="Times New Roman"/>
          <w:lang w:val="uk-UA"/>
        </w:rPr>
        <w:t>комісії</w:t>
      </w:r>
      <w:r w:rsidR="00EF78D0">
        <w:rPr>
          <w:rFonts w:ascii="Times New Roman" w:hAnsi="Times New Roman"/>
          <w:lang w:val="uk-UA"/>
        </w:rPr>
        <w:t xml:space="preserve"> </w:t>
      </w:r>
      <w:r w:rsidR="00FE477B" w:rsidRPr="00E16672">
        <w:rPr>
          <w:rFonts w:ascii="Times New Roman" w:hAnsi="Times New Roman"/>
          <w:lang w:val="uk-UA"/>
        </w:rPr>
        <w:t xml:space="preserve"> на </w:t>
      </w:r>
      <w:r w:rsidR="00EF78D0">
        <w:rPr>
          <w:rFonts w:ascii="Times New Roman" w:hAnsi="Times New Roman"/>
          <w:lang w:val="uk-UA"/>
        </w:rPr>
        <w:t xml:space="preserve"> </w:t>
      </w:r>
      <w:r w:rsidR="00FE477B" w:rsidRPr="00E16672">
        <w:rPr>
          <w:rFonts w:ascii="Times New Roman" w:hAnsi="Times New Roman"/>
          <w:lang w:val="uk-UA"/>
        </w:rPr>
        <w:t>загальних</w:t>
      </w:r>
      <w:r w:rsidR="00EF78D0">
        <w:rPr>
          <w:rFonts w:ascii="Times New Roman" w:hAnsi="Times New Roman"/>
          <w:lang w:val="uk-UA"/>
        </w:rPr>
        <w:t xml:space="preserve"> </w:t>
      </w:r>
      <w:r w:rsidR="00FE477B" w:rsidRPr="00E16672">
        <w:rPr>
          <w:rFonts w:ascii="Times New Roman" w:hAnsi="Times New Roman"/>
          <w:lang w:val="uk-UA"/>
        </w:rPr>
        <w:t xml:space="preserve"> зборах</w:t>
      </w:r>
      <w:r w:rsidR="00EF78D0">
        <w:rPr>
          <w:rFonts w:ascii="Times New Roman" w:hAnsi="Times New Roman"/>
          <w:lang w:val="uk-UA"/>
        </w:rPr>
        <w:t xml:space="preserve"> </w:t>
      </w:r>
      <w:r w:rsidR="00FE477B" w:rsidRPr="00E16672">
        <w:rPr>
          <w:rFonts w:ascii="Times New Roman" w:hAnsi="Times New Roman"/>
          <w:lang w:val="uk-UA"/>
        </w:rPr>
        <w:t xml:space="preserve"> акціонерів </w:t>
      </w:r>
      <w:r w:rsidR="00EF78D0">
        <w:rPr>
          <w:rFonts w:ascii="Times New Roman" w:hAnsi="Times New Roman"/>
          <w:lang w:val="uk-UA"/>
        </w:rPr>
        <w:t xml:space="preserve">   </w:t>
      </w:r>
      <w:r w:rsidR="00FE477B" w:rsidRPr="00E16672">
        <w:rPr>
          <w:rFonts w:ascii="Times New Roman" w:hAnsi="Times New Roman"/>
          <w:lang w:val="uk-UA"/>
        </w:rPr>
        <w:t xml:space="preserve">Замовника, </w:t>
      </w:r>
      <w:r w:rsidR="00EF78D0">
        <w:rPr>
          <w:rFonts w:ascii="Times New Roman" w:hAnsi="Times New Roman"/>
          <w:lang w:val="uk-UA"/>
        </w:rPr>
        <w:t xml:space="preserve">   </w:t>
      </w:r>
      <w:r w:rsidR="00FE477B" w:rsidRPr="00E16672">
        <w:rPr>
          <w:rFonts w:ascii="Times New Roman" w:hAnsi="Times New Roman"/>
          <w:lang w:val="uk-UA"/>
        </w:rPr>
        <w:t xml:space="preserve">призначених </w:t>
      </w:r>
      <w:r w:rsidR="00EF78D0">
        <w:rPr>
          <w:rFonts w:ascii="Times New Roman" w:hAnsi="Times New Roman"/>
          <w:lang w:val="uk-UA"/>
        </w:rPr>
        <w:t>"   "</w:t>
      </w:r>
      <w:r w:rsidR="00FE477B" w:rsidRPr="00E16672">
        <w:rPr>
          <w:rFonts w:ascii="Times New Roman" w:hAnsi="Times New Roman"/>
          <w:lang w:val="uk-UA"/>
        </w:rPr>
        <w:t>_______ 20__ року:</w:t>
      </w:r>
    </w:p>
    <w:p w14:paraId="6D053177" w14:textId="77777777" w:rsidR="00FE477B" w:rsidRPr="00E16672" w:rsidRDefault="00FE477B" w:rsidP="000D0438">
      <w:pPr>
        <w:widowControl w:val="0"/>
        <w:numPr>
          <w:ilvl w:val="0"/>
          <w:numId w:val="25"/>
        </w:numPr>
        <w:tabs>
          <w:tab w:val="num" w:pos="993"/>
          <w:tab w:val="num" w:pos="1429"/>
        </w:tabs>
        <w:suppressAutoHyphens w:val="0"/>
        <w:ind w:left="0" w:right="-1" w:firstLine="709"/>
        <w:rPr>
          <w:rFonts w:ascii="Times New Roman" w:hAnsi="Times New Roman"/>
          <w:lang w:val="uk-UA"/>
        </w:rPr>
      </w:pPr>
      <w:r w:rsidRPr="00E16672">
        <w:rPr>
          <w:rFonts w:ascii="Times New Roman" w:hAnsi="Times New Roman"/>
          <w:lang w:val="uk-UA"/>
        </w:rPr>
        <w:t>налагодити програмно-технічний комплекс для проведення підрахунку голосів з питань порядку денного загальних зборів акціонерів Замовника;</w:t>
      </w:r>
    </w:p>
    <w:p w14:paraId="7B47A640" w14:textId="77777777" w:rsidR="00FE477B" w:rsidRPr="00E16672" w:rsidRDefault="00FE477B" w:rsidP="000D0438">
      <w:pPr>
        <w:widowControl w:val="0"/>
        <w:numPr>
          <w:ilvl w:val="0"/>
          <w:numId w:val="25"/>
        </w:numPr>
        <w:tabs>
          <w:tab w:val="num" w:pos="993"/>
          <w:tab w:val="num" w:pos="1260"/>
          <w:tab w:val="num" w:pos="1429"/>
        </w:tabs>
        <w:suppressAutoHyphens w:val="0"/>
        <w:ind w:left="0" w:right="-1" w:firstLine="709"/>
        <w:rPr>
          <w:rFonts w:ascii="Times New Roman" w:hAnsi="Times New Roman"/>
          <w:lang w:val="uk-UA"/>
        </w:rPr>
      </w:pPr>
      <w:r w:rsidRPr="00E16672">
        <w:rPr>
          <w:rFonts w:ascii="Times New Roman" w:hAnsi="Times New Roman"/>
          <w:lang w:val="uk-UA"/>
        </w:rPr>
        <w:t>здійснити підрахунок результатів голосів на загальних зборах;</w:t>
      </w:r>
    </w:p>
    <w:p w14:paraId="06C1E78E" w14:textId="77777777" w:rsidR="00FE477B" w:rsidRPr="00E16672" w:rsidRDefault="00FE477B" w:rsidP="000D0438">
      <w:pPr>
        <w:widowControl w:val="0"/>
        <w:numPr>
          <w:ilvl w:val="0"/>
          <w:numId w:val="25"/>
        </w:numPr>
        <w:tabs>
          <w:tab w:val="num" w:pos="993"/>
          <w:tab w:val="num" w:pos="1260"/>
          <w:tab w:val="num" w:pos="1429"/>
        </w:tabs>
        <w:suppressAutoHyphens w:val="0"/>
        <w:ind w:left="0" w:right="-1" w:firstLine="709"/>
        <w:rPr>
          <w:rFonts w:ascii="Times New Roman" w:hAnsi="Times New Roman"/>
          <w:lang w:val="uk-UA"/>
        </w:rPr>
      </w:pPr>
      <w:r w:rsidRPr="00E16672">
        <w:rPr>
          <w:rFonts w:ascii="Times New Roman" w:hAnsi="Times New Roman"/>
          <w:lang w:val="uk-UA"/>
        </w:rPr>
        <w:t>підготувати протоколи про підсумки голосування;</w:t>
      </w:r>
    </w:p>
    <w:p w14:paraId="57DCE144" w14:textId="77777777" w:rsidR="00FE477B" w:rsidRPr="00E16672" w:rsidRDefault="00FE477B" w:rsidP="000D0438">
      <w:pPr>
        <w:widowControl w:val="0"/>
        <w:numPr>
          <w:ilvl w:val="0"/>
          <w:numId w:val="25"/>
        </w:numPr>
        <w:tabs>
          <w:tab w:val="num" w:pos="993"/>
          <w:tab w:val="num" w:pos="1260"/>
          <w:tab w:val="num" w:pos="1429"/>
        </w:tabs>
        <w:suppressAutoHyphens w:val="0"/>
        <w:ind w:left="0" w:right="-1" w:firstLine="709"/>
        <w:rPr>
          <w:rFonts w:ascii="Times New Roman" w:hAnsi="Times New Roman"/>
          <w:lang w:val="uk-UA"/>
        </w:rPr>
      </w:pPr>
      <w:r w:rsidRPr="00E16672">
        <w:rPr>
          <w:rFonts w:ascii="Times New Roman" w:hAnsi="Times New Roman"/>
          <w:lang w:val="uk-UA"/>
        </w:rPr>
        <w:t>надавати роз’яснення щодо порядку голосування, підрахунку голосів та інших питань, пов’язаних із забезпеченням проведення голосування на загальних зборах Замовника.</w:t>
      </w:r>
    </w:p>
    <w:p w14:paraId="4FBACDC3" w14:textId="77777777" w:rsidR="00FE477B" w:rsidRPr="00E16672" w:rsidRDefault="00173D5D" w:rsidP="00173D5D">
      <w:pPr>
        <w:widowControl w:val="0"/>
        <w:tabs>
          <w:tab w:val="num" w:pos="0"/>
        </w:tabs>
        <w:suppressAutoHyphens w:val="0"/>
        <w:ind w:right="-1" w:firstLine="709"/>
        <w:rPr>
          <w:rFonts w:ascii="Times New Roman" w:hAnsi="Times New Roman"/>
          <w:lang w:val="uk-UA"/>
        </w:rPr>
      </w:pPr>
      <w:r w:rsidRPr="00E16672">
        <w:rPr>
          <w:rFonts w:ascii="Times New Roman" w:hAnsi="Times New Roman"/>
          <w:lang w:val="uk-UA"/>
        </w:rPr>
        <w:t xml:space="preserve">1.1.4. </w:t>
      </w:r>
      <w:r w:rsidR="00FE477B" w:rsidRPr="00E16672">
        <w:rPr>
          <w:rFonts w:ascii="Times New Roman" w:hAnsi="Times New Roman"/>
          <w:lang w:val="uk-UA"/>
        </w:rPr>
        <w:t xml:space="preserve">Здійснити повідомлення акціонерів Замовника </w:t>
      </w:r>
      <w:r w:rsidR="00EF78D0">
        <w:rPr>
          <w:rFonts w:ascii="Times New Roman" w:hAnsi="Times New Roman"/>
          <w:lang w:val="uk-UA"/>
        </w:rPr>
        <w:t xml:space="preserve"> </w:t>
      </w:r>
      <w:r w:rsidR="00FE477B" w:rsidRPr="00E16672">
        <w:rPr>
          <w:rFonts w:ascii="Times New Roman" w:hAnsi="Times New Roman"/>
          <w:lang w:val="uk-UA"/>
        </w:rPr>
        <w:t>про</w:t>
      </w:r>
      <w:r w:rsidR="00EF78D0">
        <w:rPr>
          <w:rFonts w:ascii="Times New Roman" w:hAnsi="Times New Roman"/>
          <w:lang w:val="uk-UA"/>
        </w:rPr>
        <w:t xml:space="preserve"> </w:t>
      </w:r>
      <w:r w:rsidR="00FE477B" w:rsidRPr="00E16672">
        <w:rPr>
          <w:rFonts w:ascii="Times New Roman" w:hAnsi="Times New Roman"/>
          <w:lang w:val="uk-UA"/>
        </w:rPr>
        <w:t xml:space="preserve"> підсумки</w:t>
      </w:r>
      <w:r w:rsidR="00EF78D0">
        <w:rPr>
          <w:rFonts w:ascii="Times New Roman" w:hAnsi="Times New Roman"/>
          <w:lang w:val="uk-UA"/>
        </w:rPr>
        <w:t xml:space="preserve"> </w:t>
      </w:r>
      <w:r w:rsidR="00FE477B" w:rsidRPr="00E16672">
        <w:rPr>
          <w:rFonts w:ascii="Times New Roman" w:hAnsi="Times New Roman"/>
          <w:lang w:val="uk-UA"/>
        </w:rPr>
        <w:t xml:space="preserve"> голосування</w:t>
      </w:r>
      <w:r w:rsidR="00EF78D0">
        <w:rPr>
          <w:rFonts w:ascii="Times New Roman" w:hAnsi="Times New Roman"/>
          <w:lang w:val="uk-UA"/>
        </w:rPr>
        <w:t xml:space="preserve"> </w:t>
      </w:r>
      <w:r w:rsidR="00FE477B" w:rsidRPr="00E16672">
        <w:rPr>
          <w:rFonts w:ascii="Times New Roman" w:hAnsi="Times New Roman"/>
          <w:lang w:val="uk-UA"/>
        </w:rPr>
        <w:t xml:space="preserve"> на </w:t>
      </w:r>
      <w:r w:rsidR="00EF78D0">
        <w:rPr>
          <w:rFonts w:ascii="Times New Roman" w:hAnsi="Times New Roman"/>
          <w:lang w:val="uk-UA"/>
        </w:rPr>
        <w:t xml:space="preserve"> </w:t>
      </w:r>
      <w:r w:rsidR="00FE477B" w:rsidRPr="00E16672">
        <w:rPr>
          <w:rFonts w:ascii="Times New Roman" w:hAnsi="Times New Roman"/>
          <w:lang w:val="uk-UA"/>
        </w:rPr>
        <w:t>загальних</w:t>
      </w:r>
      <w:r w:rsidR="00EF78D0">
        <w:rPr>
          <w:rFonts w:ascii="Times New Roman" w:hAnsi="Times New Roman"/>
          <w:lang w:val="uk-UA"/>
        </w:rPr>
        <w:t xml:space="preserve"> </w:t>
      </w:r>
      <w:r w:rsidR="00FE477B" w:rsidRPr="00E16672">
        <w:rPr>
          <w:rFonts w:ascii="Times New Roman" w:hAnsi="Times New Roman"/>
          <w:lang w:val="uk-UA"/>
        </w:rPr>
        <w:t xml:space="preserve"> зборах Замовника </w:t>
      </w:r>
      <w:r w:rsidR="00EF78D0">
        <w:rPr>
          <w:rFonts w:ascii="Times New Roman" w:hAnsi="Times New Roman"/>
          <w:lang w:val="uk-UA"/>
        </w:rPr>
        <w:t xml:space="preserve">      "    "</w:t>
      </w:r>
      <w:r w:rsidR="00FE477B" w:rsidRPr="00E16672">
        <w:rPr>
          <w:rFonts w:ascii="Times New Roman" w:hAnsi="Times New Roman"/>
          <w:lang w:val="uk-UA"/>
        </w:rPr>
        <w:t>_______ 20__ року:</w:t>
      </w:r>
    </w:p>
    <w:p w14:paraId="4C74866F" w14:textId="77777777" w:rsidR="00FE477B" w:rsidRPr="00E16672" w:rsidRDefault="00FE477B" w:rsidP="000D0438">
      <w:pPr>
        <w:widowControl w:val="0"/>
        <w:numPr>
          <w:ilvl w:val="0"/>
          <w:numId w:val="25"/>
        </w:numPr>
        <w:tabs>
          <w:tab w:val="num" w:pos="993"/>
          <w:tab w:val="num" w:pos="1429"/>
        </w:tabs>
        <w:suppressAutoHyphens w:val="0"/>
        <w:ind w:left="0" w:right="-1" w:firstLine="709"/>
        <w:rPr>
          <w:rFonts w:ascii="Times New Roman" w:hAnsi="Times New Roman"/>
          <w:lang w:val="uk-UA"/>
        </w:rPr>
      </w:pPr>
      <w:r w:rsidRPr="00E16672">
        <w:rPr>
          <w:rFonts w:ascii="Times New Roman" w:hAnsi="Times New Roman"/>
          <w:lang w:val="uk-UA"/>
        </w:rPr>
        <w:t>сформувати поштові повідомлення в кількості, необхідній для повідомлення всіх акціонерів (фізичних та юридичних осіб), про підсумки голосування на загальних зборів акціонерів Замовника;</w:t>
      </w:r>
    </w:p>
    <w:p w14:paraId="2D562CF0" w14:textId="77777777" w:rsidR="00FE477B" w:rsidRPr="00E16672" w:rsidRDefault="00FE477B" w:rsidP="00022F5F">
      <w:pPr>
        <w:widowControl w:val="0"/>
        <w:numPr>
          <w:ilvl w:val="0"/>
          <w:numId w:val="25"/>
        </w:numPr>
        <w:tabs>
          <w:tab w:val="num" w:pos="993"/>
          <w:tab w:val="num" w:pos="1429"/>
        </w:tabs>
        <w:suppressAutoHyphens w:val="0"/>
        <w:ind w:left="0" w:right="-1" w:firstLine="709"/>
        <w:jc w:val="left"/>
        <w:rPr>
          <w:rFonts w:ascii="Times New Roman" w:hAnsi="Times New Roman"/>
          <w:lang w:val="uk-UA"/>
        </w:rPr>
      </w:pPr>
      <w:r w:rsidRPr="00E16672">
        <w:rPr>
          <w:rFonts w:ascii="Times New Roman" w:hAnsi="Times New Roman"/>
          <w:lang w:val="uk-UA"/>
        </w:rPr>
        <w:t xml:space="preserve">на підставі наданого Замовником зразка письмового повідомлення в термін до </w:t>
      </w:r>
      <w:r w:rsidR="00022F5F">
        <w:rPr>
          <w:rFonts w:ascii="Times New Roman" w:hAnsi="Times New Roman"/>
          <w:lang w:val="uk-UA"/>
        </w:rPr>
        <w:t>"</w:t>
      </w:r>
      <w:r w:rsidRPr="00E16672">
        <w:rPr>
          <w:rFonts w:ascii="Times New Roman" w:hAnsi="Times New Roman"/>
          <w:lang w:val="uk-UA"/>
        </w:rPr>
        <w:t>_____</w:t>
      </w:r>
      <w:r w:rsidR="00022F5F">
        <w:rPr>
          <w:rFonts w:ascii="Times New Roman" w:hAnsi="Times New Roman"/>
          <w:lang w:val="uk-UA"/>
        </w:rPr>
        <w:t>"</w:t>
      </w:r>
      <w:r w:rsidRPr="00E16672">
        <w:rPr>
          <w:rFonts w:ascii="Times New Roman" w:hAnsi="Times New Roman"/>
          <w:lang w:val="uk-UA"/>
        </w:rPr>
        <w:t xml:space="preserve">_______ 20__ року направити простими листами підсумки голосування на загальних зборах акціонерів Замовника. Персональні повідомлення направляються на поштові адреси акціонерів, зазначені в переліку акціонерів, які мають право на участь у загальних зборах акціонерів Замовника </w:t>
      </w:r>
      <w:r w:rsidR="00EF78D0">
        <w:rPr>
          <w:rFonts w:ascii="Times New Roman" w:hAnsi="Times New Roman"/>
          <w:lang w:val="uk-UA"/>
        </w:rPr>
        <w:t>"     "</w:t>
      </w:r>
      <w:r w:rsidRPr="00E16672">
        <w:rPr>
          <w:rFonts w:ascii="Times New Roman" w:hAnsi="Times New Roman"/>
          <w:lang w:val="uk-UA"/>
        </w:rPr>
        <w:t>_______ 20__ року.</w:t>
      </w:r>
    </w:p>
    <w:p w14:paraId="5E06BA25" w14:textId="77777777" w:rsidR="00FE477B" w:rsidRPr="00E16672" w:rsidRDefault="00516E92" w:rsidP="00022F5F">
      <w:pPr>
        <w:widowControl w:val="0"/>
        <w:suppressAutoHyphens w:val="0"/>
        <w:ind w:right="-1" w:firstLine="709"/>
        <w:jc w:val="left"/>
        <w:rPr>
          <w:rFonts w:ascii="Times New Roman" w:hAnsi="Times New Roman"/>
          <w:lang w:val="uk-UA"/>
        </w:rPr>
      </w:pPr>
      <w:r w:rsidRPr="00E16672">
        <w:rPr>
          <w:rFonts w:ascii="Times New Roman" w:hAnsi="Times New Roman"/>
          <w:lang w:val="uk-UA"/>
        </w:rPr>
        <w:t xml:space="preserve">1.1.5. </w:t>
      </w:r>
      <w:r w:rsidR="00FE477B" w:rsidRPr="00E16672">
        <w:rPr>
          <w:rFonts w:ascii="Times New Roman" w:hAnsi="Times New Roman"/>
          <w:lang w:val="uk-UA"/>
        </w:rPr>
        <w:t xml:space="preserve">Замовник доручає, а Виконавець зобов’язується надати консультаційні послуги з питань розкриття на фондовому ринку одного виду особливої інформації емітента у відповідності до Положення про розкриття інформації емітентами цінних паперів, затвердженого Рішенням НКЦПФР № 2826 від 03.12.2013 р. (із змінами), яка виникає в результаті скликання та проведення загальних зборів акціонерів Замовника </w:t>
      </w:r>
      <w:r w:rsidR="00022F5F">
        <w:rPr>
          <w:rFonts w:ascii="Times New Roman" w:hAnsi="Times New Roman"/>
          <w:lang w:val="uk-UA"/>
        </w:rPr>
        <w:t>"</w:t>
      </w:r>
      <w:r w:rsidR="00F864F1">
        <w:rPr>
          <w:rFonts w:ascii="Times New Roman" w:hAnsi="Times New Roman"/>
          <w:lang w:val="uk-UA"/>
        </w:rPr>
        <w:t xml:space="preserve">    </w:t>
      </w:r>
      <w:r w:rsidR="00022F5F">
        <w:rPr>
          <w:rFonts w:ascii="Times New Roman" w:hAnsi="Times New Roman"/>
          <w:lang w:val="uk-UA"/>
        </w:rPr>
        <w:t>"</w:t>
      </w:r>
      <w:r w:rsidR="00FE477B" w:rsidRPr="00E16672">
        <w:rPr>
          <w:rFonts w:ascii="Times New Roman" w:hAnsi="Times New Roman"/>
          <w:lang w:val="uk-UA"/>
        </w:rPr>
        <w:t>___</w:t>
      </w:r>
      <w:r w:rsidR="00F864F1">
        <w:rPr>
          <w:rFonts w:ascii="Times New Roman" w:hAnsi="Times New Roman"/>
          <w:lang w:val="uk-UA"/>
        </w:rPr>
        <w:t>__</w:t>
      </w:r>
      <w:r w:rsidR="00FE477B" w:rsidRPr="00E16672">
        <w:rPr>
          <w:rFonts w:ascii="Times New Roman" w:hAnsi="Times New Roman"/>
          <w:lang w:val="uk-UA"/>
        </w:rPr>
        <w:t>____ 20__ року шляхом:</w:t>
      </w:r>
    </w:p>
    <w:p w14:paraId="431FF7CE" w14:textId="77777777" w:rsidR="00FE477B" w:rsidRPr="00E16672" w:rsidRDefault="00FE477B" w:rsidP="000D0438">
      <w:pPr>
        <w:widowControl w:val="0"/>
        <w:numPr>
          <w:ilvl w:val="0"/>
          <w:numId w:val="25"/>
        </w:numPr>
        <w:tabs>
          <w:tab w:val="num" w:pos="720"/>
          <w:tab w:val="num" w:pos="993"/>
          <w:tab w:val="num" w:pos="1260"/>
        </w:tabs>
        <w:suppressAutoHyphens w:val="0"/>
        <w:ind w:left="0" w:right="-1" w:firstLine="709"/>
        <w:rPr>
          <w:rFonts w:ascii="Times New Roman" w:hAnsi="Times New Roman"/>
          <w:lang w:val="uk-UA"/>
        </w:rPr>
      </w:pPr>
      <w:r w:rsidRPr="00E16672">
        <w:rPr>
          <w:rFonts w:ascii="Times New Roman" w:hAnsi="Times New Roman"/>
          <w:lang w:val="uk-UA"/>
        </w:rPr>
        <w:t>розміщення в загальнодоступній інформаційній базі даних Національної комісії з цінних паперів та фондового ринку про ринок цінних паперів (надалі – Комісія);</w:t>
      </w:r>
    </w:p>
    <w:p w14:paraId="3C7275EC" w14:textId="77777777" w:rsidR="00FE477B" w:rsidRPr="00E16672" w:rsidRDefault="00FE477B" w:rsidP="000D0438">
      <w:pPr>
        <w:widowControl w:val="0"/>
        <w:numPr>
          <w:ilvl w:val="0"/>
          <w:numId w:val="25"/>
        </w:numPr>
        <w:tabs>
          <w:tab w:val="num" w:pos="720"/>
          <w:tab w:val="num" w:pos="993"/>
          <w:tab w:val="num" w:pos="1260"/>
        </w:tabs>
        <w:suppressAutoHyphens w:val="0"/>
        <w:ind w:left="0" w:right="-1" w:firstLine="709"/>
        <w:rPr>
          <w:rFonts w:ascii="Times New Roman" w:hAnsi="Times New Roman"/>
          <w:lang w:val="uk-UA"/>
        </w:rPr>
      </w:pPr>
      <w:r w:rsidRPr="00E16672">
        <w:rPr>
          <w:rFonts w:ascii="Times New Roman" w:hAnsi="Times New Roman"/>
          <w:lang w:val="uk-UA"/>
        </w:rPr>
        <w:t>опублікування в одному з офіційних друкованих видань Верховної Ради України, Кабінету Міністрів України або Комісії;</w:t>
      </w:r>
    </w:p>
    <w:p w14:paraId="0E22C1A5" w14:textId="77777777" w:rsidR="00FE477B" w:rsidRPr="00E16672" w:rsidRDefault="00FE477B" w:rsidP="000D0438">
      <w:pPr>
        <w:widowControl w:val="0"/>
        <w:numPr>
          <w:ilvl w:val="0"/>
          <w:numId w:val="25"/>
        </w:numPr>
        <w:tabs>
          <w:tab w:val="num" w:pos="720"/>
          <w:tab w:val="num" w:pos="993"/>
          <w:tab w:val="num" w:pos="1260"/>
        </w:tabs>
        <w:suppressAutoHyphens w:val="0"/>
        <w:ind w:left="0" w:right="-1" w:firstLine="709"/>
        <w:rPr>
          <w:rFonts w:ascii="Times New Roman" w:hAnsi="Times New Roman"/>
          <w:lang w:val="uk-UA"/>
        </w:rPr>
      </w:pPr>
      <w:r w:rsidRPr="00E16672">
        <w:rPr>
          <w:rFonts w:ascii="Times New Roman" w:hAnsi="Times New Roman"/>
          <w:lang w:val="uk-UA"/>
        </w:rPr>
        <w:t>розміщення на власному веб-сайті (веб-сторінці) емітента;</w:t>
      </w:r>
    </w:p>
    <w:p w14:paraId="666B816C" w14:textId="77777777" w:rsidR="00010BDE" w:rsidRPr="00E16672" w:rsidRDefault="00FE477B" w:rsidP="000D0438">
      <w:pPr>
        <w:widowControl w:val="0"/>
        <w:numPr>
          <w:ilvl w:val="0"/>
          <w:numId w:val="25"/>
        </w:numPr>
        <w:tabs>
          <w:tab w:val="num" w:pos="720"/>
          <w:tab w:val="num" w:pos="993"/>
          <w:tab w:val="num" w:pos="1260"/>
        </w:tabs>
        <w:suppressAutoHyphens w:val="0"/>
        <w:ind w:left="0" w:right="-1" w:firstLine="709"/>
        <w:rPr>
          <w:rFonts w:ascii="Times New Roman" w:hAnsi="Times New Roman"/>
          <w:lang w:val="uk-UA"/>
        </w:rPr>
      </w:pPr>
      <w:r w:rsidRPr="00E16672">
        <w:rPr>
          <w:rFonts w:ascii="Times New Roman" w:hAnsi="Times New Roman"/>
          <w:lang w:val="uk-UA"/>
        </w:rPr>
        <w:t>подання до Комісії.</w:t>
      </w:r>
    </w:p>
    <w:p w14:paraId="45510C10" w14:textId="77777777" w:rsidR="00010BDE" w:rsidRPr="00E16672" w:rsidRDefault="00010BDE" w:rsidP="00010BDE">
      <w:pPr>
        <w:pStyle w:val="1"/>
        <w:widowControl w:val="0"/>
        <w:rPr>
          <w:rFonts w:ascii="Times New Roman" w:hAnsi="Times New Roman" w:cs="Times New Roman"/>
          <w:sz w:val="20"/>
          <w:lang w:val="uk-UA"/>
        </w:rPr>
      </w:pPr>
      <w:r w:rsidRPr="00E16672">
        <w:rPr>
          <w:rFonts w:ascii="Times New Roman" w:hAnsi="Times New Roman" w:cs="Times New Roman"/>
          <w:sz w:val="20"/>
          <w:lang w:val="uk-UA"/>
        </w:rPr>
        <w:t>ІІ. ПРАВА ТА ОБОВ`ЯЗКИ СТОРІН</w:t>
      </w:r>
    </w:p>
    <w:p w14:paraId="51489701" w14:textId="77777777" w:rsidR="00010BDE" w:rsidRPr="00E16672" w:rsidRDefault="00010BDE" w:rsidP="00010BDE">
      <w:pPr>
        <w:widowControl w:val="0"/>
        <w:rPr>
          <w:rFonts w:ascii="Times New Roman" w:hAnsi="Times New Roman"/>
          <w:lang w:val="uk-UA"/>
        </w:rPr>
      </w:pPr>
    </w:p>
    <w:p w14:paraId="68D5EF5B" w14:textId="77777777" w:rsidR="00010BDE" w:rsidRPr="00E16672" w:rsidRDefault="00173D5D" w:rsidP="00010BDE">
      <w:pPr>
        <w:widowControl w:val="0"/>
        <w:ind w:right="-1" w:firstLine="720"/>
        <w:rPr>
          <w:rFonts w:ascii="Times New Roman" w:hAnsi="Times New Roman"/>
          <w:b/>
          <w:lang w:val="uk-UA"/>
        </w:rPr>
      </w:pPr>
      <w:r w:rsidRPr="00E16672">
        <w:rPr>
          <w:rFonts w:ascii="Times New Roman" w:hAnsi="Times New Roman"/>
          <w:b/>
          <w:lang w:val="uk-UA"/>
        </w:rPr>
        <w:t>2.1.</w:t>
      </w:r>
      <w:r w:rsidR="00010BDE" w:rsidRPr="00E16672">
        <w:rPr>
          <w:rFonts w:ascii="Times New Roman" w:hAnsi="Times New Roman"/>
          <w:b/>
          <w:lang w:val="uk-UA"/>
        </w:rPr>
        <w:t>Виконавець зобов`язаний:</w:t>
      </w:r>
    </w:p>
    <w:p w14:paraId="724C68C5" w14:textId="77777777" w:rsidR="00010BDE" w:rsidRPr="00E16672" w:rsidRDefault="00173D5D" w:rsidP="00173D5D">
      <w:pPr>
        <w:pStyle w:val="aff5"/>
        <w:tabs>
          <w:tab w:val="left" w:pos="993"/>
        </w:tabs>
        <w:suppressAutoHyphens w:val="0"/>
        <w:snapToGrid w:val="0"/>
        <w:ind w:left="142"/>
        <w:rPr>
          <w:rFonts w:ascii="Times New Roman" w:hAnsi="Times New Roman"/>
          <w:szCs w:val="20"/>
          <w:lang w:val="uk-UA"/>
        </w:rPr>
      </w:pPr>
      <w:r w:rsidRPr="00E16672">
        <w:rPr>
          <w:rFonts w:ascii="Times New Roman" w:hAnsi="Times New Roman"/>
          <w:szCs w:val="20"/>
          <w:lang w:val="uk-UA"/>
        </w:rPr>
        <w:lastRenderedPageBreak/>
        <w:t xml:space="preserve">2.1.1. </w:t>
      </w:r>
      <w:r w:rsidR="00010BDE" w:rsidRPr="00E16672">
        <w:rPr>
          <w:rFonts w:ascii="Times New Roman" w:hAnsi="Times New Roman"/>
          <w:szCs w:val="20"/>
          <w:lang w:val="uk-UA"/>
        </w:rPr>
        <w:t>Надати послуги згідно цього Договору у відповідності до вимог чинного законодавства за умови надання Замовником інформації та документів, необхідних для надання послуг.</w:t>
      </w:r>
    </w:p>
    <w:p w14:paraId="785C514A" w14:textId="77777777" w:rsidR="00010BDE" w:rsidRPr="00E16672" w:rsidRDefault="00010BDE" w:rsidP="000D0438">
      <w:pPr>
        <w:pStyle w:val="aff5"/>
        <w:numPr>
          <w:ilvl w:val="2"/>
          <w:numId w:val="30"/>
        </w:numPr>
        <w:tabs>
          <w:tab w:val="left" w:pos="993"/>
        </w:tabs>
        <w:suppressAutoHyphens w:val="0"/>
        <w:snapToGrid w:val="0"/>
        <w:rPr>
          <w:rFonts w:ascii="Times New Roman" w:hAnsi="Times New Roman"/>
          <w:szCs w:val="20"/>
          <w:lang w:val="uk-UA"/>
        </w:rPr>
      </w:pPr>
      <w:r w:rsidRPr="00E16672">
        <w:rPr>
          <w:rFonts w:ascii="Times New Roman" w:hAnsi="Times New Roman"/>
          <w:szCs w:val="20"/>
          <w:lang w:val="uk-UA"/>
        </w:rPr>
        <w:t xml:space="preserve">Після складання протоколів про підсумки голосування опечатати бюлетені для голосування. </w:t>
      </w:r>
    </w:p>
    <w:p w14:paraId="08A76A50" w14:textId="77777777" w:rsidR="00010BDE" w:rsidRPr="00E16672" w:rsidRDefault="00173D5D" w:rsidP="00173D5D">
      <w:pPr>
        <w:pStyle w:val="aff5"/>
        <w:tabs>
          <w:tab w:val="left" w:pos="993"/>
        </w:tabs>
        <w:suppressAutoHyphens w:val="0"/>
        <w:snapToGrid w:val="0"/>
        <w:ind w:left="142"/>
        <w:rPr>
          <w:rFonts w:ascii="Times New Roman" w:hAnsi="Times New Roman"/>
          <w:szCs w:val="20"/>
          <w:lang w:val="uk-UA"/>
        </w:rPr>
      </w:pPr>
      <w:r w:rsidRPr="00E16672">
        <w:rPr>
          <w:rFonts w:ascii="Times New Roman" w:hAnsi="Times New Roman"/>
          <w:szCs w:val="20"/>
          <w:lang w:val="uk-UA"/>
        </w:rPr>
        <w:t xml:space="preserve">2.1.3. </w:t>
      </w:r>
      <w:r w:rsidR="00010BDE" w:rsidRPr="00E16672">
        <w:rPr>
          <w:rFonts w:ascii="Times New Roman" w:hAnsi="Times New Roman"/>
          <w:szCs w:val="20"/>
          <w:lang w:val="uk-UA"/>
        </w:rPr>
        <w:t>Надати послуги згідно з п.1.1.5. цього Договору у відповідності до вимог чинного законодавства за умови надання Замовником інформації та/або документів, необхідних для надання послуг, у строки, встановлені цим Договором.</w:t>
      </w:r>
    </w:p>
    <w:p w14:paraId="19A63E3B" w14:textId="77777777" w:rsidR="00010BDE" w:rsidRPr="00E16672" w:rsidRDefault="00010BDE" w:rsidP="00010BDE">
      <w:pPr>
        <w:widowControl w:val="0"/>
        <w:ind w:right="-1" w:firstLine="720"/>
        <w:rPr>
          <w:rFonts w:ascii="Times New Roman" w:hAnsi="Times New Roman"/>
          <w:b/>
          <w:lang w:val="uk-UA"/>
        </w:rPr>
      </w:pPr>
    </w:p>
    <w:p w14:paraId="19AE15A2" w14:textId="77777777" w:rsidR="00010BDE" w:rsidRPr="00E16672" w:rsidRDefault="00010BDE" w:rsidP="000D0438">
      <w:pPr>
        <w:pStyle w:val="aff5"/>
        <w:widowControl w:val="0"/>
        <w:numPr>
          <w:ilvl w:val="1"/>
          <w:numId w:val="22"/>
        </w:numPr>
        <w:ind w:right="-1"/>
        <w:rPr>
          <w:rFonts w:ascii="Times New Roman" w:hAnsi="Times New Roman"/>
          <w:b/>
          <w:lang w:val="uk-UA"/>
        </w:rPr>
      </w:pPr>
      <w:r w:rsidRPr="00E16672">
        <w:rPr>
          <w:rFonts w:ascii="Times New Roman" w:hAnsi="Times New Roman"/>
          <w:b/>
          <w:lang w:val="uk-UA"/>
        </w:rPr>
        <w:t>Виконавець має право:</w:t>
      </w:r>
    </w:p>
    <w:p w14:paraId="4680A42B" w14:textId="77777777" w:rsidR="00010BDE" w:rsidRPr="00E16672" w:rsidRDefault="00173D5D" w:rsidP="00173D5D">
      <w:pPr>
        <w:pStyle w:val="aff5"/>
        <w:tabs>
          <w:tab w:val="left" w:pos="993"/>
        </w:tabs>
        <w:suppressAutoHyphens w:val="0"/>
        <w:snapToGrid w:val="0"/>
        <w:ind w:left="0"/>
        <w:rPr>
          <w:rFonts w:ascii="Times New Roman" w:hAnsi="Times New Roman"/>
          <w:szCs w:val="20"/>
          <w:lang w:val="uk-UA"/>
        </w:rPr>
      </w:pPr>
      <w:r w:rsidRPr="00E16672">
        <w:rPr>
          <w:rFonts w:ascii="Times New Roman" w:hAnsi="Times New Roman"/>
          <w:szCs w:val="20"/>
          <w:lang w:val="uk-UA"/>
        </w:rPr>
        <w:t xml:space="preserve">2.2.1. </w:t>
      </w:r>
      <w:r w:rsidR="00010BDE" w:rsidRPr="00E16672">
        <w:rPr>
          <w:rFonts w:ascii="Times New Roman" w:hAnsi="Times New Roman"/>
          <w:szCs w:val="20"/>
          <w:lang w:val="uk-UA"/>
        </w:rPr>
        <w:t>Виконувати функції тимчасової лічильної комісії у випадках, передбачених чинним законодавством, Статутом та внутрішніми документами Товариства.</w:t>
      </w:r>
    </w:p>
    <w:p w14:paraId="5026E7ED" w14:textId="77777777" w:rsidR="00010BDE" w:rsidRPr="00E16672" w:rsidRDefault="00010BDE" w:rsidP="000D0438">
      <w:pPr>
        <w:pStyle w:val="aff5"/>
        <w:numPr>
          <w:ilvl w:val="2"/>
          <w:numId w:val="31"/>
        </w:numPr>
        <w:tabs>
          <w:tab w:val="left" w:pos="993"/>
        </w:tabs>
        <w:suppressAutoHyphens w:val="0"/>
        <w:snapToGrid w:val="0"/>
        <w:ind w:left="0" w:firstLine="567"/>
        <w:rPr>
          <w:rFonts w:ascii="Times New Roman" w:hAnsi="Times New Roman"/>
          <w:szCs w:val="20"/>
          <w:lang w:val="uk-UA"/>
        </w:rPr>
      </w:pPr>
      <w:r w:rsidRPr="00E16672">
        <w:rPr>
          <w:rFonts w:ascii="Times New Roman" w:hAnsi="Times New Roman"/>
          <w:szCs w:val="20"/>
          <w:lang w:val="uk-UA"/>
        </w:rPr>
        <w:t>Відмовити в реєстрації акціонера чи його представника для участі у загальних зборах у разі відсутності документів, що ідентифікують акціонера (його представника), та/або у разі відсутності документів, що підтверджують повноваження представника для участі у загальних зборах акціонерів.</w:t>
      </w:r>
    </w:p>
    <w:p w14:paraId="7F9C54EC" w14:textId="77777777" w:rsidR="00010BDE" w:rsidRPr="00E16672" w:rsidRDefault="00010BDE" w:rsidP="000D0438">
      <w:pPr>
        <w:pStyle w:val="aff5"/>
        <w:numPr>
          <w:ilvl w:val="2"/>
          <w:numId w:val="31"/>
        </w:numPr>
        <w:tabs>
          <w:tab w:val="left" w:pos="993"/>
        </w:tabs>
        <w:suppressAutoHyphens w:val="0"/>
        <w:snapToGrid w:val="0"/>
        <w:ind w:left="0" w:firstLine="567"/>
        <w:rPr>
          <w:rFonts w:ascii="Times New Roman" w:hAnsi="Times New Roman"/>
          <w:szCs w:val="20"/>
          <w:lang w:val="uk-UA"/>
        </w:rPr>
      </w:pPr>
      <w:r w:rsidRPr="00E16672">
        <w:rPr>
          <w:rFonts w:ascii="Times New Roman" w:hAnsi="Times New Roman"/>
          <w:szCs w:val="20"/>
          <w:lang w:val="uk-UA"/>
        </w:rPr>
        <w:t>Подовжити термін реєстрації акціонерів та їх представників у випадку отримання відповідних письмових клопотань акціонерів та їх представників, а також в інших випадках, передбачених чинним законодавством України, статутом Замовника та внутрішніми положеннями Замовника.</w:t>
      </w:r>
    </w:p>
    <w:p w14:paraId="2B72DC2B" w14:textId="77777777" w:rsidR="00010BDE" w:rsidRPr="00E16672" w:rsidRDefault="00010BDE" w:rsidP="000D0438">
      <w:pPr>
        <w:pStyle w:val="aff5"/>
        <w:numPr>
          <w:ilvl w:val="2"/>
          <w:numId w:val="31"/>
        </w:numPr>
        <w:tabs>
          <w:tab w:val="left" w:pos="993"/>
        </w:tabs>
        <w:suppressAutoHyphens w:val="0"/>
        <w:snapToGrid w:val="0"/>
        <w:ind w:left="0" w:firstLine="567"/>
        <w:rPr>
          <w:rFonts w:ascii="Times New Roman" w:hAnsi="Times New Roman"/>
          <w:szCs w:val="20"/>
          <w:lang w:val="uk-UA"/>
        </w:rPr>
      </w:pPr>
      <w:r w:rsidRPr="00E16672">
        <w:rPr>
          <w:rFonts w:ascii="Times New Roman" w:hAnsi="Times New Roman"/>
          <w:szCs w:val="20"/>
          <w:lang w:val="uk-UA"/>
        </w:rPr>
        <w:t>Не надавати всіх або частини послуг згідно цього Договору у випадку не виконання Замовником своїх обов’язків, передбачених цим Договором, а також у разі наявності</w:t>
      </w:r>
      <w:r w:rsidR="00516E92" w:rsidRPr="00E16672">
        <w:rPr>
          <w:rFonts w:ascii="Times New Roman" w:hAnsi="Times New Roman"/>
          <w:szCs w:val="20"/>
          <w:lang w:val="uk-UA"/>
        </w:rPr>
        <w:t xml:space="preserve"> </w:t>
      </w:r>
      <w:r w:rsidRPr="00E16672">
        <w:rPr>
          <w:rFonts w:ascii="Times New Roman" w:hAnsi="Times New Roman"/>
          <w:szCs w:val="20"/>
          <w:lang w:val="uk-UA"/>
        </w:rPr>
        <w:t>заборгованості Замовника перед виконавцем за цим Договором та/або іншими договорами, укладеними з Виконавцем.</w:t>
      </w:r>
    </w:p>
    <w:p w14:paraId="70752FF7" w14:textId="77777777" w:rsidR="00010BDE" w:rsidRPr="00E16672" w:rsidRDefault="00010BDE" w:rsidP="00173D5D">
      <w:pPr>
        <w:pStyle w:val="aff5"/>
        <w:tabs>
          <w:tab w:val="left" w:pos="993"/>
        </w:tabs>
        <w:snapToGrid w:val="0"/>
        <w:ind w:left="0"/>
        <w:rPr>
          <w:rFonts w:ascii="Times New Roman" w:hAnsi="Times New Roman"/>
          <w:szCs w:val="20"/>
          <w:lang w:val="uk-UA"/>
        </w:rPr>
      </w:pPr>
    </w:p>
    <w:p w14:paraId="5ABE0878" w14:textId="77777777" w:rsidR="00010BDE" w:rsidRPr="00E16672" w:rsidRDefault="00010BDE" w:rsidP="000D0438">
      <w:pPr>
        <w:pStyle w:val="aff5"/>
        <w:widowControl w:val="0"/>
        <w:numPr>
          <w:ilvl w:val="1"/>
          <w:numId w:val="31"/>
        </w:numPr>
        <w:ind w:right="-1" w:hanging="282"/>
        <w:rPr>
          <w:rFonts w:ascii="Times New Roman" w:hAnsi="Times New Roman"/>
          <w:b/>
          <w:lang w:val="uk-UA"/>
        </w:rPr>
      </w:pPr>
      <w:r w:rsidRPr="00E16672">
        <w:rPr>
          <w:rFonts w:ascii="Times New Roman" w:hAnsi="Times New Roman"/>
          <w:b/>
          <w:lang w:val="uk-UA"/>
        </w:rPr>
        <w:t>Замовник зобов`язаний:</w:t>
      </w:r>
    </w:p>
    <w:p w14:paraId="4757D99B" w14:textId="77777777" w:rsidR="00173D5D" w:rsidRPr="00E16672" w:rsidRDefault="00CA710E" w:rsidP="001A2DB1">
      <w:pPr>
        <w:pStyle w:val="aff5"/>
        <w:widowControl w:val="0"/>
        <w:tabs>
          <w:tab w:val="left" w:pos="993"/>
        </w:tabs>
        <w:snapToGrid w:val="0"/>
        <w:ind w:left="0" w:right="-1"/>
        <w:rPr>
          <w:rFonts w:ascii="Times New Roman" w:hAnsi="Times New Roman"/>
          <w:szCs w:val="20"/>
          <w:lang w:val="uk-UA"/>
        </w:rPr>
      </w:pPr>
      <w:r w:rsidRPr="00E16672">
        <w:rPr>
          <w:rFonts w:ascii="Times New Roman" w:hAnsi="Times New Roman"/>
          <w:szCs w:val="20"/>
          <w:lang w:val="uk-UA"/>
        </w:rPr>
        <w:t xml:space="preserve">2.3.1. </w:t>
      </w:r>
      <w:r w:rsidR="00173D5D" w:rsidRPr="00E16672">
        <w:rPr>
          <w:rFonts w:ascii="Times New Roman" w:hAnsi="Times New Roman"/>
          <w:szCs w:val="20"/>
          <w:lang w:val="uk-UA"/>
        </w:rPr>
        <w:t xml:space="preserve">У термін до </w:t>
      </w:r>
      <w:r w:rsidR="00EF78D0">
        <w:rPr>
          <w:rFonts w:ascii="Times New Roman" w:hAnsi="Times New Roman"/>
          <w:szCs w:val="20"/>
          <w:lang w:val="uk-UA"/>
        </w:rPr>
        <w:t>"   "</w:t>
      </w:r>
      <w:r w:rsidR="00173D5D" w:rsidRPr="00E16672">
        <w:rPr>
          <w:rFonts w:ascii="Times New Roman" w:hAnsi="Times New Roman"/>
          <w:szCs w:val="20"/>
          <w:lang w:val="uk-UA"/>
        </w:rPr>
        <w:t xml:space="preserve">________ 20__ року надати Виконавцю засвідчений Замовником та затверджений наглядовою радою зразок повідомлення про проведення загальних зборів акціонерів та проект порядку денного для направлення повідомлення акціонерам Замовника та опублікування повідомлення про проведення загальних зборів (крім проектів рішень щодо кожного з питань, включених до проекту порядку денного), а також копію протоколу Наглядової ради про скликання загальних зборів Замовника, призначених на </w:t>
      </w:r>
      <w:r w:rsidR="00EF78D0">
        <w:rPr>
          <w:rFonts w:ascii="Times New Roman" w:hAnsi="Times New Roman"/>
          <w:szCs w:val="20"/>
          <w:lang w:val="uk-UA"/>
        </w:rPr>
        <w:t>"       "</w:t>
      </w:r>
      <w:r w:rsidR="00173D5D" w:rsidRPr="00E16672">
        <w:rPr>
          <w:rFonts w:ascii="Times New Roman" w:hAnsi="Times New Roman"/>
          <w:szCs w:val="20"/>
          <w:lang w:val="uk-UA"/>
        </w:rPr>
        <w:t>_______ 20__ року, та затвердження їх порядку денного</w:t>
      </w:r>
    </w:p>
    <w:p w14:paraId="1043EC5F" w14:textId="77777777" w:rsidR="00173D5D" w:rsidRPr="00E16672" w:rsidRDefault="00CA710E" w:rsidP="001A2DB1">
      <w:pPr>
        <w:pStyle w:val="aff5"/>
        <w:widowControl w:val="0"/>
        <w:tabs>
          <w:tab w:val="left" w:pos="993"/>
        </w:tabs>
        <w:snapToGrid w:val="0"/>
        <w:ind w:left="0" w:right="-1"/>
        <w:rPr>
          <w:rFonts w:ascii="Times New Roman" w:hAnsi="Times New Roman"/>
          <w:szCs w:val="20"/>
          <w:lang w:val="uk-UA"/>
        </w:rPr>
      </w:pPr>
      <w:r w:rsidRPr="00E16672">
        <w:rPr>
          <w:rFonts w:ascii="Times New Roman" w:hAnsi="Times New Roman"/>
          <w:szCs w:val="20"/>
          <w:lang w:val="uk-UA"/>
        </w:rPr>
        <w:t xml:space="preserve">2.3.2. </w:t>
      </w:r>
      <w:r w:rsidR="00173D5D" w:rsidRPr="00E16672">
        <w:rPr>
          <w:rFonts w:ascii="Times New Roman" w:hAnsi="Times New Roman"/>
          <w:szCs w:val="20"/>
          <w:lang w:val="uk-UA"/>
        </w:rPr>
        <w:t>Для здійснення персонального повід</w:t>
      </w:r>
      <w:r w:rsidR="00EF78D0">
        <w:rPr>
          <w:rFonts w:ascii="Times New Roman" w:hAnsi="Times New Roman"/>
          <w:szCs w:val="20"/>
          <w:lang w:val="uk-UA"/>
        </w:rPr>
        <w:t>омлення акціонерів у термін до "       "</w:t>
      </w:r>
      <w:r w:rsidR="00173D5D" w:rsidRPr="00E16672">
        <w:rPr>
          <w:rFonts w:ascii="Times New Roman" w:hAnsi="Times New Roman"/>
          <w:szCs w:val="20"/>
          <w:lang w:val="uk-UA"/>
        </w:rPr>
        <w:t xml:space="preserve">________ 20__ року надати Виконавцю оформлене відповідно до вимог чинного законодавства розпорядження на складання реєстру власників іменних цінних паперів для отримання переліку акціонерів, яким </w:t>
      </w:r>
      <w:proofErr w:type="spellStart"/>
      <w:r w:rsidR="00173D5D" w:rsidRPr="00E16672">
        <w:rPr>
          <w:rFonts w:ascii="Times New Roman" w:hAnsi="Times New Roman"/>
          <w:szCs w:val="20"/>
          <w:lang w:val="uk-UA"/>
        </w:rPr>
        <w:t>надсилатиметься</w:t>
      </w:r>
      <w:proofErr w:type="spellEnd"/>
      <w:r w:rsidR="00173D5D" w:rsidRPr="00E16672">
        <w:rPr>
          <w:rFonts w:ascii="Times New Roman" w:hAnsi="Times New Roman"/>
          <w:szCs w:val="20"/>
          <w:lang w:val="uk-UA"/>
        </w:rPr>
        <w:t xml:space="preserve"> письмове повідомлення про проведення загальних зборів акціонерного товариства, для отримання від Центрального депозитарію переліку акціонерів, яким </w:t>
      </w:r>
      <w:proofErr w:type="spellStart"/>
      <w:r w:rsidR="00173D5D" w:rsidRPr="00E16672">
        <w:rPr>
          <w:rFonts w:ascii="Times New Roman" w:hAnsi="Times New Roman"/>
          <w:szCs w:val="20"/>
          <w:lang w:val="uk-UA"/>
        </w:rPr>
        <w:t>надсилатиметься</w:t>
      </w:r>
      <w:proofErr w:type="spellEnd"/>
      <w:r w:rsidR="00173D5D" w:rsidRPr="00E16672">
        <w:rPr>
          <w:rFonts w:ascii="Times New Roman" w:hAnsi="Times New Roman"/>
          <w:szCs w:val="20"/>
          <w:lang w:val="uk-UA"/>
        </w:rPr>
        <w:t xml:space="preserve"> письмове повідомлення про проведення загальних зборів акціонерного товариства. </w:t>
      </w:r>
    </w:p>
    <w:p w14:paraId="18CFC2EB" w14:textId="77777777" w:rsidR="00173D5D" w:rsidRPr="00E16672" w:rsidRDefault="00CA710E" w:rsidP="001A2DB1">
      <w:pPr>
        <w:pStyle w:val="aff5"/>
        <w:widowControl w:val="0"/>
        <w:tabs>
          <w:tab w:val="left" w:pos="993"/>
        </w:tabs>
        <w:snapToGrid w:val="0"/>
        <w:ind w:left="0" w:right="-1"/>
        <w:rPr>
          <w:rFonts w:ascii="Times New Roman" w:hAnsi="Times New Roman"/>
          <w:szCs w:val="20"/>
          <w:lang w:val="uk-UA"/>
        </w:rPr>
      </w:pPr>
      <w:r w:rsidRPr="00E16672">
        <w:rPr>
          <w:rFonts w:ascii="Times New Roman" w:hAnsi="Times New Roman"/>
          <w:szCs w:val="20"/>
          <w:lang w:val="uk-UA"/>
        </w:rPr>
        <w:t xml:space="preserve">2.3.3. </w:t>
      </w:r>
      <w:r w:rsidR="00173D5D" w:rsidRPr="00E16672">
        <w:rPr>
          <w:rFonts w:ascii="Times New Roman" w:hAnsi="Times New Roman"/>
          <w:szCs w:val="20"/>
          <w:lang w:val="uk-UA"/>
        </w:rPr>
        <w:t xml:space="preserve">У термін до </w:t>
      </w:r>
      <w:r w:rsidR="00EF78D0">
        <w:rPr>
          <w:rFonts w:ascii="Times New Roman" w:hAnsi="Times New Roman"/>
          <w:szCs w:val="20"/>
          <w:lang w:val="uk-UA"/>
        </w:rPr>
        <w:t>"  "</w:t>
      </w:r>
      <w:r w:rsidR="00173D5D" w:rsidRPr="00E16672">
        <w:rPr>
          <w:rFonts w:ascii="Times New Roman" w:hAnsi="Times New Roman"/>
          <w:szCs w:val="20"/>
          <w:lang w:val="uk-UA"/>
        </w:rPr>
        <w:t>________ 20__ року надати Виконавцю засвідчений Замовником та затверджений Наглядовою Радою бланк бюлетеня для голосування, а також надати затверджену копію рішення Наглядової ради про призначення реєстраційної комісії та затвердження бланку бюлетеню для голосування.</w:t>
      </w:r>
    </w:p>
    <w:p w14:paraId="75757301" w14:textId="77777777" w:rsidR="00173D5D" w:rsidRPr="00E16672" w:rsidRDefault="00CA710E" w:rsidP="001A2DB1">
      <w:pPr>
        <w:pStyle w:val="aff5"/>
        <w:widowControl w:val="0"/>
        <w:tabs>
          <w:tab w:val="left" w:pos="993"/>
        </w:tabs>
        <w:snapToGrid w:val="0"/>
        <w:ind w:left="0" w:right="-1"/>
        <w:rPr>
          <w:rFonts w:ascii="Times New Roman" w:hAnsi="Times New Roman"/>
          <w:szCs w:val="20"/>
          <w:lang w:val="uk-UA"/>
        </w:rPr>
      </w:pPr>
      <w:r w:rsidRPr="00E16672">
        <w:rPr>
          <w:rFonts w:ascii="Times New Roman" w:hAnsi="Times New Roman"/>
          <w:szCs w:val="20"/>
          <w:lang w:val="uk-UA"/>
        </w:rPr>
        <w:t xml:space="preserve">2.3.4. </w:t>
      </w:r>
      <w:r w:rsidR="00173D5D" w:rsidRPr="00E16672">
        <w:rPr>
          <w:rFonts w:ascii="Times New Roman" w:hAnsi="Times New Roman"/>
          <w:szCs w:val="20"/>
          <w:lang w:val="uk-UA"/>
        </w:rPr>
        <w:t xml:space="preserve">Для здійснення перевірки повноважень та реєстрації акціонерів та їх представників у термін до </w:t>
      </w:r>
      <w:r w:rsidR="00EF78D0">
        <w:rPr>
          <w:rFonts w:ascii="Times New Roman" w:hAnsi="Times New Roman"/>
          <w:szCs w:val="20"/>
          <w:lang w:val="uk-UA"/>
        </w:rPr>
        <w:t>"    "</w:t>
      </w:r>
      <w:r w:rsidR="00173D5D" w:rsidRPr="00E16672">
        <w:rPr>
          <w:rFonts w:ascii="Times New Roman" w:hAnsi="Times New Roman"/>
          <w:szCs w:val="20"/>
          <w:lang w:val="uk-UA"/>
        </w:rPr>
        <w:t xml:space="preserve">________ 20__ року надати Виконавцю оформлене(ний) відповідно до вимог чинного законодавства розпорядження на складання реєстру власників іменних цінних паперів для отримання переліку акціонерів, які мають право на участь у загальних зборах акціонерного товариства, для отримання від Центрального депозитарію переліку акціонерів, які мають право участі у загальних зборах акціонерів Замовника/перелік акціонерів, які мають право на участь у загальних зборах акціонерного товариства. </w:t>
      </w:r>
    </w:p>
    <w:p w14:paraId="35C9F210" w14:textId="77777777" w:rsidR="00173D5D" w:rsidRPr="00E16672" w:rsidRDefault="00CA710E" w:rsidP="001A2DB1">
      <w:pPr>
        <w:pStyle w:val="aff5"/>
        <w:widowControl w:val="0"/>
        <w:tabs>
          <w:tab w:val="left" w:pos="993"/>
        </w:tabs>
        <w:snapToGrid w:val="0"/>
        <w:ind w:left="0" w:right="-1"/>
        <w:rPr>
          <w:rFonts w:ascii="Times New Roman" w:hAnsi="Times New Roman"/>
          <w:szCs w:val="20"/>
          <w:lang w:val="uk-UA"/>
        </w:rPr>
      </w:pPr>
      <w:r w:rsidRPr="00E16672">
        <w:rPr>
          <w:rFonts w:ascii="Times New Roman" w:hAnsi="Times New Roman"/>
          <w:szCs w:val="20"/>
          <w:lang w:val="uk-UA"/>
        </w:rPr>
        <w:t xml:space="preserve">2.3.5. </w:t>
      </w:r>
      <w:r w:rsidR="00EF78D0">
        <w:rPr>
          <w:rFonts w:ascii="Times New Roman" w:hAnsi="Times New Roman"/>
          <w:szCs w:val="20"/>
          <w:lang w:val="uk-UA"/>
        </w:rPr>
        <w:t>"   "</w:t>
      </w:r>
      <w:r w:rsidR="00173D5D" w:rsidRPr="00E16672">
        <w:rPr>
          <w:rFonts w:ascii="Times New Roman" w:hAnsi="Times New Roman"/>
          <w:szCs w:val="20"/>
          <w:lang w:val="uk-UA"/>
        </w:rPr>
        <w:t>________ 20__ року забезпечити за місцем проведення загальних зборів, яке зазначене в повідомленні акціонерів, техніку та робочі місця, необхідні для роботи реєстраційної комісії та проведення реєстрації акціонерів та їх представників, які прибудуть для участі у загальних зборах Замовника.</w:t>
      </w:r>
    </w:p>
    <w:p w14:paraId="1F581DAA" w14:textId="77777777" w:rsidR="00173D5D" w:rsidRPr="00E16672" w:rsidRDefault="00CA710E" w:rsidP="001A2DB1">
      <w:pPr>
        <w:pStyle w:val="aff5"/>
        <w:widowControl w:val="0"/>
        <w:tabs>
          <w:tab w:val="left" w:pos="993"/>
        </w:tabs>
        <w:snapToGrid w:val="0"/>
        <w:ind w:left="0" w:right="-1"/>
        <w:rPr>
          <w:rFonts w:ascii="Times New Roman" w:hAnsi="Times New Roman"/>
          <w:szCs w:val="20"/>
          <w:lang w:val="uk-UA"/>
        </w:rPr>
      </w:pPr>
      <w:r w:rsidRPr="00E16672">
        <w:rPr>
          <w:rFonts w:ascii="Times New Roman" w:hAnsi="Times New Roman"/>
          <w:szCs w:val="20"/>
          <w:lang w:val="uk-UA"/>
        </w:rPr>
        <w:t xml:space="preserve">2.3.6. </w:t>
      </w:r>
      <w:r w:rsidR="00EF78D0">
        <w:rPr>
          <w:rFonts w:ascii="Times New Roman" w:hAnsi="Times New Roman"/>
          <w:szCs w:val="20"/>
          <w:lang w:val="uk-UA"/>
        </w:rPr>
        <w:t>"   "</w:t>
      </w:r>
      <w:r w:rsidR="00173D5D" w:rsidRPr="00E16672">
        <w:rPr>
          <w:rFonts w:ascii="Times New Roman" w:hAnsi="Times New Roman"/>
          <w:szCs w:val="20"/>
          <w:lang w:val="uk-UA"/>
        </w:rPr>
        <w:t>________ 20__ року забезпечити за місцем проведення загальних зборів, яке зазначене в повідомленні акціонерів, техніку та робочі місця, необхідні для роботи лічильної комісії та проведення підрахунку голосів акціонерів та їх представників з питань порядку денного загальних зборів Замовника.</w:t>
      </w:r>
    </w:p>
    <w:p w14:paraId="1276D209" w14:textId="77777777" w:rsidR="00173D5D" w:rsidRPr="00E16672" w:rsidRDefault="00CA710E" w:rsidP="001A2DB1">
      <w:pPr>
        <w:pStyle w:val="aff5"/>
        <w:widowControl w:val="0"/>
        <w:tabs>
          <w:tab w:val="left" w:pos="993"/>
        </w:tabs>
        <w:snapToGrid w:val="0"/>
        <w:ind w:left="0" w:right="-1"/>
        <w:rPr>
          <w:rFonts w:ascii="Times New Roman" w:hAnsi="Times New Roman"/>
          <w:szCs w:val="20"/>
          <w:lang w:val="uk-UA"/>
        </w:rPr>
      </w:pPr>
      <w:r w:rsidRPr="00E16672">
        <w:rPr>
          <w:rFonts w:ascii="Times New Roman" w:hAnsi="Times New Roman"/>
          <w:szCs w:val="20"/>
          <w:lang w:val="uk-UA"/>
        </w:rPr>
        <w:t xml:space="preserve">2.3.7. </w:t>
      </w:r>
      <w:r w:rsidR="00173D5D" w:rsidRPr="00E16672">
        <w:rPr>
          <w:rFonts w:ascii="Times New Roman" w:hAnsi="Times New Roman"/>
          <w:szCs w:val="20"/>
          <w:lang w:val="uk-UA"/>
        </w:rPr>
        <w:t xml:space="preserve">У термін до </w:t>
      </w:r>
      <w:r w:rsidR="00EF78D0">
        <w:rPr>
          <w:rFonts w:ascii="Times New Roman" w:hAnsi="Times New Roman"/>
          <w:szCs w:val="20"/>
          <w:lang w:val="uk-UA"/>
        </w:rPr>
        <w:t>"      "</w:t>
      </w:r>
      <w:r w:rsidR="00173D5D" w:rsidRPr="00E16672">
        <w:rPr>
          <w:rFonts w:ascii="Times New Roman" w:hAnsi="Times New Roman"/>
          <w:szCs w:val="20"/>
          <w:lang w:val="uk-UA"/>
        </w:rPr>
        <w:t>________ 20__ року надати Виконавцю засвідчений Замовником текст повідомлення про підсумки голосування на загальних зборах Замовника.</w:t>
      </w:r>
    </w:p>
    <w:p w14:paraId="73645D7C" w14:textId="77777777" w:rsidR="00173D5D" w:rsidRPr="00E16672" w:rsidRDefault="00CA710E" w:rsidP="001A2DB1">
      <w:pPr>
        <w:pStyle w:val="aff5"/>
        <w:widowControl w:val="0"/>
        <w:tabs>
          <w:tab w:val="left" w:pos="993"/>
        </w:tabs>
        <w:snapToGrid w:val="0"/>
        <w:ind w:left="0" w:right="-1"/>
        <w:rPr>
          <w:rFonts w:ascii="Times New Roman" w:hAnsi="Times New Roman"/>
          <w:szCs w:val="20"/>
          <w:lang w:val="uk-UA"/>
        </w:rPr>
      </w:pPr>
      <w:r w:rsidRPr="00E16672">
        <w:rPr>
          <w:rFonts w:ascii="Times New Roman" w:hAnsi="Times New Roman"/>
          <w:szCs w:val="20"/>
          <w:lang w:val="uk-UA"/>
        </w:rPr>
        <w:t xml:space="preserve">2.3.8. </w:t>
      </w:r>
      <w:r w:rsidR="00173D5D" w:rsidRPr="00E16672">
        <w:rPr>
          <w:rFonts w:ascii="Times New Roman" w:hAnsi="Times New Roman"/>
          <w:szCs w:val="20"/>
          <w:lang w:val="uk-UA"/>
        </w:rPr>
        <w:t xml:space="preserve">У термін до </w:t>
      </w:r>
      <w:r w:rsidR="00EF78D0">
        <w:rPr>
          <w:rFonts w:ascii="Times New Roman" w:hAnsi="Times New Roman"/>
          <w:szCs w:val="20"/>
          <w:lang w:val="uk-UA"/>
        </w:rPr>
        <w:t xml:space="preserve">"     " </w:t>
      </w:r>
      <w:r w:rsidR="00173D5D" w:rsidRPr="00E16672">
        <w:rPr>
          <w:rFonts w:ascii="Times New Roman" w:hAnsi="Times New Roman"/>
          <w:szCs w:val="20"/>
          <w:lang w:val="uk-UA"/>
        </w:rPr>
        <w:t xml:space="preserve">________ 20__ року надати Виконавцю перелік акціонерів, які мають бути повідомлені про підсумки голосування (перелік власників іменних цінних паперів, які мають право участі на загальних зборах акціонерів Замовника </w:t>
      </w:r>
      <w:r w:rsidR="00EF78D0">
        <w:rPr>
          <w:rFonts w:ascii="Times New Roman" w:hAnsi="Times New Roman"/>
          <w:szCs w:val="20"/>
          <w:lang w:val="uk-UA"/>
        </w:rPr>
        <w:t>"       "</w:t>
      </w:r>
      <w:r w:rsidR="00173D5D" w:rsidRPr="00E16672">
        <w:rPr>
          <w:rFonts w:ascii="Times New Roman" w:hAnsi="Times New Roman"/>
          <w:szCs w:val="20"/>
          <w:lang w:val="uk-UA"/>
        </w:rPr>
        <w:t>________ 20__ року).</w:t>
      </w:r>
    </w:p>
    <w:p w14:paraId="6C63636B" w14:textId="77777777" w:rsidR="00173D5D" w:rsidRPr="00E16672" w:rsidRDefault="00CA710E" w:rsidP="001A2DB1">
      <w:pPr>
        <w:pStyle w:val="aff5"/>
        <w:widowControl w:val="0"/>
        <w:tabs>
          <w:tab w:val="left" w:pos="993"/>
        </w:tabs>
        <w:snapToGrid w:val="0"/>
        <w:ind w:left="0" w:right="-1"/>
        <w:rPr>
          <w:rFonts w:ascii="Times New Roman" w:hAnsi="Times New Roman"/>
          <w:szCs w:val="20"/>
          <w:lang w:val="uk-UA"/>
        </w:rPr>
      </w:pPr>
      <w:r w:rsidRPr="00E16672">
        <w:rPr>
          <w:rFonts w:ascii="Times New Roman" w:hAnsi="Times New Roman"/>
          <w:szCs w:val="20"/>
          <w:lang w:val="uk-UA"/>
        </w:rPr>
        <w:t xml:space="preserve">2.3.9. </w:t>
      </w:r>
      <w:r w:rsidR="00173D5D" w:rsidRPr="00E16672">
        <w:rPr>
          <w:rFonts w:ascii="Times New Roman" w:hAnsi="Times New Roman"/>
          <w:szCs w:val="20"/>
          <w:lang w:val="uk-UA"/>
        </w:rPr>
        <w:t>Оплатити вартість послуг Виконавця у терміни та в сумі, визначеній цим Договором, а також погасити всю заборгованість за цим Договором та/або іншими договорами, укладеними з Виконавцем.</w:t>
      </w:r>
    </w:p>
    <w:p w14:paraId="3BE9E600" w14:textId="77777777" w:rsidR="00173D5D" w:rsidRPr="00E16672" w:rsidRDefault="00CA710E" w:rsidP="001A2DB1">
      <w:pPr>
        <w:pStyle w:val="aff5"/>
        <w:widowControl w:val="0"/>
        <w:tabs>
          <w:tab w:val="left" w:pos="993"/>
        </w:tabs>
        <w:snapToGrid w:val="0"/>
        <w:ind w:left="0" w:right="-1"/>
        <w:rPr>
          <w:rFonts w:ascii="Times New Roman" w:hAnsi="Times New Roman"/>
          <w:szCs w:val="20"/>
          <w:lang w:val="uk-UA"/>
        </w:rPr>
      </w:pPr>
      <w:r w:rsidRPr="00E16672">
        <w:rPr>
          <w:rFonts w:ascii="Times New Roman" w:hAnsi="Times New Roman"/>
          <w:szCs w:val="20"/>
          <w:lang w:val="uk-UA"/>
        </w:rPr>
        <w:t xml:space="preserve">2.3.10. </w:t>
      </w:r>
      <w:r w:rsidR="00173D5D" w:rsidRPr="00E16672">
        <w:rPr>
          <w:rFonts w:ascii="Times New Roman" w:hAnsi="Times New Roman"/>
          <w:szCs w:val="20"/>
          <w:lang w:val="uk-UA"/>
        </w:rPr>
        <w:t>Повідомляти рекомендованим листом Виконавця про відміну проведення загальних зборів акціонерів Замовника (у разі наявності події). Виконавець вважається повідомленим з дати отримання рекомендованого листа Замовника.</w:t>
      </w:r>
    </w:p>
    <w:p w14:paraId="172957A8" w14:textId="77777777" w:rsidR="00173D5D" w:rsidRPr="00E16672" w:rsidRDefault="00CA710E" w:rsidP="001A2DB1">
      <w:pPr>
        <w:pStyle w:val="aff5"/>
        <w:widowControl w:val="0"/>
        <w:tabs>
          <w:tab w:val="left" w:pos="993"/>
        </w:tabs>
        <w:snapToGrid w:val="0"/>
        <w:ind w:left="0" w:right="-1"/>
        <w:rPr>
          <w:rFonts w:ascii="Times New Roman" w:hAnsi="Times New Roman"/>
          <w:szCs w:val="20"/>
          <w:lang w:val="uk-UA"/>
        </w:rPr>
      </w:pPr>
      <w:r w:rsidRPr="00E16672">
        <w:rPr>
          <w:rFonts w:ascii="Times New Roman" w:hAnsi="Times New Roman"/>
          <w:szCs w:val="20"/>
          <w:lang w:val="uk-UA"/>
        </w:rPr>
        <w:t>2.3.11.</w:t>
      </w:r>
      <w:r w:rsidR="00173D5D" w:rsidRPr="00E16672">
        <w:rPr>
          <w:rFonts w:ascii="Times New Roman" w:hAnsi="Times New Roman"/>
          <w:szCs w:val="20"/>
          <w:lang w:val="uk-UA"/>
        </w:rPr>
        <w:t xml:space="preserve">Не пізніше </w:t>
      </w:r>
      <w:r w:rsidR="00EF78D0">
        <w:rPr>
          <w:rFonts w:ascii="Times New Roman" w:hAnsi="Times New Roman"/>
          <w:szCs w:val="20"/>
          <w:lang w:val="uk-UA"/>
        </w:rPr>
        <w:t xml:space="preserve">"      " </w:t>
      </w:r>
      <w:r w:rsidR="00173D5D" w:rsidRPr="00E16672">
        <w:rPr>
          <w:rFonts w:ascii="Times New Roman" w:hAnsi="Times New Roman"/>
          <w:szCs w:val="20"/>
          <w:lang w:val="uk-UA"/>
        </w:rPr>
        <w:t>________ 20__ року надати Виконавцю в електронному вигляді на електронну адресу Виконавця інформацію та/або документи, необхідні для розкриття особливої інформації емітента згідно з пунктом 1.1.5. цього Договору.</w:t>
      </w:r>
    </w:p>
    <w:p w14:paraId="281490B7" w14:textId="77777777" w:rsidR="00173D5D" w:rsidRPr="00E16672" w:rsidRDefault="00CA710E" w:rsidP="001A2DB1">
      <w:pPr>
        <w:pStyle w:val="aff5"/>
        <w:widowControl w:val="0"/>
        <w:tabs>
          <w:tab w:val="left" w:pos="993"/>
        </w:tabs>
        <w:snapToGrid w:val="0"/>
        <w:ind w:left="0" w:right="-1"/>
        <w:rPr>
          <w:rFonts w:ascii="Times New Roman" w:hAnsi="Times New Roman"/>
          <w:szCs w:val="20"/>
          <w:lang w:val="uk-UA"/>
        </w:rPr>
      </w:pPr>
      <w:r w:rsidRPr="00E16672">
        <w:rPr>
          <w:rFonts w:ascii="Times New Roman" w:hAnsi="Times New Roman"/>
          <w:szCs w:val="20"/>
          <w:lang w:val="uk-UA"/>
        </w:rPr>
        <w:t xml:space="preserve">2.3.12. </w:t>
      </w:r>
      <w:r w:rsidR="00173D5D" w:rsidRPr="00E16672">
        <w:rPr>
          <w:rFonts w:ascii="Times New Roman" w:hAnsi="Times New Roman"/>
          <w:szCs w:val="20"/>
          <w:lang w:val="uk-UA"/>
        </w:rPr>
        <w:t>Оплатити вартість послуг Виконавця у терміни та в сумі, визначеній цим Договором.</w:t>
      </w:r>
    </w:p>
    <w:p w14:paraId="3800774D" w14:textId="77777777" w:rsidR="00173D5D" w:rsidRPr="00E16672" w:rsidRDefault="00173D5D" w:rsidP="00173D5D">
      <w:pPr>
        <w:pStyle w:val="aff5"/>
        <w:widowControl w:val="0"/>
        <w:tabs>
          <w:tab w:val="left" w:pos="993"/>
        </w:tabs>
        <w:snapToGrid w:val="0"/>
        <w:ind w:left="0" w:right="-1" w:firstLine="709"/>
        <w:rPr>
          <w:rFonts w:ascii="Times New Roman" w:hAnsi="Times New Roman"/>
          <w:szCs w:val="20"/>
          <w:lang w:val="uk-UA"/>
        </w:rPr>
      </w:pPr>
    </w:p>
    <w:p w14:paraId="04ED8F01" w14:textId="77777777" w:rsidR="00010BDE" w:rsidRPr="00E16672" w:rsidRDefault="00010BDE" w:rsidP="00010BDE">
      <w:pPr>
        <w:pStyle w:val="aff5"/>
        <w:widowControl w:val="0"/>
        <w:tabs>
          <w:tab w:val="left" w:pos="993"/>
        </w:tabs>
        <w:snapToGrid w:val="0"/>
        <w:ind w:left="0" w:right="-1" w:firstLine="709"/>
        <w:rPr>
          <w:rFonts w:ascii="Times New Roman" w:hAnsi="Times New Roman"/>
          <w:szCs w:val="20"/>
          <w:lang w:val="uk-UA"/>
        </w:rPr>
      </w:pPr>
    </w:p>
    <w:p w14:paraId="2893DE86" w14:textId="77777777" w:rsidR="00010BDE" w:rsidRPr="00E16672" w:rsidRDefault="00010BDE" w:rsidP="00010BDE">
      <w:pPr>
        <w:widowControl w:val="0"/>
        <w:tabs>
          <w:tab w:val="num" w:pos="0"/>
        </w:tabs>
        <w:ind w:firstLine="540"/>
        <w:jc w:val="center"/>
        <w:rPr>
          <w:rFonts w:ascii="Times New Roman" w:hAnsi="Times New Roman"/>
          <w:lang w:val="uk-UA"/>
        </w:rPr>
      </w:pPr>
      <w:r w:rsidRPr="00E16672">
        <w:rPr>
          <w:rFonts w:ascii="Times New Roman" w:hAnsi="Times New Roman"/>
          <w:b/>
          <w:lang w:val="uk-UA"/>
        </w:rPr>
        <w:t>ІІІ. ВАРТІСТЬ ТА УМОВИ ОПЛАТИ НАДАНИХ ПОСЛУГ.</w:t>
      </w:r>
    </w:p>
    <w:p w14:paraId="4BCC8742" w14:textId="77777777" w:rsidR="00010BDE" w:rsidRPr="00E16672" w:rsidRDefault="00010BDE" w:rsidP="000D0438">
      <w:pPr>
        <w:pStyle w:val="aff5"/>
        <w:numPr>
          <w:ilvl w:val="1"/>
          <w:numId w:val="32"/>
        </w:numPr>
        <w:tabs>
          <w:tab w:val="left" w:pos="0"/>
        </w:tabs>
        <w:suppressAutoHyphens w:val="0"/>
        <w:snapToGrid w:val="0"/>
        <w:ind w:left="0" w:firstLine="567"/>
        <w:rPr>
          <w:rFonts w:ascii="Times New Roman" w:hAnsi="Times New Roman"/>
          <w:szCs w:val="20"/>
          <w:lang w:val="uk-UA"/>
        </w:rPr>
      </w:pPr>
      <w:r w:rsidRPr="00E16672">
        <w:rPr>
          <w:rFonts w:ascii="Times New Roman" w:hAnsi="Times New Roman"/>
          <w:szCs w:val="20"/>
          <w:lang w:val="uk-UA"/>
        </w:rPr>
        <w:t>Замовник оплачує надані Виконавцем послуги по інформаційному та організаційному забезпеченню проведення загальних зборів акціонерів Замовника, проведення яких призначено на 18 грудня 2018 року, у наступному розмірі та порядку:</w:t>
      </w:r>
    </w:p>
    <w:p w14:paraId="006DBAE2" w14:textId="77777777" w:rsidR="00010BDE" w:rsidRPr="00E16672" w:rsidRDefault="00010BDE" w:rsidP="001A2DB1">
      <w:pPr>
        <w:rPr>
          <w:rFonts w:ascii="Times New Roman" w:hAnsi="Times New Roman"/>
          <w:bCs/>
          <w:lang w:val="uk-UA"/>
        </w:rPr>
      </w:pPr>
      <w:r w:rsidRPr="00E16672">
        <w:rPr>
          <w:rFonts w:ascii="Times New Roman" w:hAnsi="Times New Roman"/>
          <w:lang w:val="uk-UA"/>
        </w:rPr>
        <w:t xml:space="preserve">3.1.1. </w:t>
      </w:r>
      <w:r w:rsidRPr="00E16672">
        <w:rPr>
          <w:rFonts w:ascii="Times New Roman" w:hAnsi="Times New Roman"/>
          <w:lang w:val="uk-UA"/>
        </w:rPr>
        <w:tab/>
        <w:t>Вартість послуг щодо повідомлення акціонерів про проведення загальних зборів акціонерів згідно пункту 1.1.1. цього Договору становить _________,00 (____________ гривень 00 копійок</w:t>
      </w:r>
      <w:r w:rsidR="00F864F1">
        <w:rPr>
          <w:rFonts w:ascii="Times New Roman" w:hAnsi="Times New Roman"/>
          <w:lang w:val="uk-UA"/>
        </w:rPr>
        <w:t>) грн</w:t>
      </w:r>
      <w:r w:rsidRPr="00E16672">
        <w:rPr>
          <w:rFonts w:ascii="Times New Roman" w:hAnsi="Times New Roman"/>
          <w:lang w:val="uk-UA"/>
        </w:rPr>
        <w:t>, без ПДВ, яку Замовник оплачує у термін до 16 листопада 2018 року.</w:t>
      </w:r>
    </w:p>
    <w:p w14:paraId="0CA723A8" w14:textId="77777777" w:rsidR="00010BDE" w:rsidRPr="00E16672" w:rsidRDefault="00010BDE" w:rsidP="001A2DB1">
      <w:pPr>
        <w:pStyle w:val="aff5"/>
        <w:tabs>
          <w:tab w:val="left" w:pos="0"/>
        </w:tabs>
        <w:snapToGrid w:val="0"/>
        <w:ind w:left="0"/>
        <w:rPr>
          <w:rFonts w:ascii="Times New Roman" w:hAnsi="Times New Roman"/>
          <w:szCs w:val="20"/>
          <w:lang w:val="uk-UA"/>
        </w:rPr>
      </w:pPr>
      <w:r w:rsidRPr="00E16672">
        <w:rPr>
          <w:rFonts w:ascii="Times New Roman" w:hAnsi="Times New Roman"/>
          <w:szCs w:val="20"/>
          <w:lang w:val="uk-UA"/>
        </w:rPr>
        <w:lastRenderedPageBreak/>
        <w:t xml:space="preserve">3.1.2. </w:t>
      </w:r>
      <w:r w:rsidRPr="00E16672">
        <w:rPr>
          <w:rFonts w:ascii="Times New Roman" w:hAnsi="Times New Roman"/>
          <w:szCs w:val="20"/>
          <w:lang w:val="uk-UA"/>
        </w:rPr>
        <w:tab/>
        <w:t>Вартість послуг щодо виконання функцій реєстраційної комісії згідно пункту 1.1.2. цього Договору становить ___________,00 (____________________ гривень 00 копійок</w:t>
      </w:r>
      <w:r w:rsidR="00F864F1">
        <w:rPr>
          <w:rFonts w:ascii="Times New Roman" w:hAnsi="Times New Roman"/>
          <w:szCs w:val="20"/>
          <w:lang w:val="uk-UA"/>
        </w:rPr>
        <w:t>) грн.</w:t>
      </w:r>
      <w:r w:rsidRPr="00E16672">
        <w:rPr>
          <w:rFonts w:ascii="Times New Roman" w:hAnsi="Times New Roman"/>
          <w:szCs w:val="20"/>
          <w:lang w:val="uk-UA"/>
        </w:rPr>
        <w:t>, без ПДВ, яку Замовник оплачує у термін до 16</w:t>
      </w:r>
      <w:r w:rsidRPr="00E16672">
        <w:rPr>
          <w:rFonts w:ascii="Times New Roman" w:hAnsi="Times New Roman"/>
          <w:lang w:val="uk-UA"/>
        </w:rPr>
        <w:t xml:space="preserve"> </w:t>
      </w:r>
      <w:r w:rsidRPr="00E16672">
        <w:rPr>
          <w:rFonts w:ascii="Times New Roman" w:hAnsi="Times New Roman"/>
          <w:szCs w:val="20"/>
          <w:lang w:val="uk-UA"/>
        </w:rPr>
        <w:t>листопада 2018 року.</w:t>
      </w:r>
    </w:p>
    <w:p w14:paraId="030F9650" w14:textId="77777777" w:rsidR="00010BDE" w:rsidRPr="00E16672" w:rsidRDefault="00010BDE" w:rsidP="001A2DB1">
      <w:pPr>
        <w:pStyle w:val="aff5"/>
        <w:tabs>
          <w:tab w:val="left" w:pos="0"/>
        </w:tabs>
        <w:snapToGrid w:val="0"/>
        <w:ind w:left="0"/>
        <w:rPr>
          <w:rFonts w:ascii="Times New Roman" w:hAnsi="Times New Roman"/>
          <w:szCs w:val="20"/>
          <w:lang w:val="uk-UA"/>
        </w:rPr>
      </w:pPr>
      <w:r w:rsidRPr="00E16672">
        <w:rPr>
          <w:rFonts w:ascii="Times New Roman" w:hAnsi="Times New Roman"/>
          <w:szCs w:val="20"/>
          <w:lang w:val="uk-UA"/>
        </w:rPr>
        <w:t xml:space="preserve">3.1.3. </w:t>
      </w:r>
      <w:r w:rsidRPr="00E16672">
        <w:rPr>
          <w:rFonts w:ascii="Times New Roman" w:hAnsi="Times New Roman"/>
          <w:szCs w:val="20"/>
          <w:lang w:val="uk-UA"/>
        </w:rPr>
        <w:tab/>
        <w:t>Вартість послуг щодо виконання функцій лічильної комісії згідно пункту 1.1.3. цього Договору становить ___________,00 (______________ гривень 00 копійок</w:t>
      </w:r>
      <w:r w:rsidR="00F864F1">
        <w:rPr>
          <w:rFonts w:ascii="Times New Roman" w:hAnsi="Times New Roman"/>
          <w:szCs w:val="20"/>
          <w:lang w:val="uk-UA"/>
        </w:rPr>
        <w:t>) грн.</w:t>
      </w:r>
      <w:r w:rsidRPr="00E16672">
        <w:rPr>
          <w:rFonts w:ascii="Times New Roman" w:hAnsi="Times New Roman"/>
          <w:szCs w:val="20"/>
          <w:lang w:val="uk-UA"/>
        </w:rPr>
        <w:t>, без ПДВ, яку Замовник оплачує у термін до 16</w:t>
      </w:r>
      <w:r w:rsidRPr="00E16672">
        <w:rPr>
          <w:rFonts w:ascii="Times New Roman" w:hAnsi="Times New Roman"/>
          <w:lang w:val="uk-UA"/>
        </w:rPr>
        <w:t xml:space="preserve"> </w:t>
      </w:r>
      <w:r w:rsidRPr="00E16672">
        <w:rPr>
          <w:rFonts w:ascii="Times New Roman" w:hAnsi="Times New Roman"/>
          <w:szCs w:val="20"/>
          <w:lang w:val="uk-UA"/>
        </w:rPr>
        <w:t>листопада 2018 року.</w:t>
      </w:r>
    </w:p>
    <w:p w14:paraId="08063579" w14:textId="77777777" w:rsidR="00010BDE" w:rsidRPr="00E16672" w:rsidRDefault="00010BDE" w:rsidP="001A2DB1">
      <w:pPr>
        <w:pStyle w:val="aff5"/>
        <w:tabs>
          <w:tab w:val="left" w:pos="0"/>
        </w:tabs>
        <w:snapToGrid w:val="0"/>
        <w:ind w:left="0"/>
        <w:rPr>
          <w:rFonts w:ascii="Times New Roman" w:hAnsi="Times New Roman"/>
          <w:szCs w:val="20"/>
          <w:lang w:val="uk-UA"/>
        </w:rPr>
      </w:pPr>
      <w:r w:rsidRPr="00E16672">
        <w:rPr>
          <w:rFonts w:ascii="Times New Roman" w:hAnsi="Times New Roman"/>
          <w:szCs w:val="20"/>
          <w:lang w:val="uk-UA"/>
        </w:rPr>
        <w:t xml:space="preserve">3.1.4. </w:t>
      </w:r>
      <w:r w:rsidRPr="00E16672">
        <w:rPr>
          <w:rFonts w:ascii="Times New Roman" w:hAnsi="Times New Roman"/>
          <w:szCs w:val="20"/>
          <w:lang w:val="uk-UA"/>
        </w:rPr>
        <w:tab/>
        <w:t>Вартість послуг щодо повідомлення акціонерів про підсумки голосування на загальних зборів акціонерів Замовника згідно пункту 1.1.4. цього Договору становить ___________,00 (__________________ гривень 00 копійок</w:t>
      </w:r>
      <w:r w:rsidR="00F864F1">
        <w:rPr>
          <w:rFonts w:ascii="Times New Roman" w:hAnsi="Times New Roman"/>
          <w:szCs w:val="20"/>
          <w:lang w:val="uk-UA"/>
        </w:rPr>
        <w:t>) грн.</w:t>
      </w:r>
      <w:r w:rsidRPr="00E16672">
        <w:rPr>
          <w:rFonts w:ascii="Times New Roman" w:hAnsi="Times New Roman"/>
          <w:szCs w:val="20"/>
          <w:lang w:val="uk-UA"/>
        </w:rPr>
        <w:t>, без ПДВ, яку Замовник оплачує у термін до 13</w:t>
      </w:r>
      <w:r w:rsidRPr="00E16672">
        <w:rPr>
          <w:rFonts w:ascii="Times New Roman" w:hAnsi="Times New Roman"/>
          <w:lang w:val="uk-UA"/>
        </w:rPr>
        <w:t xml:space="preserve"> </w:t>
      </w:r>
      <w:r w:rsidRPr="00E16672">
        <w:rPr>
          <w:rFonts w:ascii="Times New Roman" w:hAnsi="Times New Roman"/>
          <w:szCs w:val="20"/>
          <w:lang w:val="uk-UA"/>
        </w:rPr>
        <w:t>листопада 2018 року.</w:t>
      </w:r>
    </w:p>
    <w:p w14:paraId="713E19D7" w14:textId="77777777" w:rsidR="00010BDE" w:rsidRPr="00E16672" w:rsidRDefault="00010BDE" w:rsidP="001A2DB1">
      <w:pPr>
        <w:pStyle w:val="aff5"/>
        <w:tabs>
          <w:tab w:val="left" w:pos="0"/>
        </w:tabs>
        <w:snapToGrid w:val="0"/>
        <w:ind w:left="0"/>
        <w:rPr>
          <w:rFonts w:ascii="Times New Roman" w:hAnsi="Times New Roman"/>
          <w:szCs w:val="20"/>
          <w:lang w:val="uk-UA"/>
        </w:rPr>
      </w:pPr>
      <w:r w:rsidRPr="00E16672">
        <w:rPr>
          <w:rFonts w:ascii="Times New Roman" w:hAnsi="Times New Roman"/>
          <w:szCs w:val="20"/>
          <w:lang w:val="uk-UA"/>
        </w:rPr>
        <w:t>3.1.5. Замовник оплачує надані Виконавцем консультаційні послуги з питань розкриття особливої інформації Емітента, вказаної у п. 1.2. Договору, у розмірі ___________,00  (___________ гривень 00 копійок</w:t>
      </w:r>
      <w:r w:rsidR="00F864F1">
        <w:rPr>
          <w:rFonts w:ascii="Times New Roman" w:hAnsi="Times New Roman"/>
          <w:szCs w:val="20"/>
          <w:lang w:val="uk-UA"/>
        </w:rPr>
        <w:t>) грн.</w:t>
      </w:r>
      <w:r w:rsidRPr="00E16672">
        <w:rPr>
          <w:rFonts w:ascii="Times New Roman" w:hAnsi="Times New Roman"/>
          <w:szCs w:val="20"/>
          <w:lang w:val="uk-UA"/>
        </w:rPr>
        <w:t>, без ПДВ</w:t>
      </w:r>
      <w:r w:rsidR="00F864F1">
        <w:rPr>
          <w:rFonts w:ascii="Times New Roman" w:hAnsi="Times New Roman"/>
          <w:szCs w:val="20"/>
          <w:lang w:val="uk-UA"/>
        </w:rPr>
        <w:t>,</w:t>
      </w:r>
      <w:r w:rsidRPr="00E16672">
        <w:rPr>
          <w:rFonts w:ascii="Times New Roman" w:hAnsi="Times New Roman"/>
          <w:szCs w:val="20"/>
          <w:lang w:val="uk-UA"/>
        </w:rPr>
        <w:t xml:space="preserve"> у термін до 19 грудня 2018 року.</w:t>
      </w:r>
    </w:p>
    <w:p w14:paraId="7672531A" w14:textId="77777777" w:rsidR="00010BDE" w:rsidRPr="00E16672" w:rsidRDefault="00010BDE" w:rsidP="001A2DB1">
      <w:pPr>
        <w:pStyle w:val="aff5"/>
        <w:tabs>
          <w:tab w:val="left" w:pos="1134"/>
        </w:tabs>
        <w:snapToGrid w:val="0"/>
        <w:ind w:left="0"/>
        <w:rPr>
          <w:rFonts w:ascii="Times New Roman" w:hAnsi="Times New Roman"/>
          <w:szCs w:val="20"/>
          <w:lang w:val="uk-UA"/>
        </w:rPr>
      </w:pPr>
      <w:r w:rsidRPr="00E16672">
        <w:rPr>
          <w:rFonts w:ascii="Times New Roman" w:hAnsi="Times New Roman"/>
          <w:szCs w:val="20"/>
          <w:lang w:val="uk-UA"/>
        </w:rPr>
        <w:t>Загальна вартість Договору становить __________,00  (_____________ гривень 00 копійок</w:t>
      </w:r>
      <w:r w:rsidR="00F864F1">
        <w:rPr>
          <w:rFonts w:ascii="Times New Roman" w:hAnsi="Times New Roman"/>
          <w:szCs w:val="20"/>
          <w:lang w:val="uk-UA"/>
        </w:rPr>
        <w:t>) грн.</w:t>
      </w:r>
      <w:r w:rsidRPr="00E16672">
        <w:rPr>
          <w:rFonts w:ascii="Times New Roman" w:hAnsi="Times New Roman"/>
          <w:szCs w:val="20"/>
          <w:lang w:val="uk-UA"/>
        </w:rPr>
        <w:t>, без ПДВ.</w:t>
      </w:r>
    </w:p>
    <w:p w14:paraId="1AEB0B74" w14:textId="77777777" w:rsidR="00010BDE" w:rsidRPr="00E16672" w:rsidRDefault="00010BDE" w:rsidP="001A2DB1">
      <w:pPr>
        <w:pStyle w:val="aff5"/>
        <w:tabs>
          <w:tab w:val="left" w:pos="1134"/>
        </w:tabs>
        <w:snapToGrid w:val="0"/>
        <w:ind w:left="0"/>
        <w:rPr>
          <w:rFonts w:ascii="Times New Roman" w:hAnsi="Times New Roman"/>
          <w:szCs w:val="20"/>
          <w:lang w:val="uk-UA"/>
        </w:rPr>
      </w:pPr>
      <w:r w:rsidRPr="00E16672">
        <w:rPr>
          <w:rFonts w:ascii="Times New Roman" w:hAnsi="Times New Roman"/>
          <w:szCs w:val="20"/>
          <w:lang w:val="uk-UA"/>
        </w:rPr>
        <w:t>Підставою для оплати послуг Виконавця є даний Договір.</w:t>
      </w:r>
    </w:p>
    <w:p w14:paraId="4623101F" w14:textId="77777777" w:rsidR="00010BDE" w:rsidRPr="00E16672" w:rsidRDefault="00010BDE" w:rsidP="000D0438">
      <w:pPr>
        <w:pStyle w:val="aff5"/>
        <w:numPr>
          <w:ilvl w:val="1"/>
          <w:numId w:val="32"/>
        </w:numPr>
        <w:tabs>
          <w:tab w:val="left" w:pos="0"/>
        </w:tabs>
        <w:suppressAutoHyphens w:val="0"/>
        <w:snapToGrid w:val="0"/>
        <w:ind w:left="0" w:firstLine="567"/>
        <w:rPr>
          <w:rFonts w:ascii="Times New Roman" w:hAnsi="Times New Roman"/>
          <w:szCs w:val="20"/>
          <w:lang w:val="uk-UA"/>
        </w:rPr>
      </w:pPr>
      <w:r w:rsidRPr="00E16672">
        <w:rPr>
          <w:rFonts w:ascii="Times New Roman" w:hAnsi="Times New Roman"/>
          <w:szCs w:val="20"/>
          <w:lang w:val="uk-UA"/>
        </w:rPr>
        <w:t xml:space="preserve">Якщо загальні збори акціонерів Замовника, проведення яких призначено на 18 грудня 2018 року, відмінено після здійснення повідомлення акціонерів про проведення загальних зборів акціонерів Замовника, але до дати проведення загальних зборів, а саме до 18 грудня 2018 року, сплачена сума згідно п. 3.1.1. цього Договору не повертається Замовнику. Послуги, передбачені п. 1.1.2.-1.1.4. цього Договору, не надаються, та вартість послуг, передбачена п. 3.1.2.-3.1.4., не оплачується, а у випадку сплати цих послуг Замовником на умовах передоплати – сплачені суми повертаються Виконавцем Замовнику. </w:t>
      </w:r>
    </w:p>
    <w:p w14:paraId="4A2E4AD4" w14:textId="77777777" w:rsidR="00010BDE" w:rsidRPr="00E16672" w:rsidRDefault="00010BDE" w:rsidP="001A2DB1">
      <w:pPr>
        <w:pStyle w:val="aff5"/>
        <w:tabs>
          <w:tab w:val="left" w:pos="0"/>
        </w:tabs>
        <w:snapToGrid w:val="0"/>
        <w:ind w:left="0"/>
        <w:rPr>
          <w:rFonts w:ascii="Times New Roman" w:hAnsi="Times New Roman"/>
          <w:szCs w:val="20"/>
          <w:lang w:val="uk-UA"/>
        </w:rPr>
      </w:pPr>
      <w:r w:rsidRPr="00E16672">
        <w:rPr>
          <w:rFonts w:ascii="Times New Roman" w:hAnsi="Times New Roman"/>
          <w:szCs w:val="20"/>
          <w:lang w:val="uk-UA"/>
        </w:rPr>
        <w:t>У разі відміни загальних зборів до дати проведення загальних зборів, але після терміну, необхідного для забезпечення особистої присутності співробітників Замовника для виконання послуг за цим Договором, Замовником сплачується вартість витрат Виконавця у розмірі ________,00  (_____________ гривень 00 копійок)</w:t>
      </w:r>
      <w:r w:rsidR="00F864F1">
        <w:rPr>
          <w:rFonts w:ascii="Times New Roman" w:hAnsi="Times New Roman"/>
          <w:szCs w:val="20"/>
          <w:lang w:val="uk-UA"/>
        </w:rPr>
        <w:t xml:space="preserve"> грн</w:t>
      </w:r>
      <w:r w:rsidRPr="00E16672">
        <w:rPr>
          <w:rFonts w:ascii="Times New Roman" w:hAnsi="Times New Roman"/>
          <w:szCs w:val="20"/>
          <w:lang w:val="uk-UA"/>
        </w:rPr>
        <w:t xml:space="preserve">. </w:t>
      </w:r>
    </w:p>
    <w:p w14:paraId="6CF9917C" w14:textId="77777777" w:rsidR="00010BDE" w:rsidRPr="00E16672" w:rsidRDefault="00010BDE" w:rsidP="000D0438">
      <w:pPr>
        <w:pStyle w:val="aff5"/>
        <w:numPr>
          <w:ilvl w:val="1"/>
          <w:numId w:val="32"/>
        </w:numPr>
        <w:tabs>
          <w:tab w:val="left" w:pos="0"/>
        </w:tabs>
        <w:suppressAutoHyphens w:val="0"/>
        <w:snapToGrid w:val="0"/>
        <w:ind w:left="0" w:firstLine="567"/>
        <w:rPr>
          <w:rFonts w:ascii="Times New Roman" w:hAnsi="Times New Roman"/>
          <w:szCs w:val="20"/>
          <w:lang w:val="uk-UA"/>
        </w:rPr>
      </w:pPr>
      <w:r w:rsidRPr="00E16672">
        <w:rPr>
          <w:rFonts w:ascii="Times New Roman" w:hAnsi="Times New Roman"/>
          <w:szCs w:val="20"/>
          <w:lang w:val="uk-UA"/>
        </w:rPr>
        <w:t>Якщо загальні збори акціонерів Замовника, проведення яких призначено на 18 грудня 2018 року, не відбулись через відсутність кворуму, сплачена сума згідно п. 3.1.1.-3.1.3. не повертається. Послуги, передбачені п. 1.1.4. цього Договору, не надаються, та вартість послуг, передбачена 3.1.4. цього Договору, не оплачується, а у випадку сплати цих послуг Замовником на умовах передоплати – сплачена сума повертається Виконавцем Замовнику.</w:t>
      </w:r>
    </w:p>
    <w:p w14:paraId="3D4F4685" w14:textId="77777777" w:rsidR="00010BDE" w:rsidRPr="00E16672" w:rsidRDefault="00010BDE" w:rsidP="000D0438">
      <w:pPr>
        <w:pStyle w:val="aff5"/>
        <w:numPr>
          <w:ilvl w:val="1"/>
          <w:numId w:val="32"/>
        </w:numPr>
        <w:tabs>
          <w:tab w:val="left" w:pos="0"/>
        </w:tabs>
        <w:suppressAutoHyphens w:val="0"/>
        <w:snapToGrid w:val="0"/>
        <w:ind w:left="0" w:firstLine="567"/>
        <w:rPr>
          <w:rFonts w:ascii="Times New Roman" w:hAnsi="Times New Roman"/>
          <w:szCs w:val="20"/>
          <w:lang w:val="uk-UA"/>
        </w:rPr>
      </w:pPr>
      <w:r w:rsidRPr="00E16672">
        <w:rPr>
          <w:rFonts w:ascii="Times New Roman" w:hAnsi="Times New Roman"/>
          <w:szCs w:val="20"/>
          <w:lang w:val="uk-UA"/>
        </w:rPr>
        <w:t>У разі не затвердження складу лічильної комісії, наданого Виконавцем згідно цього Договору, на загальних зборах Замовника, послуги, передбачені п. 1.1.3. цього Договору, не надаються, вартість послуг згідно п. 3.1.3. цього Договору повертається Замовнику за відрахуванням витрат Виконавця для забезпечення виконання функцій лічильної комісії у розмірі __________,00 (____________ гривень 00 копійок)</w:t>
      </w:r>
      <w:r w:rsidR="00F864F1">
        <w:rPr>
          <w:rFonts w:ascii="Times New Roman" w:hAnsi="Times New Roman"/>
          <w:szCs w:val="20"/>
          <w:lang w:val="uk-UA"/>
        </w:rPr>
        <w:t xml:space="preserve"> грн.</w:t>
      </w:r>
      <w:r w:rsidRPr="00E16672">
        <w:rPr>
          <w:rFonts w:ascii="Times New Roman" w:hAnsi="Times New Roman"/>
          <w:szCs w:val="20"/>
          <w:lang w:val="uk-UA"/>
        </w:rPr>
        <w:t>.</w:t>
      </w:r>
    </w:p>
    <w:p w14:paraId="25513B8D" w14:textId="77777777" w:rsidR="00010BDE" w:rsidRPr="00E16672" w:rsidRDefault="00010BDE" w:rsidP="000D0438">
      <w:pPr>
        <w:pStyle w:val="aff5"/>
        <w:numPr>
          <w:ilvl w:val="1"/>
          <w:numId w:val="32"/>
        </w:numPr>
        <w:tabs>
          <w:tab w:val="left" w:pos="0"/>
        </w:tabs>
        <w:suppressAutoHyphens w:val="0"/>
        <w:snapToGrid w:val="0"/>
        <w:ind w:left="0" w:firstLine="567"/>
        <w:rPr>
          <w:rFonts w:ascii="Times New Roman" w:hAnsi="Times New Roman"/>
          <w:szCs w:val="20"/>
          <w:lang w:val="uk-UA"/>
        </w:rPr>
      </w:pPr>
      <w:r w:rsidRPr="00E16672">
        <w:rPr>
          <w:rFonts w:ascii="Times New Roman" w:hAnsi="Times New Roman"/>
          <w:szCs w:val="20"/>
          <w:lang w:val="uk-UA"/>
        </w:rPr>
        <w:t>Виконання Сторонами своїх обов’язків згідно цього Договору оформлюється актом виконаних робіт.</w:t>
      </w:r>
    </w:p>
    <w:p w14:paraId="386664E4" w14:textId="77777777" w:rsidR="00010BDE" w:rsidRPr="00E16672" w:rsidRDefault="00010BDE" w:rsidP="000D0438">
      <w:pPr>
        <w:pStyle w:val="aff5"/>
        <w:numPr>
          <w:ilvl w:val="1"/>
          <w:numId w:val="32"/>
        </w:numPr>
        <w:tabs>
          <w:tab w:val="left" w:pos="0"/>
        </w:tabs>
        <w:suppressAutoHyphens w:val="0"/>
        <w:snapToGrid w:val="0"/>
        <w:ind w:left="0" w:firstLine="567"/>
        <w:rPr>
          <w:rFonts w:ascii="Times New Roman" w:hAnsi="Times New Roman"/>
          <w:szCs w:val="20"/>
          <w:lang w:val="uk-UA"/>
        </w:rPr>
      </w:pPr>
      <w:r w:rsidRPr="00E16672">
        <w:rPr>
          <w:rFonts w:ascii="Times New Roman" w:hAnsi="Times New Roman"/>
          <w:szCs w:val="20"/>
          <w:lang w:val="uk-UA"/>
        </w:rPr>
        <w:t>Замовник зобов’язаний повернути підписаний зі свого боку акт виконаних робіт (наданих послуг) протягом 10 (десяти) робочих днів з дати його отримання. Якщо Замовник не оформляє і не повертає у вищезазначений строк акти виконаних робіт (наданих послуг), то послуги вважаються прийнятими без зауважень.</w:t>
      </w:r>
    </w:p>
    <w:p w14:paraId="4B396268" w14:textId="77777777" w:rsidR="00010BDE" w:rsidRPr="00E16672" w:rsidRDefault="00010BDE" w:rsidP="00516E92">
      <w:pPr>
        <w:widowControl w:val="0"/>
        <w:rPr>
          <w:rFonts w:ascii="Times New Roman" w:hAnsi="Times New Roman"/>
          <w:lang w:val="uk-UA"/>
        </w:rPr>
      </w:pPr>
    </w:p>
    <w:p w14:paraId="738118FA" w14:textId="77777777" w:rsidR="00010BDE" w:rsidRPr="00E16672" w:rsidRDefault="00010BDE" w:rsidP="00010BDE">
      <w:pPr>
        <w:widowControl w:val="0"/>
        <w:jc w:val="center"/>
        <w:rPr>
          <w:rFonts w:ascii="Times New Roman" w:hAnsi="Times New Roman"/>
          <w:lang w:val="uk-UA"/>
        </w:rPr>
      </w:pPr>
      <w:r w:rsidRPr="00E16672">
        <w:rPr>
          <w:rFonts w:ascii="Times New Roman" w:hAnsi="Times New Roman"/>
          <w:b/>
          <w:lang w:val="uk-UA"/>
        </w:rPr>
        <w:t>ІV. ВІДПОВІДАЛЬНІСТЬ СТОРІН</w:t>
      </w:r>
    </w:p>
    <w:p w14:paraId="3AA82FEC" w14:textId="77777777" w:rsidR="00010BDE" w:rsidRPr="00E16672" w:rsidRDefault="00010BDE" w:rsidP="000D0438">
      <w:pPr>
        <w:pStyle w:val="aff5"/>
        <w:numPr>
          <w:ilvl w:val="1"/>
          <w:numId w:val="33"/>
        </w:numPr>
        <w:tabs>
          <w:tab w:val="left" w:pos="709"/>
          <w:tab w:val="left" w:pos="993"/>
        </w:tabs>
        <w:suppressAutoHyphens w:val="0"/>
        <w:snapToGrid w:val="0"/>
        <w:ind w:left="0" w:firstLine="567"/>
        <w:rPr>
          <w:rFonts w:ascii="Times New Roman" w:hAnsi="Times New Roman"/>
          <w:szCs w:val="20"/>
          <w:lang w:val="uk-UA"/>
        </w:rPr>
      </w:pPr>
      <w:r w:rsidRPr="00E16672">
        <w:rPr>
          <w:rFonts w:ascii="Times New Roman" w:hAnsi="Times New Roman"/>
          <w:szCs w:val="20"/>
          <w:lang w:val="uk-UA"/>
        </w:rPr>
        <w:t>За невиконання або невідповідне виконання зобов’язань, прийнятих по цьому Договору, Сторони несуть відповідальність згідно з діючим законодавством України.</w:t>
      </w:r>
    </w:p>
    <w:p w14:paraId="6143495F" w14:textId="77777777" w:rsidR="00010BDE" w:rsidRPr="00E16672" w:rsidRDefault="00010BDE" w:rsidP="000D0438">
      <w:pPr>
        <w:pStyle w:val="aff5"/>
        <w:numPr>
          <w:ilvl w:val="1"/>
          <w:numId w:val="33"/>
        </w:numPr>
        <w:tabs>
          <w:tab w:val="left" w:pos="709"/>
          <w:tab w:val="left" w:pos="993"/>
        </w:tabs>
        <w:suppressAutoHyphens w:val="0"/>
        <w:snapToGrid w:val="0"/>
        <w:ind w:left="0" w:firstLine="567"/>
        <w:rPr>
          <w:rFonts w:ascii="Times New Roman" w:hAnsi="Times New Roman"/>
          <w:szCs w:val="20"/>
          <w:lang w:val="uk-UA"/>
        </w:rPr>
      </w:pPr>
      <w:r w:rsidRPr="00E16672">
        <w:rPr>
          <w:rFonts w:ascii="Times New Roman" w:hAnsi="Times New Roman"/>
          <w:szCs w:val="20"/>
          <w:lang w:val="uk-UA"/>
        </w:rPr>
        <w:t>За порушення термінів оплати, передбачених цим Договором, Замовник виплачує Виконавцю пеню відповідно до чинного законодавства у розмірі подвійної облікової ставки НБУ від суми простроченого платежу за кожен день прострочи.</w:t>
      </w:r>
    </w:p>
    <w:p w14:paraId="6D62BD24" w14:textId="77777777" w:rsidR="00010BDE" w:rsidRPr="00E16672" w:rsidRDefault="00010BDE" w:rsidP="000D0438">
      <w:pPr>
        <w:pStyle w:val="aff5"/>
        <w:numPr>
          <w:ilvl w:val="1"/>
          <w:numId w:val="33"/>
        </w:numPr>
        <w:tabs>
          <w:tab w:val="left" w:pos="709"/>
          <w:tab w:val="left" w:pos="993"/>
        </w:tabs>
        <w:suppressAutoHyphens w:val="0"/>
        <w:snapToGrid w:val="0"/>
        <w:ind w:left="0" w:firstLine="567"/>
        <w:rPr>
          <w:rFonts w:ascii="Times New Roman" w:hAnsi="Times New Roman"/>
          <w:szCs w:val="20"/>
          <w:lang w:val="uk-UA"/>
        </w:rPr>
      </w:pPr>
      <w:r w:rsidRPr="00E16672">
        <w:rPr>
          <w:rFonts w:ascii="Times New Roman" w:hAnsi="Times New Roman"/>
          <w:szCs w:val="20"/>
          <w:lang w:val="uk-UA"/>
        </w:rPr>
        <w:t xml:space="preserve">Виплата пені не звільнює Сторони від виконання обов’язків по цьому Договору та відшкодування збитків у повному обсязі. </w:t>
      </w:r>
    </w:p>
    <w:p w14:paraId="7FFF030A" w14:textId="77777777" w:rsidR="00010BDE" w:rsidRPr="00E16672" w:rsidRDefault="00010BDE" w:rsidP="000D0438">
      <w:pPr>
        <w:pStyle w:val="aff5"/>
        <w:numPr>
          <w:ilvl w:val="1"/>
          <w:numId w:val="33"/>
        </w:numPr>
        <w:tabs>
          <w:tab w:val="left" w:pos="709"/>
          <w:tab w:val="left" w:pos="993"/>
        </w:tabs>
        <w:suppressAutoHyphens w:val="0"/>
        <w:snapToGrid w:val="0"/>
        <w:ind w:left="0" w:firstLine="567"/>
        <w:rPr>
          <w:rFonts w:ascii="Times New Roman" w:hAnsi="Times New Roman"/>
          <w:szCs w:val="20"/>
          <w:lang w:val="uk-UA"/>
        </w:rPr>
      </w:pPr>
      <w:r w:rsidRPr="00E16672">
        <w:rPr>
          <w:rFonts w:ascii="Times New Roman" w:hAnsi="Times New Roman"/>
          <w:szCs w:val="20"/>
          <w:lang w:val="uk-UA"/>
        </w:rPr>
        <w:t>Виконавець не несе відповідальність за порушення терміну опублікування в друкованому виданні інформації про скликання загальних зборів акціонерів та розсилки повідомлень акціонерам Замовника у разі невиконання Замовником зобов’язань за цим Договором.</w:t>
      </w:r>
    </w:p>
    <w:p w14:paraId="7524854D" w14:textId="77777777" w:rsidR="00010BDE" w:rsidRPr="00E16672" w:rsidRDefault="00010BDE" w:rsidP="000D0438">
      <w:pPr>
        <w:pStyle w:val="aff5"/>
        <w:numPr>
          <w:ilvl w:val="1"/>
          <w:numId w:val="33"/>
        </w:numPr>
        <w:tabs>
          <w:tab w:val="left" w:pos="709"/>
          <w:tab w:val="left" w:pos="993"/>
        </w:tabs>
        <w:suppressAutoHyphens w:val="0"/>
        <w:snapToGrid w:val="0"/>
        <w:ind w:left="0" w:firstLine="567"/>
        <w:rPr>
          <w:rFonts w:ascii="Times New Roman" w:hAnsi="Times New Roman"/>
          <w:szCs w:val="20"/>
          <w:lang w:val="uk-UA"/>
        </w:rPr>
      </w:pPr>
      <w:r w:rsidRPr="00E16672">
        <w:rPr>
          <w:rFonts w:ascii="Times New Roman" w:hAnsi="Times New Roman"/>
          <w:szCs w:val="20"/>
          <w:lang w:val="uk-UA"/>
        </w:rPr>
        <w:t>Виконавець не несе відповідальність за зміст персонального повідомлення та проект порядку денного, які надані Замовником для опублікування та розсилки.</w:t>
      </w:r>
    </w:p>
    <w:p w14:paraId="151ABFC1" w14:textId="77777777" w:rsidR="00010BDE" w:rsidRPr="00E16672" w:rsidRDefault="00010BDE" w:rsidP="000D0438">
      <w:pPr>
        <w:pStyle w:val="aff5"/>
        <w:numPr>
          <w:ilvl w:val="1"/>
          <w:numId w:val="33"/>
        </w:numPr>
        <w:tabs>
          <w:tab w:val="left" w:pos="709"/>
          <w:tab w:val="left" w:pos="993"/>
        </w:tabs>
        <w:suppressAutoHyphens w:val="0"/>
        <w:snapToGrid w:val="0"/>
        <w:ind w:left="0" w:firstLine="567"/>
        <w:rPr>
          <w:rFonts w:ascii="Times New Roman" w:hAnsi="Times New Roman"/>
          <w:szCs w:val="20"/>
          <w:lang w:val="uk-UA"/>
        </w:rPr>
      </w:pPr>
      <w:r w:rsidRPr="00E16672">
        <w:rPr>
          <w:rFonts w:ascii="Times New Roman" w:hAnsi="Times New Roman"/>
          <w:szCs w:val="20"/>
          <w:lang w:val="uk-UA"/>
        </w:rPr>
        <w:t>Виконавець не несе відповідальність за визначення Замовником дати переліку акціонерів, які мають бути повідомлені про скликання загальних зборів акціонерів.</w:t>
      </w:r>
    </w:p>
    <w:p w14:paraId="3E3B0E6E" w14:textId="77777777" w:rsidR="00010BDE" w:rsidRPr="00E16672" w:rsidRDefault="00010BDE" w:rsidP="000D0438">
      <w:pPr>
        <w:pStyle w:val="aff5"/>
        <w:numPr>
          <w:ilvl w:val="1"/>
          <w:numId w:val="33"/>
        </w:numPr>
        <w:tabs>
          <w:tab w:val="left" w:pos="709"/>
          <w:tab w:val="left" w:pos="993"/>
        </w:tabs>
        <w:suppressAutoHyphens w:val="0"/>
        <w:snapToGrid w:val="0"/>
        <w:ind w:left="0" w:firstLine="567"/>
        <w:rPr>
          <w:rFonts w:ascii="Times New Roman" w:hAnsi="Times New Roman"/>
          <w:szCs w:val="20"/>
          <w:lang w:val="uk-UA"/>
        </w:rPr>
      </w:pPr>
      <w:r w:rsidRPr="00E16672">
        <w:rPr>
          <w:rFonts w:ascii="Times New Roman" w:hAnsi="Times New Roman"/>
          <w:szCs w:val="20"/>
          <w:lang w:val="uk-UA"/>
        </w:rPr>
        <w:t>Виконавець не несе відповідальність за відповідність вимогам чинного законодавства України, за зміст та достовірність інформації, наведеної у переліку акціонерів, наданому для проведення персонального повідомлення акціонерів про скликання загальних зборів акціонерів Замовника.</w:t>
      </w:r>
    </w:p>
    <w:p w14:paraId="7AA55817" w14:textId="77777777" w:rsidR="00010BDE" w:rsidRPr="00E16672" w:rsidRDefault="00010BDE" w:rsidP="000D0438">
      <w:pPr>
        <w:pStyle w:val="aff5"/>
        <w:numPr>
          <w:ilvl w:val="1"/>
          <w:numId w:val="33"/>
        </w:numPr>
        <w:tabs>
          <w:tab w:val="left" w:pos="709"/>
          <w:tab w:val="left" w:pos="993"/>
        </w:tabs>
        <w:suppressAutoHyphens w:val="0"/>
        <w:snapToGrid w:val="0"/>
        <w:ind w:left="0" w:firstLine="567"/>
        <w:rPr>
          <w:rFonts w:ascii="Times New Roman" w:hAnsi="Times New Roman"/>
          <w:szCs w:val="20"/>
          <w:lang w:val="uk-UA"/>
        </w:rPr>
      </w:pPr>
      <w:r w:rsidRPr="00E16672">
        <w:rPr>
          <w:rFonts w:ascii="Times New Roman" w:hAnsi="Times New Roman"/>
          <w:szCs w:val="20"/>
          <w:lang w:val="uk-UA"/>
        </w:rPr>
        <w:t>Виконавець не несе відповідальність за зміст тексту та форму бюлетеня, затвердженого Наглядовою Радою Замовника для голосування.</w:t>
      </w:r>
    </w:p>
    <w:p w14:paraId="34316B29" w14:textId="77777777" w:rsidR="00010BDE" w:rsidRPr="00E16672" w:rsidRDefault="00010BDE" w:rsidP="000D0438">
      <w:pPr>
        <w:pStyle w:val="aff5"/>
        <w:numPr>
          <w:ilvl w:val="1"/>
          <w:numId w:val="33"/>
        </w:numPr>
        <w:tabs>
          <w:tab w:val="left" w:pos="993"/>
        </w:tabs>
        <w:suppressAutoHyphens w:val="0"/>
        <w:snapToGrid w:val="0"/>
        <w:ind w:left="0" w:firstLine="567"/>
        <w:rPr>
          <w:rFonts w:ascii="Times New Roman" w:hAnsi="Times New Roman"/>
          <w:szCs w:val="20"/>
          <w:lang w:val="uk-UA"/>
        </w:rPr>
      </w:pPr>
      <w:r w:rsidRPr="00E16672">
        <w:rPr>
          <w:rFonts w:ascii="Times New Roman" w:hAnsi="Times New Roman"/>
          <w:szCs w:val="20"/>
          <w:lang w:val="uk-UA"/>
        </w:rPr>
        <w:t>Виконавець не несе відповідальність за визначення Замовником дати переліку акціонерів, які мають брати участь у загальних зборах акціонерів Замовника.</w:t>
      </w:r>
    </w:p>
    <w:p w14:paraId="66E8C0A9" w14:textId="77777777" w:rsidR="00010BDE" w:rsidRPr="00E16672" w:rsidRDefault="00010BDE" w:rsidP="000D0438">
      <w:pPr>
        <w:pStyle w:val="aff5"/>
        <w:numPr>
          <w:ilvl w:val="1"/>
          <w:numId w:val="33"/>
        </w:numPr>
        <w:tabs>
          <w:tab w:val="left" w:pos="993"/>
        </w:tabs>
        <w:suppressAutoHyphens w:val="0"/>
        <w:snapToGrid w:val="0"/>
        <w:ind w:left="0" w:firstLine="567"/>
        <w:rPr>
          <w:rFonts w:ascii="Times New Roman" w:hAnsi="Times New Roman"/>
          <w:szCs w:val="20"/>
          <w:lang w:val="uk-UA"/>
        </w:rPr>
      </w:pPr>
      <w:r w:rsidRPr="00E16672">
        <w:rPr>
          <w:rFonts w:ascii="Times New Roman" w:hAnsi="Times New Roman"/>
          <w:szCs w:val="20"/>
          <w:lang w:val="uk-UA"/>
        </w:rPr>
        <w:t>Виконавець не несе відповідальність за відповідність вимогам чинного законодавства України, за зміст та достовірність інформації, наведеної у переліку акціонерів, які мають право брати участь у загальних зборах Замовника.</w:t>
      </w:r>
    </w:p>
    <w:p w14:paraId="0A33F927" w14:textId="77777777" w:rsidR="00010BDE" w:rsidRPr="00E16672" w:rsidRDefault="00010BDE" w:rsidP="000D0438">
      <w:pPr>
        <w:pStyle w:val="aff5"/>
        <w:numPr>
          <w:ilvl w:val="1"/>
          <w:numId w:val="33"/>
        </w:numPr>
        <w:tabs>
          <w:tab w:val="left" w:pos="993"/>
        </w:tabs>
        <w:suppressAutoHyphens w:val="0"/>
        <w:snapToGrid w:val="0"/>
        <w:ind w:left="0" w:firstLine="567"/>
        <w:rPr>
          <w:rFonts w:ascii="Times New Roman" w:hAnsi="Times New Roman"/>
          <w:szCs w:val="20"/>
          <w:lang w:val="uk-UA"/>
        </w:rPr>
      </w:pPr>
      <w:r w:rsidRPr="00E16672">
        <w:rPr>
          <w:rFonts w:ascii="Times New Roman" w:hAnsi="Times New Roman"/>
          <w:szCs w:val="20"/>
          <w:lang w:val="uk-UA"/>
        </w:rPr>
        <w:t>Виконавець не несе відповідальність за неналежне оформлення акціонером (представником акціонера) бюлетеня голосування (відсутність підпису та інші недоліки бюлетеня), які призводять до його недійсності.</w:t>
      </w:r>
    </w:p>
    <w:p w14:paraId="06E9F3E9" w14:textId="77777777" w:rsidR="00010BDE" w:rsidRPr="00E16672" w:rsidRDefault="00010BDE" w:rsidP="000D0438">
      <w:pPr>
        <w:pStyle w:val="aff5"/>
        <w:numPr>
          <w:ilvl w:val="1"/>
          <w:numId w:val="33"/>
        </w:numPr>
        <w:tabs>
          <w:tab w:val="left" w:pos="993"/>
        </w:tabs>
        <w:suppressAutoHyphens w:val="0"/>
        <w:snapToGrid w:val="0"/>
        <w:ind w:left="0" w:firstLine="567"/>
        <w:rPr>
          <w:rFonts w:ascii="Times New Roman" w:hAnsi="Times New Roman"/>
          <w:szCs w:val="20"/>
          <w:lang w:val="uk-UA"/>
        </w:rPr>
      </w:pPr>
      <w:r w:rsidRPr="00E16672">
        <w:rPr>
          <w:rFonts w:ascii="Times New Roman" w:hAnsi="Times New Roman"/>
          <w:szCs w:val="20"/>
          <w:lang w:val="uk-UA"/>
        </w:rPr>
        <w:t>Виконавець не несе відповідальність за порушення терміну розсилки повідомлень про результати голосування на загальних зборах акціонерів Замовника у разі невиконання Замовником зобов’язань за цим Договором.</w:t>
      </w:r>
    </w:p>
    <w:p w14:paraId="583EE199" w14:textId="77777777" w:rsidR="00010BDE" w:rsidRPr="00E16672" w:rsidRDefault="00010BDE" w:rsidP="000D0438">
      <w:pPr>
        <w:pStyle w:val="aff5"/>
        <w:numPr>
          <w:ilvl w:val="1"/>
          <w:numId w:val="33"/>
        </w:numPr>
        <w:tabs>
          <w:tab w:val="left" w:pos="993"/>
        </w:tabs>
        <w:suppressAutoHyphens w:val="0"/>
        <w:snapToGrid w:val="0"/>
        <w:ind w:left="0" w:firstLine="567"/>
        <w:rPr>
          <w:rFonts w:ascii="Times New Roman" w:hAnsi="Times New Roman"/>
          <w:szCs w:val="20"/>
          <w:lang w:val="uk-UA"/>
        </w:rPr>
      </w:pPr>
      <w:r w:rsidRPr="00E16672">
        <w:rPr>
          <w:rFonts w:ascii="Times New Roman" w:hAnsi="Times New Roman"/>
          <w:szCs w:val="20"/>
          <w:lang w:val="uk-UA"/>
        </w:rPr>
        <w:t>Виконавець не несе відповідальність за зміст персонального повідомлення про результати голосування на загальних зборах акціонерів Замовника, які надані Замовником для розсилки.</w:t>
      </w:r>
    </w:p>
    <w:p w14:paraId="7F618E02" w14:textId="77777777" w:rsidR="00010BDE" w:rsidRPr="00E16672" w:rsidRDefault="00010BDE" w:rsidP="000D0438">
      <w:pPr>
        <w:pStyle w:val="aff5"/>
        <w:numPr>
          <w:ilvl w:val="1"/>
          <w:numId w:val="33"/>
        </w:numPr>
        <w:tabs>
          <w:tab w:val="left" w:pos="993"/>
        </w:tabs>
        <w:suppressAutoHyphens w:val="0"/>
        <w:snapToGrid w:val="0"/>
        <w:ind w:left="0" w:firstLine="567"/>
        <w:rPr>
          <w:rFonts w:ascii="Times New Roman" w:hAnsi="Times New Roman"/>
          <w:szCs w:val="20"/>
          <w:lang w:val="uk-UA"/>
        </w:rPr>
      </w:pPr>
      <w:r w:rsidRPr="00E16672">
        <w:rPr>
          <w:rFonts w:ascii="Times New Roman" w:hAnsi="Times New Roman"/>
          <w:szCs w:val="20"/>
          <w:lang w:val="uk-UA"/>
        </w:rPr>
        <w:lastRenderedPageBreak/>
        <w:t>Виконавець не несе відповідальність за відповідність вимогам чинного законодавства України, за зміст та достовірність інформації, наведеної у переліку акціонерів, наданому для проведення персонального повідомлення акціонерів про підсумки голосування на загальних зборах акціонерів Замовника.</w:t>
      </w:r>
    </w:p>
    <w:p w14:paraId="5C91E45A" w14:textId="77777777" w:rsidR="00010BDE" w:rsidRPr="00E16672" w:rsidRDefault="00010BDE" w:rsidP="000D0438">
      <w:pPr>
        <w:pStyle w:val="aff5"/>
        <w:numPr>
          <w:ilvl w:val="1"/>
          <w:numId w:val="33"/>
        </w:numPr>
        <w:tabs>
          <w:tab w:val="left" w:pos="993"/>
        </w:tabs>
        <w:suppressAutoHyphens w:val="0"/>
        <w:snapToGrid w:val="0"/>
        <w:ind w:left="0" w:firstLine="567"/>
        <w:rPr>
          <w:rFonts w:ascii="Times New Roman" w:hAnsi="Times New Roman"/>
          <w:szCs w:val="20"/>
          <w:lang w:val="uk-UA"/>
        </w:rPr>
      </w:pPr>
      <w:r w:rsidRPr="00E16672">
        <w:rPr>
          <w:rFonts w:ascii="Times New Roman" w:hAnsi="Times New Roman"/>
          <w:szCs w:val="20"/>
          <w:lang w:val="uk-UA"/>
        </w:rPr>
        <w:t>Виконавець не несе відповідальності за зміст інформації, яка розкривається згідно пункту 1.1.5., повноту та достовірність наданої інформації, а також за її відповідність вимогам чинного законодавства України, у тому числі у випадку, якщо до Замовника з боку Комісії будуть застосовані санкції за несвоєчасне розкриття та/або розкриття недостовірної інформації, розкриття якої є обов’язковим відповідно до вимог чинного законодавства.</w:t>
      </w:r>
    </w:p>
    <w:p w14:paraId="63F233D3" w14:textId="77777777" w:rsidR="00010BDE" w:rsidRPr="00E16672" w:rsidRDefault="00010BDE" w:rsidP="000D0438">
      <w:pPr>
        <w:pStyle w:val="aff5"/>
        <w:numPr>
          <w:ilvl w:val="1"/>
          <w:numId w:val="33"/>
        </w:numPr>
        <w:tabs>
          <w:tab w:val="left" w:pos="993"/>
        </w:tabs>
        <w:suppressAutoHyphens w:val="0"/>
        <w:snapToGrid w:val="0"/>
        <w:ind w:left="0" w:firstLine="567"/>
        <w:rPr>
          <w:rFonts w:ascii="Times New Roman" w:hAnsi="Times New Roman"/>
          <w:szCs w:val="20"/>
          <w:lang w:val="uk-UA"/>
        </w:rPr>
      </w:pPr>
      <w:r w:rsidRPr="00E16672">
        <w:rPr>
          <w:rFonts w:ascii="Times New Roman" w:hAnsi="Times New Roman"/>
          <w:szCs w:val="20"/>
          <w:lang w:val="uk-UA"/>
        </w:rPr>
        <w:t>Виконавець не несе відповідальності за несвоєчасне та (або) невірне виконання своїх зобов’язань за цим Договором у разі:</w:t>
      </w:r>
    </w:p>
    <w:p w14:paraId="5DBB0B67" w14:textId="77777777" w:rsidR="00010BDE" w:rsidRPr="00E16672" w:rsidRDefault="00010BDE" w:rsidP="000D0438">
      <w:pPr>
        <w:widowControl w:val="0"/>
        <w:numPr>
          <w:ilvl w:val="0"/>
          <w:numId w:val="25"/>
        </w:numPr>
        <w:tabs>
          <w:tab w:val="num" w:pos="720"/>
          <w:tab w:val="left" w:pos="993"/>
          <w:tab w:val="num" w:pos="1260"/>
        </w:tabs>
        <w:suppressAutoHyphens w:val="0"/>
        <w:ind w:left="0" w:right="-1" w:firstLine="567"/>
        <w:rPr>
          <w:rFonts w:ascii="Times New Roman" w:hAnsi="Times New Roman"/>
          <w:lang w:val="uk-UA"/>
        </w:rPr>
      </w:pPr>
      <w:r w:rsidRPr="00E16672">
        <w:rPr>
          <w:rFonts w:ascii="Times New Roman" w:hAnsi="Times New Roman"/>
          <w:lang w:val="uk-UA"/>
        </w:rPr>
        <w:t>якщо помилкова інформація містилась у документах та/або інформації наданих згідно п. 2.3.;</w:t>
      </w:r>
    </w:p>
    <w:p w14:paraId="6BB161E1" w14:textId="77777777" w:rsidR="00010BDE" w:rsidRPr="00E16672" w:rsidRDefault="00010BDE" w:rsidP="000D0438">
      <w:pPr>
        <w:widowControl w:val="0"/>
        <w:numPr>
          <w:ilvl w:val="0"/>
          <w:numId w:val="25"/>
        </w:numPr>
        <w:tabs>
          <w:tab w:val="num" w:pos="720"/>
          <w:tab w:val="left" w:pos="993"/>
          <w:tab w:val="num" w:pos="1260"/>
        </w:tabs>
        <w:suppressAutoHyphens w:val="0"/>
        <w:ind w:left="0" w:right="-1" w:firstLine="567"/>
        <w:rPr>
          <w:rFonts w:ascii="Times New Roman" w:hAnsi="Times New Roman"/>
          <w:lang w:val="uk-UA"/>
        </w:rPr>
      </w:pPr>
      <w:r w:rsidRPr="00E16672">
        <w:rPr>
          <w:rFonts w:ascii="Times New Roman" w:hAnsi="Times New Roman"/>
          <w:lang w:val="uk-UA"/>
        </w:rPr>
        <w:t>невиконання Замовником рекомендацій щодо порядку, строків та вимог до розміщення особливої інформації за цим Договором;</w:t>
      </w:r>
    </w:p>
    <w:p w14:paraId="0F04F16C" w14:textId="77777777" w:rsidR="00010BDE" w:rsidRPr="00E16672" w:rsidRDefault="00010BDE" w:rsidP="000D0438">
      <w:pPr>
        <w:widowControl w:val="0"/>
        <w:numPr>
          <w:ilvl w:val="0"/>
          <w:numId w:val="25"/>
        </w:numPr>
        <w:tabs>
          <w:tab w:val="num" w:pos="720"/>
          <w:tab w:val="left" w:pos="993"/>
          <w:tab w:val="num" w:pos="1260"/>
        </w:tabs>
        <w:suppressAutoHyphens w:val="0"/>
        <w:ind w:left="0" w:right="-1" w:firstLine="567"/>
        <w:rPr>
          <w:rFonts w:ascii="Times New Roman" w:hAnsi="Times New Roman"/>
          <w:lang w:val="uk-UA"/>
        </w:rPr>
      </w:pPr>
      <w:r w:rsidRPr="00E16672">
        <w:rPr>
          <w:rFonts w:ascii="Times New Roman" w:hAnsi="Times New Roman"/>
          <w:lang w:val="uk-UA"/>
        </w:rPr>
        <w:t>ненадання технічного доступу до програмного комплексу з розміщення особливої інформації Замовника;</w:t>
      </w:r>
    </w:p>
    <w:p w14:paraId="4BAE794D" w14:textId="77777777" w:rsidR="00010BDE" w:rsidRPr="00E16672" w:rsidRDefault="00010BDE" w:rsidP="000D0438">
      <w:pPr>
        <w:widowControl w:val="0"/>
        <w:numPr>
          <w:ilvl w:val="0"/>
          <w:numId w:val="25"/>
        </w:numPr>
        <w:tabs>
          <w:tab w:val="num" w:pos="720"/>
          <w:tab w:val="left" w:pos="993"/>
          <w:tab w:val="num" w:pos="1260"/>
        </w:tabs>
        <w:suppressAutoHyphens w:val="0"/>
        <w:ind w:left="0" w:right="-1" w:firstLine="567"/>
        <w:rPr>
          <w:rFonts w:ascii="Times New Roman" w:hAnsi="Times New Roman"/>
          <w:lang w:val="uk-UA"/>
        </w:rPr>
      </w:pPr>
      <w:r w:rsidRPr="00E16672">
        <w:rPr>
          <w:rFonts w:ascii="Times New Roman" w:hAnsi="Times New Roman"/>
          <w:lang w:val="uk-UA"/>
        </w:rPr>
        <w:t>невиконання Замовником своїх обов’язків, передбачених п. 2.3. та п. 2.19. цього Договору.</w:t>
      </w:r>
    </w:p>
    <w:p w14:paraId="7F705A3B" w14:textId="77777777" w:rsidR="00010BDE" w:rsidRPr="00E16672" w:rsidRDefault="00010BDE" w:rsidP="00010BDE">
      <w:pPr>
        <w:pStyle w:val="3a"/>
        <w:widowControl w:val="0"/>
        <w:spacing w:after="0"/>
        <w:rPr>
          <w:b/>
          <w:sz w:val="20"/>
          <w:szCs w:val="20"/>
          <w:lang w:val="uk-UA"/>
        </w:rPr>
      </w:pPr>
    </w:p>
    <w:p w14:paraId="144292C8" w14:textId="77777777" w:rsidR="00010BDE" w:rsidRPr="00E16672" w:rsidRDefault="00010BDE" w:rsidP="00010BDE">
      <w:pPr>
        <w:widowControl w:val="0"/>
        <w:jc w:val="center"/>
        <w:rPr>
          <w:rFonts w:ascii="Times New Roman" w:hAnsi="Times New Roman"/>
          <w:b/>
          <w:lang w:val="uk-UA"/>
        </w:rPr>
      </w:pPr>
      <w:r w:rsidRPr="00E16672">
        <w:rPr>
          <w:rFonts w:ascii="Times New Roman" w:hAnsi="Times New Roman"/>
          <w:b/>
          <w:lang w:val="uk-UA"/>
        </w:rPr>
        <w:t>V. ВИРІШЕННЯ СПОРІВ</w:t>
      </w:r>
    </w:p>
    <w:p w14:paraId="5905B42F" w14:textId="77777777" w:rsidR="00010BDE" w:rsidRPr="00E16672" w:rsidRDefault="00010BDE" w:rsidP="00010BDE">
      <w:pPr>
        <w:widowControl w:val="0"/>
        <w:ind w:right="-1" w:firstLine="720"/>
        <w:rPr>
          <w:rFonts w:ascii="Times New Roman" w:hAnsi="Times New Roman"/>
          <w:lang w:val="uk-UA"/>
        </w:rPr>
      </w:pPr>
      <w:r w:rsidRPr="00E16672">
        <w:rPr>
          <w:rFonts w:ascii="Times New Roman" w:hAnsi="Times New Roman"/>
          <w:lang w:val="uk-UA"/>
        </w:rPr>
        <w:t xml:space="preserve">5.1. </w:t>
      </w:r>
      <w:r w:rsidRPr="00E16672">
        <w:rPr>
          <w:rFonts w:ascii="Times New Roman" w:hAnsi="Times New Roman"/>
          <w:lang w:val="uk-UA"/>
        </w:rPr>
        <w:tab/>
        <w:t>Усі спори, які пов`язані з виконанням умов цього Договору, розв`язуються шляхом переговорів між Сторонами.</w:t>
      </w:r>
    </w:p>
    <w:p w14:paraId="4ADE4B63" w14:textId="77777777" w:rsidR="00010BDE" w:rsidRPr="00E16672" w:rsidRDefault="00010BDE" w:rsidP="00010BDE">
      <w:pPr>
        <w:widowControl w:val="0"/>
        <w:ind w:right="-1" w:firstLine="720"/>
        <w:rPr>
          <w:rFonts w:ascii="Times New Roman" w:hAnsi="Times New Roman"/>
          <w:lang w:val="uk-UA"/>
        </w:rPr>
      </w:pPr>
      <w:r w:rsidRPr="00E16672">
        <w:rPr>
          <w:rFonts w:ascii="Times New Roman" w:hAnsi="Times New Roman"/>
          <w:lang w:val="uk-UA"/>
        </w:rPr>
        <w:t xml:space="preserve">5.2. </w:t>
      </w:r>
      <w:r w:rsidRPr="00E16672">
        <w:rPr>
          <w:rFonts w:ascii="Times New Roman" w:hAnsi="Times New Roman"/>
          <w:lang w:val="uk-UA"/>
        </w:rPr>
        <w:tab/>
        <w:t>У випадку неможливості досягнення домовленості, спір передається на розгляд згідно з чинним законодавством в Господарський суд.</w:t>
      </w:r>
    </w:p>
    <w:p w14:paraId="4CFEE669" w14:textId="77777777" w:rsidR="00010BDE" w:rsidRPr="00E16672" w:rsidRDefault="00010BDE" w:rsidP="00010BDE">
      <w:pPr>
        <w:widowControl w:val="0"/>
        <w:jc w:val="center"/>
        <w:rPr>
          <w:rFonts w:ascii="Times New Roman" w:hAnsi="Times New Roman"/>
          <w:b/>
          <w:lang w:val="uk-UA"/>
        </w:rPr>
      </w:pPr>
    </w:p>
    <w:p w14:paraId="69DA34FD" w14:textId="77777777" w:rsidR="00010BDE" w:rsidRPr="00E16672" w:rsidRDefault="00010BDE" w:rsidP="00010BDE">
      <w:pPr>
        <w:widowControl w:val="0"/>
        <w:jc w:val="center"/>
        <w:rPr>
          <w:rFonts w:ascii="Times New Roman" w:hAnsi="Times New Roman"/>
          <w:b/>
          <w:lang w:val="uk-UA"/>
        </w:rPr>
      </w:pPr>
      <w:r w:rsidRPr="00E16672">
        <w:rPr>
          <w:rFonts w:ascii="Times New Roman" w:hAnsi="Times New Roman"/>
          <w:b/>
          <w:lang w:val="uk-UA"/>
        </w:rPr>
        <w:t>VІ. ІНШІ УМОВИ</w:t>
      </w:r>
    </w:p>
    <w:p w14:paraId="732FCEDC" w14:textId="77777777" w:rsidR="00010BDE" w:rsidRPr="00E16672" w:rsidRDefault="00010BDE" w:rsidP="00010BDE">
      <w:pPr>
        <w:widowControl w:val="0"/>
        <w:ind w:right="-1" w:firstLine="720"/>
        <w:rPr>
          <w:rFonts w:ascii="Times New Roman" w:hAnsi="Times New Roman"/>
          <w:lang w:val="uk-UA"/>
        </w:rPr>
      </w:pPr>
      <w:r w:rsidRPr="00E16672">
        <w:rPr>
          <w:rFonts w:ascii="Times New Roman" w:hAnsi="Times New Roman"/>
          <w:lang w:val="uk-UA"/>
        </w:rPr>
        <w:t xml:space="preserve">6.1. </w:t>
      </w:r>
      <w:r w:rsidRPr="00E16672">
        <w:rPr>
          <w:rFonts w:ascii="Times New Roman" w:hAnsi="Times New Roman"/>
          <w:lang w:val="uk-UA"/>
        </w:rPr>
        <w:tab/>
        <w:t>Цей Договір набуває чинності з моменту його підписання та діє до виконання Сторонами своїх зобов’язань.</w:t>
      </w:r>
    </w:p>
    <w:p w14:paraId="0C1FBEEB" w14:textId="77777777" w:rsidR="00010BDE" w:rsidRPr="00E16672" w:rsidRDefault="00010BDE" w:rsidP="00010BDE">
      <w:pPr>
        <w:widowControl w:val="0"/>
        <w:ind w:right="-1" w:firstLine="720"/>
        <w:rPr>
          <w:rFonts w:ascii="Times New Roman" w:hAnsi="Times New Roman"/>
          <w:lang w:val="uk-UA"/>
        </w:rPr>
      </w:pPr>
      <w:r w:rsidRPr="00E16672">
        <w:rPr>
          <w:rFonts w:ascii="Times New Roman" w:hAnsi="Times New Roman"/>
          <w:lang w:val="uk-UA"/>
        </w:rPr>
        <w:t xml:space="preserve">6.2. </w:t>
      </w:r>
      <w:r w:rsidRPr="00E16672">
        <w:rPr>
          <w:rFonts w:ascii="Times New Roman" w:hAnsi="Times New Roman"/>
          <w:lang w:val="uk-UA"/>
        </w:rPr>
        <w:tab/>
        <w:t>Сторони підтверджують, що до укладання цього Договору Замовнику була надана інформація про фінансову послугу, що пропонується надати клієнту, із зазначенням вартості цієї послуги для клієнта, якщо інше не передбачено законами з питань регулювання окремих ринків фінансових послуг; умови надання додаткових фінансових послуг та їх вартість; порядок сплати податків і зборів за рахунок фізичної особи в результаті отримання фінансової послуги; правові наслідки та порядок здійснення розрахунків з фізичною особою внаслідок дострокового припинення надання фінансової послуги; механізм захисту фінансовою установою прав споживачів та порядок урегулювання спірних питань, що виникають у процесі надання фінансової послуги; реквізити органу, який здійснює державне регулювання ринків фінансових послуг (адреса, номер телефону тощо), а також реквізити органів з питань захисту прав споживачів; розмір винагороди фінансової установи у разі, коли вона пропонує фінансові послуги, що надаються іншими фінансовими установами.</w:t>
      </w:r>
    </w:p>
    <w:p w14:paraId="38EBED8D" w14:textId="77777777" w:rsidR="00010BDE" w:rsidRPr="00E16672" w:rsidRDefault="00010BDE" w:rsidP="00010BDE">
      <w:pPr>
        <w:widowControl w:val="0"/>
        <w:ind w:right="-1" w:firstLine="720"/>
        <w:rPr>
          <w:rFonts w:ascii="Times New Roman" w:hAnsi="Times New Roman"/>
          <w:lang w:val="uk-UA"/>
        </w:rPr>
      </w:pPr>
      <w:r w:rsidRPr="00E16672">
        <w:rPr>
          <w:rFonts w:ascii="Times New Roman" w:hAnsi="Times New Roman"/>
          <w:lang w:val="uk-UA"/>
        </w:rPr>
        <w:t xml:space="preserve">6.3. </w:t>
      </w:r>
      <w:r w:rsidRPr="00E16672">
        <w:rPr>
          <w:rFonts w:ascii="Times New Roman" w:hAnsi="Times New Roman"/>
          <w:lang w:val="uk-UA"/>
        </w:rPr>
        <w:tab/>
        <w:t>Цей Договір складений у двох примірниках, які мають однакову юридичну силу, один - для Замовника, а другий – для Виконавця.</w:t>
      </w:r>
    </w:p>
    <w:p w14:paraId="4E050C32" w14:textId="77777777" w:rsidR="00010BDE" w:rsidRPr="00E16672" w:rsidRDefault="00010BDE" w:rsidP="00010BDE">
      <w:pPr>
        <w:widowControl w:val="0"/>
        <w:ind w:right="-1" w:firstLine="720"/>
        <w:rPr>
          <w:rFonts w:ascii="Times New Roman" w:hAnsi="Times New Roman"/>
          <w:lang w:val="uk-UA"/>
        </w:rPr>
      </w:pPr>
      <w:r w:rsidRPr="00E16672">
        <w:rPr>
          <w:rFonts w:ascii="Times New Roman" w:hAnsi="Times New Roman"/>
          <w:lang w:val="uk-UA"/>
        </w:rPr>
        <w:t xml:space="preserve">6.4. </w:t>
      </w:r>
      <w:r w:rsidRPr="00E16672">
        <w:rPr>
          <w:rFonts w:ascii="Times New Roman" w:hAnsi="Times New Roman"/>
          <w:lang w:val="uk-UA"/>
        </w:rPr>
        <w:tab/>
        <w:t xml:space="preserve">Дію цього Договору може бути припинено за угодою сторін згідно з чинним законодавством України. </w:t>
      </w:r>
    </w:p>
    <w:p w14:paraId="32B1A911" w14:textId="77777777" w:rsidR="00010BDE" w:rsidRPr="00E16672" w:rsidRDefault="00010BDE" w:rsidP="00010BDE">
      <w:pPr>
        <w:pStyle w:val="1"/>
        <w:tabs>
          <w:tab w:val="left" w:pos="0"/>
          <w:tab w:val="left" w:pos="720"/>
        </w:tabs>
        <w:rPr>
          <w:rFonts w:ascii="Times New Roman" w:hAnsi="Times New Roman" w:cs="Times New Roman"/>
          <w:color w:val="000000"/>
          <w:sz w:val="20"/>
          <w:szCs w:val="20"/>
          <w:lang w:val="uk-UA"/>
        </w:rPr>
      </w:pPr>
    </w:p>
    <w:p w14:paraId="64AFAEEA" w14:textId="77777777" w:rsidR="00010BDE" w:rsidRPr="00E16672" w:rsidRDefault="00010BDE" w:rsidP="00010BDE">
      <w:pPr>
        <w:pStyle w:val="1"/>
        <w:tabs>
          <w:tab w:val="left" w:pos="0"/>
          <w:tab w:val="left" w:pos="720"/>
        </w:tabs>
        <w:rPr>
          <w:rFonts w:ascii="Times New Roman" w:hAnsi="Times New Roman" w:cs="Times New Roman"/>
          <w:color w:val="000000"/>
          <w:sz w:val="20"/>
          <w:szCs w:val="20"/>
        </w:rPr>
      </w:pPr>
      <w:r w:rsidRPr="00E16672">
        <w:rPr>
          <w:rFonts w:ascii="Times New Roman" w:hAnsi="Times New Roman" w:cs="Times New Roman"/>
          <w:color w:val="000000"/>
          <w:sz w:val="20"/>
          <w:szCs w:val="20"/>
        </w:rPr>
        <w:t>VI</w:t>
      </w:r>
      <w:r w:rsidRPr="00E16672">
        <w:rPr>
          <w:rFonts w:ascii="Times New Roman" w:hAnsi="Times New Roman" w:cs="Times New Roman"/>
          <w:color w:val="000000"/>
          <w:sz w:val="20"/>
          <w:szCs w:val="20"/>
          <w:lang w:val="en-US"/>
        </w:rPr>
        <w:t>I</w:t>
      </w:r>
      <w:r w:rsidRPr="00E16672">
        <w:rPr>
          <w:rFonts w:ascii="Times New Roman" w:hAnsi="Times New Roman" w:cs="Times New Roman"/>
          <w:color w:val="000000"/>
          <w:sz w:val="20"/>
          <w:szCs w:val="20"/>
        </w:rPr>
        <w:t>. РЕКВІЗИТИ СТОРІН</w:t>
      </w:r>
    </w:p>
    <w:p w14:paraId="42D63A9F" w14:textId="77777777" w:rsidR="00010BDE" w:rsidRPr="00E16672" w:rsidRDefault="00010BDE" w:rsidP="00010BDE">
      <w:pPr>
        <w:rPr>
          <w:rFonts w:ascii="Times New Roman" w:hAnsi="Times New Roman"/>
          <w:color w:val="0000FF"/>
          <w:szCs w:val="20"/>
        </w:rPr>
      </w:pPr>
    </w:p>
    <w:tbl>
      <w:tblPr>
        <w:tblW w:w="11000" w:type="dxa"/>
        <w:tblInd w:w="55" w:type="dxa"/>
        <w:tblLayout w:type="fixed"/>
        <w:tblCellMar>
          <w:top w:w="55" w:type="dxa"/>
          <w:left w:w="55" w:type="dxa"/>
          <w:bottom w:w="55" w:type="dxa"/>
          <w:right w:w="55" w:type="dxa"/>
        </w:tblCellMar>
        <w:tblLook w:val="0000" w:firstRow="0" w:lastRow="0" w:firstColumn="0" w:lastColumn="0" w:noHBand="0" w:noVBand="0"/>
      </w:tblPr>
      <w:tblGrid>
        <w:gridCol w:w="2413"/>
        <w:gridCol w:w="934"/>
        <w:gridCol w:w="1480"/>
        <w:gridCol w:w="341"/>
        <w:gridCol w:w="2715"/>
        <w:gridCol w:w="709"/>
        <w:gridCol w:w="1488"/>
        <w:gridCol w:w="71"/>
        <w:gridCol w:w="849"/>
      </w:tblGrid>
      <w:tr w:rsidR="00010BDE" w:rsidRPr="00E16672" w14:paraId="201DD5CB" w14:textId="77777777" w:rsidTr="00C922B4">
        <w:trPr>
          <w:gridAfter w:val="2"/>
          <w:wAfter w:w="920" w:type="dxa"/>
        </w:trPr>
        <w:tc>
          <w:tcPr>
            <w:tcW w:w="4827" w:type="dxa"/>
            <w:gridSpan w:val="3"/>
            <w:shd w:val="clear" w:color="auto" w:fill="auto"/>
          </w:tcPr>
          <w:p w14:paraId="2F93CA04" w14:textId="77777777" w:rsidR="00010BDE" w:rsidRPr="00E16672" w:rsidRDefault="00010BDE" w:rsidP="00C922B4">
            <w:pPr>
              <w:pStyle w:val="4"/>
              <w:keepNext w:val="0"/>
              <w:tabs>
                <w:tab w:val="clear" w:pos="-501"/>
                <w:tab w:val="num" w:pos="0"/>
              </w:tabs>
              <w:snapToGrid w:val="0"/>
              <w:ind w:left="-57" w:right="-57" w:firstLine="0"/>
              <w:jc w:val="both"/>
              <w:rPr>
                <w:rFonts w:ascii="Times New Roman" w:hAnsi="Times New Roman"/>
                <w:sz w:val="20"/>
              </w:rPr>
            </w:pPr>
            <w:r w:rsidRPr="00E16672">
              <w:rPr>
                <w:rFonts w:ascii="Times New Roman" w:hAnsi="Times New Roman"/>
                <w:bCs/>
                <w:color w:val="000000"/>
                <w:sz w:val="18"/>
                <w:szCs w:val="18"/>
              </w:rPr>
              <w:t>Замовник:</w:t>
            </w:r>
          </w:p>
        </w:tc>
        <w:tc>
          <w:tcPr>
            <w:tcW w:w="341" w:type="dxa"/>
            <w:shd w:val="clear" w:color="auto" w:fill="auto"/>
          </w:tcPr>
          <w:p w14:paraId="53B9D6A4" w14:textId="77777777" w:rsidR="00010BDE" w:rsidRPr="00E16672" w:rsidRDefault="00010BDE" w:rsidP="00C922B4">
            <w:pPr>
              <w:pStyle w:val="af7"/>
              <w:snapToGrid w:val="0"/>
              <w:rPr>
                <w:rFonts w:ascii="Times New Roman" w:hAnsi="Times New Roman"/>
                <w:szCs w:val="20"/>
              </w:rPr>
            </w:pPr>
          </w:p>
        </w:tc>
        <w:tc>
          <w:tcPr>
            <w:tcW w:w="4912" w:type="dxa"/>
            <w:gridSpan w:val="3"/>
            <w:shd w:val="clear" w:color="auto" w:fill="auto"/>
          </w:tcPr>
          <w:p w14:paraId="1B6C2D98" w14:textId="77777777" w:rsidR="00010BDE" w:rsidRPr="00E16672" w:rsidRDefault="00010BDE" w:rsidP="00C922B4">
            <w:pPr>
              <w:pStyle w:val="western"/>
              <w:snapToGrid w:val="0"/>
              <w:spacing w:before="0" w:after="0"/>
              <w:ind w:left="-57" w:right="-57"/>
              <w:jc w:val="both"/>
              <w:rPr>
                <w:rFonts w:ascii="Times New Roman" w:hAnsi="Times New Roman"/>
                <w:szCs w:val="20"/>
              </w:rPr>
            </w:pPr>
            <w:r w:rsidRPr="00E16672">
              <w:rPr>
                <w:rFonts w:ascii="Times New Roman" w:hAnsi="Times New Roman"/>
                <w:color w:val="000000"/>
                <w:szCs w:val="20"/>
                <w:lang w:val="en-US"/>
              </w:rPr>
              <w:t xml:space="preserve"> </w:t>
            </w:r>
            <w:r w:rsidRPr="00E16672">
              <w:rPr>
                <w:rFonts w:ascii="Times New Roman" w:hAnsi="Times New Roman"/>
                <w:color w:val="000000"/>
                <w:szCs w:val="20"/>
                <w:lang w:val="uk-UA"/>
              </w:rPr>
              <w:t>Виконавець</w:t>
            </w:r>
            <w:r w:rsidRPr="00E16672">
              <w:rPr>
                <w:rFonts w:ascii="Times New Roman" w:hAnsi="Times New Roman"/>
                <w:color w:val="000000"/>
                <w:szCs w:val="20"/>
              </w:rPr>
              <w:t>:</w:t>
            </w:r>
          </w:p>
        </w:tc>
      </w:tr>
      <w:tr w:rsidR="00010BDE" w:rsidRPr="00E16672" w14:paraId="11B24F5A" w14:textId="77777777" w:rsidTr="00C922B4">
        <w:trPr>
          <w:gridAfter w:val="2"/>
          <w:wAfter w:w="920" w:type="dxa"/>
        </w:trPr>
        <w:tc>
          <w:tcPr>
            <w:tcW w:w="4827" w:type="dxa"/>
            <w:gridSpan w:val="3"/>
            <w:shd w:val="clear" w:color="auto" w:fill="auto"/>
          </w:tcPr>
          <w:p w14:paraId="339FA1B7" w14:textId="77777777" w:rsidR="00010BDE" w:rsidRPr="00E16672" w:rsidRDefault="00010BDE" w:rsidP="00C922B4">
            <w:pPr>
              <w:pStyle w:val="western"/>
              <w:snapToGrid w:val="0"/>
              <w:spacing w:before="0" w:after="0"/>
              <w:ind w:left="-57" w:right="-57"/>
              <w:jc w:val="both"/>
              <w:rPr>
                <w:rFonts w:ascii="Times New Roman" w:hAnsi="Times New Roman"/>
                <w:i/>
                <w:iCs/>
                <w:szCs w:val="20"/>
              </w:rPr>
            </w:pPr>
            <w:proofErr w:type="spellStart"/>
            <w:r w:rsidRPr="00E16672">
              <w:rPr>
                <w:rFonts w:ascii="Times New Roman" w:hAnsi="Times New Roman"/>
                <w:i/>
                <w:iCs/>
                <w:szCs w:val="20"/>
              </w:rPr>
              <w:t>Повне</w:t>
            </w:r>
            <w:proofErr w:type="spellEnd"/>
            <w:r w:rsidRPr="00E16672">
              <w:rPr>
                <w:rFonts w:ascii="Times New Roman" w:hAnsi="Times New Roman"/>
                <w:i/>
                <w:iCs/>
                <w:szCs w:val="20"/>
              </w:rPr>
              <w:t xml:space="preserve"> </w:t>
            </w:r>
            <w:proofErr w:type="spellStart"/>
            <w:r w:rsidRPr="00E16672">
              <w:rPr>
                <w:rFonts w:ascii="Times New Roman" w:hAnsi="Times New Roman"/>
                <w:i/>
                <w:iCs/>
                <w:szCs w:val="20"/>
              </w:rPr>
              <w:t>найменування</w:t>
            </w:r>
            <w:proofErr w:type="spellEnd"/>
            <w:r w:rsidRPr="00E16672">
              <w:rPr>
                <w:rFonts w:ascii="Times New Roman" w:hAnsi="Times New Roman"/>
                <w:i/>
                <w:iCs/>
                <w:szCs w:val="20"/>
              </w:rPr>
              <w:t xml:space="preserve"> </w:t>
            </w:r>
          </w:p>
        </w:tc>
        <w:tc>
          <w:tcPr>
            <w:tcW w:w="341" w:type="dxa"/>
            <w:shd w:val="clear" w:color="auto" w:fill="auto"/>
          </w:tcPr>
          <w:p w14:paraId="0E0BC293" w14:textId="77777777" w:rsidR="00010BDE" w:rsidRPr="00E16672" w:rsidRDefault="00010BDE" w:rsidP="00C922B4">
            <w:pPr>
              <w:pStyle w:val="af7"/>
              <w:snapToGrid w:val="0"/>
              <w:rPr>
                <w:rFonts w:ascii="Times New Roman" w:hAnsi="Times New Roman"/>
                <w:szCs w:val="20"/>
              </w:rPr>
            </w:pPr>
          </w:p>
        </w:tc>
        <w:tc>
          <w:tcPr>
            <w:tcW w:w="4912" w:type="dxa"/>
            <w:gridSpan w:val="3"/>
            <w:shd w:val="clear" w:color="auto" w:fill="auto"/>
          </w:tcPr>
          <w:p w14:paraId="743433C0" w14:textId="77777777" w:rsidR="00010BDE" w:rsidRPr="00E16672" w:rsidRDefault="00010BDE" w:rsidP="00C922B4">
            <w:pPr>
              <w:pStyle w:val="western"/>
              <w:snapToGrid w:val="0"/>
              <w:spacing w:before="0" w:after="0"/>
              <w:ind w:left="57" w:right="57"/>
              <w:jc w:val="both"/>
              <w:rPr>
                <w:rFonts w:ascii="Times New Roman" w:hAnsi="Times New Roman"/>
                <w:i/>
                <w:iCs/>
                <w:szCs w:val="20"/>
                <w:lang w:val="uk-UA"/>
              </w:rPr>
            </w:pPr>
            <w:r w:rsidRPr="00E16672">
              <w:rPr>
                <w:rFonts w:ascii="Times New Roman" w:hAnsi="Times New Roman"/>
                <w:i/>
                <w:iCs/>
                <w:szCs w:val="20"/>
                <w:lang w:val="uk-UA"/>
              </w:rPr>
              <w:t>Повне найменування</w:t>
            </w:r>
          </w:p>
        </w:tc>
      </w:tr>
      <w:tr w:rsidR="00010BDE" w:rsidRPr="00E16672" w14:paraId="1FC29561" w14:textId="77777777" w:rsidTr="00C922B4">
        <w:trPr>
          <w:gridAfter w:val="2"/>
          <w:wAfter w:w="920" w:type="dxa"/>
        </w:trPr>
        <w:tc>
          <w:tcPr>
            <w:tcW w:w="4827" w:type="dxa"/>
            <w:gridSpan w:val="3"/>
            <w:shd w:val="clear" w:color="auto" w:fill="auto"/>
          </w:tcPr>
          <w:p w14:paraId="009AFA41" w14:textId="77777777" w:rsidR="00010BDE" w:rsidRPr="00E16672" w:rsidRDefault="00010BDE" w:rsidP="00C922B4">
            <w:pPr>
              <w:pStyle w:val="western"/>
              <w:snapToGrid w:val="0"/>
              <w:spacing w:before="0" w:after="0"/>
              <w:ind w:left="-57" w:right="-57"/>
              <w:jc w:val="both"/>
              <w:rPr>
                <w:rFonts w:ascii="Times New Roman" w:hAnsi="Times New Roman"/>
                <w:szCs w:val="20"/>
              </w:rPr>
            </w:pPr>
          </w:p>
        </w:tc>
        <w:tc>
          <w:tcPr>
            <w:tcW w:w="341" w:type="dxa"/>
            <w:shd w:val="clear" w:color="auto" w:fill="auto"/>
          </w:tcPr>
          <w:p w14:paraId="547F38D3" w14:textId="77777777" w:rsidR="00010BDE" w:rsidRPr="00E16672" w:rsidRDefault="00010BDE" w:rsidP="00C922B4">
            <w:pPr>
              <w:pStyle w:val="af7"/>
              <w:snapToGrid w:val="0"/>
              <w:rPr>
                <w:rFonts w:ascii="Times New Roman" w:hAnsi="Times New Roman"/>
                <w:b/>
                <w:szCs w:val="20"/>
              </w:rPr>
            </w:pPr>
          </w:p>
        </w:tc>
        <w:tc>
          <w:tcPr>
            <w:tcW w:w="4912" w:type="dxa"/>
            <w:gridSpan w:val="3"/>
            <w:shd w:val="clear" w:color="auto" w:fill="auto"/>
            <w:vAlign w:val="center"/>
          </w:tcPr>
          <w:p w14:paraId="2FB3CCBF" w14:textId="77777777" w:rsidR="00010BDE" w:rsidRPr="00E16672" w:rsidRDefault="00010BDE" w:rsidP="00022F5F">
            <w:pPr>
              <w:pStyle w:val="4"/>
              <w:tabs>
                <w:tab w:val="clear" w:pos="-501"/>
                <w:tab w:val="num" w:pos="0"/>
              </w:tabs>
              <w:snapToGrid w:val="0"/>
              <w:ind w:left="57" w:right="57" w:firstLine="0"/>
              <w:jc w:val="left"/>
              <w:rPr>
                <w:rFonts w:ascii="Times New Roman" w:hAnsi="Times New Roman"/>
                <w:bCs/>
                <w:sz w:val="20"/>
              </w:rPr>
            </w:pPr>
            <w:r w:rsidRPr="00E16672">
              <w:rPr>
                <w:rFonts w:ascii="Times New Roman" w:hAnsi="Times New Roman"/>
                <w:b w:val="0"/>
                <w:sz w:val="18"/>
                <w:szCs w:val="18"/>
              </w:rPr>
              <w:t xml:space="preserve">ТОВАРИСТВО З ОБМЕЖЕНОЮ ВІДПОВІДАЛЬНІСТЮ </w:t>
            </w:r>
            <w:r w:rsidR="00022F5F">
              <w:rPr>
                <w:rFonts w:ascii="Times New Roman" w:hAnsi="Times New Roman"/>
                <w:b w:val="0"/>
                <w:sz w:val="18"/>
                <w:szCs w:val="18"/>
              </w:rPr>
              <w:t>"</w:t>
            </w:r>
            <w:r w:rsidR="00E16672" w:rsidRPr="00E16672">
              <w:rPr>
                <w:rFonts w:ascii="Times New Roman" w:hAnsi="Times New Roman"/>
                <w:b w:val="0"/>
                <w:sz w:val="18"/>
                <w:szCs w:val="18"/>
              </w:rPr>
              <w:t>КОМЕКС ЦІННІ ПАПЕРИ</w:t>
            </w:r>
            <w:r w:rsidR="00022F5F">
              <w:rPr>
                <w:rFonts w:ascii="Times New Roman" w:hAnsi="Times New Roman"/>
                <w:b w:val="0"/>
                <w:sz w:val="18"/>
                <w:szCs w:val="18"/>
              </w:rPr>
              <w:t>"</w:t>
            </w:r>
          </w:p>
        </w:tc>
      </w:tr>
      <w:tr w:rsidR="00010BDE" w:rsidRPr="00E16672" w14:paraId="145E3B39" w14:textId="77777777" w:rsidTr="00C922B4">
        <w:trPr>
          <w:gridAfter w:val="2"/>
          <w:wAfter w:w="920" w:type="dxa"/>
        </w:trPr>
        <w:tc>
          <w:tcPr>
            <w:tcW w:w="4827" w:type="dxa"/>
            <w:gridSpan w:val="3"/>
            <w:shd w:val="clear" w:color="auto" w:fill="auto"/>
          </w:tcPr>
          <w:p w14:paraId="06E9637D" w14:textId="77777777" w:rsidR="00010BDE" w:rsidRPr="00E16672" w:rsidRDefault="00010BDE" w:rsidP="00C922B4">
            <w:pPr>
              <w:pStyle w:val="3"/>
              <w:tabs>
                <w:tab w:val="clear" w:pos="-501"/>
                <w:tab w:val="num" w:pos="0"/>
              </w:tabs>
              <w:snapToGrid w:val="0"/>
              <w:spacing w:before="0" w:after="0"/>
              <w:ind w:left="-57" w:right="-57" w:firstLine="0"/>
              <w:rPr>
                <w:rFonts w:ascii="Times New Roman" w:hAnsi="Times New Roman" w:cs="Times New Roman"/>
                <w:i/>
                <w:iCs/>
                <w:sz w:val="20"/>
                <w:szCs w:val="20"/>
              </w:rPr>
            </w:pPr>
            <w:r w:rsidRPr="00E16672">
              <w:rPr>
                <w:rFonts w:ascii="Times New Roman" w:hAnsi="Times New Roman" w:cs="Times New Roman"/>
                <w:i/>
                <w:iCs/>
                <w:sz w:val="20"/>
                <w:szCs w:val="20"/>
              </w:rPr>
              <w:t>Ідентифікаційний код юридичної особи</w:t>
            </w:r>
          </w:p>
          <w:p w14:paraId="429A5D32" w14:textId="77777777" w:rsidR="00010BDE" w:rsidRPr="00E16672" w:rsidRDefault="00010BDE" w:rsidP="00C922B4">
            <w:pPr>
              <w:pStyle w:val="3"/>
              <w:tabs>
                <w:tab w:val="clear" w:pos="-501"/>
                <w:tab w:val="num" w:pos="0"/>
              </w:tabs>
              <w:snapToGrid w:val="0"/>
              <w:spacing w:before="0" w:after="0"/>
              <w:ind w:left="-57" w:right="-57" w:firstLine="0"/>
              <w:rPr>
                <w:rFonts w:ascii="Times New Roman" w:hAnsi="Times New Roman" w:cs="Times New Roman"/>
                <w:i/>
                <w:iCs/>
                <w:sz w:val="20"/>
                <w:szCs w:val="20"/>
              </w:rPr>
            </w:pPr>
            <w:r w:rsidRPr="00E16672">
              <w:rPr>
                <w:rFonts w:ascii="Times New Roman" w:hAnsi="Times New Roman" w:cs="Times New Roman"/>
                <w:i/>
                <w:iCs/>
                <w:sz w:val="20"/>
                <w:szCs w:val="20"/>
              </w:rPr>
              <w:t>(код за ЄДРПОУ)</w:t>
            </w:r>
          </w:p>
        </w:tc>
        <w:tc>
          <w:tcPr>
            <w:tcW w:w="341" w:type="dxa"/>
            <w:shd w:val="clear" w:color="auto" w:fill="auto"/>
          </w:tcPr>
          <w:p w14:paraId="36F61624" w14:textId="77777777" w:rsidR="00010BDE" w:rsidRPr="00E16672" w:rsidRDefault="00010BDE" w:rsidP="00C922B4">
            <w:pPr>
              <w:pStyle w:val="af7"/>
              <w:snapToGrid w:val="0"/>
              <w:rPr>
                <w:rFonts w:ascii="Times New Roman" w:hAnsi="Times New Roman"/>
                <w:szCs w:val="20"/>
              </w:rPr>
            </w:pPr>
          </w:p>
        </w:tc>
        <w:tc>
          <w:tcPr>
            <w:tcW w:w="4912" w:type="dxa"/>
            <w:gridSpan w:val="3"/>
            <w:shd w:val="clear" w:color="auto" w:fill="auto"/>
            <w:vAlign w:val="center"/>
          </w:tcPr>
          <w:p w14:paraId="19BC27CA" w14:textId="77777777" w:rsidR="00010BDE" w:rsidRPr="00E16672" w:rsidRDefault="00010BDE" w:rsidP="00C922B4">
            <w:pPr>
              <w:pStyle w:val="3"/>
              <w:numPr>
                <w:ilvl w:val="0"/>
                <w:numId w:val="0"/>
              </w:numPr>
              <w:snapToGrid w:val="0"/>
              <w:spacing w:before="0" w:after="0"/>
              <w:ind w:left="15" w:right="219"/>
              <w:jc w:val="left"/>
              <w:rPr>
                <w:rFonts w:ascii="Times New Roman" w:hAnsi="Times New Roman" w:cs="Times New Roman"/>
                <w:i/>
                <w:color w:val="000000"/>
                <w:sz w:val="18"/>
                <w:szCs w:val="18"/>
              </w:rPr>
            </w:pPr>
            <w:r w:rsidRPr="00E16672">
              <w:rPr>
                <w:rFonts w:ascii="Times New Roman" w:hAnsi="Times New Roman" w:cs="Times New Roman"/>
                <w:i/>
                <w:color w:val="000000"/>
                <w:sz w:val="18"/>
                <w:szCs w:val="18"/>
              </w:rPr>
              <w:t>Ідентифікаційний код юридичної особи</w:t>
            </w:r>
          </w:p>
          <w:p w14:paraId="624F3983" w14:textId="77777777" w:rsidR="00010BDE" w:rsidRPr="00E16672" w:rsidRDefault="00010BDE" w:rsidP="00C922B4">
            <w:pPr>
              <w:pStyle w:val="3"/>
              <w:tabs>
                <w:tab w:val="clear" w:pos="-501"/>
                <w:tab w:val="num" w:pos="0"/>
              </w:tabs>
              <w:snapToGrid w:val="0"/>
              <w:spacing w:before="0" w:after="0"/>
              <w:ind w:left="57" w:right="57" w:firstLine="0"/>
              <w:jc w:val="left"/>
              <w:rPr>
                <w:rFonts w:ascii="Times New Roman" w:hAnsi="Times New Roman" w:cs="Times New Roman"/>
                <w:i/>
                <w:iCs/>
                <w:sz w:val="20"/>
                <w:szCs w:val="20"/>
              </w:rPr>
            </w:pPr>
            <w:r w:rsidRPr="00E16672">
              <w:rPr>
                <w:rFonts w:ascii="Times New Roman" w:hAnsi="Times New Roman" w:cs="Times New Roman"/>
                <w:b w:val="0"/>
                <w:i/>
                <w:color w:val="000000"/>
                <w:sz w:val="18"/>
                <w:szCs w:val="18"/>
              </w:rPr>
              <w:t>(код за ЄДРПОУ)</w:t>
            </w:r>
          </w:p>
        </w:tc>
      </w:tr>
      <w:tr w:rsidR="00010BDE" w:rsidRPr="00E16672" w14:paraId="75F21F81" w14:textId="77777777" w:rsidTr="00C922B4">
        <w:trPr>
          <w:gridAfter w:val="2"/>
          <w:wAfter w:w="920" w:type="dxa"/>
        </w:trPr>
        <w:tc>
          <w:tcPr>
            <w:tcW w:w="4827" w:type="dxa"/>
            <w:gridSpan w:val="3"/>
            <w:shd w:val="clear" w:color="auto" w:fill="auto"/>
          </w:tcPr>
          <w:p w14:paraId="7E12AB02" w14:textId="77777777" w:rsidR="00010BDE" w:rsidRPr="00E16672" w:rsidRDefault="00010BDE" w:rsidP="00C922B4">
            <w:pPr>
              <w:pStyle w:val="af7"/>
              <w:snapToGrid w:val="0"/>
              <w:rPr>
                <w:rFonts w:ascii="Times New Roman" w:hAnsi="Times New Roman"/>
                <w:color w:val="000000"/>
                <w:szCs w:val="20"/>
              </w:rPr>
            </w:pPr>
          </w:p>
        </w:tc>
        <w:tc>
          <w:tcPr>
            <w:tcW w:w="341" w:type="dxa"/>
            <w:shd w:val="clear" w:color="auto" w:fill="auto"/>
          </w:tcPr>
          <w:p w14:paraId="2D37597F" w14:textId="77777777" w:rsidR="00010BDE" w:rsidRPr="00E16672" w:rsidRDefault="00010BDE" w:rsidP="00C922B4">
            <w:pPr>
              <w:pStyle w:val="af7"/>
              <w:snapToGrid w:val="0"/>
              <w:rPr>
                <w:rFonts w:ascii="Times New Roman" w:hAnsi="Times New Roman"/>
                <w:color w:val="000000"/>
                <w:szCs w:val="20"/>
              </w:rPr>
            </w:pPr>
          </w:p>
        </w:tc>
        <w:tc>
          <w:tcPr>
            <w:tcW w:w="4912" w:type="dxa"/>
            <w:gridSpan w:val="3"/>
            <w:shd w:val="clear" w:color="auto" w:fill="auto"/>
            <w:vAlign w:val="center"/>
          </w:tcPr>
          <w:p w14:paraId="3F713B06" w14:textId="77777777" w:rsidR="00010BDE" w:rsidRPr="00E16672" w:rsidRDefault="00E16672" w:rsidP="00C922B4">
            <w:pPr>
              <w:pStyle w:val="3"/>
              <w:tabs>
                <w:tab w:val="clear" w:pos="-501"/>
                <w:tab w:val="num" w:pos="0"/>
              </w:tabs>
              <w:snapToGrid w:val="0"/>
              <w:spacing w:before="0" w:after="0"/>
              <w:ind w:left="57" w:right="57" w:firstLine="0"/>
              <w:jc w:val="left"/>
              <w:rPr>
                <w:rFonts w:ascii="Times New Roman" w:hAnsi="Times New Roman" w:cs="Times New Roman"/>
                <w:b w:val="0"/>
                <w:bCs w:val="0"/>
                <w:color w:val="000000"/>
                <w:sz w:val="20"/>
                <w:szCs w:val="20"/>
              </w:rPr>
            </w:pPr>
            <w:r w:rsidRPr="00E16672">
              <w:rPr>
                <w:rFonts w:ascii="Times New Roman" w:hAnsi="Times New Roman" w:cs="Times New Roman"/>
                <w:b w:val="0"/>
                <w:bCs w:val="0"/>
                <w:color w:val="000000"/>
                <w:sz w:val="18"/>
                <w:szCs w:val="18"/>
              </w:rPr>
              <w:t>33153077</w:t>
            </w:r>
          </w:p>
        </w:tc>
      </w:tr>
      <w:tr w:rsidR="00010BDE" w:rsidRPr="00E16672" w14:paraId="61202721" w14:textId="77777777" w:rsidTr="00C922B4">
        <w:trPr>
          <w:gridAfter w:val="2"/>
          <w:wAfter w:w="920" w:type="dxa"/>
        </w:trPr>
        <w:tc>
          <w:tcPr>
            <w:tcW w:w="4827" w:type="dxa"/>
            <w:gridSpan w:val="3"/>
            <w:shd w:val="clear" w:color="auto" w:fill="auto"/>
          </w:tcPr>
          <w:p w14:paraId="64AF9F42" w14:textId="77777777" w:rsidR="00010BDE" w:rsidRPr="00E16672" w:rsidRDefault="00010BDE" w:rsidP="00C922B4">
            <w:pPr>
              <w:pStyle w:val="4"/>
              <w:keepNext w:val="0"/>
              <w:tabs>
                <w:tab w:val="clear" w:pos="-501"/>
                <w:tab w:val="num" w:pos="0"/>
              </w:tabs>
              <w:snapToGrid w:val="0"/>
              <w:ind w:left="-57" w:right="-57" w:firstLine="0"/>
              <w:jc w:val="both"/>
              <w:rPr>
                <w:rFonts w:ascii="Times New Roman" w:hAnsi="Times New Roman"/>
                <w:i/>
                <w:iCs/>
                <w:color w:val="000000"/>
                <w:sz w:val="20"/>
              </w:rPr>
            </w:pPr>
          </w:p>
          <w:p w14:paraId="407D8982" w14:textId="77777777" w:rsidR="00010BDE" w:rsidRPr="00E16672" w:rsidRDefault="00010BDE" w:rsidP="00C922B4">
            <w:pPr>
              <w:pStyle w:val="4"/>
              <w:keepNext w:val="0"/>
              <w:tabs>
                <w:tab w:val="clear" w:pos="-501"/>
                <w:tab w:val="num" w:pos="0"/>
              </w:tabs>
              <w:snapToGrid w:val="0"/>
              <w:ind w:left="-57" w:right="-57" w:firstLine="0"/>
              <w:jc w:val="both"/>
              <w:rPr>
                <w:rFonts w:ascii="Times New Roman" w:hAnsi="Times New Roman"/>
                <w:i/>
                <w:iCs/>
                <w:color w:val="000000"/>
                <w:sz w:val="20"/>
              </w:rPr>
            </w:pPr>
            <w:r w:rsidRPr="00E16672">
              <w:rPr>
                <w:rFonts w:ascii="Times New Roman" w:hAnsi="Times New Roman"/>
                <w:i/>
                <w:iCs/>
                <w:color w:val="000000"/>
                <w:sz w:val="20"/>
              </w:rPr>
              <w:t xml:space="preserve">Місцезнаходження </w:t>
            </w:r>
          </w:p>
        </w:tc>
        <w:tc>
          <w:tcPr>
            <w:tcW w:w="341" w:type="dxa"/>
            <w:shd w:val="clear" w:color="auto" w:fill="auto"/>
          </w:tcPr>
          <w:p w14:paraId="2B111499" w14:textId="77777777" w:rsidR="00010BDE" w:rsidRPr="00E16672" w:rsidRDefault="00010BDE" w:rsidP="00C922B4">
            <w:pPr>
              <w:pStyle w:val="af7"/>
              <w:snapToGrid w:val="0"/>
              <w:rPr>
                <w:rFonts w:ascii="Times New Roman" w:hAnsi="Times New Roman"/>
                <w:color w:val="000000"/>
                <w:szCs w:val="20"/>
              </w:rPr>
            </w:pPr>
          </w:p>
        </w:tc>
        <w:tc>
          <w:tcPr>
            <w:tcW w:w="4912" w:type="dxa"/>
            <w:gridSpan w:val="3"/>
            <w:shd w:val="clear" w:color="auto" w:fill="auto"/>
            <w:vAlign w:val="center"/>
          </w:tcPr>
          <w:p w14:paraId="494FF94A" w14:textId="77777777" w:rsidR="00010BDE" w:rsidRPr="00E16672" w:rsidRDefault="00010BDE" w:rsidP="00C922B4">
            <w:pPr>
              <w:pStyle w:val="4"/>
              <w:keepNext w:val="0"/>
              <w:tabs>
                <w:tab w:val="clear" w:pos="-501"/>
                <w:tab w:val="num" w:pos="0"/>
              </w:tabs>
              <w:snapToGrid w:val="0"/>
              <w:ind w:left="57" w:right="57" w:firstLine="0"/>
              <w:jc w:val="left"/>
              <w:rPr>
                <w:rFonts w:ascii="Times New Roman" w:hAnsi="Times New Roman"/>
                <w:i/>
                <w:iCs/>
                <w:color w:val="000000"/>
                <w:sz w:val="20"/>
              </w:rPr>
            </w:pPr>
          </w:p>
          <w:p w14:paraId="1C1B5F35" w14:textId="77777777" w:rsidR="00010BDE" w:rsidRPr="00E16672" w:rsidRDefault="00010BDE" w:rsidP="00C922B4">
            <w:pPr>
              <w:pStyle w:val="4"/>
              <w:keepNext w:val="0"/>
              <w:tabs>
                <w:tab w:val="clear" w:pos="-501"/>
                <w:tab w:val="num" w:pos="0"/>
              </w:tabs>
              <w:snapToGrid w:val="0"/>
              <w:ind w:left="57" w:right="57" w:firstLine="0"/>
              <w:jc w:val="left"/>
              <w:rPr>
                <w:rFonts w:ascii="Times New Roman" w:hAnsi="Times New Roman"/>
                <w:i/>
                <w:iCs/>
                <w:color w:val="000000"/>
                <w:sz w:val="20"/>
              </w:rPr>
            </w:pPr>
            <w:r w:rsidRPr="00E16672">
              <w:rPr>
                <w:rFonts w:ascii="Times New Roman" w:hAnsi="Times New Roman"/>
                <w:i/>
                <w:iCs/>
                <w:color w:val="000000"/>
                <w:sz w:val="18"/>
                <w:szCs w:val="18"/>
              </w:rPr>
              <w:t>Місцезнаходження</w:t>
            </w:r>
          </w:p>
        </w:tc>
      </w:tr>
      <w:tr w:rsidR="00010BDE" w:rsidRPr="00E16672" w14:paraId="036A406B" w14:textId="77777777" w:rsidTr="00C922B4">
        <w:trPr>
          <w:gridAfter w:val="2"/>
          <w:wAfter w:w="920" w:type="dxa"/>
        </w:trPr>
        <w:tc>
          <w:tcPr>
            <w:tcW w:w="4827" w:type="dxa"/>
            <w:gridSpan w:val="3"/>
            <w:shd w:val="clear" w:color="auto" w:fill="auto"/>
          </w:tcPr>
          <w:p w14:paraId="298A03A4" w14:textId="77777777" w:rsidR="00010BDE" w:rsidRPr="00E16672" w:rsidRDefault="00010BDE" w:rsidP="00C922B4">
            <w:pPr>
              <w:pStyle w:val="af7"/>
              <w:snapToGrid w:val="0"/>
              <w:rPr>
                <w:rFonts w:ascii="Times New Roman" w:hAnsi="Times New Roman"/>
                <w:color w:val="000000"/>
                <w:szCs w:val="20"/>
              </w:rPr>
            </w:pPr>
          </w:p>
        </w:tc>
        <w:tc>
          <w:tcPr>
            <w:tcW w:w="341" w:type="dxa"/>
            <w:shd w:val="clear" w:color="auto" w:fill="auto"/>
          </w:tcPr>
          <w:p w14:paraId="2EBA7E93" w14:textId="77777777" w:rsidR="00010BDE" w:rsidRPr="00E16672" w:rsidRDefault="00010BDE" w:rsidP="00C922B4">
            <w:pPr>
              <w:pStyle w:val="af7"/>
              <w:snapToGrid w:val="0"/>
              <w:rPr>
                <w:rFonts w:ascii="Times New Roman" w:hAnsi="Times New Roman"/>
                <w:color w:val="000000"/>
                <w:szCs w:val="20"/>
              </w:rPr>
            </w:pPr>
          </w:p>
        </w:tc>
        <w:tc>
          <w:tcPr>
            <w:tcW w:w="4912" w:type="dxa"/>
            <w:gridSpan w:val="3"/>
            <w:shd w:val="clear" w:color="auto" w:fill="auto"/>
            <w:vAlign w:val="center"/>
          </w:tcPr>
          <w:p w14:paraId="439698A1" w14:textId="77777777" w:rsidR="00010BDE" w:rsidRPr="00E16672" w:rsidRDefault="00622BEB" w:rsidP="00C922B4">
            <w:pPr>
              <w:pStyle w:val="western"/>
              <w:snapToGrid w:val="0"/>
              <w:spacing w:before="0" w:after="0"/>
              <w:ind w:firstLine="0"/>
              <w:jc w:val="left"/>
              <w:rPr>
                <w:rFonts w:ascii="Times New Roman" w:hAnsi="Times New Roman"/>
                <w:b w:val="0"/>
                <w:bCs w:val="0"/>
                <w:color w:val="000000"/>
                <w:szCs w:val="20"/>
                <w:lang w:val="uk-UA"/>
              </w:rPr>
            </w:pPr>
            <w:proofErr w:type="spellStart"/>
            <w:r>
              <w:rPr>
                <w:rFonts w:ascii="Times New Roman" w:hAnsi="Times New Roman"/>
                <w:b w:val="0"/>
                <w:bCs w:val="0"/>
                <w:sz w:val="18"/>
                <w:szCs w:val="18"/>
              </w:rPr>
              <w:t>Україна</w:t>
            </w:r>
            <w:proofErr w:type="spellEnd"/>
            <w:r>
              <w:rPr>
                <w:rFonts w:ascii="Times New Roman" w:hAnsi="Times New Roman"/>
                <w:b w:val="0"/>
                <w:bCs w:val="0"/>
                <w:sz w:val="18"/>
                <w:szCs w:val="18"/>
              </w:rPr>
              <w:t xml:space="preserve">, </w:t>
            </w:r>
            <w:proofErr w:type="spellStart"/>
            <w:r>
              <w:rPr>
                <w:rFonts w:ascii="Times New Roman" w:hAnsi="Times New Roman"/>
                <w:b w:val="0"/>
                <w:bCs w:val="0"/>
                <w:sz w:val="18"/>
                <w:szCs w:val="18"/>
              </w:rPr>
              <w:t>м.Київ</w:t>
            </w:r>
            <w:proofErr w:type="spellEnd"/>
            <w:r>
              <w:rPr>
                <w:rFonts w:ascii="Times New Roman" w:hAnsi="Times New Roman"/>
                <w:b w:val="0"/>
                <w:bCs w:val="0"/>
                <w:sz w:val="18"/>
                <w:szCs w:val="18"/>
              </w:rPr>
              <w:t xml:space="preserve">, Велика </w:t>
            </w:r>
            <w:proofErr w:type="spellStart"/>
            <w:r>
              <w:rPr>
                <w:rFonts w:ascii="Times New Roman" w:hAnsi="Times New Roman"/>
                <w:b w:val="0"/>
                <w:bCs w:val="0"/>
                <w:sz w:val="18"/>
                <w:szCs w:val="18"/>
              </w:rPr>
              <w:t>Васильківська</w:t>
            </w:r>
            <w:proofErr w:type="spellEnd"/>
            <w:r>
              <w:rPr>
                <w:rFonts w:ascii="Times New Roman" w:hAnsi="Times New Roman"/>
                <w:b w:val="0"/>
                <w:bCs w:val="0"/>
                <w:sz w:val="18"/>
                <w:szCs w:val="18"/>
              </w:rPr>
              <w:t xml:space="preserve"> (</w:t>
            </w:r>
            <w:proofErr w:type="spellStart"/>
            <w:r>
              <w:rPr>
                <w:rFonts w:ascii="Times New Roman" w:hAnsi="Times New Roman"/>
                <w:b w:val="0"/>
                <w:bCs w:val="0"/>
                <w:sz w:val="18"/>
                <w:szCs w:val="18"/>
              </w:rPr>
              <w:t>колишня</w:t>
            </w:r>
            <w:proofErr w:type="spellEnd"/>
            <w:r>
              <w:rPr>
                <w:rFonts w:ascii="Times New Roman" w:hAnsi="Times New Roman"/>
                <w:b w:val="0"/>
                <w:bCs w:val="0"/>
                <w:sz w:val="18"/>
                <w:szCs w:val="18"/>
              </w:rPr>
              <w:t xml:space="preserve"> </w:t>
            </w:r>
            <w:proofErr w:type="spellStart"/>
            <w:r>
              <w:rPr>
                <w:rFonts w:ascii="Times New Roman" w:hAnsi="Times New Roman"/>
                <w:b w:val="0"/>
                <w:bCs w:val="0"/>
                <w:sz w:val="18"/>
                <w:szCs w:val="18"/>
              </w:rPr>
              <w:t>Червоноармійська</w:t>
            </w:r>
            <w:proofErr w:type="spellEnd"/>
            <w:r>
              <w:rPr>
                <w:rFonts w:ascii="Times New Roman" w:hAnsi="Times New Roman"/>
                <w:b w:val="0"/>
                <w:bCs w:val="0"/>
                <w:sz w:val="18"/>
                <w:szCs w:val="18"/>
              </w:rPr>
              <w:t xml:space="preserve">) </w:t>
            </w:r>
            <w:proofErr w:type="spellStart"/>
            <w:r>
              <w:rPr>
                <w:rFonts w:ascii="Times New Roman" w:hAnsi="Times New Roman"/>
                <w:b w:val="0"/>
                <w:bCs w:val="0"/>
                <w:sz w:val="18"/>
                <w:szCs w:val="18"/>
              </w:rPr>
              <w:t>вул</w:t>
            </w:r>
            <w:proofErr w:type="spellEnd"/>
            <w:r>
              <w:rPr>
                <w:rFonts w:ascii="Times New Roman" w:hAnsi="Times New Roman"/>
                <w:b w:val="0"/>
                <w:bCs w:val="0"/>
                <w:sz w:val="18"/>
                <w:szCs w:val="18"/>
              </w:rPr>
              <w:t>., буд. 65</w:t>
            </w:r>
          </w:p>
        </w:tc>
      </w:tr>
      <w:tr w:rsidR="00010BDE" w:rsidRPr="00E16672" w14:paraId="42F74F7D" w14:textId="77777777" w:rsidTr="00C922B4">
        <w:trPr>
          <w:gridAfter w:val="2"/>
          <w:wAfter w:w="920" w:type="dxa"/>
        </w:trPr>
        <w:tc>
          <w:tcPr>
            <w:tcW w:w="4827" w:type="dxa"/>
            <w:gridSpan w:val="3"/>
            <w:shd w:val="clear" w:color="auto" w:fill="auto"/>
          </w:tcPr>
          <w:p w14:paraId="1E35F9E0" w14:textId="77777777" w:rsidR="00010BDE" w:rsidRPr="00E16672" w:rsidRDefault="00010BDE" w:rsidP="00C922B4">
            <w:pPr>
              <w:pStyle w:val="4"/>
              <w:keepNext w:val="0"/>
              <w:numPr>
                <w:ilvl w:val="0"/>
                <w:numId w:val="0"/>
              </w:numPr>
              <w:snapToGrid w:val="0"/>
              <w:ind w:left="36" w:right="4" w:firstLine="32"/>
              <w:jc w:val="left"/>
              <w:rPr>
                <w:rFonts w:ascii="Times New Roman" w:hAnsi="Times New Roman"/>
                <w:i/>
                <w:iCs/>
                <w:color w:val="000000"/>
                <w:sz w:val="20"/>
                <w:shd w:val="clear" w:color="auto" w:fill="FFFFFF"/>
                <w:lang w:val="ru-RU"/>
              </w:rPr>
            </w:pPr>
          </w:p>
          <w:p w14:paraId="17BFD846" w14:textId="77777777" w:rsidR="00010BDE" w:rsidRPr="00E16672" w:rsidRDefault="00010BDE" w:rsidP="00C922B4">
            <w:pPr>
              <w:pStyle w:val="4"/>
              <w:keepNext w:val="0"/>
              <w:numPr>
                <w:ilvl w:val="0"/>
                <w:numId w:val="0"/>
              </w:numPr>
              <w:snapToGrid w:val="0"/>
              <w:ind w:left="36" w:right="4" w:firstLine="32"/>
              <w:jc w:val="left"/>
              <w:rPr>
                <w:rFonts w:ascii="Times New Roman" w:hAnsi="Times New Roman"/>
                <w:i/>
                <w:iCs/>
                <w:color w:val="000000"/>
                <w:sz w:val="20"/>
                <w:shd w:val="clear" w:color="auto" w:fill="FFFF00"/>
                <w:lang w:val="ru-RU"/>
              </w:rPr>
            </w:pPr>
            <w:r w:rsidRPr="00E16672">
              <w:rPr>
                <w:rFonts w:ascii="Times New Roman" w:hAnsi="Times New Roman"/>
                <w:i/>
                <w:iCs/>
                <w:color w:val="000000"/>
                <w:sz w:val="20"/>
                <w:shd w:val="clear" w:color="auto" w:fill="FFFFFF"/>
                <w:lang w:val="ru-RU"/>
              </w:rPr>
              <w:t xml:space="preserve">Адреса для </w:t>
            </w:r>
            <w:proofErr w:type="spellStart"/>
            <w:r w:rsidRPr="00E16672">
              <w:rPr>
                <w:rFonts w:ascii="Times New Roman" w:hAnsi="Times New Roman"/>
                <w:i/>
                <w:iCs/>
                <w:color w:val="000000"/>
                <w:sz w:val="20"/>
                <w:shd w:val="clear" w:color="auto" w:fill="FFFFFF"/>
                <w:lang w:val="ru-RU"/>
              </w:rPr>
              <w:t>листування</w:t>
            </w:r>
            <w:proofErr w:type="spellEnd"/>
          </w:p>
        </w:tc>
        <w:tc>
          <w:tcPr>
            <w:tcW w:w="341" w:type="dxa"/>
            <w:shd w:val="clear" w:color="auto" w:fill="auto"/>
          </w:tcPr>
          <w:p w14:paraId="35D8BD5D" w14:textId="77777777" w:rsidR="00010BDE" w:rsidRPr="00E16672" w:rsidRDefault="00010BDE" w:rsidP="00C922B4">
            <w:pPr>
              <w:snapToGrid w:val="0"/>
              <w:rPr>
                <w:rFonts w:ascii="Times New Roman" w:hAnsi="Times New Roman"/>
                <w:color w:val="000000"/>
                <w:sz w:val="18"/>
                <w:szCs w:val="18"/>
                <w:shd w:val="clear" w:color="auto" w:fill="FFFF00"/>
                <w:lang w:val="uk-UA"/>
              </w:rPr>
            </w:pPr>
          </w:p>
        </w:tc>
        <w:tc>
          <w:tcPr>
            <w:tcW w:w="4912" w:type="dxa"/>
            <w:gridSpan w:val="3"/>
            <w:shd w:val="clear" w:color="auto" w:fill="auto"/>
            <w:vAlign w:val="center"/>
          </w:tcPr>
          <w:p w14:paraId="56E55AA5" w14:textId="77777777" w:rsidR="00010BDE" w:rsidRPr="00E16672" w:rsidRDefault="00010BDE" w:rsidP="00C922B4">
            <w:pPr>
              <w:pStyle w:val="4"/>
              <w:keepNext w:val="0"/>
              <w:numPr>
                <w:ilvl w:val="0"/>
                <w:numId w:val="0"/>
              </w:numPr>
              <w:snapToGrid w:val="0"/>
              <w:ind w:left="-8" w:right="105" w:hanging="13"/>
              <w:jc w:val="left"/>
              <w:rPr>
                <w:rFonts w:ascii="Times New Roman" w:hAnsi="Times New Roman"/>
                <w:i/>
                <w:iCs/>
                <w:color w:val="000000"/>
                <w:sz w:val="18"/>
                <w:szCs w:val="18"/>
              </w:rPr>
            </w:pPr>
          </w:p>
          <w:p w14:paraId="37D35F2F" w14:textId="77777777" w:rsidR="00010BDE" w:rsidRPr="00E16672" w:rsidRDefault="00010BDE" w:rsidP="00C922B4">
            <w:pPr>
              <w:pStyle w:val="4"/>
              <w:keepNext w:val="0"/>
              <w:numPr>
                <w:ilvl w:val="0"/>
                <w:numId w:val="0"/>
              </w:numPr>
              <w:snapToGrid w:val="0"/>
              <w:ind w:left="36" w:right="4" w:firstLine="32"/>
              <w:jc w:val="left"/>
              <w:rPr>
                <w:rFonts w:ascii="Times New Roman" w:hAnsi="Times New Roman"/>
                <w:i/>
                <w:iCs/>
                <w:color w:val="000000"/>
                <w:sz w:val="20"/>
                <w:shd w:val="clear" w:color="auto" w:fill="FFFF00"/>
                <w:lang w:val="ru-RU"/>
              </w:rPr>
            </w:pPr>
            <w:r w:rsidRPr="00E16672">
              <w:rPr>
                <w:rFonts w:ascii="Times New Roman" w:hAnsi="Times New Roman"/>
                <w:i/>
                <w:iCs/>
                <w:color w:val="000000"/>
                <w:sz w:val="18"/>
                <w:szCs w:val="18"/>
              </w:rPr>
              <w:t>Адреса для листування</w:t>
            </w:r>
          </w:p>
        </w:tc>
      </w:tr>
      <w:tr w:rsidR="00010BDE" w:rsidRPr="00E16672" w14:paraId="488D0872" w14:textId="77777777" w:rsidTr="00C922B4">
        <w:trPr>
          <w:gridAfter w:val="2"/>
          <w:wAfter w:w="920" w:type="dxa"/>
        </w:trPr>
        <w:tc>
          <w:tcPr>
            <w:tcW w:w="4827" w:type="dxa"/>
            <w:gridSpan w:val="3"/>
            <w:shd w:val="clear" w:color="auto" w:fill="auto"/>
          </w:tcPr>
          <w:p w14:paraId="24B137D8" w14:textId="77777777" w:rsidR="00010BDE" w:rsidRPr="00E16672" w:rsidRDefault="00010BDE" w:rsidP="00C922B4">
            <w:pPr>
              <w:pStyle w:val="af7"/>
              <w:snapToGrid w:val="0"/>
              <w:rPr>
                <w:rFonts w:ascii="Times New Roman" w:hAnsi="Times New Roman"/>
                <w:szCs w:val="20"/>
              </w:rPr>
            </w:pPr>
          </w:p>
        </w:tc>
        <w:tc>
          <w:tcPr>
            <w:tcW w:w="341" w:type="dxa"/>
            <w:shd w:val="clear" w:color="auto" w:fill="auto"/>
          </w:tcPr>
          <w:p w14:paraId="3DB80D3F" w14:textId="77777777" w:rsidR="00010BDE" w:rsidRPr="00E16672" w:rsidRDefault="00010BDE" w:rsidP="00C922B4">
            <w:pPr>
              <w:pStyle w:val="af7"/>
              <w:snapToGrid w:val="0"/>
              <w:rPr>
                <w:rFonts w:ascii="Times New Roman" w:hAnsi="Times New Roman"/>
                <w:szCs w:val="20"/>
              </w:rPr>
            </w:pPr>
          </w:p>
        </w:tc>
        <w:tc>
          <w:tcPr>
            <w:tcW w:w="4912" w:type="dxa"/>
            <w:gridSpan w:val="3"/>
            <w:shd w:val="clear" w:color="auto" w:fill="auto"/>
            <w:vAlign w:val="center"/>
          </w:tcPr>
          <w:p w14:paraId="58E0F111" w14:textId="77777777" w:rsidR="00010BDE" w:rsidRPr="00E16672" w:rsidRDefault="00622BEB" w:rsidP="00C922B4">
            <w:pPr>
              <w:pStyle w:val="4"/>
              <w:widowControl w:val="0"/>
              <w:tabs>
                <w:tab w:val="clear" w:pos="-501"/>
                <w:tab w:val="num" w:pos="0"/>
              </w:tabs>
              <w:snapToGrid w:val="0"/>
              <w:ind w:left="0" w:firstLine="0"/>
              <w:jc w:val="left"/>
              <w:rPr>
                <w:rFonts w:ascii="Times New Roman" w:hAnsi="Times New Roman"/>
                <w:b w:val="0"/>
                <w:sz w:val="20"/>
              </w:rPr>
            </w:pPr>
            <w:r>
              <w:rPr>
                <w:rFonts w:ascii="Times New Roman" w:hAnsi="Times New Roman"/>
                <w:b w:val="0"/>
                <w:bCs/>
                <w:sz w:val="18"/>
                <w:szCs w:val="18"/>
              </w:rPr>
              <w:t xml:space="preserve">Україна, </w:t>
            </w:r>
            <w:proofErr w:type="spellStart"/>
            <w:r>
              <w:rPr>
                <w:rFonts w:ascii="Times New Roman" w:hAnsi="Times New Roman"/>
                <w:b w:val="0"/>
                <w:bCs/>
                <w:sz w:val="18"/>
                <w:szCs w:val="18"/>
              </w:rPr>
              <w:t>м.Київ</w:t>
            </w:r>
            <w:proofErr w:type="spellEnd"/>
            <w:r>
              <w:rPr>
                <w:rFonts w:ascii="Times New Roman" w:hAnsi="Times New Roman"/>
                <w:b w:val="0"/>
                <w:bCs/>
                <w:sz w:val="18"/>
                <w:szCs w:val="18"/>
              </w:rPr>
              <w:t>, Велика Васильківська (колишня Червоноармійська) вул., буд. 65</w:t>
            </w:r>
          </w:p>
        </w:tc>
      </w:tr>
      <w:tr w:rsidR="00010BDE" w:rsidRPr="00E16672" w14:paraId="15D98398" w14:textId="77777777" w:rsidTr="00C922B4">
        <w:trPr>
          <w:gridAfter w:val="2"/>
          <w:wAfter w:w="920" w:type="dxa"/>
        </w:trPr>
        <w:tc>
          <w:tcPr>
            <w:tcW w:w="4827" w:type="dxa"/>
            <w:gridSpan w:val="3"/>
            <w:shd w:val="clear" w:color="auto" w:fill="auto"/>
          </w:tcPr>
          <w:p w14:paraId="6589CD23" w14:textId="77777777" w:rsidR="00010BDE" w:rsidRPr="00E16672" w:rsidRDefault="00010BDE" w:rsidP="00C922B4">
            <w:pPr>
              <w:pStyle w:val="4"/>
              <w:keepNext w:val="0"/>
              <w:tabs>
                <w:tab w:val="clear" w:pos="-501"/>
                <w:tab w:val="num" w:pos="0"/>
              </w:tabs>
              <w:snapToGrid w:val="0"/>
              <w:ind w:left="-57" w:right="-57" w:firstLine="0"/>
              <w:jc w:val="both"/>
              <w:rPr>
                <w:rFonts w:ascii="Times New Roman" w:hAnsi="Times New Roman"/>
                <w:i/>
                <w:iCs/>
                <w:sz w:val="20"/>
              </w:rPr>
            </w:pPr>
          </w:p>
          <w:p w14:paraId="728F9BBE" w14:textId="77777777" w:rsidR="00010BDE" w:rsidRPr="00E16672" w:rsidRDefault="00010BDE" w:rsidP="00C922B4">
            <w:pPr>
              <w:pStyle w:val="4"/>
              <w:keepNext w:val="0"/>
              <w:tabs>
                <w:tab w:val="clear" w:pos="-501"/>
                <w:tab w:val="num" w:pos="0"/>
              </w:tabs>
              <w:snapToGrid w:val="0"/>
              <w:ind w:left="-57" w:right="-57" w:firstLine="0"/>
              <w:jc w:val="both"/>
              <w:rPr>
                <w:rFonts w:ascii="Times New Roman" w:hAnsi="Times New Roman"/>
                <w:i/>
                <w:iCs/>
                <w:sz w:val="20"/>
              </w:rPr>
            </w:pPr>
            <w:r w:rsidRPr="00E16672">
              <w:rPr>
                <w:rFonts w:ascii="Times New Roman" w:hAnsi="Times New Roman"/>
                <w:i/>
                <w:iCs/>
                <w:sz w:val="20"/>
              </w:rPr>
              <w:t>Банківські реквізити</w:t>
            </w:r>
          </w:p>
        </w:tc>
        <w:tc>
          <w:tcPr>
            <w:tcW w:w="341" w:type="dxa"/>
            <w:shd w:val="clear" w:color="auto" w:fill="auto"/>
          </w:tcPr>
          <w:p w14:paraId="0A56B4AC" w14:textId="77777777" w:rsidR="00010BDE" w:rsidRPr="00E16672" w:rsidRDefault="00010BDE" w:rsidP="00C922B4">
            <w:pPr>
              <w:pStyle w:val="af7"/>
              <w:snapToGrid w:val="0"/>
              <w:rPr>
                <w:rFonts w:ascii="Times New Roman" w:hAnsi="Times New Roman"/>
                <w:szCs w:val="20"/>
              </w:rPr>
            </w:pPr>
          </w:p>
        </w:tc>
        <w:tc>
          <w:tcPr>
            <w:tcW w:w="4912" w:type="dxa"/>
            <w:gridSpan w:val="3"/>
            <w:shd w:val="clear" w:color="auto" w:fill="auto"/>
            <w:vAlign w:val="center"/>
          </w:tcPr>
          <w:p w14:paraId="3B5DECA6" w14:textId="77777777" w:rsidR="00010BDE" w:rsidRPr="00E16672" w:rsidRDefault="00010BDE" w:rsidP="00C922B4">
            <w:pPr>
              <w:pStyle w:val="6"/>
              <w:numPr>
                <w:ilvl w:val="0"/>
                <w:numId w:val="0"/>
              </w:numPr>
              <w:snapToGrid w:val="0"/>
              <w:ind w:left="15" w:right="1"/>
              <w:jc w:val="left"/>
              <w:rPr>
                <w:rFonts w:ascii="Times New Roman" w:hAnsi="Times New Roman"/>
                <w:b/>
                <w:i/>
                <w:color w:val="000000"/>
                <w:sz w:val="18"/>
                <w:szCs w:val="18"/>
                <w:lang w:val="uk-UA"/>
              </w:rPr>
            </w:pPr>
          </w:p>
          <w:p w14:paraId="1D4C5EB2" w14:textId="77777777" w:rsidR="00010BDE" w:rsidRPr="00E16672" w:rsidRDefault="00010BDE" w:rsidP="00C922B4">
            <w:pPr>
              <w:pStyle w:val="western"/>
              <w:snapToGrid w:val="0"/>
              <w:spacing w:before="0" w:after="0"/>
              <w:ind w:right="57" w:firstLine="0"/>
              <w:jc w:val="left"/>
              <w:rPr>
                <w:rFonts w:ascii="Times New Roman" w:hAnsi="Times New Roman"/>
                <w:i/>
                <w:iCs/>
                <w:szCs w:val="20"/>
              </w:rPr>
            </w:pPr>
            <w:r w:rsidRPr="00E16672">
              <w:rPr>
                <w:rFonts w:ascii="Times New Roman" w:hAnsi="Times New Roman"/>
                <w:i/>
                <w:color w:val="000000"/>
                <w:sz w:val="18"/>
                <w:szCs w:val="18"/>
                <w:lang w:val="uk-UA"/>
              </w:rPr>
              <w:t>Банківські реквізити</w:t>
            </w:r>
          </w:p>
        </w:tc>
      </w:tr>
      <w:tr w:rsidR="00010BDE" w:rsidRPr="00E16672" w14:paraId="1300DC83" w14:textId="77777777" w:rsidTr="00C922B4">
        <w:trPr>
          <w:gridAfter w:val="2"/>
          <w:wAfter w:w="920" w:type="dxa"/>
        </w:trPr>
        <w:tc>
          <w:tcPr>
            <w:tcW w:w="4827" w:type="dxa"/>
            <w:gridSpan w:val="3"/>
            <w:shd w:val="clear" w:color="auto" w:fill="auto"/>
          </w:tcPr>
          <w:p w14:paraId="549A2925" w14:textId="77777777" w:rsidR="00010BDE" w:rsidRPr="00E16672" w:rsidRDefault="00010BDE" w:rsidP="00C922B4">
            <w:pPr>
              <w:pStyle w:val="af7"/>
              <w:snapToGrid w:val="0"/>
              <w:rPr>
                <w:rFonts w:ascii="Times New Roman" w:hAnsi="Times New Roman"/>
                <w:szCs w:val="20"/>
              </w:rPr>
            </w:pPr>
          </w:p>
        </w:tc>
        <w:tc>
          <w:tcPr>
            <w:tcW w:w="341" w:type="dxa"/>
            <w:shd w:val="clear" w:color="auto" w:fill="auto"/>
          </w:tcPr>
          <w:p w14:paraId="392962DC" w14:textId="77777777" w:rsidR="00010BDE" w:rsidRPr="00E16672" w:rsidRDefault="00010BDE" w:rsidP="00C922B4">
            <w:pPr>
              <w:pStyle w:val="af7"/>
              <w:snapToGrid w:val="0"/>
              <w:rPr>
                <w:rFonts w:ascii="Times New Roman" w:hAnsi="Times New Roman"/>
                <w:szCs w:val="20"/>
              </w:rPr>
            </w:pPr>
          </w:p>
        </w:tc>
        <w:tc>
          <w:tcPr>
            <w:tcW w:w="4912" w:type="dxa"/>
            <w:gridSpan w:val="3"/>
            <w:shd w:val="clear" w:color="auto" w:fill="auto"/>
            <w:vAlign w:val="center"/>
          </w:tcPr>
          <w:p w14:paraId="03C2536A" w14:textId="77777777" w:rsidR="00930A41" w:rsidRPr="00E16672" w:rsidRDefault="00622BEB" w:rsidP="00C922B4">
            <w:pPr>
              <w:pStyle w:val="3"/>
              <w:numPr>
                <w:ilvl w:val="0"/>
                <w:numId w:val="0"/>
              </w:numPr>
              <w:snapToGrid w:val="0"/>
              <w:spacing w:before="0" w:after="0"/>
              <w:ind w:left="15" w:right="219"/>
              <w:jc w:val="left"/>
              <w:rPr>
                <w:rFonts w:ascii="Times New Roman" w:hAnsi="Times New Roman" w:cs="Times New Roman"/>
                <w:b w:val="0"/>
                <w:sz w:val="18"/>
                <w:szCs w:val="18"/>
              </w:rPr>
            </w:pPr>
            <w:r>
              <w:rPr>
                <w:rFonts w:ascii="Times New Roman" w:hAnsi="Times New Roman" w:cs="Times New Roman"/>
                <w:b w:val="0"/>
                <w:sz w:val="18"/>
                <w:szCs w:val="18"/>
              </w:rPr>
              <w:t>UA743281680000000026503815351</w:t>
            </w:r>
            <w:r w:rsidR="00E471B0" w:rsidRPr="00E16672">
              <w:rPr>
                <w:rFonts w:ascii="Times New Roman" w:hAnsi="Times New Roman" w:cs="Times New Roman"/>
                <w:b w:val="0"/>
                <w:sz w:val="18"/>
                <w:szCs w:val="18"/>
              </w:rPr>
              <w:t xml:space="preserve"> </w:t>
            </w:r>
          </w:p>
          <w:p w14:paraId="5106B38B" w14:textId="77777777" w:rsidR="00010BDE" w:rsidRPr="00E16672" w:rsidRDefault="00622BEB" w:rsidP="00022F5F">
            <w:pPr>
              <w:pStyle w:val="3"/>
              <w:numPr>
                <w:ilvl w:val="0"/>
                <w:numId w:val="0"/>
              </w:numPr>
              <w:snapToGrid w:val="0"/>
              <w:spacing w:before="0" w:after="0"/>
              <w:ind w:left="15" w:right="219"/>
              <w:jc w:val="left"/>
              <w:rPr>
                <w:rFonts w:ascii="Times New Roman" w:hAnsi="Times New Roman" w:cs="Times New Roman"/>
                <w:b w:val="0"/>
                <w:sz w:val="18"/>
                <w:szCs w:val="18"/>
              </w:rPr>
            </w:pPr>
            <w:r>
              <w:rPr>
                <w:rFonts w:ascii="Times New Roman" w:hAnsi="Times New Roman" w:cs="Times New Roman"/>
                <w:b w:val="0"/>
                <w:bCs w:val="0"/>
                <w:color w:val="000000"/>
                <w:sz w:val="18"/>
                <w:szCs w:val="18"/>
              </w:rPr>
              <w:t xml:space="preserve">ПАТ </w:t>
            </w:r>
            <w:r w:rsidR="00022F5F">
              <w:rPr>
                <w:rFonts w:ascii="Times New Roman" w:hAnsi="Times New Roman" w:cs="Times New Roman"/>
                <w:b w:val="0"/>
                <w:bCs w:val="0"/>
                <w:color w:val="000000"/>
                <w:sz w:val="18"/>
                <w:szCs w:val="18"/>
              </w:rPr>
              <w:t>"</w:t>
            </w:r>
            <w:r>
              <w:rPr>
                <w:rFonts w:ascii="Times New Roman" w:hAnsi="Times New Roman" w:cs="Times New Roman"/>
                <w:b w:val="0"/>
                <w:bCs w:val="0"/>
                <w:color w:val="000000"/>
                <w:sz w:val="18"/>
                <w:szCs w:val="18"/>
              </w:rPr>
              <w:t>МТБ Банк</w:t>
            </w:r>
            <w:r w:rsidR="00022F5F">
              <w:rPr>
                <w:rFonts w:ascii="Times New Roman" w:hAnsi="Times New Roman" w:cs="Times New Roman"/>
                <w:b w:val="0"/>
                <w:bCs w:val="0"/>
                <w:color w:val="000000"/>
                <w:sz w:val="18"/>
                <w:szCs w:val="18"/>
              </w:rPr>
              <w:t>"</w:t>
            </w:r>
            <w:r>
              <w:rPr>
                <w:rFonts w:ascii="Times New Roman" w:hAnsi="Times New Roman" w:cs="Times New Roman"/>
                <w:b w:val="0"/>
                <w:bCs w:val="0"/>
                <w:color w:val="000000"/>
                <w:sz w:val="18"/>
                <w:szCs w:val="18"/>
              </w:rPr>
              <w:t>, МФО 328168</w:t>
            </w:r>
            <w:r w:rsidR="00010BDE" w:rsidRPr="00E16672">
              <w:rPr>
                <w:rFonts w:ascii="Times New Roman" w:hAnsi="Times New Roman" w:cs="Times New Roman"/>
                <w:b w:val="0"/>
                <w:sz w:val="18"/>
                <w:szCs w:val="18"/>
              </w:rPr>
              <w:t xml:space="preserve">, ЄДРПОУ </w:t>
            </w:r>
            <w:r w:rsidR="00565242">
              <w:rPr>
                <w:rFonts w:ascii="Times New Roman" w:hAnsi="Times New Roman" w:cs="Times New Roman"/>
                <w:b w:val="0"/>
                <w:sz w:val="18"/>
                <w:szCs w:val="18"/>
              </w:rPr>
              <w:t>21650966</w:t>
            </w:r>
          </w:p>
          <w:p w14:paraId="0922B184" w14:textId="77777777" w:rsidR="00010BDE" w:rsidRPr="00E16672" w:rsidRDefault="00CE0D17" w:rsidP="00C922B4">
            <w:pPr>
              <w:pStyle w:val="6"/>
              <w:widowControl w:val="0"/>
              <w:tabs>
                <w:tab w:val="clear" w:pos="-501"/>
                <w:tab w:val="num" w:pos="0"/>
              </w:tabs>
              <w:snapToGrid w:val="0"/>
              <w:ind w:left="0" w:firstLine="0"/>
              <w:jc w:val="left"/>
              <w:rPr>
                <w:rFonts w:ascii="Times New Roman" w:hAnsi="Times New Roman"/>
                <w:sz w:val="20"/>
              </w:rPr>
            </w:pPr>
            <w:r w:rsidRPr="00CE0D17">
              <w:rPr>
                <w:rFonts w:ascii="Times New Roman" w:hAnsi="Times New Roman"/>
                <w:bCs/>
                <w:sz w:val="18"/>
                <w:szCs w:val="18"/>
              </w:rPr>
              <w:t xml:space="preserve">68003, </w:t>
            </w:r>
            <w:proofErr w:type="spellStart"/>
            <w:r w:rsidRPr="00CE0D17">
              <w:rPr>
                <w:rFonts w:ascii="Times New Roman" w:hAnsi="Times New Roman"/>
                <w:bCs/>
                <w:sz w:val="18"/>
                <w:szCs w:val="18"/>
              </w:rPr>
              <w:t>м.Чорноморськ</w:t>
            </w:r>
            <w:proofErr w:type="spellEnd"/>
            <w:r w:rsidRPr="00CE0D17">
              <w:rPr>
                <w:rFonts w:ascii="Times New Roman" w:hAnsi="Times New Roman"/>
                <w:bCs/>
                <w:sz w:val="18"/>
                <w:szCs w:val="18"/>
              </w:rPr>
              <w:t>, Миру просп., буд. 28</w:t>
            </w:r>
          </w:p>
        </w:tc>
      </w:tr>
      <w:tr w:rsidR="00010BDE" w:rsidRPr="00E16672" w14:paraId="4C9F2488" w14:textId="77777777" w:rsidTr="00C922B4">
        <w:trPr>
          <w:gridAfter w:val="1"/>
          <w:wAfter w:w="849" w:type="dxa"/>
        </w:trPr>
        <w:tc>
          <w:tcPr>
            <w:tcW w:w="3347" w:type="dxa"/>
            <w:gridSpan w:val="2"/>
            <w:shd w:val="clear" w:color="auto" w:fill="auto"/>
            <w:vAlign w:val="center"/>
          </w:tcPr>
          <w:p w14:paraId="231852FA" w14:textId="77777777" w:rsidR="00010BDE" w:rsidRPr="00E16672" w:rsidRDefault="00010BDE" w:rsidP="00C922B4">
            <w:pPr>
              <w:pStyle w:val="western"/>
              <w:snapToGrid w:val="0"/>
              <w:spacing w:before="0" w:after="0"/>
              <w:ind w:left="-57" w:right="-57" w:firstLine="0"/>
              <w:jc w:val="left"/>
              <w:rPr>
                <w:rFonts w:ascii="Times New Roman" w:hAnsi="Times New Roman"/>
                <w:i/>
                <w:iCs/>
                <w:szCs w:val="20"/>
              </w:rPr>
            </w:pPr>
            <w:r w:rsidRPr="00E16672">
              <w:rPr>
                <w:rFonts w:ascii="Times New Roman" w:hAnsi="Times New Roman"/>
                <w:color w:val="000000"/>
                <w:sz w:val="18"/>
                <w:szCs w:val="18"/>
                <w:lang w:val="uk-UA"/>
              </w:rPr>
              <w:t>Документ, що підтверджує повноваження особи, яка підписує договір</w:t>
            </w:r>
          </w:p>
        </w:tc>
        <w:tc>
          <w:tcPr>
            <w:tcW w:w="1480" w:type="dxa"/>
            <w:shd w:val="clear" w:color="auto" w:fill="auto"/>
          </w:tcPr>
          <w:p w14:paraId="7733FBF0" w14:textId="77777777" w:rsidR="00010BDE" w:rsidRPr="00E16672" w:rsidRDefault="00010BDE" w:rsidP="00C922B4">
            <w:pPr>
              <w:pStyle w:val="western"/>
              <w:snapToGrid w:val="0"/>
              <w:spacing w:before="0" w:after="0"/>
              <w:ind w:left="-57" w:right="-57"/>
              <w:jc w:val="both"/>
              <w:rPr>
                <w:rFonts w:ascii="Times New Roman" w:hAnsi="Times New Roman"/>
                <w:i/>
                <w:iCs/>
                <w:szCs w:val="20"/>
              </w:rPr>
            </w:pPr>
          </w:p>
        </w:tc>
        <w:tc>
          <w:tcPr>
            <w:tcW w:w="341" w:type="dxa"/>
            <w:shd w:val="clear" w:color="auto" w:fill="auto"/>
          </w:tcPr>
          <w:p w14:paraId="20550C18" w14:textId="77777777" w:rsidR="00010BDE" w:rsidRPr="00E16672" w:rsidRDefault="00010BDE" w:rsidP="00C922B4">
            <w:pPr>
              <w:pStyle w:val="af7"/>
              <w:snapToGrid w:val="0"/>
              <w:rPr>
                <w:rFonts w:ascii="Times New Roman" w:hAnsi="Times New Roman"/>
                <w:szCs w:val="20"/>
              </w:rPr>
            </w:pPr>
          </w:p>
        </w:tc>
        <w:tc>
          <w:tcPr>
            <w:tcW w:w="3424" w:type="dxa"/>
            <w:gridSpan w:val="2"/>
            <w:shd w:val="clear" w:color="auto" w:fill="auto"/>
            <w:vAlign w:val="center"/>
          </w:tcPr>
          <w:p w14:paraId="79BDA964" w14:textId="77777777" w:rsidR="00010BDE" w:rsidRPr="00E16672" w:rsidRDefault="00010BDE" w:rsidP="00C922B4">
            <w:pPr>
              <w:pStyle w:val="western"/>
              <w:snapToGrid w:val="0"/>
              <w:spacing w:before="0" w:after="0"/>
              <w:ind w:left="57" w:right="57" w:firstLine="0"/>
              <w:jc w:val="left"/>
              <w:rPr>
                <w:rFonts w:ascii="Times New Roman" w:hAnsi="Times New Roman"/>
                <w:bCs w:val="0"/>
                <w:szCs w:val="20"/>
                <w:lang w:val="uk-UA"/>
              </w:rPr>
            </w:pPr>
            <w:r w:rsidRPr="00E16672">
              <w:rPr>
                <w:rFonts w:ascii="Times New Roman" w:hAnsi="Times New Roman"/>
                <w:color w:val="000000"/>
                <w:sz w:val="18"/>
                <w:szCs w:val="18"/>
                <w:lang w:val="uk-UA"/>
              </w:rPr>
              <w:t>Документ, що підтверджує повноваження особи, яка підписує договір</w:t>
            </w:r>
          </w:p>
        </w:tc>
        <w:tc>
          <w:tcPr>
            <w:tcW w:w="1559" w:type="dxa"/>
            <w:gridSpan w:val="2"/>
            <w:vAlign w:val="center"/>
          </w:tcPr>
          <w:p w14:paraId="7C1855C3" w14:textId="77777777" w:rsidR="00010BDE" w:rsidRPr="00E16672" w:rsidRDefault="00010BDE" w:rsidP="00C922B4">
            <w:pPr>
              <w:suppressAutoHyphens w:val="0"/>
              <w:ind w:firstLine="0"/>
              <w:jc w:val="left"/>
              <w:rPr>
                <w:rFonts w:ascii="Times New Roman" w:hAnsi="Times New Roman"/>
                <w:i/>
                <w:iCs/>
                <w:sz w:val="18"/>
                <w:szCs w:val="18"/>
              </w:rPr>
            </w:pPr>
            <w:r w:rsidRPr="00E16672">
              <w:rPr>
                <w:rFonts w:ascii="Times New Roman" w:hAnsi="Times New Roman"/>
                <w:sz w:val="18"/>
                <w:szCs w:val="18"/>
                <w:lang w:val="uk-UA"/>
              </w:rPr>
              <w:t>Статут</w:t>
            </w:r>
          </w:p>
        </w:tc>
      </w:tr>
      <w:tr w:rsidR="00010BDE" w:rsidRPr="00E16672" w14:paraId="4FFBDBD9" w14:textId="77777777" w:rsidTr="00C922B4">
        <w:tc>
          <w:tcPr>
            <w:tcW w:w="2413" w:type="dxa"/>
            <w:shd w:val="clear" w:color="auto" w:fill="auto"/>
            <w:vAlign w:val="center"/>
          </w:tcPr>
          <w:p w14:paraId="104957A4" w14:textId="77777777" w:rsidR="00010BDE" w:rsidRPr="00E16672" w:rsidRDefault="00010BDE" w:rsidP="00C922B4">
            <w:pPr>
              <w:pStyle w:val="western"/>
              <w:snapToGrid w:val="0"/>
              <w:spacing w:before="0" w:after="0"/>
              <w:ind w:left="-57" w:right="-57"/>
              <w:jc w:val="both"/>
              <w:rPr>
                <w:rFonts w:ascii="Times New Roman" w:hAnsi="Times New Roman"/>
                <w:i/>
                <w:iCs/>
                <w:szCs w:val="20"/>
              </w:rPr>
            </w:pPr>
          </w:p>
        </w:tc>
        <w:tc>
          <w:tcPr>
            <w:tcW w:w="2414" w:type="dxa"/>
            <w:gridSpan w:val="2"/>
            <w:shd w:val="clear" w:color="auto" w:fill="auto"/>
          </w:tcPr>
          <w:p w14:paraId="68B3E712" w14:textId="77777777" w:rsidR="00010BDE" w:rsidRPr="00E16672" w:rsidRDefault="00010BDE" w:rsidP="00C922B4">
            <w:pPr>
              <w:pStyle w:val="western"/>
              <w:snapToGrid w:val="0"/>
              <w:spacing w:before="0" w:after="0"/>
              <w:ind w:left="-57" w:right="-57"/>
              <w:jc w:val="both"/>
              <w:rPr>
                <w:rFonts w:ascii="Times New Roman" w:hAnsi="Times New Roman"/>
                <w:i/>
                <w:iCs/>
                <w:szCs w:val="20"/>
              </w:rPr>
            </w:pPr>
          </w:p>
        </w:tc>
        <w:tc>
          <w:tcPr>
            <w:tcW w:w="341" w:type="dxa"/>
            <w:shd w:val="clear" w:color="auto" w:fill="auto"/>
          </w:tcPr>
          <w:p w14:paraId="58B49C17" w14:textId="77777777" w:rsidR="00010BDE" w:rsidRPr="00E16672" w:rsidRDefault="00010BDE" w:rsidP="00C922B4">
            <w:pPr>
              <w:pStyle w:val="af7"/>
              <w:snapToGrid w:val="0"/>
              <w:rPr>
                <w:rFonts w:ascii="Times New Roman" w:hAnsi="Times New Roman"/>
                <w:szCs w:val="20"/>
              </w:rPr>
            </w:pPr>
          </w:p>
        </w:tc>
        <w:tc>
          <w:tcPr>
            <w:tcW w:w="2715" w:type="dxa"/>
            <w:shd w:val="clear" w:color="auto" w:fill="auto"/>
            <w:vAlign w:val="center"/>
          </w:tcPr>
          <w:p w14:paraId="23D5168B" w14:textId="77777777" w:rsidR="00010BDE" w:rsidRPr="00E16672" w:rsidRDefault="00010BDE" w:rsidP="00C922B4">
            <w:pPr>
              <w:pStyle w:val="western"/>
              <w:snapToGrid w:val="0"/>
              <w:spacing w:before="0" w:after="0"/>
              <w:ind w:left="57" w:right="57"/>
              <w:jc w:val="left"/>
              <w:rPr>
                <w:rFonts w:ascii="Times New Roman" w:hAnsi="Times New Roman"/>
                <w:bCs w:val="0"/>
                <w:szCs w:val="20"/>
                <w:lang w:val="uk-UA"/>
              </w:rPr>
            </w:pPr>
          </w:p>
        </w:tc>
        <w:tc>
          <w:tcPr>
            <w:tcW w:w="3117" w:type="dxa"/>
            <w:gridSpan w:val="4"/>
            <w:vAlign w:val="center"/>
          </w:tcPr>
          <w:p w14:paraId="40CE9376" w14:textId="77777777" w:rsidR="00010BDE" w:rsidRPr="00E16672" w:rsidRDefault="00010BDE" w:rsidP="00C922B4">
            <w:pPr>
              <w:suppressAutoHyphens w:val="0"/>
              <w:ind w:firstLine="0"/>
              <w:jc w:val="left"/>
              <w:rPr>
                <w:rFonts w:ascii="Times New Roman" w:hAnsi="Times New Roman"/>
                <w:i/>
                <w:iCs/>
                <w:sz w:val="18"/>
                <w:szCs w:val="18"/>
                <w:lang w:val="en-US"/>
              </w:rPr>
            </w:pPr>
          </w:p>
        </w:tc>
      </w:tr>
      <w:tr w:rsidR="00010BDE" w:rsidRPr="00E16672" w14:paraId="0ABE97FE" w14:textId="77777777" w:rsidTr="00C922B4">
        <w:trPr>
          <w:gridAfter w:val="1"/>
          <w:wAfter w:w="849" w:type="dxa"/>
        </w:trPr>
        <w:tc>
          <w:tcPr>
            <w:tcW w:w="2413" w:type="dxa"/>
            <w:shd w:val="clear" w:color="auto" w:fill="auto"/>
            <w:vAlign w:val="center"/>
          </w:tcPr>
          <w:p w14:paraId="0C2E06B3" w14:textId="77777777" w:rsidR="00010BDE" w:rsidRPr="00E16672" w:rsidRDefault="00010BDE" w:rsidP="00C922B4">
            <w:pPr>
              <w:pStyle w:val="western"/>
              <w:snapToGrid w:val="0"/>
              <w:spacing w:before="0" w:after="0"/>
              <w:ind w:right="-57" w:firstLine="0"/>
              <w:jc w:val="both"/>
              <w:rPr>
                <w:rFonts w:ascii="Times New Roman" w:hAnsi="Times New Roman"/>
                <w:i/>
                <w:iCs/>
                <w:szCs w:val="20"/>
              </w:rPr>
            </w:pPr>
            <w:r w:rsidRPr="00E16672">
              <w:rPr>
                <w:rFonts w:ascii="Times New Roman" w:hAnsi="Times New Roman"/>
                <w:bCs w:val="0"/>
                <w:i/>
                <w:iCs/>
                <w:color w:val="000000"/>
                <w:sz w:val="18"/>
                <w:szCs w:val="18"/>
                <w:lang w:val="en-US"/>
              </w:rPr>
              <w:lastRenderedPageBreak/>
              <w:t>E-mail</w:t>
            </w:r>
          </w:p>
        </w:tc>
        <w:tc>
          <w:tcPr>
            <w:tcW w:w="2414" w:type="dxa"/>
            <w:gridSpan w:val="2"/>
            <w:shd w:val="clear" w:color="auto" w:fill="auto"/>
          </w:tcPr>
          <w:p w14:paraId="5CC3C5F6" w14:textId="77777777" w:rsidR="00010BDE" w:rsidRPr="00E16672" w:rsidRDefault="00010BDE" w:rsidP="00C922B4">
            <w:pPr>
              <w:pStyle w:val="western"/>
              <w:snapToGrid w:val="0"/>
              <w:spacing w:before="0" w:after="0"/>
              <w:ind w:left="-57" w:right="-57"/>
              <w:jc w:val="both"/>
              <w:rPr>
                <w:rFonts w:ascii="Times New Roman" w:hAnsi="Times New Roman"/>
                <w:i/>
                <w:iCs/>
                <w:szCs w:val="20"/>
              </w:rPr>
            </w:pPr>
          </w:p>
        </w:tc>
        <w:tc>
          <w:tcPr>
            <w:tcW w:w="341" w:type="dxa"/>
            <w:shd w:val="clear" w:color="auto" w:fill="auto"/>
          </w:tcPr>
          <w:p w14:paraId="5D8E4C67" w14:textId="77777777" w:rsidR="00010BDE" w:rsidRPr="00E16672" w:rsidRDefault="00010BDE" w:rsidP="00C922B4">
            <w:pPr>
              <w:pStyle w:val="af7"/>
              <w:snapToGrid w:val="0"/>
              <w:rPr>
                <w:rFonts w:ascii="Times New Roman" w:hAnsi="Times New Roman"/>
                <w:szCs w:val="20"/>
              </w:rPr>
            </w:pPr>
          </w:p>
        </w:tc>
        <w:tc>
          <w:tcPr>
            <w:tcW w:w="2715" w:type="dxa"/>
            <w:shd w:val="clear" w:color="auto" w:fill="auto"/>
            <w:vAlign w:val="center"/>
          </w:tcPr>
          <w:p w14:paraId="3715E3AF" w14:textId="77777777" w:rsidR="00010BDE" w:rsidRPr="00E16672" w:rsidRDefault="00010BDE" w:rsidP="00C922B4">
            <w:pPr>
              <w:pStyle w:val="western"/>
              <w:snapToGrid w:val="0"/>
              <w:spacing w:before="0" w:after="0"/>
              <w:ind w:right="57" w:firstLine="0"/>
              <w:jc w:val="left"/>
              <w:rPr>
                <w:rFonts w:ascii="Times New Roman" w:hAnsi="Times New Roman"/>
                <w:bCs w:val="0"/>
                <w:szCs w:val="20"/>
                <w:lang w:val="uk-UA"/>
              </w:rPr>
            </w:pPr>
            <w:r w:rsidRPr="00E16672">
              <w:rPr>
                <w:rFonts w:ascii="Times New Roman" w:hAnsi="Times New Roman"/>
                <w:bCs w:val="0"/>
                <w:i/>
                <w:iCs/>
                <w:color w:val="000000"/>
                <w:sz w:val="18"/>
                <w:szCs w:val="18"/>
                <w:lang w:val="en-US"/>
              </w:rPr>
              <w:t>E-mail</w:t>
            </w:r>
          </w:p>
        </w:tc>
        <w:tc>
          <w:tcPr>
            <w:tcW w:w="2268" w:type="dxa"/>
            <w:gridSpan w:val="3"/>
            <w:vAlign w:val="center"/>
          </w:tcPr>
          <w:p w14:paraId="5DCC895D" w14:textId="77777777" w:rsidR="00010BDE" w:rsidRPr="00E16672" w:rsidRDefault="00622BEB" w:rsidP="00C922B4">
            <w:pPr>
              <w:suppressAutoHyphens w:val="0"/>
              <w:ind w:firstLine="0"/>
              <w:jc w:val="left"/>
              <w:rPr>
                <w:rFonts w:ascii="Times New Roman" w:hAnsi="Times New Roman"/>
                <w:b/>
                <w:bCs/>
                <w:i/>
                <w:iCs/>
                <w:sz w:val="18"/>
                <w:szCs w:val="18"/>
                <w:lang w:val="en-US"/>
              </w:rPr>
            </w:pPr>
            <w:r>
              <w:rPr>
                <w:rFonts w:ascii="Times New Roman" w:hAnsi="Times New Roman"/>
                <w:bCs/>
                <w:sz w:val="18"/>
                <w:szCs w:val="18"/>
                <w:lang w:val="uk-UA"/>
              </w:rPr>
              <w:t>custody@comex.com.ua</w:t>
            </w:r>
          </w:p>
        </w:tc>
      </w:tr>
      <w:tr w:rsidR="00010BDE" w:rsidRPr="00E16672" w14:paraId="3E92C941" w14:textId="77777777" w:rsidTr="00C922B4">
        <w:trPr>
          <w:gridAfter w:val="1"/>
          <w:wAfter w:w="849" w:type="dxa"/>
        </w:trPr>
        <w:tc>
          <w:tcPr>
            <w:tcW w:w="2413" w:type="dxa"/>
            <w:shd w:val="clear" w:color="auto" w:fill="auto"/>
            <w:vAlign w:val="center"/>
          </w:tcPr>
          <w:p w14:paraId="4CD9B1A1" w14:textId="77777777" w:rsidR="00010BDE" w:rsidRPr="00E16672" w:rsidRDefault="00010BDE" w:rsidP="00C922B4">
            <w:pPr>
              <w:pStyle w:val="western"/>
              <w:snapToGrid w:val="0"/>
              <w:spacing w:before="0" w:after="0"/>
              <w:ind w:right="-57" w:firstLine="0"/>
              <w:jc w:val="both"/>
              <w:rPr>
                <w:rFonts w:ascii="Times New Roman" w:hAnsi="Times New Roman"/>
                <w:i/>
                <w:iCs/>
                <w:szCs w:val="20"/>
              </w:rPr>
            </w:pPr>
            <w:r w:rsidRPr="00E16672">
              <w:rPr>
                <w:rFonts w:ascii="Times New Roman" w:hAnsi="Times New Roman"/>
                <w:i/>
                <w:color w:val="000000"/>
                <w:sz w:val="18"/>
                <w:szCs w:val="18"/>
              </w:rPr>
              <w:t>Телефон</w:t>
            </w:r>
          </w:p>
        </w:tc>
        <w:tc>
          <w:tcPr>
            <w:tcW w:w="2414" w:type="dxa"/>
            <w:gridSpan w:val="2"/>
            <w:shd w:val="clear" w:color="auto" w:fill="auto"/>
          </w:tcPr>
          <w:p w14:paraId="56805CD5" w14:textId="77777777" w:rsidR="00010BDE" w:rsidRPr="00E16672" w:rsidRDefault="00010BDE" w:rsidP="00C922B4">
            <w:pPr>
              <w:pStyle w:val="western"/>
              <w:snapToGrid w:val="0"/>
              <w:spacing w:before="0" w:after="0"/>
              <w:ind w:left="-57" w:right="-57"/>
              <w:jc w:val="both"/>
              <w:rPr>
                <w:rFonts w:ascii="Times New Roman" w:hAnsi="Times New Roman"/>
                <w:i/>
                <w:iCs/>
                <w:szCs w:val="20"/>
              </w:rPr>
            </w:pPr>
          </w:p>
        </w:tc>
        <w:tc>
          <w:tcPr>
            <w:tcW w:w="341" w:type="dxa"/>
            <w:shd w:val="clear" w:color="auto" w:fill="auto"/>
          </w:tcPr>
          <w:p w14:paraId="15762E13" w14:textId="77777777" w:rsidR="00010BDE" w:rsidRPr="00E16672" w:rsidRDefault="00010BDE" w:rsidP="00C922B4">
            <w:pPr>
              <w:pStyle w:val="af7"/>
              <w:snapToGrid w:val="0"/>
              <w:rPr>
                <w:rFonts w:ascii="Times New Roman" w:hAnsi="Times New Roman"/>
                <w:szCs w:val="20"/>
              </w:rPr>
            </w:pPr>
          </w:p>
        </w:tc>
        <w:tc>
          <w:tcPr>
            <w:tcW w:w="2715" w:type="dxa"/>
            <w:shd w:val="clear" w:color="auto" w:fill="auto"/>
            <w:vAlign w:val="center"/>
          </w:tcPr>
          <w:p w14:paraId="71D24872" w14:textId="77777777" w:rsidR="00010BDE" w:rsidRPr="00E16672" w:rsidRDefault="00010BDE" w:rsidP="00C922B4">
            <w:pPr>
              <w:pStyle w:val="western"/>
              <w:snapToGrid w:val="0"/>
              <w:spacing w:before="0" w:after="0"/>
              <w:ind w:right="57" w:firstLine="0"/>
              <w:jc w:val="left"/>
              <w:rPr>
                <w:rFonts w:ascii="Times New Roman" w:hAnsi="Times New Roman"/>
                <w:bCs w:val="0"/>
                <w:szCs w:val="20"/>
                <w:lang w:val="uk-UA"/>
              </w:rPr>
            </w:pPr>
            <w:r w:rsidRPr="00E16672">
              <w:rPr>
                <w:rFonts w:ascii="Times New Roman" w:hAnsi="Times New Roman"/>
                <w:i/>
                <w:color w:val="000000"/>
                <w:sz w:val="18"/>
                <w:szCs w:val="18"/>
              </w:rPr>
              <w:t>Телефон</w:t>
            </w:r>
          </w:p>
        </w:tc>
        <w:tc>
          <w:tcPr>
            <w:tcW w:w="2268" w:type="dxa"/>
            <w:gridSpan w:val="3"/>
            <w:vAlign w:val="center"/>
          </w:tcPr>
          <w:p w14:paraId="2B322A70" w14:textId="77777777" w:rsidR="00010BDE" w:rsidRPr="00E16672" w:rsidRDefault="00622BEB" w:rsidP="00C922B4">
            <w:pPr>
              <w:suppressAutoHyphens w:val="0"/>
              <w:ind w:firstLine="0"/>
              <w:jc w:val="left"/>
              <w:rPr>
                <w:rFonts w:ascii="Times New Roman" w:hAnsi="Times New Roman"/>
                <w:b/>
                <w:bCs/>
                <w:i/>
                <w:iCs/>
                <w:sz w:val="18"/>
                <w:szCs w:val="18"/>
                <w:lang w:val="en-US"/>
              </w:rPr>
            </w:pPr>
            <w:r>
              <w:rPr>
                <w:rFonts w:ascii="Times New Roman" w:hAnsi="Times New Roman"/>
                <w:bCs/>
                <w:sz w:val="18"/>
                <w:szCs w:val="18"/>
                <w:lang w:val="uk-UA"/>
              </w:rPr>
              <w:t>044 502 65 73</w:t>
            </w:r>
          </w:p>
        </w:tc>
      </w:tr>
      <w:tr w:rsidR="00010BDE" w:rsidRPr="00E16672" w14:paraId="1D312DB4" w14:textId="77777777" w:rsidTr="00C922B4">
        <w:trPr>
          <w:gridAfter w:val="1"/>
          <w:wAfter w:w="849" w:type="dxa"/>
        </w:trPr>
        <w:tc>
          <w:tcPr>
            <w:tcW w:w="4827" w:type="dxa"/>
            <w:gridSpan w:val="3"/>
            <w:shd w:val="clear" w:color="auto" w:fill="auto"/>
          </w:tcPr>
          <w:p w14:paraId="78B8B578" w14:textId="77777777" w:rsidR="00010BDE" w:rsidRPr="00E16672" w:rsidRDefault="00010BDE" w:rsidP="00C922B4">
            <w:pPr>
              <w:pStyle w:val="western"/>
              <w:snapToGrid w:val="0"/>
              <w:spacing w:before="0" w:after="0"/>
              <w:ind w:left="-57" w:right="-57"/>
              <w:jc w:val="both"/>
              <w:rPr>
                <w:rFonts w:ascii="Times New Roman" w:hAnsi="Times New Roman"/>
                <w:i/>
                <w:iCs/>
                <w:szCs w:val="20"/>
                <w:lang w:val="en-US"/>
              </w:rPr>
            </w:pPr>
          </w:p>
        </w:tc>
        <w:tc>
          <w:tcPr>
            <w:tcW w:w="341" w:type="dxa"/>
            <w:shd w:val="clear" w:color="auto" w:fill="auto"/>
          </w:tcPr>
          <w:p w14:paraId="6116A6EA" w14:textId="77777777" w:rsidR="00010BDE" w:rsidRPr="00E16672" w:rsidRDefault="00010BDE" w:rsidP="00C922B4">
            <w:pPr>
              <w:pStyle w:val="af7"/>
              <w:snapToGrid w:val="0"/>
              <w:rPr>
                <w:rFonts w:ascii="Times New Roman" w:hAnsi="Times New Roman"/>
                <w:szCs w:val="20"/>
              </w:rPr>
            </w:pPr>
          </w:p>
        </w:tc>
        <w:tc>
          <w:tcPr>
            <w:tcW w:w="2715" w:type="dxa"/>
            <w:shd w:val="clear" w:color="auto" w:fill="auto"/>
            <w:vAlign w:val="center"/>
          </w:tcPr>
          <w:p w14:paraId="3D0E559F" w14:textId="77777777" w:rsidR="00010BDE" w:rsidRPr="00E16672" w:rsidRDefault="00010BDE" w:rsidP="00C922B4">
            <w:pPr>
              <w:snapToGrid w:val="0"/>
              <w:ind w:firstLine="0"/>
              <w:jc w:val="left"/>
              <w:rPr>
                <w:rFonts w:ascii="Times New Roman" w:hAnsi="Times New Roman"/>
                <w:b/>
                <w:i/>
                <w:color w:val="000000"/>
                <w:sz w:val="18"/>
                <w:szCs w:val="18"/>
                <w:lang w:val="uk-UA"/>
              </w:rPr>
            </w:pPr>
          </w:p>
          <w:p w14:paraId="69F77CD7" w14:textId="77777777" w:rsidR="00010BDE" w:rsidRPr="00E16672" w:rsidRDefault="00010BDE" w:rsidP="00C922B4">
            <w:pPr>
              <w:pStyle w:val="western"/>
              <w:snapToGrid w:val="0"/>
              <w:spacing w:before="0" w:after="0"/>
              <w:ind w:right="57" w:firstLine="0"/>
              <w:jc w:val="left"/>
              <w:rPr>
                <w:rFonts w:ascii="Times New Roman" w:hAnsi="Times New Roman"/>
                <w:i/>
                <w:color w:val="000000"/>
                <w:sz w:val="18"/>
                <w:szCs w:val="18"/>
              </w:rPr>
            </w:pPr>
            <w:r w:rsidRPr="00E16672">
              <w:rPr>
                <w:rFonts w:ascii="Times New Roman" w:hAnsi="Times New Roman"/>
                <w:i/>
                <w:color w:val="000000"/>
                <w:sz w:val="18"/>
                <w:szCs w:val="18"/>
                <w:lang w:val="uk-UA"/>
              </w:rPr>
              <w:t>Ліцензія депозитарної установи (серія, номер, дата видачі)</w:t>
            </w:r>
          </w:p>
        </w:tc>
        <w:tc>
          <w:tcPr>
            <w:tcW w:w="2268" w:type="dxa"/>
            <w:gridSpan w:val="3"/>
            <w:vAlign w:val="center"/>
          </w:tcPr>
          <w:p w14:paraId="567D3A44" w14:textId="77777777" w:rsidR="00010BDE" w:rsidRPr="00E16672" w:rsidRDefault="00010BDE" w:rsidP="00C922B4">
            <w:pPr>
              <w:suppressAutoHyphens w:val="0"/>
              <w:ind w:firstLine="0"/>
              <w:jc w:val="left"/>
              <w:rPr>
                <w:rFonts w:ascii="Times New Roman" w:hAnsi="Times New Roman"/>
                <w:szCs w:val="20"/>
                <w:lang w:val="en-US"/>
              </w:rPr>
            </w:pPr>
            <w:r w:rsidRPr="00E16672">
              <w:rPr>
                <w:rFonts w:ascii="Times New Roman" w:hAnsi="Times New Roman"/>
                <w:bCs/>
                <w:sz w:val="18"/>
                <w:szCs w:val="18"/>
                <w:lang w:val="uk-UA"/>
              </w:rPr>
              <w:t xml:space="preserve">АЕ </w:t>
            </w:r>
            <w:r w:rsidR="00E16672" w:rsidRPr="00E16672">
              <w:rPr>
                <w:rFonts w:ascii="Times New Roman" w:hAnsi="Times New Roman"/>
                <w:bCs/>
                <w:sz w:val="18"/>
                <w:szCs w:val="18"/>
                <w:lang w:val="uk-UA"/>
              </w:rPr>
              <w:t>263429</w:t>
            </w:r>
            <w:r w:rsidRPr="00E16672">
              <w:rPr>
                <w:rFonts w:ascii="Times New Roman" w:hAnsi="Times New Roman"/>
                <w:bCs/>
                <w:sz w:val="18"/>
                <w:szCs w:val="18"/>
                <w:lang w:val="uk-UA"/>
              </w:rPr>
              <w:t xml:space="preserve">, </w:t>
            </w:r>
            <w:r w:rsidR="00E16672" w:rsidRPr="00E16672">
              <w:rPr>
                <w:rFonts w:ascii="Times New Roman" w:hAnsi="Times New Roman"/>
                <w:bCs/>
                <w:sz w:val="18"/>
                <w:szCs w:val="18"/>
                <w:lang w:val="uk-UA"/>
              </w:rPr>
              <w:t>01.10.2013</w:t>
            </w:r>
            <w:r w:rsidRPr="00E16672">
              <w:rPr>
                <w:rFonts w:ascii="Times New Roman" w:hAnsi="Times New Roman"/>
                <w:bCs/>
                <w:sz w:val="18"/>
                <w:szCs w:val="18"/>
                <w:lang w:val="uk-UA"/>
              </w:rPr>
              <w:t xml:space="preserve"> р.</w:t>
            </w:r>
          </w:p>
        </w:tc>
      </w:tr>
    </w:tbl>
    <w:p w14:paraId="02B3148E" w14:textId="77777777" w:rsidR="00010BDE" w:rsidRPr="00E16672" w:rsidRDefault="00010BDE" w:rsidP="00010BDE">
      <w:pPr>
        <w:pStyle w:val="western"/>
        <w:spacing w:before="0" w:after="0"/>
        <w:jc w:val="left"/>
        <w:rPr>
          <w:rFonts w:ascii="Times New Roman" w:hAnsi="Times New Roman"/>
          <w:szCs w:val="20"/>
          <w:lang w:val="en-US"/>
        </w:rPr>
      </w:pPr>
      <w:r w:rsidRPr="00E16672">
        <w:rPr>
          <w:rFonts w:ascii="Times New Roman" w:hAnsi="Times New Roman"/>
          <w:szCs w:val="20"/>
          <w:lang w:val="en-US"/>
        </w:rPr>
        <w:t xml:space="preserve">                                                                                        </w:t>
      </w:r>
    </w:p>
    <w:p w14:paraId="2B284DF9" w14:textId="77777777" w:rsidR="00010BDE" w:rsidRPr="00E16672" w:rsidRDefault="00010BDE" w:rsidP="00010BDE">
      <w:pPr>
        <w:pStyle w:val="ae"/>
        <w:rPr>
          <w:rFonts w:ascii="Times New Roman" w:hAnsi="Times New Roman"/>
          <w:b/>
          <w:szCs w:val="20"/>
        </w:rPr>
      </w:pPr>
    </w:p>
    <w:p w14:paraId="444420C0" w14:textId="77777777" w:rsidR="00010BDE" w:rsidRPr="00E16672" w:rsidRDefault="00010BDE" w:rsidP="00010BDE">
      <w:pPr>
        <w:pStyle w:val="western"/>
        <w:spacing w:before="0" w:after="0"/>
        <w:ind w:hanging="1395"/>
        <w:jc w:val="both"/>
        <w:rPr>
          <w:rFonts w:ascii="Times New Roman" w:hAnsi="Times New Roman"/>
          <w:szCs w:val="20"/>
          <w:lang w:val="en-US"/>
        </w:rPr>
      </w:pPr>
      <w:r w:rsidRPr="00E16672">
        <w:rPr>
          <w:rFonts w:ascii="Times New Roman" w:hAnsi="Times New Roman"/>
          <w:szCs w:val="20"/>
          <w:lang w:val="en-US"/>
        </w:rPr>
        <w:t xml:space="preserve"> </w:t>
      </w:r>
    </w:p>
    <w:p w14:paraId="04A947AF" w14:textId="77777777" w:rsidR="00010BDE" w:rsidRPr="00E16672" w:rsidRDefault="00010BDE" w:rsidP="00010BDE">
      <w:pPr>
        <w:pStyle w:val="western"/>
        <w:spacing w:before="0" w:after="0"/>
        <w:ind w:left="1843" w:hanging="1395"/>
        <w:jc w:val="both"/>
        <w:rPr>
          <w:rFonts w:ascii="Times New Roman" w:hAnsi="Times New Roman"/>
          <w:szCs w:val="20"/>
          <w:lang w:val="en-US"/>
        </w:rPr>
      </w:pPr>
    </w:p>
    <w:p w14:paraId="6D2FC78F" w14:textId="77777777" w:rsidR="00010BDE" w:rsidRPr="00E16672" w:rsidRDefault="00010BDE" w:rsidP="00010BDE">
      <w:pPr>
        <w:pStyle w:val="western"/>
        <w:spacing w:before="0" w:after="0"/>
        <w:jc w:val="left"/>
        <w:rPr>
          <w:rFonts w:ascii="Times New Roman" w:hAnsi="Times New Roman"/>
          <w:sz w:val="18"/>
          <w:szCs w:val="18"/>
        </w:rPr>
      </w:pPr>
      <w:r w:rsidRPr="00E16672">
        <w:rPr>
          <w:rFonts w:ascii="Times New Roman" w:hAnsi="Times New Roman"/>
          <w:bCs w:val="0"/>
          <w:color w:val="000000"/>
          <w:sz w:val="18"/>
          <w:szCs w:val="18"/>
          <w:lang w:val="uk-UA"/>
        </w:rPr>
        <w:t>ЗАМОВНИК</w:t>
      </w:r>
      <w:r w:rsidRPr="00E16672">
        <w:rPr>
          <w:rFonts w:ascii="Times New Roman" w:hAnsi="Times New Roman"/>
          <w:sz w:val="18"/>
          <w:szCs w:val="18"/>
        </w:rPr>
        <w:t>:</w:t>
      </w:r>
      <w:r w:rsidRPr="00E16672">
        <w:rPr>
          <w:rFonts w:ascii="Times New Roman" w:hAnsi="Times New Roman"/>
          <w:szCs w:val="20"/>
        </w:rPr>
        <w:t xml:space="preserve">                                                                        </w:t>
      </w:r>
      <w:r w:rsidRPr="00E16672">
        <w:rPr>
          <w:rFonts w:ascii="Times New Roman" w:hAnsi="Times New Roman"/>
          <w:sz w:val="18"/>
          <w:szCs w:val="18"/>
        </w:rPr>
        <w:t xml:space="preserve"> </w:t>
      </w:r>
      <w:r w:rsidRPr="00E16672">
        <w:rPr>
          <w:rFonts w:ascii="Times New Roman" w:hAnsi="Times New Roman"/>
          <w:sz w:val="18"/>
          <w:szCs w:val="18"/>
          <w:lang w:val="uk-UA"/>
        </w:rPr>
        <w:t>ВИКОНАВЕЦЬ</w:t>
      </w:r>
      <w:r w:rsidRPr="00E16672">
        <w:rPr>
          <w:rFonts w:ascii="Times New Roman" w:hAnsi="Times New Roman"/>
          <w:sz w:val="18"/>
          <w:szCs w:val="18"/>
        </w:rPr>
        <w:t>:</w:t>
      </w:r>
    </w:p>
    <w:p w14:paraId="5D07A19F" w14:textId="77777777" w:rsidR="00010BDE" w:rsidRPr="00E16672" w:rsidRDefault="00010BDE" w:rsidP="00010BDE">
      <w:pPr>
        <w:pStyle w:val="western"/>
        <w:spacing w:before="0" w:after="0"/>
        <w:ind w:left="-180"/>
        <w:jc w:val="left"/>
        <w:rPr>
          <w:rFonts w:ascii="Times New Roman" w:hAnsi="Times New Roman"/>
          <w:sz w:val="18"/>
          <w:szCs w:val="18"/>
        </w:rPr>
      </w:pPr>
      <w:r w:rsidRPr="00E16672">
        <w:rPr>
          <w:rFonts w:ascii="Times New Roman" w:hAnsi="Times New Roman"/>
          <w:sz w:val="18"/>
          <w:szCs w:val="18"/>
        </w:rPr>
        <w:t xml:space="preserve">                                                 </w:t>
      </w:r>
    </w:p>
    <w:p w14:paraId="08D04787" w14:textId="77777777" w:rsidR="00010BDE" w:rsidRPr="00E16672" w:rsidRDefault="00010BDE" w:rsidP="00F82710">
      <w:pPr>
        <w:pStyle w:val="western"/>
        <w:spacing w:before="0" w:after="0"/>
        <w:ind w:left="-180"/>
        <w:jc w:val="left"/>
        <w:rPr>
          <w:rFonts w:ascii="Times New Roman" w:hAnsi="Times New Roman"/>
          <w:b w:val="0"/>
          <w:bCs w:val="0"/>
          <w:sz w:val="18"/>
          <w:szCs w:val="18"/>
        </w:rPr>
      </w:pPr>
      <w:r w:rsidRPr="00E16672">
        <w:rPr>
          <w:rFonts w:ascii="Times New Roman" w:hAnsi="Times New Roman"/>
          <w:sz w:val="18"/>
          <w:szCs w:val="18"/>
        </w:rPr>
        <w:t xml:space="preserve">         </w:t>
      </w:r>
      <w:r w:rsidRPr="00E16672">
        <w:rPr>
          <w:rFonts w:ascii="Times New Roman" w:hAnsi="Times New Roman"/>
          <w:b w:val="0"/>
          <w:bCs w:val="0"/>
          <w:sz w:val="18"/>
          <w:szCs w:val="18"/>
        </w:rPr>
        <w:t>________________( ____________)</w:t>
      </w:r>
      <w:r w:rsidRPr="00E16672">
        <w:rPr>
          <w:rFonts w:ascii="Times New Roman" w:hAnsi="Times New Roman"/>
          <w:sz w:val="18"/>
          <w:szCs w:val="18"/>
        </w:rPr>
        <w:t xml:space="preserve">                                   </w:t>
      </w:r>
      <w:r w:rsidR="00602650">
        <w:rPr>
          <w:rFonts w:ascii="Times New Roman" w:hAnsi="Times New Roman"/>
          <w:sz w:val="18"/>
          <w:szCs w:val="18"/>
          <w:lang w:val="uk-UA"/>
        </w:rPr>
        <w:t xml:space="preserve">   ___</w:t>
      </w:r>
      <w:r w:rsidRPr="00E16672">
        <w:rPr>
          <w:rFonts w:ascii="Times New Roman" w:hAnsi="Times New Roman"/>
          <w:sz w:val="18"/>
          <w:szCs w:val="18"/>
        </w:rPr>
        <w:t>_______</w:t>
      </w:r>
      <w:r w:rsidRPr="00E16672">
        <w:rPr>
          <w:rFonts w:ascii="Times New Roman" w:hAnsi="Times New Roman"/>
          <w:b w:val="0"/>
          <w:bCs w:val="0"/>
          <w:sz w:val="18"/>
          <w:szCs w:val="18"/>
        </w:rPr>
        <w:t>_____________</w:t>
      </w:r>
      <w:r w:rsidR="00602650">
        <w:rPr>
          <w:rFonts w:ascii="Times New Roman" w:hAnsi="Times New Roman"/>
          <w:b w:val="0"/>
          <w:bCs w:val="0"/>
          <w:sz w:val="18"/>
          <w:szCs w:val="18"/>
          <w:lang w:val="uk-UA"/>
        </w:rPr>
        <w:t xml:space="preserve"> </w:t>
      </w:r>
      <w:r w:rsidRPr="00E16672">
        <w:rPr>
          <w:rFonts w:ascii="Times New Roman" w:hAnsi="Times New Roman"/>
          <w:b w:val="0"/>
          <w:bCs w:val="0"/>
          <w:sz w:val="18"/>
          <w:szCs w:val="18"/>
        </w:rPr>
        <w:t>(</w:t>
      </w:r>
      <w:r w:rsidR="00F864F1">
        <w:rPr>
          <w:rFonts w:ascii="Times New Roman" w:hAnsi="Times New Roman"/>
          <w:b w:val="0"/>
          <w:bCs w:val="0"/>
          <w:sz w:val="18"/>
          <w:szCs w:val="18"/>
          <w:lang w:val="uk-UA"/>
        </w:rPr>
        <w:t>_____________</w:t>
      </w:r>
      <w:r w:rsidR="00565242">
        <w:rPr>
          <w:rFonts w:ascii="Times New Roman" w:hAnsi="Times New Roman"/>
          <w:b w:val="0"/>
          <w:bCs w:val="0"/>
          <w:sz w:val="18"/>
          <w:szCs w:val="18"/>
          <w:lang w:val="uk-UA"/>
        </w:rPr>
        <w:t>.</w:t>
      </w:r>
      <w:r w:rsidRPr="00E16672">
        <w:rPr>
          <w:rFonts w:ascii="Times New Roman" w:hAnsi="Times New Roman"/>
          <w:b w:val="0"/>
          <w:bCs w:val="0"/>
          <w:sz w:val="18"/>
          <w:szCs w:val="18"/>
        </w:rPr>
        <w:t xml:space="preserve">) </w:t>
      </w:r>
    </w:p>
    <w:p w14:paraId="3954B5B3" w14:textId="77777777" w:rsidR="00010BDE" w:rsidRPr="00E16672" w:rsidRDefault="00010BDE" w:rsidP="00010BDE">
      <w:pPr>
        <w:pStyle w:val="1"/>
        <w:tabs>
          <w:tab w:val="left" w:pos="0"/>
          <w:tab w:val="left" w:pos="720"/>
        </w:tabs>
        <w:jc w:val="both"/>
        <w:rPr>
          <w:rFonts w:ascii="Times New Roman" w:hAnsi="Times New Roman" w:cs="Times New Roman"/>
          <w:color w:val="000000"/>
          <w:sz w:val="20"/>
          <w:szCs w:val="20"/>
        </w:rPr>
      </w:pPr>
      <w:r w:rsidRPr="00E16672">
        <w:rPr>
          <w:rFonts w:ascii="Times New Roman" w:hAnsi="Times New Roman" w:cs="Times New Roman"/>
          <w:b w:val="0"/>
          <w:bCs w:val="0"/>
          <w:szCs w:val="20"/>
          <w:lang w:val="uk-UA"/>
        </w:rPr>
        <w:t xml:space="preserve">  </w:t>
      </w:r>
      <w:r w:rsidRPr="00E16672">
        <w:rPr>
          <w:rFonts w:ascii="Times New Roman" w:hAnsi="Times New Roman" w:cs="Times New Roman"/>
          <w:b w:val="0"/>
          <w:bCs w:val="0"/>
          <w:sz w:val="18"/>
          <w:szCs w:val="18"/>
          <w:lang w:val="uk-UA"/>
        </w:rPr>
        <w:t xml:space="preserve">     </w:t>
      </w:r>
      <w:r w:rsidRPr="00E16672">
        <w:rPr>
          <w:rFonts w:ascii="Times New Roman" w:hAnsi="Times New Roman" w:cs="Times New Roman"/>
          <w:b w:val="0"/>
          <w:bCs w:val="0"/>
          <w:i/>
          <w:sz w:val="18"/>
          <w:szCs w:val="18"/>
          <w:lang w:val="uk-UA"/>
        </w:rPr>
        <w:t>В.</w:t>
      </w:r>
      <w:r w:rsidRPr="00E16672">
        <w:rPr>
          <w:rFonts w:ascii="Times New Roman" w:hAnsi="Times New Roman" w:cs="Times New Roman"/>
          <w:b w:val="0"/>
          <w:bCs w:val="0"/>
          <w:i/>
          <w:color w:val="000000"/>
          <w:sz w:val="18"/>
          <w:szCs w:val="18"/>
          <w:lang w:val="uk-UA"/>
        </w:rPr>
        <w:t>П. (</w:t>
      </w:r>
      <w:r w:rsidR="003352AE" w:rsidRPr="00E16672">
        <w:rPr>
          <w:rFonts w:ascii="Times New Roman" w:hAnsi="Times New Roman" w:cs="Times New Roman"/>
          <w:b w:val="0"/>
          <w:bCs w:val="0"/>
          <w:i/>
          <w:color w:val="000000"/>
          <w:sz w:val="18"/>
          <w:szCs w:val="18"/>
          <w:lang w:val="uk-UA"/>
        </w:rPr>
        <w:t>у разі використання</w:t>
      </w:r>
      <w:r w:rsidRPr="00E16672">
        <w:rPr>
          <w:rFonts w:ascii="Times New Roman" w:hAnsi="Times New Roman" w:cs="Times New Roman"/>
          <w:b w:val="0"/>
          <w:bCs w:val="0"/>
          <w:i/>
          <w:color w:val="000000"/>
          <w:sz w:val="18"/>
          <w:szCs w:val="18"/>
          <w:lang w:val="uk-UA"/>
        </w:rPr>
        <w:t>)</w:t>
      </w:r>
      <w:r w:rsidR="00516E92" w:rsidRPr="00E16672">
        <w:rPr>
          <w:rFonts w:ascii="Times New Roman" w:hAnsi="Times New Roman" w:cs="Times New Roman"/>
          <w:b w:val="0"/>
          <w:bCs w:val="0"/>
          <w:i/>
          <w:color w:val="000000"/>
          <w:sz w:val="18"/>
          <w:szCs w:val="18"/>
          <w:lang w:val="uk-UA"/>
        </w:rPr>
        <w:t>,</w:t>
      </w:r>
      <w:r w:rsidRPr="00E16672">
        <w:rPr>
          <w:rFonts w:ascii="Times New Roman" w:hAnsi="Times New Roman" w:cs="Times New Roman"/>
          <w:b w:val="0"/>
          <w:bCs w:val="0"/>
          <w:i/>
          <w:color w:val="000000"/>
          <w:sz w:val="18"/>
          <w:szCs w:val="18"/>
          <w:lang w:val="uk-UA"/>
        </w:rPr>
        <w:t xml:space="preserve"> підпис</w:t>
      </w:r>
      <w:r w:rsidRPr="00E16672">
        <w:rPr>
          <w:rFonts w:ascii="Times New Roman" w:hAnsi="Times New Roman" w:cs="Times New Roman"/>
          <w:b w:val="0"/>
          <w:bCs w:val="0"/>
          <w:sz w:val="18"/>
          <w:szCs w:val="18"/>
          <w:lang w:val="uk-UA"/>
        </w:rPr>
        <w:t xml:space="preserve">                                               </w:t>
      </w:r>
      <w:r w:rsidRPr="00E16672">
        <w:rPr>
          <w:rFonts w:ascii="Times New Roman" w:hAnsi="Times New Roman" w:cs="Times New Roman"/>
          <w:b w:val="0"/>
          <w:bCs w:val="0"/>
          <w:i/>
          <w:sz w:val="18"/>
          <w:szCs w:val="18"/>
          <w:lang w:val="uk-UA"/>
        </w:rPr>
        <w:t>В</w:t>
      </w:r>
      <w:r w:rsidRPr="00E16672">
        <w:rPr>
          <w:rFonts w:ascii="Times New Roman" w:hAnsi="Times New Roman" w:cs="Times New Roman"/>
          <w:b w:val="0"/>
          <w:bCs w:val="0"/>
          <w:i/>
          <w:iCs/>
          <w:sz w:val="18"/>
          <w:szCs w:val="18"/>
          <w:lang w:val="uk-UA"/>
        </w:rPr>
        <w:t>.П., підпис</w:t>
      </w:r>
    </w:p>
    <w:p w14:paraId="01CB5B97" w14:textId="77777777" w:rsidR="006D2BB7" w:rsidRDefault="006D2BB7" w:rsidP="006D2BB7">
      <w:pPr>
        <w:widowControl w:val="0"/>
        <w:tabs>
          <w:tab w:val="left" w:pos="9360"/>
        </w:tabs>
        <w:snapToGrid w:val="0"/>
        <w:spacing w:line="360" w:lineRule="auto"/>
        <w:ind w:right="-6"/>
        <w:jc w:val="right"/>
        <w:rPr>
          <w:rFonts w:ascii="Times New Roman" w:hAnsi="Times New Roman"/>
          <w:iCs/>
          <w:color w:val="0000FF"/>
          <w:kern w:val="1"/>
          <w:lang w:val="uk-UA"/>
        </w:rPr>
      </w:pPr>
    </w:p>
    <w:p w14:paraId="71854EE0" w14:textId="77777777" w:rsidR="00602650" w:rsidRDefault="00602650" w:rsidP="006D2BB7">
      <w:pPr>
        <w:widowControl w:val="0"/>
        <w:tabs>
          <w:tab w:val="left" w:pos="9360"/>
        </w:tabs>
        <w:snapToGrid w:val="0"/>
        <w:spacing w:line="360" w:lineRule="auto"/>
        <w:ind w:right="-6"/>
        <w:jc w:val="right"/>
        <w:rPr>
          <w:rFonts w:ascii="Times New Roman" w:hAnsi="Times New Roman"/>
          <w:iCs/>
          <w:color w:val="0000FF"/>
          <w:kern w:val="1"/>
          <w:lang w:val="uk-UA"/>
        </w:rPr>
      </w:pPr>
    </w:p>
    <w:p w14:paraId="222FC8DC" w14:textId="77777777" w:rsidR="00602650" w:rsidRDefault="00602650" w:rsidP="006D2BB7">
      <w:pPr>
        <w:widowControl w:val="0"/>
        <w:tabs>
          <w:tab w:val="left" w:pos="9360"/>
        </w:tabs>
        <w:snapToGrid w:val="0"/>
        <w:spacing w:line="360" w:lineRule="auto"/>
        <w:ind w:right="-6"/>
        <w:jc w:val="right"/>
        <w:rPr>
          <w:rFonts w:ascii="Times New Roman" w:hAnsi="Times New Roman"/>
          <w:iCs/>
          <w:color w:val="0000FF"/>
          <w:kern w:val="1"/>
          <w:lang w:val="uk-UA"/>
        </w:rPr>
      </w:pPr>
    </w:p>
    <w:p w14:paraId="1E397677" w14:textId="77777777" w:rsidR="00602650" w:rsidRDefault="00602650" w:rsidP="006D2BB7">
      <w:pPr>
        <w:widowControl w:val="0"/>
        <w:tabs>
          <w:tab w:val="left" w:pos="9360"/>
        </w:tabs>
        <w:snapToGrid w:val="0"/>
        <w:spacing w:line="360" w:lineRule="auto"/>
        <w:ind w:right="-6"/>
        <w:jc w:val="right"/>
        <w:rPr>
          <w:rFonts w:ascii="Times New Roman" w:hAnsi="Times New Roman"/>
          <w:iCs/>
          <w:color w:val="0000FF"/>
          <w:kern w:val="1"/>
          <w:lang w:val="uk-UA"/>
        </w:rPr>
      </w:pPr>
    </w:p>
    <w:p w14:paraId="1D828534" w14:textId="77777777" w:rsidR="00602650" w:rsidRDefault="00602650" w:rsidP="006D2BB7">
      <w:pPr>
        <w:widowControl w:val="0"/>
        <w:tabs>
          <w:tab w:val="left" w:pos="9360"/>
        </w:tabs>
        <w:snapToGrid w:val="0"/>
        <w:spacing w:line="360" w:lineRule="auto"/>
        <w:ind w:right="-6"/>
        <w:jc w:val="right"/>
        <w:rPr>
          <w:rFonts w:ascii="Times New Roman" w:hAnsi="Times New Roman"/>
          <w:iCs/>
          <w:color w:val="0000FF"/>
          <w:kern w:val="1"/>
          <w:lang w:val="uk-UA"/>
        </w:rPr>
      </w:pPr>
    </w:p>
    <w:p w14:paraId="333CEACB" w14:textId="77777777" w:rsidR="00602650" w:rsidRDefault="00602650" w:rsidP="006D2BB7">
      <w:pPr>
        <w:widowControl w:val="0"/>
        <w:tabs>
          <w:tab w:val="left" w:pos="9360"/>
        </w:tabs>
        <w:snapToGrid w:val="0"/>
        <w:spacing w:line="360" w:lineRule="auto"/>
        <w:ind w:right="-6"/>
        <w:jc w:val="right"/>
        <w:rPr>
          <w:rFonts w:ascii="Times New Roman" w:hAnsi="Times New Roman"/>
          <w:iCs/>
          <w:color w:val="0000FF"/>
          <w:kern w:val="1"/>
          <w:lang w:val="uk-UA"/>
        </w:rPr>
      </w:pPr>
    </w:p>
    <w:p w14:paraId="43082B7D" w14:textId="77777777" w:rsidR="00602650" w:rsidRDefault="00602650" w:rsidP="006D2BB7">
      <w:pPr>
        <w:widowControl w:val="0"/>
        <w:tabs>
          <w:tab w:val="left" w:pos="9360"/>
        </w:tabs>
        <w:snapToGrid w:val="0"/>
        <w:spacing w:line="360" w:lineRule="auto"/>
        <w:ind w:right="-6"/>
        <w:jc w:val="right"/>
        <w:rPr>
          <w:rFonts w:ascii="Times New Roman" w:hAnsi="Times New Roman"/>
          <w:iCs/>
          <w:color w:val="0000FF"/>
          <w:kern w:val="1"/>
          <w:lang w:val="uk-UA"/>
        </w:rPr>
      </w:pPr>
    </w:p>
    <w:p w14:paraId="2B7927AA" w14:textId="77777777" w:rsidR="00602650" w:rsidRDefault="00602650" w:rsidP="006D2BB7">
      <w:pPr>
        <w:widowControl w:val="0"/>
        <w:tabs>
          <w:tab w:val="left" w:pos="9360"/>
        </w:tabs>
        <w:snapToGrid w:val="0"/>
        <w:spacing w:line="360" w:lineRule="auto"/>
        <w:ind w:right="-6"/>
        <w:jc w:val="right"/>
        <w:rPr>
          <w:rFonts w:ascii="Times New Roman" w:hAnsi="Times New Roman"/>
          <w:iCs/>
          <w:color w:val="0000FF"/>
          <w:kern w:val="1"/>
          <w:lang w:val="uk-UA"/>
        </w:rPr>
      </w:pPr>
    </w:p>
    <w:p w14:paraId="61F362A6" w14:textId="77777777" w:rsidR="00602650" w:rsidRDefault="00602650" w:rsidP="006D2BB7">
      <w:pPr>
        <w:widowControl w:val="0"/>
        <w:tabs>
          <w:tab w:val="left" w:pos="9360"/>
        </w:tabs>
        <w:snapToGrid w:val="0"/>
        <w:spacing w:line="360" w:lineRule="auto"/>
        <w:ind w:right="-6"/>
        <w:jc w:val="right"/>
        <w:rPr>
          <w:rFonts w:ascii="Times New Roman" w:hAnsi="Times New Roman"/>
          <w:iCs/>
          <w:color w:val="0000FF"/>
          <w:kern w:val="1"/>
          <w:lang w:val="uk-UA"/>
        </w:rPr>
      </w:pPr>
    </w:p>
    <w:p w14:paraId="511C557E" w14:textId="77777777" w:rsidR="00602650" w:rsidRDefault="00602650" w:rsidP="006D2BB7">
      <w:pPr>
        <w:widowControl w:val="0"/>
        <w:tabs>
          <w:tab w:val="left" w:pos="9360"/>
        </w:tabs>
        <w:snapToGrid w:val="0"/>
        <w:spacing w:line="360" w:lineRule="auto"/>
        <w:ind w:right="-6"/>
        <w:jc w:val="right"/>
        <w:rPr>
          <w:rFonts w:ascii="Times New Roman" w:hAnsi="Times New Roman"/>
          <w:iCs/>
          <w:color w:val="0000FF"/>
          <w:kern w:val="1"/>
          <w:lang w:val="uk-UA"/>
        </w:rPr>
      </w:pPr>
    </w:p>
    <w:p w14:paraId="47089EC9" w14:textId="77777777" w:rsidR="00602650" w:rsidRDefault="00602650" w:rsidP="006D2BB7">
      <w:pPr>
        <w:widowControl w:val="0"/>
        <w:tabs>
          <w:tab w:val="left" w:pos="9360"/>
        </w:tabs>
        <w:snapToGrid w:val="0"/>
        <w:spacing w:line="360" w:lineRule="auto"/>
        <w:ind w:right="-6"/>
        <w:jc w:val="right"/>
        <w:rPr>
          <w:rFonts w:ascii="Times New Roman" w:hAnsi="Times New Roman"/>
          <w:iCs/>
          <w:color w:val="0000FF"/>
          <w:kern w:val="1"/>
          <w:lang w:val="uk-UA"/>
        </w:rPr>
      </w:pPr>
    </w:p>
    <w:p w14:paraId="30C060F5" w14:textId="77777777" w:rsidR="00602650" w:rsidRDefault="00602650" w:rsidP="006D2BB7">
      <w:pPr>
        <w:widowControl w:val="0"/>
        <w:tabs>
          <w:tab w:val="left" w:pos="9360"/>
        </w:tabs>
        <w:snapToGrid w:val="0"/>
        <w:spacing w:line="360" w:lineRule="auto"/>
        <w:ind w:right="-6"/>
        <w:jc w:val="right"/>
        <w:rPr>
          <w:rFonts w:ascii="Times New Roman" w:hAnsi="Times New Roman"/>
          <w:iCs/>
          <w:color w:val="0000FF"/>
          <w:kern w:val="1"/>
          <w:lang w:val="uk-UA"/>
        </w:rPr>
      </w:pPr>
    </w:p>
    <w:p w14:paraId="5F546BF9" w14:textId="77777777" w:rsidR="00602650" w:rsidRDefault="00602650" w:rsidP="006D2BB7">
      <w:pPr>
        <w:widowControl w:val="0"/>
        <w:tabs>
          <w:tab w:val="left" w:pos="9360"/>
        </w:tabs>
        <w:snapToGrid w:val="0"/>
        <w:spacing w:line="360" w:lineRule="auto"/>
        <w:ind w:right="-6"/>
        <w:jc w:val="right"/>
        <w:rPr>
          <w:rFonts w:ascii="Times New Roman" w:hAnsi="Times New Roman"/>
          <w:iCs/>
          <w:color w:val="0000FF"/>
          <w:kern w:val="1"/>
          <w:lang w:val="uk-UA"/>
        </w:rPr>
      </w:pPr>
    </w:p>
    <w:p w14:paraId="44BF088C" w14:textId="77777777" w:rsidR="00602650" w:rsidRDefault="00602650" w:rsidP="006D2BB7">
      <w:pPr>
        <w:widowControl w:val="0"/>
        <w:tabs>
          <w:tab w:val="left" w:pos="9360"/>
        </w:tabs>
        <w:snapToGrid w:val="0"/>
        <w:spacing w:line="360" w:lineRule="auto"/>
        <w:ind w:right="-6"/>
        <w:jc w:val="right"/>
        <w:rPr>
          <w:rFonts w:ascii="Times New Roman" w:hAnsi="Times New Roman"/>
          <w:iCs/>
          <w:color w:val="0000FF"/>
          <w:kern w:val="1"/>
          <w:lang w:val="uk-UA"/>
        </w:rPr>
      </w:pPr>
    </w:p>
    <w:p w14:paraId="6FB7BB92" w14:textId="77777777" w:rsidR="00602650" w:rsidRDefault="00602650" w:rsidP="006D2BB7">
      <w:pPr>
        <w:widowControl w:val="0"/>
        <w:tabs>
          <w:tab w:val="left" w:pos="9360"/>
        </w:tabs>
        <w:snapToGrid w:val="0"/>
        <w:spacing w:line="360" w:lineRule="auto"/>
        <w:ind w:right="-6"/>
        <w:jc w:val="right"/>
        <w:rPr>
          <w:rFonts w:ascii="Times New Roman" w:hAnsi="Times New Roman"/>
          <w:iCs/>
          <w:color w:val="0000FF"/>
          <w:kern w:val="1"/>
          <w:lang w:val="uk-UA"/>
        </w:rPr>
      </w:pPr>
    </w:p>
    <w:p w14:paraId="76A3D2A3" w14:textId="77777777" w:rsidR="00602650" w:rsidRDefault="00602650" w:rsidP="006D2BB7">
      <w:pPr>
        <w:widowControl w:val="0"/>
        <w:tabs>
          <w:tab w:val="left" w:pos="9360"/>
        </w:tabs>
        <w:snapToGrid w:val="0"/>
        <w:spacing w:line="360" w:lineRule="auto"/>
        <w:ind w:right="-6"/>
        <w:jc w:val="right"/>
        <w:rPr>
          <w:rFonts w:ascii="Times New Roman" w:hAnsi="Times New Roman"/>
          <w:iCs/>
          <w:color w:val="0000FF"/>
          <w:kern w:val="1"/>
          <w:lang w:val="uk-UA"/>
        </w:rPr>
      </w:pPr>
    </w:p>
    <w:p w14:paraId="05D4A823" w14:textId="77777777" w:rsidR="00602650" w:rsidRDefault="00602650" w:rsidP="006D2BB7">
      <w:pPr>
        <w:widowControl w:val="0"/>
        <w:tabs>
          <w:tab w:val="left" w:pos="9360"/>
        </w:tabs>
        <w:snapToGrid w:val="0"/>
        <w:spacing w:line="360" w:lineRule="auto"/>
        <w:ind w:right="-6"/>
        <w:jc w:val="right"/>
        <w:rPr>
          <w:rFonts w:ascii="Times New Roman" w:hAnsi="Times New Roman"/>
          <w:iCs/>
          <w:color w:val="0000FF"/>
          <w:kern w:val="1"/>
          <w:lang w:val="uk-UA"/>
        </w:rPr>
      </w:pPr>
    </w:p>
    <w:p w14:paraId="4A42F000" w14:textId="77777777" w:rsidR="00602650" w:rsidRDefault="00602650" w:rsidP="006D2BB7">
      <w:pPr>
        <w:widowControl w:val="0"/>
        <w:tabs>
          <w:tab w:val="left" w:pos="9360"/>
        </w:tabs>
        <w:snapToGrid w:val="0"/>
        <w:spacing w:line="360" w:lineRule="auto"/>
        <w:ind w:right="-6"/>
        <w:jc w:val="right"/>
        <w:rPr>
          <w:rFonts w:ascii="Times New Roman" w:hAnsi="Times New Roman"/>
          <w:iCs/>
          <w:color w:val="0000FF"/>
          <w:kern w:val="1"/>
          <w:lang w:val="uk-UA"/>
        </w:rPr>
      </w:pPr>
    </w:p>
    <w:p w14:paraId="04FE0D11" w14:textId="77777777" w:rsidR="00602650" w:rsidRDefault="00602650" w:rsidP="006D2BB7">
      <w:pPr>
        <w:widowControl w:val="0"/>
        <w:tabs>
          <w:tab w:val="left" w:pos="9360"/>
        </w:tabs>
        <w:snapToGrid w:val="0"/>
        <w:spacing w:line="360" w:lineRule="auto"/>
        <w:ind w:right="-6"/>
        <w:jc w:val="right"/>
        <w:rPr>
          <w:rFonts w:ascii="Times New Roman" w:hAnsi="Times New Roman"/>
          <w:iCs/>
          <w:color w:val="0000FF"/>
          <w:kern w:val="1"/>
          <w:lang w:val="uk-UA"/>
        </w:rPr>
      </w:pPr>
    </w:p>
    <w:p w14:paraId="2147E938" w14:textId="77777777" w:rsidR="00602650" w:rsidRDefault="00602650" w:rsidP="006D2BB7">
      <w:pPr>
        <w:widowControl w:val="0"/>
        <w:tabs>
          <w:tab w:val="left" w:pos="9360"/>
        </w:tabs>
        <w:snapToGrid w:val="0"/>
        <w:spacing w:line="360" w:lineRule="auto"/>
        <w:ind w:right="-6"/>
        <w:jc w:val="right"/>
        <w:rPr>
          <w:rFonts w:ascii="Times New Roman" w:hAnsi="Times New Roman"/>
          <w:iCs/>
          <w:color w:val="0000FF"/>
          <w:kern w:val="1"/>
          <w:lang w:val="uk-UA"/>
        </w:rPr>
      </w:pPr>
    </w:p>
    <w:p w14:paraId="5ECACAFB" w14:textId="77777777" w:rsidR="00602650" w:rsidRDefault="00602650" w:rsidP="006D2BB7">
      <w:pPr>
        <w:widowControl w:val="0"/>
        <w:tabs>
          <w:tab w:val="left" w:pos="9360"/>
        </w:tabs>
        <w:snapToGrid w:val="0"/>
        <w:spacing w:line="360" w:lineRule="auto"/>
        <w:ind w:right="-6"/>
        <w:jc w:val="right"/>
        <w:rPr>
          <w:rFonts w:ascii="Times New Roman" w:hAnsi="Times New Roman"/>
          <w:iCs/>
          <w:color w:val="0000FF"/>
          <w:kern w:val="1"/>
          <w:lang w:val="uk-UA"/>
        </w:rPr>
      </w:pPr>
    </w:p>
    <w:p w14:paraId="24D9DD85" w14:textId="77777777" w:rsidR="00602650" w:rsidRDefault="00602650" w:rsidP="006D2BB7">
      <w:pPr>
        <w:widowControl w:val="0"/>
        <w:tabs>
          <w:tab w:val="left" w:pos="9360"/>
        </w:tabs>
        <w:snapToGrid w:val="0"/>
        <w:spacing w:line="360" w:lineRule="auto"/>
        <w:ind w:right="-6"/>
        <w:jc w:val="right"/>
        <w:rPr>
          <w:rFonts w:ascii="Times New Roman" w:hAnsi="Times New Roman"/>
          <w:iCs/>
          <w:color w:val="0000FF"/>
          <w:kern w:val="1"/>
          <w:lang w:val="uk-UA"/>
        </w:rPr>
      </w:pPr>
    </w:p>
    <w:p w14:paraId="55140517" w14:textId="77777777" w:rsidR="00602650" w:rsidRDefault="00602650" w:rsidP="006D2BB7">
      <w:pPr>
        <w:widowControl w:val="0"/>
        <w:tabs>
          <w:tab w:val="left" w:pos="9360"/>
        </w:tabs>
        <w:snapToGrid w:val="0"/>
        <w:spacing w:line="360" w:lineRule="auto"/>
        <w:ind w:right="-6"/>
        <w:jc w:val="right"/>
        <w:rPr>
          <w:rFonts w:ascii="Times New Roman" w:hAnsi="Times New Roman"/>
          <w:iCs/>
          <w:color w:val="0000FF"/>
          <w:kern w:val="1"/>
          <w:lang w:val="uk-UA"/>
        </w:rPr>
      </w:pPr>
    </w:p>
    <w:p w14:paraId="7C143205" w14:textId="77777777" w:rsidR="00602650" w:rsidRDefault="00602650" w:rsidP="006D2BB7">
      <w:pPr>
        <w:widowControl w:val="0"/>
        <w:tabs>
          <w:tab w:val="left" w:pos="9360"/>
        </w:tabs>
        <w:snapToGrid w:val="0"/>
        <w:spacing w:line="360" w:lineRule="auto"/>
        <w:ind w:right="-6"/>
        <w:jc w:val="right"/>
        <w:rPr>
          <w:rFonts w:ascii="Times New Roman" w:hAnsi="Times New Roman"/>
          <w:iCs/>
          <w:color w:val="0000FF"/>
          <w:kern w:val="1"/>
          <w:lang w:val="uk-UA"/>
        </w:rPr>
      </w:pPr>
    </w:p>
    <w:p w14:paraId="2DCFF4E2" w14:textId="77777777" w:rsidR="00602650" w:rsidRDefault="00602650" w:rsidP="006D2BB7">
      <w:pPr>
        <w:widowControl w:val="0"/>
        <w:tabs>
          <w:tab w:val="left" w:pos="9360"/>
        </w:tabs>
        <w:snapToGrid w:val="0"/>
        <w:spacing w:line="360" w:lineRule="auto"/>
        <w:ind w:right="-6"/>
        <w:jc w:val="right"/>
        <w:rPr>
          <w:rFonts w:ascii="Times New Roman" w:hAnsi="Times New Roman"/>
          <w:iCs/>
          <w:color w:val="0000FF"/>
          <w:kern w:val="1"/>
          <w:lang w:val="uk-UA"/>
        </w:rPr>
      </w:pPr>
    </w:p>
    <w:p w14:paraId="1DF260BD" w14:textId="77777777" w:rsidR="00602650" w:rsidRDefault="00602650" w:rsidP="006D2BB7">
      <w:pPr>
        <w:widowControl w:val="0"/>
        <w:tabs>
          <w:tab w:val="left" w:pos="9360"/>
        </w:tabs>
        <w:snapToGrid w:val="0"/>
        <w:spacing w:line="360" w:lineRule="auto"/>
        <w:ind w:right="-6"/>
        <w:jc w:val="right"/>
        <w:rPr>
          <w:rFonts w:ascii="Times New Roman" w:hAnsi="Times New Roman"/>
          <w:iCs/>
          <w:color w:val="0000FF"/>
          <w:kern w:val="1"/>
          <w:lang w:val="uk-UA"/>
        </w:rPr>
      </w:pPr>
    </w:p>
    <w:p w14:paraId="7675F5F1" w14:textId="77777777" w:rsidR="00602650" w:rsidRDefault="00602650" w:rsidP="006D2BB7">
      <w:pPr>
        <w:widowControl w:val="0"/>
        <w:tabs>
          <w:tab w:val="left" w:pos="9360"/>
        </w:tabs>
        <w:snapToGrid w:val="0"/>
        <w:spacing w:line="360" w:lineRule="auto"/>
        <w:ind w:right="-6"/>
        <w:jc w:val="right"/>
        <w:rPr>
          <w:rFonts w:ascii="Times New Roman" w:hAnsi="Times New Roman"/>
          <w:iCs/>
          <w:color w:val="0000FF"/>
          <w:kern w:val="1"/>
          <w:lang w:val="uk-UA"/>
        </w:rPr>
      </w:pPr>
    </w:p>
    <w:p w14:paraId="2669231A" w14:textId="77777777" w:rsidR="00602650" w:rsidRDefault="00602650" w:rsidP="006D2BB7">
      <w:pPr>
        <w:widowControl w:val="0"/>
        <w:tabs>
          <w:tab w:val="left" w:pos="9360"/>
        </w:tabs>
        <w:snapToGrid w:val="0"/>
        <w:spacing w:line="360" w:lineRule="auto"/>
        <w:ind w:right="-6"/>
        <w:jc w:val="right"/>
        <w:rPr>
          <w:rFonts w:ascii="Times New Roman" w:hAnsi="Times New Roman"/>
          <w:iCs/>
          <w:color w:val="0000FF"/>
          <w:kern w:val="1"/>
          <w:lang w:val="uk-UA"/>
        </w:rPr>
      </w:pPr>
    </w:p>
    <w:p w14:paraId="2A745C5C" w14:textId="77777777" w:rsidR="00602650" w:rsidRDefault="00602650" w:rsidP="006D2BB7">
      <w:pPr>
        <w:widowControl w:val="0"/>
        <w:tabs>
          <w:tab w:val="left" w:pos="9360"/>
        </w:tabs>
        <w:snapToGrid w:val="0"/>
        <w:spacing w:line="360" w:lineRule="auto"/>
        <w:ind w:right="-6"/>
        <w:jc w:val="right"/>
        <w:rPr>
          <w:rFonts w:ascii="Times New Roman" w:hAnsi="Times New Roman"/>
          <w:iCs/>
          <w:color w:val="0000FF"/>
          <w:kern w:val="1"/>
          <w:lang w:val="uk-UA"/>
        </w:rPr>
      </w:pPr>
    </w:p>
    <w:p w14:paraId="4D080CF0" w14:textId="77777777" w:rsidR="00602650" w:rsidRDefault="00602650" w:rsidP="006D2BB7">
      <w:pPr>
        <w:widowControl w:val="0"/>
        <w:tabs>
          <w:tab w:val="left" w:pos="9360"/>
        </w:tabs>
        <w:snapToGrid w:val="0"/>
        <w:spacing w:line="360" w:lineRule="auto"/>
        <w:ind w:right="-6"/>
        <w:jc w:val="right"/>
        <w:rPr>
          <w:rFonts w:ascii="Times New Roman" w:hAnsi="Times New Roman"/>
          <w:iCs/>
          <w:color w:val="0000FF"/>
          <w:kern w:val="1"/>
          <w:lang w:val="uk-UA"/>
        </w:rPr>
      </w:pPr>
    </w:p>
    <w:p w14:paraId="48E53305" w14:textId="77777777" w:rsidR="00F864F1" w:rsidRDefault="00F864F1" w:rsidP="006D2BB7">
      <w:pPr>
        <w:widowControl w:val="0"/>
        <w:tabs>
          <w:tab w:val="left" w:pos="9360"/>
        </w:tabs>
        <w:snapToGrid w:val="0"/>
        <w:spacing w:line="360" w:lineRule="auto"/>
        <w:ind w:right="-6"/>
        <w:jc w:val="right"/>
        <w:rPr>
          <w:rFonts w:ascii="Times New Roman" w:hAnsi="Times New Roman"/>
          <w:iCs/>
          <w:color w:val="0000FF"/>
          <w:kern w:val="1"/>
          <w:lang w:val="uk-UA"/>
        </w:rPr>
      </w:pPr>
    </w:p>
    <w:p w14:paraId="1BE32CDF" w14:textId="77777777" w:rsidR="00602650" w:rsidRDefault="00602650" w:rsidP="006D2BB7">
      <w:pPr>
        <w:widowControl w:val="0"/>
        <w:tabs>
          <w:tab w:val="left" w:pos="9360"/>
        </w:tabs>
        <w:snapToGrid w:val="0"/>
        <w:spacing w:line="360" w:lineRule="auto"/>
        <w:ind w:right="-6"/>
        <w:jc w:val="right"/>
        <w:rPr>
          <w:rFonts w:ascii="Times New Roman" w:hAnsi="Times New Roman"/>
          <w:iCs/>
          <w:color w:val="0000FF"/>
          <w:kern w:val="1"/>
          <w:lang w:val="uk-UA"/>
        </w:rPr>
      </w:pPr>
    </w:p>
    <w:p w14:paraId="753D299F" w14:textId="0AACE2E2" w:rsidR="00602650" w:rsidRDefault="00602650" w:rsidP="006D2BB7">
      <w:pPr>
        <w:widowControl w:val="0"/>
        <w:tabs>
          <w:tab w:val="left" w:pos="9360"/>
        </w:tabs>
        <w:snapToGrid w:val="0"/>
        <w:spacing w:line="360" w:lineRule="auto"/>
        <w:ind w:right="-6"/>
        <w:jc w:val="right"/>
        <w:rPr>
          <w:rFonts w:ascii="Times New Roman" w:hAnsi="Times New Roman"/>
          <w:iCs/>
          <w:color w:val="0000FF"/>
          <w:kern w:val="1"/>
          <w:lang w:val="uk-UA"/>
        </w:rPr>
      </w:pPr>
    </w:p>
    <w:p w14:paraId="25889E51" w14:textId="77777777" w:rsidR="00C470B6" w:rsidRDefault="00C470B6" w:rsidP="006D2BB7">
      <w:pPr>
        <w:widowControl w:val="0"/>
        <w:tabs>
          <w:tab w:val="left" w:pos="9360"/>
        </w:tabs>
        <w:snapToGrid w:val="0"/>
        <w:spacing w:line="360" w:lineRule="auto"/>
        <w:ind w:right="-6"/>
        <w:jc w:val="right"/>
        <w:rPr>
          <w:rFonts w:ascii="Times New Roman" w:hAnsi="Times New Roman"/>
          <w:iCs/>
          <w:color w:val="0000FF"/>
          <w:kern w:val="1"/>
          <w:lang w:val="uk-UA"/>
        </w:rPr>
      </w:pPr>
    </w:p>
    <w:p w14:paraId="4672A4F5" w14:textId="77777777" w:rsidR="00602650" w:rsidRDefault="00602650" w:rsidP="006D2BB7">
      <w:pPr>
        <w:widowControl w:val="0"/>
        <w:tabs>
          <w:tab w:val="left" w:pos="9360"/>
        </w:tabs>
        <w:snapToGrid w:val="0"/>
        <w:spacing w:line="360" w:lineRule="auto"/>
        <w:ind w:right="-6"/>
        <w:jc w:val="right"/>
        <w:rPr>
          <w:rFonts w:ascii="Times New Roman" w:hAnsi="Times New Roman"/>
          <w:iCs/>
          <w:color w:val="0000FF"/>
          <w:kern w:val="1"/>
          <w:lang w:val="uk-UA"/>
        </w:rPr>
      </w:pPr>
    </w:p>
    <w:p w14:paraId="372F2FEF" w14:textId="77777777" w:rsidR="005745AF" w:rsidRPr="00E16672" w:rsidRDefault="007D0843" w:rsidP="005745AF">
      <w:pPr>
        <w:rPr>
          <w:rFonts w:ascii="Times New Roman" w:hAnsi="Times New Roman"/>
          <w:bCs/>
          <w:color w:val="000000"/>
          <w:szCs w:val="20"/>
          <w:lang w:val="uk-UA"/>
        </w:rPr>
      </w:pPr>
      <w:r>
        <w:rPr>
          <w:rFonts w:ascii="Times New Roman" w:hAnsi="Times New Roman"/>
          <w:noProof/>
          <w:lang w:val="uk-UA" w:eastAsia="uk-UA"/>
        </w:rPr>
        <w:lastRenderedPageBreak/>
        <w:pict w14:anchorId="6E345585">
          <v:line id="Прямая соединительная линия 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8pt" to="2.15pt,6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" strokeweight=".26mm"/>
        </w:pict>
      </w:r>
      <w:r>
        <w:rPr>
          <w:rFonts w:ascii="Times New Roman" w:hAnsi="Times New Roman"/>
          <w:noProof/>
          <w:lang w:val="uk-UA" w:eastAsia="uk-UA"/>
        </w:rPr>
        <w:pict w14:anchorId="68C1B837">
          <v:line id="Прямая соединительная линия 2" o:spid="_x0000_s1048"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6.7pt,1.8pt" to="546.9pt,6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" strokeweight=".26mm"/>
        </w:pict>
      </w:r>
      <w:r>
        <w:rPr>
          <w:rFonts w:ascii="Times New Roman" w:hAnsi="Times New Roman"/>
          <w:noProof/>
          <w:lang w:val="uk-UA" w:eastAsia="uk-UA"/>
        </w:rPr>
        <w:pict w14:anchorId="6AC4FB35">
          <v:line id="Прямая соединительная линия 4" o:spid="_x0000_s1047"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1.85pt" to="546.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" strokeweight=".26mm"/>
        </w:pict>
      </w:r>
    </w:p>
    <w:p w14:paraId="284EB101" w14:textId="77777777" w:rsidR="005745AF" w:rsidRPr="00F864F1" w:rsidRDefault="005745AF" w:rsidP="00F864F1">
      <w:pPr>
        <w:ind w:left="142" w:hanging="142"/>
        <w:jc w:val="center"/>
        <w:rPr>
          <w:rFonts w:ascii="Times New Roman" w:hAnsi="Times New Roman"/>
          <w:b/>
          <w:bCs/>
          <w:color w:val="000000"/>
          <w:szCs w:val="20"/>
          <w:lang w:val="uk-UA"/>
        </w:rPr>
      </w:pPr>
      <w:r w:rsidRPr="00F864F1">
        <w:rPr>
          <w:rFonts w:ascii="Times New Roman" w:hAnsi="Times New Roman"/>
          <w:b/>
          <w:bCs/>
          <w:color w:val="000000"/>
          <w:szCs w:val="20"/>
          <w:lang w:val="uk-UA"/>
        </w:rPr>
        <w:t xml:space="preserve">Депозитарна установа ТОВ </w:t>
      </w:r>
      <w:r w:rsidR="00022F5F" w:rsidRPr="00F864F1">
        <w:rPr>
          <w:rFonts w:ascii="Times New Roman" w:hAnsi="Times New Roman"/>
          <w:b/>
          <w:bCs/>
          <w:color w:val="000000"/>
          <w:szCs w:val="20"/>
          <w:lang w:val="uk-UA"/>
        </w:rPr>
        <w:t>"</w:t>
      </w:r>
      <w:r w:rsidR="00E16672" w:rsidRPr="00F864F1">
        <w:rPr>
          <w:rFonts w:ascii="Times New Roman" w:hAnsi="Times New Roman"/>
          <w:b/>
          <w:bCs/>
          <w:color w:val="000000"/>
          <w:szCs w:val="20"/>
          <w:lang w:val="uk-UA"/>
        </w:rPr>
        <w:t>КОМЕКС ЦІННІ ПАПЕРИ</w:t>
      </w:r>
      <w:r w:rsidR="00022F5F" w:rsidRPr="00F864F1">
        <w:rPr>
          <w:rFonts w:ascii="Times New Roman" w:hAnsi="Times New Roman"/>
          <w:b/>
          <w:bCs/>
          <w:color w:val="000000"/>
          <w:szCs w:val="20"/>
          <w:lang w:val="uk-UA"/>
        </w:rPr>
        <w:t>"</w:t>
      </w:r>
      <w:r w:rsidR="001A2DB1" w:rsidRPr="00F864F1">
        <w:rPr>
          <w:rFonts w:ascii="Times New Roman" w:hAnsi="Times New Roman"/>
          <w:b/>
          <w:bCs/>
          <w:color w:val="000000"/>
          <w:szCs w:val="20"/>
          <w:lang w:val="uk-UA"/>
        </w:rPr>
        <w:t xml:space="preserve">,  </w:t>
      </w:r>
      <w:r w:rsidRPr="00F864F1">
        <w:rPr>
          <w:rFonts w:ascii="Times New Roman" w:hAnsi="Times New Roman"/>
          <w:b/>
          <w:bCs/>
          <w:color w:val="000000"/>
          <w:szCs w:val="20"/>
          <w:lang w:val="uk-UA"/>
        </w:rPr>
        <w:t xml:space="preserve">ЄДРПОУ </w:t>
      </w:r>
      <w:r w:rsidR="00E16672" w:rsidRPr="00F864F1">
        <w:rPr>
          <w:rFonts w:ascii="Times New Roman" w:hAnsi="Times New Roman"/>
          <w:b/>
          <w:bCs/>
          <w:color w:val="000000"/>
          <w:szCs w:val="20"/>
          <w:lang w:val="uk-UA"/>
        </w:rPr>
        <w:t>33153077</w:t>
      </w:r>
    </w:p>
    <w:p w14:paraId="6DE92A49" w14:textId="77777777" w:rsidR="005745AF" w:rsidRPr="00E16672" w:rsidRDefault="005745AF" w:rsidP="005745AF">
      <w:pPr>
        <w:ind w:left="142" w:hanging="142"/>
        <w:jc w:val="center"/>
        <w:rPr>
          <w:rFonts w:ascii="Times New Roman" w:hAnsi="Times New Roman"/>
          <w:bCs/>
          <w:color w:val="000000"/>
          <w:szCs w:val="20"/>
          <w:lang w:val="uk-UA"/>
        </w:rPr>
      </w:pPr>
      <w:r w:rsidRPr="00E16672">
        <w:rPr>
          <w:rFonts w:ascii="Times New Roman" w:hAnsi="Times New Roman"/>
          <w:bCs/>
          <w:color w:val="000000"/>
          <w:szCs w:val="20"/>
          <w:lang w:val="uk-UA"/>
        </w:rPr>
        <w:t>Ліцензія серія АЕ №</w:t>
      </w:r>
      <w:r w:rsidR="00E16672" w:rsidRPr="00E16672">
        <w:rPr>
          <w:rFonts w:ascii="Times New Roman" w:hAnsi="Times New Roman"/>
          <w:bCs/>
          <w:color w:val="000000"/>
          <w:szCs w:val="20"/>
          <w:lang w:val="uk-UA"/>
        </w:rPr>
        <w:t>263429</w:t>
      </w:r>
      <w:r w:rsidRPr="00E16672">
        <w:rPr>
          <w:rFonts w:ascii="Times New Roman" w:hAnsi="Times New Roman"/>
          <w:bCs/>
          <w:color w:val="000000"/>
          <w:szCs w:val="20"/>
          <w:lang w:val="uk-UA"/>
        </w:rPr>
        <w:t xml:space="preserve"> від </w:t>
      </w:r>
      <w:r w:rsidR="00CE0D17">
        <w:rPr>
          <w:rFonts w:ascii="Times New Roman" w:hAnsi="Times New Roman"/>
          <w:bCs/>
          <w:color w:val="000000"/>
          <w:szCs w:val="20"/>
          <w:lang w:val="uk-UA"/>
        </w:rPr>
        <w:t>01</w:t>
      </w:r>
      <w:r w:rsidRPr="00E16672">
        <w:rPr>
          <w:rFonts w:ascii="Times New Roman" w:hAnsi="Times New Roman"/>
          <w:bCs/>
          <w:color w:val="000000"/>
          <w:szCs w:val="20"/>
          <w:lang w:val="uk-UA"/>
        </w:rPr>
        <w:t xml:space="preserve"> </w:t>
      </w:r>
      <w:r w:rsidR="00CE0D17">
        <w:rPr>
          <w:rFonts w:ascii="Times New Roman" w:hAnsi="Times New Roman"/>
          <w:bCs/>
          <w:color w:val="000000"/>
          <w:szCs w:val="20"/>
          <w:lang w:val="uk-UA"/>
        </w:rPr>
        <w:t>жовтня</w:t>
      </w:r>
      <w:r w:rsidRPr="00E16672">
        <w:rPr>
          <w:rFonts w:ascii="Times New Roman" w:hAnsi="Times New Roman"/>
          <w:bCs/>
          <w:color w:val="000000"/>
          <w:szCs w:val="20"/>
          <w:lang w:val="uk-UA"/>
        </w:rPr>
        <w:t xml:space="preserve"> 2013 р.,</w:t>
      </w:r>
    </w:p>
    <w:p w14:paraId="250811D5" w14:textId="77777777" w:rsidR="005745AF" w:rsidRPr="00E16672" w:rsidRDefault="005745AF" w:rsidP="005745AF">
      <w:pPr>
        <w:jc w:val="center"/>
        <w:rPr>
          <w:rFonts w:ascii="Times New Roman" w:hAnsi="Times New Roman"/>
          <w:bCs/>
          <w:szCs w:val="20"/>
          <w:lang w:val="uk-UA"/>
        </w:rPr>
      </w:pPr>
      <w:r w:rsidRPr="00E16672">
        <w:rPr>
          <w:rFonts w:ascii="Times New Roman" w:hAnsi="Times New Roman"/>
          <w:bCs/>
          <w:color w:val="000000"/>
          <w:szCs w:val="20"/>
          <w:lang w:val="uk-UA"/>
        </w:rPr>
        <w:t xml:space="preserve">Адреса: </w:t>
      </w:r>
      <w:r w:rsidR="00CE0D17">
        <w:rPr>
          <w:rFonts w:ascii="Times New Roman" w:hAnsi="Times New Roman"/>
          <w:bCs/>
          <w:szCs w:val="20"/>
          <w:lang w:val="uk-UA"/>
        </w:rPr>
        <w:t>03150</w:t>
      </w:r>
      <w:r w:rsidR="00CE0D17" w:rsidRPr="00CE0D17">
        <w:rPr>
          <w:rFonts w:ascii="Times New Roman" w:hAnsi="Times New Roman"/>
          <w:bCs/>
          <w:szCs w:val="20"/>
          <w:lang w:val="uk-UA"/>
        </w:rPr>
        <w:t xml:space="preserve">, </w:t>
      </w:r>
      <w:proofErr w:type="spellStart"/>
      <w:r w:rsidR="00CE0D17" w:rsidRPr="00CE0D17">
        <w:rPr>
          <w:rFonts w:ascii="Times New Roman" w:hAnsi="Times New Roman"/>
          <w:bCs/>
          <w:szCs w:val="20"/>
          <w:lang w:val="uk-UA"/>
        </w:rPr>
        <w:t>м.Київ</w:t>
      </w:r>
      <w:proofErr w:type="spellEnd"/>
      <w:r w:rsidR="00CE0D17" w:rsidRPr="00CE0D17">
        <w:rPr>
          <w:rFonts w:ascii="Times New Roman" w:hAnsi="Times New Roman"/>
          <w:bCs/>
          <w:szCs w:val="20"/>
          <w:lang w:val="uk-UA"/>
        </w:rPr>
        <w:t>, Велика Васильківська (колишня Червоноармійська) вул., буд. 65</w:t>
      </w:r>
    </w:p>
    <w:p w14:paraId="41A0CDA7" w14:textId="77777777" w:rsidR="005745AF" w:rsidRPr="00E16672" w:rsidRDefault="005745AF" w:rsidP="005745AF">
      <w:pPr>
        <w:tabs>
          <w:tab w:val="left" w:pos="288"/>
          <w:tab w:val="left" w:pos="720"/>
          <w:tab w:val="left" w:pos="1008"/>
          <w:tab w:val="left" w:pos="1584"/>
          <w:tab w:val="left" w:pos="2160"/>
          <w:tab w:val="left" w:pos="3600"/>
        </w:tabs>
        <w:ind w:right="1"/>
        <w:jc w:val="center"/>
        <w:rPr>
          <w:rFonts w:ascii="Times New Roman" w:hAnsi="Times New Roman"/>
          <w:bCs/>
          <w:szCs w:val="20"/>
          <w:lang w:val="uk-UA"/>
        </w:rPr>
      </w:pPr>
      <w:r w:rsidRPr="00E16672">
        <w:rPr>
          <w:rFonts w:ascii="Times New Roman" w:hAnsi="Times New Roman"/>
          <w:bCs/>
          <w:szCs w:val="20"/>
          <w:lang w:val="uk-UA"/>
        </w:rPr>
        <w:t>Рахунок в Центральному Депозитарії №100024-UA40</w:t>
      </w:r>
      <w:r w:rsidR="00CE0D17">
        <w:rPr>
          <w:rFonts w:ascii="Times New Roman" w:hAnsi="Times New Roman"/>
          <w:bCs/>
          <w:szCs w:val="20"/>
          <w:lang w:val="uk-UA"/>
        </w:rPr>
        <w:t>401265</w:t>
      </w:r>
      <w:r w:rsidRPr="00E16672">
        <w:rPr>
          <w:rFonts w:ascii="Times New Roman" w:hAnsi="Times New Roman"/>
          <w:bCs/>
          <w:szCs w:val="20"/>
          <w:lang w:val="uk-UA"/>
        </w:rPr>
        <w:t xml:space="preserve">, код МДО </w:t>
      </w:r>
      <w:r w:rsidR="00CE0D17">
        <w:rPr>
          <w:rFonts w:ascii="Times New Roman" w:hAnsi="Times New Roman"/>
          <w:bCs/>
          <w:szCs w:val="20"/>
          <w:lang w:val="uk-UA"/>
        </w:rPr>
        <w:t>401265</w:t>
      </w:r>
    </w:p>
    <w:p w14:paraId="50FE5F20" w14:textId="77777777" w:rsidR="005745AF" w:rsidRPr="00E16672" w:rsidRDefault="005745AF" w:rsidP="005745AF">
      <w:pPr>
        <w:tabs>
          <w:tab w:val="left" w:pos="288"/>
          <w:tab w:val="left" w:pos="720"/>
          <w:tab w:val="left" w:pos="1008"/>
          <w:tab w:val="left" w:pos="1584"/>
          <w:tab w:val="left" w:pos="2160"/>
          <w:tab w:val="left" w:pos="3600"/>
        </w:tabs>
        <w:ind w:right="1"/>
        <w:jc w:val="center"/>
        <w:rPr>
          <w:rFonts w:ascii="Times New Roman" w:hAnsi="Times New Roman"/>
          <w:bCs/>
          <w:sz w:val="22"/>
          <w:lang w:val="uk-UA"/>
        </w:rPr>
      </w:pPr>
    </w:p>
    <w:p w14:paraId="49943833" w14:textId="77777777" w:rsidR="005745AF" w:rsidRPr="00E16672" w:rsidRDefault="005745AF" w:rsidP="005745AF">
      <w:pPr>
        <w:jc w:val="center"/>
        <w:rPr>
          <w:rFonts w:ascii="Times New Roman" w:hAnsi="Times New Roman"/>
          <w:color w:val="000000"/>
          <w:lang w:val="uk-UA"/>
        </w:rPr>
      </w:pPr>
    </w:p>
    <w:p w14:paraId="563CD3BE" w14:textId="77777777" w:rsidR="001A2DB1" w:rsidRPr="00E16672" w:rsidRDefault="001A2DB1" w:rsidP="001A2DB1">
      <w:pPr>
        <w:rPr>
          <w:rFonts w:ascii="Times New Roman" w:hAnsi="Times New Roman"/>
        </w:rPr>
      </w:pPr>
      <w:proofErr w:type="spellStart"/>
      <w:r w:rsidRPr="00E16672">
        <w:rPr>
          <w:rFonts w:ascii="Times New Roman" w:hAnsi="Times New Roman"/>
        </w:rPr>
        <w:t>Вих</w:t>
      </w:r>
      <w:proofErr w:type="spellEnd"/>
      <w:r w:rsidRPr="00E16672">
        <w:rPr>
          <w:rFonts w:ascii="Times New Roman" w:hAnsi="Times New Roman"/>
        </w:rPr>
        <w:t>. № ____</w:t>
      </w:r>
      <w:r w:rsidRPr="00E16672">
        <w:rPr>
          <w:rFonts w:ascii="Times New Roman" w:hAnsi="Times New Roman"/>
          <w:lang w:val="uk-UA"/>
        </w:rPr>
        <w:t>_____</w:t>
      </w:r>
      <w:r w:rsidRPr="00E16672">
        <w:rPr>
          <w:rFonts w:ascii="Times New Roman" w:hAnsi="Times New Roman"/>
        </w:rPr>
        <w:t>_</w:t>
      </w:r>
    </w:p>
    <w:p w14:paraId="76940A58" w14:textId="77777777" w:rsidR="001A2DB1" w:rsidRPr="00E16672" w:rsidRDefault="00602650" w:rsidP="001A2DB1">
      <w:pPr>
        <w:rPr>
          <w:rFonts w:ascii="Times New Roman" w:hAnsi="Times New Roman"/>
          <w:lang w:val="uk-UA"/>
        </w:rPr>
      </w:pPr>
      <w:r>
        <w:rPr>
          <w:rFonts w:ascii="Times New Roman" w:hAnsi="Times New Roman"/>
          <w:lang w:val="uk-UA"/>
        </w:rPr>
        <w:t>в</w:t>
      </w:r>
      <w:r w:rsidR="001A2DB1" w:rsidRPr="00E16672">
        <w:rPr>
          <w:rFonts w:ascii="Times New Roman" w:hAnsi="Times New Roman"/>
          <w:lang w:val="uk-UA"/>
        </w:rPr>
        <w:t>ід _______ 20__р.</w:t>
      </w:r>
    </w:p>
    <w:p w14:paraId="285DC882" w14:textId="77777777" w:rsidR="005745AF" w:rsidRPr="00E16672" w:rsidRDefault="005745AF" w:rsidP="005745AF">
      <w:pPr>
        <w:rPr>
          <w:rFonts w:ascii="Times New Roman" w:hAnsi="Times New Roman"/>
          <w:color w:val="000000"/>
        </w:rPr>
      </w:pPr>
    </w:p>
    <w:p w14:paraId="30E1E47E" w14:textId="77777777" w:rsidR="005745AF" w:rsidRPr="00E16672" w:rsidRDefault="005745AF" w:rsidP="005745AF">
      <w:pPr>
        <w:jc w:val="center"/>
        <w:rPr>
          <w:rFonts w:ascii="Times New Roman" w:hAnsi="Times New Roman"/>
          <w:color w:val="000000"/>
          <w:sz w:val="36"/>
          <w:lang w:val="uk-UA"/>
        </w:rPr>
      </w:pPr>
      <w:r w:rsidRPr="00E16672">
        <w:rPr>
          <w:rFonts w:ascii="Times New Roman" w:hAnsi="Times New Roman"/>
          <w:color w:val="000000"/>
          <w:sz w:val="36"/>
          <w:lang w:val="uk-UA"/>
        </w:rPr>
        <w:t xml:space="preserve">Свідоцтво про відкриття рахунку </w:t>
      </w:r>
      <w:r w:rsidR="00C22309" w:rsidRPr="00E16672">
        <w:rPr>
          <w:rFonts w:ascii="Times New Roman" w:hAnsi="Times New Roman"/>
          <w:color w:val="000000"/>
          <w:sz w:val="36"/>
          <w:lang w:val="uk-UA"/>
        </w:rPr>
        <w:t>в цін</w:t>
      </w:r>
      <w:r w:rsidRPr="00E16672">
        <w:rPr>
          <w:rFonts w:ascii="Times New Roman" w:hAnsi="Times New Roman"/>
          <w:sz w:val="36"/>
          <w:lang w:val="uk-UA"/>
        </w:rPr>
        <w:t>них паперах</w:t>
      </w:r>
    </w:p>
    <w:p w14:paraId="65077144" w14:textId="77777777" w:rsidR="005745AF" w:rsidRPr="00E16672" w:rsidRDefault="005745AF" w:rsidP="005745AF">
      <w:pPr>
        <w:rPr>
          <w:rFonts w:ascii="Times New Roman" w:hAnsi="Times New Roman"/>
          <w:color w:val="000000"/>
          <w:sz w:val="28"/>
          <w:lang w:val="uk-UA"/>
        </w:rPr>
      </w:pPr>
    </w:p>
    <w:p w14:paraId="69912015" w14:textId="77777777" w:rsidR="005745AF" w:rsidRPr="00E16672" w:rsidRDefault="005745AF" w:rsidP="005745AF">
      <w:pPr>
        <w:rPr>
          <w:rFonts w:ascii="Times New Roman" w:hAnsi="Times New Roman"/>
          <w:color w:val="000000"/>
          <w:sz w:val="28"/>
          <w:lang w:val="uk-UA"/>
        </w:rPr>
      </w:pPr>
    </w:p>
    <w:p w14:paraId="7F88B26C" w14:textId="77777777" w:rsidR="00602650" w:rsidRPr="00E16672" w:rsidRDefault="00602650" w:rsidP="00602650">
      <w:pPr>
        <w:pStyle w:val="mystylen"/>
        <w:keepNext w:val="0"/>
        <w:keepLines w:val="0"/>
        <w:pageBreakBefore w:val="0"/>
        <w:spacing w:before="0" w:after="0"/>
        <w:jc w:val="both"/>
        <w:rPr>
          <w:rFonts w:ascii="Times New Roman" w:hAnsi="Times New Roman"/>
          <w:color w:val="000000"/>
          <w:lang w:val="uk-UA"/>
        </w:rPr>
      </w:pPr>
      <w:r w:rsidRPr="00E16672">
        <w:rPr>
          <w:rFonts w:ascii="Times New Roman" w:hAnsi="Times New Roman"/>
          <w:color w:val="000000"/>
          <w:lang w:val="uk-UA"/>
        </w:rPr>
        <w:t>м. Київ</w:t>
      </w:r>
    </w:p>
    <w:p w14:paraId="3A31CF8C" w14:textId="77777777" w:rsidR="005745AF" w:rsidRPr="00E16672" w:rsidRDefault="005745AF" w:rsidP="005745AF">
      <w:pPr>
        <w:pStyle w:val="mystylen"/>
        <w:keepNext w:val="0"/>
        <w:keepLines w:val="0"/>
        <w:pageBreakBefore w:val="0"/>
        <w:spacing w:before="0" w:after="0"/>
        <w:jc w:val="both"/>
        <w:rPr>
          <w:rFonts w:ascii="Times New Roman" w:hAnsi="Times New Roman"/>
          <w:color w:val="000000"/>
          <w:lang w:val="uk-UA"/>
        </w:rPr>
      </w:pPr>
      <w:r w:rsidRPr="00E16672">
        <w:rPr>
          <w:rFonts w:ascii="Times New Roman" w:hAnsi="Times New Roman"/>
          <w:color w:val="000000"/>
          <w:lang w:val="uk-UA"/>
        </w:rPr>
        <w:t>“</w:t>
      </w:r>
      <w:r w:rsidR="00602650">
        <w:rPr>
          <w:rFonts w:ascii="Times New Roman" w:hAnsi="Times New Roman"/>
          <w:color w:val="000000"/>
          <w:lang w:val="uk-UA"/>
        </w:rPr>
        <w:t xml:space="preserve">    </w:t>
      </w:r>
      <w:r w:rsidRPr="00E16672">
        <w:rPr>
          <w:rFonts w:ascii="Times New Roman" w:hAnsi="Times New Roman"/>
          <w:color w:val="000000"/>
          <w:lang w:val="uk-UA"/>
        </w:rPr>
        <w:t xml:space="preserve">” _______ </w:t>
      </w:r>
      <w:r w:rsidR="00602650">
        <w:rPr>
          <w:rFonts w:ascii="Times New Roman" w:hAnsi="Times New Roman"/>
          <w:color w:val="000000"/>
          <w:lang w:val="uk-UA"/>
        </w:rPr>
        <w:t>20</w:t>
      </w:r>
      <w:r w:rsidRPr="00E16672">
        <w:rPr>
          <w:rFonts w:ascii="Times New Roman" w:hAnsi="Times New Roman"/>
          <w:color w:val="000000"/>
          <w:lang w:val="uk-UA"/>
        </w:rPr>
        <w:t>____ р.</w:t>
      </w:r>
      <w:r w:rsidRPr="00E16672">
        <w:rPr>
          <w:rFonts w:ascii="Times New Roman" w:hAnsi="Times New Roman"/>
          <w:color w:val="000000"/>
          <w:lang w:val="uk-UA"/>
        </w:rPr>
        <w:tab/>
      </w:r>
      <w:r w:rsidRPr="00E16672">
        <w:rPr>
          <w:rFonts w:ascii="Times New Roman" w:hAnsi="Times New Roman"/>
          <w:color w:val="000000"/>
          <w:lang w:val="uk-UA"/>
        </w:rPr>
        <w:tab/>
      </w:r>
      <w:r w:rsidRPr="00E16672">
        <w:rPr>
          <w:rFonts w:ascii="Times New Roman" w:hAnsi="Times New Roman"/>
          <w:color w:val="000000"/>
          <w:lang w:val="uk-UA"/>
        </w:rPr>
        <w:tab/>
        <w:t xml:space="preserve">                     </w:t>
      </w:r>
      <w:r w:rsidRPr="00E16672">
        <w:rPr>
          <w:rFonts w:ascii="Times New Roman" w:hAnsi="Times New Roman"/>
          <w:color w:val="000000"/>
          <w:lang w:val="uk-UA"/>
        </w:rPr>
        <w:tab/>
      </w:r>
      <w:r w:rsidRPr="00E16672">
        <w:rPr>
          <w:rFonts w:ascii="Times New Roman" w:hAnsi="Times New Roman"/>
          <w:color w:val="000000"/>
          <w:lang w:val="uk-UA"/>
        </w:rPr>
        <w:tab/>
      </w:r>
      <w:r w:rsidRPr="00E16672">
        <w:rPr>
          <w:rFonts w:ascii="Times New Roman" w:hAnsi="Times New Roman"/>
          <w:color w:val="000000"/>
          <w:lang w:val="uk-UA"/>
        </w:rPr>
        <w:tab/>
      </w:r>
    </w:p>
    <w:p w14:paraId="23F40082" w14:textId="77777777" w:rsidR="005745AF" w:rsidRPr="00E16672" w:rsidRDefault="005745AF" w:rsidP="005745AF">
      <w:pPr>
        <w:rPr>
          <w:rFonts w:ascii="Times New Roman" w:hAnsi="Times New Roman"/>
          <w:color w:val="000000"/>
          <w:sz w:val="28"/>
          <w:lang w:val="uk-UA"/>
        </w:rPr>
      </w:pPr>
    </w:p>
    <w:p w14:paraId="62C43C1D" w14:textId="77777777" w:rsidR="005745AF" w:rsidRPr="00E16672" w:rsidRDefault="005745AF" w:rsidP="005745AF">
      <w:pPr>
        <w:rPr>
          <w:rFonts w:ascii="Times New Roman" w:hAnsi="Times New Roman"/>
          <w:color w:val="000000"/>
          <w:sz w:val="28"/>
          <w:lang w:val="uk-UA"/>
        </w:rPr>
      </w:pPr>
    </w:p>
    <w:p w14:paraId="1D4309EA" w14:textId="77777777" w:rsidR="005745AF" w:rsidRPr="00E16672" w:rsidRDefault="005745AF" w:rsidP="005745AF">
      <w:pPr>
        <w:rPr>
          <w:rFonts w:ascii="Times New Roman" w:hAnsi="Times New Roman"/>
          <w:color w:val="000000"/>
          <w:sz w:val="28"/>
          <w:lang w:val="uk-UA"/>
        </w:rPr>
      </w:pPr>
    </w:p>
    <w:p w14:paraId="2FE026A2" w14:textId="77777777" w:rsidR="005745AF" w:rsidRPr="00E16672" w:rsidRDefault="005745AF" w:rsidP="005745AF">
      <w:pPr>
        <w:jc w:val="center"/>
        <w:rPr>
          <w:rFonts w:ascii="Times New Roman" w:hAnsi="Times New Roman"/>
          <w:color w:val="000000"/>
          <w:sz w:val="28"/>
          <w:lang w:val="uk-UA"/>
        </w:rPr>
      </w:pPr>
    </w:p>
    <w:p w14:paraId="4536D969" w14:textId="77777777" w:rsidR="00CA710E" w:rsidRPr="00E16672" w:rsidRDefault="00CA710E" w:rsidP="005745AF">
      <w:pPr>
        <w:jc w:val="center"/>
        <w:rPr>
          <w:rFonts w:ascii="Times New Roman" w:hAnsi="Times New Roman"/>
          <w:color w:val="000000"/>
          <w:sz w:val="28"/>
          <w:lang w:val="uk-UA"/>
        </w:rPr>
      </w:pPr>
    </w:p>
    <w:p w14:paraId="643F72B3" w14:textId="77777777" w:rsidR="00CA710E" w:rsidRPr="00E16672" w:rsidRDefault="00CA710E" w:rsidP="005745AF">
      <w:pPr>
        <w:jc w:val="center"/>
        <w:rPr>
          <w:rFonts w:ascii="Times New Roman" w:hAnsi="Times New Roman"/>
          <w:color w:val="000000"/>
          <w:sz w:val="28"/>
          <w:lang w:val="uk-UA"/>
        </w:rPr>
      </w:pPr>
    </w:p>
    <w:p w14:paraId="712029E5" w14:textId="77777777" w:rsidR="005745AF" w:rsidRPr="00E16672" w:rsidRDefault="005745AF" w:rsidP="005745AF">
      <w:pPr>
        <w:jc w:val="center"/>
        <w:rPr>
          <w:rFonts w:ascii="Times New Roman" w:hAnsi="Times New Roman"/>
          <w:color w:val="000000"/>
          <w:sz w:val="28"/>
          <w:lang w:val="uk-UA"/>
        </w:rPr>
      </w:pPr>
      <w:r w:rsidRPr="00E16672">
        <w:rPr>
          <w:rFonts w:ascii="Times New Roman" w:hAnsi="Times New Roman"/>
          <w:color w:val="000000"/>
          <w:sz w:val="32"/>
          <w:szCs w:val="32"/>
          <w:lang w:val="uk-UA"/>
        </w:rPr>
        <w:t>Видано</w:t>
      </w:r>
      <w:r w:rsidRPr="00E16672">
        <w:rPr>
          <w:rFonts w:ascii="Times New Roman" w:hAnsi="Times New Roman"/>
          <w:color w:val="000000"/>
          <w:sz w:val="28"/>
          <w:lang w:val="uk-UA"/>
        </w:rPr>
        <w:t xml:space="preserve"> </w:t>
      </w:r>
    </w:p>
    <w:p w14:paraId="79F43378" w14:textId="77777777" w:rsidR="005745AF" w:rsidRPr="00E16672" w:rsidRDefault="005745AF" w:rsidP="005745AF">
      <w:pPr>
        <w:jc w:val="center"/>
        <w:rPr>
          <w:rFonts w:ascii="Times New Roman" w:hAnsi="Times New Roman"/>
          <w:color w:val="000000"/>
          <w:sz w:val="28"/>
          <w:lang w:val="uk-UA"/>
        </w:rPr>
      </w:pPr>
      <w:r w:rsidRPr="00E16672">
        <w:rPr>
          <w:rFonts w:ascii="Times New Roman" w:hAnsi="Times New Roman"/>
          <w:color w:val="000000"/>
          <w:sz w:val="28"/>
          <w:lang w:val="uk-UA"/>
        </w:rPr>
        <w:t>__________________________________________________</w:t>
      </w:r>
    </w:p>
    <w:p w14:paraId="28677769" w14:textId="77777777" w:rsidR="001A2DB1" w:rsidRPr="00E16672" w:rsidRDefault="001A2DB1" w:rsidP="001A2DB1">
      <w:pPr>
        <w:jc w:val="center"/>
        <w:rPr>
          <w:rFonts w:ascii="Times New Roman" w:hAnsi="Times New Roman"/>
          <w:i/>
          <w:szCs w:val="20"/>
          <w:lang w:val="uk-UA"/>
        </w:rPr>
      </w:pPr>
      <w:r w:rsidRPr="00E16672">
        <w:rPr>
          <w:rFonts w:ascii="Times New Roman" w:hAnsi="Times New Roman"/>
          <w:i/>
          <w:szCs w:val="20"/>
          <w:lang w:val="uk-UA"/>
        </w:rPr>
        <w:t>(найменування, код за ЄДРПОУ)</w:t>
      </w:r>
    </w:p>
    <w:p w14:paraId="245CB184" w14:textId="77777777" w:rsidR="001A2DB1" w:rsidRPr="00E16672" w:rsidRDefault="001A2DB1" w:rsidP="001A2DB1">
      <w:pPr>
        <w:jc w:val="center"/>
        <w:rPr>
          <w:rFonts w:ascii="Times New Roman" w:hAnsi="Times New Roman"/>
          <w:sz w:val="28"/>
          <w:lang w:val="uk-UA"/>
        </w:rPr>
      </w:pPr>
    </w:p>
    <w:p w14:paraId="1312DB8A" w14:textId="77777777" w:rsidR="005745AF" w:rsidRPr="00E16672" w:rsidRDefault="005745AF" w:rsidP="005745AF">
      <w:pPr>
        <w:jc w:val="center"/>
        <w:rPr>
          <w:rFonts w:ascii="Times New Roman" w:hAnsi="Times New Roman"/>
          <w:color w:val="000000"/>
          <w:sz w:val="28"/>
          <w:lang w:val="uk-UA"/>
        </w:rPr>
      </w:pPr>
    </w:p>
    <w:p w14:paraId="557CF4A7" w14:textId="77777777" w:rsidR="005745AF" w:rsidRPr="00E16672" w:rsidRDefault="005745AF" w:rsidP="005745AF">
      <w:pPr>
        <w:jc w:val="center"/>
        <w:rPr>
          <w:rFonts w:ascii="Times New Roman" w:hAnsi="Times New Roman"/>
          <w:color w:val="000000"/>
          <w:sz w:val="28"/>
          <w:lang w:val="uk-UA"/>
        </w:rPr>
      </w:pPr>
    </w:p>
    <w:p w14:paraId="35C29B5C" w14:textId="77777777" w:rsidR="001A2DB1" w:rsidRPr="00E16672" w:rsidRDefault="001A2DB1" w:rsidP="001A2DB1">
      <w:pPr>
        <w:jc w:val="center"/>
        <w:rPr>
          <w:rFonts w:ascii="Times New Roman" w:hAnsi="Times New Roman"/>
          <w:sz w:val="28"/>
          <w:lang w:val="uk-UA"/>
        </w:rPr>
      </w:pPr>
      <w:r w:rsidRPr="00E16672">
        <w:rPr>
          <w:rFonts w:ascii="Times New Roman" w:hAnsi="Times New Roman"/>
          <w:sz w:val="28"/>
          <w:lang w:val="uk-UA"/>
        </w:rPr>
        <w:t xml:space="preserve">в тому, що йому __.__.20__ </w:t>
      </w:r>
      <w:proofErr w:type="spellStart"/>
      <w:r w:rsidRPr="00E16672">
        <w:rPr>
          <w:rFonts w:ascii="Times New Roman" w:hAnsi="Times New Roman"/>
          <w:sz w:val="28"/>
          <w:lang w:val="uk-UA"/>
        </w:rPr>
        <w:t>р.відкрито</w:t>
      </w:r>
      <w:proofErr w:type="spellEnd"/>
      <w:r w:rsidRPr="00E16672">
        <w:rPr>
          <w:rFonts w:ascii="Times New Roman" w:hAnsi="Times New Roman"/>
          <w:sz w:val="28"/>
          <w:lang w:val="uk-UA"/>
        </w:rPr>
        <w:t xml:space="preserve"> рахунок у цінних паперах №</w:t>
      </w:r>
    </w:p>
    <w:p w14:paraId="05CEF975" w14:textId="77777777" w:rsidR="001A2DB1" w:rsidRPr="00E16672" w:rsidRDefault="001A2DB1" w:rsidP="001A2DB1">
      <w:pPr>
        <w:jc w:val="center"/>
        <w:rPr>
          <w:rFonts w:ascii="Times New Roman" w:hAnsi="Times New Roman"/>
          <w:sz w:val="28"/>
          <w:lang w:val="uk-UA"/>
        </w:rPr>
      </w:pPr>
    </w:p>
    <w:p w14:paraId="7044B998" w14:textId="77777777" w:rsidR="001A2DB1" w:rsidRPr="00E16672" w:rsidRDefault="001A2DB1" w:rsidP="001A2DB1">
      <w:pPr>
        <w:jc w:val="center"/>
        <w:rPr>
          <w:rFonts w:ascii="Times New Roman" w:hAnsi="Times New Roman"/>
          <w:b/>
          <w:sz w:val="28"/>
          <w:lang w:val="uk-UA"/>
        </w:rPr>
      </w:pPr>
      <w:r w:rsidRPr="00E16672">
        <w:rPr>
          <w:rFonts w:ascii="Times New Roman" w:hAnsi="Times New Roman"/>
          <w:sz w:val="28"/>
          <w:lang w:val="uk-UA"/>
        </w:rPr>
        <w:t xml:space="preserve"> </w:t>
      </w:r>
      <w:r w:rsidR="00CE0D17">
        <w:rPr>
          <w:rFonts w:ascii="Times New Roman" w:hAnsi="Times New Roman"/>
          <w:b/>
          <w:sz w:val="28"/>
          <w:lang w:val="uk-UA"/>
        </w:rPr>
        <w:t>401265</w:t>
      </w:r>
      <w:r w:rsidRPr="00E16672">
        <w:rPr>
          <w:rFonts w:ascii="Times New Roman" w:hAnsi="Times New Roman"/>
          <w:b/>
          <w:sz w:val="28"/>
        </w:rPr>
        <w:t xml:space="preserve">- </w:t>
      </w:r>
      <w:r w:rsidRPr="00E16672">
        <w:rPr>
          <w:rFonts w:ascii="Times New Roman" w:hAnsi="Times New Roman"/>
          <w:b/>
          <w:sz w:val="28"/>
          <w:lang w:val="uk-UA"/>
        </w:rPr>
        <w:t>___________.</w:t>
      </w:r>
    </w:p>
    <w:p w14:paraId="1790EFFC" w14:textId="77777777" w:rsidR="005745AF" w:rsidRPr="00E16672" w:rsidRDefault="005745AF" w:rsidP="005745AF">
      <w:pPr>
        <w:rPr>
          <w:rFonts w:ascii="Times New Roman" w:hAnsi="Times New Roman"/>
          <w:color w:val="000000"/>
          <w:sz w:val="28"/>
          <w:lang w:val="uk-UA"/>
        </w:rPr>
      </w:pPr>
    </w:p>
    <w:p w14:paraId="2E536273" w14:textId="77777777" w:rsidR="005745AF" w:rsidRPr="00E16672" w:rsidRDefault="005745AF" w:rsidP="005745AF">
      <w:pPr>
        <w:rPr>
          <w:rFonts w:ascii="Times New Roman" w:hAnsi="Times New Roman"/>
          <w:color w:val="000000"/>
          <w:sz w:val="28"/>
          <w:lang w:val="uk-UA"/>
        </w:rPr>
      </w:pPr>
    </w:p>
    <w:p w14:paraId="4FF4AFB1" w14:textId="77777777" w:rsidR="00CA710E" w:rsidRPr="00E16672" w:rsidRDefault="00CA710E" w:rsidP="005745AF">
      <w:pPr>
        <w:rPr>
          <w:rFonts w:ascii="Times New Roman" w:hAnsi="Times New Roman"/>
          <w:color w:val="000000"/>
          <w:sz w:val="28"/>
          <w:lang w:val="uk-UA"/>
        </w:rPr>
      </w:pPr>
    </w:p>
    <w:p w14:paraId="7904F1F0" w14:textId="77777777" w:rsidR="00CA710E" w:rsidRPr="00E16672" w:rsidRDefault="00CA710E" w:rsidP="005745AF">
      <w:pPr>
        <w:rPr>
          <w:rFonts w:ascii="Times New Roman" w:hAnsi="Times New Roman"/>
          <w:color w:val="000000"/>
          <w:sz w:val="28"/>
          <w:lang w:val="uk-UA"/>
        </w:rPr>
      </w:pPr>
    </w:p>
    <w:p w14:paraId="4DC27FD2" w14:textId="77777777" w:rsidR="00CA710E" w:rsidRPr="00E16672" w:rsidRDefault="00CA710E" w:rsidP="005745AF">
      <w:pPr>
        <w:rPr>
          <w:rFonts w:ascii="Times New Roman" w:hAnsi="Times New Roman"/>
          <w:color w:val="000000"/>
          <w:sz w:val="28"/>
          <w:lang w:val="uk-UA"/>
        </w:rPr>
      </w:pPr>
    </w:p>
    <w:p w14:paraId="39AE6A0A" w14:textId="77777777" w:rsidR="005745AF" w:rsidRPr="00E16672" w:rsidRDefault="005745AF" w:rsidP="005745AF">
      <w:pPr>
        <w:rPr>
          <w:rFonts w:ascii="Times New Roman" w:hAnsi="Times New Roman"/>
          <w:color w:val="000000"/>
          <w:sz w:val="28"/>
          <w:lang w:val="uk-UA"/>
        </w:rPr>
      </w:pPr>
    </w:p>
    <w:p w14:paraId="7326D7CC" w14:textId="77777777" w:rsidR="005745AF" w:rsidRPr="00E16672" w:rsidRDefault="005745AF" w:rsidP="005745AF">
      <w:pPr>
        <w:rPr>
          <w:rFonts w:ascii="Times New Roman" w:hAnsi="Times New Roman"/>
          <w:color w:val="000000"/>
          <w:sz w:val="28"/>
          <w:lang w:val="uk-UA"/>
        </w:rPr>
      </w:pPr>
    </w:p>
    <w:p w14:paraId="3431A8F8" w14:textId="77777777" w:rsidR="005745AF" w:rsidRPr="00E16672" w:rsidRDefault="005745AF" w:rsidP="005745AF">
      <w:pPr>
        <w:rPr>
          <w:rFonts w:ascii="Times New Roman" w:hAnsi="Times New Roman"/>
          <w:color w:val="000000"/>
          <w:sz w:val="28"/>
          <w:lang w:val="uk-UA"/>
        </w:rPr>
      </w:pPr>
    </w:p>
    <w:p w14:paraId="702BEF4F" w14:textId="77777777" w:rsidR="001A2DB1" w:rsidRPr="00E16672" w:rsidRDefault="001A2DB1" w:rsidP="001A2DB1">
      <w:pPr>
        <w:rPr>
          <w:rFonts w:ascii="Times New Roman" w:hAnsi="Times New Roman"/>
          <w:sz w:val="28"/>
          <w:lang w:val="uk-UA"/>
        </w:rPr>
      </w:pPr>
      <w:r w:rsidRPr="00E16672">
        <w:rPr>
          <w:rFonts w:ascii="Times New Roman" w:hAnsi="Times New Roman"/>
          <w:sz w:val="28"/>
          <w:lang w:val="uk-UA"/>
        </w:rPr>
        <w:t>Підпис відповідальної</w:t>
      </w:r>
    </w:p>
    <w:p w14:paraId="608892E6" w14:textId="77777777" w:rsidR="005745AF" w:rsidRPr="00E16672" w:rsidRDefault="001A2DB1" w:rsidP="005745AF">
      <w:pPr>
        <w:rPr>
          <w:rFonts w:ascii="Times New Roman" w:hAnsi="Times New Roman"/>
          <w:color w:val="000000"/>
          <w:sz w:val="28"/>
          <w:u w:val="single"/>
          <w:lang w:val="uk-UA"/>
        </w:rPr>
      </w:pPr>
      <w:r w:rsidRPr="00E16672">
        <w:rPr>
          <w:rFonts w:ascii="Times New Roman" w:hAnsi="Times New Roman"/>
          <w:sz w:val="28"/>
          <w:lang w:val="uk-UA"/>
        </w:rPr>
        <w:t xml:space="preserve">особи Депозитарної установи        </w:t>
      </w:r>
      <w:r w:rsidR="005745AF" w:rsidRPr="00E16672">
        <w:rPr>
          <w:rFonts w:ascii="Times New Roman" w:hAnsi="Times New Roman"/>
          <w:color w:val="000000"/>
          <w:sz w:val="28"/>
          <w:lang w:val="uk-UA"/>
        </w:rPr>
        <w:t xml:space="preserve">_________________     </w:t>
      </w:r>
      <w:r w:rsidR="005745AF" w:rsidRPr="00E16672">
        <w:rPr>
          <w:rFonts w:ascii="Times New Roman" w:hAnsi="Times New Roman"/>
          <w:color w:val="000000"/>
          <w:sz w:val="28"/>
          <w:u w:val="single"/>
          <w:lang w:val="uk-UA"/>
        </w:rPr>
        <w:t>_____________</w:t>
      </w:r>
    </w:p>
    <w:p w14:paraId="72785C4A" w14:textId="77777777" w:rsidR="005745AF" w:rsidRPr="00E16672" w:rsidRDefault="005745AF" w:rsidP="005745AF">
      <w:pPr>
        <w:rPr>
          <w:rFonts w:ascii="Times New Roman" w:hAnsi="Times New Roman"/>
          <w:b/>
          <w:i/>
          <w:color w:val="000000"/>
          <w:sz w:val="36"/>
          <w:lang w:val="uk-UA"/>
        </w:rPr>
      </w:pPr>
      <w:r w:rsidRPr="00E16672">
        <w:rPr>
          <w:rFonts w:ascii="Times New Roman" w:hAnsi="Times New Roman"/>
          <w:color w:val="000000"/>
          <w:sz w:val="28"/>
          <w:lang w:val="uk-UA"/>
        </w:rPr>
        <w:tab/>
      </w:r>
      <w:r w:rsidRPr="00E16672">
        <w:rPr>
          <w:rFonts w:ascii="Times New Roman" w:hAnsi="Times New Roman"/>
          <w:color w:val="000000"/>
          <w:sz w:val="28"/>
          <w:lang w:val="uk-UA"/>
        </w:rPr>
        <w:tab/>
      </w:r>
      <w:r w:rsidRPr="00E16672">
        <w:rPr>
          <w:rFonts w:ascii="Times New Roman" w:hAnsi="Times New Roman"/>
          <w:color w:val="000000"/>
          <w:sz w:val="28"/>
          <w:lang w:val="uk-UA"/>
        </w:rPr>
        <w:tab/>
      </w:r>
      <w:r w:rsidRPr="00E16672">
        <w:rPr>
          <w:rFonts w:ascii="Times New Roman" w:hAnsi="Times New Roman"/>
          <w:color w:val="000000"/>
          <w:sz w:val="28"/>
          <w:lang w:val="uk-UA"/>
        </w:rPr>
        <w:tab/>
      </w:r>
      <w:r w:rsidRPr="00E16672">
        <w:rPr>
          <w:rFonts w:ascii="Times New Roman" w:hAnsi="Times New Roman"/>
          <w:color w:val="000000"/>
          <w:sz w:val="28"/>
          <w:lang w:val="uk-UA"/>
        </w:rPr>
        <w:tab/>
      </w:r>
      <w:r w:rsidRPr="00E16672">
        <w:rPr>
          <w:rFonts w:ascii="Times New Roman" w:hAnsi="Times New Roman"/>
          <w:i/>
          <w:color w:val="000000"/>
          <w:sz w:val="28"/>
          <w:lang w:val="uk-UA"/>
        </w:rPr>
        <w:t xml:space="preserve">                      В.П., підпис</w:t>
      </w:r>
      <w:r w:rsidRPr="00E16672">
        <w:rPr>
          <w:rFonts w:ascii="Times New Roman" w:hAnsi="Times New Roman"/>
          <w:i/>
          <w:color w:val="000000"/>
          <w:sz w:val="28"/>
          <w:lang w:val="uk-UA"/>
        </w:rPr>
        <w:tab/>
      </w:r>
      <w:r w:rsidRPr="00E16672">
        <w:rPr>
          <w:rFonts w:ascii="Times New Roman" w:hAnsi="Times New Roman"/>
          <w:i/>
          <w:color w:val="000000"/>
          <w:sz w:val="28"/>
          <w:lang w:val="uk-UA"/>
        </w:rPr>
        <w:tab/>
        <w:t xml:space="preserve">       ПІБ</w:t>
      </w:r>
      <w:r w:rsidRPr="00E16672">
        <w:rPr>
          <w:rFonts w:ascii="Times New Roman" w:hAnsi="Times New Roman"/>
          <w:b/>
          <w:i/>
          <w:color w:val="000000"/>
          <w:sz w:val="36"/>
          <w:lang w:val="uk-UA"/>
        </w:rPr>
        <w:tab/>
      </w:r>
    </w:p>
    <w:p w14:paraId="0E7981D1" w14:textId="77777777" w:rsidR="005745AF" w:rsidRPr="00E16672" w:rsidRDefault="005745AF" w:rsidP="005745AF">
      <w:pPr>
        <w:rPr>
          <w:rFonts w:ascii="Times New Roman" w:hAnsi="Times New Roman"/>
          <w:b/>
          <w:color w:val="000000"/>
          <w:sz w:val="36"/>
          <w:lang w:val="uk-UA"/>
        </w:rPr>
      </w:pPr>
    </w:p>
    <w:p w14:paraId="6675D703" w14:textId="77777777" w:rsidR="005745AF" w:rsidRPr="00E16672" w:rsidRDefault="005745AF" w:rsidP="005745AF">
      <w:pPr>
        <w:rPr>
          <w:rFonts w:ascii="Times New Roman" w:hAnsi="Times New Roman"/>
          <w:b/>
          <w:color w:val="000000"/>
          <w:sz w:val="36"/>
          <w:lang w:val="uk-UA"/>
        </w:rPr>
      </w:pPr>
    </w:p>
    <w:p w14:paraId="51C66EBF" w14:textId="77777777" w:rsidR="005745AF" w:rsidRPr="00E16672" w:rsidRDefault="005745AF" w:rsidP="005745AF">
      <w:pPr>
        <w:rPr>
          <w:rFonts w:ascii="Times New Roman" w:hAnsi="Times New Roman"/>
          <w:b/>
          <w:color w:val="000000"/>
          <w:sz w:val="36"/>
          <w:lang w:val="uk-UA"/>
        </w:rPr>
      </w:pPr>
    </w:p>
    <w:p w14:paraId="44937B5D" w14:textId="77777777" w:rsidR="005745AF" w:rsidRPr="00E16672" w:rsidRDefault="005745AF" w:rsidP="005745AF">
      <w:pPr>
        <w:rPr>
          <w:rFonts w:ascii="Times New Roman" w:hAnsi="Times New Roman"/>
          <w:b/>
          <w:color w:val="000000"/>
          <w:sz w:val="36"/>
          <w:lang w:val="uk-UA"/>
        </w:rPr>
      </w:pPr>
    </w:p>
    <w:p w14:paraId="68F080CA" w14:textId="77777777" w:rsidR="005745AF" w:rsidRPr="00E16672" w:rsidRDefault="007D0843" w:rsidP="005745AF">
      <w:pPr>
        <w:rPr>
          <w:rFonts w:ascii="Times New Roman" w:hAnsi="Times New Roman"/>
          <w:b/>
          <w:color w:val="000000"/>
          <w:sz w:val="36"/>
          <w:lang w:val="uk-UA"/>
        </w:rPr>
      </w:pPr>
      <w:r>
        <w:rPr>
          <w:rFonts w:ascii="Times New Roman" w:hAnsi="Times New Roman"/>
          <w:noProof/>
          <w:color w:val="000000"/>
          <w:lang w:val="uk-UA" w:eastAsia="uk-UA"/>
        </w:rPr>
        <w:pict w14:anchorId="21E6094E">
          <v:line id="Прямая соединительная линия 1" o:spid="_x0000_s1046" style="position:absolute;left:0;text-align:lef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2.7pt" to="546.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" strokeweight=".26mm"/>
        </w:pict>
      </w:r>
    </w:p>
    <w:p w14:paraId="6D89B5B3" w14:textId="77777777" w:rsidR="005745AF" w:rsidRPr="00E16672" w:rsidRDefault="005745AF" w:rsidP="005745AF">
      <w:pPr>
        <w:rPr>
          <w:rFonts w:ascii="Times New Roman" w:hAnsi="Times New Roman"/>
          <w:b/>
          <w:color w:val="000000"/>
          <w:sz w:val="36"/>
          <w:lang w:val="uk-UA"/>
        </w:rPr>
      </w:pPr>
    </w:p>
    <w:p w14:paraId="570C7894" w14:textId="77777777" w:rsidR="00602650" w:rsidRDefault="00602650" w:rsidP="001A2DB1">
      <w:pPr>
        <w:rPr>
          <w:rFonts w:ascii="Times New Roman" w:hAnsi="Times New Roman"/>
          <w:bCs/>
          <w:color w:val="000000"/>
          <w:szCs w:val="20"/>
          <w:lang w:val="uk-UA"/>
        </w:rPr>
      </w:pPr>
    </w:p>
    <w:p w14:paraId="147ABCFB" w14:textId="77777777" w:rsidR="00602650" w:rsidRDefault="00602650" w:rsidP="001A2DB1">
      <w:pPr>
        <w:rPr>
          <w:rFonts w:ascii="Times New Roman" w:hAnsi="Times New Roman"/>
          <w:bCs/>
          <w:color w:val="000000"/>
          <w:szCs w:val="20"/>
          <w:lang w:val="uk-UA"/>
        </w:rPr>
      </w:pPr>
    </w:p>
    <w:p w14:paraId="43B09C49" w14:textId="77777777" w:rsidR="00602650" w:rsidRDefault="00602650" w:rsidP="001A2DB1">
      <w:pPr>
        <w:rPr>
          <w:rFonts w:ascii="Times New Roman" w:hAnsi="Times New Roman"/>
          <w:bCs/>
          <w:color w:val="000000"/>
          <w:szCs w:val="20"/>
          <w:lang w:val="uk-UA"/>
        </w:rPr>
      </w:pPr>
    </w:p>
    <w:p w14:paraId="696871B6" w14:textId="77777777" w:rsidR="001A2DB1" w:rsidRPr="00E16672" w:rsidRDefault="007D0843" w:rsidP="001A2DB1">
      <w:pPr>
        <w:rPr>
          <w:rFonts w:ascii="Times New Roman" w:hAnsi="Times New Roman"/>
          <w:bCs/>
          <w:color w:val="000000"/>
          <w:szCs w:val="20"/>
          <w:lang w:val="uk-UA"/>
        </w:rPr>
      </w:pPr>
      <w:r>
        <w:rPr>
          <w:rFonts w:ascii="Times New Roman" w:hAnsi="Times New Roman"/>
          <w:noProof/>
          <w:lang w:val="uk-UA" w:eastAsia="uk-UA"/>
        </w:rPr>
        <w:lastRenderedPageBreak/>
        <w:pict w14:anchorId="10FFC24A">
          <v:line id="Прямая соединительная линия 17" o:spid="_x0000_s1045"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8pt" to="2.15pt,6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" strokeweight=".26mm"/>
        </w:pict>
      </w:r>
      <w:r>
        <w:rPr>
          <w:rFonts w:ascii="Times New Roman" w:hAnsi="Times New Roman"/>
          <w:noProof/>
          <w:lang w:val="uk-UA" w:eastAsia="uk-UA"/>
        </w:rPr>
        <w:pict w14:anchorId="3ECD5944">
          <v:line id="Прямая соединительная линия 18" o:spid="_x0000_s1044"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6.7pt,1.8pt" to="546.9pt,6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" strokeweight=".26mm"/>
        </w:pict>
      </w:r>
      <w:r>
        <w:rPr>
          <w:rFonts w:ascii="Times New Roman" w:hAnsi="Times New Roman"/>
          <w:noProof/>
          <w:lang w:val="uk-UA" w:eastAsia="uk-UA"/>
        </w:rPr>
        <w:pict w14:anchorId="66E64B02">
          <v:line id="Прямая соединительная линия 19" o:spid="_x0000_s1043" style="position:absolute;left:0;text-align:lef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1.85pt" to="546.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" strokeweight=".26mm"/>
        </w:pict>
      </w:r>
    </w:p>
    <w:p w14:paraId="66DF411C" w14:textId="77777777" w:rsidR="001A2DB1" w:rsidRPr="00F864F1" w:rsidRDefault="001A2DB1" w:rsidP="00F864F1">
      <w:pPr>
        <w:ind w:left="142" w:hanging="142"/>
        <w:jc w:val="center"/>
        <w:rPr>
          <w:rFonts w:ascii="Times New Roman" w:hAnsi="Times New Roman"/>
          <w:b/>
          <w:bCs/>
          <w:color w:val="000000"/>
          <w:szCs w:val="20"/>
          <w:lang w:val="uk-UA"/>
        </w:rPr>
      </w:pPr>
      <w:r w:rsidRPr="00F864F1">
        <w:rPr>
          <w:rFonts w:ascii="Times New Roman" w:hAnsi="Times New Roman"/>
          <w:b/>
          <w:bCs/>
          <w:color w:val="000000"/>
          <w:szCs w:val="20"/>
          <w:lang w:val="uk-UA"/>
        </w:rPr>
        <w:t xml:space="preserve">Депозитарна установа ТОВ </w:t>
      </w:r>
      <w:r w:rsidR="00022F5F" w:rsidRPr="00F864F1">
        <w:rPr>
          <w:rFonts w:ascii="Times New Roman" w:hAnsi="Times New Roman"/>
          <w:b/>
          <w:bCs/>
          <w:color w:val="000000"/>
          <w:szCs w:val="20"/>
          <w:lang w:val="uk-UA"/>
        </w:rPr>
        <w:t>"</w:t>
      </w:r>
      <w:r w:rsidR="00E16672" w:rsidRPr="00F864F1">
        <w:rPr>
          <w:rFonts w:ascii="Times New Roman" w:hAnsi="Times New Roman"/>
          <w:b/>
          <w:bCs/>
          <w:color w:val="000000"/>
          <w:szCs w:val="20"/>
          <w:lang w:val="uk-UA"/>
        </w:rPr>
        <w:t>КОМЕКС ЦІННІ ПАПЕРИ</w:t>
      </w:r>
      <w:r w:rsidR="00022F5F" w:rsidRPr="00F864F1">
        <w:rPr>
          <w:rFonts w:ascii="Times New Roman" w:hAnsi="Times New Roman"/>
          <w:b/>
          <w:bCs/>
          <w:color w:val="000000"/>
          <w:szCs w:val="20"/>
          <w:lang w:val="uk-UA"/>
        </w:rPr>
        <w:t>"</w:t>
      </w:r>
      <w:r w:rsidRPr="00F864F1">
        <w:rPr>
          <w:rFonts w:ascii="Times New Roman" w:hAnsi="Times New Roman"/>
          <w:b/>
          <w:bCs/>
          <w:color w:val="000000"/>
          <w:szCs w:val="20"/>
          <w:lang w:val="uk-UA"/>
        </w:rPr>
        <w:t xml:space="preserve">,  ЄДРПОУ </w:t>
      </w:r>
      <w:r w:rsidR="00E16672" w:rsidRPr="00F864F1">
        <w:rPr>
          <w:rFonts w:ascii="Times New Roman" w:hAnsi="Times New Roman"/>
          <w:b/>
          <w:bCs/>
          <w:color w:val="000000"/>
          <w:szCs w:val="20"/>
          <w:lang w:val="uk-UA"/>
        </w:rPr>
        <w:t>33153077</w:t>
      </w:r>
    </w:p>
    <w:p w14:paraId="1DD1C1E4" w14:textId="77777777" w:rsidR="001A2DB1" w:rsidRPr="00E16672" w:rsidRDefault="001A2DB1" w:rsidP="001A2DB1">
      <w:pPr>
        <w:ind w:left="142" w:hanging="142"/>
        <w:jc w:val="center"/>
        <w:rPr>
          <w:rFonts w:ascii="Times New Roman" w:hAnsi="Times New Roman"/>
          <w:bCs/>
          <w:color w:val="000000"/>
          <w:szCs w:val="20"/>
          <w:lang w:val="uk-UA"/>
        </w:rPr>
      </w:pPr>
      <w:r w:rsidRPr="00E16672">
        <w:rPr>
          <w:rFonts w:ascii="Times New Roman" w:hAnsi="Times New Roman"/>
          <w:bCs/>
          <w:color w:val="000000"/>
          <w:szCs w:val="20"/>
          <w:lang w:val="uk-UA"/>
        </w:rPr>
        <w:t>Ліцензія серія АЕ №</w:t>
      </w:r>
      <w:r w:rsidR="00E16672" w:rsidRPr="00E16672">
        <w:rPr>
          <w:rFonts w:ascii="Times New Roman" w:hAnsi="Times New Roman"/>
          <w:bCs/>
          <w:color w:val="000000"/>
          <w:szCs w:val="20"/>
          <w:lang w:val="uk-UA"/>
        </w:rPr>
        <w:t>263429</w:t>
      </w:r>
      <w:r w:rsidRPr="00E16672">
        <w:rPr>
          <w:rFonts w:ascii="Times New Roman" w:hAnsi="Times New Roman"/>
          <w:bCs/>
          <w:color w:val="000000"/>
          <w:szCs w:val="20"/>
          <w:lang w:val="uk-UA"/>
        </w:rPr>
        <w:t xml:space="preserve"> від </w:t>
      </w:r>
      <w:r w:rsidR="00CE0D17">
        <w:rPr>
          <w:rFonts w:ascii="Times New Roman" w:hAnsi="Times New Roman"/>
          <w:bCs/>
          <w:color w:val="000000"/>
          <w:szCs w:val="20"/>
          <w:lang w:val="uk-UA"/>
        </w:rPr>
        <w:t>01</w:t>
      </w:r>
      <w:r w:rsidRPr="00E16672">
        <w:rPr>
          <w:rFonts w:ascii="Times New Roman" w:hAnsi="Times New Roman"/>
          <w:bCs/>
          <w:color w:val="000000"/>
          <w:szCs w:val="20"/>
          <w:lang w:val="uk-UA"/>
        </w:rPr>
        <w:t xml:space="preserve"> </w:t>
      </w:r>
      <w:r w:rsidR="00CE0D17">
        <w:rPr>
          <w:rFonts w:ascii="Times New Roman" w:hAnsi="Times New Roman"/>
          <w:bCs/>
          <w:color w:val="000000"/>
          <w:szCs w:val="20"/>
          <w:lang w:val="uk-UA"/>
        </w:rPr>
        <w:t>жовтня</w:t>
      </w:r>
      <w:r w:rsidRPr="00E16672">
        <w:rPr>
          <w:rFonts w:ascii="Times New Roman" w:hAnsi="Times New Roman"/>
          <w:bCs/>
          <w:color w:val="000000"/>
          <w:szCs w:val="20"/>
          <w:lang w:val="uk-UA"/>
        </w:rPr>
        <w:t xml:space="preserve"> 2013 р.,</w:t>
      </w:r>
    </w:p>
    <w:p w14:paraId="1307FED4" w14:textId="77777777" w:rsidR="001A2DB1" w:rsidRPr="00E16672" w:rsidRDefault="001A2DB1" w:rsidP="001A2DB1">
      <w:pPr>
        <w:jc w:val="center"/>
        <w:rPr>
          <w:rFonts w:ascii="Times New Roman" w:hAnsi="Times New Roman"/>
          <w:bCs/>
          <w:szCs w:val="20"/>
          <w:lang w:val="uk-UA"/>
        </w:rPr>
      </w:pPr>
      <w:r w:rsidRPr="00E16672">
        <w:rPr>
          <w:rFonts w:ascii="Times New Roman" w:hAnsi="Times New Roman"/>
          <w:bCs/>
          <w:color w:val="000000"/>
          <w:szCs w:val="20"/>
          <w:lang w:val="uk-UA"/>
        </w:rPr>
        <w:t xml:space="preserve">Адреса: </w:t>
      </w:r>
      <w:r w:rsidR="00CE0D17">
        <w:rPr>
          <w:rFonts w:ascii="Times New Roman" w:hAnsi="Times New Roman"/>
          <w:bCs/>
          <w:szCs w:val="20"/>
          <w:lang w:val="uk-UA"/>
        </w:rPr>
        <w:t>03150</w:t>
      </w:r>
      <w:r w:rsidR="00CE0D17" w:rsidRPr="00CE0D17">
        <w:rPr>
          <w:rFonts w:ascii="Times New Roman" w:hAnsi="Times New Roman"/>
          <w:bCs/>
          <w:szCs w:val="20"/>
          <w:lang w:val="uk-UA"/>
        </w:rPr>
        <w:t xml:space="preserve">, </w:t>
      </w:r>
      <w:proofErr w:type="spellStart"/>
      <w:r w:rsidR="00CE0D17" w:rsidRPr="00CE0D17">
        <w:rPr>
          <w:rFonts w:ascii="Times New Roman" w:hAnsi="Times New Roman"/>
          <w:bCs/>
          <w:szCs w:val="20"/>
          <w:lang w:val="uk-UA"/>
        </w:rPr>
        <w:t>м.Київ</w:t>
      </w:r>
      <w:proofErr w:type="spellEnd"/>
      <w:r w:rsidR="00CE0D17" w:rsidRPr="00CE0D17">
        <w:rPr>
          <w:rFonts w:ascii="Times New Roman" w:hAnsi="Times New Roman"/>
          <w:bCs/>
          <w:szCs w:val="20"/>
          <w:lang w:val="uk-UA"/>
        </w:rPr>
        <w:t>, Велика Васильківська (колишня Червоноармійська) вул., буд. 65</w:t>
      </w:r>
    </w:p>
    <w:p w14:paraId="34C7CAEE" w14:textId="77777777" w:rsidR="001A2DB1" w:rsidRPr="00E16672" w:rsidRDefault="001A2DB1" w:rsidP="001A2DB1">
      <w:pPr>
        <w:tabs>
          <w:tab w:val="left" w:pos="288"/>
          <w:tab w:val="left" w:pos="720"/>
          <w:tab w:val="left" w:pos="1008"/>
          <w:tab w:val="left" w:pos="1584"/>
          <w:tab w:val="left" w:pos="2160"/>
          <w:tab w:val="left" w:pos="3600"/>
        </w:tabs>
        <w:ind w:right="1"/>
        <w:jc w:val="center"/>
        <w:rPr>
          <w:rFonts w:ascii="Times New Roman" w:hAnsi="Times New Roman"/>
          <w:bCs/>
          <w:szCs w:val="20"/>
          <w:lang w:val="uk-UA"/>
        </w:rPr>
      </w:pPr>
      <w:r w:rsidRPr="00E16672">
        <w:rPr>
          <w:rFonts w:ascii="Times New Roman" w:hAnsi="Times New Roman"/>
          <w:bCs/>
          <w:szCs w:val="20"/>
          <w:lang w:val="uk-UA"/>
        </w:rPr>
        <w:t>Рахунок в Центральному Депозитарії №100024-UA40</w:t>
      </w:r>
      <w:r w:rsidR="00CE0D17">
        <w:rPr>
          <w:rFonts w:ascii="Times New Roman" w:hAnsi="Times New Roman"/>
          <w:bCs/>
          <w:szCs w:val="20"/>
          <w:lang w:val="uk-UA"/>
        </w:rPr>
        <w:t>401265</w:t>
      </w:r>
      <w:r w:rsidRPr="00E16672">
        <w:rPr>
          <w:rFonts w:ascii="Times New Roman" w:hAnsi="Times New Roman"/>
          <w:bCs/>
          <w:szCs w:val="20"/>
          <w:lang w:val="uk-UA"/>
        </w:rPr>
        <w:t xml:space="preserve">, код МДО </w:t>
      </w:r>
      <w:r w:rsidR="00CE0D17">
        <w:rPr>
          <w:rFonts w:ascii="Times New Roman" w:hAnsi="Times New Roman"/>
          <w:bCs/>
          <w:szCs w:val="20"/>
          <w:lang w:val="uk-UA"/>
        </w:rPr>
        <w:t>401265</w:t>
      </w:r>
    </w:p>
    <w:p w14:paraId="6FC0E3F9" w14:textId="77777777" w:rsidR="001A2DB1" w:rsidRPr="00E16672" w:rsidRDefault="001A2DB1" w:rsidP="001A2DB1">
      <w:pPr>
        <w:tabs>
          <w:tab w:val="left" w:pos="288"/>
          <w:tab w:val="left" w:pos="720"/>
          <w:tab w:val="left" w:pos="1008"/>
          <w:tab w:val="left" w:pos="1584"/>
          <w:tab w:val="left" w:pos="2160"/>
          <w:tab w:val="left" w:pos="3600"/>
        </w:tabs>
        <w:ind w:right="1"/>
        <w:jc w:val="center"/>
        <w:rPr>
          <w:rFonts w:ascii="Times New Roman" w:hAnsi="Times New Roman"/>
          <w:bCs/>
          <w:sz w:val="22"/>
          <w:lang w:val="uk-UA"/>
        </w:rPr>
      </w:pPr>
    </w:p>
    <w:p w14:paraId="55F6CDA7" w14:textId="77777777" w:rsidR="001A2DB1" w:rsidRPr="00E16672" w:rsidRDefault="001A2DB1" w:rsidP="001A2DB1">
      <w:pPr>
        <w:jc w:val="center"/>
        <w:rPr>
          <w:rFonts w:ascii="Times New Roman" w:hAnsi="Times New Roman"/>
          <w:color w:val="000000"/>
          <w:lang w:val="uk-UA"/>
        </w:rPr>
      </w:pPr>
    </w:p>
    <w:p w14:paraId="783C65CB" w14:textId="77777777" w:rsidR="001A2DB1" w:rsidRPr="00E16672" w:rsidRDefault="001A2DB1" w:rsidP="001A2DB1">
      <w:pPr>
        <w:rPr>
          <w:rFonts w:ascii="Times New Roman" w:hAnsi="Times New Roman"/>
        </w:rPr>
      </w:pPr>
      <w:proofErr w:type="spellStart"/>
      <w:r w:rsidRPr="00E16672">
        <w:rPr>
          <w:rFonts w:ascii="Times New Roman" w:hAnsi="Times New Roman"/>
        </w:rPr>
        <w:t>Вих</w:t>
      </w:r>
      <w:proofErr w:type="spellEnd"/>
      <w:r w:rsidRPr="00E16672">
        <w:rPr>
          <w:rFonts w:ascii="Times New Roman" w:hAnsi="Times New Roman"/>
        </w:rPr>
        <w:t>. № ____</w:t>
      </w:r>
      <w:r w:rsidRPr="00E16672">
        <w:rPr>
          <w:rFonts w:ascii="Times New Roman" w:hAnsi="Times New Roman"/>
          <w:lang w:val="uk-UA"/>
        </w:rPr>
        <w:t>_____</w:t>
      </w:r>
      <w:r w:rsidRPr="00E16672">
        <w:rPr>
          <w:rFonts w:ascii="Times New Roman" w:hAnsi="Times New Roman"/>
        </w:rPr>
        <w:t>_</w:t>
      </w:r>
    </w:p>
    <w:p w14:paraId="401A0CB0" w14:textId="77777777" w:rsidR="001A2DB1" w:rsidRPr="00E16672" w:rsidRDefault="00602650" w:rsidP="001A2DB1">
      <w:pPr>
        <w:rPr>
          <w:rFonts w:ascii="Times New Roman" w:hAnsi="Times New Roman"/>
          <w:lang w:val="uk-UA"/>
        </w:rPr>
      </w:pPr>
      <w:r>
        <w:rPr>
          <w:rFonts w:ascii="Times New Roman" w:hAnsi="Times New Roman"/>
          <w:lang w:val="uk-UA"/>
        </w:rPr>
        <w:t>в</w:t>
      </w:r>
      <w:r w:rsidR="001A2DB1" w:rsidRPr="00E16672">
        <w:rPr>
          <w:rFonts w:ascii="Times New Roman" w:hAnsi="Times New Roman"/>
          <w:lang w:val="uk-UA"/>
        </w:rPr>
        <w:t>ід _______ 20__р.</w:t>
      </w:r>
    </w:p>
    <w:p w14:paraId="4265A42A" w14:textId="77777777" w:rsidR="001A2DB1" w:rsidRPr="00E16672" w:rsidRDefault="001A2DB1" w:rsidP="001A2DB1">
      <w:pPr>
        <w:rPr>
          <w:rFonts w:ascii="Times New Roman" w:hAnsi="Times New Roman"/>
          <w:color w:val="000000"/>
        </w:rPr>
      </w:pPr>
    </w:p>
    <w:p w14:paraId="5057AC22" w14:textId="77777777" w:rsidR="001A2DB1" w:rsidRPr="00E16672" w:rsidRDefault="001A2DB1" w:rsidP="001A2DB1">
      <w:pPr>
        <w:jc w:val="center"/>
        <w:rPr>
          <w:rFonts w:ascii="Times New Roman" w:hAnsi="Times New Roman"/>
          <w:color w:val="000000"/>
          <w:sz w:val="36"/>
          <w:lang w:val="uk-UA"/>
        </w:rPr>
      </w:pPr>
      <w:r w:rsidRPr="00E16672">
        <w:rPr>
          <w:rFonts w:ascii="Times New Roman" w:hAnsi="Times New Roman"/>
          <w:color w:val="000000"/>
          <w:sz w:val="36"/>
          <w:lang w:val="uk-UA"/>
        </w:rPr>
        <w:t>Свідоцтво про відкриття рахунку в цін</w:t>
      </w:r>
      <w:r w:rsidRPr="00E16672">
        <w:rPr>
          <w:rFonts w:ascii="Times New Roman" w:hAnsi="Times New Roman"/>
          <w:sz w:val="36"/>
          <w:lang w:val="uk-UA"/>
        </w:rPr>
        <w:t>них паперах</w:t>
      </w:r>
    </w:p>
    <w:p w14:paraId="4E737C20" w14:textId="77777777" w:rsidR="001A2DB1" w:rsidRPr="00E16672" w:rsidRDefault="001A2DB1" w:rsidP="001A2DB1">
      <w:pPr>
        <w:rPr>
          <w:rFonts w:ascii="Times New Roman" w:hAnsi="Times New Roman"/>
          <w:color w:val="000000"/>
          <w:sz w:val="28"/>
          <w:lang w:val="uk-UA"/>
        </w:rPr>
      </w:pPr>
    </w:p>
    <w:p w14:paraId="3F6DC76B" w14:textId="77777777" w:rsidR="001A2DB1" w:rsidRPr="00E16672" w:rsidRDefault="001A2DB1" w:rsidP="001A2DB1">
      <w:pPr>
        <w:rPr>
          <w:rFonts w:ascii="Times New Roman" w:hAnsi="Times New Roman"/>
          <w:color w:val="000000"/>
          <w:sz w:val="28"/>
          <w:lang w:val="uk-UA"/>
        </w:rPr>
      </w:pPr>
    </w:p>
    <w:p w14:paraId="71882E02" w14:textId="77777777" w:rsidR="00602650" w:rsidRDefault="00602650" w:rsidP="001A2DB1">
      <w:pPr>
        <w:pStyle w:val="mystylen"/>
        <w:keepNext w:val="0"/>
        <w:keepLines w:val="0"/>
        <w:pageBreakBefore w:val="0"/>
        <w:spacing w:before="0" w:after="0"/>
        <w:jc w:val="both"/>
        <w:rPr>
          <w:rFonts w:ascii="Times New Roman" w:hAnsi="Times New Roman"/>
          <w:color w:val="000000"/>
          <w:lang w:val="uk-UA"/>
        </w:rPr>
      </w:pPr>
      <w:r w:rsidRPr="00E16672">
        <w:rPr>
          <w:rFonts w:ascii="Times New Roman" w:hAnsi="Times New Roman"/>
          <w:color w:val="000000"/>
          <w:lang w:val="uk-UA"/>
        </w:rPr>
        <w:t>м. Київ</w:t>
      </w:r>
    </w:p>
    <w:p w14:paraId="1059F046" w14:textId="77777777" w:rsidR="001A2DB1" w:rsidRPr="00E16672" w:rsidRDefault="001A2DB1" w:rsidP="001A2DB1">
      <w:pPr>
        <w:pStyle w:val="mystylen"/>
        <w:keepNext w:val="0"/>
        <w:keepLines w:val="0"/>
        <w:pageBreakBefore w:val="0"/>
        <w:spacing w:before="0" w:after="0"/>
        <w:jc w:val="both"/>
        <w:rPr>
          <w:rFonts w:ascii="Times New Roman" w:hAnsi="Times New Roman"/>
          <w:color w:val="000000"/>
          <w:lang w:val="uk-UA"/>
        </w:rPr>
      </w:pPr>
      <w:r w:rsidRPr="00E16672">
        <w:rPr>
          <w:rFonts w:ascii="Times New Roman" w:hAnsi="Times New Roman"/>
          <w:color w:val="000000"/>
          <w:lang w:val="uk-UA"/>
        </w:rPr>
        <w:t>“</w:t>
      </w:r>
      <w:r w:rsidR="00602650">
        <w:rPr>
          <w:rFonts w:ascii="Times New Roman" w:hAnsi="Times New Roman"/>
          <w:color w:val="000000"/>
          <w:lang w:val="uk-UA"/>
        </w:rPr>
        <w:t xml:space="preserve">    </w:t>
      </w:r>
      <w:r w:rsidRPr="00E16672">
        <w:rPr>
          <w:rFonts w:ascii="Times New Roman" w:hAnsi="Times New Roman"/>
          <w:color w:val="000000"/>
          <w:lang w:val="uk-UA"/>
        </w:rPr>
        <w:t xml:space="preserve">” _______ </w:t>
      </w:r>
      <w:r w:rsidR="00602650">
        <w:rPr>
          <w:rFonts w:ascii="Times New Roman" w:hAnsi="Times New Roman"/>
          <w:color w:val="000000"/>
          <w:lang w:val="uk-UA"/>
        </w:rPr>
        <w:t>20</w:t>
      </w:r>
      <w:r w:rsidRPr="00E16672">
        <w:rPr>
          <w:rFonts w:ascii="Times New Roman" w:hAnsi="Times New Roman"/>
          <w:color w:val="000000"/>
          <w:lang w:val="uk-UA"/>
        </w:rPr>
        <w:t>____ р.</w:t>
      </w:r>
      <w:r w:rsidRPr="00E16672">
        <w:rPr>
          <w:rFonts w:ascii="Times New Roman" w:hAnsi="Times New Roman"/>
          <w:color w:val="000000"/>
          <w:lang w:val="uk-UA"/>
        </w:rPr>
        <w:tab/>
      </w:r>
      <w:r w:rsidRPr="00E16672">
        <w:rPr>
          <w:rFonts w:ascii="Times New Roman" w:hAnsi="Times New Roman"/>
          <w:color w:val="000000"/>
          <w:lang w:val="uk-UA"/>
        </w:rPr>
        <w:tab/>
      </w:r>
    </w:p>
    <w:p w14:paraId="6563767C" w14:textId="77777777" w:rsidR="001A2DB1" w:rsidRPr="00E16672" w:rsidRDefault="001A2DB1" w:rsidP="001A2DB1">
      <w:pPr>
        <w:rPr>
          <w:rFonts w:ascii="Times New Roman" w:hAnsi="Times New Roman"/>
          <w:color w:val="000000"/>
          <w:sz w:val="28"/>
          <w:lang w:val="uk-UA"/>
        </w:rPr>
      </w:pPr>
    </w:p>
    <w:p w14:paraId="33C550B5" w14:textId="77777777" w:rsidR="001A2DB1" w:rsidRPr="00E16672" w:rsidRDefault="001A2DB1" w:rsidP="001A2DB1">
      <w:pPr>
        <w:rPr>
          <w:rFonts w:ascii="Times New Roman" w:hAnsi="Times New Roman"/>
          <w:color w:val="000000"/>
          <w:sz w:val="28"/>
          <w:lang w:val="uk-UA"/>
        </w:rPr>
      </w:pPr>
    </w:p>
    <w:p w14:paraId="33B60B8B" w14:textId="77777777" w:rsidR="001A2DB1" w:rsidRPr="00E16672" w:rsidRDefault="001A2DB1" w:rsidP="001A2DB1">
      <w:pPr>
        <w:rPr>
          <w:rFonts w:ascii="Times New Roman" w:hAnsi="Times New Roman"/>
          <w:color w:val="000000"/>
          <w:sz w:val="28"/>
          <w:lang w:val="uk-UA"/>
        </w:rPr>
      </w:pPr>
    </w:p>
    <w:p w14:paraId="69E59A87" w14:textId="77777777" w:rsidR="001A2DB1" w:rsidRPr="00E16672" w:rsidRDefault="001A2DB1" w:rsidP="001A2DB1">
      <w:pPr>
        <w:jc w:val="center"/>
        <w:rPr>
          <w:rFonts w:ascii="Times New Roman" w:hAnsi="Times New Roman"/>
          <w:color w:val="000000"/>
          <w:sz w:val="28"/>
          <w:lang w:val="uk-UA"/>
        </w:rPr>
      </w:pPr>
    </w:p>
    <w:p w14:paraId="28660E60" w14:textId="77777777" w:rsidR="001A2DB1" w:rsidRPr="00E16672" w:rsidRDefault="001A2DB1" w:rsidP="001A2DB1">
      <w:pPr>
        <w:jc w:val="center"/>
        <w:rPr>
          <w:rFonts w:ascii="Times New Roman" w:hAnsi="Times New Roman"/>
          <w:color w:val="000000"/>
          <w:sz w:val="28"/>
          <w:lang w:val="uk-UA"/>
        </w:rPr>
      </w:pPr>
    </w:p>
    <w:p w14:paraId="6E4250D7" w14:textId="77777777" w:rsidR="001A2DB1" w:rsidRPr="00E16672" w:rsidRDefault="001A2DB1" w:rsidP="001A2DB1">
      <w:pPr>
        <w:jc w:val="center"/>
        <w:rPr>
          <w:rFonts w:ascii="Times New Roman" w:hAnsi="Times New Roman"/>
          <w:color w:val="000000"/>
          <w:sz w:val="28"/>
          <w:lang w:val="uk-UA"/>
        </w:rPr>
      </w:pPr>
    </w:p>
    <w:p w14:paraId="01242B64" w14:textId="77777777" w:rsidR="001A2DB1" w:rsidRPr="00E16672" w:rsidRDefault="001A2DB1" w:rsidP="001A2DB1">
      <w:pPr>
        <w:jc w:val="center"/>
        <w:rPr>
          <w:rFonts w:ascii="Times New Roman" w:hAnsi="Times New Roman"/>
          <w:color w:val="000000"/>
          <w:sz w:val="28"/>
          <w:lang w:val="uk-UA"/>
        </w:rPr>
      </w:pPr>
      <w:r w:rsidRPr="00E16672">
        <w:rPr>
          <w:rFonts w:ascii="Times New Roman" w:hAnsi="Times New Roman"/>
          <w:color w:val="000000"/>
          <w:sz w:val="32"/>
          <w:szCs w:val="32"/>
          <w:lang w:val="uk-UA"/>
        </w:rPr>
        <w:t>Видано</w:t>
      </w:r>
      <w:r w:rsidRPr="00E16672">
        <w:rPr>
          <w:rFonts w:ascii="Times New Roman" w:hAnsi="Times New Roman"/>
          <w:color w:val="000000"/>
          <w:sz w:val="28"/>
          <w:lang w:val="uk-UA"/>
        </w:rPr>
        <w:t xml:space="preserve"> </w:t>
      </w:r>
    </w:p>
    <w:p w14:paraId="63A1425D" w14:textId="77777777" w:rsidR="001A2DB1" w:rsidRPr="00E16672" w:rsidRDefault="001A2DB1" w:rsidP="001A2DB1">
      <w:pPr>
        <w:jc w:val="center"/>
        <w:rPr>
          <w:rFonts w:ascii="Times New Roman" w:hAnsi="Times New Roman"/>
          <w:color w:val="000000"/>
          <w:sz w:val="28"/>
          <w:lang w:val="uk-UA"/>
        </w:rPr>
      </w:pPr>
      <w:r w:rsidRPr="00E16672">
        <w:rPr>
          <w:rFonts w:ascii="Times New Roman" w:hAnsi="Times New Roman"/>
          <w:color w:val="000000"/>
          <w:sz w:val="28"/>
          <w:lang w:val="uk-UA"/>
        </w:rPr>
        <w:t>__________________________________________________</w:t>
      </w:r>
    </w:p>
    <w:p w14:paraId="3C7BDBFA" w14:textId="77777777" w:rsidR="001A2DB1" w:rsidRPr="00E16672" w:rsidRDefault="001A2DB1" w:rsidP="001A2DB1">
      <w:pPr>
        <w:jc w:val="center"/>
        <w:rPr>
          <w:rFonts w:ascii="Times New Roman" w:hAnsi="Times New Roman"/>
          <w:i/>
          <w:szCs w:val="20"/>
          <w:lang w:val="uk-UA"/>
        </w:rPr>
      </w:pPr>
      <w:r w:rsidRPr="00E16672">
        <w:rPr>
          <w:rFonts w:ascii="Times New Roman" w:hAnsi="Times New Roman"/>
          <w:i/>
          <w:szCs w:val="20"/>
          <w:lang w:val="uk-UA"/>
        </w:rPr>
        <w:t>(прізвище, ім'я, по батькові (за наявності), реєстраційний номер облікової картки платника податків (за наявності), назва, серія (за наявності), номер, дата видачі документа, що посвідчує фізичну особу, та найменування органу, що видав документ)</w:t>
      </w:r>
    </w:p>
    <w:p w14:paraId="76B2E43A" w14:textId="77777777" w:rsidR="001A2DB1" w:rsidRPr="00E16672" w:rsidRDefault="001A2DB1" w:rsidP="001A2DB1">
      <w:pPr>
        <w:jc w:val="center"/>
        <w:rPr>
          <w:rFonts w:ascii="Times New Roman" w:hAnsi="Times New Roman"/>
          <w:i/>
          <w:szCs w:val="20"/>
          <w:lang w:val="uk-UA"/>
        </w:rPr>
      </w:pPr>
    </w:p>
    <w:p w14:paraId="47EA802D" w14:textId="77777777" w:rsidR="001A2DB1" w:rsidRPr="00E16672" w:rsidRDefault="001A2DB1" w:rsidP="001A2DB1">
      <w:pPr>
        <w:jc w:val="center"/>
        <w:rPr>
          <w:rFonts w:ascii="Times New Roman" w:hAnsi="Times New Roman"/>
          <w:sz w:val="28"/>
          <w:lang w:val="uk-UA"/>
        </w:rPr>
      </w:pPr>
    </w:p>
    <w:p w14:paraId="0A4428F9" w14:textId="77777777" w:rsidR="001A2DB1" w:rsidRPr="00E16672" w:rsidRDefault="001A2DB1" w:rsidP="001A2DB1">
      <w:pPr>
        <w:jc w:val="center"/>
        <w:rPr>
          <w:rFonts w:ascii="Times New Roman" w:hAnsi="Times New Roman"/>
          <w:color w:val="000000"/>
          <w:sz w:val="28"/>
          <w:lang w:val="uk-UA"/>
        </w:rPr>
      </w:pPr>
    </w:p>
    <w:p w14:paraId="73E49E23" w14:textId="77777777" w:rsidR="001A2DB1" w:rsidRPr="00E16672" w:rsidRDefault="001A2DB1" w:rsidP="001A2DB1">
      <w:pPr>
        <w:jc w:val="center"/>
        <w:rPr>
          <w:rFonts w:ascii="Times New Roman" w:hAnsi="Times New Roman"/>
          <w:color w:val="000000"/>
          <w:sz w:val="28"/>
          <w:lang w:val="uk-UA"/>
        </w:rPr>
      </w:pPr>
    </w:p>
    <w:p w14:paraId="2493A212" w14:textId="77777777" w:rsidR="001A2DB1" w:rsidRPr="00E16672" w:rsidRDefault="001A2DB1" w:rsidP="001A2DB1">
      <w:pPr>
        <w:jc w:val="center"/>
        <w:rPr>
          <w:rFonts w:ascii="Times New Roman" w:hAnsi="Times New Roman"/>
          <w:sz w:val="28"/>
          <w:lang w:val="uk-UA"/>
        </w:rPr>
      </w:pPr>
      <w:r w:rsidRPr="00E16672">
        <w:rPr>
          <w:rFonts w:ascii="Times New Roman" w:hAnsi="Times New Roman"/>
          <w:sz w:val="28"/>
          <w:lang w:val="uk-UA"/>
        </w:rPr>
        <w:t xml:space="preserve">в тому, що йому (їй) __.__.20__ </w:t>
      </w:r>
      <w:proofErr w:type="spellStart"/>
      <w:r w:rsidRPr="00E16672">
        <w:rPr>
          <w:rFonts w:ascii="Times New Roman" w:hAnsi="Times New Roman"/>
          <w:sz w:val="28"/>
          <w:lang w:val="uk-UA"/>
        </w:rPr>
        <w:t>р.відкрито</w:t>
      </w:r>
      <w:proofErr w:type="spellEnd"/>
      <w:r w:rsidRPr="00E16672">
        <w:rPr>
          <w:rFonts w:ascii="Times New Roman" w:hAnsi="Times New Roman"/>
          <w:sz w:val="28"/>
          <w:lang w:val="uk-UA"/>
        </w:rPr>
        <w:t xml:space="preserve"> рахунок у цінних паперах №</w:t>
      </w:r>
    </w:p>
    <w:p w14:paraId="4EBD6208" w14:textId="77777777" w:rsidR="001A2DB1" w:rsidRPr="00E16672" w:rsidRDefault="001A2DB1" w:rsidP="001A2DB1">
      <w:pPr>
        <w:jc w:val="center"/>
        <w:rPr>
          <w:rFonts w:ascii="Times New Roman" w:hAnsi="Times New Roman"/>
          <w:sz w:val="28"/>
          <w:lang w:val="uk-UA"/>
        </w:rPr>
      </w:pPr>
    </w:p>
    <w:p w14:paraId="5266B069" w14:textId="77777777" w:rsidR="001A2DB1" w:rsidRPr="00E16672" w:rsidRDefault="001A2DB1" w:rsidP="001A2DB1">
      <w:pPr>
        <w:jc w:val="center"/>
        <w:rPr>
          <w:rFonts w:ascii="Times New Roman" w:hAnsi="Times New Roman"/>
          <w:b/>
          <w:sz w:val="28"/>
          <w:lang w:val="uk-UA"/>
        </w:rPr>
      </w:pPr>
      <w:r w:rsidRPr="00E16672">
        <w:rPr>
          <w:rFonts w:ascii="Times New Roman" w:hAnsi="Times New Roman"/>
          <w:sz w:val="28"/>
          <w:lang w:val="uk-UA"/>
        </w:rPr>
        <w:t xml:space="preserve"> </w:t>
      </w:r>
      <w:r w:rsidR="00CE0D17">
        <w:rPr>
          <w:rFonts w:ascii="Times New Roman" w:hAnsi="Times New Roman"/>
          <w:b/>
          <w:sz w:val="28"/>
          <w:lang w:val="uk-UA"/>
        </w:rPr>
        <w:t>401265</w:t>
      </w:r>
      <w:r w:rsidRPr="00E16672">
        <w:rPr>
          <w:rFonts w:ascii="Times New Roman" w:hAnsi="Times New Roman"/>
          <w:b/>
          <w:sz w:val="28"/>
        </w:rPr>
        <w:t xml:space="preserve">- </w:t>
      </w:r>
      <w:r w:rsidRPr="00E16672">
        <w:rPr>
          <w:rFonts w:ascii="Times New Roman" w:hAnsi="Times New Roman"/>
          <w:b/>
          <w:sz w:val="28"/>
          <w:lang w:val="uk-UA"/>
        </w:rPr>
        <w:t>___________.</w:t>
      </w:r>
    </w:p>
    <w:p w14:paraId="488A8E60" w14:textId="77777777" w:rsidR="001A2DB1" w:rsidRPr="00E16672" w:rsidRDefault="001A2DB1" w:rsidP="001A2DB1">
      <w:pPr>
        <w:rPr>
          <w:rFonts w:ascii="Times New Roman" w:hAnsi="Times New Roman"/>
          <w:color w:val="000000"/>
          <w:sz w:val="28"/>
          <w:lang w:val="uk-UA"/>
        </w:rPr>
      </w:pPr>
    </w:p>
    <w:p w14:paraId="0684D7BD" w14:textId="77777777" w:rsidR="001A2DB1" w:rsidRPr="00E16672" w:rsidRDefault="001A2DB1" w:rsidP="001A2DB1">
      <w:pPr>
        <w:rPr>
          <w:rFonts w:ascii="Times New Roman" w:hAnsi="Times New Roman"/>
          <w:color w:val="000000"/>
          <w:sz w:val="28"/>
          <w:lang w:val="uk-UA"/>
        </w:rPr>
      </w:pPr>
    </w:p>
    <w:p w14:paraId="31551F7D" w14:textId="77777777" w:rsidR="001A2DB1" w:rsidRPr="00E16672" w:rsidRDefault="001A2DB1" w:rsidP="001A2DB1">
      <w:pPr>
        <w:rPr>
          <w:rFonts w:ascii="Times New Roman" w:hAnsi="Times New Roman"/>
          <w:color w:val="000000"/>
          <w:sz w:val="28"/>
          <w:lang w:val="uk-UA"/>
        </w:rPr>
      </w:pPr>
    </w:p>
    <w:p w14:paraId="29A5D03C" w14:textId="77777777" w:rsidR="001A2DB1" w:rsidRPr="00E16672" w:rsidRDefault="001A2DB1" w:rsidP="001A2DB1">
      <w:pPr>
        <w:rPr>
          <w:rFonts w:ascii="Times New Roman" w:hAnsi="Times New Roman"/>
          <w:color w:val="000000"/>
          <w:sz w:val="28"/>
          <w:lang w:val="uk-UA"/>
        </w:rPr>
      </w:pPr>
    </w:p>
    <w:p w14:paraId="59324EC2" w14:textId="77777777" w:rsidR="001A2DB1" w:rsidRPr="00E16672" w:rsidRDefault="001A2DB1" w:rsidP="001A2DB1">
      <w:pPr>
        <w:rPr>
          <w:rFonts w:ascii="Times New Roman" w:hAnsi="Times New Roman"/>
          <w:color w:val="000000"/>
          <w:sz w:val="28"/>
          <w:lang w:val="uk-UA"/>
        </w:rPr>
      </w:pPr>
    </w:p>
    <w:p w14:paraId="7A0454D2" w14:textId="77777777" w:rsidR="001A2DB1" w:rsidRPr="00E16672" w:rsidRDefault="001A2DB1" w:rsidP="001A2DB1">
      <w:pPr>
        <w:rPr>
          <w:rFonts w:ascii="Times New Roman" w:hAnsi="Times New Roman"/>
          <w:color w:val="000000"/>
          <w:sz w:val="28"/>
          <w:lang w:val="uk-UA"/>
        </w:rPr>
      </w:pPr>
    </w:p>
    <w:p w14:paraId="1336EF28" w14:textId="77777777" w:rsidR="001A2DB1" w:rsidRPr="00E16672" w:rsidRDefault="001A2DB1" w:rsidP="001A2DB1">
      <w:pPr>
        <w:rPr>
          <w:rFonts w:ascii="Times New Roman" w:hAnsi="Times New Roman"/>
          <w:color w:val="000000"/>
          <w:sz w:val="28"/>
          <w:lang w:val="uk-UA"/>
        </w:rPr>
      </w:pPr>
    </w:p>
    <w:p w14:paraId="3D81968A" w14:textId="77777777" w:rsidR="001A2DB1" w:rsidRPr="00E16672" w:rsidRDefault="001A2DB1" w:rsidP="001A2DB1">
      <w:pPr>
        <w:rPr>
          <w:rFonts w:ascii="Times New Roman" w:hAnsi="Times New Roman"/>
          <w:color w:val="000000"/>
          <w:sz w:val="28"/>
          <w:lang w:val="uk-UA"/>
        </w:rPr>
      </w:pPr>
    </w:p>
    <w:p w14:paraId="2F791123" w14:textId="77777777" w:rsidR="001A2DB1" w:rsidRPr="00E16672" w:rsidRDefault="001A2DB1" w:rsidP="001A2DB1">
      <w:pPr>
        <w:rPr>
          <w:rFonts w:ascii="Times New Roman" w:hAnsi="Times New Roman"/>
          <w:sz w:val="28"/>
          <w:lang w:val="uk-UA"/>
        </w:rPr>
      </w:pPr>
      <w:r w:rsidRPr="00E16672">
        <w:rPr>
          <w:rFonts w:ascii="Times New Roman" w:hAnsi="Times New Roman"/>
          <w:sz w:val="28"/>
          <w:lang w:val="uk-UA"/>
        </w:rPr>
        <w:t>Підпис відповідальної</w:t>
      </w:r>
    </w:p>
    <w:p w14:paraId="52933FDC" w14:textId="77777777" w:rsidR="001A2DB1" w:rsidRPr="00E16672" w:rsidRDefault="001A2DB1" w:rsidP="001A2DB1">
      <w:pPr>
        <w:rPr>
          <w:rFonts w:ascii="Times New Roman" w:hAnsi="Times New Roman"/>
          <w:color w:val="000000"/>
          <w:sz w:val="28"/>
          <w:u w:val="single"/>
          <w:lang w:val="uk-UA"/>
        </w:rPr>
      </w:pPr>
      <w:r w:rsidRPr="00E16672">
        <w:rPr>
          <w:rFonts w:ascii="Times New Roman" w:hAnsi="Times New Roman"/>
          <w:sz w:val="28"/>
          <w:lang w:val="uk-UA"/>
        </w:rPr>
        <w:t xml:space="preserve">особи Депозитарної установи        </w:t>
      </w:r>
      <w:r w:rsidRPr="00E16672">
        <w:rPr>
          <w:rFonts w:ascii="Times New Roman" w:hAnsi="Times New Roman"/>
          <w:color w:val="000000"/>
          <w:sz w:val="28"/>
          <w:lang w:val="uk-UA"/>
        </w:rPr>
        <w:t xml:space="preserve">_________________     </w:t>
      </w:r>
      <w:r w:rsidRPr="00E16672">
        <w:rPr>
          <w:rFonts w:ascii="Times New Roman" w:hAnsi="Times New Roman"/>
          <w:color w:val="000000"/>
          <w:sz w:val="28"/>
          <w:u w:val="single"/>
          <w:lang w:val="uk-UA"/>
        </w:rPr>
        <w:t>_____________</w:t>
      </w:r>
    </w:p>
    <w:p w14:paraId="7605B415" w14:textId="77777777" w:rsidR="001A2DB1" w:rsidRPr="00E16672" w:rsidRDefault="001A2DB1" w:rsidP="001A2DB1">
      <w:pPr>
        <w:rPr>
          <w:rFonts w:ascii="Times New Roman" w:hAnsi="Times New Roman"/>
          <w:b/>
          <w:i/>
          <w:color w:val="000000"/>
          <w:sz w:val="36"/>
          <w:lang w:val="uk-UA"/>
        </w:rPr>
      </w:pPr>
      <w:r w:rsidRPr="00E16672">
        <w:rPr>
          <w:rFonts w:ascii="Times New Roman" w:hAnsi="Times New Roman"/>
          <w:color w:val="000000"/>
          <w:sz w:val="28"/>
          <w:lang w:val="uk-UA"/>
        </w:rPr>
        <w:tab/>
      </w:r>
      <w:r w:rsidRPr="00E16672">
        <w:rPr>
          <w:rFonts w:ascii="Times New Roman" w:hAnsi="Times New Roman"/>
          <w:color w:val="000000"/>
          <w:sz w:val="28"/>
          <w:lang w:val="uk-UA"/>
        </w:rPr>
        <w:tab/>
      </w:r>
      <w:r w:rsidRPr="00E16672">
        <w:rPr>
          <w:rFonts w:ascii="Times New Roman" w:hAnsi="Times New Roman"/>
          <w:color w:val="000000"/>
          <w:sz w:val="28"/>
          <w:lang w:val="uk-UA"/>
        </w:rPr>
        <w:tab/>
      </w:r>
      <w:r w:rsidRPr="00E16672">
        <w:rPr>
          <w:rFonts w:ascii="Times New Roman" w:hAnsi="Times New Roman"/>
          <w:color w:val="000000"/>
          <w:sz w:val="28"/>
          <w:lang w:val="uk-UA"/>
        </w:rPr>
        <w:tab/>
      </w:r>
      <w:r w:rsidRPr="00E16672">
        <w:rPr>
          <w:rFonts w:ascii="Times New Roman" w:hAnsi="Times New Roman"/>
          <w:color w:val="000000"/>
          <w:sz w:val="28"/>
          <w:lang w:val="uk-UA"/>
        </w:rPr>
        <w:tab/>
      </w:r>
      <w:r w:rsidRPr="00E16672">
        <w:rPr>
          <w:rFonts w:ascii="Times New Roman" w:hAnsi="Times New Roman"/>
          <w:i/>
          <w:color w:val="000000"/>
          <w:sz w:val="28"/>
          <w:lang w:val="uk-UA"/>
        </w:rPr>
        <w:t xml:space="preserve">                      В.П., підпис</w:t>
      </w:r>
      <w:r w:rsidRPr="00E16672">
        <w:rPr>
          <w:rFonts w:ascii="Times New Roman" w:hAnsi="Times New Roman"/>
          <w:i/>
          <w:color w:val="000000"/>
          <w:sz w:val="28"/>
          <w:lang w:val="uk-UA"/>
        </w:rPr>
        <w:tab/>
      </w:r>
      <w:r w:rsidRPr="00E16672">
        <w:rPr>
          <w:rFonts w:ascii="Times New Roman" w:hAnsi="Times New Roman"/>
          <w:i/>
          <w:color w:val="000000"/>
          <w:sz w:val="28"/>
          <w:lang w:val="uk-UA"/>
        </w:rPr>
        <w:tab/>
        <w:t xml:space="preserve">       ПІБ</w:t>
      </w:r>
      <w:r w:rsidRPr="00E16672">
        <w:rPr>
          <w:rFonts w:ascii="Times New Roman" w:hAnsi="Times New Roman"/>
          <w:b/>
          <w:i/>
          <w:color w:val="000000"/>
          <w:sz w:val="36"/>
          <w:lang w:val="uk-UA"/>
        </w:rPr>
        <w:tab/>
      </w:r>
    </w:p>
    <w:p w14:paraId="53DA8FAD" w14:textId="77777777" w:rsidR="001A2DB1" w:rsidRPr="00E16672" w:rsidRDefault="001A2DB1" w:rsidP="001A2DB1">
      <w:pPr>
        <w:rPr>
          <w:rFonts w:ascii="Times New Roman" w:hAnsi="Times New Roman"/>
          <w:b/>
          <w:color w:val="000000"/>
          <w:sz w:val="36"/>
          <w:lang w:val="uk-UA"/>
        </w:rPr>
      </w:pPr>
    </w:p>
    <w:p w14:paraId="02C6B80B" w14:textId="77777777" w:rsidR="001A2DB1" w:rsidRPr="00E16672" w:rsidRDefault="001A2DB1" w:rsidP="001A2DB1">
      <w:pPr>
        <w:rPr>
          <w:rFonts w:ascii="Times New Roman" w:hAnsi="Times New Roman"/>
          <w:b/>
          <w:color w:val="000000"/>
          <w:sz w:val="36"/>
          <w:lang w:val="uk-UA"/>
        </w:rPr>
      </w:pPr>
    </w:p>
    <w:p w14:paraId="1C8F2975" w14:textId="77777777" w:rsidR="001A2DB1" w:rsidRPr="00E16672" w:rsidRDefault="001A2DB1" w:rsidP="001A2DB1">
      <w:pPr>
        <w:rPr>
          <w:rFonts w:ascii="Times New Roman" w:hAnsi="Times New Roman"/>
          <w:b/>
          <w:color w:val="000000"/>
          <w:sz w:val="36"/>
          <w:lang w:val="uk-UA"/>
        </w:rPr>
      </w:pPr>
    </w:p>
    <w:p w14:paraId="3B362E78" w14:textId="77777777" w:rsidR="001A2DB1" w:rsidRPr="00E16672" w:rsidRDefault="001A2DB1" w:rsidP="001A2DB1">
      <w:pPr>
        <w:rPr>
          <w:rFonts w:ascii="Times New Roman" w:hAnsi="Times New Roman"/>
          <w:b/>
          <w:color w:val="000000"/>
          <w:sz w:val="36"/>
          <w:lang w:val="uk-UA"/>
        </w:rPr>
      </w:pPr>
    </w:p>
    <w:p w14:paraId="28A18E95" w14:textId="77777777" w:rsidR="005745AF" w:rsidRPr="00E16672" w:rsidRDefault="005745AF" w:rsidP="005745AF">
      <w:pPr>
        <w:rPr>
          <w:rFonts w:ascii="Times New Roman" w:hAnsi="Times New Roman"/>
          <w:b/>
          <w:color w:val="000000"/>
          <w:sz w:val="36"/>
          <w:lang w:val="uk-UA"/>
        </w:rPr>
      </w:pPr>
    </w:p>
    <w:p w14:paraId="58E7AD90" w14:textId="77777777" w:rsidR="005745AF" w:rsidRPr="00E16672" w:rsidRDefault="005745AF" w:rsidP="005745AF">
      <w:pPr>
        <w:rPr>
          <w:rFonts w:ascii="Times New Roman" w:hAnsi="Times New Roman"/>
          <w:b/>
          <w:color w:val="000000"/>
          <w:lang w:val="uk-UA"/>
        </w:rPr>
      </w:pPr>
    </w:p>
    <w:p w14:paraId="4AFA596F" w14:textId="77777777" w:rsidR="00602650" w:rsidRDefault="00602650" w:rsidP="005921E3">
      <w:pPr>
        <w:rPr>
          <w:rFonts w:ascii="Times New Roman" w:hAnsi="Times New Roman"/>
          <w:i/>
          <w:iCs/>
          <w:color w:val="000000"/>
          <w:lang w:val="uk-UA"/>
        </w:rPr>
      </w:pPr>
    </w:p>
    <w:p w14:paraId="0145D54A" w14:textId="77777777" w:rsidR="005921E3" w:rsidRPr="00E16672" w:rsidRDefault="007D0843" w:rsidP="005921E3">
      <w:pPr>
        <w:rPr>
          <w:rFonts w:ascii="Times New Roman" w:hAnsi="Times New Roman"/>
          <w:bCs/>
          <w:color w:val="000000"/>
          <w:szCs w:val="20"/>
          <w:lang w:val="uk-UA"/>
        </w:rPr>
      </w:pPr>
      <w:r>
        <w:rPr>
          <w:rFonts w:ascii="Times New Roman" w:hAnsi="Times New Roman"/>
          <w:noProof/>
          <w:lang w:val="uk-UA" w:eastAsia="uk-UA"/>
        </w:rPr>
        <w:pict w14:anchorId="2BD88C9B">
          <v:line id="Прямая соединительная линия 7" o:spid="_x0000_s1042" style="position:absolute;left:0;text-align:left;flip:x;z-index:251666432;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page;mso-height-relative:page" from="0,2.05pt" to="0,65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" strokeweight=".26mm">
            <w10:wrap anchorx="margin"/>
          </v:line>
        </w:pict>
      </w:r>
      <w:r>
        <w:rPr>
          <w:rFonts w:ascii="Times New Roman" w:hAnsi="Times New Roman"/>
          <w:noProof/>
          <w:lang w:val="uk-UA" w:eastAsia="uk-UA"/>
        </w:rPr>
        <w:pict w14:anchorId="2D96D9F8">
          <v:line id="Прямая соединительная линия 6" o:spid="_x0000_s1041" style="position:absolute;left:0;text-align:lef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2.8pt" to=".25pt,65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" strokeweight=".26mm"/>
        </w:pict>
      </w:r>
      <w:r>
        <w:rPr>
          <w:rFonts w:ascii="Times New Roman" w:hAnsi="Times New Roman"/>
          <w:noProof/>
          <w:lang w:val="uk-UA" w:eastAsia="uk-UA"/>
        </w:rPr>
        <w:pict w14:anchorId="0F34D9C3">
          <v:line id="Прямая соединительная линия 5" o:spid="_x0000_s1040" style="position:absolute;left:0;text-align:lef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1.85pt" to="546.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" strokeweight=".26mm"/>
        </w:pict>
      </w:r>
    </w:p>
    <w:p w14:paraId="6F1422D0" w14:textId="77777777" w:rsidR="005921E3" w:rsidRPr="00F864F1" w:rsidRDefault="005921E3" w:rsidP="00F864F1">
      <w:pPr>
        <w:ind w:left="142" w:hanging="142"/>
        <w:jc w:val="center"/>
        <w:rPr>
          <w:rFonts w:ascii="Times New Roman" w:hAnsi="Times New Roman"/>
          <w:b/>
          <w:bCs/>
          <w:color w:val="000000"/>
          <w:sz w:val="18"/>
          <w:szCs w:val="18"/>
          <w:lang w:val="uk-UA"/>
        </w:rPr>
      </w:pPr>
      <w:r w:rsidRPr="00F864F1">
        <w:rPr>
          <w:rFonts w:ascii="Times New Roman" w:hAnsi="Times New Roman"/>
          <w:b/>
          <w:bCs/>
          <w:color w:val="000000"/>
          <w:sz w:val="18"/>
          <w:szCs w:val="18"/>
          <w:lang w:val="uk-UA"/>
        </w:rPr>
        <w:t xml:space="preserve">Депозитарна установа ТОВ </w:t>
      </w:r>
      <w:r w:rsidR="00022F5F" w:rsidRPr="00F864F1">
        <w:rPr>
          <w:rFonts w:ascii="Times New Roman" w:hAnsi="Times New Roman"/>
          <w:b/>
          <w:bCs/>
          <w:color w:val="000000"/>
          <w:sz w:val="18"/>
          <w:szCs w:val="18"/>
          <w:lang w:val="uk-UA"/>
        </w:rPr>
        <w:t>"</w:t>
      </w:r>
      <w:r w:rsidR="00E16672" w:rsidRPr="00F864F1">
        <w:rPr>
          <w:rFonts w:ascii="Times New Roman" w:hAnsi="Times New Roman"/>
          <w:b/>
          <w:bCs/>
          <w:color w:val="000000"/>
          <w:sz w:val="18"/>
          <w:szCs w:val="18"/>
          <w:lang w:val="uk-UA"/>
        </w:rPr>
        <w:t>КОМЕКС ЦІННІ ПАПЕРИ</w:t>
      </w:r>
      <w:r w:rsidR="00022F5F" w:rsidRPr="00F864F1">
        <w:rPr>
          <w:rFonts w:ascii="Times New Roman" w:hAnsi="Times New Roman"/>
          <w:b/>
          <w:bCs/>
          <w:color w:val="000000"/>
          <w:sz w:val="18"/>
          <w:szCs w:val="18"/>
          <w:lang w:val="uk-UA"/>
        </w:rPr>
        <w:t>"</w:t>
      </w:r>
      <w:r w:rsidR="001A2DB1" w:rsidRPr="00F864F1">
        <w:rPr>
          <w:rFonts w:ascii="Times New Roman" w:hAnsi="Times New Roman"/>
          <w:b/>
          <w:bCs/>
          <w:color w:val="000000"/>
          <w:sz w:val="18"/>
          <w:szCs w:val="18"/>
          <w:lang w:val="uk-UA"/>
        </w:rPr>
        <w:t xml:space="preserve">,  </w:t>
      </w:r>
      <w:r w:rsidRPr="00F864F1">
        <w:rPr>
          <w:rFonts w:ascii="Times New Roman" w:hAnsi="Times New Roman"/>
          <w:b/>
          <w:bCs/>
          <w:color w:val="000000"/>
          <w:sz w:val="18"/>
          <w:szCs w:val="18"/>
          <w:lang w:val="uk-UA"/>
        </w:rPr>
        <w:t xml:space="preserve">ЄДРПОУ </w:t>
      </w:r>
      <w:r w:rsidR="00E16672" w:rsidRPr="00F864F1">
        <w:rPr>
          <w:rFonts w:ascii="Times New Roman" w:hAnsi="Times New Roman"/>
          <w:b/>
          <w:bCs/>
          <w:color w:val="000000"/>
          <w:sz w:val="18"/>
          <w:szCs w:val="18"/>
          <w:lang w:val="uk-UA"/>
        </w:rPr>
        <w:t>33153077</w:t>
      </w:r>
    </w:p>
    <w:p w14:paraId="728888D6" w14:textId="77777777" w:rsidR="005921E3" w:rsidRPr="00E16672" w:rsidRDefault="005921E3" w:rsidP="005921E3">
      <w:pPr>
        <w:ind w:left="142" w:hanging="142"/>
        <w:jc w:val="center"/>
        <w:rPr>
          <w:rFonts w:ascii="Times New Roman" w:hAnsi="Times New Roman"/>
          <w:bCs/>
          <w:color w:val="000000"/>
          <w:sz w:val="18"/>
          <w:szCs w:val="18"/>
          <w:lang w:val="uk-UA"/>
        </w:rPr>
      </w:pPr>
      <w:r w:rsidRPr="00E16672">
        <w:rPr>
          <w:rFonts w:ascii="Times New Roman" w:hAnsi="Times New Roman"/>
          <w:bCs/>
          <w:color w:val="000000"/>
          <w:sz w:val="18"/>
          <w:szCs w:val="18"/>
          <w:lang w:val="uk-UA"/>
        </w:rPr>
        <w:t>Ліцензія серія АЕ №</w:t>
      </w:r>
      <w:r w:rsidR="00E16672" w:rsidRPr="00E16672">
        <w:rPr>
          <w:rFonts w:ascii="Times New Roman" w:hAnsi="Times New Roman"/>
          <w:bCs/>
          <w:color w:val="000000"/>
          <w:sz w:val="18"/>
          <w:szCs w:val="18"/>
          <w:lang w:val="uk-UA"/>
        </w:rPr>
        <w:t>263429</w:t>
      </w:r>
      <w:r w:rsidRPr="00E16672">
        <w:rPr>
          <w:rFonts w:ascii="Times New Roman" w:hAnsi="Times New Roman"/>
          <w:bCs/>
          <w:color w:val="000000"/>
          <w:sz w:val="18"/>
          <w:szCs w:val="18"/>
          <w:lang w:val="uk-UA"/>
        </w:rPr>
        <w:t xml:space="preserve"> від </w:t>
      </w:r>
      <w:r w:rsidR="006E3B0B">
        <w:rPr>
          <w:rFonts w:ascii="Times New Roman" w:hAnsi="Times New Roman"/>
          <w:bCs/>
          <w:color w:val="000000"/>
          <w:sz w:val="18"/>
          <w:szCs w:val="18"/>
          <w:lang w:val="uk-UA"/>
        </w:rPr>
        <w:t>01 жовтня</w:t>
      </w:r>
      <w:r w:rsidRPr="00E16672">
        <w:rPr>
          <w:rFonts w:ascii="Times New Roman" w:hAnsi="Times New Roman"/>
          <w:bCs/>
          <w:color w:val="000000"/>
          <w:sz w:val="18"/>
          <w:szCs w:val="18"/>
          <w:lang w:val="uk-UA"/>
        </w:rPr>
        <w:t xml:space="preserve"> 2013 р.,</w:t>
      </w:r>
    </w:p>
    <w:p w14:paraId="7AF6681C" w14:textId="77777777" w:rsidR="005921E3" w:rsidRPr="00E16672" w:rsidRDefault="005921E3" w:rsidP="005921E3">
      <w:pPr>
        <w:jc w:val="center"/>
        <w:rPr>
          <w:rFonts w:ascii="Times New Roman" w:hAnsi="Times New Roman"/>
          <w:bCs/>
          <w:sz w:val="18"/>
          <w:szCs w:val="18"/>
          <w:lang w:val="uk-UA"/>
        </w:rPr>
      </w:pPr>
      <w:r w:rsidRPr="00E16672">
        <w:rPr>
          <w:rFonts w:ascii="Times New Roman" w:hAnsi="Times New Roman"/>
          <w:bCs/>
          <w:color w:val="000000"/>
          <w:sz w:val="18"/>
          <w:szCs w:val="18"/>
          <w:lang w:val="uk-UA"/>
        </w:rPr>
        <w:t xml:space="preserve">Адреса: </w:t>
      </w:r>
      <w:r w:rsidR="006E3B0B">
        <w:rPr>
          <w:rFonts w:ascii="Times New Roman" w:hAnsi="Times New Roman"/>
          <w:bCs/>
          <w:sz w:val="18"/>
          <w:szCs w:val="18"/>
          <w:lang w:val="uk-UA"/>
        </w:rPr>
        <w:t>03150</w:t>
      </w:r>
      <w:r w:rsidR="006E3B0B" w:rsidRPr="006E3B0B">
        <w:rPr>
          <w:rFonts w:ascii="Times New Roman" w:hAnsi="Times New Roman"/>
          <w:bCs/>
          <w:sz w:val="18"/>
          <w:szCs w:val="18"/>
          <w:lang w:val="uk-UA"/>
        </w:rPr>
        <w:t xml:space="preserve">, </w:t>
      </w:r>
      <w:proofErr w:type="spellStart"/>
      <w:r w:rsidR="006E3B0B" w:rsidRPr="006E3B0B">
        <w:rPr>
          <w:rFonts w:ascii="Times New Roman" w:hAnsi="Times New Roman"/>
          <w:bCs/>
          <w:sz w:val="18"/>
          <w:szCs w:val="18"/>
          <w:lang w:val="uk-UA"/>
        </w:rPr>
        <w:t>м.Київ</w:t>
      </w:r>
      <w:proofErr w:type="spellEnd"/>
      <w:r w:rsidR="006E3B0B" w:rsidRPr="006E3B0B">
        <w:rPr>
          <w:rFonts w:ascii="Times New Roman" w:hAnsi="Times New Roman"/>
          <w:bCs/>
          <w:sz w:val="18"/>
          <w:szCs w:val="18"/>
          <w:lang w:val="uk-UA"/>
        </w:rPr>
        <w:t>, Велика Васильківська (колишня Червоноармійська) вул., буд. 65</w:t>
      </w:r>
    </w:p>
    <w:p w14:paraId="5A04E970" w14:textId="77777777" w:rsidR="005921E3" w:rsidRPr="00E16672" w:rsidRDefault="005921E3" w:rsidP="005921E3">
      <w:pPr>
        <w:tabs>
          <w:tab w:val="left" w:pos="288"/>
          <w:tab w:val="left" w:pos="720"/>
          <w:tab w:val="left" w:pos="1008"/>
          <w:tab w:val="left" w:pos="1584"/>
          <w:tab w:val="left" w:pos="2160"/>
          <w:tab w:val="left" w:pos="3600"/>
        </w:tabs>
        <w:ind w:right="1"/>
        <w:jc w:val="center"/>
        <w:rPr>
          <w:rFonts w:ascii="Times New Roman" w:hAnsi="Times New Roman"/>
          <w:bCs/>
          <w:sz w:val="18"/>
          <w:szCs w:val="18"/>
          <w:lang w:val="uk-UA"/>
        </w:rPr>
      </w:pPr>
      <w:r w:rsidRPr="00E16672">
        <w:rPr>
          <w:rFonts w:ascii="Times New Roman" w:hAnsi="Times New Roman"/>
          <w:bCs/>
          <w:sz w:val="18"/>
          <w:szCs w:val="18"/>
          <w:lang w:val="uk-UA"/>
        </w:rPr>
        <w:t>Рахунок в Центральному Депозитарії №100024-UA4040</w:t>
      </w:r>
      <w:r w:rsidR="006E3B0B">
        <w:rPr>
          <w:rFonts w:ascii="Times New Roman" w:hAnsi="Times New Roman"/>
          <w:bCs/>
          <w:sz w:val="18"/>
          <w:szCs w:val="18"/>
          <w:lang w:val="uk-UA"/>
        </w:rPr>
        <w:t>1265</w:t>
      </w:r>
      <w:r w:rsidRPr="00E16672">
        <w:rPr>
          <w:rFonts w:ascii="Times New Roman" w:hAnsi="Times New Roman"/>
          <w:bCs/>
          <w:sz w:val="18"/>
          <w:szCs w:val="18"/>
          <w:lang w:val="uk-UA"/>
        </w:rPr>
        <w:t>, код МДО 40</w:t>
      </w:r>
      <w:r w:rsidR="006E3B0B">
        <w:rPr>
          <w:rFonts w:ascii="Times New Roman" w:hAnsi="Times New Roman"/>
          <w:bCs/>
          <w:sz w:val="18"/>
          <w:szCs w:val="18"/>
          <w:lang w:val="uk-UA"/>
        </w:rPr>
        <w:t>1265</w:t>
      </w:r>
    </w:p>
    <w:p w14:paraId="097C63DA" w14:textId="77777777" w:rsidR="007E6D0C" w:rsidRPr="00E16672" w:rsidRDefault="007E6D0C" w:rsidP="005921E3">
      <w:pPr>
        <w:tabs>
          <w:tab w:val="left" w:pos="288"/>
          <w:tab w:val="left" w:pos="720"/>
          <w:tab w:val="left" w:pos="1008"/>
          <w:tab w:val="left" w:pos="1584"/>
          <w:tab w:val="left" w:pos="2160"/>
          <w:tab w:val="left" w:pos="3600"/>
        </w:tabs>
        <w:ind w:right="1"/>
        <w:jc w:val="center"/>
        <w:rPr>
          <w:rFonts w:ascii="Times New Roman" w:hAnsi="Times New Roman"/>
          <w:bCs/>
          <w:sz w:val="18"/>
          <w:szCs w:val="18"/>
          <w:lang w:val="uk-UA"/>
        </w:rPr>
      </w:pPr>
    </w:p>
    <w:p w14:paraId="040F66D5" w14:textId="77777777" w:rsidR="005921E3" w:rsidRPr="00E16672" w:rsidRDefault="00565242" w:rsidP="005921E3">
      <w:pPr>
        <w:tabs>
          <w:tab w:val="left" w:pos="288"/>
          <w:tab w:val="left" w:pos="720"/>
          <w:tab w:val="left" w:pos="1008"/>
          <w:tab w:val="left" w:pos="1584"/>
          <w:tab w:val="left" w:pos="2160"/>
          <w:tab w:val="left" w:pos="3600"/>
        </w:tabs>
        <w:ind w:right="1"/>
        <w:jc w:val="center"/>
        <w:rPr>
          <w:rFonts w:ascii="Times New Roman" w:hAnsi="Times New Roman"/>
          <w:bCs/>
          <w:sz w:val="18"/>
          <w:szCs w:val="18"/>
          <w:lang w:val="uk-UA"/>
        </w:rPr>
      </w:pPr>
      <w:r>
        <w:rPr>
          <w:rFonts w:ascii="Times New Roman" w:hAnsi="Times New Roman"/>
          <w:bCs/>
          <w:sz w:val="18"/>
          <w:szCs w:val="18"/>
          <w:lang w:val="uk-UA"/>
        </w:rPr>
        <w:t xml:space="preserve">COMEX </w:t>
      </w:r>
      <w:proofErr w:type="spellStart"/>
      <w:r>
        <w:rPr>
          <w:rFonts w:ascii="Times New Roman" w:hAnsi="Times New Roman"/>
          <w:bCs/>
          <w:sz w:val="18"/>
          <w:szCs w:val="18"/>
          <w:lang w:val="uk-UA"/>
        </w:rPr>
        <w:t>Securities</w:t>
      </w:r>
      <w:proofErr w:type="spellEnd"/>
      <w:r>
        <w:rPr>
          <w:rFonts w:ascii="Times New Roman" w:hAnsi="Times New Roman"/>
          <w:bCs/>
          <w:sz w:val="18"/>
          <w:szCs w:val="18"/>
          <w:lang w:val="uk-UA"/>
        </w:rPr>
        <w:t xml:space="preserve"> </w:t>
      </w:r>
      <w:proofErr w:type="spellStart"/>
      <w:r>
        <w:rPr>
          <w:rFonts w:ascii="Times New Roman" w:hAnsi="Times New Roman"/>
          <w:bCs/>
          <w:sz w:val="18"/>
          <w:szCs w:val="18"/>
          <w:lang w:val="uk-UA"/>
        </w:rPr>
        <w:t>Limited</w:t>
      </w:r>
      <w:proofErr w:type="spellEnd"/>
      <w:r w:rsidR="005921E3" w:rsidRPr="00E16672">
        <w:rPr>
          <w:rFonts w:ascii="Times New Roman" w:hAnsi="Times New Roman"/>
          <w:bCs/>
          <w:sz w:val="18"/>
          <w:szCs w:val="18"/>
          <w:lang w:val="uk-UA"/>
        </w:rPr>
        <w:t xml:space="preserve"> ,  </w:t>
      </w:r>
      <w:proofErr w:type="spellStart"/>
      <w:r w:rsidR="005921E3" w:rsidRPr="00E16672">
        <w:rPr>
          <w:rFonts w:ascii="Times New Roman" w:hAnsi="Times New Roman"/>
          <w:bCs/>
          <w:sz w:val="18"/>
          <w:szCs w:val="18"/>
          <w:lang w:val="uk-UA"/>
        </w:rPr>
        <w:t>registration</w:t>
      </w:r>
      <w:proofErr w:type="spellEnd"/>
      <w:r w:rsidR="005921E3" w:rsidRPr="00E16672">
        <w:rPr>
          <w:rFonts w:ascii="Times New Roman" w:hAnsi="Times New Roman"/>
          <w:bCs/>
          <w:sz w:val="18"/>
          <w:szCs w:val="18"/>
          <w:lang w:val="uk-UA"/>
        </w:rPr>
        <w:t xml:space="preserve"> </w:t>
      </w:r>
      <w:proofErr w:type="spellStart"/>
      <w:r w:rsidR="005921E3" w:rsidRPr="00E16672">
        <w:rPr>
          <w:rFonts w:ascii="Times New Roman" w:hAnsi="Times New Roman"/>
          <w:bCs/>
          <w:sz w:val="18"/>
          <w:szCs w:val="18"/>
          <w:lang w:val="uk-UA"/>
        </w:rPr>
        <w:t>code</w:t>
      </w:r>
      <w:proofErr w:type="spellEnd"/>
      <w:r w:rsidR="005921E3" w:rsidRPr="00E16672">
        <w:rPr>
          <w:rFonts w:ascii="Times New Roman" w:hAnsi="Times New Roman"/>
          <w:bCs/>
          <w:sz w:val="18"/>
          <w:szCs w:val="18"/>
          <w:lang w:val="uk-UA"/>
        </w:rPr>
        <w:t xml:space="preserve"> </w:t>
      </w:r>
      <w:r w:rsidR="00E16672" w:rsidRPr="00E16672">
        <w:rPr>
          <w:rFonts w:ascii="Times New Roman" w:hAnsi="Times New Roman"/>
          <w:bCs/>
          <w:sz w:val="18"/>
          <w:szCs w:val="18"/>
          <w:lang w:val="uk-UA"/>
        </w:rPr>
        <w:t>33153077</w:t>
      </w:r>
      <w:r w:rsidR="005921E3" w:rsidRPr="00E16672">
        <w:rPr>
          <w:rFonts w:ascii="Times New Roman" w:hAnsi="Times New Roman"/>
          <w:bCs/>
          <w:sz w:val="18"/>
          <w:szCs w:val="18"/>
          <w:lang w:val="uk-UA"/>
        </w:rPr>
        <w:t>,</w:t>
      </w:r>
    </w:p>
    <w:p w14:paraId="5DE8BB8A" w14:textId="77777777" w:rsidR="007E6D0C" w:rsidRPr="00E16672" w:rsidRDefault="007E6D0C" w:rsidP="007E6D0C">
      <w:pPr>
        <w:jc w:val="center"/>
        <w:rPr>
          <w:rFonts w:ascii="Times New Roman" w:hAnsi="Times New Roman"/>
          <w:bCs/>
          <w:sz w:val="18"/>
          <w:szCs w:val="18"/>
          <w:lang w:val="uk-UA"/>
        </w:rPr>
      </w:pPr>
      <w:proofErr w:type="spellStart"/>
      <w:r w:rsidRPr="00E16672">
        <w:rPr>
          <w:rFonts w:ascii="Times New Roman" w:hAnsi="Times New Roman"/>
          <w:bCs/>
          <w:sz w:val="18"/>
          <w:szCs w:val="18"/>
          <w:lang w:val="uk-UA"/>
        </w:rPr>
        <w:t>License</w:t>
      </w:r>
      <w:proofErr w:type="spellEnd"/>
      <w:r w:rsidRPr="00E16672">
        <w:rPr>
          <w:rFonts w:ascii="Times New Roman" w:hAnsi="Times New Roman"/>
          <w:bCs/>
          <w:sz w:val="18"/>
          <w:szCs w:val="18"/>
          <w:lang w:val="uk-UA"/>
        </w:rPr>
        <w:t xml:space="preserve">  АE № </w:t>
      </w:r>
      <w:r w:rsidR="00E16672" w:rsidRPr="00E16672">
        <w:rPr>
          <w:rFonts w:ascii="Times New Roman" w:hAnsi="Times New Roman"/>
          <w:bCs/>
          <w:sz w:val="18"/>
          <w:szCs w:val="18"/>
          <w:lang w:val="uk-UA"/>
        </w:rPr>
        <w:t>263429</w:t>
      </w:r>
      <w:r w:rsidRPr="00E16672">
        <w:rPr>
          <w:rFonts w:ascii="Times New Roman" w:hAnsi="Times New Roman"/>
          <w:bCs/>
          <w:sz w:val="18"/>
          <w:szCs w:val="18"/>
          <w:lang w:val="uk-UA"/>
        </w:rPr>
        <w:t xml:space="preserve"> </w:t>
      </w:r>
      <w:proofErr w:type="spellStart"/>
      <w:r w:rsidRPr="00E16672">
        <w:rPr>
          <w:rFonts w:ascii="Times New Roman" w:hAnsi="Times New Roman"/>
          <w:bCs/>
          <w:sz w:val="18"/>
          <w:szCs w:val="18"/>
          <w:lang w:val="uk-UA"/>
        </w:rPr>
        <w:t>dd</w:t>
      </w:r>
      <w:proofErr w:type="spellEnd"/>
      <w:r w:rsidRPr="00E16672">
        <w:rPr>
          <w:rFonts w:ascii="Times New Roman" w:hAnsi="Times New Roman"/>
          <w:bCs/>
          <w:sz w:val="18"/>
          <w:szCs w:val="18"/>
          <w:lang w:val="uk-UA"/>
        </w:rPr>
        <w:t xml:space="preserve">. </w:t>
      </w:r>
      <w:r w:rsidR="00E16672" w:rsidRPr="00E16672">
        <w:rPr>
          <w:rFonts w:ascii="Times New Roman" w:hAnsi="Times New Roman"/>
          <w:bCs/>
          <w:sz w:val="18"/>
          <w:szCs w:val="18"/>
          <w:lang w:val="uk-UA"/>
        </w:rPr>
        <w:t>01.10.2013</w:t>
      </w:r>
      <w:r w:rsidRPr="00E16672">
        <w:rPr>
          <w:rFonts w:ascii="Times New Roman" w:hAnsi="Times New Roman"/>
          <w:bCs/>
          <w:sz w:val="18"/>
          <w:szCs w:val="18"/>
          <w:lang w:val="uk-UA"/>
        </w:rPr>
        <w:t>,</w:t>
      </w:r>
    </w:p>
    <w:p w14:paraId="446F85E2" w14:textId="77777777" w:rsidR="007E6D0C" w:rsidRPr="00E16672" w:rsidRDefault="007E6D0C" w:rsidP="007E6D0C">
      <w:pPr>
        <w:jc w:val="center"/>
        <w:rPr>
          <w:rFonts w:ascii="Times New Roman" w:hAnsi="Times New Roman"/>
          <w:bCs/>
          <w:sz w:val="18"/>
          <w:szCs w:val="18"/>
          <w:lang w:val="uk-UA"/>
        </w:rPr>
      </w:pPr>
      <w:proofErr w:type="spellStart"/>
      <w:r w:rsidRPr="00E16672">
        <w:rPr>
          <w:rFonts w:ascii="Times New Roman" w:hAnsi="Times New Roman"/>
          <w:bCs/>
          <w:sz w:val="18"/>
          <w:szCs w:val="18"/>
          <w:lang w:val="uk-UA"/>
        </w:rPr>
        <w:t>Address</w:t>
      </w:r>
      <w:proofErr w:type="spellEnd"/>
      <w:r w:rsidRPr="00E16672">
        <w:rPr>
          <w:rFonts w:ascii="Times New Roman" w:hAnsi="Times New Roman"/>
          <w:bCs/>
          <w:sz w:val="18"/>
          <w:szCs w:val="18"/>
          <w:lang w:val="uk-UA"/>
        </w:rPr>
        <w:t xml:space="preserve">: </w:t>
      </w:r>
      <w:r w:rsidR="006E3B0B">
        <w:rPr>
          <w:rFonts w:ascii="Times New Roman" w:hAnsi="Times New Roman"/>
          <w:bCs/>
          <w:sz w:val="18"/>
          <w:szCs w:val="18"/>
          <w:lang w:val="uk-UA"/>
        </w:rPr>
        <w:t>03150</w:t>
      </w:r>
      <w:r w:rsidR="006E3B0B" w:rsidRPr="006E3B0B">
        <w:rPr>
          <w:rFonts w:ascii="Times New Roman" w:hAnsi="Times New Roman"/>
          <w:bCs/>
          <w:sz w:val="18"/>
          <w:szCs w:val="18"/>
          <w:lang w:val="uk-UA"/>
        </w:rPr>
        <w:t xml:space="preserve">, </w:t>
      </w:r>
      <w:proofErr w:type="spellStart"/>
      <w:r w:rsidR="006E3B0B" w:rsidRPr="006E3B0B">
        <w:rPr>
          <w:rFonts w:ascii="Times New Roman" w:hAnsi="Times New Roman"/>
          <w:bCs/>
          <w:sz w:val="18"/>
          <w:szCs w:val="18"/>
          <w:lang w:val="uk-UA"/>
        </w:rPr>
        <w:t>Kyiv</w:t>
      </w:r>
      <w:proofErr w:type="spellEnd"/>
      <w:r w:rsidR="006E3B0B" w:rsidRPr="006E3B0B">
        <w:rPr>
          <w:rFonts w:ascii="Times New Roman" w:hAnsi="Times New Roman"/>
          <w:bCs/>
          <w:sz w:val="18"/>
          <w:szCs w:val="18"/>
          <w:lang w:val="uk-UA"/>
        </w:rPr>
        <w:t xml:space="preserve">, </w:t>
      </w:r>
      <w:proofErr w:type="spellStart"/>
      <w:r w:rsidR="006E3B0B" w:rsidRPr="006E3B0B">
        <w:rPr>
          <w:rFonts w:ascii="Times New Roman" w:hAnsi="Times New Roman"/>
          <w:bCs/>
          <w:sz w:val="18"/>
          <w:szCs w:val="18"/>
          <w:lang w:val="uk-UA"/>
        </w:rPr>
        <w:t>Velyka</w:t>
      </w:r>
      <w:proofErr w:type="spellEnd"/>
      <w:r w:rsidR="006E3B0B" w:rsidRPr="006E3B0B">
        <w:rPr>
          <w:rFonts w:ascii="Times New Roman" w:hAnsi="Times New Roman"/>
          <w:bCs/>
          <w:sz w:val="18"/>
          <w:szCs w:val="18"/>
          <w:lang w:val="uk-UA"/>
        </w:rPr>
        <w:t xml:space="preserve"> </w:t>
      </w:r>
      <w:proofErr w:type="spellStart"/>
      <w:r w:rsidR="006E3B0B" w:rsidRPr="006E3B0B">
        <w:rPr>
          <w:rFonts w:ascii="Times New Roman" w:hAnsi="Times New Roman"/>
          <w:bCs/>
          <w:sz w:val="18"/>
          <w:szCs w:val="18"/>
          <w:lang w:val="uk-UA"/>
        </w:rPr>
        <w:t>Vasilkivska</w:t>
      </w:r>
      <w:proofErr w:type="spellEnd"/>
      <w:r w:rsidR="006E3B0B" w:rsidRPr="006E3B0B">
        <w:rPr>
          <w:rFonts w:ascii="Times New Roman" w:hAnsi="Times New Roman"/>
          <w:bCs/>
          <w:sz w:val="18"/>
          <w:szCs w:val="18"/>
          <w:lang w:val="uk-UA"/>
        </w:rPr>
        <w:t xml:space="preserve"> (</w:t>
      </w:r>
      <w:proofErr w:type="spellStart"/>
      <w:r w:rsidR="006E3B0B" w:rsidRPr="006E3B0B">
        <w:rPr>
          <w:rFonts w:ascii="Times New Roman" w:hAnsi="Times New Roman"/>
          <w:bCs/>
          <w:sz w:val="18"/>
          <w:szCs w:val="18"/>
          <w:lang w:val="uk-UA"/>
        </w:rPr>
        <w:t>former</w:t>
      </w:r>
      <w:proofErr w:type="spellEnd"/>
      <w:r w:rsidR="006E3B0B" w:rsidRPr="006E3B0B">
        <w:rPr>
          <w:rFonts w:ascii="Times New Roman" w:hAnsi="Times New Roman"/>
          <w:bCs/>
          <w:sz w:val="18"/>
          <w:szCs w:val="18"/>
          <w:lang w:val="uk-UA"/>
        </w:rPr>
        <w:t xml:space="preserve"> </w:t>
      </w:r>
      <w:proofErr w:type="spellStart"/>
      <w:r w:rsidR="006E3B0B" w:rsidRPr="006E3B0B">
        <w:rPr>
          <w:rFonts w:ascii="Times New Roman" w:hAnsi="Times New Roman"/>
          <w:bCs/>
          <w:sz w:val="18"/>
          <w:szCs w:val="18"/>
          <w:lang w:val="uk-UA"/>
        </w:rPr>
        <w:t>Chervonoarmiyska</w:t>
      </w:r>
      <w:proofErr w:type="spellEnd"/>
      <w:r w:rsidR="006E3B0B" w:rsidRPr="006E3B0B">
        <w:rPr>
          <w:rFonts w:ascii="Times New Roman" w:hAnsi="Times New Roman"/>
          <w:bCs/>
          <w:sz w:val="18"/>
          <w:szCs w:val="18"/>
          <w:lang w:val="uk-UA"/>
        </w:rPr>
        <w:t xml:space="preserve">) </w:t>
      </w:r>
      <w:proofErr w:type="spellStart"/>
      <w:r w:rsidR="006E3B0B" w:rsidRPr="006E3B0B">
        <w:rPr>
          <w:rFonts w:ascii="Times New Roman" w:hAnsi="Times New Roman"/>
          <w:bCs/>
          <w:sz w:val="18"/>
          <w:szCs w:val="18"/>
          <w:lang w:val="uk-UA"/>
        </w:rPr>
        <w:t>str</w:t>
      </w:r>
      <w:proofErr w:type="spellEnd"/>
      <w:r w:rsidR="006E3B0B" w:rsidRPr="006E3B0B">
        <w:rPr>
          <w:rFonts w:ascii="Times New Roman" w:hAnsi="Times New Roman"/>
          <w:bCs/>
          <w:sz w:val="18"/>
          <w:szCs w:val="18"/>
          <w:lang w:val="uk-UA"/>
        </w:rPr>
        <w:t>., 65</w:t>
      </w:r>
    </w:p>
    <w:p w14:paraId="05700666" w14:textId="77777777" w:rsidR="007E6D0C" w:rsidRPr="00E16672" w:rsidRDefault="007E6D0C" w:rsidP="007E6D0C">
      <w:pPr>
        <w:jc w:val="center"/>
        <w:rPr>
          <w:rFonts w:ascii="Times New Roman" w:hAnsi="Times New Roman"/>
          <w:bCs/>
          <w:sz w:val="18"/>
          <w:szCs w:val="18"/>
          <w:lang w:val="uk-UA"/>
        </w:rPr>
      </w:pPr>
      <w:proofErr w:type="spellStart"/>
      <w:r w:rsidRPr="00E16672">
        <w:rPr>
          <w:rFonts w:ascii="Times New Roman" w:hAnsi="Times New Roman"/>
          <w:bCs/>
          <w:sz w:val="18"/>
          <w:szCs w:val="18"/>
          <w:lang w:val="uk-UA"/>
        </w:rPr>
        <w:t>Accounts</w:t>
      </w:r>
      <w:proofErr w:type="spellEnd"/>
      <w:r w:rsidRPr="00E16672">
        <w:rPr>
          <w:rFonts w:ascii="Times New Roman" w:hAnsi="Times New Roman"/>
          <w:bCs/>
          <w:sz w:val="18"/>
          <w:szCs w:val="18"/>
          <w:lang w:val="uk-UA"/>
        </w:rPr>
        <w:t xml:space="preserve"> </w:t>
      </w:r>
      <w:proofErr w:type="spellStart"/>
      <w:r w:rsidRPr="00E16672">
        <w:rPr>
          <w:rFonts w:ascii="Times New Roman" w:hAnsi="Times New Roman"/>
          <w:bCs/>
          <w:sz w:val="18"/>
          <w:szCs w:val="18"/>
          <w:lang w:val="uk-UA"/>
        </w:rPr>
        <w:t>in</w:t>
      </w:r>
      <w:proofErr w:type="spellEnd"/>
      <w:r w:rsidRPr="00E16672">
        <w:rPr>
          <w:rFonts w:ascii="Times New Roman" w:hAnsi="Times New Roman"/>
          <w:bCs/>
          <w:sz w:val="18"/>
          <w:szCs w:val="18"/>
          <w:lang w:val="uk-UA"/>
        </w:rPr>
        <w:t xml:space="preserve"> </w:t>
      </w:r>
      <w:proofErr w:type="spellStart"/>
      <w:r w:rsidRPr="00E16672">
        <w:rPr>
          <w:rFonts w:ascii="Times New Roman" w:hAnsi="Times New Roman"/>
          <w:bCs/>
          <w:sz w:val="18"/>
          <w:szCs w:val="18"/>
          <w:lang w:val="uk-UA"/>
        </w:rPr>
        <w:t>the</w:t>
      </w:r>
      <w:proofErr w:type="spellEnd"/>
      <w:r w:rsidRPr="00E16672">
        <w:rPr>
          <w:rFonts w:ascii="Times New Roman" w:hAnsi="Times New Roman"/>
          <w:bCs/>
          <w:sz w:val="18"/>
          <w:szCs w:val="18"/>
          <w:lang w:val="uk-UA"/>
        </w:rPr>
        <w:t xml:space="preserve"> </w:t>
      </w:r>
      <w:proofErr w:type="spellStart"/>
      <w:r w:rsidRPr="00E16672">
        <w:rPr>
          <w:rFonts w:ascii="Times New Roman" w:hAnsi="Times New Roman"/>
          <w:bCs/>
          <w:sz w:val="18"/>
          <w:szCs w:val="18"/>
          <w:lang w:val="uk-UA"/>
        </w:rPr>
        <w:t>Central</w:t>
      </w:r>
      <w:proofErr w:type="spellEnd"/>
      <w:r w:rsidRPr="00E16672">
        <w:rPr>
          <w:rFonts w:ascii="Times New Roman" w:hAnsi="Times New Roman"/>
          <w:bCs/>
          <w:sz w:val="18"/>
          <w:szCs w:val="18"/>
          <w:lang w:val="uk-UA"/>
        </w:rPr>
        <w:t xml:space="preserve"> </w:t>
      </w:r>
      <w:proofErr w:type="spellStart"/>
      <w:r w:rsidRPr="00E16672">
        <w:rPr>
          <w:rFonts w:ascii="Times New Roman" w:hAnsi="Times New Roman"/>
          <w:bCs/>
          <w:sz w:val="18"/>
          <w:szCs w:val="18"/>
          <w:lang w:val="uk-UA"/>
        </w:rPr>
        <w:t>Depository</w:t>
      </w:r>
      <w:proofErr w:type="spellEnd"/>
      <w:r w:rsidRPr="00E16672">
        <w:rPr>
          <w:rFonts w:ascii="Times New Roman" w:hAnsi="Times New Roman"/>
          <w:bCs/>
          <w:sz w:val="18"/>
          <w:szCs w:val="18"/>
          <w:lang w:val="uk-UA"/>
        </w:rPr>
        <w:t xml:space="preserve"> №100024-UA40</w:t>
      </w:r>
      <w:r w:rsidR="006E3B0B">
        <w:rPr>
          <w:rFonts w:ascii="Times New Roman" w:hAnsi="Times New Roman"/>
          <w:bCs/>
          <w:sz w:val="18"/>
          <w:szCs w:val="18"/>
          <w:lang w:val="uk-UA"/>
        </w:rPr>
        <w:t>401265</w:t>
      </w:r>
      <w:r w:rsidRPr="00E16672">
        <w:rPr>
          <w:rFonts w:ascii="Times New Roman" w:hAnsi="Times New Roman"/>
          <w:bCs/>
          <w:sz w:val="18"/>
          <w:szCs w:val="18"/>
          <w:lang w:val="uk-UA"/>
        </w:rPr>
        <w:t xml:space="preserve">, </w:t>
      </w:r>
      <w:proofErr w:type="spellStart"/>
      <w:r w:rsidRPr="00E16672">
        <w:rPr>
          <w:rFonts w:ascii="Times New Roman" w:hAnsi="Times New Roman"/>
          <w:bCs/>
          <w:sz w:val="18"/>
          <w:szCs w:val="18"/>
          <w:lang w:val="uk-UA"/>
        </w:rPr>
        <w:t>code</w:t>
      </w:r>
      <w:proofErr w:type="spellEnd"/>
      <w:r w:rsidRPr="00E16672">
        <w:rPr>
          <w:rFonts w:ascii="Times New Roman" w:hAnsi="Times New Roman"/>
          <w:bCs/>
          <w:sz w:val="18"/>
          <w:szCs w:val="18"/>
          <w:lang w:val="uk-UA"/>
        </w:rPr>
        <w:t xml:space="preserve"> MDO </w:t>
      </w:r>
      <w:r w:rsidR="006E3B0B">
        <w:rPr>
          <w:rFonts w:ascii="Times New Roman" w:hAnsi="Times New Roman"/>
          <w:bCs/>
          <w:sz w:val="18"/>
          <w:szCs w:val="18"/>
          <w:lang w:val="uk-UA"/>
        </w:rPr>
        <w:t>401265</w:t>
      </w:r>
    </w:p>
    <w:p w14:paraId="35B21B9F" w14:textId="77777777" w:rsidR="005921E3" w:rsidRPr="00E16672" w:rsidRDefault="005921E3" w:rsidP="007E6D0C">
      <w:pPr>
        <w:rPr>
          <w:rFonts w:ascii="Times New Roman" w:hAnsi="Times New Roman"/>
          <w:bCs/>
          <w:color w:val="000000"/>
          <w:sz w:val="18"/>
          <w:szCs w:val="18"/>
          <w:lang w:val="uk-UA"/>
        </w:rPr>
      </w:pPr>
    </w:p>
    <w:p w14:paraId="0CDA6ED1" w14:textId="77777777" w:rsidR="001A2DB1" w:rsidRPr="00E16672" w:rsidRDefault="001A2DB1" w:rsidP="001A2DB1">
      <w:pPr>
        <w:rPr>
          <w:rFonts w:ascii="Times New Roman" w:hAnsi="Times New Roman"/>
          <w:lang w:val="uk-UA"/>
        </w:rPr>
      </w:pPr>
      <w:proofErr w:type="spellStart"/>
      <w:r w:rsidRPr="00E16672">
        <w:rPr>
          <w:rFonts w:ascii="Times New Roman" w:hAnsi="Times New Roman"/>
          <w:lang w:val="uk-UA"/>
        </w:rPr>
        <w:t>Вих</w:t>
      </w:r>
      <w:proofErr w:type="spellEnd"/>
      <w:r w:rsidRPr="00E16672">
        <w:rPr>
          <w:rFonts w:ascii="Times New Roman" w:hAnsi="Times New Roman"/>
          <w:lang w:val="uk-UA"/>
        </w:rPr>
        <w:t>./</w:t>
      </w:r>
      <w:r w:rsidRPr="00E16672">
        <w:rPr>
          <w:rFonts w:ascii="Times New Roman" w:hAnsi="Times New Roman"/>
          <w:lang w:val="en-US"/>
        </w:rPr>
        <w:t>Our Ref.</w:t>
      </w:r>
      <w:r w:rsidRPr="00E16672">
        <w:rPr>
          <w:rFonts w:ascii="Times New Roman" w:hAnsi="Times New Roman"/>
          <w:lang w:val="uk-UA"/>
        </w:rPr>
        <w:t xml:space="preserve"> № __________</w:t>
      </w:r>
    </w:p>
    <w:p w14:paraId="32DA096A" w14:textId="77777777" w:rsidR="001A2DB1" w:rsidRPr="00E16672" w:rsidRDefault="00602650" w:rsidP="001A2DB1">
      <w:pPr>
        <w:rPr>
          <w:rFonts w:ascii="Times New Roman" w:hAnsi="Times New Roman"/>
          <w:lang w:val="uk-UA"/>
        </w:rPr>
      </w:pPr>
      <w:r>
        <w:rPr>
          <w:rFonts w:ascii="Times New Roman" w:hAnsi="Times New Roman"/>
          <w:lang w:val="uk-UA"/>
        </w:rPr>
        <w:t>в</w:t>
      </w:r>
      <w:r w:rsidR="001A2DB1" w:rsidRPr="00E16672">
        <w:rPr>
          <w:rFonts w:ascii="Times New Roman" w:hAnsi="Times New Roman"/>
          <w:lang w:val="uk-UA"/>
        </w:rPr>
        <w:t>ід /</w:t>
      </w:r>
      <w:r w:rsidR="001A2DB1" w:rsidRPr="00E16672">
        <w:rPr>
          <w:rFonts w:ascii="Times New Roman" w:hAnsi="Times New Roman"/>
          <w:lang w:val="en-US"/>
        </w:rPr>
        <w:t>dd</w:t>
      </w:r>
      <w:r w:rsidR="001A2DB1" w:rsidRPr="00E16672">
        <w:rPr>
          <w:rFonts w:ascii="Times New Roman" w:hAnsi="Times New Roman"/>
          <w:lang w:val="uk-UA"/>
        </w:rPr>
        <w:t>. __.__. 20__р.</w:t>
      </w:r>
    </w:p>
    <w:p w14:paraId="71A7F7E7" w14:textId="77777777" w:rsidR="005921E3" w:rsidRPr="00E16672" w:rsidRDefault="005921E3" w:rsidP="005921E3">
      <w:pPr>
        <w:rPr>
          <w:rFonts w:ascii="Times New Roman" w:hAnsi="Times New Roman"/>
          <w:color w:val="000000"/>
        </w:rPr>
      </w:pPr>
    </w:p>
    <w:p w14:paraId="53DE554C" w14:textId="77777777" w:rsidR="005921E3" w:rsidRPr="00E16672" w:rsidRDefault="005921E3" w:rsidP="005921E3">
      <w:pPr>
        <w:jc w:val="center"/>
        <w:rPr>
          <w:rFonts w:ascii="Times New Roman" w:hAnsi="Times New Roman"/>
          <w:sz w:val="36"/>
          <w:lang w:val="uk-UA"/>
        </w:rPr>
      </w:pPr>
      <w:r w:rsidRPr="00E16672">
        <w:rPr>
          <w:rFonts w:ascii="Times New Roman" w:hAnsi="Times New Roman"/>
          <w:color w:val="000000"/>
          <w:sz w:val="36"/>
          <w:lang w:val="uk-UA"/>
        </w:rPr>
        <w:t xml:space="preserve">Свідоцтво про відкриття рахунку </w:t>
      </w:r>
      <w:r w:rsidR="00C22309" w:rsidRPr="00E16672">
        <w:rPr>
          <w:rFonts w:ascii="Times New Roman" w:hAnsi="Times New Roman"/>
          <w:color w:val="000000"/>
          <w:sz w:val="36"/>
          <w:lang w:val="uk-UA"/>
        </w:rPr>
        <w:t>в цін</w:t>
      </w:r>
      <w:r w:rsidRPr="00E16672">
        <w:rPr>
          <w:rFonts w:ascii="Times New Roman" w:hAnsi="Times New Roman"/>
          <w:sz w:val="36"/>
          <w:lang w:val="uk-UA"/>
        </w:rPr>
        <w:t>них паперах</w:t>
      </w:r>
    </w:p>
    <w:p w14:paraId="137B3288" w14:textId="77777777" w:rsidR="005921E3" w:rsidRPr="00E16672" w:rsidRDefault="00C30CB6" w:rsidP="00C30CB6">
      <w:pPr>
        <w:jc w:val="center"/>
        <w:rPr>
          <w:rFonts w:ascii="Times New Roman" w:hAnsi="Times New Roman"/>
          <w:color w:val="000000"/>
          <w:sz w:val="36"/>
          <w:lang w:val="uk-UA"/>
        </w:rPr>
      </w:pPr>
      <w:proofErr w:type="spellStart"/>
      <w:r w:rsidRPr="00E16672">
        <w:rPr>
          <w:rFonts w:ascii="Times New Roman" w:hAnsi="Times New Roman"/>
          <w:color w:val="000000"/>
          <w:sz w:val="36"/>
          <w:lang w:val="uk-UA"/>
        </w:rPr>
        <w:t>Certificate</w:t>
      </w:r>
      <w:proofErr w:type="spellEnd"/>
      <w:r w:rsidRPr="00E16672">
        <w:rPr>
          <w:rFonts w:ascii="Times New Roman" w:hAnsi="Times New Roman"/>
          <w:color w:val="000000"/>
          <w:sz w:val="36"/>
          <w:lang w:val="uk-UA"/>
        </w:rPr>
        <w:t xml:space="preserve"> </w:t>
      </w:r>
      <w:proofErr w:type="spellStart"/>
      <w:r w:rsidRPr="00E16672">
        <w:rPr>
          <w:rFonts w:ascii="Times New Roman" w:hAnsi="Times New Roman"/>
          <w:color w:val="000000"/>
          <w:sz w:val="36"/>
          <w:lang w:val="uk-UA"/>
        </w:rPr>
        <w:t>of</w:t>
      </w:r>
      <w:proofErr w:type="spellEnd"/>
      <w:r w:rsidRPr="00E16672">
        <w:rPr>
          <w:rFonts w:ascii="Times New Roman" w:hAnsi="Times New Roman"/>
          <w:color w:val="000000"/>
          <w:sz w:val="36"/>
          <w:lang w:val="uk-UA"/>
        </w:rPr>
        <w:t xml:space="preserve"> </w:t>
      </w:r>
      <w:proofErr w:type="spellStart"/>
      <w:r w:rsidRPr="00E16672">
        <w:rPr>
          <w:rFonts w:ascii="Times New Roman" w:hAnsi="Times New Roman"/>
          <w:color w:val="000000"/>
          <w:sz w:val="36"/>
          <w:lang w:val="uk-UA"/>
        </w:rPr>
        <w:t>opening</w:t>
      </w:r>
      <w:proofErr w:type="spellEnd"/>
      <w:r w:rsidRPr="00E16672">
        <w:rPr>
          <w:rFonts w:ascii="Times New Roman" w:hAnsi="Times New Roman"/>
          <w:color w:val="000000"/>
          <w:sz w:val="36"/>
          <w:lang w:val="uk-UA"/>
        </w:rPr>
        <w:t xml:space="preserve"> </w:t>
      </w:r>
      <w:proofErr w:type="spellStart"/>
      <w:r w:rsidRPr="00E16672">
        <w:rPr>
          <w:rFonts w:ascii="Times New Roman" w:hAnsi="Times New Roman"/>
          <w:color w:val="000000"/>
          <w:sz w:val="36"/>
          <w:lang w:val="uk-UA"/>
        </w:rPr>
        <w:t>an</w:t>
      </w:r>
      <w:proofErr w:type="spellEnd"/>
      <w:r w:rsidRPr="00E16672">
        <w:rPr>
          <w:rFonts w:ascii="Times New Roman" w:hAnsi="Times New Roman"/>
          <w:color w:val="000000"/>
          <w:sz w:val="36"/>
          <w:lang w:val="uk-UA"/>
        </w:rPr>
        <w:t xml:space="preserve"> </w:t>
      </w:r>
      <w:proofErr w:type="spellStart"/>
      <w:r w:rsidRPr="00E16672">
        <w:rPr>
          <w:rFonts w:ascii="Times New Roman" w:hAnsi="Times New Roman"/>
          <w:color w:val="000000"/>
          <w:sz w:val="36"/>
          <w:lang w:val="uk-UA"/>
        </w:rPr>
        <w:t>account</w:t>
      </w:r>
      <w:proofErr w:type="spellEnd"/>
      <w:r w:rsidRPr="00E16672">
        <w:rPr>
          <w:rFonts w:ascii="Times New Roman" w:hAnsi="Times New Roman"/>
          <w:color w:val="000000"/>
          <w:sz w:val="36"/>
          <w:lang w:val="uk-UA"/>
        </w:rPr>
        <w:t xml:space="preserve"> </w:t>
      </w:r>
      <w:proofErr w:type="spellStart"/>
      <w:r w:rsidRPr="00E16672">
        <w:rPr>
          <w:rFonts w:ascii="Times New Roman" w:hAnsi="Times New Roman"/>
          <w:color w:val="000000"/>
          <w:sz w:val="36"/>
          <w:lang w:val="uk-UA"/>
        </w:rPr>
        <w:t>with</w:t>
      </w:r>
      <w:proofErr w:type="spellEnd"/>
      <w:r w:rsidRPr="00E16672">
        <w:rPr>
          <w:rFonts w:ascii="Times New Roman" w:hAnsi="Times New Roman"/>
          <w:color w:val="000000"/>
          <w:sz w:val="36"/>
          <w:lang w:val="uk-UA"/>
        </w:rPr>
        <w:t xml:space="preserve"> </w:t>
      </w:r>
      <w:proofErr w:type="spellStart"/>
      <w:r w:rsidRPr="00E16672">
        <w:rPr>
          <w:rFonts w:ascii="Times New Roman" w:hAnsi="Times New Roman"/>
          <w:color w:val="000000"/>
          <w:sz w:val="36"/>
          <w:lang w:val="uk-UA"/>
        </w:rPr>
        <w:t>the</w:t>
      </w:r>
      <w:proofErr w:type="spellEnd"/>
      <w:r w:rsidRPr="00E16672">
        <w:rPr>
          <w:rFonts w:ascii="Times New Roman" w:hAnsi="Times New Roman"/>
          <w:color w:val="000000"/>
          <w:sz w:val="36"/>
          <w:lang w:val="uk-UA"/>
        </w:rPr>
        <w:t xml:space="preserve"> </w:t>
      </w:r>
      <w:proofErr w:type="spellStart"/>
      <w:r w:rsidRPr="00E16672">
        <w:rPr>
          <w:rFonts w:ascii="Times New Roman" w:hAnsi="Times New Roman"/>
          <w:color w:val="000000"/>
          <w:sz w:val="36"/>
          <w:lang w:val="uk-UA"/>
        </w:rPr>
        <w:t>securities</w:t>
      </w:r>
      <w:proofErr w:type="spellEnd"/>
    </w:p>
    <w:p w14:paraId="784E50C9" w14:textId="77777777" w:rsidR="00C30CB6" w:rsidRPr="00E16672" w:rsidRDefault="00C30CB6" w:rsidP="00C30CB6">
      <w:pPr>
        <w:jc w:val="center"/>
        <w:rPr>
          <w:rFonts w:ascii="Times New Roman" w:hAnsi="Times New Roman"/>
          <w:color w:val="000000"/>
          <w:sz w:val="28"/>
          <w:lang w:val="uk-UA"/>
        </w:rPr>
      </w:pPr>
    </w:p>
    <w:p w14:paraId="6F7E36DD" w14:textId="77777777" w:rsidR="005921E3" w:rsidRPr="00E16672" w:rsidRDefault="00602650" w:rsidP="005921E3">
      <w:pPr>
        <w:rPr>
          <w:rFonts w:ascii="Times New Roman" w:hAnsi="Times New Roman"/>
          <w:color w:val="000000"/>
          <w:sz w:val="28"/>
          <w:lang w:val="uk-UA"/>
        </w:rPr>
      </w:pPr>
      <w:r w:rsidRPr="00602650">
        <w:rPr>
          <w:rFonts w:ascii="Times New Roman" w:hAnsi="Times New Roman"/>
          <w:color w:val="000000"/>
          <w:sz w:val="28"/>
          <w:lang w:val="uk-UA"/>
        </w:rPr>
        <w:t>м. Київ</w:t>
      </w:r>
    </w:p>
    <w:p w14:paraId="580BA243" w14:textId="77777777" w:rsidR="00602650" w:rsidRDefault="005921E3" w:rsidP="005921E3">
      <w:pPr>
        <w:pStyle w:val="mystylen"/>
        <w:keepNext w:val="0"/>
        <w:keepLines w:val="0"/>
        <w:pageBreakBefore w:val="0"/>
        <w:spacing w:before="0" w:after="0"/>
        <w:jc w:val="both"/>
        <w:rPr>
          <w:rFonts w:ascii="Times New Roman" w:hAnsi="Times New Roman"/>
          <w:color w:val="000000"/>
          <w:lang w:val="uk-UA"/>
        </w:rPr>
      </w:pPr>
      <w:r w:rsidRPr="00E16672">
        <w:rPr>
          <w:rFonts w:ascii="Times New Roman" w:hAnsi="Times New Roman"/>
          <w:color w:val="000000"/>
          <w:lang w:val="uk-UA"/>
        </w:rPr>
        <w:t>“</w:t>
      </w:r>
      <w:r w:rsidR="00602650">
        <w:rPr>
          <w:rFonts w:ascii="Times New Roman" w:hAnsi="Times New Roman"/>
          <w:color w:val="000000"/>
          <w:lang w:val="uk-UA"/>
        </w:rPr>
        <w:t xml:space="preserve">     </w:t>
      </w:r>
      <w:r w:rsidRPr="00E16672">
        <w:rPr>
          <w:rFonts w:ascii="Times New Roman" w:hAnsi="Times New Roman"/>
          <w:color w:val="000000"/>
          <w:lang w:val="uk-UA"/>
        </w:rPr>
        <w:t xml:space="preserve">” _______ </w:t>
      </w:r>
      <w:r w:rsidR="00602650">
        <w:rPr>
          <w:rFonts w:ascii="Times New Roman" w:hAnsi="Times New Roman"/>
          <w:color w:val="000000"/>
          <w:lang w:val="uk-UA"/>
        </w:rPr>
        <w:t>20</w:t>
      </w:r>
      <w:r w:rsidRPr="00E16672">
        <w:rPr>
          <w:rFonts w:ascii="Times New Roman" w:hAnsi="Times New Roman"/>
          <w:color w:val="000000"/>
          <w:lang w:val="uk-UA"/>
        </w:rPr>
        <w:t>____ р.</w:t>
      </w:r>
      <w:r w:rsidRPr="00E16672">
        <w:rPr>
          <w:rFonts w:ascii="Times New Roman" w:hAnsi="Times New Roman"/>
          <w:color w:val="000000"/>
          <w:lang w:val="uk-UA"/>
        </w:rPr>
        <w:tab/>
      </w:r>
    </w:p>
    <w:p w14:paraId="515CC66C" w14:textId="77777777" w:rsidR="00602650" w:rsidRDefault="00602650" w:rsidP="005921E3">
      <w:pPr>
        <w:pStyle w:val="mystylen"/>
        <w:keepNext w:val="0"/>
        <w:keepLines w:val="0"/>
        <w:pageBreakBefore w:val="0"/>
        <w:spacing w:before="0" w:after="0"/>
        <w:jc w:val="both"/>
        <w:rPr>
          <w:rFonts w:ascii="Times New Roman" w:hAnsi="Times New Roman"/>
          <w:color w:val="000000"/>
          <w:lang w:val="uk-UA"/>
        </w:rPr>
      </w:pPr>
      <w:proofErr w:type="spellStart"/>
      <w:r>
        <w:rPr>
          <w:rFonts w:ascii="Times New Roman" w:hAnsi="Times New Roman"/>
          <w:color w:val="000000"/>
          <w:lang w:val="uk-UA"/>
        </w:rPr>
        <w:t>Kyiv</w:t>
      </w:r>
      <w:proofErr w:type="spellEnd"/>
      <w:r w:rsidR="005921E3" w:rsidRPr="00E16672">
        <w:rPr>
          <w:rFonts w:ascii="Times New Roman" w:hAnsi="Times New Roman"/>
          <w:color w:val="000000"/>
          <w:lang w:val="uk-UA"/>
        </w:rPr>
        <w:tab/>
      </w:r>
      <w:r w:rsidR="005921E3" w:rsidRPr="00E16672">
        <w:rPr>
          <w:rFonts w:ascii="Times New Roman" w:hAnsi="Times New Roman"/>
          <w:color w:val="000000"/>
          <w:lang w:val="uk-UA"/>
        </w:rPr>
        <w:tab/>
        <w:t xml:space="preserve">                     </w:t>
      </w:r>
      <w:r w:rsidR="005921E3" w:rsidRPr="00E16672">
        <w:rPr>
          <w:rFonts w:ascii="Times New Roman" w:hAnsi="Times New Roman"/>
          <w:color w:val="000000"/>
          <w:lang w:val="uk-UA"/>
        </w:rPr>
        <w:tab/>
      </w:r>
      <w:r w:rsidR="005921E3" w:rsidRPr="00E16672">
        <w:rPr>
          <w:rFonts w:ascii="Times New Roman" w:hAnsi="Times New Roman"/>
          <w:color w:val="000000"/>
          <w:lang w:val="uk-UA"/>
        </w:rPr>
        <w:tab/>
      </w:r>
      <w:r w:rsidR="005921E3" w:rsidRPr="00E16672">
        <w:rPr>
          <w:rFonts w:ascii="Times New Roman" w:hAnsi="Times New Roman"/>
          <w:color w:val="000000"/>
          <w:lang w:val="uk-UA"/>
        </w:rPr>
        <w:tab/>
      </w:r>
    </w:p>
    <w:p w14:paraId="6F34EE28" w14:textId="77777777" w:rsidR="007E6D0C" w:rsidRPr="00E16672" w:rsidRDefault="007E6D0C" w:rsidP="005921E3">
      <w:pPr>
        <w:pStyle w:val="mystylen"/>
        <w:keepNext w:val="0"/>
        <w:keepLines w:val="0"/>
        <w:pageBreakBefore w:val="0"/>
        <w:spacing w:before="0" w:after="0"/>
        <w:jc w:val="both"/>
        <w:rPr>
          <w:rFonts w:ascii="Times New Roman" w:hAnsi="Times New Roman"/>
          <w:color w:val="000000"/>
          <w:lang w:val="uk-UA"/>
        </w:rPr>
      </w:pPr>
      <w:r w:rsidRPr="00E16672">
        <w:rPr>
          <w:rFonts w:ascii="Times New Roman" w:hAnsi="Times New Roman"/>
          <w:color w:val="000000"/>
          <w:lang w:val="uk-UA"/>
        </w:rPr>
        <w:t>“</w:t>
      </w:r>
      <w:r w:rsidR="00602650">
        <w:rPr>
          <w:rFonts w:ascii="Times New Roman" w:hAnsi="Times New Roman"/>
          <w:color w:val="000000"/>
          <w:lang w:val="uk-UA"/>
        </w:rPr>
        <w:t xml:space="preserve">     </w:t>
      </w:r>
      <w:r w:rsidRPr="00E16672">
        <w:rPr>
          <w:rFonts w:ascii="Times New Roman" w:hAnsi="Times New Roman"/>
          <w:color w:val="000000"/>
          <w:lang w:val="uk-UA"/>
        </w:rPr>
        <w:t xml:space="preserve">” _______ </w:t>
      </w:r>
      <w:r w:rsidR="00602650">
        <w:rPr>
          <w:rFonts w:ascii="Times New Roman" w:hAnsi="Times New Roman"/>
          <w:color w:val="000000"/>
          <w:lang w:val="uk-UA"/>
        </w:rPr>
        <w:t>20</w:t>
      </w:r>
      <w:r w:rsidRPr="00E16672">
        <w:rPr>
          <w:rFonts w:ascii="Times New Roman" w:hAnsi="Times New Roman"/>
          <w:color w:val="000000"/>
          <w:lang w:val="uk-UA"/>
        </w:rPr>
        <w:t xml:space="preserve">____ </w:t>
      </w:r>
      <w:r w:rsidRPr="00E16672">
        <w:rPr>
          <w:rFonts w:ascii="Times New Roman" w:hAnsi="Times New Roman"/>
          <w:color w:val="000000"/>
          <w:lang w:val="en-US"/>
        </w:rPr>
        <w:t xml:space="preserve">                                                                     </w:t>
      </w:r>
    </w:p>
    <w:p w14:paraId="5CA154F6" w14:textId="77777777" w:rsidR="005921E3" w:rsidRPr="00E16672" w:rsidRDefault="005921E3" w:rsidP="005921E3">
      <w:pPr>
        <w:rPr>
          <w:rFonts w:ascii="Times New Roman" w:hAnsi="Times New Roman"/>
          <w:color w:val="000000"/>
          <w:sz w:val="28"/>
          <w:lang w:val="uk-UA"/>
        </w:rPr>
      </w:pPr>
    </w:p>
    <w:p w14:paraId="344558E1" w14:textId="77777777" w:rsidR="005921E3" w:rsidRPr="00E16672" w:rsidRDefault="005921E3" w:rsidP="005921E3">
      <w:pPr>
        <w:rPr>
          <w:rFonts w:ascii="Times New Roman" w:hAnsi="Times New Roman"/>
          <w:color w:val="000000"/>
          <w:sz w:val="28"/>
          <w:lang w:val="uk-UA"/>
        </w:rPr>
      </w:pPr>
    </w:p>
    <w:p w14:paraId="636F7EB6" w14:textId="77777777" w:rsidR="005921E3" w:rsidRPr="00E16672" w:rsidRDefault="005921E3" w:rsidP="005921E3">
      <w:pPr>
        <w:rPr>
          <w:rFonts w:ascii="Times New Roman" w:hAnsi="Times New Roman"/>
          <w:color w:val="000000"/>
          <w:sz w:val="28"/>
          <w:lang w:val="uk-UA"/>
        </w:rPr>
      </w:pPr>
    </w:p>
    <w:p w14:paraId="475CF731" w14:textId="77777777" w:rsidR="001A2DB1" w:rsidRPr="00E16672" w:rsidRDefault="001A2DB1" w:rsidP="001A2DB1">
      <w:pPr>
        <w:jc w:val="center"/>
        <w:rPr>
          <w:rFonts w:ascii="Times New Roman" w:hAnsi="Times New Roman"/>
          <w:sz w:val="28"/>
          <w:lang w:val="uk-UA"/>
        </w:rPr>
      </w:pPr>
      <w:r w:rsidRPr="00E16672">
        <w:rPr>
          <w:rFonts w:ascii="Times New Roman" w:hAnsi="Times New Roman"/>
          <w:sz w:val="32"/>
          <w:szCs w:val="32"/>
          <w:lang w:val="uk-UA"/>
        </w:rPr>
        <w:t xml:space="preserve">Видано /  </w:t>
      </w:r>
      <w:proofErr w:type="spellStart"/>
      <w:r w:rsidRPr="00E16672">
        <w:rPr>
          <w:rFonts w:ascii="Times New Roman" w:hAnsi="Times New Roman"/>
          <w:sz w:val="32"/>
          <w:szCs w:val="32"/>
          <w:lang w:val="uk-UA"/>
        </w:rPr>
        <w:t>given</w:t>
      </w:r>
      <w:proofErr w:type="spellEnd"/>
      <w:r w:rsidRPr="00E16672">
        <w:rPr>
          <w:rFonts w:ascii="Times New Roman" w:hAnsi="Times New Roman"/>
          <w:sz w:val="32"/>
          <w:szCs w:val="32"/>
          <w:lang w:val="uk-UA"/>
        </w:rPr>
        <w:t xml:space="preserve"> </w:t>
      </w:r>
      <w:proofErr w:type="spellStart"/>
      <w:r w:rsidRPr="00E16672">
        <w:rPr>
          <w:rFonts w:ascii="Times New Roman" w:hAnsi="Times New Roman"/>
          <w:sz w:val="32"/>
          <w:szCs w:val="32"/>
          <w:lang w:val="uk-UA"/>
        </w:rPr>
        <w:t>to</w:t>
      </w:r>
      <w:proofErr w:type="spellEnd"/>
      <w:r w:rsidRPr="00E16672">
        <w:rPr>
          <w:rFonts w:ascii="Times New Roman" w:hAnsi="Times New Roman"/>
          <w:sz w:val="32"/>
          <w:szCs w:val="32"/>
          <w:lang w:val="uk-UA"/>
        </w:rPr>
        <w:t xml:space="preserve">: </w:t>
      </w:r>
    </w:p>
    <w:p w14:paraId="5483DBEE" w14:textId="77777777" w:rsidR="001A2DB1" w:rsidRPr="00E16672" w:rsidRDefault="001A2DB1" w:rsidP="001A2DB1">
      <w:pPr>
        <w:jc w:val="center"/>
        <w:rPr>
          <w:rFonts w:ascii="Times New Roman" w:hAnsi="Times New Roman"/>
          <w:sz w:val="28"/>
          <w:lang w:val="uk-UA"/>
        </w:rPr>
      </w:pPr>
      <w:r w:rsidRPr="00E16672">
        <w:rPr>
          <w:rFonts w:ascii="Times New Roman" w:hAnsi="Times New Roman"/>
          <w:sz w:val="28"/>
          <w:lang w:val="uk-UA"/>
        </w:rPr>
        <w:t>__________________________________________________</w:t>
      </w:r>
    </w:p>
    <w:p w14:paraId="61991E17" w14:textId="77777777" w:rsidR="001A2DB1" w:rsidRPr="00E16672" w:rsidRDefault="001A2DB1" w:rsidP="001A2DB1">
      <w:pPr>
        <w:jc w:val="center"/>
        <w:rPr>
          <w:rFonts w:ascii="Times New Roman" w:hAnsi="Times New Roman"/>
          <w:i/>
          <w:szCs w:val="20"/>
          <w:lang w:val="uk-UA"/>
        </w:rPr>
      </w:pPr>
      <w:r w:rsidRPr="00E16672">
        <w:rPr>
          <w:rFonts w:ascii="Times New Roman" w:hAnsi="Times New Roman"/>
          <w:i/>
          <w:szCs w:val="20"/>
          <w:lang w:val="uk-UA"/>
        </w:rPr>
        <w:t xml:space="preserve">(найменування, номер реєстрації юридичної особи в країні її місцезнаходження (для юридичної особи - нерезидента)/ </w:t>
      </w:r>
      <w:proofErr w:type="spellStart"/>
      <w:r w:rsidRPr="00E16672">
        <w:rPr>
          <w:rFonts w:ascii="Times New Roman" w:hAnsi="Times New Roman"/>
          <w:i/>
          <w:szCs w:val="20"/>
          <w:lang w:val="uk-UA"/>
        </w:rPr>
        <w:t>name</w:t>
      </w:r>
      <w:proofErr w:type="spellEnd"/>
      <w:r w:rsidRPr="00E16672">
        <w:rPr>
          <w:rFonts w:ascii="Times New Roman" w:hAnsi="Times New Roman"/>
          <w:i/>
          <w:szCs w:val="20"/>
          <w:lang w:val="uk-UA"/>
        </w:rPr>
        <w:t xml:space="preserve">, </w:t>
      </w:r>
      <w:proofErr w:type="spellStart"/>
      <w:r w:rsidRPr="00E16672">
        <w:rPr>
          <w:rFonts w:ascii="Times New Roman" w:hAnsi="Times New Roman"/>
          <w:i/>
          <w:szCs w:val="20"/>
          <w:lang w:val="uk-UA"/>
        </w:rPr>
        <w:t>number</w:t>
      </w:r>
      <w:proofErr w:type="spellEnd"/>
      <w:r w:rsidRPr="00E16672">
        <w:rPr>
          <w:rFonts w:ascii="Times New Roman" w:hAnsi="Times New Roman"/>
          <w:i/>
          <w:szCs w:val="20"/>
          <w:lang w:val="uk-UA"/>
        </w:rPr>
        <w:t xml:space="preserve"> </w:t>
      </w:r>
      <w:proofErr w:type="spellStart"/>
      <w:r w:rsidRPr="00E16672">
        <w:rPr>
          <w:rFonts w:ascii="Times New Roman" w:hAnsi="Times New Roman"/>
          <w:i/>
          <w:szCs w:val="20"/>
          <w:lang w:val="uk-UA"/>
        </w:rPr>
        <w:t>of</w:t>
      </w:r>
      <w:proofErr w:type="spellEnd"/>
      <w:r w:rsidRPr="00E16672">
        <w:rPr>
          <w:rFonts w:ascii="Times New Roman" w:hAnsi="Times New Roman"/>
          <w:i/>
          <w:szCs w:val="20"/>
          <w:lang w:val="uk-UA"/>
        </w:rPr>
        <w:t xml:space="preserve"> </w:t>
      </w:r>
      <w:proofErr w:type="spellStart"/>
      <w:r w:rsidRPr="00E16672">
        <w:rPr>
          <w:rFonts w:ascii="Times New Roman" w:hAnsi="Times New Roman"/>
          <w:i/>
          <w:szCs w:val="20"/>
          <w:lang w:val="uk-UA"/>
        </w:rPr>
        <w:t>registration</w:t>
      </w:r>
      <w:proofErr w:type="spellEnd"/>
      <w:r w:rsidRPr="00E16672">
        <w:rPr>
          <w:rFonts w:ascii="Times New Roman" w:hAnsi="Times New Roman"/>
          <w:i/>
          <w:szCs w:val="20"/>
          <w:lang w:val="uk-UA"/>
        </w:rPr>
        <w:t xml:space="preserve"> </w:t>
      </w:r>
      <w:proofErr w:type="spellStart"/>
      <w:r w:rsidRPr="00E16672">
        <w:rPr>
          <w:rFonts w:ascii="Times New Roman" w:hAnsi="Times New Roman"/>
          <w:i/>
          <w:szCs w:val="20"/>
          <w:lang w:val="uk-UA"/>
        </w:rPr>
        <w:t>of</w:t>
      </w:r>
      <w:proofErr w:type="spellEnd"/>
      <w:r w:rsidRPr="00E16672">
        <w:rPr>
          <w:rFonts w:ascii="Times New Roman" w:hAnsi="Times New Roman"/>
          <w:i/>
          <w:szCs w:val="20"/>
          <w:lang w:val="uk-UA"/>
        </w:rPr>
        <w:t xml:space="preserve"> </w:t>
      </w:r>
      <w:proofErr w:type="spellStart"/>
      <w:r w:rsidRPr="00E16672">
        <w:rPr>
          <w:rFonts w:ascii="Times New Roman" w:hAnsi="Times New Roman"/>
          <w:i/>
          <w:szCs w:val="20"/>
          <w:lang w:val="uk-UA"/>
        </w:rPr>
        <w:t>the</w:t>
      </w:r>
      <w:proofErr w:type="spellEnd"/>
      <w:r w:rsidRPr="00E16672">
        <w:rPr>
          <w:rFonts w:ascii="Times New Roman" w:hAnsi="Times New Roman"/>
          <w:i/>
          <w:szCs w:val="20"/>
          <w:lang w:val="uk-UA"/>
        </w:rPr>
        <w:t xml:space="preserve"> </w:t>
      </w:r>
      <w:proofErr w:type="spellStart"/>
      <w:r w:rsidRPr="00E16672">
        <w:rPr>
          <w:rFonts w:ascii="Times New Roman" w:hAnsi="Times New Roman"/>
          <w:i/>
          <w:szCs w:val="20"/>
          <w:lang w:val="uk-UA"/>
        </w:rPr>
        <w:t>legal</w:t>
      </w:r>
      <w:proofErr w:type="spellEnd"/>
      <w:r w:rsidRPr="00E16672">
        <w:rPr>
          <w:rFonts w:ascii="Times New Roman" w:hAnsi="Times New Roman"/>
          <w:i/>
          <w:szCs w:val="20"/>
          <w:lang w:val="uk-UA"/>
        </w:rPr>
        <w:t xml:space="preserve"> </w:t>
      </w:r>
      <w:proofErr w:type="spellStart"/>
      <w:r w:rsidRPr="00E16672">
        <w:rPr>
          <w:rFonts w:ascii="Times New Roman" w:hAnsi="Times New Roman"/>
          <w:i/>
          <w:szCs w:val="20"/>
          <w:lang w:val="uk-UA"/>
        </w:rPr>
        <w:t>entity</w:t>
      </w:r>
      <w:proofErr w:type="spellEnd"/>
      <w:r w:rsidRPr="00E16672">
        <w:rPr>
          <w:rFonts w:ascii="Times New Roman" w:hAnsi="Times New Roman"/>
          <w:i/>
          <w:szCs w:val="20"/>
          <w:lang w:val="uk-UA"/>
        </w:rPr>
        <w:t xml:space="preserve"> </w:t>
      </w:r>
      <w:proofErr w:type="spellStart"/>
      <w:r w:rsidRPr="00E16672">
        <w:rPr>
          <w:rFonts w:ascii="Times New Roman" w:hAnsi="Times New Roman"/>
          <w:i/>
          <w:szCs w:val="20"/>
          <w:lang w:val="uk-UA"/>
        </w:rPr>
        <w:t>in</w:t>
      </w:r>
      <w:proofErr w:type="spellEnd"/>
      <w:r w:rsidRPr="00E16672">
        <w:rPr>
          <w:rFonts w:ascii="Times New Roman" w:hAnsi="Times New Roman"/>
          <w:i/>
          <w:szCs w:val="20"/>
          <w:lang w:val="uk-UA"/>
        </w:rPr>
        <w:t xml:space="preserve"> </w:t>
      </w:r>
      <w:proofErr w:type="spellStart"/>
      <w:r w:rsidRPr="00E16672">
        <w:rPr>
          <w:rFonts w:ascii="Times New Roman" w:hAnsi="Times New Roman"/>
          <w:i/>
          <w:szCs w:val="20"/>
          <w:lang w:val="uk-UA"/>
        </w:rPr>
        <w:t>the</w:t>
      </w:r>
      <w:proofErr w:type="spellEnd"/>
      <w:r w:rsidRPr="00E16672">
        <w:rPr>
          <w:rFonts w:ascii="Times New Roman" w:hAnsi="Times New Roman"/>
          <w:i/>
          <w:szCs w:val="20"/>
          <w:lang w:val="uk-UA"/>
        </w:rPr>
        <w:t xml:space="preserve"> </w:t>
      </w:r>
      <w:proofErr w:type="spellStart"/>
      <w:r w:rsidRPr="00E16672">
        <w:rPr>
          <w:rFonts w:ascii="Times New Roman" w:hAnsi="Times New Roman"/>
          <w:i/>
          <w:szCs w:val="20"/>
          <w:lang w:val="uk-UA"/>
        </w:rPr>
        <w:t>country</w:t>
      </w:r>
      <w:proofErr w:type="spellEnd"/>
      <w:r w:rsidRPr="00E16672">
        <w:rPr>
          <w:rFonts w:ascii="Times New Roman" w:hAnsi="Times New Roman"/>
          <w:i/>
          <w:szCs w:val="20"/>
          <w:lang w:val="uk-UA"/>
        </w:rPr>
        <w:t xml:space="preserve"> </w:t>
      </w:r>
      <w:proofErr w:type="spellStart"/>
      <w:r w:rsidRPr="00E16672">
        <w:rPr>
          <w:rFonts w:ascii="Times New Roman" w:hAnsi="Times New Roman"/>
          <w:i/>
          <w:szCs w:val="20"/>
          <w:lang w:val="uk-UA"/>
        </w:rPr>
        <w:t>of</w:t>
      </w:r>
      <w:proofErr w:type="spellEnd"/>
      <w:r w:rsidRPr="00E16672">
        <w:rPr>
          <w:rFonts w:ascii="Times New Roman" w:hAnsi="Times New Roman"/>
          <w:i/>
          <w:szCs w:val="20"/>
          <w:lang w:val="uk-UA"/>
        </w:rPr>
        <w:t xml:space="preserve"> </w:t>
      </w:r>
      <w:proofErr w:type="spellStart"/>
      <w:r w:rsidRPr="00E16672">
        <w:rPr>
          <w:rFonts w:ascii="Times New Roman" w:hAnsi="Times New Roman"/>
          <w:i/>
          <w:szCs w:val="20"/>
          <w:lang w:val="uk-UA"/>
        </w:rPr>
        <w:t>its</w:t>
      </w:r>
      <w:proofErr w:type="spellEnd"/>
      <w:r w:rsidRPr="00E16672">
        <w:rPr>
          <w:rFonts w:ascii="Times New Roman" w:hAnsi="Times New Roman"/>
          <w:i/>
          <w:szCs w:val="20"/>
          <w:lang w:val="uk-UA"/>
        </w:rPr>
        <w:t xml:space="preserve"> </w:t>
      </w:r>
      <w:proofErr w:type="spellStart"/>
      <w:r w:rsidRPr="00E16672">
        <w:rPr>
          <w:rFonts w:ascii="Times New Roman" w:hAnsi="Times New Roman"/>
          <w:i/>
          <w:szCs w:val="20"/>
          <w:lang w:val="uk-UA"/>
        </w:rPr>
        <w:t>location</w:t>
      </w:r>
      <w:proofErr w:type="spellEnd"/>
      <w:r w:rsidRPr="00E16672">
        <w:rPr>
          <w:rFonts w:ascii="Times New Roman" w:hAnsi="Times New Roman"/>
          <w:i/>
          <w:szCs w:val="20"/>
          <w:lang w:val="uk-UA"/>
        </w:rPr>
        <w:t xml:space="preserve"> (</w:t>
      </w:r>
      <w:proofErr w:type="spellStart"/>
      <w:r w:rsidRPr="00E16672">
        <w:rPr>
          <w:rFonts w:ascii="Times New Roman" w:hAnsi="Times New Roman"/>
          <w:i/>
          <w:szCs w:val="20"/>
          <w:lang w:val="uk-UA"/>
        </w:rPr>
        <w:t>for</w:t>
      </w:r>
      <w:proofErr w:type="spellEnd"/>
      <w:r w:rsidRPr="00E16672">
        <w:rPr>
          <w:rFonts w:ascii="Times New Roman" w:hAnsi="Times New Roman"/>
          <w:i/>
          <w:szCs w:val="20"/>
          <w:lang w:val="uk-UA"/>
        </w:rPr>
        <w:t xml:space="preserve"> a </w:t>
      </w:r>
      <w:proofErr w:type="spellStart"/>
      <w:r w:rsidRPr="00E16672">
        <w:rPr>
          <w:rFonts w:ascii="Times New Roman" w:hAnsi="Times New Roman"/>
          <w:i/>
          <w:szCs w:val="20"/>
          <w:lang w:val="uk-UA"/>
        </w:rPr>
        <w:t>non-resident</w:t>
      </w:r>
      <w:proofErr w:type="spellEnd"/>
      <w:r w:rsidRPr="00E16672">
        <w:rPr>
          <w:rFonts w:ascii="Times New Roman" w:hAnsi="Times New Roman"/>
          <w:i/>
          <w:szCs w:val="20"/>
          <w:lang w:val="uk-UA"/>
        </w:rPr>
        <w:t xml:space="preserve"> </w:t>
      </w:r>
      <w:proofErr w:type="spellStart"/>
      <w:r w:rsidRPr="00E16672">
        <w:rPr>
          <w:rFonts w:ascii="Times New Roman" w:hAnsi="Times New Roman"/>
          <w:i/>
          <w:szCs w:val="20"/>
          <w:lang w:val="uk-UA"/>
        </w:rPr>
        <w:t>legal</w:t>
      </w:r>
      <w:proofErr w:type="spellEnd"/>
      <w:r w:rsidRPr="00E16672">
        <w:rPr>
          <w:rFonts w:ascii="Times New Roman" w:hAnsi="Times New Roman"/>
          <w:i/>
          <w:szCs w:val="20"/>
          <w:lang w:val="uk-UA"/>
        </w:rPr>
        <w:t xml:space="preserve"> </w:t>
      </w:r>
      <w:proofErr w:type="spellStart"/>
      <w:r w:rsidRPr="00E16672">
        <w:rPr>
          <w:rFonts w:ascii="Times New Roman" w:hAnsi="Times New Roman"/>
          <w:i/>
          <w:szCs w:val="20"/>
          <w:lang w:val="uk-UA"/>
        </w:rPr>
        <w:t>entity</w:t>
      </w:r>
      <w:proofErr w:type="spellEnd"/>
      <w:r w:rsidRPr="00E16672">
        <w:rPr>
          <w:rFonts w:ascii="Times New Roman" w:hAnsi="Times New Roman"/>
          <w:i/>
          <w:szCs w:val="20"/>
          <w:lang w:val="uk-UA"/>
        </w:rPr>
        <w:t xml:space="preserve">)) </w:t>
      </w:r>
    </w:p>
    <w:p w14:paraId="4A243005" w14:textId="77777777" w:rsidR="001A2DB1" w:rsidRPr="00E16672" w:rsidRDefault="001A2DB1" w:rsidP="001A2DB1">
      <w:pPr>
        <w:jc w:val="center"/>
        <w:rPr>
          <w:rFonts w:ascii="Times New Roman" w:hAnsi="Times New Roman"/>
          <w:i/>
          <w:color w:val="0070C0"/>
          <w:szCs w:val="20"/>
          <w:lang w:val="uk-UA"/>
        </w:rPr>
      </w:pPr>
    </w:p>
    <w:p w14:paraId="69531D96" w14:textId="77777777" w:rsidR="001A2DB1" w:rsidRPr="00E16672" w:rsidRDefault="001A2DB1" w:rsidP="001A2DB1">
      <w:pPr>
        <w:jc w:val="center"/>
        <w:rPr>
          <w:rFonts w:ascii="Times New Roman" w:hAnsi="Times New Roman"/>
          <w:sz w:val="28"/>
          <w:lang w:val="uk-UA"/>
        </w:rPr>
      </w:pPr>
      <w:r w:rsidRPr="00E16672">
        <w:rPr>
          <w:rFonts w:ascii="Times New Roman" w:hAnsi="Times New Roman"/>
          <w:sz w:val="28"/>
          <w:lang w:val="uk-UA"/>
        </w:rPr>
        <w:t xml:space="preserve">в тому, що компанії __.__.20__р. відкрито рахунок у цінних  паперах № </w:t>
      </w:r>
    </w:p>
    <w:p w14:paraId="34A2E14E" w14:textId="77777777" w:rsidR="001A2DB1" w:rsidRPr="00E16672" w:rsidRDefault="001A2DB1" w:rsidP="001A2DB1">
      <w:pPr>
        <w:jc w:val="center"/>
        <w:rPr>
          <w:rFonts w:ascii="Times New Roman" w:hAnsi="Times New Roman"/>
          <w:sz w:val="28"/>
          <w:lang w:val="uk-UA"/>
        </w:rPr>
      </w:pPr>
      <w:r w:rsidRPr="00E16672">
        <w:rPr>
          <w:rFonts w:ascii="Times New Roman" w:hAnsi="Times New Roman"/>
          <w:sz w:val="28"/>
          <w:lang w:val="uk-UA"/>
        </w:rPr>
        <w:t xml:space="preserve"> </w:t>
      </w:r>
      <w:proofErr w:type="spellStart"/>
      <w:r w:rsidRPr="00E16672">
        <w:rPr>
          <w:rFonts w:ascii="Times New Roman" w:hAnsi="Times New Roman"/>
          <w:sz w:val="28"/>
          <w:lang w:val="uk-UA"/>
        </w:rPr>
        <w:t>that</w:t>
      </w:r>
      <w:proofErr w:type="spellEnd"/>
      <w:r w:rsidRPr="00E16672">
        <w:rPr>
          <w:rFonts w:ascii="Times New Roman" w:hAnsi="Times New Roman"/>
          <w:sz w:val="28"/>
          <w:lang w:val="en-US"/>
        </w:rPr>
        <w:t xml:space="preserve"> to</w:t>
      </w:r>
      <w:r w:rsidRPr="00E16672">
        <w:rPr>
          <w:rFonts w:ascii="Times New Roman" w:hAnsi="Times New Roman"/>
          <w:sz w:val="28"/>
          <w:lang w:val="uk-UA"/>
        </w:rPr>
        <w:t xml:space="preserve"> </w:t>
      </w:r>
      <w:r w:rsidRPr="00E16672">
        <w:rPr>
          <w:rFonts w:ascii="Times New Roman" w:hAnsi="Times New Roman"/>
          <w:sz w:val="28"/>
          <w:lang w:val="en-US"/>
        </w:rPr>
        <w:t>t</w:t>
      </w:r>
      <w:proofErr w:type="spellStart"/>
      <w:r w:rsidRPr="00E16672">
        <w:rPr>
          <w:rFonts w:ascii="Times New Roman" w:hAnsi="Times New Roman"/>
          <w:sz w:val="28"/>
          <w:lang w:val="uk-UA"/>
        </w:rPr>
        <w:t>he</w:t>
      </w:r>
      <w:proofErr w:type="spellEnd"/>
      <w:r w:rsidRPr="00E16672">
        <w:rPr>
          <w:rFonts w:ascii="Times New Roman" w:hAnsi="Times New Roman"/>
          <w:sz w:val="28"/>
          <w:lang w:val="uk-UA"/>
        </w:rPr>
        <w:t xml:space="preserve"> </w:t>
      </w:r>
      <w:r w:rsidRPr="00E16672">
        <w:rPr>
          <w:rFonts w:ascii="Times New Roman" w:hAnsi="Times New Roman"/>
          <w:sz w:val="28"/>
          <w:lang w:val="en-US"/>
        </w:rPr>
        <w:t>Company</w:t>
      </w:r>
      <w:r w:rsidRPr="00E16672">
        <w:rPr>
          <w:rFonts w:ascii="Times New Roman" w:hAnsi="Times New Roman"/>
          <w:sz w:val="28"/>
          <w:lang w:val="uk-UA"/>
        </w:rPr>
        <w:t xml:space="preserve"> __.__.20__</w:t>
      </w:r>
      <w:r w:rsidRPr="00E16672">
        <w:rPr>
          <w:rFonts w:ascii="Times New Roman" w:hAnsi="Times New Roman"/>
          <w:sz w:val="28"/>
          <w:lang w:val="en-US"/>
        </w:rPr>
        <w:t xml:space="preserve"> was </w:t>
      </w:r>
      <w:proofErr w:type="spellStart"/>
      <w:r w:rsidRPr="00E16672">
        <w:rPr>
          <w:rFonts w:ascii="Times New Roman" w:hAnsi="Times New Roman"/>
          <w:sz w:val="28"/>
          <w:lang w:val="uk-UA"/>
        </w:rPr>
        <w:t>opened</w:t>
      </w:r>
      <w:proofErr w:type="spellEnd"/>
      <w:r w:rsidRPr="00E16672">
        <w:rPr>
          <w:rFonts w:ascii="Times New Roman" w:hAnsi="Times New Roman"/>
          <w:sz w:val="28"/>
          <w:lang w:val="uk-UA"/>
        </w:rPr>
        <w:t xml:space="preserve"> </w:t>
      </w:r>
      <w:proofErr w:type="spellStart"/>
      <w:r w:rsidRPr="00E16672">
        <w:rPr>
          <w:rFonts w:ascii="Times New Roman" w:hAnsi="Times New Roman"/>
          <w:sz w:val="28"/>
          <w:lang w:val="uk-UA"/>
        </w:rPr>
        <w:t>securities</w:t>
      </w:r>
      <w:proofErr w:type="spellEnd"/>
      <w:r w:rsidRPr="00E16672">
        <w:rPr>
          <w:rFonts w:ascii="Times New Roman" w:hAnsi="Times New Roman"/>
          <w:sz w:val="28"/>
          <w:lang w:val="uk-UA"/>
        </w:rPr>
        <w:t xml:space="preserve"> </w:t>
      </w:r>
      <w:proofErr w:type="spellStart"/>
      <w:r w:rsidRPr="00E16672">
        <w:rPr>
          <w:rFonts w:ascii="Times New Roman" w:hAnsi="Times New Roman"/>
          <w:sz w:val="28"/>
          <w:lang w:val="uk-UA"/>
        </w:rPr>
        <w:t>account</w:t>
      </w:r>
      <w:proofErr w:type="spellEnd"/>
      <w:r w:rsidRPr="00E16672">
        <w:rPr>
          <w:rFonts w:ascii="Times New Roman" w:hAnsi="Times New Roman"/>
          <w:sz w:val="28"/>
          <w:lang w:val="uk-UA"/>
        </w:rPr>
        <w:t xml:space="preserve"> </w:t>
      </w:r>
      <w:r w:rsidRPr="00E16672">
        <w:rPr>
          <w:rFonts w:ascii="Times New Roman" w:hAnsi="Times New Roman"/>
          <w:sz w:val="28"/>
          <w:lang w:val="en-US"/>
        </w:rPr>
        <w:t>number</w:t>
      </w:r>
      <w:r w:rsidRPr="00E16672">
        <w:rPr>
          <w:rFonts w:ascii="Times New Roman" w:hAnsi="Times New Roman"/>
          <w:sz w:val="28"/>
          <w:lang w:val="uk-UA"/>
        </w:rPr>
        <w:t xml:space="preserve"> </w:t>
      </w:r>
    </w:p>
    <w:p w14:paraId="67AA30B2" w14:textId="77777777" w:rsidR="007E6D0C" w:rsidRPr="00E16672" w:rsidRDefault="007E6D0C" w:rsidP="007E6D0C">
      <w:pPr>
        <w:jc w:val="center"/>
        <w:rPr>
          <w:rFonts w:ascii="Times New Roman" w:hAnsi="Times New Roman"/>
          <w:color w:val="000000"/>
          <w:sz w:val="28"/>
          <w:lang w:val="uk-UA"/>
        </w:rPr>
      </w:pPr>
    </w:p>
    <w:p w14:paraId="071B01D2" w14:textId="77777777" w:rsidR="005921E3" w:rsidRPr="00E16672" w:rsidRDefault="005921E3" w:rsidP="007E6D0C">
      <w:pPr>
        <w:jc w:val="center"/>
        <w:rPr>
          <w:rFonts w:ascii="Times New Roman" w:hAnsi="Times New Roman"/>
          <w:color w:val="000000"/>
          <w:sz w:val="28"/>
          <w:lang w:val="uk-UA"/>
        </w:rPr>
      </w:pPr>
      <w:r w:rsidRPr="00E16672">
        <w:rPr>
          <w:rFonts w:ascii="Times New Roman" w:hAnsi="Times New Roman"/>
          <w:color w:val="000000"/>
          <w:sz w:val="28"/>
          <w:lang w:val="uk-UA"/>
        </w:rPr>
        <w:t xml:space="preserve"> </w:t>
      </w:r>
      <w:r w:rsidR="006E3B0B">
        <w:rPr>
          <w:rFonts w:ascii="Times New Roman" w:hAnsi="Times New Roman"/>
          <w:b/>
          <w:sz w:val="28"/>
        </w:rPr>
        <w:t>401265</w:t>
      </w:r>
      <w:r w:rsidR="001A2DB1" w:rsidRPr="00E16672">
        <w:rPr>
          <w:rFonts w:ascii="Times New Roman" w:hAnsi="Times New Roman"/>
          <w:b/>
          <w:sz w:val="28"/>
        </w:rPr>
        <w:t xml:space="preserve">- </w:t>
      </w:r>
      <w:r w:rsidR="001A2DB1" w:rsidRPr="00E16672">
        <w:rPr>
          <w:rFonts w:ascii="Times New Roman" w:hAnsi="Times New Roman"/>
          <w:b/>
          <w:sz w:val="28"/>
          <w:lang w:val="uk-UA"/>
        </w:rPr>
        <w:t>__________</w:t>
      </w:r>
      <w:proofErr w:type="gramStart"/>
      <w:r w:rsidR="001A2DB1" w:rsidRPr="00E16672">
        <w:rPr>
          <w:rFonts w:ascii="Times New Roman" w:hAnsi="Times New Roman"/>
          <w:b/>
          <w:sz w:val="28"/>
          <w:lang w:val="uk-UA"/>
        </w:rPr>
        <w:t>_.</w:t>
      </w:r>
      <w:r w:rsidRPr="00E16672">
        <w:rPr>
          <w:rFonts w:ascii="Times New Roman" w:hAnsi="Times New Roman"/>
          <w:color w:val="000000"/>
          <w:sz w:val="28"/>
          <w:lang w:val="uk-UA"/>
        </w:rPr>
        <w:t>.</w:t>
      </w:r>
      <w:proofErr w:type="gramEnd"/>
    </w:p>
    <w:p w14:paraId="32219102" w14:textId="77777777" w:rsidR="005921E3" w:rsidRPr="00E16672" w:rsidRDefault="005921E3" w:rsidP="005921E3">
      <w:pPr>
        <w:rPr>
          <w:rFonts w:ascii="Times New Roman" w:hAnsi="Times New Roman"/>
          <w:color w:val="000000"/>
          <w:sz w:val="28"/>
          <w:lang w:val="uk-UA"/>
        </w:rPr>
      </w:pPr>
    </w:p>
    <w:p w14:paraId="4CC4CAA6" w14:textId="77777777" w:rsidR="005921E3" w:rsidRPr="00E16672" w:rsidRDefault="005921E3" w:rsidP="005921E3">
      <w:pPr>
        <w:rPr>
          <w:rFonts w:ascii="Times New Roman" w:hAnsi="Times New Roman"/>
          <w:color w:val="000000"/>
          <w:sz w:val="28"/>
          <w:lang w:val="uk-UA"/>
        </w:rPr>
      </w:pPr>
    </w:p>
    <w:p w14:paraId="349F22BD" w14:textId="77777777" w:rsidR="005921E3" w:rsidRPr="00E16672" w:rsidRDefault="005921E3" w:rsidP="005921E3">
      <w:pPr>
        <w:rPr>
          <w:rFonts w:ascii="Times New Roman" w:hAnsi="Times New Roman"/>
          <w:color w:val="000000"/>
          <w:sz w:val="28"/>
          <w:lang w:val="uk-UA"/>
        </w:rPr>
      </w:pPr>
    </w:p>
    <w:p w14:paraId="58047DBB" w14:textId="77777777" w:rsidR="005921E3" w:rsidRPr="00E16672" w:rsidRDefault="005921E3" w:rsidP="005921E3">
      <w:pPr>
        <w:rPr>
          <w:rFonts w:ascii="Times New Roman" w:hAnsi="Times New Roman"/>
          <w:color w:val="000000"/>
          <w:sz w:val="28"/>
          <w:lang w:val="uk-UA"/>
        </w:rPr>
      </w:pPr>
    </w:p>
    <w:p w14:paraId="3F585D4E" w14:textId="77777777" w:rsidR="005921E3" w:rsidRPr="00E16672" w:rsidRDefault="005921E3" w:rsidP="005921E3">
      <w:pPr>
        <w:rPr>
          <w:rFonts w:ascii="Times New Roman" w:hAnsi="Times New Roman"/>
          <w:color w:val="000000"/>
          <w:sz w:val="28"/>
          <w:lang w:val="uk-UA"/>
        </w:rPr>
      </w:pPr>
    </w:p>
    <w:p w14:paraId="3C00422B" w14:textId="77777777" w:rsidR="001A2DB1" w:rsidRPr="00E16672" w:rsidRDefault="001A2DB1" w:rsidP="001A2DB1">
      <w:pPr>
        <w:ind w:firstLine="0"/>
        <w:jc w:val="left"/>
        <w:rPr>
          <w:rFonts w:ascii="Times New Roman" w:hAnsi="Times New Roman"/>
          <w:szCs w:val="20"/>
        </w:rPr>
      </w:pPr>
      <w:r w:rsidRPr="00E16672">
        <w:rPr>
          <w:rFonts w:ascii="Times New Roman" w:hAnsi="Times New Roman"/>
          <w:bCs/>
          <w:szCs w:val="20"/>
          <w:lang w:val="uk-UA"/>
        </w:rPr>
        <w:t>Підпис відповідальної особи Депозитарної установи</w:t>
      </w:r>
      <w:r w:rsidRPr="00E16672">
        <w:rPr>
          <w:rFonts w:ascii="Times New Roman" w:hAnsi="Times New Roman"/>
          <w:b/>
          <w:bCs/>
          <w:szCs w:val="20"/>
          <w:lang w:val="uk-UA"/>
        </w:rPr>
        <w:t xml:space="preserve">/       </w:t>
      </w:r>
      <w:r w:rsidRPr="00E16672">
        <w:rPr>
          <w:rFonts w:ascii="Times New Roman" w:hAnsi="Times New Roman"/>
          <w:bCs/>
          <w:szCs w:val="20"/>
          <w:lang w:val="uk-UA"/>
        </w:rPr>
        <w:t xml:space="preserve"> _________________</w:t>
      </w:r>
      <w:r w:rsidRPr="00E16672">
        <w:rPr>
          <w:rFonts w:ascii="Times New Roman" w:hAnsi="Times New Roman"/>
          <w:szCs w:val="20"/>
          <w:lang w:val="uk-UA"/>
        </w:rPr>
        <w:t xml:space="preserve">     </w:t>
      </w:r>
      <w:r w:rsidRPr="00E16672">
        <w:rPr>
          <w:rFonts w:ascii="Times New Roman" w:hAnsi="Times New Roman"/>
          <w:szCs w:val="20"/>
        </w:rPr>
        <w:t>__________________</w:t>
      </w:r>
    </w:p>
    <w:p w14:paraId="70F73460" w14:textId="77777777" w:rsidR="001A2DB1" w:rsidRPr="00E16672" w:rsidRDefault="001A2DB1" w:rsidP="001A2DB1">
      <w:pPr>
        <w:ind w:firstLine="0"/>
        <w:jc w:val="left"/>
        <w:rPr>
          <w:rFonts w:ascii="Times New Roman" w:hAnsi="Times New Roman"/>
          <w:i/>
          <w:sz w:val="18"/>
          <w:szCs w:val="18"/>
          <w:lang w:val="uk-UA"/>
        </w:rPr>
      </w:pPr>
      <w:proofErr w:type="spellStart"/>
      <w:r w:rsidRPr="00E16672">
        <w:rPr>
          <w:rFonts w:ascii="Times New Roman" w:hAnsi="Times New Roman"/>
          <w:bCs/>
          <w:szCs w:val="20"/>
          <w:lang w:val="uk-UA"/>
        </w:rPr>
        <w:t>Signature</w:t>
      </w:r>
      <w:proofErr w:type="spellEnd"/>
      <w:r w:rsidRPr="00E16672">
        <w:rPr>
          <w:rFonts w:ascii="Times New Roman" w:hAnsi="Times New Roman"/>
          <w:bCs/>
          <w:szCs w:val="20"/>
          <w:lang w:val="uk-UA"/>
        </w:rPr>
        <w:t xml:space="preserve">  </w:t>
      </w:r>
      <w:proofErr w:type="spellStart"/>
      <w:r w:rsidRPr="00E16672">
        <w:rPr>
          <w:rFonts w:ascii="Times New Roman" w:hAnsi="Times New Roman"/>
          <w:bCs/>
          <w:szCs w:val="20"/>
          <w:lang w:val="uk-UA"/>
        </w:rPr>
        <w:t>of</w:t>
      </w:r>
      <w:proofErr w:type="spellEnd"/>
      <w:r w:rsidRPr="00E16672">
        <w:rPr>
          <w:rFonts w:ascii="Times New Roman" w:hAnsi="Times New Roman"/>
          <w:bCs/>
          <w:szCs w:val="20"/>
          <w:lang w:val="uk-UA"/>
        </w:rPr>
        <w:t xml:space="preserve"> </w:t>
      </w:r>
      <w:proofErr w:type="spellStart"/>
      <w:r w:rsidRPr="00E16672">
        <w:rPr>
          <w:rFonts w:ascii="Times New Roman" w:hAnsi="Times New Roman"/>
          <w:bCs/>
          <w:szCs w:val="20"/>
          <w:lang w:val="uk-UA"/>
        </w:rPr>
        <w:t>authorized</w:t>
      </w:r>
      <w:proofErr w:type="spellEnd"/>
      <w:r w:rsidRPr="00E16672">
        <w:rPr>
          <w:rFonts w:ascii="Times New Roman" w:hAnsi="Times New Roman"/>
          <w:bCs/>
          <w:szCs w:val="20"/>
          <w:lang w:val="uk-UA"/>
        </w:rPr>
        <w:t xml:space="preserve"> </w:t>
      </w:r>
      <w:proofErr w:type="spellStart"/>
      <w:r w:rsidRPr="00E16672">
        <w:rPr>
          <w:rFonts w:ascii="Times New Roman" w:hAnsi="Times New Roman"/>
          <w:bCs/>
          <w:szCs w:val="20"/>
          <w:lang w:val="uk-UA"/>
        </w:rPr>
        <w:t>person</w:t>
      </w:r>
      <w:proofErr w:type="spellEnd"/>
      <w:r w:rsidRPr="00E16672">
        <w:rPr>
          <w:rFonts w:ascii="Times New Roman" w:hAnsi="Times New Roman"/>
          <w:bCs/>
          <w:szCs w:val="20"/>
          <w:lang w:val="uk-UA"/>
        </w:rPr>
        <w:t xml:space="preserve">  </w:t>
      </w:r>
      <w:proofErr w:type="spellStart"/>
      <w:r w:rsidRPr="00E16672">
        <w:rPr>
          <w:rFonts w:ascii="Times New Roman" w:hAnsi="Times New Roman"/>
          <w:bCs/>
          <w:szCs w:val="20"/>
          <w:lang w:val="uk-UA"/>
        </w:rPr>
        <w:t>of</w:t>
      </w:r>
      <w:proofErr w:type="spellEnd"/>
      <w:r w:rsidRPr="00E16672">
        <w:rPr>
          <w:rFonts w:ascii="Times New Roman" w:hAnsi="Times New Roman"/>
          <w:bCs/>
          <w:szCs w:val="20"/>
          <w:lang w:val="uk-UA"/>
        </w:rPr>
        <w:t xml:space="preserve"> </w:t>
      </w:r>
      <w:proofErr w:type="spellStart"/>
      <w:r w:rsidRPr="00E16672">
        <w:rPr>
          <w:rFonts w:ascii="Times New Roman" w:hAnsi="Times New Roman"/>
          <w:bCs/>
          <w:szCs w:val="20"/>
          <w:lang w:val="uk-UA"/>
        </w:rPr>
        <w:t>Depository</w:t>
      </w:r>
      <w:proofErr w:type="spellEnd"/>
      <w:r w:rsidRPr="00E16672">
        <w:rPr>
          <w:rFonts w:ascii="Times New Roman" w:hAnsi="Times New Roman"/>
          <w:bCs/>
          <w:szCs w:val="20"/>
          <w:lang w:val="uk-UA"/>
        </w:rPr>
        <w:t xml:space="preserve"> </w:t>
      </w:r>
      <w:proofErr w:type="spellStart"/>
      <w:r w:rsidRPr="00E16672">
        <w:rPr>
          <w:rFonts w:ascii="Times New Roman" w:hAnsi="Times New Roman"/>
          <w:bCs/>
          <w:szCs w:val="20"/>
          <w:lang w:val="uk-UA"/>
        </w:rPr>
        <w:t>institution</w:t>
      </w:r>
      <w:proofErr w:type="spellEnd"/>
      <w:r w:rsidRPr="00E16672">
        <w:rPr>
          <w:rFonts w:ascii="Times New Roman" w:hAnsi="Times New Roman"/>
          <w:bCs/>
          <w:szCs w:val="20"/>
          <w:lang w:val="uk-UA"/>
        </w:rPr>
        <w:t>):</w:t>
      </w:r>
      <w:r w:rsidRPr="00E16672">
        <w:rPr>
          <w:rFonts w:ascii="Times New Roman" w:hAnsi="Times New Roman"/>
          <w:i/>
          <w:szCs w:val="20"/>
          <w:lang w:val="uk-UA"/>
        </w:rPr>
        <w:t xml:space="preserve">  </w:t>
      </w:r>
      <w:r w:rsidRPr="00E16672">
        <w:rPr>
          <w:rFonts w:ascii="Times New Roman" w:hAnsi="Times New Roman"/>
          <w:szCs w:val="20"/>
          <w:lang w:val="uk-UA"/>
        </w:rPr>
        <w:t xml:space="preserve">        </w:t>
      </w:r>
      <w:r w:rsidRPr="00E16672">
        <w:rPr>
          <w:rFonts w:ascii="Times New Roman" w:hAnsi="Times New Roman"/>
          <w:i/>
          <w:sz w:val="18"/>
          <w:szCs w:val="18"/>
          <w:lang w:val="uk-UA"/>
        </w:rPr>
        <w:t>В.П., підпис</w:t>
      </w:r>
      <w:r w:rsidRPr="00E16672">
        <w:rPr>
          <w:rFonts w:ascii="Times New Roman" w:hAnsi="Times New Roman"/>
          <w:sz w:val="18"/>
          <w:szCs w:val="18"/>
          <w:lang w:val="uk-UA"/>
        </w:rPr>
        <w:t>/</w:t>
      </w:r>
      <w:r w:rsidRPr="00E16672">
        <w:rPr>
          <w:rFonts w:ascii="Times New Roman" w:hAnsi="Times New Roman"/>
          <w:i/>
          <w:sz w:val="18"/>
          <w:szCs w:val="18"/>
          <w:lang w:val="uk-UA"/>
        </w:rPr>
        <w:tab/>
        <w:t xml:space="preserve"> Прізвище, ім’я, по батькові (за наявності)</w:t>
      </w:r>
      <w:r w:rsidRPr="00E16672">
        <w:rPr>
          <w:rFonts w:ascii="Times New Roman" w:hAnsi="Times New Roman"/>
          <w:b/>
          <w:i/>
          <w:sz w:val="18"/>
          <w:szCs w:val="18"/>
          <w:lang w:val="uk-UA"/>
        </w:rPr>
        <w:tab/>
      </w:r>
      <w:r w:rsidRPr="00E16672">
        <w:rPr>
          <w:rFonts w:ascii="Times New Roman" w:hAnsi="Times New Roman"/>
          <w:i/>
          <w:sz w:val="18"/>
          <w:szCs w:val="18"/>
          <w:lang w:val="uk-UA"/>
        </w:rPr>
        <w:t xml:space="preserve">                                                                  </w:t>
      </w:r>
      <w:r w:rsidRPr="00E16672">
        <w:rPr>
          <w:rFonts w:ascii="Times New Roman" w:hAnsi="Times New Roman"/>
          <w:i/>
          <w:sz w:val="18"/>
          <w:szCs w:val="18"/>
          <w:lang w:val="en-US"/>
        </w:rPr>
        <w:t xml:space="preserve">                               </w:t>
      </w:r>
      <w:r w:rsidRPr="00E16672">
        <w:rPr>
          <w:rFonts w:ascii="Times New Roman" w:hAnsi="Times New Roman"/>
          <w:i/>
          <w:sz w:val="18"/>
          <w:szCs w:val="18"/>
          <w:lang w:val="uk-UA"/>
        </w:rPr>
        <w:t xml:space="preserve"> </w:t>
      </w:r>
      <w:proofErr w:type="spellStart"/>
      <w:r w:rsidRPr="00E16672">
        <w:rPr>
          <w:rFonts w:ascii="Times New Roman" w:hAnsi="Times New Roman"/>
          <w:i/>
          <w:sz w:val="18"/>
          <w:szCs w:val="18"/>
          <w:lang w:val="uk-UA"/>
        </w:rPr>
        <w:t>Seal</w:t>
      </w:r>
      <w:proofErr w:type="spellEnd"/>
      <w:r w:rsidRPr="00E16672">
        <w:rPr>
          <w:rFonts w:ascii="Times New Roman" w:hAnsi="Times New Roman"/>
          <w:i/>
          <w:sz w:val="18"/>
          <w:szCs w:val="18"/>
          <w:lang w:val="uk-UA"/>
        </w:rPr>
        <w:t xml:space="preserve">,  </w:t>
      </w:r>
      <w:proofErr w:type="spellStart"/>
      <w:r w:rsidRPr="00E16672">
        <w:rPr>
          <w:rFonts w:ascii="Times New Roman" w:hAnsi="Times New Roman"/>
          <w:i/>
          <w:sz w:val="18"/>
          <w:szCs w:val="18"/>
          <w:lang w:val="uk-UA"/>
        </w:rPr>
        <w:t>signature</w:t>
      </w:r>
      <w:proofErr w:type="spellEnd"/>
      <w:r w:rsidRPr="00E16672">
        <w:rPr>
          <w:rFonts w:ascii="Times New Roman" w:hAnsi="Times New Roman"/>
          <w:i/>
          <w:sz w:val="18"/>
          <w:szCs w:val="18"/>
          <w:lang w:val="uk-UA"/>
        </w:rPr>
        <w:t xml:space="preserve">      </w:t>
      </w:r>
      <w:proofErr w:type="spellStart"/>
      <w:r w:rsidRPr="00E16672">
        <w:rPr>
          <w:rFonts w:ascii="Times New Roman" w:hAnsi="Times New Roman"/>
          <w:i/>
          <w:sz w:val="18"/>
          <w:szCs w:val="18"/>
          <w:lang w:val="uk-UA"/>
        </w:rPr>
        <w:t>surname</w:t>
      </w:r>
      <w:proofErr w:type="spellEnd"/>
      <w:r w:rsidRPr="00E16672">
        <w:rPr>
          <w:rFonts w:ascii="Times New Roman" w:hAnsi="Times New Roman"/>
          <w:i/>
          <w:sz w:val="18"/>
          <w:szCs w:val="18"/>
          <w:lang w:val="uk-UA"/>
        </w:rPr>
        <w:t xml:space="preserve">, </w:t>
      </w:r>
      <w:proofErr w:type="spellStart"/>
      <w:r w:rsidRPr="00E16672">
        <w:rPr>
          <w:rFonts w:ascii="Times New Roman" w:hAnsi="Times New Roman"/>
          <w:i/>
          <w:sz w:val="18"/>
          <w:szCs w:val="18"/>
          <w:lang w:val="uk-UA"/>
        </w:rPr>
        <w:t>name</w:t>
      </w:r>
      <w:proofErr w:type="spellEnd"/>
      <w:r w:rsidRPr="00E16672">
        <w:rPr>
          <w:rFonts w:ascii="Times New Roman" w:hAnsi="Times New Roman"/>
          <w:i/>
          <w:sz w:val="18"/>
          <w:szCs w:val="18"/>
          <w:lang w:val="uk-UA"/>
        </w:rPr>
        <w:t xml:space="preserve">, </w:t>
      </w:r>
      <w:proofErr w:type="spellStart"/>
      <w:r w:rsidRPr="00E16672">
        <w:rPr>
          <w:rFonts w:ascii="Times New Roman" w:hAnsi="Times New Roman"/>
          <w:i/>
          <w:sz w:val="18"/>
          <w:szCs w:val="18"/>
          <w:lang w:val="uk-UA"/>
        </w:rPr>
        <w:t>patronymic</w:t>
      </w:r>
      <w:proofErr w:type="spellEnd"/>
      <w:r w:rsidRPr="00E16672">
        <w:rPr>
          <w:rFonts w:ascii="Times New Roman" w:hAnsi="Times New Roman"/>
          <w:i/>
          <w:sz w:val="18"/>
          <w:szCs w:val="18"/>
          <w:lang w:val="uk-UA"/>
        </w:rPr>
        <w:t xml:space="preserve"> (</w:t>
      </w:r>
      <w:proofErr w:type="spellStart"/>
      <w:r w:rsidRPr="00E16672">
        <w:rPr>
          <w:rFonts w:ascii="Times New Roman" w:hAnsi="Times New Roman"/>
          <w:i/>
          <w:sz w:val="18"/>
          <w:szCs w:val="18"/>
          <w:lang w:val="uk-UA"/>
        </w:rPr>
        <w:t>if</w:t>
      </w:r>
      <w:proofErr w:type="spellEnd"/>
      <w:r w:rsidRPr="00E16672">
        <w:rPr>
          <w:rFonts w:ascii="Times New Roman" w:hAnsi="Times New Roman"/>
          <w:i/>
          <w:sz w:val="18"/>
          <w:szCs w:val="18"/>
          <w:lang w:val="uk-UA"/>
        </w:rPr>
        <w:t xml:space="preserve"> </w:t>
      </w:r>
      <w:proofErr w:type="spellStart"/>
      <w:r w:rsidRPr="00E16672">
        <w:rPr>
          <w:rFonts w:ascii="Times New Roman" w:hAnsi="Times New Roman"/>
          <w:i/>
          <w:sz w:val="18"/>
          <w:szCs w:val="18"/>
          <w:lang w:val="uk-UA"/>
        </w:rPr>
        <w:t>any</w:t>
      </w:r>
      <w:proofErr w:type="spellEnd"/>
      <w:r w:rsidRPr="00E16672">
        <w:rPr>
          <w:rFonts w:ascii="Times New Roman" w:hAnsi="Times New Roman"/>
          <w:i/>
          <w:sz w:val="18"/>
          <w:szCs w:val="18"/>
          <w:lang w:val="uk-UA"/>
        </w:rPr>
        <w:t>)</w:t>
      </w:r>
    </w:p>
    <w:p w14:paraId="56A12F06" w14:textId="77777777" w:rsidR="005921E3" w:rsidRPr="00E16672" w:rsidRDefault="005921E3" w:rsidP="005921E3">
      <w:pPr>
        <w:rPr>
          <w:rFonts w:ascii="Times New Roman" w:hAnsi="Times New Roman"/>
          <w:b/>
          <w:color w:val="000000"/>
          <w:sz w:val="36"/>
          <w:lang w:val="uk-UA"/>
        </w:rPr>
      </w:pPr>
    </w:p>
    <w:p w14:paraId="0095E59B" w14:textId="77777777" w:rsidR="005921E3" w:rsidRPr="00E16672" w:rsidRDefault="005921E3" w:rsidP="005921E3">
      <w:pPr>
        <w:rPr>
          <w:rFonts w:ascii="Times New Roman" w:hAnsi="Times New Roman"/>
          <w:b/>
          <w:color w:val="000000"/>
          <w:sz w:val="36"/>
          <w:lang w:val="uk-UA"/>
        </w:rPr>
      </w:pPr>
    </w:p>
    <w:p w14:paraId="1196186B" w14:textId="77777777" w:rsidR="005921E3" w:rsidRPr="00E16672" w:rsidRDefault="007D0843" w:rsidP="005921E3">
      <w:pPr>
        <w:rPr>
          <w:rFonts w:ascii="Times New Roman" w:hAnsi="Times New Roman"/>
          <w:b/>
          <w:color w:val="000000"/>
          <w:sz w:val="36"/>
          <w:lang w:val="uk-UA"/>
        </w:rPr>
      </w:pPr>
      <w:r>
        <w:rPr>
          <w:rFonts w:ascii="Times New Roman" w:hAnsi="Times New Roman"/>
          <w:noProof/>
          <w:color w:val="000000"/>
          <w:lang w:val="uk-UA" w:eastAsia="uk-UA"/>
        </w:rPr>
        <w:pict w14:anchorId="7992B912">
          <v:line id="Прямая соединительная линия 8" o:spid="_x0000_s1039" style="position:absolute;left:0;text-align:left;flip:y;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23.7pt" to="546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" strokeweight=".26mm">
            <w10:wrap anchorx="margin"/>
          </v:line>
        </w:pict>
      </w:r>
    </w:p>
    <w:p w14:paraId="463381AF" w14:textId="77777777" w:rsidR="00602650" w:rsidRDefault="00602650" w:rsidP="00B904F4">
      <w:pPr>
        <w:rPr>
          <w:rFonts w:ascii="Times New Roman" w:hAnsi="Times New Roman"/>
          <w:i/>
          <w:iCs/>
          <w:color w:val="000000"/>
          <w:lang w:val="uk-UA"/>
        </w:rPr>
      </w:pPr>
    </w:p>
    <w:p w14:paraId="4103007C" w14:textId="77777777" w:rsidR="00602650" w:rsidRDefault="00602650" w:rsidP="00B904F4">
      <w:pPr>
        <w:rPr>
          <w:rFonts w:ascii="Times New Roman" w:hAnsi="Times New Roman"/>
          <w:i/>
          <w:iCs/>
          <w:color w:val="000000"/>
          <w:lang w:val="uk-UA"/>
        </w:rPr>
      </w:pPr>
    </w:p>
    <w:p w14:paraId="2B367867" w14:textId="77777777" w:rsidR="00602650" w:rsidRDefault="00602650" w:rsidP="00B904F4">
      <w:pPr>
        <w:rPr>
          <w:rFonts w:ascii="Times New Roman" w:hAnsi="Times New Roman"/>
          <w:i/>
          <w:iCs/>
          <w:color w:val="000000"/>
          <w:lang w:val="uk-UA"/>
        </w:rPr>
      </w:pPr>
    </w:p>
    <w:p w14:paraId="63B5DBB6" w14:textId="77777777" w:rsidR="00602650" w:rsidRDefault="00602650" w:rsidP="00B904F4">
      <w:pPr>
        <w:rPr>
          <w:rFonts w:ascii="Times New Roman" w:hAnsi="Times New Roman"/>
          <w:i/>
          <w:iCs/>
          <w:color w:val="000000"/>
          <w:lang w:val="uk-UA"/>
        </w:rPr>
      </w:pPr>
    </w:p>
    <w:p w14:paraId="52BABC38" w14:textId="77777777" w:rsidR="00602650" w:rsidRDefault="00602650" w:rsidP="00B904F4">
      <w:pPr>
        <w:rPr>
          <w:rFonts w:ascii="Times New Roman" w:hAnsi="Times New Roman"/>
          <w:i/>
          <w:iCs/>
          <w:color w:val="000000"/>
          <w:lang w:val="uk-UA"/>
        </w:rPr>
      </w:pPr>
    </w:p>
    <w:p w14:paraId="60D387C9" w14:textId="77777777" w:rsidR="00602650" w:rsidRDefault="00602650" w:rsidP="00B904F4">
      <w:pPr>
        <w:rPr>
          <w:rFonts w:ascii="Times New Roman" w:hAnsi="Times New Roman"/>
          <w:i/>
          <w:iCs/>
          <w:color w:val="000000"/>
          <w:lang w:val="uk-UA"/>
        </w:rPr>
      </w:pPr>
    </w:p>
    <w:p w14:paraId="2E0D02E3" w14:textId="77777777" w:rsidR="00602650" w:rsidRDefault="00602650" w:rsidP="00B904F4">
      <w:pPr>
        <w:rPr>
          <w:rFonts w:ascii="Times New Roman" w:hAnsi="Times New Roman"/>
          <w:i/>
          <w:iCs/>
          <w:color w:val="000000"/>
          <w:lang w:val="uk-UA"/>
        </w:rPr>
      </w:pPr>
    </w:p>
    <w:p w14:paraId="44348246" w14:textId="77777777" w:rsidR="00602650" w:rsidRDefault="00602650" w:rsidP="00B904F4">
      <w:pPr>
        <w:rPr>
          <w:rFonts w:ascii="Times New Roman" w:hAnsi="Times New Roman"/>
          <w:i/>
          <w:iCs/>
          <w:color w:val="000000"/>
          <w:lang w:val="uk-UA"/>
        </w:rPr>
      </w:pPr>
    </w:p>
    <w:p w14:paraId="2D76A008" w14:textId="77777777" w:rsidR="00602650" w:rsidRDefault="00602650" w:rsidP="00B904F4">
      <w:pPr>
        <w:rPr>
          <w:rFonts w:ascii="Times New Roman" w:hAnsi="Times New Roman"/>
          <w:i/>
          <w:iCs/>
          <w:color w:val="000000"/>
          <w:lang w:val="uk-UA"/>
        </w:rPr>
      </w:pPr>
    </w:p>
    <w:p w14:paraId="3AE61C43" w14:textId="77777777" w:rsidR="00602650" w:rsidRDefault="00602650" w:rsidP="00B904F4">
      <w:pPr>
        <w:rPr>
          <w:rFonts w:ascii="Times New Roman" w:hAnsi="Times New Roman"/>
          <w:i/>
          <w:iCs/>
          <w:color w:val="000000"/>
          <w:lang w:val="uk-UA"/>
        </w:rPr>
      </w:pPr>
    </w:p>
    <w:p w14:paraId="28D70983" w14:textId="77777777" w:rsidR="00602650" w:rsidRDefault="00602650" w:rsidP="00B904F4">
      <w:pPr>
        <w:rPr>
          <w:rFonts w:ascii="Times New Roman" w:hAnsi="Times New Roman"/>
          <w:i/>
          <w:iCs/>
          <w:color w:val="000000"/>
          <w:lang w:val="uk-UA"/>
        </w:rPr>
      </w:pPr>
    </w:p>
    <w:p w14:paraId="5C94B1E4" w14:textId="77777777" w:rsidR="00602650" w:rsidRDefault="00602650" w:rsidP="00B904F4">
      <w:pPr>
        <w:rPr>
          <w:rFonts w:ascii="Times New Roman" w:hAnsi="Times New Roman"/>
          <w:i/>
          <w:iCs/>
          <w:color w:val="000000"/>
          <w:lang w:val="uk-UA"/>
        </w:rPr>
      </w:pPr>
    </w:p>
    <w:p w14:paraId="4F7966B9" w14:textId="77777777" w:rsidR="00B904F4" w:rsidRPr="00F864F1" w:rsidRDefault="007D0843" w:rsidP="00F864F1">
      <w:pPr>
        <w:jc w:val="center"/>
        <w:rPr>
          <w:rFonts w:ascii="Times New Roman" w:hAnsi="Times New Roman"/>
          <w:b/>
          <w:bCs/>
          <w:color w:val="000000"/>
          <w:szCs w:val="20"/>
          <w:lang w:val="uk-UA"/>
        </w:rPr>
      </w:pPr>
      <w:r>
        <w:rPr>
          <w:rFonts w:ascii="Times New Roman" w:hAnsi="Times New Roman"/>
          <w:noProof/>
          <w:lang w:val="uk-UA" w:eastAsia="uk-UA"/>
        </w:rPr>
        <w:pict w14:anchorId="0CD2E054">
          <v:line id="Прямая соединительная линия 13" o:spid="_x0000_s1038" style="position:absolute;left:0;text-align:left;flip:x;z-index:251676672;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page;mso-height-relative:page" from="0,2.05pt" to="0,65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" strokeweight=".26mm">
            <w10:wrap anchorx="margin"/>
          </v:line>
        </w:pict>
      </w:r>
      <w:r>
        <w:rPr>
          <w:rFonts w:ascii="Times New Roman" w:hAnsi="Times New Roman"/>
          <w:noProof/>
          <w:lang w:val="uk-UA" w:eastAsia="uk-UA"/>
        </w:rPr>
        <w:pict w14:anchorId="10F4A280">
          <v:line id="Прямая соединительная линия 14" o:spid="_x0000_s1037" style="position:absolute;left:0;text-align:lef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2.8pt" to=".25pt,65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" strokeweight=".26mm"/>
        </w:pict>
      </w:r>
      <w:r>
        <w:rPr>
          <w:rFonts w:ascii="Times New Roman" w:hAnsi="Times New Roman"/>
          <w:noProof/>
          <w:lang w:val="uk-UA" w:eastAsia="uk-UA"/>
        </w:rPr>
        <w:pict w14:anchorId="140AD3E2">
          <v:line id="Прямая соединительная линия 15" o:spid="_x0000_s1036" style="position:absolute;left:0;text-align:lef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1.85pt" to="546.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" strokeweight=".26mm"/>
        </w:pict>
      </w:r>
    </w:p>
    <w:p w14:paraId="7F669A73" w14:textId="77777777" w:rsidR="00B904F4" w:rsidRPr="00F864F1" w:rsidRDefault="00B904F4" w:rsidP="00F864F1">
      <w:pPr>
        <w:ind w:left="142" w:hanging="142"/>
        <w:jc w:val="center"/>
        <w:rPr>
          <w:rFonts w:ascii="Times New Roman" w:hAnsi="Times New Roman"/>
          <w:b/>
          <w:bCs/>
          <w:color w:val="000000"/>
          <w:sz w:val="18"/>
          <w:szCs w:val="18"/>
          <w:lang w:val="uk-UA"/>
        </w:rPr>
      </w:pPr>
      <w:r w:rsidRPr="00F864F1">
        <w:rPr>
          <w:rFonts w:ascii="Times New Roman" w:hAnsi="Times New Roman"/>
          <w:b/>
          <w:bCs/>
          <w:color w:val="000000"/>
          <w:sz w:val="18"/>
          <w:szCs w:val="18"/>
          <w:lang w:val="uk-UA"/>
        </w:rPr>
        <w:t xml:space="preserve">Депозитарна установа ТОВ </w:t>
      </w:r>
      <w:r w:rsidR="00022F5F" w:rsidRPr="00F864F1">
        <w:rPr>
          <w:rFonts w:ascii="Times New Roman" w:hAnsi="Times New Roman"/>
          <w:b/>
          <w:bCs/>
          <w:color w:val="000000"/>
          <w:sz w:val="18"/>
          <w:szCs w:val="18"/>
          <w:lang w:val="uk-UA"/>
        </w:rPr>
        <w:t>"</w:t>
      </w:r>
      <w:r w:rsidR="00E16672" w:rsidRPr="00F864F1">
        <w:rPr>
          <w:rFonts w:ascii="Times New Roman" w:hAnsi="Times New Roman"/>
          <w:b/>
          <w:bCs/>
          <w:color w:val="000000"/>
          <w:sz w:val="18"/>
          <w:szCs w:val="18"/>
          <w:lang w:val="uk-UA"/>
        </w:rPr>
        <w:t>КОМЕКС ЦІННІ ПАПЕРИ</w:t>
      </w:r>
      <w:r w:rsidR="00022F5F" w:rsidRPr="00F864F1">
        <w:rPr>
          <w:rFonts w:ascii="Times New Roman" w:hAnsi="Times New Roman"/>
          <w:b/>
          <w:bCs/>
          <w:color w:val="000000"/>
          <w:sz w:val="18"/>
          <w:szCs w:val="18"/>
          <w:lang w:val="uk-UA"/>
        </w:rPr>
        <w:t>"</w:t>
      </w:r>
      <w:r w:rsidRPr="00F864F1">
        <w:rPr>
          <w:rFonts w:ascii="Times New Roman" w:hAnsi="Times New Roman"/>
          <w:b/>
          <w:bCs/>
          <w:color w:val="000000"/>
          <w:sz w:val="18"/>
          <w:szCs w:val="18"/>
          <w:lang w:val="uk-UA"/>
        </w:rPr>
        <w:t xml:space="preserve">  ЄДРПОУ </w:t>
      </w:r>
      <w:r w:rsidR="00E16672" w:rsidRPr="00F864F1">
        <w:rPr>
          <w:rFonts w:ascii="Times New Roman" w:hAnsi="Times New Roman"/>
          <w:b/>
          <w:bCs/>
          <w:color w:val="000000"/>
          <w:sz w:val="18"/>
          <w:szCs w:val="18"/>
          <w:lang w:val="uk-UA"/>
        </w:rPr>
        <w:t>33153077</w:t>
      </w:r>
    </w:p>
    <w:p w14:paraId="1E40266A" w14:textId="77777777" w:rsidR="00B904F4" w:rsidRPr="00E16672" w:rsidRDefault="00B904F4" w:rsidP="00B904F4">
      <w:pPr>
        <w:ind w:left="142" w:hanging="142"/>
        <w:jc w:val="center"/>
        <w:rPr>
          <w:rFonts w:ascii="Times New Roman" w:hAnsi="Times New Roman"/>
          <w:bCs/>
          <w:color w:val="000000"/>
          <w:sz w:val="18"/>
          <w:szCs w:val="18"/>
          <w:lang w:val="uk-UA"/>
        </w:rPr>
      </w:pPr>
      <w:r w:rsidRPr="00E16672">
        <w:rPr>
          <w:rFonts w:ascii="Times New Roman" w:hAnsi="Times New Roman"/>
          <w:bCs/>
          <w:color w:val="000000"/>
          <w:sz w:val="18"/>
          <w:szCs w:val="18"/>
          <w:lang w:val="uk-UA"/>
        </w:rPr>
        <w:t>Ліцензія серія АЕ №</w:t>
      </w:r>
      <w:r w:rsidR="00E16672" w:rsidRPr="00E16672">
        <w:rPr>
          <w:rFonts w:ascii="Times New Roman" w:hAnsi="Times New Roman"/>
          <w:bCs/>
          <w:color w:val="000000"/>
          <w:sz w:val="18"/>
          <w:szCs w:val="18"/>
          <w:lang w:val="uk-UA"/>
        </w:rPr>
        <w:t>263429</w:t>
      </w:r>
      <w:r w:rsidRPr="00E16672">
        <w:rPr>
          <w:rFonts w:ascii="Times New Roman" w:hAnsi="Times New Roman"/>
          <w:bCs/>
          <w:color w:val="000000"/>
          <w:sz w:val="18"/>
          <w:szCs w:val="18"/>
          <w:lang w:val="uk-UA"/>
        </w:rPr>
        <w:t xml:space="preserve"> від </w:t>
      </w:r>
      <w:r w:rsidR="006E3B0B">
        <w:rPr>
          <w:rFonts w:ascii="Times New Roman" w:hAnsi="Times New Roman"/>
          <w:bCs/>
          <w:color w:val="000000"/>
          <w:sz w:val="18"/>
          <w:szCs w:val="18"/>
          <w:lang w:val="uk-UA"/>
        </w:rPr>
        <w:t>01 жовтня 2013</w:t>
      </w:r>
      <w:r w:rsidRPr="00E16672">
        <w:rPr>
          <w:rFonts w:ascii="Times New Roman" w:hAnsi="Times New Roman"/>
          <w:bCs/>
          <w:color w:val="000000"/>
          <w:sz w:val="18"/>
          <w:szCs w:val="18"/>
          <w:lang w:val="uk-UA"/>
        </w:rPr>
        <w:t xml:space="preserve"> р.,</w:t>
      </w:r>
    </w:p>
    <w:p w14:paraId="1E0E7512" w14:textId="77777777" w:rsidR="00B904F4" w:rsidRPr="00E16672" w:rsidRDefault="00B904F4" w:rsidP="00B904F4">
      <w:pPr>
        <w:jc w:val="center"/>
        <w:rPr>
          <w:rFonts w:ascii="Times New Roman" w:hAnsi="Times New Roman"/>
          <w:bCs/>
          <w:sz w:val="18"/>
          <w:szCs w:val="18"/>
          <w:lang w:val="uk-UA"/>
        </w:rPr>
      </w:pPr>
      <w:r w:rsidRPr="00E16672">
        <w:rPr>
          <w:rFonts w:ascii="Times New Roman" w:hAnsi="Times New Roman"/>
          <w:bCs/>
          <w:color w:val="000000"/>
          <w:sz w:val="18"/>
          <w:szCs w:val="18"/>
          <w:lang w:val="uk-UA"/>
        </w:rPr>
        <w:t xml:space="preserve">Адреса: </w:t>
      </w:r>
      <w:r w:rsidR="006E3B0B">
        <w:rPr>
          <w:rFonts w:ascii="Times New Roman" w:hAnsi="Times New Roman"/>
          <w:bCs/>
          <w:sz w:val="18"/>
          <w:szCs w:val="18"/>
          <w:lang w:val="uk-UA"/>
        </w:rPr>
        <w:t xml:space="preserve">03150, </w:t>
      </w:r>
      <w:proofErr w:type="spellStart"/>
      <w:r w:rsidR="006E3B0B">
        <w:rPr>
          <w:rFonts w:ascii="Times New Roman" w:hAnsi="Times New Roman"/>
          <w:bCs/>
          <w:sz w:val="18"/>
          <w:szCs w:val="18"/>
          <w:lang w:val="uk-UA"/>
        </w:rPr>
        <w:t>м.Київ</w:t>
      </w:r>
      <w:proofErr w:type="spellEnd"/>
      <w:r w:rsidR="006E3B0B">
        <w:rPr>
          <w:rFonts w:ascii="Times New Roman" w:hAnsi="Times New Roman"/>
          <w:bCs/>
          <w:sz w:val="18"/>
          <w:szCs w:val="18"/>
          <w:lang w:val="uk-UA"/>
        </w:rPr>
        <w:t>, Велика Васильківська (колишня Червоноармійська) вул., буд. 65</w:t>
      </w:r>
    </w:p>
    <w:p w14:paraId="2BADEEBC" w14:textId="77777777" w:rsidR="00B904F4" w:rsidRPr="00E16672" w:rsidRDefault="00B904F4" w:rsidP="00B904F4">
      <w:pPr>
        <w:tabs>
          <w:tab w:val="left" w:pos="288"/>
          <w:tab w:val="left" w:pos="720"/>
          <w:tab w:val="left" w:pos="1008"/>
          <w:tab w:val="left" w:pos="1584"/>
          <w:tab w:val="left" w:pos="2160"/>
          <w:tab w:val="left" w:pos="3600"/>
        </w:tabs>
        <w:ind w:right="1"/>
        <w:jc w:val="center"/>
        <w:rPr>
          <w:rFonts w:ascii="Times New Roman" w:hAnsi="Times New Roman"/>
          <w:bCs/>
          <w:sz w:val="18"/>
          <w:szCs w:val="18"/>
          <w:lang w:val="uk-UA"/>
        </w:rPr>
      </w:pPr>
      <w:r w:rsidRPr="00E16672">
        <w:rPr>
          <w:rFonts w:ascii="Times New Roman" w:hAnsi="Times New Roman"/>
          <w:bCs/>
          <w:sz w:val="18"/>
          <w:szCs w:val="18"/>
          <w:lang w:val="uk-UA"/>
        </w:rPr>
        <w:t>Рахунок в Центральному Депозитарії №100024-UA40</w:t>
      </w:r>
      <w:r w:rsidR="006E3B0B">
        <w:rPr>
          <w:rFonts w:ascii="Times New Roman" w:hAnsi="Times New Roman"/>
          <w:bCs/>
          <w:sz w:val="18"/>
          <w:szCs w:val="18"/>
          <w:lang w:val="uk-UA"/>
        </w:rPr>
        <w:t>401265</w:t>
      </w:r>
      <w:r w:rsidRPr="00E16672">
        <w:rPr>
          <w:rFonts w:ascii="Times New Roman" w:hAnsi="Times New Roman"/>
          <w:bCs/>
          <w:sz w:val="18"/>
          <w:szCs w:val="18"/>
          <w:lang w:val="uk-UA"/>
        </w:rPr>
        <w:t xml:space="preserve">, код МДО </w:t>
      </w:r>
      <w:r w:rsidR="006E3B0B">
        <w:rPr>
          <w:rFonts w:ascii="Times New Roman" w:hAnsi="Times New Roman"/>
          <w:bCs/>
          <w:sz w:val="18"/>
          <w:szCs w:val="18"/>
          <w:lang w:val="uk-UA"/>
        </w:rPr>
        <w:t>401265</w:t>
      </w:r>
    </w:p>
    <w:p w14:paraId="4AAC68CE" w14:textId="77777777" w:rsidR="00B904F4" w:rsidRPr="00E16672" w:rsidRDefault="00B904F4" w:rsidP="00B904F4">
      <w:pPr>
        <w:tabs>
          <w:tab w:val="left" w:pos="288"/>
          <w:tab w:val="left" w:pos="720"/>
          <w:tab w:val="left" w:pos="1008"/>
          <w:tab w:val="left" w:pos="1584"/>
          <w:tab w:val="left" w:pos="2160"/>
          <w:tab w:val="left" w:pos="3600"/>
        </w:tabs>
        <w:ind w:right="1"/>
        <w:jc w:val="center"/>
        <w:rPr>
          <w:rFonts w:ascii="Times New Roman" w:hAnsi="Times New Roman"/>
          <w:bCs/>
          <w:sz w:val="18"/>
          <w:szCs w:val="18"/>
          <w:lang w:val="uk-UA"/>
        </w:rPr>
      </w:pPr>
    </w:p>
    <w:p w14:paraId="533D7DC0" w14:textId="77777777" w:rsidR="00B904F4" w:rsidRPr="00E16672" w:rsidRDefault="00B904F4" w:rsidP="00B904F4">
      <w:pPr>
        <w:rPr>
          <w:rFonts w:ascii="Times New Roman" w:hAnsi="Times New Roman"/>
          <w:bCs/>
          <w:color w:val="000000"/>
          <w:sz w:val="18"/>
          <w:szCs w:val="18"/>
          <w:lang w:val="uk-UA"/>
        </w:rPr>
      </w:pPr>
    </w:p>
    <w:p w14:paraId="790E238F" w14:textId="77777777" w:rsidR="001A2DB1" w:rsidRPr="00E16672" w:rsidRDefault="001A2DB1" w:rsidP="001A2DB1">
      <w:pPr>
        <w:rPr>
          <w:rFonts w:ascii="Times New Roman" w:hAnsi="Times New Roman"/>
        </w:rPr>
      </w:pPr>
      <w:proofErr w:type="spellStart"/>
      <w:r w:rsidRPr="00E16672">
        <w:rPr>
          <w:rFonts w:ascii="Times New Roman" w:hAnsi="Times New Roman"/>
        </w:rPr>
        <w:t>Вих</w:t>
      </w:r>
      <w:proofErr w:type="spellEnd"/>
      <w:r w:rsidRPr="00E16672">
        <w:rPr>
          <w:rFonts w:ascii="Times New Roman" w:hAnsi="Times New Roman"/>
        </w:rPr>
        <w:t>. № ____</w:t>
      </w:r>
      <w:r w:rsidRPr="00E16672">
        <w:rPr>
          <w:rFonts w:ascii="Times New Roman" w:hAnsi="Times New Roman"/>
          <w:lang w:val="uk-UA"/>
        </w:rPr>
        <w:t>_____</w:t>
      </w:r>
      <w:r w:rsidRPr="00E16672">
        <w:rPr>
          <w:rFonts w:ascii="Times New Roman" w:hAnsi="Times New Roman"/>
        </w:rPr>
        <w:t>_</w:t>
      </w:r>
    </w:p>
    <w:p w14:paraId="2E772BF9" w14:textId="77777777" w:rsidR="001A2DB1" w:rsidRPr="00E16672" w:rsidRDefault="00602650" w:rsidP="001A2DB1">
      <w:pPr>
        <w:rPr>
          <w:rFonts w:ascii="Times New Roman" w:hAnsi="Times New Roman"/>
          <w:lang w:val="uk-UA"/>
        </w:rPr>
      </w:pPr>
      <w:r>
        <w:rPr>
          <w:rFonts w:ascii="Times New Roman" w:hAnsi="Times New Roman"/>
          <w:lang w:val="uk-UA"/>
        </w:rPr>
        <w:t>в</w:t>
      </w:r>
      <w:r w:rsidR="001A2DB1" w:rsidRPr="00E16672">
        <w:rPr>
          <w:rFonts w:ascii="Times New Roman" w:hAnsi="Times New Roman"/>
          <w:lang w:val="uk-UA"/>
        </w:rPr>
        <w:t>ід _______ 20__р.</w:t>
      </w:r>
    </w:p>
    <w:p w14:paraId="2CDEAF39" w14:textId="77777777" w:rsidR="00B904F4" w:rsidRPr="00E16672" w:rsidRDefault="00B904F4" w:rsidP="00B904F4">
      <w:pPr>
        <w:rPr>
          <w:rFonts w:ascii="Times New Roman" w:hAnsi="Times New Roman"/>
          <w:color w:val="000000"/>
        </w:rPr>
      </w:pPr>
    </w:p>
    <w:p w14:paraId="75F4E749" w14:textId="77777777" w:rsidR="00B904F4" w:rsidRPr="00E16672" w:rsidRDefault="00B904F4" w:rsidP="00B904F4">
      <w:pPr>
        <w:jc w:val="center"/>
        <w:rPr>
          <w:rFonts w:ascii="Times New Roman" w:hAnsi="Times New Roman"/>
          <w:color w:val="000000"/>
          <w:sz w:val="36"/>
          <w:lang w:val="uk-UA"/>
        </w:rPr>
      </w:pPr>
    </w:p>
    <w:p w14:paraId="4F59C398" w14:textId="77777777" w:rsidR="00B904F4" w:rsidRPr="00E16672" w:rsidRDefault="00B904F4" w:rsidP="00B904F4">
      <w:pPr>
        <w:jc w:val="center"/>
        <w:rPr>
          <w:rFonts w:ascii="Times New Roman" w:hAnsi="Times New Roman"/>
          <w:color w:val="000000"/>
          <w:sz w:val="36"/>
          <w:lang w:val="uk-UA"/>
        </w:rPr>
      </w:pPr>
    </w:p>
    <w:p w14:paraId="41B18399" w14:textId="77777777" w:rsidR="00B904F4" w:rsidRPr="00E16672" w:rsidRDefault="00B904F4" w:rsidP="00B904F4">
      <w:pPr>
        <w:jc w:val="center"/>
        <w:rPr>
          <w:rFonts w:ascii="Times New Roman" w:hAnsi="Times New Roman"/>
          <w:color w:val="000000"/>
          <w:sz w:val="36"/>
          <w:lang w:val="uk-UA"/>
        </w:rPr>
      </w:pPr>
    </w:p>
    <w:p w14:paraId="52125534" w14:textId="19E77DCD" w:rsidR="00B904F4" w:rsidRPr="00E16672" w:rsidRDefault="00B904F4" w:rsidP="00B904F4">
      <w:pPr>
        <w:jc w:val="center"/>
        <w:rPr>
          <w:rFonts w:ascii="Times New Roman" w:hAnsi="Times New Roman"/>
          <w:sz w:val="36"/>
          <w:lang w:val="uk-UA"/>
        </w:rPr>
      </w:pPr>
      <w:r w:rsidRPr="00E16672">
        <w:rPr>
          <w:rFonts w:ascii="Times New Roman" w:hAnsi="Times New Roman"/>
          <w:color w:val="000000"/>
          <w:sz w:val="36"/>
          <w:lang w:val="uk-UA"/>
        </w:rPr>
        <w:t xml:space="preserve">Свідоцтво про закриття рахунку у </w:t>
      </w:r>
      <w:r w:rsidR="00C470B6">
        <w:rPr>
          <w:rFonts w:ascii="Times New Roman" w:hAnsi="Times New Roman"/>
          <w:color w:val="000000"/>
          <w:sz w:val="36"/>
          <w:lang w:val="uk-UA"/>
        </w:rPr>
        <w:t>цінних паперах</w:t>
      </w:r>
    </w:p>
    <w:p w14:paraId="245B96D1" w14:textId="77777777" w:rsidR="00B904F4" w:rsidRPr="00E16672" w:rsidRDefault="00B904F4" w:rsidP="00B904F4">
      <w:pPr>
        <w:rPr>
          <w:rFonts w:ascii="Times New Roman" w:hAnsi="Times New Roman"/>
          <w:color w:val="000000"/>
          <w:sz w:val="28"/>
          <w:lang w:val="uk-UA"/>
        </w:rPr>
      </w:pPr>
    </w:p>
    <w:p w14:paraId="68B58B1E" w14:textId="77777777" w:rsidR="00602650" w:rsidRDefault="00602650" w:rsidP="00602650">
      <w:pPr>
        <w:pStyle w:val="mystylen"/>
        <w:keepNext w:val="0"/>
        <w:keepLines w:val="0"/>
        <w:pageBreakBefore w:val="0"/>
        <w:spacing w:before="0" w:after="0"/>
        <w:jc w:val="both"/>
        <w:rPr>
          <w:rFonts w:ascii="Times New Roman" w:hAnsi="Times New Roman"/>
          <w:color w:val="000000"/>
          <w:lang w:val="uk-UA"/>
        </w:rPr>
      </w:pPr>
      <w:r w:rsidRPr="00E16672">
        <w:rPr>
          <w:rFonts w:ascii="Times New Roman" w:hAnsi="Times New Roman"/>
          <w:color w:val="000000"/>
          <w:lang w:val="uk-UA"/>
        </w:rPr>
        <w:t>м. Київ</w:t>
      </w:r>
    </w:p>
    <w:p w14:paraId="17A6EAC6" w14:textId="77777777" w:rsidR="00602650" w:rsidRPr="00E16672" w:rsidRDefault="00602650" w:rsidP="00602650">
      <w:pPr>
        <w:pStyle w:val="mystylen"/>
        <w:keepNext w:val="0"/>
        <w:keepLines w:val="0"/>
        <w:pageBreakBefore w:val="0"/>
        <w:spacing w:before="0" w:after="0"/>
        <w:jc w:val="both"/>
        <w:rPr>
          <w:rFonts w:ascii="Times New Roman" w:hAnsi="Times New Roman"/>
          <w:color w:val="000000"/>
          <w:lang w:val="uk-UA"/>
        </w:rPr>
      </w:pPr>
      <w:r w:rsidRPr="00E16672">
        <w:rPr>
          <w:rFonts w:ascii="Times New Roman" w:hAnsi="Times New Roman"/>
          <w:color w:val="000000"/>
          <w:lang w:val="uk-UA"/>
        </w:rPr>
        <w:t>“</w:t>
      </w:r>
      <w:r>
        <w:rPr>
          <w:rFonts w:ascii="Times New Roman" w:hAnsi="Times New Roman"/>
          <w:color w:val="000000"/>
          <w:lang w:val="uk-UA"/>
        </w:rPr>
        <w:t xml:space="preserve">    </w:t>
      </w:r>
      <w:r w:rsidRPr="00E16672">
        <w:rPr>
          <w:rFonts w:ascii="Times New Roman" w:hAnsi="Times New Roman"/>
          <w:color w:val="000000"/>
          <w:lang w:val="uk-UA"/>
        </w:rPr>
        <w:t xml:space="preserve">” _______ </w:t>
      </w:r>
      <w:r>
        <w:rPr>
          <w:rFonts w:ascii="Times New Roman" w:hAnsi="Times New Roman"/>
          <w:color w:val="000000"/>
          <w:lang w:val="uk-UA"/>
        </w:rPr>
        <w:t>20</w:t>
      </w:r>
      <w:r w:rsidRPr="00E16672">
        <w:rPr>
          <w:rFonts w:ascii="Times New Roman" w:hAnsi="Times New Roman"/>
          <w:color w:val="000000"/>
          <w:lang w:val="uk-UA"/>
        </w:rPr>
        <w:t>____ р.</w:t>
      </w:r>
      <w:r w:rsidRPr="00E16672">
        <w:rPr>
          <w:rFonts w:ascii="Times New Roman" w:hAnsi="Times New Roman"/>
          <w:color w:val="000000"/>
          <w:lang w:val="uk-UA"/>
        </w:rPr>
        <w:tab/>
      </w:r>
      <w:r w:rsidRPr="00E16672">
        <w:rPr>
          <w:rFonts w:ascii="Times New Roman" w:hAnsi="Times New Roman"/>
          <w:color w:val="000000"/>
          <w:lang w:val="uk-UA"/>
        </w:rPr>
        <w:tab/>
      </w:r>
    </w:p>
    <w:p w14:paraId="79895E7B" w14:textId="77777777" w:rsidR="00602650" w:rsidRPr="00E16672" w:rsidRDefault="00602650" w:rsidP="00602650">
      <w:pPr>
        <w:rPr>
          <w:rFonts w:ascii="Times New Roman" w:hAnsi="Times New Roman"/>
          <w:color w:val="000000"/>
          <w:sz w:val="28"/>
          <w:lang w:val="uk-UA"/>
        </w:rPr>
      </w:pPr>
    </w:p>
    <w:p w14:paraId="25FA8980" w14:textId="77777777" w:rsidR="00B904F4" w:rsidRPr="00E16672" w:rsidRDefault="00B904F4" w:rsidP="00B904F4">
      <w:pPr>
        <w:rPr>
          <w:rFonts w:ascii="Times New Roman" w:hAnsi="Times New Roman"/>
          <w:color w:val="000000"/>
          <w:sz w:val="28"/>
          <w:lang w:val="uk-UA"/>
        </w:rPr>
      </w:pPr>
    </w:p>
    <w:p w14:paraId="1779ADDF" w14:textId="77777777" w:rsidR="00B904F4" w:rsidRPr="00E16672" w:rsidRDefault="00B904F4" w:rsidP="00B904F4">
      <w:pPr>
        <w:rPr>
          <w:rFonts w:ascii="Times New Roman" w:hAnsi="Times New Roman"/>
          <w:color w:val="000000"/>
          <w:sz w:val="28"/>
          <w:lang w:val="uk-UA"/>
        </w:rPr>
      </w:pPr>
    </w:p>
    <w:p w14:paraId="32100A98" w14:textId="77777777" w:rsidR="00B904F4" w:rsidRPr="00E16672" w:rsidRDefault="00B904F4" w:rsidP="00B904F4">
      <w:pPr>
        <w:jc w:val="center"/>
        <w:rPr>
          <w:rFonts w:ascii="Times New Roman" w:hAnsi="Times New Roman"/>
          <w:color w:val="000000"/>
          <w:sz w:val="32"/>
          <w:szCs w:val="32"/>
          <w:lang w:val="uk-UA"/>
        </w:rPr>
      </w:pPr>
    </w:p>
    <w:p w14:paraId="2C73471B" w14:textId="77777777" w:rsidR="001A2DB1" w:rsidRPr="00E16672" w:rsidRDefault="001A2DB1" w:rsidP="001A2DB1">
      <w:pPr>
        <w:jc w:val="center"/>
        <w:rPr>
          <w:rFonts w:ascii="Times New Roman" w:hAnsi="Times New Roman"/>
          <w:sz w:val="28"/>
          <w:lang w:val="uk-UA"/>
        </w:rPr>
      </w:pPr>
      <w:r w:rsidRPr="00E16672">
        <w:rPr>
          <w:rFonts w:ascii="Times New Roman" w:hAnsi="Times New Roman"/>
          <w:sz w:val="32"/>
          <w:szCs w:val="32"/>
          <w:lang w:val="uk-UA"/>
        </w:rPr>
        <w:t>Видано</w:t>
      </w:r>
      <w:r w:rsidRPr="00E16672">
        <w:rPr>
          <w:rFonts w:ascii="Times New Roman" w:hAnsi="Times New Roman"/>
          <w:sz w:val="28"/>
          <w:lang w:val="uk-UA"/>
        </w:rPr>
        <w:t xml:space="preserve"> </w:t>
      </w:r>
    </w:p>
    <w:p w14:paraId="5D7BA123" w14:textId="77777777" w:rsidR="001A2DB1" w:rsidRPr="00E16672" w:rsidRDefault="001A2DB1" w:rsidP="001A2DB1">
      <w:pPr>
        <w:jc w:val="center"/>
        <w:rPr>
          <w:rFonts w:ascii="Times New Roman" w:hAnsi="Times New Roman"/>
          <w:sz w:val="28"/>
          <w:lang w:val="uk-UA"/>
        </w:rPr>
      </w:pPr>
      <w:r w:rsidRPr="00E16672">
        <w:rPr>
          <w:rFonts w:ascii="Times New Roman" w:hAnsi="Times New Roman"/>
          <w:sz w:val="28"/>
          <w:lang w:val="uk-UA"/>
        </w:rPr>
        <w:t>__________________________________________________</w:t>
      </w:r>
    </w:p>
    <w:p w14:paraId="6AE19CBF" w14:textId="77777777" w:rsidR="001A2DB1" w:rsidRPr="00E16672" w:rsidRDefault="001A2DB1" w:rsidP="001A2DB1">
      <w:pPr>
        <w:jc w:val="center"/>
        <w:rPr>
          <w:rFonts w:ascii="Times New Roman" w:hAnsi="Times New Roman"/>
          <w:i/>
          <w:szCs w:val="20"/>
          <w:lang w:val="uk-UA"/>
        </w:rPr>
      </w:pPr>
      <w:r w:rsidRPr="00E16672">
        <w:rPr>
          <w:rFonts w:ascii="Times New Roman" w:hAnsi="Times New Roman"/>
          <w:i/>
          <w:szCs w:val="20"/>
          <w:lang w:val="uk-UA"/>
        </w:rPr>
        <w:t xml:space="preserve"> (найменування, код за ЄДРПОУ)</w:t>
      </w:r>
    </w:p>
    <w:p w14:paraId="6C472DD7" w14:textId="77777777" w:rsidR="001A2DB1" w:rsidRPr="00E16672" w:rsidRDefault="001A2DB1" w:rsidP="001A2DB1">
      <w:pPr>
        <w:jc w:val="center"/>
        <w:rPr>
          <w:rFonts w:ascii="Times New Roman" w:hAnsi="Times New Roman"/>
          <w:sz w:val="28"/>
          <w:lang w:val="uk-UA"/>
        </w:rPr>
      </w:pPr>
    </w:p>
    <w:p w14:paraId="01B68506" w14:textId="77777777" w:rsidR="001A2DB1" w:rsidRPr="00E16672" w:rsidRDefault="001A2DB1" w:rsidP="001A2DB1">
      <w:pPr>
        <w:jc w:val="center"/>
        <w:rPr>
          <w:rFonts w:ascii="Times New Roman" w:hAnsi="Times New Roman"/>
          <w:sz w:val="28"/>
          <w:lang w:val="uk-UA"/>
        </w:rPr>
      </w:pPr>
      <w:r w:rsidRPr="00E16672">
        <w:rPr>
          <w:rFonts w:ascii="Times New Roman" w:hAnsi="Times New Roman"/>
          <w:sz w:val="28"/>
          <w:lang w:val="uk-UA"/>
        </w:rPr>
        <w:t>в тому, що йому __.__.20__ р. закрито рахунок у цінних паперах №</w:t>
      </w:r>
    </w:p>
    <w:p w14:paraId="5219EAA8" w14:textId="77777777" w:rsidR="00B904F4" w:rsidRPr="00E16672" w:rsidRDefault="00B904F4" w:rsidP="00B904F4">
      <w:pPr>
        <w:jc w:val="center"/>
        <w:rPr>
          <w:rFonts w:ascii="Times New Roman" w:hAnsi="Times New Roman"/>
          <w:color w:val="000000"/>
          <w:sz w:val="28"/>
          <w:lang w:val="uk-UA"/>
        </w:rPr>
      </w:pPr>
    </w:p>
    <w:p w14:paraId="474C00B5" w14:textId="77777777" w:rsidR="00B904F4" w:rsidRPr="00E16672" w:rsidRDefault="00B904F4" w:rsidP="00B904F4">
      <w:pPr>
        <w:jc w:val="center"/>
        <w:rPr>
          <w:rFonts w:ascii="Times New Roman" w:hAnsi="Times New Roman"/>
          <w:color w:val="000000"/>
          <w:sz w:val="28"/>
          <w:lang w:val="uk-UA"/>
        </w:rPr>
      </w:pPr>
    </w:p>
    <w:p w14:paraId="49C3E9C8" w14:textId="77777777" w:rsidR="00B904F4" w:rsidRPr="00E16672" w:rsidRDefault="00B904F4" w:rsidP="00B904F4">
      <w:pPr>
        <w:jc w:val="center"/>
        <w:rPr>
          <w:rFonts w:ascii="Times New Roman" w:hAnsi="Times New Roman"/>
          <w:color w:val="000000"/>
          <w:sz w:val="28"/>
          <w:lang w:val="uk-UA"/>
        </w:rPr>
      </w:pPr>
      <w:r w:rsidRPr="00E16672">
        <w:rPr>
          <w:rFonts w:ascii="Times New Roman" w:hAnsi="Times New Roman"/>
          <w:color w:val="000000"/>
          <w:sz w:val="28"/>
          <w:lang w:val="uk-UA"/>
        </w:rPr>
        <w:t xml:space="preserve"> </w:t>
      </w:r>
      <w:r w:rsidR="006E3B0B">
        <w:rPr>
          <w:rFonts w:ascii="Times New Roman" w:hAnsi="Times New Roman"/>
          <w:b/>
          <w:sz w:val="28"/>
        </w:rPr>
        <w:t>401265</w:t>
      </w:r>
      <w:r w:rsidR="001A2DB1" w:rsidRPr="00E16672">
        <w:rPr>
          <w:rFonts w:ascii="Times New Roman" w:hAnsi="Times New Roman"/>
          <w:b/>
          <w:sz w:val="28"/>
        </w:rPr>
        <w:t xml:space="preserve">- </w:t>
      </w:r>
      <w:r w:rsidR="001A2DB1" w:rsidRPr="00E16672">
        <w:rPr>
          <w:rFonts w:ascii="Times New Roman" w:hAnsi="Times New Roman"/>
          <w:b/>
          <w:sz w:val="28"/>
          <w:lang w:val="uk-UA"/>
        </w:rPr>
        <w:t>__________</w:t>
      </w:r>
      <w:proofErr w:type="gramStart"/>
      <w:r w:rsidR="001A2DB1" w:rsidRPr="00E16672">
        <w:rPr>
          <w:rFonts w:ascii="Times New Roman" w:hAnsi="Times New Roman"/>
          <w:b/>
          <w:sz w:val="28"/>
          <w:lang w:val="uk-UA"/>
        </w:rPr>
        <w:t>_.</w:t>
      </w:r>
      <w:r w:rsidR="001A2DB1" w:rsidRPr="00E16672">
        <w:rPr>
          <w:rFonts w:ascii="Times New Roman" w:hAnsi="Times New Roman"/>
          <w:color w:val="000000"/>
          <w:sz w:val="28"/>
          <w:lang w:val="uk-UA"/>
        </w:rPr>
        <w:t>.</w:t>
      </w:r>
      <w:proofErr w:type="gramEnd"/>
    </w:p>
    <w:p w14:paraId="7BEC892D" w14:textId="77777777" w:rsidR="00B904F4" w:rsidRPr="00E16672" w:rsidRDefault="00B904F4" w:rsidP="00B904F4">
      <w:pPr>
        <w:rPr>
          <w:rFonts w:ascii="Times New Roman" w:hAnsi="Times New Roman"/>
          <w:color w:val="000000"/>
          <w:sz w:val="28"/>
          <w:lang w:val="uk-UA"/>
        </w:rPr>
      </w:pPr>
    </w:p>
    <w:p w14:paraId="3C57764A" w14:textId="77777777" w:rsidR="00B904F4" w:rsidRPr="00E16672" w:rsidRDefault="00B904F4" w:rsidP="00B904F4">
      <w:pPr>
        <w:rPr>
          <w:rFonts w:ascii="Times New Roman" w:hAnsi="Times New Roman"/>
          <w:color w:val="000000"/>
          <w:sz w:val="28"/>
          <w:lang w:val="uk-UA"/>
        </w:rPr>
      </w:pPr>
    </w:p>
    <w:p w14:paraId="0261C0F0" w14:textId="77777777" w:rsidR="00B904F4" w:rsidRPr="00E16672" w:rsidRDefault="00B904F4" w:rsidP="00B904F4">
      <w:pPr>
        <w:rPr>
          <w:rFonts w:ascii="Times New Roman" w:hAnsi="Times New Roman"/>
          <w:color w:val="000000"/>
          <w:sz w:val="28"/>
          <w:lang w:val="uk-UA"/>
        </w:rPr>
      </w:pPr>
    </w:p>
    <w:p w14:paraId="7B3378AC" w14:textId="77777777" w:rsidR="00B904F4" w:rsidRPr="00E16672" w:rsidRDefault="00B904F4" w:rsidP="00B904F4">
      <w:pPr>
        <w:rPr>
          <w:rFonts w:ascii="Times New Roman" w:hAnsi="Times New Roman"/>
          <w:color w:val="000000"/>
          <w:sz w:val="28"/>
          <w:lang w:val="uk-UA"/>
        </w:rPr>
      </w:pPr>
    </w:p>
    <w:p w14:paraId="00A95541" w14:textId="77777777" w:rsidR="00B904F4" w:rsidRPr="00E16672" w:rsidRDefault="00B904F4" w:rsidP="00B904F4">
      <w:pPr>
        <w:rPr>
          <w:rFonts w:ascii="Times New Roman" w:hAnsi="Times New Roman"/>
          <w:color w:val="000000"/>
          <w:sz w:val="28"/>
          <w:lang w:val="uk-UA"/>
        </w:rPr>
      </w:pPr>
    </w:p>
    <w:p w14:paraId="7B383EE7" w14:textId="77777777" w:rsidR="001A2DB1" w:rsidRPr="00E16672" w:rsidRDefault="001A2DB1" w:rsidP="001A2DB1">
      <w:pPr>
        <w:rPr>
          <w:rFonts w:ascii="Times New Roman" w:hAnsi="Times New Roman"/>
          <w:sz w:val="28"/>
          <w:lang w:val="uk-UA"/>
        </w:rPr>
      </w:pPr>
      <w:r w:rsidRPr="00E16672">
        <w:rPr>
          <w:rFonts w:ascii="Times New Roman" w:hAnsi="Times New Roman"/>
          <w:sz w:val="28"/>
          <w:lang w:val="uk-UA"/>
        </w:rPr>
        <w:t>Підпис відповідальної</w:t>
      </w:r>
    </w:p>
    <w:p w14:paraId="37D22F23" w14:textId="77777777" w:rsidR="001A2DB1" w:rsidRPr="00E16672" w:rsidRDefault="001A2DB1" w:rsidP="001A2DB1">
      <w:pPr>
        <w:rPr>
          <w:rFonts w:ascii="Times New Roman" w:hAnsi="Times New Roman"/>
          <w:sz w:val="28"/>
          <w:u w:val="single"/>
          <w:lang w:val="uk-UA"/>
        </w:rPr>
      </w:pPr>
      <w:r w:rsidRPr="00E16672">
        <w:rPr>
          <w:rFonts w:ascii="Times New Roman" w:hAnsi="Times New Roman"/>
          <w:sz w:val="28"/>
          <w:lang w:val="uk-UA"/>
        </w:rPr>
        <w:t xml:space="preserve">особи Депозитарної установи        _________________     </w:t>
      </w:r>
      <w:r w:rsidRPr="00E16672">
        <w:rPr>
          <w:rFonts w:ascii="Times New Roman" w:hAnsi="Times New Roman"/>
          <w:sz w:val="28"/>
          <w:u w:val="single"/>
          <w:lang w:val="uk-UA"/>
        </w:rPr>
        <w:t>_____________</w:t>
      </w:r>
    </w:p>
    <w:p w14:paraId="15672377" w14:textId="77777777" w:rsidR="00B904F4" w:rsidRPr="00E16672" w:rsidRDefault="001A2DB1" w:rsidP="00B904F4">
      <w:pPr>
        <w:rPr>
          <w:rFonts w:ascii="Times New Roman" w:hAnsi="Times New Roman"/>
          <w:b/>
          <w:color w:val="000000"/>
          <w:sz w:val="36"/>
          <w:lang w:val="uk-UA"/>
        </w:rPr>
      </w:pPr>
      <w:r w:rsidRPr="00E16672">
        <w:rPr>
          <w:rFonts w:ascii="Times New Roman" w:hAnsi="Times New Roman"/>
          <w:sz w:val="28"/>
          <w:lang w:val="uk-UA"/>
        </w:rPr>
        <w:tab/>
      </w:r>
      <w:r w:rsidRPr="00E16672">
        <w:rPr>
          <w:rFonts w:ascii="Times New Roman" w:hAnsi="Times New Roman"/>
          <w:sz w:val="28"/>
          <w:lang w:val="uk-UA"/>
        </w:rPr>
        <w:tab/>
      </w:r>
      <w:r w:rsidRPr="00E16672">
        <w:rPr>
          <w:rFonts w:ascii="Times New Roman" w:hAnsi="Times New Roman"/>
          <w:sz w:val="28"/>
          <w:lang w:val="uk-UA"/>
        </w:rPr>
        <w:tab/>
      </w:r>
      <w:r w:rsidRPr="00E16672">
        <w:rPr>
          <w:rFonts w:ascii="Times New Roman" w:hAnsi="Times New Roman"/>
          <w:sz w:val="28"/>
          <w:lang w:val="uk-UA"/>
        </w:rPr>
        <w:tab/>
      </w:r>
      <w:r w:rsidRPr="00E16672">
        <w:rPr>
          <w:rFonts w:ascii="Times New Roman" w:hAnsi="Times New Roman"/>
          <w:sz w:val="28"/>
          <w:lang w:val="uk-UA"/>
        </w:rPr>
        <w:tab/>
      </w:r>
      <w:r w:rsidRPr="00E16672">
        <w:rPr>
          <w:rFonts w:ascii="Times New Roman" w:hAnsi="Times New Roman"/>
          <w:i/>
          <w:sz w:val="28"/>
          <w:lang w:val="uk-UA"/>
        </w:rPr>
        <w:t xml:space="preserve">                      В.П., підпис</w:t>
      </w:r>
      <w:r w:rsidRPr="00E16672">
        <w:rPr>
          <w:rFonts w:ascii="Times New Roman" w:hAnsi="Times New Roman"/>
          <w:i/>
          <w:sz w:val="28"/>
          <w:lang w:val="uk-UA"/>
        </w:rPr>
        <w:tab/>
      </w:r>
      <w:r w:rsidRPr="00E16672">
        <w:rPr>
          <w:rFonts w:ascii="Times New Roman" w:hAnsi="Times New Roman"/>
          <w:i/>
          <w:sz w:val="28"/>
          <w:lang w:val="uk-UA"/>
        </w:rPr>
        <w:tab/>
        <w:t xml:space="preserve">       ПІБ</w:t>
      </w:r>
      <w:r w:rsidRPr="00E16672" w:rsidDel="001A2DB1">
        <w:rPr>
          <w:rFonts w:ascii="Times New Roman" w:hAnsi="Times New Roman"/>
          <w:b/>
          <w:bCs/>
          <w:sz w:val="26"/>
          <w:szCs w:val="26"/>
          <w:lang w:val="uk-UA"/>
        </w:rPr>
        <w:t xml:space="preserve"> </w:t>
      </w:r>
    </w:p>
    <w:p w14:paraId="30C8463A" w14:textId="77777777" w:rsidR="00B904F4" w:rsidRPr="00E16672" w:rsidRDefault="00B904F4" w:rsidP="00B904F4">
      <w:pPr>
        <w:rPr>
          <w:rFonts w:ascii="Times New Roman" w:hAnsi="Times New Roman"/>
          <w:b/>
          <w:color w:val="000000"/>
          <w:sz w:val="36"/>
          <w:lang w:val="uk-UA"/>
        </w:rPr>
      </w:pPr>
    </w:p>
    <w:p w14:paraId="0E3AE92E" w14:textId="77777777" w:rsidR="00B904F4" w:rsidRPr="00E16672" w:rsidRDefault="00B904F4" w:rsidP="00B904F4">
      <w:pPr>
        <w:rPr>
          <w:rFonts w:ascii="Times New Roman" w:hAnsi="Times New Roman"/>
          <w:b/>
          <w:color w:val="000000"/>
          <w:sz w:val="36"/>
          <w:lang w:val="uk-UA"/>
        </w:rPr>
      </w:pPr>
    </w:p>
    <w:p w14:paraId="05102F7B" w14:textId="77777777" w:rsidR="00B904F4" w:rsidRPr="00E16672" w:rsidRDefault="007D0843" w:rsidP="00B904F4">
      <w:pPr>
        <w:rPr>
          <w:rFonts w:ascii="Times New Roman" w:hAnsi="Times New Roman"/>
          <w:b/>
          <w:color w:val="000000"/>
          <w:sz w:val="36"/>
          <w:lang w:val="uk-UA"/>
        </w:rPr>
      </w:pPr>
      <w:r>
        <w:rPr>
          <w:rFonts w:ascii="Times New Roman" w:hAnsi="Times New Roman"/>
          <w:noProof/>
          <w:color w:val="000000"/>
          <w:lang w:val="uk-UA" w:eastAsia="uk-UA"/>
        </w:rPr>
        <w:pict w14:anchorId="7E6F2E3C">
          <v:line id="Прямая соединительная линия 16" o:spid="_x0000_s1035" style="position:absolute;left:0;text-align:left;flip:y;z-index:2516776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6.2pt" to="546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" strokeweight=".26mm">
            <w10:wrap anchorx="margin"/>
          </v:line>
        </w:pict>
      </w:r>
    </w:p>
    <w:p w14:paraId="58FA23C6" w14:textId="77777777" w:rsidR="00C30CB6" w:rsidRPr="00E16672" w:rsidRDefault="00C30CB6" w:rsidP="00C30CB6">
      <w:pPr>
        <w:tabs>
          <w:tab w:val="left" w:pos="5460"/>
        </w:tabs>
        <w:rPr>
          <w:rFonts w:ascii="Times New Roman" w:hAnsi="Times New Roman"/>
          <w:b/>
          <w:color w:val="000000"/>
          <w:sz w:val="36"/>
          <w:lang w:val="uk-UA"/>
        </w:rPr>
      </w:pPr>
    </w:p>
    <w:p w14:paraId="0F3B5593" w14:textId="77777777" w:rsidR="00602650" w:rsidRDefault="00602650" w:rsidP="00C30CB6">
      <w:pPr>
        <w:rPr>
          <w:rFonts w:ascii="Times New Roman" w:hAnsi="Times New Roman"/>
          <w:bCs/>
          <w:color w:val="000000"/>
          <w:szCs w:val="20"/>
          <w:lang w:val="uk-UA"/>
        </w:rPr>
      </w:pPr>
    </w:p>
    <w:p w14:paraId="724E986E" w14:textId="77777777" w:rsidR="00602650" w:rsidRDefault="00602650" w:rsidP="00C30CB6">
      <w:pPr>
        <w:rPr>
          <w:rFonts w:ascii="Times New Roman" w:hAnsi="Times New Roman"/>
          <w:bCs/>
          <w:color w:val="000000"/>
          <w:szCs w:val="20"/>
          <w:lang w:val="uk-UA"/>
        </w:rPr>
      </w:pPr>
    </w:p>
    <w:p w14:paraId="4C3A9E5C" w14:textId="77777777" w:rsidR="00602650" w:rsidRDefault="00602650" w:rsidP="00C30CB6">
      <w:pPr>
        <w:rPr>
          <w:rFonts w:ascii="Times New Roman" w:hAnsi="Times New Roman"/>
          <w:bCs/>
          <w:color w:val="000000"/>
          <w:szCs w:val="20"/>
          <w:lang w:val="uk-UA"/>
        </w:rPr>
      </w:pPr>
    </w:p>
    <w:p w14:paraId="7FDA068F" w14:textId="77777777" w:rsidR="00602650" w:rsidRDefault="00602650" w:rsidP="00C30CB6">
      <w:pPr>
        <w:rPr>
          <w:rFonts w:ascii="Times New Roman" w:hAnsi="Times New Roman"/>
          <w:bCs/>
          <w:color w:val="000000"/>
          <w:szCs w:val="20"/>
          <w:lang w:val="uk-UA"/>
        </w:rPr>
      </w:pPr>
    </w:p>
    <w:p w14:paraId="6A3AA5AA" w14:textId="77777777" w:rsidR="00F864F1" w:rsidRDefault="00F864F1" w:rsidP="00C30CB6">
      <w:pPr>
        <w:rPr>
          <w:rFonts w:ascii="Times New Roman" w:hAnsi="Times New Roman"/>
          <w:bCs/>
          <w:color w:val="000000"/>
          <w:szCs w:val="20"/>
          <w:lang w:val="uk-UA"/>
        </w:rPr>
      </w:pPr>
    </w:p>
    <w:p w14:paraId="66F26590" w14:textId="77777777" w:rsidR="00F864F1" w:rsidRDefault="00F864F1" w:rsidP="00C30CB6">
      <w:pPr>
        <w:rPr>
          <w:rFonts w:ascii="Times New Roman" w:hAnsi="Times New Roman"/>
          <w:bCs/>
          <w:color w:val="000000"/>
          <w:szCs w:val="20"/>
          <w:lang w:val="uk-UA"/>
        </w:rPr>
      </w:pPr>
    </w:p>
    <w:p w14:paraId="7C2F3A59" w14:textId="77777777" w:rsidR="00F864F1" w:rsidRDefault="00F864F1" w:rsidP="00C30CB6">
      <w:pPr>
        <w:rPr>
          <w:rFonts w:ascii="Times New Roman" w:hAnsi="Times New Roman"/>
          <w:bCs/>
          <w:color w:val="000000"/>
          <w:szCs w:val="20"/>
          <w:lang w:val="uk-UA"/>
        </w:rPr>
      </w:pPr>
    </w:p>
    <w:p w14:paraId="3ADE5DE5" w14:textId="77777777" w:rsidR="00602650" w:rsidRDefault="00602650" w:rsidP="00C30CB6">
      <w:pPr>
        <w:rPr>
          <w:rFonts w:ascii="Times New Roman" w:hAnsi="Times New Roman"/>
          <w:bCs/>
          <w:color w:val="000000"/>
          <w:szCs w:val="20"/>
          <w:lang w:val="uk-UA"/>
        </w:rPr>
      </w:pPr>
    </w:p>
    <w:p w14:paraId="7FC4F3E1" w14:textId="77777777" w:rsidR="00602650" w:rsidRDefault="00602650" w:rsidP="00C30CB6">
      <w:pPr>
        <w:rPr>
          <w:rFonts w:ascii="Times New Roman" w:hAnsi="Times New Roman"/>
          <w:bCs/>
          <w:color w:val="000000"/>
          <w:szCs w:val="20"/>
          <w:lang w:val="uk-UA"/>
        </w:rPr>
      </w:pPr>
    </w:p>
    <w:p w14:paraId="41CCE8D6" w14:textId="77777777" w:rsidR="00602650" w:rsidRDefault="00602650" w:rsidP="00C30CB6">
      <w:pPr>
        <w:rPr>
          <w:rFonts w:ascii="Times New Roman" w:hAnsi="Times New Roman"/>
          <w:bCs/>
          <w:color w:val="000000"/>
          <w:szCs w:val="20"/>
          <w:lang w:val="uk-UA"/>
        </w:rPr>
      </w:pPr>
    </w:p>
    <w:p w14:paraId="6D0D3B5F" w14:textId="77777777" w:rsidR="00C30CB6" w:rsidRPr="00E16672" w:rsidRDefault="007D0843" w:rsidP="00C30CB6">
      <w:pPr>
        <w:rPr>
          <w:rFonts w:ascii="Times New Roman" w:hAnsi="Times New Roman"/>
          <w:bCs/>
          <w:color w:val="000000"/>
          <w:szCs w:val="20"/>
          <w:lang w:val="uk-UA"/>
        </w:rPr>
      </w:pPr>
      <w:r>
        <w:rPr>
          <w:rFonts w:ascii="Times New Roman" w:hAnsi="Times New Roman"/>
          <w:noProof/>
          <w:lang w:val="uk-UA" w:eastAsia="uk-UA"/>
        </w:rPr>
        <w:lastRenderedPageBreak/>
        <w:pict w14:anchorId="0A4DA94A">
          <v:line id="Прямая соединительная линия 9" o:spid="_x0000_s1034" style="position:absolute;left:0;text-align:left;flip:x;z-index:251671552;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page;mso-height-relative:page" from="0,2.05pt" to="0,65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" strokeweight=".26mm">
            <w10:wrap anchorx="margin"/>
          </v:line>
        </w:pict>
      </w:r>
      <w:r>
        <w:rPr>
          <w:rFonts w:ascii="Times New Roman" w:hAnsi="Times New Roman"/>
          <w:noProof/>
          <w:lang w:val="uk-UA" w:eastAsia="uk-UA"/>
        </w:rPr>
        <w:pict w14:anchorId="6064282A">
          <v:line id="Прямая соединительная линия 10" o:spid="_x0000_s1033" style="position:absolute;left:0;text-align:lef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2.8pt" to=".25pt,65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" strokeweight=".26mm"/>
        </w:pict>
      </w:r>
      <w:r>
        <w:rPr>
          <w:rFonts w:ascii="Times New Roman" w:hAnsi="Times New Roman"/>
          <w:noProof/>
          <w:lang w:val="uk-UA" w:eastAsia="uk-UA"/>
        </w:rPr>
        <w:pict w14:anchorId="7D65BA81">
          <v:line id="Прямая соединительная линия 11" o:spid="_x0000_s1032" style="position:absolute;left:0;text-align:lef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1.85pt" to="546.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" strokeweight=".26mm"/>
        </w:pict>
      </w:r>
    </w:p>
    <w:p w14:paraId="2FAB9F5A" w14:textId="77777777" w:rsidR="00C30CB6" w:rsidRPr="00F864F1" w:rsidRDefault="00C30CB6" w:rsidP="00F864F1">
      <w:pPr>
        <w:ind w:left="142" w:hanging="142"/>
        <w:jc w:val="center"/>
        <w:rPr>
          <w:rFonts w:ascii="Times New Roman" w:hAnsi="Times New Roman"/>
          <w:b/>
          <w:bCs/>
          <w:color w:val="000000"/>
          <w:sz w:val="18"/>
          <w:szCs w:val="18"/>
          <w:lang w:val="uk-UA"/>
        </w:rPr>
      </w:pPr>
      <w:r w:rsidRPr="00F864F1">
        <w:rPr>
          <w:rFonts w:ascii="Times New Roman" w:hAnsi="Times New Roman"/>
          <w:b/>
          <w:bCs/>
          <w:color w:val="000000"/>
          <w:sz w:val="18"/>
          <w:szCs w:val="18"/>
          <w:lang w:val="uk-UA"/>
        </w:rPr>
        <w:t xml:space="preserve">Депозитарна установа ТОВ </w:t>
      </w:r>
      <w:r w:rsidR="00022F5F" w:rsidRPr="00F864F1">
        <w:rPr>
          <w:rFonts w:ascii="Times New Roman" w:hAnsi="Times New Roman"/>
          <w:b/>
          <w:bCs/>
          <w:color w:val="000000"/>
          <w:sz w:val="18"/>
          <w:szCs w:val="18"/>
          <w:lang w:val="uk-UA"/>
        </w:rPr>
        <w:t>"</w:t>
      </w:r>
      <w:r w:rsidR="00E16672" w:rsidRPr="00F864F1">
        <w:rPr>
          <w:rFonts w:ascii="Times New Roman" w:hAnsi="Times New Roman"/>
          <w:b/>
          <w:bCs/>
          <w:color w:val="000000"/>
          <w:sz w:val="18"/>
          <w:szCs w:val="18"/>
          <w:lang w:val="uk-UA"/>
        </w:rPr>
        <w:t>КОМЕКС ЦІННІ ПАПЕРИ</w:t>
      </w:r>
      <w:r w:rsidR="00022F5F" w:rsidRPr="00F864F1">
        <w:rPr>
          <w:rFonts w:ascii="Times New Roman" w:hAnsi="Times New Roman"/>
          <w:b/>
          <w:bCs/>
          <w:color w:val="000000"/>
          <w:sz w:val="18"/>
          <w:szCs w:val="18"/>
          <w:lang w:val="uk-UA"/>
        </w:rPr>
        <w:t>"</w:t>
      </w:r>
      <w:r w:rsidR="001A2DB1" w:rsidRPr="00F864F1">
        <w:rPr>
          <w:rFonts w:ascii="Times New Roman" w:hAnsi="Times New Roman"/>
          <w:b/>
          <w:bCs/>
          <w:color w:val="000000"/>
          <w:sz w:val="18"/>
          <w:szCs w:val="18"/>
          <w:lang w:val="uk-UA"/>
        </w:rPr>
        <w:t xml:space="preserve">,  </w:t>
      </w:r>
      <w:r w:rsidRPr="00F864F1">
        <w:rPr>
          <w:rFonts w:ascii="Times New Roman" w:hAnsi="Times New Roman"/>
          <w:b/>
          <w:bCs/>
          <w:color w:val="000000"/>
          <w:sz w:val="18"/>
          <w:szCs w:val="18"/>
          <w:lang w:val="uk-UA"/>
        </w:rPr>
        <w:t xml:space="preserve">ЄДРПОУ </w:t>
      </w:r>
      <w:r w:rsidR="00E16672" w:rsidRPr="00F864F1">
        <w:rPr>
          <w:rFonts w:ascii="Times New Roman" w:hAnsi="Times New Roman"/>
          <w:b/>
          <w:bCs/>
          <w:color w:val="000000"/>
          <w:sz w:val="18"/>
          <w:szCs w:val="18"/>
          <w:lang w:val="uk-UA"/>
        </w:rPr>
        <w:t>33153077</w:t>
      </w:r>
    </w:p>
    <w:p w14:paraId="660D12A4" w14:textId="77777777" w:rsidR="00C30CB6" w:rsidRPr="00E16672" w:rsidRDefault="00C30CB6" w:rsidP="00C30CB6">
      <w:pPr>
        <w:ind w:left="142" w:hanging="142"/>
        <w:jc w:val="center"/>
        <w:rPr>
          <w:rFonts w:ascii="Times New Roman" w:hAnsi="Times New Roman"/>
          <w:bCs/>
          <w:color w:val="000000"/>
          <w:sz w:val="18"/>
          <w:szCs w:val="18"/>
          <w:lang w:val="uk-UA"/>
        </w:rPr>
      </w:pPr>
      <w:r w:rsidRPr="00E16672">
        <w:rPr>
          <w:rFonts w:ascii="Times New Roman" w:hAnsi="Times New Roman"/>
          <w:bCs/>
          <w:color w:val="000000"/>
          <w:sz w:val="18"/>
          <w:szCs w:val="18"/>
          <w:lang w:val="uk-UA"/>
        </w:rPr>
        <w:t>Ліцензія серія АЕ №</w:t>
      </w:r>
      <w:r w:rsidR="00E16672" w:rsidRPr="00E16672">
        <w:rPr>
          <w:rFonts w:ascii="Times New Roman" w:hAnsi="Times New Roman"/>
          <w:bCs/>
          <w:color w:val="000000"/>
          <w:sz w:val="18"/>
          <w:szCs w:val="18"/>
          <w:lang w:val="uk-UA"/>
        </w:rPr>
        <w:t>263429</w:t>
      </w:r>
      <w:r w:rsidRPr="00E16672">
        <w:rPr>
          <w:rFonts w:ascii="Times New Roman" w:hAnsi="Times New Roman"/>
          <w:bCs/>
          <w:color w:val="000000"/>
          <w:sz w:val="18"/>
          <w:szCs w:val="18"/>
          <w:lang w:val="uk-UA"/>
        </w:rPr>
        <w:t xml:space="preserve"> від </w:t>
      </w:r>
      <w:r w:rsidR="006E3B0B">
        <w:rPr>
          <w:rFonts w:ascii="Times New Roman" w:hAnsi="Times New Roman"/>
          <w:bCs/>
          <w:color w:val="000000"/>
          <w:sz w:val="18"/>
          <w:szCs w:val="18"/>
          <w:lang w:val="uk-UA"/>
        </w:rPr>
        <w:t>01 жовтня 2013</w:t>
      </w:r>
      <w:r w:rsidRPr="00E16672">
        <w:rPr>
          <w:rFonts w:ascii="Times New Roman" w:hAnsi="Times New Roman"/>
          <w:bCs/>
          <w:color w:val="000000"/>
          <w:sz w:val="18"/>
          <w:szCs w:val="18"/>
          <w:lang w:val="uk-UA"/>
        </w:rPr>
        <w:t xml:space="preserve"> р.,</w:t>
      </w:r>
    </w:p>
    <w:p w14:paraId="1E90FA57" w14:textId="77777777" w:rsidR="00C30CB6" w:rsidRPr="00E16672" w:rsidRDefault="00C30CB6" w:rsidP="00C30CB6">
      <w:pPr>
        <w:jc w:val="center"/>
        <w:rPr>
          <w:rFonts w:ascii="Times New Roman" w:hAnsi="Times New Roman"/>
          <w:bCs/>
          <w:sz w:val="18"/>
          <w:szCs w:val="18"/>
          <w:lang w:val="uk-UA"/>
        </w:rPr>
      </w:pPr>
      <w:r w:rsidRPr="00E16672">
        <w:rPr>
          <w:rFonts w:ascii="Times New Roman" w:hAnsi="Times New Roman"/>
          <w:bCs/>
          <w:color w:val="000000"/>
          <w:sz w:val="18"/>
          <w:szCs w:val="18"/>
          <w:lang w:val="uk-UA"/>
        </w:rPr>
        <w:t xml:space="preserve">Адреса: </w:t>
      </w:r>
      <w:r w:rsidR="006E3B0B">
        <w:rPr>
          <w:rFonts w:ascii="Times New Roman" w:hAnsi="Times New Roman"/>
          <w:bCs/>
          <w:sz w:val="18"/>
          <w:szCs w:val="18"/>
          <w:lang w:val="uk-UA"/>
        </w:rPr>
        <w:t xml:space="preserve">03150, </w:t>
      </w:r>
      <w:proofErr w:type="spellStart"/>
      <w:r w:rsidR="006E3B0B">
        <w:rPr>
          <w:rFonts w:ascii="Times New Roman" w:hAnsi="Times New Roman"/>
          <w:bCs/>
          <w:sz w:val="18"/>
          <w:szCs w:val="18"/>
          <w:lang w:val="uk-UA"/>
        </w:rPr>
        <w:t>м.Київ</w:t>
      </w:r>
      <w:proofErr w:type="spellEnd"/>
      <w:r w:rsidR="006E3B0B">
        <w:rPr>
          <w:rFonts w:ascii="Times New Roman" w:hAnsi="Times New Roman"/>
          <w:bCs/>
          <w:sz w:val="18"/>
          <w:szCs w:val="18"/>
          <w:lang w:val="uk-UA"/>
        </w:rPr>
        <w:t>, Велика Васильківська (колишня Червоноармійська) вул., буд. 65</w:t>
      </w:r>
    </w:p>
    <w:p w14:paraId="3AE0B080" w14:textId="77777777" w:rsidR="00C30CB6" w:rsidRPr="00E16672" w:rsidRDefault="00C30CB6" w:rsidP="00C30CB6">
      <w:pPr>
        <w:tabs>
          <w:tab w:val="left" w:pos="288"/>
          <w:tab w:val="left" w:pos="720"/>
          <w:tab w:val="left" w:pos="1008"/>
          <w:tab w:val="left" w:pos="1584"/>
          <w:tab w:val="left" w:pos="2160"/>
          <w:tab w:val="left" w:pos="3600"/>
        </w:tabs>
        <w:ind w:right="1"/>
        <w:jc w:val="center"/>
        <w:rPr>
          <w:rFonts w:ascii="Times New Roman" w:hAnsi="Times New Roman"/>
          <w:bCs/>
          <w:sz w:val="18"/>
          <w:szCs w:val="18"/>
          <w:lang w:val="uk-UA"/>
        </w:rPr>
      </w:pPr>
      <w:r w:rsidRPr="00E16672">
        <w:rPr>
          <w:rFonts w:ascii="Times New Roman" w:hAnsi="Times New Roman"/>
          <w:bCs/>
          <w:sz w:val="18"/>
          <w:szCs w:val="18"/>
          <w:lang w:val="uk-UA"/>
        </w:rPr>
        <w:t>Рахунок в Центральному Депозитарії №100024-UA40</w:t>
      </w:r>
      <w:r w:rsidR="006E3B0B">
        <w:rPr>
          <w:rFonts w:ascii="Times New Roman" w:hAnsi="Times New Roman"/>
          <w:bCs/>
          <w:sz w:val="18"/>
          <w:szCs w:val="18"/>
          <w:lang w:val="uk-UA"/>
        </w:rPr>
        <w:t>401265</w:t>
      </w:r>
      <w:r w:rsidRPr="00E16672">
        <w:rPr>
          <w:rFonts w:ascii="Times New Roman" w:hAnsi="Times New Roman"/>
          <w:bCs/>
          <w:sz w:val="18"/>
          <w:szCs w:val="18"/>
          <w:lang w:val="uk-UA"/>
        </w:rPr>
        <w:t xml:space="preserve">, код МДО </w:t>
      </w:r>
      <w:r w:rsidR="006E3B0B">
        <w:rPr>
          <w:rFonts w:ascii="Times New Roman" w:hAnsi="Times New Roman"/>
          <w:bCs/>
          <w:sz w:val="18"/>
          <w:szCs w:val="18"/>
          <w:lang w:val="uk-UA"/>
        </w:rPr>
        <w:t>401265</w:t>
      </w:r>
    </w:p>
    <w:p w14:paraId="58DFF09F" w14:textId="77777777" w:rsidR="00C30CB6" w:rsidRPr="00E16672" w:rsidRDefault="00C30CB6" w:rsidP="00C30CB6">
      <w:pPr>
        <w:tabs>
          <w:tab w:val="left" w:pos="288"/>
          <w:tab w:val="left" w:pos="720"/>
          <w:tab w:val="left" w:pos="1008"/>
          <w:tab w:val="left" w:pos="1584"/>
          <w:tab w:val="left" w:pos="2160"/>
          <w:tab w:val="left" w:pos="3600"/>
        </w:tabs>
        <w:ind w:right="1"/>
        <w:jc w:val="center"/>
        <w:rPr>
          <w:rFonts w:ascii="Times New Roman" w:hAnsi="Times New Roman"/>
          <w:bCs/>
          <w:sz w:val="18"/>
          <w:szCs w:val="18"/>
          <w:lang w:val="uk-UA"/>
        </w:rPr>
      </w:pPr>
    </w:p>
    <w:p w14:paraId="221EE09A" w14:textId="77777777" w:rsidR="00C30CB6" w:rsidRPr="00E16672" w:rsidRDefault="00C30CB6" w:rsidP="00C30CB6">
      <w:pPr>
        <w:rPr>
          <w:rFonts w:ascii="Times New Roman" w:hAnsi="Times New Roman"/>
          <w:bCs/>
          <w:color w:val="000000"/>
          <w:sz w:val="18"/>
          <w:szCs w:val="18"/>
          <w:lang w:val="uk-UA"/>
        </w:rPr>
      </w:pPr>
    </w:p>
    <w:p w14:paraId="159B2972" w14:textId="77777777" w:rsidR="002506EC" w:rsidRPr="00E16672" w:rsidRDefault="002506EC" w:rsidP="00C30CB6">
      <w:pPr>
        <w:rPr>
          <w:rFonts w:ascii="Times New Roman" w:hAnsi="Times New Roman"/>
          <w:bCs/>
          <w:color w:val="000000"/>
          <w:sz w:val="18"/>
          <w:szCs w:val="18"/>
          <w:lang w:val="uk-UA"/>
        </w:rPr>
      </w:pPr>
    </w:p>
    <w:p w14:paraId="7C91C869" w14:textId="77777777" w:rsidR="001A2DB1" w:rsidRPr="00E16672" w:rsidRDefault="001A2DB1" w:rsidP="001A2DB1">
      <w:pPr>
        <w:rPr>
          <w:rFonts w:ascii="Times New Roman" w:hAnsi="Times New Roman"/>
        </w:rPr>
      </w:pPr>
      <w:proofErr w:type="spellStart"/>
      <w:r w:rsidRPr="00E16672">
        <w:rPr>
          <w:rFonts w:ascii="Times New Roman" w:hAnsi="Times New Roman"/>
        </w:rPr>
        <w:t>Вих</w:t>
      </w:r>
      <w:proofErr w:type="spellEnd"/>
      <w:r w:rsidRPr="00E16672">
        <w:rPr>
          <w:rFonts w:ascii="Times New Roman" w:hAnsi="Times New Roman"/>
        </w:rPr>
        <w:t>. № ____</w:t>
      </w:r>
      <w:r w:rsidRPr="00E16672">
        <w:rPr>
          <w:rFonts w:ascii="Times New Roman" w:hAnsi="Times New Roman"/>
          <w:lang w:val="uk-UA"/>
        </w:rPr>
        <w:t>_____</w:t>
      </w:r>
      <w:r w:rsidRPr="00E16672">
        <w:rPr>
          <w:rFonts w:ascii="Times New Roman" w:hAnsi="Times New Roman"/>
        </w:rPr>
        <w:t>_</w:t>
      </w:r>
    </w:p>
    <w:p w14:paraId="7FC267B7" w14:textId="77777777" w:rsidR="001A2DB1" w:rsidRPr="00E16672" w:rsidRDefault="00602650" w:rsidP="001A2DB1">
      <w:pPr>
        <w:rPr>
          <w:rFonts w:ascii="Times New Roman" w:hAnsi="Times New Roman"/>
          <w:lang w:val="uk-UA"/>
        </w:rPr>
      </w:pPr>
      <w:r>
        <w:rPr>
          <w:rFonts w:ascii="Times New Roman" w:hAnsi="Times New Roman"/>
          <w:lang w:val="uk-UA"/>
        </w:rPr>
        <w:t>в</w:t>
      </w:r>
      <w:r w:rsidR="001A2DB1" w:rsidRPr="00E16672">
        <w:rPr>
          <w:rFonts w:ascii="Times New Roman" w:hAnsi="Times New Roman"/>
          <w:lang w:val="uk-UA"/>
        </w:rPr>
        <w:t>ід _______ 20__р.</w:t>
      </w:r>
    </w:p>
    <w:p w14:paraId="6011D62F" w14:textId="175AA42B" w:rsidR="00C30CB6" w:rsidRPr="00E16672" w:rsidRDefault="00C30CB6" w:rsidP="00C30CB6">
      <w:pPr>
        <w:jc w:val="center"/>
        <w:rPr>
          <w:rFonts w:ascii="Times New Roman" w:hAnsi="Times New Roman"/>
          <w:sz w:val="36"/>
          <w:lang w:val="uk-UA"/>
        </w:rPr>
      </w:pPr>
      <w:r w:rsidRPr="00E16672">
        <w:rPr>
          <w:rFonts w:ascii="Times New Roman" w:hAnsi="Times New Roman"/>
          <w:color w:val="000000"/>
          <w:sz w:val="36"/>
          <w:lang w:val="uk-UA"/>
        </w:rPr>
        <w:t xml:space="preserve">Свідоцтво про закриття рахунку у </w:t>
      </w:r>
      <w:r w:rsidR="00C470B6">
        <w:rPr>
          <w:rFonts w:ascii="Times New Roman" w:hAnsi="Times New Roman"/>
          <w:color w:val="000000"/>
          <w:sz w:val="36"/>
          <w:lang w:val="uk-UA"/>
        </w:rPr>
        <w:t>цінних паперах</w:t>
      </w:r>
    </w:p>
    <w:p w14:paraId="2752A8E9" w14:textId="77777777" w:rsidR="00C30CB6" w:rsidRPr="00E16672" w:rsidRDefault="00C30CB6" w:rsidP="00C30CB6">
      <w:pPr>
        <w:rPr>
          <w:rFonts w:ascii="Times New Roman" w:hAnsi="Times New Roman"/>
          <w:color w:val="000000"/>
          <w:sz w:val="36"/>
          <w:lang w:val="uk-UA"/>
        </w:rPr>
      </w:pPr>
    </w:p>
    <w:p w14:paraId="2926B256" w14:textId="77777777" w:rsidR="002506EC" w:rsidRPr="00E16672" w:rsidRDefault="002506EC" w:rsidP="00C30CB6">
      <w:pPr>
        <w:rPr>
          <w:rFonts w:ascii="Times New Roman" w:hAnsi="Times New Roman"/>
          <w:color w:val="000000"/>
          <w:sz w:val="28"/>
          <w:lang w:val="uk-UA"/>
        </w:rPr>
      </w:pPr>
    </w:p>
    <w:p w14:paraId="4C944FDA" w14:textId="77777777" w:rsidR="00602650" w:rsidRDefault="00602650" w:rsidP="00602650">
      <w:pPr>
        <w:pStyle w:val="mystylen"/>
        <w:keepNext w:val="0"/>
        <w:keepLines w:val="0"/>
        <w:pageBreakBefore w:val="0"/>
        <w:spacing w:before="0" w:after="0"/>
        <w:jc w:val="both"/>
        <w:rPr>
          <w:rFonts w:ascii="Times New Roman" w:hAnsi="Times New Roman"/>
          <w:color w:val="000000"/>
          <w:lang w:val="uk-UA"/>
        </w:rPr>
      </w:pPr>
      <w:r w:rsidRPr="00E16672">
        <w:rPr>
          <w:rFonts w:ascii="Times New Roman" w:hAnsi="Times New Roman"/>
          <w:color w:val="000000"/>
          <w:lang w:val="uk-UA"/>
        </w:rPr>
        <w:t>м. Київ</w:t>
      </w:r>
    </w:p>
    <w:p w14:paraId="70C84A64" w14:textId="77777777" w:rsidR="00602650" w:rsidRPr="00E16672" w:rsidRDefault="00602650" w:rsidP="00602650">
      <w:pPr>
        <w:pStyle w:val="mystylen"/>
        <w:keepNext w:val="0"/>
        <w:keepLines w:val="0"/>
        <w:pageBreakBefore w:val="0"/>
        <w:spacing w:before="0" w:after="0"/>
        <w:jc w:val="both"/>
        <w:rPr>
          <w:rFonts w:ascii="Times New Roman" w:hAnsi="Times New Roman"/>
          <w:color w:val="000000"/>
          <w:lang w:val="uk-UA"/>
        </w:rPr>
      </w:pPr>
      <w:r w:rsidRPr="00E16672">
        <w:rPr>
          <w:rFonts w:ascii="Times New Roman" w:hAnsi="Times New Roman"/>
          <w:color w:val="000000"/>
          <w:lang w:val="uk-UA"/>
        </w:rPr>
        <w:t>“</w:t>
      </w:r>
      <w:r>
        <w:rPr>
          <w:rFonts w:ascii="Times New Roman" w:hAnsi="Times New Roman"/>
          <w:color w:val="000000"/>
          <w:lang w:val="uk-UA"/>
        </w:rPr>
        <w:t xml:space="preserve">    </w:t>
      </w:r>
      <w:r w:rsidRPr="00E16672">
        <w:rPr>
          <w:rFonts w:ascii="Times New Roman" w:hAnsi="Times New Roman"/>
          <w:color w:val="000000"/>
          <w:lang w:val="uk-UA"/>
        </w:rPr>
        <w:t xml:space="preserve">” _______ </w:t>
      </w:r>
      <w:r>
        <w:rPr>
          <w:rFonts w:ascii="Times New Roman" w:hAnsi="Times New Roman"/>
          <w:color w:val="000000"/>
          <w:lang w:val="uk-UA"/>
        </w:rPr>
        <w:t>20</w:t>
      </w:r>
      <w:r w:rsidRPr="00E16672">
        <w:rPr>
          <w:rFonts w:ascii="Times New Roman" w:hAnsi="Times New Roman"/>
          <w:color w:val="000000"/>
          <w:lang w:val="uk-UA"/>
        </w:rPr>
        <w:t>____ р.</w:t>
      </w:r>
      <w:r w:rsidRPr="00E16672">
        <w:rPr>
          <w:rFonts w:ascii="Times New Roman" w:hAnsi="Times New Roman"/>
          <w:color w:val="000000"/>
          <w:lang w:val="uk-UA"/>
        </w:rPr>
        <w:tab/>
      </w:r>
      <w:r w:rsidRPr="00E16672">
        <w:rPr>
          <w:rFonts w:ascii="Times New Roman" w:hAnsi="Times New Roman"/>
          <w:color w:val="000000"/>
          <w:lang w:val="uk-UA"/>
        </w:rPr>
        <w:tab/>
      </w:r>
    </w:p>
    <w:p w14:paraId="4EDAC342" w14:textId="77777777" w:rsidR="00602650" w:rsidRPr="00E16672" w:rsidRDefault="00602650" w:rsidP="00602650">
      <w:pPr>
        <w:rPr>
          <w:rFonts w:ascii="Times New Roman" w:hAnsi="Times New Roman"/>
          <w:color w:val="000000"/>
          <w:sz w:val="28"/>
          <w:lang w:val="uk-UA"/>
        </w:rPr>
      </w:pPr>
    </w:p>
    <w:p w14:paraId="3981883A" w14:textId="77777777" w:rsidR="00C30CB6" w:rsidRPr="00E16672" w:rsidRDefault="00C30CB6" w:rsidP="00C30CB6">
      <w:pPr>
        <w:rPr>
          <w:rFonts w:ascii="Times New Roman" w:hAnsi="Times New Roman"/>
          <w:color w:val="000000"/>
          <w:sz w:val="28"/>
          <w:lang w:val="uk-UA"/>
        </w:rPr>
      </w:pPr>
    </w:p>
    <w:p w14:paraId="3953FD53" w14:textId="77777777" w:rsidR="00C30CB6" w:rsidRPr="00E16672" w:rsidRDefault="00C30CB6" w:rsidP="00C30CB6">
      <w:pPr>
        <w:rPr>
          <w:rFonts w:ascii="Times New Roman" w:hAnsi="Times New Roman"/>
          <w:color w:val="000000"/>
          <w:sz w:val="28"/>
          <w:lang w:val="uk-UA"/>
        </w:rPr>
      </w:pPr>
    </w:p>
    <w:p w14:paraId="662A3457" w14:textId="77777777" w:rsidR="00C30CB6" w:rsidRPr="00E16672" w:rsidRDefault="00C30CB6" w:rsidP="00C30CB6">
      <w:pPr>
        <w:rPr>
          <w:rFonts w:ascii="Times New Roman" w:hAnsi="Times New Roman"/>
          <w:color w:val="000000"/>
          <w:sz w:val="28"/>
          <w:lang w:val="uk-UA"/>
        </w:rPr>
      </w:pPr>
    </w:p>
    <w:p w14:paraId="7C26C99D" w14:textId="77777777" w:rsidR="00C30CB6" w:rsidRPr="00E16672" w:rsidRDefault="00C30CB6" w:rsidP="00C30CB6">
      <w:pPr>
        <w:jc w:val="center"/>
        <w:rPr>
          <w:rFonts w:ascii="Times New Roman" w:hAnsi="Times New Roman"/>
          <w:color w:val="000000"/>
          <w:sz w:val="28"/>
          <w:lang w:val="uk-UA"/>
        </w:rPr>
      </w:pPr>
    </w:p>
    <w:p w14:paraId="77118E55" w14:textId="77777777" w:rsidR="001A2DB1" w:rsidRPr="00E16672" w:rsidRDefault="001A2DB1" w:rsidP="001A2DB1">
      <w:pPr>
        <w:jc w:val="center"/>
        <w:rPr>
          <w:rFonts w:ascii="Times New Roman" w:hAnsi="Times New Roman"/>
          <w:sz w:val="28"/>
          <w:lang w:val="uk-UA"/>
        </w:rPr>
      </w:pPr>
      <w:r w:rsidRPr="00E16672">
        <w:rPr>
          <w:rFonts w:ascii="Times New Roman" w:hAnsi="Times New Roman"/>
          <w:sz w:val="32"/>
          <w:szCs w:val="32"/>
          <w:lang w:val="uk-UA"/>
        </w:rPr>
        <w:t>Видано</w:t>
      </w:r>
      <w:r w:rsidRPr="00E16672">
        <w:rPr>
          <w:rFonts w:ascii="Times New Roman" w:hAnsi="Times New Roman"/>
          <w:sz w:val="28"/>
          <w:lang w:val="uk-UA"/>
        </w:rPr>
        <w:t xml:space="preserve"> </w:t>
      </w:r>
    </w:p>
    <w:p w14:paraId="778E4E48" w14:textId="77777777" w:rsidR="001A2DB1" w:rsidRPr="00E16672" w:rsidRDefault="001A2DB1" w:rsidP="001A2DB1">
      <w:pPr>
        <w:jc w:val="center"/>
        <w:rPr>
          <w:rFonts w:ascii="Times New Roman" w:hAnsi="Times New Roman"/>
          <w:sz w:val="28"/>
          <w:lang w:val="uk-UA"/>
        </w:rPr>
      </w:pPr>
      <w:r w:rsidRPr="00E16672">
        <w:rPr>
          <w:rFonts w:ascii="Times New Roman" w:hAnsi="Times New Roman"/>
          <w:sz w:val="28"/>
          <w:lang w:val="uk-UA"/>
        </w:rPr>
        <w:t>__________________________________________________</w:t>
      </w:r>
    </w:p>
    <w:p w14:paraId="295E26A7" w14:textId="77777777" w:rsidR="001A2DB1" w:rsidRPr="00E16672" w:rsidRDefault="001A2DB1" w:rsidP="001A2DB1">
      <w:pPr>
        <w:jc w:val="center"/>
        <w:rPr>
          <w:rFonts w:ascii="Times New Roman" w:hAnsi="Times New Roman"/>
          <w:i/>
          <w:szCs w:val="20"/>
          <w:lang w:val="uk-UA"/>
        </w:rPr>
      </w:pPr>
      <w:r w:rsidRPr="00E16672">
        <w:rPr>
          <w:rFonts w:ascii="Times New Roman" w:hAnsi="Times New Roman"/>
          <w:i/>
          <w:szCs w:val="20"/>
          <w:lang w:val="uk-UA"/>
        </w:rPr>
        <w:t xml:space="preserve"> (прізвище, ім'я, по батькові (за наявності), реєстраційний номер облікової картки платника податків (за наявності), назва, серія (за наявності), номер, дата видачі документа, що посвідчує фізичну особу, та найменування органу, що видав документ)</w:t>
      </w:r>
    </w:p>
    <w:p w14:paraId="1BFDB04F" w14:textId="77777777" w:rsidR="001A2DB1" w:rsidRPr="00E16672" w:rsidRDefault="001A2DB1" w:rsidP="001A2DB1">
      <w:pPr>
        <w:jc w:val="center"/>
        <w:rPr>
          <w:rFonts w:ascii="Times New Roman" w:hAnsi="Times New Roman"/>
          <w:sz w:val="28"/>
          <w:lang w:val="uk-UA"/>
        </w:rPr>
      </w:pPr>
    </w:p>
    <w:p w14:paraId="6E617FCB" w14:textId="77777777" w:rsidR="001A2DB1" w:rsidRPr="00E16672" w:rsidRDefault="001A2DB1" w:rsidP="001A2DB1">
      <w:pPr>
        <w:jc w:val="center"/>
        <w:rPr>
          <w:rFonts w:ascii="Times New Roman" w:hAnsi="Times New Roman"/>
          <w:sz w:val="28"/>
          <w:lang w:val="uk-UA"/>
        </w:rPr>
      </w:pPr>
      <w:r w:rsidRPr="00E16672">
        <w:rPr>
          <w:rFonts w:ascii="Times New Roman" w:hAnsi="Times New Roman"/>
          <w:sz w:val="28"/>
          <w:lang w:val="uk-UA"/>
        </w:rPr>
        <w:t>в тому, що йому (їй) __.__.20__ р. закрито рахунок у цінних паперах №</w:t>
      </w:r>
    </w:p>
    <w:p w14:paraId="2D707852" w14:textId="77777777" w:rsidR="001A2DB1" w:rsidRPr="00E16672" w:rsidRDefault="001A2DB1" w:rsidP="00C30CB6">
      <w:pPr>
        <w:jc w:val="center"/>
        <w:rPr>
          <w:rFonts w:ascii="Times New Roman" w:hAnsi="Times New Roman"/>
          <w:color w:val="000000"/>
          <w:sz w:val="32"/>
          <w:szCs w:val="32"/>
          <w:lang w:val="uk-UA"/>
        </w:rPr>
      </w:pPr>
    </w:p>
    <w:p w14:paraId="4EC4B914" w14:textId="77777777" w:rsidR="00C30CB6" w:rsidRPr="00E16672" w:rsidRDefault="006E3B0B" w:rsidP="001A2DB1">
      <w:pPr>
        <w:jc w:val="center"/>
        <w:rPr>
          <w:rFonts w:ascii="Times New Roman" w:hAnsi="Times New Roman"/>
          <w:color w:val="000000"/>
          <w:sz w:val="28"/>
          <w:lang w:val="uk-UA"/>
        </w:rPr>
      </w:pPr>
      <w:r>
        <w:rPr>
          <w:rFonts w:ascii="Times New Roman" w:hAnsi="Times New Roman"/>
          <w:b/>
          <w:sz w:val="28"/>
        </w:rPr>
        <w:t>401265</w:t>
      </w:r>
      <w:r w:rsidR="001A2DB1" w:rsidRPr="00E16672">
        <w:rPr>
          <w:rFonts w:ascii="Times New Roman" w:hAnsi="Times New Roman"/>
          <w:b/>
          <w:sz w:val="28"/>
        </w:rPr>
        <w:t xml:space="preserve">- </w:t>
      </w:r>
      <w:r w:rsidR="001A2DB1" w:rsidRPr="00E16672">
        <w:rPr>
          <w:rFonts w:ascii="Times New Roman" w:hAnsi="Times New Roman"/>
          <w:b/>
          <w:sz w:val="28"/>
          <w:lang w:val="uk-UA"/>
        </w:rPr>
        <w:t>__________</w:t>
      </w:r>
      <w:proofErr w:type="gramStart"/>
      <w:r w:rsidR="001A2DB1" w:rsidRPr="00E16672">
        <w:rPr>
          <w:rFonts w:ascii="Times New Roman" w:hAnsi="Times New Roman"/>
          <w:b/>
          <w:sz w:val="28"/>
          <w:lang w:val="uk-UA"/>
        </w:rPr>
        <w:t>_.</w:t>
      </w:r>
      <w:r w:rsidR="001A2DB1" w:rsidRPr="00E16672">
        <w:rPr>
          <w:rFonts w:ascii="Times New Roman" w:hAnsi="Times New Roman"/>
          <w:color w:val="000000"/>
          <w:sz w:val="28"/>
          <w:lang w:val="uk-UA"/>
        </w:rPr>
        <w:t>.</w:t>
      </w:r>
      <w:proofErr w:type="gramEnd"/>
    </w:p>
    <w:p w14:paraId="6BFD258E" w14:textId="77777777" w:rsidR="00C30CB6" w:rsidRPr="00E16672" w:rsidRDefault="00C30CB6" w:rsidP="00C30CB6">
      <w:pPr>
        <w:rPr>
          <w:rFonts w:ascii="Times New Roman" w:hAnsi="Times New Roman"/>
          <w:color w:val="000000"/>
          <w:sz w:val="28"/>
          <w:lang w:val="uk-UA"/>
        </w:rPr>
      </w:pPr>
    </w:p>
    <w:p w14:paraId="6996AB00" w14:textId="77777777" w:rsidR="00C30CB6" w:rsidRPr="00E16672" w:rsidRDefault="00C30CB6" w:rsidP="00C30CB6">
      <w:pPr>
        <w:rPr>
          <w:rFonts w:ascii="Times New Roman" w:hAnsi="Times New Roman"/>
          <w:color w:val="000000"/>
          <w:sz w:val="28"/>
          <w:lang w:val="uk-UA"/>
        </w:rPr>
      </w:pPr>
    </w:p>
    <w:p w14:paraId="542B06ED" w14:textId="77777777" w:rsidR="00C30CB6" w:rsidRPr="00E16672" w:rsidRDefault="00C30CB6" w:rsidP="00C30CB6">
      <w:pPr>
        <w:rPr>
          <w:rFonts w:ascii="Times New Roman" w:hAnsi="Times New Roman"/>
          <w:color w:val="000000"/>
          <w:sz w:val="28"/>
          <w:lang w:val="uk-UA"/>
        </w:rPr>
      </w:pPr>
    </w:p>
    <w:p w14:paraId="11B58978" w14:textId="77777777" w:rsidR="001A2DB1" w:rsidRPr="00E16672" w:rsidRDefault="001A2DB1" w:rsidP="001A2DB1">
      <w:pPr>
        <w:rPr>
          <w:rFonts w:ascii="Times New Roman" w:hAnsi="Times New Roman"/>
          <w:sz w:val="28"/>
          <w:lang w:val="uk-UA"/>
        </w:rPr>
      </w:pPr>
      <w:r w:rsidRPr="00E16672">
        <w:rPr>
          <w:rFonts w:ascii="Times New Roman" w:hAnsi="Times New Roman"/>
          <w:sz w:val="28"/>
          <w:lang w:val="uk-UA"/>
        </w:rPr>
        <w:t>Підпис відповідальної</w:t>
      </w:r>
    </w:p>
    <w:p w14:paraId="7C676C20" w14:textId="77777777" w:rsidR="001A2DB1" w:rsidRPr="00E16672" w:rsidRDefault="001A2DB1" w:rsidP="001A2DB1">
      <w:pPr>
        <w:rPr>
          <w:rFonts w:ascii="Times New Roman" w:hAnsi="Times New Roman"/>
          <w:sz w:val="28"/>
          <w:u w:val="single"/>
          <w:lang w:val="uk-UA"/>
        </w:rPr>
      </w:pPr>
      <w:r w:rsidRPr="00E16672">
        <w:rPr>
          <w:rFonts w:ascii="Times New Roman" w:hAnsi="Times New Roman"/>
          <w:sz w:val="28"/>
          <w:lang w:val="uk-UA"/>
        </w:rPr>
        <w:t xml:space="preserve">особи Депозитарної установи        _________________     </w:t>
      </w:r>
      <w:r w:rsidRPr="00E16672">
        <w:rPr>
          <w:rFonts w:ascii="Times New Roman" w:hAnsi="Times New Roman"/>
          <w:sz w:val="28"/>
          <w:u w:val="single"/>
          <w:lang w:val="uk-UA"/>
        </w:rPr>
        <w:t>_____________</w:t>
      </w:r>
    </w:p>
    <w:p w14:paraId="26ABF5EC" w14:textId="77777777" w:rsidR="00C30CB6" w:rsidRPr="00E16672" w:rsidRDefault="001A2DB1" w:rsidP="00C30CB6">
      <w:pPr>
        <w:rPr>
          <w:rFonts w:ascii="Times New Roman" w:hAnsi="Times New Roman"/>
          <w:b/>
          <w:color w:val="000000"/>
          <w:sz w:val="36"/>
          <w:lang w:val="uk-UA"/>
        </w:rPr>
      </w:pPr>
      <w:r w:rsidRPr="00E16672">
        <w:rPr>
          <w:rFonts w:ascii="Times New Roman" w:hAnsi="Times New Roman"/>
          <w:sz w:val="28"/>
          <w:lang w:val="uk-UA"/>
        </w:rPr>
        <w:tab/>
      </w:r>
      <w:r w:rsidRPr="00E16672">
        <w:rPr>
          <w:rFonts w:ascii="Times New Roman" w:hAnsi="Times New Roman"/>
          <w:sz w:val="28"/>
          <w:lang w:val="uk-UA"/>
        </w:rPr>
        <w:tab/>
      </w:r>
      <w:r w:rsidRPr="00E16672">
        <w:rPr>
          <w:rFonts w:ascii="Times New Roman" w:hAnsi="Times New Roman"/>
          <w:sz w:val="28"/>
          <w:lang w:val="uk-UA"/>
        </w:rPr>
        <w:tab/>
      </w:r>
      <w:r w:rsidRPr="00E16672">
        <w:rPr>
          <w:rFonts w:ascii="Times New Roman" w:hAnsi="Times New Roman"/>
          <w:sz w:val="28"/>
          <w:lang w:val="uk-UA"/>
        </w:rPr>
        <w:tab/>
      </w:r>
      <w:r w:rsidRPr="00E16672">
        <w:rPr>
          <w:rFonts w:ascii="Times New Roman" w:hAnsi="Times New Roman"/>
          <w:sz w:val="28"/>
          <w:lang w:val="uk-UA"/>
        </w:rPr>
        <w:tab/>
      </w:r>
      <w:r w:rsidRPr="00E16672">
        <w:rPr>
          <w:rFonts w:ascii="Times New Roman" w:hAnsi="Times New Roman"/>
          <w:i/>
          <w:sz w:val="28"/>
          <w:lang w:val="uk-UA"/>
        </w:rPr>
        <w:t xml:space="preserve">                      В.П., підпис</w:t>
      </w:r>
      <w:r w:rsidRPr="00E16672">
        <w:rPr>
          <w:rFonts w:ascii="Times New Roman" w:hAnsi="Times New Roman"/>
          <w:i/>
          <w:sz w:val="28"/>
          <w:lang w:val="uk-UA"/>
        </w:rPr>
        <w:tab/>
      </w:r>
      <w:r w:rsidRPr="00E16672">
        <w:rPr>
          <w:rFonts w:ascii="Times New Roman" w:hAnsi="Times New Roman"/>
          <w:i/>
          <w:sz w:val="28"/>
          <w:lang w:val="uk-UA"/>
        </w:rPr>
        <w:tab/>
        <w:t xml:space="preserve">       ПІБ</w:t>
      </w:r>
      <w:r w:rsidRPr="00E16672" w:rsidDel="001A2DB1">
        <w:rPr>
          <w:rFonts w:ascii="Times New Roman" w:hAnsi="Times New Roman"/>
          <w:b/>
          <w:bCs/>
          <w:sz w:val="26"/>
          <w:szCs w:val="26"/>
          <w:lang w:val="uk-UA"/>
        </w:rPr>
        <w:t xml:space="preserve"> </w:t>
      </w:r>
    </w:p>
    <w:p w14:paraId="2E062099" w14:textId="77777777" w:rsidR="00C30CB6" w:rsidRPr="00E16672" w:rsidRDefault="00C30CB6" w:rsidP="00C30CB6">
      <w:pPr>
        <w:rPr>
          <w:rFonts w:ascii="Times New Roman" w:hAnsi="Times New Roman"/>
          <w:b/>
          <w:color w:val="000000"/>
          <w:sz w:val="36"/>
          <w:lang w:val="uk-UA"/>
        </w:rPr>
      </w:pPr>
    </w:p>
    <w:p w14:paraId="3C1D5A76" w14:textId="77777777" w:rsidR="00C30CB6" w:rsidRPr="00E16672" w:rsidRDefault="00C30CB6" w:rsidP="00C30CB6">
      <w:pPr>
        <w:rPr>
          <w:rFonts w:ascii="Times New Roman" w:hAnsi="Times New Roman"/>
          <w:b/>
          <w:color w:val="000000"/>
          <w:sz w:val="36"/>
          <w:lang w:val="uk-UA"/>
        </w:rPr>
      </w:pPr>
    </w:p>
    <w:p w14:paraId="4D242247" w14:textId="77777777" w:rsidR="00C30CB6" w:rsidRPr="00E16672" w:rsidRDefault="007D0843" w:rsidP="00C30CB6">
      <w:pPr>
        <w:rPr>
          <w:rFonts w:ascii="Times New Roman" w:hAnsi="Times New Roman"/>
          <w:b/>
          <w:color w:val="000000"/>
          <w:sz w:val="36"/>
          <w:lang w:val="uk-UA"/>
        </w:rPr>
      </w:pPr>
      <w:r>
        <w:rPr>
          <w:rFonts w:ascii="Times New Roman" w:hAnsi="Times New Roman"/>
          <w:noProof/>
          <w:color w:val="000000"/>
          <w:lang w:val="uk-UA" w:eastAsia="uk-UA"/>
        </w:rPr>
        <w:pict w14:anchorId="42B0F29B">
          <v:line id="Прямая соединительная линия 12" o:spid="_x0000_s1031" style="position:absolute;left:0;text-align:left;flip:y;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23.7pt" to="546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" strokeweight=".26mm">
            <w10:wrap anchorx="margin"/>
          </v:line>
        </w:pict>
      </w:r>
    </w:p>
    <w:p w14:paraId="7E43ED95" w14:textId="77777777" w:rsidR="00602650" w:rsidRDefault="00602650" w:rsidP="002506EC">
      <w:pPr>
        <w:rPr>
          <w:rFonts w:ascii="Times New Roman" w:hAnsi="Times New Roman"/>
          <w:bCs/>
          <w:color w:val="000000"/>
          <w:szCs w:val="20"/>
          <w:lang w:val="uk-UA"/>
        </w:rPr>
      </w:pPr>
    </w:p>
    <w:p w14:paraId="0EFE6DA2" w14:textId="77777777" w:rsidR="00602650" w:rsidRDefault="00602650" w:rsidP="002506EC">
      <w:pPr>
        <w:rPr>
          <w:rFonts w:ascii="Times New Roman" w:hAnsi="Times New Roman"/>
          <w:bCs/>
          <w:color w:val="000000"/>
          <w:szCs w:val="20"/>
          <w:lang w:val="uk-UA"/>
        </w:rPr>
      </w:pPr>
    </w:p>
    <w:p w14:paraId="51C0A71C" w14:textId="77777777" w:rsidR="00602650" w:rsidRDefault="00602650" w:rsidP="002506EC">
      <w:pPr>
        <w:rPr>
          <w:rFonts w:ascii="Times New Roman" w:hAnsi="Times New Roman"/>
          <w:bCs/>
          <w:color w:val="000000"/>
          <w:szCs w:val="20"/>
          <w:lang w:val="uk-UA"/>
        </w:rPr>
      </w:pPr>
    </w:p>
    <w:p w14:paraId="66D7AD0B" w14:textId="77777777" w:rsidR="00602650" w:rsidRDefault="00602650" w:rsidP="002506EC">
      <w:pPr>
        <w:rPr>
          <w:rFonts w:ascii="Times New Roman" w:hAnsi="Times New Roman"/>
          <w:bCs/>
          <w:color w:val="000000"/>
          <w:szCs w:val="20"/>
          <w:lang w:val="uk-UA"/>
        </w:rPr>
      </w:pPr>
    </w:p>
    <w:p w14:paraId="7B1670F5" w14:textId="77777777" w:rsidR="00602650" w:rsidRDefault="00602650" w:rsidP="002506EC">
      <w:pPr>
        <w:rPr>
          <w:rFonts w:ascii="Times New Roman" w:hAnsi="Times New Roman"/>
          <w:bCs/>
          <w:color w:val="000000"/>
          <w:szCs w:val="20"/>
          <w:lang w:val="uk-UA"/>
        </w:rPr>
      </w:pPr>
    </w:p>
    <w:p w14:paraId="26F871C6" w14:textId="77777777" w:rsidR="00602650" w:rsidRDefault="00602650" w:rsidP="002506EC">
      <w:pPr>
        <w:rPr>
          <w:rFonts w:ascii="Times New Roman" w:hAnsi="Times New Roman"/>
          <w:bCs/>
          <w:color w:val="000000"/>
          <w:szCs w:val="20"/>
          <w:lang w:val="uk-UA"/>
        </w:rPr>
      </w:pPr>
    </w:p>
    <w:p w14:paraId="24317BB1" w14:textId="77777777" w:rsidR="00602650" w:rsidRDefault="00602650" w:rsidP="002506EC">
      <w:pPr>
        <w:rPr>
          <w:rFonts w:ascii="Times New Roman" w:hAnsi="Times New Roman"/>
          <w:bCs/>
          <w:color w:val="000000"/>
          <w:szCs w:val="20"/>
          <w:lang w:val="uk-UA"/>
        </w:rPr>
      </w:pPr>
    </w:p>
    <w:p w14:paraId="19630913" w14:textId="77777777" w:rsidR="00602650" w:rsidRDefault="00602650" w:rsidP="002506EC">
      <w:pPr>
        <w:rPr>
          <w:rFonts w:ascii="Times New Roman" w:hAnsi="Times New Roman"/>
          <w:bCs/>
          <w:color w:val="000000"/>
          <w:szCs w:val="20"/>
          <w:lang w:val="uk-UA"/>
        </w:rPr>
      </w:pPr>
    </w:p>
    <w:p w14:paraId="075FD43B" w14:textId="77777777" w:rsidR="00602650" w:rsidRDefault="00602650" w:rsidP="002506EC">
      <w:pPr>
        <w:rPr>
          <w:rFonts w:ascii="Times New Roman" w:hAnsi="Times New Roman"/>
          <w:bCs/>
          <w:color w:val="000000"/>
          <w:szCs w:val="20"/>
          <w:lang w:val="uk-UA"/>
        </w:rPr>
      </w:pPr>
    </w:p>
    <w:p w14:paraId="025D8300" w14:textId="77777777" w:rsidR="00602650" w:rsidRDefault="00602650" w:rsidP="002506EC">
      <w:pPr>
        <w:rPr>
          <w:rFonts w:ascii="Times New Roman" w:hAnsi="Times New Roman"/>
          <w:bCs/>
          <w:color w:val="000000"/>
          <w:szCs w:val="20"/>
          <w:lang w:val="uk-UA"/>
        </w:rPr>
      </w:pPr>
    </w:p>
    <w:p w14:paraId="587746E1" w14:textId="77777777" w:rsidR="00602650" w:rsidRDefault="00602650" w:rsidP="002506EC">
      <w:pPr>
        <w:rPr>
          <w:rFonts w:ascii="Times New Roman" w:hAnsi="Times New Roman"/>
          <w:bCs/>
          <w:color w:val="000000"/>
          <w:szCs w:val="20"/>
          <w:lang w:val="uk-UA"/>
        </w:rPr>
      </w:pPr>
    </w:p>
    <w:p w14:paraId="72E70233" w14:textId="77777777" w:rsidR="00602650" w:rsidRDefault="00602650" w:rsidP="002506EC">
      <w:pPr>
        <w:rPr>
          <w:rFonts w:ascii="Times New Roman" w:hAnsi="Times New Roman"/>
          <w:bCs/>
          <w:color w:val="000000"/>
          <w:szCs w:val="20"/>
          <w:lang w:val="uk-UA"/>
        </w:rPr>
      </w:pPr>
    </w:p>
    <w:p w14:paraId="234C54EB" w14:textId="77777777" w:rsidR="00602650" w:rsidRDefault="00602650" w:rsidP="002506EC">
      <w:pPr>
        <w:rPr>
          <w:rFonts w:ascii="Times New Roman" w:hAnsi="Times New Roman"/>
          <w:bCs/>
          <w:color w:val="000000"/>
          <w:szCs w:val="20"/>
          <w:lang w:val="uk-UA"/>
        </w:rPr>
      </w:pPr>
    </w:p>
    <w:p w14:paraId="42626E8C" w14:textId="77777777" w:rsidR="00602650" w:rsidRDefault="00602650" w:rsidP="002506EC">
      <w:pPr>
        <w:rPr>
          <w:rFonts w:ascii="Times New Roman" w:hAnsi="Times New Roman"/>
          <w:bCs/>
          <w:color w:val="000000"/>
          <w:szCs w:val="20"/>
          <w:lang w:val="uk-UA"/>
        </w:rPr>
      </w:pPr>
    </w:p>
    <w:p w14:paraId="5537CD05" w14:textId="77777777" w:rsidR="00602650" w:rsidRDefault="00602650" w:rsidP="002506EC">
      <w:pPr>
        <w:rPr>
          <w:rFonts w:ascii="Times New Roman" w:hAnsi="Times New Roman"/>
          <w:bCs/>
          <w:color w:val="000000"/>
          <w:szCs w:val="20"/>
          <w:lang w:val="uk-UA"/>
        </w:rPr>
      </w:pPr>
    </w:p>
    <w:p w14:paraId="58C122B0" w14:textId="77777777" w:rsidR="00F864F1" w:rsidRDefault="00F864F1" w:rsidP="002506EC">
      <w:pPr>
        <w:rPr>
          <w:rFonts w:ascii="Times New Roman" w:hAnsi="Times New Roman"/>
          <w:bCs/>
          <w:color w:val="000000"/>
          <w:szCs w:val="20"/>
          <w:lang w:val="uk-UA"/>
        </w:rPr>
      </w:pPr>
    </w:p>
    <w:p w14:paraId="045CAD08" w14:textId="77777777" w:rsidR="00602650" w:rsidRDefault="00602650" w:rsidP="002506EC">
      <w:pPr>
        <w:rPr>
          <w:rFonts w:ascii="Times New Roman" w:hAnsi="Times New Roman"/>
          <w:bCs/>
          <w:color w:val="000000"/>
          <w:szCs w:val="20"/>
          <w:lang w:val="uk-UA"/>
        </w:rPr>
      </w:pPr>
    </w:p>
    <w:p w14:paraId="7266BF61" w14:textId="77777777" w:rsidR="002506EC" w:rsidRPr="00E16672" w:rsidRDefault="007D0843" w:rsidP="002506EC">
      <w:pPr>
        <w:rPr>
          <w:rFonts w:ascii="Times New Roman" w:hAnsi="Times New Roman"/>
          <w:bCs/>
          <w:color w:val="000000"/>
          <w:szCs w:val="20"/>
          <w:lang w:val="uk-UA"/>
        </w:rPr>
      </w:pPr>
      <w:r>
        <w:rPr>
          <w:rFonts w:ascii="Times New Roman" w:hAnsi="Times New Roman"/>
          <w:noProof/>
          <w:lang w:val="uk-UA" w:eastAsia="uk-UA"/>
        </w:rPr>
        <w:lastRenderedPageBreak/>
        <w:pict w14:anchorId="1957F502">
          <v:line id="Прямая соединительная линия 20" o:spid="_x0000_s1030" style="position:absolute;left:0;text-align:left;flip:x;z-index:251685888;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page;mso-height-relative:page" from="0,2.05pt" to="0,65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" strokeweight=".26mm">
            <w10:wrap anchorx="margin"/>
          </v:line>
        </w:pict>
      </w:r>
      <w:r>
        <w:rPr>
          <w:rFonts w:ascii="Times New Roman" w:hAnsi="Times New Roman"/>
          <w:noProof/>
          <w:lang w:val="uk-UA" w:eastAsia="uk-UA"/>
        </w:rPr>
        <w:pict w14:anchorId="5E5F1941">
          <v:line id="Прямая соединительная линия 21" o:spid="_x0000_s1029" style="position:absolute;left:0;text-align:lef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2.8pt" to=".25pt,65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" strokeweight=".26mm"/>
        </w:pict>
      </w:r>
      <w:r>
        <w:rPr>
          <w:rFonts w:ascii="Times New Roman" w:hAnsi="Times New Roman"/>
          <w:noProof/>
          <w:lang w:val="uk-UA" w:eastAsia="uk-UA"/>
        </w:rPr>
        <w:pict w14:anchorId="0158B00E">
          <v:line id="Прямая соединительная линия 22" o:spid="_x0000_s1028" style="position:absolute;left:0;text-align:lef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1.85pt" to="546.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" strokeweight=".26mm"/>
        </w:pict>
      </w:r>
    </w:p>
    <w:p w14:paraId="6AC8E445" w14:textId="77777777" w:rsidR="002506EC" w:rsidRPr="00F864F1" w:rsidRDefault="002506EC" w:rsidP="00F864F1">
      <w:pPr>
        <w:ind w:left="142" w:hanging="142"/>
        <w:jc w:val="center"/>
        <w:rPr>
          <w:rFonts w:ascii="Times New Roman" w:hAnsi="Times New Roman"/>
          <w:b/>
          <w:bCs/>
          <w:color w:val="000000"/>
          <w:sz w:val="18"/>
          <w:szCs w:val="18"/>
          <w:lang w:val="uk-UA"/>
        </w:rPr>
      </w:pPr>
      <w:r w:rsidRPr="00F864F1">
        <w:rPr>
          <w:rFonts w:ascii="Times New Roman" w:hAnsi="Times New Roman"/>
          <w:b/>
          <w:bCs/>
          <w:color w:val="000000"/>
          <w:sz w:val="18"/>
          <w:szCs w:val="18"/>
          <w:lang w:val="uk-UA"/>
        </w:rPr>
        <w:t xml:space="preserve">Депозитарна установа ТОВ </w:t>
      </w:r>
      <w:r w:rsidR="00022F5F" w:rsidRPr="00F864F1">
        <w:rPr>
          <w:rFonts w:ascii="Times New Roman" w:hAnsi="Times New Roman"/>
          <w:b/>
          <w:bCs/>
          <w:color w:val="000000"/>
          <w:sz w:val="18"/>
          <w:szCs w:val="18"/>
          <w:lang w:val="uk-UA"/>
        </w:rPr>
        <w:t>"</w:t>
      </w:r>
      <w:r w:rsidR="00E16672" w:rsidRPr="00F864F1">
        <w:rPr>
          <w:rFonts w:ascii="Times New Roman" w:hAnsi="Times New Roman"/>
          <w:b/>
          <w:bCs/>
          <w:color w:val="000000"/>
          <w:sz w:val="18"/>
          <w:szCs w:val="18"/>
          <w:lang w:val="uk-UA"/>
        </w:rPr>
        <w:t>КОМЕКС ЦІННІ ПАПЕРИ</w:t>
      </w:r>
      <w:r w:rsidR="00022F5F" w:rsidRPr="00F864F1">
        <w:rPr>
          <w:rFonts w:ascii="Times New Roman" w:hAnsi="Times New Roman"/>
          <w:b/>
          <w:bCs/>
          <w:color w:val="000000"/>
          <w:sz w:val="18"/>
          <w:szCs w:val="18"/>
          <w:lang w:val="uk-UA"/>
        </w:rPr>
        <w:t>"</w:t>
      </w:r>
      <w:r w:rsidRPr="00F864F1">
        <w:rPr>
          <w:rFonts w:ascii="Times New Roman" w:hAnsi="Times New Roman"/>
          <w:b/>
          <w:bCs/>
          <w:color w:val="000000"/>
          <w:sz w:val="18"/>
          <w:szCs w:val="18"/>
          <w:lang w:val="uk-UA"/>
        </w:rPr>
        <w:t xml:space="preserve">,  ЄДРПОУ </w:t>
      </w:r>
      <w:r w:rsidR="00E16672" w:rsidRPr="00F864F1">
        <w:rPr>
          <w:rFonts w:ascii="Times New Roman" w:hAnsi="Times New Roman"/>
          <w:b/>
          <w:bCs/>
          <w:color w:val="000000"/>
          <w:sz w:val="18"/>
          <w:szCs w:val="18"/>
          <w:lang w:val="uk-UA"/>
        </w:rPr>
        <w:t>33153077</w:t>
      </w:r>
    </w:p>
    <w:p w14:paraId="37EA2AF8" w14:textId="77777777" w:rsidR="002506EC" w:rsidRPr="00E16672" w:rsidRDefault="002506EC" w:rsidP="002506EC">
      <w:pPr>
        <w:ind w:left="142" w:hanging="142"/>
        <w:jc w:val="center"/>
        <w:rPr>
          <w:rFonts w:ascii="Times New Roman" w:hAnsi="Times New Roman"/>
          <w:bCs/>
          <w:color w:val="000000"/>
          <w:sz w:val="18"/>
          <w:szCs w:val="18"/>
          <w:lang w:val="uk-UA"/>
        </w:rPr>
      </w:pPr>
      <w:r w:rsidRPr="00E16672">
        <w:rPr>
          <w:rFonts w:ascii="Times New Roman" w:hAnsi="Times New Roman"/>
          <w:bCs/>
          <w:color w:val="000000"/>
          <w:sz w:val="18"/>
          <w:szCs w:val="18"/>
          <w:lang w:val="uk-UA"/>
        </w:rPr>
        <w:t>Ліцензія серія АЕ №</w:t>
      </w:r>
      <w:r w:rsidR="00E16672" w:rsidRPr="00E16672">
        <w:rPr>
          <w:rFonts w:ascii="Times New Roman" w:hAnsi="Times New Roman"/>
          <w:bCs/>
          <w:color w:val="000000"/>
          <w:sz w:val="18"/>
          <w:szCs w:val="18"/>
          <w:lang w:val="uk-UA"/>
        </w:rPr>
        <w:t>263429</w:t>
      </w:r>
      <w:r w:rsidRPr="00E16672">
        <w:rPr>
          <w:rFonts w:ascii="Times New Roman" w:hAnsi="Times New Roman"/>
          <w:bCs/>
          <w:color w:val="000000"/>
          <w:sz w:val="18"/>
          <w:szCs w:val="18"/>
          <w:lang w:val="uk-UA"/>
        </w:rPr>
        <w:t xml:space="preserve"> від </w:t>
      </w:r>
      <w:r w:rsidR="006E3B0B">
        <w:rPr>
          <w:rFonts w:ascii="Times New Roman" w:hAnsi="Times New Roman"/>
          <w:bCs/>
          <w:color w:val="000000"/>
          <w:sz w:val="18"/>
          <w:szCs w:val="18"/>
          <w:lang w:val="uk-UA"/>
        </w:rPr>
        <w:t>01 жовтня 2013</w:t>
      </w:r>
      <w:r w:rsidRPr="00E16672">
        <w:rPr>
          <w:rFonts w:ascii="Times New Roman" w:hAnsi="Times New Roman"/>
          <w:bCs/>
          <w:color w:val="000000"/>
          <w:sz w:val="18"/>
          <w:szCs w:val="18"/>
          <w:lang w:val="uk-UA"/>
        </w:rPr>
        <w:t xml:space="preserve"> р.,</w:t>
      </w:r>
    </w:p>
    <w:p w14:paraId="2D7F4855" w14:textId="77777777" w:rsidR="002506EC" w:rsidRPr="00E16672" w:rsidRDefault="002506EC" w:rsidP="002506EC">
      <w:pPr>
        <w:jc w:val="center"/>
        <w:rPr>
          <w:rFonts w:ascii="Times New Roman" w:hAnsi="Times New Roman"/>
          <w:bCs/>
          <w:sz w:val="18"/>
          <w:szCs w:val="18"/>
          <w:lang w:val="uk-UA"/>
        </w:rPr>
      </w:pPr>
      <w:r w:rsidRPr="00E16672">
        <w:rPr>
          <w:rFonts w:ascii="Times New Roman" w:hAnsi="Times New Roman"/>
          <w:bCs/>
          <w:color w:val="000000"/>
          <w:sz w:val="18"/>
          <w:szCs w:val="18"/>
          <w:lang w:val="uk-UA"/>
        </w:rPr>
        <w:t xml:space="preserve">Адреса: </w:t>
      </w:r>
      <w:r w:rsidR="006E3B0B">
        <w:rPr>
          <w:rFonts w:ascii="Times New Roman" w:hAnsi="Times New Roman"/>
          <w:bCs/>
          <w:sz w:val="18"/>
          <w:szCs w:val="18"/>
          <w:lang w:val="uk-UA"/>
        </w:rPr>
        <w:t xml:space="preserve">03150, </w:t>
      </w:r>
      <w:proofErr w:type="spellStart"/>
      <w:r w:rsidR="006E3B0B">
        <w:rPr>
          <w:rFonts w:ascii="Times New Roman" w:hAnsi="Times New Roman"/>
          <w:bCs/>
          <w:sz w:val="18"/>
          <w:szCs w:val="18"/>
          <w:lang w:val="uk-UA"/>
        </w:rPr>
        <w:t>м.Київ</w:t>
      </w:r>
      <w:proofErr w:type="spellEnd"/>
      <w:r w:rsidR="006E3B0B">
        <w:rPr>
          <w:rFonts w:ascii="Times New Roman" w:hAnsi="Times New Roman"/>
          <w:bCs/>
          <w:sz w:val="18"/>
          <w:szCs w:val="18"/>
          <w:lang w:val="uk-UA"/>
        </w:rPr>
        <w:t>, Велика Васильківська (колишня Червоноармійська) вул., буд. 65</w:t>
      </w:r>
    </w:p>
    <w:p w14:paraId="0706AF5D" w14:textId="77777777" w:rsidR="002506EC" w:rsidRPr="00E16672" w:rsidRDefault="002506EC" w:rsidP="002506EC">
      <w:pPr>
        <w:tabs>
          <w:tab w:val="left" w:pos="288"/>
          <w:tab w:val="left" w:pos="720"/>
          <w:tab w:val="left" w:pos="1008"/>
          <w:tab w:val="left" w:pos="1584"/>
          <w:tab w:val="left" w:pos="2160"/>
          <w:tab w:val="left" w:pos="3600"/>
        </w:tabs>
        <w:ind w:right="1"/>
        <w:jc w:val="center"/>
        <w:rPr>
          <w:rFonts w:ascii="Times New Roman" w:hAnsi="Times New Roman"/>
          <w:bCs/>
          <w:sz w:val="18"/>
          <w:szCs w:val="18"/>
          <w:lang w:val="uk-UA"/>
        </w:rPr>
      </w:pPr>
      <w:r w:rsidRPr="00E16672">
        <w:rPr>
          <w:rFonts w:ascii="Times New Roman" w:hAnsi="Times New Roman"/>
          <w:bCs/>
          <w:sz w:val="18"/>
          <w:szCs w:val="18"/>
          <w:lang w:val="uk-UA"/>
        </w:rPr>
        <w:t>Рахунок в Центральному Депозитарії №100024-UA40</w:t>
      </w:r>
      <w:r w:rsidR="006E3B0B">
        <w:rPr>
          <w:rFonts w:ascii="Times New Roman" w:hAnsi="Times New Roman"/>
          <w:bCs/>
          <w:sz w:val="18"/>
          <w:szCs w:val="18"/>
          <w:lang w:val="uk-UA"/>
        </w:rPr>
        <w:t>401265</w:t>
      </w:r>
      <w:r w:rsidRPr="00E16672">
        <w:rPr>
          <w:rFonts w:ascii="Times New Roman" w:hAnsi="Times New Roman"/>
          <w:bCs/>
          <w:sz w:val="18"/>
          <w:szCs w:val="18"/>
          <w:lang w:val="uk-UA"/>
        </w:rPr>
        <w:t xml:space="preserve">, код МДО </w:t>
      </w:r>
      <w:r w:rsidR="006E3B0B">
        <w:rPr>
          <w:rFonts w:ascii="Times New Roman" w:hAnsi="Times New Roman"/>
          <w:bCs/>
          <w:sz w:val="18"/>
          <w:szCs w:val="18"/>
          <w:lang w:val="uk-UA"/>
        </w:rPr>
        <w:t>401265</w:t>
      </w:r>
    </w:p>
    <w:p w14:paraId="26822507" w14:textId="77777777" w:rsidR="002506EC" w:rsidRPr="00E16672" w:rsidRDefault="002506EC" w:rsidP="002506EC">
      <w:pPr>
        <w:tabs>
          <w:tab w:val="left" w:pos="288"/>
          <w:tab w:val="left" w:pos="720"/>
          <w:tab w:val="left" w:pos="1008"/>
          <w:tab w:val="left" w:pos="1584"/>
          <w:tab w:val="left" w:pos="2160"/>
          <w:tab w:val="left" w:pos="3600"/>
        </w:tabs>
        <w:ind w:right="1"/>
        <w:jc w:val="center"/>
        <w:rPr>
          <w:rFonts w:ascii="Times New Roman" w:hAnsi="Times New Roman"/>
          <w:bCs/>
          <w:sz w:val="18"/>
          <w:szCs w:val="18"/>
          <w:lang w:val="uk-UA"/>
        </w:rPr>
      </w:pPr>
    </w:p>
    <w:p w14:paraId="69D357C1" w14:textId="77777777" w:rsidR="002506EC" w:rsidRPr="00E16672" w:rsidRDefault="00565242" w:rsidP="002506EC">
      <w:pPr>
        <w:tabs>
          <w:tab w:val="left" w:pos="288"/>
          <w:tab w:val="left" w:pos="720"/>
          <w:tab w:val="left" w:pos="1008"/>
          <w:tab w:val="left" w:pos="1584"/>
          <w:tab w:val="left" w:pos="2160"/>
          <w:tab w:val="left" w:pos="3600"/>
        </w:tabs>
        <w:ind w:right="1"/>
        <w:jc w:val="center"/>
        <w:rPr>
          <w:rFonts w:ascii="Times New Roman" w:hAnsi="Times New Roman"/>
          <w:bCs/>
          <w:sz w:val="18"/>
          <w:szCs w:val="18"/>
          <w:lang w:val="uk-UA"/>
        </w:rPr>
      </w:pPr>
      <w:r>
        <w:rPr>
          <w:rFonts w:ascii="Times New Roman" w:hAnsi="Times New Roman"/>
          <w:bCs/>
          <w:sz w:val="18"/>
          <w:szCs w:val="18"/>
          <w:lang w:val="uk-UA"/>
        </w:rPr>
        <w:t xml:space="preserve">COMEX </w:t>
      </w:r>
      <w:proofErr w:type="spellStart"/>
      <w:r>
        <w:rPr>
          <w:rFonts w:ascii="Times New Roman" w:hAnsi="Times New Roman"/>
          <w:bCs/>
          <w:sz w:val="18"/>
          <w:szCs w:val="18"/>
          <w:lang w:val="uk-UA"/>
        </w:rPr>
        <w:t>Securities</w:t>
      </w:r>
      <w:proofErr w:type="spellEnd"/>
      <w:r>
        <w:rPr>
          <w:rFonts w:ascii="Times New Roman" w:hAnsi="Times New Roman"/>
          <w:bCs/>
          <w:sz w:val="18"/>
          <w:szCs w:val="18"/>
          <w:lang w:val="uk-UA"/>
        </w:rPr>
        <w:t xml:space="preserve"> </w:t>
      </w:r>
      <w:proofErr w:type="spellStart"/>
      <w:r>
        <w:rPr>
          <w:rFonts w:ascii="Times New Roman" w:hAnsi="Times New Roman"/>
          <w:bCs/>
          <w:sz w:val="18"/>
          <w:szCs w:val="18"/>
          <w:lang w:val="uk-UA"/>
        </w:rPr>
        <w:t>Limited</w:t>
      </w:r>
      <w:proofErr w:type="spellEnd"/>
      <w:r w:rsidR="002506EC" w:rsidRPr="00E16672">
        <w:rPr>
          <w:rFonts w:ascii="Times New Roman" w:hAnsi="Times New Roman"/>
          <w:bCs/>
          <w:sz w:val="18"/>
          <w:szCs w:val="18"/>
          <w:lang w:val="uk-UA"/>
        </w:rPr>
        <w:t xml:space="preserve"> ,  </w:t>
      </w:r>
      <w:proofErr w:type="spellStart"/>
      <w:r w:rsidR="002506EC" w:rsidRPr="00E16672">
        <w:rPr>
          <w:rFonts w:ascii="Times New Roman" w:hAnsi="Times New Roman"/>
          <w:bCs/>
          <w:sz w:val="18"/>
          <w:szCs w:val="18"/>
          <w:lang w:val="uk-UA"/>
        </w:rPr>
        <w:t>registration</w:t>
      </w:r>
      <w:proofErr w:type="spellEnd"/>
      <w:r w:rsidR="002506EC" w:rsidRPr="00E16672">
        <w:rPr>
          <w:rFonts w:ascii="Times New Roman" w:hAnsi="Times New Roman"/>
          <w:bCs/>
          <w:sz w:val="18"/>
          <w:szCs w:val="18"/>
          <w:lang w:val="uk-UA"/>
        </w:rPr>
        <w:t xml:space="preserve"> </w:t>
      </w:r>
      <w:proofErr w:type="spellStart"/>
      <w:r w:rsidR="002506EC" w:rsidRPr="00E16672">
        <w:rPr>
          <w:rFonts w:ascii="Times New Roman" w:hAnsi="Times New Roman"/>
          <w:bCs/>
          <w:sz w:val="18"/>
          <w:szCs w:val="18"/>
          <w:lang w:val="uk-UA"/>
        </w:rPr>
        <w:t>code</w:t>
      </w:r>
      <w:proofErr w:type="spellEnd"/>
      <w:r w:rsidR="002506EC" w:rsidRPr="00E16672">
        <w:rPr>
          <w:rFonts w:ascii="Times New Roman" w:hAnsi="Times New Roman"/>
          <w:bCs/>
          <w:sz w:val="18"/>
          <w:szCs w:val="18"/>
          <w:lang w:val="uk-UA"/>
        </w:rPr>
        <w:t xml:space="preserve"> </w:t>
      </w:r>
      <w:r w:rsidR="00E16672" w:rsidRPr="00E16672">
        <w:rPr>
          <w:rFonts w:ascii="Times New Roman" w:hAnsi="Times New Roman"/>
          <w:bCs/>
          <w:sz w:val="18"/>
          <w:szCs w:val="18"/>
          <w:lang w:val="uk-UA"/>
        </w:rPr>
        <w:t>33153077</w:t>
      </w:r>
      <w:r w:rsidR="002506EC" w:rsidRPr="00E16672">
        <w:rPr>
          <w:rFonts w:ascii="Times New Roman" w:hAnsi="Times New Roman"/>
          <w:bCs/>
          <w:sz w:val="18"/>
          <w:szCs w:val="18"/>
          <w:lang w:val="uk-UA"/>
        </w:rPr>
        <w:t>,</w:t>
      </w:r>
    </w:p>
    <w:p w14:paraId="6BDA7BA0" w14:textId="77777777" w:rsidR="002506EC" w:rsidRPr="00E16672" w:rsidRDefault="002506EC" w:rsidP="002506EC">
      <w:pPr>
        <w:jc w:val="center"/>
        <w:rPr>
          <w:rFonts w:ascii="Times New Roman" w:hAnsi="Times New Roman"/>
          <w:bCs/>
          <w:sz w:val="18"/>
          <w:szCs w:val="18"/>
          <w:lang w:val="uk-UA"/>
        </w:rPr>
      </w:pPr>
      <w:proofErr w:type="spellStart"/>
      <w:r w:rsidRPr="00E16672">
        <w:rPr>
          <w:rFonts w:ascii="Times New Roman" w:hAnsi="Times New Roman"/>
          <w:bCs/>
          <w:sz w:val="18"/>
          <w:szCs w:val="18"/>
          <w:lang w:val="uk-UA"/>
        </w:rPr>
        <w:t>License</w:t>
      </w:r>
      <w:proofErr w:type="spellEnd"/>
      <w:r w:rsidRPr="00E16672">
        <w:rPr>
          <w:rFonts w:ascii="Times New Roman" w:hAnsi="Times New Roman"/>
          <w:bCs/>
          <w:sz w:val="18"/>
          <w:szCs w:val="18"/>
          <w:lang w:val="uk-UA"/>
        </w:rPr>
        <w:t xml:space="preserve">  АE № </w:t>
      </w:r>
      <w:r w:rsidR="00E16672" w:rsidRPr="00E16672">
        <w:rPr>
          <w:rFonts w:ascii="Times New Roman" w:hAnsi="Times New Roman"/>
          <w:bCs/>
          <w:sz w:val="18"/>
          <w:szCs w:val="18"/>
          <w:lang w:val="uk-UA"/>
        </w:rPr>
        <w:t>263429</w:t>
      </w:r>
      <w:r w:rsidRPr="00E16672">
        <w:rPr>
          <w:rFonts w:ascii="Times New Roman" w:hAnsi="Times New Roman"/>
          <w:bCs/>
          <w:sz w:val="18"/>
          <w:szCs w:val="18"/>
          <w:lang w:val="uk-UA"/>
        </w:rPr>
        <w:t xml:space="preserve"> </w:t>
      </w:r>
      <w:proofErr w:type="spellStart"/>
      <w:r w:rsidRPr="00E16672">
        <w:rPr>
          <w:rFonts w:ascii="Times New Roman" w:hAnsi="Times New Roman"/>
          <w:bCs/>
          <w:sz w:val="18"/>
          <w:szCs w:val="18"/>
          <w:lang w:val="uk-UA"/>
        </w:rPr>
        <w:t>dd</w:t>
      </w:r>
      <w:proofErr w:type="spellEnd"/>
      <w:r w:rsidRPr="00E16672">
        <w:rPr>
          <w:rFonts w:ascii="Times New Roman" w:hAnsi="Times New Roman"/>
          <w:bCs/>
          <w:sz w:val="18"/>
          <w:szCs w:val="18"/>
          <w:lang w:val="uk-UA"/>
        </w:rPr>
        <w:t xml:space="preserve">. </w:t>
      </w:r>
      <w:r w:rsidR="00E16672" w:rsidRPr="00E16672">
        <w:rPr>
          <w:rFonts w:ascii="Times New Roman" w:hAnsi="Times New Roman"/>
          <w:bCs/>
          <w:sz w:val="18"/>
          <w:szCs w:val="18"/>
          <w:lang w:val="uk-UA"/>
        </w:rPr>
        <w:t>01.10.2013</w:t>
      </w:r>
      <w:r w:rsidRPr="00E16672">
        <w:rPr>
          <w:rFonts w:ascii="Times New Roman" w:hAnsi="Times New Roman"/>
          <w:bCs/>
          <w:sz w:val="18"/>
          <w:szCs w:val="18"/>
          <w:lang w:val="uk-UA"/>
        </w:rPr>
        <w:t>,</w:t>
      </w:r>
    </w:p>
    <w:p w14:paraId="37C59446" w14:textId="77777777" w:rsidR="002506EC" w:rsidRPr="00E16672" w:rsidRDefault="002506EC" w:rsidP="002506EC">
      <w:pPr>
        <w:jc w:val="center"/>
        <w:rPr>
          <w:rFonts w:ascii="Times New Roman" w:hAnsi="Times New Roman"/>
          <w:bCs/>
          <w:sz w:val="18"/>
          <w:szCs w:val="18"/>
          <w:lang w:val="uk-UA"/>
        </w:rPr>
      </w:pPr>
      <w:proofErr w:type="spellStart"/>
      <w:r w:rsidRPr="00E16672">
        <w:rPr>
          <w:rFonts w:ascii="Times New Roman" w:hAnsi="Times New Roman"/>
          <w:bCs/>
          <w:sz w:val="18"/>
          <w:szCs w:val="18"/>
          <w:lang w:val="uk-UA"/>
        </w:rPr>
        <w:t>Address</w:t>
      </w:r>
      <w:proofErr w:type="spellEnd"/>
      <w:r w:rsidRPr="00E16672">
        <w:rPr>
          <w:rFonts w:ascii="Times New Roman" w:hAnsi="Times New Roman"/>
          <w:bCs/>
          <w:sz w:val="18"/>
          <w:szCs w:val="18"/>
          <w:lang w:val="uk-UA"/>
        </w:rPr>
        <w:t xml:space="preserve">: </w:t>
      </w:r>
      <w:r w:rsidR="006E3B0B">
        <w:rPr>
          <w:rFonts w:ascii="Times New Roman" w:hAnsi="Times New Roman"/>
          <w:bCs/>
          <w:sz w:val="18"/>
          <w:szCs w:val="18"/>
          <w:lang w:val="uk-UA"/>
        </w:rPr>
        <w:t xml:space="preserve">03150, </w:t>
      </w:r>
      <w:proofErr w:type="spellStart"/>
      <w:r w:rsidR="006E3B0B">
        <w:rPr>
          <w:rFonts w:ascii="Times New Roman" w:hAnsi="Times New Roman"/>
          <w:bCs/>
          <w:sz w:val="18"/>
          <w:szCs w:val="18"/>
          <w:lang w:val="uk-UA"/>
        </w:rPr>
        <w:t>Kyiv</w:t>
      </w:r>
      <w:proofErr w:type="spellEnd"/>
      <w:r w:rsidR="006E3B0B">
        <w:rPr>
          <w:rFonts w:ascii="Times New Roman" w:hAnsi="Times New Roman"/>
          <w:bCs/>
          <w:sz w:val="18"/>
          <w:szCs w:val="18"/>
          <w:lang w:val="uk-UA"/>
        </w:rPr>
        <w:t xml:space="preserve">, </w:t>
      </w:r>
      <w:proofErr w:type="spellStart"/>
      <w:r w:rsidR="006E3B0B">
        <w:rPr>
          <w:rFonts w:ascii="Times New Roman" w:hAnsi="Times New Roman"/>
          <w:bCs/>
          <w:sz w:val="18"/>
          <w:szCs w:val="18"/>
          <w:lang w:val="uk-UA"/>
        </w:rPr>
        <w:t>Velyka</w:t>
      </w:r>
      <w:proofErr w:type="spellEnd"/>
      <w:r w:rsidR="006E3B0B">
        <w:rPr>
          <w:rFonts w:ascii="Times New Roman" w:hAnsi="Times New Roman"/>
          <w:bCs/>
          <w:sz w:val="18"/>
          <w:szCs w:val="18"/>
          <w:lang w:val="uk-UA"/>
        </w:rPr>
        <w:t xml:space="preserve"> </w:t>
      </w:r>
      <w:proofErr w:type="spellStart"/>
      <w:r w:rsidR="006E3B0B">
        <w:rPr>
          <w:rFonts w:ascii="Times New Roman" w:hAnsi="Times New Roman"/>
          <w:bCs/>
          <w:sz w:val="18"/>
          <w:szCs w:val="18"/>
          <w:lang w:val="uk-UA"/>
        </w:rPr>
        <w:t>Vasilkivska</w:t>
      </w:r>
      <w:proofErr w:type="spellEnd"/>
      <w:r w:rsidR="006E3B0B">
        <w:rPr>
          <w:rFonts w:ascii="Times New Roman" w:hAnsi="Times New Roman"/>
          <w:bCs/>
          <w:sz w:val="18"/>
          <w:szCs w:val="18"/>
          <w:lang w:val="uk-UA"/>
        </w:rPr>
        <w:t xml:space="preserve"> (</w:t>
      </w:r>
      <w:proofErr w:type="spellStart"/>
      <w:r w:rsidR="006E3B0B">
        <w:rPr>
          <w:rFonts w:ascii="Times New Roman" w:hAnsi="Times New Roman"/>
          <w:bCs/>
          <w:sz w:val="18"/>
          <w:szCs w:val="18"/>
          <w:lang w:val="uk-UA"/>
        </w:rPr>
        <w:t>former</w:t>
      </w:r>
      <w:proofErr w:type="spellEnd"/>
      <w:r w:rsidR="006E3B0B">
        <w:rPr>
          <w:rFonts w:ascii="Times New Roman" w:hAnsi="Times New Roman"/>
          <w:bCs/>
          <w:sz w:val="18"/>
          <w:szCs w:val="18"/>
          <w:lang w:val="uk-UA"/>
        </w:rPr>
        <w:t xml:space="preserve"> </w:t>
      </w:r>
      <w:proofErr w:type="spellStart"/>
      <w:r w:rsidR="006E3B0B">
        <w:rPr>
          <w:rFonts w:ascii="Times New Roman" w:hAnsi="Times New Roman"/>
          <w:bCs/>
          <w:sz w:val="18"/>
          <w:szCs w:val="18"/>
          <w:lang w:val="uk-UA"/>
        </w:rPr>
        <w:t>Chervonoarmiyska</w:t>
      </w:r>
      <w:proofErr w:type="spellEnd"/>
      <w:r w:rsidR="006E3B0B">
        <w:rPr>
          <w:rFonts w:ascii="Times New Roman" w:hAnsi="Times New Roman"/>
          <w:bCs/>
          <w:sz w:val="18"/>
          <w:szCs w:val="18"/>
          <w:lang w:val="uk-UA"/>
        </w:rPr>
        <w:t xml:space="preserve">) </w:t>
      </w:r>
      <w:proofErr w:type="spellStart"/>
      <w:r w:rsidR="006E3B0B">
        <w:rPr>
          <w:rFonts w:ascii="Times New Roman" w:hAnsi="Times New Roman"/>
          <w:bCs/>
          <w:sz w:val="18"/>
          <w:szCs w:val="18"/>
          <w:lang w:val="uk-UA"/>
        </w:rPr>
        <w:t>str</w:t>
      </w:r>
      <w:proofErr w:type="spellEnd"/>
      <w:r w:rsidR="006E3B0B">
        <w:rPr>
          <w:rFonts w:ascii="Times New Roman" w:hAnsi="Times New Roman"/>
          <w:bCs/>
          <w:sz w:val="18"/>
          <w:szCs w:val="18"/>
          <w:lang w:val="uk-UA"/>
        </w:rPr>
        <w:t>., 65</w:t>
      </w:r>
    </w:p>
    <w:p w14:paraId="31D611AE" w14:textId="77777777" w:rsidR="002506EC" w:rsidRPr="00E16672" w:rsidRDefault="002506EC" w:rsidP="002506EC">
      <w:pPr>
        <w:jc w:val="center"/>
        <w:rPr>
          <w:rFonts w:ascii="Times New Roman" w:hAnsi="Times New Roman"/>
          <w:bCs/>
          <w:sz w:val="18"/>
          <w:szCs w:val="18"/>
          <w:lang w:val="uk-UA"/>
        </w:rPr>
      </w:pPr>
      <w:proofErr w:type="spellStart"/>
      <w:r w:rsidRPr="00E16672">
        <w:rPr>
          <w:rFonts w:ascii="Times New Roman" w:hAnsi="Times New Roman"/>
          <w:bCs/>
          <w:sz w:val="18"/>
          <w:szCs w:val="18"/>
          <w:lang w:val="uk-UA"/>
        </w:rPr>
        <w:t>Accounts</w:t>
      </w:r>
      <w:proofErr w:type="spellEnd"/>
      <w:r w:rsidRPr="00E16672">
        <w:rPr>
          <w:rFonts w:ascii="Times New Roman" w:hAnsi="Times New Roman"/>
          <w:bCs/>
          <w:sz w:val="18"/>
          <w:szCs w:val="18"/>
          <w:lang w:val="uk-UA"/>
        </w:rPr>
        <w:t xml:space="preserve"> </w:t>
      </w:r>
      <w:proofErr w:type="spellStart"/>
      <w:r w:rsidRPr="00E16672">
        <w:rPr>
          <w:rFonts w:ascii="Times New Roman" w:hAnsi="Times New Roman"/>
          <w:bCs/>
          <w:sz w:val="18"/>
          <w:szCs w:val="18"/>
          <w:lang w:val="uk-UA"/>
        </w:rPr>
        <w:t>in</w:t>
      </w:r>
      <w:proofErr w:type="spellEnd"/>
      <w:r w:rsidRPr="00E16672">
        <w:rPr>
          <w:rFonts w:ascii="Times New Roman" w:hAnsi="Times New Roman"/>
          <w:bCs/>
          <w:sz w:val="18"/>
          <w:szCs w:val="18"/>
          <w:lang w:val="uk-UA"/>
        </w:rPr>
        <w:t xml:space="preserve"> </w:t>
      </w:r>
      <w:proofErr w:type="spellStart"/>
      <w:r w:rsidRPr="00E16672">
        <w:rPr>
          <w:rFonts w:ascii="Times New Roman" w:hAnsi="Times New Roman"/>
          <w:bCs/>
          <w:sz w:val="18"/>
          <w:szCs w:val="18"/>
          <w:lang w:val="uk-UA"/>
        </w:rPr>
        <w:t>the</w:t>
      </w:r>
      <w:proofErr w:type="spellEnd"/>
      <w:r w:rsidRPr="00E16672">
        <w:rPr>
          <w:rFonts w:ascii="Times New Roman" w:hAnsi="Times New Roman"/>
          <w:bCs/>
          <w:sz w:val="18"/>
          <w:szCs w:val="18"/>
          <w:lang w:val="uk-UA"/>
        </w:rPr>
        <w:t xml:space="preserve"> </w:t>
      </w:r>
      <w:proofErr w:type="spellStart"/>
      <w:r w:rsidRPr="00E16672">
        <w:rPr>
          <w:rFonts w:ascii="Times New Roman" w:hAnsi="Times New Roman"/>
          <w:bCs/>
          <w:sz w:val="18"/>
          <w:szCs w:val="18"/>
          <w:lang w:val="uk-UA"/>
        </w:rPr>
        <w:t>Central</w:t>
      </w:r>
      <w:proofErr w:type="spellEnd"/>
      <w:r w:rsidRPr="00E16672">
        <w:rPr>
          <w:rFonts w:ascii="Times New Roman" w:hAnsi="Times New Roman"/>
          <w:bCs/>
          <w:sz w:val="18"/>
          <w:szCs w:val="18"/>
          <w:lang w:val="uk-UA"/>
        </w:rPr>
        <w:t xml:space="preserve"> </w:t>
      </w:r>
      <w:proofErr w:type="spellStart"/>
      <w:r w:rsidRPr="00E16672">
        <w:rPr>
          <w:rFonts w:ascii="Times New Roman" w:hAnsi="Times New Roman"/>
          <w:bCs/>
          <w:sz w:val="18"/>
          <w:szCs w:val="18"/>
          <w:lang w:val="uk-UA"/>
        </w:rPr>
        <w:t>Depository</w:t>
      </w:r>
      <w:proofErr w:type="spellEnd"/>
      <w:r w:rsidRPr="00E16672">
        <w:rPr>
          <w:rFonts w:ascii="Times New Roman" w:hAnsi="Times New Roman"/>
          <w:bCs/>
          <w:sz w:val="18"/>
          <w:szCs w:val="18"/>
          <w:lang w:val="uk-UA"/>
        </w:rPr>
        <w:t xml:space="preserve"> №100024-UA40</w:t>
      </w:r>
      <w:r w:rsidR="006E3B0B">
        <w:rPr>
          <w:rFonts w:ascii="Times New Roman" w:hAnsi="Times New Roman"/>
          <w:bCs/>
          <w:sz w:val="18"/>
          <w:szCs w:val="18"/>
          <w:lang w:val="uk-UA"/>
        </w:rPr>
        <w:t>401265</w:t>
      </w:r>
      <w:r w:rsidRPr="00E16672">
        <w:rPr>
          <w:rFonts w:ascii="Times New Roman" w:hAnsi="Times New Roman"/>
          <w:bCs/>
          <w:sz w:val="18"/>
          <w:szCs w:val="18"/>
          <w:lang w:val="uk-UA"/>
        </w:rPr>
        <w:t xml:space="preserve">, </w:t>
      </w:r>
      <w:proofErr w:type="spellStart"/>
      <w:r w:rsidRPr="00E16672">
        <w:rPr>
          <w:rFonts w:ascii="Times New Roman" w:hAnsi="Times New Roman"/>
          <w:bCs/>
          <w:sz w:val="18"/>
          <w:szCs w:val="18"/>
          <w:lang w:val="uk-UA"/>
        </w:rPr>
        <w:t>code</w:t>
      </w:r>
      <w:proofErr w:type="spellEnd"/>
      <w:r w:rsidRPr="00E16672">
        <w:rPr>
          <w:rFonts w:ascii="Times New Roman" w:hAnsi="Times New Roman"/>
          <w:bCs/>
          <w:sz w:val="18"/>
          <w:szCs w:val="18"/>
          <w:lang w:val="uk-UA"/>
        </w:rPr>
        <w:t xml:space="preserve"> MDO </w:t>
      </w:r>
      <w:r w:rsidR="006E3B0B">
        <w:rPr>
          <w:rFonts w:ascii="Times New Roman" w:hAnsi="Times New Roman"/>
          <w:bCs/>
          <w:sz w:val="18"/>
          <w:szCs w:val="18"/>
          <w:lang w:val="uk-UA"/>
        </w:rPr>
        <w:t>401265</w:t>
      </w:r>
    </w:p>
    <w:p w14:paraId="7C71084A" w14:textId="77777777" w:rsidR="002506EC" w:rsidRPr="00E16672" w:rsidRDefault="002506EC" w:rsidP="002506EC">
      <w:pPr>
        <w:rPr>
          <w:rFonts w:ascii="Times New Roman" w:hAnsi="Times New Roman"/>
          <w:bCs/>
          <w:color w:val="000000"/>
          <w:sz w:val="18"/>
          <w:szCs w:val="18"/>
          <w:lang w:val="uk-UA"/>
        </w:rPr>
      </w:pPr>
    </w:p>
    <w:p w14:paraId="1757F50C" w14:textId="77777777" w:rsidR="002506EC" w:rsidRPr="00E16672" w:rsidRDefault="002506EC" w:rsidP="002506EC">
      <w:pPr>
        <w:rPr>
          <w:rFonts w:ascii="Times New Roman" w:hAnsi="Times New Roman"/>
        </w:rPr>
      </w:pPr>
      <w:proofErr w:type="spellStart"/>
      <w:r w:rsidRPr="00E16672">
        <w:rPr>
          <w:rFonts w:ascii="Times New Roman" w:hAnsi="Times New Roman"/>
        </w:rPr>
        <w:t>Вих</w:t>
      </w:r>
      <w:proofErr w:type="spellEnd"/>
      <w:r w:rsidRPr="00E16672">
        <w:rPr>
          <w:rFonts w:ascii="Times New Roman" w:hAnsi="Times New Roman"/>
        </w:rPr>
        <w:t>. № ____</w:t>
      </w:r>
      <w:r w:rsidRPr="00E16672">
        <w:rPr>
          <w:rFonts w:ascii="Times New Roman" w:hAnsi="Times New Roman"/>
          <w:lang w:val="uk-UA"/>
        </w:rPr>
        <w:t>_____</w:t>
      </w:r>
      <w:r w:rsidRPr="00E16672">
        <w:rPr>
          <w:rFonts w:ascii="Times New Roman" w:hAnsi="Times New Roman"/>
        </w:rPr>
        <w:t>_</w:t>
      </w:r>
    </w:p>
    <w:p w14:paraId="24609212" w14:textId="77777777" w:rsidR="002506EC" w:rsidRPr="00E16672" w:rsidRDefault="00602650" w:rsidP="002506EC">
      <w:pPr>
        <w:rPr>
          <w:rFonts w:ascii="Times New Roman" w:hAnsi="Times New Roman"/>
          <w:lang w:val="uk-UA"/>
        </w:rPr>
      </w:pPr>
      <w:r>
        <w:rPr>
          <w:rFonts w:ascii="Times New Roman" w:hAnsi="Times New Roman"/>
          <w:lang w:val="uk-UA"/>
        </w:rPr>
        <w:t>в</w:t>
      </w:r>
      <w:r w:rsidR="002506EC" w:rsidRPr="00E16672">
        <w:rPr>
          <w:rFonts w:ascii="Times New Roman" w:hAnsi="Times New Roman"/>
          <w:lang w:val="uk-UA"/>
        </w:rPr>
        <w:t>ід _______ 20__р.</w:t>
      </w:r>
    </w:p>
    <w:p w14:paraId="27D085AC" w14:textId="64BC3185" w:rsidR="002506EC" w:rsidRPr="00E16672" w:rsidRDefault="002506EC" w:rsidP="002506EC">
      <w:pPr>
        <w:jc w:val="center"/>
        <w:rPr>
          <w:rFonts w:ascii="Times New Roman" w:hAnsi="Times New Roman"/>
          <w:sz w:val="36"/>
          <w:lang w:val="uk-UA"/>
        </w:rPr>
      </w:pPr>
      <w:r w:rsidRPr="00E16672">
        <w:rPr>
          <w:rFonts w:ascii="Times New Roman" w:hAnsi="Times New Roman"/>
          <w:color w:val="000000"/>
          <w:sz w:val="36"/>
          <w:lang w:val="uk-UA"/>
        </w:rPr>
        <w:t xml:space="preserve">Свідоцтво про закриття рахунку у </w:t>
      </w:r>
      <w:r w:rsidR="00C470B6">
        <w:rPr>
          <w:rFonts w:ascii="Times New Roman" w:hAnsi="Times New Roman"/>
          <w:color w:val="000000"/>
          <w:sz w:val="36"/>
          <w:lang w:val="uk-UA"/>
        </w:rPr>
        <w:t>цінних паперах</w:t>
      </w:r>
    </w:p>
    <w:p w14:paraId="05A4D5C1" w14:textId="77777777" w:rsidR="002506EC" w:rsidRPr="00E16672" w:rsidRDefault="002506EC" w:rsidP="002506EC">
      <w:pPr>
        <w:jc w:val="center"/>
        <w:rPr>
          <w:rFonts w:ascii="Times New Roman" w:hAnsi="Times New Roman"/>
          <w:color w:val="000000"/>
          <w:sz w:val="36"/>
          <w:lang w:val="uk-UA"/>
        </w:rPr>
      </w:pPr>
      <w:proofErr w:type="spellStart"/>
      <w:r w:rsidRPr="00E16672">
        <w:rPr>
          <w:rFonts w:ascii="Times New Roman" w:hAnsi="Times New Roman"/>
          <w:color w:val="000000"/>
          <w:sz w:val="36"/>
          <w:lang w:val="uk-UA"/>
        </w:rPr>
        <w:t>Certificate</w:t>
      </w:r>
      <w:proofErr w:type="spellEnd"/>
      <w:r w:rsidRPr="00E16672">
        <w:rPr>
          <w:rFonts w:ascii="Times New Roman" w:hAnsi="Times New Roman"/>
          <w:color w:val="000000"/>
          <w:sz w:val="36"/>
          <w:lang w:val="uk-UA"/>
        </w:rPr>
        <w:t xml:space="preserve"> </w:t>
      </w:r>
      <w:proofErr w:type="spellStart"/>
      <w:r w:rsidRPr="00E16672">
        <w:rPr>
          <w:rFonts w:ascii="Times New Roman" w:hAnsi="Times New Roman"/>
          <w:color w:val="000000"/>
          <w:sz w:val="36"/>
          <w:lang w:val="uk-UA"/>
        </w:rPr>
        <w:t>of</w:t>
      </w:r>
      <w:proofErr w:type="spellEnd"/>
      <w:r w:rsidRPr="00E16672">
        <w:rPr>
          <w:rFonts w:ascii="Times New Roman" w:hAnsi="Times New Roman"/>
          <w:color w:val="000000"/>
          <w:sz w:val="36"/>
          <w:lang w:val="uk-UA"/>
        </w:rPr>
        <w:t xml:space="preserve"> </w:t>
      </w:r>
      <w:proofErr w:type="spellStart"/>
      <w:r w:rsidRPr="00E16672">
        <w:rPr>
          <w:rFonts w:ascii="Times New Roman" w:hAnsi="Times New Roman"/>
          <w:color w:val="000000"/>
          <w:sz w:val="36"/>
          <w:lang w:val="uk-UA"/>
        </w:rPr>
        <w:t>closing</w:t>
      </w:r>
      <w:proofErr w:type="spellEnd"/>
      <w:r w:rsidRPr="00E16672">
        <w:rPr>
          <w:rFonts w:ascii="Times New Roman" w:hAnsi="Times New Roman"/>
          <w:color w:val="000000"/>
          <w:sz w:val="36"/>
          <w:lang w:val="uk-UA"/>
        </w:rPr>
        <w:t xml:space="preserve"> </w:t>
      </w:r>
      <w:proofErr w:type="spellStart"/>
      <w:r w:rsidRPr="00E16672">
        <w:rPr>
          <w:rFonts w:ascii="Times New Roman" w:hAnsi="Times New Roman"/>
          <w:color w:val="000000"/>
          <w:sz w:val="36"/>
          <w:lang w:val="uk-UA"/>
        </w:rPr>
        <w:t>the</w:t>
      </w:r>
      <w:proofErr w:type="spellEnd"/>
      <w:r w:rsidRPr="00E16672">
        <w:rPr>
          <w:rFonts w:ascii="Times New Roman" w:hAnsi="Times New Roman"/>
          <w:color w:val="000000"/>
          <w:sz w:val="36"/>
          <w:lang w:val="uk-UA"/>
        </w:rPr>
        <w:t xml:space="preserve"> </w:t>
      </w:r>
      <w:proofErr w:type="spellStart"/>
      <w:r w:rsidRPr="00E16672">
        <w:rPr>
          <w:rFonts w:ascii="Times New Roman" w:hAnsi="Times New Roman"/>
          <w:color w:val="000000"/>
          <w:sz w:val="36"/>
          <w:lang w:val="uk-UA"/>
        </w:rPr>
        <w:t>account</w:t>
      </w:r>
      <w:proofErr w:type="spellEnd"/>
      <w:r w:rsidRPr="00E16672">
        <w:rPr>
          <w:rFonts w:ascii="Times New Roman" w:hAnsi="Times New Roman"/>
          <w:color w:val="000000"/>
          <w:sz w:val="36"/>
          <w:lang w:val="uk-UA"/>
        </w:rPr>
        <w:t xml:space="preserve"> </w:t>
      </w:r>
      <w:proofErr w:type="spellStart"/>
      <w:r w:rsidRPr="00E16672">
        <w:rPr>
          <w:rFonts w:ascii="Times New Roman" w:hAnsi="Times New Roman"/>
          <w:color w:val="000000"/>
          <w:sz w:val="36"/>
          <w:lang w:val="uk-UA"/>
        </w:rPr>
        <w:t>in</w:t>
      </w:r>
      <w:proofErr w:type="spellEnd"/>
      <w:r w:rsidRPr="00E16672">
        <w:rPr>
          <w:rFonts w:ascii="Times New Roman" w:hAnsi="Times New Roman"/>
          <w:color w:val="000000"/>
          <w:sz w:val="36"/>
          <w:lang w:val="uk-UA"/>
        </w:rPr>
        <w:t xml:space="preserve"> </w:t>
      </w:r>
      <w:proofErr w:type="spellStart"/>
      <w:r w:rsidRPr="00E16672">
        <w:rPr>
          <w:rFonts w:ascii="Times New Roman" w:hAnsi="Times New Roman"/>
          <w:color w:val="000000"/>
          <w:sz w:val="36"/>
          <w:lang w:val="uk-UA"/>
        </w:rPr>
        <w:t>the</w:t>
      </w:r>
      <w:proofErr w:type="spellEnd"/>
      <w:r w:rsidRPr="00E16672">
        <w:rPr>
          <w:rFonts w:ascii="Times New Roman" w:hAnsi="Times New Roman"/>
          <w:color w:val="000000"/>
          <w:sz w:val="36"/>
          <w:lang w:val="uk-UA"/>
        </w:rPr>
        <w:t xml:space="preserve"> </w:t>
      </w:r>
      <w:proofErr w:type="spellStart"/>
      <w:r w:rsidRPr="00E16672">
        <w:rPr>
          <w:rFonts w:ascii="Times New Roman" w:hAnsi="Times New Roman"/>
          <w:color w:val="000000"/>
          <w:sz w:val="36"/>
          <w:lang w:val="uk-UA"/>
        </w:rPr>
        <w:t>securities</w:t>
      </w:r>
      <w:proofErr w:type="spellEnd"/>
    </w:p>
    <w:p w14:paraId="1FA8FE6B" w14:textId="77777777" w:rsidR="002506EC" w:rsidRPr="00E16672" w:rsidRDefault="002506EC" w:rsidP="002506EC">
      <w:pPr>
        <w:rPr>
          <w:rFonts w:ascii="Times New Roman" w:hAnsi="Times New Roman"/>
          <w:color w:val="000000"/>
          <w:sz w:val="28"/>
          <w:lang w:val="uk-UA"/>
        </w:rPr>
      </w:pPr>
    </w:p>
    <w:p w14:paraId="31351647" w14:textId="77777777" w:rsidR="002506EC" w:rsidRPr="00E16672" w:rsidRDefault="002506EC" w:rsidP="002506EC">
      <w:pPr>
        <w:rPr>
          <w:rFonts w:ascii="Times New Roman" w:hAnsi="Times New Roman"/>
          <w:color w:val="000000"/>
          <w:sz w:val="28"/>
          <w:lang w:val="uk-UA"/>
        </w:rPr>
      </w:pPr>
    </w:p>
    <w:p w14:paraId="5CA47F9A" w14:textId="77777777" w:rsidR="00602650" w:rsidRPr="00E16672" w:rsidRDefault="00602650" w:rsidP="00602650">
      <w:pPr>
        <w:rPr>
          <w:rFonts w:ascii="Times New Roman" w:hAnsi="Times New Roman"/>
          <w:color w:val="000000"/>
          <w:sz w:val="28"/>
          <w:lang w:val="uk-UA"/>
        </w:rPr>
      </w:pPr>
      <w:r w:rsidRPr="00602650">
        <w:rPr>
          <w:rFonts w:ascii="Times New Roman" w:hAnsi="Times New Roman"/>
          <w:color w:val="000000"/>
          <w:sz w:val="28"/>
          <w:lang w:val="uk-UA"/>
        </w:rPr>
        <w:t>м. Київ</w:t>
      </w:r>
    </w:p>
    <w:p w14:paraId="2DC020AC" w14:textId="77777777" w:rsidR="00602650" w:rsidRDefault="00602650" w:rsidP="00602650">
      <w:pPr>
        <w:pStyle w:val="mystylen"/>
        <w:keepNext w:val="0"/>
        <w:keepLines w:val="0"/>
        <w:pageBreakBefore w:val="0"/>
        <w:spacing w:before="0" w:after="0"/>
        <w:jc w:val="both"/>
        <w:rPr>
          <w:rFonts w:ascii="Times New Roman" w:hAnsi="Times New Roman"/>
          <w:color w:val="000000"/>
          <w:lang w:val="uk-UA"/>
        </w:rPr>
      </w:pPr>
      <w:r w:rsidRPr="00E16672">
        <w:rPr>
          <w:rFonts w:ascii="Times New Roman" w:hAnsi="Times New Roman"/>
          <w:color w:val="000000"/>
          <w:lang w:val="uk-UA"/>
        </w:rPr>
        <w:t>“</w:t>
      </w:r>
      <w:r>
        <w:rPr>
          <w:rFonts w:ascii="Times New Roman" w:hAnsi="Times New Roman"/>
          <w:color w:val="000000"/>
          <w:lang w:val="uk-UA"/>
        </w:rPr>
        <w:t xml:space="preserve">     </w:t>
      </w:r>
      <w:r w:rsidRPr="00E16672">
        <w:rPr>
          <w:rFonts w:ascii="Times New Roman" w:hAnsi="Times New Roman"/>
          <w:color w:val="000000"/>
          <w:lang w:val="uk-UA"/>
        </w:rPr>
        <w:t xml:space="preserve">” _______ </w:t>
      </w:r>
      <w:r>
        <w:rPr>
          <w:rFonts w:ascii="Times New Roman" w:hAnsi="Times New Roman"/>
          <w:color w:val="000000"/>
          <w:lang w:val="uk-UA"/>
        </w:rPr>
        <w:t>20</w:t>
      </w:r>
      <w:r w:rsidRPr="00E16672">
        <w:rPr>
          <w:rFonts w:ascii="Times New Roman" w:hAnsi="Times New Roman"/>
          <w:color w:val="000000"/>
          <w:lang w:val="uk-UA"/>
        </w:rPr>
        <w:t>____ р.</w:t>
      </w:r>
      <w:r w:rsidRPr="00E16672">
        <w:rPr>
          <w:rFonts w:ascii="Times New Roman" w:hAnsi="Times New Roman"/>
          <w:color w:val="000000"/>
          <w:lang w:val="uk-UA"/>
        </w:rPr>
        <w:tab/>
      </w:r>
    </w:p>
    <w:p w14:paraId="3EB22546" w14:textId="77777777" w:rsidR="00602650" w:rsidRDefault="00602650" w:rsidP="00602650">
      <w:pPr>
        <w:pStyle w:val="mystylen"/>
        <w:keepNext w:val="0"/>
        <w:keepLines w:val="0"/>
        <w:pageBreakBefore w:val="0"/>
        <w:spacing w:before="0" w:after="0"/>
        <w:jc w:val="both"/>
        <w:rPr>
          <w:rFonts w:ascii="Times New Roman" w:hAnsi="Times New Roman"/>
          <w:color w:val="000000"/>
          <w:lang w:val="uk-UA"/>
        </w:rPr>
      </w:pPr>
      <w:proofErr w:type="spellStart"/>
      <w:r>
        <w:rPr>
          <w:rFonts w:ascii="Times New Roman" w:hAnsi="Times New Roman"/>
          <w:color w:val="000000"/>
          <w:lang w:val="uk-UA"/>
        </w:rPr>
        <w:t>Kyiv</w:t>
      </w:r>
      <w:proofErr w:type="spellEnd"/>
      <w:r w:rsidRPr="00E16672">
        <w:rPr>
          <w:rFonts w:ascii="Times New Roman" w:hAnsi="Times New Roman"/>
          <w:color w:val="000000"/>
          <w:lang w:val="uk-UA"/>
        </w:rPr>
        <w:tab/>
      </w:r>
      <w:r w:rsidRPr="00E16672">
        <w:rPr>
          <w:rFonts w:ascii="Times New Roman" w:hAnsi="Times New Roman"/>
          <w:color w:val="000000"/>
          <w:lang w:val="uk-UA"/>
        </w:rPr>
        <w:tab/>
        <w:t xml:space="preserve">                     </w:t>
      </w:r>
      <w:r w:rsidRPr="00E16672">
        <w:rPr>
          <w:rFonts w:ascii="Times New Roman" w:hAnsi="Times New Roman"/>
          <w:color w:val="000000"/>
          <w:lang w:val="uk-UA"/>
        </w:rPr>
        <w:tab/>
      </w:r>
      <w:r w:rsidRPr="00E16672">
        <w:rPr>
          <w:rFonts w:ascii="Times New Roman" w:hAnsi="Times New Roman"/>
          <w:color w:val="000000"/>
          <w:lang w:val="uk-UA"/>
        </w:rPr>
        <w:tab/>
      </w:r>
      <w:r w:rsidRPr="00E16672">
        <w:rPr>
          <w:rFonts w:ascii="Times New Roman" w:hAnsi="Times New Roman"/>
          <w:color w:val="000000"/>
          <w:lang w:val="uk-UA"/>
        </w:rPr>
        <w:tab/>
      </w:r>
    </w:p>
    <w:p w14:paraId="534CD083" w14:textId="77777777" w:rsidR="002506EC" w:rsidRPr="00E16672" w:rsidRDefault="00602650" w:rsidP="00602650">
      <w:pPr>
        <w:rPr>
          <w:rFonts w:ascii="Times New Roman" w:hAnsi="Times New Roman"/>
          <w:color w:val="000000"/>
          <w:sz w:val="28"/>
          <w:lang w:val="uk-UA"/>
        </w:rPr>
      </w:pPr>
      <w:r w:rsidRPr="00E16672">
        <w:rPr>
          <w:rFonts w:ascii="Times New Roman" w:hAnsi="Times New Roman"/>
          <w:color w:val="000000"/>
          <w:lang w:val="uk-UA"/>
        </w:rPr>
        <w:t>“</w:t>
      </w:r>
      <w:r>
        <w:rPr>
          <w:rFonts w:ascii="Times New Roman" w:hAnsi="Times New Roman"/>
          <w:color w:val="000000"/>
          <w:lang w:val="uk-UA"/>
        </w:rPr>
        <w:t xml:space="preserve">     </w:t>
      </w:r>
      <w:r w:rsidRPr="00E16672">
        <w:rPr>
          <w:rFonts w:ascii="Times New Roman" w:hAnsi="Times New Roman"/>
          <w:color w:val="000000"/>
          <w:lang w:val="uk-UA"/>
        </w:rPr>
        <w:t xml:space="preserve">” _______ </w:t>
      </w:r>
      <w:r>
        <w:rPr>
          <w:rFonts w:ascii="Times New Roman" w:hAnsi="Times New Roman"/>
          <w:color w:val="000000"/>
          <w:lang w:val="uk-UA"/>
        </w:rPr>
        <w:t>20</w:t>
      </w:r>
      <w:r w:rsidRPr="00E16672">
        <w:rPr>
          <w:rFonts w:ascii="Times New Roman" w:hAnsi="Times New Roman"/>
          <w:color w:val="000000"/>
          <w:lang w:val="uk-UA"/>
        </w:rPr>
        <w:t xml:space="preserve">____ </w:t>
      </w:r>
      <w:r w:rsidRPr="00E16672">
        <w:rPr>
          <w:rFonts w:ascii="Times New Roman" w:hAnsi="Times New Roman"/>
          <w:color w:val="000000"/>
          <w:lang w:val="en-US"/>
        </w:rPr>
        <w:t xml:space="preserve">                                                                     </w:t>
      </w:r>
    </w:p>
    <w:p w14:paraId="44E80283" w14:textId="77777777" w:rsidR="002506EC" w:rsidRPr="00E16672" w:rsidRDefault="002506EC" w:rsidP="002506EC">
      <w:pPr>
        <w:rPr>
          <w:rFonts w:ascii="Times New Roman" w:hAnsi="Times New Roman"/>
          <w:color w:val="000000"/>
          <w:sz w:val="28"/>
          <w:lang w:val="uk-UA"/>
        </w:rPr>
      </w:pPr>
    </w:p>
    <w:p w14:paraId="13B53C07" w14:textId="77777777" w:rsidR="002506EC" w:rsidRPr="00E16672" w:rsidRDefault="002506EC" w:rsidP="002506EC">
      <w:pPr>
        <w:jc w:val="center"/>
        <w:rPr>
          <w:rFonts w:ascii="Times New Roman" w:hAnsi="Times New Roman"/>
          <w:color w:val="000000"/>
          <w:sz w:val="28"/>
          <w:lang w:val="uk-UA"/>
        </w:rPr>
      </w:pPr>
    </w:p>
    <w:p w14:paraId="2ACC8341" w14:textId="77777777" w:rsidR="002506EC" w:rsidRPr="00E16672" w:rsidRDefault="002506EC" w:rsidP="002506EC">
      <w:pPr>
        <w:jc w:val="center"/>
        <w:rPr>
          <w:rFonts w:ascii="Times New Roman" w:hAnsi="Times New Roman"/>
          <w:sz w:val="28"/>
          <w:lang w:val="uk-UA"/>
        </w:rPr>
      </w:pPr>
      <w:r w:rsidRPr="00E16672">
        <w:rPr>
          <w:rFonts w:ascii="Times New Roman" w:hAnsi="Times New Roman"/>
          <w:sz w:val="32"/>
          <w:szCs w:val="32"/>
          <w:lang w:val="uk-UA"/>
        </w:rPr>
        <w:t xml:space="preserve">Видано /  </w:t>
      </w:r>
      <w:proofErr w:type="spellStart"/>
      <w:r w:rsidRPr="00E16672">
        <w:rPr>
          <w:rFonts w:ascii="Times New Roman" w:hAnsi="Times New Roman"/>
          <w:sz w:val="32"/>
          <w:szCs w:val="32"/>
          <w:lang w:val="uk-UA"/>
        </w:rPr>
        <w:t>given</w:t>
      </w:r>
      <w:proofErr w:type="spellEnd"/>
      <w:r w:rsidRPr="00E16672">
        <w:rPr>
          <w:rFonts w:ascii="Times New Roman" w:hAnsi="Times New Roman"/>
          <w:sz w:val="32"/>
          <w:szCs w:val="32"/>
          <w:lang w:val="uk-UA"/>
        </w:rPr>
        <w:t xml:space="preserve"> </w:t>
      </w:r>
      <w:proofErr w:type="spellStart"/>
      <w:r w:rsidRPr="00E16672">
        <w:rPr>
          <w:rFonts w:ascii="Times New Roman" w:hAnsi="Times New Roman"/>
          <w:sz w:val="32"/>
          <w:szCs w:val="32"/>
          <w:lang w:val="uk-UA"/>
        </w:rPr>
        <w:t>to</w:t>
      </w:r>
      <w:proofErr w:type="spellEnd"/>
      <w:r w:rsidRPr="00E16672">
        <w:rPr>
          <w:rFonts w:ascii="Times New Roman" w:hAnsi="Times New Roman"/>
          <w:sz w:val="32"/>
          <w:szCs w:val="32"/>
          <w:lang w:val="uk-UA"/>
        </w:rPr>
        <w:t xml:space="preserve">: </w:t>
      </w:r>
    </w:p>
    <w:p w14:paraId="02D41CA0" w14:textId="77777777" w:rsidR="002506EC" w:rsidRPr="00E16672" w:rsidRDefault="002506EC" w:rsidP="002506EC">
      <w:pPr>
        <w:jc w:val="center"/>
        <w:rPr>
          <w:rFonts w:ascii="Times New Roman" w:hAnsi="Times New Roman"/>
          <w:sz w:val="28"/>
          <w:lang w:val="uk-UA"/>
        </w:rPr>
      </w:pPr>
      <w:r w:rsidRPr="00E16672">
        <w:rPr>
          <w:rFonts w:ascii="Times New Roman" w:hAnsi="Times New Roman"/>
          <w:sz w:val="28"/>
          <w:lang w:val="uk-UA"/>
        </w:rPr>
        <w:t>__________________________________________________</w:t>
      </w:r>
    </w:p>
    <w:p w14:paraId="1E5AC898" w14:textId="77777777" w:rsidR="002506EC" w:rsidRPr="00E16672" w:rsidRDefault="002506EC" w:rsidP="002506EC">
      <w:pPr>
        <w:jc w:val="center"/>
        <w:rPr>
          <w:rFonts w:ascii="Times New Roman" w:hAnsi="Times New Roman"/>
          <w:i/>
          <w:szCs w:val="20"/>
          <w:lang w:val="uk-UA"/>
        </w:rPr>
      </w:pPr>
      <w:r w:rsidRPr="00E16672">
        <w:rPr>
          <w:rFonts w:ascii="Times New Roman" w:hAnsi="Times New Roman"/>
          <w:i/>
          <w:szCs w:val="20"/>
          <w:lang w:val="uk-UA"/>
        </w:rPr>
        <w:t xml:space="preserve">(найменування, номер реєстрації юридичної особи в країні її місцезнаходження (для юридичної особи - нерезидента)/ </w:t>
      </w:r>
      <w:proofErr w:type="spellStart"/>
      <w:r w:rsidRPr="00E16672">
        <w:rPr>
          <w:rFonts w:ascii="Times New Roman" w:hAnsi="Times New Roman"/>
          <w:i/>
          <w:szCs w:val="20"/>
          <w:lang w:val="uk-UA"/>
        </w:rPr>
        <w:t>name</w:t>
      </w:r>
      <w:proofErr w:type="spellEnd"/>
      <w:r w:rsidRPr="00E16672">
        <w:rPr>
          <w:rFonts w:ascii="Times New Roman" w:hAnsi="Times New Roman"/>
          <w:i/>
          <w:szCs w:val="20"/>
          <w:lang w:val="uk-UA"/>
        </w:rPr>
        <w:t xml:space="preserve">, </w:t>
      </w:r>
      <w:proofErr w:type="spellStart"/>
      <w:r w:rsidRPr="00E16672">
        <w:rPr>
          <w:rFonts w:ascii="Times New Roman" w:hAnsi="Times New Roman"/>
          <w:i/>
          <w:szCs w:val="20"/>
          <w:lang w:val="uk-UA"/>
        </w:rPr>
        <w:t>number</w:t>
      </w:r>
      <w:proofErr w:type="spellEnd"/>
      <w:r w:rsidRPr="00E16672">
        <w:rPr>
          <w:rFonts w:ascii="Times New Roman" w:hAnsi="Times New Roman"/>
          <w:i/>
          <w:szCs w:val="20"/>
          <w:lang w:val="uk-UA"/>
        </w:rPr>
        <w:t xml:space="preserve"> </w:t>
      </w:r>
      <w:proofErr w:type="spellStart"/>
      <w:r w:rsidRPr="00E16672">
        <w:rPr>
          <w:rFonts w:ascii="Times New Roman" w:hAnsi="Times New Roman"/>
          <w:i/>
          <w:szCs w:val="20"/>
          <w:lang w:val="uk-UA"/>
        </w:rPr>
        <w:t>of</w:t>
      </w:r>
      <w:proofErr w:type="spellEnd"/>
      <w:r w:rsidRPr="00E16672">
        <w:rPr>
          <w:rFonts w:ascii="Times New Roman" w:hAnsi="Times New Roman"/>
          <w:i/>
          <w:szCs w:val="20"/>
          <w:lang w:val="uk-UA"/>
        </w:rPr>
        <w:t xml:space="preserve"> </w:t>
      </w:r>
      <w:proofErr w:type="spellStart"/>
      <w:r w:rsidRPr="00E16672">
        <w:rPr>
          <w:rFonts w:ascii="Times New Roman" w:hAnsi="Times New Roman"/>
          <w:i/>
          <w:szCs w:val="20"/>
          <w:lang w:val="uk-UA"/>
        </w:rPr>
        <w:t>registration</w:t>
      </w:r>
      <w:proofErr w:type="spellEnd"/>
      <w:r w:rsidRPr="00E16672">
        <w:rPr>
          <w:rFonts w:ascii="Times New Roman" w:hAnsi="Times New Roman"/>
          <w:i/>
          <w:szCs w:val="20"/>
          <w:lang w:val="uk-UA"/>
        </w:rPr>
        <w:t xml:space="preserve"> </w:t>
      </w:r>
      <w:proofErr w:type="spellStart"/>
      <w:r w:rsidRPr="00E16672">
        <w:rPr>
          <w:rFonts w:ascii="Times New Roman" w:hAnsi="Times New Roman"/>
          <w:i/>
          <w:szCs w:val="20"/>
          <w:lang w:val="uk-UA"/>
        </w:rPr>
        <w:t>of</w:t>
      </w:r>
      <w:proofErr w:type="spellEnd"/>
      <w:r w:rsidRPr="00E16672">
        <w:rPr>
          <w:rFonts w:ascii="Times New Roman" w:hAnsi="Times New Roman"/>
          <w:i/>
          <w:szCs w:val="20"/>
          <w:lang w:val="uk-UA"/>
        </w:rPr>
        <w:t xml:space="preserve"> </w:t>
      </w:r>
      <w:proofErr w:type="spellStart"/>
      <w:r w:rsidRPr="00E16672">
        <w:rPr>
          <w:rFonts w:ascii="Times New Roman" w:hAnsi="Times New Roman"/>
          <w:i/>
          <w:szCs w:val="20"/>
          <w:lang w:val="uk-UA"/>
        </w:rPr>
        <w:t>the</w:t>
      </w:r>
      <w:proofErr w:type="spellEnd"/>
      <w:r w:rsidRPr="00E16672">
        <w:rPr>
          <w:rFonts w:ascii="Times New Roman" w:hAnsi="Times New Roman"/>
          <w:i/>
          <w:szCs w:val="20"/>
          <w:lang w:val="uk-UA"/>
        </w:rPr>
        <w:t xml:space="preserve"> </w:t>
      </w:r>
      <w:proofErr w:type="spellStart"/>
      <w:r w:rsidRPr="00E16672">
        <w:rPr>
          <w:rFonts w:ascii="Times New Roman" w:hAnsi="Times New Roman"/>
          <w:i/>
          <w:szCs w:val="20"/>
          <w:lang w:val="uk-UA"/>
        </w:rPr>
        <w:t>legal</w:t>
      </w:r>
      <w:proofErr w:type="spellEnd"/>
      <w:r w:rsidRPr="00E16672">
        <w:rPr>
          <w:rFonts w:ascii="Times New Roman" w:hAnsi="Times New Roman"/>
          <w:i/>
          <w:szCs w:val="20"/>
          <w:lang w:val="uk-UA"/>
        </w:rPr>
        <w:t xml:space="preserve"> </w:t>
      </w:r>
      <w:proofErr w:type="spellStart"/>
      <w:r w:rsidRPr="00E16672">
        <w:rPr>
          <w:rFonts w:ascii="Times New Roman" w:hAnsi="Times New Roman"/>
          <w:i/>
          <w:szCs w:val="20"/>
          <w:lang w:val="uk-UA"/>
        </w:rPr>
        <w:t>entity</w:t>
      </w:r>
      <w:proofErr w:type="spellEnd"/>
      <w:r w:rsidRPr="00E16672">
        <w:rPr>
          <w:rFonts w:ascii="Times New Roman" w:hAnsi="Times New Roman"/>
          <w:i/>
          <w:szCs w:val="20"/>
          <w:lang w:val="uk-UA"/>
        </w:rPr>
        <w:t xml:space="preserve"> </w:t>
      </w:r>
      <w:proofErr w:type="spellStart"/>
      <w:r w:rsidRPr="00E16672">
        <w:rPr>
          <w:rFonts w:ascii="Times New Roman" w:hAnsi="Times New Roman"/>
          <w:i/>
          <w:szCs w:val="20"/>
          <w:lang w:val="uk-UA"/>
        </w:rPr>
        <w:t>in</w:t>
      </w:r>
      <w:proofErr w:type="spellEnd"/>
      <w:r w:rsidRPr="00E16672">
        <w:rPr>
          <w:rFonts w:ascii="Times New Roman" w:hAnsi="Times New Roman"/>
          <w:i/>
          <w:szCs w:val="20"/>
          <w:lang w:val="uk-UA"/>
        </w:rPr>
        <w:t xml:space="preserve"> </w:t>
      </w:r>
      <w:proofErr w:type="spellStart"/>
      <w:r w:rsidRPr="00E16672">
        <w:rPr>
          <w:rFonts w:ascii="Times New Roman" w:hAnsi="Times New Roman"/>
          <w:i/>
          <w:szCs w:val="20"/>
          <w:lang w:val="uk-UA"/>
        </w:rPr>
        <w:t>the</w:t>
      </w:r>
      <w:proofErr w:type="spellEnd"/>
      <w:r w:rsidRPr="00E16672">
        <w:rPr>
          <w:rFonts w:ascii="Times New Roman" w:hAnsi="Times New Roman"/>
          <w:i/>
          <w:szCs w:val="20"/>
          <w:lang w:val="uk-UA"/>
        </w:rPr>
        <w:t xml:space="preserve"> </w:t>
      </w:r>
      <w:proofErr w:type="spellStart"/>
      <w:r w:rsidRPr="00E16672">
        <w:rPr>
          <w:rFonts w:ascii="Times New Roman" w:hAnsi="Times New Roman"/>
          <w:i/>
          <w:szCs w:val="20"/>
          <w:lang w:val="uk-UA"/>
        </w:rPr>
        <w:t>country</w:t>
      </w:r>
      <w:proofErr w:type="spellEnd"/>
      <w:r w:rsidRPr="00E16672">
        <w:rPr>
          <w:rFonts w:ascii="Times New Roman" w:hAnsi="Times New Roman"/>
          <w:i/>
          <w:szCs w:val="20"/>
          <w:lang w:val="uk-UA"/>
        </w:rPr>
        <w:t xml:space="preserve"> </w:t>
      </w:r>
      <w:proofErr w:type="spellStart"/>
      <w:r w:rsidRPr="00E16672">
        <w:rPr>
          <w:rFonts w:ascii="Times New Roman" w:hAnsi="Times New Roman"/>
          <w:i/>
          <w:szCs w:val="20"/>
          <w:lang w:val="uk-UA"/>
        </w:rPr>
        <w:t>of</w:t>
      </w:r>
      <w:proofErr w:type="spellEnd"/>
      <w:r w:rsidRPr="00E16672">
        <w:rPr>
          <w:rFonts w:ascii="Times New Roman" w:hAnsi="Times New Roman"/>
          <w:i/>
          <w:szCs w:val="20"/>
          <w:lang w:val="uk-UA"/>
        </w:rPr>
        <w:t xml:space="preserve"> </w:t>
      </w:r>
      <w:proofErr w:type="spellStart"/>
      <w:r w:rsidRPr="00E16672">
        <w:rPr>
          <w:rFonts w:ascii="Times New Roman" w:hAnsi="Times New Roman"/>
          <w:i/>
          <w:szCs w:val="20"/>
          <w:lang w:val="uk-UA"/>
        </w:rPr>
        <w:t>its</w:t>
      </w:r>
      <w:proofErr w:type="spellEnd"/>
      <w:r w:rsidRPr="00E16672">
        <w:rPr>
          <w:rFonts w:ascii="Times New Roman" w:hAnsi="Times New Roman"/>
          <w:i/>
          <w:szCs w:val="20"/>
          <w:lang w:val="uk-UA"/>
        </w:rPr>
        <w:t xml:space="preserve"> </w:t>
      </w:r>
      <w:proofErr w:type="spellStart"/>
      <w:r w:rsidRPr="00E16672">
        <w:rPr>
          <w:rFonts w:ascii="Times New Roman" w:hAnsi="Times New Roman"/>
          <w:i/>
          <w:szCs w:val="20"/>
          <w:lang w:val="uk-UA"/>
        </w:rPr>
        <w:t>location</w:t>
      </w:r>
      <w:proofErr w:type="spellEnd"/>
      <w:r w:rsidRPr="00E16672">
        <w:rPr>
          <w:rFonts w:ascii="Times New Roman" w:hAnsi="Times New Roman"/>
          <w:i/>
          <w:szCs w:val="20"/>
          <w:lang w:val="uk-UA"/>
        </w:rPr>
        <w:t xml:space="preserve"> (</w:t>
      </w:r>
      <w:proofErr w:type="spellStart"/>
      <w:r w:rsidRPr="00E16672">
        <w:rPr>
          <w:rFonts w:ascii="Times New Roman" w:hAnsi="Times New Roman"/>
          <w:i/>
          <w:szCs w:val="20"/>
          <w:lang w:val="uk-UA"/>
        </w:rPr>
        <w:t>for</w:t>
      </w:r>
      <w:proofErr w:type="spellEnd"/>
      <w:r w:rsidRPr="00E16672">
        <w:rPr>
          <w:rFonts w:ascii="Times New Roman" w:hAnsi="Times New Roman"/>
          <w:i/>
          <w:szCs w:val="20"/>
          <w:lang w:val="uk-UA"/>
        </w:rPr>
        <w:t xml:space="preserve"> a </w:t>
      </w:r>
      <w:proofErr w:type="spellStart"/>
      <w:r w:rsidRPr="00E16672">
        <w:rPr>
          <w:rFonts w:ascii="Times New Roman" w:hAnsi="Times New Roman"/>
          <w:i/>
          <w:szCs w:val="20"/>
          <w:lang w:val="uk-UA"/>
        </w:rPr>
        <w:t>non-resident</w:t>
      </w:r>
      <w:proofErr w:type="spellEnd"/>
      <w:r w:rsidRPr="00E16672">
        <w:rPr>
          <w:rFonts w:ascii="Times New Roman" w:hAnsi="Times New Roman"/>
          <w:i/>
          <w:szCs w:val="20"/>
          <w:lang w:val="uk-UA"/>
        </w:rPr>
        <w:t xml:space="preserve"> </w:t>
      </w:r>
      <w:proofErr w:type="spellStart"/>
      <w:r w:rsidRPr="00E16672">
        <w:rPr>
          <w:rFonts w:ascii="Times New Roman" w:hAnsi="Times New Roman"/>
          <w:i/>
          <w:szCs w:val="20"/>
          <w:lang w:val="uk-UA"/>
        </w:rPr>
        <w:t>legal</w:t>
      </w:r>
      <w:proofErr w:type="spellEnd"/>
      <w:r w:rsidRPr="00E16672">
        <w:rPr>
          <w:rFonts w:ascii="Times New Roman" w:hAnsi="Times New Roman"/>
          <w:i/>
          <w:szCs w:val="20"/>
          <w:lang w:val="uk-UA"/>
        </w:rPr>
        <w:t xml:space="preserve"> </w:t>
      </w:r>
      <w:proofErr w:type="spellStart"/>
      <w:r w:rsidRPr="00E16672">
        <w:rPr>
          <w:rFonts w:ascii="Times New Roman" w:hAnsi="Times New Roman"/>
          <w:i/>
          <w:szCs w:val="20"/>
          <w:lang w:val="uk-UA"/>
        </w:rPr>
        <w:t>entity</w:t>
      </w:r>
      <w:proofErr w:type="spellEnd"/>
      <w:r w:rsidRPr="00E16672">
        <w:rPr>
          <w:rFonts w:ascii="Times New Roman" w:hAnsi="Times New Roman"/>
          <w:i/>
          <w:szCs w:val="20"/>
          <w:lang w:val="uk-UA"/>
        </w:rPr>
        <w:t xml:space="preserve">)) </w:t>
      </w:r>
    </w:p>
    <w:p w14:paraId="1BCE37FB" w14:textId="77777777" w:rsidR="002506EC" w:rsidRPr="00E16672" w:rsidRDefault="002506EC" w:rsidP="002506EC">
      <w:pPr>
        <w:jc w:val="center"/>
        <w:rPr>
          <w:rFonts w:ascii="Times New Roman" w:hAnsi="Times New Roman"/>
          <w:i/>
          <w:color w:val="0070C0"/>
          <w:szCs w:val="20"/>
          <w:lang w:val="uk-UA"/>
        </w:rPr>
      </w:pPr>
    </w:p>
    <w:p w14:paraId="51464A9C" w14:textId="77777777" w:rsidR="002506EC" w:rsidRPr="00E16672" w:rsidRDefault="002506EC" w:rsidP="002506EC">
      <w:pPr>
        <w:jc w:val="center"/>
        <w:rPr>
          <w:rFonts w:ascii="Times New Roman" w:hAnsi="Times New Roman"/>
          <w:sz w:val="28"/>
          <w:lang w:val="uk-UA"/>
        </w:rPr>
      </w:pPr>
      <w:r w:rsidRPr="00E16672">
        <w:rPr>
          <w:rFonts w:ascii="Times New Roman" w:hAnsi="Times New Roman"/>
          <w:sz w:val="28"/>
          <w:lang w:val="uk-UA"/>
        </w:rPr>
        <w:t xml:space="preserve">в тому, що компанії __.__.20__р.  закрито рахунок у цінних  паперах № </w:t>
      </w:r>
    </w:p>
    <w:p w14:paraId="10A925E1" w14:textId="77777777" w:rsidR="002506EC" w:rsidRPr="00E16672" w:rsidRDefault="002506EC" w:rsidP="002506EC">
      <w:pPr>
        <w:jc w:val="center"/>
        <w:rPr>
          <w:rFonts w:ascii="Times New Roman" w:hAnsi="Times New Roman"/>
          <w:sz w:val="28"/>
          <w:lang w:val="uk-UA"/>
        </w:rPr>
      </w:pPr>
      <w:r w:rsidRPr="00E16672">
        <w:rPr>
          <w:rFonts w:ascii="Times New Roman" w:hAnsi="Times New Roman"/>
          <w:sz w:val="28"/>
          <w:lang w:val="uk-UA"/>
        </w:rPr>
        <w:t xml:space="preserve"> </w:t>
      </w:r>
      <w:proofErr w:type="spellStart"/>
      <w:r w:rsidRPr="00E16672">
        <w:rPr>
          <w:rFonts w:ascii="Times New Roman" w:hAnsi="Times New Roman"/>
          <w:sz w:val="28"/>
          <w:lang w:val="uk-UA"/>
        </w:rPr>
        <w:t>that</w:t>
      </w:r>
      <w:proofErr w:type="spellEnd"/>
      <w:r w:rsidRPr="00E16672">
        <w:rPr>
          <w:rFonts w:ascii="Times New Roman" w:hAnsi="Times New Roman"/>
          <w:sz w:val="28"/>
          <w:lang w:val="en-US"/>
        </w:rPr>
        <w:t xml:space="preserve"> to</w:t>
      </w:r>
      <w:r w:rsidRPr="00E16672">
        <w:rPr>
          <w:rFonts w:ascii="Times New Roman" w:hAnsi="Times New Roman"/>
          <w:sz w:val="28"/>
          <w:lang w:val="uk-UA"/>
        </w:rPr>
        <w:t xml:space="preserve"> </w:t>
      </w:r>
      <w:r w:rsidRPr="00E16672">
        <w:rPr>
          <w:rFonts w:ascii="Times New Roman" w:hAnsi="Times New Roman"/>
          <w:sz w:val="28"/>
          <w:lang w:val="en-US"/>
        </w:rPr>
        <w:t>t</w:t>
      </w:r>
      <w:proofErr w:type="spellStart"/>
      <w:r w:rsidRPr="00E16672">
        <w:rPr>
          <w:rFonts w:ascii="Times New Roman" w:hAnsi="Times New Roman"/>
          <w:sz w:val="28"/>
          <w:lang w:val="uk-UA"/>
        </w:rPr>
        <w:t>he</w:t>
      </w:r>
      <w:proofErr w:type="spellEnd"/>
      <w:r w:rsidRPr="00E16672">
        <w:rPr>
          <w:rFonts w:ascii="Times New Roman" w:hAnsi="Times New Roman"/>
          <w:sz w:val="28"/>
          <w:lang w:val="uk-UA"/>
        </w:rPr>
        <w:t xml:space="preserve"> </w:t>
      </w:r>
      <w:r w:rsidRPr="00E16672">
        <w:rPr>
          <w:rFonts w:ascii="Times New Roman" w:hAnsi="Times New Roman"/>
          <w:sz w:val="28"/>
          <w:lang w:val="en-US"/>
        </w:rPr>
        <w:t>Company</w:t>
      </w:r>
      <w:r w:rsidRPr="00E16672">
        <w:rPr>
          <w:rFonts w:ascii="Times New Roman" w:hAnsi="Times New Roman"/>
          <w:sz w:val="28"/>
          <w:lang w:val="uk-UA"/>
        </w:rPr>
        <w:t xml:space="preserve"> __.__.20__</w:t>
      </w:r>
      <w:r w:rsidRPr="00E16672">
        <w:rPr>
          <w:rFonts w:ascii="Times New Roman" w:hAnsi="Times New Roman"/>
          <w:sz w:val="28"/>
          <w:lang w:val="en-US"/>
        </w:rPr>
        <w:t xml:space="preserve"> was </w:t>
      </w:r>
      <w:proofErr w:type="spellStart"/>
      <w:r w:rsidRPr="00E16672">
        <w:rPr>
          <w:rFonts w:ascii="Times New Roman" w:hAnsi="Times New Roman"/>
          <w:sz w:val="28"/>
          <w:lang w:val="uk-UA"/>
        </w:rPr>
        <w:t>closed</w:t>
      </w:r>
      <w:proofErr w:type="spellEnd"/>
      <w:r w:rsidRPr="00E16672">
        <w:rPr>
          <w:rFonts w:ascii="Times New Roman" w:hAnsi="Times New Roman"/>
          <w:sz w:val="28"/>
          <w:lang w:val="uk-UA"/>
        </w:rPr>
        <w:t xml:space="preserve"> </w:t>
      </w:r>
      <w:proofErr w:type="spellStart"/>
      <w:r w:rsidRPr="00E16672">
        <w:rPr>
          <w:rFonts w:ascii="Times New Roman" w:hAnsi="Times New Roman"/>
          <w:sz w:val="28"/>
          <w:lang w:val="uk-UA"/>
        </w:rPr>
        <w:t>securities</w:t>
      </w:r>
      <w:proofErr w:type="spellEnd"/>
      <w:r w:rsidRPr="00E16672">
        <w:rPr>
          <w:rFonts w:ascii="Times New Roman" w:hAnsi="Times New Roman"/>
          <w:sz w:val="28"/>
          <w:lang w:val="uk-UA"/>
        </w:rPr>
        <w:t xml:space="preserve"> </w:t>
      </w:r>
      <w:proofErr w:type="spellStart"/>
      <w:r w:rsidRPr="00E16672">
        <w:rPr>
          <w:rFonts w:ascii="Times New Roman" w:hAnsi="Times New Roman"/>
          <w:sz w:val="28"/>
          <w:lang w:val="uk-UA"/>
        </w:rPr>
        <w:t>account</w:t>
      </w:r>
      <w:proofErr w:type="spellEnd"/>
      <w:r w:rsidRPr="00E16672">
        <w:rPr>
          <w:rFonts w:ascii="Times New Roman" w:hAnsi="Times New Roman"/>
          <w:sz w:val="28"/>
          <w:lang w:val="uk-UA"/>
        </w:rPr>
        <w:t xml:space="preserve"> </w:t>
      </w:r>
      <w:r w:rsidRPr="00E16672">
        <w:rPr>
          <w:rFonts w:ascii="Times New Roman" w:hAnsi="Times New Roman"/>
          <w:sz w:val="28"/>
          <w:lang w:val="en-US"/>
        </w:rPr>
        <w:t>number</w:t>
      </w:r>
      <w:r w:rsidRPr="00E16672">
        <w:rPr>
          <w:rFonts w:ascii="Times New Roman" w:hAnsi="Times New Roman"/>
          <w:sz w:val="28"/>
          <w:lang w:val="uk-UA"/>
        </w:rPr>
        <w:t xml:space="preserve"> </w:t>
      </w:r>
    </w:p>
    <w:p w14:paraId="441EEF19" w14:textId="77777777" w:rsidR="002506EC" w:rsidRPr="00E16672" w:rsidRDefault="002506EC" w:rsidP="002506EC">
      <w:pPr>
        <w:jc w:val="center"/>
        <w:rPr>
          <w:rFonts w:ascii="Times New Roman" w:hAnsi="Times New Roman"/>
          <w:color w:val="000000"/>
          <w:sz w:val="32"/>
          <w:szCs w:val="32"/>
          <w:lang w:val="uk-UA"/>
        </w:rPr>
      </w:pPr>
    </w:p>
    <w:p w14:paraId="71C75B0F" w14:textId="77777777" w:rsidR="002506EC" w:rsidRPr="00E16672" w:rsidRDefault="006E3B0B" w:rsidP="002506EC">
      <w:pPr>
        <w:jc w:val="center"/>
        <w:rPr>
          <w:rFonts w:ascii="Times New Roman" w:hAnsi="Times New Roman"/>
          <w:color w:val="000000"/>
          <w:sz w:val="28"/>
          <w:lang w:val="uk-UA"/>
        </w:rPr>
      </w:pPr>
      <w:r>
        <w:rPr>
          <w:rFonts w:ascii="Times New Roman" w:hAnsi="Times New Roman"/>
          <w:b/>
          <w:sz w:val="28"/>
        </w:rPr>
        <w:t>401265</w:t>
      </w:r>
      <w:r w:rsidR="002506EC" w:rsidRPr="00E16672">
        <w:rPr>
          <w:rFonts w:ascii="Times New Roman" w:hAnsi="Times New Roman"/>
          <w:b/>
          <w:sz w:val="28"/>
        </w:rPr>
        <w:t xml:space="preserve">- </w:t>
      </w:r>
      <w:r w:rsidR="002506EC" w:rsidRPr="00E16672">
        <w:rPr>
          <w:rFonts w:ascii="Times New Roman" w:hAnsi="Times New Roman"/>
          <w:b/>
          <w:sz w:val="28"/>
          <w:lang w:val="uk-UA"/>
        </w:rPr>
        <w:t>__________</w:t>
      </w:r>
      <w:proofErr w:type="gramStart"/>
      <w:r w:rsidR="002506EC" w:rsidRPr="00E16672">
        <w:rPr>
          <w:rFonts w:ascii="Times New Roman" w:hAnsi="Times New Roman"/>
          <w:b/>
          <w:sz w:val="28"/>
          <w:lang w:val="uk-UA"/>
        </w:rPr>
        <w:t>_.</w:t>
      </w:r>
      <w:r w:rsidR="002506EC" w:rsidRPr="00E16672">
        <w:rPr>
          <w:rFonts w:ascii="Times New Roman" w:hAnsi="Times New Roman"/>
          <w:color w:val="000000"/>
          <w:sz w:val="28"/>
          <w:lang w:val="uk-UA"/>
        </w:rPr>
        <w:t>.</w:t>
      </w:r>
      <w:proofErr w:type="gramEnd"/>
    </w:p>
    <w:p w14:paraId="07FD4B82" w14:textId="77777777" w:rsidR="002506EC" w:rsidRPr="00E16672" w:rsidRDefault="002506EC" w:rsidP="002506EC">
      <w:pPr>
        <w:rPr>
          <w:rFonts w:ascii="Times New Roman" w:hAnsi="Times New Roman"/>
          <w:color w:val="000000"/>
          <w:sz w:val="28"/>
          <w:lang w:val="uk-UA"/>
        </w:rPr>
      </w:pPr>
    </w:p>
    <w:p w14:paraId="1B4673D9" w14:textId="77777777" w:rsidR="002506EC" w:rsidRPr="00E16672" w:rsidRDefault="002506EC" w:rsidP="002506EC">
      <w:pPr>
        <w:rPr>
          <w:rFonts w:ascii="Times New Roman" w:hAnsi="Times New Roman"/>
          <w:color w:val="000000"/>
          <w:sz w:val="28"/>
          <w:lang w:val="uk-UA"/>
        </w:rPr>
      </w:pPr>
    </w:p>
    <w:p w14:paraId="78D71974" w14:textId="77777777" w:rsidR="002506EC" w:rsidRPr="00E16672" w:rsidRDefault="002506EC" w:rsidP="002506EC">
      <w:pPr>
        <w:rPr>
          <w:rFonts w:ascii="Times New Roman" w:hAnsi="Times New Roman"/>
          <w:color w:val="000000"/>
          <w:sz w:val="28"/>
          <w:lang w:val="uk-UA"/>
        </w:rPr>
      </w:pPr>
    </w:p>
    <w:p w14:paraId="6EF87E3C" w14:textId="77777777" w:rsidR="002506EC" w:rsidRPr="00E16672" w:rsidRDefault="002506EC" w:rsidP="002506EC">
      <w:pPr>
        <w:ind w:firstLine="0"/>
        <w:jc w:val="left"/>
        <w:rPr>
          <w:rFonts w:ascii="Times New Roman" w:hAnsi="Times New Roman"/>
          <w:szCs w:val="20"/>
        </w:rPr>
      </w:pPr>
      <w:r w:rsidRPr="00E16672">
        <w:rPr>
          <w:rFonts w:ascii="Times New Roman" w:hAnsi="Times New Roman"/>
          <w:bCs/>
          <w:szCs w:val="20"/>
          <w:lang w:val="uk-UA"/>
        </w:rPr>
        <w:t>Підпис відповідальної особи Депозитарної установи</w:t>
      </w:r>
      <w:r w:rsidRPr="00E16672">
        <w:rPr>
          <w:rFonts w:ascii="Times New Roman" w:hAnsi="Times New Roman"/>
          <w:b/>
          <w:bCs/>
          <w:szCs w:val="20"/>
          <w:lang w:val="uk-UA"/>
        </w:rPr>
        <w:t xml:space="preserve">/       </w:t>
      </w:r>
      <w:r w:rsidRPr="00E16672">
        <w:rPr>
          <w:rFonts w:ascii="Times New Roman" w:hAnsi="Times New Roman"/>
          <w:bCs/>
          <w:szCs w:val="20"/>
          <w:lang w:val="uk-UA"/>
        </w:rPr>
        <w:t xml:space="preserve"> _________________</w:t>
      </w:r>
      <w:r w:rsidRPr="00E16672">
        <w:rPr>
          <w:rFonts w:ascii="Times New Roman" w:hAnsi="Times New Roman"/>
          <w:szCs w:val="20"/>
          <w:lang w:val="uk-UA"/>
        </w:rPr>
        <w:t xml:space="preserve">     </w:t>
      </w:r>
      <w:r w:rsidRPr="00E16672">
        <w:rPr>
          <w:rFonts w:ascii="Times New Roman" w:hAnsi="Times New Roman"/>
          <w:szCs w:val="20"/>
        </w:rPr>
        <w:t>__________________</w:t>
      </w:r>
    </w:p>
    <w:p w14:paraId="4E0FB0D1" w14:textId="77777777" w:rsidR="002506EC" w:rsidRPr="00E16672" w:rsidRDefault="002506EC" w:rsidP="002506EC">
      <w:pPr>
        <w:ind w:firstLine="0"/>
        <w:jc w:val="left"/>
        <w:rPr>
          <w:rFonts w:ascii="Times New Roman" w:hAnsi="Times New Roman"/>
          <w:i/>
          <w:sz w:val="18"/>
          <w:szCs w:val="18"/>
          <w:lang w:val="uk-UA"/>
        </w:rPr>
      </w:pPr>
      <w:proofErr w:type="spellStart"/>
      <w:r w:rsidRPr="00E16672">
        <w:rPr>
          <w:rFonts w:ascii="Times New Roman" w:hAnsi="Times New Roman"/>
          <w:bCs/>
          <w:szCs w:val="20"/>
          <w:lang w:val="uk-UA"/>
        </w:rPr>
        <w:t>Signature</w:t>
      </w:r>
      <w:proofErr w:type="spellEnd"/>
      <w:r w:rsidRPr="00E16672">
        <w:rPr>
          <w:rFonts w:ascii="Times New Roman" w:hAnsi="Times New Roman"/>
          <w:bCs/>
          <w:szCs w:val="20"/>
          <w:lang w:val="uk-UA"/>
        </w:rPr>
        <w:t xml:space="preserve">  </w:t>
      </w:r>
      <w:proofErr w:type="spellStart"/>
      <w:r w:rsidRPr="00E16672">
        <w:rPr>
          <w:rFonts w:ascii="Times New Roman" w:hAnsi="Times New Roman"/>
          <w:bCs/>
          <w:szCs w:val="20"/>
          <w:lang w:val="uk-UA"/>
        </w:rPr>
        <w:t>of</w:t>
      </w:r>
      <w:proofErr w:type="spellEnd"/>
      <w:r w:rsidRPr="00E16672">
        <w:rPr>
          <w:rFonts w:ascii="Times New Roman" w:hAnsi="Times New Roman"/>
          <w:bCs/>
          <w:szCs w:val="20"/>
          <w:lang w:val="uk-UA"/>
        </w:rPr>
        <w:t xml:space="preserve"> </w:t>
      </w:r>
      <w:proofErr w:type="spellStart"/>
      <w:r w:rsidRPr="00E16672">
        <w:rPr>
          <w:rFonts w:ascii="Times New Roman" w:hAnsi="Times New Roman"/>
          <w:bCs/>
          <w:szCs w:val="20"/>
          <w:lang w:val="uk-UA"/>
        </w:rPr>
        <w:t>authorized</w:t>
      </w:r>
      <w:proofErr w:type="spellEnd"/>
      <w:r w:rsidRPr="00E16672">
        <w:rPr>
          <w:rFonts w:ascii="Times New Roman" w:hAnsi="Times New Roman"/>
          <w:bCs/>
          <w:szCs w:val="20"/>
          <w:lang w:val="uk-UA"/>
        </w:rPr>
        <w:t xml:space="preserve"> </w:t>
      </w:r>
      <w:proofErr w:type="spellStart"/>
      <w:r w:rsidRPr="00E16672">
        <w:rPr>
          <w:rFonts w:ascii="Times New Roman" w:hAnsi="Times New Roman"/>
          <w:bCs/>
          <w:szCs w:val="20"/>
          <w:lang w:val="uk-UA"/>
        </w:rPr>
        <w:t>person</w:t>
      </w:r>
      <w:proofErr w:type="spellEnd"/>
      <w:r w:rsidRPr="00E16672">
        <w:rPr>
          <w:rFonts w:ascii="Times New Roman" w:hAnsi="Times New Roman"/>
          <w:bCs/>
          <w:szCs w:val="20"/>
          <w:lang w:val="uk-UA"/>
        </w:rPr>
        <w:t xml:space="preserve">  </w:t>
      </w:r>
      <w:proofErr w:type="spellStart"/>
      <w:r w:rsidRPr="00E16672">
        <w:rPr>
          <w:rFonts w:ascii="Times New Roman" w:hAnsi="Times New Roman"/>
          <w:bCs/>
          <w:szCs w:val="20"/>
          <w:lang w:val="uk-UA"/>
        </w:rPr>
        <w:t>of</w:t>
      </w:r>
      <w:proofErr w:type="spellEnd"/>
      <w:r w:rsidRPr="00E16672">
        <w:rPr>
          <w:rFonts w:ascii="Times New Roman" w:hAnsi="Times New Roman"/>
          <w:bCs/>
          <w:szCs w:val="20"/>
          <w:lang w:val="uk-UA"/>
        </w:rPr>
        <w:t xml:space="preserve"> </w:t>
      </w:r>
      <w:proofErr w:type="spellStart"/>
      <w:r w:rsidRPr="00E16672">
        <w:rPr>
          <w:rFonts w:ascii="Times New Roman" w:hAnsi="Times New Roman"/>
          <w:bCs/>
          <w:szCs w:val="20"/>
          <w:lang w:val="uk-UA"/>
        </w:rPr>
        <w:t>Depository</w:t>
      </w:r>
      <w:proofErr w:type="spellEnd"/>
      <w:r w:rsidRPr="00E16672">
        <w:rPr>
          <w:rFonts w:ascii="Times New Roman" w:hAnsi="Times New Roman"/>
          <w:bCs/>
          <w:szCs w:val="20"/>
          <w:lang w:val="uk-UA"/>
        </w:rPr>
        <w:t xml:space="preserve"> </w:t>
      </w:r>
      <w:proofErr w:type="spellStart"/>
      <w:r w:rsidRPr="00E16672">
        <w:rPr>
          <w:rFonts w:ascii="Times New Roman" w:hAnsi="Times New Roman"/>
          <w:bCs/>
          <w:szCs w:val="20"/>
          <w:lang w:val="uk-UA"/>
        </w:rPr>
        <w:t>institution</w:t>
      </w:r>
      <w:proofErr w:type="spellEnd"/>
      <w:r w:rsidRPr="00E16672">
        <w:rPr>
          <w:rFonts w:ascii="Times New Roman" w:hAnsi="Times New Roman"/>
          <w:bCs/>
          <w:szCs w:val="20"/>
          <w:lang w:val="uk-UA"/>
        </w:rPr>
        <w:t>):</w:t>
      </w:r>
      <w:r w:rsidRPr="00E16672">
        <w:rPr>
          <w:rFonts w:ascii="Times New Roman" w:hAnsi="Times New Roman"/>
          <w:i/>
          <w:szCs w:val="20"/>
          <w:lang w:val="uk-UA"/>
        </w:rPr>
        <w:t xml:space="preserve">  </w:t>
      </w:r>
      <w:r w:rsidRPr="00E16672">
        <w:rPr>
          <w:rFonts w:ascii="Times New Roman" w:hAnsi="Times New Roman"/>
          <w:szCs w:val="20"/>
          <w:lang w:val="uk-UA"/>
        </w:rPr>
        <w:t xml:space="preserve">        </w:t>
      </w:r>
      <w:r w:rsidRPr="00E16672">
        <w:rPr>
          <w:rFonts w:ascii="Times New Roman" w:hAnsi="Times New Roman"/>
          <w:i/>
          <w:sz w:val="18"/>
          <w:szCs w:val="18"/>
          <w:lang w:val="uk-UA"/>
        </w:rPr>
        <w:t>В.П., підпис</w:t>
      </w:r>
      <w:r w:rsidRPr="00E16672">
        <w:rPr>
          <w:rFonts w:ascii="Times New Roman" w:hAnsi="Times New Roman"/>
          <w:sz w:val="18"/>
          <w:szCs w:val="18"/>
          <w:lang w:val="uk-UA"/>
        </w:rPr>
        <w:t>/</w:t>
      </w:r>
      <w:r w:rsidRPr="00E16672">
        <w:rPr>
          <w:rFonts w:ascii="Times New Roman" w:hAnsi="Times New Roman"/>
          <w:i/>
          <w:sz w:val="18"/>
          <w:szCs w:val="18"/>
          <w:lang w:val="uk-UA"/>
        </w:rPr>
        <w:tab/>
        <w:t xml:space="preserve"> Прізвище, ім’я, по батькові (за наявності)</w:t>
      </w:r>
      <w:r w:rsidRPr="00E16672">
        <w:rPr>
          <w:rFonts w:ascii="Times New Roman" w:hAnsi="Times New Roman"/>
          <w:b/>
          <w:i/>
          <w:sz w:val="18"/>
          <w:szCs w:val="18"/>
          <w:lang w:val="uk-UA"/>
        </w:rPr>
        <w:tab/>
      </w:r>
      <w:r w:rsidRPr="00E16672">
        <w:rPr>
          <w:rFonts w:ascii="Times New Roman" w:hAnsi="Times New Roman"/>
          <w:i/>
          <w:sz w:val="18"/>
          <w:szCs w:val="18"/>
          <w:lang w:val="uk-UA"/>
        </w:rPr>
        <w:t xml:space="preserve">                                                                  </w:t>
      </w:r>
      <w:r w:rsidRPr="00E16672">
        <w:rPr>
          <w:rFonts w:ascii="Times New Roman" w:hAnsi="Times New Roman"/>
          <w:i/>
          <w:sz w:val="18"/>
          <w:szCs w:val="18"/>
          <w:lang w:val="en-US"/>
        </w:rPr>
        <w:t xml:space="preserve">                               </w:t>
      </w:r>
      <w:r w:rsidRPr="00E16672">
        <w:rPr>
          <w:rFonts w:ascii="Times New Roman" w:hAnsi="Times New Roman"/>
          <w:i/>
          <w:sz w:val="18"/>
          <w:szCs w:val="18"/>
          <w:lang w:val="uk-UA"/>
        </w:rPr>
        <w:t xml:space="preserve"> </w:t>
      </w:r>
      <w:proofErr w:type="spellStart"/>
      <w:r w:rsidRPr="00E16672">
        <w:rPr>
          <w:rFonts w:ascii="Times New Roman" w:hAnsi="Times New Roman"/>
          <w:i/>
          <w:sz w:val="18"/>
          <w:szCs w:val="18"/>
          <w:lang w:val="uk-UA"/>
        </w:rPr>
        <w:t>Seal</w:t>
      </w:r>
      <w:proofErr w:type="spellEnd"/>
      <w:r w:rsidRPr="00E16672">
        <w:rPr>
          <w:rFonts w:ascii="Times New Roman" w:hAnsi="Times New Roman"/>
          <w:i/>
          <w:sz w:val="18"/>
          <w:szCs w:val="18"/>
          <w:lang w:val="uk-UA"/>
        </w:rPr>
        <w:t xml:space="preserve">,  </w:t>
      </w:r>
      <w:proofErr w:type="spellStart"/>
      <w:r w:rsidRPr="00E16672">
        <w:rPr>
          <w:rFonts w:ascii="Times New Roman" w:hAnsi="Times New Roman"/>
          <w:i/>
          <w:sz w:val="18"/>
          <w:szCs w:val="18"/>
          <w:lang w:val="uk-UA"/>
        </w:rPr>
        <w:t>signature</w:t>
      </w:r>
      <w:proofErr w:type="spellEnd"/>
      <w:r w:rsidRPr="00E16672">
        <w:rPr>
          <w:rFonts w:ascii="Times New Roman" w:hAnsi="Times New Roman"/>
          <w:i/>
          <w:sz w:val="18"/>
          <w:szCs w:val="18"/>
          <w:lang w:val="uk-UA"/>
        </w:rPr>
        <w:t xml:space="preserve">      </w:t>
      </w:r>
      <w:proofErr w:type="spellStart"/>
      <w:r w:rsidRPr="00E16672">
        <w:rPr>
          <w:rFonts w:ascii="Times New Roman" w:hAnsi="Times New Roman"/>
          <w:i/>
          <w:sz w:val="18"/>
          <w:szCs w:val="18"/>
          <w:lang w:val="uk-UA"/>
        </w:rPr>
        <w:t>surname</w:t>
      </w:r>
      <w:proofErr w:type="spellEnd"/>
      <w:r w:rsidRPr="00E16672">
        <w:rPr>
          <w:rFonts w:ascii="Times New Roman" w:hAnsi="Times New Roman"/>
          <w:i/>
          <w:sz w:val="18"/>
          <w:szCs w:val="18"/>
          <w:lang w:val="uk-UA"/>
        </w:rPr>
        <w:t xml:space="preserve">, </w:t>
      </w:r>
      <w:proofErr w:type="spellStart"/>
      <w:r w:rsidRPr="00E16672">
        <w:rPr>
          <w:rFonts w:ascii="Times New Roman" w:hAnsi="Times New Roman"/>
          <w:i/>
          <w:sz w:val="18"/>
          <w:szCs w:val="18"/>
          <w:lang w:val="uk-UA"/>
        </w:rPr>
        <w:t>name</w:t>
      </w:r>
      <w:proofErr w:type="spellEnd"/>
      <w:r w:rsidRPr="00E16672">
        <w:rPr>
          <w:rFonts w:ascii="Times New Roman" w:hAnsi="Times New Roman"/>
          <w:i/>
          <w:sz w:val="18"/>
          <w:szCs w:val="18"/>
          <w:lang w:val="uk-UA"/>
        </w:rPr>
        <w:t xml:space="preserve">, </w:t>
      </w:r>
      <w:proofErr w:type="spellStart"/>
      <w:r w:rsidRPr="00E16672">
        <w:rPr>
          <w:rFonts w:ascii="Times New Roman" w:hAnsi="Times New Roman"/>
          <w:i/>
          <w:sz w:val="18"/>
          <w:szCs w:val="18"/>
          <w:lang w:val="uk-UA"/>
        </w:rPr>
        <w:t>patronymic</w:t>
      </w:r>
      <w:proofErr w:type="spellEnd"/>
      <w:r w:rsidRPr="00E16672">
        <w:rPr>
          <w:rFonts w:ascii="Times New Roman" w:hAnsi="Times New Roman"/>
          <w:i/>
          <w:sz w:val="18"/>
          <w:szCs w:val="18"/>
          <w:lang w:val="uk-UA"/>
        </w:rPr>
        <w:t xml:space="preserve"> (</w:t>
      </w:r>
      <w:proofErr w:type="spellStart"/>
      <w:r w:rsidRPr="00E16672">
        <w:rPr>
          <w:rFonts w:ascii="Times New Roman" w:hAnsi="Times New Roman"/>
          <w:i/>
          <w:sz w:val="18"/>
          <w:szCs w:val="18"/>
          <w:lang w:val="uk-UA"/>
        </w:rPr>
        <w:t>if</w:t>
      </w:r>
      <w:proofErr w:type="spellEnd"/>
      <w:r w:rsidRPr="00E16672">
        <w:rPr>
          <w:rFonts w:ascii="Times New Roman" w:hAnsi="Times New Roman"/>
          <w:i/>
          <w:sz w:val="18"/>
          <w:szCs w:val="18"/>
          <w:lang w:val="uk-UA"/>
        </w:rPr>
        <w:t xml:space="preserve"> </w:t>
      </w:r>
      <w:proofErr w:type="spellStart"/>
      <w:r w:rsidRPr="00E16672">
        <w:rPr>
          <w:rFonts w:ascii="Times New Roman" w:hAnsi="Times New Roman"/>
          <w:i/>
          <w:sz w:val="18"/>
          <w:szCs w:val="18"/>
          <w:lang w:val="uk-UA"/>
        </w:rPr>
        <w:t>any</w:t>
      </w:r>
      <w:proofErr w:type="spellEnd"/>
      <w:r w:rsidRPr="00E16672">
        <w:rPr>
          <w:rFonts w:ascii="Times New Roman" w:hAnsi="Times New Roman"/>
          <w:i/>
          <w:sz w:val="18"/>
          <w:szCs w:val="18"/>
          <w:lang w:val="uk-UA"/>
        </w:rPr>
        <w:t>)</w:t>
      </w:r>
    </w:p>
    <w:p w14:paraId="4AFF26DB" w14:textId="77777777" w:rsidR="002506EC" w:rsidRPr="00E16672" w:rsidRDefault="002506EC" w:rsidP="002506EC">
      <w:pPr>
        <w:rPr>
          <w:rFonts w:ascii="Times New Roman" w:hAnsi="Times New Roman"/>
          <w:i/>
          <w:sz w:val="18"/>
          <w:szCs w:val="18"/>
          <w:lang w:val="uk-UA"/>
        </w:rPr>
      </w:pPr>
    </w:p>
    <w:p w14:paraId="39826CBC" w14:textId="77777777" w:rsidR="002506EC" w:rsidRPr="00E16672" w:rsidRDefault="002506EC" w:rsidP="002506EC">
      <w:pPr>
        <w:rPr>
          <w:rFonts w:ascii="Times New Roman" w:hAnsi="Times New Roman"/>
          <w:b/>
          <w:color w:val="000000"/>
          <w:sz w:val="36"/>
          <w:lang w:val="uk-UA"/>
        </w:rPr>
      </w:pPr>
    </w:p>
    <w:p w14:paraId="5B924595" w14:textId="77777777" w:rsidR="002506EC" w:rsidRDefault="002506EC" w:rsidP="002506EC">
      <w:pPr>
        <w:rPr>
          <w:rFonts w:ascii="Times New Roman" w:hAnsi="Times New Roman"/>
          <w:b/>
          <w:color w:val="000000"/>
          <w:sz w:val="36"/>
          <w:lang w:val="uk-UA"/>
        </w:rPr>
      </w:pPr>
    </w:p>
    <w:p w14:paraId="15844471" w14:textId="77777777" w:rsidR="00602650" w:rsidRDefault="00602650" w:rsidP="002506EC">
      <w:pPr>
        <w:rPr>
          <w:rFonts w:ascii="Times New Roman" w:hAnsi="Times New Roman"/>
          <w:b/>
          <w:color w:val="000000"/>
          <w:sz w:val="36"/>
          <w:lang w:val="uk-UA"/>
        </w:rPr>
      </w:pPr>
    </w:p>
    <w:p w14:paraId="0E425854" w14:textId="77777777" w:rsidR="00602650" w:rsidRDefault="00602650" w:rsidP="002506EC">
      <w:pPr>
        <w:rPr>
          <w:rFonts w:ascii="Times New Roman" w:hAnsi="Times New Roman"/>
          <w:b/>
          <w:color w:val="000000"/>
          <w:sz w:val="36"/>
          <w:lang w:val="uk-UA"/>
        </w:rPr>
      </w:pPr>
    </w:p>
    <w:p w14:paraId="2243479D" w14:textId="77777777" w:rsidR="00602650" w:rsidRDefault="00602650" w:rsidP="002506EC">
      <w:pPr>
        <w:rPr>
          <w:rFonts w:ascii="Times New Roman" w:hAnsi="Times New Roman"/>
          <w:b/>
          <w:color w:val="000000"/>
          <w:sz w:val="36"/>
          <w:lang w:val="uk-UA"/>
        </w:rPr>
      </w:pPr>
    </w:p>
    <w:p w14:paraId="0A1F1540" w14:textId="77777777" w:rsidR="00602650" w:rsidRDefault="00602650" w:rsidP="002506EC">
      <w:pPr>
        <w:rPr>
          <w:rFonts w:ascii="Times New Roman" w:hAnsi="Times New Roman"/>
          <w:b/>
          <w:color w:val="000000"/>
          <w:sz w:val="36"/>
          <w:lang w:val="uk-UA"/>
        </w:rPr>
      </w:pPr>
    </w:p>
    <w:p w14:paraId="657EE91A" w14:textId="77777777" w:rsidR="00602650" w:rsidRDefault="00602650" w:rsidP="002506EC">
      <w:pPr>
        <w:rPr>
          <w:rFonts w:ascii="Times New Roman" w:hAnsi="Times New Roman"/>
          <w:b/>
          <w:color w:val="000000"/>
          <w:sz w:val="36"/>
          <w:lang w:val="uk-UA"/>
        </w:rPr>
      </w:pPr>
    </w:p>
    <w:p w14:paraId="50C174C5" w14:textId="77777777" w:rsidR="00602650" w:rsidRDefault="00602650" w:rsidP="002506EC">
      <w:pPr>
        <w:rPr>
          <w:rFonts w:ascii="Times New Roman" w:hAnsi="Times New Roman"/>
          <w:b/>
          <w:color w:val="000000"/>
          <w:sz w:val="36"/>
          <w:lang w:val="uk-UA"/>
        </w:rPr>
      </w:pPr>
    </w:p>
    <w:p w14:paraId="28A979BE" w14:textId="77777777" w:rsidR="00602650" w:rsidRPr="00E16672" w:rsidRDefault="00602650" w:rsidP="002506EC">
      <w:pPr>
        <w:rPr>
          <w:rFonts w:ascii="Times New Roman" w:hAnsi="Times New Roman"/>
          <w:b/>
          <w:color w:val="000000"/>
          <w:sz w:val="36"/>
          <w:lang w:val="uk-UA"/>
        </w:rPr>
      </w:pPr>
    </w:p>
    <w:p w14:paraId="08B02F24" w14:textId="77777777" w:rsidR="00F864F1" w:rsidRDefault="00F864F1" w:rsidP="002506EC">
      <w:pPr>
        <w:rPr>
          <w:rFonts w:ascii="Times New Roman" w:hAnsi="Times New Roman"/>
          <w:b/>
          <w:color w:val="000000"/>
          <w:sz w:val="36"/>
          <w:lang w:val="uk-UA"/>
        </w:rPr>
      </w:pPr>
    </w:p>
    <w:p w14:paraId="6A0D25A2" w14:textId="77777777" w:rsidR="00F864F1" w:rsidRDefault="00F864F1" w:rsidP="002506EC">
      <w:pPr>
        <w:rPr>
          <w:rFonts w:ascii="Times New Roman" w:hAnsi="Times New Roman"/>
          <w:b/>
          <w:color w:val="000000"/>
          <w:sz w:val="36"/>
          <w:lang w:val="uk-UA"/>
        </w:rPr>
      </w:pPr>
    </w:p>
    <w:p w14:paraId="1569A27A" w14:textId="77777777" w:rsidR="002506EC" w:rsidRPr="00E16672" w:rsidRDefault="007D0843" w:rsidP="002506EC">
      <w:pPr>
        <w:rPr>
          <w:rFonts w:ascii="Times New Roman" w:hAnsi="Times New Roman"/>
          <w:b/>
          <w:color w:val="000000"/>
          <w:sz w:val="36"/>
          <w:lang w:val="uk-UA"/>
        </w:rPr>
      </w:pPr>
      <w:r>
        <w:rPr>
          <w:rFonts w:ascii="Times New Roman" w:hAnsi="Times New Roman"/>
          <w:noProof/>
          <w:color w:val="000000"/>
          <w:lang w:val="uk-UA" w:eastAsia="uk-UA"/>
        </w:rPr>
        <w:lastRenderedPageBreak/>
        <w:pict w14:anchorId="4266A99B">
          <v:line id="Прямая соединительная линия 23" o:spid="_x0000_s1027" style="position:absolute;left:0;text-align:left;flip:y;z-index:2516869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23.7pt" to="546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" strokeweight=".26mm">
            <w10:wrap anchorx="margin"/>
          </v:line>
        </w:pict>
      </w:r>
    </w:p>
    <w:p w14:paraId="108AE802" w14:textId="77777777" w:rsidR="005745AF" w:rsidRPr="00E16672" w:rsidRDefault="005745AF" w:rsidP="005745AF">
      <w:pPr>
        <w:jc w:val="center"/>
        <w:rPr>
          <w:rFonts w:ascii="Times New Roman" w:hAnsi="Times New Roman"/>
          <w:b/>
          <w:color w:val="0000FF"/>
          <w:sz w:val="22"/>
          <w:lang w:val="uk-UA"/>
        </w:rPr>
      </w:pPr>
    </w:p>
    <w:p w14:paraId="3BF3455B" w14:textId="77777777" w:rsidR="005745AF" w:rsidRPr="00E16672" w:rsidRDefault="005745AF" w:rsidP="005745AF">
      <w:pPr>
        <w:rPr>
          <w:rFonts w:ascii="Times New Roman" w:hAnsi="Times New Roman"/>
          <w:color w:val="000000"/>
          <w:lang w:val="uk-UA"/>
        </w:rPr>
      </w:pPr>
    </w:p>
    <w:p w14:paraId="7EB88979" w14:textId="77777777" w:rsidR="005745AF" w:rsidRPr="00F864F1" w:rsidRDefault="005745AF" w:rsidP="00F864F1">
      <w:pPr>
        <w:ind w:left="142" w:hanging="142"/>
        <w:jc w:val="center"/>
        <w:rPr>
          <w:rFonts w:ascii="Times New Roman" w:hAnsi="Times New Roman"/>
          <w:b/>
          <w:bCs/>
          <w:color w:val="000000"/>
          <w:szCs w:val="20"/>
          <w:lang w:val="uk-UA"/>
        </w:rPr>
      </w:pPr>
      <w:r w:rsidRPr="00F864F1">
        <w:rPr>
          <w:rFonts w:ascii="Times New Roman" w:hAnsi="Times New Roman"/>
          <w:b/>
          <w:bCs/>
          <w:color w:val="000000"/>
          <w:szCs w:val="20"/>
          <w:lang w:val="uk-UA"/>
        </w:rPr>
        <w:t xml:space="preserve">Депозитарна установа ТОВ </w:t>
      </w:r>
      <w:r w:rsidR="00022F5F" w:rsidRPr="00F864F1">
        <w:rPr>
          <w:rFonts w:ascii="Times New Roman" w:hAnsi="Times New Roman"/>
          <w:b/>
          <w:bCs/>
          <w:color w:val="000000"/>
          <w:szCs w:val="20"/>
          <w:lang w:val="uk-UA"/>
        </w:rPr>
        <w:t>"</w:t>
      </w:r>
      <w:r w:rsidR="00E16672" w:rsidRPr="00F864F1">
        <w:rPr>
          <w:rFonts w:ascii="Times New Roman" w:hAnsi="Times New Roman"/>
          <w:b/>
          <w:bCs/>
          <w:color w:val="000000"/>
          <w:szCs w:val="20"/>
          <w:lang w:val="uk-UA"/>
        </w:rPr>
        <w:t>КОМЕКС ЦІННІ ПАПЕРИ</w:t>
      </w:r>
      <w:r w:rsidR="00022F5F" w:rsidRPr="00F864F1">
        <w:rPr>
          <w:rFonts w:ascii="Times New Roman" w:hAnsi="Times New Roman"/>
          <w:b/>
          <w:bCs/>
          <w:color w:val="000000"/>
          <w:szCs w:val="20"/>
          <w:lang w:val="uk-UA"/>
        </w:rPr>
        <w:t>"</w:t>
      </w:r>
      <w:r w:rsidR="002506EC" w:rsidRPr="00F864F1">
        <w:rPr>
          <w:rFonts w:ascii="Times New Roman" w:hAnsi="Times New Roman"/>
          <w:b/>
          <w:bCs/>
          <w:color w:val="000000"/>
          <w:szCs w:val="20"/>
          <w:lang w:val="uk-UA"/>
        </w:rPr>
        <w:t xml:space="preserve">  </w:t>
      </w:r>
      <w:r w:rsidRPr="00F864F1">
        <w:rPr>
          <w:rFonts w:ascii="Times New Roman" w:hAnsi="Times New Roman"/>
          <w:b/>
          <w:bCs/>
          <w:color w:val="000000"/>
          <w:szCs w:val="20"/>
          <w:lang w:val="uk-UA"/>
        </w:rPr>
        <w:t xml:space="preserve">ЄДРПОУ </w:t>
      </w:r>
      <w:r w:rsidR="00E16672" w:rsidRPr="00F864F1">
        <w:rPr>
          <w:rFonts w:ascii="Times New Roman" w:hAnsi="Times New Roman"/>
          <w:b/>
          <w:bCs/>
          <w:color w:val="000000"/>
          <w:szCs w:val="20"/>
          <w:lang w:val="uk-UA"/>
        </w:rPr>
        <w:t>33153077</w:t>
      </w:r>
    </w:p>
    <w:p w14:paraId="087EE9DC" w14:textId="77777777" w:rsidR="005745AF" w:rsidRPr="00E16672" w:rsidRDefault="005745AF" w:rsidP="005745AF">
      <w:pPr>
        <w:ind w:left="142" w:hanging="142"/>
        <w:jc w:val="center"/>
        <w:rPr>
          <w:rFonts w:ascii="Times New Roman" w:hAnsi="Times New Roman"/>
          <w:bCs/>
          <w:szCs w:val="20"/>
          <w:lang w:val="uk-UA"/>
        </w:rPr>
      </w:pPr>
      <w:r w:rsidRPr="00E16672">
        <w:rPr>
          <w:rFonts w:ascii="Times New Roman" w:hAnsi="Times New Roman"/>
          <w:bCs/>
          <w:szCs w:val="20"/>
          <w:lang w:val="uk-UA"/>
        </w:rPr>
        <w:t>Ліцензія серія АЕ №</w:t>
      </w:r>
      <w:r w:rsidR="00E16672" w:rsidRPr="00E16672">
        <w:rPr>
          <w:rFonts w:ascii="Times New Roman" w:hAnsi="Times New Roman"/>
          <w:bCs/>
          <w:szCs w:val="20"/>
          <w:lang w:val="uk-UA"/>
        </w:rPr>
        <w:t>263429</w:t>
      </w:r>
      <w:r w:rsidRPr="00E16672">
        <w:rPr>
          <w:rFonts w:ascii="Times New Roman" w:hAnsi="Times New Roman"/>
          <w:bCs/>
          <w:szCs w:val="20"/>
          <w:lang w:val="uk-UA"/>
        </w:rPr>
        <w:t xml:space="preserve"> від </w:t>
      </w:r>
      <w:r w:rsidR="006E3B0B">
        <w:rPr>
          <w:rFonts w:ascii="Times New Roman" w:hAnsi="Times New Roman"/>
          <w:bCs/>
          <w:szCs w:val="20"/>
          <w:lang w:val="uk-UA"/>
        </w:rPr>
        <w:t>01 жовтня 2013</w:t>
      </w:r>
      <w:r w:rsidRPr="00E16672">
        <w:rPr>
          <w:rFonts w:ascii="Times New Roman" w:hAnsi="Times New Roman"/>
          <w:bCs/>
          <w:szCs w:val="20"/>
          <w:lang w:val="uk-UA"/>
        </w:rPr>
        <w:t xml:space="preserve"> р.,</w:t>
      </w:r>
    </w:p>
    <w:p w14:paraId="07DE5CFD" w14:textId="77777777" w:rsidR="005745AF" w:rsidRPr="00E16672" w:rsidRDefault="005745AF" w:rsidP="005745AF">
      <w:pPr>
        <w:jc w:val="center"/>
        <w:rPr>
          <w:rFonts w:ascii="Times New Roman" w:hAnsi="Times New Roman"/>
          <w:bCs/>
          <w:szCs w:val="20"/>
          <w:lang w:val="uk-UA"/>
        </w:rPr>
      </w:pPr>
      <w:r w:rsidRPr="00E16672">
        <w:rPr>
          <w:rFonts w:ascii="Times New Roman" w:hAnsi="Times New Roman"/>
          <w:bCs/>
          <w:szCs w:val="20"/>
          <w:lang w:val="uk-UA"/>
        </w:rPr>
        <w:t xml:space="preserve">Адреса: </w:t>
      </w:r>
      <w:r w:rsidR="006E3B0B">
        <w:rPr>
          <w:rFonts w:ascii="Times New Roman" w:hAnsi="Times New Roman"/>
          <w:bCs/>
          <w:szCs w:val="20"/>
          <w:lang w:val="uk-UA"/>
        </w:rPr>
        <w:t xml:space="preserve">03150, </w:t>
      </w:r>
      <w:proofErr w:type="spellStart"/>
      <w:r w:rsidR="006E3B0B">
        <w:rPr>
          <w:rFonts w:ascii="Times New Roman" w:hAnsi="Times New Roman"/>
          <w:bCs/>
          <w:szCs w:val="20"/>
          <w:lang w:val="uk-UA"/>
        </w:rPr>
        <w:t>м.Київ</w:t>
      </w:r>
      <w:proofErr w:type="spellEnd"/>
      <w:r w:rsidR="006E3B0B">
        <w:rPr>
          <w:rFonts w:ascii="Times New Roman" w:hAnsi="Times New Roman"/>
          <w:bCs/>
          <w:szCs w:val="20"/>
          <w:lang w:val="uk-UA"/>
        </w:rPr>
        <w:t>, Велика Васильківська (колишня Червоноармійська) вул., буд. 65</w:t>
      </w:r>
    </w:p>
    <w:p w14:paraId="78A214FF" w14:textId="77777777" w:rsidR="005745AF" w:rsidRPr="00E16672" w:rsidRDefault="005745AF" w:rsidP="005745AF">
      <w:pPr>
        <w:tabs>
          <w:tab w:val="left" w:pos="288"/>
          <w:tab w:val="left" w:pos="720"/>
          <w:tab w:val="left" w:pos="1008"/>
          <w:tab w:val="left" w:pos="1584"/>
          <w:tab w:val="left" w:pos="2160"/>
          <w:tab w:val="left" w:pos="3600"/>
        </w:tabs>
        <w:ind w:right="1"/>
        <w:jc w:val="center"/>
        <w:rPr>
          <w:rFonts w:ascii="Times New Roman" w:hAnsi="Times New Roman"/>
          <w:bCs/>
          <w:szCs w:val="20"/>
          <w:lang w:val="uk-UA"/>
        </w:rPr>
      </w:pPr>
      <w:r w:rsidRPr="00E16672">
        <w:rPr>
          <w:rFonts w:ascii="Times New Roman" w:hAnsi="Times New Roman"/>
          <w:bCs/>
          <w:szCs w:val="20"/>
          <w:lang w:val="uk-UA"/>
        </w:rPr>
        <w:t>Рахунок в Центральному Депозитарії №100024-UA40</w:t>
      </w:r>
      <w:r w:rsidR="006E3B0B">
        <w:rPr>
          <w:rFonts w:ascii="Times New Roman" w:hAnsi="Times New Roman"/>
          <w:bCs/>
          <w:szCs w:val="20"/>
          <w:lang w:val="uk-UA"/>
        </w:rPr>
        <w:t>401265</w:t>
      </w:r>
      <w:r w:rsidRPr="00E16672">
        <w:rPr>
          <w:rFonts w:ascii="Times New Roman" w:hAnsi="Times New Roman"/>
          <w:bCs/>
          <w:szCs w:val="20"/>
          <w:lang w:val="uk-UA"/>
        </w:rPr>
        <w:t xml:space="preserve">, код МДО </w:t>
      </w:r>
      <w:r w:rsidR="006E3B0B">
        <w:rPr>
          <w:rFonts w:ascii="Times New Roman" w:hAnsi="Times New Roman"/>
          <w:bCs/>
          <w:szCs w:val="20"/>
          <w:lang w:val="uk-UA"/>
        </w:rPr>
        <w:t>401265</w:t>
      </w:r>
    </w:p>
    <w:p w14:paraId="7D0C7896" w14:textId="77777777" w:rsidR="005745AF" w:rsidRPr="00E16672" w:rsidRDefault="005745AF" w:rsidP="005745AF">
      <w:pPr>
        <w:tabs>
          <w:tab w:val="left" w:pos="288"/>
          <w:tab w:val="left" w:pos="720"/>
          <w:tab w:val="left" w:pos="1008"/>
          <w:tab w:val="left" w:pos="1584"/>
          <w:tab w:val="left" w:pos="2160"/>
          <w:tab w:val="left" w:pos="3600"/>
        </w:tabs>
        <w:ind w:right="1"/>
        <w:jc w:val="center"/>
        <w:rPr>
          <w:rFonts w:ascii="Times New Roman" w:hAnsi="Times New Roman"/>
          <w:bCs/>
          <w:color w:val="000000"/>
          <w:sz w:val="22"/>
          <w:lang w:val="uk-UA"/>
        </w:rPr>
      </w:pPr>
    </w:p>
    <w:p w14:paraId="627B1FBB" w14:textId="77777777" w:rsidR="002506EC" w:rsidRPr="00E16672" w:rsidRDefault="002506EC" w:rsidP="002506EC">
      <w:pPr>
        <w:rPr>
          <w:rFonts w:ascii="Times New Roman" w:hAnsi="Times New Roman"/>
        </w:rPr>
      </w:pPr>
      <w:proofErr w:type="spellStart"/>
      <w:r w:rsidRPr="00E16672">
        <w:rPr>
          <w:rFonts w:ascii="Times New Roman" w:hAnsi="Times New Roman"/>
        </w:rPr>
        <w:t>Вих</w:t>
      </w:r>
      <w:proofErr w:type="spellEnd"/>
      <w:r w:rsidRPr="00E16672">
        <w:rPr>
          <w:rFonts w:ascii="Times New Roman" w:hAnsi="Times New Roman"/>
        </w:rPr>
        <w:t>. № ____</w:t>
      </w:r>
      <w:r w:rsidRPr="00E16672">
        <w:rPr>
          <w:rFonts w:ascii="Times New Roman" w:hAnsi="Times New Roman"/>
          <w:lang w:val="uk-UA"/>
        </w:rPr>
        <w:t>_____</w:t>
      </w:r>
      <w:r w:rsidRPr="00E16672">
        <w:rPr>
          <w:rFonts w:ascii="Times New Roman" w:hAnsi="Times New Roman"/>
        </w:rPr>
        <w:t>_</w:t>
      </w:r>
    </w:p>
    <w:p w14:paraId="287D31E9" w14:textId="77777777" w:rsidR="002506EC" w:rsidRPr="00E16672" w:rsidRDefault="00602650" w:rsidP="002506EC">
      <w:pPr>
        <w:rPr>
          <w:rFonts w:ascii="Times New Roman" w:hAnsi="Times New Roman"/>
          <w:lang w:val="uk-UA"/>
        </w:rPr>
      </w:pPr>
      <w:r>
        <w:rPr>
          <w:rFonts w:ascii="Times New Roman" w:hAnsi="Times New Roman"/>
        </w:rPr>
        <w:t>в</w:t>
      </w:r>
      <w:r w:rsidR="002506EC" w:rsidRPr="00E16672">
        <w:rPr>
          <w:rFonts w:ascii="Times New Roman" w:hAnsi="Times New Roman"/>
          <w:lang w:val="uk-UA"/>
        </w:rPr>
        <w:t>ід _______ 20__р.</w:t>
      </w:r>
    </w:p>
    <w:p w14:paraId="65F07D7A" w14:textId="77777777" w:rsidR="005745AF" w:rsidRPr="00E16672" w:rsidRDefault="005745AF" w:rsidP="005745AF">
      <w:pPr>
        <w:tabs>
          <w:tab w:val="left" w:pos="288"/>
          <w:tab w:val="left" w:pos="720"/>
          <w:tab w:val="left" w:pos="1008"/>
          <w:tab w:val="left" w:pos="1584"/>
          <w:tab w:val="left" w:pos="2160"/>
          <w:tab w:val="left" w:pos="3600"/>
        </w:tabs>
        <w:ind w:right="1"/>
        <w:jc w:val="center"/>
        <w:rPr>
          <w:rFonts w:ascii="Times New Roman" w:hAnsi="Times New Roman"/>
          <w:color w:val="000000"/>
          <w:lang w:val="uk-UA"/>
        </w:rPr>
      </w:pPr>
    </w:p>
    <w:p w14:paraId="560A963F" w14:textId="77777777" w:rsidR="005745AF" w:rsidRPr="00E16672" w:rsidRDefault="005745AF" w:rsidP="005745AF">
      <w:pPr>
        <w:jc w:val="center"/>
        <w:rPr>
          <w:rFonts w:ascii="Times New Roman" w:hAnsi="Times New Roman"/>
          <w:color w:val="000000"/>
          <w:lang w:val="uk-UA"/>
        </w:rPr>
      </w:pPr>
    </w:p>
    <w:p w14:paraId="6F32E26C" w14:textId="77777777" w:rsidR="005745AF" w:rsidRPr="00E16672" w:rsidRDefault="005745AF" w:rsidP="005745AF">
      <w:pPr>
        <w:pStyle w:val="6"/>
        <w:tabs>
          <w:tab w:val="clear" w:pos="-501"/>
          <w:tab w:val="num" w:pos="0"/>
        </w:tabs>
        <w:ind w:left="1152"/>
        <w:rPr>
          <w:rFonts w:ascii="Times New Roman" w:hAnsi="Times New Roman"/>
          <w:color w:val="000000"/>
          <w:lang w:val="uk-UA"/>
        </w:rPr>
      </w:pPr>
      <w:r w:rsidRPr="00E16672">
        <w:rPr>
          <w:rFonts w:ascii="Times New Roman" w:hAnsi="Times New Roman"/>
          <w:color w:val="000000"/>
          <w:lang w:val="uk-UA"/>
        </w:rPr>
        <w:t xml:space="preserve">Відмова </w:t>
      </w:r>
    </w:p>
    <w:p w14:paraId="0E254CE3" w14:textId="77777777" w:rsidR="005745AF" w:rsidRPr="00E16672" w:rsidRDefault="005745AF" w:rsidP="005745AF">
      <w:pPr>
        <w:rPr>
          <w:rFonts w:ascii="Times New Roman" w:hAnsi="Times New Roman"/>
          <w:color w:val="000000"/>
          <w:lang w:val="uk-UA"/>
        </w:rPr>
      </w:pPr>
    </w:p>
    <w:p w14:paraId="4803597C" w14:textId="6EFEDEA2" w:rsidR="005745AF" w:rsidRPr="00E16672" w:rsidRDefault="005745AF" w:rsidP="005745AF">
      <w:pPr>
        <w:pStyle w:val="6"/>
        <w:tabs>
          <w:tab w:val="clear" w:pos="-501"/>
          <w:tab w:val="num" w:pos="0"/>
        </w:tabs>
        <w:ind w:left="1152"/>
        <w:rPr>
          <w:rFonts w:ascii="Times New Roman" w:hAnsi="Times New Roman"/>
          <w:color w:val="000000"/>
          <w:lang w:val="uk-UA"/>
        </w:rPr>
      </w:pPr>
      <w:r w:rsidRPr="00E16672">
        <w:rPr>
          <w:rFonts w:ascii="Times New Roman" w:hAnsi="Times New Roman"/>
          <w:color w:val="000000"/>
          <w:lang w:val="uk-UA"/>
        </w:rPr>
        <w:t xml:space="preserve">у відкритті/закритті рахунку </w:t>
      </w:r>
      <w:r w:rsidR="00C470B6">
        <w:rPr>
          <w:rFonts w:ascii="Times New Roman" w:hAnsi="Times New Roman"/>
          <w:color w:val="000000"/>
          <w:lang w:val="uk-UA"/>
        </w:rPr>
        <w:t>у</w:t>
      </w:r>
      <w:r w:rsidR="00C22309" w:rsidRPr="00E16672">
        <w:rPr>
          <w:rFonts w:ascii="Times New Roman" w:hAnsi="Times New Roman"/>
          <w:color w:val="000000"/>
          <w:lang w:val="uk-UA"/>
        </w:rPr>
        <w:t xml:space="preserve"> цін</w:t>
      </w:r>
      <w:r w:rsidRPr="00E16672">
        <w:rPr>
          <w:rFonts w:ascii="Times New Roman" w:hAnsi="Times New Roman"/>
          <w:szCs w:val="32"/>
          <w:lang w:val="uk-UA"/>
        </w:rPr>
        <w:t>них паперах</w:t>
      </w:r>
    </w:p>
    <w:p w14:paraId="438CCCA7" w14:textId="77777777" w:rsidR="005745AF" w:rsidRPr="00E16672" w:rsidRDefault="005745AF" w:rsidP="005745AF">
      <w:pPr>
        <w:rPr>
          <w:rFonts w:ascii="Times New Roman" w:hAnsi="Times New Roman"/>
          <w:color w:val="000000"/>
          <w:lang w:val="uk-UA"/>
        </w:rPr>
      </w:pPr>
    </w:p>
    <w:p w14:paraId="0B93FE02" w14:textId="77777777" w:rsidR="005745AF" w:rsidRPr="00E16672" w:rsidRDefault="005745AF" w:rsidP="005745AF">
      <w:pPr>
        <w:rPr>
          <w:rFonts w:ascii="Times New Roman" w:hAnsi="Times New Roman"/>
          <w:color w:val="000000"/>
          <w:lang w:val="uk-UA"/>
        </w:rPr>
      </w:pPr>
    </w:p>
    <w:p w14:paraId="47845650" w14:textId="77777777" w:rsidR="00602650" w:rsidRDefault="00602650" w:rsidP="00602650">
      <w:pPr>
        <w:pStyle w:val="mystylen"/>
        <w:keepNext w:val="0"/>
        <w:keepLines w:val="0"/>
        <w:pageBreakBefore w:val="0"/>
        <w:spacing w:before="0" w:after="0"/>
        <w:jc w:val="both"/>
        <w:rPr>
          <w:rFonts w:ascii="Times New Roman" w:hAnsi="Times New Roman"/>
          <w:color w:val="000000"/>
          <w:lang w:val="uk-UA"/>
        </w:rPr>
      </w:pPr>
      <w:r w:rsidRPr="00E16672">
        <w:rPr>
          <w:rFonts w:ascii="Times New Roman" w:hAnsi="Times New Roman"/>
          <w:color w:val="000000"/>
          <w:lang w:val="uk-UA"/>
        </w:rPr>
        <w:t>м. Київ</w:t>
      </w:r>
    </w:p>
    <w:p w14:paraId="3AF00EC2" w14:textId="77777777" w:rsidR="00602650" w:rsidRPr="00E16672" w:rsidRDefault="00602650" w:rsidP="00602650">
      <w:pPr>
        <w:pStyle w:val="mystylen"/>
        <w:keepNext w:val="0"/>
        <w:keepLines w:val="0"/>
        <w:pageBreakBefore w:val="0"/>
        <w:spacing w:before="0" w:after="0"/>
        <w:jc w:val="both"/>
        <w:rPr>
          <w:rFonts w:ascii="Times New Roman" w:hAnsi="Times New Roman"/>
          <w:color w:val="000000"/>
          <w:lang w:val="uk-UA"/>
        </w:rPr>
      </w:pPr>
      <w:r w:rsidRPr="00E16672">
        <w:rPr>
          <w:rFonts w:ascii="Times New Roman" w:hAnsi="Times New Roman"/>
          <w:color w:val="000000"/>
          <w:lang w:val="uk-UA"/>
        </w:rPr>
        <w:t>“</w:t>
      </w:r>
      <w:r>
        <w:rPr>
          <w:rFonts w:ascii="Times New Roman" w:hAnsi="Times New Roman"/>
          <w:color w:val="000000"/>
          <w:lang w:val="uk-UA"/>
        </w:rPr>
        <w:t xml:space="preserve">    </w:t>
      </w:r>
      <w:r w:rsidRPr="00E16672">
        <w:rPr>
          <w:rFonts w:ascii="Times New Roman" w:hAnsi="Times New Roman"/>
          <w:color w:val="000000"/>
          <w:lang w:val="uk-UA"/>
        </w:rPr>
        <w:t xml:space="preserve">” _______ </w:t>
      </w:r>
      <w:r>
        <w:rPr>
          <w:rFonts w:ascii="Times New Roman" w:hAnsi="Times New Roman"/>
          <w:color w:val="000000"/>
          <w:lang w:val="uk-UA"/>
        </w:rPr>
        <w:t>20</w:t>
      </w:r>
      <w:r w:rsidRPr="00E16672">
        <w:rPr>
          <w:rFonts w:ascii="Times New Roman" w:hAnsi="Times New Roman"/>
          <w:color w:val="000000"/>
          <w:lang w:val="uk-UA"/>
        </w:rPr>
        <w:t>____ р.</w:t>
      </w:r>
      <w:r w:rsidRPr="00E16672">
        <w:rPr>
          <w:rFonts w:ascii="Times New Roman" w:hAnsi="Times New Roman"/>
          <w:color w:val="000000"/>
          <w:lang w:val="uk-UA"/>
        </w:rPr>
        <w:tab/>
      </w:r>
      <w:r w:rsidRPr="00E16672">
        <w:rPr>
          <w:rFonts w:ascii="Times New Roman" w:hAnsi="Times New Roman"/>
          <w:color w:val="000000"/>
          <w:lang w:val="uk-UA"/>
        </w:rPr>
        <w:tab/>
      </w:r>
    </w:p>
    <w:p w14:paraId="2672FE32" w14:textId="77777777" w:rsidR="00602650" w:rsidRPr="00E16672" w:rsidRDefault="00602650" w:rsidP="00602650">
      <w:pPr>
        <w:rPr>
          <w:rFonts w:ascii="Times New Roman" w:hAnsi="Times New Roman"/>
          <w:color w:val="000000"/>
          <w:sz w:val="28"/>
          <w:lang w:val="uk-UA"/>
        </w:rPr>
      </w:pPr>
    </w:p>
    <w:p w14:paraId="248E9636" w14:textId="77777777" w:rsidR="005745AF" w:rsidRPr="00E16672" w:rsidRDefault="005745AF" w:rsidP="005745AF">
      <w:pPr>
        <w:rPr>
          <w:rFonts w:ascii="Times New Roman" w:hAnsi="Times New Roman"/>
          <w:color w:val="000000"/>
          <w:sz w:val="28"/>
          <w:lang w:val="uk-UA"/>
        </w:rPr>
      </w:pPr>
    </w:p>
    <w:p w14:paraId="0D256B7D" w14:textId="77777777" w:rsidR="005745AF" w:rsidRPr="00E16672" w:rsidRDefault="005745AF" w:rsidP="005745AF">
      <w:pPr>
        <w:rPr>
          <w:rFonts w:ascii="Times New Roman" w:hAnsi="Times New Roman"/>
          <w:color w:val="000000"/>
          <w:sz w:val="28"/>
          <w:lang w:val="uk-UA"/>
        </w:rPr>
      </w:pPr>
    </w:p>
    <w:p w14:paraId="6F995407" w14:textId="77777777" w:rsidR="005745AF" w:rsidRPr="00E16672" w:rsidRDefault="005745AF" w:rsidP="005745AF">
      <w:pPr>
        <w:rPr>
          <w:rFonts w:ascii="Times New Roman" w:hAnsi="Times New Roman"/>
          <w:color w:val="000000"/>
          <w:sz w:val="28"/>
          <w:lang w:val="uk-UA"/>
        </w:rPr>
      </w:pPr>
    </w:p>
    <w:p w14:paraId="68398488" w14:textId="77777777" w:rsidR="005745AF" w:rsidRPr="00E16672" w:rsidRDefault="005745AF" w:rsidP="005745AF">
      <w:pPr>
        <w:rPr>
          <w:rFonts w:ascii="Times New Roman" w:hAnsi="Times New Roman"/>
          <w:color w:val="000000"/>
          <w:sz w:val="28"/>
          <w:lang w:val="uk-UA"/>
        </w:rPr>
      </w:pPr>
      <w:r w:rsidRPr="00E16672">
        <w:rPr>
          <w:rFonts w:ascii="Times New Roman" w:hAnsi="Times New Roman"/>
          <w:color w:val="000000"/>
          <w:sz w:val="28"/>
          <w:lang w:val="uk-UA"/>
        </w:rPr>
        <w:tab/>
        <w:t>Шановний(на) ____________________________________________</w:t>
      </w:r>
    </w:p>
    <w:p w14:paraId="019E3625" w14:textId="77777777" w:rsidR="005745AF" w:rsidRPr="00E16672" w:rsidRDefault="005745AF" w:rsidP="005745AF">
      <w:pPr>
        <w:rPr>
          <w:rFonts w:ascii="Times New Roman" w:hAnsi="Times New Roman"/>
          <w:color w:val="000000"/>
          <w:sz w:val="28"/>
          <w:lang w:val="uk-UA"/>
        </w:rPr>
      </w:pPr>
      <w:r w:rsidRPr="00E16672">
        <w:rPr>
          <w:rFonts w:ascii="Times New Roman" w:hAnsi="Times New Roman"/>
          <w:color w:val="000000"/>
          <w:sz w:val="28"/>
          <w:lang w:val="uk-UA"/>
        </w:rPr>
        <w:t>_____________________________________________________________</w:t>
      </w:r>
    </w:p>
    <w:p w14:paraId="2D8FC9A9" w14:textId="77777777" w:rsidR="005745AF" w:rsidRPr="00E16672" w:rsidRDefault="005745AF" w:rsidP="005745AF">
      <w:pPr>
        <w:rPr>
          <w:rFonts w:ascii="Times New Roman" w:hAnsi="Times New Roman"/>
          <w:color w:val="000000"/>
          <w:sz w:val="28"/>
          <w:lang w:val="uk-UA"/>
        </w:rPr>
      </w:pPr>
      <w:r w:rsidRPr="00E16672">
        <w:rPr>
          <w:rFonts w:ascii="Times New Roman" w:hAnsi="Times New Roman"/>
          <w:color w:val="000000"/>
          <w:sz w:val="28"/>
          <w:lang w:val="uk-UA"/>
        </w:rPr>
        <w:t>Вам відмовлено (</w:t>
      </w:r>
      <w:r w:rsidRPr="00E16672">
        <w:rPr>
          <w:rFonts w:ascii="Times New Roman" w:hAnsi="Times New Roman"/>
          <w:i/>
          <w:color w:val="000000"/>
          <w:sz w:val="28"/>
          <w:lang w:val="uk-UA"/>
        </w:rPr>
        <w:t>необхідне підкреслити</w:t>
      </w:r>
      <w:r w:rsidRPr="00E16672">
        <w:rPr>
          <w:rFonts w:ascii="Times New Roman" w:hAnsi="Times New Roman"/>
          <w:color w:val="000000"/>
          <w:sz w:val="28"/>
          <w:lang w:val="uk-UA"/>
        </w:rPr>
        <w:t>):</w:t>
      </w:r>
    </w:p>
    <w:p w14:paraId="00383649" w14:textId="77777777" w:rsidR="005745AF" w:rsidRPr="00E16672" w:rsidRDefault="005745AF" w:rsidP="005745AF">
      <w:pPr>
        <w:rPr>
          <w:rFonts w:ascii="Times New Roman" w:hAnsi="Times New Roman"/>
          <w:color w:val="000000"/>
          <w:sz w:val="28"/>
          <w:szCs w:val="28"/>
          <w:lang w:val="uk-UA"/>
        </w:rPr>
      </w:pPr>
      <w:r w:rsidRPr="00E16672">
        <w:rPr>
          <w:rFonts w:ascii="Times New Roman" w:hAnsi="Times New Roman"/>
          <w:color w:val="000000"/>
          <w:sz w:val="28"/>
          <w:szCs w:val="28"/>
          <w:lang w:val="uk-UA"/>
        </w:rPr>
        <w:t>- у відкритті рахунку у ЦП;</w:t>
      </w:r>
    </w:p>
    <w:p w14:paraId="07873DFE" w14:textId="77777777" w:rsidR="005745AF" w:rsidRPr="00E16672" w:rsidRDefault="005745AF" w:rsidP="005745AF">
      <w:pPr>
        <w:rPr>
          <w:rFonts w:ascii="Times New Roman" w:hAnsi="Times New Roman"/>
          <w:color w:val="000000"/>
          <w:sz w:val="28"/>
          <w:szCs w:val="28"/>
          <w:lang w:val="uk-UA"/>
        </w:rPr>
      </w:pPr>
      <w:r w:rsidRPr="00E16672">
        <w:rPr>
          <w:rFonts w:ascii="Times New Roman" w:hAnsi="Times New Roman"/>
          <w:color w:val="000000"/>
          <w:sz w:val="28"/>
          <w:szCs w:val="28"/>
          <w:lang w:val="uk-UA"/>
        </w:rPr>
        <w:t>- у закритті рахунку у ЦП;</w:t>
      </w:r>
    </w:p>
    <w:p w14:paraId="6A61DC3A" w14:textId="77777777" w:rsidR="005745AF" w:rsidRPr="00E16672" w:rsidRDefault="005745AF" w:rsidP="005745AF">
      <w:pPr>
        <w:rPr>
          <w:rFonts w:ascii="Times New Roman" w:hAnsi="Times New Roman"/>
          <w:color w:val="000000"/>
          <w:sz w:val="28"/>
          <w:lang w:val="uk-UA"/>
        </w:rPr>
      </w:pPr>
    </w:p>
    <w:p w14:paraId="474A8E51" w14:textId="77777777" w:rsidR="005745AF" w:rsidRPr="00E16672" w:rsidRDefault="005745AF" w:rsidP="005745AF">
      <w:pPr>
        <w:rPr>
          <w:rFonts w:ascii="Times New Roman" w:hAnsi="Times New Roman"/>
          <w:color w:val="000000"/>
          <w:sz w:val="28"/>
          <w:lang w:val="uk-UA"/>
        </w:rPr>
      </w:pPr>
    </w:p>
    <w:p w14:paraId="124285EE" w14:textId="77777777" w:rsidR="005745AF" w:rsidRPr="00E16672" w:rsidRDefault="005745AF" w:rsidP="005745AF">
      <w:pPr>
        <w:rPr>
          <w:rFonts w:ascii="Times New Roman" w:hAnsi="Times New Roman"/>
          <w:color w:val="000000"/>
          <w:sz w:val="28"/>
          <w:lang w:val="uk-UA"/>
        </w:rPr>
      </w:pPr>
      <w:r w:rsidRPr="00E16672">
        <w:rPr>
          <w:rFonts w:ascii="Times New Roman" w:hAnsi="Times New Roman"/>
          <w:color w:val="000000"/>
          <w:sz w:val="28"/>
          <w:lang w:val="uk-UA"/>
        </w:rPr>
        <w:t xml:space="preserve"> з причин ______________________________________________________</w:t>
      </w:r>
    </w:p>
    <w:p w14:paraId="1D18C066" w14:textId="77777777" w:rsidR="005745AF" w:rsidRPr="00E16672" w:rsidRDefault="005745AF" w:rsidP="005745AF">
      <w:pPr>
        <w:jc w:val="center"/>
        <w:rPr>
          <w:rFonts w:ascii="Times New Roman" w:hAnsi="Times New Roman"/>
          <w:color w:val="000000"/>
          <w:sz w:val="22"/>
          <w:szCs w:val="22"/>
          <w:lang w:val="uk-UA"/>
        </w:rPr>
      </w:pPr>
      <w:r w:rsidRPr="00E16672">
        <w:rPr>
          <w:rFonts w:ascii="Times New Roman" w:hAnsi="Times New Roman"/>
          <w:color w:val="000000"/>
          <w:sz w:val="22"/>
          <w:szCs w:val="22"/>
          <w:lang w:val="uk-UA"/>
        </w:rPr>
        <w:t>(причина відмови)</w:t>
      </w:r>
    </w:p>
    <w:p w14:paraId="5999C0BA" w14:textId="77777777" w:rsidR="005745AF" w:rsidRPr="00E16672" w:rsidRDefault="005745AF" w:rsidP="005745AF">
      <w:pPr>
        <w:rPr>
          <w:rFonts w:ascii="Times New Roman" w:hAnsi="Times New Roman"/>
          <w:color w:val="000000"/>
          <w:sz w:val="28"/>
          <w:lang w:val="uk-UA"/>
        </w:rPr>
      </w:pPr>
      <w:r w:rsidRPr="00E16672">
        <w:rPr>
          <w:rFonts w:ascii="Times New Roman" w:hAnsi="Times New Roman"/>
          <w:color w:val="000000"/>
          <w:sz w:val="28"/>
          <w:lang w:val="uk-UA"/>
        </w:rPr>
        <w:t>_____________________________________________________________</w:t>
      </w:r>
    </w:p>
    <w:p w14:paraId="7A8377D5" w14:textId="77777777" w:rsidR="005745AF" w:rsidRPr="00E16672" w:rsidRDefault="005745AF" w:rsidP="005745AF">
      <w:pPr>
        <w:rPr>
          <w:rFonts w:ascii="Times New Roman" w:hAnsi="Times New Roman"/>
          <w:color w:val="000000"/>
          <w:sz w:val="28"/>
          <w:lang w:val="uk-UA"/>
        </w:rPr>
      </w:pPr>
      <w:r w:rsidRPr="00E16672">
        <w:rPr>
          <w:rFonts w:ascii="Times New Roman" w:hAnsi="Times New Roman"/>
          <w:color w:val="000000"/>
          <w:sz w:val="28"/>
          <w:lang w:val="uk-UA"/>
        </w:rPr>
        <w:t>_____________________________________________________________</w:t>
      </w:r>
    </w:p>
    <w:p w14:paraId="20992589" w14:textId="77777777" w:rsidR="005745AF" w:rsidRPr="00E16672" w:rsidRDefault="005745AF" w:rsidP="005745AF">
      <w:pPr>
        <w:rPr>
          <w:rFonts w:ascii="Times New Roman" w:hAnsi="Times New Roman"/>
          <w:color w:val="000000"/>
          <w:sz w:val="28"/>
          <w:lang w:val="uk-UA"/>
        </w:rPr>
      </w:pPr>
    </w:p>
    <w:p w14:paraId="2E41B5B0" w14:textId="77777777" w:rsidR="005745AF" w:rsidRPr="00E16672" w:rsidRDefault="005745AF" w:rsidP="005745AF">
      <w:pPr>
        <w:rPr>
          <w:rFonts w:ascii="Times New Roman" w:hAnsi="Times New Roman"/>
          <w:color w:val="000000"/>
          <w:sz w:val="28"/>
          <w:lang w:val="uk-UA"/>
        </w:rPr>
      </w:pPr>
    </w:p>
    <w:p w14:paraId="29E3EE44" w14:textId="77777777" w:rsidR="005745AF" w:rsidRPr="00E16672" w:rsidRDefault="005745AF" w:rsidP="005745AF">
      <w:pPr>
        <w:rPr>
          <w:rFonts w:ascii="Times New Roman" w:hAnsi="Times New Roman"/>
          <w:color w:val="000000"/>
          <w:sz w:val="28"/>
          <w:lang w:val="uk-UA"/>
        </w:rPr>
      </w:pPr>
    </w:p>
    <w:p w14:paraId="28386B90" w14:textId="77777777" w:rsidR="005745AF" w:rsidRPr="00E16672" w:rsidRDefault="005745AF" w:rsidP="005745AF">
      <w:pPr>
        <w:rPr>
          <w:rFonts w:ascii="Times New Roman" w:hAnsi="Times New Roman"/>
          <w:color w:val="000000"/>
          <w:sz w:val="28"/>
          <w:lang w:val="uk-UA"/>
        </w:rPr>
      </w:pPr>
    </w:p>
    <w:p w14:paraId="17834A62" w14:textId="77777777" w:rsidR="005745AF" w:rsidRPr="00E16672" w:rsidRDefault="005745AF" w:rsidP="005745AF">
      <w:pPr>
        <w:rPr>
          <w:rFonts w:ascii="Times New Roman" w:hAnsi="Times New Roman"/>
          <w:color w:val="000000"/>
          <w:sz w:val="28"/>
          <w:lang w:val="uk-UA"/>
        </w:rPr>
      </w:pPr>
    </w:p>
    <w:p w14:paraId="22C947A1" w14:textId="77777777" w:rsidR="005745AF" w:rsidRPr="00E16672" w:rsidRDefault="005745AF" w:rsidP="005745AF">
      <w:pPr>
        <w:rPr>
          <w:rFonts w:ascii="Times New Roman" w:hAnsi="Times New Roman"/>
          <w:color w:val="000000"/>
          <w:sz w:val="28"/>
          <w:lang w:val="uk-UA"/>
        </w:rPr>
      </w:pPr>
      <w:r w:rsidRPr="00E16672">
        <w:rPr>
          <w:rFonts w:ascii="Times New Roman" w:hAnsi="Times New Roman"/>
          <w:color w:val="000000"/>
          <w:sz w:val="28"/>
          <w:lang w:val="uk-UA"/>
        </w:rPr>
        <w:t>Відповідальна</w:t>
      </w:r>
    </w:p>
    <w:p w14:paraId="1ECD9D8B" w14:textId="77777777" w:rsidR="005745AF" w:rsidRPr="00E16672" w:rsidRDefault="005745AF" w:rsidP="005745AF">
      <w:pPr>
        <w:rPr>
          <w:rFonts w:ascii="Times New Roman" w:hAnsi="Times New Roman"/>
          <w:color w:val="000000"/>
          <w:sz w:val="28"/>
          <w:u w:val="single"/>
          <w:lang w:val="uk-UA"/>
        </w:rPr>
      </w:pPr>
      <w:r w:rsidRPr="00E16672">
        <w:rPr>
          <w:rFonts w:ascii="Times New Roman" w:hAnsi="Times New Roman"/>
          <w:color w:val="000000"/>
          <w:sz w:val="28"/>
          <w:lang w:val="uk-UA"/>
        </w:rPr>
        <w:t>особа Депозитарної установи       _________________    ___________</w:t>
      </w:r>
    </w:p>
    <w:p w14:paraId="51219DDC" w14:textId="77777777" w:rsidR="005745AF" w:rsidRPr="00E16672" w:rsidRDefault="005745AF" w:rsidP="005745AF">
      <w:pPr>
        <w:rPr>
          <w:rFonts w:ascii="Times New Roman" w:hAnsi="Times New Roman"/>
          <w:i/>
          <w:color w:val="000000"/>
          <w:szCs w:val="20"/>
          <w:lang w:val="uk-UA"/>
        </w:rPr>
      </w:pPr>
      <w:r w:rsidRPr="00E16672">
        <w:rPr>
          <w:rFonts w:ascii="Times New Roman" w:hAnsi="Times New Roman"/>
          <w:color w:val="000000"/>
          <w:sz w:val="28"/>
          <w:lang w:val="uk-UA"/>
        </w:rPr>
        <w:tab/>
      </w:r>
      <w:r w:rsidRPr="00E16672">
        <w:rPr>
          <w:rFonts w:ascii="Times New Roman" w:hAnsi="Times New Roman"/>
          <w:color w:val="000000"/>
          <w:sz w:val="28"/>
          <w:lang w:val="uk-UA"/>
        </w:rPr>
        <w:tab/>
      </w:r>
      <w:r w:rsidRPr="00E16672">
        <w:rPr>
          <w:rFonts w:ascii="Times New Roman" w:hAnsi="Times New Roman"/>
          <w:color w:val="000000"/>
          <w:sz w:val="28"/>
          <w:lang w:val="uk-UA"/>
        </w:rPr>
        <w:tab/>
      </w:r>
      <w:r w:rsidRPr="00E16672">
        <w:rPr>
          <w:rFonts w:ascii="Times New Roman" w:hAnsi="Times New Roman"/>
          <w:color w:val="000000"/>
          <w:sz w:val="28"/>
          <w:lang w:val="uk-UA"/>
        </w:rPr>
        <w:tab/>
      </w:r>
      <w:r w:rsidRPr="00E16672">
        <w:rPr>
          <w:rFonts w:ascii="Times New Roman" w:hAnsi="Times New Roman"/>
          <w:color w:val="000000"/>
          <w:sz w:val="28"/>
          <w:lang w:val="uk-UA"/>
        </w:rPr>
        <w:tab/>
        <w:t xml:space="preserve">                        </w:t>
      </w:r>
      <w:r w:rsidRPr="00E16672">
        <w:rPr>
          <w:rFonts w:ascii="Times New Roman" w:hAnsi="Times New Roman"/>
          <w:color w:val="000000"/>
          <w:szCs w:val="20"/>
          <w:lang w:val="uk-UA"/>
        </w:rPr>
        <w:t xml:space="preserve"> </w:t>
      </w:r>
      <w:r w:rsidRPr="00E16672">
        <w:rPr>
          <w:rFonts w:ascii="Times New Roman" w:hAnsi="Times New Roman"/>
          <w:i/>
          <w:color w:val="000000"/>
          <w:szCs w:val="20"/>
          <w:lang w:val="uk-UA"/>
        </w:rPr>
        <w:t>В.П., підпис</w:t>
      </w:r>
      <w:r w:rsidRPr="00E16672">
        <w:rPr>
          <w:rFonts w:ascii="Times New Roman" w:hAnsi="Times New Roman"/>
          <w:b/>
          <w:i/>
          <w:color w:val="000000"/>
          <w:szCs w:val="20"/>
          <w:lang w:val="uk-UA"/>
        </w:rPr>
        <w:tab/>
        <w:t xml:space="preserve">                        </w:t>
      </w:r>
      <w:r w:rsidRPr="00E16672">
        <w:rPr>
          <w:rFonts w:ascii="Times New Roman" w:hAnsi="Times New Roman"/>
          <w:b/>
          <w:i/>
          <w:color w:val="000000"/>
          <w:szCs w:val="20"/>
          <w:lang w:val="uk-UA"/>
        </w:rPr>
        <w:tab/>
      </w:r>
      <w:r w:rsidRPr="00E16672">
        <w:rPr>
          <w:rFonts w:ascii="Times New Roman" w:hAnsi="Times New Roman"/>
          <w:i/>
          <w:color w:val="000000"/>
          <w:szCs w:val="20"/>
          <w:lang w:val="uk-UA"/>
        </w:rPr>
        <w:t>ПІБ</w:t>
      </w:r>
    </w:p>
    <w:p w14:paraId="11B1DBE3" w14:textId="77777777" w:rsidR="005745AF" w:rsidRPr="00E16672" w:rsidRDefault="005745AF" w:rsidP="005745AF">
      <w:pPr>
        <w:tabs>
          <w:tab w:val="left" w:pos="5460"/>
        </w:tabs>
        <w:ind w:firstLine="284"/>
        <w:jc w:val="center"/>
        <w:rPr>
          <w:rFonts w:ascii="Times New Roman" w:hAnsi="Times New Roman"/>
          <w:color w:val="0000FF"/>
          <w:sz w:val="22"/>
          <w:szCs w:val="22"/>
          <w:lang w:val="uk-UA"/>
        </w:rPr>
      </w:pPr>
    </w:p>
    <w:p w14:paraId="6F4D5A92" w14:textId="77777777" w:rsidR="005745AF" w:rsidRPr="00E16672" w:rsidRDefault="005745AF" w:rsidP="005745AF">
      <w:pPr>
        <w:tabs>
          <w:tab w:val="left" w:pos="1560"/>
        </w:tabs>
        <w:snapToGrid w:val="0"/>
        <w:rPr>
          <w:rFonts w:ascii="Times New Roman" w:hAnsi="Times New Roman"/>
          <w:i/>
          <w:color w:val="0000FF"/>
          <w:sz w:val="22"/>
          <w:szCs w:val="22"/>
          <w:lang w:val="uk-UA"/>
        </w:rPr>
      </w:pPr>
    </w:p>
    <w:p w14:paraId="05987B58" w14:textId="77777777" w:rsidR="005745AF" w:rsidRPr="00E16672" w:rsidRDefault="005745AF" w:rsidP="005745AF">
      <w:pPr>
        <w:tabs>
          <w:tab w:val="left" w:pos="5460"/>
        </w:tabs>
        <w:ind w:left="708"/>
        <w:jc w:val="right"/>
        <w:rPr>
          <w:rFonts w:ascii="Times New Roman" w:hAnsi="Times New Roman"/>
          <w:i/>
          <w:color w:val="0000FF"/>
          <w:sz w:val="22"/>
          <w:szCs w:val="22"/>
          <w:lang w:val="uk-UA"/>
        </w:rPr>
      </w:pPr>
    </w:p>
    <w:p w14:paraId="45C08C73" w14:textId="77777777" w:rsidR="005745AF" w:rsidRPr="00E16672" w:rsidRDefault="005745AF" w:rsidP="005745AF">
      <w:pPr>
        <w:tabs>
          <w:tab w:val="left" w:pos="5460"/>
        </w:tabs>
        <w:ind w:left="708"/>
        <w:jc w:val="right"/>
        <w:rPr>
          <w:rFonts w:ascii="Times New Roman" w:hAnsi="Times New Roman"/>
          <w:i/>
          <w:color w:val="0000FF"/>
          <w:sz w:val="22"/>
          <w:szCs w:val="22"/>
          <w:lang w:val="uk-UA"/>
        </w:rPr>
      </w:pPr>
    </w:p>
    <w:p w14:paraId="06D8FB70" w14:textId="77777777" w:rsidR="005745AF" w:rsidRPr="00E16672" w:rsidRDefault="005745AF" w:rsidP="005745AF">
      <w:pPr>
        <w:tabs>
          <w:tab w:val="left" w:pos="5460"/>
        </w:tabs>
        <w:ind w:left="708"/>
        <w:jc w:val="right"/>
        <w:rPr>
          <w:rFonts w:ascii="Times New Roman" w:hAnsi="Times New Roman"/>
          <w:i/>
          <w:color w:val="0000FF"/>
          <w:sz w:val="22"/>
          <w:szCs w:val="22"/>
          <w:lang w:val="uk-UA"/>
        </w:rPr>
      </w:pPr>
    </w:p>
    <w:p w14:paraId="4D329B21" w14:textId="77777777" w:rsidR="005745AF" w:rsidRPr="00E16672" w:rsidRDefault="005745AF" w:rsidP="005745AF">
      <w:pPr>
        <w:tabs>
          <w:tab w:val="left" w:pos="5460"/>
        </w:tabs>
        <w:ind w:left="708"/>
        <w:jc w:val="right"/>
        <w:rPr>
          <w:rFonts w:ascii="Times New Roman" w:hAnsi="Times New Roman"/>
          <w:i/>
          <w:color w:val="0000FF"/>
          <w:sz w:val="22"/>
          <w:szCs w:val="22"/>
          <w:lang w:val="uk-UA"/>
        </w:rPr>
      </w:pPr>
    </w:p>
    <w:p w14:paraId="2976179B" w14:textId="77777777" w:rsidR="005745AF" w:rsidRPr="00E16672" w:rsidRDefault="005745AF" w:rsidP="005745AF">
      <w:pPr>
        <w:tabs>
          <w:tab w:val="left" w:pos="5460"/>
        </w:tabs>
        <w:ind w:left="708"/>
        <w:jc w:val="right"/>
        <w:rPr>
          <w:rFonts w:ascii="Times New Roman" w:hAnsi="Times New Roman"/>
          <w:i/>
          <w:color w:val="0000FF"/>
          <w:sz w:val="22"/>
          <w:szCs w:val="22"/>
          <w:lang w:val="uk-UA"/>
        </w:rPr>
      </w:pPr>
    </w:p>
    <w:p w14:paraId="32746E40" w14:textId="77777777" w:rsidR="005745AF" w:rsidRPr="00E16672" w:rsidRDefault="005745AF" w:rsidP="005745AF">
      <w:pPr>
        <w:tabs>
          <w:tab w:val="left" w:pos="5460"/>
        </w:tabs>
        <w:ind w:left="708"/>
        <w:jc w:val="right"/>
        <w:rPr>
          <w:rFonts w:ascii="Times New Roman" w:hAnsi="Times New Roman"/>
          <w:i/>
          <w:color w:val="0000FF"/>
          <w:sz w:val="22"/>
          <w:szCs w:val="22"/>
          <w:lang w:val="uk-UA"/>
        </w:rPr>
      </w:pPr>
    </w:p>
    <w:p w14:paraId="37B65807" w14:textId="77777777" w:rsidR="005745AF" w:rsidRPr="00E16672" w:rsidRDefault="005745AF" w:rsidP="005745AF">
      <w:pPr>
        <w:tabs>
          <w:tab w:val="left" w:pos="5460"/>
        </w:tabs>
        <w:ind w:left="708"/>
        <w:jc w:val="right"/>
        <w:rPr>
          <w:rFonts w:ascii="Times New Roman" w:hAnsi="Times New Roman"/>
          <w:i/>
          <w:color w:val="0000FF"/>
          <w:sz w:val="22"/>
          <w:szCs w:val="22"/>
          <w:lang w:val="uk-UA"/>
        </w:rPr>
      </w:pPr>
    </w:p>
    <w:p w14:paraId="695BE905" w14:textId="77777777" w:rsidR="005745AF" w:rsidRPr="00E16672" w:rsidRDefault="005745AF" w:rsidP="005745AF">
      <w:pPr>
        <w:tabs>
          <w:tab w:val="left" w:pos="5460"/>
        </w:tabs>
        <w:ind w:left="708"/>
        <w:jc w:val="right"/>
        <w:rPr>
          <w:rFonts w:ascii="Times New Roman" w:hAnsi="Times New Roman"/>
          <w:i/>
          <w:color w:val="0000FF"/>
          <w:sz w:val="22"/>
          <w:szCs w:val="22"/>
          <w:lang w:val="uk-UA"/>
        </w:rPr>
      </w:pPr>
    </w:p>
    <w:p w14:paraId="060754EA" w14:textId="77777777" w:rsidR="005745AF" w:rsidRPr="00E16672" w:rsidRDefault="005745AF" w:rsidP="005745AF">
      <w:pPr>
        <w:tabs>
          <w:tab w:val="left" w:pos="5460"/>
        </w:tabs>
        <w:ind w:left="708"/>
        <w:jc w:val="right"/>
        <w:rPr>
          <w:rFonts w:ascii="Times New Roman" w:hAnsi="Times New Roman"/>
          <w:i/>
          <w:color w:val="0000FF"/>
          <w:sz w:val="22"/>
          <w:szCs w:val="22"/>
          <w:lang w:val="uk-UA"/>
        </w:rPr>
      </w:pPr>
    </w:p>
    <w:p w14:paraId="62513E4B" w14:textId="77777777" w:rsidR="005745AF" w:rsidRPr="00E16672" w:rsidRDefault="005745AF" w:rsidP="005745AF">
      <w:pPr>
        <w:tabs>
          <w:tab w:val="left" w:pos="5460"/>
        </w:tabs>
        <w:ind w:left="708"/>
        <w:jc w:val="right"/>
        <w:rPr>
          <w:rFonts w:ascii="Times New Roman" w:hAnsi="Times New Roman"/>
          <w:i/>
          <w:color w:val="0000FF"/>
          <w:sz w:val="22"/>
          <w:szCs w:val="22"/>
          <w:lang w:val="uk-UA"/>
        </w:rPr>
      </w:pPr>
    </w:p>
    <w:p w14:paraId="61CFA04E" w14:textId="77777777" w:rsidR="005745AF" w:rsidRPr="00E16672" w:rsidRDefault="005745AF" w:rsidP="005745AF">
      <w:pPr>
        <w:tabs>
          <w:tab w:val="left" w:pos="5460"/>
        </w:tabs>
        <w:ind w:left="708"/>
        <w:jc w:val="right"/>
        <w:rPr>
          <w:rFonts w:ascii="Times New Roman" w:hAnsi="Times New Roman"/>
          <w:i/>
          <w:color w:val="0000FF"/>
          <w:sz w:val="22"/>
          <w:szCs w:val="22"/>
          <w:lang w:val="uk-UA"/>
        </w:rPr>
      </w:pPr>
    </w:p>
    <w:p w14:paraId="7545C11A" w14:textId="77777777" w:rsidR="005745AF" w:rsidRPr="00E16672" w:rsidRDefault="005745AF" w:rsidP="005745AF">
      <w:pPr>
        <w:rPr>
          <w:rFonts w:ascii="Times New Roman" w:hAnsi="Times New Roman"/>
          <w:b/>
          <w:color w:val="0000FF"/>
          <w:lang w:val="uk-UA"/>
        </w:rPr>
      </w:pPr>
    </w:p>
    <w:p w14:paraId="100DEA73" w14:textId="77777777" w:rsidR="00E20CB1" w:rsidRPr="00E16672" w:rsidRDefault="00E20CB1" w:rsidP="00E20CB1">
      <w:pPr>
        <w:rPr>
          <w:rFonts w:ascii="Times New Roman" w:hAnsi="Times New Roman"/>
          <w:color w:val="000000"/>
          <w:lang w:val="uk-UA"/>
        </w:rPr>
      </w:pPr>
    </w:p>
    <w:p w14:paraId="00E7F5C1" w14:textId="77777777" w:rsidR="00E20CB1" w:rsidRPr="00F864F1" w:rsidRDefault="00E20CB1" w:rsidP="00F864F1">
      <w:pPr>
        <w:ind w:left="142" w:hanging="142"/>
        <w:jc w:val="center"/>
        <w:rPr>
          <w:rFonts w:ascii="Times New Roman" w:hAnsi="Times New Roman"/>
          <w:b/>
          <w:bCs/>
          <w:color w:val="000000"/>
          <w:sz w:val="18"/>
          <w:szCs w:val="18"/>
          <w:lang w:val="uk-UA"/>
        </w:rPr>
      </w:pPr>
      <w:r w:rsidRPr="00F864F1">
        <w:rPr>
          <w:rFonts w:ascii="Times New Roman" w:hAnsi="Times New Roman"/>
          <w:b/>
          <w:bCs/>
          <w:color w:val="000000"/>
          <w:sz w:val="18"/>
          <w:szCs w:val="18"/>
          <w:lang w:val="uk-UA"/>
        </w:rPr>
        <w:t xml:space="preserve">Депозитарна установа ТОВ </w:t>
      </w:r>
      <w:r w:rsidR="00022F5F" w:rsidRPr="00F864F1">
        <w:rPr>
          <w:rFonts w:ascii="Times New Roman" w:hAnsi="Times New Roman"/>
          <w:b/>
          <w:bCs/>
          <w:color w:val="000000"/>
          <w:sz w:val="18"/>
          <w:szCs w:val="18"/>
          <w:lang w:val="uk-UA"/>
        </w:rPr>
        <w:t>"</w:t>
      </w:r>
      <w:r w:rsidR="00E16672" w:rsidRPr="00F864F1">
        <w:rPr>
          <w:rFonts w:ascii="Times New Roman" w:hAnsi="Times New Roman"/>
          <w:b/>
          <w:bCs/>
          <w:color w:val="000000"/>
          <w:sz w:val="18"/>
          <w:szCs w:val="18"/>
          <w:lang w:val="uk-UA"/>
        </w:rPr>
        <w:t>КОМЕКС ЦІННІ ПАПЕРИ</w:t>
      </w:r>
      <w:r w:rsidR="00022F5F" w:rsidRPr="00F864F1">
        <w:rPr>
          <w:rFonts w:ascii="Times New Roman" w:hAnsi="Times New Roman"/>
          <w:b/>
          <w:bCs/>
          <w:color w:val="000000"/>
          <w:sz w:val="18"/>
          <w:szCs w:val="18"/>
          <w:lang w:val="uk-UA"/>
        </w:rPr>
        <w:t>"</w:t>
      </w:r>
      <w:r w:rsidR="002506EC" w:rsidRPr="00F864F1">
        <w:rPr>
          <w:rFonts w:ascii="Times New Roman" w:hAnsi="Times New Roman"/>
          <w:b/>
          <w:bCs/>
          <w:color w:val="000000"/>
          <w:sz w:val="18"/>
          <w:szCs w:val="18"/>
          <w:lang w:val="uk-UA"/>
        </w:rPr>
        <w:t xml:space="preserve">,  </w:t>
      </w:r>
      <w:r w:rsidRPr="00F864F1">
        <w:rPr>
          <w:rFonts w:ascii="Times New Roman" w:hAnsi="Times New Roman"/>
          <w:b/>
          <w:bCs/>
          <w:color w:val="000000"/>
          <w:sz w:val="18"/>
          <w:szCs w:val="18"/>
          <w:lang w:val="uk-UA"/>
        </w:rPr>
        <w:t xml:space="preserve">ЄДРПОУ </w:t>
      </w:r>
      <w:r w:rsidR="00E16672" w:rsidRPr="00F864F1">
        <w:rPr>
          <w:rFonts w:ascii="Times New Roman" w:hAnsi="Times New Roman"/>
          <w:b/>
          <w:bCs/>
          <w:color w:val="000000"/>
          <w:sz w:val="18"/>
          <w:szCs w:val="18"/>
          <w:lang w:val="uk-UA"/>
        </w:rPr>
        <w:t>33153077</w:t>
      </w:r>
    </w:p>
    <w:p w14:paraId="5DCB9486" w14:textId="77777777" w:rsidR="00E20CB1" w:rsidRPr="00E16672" w:rsidRDefault="00E20CB1" w:rsidP="00E20CB1">
      <w:pPr>
        <w:ind w:left="142" w:hanging="142"/>
        <w:jc w:val="center"/>
        <w:rPr>
          <w:rFonts w:ascii="Times New Roman" w:hAnsi="Times New Roman"/>
          <w:bCs/>
          <w:sz w:val="18"/>
          <w:szCs w:val="18"/>
          <w:lang w:val="uk-UA"/>
        </w:rPr>
      </w:pPr>
      <w:r w:rsidRPr="00E16672">
        <w:rPr>
          <w:rFonts w:ascii="Times New Roman" w:hAnsi="Times New Roman"/>
          <w:bCs/>
          <w:sz w:val="18"/>
          <w:szCs w:val="18"/>
          <w:lang w:val="uk-UA"/>
        </w:rPr>
        <w:t>Ліцензія серія АЕ №</w:t>
      </w:r>
      <w:r w:rsidR="00E16672" w:rsidRPr="00E16672">
        <w:rPr>
          <w:rFonts w:ascii="Times New Roman" w:hAnsi="Times New Roman"/>
          <w:bCs/>
          <w:sz w:val="18"/>
          <w:szCs w:val="18"/>
          <w:lang w:val="uk-UA"/>
        </w:rPr>
        <w:t>263429</w:t>
      </w:r>
      <w:r w:rsidRPr="00E16672">
        <w:rPr>
          <w:rFonts w:ascii="Times New Roman" w:hAnsi="Times New Roman"/>
          <w:bCs/>
          <w:sz w:val="18"/>
          <w:szCs w:val="18"/>
          <w:lang w:val="uk-UA"/>
        </w:rPr>
        <w:t xml:space="preserve"> від </w:t>
      </w:r>
      <w:r w:rsidR="006E3B0B">
        <w:rPr>
          <w:rFonts w:ascii="Times New Roman" w:hAnsi="Times New Roman"/>
          <w:bCs/>
          <w:sz w:val="18"/>
          <w:szCs w:val="18"/>
          <w:lang w:val="uk-UA"/>
        </w:rPr>
        <w:t>01 жовтня 2013</w:t>
      </w:r>
      <w:r w:rsidRPr="00E16672">
        <w:rPr>
          <w:rFonts w:ascii="Times New Roman" w:hAnsi="Times New Roman"/>
          <w:bCs/>
          <w:sz w:val="18"/>
          <w:szCs w:val="18"/>
          <w:lang w:val="uk-UA"/>
        </w:rPr>
        <w:t xml:space="preserve"> р.,</w:t>
      </w:r>
    </w:p>
    <w:p w14:paraId="660DC759" w14:textId="77777777" w:rsidR="00E20CB1" w:rsidRPr="00E16672" w:rsidRDefault="00E20CB1" w:rsidP="00E20CB1">
      <w:pPr>
        <w:jc w:val="center"/>
        <w:rPr>
          <w:rFonts w:ascii="Times New Roman" w:hAnsi="Times New Roman"/>
          <w:bCs/>
          <w:sz w:val="18"/>
          <w:szCs w:val="18"/>
          <w:lang w:val="uk-UA"/>
        </w:rPr>
      </w:pPr>
      <w:r w:rsidRPr="00E16672">
        <w:rPr>
          <w:rFonts w:ascii="Times New Roman" w:hAnsi="Times New Roman"/>
          <w:bCs/>
          <w:sz w:val="18"/>
          <w:szCs w:val="18"/>
          <w:lang w:val="uk-UA"/>
        </w:rPr>
        <w:t xml:space="preserve">Адреса: </w:t>
      </w:r>
      <w:r w:rsidR="006E3B0B">
        <w:rPr>
          <w:rFonts w:ascii="Times New Roman" w:hAnsi="Times New Roman"/>
          <w:bCs/>
          <w:sz w:val="18"/>
          <w:szCs w:val="18"/>
          <w:lang w:val="uk-UA"/>
        </w:rPr>
        <w:t xml:space="preserve">03150, </w:t>
      </w:r>
      <w:proofErr w:type="spellStart"/>
      <w:r w:rsidR="006E3B0B">
        <w:rPr>
          <w:rFonts w:ascii="Times New Roman" w:hAnsi="Times New Roman"/>
          <w:bCs/>
          <w:sz w:val="18"/>
          <w:szCs w:val="18"/>
          <w:lang w:val="uk-UA"/>
        </w:rPr>
        <w:t>м.Київ</w:t>
      </w:r>
      <w:proofErr w:type="spellEnd"/>
      <w:r w:rsidR="006E3B0B">
        <w:rPr>
          <w:rFonts w:ascii="Times New Roman" w:hAnsi="Times New Roman"/>
          <w:bCs/>
          <w:sz w:val="18"/>
          <w:szCs w:val="18"/>
          <w:lang w:val="uk-UA"/>
        </w:rPr>
        <w:t>, Велика Васильківська (колишня Червоноармійська) вул., буд. 65</w:t>
      </w:r>
    </w:p>
    <w:p w14:paraId="39A59180" w14:textId="77777777" w:rsidR="00E20CB1" w:rsidRPr="00E16672" w:rsidRDefault="00E20CB1" w:rsidP="00E20CB1">
      <w:pPr>
        <w:tabs>
          <w:tab w:val="left" w:pos="288"/>
          <w:tab w:val="left" w:pos="720"/>
          <w:tab w:val="left" w:pos="1008"/>
          <w:tab w:val="left" w:pos="1584"/>
          <w:tab w:val="left" w:pos="2160"/>
          <w:tab w:val="left" w:pos="3600"/>
        </w:tabs>
        <w:ind w:right="1"/>
        <w:jc w:val="center"/>
        <w:rPr>
          <w:rFonts w:ascii="Times New Roman" w:hAnsi="Times New Roman"/>
          <w:bCs/>
          <w:sz w:val="18"/>
          <w:szCs w:val="18"/>
          <w:lang w:val="uk-UA"/>
        </w:rPr>
      </w:pPr>
      <w:r w:rsidRPr="00E16672">
        <w:rPr>
          <w:rFonts w:ascii="Times New Roman" w:hAnsi="Times New Roman"/>
          <w:bCs/>
          <w:sz w:val="18"/>
          <w:szCs w:val="18"/>
          <w:lang w:val="uk-UA"/>
        </w:rPr>
        <w:t>Рахунок в Центральному Депозитарії №100024-UA40</w:t>
      </w:r>
      <w:r w:rsidR="006E3B0B">
        <w:rPr>
          <w:rFonts w:ascii="Times New Roman" w:hAnsi="Times New Roman"/>
          <w:bCs/>
          <w:sz w:val="18"/>
          <w:szCs w:val="18"/>
          <w:lang w:val="uk-UA"/>
        </w:rPr>
        <w:t>401265</w:t>
      </w:r>
      <w:r w:rsidRPr="00E16672">
        <w:rPr>
          <w:rFonts w:ascii="Times New Roman" w:hAnsi="Times New Roman"/>
          <w:bCs/>
          <w:sz w:val="18"/>
          <w:szCs w:val="18"/>
          <w:lang w:val="uk-UA"/>
        </w:rPr>
        <w:t xml:space="preserve">, код МДО </w:t>
      </w:r>
      <w:r w:rsidR="006E3B0B">
        <w:rPr>
          <w:rFonts w:ascii="Times New Roman" w:hAnsi="Times New Roman"/>
          <w:bCs/>
          <w:sz w:val="18"/>
          <w:szCs w:val="18"/>
          <w:lang w:val="uk-UA"/>
        </w:rPr>
        <w:t>401265</w:t>
      </w:r>
    </w:p>
    <w:p w14:paraId="1FCBB21F" w14:textId="77777777" w:rsidR="00E20CB1" w:rsidRPr="00E16672" w:rsidRDefault="00E20CB1" w:rsidP="00E20CB1">
      <w:pPr>
        <w:tabs>
          <w:tab w:val="left" w:pos="288"/>
          <w:tab w:val="left" w:pos="720"/>
          <w:tab w:val="left" w:pos="1008"/>
          <w:tab w:val="left" w:pos="1584"/>
          <w:tab w:val="left" w:pos="2160"/>
          <w:tab w:val="left" w:pos="3600"/>
        </w:tabs>
        <w:ind w:right="1"/>
        <w:jc w:val="center"/>
        <w:rPr>
          <w:rFonts w:ascii="Times New Roman" w:hAnsi="Times New Roman"/>
          <w:bCs/>
          <w:sz w:val="18"/>
          <w:szCs w:val="18"/>
          <w:lang w:val="uk-UA"/>
        </w:rPr>
      </w:pPr>
    </w:p>
    <w:p w14:paraId="647D01D6" w14:textId="77777777" w:rsidR="00E20CB1" w:rsidRPr="00E16672" w:rsidRDefault="00565242" w:rsidP="00E20CB1">
      <w:pPr>
        <w:tabs>
          <w:tab w:val="left" w:pos="288"/>
          <w:tab w:val="left" w:pos="720"/>
          <w:tab w:val="left" w:pos="1008"/>
          <w:tab w:val="left" w:pos="1584"/>
          <w:tab w:val="left" w:pos="2160"/>
          <w:tab w:val="left" w:pos="3600"/>
        </w:tabs>
        <w:ind w:right="1"/>
        <w:jc w:val="center"/>
        <w:rPr>
          <w:rFonts w:ascii="Times New Roman" w:hAnsi="Times New Roman"/>
          <w:bCs/>
          <w:sz w:val="18"/>
          <w:szCs w:val="18"/>
          <w:lang w:val="uk-UA"/>
        </w:rPr>
      </w:pPr>
      <w:r>
        <w:rPr>
          <w:rFonts w:ascii="Times New Roman" w:hAnsi="Times New Roman"/>
          <w:bCs/>
          <w:sz w:val="18"/>
          <w:szCs w:val="18"/>
          <w:lang w:val="uk-UA"/>
        </w:rPr>
        <w:t xml:space="preserve">COMEX </w:t>
      </w:r>
      <w:proofErr w:type="spellStart"/>
      <w:r>
        <w:rPr>
          <w:rFonts w:ascii="Times New Roman" w:hAnsi="Times New Roman"/>
          <w:bCs/>
          <w:sz w:val="18"/>
          <w:szCs w:val="18"/>
          <w:lang w:val="uk-UA"/>
        </w:rPr>
        <w:t>Securities</w:t>
      </w:r>
      <w:proofErr w:type="spellEnd"/>
      <w:r>
        <w:rPr>
          <w:rFonts w:ascii="Times New Roman" w:hAnsi="Times New Roman"/>
          <w:bCs/>
          <w:sz w:val="18"/>
          <w:szCs w:val="18"/>
          <w:lang w:val="uk-UA"/>
        </w:rPr>
        <w:t xml:space="preserve"> </w:t>
      </w:r>
      <w:proofErr w:type="spellStart"/>
      <w:r>
        <w:rPr>
          <w:rFonts w:ascii="Times New Roman" w:hAnsi="Times New Roman"/>
          <w:bCs/>
          <w:sz w:val="18"/>
          <w:szCs w:val="18"/>
          <w:lang w:val="uk-UA"/>
        </w:rPr>
        <w:t>Limited</w:t>
      </w:r>
      <w:proofErr w:type="spellEnd"/>
      <w:r w:rsidR="00E20CB1" w:rsidRPr="00E16672">
        <w:rPr>
          <w:rFonts w:ascii="Times New Roman" w:hAnsi="Times New Roman"/>
          <w:bCs/>
          <w:sz w:val="18"/>
          <w:szCs w:val="18"/>
          <w:lang w:val="uk-UA"/>
        </w:rPr>
        <w:t xml:space="preserve"> ,  </w:t>
      </w:r>
      <w:proofErr w:type="spellStart"/>
      <w:r w:rsidR="00E20CB1" w:rsidRPr="00E16672">
        <w:rPr>
          <w:rFonts w:ascii="Times New Roman" w:hAnsi="Times New Roman"/>
          <w:bCs/>
          <w:sz w:val="18"/>
          <w:szCs w:val="18"/>
          <w:lang w:val="uk-UA"/>
        </w:rPr>
        <w:t>registration</w:t>
      </w:r>
      <w:proofErr w:type="spellEnd"/>
      <w:r w:rsidR="00E20CB1" w:rsidRPr="00E16672">
        <w:rPr>
          <w:rFonts w:ascii="Times New Roman" w:hAnsi="Times New Roman"/>
          <w:bCs/>
          <w:sz w:val="18"/>
          <w:szCs w:val="18"/>
          <w:lang w:val="uk-UA"/>
        </w:rPr>
        <w:t xml:space="preserve"> </w:t>
      </w:r>
      <w:proofErr w:type="spellStart"/>
      <w:r w:rsidR="00E20CB1" w:rsidRPr="00E16672">
        <w:rPr>
          <w:rFonts w:ascii="Times New Roman" w:hAnsi="Times New Roman"/>
          <w:bCs/>
          <w:sz w:val="18"/>
          <w:szCs w:val="18"/>
          <w:lang w:val="uk-UA"/>
        </w:rPr>
        <w:t>code</w:t>
      </w:r>
      <w:proofErr w:type="spellEnd"/>
      <w:r w:rsidR="00E20CB1" w:rsidRPr="00E16672">
        <w:rPr>
          <w:rFonts w:ascii="Times New Roman" w:hAnsi="Times New Roman"/>
          <w:bCs/>
          <w:sz w:val="18"/>
          <w:szCs w:val="18"/>
          <w:lang w:val="uk-UA"/>
        </w:rPr>
        <w:t xml:space="preserve"> </w:t>
      </w:r>
      <w:r w:rsidR="00E16672" w:rsidRPr="00E16672">
        <w:rPr>
          <w:rFonts w:ascii="Times New Roman" w:hAnsi="Times New Roman"/>
          <w:bCs/>
          <w:sz w:val="18"/>
          <w:szCs w:val="18"/>
          <w:lang w:val="uk-UA"/>
        </w:rPr>
        <w:t>33153077</w:t>
      </w:r>
      <w:r w:rsidR="00E20CB1" w:rsidRPr="00E16672">
        <w:rPr>
          <w:rFonts w:ascii="Times New Roman" w:hAnsi="Times New Roman"/>
          <w:bCs/>
          <w:sz w:val="18"/>
          <w:szCs w:val="18"/>
          <w:lang w:val="uk-UA"/>
        </w:rPr>
        <w:t>,</w:t>
      </w:r>
    </w:p>
    <w:p w14:paraId="2ABC5FE3" w14:textId="77777777" w:rsidR="00E20CB1" w:rsidRPr="00E16672" w:rsidRDefault="00E20CB1" w:rsidP="00E20CB1">
      <w:pPr>
        <w:jc w:val="center"/>
        <w:rPr>
          <w:rFonts w:ascii="Times New Roman" w:hAnsi="Times New Roman"/>
          <w:bCs/>
          <w:sz w:val="18"/>
          <w:szCs w:val="18"/>
          <w:lang w:val="uk-UA"/>
        </w:rPr>
      </w:pPr>
      <w:proofErr w:type="spellStart"/>
      <w:r w:rsidRPr="00E16672">
        <w:rPr>
          <w:rFonts w:ascii="Times New Roman" w:hAnsi="Times New Roman"/>
          <w:bCs/>
          <w:sz w:val="18"/>
          <w:szCs w:val="18"/>
          <w:lang w:val="uk-UA"/>
        </w:rPr>
        <w:t>License</w:t>
      </w:r>
      <w:proofErr w:type="spellEnd"/>
      <w:r w:rsidRPr="00E16672">
        <w:rPr>
          <w:rFonts w:ascii="Times New Roman" w:hAnsi="Times New Roman"/>
          <w:bCs/>
          <w:sz w:val="18"/>
          <w:szCs w:val="18"/>
          <w:lang w:val="uk-UA"/>
        </w:rPr>
        <w:t xml:space="preserve">  АE № </w:t>
      </w:r>
      <w:r w:rsidR="00E16672" w:rsidRPr="00E16672">
        <w:rPr>
          <w:rFonts w:ascii="Times New Roman" w:hAnsi="Times New Roman"/>
          <w:bCs/>
          <w:sz w:val="18"/>
          <w:szCs w:val="18"/>
          <w:lang w:val="uk-UA"/>
        </w:rPr>
        <w:t>263429</w:t>
      </w:r>
      <w:r w:rsidRPr="00E16672">
        <w:rPr>
          <w:rFonts w:ascii="Times New Roman" w:hAnsi="Times New Roman"/>
          <w:bCs/>
          <w:sz w:val="18"/>
          <w:szCs w:val="18"/>
          <w:lang w:val="uk-UA"/>
        </w:rPr>
        <w:t xml:space="preserve"> </w:t>
      </w:r>
      <w:proofErr w:type="spellStart"/>
      <w:r w:rsidRPr="00E16672">
        <w:rPr>
          <w:rFonts w:ascii="Times New Roman" w:hAnsi="Times New Roman"/>
          <w:bCs/>
          <w:sz w:val="18"/>
          <w:szCs w:val="18"/>
          <w:lang w:val="uk-UA"/>
        </w:rPr>
        <w:t>dd</w:t>
      </w:r>
      <w:proofErr w:type="spellEnd"/>
      <w:r w:rsidRPr="00E16672">
        <w:rPr>
          <w:rFonts w:ascii="Times New Roman" w:hAnsi="Times New Roman"/>
          <w:bCs/>
          <w:sz w:val="18"/>
          <w:szCs w:val="18"/>
          <w:lang w:val="uk-UA"/>
        </w:rPr>
        <w:t xml:space="preserve">. </w:t>
      </w:r>
      <w:r w:rsidR="00E16672" w:rsidRPr="00E16672">
        <w:rPr>
          <w:rFonts w:ascii="Times New Roman" w:hAnsi="Times New Roman"/>
          <w:bCs/>
          <w:sz w:val="18"/>
          <w:szCs w:val="18"/>
          <w:lang w:val="uk-UA"/>
        </w:rPr>
        <w:t>01.10.2013</w:t>
      </w:r>
      <w:r w:rsidRPr="00E16672">
        <w:rPr>
          <w:rFonts w:ascii="Times New Roman" w:hAnsi="Times New Roman"/>
          <w:bCs/>
          <w:sz w:val="18"/>
          <w:szCs w:val="18"/>
          <w:lang w:val="uk-UA"/>
        </w:rPr>
        <w:t>,</w:t>
      </w:r>
    </w:p>
    <w:p w14:paraId="17B74595" w14:textId="77777777" w:rsidR="00E20CB1" w:rsidRPr="00E16672" w:rsidRDefault="00E20CB1" w:rsidP="00E20CB1">
      <w:pPr>
        <w:jc w:val="center"/>
        <w:rPr>
          <w:rFonts w:ascii="Times New Roman" w:hAnsi="Times New Roman"/>
          <w:bCs/>
          <w:sz w:val="18"/>
          <w:szCs w:val="18"/>
          <w:lang w:val="uk-UA"/>
        </w:rPr>
      </w:pPr>
      <w:proofErr w:type="spellStart"/>
      <w:r w:rsidRPr="00E16672">
        <w:rPr>
          <w:rFonts w:ascii="Times New Roman" w:hAnsi="Times New Roman"/>
          <w:bCs/>
          <w:sz w:val="18"/>
          <w:szCs w:val="18"/>
          <w:lang w:val="uk-UA"/>
        </w:rPr>
        <w:t>Address</w:t>
      </w:r>
      <w:proofErr w:type="spellEnd"/>
      <w:r w:rsidRPr="00E16672">
        <w:rPr>
          <w:rFonts w:ascii="Times New Roman" w:hAnsi="Times New Roman"/>
          <w:bCs/>
          <w:sz w:val="18"/>
          <w:szCs w:val="18"/>
          <w:lang w:val="uk-UA"/>
        </w:rPr>
        <w:t xml:space="preserve">: </w:t>
      </w:r>
      <w:r w:rsidR="006E3B0B">
        <w:rPr>
          <w:rFonts w:ascii="Times New Roman" w:hAnsi="Times New Roman"/>
          <w:bCs/>
          <w:sz w:val="18"/>
          <w:szCs w:val="18"/>
          <w:lang w:val="uk-UA"/>
        </w:rPr>
        <w:t xml:space="preserve">03150, </w:t>
      </w:r>
      <w:proofErr w:type="spellStart"/>
      <w:r w:rsidR="006E3B0B">
        <w:rPr>
          <w:rFonts w:ascii="Times New Roman" w:hAnsi="Times New Roman"/>
          <w:bCs/>
          <w:sz w:val="18"/>
          <w:szCs w:val="18"/>
          <w:lang w:val="uk-UA"/>
        </w:rPr>
        <w:t>Kyiv</w:t>
      </w:r>
      <w:proofErr w:type="spellEnd"/>
      <w:r w:rsidR="006E3B0B">
        <w:rPr>
          <w:rFonts w:ascii="Times New Roman" w:hAnsi="Times New Roman"/>
          <w:bCs/>
          <w:sz w:val="18"/>
          <w:szCs w:val="18"/>
          <w:lang w:val="uk-UA"/>
        </w:rPr>
        <w:t xml:space="preserve">, </w:t>
      </w:r>
      <w:proofErr w:type="spellStart"/>
      <w:r w:rsidR="006E3B0B">
        <w:rPr>
          <w:rFonts w:ascii="Times New Roman" w:hAnsi="Times New Roman"/>
          <w:bCs/>
          <w:sz w:val="18"/>
          <w:szCs w:val="18"/>
          <w:lang w:val="uk-UA"/>
        </w:rPr>
        <w:t>Velyka</w:t>
      </w:r>
      <w:proofErr w:type="spellEnd"/>
      <w:r w:rsidR="006E3B0B">
        <w:rPr>
          <w:rFonts w:ascii="Times New Roman" w:hAnsi="Times New Roman"/>
          <w:bCs/>
          <w:sz w:val="18"/>
          <w:szCs w:val="18"/>
          <w:lang w:val="uk-UA"/>
        </w:rPr>
        <w:t xml:space="preserve"> </w:t>
      </w:r>
      <w:proofErr w:type="spellStart"/>
      <w:r w:rsidR="006E3B0B">
        <w:rPr>
          <w:rFonts w:ascii="Times New Roman" w:hAnsi="Times New Roman"/>
          <w:bCs/>
          <w:sz w:val="18"/>
          <w:szCs w:val="18"/>
          <w:lang w:val="uk-UA"/>
        </w:rPr>
        <w:t>Vasilkivska</w:t>
      </w:r>
      <w:proofErr w:type="spellEnd"/>
      <w:r w:rsidR="006E3B0B">
        <w:rPr>
          <w:rFonts w:ascii="Times New Roman" w:hAnsi="Times New Roman"/>
          <w:bCs/>
          <w:sz w:val="18"/>
          <w:szCs w:val="18"/>
          <w:lang w:val="uk-UA"/>
        </w:rPr>
        <w:t xml:space="preserve"> (</w:t>
      </w:r>
      <w:proofErr w:type="spellStart"/>
      <w:r w:rsidR="006E3B0B">
        <w:rPr>
          <w:rFonts w:ascii="Times New Roman" w:hAnsi="Times New Roman"/>
          <w:bCs/>
          <w:sz w:val="18"/>
          <w:szCs w:val="18"/>
          <w:lang w:val="uk-UA"/>
        </w:rPr>
        <w:t>former</w:t>
      </w:r>
      <w:proofErr w:type="spellEnd"/>
      <w:r w:rsidR="006E3B0B">
        <w:rPr>
          <w:rFonts w:ascii="Times New Roman" w:hAnsi="Times New Roman"/>
          <w:bCs/>
          <w:sz w:val="18"/>
          <w:szCs w:val="18"/>
          <w:lang w:val="uk-UA"/>
        </w:rPr>
        <w:t xml:space="preserve"> </w:t>
      </w:r>
      <w:proofErr w:type="spellStart"/>
      <w:r w:rsidR="006E3B0B">
        <w:rPr>
          <w:rFonts w:ascii="Times New Roman" w:hAnsi="Times New Roman"/>
          <w:bCs/>
          <w:sz w:val="18"/>
          <w:szCs w:val="18"/>
          <w:lang w:val="uk-UA"/>
        </w:rPr>
        <w:t>Chervonoarmiyska</w:t>
      </w:r>
      <w:proofErr w:type="spellEnd"/>
      <w:r w:rsidR="006E3B0B">
        <w:rPr>
          <w:rFonts w:ascii="Times New Roman" w:hAnsi="Times New Roman"/>
          <w:bCs/>
          <w:sz w:val="18"/>
          <w:szCs w:val="18"/>
          <w:lang w:val="uk-UA"/>
        </w:rPr>
        <w:t xml:space="preserve">) </w:t>
      </w:r>
      <w:proofErr w:type="spellStart"/>
      <w:r w:rsidR="006E3B0B">
        <w:rPr>
          <w:rFonts w:ascii="Times New Roman" w:hAnsi="Times New Roman"/>
          <w:bCs/>
          <w:sz w:val="18"/>
          <w:szCs w:val="18"/>
          <w:lang w:val="uk-UA"/>
        </w:rPr>
        <w:t>str</w:t>
      </w:r>
      <w:proofErr w:type="spellEnd"/>
      <w:r w:rsidR="006E3B0B">
        <w:rPr>
          <w:rFonts w:ascii="Times New Roman" w:hAnsi="Times New Roman"/>
          <w:bCs/>
          <w:sz w:val="18"/>
          <w:szCs w:val="18"/>
          <w:lang w:val="uk-UA"/>
        </w:rPr>
        <w:t>., 65</w:t>
      </w:r>
    </w:p>
    <w:p w14:paraId="6CF52EDB" w14:textId="77777777" w:rsidR="00E20CB1" w:rsidRPr="00E16672" w:rsidRDefault="00E20CB1" w:rsidP="00E20CB1">
      <w:pPr>
        <w:jc w:val="center"/>
        <w:rPr>
          <w:rFonts w:ascii="Times New Roman" w:hAnsi="Times New Roman"/>
          <w:bCs/>
          <w:sz w:val="18"/>
          <w:szCs w:val="18"/>
          <w:lang w:val="uk-UA"/>
        </w:rPr>
      </w:pPr>
      <w:proofErr w:type="spellStart"/>
      <w:r w:rsidRPr="00E16672">
        <w:rPr>
          <w:rFonts w:ascii="Times New Roman" w:hAnsi="Times New Roman"/>
          <w:bCs/>
          <w:sz w:val="18"/>
          <w:szCs w:val="18"/>
          <w:lang w:val="uk-UA"/>
        </w:rPr>
        <w:t>Accounts</w:t>
      </w:r>
      <w:proofErr w:type="spellEnd"/>
      <w:r w:rsidRPr="00E16672">
        <w:rPr>
          <w:rFonts w:ascii="Times New Roman" w:hAnsi="Times New Roman"/>
          <w:bCs/>
          <w:sz w:val="18"/>
          <w:szCs w:val="18"/>
          <w:lang w:val="uk-UA"/>
        </w:rPr>
        <w:t xml:space="preserve"> </w:t>
      </w:r>
      <w:proofErr w:type="spellStart"/>
      <w:r w:rsidRPr="00E16672">
        <w:rPr>
          <w:rFonts w:ascii="Times New Roman" w:hAnsi="Times New Roman"/>
          <w:bCs/>
          <w:sz w:val="18"/>
          <w:szCs w:val="18"/>
          <w:lang w:val="uk-UA"/>
        </w:rPr>
        <w:t>in</w:t>
      </w:r>
      <w:proofErr w:type="spellEnd"/>
      <w:r w:rsidRPr="00E16672">
        <w:rPr>
          <w:rFonts w:ascii="Times New Roman" w:hAnsi="Times New Roman"/>
          <w:bCs/>
          <w:sz w:val="18"/>
          <w:szCs w:val="18"/>
          <w:lang w:val="uk-UA"/>
        </w:rPr>
        <w:t xml:space="preserve"> </w:t>
      </w:r>
      <w:proofErr w:type="spellStart"/>
      <w:r w:rsidRPr="00E16672">
        <w:rPr>
          <w:rFonts w:ascii="Times New Roman" w:hAnsi="Times New Roman"/>
          <w:bCs/>
          <w:sz w:val="18"/>
          <w:szCs w:val="18"/>
          <w:lang w:val="uk-UA"/>
        </w:rPr>
        <w:t>the</w:t>
      </w:r>
      <w:proofErr w:type="spellEnd"/>
      <w:r w:rsidRPr="00E16672">
        <w:rPr>
          <w:rFonts w:ascii="Times New Roman" w:hAnsi="Times New Roman"/>
          <w:bCs/>
          <w:sz w:val="18"/>
          <w:szCs w:val="18"/>
          <w:lang w:val="uk-UA"/>
        </w:rPr>
        <w:t xml:space="preserve"> </w:t>
      </w:r>
      <w:proofErr w:type="spellStart"/>
      <w:r w:rsidRPr="00E16672">
        <w:rPr>
          <w:rFonts w:ascii="Times New Roman" w:hAnsi="Times New Roman"/>
          <w:bCs/>
          <w:sz w:val="18"/>
          <w:szCs w:val="18"/>
          <w:lang w:val="uk-UA"/>
        </w:rPr>
        <w:t>Central</w:t>
      </w:r>
      <w:proofErr w:type="spellEnd"/>
      <w:r w:rsidRPr="00E16672">
        <w:rPr>
          <w:rFonts w:ascii="Times New Roman" w:hAnsi="Times New Roman"/>
          <w:bCs/>
          <w:sz w:val="18"/>
          <w:szCs w:val="18"/>
          <w:lang w:val="uk-UA"/>
        </w:rPr>
        <w:t xml:space="preserve"> </w:t>
      </w:r>
      <w:proofErr w:type="spellStart"/>
      <w:r w:rsidRPr="00E16672">
        <w:rPr>
          <w:rFonts w:ascii="Times New Roman" w:hAnsi="Times New Roman"/>
          <w:bCs/>
          <w:sz w:val="18"/>
          <w:szCs w:val="18"/>
          <w:lang w:val="uk-UA"/>
        </w:rPr>
        <w:t>Depository</w:t>
      </w:r>
      <w:proofErr w:type="spellEnd"/>
      <w:r w:rsidRPr="00E16672">
        <w:rPr>
          <w:rFonts w:ascii="Times New Roman" w:hAnsi="Times New Roman"/>
          <w:bCs/>
          <w:sz w:val="18"/>
          <w:szCs w:val="18"/>
          <w:lang w:val="uk-UA"/>
        </w:rPr>
        <w:t xml:space="preserve"> №100024-UA40</w:t>
      </w:r>
      <w:r w:rsidR="006E3B0B">
        <w:rPr>
          <w:rFonts w:ascii="Times New Roman" w:hAnsi="Times New Roman"/>
          <w:bCs/>
          <w:sz w:val="18"/>
          <w:szCs w:val="18"/>
          <w:lang w:val="uk-UA"/>
        </w:rPr>
        <w:t>401265</w:t>
      </w:r>
      <w:r w:rsidRPr="00E16672">
        <w:rPr>
          <w:rFonts w:ascii="Times New Roman" w:hAnsi="Times New Roman"/>
          <w:bCs/>
          <w:sz w:val="18"/>
          <w:szCs w:val="18"/>
          <w:lang w:val="uk-UA"/>
        </w:rPr>
        <w:t xml:space="preserve">, </w:t>
      </w:r>
      <w:proofErr w:type="spellStart"/>
      <w:r w:rsidRPr="00E16672">
        <w:rPr>
          <w:rFonts w:ascii="Times New Roman" w:hAnsi="Times New Roman"/>
          <w:bCs/>
          <w:sz w:val="18"/>
          <w:szCs w:val="18"/>
          <w:lang w:val="uk-UA"/>
        </w:rPr>
        <w:t>code</w:t>
      </w:r>
      <w:proofErr w:type="spellEnd"/>
      <w:r w:rsidRPr="00E16672">
        <w:rPr>
          <w:rFonts w:ascii="Times New Roman" w:hAnsi="Times New Roman"/>
          <w:bCs/>
          <w:sz w:val="18"/>
          <w:szCs w:val="18"/>
          <w:lang w:val="uk-UA"/>
        </w:rPr>
        <w:t xml:space="preserve"> MDO </w:t>
      </w:r>
      <w:r w:rsidR="006E3B0B">
        <w:rPr>
          <w:rFonts w:ascii="Times New Roman" w:hAnsi="Times New Roman"/>
          <w:bCs/>
          <w:sz w:val="18"/>
          <w:szCs w:val="18"/>
          <w:lang w:val="uk-UA"/>
        </w:rPr>
        <w:t>401265</w:t>
      </w:r>
    </w:p>
    <w:p w14:paraId="15137D93" w14:textId="77777777" w:rsidR="00E20CB1" w:rsidRPr="00E16672" w:rsidRDefault="00E20CB1" w:rsidP="00E20CB1">
      <w:pPr>
        <w:rPr>
          <w:rFonts w:ascii="Times New Roman" w:hAnsi="Times New Roman"/>
          <w:bCs/>
          <w:color w:val="000000"/>
          <w:sz w:val="18"/>
          <w:szCs w:val="18"/>
          <w:lang w:val="uk-UA"/>
        </w:rPr>
      </w:pPr>
    </w:p>
    <w:p w14:paraId="27C5272D" w14:textId="77777777" w:rsidR="002506EC" w:rsidRPr="00E16672" w:rsidRDefault="002506EC" w:rsidP="002506EC">
      <w:pPr>
        <w:rPr>
          <w:rFonts w:ascii="Times New Roman" w:hAnsi="Times New Roman"/>
          <w:lang w:val="uk-UA"/>
        </w:rPr>
      </w:pPr>
      <w:proofErr w:type="spellStart"/>
      <w:r w:rsidRPr="00E16672">
        <w:rPr>
          <w:rFonts w:ascii="Times New Roman" w:hAnsi="Times New Roman"/>
          <w:lang w:val="uk-UA"/>
        </w:rPr>
        <w:t>Вих</w:t>
      </w:r>
      <w:proofErr w:type="spellEnd"/>
      <w:r w:rsidRPr="00E16672">
        <w:rPr>
          <w:rFonts w:ascii="Times New Roman" w:hAnsi="Times New Roman"/>
          <w:lang w:val="uk-UA"/>
        </w:rPr>
        <w:t>./</w:t>
      </w:r>
      <w:r w:rsidRPr="00E16672">
        <w:rPr>
          <w:rFonts w:ascii="Times New Roman" w:hAnsi="Times New Roman"/>
          <w:lang w:val="en-US"/>
        </w:rPr>
        <w:t>Our Ref.</w:t>
      </w:r>
      <w:r w:rsidRPr="00E16672">
        <w:rPr>
          <w:rFonts w:ascii="Times New Roman" w:hAnsi="Times New Roman"/>
          <w:lang w:val="uk-UA"/>
        </w:rPr>
        <w:t xml:space="preserve"> № __________</w:t>
      </w:r>
    </w:p>
    <w:p w14:paraId="517CBAB8" w14:textId="77777777" w:rsidR="002506EC" w:rsidRPr="00E16672" w:rsidRDefault="002506EC" w:rsidP="002506EC">
      <w:pPr>
        <w:rPr>
          <w:rFonts w:ascii="Times New Roman" w:hAnsi="Times New Roman"/>
          <w:lang w:val="en-US"/>
        </w:rPr>
      </w:pPr>
      <w:r w:rsidRPr="00E16672">
        <w:rPr>
          <w:rFonts w:ascii="Times New Roman" w:hAnsi="Times New Roman"/>
          <w:lang w:val="uk-UA"/>
        </w:rPr>
        <w:t>Від /</w:t>
      </w:r>
      <w:r w:rsidRPr="00E16672">
        <w:rPr>
          <w:rFonts w:ascii="Times New Roman" w:hAnsi="Times New Roman"/>
          <w:lang w:val="en-US"/>
        </w:rPr>
        <w:t>dd</w:t>
      </w:r>
      <w:r w:rsidRPr="00E16672">
        <w:rPr>
          <w:rFonts w:ascii="Times New Roman" w:hAnsi="Times New Roman"/>
          <w:lang w:val="uk-UA"/>
        </w:rPr>
        <w:t>. __.__. 20__р.</w:t>
      </w:r>
    </w:p>
    <w:p w14:paraId="391408B9" w14:textId="77777777" w:rsidR="00E20CB1" w:rsidRPr="00E16672" w:rsidRDefault="00E20CB1" w:rsidP="00E20CB1">
      <w:pPr>
        <w:tabs>
          <w:tab w:val="left" w:pos="288"/>
          <w:tab w:val="left" w:pos="720"/>
          <w:tab w:val="left" w:pos="1008"/>
          <w:tab w:val="left" w:pos="1584"/>
          <w:tab w:val="left" w:pos="2160"/>
          <w:tab w:val="left" w:pos="3600"/>
        </w:tabs>
        <w:ind w:right="1"/>
        <w:jc w:val="center"/>
        <w:rPr>
          <w:rFonts w:ascii="Times New Roman" w:hAnsi="Times New Roman"/>
          <w:bCs/>
          <w:szCs w:val="20"/>
          <w:lang w:val="uk-UA"/>
        </w:rPr>
      </w:pPr>
    </w:p>
    <w:p w14:paraId="509F7FEA" w14:textId="77777777" w:rsidR="00E20CB1" w:rsidRPr="00E16672" w:rsidRDefault="00E20CB1" w:rsidP="00E20CB1">
      <w:pPr>
        <w:tabs>
          <w:tab w:val="left" w:pos="288"/>
          <w:tab w:val="left" w:pos="720"/>
          <w:tab w:val="left" w:pos="1008"/>
          <w:tab w:val="left" w:pos="1584"/>
          <w:tab w:val="left" w:pos="2160"/>
          <w:tab w:val="left" w:pos="3600"/>
        </w:tabs>
        <w:ind w:right="1"/>
        <w:jc w:val="center"/>
        <w:rPr>
          <w:rFonts w:ascii="Times New Roman" w:hAnsi="Times New Roman"/>
          <w:color w:val="000000"/>
          <w:lang w:val="uk-UA"/>
        </w:rPr>
      </w:pPr>
    </w:p>
    <w:p w14:paraId="11FB24A1" w14:textId="77777777" w:rsidR="00EF78D0" w:rsidRPr="00E16672" w:rsidRDefault="00EF78D0" w:rsidP="00EF78D0">
      <w:pPr>
        <w:pStyle w:val="mystylen"/>
        <w:keepNext w:val="0"/>
        <w:keepLines w:val="0"/>
        <w:pageBreakBefore w:val="0"/>
        <w:spacing w:before="0" w:after="0"/>
        <w:jc w:val="both"/>
        <w:rPr>
          <w:rFonts w:ascii="Times New Roman" w:hAnsi="Times New Roman"/>
          <w:color w:val="000000"/>
          <w:sz w:val="26"/>
          <w:szCs w:val="26"/>
          <w:lang w:val="uk-UA"/>
        </w:rPr>
      </w:pPr>
      <w:r w:rsidRPr="00E16672">
        <w:rPr>
          <w:rFonts w:ascii="Times New Roman" w:hAnsi="Times New Roman"/>
          <w:color w:val="000000"/>
          <w:sz w:val="26"/>
          <w:szCs w:val="26"/>
          <w:lang w:val="uk-UA"/>
        </w:rPr>
        <w:t>м. Київ</w:t>
      </w:r>
    </w:p>
    <w:p w14:paraId="6AB8E830" w14:textId="77777777" w:rsidR="00B859F2" w:rsidRPr="00E16672" w:rsidRDefault="005E418B" w:rsidP="00B859F2">
      <w:pPr>
        <w:pStyle w:val="mystylen"/>
        <w:keepNext w:val="0"/>
        <w:keepLines w:val="0"/>
        <w:pageBreakBefore w:val="0"/>
        <w:spacing w:before="0" w:after="0"/>
        <w:jc w:val="both"/>
        <w:rPr>
          <w:rFonts w:ascii="Times New Roman" w:hAnsi="Times New Roman"/>
          <w:color w:val="000000"/>
          <w:sz w:val="26"/>
          <w:szCs w:val="26"/>
          <w:lang w:val="uk-UA"/>
        </w:rPr>
      </w:pPr>
      <w:r>
        <w:rPr>
          <w:rFonts w:ascii="Times New Roman" w:hAnsi="Times New Roman"/>
          <w:color w:val="000000"/>
          <w:sz w:val="26"/>
          <w:szCs w:val="26"/>
          <w:lang w:val="uk-UA"/>
        </w:rPr>
        <w:t>"     " _________ 20__</w:t>
      </w:r>
      <w:r w:rsidR="00B859F2" w:rsidRPr="00E16672">
        <w:rPr>
          <w:rFonts w:ascii="Times New Roman" w:hAnsi="Times New Roman"/>
          <w:color w:val="000000"/>
          <w:sz w:val="26"/>
          <w:szCs w:val="26"/>
          <w:lang w:val="uk-UA"/>
        </w:rPr>
        <w:t xml:space="preserve"> р.</w:t>
      </w:r>
      <w:r w:rsidR="00B859F2" w:rsidRPr="00E16672">
        <w:rPr>
          <w:rFonts w:ascii="Times New Roman" w:hAnsi="Times New Roman"/>
          <w:color w:val="000000"/>
          <w:sz w:val="26"/>
          <w:szCs w:val="26"/>
          <w:lang w:val="uk-UA"/>
        </w:rPr>
        <w:tab/>
      </w:r>
      <w:r w:rsidR="00B859F2" w:rsidRPr="00E16672">
        <w:rPr>
          <w:rFonts w:ascii="Times New Roman" w:hAnsi="Times New Roman"/>
          <w:color w:val="000000"/>
          <w:sz w:val="26"/>
          <w:szCs w:val="26"/>
          <w:lang w:val="uk-UA"/>
        </w:rPr>
        <w:tab/>
        <w:t xml:space="preserve">                      </w:t>
      </w:r>
      <w:r w:rsidR="00B859F2" w:rsidRPr="00E16672">
        <w:rPr>
          <w:rFonts w:ascii="Times New Roman" w:hAnsi="Times New Roman"/>
          <w:color w:val="000000"/>
          <w:sz w:val="26"/>
          <w:szCs w:val="26"/>
          <w:lang w:val="uk-UA"/>
        </w:rPr>
        <w:tab/>
      </w:r>
      <w:r w:rsidR="00B859F2" w:rsidRPr="00E16672">
        <w:rPr>
          <w:rFonts w:ascii="Times New Roman" w:hAnsi="Times New Roman"/>
          <w:color w:val="000000"/>
          <w:sz w:val="26"/>
          <w:szCs w:val="26"/>
          <w:lang w:val="uk-UA"/>
        </w:rPr>
        <w:tab/>
      </w:r>
      <w:r w:rsidR="00B859F2" w:rsidRPr="00E16672">
        <w:rPr>
          <w:rFonts w:ascii="Times New Roman" w:hAnsi="Times New Roman"/>
          <w:color w:val="000000"/>
          <w:sz w:val="26"/>
          <w:szCs w:val="26"/>
          <w:lang w:val="uk-UA"/>
        </w:rPr>
        <w:tab/>
      </w:r>
      <w:r w:rsidR="00B859F2" w:rsidRPr="00E16672">
        <w:rPr>
          <w:rFonts w:ascii="Times New Roman" w:hAnsi="Times New Roman"/>
          <w:color w:val="000000"/>
          <w:sz w:val="26"/>
          <w:szCs w:val="26"/>
          <w:lang w:val="uk-UA"/>
        </w:rPr>
        <w:tab/>
      </w:r>
    </w:p>
    <w:p w14:paraId="52B06003" w14:textId="77777777" w:rsidR="005E418B" w:rsidRDefault="00B859F2" w:rsidP="00B859F2">
      <w:pPr>
        <w:jc w:val="left"/>
        <w:rPr>
          <w:rFonts w:ascii="Times New Roman" w:hAnsi="Times New Roman"/>
          <w:color w:val="000000"/>
          <w:sz w:val="26"/>
          <w:szCs w:val="26"/>
          <w:lang w:val="uk-UA"/>
        </w:rPr>
      </w:pPr>
      <w:r w:rsidRPr="00E16672">
        <w:rPr>
          <w:rFonts w:ascii="Times New Roman" w:hAnsi="Times New Roman"/>
          <w:color w:val="000000"/>
          <w:sz w:val="26"/>
          <w:szCs w:val="26"/>
          <w:lang w:val="en-US"/>
        </w:rPr>
        <w:t xml:space="preserve"> </w:t>
      </w:r>
      <w:proofErr w:type="spellStart"/>
      <w:r w:rsidR="005E418B">
        <w:rPr>
          <w:rFonts w:ascii="Times New Roman" w:hAnsi="Times New Roman"/>
          <w:color w:val="000000"/>
          <w:sz w:val="26"/>
          <w:szCs w:val="26"/>
          <w:lang w:val="uk-UA"/>
        </w:rPr>
        <w:t>Kyiv</w:t>
      </w:r>
      <w:proofErr w:type="spellEnd"/>
      <w:r w:rsidR="005E418B" w:rsidRPr="00E16672">
        <w:rPr>
          <w:rFonts w:ascii="Times New Roman" w:hAnsi="Times New Roman"/>
          <w:color w:val="000000"/>
          <w:sz w:val="26"/>
          <w:szCs w:val="26"/>
          <w:lang w:val="uk-UA"/>
        </w:rPr>
        <w:t xml:space="preserve"> </w:t>
      </w:r>
    </w:p>
    <w:p w14:paraId="5360467B" w14:textId="77777777" w:rsidR="00E20CB1" w:rsidRPr="00E16672" w:rsidRDefault="005E418B" w:rsidP="00B859F2">
      <w:pPr>
        <w:jc w:val="left"/>
        <w:rPr>
          <w:rFonts w:ascii="Times New Roman" w:hAnsi="Times New Roman"/>
          <w:color w:val="000000"/>
          <w:sz w:val="26"/>
          <w:szCs w:val="26"/>
          <w:lang w:val="uk-UA"/>
        </w:rPr>
      </w:pPr>
      <w:r>
        <w:rPr>
          <w:rFonts w:ascii="Times New Roman" w:hAnsi="Times New Roman"/>
          <w:color w:val="000000"/>
          <w:sz w:val="26"/>
          <w:szCs w:val="26"/>
          <w:lang w:val="uk-UA"/>
        </w:rPr>
        <w:t>"     "</w:t>
      </w:r>
      <w:r w:rsidR="00B859F2" w:rsidRPr="00E16672">
        <w:rPr>
          <w:rFonts w:ascii="Times New Roman" w:hAnsi="Times New Roman"/>
          <w:color w:val="000000"/>
          <w:sz w:val="26"/>
          <w:szCs w:val="26"/>
          <w:lang w:val="uk-UA"/>
        </w:rPr>
        <w:t xml:space="preserve"> _____</w:t>
      </w:r>
      <w:r>
        <w:rPr>
          <w:rFonts w:ascii="Times New Roman" w:hAnsi="Times New Roman"/>
          <w:color w:val="000000"/>
          <w:sz w:val="26"/>
          <w:szCs w:val="26"/>
          <w:lang w:val="uk-UA"/>
        </w:rPr>
        <w:t>_</w:t>
      </w:r>
      <w:r w:rsidR="00B859F2" w:rsidRPr="00E16672">
        <w:rPr>
          <w:rFonts w:ascii="Times New Roman" w:hAnsi="Times New Roman"/>
          <w:color w:val="000000"/>
          <w:sz w:val="26"/>
          <w:szCs w:val="26"/>
          <w:lang w:val="uk-UA"/>
        </w:rPr>
        <w:t xml:space="preserve">___ </w:t>
      </w:r>
      <w:r>
        <w:rPr>
          <w:rFonts w:ascii="Times New Roman" w:hAnsi="Times New Roman"/>
          <w:color w:val="000000"/>
          <w:sz w:val="26"/>
          <w:szCs w:val="26"/>
          <w:lang w:val="uk-UA"/>
        </w:rPr>
        <w:t>20__</w:t>
      </w:r>
      <w:r w:rsidR="00B859F2" w:rsidRPr="00E16672">
        <w:rPr>
          <w:rFonts w:ascii="Times New Roman" w:hAnsi="Times New Roman"/>
          <w:color w:val="000000"/>
          <w:sz w:val="26"/>
          <w:szCs w:val="26"/>
          <w:lang w:val="uk-UA"/>
        </w:rPr>
        <w:t>_</w:t>
      </w:r>
      <w:r w:rsidR="00B859F2" w:rsidRPr="00E16672">
        <w:rPr>
          <w:rFonts w:ascii="Times New Roman" w:hAnsi="Times New Roman"/>
          <w:color w:val="000000"/>
          <w:lang w:val="uk-UA"/>
        </w:rPr>
        <w:t xml:space="preserve"> </w:t>
      </w:r>
      <w:r w:rsidR="00B859F2" w:rsidRPr="00E16672">
        <w:rPr>
          <w:rFonts w:ascii="Times New Roman" w:hAnsi="Times New Roman"/>
          <w:color w:val="000000"/>
          <w:lang w:val="en-US"/>
        </w:rPr>
        <w:t xml:space="preserve">                                                                                                  </w:t>
      </w:r>
    </w:p>
    <w:p w14:paraId="2F7CAC09" w14:textId="77777777" w:rsidR="00B859F2" w:rsidRPr="00E16672" w:rsidRDefault="00B859F2" w:rsidP="00E20CB1">
      <w:pPr>
        <w:pStyle w:val="6"/>
        <w:rPr>
          <w:rFonts w:ascii="Times New Roman" w:hAnsi="Times New Roman"/>
          <w:lang w:val="uk-UA"/>
        </w:rPr>
      </w:pPr>
    </w:p>
    <w:p w14:paraId="5CE09675" w14:textId="77777777" w:rsidR="00B859F2" w:rsidRPr="00E16672" w:rsidRDefault="00B859F2" w:rsidP="00E20CB1">
      <w:pPr>
        <w:pStyle w:val="6"/>
        <w:rPr>
          <w:rFonts w:ascii="Times New Roman" w:hAnsi="Times New Roman"/>
          <w:lang w:val="uk-UA"/>
        </w:rPr>
      </w:pPr>
    </w:p>
    <w:tbl>
      <w:tblPr>
        <w:tblStyle w:val="aff8"/>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533"/>
      </w:tblGrid>
      <w:tr w:rsidR="00B859F2" w:rsidRPr="00A26EFC" w14:paraId="784CEEAE" w14:textId="77777777" w:rsidTr="00452C77">
        <w:trPr>
          <w:trHeight w:val="5122"/>
        </w:trPr>
        <w:tc>
          <w:tcPr>
            <w:tcW w:w="5103" w:type="dxa"/>
          </w:tcPr>
          <w:p w14:paraId="2EF8E165" w14:textId="77777777" w:rsidR="00B859F2" w:rsidRPr="00E16672" w:rsidRDefault="00B859F2" w:rsidP="00E20CB1">
            <w:pPr>
              <w:pStyle w:val="6"/>
              <w:ind w:left="0" w:firstLine="0"/>
              <w:rPr>
                <w:rFonts w:ascii="Times New Roman" w:hAnsi="Times New Roman"/>
                <w:b/>
                <w:sz w:val="24"/>
                <w:szCs w:val="24"/>
                <w:lang w:val="uk-UA"/>
              </w:rPr>
            </w:pPr>
            <w:r w:rsidRPr="00E16672">
              <w:rPr>
                <w:rFonts w:ascii="Times New Roman" w:hAnsi="Times New Roman"/>
                <w:b/>
                <w:sz w:val="24"/>
                <w:szCs w:val="24"/>
                <w:lang w:val="uk-UA"/>
              </w:rPr>
              <w:t>Відмова</w:t>
            </w:r>
          </w:p>
          <w:p w14:paraId="1CEB9FD5" w14:textId="77777777" w:rsidR="00B859F2" w:rsidRPr="00E16672" w:rsidRDefault="00B859F2" w:rsidP="00B859F2">
            <w:pPr>
              <w:ind w:firstLine="0"/>
              <w:jc w:val="center"/>
              <w:rPr>
                <w:rFonts w:ascii="Times New Roman" w:hAnsi="Times New Roman"/>
                <w:b/>
                <w:sz w:val="24"/>
                <w:lang w:val="uk-UA"/>
              </w:rPr>
            </w:pPr>
            <w:r w:rsidRPr="00E16672">
              <w:rPr>
                <w:rFonts w:ascii="Times New Roman" w:hAnsi="Times New Roman"/>
                <w:b/>
                <w:color w:val="000000"/>
                <w:sz w:val="24"/>
                <w:lang w:val="uk-UA"/>
              </w:rPr>
              <w:t>у відкритті</w:t>
            </w:r>
            <w:r w:rsidR="001C0F5C" w:rsidRPr="00E16672">
              <w:rPr>
                <w:rFonts w:ascii="Times New Roman" w:hAnsi="Times New Roman"/>
                <w:b/>
                <w:color w:val="000000"/>
                <w:sz w:val="24"/>
              </w:rPr>
              <w:t xml:space="preserve"> </w:t>
            </w:r>
            <w:r w:rsidRPr="00E16672">
              <w:rPr>
                <w:rFonts w:ascii="Times New Roman" w:hAnsi="Times New Roman"/>
                <w:b/>
                <w:color w:val="000000"/>
                <w:sz w:val="24"/>
                <w:lang w:val="uk-UA"/>
              </w:rPr>
              <w:t>/</w:t>
            </w:r>
            <w:r w:rsidR="001C0F5C" w:rsidRPr="00E16672">
              <w:rPr>
                <w:rFonts w:ascii="Times New Roman" w:hAnsi="Times New Roman"/>
                <w:b/>
                <w:color w:val="000000"/>
                <w:sz w:val="24"/>
              </w:rPr>
              <w:t xml:space="preserve"> </w:t>
            </w:r>
            <w:r w:rsidRPr="00E16672">
              <w:rPr>
                <w:rFonts w:ascii="Times New Roman" w:hAnsi="Times New Roman"/>
                <w:b/>
                <w:color w:val="000000"/>
                <w:sz w:val="24"/>
                <w:lang w:val="uk-UA"/>
              </w:rPr>
              <w:t xml:space="preserve">закритті рахунку </w:t>
            </w:r>
            <w:r w:rsidR="00C22309" w:rsidRPr="00E16672">
              <w:rPr>
                <w:rFonts w:ascii="Times New Roman" w:hAnsi="Times New Roman"/>
                <w:b/>
                <w:color w:val="000000"/>
                <w:sz w:val="24"/>
                <w:lang w:val="uk-UA"/>
              </w:rPr>
              <w:t>в цін</w:t>
            </w:r>
            <w:r w:rsidRPr="00E16672">
              <w:rPr>
                <w:rFonts w:ascii="Times New Roman" w:hAnsi="Times New Roman"/>
                <w:b/>
                <w:sz w:val="24"/>
                <w:lang w:val="uk-UA"/>
              </w:rPr>
              <w:t>них паперах</w:t>
            </w:r>
          </w:p>
          <w:p w14:paraId="165F7471" w14:textId="77777777" w:rsidR="00B859F2" w:rsidRPr="00E16672" w:rsidRDefault="00B859F2" w:rsidP="00B859F2">
            <w:pPr>
              <w:ind w:firstLine="0"/>
              <w:jc w:val="center"/>
              <w:rPr>
                <w:rFonts w:ascii="Times New Roman" w:hAnsi="Times New Roman"/>
                <w:b/>
                <w:sz w:val="24"/>
                <w:lang w:val="uk-UA"/>
              </w:rPr>
            </w:pPr>
          </w:p>
          <w:p w14:paraId="6702C028" w14:textId="77777777" w:rsidR="00B859F2" w:rsidRPr="00E16672" w:rsidRDefault="00B859F2" w:rsidP="00B859F2">
            <w:pPr>
              <w:ind w:firstLine="0"/>
              <w:jc w:val="center"/>
              <w:rPr>
                <w:rFonts w:ascii="Times New Roman" w:hAnsi="Times New Roman"/>
                <w:b/>
                <w:sz w:val="24"/>
                <w:lang w:val="uk-UA"/>
              </w:rPr>
            </w:pPr>
          </w:p>
          <w:p w14:paraId="6F92A5B4" w14:textId="77777777" w:rsidR="00B859F2" w:rsidRPr="00E16672" w:rsidRDefault="00B859F2" w:rsidP="00B859F2">
            <w:pPr>
              <w:ind w:firstLine="36"/>
              <w:jc w:val="left"/>
              <w:rPr>
                <w:rFonts w:ascii="Times New Roman" w:hAnsi="Times New Roman"/>
                <w:color w:val="000000"/>
                <w:sz w:val="22"/>
                <w:szCs w:val="22"/>
                <w:lang w:val="uk-UA"/>
              </w:rPr>
            </w:pPr>
            <w:r w:rsidRPr="00E16672">
              <w:rPr>
                <w:rFonts w:ascii="Times New Roman" w:hAnsi="Times New Roman"/>
                <w:color w:val="000000"/>
                <w:sz w:val="22"/>
                <w:szCs w:val="22"/>
                <w:lang w:val="uk-UA"/>
              </w:rPr>
              <w:t>Шановний(на) ________________________</w:t>
            </w:r>
          </w:p>
          <w:p w14:paraId="67EBEF29" w14:textId="77777777" w:rsidR="00B859F2" w:rsidRPr="00E16672" w:rsidRDefault="00B859F2" w:rsidP="00B859F2">
            <w:pPr>
              <w:ind w:firstLine="36"/>
              <w:jc w:val="left"/>
              <w:rPr>
                <w:rFonts w:ascii="Times New Roman" w:hAnsi="Times New Roman"/>
                <w:color w:val="000000"/>
                <w:sz w:val="22"/>
                <w:szCs w:val="22"/>
                <w:lang w:val="uk-UA"/>
              </w:rPr>
            </w:pPr>
          </w:p>
          <w:p w14:paraId="6142F300" w14:textId="77777777" w:rsidR="00B859F2" w:rsidRPr="00E16672" w:rsidRDefault="00B859F2" w:rsidP="00B859F2">
            <w:pPr>
              <w:ind w:firstLine="36"/>
              <w:jc w:val="left"/>
              <w:rPr>
                <w:rFonts w:ascii="Times New Roman" w:hAnsi="Times New Roman"/>
                <w:color w:val="000000"/>
                <w:sz w:val="22"/>
                <w:szCs w:val="22"/>
                <w:lang w:val="uk-UA"/>
              </w:rPr>
            </w:pPr>
            <w:r w:rsidRPr="00E16672">
              <w:rPr>
                <w:rFonts w:ascii="Times New Roman" w:hAnsi="Times New Roman"/>
                <w:color w:val="000000"/>
                <w:sz w:val="22"/>
                <w:szCs w:val="22"/>
                <w:lang w:val="uk-UA"/>
              </w:rPr>
              <w:t>Вам відмовлено (</w:t>
            </w:r>
            <w:r w:rsidRPr="00E16672">
              <w:rPr>
                <w:rFonts w:ascii="Times New Roman" w:hAnsi="Times New Roman"/>
                <w:i/>
                <w:color w:val="000000"/>
                <w:sz w:val="22"/>
                <w:szCs w:val="22"/>
                <w:lang w:val="uk-UA"/>
              </w:rPr>
              <w:t>необхідне підкреслити</w:t>
            </w:r>
            <w:r w:rsidRPr="00E16672">
              <w:rPr>
                <w:rFonts w:ascii="Times New Roman" w:hAnsi="Times New Roman"/>
                <w:color w:val="000000"/>
                <w:sz w:val="22"/>
                <w:szCs w:val="22"/>
                <w:lang w:val="uk-UA"/>
              </w:rPr>
              <w:t>):</w:t>
            </w:r>
          </w:p>
          <w:p w14:paraId="6071318C" w14:textId="364A266E" w:rsidR="00B859F2" w:rsidRPr="00E16672" w:rsidRDefault="00B859F2" w:rsidP="00B859F2">
            <w:pPr>
              <w:ind w:firstLine="36"/>
              <w:jc w:val="left"/>
              <w:rPr>
                <w:rFonts w:ascii="Times New Roman" w:hAnsi="Times New Roman"/>
                <w:color w:val="000000"/>
                <w:sz w:val="22"/>
                <w:szCs w:val="22"/>
                <w:lang w:val="uk-UA"/>
              </w:rPr>
            </w:pPr>
            <w:r w:rsidRPr="00E16672">
              <w:rPr>
                <w:rFonts w:ascii="Times New Roman" w:hAnsi="Times New Roman"/>
                <w:color w:val="000000"/>
                <w:sz w:val="22"/>
                <w:szCs w:val="22"/>
                <w:lang w:val="uk-UA"/>
              </w:rPr>
              <w:t xml:space="preserve">- у відкритті рахунку у </w:t>
            </w:r>
            <w:r w:rsidR="007D0843" w:rsidRPr="007D0843">
              <w:rPr>
                <w:rFonts w:ascii="Times New Roman" w:hAnsi="Times New Roman"/>
                <w:color w:val="000000"/>
                <w:sz w:val="22"/>
                <w:szCs w:val="22"/>
                <w:lang w:val="uk-UA"/>
              </w:rPr>
              <w:t>цінних паперах</w:t>
            </w:r>
            <w:r w:rsidRPr="00E16672">
              <w:rPr>
                <w:rFonts w:ascii="Times New Roman" w:hAnsi="Times New Roman"/>
                <w:color w:val="000000"/>
                <w:sz w:val="22"/>
                <w:szCs w:val="22"/>
                <w:lang w:val="uk-UA"/>
              </w:rPr>
              <w:t>;</w:t>
            </w:r>
          </w:p>
          <w:p w14:paraId="7186ACEF" w14:textId="2D401616" w:rsidR="00B859F2" w:rsidRPr="00E16672" w:rsidRDefault="00B859F2" w:rsidP="00B859F2">
            <w:pPr>
              <w:ind w:firstLine="36"/>
              <w:jc w:val="left"/>
              <w:rPr>
                <w:rFonts w:ascii="Times New Roman" w:hAnsi="Times New Roman"/>
                <w:color w:val="000000"/>
                <w:sz w:val="22"/>
                <w:szCs w:val="22"/>
                <w:lang w:val="uk-UA"/>
              </w:rPr>
            </w:pPr>
            <w:r w:rsidRPr="00E16672">
              <w:rPr>
                <w:rFonts w:ascii="Times New Roman" w:hAnsi="Times New Roman"/>
                <w:color w:val="000000"/>
                <w:sz w:val="22"/>
                <w:szCs w:val="22"/>
                <w:lang w:val="uk-UA"/>
              </w:rPr>
              <w:t xml:space="preserve">- у закритті рахунку у </w:t>
            </w:r>
            <w:r w:rsidR="007D0843" w:rsidRPr="007D0843">
              <w:rPr>
                <w:rFonts w:ascii="Times New Roman" w:hAnsi="Times New Roman"/>
                <w:color w:val="000000"/>
                <w:sz w:val="22"/>
                <w:szCs w:val="22"/>
                <w:lang w:val="uk-UA"/>
              </w:rPr>
              <w:t>цінних паперах</w:t>
            </w:r>
            <w:r w:rsidRPr="00E16672">
              <w:rPr>
                <w:rFonts w:ascii="Times New Roman" w:hAnsi="Times New Roman"/>
                <w:color w:val="000000"/>
                <w:sz w:val="22"/>
                <w:szCs w:val="22"/>
                <w:lang w:val="uk-UA"/>
              </w:rPr>
              <w:t>;</w:t>
            </w:r>
          </w:p>
          <w:p w14:paraId="56A54E4D" w14:textId="77777777" w:rsidR="00B859F2" w:rsidRPr="00E16672" w:rsidRDefault="00B859F2" w:rsidP="00B859F2">
            <w:pPr>
              <w:ind w:firstLine="36"/>
              <w:jc w:val="left"/>
              <w:rPr>
                <w:rFonts w:ascii="Times New Roman" w:hAnsi="Times New Roman"/>
                <w:color w:val="000000"/>
                <w:sz w:val="22"/>
                <w:szCs w:val="22"/>
                <w:lang w:val="uk-UA"/>
              </w:rPr>
            </w:pPr>
          </w:p>
          <w:p w14:paraId="1EB9B505" w14:textId="77777777" w:rsidR="00B859F2" w:rsidRPr="00E16672" w:rsidRDefault="00B859F2" w:rsidP="00B859F2">
            <w:pPr>
              <w:ind w:firstLine="36"/>
              <w:jc w:val="left"/>
              <w:rPr>
                <w:rFonts w:ascii="Times New Roman" w:hAnsi="Times New Roman"/>
                <w:color w:val="000000"/>
                <w:sz w:val="22"/>
                <w:szCs w:val="22"/>
                <w:lang w:val="uk-UA"/>
              </w:rPr>
            </w:pPr>
          </w:p>
          <w:p w14:paraId="55623A83" w14:textId="77777777" w:rsidR="00B859F2" w:rsidRPr="00E16672" w:rsidRDefault="00B859F2" w:rsidP="00B859F2">
            <w:pPr>
              <w:ind w:firstLine="36"/>
              <w:jc w:val="left"/>
              <w:rPr>
                <w:rFonts w:ascii="Times New Roman" w:hAnsi="Times New Roman"/>
                <w:color w:val="000000"/>
                <w:sz w:val="22"/>
                <w:szCs w:val="22"/>
                <w:lang w:val="uk-UA"/>
              </w:rPr>
            </w:pPr>
            <w:r w:rsidRPr="00E16672">
              <w:rPr>
                <w:rFonts w:ascii="Times New Roman" w:hAnsi="Times New Roman"/>
                <w:color w:val="000000"/>
                <w:sz w:val="22"/>
                <w:szCs w:val="22"/>
                <w:lang w:val="uk-UA"/>
              </w:rPr>
              <w:t xml:space="preserve"> з причин ______________________________</w:t>
            </w:r>
          </w:p>
          <w:p w14:paraId="346B882F" w14:textId="77777777" w:rsidR="00B859F2" w:rsidRPr="00E16672" w:rsidRDefault="00B859F2" w:rsidP="00B859F2">
            <w:pPr>
              <w:ind w:firstLine="36"/>
              <w:jc w:val="left"/>
              <w:rPr>
                <w:rFonts w:ascii="Times New Roman" w:hAnsi="Times New Roman"/>
                <w:color w:val="000000"/>
                <w:sz w:val="22"/>
                <w:szCs w:val="22"/>
                <w:lang w:val="uk-UA"/>
              </w:rPr>
            </w:pPr>
            <w:r w:rsidRPr="00E16672">
              <w:rPr>
                <w:rFonts w:ascii="Times New Roman" w:hAnsi="Times New Roman"/>
                <w:color w:val="000000"/>
                <w:sz w:val="22"/>
                <w:szCs w:val="22"/>
                <w:lang w:val="uk-UA"/>
              </w:rPr>
              <w:t xml:space="preserve"> ______________________________________</w:t>
            </w:r>
          </w:p>
          <w:p w14:paraId="1C544FB0" w14:textId="77777777" w:rsidR="00B859F2" w:rsidRPr="00E16672" w:rsidRDefault="00B859F2" w:rsidP="00B859F2">
            <w:pPr>
              <w:ind w:firstLine="36"/>
              <w:jc w:val="left"/>
              <w:rPr>
                <w:rFonts w:ascii="Times New Roman" w:hAnsi="Times New Roman"/>
                <w:b/>
                <w:sz w:val="24"/>
                <w:lang w:val="uk-UA"/>
              </w:rPr>
            </w:pPr>
            <w:r w:rsidRPr="00E16672">
              <w:rPr>
                <w:rFonts w:ascii="Times New Roman" w:hAnsi="Times New Roman"/>
                <w:color w:val="000000"/>
                <w:sz w:val="22"/>
                <w:szCs w:val="22"/>
                <w:lang w:val="uk-UA"/>
              </w:rPr>
              <w:t xml:space="preserve"> ______________________________________</w:t>
            </w:r>
          </w:p>
          <w:p w14:paraId="6981D9E4" w14:textId="77777777" w:rsidR="00B859F2" w:rsidRPr="00E16672" w:rsidRDefault="00B859F2" w:rsidP="00B859F2">
            <w:pPr>
              <w:ind w:firstLine="36"/>
              <w:jc w:val="left"/>
              <w:rPr>
                <w:rFonts w:ascii="Times New Roman" w:hAnsi="Times New Roman"/>
                <w:color w:val="000000"/>
                <w:sz w:val="22"/>
                <w:szCs w:val="22"/>
                <w:lang w:val="uk-UA"/>
              </w:rPr>
            </w:pPr>
            <w:r w:rsidRPr="00E16672">
              <w:rPr>
                <w:rFonts w:ascii="Times New Roman" w:hAnsi="Times New Roman"/>
                <w:color w:val="000000"/>
                <w:sz w:val="22"/>
                <w:szCs w:val="22"/>
                <w:lang w:val="uk-UA"/>
              </w:rPr>
              <w:t>(причина відмови)</w:t>
            </w:r>
          </w:p>
          <w:p w14:paraId="3591008E" w14:textId="77777777" w:rsidR="00B859F2" w:rsidRPr="00E16672" w:rsidRDefault="00B859F2" w:rsidP="00B859F2">
            <w:pPr>
              <w:ind w:firstLine="0"/>
              <w:jc w:val="center"/>
              <w:rPr>
                <w:rFonts w:ascii="Times New Roman" w:hAnsi="Times New Roman"/>
                <w:b/>
                <w:sz w:val="24"/>
                <w:lang w:val="uk-UA"/>
              </w:rPr>
            </w:pPr>
          </w:p>
          <w:p w14:paraId="16CF23AD" w14:textId="77777777" w:rsidR="00B859F2" w:rsidRPr="00E16672" w:rsidRDefault="00B859F2" w:rsidP="00B859F2">
            <w:pPr>
              <w:ind w:firstLine="0"/>
              <w:jc w:val="center"/>
              <w:rPr>
                <w:rFonts w:ascii="Times New Roman" w:hAnsi="Times New Roman"/>
                <w:b/>
                <w:sz w:val="24"/>
                <w:lang w:val="uk-UA"/>
              </w:rPr>
            </w:pPr>
          </w:p>
        </w:tc>
        <w:tc>
          <w:tcPr>
            <w:tcW w:w="5533" w:type="dxa"/>
          </w:tcPr>
          <w:p w14:paraId="23986064" w14:textId="77777777" w:rsidR="00B859F2" w:rsidRPr="00E16672" w:rsidRDefault="00B859F2" w:rsidP="00E20CB1">
            <w:pPr>
              <w:pStyle w:val="6"/>
              <w:ind w:left="0" w:firstLine="0"/>
              <w:rPr>
                <w:rFonts w:ascii="Times New Roman" w:hAnsi="Times New Roman"/>
                <w:b/>
                <w:color w:val="000000"/>
                <w:sz w:val="24"/>
                <w:szCs w:val="24"/>
                <w:lang w:val="uk-UA"/>
              </w:rPr>
            </w:pPr>
            <w:proofErr w:type="spellStart"/>
            <w:r w:rsidRPr="00E16672">
              <w:rPr>
                <w:rFonts w:ascii="Times New Roman" w:hAnsi="Times New Roman"/>
                <w:b/>
                <w:color w:val="000000"/>
                <w:sz w:val="24"/>
                <w:szCs w:val="24"/>
                <w:lang w:val="uk-UA"/>
              </w:rPr>
              <w:t>Refusal</w:t>
            </w:r>
            <w:proofErr w:type="spellEnd"/>
          </w:p>
          <w:p w14:paraId="27B6AD2D" w14:textId="77777777" w:rsidR="00B859F2" w:rsidRPr="00E16672" w:rsidRDefault="00B859F2" w:rsidP="00B859F2">
            <w:pPr>
              <w:ind w:firstLine="0"/>
              <w:jc w:val="center"/>
              <w:rPr>
                <w:rFonts w:ascii="Times New Roman" w:hAnsi="Times New Roman"/>
                <w:b/>
                <w:sz w:val="24"/>
                <w:lang w:val="uk-UA"/>
              </w:rPr>
            </w:pPr>
            <w:proofErr w:type="spellStart"/>
            <w:r w:rsidRPr="00E16672">
              <w:rPr>
                <w:rFonts w:ascii="Times New Roman" w:hAnsi="Times New Roman"/>
                <w:b/>
                <w:sz w:val="24"/>
                <w:lang w:val="uk-UA"/>
              </w:rPr>
              <w:t>in</w:t>
            </w:r>
            <w:proofErr w:type="spellEnd"/>
            <w:r w:rsidRPr="00E16672">
              <w:rPr>
                <w:rFonts w:ascii="Times New Roman" w:hAnsi="Times New Roman"/>
                <w:b/>
                <w:sz w:val="24"/>
                <w:lang w:val="uk-UA"/>
              </w:rPr>
              <w:t xml:space="preserve"> </w:t>
            </w:r>
            <w:proofErr w:type="spellStart"/>
            <w:r w:rsidRPr="00E16672">
              <w:rPr>
                <w:rFonts w:ascii="Times New Roman" w:hAnsi="Times New Roman"/>
                <w:b/>
                <w:sz w:val="24"/>
                <w:lang w:val="uk-UA"/>
              </w:rPr>
              <w:t>the</w:t>
            </w:r>
            <w:proofErr w:type="spellEnd"/>
            <w:r w:rsidRPr="00E16672">
              <w:rPr>
                <w:rFonts w:ascii="Times New Roman" w:hAnsi="Times New Roman"/>
                <w:b/>
                <w:sz w:val="24"/>
                <w:lang w:val="uk-UA"/>
              </w:rPr>
              <w:t xml:space="preserve"> </w:t>
            </w:r>
            <w:proofErr w:type="spellStart"/>
            <w:r w:rsidRPr="00E16672">
              <w:rPr>
                <w:rFonts w:ascii="Times New Roman" w:hAnsi="Times New Roman"/>
                <w:b/>
                <w:sz w:val="24"/>
                <w:lang w:val="uk-UA"/>
              </w:rPr>
              <w:t>opening</w:t>
            </w:r>
            <w:proofErr w:type="spellEnd"/>
            <w:r w:rsidRPr="00E16672">
              <w:rPr>
                <w:rFonts w:ascii="Times New Roman" w:hAnsi="Times New Roman"/>
                <w:b/>
                <w:sz w:val="24"/>
                <w:lang w:val="uk-UA"/>
              </w:rPr>
              <w:t xml:space="preserve"> / </w:t>
            </w:r>
            <w:proofErr w:type="spellStart"/>
            <w:r w:rsidRPr="00E16672">
              <w:rPr>
                <w:rFonts w:ascii="Times New Roman" w:hAnsi="Times New Roman"/>
                <w:b/>
                <w:sz w:val="24"/>
                <w:lang w:val="uk-UA"/>
              </w:rPr>
              <w:t>closing</w:t>
            </w:r>
            <w:proofErr w:type="spellEnd"/>
            <w:r w:rsidRPr="00E16672">
              <w:rPr>
                <w:rFonts w:ascii="Times New Roman" w:hAnsi="Times New Roman"/>
                <w:b/>
                <w:sz w:val="24"/>
                <w:lang w:val="uk-UA"/>
              </w:rPr>
              <w:t xml:space="preserve"> </w:t>
            </w:r>
            <w:proofErr w:type="spellStart"/>
            <w:r w:rsidRPr="00E16672">
              <w:rPr>
                <w:rFonts w:ascii="Times New Roman" w:hAnsi="Times New Roman"/>
                <w:b/>
                <w:sz w:val="24"/>
                <w:lang w:val="uk-UA"/>
              </w:rPr>
              <w:t>of</w:t>
            </w:r>
            <w:proofErr w:type="spellEnd"/>
            <w:r w:rsidRPr="00E16672">
              <w:rPr>
                <w:rFonts w:ascii="Times New Roman" w:hAnsi="Times New Roman"/>
                <w:b/>
                <w:sz w:val="24"/>
                <w:lang w:val="uk-UA"/>
              </w:rPr>
              <w:t xml:space="preserve"> a </w:t>
            </w:r>
            <w:proofErr w:type="spellStart"/>
            <w:r w:rsidRPr="00E16672">
              <w:rPr>
                <w:rFonts w:ascii="Times New Roman" w:hAnsi="Times New Roman"/>
                <w:b/>
                <w:sz w:val="24"/>
                <w:lang w:val="uk-UA"/>
              </w:rPr>
              <w:t>securities</w:t>
            </w:r>
            <w:proofErr w:type="spellEnd"/>
            <w:r w:rsidRPr="00E16672">
              <w:rPr>
                <w:rFonts w:ascii="Times New Roman" w:hAnsi="Times New Roman"/>
                <w:b/>
                <w:sz w:val="24"/>
                <w:lang w:val="uk-UA"/>
              </w:rPr>
              <w:t xml:space="preserve"> </w:t>
            </w:r>
            <w:proofErr w:type="spellStart"/>
            <w:r w:rsidRPr="00E16672">
              <w:rPr>
                <w:rFonts w:ascii="Times New Roman" w:hAnsi="Times New Roman"/>
                <w:b/>
                <w:sz w:val="24"/>
                <w:lang w:val="uk-UA"/>
              </w:rPr>
              <w:t>account</w:t>
            </w:r>
            <w:proofErr w:type="spellEnd"/>
          </w:p>
          <w:p w14:paraId="261E70D0" w14:textId="77777777" w:rsidR="00B859F2" w:rsidRPr="00E16672" w:rsidRDefault="00B859F2" w:rsidP="00B859F2">
            <w:pPr>
              <w:rPr>
                <w:rFonts w:ascii="Times New Roman" w:hAnsi="Times New Roman"/>
                <w:b/>
                <w:sz w:val="24"/>
                <w:lang w:val="uk-UA"/>
              </w:rPr>
            </w:pPr>
          </w:p>
          <w:p w14:paraId="78DAB0C1" w14:textId="77777777" w:rsidR="00B859F2" w:rsidRPr="00E16672" w:rsidRDefault="00B859F2" w:rsidP="00B859F2">
            <w:pPr>
              <w:rPr>
                <w:rFonts w:ascii="Times New Roman" w:hAnsi="Times New Roman"/>
                <w:b/>
                <w:sz w:val="24"/>
                <w:lang w:val="uk-UA"/>
              </w:rPr>
            </w:pPr>
          </w:p>
          <w:p w14:paraId="78BBCA1B" w14:textId="77777777" w:rsidR="00B859F2" w:rsidRPr="00E16672" w:rsidRDefault="00B859F2" w:rsidP="00B859F2">
            <w:pPr>
              <w:ind w:firstLine="36"/>
              <w:jc w:val="left"/>
              <w:rPr>
                <w:rFonts w:ascii="Times New Roman" w:hAnsi="Times New Roman"/>
                <w:color w:val="000000"/>
                <w:sz w:val="22"/>
                <w:szCs w:val="22"/>
                <w:lang w:val="uk-UA"/>
              </w:rPr>
            </w:pPr>
            <w:r w:rsidRPr="00E16672">
              <w:rPr>
                <w:rFonts w:ascii="Times New Roman" w:hAnsi="Times New Roman"/>
                <w:color w:val="000000"/>
                <w:sz w:val="22"/>
                <w:szCs w:val="22"/>
                <w:lang w:val="en-US"/>
              </w:rPr>
              <w:t>Dear _____</w:t>
            </w:r>
            <w:r w:rsidRPr="00E16672">
              <w:rPr>
                <w:rFonts w:ascii="Times New Roman" w:hAnsi="Times New Roman"/>
                <w:color w:val="000000"/>
                <w:sz w:val="22"/>
                <w:szCs w:val="22"/>
                <w:lang w:val="uk-UA"/>
              </w:rPr>
              <w:t xml:space="preserve"> ________________________</w:t>
            </w:r>
          </w:p>
          <w:p w14:paraId="57456086" w14:textId="77777777" w:rsidR="00B859F2" w:rsidRPr="00E16672" w:rsidRDefault="00B859F2" w:rsidP="00B859F2">
            <w:pPr>
              <w:ind w:firstLine="36"/>
              <w:jc w:val="left"/>
              <w:rPr>
                <w:rFonts w:ascii="Times New Roman" w:hAnsi="Times New Roman"/>
                <w:color w:val="000000"/>
                <w:sz w:val="22"/>
                <w:szCs w:val="22"/>
                <w:lang w:val="uk-UA"/>
              </w:rPr>
            </w:pPr>
          </w:p>
          <w:p w14:paraId="1B94D21E" w14:textId="77777777" w:rsidR="00B859F2" w:rsidRPr="00E16672" w:rsidRDefault="00B859F2" w:rsidP="00B859F2">
            <w:pPr>
              <w:ind w:firstLine="36"/>
              <w:jc w:val="left"/>
              <w:rPr>
                <w:rFonts w:ascii="Times New Roman" w:hAnsi="Times New Roman"/>
                <w:color w:val="000000"/>
                <w:sz w:val="22"/>
                <w:szCs w:val="22"/>
                <w:lang w:val="uk-UA"/>
              </w:rPr>
            </w:pPr>
            <w:proofErr w:type="spellStart"/>
            <w:r w:rsidRPr="00E16672">
              <w:rPr>
                <w:rFonts w:ascii="Times New Roman" w:hAnsi="Times New Roman"/>
                <w:color w:val="000000"/>
                <w:sz w:val="22"/>
                <w:szCs w:val="22"/>
                <w:lang w:val="uk-UA"/>
              </w:rPr>
              <w:t>You</w:t>
            </w:r>
            <w:proofErr w:type="spellEnd"/>
            <w:r w:rsidRPr="00E16672">
              <w:rPr>
                <w:rFonts w:ascii="Times New Roman" w:hAnsi="Times New Roman"/>
                <w:color w:val="000000"/>
                <w:sz w:val="22"/>
                <w:szCs w:val="22"/>
                <w:lang w:val="uk-UA"/>
              </w:rPr>
              <w:t xml:space="preserve"> </w:t>
            </w:r>
            <w:proofErr w:type="spellStart"/>
            <w:r w:rsidRPr="00E16672">
              <w:rPr>
                <w:rFonts w:ascii="Times New Roman" w:hAnsi="Times New Roman"/>
                <w:color w:val="000000"/>
                <w:sz w:val="22"/>
                <w:szCs w:val="22"/>
                <w:lang w:val="uk-UA"/>
              </w:rPr>
              <w:t>have</w:t>
            </w:r>
            <w:proofErr w:type="spellEnd"/>
            <w:r w:rsidRPr="00E16672">
              <w:rPr>
                <w:rFonts w:ascii="Times New Roman" w:hAnsi="Times New Roman"/>
                <w:color w:val="000000"/>
                <w:sz w:val="22"/>
                <w:szCs w:val="22"/>
                <w:lang w:val="uk-UA"/>
              </w:rPr>
              <w:t xml:space="preserve"> </w:t>
            </w:r>
            <w:proofErr w:type="spellStart"/>
            <w:r w:rsidRPr="00E16672">
              <w:rPr>
                <w:rFonts w:ascii="Times New Roman" w:hAnsi="Times New Roman"/>
                <w:color w:val="000000"/>
                <w:sz w:val="22"/>
                <w:szCs w:val="22"/>
                <w:lang w:val="uk-UA"/>
              </w:rPr>
              <w:t>been</w:t>
            </w:r>
            <w:proofErr w:type="spellEnd"/>
            <w:r w:rsidRPr="00E16672">
              <w:rPr>
                <w:rFonts w:ascii="Times New Roman" w:hAnsi="Times New Roman"/>
                <w:color w:val="000000"/>
                <w:sz w:val="22"/>
                <w:szCs w:val="22"/>
                <w:lang w:val="uk-UA"/>
              </w:rPr>
              <w:t xml:space="preserve"> </w:t>
            </w:r>
            <w:proofErr w:type="spellStart"/>
            <w:r w:rsidRPr="00E16672">
              <w:rPr>
                <w:rFonts w:ascii="Times New Roman" w:hAnsi="Times New Roman"/>
                <w:color w:val="000000"/>
                <w:sz w:val="22"/>
                <w:szCs w:val="22"/>
                <w:lang w:val="uk-UA"/>
              </w:rPr>
              <w:t>denied</w:t>
            </w:r>
            <w:proofErr w:type="spellEnd"/>
            <w:r w:rsidRPr="00E16672">
              <w:rPr>
                <w:rFonts w:ascii="Times New Roman" w:hAnsi="Times New Roman"/>
                <w:color w:val="000000"/>
                <w:sz w:val="22"/>
                <w:szCs w:val="22"/>
                <w:lang w:val="uk-UA"/>
              </w:rPr>
              <w:t xml:space="preserve"> (</w:t>
            </w:r>
            <w:proofErr w:type="spellStart"/>
            <w:r w:rsidRPr="00E16672">
              <w:rPr>
                <w:rFonts w:ascii="Times New Roman" w:hAnsi="Times New Roman"/>
                <w:color w:val="000000"/>
                <w:sz w:val="22"/>
                <w:szCs w:val="22"/>
                <w:lang w:val="uk-UA"/>
              </w:rPr>
              <w:t>you</w:t>
            </w:r>
            <w:proofErr w:type="spellEnd"/>
            <w:r w:rsidRPr="00E16672">
              <w:rPr>
                <w:rFonts w:ascii="Times New Roman" w:hAnsi="Times New Roman"/>
                <w:color w:val="000000"/>
                <w:sz w:val="22"/>
                <w:szCs w:val="22"/>
                <w:lang w:val="uk-UA"/>
              </w:rPr>
              <w:t xml:space="preserve"> </w:t>
            </w:r>
            <w:proofErr w:type="spellStart"/>
            <w:r w:rsidRPr="00E16672">
              <w:rPr>
                <w:rFonts w:ascii="Times New Roman" w:hAnsi="Times New Roman"/>
                <w:color w:val="000000"/>
                <w:sz w:val="22"/>
                <w:szCs w:val="22"/>
                <w:lang w:val="uk-UA"/>
              </w:rPr>
              <w:t>need</w:t>
            </w:r>
            <w:proofErr w:type="spellEnd"/>
            <w:r w:rsidRPr="00E16672">
              <w:rPr>
                <w:rFonts w:ascii="Times New Roman" w:hAnsi="Times New Roman"/>
                <w:color w:val="000000"/>
                <w:sz w:val="22"/>
                <w:szCs w:val="22"/>
                <w:lang w:val="uk-UA"/>
              </w:rPr>
              <w:t xml:space="preserve"> </w:t>
            </w:r>
            <w:proofErr w:type="spellStart"/>
            <w:r w:rsidRPr="00E16672">
              <w:rPr>
                <w:rFonts w:ascii="Times New Roman" w:hAnsi="Times New Roman"/>
                <w:color w:val="000000"/>
                <w:sz w:val="22"/>
                <w:szCs w:val="22"/>
                <w:lang w:val="uk-UA"/>
              </w:rPr>
              <w:t>to</w:t>
            </w:r>
            <w:proofErr w:type="spellEnd"/>
            <w:r w:rsidRPr="00E16672">
              <w:rPr>
                <w:rFonts w:ascii="Times New Roman" w:hAnsi="Times New Roman"/>
                <w:color w:val="000000"/>
                <w:sz w:val="22"/>
                <w:szCs w:val="22"/>
                <w:lang w:val="uk-UA"/>
              </w:rPr>
              <w:t xml:space="preserve"> </w:t>
            </w:r>
            <w:proofErr w:type="spellStart"/>
            <w:r w:rsidRPr="00E16672">
              <w:rPr>
                <w:rFonts w:ascii="Times New Roman" w:hAnsi="Times New Roman"/>
                <w:color w:val="000000"/>
                <w:sz w:val="22"/>
                <w:szCs w:val="22"/>
                <w:lang w:val="uk-UA"/>
              </w:rPr>
              <w:t>emphasize</w:t>
            </w:r>
            <w:proofErr w:type="spellEnd"/>
            <w:r w:rsidRPr="00E16672">
              <w:rPr>
                <w:rFonts w:ascii="Times New Roman" w:hAnsi="Times New Roman"/>
                <w:color w:val="000000"/>
                <w:sz w:val="22"/>
                <w:szCs w:val="22"/>
                <w:lang w:val="uk-UA"/>
              </w:rPr>
              <w:t>):</w:t>
            </w:r>
          </w:p>
          <w:p w14:paraId="374D8FC8" w14:textId="77777777" w:rsidR="00B859F2" w:rsidRPr="00E16672" w:rsidRDefault="00B859F2" w:rsidP="00B859F2">
            <w:pPr>
              <w:ind w:firstLine="36"/>
              <w:jc w:val="left"/>
              <w:rPr>
                <w:rFonts w:ascii="Times New Roman" w:hAnsi="Times New Roman"/>
                <w:color w:val="000000"/>
                <w:sz w:val="22"/>
                <w:szCs w:val="22"/>
                <w:lang w:val="uk-UA"/>
              </w:rPr>
            </w:pPr>
            <w:r w:rsidRPr="00E16672">
              <w:rPr>
                <w:rFonts w:ascii="Times New Roman" w:hAnsi="Times New Roman"/>
                <w:color w:val="000000"/>
                <w:sz w:val="22"/>
                <w:szCs w:val="22"/>
                <w:lang w:val="uk-UA"/>
              </w:rPr>
              <w:t xml:space="preserve">- </w:t>
            </w:r>
            <w:proofErr w:type="spellStart"/>
            <w:r w:rsidRPr="00E16672">
              <w:rPr>
                <w:rFonts w:ascii="Times New Roman" w:hAnsi="Times New Roman"/>
                <w:color w:val="000000"/>
                <w:sz w:val="22"/>
                <w:szCs w:val="22"/>
                <w:lang w:val="uk-UA"/>
              </w:rPr>
              <w:t>in</w:t>
            </w:r>
            <w:proofErr w:type="spellEnd"/>
            <w:r w:rsidRPr="00E16672">
              <w:rPr>
                <w:rFonts w:ascii="Times New Roman" w:hAnsi="Times New Roman"/>
                <w:color w:val="000000"/>
                <w:sz w:val="22"/>
                <w:szCs w:val="22"/>
                <w:lang w:val="uk-UA"/>
              </w:rPr>
              <w:t xml:space="preserve"> </w:t>
            </w:r>
            <w:proofErr w:type="spellStart"/>
            <w:r w:rsidRPr="00E16672">
              <w:rPr>
                <w:rFonts w:ascii="Times New Roman" w:hAnsi="Times New Roman"/>
                <w:color w:val="000000"/>
                <w:sz w:val="22"/>
                <w:szCs w:val="22"/>
                <w:lang w:val="uk-UA"/>
              </w:rPr>
              <w:t>opening</w:t>
            </w:r>
            <w:proofErr w:type="spellEnd"/>
            <w:r w:rsidRPr="00E16672">
              <w:rPr>
                <w:rFonts w:ascii="Times New Roman" w:hAnsi="Times New Roman"/>
                <w:color w:val="000000"/>
                <w:sz w:val="22"/>
                <w:szCs w:val="22"/>
                <w:lang w:val="uk-UA"/>
              </w:rPr>
              <w:t xml:space="preserve"> a </w:t>
            </w:r>
            <w:proofErr w:type="spellStart"/>
            <w:r w:rsidRPr="00E16672">
              <w:rPr>
                <w:rFonts w:ascii="Times New Roman" w:hAnsi="Times New Roman"/>
                <w:color w:val="000000"/>
                <w:sz w:val="22"/>
                <w:szCs w:val="22"/>
                <w:lang w:val="uk-UA"/>
              </w:rPr>
              <w:t>securities</w:t>
            </w:r>
            <w:proofErr w:type="spellEnd"/>
            <w:r w:rsidRPr="00E16672">
              <w:rPr>
                <w:rFonts w:ascii="Times New Roman" w:hAnsi="Times New Roman"/>
                <w:color w:val="000000"/>
                <w:sz w:val="22"/>
                <w:szCs w:val="22"/>
                <w:lang w:val="uk-UA"/>
              </w:rPr>
              <w:t xml:space="preserve"> </w:t>
            </w:r>
            <w:proofErr w:type="spellStart"/>
            <w:r w:rsidRPr="00E16672">
              <w:rPr>
                <w:rFonts w:ascii="Times New Roman" w:hAnsi="Times New Roman"/>
                <w:color w:val="000000"/>
                <w:sz w:val="22"/>
                <w:szCs w:val="22"/>
                <w:lang w:val="uk-UA"/>
              </w:rPr>
              <w:t>account</w:t>
            </w:r>
            <w:proofErr w:type="spellEnd"/>
            <w:r w:rsidRPr="00E16672">
              <w:rPr>
                <w:rFonts w:ascii="Times New Roman" w:hAnsi="Times New Roman"/>
                <w:color w:val="000000"/>
                <w:sz w:val="22"/>
                <w:szCs w:val="22"/>
                <w:lang w:val="uk-UA"/>
              </w:rPr>
              <w:t>;</w:t>
            </w:r>
          </w:p>
          <w:p w14:paraId="3591BF0D" w14:textId="77777777" w:rsidR="00B859F2" w:rsidRPr="00E16672" w:rsidRDefault="00B859F2" w:rsidP="00B859F2">
            <w:pPr>
              <w:ind w:firstLine="36"/>
              <w:jc w:val="left"/>
              <w:rPr>
                <w:rFonts w:ascii="Times New Roman" w:hAnsi="Times New Roman"/>
                <w:color w:val="000000"/>
                <w:sz w:val="22"/>
                <w:szCs w:val="22"/>
                <w:lang w:val="uk-UA"/>
              </w:rPr>
            </w:pPr>
            <w:r w:rsidRPr="00E16672">
              <w:rPr>
                <w:rFonts w:ascii="Times New Roman" w:hAnsi="Times New Roman"/>
                <w:color w:val="000000"/>
                <w:sz w:val="22"/>
                <w:szCs w:val="22"/>
                <w:lang w:val="uk-UA"/>
              </w:rPr>
              <w:t xml:space="preserve">- </w:t>
            </w:r>
            <w:proofErr w:type="spellStart"/>
            <w:r w:rsidRPr="00E16672">
              <w:rPr>
                <w:rFonts w:ascii="Times New Roman" w:hAnsi="Times New Roman"/>
                <w:color w:val="000000"/>
                <w:sz w:val="22"/>
                <w:szCs w:val="22"/>
                <w:lang w:val="uk-UA"/>
              </w:rPr>
              <w:t>in</w:t>
            </w:r>
            <w:proofErr w:type="spellEnd"/>
            <w:r w:rsidRPr="00E16672">
              <w:rPr>
                <w:rFonts w:ascii="Times New Roman" w:hAnsi="Times New Roman"/>
                <w:color w:val="000000"/>
                <w:sz w:val="22"/>
                <w:szCs w:val="22"/>
                <w:lang w:val="uk-UA"/>
              </w:rPr>
              <w:t xml:space="preserve"> </w:t>
            </w:r>
            <w:proofErr w:type="spellStart"/>
            <w:r w:rsidRPr="00E16672">
              <w:rPr>
                <w:rFonts w:ascii="Times New Roman" w:hAnsi="Times New Roman"/>
                <w:color w:val="000000"/>
                <w:sz w:val="22"/>
                <w:szCs w:val="22"/>
                <w:lang w:val="uk-UA"/>
              </w:rPr>
              <w:t>the</w:t>
            </w:r>
            <w:proofErr w:type="spellEnd"/>
            <w:r w:rsidRPr="00E16672">
              <w:rPr>
                <w:rFonts w:ascii="Times New Roman" w:hAnsi="Times New Roman"/>
                <w:color w:val="000000"/>
                <w:sz w:val="22"/>
                <w:szCs w:val="22"/>
                <w:lang w:val="uk-UA"/>
              </w:rPr>
              <w:t xml:space="preserve"> </w:t>
            </w:r>
            <w:proofErr w:type="spellStart"/>
            <w:r w:rsidRPr="00E16672">
              <w:rPr>
                <w:rFonts w:ascii="Times New Roman" w:hAnsi="Times New Roman"/>
                <w:color w:val="000000"/>
                <w:sz w:val="22"/>
                <w:szCs w:val="22"/>
                <w:lang w:val="uk-UA"/>
              </w:rPr>
              <w:t>closing</w:t>
            </w:r>
            <w:proofErr w:type="spellEnd"/>
            <w:r w:rsidRPr="00E16672">
              <w:rPr>
                <w:rFonts w:ascii="Times New Roman" w:hAnsi="Times New Roman"/>
                <w:color w:val="000000"/>
                <w:sz w:val="22"/>
                <w:szCs w:val="22"/>
                <w:lang w:val="uk-UA"/>
              </w:rPr>
              <w:t xml:space="preserve"> </w:t>
            </w:r>
            <w:proofErr w:type="spellStart"/>
            <w:r w:rsidRPr="00E16672">
              <w:rPr>
                <w:rFonts w:ascii="Times New Roman" w:hAnsi="Times New Roman"/>
                <w:color w:val="000000"/>
                <w:sz w:val="22"/>
                <w:szCs w:val="22"/>
                <w:lang w:val="uk-UA"/>
              </w:rPr>
              <w:t>of</w:t>
            </w:r>
            <w:proofErr w:type="spellEnd"/>
            <w:r w:rsidRPr="00E16672">
              <w:rPr>
                <w:rFonts w:ascii="Times New Roman" w:hAnsi="Times New Roman"/>
                <w:color w:val="000000"/>
                <w:sz w:val="22"/>
                <w:szCs w:val="22"/>
                <w:lang w:val="uk-UA"/>
              </w:rPr>
              <w:t xml:space="preserve"> </w:t>
            </w:r>
            <w:proofErr w:type="spellStart"/>
            <w:r w:rsidRPr="00E16672">
              <w:rPr>
                <w:rFonts w:ascii="Times New Roman" w:hAnsi="Times New Roman"/>
                <w:color w:val="000000"/>
                <w:sz w:val="22"/>
                <w:szCs w:val="22"/>
                <w:lang w:val="uk-UA"/>
              </w:rPr>
              <w:t>the</w:t>
            </w:r>
            <w:proofErr w:type="spellEnd"/>
            <w:r w:rsidRPr="00E16672">
              <w:rPr>
                <w:rFonts w:ascii="Times New Roman" w:hAnsi="Times New Roman"/>
                <w:color w:val="000000"/>
                <w:sz w:val="22"/>
                <w:szCs w:val="22"/>
                <w:lang w:val="uk-UA"/>
              </w:rPr>
              <w:t xml:space="preserve"> </w:t>
            </w:r>
            <w:proofErr w:type="spellStart"/>
            <w:r w:rsidRPr="00E16672">
              <w:rPr>
                <w:rFonts w:ascii="Times New Roman" w:hAnsi="Times New Roman"/>
                <w:color w:val="000000"/>
                <w:sz w:val="22"/>
                <w:szCs w:val="22"/>
                <w:lang w:val="uk-UA"/>
              </w:rPr>
              <w:t>securities</w:t>
            </w:r>
            <w:proofErr w:type="spellEnd"/>
            <w:r w:rsidRPr="00E16672">
              <w:rPr>
                <w:rFonts w:ascii="Times New Roman" w:hAnsi="Times New Roman"/>
                <w:color w:val="000000"/>
                <w:sz w:val="22"/>
                <w:szCs w:val="22"/>
                <w:lang w:val="uk-UA"/>
              </w:rPr>
              <w:t xml:space="preserve"> </w:t>
            </w:r>
            <w:proofErr w:type="spellStart"/>
            <w:r w:rsidRPr="00E16672">
              <w:rPr>
                <w:rFonts w:ascii="Times New Roman" w:hAnsi="Times New Roman"/>
                <w:color w:val="000000"/>
                <w:sz w:val="22"/>
                <w:szCs w:val="22"/>
                <w:lang w:val="uk-UA"/>
              </w:rPr>
              <w:t>account</w:t>
            </w:r>
            <w:proofErr w:type="spellEnd"/>
            <w:r w:rsidRPr="00E16672">
              <w:rPr>
                <w:rFonts w:ascii="Times New Roman" w:hAnsi="Times New Roman"/>
                <w:color w:val="000000"/>
                <w:sz w:val="22"/>
                <w:szCs w:val="22"/>
                <w:lang w:val="uk-UA"/>
              </w:rPr>
              <w:t>;</w:t>
            </w:r>
          </w:p>
          <w:p w14:paraId="335B35EF" w14:textId="77777777" w:rsidR="00B859F2" w:rsidRPr="00E16672" w:rsidRDefault="00B859F2" w:rsidP="00B859F2">
            <w:pPr>
              <w:ind w:firstLine="36"/>
              <w:jc w:val="left"/>
              <w:rPr>
                <w:rFonts w:ascii="Times New Roman" w:hAnsi="Times New Roman"/>
                <w:color w:val="000000"/>
                <w:sz w:val="22"/>
                <w:szCs w:val="22"/>
                <w:lang w:val="uk-UA"/>
              </w:rPr>
            </w:pPr>
          </w:p>
          <w:p w14:paraId="4D30CDFE" w14:textId="77777777" w:rsidR="00B859F2" w:rsidRPr="00E16672" w:rsidRDefault="00B859F2" w:rsidP="00B859F2">
            <w:pPr>
              <w:ind w:firstLine="36"/>
              <w:jc w:val="left"/>
              <w:rPr>
                <w:rFonts w:ascii="Times New Roman" w:hAnsi="Times New Roman"/>
                <w:color w:val="000000"/>
                <w:sz w:val="22"/>
                <w:szCs w:val="22"/>
                <w:lang w:val="uk-UA"/>
              </w:rPr>
            </w:pPr>
          </w:p>
          <w:p w14:paraId="645B5DA4" w14:textId="77777777" w:rsidR="00B859F2" w:rsidRPr="00E16672" w:rsidRDefault="00B859F2" w:rsidP="00B859F2">
            <w:pPr>
              <w:ind w:firstLine="36"/>
              <w:jc w:val="left"/>
              <w:rPr>
                <w:rFonts w:ascii="Times New Roman" w:hAnsi="Times New Roman"/>
                <w:color w:val="000000"/>
                <w:sz w:val="22"/>
                <w:szCs w:val="22"/>
                <w:lang w:val="uk-UA"/>
              </w:rPr>
            </w:pPr>
            <w:r w:rsidRPr="00E16672">
              <w:rPr>
                <w:rFonts w:ascii="Times New Roman" w:hAnsi="Times New Roman"/>
                <w:color w:val="000000"/>
                <w:sz w:val="22"/>
                <w:szCs w:val="22"/>
                <w:lang w:val="uk-UA"/>
              </w:rPr>
              <w:t xml:space="preserve"> </w:t>
            </w:r>
            <w:proofErr w:type="spellStart"/>
            <w:r w:rsidRPr="00E16672">
              <w:rPr>
                <w:rFonts w:ascii="Times New Roman" w:hAnsi="Times New Roman"/>
                <w:color w:val="000000"/>
                <w:sz w:val="22"/>
                <w:szCs w:val="22"/>
                <w:lang w:val="uk-UA"/>
              </w:rPr>
              <w:t>because</w:t>
            </w:r>
            <w:proofErr w:type="spellEnd"/>
            <w:r w:rsidRPr="00E16672">
              <w:rPr>
                <w:rFonts w:ascii="Times New Roman" w:hAnsi="Times New Roman"/>
                <w:color w:val="000000"/>
                <w:sz w:val="22"/>
                <w:szCs w:val="22"/>
                <w:lang w:val="uk-UA"/>
              </w:rPr>
              <w:t xml:space="preserve"> </w:t>
            </w:r>
            <w:proofErr w:type="spellStart"/>
            <w:r w:rsidRPr="00E16672">
              <w:rPr>
                <w:rFonts w:ascii="Times New Roman" w:hAnsi="Times New Roman"/>
                <w:color w:val="000000"/>
                <w:sz w:val="22"/>
                <w:szCs w:val="22"/>
                <w:lang w:val="uk-UA"/>
              </w:rPr>
              <w:t>of</w:t>
            </w:r>
            <w:proofErr w:type="spellEnd"/>
            <w:r w:rsidRPr="00E16672">
              <w:rPr>
                <w:rFonts w:ascii="Times New Roman" w:hAnsi="Times New Roman"/>
                <w:color w:val="000000"/>
                <w:sz w:val="22"/>
                <w:szCs w:val="22"/>
                <w:lang w:val="uk-UA"/>
              </w:rPr>
              <w:t xml:space="preserve"> ______________________________</w:t>
            </w:r>
          </w:p>
          <w:p w14:paraId="20244AA6" w14:textId="77777777" w:rsidR="00B859F2" w:rsidRPr="00E16672" w:rsidRDefault="00B859F2" w:rsidP="00B859F2">
            <w:pPr>
              <w:ind w:firstLine="36"/>
              <w:jc w:val="left"/>
              <w:rPr>
                <w:rFonts w:ascii="Times New Roman" w:hAnsi="Times New Roman"/>
                <w:color w:val="000000"/>
                <w:sz w:val="22"/>
                <w:szCs w:val="22"/>
                <w:lang w:val="uk-UA"/>
              </w:rPr>
            </w:pPr>
            <w:r w:rsidRPr="00E16672">
              <w:rPr>
                <w:rFonts w:ascii="Times New Roman" w:hAnsi="Times New Roman"/>
                <w:color w:val="000000"/>
                <w:sz w:val="22"/>
                <w:szCs w:val="22"/>
                <w:lang w:val="uk-UA"/>
              </w:rPr>
              <w:t xml:space="preserve"> ______________________________________</w:t>
            </w:r>
          </w:p>
          <w:p w14:paraId="2B5095A0" w14:textId="77777777" w:rsidR="00B859F2" w:rsidRPr="00E16672" w:rsidRDefault="00B859F2" w:rsidP="00B859F2">
            <w:pPr>
              <w:ind w:firstLine="36"/>
              <w:jc w:val="left"/>
              <w:rPr>
                <w:rFonts w:ascii="Times New Roman" w:hAnsi="Times New Roman"/>
                <w:b/>
                <w:sz w:val="24"/>
                <w:lang w:val="uk-UA"/>
              </w:rPr>
            </w:pPr>
            <w:r w:rsidRPr="00E16672">
              <w:rPr>
                <w:rFonts w:ascii="Times New Roman" w:hAnsi="Times New Roman"/>
                <w:color w:val="000000"/>
                <w:sz w:val="22"/>
                <w:szCs w:val="22"/>
                <w:lang w:val="uk-UA"/>
              </w:rPr>
              <w:t xml:space="preserve"> ______________________________________</w:t>
            </w:r>
          </w:p>
          <w:p w14:paraId="4D88F45D" w14:textId="77777777" w:rsidR="00B859F2" w:rsidRPr="00E16672" w:rsidRDefault="00B859F2" w:rsidP="00B859F2">
            <w:pPr>
              <w:ind w:firstLine="36"/>
              <w:jc w:val="left"/>
              <w:rPr>
                <w:rFonts w:ascii="Times New Roman" w:hAnsi="Times New Roman"/>
                <w:color w:val="000000"/>
                <w:sz w:val="22"/>
                <w:szCs w:val="22"/>
                <w:lang w:val="uk-UA"/>
              </w:rPr>
            </w:pPr>
            <w:r w:rsidRPr="00E16672">
              <w:rPr>
                <w:rFonts w:ascii="Times New Roman" w:hAnsi="Times New Roman"/>
                <w:color w:val="000000"/>
                <w:sz w:val="22"/>
                <w:szCs w:val="22"/>
                <w:lang w:val="uk-UA"/>
              </w:rPr>
              <w:t>(</w:t>
            </w:r>
            <w:proofErr w:type="spellStart"/>
            <w:r w:rsidRPr="00E16672">
              <w:rPr>
                <w:rFonts w:ascii="Times New Roman" w:hAnsi="Times New Roman"/>
                <w:color w:val="000000"/>
                <w:sz w:val="22"/>
                <w:szCs w:val="22"/>
                <w:lang w:val="uk-UA"/>
              </w:rPr>
              <w:t>reason</w:t>
            </w:r>
            <w:proofErr w:type="spellEnd"/>
            <w:r w:rsidRPr="00E16672">
              <w:rPr>
                <w:rFonts w:ascii="Times New Roman" w:hAnsi="Times New Roman"/>
                <w:color w:val="000000"/>
                <w:sz w:val="22"/>
                <w:szCs w:val="22"/>
                <w:lang w:val="uk-UA"/>
              </w:rPr>
              <w:t xml:space="preserve"> </w:t>
            </w:r>
            <w:proofErr w:type="spellStart"/>
            <w:r w:rsidRPr="00E16672">
              <w:rPr>
                <w:rFonts w:ascii="Times New Roman" w:hAnsi="Times New Roman"/>
                <w:color w:val="000000"/>
                <w:sz w:val="22"/>
                <w:szCs w:val="22"/>
                <w:lang w:val="uk-UA"/>
              </w:rPr>
              <w:t>for</w:t>
            </w:r>
            <w:proofErr w:type="spellEnd"/>
            <w:r w:rsidRPr="00E16672">
              <w:rPr>
                <w:rFonts w:ascii="Times New Roman" w:hAnsi="Times New Roman"/>
                <w:color w:val="000000"/>
                <w:sz w:val="22"/>
                <w:szCs w:val="22"/>
                <w:lang w:val="uk-UA"/>
              </w:rPr>
              <w:t xml:space="preserve"> </w:t>
            </w:r>
            <w:proofErr w:type="spellStart"/>
            <w:r w:rsidRPr="00E16672">
              <w:rPr>
                <w:rFonts w:ascii="Times New Roman" w:hAnsi="Times New Roman"/>
                <w:color w:val="000000"/>
                <w:sz w:val="22"/>
                <w:szCs w:val="22"/>
                <w:lang w:val="uk-UA"/>
              </w:rPr>
              <w:t>refusal</w:t>
            </w:r>
            <w:proofErr w:type="spellEnd"/>
            <w:r w:rsidRPr="00E16672">
              <w:rPr>
                <w:rFonts w:ascii="Times New Roman" w:hAnsi="Times New Roman"/>
                <w:color w:val="000000"/>
                <w:sz w:val="22"/>
                <w:szCs w:val="22"/>
                <w:lang w:val="uk-UA"/>
              </w:rPr>
              <w:t>)</w:t>
            </w:r>
          </w:p>
          <w:p w14:paraId="1A137A71" w14:textId="77777777" w:rsidR="00B859F2" w:rsidRPr="00E16672" w:rsidRDefault="00B859F2" w:rsidP="00B859F2">
            <w:pPr>
              <w:rPr>
                <w:rFonts w:ascii="Times New Roman" w:hAnsi="Times New Roman"/>
                <w:b/>
                <w:sz w:val="24"/>
                <w:lang w:val="uk-UA"/>
              </w:rPr>
            </w:pPr>
          </w:p>
        </w:tc>
      </w:tr>
    </w:tbl>
    <w:p w14:paraId="3A6D7ACE" w14:textId="77777777" w:rsidR="00B859F2" w:rsidRPr="00E16672" w:rsidRDefault="00B859F2" w:rsidP="00E20CB1">
      <w:pPr>
        <w:pStyle w:val="6"/>
        <w:rPr>
          <w:rFonts w:ascii="Times New Roman" w:hAnsi="Times New Roman"/>
          <w:lang w:val="uk-UA"/>
        </w:rPr>
      </w:pPr>
    </w:p>
    <w:p w14:paraId="150CF267" w14:textId="77777777" w:rsidR="00B859F2" w:rsidRPr="00E16672" w:rsidRDefault="00B859F2" w:rsidP="00E20CB1">
      <w:pPr>
        <w:pStyle w:val="6"/>
        <w:rPr>
          <w:rFonts w:ascii="Times New Roman" w:hAnsi="Times New Roman"/>
          <w:lang w:val="uk-UA"/>
        </w:rPr>
      </w:pPr>
    </w:p>
    <w:p w14:paraId="2CBC0A6C" w14:textId="77777777" w:rsidR="00B859F2" w:rsidRPr="00E16672" w:rsidRDefault="00B859F2" w:rsidP="00E20CB1">
      <w:pPr>
        <w:pStyle w:val="6"/>
        <w:rPr>
          <w:rFonts w:ascii="Times New Roman" w:hAnsi="Times New Roman"/>
          <w:lang w:val="uk-UA"/>
        </w:rPr>
      </w:pPr>
    </w:p>
    <w:p w14:paraId="44E8A322" w14:textId="77777777" w:rsidR="00E20CB1" w:rsidRPr="00E16672" w:rsidRDefault="00E20CB1" w:rsidP="00E20CB1">
      <w:pPr>
        <w:rPr>
          <w:rFonts w:ascii="Times New Roman" w:hAnsi="Times New Roman"/>
          <w:color w:val="000000"/>
          <w:sz w:val="28"/>
          <w:lang w:val="uk-UA"/>
        </w:rPr>
      </w:pPr>
    </w:p>
    <w:p w14:paraId="2BC71749" w14:textId="77777777" w:rsidR="002506EC" w:rsidRPr="00E16672" w:rsidRDefault="002506EC" w:rsidP="002506EC">
      <w:pPr>
        <w:ind w:firstLine="0"/>
        <w:jc w:val="left"/>
        <w:rPr>
          <w:rFonts w:ascii="Times New Roman" w:hAnsi="Times New Roman"/>
          <w:szCs w:val="20"/>
          <w:lang w:val="uk-UA"/>
        </w:rPr>
      </w:pPr>
      <w:r w:rsidRPr="00E16672">
        <w:rPr>
          <w:rFonts w:ascii="Times New Roman" w:hAnsi="Times New Roman"/>
          <w:bCs/>
          <w:szCs w:val="20"/>
          <w:lang w:val="uk-UA"/>
        </w:rPr>
        <w:t>Відповідальна особа Депозитарної установи</w:t>
      </w:r>
      <w:r w:rsidRPr="00E16672">
        <w:rPr>
          <w:rFonts w:ascii="Times New Roman" w:hAnsi="Times New Roman"/>
          <w:b/>
          <w:bCs/>
          <w:szCs w:val="20"/>
          <w:lang w:val="uk-UA"/>
        </w:rPr>
        <w:t xml:space="preserve">/       </w:t>
      </w:r>
      <w:r w:rsidRPr="00E16672">
        <w:rPr>
          <w:rFonts w:ascii="Times New Roman" w:hAnsi="Times New Roman"/>
          <w:bCs/>
          <w:szCs w:val="20"/>
          <w:lang w:val="uk-UA"/>
        </w:rPr>
        <w:t xml:space="preserve"> _________________</w:t>
      </w:r>
      <w:r w:rsidRPr="00E16672">
        <w:rPr>
          <w:rFonts w:ascii="Times New Roman" w:hAnsi="Times New Roman"/>
          <w:szCs w:val="20"/>
          <w:lang w:val="uk-UA"/>
        </w:rPr>
        <w:t xml:space="preserve">     __________________</w:t>
      </w:r>
    </w:p>
    <w:p w14:paraId="0FD50D63" w14:textId="77777777" w:rsidR="002506EC" w:rsidRPr="00E16672" w:rsidRDefault="002506EC" w:rsidP="002506EC">
      <w:pPr>
        <w:ind w:firstLine="0"/>
        <w:jc w:val="left"/>
        <w:rPr>
          <w:rFonts w:ascii="Times New Roman" w:hAnsi="Times New Roman"/>
          <w:i/>
          <w:sz w:val="18"/>
          <w:szCs w:val="18"/>
          <w:lang w:val="uk-UA"/>
        </w:rPr>
      </w:pPr>
      <w:r w:rsidRPr="00E16672">
        <w:rPr>
          <w:rFonts w:ascii="Times New Roman" w:hAnsi="Times New Roman"/>
          <w:bCs/>
          <w:szCs w:val="20"/>
          <w:lang w:val="en-US"/>
        </w:rPr>
        <w:t>A</w:t>
      </w:r>
      <w:proofErr w:type="spellStart"/>
      <w:r w:rsidRPr="00E16672">
        <w:rPr>
          <w:rFonts w:ascii="Times New Roman" w:hAnsi="Times New Roman"/>
          <w:bCs/>
          <w:szCs w:val="20"/>
          <w:lang w:val="uk-UA"/>
        </w:rPr>
        <w:t>uthorized</w:t>
      </w:r>
      <w:proofErr w:type="spellEnd"/>
      <w:r w:rsidRPr="00E16672">
        <w:rPr>
          <w:rFonts w:ascii="Times New Roman" w:hAnsi="Times New Roman"/>
          <w:bCs/>
          <w:szCs w:val="20"/>
          <w:lang w:val="uk-UA"/>
        </w:rPr>
        <w:t xml:space="preserve"> </w:t>
      </w:r>
      <w:proofErr w:type="spellStart"/>
      <w:proofErr w:type="gramStart"/>
      <w:r w:rsidRPr="00E16672">
        <w:rPr>
          <w:rFonts w:ascii="Times New Roman" w:hAnsi="Times New Roman"/>
          <w:bCs/>
          <w:szCs w:val="20"/>
          <w:lang w:val="uk-UA"/>
        </w:rPr>
        <w:t>person</w:t>
      </w:r>
      <w:proofErr w:type="spellEnd"/>
      <w:r w:rsidRPr="00E16672">
        <w:rPr>
          <w:rFonts w:ascii="Times New Roman" w:hAnsi="Times New Roman"/>
          <w:bCs/>
          <w:szCs w:val="20"/>
          <w:lang w:val="uk-UA"/>
        </w:rPr>
        <w:t xml:space="preserve">  </w:t>
      </w:r>
      <w:proofErr w:type="spellStart"/>
      <w:r w:rsidRPr="00E16672">
        <w:rPr>
          <w:rFonts w:ascii="Times New Roman" w:hAnsi="Times New Roman"/>
          <w:bCs/>
          <w:szCs w:val="20"/>
          <w:lang w:val="uk-UA"/>
        </w:rPr>
        <w:t>of</w:t>
      </w:r>
      <w:proofErr w:type="spellEnd"/>
      <w:proofErr w:type="gramEnd"/>
      <w:r w:rsidRPr="00E16672">
        <w:rPr>
          <w:rFonts w:ascii="Times New Roman" w:hAnsi="Times New Roman"/>
          <w:bCs/>
          <w:szCs w:val="20"/>
          <w:lang w:val="uk-UA"/>
        </w:rPr>
        <w:t xml:space="preserve"> </w:t>
      </w:r>
      <w:proofErr w:type="spellStart"/>
      <w:r w:rsidRPr="00E16672">
        <w:rPr>
          <w:rFonts w:ascii="Times New Roman" w:hAnsi="Times New Roman"/>
          <w:bCs/>
          <w:szCs w:val="20"/>
          <w:lang w:val="uk-UA"/>
        </w:rPr>
        <w:t>Depository</w:t>
      </w:r>
      <w:proofErr w:type="spellEnd"/>
      <w:r w:rsidRPr="00E16672">
        <w:rPr>
          <w:rFonts w:ascii="Times New Roman" w:hAnsi="Times New Roman"/>
          <w:bCs/>
          <w:szCs w:val="20"/>
          <w:lang w:val="uk-UA"/>
        </w:rPr>
        <w:t xml:space="preserve"> </w:t>
      </w:r>
      <w:proofErr w:type="spellStart"/>
      <w:r w:rsidRPr="00E16672">
        <w:rPr>
          <w:rFonts w:ascii="Times New Roman" w:hAnsi="Times New Roman"/>
          <w:bCs/>
          <w:szCs w:val="20"/>
          <w:lang w:val="uk-UA"/>
        </w:rPr>
        <w:t>institution</w:t>
      </w:r>
      <w:proofErr w:type="spellEnd"/>
      <w:r w:rsidRPr="00E16672">
        <w:rPr>
          <w:rFonts w:ascii="Times New Roman" w:hAnsi="Times New Roman"/>
          <w:bCs/>
          <w:szCs w:val="20"/>
          <w:lang w:val="uk-UA"/>
        </w:rPr>
        <w:t>:</w:t>
      </w:r>
      <w:r w:rsidRPr="00E16672">
        <w:rPr>
          <w:rFonts w:ascii="Times New Roman" w:hAnsi="Times New Roman"/>
          <w:i/>
          <w:szCs w:val="20"/>
          <w:lang w:val="uk-UA"/>
        </w:rPr>
        <w:t xml:space="preserve">  </w:t>
      </w:r>
      <w:r w:rsidRPr="00E16672">
        <w:rPr>
          <w:rFonts w:ascii="Times New Roman" w:hAnsi="Times New Roman"/>
          <w:szCs w:val="20"/>
          <w:lang w:val="uk-UA"/>
        </w:rPr>
        <w:t xml:space="preserve">        </w:t>
      </w:r>
      <w:r w:rsidRPr="00E16672">
        <w:rPr>
          <w:rFonts w:ascii="Times New Roman" w:hAnsi="Times New Roman"/>
          <w:i/>
          <w:sz w:val="18"/>
          <w:szCs w:val="18"/>
          <w:lang w:val="uk-UA"/>
        </w:rPr>
        <w:t>В.П., підпис</w:t>
      </w:r>
      <w:r w:rsidRPr="00E16672">
        <w:rPr>
          <w:rFonts w:ascii="Times New Roman" w:hAnsi="Times New Roman"/>
          <w:sz w:val="18"/>
          <w:szCs w:val="18"/>
          <w:lang w:val="uk-UA"/>
        </w:rPr>
        <w:t>/</w:t>
      </w:r>
      <w:r w:rsidRPr="00E16672">
        <w:rPr>
          <w:rFonts w:ascii="Times New Roman" w:hAnsi="Times New Roman"/>
          <w:i/>
          <w:sz w:val="18"/>
          <w:szCs w:val="18"/>
          <w:lang w:val="uk-UA"/>
        </w:rPr>
        <w:tab/>
        <w:t xml:space="preserve">                      Прізвище, ім’я, по батькові (за наявності)</w:t>
      </w:r>
    </w:p>
    <w:p w14:paraId="7B6F357A" w14:textId="77777777" w:rsidR="002506EC" w:rsidRPr="00E16672" w:rsidRDefault="002506EC" w:rsidP="002506EC">
      <w:pPr>
        <w:ind w:firstLine="0"/>
        <w:jc w:val="left"/>
        <w:rPr>
          <w:rFonts w:ascii="Times New Roman" w:hAnsi="Times New Roman"/>
          <w:i/>
          <w:sz w:val="18"/>
          <w:szCs w:val="18"/>
          <w:lang w:val="uk-UA"/>
        </w:rPr>
      </w:pPr>
      <w:r w:rsidRPr="00E16672">
        <w:rPr>
          <w:rFonts w:ascii="Times New Roman" w:hAnsi="Times New Roman"/>
          <w:b/>
          <w:i/>
          <w:sz w:val="18"/>
          <w:szCs w:val="18"/>
          <w:lang w:val="uk-UA"/>
        </w:rPr>
        <w:tab/>
      </w:r>
      <w:r w:rsidRPr="00E16672">
        <w:rPr>
          <w:rFonts w:ascii="Times New Roman" w:hAnsi="Times New Roman"/>
          <w:i/>
          <w:sz w:val="18"/>
          <w:szCs w:val="18"/>
          <w:lang w:val="uk-UA"/>
        </w:rPr>
        <w:t xml:space="preserve">                                                                            </w:t>
      </w:r>
      <w:proofErr w:type="spellStart"/>
      <w:r w:rsidRPr="00E16672">
        <w:rPr>
          <w:rFonts w:ascii="Times New Roman" w:hAnsi="Times New Roman"/>
          <w:i/>
          <w:sz w:val="18"/>
          <w:szCs w:val="18"/>
          <w:lang w:val="uk-UA"/>
        </w:rPr>
        <w:t>Seal</w:t>
      </w:r>
      <w:proofErr w:type="spellEnd"/>
      <w:r w:rsidRPr="00E16672">
        <w:rPr>
          <w:rFonts w:ascii="Times New Roman" w:hAnsi="Times New Roman"/>
          <w:i/>
          <w:sz w:val="18"/>
          <w:szCs w:val="18"/>
          <w:lang w:val="uk-UA"/>
        </w:rPr>
        <w:t xml:space="preserve">,  </w:t>
      </w:r>
      <w:proofErr w:type="spellStart"/>
      <w:r w:rsidRPr="00E16672">
        <w:rPr>
          <w:rFonts w:ascii="Times New Roman" w:hAnsi="Times New Roman"/>
          <w:i/>
          <w:sz w:val="18"/>
          <w:szCs w:val="18"/>
          <w:lang w:val="uk-UA"/>
        </w:rPr>
        <w:t>signature</w:t>
      </w:r>
      <w:proofErr w:type="spellEnd"/>
      <w:r w:rsidRPr="00E16672">
        <w:rPr>
          <w:rFonts w:ascii="Times New Roman" w:hAnsi="Times New Roman"/>
          <w:i/>
          <w:sz w:val="18"/>
          <w:szCs w:val="18"/>
          <w:lang w:val="uk-UA"/>
        </w:rPr>
        <w:t xml:space="preserve">      </w:t>
      </w:r>
      <w:r w:rsidRPr="00A26EFC">
        <w:rPr>
          <w:rFonts w:ascii="Times New Roman" w:hAnsi="Times New Roman"/>
          <w:i/>
          <w:sz w:val="18"/>
          <w:szCs w:val="18"/>
          <w:lang w:val="uk-UA"/>
        </w:rPr>
        <w:t xml:space="preserve">               </w:t>
      </w:r>
      <w:proofErr w:type="spellStart"/>
      <w:r w:rsidRPr="00E16672">
        <w:rPr>
          <w:rFonts w:ascii="Times New Roman" w:hAnsi="Times New Roman"/>
          <w:i/>
          <w:sz w:val="18"/>
          <w:szCs w:val="18"/>
          <w:lang w:val="uk-UA"/>
        </w:rPr>
        <w:t>surname</w:t>
      </w:r>
      <w:proofErr w:type="spellEnd"/>
      <w:r w:rsidRPr="00E16672">
        <w:rPr>
          <w:rFonts w:ascii="Times New Roman" w:hAnsi="Times New Roman"/>
          <w:i/>
          <w:sz w:val="18"/>
          <w:szCs w:val="18"/>
          <w:lang w:val="uk-UA"/>
        </w:rPr>
        <w:t xml:space="preserve">, </w:t>
      </w:r>
      <w:proofErr w:type="spellStart"/>
      <w:r w:rsidRPr="00E16672">
        <w:rPr>
          <w:rFonts w:ascii="Times New Roman" w:hAnsi="Times New Roman"/>
          <w:i/>
          <w:sz w:val="18"/>
          <w:szCs w:val="18"/>
          <w:lang w:val="uk-UA"/>
        </w:rPr>
        <w:t>name</w:t>
      </w:r>
      <w:proofErr w:type="spellEnd"/>
      <w:r w:rsidRPr="00E16672">
        <w:rPr>
          <w:rFonts w:ascii="Times New Roman" w:hAnsi="Times New Roman"/>
          <w:i/>
          <w:sz w:val="18"/>
          <w:szCs w:val="18"/>
          <w:lang w:val="uk-UA"/>
        </w:rPr>
        <w:t xml:space="preserve">, </w:t>
      </w:r>
      <w:proofErr w:type="spellStart"/>
      <w:r w:rsidRPr="00E16672">
        <w:rPr>
          <w:rFonts w:ascii="Times New Roman" w:hAnsi="Times New Roman"/>
          <w:i/>
          <w:sz w:val="18"/>
          <w:szCs w:val="18"/>
          <w:lang w:val="uk-UA"/>
        </w:rPr>
        <w:t>patronymic</w:t>
      </w:r>
      <w:proofErr w:type="spellEnd"/>
      <w:r w:rsidRPr="00E16672">
        <w:rPr>
          <w:rFonts w:ascii="Times New Roman" w:hAnsi="Times New Roman"/>
          <w:i/>
          <w:sz w:val="18"/>
          <w:szCs w:val="18"/>
          <w:lang w:val="uk-UA"/>
        </w:rPr>
        <w:t xml:space="preserve"> (</w:t>
      </w:r>
      <w:proofErr w:type="spellStart"/>
      <w:r w:rsidRPr="00E16672">
        <w:rPr>
          <w:rFonts w:ascii="Times New Roman" w:hAnsi="Times New Roman"/>
          <w:i/>
          <w:sz w:val="18"/>
          <w:szCs w:val="18"/>
          <w:lang w:val="uk-UA"/>
        </w:rPr>
        <w:t>if</w:t>
      </w:r>
      <w:proofErr w:type="spellEnd"/>
      <w:r w:rsidRPr="00E16672">
        <w:rPr>
          <w:rFonts w:ascii="Times New Roman" w:hAnsi="Times New Roman"/>
          <w:i/>
          <w:sz w:val="18"/>
          <w:szCs w:val="18"/>
          <w:lang w:val="uk-UA"/>
        </w:rPr>
        <w:t xml:space="preserve"> </w:t>
      </w:r>
      <w:proofErr w:type="spellStart"/>
      <w:r w:rsidRPr="00E16672">
        <w:rPr>
          <w:rFonts w:ascii="Times New Roman" w:hAnsi="Times New Roman"/>
          <w:i/>
          <w:sz w:val="18"/>
          <w:szCs w:val="18"/>
          <w:lang w:val="uk-UA"/>
        </w:rPr>
        <w:t>any</w:t>
      </w:r>
      <w:proofErr w:type="spellEnd"/>
      <w:r w:rsidRPr="00E16672">
        <w:rPr>
          <w:rFonts w:ascii="Times New Roman" w:hAnsi="Times New Roman"/>
          <w:i/>
          <w:sz w:val="18"/>
          <w:szCs w:val="18"/>
          <w:lang w:val="uk-UA"/>
        </w:rPr>
        <w:t>)</w:t>
      </w:r>
    </w:p>
    <w:p w14:paraId="74637118" w14:textId="77777777" w:rsidR="00602650" w:rsidRDefault="00602650" w:rsidP="009B26AC">
      <w:pPr>
        <w:ind w:left="142" w:hanging="142"/>
        <w:jc w:val="center"/>
        <w:rPr>
          <w:rFonts w:ascii="Times New Roman" w:hAnsi="Times New Roman"/>
          <w:bCs/>
          <w:color w:val="000000"/>
          <w:sz w:val="18"/>
          <w:szCs w:val="18"/>
          <w:lang w:val="uk-UA"/>
        </w:rPr>
      </w:pPr>
    </w:p>
    <w:p w14:paraId="25F69597" w14:textId="77777777" w:rsidR="00602650" w:rsidRDefault="00602650" w:rsidP="009B26AC">
      <w:pPr>
        <w:ind w:left="142" w:hanging="142"/>
        <w:jc w:val="center"/>
        <w:rPr>
          <w:rFonts w:ascii="Times New Roman" w:hAnsi="Times New Roman"/>
          <w:bCs/>
          <w:color w:val="000000"/>
          <w:sz w:val="18"/>
          <w:szCs w:val="18"/>
          <w:lang w:val="uk-UA"/>
        </w:rPr>
      </w:pPr>
    </w:p>
    <w:p w14:paraId="7FD57CAC" w14:textId="77777777" w:rsidR="00602650" w:rsidRDefault="00602650" w:rsidP="009B26AC">
      <w:pPr>
        <w:ind w:left="142" w:hanging="142"/>
        <w:jc w:val="center"/>
        <w:rPr>
          <w:rFonts w:ascii="Times New Roman" w:hAnsi="Times New Roman"/>
          <w:bCs/>
          <w:color w:val="000000"/>
          <w:sz w:val="18"/>
          <w:szCs w:val="18"/>
          <w:lang w:val="uk-UA"/>
        </w:rPr>
      </w:pPr>
    </w:p>
    <w:p w14:paraId="3C1CC2E1" w14:textId="77777777" w:rsidR="00602650" w:rsidRDefault="00602650" w:rsidP="009B26AC">
      <w:pPr>
        <w:ind w:left="142" w:hanging="142"/>
        <w:jc w:val="center"/>
        <w:rPr>
          <w:rFonts w:ascii="Times New Roman" w:hAnsi="Times New Roman"/>
          <w:bCs/>
          <w:color w:val="000000"/>
          <w:sz w:val="18"/>
          <w:szCs w:val="18"/>
          <w:lang w:val="uk-UA"/>
        </w:rPr>
      </w:pPr>
    </w:p>
    <w:p w14:paraId="366CF6E6" w14:textId="77777777" w:rsidR="00602650" w:rsidRDefault="00602650" w:rsidP="009B26AC">
      <w:pPr>
        <w:ind w:left="142" w:hanging="142"/>
        <w:jc w:val="center"/>
        <w:rPr>
          <w:rFonts w:ascii="Times New Roman" w:hAnsi="Times New Roman"/>
          <w:bCs/>
          <w:color w:val="000000"/>
          <w:sz w:val="18"/>
          <w:szCs w:val="18"/>
          <w:lang w:val="uk-UA"/>
        </w:rPr>
      </w:pPr>
    </w:p>
    <w:p w14:paraId="0D48A223" w14:textId="77777777" w:rsidR="00602650" w:rsidRDefault="00602650" w:rsidP="009B26AC">
      <w:pPr>
        <w:ind w:left="142" w:hanging="142"/>
        <w:jc w:val="center"/>
        <w:rPr>
          <w:rFonts w:ascii="Times New Roman" w:hAnsi="Times New Roman"/>
          <w:bCs/>
          <w:color w:val="000000"/>
          <w:sz w:val="18"/>
          <w:szCs w:val="18"/>
          <w:lang w:val="uk-UA"/>
        </w:rPr>
      </w:pPr>
    </w:p>
    <w:p w14:paraId="3680BE41" w14:textId="77777777" w:rsidR="00602650" w:rsidRDefault="00602650" w:rsidP="009B26AC">
      <w:pPr>
        <w:ind w:left="142" w:hanging="142"/>
        <w:jc w:val="center"/>
        <w:rPr>
          <w:rFonts w:ascii="Times New Roman" w:hAnsi="Times New Roman"/>
          <w:bCs/>
          <w:color w:val="000000"/>
          <w:sz w:val="18"/>
          <w:szCs w:val="18"/>
          <w:lang w:val="uk-UA"/>
        </w:rPr>
      </w:pPr>
    </w:p>
    <w:p w14:paraId="040F9D88" w14:textId="77777777" w:rsidR="00602650" w:rsidRDefault="00602650" w:rsidP="009B26AC">
      <w:pPr>
        <w:ind w:left="142" w:hanging="142"/>
        <w:jc w:val="center"/>
        <w:rPr>
          <w:rFonts w:ascii="Times New Roman" w:hAnsi="Times New Roman"/>
          <w:bCs/>
          <w:color w:val="000000"/>
          <w:sz w:val="18"/>
          <w:szCs w:val="18"/>
          <w:lang w:val="uk-UA"/>
        </w:rPr>
      </w:pPr>
    </w:p>
    <w:p w14:paraId="661B1CAE" w14:textId="77777777" w:rsidR="00602650" w:rsidRDefault="00602650" w:rsidP="009B26AC">
      <w:pPr>
        <w:ind w:left="142" w:hanging="142"/>
        <w:jc w:val="center"/>
        <w:rPr>
          <w:rFonts w:ascii="Times New Roman" w:hAnsi="Times New Roman"/>
          <w:bCs/>
          <w:color w:val="000000"/>
          <w:sz w:val="18"/>
          <w:szCs w:val="18"/>
          <w:lang w:val="uk-UA"/>
        </w:rPr>
      </w:pPr>
    </w:p>
    <w:p w14:paraId="39283AD8" w14:textId="77777777" w:rsidR="00602650" w:rsidRDefault="00602650" w:rsidP="009B26AC">
      <w:pPr>
        <w:ind w:left="142" w:hanging="142"/>
        <w:jc w:val="center"/>
        <w:rPr>
          <w:rFonts w:ascii="Times New Roman" w:hAnsi="Times New Roman"/>
          <w:bCs/>
          <w:color w:val="000000"/>
          <w:sz w:val="18"/>
          <w:szCs w:val="18"/>
          <w:lang w:val="uk-UA"/>
        </w:rPr>
      </w:pPr>
    </w:p>
    <w:p w14:paraId="57663F11" w14:textId="77777777" w:rsidR="00602650" w:rsidRDefault="00602650" w:rsidP="009B26AC">
      <w:pPr>
        <w:ind w:left="142" w:hanging="142"/>
        <w:jc w:val="center"/>
        <w:rPr>
          <w:rFonts w:ascii="Times New Roman" w:hAnsi="Times New Roman"/>
          <w:bCs/>
          <w:color w:val="000000"/>
          <w:sz w:val="18"/>
          <w:szCs w:val="18"/>
          <w:lang w:val="uk-UA"/>
        </w:rPr>
      </w:pPr>
    </w:p>
    <w:p w14:paraId="088E5DC6" w14:textId="77777777" w:rsidR="00602650" w:rsidRDefault="00602650" w:rsidP="009B26AC">
      <w:pPr>
        <w:ind w:left="142" w:hanging="142"/>
        <w:jc w:val="center"/>
        <w:rPr>
          <w:rFonts w:ascii="Times New Roman" w:hAnsi="Times New Roman"/>
          <w:bCs/>
          <w:color w:val="000000"/>
          <w:sz w:val="18"/>
          <w:szCs w:val="18"/>
          <w:lang w:val="uk-UA"/>
        </w:rPr>
      </w:pPr>
    </w:p>
    <w:p w14:paraId="58B02C4D" w14:textId="77777777" w:rsidR="00602650" w:rsidRDefault="00602650" w:rsidP="009B26AC">
      <w:pPr>
        <w:ind w:left="142" w:hanging="142"/>
        <w:jc w:val="center"/>
        <w:rPr>
          <w:rFonts w:ascii="Times New Roman" w:hAnsi="Times New Roman"/>
          <w:bCs/>
          <w:color w:val="000000"/>
          <w:sz w:val="18"/>
          <w:szCs w:val="18"/>
          <w:lang w:val="uk-UA"/>
        </w:rPr>
      </w:pPr>
    </w:p>
    <w:p w14:paraId="79A068BA" w14:textId="77777777" w:rsidR="00602650" w:rsidRDefault="00602650" w:rsidP="009B26AC">
      <w:pPr>
        <w:ind w:left="142" w:hanging="142"/>
        <w:jc w:val="center"/>
        <w:rPr>
          <w:rFonts w:ascii="Times New Roman" w:hAnsi="Times New Roman"/>
          <w:bCs/>
          <w:color w:val="000000"/>
          <w:sz w:val="18"/>
          <w:szCs w:val="18"/>
          <w:lang w:val="uk-UA"/>
        </w:rPr>
      </w:pPr>
    </w:p>
    <w:p w14:paraId="19DE90D9" w14:textId="77777777" w:rsidR="00602650" w:rsidRDefault="00602650" w:rsidP="009B26AC">
      <w:pPr>
        <w:ind w:left="142" w:hanging="142"/>
        <w:jc w:val="center"/>
        <w:rPr>
          <w:rFonts w:ascii="Times New Roman" w:hAnsi="Times New Roman"/>
          <w:bCs/>
          <w:color w:val="000000"/>
          <w:sz w:val="18"/>
          <w:szCs w:val="18"/>
          <w:lang w:val="uk-UA"/>
        </w:rPr>
      </w:pPr>
    </w:p>
    <w:p w14:paraId="0A679041" w14:textId="77777777" w:rsidR="009B26AC" w:rsidRPr="00F864F1" w:rsidRDefault="009B26AC" w:rsidP="00F864F1">
      <w:pPr>
        <w:ind w:left="142" w:hanging="142"/>
        <w:jc w:val="center"/>
        <w:rPr>
          <w:rFonts w:ascii="Times New Roman" w:hAnsi="Times New Roman"/>
          <w:b/>
          <w:bCs/>
          <w:color w:val="000000"/>
          <w:sz w:val="18"/>
          <w:szCs w:val="18"/>
          <w:lang w:val="uk-UA"/>
        </w:rPr>
      </w:pPr>
      <w:r w:rsidRPr="00F864F1">
        <w:rPr>
          <w:rFonts w:ascii="Times New Roman" w:hAnsi="Times New Roman"/>
          <w:b/>
          <w:bCs/>
          <w:color w:val="000000"/>
          <w:sz w:val="18"/>
          <w:szCs w:val="18"/>
          <w:lang w:val="uk-UA"/>
        </w:rPr>
        <w:t xml:space="preserve">Депозитарна установа ТОВ </w:t>
      </w:r>
      <w:r w:rsidR="00022F5F" w:rsidRPr="00F864F1">
        <w:rPr>
          <w:rFonts w:ascii="Times New Roman" w:hAnsi="Times New Roman"/>
          <w:b/>
          <w:bCs/>
          <w:color w:val="000000"/>
          <w:sz w:val="18"/>
          <w:szCs w:val="18"/>
          <w:lang w:val="uk-UA"/>
        </w:rPr>
        <w:t>"</w:t>
      </w:r>
      <w:r w:rsidR="00E16672" w:rsidRPr="00F864F1">
        <w:rPr>
          <w:rFonts w:ascii="Times New Roman" w:hAnsi="Times New Roman"/>
          <w:b/>
          <w:bCs/>
          <w:color w:val="000000"/>
          <w:sz w:val="18"/>
          <w:szCs w:val="18"/>
          <w:lang w:val="uk-UA"/>
        </w:rPr>
        <w:t>КОМЕКС ЦІННІ ПАПЕРИ</w:t>
      </w:r>
      <w:r w:rsidR="00022F5F" w:rsidRPr="00F864F1">
        <w:rPr>
          <w:rFonts w:ascii="Times New Roman" w:hAnsi="Times New Roman"/>
          <w:b/>
          <w:bCs/>
          <w:color w:val="000000"/>
          <w:sz w:val="18"/>
          <w:szCs w:val="18"/>
          <w:lang w:val="uk-UA"/>
        </w:rPr>
        <w:t>"</w:t>
      </w:r>
      <w:r w:rsidRPr="00F864F1">
        <w:rPr>
          <w:rFonts w:ascii="Times New Roman" w:hAnsi="Times New Roman"/>
          <w:b/>
          <w:bCs/>
          <w:color w:val="000000"/>
          <w:sz w:val="18"/>
          <w:szCs w:val="18"/>
          <w:lang w:val="uk-UA"/>
        </w:rPr>
        <w:t xml:space="preserve">  ЄДРПОУ </w:t>
      </w:r>
      <w:r w:rsidR="00E16672" w:rsidRPr="00F864F1">
        <w:rPr>
          <w:rFonts w:ascii="Times New Roman" w:hAnsi="Times New Roman"/>
          <w:b/>
          <w:bCs/>
          <w:color w:val="000000"/>
          <w:sz w:val="18"/>
          <w:szCs w:val="18"/>
          <w:lang w:val="uk-UA"/>
        </w:rPr>
        <w:t>33153077</w:t>
      </w:r>
    </w:p>
    <w:p w14:paraId="4215C2AA" w14:textId="77777777" w:rsidR="009B26AC" w:rsidRPr="00E16672" w:rsidRDefault="009B26AC" w:rsidP="009B26AC">
      <w:pPr>
        <w:ind w:left="142" w:hanging="142"/>
        <w:jc w:val="center"/>
        <w:rPr>
          <w:rFonts w:ascii="Times New Roman" w:hAnsi="Times New Roman"/>
          <w:bCs/>
          <w:sz w:val="18"/>
          <w:szCs w:val="18"/>
          <w:lang w:val="uk-UA"/>
        </w:rPr>
      </w:pPr>
      <w:r w:rsidRPr="00E16672">
        <w:rPr>
          <w:rFonts w:ascii="Times New Roman" w:hAnsi="Times New Roman"/>
          <w:bCs/>
          <w:sz w:val="18"/>
          <w:szCs w:val="18"/>
          <w:lang w:val="uk-UA"/>
        </w:rPr>
        <w:t>Ліцензія серія АЕ №</w:t>
      </w:r>
      <w:r w:rsidR="00E16672" w:rsidRPr="00E16672">
        <w:rPr>
          <w:rFonts w:ascii="Times New Roman" w:hAnsi="Times New Roman"/>
          <w:bCs/>
          <w:sz w:val="18"/>
          <w:szCs w:val="18"/>
          <w:lang w:val="uk-UA"/>
        </w:rPr>
        <w:t>263429</w:t>
      </w:r>
      <w:r w:rsidRPr="00E16672">
        <w:rPr>
          <w:rFonts w:ascii="Times New Roman" w:hAnsi="Times New Roman"/>
          <w:bCs/>
          <w:sz w:val="18"/>
          <w:szCs w:val="18"/>
          <w:lang w:val="uk-UA"/>
        </w:rPr>
        <w:t xml:space="preserve"> від </w:t>
      </w:r>
      <w:r w:rsidR="006E3B0B">
        <w:rPr>
          <w:rFonts w:ascii="Times New Roman" w:hAnsi="Times New Roman"/>
          <w:bCs/>
          <w:sz w:val="18"/>
          <w:szCs w:val="18"/>
          <w:lang w:val="uk-UA"/>
        </w:rPr>
        <w:t>01 жовтня 2013</w:t>
      </w:r>
      <w:r w:rsidRPr="00E16672">
        <w:rPr>
          <w:rFonts w:ascii="Times New Roman" w:hAnsi="Times New Roman"/>
          <w:bCs/>
          <w:sz w:val="18"/>
          <w:szCs w:val="18"/>
          <w:lang w:val="uk-UA"/>
        </w:rPr>
        <w:t xml:space="preserve"> р.,</w:t>
      </w:r>
    </w:p>
    <w:p w14:paraId="57D9BE4F" w14:textId="77777777" w:rsidR="009B26AC" w:rsidRPr="00E16672" w:rsidRDefault="009B26AC" w:rsidP="009B26AC">
      <w:pPr>
        <w:jc w:val="center"/>
        <w:rPr>
          <w:rFonts w:ascii="Times New Roman" w:hAnsi="Times New Roman"/>
          <w:bCs/>
          <w:sz w:val="18"/>
          <w:szCs w:val="18"/>
          <w:lang w:val="uk-UA"/>
        </w:rPr>
      </w:pPr>
      <w:r w:rsidRPr="00E16672">
        <w:rPr>
          <w:rFonts w:ascii="Times New Roman" w:hAnsi="Times New Roman"/>
          <w:bCs/>
          <w:sz w:val="18"/>
          <w:szCs w:val="18"/>
          <w:lang w:val="uk-UA"/>
        </w:rPr>
        <w:t xml:space="preserve">Адреса: </w:t>
      </w:r>
      <w:r w:rsidR="006E3B0B">
        <w:rPr>
          <w:rFonts w:ascii="Times New Roman" w:hAnsi="Times New Roman"/>
          <w:bCs/>
          <w:sz w:val="18"/>
          <w:szCs w:val="18"/>
          <w:lang w:val="uk-UA"/>
        </w:rPr>
        <w:t xml:space="preserve">03150, </w:t>
      </w:r>
      <w:proofErr w:type="spellStart"/>
      <w:r w:rsidR="006E3B0B">
        <w:rPr>
          <w:rFonts w:ascii="Times New Roman" w:hAnsi="Times New Roman"/>
          <w:bCs/>
          <w:sz w:val="18"/>
          <w:szCs w:val="18"/>
          <w:lang w:val="uk-UA"/>
        </w:rPr>
        <w:t>м.Київ</w:t>
      </w:r>
      <w:proofErr w:type="spellEnd"/>
      <w:r w:rsidR="006E3B0B">
        <w:rPr>
          <w:rFonts w:ascii="Times New Roman" w:hAnsi="Times New Roman"/>
          <w:bCs/>
          <w:sz w:val="18"/>
          <w:szCs w:val="18"/>
          <w:lang w:val="uk-UA"/>
        </w:rPr>
        <w:t>, Велика Васильківська (колишня Червоноармійська) вул., буд. 65</w:t>
      </w:r>
    </w:p>
    <w:p w14:paraId="5766D2A3" w14:textId="77777777" w:rsidR="009B26AC" w:rsidRPr="00E16672" w:rsidRDefault="009B26AC" w:rsidP="009B26AC">
      <w:pPr>
        <w:tabs>
          <w:tab w:val="left" w:pos="288"/>
          <w:tab w:val="left" w:pos="720"/>
          <w:tab w:val="left" w:pos="1008"/>
          <w:tab w:val="left" w:pos="1584"/>
          <w:tab w:val="left" w:pos="2160"/>
          <w:tab w:val="left" w:pos="3600"/>
        </w:tabs>
        <w:ind w:right="1"/>
        <w:jc w:val="center"/>
        <w:rPr>
          <w:rFonts w:ascii="Times New Roman" w:hAnsi="Times New Roman"/>
          <w:bCs/>
          <w:sz w:val="18"/>
          <w:szCs w:val="18"/>
          <w:lang w:val="uk-UA"/>
        </w:rPr>
      </w:pPr>
      <w:r w:rsidRPr="00E16672">
        <w:rPr>
          <w:rFonts w:ascii="Times New Roman" w:hAnsi="Times New Roman"/>
          <w:bCs/>
          <w:sz w:val="18"/>
          <w:szCs w:val="18"/>
          <w:lang w:val="uk-UA"/>
        </w:rPr>
        <w:t>Рахунок в Центральному Депозитарії №100024-UA40</w:t>
      </w:r>
      <w:r w:rsidR="006E3B0B">
        <w:rPr>
          <w:rFonts w:ascii="Times New Roman" w:hAnsi="Times New Roman"/>
          <w:bCs/>
          <w:sz w:val="18"/>
          <w:szCs w:val="18"/>
          <w:lang w:val="uk-UA"/>
        </w:rPr>
        <w:t>401265</w:t>
      </w:r>
      <w:r w:rsidRPr="00E16672">
        <w:rPr>
          <w:rFonts w:ascii="Times New Roman" w:hAnsi="Times New Roman"/>
          <w:bCs/>
          <w:sz w:val="18"/>
          <w:szCs w:val="18"/>
          <w:lang w:val="uk-UA"/>
        </w:rPr>
        <w:t xml:space="preserve">, код МДО </w:t>
      </w:r>
      <w:r w:rsidR="006E3B0B">
        <w:rPr>
          <w:rFonts w:ascii="Times New Roman" w:hAnsi="Times New Roman"/>
          <w:bCs/>
          <w:sz w:val="18"/>
          <w:szCs w:val="18"/>
          <w:lang w:val="uk-UA"/>
        </w:rPr>
        <w:t>401265</w:t>
      </w:r>
    </w:p>
    <w:p w14:paraId="1EAB8D4F" w14:textId="77777777" w:rsidR="009B26AC" w:rsidRPr="00E16672" w:rsidRDefault="009B26AC" w:rsidP="009B26AC">
      <w:pPr>
        <w:tabs>
          <w:tab w:val="left" w:pos="288"/>
          <w:tab w:val="left" w:pos="720"/>
          <w:tab w:val="left" w:pos="1008"/>
          <w:tab w:val="left" w:pos="1584"/>
          <w:tab w:val="left" w:pos="2160"/>
          <w:tab w:val="left" w:pos="3600"/>
        </w:tabs>
        <w:ind w:right="1"/>
        <w:jc w:val="center"/>
        <w:rPr>
          <w:rFonts w:ascii="Times New Roman" w:hAnsi="Times New Roman"/>
          <w:bCs/>
          <w:sz w:val="18"/>
          <w:szCs w:val="18"/>
          <w:lang w:val="uk-UA"/>
        </w:rPr>
      </w:pPr>
    </w:p>
    <w:p w14:paraId="3658DE3A" w14:textId="77777777" w:rsidR="009B26AC" w:rsidRPr="00E16672" w:rsidRDefault="009B26AC" w:rsidP="009B26AC">
      <w:pPr>
        <w:rPr>
          <w:rFonts w:ascii="Times New Roman" w:hAnsi="Times New Roman"/>
          <w:bCs/>
          <w:color w:val="000000"/>
          <w:sz w:val="18"/>
          <w:szCs w:val="18"/>
          <w:lang w:val="uk-UA"/>
        </w:rPr>
      </w:pPr>
    </w:p>
    <w:p w14:paraId="0A521856" w14:textId="77777777" w:rsidR="009B26AC" w:rsidRPr="00E16672" w:rsidRDefault="009B26AC" w:rsidP="009B26AC">
      <w:pPr>
        <w:tabs>
          <w:tab w:val="left" w:pos="288"/>
          <w:tab w:val="left" w:pos="720"/>
          <w:tab w:val="left" w:pos="1008"/>
          <w:tab w:val="left" w:pos="1584"/>
          <w:tab w:val="left" w:pos="2160"/>
          <w:tab w:val="left" w:pos="3600"/>
        </w:tabs>
        <w:ind w:right="1"/>
        <w:jc w:val="center"/>
        <w:rPr>
          <w:rFonts w:ascii="Times New Roman" w:hAnsi="Times New Roman"/>
          <w:bCs/>
          <w:szCs w:val="20"/>
          <w:lang w:val="uk-UA"/>
        </w:rPr>
      </w:pPr>
    </w:p>
    <w:p w14:paraId="0A7C56BD" w14:textId="77777777" w:rsidR="009B26AC" w:rsidRPr="00E16672" w:rsidRDefault="009B26AC" w:rsidP="009B26AC">
      <w:pPr>
        <w:tabs>
          <w:tab w:val="left" w:pos="288"/>
          <w:tab w:val="left" w:pos="720"/>
          <w:tab w:val="left" w:pos="1008"/>
          <w:tab w:val="left" w:pos="1584"/>
          <w:tab w:val="left" w:pos="2160"/>
          <w:tab w:val="left" w:pos="3600"/>
        </w:tabs>
        <w:ind w:right="1"/>
        <w:jc w:val="center"/>
        <w:rPr>
          <w:rFonts w:ascii="Times New Roman" w:hAnsi="Times New Roman"/>
          <w:color w:val="000000"/>
          <w:lang w:val="uk-UA"/>
        </w:rPr>
      </w:pPr>
    </w:p>
    <w:p w14:paraId="5F184CAD" w14:textId="77777777" w:rsidR="005745AF" w:rsidRPr="00E16672" w:rsidRDefault="009B26AC" w:rsidP="009B26AC">
      <w:pPr>
        <w:pStyle w:val="mystylen"/>
        <w:keepNext w:val="0"/>
        <w:keepLines w:val="0"/>
        <w:pageBreakBefore w:val="0"/>
        <w:spacing w:before="0" w:after="0"/>
        <w:jc w:val="both"/>
        <w:rPr>
          <w:rFonts w:ascii="Times New Roman" w:hAnsi="Times New Roman"/>
          <w:color w:val="000000"/>
          <w:lang w:val="uk-UA"/>
        </w:rPr>
      </w:pPr>
      <w:r w:rsidRPr="00E16672">
        <w:rPr>
          <w:rFonts w:ascii="Times New Roman" w:hAnsi="Times New Roman"/>
          <w:color w:val="000000"/>
          <w:sz w:val="26"/>
          <w:szCs w:val="26"/>
          <w:lang w:val="uk-UA"/>
        </w:rPr>
        <w:t>.</w:t>
      </w:r>
      <w:r w:rsidRPr="00E16672">
        <w:rPr>
          <w:rFonts w:ascii="Times New Roman" w:hAnsi="Times New Roman"/>
          <w:color w:val="000000"/>
          <w:sz w:val="26"/>
          <w:szCs w:val="26"/>
          <w:lang w:val="uk-UA"/>
        </w:rPr>
        <w:tab/>
      </w:r>
      <w:r w:rsidRPr="00E16672">
        <w:rPr>
          <w:rFonts w:ascii="Times New Roman" w:hAnsi="Times New Roman"/>
          <w:color w:val="000000"/>
          <w:sz w:val="26"/>
          <w:szCs w:val="26"/>
          <w:lang w:val="uk-UA"/>
        </w:rPr>
        <w:tab/>
        <w:t xml:space="preserve">                      </w:t>
      </w:r>
      <w:r w:rsidRPr="00E16672">
        <w:rPr>
          <w:rFonts w:ascii="Times New Roman" w:hAnsi="Times New Roman"/>
          <w:color w:val="000000"/>
          <w:sz w:val="26"/>
          <w:szCs w:val="26"/>
          <w:lang w:val="uk-UA"/>
        </w:rPr>
        <w:tab/>
      </w:r>
      <w:r w:rsidRPr="00E16672">
        <w:rPr>
          <w:rFonts w:ascii="Times New Roman" w:hAnsi="Times New Roman"/>
          <w:color w:val="000000"/>
          <w:sz w:val="26"/>
          <w:szCs w:val="26"/>
          <w:lang w:val="uk-UA"/>
        </w:rPr>
        <w:tab/>
      </w:r>
      <w:r w:rsidRPr="00E16672">
        <w:rPr>
          <w:rFonts w:ascii="Times New Roman" w:hAnsi="Times New Roman"/>
          <w:color w:val="000000"/>
          <w:sz w:val="26"/>
          <w:szCs w:val="26"/>
          <w:lang w:val="uk-UA"/>
        </w:rPr>
        <w:tab/>
      </w:r>
      <w:r w:rsidRPr="00E16672">
        <w:rPr>
          <w:rFonts w:ascii="Times New Roman" w:hAnsi="Times New Roman"/>
          <w:color w:val="000000"/>
          <w:sz w:val="26"/>
          <w:szCs w:val="26"/>
          <w:lang w:val="uk-UA"/>
        </w:rPr>
        <w:tab/>
      </w:r>
      <w:r w:rsidR="005745AF" w:rsidRPr="00E16672">
        <w:rPr>
          <w:rFonts w:ascii="Times New Roman" w:hAnsi="Times New Roman"/>
          <w:color w:val="000000"/>
          <w:lang w:val="uk-UA"/>
        </w:rPr>
        <w:t xml:space="preserve">                                                                                             </w:t>
      </w:r>
    </w:p>
    <w:p w14:paraId="424275A5" w14:textId="77777777" w:rsidR="002506EC" w:rsidRPr="00E16672" w:rsidRDefault="002506EC" w:rsidP="002506EC">
      <w:pPr>
        <w:rPr>
          <w:rFonts w:ascii="Times New Roman" w:hAnsi="Times New Roman"/>
          <w:lang w:val="uk-UA"/>
        </w:rPr>
      </w:pPr>
      <w:proofErr w:type="spellStart"/>
      <w:r w:rsidRPr="00E16672">
        <w:rPr>
          <w:rFonts w:ascii="Times New Roman" w:hAnsi="Times New Roman"/>
          <w:lang w:val="uk-UA"/>
        </w:rPr>
        <w:t>Вих</w:t>
      </w:r>
      <w:proofErr w:type="spellEnd"/>
      <w:r w:rsidRPr="00E16672">
        <w:rPr>
          <w:rFonts w:ascii="Times New Roman" w:hAnsi="Times New Roman"/>
          <w:lang w:val="uk-UA"/>
        </w:rPr>
        <w:t xml:space="preserve">. № _________ від _________                                               </w:t>
      </w:r>
    </w:p>
    <w:p w14:paraId="0AA80AE5" w14:textId="77777777" w:rsidR="005745AF" w:rsidRPr="00E16672" w:rsidRDefault="002506EC" w:rsidP="005745AF">
      <w:pPr>
        <w:rPr>
          <w:rFonts w:ascii="Times New Roman" w:hAnsi="Times New Roman"/>
          <w:color w:val="000000"/>
          <w:lang w:val="uk-UA"/>
        </w:rPr>
      </w:pPr>
      <w:r w:rsidRPr="00E16672">
        <w:rPr>
          <w:rFonts w:ascii="Times New Roman" w:hAnsi="Times New Roman"/>
          <w:lang w:val="uk-UA"/>
        </w:rPr>
        <w:t xml:space="preserve">на   №__________ від _________                                              </w:t>
      </w:r>
      <w:r w:rsidR="005745AF" w:rsidRPr="00E16672">
        <w:rPr>
          <w:rFonts w:ascii="Times New Roman" w:hAnsi="Times New Roman"/>
          <w:color w:val="000000"/>
          <w:lang w:val="uk-UA"/>
        </w:rPr>
        <w:t>________________________</w:t>
      </w:r>
    </w:p>
    <w:p w14:paraId="6BB69F66" w14:textId="77777777" w:rsidR="005745AF" w:rsidRPr="00E16672" w:rsidRDefault="005745AF" w:rsidP="005745AF">
      <w:pPr>
        <w:rPr>
          <w:rFonts w:ascii="Times New Roman" w:hAnsi="Times New Roman"/>
          <w:color w:val="000000"/>
          <w:lang w:val="uk-UA"/>
        </w:rPr>
      </w:pPr>
      <w:r w:rsidRPr="00E16672">
        <w:rPr>
          <w:rFonts w:ascii="Times New Roman" w:hAnsi="Times New Roman"/>
          <w:color w:val="000000"/>
          <w:lang w:val="uk-UA"/>
        </w:rPr>
        <w:t xml:space="preserve">                                                                                               </w:t>
      </w:r>
    </w:p>
    <w:p w14:paraId="580DEC56" w14:textId="77777777" w:rsidR="005745AF" w:rsidRPr="00E16672" w:rsidRDefault="005745AF" w:rsidP="005745AF">
      <w:pPr>
        <w:rPr>
          <w:rFonts w:ascii="Times New Roman" w:hAnsi="Times New Roman"/>
          <w:color w:val="000000"/>
          <w:lang w:val="uk-UA"/>
        </w:rPr>
      </w:pPr>
    </w:p>
    <w:p w14:paraId="293088D1" w14:textId="77777777" w:rsidR="005745AF" w:rsidRPr="00E16672" w:rsidRDefault="005745AF" w:rsidP="005745AF">
      <w:pPr>
        <w:rPr>
          <w:rFonts w:ascii="Times New Roman" w:hAnsi="Times New Roman"/>
          <w:color w:val="000000"/>
          <w:lang w:val="uk-UA"/>
        </w:rPr>
      </w:pPr>
    </w:p>
    <w:p w14:paraId="45FD9124" w14:textId="77777777" w:rsidR="005745AF" w:rsidRPr="00E16672" w:rsidRDefault="005745AF" w:rsidP="005745AF">
      <w:pPr>
        <w:spacing w:line="360" w:lineRule="auto"/>
        <w:jc w:val="center"/>
        <w:rPr>
          <w:rFonts w:ascii="Times New Roman" w:hAnsi="Times New Roman"/>
          <w:color w:val="000000"/>
          <w:lang w:val="uk-UA"/>
        </w:rPr>
      </w:pPr>
    </w:p>
    <w:p w14:paraId="2BB5FC67" w14:textId="77777777" w:rsidR="009B26AC" w:rsidRPr="00E16672" w:rsidRDefault="009B26AC" w:rsidP="009B26AC">
      <w:pPr>
        <w:pStyle w:val="6"/>
        <w:ind w:left="0" w:firstLine="0"/>
        <w:rPr>
          <w:rFonts w:ascii="Times New Roman" w:hAnsi="Times New Roman"/>
          <w:b/>
          <w:sz w:val="24"/>
          <w:szCs w:val="24"/>
          <w:lang w:val="uk-UA"/>
        </w:rPr>
      </w:pPr>
      <w:r w:rsidRPr="00E16672">
        <w:rPr>
          <w:rFonts w:ascii="Times New Roman" w:hAnsi="Times New Roman"/>
          <w:b/>
          <w:sz w:val="24"/>
          <w:szCs w:val="24"/>
          <w:lang w:val="uk-UA"/>
        </w:rPr>
        <w:t>Відмова</w:t>
      </w:r>
    </w:p>
    <w:p w14:paraId="7FA0CB96" w14:textId="77777777" w:rsidR="009B26AC" w:rsidRPr="00E16672" w:rsidRDefault="009B26AC" w:rsidP="009B26AC">
      <w:pPr>
        <w:ind w:firstLine="0"/>
        <w:jc w:val="center"/>
        <w:rPr>
          <w:rFonts w:ascii="Times New Roman" w:hAnsi="Times New Roman"/>
          <w:b/>
          <w:sz w:val="26"/>
          <w:szCs w:val="26"/>
          <w:lang w:val="uk-UA"/>
        </w:rPr>
      </w:pPr>
      <w:r w:rsidRPr="00E16672">
        <w:rPr>
          <w:rFonts w:ascii="Times New Roman" w:hAnsi="Times New Roman"/>
          <w:b/>
          <w:color w:val="000000"/>
          <w:sz w:val="26"/>
          <w:szCs w:val="26"/>
          <w:lang w:val="uk-UA"/>
        </w:rPr>
        <w:t xml:space="preserve">у </w:t>
      </w:r>
      <w:proofErr w:type="spellStart"/>
      <w:r w:rsidRPr="00E16672">
        <w:rPr>
          <w:rFonts w:ascii="Times New Roman" w:hAnsi="Times New Roman"/>
          <w:b/>
          <w:sz w:val="26"/>
          <w:szCs w:val="26"/>
        </w:rPr>
        <w:t>проведенні</w:t>
      </w:r>
      <w:proofErr w:type="spellEnd"/>
      <w:r w:rsidRPr="00E16672">
        <w:rPr>
          <w:rFonts w:ascii="Times New Roman" w:hAnsi="Times New Roman"/>
          <w:b/>
          <w:sz w:val="26"/>
          <w:szCs w:val="26"/>
        </w:rPr>
        <w:t xml:space="preserve"> </w:t>
      </w:r>
      <w:r w:rsidRPr="00E16672">
        <w:rPr>
          <w:rFonts w:ascii="Times New Roman" w:hAnsi="Times New Roman"/>
          <w:b/>
          <w:sz w:val="26"/>
          <w:szCs w:val="26"/>
          <w:lang w:val="uk-UA"/>
        </w:rPr>
        <w:t xml:space="preserve">депозитарної </w:t>
      </w:r>
      <w:proofErr w:type="spellStart"/>
      <w:r w:rsidRPr="00E16672">
        <w:rPr>
          <w:rFonts w:ascii="Times New Roman" w:hAnsi="Times New Roman"/>
          <w:b/>
          <w:sz w:val="26"/>
          <w:szCs w:val="26"/>
        </w:rPr>
        <w:t>операції</w:t>
      </w:r>
      <w:proofErr w:type="spellEnd"/>
    </w:p>
    <w:p w14:paraId="56AF4755" w14:textId="77777777" w:rsidR="009B26AC" w:rsidRPr="00E16672" w:rsidRDefault="009B26AC" w:rsidP="005745AF">
      <w:pPr>
        <w:spacing w:line="360" w:lineRule="auto"/>
        <w:jc w:val="center"/>
        <w:rPr>
          <w:rFonts w:ascii="Times New Roman" w:hAnsi="Times New Roman"/>
          <w:color w:val="000000"/>
          <w:lang w:val="uk-UA"/>
        </w:rPr>
      </w:pPr>
    </w:p>
    <w:p w14:paraId="1D505BE0" w14:textId="77777777" w:rsidR="005745AF" w:rsidRPr="00E16672" w:rsidRDefault="005745AF" w:rsidP="009B26AC">
      <w:pPr>
        <w:spacing w:line="360" w:lineRule="auto"/>
        <w:rPr>
          <w:rFonts w:ascii="Times New Roman" w:hAnsi="Times New Roman"/>
          <w:color w:val="000000"/>
          <w:sz w:val="22"/>
          <w:szCs w:val="22"/>
          <w:lang w:val="uk-UA"/>
        </w:rPr>
      </w:pPr>
      <w:r w:rsidRPr="00E16672">
        <w:rPr>
          <w:rFonts w:ascii="Times New Roman" w:hAnsi="Times New Roman"/>
          <w:color w:val="000000"/>
          <w:sz w:val="22"/>
          <w:szCs w:val="22"/>
          <w:lang w:val="uk-UA"/>
        </w:rPr>
        <w:t>Шановний Депонент!</w:t>
      </w:r>
    </w:p>
    <w:p w14:paraId="2EE16B9B" w14:textId="77777777" w:rsidR="005745AF" w:rsidRPr="00E16672" w:rsidRDefault="005745AF" w:rsidP="005745AF">
      <w:pPr>
        <w:spacing w:line="360" w:lineRule="auto"/>
        <w:jc w:val="center"/>
        <w:rPr>
          <w:rFonts w:ascii="Times New Roman" w:hAnsi="Times New Roman"/>
          <w:color w:val="000000"/>
          <w:sz w:val="22"/>
          <w:szCs w:val="22"/>
          <w:lang w:val="uk-UA"/>
        </w:rPr>
      </w:pPr>
    </w:p>
    <w:p w14:paraId="18E9DAE0" w14:textId="77777777" w:rsidR="00602650" w:rsidRDefault="009B26AC" w:rsidP="00022F5F">
      <w:pPr>
        <w:ind w:left="142" w:hanging="142"/>
        <w:jc w:val="left"/>
        <w:rPr>
          <w:rFonts w:ascii="Times New Roman" w:hAnsi="Times New Roman"/>
          <w:bCs/>
          <w:color w:val="000000"/>
          <w:sz w:val="22"/>
          <w:szCs w:val="22"/>
          <w:lang w:val="uk-UA"/>
        </w:rPr>
      </w:pPr>
      <w:r w:rsidRPr="00E16672">
        <w:rPr>
          <w:rFonts w:ascii="Times New Roman" w:hAnsi="Times New Roman"/>
          <w:bCs/>
          <w:color w:val="000000"/>
          <w:sz w:val="22"/>
          <w:szCs w:val="22"/>
        </w:rPr>
        <w:t xml:space="preserve">       </w:t>
      </w:r>
      <w:r w:rsidR="005745AF" w:rsidRPr="00E16672">
        <w:rPr>
          <w:rFonts w:ascii="Times New Roman" w:hAnsi="Times New Roman"/>
          <w:bCs/>
          <w:color w:val="000000"/>
          <w:sz w:val="22"/>
          <w:szCs w:val="22"/>
          <w:lang w:val="uk-UA"/>
        </w:rPr>
        <w:t xml:space="preserve">Депозитарна установа ТОВ </w:t>
      </w:r>
      <w:r w:rsidR="00022F5F">
        <w:rPr>
          <w:rFonts w:ascii="Times New Roman" w:hAnsi="Times New Roman"/>
          <w:bCs/>
          <w:color w:val="000000"/>
          <w:sz w:val="22"/>
          <w:szCs w:val="22"/>
          <w:lang w:val="uk-UA"/>
        </w:rPr>
        <w:t>"</w:t>
      </w:r>
      <w:r w:rsidR="00E16672" w:rsidRPr="00E16672">
        <w:rPr>
          <w:rFonts w:ascii="Times New Roman" w:hAnsi="Times New Roman"/>
          <w:bCs/>
          <w:color w:val="000000"/>
          <w:sz w:val="22"/>
          <w:szCs w:val="22"/>
          <w:lang w:val="uk-UA"/>
        </w:rPr>
        <w:t>КОМЕКС ЦІННІ ПАПЕРИ</w:t>
      </w:r>
      <w:r w:rsidR="00022F5F">
        <w:rPr>
          <w:rFonts w:ascii="Times New Roman" w:hAnsi="Times New Roman"/>
          <w:bCs/>
          <w:color w:val="000000"/>
          <w:sz w:val="22"/>
          <w:szCs w:val="22"/>
          <w:lang w:val="uk-UA"/>
        </w:rPr>
        <w:t>"</w:t>
      </w:r>
      <w:r w:rsidR="005745AF" w:rsidRPr="00E16672">
        <w:rPr>
          <w:rFonts w:ascii="Times New Roman" w:hAnsi="Times New Roman"/>
          <w:bCs/>
          <w:color w:val="000000"/>
          <w:sz w:val="22"/>
          <w:szCs w:val="22"/>
          <w:lang w:val="uk-UA"/>
        </w:rPr>
        <w:t xml:space="preserve"> (ліцензія серія АЕ №</w:t>
      </w:r>
      <w:r w:rsidR="00E16672" w:rsidRPr="00E16672">
        <w:rPr>
          <w:rFonts w:ascii="Times New Roman" w:hAnsi="Times New Roman"/>
          <w:bCs/>
          <w:color w:val="000000"/>
          <w:sz w:val="22"/>
          <w:szCs w:val="22"/>
          <w:lang w:val="uk-UA"/>
        </w:rPr>
        <w:t>263429</w:t>
      </w:r>
      <w:r w:rsidR="005745AF" w:rsidRPr="00E16672">
        <w:rPr>
          <w:rFonts w:ascii="Times New Roman" w:hAnsi="Times New Roman"/>
          <w:bCs/>
          <w:color w:val="000000"/>
          <w:sz w:val="22"/>
          <w:szCs w:val="22"/>
          <w:lang w:val="uk-UA"/>
        </w:rPr>
        <w:t xml:space="preserve"> від </w:t>
      </w:r>
      <w:r w:rsidR="006E3B0B">
        <w:rPr>
          <w:rFonts w:ascii="Times New Roman" w:hAnsi="Times New Roman"/>
          <w:bCs/>
          <w:color w:val="000000"/>
          <w:sz w:val="22"/>
          <w:szCs w:val="22"/>
          <w:lang w:val="uk-UA"/>
        </w:rPr>
        <w:t>01 жовтня 2013</w:t>
      </w:r>
      <w:r w:rsidR="005745AF" w:rsidRPr="00E16672">
        <w:rPr>
          <w:rFonts w:ascii="Times New Roman" w:hAnsi="Times New Roman"/>
          <w:bCs/>
          <w:color w:val="000000"/>
          <w:sz w:val="22"/>
          <w:szCs w:val="22"/>
          <w:lang w:val="uk-UA"/>
        </w:rPr>
        <w:t xml:space="preserve"> р.)</w:t>
      </w:r>
    </w:p>
    <w:p w14:paraId="5E7E7460" w14:textId="77777777" w:rsidR="005745AF" w:rsidRPr="00E16672" w:rsidRDefault="00602650" w:rsidP="005745AF">
      <w:pPr>
        <w:ind w:left="142" w:hanging="142"/>
        <w:rPr>
          <w:rFonts w:ascii="Times New Roman" w:hAnsi="Times New Roman"/>
          <w:color w:val="000000"/>
          <w:sz w:val="22"/>
          <w:szCs w:val="22"/>
          <w:lang w:val="uk-UA"/>
        </w:rPr>
      </w:pPr>
      <w:r>
        <w:rPr>
          <w:rFonts w:ascii="Times New Roman" w:hAnsi="Times New Roman"/>
          <w:bCs/>
          <w:color w:val="000000"/>
          <w:sz w:val="22"/>
          <w:szCs w:val="22"/>
          <w:lang w:val="uk-UA"/>
        </w:rPr>
        <w:t xml:space="preserve">        </w:t>
      </w:r>
      <w:r w:rsidR="005745AF" w:rsidRPr="00E16672">
        <w:rPr>
          <w:rFonts w:ascii="Times New Roman" w:hAnsi="Times New Roman"/>
          <w:color w:val="000000"/>
          <w:sz w:val="22"/>
          <w:szCs w:val="22"/>
          <w:lang w:val="uk-UA"/>
        </w:rPr>
        <w:t>у відповідь на _______________________________________</w:t>
      </w:r>
      <w:r>
        <w:rPr>
          <w:rFonts w:ascii="Times New Roman" w:hAnsi="Times New Roman"/>
          <w:color w:val="000000"/>
          <w:sz w:val="22"/>
          <w:szCs w:val="22"/>
          <w:lang w:val="uk-UA"/>
        </w:rPr>
        <w:t>_____________________</w:t>
      </w:r>
      <w:r w:rsidR="005745AF" w:rsidRPr="00E16672">
        <w:rPr>
          <w:rFonts w:ascii="Times New Roman" w:hAnsi="Times New Roman"/>
          <w:color w:val="000000"/>
          <w:sz w:val="22"/>
          <w:szCs w:val="22"/>
          <w:lang w:val="uk-UA"/>
        </w:rPr>
        <w:t>________________,</w:t>
      </w:r>
    </w:p>
    <w:p w14:paraId="34437F23" w14:textId="77777777" w:rsidR="005745AF" w:rsidRPr="00E16672" w:rsidRDefault="005745AF" w:rsidP="005745AF">
      <w:pPr>
        <w:spacing w:line="360" w:lineRule="auto"/>
        <w:jc w:val="center"/>
        <w:rPr>
          <w:rFonts w:ascii="Times New Roman" w:hAnsi="Times New Roman"/>
          <w:color w:val="000000"/>
          <w:sz w:val="22"/>
          <w:szCs w:val="22"/>
          <w:lang w:val="uk-UA"/>
        </w:rPr>
      </w:pPr>
      <w:r w:rsidRPr="00E16672">
        <w:rPr>
          <w:rFonts w:ascii="Times New Roman" w:hAnsi="Times New Roman"/>
          <w:color w:val="000000"/>
          <w:sz w:val="22"/>
          <w:szCs w:val="22"/>
          <w:lang w:val="uk-UA"/>
        </w:rPr>
        <w:t>(назва депозитарної операції)</w:t>
      </w:r>
    </w:p>
    <w:p w14:paraId="1C7129A6" w14:textId="77777777" w:rsidR="005745AF" w:rsidRPr="00E16672" w:rsidRDefault="005745AF" w:rsidP="005745AF">
      <w:pPr>
        <w:spacing w:line="360" w:lineRule="auto"/>
        <w:rPr>
          <w:rFonts w:ascii="Times New Roman" w:hAnsi="Times New Roman"/>
          <w:color w:val="000000"/>
          <w:sz w:val="22"/>
          <w:szCs w:val="22"/>
          <w:lang w:val="uk-UA"/>
        </w:rPr>
      </w:pPr>
      <w:r w:rsidRPr="00E16672">
        <w:rPr>
          <w:rFonts w:ascii="Times New Roman" w:hAnsi="Times New Roman"/>
          <w:color w:val="000000"/>
          <w:sz w:val="22"/>
          <w:szCs w:val="22"/>
          <w:lang w:val="uk-UA"/>
        </w:rPr>
        <w:t>повідомляє наступне:</w:t>
      </w:r>
    </w:p>
    <w:p w14:paraId="3C57872B" w14:textId="77777777" w:rsidR="005745AF" w:rsidRPr="00E16672" w:rsidRDefault="005745AF" w:rsidP="005745AF">
      <w:pPr>
        <w:spacing w:line="360" w:lineRule="auto"/>
        <w:rPr>
          <w:rFonts w:ascii="Times New Roman" w:hAnsi="Times New Roman"/>
          <w:color w:val="000000"/>
          <w:sz w:val="22"/>
          <w:szCs w:val="22"/>
          <w:lang w:val="uk-UA"/>
        </w:rPr>
      </w:pPr>
      <w:r w:rsidRPr="00E16672">
        <w:rPr>
          <w:rFonts w:ascii="Times New Roman" w:hAnsi="Times New Roman"/>
          <w:color w:val="000000"/>
          <w:sz w:val="22"/>
          <w:szCs w:val="22"/>
          <w:lang w:val="uk-UA"/>
        </w:rPr>
        <w:t>___________________________________________________________</w:t>
      </w:r>
      <w:r w:rsidR="00452C77" w:rsidRPr="00E16672">
        <w:rPr>
          <w:rFonts w:ascii="Times New Roman" w:hAnsi="Times New Roman"/>
          <w:color w:val="000000"/>
          <w:sz w:val="22"/>
          <w:szCs w:val="22"/>
          <w:lang w:val="uk-UA"/>
        </w:rPr>
        <w:t>__________________</w:t>
      </w:r>
    </w:p>
    <w:p w14:paraId="04E94980" w14:textId="77777777" w:rsidR="005745AF" w:rsidRPr="00E16672" w:rsidRDefault="005745AF" w:rsidP="005745AF">
      <w:pPr>
        <w:spacing w:line="360" w:lineRule="auto"/>
        <w:rPr>
          <w:rFonts w:ascii="Times New Roman" w:hAnsi="Times New Roman"/>
          <w:color w:val="000000"/>
          <w:sz w:val="22"/>
          <w:szCs w:val="22"/>
          <w:lang w:val="uk-UA"/>
        </w:rPr>
      </w:pPr>
      <w:r w:rsidRPr="00E16672">
        <w:rPr>
          <w:rFonts w:ascii="Times New Roman" w:hAnsi="Times New Roman"/>
          <w:color w:val="000000"/>
          <w:sz w:val="22"/>
          <w:szCs w:val="22"/>
          <w:lang w:val="uk-UA"/>
        </w:rPr>
        <w:t>___________________________________________________________</w:t>
      </w:r>
      <w:r w:rsidR="00452C77" w:rsidRPr="00E16672">
        <w:rPr>
          <w:rFonts w:ascii="Times New Roman" w:hAnsi="Times New Roman"/>
          <w:color w:val="000000"/>
          <w:sz w:val="22"/>
          <w:szCs w:val="22"/>
          <w:lang w:val="uk-UA"/>
        </w:rPr>
        <w:t>__________________</w:t>
      </w:r>
    </w:p>
    <w:p w14:paraId="04B574EB" w14:textId="77777777" w:rsidR="005745AF" w:rsidRPr="00E16672" w:rsidRDefault="005745AF" w:rsidP="005745AF">
      <w:pPr>
        <w:spacing w:line="360" w:lineRule="auto"/>
        <w:jc w:val="center"/>
        <w:rPr>
          <w:rFonts w:ascii="Times New Roman" w:hAnsi="Times New Roman"/>
          <w:color w:val="000000"/>
          <w:sz w:val="22"/>
          <w:szCs w:val="22"/>
          <w:lang w:val="uk-UA"/>
        </w:rPr>
      </w:pPr>
      <w:r w:rsidRPr="00E16672">
        <w:rPr>
          <w:rFonts w:ascii="Times New Roman" w:hAnsi="Times New Roman"/>
          <w:color w:val="000000"/>
          <w:sz w:val="22"/>
          <w:szCs w:val="22"/>
          <w:lang w:val="uk-UA"/>
        </w:rPr>
        <w:t>(причини відмови)</w:t>
      </w:r>
    </w:p>
    <w:p w14:paraId="4052FE70" w14:textId="77777777" w:rsidR="005745AF" w:rsidRPr="00E16672" w:rsidRDefault="005745AF" w:rsidP="005745AF">
      <w:pPr>
        <w:spacing w:line="360" w:lineRule="auto"/>
        <w:rPr>
          <w:rFonts w:ascii="Times New Roman" w:hAnsi="Times New Roman"/>
          <w:color w:val="000000"/>
          <w:sz w:val="22"/>
          <w:szCs w:val="22"/>
          <w:lang w:val="uk-UA"/>
        </w:rPr>
      </w:pPr>
    </w:p>
    <w:p w14:paraId="4AF7E8D3" w14:textId="77777777" w:rsidR="005745AF" w:rsidRPr="00E16672" w:rsidRDefault="005745AF" w:rsidP="005745AF">
      <w:pPr>
        <w:spacing w:line="360" w:lineRule="auto"/>
        <w:rPr>
          <w:rFonts w:ascii="Times New Roman" w:hAnsi="Times New Roman"/>
          <w:color w:val="000000"/>
          <w:sz w:val="22"/>
          <w:szCs w:val="22"/>
          <w:lang w:val="uk-UA"/>
        </w:rPr>
      </w:pPr>
    </w:p>
    <w:p w14:paraId="23ABD433" w14:textId="77777777" w:rsidR="002506EC" w:rsidRPr="00E16672" w:rsidRDefault="002506EC" w:rsidP="002506EC">
      <w:pPr>
        <w:jc w:val="left"/>
        <w:rPr>
          <w:rFonts w:ascii="Times New Roman" w:hAnsi="Times New Roman"/>
          <w:sz w:val="28"/>
          <w:u w:val="single"/>
          <w:lang w:val="uk-UA"/>
        </w:rPr>
      </w:pPr>
      <w:r w:rsidRPr="00E16672">
        <w:rPr>
          <w:rFonts w:ascii="Times New Roman" w:hAnsi="Times New Roman"/>
          <w:bCs/>
          <w:szCs w:val="20"/>
        </w:rPr>
        <w:t>В</w:t>
      </w:r>
      <w:proofErr w:type="spellStart"/>
      <w:r w:rsidRPr="00E16672">
        <w:rPr>
          <w:rFonts w:ascii="Times New Roman" w:hAnsi="Times New Roman"/>
          <w:bCs/>
          <w:szCs w:val="20"/>
          <w:lang w:val="uk-UA"/>
        </w:rPr>
        <w:t>ідповідальна</w:t>
      </w:r>
      <w:proofErr w:type="spellEnd"/>
      <w:r w:rsidRPr="00E16672">
        <w:rPr>
          <w:rFonts w:ascii="Times New Roman" w:hAnsi="Times New Roman"/>
          <w:bCs/>
          <w:szCs w:val="20"/>
          <w:lang w:val="uk-UA"/>
        </w:rPr>
        <w:t xml:space="preserve"> особа Депозитарної </w:t>
      </w:r>
      <w:proofErr w:type="gramStart"/>
      <w:r w:rsidRPr="00E16672">
        <w:rPr>
          <w:rFonts w:ascii="Times New Roman" w:hAnsi="Times New Roman"/>
          <w:bCs/>
          <w:szCs w:val="20"/>
          <w:lang w:val="uk-UA"/>
        </w:rPr>
        <w:t>установи</w:t>
      </w:r>
      <w:r w:rsidRPr="00E16672">
        <w:rPr>
          <w:rFonts w:ascii="Times New Roman" w:hAnsi="Times New Roman"/>
          <w:bCs/>
          <w:color w:val="0070C0"/>
          <w:sz w:val="26"/>
          <w:szCs w:val="26"/>
          <w:lang w:val="uk-UA"/>
        </w:rPr>
        <w:t xml:space="preserve"> </w:t>
      </w:r>
      <w:r w:rsidRPr="00E16672">
        <w:rPr>
          <w:rFonts w:ascii="Times New Roman" w:hAnsi="Times New Roman"/>
          <w:b/>
          <w:bCs/>
          <w:color w:val="0070C0"/>
          <w:sz w:val="26"/>
          <w:szCs w:val="26"/>
          <w:lang w:val="uk-UA"/>
        </w:rPr>
        <w:t xml:space="preserve"> </w:t>
      </w:r>
      <w:r w:rsidRPr="00E16672">
        <w:rPr>
          <w:rFonts w:ascii="Times New Roman" w:hAnsi="Times New Roman"/>
          <w:sz w:val="28"/>
          <w:lang w:val="uk-UA"/>
        </w:rPr>
        <w:t>_</w:t>
      </w:r>
      <w:proofErr w:type="gramEnd"/>
      <w:r w:rsidRPr="00E16672">
        <w:rPr>
          <w:rFonts w:ascii="Times New Roman" w:hAnsi="Times New Roman"/>
          <w:sz w:val="28"/>
          <w:lang w:val="uk-UA"/>
        </w:rPr>
        <w:t xml:space="preserve">____________     </w:t>
      </w:r>
      <w:r w:rsidR="005E418B">
        <w:rPr>
          <w:rFonts w:ascii="Times New Roman" w:hAnsi="Times New Roman"/>
          <w:sz w:val="28"/>
          <w:lang w:val="uk-UA"/>
        </w:rPr>
        <w:t>______________</w:t>
      </w:r>
      <w:r w:rsidRPr="00E16672">
        <w:rPr>
          <w:rFonts w:ascii="Times New Roman" w:hAnsi="Times New Roman"/>
          <w:sz w:val="28"/>
          <w:lang w:val="uk-UA"/>
        </w:rPr>
        <w:t>_____________</w:t>
      </w:r>
    </w:p>
    <w:p w14:paraId="11F87170" w14:textId="77777777" w:rsidR="002506EC" w:rsidRPr="00E16672" w:rsidRDefault="002506EC" w:rsidP="002506EC">
      <w:pPr>
        <w:rPr>
          <w:rFonts w:ascii="Times New Roman" w:hAnsi="Times New Roman"/>
          <w:b/>
          <w:i/>
          <w:sz w:val="18"/>
          <w:szCs w:val="18"/>
          <w:lang w:val="uk-UA"/>
        </w:rPr>
      </w:pPr>
      <w:r w:rsidRPr="00E16672">
        <w:rPr>
          <w:rFonts w:ascii="Times New Roman" w:hAnsi="Times New Roman"/>
          <w:i/>
          <w:sz w:val="18"/>
          <w:szCs w:val="18"/>
          <w:lang w:val="uk-UA"/>
        </w:rPr>
        <w:t xml:space="preserve">                                                                                              В.П., підпис</w:t>
      </w:r>
      <w:r w:rsidRPr="00E16672">
        <w:rPr>
          <w:rFonts w:ascii="Times New Roman" w:hAnsi="Times New Roman"/>
          <w:i/>
          <w:sz w:val="18"/>
          <w:szCs w:val="18"/>
          <w:lang w:val="uk-UA"/>
        </w:rPr>
        <w:tab/>
        <w:t xml:space="preserve">             Прізвище, ім’я, по батькові (за наявності)</w:t>
      </w:r>
      <w:r w:rsidRPr="00E16672">
        <w:rPr>
          <w:rFonts w:ascii="Times New Roman" w:hAnsi="Times New Roman"/>
          <w:b/>
          <w:i/>
          <w:sz w:val="18"/>
          <w:szCs w:val="18"/>
          <w:lang w:val="uk-UA"/>
        </w:rPr>
        <w:tab/>
      </w:r>
    </w:p>
    <w:p w14:paraId="03247F0D" w14:textId="77777777" w:rsidR="002506EC" w:rsidRPr="00E16672" w:rsidRDefault="002506EC" w:rsidP="002506EC">
      <w:pPr>
        <w:rPr>
          <w:rFonts w:ascii="Times New Roman" w:hAnsi="Times New Roman"/>
          <w:i/>
          <w:sz w:val="18"/>
          <w:szCs w:val="18"/>
          <w:lang w:val="uk-UA"/>
        </w:rPr>
      </w:pPr>
      <w:r w:rsidRPr="00E16672">
        <w:rPr>
          <w:rFonts w:ascii="Times New Roman" w:hAnsi="Times New Roman"/>
          <w:i/>
          <w:sz w:val="18"/>
          <w:szCs w:val="18"/>
          <w:lang w:val="uk-UA"/>
        </w:rPr>
        <w:t xml:space="preserve">                                                                   </w:t>
      </w:r>
    </w:p>
    <w:p w14:paraId="2A2AD364" w14:textId="77777777" w:rsidR="00452C77" w:rsidRPr="00E16672" w:rsidRDefault="00452C77" w:rsidP="00452C77">
      <w:pPr>
        <w:rPr>
          <w:rFonts w:ascii="Times New Roman" w:hAnsi="Times New Roman"/>
          <w:i/>
          <w:szCs w:val="20"/>
          <w:lang w:val="uk-UA"/>
        </w:rPr>
      </w:pPr>
      <w:r w:rsidRPr="00E16672">
        <w:rPr>
          <w:rFonts w:ascii="Times New Roman" w:hAnsi="Times New Roman"/>
          <w:i/>
          <w:szCs w:val="20"/>
          <w:lang w:val="uk-UA"/>
        </w:rPr>
        <w:t xml:space="preserve">                                                                   </w:t>
      </w:r>
    </w:p>
    <w:p w14:paraId="47FC699D" w14:textId="77777777" w:rsidR="00452C77" w:rsidRPr="00E16672" w:rsidRDefault="00452C77" w:rsidP="00452C77">
      <w:pPr>
        <w:rPr>
          <w:rFonts w:ascii="Times New Roman" w:hAnsi="Times New Roman"/>
          <w:i/>
          <w:szCs w:val="20"/>
          <w:lang w:val="uk-UA"/>
        </w:rPr>
      </w:pPr>
    </w:p>
    <w:p w14:paraId="396C850D" w14:textId="77777777" w:rsidR="00452C77" w:rsidRPr="00E16672" w:rsidRDefault="00452C77" w:rsidP="00452C77">
      <w:pPr>
        <w:rPr>
          <w:rFonts w:ascii="Times New Roman" w:hAnsi="Times New Roman"/>
          <w:i/>
          <w:szCs w:val="20"/>
          <w:lang w:val="uk-UA"/>
        </w:rPr>
      </w:pPr>
    </w:p>
    <w:p w14:paraId="13391579" w14:textId="77777777" w:rsidR="00452C77" w:rsidRPr="00E16672" w:rsidRDefault="00452C77" w:rsidP="00452C77">
      <w:pPr>
        <w:rPr>
          <w:rFonts w:ascii="Times New Roman" w:hAnsi="Times New Roman"/>
          <w:i/>
          <w:szCs w:val="20"/>
          <w:lang w:val="uk-UA"/>
        </w:rPr>
      </w:pPr>
    </w:p>
    <w:p w14:paraId="0FF97CF4" w14:textId="77777777" w:rsidR="00452C77" w:rsidRPr="00E16672" w:rsidRDefault="00452C77" w:rsidP="00452C77">
      <w:pPr>
        <w:rPr>
          <w:rFonts w:ascii="Times New Roman" w:hAnsi="Times New Roman"/>
          <w:i/>
          <w:szCs w:val="20"/>
          <w:lang w:val="uk-UA"/>
        </w:rPr>
      </w:pPr>
    </w:p>
    <w:p w14:paraId="713B66BE" w14:textId="77777777" w:rsidR="00452C77" w:rsidRPr="00E16672" w:rsidRDefault="00452C77" w:rsidP="00452C77">
      <w:pPr>
        <w:rPr>
          <w:rFonts w:ascii="Times New Roman" w:hAnsi="Times New Roman"/>
          <w:i/>
          <w:szCs w:val="20"/>
          <w:lang w:val="uk-UA"/>
        </w:rPr>
      </w:pPr>
    </w:p>
    <w:p w14:paraId="0EE17984" w14:textId="77777777" w:rsidR="00452C77" w:rsidRPr="00E16672" w:rsidRDefault="00452C77" w:rsidP="00452C77">
      <w:pPr>
        <w:rPr>
          <w:rFonts w:ascii="Times New Roman" w:hAnsi="Times New Roman"/>
          <w:i/>
          <w:szCs w:val="20"/>
          <w:lang w:val="uk-UA"/>
        </w:rPr>
      </w:pPr>
    </w:p>
    <w:p w14:paraId="7AFF8568" w14:textId="77777777" w:rsidR="00452C77" w:rsidRPr="00E16672" w:rsidRDefault="00452C77" w:rsidP="00452C77">
      <w:pPr>
        <w:rPr>
          <w:rFonts w:ascii="Times New Roman" w:hAnsi="Times New Roman"/>
          <w:i/>
          <w:szCs w:val="20"/>
          <w:lang w:val="uk-UA"/>
        </w:rPr>
      </w:pPr>
    </w:p>
    <w:p w14:paraId="37ADD96C" w14:textId="77777777" w:rsidR="00452C77" w:rsidRPr="00E16672" w:rsidRDefault="00452C77" w:rsidP="00452C77">
      <w:pPr>
        <w:rPr>
          <w:rFonts w:ascii="Times New Roman" w:hAnsi="Times New Roman"/>
          <w:i/>
          <w:szCs w:val="20"/>
          <w:lang w:val="uk-UA"/>
        </w:rPr>
      </w:pPr>
    </w:p>
    <w:p w14:paraId="237ADAC7" w14:textId="77777777" w:rsidR="00452C77" w:rsidRPr="00E16672" w:rsidRDefault="00452C77" w:rsidP="00452C77">
      <w:pPr>
        <w:rPr>
          <w:rFonts w:ascii="Times New Roman" w:hAnsi="Times New Roman"/>
          <w:i/>
          <w:szCs w:val="20"/>
          <w:lang w:val="uk-UA"/>
        </w:rPr>
      </w:pPr>
    </w:p>
    <w:p w14:paraId="3B27D644" w14:textId="77777777" w:rsidR="00452C77" w:rsidRPr="00E16672" w:rsidRDefault="00452C77" w:rsidP="00452C77">
      <w:pPr>
        <w:rPr>
          <w:rFonts w:ascii="Times New Roman" w:hAnsi="Times New Roman"/>
          <w:i/>
          <w:szCs w:val="20"/>
          <w:lang w:val="uk-UA"/>
        </w:rPr>
      </w:pPr>
    </w:p>
    <w:p w14:paraId="0253BD9B" w14:textId="77777777" w:rsidR="00452C77" w:rsidRPr="00E16672" w:rsidRDefault="00452C77" w:rsidP="00452C77">
      <w:pPr>
        <w:rPr>
          <w:rFonts w:ascii="Times New Roman" w:hAnsi="Times New Roman"/>
          <w:i/>
          <w:szCs w:val="20"/>
          <w:lang w:val="uk-UA"/>
        </w:rPr>
      </w:pPr>
    </w:p>
    <w:p w14:paraId="619DA10C" w14:textId="77777777" w:rsidR="00452C77" w:rsidRPr="00E16672" w:rsidRDefault="00452C77" w:rsidP="00452C77">
      <w:pPr>
        <w:rPr>
          <w:rFonts w:ascii="Times New Roman" w:hAnsi="Times New Roman"/>
          <w:i/>
          <w:szCs w:val="20"/>
          <w:lang w:val="uk-UA"/>
        </w:rPr>
      </w:pPr>
    </w:p>
    <w:p w14:paraId="77383CF9" w14:textId="77777777" w:rsidR="00452C77" w:rsidRPr="00E16672" w:rsidRDefault="00452C77" w:rsidP="00452C77">
      <w:pPr>
        <w:rPr>
          <w:rFonts w:ascii="Times New Roman" w:hAnsi="Times New Roman"/>
          <w:i/>
          <w:szCs w:val="20"/>
          <w:lang w:val="uk-UA"/>
        </w:rPr>
      </w:pPr>
    </w:p>
    <w:p w14:paraId="438817B7" w14:textId="77777777" w:rsidR="00452C77" w:rsidRPr="00E16672" w:rsidRDefault="00452C77" w:rsidP="00452C77">
      <w:pPr>
        <w:rPr>
          <w:rFonts w:ascii="Times New Roman" w:hAnsi="Times New Roman"/>
          <w:i/>
          <w:szCs w:val="20"/>
          <w:lang w:val="uk-UA"/>
        </w:rPr>
      </w:pPr>
    </w:p>
    <w:p w14:paraId="570299AD" w14:textId="77777777" w:rsidR="00452C77" w:rsidRPr="00E16672" w:rsidRDefault="00452C77" w:rsidP="00452C77">
      <w:pPr>
        <w:rPr>
          <w:rFonts w:ascii="Times New Roman" w:hAnsi="Times New Roman"/>
          <w:i/>
          <w:szCs w:val="20"/>
          <w:lang w:val="uk-UA"/>
        </w:rPr>
      </w:pPr>
    </w:p>
    <w:p w14:paraId="19CE65A8" w14:textId="77777777" w:rsidR="00452C77" w:rsidRPr="00E16672" w:rsidRDefault="00452C77" w:rsidP="00452C77">
      <w:pPr>
        <w:rPr>
          <w:rFonts w:ascii="Times New Roman" w:hAnsi="Times New Roman"/>
          <w:i/>
          <w:szCs w:val="20"/>
          <w:lang w:val="uk-UA"/>
        </w:rPr>
      </w:pPr>
    </w:p>
    <w:p w14:paraId="1E1E8F69" w14:textId="77777777" w:rsidR="00452C77" w:rsidRPr="00E16672" w:rsidRDefault="00452C77" w:rsidP="00452C77">
      <w:pPr>
        <w:rPr>
          <w:rFonts w:ascii="Times New Roman" w:hAnsi="Times New Roman"/>
          <w:i/>
          <w:szCs w:val="20"/>
          <w:lang w:val="uk-UA"/>
        </w:rPr>
      </w:pPr>
    </w:p>
    <w:p w14:paraId="15707D86" w14:textId="77777777" w:rsidR="00452C77" w:rsidRPr="00E16672" w:rsidRDefault="00452C77" w:rsidP="00452C77">
      <w:pPr>
        <w:rPr>
          <w:rFonts w:ascii="Times New Roman" w:hAnsi="Times New Roman"/>
          <w:i/>
          <w:szCs w:val="20"/>
          <w:lang w:val="uk-UA"/>
        </w:rPr>
      </w:pPr>
    </w:p>
    <w:p w14:paraId="178C3102" w14:textId="77777777" w:rsidR="00452C77" w:rsidRPr="00E16672" w:rsidRDefault="00452C77" w:rsidP="00452C77">
      <w:pPr>
        <w:rPr>
          <w:rFonts w:ascii="Times New Roman" w:hAnsi="Times New Roman"/>
          <w:i/>
          <w:szCs w:val="20"/>
          <w:lang w:val="uk-UA"/>
        </w:rPr>
      </w:pPr>
    </w:p>
    <w:p w14:paraId="7840DD75" w14:textId="77777777" w:rsidR="00452C77" w:rsidRPr="00E16672" w:rsidRDefault="00452C77" w:rsidP="00452C77">
      <w:pPr>
        <w:rPr>
          <w:rFonts w:ascii="Times New Roman" w:hAnsi="Times New Roman"/>
          <w:i/>
          <w:szCs w:val="20"/>
          <w:lang w:val="uk-UA"/>
        </w:rPr>
      </w:pPr>
    </w:p>
    <w:p w14:paraId="6B7CD97F" w14:textId="77777777" w:rsidR="00452C77" w:rsidRPr="00E16672" w:rsidRDefault="00452C77" w:rsidP="00452C77">
      <w:pPr>
        <w:rPr>
          <w:rFonts w:ascii="Times New Roman" w:hAnsi="Times New Roman"/>
          <w:i/>
          <w:szCs w:val="20"/>
          <w:lang w:val="uk-UA"/>
        </w:rPr>
      </w:pPr>
    </w:p>
    <w:p w14:paraId="2FB0D10D" w14:textId="77777777" w:rsidR="00452C77" w:rsidRPr="00E16672" w:rsidRDefault="00452C77" w:rsidP="00452C77">
      <w:pPr>
        <w:rPr>
          <w:rFonts w:ascii="Times New Roman" w:hAnsi="Times New Roman"/>
          <w:i/>
          <w:szCs w:val="20"/>
          <w:lang w:val="uk-UA"/>
        </w:rPr>
      </w:pPr>
    </w:p>
    <w:p w14:paraId="2D50B990" w14:textId="77777777" w:rsidR="00452C77" w:rsidRPr="00E16672" w:rsidRDefault="00452C77" w:rsidP="00452C77">
      <w:pPr>
        <w:rPr>
          <w:rFonts w:ascii="Times New Roman" w:hAnsi="Times New Roman"/>
          <w:i/>
          <w:szCs w:val="20"/>
          <w:lang w:val="uk-UA"/>
        </w:rPr>
      </w:pPr>
    </w:p>
    <w:p w14:paraId="0CEB9AFD" w14:textId="77777777" w:rsidR="00452C77" w:rsidRPr="00E16672" w:rsidRDefault="00452C77" w:rsidP="00452C77">
      <w:pPr>
        <w:rPr>
          <w:rFonts w:ascii="Times New Roman" w:hAnsi="Times New Roman"/>
          <w:i/>
          <w:szCs w:val="20"/>
          <w:lang w:val="uk-UA"/>
        </w:rPr>
      </w:pPr>
    </w:p>
    <w:p w14:paraId="45A58EF0" w14:textId="77777777" w:rsidR="00452C77" w:rsidRPr="00E16672" w:rsidRDefault="00452C77" w:rsidP="00452C77">
      <w:pPr>
        <w:rPr>
          <w:rFonts w:ascii="Times New Roman" w:hAnsi="Times New Roman"/>
          <w:i/>
          <w:szCs w:val="20"/>
          <w:lang w:val="uk-UA"/>
        </w:rPr>
      </w:pPr>
    </w:p>
    <w:p w14:paraId="7B695B69" w14:textId="77777777" w:rsidR="00452C77" w:rsidRPr="00E16672" w:rsidRDefault="00452C77" w:rsidP="00452C77">
      <w:pPr>
        <w:rPr>
          <w:rFonts w:ascii="Times New Roman" w:hAnsi="Times New Roman"/>
          <w:i/>
          <w:szCs w:val="20"/>
          <w:lang w:val="uk-UA"/>
        </w:rPr>
      </w:pPr>
    </w:p>
    <w:p w14:paraId="13E4BD43" w14:textId="77777777" w:rsidR="009B26AC" w:rsidRPr="00F864F1" w:rsidRDefault="009B26AC" w:rsidP="00F864F1">
      <w:pPr>
        <w:ind w:left="142" w:hanging="142"/>
        <w:jc w:val="center"/>
        <w:rPr>
          <w:rFonts w:ascii="Times New Roman" w:hAnsi="Times New Roman"/>
          <w:b/>
          <w:bCs/>
          <w:color w:val="000000"/>
          <w:sz w:val="18"/>
          <w:szCs w:val="18"/>
          <w:lang w:val="uk-UA"/>
        </w:rPr>
      </w:pPr>
      <w:r w:rsidRPr="00F864F1">
        <w:rPr>
          <w:rFonts w:ascii="Times New Roman" w:hAnsi="Times New Roman"/>
          <w:b/>
          <w:bCs/>
          <w:color w:val="000000"/>
          <w:sz w:val="18"/>
          <w:szCs w:val="18"/>
          <w:lang w:val="uk-UA"/>
        </w:rPr>
        <w:t xml:space="preserve">Депозитарна установа ТОВ </w:t>
      </w:r>
      <w:r w:rsidR="00022F5F" w:rsidRPr="00F864F1">
        <w:rPr>
          <w:rFonts w:ascii="Times New Roman" w:hAnsi="Times New Roman"/>
          <w:b/>
          <w:bCs/>
          <w:color w:val="000000"/>
          <w:sz w:val="18"/>
          <w:szCs w:val="18"/>
          <w:lang w:val="uk-UA"/>
        </w:rPr>
        <w:t>"</w:t>
      </w:r>
      <w:r w:rsidR="00E16672" w:rsidRPr="00F864F1">
        <w:rPr>
          <w:rFonts w:ascii="Times New Roman" w:hAnsi="Times New Roman"/>
          <w:b/>
          <w:bCs/>
          <w:color w:val="000000"/>
          <w:sz w:val="18"/>
          <w:szCs w:val="18"/>
          <w:lang w:val="uk-UA"/>
        </w:rPr>
        <w:t>КОМЕКС ЦІННІ ПАПЕРИ</w:t>
      </w:r>
      <w:r w:rsidR="00022F5F" w:rsidRPr="00F864F1">
        <w:rPr>
          <w:rFonts w:ascii="Times New Roman" w:hAnsi="Times New Roman"/>
          <w:b/>
          <w:bCs/>
          <w:color w:val="000000"/>
          <w:sz w:val="18"/>
          <w:szCs w:val="18"/>
          <w:lang w:val="uk-UA"/>
        </w:rPr>
        <w:t>"</w:t>
      </w:r>
      <w:r w:rsidR="002506EC" w:rsidRPr="00F864F1">
        <w:rPr>
          <w:rFonts w:ascii="Times New Roman" w:hAnsi="Times New Roman"/>
          <w:b/>
          <w:bCs/>
          <w:color w:val="000000"/>
          <w:sz w:val="18"/>
          <w:szCs w:val="18"/>
          <w:lang w:val="uk-UA"/>
        </w:rPr>
        <w:t>,</w:t>
      </w:r>
      <w:r w:rsidRPr="00F864F1">
        <w:rPr>
          <w:rFonts w:ascii="Times New Roman" w:hAnsi="Times New Roman"/>
          <w:b/>
          <w:bCs/>
          <w:color w:val="000000"/>
          <w:sz w:val="18"/>
          <w:szCs w:val="18"/>
          <w:lang w:val="uk-UA"/>
        </w:rPr>
        <w:t xml:space="preserve">  ЄДРПОУ </w:t>
      </w:r>
      <w:r w:rsidR="00E16672" w:rsidRPr="00F864F1">
        <w:rPr>
          <w:rFonts w:ascii="Times New Roman" w:hAnsi="Times New Roman"/>
          <w:b/>
          <w:bCs/>
          <w:color w:val="000000"/>
          <w:sz w:val="18"/>
          <w:szCs w:val="18"/>
          <w:lang w:val="uk-UA"/>
        </w:rPr>
        <w:t>33153077</w:t>
      </w:r>
    </w:p>
    <w:p w14:paraId="493D7F64" w14:textId="77777777" w:rsidR="009B26AC" w:rsidRPr="00E16672" w:rsidRDefault="009B26AC" w:rsidP="009B26AC">
      <w:pPr>
        <w:ind w:left="142" w:hanging="142"/>
        <w:jc w:val="center"/>
        <w:rPr>
          <w:rFonts w:ascii="Times New Roman" w:hAnsi="Times New Roman"/>
          <w:bCs/>
          <w:sz w:val="18"/>
          <w:szCs w:val="18"/>
          <w:lang w:val="uk-UA"/>
        </w:rPr>
      </w:pPr>
      <w:r w:rsidRPr="00E16672">
        <w:rPr>
          <w:rFonts w:ascii="Times New Roman" w:hAnsi="Times New Roman"/>
          <w:bCs/>
          <w:sz w:val="18"/>
          <w:szCs w:val="18"/>
          <w:lang w:val="uk-UA"/>
        </w:rPr>
        <w:t>Ліцензія серія АЕ №</w:t>
      </w:r>
      <w:r w:rsidR="00E16672" w:rsidRPr="00E16672">
        <w:rPr>
          <w:rFonts w:ascii="Times New Roman" w:hAnsi="Times New Roman"/>
          <w:bCs/>
          <w:sz w:val="18"/>
          <w:szCs w:val="18"/>
          <w:lang w:val="uk-UA"/>
        </w:rPr>
        <w:t>263429</w:t>
      </w:r>
      <w:r w:rsidRPr="00E16672">
        <w:rPr>
          <w:rFonts w:ascii="Times New Roman" w:hAnsi="Times New Roman"/>
          <w:bCs/>
          <w:sz w:val="18"/>
          <w:szCs w:val="18"/>
          <w:lang w:val="uk-UA"/>
        </w:rPr>
        <w:t xml:space="preserve"> від </w:t>
      </w:r>
      <w:r w:rsidR="006E3B0B">
        <w:rPr>
          <w:rFonts w:ascii="Times New Roman" w:hAnsi="Times New Roman"/>
          <w:bCs/>
          <w:sz w:val="18"/>
          <w:szCs w:val="18"/>
          <w:lang w:val="uk-UA"/>
        </w:rPr>
        <w:t>01 жовтня 2013</w:t>
      </w:r>
      <w:r w:rsidRPr="00E16672">
        <w:rPr>
          <w:rFonts w:ascii="Times New Roman" w:hAnsi="Times New Roman"/>
          <w:bCs/>
          <w:sz w:val="18"/>
          <w:szCs w:val="18"/>
          <w:lang w:val="uk-UA"/>
        </w:rPr>
        <w:t xml:space="preserve"> р.,</w:t>
      </w:r>
    </w:p>
    <w:p w14:paraId="574D072D" w14:textId="77777777" w:rsidR="009B26AC" w:rsidRPr="00E16672" w:rsidRDefault="009B26AC" w:rsidP="009B26AC">
      <w:pPr>
        <w:jc w:val="center"/>
        <w:rPr>
          <w:rFonts w:ascii="Times New Roman" w:hAnsi="Times New Roman"/>
          <w:bCs/>
          <w:sz w:val="18"/>
          <w:szCs w:val="18"/>
          <w:lang w:val="uk-UA"/>
        </w:rPr>
      </w:pPr>
      <w:r w:rsidRPr="00E16672">
        <w:rPr>
          <w:rFonts w:ascii="Times New Roman" w:hAnsi="Times New Roman"/>
          <w:bCs/>
          <w:sz w:val="18"/>
          <w:szCs w:val="18"/>
          <w:lang w:val="uk-UA"/>
        </w:rPr>
        <w:t xml:space="preserve">Адреса: </w:t>
      </w:r>
      <w:r w:rsidR="006E3B0B">
        <w:rPr>
          <w:rFonts w:ascii="Times New Roman" w:hAnsi="Times New Roman"/>
          <w:bCs/>
          <w:sz w:val="18"/>
          <w:szCs w:val="18"/>
          <w:lang w:val="uk-UA"/>
        </w:rPr>
        <w:t xml:space="preserve">03150, </w:t>
      </w:r>
      <w:proofErr w:type="spellStart"/>
      <w:r w:rsidR="006E3B0B">
        <w:rPr>
          <w:rFonts w:ascii="Times New Roman" w:hAnsi="Times New Roman"/>
          <w:bCs/>
          <w:sz w:val="18"/>
          <w:szCs w:val="18"/>
          <w:lang w:val="uk-UA"/>
        </w:rPr>
        <w:t>м.Київ</w:t>
      </w:r>
      <w:proofErr w:type="spellEnd"/>
      <w:r w:rsidR="006E3B0B">
        <w:rPr>
          <w:rFonts w:ascii="Times New Roman" w:hAnsi="Times New Roman"/>
          <w:bCs/>
          <w:sz w:val="18"/>
          <w:szCs w:val="18"/>
          <w:lang w:val="uk-UA"/>
        </w:rPr>
        <w:t>, Велика Васильківська (колишня Червоноармійська) вул., буд. 65</w:t>
      </w:r>
    </w:p>
    <w:p w14:paraId="4119401C" w14:textId="77777777" w:rsidR="009B26AC" w:rsidRPr="00E16672" w:rsidRDefault="009B26AC" w:rsidP="009B26AC">
      <w:pPr>
        <w:tabs>
          <w:tab w:val="left" w:pos="288"/>
          <w:tab w:val="left" w:pos="720"/>
          <w:tab w:val="left" w:pos="1008"/>
          <w:tab w:val="left" w:pos="1584"/>
          <w:tab w:val="left" w:pos="2160"/>
          <w:tab w:val="left" w:pos="3600"/>
        </w:tabs>
        <w:ind w:right="1"/>
        <w:jc w:val="center"/>
        <w:rPr>
          <w:rFonts w:ascii="Times New Roman" w:hAnsi="Times New Roman"/>
          <w:bCs/>
          <w:sz w:val="18"/>
          <w:szCs w:val="18"/>
          <w:lang w:val="uk-UA"/>
        </w:rPr>
      </w:pPr>
      <w:r w:rsidRPr="00E16672">
        <w:rPr>
          <w:rFonts w:ascii="Times New Roman" w:hAnsi="Times New Roman"/>
          <w:bCs/>
          <w:sz w:val="18"/>
          <w:szCs w:val="18"/>
          <w:lang w:val="uk-UA"/>
        </w:rPr>
        <w:t>Рахунок в Центральному Депозитарії №100024-UA40</w:t>
      </w:r>
      <w:r w:rsidR="006E3B0B">
        <w:rPr>
          <w:rFonts w:ascii="Times New Roman" w:hAnsi="Times New Roman"/>
          <w:bCs/>
          <w:sz w:val="18"/>
          <w:szCs w:val="18"/>
          <w:lang w:val="uk-UA"/>
        </w:rPr>
        <w:t>401265</w:t>
      </w:r>
      <w:r w:rsidRPr="00E16672">
        <w:rPr>
          <w:rFonts w:ascii="Times New Roman" w:hAnsi="Times New Roman"/>
          <w:bCs/>
          <w:sz w:val="18"/>
          <w:szCs w:val="18"/>
          <w:lang w:val="uk-UA"/>
        </w:rPr>
        <w:t xml:space="preserve">, код МДО </w:t>
      </w:r>
      <w:r w:rsidR="006E3B0B">
        <w:rPr>
          <w:rFonts w:ascii="Times New Roman" w:hAnsi="Times New Roman"/>
          <w:bCs/>
          <w:sz w:val="18"/>
          <w:szCs w:val="18"/>
          <w:lang w:val="uk-UA"/>
        </w:rPr>
        <w:t>401265</w:t>
      </w:r>
    </w:p>
    <w:p w14:paraId="00BD4832" w14:textId="77777777" w:rsidR="009B26AC" w:rsidRPr="00E16672" w:rsidRDefault="009B26AC" w:rsidP="009B26AC">
      <w:pPr>
        <w:tabs>
          <w:tab w:val="left" w:pos="288"/>
          <w:tab w:val="left" w:pos="720"/>
          <w:tab w:val="left" w:pos="1008"/>
          <w:tab w:val="left" w:pos="1584"/>
          <w:tab w:val="left" w:pos="2160"/>
          <w:tab w:val="left" w:pos="3600"/>
        </w:tabs>
        <w:ind w:right="1"/>
        <w:jc w:val="center"/>
        <w:rPr>
          <w:rFonts w:ascii="Times New Roman" w:hAnsi="Times New Roman"/>
          <w:bCs/>
          <w:sz w:val="18"/>
          <w:szCs w:val="18"/>
          <w:lang w:val="uk-UA"/>
        </w:rPr>
      </w:pPr>
    </w:p>
    <w:p w14:paraId="7887475B" w14:textId="77777777" w:rsidR="009B26AC" w:rsidRPr="00E16672" w:rsidRDefault="00565242" w:rsidP="009B26AC">
      <w:pPr>
        <w:tabs>
          <w:tab w:val="left" w:pos="288"/>
          <w:tab w:val="left" w:pos="720"/>
          <w:tab w:val="left" w:pos="1008"/>
          <w:tab w:val="left" w:pos="1584"/>
          <w:tab w:val="left" w:pos="2160"/>
          <w:tab w:val="left" w:pos="3600"/>
        </w:tabs>
        <w:ind w:right="1"/>
        <w:jc w:val="center"/>
        <w:rPr>
          <w:rFonts w:ascii="Times New Roman" w:hAnsi="Times New Roman"/>
          <w:bCs/>
          <w:sz w:val="18"/>
          <w:szCs w:val="18"/>
          <w:lang w:val="uk-UA"/>
        </w:rPr>
      </w:pPr>
      <w:r>
        <w:rPr>
          <w:rFonts w:ascii="Times New Roman" w:hAnsi="Times New Roman"/>
          <w:bCs/>
          <w:sz w:val="18"/>
          <w:szCs w:val="18"/>
          <w:lang w:val="uk-UA"/>
        </w:rPr>
        <w:t xml:space="preserve">COMEX </w:t>
      </w:r>
      <w:proofErr w:type="spellStart"/>
      <w:r>
        <w:rPr>
          <w:rFonts w:ascii="Times New Roman" w:hAnsi="Times New Roman"/>
          <w:bCs/>
          <w:sz w:val="18"/>
          <w:szCs w:val="18"/>
          <w:lang w:val="uk-UA"/>
        </w:rPr>
        <w:t>Securities</w:t>
      </w:r>
      <w:proofErr w:type="spellEnd"/>
      <w:r>
        <w:rPr>
          <w:rFonts w:ascii="Times New Roman" w:hAnsi="Times New Roman"/>
          <w:bCs/>
          <w:sz w:val="18"/>
          <w:szCs w:val="18"/>
          <w:lang w:val="uk-UA"/>
        </w:rPr>
        <w:t xml:space="preserve"> </w:t>
      </w:r>
      <w:proofErr w:type="spellStart"/>
      <w:r>
        <w:rPr>
          <w:rFonts w:ascii="Times New Roman" w:hAnsi="Times New Roman"/>
          <w:bCs/>
          <w:sz w:val="18"/>
          <w:szCs w:val="18"/>
          <w:lang w:val="uk-UA"/>
        </w:rPr>
        <w:t>Limited</w:t>
      </w:r>
      <w:proofErr w:type="spellEnd"/>
      <w:r w:rsidR="009B26AC" w:rsidRPr="00E16672">
        <w:rPr>
          <w:rFonts w:ascii="Times New Roman" w:hAnsi="Times New Roman"/>
          <w:bCs/>
          <w:sz w:val="18"/>
          <w:szCs w:val="18"/>
          <w:lang w:val="uk-UA"/>
        </w:rPr>
        <w:t xml:space="preserve">,  </w:t>
      </w:r>
      <w:proofErr w:type="spellStart"/>
      <w:r w:rsidR="009B26AC" w:rsidRPr="00E16672">
        <w:rPr>
          <w:rFonts w:ascii="Times New Roman" w:hAnsi="Times New Roman"/>
          <w:bCs/>
          <w:sz w:val="18"/>
          <w:szCs w:val="18"/>
          <w:lang w:val="uk-UA"/>
        </w:rPr>
        <w:t>registration</w:t>
      </w:r>
      <w:proofErr w:type="spellEnd"/>
      <w:r w:rsidR="009B26AC" w:rsidRPr="00E16672">
        <w:rPr>
          <w:rFonts w:ascii="Times New Roman" w:hAnsi="Times New Roman"/>
          <w:bCs/>
          <w:sz w:val="18"/>
          <w:szCs w:val="18"/>
          <w:lang w:val="uk-UA"/>
        </w:rPr>
        <w:t xml:space="preserve"> </w:t>
      </w:r>
      <w:proofErr w:type="spellStart"/>
      <w:r w:rsidR="009B26AC" w:rsidRPr="00E16672">
        <w:rPr>
          <w:rFonts w:ascii="Times New Roman" w:hAnsi="Times New Roman"/>
          <w:bCs/>
          <w:sz w:val="18"/>
          <w:szCs w:val="18"/>
          <w:lang w:val="uk-UA"/>
        </w:rPr>
        <w:t>code</w:t>
      </w:r>
      <w:proofErr w:type="spellEnd"/>
      <w:r w:rsidR="009B26AC" w:rsidRPr="00E16672">
        <w:rPr>
          <w:rFonts w:ascii="Times New Roman" w:hAnsi="Times New Roman"/>
          <w:bCs/>
          <w:sz w:val="18"/>
          <w:szCs w:val="18"/>
          <w:lang w:val="uk-UA"/>
        </w:rPr>
        <w:t xml:space="preserve"> </w:t>
      </w:r>
      <w:r w:rsidR="00E16672" w:rsidRPr="00E16672">
        <w:rPr>
          <w:rFonts w:ascii="Times New Roman" w:hAnsi="Times New Roman"/>
          <w:bCs/>
          <w:sz w:val="18"/>
          <w:szCs w:val="18"/>
          <w:lang w:val="uk-UA"/>
        </w:rPr>
        <w:t>33153077</w:t>
      </w:r>
      <w:r w:rsidR="009B26AC" w:rsidRPr="00E16672">
        <w:rPr>
          <w:rFonts w:ascii="Times New Roman" w:hAnsi="Times New Roman"/>
          <w:bCs/>
          <w:sz w:val="18"/>
          <w:szCs w:val="18"/>
          <w:lang w:val="uk-UA"/>
        </w:rPr>
        <w:t>,</w:t>
      </w:r>
    </w:p>
    <w:p w14:paraId="78C959CE" w14:textId="77777777" w:rsidR="009B26AC" w:rsidRPr="00E16672" w:rsidRDefault="009B26AC" w:rsidP="009B26AC">
      <w:pPr>
        <w:jc w:val="center"/>
        <w:rPr>
          <w:rFonts w:ascii="Times New Roman" w:hAnsi="Times New Roman"/>
          <w:bCs/>
          <w:sz w:val="18"/>
          <w:szCs w:val="18"/>
          <w:lang w:val="uk-UA"/>
        </w:rPr>
      </w:pPr>
      <w:proofErr w:type="spellStart"/>
      <w:r w:rsidRPr="00E16672">
        <w:rPr>
          <w:rFonts w:ascii="Times New Roman" w:hAnsi="Times New Roman"/>
          <w:bCs/>
          <w:sz w:val="18"/>
          <w:szCs w:val="18"/>
          <w:lang w:val="uk-UA"/>
        </w:rPr>
        <w:t>License</w:t>
      </w:r>
      <w:proofErr w:type="spellEnd"/>
      <w:r w:rsidRPr="00E16672">
        <w:rPr>
          <w:rFonts w:ascii="Times New Roman" w:hAnsi="Times New Roman"/>
          <w:bCs/>
          <w:sz w:val="18"/>
          <w:szCs w:val="18"/>
          <w:lang w:val="uk-UA"/>
        </w:rPr>
        <w:t xml:space="preserve">  АE № </w:t>
      </w:r>
      <w:r w:rsidR="00E16672" w:rsidRPr="00E16672">
        <w:rPr>
          <w:rFonts w:ascii="Times New Roman" w:hAnsi="Times New Roman"/>
          <w:bCs/>
          <w:sz w:val="18"/>
          <w:szCs w:val="18"/>
          <w:lang w:val="uk-UA"/>
        </w:rPr>
        <w:t>263429</w:t>
      </w:r>
      <w:r w:rsidRPr="00E16672">
        <w:rPr>
          <w:rFonts w:ascii="Times New Roman" w:hAnsi="Times New Roman"/>
          <w:bCs/>
          <w:sz w:val="18"/>
          <w:szCs w:val="18"/>
          <w:lang w:val="uk-UA"/>
        </w:rPr>
        <w:t xml:space="preserve"> </w:t>
      </w:r>
      <w:proofErr w:type="spellStart"/>
      <w:r w:rsidRPr="00E16672">
        <w:rPr>
          <w:rFonts w:ascii="Times New Roman" w:hAnsi="Times New Roman"/>
          <w:bCs/>
          <w:sz w:val="18"/>
          <w:szCs w:val="18"/>
          <w:lang w:val="uk-UA"/>
        </w:rPr>
        <w:t>dd</w:t>
      </w:r>
      <w:proofErr w:type="spellEnd"/>
      <w:r w:rsidRPr="00E16672">
        <w:rPr>
          <w:rFonts w:ascii="Times New Roman" w:hAnsi="Times New Roman"/>
          <w:bCs/>
          <w:sz w:val="18"/>
          <w:szCs w:val="18"/>
          <w:lang w:val="uk-UA"/>
        </w:rPr>
        <w:t xml:space="preserve">. </w:t>
      </w:r>
      <w:r w:rsidR="00E16672" w:rsidRPr="00E16672">
        <w:rPr>
          <w:rFonts w:ascii="Times New Roman" w:hAnsi="Times New Roman"/>
          <w:bCs/>
          <w:sz w:val="18"/>
          <w:szCs w:val="18"/>
          <w:lang w:val="uk-UA"/>
        </w:rPr>
        <w:t>01.10.2013</w:t>
      </w:r>
      <w:r w:rsidRPr="00E16672">
        <w:rPr>
          <w:rFonts w:ascii="Times New Roman" w:hAnsi="Times New Roman"/>
          <w:bCs/>
          <w:sz w:val="18"/>
          <w:szCs w:val="18"/>
          <w:lang w:val="uk-UA"/>
        </w:rPr>
        <w:t>,</w:t>
      </w:r>
    </w:p>
    <w:p w14:paraId="5F8720DB" w14:textId="77777777" w:rsidR="009B26AC" w:rsidRPr="00E16672" w:rsidRDefault="009B26AC" w:rsidP="009B26AC">
      <w:pPr>
        <w:jc w:val="center"/>
        <w:rPr>
          <w:rFonts w:ascii="Times New Roman" w:hAnsi="Times New Roman"/>
          <w:bCs/>
          <w:sz w:val="18"/>
          <w:szCs w:val="18"/>
          <w:lang w:val="uk-UA"/>
        </w:rPr>
      </w:pPr>
      <w:proofErr w:type="spellStart"/>
      <w:r w:rsidRPr="00E16672">
        <w:rPr>
          <w:rFonts w:ascii="Times New Roman" w:hAnsi="Times New Roman"/>
          <w:bCs/>
          <w:sz w:val="18"/>
          <w:szCs w:val="18"/>
          <w:lang w:val="uk-UA"/>
        </w:rPr>
        <w:t>Address</w:t>
      </w:r>
      <w:proofErr w:type="spellEnd"/>
      <w:r w:rsidRPr="00E16672">
        <w:rPr>
          <w:rFonts w:ascii="Times New Roman" w:hAnsi="Times New Roman"/>
          <w:bCs/>
          <w:sz w:val="18"/>
          <w:szCs w:val="18"/>
          <w:lang w:val="uk-UA"/>
        </w:rPr>
        <w:t xml:space="preserve">: </w:t>
      </w:r>
      <w:r w:rsidR="006E3B0B">
        <w:rPr>
          <w:rFonts w:ascii="Times New Roman" w:hAnsi="Times New Roman"/>
          <w:bCs/>
          <w:sz w:val="18"/>
          <w:szCs w:val="18"/>
          <w:lang w:val="uk-UA"/>
        </w:rPr>
        <w:t xml:space="preserve">03150, </w:t>
      </w:r>
      <w:proofErr w:type="spellStart"/>
      <w:r w:rsidR="006E3B0B">
        <w:rPr>
          <w:rFonts w:ascii="Times New Roman" w:hAnsi="Times New Roman"/>
          <w:bCs/>
          <w:sz w:val="18"/>
          <w:szCs w:val="18"/>
          <w:lang w:val="uk-UA"/>
        </w:rPr>
        <w:t>Kyiv</w:t>
      </w:r>
      <w:proofErr w:type="spellEnd"/>
      <w:r w:rsidR="006E3B0B">
        <w:rPr>
          <w:rFonts w:ascii="Times New Roman" w:hAnsi="Times New Roman"/>
          <w:bCs/>
          <w:sz w:val="18"/>
          <w:szCs w:val="18"/>
          <w:lang w:val="uk-UA"/>
        </w:rPr>
        <w:t xml:space="preserve">, </w:t>
      </w:r>
      <w:proofErr w:type="spellStart"/>
      <w:r w:rsidR="006E3B0B">
        <w:rPr>
          <w:rFonts w:ascii="Times New Roman" w:hAnsi="Times New Roman"/>
          <w:bCs/>
          <w:sz w:val="18"/>
          <w:szCs w:val="18"/>
          <w:lang w:val="uk-UA"/>
        </w:rPr>
        <w:t>Velyka</w:t>
      </w:r>
      <w:proofErr w:type="spellEnd"/>
      <w:r w:rsidR="006E3B0B">
        <w:rPr>
          <w:rFonts w:ascii="Times New Roman" w:hAnsi="Times New Roman"/>
          <w:bCs/>
          <w:sz w:val="18"/>
          <w:szCs w:val="18"/>
          <w:lang w:val="uk-UA"/>
        </w:rPr>
        <w:t xml:space="preserve"> </w:t>
      </w:r>
      <w:proofErr w:type="spellStart"/>
      <w:r w:rsidR="006E3B0B">
        <w:rPr>
          <w:rFonts w:ascii="Times New Roman" w:hAnsi="Times New Roman"/>
          <w:bCs/>
          <w:sz w:val="18"/>
          <w:szCs w:val="18"/>
          <w:lang w:val="uk-UA"/>
        </w:rPr>
        <w:t>Vasilkivska</w:t>
      </w:r>
      <w:proofErr w:type="spellEnd"/>
      <w:r w:rsidR="006E3B0B">
        <w:rPr>
          <w:rFonts w:ascii="Times New Roman" w:hAnsi="Times New Roman"/>
          <w:bCs/>
          <w:sz w:val="18"/>
          <w:szCs w:val="18"/>
          <w:lang w:val="uk-UA"/>
        </w:rPr>
        <w:t xml:space="preserve"> (</w:t>
      </w:r>
      <w:proofErr w:type="spellStart"/>
      <w:r w:rsidR="006E3B0B">
        <w:rPr>
          <w:rFonts w:ascii="Times New Roman" w:hAnsi="Times New Roman"/>
          <w:bCs/>
          <w:sz w:val="18"/>
          <w:szCs w:val="18"/>
          <w:lang w:val="uk-UA"/>
        </w:rPr>
        <w:t>former</w:t>
      </w:r>
      <w:proofErr w:type="spellEnd"/>
      <w:r w:rsidR="006E3B0B">
        <w:rPr>
          <w:rFonts w:ascii="Times New Roman" w:hAnsi="Times New Roman"/>
          <w:bCs/>
          <w:sz w:val="18"/>
          <w:szCs w:val="18"/>
          <w:lang w:val="uk-UA"/>
        </w:rPr>
        <w:t xml:space="preserve"> </w:t>
      </w:r>
      <w:proofErr w:type="spellStart"/>
      <w:r w:rsidR="006E3B0B">
        <w:rPr>
          <w:rFonts w:ascii="Times New Roman" w:hAnsi="Times New Roman"/>
          <w:bCs/>
          <w:sz w:val="18"/>
          <w:szCs w:val="18"/>
          <w:lang w:val="uk-UA"/>
        </w:rPr>
        <w:t>Chervonoarmiyska</w:t>
      </w:r>
      <w:proofErr w:type="spellEnd"/>
      <w:r w:rsidR="006E3B0B">
        <w:rPr>
          <w:rFonts w:ascii="Times New Roman" w:hAnsi="Times New Roman"/>
          <w:bCs/>
          <w:sz w:val="18"/>
          <w:szCs w:val="18"/>
          <w:lang w:val="uk-UA"/>
        </w:rPr>
        <w:t xml:space="preserve">) </w:t>
      </w:r>
      <w:proofErr w:type="spellStart"/>
      <w:r w:rsidR="006E3B0B">
        <w:rPr>
          <w:rFonts w:ascii="Times New Roman" w:hAnsi="Times New Roman"/>
          <w:bCs/>
          <w:sz w:val="18"/>
          <w:szCs w:val="18"/>
          <w:lang w:val="uk-UA"/>
        </w:rPr>
        <w:t>str</w:t>
      </w:r>
      <w:proofErr w:type="spellEnd"/>
      <w:r w:rsidR="006E3B0B">
        <w:rPr>
          <w:rFonts w:ascii="Times New Roman" w:hAnsi="Times New Roman"/>
          <w:bCs/>
          <w:sz w:val="18"/>
          <w:szCs w:val="18"/>
          <w:lang w:val="uk-UA"/>
        </w:rPr>
        <w:t>., 65</w:t>
      </w:r>
    </w:p>
    <w:p w14:paraId="5E04567C" w14:textId="77777777" w:rsidR="009B26AC" w:rsidRPr="00E16672" w:rsidRDefault="009B26AC" w:rsidP="009B26AC">
      <w:pPr>
        <w:jc w:val="center"/>
        <w:rPr>
          <w:rFonts w:ascii="Times New Roman" w:hAnsi="Times New Roman"/>
          <w:bCs/>
          <w:sz w:val="18"/>
          <w:szCs w:val="18"/>
          <w:lang w:val="uk-UA"/>
        </w:rPr>
      </w:pPr>
      <w:proofErr w:type="spellStart"/>
      <w:r w:rsidRPr="00E16672">
        <w:rPr>
          <w:rFonts w:ascii="Times New Roman" w:hAnsi="Times New Roman"/>
          <w:bCs/>
          <w:sz w:val="18"/>
          <w:szCs w:val="18"/>
          <w:lang w:val="uk-UA"/>
        </w:rPr>
        <w:t>Accounts</w:t>
      </w:r>
      <w:proofErr w:type="spellEnd"/>
      <w:r w:rsidRPr="00E16672">
        <w:rPr>
          <w:rFonts w:ascii="Times New Roman" w:hAnsi="Times New Roman"/>
          <w:bCs/>
          <w:sz w:val="18"/>
          <w:szCs w:val="18"/>
          <w:lang w:val="uk-UA"/>
        </w:rPr>
        <w:t xml:space="preserve"> </w:t>
      </w:r>
      <w:proofErr w:type="spellStart"/>
      <w:r w:rsidRPr="00E16672">
        <w:rPr>
          <w:rFonts w:ascii="Times New Roman" w:hAnsi="Times New Roman"/>
          <w:bCs/>
          <w:sz w:val="18"/>
          <w:szCs w:val="18"/>
          <w:lang w:val="uk-UA"/>
        </w:rPr>
        <w:t>in</w:t>
      </w:r>
      <w:proofErr w:type="spellEnd"/>
      <w:r w:rsidRPr="00E16672">
        <w:rPr>
          <w:rFonts w:ascii="Times New Roman" w:hAnsi="Times New Roman"/>
          <w:bCs/>
          <w:sz w:val="18"/>
          <w:szCs w:val="18"/>
          <w:lang w:val="uk-UA"/>
        </w:rPr>
        <w:t xml:space="preserve"> </w:t>
      </w:r>
      <w:proofErr w:type="spellStart"/>
      <w:r w:rsidRPr="00E16672">
        <w:rPr>
          <w:rFonts w:ascii="Times New Roman" w:hAnsi="Times New Roman"/>
          <w:bCs/>
          <w:sz w:val="18"/>
          <w:szCs w:val="18"/>
          <w:lang w:val="uk-UA"/>
        </w:rPr>
        <w:t>the</w:t>
      </w:r>
      <w:proofErr w:type="spellEnd"/>
      <w:r w:rsidRPr="00E16672">
        <w:rPr>
          <w:rFonts w:ascii="Times New Roman" w:hAnsi="Times New Roman"/>
          <w:bCs/>
          <w:sz w:val="18"/>
          <w:szCs w:val="18"/>
          <w:lang w:val="uk-UA"/>
        </w:rPr>
        <w:t xml:space="preserve"> </w:t>
      </w:r>
      <w:proofErr w:type="spellStart"/>
      <w:r w:rsidRPr="00E16672">
        <w:rPr>
          <w:rFonts w:ascii="Times New Roman" w:hAnsi="Times New Roman"/>
          <w:bCs/>
          <w:sz w:val="18"/>
          <w:szCs w:val="18"/>
          <w:lang w:val="uk-UA"/>
        </w:rPr>
        <w:t>Central</w:t>
      </w:r>
      <w:proofErr w:type="spellEnd"/>
      <w:r w:rsidRPr="00E16672">
        <w:rPr>
          <w:rFonts w:ascii="Times New Roman" w:hAnsi="Times New Roman"/>
          <w:bCs/>
          <w:sz w:val="18"/>
          <w:szCs w:val="18"/>
          <w:lang w:val="uk-UA"/>
        </w:rPr>
        <w:t xml:space="preserve"> </w:t>
      </w:r>
      <w:proofErr w:type="spellStart"/>
      <w:r w:rsidRPr="00E16672">
        <w:rPr>
          <w:rFonts w:ascii="Times New Roman" w:hAnsi="Times New Roman"/>
          <w:bCs/>
          <w:sz w:val="18"/>
          <w:szCs w:val="18"/>
          <w:lang w:val="uk-UA"/>
        </w:rPr>
        <w:t>Depository</w:t>
      </w:r>
      <w:proofErr w:type="spellEnd"/>
      <w:r w:rsidRPr="00E16672">
        <w:rPr>
          <w:rFonts w:ascii="Times New Roman" w:hAnsi="Times New Roman"/>
          <w:bCs/>
          <w:sz w:val="18"/>
          <w:szCs w:val="18"/>
          <w:lang w:val="uk-UA"/>
        </w:rPr>
        <w:t xml:space="preserve"> №100024-UA40</w:t>
      </w:r>
      <w:r w:rsidR="006E3B0B">
        <w:rPr>
          <w:rFonts w:ascii="Times New Roman" w:hAnsi="Times New Roman"/>
          <w:bCs/>
          <w:sz w:val="18"/>
          <w:szCs w:val="18"/>
          <w:lang w:val="uk-UA"/>
        </w:rPr>
        <w:t>401265</w:t>
      </w:r>
      <w:r w:rsidRPr="00E16672">
        <w:rPr>
          <w:rFonts w:ascii="Times New Roman" w:hAnsi="Times New Roman"/>
          <w:bCs/>
          <w:sz w:val="18"/>
          <w:szCs w:val="18"/>
          <w:lang w:val="uk-UA"/>
        </w:rPr>
        <w:t xml:space="preserve">, </w:t>
      </w:r>
      <w:proofErr w:type="spellStart"/>
      <w:r w:rsidRPr="00E16672">
        <w:rPr>
          <w:rFonts w:ascii="Times New Roman" w:hAnsi="Times New Roman"/>
          <w:bCs/>
          <w:sz w:val="18"/>
          <w:szCs w:val="18"/>
          <w:lang w:val="uk-UA"/>
        </w:rPr>
        <w:t>code</w:t>
      </w:r>
      <w:proofErr w:type="spellEnd"/>
      <w:r w:rsidRPr="00E16672">
        <w:rPr>
          <w:rFonts w:ascii="Times New Roman" w:hAnsi="Times New Roman"/>
          <w:bCs/>
          <w:sz w:val="18"/>
          <w:szCs w:val="18"/>
          <w:lang w:val="uk-UA"/>
        </w:rPr>
        <w:t xml:space="preserve"> MDO </w:t>
      </w:r>
      <w:r w:rsidR="006E3B0B">
        <w:rPr>
          <w:rFonts w:ascii="Times New Roman" w:hAnsi="Times New Roman"/>
          <w:bCs/>
          <w:sz w:val="18"/>
          <w:szCs w:val="18"/>
          <w:lang w:val="uk-UA"/>
        </w:rPr>
        <w:t>401265</w:t>
      </w:r>
    </w:p>
    <w:p w14:paraId="6776C696" w14:textId="77777777" w:rsidR="009B26AC" w:rsidRPr="00E16672" w:rsidRDefault="009B26AC" w:rsidP="009B26AC">
      <w:pPr>
        <w:tabs>
          <w:tab w:val="left" w:pos="288"/>
          <w:tab w:val="left" w:pos="720"/>
          <w:tab w:val="left" w:pos="1008"/>
          <w:tab w:val="left" w:pos="1584"/>
          <w:tab w:val="left" w:pos="2160"/>
          <w:tab w:val="left" w:pos="3600"/>
        </w:tabs>
        <w:ind w:right="1"/>
        <w:jc w:val="center"/>
        <w:rPr>
          <w:rFonts w:ascii="Times New Roman" w:hAnsi="Times New Roman"/>
          <w:bCs/>
          <w:szCs w:val="20"/>
          <w:lang w:val="uk-UA"/>
        </w:rPr>
      </w:pPr>
    </w:p>
    <w:p w14:paraId="52AD45C7" w14:textId="77777777" w:rsidR="00881B08" w:rsidRPr="00E16672" w:rsidRDefault="00881B08" w:rsidP="00881B08">
      <w:pPr>
        <w:jc w:val="center"/>
        <w:rPr>
          <w:rFonts w:ascii="Times New Roman" w:hAnsi="Times New Roman"/>
          <w:bCs/>
          <w:color w:val="000000"/>
          <w:sz w:val="22"/>
          <w:lang w:val="uk-UA"/>
        </w:rPr>
      </w:pPr>
    </w:p>
    <w:p w14:paraId="5C5AC29A" w14:textId="77777777" w:rsidR="002506EC" w:rsidRPr="00E16672" w:rsidRDefault="002506EC" w:rsidP="002506EC">
      <w:pPr>
        <w:rPr>
          <w:rFonts w:ascii="Times New Roman" w:hAnsi="Times New Roman"/>
          <w:lang w:val="uk-UA"/>
        </w:rPr>
      </w:pPr>
      <w:proofErr w:type="spellStart"/>
      <w:r w:rsidRPr="00E16672">
        <w:rPr>
          <w:rFonts w:ascii="Times New Roman" w:hAnsi="Times New Roman"/>
        </w:rPr>
        <w:t>Вих</w:t>
      </w:r>
      <w:proofErr w:type="spellEnd"/>
      <w:r w:rsidRPr="00E16672">
        <w:rPr>
          <w:rFonts w:ascii="Times New Roman" w:hAnsi="Times New Roman"/>
          <w:lang w:val="en-US"/>
        </w:rPr>
        <w:t xml:space="preserve">. /Our Ref. </w:t>
      </w:r>
      <w:r w:rsidRPr="00E16672">
        <w:rPr>
          <w:rFonts w:ascii="Times New Roman" w:hAnsi="Times New Roman"/>
          <w:lang w:val="uk-UA"/>
        </w:rPr>
        <w:t>№_________ від/</w:t>
      </w:r>
      <w:r w:rsidRPr="00E16672">
        <w:rPr>
          <w:rFonts w:ascii="Times New Roman" w:hAnsi="Times New Roman"/>
          <w:lang w:val="en-US"/>
        </w:rPr>
        <w:t>dd</w:t>
      </w:r>
      <w:r w:rsidRPr="00E16672">
        <w:rPr>
          <w:rFonts w:ascii="Times New Roman" w:hAnsi="Times New Roman"/>
          <w:lang w:val="uk-UA"/>
        </w:rPr>
        <w:t xml:space="preserve">. __________                 </w:t>
      </w:r>
      <w:r w:rsidRPr="00E16672">
        <w:rPr>
          <w:rFonts w:ascii="Times New Roman" w:hAnsi="Times New Roman"/>
          <w:lang w:val="en-US"/>
        </w:rPr>
        <w:t xml:space="preserve"> </w:t>
      </w:r>
    </w:p>
    <w:p w14:paraId="20E86996" w14:textId="77777777" w:rsidR="002506EC" w:rsidRPr="00E16672" w:rsidRDefault="002506EC" w:rsidP="002506EC">
      <w:pPr>
        <w:rPr>
          <w:rFonts w:ascii="Times New Roman" w:hAnsi="Times New Roman"/>
          <w:lang w:val="uk-UA"/>
        </w:rPr>
      </w:pPr>
      <w:r w:rsidRPr="00E16672">
        <w:rPr>
          <w:rFonts w:ascii="Times New Roman" w:hAnsi="Times New Roman"/>
          <w:lang w:val="uk-UA"/>
        </w:rPr>
        <w:t>На /</w:t>
      </w:r>
      <w:r w:rsidRPr="00E16672">
        <w:rPr>
          <w:rFonts w:ascii="Times New Roman" w:hAnsi="Times New Roman"/>
          <w:lang w:val="en-US"/>
        </w:rPr>
        <w:t>on</w:t>
      </w:r>
      <w:r w:rsidRPr="00E16672">
        <w:rPr>
          <w:rFonts w:ascii="Times New Roman" w:hAnsi="Times New Roman"/>
          <w:lang w:val="uk-UA"/>
        </w:rPr>
        <w:t xml:space="preserve"> </w:t>
      </w:r>
      <w:r w:rsidRPr="00E16672">
        <w:rPr>
          <w:rFonts w:ascii="Times New Roman" w:hAnsi="Times New Roman"/>
          <w:lang w:val="en-US"/>
        </w:rPr>
        <w:t>Your Ref.</w:t>
      </w:r>
      <w:r w:rsidRPr="00E16672">
        <w:rPr>
          <w:rFonts w:ascii="Times New Roman" w:hAnsi="Times New Roman"/>
          <w:lang w:val="uk-UA"/>
        </w:rPr>
        <w:t xml:space="preserve"> №________від/</w:t>
      </w:r>
      <w:r w:rsidRPr="00E16672">
        <w:rPr>
          <w:rFonts w:ascii="Times New Roman" w:hAnsi="Times New Roman"/>
          <w:lang w:val="en-US"/>
        </w:rPr>
        <w:t>dd</w:t>
      </w:r>
      <w:r w:rsidRPr="00E16672">
        <w:rPr>
          <w:rFonts w:ascii="Times New Roman" w:hAnsi="Times New Roman"/>
          <w:lang w:val="uk-UA"/>
        </w:rPr>
        <w:t>._______</w:t>
      </w:r>
      <w:r w:rsidRPr="00E16672">
        <w:rPr>
          <w:rFonts w:ascii="Times New Roman" w:hAnsi="Times New Roman"/>
          <w:lang w:val="en-US"/>
        </w:rPr>
        <w:t>_</w:t>
      </w:r>
      <w:r w:rsidRPr="00E16672">
        <w:rPr>
          <w:rFonts w:ascii="Times New Roman" w:hAnsi="Times New Roman"/>
          <w:lang w:val="uk-UA"/>
        </w:rPr>
        <w:t xml:space="preserve">__                                              </w:t>
      </w:r>
    </w:p>
    <w:p w14:paraId="0F275897" w14:textId="77777777" w:rsidR="00881B08" w:rsidRPr="00E16672" w:rsidRDefault="00881B08" w:rsidP="00881B08">
      <w:pPr>
        <w:rPr>
          <w:rFonts w:ascii="Times New Roman" w:hAnsi="Times New Roman"/>
          <w:color w:val="000000"/>
          <w:lang w:val="uk-UA"/>
        </w:rPr>
      </w:pPr>
    </w:p>
    <w:p w14:paraId="737E5C10" w14:textId="77777777" w:rsidR="00881B08" w:rsidRPr="00E16672" w:rsidRDefault="00F864F1" w:rsidP="00F864F1">
      <w:pPr>
        <w:spacing w:line="360" w:lineRule="auto"/>
        <w:jc w:val="right"/>
        <w:rPr>
          <w:rFonts w:ascii="Times New Roman" w:hAnsi="Times New Roman"/>
          <w:color w:val="000000"/>
          <w:lang w:val="uk-UA"/>
        </w:rPr>
      </w:pPr>
      <w:r>
        <w:rPr>
          <w:rFonts w:ascii="Times New Roman" w:hAnsi="Times New Roman"/>
          <w:color w:val="000000"/>
          <w:lang w:val="uk-UA"/>
        </w:rPr>
        <w:t>______________________________________</w:t>
      </w:r>
    </w:p>
    <w:p w14:paraId="519ECF64" w14:textId="77777777" w:rsidR="009B26AC" w:rsidRPr="00E16672" w:rsidRDefault="00F864F1" w:rsidP="00F864F1">
      <w:pPr>
        <w:spacing w:line="360" w:lineRule="auto"/>
        <w:jc w:val="right"/>
        <w:rPr>
          <w:rFonts w:ascii="Times New Roman" w:hAnsi="Times New Roman"/>
          <w:color w:val="000000"/>
          <w:lang w:val="uk-UA"/>
        </w:rPr>
      </w:pPr>
      <w:r>
        <w:rPr>
          <w:rFonts w:ascii="Times New Roman" w:hAnsi="Times New Roman"/>
          <w:color w:val="000000"/>
          <w:lang w:val="uk-UA"/>
        </w:rPr>
        <w:t>______________________________________</w:t>
      </w:r>
    </w:p>
    <w:p w14:paraId="548719A7" w14:textId="77777777" w:rsidR="009B26AC" w:rsidRDefault="009B26AC" w:rsidP="00881B08">
      <w:pPr>
        <w:spacing w:line="360" w:lineRule="auto"/>
        <w:jc w:val="center"/>
        <w:rPr>
          <w:rFonts w:ascii="Times New Roman" w:hAnsi="Times New Roman"/>
          <w:color w:val="000000"/>
          <w:lang w:val="uk-UA"/>
        </w:rPr>
      </w:pPr>
    </w:p>
    <w:p w14:paraId="5DEFEBD7" w14:textId="77777777" w:rsidR="00F864F1" w:rsidRPr="00E16672" w:rsidRDefault="00F864F1" w:rsidP="00881B08">
      <w:pPr>
        <w:spacing w:line="360" w:lineRule="auto"/>
        <w:jc w:val="center"/>
        <w:rPr>
          <w:rFonts w:ascii="Times New Roman" w:hAnsi="Times New Roman"/>
          <w:color w:val="000000"/>
          <w:lang w:val="uk-UA"/>
        </w:rPr>
      </w:pPr>
    </w:p>
    <w:tbl>
      <w:tblPr>
        <w:tblStyle w:val="aff8"/>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533"/>
      </w:tblGrid>
      <w:tr w:rsidR="00452C77" w:rsidRPr="00E16672" w14:paraId="57ACF558" w14:textId="77777777" w:rsidTr="008A6391">
        <w:trPr>
          <w:trHeight w:val="5122"/>
        </w:trPr>
        <w:tc>
          <w:tcPr>
            <w:tcW w:w="5103" w:type="dxa"/>
          </w:tcPr>
          <w:p w14:paraId="58377E95" w14:textId="77777777" w:rsidR="009B26AC" w:rsidRPr="00E16672" w:rsidRDefault="009B26AC" w:rsidP="00D57400">
            <w:pPr>
              <w:pStyle w:val="6"/>
              <w:ind w:left="0" w:firstLine="0"/>
              <w:rPr>
                <w:rFonts w:ascii="Times New Roman" w:hAnsi="Times New Roman"/>
                <w:b/>
                <w:sz w:val="24"/>
                <w:szCs w:val="24"/>
                <w:lang w:val="uk-UA"/>
              </w:rPr>
            </w:pPr>
            <w:r w:rsidRPr="00E16672">
              <w:rPr>
                <w:rFonts w:ascii="Times New Roman" w:hAnsi="Times New Roman"/>
                <w:b/>
                <w:sz w:val="24"/>
                <w:szCs w:val="24"/>
                <w:lang w:val="uk-UA"/>
              </w:rPr>
              <w:t>Відмова</w:t>
            </w:r>
          </w:p>
          <w:p w14:paraId="63FFEE0C" w14:textId="77777777" w:rsidR="009B26AC" w:rsidRPr="00E16672" w:rsidRDefault="009B26AC" w:rsidP="00D57400">
            <w:pPr>
              <w:ind w:firstLine="0"/>
              <w:jc w:val="center"/>
              <w:rPr>
                <w:rFonts w:ascii="Times New Roman" w:hAnsi="Times New Roman"/>
                <w:b/>
                <w:sz w:val="26"/>
                <w:szCs w:val="26"/>
                <w:lang w:val="uk-UA"/>
              </w:rPr>
            </w:pPr>
            <w:r w:rsidRPr="00E16672">
              <w:rPr>
                <w:rFonts w:ascii="Times New Roman" w:hAnsi="Times New Roman"/>
                <w:b/>
                <w:color w:val="000000"/>
                <w:sz w:val="26"/>
                <w:szCs w:val="26"/>
                <w:lang w:val="uk-UA"/>
              </w:rPr>
              <w:t xml:space="preserve">у </w:t>
            </w:r>
            <w:proofErr w:type="spellStart"/>
            <w:r w:rsidRPr="00E16672">
              <w:rPr>
                <w:rFonts w:ascii="Times New Roman" w:hAnsi="Times New Roman"/>
                <w:b/>
                <w:sz w:val="26"/>
                <w:szCs w:val="26"/>
              </w:rPr>
              <w:t>проведенні</w:t>
            </w:r>
            <w:proofErr w:type="spellEnd"/>
            <w:r w:rsidRPr="00E16672">
              <w:rPr>
                <w:rFonts w:ascii="Times New Roman" w:hAnsi="Times New Roman"/>
                <w:b/>
                <w:sz w:val="26"/>
                <w:szCs w:val="26"/>
              </w:rPr>
              <w:t xml:space="preserve"> </w:t>
            </w:r>
            <w:r w:rsidRPr="00E16672">
              <w:rPr>
                <w:rFonts w:ascii="Times New Roman" w:hAnsi="Times New Roman"/>
                <w:b/>
                <w:sz w:val="26"/>
                <w:szCs w:val="26"/>
                <w:lang w:val="uk-UA"/>
              </w:rPr>
              <w:t>депозитарної</w:t>
            </w:r>
            <w:r w:rsidRPr="00E16672">
              <w:rPr>
                <w:rFonts w:ascii="Times New Roman" w:hAnsi="Times New Roman"/>
                <w:b/>
                <w:sz w:val="26"/>
                <w:szCs w:val="26"/>
              </w:rPr>
              <w:t xml:space="preserve"> </w:t>
            </w:r>
            <w:proofErr w:type="spellStart"/>
            <w:r w:rsidRPr="00E16672">
              <w:rPr>
                <w:rFonts w:ascii="Times New Roman" w:hAnsi="Times New Roman"/>
                <w:b/>
                <w:sz w:val="26"/>
                <w:szCs w:val="26"/>
              </w:rPr>
              <w:t>операції</w:t>
            </w:r>
            <w:proofErr w:type="spellEnd"/>
          </w:p>
          <w:p w14:paraId="6C5C2CFB" w14:textId="77777777" w:rsidR="009B26AC" w:rsidRPr="00E16672" w:rsidRDefault="009B26AC" w:rsidP="00D57400">
            <w:pPr>
              <w:ind w:firstLine="0"/>
              <w:jc w:val="center"/>
              <w:rPr>
                <w:rFonts w:ascii="Times New Roman" w:hAnsi="Times New Roman"/>
                <w:b/>
                <w:sz w:val="24"/>
                <w:lang w:val="uk-UA"/>
              </w:rPr>
            </w:pPr>
          </w:p>
          <w:p w14:paraId="2736853B" w14:textId="77777777" w:rsidR="009B26AC" w:rsidRPr="00E16672" w:rsidRDefault="009B26AC" w:rsidP="00D57400">
            <w:pPr>
              <w:ind w:firstLine="0"/>
              <w:jc w:val="center"/>
              <w:rPr>
                <w:rFonts w:ascii="Times New Roman" w:hAnsi="Times New Roman"/>
                <w:b/>
                <w:sz w:val="24"/>
                <w:lang w:val="uk-UA"/>
              </w:rPr>
            </w:pPr>
          </w:p>
          <w:p w14:paraId="71A1FF93" w14:textId="77777777" w:rsidR="009B26AC" w:rsidRPr="00E16672" w:rsidRDefault="009B26AC" w:rsidP="00D57400">
            <w:pPr>
              <w:ind w:firstLine="36"/>
              <w:jc w:val="left"/>
              <w:rPr>
                <w:rFonts w:ascii="Times New Roman" w:hAnsi="Times New Roman"/>
                <w:color w:val="000000"/>
                <w:sz w:val="28"/>
                <w:szCs w:val="28"/>
                <w:lang w:val="uk-UA"/>
              </w:rPr>
            </w:pPr>
            <w:r w:rsidRPr="00E16672">
              <w:rPr>
                <w:rFonts w:ascii="Times New Roman" w:hAnsi="Times New Roman"/>
                <w:color w:val="000000"/>
                <w:sz w:val="22"/>
                <w:szCs w:val="22"/>
                <w:lang w:val="uk-UA"/>
              </w:rPr>
              <w:t xml:space="preserve">Шановний Депонент! </w:t>
            </w:r>
            <w:r w:rsidRPr="00E16672">
              <w:rPr>
                <w:rFonts w:ascii="Times New Roman" w:hAnsi="Times New Roman"/>
                <w:color w:val="000000"/>
                <w:sz w:val="28"/>
                <w:szCs w:val="28"/>
                <w:lang w:val="uk-UA"/>
              </w:rPr>
              <w:t>________________________</w:t>
            </w:r>
          </w:p>
          <w:p w14:paraId="6ED68DC1" w14:textId="77777777" w:rsidR="009B26AC" w:rsidRPr="00E16672" w:rsidRDefault="009B26AC" w:rsidP="00D57400">
            <w:pPr>
              <w:ind w:firstLine="36"/>
              <w:jc w:val="left"/>
              <w:rPr>
                <w:rFonts w:ascii="Times New Roman" w:hAnsi="Times New Roman"/>
                <w:color w:val="000000"/>
                <w:sz w:val="22"/>
                <w:szCs w:val="22"/>
                <w:lang w:val="uk-UA"/>
              </w:rPr>
            </w:pPr>
          </w:p>
          <w:p w14:paraId="38091FEC" w14:textId="77777777" w:rsidR="00452C77" w:rsidRPr="00E16672" w:rsidRDefault="00452C77" w:rsidP="00022F5F">
            <w:pPr>
              <w:ind w:firstLine="36"/>
              <w:jc w:val="left"/>
              <w:rPr>
                <w:rFonts w:ascii="Times New Roman" w:hAnsi="Times New Roman"/>
                <w:color w:val="000000"/>
                <w:lang w:val="uk-UA"/>
              </w:rPr>
            </w:pPr>
            <w:r w:rsidRPr="00E16672">
              <w:rPr>
                <w:rFonts w:ascii="Times New Roman" w:hAnsi="Times New Roman"/>
                <w:bCs/>
                <w:color w:val="000000"/>
                <w:sz w:val="22"/>
                <w:szCs w:val="22"/>
                <w:lang w:val="uk-UA"/>
              </w:rPr>
              <w:t xml:space="preserve">Депозитарна установа ТОВ </w:t>
            </w:r>
            <w:r w:rsidR="00022F5F">
              <w:rPr>
                <w:rFonts w:ascii="Times New Roman" w:hAnsi="Times New Roman"/>
                <w:bCs/>
                <w:color w:val="000000"/>
                <w:sz w:val="22"/>
                <w:szCs w:val="22"/>
                <w:lang w:val="uk-UA"/>
              </w:rPr>
              <w:t>"</w:t>
            </w:r>
            <w:r w:rsidR="00E16672" w:rsidRPr="00E16672">
              <w:rPr>
                <w:rFonts w:ascii="Times New Roman" w:hAnsi="Times New Roman"/>
                <w:bCs/>
                <w:color w:val="000000"/>
                <w:sz w:val="22"/>
                <w:szCs w:val="22"/>
                <w:lang w:val="uk-UA"/>
              </w:rPr>
              <w:t>КОМЕКС ЦІННІ ПАПЕРИ</w:t>
            </w:r>
            <w:r w:rsidR="00022F5F">
              <w:rPr>
                <w:rFonts w:ascii="Times New Roman" w:hAnsi="Times New Roman"/>
                <w:bCs/>
                <w:color w:val="000000"/>
                <w:sz w:val="22"/>
                <w:szCs w:val="22"/>
                <w:lang w:val="uk-UA"/>
              </w:rPr>
              <w:t>"</w:t>
            </w:r>
            <w:r w:rsidRPr="00E16672">
              <w:rPr>
                <w:rFonts w:ascii="Times New Roman" w:hAnsi="Times New Roman"/>
                <w:bCs/>
                <w:color w:val="000000"/>
                <w:sz w:val="22"/>
                <w:szCs w:val="22"/>
                <w:lang w:val="uk-UA"/>
              </w:rPr>
              <w:t xml:space="preserve"> (ліцензія серія АЕ №</w:t>
            </w:r>
            <w:r w:rsidR="00E16672" w:rsidRPr="00E16672">
              <w:rPr>
                <w:rFonts w:ascii="Times New Roman" w:hAnsi="Times New Roman"/>
                <w:bCs/>
                <w:color w:val="000000"/>
                <w:sz w:val="22"/>
                <w:szCs w:val="22"/>
                <w:lang w:val="uk-UA"/>
              </w:rPr>
              <w:t>263429</w:t>
            </w:r>
            <w:r w:rsidRPr="00E16672">
              <w:rPr>
                <w:rFonts w:ascii="Times New Roman" w:hAnsi="Times New Roman"/>
                <w:bCs/>
                <w:color w:val="000000"/>
                <w:sz w:val="22"/>
                <w:szCs w:val="22"/>
                <w:lang w:val="uk-UA"/>
              </w:rPr>
              <w:t xml:space="preserve"> від </w:t>
            </w:r>
            <w:r w:rsidR="006E3B0B">
              <w:rPr>
                <w:rFonts w:ascii="Times New Roman" w:hAnsi="Times New Roman"/>
                <w:bCs/>
                <w:color w:val="000000"/>
                <w:sz w:val="22"/>
                <w:szCs w:val="22"/>
                <w:lang w:val="uk-UA"/>
              </w:rPr>
              <w:t>01 жовтня 2013</w:t>
            </w:r>
            <w:r w:rsidRPr="00E16672">
              <w:rPr>
                <w:rFonts w:ascii="Times New Roman" w:hAnsi="Times New Roman"/>
                <w:bCs/>
                <w:color w:val="000000"/>
                <w:sz w:val="22"/>
                <w:szCs w:val="22"/>
                <w:lang w:val="uk-UA"/>
              </w:rPr>
              <w:t xml:space="preserve"> р.)</w:t>
            </w:r>
            <w:r w:rsidRPr="00E16672">
              <w:rPr>
                <w:rFonts w:ascii="Times New Roman" w:hAnsi="Times New Roman"/>
                <w:color w:val="000000"/>
                <w:sz w:val="22"/>
                <w:szCs w:val="22"/>
                <w:lang w:val="uk-UA"/>
              </w:rPr>
              <w:t xml:space="preserve"> у відповідь на</w:t>
            </w:r>
            <w:r w:rsidRPr="00E16672">
              <w:rPr>
                <w:rFonts w:ascii="Times New Roman" w:hAnsi="Times New Roman"/>
                <w:color w:val="000000"/>
                <w:lang w:val="uk-UA"/>
              </w:rPr>
              <w:t xml:space="preserve"> </w:t>
            </w:r>
          </w:p>
          <w:p w14:paraId="511A6F7C" w14:textId="77777777" w:rsidR="00452C77" w:rsidRPr="00E16672" w:rsidRDefault="00452C77" w:rsidP="00D57400">
            <w:pPr>
              <w:ind w:firstLine="36"/>
              <w:jc w:val="left"/>
              <w:rPr>
                <w:rFonts w:ascii="Times New Roman" w:hAnsi="Times New Roman"/>
                <w:color w:val="000000"/>
                <w:lang w:val="uk-UA"/>
              </w:rPr>
            </w:pPr>
          </w:p>
          <w:p w14:paraId="7E33BE36" w14:textId="77777777" w:rsidR="009B26AC" w:rsidRPr="00E16672" w:rsidRDefault="00452C77" w:rsidP="00D57400">
            <w:pPr>
              <w:ind w:firstLine="36"/>
              <w:jc w:val="left"/>
              <w:rPr>
                <w:rFonts w:ascii="Times New Roman" w:hAnsi="Times New Roman"/>
                <w:color w:val="000000"/>
                <w:lang w:val="uk-UA"/>
              </w:rPr>
            </w:pPr>
            <w:r w:rsidRPr="00E16672">
              <w:rPr>
                <w:rFonts w:ascii="Times New Roman" w:hAnsi="Times New Roman"/>
                <w:color w:val="000000"/>
                <w:lang w:val="uk-UA"/>
              </w:rPr>
              <w:t>__________________________________________</w:t>
            </w:r>
          </w:p>
          <w:p w14:paraId="2215197A" w14:textId="77777777" w:rsidR="00452C77" w:rsidRPr="00E16672" w:rsidRDefault="00452C77" w:rsidP="00D57400">
            <w:pPr>
              <w:ind w:firstLine="36"/>
              <w:jc w:val="left"/>
              <w:rPr>
                <w:rFonts w:ascii="Times New Roman" w:hAnsi="Times New Roman"/>
                <w:color w:val="000000"/>
                <w:sz w:val="22"/>
                <w:szCs w:val="22"/>
                <w:lang w:val="uk-UA"/>
              </w:rPr>
            </w:pPr>
            <w:r w:rsidRPr="00E16672">
              <w:rPr>
                <w:rFonts w:ascii="Times New Roman" w:hAnsi="Times New Roman"/>
                <w:color w:val="000000"/>
                <w:sz w:val="22"/>
                <w:szCs w:val="22"/>
                <w:lang w:val="uk-UA"/>
              </w:rPr>
              <w:t>(назва депозитарної операції)</w:t>
            </w:r>
          </w:p>
          <w:p w14:paraId="1E7F1A8A" w14:textId="77777777" w:rsidR="00452C77" w:rsidRPr="00E16672" w:rsidRDefault="00452C77" w:rsidP="00452C77">
            <w:pPr>
              <w:spacing w:line="360" w:lineRule="auto"/>
              <w:ind w:firstLine="0"/>
              <w:jc w:val="left"/>
              <w:rPr>
                <w:rFonts w:ascii="Times New Roman" w:hAnsi="Times New Roman"/>
                <w:color w:val="000000"/>
                <w:sz w:val="22"/>
                <w:szCs w:val="22"/>
                <w:lang w:val="uk-UA"/>
              </w:rPr>
            </w:pPr>
          </w:p>
          <w:p w14:paraId="0D29E2F9" w14:textId="77777777" w:rsidR="00452C77" w:rsidRPr="00E16672" w:rsidRDefault="00452C77" w:rsidP="00452C77">
            <w:pPr>
              <w:spacing w:line="360" w:lineRule="auto"/>
              <w:ind w:firstLine="0"/>
              <w:jc w:val="left"/>
              <w:rPr>
                <w:rFonts w:ascii="Times New Roman" w:hAnsi="Times New Roman"/>
                <w:color w:val="000000"/>
                <w:sz w:val="22"/>
                <w:szCs w:val="22"/>
                <w:lang w:val="uk-UA"/>
              </w:rPr>
            </w:pPr>
            <w:r w:rsidRPr="00E16672">
              <w:rPr>
                <w:rFonts w:ascii="Times New Roman" w:hAnsi="Times New Roman"/>
                <w:color w:val="000000"/>
                <w:sz w:val="22"/>
                <w:szCs w:val="22"/>
                <w:lang w:val="uk-UA"/>
              </w:rPr>
              <w:t>повідомляє наступне:</w:t>
            </w:r>
          </w:p>
          <w:p w14:paraId="1AF51ED6" w14:textId="77777777" w:rsidR="009B26AC" w:rsidRPr="00E16672" w:rsidRDefault="009B26AC" w:rsidP="00D57400">
            <w:pPr>
              <w:ind w:firstLine="36"/>
              <w:jc w:val="left"/>
              <w:rPr>
                <w:rFonts w:ascii="Times New Roman" w:hAnsi="Times New Roman"/>
                <w:color w:val="000000"/>
                <w:sz w:val="22"/>
                <w:szCs w:val="22"/>
                <w:lang w:val="uk-UA"/>
              </w:rPr>
            </w:pPr>
            <w:r w:rsidRPr="00E16672">
              <w:rPr>
                <w:rFonts w:ascii="Times New Roman" w:hAnsi="Times New Roman"/>
                <w:color w:val="000000"/>
                <w:sz w:val="22"/>
                <w:szCs w:val="22"/>
                <w:lang w:val="uk-UA"/>
              </w:rPr>
              <w:t>______________________________</w:t>
            </w:r>
          </w:p>
          <w:p w14:paraId="48ACA9F2" w14:textId="77777777" w:rsidR="009B26AC" w:rsidRPr="00E16672" w:rsidRDefault="009B26AC" w:rsidP="00D57400">
            <w:pPr>
              <w:ind w:firstLine="36"/>
              <w:jc w:val="left"/>
              <w:rPr>
                <w:rFonts w:ascii="Times New Roman" w:hAnsi="Times New Roman"/>
                <w:b/>
                <w:sz w:val="24"/>
                <w:lang w:val="uk-UA"/>
              </w:rPr>
            </w:pPr>
            <w:r w:rsidRPr="00E16672">
              <w:rPr>
                <w:rFonts w:ascii="Times New Roman" w:hAnsi="Times New Roman"/>
                <w:color w:val="000000"/>
                <w:sz w:val="22"/>
                <w:szCs w:val="22"/>
                <w:lang w:val="uk-UA"/>
              </w:rPr>
              <w:t xml:space="preserve"> ___________________________________ ____________________________________</w:t>
            </w:r>
          </w:p>
          <w:p w14:paraId="23007737" w14:textId="77777777" w:rsidR="009B26AC" w:rsidRPr="00E16672" w:rsidRDefault="009B26AC" w:rsidP="00D57400">
            <w:pPr>
              <w:ind w:firstLine="36"/>
              <w:jc w:val="left"/>
              <w:rPr>
                <w:rFonts w:ascii="Times New Roman" w:hAnsi="Times New Roman"/>
                <w:color w:val="000000"/>
                <w:sz w:val="22"/>
                <w:szCs w:val="22"/>
                <w:lang w:val="uk-UA"/>
              </w:rPr>
            </w:pPr>
            <w:r w:rsidRPr="00E16672">
              <w:rPr>
                <w:rFonts w:ascii="Times New Roman" w:hAnsi="Times New Roman"/>
                <w:color w:val="000000"/>
                <w:sz w:val="22"/>
                <w:szCs w:val="22"/>
                <w:lang w:val="uk-UA"/>
              </w:rPr>
              <w:t>(причина відмови)</w:t>
            </w:r>
          </w:p>
          <w:p w14:paraId="63EA4BB3" w14:textId="77777777" w:rsidR="009B26AC" w:rsidRPr="00E16672" w:rsidRDefault="009B26AC" w:rsidP="00D57400">
            <w:pPr>
              <w:ind w:firstLine="0"/>
              <w:jc w:val="center"/>
              <w:rPr>
                <w:rFonts w:ascii="Times New Roman" w:hAnsi="Times New Roman"/>
                <w:b/>
                <w:sz w:val="24"/>
                <w:lang w:val="uk-UA"/>
              </w:rPr>
            </w:pPr>
          </w:p>
          <w:p w14:paraId="2E670040" w14:textId="77777777" w:rsidR="009B26AC" w:rsidRPr="00E16672" w:rsidRDefault="009B26AC" w:rsidP="00D57400">
            <w:pPr>
              <w:ind w:firstLine="0"/>
              <w:jc w:val="center"/>
              <w:rPr>
                <w:rFonts w:ascii="Times New Roman" w:hAnsi="Times New Roman"/>
                <w:b/>
                <w:sz w:val="24"/>
                <w:lang w:val="uk-UA"/>
              </w:rPr>
            </w:pPr>
          </w:p>
        </w:tc>
        <w:tc>
          <w:tcPr>
            <w:tcW w:w="5533" w:type="dxa"/>
          </w:tcPr>
          <w:p w14:paraId="40815225" w14:textId="77777777" w:rsidR="009B26AC" w:rsidRPr="00E16672" w:rsidRDefault="009B26AC" w:rsidP="00D57400">
            <w:pPr>
              <w:pStyle w:val="6"/>
              <w:ind w:left="0" w:firstLine="0"/>
              <w:rPr>
                <w:rFonts w:ascii="Times New Roman" w:hAnsi="Times New Roman"/>
                <w:b/>
                <w:color w:val="000000"/>
                <w:sz w:val="24"/>
                <w:szCs w:val="24"/>
                <w:lang w:val="uk-UA"/>
              </w:rPr>
            </w:pPr>
            <w:proofErr w:type="spellStart"/>
            <w:r w:rsidRPr="00E16672">
              <w:rPr>
                <w:rFonts w:ascii="Times New Roman" w:hAnsi="Times New Roman"/>
                <w:b/>
                <w:color w:val="000000"/>
                <w:sz w:val="24"/>
                <w:szCs w:val="24"/>
                <w:lang w:val="uk-UA"/>
              </w:rPr>
              <w:t>Refusal</w:t>
            </w:r>
            <w:proofErr w:type="spellEnd"/>
          </w:p>
          <w:p w14:paraId="3C392670" w14:textId="77777777" w:rsidR="009B26AC" w:rsidRPr="00E16672" w:rsidRDefault="00452C77" w:rsidP="00D57400">
            <w:pPr>
              <w:rPr>
                <w:rFonts w:ascii="Times New Roman" w:hAnsi="Times New Roman"/>
                <w:b/>
                <w:sz w:val="24"/>
                <w:lang w:val="uk-UA"/>
              </w:rPr>
            </w:pPr>
            <w:proofErr w:type="spellStart"/>
            <w:r w:rsidRPr="00E16672">
              <w:rPr>
                <w:rFonts w:ascii="Times New Roman" w:hAnsi="Times New Roman"/>
                <w:b/>
                <w:sz w:val="24"/>
                <w:lang w:val="uk-UA"/>
              </w:rPr>
              <w:t>in</w:t>
            </w:r>
            <w:proofErr w:type="spellEnd"/>
            <w:r w:rsidRPr="00E16672">
              <w:rPr>
                <w:rFonts w:ascii="Times New Roman" w:hAnsi="Times New Roman"/>
                <w:b/>
                <w:sz w:val="24"/>
                <w:lang w:val="uk-UA"/>
              </w:rPr>
              <w:t xml:space="preserve"> </w:t>
            </w:r>
            <w:proofErr w:type="spellStart"/>
            <w:r w:rsidRPr="00E16672">
              <w:rPr>
                <w:rFonts w:ascii="Times New Roman" w:hAnsi="Times New Roman"/>
                <w:b/>
                <w:sz w:val="24"/>
                <w:lang w:val="uk-UA"/>
              </w:rPr>
              <w:t>conducting</w:t>
            </w:r>
            <w:proofErr w:type="spellEnd"/>
            <w:r w:rsidRPr="00E16672">
              <w:rPr>
                <w:rFonts w:ascii="Times New Roman" w:hAnsi="Times New Roman"/>
                <w:b/>
                <w:sz w:val="24"/>
                <w:lang w:val="uk-UA"/>
              </w:rPr>
              <w:t xml:space="preserve"> a </w:t>
            </w:r>
            <w:r w:rsidRPr="00E16672">
              <w:rPr>
                <w:rFonts w:ascii="Times New Roman" w:hAnsi="Times New Roman"/>
                <w:b/>
                <w:sz w:val="26"/>
                <w:szCs w:val="26"/>
                <w:lang w:val="en-US"/>
              </w:rPr>
              <w:t>depositary operations</w:t>
            </w:r>
          </w:p>
          <w:p w14:paraId="77847E16" w14:textId="77777777" w:rsidR="00452C77" w:rsidRPr="00E16672" w:rsidRDefault="00452C77" w:rsidP="00D57400">
            <w:pPr>
              <w:rPr>
                <w:rFonts w:ascii="Times New Roman" w:hAnsi="Times New Roman"/>
                <w:b/>
                <w:sz w:val="24"/>
                <w:lang w:val="uk-UA"/>
              </w:rPr>
            </w:pPr>
          </w:p>
          <w:p w14:paraId="30E6054F" w14:textId="77777777" w:rsidR="009B26AC" w:rsidRPr="00E16672" w:rsidRDefault="009B26AC" w:rsidP="00D57400">
            <w:pPr>
              <w:ind w:firstLine="36"/>
              <w:jc w:val="left"/>
              <w:rPr>
                <w:rFonts w:ascii="Times New Roman" w:hAnsi="Times New Roman"/>
                <w:color w:val="000000"/>
                <w:sz w:val="22"/>
                <w:szCs w:val="22"/>
                <w:lang w:val="en-US"/>
              </w:rPr>
            </w:pPr>
          </w:p>
          <w:p w14:paraId="03667029" w14:textId="77777777" w:rsidR="009B26AC" w:rsidRPr="00E16672" w:rsidRDefault="009B26AC" w:rsidP="009B26AC">
            <w:pPr>
              <w:spacing w:line="360" w:lineRule="auto"/>
              <w:ind w:firstLine="0"/>
              <w:jc w:val="left"/>
              <w:rPr>
                <w:rFonts w:ascii="Times New Roman" w:hAnsi="Times New Roman"/>
                <w:color w:val="000000"/>
                <w:sz w:val="22"/>
                <w:szCs w:val="22"/>
                <w:lang w:val="en-US"/>
              </w:rPr>
            </w:pPr>
            <w:proofErr w:type="spellStart"/>
            <w:r w:rsidRPr="00E16672">
              <w:rPr>
                <w:rFonts w:ascii="Times New Roman" w:hAnsi="Times New Roman"/>
                <w:color w:val="000000"/>
                <w:sz w:val="22"/>
                <w:szCs w:val="22"/>
                <w:lang w:val="en-US"/>
              </w:rPr>
              <w:t>Depоsitor</w:t>
            </w:r>
            <w:proofErr w:type="spellEnd"/>
          </w:p>
          <w:p w14:paraId="0BE97AD0" w14:textId="77777777" w:rsidR="009B26AC" w:rsidRPr="00E16672" w:rsidRDefault="009B26AC" w:rsidP="00D57400">
            <w:pPr>
              <w:ind w:firstLine="36"/>
              <w:jc w:val="left"/>
              <w:rPr>
                <w:rFonts w:ascii="Times New Roman" w:hAnsi="Times New Roman"/>
                <w:color w:val="000000"/>
                <w:sz w:val="22"/>
                <w:szCs w:val="22"/>
                <w:lang w:val="uk-UA"/>
              </w:rPr>
            </w:pPr>
            <w:r w:rsidRPr="00E16672">
              <w:rPr>
                <w:rFonts w:ascii="Times New Roman" w:hAnsi="Times New Roman"/>
                <w:color w:val="000000"/>
                <w:sz w:val="22"/>
                <w:szCs w:val="22"/>
                <w:lang w:val="en-US"/>
              </w:rPr>
              <w:t xml:space="preserve"> _____</w:t>
            </w:r>
            <w:r w:rsidRPr="00E16672">
              <w:rPr>
                <w:rFonts w:ascii="Times New Roman" w:hAnsi="Times New Roman"/>
                <w:color w:val="000000"/>
                <w:sz w:val="22"/>
                <w:szCs w:val="22"/>
                <w:lang w:val="uk-UA"/>
              </w:rPr>
              <w:t xml:space="preserve"> ________________________</w:t>
            </w:r>
          </w:p>
          <w:p w14:paraId="17192D98" w14:textId="77777777" w:rsidR="009B26AC" w:rsidRPr="00E16672" w:rsidRDefault="009B26AC" w:rsidP="00D57400">
            <w:pPr>
              <w:ind w:firstLine="36"/>
              <w:jc w:val="left"/>
              <w:rPr>
                <w:rFonts w:ascii="Times New Roman" w:hAnsi="Times New Roman"/>
                <w:color w:val="000000"/>
                <w:sz w:val="22"/>
                <w:szCs w:val="22"/>
                <w:lang w:val="uk-UA"/>
              </w:rPr>
            </w:pPr>
          </w:p>
          <w:p w14:paraId="3BF6E441" w14:textId="77777777" w:rsidR="009B26AC" w:rsidRPr="00E16672" w:rsidRDefault="00565242" w:rsidP="00D57400">
            <w:pPr>
              <w:ind w:firstLine="36"/>
              <w:jc w:val="left"/>
              <w:rPr>
                <w:rFonts w:ascii="Times New Roman" w:hAnsi="Times New Roman"/>
                <w:color w:val="000000"/>
                <w:sz w:val="22"/>
                <w:szCs w:val="22"/>
                <w:lang w:val="uk-UA"/>
              </w:rPr>
            </w:pPr>
            <w:r>
              <w:rPr>
                <w:rFonts w:ascii="Times New Roman" w:hAnsi="Times New Roman"/>
                <w:bCs/>
                <w:sz w:val="22"/>
                <w:szCs w:val="22"/>
                <w:lang w:val="uk-UA"/>
              </w:rPr>
              <w:t xml:space="preserve">COMEX </w:t>
            </w:r>
            <w:proofErr w:type="spellStart"/>
            <w:r>
              <w:rPr>
                <w:rFonts w:ascii="Times New Roman" w:hAnsi="Times New Roman"/>
                <w:bCs/>
                <w:sz w:val="22"/>
                <w:szCs w:val="22"/>
                <w:lang w:val="uk-UA"/>
              </w:rPr>
              <w:t>Securities</w:t>
            </w:r>
            <w:proofErr w:type="spellEnd"/>
            <w:r>
              <w:rPr>
                <w:rFonts w:ascii="Times New Roman" w:hAnsi="Times New Roman"/>
                <w:bCs/>
                <w:sz w:val="22"/>
                <w:szCs w:val="22"/>
                <w:lang w:val="uk-UA"/>
              </w:rPr>
              <w:t xml:space="preserve"> </w:t>
            </w:r>
            <w:proofErr w:type="spellStart"/>
            <w:r>
              <w:rPr>
                <w:rFonts w:ascii="Times New Roman" w:hAnsi="Times New Roman"/>
                <w:bCs/>
                <w:sz w:val="22"/>
                <w:szCs w:val="22"/>
                <w:lang w:val="uk-UA"/>
              </w:rPr>
              <w:t>Limited</w:t>
            </w:r>
            <w:proofErr w:type="spellEnd"/>
            <w:r w:rsidR="006D41D5" w:rsidRPr="00E16672">
              <w:rPr>
                <w:rFonts w:ascii="Times New Roman" w:hAnsi="Times New Roman"/>
                <w:bCs/>
                <w:sz w:val="22"/>
                <w:szCs w:val="22"/>
                <w:lang w:val="uk-UA"/>
              </w:rPr>
              <w:t xml:space="preserve"> (</w:t>
            </w:r>
            <w:proofErr w:type="spellStart"/>
            <w:r w:rsidR="006D41D5" w:rsidRPr="00E16672">
              <w:rPr>
                <w:rFonts w:ascii="Times New Roman" w:hAnsi="Times New Roman"/>
                <w:bCs/>
                <w:sz w:val="22"/>
                <w:szCs w:val="22"/>
                <w:lang w:val="uk-UA"/>
              </w:rPr>
              <w:t>License</w:t>
            </w:r>
            <w:proofErr w:type="spellEnd"/>
            <w:r w:rsidR="006D41D5" w:rsidRPr="00E16672">
              <w:rPr>
                <w:rFonts w:ascii="Times New Roman" w:hAnsi="Times New Roman"/>
                <w:bCs/>
                <w:sz w:val="22"/>
                <w:szCs w:val="22"/>
                <w:lang w:val="uk-UA"/>
              </w:rPr>
              <w:t xml:space="preserve">  АE № </w:t>
            </w:r>
            <w:r w:rsidR="00E16672" w:rsidRPr="00E16672">
              <w:rPr>
                <w:rFonts w:ascii="Times New Roman" w:hAnsi="Times New Roman"/>
                <w:bCs/>
                <w:sz w:val="22"/>
                <w:szCs w:val="22"/>
                <w:lang w:val="uk-UA"/>
              </w:rPr>
              <w:t>263429</w:t>
            </w:r>
            <w:r w:rsidR="006D41D5" w:rsidRPr="00E16672">
              <w:rPr>
                <w:rFonts w:ascii="Times New Roman" w:hAnsi="Times New Roman"/>
                <w:bCs/>
                <w:sz w:val="22"/>
                <w:szCs w:val="22"/>
                <w:lang w:val="uk-UA"/>
              </w:rPr>
              <w:t xml:space="preserve"> </w:t>
            </w:r>
            <w:proofErr w:type="spellStart"/>
            <w:r w:rsidR="006D41D5" w:rsidRPr="00E16672">
              <w:rPr>
                <w:rFonts w:ascii="Times New Roman" w:hAnsi="Times New Roman"/>
                <w:bCs/>
                <w:sz w:val="22"/>
                <w:szCs w:val="22"/>
                <w:lang w:val="uk-UA"/>
              </w:rPr>
              <w:t>dd</w:t>
            </w:r>
            <w:proofErr w:type="spellEnd"/>
            <w:r w:rsidR="006D41D5" w:rsidRPr="00E16672">
              <w:rPr>
                <w:rFonts w:ascii="Times New Roman" w:hAnsi="Times New Roman"/>
                <w:bCs/>
                <w:sz w:val="22"/>
                <w:szCs w:val="22"/>
                <w:lang w:val="uk-UA"/>
              </w:rPr>
              <w:t xml:space="preserve">. </w:t>
            </w:r>
            <w:r w:rsidR="00E16672" w:rsidRPr="00E16672">
              <w:rPr>
                <w:rFonts w:ascii="Times New Roman" w:hAnsi="Times New Roman"/>
                <w:bCs/>
                <w:sz w:val="22"/>
                <w:szCs w:val="22"/>
                <w:lang w:val="uk-UA"/>
              </w:rPr>
              <w:t>01.10.2013</w:t>
            </w:r>
            <w:r w:rsidR="006D41D5" w:rsidRPr="00E16672">
              <w:rPr>
                <w:rFonts w:ascii="Times New Roman" w:hAnsi="Times New Roman"/>
                <w:bCs/>
                <w:sz w:val="22"/>
                <w:szCs w:val="22"/>
                <w:lang w:val="uk-UA"/>
              </w:rPr>
              <w:t>)</w:t>
            </w:r>
            <w:r w:rsidR="00D30519" w:rsidRPr="00E16672">
              <w:rPr>
                <w:rFonts w:ascii="Times New Roman" w:hAnsi="Times New Roman"/>
                <w:bCs/>
                <w:sz w:val="22"/>
                <w:szCs w:val="22"/>
                <w:lang w:val="uk-UA"/>
              </w:rPr>
              <w:t xml:space="preserve"> </w:t>
            </w:r>
            <w:proofErr w:type="spellStart"/>
            <w:r w:rsidR="00D30519" w:rsidRPr="00E16672">
              <w:rPr>
                <w:rFonts w:ascii="Times New Roman" w:hAnsi="Times New Roman"/>
                <w:bCs/>
                <w:sz w:val="22"/>
                <w:szCs w:val="22"/>
                <w:lang w:val="uk-UA"/>
              </w:rPr>
              <w:t>in</w:t>
            </w:r>
            <w:proofErr w:type="spellEnd"/>
            <w:r w:rsidR="00D30519" w:rsidRPr="00E16672">
              <w:rPr>
                <w:rFonts w:ascii="Times New Roman" w:hAnsi="Times New Roman"/>
                <w:bCs/>
                <w:sz w:val="22"/>
                <w:szCs w:val="22"/>
                <w:lang w:val="uk-UA"/>
              </w:rPr>
              <w:t xml:space="preserve"> </w:t>
            </w:r>
            <w:proofErr w:type="spellStart"/>
            <w:r w:rsidR="00D30519" w:rsidRPr="00E16672">
              <w:rPr>
                <w:rFonts w:ascii="Times New Roman" w:hAnsi="Times New Roman"/>
                <w:bCs/>
                <w:sz w:val="22"/>
                <w:szCs w:val="22"/>
                <w:lang w:val="uk-UA"/>
              </w:rPr>
              <w:t>response</w:t>
            </w:r>
            <w:proofErr w:type="spellEnd"/>
            <w:r w:rsidR="00D30519" w:rsidRPr="00E16672">
              <w:rPr>
                <w:rFonts w:ascii="Times New Roman" w:hAnsi="Times New Roman"/>
                <w:bCs/>
                <w:sz w:val="22"/>
                <w:szCs w:val="22"/>
                <w:lang w:val="uk-UA"/>
              </w:rPr>
              <w:t xml:space="preserve"> </w:t>
            </w:r>
            <w:proofErr w:type="spellStart"/>
            <w:r w:rsidR="00D30519" w:rsidRPr="00E16672">
              <w:rPr>
                <w:rFonts w:ascii="Times New Roman" w:hAnsi="Times New Roman"/>
                <w:bCs/>
                <w:sz w:val="22"/>
                <w:szCs w:val="22"/>
                <w:lang w:val="uk-UA"/>
              </w:rPr>
              <w:t>to</w:t>
            </w:r>
            <w:proofErr w:type="spellEnd"/>
          </w:p>
          <w:p w14:paraId="099F68C2" w14:textId="77777777" w:rsidR="009B26AC" w:rsidRPr="00E16672" w:rsidRDefault="009B26AC" w:rsidP="00D57400">
            <w:pPr>
              <w:ind w:firstLine="36"/>
              <w:jc w:val="left"/>
              <w:rPr>
                <w:rFonts w:ascii="Times New Roman" w:hAnsi="Times New Roman"/>
                <w:color w:val="000000"/>
                <w:sz w:val="22"/>
                <w:szCs w:val="22"/>
                <w:lang w:val="uk-UA"/>
              </w:rPr>
            </w:pPr>
          </w:p>
          <w:p w14:paraId="43829778" w14:textId="77777777" w:rsidR="006D41D5" w:rsidRPr="00E16672" w:rsidRDefault="006D41D5" w:rsidP="006D41D5">
            <w:pPr>
              <w:ind w:firstLine="36"/>
              <w:jc w:val="left"/>
              <w:rPr>
                <w:rFonts w:ascii="Times New Roman" w:hAnsi="Times New Roman"/>
                <w:color w:val="000000"/>
                <w:lang w:val="uk-UA"/>
              </w:rPr>
            </w:pPr>
            <w:r w:rsidRPr="00E16672">
              <w:rPr>
                <w:rFonts w:ascii="Times New Roman" w:hAnsi="Times New Roman"/>
                <w:color w:val="000000"/>
                <w:lang w:val="uk-UA"/>
              </w:rPr>
              <w:t>_</w:t>
            </w:r>
            <w:r w:rsidRPr="00E16672">
              <w:rPr>
                <w:rFonts w:ascii="Times New Roman" w:hAnsi="Times New Roman"/>
                <w:color w:val="000000"/>
                <w:sz w:val="28"/>
                <w:szCs w:val="28"/>
                <w:lang w:val="uk-UA"/>
              </w:rPr>
              <w:t>___________</w:t>
            </w:r>
            <w:r w:rsidRPr="00E16672">
              <w:rPr>
                <w:rFonts w:ascii="Times New Roman" w:hAnsi="Times New Roman"/>
                <w:color w:val="000000"/>
                <w:lang w:val="uk-UA"/>
              </w:rPr>
              <w:t>______________________________</w:t>
            </w:r>
          </w:p>
          <w:p w14:paraId="03F9AAE4" w14:textId="77777777" w:rsidR="009B26AC" w:rsidRPr="00E16672" w:rsidRDefault="006D41D5" w:rsidP="006D41D5">
            <w:pPr>
              <w:ind w:firstLine="36"/>
              <w:jc w:val="left"/>
              <w:rPr>
                <w:rFonts w:ascii="Times New Roman" w:hAnsi="Times New Roman"/>
                <w:color w:val="000000"/>
                <w:sz w:val="22"/>
                <w:szCs w:val="22"/>
                <w:lang w:val="uk-UA"/>
              </w:rPr>
            </w:pPr>
            <w:r w:rsidRPr="00E16672">
              <w:rPr>
                <w:rFonts w:ascii="Times New Roman" w:hAnsi="Times New Roman"/>
                <w:color w:val="000000"/>
                <w:sz w:val="22"/>
                <w:szCs w:val="22"/>
                <w:lang w:val="uk-UA"/>
              </w:rPr>
              <w:t>(</w:t>
            </w:r>
            <w:proofErr w:type="spellStart"/>
            <w:r w:rsidRPr="00E16672">
              <w:rPr>
                <w:rFonts w:ascii="Times New Roman" w:hAnsi="Times New Roman"/>
                <w:color w:val="000000"/>
                <w:sz w:val="22"/>
                <w:szCs w:val="22"/>
                <w:lang w:val="uk-UA"/>
              </w:rPr>
              <w:t>name</w:t>
            </w:r>
            <w:proofErr w:type="spellEnd"/>
            <w:r w:rsidRPr="00E16672">
              <w:rPr>
                <w:rFonts w:ascii="Times New Roman" w:hAnsi="Times New Roman"/>
                <w:color w:val="000000"/>
                <w:sz w:val="22"/>
                <w:szCs w:val="22"/>
                <w:lang w:val="uk-UA"/>
              </w:rPr>
              <w:t xml:space="preserve"> </w:t>
            </w:r>
            <w:proofErr w:type="spellStart"/>
            <w:r w:rsidRPr="00E16672">
              <w:rPr>
                <w:rFonts w:ascii="Times New Roman" w:hAnsi="Times New Roman"/>
                <w:color w:val="000000"/>
                <w:sz w:val="22"/>
                <w:szCs w:val="22"/>
                <w:lang w:val="uk-UA"/>
              </w:rPr>
              <w:t>of</w:t>
            </w:r>
            <w:proofErr w:type="spellEnd"/>
            <w:r w:rsidRPr="00E16672">
              <w:rPr>
                <w:rFonts w:ascii="Times New Roman" w:hAnsi="Times New Roman"/>
                <w:color w:val="000000"/>
                <w:sz w:val="22"/>
                <w:szCs w:val="22"/>
                <w:lang w:val="uk-UA"/>
              </w:rPr>
              <w:t xml:space="preserve"> </w:t>
            </w:r>
            <w:proofErr w:type="spellStart"/>
            <w:r w:rsidRPr="00E16672">
              <w:rPr>
                <w:rFonts w:ascii="Times New Roman" w:hAnsi="Times New Roman"/>
                <w:color w:val="000000"/>
                <w:sz w:val="22"/>
                <w:szCs w:val="22"/>
                <w:lang w:val="uk-UA"/>
              </w:rPr>
              <w:t>depositary</w:t>
            </w:r>
            <w:proofErr w:type="spellEnd"/>
            <w:r w:rsidRPr="00E16672">
              <w:rPr>
                <w:rFonts w:ascii="Times New Roman" w:hAnsi="Times New Roman"/>
                <w:color w:val="000000"/>
                <w:sz w:val="22"/>
                <w:szCs w:val="22"/>
                <w:lang w:val="uk-UA"/>
              </w:rPr>
              <w:t xml:space="preserve"> </w:t>
            </w:r>
            <w:proofErr w:type="spellStart"/>
            <w:r w:rsidRPr="00E16672">
              <w:rPr>
                <w:rFonts w:ascii="Times New Roman" w:hAnsi="Times New Roman"/>
                <w:color w:val="000000"/>
                <w:sz w:val="22"/>
                <w:szCs w:val="22"/>
                <w:lang w:val="uk-UA"/>
              </w:rPr>
              <w:t>transaction</w:t>
            </w:r>
            <w:proofErr w:type="spellEnd"/>
            <w:r w:rsidRPr="00E16672">
              <w:rPr>
                <w:rFonts w:ascii="Times New Roman" w:hAnsi="Times New Roman"/>
                <w:color w:val="000000"/>
                <w:sz w:val="22"/>
                <w:szCs w:val="22"/>
                <w:lang w:val="uk-UA"/>
              </w:rPr>
              <w:t>)</w:t>
            </w:r>
          </w:p>
          <w:p w14:paraId="1C1DAD92" w14:textId="77777777" w:rsidR="006D41D5" w:rsidRPr="00E16672" w:rsidRDefault="009B26AC" w:rsidP="00D57400">
            <w:pPr>
              <w:ind w:firstLine="36"/>
              <w:jc w:val="left"/>
              <w:rPr>
                <w:rFonts w:ascii="Times New Roman" w:hAnsi="Times New Roman"/>
                <w:color w:val="000000"/>
                <w:sz w:val="22"/>
                <w:szCs w:val="22"/>
                <w:lang w:val="uk-UA"/>
              </w:rPr>
            </w:pPr>
            <w:r w:rsidRPr="00E16672">
              <w:rPr>
                <w:rFonts w:ascii="Times New Roman" w:hAnsi="Times New Roman"/>
                <w:color w:val="000000"/>
                <w:sz w:val="22"/>
                <w:szCs w:val="22"/>
                <w:lang w:val="uk-UA"/>
              </w:rPr>
              <w:t xml:space="preserve"> </w:t>
            </w:r>
          </w:p>
          <w:p w14:paraId="39986B1E" w14:textId="77777777" w:rsidR="006D41D5" w:rsidRPr="00E16672" w:rsidRDefault="006D41D5" w:rsidP="00D57400">
            <w:pPr>
              <w:ind w:firstLine="36"/>
              <w:jc w:val="left"/>
              <w:rPr>
                <w:rFonts w:ascii="Times New Roman" w:hAnsi="Times New Roman"/>
                <w:color w:val="000000"/>
                <w:sz w:val="22"/>
                <w:szCs w:val="22"/>
                <w:lang w:val="uk-UA"/>
              </w:rPr>
            </w:pPr>
          </w:p>
          <w:p w14:paraId="275236C4" w14:textId="77777777" w:rsidR="009B26AC" w:rsidRPr="00E16672" w:rsidRDefault="006D41D5" w:rsidP="00D57400">
            <w:pPr>
              <w:ind w:firstLine="36"/>
              <w:jc w:val="left"/>
              <w:rPr>
                <w:rFonts w:ascii="Times New Roman" w:hAnsi="Times New Roman"/>
                <w:color w:val="000000"/>
                <w:sz w:val="22"/>
                <w:szCs w:val="22"/>
                <w:lang w:val="uk-UA"/>
              </w:rPr>
            </w:pPr>
            <w:proofErr w:type="spellStart"/>
            <w:r w:rsidRPr="00E16672">
              <w:rPr>
                <w:rFonts w:ascii="Times New Roman" w:hAnsi="Times New Roman"/>
                <w:color w:val="000000"/>
                <w:sz w:val="22"/>
                <w:szCs w:val="22"/>
                <w:lang w:val="uk-UA"/>
              </w:rPr>
              <w:t>reports</w:t>
            </w:r>
            <w:proofErr w:type="spellEnd"/>
            <w:r w:rsidRPr="00E16672">
              <w:rPr>
                <w:rFonts w:ascii="Times New Roman" w:hAnsi="Times New Roman"/>
                <w:color w:val="000000"/>
                <w:sz w:val="22"/>
                <w:szCs w:val="22"/>
                <w:lang w:val="uk-UA"/>
              </w:rPr>
              <w:t xml:space="preserve"> </w:t>
            </w:r>
            <w:proofErr w:type="spellStart"/>
            <w:r w:rsidRPr="00E16672">
              <w:rPr>
                <w:rFonts w:ascii="Times New Roman" w:hAnsi="Times New Roman"/>
                <w:color w:val="000000"/>
                <w:sz w:val="22"/>
                <w:szCs w:val="22"/>
                <w:lang w:val="uk-UA"/>
              </w:rPr>
              <w:t>the</w:t>
            </w:r>
            <w:proofErr w:type="spellEnd"/>
            <w:r w:rsidRPr="00E16672">
              <w:rPr>
                <w:rFonts w:ascii="Times New Roman" w:hAnsi="Times New Roman"/>
                <w:color w:val="000000"/>
                <w:sz w:val="22"/>
                <w:szCs w:val="22"/>
                <w:lang w:val="uk-UA"/>
              </w:rPr>
              <w:t xml:space="preserve"> </w:t>
            </w:r>
            <w:proofErr w:type="spellStart"/>
            <w:r w:rsidRPr="00E16672">
              <w:rPr>
                <w:rFonts w:ascii="Times New Roman" w:hAnsi="Times New Roman"/>
                <w:color w:val="000000"/>
                <w:sz w:val="22"/>
                <w:szCs w:val="22"/>
                <w:lang w:val="uk-UA"/>
              </w:rPr>
              <w:t>following</w:t>
            </w:r>
            <w:proofErr w:type="spellEnd"/>
            <w:r w:rsidRPr="00E16672">
              <w:rPr>
                <w:rFonts w:ascii="Times New Roman" w:hAnsi="Times New Roman"/>
                <w:color w:val="000000"/>
                <w:sz w:val="22"/>
                <w:szCs w:val="22"/>
                <w:lang w:val="uk-UA"/>
              </w:rPr>
              <w:t xml:space="preserve">: </w:t>
            </w:r>
            <w:r w:rsidR="009B26AC" w:rsidRPr="00E16672">
              <w:rPr>
                <w:rFonts w:ascii="Times New Roman" w:hAnsi="Times New Roman"/>
                <w:color w:val="000000"/>
                <w:sz w:val="22"/>
                <w:szCs w:val="22"/>
                <w:lang w:val="uk-UA"/>
              </w:rPr>
              <w:t>______________________________</w:t>
            </w:r>
          </w:p>
          <w:p w14:paraId="180BC104" w14:textId="77777777" w:rsidR="009B26AC" w:rsidRPr="00E16672" w:rsidRDefault="009B26AC" w:rsidP="00D57400">
            <w:pPr>
              <w:ind w:firstLine="36"/>
              <w:jc w:val="left"/>
              <w:rPr>
                <w:rFonts w:ascii="Times New Roman" w:hAnsi="Times New Roman"/>
                <w:color w:val="000000"/>
                <w:sz w:val="22"/>
                <w:szCs w:val="22"/>
                <w:lang w:val="uk-UA"/>
              </w:rPr>
            </w:pPr>
            <w:r w:rsidRPr="00E16672">
              <w:rPr>
                <w:rFonts w:ascii="Times New Roman" w:hAnsi="Times New Roman"/>
                <w:color w:val="000000"/>
                <w:sz w:val="22"/>
                <w:szCs w:val="22"/>
                <w:lang w:val="uk-UA"/>
              </w:rPr>
              <w:t xml:space="preserve"> ______________________________________</w:t>
            </w:r>
          </w:p>
          <w:p w14:paraId="15F878B1" w14:textId="77777777" w:rsidR="009B26AC" w:rsidRPr="00E16672" w:rsidRDefault="009B26AC" w:rsidP="00D57400">
            <w:pPr>
              <w:ind w:firstLine="36"/>
              <w:jc w:val="left"/>
              <w:rPr>
                <w:rFonts w:ascii="Times New Roman" w:hAnsi="Times New Roman"/>
                <w:b/>
                <w:sz w:val="24"/>
                <w:lang w:val="uk-UA"/>
              </w:rPr>
            </w:pPr>
            <w:r w:rsidRPr="00E16672">
              <w:rPr>
                <w:rFonts w:ascii="Times New Roman" w:hAnsi="Times New Roman"/>
                <w:color w:val="000000"/>
                <w:sz w:val="22"/>
                <w:szCs w:val="22"/>
                <w:lang w:val="uk-UA"/>
              </w:rPr>
              <w:t xml:space="preserve"> ______________________________________</w:t>
            </w:r>
          </w:p>
          <w:p w14:paraId="783AE7A7" w14:textId="77777777" w:rsidR="009B26AC" w:rsidRPr="00E16672" w:rsidRDefault="009B26AC" w:rsidP="00D57400">
            <w:pPr>
              <w:ind w:firstLine="36"/>
              <w:jc w:val="left"/>
              <w:rPr>
                <w:rFonts w:ascii="Times New Roman" w:hAnsi="Times New Roman"/>
                <w:color w:val="000000"/>
                <w:sz w:val="22"/>
                <w:szCs w:val="22"/>
                <w:lang w:val="uk-UA"/>
              </w:rPr>
            </w:pPr>
            <w:r w:rsidRPr="00E16672">
              <w:rPr>
                <w:rFonts w:ascii="Times New Roman" w:hAnsi="Times New Roman"/>
                <w:color w:val="000000"/>
                <w:sz w:val="22"/>
                <w:szCs w:val="22"/>
                <w:lang w:val="uk-UA"/>
              </w:rPr>
              <w:t>(</w:t>
            </w:r>
            <w:proofErr w:type="spellStart"/>
            <w:r w:rsidRPr="00E16672">
              <w:rPr>
                <w:rFonts w:ascii="Times New Roman" w:hAnsi="Times New Roman"/>
                <w:color w:val="000000"/>
                <w:sz w:val="22"/>
                <w:szCs w:val="22"/>
                <w:lang w:val="uk-UA"/>
              </w:rPr>
              <w:t>reason</w:t>
            </w:r>
            <w:proofErr w:type="spellEnd"/>
            <w:r w:rsidRPr="00E16672">
              <w:rPr>
                <w:rFonts w:ascii="Times New Roman" w:hAnsi="Times New Roman"/>
                <w:color w:val="000000"/>
                <w:sz w:val="22"/>
                <w:szCs w:val="22"/>
                <w:lang w:val="uk-UA"/>
              </w:rPr>
              <w:t xml:space="preserve"> </w:t>
            </w:r>
            <w:proofErr w:type="spellStart"/>
            <w:r w:rsidRPr="00E16672">
              <w:rPr>
                <w:rFonts w:ascii="Times New Roman" w:hAnsi="Times New Roman"/>
                <w:color w:val="000000"/>
                <w:sz w:val="22"/>
                <w:szCs w:val="22"/>
                <w:lang w:val="uk-UA"/>
              </w:rPr>
              <w:t>for</w:t>
            </w:r>
            <w:proofErr w:type="spellEnd"/>
            <w:r w:rsidRPr="00E16672">
              <w:rPr>
                <w:rFonts w:ascii="Times New Roman" w:hAnsi="Times New Roman"/>
                <w:color w:val="000000"/>
                <w:sz w:val="22"/>
                <w:szCs w:val="22"/>
                <w:lang w:val="uk-UA"/>
              </w:rPr>
              <w:t xml:space="preserve"> </w:t>
            </w:r>
            <w:proofErr w:type="spellStart"/>
            <w:r w:rsidRPr="00E16672">
              <w:rPr>
                <w:rFonts w:ascii="Times New Roman" w:hAnsi="Times New Roman"/>
                <w:color w:val="000000"/>
                <w:sz w:val="22"/>
                <w:szCs w:val="22"/>
                <w:lang w:val="uk-UA"/>
              </w:rPr>
              <w:t>refusal</w:t>
            </w:r>
            <w:proofErr w:type="spellEnd"/>
            <w:r w:rsidRPr="00E16672">
              <w:rPr>
                <w:rFonts w:ascii="Times New Roman" w:hAnsi="Times New Roman"/>
                <w:color w:val="000000"/>
                <w:sz w:val="22"/>
                <w:szCs w:val="22"/>
                <w:lang w:val="uk-UA"/>
              </w:rPr>
              <w:t>)</w:t>
            </w:r>
          </w:p>
          <w:p w14:paraId="06D5EB35" w14:textId="77777777" w:rsidR="009B26AC" w:rsidRPr="00E16672" w:rsidRDefault="009B26AC" w:rsidP="00D57400">
            <w:pPr>
              <w:rPr>
                <w:rFonts w:ascii="Times New Roman" w:hAnsi="Times New Roman"/>
                <w:b/>
                <w:sz w:val="24"/>
                <w:lang w:val="uk-UA"/>
              </w:rPr>
            </w:pPr>
          </w:p>
        </w:tc>
      </w:tr>
    </w:tbl>
    <w:p w14:paraId="214D0770" w14:textId="77777777" w:rsidR="009B26AC" w:rsidRPr="00E16672" w:rsidRDefault="009B26AC" w:rsidP="00881B08">
      <w:pPr>
        <w:spacing w:line="360" w:lineRule="auto"/>
        <w:jc w:val="center"/>
        <w:rPr>
          <w:rFonts w:ascii="Times New Roman" w:hAnsi="Times New Roman"/>
          <w:color w:val="000000"/>
          <w:lang w:val="uk-UA"/>
        </w:rPr>
      </w:pPr>
    </w:p>
    <w:p w14:paraId="23231EB1" w14:textId="77777777" w:rsidR="009B26AC" w:rsidRPr="00E16672" w:rsidRDefault="009B26AC" w:rsidP="00881B08">
      <w:pPr>
        <w:spacing w:line="360" w:lineRule="auto"/>
        <w:jc w:val="center"/>
        <w:rPr>
          <w:rFonts w:ascii="Times New Roman" w:hAnsi="Times New Roman"/>
          <w:color w:val="000000"/>
          <w:lang w:val="uk-UA"/>
        </w:rPr>
      </w:pPr>
    </w:p>
    <w:p w14:paraId="155D3F53" w14:textId="77777777" w:rsidR="009B26AC" w:rsidRPr="00E16672" w:rsidRDefault="009B26AC" w:rsidP="00881B08">
      <w:pPr>
        <w:spacing w:line="360" w:lineRule="auto"/>
        <w:jc w:val="center"/>
        <w:rPr>
          <w:rFonts w:ascii="Times New Roman" w:hAnsi="Times New Roman"/>
          <w:color w:val="000000"/>
          <w:lang w:val="uk-UA"/>
        </w:rPr>
      </w:pPr>
    </w:p>
    <w:p w14:paraId="35531085" w14:textId="77777777" w:rsidR="002506EC" w:rsidRPr="00E16672" w:rsidRDefault="002506EC" w:rsidP="002506EC">
      <w:pPr>
        <w:ind w:firstLine="0"/>
        <w:jc w:val="left"/>
        <w:rPr>
          <w:rFonts w:ascii="Times New Roman" w:hAnsi="Times New Roman"/>
          <w:szCs w:val="20"/>
          <w:lang w:val="uk-UA"/>
        </w:rPr>
      </w:pPr>
      <w:r w:rsidRPr="00E16672">
        <w:rPr>
          <w:rFonts w:ascii="Times New Roman" w:hAnsi="Times New Roman"/>
          <w:bCs/>
          <w:szCs w:val="20"/>
          <w:lang w:val="uk-UA"/>
        </w:rPr>
        <w:t>Відповідальна особа Депозитарної установи</w:t>
      </w:r>
      <w:r w:rsidRPr="00E16672">
        <w:rPr>
          <w:rFonts w:ascii="Times New Roman" w:hAnsi="Times New Roman"/>
          <w:b/>
          <w:bCs/>
          <w:szCs w:val="20"/>
          <w:lang w:val="uk-UA"/>
        </w:rPr>
        <w:t xml:space="preserve">/       </w:t>
      </w:r>
      <w:r w:rsidRPr="00E16672">
        <w:rPr>
          <w:rFonts w:ascii="Times New Roman" w:hAnsi="Times New Roman"/>
          <w:bCs/>
          <w:szCs w:val="20"/>
          <w:lang w:val="uk-UA"/>
        </w:rPr>
        <w:t xml:space="preserve"> _________________</w:t>
      </w:r>
      <w:r w:rsidRPr="00E16672">
        <w:rPr>
          <w:rFonts w:ascii="Times New Roman" w:hAnsi="Times New Roman"/>
          <w:szCs w:val="20"/>
          <w:lang w:val="uk-UA"/>
        </w:rPr>
        <w:t xml:space="preserve">     </w:t>
      </w:r>
      <w:r w:rsidR="005E418B">
        <w:rPr>
          <w:rFonts w:ascii="Times New Roman" w:hAnsi="Times New Roman"/>
          <w:szCs w:val="20"/>
          <w:lang w:val="uk-UA"/>
        </w:rPr>
        <w:t>________________________</w:t>
      </w:r>
      <w:r w:rsidRPr="00E16672">
        <w:rPr>
          <w:rFonts w:ascii="Times New Roman" w:hAnsi="Times New Roman"/>
          <w:szCs w:val="20"/>
          <w:lang w:val="uk-UA"/>
        </w:rPr>
        <w:t>__________________</w:t>
      </w:r>
    </w:p>
    <w:p w14:paraId="4EAD8F17" w14:textId="77777777" w:rsidR="002506EC" w:rsidRPr="00E16672" w:rsidRDefault="002506EC" w:rsidP="002506EC">
      <w:pPr>
        <w:ind w:firstLine="0"/>
        <w:jc w:val="left"/>
        <w:rPr>
          <w:rFonts w:ascii="Times New Roman" w:hAnsi="Times New Roman"/>
          <w:i/>
          <w:sz w:val="18"/>
          <w:szCs w:val="18"/>
          <w:lang w:val="uk-UA"/>
        </w:rPr>
      </w:pPr>
      <w:r w:rsidRPr="00E16672">
        <w:rPr>
          <w:rFonts w:ascii="Times New Roman" w:hAnsi="Times New Roman"/>
          <w:bCs/>
          <w:szCs w:val="20"/>
          <w:lang w:val="en-US"/>
        </w:rPr>
        <w:t>A</w:t>
      </w:r>
      <w:proofErr w:type="spellStart"/>
      <w:r w:rsidRPr="00E16672">
        <w:rPr>
          <w:rFonts w:ascii="Times New Roman" w:hAnsi="Times New Roman"/>
          <w:bCs/>
          <w:szCs w:val="20"/>
          <w:lang w:val="uk-UA"/>
        </w:rPr>
        <w:t>uthorized</w:t>
      </w:r>
      <w:proofErr w:type="spellEnd"/>
      <w:r w:rsidRPr="00E16672">
        <w:rPr>
          <w:rFonts w:ascii="Times New Roman" w:hAnsi="Times New Roman"/>
          <w:bCs/>
          <w:szCs w:val="20"/>
          <w:lang w:val="uk-UA"/>
        </w:rPr>
        <w:t xml:space="preserve"> </w:t>
      </w:r>
      <w:proofErr w:type="spellStart"/>
      <w:proofErr w:type="gramStart"/>
      <w:r w:rsidRPr="00E16672">
        <w:rPr>
          <w:rFonts w:ascii="Times New Roman" w:hAnsi="Times New Roman"/>
          <w:bCs/>
          <w:szCs w:val="20"/>
          <w:lang w:val="uk-UA"/>
        </w:rPr>
        <w:t>person</w:t>
      </w:r>
      <w:proofErr w:type="spellEnd"/>
      <w:r w:rsidRPr="00E16672">
        <w:rPr>
          <w:rFonts w:ascii="Times New Roman" w:hAnsi="Times New Roman"/>
          <w:bCs/>
          <w:szCs w:val="20"/>
          <w:lang w:val="uk-UA"/>
        </w:rPr>
        <w:t xml:space="preserve">  </w:t>
      </w:r>
      <w:proofErr w:type="spellStart"/>
      <w:r w:rsidRPr="00E16672">
        <w:rPr>
          <w:rFonts w:ascii="Times New Roman" w:hAnsi="Times New Roman"/>
          <w:bCs/>
          <w:szCs w:val="20"/>
          <w:lang w:val="uk-UA"/>
        </w:rPr>
        <w:t>of</w:t>
      </w:r>
      <w:proofErr w:type="spellEnd"/>
      <w:proofErr w:type="gramEnd"/>
      <w:r w:rsidRPr="00E16672">
        <w:rPr>
          <w:rFonts w:ascii="Times New Roman" w:hAnsi="Times New Roman"/>
          <w:bCs/>
          <w:szCs w:val="20"/>
          <w:lang w:val="uk-UA"/>
        </w:rPr>
        <w:t xml:space="preserve"> </w:t>
      </w:r>
      <w:proofErr w:type="spellStart"/>
      <w:r w:rsidRPr="00E16672">
        <w:rPr>
          <w:rFonts w:ascii="Times New Roman" w:hAnsi="Times New Roman"/>
          <w:bCs/>
          <w:szCs w:val="20"/>
          <w:lang w:val="uk-UA"/>
        </w:rPr>
        <w:t>Depository</w:t>
      </w:r>
      <w:proofErr w:type="spellEnd"/>
      <w:r w:rsidRPr="00E16672">
        <w:rPr>
          <w:rFonts w:ascii="Times New Roman" w:hAnsi="Times New Roman"/>
          <w:bCs/>
          <w:szCs w:val="20"/>
          <w:lang w:val="uk-UA"/>
        </w:rPr>
        <w:t xml:space="preserve"> </w:t>
      </w:r>
      <w:proofErr w:type="spellStart"/>
      <w:r w:rsidRPr="00E16672">
        <w:rPr>
          <w:rFonts w:ascii="Times New Roman" w:hAnsi="Times New Roman"/>
          <w:bCs/>
          <w:szCs w:val="20"/>
          <w:lang w:val="uk-UA"/>
        </w:rPr>
        <w:t>institution</w:t>
      </w:r>
      <w:proofErr w:type="spellEnd"/>
      <w:r w:rsidRPr="00E16672">
        <w:rPr>
          <w:rFonts w:ascii="Times New Roman" w:hAnsi="Times New Roman"/>
          <w:bCs/>
          <w:szCs w:val="20"/>
          <w:lang w:val="uk-UA"/>
        </w:rPr>
        <w:t>:</w:t>
      </w:r>
      <w:r w:rsidRPr="00E16672">
        <w:rPr>
          <w:rFonts w:ascii="Times New Roman" w:hAnsi="Times New Roman"/>
          <w:i/>
          <w:szCs w:val="20"/>
          <w:lang w:val="uk-UA"/>
        </w:rPr>
        <w:t xml:space="preserve">  </w:t>
      </w:r>
      <w:r w:rsidRPr="00E16672">
        <w:rPr>
          <w:rFonts w:ascii="Times New Roman" w:hAnsi="Times New Roman"/>
          <w:szCs w:val="20"/>
          <w:lang w:val="uk-UA"/>
        </w:rPr>
        <w:t xml:space="preserve">        </w:t>
      </w:r>
      <w:r w:rsidRPr="00E16672">
        <w:rPr>
          <w:rFonts w:ascii="Times New Roman" w:hAnsi="Times New Roman"/>
          <w:i/>
          <w:sz w:val="18"/>
          <w:szCs w:val="18"/>
          <w:lang w:val="uk-UA"/>
        </w:rPr>
        <w:t>В.П., підпис</w:t>
      </w:r>
      <w:r w:rsidRPr="00E16672">
        <w:rPr>
          <w:rFonts w:ascii="Times New Roman" w:hAnsi="Times New Roman"/>
          <w:sz w:val="18"/>
          <w:szCs w:val="18"/>
          <w:lang w:val="uk-UA"/>
        </w:rPr>
        <w:t>/</w:t>
      </w:r>
      <w:r w:rsidRPr="00E16672">
        <w:rPr>
          <w:rFonts w:ascii="Times New Roman" w:hAnsi="Times New Roman"/>
          <w:i/>
          <w:sz w:val="18"/>
          <w:szCs w:val="18"/>
          <w:lang w:val="uk-UA"/>
        </w:rPr>
        <w:tab/>
        <w:t xml:space="preserve">                      Прізвище, ім’я, по батькові (за наявності)</w:t>
      </w:r>
      <w:r w:rsidR="005E418B">
        <w:rPr>
          <w:rFonts w:ascii="Times New Roman" w:hAnsi="Times New Roman"/>
          <w:i/>
          <w:sz w:val="18"/>
          <w:szCs w:val="18"/>
          <w:lang w:val="uk-UA"/>
        </w:rPr>
        <w:t xml:space="preserve">/ </w:t>
      </w:r>
    </w:p>
    <w:p w14:paraId="735737D9" w14:textId="77777777" w:rsidR="002506EC" w:rsidRPr="00E16672" w:rsidRDefault="002506EC" w:rsidP="002506EC">
      <w:pPr>
        <w:ind w:firstLine="0"/>
        <w:jc w:val="left"/>
        <w:rPr>
          <w:rFonts w:ascii="Times New Roman" w:hAnsi="Times New Roman"/>
          <w:i/>
          <w:sz w:val="18"/>
          <w:szCs w:val="18"/>
          <w:lang w:val="uk-UA"/>
        </w:rPr>
      </w:pPr>
      <w:r w:rsidRPr="00E16672">
        <w:rPr>
          <w:rFonts w:ascii="Times New Roman" w:hAnsi="Times New Roman"/>
          <w:b/>
          <w:i/>
          <w:sz w:val="18"/>
          <w:szCs w:val="18"/>
          <w:lang w:val="uk-UA"/>
        </w:rPr>
        <w:tab/>
      </w:r>
      <w:r w:rsidRPr="00E16672">
        <w:rPr>
          <w:rFonts w:ascii="Times New Roman" w:hAnsi="Times New Roman"/>
          <w:i/>
          <w:sz w:val="18"/>
          <w:szCs w:val="18"/>
          <w:lang w:val="uk-UA"/>
        </w:rPr>
        <w:t xml:space="preserve">                                                                            </w:t>
      </w:r>
      <w:proofErr w:type="spellStart"/>
      <w:r w:rsidRPr="00E16672">
        <w:rPr>
          <w:rFonts w:ascii="Times New Roman" w:hAnsi="Times New Roman"/>
          <w:i/>
          <w:sz w:val="18"/>
          <w:szCs w:val="18"/>
          <w:lang w:val="uk-UA"/>
        </w:rPr>
        <w:t>Seal</w:t>
      </w:r>
      <w:proofErr w:type="spellEnd"/>
      <w:r w:rsidRPr="00E16672">
        <w:rPr>
          <w:rFonts w:ascii="Times New Roman" w:hAnsi="Times New Roman"/>
          <w:i/>
          <w:sz w:val="18"/>
          <w:szCs w:val="18"/>
          <w:lang w:val="uk-UA"/>
        </w:rPr>
        <w:t xml:space="preserve">,  </w:t>
      </w:r>
      <w:proofErr w:type="spellStart"/>
      <w:r w:rsidRPr="00E16672">
        <w:rPr>
          <w:rFonts w:ascii="Times New Roman" w:hAnsi="Times New Roman"/>
          <w:i/>
          <w:sz w:val="18"/>
          <w:szCs w:val="18"/>
          <w:lang w:val="uk-UA"/>
        </w:rPr>
        <w:t>signature</w:t>
      </w:r>
      <w:proofErr w:type="spellEnd"/>
      <w:r w:rsidRPr="00E16672">
        <w:rPr>
          <w:rFonts w:ascii="Times New Roman" w:hAnsi="Times New Roman"/>
          <w:i/>
          <w:sz w:val="18"/>
          <w:szCs w:val="18"/>
          <w:lang w:val="uk-UA"/>
        </w:rPr>
        <w:t xml:space="preserve">      </w:t>
      </w:r>
      <w:r w:rsidRPr="00A26EFC">
        <w:rPr>
          <w:rFonts w:ascii="Times New Roman" w:hAnsi="Times New Roman"/>
          <w:i/>
          <w:sz w:val="18"/>
          <w:szCs w:val="18"/>
          <w:lang w:val="uk-UA"/>
        </w:rPr>
        <w:t xml:space="preserve">             </w:t>
      </w:r>
      <w:r w:rsidR="005E418B">
        <w:rPr>
          <w:rFonts w:ascii="Times New Roman" w:hAnsi="Times New Roman"/>
          <w:i/>
          <w:sz w:val="18"/>
          <w:szCs w:val="18"/>
          <w:lang w:val="uk-UA"/>
        </w:rPr>
        <w:t xml:space="preserve">              </w:t>
      </w:r>
      <w:r w:rsidRPr="00A26EFC">
        <w:rPr>
          <w:rFonts w:ascii="Times New Roman" w:hAnsi="Times New Roman"/>
          <w:i/>
          <w:sz w:val="18"/>
          <w:szCs w:val="18"/>
          <w:lang w:val="uk-UA"/>
        </w:rPr>
        <w:t xml:space="preserve">  </w:t>
      </w:r>
      <w:proofErr w:type="spellStart"/>
      <w:r w:rsidRPr="00E16672">
        <w:rPr>
          <w:rFonts w:ascii="Times New Roman" w:hAnsi="Times New Roman"/>
          <w:i/>
          <w:sz w:val="18"/>
          <w:szCs w:val="18"/>
          <w:lang w:val="uk-UA"/>
        </w:rPr>
        <w:t>surname</w:t>
      </w:r>
      <w:proofErr w:type="spellEnd"/>
      <w:r w:rsidRPr="00E16672">
        <w:rPr>
          <w:rFonts w:ascii="Times New Roman" w:hAnsi="Times New Roman"/>
          <w:i/>
          <w:sz w:val="18"/>
          <w:szCs w:val="18"/>
          <w:lang w:val="uk-UA"/>
        </w:rPr>
        <w:t xml:space="preserve">, </w:t>
      </w:r>
      <w:proofErr w:type="spellStart"/>
      <w:r w:rsidRPr="00E16672">
        <w:rPr>
          <w:rFonts w:ascii="Times New Roman" w:hAnsi="Times New Roman"/>
          <w:i/>
          <w:sz w:val="18"/>
          <w:szCs w:val="18"/>
          <w:lang w:val="uk-UA"/>
        </w:rPr>
        <w:t>name</w:t>
      </w:r>
      <w:proofErr w:type="spellEnd"/>
      <w:r w:rsidRPr="00E16672">
        <w:rPr>
          <w:rFonts w:ascii="Times New Roman" w:hAnsi="Times New Roman"/>
          <w:i/>
          <w:sz w:val="18"/>
          <w:szCs w:val="18"/>
          <w:lang w:val="uk-UA"/>
        </w:rPr>
        <w:t xml:space="preserve">, </w:t>
      </w:r>
      <w:proofErr w:type="spellStart"/>
      <w:r w:rsidRPr="00E16672">
        <w:rPr>
          <w:rFonts w:ascii="Times New Roman" w:hAnsi="Times New Roman"/>
          <w:i/>
          <w:sz w:val="18"/>
          <w:szCs w:val="18"/>
          <w:lang w:val="uk-UA"/>
        </w:rPr>
        <w:t>patronymic</w:t>
      </w:r>
      <w:proofErr w:type="spellEnd"/>
      <w:r w:rsidRPr="00E16672">
        <w:rPr>
          <w:rFonts w:ascii="Times New Roman" w:hAnsi="Times New Roman"/>
          <w:i/>
          <w:sz w:val="18"/>
          <w:szCs w:val="18"/>
          <w:lang w:val="uk-UA"/>
        </w:rPr>
        <w:t xml:space="preserve"> (</w:t>
      </w:r>
      <w:proofErr w:type="spellStart"/>
      <w:r w:rsidRPr="00E16672">
        <w:rPr>
          <w:rFonts w:ascii="Times New Roman" w:hAnsi="Times New Roman"/>
          <w:i/>
          <w:sz w:val="18"/>
          <w:szCs w:val="18"/>
          <w:lang w:val="uk-UA"/>
        </w:rPr>
        <w:t>if</w:t>
      </w:r>
      <w:proofErr w:type="spellEnd"/>
      <w:r w:rsidRPr="00E16672">
        <w:rPr>
          <w:rFonts w:ascii="Times New Roman" w:hAnsi="Times New Roman"/>
          <w:i/>
          <w:sz w:val="18"/>
          <w:szCs w:val="18"/>
          <w:lang w:val="uk-UA"/>
        </w:rPr>
        <w:t xml:space="preserve"> </w:t>
      </w:r>
      <w:proofErr w:type="spellStart"/>
      <w:r w:rsidRPr="00E16672">
        <w:rPr>
          <w:rFonts w:ascii="Times New Roman" w:hAnsi="Times New Roman"/>
          <w:i/>
          <w:sz w:val="18"/>
          <w:szCs w:val="18"/>
          <w:lang w:val="uk-UA"/>
        </w:rPr>
        <w:t>any</w:t>
      </w:r>
      <w:proofErr w:type="spellEnd"/>
      <w:r w:rsidRPr="00E16672">
        <w:rPr>
          <w:rFonts w:ascii="Times New Roman" w:hAnsi="Times New Roman"/>
          <w:i/>
          <w:sz w:val="18"/>
          <w:szCs w:val="18"/>
          <w:lang w:val="uk-UA"/>
        </w:rPr>
        <w:t>)</w:t>
      </w:r>
    </w:p>
    <w:p w14:paraId="74067F82" w14:textId="77777777" w:rsidR="005745AF" w:rsidRDefault="005745AF" w:rsidP="005745AF">
      <w:pPr>
        <w:rPr>
          <w:rFonts w:ascii="Times New Roman" w:hAnsi="Times New Roman"/>
          <w:color w:val="0000FF"/>
          <w:lang w:val="uk-UA"/>
        </w:rPr>
      </w:pPr>
    </w:p>
    <w:p w14:paraId="38568BD9" w14:textId="77777777" w:rsidR="00602650" w:rsidRDefault="00602650" w:rsidP="005745AF">
      <w:pPr>
        <w:rPr>
          <w:rFonts w:ascii="Times New Roman" w:hAnsi="Times New Roman"/>
          <w:color w:val="0000FF"/>
          <w:lang w:val="uk-UA"/>
        </w:rPr>
      </w:pPr>
    </w:p>
    <w:p w14:paraId="6B3FD3C7" w14:textId="77777777" w:rsidR="00602650" w:rsidRDefault="00602650" w:rsidP="005745AF">
      <w:pPr>
        <w:rPr>
          <w:rFonts w:ascii="Times New Roman" w:hAnsi="Times New Roman"/>
          <w:color w:val="0000FF"/>
          <w:lang w:val="uk-UA"/>
        </w:rPr>
      </w:pPr>
    </w:p>
    <w:p w14:paraId="0AAC723B" w14:textId="77777777" w:rsidR="00602650" w:rsidRDefault="00602650" w:rsidP="005745AF">
      <w:pPr>
        <w:rPr>
          <w:rFonts w:ascii="Times New Roman" w:hAnsi="Times New Roman"/>
          <w:color w:val="0000FF"/>
          <w:lang w:val="uk-UA"/>
        </w:rPr>
      </w:pPr>
    </w:p>
    <w:p w14:paraId="14A6FB82" w14:textId="77777777" w:rsidR="00602650" w:rsidRDefault="00602650" w:rsidP="005745AF">
      <w:pPr>
        <w:rPr>
          <w:rFonts w:ascii="Times New Roman" w:hAnsi="Times New Roman"/>
          <w:color w:val="0000FF"/>
          <w:lang w:val="uk-UA"/>
        </w:rPr>
      </w:pPr>
    </w:p>
    <w:p w14:paraId="650B54EF" w14:textId="77777777" w:rsidR="00602650" w:rsidRDefault="00602650" w:rsidP="005745AF">
      <w:pPr>
        <w:rPr>
          <w:rFonts w:ascii="Times New Roman" w:hAnsi="Times New Roman"/>
          <w:color w:val="0000FF"/>
          <w:lang w:val="uk-UA"/>
        </w:rPr>
      </w:pPr>
    </w:p>
    <w:p w14:paraId="7EC64331" w14:textId="77777777" w:rsidR="00602650" w:rsidRDefault="00602650" w:rsidP="005745AF">
      <w:pPr>
        <w:rPr>
          <w:rFonts w:ascii="Times New Roman" w:hAnsi="Times New Roman"/>
          <w:color w:val="0000FF"/>
          <w:lang w:val="uk-UA"/>
        </w:rPr>
      </w:pPr>
    </w:p>
    <w:p w14:paraId="170C9DFF" w14:textId="77777777" w:rsidR="00602650" w:rsidRDefault="00602650" w:rsidP="005745AF">
      <w:pPr>
        <w:rPr>
          <w:rFonts w:ascii="Times New Roman" w:hAnsi="Times New Roman"/>
          <w:color w:val="0000FF"/>
          <w:lang w:val="uk-UA"/>
        </w:rPr>
      </w:pPr>
    </w:p>
    <w:p w14:paraId="5A160864" w14:textId="77777777" w:rsidR="00602650" w:rsidRDefault="00602650" w:rsidP="005745AF">
      <w:pPr>
        <w:rPr>
          <w:rFonts w:ascii="Times New Roman" w:hAnsi="Times New Roman"/>
          <w:color w:val="0000FF"/>
          <w:lang w:val="uk-UA"/>
        </w:rPr>
      </w:pPr>
    </w:p>
    <w:p w14:paraId="1A4CCC7B" w14:textId="77777777" w:rsidR="00602650" w:rsidRDefault="00602650" w:rsidP="005745AF">
      <w:pPr>
        <w:rPr>
          <w:rFonts w:ascii="Times New Roman" w:hAnsi="Times New Roman"/>
          <w:color w:val="0000FF"/>
          <w:lang w:val="uk-UA"/>
        </w:rPr>
      </w:pPr>
    </w:p>
    <w:p w14:paraId="0F4D5098" w14:textId="77777777" w:rsidR="00602650" w:rsidRDefault="00602650" w:rsidP="005745AF">
      <w:pPr>
        <w:rPr>
          <w:rFonts w:ascii="Times New Roman" w:hAnsi="Times New Roman"/>
          <w:color w:val="0000FF"/>
          <w:lang w:val="uk-UA"/>
        </w:rPr>
      </w:pPr>
    </w:p>
    <w:p w14:paraId="24199CC1" w14:textId="77777777" w:rsidR="00602650" w:rsidRDefault="00602650" w:rsidP="005745AF">
      <w:pPr>
        <w:rPr>
          <w:rFonts w:ascii="Times New Roman" w:hAnsi="Times New Roman"/>
          <w:color w:val="0000FF"/>
          <w:lang w:val="uk-UA"/>
        </w:rPr>
      </w:pPr>
    </w:p>
    <w:p w14:paraId="059F612C" w14:textId="77777777" w:rsidR="00602650" w:rsidRDefault="00602650" w:rsidP="005745AF">
      <w:pPr>
        <w:rPr>
          <w:rFonts w:ascii="Times New Roman" w:hAnsi="Times New Roman"/>
          <w:color w:val="0000FF"/>
          <w:lang w:val="uk-UA"/>
        </w:rPr>
      </w:pPr>
    </w:p>
    <w:p w14:paraId="4E5F8C48" w14:textId="77777777" w:rsidR="00602650" w:rsidRDefault="00602650" w:rsidP="005745AF">
      <w:pPr>
        <w:rPr>
          <w:rFonts w:ascii="Times New Roman" w:hAnsi="Times New Roman"/>
          <w:color w:val="0000FF"/>
          <w:lang w:val="uk-UA"/>
        </w:rPr>
      </w:pPr>
    </w:p>
    <w:p w14:paraId="429581F2" w14:textId="77777777" w:rsidR="00602650" w:rsidRPr="00E16672" w:rsidRDefault="00602650" w:rsidP="005745AF">
      <w:pPr>
        <w:rPr>
          <w:rFonts w:ascii="Times New Roman" w:hAnsi="Times New Roman"/>
          <w:color w:val="0000FF"/>
          <w:lang w:val="uk-UA"/>
        </w:rPr>
      </w:pPr>
    </w:p>
    <w:p w14:paraId="7CA6E7F1" w14:textId="77777777" w:rsidR="005745AF" w:rsidRPr="00E16672" w:rsidRDefault="005745AF" w:rsidP="005745AF">
      <w:pPr>
        <w:rPr>
          <w:rFonts w:ascii="Times New Roman" w:hAnsi="Times New Roman"/>
          <w:color w:val="0000FF"/>
          <w:sz w:val="22"/>
          <w:szCs w:val="22"/>
          <w:lang w:val="uk-UA"/>
        </w:rPr>
      </w:pPr>
    </w:p>
    <w:p w14:paraId="2A1D103F" w14:textId="77777777" w:rsidR="005745AF" w:rsidRPr="00A26EFC" w:rsidRDefault="005745AF" w:rsidP="005745AF">
      <w:pPr>
        <w:jc w:val="center"/>
        <w:rPr>
          <w:rFonts w:ascii="Times New Roman" w:hAnsi="Times New Roman"/>
          <w:b/>
          <w:color w:val="000000"/>
          <w:szCs w:val="20"/>
          <w:lang w:val="uk-UA"/>
        </w:rPr>
      </w:pPr>
      <w:r w:rsidRPr="00A26EFC">
        <w:rPr>
          <w:rFonts w:ascii="Times New Roman" w:hAnsi="Times New Roman"/>
          <w:b/>
          <w:color w:val="000000"/>
          <w:szCs w:val="20"/>
          <w:lang w:val="uk-UA"/>
        </w:rPr>
        <w:t>АКТ ПРИЙМАННЯ-ПЕРЕДАВАННЯ</w:t>
      </w:r>
    </w:p>
    <w:p w14:paraId="380518EE" w14:textId="77777777" w:rsidR="005745AF" w:rsidRPr="00A26EFC" w:rsidRDefault="005745AF" w:rsidP="005745AF">
      <w:pPr>
        <w:jc w:val="center"/>
        <w:rPr>
          <w:rFonts w:ascii="Times New Roman" w:hAnsi="Times New Roman"/>
          <w:b/>
          <w:color w:val="000000"/>
          <w:szCs w:val="20"/>
          <w:lang w:val="uk-UA"/>
        </w:rPr>
      </w:pPr>
      <w:r w:rsidRPr="00A26EFC">
        <w:rPr>
          <w:rFonts w:ascii="Times New Roman" w:hAnsi="Times New Roman"/>
          <w:b/>
          <w:color w:val="000000"/>
          <w:szCs w:val="20"/>
          <w:lang w:val="uk-UA"/>
        </w:rPr>
        <w:t>реєстру власників іменних цінних паперів/переліку у паперовому вигляді до Договору про надання реєстру власників іменних цінних паперів</w:t>
      </w:r>
    </w:p>
    <w:p w14:paraId="369A2659" w14:textId="77777777" w:rsidR="005745AF" w:rsidRPr="00A26EFC" w:rsidRDefault="005745AF" w:rsidP="005745AF">
      <w:pPr>
        <w:jc w:val="center"/>
        <w:rPr>
          <w:rFonts w:ascii="Times New Roman" w:hAnsi="Times New Roman"/>
          <w:b/>
          <w:color w:val="000000"/>
          <w:szCs w:val="20"/>
          <w:lang w:val="uk-UA"/>
        </w:rPr>
      </w:pPr>
      <w:r w:rsidRPr="00A26EFC">
        <w:rPr>
          <w:rFonts w:ascii="Times New Roman" w:hAnsi="Times New Roman"/>
          <w:b/>
          <w:color w:val="000000"/>
          <w:szCs w:val="20"/>
          <w:lang w:val="uk-UA"/>
        </w:rPr>
        <w:t>№ ___________/_________ від _______ р.</w:t>
      </w:r>
    </w:p>
    <w:p w14:paraId="52BDED89" w14:textId="77777777" w:rsidR="005745AF" w:rsidRDefault="005745AF" w:rsidP="005745AF">
      <w:pPr>
        <w:rPr>
          <w:rFonts w:ascii="Times New Roman" w:hAnsi="Times New Roman"/>
          <w:color w:val="000000"/>
          <w:sz w:val="22"/>
          <w:szCs w:val="22"/>
          <w:lang w:val="uk-UA"/>
        </w:rPr>
      </w:pPr>
    </w:p>
    <w:p w14:paraId="5B4E8C5D" w14:textId="77777777" w:rsidR="00C403D0" w:rsidRPr="00C403D0" w:rsidRDefault="00C403D0" w:rsidP="00C403D0">
      <w:pPr>
        <w:rPr>
          <w:rFonts w:ascii="Times New Roman" w:hAnsi="Times New Roman"/>
          <w:color w:val="000000"/>
          <w:sz w:val="22"/>
          <w:szCs w:val="22"/>
          <w:lang w:val="uk-UA"/>
        </w:rPr>
      </w:pPr>
      <w:r>
        <w:rPr>
          <w:rFonts w:ascii="Times New Roman" w:hAnsi="Times New Roman"/>
          <w:color w:val="000000"/>
          <w:sz w:val="22"/>
          <w:szCs w:val="22"/>
          <w:lang w:val="uk-UA"/>
        </w:rPr>
        <w:t xml:space="preserve">м. Київ </w:t>
      </w:r>
      <w:r>
        <w:rPr>
          <w:rFonts w:ascii="Times New Roman" w:hAnsi="Times New Roman"/>
          <w:color w:val="000000"/>
          <w:sz w:val="22"/>
          <w:szCs w:val="22"/>
          <w:lang w:val="uk-UA"/>
        </w:rPr>
        <w:tab/>
      </w:r>
      <w:r>
        <w:rPr>
          <w:rFonts w:ascii="Times New Roman" w:hAnsi="Times New Roman"/>
          <w:color w:val="000000"/>
          <w:sz w:val="22"/>
          <w:szCs w:val="22"/>
          <w:lang w:val="uk-UA"/>
        </w:rPr>
        <w:tab/>
      </w:r>
      <w:r>
        <w:rPr>
          <w:rFonts w:ascii="Times New Roman" w:hAnsi="Times New Roman"/>
          <w:color w:val="000000"/>
          <w:sz w:val="22"/>
          <w:szCs w:val="22"/>
          <w:lang w:val="uk-UA"/>
        </w:rPr>
        <w:tab/>
      </w:r>
      <w:r>
        <w:rPr>
          <w:rFonts w:ascii="Times New Roman" w:hAnsi="Times New Roman"/>
          <w:color w:val="000000"/>
          <w:sz w:val="22"/>
          <w:szCs w:val="22"/>
          <w:lang w:val="uk-UA"/>
        </w:rPr>
        <w:tab/>
      </w:r>
      <w:r>
        <w:rPr>
          <w:rFonts w:ascii="Times New Roman" w:hAnsi="Times New Roman"/>
          <w:color w:val="000000"/>
          <w:sz w:val="22"/>
          <w:szCs w:val="22"/>
          <w:lang w:val="uk-UA"/>
        </w:rPr>
        <w:tab/>
      </w:r>
      <w:r>
        <w:rPr>
          <w:rFonts w:ascii="Times New Roman" w:hAnsi="Times New Roman"/>
          <w:color w:val="000000"/>
          <w:sz w:val="22"/>
          <w:szCs w:val="22"/>
          <w:lang w:val="uk-UA"/>
        </w:rPr>
        <w:tab/>
      </w:r>
      <w:r>
        <w:rPr>
          <w:rFonts w:ascii="Times New Roman" w:hAnsi="Times New Roman"/>
          <w:color w:val="000000"/>
          <w:sz w:val="22"/>
          <w:szCs w:val="22"/>
          <w:lang w:val="uk-UA"/>
        </w:rPr>
        <w:tab/>
      </w:r>
      <w:r>
        <w:rPr>
          <w:rFonts w:ascii="Times New Roman" w:hAnsi="Times New Roman"/>
          <w:color w:val="000000"/>
          <w:sz w:val="22"/>
          <w:szCs w:val="22"/>
          <w:lang w:val="uk-UA"/>
        </w:rPr>
        <w:tab/>
      </w:r>
      <w:r>
        <w:rPr>
          <w:rFonts w:ascii="Times New Roman" w:hAnsi="Times New Roman"/>
          <w:color w:val="000000"/>
          <w:sz w:val="22"/>
          <w:szCs w:val="22"/>
          <w:lang w:val="uk-UA"/>
        </w:rPr>
        <w:tab/>
      </w:r>
      <w:r>
        <w:rPr>
          <w:rFonts w:ascii="Times New Roman" w:hAnsi="Times New Roman"/>
          <w:color w:val="000000"/>
          <w:sz w:val="22"/>
          <w:szCs w:val="22"/>
          <w:lang w:val="uk-UA"/>
        </w:rPr>
        <w:tab/>
        <w:t>"    "</w:t>
      </w:r>
      <w:r w:rsidRPr="00A26EFC">
        <w:rPr>
          <w:rFonts w:ascii="Times New Roman" w:hAnsi="Times New Roman"/>
          <w:color w:val="000000"/>
          <w:sz w:val="22"/>
          <w:szCs w:val="22"/>
          <w:lang w:val="uk-UA"/>
        </w:rPr>
        <w:t xml:space="preserve"> _____</w:t>
      </w:r>
      <w:r w:rsidRPr="00E16672">
        <w:rPr>
          <w:rFonts w:ascii="Times New Roman" w:hAnsi="Times New Roman"/>
          <w:color w:val="000000"/>
          <w:sz w:val="22"/>
          <w:szCs w:val="22"/>
          <w:lang w:val="uk-UA"/>
        </w:rPr>
        <w:t>_</w:t>
      </w:r>
      <w:r w:rsidRPr="00A26EFC">
        <w:rPr>
          <w:rFonts w:ascii="Times New Roman" w:hAnsi="Times New Roman"/>
          <w:color w:val="000000"/>
          <w:sz w:val="22"/>
          <w:szCs w:val="22"/>
          <w:lang w:val="uk-UA"/>
        </w:rPr>
        <w:t>_____  20</w:t>
      </w:r>
      <w:r>
        <w:rPr>
          <w:rFonts w:ascii="Times New Roman" w:hAnsi="Times New Roman"/>
          <w:color w:val="000000"/>
          <w:sz w:val="22"/>
          <w:szCs w:val="22"/>
          <w:lang w:val="uk-UA"/>
        </w:rPr>
        <w:t>__ року</w:t>
      </w:r>
    </w:p>
    <w:p w14:paraId="6F6BC5B1" w14:textId="77777777" w:rsidR="00C403D0" w:rsidRPr="00A26EFC" w:rsidRDefault="00C403D0" w:rsidP="00C403D0">
      <w:pPr>
        <w:rPr>
          <w:rFonts w:ascii="Times New Roman" w:hAnsi="Times New Roman"/>
          <w:color w:val="000000"/>
          <w:sz w:val="22"/>
          <w:szCs w:val="22"/>
          <w:lang w:val="uk-UA"/>
        </w:rPr>
      </w:pPr>
    </w:p>
    <w:p w14:paraId="148C0573" w14:textId="77777777" w:rsidR="005745AF" w:rsidRPr="00A26EFC" w:rsidRDefault="005745AF" w:rsidP="005745AF">
      <w:pPr>
        <w:rPr>
          <w:rFonts w:ascii="Times New Roman" w:hAnsi="Times New Roman"/>
          <w:color w:val="000000"/>
          <w:sz w:val="22"/>
          <w:szCs w:val="22"/>
          <w:lang w:val="uk-UA"/>
        </w:rPr>
      </w:pPr>
    </w:p>
    <w:p w14:paraId="5AB9C0DA" w14:textId="77777777" w:rsidR="005745AF" w:rsidRPr="00A26EFC" w:rsidRDefault="005745AF" w:rsidP="00850A01">
      <w:pPr>
        <w:ind w:firstLine="708"/>
        <w:jc w:val="left"/>
        <w:rPr>
          <w:rFonts w:ascii="Times New Roman" w:hAnsi="Times New Roman"/>
          <w:color w:val="000000"/>
          <w:sz w:val="22"/>
          <w:szCs w:val="22"/>
          <w:lang w:val="uk-UA"/>
        </w:rPr>
      </w:pPr>
      <w:r w:rsidRPr="00A26EFC">
        <w:rPr>
          <w:rFonts w:ascii="Times New Roman" w:hAnsi="Times New Roman"/>
          <w:color w:val="000000"/>
          <w:sz w:val="22"/>
          <w:szCs w:val="22"/>
          <w:lang w:val="uk-UA"/>
        </w:rPr>
        <w:t xml:space="preserve">Ми, що підписалися нижче, від </w:t>
      </w:r>
      <w:r w:rsidRPr="00E16672">
        <w:rPr>
          <w:rFonts w:ascii="Times New Roman" w:hAnsi="Times New Roman"/>
          <w:color w:val="000000"/>
          <w:sz w:val="22"/>
          <w:szCs w:val="22"/>
          <w:lang w:val="uk-UA"/>
        </w:rPr>
        <w:t xml:space="preserve">ТОВАРИСТВА З ОБМЕЖЕНОЮ ВІДПОВІДАЛЬНІСТЮ </w:t>
      </w:r>
      <w:r w:rsidR="00022F5F">
        <w:rPr>
          <w:rFonts w:ascii="Times New Roman" w:hAnsi="Times New Roman"/>
          <w:color w:val="000000"/>
          <w:sz w:val="22"/>
          <w:szCs w:val="22"/>
          <w:lang w:val="uk-UA"/>
        </w:rPr>
        <w:t>"</w:t>
      </w:r>
      <w:r w:rsidR="00E16672" w:rsidRPr="00E16672">
        <w:rPr>
          <w:rFonts w:ascii="Times New Roman" w:hAnsi="Times New Roman"/>
          <w:color w:val="000000"/>
          <w:sz w:val="22"/>
          <w:szCs w:val="22"/>
          <w:lang w:val="uk-UA"/>
        </w:rPr>
        <w:t>КОМЕКС ЦІННІ ПАПЕРИ</w:t>
      </w:r>
      <w:r w:rsidR="00022F5F">
        <w:rPr>
          <w:rFonts w:ascii="Times New Roman" w:hAnsi="Times New Roman"/>
          <w:color w:val="000000"/>
          <w:sz w:val="22"/>
          <w:szCs w:val="22"/>
          <w:lang w:val="uk-UA"/>
        </w:rPr>
        <w:t>"</w:t>
      </w:r>
      <w:r w:rsidRPr="00A26EFC">
        <w:rPr>
          <w:rFonts w:ascii="Times New Roman" w:hAnsi="Times New Roman"/>
          <w:color w:val="000000"/>
          <w:sz w:val="22"/>
          <w:szCs w:val="22"/>
          <w:lang w:val="uk-UA"/>
        </w:rPr>
        <w:t xml:space="preserve"> (далі – Депозитарна установа) </w:t>
      </w:r>
      <w:r w:rsidR="00850A01">
        <w:rPr>
          <w:rFonts w:ascii="Times New Roman" w:hAnsi="Times New Roman"/>
          <w:color w:val="000000"/>
          <w:sz w:val="22"/>
          <w:szCs w:val="22"/>
          <w:lang w:val="uk-UA"/>
        </w:rPr>
        <w:t>__________________________________________________</w:t>
      </w:r>
      <w:r w:rsidRPr="00A26EFC">
        <w:rPr>
          <w:rFonts w:ascii="Times New Roman" w:hAnsi="Times New Roman"/>
          <w:color w:val="000000"/>
          <w:sz w:val="22"/>
          <w:szCs w:val="22"/>
          <w:lang w:val="uk-UA"/>
        </w:rPr>
        <w:t>та від Емітента ____________________________________________________ склали цей акт про те, що:</w:t>
      </w:r>
    </w:p>
    <w:p w14:paraId="23284E41" w14:textId="77777777" w:rsidR="005745AF" w:rsidRPr="00A26EFC" w:rsidRDefault="005745AF" w:rsidP="005745AF">
      <w:pPr>
        <w:rPr>
          <w:rFonts w:ascii="Times New Roman" w:hAnsi="Times New Roman"/>
          <w:color w:val="000000"/>
          <w:sz w:val="22"/>
          <w:szCs w:val="22"/>
          <w:lang w:val="uk-UA"/>
        </w:rPr>
      </w:pPr>
    </w:p>
    <w:p w14:paraId="5C4ECC08" w14:textId="77777777" w:rsidR="005745AF" w:rsidRPr="00E16672" w:rsidRDefault="005745AF" w:rsidP="005745AF">
      <w:pPr>
        <w:rPr>
          <w:rFonts w:ascii="Times New Roman" w:hAnsi="Times New Roman"/>
          <w:color w:val="000000"/>
          <w:sz w:val="22"/>
          <w:szCs w:val="22"/>
        </w:rPr>
      </w:pPr>
      <w:proofErr w:type="spellStart"/>
      <w:r w:rsidRPr="00E16672">
        <w:rPr>
          <w:rFonts w:ascii="Times New Roman" w:hAnsi="Times New Roman"/>
          <w:color w:val="000000"/>
          <w:sz w:val="22"/>
          <w:szCs w:val="22"/>
        </w:rPr>
        <w:t>Депозитарна</w:t>
      </w:r>
      <w:proofErr w:type="spellEnd"/>
      <w:r w:rsidRPr="00E16672">
        <w:rPr>
          <w:rFonts w:ascii="Times New Roman" w:hAnsi="Times New Roman"/>
          <w:color w:val="000000"/>
          <w:sz w:val="22"/>
          <w:szCs w:val="22"/>
        </w:rPr>
        <w:t xml:space="preserve"> </w:t>
      </w:r>
      <w:proofErr w:type="spellStart"/>
      <w:r w:rsidRPr="00E16672">
        <w:rPr>
          <w:rFonts w:ascii="Times New Roman" w:hAnsi="Times New Roman"/>
          <w:color w:val="000000"/>
          <w:sz w:val="22"/>
          <w:szCs w:val="22"/>
        </w:rPr>
        <w:t>установа</w:t>
      </w:r>
      <w:proofErr w:type="spellEnd"/>
      <w:r w:rsidRPr="00E16672">
        <w:rPr>
          <w:rFonts w:ascii="Times New Roman" w:hAnsi="Times New Roman"/>
          <w:color w:val="000000"/>
          <w:sz w:val="22"/>
          <w:szCs w:val="22"/>
        </w:rPr>
        <w:t xml:space="preserve"> передала, а </w:t>
      </w:r>
      <w:proofErr w:type="spellStart"/>
      <w:r w:rsidRPr="00E16672">
        <w:rPr>
          <w:rFonts w:ascii="Times New Roman" w:hAnsi="Times New Roman"/>
          <w:color w:val="000000"/>
          <w:sz w:val="22"/>
          <w:szCs w:val="22"/>
        </w:rPr>
        <w:t>Емітент</w:t>
      </w:r>
      <w:proofErr w:type="spellEnd"/>
      <w:r w:rsidRPr="00E16672">
        <w:rPr>
          <w:rFonts w:ascii="Times New Roman" w:hAnsi="Times New Roman"/>
          <w:color w:val="000000"/>
          <w:sz w:val="22"/>
          <w:szCs w:val="22"/>
        </w:rPr>
        <w:t xml:space="preserve"> </w:t>
      </w:r>
      <w:proofErr w:type="spellStart"/>
      <w:r w:rsidRPr="00E16672">
        <w:rPr>
          <w:rFonts w:ascii="Times New Roman" w:hAnsi="Times New Roman"/>
          <w:color w:val="000000"/>
          <w:sz w:val="22"/>
          <w:szCs w:val="22"/>
        </w:rPr>
        <w:t>прийняв</w:t>
      </w:r>
      <w:proofErr w:type="spellEnd"/>
      <w:r w:rsidRPr="00E16672">
        <w:rPr>
          <w:rFonts w:ascii="Times New Roman" w:hAnsi="Times New Roman"/>
          <w:color w:val="000000"/>
          <w:sz w:val="22"/>
          <w:szCs w:val="22"/>
        </w:rPr>
        <w:t xml:space="preserve"> </w:t>
      </w:r>
      <w:proofErr w:type="spellStart"/>
      <w:r w:rsidRPr="00E16672">
        <w:rPr>
          <w:rFonts w:ascii="Times New Roman" w:hAnsi="Times New Roman"/>
          <w:color w:val="000000"/>
          <w:sz w:val="22"/>
          <w:szCs w:val="22"/>
        </w:rPr>
        <w:t>реєстр</w:t>
      </w:r>
      <w:proofErr w:type="spellEnd"/>
      <w:r w:rsidRPr="00E16672">
        <w:rPr>
          <w:rFonts w:ascii="Times New Roman" w:hAnsi="Times New Roman"/>
          <w:color w:val="000000"/>
          <w:sz w:val="22"/>
          <w:szCs w:val="22"/>
        </w:rPr>
        <w:t xml:space="preserve"> </w:t>
      </w:r>
      <w:proofErr w:type="spellStart"/>
      <w:r w:rsidRPr="00E16672">
        <w:rPr>
          <w:rFonts w:ascii="Times New Roman" w:hAnsi="Times New Roman"/>
          <w:color w:val="000000"/>
          <w:sz w:val="22"/>
          <w:szCs w:val="22"/>
        </w:rPr>
        <w:t>власників</w:t>
      </w:r>
      <w:proofErr w:type="spellEnd"/>
      <w:r w:rsidRPr="00E16672">
        <w:rPr>
          <w:rFonts w:ascii="Times New Roman" w:hAnsi="Times New Roman"/>
          <w:color w:val="000000"/>
          <w:sz w:val="22"/>
          <w:szCs w:val="22"/>
        </w:rPr>
        <w:t xml:space="preserve"> </w:t>
      </w:r>
      <w:proofErr w:type="spellStart"/>
      <w:r w:rsidRPr="00E16672">
        <w:rPr>
          <w:rFonts w:ascii="Times New Roman" w:hAnsi="Times New Roman"/>
          <w:color w:val="000000"/>
          <w:sz w:val="22"/>
          <w:szCs w:val="22"/>
        </w:rPr>
        <w:t>іменних</w:t>
      </w:r>
      <w:proofErr w:type="spellEnd"/>
      <w:r w:rsidRPr="00E16672">
        <w:rPr>
          <w:rFonts w:ascii="Times New Roman" w:hAnsi="Times New Roman"/>
          <w:color w:val="000000"/>
          <w:sz w:val="22"/>
          <w:szCs w:val="22"/>
        </w:rPr>
        <w:t xml:space="preserve"> </w:t>
      </w:r>
      <w:proofErr w:type="spellStart"/>
      <w:r w:rsidRPr="00E16672">
        <w:rPr>
          <w:rFonts w:ascii="Times New Roman" w:hAnsi="Times New Roman"/>
          <w:color w:val="000000"/>
          <w:sz w:val="22"/>
          <w:szCs w:val="22"/>
        </w:rPr>
        <w:t>цінних</w:t>
      </w:r>
      <w:proofErr w:type="spellEnd"/>
      <w:r w:rsidRPr="00E16672">
        <w:rPr>
          <w:rFonts w:ascii="Times New Roman" w:hAnsi="Times New Roman"/>
          <w:color w:val="000000"/>
          <w:sz w:val="22"/>
          <w:szCs w:val="22"/>
        </w:rPr>
        <w:t xml:space="preserve"> </w:t>
      </w:r>
      <w:proofErr w:type="spellStart"/>
      <w:r w:rsidRPr="00E16672">
        <w:rPr>
          <w:rFonts w:ascii="Times New Roman" w:hAnsi="Times New Roman"/>
          <w:color w:val="000000"/>
          <w:sz w:val="22"/>
          <w:szCs w:val="22"/>
        </w:rPr>
        <w:t>паперів</w:t>
      </w:r>
      <w:proofErr w:type="spellEnd"/>
      <w:r w:rsidRPr="00E16672">
        <w:rPr>
          <w:rFonts w:ascii="Times New Roman" w:hAnsi="Times New Roman"/>
          <w:color w:val="000000"/>
          <w:sz w:val="22"/>
          <w:szCs w:val="22"/>
        </w:rPr>
        <w:t>/</w:t>
      </w:r>
      <w:proofErr w:type="spellStart"/>
      <w:proofErr w:type="gramStart"/>
      <w:r w:rsidRPr="00E16672">
        <w:rPr>
          <w:rFonts w:ascii="Times New Roman" w:hAnsi="Times New Roman"/>
          <w:color w:val="000000"/>
          <w:sz w:val="22"/>
          <w:szCs w:val="22"/>
        </w:rPr>
        <w:t>перелік</w:t>
      </w:r>
      <w:proofErr w:type="spellEnd"/>
      <w:r w:rsidRPr="00E16672">
        <w:rPr>
          <w:rFonts w:ascii="Times New Roman" w:hAnsi="Times New Roman"/>
          <w:color w:val="000000"/>
          <w:sz w:val="22"/>
          <w:szCs w:val="22"/>
        </w:rPr>
        <w:t xml:space="preserve">  _</w:t>
      </w:r>
      <w:proofErr w:type="gramEnd"/>
      <w:r w:rsidRPr="00E16672">
        <w:rPr>
          <w:rFonts w:ascii="Times New Roman" w:hAnsi="Times New Roman"/>
          <w:color w:val="000000"/>
          <w:sz w:val="22"/>
          <w:szCs w:val="22"/>
        </w:rPr>
        <w:t>______________________________________________________________________ станом на ___________ року</w:t>
      </w:r>
    </w:p>
    <w:p w14:paraId="55F6467E" w14:textId="77777777" w:rsidR="005745AF" w:rsidRPr="00E16672" w:rsidRDefault="005745AF" w:rsidP="005745AF">
      <w:pPr>
        <w:rPr>
          <w:rFonts w:ascii="Times New Roman" w:hAnsi="Times New Roman"/>
          <w:color w:val="000000"/>
          <w:sz w:val="22"/>
          <w:szCs w:val="22"/>
        </w:rPr>
      </w:pPr>
      <w:r w:rsidRPr="00E16672">
        <w:rPr>
          <w:rFonts w:ascii="Times New Roman" w:hAnsi="Times New Roman"/>
          <w:color w:val="000000"/>
          <w:sz w:val="22"/>
          <w:szCs w:val="22"/>
        </w:rPr>
        <w:t xml:space="preserve">у </w:t>
      </w:r>
      <w:proofErr w:type="spellStart"/>
      <w:r w:rsidRPr="00E16672">
        <w:rPr>
          <w:rFonts w:ascii="Times New Roman" w:hAnsi="Times New Roman"/>
          <w:color w:val="000000"/>
          <w:sz w:val="22"/>
          <w:szCs w:val="22"/>
        </w:rPr>
        <w:t>паперовому</w:t>
      </w:r>
      <w:proofErr w:type="spellEnd"/>
      <w:r w:rsidRPr="00E16672">
        <w:rPr>
          <w:rFonts w:ascii="Times New Roman" w:hAnsi="Times New Roman"/>
          <w:color w:val="000000"/>
          <w:sz w:val="22"/>
          <w:szCs w:val="22"/>
        </w:rPr>
        <w:t xml:space="preserve"> </w:t>
      </w:r>
      <w:proofErr w:type="spellStart"/>
      <w:r w:rsidRPr="00E16672">
        <w:rPr>
          <w:rFonts w:ascii="Times New Roman" w:hAnsi="Times New Roman"/>
          <w:color w:val="000000"/>
          <w:sz w:val="22"/>
          <w:szCs w:val="22"/>
        </w:rPr>
        <w:t>вигляді</w:t>
      </w:r>
      <w:proofErr w:type="spellEnd"/>
      <w:r w:rsidRPr="00E16672">
        <w:rPr>
          <w:rFonts w:ascii="Times New Roman" w:hAnsi="Times New Roman"/>
          <w:color w:val="000000"/>
          <w:sz w:val="22"/>
          <w:szCs w:val="22"/>
        </w:rPr>
        <w:t>.</w:t>
      </w:r>
    </w:p>
    <w:p w14:paraId="63FB25B7" w14:textId="77777777" w:rsidR="005745AF" w:rsidRPr="00E16672" w:rsidRDefault="005745AF" w:rsidP="005745AF">
      <w:pPr>
        <w:rPr>
          <w:rFonts w:ascii="Times New Roman" w:hAnsi="Times New Roman"/>
          <w:color w:val="000000"/>
          <w:sz w:val="22"/>
          <w:szCs w:val="22"/>
        </w:rPr>
      </w:pPr>
    </w:p>
    <w:p w14:paraId="34E2C46F" w14:textId="77777777" w:rsidR="005745AF" w:rsidRPr="00E16672" w:rsidRDefault="005745AF" w:rsidP="005745AF">
      <w:pPr>
        <w:rPr>
          <w:rFonts w:ascii="Times New Roman" w:hAnsi="Times New Roman"/>
          <w:color w:val="000000"/>
          <w:sz w:val="22"/>
          <w:szCs w:val="22"/>
        </w:rPr>
      </w:pPr>
      <w:proofErr w:type="spellStart"/>
      <w:r w:rsidRPr="00E16672">
        <w:rPr>
          <w:rFonts w:ascii="Times New Roman" w:hAnsi="Times New Roman"/>
          <w:color w:val="000000"/>
          <w:sz w:val="22"/>
          <w:szCs w:val="22"/>
        </w:rPr>
        <w:t>Реєстр</w:t>
      </w:r>
      <w:proofErr w:type="spellEnd"/>
      <w:r w:rsidRPr="00E16672">
        <w:rPr>
          <w:rFonts w:ascii="Times New Roman" w:hAnsi="Times New Roman"/>
          <w:color w:val="000000"/>
          <w:sz w:val="22"/>
          <w:szCs w:val="22"/>
        </w:rPr>
        <w:t xml:space="preserve"> </w:t>
      </w:r>
      <w:proofErr w:type="spellStart"/>
      <w:r w:rsidRPr="00E16672">
        <w:rPr>
          <w:rFonts w:ascii="Times New Roman" w:hAnsi="Times New Roman"/>
          <w:color w:val="000000"/>
          <w:sz w:val="22"/>
          <w:szCs w:val="22"/>
        </w:rPr>
        <w:t>власників</w:t>
      </w:r>
      <w:proofErr w:type="spellEnd"/>
      <w:r w:rsidRPr="00E16672">
        <w:rPr>
          <w:rFonts w:ascii="Times New Roman" w:hAnsi="Times New Roman"/>
          <w:color w:val="000000"/>
          <w:sz w:val="22"/>
          <w:szCs w:val="22"/>
        </w:rPr>
        <w:t xml:space="preserve"> </w:t>
      </w:r>
      <w:proofErr w:type="spellStart"/>
      <w:r w:rsidRPr="00E16672">
        <w:rPr>
          <w:rFonts w:ascii="Times New Roman" w:hAnsi="Times New Roman"/>
          <w:color w:val="000000"/>
          <w:sz w:val="22"/>
          <w:szCs w:val="22"/>
        </w:rPr>
        <w:t>іменних</w:t>
      </w:r>
      <w:proofErr w:type="spellEnd"/>
      <w:r w:rsidRPr="00E16672">
        <w:rPr>
          <w:rFonts w:ascii="Times New Roman" w:hAnsi="Times New Roman"/>
          <w:color w:val="000000"/>
          <w:sz w:val="22"/>
          <w:szCs w:val="22"/>
        </w:rPr>
        <w:t xml:space="preserve"> </w:t>
      </w:r>
      <w:proofErr w:type="spellStart"/>
      <w:r w:rsidRPr="00E16672">
        <w:rPr>
          <w:rFonts w:ascii="Times New Roman" w:hAnsi="Times New Roman"/>
          <w:color w:val="000000"/>
          <w:sz w:val="22"/>
          <w:szCs w:val="22"/>
        </w:rPr>
        <w:t>цінних</w:t>
      </w:r>
      <w:proofErr w:type="spellEnd"/>
      <w:r w:rsidRPr="00E16672">
        <w:rPr>
          <w:rFonts w:ascii="Times New Roman" w:hAnsi="Times New Roman"/>
          <w:color w:val="000000"/>
          <w:sz w:val="22"/>
          <w:szCs w:val="22"/>
        </w:rPr>
        <w:t xml:space="preserve"> </w:t>
      </w:r>
      <w:proofErr w:type="spellStart"/>
      <w:r w:rsidRPr="00E16672">
        <w:rPr>
          <w:rFonts w:ascii="Times New Roman" w:hAnsi="Times New Roman"/>
          <w:color w:val="000000"/>
          <w:sz w:val="22"/>
          <w:szCs w:val="22"/>
        </w:rPr>
        <w:t>паперів</w:t>
      </w:r>
      <w:proofErr w:type="spellEnd"/>
      <w:r w:rsidRPr="00E16672">
        <w:rPr>
          <w:rFonts w:ascii="Times New Roman" w:hAnsi="Times New Roman"/>
          <w:color w:val="000000"/>
          <w:sz w:val="22"/>
          <w:szCs w:val="22"/>
        </w:rPr>
        <w:t>/</w:t>
      </w:r>
      <w:proofErr w:type="spellStart"/>
      <w:r w:rsidRPr="00E16672">
        <w:rPr>
          <w:rFonts w:ascii="Times New Roman" w:hAnsi="Times New Roman"/>
          <w:color w:val="000000"/>
          <w:sz w:val="22"/>
          <w:szCs w:val="22"/>
        </w:rPr>
        <w:t>перелік</w:t>
      </w:r>
      <w:proofErr w:type="spellEnd"/>
      <w:r w:rsidRPr="00E16672">
        <w:rPr>
          <w:rFonts w:ascii="Times New Roman" w:hAnsi="Times New Roman"/>
          <w:color w:val="000000"/>
          <w:sz w:val="22"/>
          <w:szCs w:val="22"/>
        </w:rPr>
        <w:t xml:space="preserve"> </w:t>
      </w:r>
      <w:proofErr w:type="spellStart"/>
      <w:r w:rsidRPr="00E16672">
        <w:rPr>
          <w:rFonts w:ascii="Times New Roman" w:hAnsi="Times New Roman"/>
          <w:color w:val="000000"/>
          <w:sz w:val="22"/>
          <w:szCs w:val="22"/>
        </w:rPr>
        <w:t>передається</w:t>
      </w:r>
      <w:proofErr w:type="spellEnd"/>
      <w:r w:rsidRPr="00E16672">
        <w:rPr>
          <w:rFonts w:ascii="Times New Roman" w:hAnsi="Times New Roman"/>
          <w:color w:val="000000"/>
          <w:sz w:val="22"/>
          <w:szCs w:val="22"/>
        </w:rPr>
        <w:t xml:space="preserve"> у _____ (___________________) </w:t>
      </w:r>
      <w:proofErr w:type="spellStart"/>
      <w:r w:rsidRPr="00E16672">
        <w:rPr>
          <w:rFonts w:ascii="Times New Roman" w:hAnsi="Times New Roman"/>
          <w:color w:val="000000"/>
          <w:sz w:val="22"/>
          <w:szCs w:val="22"/>
        </w:rPr>
        <w:t>примірниках</w:t>
      </w:r>
      <w:proofErr w:type="spellEnd"/>
      <w:r w:rsidRPr="00E16672">
        <w:rPr>
          <w:rFonts w:ascii="Times New Roman" w:hAnsi="Times New Roman"/>
          <w:color w:val="000000"/>
          <w:sz w:val="22"/>
          <w:szCs w:val="22"/>
        </w:rPr>
        <w:t xml:space="preserve"> на _____ (__________________________________________) </w:t>
      </w:r>
      <w:proofErr w:type="spellStart"/>
      <w:r w:rsidRPr="00E16672">
        <w:rPr>
          <w:rFonts w:ascii="Times New Roman" w:hAnsi="Times New Roman"/>
          <w:color w:val="000000"/>
          <w:sz w:val="22"/>
          <w:szCs w:val="22"/>
        </w:rPr>
        <w:t>аркушах</w:t>
      </w:r>
      <w:proofErr w:type="spellEnd"/>
      <w:r w:rsidRPr="00E16672">
        <w:rPr>
          <w:rFonts w:ascii="Times New Roman" w:hAnsi="Times New Roman"/>
          <w:color w:val="000000"/>
          <w:sz w:val="22"/>
          <w:szCs w:val="22"/>
        </w:rPr>
        <w:t xml:space="preserve"> </w:t>
      </w:r>
      <w:proofErr w:type="spellStart"/>
      <w:r w:rsidRPr="00E16672">
        <w:rPr>
          <w:rFonts w:ascii="Times New Roman" w:hAnsi="Times New Roman"/>
          <w:color w:val="000000"/>
          <w:sz w:val="22"/>
          <w:szCs w:val="22"/>
        </w:rPr>
        <w:t>кожний</w:t>
      </w:r>
      <w:proofErr w:type="spellEnd"/>
      <w:r w:rsidRPr="00E16672">
        <w:rPr>
          <w:rFonts w:ascii="Times New Roman" w:hAnsi="Times New Roman"/>
          <w:color w:val="000000"/>
          <w:sz w:val="22"/>
          <w:szCs w:val="22"/>
        </w:rPr>
        <w:t xml:space="preserve">, </w:t>
      </w:r>
      <w:proofErr w:type="spellStart"/>
      <w:r w:rsidRPr="00E16672">
        <w:rPr>
          <w:rFonts w:ascii="Times New Roman" w:hAnsi="Times New Roman"/>
          <w:color w:val="000000"/>
          <w:sz w:val="22"/>
          <w:szCs w:val="22"/>
        </w:rPr>
        <w:t>прошнурований</w:t>
      </w:r>
      <w:proofErr w:type="spellEnd"/>
      <w:r w:rsidRPr="00E16672">
        <w:rPr>
          <w:rFonts w:ascii="Times New Roman" w:hAnsi="Times New Roman"/>
          <w:color w:val="000000"/>
          <w:sz w:val="22"/>
          <w:szCs w:val="22"/>
        </w:rPr>
        <w:t xml:space="preserve">, </w:t>
      </w:r>
      <w:proofErr w:type="spellStart"/>
      <w:r w:rsidRPr="00E16672">
        <w:rPr>
          <w:rFonts w:ascii="Times New Roman" w:hAnsi="Times New Roman"/>
          <w:color w:val="000000"/>
          <w:sz w:val="22"/>
          <w:szCs w:val="22"/>
        </w:rPr>
        <w:t>пронумерований</w:t>
      </w:r>
      <w:proofErr w:type="spellEnd"/>
      <w:r w:rsidRPr="00E16672">
        <w:rPr>
          <w:rFonts w:ascii="Times New Roman" w:hAnsi="Times New Roman"/>
          <w:color w:val="000000"/>
          <w:sz w:val="22"/>
          <w:szCs w:val="22"/>
        </w:rPr>
        <w:t xml:space="preserve">, </w:t>
      </w:r>
      <w:proofErr w:type="spellStart"/>
      <w:r w:rsidRPr="00E16672">
        <w:rPr>
          <w:rFonts w:ascii="Times New Roman" w:hAnsi="Times New Roman"/>
          <w:color w:val="000000"/>
          <w:sz w:val="22"/>
          <w:szCs w:val="22"/>
        </w:rPr>
        <w:t>скріплений</w:t>
      </w:r>
      <w:proofErr w:type="spellEnd"/>
      <w:r w:rsidRPr="00E16672">
        <w:rPr>
          <w:rFonts w:ascii="Times New Roman" w:hAnsi="Times New Roman"/>
          <w:color w:val="000000"/>
          <w:sz w:val="22"/>
          <w:szCs w:val="22"/>
        </w:rPr>
        <w:t xml:space="preserve"> </w:t>
      </w:r>
      <w:proofErr w:type="spellStart"/>
      <w:r w:rsidRPr="00E16672">
        <w:rPr>
          <w:rFonts w:ascii="Times New Roman" w:hAnsi="Times New Roman"/>
          <w:color w:val="000000"/>
          <w:sz w:val="22"/>
          <w:szCs w:val="22"/>
        </w:rPr>
        <w:t>підписом</w:t>
      </w:r>
      <w:proofErr w:type="spellEnd"/>
      <w:r w:rsidRPr="00E16672">
        <w:rPr>
          <w:rFonts w:ascii="Times New Roman" w:hAnsi="Times New Roman"/>
          <w:color w:val="000000"/>
          <w:sz w:val="22"/>
          <w:szCs w:val="22"/>
        </w:rPr>
        <w:t xml:space="preserve"> </w:t>
      </w:r>
      <w:proofErr w:type="spellStart"/>
      <w:r w:rsidRPr="00E16672">
        <w:rPr>
          <w:rFonts w:ascii="Times New Roman" w:hAnsi="Times New Roman"/>
          <w:color w:val="000000"/>
          <w:sz w:val="22"/>
          <w:szCs w:val="22"/>
        </w:rPr>
        <w:t>уповноваженого</w:t>
      </w:r>
      <w:proofErr w:type="spellEnd"/>
      <w:r w:rsidRPr="00E16672">
        <w:rPr>
          <w:rFonts w:ascii="Times New Roman" w:hAnsi="Times New Roman"/>
          <w:color w:val="000000"/>
          <w:sz w:val="22"/>
          <w:szCs w:val="22"/>
        </w:rPr>
        <w:t xml:space="preserve"> </w:t>
      </w:r>
      <w:proofErr w:type="spellStart"/>
      <w:r w:rsidRPr="00E16672">
        <w:rPr>
          <w:rFonts w:ascii="Times New Roman" w:hAnsi="Times New Roman"/>
          <w:color w:val="000000"/>
          <w:sz w:val="22"/>
          <w:szCs w:val="22"/>
        </w:rPr>
        <w:t>представника</w:t>
      </w:r>
      <w:proofErr w:type="spellEnd"/>
      <w:r w:rsidRPr="00E16672">
        <w:rPr>
          <w:rFonts w:ascii="Times New Roman" w:hAnsi="Times New Roman"/>
          <w:color w:val="000000"/>
          <w:sz w:val="22"/>
          <w:szCs w:val="22"/>
        </w:rPr>
        <w:t xml:space="preserve"> та </w:t>
      </w:r>
      <w:proofErr w:type="spellStart"/>
      <w:r w:rsidRPr="00E16672">
        <w:rPr>
          <w:rFonts w:ascii="Times New Roman" w:hAnsi="Times New Roman"/>
          <w:color w:val="000000"/>
          <w:sz w:val="22"/>
          <w:szCs w:val="22"/>
        </w:rPr>
        <w:t>печаткою</w:t>
      </w:r>
      <w:proofErr w:type="spellEnd"/>
      <w:r w:rsidRPr="00E16672">
        <w:rPr>
          <w:rFonts w:ascii="Times New Roman" w:hAnsi="Times New Roman"/>
          <w:color w:val="000000"/>
          <w:sz w:val="22"/>
          <w:szCs w:val="22"/>
        </w:rPr>
        <w:t xml:space="preserve"> </w:t>
      </w:r>
      <w:proofErr w:type="spellStart"/>
      <w:r w:rsidRPr="00E16672">
        <w:rPr>
          <w:rFonts w:ascii="Times New Roman" w:hAnsi="Times New Roman"/>
          <w:color w:val="000000"/>
          <w:sz w:val="22"/>
          <w:szCs w:val="22"/>
        </w:rPr>
        <w:t>Депозитарної</w:t>
      </w:r>
      <w:proofErr w:type="spellEnd"/>
      <w:r w:rsidRPr="00E16672">
        <w:rPr>
          <w:rFonts w:ascii="Times New Roman" w:hAnsi="Times New Roman"/>
          <w:color w:val="000000"/>
          <w:sz w:val="22"/>
          <w:szCs w:val="22"/>
        </w:rPr>
        <w:t xml:space="preserve"> установи. </w:t>
      </w:r>
    </w:p>
    <w:p w14:paraId="7A969FD3" w14:textId="77777777" w:rsidR="005745AF" w:rsidRPr="00E16672" w:rsidRDefault="005745AF" w:rsidP="005745AF">
      <w:pPr>
        <w:rPr>
          <w:rFonts w:ascii="Times New Roman" w:hAnsi="Times New Roman"/>
          <w:color w:val="000000"/>
          <w:sz w:val="22"/>
          <w:szCs w:val="22"/>
        </w:rPr>
      </w:pPr>
    </w:p>
    <w:p w14:paraId="7F7E691F" w14:textId="77777777" w:rsidR="005745AF" w:rsidRPr="00E16672" w:rsidRDefault="005745AF" w:rsidP="005745AF">
      <w:pPr>
        <w:rPr>
          <w:rFonts w:ascii="Times New Roman" w:hAnsi="Times New Roman"/>
          <w:color w:val="000000"/>
          <w:sz w:val="22"/>
          <w:szCs w:val="22"/>
        </w:rPr>
      </w:pPr>
      <w:r w:rsidRPr="00E16672">
        <w:rPr>
          <w:rFonts w:ascii="Times New Roman" w:hAnsi="Times New Roman"/>
          <w:color w:val="000000"/>
          <w:sz w:val="22"/>
          <w:szCs w:val="22"/>
        </w:rPr>
        <w:t xml:space="preserve">Акт </w:t>
      </w:r>
      <w:proofErr w:type="spellStart"/>
      <w:r w:rsidRPr="00E16672">
        <w:rPr>
          <w:rFonts w:ascii="Times New Roman" w:hAnsi="Times New Roman"/>
          <w:color w:val="000000"/>
          <w:sz w:val="22"/>
          <w:szCs w:val="22"/>
        </w:rPr>
        <w:t>приймання-передавання</w:t>
      </w:r>
      <w:proofErr w:type="spellEnd"/>
      <w:r w:rsidRPr="00E16672">
        <w:rPr>
          <w:rFonts w:ascii="Times New Roman" w:hAnsi="Times New Roman"/>
          <w:color w:val="000000"/>
          <w:sz w:val="22"/>
          <w:szCs w:val="22"/>
        </w:rPr>
        <w:t xml:space="preserve"> </w:t>
      </w:r>
      <w:proofErr w:type="spellStart"/>
      <w:r w:rsidRPr="00E16672">
        <w:rPr>
          <w:rFonts w:ascii="Times New Roman" w:hAnsi="Times New Roman"/>
          <w:color w:val="000000"/>
          <w:sz w:val="22"/>
          <w:szCs w:val="22"/>
        </w:rPr>
        <w:t>складений</w:t>
      </w:r>
      <w:proofErr w:type="spellEnd"/>
      <w:r w:rsidRPr="00E16672">
        <w:rPr>
          <w:rFonts w:ascii="Times New Roman" w:hAnsi="Times New Roman"/>
          <w:color w:val="000000"/>
          <w:sz w:val="22"/>
          <w:szCs w:val="22"/>
        </w:rPr>
        <w:t xml:space="preserve"> на ______ (______</w:t>
      </w:r>
      <w:r w:rsidR="00850A01">
        <w:rPr>
          <w:rFonts w:ascii="Times New Roman" w:hAnsi="Times New Roman"/>
          <w:color w:val="000000"/>
          <w:sz w:val="22"/>
          <w:szCs w:val="22"/>
          <w:lang w:val="uk-UA"/>
        </w:rPr>
        <w:t>___</w:t>
      </w:r>
      <w:r w:rsidRPr="00E16672">
        <w:rPr>
          <w:rFonts w:ascii="Times New Roman" w:hAnsi="Times New Roman"/>
          <w:color w:val="000000"/>
          <w:sz w:val="22"/>
          <w:szCs w:val="22"/>
        </w:rPr>
        <w:t xml:space="preserve">__) </w:t>
      </w:r>
      <w:proofErr w:type="spellStart"/>
      <w:r w:rsidRPr="00E16672">
        <w:rPr>
          <w:rFonts w:ascii="Times New Roman" w:hAnsi="Times New Roman"/>
          <w:color w:val="000000"/>
          <w:sz w:val="22"/>
          <w:szCs w:val="22"/>
        </w:rPr>
        <w:t>сторінках</w:t>
      </w:r>
      <w:proofErr w:type="spellEnd"/>
      <w:r w:rsidRPr="00E16672">
        <w:rPr>
          <w:rFonts w:ascii="Times New Roman" w:hAnsi="Times New Roman"/>
          <w:color w:val="000000"/>
          <w:sz w:val="22"/>
          <w:szCs w:val="22"/>
        </w:rPr>
        <w:t xml:space="preserve">, у </w:t>
      </w:r>
      <w:proofErr w:type="spellStart"/>
      <w:r w:rsidRPr="00E16672">
        <w:rPr>
          <w:rFonts w:ascii="Times New Roman" w:hAnsi="Times New Roman"/>
          <w:color w:val="000000"/>
          <w:sz w:val="22"/>
          <w:szCs w:val="22"/>
        </w:rPr>
        <w:t>двох</w:t>
      </w:r>
      <w:proofErr w:type="spellEnd"/>
      <w:r w:rsidRPr="00E16672">
        <w:rPr>
          <w:rFonts w:ascii="Times New Roman" w:hAnsi="Times New Roman"/>
          <w:color w:val="000000"/>
          <w:sz w:val="22"/>
          <w:szCs w:val="22"/>
        </w:rPr>
        <w:t xml:space="preserve"> </w:t>
      </w:r>
      <w:proofErr w:type="spellStart"/>
      <w:r w:rsidRPr="00E16672">
        <w:rPr>
          <w:rFonts w:ascii="Times New Roman" w:hAnsi="Times New Roman"/>
          <w:color w:val="000000"/>
          <w:sz w:val="22"/>
          <w:szCs w:val="22"/>
        </w:rPr>
        <w:t>примірниках</w:t>
      </w:r>
      <w:proofErr w:type="spellEnd"/>
      <w:r w:rsidRPr="00E16672">
        <w:rPr>
          <w:rFonts w:ascii="Times New Roman" w:hAnsi="Times New Roman"/>
          <w:color w:val="000000"/>
          <w:sz w:val="22"/>
          <w:szCs w:val="22"/>
        </w:rPr>
        <w:t xml:space="preserve">, </w:t>
      </w:r>
      <w:proofErr w:type="spellStart"/>
      <w:r w:rsidRPr="00E16672">
        <w:rPr>
          <w:rFonts w:ascii="Times New Roman" w:hAnsi="Times New Roman"/>
          <w:color w:val="000000"/>
          <w:sz w:val="22"/>
          <w:szCs w:val="22"/>
        </w:rPr>
        <w:t>які</w:t>
      </w:r>
      <w:proofErr w:type="spellEnd"/>
      <w:r w:rsidRPr="00E16672">
        <w:rPr>
          <w:rFonts w:ascii="Times New Roman" w:hAnsi="Times New Roman"/>
          <w:color w:val="000000"/>
          <w:sz w:val="22"/>
          <w:szCs w:val="22"/>
        </w:rPr>
        <w:t xml:space="preserve"> </w:t>
      </w:r>
      <w:proofErr w:type="spellStart"/>
      <w:r w:rsidRPr="00E16672">
        <w:rPr>
          <w:rFonts w:ascii="Times New Roman" w:hAnsi="Times New Roman"/>
          <w:color w:val="000000"/>
          <w:sz w:val="22"/>
          <w:szCs w:val="22"/>
        </w:rPr>
        <w:t>мають</w:t>
      </w:r>
      <w:proofErr w:type="spellEnd"/>
      <w:r w:rsidRPr="00E16672">
        <w:rPr>
          <w:rFonts w:ascii="Times New Roman" w:hAnsi="Times New Roman"/>
          <w:color w:val="000000"/>
          <w:sz w:val="22"/>
          <w:szCs w:val="22"/>
        </w:rPr>
        <w:t xml:space="preserve"> </w:t>
      </w:r>
      <w:proofErr w:type="spellStart"/>
      <w:r w:rsidRPr="00E16672">
        <w:rPr>
          <w:rFonts w:ascii="Times New Roman" w:hAnsi="Times New Roman"/>
          <w:color w:val="000000"/>
          <w:sz w:val="22"/>
          <w:szCs w:val="22"/>
        </w:rPr>
        <w:t>однакову</w:t>
      </w:r>
      <w:proofErr w:type="spellEnd"/>
      <w:r w:rsidRPr="00E16672">
        <w:rPr>
          <w:rFonts w:ascii="Times New Roman" w:hAnsi="Times New Roman"/>
          <w:color w:val="000000"/>
          <w:sz w:val="22"/>
          <w:szCs w:val="22"/>
        </w:rPr>
        <w:t xml:space="preserve"> </w:t>
      </w:r>
      <w:proofErr w:type="spellStart"/>
      <w:r w:rsidRPr="00E16672">
        <w:rPr>
          <w:rFonts w:ascii="Times New Roman" w:hAnsi="Times New Roman"/>
          <w:color w:val="000000"/>
          <w:sz w:val="22"/>
          <w:szCs w:val="22"/>
        </w:rPr>
        <w:t>юридичну</w:t>
      </w:r>
      <w:proofErr w:type="spellEnd"/>
      <w:r w:rsidRPr="00E16672">
        <w:rPr>
          <w:rFonts w:ascii="Times New Roman" w:hAnsi="Times New Roman"/>
          <w:color w:val="000000"/>
          <w:sz w:val="22"/>
          <w:szCs w:val="22"/>
        </w:rPr>
        <w:t xml:space="preserve"> силу, по одному для </w:t>
      </w:r>
      <w:proofErr w:type="spellStart"/>
      <w:r w:rsidRPr="00E16672">
        <w:rPr>
          <w:rFonts w:ascii="Times New Roman" w:hAnsi="Times New Roman"/>
          <w:color w:val="000000"/>
          <w:sz w:val="22"/>
          <w:szCs w:val="22"/>
        </w:rPr>
        <w:t>кожної</w:t>
      </w:r>
      <w:proofErr w:type="spellEnd"/>
      <w:r w:rsidRPr="00E16672">
        <w:rPr>
          <w:rFonts w:ascii="Times New Roman" w:hAnsi="Times New Roman"/>
          <w:color w:val="000000"/>
          <w:sz w:val="22"/>
          <w:szCs w:val="22"/>
        </w:rPr>
        <w:t xml:space="preserve"> </w:t>
      </w:r>
      <w:proofErr w:type="spellStart"/>
      <w:r w:rsidRPr="00E16672">
        <w:rPr>
          <w:rFonts w:ascii="Times New Roman" w:hAnsi="Times New Roman"/>
          <w:color w:val="000000"/>
          <w:sz w:val="22"/>
          <w:szCs w:val="22"/>
        </w:rPr>
        <w:t>із</w:t>
      </w:r>
      <w:proofErr w:type="spellEnd"/>
      <w:r w:rsidRPr="00E16672">
        <w:rPr>
          <w:rFonts w:ascii="Times New Roman" w:hAnsi="Times New Roman"/>
          <w:color w:val="000000"/>
          <w:sz w:val="22"/>
          <w:szCs w:val="22"/>
        </w:rPr>
        <w:t xml:space="preserve"> </w:t>
      </w:r>
      <w:proofErr w:type="spellStart"/>
      <w:r w:rsidRPr="00E16672">
        <w:rPr>
          <w:rFonts w:ascii="Times New Roman" w:hAnsi="Times New Roman"/>
          <w:color w:val="000000"/>
          <w:sz w:val="22"/>
          <w:szCs w:val="22"/>
        </w:rPr>
        <w:t>сторін</w:t>
      </w:r>
      <w:proofErr w:type="spellEnd"/>
      <w:r w:rsidRPr="00E16672">
        <w:rPr>
          <w:rFonts w:ascii="Times New Roman" w:hAnsi="Times New Roman"/>
          <w:color w:val="000000"/>
          <w:sz w:val="22"/>
          <w:szCs w:val="22"/>
        </w:rPr>
        <w:t>.</w:t>
      </w:r>
    </w:p>
    <w:p w14:paraId="2F93B3B0" w14:textId="77777777" w:rsidR="005745AF" w:rsidRPr="00E16672" w:rsidRDefault="005745AF" w:rsidP="005745AF">
      <w:pPr>
        <w:rPr>
          <w:rFonts w:ascii="Times New Roman" w:hAnsi="Times New Roman"/>
          <w:color w:val="000000"/>
          <w:sz w:val="22"/>
          <w:szCs w:val="22"/>
        </w:rPr>
      </w:pPr>
    </w:p>
    <w:p w14:paraId="5061304B" w14:textId="77777777" w:rsidR="005745AF" w:rsidRPr="00E16672" w:rsidRDefault="005745AF" w:rsidP="005745AF">
      <w:pPr>
        <w:rPr>
          <w:rFonts w:ascii="Times New Roman" w:hAnsi="Times New Roman"/>
          <w:color w:val="000000"/>
          <w:sz w:val="22"/>
          <w:szCs w:val="22"/>
        </w:rPr>
      </w:pPr>
    </w:p>
    <w:p w14:paraId="3B86806B" w14:textId="77777777" w:rsidR="005745AF" w:rsidRPr="00E16672" w:rsidRDefault="005745AF" w:rsidP="005745AF">
      <w:pPr>
        <w:rPr>
          <w:rFonts w:ascii="Times New Roman" w:hAnsi="Times New Roman"/>
          <w:color w:val="000000"/>
          <w:sz w:val="22"/>
          <w:szCs w:val="22"/>
        </w:rPr>
      </w:pPr>
    </w:p>
    <w:p w14:paraId="31F9542D" w14:textId="77777777" w:rsidR="005745AF" w:rsidRPr="00E16672" w:rsidRDefault="005745AF" w:rsidP="005745AF">
      <w:pPr>
        <w:rPr>
          <w:rFonts w:ascii="Times New Roman" w:hAnsi="Times New Roman"/>
          <w:color w:val="000000"/>
          <w:sz w:val="22"/>
          <w:szCs w:val="22"/>
        </w:rPr>
      </w:pPr>
    </w:p>
    <w:p w14:paraId="451F0AE1" w14:textId="77777777" w:rsidR="005745AF" w:rsidRPr="00E16672" w:rsidRDefault="005745AF" w:rsidP="005745AF">
      <w:pPr>
        <w:rPr>
          <w:rFonts w:ascii="Times New Roman" w:hAnsi="Times New Roman"/>
          <w:color w:val="000000"/>
          <w:sz w:val="22"/>
          <w:szCs w:val="22"/>
        </w:rPr>
      </w:pPr>
      <w:proofErr w:type="spellStart"/>
      <w:r w:rsidRPr="00E16672">
        <w:rPr>
          <w:rFonts w:ascii="Times New Roman" w:hAnsi="Times New Roman"/>
          <w:color w:val="000000"/>
          <w:sz w:val="22"/>
          <w:szCs w:val="22"/>
        </w:rPr>
        <w:t>Від</w:t>
      </w:r>
      <w:proofErr w:type="spellEnd"/>
      <w:r w:rsidRPr="00E16672">
        <w:rPr>
          <w:rFonts w:ascii="Times New Roman" w:hAnsi="Times New Roman"/>
          <w:color w:val="000000"/>
          <w:sz w:val="22"/>
          <w:szCs w:val="22"/>
        </w:rPr>
        <w:t xml:space="preserve"> </w:t>
      </w:r>
      <w:proofErr w:type="spellStart"/>
      <w:r w:rsidRPr="00E16672">
        <w:rPr>
          <w:rFonts w:ascii="Times New Roman" w:hAnsi="Times New Roman"/>
          <w:color w:val="000000"/>
          <w:sz w:val="22"/>
          <w:szCs w:val="22"/>
        </w:rPr>
        <w:t>Депозитарної</w:t>
      </w:r>
      <w:proofErr w:type="spellEnd"/>
      <w:r w:rsidRPr="00E16672">
        <w:rPr>
          <w:rFonts w:ascii="Times New Roman" w:hAnsi="Times New Roman"/>
          <w:color w:val="000000"/>
          <w:sz w:val="22"/>
          <w:szCs w:val="22"/>
        </w:rPr>
        <w:t xml:space="preserve"> установи:</w:t>
      </w:r>
      <w:r w:rsidRPr="00E16672">
        <w:rPr>
          <w:rFonts w:ascii="Times New Roman" w:hAnsi="Times New Roman"/>
          <w:color w:val="000000"/>
          <w:sz w:val="22"/>
          <w:szCs w:val="22"/>
        </w:rPr>
        <w:tab/>
      </w:r>
      <w:r w:rsidRPr="00E16672">
        <w:rPr>
          <w:rFonts w:ascii="Times New Roman" w:hAnsi="Times New Roman"/>
          <w:color w:val="000000"/>
          <w:sz w:val="22"/>
          <w:szCs w:val="22"/>
        </w:rPr>
        <w:tab/>
      </w:r>
      <w:r w:rsidRPr="00E16672">
        <w:rPr>
          <w:rFonts w:ascii="Times New Roman" w:hAnsi="Times New Roman"/>
          <w:color w:val="000000"/>
          <w:sz w:val="22"/>
          <w:szCs w:val="22"/>
        </w:rPr>
        <w:tab/>
      </w:r>
      <w:r w:rsidRPr="00E16672">
        <w:rPr>
          <w:rFonts w:ascii="Times New Roman" w:hAnsi="Times New Roman"/>
          <w:color w:val="000000"/>
          <w:sz w:val="22"/>
          <w:szCs w:val="22"/>
        </w:rPr>
        <w:tab/>
      </w:r>
      <w:r w:rsidRPr="00E16672">
        <w:rPr>
          <w:rFonts w:ascii="Times New Roman" w:hAnsi="Times New Roman"/>
          <w:color w:val="000000"/>
          <w:sz w:val="22"/>
          <w:szCs w:val="22"/>
        </w:rPr>
        <w:tab/>
      </w:r>
      <w:proofErr w:type="spellStart"/>
      <w:r w:rsidRPr="00E16672">
        <w:rPr>
          <w:rFonts w:ascii="Times New Roman" w:hAnsi="Times New Roman"/>
          <w:color w:val="000000"/>
          <w:sz w:val="22"/>
          <w:szCs w:val="22"/>
        </w:rPr>
        <w:t>Від</w:t>
      </w:r>
      <w:proofErr w:type="spellEnd"/>
      <w:r w:rsidRPr="00E16672">
        <w:rPr>
          <w:rFonts w:ascii="Times New Roman" w:hAnsi="Times New Roman"/>
          <w:color w:val="000000"/>
          <w:sz w:val="22"/>
          <w:szCs w:val="22"/>
        </w:rPr>
        <w:t xml:space="preserve"> </w:t>
      </w:r>
      <w:proofErr w:type="spellStart"/>
      <w:r w:rsidRPr="00E16672">
        <w:rPr>
          <w:rFonts w:ascii="Times New Roman" w:hAnsi="Times New Roman"/>
          <w:color w:val="000000"/>
          <w:sz w:val="22"/>
          <w:szCs w:val="22"/>
        </w:rPr>
        <w:t>Емітента</w:t>
      </w:r>
      <w:proofErr w:type="spellEnd"/>
      <w:r w:rsidRPr="00E16672">
        <w:rPr>
          <w:rFonts w:ascii="Times New Roman" w:hAnsi="Times New Roman"/>
          <w:color w:val="000000"/>
          <w:sz w:val="22"/>
          <w:szCs w:val="22"/>
        </w:rPr>
        <w:t>:</w:t>
      </w:r>
    </w:p>
    <w:p w14:paraId="52F12CFC" w14:textId="77777777" w:rsidR="005745AF" w:rsidRPr="00E16672" w:rsidRDefault="005745AF" w:rsidP="005745AF">
      <w:pPr>
        <w:rPr>
          <w:rFonts w:ascii="Times New Roman" w:hAnsi="Times New Roman"/>
          <w:color w:val="000000"/>
          <w:sz w:val="22"/>
          <w:szCs w:val="22"/>
        </w:rPr>
      </w:pPr>
    </w:p>
    <w:p w14:paraId="095791D2" w14:textId="77777777" w:rsidR="005745AF" w:rsidRPr="00E16672" w:rsidRDefault="005745AF" w:rsidP="005745AF">
      <w:pPr>
        <w:rPr>
          <w:rFonts w:ascii="Times New Roman" w:hAnsi="Times New Roman"/>
          <w:color w:val="000000"/>
          <w:sz w:val="22"/>
          <w:szCs w:val="22"/>
        </w:rPr>
      </w:pPr>
      <w:r w:rsidRPr="00E16672">
        <w:rPr>
          <w:rFonts w:ascii="Times New Roman" w:hAnsi="Times New Roman"/>
          <w:color w:val="000000"/>
          <w:sz w:val="22"/>
          <w:szCs w:val="22"/>
        </w:rPr>
        <w:t>___________________________</w:t>
      </w:r>
      <w:r w:rsidRPr="00E16672">
        <w:rPr>
          <w:rFonts w:ascii="Times New Roman" w:hAnsi="Times New Roman"/>
          <w:color w:val="000000"/>
          <w:sz w:val="22"/>
          <w:szCs w:val="22"/>
        </w:rPr>
        <w:tab/>
      </w:r>
      <w:r w:rsidRPr="00E16672">
        <w:rPr>
          <w:rFonts w:ascii="Times New Roman" w:hAnsi="Times New Roman"/>
          <w:color w:val="000000"/>
          <w:sz w:val="22"/>
          <w:szCs w:val="22"/>
        </w:rPr>
        <w:tab/>
      </w:r>
      <w:r w:rsidRPr="00E16672">
        <w:rPr>
          <w:rFonts w:ascii="Times New Roman" w:hAnsi="Times New Roman"/>
          <w:color w:val="000000"/>
          <w:sz w:val="22"/>
          <w:szCs w:val="22"/>
        </w:rPr>
        <w:tab/>
      </w:r>
      <w:r w:rsidRPr="00E16672">
        <w:rPr>
          <w:rFonts w:ascii="Times New Roman" w:hAnsi="Times New Roman"/>
          <w:color w:val="000000"/>
          <w:sz w:val="22"/>
          <w:szCs w:val="22"/>
        </w:rPr>
        <w:tab/>
        <w:t>__________________________</w:t>
      </w:r>
    </w:p>
    <w:p w14:paraId="7F81E9B2" w14:textId="77777777" w:rsidR="005745AF" w:rsidRPr="00E16672" w:rsidRDefault="005745AF" w:rsidP="005745AF">
      <w:pPr>
        <w:rPr>
          <w:rFonts w:ascii="Times New Roman" w:hAnsi="Times New Roman"/>
          <w:color w:val="000000"/>
          <w:sz w:val="22"/>
          <w:szCs w:val="22"/>
        </w:rPr>
      </w:pPr>
      <w:r w:rsidRPr="00E16672">
        <w:rPr>
          <w:rFonts w:ascii="Times New Roman" w:hAnsi="Times New Roman"/>
          <w:color w:val="000000"/>
          <w:sz w:val="22"/>
          <w:szCs w:val="22"/>
        </w:rPr>
        <w:t>___________________________</w:t>
      </w:r>
      <w:r w:rsidRPr="00E16672">
        <w:rPr>
          <w:rFonts w:ascii="Times New Roman" w:hAnsi="Times New Roman"/>
          <w:color w:val="000000"/>
          <w:sz w:val="22"/>
          <w:szCs w:val="22"/>
        </w:rPr>
        <w:tab/>
      </w:r>
      <w:r w:rsidRPr="00E16672">
        <w:rPr>
          <w:rFonts w:ascii="Times New Roman" w:hAnsi="Times New Roman"/>
          <w:color w:val="000000"/>
          <w:sz w:val="22"/>
          <w:szCs w:val="22"/>
        </w:rPr>
        <w:tab/>
      </w:r>
      <w:r w:rsidRPr="00E16672">
        <w:rPr>
          <w:rFonts w:ascii="Times New Roman" w:hAnsi="Times New Roman"/>
          <w:color w:val="000000"/>
          <w:sz w:val="22"/>
          <w:szCs w:val="22"/>
        </w:rPr>
        <w:tab/>
      </w:r>
      <w:r w:rsidRPr="00E16672">
        <w:rPr>
          <w:rFonts w:ascii="Times New Roman" w:hAnsi="Times New Roman"/>
          <w:color w:val="000000"/>
          <w:sz w:val="22"/>
          <w:szCs w:val="22"/>
        </w:rPr>
        <w:tab/>
        <w:t>__________________________</w:t>
      </w:r>
    </w:p>
    <w:p w14:paraId="35EF4BA6" w14:textId="77777777" w:rsidR="005745AF" w:rsidRPr="00E16672" w:rsidRDefault="005745AF" w:rsidP="005745AF">
      <w:pPr>
        <w:rPr>
          <w:rFonts w:ascii="Times New Roman" w:hAnsi="Times New Roman"/>
          <w:color w:val="000000"/>
          <w:sz w:val="18"/>
          <w:szCs w:val="18"/>
          <w:lang w:val="uk-UA"/>
        </w:rPr>
      </w:pPr>
      <w:r w:rsidRPr="00E16672">
        <w:rPr>
          <w:rFonts w:ascii="Times New Roman" w:hAnsi="Times New Roman"/>
          <w:color w:val="000000"/>
          <w:sz w:val="22"/>
          <w:szCs w:val="22"/>
          <w:lang w:val="uk-UA"/>
        </w:rPr>
        <w:t>В</w:t>
      </w:r>
      <w:r w:rsidRPr="00E16672">
        <w:rPr>
          <w:rFonts w:ascii="Times New Roman" w:hAnsi="Times New Roman"/>
          <w:color w:val="000000"/>
          <w:sz w:val="22"/>
          <w:szCs w:val="22"/>
        </w:rPr>
        <w:t>.</w:t>
      </w:r>
      <w:r w:rsidRPr="00E16672">
        <w:rPr>
          <w:rFonts w:ascii="Times New Roman" w:hAnsi="Times New Roman"/>
          <w:color w:val="000000"/>
          <w:sz w:val="22"/>
          <w:szCs w:val="22"/>
          <w:lang w:val="uk-UA"/>
        </w:rPr>
        <w:t>П</w:t>
      </w:r>
      <w:r w:rsidRPr="00E16672">
        <w:rPr>
          <w:rFonts w:ascii="Times New Roman" w:hAnsi="Times New Roman"/>
          <w:color w:val="000000"/>
          <w:sz w:val="22"/>
          <w:szCs w:val="22"/>
        </w:rPr>
        <w:t>.</w:t>
      </w:r>
      <w:r w:rsidRPr="00E16672">
        <w:rPr>
          <w:rFonts w:ascii="Times New Roman" w:hAnsi="Times New Roman"/>
          <w:color w:val="000000"/>
          <w:sz w:val="22"/>
          <w:szCs w:val="22"/>
        </w:rPr>
        <w:tab/>
      </w:r>
      <w:r w:rsidRPr="00E16672">
        <w:rPr>
          <w:rFonts w:ascii="Times New Roman" w:hAnsi="Times New Roman"/>
          <w:color w:val="000000"/>
          <w:sz w:val="22"/>
          <w:szCs w:val="22"/>
        </w:rPr>
        <w:tab/>
      </w:r>
      <w:r w:rsidRPr="00E16672">
        <w:rPr>
          <w:rFonts w:ascii="Times New Roman" w:hAnsi="Times New Roman"/>
          <w:color w:val="000000"/>
          <w:sz w:val="22"/>
          <w:szCs w:val="22"/>
        </w:rPr>
        <w:tab/>
      </w:r>
      <w:r w:rsidRPr="00E16672">
        <w:rPr>
          <w:rFonts w:ascii="Times New Roman" w:hAnsi="Times New Roman"/>
          <w:color w:val="000000"/>
          <w:sz w:val="22"/>
          <w:szCs w:val="22"/>
        </w:rPr>
        <w:tab/>
      </w:r>
      <w:r w:rsidRPr="00E16672">
        <w:rPr>
          <w:rFonts w:ascii="Times New Roman" w:hAnsi="Times New Roman"/>
          <w:color w:val="000000"/>
          <w:sz w:val="22"/>
          <w:szCs w:val="22"/>
        </w:rPr>
        <w:tab/>
      </w:r>
      <w:r w:rsidRPr="00E16672">
        <w:rPr>
          <w:rFonts w:ascii="Times New Roman" w:hAnsi="Times New Roman"/>
          <w:color w:val="000000"/>
          <w:sz w:val="22"/>
          <w:szCs w:val="22"/>
        </w:rPr>
        <w:tab/>
      </w:r>
      <w:r w:rsidRPr="00E16672">
        <w:rPr>
          <w:rFonts w:ascii="Times New Roman" w:hAnsi="Times New Roman"/>
          <w:color w:val="000000"/>
          <w:sz w:val="22"/>
          <w:szCs w:val="22"/>
        </w:rPr>
        <w:tab/>
      </w:r>
      <w:r w:rsidRPr="00E16672">
        <w:rPr>
          <w:rFonts w:ascii="Times New Roman" w:hAnsi="Times New Roman"/>
          <w:color w:val="000000"/>
          <w:sz w:val="22"/>
          <w:szCs w:val="22"/>
        </w:rPr>
        <w:tab/>
      </w:r>
      <w:r w:rsidRPr="00E16672">
        <w:rPr>
          <w:rFonts w:ascii="Times New Roman" w:hAnsi="Times New Roman"/>
          <w:color w:val="000000"/>
          <w:sz w:val="22"/>
          <w:szCs w:val="22"/>
          <w:lang w:val="uk-UA"/>
        </w:rPr>
        <w:t>В</w:t>
      </w:r>
      <w:r w:rsidRPr="00E16672">
        <w:rPr>
          <w:rFonts w:ascii="Times New Roman" w:hAnsi="Times New Roman"/>
          <w:color w:val="000000"/>
          <w:sz w:val="22"/>
          <w:szCs w:val="22"/>
        </w:rPr>
        <w:t>.</w:t>
      </w:r>
      <w:r w:rsidRPr="00E16672">
        <w:rPr>
          <w:rFonts w:ascii="Times New Roman" w:hAnsi="Times New Roman"/>
          <w:color w:val="000000"/>
          <w:sz w:val="22"/>
          <w:szCs w:val="22"/>
          <w:lang w:val="uk-UA"/>
        </w:rPr>
        <w:t>П</w:t>
      </w:r>
      <w:r w:rsidRPr="00E16672">
        <w:rPr>
          <w:rFonts w:ascii="Times New Roman" w:hAnsi="Times New Roman"/>
          <w:color w:val="000000"/>
          <w:sz w:val="18"/>
          <w:szCs w:val="18"/>
          <w:lang w:val="uk-UA"/>
        </w:rPr>
        <w:t xml:space="preserve"> (</w:t>
      </w:r>
      <w:r w:rsidR="003352AE" w:rsidRPr="00E16672">
        <w:rPr>
          <w:rFonts w:ascii="Times New Roman" w:hAnsi="Times New Roman"/>
          <w:color w:val="000000"/>
          <w:sz w:val="18"/>
          <w:szCs w:val="18"/>
          <w:lang w:val="uk-UA"/>
        </w:rPr>
        <w:t>у разі використання</w:t>
      </w:r>
      <w:r w:rsidRPr="00E16672">
        <w:rPr>
          <w:rFonts w:ascii="Times New Roman" w:hAnsi="Times New Roman"/>
          <w:color w:val="000000"/>
          <w:sz w:val="18"/>
          <w:szCs w:val="18"/>
          <w:lang w:val="uk-UA"/>
        </w:rPr>
        <w:t>)</w:t>
      </w:r>
    </w:p>
    <w:p w14:paraId="3835EE0E" w14:textId="77777777" w:rsidR="005745AF" w:rsidRPr="00E16672" w:rsidRDefault="005745AF" w:rsidP="005745AF">
      <w:pPr>
        <w:ind w:firstLine="709"/>
        <w:rPr>
          <w:rFonts w:ascii="Times New Roman" w:hAnsi="Times New Roman"/>
          <w:color w:val="000000"/>
          <w:sz w:val="22"/>
          <w:szCs w:val="22"/>
          <w:lang w:val="uk-UA"/>
        </w:rPr>
      </w:pPr>
    </w:p>
    <w:p w14:paraId="07FA6542" w14:textId="77777777" w:rsidR="005745AF" w:rsidRPr="00E16672" w:rsidRDefault="005745AF" w:rsidP="005745AF">
      <w:pPr>
        <w:ind w:firstLine="709"/>
        <w:rPr>
          <w:rFonts w:ascii="Times New Roman" w:hAnsi="Times New Roman"/>
          <w:color w:val="000000"/>
          <w:sz w:val="22"/>
          <w:szCs w:val="22"/>
          <w:lang w:val="uk-UA"/>
        </w:rPr>
      </w:pPr>
    </w:p>
    <w:p w14:paraId="2C0B441C" w14:textId="77777777" w:rsidR="005745AF" w:rsidRDefault="005745AF" w:rsidP="005745AF">
      <w:pPr>
        <w:jc w:val="center"/>
        <w:rPr>
          <w:rFonts w:ascii="Times New Roman" w:hAnsi="Times New Roman"/>
          <w:b/>
          <w:color w:val="0000FF"/>
          <w:sz w:val="22"/>
          <w:szCs w:val="22"/>
          <w:lang w:val="uk-UA"/>
        </w:rPr>
      </w:pPr>
    </w:p>
    <w:p w14:paraId="4740A350" w14:textId="77777777" w:rsidR="005E418B" w:rsidRDefault="005E418B" w:rsidP="005745AF">
      <w:pPr>
        <w:jc w:val="center"/>
        <w:rPr>
          <w:rFonts w:ascii="Times New Roman" w:hAnsi="Times New Roman"/>
          <w:b/>
          <w:color w:val="0000FF"/>
          <w:sz w:val="22"/>
          <w:szCs w:val="22"/>
          <w:lang w:val="uk-UA"/>
        </w:rPr>
      </w:pPr>
    </w:p>
    <w:p w14:paraId="15C6164C" w14:textId="77777777" w:rsidR="005E418B" w:rsidRDefault="005E418B" w:rsidP="005745AF">
      <w:pPr>
        <w:jc w:val="center"/>
        <w:rPr>
          <w:rFonts w:ascii="Times New Roman" w:hAnsi="Times New Roman"/>
          <w:b/>
          <w:color w:val="0000FF"/>
          <w:sz w:val="22"/>
          <w:szCs w:val="22"/>
          <w:lang w:val="uk-UA"/>
        </w:rPr>
      </w:pPr>
    </w:p>
    <w:p w14:paraId="6B521A1A" w14:textId="77777777" w:rsidR="005E418B" w:rsidRDefault="005E418B" w:rsidP="005745AF">
      <w:pPr>
        <w:jc w:val="center"/>
        <w:rPr>
          <w:rFonts w:ascii="Times New Roman" w:hAnsi="Times New Roman"/>
          <w:b/>
          <w:color w:val="0000FF"/>
          <w:sz w:val="22"/>
          <w:szCs w:val="22"/>
          <w:lang w:val="uk-UA"/>
        </w:rPr>
      </w:pPr>
    </w:p>
    <w:p w14:paraId="47C05600" w14:textId="77777777" w:rsidR="005E418B" w:rsidRDefault="005E418B" w:rsidP="005745AF">
      <w:pPr>
        <w:jc w:val="center"/>
        <w:rPr>
          <w:rFonts w:ascii="Times New Roman" w:hAnsi="Times New Roman"/>
          <w:b/>
          <w:color w:val="0000FF"/>
          <w:sz w:val="22"/>
          <w:szCs w:val="22"/>
          <w:lang w:val="uk-UA"/>
        </w:rPr>
      </w:pPr>
    </w:p>
    <w:p w14:paraId="38B00FE6" w14:textId="77777777" w:rsidR="005E418B" w:rsidRDefault="005E418B" w:rsidP="005745AF">
      <w:pPr>
        <w:jc w:val="center"/>
        <w:rPr>
          <w:rFonts w:ascii="Times New Roman" w:hAnsi="Times New Roman"/>
          <w:b/>
          <w:color w:val="0000FF"/>
          <w:sz w:val="22"/>
          <w:szCs w:val="22"/>
          <w:lang w:val="uk-UA"/>
        </w:rPr>
      </w:pPr>
    </w:p>
    <w:p w14:paraId="555EB27C" w14:textId="77777777" w:rsidR="005E418B" w:rsidRDefault="005E418B" w:rsidP="005745AF">
      <w:pPr>
        <w:jc w:val="center"/>
        <w:rPr>
          <w:rFonts w:ascii="Times New Roman" w:hAnsi="Times New Roman"/>
          <w:b/>
          <w:color w:val="0000FF"/>
          <w:sz w:val="22"/>
          <w:szCs w:val="22"/>
          <w:lang w:val="uk-UA"/>
        </w:rPr>
      </w:pPr>
    </w:p>
    <w:p w14:paraId="2CF22746" w14:textId="77777777" w:rsidR="005E418B" w:rsidRDefault="005E418B" w:rsidP="005745AF">
      <w:pPr>
        <w:jc w:val="center"/>
        <w:rPr>
          <w:rFonts w:ascii="Times New Roman" w:hAnsi="Times New Roman"/>
          <w:b/>
          <w:color w:val="0000FF"/>
          <w:sz w:val="22"/>
          <w:szCs w:val="22"/>
          <w:lang w:val="uk-UA"/>
        </w:rPr>
      </w:pPr>
    </w:p>
    <w:p w14:paraId="60D9754E" w14:textId="77777777" w:rsidR="005E418B" w:rsidRDefault="005E418B" w:rsidP="005745AF">
      <w:pPr>
        <w:jc w:val="center"/>
        <w:rPr>
          <w:rFonts w:ascii="Times New Roman" w:hAnsi="Times New Roman"/>
          <w:b/>
          <w:color w:val="0000FF"/>
          <w:sz w:val="22"/>
          <w:szCs w:val="22"/>
          <w:lang w:val="uk-UA"/>
        </w:rPr>
      </w:pPr>
    </w:p>
    <w:p w14:paraId="1176191D" w14:textId="77777777" w:rsidR="005E418B" w:rsidRDefault="005E418B" w:rsidP="005745AF">
      <w:pPr>
        <w:jc w:val="center"/>
        <w:rPr>
          <w:rFonts w:ascii="Times New Roman" w:hAnsi="Times New Roman"/>
          <w:b/>
          <w:color w:val="0000FF"/>
          <w:sz w:val="22"/>
          <w:szCs w:val="22"/>
          <w:lang w:val="uk-UA"/>
        </w:rPr>
      </w:pPr>
    </w:p>
    <w:p w14:paraId="7AAE36F6" w14:textId="77777777" w:rsidR="005E418B" w:rsidRDefault="005E418B" w:rsidP="005745AF">
      <w:pPr>
        <w:jc w:val="center"/>
        <w:rPr>
          <w:rFonts w:ascii="Times New Roman" w:hAnsi="Times New Roman"/>
          <w:b/>
          <w:color w:val="0000FF"/>
          <w:sz w:val="22"/>
          <w:szCs w:val="22"/>
          <w:lang w:val="uk-UA"/>
        </w:rPr>
      </w:pPr>
    </w:p>
    <w:p w14:paraId="087F7BDF" w14:textId="77777777" w:rsidR="005E418B" w:rsidRDefault="005E418B" w:rsidP="005745AF">
      <w:pPr>
        <w:jc w:val="center"/>
        <w:rPr>
          <w:rFonts w:ascii="Times New Roman" w:hAnsi="Times New Roman"/>
          <w:b/>
          <w:color w:val="0000FF"/>
          <w:sz w:val="22"/>
          <w:szCs w:val="22"/>
          <w:lang w:val="uk-UA"/>
        </w:rPr>
      </w:pPr>
    </w:p>
    <w:p w14:paraId="1DBFE145" w14:textId="77777777" w:rsidR="005E418B" w:rsidRDefault="005E418B" w:rsidP="005745AF">
      <w:pPr>
        <w:jc w:val="center"/>
        <w:rPr>
          <w:rFonts w:ascii="Times New Roman" w:hAnsi="Times New Roman"/>
          <w:b/>
          <w:color w:val="0000FF"/>
          <w:sz w:val="22"/>
          <w:szCs w:val="22"/>
          <w:lang w:val="uk-UA"/>
        </w:rPr>
      </w:pPr>
    </w:p>
    <w:p w14:paraId="6531E3F0" w14:textId="77777777" w:rsidR="005E418B" w:rsidRDefault="005E418B" w:rsidP="005745AF">
      <w:pPr>
        <w:jc w:val="center"/>
        <w:rPr>
          <w:rFonts w:ascii="Times New Roman" w:hAnsi="Times New Roman"/>
          <w:b/>
          <w:color w:val="0000FF"/>
          <w:sz w:val="22"/>
          <w:szCs w:val="22"/>
          <w:lang w:val="uk-UA"/>
        </w:rPr>
      </w:pPr>
    </w:p>
    <w:p w14:paraId="46026027" w14:textId="77777777" w:rsidR="005E418B" w:rsidRDefault="005E418B" w:rsidP="005745AF">
      <w:pPr>
        <w:jc w:val="center"/>
        <w:rPr>
          <w:rFonts w:ascii="Times New Roman" w:hAnsi="Times New Roman"/>
          <w:b/>
          <w:color w:val="0000FF"/>
          <w:sz w:val="22"/>
          <w:szCs w:val="22"/>
          <w:lang w:val="uk-UA"/>
        </w:rPr>
      </w:pPr>
    </w:p>
    <w:p w14:paraId="642F9C92" w14:textId="77777777" w:rsidR="005E418B" w:rsidRDefault="005E418B" w:rsidP="005745AF">
      <w:pPr>
        <w:jc w:val="center"/>
        <w:rPr>
          <w:rFonts w:ascii="Times New Roman" w:hAnsi="Times New Roman"/>
          <w:b/>
          <w:color w:val="0000FF"/>
          <w:sz w:val="22"/>
          <w:szCs w:val="22"/>
          <w:lang w:val="uk-UA"/>
        </w:rPr>
      </w:pPr>
    </w:p>
    <w:p w14:paraId="1196762B" w14:textId="77777777" w:rsidR="005E418B" w:rsidRDefault="005E418B" w:rsidP="005745AF">
      <w:pPr>
        <w:jc w:val="center"/>
        <w:rPr>
          <w:rFonts w:ascii="Times New Roman" w:hAnsi="Times New Roman"/>
          <w:b/>
          <w:color w:val="0000FF"/>
          <w:sz w:val="22"/>
          <w:szCs w:val="22"/>
          <w:lang w:val="uk-UA"/>
        </w:rPr>
      </w:pPr>
    </w:p>
    <w:p w14:paraId="543FFD07" w14:textId="77777777" w:rsidR="005E418B" w:rsidRDefault="005E418B" w:rsidP="005745AF">
      <w:pPr>
        <w:jc w:val="center"/>
        <w:rPr>
          <w:rFonts w:ascii="Times New Roman" w:hAnsi="Times New Roman"/>
          <w:b/>
          <w:color w:val="0000FF"/>
          <w:sz w:val="22"/>
          <w:szCs w:val="22"/>
          <w:lang w:val="uk-UA"/>
        </w:rPr>
      </w:pPr>
    </w:p>
    <w:p w14:paraId="35DAD23B" w14:textId="77777777" w:rsidR="005E418B" w:rsidRDefault="005E418B" w:rsidP="005745AF">
      <w:pPr>
        <w:jc w:val="center"/>
        <w:rPr>
          <w:rFonts w:ascii="Times New Roman" w:hAnsi="Times New Roman"/>
          <w:b/>
          <w:color w:val="0000FF"/>
          <w:sz w:val="22"/>
          <w:szCs w:val="22"/>
          <w:lang w:val="uk-UA"/>
        </w:rPr>
      </w:pPr>
    </w:p>
    <w:p w14:paraId="26BFEF5C" w14:textId="77777777" w:rsidR="005E418B" w:rsidRDefault="005E418B" w:rsidP="005745AF">
      <w:pPr>
        <w:jc w:val="center"/>
        <w:rPr>
          <w:rFonts w:ascii="Times New Roman" w:hAnsi="Times New Roman"/>
          <w:b/>
          <w:color w:val="0000FF"/>
          <w:sz w:val="22"/>
          <w:szCs w:val="22"/>
          <w:lang w:val="uk-UA"/>
        </w:rPr>
      </w:pPr>
    </w:p>
    <w:p w14:paraId="2C4E72AA" w14:textId="77777777" w:rsidR="005E418B" w:rsidRDefault="005E418B" w:rsidP="005745AF">
      <w:pPr>
        <w:jc w:val="center"/>
        <w:rPr>
          <w:rFonts w:ascii="Times New Roman" w:hAnsi="Times New Roman"/>
          <w:b/>
          <w:color w:val="0000FF"/>
          <w:sz w:val="22"/>
          <w:szCs w:val="22"/>
          <w:lang w:val="uk-UA"/>
        </w:rPr>
      </w:pPr>
    </w:p>
    <w:p w14:paraId="5891C038" w14:textId="77777777" w:rsidR="005E418B" w:rsidRDefault="005E418B" w:rsidP="005745AF">
      <w:pPr>
        <w:jc w:val="center"/>
        <w:rPr>
          <w:rFonts w:ascii="Times New Roman" w:hAnsi="Times New Roman"/>
          <w:b/>
          <w:color w:val="0000FF"/>
          <w:sz w:val="22"/>
          <w:szCs w:val="22"/>
          <w:lang w:val="uk-UA"/>
        </w:rPr>
      </w:pPr>
    </w:p>
    <w:p w14:paraId="6A8803BA" w14:textId="77777777" w:rsidR="00602650" w:rsidRDefault="00602650" w:rsidP="005745AF">
      <w:pPr>
        <w:jc w:val="center"/>
        <w:rPr>
          <w:rFonts w:ascii="Times New Roman" w:hAnsi="Times New Roman"/>
          <w:b/>
          <w:color w:val="0000FF"/>
          <w:sz w:val="22"/>
          <w:szCs w:val="22"/>
          <w:lang w:val="uk-UA"/>
        </w:rPr>
      </w:pPr>
    </w:p>
    <w:p w14:paraId="7F03D92C" w14:textId="77777777" w:rsidR="00602650" w:rsidRDefault="00602650" w:rsidP="005745AF">
      <w:pPr>
        <w:jc w:val="center"/>
        <w:rPr>
          <w:rFonts w:ascii="Times New Roman" w:hAnsi="Times New Roman"/>
          <w:b/>
          <w:color w:val="0000FF"/>
          <w:sz w:val="22"/>
          <w:szCs w:val="22"/>
          <w:lang w:val="uk-UA"/>
        </w:rPr>
      </w:pPr>
    </w:p>
    <w:p w14:paraId="51AF6EAF" w14:textId="77777777" w:rsidR="00602650" w:rsidRDefault="00602650" w:rsidP="005745AF">
      <w:pPr>
        <w:jc w:val="center"/>
        <w:rPr>
          <w:rFonts w:ascii="Times New Roman" w:hAnsi="Times New Roman"/>
          <w:b/>
          <w:color w:val="0000FF"/>
          <w:sz w:val="22"/>
          <w:szCs w:val="22"/>
          <w:lang w:val="uk-UA"/>
        </w:rPr>
      </w:pPr>
    </w:p>
    <w:p w14:paraId="52361999" w14:textId="77777777" w:rsidR="005E418B" w:rsidRDefault="005E418B" w:rsidP="005745AF">
      <w:pPr>
        <w:jc w:val="center"/>
        <w:rPr>
          <w:rFonts w:ascii="Times New Roman" w:hAnsi="Times New Roman"/>
          <w:b/>
          <w:color w:val="0000FF"/>
          <w:sz w:val="22"/>
          <w:szCs w:val="22"/>
          <w:lang w:val="uk-UA"/>
        </w:rPr>
      </w:pPr>
    </w:p>
    <w:p w14:paraId="0080DD40" w14:textId="77777777" w:rsidR="005E418B" w:rsidRDefault="005E418B" w:rsidP="005745AF">
      <w:pPr>
        <w:jc w:val="center"/>
        <w:rPr>
          <w:rFonts w:ascii="Times New Roman" w:hAnsi="Times New Roman"/>
          <w:b/>
          <w:color w:val="0000FF"/>
          <w:sz w:val="22"/>
          <w:szCs w:val="22"/>
          <w:lang w:val="uk-UA"/>
        </w:rPr>
      </w:pPr>
    </w:p>
    <w:p w14:paraId="6AB48B7B" w14:textId="77777777" w:rsidR="00850A01" w:rsidRDefault="00850A01" w:rsidP="005745AF">
      <w:pPr>
        <w:jc w:val="center"/>
        <w:rPr>
          <w:rFonts w:ascii="Times New Roman" w:hAnsi="Times New Roman"/>
          <w:b/>
          <w:color w:val="0000FF"/>
          <w:sz w:val="22"/>
          <w:szCs w:val="22"/>
          <w:lang w:val="uk-UA"/>
        </w:rPr>
      </w:pPr>
    </w:p>
    <w:p w14:paraId="2B57E679" w14:textId="77777777" w:rsidR="00850A01" w:rsidRDefault="00850A01" w:rsidP="005745AF">
      <w:pPr>
        <w:jc w:val="center"/>
        <w:rPr>
          <w:rFonts w:ascii="Times New Roman" w:hAnsi="Times New Roman"/>
          <w:b/>
          <w:color w:val="0000FF"/>
          <w:sz w:val="22"/>
          <w:szCs w:val="22"/>
          <w:lang w:val="uk-UA"/>
        </w:rPr>
      </w:pPr>
    </w:p>
    <w:p w14:paraId="66316767" w14:textId="77777777" w:rsidR="005E418B" w:rsidRPr="005E418B" w:rsidRDefault="005E418B" w:rsidP="005745AF">
      <w:pPr>
        <w:jc w:val="center"/>
        <w:rPr>
          <w:rFonts w:ascii="Times New Roman" w:hAnsi="Times New Roman"/>
          <w:b/>
          <w:color w:val="0000FF"/>
          <w:sz w:val="22"/>
          <w:szCs w:val="22"/>
          <w:lang w:val="uk-UA"/>
        </w:rPr>
      </w:pPr>
    </w:p>
    <w:p w14:paraId="1058C425" w14:textId="77777777" w:rsidR="005745AF" w:rsidRPr="00E16672" w:rsidRDefault="005745AF" w:rsidP="005745AF">
      <w:pPr>
        <w:jc w:val="center"/>
        <w:rPr>
          <w:rFonts w:ascii="Times New Roman" w:hAnsi="Times New Roman"/>
          <w:b/>
          <w:color w:val="000000"/>
          <w:sz w:val="22"/>
          <w:szCs w:val="22"/>
        </w:rPr>
      </w:pPr>
      <w:r w:rsidRPr="00E16672">
        <w:rPr>
          <w:rFonts w:ascii="Times New Roman" w:hAnsi="Times New Roman"/>
          <w:b/>
          <w:color w:val="000000"/>
          <w:sz w:val="22"/>
          <w:szCs w:val="22"/>
        </w:rPr>
        <w:t>АКТ ПРИЙМАННЯ-ПЕРЕДАВАННЯ</w:t>
      </w:r>
    </w:p>
    <w:p w14:paraId="38697E3B" w14:textId="77777777" w:rsidR="005745AF" w:rsidRPr="00E16672" w:rsidRDefault="005745AF" w:rsidP="005745AF">
      <w:pPr>
        <w:jc w:val="center"/>
        <w:rPr>
          <w:rFonts w:ascii="Times New Roman" w:hAnsi="Times New Roman"/>
          <w:b/>
          <w:color w:val="000000"/>
          <w:sz w:val="22"/>
          <w:szCs w:val="22"/>
        </w:rPr>
      </w:pPr>
      <w:proofErr w:type="spellStart"/>
      <w:r w:rsidRPr="00E16672">
        <w:rPr>
          <w:rFonts w:ascii="Times New Roman" w:hAnsi="Times New Roman"/>
          <w:b/>
          <w:color w:val="000000"/>
          <w:sz w:val="22"/>
          <w:szCs w:val="22"/>
        </w:rPr>
        <w:t>реєстру</w:t>
      </w:r>
      <w:proofErr w:type="spellEnd"/>
      <w:r w:rsidRPr="00E16672">
        <w:rPr>
          <w:rFonts w:ascii="Times New Roman" w:hAnsi="Times New Roman"/>
          <w:b/>
          <w:color w:val="000000"/>
          <w:sz w:val="22"/>
          <w:szCs w:val="22"/>
        </w:rPr>
        <w:t xml:space="preserve"> </w:t>
      </w:r>
      <w:proofErr w:type="spellStart"/>
      <w:r w:rsidRPr="00E16672">
        <w:rPr>
          <w:rFonts w:ascii="Times New Roman" w:hAnsi="Times New Roman"/>
          <w:b/>
          <w:color w:val="000000"/>
          <w:sz w:val="22"/>
          <w:szCs w:val="22"/>
        </w:rPr>
        <w:t>власників</w:t>
      </w:r>
      <w:proofErr w:type="spellEnd"/>
      <w:r w:rsidRPr="00E16672">
        <w:rPr>
          <w:rFonts w:ascii="Times New Roman" w:hAnsi="Times New Roman"/>
          <w:b/>
          <w:color w:val="000000"/>
          <w:sz w:val="22"/>
          <w:szCs w:val="22"/>
        </w:rPr>
        <w:t xml:space="preserve"> </w:t>
      </w:r>
      <w:proofErr w:type="spellStart"/>
      <w:r w:rsidRPr="00E16672">
        <w:rPr>
          <w:rFonts w:ascii="Times New Roman" w:hAnsi="Times New Roman"/>
          <w:b/>
          <w:color w:val="000000"/>
          <w:sz w:val="22"/>
          <w:szCs w:val="22"/>
        </w:rPr>
        <w:t>іменних</w:t>
      </w:r>
      <w:proofErr w:type="spellEnd"/>
      <w:r w:rsidRPr="00E16672">
        <w:rPr>
          <w:rFonts w:ascii="Times New Roman" w:hAnsi="Times New Roman"/>
          <w:b/>
          <w:color w:val="000000"/>
          <w:sz w:val="22"/>
          <w:szCs w:val="22"/>
        </w:rPr>
        <w:t xml:space="preserve"> </w:t>
      </w:r>
      <w:proofErr w:type="spellStart"/>
      <w:r w:rsidRPr="00E16672">
        <w:rPr>
          <w:rFonts w:ascii="Times New Roman" w:hAnsi="Times New Roman"/>
          <w:b/>
          <w:color w:val="000000"/>
          <w:sz w:val="22"/>
          <w:szCs w:val="22"/>
        </w:rPr>
        <w:t>цінних</w:t>
      </w:r>
      <w:proofErr w:type="spellEnd"/>
      <w:r w:rsidRPr="00E16672">
        <w:rPr>
          <w:rFonts w:ascii="Times New Roman" w:hAnsi="Times New Roman"/>
          <w:b/>
          <w:color w:val="000000"/>
          <w:sz w:val="22"/>
          <w:szCs w:val="22"/>
        </w:rPr>
        <w:t xml:space="preserve"> </w:t>
      </w:r>
      <w:proofErr w:type="spellStart"/>
      <w:r w:rsidRPr="00E16672">
        <w:rPr>
          <w:rFonts w:ascii="Times New Roman" w:hAnsi="Times New Roman"/>
          <w:b/>
          <w:color w:val="000000"/>
          <w:sz w:val="22"/>
          <w:szCs w:val="22"/>
        </w:rPr>
        <w:t>паперів</w:t>
      </w:r>
      <w:proofErr w:type="spellEnd"/>
      <w:r w:rsidRPr="00E16672">
        <w:rPr>
          <w:rFonts w:ascii="Times New Roman" w:hAnsi="Times New Roman"/>
          <w:b/>
          <w:color w:val="000000"/>
          <w:sz w:val="22"/>
          <w:szCs w:val="22"/>
        </w:rPr>
        <w:t>/</w:t>
      </w:r>
      <w:proofErr w:type="spellStart"/>
      <w:r w:rsidRPr="00E16672">
        <w:rPr>
          <w:rFonts w:ascii="Times New Roman" w:hAnsi="Times New Roman"/>
          <w:b/>
          <w:color w:val="000000"/>
          <w:sz w:val="22"/>
          <w:szCs w:val="22"/>
        </w:rPr>
        <w:t>переліку</w:t>
      </w:r>
      <w:proofErr w:type="spellEnd"/>
      <w:r w:rsidRPr="00E16672">
        <w:rPr>
          <w:rFonts w:ascii="Times New Roman" w:hAnsi="Times New Roman"/>
          <w:b/>
          <w:color w:val="000000"/>
          <w:sz w:val="22"/>
          <w:szCs w:val="22"/>
        </w:rPr>
        <w:t xml:space="preserve"> у </w:t>
      </w:r>
      <w:proofErr w:type="spellStart"/>
      <w:r w:rsidRPr="00E16672">
        <w:rPr>
          <w:rFonts w:ascii="Times New Roman" w:hAnsi="Times New Roman"/>
          <w:b/>
          <w:color w:val="000000"/>
          <w:sz w:val="22"/>
          <w:szCs w:val="22"/>
        </w:rPr>
        <w:t>електронному</w:t>
      </w:r>
      <w:proofErr w:type="spellEnd"/>
      <w:r w:rsidRPr="00E16672">
        <w:rPr>
          <w:rFonts w:ascii="Times New Roman" w:hAnsi="Times New Roman"/>
          <w:b/>
          <w:color w:val="000000"/>
          <w:sz w:val="22"/>
          <w:szCs w:val="22"/>
        </w:rPr>
        <w:t xml:space="preserve"> </w:t>
      </w:r>
      <w:proofErr w:type="spellStart"/>
      <w:r w:rsidRPr="00E16672">
        <w:rPr>
          <w:rFonts w:ascii="Times New Roman" w:hAnsi="Times New Roman"/>
          <w:b/>
          <w:color w:val="000000"/>
          <w:sz w:val="22"/>
          <w:szCs w:val="22"/>
        </w:rPr>
        <w:t>вигляді</w:t>
      </w:r>
      <w:proofErr w:type="spellEnd"/>
      <w:r w:rsidRPr="00E16672">
        <w:rPr>
          <w:rFonts w:ascii="Times New Roman" w:hAnsi="Times New Roman"/>
          <w:b/>
          <w:color w:val="000000"/>
          <w:sz w:val="22"/>
          <w:szCs w:val="22"/>
        </w:rPr>
        <w:t xml:space="preserve"> до Договору про </w:t>
      </w:r>
      <w:proofErr w:type="spellStart"/>
      <w:r w:rsidRPr="00E16672">
        <w:rPr>
          <w:rFonts w:ascii="Times New Roman" w:hAnsi="Times New Roman"/>
          <w:b/>
          <w:color w:val="000000"/>
          <w:sz w:val="22"/>
          <w:szCs w:val="22"/>
        </w:rPr>
        <w:t>надання</w:t>
      </w:r>
      <w:proofErr w:type="spellEnd"/>
      <w:r w:rsidRPr="00E16672">
        <w:rPr>
          <w:rFonts w:ascii="Times New Roman" w:hAnsi="Times New Roman"/>
          <w:b/>
          <w:color w:val="000000"/>
          <w:sz w:val="22"/>
          <w:szCs w:val="22"/>
        </w:rPr>
        <w:t xml:space="preserve"> </w:t>
      </w:r>
      <w:proofErr w:type="spellStart"/>
      <w:r w:rsidRPr="00E16672">
        <w:rPr>
          <w:rFonts w:ascii="Times New Roman" w:hAnsi="Times New Roman"/>
          <w:b/>
          <w:color w:val="000000"/>
          <w:sz w:val="22"/>
          <w:szCs w:val="22"/>
        </w:rPr>
        <w:t>реєстру</w:t>
      </w:r>
      <w:proofErr w:type="spellEnd"/>
      <w:r w:rsidRPr="00E16672">
        <w:rPr>
          <w:rFonts w:ascii="Times New Roman" w:hAnsi="Times New Roman"/>
          <w:b/>
          <w:color w:val="000000"/>
          <w:sz w:val="22"/>
          <w:szCs w:val="22"/>
        </w:rPr>
        <w:t xml:space="preserve"> </w:t>
      </w:r>
      <w:proofErr w:type="spellStart"/>
      <w:r w:rsidRPr="00E16672">
        <w:rPr>
          <w:rFonts w:ascii="Times New Roman" w:hAnsi="Times New Roman"/>
          <w:b/>
          <w:color w:val="000000"/>
          <w:sz w:val="22"/>
          <w:szCs w:val="22"/>
        </w:rPr>
        <w:t>власників</w:t>
      </w:r>
      <w:proofErr w:type="spellEnd"/>
      <w:r w:rsidRPr="00E16672">
        <w:rPr>
          <w:rFonts w:ascii="Times New Roman" w:hAnsi="Times New Roman"/>
          <w:b/>
          <w:color w:val="000000"/>
          <w:sz w:val="22"/>
          <w:szCs w:val="22"/>
        </w:rPr>
        <w:t xml:space="preserve"> </w:t>
      </w:r>
      <w:proofErr w:type="spellStart"/>
      <w:r w:rsidRPr="00E16672">
        <w:rPr>
          <w:rFonts w:ascii="Times New Roman" w:hAnsi="Times New Roman"/>
          <w:b/>
          <w:color w:val="000000"/>
          <w:sz w:val="22"/>
          <w:szCs w:val="22"/>
        </w:rPr>
        <w:t>іменних</w:t>
      </w:r>
      <w:proofErr w:type="spellEnd"/>
      <w:r w:rsidRPr="00E16672">
        <w:rPr>
          <w:rFonts w:ascii="Times New Roman" w:hAnsi="Times New Roman"/>
          <w:b/>
          <w:color w:val="000000"/>
          <w:sz w:val="22"/>
          <w:szCs w:val="22"/>
        </w:rPr>
        <w:t xml:space="preserve"> </w:t>
      </w:r>
      <w:proofErr w:type="spellStart"/>
      <w:r w:rsidRPr="00E16672">
        <w:rPr>
          <w:rFonts w:ascii="Times New Roman" w:hAnsi="Times New Roman"/>
          <w:b/>
          <w:color w:val="000000"/>
          <w:sz w:val="22"/>
          <w:szCs w:val="22"/>
        </w:rPr>
        <w:t>цінних</w:t>
      </w:r>
      <w:proofErr w:type="spellEnd"/>
      <w:r w:rsidRPr="00E16672">
        <w:rPr>
          <w:rFonts w:ascii="Times New Roman" w:hAnsi="Times New Roman"/>
          <w:b/>
          <w:color w:val="000000"/>
          <w:sz w:val="22"/>
          <w:szCs w:val="22"/>
        </w:rPr>
        <w:t xml:space="preserve"> </w:t>
      </w:r>
      <w:proofErr w:type="spellStart"/>
      <w:r w:rsidRPr="00E16672">
        <w:rPr>
          <w:rFonts w:ascii="Times New Roman" w:hAnsi="Times New Roman"/>
          <w:b/>
          <w:color w:val="000000"/>
          <w:sz w:val="22"/>
          <w:szCs w:val="22"/>
        </w:rPr>
        <w:t>паперів</w:t>
      </w:r>
      <w:proofErr w:type="spellEnd"/>
    </w:p>
    <w:p w14:paraId="421C7F84" w14:textId="77777777" w:rsidR="005745AF" w:rsidRPr="00E16672" w:rsidRDefault="005745AF" w:rsidP="005745AF">
      <w:pPr>
        <w:jc w:val="center"/>
        <w:rPr>
          <w:rFonts w:ascii="Times New Roman" w:hAnsi="Times New Roman"/>
          <w:b/>
          <w:color w:val="000000"/>
          <w:sz w:val="22"/>
          <w:szCs w:val="22"/>
        </w:rPr>
      </w:pPr>
      <w:r w:rsidRPr="00E16672">
        <w:rPr>
          <w:rFonts w:ascii="Times New Roman" w:hAnsi="Times New Roman"/>
          <w:b/>
          <w:color w:val="000000"/>
          <w:sz w:val="22"/>
          <w:szCs w:val="22"/>
        </w:rPr>
        <w:t xml:space="preserve">№ ___________/_________ </w:t>
      </w:r>
      <w:proofErr w:type="spellStart"/>
      <w:r w:rsidRPr="00E16672">
        <w:rPr>
          <w:rFonts w:ascii="Times New Roman" w:hAnsi="Times New Roman"/>
          <w:b/>
          <w:color w:val="000000"/>
          <w:sz w:val="22"/>
          <w:szCs w:val="22"/>
        </w:rPr>
        <w:t>від</w:t>
      </w:r>
      <w:proofErr w:type="spellEnd"/>
      <w:r w:rsidRPr="00E16672">
        <w:rPr>
          <w:rFonts w:ascii="Times New Roman" w:hAnsi="Times New Roman"/>
          <w:b/>
          <w:color w:val="000000"/>
          <w:sz w:val="22"/>
          <w:szCs w:val="22"/>
        </w:rPr>
        <w:t xml:space="preserve"> _______ р</w:t>
      </w:r>
      <w:r w:rsidRPr="00E16672">
        <w:rPr>
          <w:rFonts w:ascii="Times New Roman" w:hAnsi="Times New Roman"/>
          <w:b/>
          <w:color w:val="000000"/>
          <w:sz w:val="22"/>
          <w:szCs w:val="22"/>
          <w:lang w:val="uk-UA"/>
        </w:rPr>
        <w:t>.</w:t>
      </w:r>
    </w:p>
    <w:p w14:paraId="5A54BBE0" w14:textId="77777777" w:rsidR="00594331" w:rsidRDefault="00594331" w:rsidP="005745AF">
      <w:pPr>
        <w:rPr>
          <w:rFonts w:ascii="Times New Roman" w:hAnsi="Times New Roman"/>
          <w:color w:val="000000"/>
          <w:sz w:val="22"/>
          <w:szCs w:val="22"/>
          <w:lang w:val="uk-UA"/>
        </w:rPr>
      </w:pPr>
    </w:p>
    <w:p w14:paraId="7FB860CE" w14:textId="77777777" w:rsidR="005745AF" w:rsidRPr="00C403D0" w:rsidRDefault="00C403D0" w:rsidP="005745AF">
      <w:pPr>
        <w:rPr>
          <w:rFonts w:ascii="Times New Roman" w:hAnsi="Times New Roman"/>
          <w:color w:val="000000"/>
          <w:sz w:val="22"/>
          <w:szCs w:val="22"/>
          <w:lang w:val="uk-UA"/>
        </w:rPr>
      </w:pPr>
      <w:r>
        <w:rPr>
          <w:rFonts w:ascii="Times New Roman" w:hAnsi="Times New Roman"/>
          <w:color w:val="000000"/>
          <w:sz w:val="22"/>
          <w:szCs w:val="22"/>
          <w:lang w:val="uk-UA"/>
        </w:rPr>
        <w:t xml:space="preserve">м. Київ </w:t>
      </w:r>
      <w:r>
        <w:rPr>
          <w:rFonts w:ascii="Times New Roman" w:hAnsi="Times New Roman"/>
          <w:color w:val="000000"/>
          <w:sz w:val="22"/>
          <w:szCs w:val="22"/>
          <w:lang w:val="uk-UA"/>
        </w:rPr>
        <w:tab/>
      </w:r>
      <w:r>
        <w:rPr>
          <w:rFonts w:ascii="Times New Roman" w:hAnsi="Times New Roman"/>
          <w:color w:val="000000"/>
          <w:sz w:val="22"/>
          <w:szCs w:val="22"/>
          <w:lang w:val="uk-UA"/>
        </w:rPr>
        <w:tab/>
      </w:r>
      <w:r>
        <w:rPr>
          <w:rFonts w:ascii="Times New Roman" w:hAnsi="Times New Roman"/>
          <w:color w:val="000000"/>
          <w:sz w:val="22"/>
          <w:szCs w:val="22"/>
          <w:lang w:val="uk-UA"/>
        </w:rPr>
        <w:tab/>
      </w:r>
      <w:r>
        <w:rPr>
          <w:rFonts w:ascii="Times New Roman" w:hAnsi="Times New Roman"/>
          <w:color w:val="000000"/>
          <w:sz w:val="22"/>
          <w:szCs w:val="22"/>
          <w:lang w:val="uk-UA"/>
        </w:rPr>
        <w:tab/>
      </w:r>
      <w:r>
        <w:rPr>
          <w:rFonts w:ascii="Times New Roman" w:hAnsi="Times New Roman"/>
          <w:color w:val="000000"/>
          <w:sz w:val="22"/>
          <w:szCs w:val="22"/>
          <w:lang w:val="uk-UA"/>
        </w:rPr>
        <w:tab/>
      </w:r>
      <w:r>
        <w:rPr>
          <w:rFonts w:ascii="Times New Roman" w:hAnsi="Times New Roman"/>
          <w:color w:val="000000"/>
          <w:sz w:val="22"/>
          <w:szCs w:val="22"/>
          <w:lang w:val="uk-UA"/>
        </w:rPr>
        <w:tab/>
      </w:r>
      <w:r>
        <w:rPr>
          <w:rFonts w:ascii="Times New Roman" w:hAnsi="Times New Roman"/>
          <w:color w:val="000000"/>
          <w:sz w:val="22"/>
          <w:szCs w:val="22"/>
          <w:lang w:val="uk-UA"/>
        </w:rPr>
        <w:tab/>
      </w:r>
      <w:r>
        <w:rPr>
          <w:rFonts w:ascii="Times New Roman" w:hAnsi="Times New Roman"/>
          <w:color w:val="000000"/>
          <w:sz w:val="22"/>
          <w:szCs w:val="22"/>
          <w:lang w:val="uk-UA"/>
        </w:rPr>
        <w:tab/>
      </w:r>
      <w:r>
        <w:rPr>
          <w:rFonts w:ascii="Times New Roman" w:hAnsi="Times New Roman"/>
          <w:color w:val="000000"/>
          <w:sz w:val="22"/>
          <w:szCs w:val="22"/>
          <w:lang w:val="uk-UA"/>
        </w:rPr>
        <w:tab/>
      </w:r>
      <w:r>
        <w:rPr>
          <w:rFonts w:ascii="Times New Roman" w:hAnsi="Times New Roman"/>
          <w:color w:val="000000"/>
          <w:sz w:val="22"/>
          <w:szCs w:val="22"/>
          <w:lang w:val="uk-UA"/>
        </w:rPr>
        <w:tab/>
      </w:r>
      <w:r w:rsidR="00602650">
        <w:rPr>
          <w:rFonts w:ascii="Times New Roman" w:hAnsi="Times New Roman"/>
          <w:color w:val="000000"/>
          <w:sz w:val="22"/>
          <w:szCs w:val="22"/>
          <w:lang w:val="uk-UA"/>
        </w:rPr>
        <w:t>"    "</w:t>
      </w:r>
      <w:r w:rsidR="005745AF" w:rsidRPr="00E16672">
        <w:rPr>
          <w:rFonts w:ascii="Times New Roman" w:hAnsi="Times New Roman"/>
          <w:color w:val="000000"/>
          <w:sz w:val="22"/>
          <w:szCs w:val="22"/>
        </w:rPr>
        <w:t xml:space="preserve"> _____</w:t>
      </w:r>
      <w:r w:rsidR="005745AF" w:rsidRPr="00E16672">
        <w:rPr>
          <w:rFonts w:ascii="Times New Roman" w:hAnsi="Times New Roman"/>
          <w:color w:val="000000"/>
          <w:sz w:val="22"/>
          <w:szCs w:val="22"/>
          <w:lang w:val="uk-UA"/>
        </w:rPr>
        <w:t>_</w:t>
      </w:r>
      <w:r>
        <w:rPr>
          <w:rFonts w:ascii="Times New Roman" w:hAnsi="Times New Roman"/>
          <w:color w:val="000000"/>
          <w:sz w:val="22"/>
          <w:szCs w:val="22"/>
        </w:rPr>
        <w:t>_____  20</w:t>
      </w:r>
      <w:r>
        <w:rPr>
          <w:rFonts w:ascii="Times New Roman" w:hAnsi="Times New Roman"/>
          <w:color w:val="000000"/>
          <w:sz w:val="22"/>
          <w:szCs w:val="22"/>
          <w:lang w:val="uk-UA"/>
        </w:rPr>
        <w:t>__ року</w:t>
      </w:r>
    </w:p>
    <w:p w14:paraId="5F66B645" w14:textId="77777777" w:rsidR="005745AF" w:rsidRDefault="005745AF" w:rsidP="005745AF">
      <w:pPr>
        <w:rPr>
          <w:rFonts w:ascii="Times New Roman" w:hAnsi="Times New Roman"/>
          <w:color w:val="000000"/>
          <w:sz w:val="22"/>
          <w:szCs w:val="22"/>
          <w:lang w:val="uk-UA"/>
        </w:rPr>
      </w:pPr>
    </w:p>
    <w:p w14:paraId="026B6397" w14:textId="77777777" w:rsidR="00C403D0" w:rsidRPr="00C403D0" w:rsidRDefault="00C403D0" w:rsidP="005745AF">
      <w:pPr>
        <w:rPr>
          <w:rFonts w:ascii="Times New Roman" w:hAnsi="Times New Roman"/>
          <w:color w:val="000000"/>
          <w:sz w:val="22"/>
          <w:szCs w:val="22"/>
          <w:lang w:val="uk-UA"/>
        </w:rPr>
      </w:pPr>
    </w:p>
    <w:p w14:paraId="6CD84842" w14:textId="77777777" w:rsidR="005745AF" w:rsidRPr="00E16672" w:rsidRDefault="005745AF" w:rsidP="00022F5F">
      <w:pPr>
        <w:ind w:firstLine="708"/>
        <w:jc w:val="left"/>
        <w:rPr>
          <w:rFonts w:ascii="Times New Roman" w:hAnsi="Times New Roman"/>
          <w:color w:val="000000"/>
          <w:sz w:val="22"/>
          <w:szCs w:val="22"/>
        </w:rPr>
      </w:pPr>
      <w:r w:rsidRPr="00E16672">
        <w:rPr>
          <w:rFonts w:ascii="Times New Roman" w:hAnsi="Times New Roman"/>
          <w:color w:val="000000"/>
          <w:sz w:val="22"/>
          <w:szCs w:val="22"/>
        </w:rPr>
        <w:t xml:space="preserve">Ми, </w:t>
      </w:r>
      <w:proofErr w:type="spellStart"/>
      <w:r w:rsidRPr="00E16672">
        <w:rPr>
          <w:rFonts w:ascii="Times New Roman" w:hAnsi="Times New Roman"/>
          <w:color w:val="000000"/>
          <w:sz w:val="22"/>
          <w:szCs w:val="22"/>
        </w:rPr>
        <w:t>що</w:t>
      </w:r>
      <w:proofErr w:type="spellEnd"/>
      <w:r w:rsidRPr="00E16672">
        <w:rPr>
          <w:rFonts w:ascii="Times New Roman" w:hAnsi="Times New Roman"/>
          <w:color w:val="000000"/>
          <w:sz w:val="22"/>
          <w:szCs w:val="22"/>
        </w:rPr>
        <w:t xml:space="preserve"> </w:t>
      </w:r>
      <w:proofErr w:type="spellStart"/>
      <w:r w:rsidRPr="00E16672">
        <w:rPr>
          <w:rFonts w:ascii="Times New Roman" w:hAnsi="Times New Roman"/>
          <w:color w:val="000000"/>
          <w:sz w:val="22"/>
          <w:szCs w:val="22"/>
        </w:rPr>
        <w:t>підписалися</w:t>
      </w:r>
      <w:proofErr w:type="spellEnd"/>
      <w:r w:rsidRPr="00E16672">
        <w:rPr>
          <w:rFonts w:ascii="Times New Roman" w:hAnsi="Times New Roman"/>
          <w:color w:val="000000"/>
          <w:sz w:val="22"/>
          <w:szCs w:val="22"/>
        </w:rPr>
        <w:t xml:space="preserve"> </w:t>
      </w:r>
      <w:proofErr w:type="spellStart"/>
      <w:r w:rsidRPr="00E16672">
        <w:rPr>
          <w:rFonts w:ascii="Times New Roman" w:hAnsi="Times New Roman"/>
          <w:color w:val="000000"/>
          <w:sz w:val="22"/>
          <w:szCs w:val="22"/>
        </w:rPr>
        <w:t>нижче</w:t>
      </w:r>
      <w:proofErr w:type="spellEnd"/>
      <w:r w:rsidRPr="00E16672">
        <w:rPr>
          <w:rFonts w:ascii="Times New Roman" w:hAnsi="Times New Roman"/>
          <w:color w:val="000000"/>
          <w:sz w:val="22"/>
          <w:szCs w:val="22"/>
        </w:rPr>
        <w:t xml:space="preserve">, </w:t>
      </w:r>
      <w:proofErr w:type="spellStart"/>
      <w:r w:rsidRPr="00E16672">
        <w:rPr>
          <w:rFonts w:ascii="Times New Roman" w:hAnsi="Times New Roman"/>
          <w:color w:val="000000"/>
          <w:sz w:val="22"/>
          <w:szCs w:val="22"/>
        </w:rPr>
        <w:t>від</w:t>
      </w:r>
      <w:proofErr w:type="spellEnd"/>
      <w:r w:rsidRPr="00E16672">
        <w:rPr>
          <w:rFonts w:ascii="Times New Roman" w:hAnsi="Times New Roman"/>
          <w:color w:val="000000"/>
          <w:sz w:val="22"/>
          <w:szCs w:val="22"/>
        </w:rPr>
        <w:t xml:space="preserve"> </w:t>
      </w:r>
      <w:r w:rsidRPr="00E16672">
        <w:rPr>
          <w:rFonts w:ascii="Times New Roman" w:hAnsi="Times New Roman"/>
          <w:color w:val="000000"/>
          <w:sz w:val="22"/>
          <w:szCs w:val="22"/>
          <w:lang w:val="uk-UA"/>
        </w:rPr>
        <w:t xml:space="preserve">ТОВАРИСТВА З ОБМЕЖЕНОЮ ВІДПОВІДАЛЬНІСТЮ </w:t>
      </w:r>
      <w:r w:rsidR="00022F5F">
        <w:rPr>
          <w:rFonts w:ascii="Times New Roman" w:hAnsi="Times New Roman"/>
          <w:color w:val="000000"/>
          <w:sz w:val="22"/>
          <w:szCs w:val="22"/>
          <w:lang w:val="uk-UA"/>
        </w:rPr>
        <w:t>"</w:t>
      </w:r>
      <w:r w:rsidR="00E16672" w:rsidRPr="00E16672">
        <w:rPr>
          <w:rFonts w:ascii="Times New Roman" w:hAnsi="Times New Roman"/>
          <w:color w:val="000000"/>
          <w:sz w:val="22"/>
          <w:szCs w:val="22"/>
          <w:lang w:val="uk-UA"/>
        </w:rPr>
        <w:t>КОМЕКС ЦІННІ ПАПЕРИ</w:t>
      </w:r>
      <w:r w:rsidR="00022F5F">
        <w:rPr>
          <w:rFonts w:ascii="Times New Roman" w:hAnsi="Times New Roman"/>
          <w:color w:val="000000"/>
          <w:sz w:val="22"/>
          <w:szCs w:val="22"/>
          <w:lang w:val="uk-UA"/>
        </w:rPr>
        <w:t>"</w:t>
      </w:r>
      <w:r w:rsidRPr="00E16672">
        <w:rPr>
          <w:rFonts w:ascii="Times New Roman" w:hAnsi="Times New Roman"/>
          <w:color w:val="000000"/>
          <w:sz w:val="22"/>
          <w:szCs w:val="22"/>
        </w:rPr>
        <w:t xml:space="preserve"> (</w:t>
      </w:r>
      <w:proofErr w:type="spellStart"/>
      <w:r w:rsidRPr="00E16672">
        <w:rPr>
          <w:rFonts w:ascii="Times New Roman" w:hAnsi="Times New Roman"/>
          <w:color w:val="000000"/>
          <w:sz w:val="22"/>
          <w:szCs w:val="22"/>
        </w:rPr>
        <w:t>далі</w:t>
      </w:r>
      <w:proofErr w:type="spellEnd"/>
      <w:r w:rsidRPr="00E16672">
        <w:rPr>
          <w:rFonts w:ascii="Times New Roman" w:hAnsi="Times New Roman"/>
          <w:color w:val="000000"/>
          <w:sz w:val="22"/>
          <w:szCs w:val="22"/>
        </w:rPr>
        <w:t xml:space="preserve"> – </w:t>
      </w:r>
      <w:proofErr w:type="spellStart"/>
      <w:r w:rsidRPr="00E16672">
        <w:rPr>
          <w:rFonts w:ascii="Times New Roman" w:hAnsi="Times New Roman"/>
          <w:color w:val="000000"/>
          <w:sz w:val="22"/>
          <w:szCs w:val="22"/>
        </w:rPr>
        <w:t>Депозитарна</w:t>
      </w:r>
      <w:proofErr w:type="spellEnd"/>
      <w:r w:rsidRPr="00E16672">
        <w:rPr>
          <w:rFonts w:ascii="Times New Roman" w:hAnsi="Times New Roman"/>
          <w:color w:val="000000"/>
          <w:sz w:val="22"/>
          <w:szCs w:val="22"/>
        </w:rPr>
        <w:t xml:space="preserve"> </w:t>
      </w:r>
      <w:proofErr w:type="spellStart"/>
      <w:r w:rsidRPr="00E16672">
        <w:rPr>
          <w:rFonts w:ascii="Times New Roman" w:hAnsi="Times New Roman"/>
          <w:color w:val="000000"/>
          <w:sz w:val="22"/>
          <w:szCs w:val="22"/>
        </w:rPr>
        <w:t>установа</w:t>
      </w:r>
      <w:proofErr w:type="spellEnd"/>
      <w:r w:rsidRPr="00E16672">
        <w:rPr>
          <w:rFonts w:ascii="Times New Roman" w:hAnsi="Times New Roman"/>
          <w:color w:val="000000"/>
          <w:sz w:val="22"/>
          <w:szCs w:val="22"/>
        </w:rPr>
        <w:t>) ________________________</w:t>
      </w:r>
      <w:r w:rsidR="00850A01">
        <w:rPr>
          <w:rFonts w:ascii="Times New Roman" w:hAnsi="Times New Roman"/>
          <w:color w:val="000000"/>
          <w:sz w:val="22"/>
          <w:szCs w:val="22"/>
          <w:lang w:val="uk-UA"/>
        </w:rPr>
        <w:t>____</w:t>
      </w:r>
      <w:r w:rsidRPr="00E16672">
        <w:rPr>
          <w:rFonts w:ascii="Times New Roman" w:hAnsi="Times New Roman"/>
          <w:color w:val="000000"/>
          <w:sz w:val="22"/>
          <w:szCs w:val="22"/>
        </w:rPr>
        <w:t xml:space="preserve">______________________ та </w:t>
      </w:r>
      <w:proofErr w:type="spellStart"/>
      <w:r w:rsidRPr="00E16672">
        <w:rPr>
          <w:rFonts w:ascii="Times New Roman" w:hAnsi="Times New Roman"/>
          <w:color w:val="000000"/>
          <w:sz w:val="22"/>
          <w:szCs w:val="22"/>
        </w:rPr>
        <w:t>від</w:t>
      </w:r>
      <w:proofErr w:type="spellEnd"/>
      <w:r w:rsidRPr="00E16672">
        <w:rPr>
          <w:rFonts w:ascii="Times New Roman" w:hAnsi="Times New Roman"/>
          <w:color w:val="000000"/>
          <w:sz w:val="22"/>
          <w:szCs w:val="22"/>
        </w:rPr>
        <w:t xml:space="preserve"> </w:t>
      </w:r>
      <w:proofErr w:type="spellStart"/>
      <w:r w:rsidRPr="00E16672">
        <w:rPr>
          <w:rFonts w:ascii="Times New Roman" w:hAnsi="Times New Roman"/>
          <w:color w:val="000000"/>
          <w:sz w:val="22"/>
          <w:szCs w:val="22"/>
        </w:rPr>
        <w:t>Емітента</w:t>
      </w:r>
      <w:proofErr w:type="spellEnd"/>
      <w:r w:rsidRPr="00E16672">
        <w:rPr>
          <w:rFonts w:ascii="Times New Roman" w:hAnsi="Times New Roman"/>
          <w:color w:val="000000"/>
          <w:sz w:val="22"/>
          <w:szCs w:val="22"/>
        </w:rPr>
        <w:t xml:space="preserve"> _______________________________________________________ </w:t>
      </w:r>
      <w:proofErr w:type="spellStart"/>
      <w:r w:rsidRPr="00E16672">
        <w:rPr>
          <w:rFonts w:ascii="Times New Roman" w:hAnsi="Times New Roman"/>
          <w:color w:val="000000"/>
          <w:sz w:val="22"/>
          <w:szCs w:val="22"/>
        </w:rPr>
        <w:t>склали</w:t>
      </w:r>
      <w:proofErr w:type="spellEnd"/>
      <w:r w:rsidRPr="00E16672">
        <w:rPr>
          <w:rFonts w:ascii="Times New Roman" w:hAnsi="Times New Roman"/>
          <w:color w:val="000000"/>
          <w:sz w:val="22"/>
          <w:szCs w:val="22"/>
        </w:rPr>
        <w:t xml:space="preserve"> </w:t>
      </w:r>
      <w:proofErr w:type="spellStart"/>
      <w:r w:rsidRPr="00E16672">
        <w:rPr>
          <w:rFonts w:ascii="Times New Roman" w:hAnsi="Times New Roman"/>
          <w:color w:val="000000"/>
          <w:sz w:val="22"/>
          <w:szCs w:val="22"/>
        </w:rPr>
        <w:t>цей</w:t>
      </w:r>
      <w:proofErr w:type="spellEnd"/>
      <w:r w:rsidRPr="00E16672">
        <w:rPr>
          <w:rFonts w:ascii="Times New Roman" w:hAnsi="Times New Roman"/>
          <w:color w:val="000000"/>
          <w:sz w:val="22"/>
          <w:szCs w:val="22"/>
        </w:rPr>
        <w:t xml:space="preserve"> акт про те, </w:t>
      </w:r>
      <w:proofErr w:type="spellStart"/>
      <w:r w:rsidRPr="00E16672">
        <w:rPr>
          <w:rFonts w:ascii="Times New Roman" w:hAnsi="Times New Roman"/>
          <w:color w:val="000000"/>
          <w:sz w:val="22"/>
          <w:szCs w:val="22"/>
        </w:rPr>
        <w:t>що</w:t>
      </w:r>
      <w:proofErr w:type="spellEnd"/>
      <w:r w:rsidRPr="00E16672">
        <w:rPr>
          <w:rFonts w:ascii="Times New Roman" w:hAnsi="Times New Roman"/>
          <w:color w:val="000000"/>
          <w:sz w:val="22"/>
          <w:szCs w:val="22"/>
        </w:rPr>
        <w:t>:</w:t>
      </w:r>
    </w:p>
    <w:p w14:paraId="4058F2DB" w14:textId="77777777" w:rsidR="005745AF" w:rsidRPr="00E16672" w:rsidRDefault="005745AF" w:rsidP="005745AF">
      <w:pPr>
        <w:rPr>
          <w:rFonts w:ascii="Times New Roman" w:hAnsi="Times New Roman"/>
          <w:color w:val="000000"/>
          <w:sz w:val="22"/>
          <w:szCs w:val="22"/>
        </w:rPr>
      </w:pPr>
    </w:p>
    <w:p w14:paraId="2F699519" w14:textId="77777777" w:rsidR="005745AF" w:rsidRPr="00E16672" w:rsidRDefault="005745AF" w:rsidP="005745AF">
      <w:pPr>
        <w:rPr>
          <w:rFonts w:ascii="Times New Roman" w:hAnsi="Times New Roman"/>
          <w:color w:val="000000"/>
          <w:sz w:val="22"/>
          <w:szCs w:val="22"/>
        </w:rPr>
      </w:pPr>
      <w:proofErr w:type="spellStart"/>
      <w:r w:rsidRPr="00E16672">
        <w:rPr>
          <w:rFonts w:ascii="Times New Roman" w:hAnsi="Times New Roman"/>
          <w:color w:val="000000"/>
          <w:sz w:val="22"/>
          <w:szCs w:val="22"/>
        </w:rPr>
        <w:t>Депозитарна</w:t>
      </w:r>
      <w:proofErr w:type="spellEnd"/>
      <w:r w:rsidRPr="00E16672">
        <w:rPr>
          <w:rFonts w:ascii="Times New Roman" w:hAnsi="Times New Roman"/>
          <w:color w:val="000000"/>
          <w:sz w:val="22"/>
          <w:szCs w:val="22"/>
        </w:rPr>
        <w:t xml:space="preserve"> </w:t>
      </w:r>
      <w:proofErr w:type="spellStart"/>
      <w:r w:rsidRPr="00E16672">
        <w:rPr>
          <w:rFonts w:ascii="Times New Roman" w:hAnsi="Times New Roman"/>
          <w:color w:val="000000"/>
          <w:sz w:val="22"/>
          <w:szCs w:val="22"/>
        </w:rPr>
        <w:t>установа</w:t>
      </w:r>
      <w:proofErr w:type="spellEnd"/>
      <w:r w:rsidRPr="00E16672">
        <w:rPr>
          <w:rFonts w:ascii="Times New Roman" w:hAnsi="Times New Roman"/>
          <w:color w:val="000000"/>
          <w:sz w:val="22"/>
          <w:szCs w:val="22"/>
        </w:rPr>
        <w:t xml:space="preserve"> передала, а </w:t>
      </w:r>
      <w:proofErr w:type="spellStart"/>
      <w:r w:rsidRPr="00E16672">
        <w:rPr>
          <w:rFonts w:ascii="Times New Roman" w:hAnsi="Times New Roman"/>
          <w:color w:val="000000"/>
          <w:sz w:val="22"/>
          <w:szCs w:val="22"/>
        </w:rPr>
        <w:t>Емітент</w:t>
      </w:r>
      <w:proofErr w:type="spellEnd"/>
      <w:r w:rsidRPr="00E16672">
        <w:rPr>
          <w:rFonts w:ascii="Times New Roman" w:hAnsi="Times New Roman"/>
          <w:color w:val="000000"/>
          <w:sz w:val="22"/>
          <w:szCs w:val="22"/>
        </w:rPr>
        <w:t xml:space="preserve"> </w:t>
      </w:r>
      <w:proofErr w:type="spellStart"/>
      <w:r w:rsidRPr="00E16672">
        <w:rPr>
          <w:rFonts w:ascii="Times New Roman" w:hAnsi="Times New Roman"/>
          <w:color w:val="000000"/>
          <w:sz w:val="22"/>
          <w:szCs w:val="22"/>
        </w:rPr>
        <w:t>прийняв</w:t>
      </w:r>
      <w:proofErr w:type="spellEnd"/>
      <w:r w:rsidRPr="00E16672">
        <w:rPr>
          <w:rFonts w:ascii="Times New Roman" w:hAnsi="Times New Roman"/>
          <w:color w:val="000000"/>
          <w:sz w:val="22"/>
          <w:szCs w:val="22"/>
        </w:rPr>
        <w:t xml:space="preserve"> </w:t>
      </w:r>
      <w:proofErr w:type="spellStart"/>
      <w:r w:rsidRPr="00E16672">
        <w:rPr>
          <w:rFonts w:ascii="Times New Roman" w:hAnsi="Times New Roman"/>
          <w:color w:val="000000"/>
          <w:sz w:val="22"/>
          <w:szCs w:val="22"/>
        </w:rPr>
        <w:t>реєстр</w:t>
      </w:r>
      <w:proofErr w:type="spellEnd"/>
      <w:r w:rsidRPr="00E16672">
        <w:rPr>
          <w:rFonts w:ascii="Times New Roman" w:hAnsi="Times New Roman"/>
          <w:color w:val="000000"/>
          <w:sz w:val="22"/>
          <w:szCs w:val="22"/>
        </w:rPr>
        <w:t xml:space="preserve"> </w:t>
      </w:r>
      <w:proofErr w:type="spellStart"/>
      <w:r w:rsidRPr="00E16672">
        <w:rPr>
          <w:rFonts w:ascii="Times New Roman" w:hAnsi="Times New Roman"/>
          <w:color w:val="000000"/>
          <w:sz w:val="22"/>
          <w:szCs w:val="22"/>
        </w:rPr>
        <w:t>власників</w:t>
      </w:r>
      <w:proofErr w:type="spellEnd"/>
      <w:r w:rsidRPr="00E16672">
        <w:rPr>
          <w:rFonts w:ascii="Times New Roman" w:hAnsi="Times New Roman"/>
          <w:color w:val="000000"/>
          <w:sz w:val="22"/>
          <w:szCs w:val="22"/>
        </w:rPr>
        <w:t xml:space="preserve"> </w:t>
      </w:r>
      <w:proofErr w:type="spellStart"/>
      <w:r w:rsidRPr="00E16672">
        <w:rPr>
          <w:rFonts w:ascii="Times New Roman" w:hAnsi="Times New Roman"/>
          <w:color w:val="000000"/>
          <w:sz w:val="22"/>
          <w:szCs w:val="22"/>
        </w:rPr>
        <w:t>іменних</w:t>
      </w:r>
      <w:proofErr w:type="spellEnd"/>
      <w:r w:rsidRPr="00E16672">
        <w:rPr>
          <w:rFonts w:ascii="Times New Roman" w:hAnsi="Times New Roman"/>
          <w:color w:val="000000"/>
          <w:sz w:val="22"/>
          <w:szCs w:val="22"/>
        </w:rPr>
        <w:t xml:space="preserve"> </w:t>
      </w:r>
      <w:proofErr w:type="spellStart"/>
      <w:r w:rsidRPr="00E16672">
        <w:rPr>
          <w:rFonts w:ascii="Times New Roman" w:hAnsi="Times New Roman"/>
          <w:color w:val="000000"/>
          <w:sz w:val="22"/>
          <w:szCs w:val="22"/>
        </w:rPr>
        <w:t>цінних</w:t>
      </w:r>
      <w:proofErr w:type="spellEnd"/>
      <w:r w:rsidRPr="00E16672">
        <w:rPr>
          <w:rFonts w:ascii="Times New Roman" w:hAnsi="Times New Roman"/>
          <w:color w:val="000000"/>
          <w:sz w:val="22"/>
          <w:szCs w:val="22"/>
        </w:rPr>
        <w:t xml:space="preserve"> </w:t>
      </w:r>
      <w:proofErr w:type="spellStart"/>
      <w:r w:rsidRPr="00E16672">
        <w:rPr>
          <w:rFonts w:ascii="Times New Roman" w:hAnsi="Times New Roman"/>
          <w:color w:val="000000"/>
          <w:sz w:val="22"/>
          <w:szCs w:val="22"/>
        </w:rPr>
        <w:t>паперів</w:t>
      </w:r>
      <w:proofErr w:type="spellEnd"/>
      <w:r w:rsidRPr="00E16672">
        <w:rPr>
          <w:rFonts w:ascii="Times New Roman" w:hAnsi="Times New Roman"/>
          <w:color w:val="000000"/>
          <w:sz w:val="22"/>
          <w:szCs w:val="22"/>
        </w:rPr>
        <w:t>/</w:t>
      </w:r>
      <w:proofErr w:type="spellStart"/>
      <w:proofErr w:type="gramStart"/>
      <w:r w:rsidRPr="00E16672">
        <w:rPr>
          <w:rFonts w:ascii="Times New Roman" w:hAnsi="Times New Roman"/>
          <w:color w:val="000000"/>
          <w:sz w:val="22"/>
          <w:szCs w:val="22"/>
        </w:rPr>
        <w:t>перелік</w:t>
      </w:r>
      <w:proofErr w:type="spellEnd"/>
      <w:r w:rsidRPr="00E16672">
        <w:rPr>
          <w:rFonts w:ascii="Times New Roman" w:hAnsi="Times New Roman"/>
          <w:color w:val="000000"/>
          <w:sz w:val="22"/>
          <w:szCs w:val="22"/>
        </w:rPr>
        <w:t xml:space="preserve">  _</w:t>
      </w:r>
      <w:proofErr w:type="gramEnd"/>
      <w:r w:rsidRPr="00E16672">
        <w:rPr>
          <w:rFonts w:ascii="Times New Roman" w:hAnsi="Times New Roman"/>
          <w:color w:val="000000"/>
          <w:sz w:val="22"/>
          <w:szCs w:val="22"/>
        </w:rPr>
        <w:t>_______________________________________________________________________ станом на ___________ року</w:t>
      </w:r>
    </w:p>
    <w:p w14:paraId="0089BC3F" w14:textId="77777777" w:rsidR="005745AF" w:rsidRPr="00E16672" w:rsidRDefault="005745AF" w:rsidP="005745AF">
      <w:pPr>
        <w:rPr>
          <w:rFonts w:ascii="Times New Roman" w:hAnsi="Times New Roman"/>
          <w:color w:val="000000"/>
          <w:sz w:val="22"/>
          <w:szCs w:val="22"/>
        </w:rPr>
      </w:pPr>
      <w:r w:rsidRPr="00E16672">
        <w:rPr>
          <w:rFonts w:ascii="Times New Roman" w:hAnsi="Times New Roman"/>
          <w:color w:val="000000"/>
          <w:sz w:val="22"/>
          <w:szCs w:val="22"/>
        </w:rPr>
        <w:t xml:space="preserve">у </w:t>
      </w:r>
      <w:proofErr w:type="spellStart"/>
      <w:r w:rsidRPr="00E16672">
        <w:rPr>
          <w:rFonts w:ascii="Times New Roman" w:hAnsi="Times New Roman"/>
          <w:color w:val="000000"/>
          <w:sz w:val="22"/>
          <w:szCs w:val="22"/>
        </w:rPr>
        <w:t>електронному</w:t>
      </w:r>
      <w:proofErr w:type="spellEnd"/>
      <w:r w:rsidRPr="00E16672">
        <w:rPr>
          <w:rFonts w:ascii="Times New Roman" w:hAnsi="Times New Roman"/>
          <w:color w:val="000000"/>
          <w:sz w:val="22"/>
          <w:szCs w:val="22"/>
        </w:rPr>
        <w:t xml:space="preserve"> </w:t>
      </w:r>
      <w:proofErr w:type="spellStart"/>
      <w:r w:rsidRPr="00E16672">
        <w:rPr>
          <w:rFonts w:ascii="Times New Roman" w:hAnsi="Times New Roman"/>
          <w:color w:val="000000"/>
          <w:sz w:val="22"/>
          <w:szCs w:val="22"/>
        </w:rPr>
        <w:t>вигляді</w:t>
      </w:r>
      <w:proofErr w:type="spellEnd"/>
      <w:r w:rsidRPr="00E16672">
        <w:rPr>
          <w:rFonts w:ascii="Times New Roman" w:hAnsi="Times New Roman"/>
          <w:color w:val="000000"/>
          <w:sz w:val="22"/>
          <w:szCs w:val="22"/>
        </w:rPr>
        <w:t>.</w:t>
      </w:r>
    </w:p>
    <w:p w14:paraId="3F078066" w14:textId="77777777" w:rsidR="005745AF" w:rsidRPr="00E16672" w:rsidRDefault="005745AF" w:rsidP="005745AF">
      <w:pPr>
        <w:rPr>
          <w:rFonts w:ascii="Times New Roman" w:hAnsi="Times New Roman"/>
          <w:color w:val="000000"/>
          <w:sz w:val="22"/>
          <w:szCs w:val="22"/>
        </w:rPr>
      </w:pPr>
      <w:proofErr w:type="spellStart"/>
      <w:r w:rsidRPr="00E16672">
        <w:rPr>
          <w:rFonts w:ascii="Times New Roman" w:hAnsi="Times New Roman"/>
          <w:color w:val="000000"/>
          <w:sz w:val="22"/>
          <w:szCs w:val="22"/>
        </w:rPr>
        <w:t>Реєстр</w:t>
      </w:r>
      <w:proofErr w:type="spellEnd"/>
      <w:r w:rsidRPr="00E16672">
        <w:rPr>
          <w:rFonts w:ascii="Times New Roman" w:hAnsi="Times New Roman"/>
          <w:color w:val="000000"/>
          <w:sz w:val="22"/>
          <w:szCs w:val="22"/>
        </w:rPr>
        <w:t xml:space="preserve"> </w:t>
      </w:r>
      <w:proofErr w:type="spellStart"/>
      <w:r w:rsidRPr="00E16672">
        <w:rPr>
          <w:rFonts w:ascii="Times New Roman" w:hAnsi="Times New Roman"/>
          <w:color w:val="000000"/>
          <w:sz w:val="22"/>
          <w:szCs w:val="22"/>
        </w:rPr>
        <w:t>власників</w:t>
      </w:r>
      <w:proofErr w:type="spellEnd"/>
      <w:r w:rsidRPr="00E16672">
        <w:rPr>
          <w:rFonts w:ascii="Times New Roman" w:hAnsi="Times New Roman"/>
          <w:color w:val="000000"/>
          <w:sz w:val="22"/>
          <w:szCs w:val="22"/>
        </w:rPr>
        <w:t xml:space="preserve"> </w:t>
      </w:r>
      <w:proofErr w:type="spellStart"/>
      <w:r w:rsidRPr="00E16672">
        <w:rPr>
          <w:rFonts w:ascii="Times New Roman" w:hAnsi="Times New Roman"/>
          <w:color w:val="000000"/>
          <w:sz w:val="22"/>
          <w:szCs w:val="22"/>
        </w:rPr>
        <w:t>іменних</w:t>
      </w:r>
      <w:proofErr w:type="spellEnd"/>
      <w:r w:rsidRPr="00E16672">
        <w:rPr>
          <w:rFonts w:ascii="Times New Roman" w:hAnsi="Times New Roman"/>
          <w:color w:val="000000"/>
          <w:sz w:val="22"/>
          <w:szCs w:val="22"/>
        </w:rPr>
        <w:t xml:space="preserve"> </w:t>
      </w:r>
      <w:proofErr w:type="spellStart"/>
      <w:r w:rsidRPr="00E16672">
        <w:rPr>
          <w:rFonts w:ascii="Times New Roman" w:hAnsi="Times New Roman"/>
          <w:color w:val="000000"/>
          <w:sz w:val="22"/>
          <w:szCs w:val="22"/>
        </w:rPr>
        <w:t>цінних</w:t>
      </w:r>
      <w:proofErr w:type="spellEnd"/>
      <w:r w:rsidRPr="00E16672">
        <w:rPr>
          <w:rFonts w:ascii="Times New Roman" w:hAnsi="Times New Roman"/>
          <w:color w:val="000000"/>
          <w:sz w:val="22"/>
          <w:szCs w:val="22"/>
        </w:rPr>
        <w:t xml:space="preserve"> </w:t>
      </w:r>
      <w:proofErr w:type="spellStart"/>
      <w:r w:rsidRPr="00E16672">
        <w:rPr>
          <w:rFonts w:ascii="Times New Roman" w:hAnsi="Times New Roman"/>
          <w:color w:val="000000"/>
          <w:sz w:val="22"/>
          <w:szCs w:val="22"/>
        </w:rPr>
        <w:t>паперів</w:t>
      </w:r>
      <w:proofErr w:type="spellEnd"/>
      <w:r w:rsidRPr="00E16672">
        <w:rPr>
          <w:rFonts w:ascii="Times New Roman" w:hAnsi="Times New Roman"/>
          <w:color w:val="000000"/>
          <w:sz w:val="22"/>
          <w:szCs w:val="22"/>
        </w:rPr>
        <w:t>/</w:t>
      </w:r>
      <w:proofErr w:type="spellStart"/>
      <w:r w:rsidRPr="00E16672">
        <w:rPr>
          <w:rFonts w:ascii="Times New Roman" w:hAnsi="Times New Roman"/>
          <w:color w:val="000000"/>
          <w:sz w:val="22"/>
          <w:szCs w:val="22"/>
        </w:rPr>
        <w:t>перелік</w:t>
      </w:r>
      <w:proofErr w:type="spellEnd"/>
      <w:r w:rsidRPr="00E16672">
        <w:rPr>
          <w:rFonts w:ascii="Times New Roman" w:hAnsi="Times New Roman"/>
          <w:color w:val="000000"/>
          <w:sz w:val="22"/>
          <w:szCs w:val="22"/>
        </w:rPr>
        <w:t xml:space="preserve"> </w:t>
      </w:r>
      <w:proofErr w:type="spellStart"/>
      <w:r w:rsidRPr="00E16672">
        <w:rPr>
          <w:rFonts w:ascii="Times New Roman" w:hAnsi="Times New Roman"/>
          <w:color w:val="000000"/>
          <w:sz w:val="22"/>
          <w:szCs w:val="22"/>
        </w:rPr>
        <w:t>передається</w:t>
      </w:r>
      <w:proofErr w:type="spellEnd"/>
      <w:r w:rsidRPr="00E16672">
        <w:rPr>
          <w:rFonts w:ascii="Times New Roman" w:hAnsi="Times New Roman"/>
          <w:color w:val="000000"/>
          <w:sz w:val="22"/>
          <w:szCs w:val="22"/>
        </w:rPr>
        <w:t xml:space="preserve"> </w:t>
      </w:r>
      <w:proofErr w:type="gramStart"/>
      <w:r w:rsidRPr="00E16672">
        <w:rPr>
          <w:rFonts w:ascii="Times New Roman" w:hAnsi="Times New Roman"/>
          <w:color w:val="000000"/>
          <w:sz w:val="22"/>
          <w:szCs w:val="22"/>
        </w:rPr>
        <w:t>на компакт-диску</w:t>
      </w:r>
      <w:proofErr w:type="gramEnd"/>
      <w:r w:rsidRPr="00E16672">
        <w:rPr>
          <w:rFonts w:ascii="Times New Roman" w:hAnsi="Times New Roman"/>
          <w:color w:val="000000"/>
          <w:sz w:val="22"/>
          <w:szCs w:val="22"/>
        </w:rPr>
        <w:t xml:space="preserve"> </w:t>
      </w:r>
      <w:proofErr w:type="spellStart"/>
      <w:r w:rsidRPr="00E16672">
        <w:rPr>
          <w:rFonts w:ascii="Times New Roman" w:hAnsi="Times New Roman"/>
          <w:color w:val="000000"/>
          <w:sz w:val="22"/>
          <w:szCs w:val="22"/>
        </w:rPr>
        <w:t>серійний</w:t>
      </w:r>
      <w:proofErr w:type="spellEnd"/>
      <w:r w:rsidRPr="00E16672">
        <w:rPr>
          <w:rFonts w:ascii="Times New Roman" w:hAnsi="Times New Roman"/>
          <w:color w:val="000000"/>
          <w:sz w:val="22"/>
          <w:szCs w:val="22"/>
        </w:rPr>
        <w:t xml:space="preserve"> номер: ______________________.</w:t>
      </w:r>
    </w:p>
    <w:p w14:paraId="1DD595C9" w14:textId="77777777" w:rsidR="005745AF" w:rsidRPr="00E16672" w:rsidRDefault="005745AF" w:rsidP="005745AF">
      <w:pPr>
        <w:rPr>
          <w:rFonts w:ascii="Times New Roman" w:hAnsi="Times New Roman"/>
          <w:color w:val="000000"/>
          <w:sz w:val="22"/>
          <w:szCs w:val="22"/>
        </w:rPr>
      </w:pPr>
    </w:p>
    <w:p w14:paraId="25DFFEF6" w14:textId="77777777" w:rsidR="005745AF" w:rsidRDefault="005745AF" w:rsidP="005745AF">
      <w:pPr>
        <w:rPr>
          <w:rFonts w:ascii="Times New Roman" w:hAnsi="Times New Roman"/>
          <w:color w:val="000000"/>
          <w:sz w:val="22"/>
          <w:szCs w:val="22"/>
          <w:lang w:val="uk-UA"/>
        </w:rPr>
      </w:pPr>
      <w:r w:rsidRPr="00E16672">
        <w:rPr>
          <w:rFonts w:ascii="Times New Roman" w:hAnsi="Times New Roman"/>
          <w:color w:val="000000"/>
          <w:sz w:val="22"/>
          <w:szCs w:val="22"/>
        </w:rPr>
        <w:t xml:space="preserve">По </w:t>
      </w:r>
      <w:proofErr w:type="spellStart"/>
      <w:r w:rsidRPr="00E16672">
        <w:rPr>
          <w:rFonts w:ascii="Times New Roman" w:hAnsi="Times New Roman"/>
          <w:color w:val="000000"/>
          <w:sz w:val="22"/>
          <w:szCs w:val="22"/>
        </w:rPr>
        <w:t>привілейованих</w:t>
      </w:r>
      <w:proofErr w:type="spellEnd"/>
      <w:r w:rsidRPr="00E16672">
        <w:rPr>
          <w:rFonts w:ascii="Times New Roman" w:hAnsi="Times New Roman"/>
          <w:color w:val="000000"/>
          <w:sz w:val="22"/>
          <w:szCs w:val="22"/>
        </w:rPr>
        <w:t xml:space="preserve"> </w:t>
      </w:r>
      <w:proofErr w:type="spellStart"/>
      <w:r w:rsidRPr="00E16672">
        <w:rPr>
          <w:rFonts w:ascii="Times New Roman" w:hAnsi="Times New Roman"/>
          <w:color w:val="000000"/>
          <w:sz w:val="22"/>
          <w:szCs w:val="22"/>
        </w:rPr>
        <w:t>іменних</w:t>
      </w:r>
      <w:proofErr w:type="spellEnd"/>
      <w:r w:rsidRPr="00E16672">
        <w:rPr>
          <w:rFonts w:ascii="Times New Roman" w:hAnsi="Times New Roman"/>
          <w:color w:val="000000"/>
          <w:sz w:val="22"/>
          <w:szCs w:val="22"/>
        </w:rPr>
        <w:t xml:space="preserve"> </w:t>
      </w:r>
      <w:proofErr w:type="spellStart"/>
      <w:r w:rsidRPr="00E16672">
        <w:rPr>
          <w:rFonts w:ascii="Times New Roman" w:hAnsi="Times New Roman"/>
          <w:color w:val="000000"/>
          <w:sz w:val="22"/>
          <w:szCs w:val="22"/>
        </w:rPr>
        <w:t>акціях</w:t>
      </w:r>
      <w:proofErr w:type="spellEnd"/>
      <w:r w:rsidRPr="00E16672">
        <w:rPr>
          <w:rFonts w:ascii="Times New Roman" w:hAnsi="Times New Roman"/>
          <w:color w:val="000000"/>
          <w:sz w:val="22"/>
          <w:szCs w:val="22"/>
        </w:rPr>
        <w:t>:</w:t>
      </w:r>
    </w:p>
    <w:p w14:paraId="1D44ED06" w14:textId="77777777" w:rsidR="00C403D0" w:rsidRDefault="00C403D0" w:rsidP="005745AF">
      <w:pPr>
        <w:rPr>
          <w:rFonts w:ascii="Times New Roman" w:hAnsi="Times New Roman"/>
          <w:color w:val="000000"/>
          <w:sz w:val="22"/>
          <w:szCs w:val="22"/>
          <w:lang w:val="uk-UA"/>
        </w:rPr>
      </w:pPr>
    </w:p>
    <w:tbl>
      <w:tblPr>
        <w:tblStyle w:val="aff8"/>
        <w:tblW w:w="0" w:type="auto"/>
        <w:tblLook w:val="04A0" w:firstRow="1" w:lastRow="0" w:firstColumn="1" w:lastColumn="0" w:noHBand="0" w:noVBand="1"/>
      </w:tblPr>
      <w:tblGrid>
        <w:gridCol w:w="817"/>
        <w:gridCol w:w="4961"/>
        <w:gridCol w:w="2268"/>
        <w:gridCol w:w="3095"/>
      </w:tblGrid>
      <w:tr w:rsidR="00C403D0" w:rsidRPr="00C403D0" w14:paraId="0731412D" w14:textId="77777777" w:rsidTr="00C403D0">
        <w:tc>
          <w:tcPr>
            <w:tcW w:w="817" w:type="dxa"/>
          </w:tcPr>
          <w:p w14:paraId="7845C7DB" w14:textId="77777777" w:rsidR="00C403D0" w:rsidRPr="00C403D0" w:rsidRDefault="00C403D0" w:rsidP="00C403D0">
            <w:pPr>
              <w:ind w:firstLine="0"/>
              <w:jc w:val="center"/>
              <w:rPr>
                <w:rFonts w:ascii="Times New Roman" w:hAnsi="Times New Roman"/>
                <w:b/>
                <w:color w:val="000000"/>
                <w:sz w:val="22"/>
                <w:szCs w:val="22"/>
                <w:lang w:val="uk-UA"/>
              </w:rPr>
            </w:pPr>
            <w:r w:rsidRPr="00C403D0">
              <w:rPr>
                <w:rFonts w:ascii="Times New Roman" w:hAnsi="Times New Roman"/>
                <w:b/>
                <w:color w:val="000000"/>
                <w:sz w:val="22"/>
                <w:szCs w:val="22"/>
                <w:lang w:val="uk-UA"/>
              </w:rPr>
              <w:t>№ з/п</w:t>
            </w:r>
          </w:p>
        </w:tc>
        <w:tc>
          <w:tcPr>
            <w:tcW w:w="4961" w:type="dxa"/>
          </w:tcPr>
          <w:p w14:paraId="2811241B" w14:textId="77777777" w:rsidR="00C403D0" w:rsidRPr="00C403D0" w:rsidRDefault="00C403D0" w:rsidP="00C403D0">
            <w:pPr>
              <w:ind w:firstLine="0"/>
              <w:jc w:val="center"/>
              <w:rPr>
                <w:rFonts w:ascii="Times New Roman" w:hAnsi="Times New Roman"/>
                <w:b/>
                <w:color w:val="000000"/>
                <w:sz w:val="22"/>
                <w:szCs w:val="22"/>
                <w:lang w:val="uk-UA"/>
              </w:rPr>
            </w:pPr>
            <w:r w:rsidRPr="00C403D0">
              <w:rPr>
                <w:rFonts w:ascii="Times New Roman" w:hAnsi="Times New Roman"/>
                <w:b/>
                <w:color w:val="000000"/>
                <w:sz w:val="22"/>
                <w:szCs w:val="22"/>
                <w:lang w:val="uk-UA"/>
              </w:rPr>
              <w:t>Назва файлу</w:t>
            </w:r>
          </w:p>
        </w:tc>
        <w:tc>
          <w:tcPr>
            <w:tcW w:w="2268" w:type="dxa"/>
          </w:tcPr>
          <w:p w14:paraId="34A2E9EA" w14:textId="77777777" w:rsidR="00C403D0" w:rsidRPr="00C403D0" w:rsidRDefault="00C403D0" w:rsidP="00C403D0">
            <w:pPr>
              <w:ind w:firstLine="0"/>
              <w:jc w:val="center"/>
              <w:rPr>
                <w:rFonts w:ascii="Times New Roman" w:hAnsi="Times New Roman"/>
                <w:b/>
                <w:color w:val="000000"/>
                <w:sz w:val="22"/>
                <w:szCs w:val="22"/>
                <w:lang w:val="uk-UA"/>
              </w:rPr>
            </w:pPr>
            <w:proofErr w:type="spellStart"/>
            <w:r w:rsidRPr="00C403D0">
              <w:rPr>
                <w:rFonts w:ascii="Times New Roman" w:hAnsi="Times New Roman"/>
                <w:b/>
                <w:color w:val="000000"/>
                <w:sz w:val="22"/>
                <w:szCs w:val="22"/>
              </w:rPr>
              <w:t>Розмір</w:t>
            </w:r>
            <w:proofErr w:type="spellEnd"/>
            <w:r w:rsidRPr="00C403D0">
              <w:rPr>
                <w:rFonts w:ascii="Times New Roman" w:hAnsi="Times New Roman"/>
                <w:b/>
                <w:color w:val="000000"/>
                <w:sz w:val="22"/>
                <w:szCs w:val="22"/>
              </w:rPr>
              <w:t xml:space="preserve"> файлу</w:t>
            </w:r>
          </w:p>
        </w:tc>
        <w:tc>
          <w:tcPr>
            <w:tcW w:w="3095" w:type="dxa"/>
          </w:tcPr>
          <w:p w14:paraId="68F48222" w14:textId="77777777" w:rsidR="00C403D0" w:rsidRPr="00C403D0" w:rsidRDefault="00C403D0" w:rsidP="00C403D0">
            <w:pPr>
              <w:ind w:firstLine="0"/>
              <w:jc w:val="center"/>
              <w:rPr>
                <w:rFonts w:ascii="Times New Roman" w:hAnsi="Times New Roman"/>
                <w:b/>
                <w:color w:val="000000"/>
                <w:sz w:val="22"/>
                <w:szCs w:val="22"/>
                <w:lang w:val="uk-UA"/>
              </w:rPr>
            </w:pPr>
            <w:r w:rsidRPr="00C403D0">
              <w:rPr>
                <w:rFonts w:ascii="Times New Roman" w:hAnsi="Times New Roman"/>
                <w:b/>
                <w:color w:val="000000"/>
                <w:sz w:val="22"/>
                <w:szCs w:val="22"/>
              </w:rPr>
              <w:t xml:space="preserve">Дата та час </w:t>
            </w:r>
            <w:proofErr w:type="spellStart"/>
            <w:r w:rsidRPr="00C403D0">
              <w:rPr>
                <w:rFonts w:ascii="Times New Roman" w:hAnsi="Times New Roman"/>
                <w:b/>
                <w:color w:val="000000"/>
                <w:sz w:val="22"/>
                <w:szCs w:val="22"/>
              </w:rPr>
              <w:t>модифікації</w:t>
            </w:r>
            <w:proofErr w:type="spellEnd"/>
          </w:p>
        </w:tc>
      </w:tr>
      <w:tr w:rsidR="00C403D0" w:rsidRPr="00C403D0" w14:paraId="4C7D082C" w14:textId="77777777" w:rsidTr="00C403D0">
        <w:tc>
          <w:tcPr>
            <w:tcW w:w="817" w:type="dxa"/>
            <w:shd w:val="clear" w:color="auto" w:fill="F2F2F2" w:themeFill="background1" w:themeFillShade="F2"/>
            <w:vAlign w:val="center"/>
          </w:tcPr>
          <w:p w14:paraId="079E0144" w14:textId="77777777" w:rsidR="00C403D0" w:rsidRPr="00C403D0" w:rsidRDefault="00C403D0" w:rsidP="00C403D0">
            <w:pPr>
              <w:ind w:firstLine="0"/>
              <w:jc w:val="center"/>
              <w:rPr>
                <w:rFonts w:ascii="Times New Roman" w:hAnsi="Times New Roman"/>
                <w:b/>
                <w:i/>
                <w:color w:val="000000"/>
                <w:sz w:val="12"/>
                <w:szCs w:val="12"/>
                <w:lang w:val="uk-UA"/>
              </w:rPr>
            </w:pPr>
            <w:r w:rsidRPr="00C403D0">
              <w:rPr>
                <w:rFonts w:ascii="Times New Roman" w:hAnsi="Times New Roman"/>
                <w:b/>
                <w:i/>
                <w:color w:val="000000"/>
                <w:sz w:val="12"/>
                <w:szCs w:val="12"/>
                <w:lang w:val="uk-UA"/>
              </w:rPr>
              <w:t>1</w:t>
            </w:r>
          </w:p>
        </w:tc>
        <w:tc>
          <w:tcPr>
            <w:tcW w:w="4961" w:type="dxa"/>
            <w:shd w:val="clear" w:color="auto" w:fill="F2F2F2" w:themeFill="background1" w:themeFillShade="F2"/>
            <w:vAlign w:val="center"/>
          </w:tcPr>
          <w:p w14:paraId="53A33DBB" w14:textId="77777777" w:rsidR="00C403D0" w:rsidRPr="00C403D0" w:rsidRDefault="00C403D0" w:rsidP="00C403D0">
            <w:pPr>
              <w:ind w:firstLine="0"/>
              <w:jc w:val="center"/>
              <w:rPr>
                <w:rFonts w:ascii="Times New Roman" w:hAnsi="Times New Roman"/>
                <w:b/>
                <w:i/>
                <w:color w:val="000000"/>
                <w:sz w:val="12"/>
                <w:szCs w:val="12"/>
                <w:lang w:val="uk-UA"/>
              </w:rPr>
            </w:pPr>
            <w:r w:rsidRPr="00C403D0">
              <w:rPr>
                <w:rFonts w:ascii="Times New Roman" w:hAnsi="Times New Roman"/>
                <w:b/>
                <w:i/>
                <w:color w:val="000000"/>
                <w:sz w:val="12"/>
                <w:szCs w:val="12"/>
                <w:lang w:val="uk-UA"/>
              </w:rPr>
              <w:t>2</w:t>
            </w:r>
          </w:p>
        </w:tc>
        <w:tc>
          <w:tcPr>
            <w:tcW w:w="2268" w:type="dxa"/>
            <w:shd w:val="clear" w:color="auto" w:fill="F2F2F2" w:themeFill="background1" w:themeFillShade="F2"/>
            <w:vAlign w:val="center"/>
          </w:tcPr>
          <w:p w14:paraId="38841955" w14:textId="77777777" w:rsidR="00C403D0" w:rsidRPr="00C403D0" w:rsidRDefault="00C403D0" w:rsidP="00C403D0">
            <w:pPr>
              <w:ind w:firstLine="0"/>
              <w:jc w:val="center"/>
              <w:rPr>
                <w:rFonts w:ascii="Times New Roman" w:hAnsi="Times New Roman"/>
                <w:b/>
                <w:i/>
                <w:color w:val="000000"/>
                <w:sz w:val="12"/>
                <w:szCs w:val="12"/>
                <w:lang w:val="uk-UA"/>
              </w:rPr>
            </w:pPr>
            <w:r w:rsidRPr="00C403D0">
              <w:rPr>
                <w:rFonts w:ascii="Times New Roman" w:hAnsi="Times New Roman"/>
                <w:b/>
                <w:i/>
                <w:color w:val="000000"/>
                <w:sz w:val="12"/>
                <w:szCs w:val="12"/>
                <w:lang w:val="uk-UA"/>
              </w:rPr>
              <w:t>3</w:t>
            </w:r>
          </w:p>
        </w:tc>
        <w:tc>
          <w:tcPr>
            <w:tcW w:w="3095" w:type="dxa"/>
            <w:shd w:val="clear" w:color="auto" w:fill="F2F2F2" w:themeFill="background1" w:themeFillShade="F2"/>
            <w:vAlign w:val="center"/>
          </w:tcPr>
          <w:p w14:paraId="3ECCA905" w14:textId="77777777" w:rsidR="00C403D0" w:rsidRPr="00C403D0" w:rsidRDefault="00C403D0" w:rsidP="00C403D0">
            <w:pPr>
              <w:ind w:firstLine="0"/>
              <w:jc w:val="center"/>
              <w:rPr>
                <w:rFonts w:ascii="Times New Roman" w:hAnsi="Times New Roman"/>
                <w:b/>
                <w:i/>
                <w:color w:val="000000"/>
                <w:sz w:val="12"/>
                <w:szCs w:val="12"/>
                <w:lang w:val="uk-UA"/>
              </w:rPr>
            </w:pPr>
            <w:r w:rsidRPr="00C403D0">
              <w:rPr>
                <w:rFonts w:ascii="Times New Roman" w:hAnsi="Times New Roman"/>
                <w:b/>
                <w:i/>
                <w:color w:val="000000"/>
                <w:sz w:val="12"/>
                <w:szCs w:val="12"/>
                <w:lang w:val="uk-UA"/>
              </w:rPr>
              <w:t>4</w:t>
            </w:r>
          </w:p>
        </w:tc>
      </w:tr>
      <w:tr w:rsidR="00C403D0" w14:paraId="7602AC7A" w14:textId="77777777" w:rsidTr="00C403D0">
        <w:tc>
          <w:tcPr>
            <w:tcW w:w="817" w:type="dxa"/>
          </w:tcPr>
          <w:p w14:paraId="73AF5447" w14:textId="77777777" w:rsidR="00C403D0" w:rsidRDefault="00C403D0" w:rsidP="005745AF">
            <w:pPr>
              <w:ind w:firstLine="0"/>
              <w:rPr>
                <w:rFonts w:ascii="Times New Roman" w:hAnsi="Times New Roman"/>
                <w:color w:val="000000"/>
                <w:sz w:val="22"/>
                <w:szCs w:val="22"/>
                <w:lang w:val="uk-UA"/>
              </w:rPr>
            </w:pPr>
          </w:p>
        </w:tc>
        <w:tc>
          <w:tcPr>
            <w:tcW w:w="4961" w:type="dxa"/>
          </w:tcPr>
          <w:p w14:paraId="28410EE5" w14:textId="77777777" w:rsidR="00C403D0" w:rsidRDefault="00C403D0" w:rsidP="005745AF">
            <w:pPr>
              <w:ind w:firstLine="0"/>
              <w:rPr>
                <w:rFonts w:ascii="Times New Roman" w:hAnsi="Times New Roman"/>
                <w:color w:val="000000"/>
                <w:sz w:val="22"/>
                <w:szCs w:val="22"/>
                <w:lang w:val="uk-UA"/>
              </w:rPr>
            </w:pPr>
          </w:p>
        </w:tc>
        <w:tc>
          <w:tcPr>
            <w:tcW w:w="2268" w:type="dxa"/>
          </w:tcPr>
          <w:p w14:paraId="62E53EA2" w14:textId="77777777" w:rsidR="00C403D0" w:rsidRDefault="00C403D0" w:rsidP="005745AF">
            <w:pPr>
              <w:ind w:firstLine="0"/>
              <w:rPr>
                <w:rFonts w:ascii="Times New Roman" w:hAnsi="Times New Roman"/>
                <w:color w:val="000000"/>
                <w:sz w:val="22"/>
                <w:szCs w:val="22"/>
                <w:lang w:val="uk-UA"/>
              </w:rPr>
            </w:pPr>
          </w:p>
          <w:p w14:paraId="0FA0A5B8" w14:textId="77777777" w:rsidR="00C403D0" w:rsidRDefault="00C403D0" w:rsidP="005745AF">
            <w:pPr>
              <w:ind w:firstLine="0"/>
              <w:rPr>
                <w:rFonts w:ascii="Times New Roman" w:hAnsi="Times New Roman"/>
                <w:color w:val="000000"/>
                <w:sz w:val="22"/>
                <w:szCs w:val="22"/>
                <w:lang w:val="uk-UA"/>
              </w:rPr>
            </w:pPr>
            <w:proofErr w:type="spellStart"/>
            <w:r w:rsidRPr="00E16672">
              <w:rPr>
                <w:rFonts w:ascii="Times New Roman" w:hAnsi="Times New Roman"/>
                <w:color w:val="000000"/>
                <w:sz w:val="22"/>
                <w:szCs w:val="22"/>
              </w:rPr>
              <w:t>kB</w:t>
            </w:r>
            <w:proofErr w:type="spellEnd"/>
          </w:p>
          <w:p w14:paraId="210247A8" w14:textId="77777777" w:rsidR="00C403D0" w:rsidRPr="00C403D0" w:rsidRDefault="00C403D0" w:rsidP="005745AF">
            <w:pPr>
              <w:ind w:firstLine="0"/>
              <w:rPr>
                <w:rFonts w:ascii="Times New Roman" w:hAnsi="Times New Roman"/>
                <w:color w:val="000000"/>
                <w:sz w:val="22"/>
                <w:szCs w:val="22"/>
                <w:lang w:val="uk-UA"/>
              </w:rPr>
            </w:pPr>
          </w:p>
        </w:tc>
        <w:tc>
          <w:tcPr>
            <w:tcW w:w="3095" w:type="dxa"/>
          </w:tcPr>
          <w:p w14:paraId="6F83BA44" w14:textId="77777777" w:rsidR="00C403D0" w:rsidRDefault="00C403D0" w:rsidP="005745AF">
            <w:pPr>
              <w:ind w:firstLine="0"/>
              <w:rPr>
                <w:rFonts w:ascii="Times New Roman" w:hAnsi="Times New Roman"/>
                <w:color w:val="000000"/>
                <w:sz w:val="22"/>
                <w:szCs w:val="22"/>
                <w:lang w:val="uk-UA"/>
              </w:rPr>
            </w:pPr>
          </w:p>
          <w:p w14:paraId="2B8DB26C" w14:textId="77777777" w:rsidR="00C403D0" w:rsidRDefault="00C403D0" w:rsidP="005745AF">
            <w:pPr>
              <w:ind w:firstLine="0"/>
              <w:rPr>
                <w:rFonts w:ascii="Times New Roman" w:hAnsi="Times New Roman"/>
                <w:color w:val="000000"/>
                <w:sz w:val="22"/>
                <w:szCs w:val="22"/>
                <w:lang w:val="uk-UA"/>
              </w:rPr>
            </w:pPr>
            <w:r w:rsidRPr="00E16672">
              <w:rPr>
                <w:rFonts w:ascii="Times New Roman" w:hAnsi="Times New Roman"/>
                <w:color w:val="000000"/>
                <w:sz w:val="22"/>
                <w:szCs w:val="22"/>
              </w:rPr>
              <w:t xml:space="preserve">__/_____/20___ год. </w:t>
            </w:r>
            <w:proofErr w:type="spellStart"/>
            <w:r w:rsidRPr="00E16672">
              <w:rPr>
                <w:rFonts w:ascii="Times New Roman" w:hAnsi="Times New Roman"/>
                <w:color w:val="000000"/>
                <w:sz w:val="22"/>
                <w:szCs w:val="22"/>
              </w:rPr>
              <w:t>хв</w:t>
            </w:r>
            <w:proofErr w:type="spellEnd"/>
            <w:r w:rsidRPr="00E16672">
              <w:rPr>
                <w:rFonts w:ascii="Times New Roman" w:hAnsi="Times New Roman"/>
                <w:color w:val="000000"/>
                <w:sz w:val="22"/>
                <w:szCs w:val="22"/>
              </w:rPr>
              <w:t>.</w:t>
            </w:r>
          </w:p>
        </w:tc>
      </w:tr>
    </w:tbl>
    <w:p w14:paraId="5F9FBCF4" w14:textId="77777777" w:rsidR="00C403D0" w:rsidRDefault="00C403D0" w:rsidP="005745AF">
      <w:pPr>
        <w:rPr>
          <w:rFonts w:ascii="Times New Roman" w:hAnsi="Times New Roman"/>
          <w:color w:val="000000"/>
          <w:sz w:val="22"/>
          <w:szCs w:val="22"/>
          <w:lang w:val="uk-UA"/>
        </w:rPr>
      </w:pPr>
    </w:p>
    <w:p w14:paraId="0E20C791" w14:textId="77777777" w:rsidR="005745AF" w:rsidRDefault="005745AF" w:rsidP="005745AF">
      <w:pPr>
        <w:rPr>
          <w:rFonts w:ascii="Times New Roman" w:hAnsi="Times New Roman"/>
          <w:color w:val="000000"/>
          <w:sz w:val="22"/>
          <w:szCs w:val="22"/>
          <w:lang w:val="uk-UA"/>
        </w:rPr>
      </w:pPr>
      <w:r w:rsidRPr="00E16672">
        <w:rPr>
          <w:rFonts w:ascii="Times New Roman" w:hAnsi="Times New Roman"/>
          <w:color w:val="000000"/>
          <w:sz w:val="22"/>
          <w:szCs w:val="22"/>
        </w:rPr>
        <w:t xml:space="preserve">По </w:t>
      </w:r>
      <w:proofErr w:type="spellStart"/>
      <w:r w:rsidRPr="00E16672">
        <w:rPr>
          <w:rFonts w:ascii="Times New Roman" w:hAnsi="Times New Roman"/>
          <w:color w:val="000000"/>
          <w:sz w:val="22"/>
          <w:szCs w:val="22"/>
        </w:rPr>
        <w:t>простих</w:t>
      </w:r>
      <w:proofErr w:type="spellEnd"/>
      <w:r w:rsidRPr="00E16672">
        <w:rPr>
          <w:rFonts w:ascii="Times New Roman" w:hAnsi="Times New Roman"/>
          <w:color w:val="000000"/>
          <w:sz w:val="22"/>
          <w:szCs w:val="22"/>
        </w:rPr>
        <w:t xml:space="preserve"> </w:t>
      </w:r>
      <w:proofErr w:type="spellStart"/>
      <w:r w:rsidRPr="00E16672">
        <w:rPr>
          <w:rFonts w:ascii="Times New Roman" w:hAnsi="Times New Roman"/>
          <w:color w:val="000000"/>
          <w:sz w:val="22"/>
          <w:szCs w:val="22"/>
        </w:rPr>
        <w:t>іменних</w:t>
      </w:r>
      <w:proofErr w:type="spellEnd"/>
      <w:r w:rsidRPr="00E16672">
        <w:rPr>
          <w:rFonts w:ascii="Times New Roman" w:hAnsi="Times New Roman"/>
          <w:color w:val="000000"/>
          <w:sz w:val="22"/>
          <w:szCs w:val="22"/>
        </w:rPr>
        <w:t xml:space="preserve"> </w:t>
      </w:r>
      <w:proofErr w:type="spellStart"/>
      <w:r w:rsidRPr="00E16672">
        <w:rPr>
          <w:rFonts w:ascii="Times New Roman" w:hAnsi="Times New Roman"/>
          <w:color w:val="000000"/>
          <w:sz w:val="22"/>
          <w:szCs w:val="22"/>
        </w:rPr>
        <w:t>акціях</w:t>
      </w:r>
      <w:proofErr w:type="spellEnd"/>
      <w:r w:rsidRPr="00E16672">
        <w:rPr>
          <w:rFonts w:ascii="Times New Roman" w:hAnsi="Times New Roman"/>
          <w:color w:val="000000"/>
          <w:sz w:val="22"/>
          <w:szCs w:val="22"/>
        </w:rPr>
        <w:t>:</w:t>
      </w:r>
    </w:p>
    <w:p w14:paraId="1A94C0DF" w14:textId="77777777" w:rsidR="00C403D0" w:rsidRDefault="00C403D0" w:rsidP="005745AF">
      <w:pPr>
        <w:rPr>
          <w:rFonts w:ascii="Times New Roman" w:hAnsi="Times New Roman"/>
          <w:color w:val="000000"/>
          <w:sz w:val="22"/>
          <w:szCs w:val="22"/>
          <w:lang w:val="uk-UA"/>
        </w:rPr>
      </w:pPr>
    </w:p>
    <w:tbl>
      <w:tblPr>
        <w:tblStyle w:val="aff8"/>
        <w:tblW w:w="0" w:type="auto"/>
        <w:tblLook w:val="04A0" w:firstRow="1" w:lastRow="0" w:firstColumn="1" w:lastColumn="0" w:noHBand="0" w:noVBand="1"/>
      </w:tblPr>
      <w:tblGrid>
        <w:gridCol w:w="817"/>
        <w:gridCol w:w="4961"/>
        <w:gridCol w:w="2268"/>
        <w:gridCol w:w="3095"/>
      </w:tblGrid>
      <w:tr w:rsidR="00C403D0" w:rsidRPr="00C403D0" w14:paraId="11AAED7A" w14:textId="77777777" w:rsidTr="0002692F">
        <w:tc>
          <w:tcPr>
            <w:tcW w:w="817" w:type="dxa"/>
          </w:tcPr>
          <w:p w14:paraId="57B7F185" w14:textId="77777777" w:rsidR="00C403D0" w:rsidRPr="00C403D0" w:rsidRDefault="00C403D0" w:rsidP="00C403D0">
            <w:pPr>
              <w:ind w:firstLine="0"/>
              <w:jc w:val="center"/>
              <w:rPr>
                <w:rFonts w:ascii="Times New Roman" w:hAnsi="Times New Roman"/>
                <w:b/>
                <w:color w:val="000000"/>
                <w:sz w:val="22"/>
                <w:szCs w:val="22"/>
                <w:lang w:val="uk-UA"/>
              </w:rPr>
            </w:pPr>
            <w:r w:rsidRPr="00C403D0">
              <w:rPr>
                <w:rFonts w:ascii="Times New Roman" w:hAnsi="Times New Roman"/>
                <w:b/>
                <w:color w:val="000000"/>
                <w:sz w:val="22"/>
                <w:szCs w:val="22"/>
                <w:lang w:val="uk-UA"/>
              </w:rPr>
              <w:t>№ з/п</w:t>
            </w:r>
          </w:p>
        </w:tc>
        <w:tc>
          <w:tcPr>
            <w:tcW w:w="4961" w:type="dxa"/>
          </w:tcPr>
          <w:p w14:paraId="46B9523C" w14:textId="77777777" w:rsidR="00C403D0" w:rsidRPr="00C403D0" w:rsidRDefault="00C403D0" w:rsidP="00C403D0">
            <w:pPr>
              <w:ind w:firstLine="0"/>
              <w:jc w:val="center"/>
              <w:rPr>
                <w:rFonts w:ascii="Times New Roman" w:hAnsi="Times New Roman"/>
                <w:b/>
                <w:color w:val="000000"/>
                <w:sz w:val="22"/>
                <w:szCs w:val="22"/>
                <w:lang w:val="uk-UA"/>
              </w:rPr>
            </w:pPr>
            <w:r w:rsidRPr="00C403D0">
              <w:rPr>
                <w:rFonts w:ascii="Times New Roman" w:hAnsi="Times New Roman"/>
                <w:b/>
                <w:color w:val="000000"/>
                <w:sz w:val="22"/>
                <w:szCs w:val="22"/>
                <w:lang w:val="uk-UA"/>
              </w:rPr>
              <w:t>Назва файлу</w:t>
            </w:r>
          </w:p>
        </w:tc>
        <w:tc>
          <w:tcPr>
            <w:tcW w:w="2268" w:type="dxa"/>
          </w:tcPr>
          <w:p w14:paraId="4E94963F" w14:textId="77777777" w:rsidR="00C403D0" w:rsidRPr="00C403D0" w:rsidRDefault="00C403D0" w:rsidP="00C403D0">
            <w:pPr>
              <w:ind w:firstLine="0"/>
              <w:jc w:val="center"/>
              <w:rPr>
                <w:rFonts w:ascii="Times New Roman" w:hAnsi="Times New Roman"/>
                <w:b/>
                <w:color w:val="000000"/>
                <w:sz w:val="22"/>
                <w:szCs w:val="22"/>
                <w:lang w:val="uk-UA"/>
              </w:rPr>
            </w:pPr>
            <w:proofErr w:type="spellStart"/>
            <w:r w:rsidRPr="00C403D0">
              <w:rPr>
                <w:rFonts w:ascii="Times New Roman" w:hAnsi="Times New Roman"/>
                <w:b/>
                <w:color w:val="000000"/>
                <w:sz w:val="22"/>
                <w:szCs w:val="22"/>
              </w:rPr>
              <w:t>Розмір</w:t>
            </w:r>
            <w:proofErr w:type="spellEnd"/>
            <w:r w:rsidRPr="00C403D0">
              <w:rPr>
                <w:rFonts w:ascii="Times New Roman" w:hAnsi="Times New Roman"/>
                <w:b/>
                <w:color w:val="000000"/>
                <w:sz w:val="22"/>
                <w:szCs w:val="22"/>
              </w:rPr>
              <w:t xml:space="preserve"> файлу</w:t>
            </w:r>
          </w:p>
        </w:tc>
        <w:tc>
          <w:tcPr>
            <w:tcW w:w="3095" w:type="dxa"/>
          </w:tcPr>
          <w:p w14:paraId="3554CF8C" w14:textId="77777777" w:rsidR="00C403D0" w:rsidRPr="00C403D0" w:rsidRDefault="00C403D0" w:rsidP="00C403D0">
            <w:pPr>
              <w:ind w:firstLine="0"/>
              <w:jc w:val="center"/>
              <w:rPr>
                <w:rFonts w:ascii="Times New Roman" w:hAnsi="Times New Roman"/>
                <w:b/>
                <w:color w:val="000000"/>
                <w:sz w:val="22"/>
                <w:szCs w:val="22"/>
                <w:lang w:val="uk-UA"/>
              </w:rPr>
            </w:pPr>
            <w:r w:rsidRPr="00C403D0">
              <w:rPr>
                <w:rFonts w:ascii="Times New Roman" w:hAnsi="Times New Roman"/>
                <w:b/>
                <w:color w:val="000000"/>
                <w:sz w:val="22"/>
                <w:szCs w:val="22"/>
              </w:rPr>
              <w:t xml:space="preserve">Дата та час </w:t>
            </w:r>
            <w:proofErr w:type="spellStart"/>
            <w:r w:rsidRPr="00C403D0">
              <w:rPr>
                <w:rFonts w:ascii="Times New Roman" w:hAnsi="Times New Roman"/>
                <w:b/>
                <w:color w:val="000000"/>
                <w:sz w:val="22"/>
                <w:szCs w:val="22"/>
              </w:rPr>
              <w:t>модифікації</w:t>
            </w:r>
            <w:proofErr w:type="spellEnd"/>
          </w:p>
        </w:tc>
      </w:tr>
      <w:tr w:rsidR="00C403D0" w:rsidRPr="00C403D0" w14:paraId="0539D036" w14:textId="77777777" w:rsidTr="00C403D0">
        <w:tc>
          <w:tcPr>
            <w:tcW w:w="817" w:type="dxa"/>
            <w:shd w:val="clear" w:color="auto" w:fill="F2F2F2" w:themeFill="background1" w:themeFillShade="F2"/>
            <w:vAlign w:val="center"/>
          </w:tcPr>
          <w:p w14:paraId="65651CF6" w14:textId="77777777" w:rsidR="00C403D0" w:rsidRPr="00C403D0" w:rsidRDefault="00C403D0" w:rsidP="00C403D0">
            <w:pPr>
              <w:ind w:firstLine="0"/>
              <w:jc w:val="center"/>
              <w:rPr>
                <w:rFonts w:ascii="Times New Roman" w:hAnsi="Times New Roman"/>
                <w:b/>
                <w:i/>
                <w:color w:val="000000"/>
                <w:sz w:val="12"/>
                <w:szCs w:val="12"/>
                <w:lang w:val="uk-UA"/>
              </w:rPr>
            </w:pPr>
            <w:r w:rsidRPr="00C403D0">
              <w:rPr>
                <w:rFonts w:ascii="Times New Roman" w:hAnsi="Times New Roman"/>
                <w:b/>
                <w:i/>
                <w:color w:val="000000"/>
                <w:sz w:val="12"/>
                <w:szCs w:val="12"/>
                <w:lang w:val="uk-UA"/>
              </w:rPr>
              <w:t>1</w:t>
            </w:r>
          </w:p>
        </w:tc>
        <w:tc>
          <w:tcPr>
            <w:tcW w:w="4961" w:type="dxa"/>
            <w:shd w:val="clear" w:color="auto" w:fill="F2F2F2" w:themeFill="background1" w:themeFillShade="F2"/>
            <w:vAlign w:val="center"/>
          </w:tcPr>
          <w:p w14:paraId="7314F9AF" w14:textId="77777777" w:rsidR="00C403D0" w:rsidRPr="00C403D0" w:rsidRDefault="00C403D0" w:rsidP="00C403D0">
            <w:pPr>
              <w:ind w:firstLine="0"/>
              <w:jc w:val="center"/>
              <w:rPr>
                <w:rFonts w:ascii="Times New Roman" w:hAnsi="Times New Roman"/>
                <w:b/>
                <w:i/>
                <w:color w:val="000000"/>
                <w:sz w:val="12"/>
                <w:szCs w:val="12"/>
                <w:lang w:val="uk-UA"/>
              </w:rPr>
            </w:pPr>
            <w:r w:rsidRPr="00C403D0">
              <w:rPr>
                <w:rFonts w:ascii="Times New Roman" w:hAnsi="Times New Roman"/>
                <w:b/>
                <w:i/>
                <w:color w:val="000000"/>
                <w:sz w:val="12"/>
                <w:szCs w:val="12"/>
                <w:lang w:val="uk-UA"/>
              </w:rPr>
              <w:t>2</w:t>
            </w:r>
          </w:p>
        </w:tc>
        <w:tc>
          <w:tcPr>
            <w:tcW w:w="2268" w:type="dxa"/>
            <w:shd w:val="clear" w:color="auto" w:fill="F2F2F2" w:themeFill="background1" w:themeFillShade="F2"/>
            <w:vAlign w:val="center"/>
          </w:tcPr>
          <w:p w14:paraId="06BB9322" w14:textId="77777777" w:rsidR="00C403D0" w:rsidRPr="00C403D0" w:rsidRDefault="00C403D0" w:rsidP="00C403D0">
            <w:pPr>
              <w:ind w:firstLine="0"/>
              <w:jc w:val="center"/>
              <w:rPr>
                <w:rFonts w:ascii="Times New Roman" w:hAnsi="Times New Roman"/>
                <w:b/>
                <w:i/>
                <w:color w:val="000000"/>
                <w:sz w:val="12"/>
                <w:szCs w:val="12"/>
                <w:lang w:val="uk-UA"/>
              </w:rPr>
            </w:pPr>
            <w:r w:rsidRPr="00C403D0">
              <w:rPr>
                <w:rFonts w:ascii="Times New Roman" w:hAnsi="Times New Roman"/>
                <w:b/>
                <w:i/>
                <w:color w:val="000000"/>
                <w:sz w:val="12"/>
                <w:szCs w:val="12"/>
                <w:lang w:val="uk-UA"/>
              </w:rPr>
              <w:t>3</w:t>
            </w:r>
          </w:p>
        </w:tc>
        <w:tc>
          <w:tcPr>
            <w:tcW w:w="3095" w:type="dxa"/>
            <w:shd w:val="clear" w:color="auto" w:fill="F2F2F2" w:themeFill="background1" w:themeFillShade="F2"/>
            <w:vAlign w:val="center"/>
          </w:tcPr>
          <w:p w14:paraId="650829D5" w14:textId="77777777" w:rsidR="00C403D0" w:rsidRPr="00C403D0" w:rsidRDefault="00C403D0" w:rsidP="00C403D0">
            <w:pPr>
              <w:ind w:firstLine="0"/>
              <w:jc w:val="center"/>
              <w:rPr>
                <w:rFonts w:ascii="Times New Roman" w:hAnsi="Times New Roman"/>
                <w:b/>
                <w:i/>
                <w:color w:val="000000"/>
                <w:sz w:val="12"/>
                <w:szCs w:val="12"/>
                <w:lang w:val="uk-UA"/>
              </w:rPr>
            </w:pPr>
            <w:r w:rsidRPr="00C403D0">
              <w:rPr>
                <w:rFonts w:ascii="Times New Roman" w:hAnsi="Times New Roman"/>
                <w:b/>
                <w:i/>
                <w:color w:val="000000"/>
                <w:sz w:val="12"/>
                <w:szCs w:val="12"/>
                <w:lang w:val="uk-UA"/>
              </w:rPr>
              <w:t>4</w:t>
            </w:r>
          </w:p>
        </w:tc>
      </w:tr>
      <w:tr w:rsidR="00C403D0" w14:paraId="79D372DB" w14:textId="77777777" w:rsidTr="0002692F">
        <w:tc>
          <w:tcPr>
            <w:tcW w:w="817" w:type="dxa"/>
          </w:tcPr>
          <w:p w14:paraId="15F55673" w14:textId="77777777" w:rsidR="00C403D0" w:rsidRDefault="00C403D0" w:rsidP="0002692F">
            <w:pPr>
              <w:ind w:firstLine="0"/>
              <w:rPr>
                <w:rFonts w:ascii="Times New Roman" w:hAnsi="Times New Roman"/>
                <w:color w:val="000000"/>
                <w:sz w:val="22"/>
                <w:szCs w:val="22"/>
                <w:lang w:val="uk-UA"/>
              </w:rPr>
            </w:pPr>
          </w:p>
        </w:tc>
        <w:tc>
          <w:tcPr>
            <w:tcW w:w="4961" w:type="dxa"/>
          </w:tcPr>
          <w:p w14:paraId="0002416A" w14:textId="77777777" w:rsidR="00C403D0" w:rsidRDefault="00C403D0" w:rsidP="0002692F">
            <w:pPr>
              <w:ind w:firstLine="0"/>
              <w:rPr>
                <w:rFonts w:ascii="Times New Roman" w:hAnsi="Times New Roman"/>
                <w:color w:val="000000"/>
                <w:sz w:val="22"/>
                <w:szCs w:val="22"/>
                <w:lang w:val="uk-UA"/>
              </w:rPr>
            </w:pPr>
          </w:p>
        </w:tc>
        <w:tc>
          <w:tcPr>
            <w:tcW w:w="2268" w:type="dxa"/>
          </w:tcPr>
          <w:p w14:paraId="7194257E" w14:textId="77777777" w:rsidR="00C403D0" w:rsidRDefault="00C403D0" w:rsidP="0002692F">
            <w:pPr>
              <w:ind w:firstLine="0"/>
              <w:rPr>
                <w:rFonts w:ascii="Times New Roman" w:hAnsi="Times New Roman"/>
                <w:color w:val="000000"/>
                <w:sz w:val="22"/>
                <w:szCs w:val="22"/>
                <w:lang w:val="uk-UA"/>
              </w:rPr>
            </w:pPr>
          </w:p>
          <w:p w14:paraId="5B6F567F" w14:textId="77777777" w:rsidR="00C403D0" w:rsidRDefault="00C403D0" w:rsidP="0002692F">
            <w:pPr>
              <w:ind w:firstLine="0"/>
              <w:rPr>
                <w:rFonts w:ascii="Times New Roman" w:hAnsi="Times New Roman"/>
                <w:color w:val="000000"/>
                <w:sz w:val="22"/>
                <w:szCs w:val="22"/>
                <w:lang w:val="uk-UA"/>
              </w:rPr>
            </w:pPr>
            <w:proofErr w:type="spellStart"/>
            <w:r w:rsidRPr="00E16672">
              <w:rPr>
                <w:rFonts w:ascii="Times New Roman" w:hAnsi="Times New Roman"/>
                <w:color w:val="000000"/>
                <w:sz w:val="22"/>
                <w:szCs w:val="22"/>
              </w:rPr>
              <w:t>kB</w:t>
            </w:r>
            <w:proofErr w:type="spellEnd"/>
          </w:p>
          <w:p w14:paraId="59563A59" w14:textId="77777777" w:rsidR="00C403D0" w:rsidRPr="00C403D0" w:rsidRDefault="00C403D0" w:rsidP="0002692F">
            <w:pPr>
              <w:ind w:firstLine="0"/>
              <w:rPr>
                <w:rFonts w:ascii="Times New Roman" w:hAnsi="Times New Roman"/>
                <w:color w:val="000000"/>
                <w:sz w:val="22"/>
                <w:szCs w:val="22"/>
                <w:lang w:val="uk-UA"/>
              </w:rPr>
            </w:pPr>
          </w:p>
        </w:tc>
        <w:tc>
          <w:tcPr>
            <w:tcW w:w="3095" w:type="dxa"/>
          </w:tcPr>
          <w:p w14:paraId="5C095DF8" w14:textId="77777777" w:rsidR="00C403D0" w:rsidRDefault="00C403D0" w:rsidP="0002692F">
            <w:pPr>
              <w:ind w:firstLine="0"/>
              <w:rPr>
                <w:rFonts w:ascii="Times New Roman" w:hAnsi="Times New Roman"/>
                <w:color w:val="000000"/>
                <w:sz w:val="22"/>
                <w:szCs w:val="22"/>
                <w:lang w:val="uk-UA"/>
              </w:rPr>
            </w:pPr>
          </w:p>
          <w:p w14:paraId="6E66D3AC" w14:textId="77777777" w:rsidR="00C403D0" w:rsidRDefault="00C403D0" w:rsidP="0002692F">
            <w:pPr>
              <w:ind w:firstLine="0"/>
              <w:rPr>
                <w:rFonts w:ascii="Times New Roman" w:hAnsi="Times New Roman"/>
                <w:color w:val="000000"/>
                <w:sz w:val="22"/>
                <w:szCs w:val="22"/>
                <w:lang w:val="uk-UA"/>
              </w:rPr>
            </w:pPr>
            <w:r w:rsidRPr="00E16672">
              <w:rPr>
                <w:rFonts w:ascii="Times New Roman" w:hAnsi="Times New Roman"/>
                <w:color w:val="000000"/>
                <w:sz w:val="22"/>
                <w:szCs w:val="22"/>
              </w:rPr>
              <w:t xml:space="preserve">__/_____/20___ год. </w:t>
            </w:r>
            <w:proofErr w:type="spellStart"/>
            <w:r w:rsidRPr="00E16672">
              <w:rPr>
                <w:rFonts w:ascii="Times New Roman" w:hAnsi="Times New Roman"/>
                <w:color w:val="000000"/>
                <w:sz w:val="22"/>
                <w:szCs w:val="22"/>
              </w:rPr>
              <w:t>хв</w:t>
            </w:r>
            <w:proofErr w:type="spellEnd"/>
            <w:r w:rsidRPr="00E16672">
              <w:rPr>
                <w:rFonts w:ascii="Times New Roman" w:hAnsi="Times New Roman"/>
                <w:color w:val="000000"/>
                <w:sz w:val="22"/>
                <w:szCs w:val="22"/>
              </w:rPr>
              <w:t>.</w:t>
            </w:r>
          </w:p>
        </w:tc>
      </w:tr>
    </w:tbl>
    <w:p w14:paraId="3FEA21B0" w14:textId="77777777" w:rsidR="00C403D0" w:rsidRDefault="00C403D0" w:rsidP="005745AF">
      <w:pPr>
        <w:rPr>
          <w:rFonts w:ascii="Times New Roman" w:hAnsi="Times New Roman"/>
          <w:color w:val="000000"/>
          <w:sz w:val="22"/>
          <w:szCs w:val="22"/>
          <w:lang w:val="uk-UA"/>
        </w:rPr>
      </w:pPr>
    </w:p>
    <w:p w14:paraId="141B2698" w14:textId="77777777" w:rsidR="005745AF" w:rsidRPr="00E16672" w:rsidRDefault="005745AF" w:rsidP="005745AF">
      <w:pPr>
        <w:rPr>
          <w:rFonts w:ascii="Times New Roman" w:hAnsi="Times New Roman"/>
          <w:color w:val="000000"/>
          <w:sz w:val="22"/>
          <w:szCs w:val="22"/>
        </w:rPr>
      </w:pPr>
      <w:r w:rsidRPr="00E16672">
        <w:rPr>
          <w:rFonts w:ascii="Times New Roman" w:hAnsi="Times New Roman"/>
          <w:color w:val="000000"/>
          <w:sz w:val="22"/>
          <w:szCs w:val="22"/>
        </w:rPr>
        <w:t xml:space="preserve">Акт </w:t>
      </w:r>
      <w:proofErr w:type="spellStart"/>
      <w:r w:rsidRPr="00E16672">
        <w:rPr>
          <w:rFonts w:ascii="Times New Roman" w:hAnsi="Times New Roman"/>
          <w:color w:val="000000"/>
          <w:sz w:val="22"/>
          <w:szCs w:val="22"/>
        </w:rPr>
        <w:t>приймання-передавання</w:t>
      </w:r>
      <w:proofErr w:type="spellEnd"/>
      <w:r w:rsidRPr="00E16672">
        <w:rPr>
          <w:rFonts w:ascii="Times New Roman" w:hAnsi="Times New Roman"/>
          <w:color w:val="000000"/>
          <w:sz w:val="22"/>
          <w:szCs w:val="22"/>
        </w:rPr>
        <w:t xml:space="preserve"> </w:t>
      </w:r>
      <w:proofErr w:type="spellStart"/>
      <w:r w:rsidRPr="00E16672">
        <w:rPr>
          <w:rFonts w:ascii="Times New Roman" w:hAnsi="Times New Roman"/>
          <w:color w:val="000000"/>
          <w:sz w:val="22"/>
          <w:szCs w:val="22"/>
        </w:rPr>
        <w:t>складений</w:t>
      </w:r>
      <w:proofErr w:type="spellEnd"/>
      <w:r w:rsidRPr="00E16672">
        <w:rPr>
          <w:rFonts w:ascii="Times New Roman" w:hAnsi="Times New Roman"/>
          <w:color w:val="000000"/>
          <w:sz w:val="22"/>
          <w:szCs w:val="22"/>
        </w:rPr>
        <w:t xml:space="preserve"> на ______ (________) </w:t>
      </w:r>
      <w:proofErr w:type="spellStart"/>
      <w:r w:rsidRPr="00E16672">
        <w:rPr>
          <w:rFonts w:ascii="Times New Roman" w:hAnsi="Times New Roman"/>
          <w:color w:val="000000"/>
          <w:sz w:val="22"/>
          <w:szCs w:val="22"/>
        </w:rPr>
        <w:t>сторінках</w:t>
      </w:r>
      <w:proofErr w:type="spellEnd"/>
      <w:r w:rsidRPr="00E16672">
        <w:rPr>
          <w:rFonts w:ascii="Times New Roman" w:hAnsi="Times New Roman"/>
          <w:color w:val="000000"/>
          <w:sz w:val="22"/>
          <w:szCs w:val="22"/>
        </w:rPr>
        <w:t xml:space="preserve">, у </w:t>
      </w:r>
      <w:proofErr w:type="spellStart"/>
      <w:r w:rsidRPr="00E16672">
        <w:rPr>
          <w:rFonts w:ascii="Times New Roman" w:hAnsi="Times New Roman"/>
          <w:color w:val="000000"/>
          <w:sz w:val="22"/>
          <w:szCs w:val="22"/>
        </w:rPr>
        <w:t>двох</w:t>
      </w:r>
      <w:proofErr w:type="spellEnd"/>
      <w:r w:rsidRPr="00E16672">
        <w:rPr>
          <w:rFonts w:ascii="Times New Roman" w:hAnsi="Times New Roman"/>
          <w:color w:val="000000"/>
          <w:sz w:val="22"/>
          <w:szCs w:val="22"/>
        </w:rPr>
        <w:t xml:space="preserve"> </w:t>
      </w:r>
      <w:proofErr w:type="spellStart"/>
      <w:r w:rsidRPr="00E16672">
        <w:rPr>
          <w:rFonts w:ascii="Times New Roman" w:hAnsi="Times New Roman"/>
          <w:color w:val="000000"/>
          <w:sz w:val="22"/>
          <w:szCs w:val="22"/>
        </w:rPr>
        <w:t>примірниках</w:t>
      </w:r>
      <w:proofErr w:type="spellEnd"/>
      <w:r w:rsidRPr="00E16672">
        <w:rPr>
          <w:rFonts w:ascii="Times New Roman" w:hAnsi="Times New Roman"/>
          <w:color w:val="000000"/>
          <w:sz w:val="22"/>
          <w:szCs w:val="22"/>
        </w:rPr>
        <w:t xml:space="preserve">, </w:t>
      </w:r>
      <w:proofErr w:type="spellStart"/>
      <w:r w:rsidRPr="00E16672">
        <w:rPr>
          <w:rFonts w:ascii="Times New Roman" w:hAnsi="Times New Roman"/>
          <w:color w:val="000000"/>
          <w:sz w:val="22"/>
          <w:szCs w:val="22"/>
        </w:rPr>
        <w:t>які</w:t>
      </w:r>
      <w:proofErr w:type="spellEnd"/>
      <w:r w:rsidRPr="00E16672">
        <w:rPr>
          <w:rFonts w:ascii="Times New Roman" w:hAnsi="Times New Roman"/>
          <w:color w:val="000000"/>
          <w:sz w:val="22"/>
          <w:szCs w:val="22"/>
        </w:rPr>
        <w:t xml:space="preserve"> </w:t>
      </w:r>
      <w:proofErr w:type="spellStart"/>
      <w:r w:rsidRPr="00E16672">
        <w:rPr>
          <w:rFonts w:ascii="Times New Roman" w:hAnsi="Times New Roman"/>
          <w:color w:val="000000"/>
          <w:sz w:val="22"/>
          <w:szCs w:val="22"/>
        </w:rPr>
        <w:t>мають</w:t>
      </w:r>
      <w:proofErr w:type="spellEnd"/>
      <w:r w:rsidRPr="00E16672">
        <w:rPr>
          <w:rFonts w:ascii="Times New Roman" w:hAnsi="Times New Roman"/>
          <w:color w:val="000000"/>
          <w:sz w:val="22"/>
          <w:szCs w:val="22"/>
        </w:rPr>
        <w:t xml:space="preserve"> </w:t>
      </w:r>
      <w:proofErr w:type="spellStart"/>
      <w:r w:rsidRPr="00E16672">
        <w:rPr>
          <w:rFonts w:ascii="Times New Roman" w:hAnsi="Times New Roman"/>
          <w:color w:val="000000"/>
          <w:sz w:val="22"/>
          <w:szCs w:val="22"/>
        </w:rPr>
        <w:t>однакову</w:t>
      </w:r>
      <w:proofErr w:type="spellEnd"/>
      <w:r w:rsidRPr="00E16672">
        <w:rPr>
          <w:rFonts w:ascii="Times New Roman" w:hAnsi="Times New Roman"/>
          <w:color w:val="000000"/>
          <w:sz w:val="22"/>
          <w:szCs w:val="22"/>
        </w:rPr>
        <w:t xml:space="preserve"> </w:t>
      </w:r>
      <w:proofErr w:type="spellStart"/>
      <w:r w:rsidRPr="00E16672">
        <w:rPr>
          <w:rFonts w:ascii="Times New Roman" w:hAnsi="Times New Roman"/>
          <w:color w:val="000000"/>
          <w:sz w:val="22"/>
          <w:szCs w:val="22"/>
        </w:rPr>
        <w:t>юридичну</w:t>
      </w:r>
      <w:proofErr w:type="spellEnd"/>
      <w:r w:rsidRPr="00E16672">
        <w:rPr>
          <w:rFonts w:ascii="Times New Roman" w:hAnsi="Times New Roman"/>
          <w:color w:val="000000"/>
          <w:sz w:val="22"/>
          <w:szCs w:val="22"/>
        </w:rPr>
        <w:t xml:space="preserve"> силу, по одному для </w:t>
      </w:r>
      <w:proofErr w:type="spellStart"/>
      <w:r w:rsidRPr="00E16672">
        <w:rPr>
          <w:rFonts w:ascii="Times New Roman" w:hAnsi="Times New Roman"/>
          <w:color w:val="000000"/>
          <w:sz w:val="22"/>
          <w:szCs w:val="22"/>
        </w:rPr>
        <w:t>кожної</w:t>
      </w:r>
      <w:proofErr w:type="spellEnd"/>
      <w:r w:rsidRPr="00E16672">
        <w:rPr>
          <w:rFonts w:ascii="Times New Roman" w:hAnsi="Times New Roman"/>
          <w:color w:val="000000"/>
          <w:sz w:val="22"/>
          <w:szCs w:val="22"/>
        </w:rPr>
        <w:t xml:space="preserve"> </w:t>
      </w:r>
      <w:proofErr w:type="spellStart"/>
      <w:r w:rsidRPr="00E16672">
        <w:rPr>
          <w:rFonts w:ascii="Times New Roman" w:hAnsi="Times New Roman"/>
          <w:color w:val="000000"/>
          <w:sz w:val="22"/>
          <w:szCs w:val="22"/>
        </w:rPr>
        <w:t>із</w:t>
      </w:r>
      <w:proofErr w:type="spellEnd"/>
      <w:r w:rsidRPr="00E16672">
        <w:rPr>
          <w:rFonts w:ascii="Times New Roman" w:hAnsi="Times New Roman"/>
          <w:color w:val="000000"/>
          <w:sz w:val="22"/>
          <w:szCs w:val="22"/>
        </w:rPr>
        <w:t xml:space="preserve"> </w:t>
      </w:r>
      <w:proofErr w:type="spellStart"/>
      <w:r w:rsidRPr="00E16672">
        <w:rPr>
          <w:rFonts w:ascii="Times New Roman" w:hAnsi="Times New Roman"/>
          <w:color w:val="000000"/>
          <w:sz w:val="22"/>
          <w:szCs w:val="22"/>
        </w:rPr>
        <w:t>сторін</w:t>
      </w:r>
      <w:proofErr w:type="spellEnd"/>
      <w:r w:rsidRPr="00E16672">
        <w:rPr>
          <w:rFonts w:ascii="Times New Roman" w:hAnsi="Times New Roman"/>
          <w:color w:val="000000"/>
          <w:sz w:val="22"/>
          <w:szCs w:val="22"/>
        </w:rPr>
        <w:t>.</w:t>
      </w:r>
    </w:p>
    <w:p w14:paraId="70A45DE6" w14:textId="77777777" w:rsidR="005745AF" w:rsidRPr="00E16672" w:rsidRDefault="005745AF" w:rsidP="005745AF">
      <w:pPr>
        <w:rPr>
          <w:rFonts w:ascii="Times New Roman" w:hAnsi="Times New Roman"/>
          <w:color w:val="000000"/>
          <w:sz w:val="22"/>
          <w:szCs w:val="22"/>
        </w:rPr>
      </w:pPr>
    </w:p>
    <w:p w14:paraId="6CB321BC" w14:textId="77777777" w:rsidR="005745AF" w:rsidRPr="00E16672" w:rsidRDefault="005745AF" w:rsidP="005745AF">
      <w:pPr>
        <w:rPr>
          <w:rFonts w:ascii="Times New Roman" w:hAnsi="Times New Roman"/>
          <w:color w:val="000000"/>
          <w:sz w:val="22"/>
          <w:szCs w:val="22"/>
        </w:rPr>
      </w:pPr>
      <w:proofErr w:type="spellStart"/>
      <w:r w:rsidRPr="00E16672">
        <w:rPr>
          <w:rFonts w:ascii="Times New Roman" w:hAnsi="Times New Roman"/>
          <w:color w:val="000000"/>
          <w:sz w:val="22"/>
          <w:szCs w:val="22"/>
        </w:rPr>
        <w:t>Від</w:t>
      </w:r>
      <w:proofErr w:type="spellEnd"/>
      <w:r w:rsidRPr="00E16672">
        <w:rPr>
          <w:rFonts w:ascii="Times New Roman" w:hAnsi="Times New Roman"/>
          <w:color w:val="000000"/>
          <w:sz w:val="22"/>
          <w:szCs w:val="22"/>
        </w:rPr>
        <w:t xml:space="preserve"> </w:t>
      </w:r>
      <w:proofErr w:type="spellStart"/>
      <w:r w:rsidRPr="00E16672">
        <w:rPr>
          <w:rFonts w:ascii="Times New Roman" w:hAnsi="Times New Roman"/>
          <w:color w:val="000000"/>
          <w:sz w:val="22"/>
          <w:szCs w:val="22"/>
        </w:rPr>
        <w:t>Депозитарної</w:t>
      </w:r>
      <w:proofErr w:type="spellEnd"/>
      <w:r w:rsidRPr="00E16672">
        <w:rPr>
          <w:rFonts w:ascii="Times New Roman" w:hAnsi="Times New Roman"/>
          <w:color w:val="000000"/>
          <w:sz w:val="22"/>
          <w:szCs w:val="22"/>
        </w:rPr>
        <w:t xml:space="preserve"> установи:</w:t>
      </w:r>
      <w:r w:rsidRPr="00E16672">
        <w:rPr>
          <w:rFonts w:ascii="Times New Roman" w:hAnsi="Times New Roman"/>
          <w:color w:val="000000"/>
          <w:sz w:val="22"/>
          <w:szCs w:val="22"/>
        </w:rPr>
        <w:tab/>
      </w:r>
      <w:r w:rsidRPr="00E16672">
        <w:rPr>
          <w:rFonts w:ascii="Times New Roman" w:hAnsi="Times New Roman"/>
          <w:color w:val="000000"/>
          <w:sz w:val="22"/>
          <w:szCs w:val="22"/>
        </w:rPr>
        <w:tab/>
      </w:r>
      <w:r w:rsidRPr="00E16672">
        <w:rPr>
          <w:rFonts w:ascii="Times New Roman" w:hAnsi="Times New Roman"/>
          <w:color w:val="000000"/>
          <w:sz w:val="22"/>
          <w:szCs w:val="22"/>
        </w:rPr>
        <w:tab/>
      </w:r>
      <w:r w:rsidRPr="00E16672">
        <w:rPr>
          <w:rFonts w:ascii="Times New Roman" w:hAnsi="Times New Roman"/>
          <w:color w:val="000000"/>
          <w:sz w:val="22"/>
          <w:szCs w:val="22"/>
        </w:rPr>
        <w:tab/>
      </w:r>
      <w:r w:rsidRPr="00E16672">
        <w:rPr>
          <w:rFonts w:ascii="Times New Roman" w:hAnsi="Times New Roman"/>
          <w:color w:val="000000"/>
          <w:sz w:val="22"/>
          <w:szCs w:val="22"/>
        </w:rPr>
        <w:tab/>
      </w:r>
      <w:proofErr w:type="spellStart"/>
      <w:r w:rsidRPr="00E16672">
        <w:rPr>
          <w:rFonts w:ascii="Times New Roman" w:hAnsi="Times New Roman"/>
          <w:color w:val="000000"/>
          <w:sz w:val="22"/>
          <w:szCs w:val="22"/>
        </w:rPr>
        <w:t>Від</w:t>
      </w:r>
      <w:proofErr w:type="spellEnd"/>
      <w:r w:rsidRPr="00E16672">
        <w:rPr>
          <w:rFonts w:ascii="Times New Roman" w:hAnsi="Times New Roman"/>
          <w:color w:val="000000"/>
          <w:sz w:val="22"/>
          <w:szCs w:val="22"/>
        </w:rPr>
        <w:t xml:space="preserve"> </w:t>
      </w:r>
      <w:proofErr w:type="spellStart"/>
      <w:r w:rsidRPr="00E16672">
        <w:rPr>
          <w:rFonts w:ascii="Times New Roman" w:hAnsi="Times New Roman"/>
          <w:color w:val="000000"/>
          <w:sz w:val="22"/>
          <w:szCs w:val="22"/>
        </w:rPr>
        <w:t>Емітента</w:t>
      </w:r>
      <w:proofErr w:type="spellEnd"/>
      <w:r w:rsidRPr="00E16672">
        <w:rPr>
          <w:rFonts w:ascii="Times New Roman" w:hAnsi="Times New Roman"/>
          <w:color w:val="000000"/>
          <w:sz w:val="22"/>
          <w:szCs w:val="22"/>
        </w:rPr>
        <w:t>:</w:t>
      </w:r>
    </w:p>
    <w:p w14:paraId="2F2219C4" w14:textId="77777777" w:rsidR="005745AF" w:rsidRPr="00E16672" w:rsidRDefault="005745AF" w:rsidP="005745AF">
      <w:pPr>
        <w:rPr>
          <w:rFonts w:ascii="Times New Roman" w:hAnsi="Times New Roman"/>
          <w:color w:val="000000"/>
          <w:sz w:val="22"/>
          <w:szCs w:val="22"/>
        </w:rPr>
      </w:pPr>
    </w:p>
    <w:p w14:paraId="4A434068" w14:textId="77777777" w:rsidR="005745AF" w:rsidRPr="00E16672" w:rsidRDefault="005745AF" w:rsidP="005745AF">
      <w:pPr>
        <w:rPr>
          <w:rFonts w:ascii="Times New Roman" w:hAnsi="Times New Roman"/>
          <w:color w:val="000000"/>
          <w:sz w:val="22"/>
          <w:szCs w:val="22"/>
        </w:rPr>
      </w:pPr>
      <w:r w:rsidRPr="00E16672">
        <w:rPr>
          <w:rFonts w:ascii="Times New Roman" w:hAnsi="Times New Roman"/>
          <w:color w:val="000000"/>
          <w:sz w:val="22"/>
          <w:szCs w:val="22"/>
        </w:rPr>
        <w:t>___________________________</w:t>
      </w:r>
      <w:r w:rsidRPr="00E16672">
        <w:rPr>
          <w:rFonts w:ascii="Times New Roman" w:hAnsi="Times New Roman"/>
          <w:color w:val="000000"/>
          <w:sz w:val="22"/>
          <w:szCs w:val="22"/>
        </w:rPr>
        <w:tab/>
      </w:r>
      <w:r w:rsidRPr="00E16672">
        <w:rPr>
          <w:rFonts w:ascii="Times New Roman" w:hAnsi="Times New Roman"/>
          <w:color w:val="000000"/>
          <w:sz w:val="22"/>
          <w:szCs w:val="22"/>
        </w:rPr>
        <w:tab/>
      </w:r>
      <w:r w:rsidRPr="00E16672">
        <w:rPr>
          <w:rFonts w:ascii="Times New Roman" w:hAnsi="Times New Roman"/>
          <w:color w:val="000000"/>
          <w:sz w:val="22"/>
          <w:szCs w:val="22"/>
        </w:rPr>
        <w:tab/>
      </w:r>
      <w:r w:rsidRPr="00E16672">
        <w:rPr>
          <w:rFonts w:ascii="Times New Roman" w:hAnsi="Times New Roman"/>
          <w:color w:val="000000"/>
          <w:sz w:val="22"/>
          <w:szCs w:val="22"/>
        </w:rPr>
        <w:tab/>
        <w:t>__________________________</w:t>
      </w:r>
    </w:p>
    <w:p w14:paraId="110AA535" w14:textId="77777777" w:rsidR="005745AF" w:rsidRPr="00E16672" w:rsidRDefault="005745AF" w:rsidP="005745AF">
      <w:pPr>
        <w:rPr>
          <w:rFonts w:ascii="Times New Roman" w:hAnsi="Times New Roman"/>
          <w:color w:val="000000"/>
          <w:sz w:val="22"/>
          <w:szCs w:val="22"/>
        </w:rPr>
      </w:pPr>
      <w:r w:rsidRPr="00E16672">
        <w:rPr>
          <w:rFonts w:ascii="Times New Roman" w:hAnsi="Times New Roman"/>
          <w:color w:val="000000"/>
          <w:sz w:val="22"/>
          <w:szCs w:val="22"/>
        </w:rPr>
        <w:t>___________________________</w:t>
      </w:r>
      <w:r w:rsidRPr="00E16672">
        <w:rPr>
          <w:rFonts w:ascii="Times New Roman" w:hAnsi="Times New Roman"/>
          <w:color w:val="000000"/>
          <w:sz w:val="22"/>
          <w:szCs w:val="22"/>
        </w:rPr>
        <w:tab/>
      </w:r>
      <w:r w:rsidRPr="00E16672">
        <w:rPr>
          <w:rFonts w:ascii="Times New Roman" w:hAnsi="Times New Roman"/>
          <w:color w:val="000000"/>
          <w:sz w:val="22"/>
          <w:szCs w:val="22"/>
        </w:rPr>
        <w:tab/>
      </w:r>
      <w:r w:rsidRPr="00E16672">
        <w:rPr>
          <w:rFonts w:ascii="Times New Roman" w:hAnsi="Times New Roman"/>
          <w:color w:val="000000"/>
          <w:sz w:val="22"/>
          <w:szCs w:val="22"/>
        </w:rPr>
        <w:tab/>
      </w:r>
      <w:r w:rsidRPr="00E16672">
        <w:rPr>
          <w:rFonts w:ascii="Times New Roman" w:hAnsi="Times New Roman"/>
          <w:color w:val="000000"/>
          <w:sz w:val="22"/>
          <w:szCs w:val="22"/>
        </w:rPr>
        <w:tab/>
        <w:t>__________________________</w:t>
      </w:r>
    </w:p>
    <w:p w14:paraId="6070AA68" w14:textId="77777777" w:rsidR="005745AF" w:rsidRPr="00E16672" w:rsidRDefault="005745AF" w:rsidP="005745AF">
      <w:pPr>
        <w:rPr>
          <w:rFonts w:ascii="Times New Roman" w:hAnsi="Times New Roman"/>
          <w:color w:val="000000"/>
          <w:sz w:val="18"/>
          <w:szCs w:val="18"/>
          <w:lang w:val="uk-UA"/>
        </w:rPr>
      </w:pPr>
      <w:r w:rsidRPr="00E16672">
        <w:rPr>
          <w:rFonts w:ascii="Times New Roman" w:hAnsi="Times New Roman"/>
          <w:color w:val="000000"/>
          <w:sz w:val="22"/>
          <w:szCs w:val="22"/>
          <w:lang w:val="uk-UA"/>
        </w:rPr>
        <w:t>в</w:t>
      </w:r>
      <w:r w:rsidRPr="00E16672">
        <w:rPr>
          <w:rFonts w:ascii="Times New Roman" w:hAnsi="Times New Roman"/>
          <w:color w:val="000000"/>
          <w:sz w:val="22"/>
          <w:szCs w:val="22"/>
        </w:rPr>
        <w:t>.п.</w:t>
      </w:r>
      <w:r w:rsidRPr="00E16672">
        <w:rPr>
          <w:rFonts w:ascii="Times New Roman" w:hAnsi="Times New Roman"/>
          <w:color w:val="000000"/>
          <w:sz w:val="22"/>
          <w:szCs w:val="22"/>
        </w:rPr>
        <w:tab/>
      </w:r>
      <w:r w:rsidRPr="00E16672">
        <w:rPr>
          <w:rFonts w:ascii="Times New Roman" w:hAnsi="Times New Roman"/>
          <w:color w:val="000000"/>
          <w:sz w:val="22"/>
          <w:szCs w:val="22"/>
        </w:rPr>
        <w:tab/>
      </w:r>
      <w:r w:rsidRPr="00E16672">
        <w:rPr>
          <w:rFonts w:ascii="Times New Roman" w:hAnsi="Times New Roman"/>
          <w:color w:val="000000"/>
          <w:sz w:val="22"/>
          <w:szCs w:val="22"/>
        </w:rPr>
        <w:tab/>
      </w:r>
      <w:r w:rsidRPr="00E16672">
        <w:rPr>
          <w:rFonts w:ascii="Times New Roman" w:hAnsi="Times New Roman"/>
          <w:color w:val="000000"/>
          <w:sz w:val="22"/>
          <w:szCs w:val="22"/>
        </w:rPr>
        <w:tab/>
      </w:r>
      <w:r w:rsidRPr="00E16672">
        <w:rPr>
          <w:rFonts w:ascii="Times New Roman" w:hAnsi="Times New Roman"/>
          <w:color w:val="000000"/>
          <w:sz w:val="22"/>
          <w:szCs w:val="22"/>
        </w:rPr>
        <w:tab/>
      </w:r>
      <w:r w:rsidRPr="00E16672">
        <w:rPr>
          <w:rFonts w:ascii="Times New Roman" w:hAnsi="Times New Roman"/>
          <w:color w:val="000000"/>
          <w:sz w:val="22"/>
          <w:szCs w:val="22"/>
        </w:rPr>
        <w:tab/>
      </w:r>
      <w:r w:rsidRPr="00E16672">
        <w:rPr>
          <w:rFonts w:ascii="Times New Roman" w:hAnsi="Times New Roman"/>
          <w:color w:val="000000"/>
          <w:sz w:val="22"/>
          <w:szCs w:val="22"/>
        </w:rPr>
        <w:tab/>
      </w:r>
      <w:r w:rsidRPr="00E16672">
        <w:rPr>
          <w:rFonts w:ascii="Times New Roman" w:hAnsi="Times New Roman"/>
          <w:color w:val="000000"/>
          <w:sz w:val="22"/>
          <w:szCs w:val="22"/>
        </w:rPr>
        <w:tab/>
      </w:r>
      <w:r w:rsidRPr="00E16672">
        <w:rPr>
          <w:rFonts w:ascii="Times New Roman" w:hAnsi="Times New Roman"/>
          <w:color w:val="000000"/>
          <w:sz w:val="22"/>
          <w:szCs w:val="22"/>
          <w:lang w:val="uk-UA"/>
        </w:rPr>
        <w:t>в</w:t>
      </w:r>
      <w:r w:rsidRPr="00E16672">
        <w:rPr>
          <w:rFonts w:ascii="Times New Roman" w:hAnsi="Times New Roman"/>
          <w:color w:val="000000"/>
          <w:sz w:val="22"/>
          <w:szCs w:val="22"/>
        </w:rPr>
        <w:t>.п</w:t>
      </w:r>
      <w:r w:rsidRPr="00E16672">
        <w:rPr>
          <w:rFonts w:ascii="Times New Roman" w:hAnsi="Times New Roman"/>
          <w:color w:val="000000"/>
          <w:sz w:val="18"/>
          <w:szCs w:val="18"/>
        </w:rPr>
        <w:t>.</w:t>
      </w:r>
      <w:r w:rsidRPr="00E16672">
        <w:rPr>
          <w:rFonts w:ascii="Times New Roman" w:hAnsi="Times New Roman"/>
          <w:color w:val="000000"/>
          <w:sz w:val="18"/>
          <w:szCs w:val="18"/>
          <w:lang w:val="uk-UA"/>
        </w:rPr>
        <w:t xml:space="preserve"> (</w:t>
      </w:r>
      <w:r w:rsidR="003352AE" w:rsidRPr="00E16672">
        <w:rPr>
          <w:rFonts w:ascii="Times New Roman" w:hAnsi="Times New Roman"/>
          <w:color w:val="000000"/>
          <w:sz w:val="18"/>
          <w:szCs w:val="18"/>
          <w:lang w:val="uk-UA"/>
        </w:rPr>
        <w:t>у разі використання</w:t>
      </w:r>
      <w:r w:rsidRPr="00E16672">
        <w:rPr>
          <w:rFonts w:ascii="Times New Roman" w:hAnsi="Times New Roman"/>
          <w:color w:val="000000"/>
          <w:sz w:val="18"/>
          <w:szCs w:val="18"/>
          <w:lang w:val="uk-UA"/>
        </w:rPr>
        <w:t>)</w:t>
      </w:r>
    </w:p>
    <w:p w14:paraId="5D4654E9" w14:textId="77777777" w:rsidR="00B05D06" w:rsidRPr="00E16672" w:rsidRDefault="00B05D06" w:rsidP="00B05D06">
      <w:pPr>
        <w:pStyle w:val="ab"/>
        <w:rPr>
          <w:rFonts w:ascii="Times New Roman" w:hAnsi="Times New Roman"/>
          <w:lang w:val="ru-RU" w:eastAsia="hi-IN" w:bidi="hi-IN"/>
        </w:rPr>
      </w:pPr>
    </w:p>
    <w:sectPr w:rsidR="00B05D06" w:rsidRPr="00E16672" w:rsidSect="003B3EC1">
      <w:pgSz w:w="11906" w:h="16838"/>
      <w:pgMar w:top="568" w:right="431" w:bottom="719" w:left="550" w:header="708" w:footer="7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A47FE6" w14:textId="77777777" w:rsidR="00F864F1" w:rsidRDefault="00F864F1" w:rsidP="00617681">
      <w:r>
        <w:separator/>
      </w:r>
    </w:p>
  </w:endnote>
  <w:endnote w:type="continuationSeparator" w:id="0">
    <w:p w14:paraId="75CF03BA" w14:textId="77777777" w:rsidR="00F864F1" w:rsidRDefault="00F864F1" w:rsidP="00617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tarSymbol">
    <w:altName w:val="Yu Gothic"/>
    <w:panose1 w:val="00000000000000000000"/>
    <w:charset w:val="80"/>
    <w:family w:val="auto"/>
    <w:notTrueType/>
    <w:pitch w:val="default"/>
    <w:sig w:usb0="00000000" w:usb1="08070000" w:usb2="00000010" w:usb3="00000000" w:csb0="0002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Calibri"/>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NSimSun">
    <w:panose1 w:val="02010609030101010101"/>
    <w:charset w:val="86"/>
    <w:family w:val="modern"/>
    <w:pitch w:val="fixed"/>
    <w:sig w:usb0="0000028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Pragmatica">
    <w:altName w:val="Courier New"/>
    <w:panose1 w:val="00000000000000000000"/>
    <w:charset w:val="CC"/>
    <w:family w:val="swiss"/>
    <w:notTrueType/>
    <w:pitch w:val="variable"/>
    <w:sig w:usb0="00000201" w:usb1="00000000" w:usb2="00000000" w:usb3="00000000" w:csb0="00000004" w:csb1="00000000"/>
  </w:font>
  <w:font w:name="Batang">
    <w:altName w:val="바탕"/>
    <w:panose1 w:val="02030600000101010101"/>
    <w:charset w:val="81"/>
    <w:family w:val="roman"/>
    <w:pitch w:val="variable"/>
    <w:sig w:usb0="B00002AF" w:usb1="69D77CFB" w:usb2="00000030" w:usb3="00000000" w:csb0="0008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8572B4" w14:textId="77777777" w:rsidR="00F864F1" w:rsidRDefault="00F864F1" w:rsidP="00617681">
      <w:r>
        <w:separator/>
      </w:r>
    </w:p>
  </w:footnote>
  <w:footnote w:type="continuationSeparator" w:id="0">
    <w:p w14:paraId="4F7BF366" w14:textId="77777777" w:rsidR="00F864F1" w:rsidRDefault="00F864F1" w:rsidP="006176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501"/>
        </w:tabs>
        <w:ind w:left="-69" w:hanging="432"/>
      </w:pPr>
    </w:lvl>
    <w:lvl w:ilvl="1">
      <w:start w:val="1"/>
      <w:numFmt w:val="none"/>
      <w:suff w:val="nothing"/>
      <w:lvlText w:val=""/>
      <w:lvlJc w:val="left"/>
      <w:pPr>
        <w:tabs>
          <w:tab w:val="num" w:pos="-501"/>
        </w:tabs>
        <w:ind w:left="75" w:hanging="576"/>
      </w:pPr>
    </w:lvl>
    <w:lvl w:ilvl="2">
      <w:start w:val="1"/>
      <w:numFmt w:val="none"/>
      <w:pStyle w:val="3"/>
      <w:suff w:val="nothing"/>
      <w:lvlText w:val=""/>
      <w:lvlJc w:val="left"/>
      <w:pPr>
        <w:tabs>
          <w:tab w:val="num" w:pos="-501"/>
        </w:tabs>
        <w:ind w:left="219" w:hanging="720"/>
      </w:pPr>
    </w:lvl>
    <w:lvl w:ilvl="3">
      <w:start w:val="1"/>
      <w:numFmt w:val="none"/>
      <w:pStyle w:val="4"/>
      <w:suff w:val="nothing"/>
      <w:lvlText w:val=""/>
      <w:lvlJc w:val="left"/>
      <w:pPr>
        <w:tabs>
          <w:tab w:val="num" w:pos="-501"/>
        </w:tabs>
        <w:ind w:left="363" w:hanging="864"/>
      </w:pPr>
    </w:lvl>
    <w:lvl w:ilvl="4">
      <w:start w:val="1"/>
      <w:numFmt w:val="none"/>
      <w:pStyle w:val="5"/>
      <w:suff w:val="nothing"/>
      <w:lvlText w:val=""/>
      <w:lvlJc w:val="left"/>
      <w:pPr>
        <w:tabs>
          <w:tab w:val="num" w:pos="-501"/>
        </w:tabs>
        <w:ind w:left="507" w:hanging="1008"/>
      </w:pPr>
    </w:lvl>
    <w:lvl w:ilvl="5">
      <w:start w:val="1"/>
      <w:numFmt w:val="none"/>
      <w:pStyle w:val="6"/>
      <w:suff w:val="nothing"/>
      <w:lvlText w:val=""/>
      <w:lvlJc w:val="left"/>
      <w:pPr>
        <w:tabs>
          <w:tab w:val="num" w:pos="-501"/>
        </w:tabs>
        <w:ind w:left="651" w:hanging="1152"/>
      </w:pPr>
    </w:lvl>
    <w:lvl w:ilvl="6">
      <w:start w:val="1"/>
      <w:numFmt w:val="none"/>
      <w:suff w:val="nothing"/>
      <w:lvlText w:val=""/>
      <w:lvlJc w:val="left"/>
      <w:pPr>
        <w:tabs>
          <w:tab w:val="num" w:pos="-501"/>
        </w:tabs>
        <w:ind w:left="795" w:hanging="1296"/>
      </w:pPr>
    </w:lvl>
    <w:lvl w:ilvl="7">
      <w:start w:val="1"/>
      <w:numFmt w:val="none"/>
      <w:suff w:val="nothing"/>
      <w:lvlText w:val=""/>
      <w:lvlJc w:val="left"/>
      <w:pPr>
        <w:tabs>
          <w:tab w:val="num" w:pos="-501"/>
        </w:tabs>
        <w:ind w:left="939" w:hanging="1440"/>
      </w:pPr>
    </w:lvl>
    <w:lvl w:ilvl="8">
      <w:start w:val="1"/>
      <w:numFmt w:val="none"/>
      <w:suff w:val="nothing"/>
      <w:lvlText w:val=""/>
      <w:lvlJc w:val="left"/>
      <w:pPr>
        <w:tabs>
          <w:tab w:val="num" w:pos="-501"/>
        </w:tabs>
        <w:ind w:left="1083"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0" w:firstLine="0"/>
      </w:pPr>
      <w:rPr>
        <w:rFonts w:ascii="StarSymbol" w:hAnsi="StarSymbol"/>
      </w:rPr>
    </w:lvl>
    <w:lvl w:ilvl="1">
      <w:start w:val="1"/>
      <w:numFmt w:val="bullet"/>
      <w:lvlText w:val="o"/>
      <w:lvlJc w:val="left"/>
      <w:pPr>
        <w:tabs>
          <w:tab w:val="num" w:pos="0"/>
        </w:tabs>
        <w:ind w:left="0" w:firstLine="0"/>
      </w:pPr>
      <w:rPr>
        <w:rFonts w:ascii="Courier New" w:hAnsi="Courier New" w:cs="Courier New"/>
      </w:rPr>
    </w:lvl>
    <w:lvl w:ilvl="2">
      <w:start w:val="1"/>
      <w:numFmt w:val="bullet"/>
      <w:lvlText w:val=""/>
      <w:lvlJc w:val="left"/>
      <w:pPr>
        <w:tabs>
          <w:tab w:val="num" w:pos="0"/>
        </w:tabs>
        <w:ind w:left="0" w:firstLine="0"/>
      </w:pPr>
      <w:rPr>
        <w:rFonts w:ascii="Wingdings" w:hAnsi="Wingdings" w:cs="Times New Roman"/>
      </w:rPr>
    </w:lvl>
    <w:lvl w:ilvl="3">
      <w:start w:val="1"/>
      <w:numFmt w:val="bullet"/>
      <w:lvlText w:val=""/>
      <w:lvlJc w:val="left"/>
      <w:pPr>
        <w:tabs>
          <w:tab w:val="num" w:pos="0"/>
        </w:tabs>
        <w:ind w:left="0" w:firstLine="0"/>
      </w:pPr>
      <w:rPr>
        <w:rFonts w:ascii="Symbol" w:hAnsi="Symbol" w:cs="Times New Roman"/>
      </w:rPr>
    </w:lvl>
    <w:lvl w:ilvl="4">
      <w:start w:val="1"/>
      <w:numFmt w:val="bullet"/>
      <w:lvlText w:val="o"/>
      <w:lvlJc w:val="left"/>
      <w:pPr>
        <w:tabs>
          <w:tab w:val="num" w:pos="0"/>
        </w:tabs>
        <w:ind w:left="0" w:firstLine="0"/>
      </w:pPr>
      <w:rPr>
        <w:rFonts w:ascii="Courier New" w:hAnsi="Courier New" w:cs="Courier New"/>
      </w:rPr>
    </w:lvl>
    <w:lvl w:ilvl="5">
      <w:start w:val="1"/>
      <w:numFmt w:val="bullet"/>
      <w:lvlText w:val=""/>
      <w:lvlJc w:val="left"/>
      <w:pPr>
        <w:tabs>
          <w:tab w:val="num" w:pos="0"/>
        </w:tabs>
        <w:ind w:left="0" w:firstLine="0"/>
      </w:pPr>
      <w:rPr>
        <w:rFonts w:ascii="Wingdings" w:hAnsi="Wingdings" w:cs="Times New Roman"/>
      </w:rPr>
    </w:lvl>
    <w:lvl w:ilvl="6">
      <w:start w:val="1"/>
      <w:numFmt w:val="bullet"/>
      <w:lvlText w:val=""/>
      <w:lvlJc w:val="left"/>
      <w:pPr>
        <w:tabs>
          <w:tab w:val="num" w:pos="0"/>
        </w:tabs>
        <w:ind w:left="0" w:firstLine="0"/>
      </w:pPr>
      <w:rPr>
        <w:rFonts w:ascii="Symbol" w:hAnsi="Symbol" w:cs="Times New Roman"/>
      </w:rPr>
    </w:lvl>
    <w:lvl w:ilvl="7">
      <w:start w:val="1"/>
      <w:numFmt w:val="bullet"/>
      <w:lvlText w:val="o"/>
      <w:lvlJc w:val="left"/>
      <w:pPr>
        <w:tabs>
          <w:tab w:val="num" w:pos="0"/>
        </w:tabs>
        <w:ind w:left="0" w:firstLine="0"/>
      </w:pPr>
      <w:rPr>
        <w:rFonts w:ascii="Courier New" w:hAnsi="Courier New" w:cs="Courier New"/>
      </w:rPr>
    </w:lvl>
    <w:lvl w:ilvl="8">
      <w:start w:val="1"/>
      <w:numFmt w:val="bullet"/>
      <w:lvlText w:val=""/>
      <w:lvlJc w:val="left"/>
      <w:pPr>
        <w:tabs>
          <w:tab w:val="num" w:pos="0"/>
        </w:tabs>
        <w:ind w:left="0" w:firstLine="0"/>
      </w:pPr>
      <w:rPr>
        <w:rFonts w:ascii="Wingdings" w:hAnsi="Wingdings" w:cs="Times New Roman"/>
      </w:rPr>
    </w:lvl>
  </w:abstractNum>
  <w:abstractNum w:abstractNumId="3" w15:restartNumberingAfterBreak="0">
    <w:nsid w:val="00000004"/>
    <w:multiLevelType w:val="multilevel"/>
    <w:tmpl w:val="00000004"/>
    <w:name w:val="WW8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5"/>
    <w:multiLevelType w:val="multilevel"/>
    <w:tmpl w:val="00000005"/>
    <w:name w:val="WW8Num5"/>
    <w:lvl w:ilvl="0">
      <w:start w:val="5"/>
      <w:numFmt w:val="decimal"/>
      <w:lvlText w:val="%1."/>
      <w:lvlJc w:val="left"/>
      <w:pPr>
        <w:tabs>
          <w:tab w:val="num" w:pos="1070"/>
        </w:tabs>
        <w:ind w:left="1070" w:hanging="360"/>
      </w:pPr>
    </w:lvl>
    <w:lvl w:ilvl="1">
      <w:start w:val="7"/>
      <w:numFmt w:val="decimal"/>
      <w:lvlText w:val="%1.%2."/>
      <w:lvlJc w:val="left"/>
      <w:pPr>
        <w:tabs>
          <w:tab w:val="num" w:pos="1790"/>
        </w:tabs>
        <w:ind w:left="1790" w:hanging="360"/>
      </w:pPr>
    </w:lvl>
    <w:lvl w:ilvl="2">
      <w:start w:val="1"/>
      <w:numFmt w:val="decimal"/>
      <w:lvlText w:val="%1.%2.%3."/>
      <w:lvlJc w:val="left"/>
      <w:pPr>
        <w:tabs>
          <w:tab w:val="num" w:pos="1790"/>
        </w:tabs>
        <w:ind w:left="1790" w:hanging="360"/>
      </w:pPr>
    </w:lvl>
    <w:lvl w:ilvl="3">
      <w:start w:val="1"/>
      <w:numFmt w:val="decimal"/>
      <w:lvlText w:val="%1.%2.%3.%4."/>
      <w:lvlJc w:val="left"/>
      <w:pPr>
        <w:tabs>
          <w:tab w:val="num" w:pos="2150"/>
        </w:tabs>
        <w:ind w:left="2150" w:hanging="360"/>
      </w:pPr>
    </w:lvl>
    <w:lvl w:ilvl="4">
      <w:start w:val="1"/>
      <w:numFmt w:val="decimal"/>
      <w:lvlText w:val="%1.%2.%3.%4.%5."/>
      <w:lvlJc w:val="left"/>
      <w:pPr>
        <w:tabs>
          <w:tab w:val="num" w:pos="2510"/>
        </w:tabs>
        <w:ind w:left="2510" w:hanging="360"/>
      </w:pPr>
    </w:lvl>
    <w:lvl w:ilvl="5">
      <w:start w:val="1"/>
      <w:numFmt w:val="decimal"/>
      <w:lvlText w:val="%1.%2.%3.%4.%5.%6."/>
      <w:lvlJc w:val="left"/>
      <w:pPr>
        <w:tabs>
          <w:tab w:val="num" w:pos="2870"/>
        </w:tabs>
        <w:ind w:left="2870" w:hanging="360"/>
      </w:pPr>
    </w:lvl>
    <w:lvl w:ilvl="6">
      <w:start w:val="1"/>
      <w:numFmt w:val="decimal"/>
      <w:lvlText w:val="%1.%2.%3.%4.%5.%6.%7."/>
      <w:lvlJc w:val="left"/>
      <w:pPr>
        <w:tabs>
          <w:tab w:val="num" w:pos="3230"/>
        </w:tabs>
        <w:ind w:left="3230" w:hanging="360"/>
      </w:pPr>
    </w:lvl>
    <w:lvl w:ilvl="7">
      <w:start w:val="1"/>
      <w:numFmt w:val="decimal"/>
      <w:lvlText w:val="%1.%2.%3.%4.%5.%6.%7.%8."/>
      <w:lvlJc w:val="left"/>
      <w:pPr>
        <w:tabs>
          <w:tab w:val="num" w:pos="3590"/>
        </w:tabs>
        <w:ind w:left="3590" w:hanging="360"/>
      </w:pPr>
    </w:lvl>
    <w:lvl w:ilvl="8">
      <w:start w:val="1"/>
      <w:numFmt w:val="decimal"/>
      <w:lvlText w:val="%1.%2.%3.%4.%5.%6.%7.%8.%9."/>
      <w:lvlJc w:val="left"/>
      <w:pPr>
        <w:tabs>
          <w:tab w:val="num" w:pos="3950"/>
        </w:tabs>
        <w:ind w:left="3950" w:hanging="360"/>
      </w:pPr>
    </w:lvl>
  </w:abstractNum>
  <w:abstractNum w:abstractNumId="5" w15:restartNumberingAfterBreak="0">
    <w:nsid w:val="00000006"/>
    <w:multiLevelType w:val="multilevel"/>
    <w:tmpl w:val="00000006"/>
    <w:name w:val="WW8Num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7" w15:restartNumberingAfterBreak="0">
    <w:nsid w:val="00000008"/>
    <w:multiLevelType w:val="singleLevel"/>
    <w:tmpl w:val="00000008"/>
    <w:name w:val="WW8Num8"/>
    <w:lvl w:ilvl="0">
      <w:start w:val="1"/>
      <w:numFmt w:val="bullet"/>
      <w:lvlText w:val="-"/>
      <w:lvlJc w:val="left"/>
      <w:pPr>
        <w:tabs>
          <w:tab w:val="num" w:pos="0"/>
        </w:tabs>
        <w:ind w:left="0" w:firstLine="0"/>
      </w:pPr>
      <w:rPr>
        <w:rFonts w:ascii="StarSymbol" w:hAnsi="StarSymbol"/>
      </w:r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b w:val="0"/>
        <w:i w:val="0"/>
      </w:rPr>
    </w:lvl>
    <w:lvl w:ilvl="1">
      <w:start w:val="1"/>
      <w:numFmt w:val="bullet"/>
      <w:lvlText w:val=""/>
      <w:lvlJc w:val="left"/>
      <w:pPr>
        <w:tabs>
          <w:tab w:val="num" w:pos="1080"/>
        </w:tabs>
        <w:ind w:left="1080" w:hanging="360"/>
      </w:pPr>
      <w:rPr>
        <w:rFonts w:ascii="Symbol" w:hAnsi="Symbol"/>
        <w:b w:val="0"/>
        <w:i w:val="0"/>
      </w:rPr>
    </w:lvl>
    <w:lvl w:ilvl="2">
      <w:start w:val="1"/>
      <w:numFmt w:val="bullet"/>
      <w:lvlText w:val=""/>
      <w:lvlJc w:val="left"/>
      <w:pPr>
        <w:tabs>
          <w:tab w:val="num" w:pos="1440"/>
        </w:tabs>
        <w:ind w:left="1440" w:hanging="360"/>
      </w:pPr>
      <w:rPr>
        <w:rFonts w:ascii="Symbol" w:hAnsi="Symbol"/>
        <w:b w:val="0"/>
        <w:i w:val="0"/>
      </w:rPr>
    </w:lvl>
    <w:lvl w:ilvl="3">
      <w:start w:val="1"/>
      <w:numFmt w:val="bullet"/>
      <w:lvlText w:val=""/>
      <w:lvlJc w:val="left"/>
      <w:pPr>
        <w:tabs>
          <w:tab w:val="num" w:pos="1800"/>
        </w:tabs>
        <w:ind w:left="1800" w:hanging="360"/>
      </w:pPr>
      <w:rPr>
        <w:rFonts w:ascii="Symbol" w:hAnsi="Symbol"/>
        <w:b w:val="0"/>
        <w:i w:val="0"/>
      </w:rPr>
    </w:lvl>
    <w:lvl w:ilvl="4">
      <w:start w:val="1"/>
      <w:numFmt w:val="bullet"/>
      <w:lvlText w:val=""/>
      <w:lvlJc w:val="left"/>
      <w:pPr>
        <w:tabs>
          <w:tab w:val="num" w:pos="2160"/>
        </w:tabs>
        <w:ind w:left="2160" w:hanging="360"/>
      </w:pPr>
      <w:rPr>
        <w:rFonts w:ascii="Symbol" w:hAnsi="Symbol"/>
        <w:b w:val="0"/>
        <w:i w:val="0"/>
      </w:rPr>
    </w:lvl>
    <w:lvl w:ilvl="5">
      <w:start w:val="1"/>
      <w:numFmt w:val="bullet"/>
      <w:lvlText w:val=""/>
      <w:lvlJc w:val="left"/>
      <w:pPr>
        <w:tabs>
          <w:tab w:val="num" w:pos="2520"/>
        </w:tabs>
        <w:ind w:left="2520" w:hanging="360"/>
      </w:pPr>
      <w:rPr>
        <w:rFonts w:ascii="Symbol" w:hAnsi="Symbol"/>
        <w:b w:val="0"/>
        <w:i w:val="0"/>
      </w:rPr>
    </w:lvl>
    <w:lvl w:ilvl="6">
      <w:start w:val="1"/>
      <w:numFmt w:val="bullet"/>
      <w:lvlText w:val=""/>
      <w:lvlJc w:val="left"/>
      <w:pPr>
        <w:tabs>
          <w:tab w:val="num" w:pos="2880"/>
        </w:tabs>
        <w:ind w:left="2880" w:hanging="360"/>
      </w:pPr>
      <w:rPr>
        <w:rFonts w:ascii="Symbol" w:hAnsi="Symbol"/>
        <w:b w:val="0"/>
        <w:i w:val="0"/>
      </w:rPr>
    </w:lvl>
    <w:lvl w:ilvl="7">
      <w:start w:val="1"/>
      <w:numFmt w:val="bullet"/>
      <w:lvlText w:val=""/>
      <w:lvlJc w:val="left"/>
      <w:pPr>
        <w:tabs>
          <w:tab w:val="num" w:pos="3240"/>
        </w:tabs>
        <w:ind w:left="3240" w:hanging="360"/>
      </w:pPr>
      <w:rPr>
        <w:rFonts w:ascii="Symbol" w:hAnsi="Symbol"/>
        <w:b w:val="0"/>
        <w:i w:val="0"/>
      </w:rPr>
    </w:lvl>
    <w:lvl w:ilvl="8">
      <w:start w:val="1"/>
      <w:numFmt w:val="bullet"/>
      <w:lvlText w:val=""/>
      <w:lvlJc w:val="left"/>
      <w:pPr>
        <w:tabs>
          <w:tab w:val="num" w:pos="3600"/>
        </w:tabs>
        <w:ind w:left="3600" w:hanging="360"/>
      </w:pPr>
      <w:rPr>
        <w:rFonts w:ascii="Symbol" w:hAnsi="Symbol"/>
        <w:b w:val="0"/>
        <w:i w:val="0"/>
      </w:rPr>
    </w:lvl>
  </w:abstractNum>
  <w:abstractNum w:abstractNumId="9" w15:restartNumberingAfterBreak="0">
    <w:nsid w:val="0000000A"/>
    <w:multiLevelType w:val="multilevel"/>
    <w:tmpl w:val="0000000A"/>
    <w:name w:val="WW8Num10"/>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15:restartNumberingAfterBreak="0">
    <w:nsid w:val="0000000B"/>
    <w:multiLevelType w:val="multilevel"/>
    <w:tmpl w:val="0000000B"/>
    <w:name w:val="WW8Num11"/>
    <w:lvl w:ilvl="0">
      <w:start w:val="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15:restartNumberingAfterBreak="0">
    <w:nsid w:val="0000000C"/>
    <w:multiLevelType w:val="singleLevel"/>
    <w:tmpl w:val="0000000C"/>
    <w:name w:val="WW8Num12"/>
    <w:lvl w:ilvl="0">
      <w:start w:val="1"/>
      <w:numFmt w:val="bullet"/>
      <w:lvlText w:val=""/>
      <w:lvlJc w:val="left"/>
      <w:pPr>
        <w:tabs>
          <w:tab w:val="num" w:pos="436"/>
        </w:tabs>
        <w:ind w:left="436" w:firstLine="0"/>
      </w:pPr>
      <w:rPr>
        <w:rFonts w:ascii="Symbol" w:hAnsi="Symbol"/>
      </w:rPr>
    </w:lvl>
  </w:abstractNum>
  <w:abstractNum w:abstractNumId="12" w15:restartNumberingAfterBreak="0">
    <w:nsid w:val="0000000D"/>
    <w:multiLevelType w:val="singleLevel"/>
    <w:tmpl w:val="0000000D"/>
    <w:name w:val="WW8Num13"/>
    <w:lvl w:ilvl="0">
      <w:start w:val="1"/>
      <w:numFmt w:val="bullet"/>
      <w:lvlText w:val=""/>
      <w:lvlJc w:val="left"/>
      <w:pPr>
        <w:tabs>
          <w:tab w:val="num" w:pos="0"/>
        </w:tabs>
        <w:ind w:left="0" w:firstLine="0"/>
      </w:pPr>
      <w:rPr>
        <w:rFonts w:ascii="Symbol" w:hAnsi="Symbol" w:cs="Times New Roman"/>
      </w:rPr>
    </w:lvl>
  </w:abstractNum>
  <w:abstractNum w:abstractNumId="13" w15:restartNumberingAfterBreak="0">
    <w:nsid w:val="0000000E"/>
    <w:multiLevelType w:val="multilevel"/>
    <w:tmpl w:val="3C365D2A"/>
    <w:name w:val="WW8Num14"/>
    <w:lvl w:ilvl="0">
      <w:start w:val="12"/>
      <w:numFmt w:val="decimal"/>
      <w:lvlText w:val="%1."/>
      <w:lvlJc w:val="left"/>
      <w:pPr>
        <w:tabs>
          <w:tab w:val="num" w:pos="2880"/>
        </w:tabs>
        <w:ind w:left="2880" w:hanging="360"/>
      </w:pPr>
    </w:lvl>
    <w:lvl w:ilvl="1">
      <w:start w:val="3"/>
      <w:numFmt w:val="decimal"/>
      <w:isLgl/>
      <w:lvlText w:val="%1.%2."/>
      <w:lvlJc w:val="left"/>
      <w:pPr>
        <w:ind w:left="2970" w:hanging="45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3960" w:hanging="1440"/>
      </w:pPr>
      <w:rPr>
        <w:rFonts w:hint="default"/>
      </w:rPr>
    </w:lvl>
  </w:abstractNum>
  <w:abstractNum w:abstractNumId="14" w15:restartNumberingAfterBreak="0">
    <w:nsid w:val="0000000F"/>
    <w:multiLevelType w:val="multilevel"/>
    <w:tmpl w:val="0000000F"/>
    <w:name w:val="WW8Num15"/>
    <w:lvl w:ilvl="0">
      <w:start w:val="1"/>
      <w:numFmt w:val="bullet"/>
      <w:lvlText w:val=""/>
      <w:lvlJc w:val="left"/>
      <w:pPr>
        <w:tabs>
          <w:tab w:val="num" w:pos="1287"/>
        </w:tabs>
        <w:ind w:left="1287" w:hanging="360"/>
      </w:pPr>
      <w:rPr>
        <w:rFonts w:ascii="Symbol" w:hAnsi="Symbol"/>
      </w:rPr>
    </w:lvl>
    <w:lvl w:ilvl="1">
      <w:start w:val="1"/>
      <w:numFmt w:val="bullet"/>
      <w:lvlText w:val="◦"/>
      <w:lvlJc w:val="left"/>
      <w:pPr>
        <w:tabs>
          <w:tab w:val="num" w:pos="1647"/>
        </w:tabs>
        <w:ind w:left="1647" w:hanging="360"/>
      </w:pPr>
      <w:rPr>
        <w:rFonts w:ascii="OpenSymbol" w:hAnsi="OpenSymbol"/>
      </w:rPr>
    </w:lvl>
    <w:lvl w:ilvl="2">
      <w:start w:val="1"/>
      <w:numFmt w:val="bullet"/>
      <w:lvlText w:val="▪"/>
      <w:lvlJc w:val="left"/>
      <w:pPr>
        <w:tabs>
          <w:tab w:val="num" w:pos="2007"/>
        </w:tabs>
        <w:ind w:left="2007" w:hanging="360"/>
      </w:pPr>
      <w:rPr>
        <w:rFonts w:ascii="OpenSymbol" w:hAnsi="OpenSymbol"/>
      </w:rPr>
    </w:lvl>
    <w:lvl w:ilvl="3">
      <w:start w:val="1"/>
      <w:numFmt w:val="bullet"/>
      <w:lvlText w:val=""/>
      <w:lvlJc w:val="left"/>
      <w:pPr>
        <w:tabs>
          <w:tab w:val="num" w:pos="2367"/>
        </w:tabs>
        <w:ind w:left="2367" w:hanging="360"/>
      </w:pPr>
      <w:rPr>
        <w:rFonts w:ascii="Symbol" w:hAnsi="Symbol"/>
      </w:rPr>
    </w:lvl>
    <w:lvl w:ilvl="4">
      <w:start w:val="1"/>
      <w:numFmt w:val="bullet"/>
      <w:lvlText w:val="◦"/>
      <w:lvlJc w:val="left"/>
      <w:pPr>
        <w:tabs>
          <w:tab w:val="num" w:pos="2727"/>
        </w:tabs>
        <w:ind w:left="2727" w:hanging="360"/>
      </w:pPr>
      <w:rPr>
        <w:rFonts w:ascii="OpenSymbol" w:hAnsi="OpenSymbol"/>
      </w:rPr>
    </w:lvl>
    <w:lvl w:ilvl="5">
      <w:start w:val="1"/>
      <w:numFmt w:val="bullet"/>
      <w:lvlText w:val="▪"/>
      <w:lvlJc w:val="left"/>
      <w:pPr>
        <w:tabs>
          <w:tab w:val="num" w:pos="3087"/>
        </w:tabs>
        <w:ind w:left="3087" w:hanging="360"/>
      </w:pPr>
      <w:rPr>
        <w:rFonts w:ascii="OpenSymbol" w:hAnsi="OpenSymbol"/>
      </w:rPr>
    </w:lvl>
    <w:lvl w:ilvl="6">
      <w:start w:val="1"/>
      <w:numFmt w:val="bullet"/>
      <w:lvlText w:val=""/>
      <w:lvlJc w:val="left"/>
      <w:pPr>
        <w:tabs>
          <w:tab w:val="num" w:pos="3447"/>
        </w:tabs>
        <w:ind w:left="3447" w:hanging="360"/>
      </w:pPr>
      <w:rPr>
        <w:rFonts w:ascii="Symbol" w:hAnsi="Symbol"/>
      </w:rPr>
    </w:lvl>
    <w:lvl w:ilvl="7">
      <w:start w:val="1"/>
      <w:numFmt w:val="bullet"/>
      <w:lvlText w:val="◦"/>
      <w:lvlJc w:val="left"/>
      <w:pPr>
        <w:tabs>
          <w:tab w:val="num" w:pos="3807"/>
        </w:tabs>
        <w:ind w:left="3807" w:hanging="360"/>
      </w:pPr>
      <w:rPr>
        <w:rFonts w:ascii="OpenSymbol" w:hAnsi="OpenSymbol"/>
      </w:rPr>
    </w:lvl>
    <w:lvl w:ilvl="8">
      <w:start w:val="1"/>
      <w:numFmt w:val="bullet"/>
      <w:lvlText w:val="▪"/>
      <w:lvlJc w:val="left"/>
      <w:pPr>
        <w:tabs>
          <w:tab w:val="num" w:pos="4167"/>
        </w:tabs>
        <w:ind w:left="4167" w:hanging="360"/>
      </w:pPr>
      <w:rPr>
        <w:rFonts w:ascii="OpenSymbol" w:hAnsi="OpenSymbol"/>
      </w:rPr>
    </w:lvl>
  </w:abstractNum>
  <w:abstractNum w:abstractNumId="15" w15:restartNumberingAfterBreak="0">
    <w:nsid w:val="00000010"/>
    <w:multiLevelType w:val="multilevel"/>
    <w:tmpl w:val="00000010"/>
    <w:name w:val="WW8Num16"/>
    <w:lvl w:ilvl="0">
      <w:start w:val="3"/>
      <w:numFmt w:val="decimal"/>
      <w:lvlText w:val="%1."/>
      <w:lvlJc w:val="left"/>
      <w:pPr>
        <w:tabs>
          <w:tab w:val="num" w:pos="720"/>
        </w:tabs>
        <w:ind w:left="720" w:hanging="360"/>
      </w:pPr>
      <w:rPr>
        <w:rFonts w:ascii="StarSymbol" w:hAnsi="StarSymbol"/>
      </w:rPr>
    </w:lvl>
    <w:lvl w:ilvl="1">
      <w:start w:val="2"/>
      <w:numFmt w:val="decimal"/>
      <w:lvlText w:val="%1.%2."/>
      <w:lvlJc w:val="left"/>
      <w:pPr>
        <w:tabs>
          <w:tab w:val="num" w:pos="1080"/>
        </w:tabs>
        <w:ind w:left="1080" w:hanging="360"/>
      </w:pPr>
      <w:rPr>
        <w:rFonts w:ascii="StarSymbol" w:hAnsi="StarSymbol"/>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6" w15:restartNumberingAfterBreak="0">
    <w:nsid w:val="00000011"/>
    <w:multiLevelType w:val="multilevel"/>
    <w:tmpl w:val="00000011"/>
    <w:name w:val="WW8Num17"/>
    <w:lvl w:ilvl="0">
      <w:start w:val="2"/>
      <w:numFmt w:val="decimal"/>
      <w:lvlText w:val="%1."/>
      <w:lvlJc w:val="left"/>
      <w:pPr>
        <w:tabs>
          <w:tab w:val="num" w:pos="720"/>
        </w:tabs>
        <w:ind w:left="720" w:hanging="360"/>
      </w:pPr>
      <w:rPr>
        <w:rFonts w:ascii="Times New Roman" w:eastAsia="Times New Roman" w:hAnsi="Times New Roman" w:cs="Times New Roman"/>
      </w:rPr>
    </w:lvl>
    <w:lvl w:ilvl="1">
      <w:start w:val="3"/>
      <w:numFmt w:val="decimal"/>
      <w:lvlText w:val="%1.%2."/>
      <w:lvlJc w:val="left"/>
      <w:pPr>
        <w:tabs>
          <w:tab w:val="num" w:pos="1080"/>
        </w:tabs>
        <w:ind w:left="1080" w:hanging="360"/>
      </w:pPr>
      <w:rPr>
        <w:rFonts w:ascii="Times New Roman" w:eastAsia="Times New Roman" w:hAnsi="Times New Roman" w:cs="Times New Roman"/>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7" w15:restartNumberingAfterBreak="0">
    <w:nsid w:val="00000012"/>
    <w:multiLevelType w:val="multilevel"/>
    <w:tmpl w:val="00000012"/>
    <w:name w:val="WW8Num18"/>
    <w:lvl w:ilvl="0">
      <w:start w:val="2"/>
      <w:numFmt w:val="decimal"/>
      <w:lvlText w:val="%1."/>
      <w:lvlJc w:val="left"/>
      <w:pPr>
        <w:tabs>
          <w:tab w:val="num" w:pos="720"/>
        </w:tabs>
        <w:ind w:left="720" w:hanging="360"/>
      </w:pPr>
      <w:rPr>
        <w:rFonts w:ascii="StarSymbol" w:hAnsi="StarSymbol"/>
      </w:rPr>
    </w:lvl>
    <w:lvl w:ilvl="1">
      <w:start w:val="2"/>
      <w:numFmt w:val="decimal"/>
      <w:lvlText w:val="%1.%2."/>
      <w:lvlJc w:val="left"/>
      <w:pPr>
        <w:tabs>
          <w:tab w:val="num" w:pos="1080"/>
        </w:tabs>
        <w:ind w:left="1080" w:hanging="360"/>
      </w:pPr>
      <w:rPr>
        <w:rFonts w:ascii="StarSymbol" w:hAnsi="StarSymbol"/>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8" w15:restartNumberingAfterBreak="0">
    <w:nsid w:val="00000013"/>
    <w:multiLevelType w:val="multilevel"/>
    <w:tmpl w:val="00000013"/>
    <w:name w:val="WW8Num19"/>
    <w:lvl w:ilvl="0">
      <w:start w:val="2"/>
      <w:numFmt w:val="decimal"/>
      <w:lvlText w:val="%1."/>
      <w:lvlJc w:val="left"/>
      <w:pPr>
        <w:tabs>
          <w:tab w:val="num" w:pos="720"/>
        </w:tabs>
        <w:ind w:left="720" w:hanging="360"/>
      </w:pPr>
      <w:rPr>
        <w:rFonts w:ascii="StarSymbol" w:hAnsi="StarSymbol"/>
      </w:rPr>
    </w:lvl>
    <w:lvl w:ilvl="1">
      <w:start w:val="2"/>
      <w:numFmt w:val="decimal"/>
      <w:lvlText w:val="%1.%2."/>
      <w:lvlJc w:val="left"/>
      <w:pPr>
        <w:tabs>
          <w:tab w:val="num" w:pos="1080"/>
        </w:tabs>
        <w:ind w:left="1080" w:hanging="360"/>
      </w:pPr>
      <w:rPr>
        <w:rFonts w:ascii="StarSymbol" w:hAnsi="StarSymbol"/>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9" w15:restartNumberingAfterBreak="0">
    <w:nsid w:val="00000014"/>
    <w:multiLevelType w:val="multilevel"/>
    <w:tmpl w:val="00000014"/>
    <w:name w:val="WW8Num20"/>
    <w:lvl w:ilvl="0">
      <w:start w:val="2"/>
      <w:numFmt w:val="decimal"/>
      <w:lvlText w:val="%1."/>
      <w:lvlJc w:val="left"/>
      <w:pPr>
        <w:tabs>
          <w:tab w:val="num" w:pos="720"/>
        </w:tabs>
        <w:ind w:left="720" w:hanging="360"/>
      </w:pPr>
      <w:rPr>
        <w:rFonts w:ascii="StarSymbol" w:hAnsi="StarSymbol"/>
      </w:rPr>
    </w:lvl>
    <w:lvl w:ilvl="1">
      <w:start w:val="10"/>
      <w:numFmt w:val="decimal"/>
      <w:lvlText w:val="%1.%2."/>
      <w:lvlJc w:val="left"/>
      <w:pPr>
        <w:tabs>
          <w:tab w:val="num" w:pos="1080"/>
        </w:tabs>
        <w:ind w:left="1080" w:hanging="360"/>
      </w:pPr>
      <w:rPr>
        <w:rFonts w:ascii="StarSymbol" w:hAnsi="StarSymbol"/>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0" w15:restartNumberingAfterBreak="0">
    <w:nsid w:val="00000015"/>
    <w:multiLevelType w:val="multilevel"/>
    <w:tmpl w:val="00000015"/>
    <w:name w:val="WW8Num21"/>
    <w:lvl w:ilvl="0">
      <w:start w:val="5"/>
      <w:numFmt w:val="decimal"/>
      <w:lvlText w:val="%1."/>
      <w:lvlJc w:val="left"/>
      <w:pPr>
        <w:tabs>
          <w:tab w:val="num" w:pos="720"/>
        </w:tabs>
        <w:ind w:left="720" w:hanging="360"/>
      </w:pPr>
      <w:rPr>
        <w:rFonts w:ascii="Times New Roman" w:eastAsia="Times New Roman" w:hAnsi="Times New Roman" w:cs="Times New Roman"/>
      </w:rPr>
    </w:lvl>
    <w:lvl w:ilvl="1">
      <w:start w:val="14"/>
      <w:numFmt w:val="decimal"/>
      <w:lvlText w:val="%1.%2."/>
      <w:lvlJc w:val="left"/>
      <w:pPr>
        <w:tabs>
          <w:tab w:val="num" w:pos="1080"/>
        </w:tabs>
        <w:ind w:left="1080" w:hanging="360"/>
      </w:pPr>
      <w:rPr>
        <w:rFonts w:ascii="Times New Roman" w:eastAsia="Times New Roman" w:hAnsi="Times New Roman" w:cs="Times New Roman"/>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1" w15:restartNumberingAfterBreak="0">
    <w:nsid w:val="00000016"/>
    <w:multiLevelType w:val="multilevel"/>
    <w:tmpl w:val="00000016"/>
    <w:name w:val="WW8Num22"/>
    <w:lvl w:ilvl="0">
      <w:start w:val="5"/>
      <w:numFmt w:val="decimal"/>
      <w:lvlText w:val="%1."/>
      <w:lvlJc w:val="left"/>
      <w:pPr>
        <w:tabs>
          <w:tab w:val="num" w:pos="720"/>
        </w:tabs>
        <w:ind w:left="720" w:hanging="360"/>
      </w:pPr>
      <w:rPr>
        <w:rFonts w:ascii="Arial" w:eastAsia="Times New Roman" w:hAnsi="Arial" w:cs="Times New Roman"/>
        <w:sz w:val="20"/>
        <w:szCs w:val="20"/>
      </w:rPr>
    </w:lvl>
    <w:lvl w:ilvl="1">
      <w:start w:val="14"/>
      <w:numFmt w:val="decimal"/>
      <w:lvlText w:val="%1.%2."/>
      <w:lvlJc w:val="left"/>
      <w:pPr>
        <w:tabs>
          <w:tab w:val="num" w:pos="1080"/>
        </w:tabs>
        <w:ind w:left="1080" w:hanging="360"/>
      </w:pPr>
      <w:rPr>
        <w:rFonts w:ascii="Arial" w:eastAsia="Times New Roman" w:hAnsi="Arial" w:cs="Times New Roman"/>
        <w:sz w:val="20"/>
        <w:szCs w:val="2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2" w15:restartNumberingAfterBreak="0">
    <w:nsid w:val="00000017"/>
    <w:multiLevelType w:val="multilevel"/>
    <w:tmpl w:val="00000017"/>
    <w:name w:val="WW8Num23"/>
    <w:lvl w:ilvl="0">
      <w:start w:val="5"/>
      <w:numFmt w:val="decimal"/>
      <w:lvlText w:val="%1."/>
      <w:lvlJc w:val="left"/>
      <w:pPr>
        <w:tabs>
          <w:tab w:val="num" w:pos="720"/>
        </w:tabs>
        <w:ind w:left="720" w:hanging="360"/>
      </w:pPr>
      <w:rPr>
        <w:rFonts w:ascii="Arial" w:eastAsia="Times New Roman" w:hAnsi="Arial" w:cs="Times New Roman"/>
        <w:sz w:val="20"/>
        <w:szCs w:val="20"/>
      </w:rPr>
    </w:lvl>
    <w:lvl w:ilvl="1">
      <w:start w:val="3"/>
      <w:numFmt w:val="decimal"/>
      <w:lvlText w:val="%1.%2."/>
      <w:lvlJc w:val="left"/>
      <w:pPr>
        <w:tabs>
          <w:tab w:val="num" w:pos="1080"/>
        </w:tabs>
        <w:ind w:left="1080" w:hanging="360"/>
      </w:pPr>
      <w:rPr>
        <w:rFonts w:ascii="Arial" w:eastAsia="Times New Roman" w:hAnsi="Arial" w:cs="Times New Roman"/>
        <w:sz w:val="20"/>
        <w:szCs w:val="2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3" w15:restartNumberingAfterBreak="0">
    <w:nsid w:val="00000018"/>
    <w:multiLevelType w:val="multilevel"/>
    <w:tmpl w:val="00000018"/>
    <w:name w:val="WW8Num24"/>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24" w15:restartNumberingAfterBreak="0">
    <w:nsid w:val="00000019"/>
    <w:multiLevelType w:val="multilevel"/>
    <w:tmpl w:val="00000019"/>
    <w:name w:val="WW8Num25"/>
    <w:lvl w:ilvl="0">
      <w:start w:val="3"/>
      <w:numFmt w:val="decimal"/>
      <w:lvlText w:val="%1."/>
      <w:lvlJc w:val="left"/>
      <w:pPr>
        <w:tabs>
          <w:tab w:val="num" w:pos="720"/>
        </w:tabs>
        <w:ind w:left="720" w:hanging="360"/>
      </w:pPr>
      <w:rPr>
        <w:rFonts w:ascii="StarSymbol" w:hAnsi="StarSymbol"/>
      </w:rPr>
    </w:lvl>
    <w:lvl w:ilvl="1">
      <w:start w:val="1"/>
      <w:numFmt w:val="decimal"/>
      <w:lvlText w:val="%1.%2."/>
      <w:lvlJc w:val="left"/>
      <w:pPr>
        <w:tabs>
          <w:tab w:val="num" w:pos="1080"/>
        </w:tabs>
        <w:ind w:left="1080" w:hanging="360"/>
      </w:pPr>
      <w:rPr>
        <w:rFonts w:ascii="StarSymbol" w:hAnsi="StarSymbol"/>
      </w:rPr>
    </w:lvl>
    <w:lvl w:ilvl="2">
      <w:start w:val="2"/>
      <w:numFmt w:val="decimal"/>
      <w:lvlText w:val="%1.%2.%3."/>
      <w:lvlJc w:val="left"/>
      <w:pPr>
        <w:tabs>
          <w:tab w:val="num" w:pos="1440"/>
        </w:tabs>
        <w:ind w:left="1440" w:hanging="360"/>
      </w:pPr>
      <w:rPr>
        <w:rFonts w:ascii="StarSymbol" w:hAnsi="StarSymbol"/>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5" w15:restartNumberingAfterBreak="0">
    <w:nsid w:val="0000001A"/>
    <w:multiLevelType w:val="multilevel"/>
    <w:tmpl w:val="0000001A"/>
    <w:name w:val="WW8Num27"/>
    <w:lvl w:ilvl="0">
      <w:start w:val="3"/>
      <w:numFmt w:val="decimal"/>
      <w:lvlText w:val="%1."/>
      <w:lvlJc w:val="left"/>
      <w:pPr>
        <w:tabs>
          <w:tab w:val="num" w:pos="720"/>
        </w:tabs>
        <w:ind w:left="720" w:hanging="360"/>
      </w:pPr>
      <w:rPr>
        <w:b w:val="0"/>
        <w:i w:val="0"/>
      </w:rPr>
    </w:lvl>
    <w:lvl w:ilvl="1">
      <w:start w:val="2"/>
      <w:numFmt w:val="decimal"/>
      <w:lvlText w:val="%1.%2."/>
      <w:lvlJc w:val="left"/>
      <w:pPr>
        <w:tabs>
          <w:tab w:val="num" w:pos="1080"/>
        </w:tabs>
        <w:ind w:left="1080" w:hanging="360"/>
      </w:pPr>
      <w:rPr>
        <w:b w:val="0"/>
        <w:i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6" w15:restartNumberingAfterBreak="0">
    <w:nsid w:val="0000001B"/>
    <w:multiLevelType w:val="multilevel"/>
    <w:tmpl w:val="0000001B"/>
    <w:name w:val="WW8Num28"/>
    <w:lvl w:ilvl="0">
      <w:start w:val="2"/>
      <w:numFmt w:val="decimal"/>
      <w:lvlText w:val="%1."/>
      <w:lvlJc w:val="left"/>
      <w:pPr>
        <w:tabs>
          <w:tab w:val="num" w:pos="720"/>
        </w:tabs>
        <w:ind w:left="720" w:hanging="360"/>
      </w:pPr>
      <w:rPr>
        <w:rFonts w:ascii="StarSymbol" w:hAnsi="StarSymbol"/>
      </w:rPr>
    </w:lvl>
    <w:lvl w:ilvl="1">
      <w:start w:val="4"/>
      <w:numFmt w:val="decimal"/>
      <w:lvlText w:val="%1.%2."/>
      <w:lvlJc w:val="left"/>
      <w:pPr>
        <w:tabs>
          <w:tab w:val="num" w:pos="1080"/>
        </w:tabs>
        <w:ind w:left="1080" w:hanging="360"/>
      </w:pPr>
      <w:rPr>
        <w:rFonts w:ascii="StarSymbol" w:hAnsi="StarSymbol"/>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7" w15:restartNumberingAfterBreak="0">
    <w:nsid w:val="0000001C"/>
    <w:multiLevelType w:val="multilevel"/>
    <w:tmpl w:val="0000001C"/>
    <w:name w:val="WW8Num29"/>
    <w:lvl w:ilvl="0">
      <w:start w:val="2"/>
      <w:numFmt w:val="decimal"/>
      <w:lvlText w:val="%1."/>
      <w:lvlJc w:val="left"/>
      <w:pPr>
        <w:tabs>
          <w:tab w:val="num" w:pos="720"/>
        </w:tabs>
        <w:ind w:left="720" w:hanging="360"/>
      </w:pPr>
      <w:rPr>
        <w:rFonts w:ascii="StarSymbol" w:hAnsi="StarSymbol"/>
      </w:rPr>
    </w:lvl>
    <w:lvl w:ilvl="1">
      <w:start w:val="3"/>
      <w:numFmt w:val="decimal"/>
      <w:lvlText w:val="%1.%2."/>
      <w:lvlJc w:val="left"/>
      <w:pPr>
        <w:tabs>
          <w:tab w:val="num" w:pos="1080"/>
        </w:tabs>
        <w:ind w:left="1080" w:hanging="360"/>
      </w:pPr>
      <w:rPr>
        <w:rFonts w:ascii="StarSymbol" w:hAnsi="StarSymbol"/>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8" w15:restartNumberingAfterBreak="0">
    <w:nsid w:val="0000001D"/>
    <w:multiLevelType w:val="multilevel"/>
    <w:tmpl w:val="0000001D"/>
    <w:name w:val="WW8Num30"/>
    <w:lvl w:ilvl="0">
      <w:start w:val="2"/>
      <w:numFmt w:val="decimal"/>
      <w:lvlText w:val="%1."/>
      <w:lvlJc w:val="left"/>
      <w:pPr>
        <w:tabs>
          <w:tab w:val="num" w:pos="720"/>
        </w:tabs>
        <w:ind w:left="720" w:hanging="360"/>
      </w:pPr>
      <w:rPr>
        <w:rFonts w:ascii="Times New Roman" w:eastAsia="Times New Roman" w:hAnsi="Times New Roman" w:cs="Times New Roman"/>
      </w:rPr>
    </w:lvl>
    <w:lvl w:ilvl="1">
      <w:start w:val="2"/>
      <w:numFmt w:val="decimal"/>
      <w:lvlText w:val="%1.%2."/>
      <w:lvlJc w:val="left"/>
      <w:pPr>
        <w:tabs>
          <w:tab w:val="num" w:pos="1080"/>
        </w:tabs>
        <w:ind w:left="1080" w:hanging="360"/>
      </w:pPr>
      <w:rPr>
        <w:rFonts w:ascii="Times New Roman" w:eastAsia="Times New Roman" w:hAnsi="Times New Roman" w:cs="Times New Roman"/>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9" w15:restartNumberingAfterBreak="0">
    <w:nsid w:val="0000001E"/>
    <w:multiLevelType w:val="multilevel"/>
    <w:tmpl w:val="0000001E"/>
    <w:name w:val="WW8Num31"/>
    <w:lvl w:ilvl="0">
      <w:start w:val="2"/>
      <w:numFmt w:val="decimal"/>
      <w:lvlText w:val="%1."/>
      <w:lvlJc w:val="left"/>
      <w:pPr>
        <w:tabs>
          <w:tab w:val="num" w:pos="720"/>
        </w:tabs>
        <w:ind w:left="720" w:hanging="360"/>
      </w:pPr>
      <w:rPr>
        <w:rFonts w:ascii="StarSymbol" w:hAnsi="StarSymbol"/>
      </w:rPr>
    </w:lvl>
    <w:lvl w:ilvl="1">
      <w:start w:val="2"/>
      <w:numFmt w:val="decimal"/>
      <w:lvlText w:val="%1.%2."/>
      <w:lvlJc w:val="left"/>
      <w:pPr>
        <w:tabs>
          <w:tab w:val="num" w:pos="1080"/>
        </w:tabs>
        <w:ind w:left="1080" w:hanging="360"/>
      </w:pPr>
      <w:rPr>
        <w:rFonts w:ascii="StarSymbol" w:hAnsi="StarSymbol"/>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0" w15:restartNumberingAfterBreak="0">
    <w:nsid w:val="0000001F"/>
    <w:multiLevelType w:val="multilevel"/>
    <w:tmpl w:val="0000001F"/>
    <w:name w:val="WW8Num32"/>
    <w:lvl w:ilvl="0">
      <w:start w:val="2"/>
      <w:numFmt w:val="decimal"/>
      <w:lvlText w:val="%1."/>
      <w:lvlJc w:val="left"/>
      <w:pPr>
        <w:tabs>
          <w:tab w:val="num" w:pos="720"/>
        </w:tabs>
        <w:ind w:left="720" w:hanging="360"/>
      </w:pPr>
      <w:rPr>
        <w:rFonts w:ascii="StarSymbol" w:hAnsi="StarSymbol"/>
      </w:rPr>
    </w:lvl>
    <w:lvl w:ilvl="1">
      <w:start w:val="10"/>
      <w:numFmt w:val="decimal"/>
      <w:lvlText w:val="%1.%2."/>
      <w:lvlJc w:val="left"/>
      <w:pPr>
        <w:tabs>
          <w:tab w:val="num" w:pos="1080"/>
        </w:tabs>
        <w:ind w:left="1080" w:hanging="360"/>
      </w:pPr>
      <w:rPr>
        <w:rFonts w:ascii="StarSymbol" w:hAnsi="StarSymbol"/>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1" w15:restartNumberingAfterBreak="0">
    <w:nsid w:val="01EE34A2"/>
    <w:multiLevelType w:val="hybridMultilevel"/>
    <w:tmpl w:val="D5C8FD90"/>
    <w:lvl w:ilvl="0" w:tplc="15EE959E">
      <w:numFmt w:val="bullet"/>
      <w:lvlText w:val="-"/>
      <w:lvlJc w:val="left"/>
      <w:pPr>
        <w:ind w:left="1723" w:hanging="360"/>
      </w:pPr>
      <w:rPr>
        <w:rFonts w:ascii="Arial" w:eastAsia="Times New Roman" w:hAnsi="Arial" w:cs="Arial" w:hint="default"/>
      </w:rPr>
    </w:lvl>
    <w:lvl w:ilvl="1" w:tplc="04190003" w:tentative="1">
      <w:start w:val="1"/>
      <w:numFmt w:val="bullet"/>
      <w:lvlText w:val="o"/>
      <w:lvlJc w:val="left"/>
      <w:pPr>
        <w:ind w:left="2443" w:hanging="360"/>
      </w:pPr>
      <w:rPr>
        <w:rFonts w:ascii="Courier New" w:hAnsi="Courier New" w:cs="Courier New" w:hint="default"/>
      </w:rPr>
    </w:lvl>
    <w:lvl w:ilvl="2" w:tplc="04190005" w:tentative="1">
      <w:start w:val="1"/>
      <w:numFmt w:val="bullet"/>
      <w:lvlText w:val=""/>
      <w:lvlJc w:val="left"/>
      <w:pPr>
        <w:ind w:left="3163" w:hanging="360"/>
      </w:pPr>
      <w:rPr>
        <w:rFonts w:ascii="Wingdings" w:hAnsi="Wingdings" w:hint="default"/>
      </w:rPr>
    </w:lvl>
    <w:lvl w:ilvl="3" w:tplc="04190001" w:tentative="1">
      <w:start w:val="1"/>
      <w:numFmt w:val="bullet"/>
      <w:lvlText w:val=""/>
      <w:lvlJc w:val="left"/>
      <w:pPr>
        <w:ind w:left="3883" w:hanging="360"/>
      </w:pPr>
      <w:rPr>
        <w:rFonts w:ascii="Symbol" w:hAnsi="Symbol" w:hint="default"/>
      </w:rPr>
    </w:lvl>
    <w:lvl w:ilvl="4" w:tplc="04190003" w:tentative="1">
      <w:start w:val="1"/>
      <w:numFmt w:val="bullet"/>
      <w:lvlText w:val="o"/>
      <w:lvlJc w:val="left"/>
      <w:pPr>
        <w:ind w:left="4603" w:hanging="360"/>
      </w:pPr>
      <w:rPr>
        <w:rFonts w:ascii="Courier New" w:hAnsi="Courier New" w:cs="Courier New" w:hint="default"/>
      </w:rPr>
    </w:lvl>
    <w:lvl w:ilvl="5" w:tplc="04190005" w:tentative="1">
      <w:start w:val="1"/>
      <w:numFmt w:val="bullet"/>
      <w:lvlText w:val=""/>
      <w:lvlJc w:val="left"/>
      <w:pPr>
        <w:ind w:left="5323" w:hanging="360"/>
      </w:pPr>
      <w:rPr>
        <w:rFonts w:ascii="Wingdings" w:hAnsi="Wingdings" w:hint="default"/>
      </w:rPr>
    </w:lvl>
    <w:lvl w:ilvl="6" w:tplc="04190001" w:tentative="1">
      <w:start w:val="1"/>
      <w:numFmt w:val="bullet"/>
      <w:lvlText w:val=""/>
      <w:lvlJc w:val="left"/>
      <w:pPr>
        <w:ind w:left="6043" w:hanging="360"/>
      </w:pPr>
      <w:rPr>
        <w:rFonts w:ascii="Symbol" w:hAnsi="Symbol" w:hint="default"/>
      </w:rPr>
    </w:lvl>
    <w:lvl w:ilvl="7" w:tplc="04190003" w:tentative="1">
      <w:start w:val="1"/>
      <w:numFmt w:val="bullet"/>
      <w:lvlText w:val="o"/>
      <w:lvlJc w:val="left"/>
      <w:pPr>
        <w:ind w:left="6763" w:hanging="360"/>
      </w:pPr>
      <w:rPr>
        <w:rFonts w:ascii="Courier New" w:hAnsi="Courier New" w:cs="Courier New" w:hint="default"/>
      </w:rPr>
    </w:lvl>
    <w:lvl w:ilvl="8" w:tplc="04190005" w:tentative="1">
      <w:start w:val="1"/>
      <w:numFmt w:val="bullet"/>
      <w:lvlText w:val=""/>
      <w:lvlJc w:val="left"/>
      <w:pPr>
        <w:ind w:left="7483" w:hanging="360"/>
      </w:pPr>
      <w:rPr>
        <w:rFonts w:ascii="Wingdings" w:hAnsi="Wingdings" w:hint="default"/>
      </w:rPr>
    </w:lvl>
  </w:abstractNum>
  <w:abstractNum w:abstractNumId="32" w15:restartNumberingAfterBreak="0">
    <w:nsid w:val="09070044"/>
    <w:multiLevelType w:val="multilevel"/>
    <w:tmpl w:val="986E220A"/>
    <w:lvl w:ilvl="0">
      <w:start w:val="2"/>
      <w:numFmt w:val="decimal"/>
      <w:lvlText w:val="%1"/>
      <w:lvlJc w:val="left"/>
      <w:pPr>
        <w:ind w:left="450" w:hanging="450"/>
      </w:pPr>
      <w:rPr>
        <w:rFonts w:hint="default"/>
      </w:rPr>
    </w:lvl>
    <w:lvl w:ilvl="1">
      <w:start w:val="3"/>
      <w:numFmt w:val="decimal"/>
      <w:lvlText w:val="%1.%2"/>
      <w:lvlJc w:val="left"/>
      <w:pPr>
        <w:ind w:left="450" w:hanging="450"/>
      </w:pPr>
      <w:rPr>
        <w:rFonts w:hint="default"/>
      </w:rPr>
    </w:lvl>
    <w:lvl w:ilvl="2">
      <w:start w:val="11"/>
      <w:numFmt w:val="decimal"/>
      <w:lvlText w:val="%1.%2.%3"/>
      <w:lvlJc w:val="left"/>
      <w:pPr>
        <w:ind w:left="450" w:hanging="45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094A0339"/>
    <w:multiLevelType w:val="multilevel"/>
    <w:tmpl w:val="8A64C7A4"/>
    <w:lvl w:ilvl="0">
      <w:start w:val="2"/>
      <w:numFmt w:val="decimal"/>
      <w:lvlText w:val="%1."/>
      <w:lvlJc w:val="left"/>
      <w:pPr>
        <w:ind w:left="495" w:hanging="495"/>
      </w:pPr>
      <w:rPr>
        <w:rFonts w:hint="default"/>
      </w:rPr>
    </w:lvl>
    <w:lvl w:ilvl="1">
      <w:start w:val="2"/>
      <w:numFmt w:val="decimal"/>
      <w:lvlText w:val="%1.%2."/>
      <w:lvlJc w:val="left"/>
      <w:pPr>
        <w:ind w:left="765" w:hanging="495"/>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34" w15:restartNumberingAfterBreak="0">
    <w:nsid w:val="0C182B6F"/>
    <w:multiLevelType w:val="hybridMultilevel"/>
    <w:tmpl w:val="DA30FAAA"/>
    <w:lvl w:ilvl="0" w:tplc="F8D6B0D6">
      <w:start w:val="1"/>
      <w:numFmt w:val="bullet"/>
      <w:lvlText w:val=""/>
      <w:lvlJc w:val="left"/>
      <w:pPr>
        <w:ind w:left="944" w:hanging="360"/>
      </w:pPr>
      <w:rPr>
        <w:rFonts w:ascii="Symbol" w:hAnsi="Symbol" w:hint="default"/>
      </w:rPr>
    </w:lvl>
    <w:lvl w:ilvl="1" w:tplc="D2CA1960">
      <w:numFmt w:val="bullet"/>
      <w:lvlText w:val="-"/>
      <w:lvlJc w:val="left"/>
      <w:pPr>
        <w:ind w:left="1664" w:hanging="360"/>
      </w:pPr>
      <w:rPr>
        <w:rFonts w:ascii="Times New Roman" w:eastAsia="Arial Unicode MS" w:hAnsi="Times New Roman" w:cs="Times New Roman" w:hint="default"/>
      </w:rPr>
    </w:lvl>
    <w:lvl w:ilvl="2" w:tplc="04220005" w:tentative="1">
      <w:start w:val="1"/>
      <w:numFmt w:val="bullet"/>
      <w:lvlText w:val=""/>
      <w:lvlJc w:val="left"/>
      <w:pPr>
        <w:ind w:left="2384" w:hanging="360"/>
      </w:pPr>
      <w:rPr>
        <w:rFonts w:ascii="Wingdings" w:hAnsi="Wingdings" w:hint="default"/>
      </w:rPr>
    </w:lvl>
    <w:lvl w:ilvl="3" w:tplc="04220001" w:tentative="1">
      <w:start w:val="1"/>
      <w:numFmt w:val="bullet"/>
      <w:lvlText w:val=""/>
      <w:lvlJc w:val="left"/>
      <w:pPr>
        <w:ind w:left="3104" w:hanging="360"/>
      </w:pPr>
      <w:rPr>
        <w:rFonts w:ascii="Symbol" w:hAnsi="Symbol" w:hint="default"/>
      </w:rPr>
    </w:lvl>
    <w:lvl w:ilvl="4" w:tplc="04220003" w:tentative="1">
      <w:start w:val="1"/>
      <w:numFmt w:val="bullet"/>
      <w:lvlText w:val="o"/>
      <w:lvlJc w:val="left"/>
      <w:pPr>
        <w:ind w:left="3824" w:hanging="360"/>
      </w:pPr>
      <w:rPr>
        <w:rFonts w:ascii="Courier New" w:hAnsi="Courier New" w:cs="Courier New" w:hint="default"/>
      </w:rPr>
    </w:lvl>
    <w:lvl w:ilvl="5" w:tplc="04220005" w:tentative="1">
      <w:start w:val="1"/>
      <w:numFmt w:val="bullet"/>
      <w:lvlText w:val=""/>
      <w:lvlJc w:val="left"/>
      <w:pPr>
        <w:ind w:left="4544" w:hanging="360"/>
      </w:pPr>
      <w:rPr>
        <w:rFonts w:ascii="Wingdings" w:hAnsi="Wingdings" w:hint="default"/>
      </w:rPr>
    </w:lvl>
    <w:lvl w:ilvl="6" w:tplc="04220001" w:tentative="1">
      <w:start w:val="1"/>
      <w:numFmt w:val="bullet"/>
      <w:lvlText w:val=""/>
      <w:lvlJc w:val="left"/>
      <w:pPr>
        <w:ind w:left="5264" w:hanging="360"/>
      </w:pPr>
      <w:rPr>
        <w:rFonts w:ascii="Symbol" w:hAnsi="Symbol" w:hint="default"/>
      </w:rPr>
    </w:lvl>
    <w:lvl w:ilvl="7" w:tplc="04220003" w:tentative="1">
      <w:start w:val="1"/>
      <w:numFmt w:val="bullet"/>
      <w:lvlText w:val="o"/>
      <w:lvlJc w:val="left"/>
      <w:pPr>
        <w:ind w:left="5984" w:hanging="360"/>
      </w:pPr>
      <w:rPr>
        <w:rFonts w:ascii="Courier New" w:hAnsi="Courier New" w:cs="Courier New" w:hint="default"/>
      </w:rPr>
    </w:lvl>
    <w:lvl w:ilvl="8" w:tplc="04220005" w:tentative="1">
      <w:start w:val="1"/>
      <w:numFmt w:val="bullet"/>
      <w:lvlText w:val=""/>
      <w:lvlJc w:val="left"/>
      <w:pPr>
        <w:ind w:left="6704" w:hanging="360"/>
      </w:pPr>
      <w:rPr>
        <w:rFonts w:ascii="Wingdings" w:hAnsi="Wingdings" w:hint="default"/>
      </w:rPr>
    </w:lvl>
  </w:abstractNum>
  <w:abstractNum w:abstractNumId="35" w15:restartNumberingAfterBreak="0">
    <w:nsid w:val="17072C1C"/>
    <w:multiLevelType w:val="multilevel"/>
    <w:tmpl w:val="BC8023F0"/>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6" w15:restartNumberingAfterBreak="0">
    <w:nsid w:val="180F1E69"/>
    <w:multiLevelType w:val="multilevel"/>
    <w:tmpl w:val="AC4420A6"/>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1C517B87"/>
    <w:multiLevelType w:val="hybridMultilevel"/>
    <w:tmpl w:val="8362CCA0"/>
    <w:lvl w:ilvl="0" w:tplc="F8D6B0D6">
      <w:start w:val="1"/>
      <w:numFmt w:val="bullet"/>
      <w:lvlText w:val=""/>
      <w:lvlJc w:val="left"/>
      <w:pPr>
        <w:ind w:left="944" w:hanging="360"/>
      </w:pPr>
      <w:rPr>
        <w:rFonts w:ascii="Symbol" w:hAnsi="Symbol" w:hint="default"/>
      </w:rPr>
    </w:lvl>
    <w:lvl w:ilvl="1" w:tplc="04220003" w:tentative="1">
      <w:start w:val="1"/>
      <w:numFmt w:val="bullet"/>
      <w:lvlText w:val="o"/>
      <w:lvlJc w:val="left"/>
      <w:pPr>
        <w:ind w:left="1664" w:hanging="360"/>
      </w:pPr>
      <w:rPr>
        <w:rFonts w:ascii="Courier New" w:hAnsi="Courier New" w:cs="Courier New" w:hint="default"/>
      </w:rPr>
    </w:lvl>
    <w:lvl w:ilvl="2" w:tplc="04220005" w:tentative="1">
      <w:start w:val="1"/>
      <w:numFmt w:val="bullet"/>
      <w:lvlText w:val=""/>
      <w:lvlJc w:val="left"/>
      <w:pPr>
        <w:ind w:left="2384" w:hanging="360"/>
      </w:pPr>
      <w:rPr>
        <w:rFonts w:ascii="Wingdings" w:hAnsi="Wingdings" w:hint="default"/>
      </w:rPr>
    </w:lvl>
    <w:lvl w:ilvl="3" w:tplc="04220001" w:tentative="1">
      <w:start w:val="1"/>
      <w:numFmt w:val="bullet"/>
      <w:lvlText w:val=""/>
      <w:lvlJc w:val="left"/>
      <w:pPr>
        <w:ind w:left="3104" w:hanging="360"/>
      </w:pPr>
      <w:rPr>
        <w:rFonts w:ascii="Symbol" w:hAnsi="Symbol" w:hint="default"/>
      </w:rPr>
    </w:lvl>
    <w:lvl w:ilvl="4" w:tplc="04220003" w:tentative="1">
      <w:start w:val="1"/>
      <w:numFmt w:val="bullet"/>
      <w:lvlText w:val="o"/>
      <w:lvlJc w:val="left"/>
      <w:pPr>
        <w:ind w:left="3824" w:hanging="360"/>
      </w:pPr>
      <w:rPr>
        <w:rFonts w:ascii="Courier New" w:hAnsi="Courier New" w:cs="Courier New" w:hint="default"/>
      </w:rPr>
    </w:lvl>
    <w:lvl w:ilvl="5" w:tplc="04220005" w:tentative="1">
      <w:start w:val="1"/>
      <w:numFmt w:val="bullet"/>
      <w:lvlText w:val=""/>
      <w:lvlJc w:val="left"/>
      <w:pPr>
        <w:ind w:left="4544" w:hanging="360"/>
      </w:pPr>
      <w:rPr>
        <w:rFonts w:ascii="Wingdings" w:hAnsi="Wingdings" w:hint="default"/>
      </w:rPr>
    </w:lvl>
    <w:lvl w:ilvl="6" w:tplc="04220001" w:tentative="1">
      <w:start w:val="1"/>
      <w:numFmt w:val="bullet"/>
      <w:lvlText w:val=""/>
      <w:lvlJc w:val="left"/>
      <w:pPr>
        <w:ind w:left="5264" w:hanging="360"/>
      </w:pPr>
      <w:rPr>
        <w:rFonts w:ascii="Symbol" w:hAnsi="Symbol" w:hint="default"/>
      </w:rPr>
    </w:lvl>
    <w:lvl w:ilvl="7" w:tplc="04220003" w:tentative="1">
      <w:start w:val="1"/>
      <w:numFmt w:val="bullet"/>
      <w:lvlText w:val="o"/>
      <w:lvlJc w:val="left"/>
      <w:pPr>
        <w:ind w:left="5984" w:hanging="360"/>
      </w:pPr>
      <w:rPr>
        <w:rFonts w:ascii="Courier New" w:hAnsi="Courier New" w:cs="Courier New" w:hint="default"/>
      </w:rPr>
    </w:lvl>
    <w:lvl w:ilvl="8" w:tplc="04220005" w:tentative="1">
      <w:start w:val="1"/>
      <w:numFmt w:val="bullet"/>
      <w:lvlText w:val=""/>
      <w:lvlJc w:val="left"/>
      <w:pPr>
        <w:ind w:left="6704" w:hanging="360"/>
      </w:pPr>
      <w:rPr>
        <w:rFonts w:ascii="Wingdings" w:hAnsi="Wingdings" w:hint="default"/>
      </w:rPr>
    </w:lvl>
  </w:abstractNum>
  <w:abstractNum w:abstractNumId="38" w15:restartNumberingAfterBreak="0">
    <w:nsid w:val="230F1FF2"/>
    <w:multiLevelType w:val="hybridMultilevel"/>
    <w:tmpl w:val="5CFEEDF2"/>
    <w:lvl w:ilvl="0" w:tplc="DCCE54CA">
      <w:start w:val="1"/>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9" w15:restartNumberingAfterBreak="0">
    <w:nsid w:val="24FC1857"/>
    <w:multiLevelType w:val="multilevel"/>
    <w:tmpl w:val="C86C4D1A"/>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9"/>
        </w:tabs>
        <w:ind w:left="1429"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40" w15:restartNumberingAfterBreak="0">
    <w:nsid w:val="2B411B68"/>
    <w:multiLevelType w:val="multilevel"/>
    <w:tmpl w:val="4AA28108"/>
    <w:lvl w:ilvl="0">
      <w:start w:val="2"/>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1" w15:restartNumberingAfterBreak="0">
    <w:nsid w:val="2C062EF9"/>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2" w15:restartNumberingAfterBreak="0">
    <w:nsid w:val="2D253342"/>
    <w:multiLevelType w:val="multilevel"/>
    <w:tmpl w:val="3FA6547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3" w15:restartNumberingAfterBreak="0">
    <w:nsid w:val="2F1901C3"/>
    <w:multiLevelType w:val="multilevel"/>
    <w:tmpl w:val="A9584966"/>
    <w:lvl w:ilvl="0">
      <w:start w:val="2"/>
      <w:numFmt w:val="decimal"/>
      <w:lvlText w:val="%1."/>
      <w:lvlJc w:val="left"/>
      <w:pPr>
        <w:ind w:left="495" w:hanging="495"/>
      </w:pPr>
      <w:rPr>
        <w:rFonts w:hint="default"/>
        <w:b w:val="0"/>
      </w:rPr>
    </w:lvl>
    <w:lvl w:ilvl="1">
      <w:start w:val="4"/>
      <w:numFmt w:val="decimal"/>
      <w:lvlText w:val="%1.%2."/>
      <w:lvlJc w:val="left"/>
      <w:pPr>
        <w:ind w:left="900" w:hanging="495"/>
      </w:pPr>
      <w:rPr>
        <w:rFonts w:hint="default"/>
        <w:b w:val="0"/>
      </w:rPr>
    </w:lvl>
    <w:lvl w:ilvl="2">
      <w:start w:val="1"/>
      <w:numFmt w:val="decimal"/>
      <w:lvlText w:val="%1.%2.%3."/>
      <w:lvlJc w:val="left"/>
      <w:pPr>
        <w:ind w:left="1530" w:hanging="720"/>
      </w:pPr>
      <w:rPr>
        <w:rFonts w:hint="default"/>
        <w:b w:val="0"/>
      </w:rPr>
    </w:lvl>
    <w:lvl w:ilvl="3">
      <w:start w:val="1"/>
      <w:numFmt w:val="decimal"/>
      <w:lvlText w:val="%1.%2.%3.%4."/>
      <w:lvlJc w:val="left"/>
      <w:pPr>
        <w:ind w:left="1935" w:hanging="720"/>
      </w:pPr>
      <w:rPr>
        <w:rFonts w:hint="default"/>
        <w:b w:val="0"/>
      </w:rPr>
    </w:lvl>
    <w:lvl w:ilvl="4">
      <w:start w:val="1"/>
      <w:numFmt w:val="decimal"/>
      <w:lvlText w:val="%1.%2.%3.%4.%5."/>
      <w:lvlJc w:val="left"/>
      <w:pPr>
        <w:ind w:left="2700" w:hanging="1080"/>
      </w:pPr>
      <w:rPr>
        <w:rFonts w:hint="default"/>
        <w:b w:val="0"/>
      </w:rPr>
    </w:lvl>
    <w:lvl w:ilvl="5">
      <w:start w:val="1"/>
      <w:numFmt w:val="decimal"/>
      <w:lvlText w:val="%1.%2.%3.%4.%5.%6."/>
      <w:lvlJc w:val="left"/>
      <w:pPr>
        <w:ind w:left="3105" w:hanging="1080"/>
      </w:pPr>
      <w:rPr>
        <w:rFonts w:hint="default"/>
        <w:b w:val="0"/>
      </w:rPr>
    </w:lvl>
    <w:lvl w:ilvl="6">
      <w:start w:val="1"/>
      <w:numFmt w:val="decimal"/>
      <w:lvlText w:val="%1.%2.%3.%4.%5.%6.%7."/>
      <w:lvlJc w:val="left"/>
      <w:pPr>
        <w:ind w:left="3870" w:hanging="1440"/>
      </w:pPr>
      <w:rPr>
        <w:rFonts w:hint="default"/>
        <w:b w:val="0"/>
      </w:rPr>
    </w:lvl>
    <w:lvl w:ilvl="7">
      <w:start w:val="1"/>
      <w:numFmt w:val="decimal"/>
      <w:lvlText w:val="%1.%2.%3.%4.%5.%6.%7.%8."/>
      <w:lvlJc w:val="left"/>
      <w:pPr>
        <w:ind w:left="4275" w:hanging="1440"/>
      </w:pPr>
      <w:rPr>
        <w:rFonts w:hint="default"/>
        <w:b w:val="0"/>
      </w:rPr>
    </w:lvl>
    <w:lvl w:ilvl="8">
      <w:start w:val="1"/>
      <w:numFmt w:val="decimal"/>
      <w:lvlText w:val="%1.%2.%3.%4.%5.%6.%7.%8.%9."/>
      <w:lvlJc w:val="left"/>
      <w:pPr>
        <w:ind w:left="5040" w:hanging="1800"/>
      </w:pPr>
      <w:rPr>
        <w:rFonts w:hint="default"/>
        <w:b w:val="0"/>
      </w:rPr>
    </w:lvl>
  </w:abstractNum>
  <w:abstractNum w:abstractNumId="44" w15:restartNumberingAfterBreak="0">
    <w:nsid w:val="328E1E03"/>
    <w:multiLevelType w:val="hybridMultilevel"/>
    <w:tmpl w:val="0FA6CC88"/>
    <w:lvl w:ilvl="0" w:tplc="F8D6B0D6">
      <w:start w:val="1"/>
      <w:numFmt w:val="bullet"/>
      <w:lvlText w:val=""/>
      <w:lvlJc w:val="left"/>
      <w:pPr>
        <w:ind w:left="895" w:hanging="360"/>
      </w:pPr>
      <w:rPr>
        <w:rFonts w:ascii="Symbol" w:hAnsi="Symbol" w:hint="default"/>
      </w:rPr>
    </w:lvl>
    <w:lvl w:ilvl="1" w:tplc="04220003" w:tentative="1">
      <w:start w:val="1"/>
      <w:numFmt w:val="bullet"/>
      <w:lvlText w:val="o"/>
      <w:lvlJc w:val="left"/>
      <w:pPr>
        <w:ind w:left="1615" w:hanging="360"/>
      </w:pPr>
      <w:rPr>
        <w:rFonts w:ascii="Courier New" w:hAnsi="Courier New" w:cs="Courier New" w:hint="default"/>
      </w:rPr>
    </w:lvl>
    <w:lvl w:ilvl="2" w:tplc="04220005" w:tentative="1">
      <w:start w:val="1"/>
      <w:numFmt w:val="bullet"/>
      <w:lvlText w:val=""/>
      <w:lvlJc w:val="left"/>
      <w:pPr>
        <w:ind w:left="2335" w:hanging="360"/>
      </w:pPr>
      <w:rPr>
        <w:rFonts w:ascii="Wingdings" w:hAnsi="Wingdings" w:hint="default"/>
      </w:rPr>
    </w:lvl>
    <w:lvl w:ilvl="3" w:tplc="04220001" w:tentative="1">
      <w:start w:val="1"/>
      <w:numFmt w:val="bullet"/>
      <w:lvlText w:val=""/>
      <w:lvlJc w:val="left"/>
      <w:pPr>
        <w:ind w:left="3055" w:hanging="360"/>
      </w:pPr>
      <w:rPr>
        <w:rFonts w:ascii="Symbol" w:hAnsi="Symbol" w:hint="default"/>
      </w:rPr>
    </w:lvl>
    <w:lvl w:ilvl="4" w:tplc="04220003" w:tentative="1">
      <w:start w:val="1"/>
      <w:numFmt w:val="bullet"/>
      <w:lvlText w:val="o"/>
      <w:lvlJc w:val="left"/>
      <w:pPr>
        <w:ind w:left="3775" w:hanging="360"/>
      </w:pPr>
      <w:rPr>
        <w:rFonts w:ascii="Courier New" w:hAnsi="Courier New" w:cs="Courier New" w:hint="default"/>
      </w:rPr>
    </w:lvl>
    <w:lvl w:ilvl="5" w:tplc="04220005" w:tentative="1">
      <w:start w:val="1"/>
      <w:numFmt w:val="bullet"/>
      <w:lvlText w:val=""/>
      <w:lvlJc w:val="left"/>
      <w:pPr>
        <w:ind w:left="4495" w:hanging="360"/>
      </w:pPr>
      <w:rPr>
        <w:rFonts w:ascii="Wingdings" w:hAnsi="Wingdings" w:hint="default"/>
      </w:rPr>
    </w:lvl>
    <w:lvl w:ilvl="6" w:tplc="04220001" w:tentative="1">
      <w:start w:val="1"/>
      <w:numFmt w:val="bullet"/>
      <w:lvlText w:val=""/>
      <w:lvlJc w:val="left"/>
      <w:pPr>
        <w:ind w:left="5215" w:hanging="360"/>
      </w:pPr>
      <w:rPr>
        <w:rFonts w:ascii="Symbol" w:hAnsi="Symbol" w:hint="default"/>
      </w:rPr>
    </w:lvl>
    <w:lvl w:ilvl="7" w:tplc="04220003" w:tentative="1">
      <w:start w:val="1"/>
      <w:numFmt w:val="bullet"/>
      <w:lvlText w:val="o"/>
      <w:lvlJc w:val="left"/>
      <w:pPr>
        <w:ind w:left="5935" w:hanging="360"/>
      </w:pPr>
      <w:rPr>
        <w:rFonts w:ascii="Courier New" w:hAnsi="Courier New" w:cs="Courier New" w:hint="default"/>
      </w:rPr>
    </w:lvl>
    <w:lvl w:ilvl="8" w:tplc="04220005" w:tentative="1">
      <w:start w:val="1"/>
      <w:numFmt w:val="bullet"/>
      <w:lvlText w:val=""/>
      <w:lvlJc w:val="left"/>
      <w:pPr>
        <w:ind w:left="6655" w:hanging="360"/>
      </w:pPr>
      <w:rPr>
        <w:rFonts w:ascii="Wingdings" w:hAnsi="Wingdings" w:hint="default"/>
      </w:rPr>
    </w:lvl>
  </w:abstractNum>
  <w:abstractNum w:abstractNumId="45" w15:restartNumberingAfterBreak="0">
    <w:nsid w:val="359D761C"/>
    <w:multiLevelType w:val="multilevel"/>
    <w:tmpl w:val="C82E1F6A"/>
    <w:lvl w:ilvl="0">
      <w:start w:val="2"/>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6" w15:restartNumberingAfterBreak="0">
    <w:nsid w:val="35D43435"/>
    <w:multiLevelType w:val="multilevel"/>
    <w:tmpl w:val="6B5C275C"/>
    <w:lvl w:ilvl="0">
      <w:start w:val="2"/>
      <w:numFmt w:val="decimal"/>
      <w:lvlText w:val="%1."/>
      <w:lvlJc w:val="left"/>
      <w:pPr>
        <w:ind w:left="540" w:hanging="540"/>
      </w:pPr>
      <w:rPr>
        <w:rFonts w:cs="Times New Roman" w:hint="default"/>
      </w:rPr>
    </w:lvl>
    <w:lvl w:ilvl="1">
      <w:start w:val="3"/>
      <w:numFmt w:val="decimal"/>
      <w:lvlText w:val="%1.%2."/>
      <w:lvlJc w:val="left"/>
      <w:pPr>
        <w:ind w:left="810" w:hanging="540"/>
      </w:pPr>
      <w:rPr>
        <w:rFonts w:cs="Times New Roman" w:hint="default"/>
      </w:rPr>
    </w:lvl>
    <w:lvl w:ilvl="2">
      <w:start w:val="2"/>
      <w:numFmt w:val="decimal"/>
      <w:lvlText w:val="%1.%2.%3."/>
      <w:lvlJc w:val="left"/>
      <w:pPr>
        <w:ind w:left="1260" w:hanging="720"/>
      </w:pPr>
      <w:rPr>
        <w:rFonts w:cs="Times New Roman" w:hint="default"/>
      </w:rPr>
    </w:lvl>
    <w:lvl w:ilvl="3">
      <w:start w:val="1"/>
      <w:numFmt w:val="decimal"/>
      <w:lvlText w:val="%1.%2.%3.%4."/>
      <w:lvlJc w:val="left"/>
      <w:pPr>
        <w:ind w:left="1530" w:hanging="72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430" w:hanging="108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330" w:hanging="1440"/>
      </w:pPr>
      <w:rPr>
        <w:rFonts w:cs="Times New Roman" w:hint="default"/>
      </w:rPr>
    </w:lvl>
    <w:lvl w:ilvl="8">
      <w:start w:val="1"/>
      <w:numFmt w:val="decimal"/>
      <w:lvlText w:val="%1.%2.%3.%4.%5.%6.%7.%8.%9."/>
      <w:lvlJc w:val="left"/>
      <w:pPr>
        <w:ind w:left="3960" w:hanging="1800"/>
      </w:pPr>
      <w:rPr>
        <w:rFonts w:cs="Times New Roman" w:hint="default"/>
      </w:rPr>
    </w:lvl>
  </w:abstractNum>
  <w:abstractNum w:abstractNumId="47" w15:restartNumberingAfterBreak="0">
    <w:nsid w:val="366918CF"/>
    <w:multiLevelType w:val="hybridMultilevel"/>
    <w:tmpl w:val="F9864550"/>
    <w:lvl w:ilvl="0" w:tplc="15EE959E">
      <w:numFmt w:val="bullet"/>
      <w:lvlText w:val="-"/>
      <w:lvlJc w:val="left"/>
      <w:pPr>
        <w:ind w:left="1260" w:hanging="360"/>
      </w:pPr>
      <w:rPr>
        <w:rFonts w:ascii="Arial" w:eastAsia="Times New Roman" w:hAnsi="Arial" w:cs="Aria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8" w15:restartNumberingAfterBreak="0">
    <w:nsid w:val="36F343DA"/>
    <w:multiLevelType w:val="hybridMultilevel"/>
    <w:tmpl w:val="70F28062"/>
    <w:lvl w:ilvl="0" w:tplc="F8D6B0D6">
      <w:start w:val="1"/>
      <w:numFmt w:val="bullet"/>
      <w:lvlText w:val=""/>
      <w:lvlJc w:val="left"/>
      <w:pPr>
        <w:ind w:left="1429"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9" w15:restartNumberingAfterBreak="0">
    <w:nsid w:val="39273CE9"/>
    <w:multiLevelType w:val="hybridMultilevel"/>
    <w:tmpl w:val="CC84641E"/>
    <w:lvl w:ilvl="0" w:tplc="15EE959E">
      <w:numFmt w:val="bullet"/>
      <w:lvlText w:val="-"/>
      <w:lvlJc w:val="left"/>
      <w:pPr>
        <w:ind w:left="720" w:hanging="360"/>
      </w:pPr>
      <w:rPr>
        <w:rFonts w:ascii="Arial" w:eastAsia="Times New Roman" w:hAnsi="Arial" w:cs="Arial" w:hint="default"/>
      </w:rPr>
    </w:lvl>
    <w:lvl w:ilvl="1" w:tplc="15EE959E">
      <w:numFmt w:val="bullet"/>
      <w:lvlText w:val="-"/>
      <w:lvlJc w:val="left"/>
      <w:pPr>
        <w:ind w:left="1440" w:hanging="360"/>
      </w:pPr>
      <w:rPr>
        <w:rFonts w:ascii="Arial" w:eastAsia="Times New Roman" w:hAnsi="Arial" w:cs="Aria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40596535"/>
    <w:multiLevelType w:val="multilevel"/>
    <w:tmpl w:val="D7DCB15E"/>
    <w:lvl w:ilvl="0">
      <w:start w:val="2"/>
      <w:numFmt w:val="decimal"/>
      <w:lvlText w:val="%1."/>
      <w:lvlJc w:val="left"/>
      <w:pPr>
        <w:ind w:left="495" w:hanging="495"/>
      </w:pPr>
      <w:rPr>
        <w:rFonts w:hint="default"/>
      </w:rPr>
    </w:lvl>
    <w:lvl w:ilvl="1">
      <w:start w:val="1"/>
      <w:numFmt w:val="decimal"/>
      <w:lvlText w:val="%1.%2."/>
      <w:lvlJc w:val="left"/>
      <w:pPr>
        <w:ind w:left="849" w:hanging="495"/>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1" w15:restartNumberingAfterBreak="0">
    <w:nsid w:val="441D4017"/>
    <w:multiLevelType w:val="hybridMultilevel"/>
    <w:tmpl w:val="E3BC4702"/>
    <w:lvl w:ilvl="0" w:tplc="15EE959E">
      <w:numFmt w:val="bullet"/>
      <w:lvlText w:val="-"/>
      <w:lvlJc w:val="left"/>
      <w:pPr>
        <w:ind w:left="1260" w:hanging="360"/>
      </w:pPr>
      <w:rPr>
        <w:rFonts w:ascii="Arial" w:eastAsia="Times New Roman" w:hAnsi="Arial" w:cs="Aria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2" w15:restartNumberingAfterBreak="0">
    <w:nsid w:val="46D801B6"/>
    <w:multiLevelType w:val="hybridMultilevel"/>
    <w:tmpl w:val="56D81398"/>
    <w:lvl w:ilvl="0" w:tplc="F8D6B0D6">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3" w15:restartNumberingAfterBreak="0">
    <w:nsid w:val="489C4E99"/>
    <w:multiLevelType w:val="hybridMultilevel"/>
    <w:tmpl w:val="07E41E86"/>
    <w:lvl w:ilvl="0" w:tplc="15EE959E">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497134E0"/>
    <w:multiLevelType w:val="multilevel"/>
    <w:tmpl w:val="5F48CCCC"/>
    <w:lvl w:ilvl="0">
      <w:start w:val="1"/>
      <w:numFmt w:val="upperRoman"/>
      <w:lvlText w:val="%1."/>
      <w:lvlJc w:val="left"/>
      <w:pPr>
        <w:tabs>
          <w:tab w:val="num" w:pos="720"/>
        </w:tabs>
        <w:ind w:left="720" w:hanging="720"/>
      </w:pPr>
      <w:rPr>
        <w:rFonts w:hint="default"/>
      </w:rPr>
    </w:lvl>
    <w:lvl w:ilvl="1">
      <w:start w:val="2"/>
      <w:numFmt w:val="decimal"/>
      <w:isLgl/>
      <w:lvlText w:val="%1.%2."/>
      <w:lvlJc w:val="left"/>
      <w:pPr>
        <w:tabs>
          <w:tab w:val="num" w:pos="1287"/>
        </w:tabs>
        <w:ind w:left="1287" w:hanging="720"/>
      </w:pPr>
      <w:rPr>
        <w:rFonts w:hint="default"/>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781"/>
        </w:tabs>
        <w:ind w:left="2781" w:hanging="108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4275"/>
        </w:tabs>
        <w:ind w:left="4275" w:hanging="1440"/>
      </w:pPr>
      <w:rPr>
        <w:rFonts w:hint="default"/>
      </w:rPr>
    </w:lvl>
    <w:lvl w:ilvl="6">
      <w:start w:val="1"/>
      <w:numFmt w:val="decimal"/>
      <w:isLgl/>
      <w:lvlText w:val="%1.%2.%3.%4.%5.%6.%7."/>
      <w:lvlJc w:val="left"/>
      <w:pPr>
        <w:tabs>
          <w:tab w:val="num" w:pos="4842"/>
        </w:tabs>
        <w:ind w:left="4842" w:hanging="1440"/>
      </w:pPr>
      <w:rPr>
        <w:rFonts w:hint="default"/>
      </w:rPr>
    </w:lvl>
    <w:lvl w:ilvl="7">
      <w:start w:val="1"/>
      <w:numFmt w:val="decimal"/>
      <w:isLgl/>
      <w:lvlText w:val="%1.%2.%3.%4.%5.%6.%7.%8."/>
      <w:lvlJc w:val="left"/>
      <w:pPr>
        <w:tabs>
          <w:tab w:val="num" w:pos="5769"/>
        </w:tabs>
        <w:ind w:left="5769" w:hanging="1800"/>
      </w:pPr>
      <w:rPr>
        <w:rFonts w:hint="default"/>
      </w:rPr>
    </w:lvl>
    <w:lvl w:ilvl="8">
      <w:start w:val="1"/>
      <w:numFmt w:val="decimal"/>
      <w:isLgl/>
      <w:lvlText w:val="%1.%2.%3.%4.%5.%6.%7.%8.%9."/>
      <w:lvlJc w:val="left"/>
      <w:pPr>
        <w:tabs>
          <w:tab w:val="num" w:pos="6336"/>
        </w:tabs>
        <w:ind w:left="6336" w:hanging="1800"/>
      </w:pPr>
      <w:rPr>
        <w:rFonts w:hint="default"/>
      </w:rPr>
    </w:lvl>
  </w:abstractNum>
  <w:abstractNum w:abstractNumId="55" w15:restartNumberingAfterBreak="0">
    <w:nsid w:val="498E7EF0"/>
    <w:multiLevelType w:val="hybridMultilevel"/>
    <w:tmpl w:val="149A9B58"/>
    <w:lvl w:ilvl="0" w:tplc="15EE959E">
      <w:numFmt w:val="bullet"/>
      <w:lvlText w:val="-"/>
      <w:lvlJc w:val="left"/>
      <w:pPr>
        <w:ind w:left="786" w:hanging="360"/>
      </w:pPr>
      <w:rPr>
        <w:rFonts w:ascii="Arial" w:eastAsia="Times New Roman" w:hAnsi="Arial" w:cs="Aria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6" w15:restartNumberingAfterBreak="0">
    <w:nsid w:val="50244654"/>
    <w:multiLevelType w:val="hybridMultilevel"/>
    <w:tmpl w:val="746E3A6E"/>
    <w:lvl w:ilvl="0" w:tplc="D4FEA91E">
      <w:start w:val="1"/>
      <w:numFmt w:val="bullet"/>
      <w:lvlText w:val="-"/>
      <w:lvlJc w:val="left"/>
      <w:pPr>
        <w:ind w:left="2487" w:hanging="360"/>
      </w:pPr>
      <w:rPr>
        <w:rFonts w:ascii="Arial" w:eastAsia="Times New Roman" w:hAnsi="Arial" w:cs="Aria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7" w15:restartNumberingAfterBreak="0">
    <w:nsid w:val="5316340B"/>
    <w:multiLevelType w:val="hybridMultilevel"/>
    <w:tmpl w:val="76ECBB9E"/>
    <w:lvl w:ilvl="0" w:tplc="15EE959E">
      <w:numFmt w:val="bullet"/>
      <w:lvlText w:val="-"/>
      <w:lvlJc w:val="left"/>
      <w:pPr>
        <w:ind w:left="2487" w:hanging="360"/>
      </w:pPr>
      <w:rPr>
        <w:rFonts w:ascii="Arial" w:eastAsia="Times New Roman" w:hAnsi="Arial" w:cs="Aria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8" w15:restartNumberingAfterBreak="0">
    <w:nsid w:val="53EE1EAB"/>
    <w:multiLevelType w:val="hybridMultilevel"/>
    <w:tmpl w:val="F3303CF0"/>
    <w:lvl w:ilvl="0" w:tplc="F8D6B0D6">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59" w15:restartNumberingAfterBreak="0">
    <w:nsid w:val="587A09D8"/>
    <w:multiLevelType w:val="hybridMultilevel"/>
    <w:tmpl w:val="CCBAB9F2"/>
    <w:lvl w:ilvl="0" w:tplc="F8D6B0D6">
      <w:start w:val="1"/>
      <w:numFmt w:val="bullet"/>
      <w:lvlText w:val=""/>
      <w:lvlJc w:val="left"/>
      <w:pPr>
        <w:ind w:left="1290" w:hanging="360"/>
      </w:pPr>
      <w:rPr>
        <w:rFonts w:ascii="Symbol" w:hAnsi="Symbol" w:hint="default"/>
      </w:rPr>
    </w:lvl>
    <w:lvl w:ilvl="1" w:tplc="15EE959E">
      <w:numFmt w:val="bullet"/>
      <w:lvlText w:val="-"/>
      <w:lvlJc w:val="left"/>
      <w:pPr>
        <w:ind w:left="2010" w:hanging="360"/>
      </w:pPr>
      <w:rPr>
        <w:rFonts w:ascii="Arial" w:eastAsia="Times New Roman" w:hAnsi="Arial" w:cs="Arial" w:hint="default"/>
      </w:rPr>
    </w:lvl>
    <w:lvl w:ilvl="2" w:tplc="04220005" w:tentative="1">
      <w:start w:val="1"/>
      <w:numFmt w:val="bullet"/>
      <w:lvlText w:val=""/>
      <w:lvlJc w:val="left"/>
      <w:pPr>
        <w:ind w:left="2730" w:hanging="360"/>
      </w:pPr>
      <w:rPr>
        <w:rFonts w:ascii="Wingdings" w:hAnsi="Wingdings" w:hint="default"/>
      </w:rPr>
    </w:lvl>
    <w:lvl w:ilvl="3" w:tplc="04220001" w:tentative="1">
      <w:start w:val="1"/>
      <w:numFmt w:val="bullet"/>
      <w:lvlText w:val=""/>
      <w:lvlJc w:val="left"/>
      <w:pPr>
        <w:ind w:left="3450" w:hanging="360"/>
      </w:pPr>
      <w:rPr>
        <w:rFonts w:ascii="Symbol" w:hAnsi="Symbol" w:hint="default"/>
      </w:rPr>
    </w:lvl>
    <w:lvl w:ilvl="4" w:tplc="04220003" w:tentative="1">
      <w:start w:val="1"/>
      <w:numFmt w:val="bullet"/>
      <w:lvlText w:val="o"/>
      <w:lvlJc w:val="left"/>
      <w:pPr>
        <w:ind w:left="4170" w:hanging="360"/>
      </w:pPr>
      <w:rPr>
        <w:rFonts w:ascii="Courier New" w:hAnsi="Courier New" w:cs="Courier New" w:hint="default"/>
      </w:rPr>
    </w:lvl>
    <w:lvl w:ilvl="5" w:tplc="04220005" w:tentative="1">
      <w:start w:val="1"/>
      <w:numFmt w:val="bullet"/>
      <w:lvlText w:val=""/>
      <w:lvlJc w:val="left"/>
      <w:pPr>
        <w:ind w:left="4890" w:hanging="360"/>
      </w:pPr>
      <w:rPr>
        <w:rFonts w:ascii="Wingdings" w:hAnsi="Wingdings" w:hint="default"/>
      </w:rPr>
    </w:lvl>
    <w:lvl w:ilvl="6" w:tplc="04220001" w:tentative="1">
      <w:start w:val="1"/>
      <w:numFmt w:val="bullet"/>
      <w:lvlText w:val=""/>
      <w:lvlJc w:val="left"/>
      <w:pPr>
        <w:ind w:left="5610" w:hanging="360"/>
      </w:pPr>
      <w:rPr>
        <w:rFonts w:ascii="Symbol" w:hAnsi="Symbol" w:hint="default"/>
      </w:rPr>
    </w:lvl>
    <w:lvl w:ilvl="7" w:tplc="04220003" w:tentative="1">
      <w:start w:val="1"/>
      <w:numFmt w:val="bullet"/>
      <w:lvlText w:val="o"/>
      <w:lvlJc w:val="left"/>
      <w:pPr>
        <w:ind w:left="6330" w:hanging="360"/>
      </w:pPr>
      <w:rPr>
        <w:rFonts w:ascii="Courier New" w:hAnsi="Courier New" w:cs="Courier New" w:hint="default"/>
      </w:rPr>
    </w:lvl>
    <w:lvl w:ilvl="8" w:tplc="04220005" w:tentative="1">
      <w:start w:val="1"/>
      <w:numFmt w:val="bullet"/>
      <w:lvlText w:val=""/>
      <w:lvlJc w:val="left"/>
      <w:pPr>
        <w:ind w:left="7050" w:hanging="360"/>
      </w:pPr>
      <w:rPr>
        <w:rFonts w:ascii="Wingdings" w:hAnsi="Wingdings" w:hint="default"/>
      </w:rPr>
    </w:lvl>
  </w:abstractNum>
  <w:abstractNum w:abstractNumId="60" w15:restartNumberingAfterBreak="0">
    <w:nsid w:val="588A6DD4"/>
    <w:multiLevelType w:val="hybridMultilevel"/>
    <w:tmpl w:val="617AE81C"/>
    <w:lvl w:ilvl="0" w:tplc="F8D6B0D6">
      <w:start w:val="1"/>
      <w:numFmt w:val="bullet"/>
      <w:lvlText w:val=""/>
      <w:lvlJc w:val="left"/>
      <w:pPr>
        <w:ind w:left="2509" w:hanging="360"/>
      </w:pPr>
      <w:rPr>
        <w:rFonts w:ascii="Symbol" w:hAnsi="Symbol" w:hint="default"/>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61" w15:restartNumberingAfterBreak="0">
    <w:nsid w:val="66A052A4"/>
    <w:multiLevelType w:val="hybridMultilevel"/>
    <w:tmpl w:val="3EBAC5F0"/>
    <w:lvl w:ilvl="0" w:tplc="15EE959E">
      <w:numFmt w:val="bullet"/>
      <w:lvlText w:val="-"/>
      <w:lvlJc w:val="left"/>
      <w:pPr>
        <w:ind w:left="1260" w:hanging="360"/>
      </w:pPr>
      <w:rPr>
        <w:rFonts w:ascii="Arial" w:eastAsia="Times New Roman" w:hAnsi="Arial" w:cs="Aria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2" w15:restartNumberingAfterBreak="0">
    <w:nsid w:val="66DA0B47"/>
    <w:multiLevelType w:val="multilevel"/>
    <w:tmpl w:val="A3403FDE"/>
    <w:lvl w:ilvl="0">
      <w:start w:val="2"/>
      <w:numFmt w:val="decimal"/>
      <w:lvlText w:val="%1."/>
      <w:lvlJc w:val="left"/>
      <w:pPr>
        <w:ind w:left="495" w:hanging="495"/>
      </w:pPr>
      <w:rPr>
        <w:rFonts w:hint="default"/>
      </w:rPr>
    </w:lvl>
    <w:lvl w:ilvl="1">
      <w:start w:val="2"/>
      <w:numFmt w:val="decimal"/>
      <w:lvlText w:val="%1.%2."/>
      <w:lvlJc w:val="left"/>
      <w:pPr>
        <w:ind w:left="849" w:hanging="495"/>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3" w15:restartNumberingAfterBreak="0">
    <w:nsid w:val="7097240B"/>
    <w:multiLevelType w:val="multilevel"/>
    <w:tmpl w:val="F7F2881A"/>
    <w:lvl w:ilvl="0">
      <w:start w:val="4"/>
      <w:numFmt w:val="decimal"/>
      <w:lvlText w:val="%1."/>
      <w:lvlJc w:val="left"/>
      <w:pPr>
        <w:ind w:left="390" w:hanging="390"/>
      </w:pPr>
      <w:rPr>
        <w:rFonts w:hint="default"/>
      </w:rPr>
    </w:lvl>
    <w:lvl w:ilvl="1">
      <w:start w:val="1"/>
      <w:numFmt w:val="decimal"/>
      <w:lvlText w:val="%1.%2."/>
      <w:lvlJc w:val="left"/>
      <w:pPr>
        <w:ind w:left="1512" w:hanging="7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496" w:hanging="2160"/>
      </w:pPr>
      <w:rPr>
        <w:rFonts w:hint="default"/>
      </w:rPr>
    </w:lvl>
  </w:abstractNum>
  <w:abstractNum w:abstractNumId="64" w15:restartNumberingAfterBreak="0">
    <w:nsid w:val="72FC79D8"/>
    <w:multiLevelType w:val="multilevel"/>
    <w:tmpl w:val="64404D60"/>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5" w15:restartNumberingAfterBreak="0">
    <w:nsid w:val="78BA4CAD"/>
    <w:multiLevelType w:val="multilevel"/>
    <w:tmpl w:val="996E79AA"/>
    <w:lvl w:ilvl="0">
      <w:start w:val="2"/>
      <w:numFmt w:val="decimal"/>
      <w:lvlText w:val="%1."/>
      <w:lvlJc w:val="left"/>
      <w:pPr>
        <w:ind w:left="495" w:hanging="495"/>
      </w:pPr>
      <w:rPr>
        <w:rFonts w:hint="default"/>
      </w:rPr>
    </w:lvl>
    <w:lvl w:ilvl="1">
      <w:start w:val="1"/>
      <w:numFmt w:val="decimal"/>
      <w:lvlText w:val="%1.%2."/>
      <w:lvlJc w:val="left"/>
      <w:pPr>
        <w:ind w:left="849" w:hanging="495"/>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6" w15:restartNumberingAfterBreak="0">
    <w:nsid w:val="7D880B81"/>
    <w:multiLevelType w:val="hybridMultilevel"/>
    <w:tmpl w:val="D020D980"/>
    <w:lvl w:ilvl="0" w:tplc="F8D6B0D6">
      <w:start w:val="1"/>
      <w:numFmt w:val="bullet"/>
      <w:lvlText w:val=""/>
      <w:lvlJc w:val="left"/>
      <w:pPr>
        <w:ind w:left="1335" w:hanging="360"/>
      </w:pPr>
      <w:rPr>
        <w:rFonts w:ascii="Symbol" w:hAnsi="Symbol" w:hint="default"/>
      </w:rPr>
    </w:lvl>
    <w:lvl w:ilvl="1" w:tplc="04220003" w:tentative="1">
      <w:start w:val="1"/>
      <w:numFmt w:val="bullet"/>
      <w:lvlText w:val="o"/>
      <w:lvlJc w:val="left"/>
      <w:pPr>
        <w:ind w:left="2055" w:hanging="360"/>
      </w:pPr>
      <w:rPr>
        <w:rFonts w:ascii="Courier New" w:hAnsi="Courier New" w:cs="Courier New" w:hint="default"/>
      </w:rPr>
    </w:lvl>
    <w:lvl w:ilvl="2" w:tplc="04220005" w:tentative="1">
      <w:start w:val="1"/>
      <w:numFmt w:val="bullet"/>
      <w:lvlText w:val=""/>
      <w:lvlJc w:val="left"/>
      <w:pPr>
        <w:ind w:left="2775" w:hanging="360"/>
      </w:pPr>
      <w:rPr>
        <w:rFonts w:ascii="Wingdings" w:hAnsi="Wingdings" w:hint="default"/>
      </w:rPr>
    </w:lvl>
    <w:lvl w:ilvl="3" w:tplc="04220001" w:tentative="1">
      <w:start w:val="1"/>
      <w:numFmt w:val="bullet"/>
      <w:lvlText w:val=""/>
      <w:lvlJc w:val="left"/>
      <w:pPr>
        <w:ind w:left="3495" w:hanging="360"/>
      </w:pPr>
      <w:rPr>
        <w:rFonts w:ascii="Symbol" w:hAnsi="Symbol" w:hint="default"/>
      </w:rPr>
    </w:lvl>
    <w:lvl w:ilvl="4" w:tplc="04220003" w:tentative="1">
      <w:start w:val="1"/>
      <w:numFmt w:val="bullet"/>
      <w:lvlText w:val="o"/>
      <w:lvlJc w:val="left"/>
      <w:pPr>
        <w:ind w:left="4215" w:hanging="360"/>
      </w:pPr>
      <w:rPr>
        <w:rFonts w:ascii="Courier New" w:hAnsi="Courier New" w:cs="Courier New" w:hint="default"/>
      </w:rPr>
    </w:lvl>
    <w:lvl w:ilvl="5" w:tplc="04220005" w:tentative="1">
      <w:start w:val="1"/>
      <w:numFmt w:val="bullet"/>
      <w:lvlText w:val=""/>
      <w:lvlJc w:val="left"/>
      <w:pPr>
        <w:ind w:left="4935" w:hanging="360"/>
      </w:pPr>
      <w:rPr>
        <w:rFonts w:ascii="Wingdings" w:hAnsi="Wingdings" w:hint="default"/>
      </w:rPr>
    </w:lvl>
    <w:lvl w:ilvl="6" w:tplc="04220001" w:tentative="1">
      <w:start w:val="1"/>
      <w:numFmt w:val="bullet"/>
      <w:lvlText w:val=""/>
      <w:lvlJc w:val="left"/>
      <w:pPr>
        <w:ind w:left="5655" w:hanging="360"/>
      </w:pPr>
      <w:rPr>
        <w:rFonts w:ascii="Symbol" w:hAnsi="Symbol" w:hint="default"/>
      </w:rPr>
    </w:lvl>
    <w:lvl w:ilvl="7" w:tplc="04220003" w:tentative="1">
      <w:start w:val="1"/>
      <w:numFmt w:val="bullet"/>
      <w:lvlText w:val="o"/>
      <w:lvlJc w:val="left"/>
      <w:pPr>
        <w:ind w:left="6375" w:hanging="360"/>
      </w:pPr>
      <w:rPr>
        <w:rFonts w:ascii="Courier New" w:hAnsi="Courier New" w:cs="Courier New" w:hint="default"/>
      </w:rPr>
    </w:lvl>
    <w:lvl w:ilvl="8" w:tplc="04220005" w:tentative="1">
      <w:start w:val="1"/>
      <w:numFmt w:val="bullet"/>
      <w:lvlText w:val=""/>
      <w:lvlJc w:val="left"/>
      <w:pPr>
        <w:ind w:left="7095" w:hanging="360"/>
      </w:pPr>
      <w:rPr>
        <w:rFonts w:ascii="Wingdings" w:hAnsi="Wingdings" w:hint="default"/>
      </w:rPr>
    </w:lvl>
  </w:abstractNum>
  <w:abstractNum w:abstractNumId="67" w15:restartNumberingAfterBreak="0">
    <w:nsid w:val="7E253081"/>
    <w:multiLevelType w:val="hybridMultilevel"/>
    <w:tmpl w:val="DEF85198"/>
    <w:lvl w:ilvl="0" w:tplc="15EE959E">
      <w:numFmt w:val="bullet"/>
      <w:lvlText w:val="-"/>
      <w:lvlJc w:val="left"/>
      <w:pPr>
        <w:ind w:left="1287" w:hanging="360"/>
      </w:pPr>
      <w:rPr>
        <w:rFonts w:ascii="Arial" w:eastAsia="Times New Roman" w:hAnsi="Arial" w:cs="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8" w15:restartNumberingAfterBreak="0">
    <w:nsid w:val="7FB403DE"/>
    <w:multiLevelType w:val="multilevel"/>
    <w:tmpl w:val="13E8FFF2"/>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0"/>
  </w:num>
  <w:num w:numId="2">
    <w:abstractNumId w:val="1"/>
  </w:num>
  <w:num w:numId="3">
    <w:abstractNumId w:val="2"/>
  </w:num>
  <w:num w:numId="4">
    <w:abstractNumId w:val="3"/>
  </w:num>
  <w:num w:numId="5">
    <w:abstractNumId w:val="5"/>
  </w:num>
  <w:num w:numId="6">
    <w:abstractNumId w:val="8"/>
  </w:num>
  <w:num w:numId="7">
    <w:abstractNumId w:val="13"/>
  </w:num>
  <w:num w:numId="8">
    <w:abstractNumId w:val="21"/>
  </w:num>
  <w:num w:numId="9">
    <w:abstractNumId w:val="23"/>
  </w:num>
  <w:num w:numId="10">
    <w:abstractNumId w:val="36"/>
  </w:num>
  <w:num w:numId="11">
    <w:abstractNumId w:val="59"/>
  </w:num>
  <w:num w:numId="12">
    <w:abstractNumId w:val="52"/>
  </w:num>
  <w:num w:numId="13">
    <w:abstractNumId w:val="66"/>
  </w:num>
  <w:num w:numId="14">
    <w:abstractNumId w:val="44"/>
  </w:num>
  <w:num w:numId="15">
    <w:abstractNumId w:val="34"/>
  </w:num>
  <w:num w:numId="16">
    <w:abstractNumId w:val="37"/>
  </w:num>
  <w:num w:numId="17">
    <w:abstractNumId w:val="48"/>
  </w:num>
  <w:num w:numId="18">
    <w:abstractNumId w:val="60"/>
  </w:num>
  <w:num w:numId="19">
    <w:abstractNumId w:val="58"/>
  </w:num>
  <w:num w:numId="20">
    <w:abstractNumId w:val="32"/>
  </w:num>
  <w:num w:numId="21">
    <w:abstractNumId w:val="41"/>
  </w:num>
  <w:num w:numId="22">
    <w:abstractNumId w:val="54"/>
  </w:num>
  <w:num w:numId="23">
    <w:abstractNumId w:val="39"/>
  </w:num>
  <w:num w:numId="24">
    <w:abstractNumId w:val="63"/>
  </w:num>
  <w:num w:numId="25">
    <w:abstractNumId w:val="56"/>
  </w:num>
  <w:num w:numId="26">
    <w:abstractNumId w:val="68"/>
  </w:num>
  <w:num w:numId="27">
    <w:abstractNumId w:val="42"/>
  </w:num>
  <w:num w:numId="28">
    <w:abstractNumId w:val="38"/>
  </w:num>
  <w:num w:numId="29">
    <w:abstractNumId w:val="46"/>
  </w:num>
  <w:num w:numId="30">
    <w:abstractNumId w:val="65"/>
  </w:num>
  <w:num w:numId="31">
    <w:abstractNumId w:val="62"/>
  </w:num>
  <w:num w:numId="32">
    <w:abstractNumId w:val="64"/>
  </w:num>
  <w:num w:numId="33">
    <w:abstractNumId w:val="35"/>
  </w:num>
  <w:num w:numId="34">
    <w:abstractNumId w:val="50"/>
  </w:num>
  <w:num w:numId="35">
    <w:abstractNumId w:val="45"/>
  </w:num>
  <w:num w:numId="36">
    <w:abstractNumId w:val="40"/>
  </w:num>
  <w:num w:numId="37">
    <w:abstractNumId w:val="33"/>
  </w:num>
  <w:num w:numId="38">
    <w:abstractNumId w:val="43"/>
  </w:num>
  <w:num w:numId="39">
    <w:abstractNumId w:val="49"/>
  </w:num>
  <w:num w:numId="40">
    <w:abstractNumId w:val="47"/>
  </w:num>
  <w:num w:numId="41">
    <w:abstractNumId w:val="61"/>
  </w:num>
  <w:num w:numId="42">
    <w:abstractNumId w:val="53"/>
  </w:num>
  <w:num w:numId="43">
    <w:abstractNumId w:val="67"/>
  </w:num>
  <w:num w:numId="44">
    <w:abstractNumId w:val="51"/>
  </w:num>
  <w:num w:numId="45">
    <w:abstractNumId w:val="31"/>
  </w:num>
  <w:num w:numId="46">
    <w:abstractNumId w:val="55"/>
  </w:num>
  <w:num w:numId="47">
    <w:abstractNumId w:val="5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02AEC"/>
    <w:rsid w:val="000009F9"/>
    <w:rsid w:val="00000F8C"/>
    <w:rsid w:val="00001E78"/>
    <w:rsid w:val="00003287"/>
    <w:rsid w:val="00004B6A"/>
    <w:rsid w:val="000057AA"/>
    <w:rsid w:val="00005A20"/>
    <w:rsid w:val="00010BDE"/>
    <w:rsid w:val="00011015"/>
    <w:rsid w:val="000120B8"/>
    <w:rsid w:val="00012978"/>
    <w:rsid w:val="00015A56"/>
    <w:rsid w:val="000167D2"/>
    <w:rsid w:val="000179AC"/>
    <w:rsid w:val="0002054F"/>
    <w:rsid w:val="00022F5F"/>
    <w:rsid w:val="00026437"/>
    <w:rsid w:val="000277F8"/>
    <w:rsid w:val="00032B5B"/>
    <w:rsid w:val="000371EA"/>
    <w:rsid w:val="00037CD9"/>
    <w:rsid w:val="000404E1"/>
    <w:rsid w:val="0004057B"/>
    <w:rsid w:val="00047AE1"/>
    <w:rsid w:val="0005147A"/>
    <w:rsid w:val="00063A3B"/>
    <w:rsid w:val="000706C5"/>
    <w:rsid w:val="000716F1"/>
    <w:rsid w:val="000719EF"/>
    <w:rsid w:val="0007317D"/>
    <w:rsid w:val="00074B23"/>
    <w:rsid w:val="00083891"/>
    <w:rsid w:val="00084686"/>
    <w:rsid w:val="00084CAE"/>
    <w:rsid w:val="00085FC8"/>
    <w:rsid w:val="00090563"/>
    <w:rsid w:val="0009631A"/>
    <w:rsid w:val="000969C9"/>
    <w:rsid w:val="000A0C13"/>
    <w:rsid w:val="000A1A7C"/>
    <w:rsid w:val="000A3AA0"/>
    <w:rsid w:val="000A49A4"/>
    <w:rsid w:val="000A5175"/>
    <w:rsid w:val="000A5A99"/>
    <w:rsid w:val="000A65D6"/>
    <w:rsid w:val="000B00C3"/>
    <w:rsid w:val="000B2195"/>
    <w:rsid w:val="000B2F34"/>
    <w:rsid w:val="000B7470"/>
    <w:rsid w:val="000C0404"/>
    <w:rsid w:val="000C4D6E"/>
    <w:rsid w:val="000C52C8"/>
    <w:rsid w:val="000C5C55"/>
    <w:rsid w:val="000D0438"/>
    <w:rsid w:val="000D16C3"/>
    <w:rsid w:val="000D1C06"/>
    <w:rsid w:val="000D1FD2"/>
    <w:rsid w:val="000D630B"/>
    <w:rsid w:val="000E1892"/>
    <w:rsid w:val="000E4E37"/>
    <w:rsid w:val="000E60DB"/>
    <w:rsid w:val="000E7301"/>
    <w:rsid w:val="000F154F"/>
    <w:rsid w:val="000F23F9"/>
    <w:rsid w:val="000F39E7"/>
    <w:rsid w:val="000F3BAD"/>
    <w:rsid w:val="000F7775"/>
    <w:rsid w:val="000F77AC"/>
    <w:rsid w:val="00101233"/>
    <w:rsid w:val="0010221D"/>
    <w:rsid w:val="00102BAB"/>
    <w:rsid w:val="00106D11"/>
    <w:rsid w:val="0010738C"/>
    <w:rsid w:val="001079B3"/>
    <w:rsid w:val="00110F3F"/>
    <w:rsid w:val="00113864"/>
    <w:rsid w:val="00115A42"/>
    <w:rsid w:val="00115C91"/>
    <w:rsid w:val="001165D8"/>
    <w:rsid w:val="00120119"/>
    <w:rsid w:val="001216E2"/>
    <w:rsid w:val="00122AD8"/>
    <w:rsid w:val="00127427"/>
    <w:rsid w:val="00130CEC"/>
    <w:rsid w:val="001317C5"/>
    <w:rsid w:val="00132ED7"/>
    <w:rsid w:val="0013349E"/>
    <w:rsid w:val="001350CB"/>
    <w:rsid w:val="00136F30"/>
    <w:rsid w:val="001378C9"/>
    <w:rsid w:val="0014071D"/>
    <w:rsid w:val="00140958"/>
    <w:rsid w:val="00141B39"/>
    <w:rsid w:val="001421ED"/>
    <w:rsid w:val="001456E9"/>
    <w:rsid w:val="00145AFA"/>
    <w:rsid w:val="00146211"/>
    <w:rsid w:val="00147228"/>
    <w:rsid w:val="00147ECA"/>
    <w:rsid w:val="00154814"/>
    <w:rsid w:val="0016220A"/>
    <w:rsid w:val="00162356"/>
    <w:rsid w:val="001627D6"/>
    <w:rsid w:val="00163990"/>
    <w:rsid w:val="00165AC9"/>
    <w:rsid w:val="0016725A"/>
    <w:rsid w:val="00173D5D"/>
    <w:rsid w:val="00174DA4"/>
    <w:rsid w:val="00181E4C"/>
    <w:rsid w:val="00181F4C"/>
    <w:rsid w:val="00182BCF"/>
    <w:rsid w:val="00183B1D"/>
    <w:rsid w:val="00186785"/>
    <w:rsid w:val="00187021"/>
    <w:rsid w:val="00187874"/>
    <w:rsid w:val="00187E20"/>
    <w:rsid w:val="00190003"/>
    <w:rsid w:val="001933C1"/>
    <w:rsid w:val="001945BC"/>
    <w:rsid w:val="0019626C"/>
    <w:rsid w:val="001978E9"/>
    <w:rsid w:val="001A12B5"/>
    <w:rsid w:val="001A2A82"/>
    <w:rsid w:val="001A2DB1"/>
    <w:rsid w:val="001A36CC"/>
    <w:rsid w:val="001A3E32"/>
    <w:rsid w:val="001A5419"/>
    <w:rsid w:val="001B15DF"/>
    <w:rsid w:val="001B3CCA"/>
    <w:rsid w:val="001B4249"/>
    <w:rsid w:val="001B4E41"/>
    <w:rsid w:val="001B79A8"/>
    <w:rsid w:val="001C091A"/>
    <w:rsid w:val="001C0F5C"/>
    <w:rsid w:val="001C2A36"/>
    <w:rsid w:val="001C3AF6"/>
    <w:rsid w:val="001C49C4"/>
    <w:rsid w:val="001C5512"/>
    <w:rsid w:val="001D1BB3"/>
    <w:rsid w:val="001D300B"/>
    <w:rsid w:val="001D4B15"/>
    <w:rsid w:val="001D69D8"/>
    <w:rsid w:val="001D7C6A"/>
    <w:rsid w:val="001E1923"/>
    <w:rsid w:val="001E425C"/>
    <w:rsid w:val="001E62BE"/>
    <w:rsid w:val="001F0846"/>
    <w:rsid w:val="001F2F93"/>
    <w:rsid w:val="001F692E"/>
    <w:rsid w:val="00200366"/>
    <w:rsid w:val="0020144D"/>
    <w:rsid w:val="00202901"/>
    <w:rsid w:val="00203AB0"/>
    <w:rsid w:val="00205685"/>
    <w:rsid w:val="00206712"/>
    <w:rsid w:val="002074BE"/>
    <w:rsid w:val="002079CE"/>
    <w:rsid w:val="00216436"/>
    <w:rsid w:val="0022041B"/>
    <w:rsid w:val="00222EEB"/>
    <w:rsid w:val="002234E2"/>
    <w:rsid w:val="00223505"/>
    <w:rsid w:val="002253C8"/>
    <w:rsid w:val="00226E33"/>
    <w:rsid w:val="0023031A"/>
    <w:rsid w:val="002309DA"/>
    <w:rsid w:val="00231FAB"/>
    <w:rsid w:val="002327FD"/>
    <w:rsid w:val="00234C6E"/>
    <w:rsid w:val="00236128"/>
    <w:rsid w:val="00236BF5"/>
    <w:rsid w:val="00236E02"/>
    <w:rsid w:val="00237934"/>
    <w:rsid w:val="00242F58"/>
    <w:rsid w:val="002432B3"/>
    <w:rsid w:val="002450E9"/>
    <w:rsid w:val="002506EC"/>
    <w:rsid w:val="00251178"/>
    <w:rsid w:val="00251401"/>
    <w:rsid w:val="002549F2"/>
    <w:rsid w:val="0025585A"/>
    <w:rsid w:val="00257F26"/>
    <w:rsid w:val="002634C8"/>
    <w:rsid w:val="00266465"/>
    <w:rsid w:val="002667A0"/>
    <w:rsid w:val="00270A3C"/>
    <w:rsid w:val="00273E4F"/>
    <w:rsid w:val="002744AA"/>
    <w:rsid w:val="002765EF"/>
    <w:rsid w:val="00276D05"/>
    <w:rsid w:val="00276FEA"/>
    <w:rsid w:val="0027781A"/>
    <w:rsid w:val="00283905"/>
    <w:rsid w:val="00291723"/>
    <w:rsid w:val="00293396"/>
    <w:rsid w:val="00293D13"/>
    <w:rsid w:val="00294C14"/>
    <w:rsid w:val="00296A9B"/>
    <w:rsid w:val="00297D5E"/>
    <w:rsid w:val="002A050C"/>
    <w:rsid w:val="002A0D0B"/>
    <w:rsid w:val="002A33D6"/>
    <w:rsid w:val="002A4361"/>
    <w:rsid w:val="002A4EFD"/>
    <w:rsid w:val="002A4FA7"/>
    <w:rsid w:val="002A5E07"/>
    <w:rsid w:val="002B2E4C"/>
    <w:rsid w:val="002B421A"/>
    <w:rsid w:val="002C04DF"/>
    <w:rsid w:val="002C163A"/>
    <w:rsid w:val="002D04CD"/>
    <w:rsid w:val="002D08FB"/>
    <w:rsid w:val="002D3C6E"/>
    <w:rsid w:val="002E45AE"/>
    <w:rsid w:val="002E4A33"/>
    <w:rsid w:val="002E7394"/>
    <w:rsid w:val="002E75AD"/>
    <w:rsid w:val="002F1DB5"/>
    <w:rsid w:val="003006A7"/>
    <w:rsid w:val="003015AA"/>
    <w:rsid w:val="00301F7C"/>
    <w:rsid w:val="00302019"/>
    <w:rsid w:val="00303A6A"/>
    <w:rsid w:val="00305518"/>
    <w:rsid w:val="003058AA"/>
    <w:rsid w:val="0030621D"/>
    <w:rsid w:val="00306B0B"/>
    <w:rsid w:val="003072F4"/>
    <w:rsid w:val="00312F93"/>
    <w:rsid w:val="0031584D"/>
    <w:rsid w:val="00315D1B"/>
    <w:rsid w:val="00315F38"/>
    <w:rsid w:val="00315F72"/>
    <w:rsid w:val="00316DCA"/>
    <w:rsid w:val="00316F36"/>
    <w:rsid w:val="003238F2"/>
    <w:rsid w:val="00324929"/>
    <w:rsid w:val="00326563"/>
    <w:rsid w:val="003307BF"/>
    <w:rsid w:val="003352AE"/>
    <w:rsid w:val="0034149D"/>
    <w:rsid w:val="00341E3C"/>
    <w:rsid w:val="00342D61"/>
    <w:rsid w:val="00343422"/>
    <w:rsid w:val="00344600"/>
    <w:rsid w:val="00345B61"/>
    <w:rsid w:val="00350DB1"/>
    <w:rsid w:val="003516B6"/>
    <w:rsid w:val="00352067"/>
    <w:rsid w:val="0035533D"/>
    <w:rsid w:val="00360DB1"/>
    <w:rsid w:val="0036193D"/>
    <w:rsid w:val="00362466"/>
    <w:rsid w:val="003634F0"/>
    <w:rsid w:val="003647DD"/>
    <w:rsid w:val="00364D5A"/>
    <w:rsid w:val="00367F77"/>
    <w:rsid w:val="00375F75"/>
    <w:rsid w:val="003806DE"/>
    <w:rsid w:val="003823EF"/>
    <w:rsid w:val="00382FD7"/>
    <w:rsid w:val="003843A8"/>
    <w:rsid w:val="00384DB1"/>
    <w:rsid w:val="00385E04"/>
    <w:rsid w:val="003874D6"/>
    <w:rsid w:val="00390DBC"/>
    <w:rsid w:val="0039569E"/>
    <w:rsid w:val="00396A2F"/>
    <w:rsid w:val="00397513"/>
    <w:rsid w:val="00397741"/>
    <w:rsid w:val="003A0443"/>
    <w:rsid w:val="003A05A3"/>
    <w:rsid w:val="003A13A2"/>
    <w:rsid w:val="003A1FFA"/>
    <w:rsid w:val="003A3CDF"/>
    <w:rsid w:val="003A447C"/>
    <w:rsid w:val="003A497E"/>
    <w:rsid w:val="003A4CFE"/>
    <w:rsid w:val="003A5A90"/>
    <w:rsid w:val="003A7D40"/>
    <w:rsid w:val="003B04F7"/>
    <w:rsid w:val="003B3427"/>
    <w:rsid w:val="003B3EC1"/>
    <w:rsid w:val="003B4285"/>
    <w:rsid w:val="003B644D"/>
    <w:rsid w:val="003C5345"/>
    <w:rsid w:val="003D0C2A"/>
    <w:rsid w:val="003D30FE"/>
    <w:rsid w:val="003D4797"/>
    <w:rsid w:val="003D69AC"/>
    <w:rsid w:val="003D74A7"/>
    <w:rsid w:val="003E2F8C"/>
    <w:rsid w:val="003E4A1E"/>
    <w:rsid w:val="003E6C53"/>
    <w:rsid w:val="003E7084"/>
    <w:rsid w:val="003E76E1"/>
    <w:rsid w:val="003F2B24"/>
    <w:rsid w:val="003F2D0A"/>
    <w:rsid w:val="003F7CC8"/>
    <w:rsid w:val="0040144A"/>
    <w:rsid w:val="00402CF9"/>
    <w:rsid w:val="004045DF"/>
    <w:rsid w:val="004053BF"/>
    <w:rsid w:val="00406FB3"/>
    <w:rsid w:val="0041169D"/>
    <w:rsid w:val="00413619"/>
    <w:rsid w:val="00414DDC"/>
    <w:rsid w:val="004150B7"/>
    <w:rsid w:val="0041532A"/>
    <w:rsid w:val="0041560F"/>
    <w:rsid w:val="00415E12"/>
    <w:rsid w:val="00416425"/>
    <w:rsid w:val="00421750"/>
    <w:rsid w:val="00424A4A"/>
    <w:rsid w:val="00424BB5"/>
    <w:rsid w:val="004250A5"/>
    <w:rsid w:val="004251EE"/>
    <w:rsid w:val="004254B5"/>
    <w:rsid w:val="00427890"/>
    <w:rsid w:val="00427E40"/>
    <w:rsid w:val="00437DFC"/>
    <w:rsid w:val="0044091C"/>
    <w:rsid w:val="004472CA"/>
    <w:rsid w:val="004507C6"/>
    <w:rsid w:val="0045171C"/>
    <w:rsid w:val="00452C77"/>
    <w:rsid w:val="0045385C"/>
    <w:rsid w:val="00454358"/>
    <w:rsid w:val="00454CE4"/>
    <w:rsid w:val="0045531A"/>
    <w:rsid w:val="004561DE"/>
    <w:rsid w:val="00457728"/>
    <w:rsid w:val="0046169E"/>
    <w:rsid w:val="0046382D"/>
    <w:rsid w:val="004640A1"/>
    <w:rsid w:val="00473077"/>
    <w:rsid w:val="00473538"/>
    <w:rsid w:val="00474F21"/>
    <w:rsid w:val="00475D02"/>
    <w:rsid w:val="00477A28"/>
    <w:rsid w:val="004825CD"/>
    <w:rsid w:val="00482B3D"/>
    <w:rsid w:val="00483255"/>
    <w:rsid w:val="00484342"/>
    <w:rsid w:val="004850CC"/>
    <w:rsid w:val="004853D0"/>
    <w:rsid w:val="004879B8"/>
    <w:rsid w:val="00493A17"/>
    <w:rsid w:val="004957AE"/>
    <w:rsid w:val="00496FA1"/>
    <w:rsid w:val="0049785C"/>
    <w:rsid w:val="004A0C83"/>
    <w:rsid w:val="004A2FE9"/>
    <w:rsid w:val="004A6EA3"/>
    <w:rsid w:val="004A7B6C"/>
    <w:rsid w:val="004B7352"/>
    <w:rsid w:val="004C0D33"/>
    <w:rsid w:val="004C3011"/>
    <w:rsid w:val="004C30A0"/>
    <w:rsid w:val="004C6478"/>
    <w:rsid w:val="004C7350"/>
    <w:rsid w:val="004D052D"/>
    <w:rsid w:val="004D320D"/>
    <w:rsid w:val="004D34EE"/>
    <w:rsid w:val="004D3E7C"/>
    <w:rsid w:val="004D6E89"/>
    <w:rsid w:val="004D741D"/>
    <w:rsid w:val="004D77E8"/>
    <w:rsid w:val="004E06EA"/>
    <w:rsid w:val="004E2CB6"/>
    <w:rsid w:val="004E304F"/>
    <w:rsid w:val="004E5AED"/>
    <w:rsid w:val="004E617E"/>
    <w:rsid w:val="004E6762"/>
    <w:rsid w:val="004F0E40"/>
    <w:rsid w:val="004F69E6"/>
    <w:rsid w:val="00502254"/>
    <w:rsid w:val="00502859"/>
    <w:rsid w:val="00502AEC"/>
    <w:rsid w:val="00502F93"/>
    <w:rsid w:val="005052E0"/>
    <w:rsid w:val="00513576"/>
    <w:rsid w:val="005136DF"/>
    <w:rsid w:val="005145B5"/>
    <w:rsid w:val="00516B4B"/>
    <w:rsid w:val="00516E92"/>
    <w:rsid w:val="005206FD"/>
    <w:rsid w:val="00520A8D"/>
    <w:rsid w:val="005242CB"/>
    <w:rsid w:val="00525BCC"/>
    <w:rsid w:val="00526269"/>
    <w:rsid w:val="00527683"/>
    <w:rsid w:val="0053302A"/>
    <w:rsid w:val="00534A02"/>
    <w:rsid w:val="00535433"/>
    <w:rsid w:val="00535BC4"/>
    <w:rsid w:val="005369D6"/>
    <w:rsid w:val="00545DDB"/>
    <w:rsid w:val="00545DDE"/>
    <w:rsid w:val="00547917"/>
    <w:rsid w:val="00547A75"/>
    <w:rsid w:val="0055065B"/>
    <w:rsid w:val="00550837"/>
    <w:rsid w:val="0056028E"/>
    <w:rsid w:val="0056113F"/>
    <w:rsid w:val="0056277B"/>
    <w:rsid w:val="00565242"/>
    <w:rsid w:val="00567D21"/>
    <w:rsid w:val="0057288A"/>
    <w:rsid w:val="005745AF"/>
    <w:rsid w:val="005770E6"/>
    <w:rsid w:val="00577C78"/>
    <w:rsid w:val="00583487"/>
    <w:rsid w:val="00590C2E"/>
    <w:rsid w:val="00590CA1"/>
    <w:rsid w:val="00591068"/>
    <w:rsid w:val="00591D4B"/>
    <w:rsid w:val="005921E3"/>
    <w:rsid w:val="0059336E"/>
    <w:rsid w:val="0059394E"/>
    <w:rsid w:val="00594331"/>
    <w:rsid w:val="00595FD4"/>
    <w:rsid w:val="00596C33"/>
    <w:rsid w:val="005A3143"/>
    <w:rsid w:val="005A5F11"/>
    <w:rsid w:val="005A7790"/>
    <w:rsid w:val="005B36C9"/>
    <w:rsid w:val="005B54A6"/>
    <w:rsid w:val="005B559F"/>
    <w:rsid w:val="005B688F"/>
    <w:rsid w:val="005C080C"/>
    <w:rsid w:val="005C0881"/>
    <w:rsid w:val="005C08DC"/>
    <w:rsid w:val="005C0E0F"/>
    <w:rsid w:val="005C2321"/>
    <w:rsid w:val="005C2891"/>
    <w:rsid w:val="005C45F1"/>
    <w:rsid w:val="005C5318"/>
    <w:rsid w:val="005C5C11"/>
    <w:rsid w:val="005D35AE"/>
    <w:rsid w:val="005D4D73"/>
    <w:rsid w:val="005D5125"/>
    <w:rsid w:val="005D628F"/>
    <w:rsid w:val="005E2CCE"/>
    <w:rsid w:val="005E418B"/>
    <w:rsid w:val="005E6046"/>
    <w:rsid w:val="005E67B9"/>
    <w:rsid w:val="005F1246"/>
    <w:rsid w:val="005F1838"/>
    <w:rsid w:val="005F18C0"/>
    <w:rsid w:val="005F2A38"/>
    <w:rsid w:val="005F3632"/>
    <w:rsid w:val="005F45DB"/>
    <w:rsid w:val="005F45F0"/>
    <w:rsid w:val="00600899"/>
    <w:rsid w:val="00602650"/>
    <w:rsid w:val="0060592E"/>
    <w:rsid w:val="00607ABD"/>
    <w:rsid w:val="0061580E"/>
    <w:rsid w:val="0061626D"/>
    <w:rsid w:val="00616EB4"/>
    <w:rsid w:val="00617681"/>
    <w:rsid w:val="00617683"/>
    <w:rsid w:val="006202DD"/>
    <w:rsid w:val="0062084A"/>
    <w:rsid w:val="00620A92"/>
    <w:rsid w:val="00622B88"/>
    <w:rsid w:val="00622BEB"/>
    <w:rsid w:val="00642810"/>
    <w:rsid w:val="00644FED"/>
    <w:rsid w:val="00645881"/>
    <w:rsid w:val="00650E49"/>
    <w:rsid w:val="006517E7"/>
    <w:rsid w:val="006536E5"/>
    <w:rsid w:val="00654396"/>
    <w:rsid w:val="006551E8"/>
    <w:rsid w:val="006562C7"/>
    <w:rsid w:val="0065653B"/>
    <w:rsid w:val="006578DD"/>
    <w:rsid w:val="00657E3C"/>
    <w:rsid w:val="00661961"/>
    <w:rsid w:val="006638D1"/>
    <w:rsid w:val="006665FC"/>
    <w:rsid w:val="006742E6"/>
    <w:rsid w:val="00674FFA"/>
    <w:rsid w:val="00676EEA"/>
    <w:rsid w:val="00677768"/>
    <w:rsid w:val="00677E2A"/>
    <w:rsid w:val="00677E2C"/>
    <w:rsid w:val="00680CF3"/>
    <w:rsid w:val="0068139C"/>
    <w:rsid w:val="00681D9F"/>
    <w:rsid w:val="0068337B"/>
    <w:rsid w:val="00692590"/>
    <w:rsid w:val="00695254"/>
    <w:rsid w:val="006A4D27"/>
    <w:rsid w:val="006A7DF8"/>
    <w:rsid w:val="006B0DAE"/>
    <w:rsid w:val="006B243B"/>
    <w:rsid w:val="006B6685"/>
    <w:rsid w:val="006C41D9"/>
    <w:rsid w:val="006C6D35"/>
    <w:rsid w:val="006D16D1"/>
    <w:rsid w:val="006D1A32"/>
    <w:rsid w:val="006D2BB7"/>
    <w:rsid w:val="006D39B0"/>
    <w:rsid w:val="006D41D5"/>
    <w:rsid w:val="006D6725"/>
    <w:rsid w:val="006E0C5D"/>
    <w:rsid w:val="006E3B0B"/>
    <w:rsid w:val="006E6311"/>
    <w:rsid w:val="006F04CB"/>
    <w:rsid w:val="006F0891"/>
    <w:rsid w:val="006F3E88"/>
    <w:rsid w:val="006F3F15"/>
    <w:rsid w:val="006F4903"/>
    <w:rsid w:val="006F5763"/>
    <w:rsid w:val="006F6EDF"/>
    <w:rsid w:val="00701253"/>
    <w:rsid w:val="00704158"/>
    <w:rsid w:val="007051BF"/>
    <w:rsid w:val="00710A07"/>
    <w:rsid w:val="00713C8B"/>
    <w:rsid w:val="00716A4D"/>
    <w:rsid w:val="00716DE9"/>
    <w:rsid w:val="00717C17"/>
    <w:rsid w:val="00721CE9"/>
    <w:rsid w:val="00723E3F"/>
    <w:rsid w:val="00726214"/>
    <w:rsid w:val="00732F62"/>
    <w:rsid w:val="00733AB9"/>
    <w:rsid w:val="00733E89"/>
    <w:rsid w:val="007373D8"/>
    <w:rsid w:val="00740FA6"/>
    <w:rsid w:val="00741596"/>
    <w:rsid w:val="00741F32"/>
    <w:rsid w:val="007420B5"/>
    <w:rsid w:val="00742962"/>
    <w:rsid w:val="0074529D"/>
    <w:rsid w:val="00746617"/>
    <w:rsid w:val="00746CB3"/>
    <w:rsid w:val="00746CBA"/>
    <w:rsid w:val="00754BA9"/>
    <w:rsid w:val="00755BAD"/>
    <w:rsid w:val="00757B80"/>
    <w:rsid w:val="007614C0"/>
    <w:rsid w:val="00763D16"/>
    <w:rsid w:val="007647B5"/>
    <w:rsid w:val="00765BC4"/>
    <w:rsid w:val="00765E37"/>
    <w:rsid w:val="007671CA"/>
    <w:rsid w:val="007749D1"/>
    <w:rsid w:val="00774DF7"/>
    <w:rsid w:val="007767F9"/>
    <w:rsid w:val="00777870"/>
    <w:rsid w:val="00781EF9"/>
    <w:rsid w:val="00782C02"/>
    <w:rsid w:val="00783D04"/>
    <w:rsid w:val="00786738"/>
    <w:rsid w:val="0079010F"/>
    <w:rsid w:val="00792D5A"/>
    <w:rsid w:val="007948A8"/>
    <w:rsid w:val="00794B3F"/>
    <w:rsid w:val="007956D6"/>
    <w:rsid w:val="007974E8"/>
    <w:rsid w:val="007A14BC"/>
    <w:rsid w:val="007A1FE0"/>
    <w:rsid w:val="007A2B94"/>
    <w:rsid w:val="007A3511"/>
    <w:rsid w:val="007A493E"/>
    <w:rsid w:val="007A5A5E"/>
    <w:rsid w:val="007A6C52"/>
    <w:rsid w:val="007B0D48"/>
    <w:rsid w:val="007B1577"/>
    <w:rsid w:val="007B407A"/>
    <w:rsid w:val="007B4E6D"/>
    <w:rsid w:val="007B5095"/>
    <w:rsid w:val="007B5823"/>
    <w:rsid w:val="007B5C69"/>
    <w:rsid w:val="007B7C99"/>
    <w:rsid w:val="007B7EDC"/>
    <w:rsid w:val="007C0263"/>
    <w:rsid w:val="007C1296"/>
    <w:rsid w:val="007C2773"/>
    <w:rsid w:val="007C33DF"/>
    <w:rsid w:val="007D0843"/>
    <w:rsid w:val="007D13ED"/>
    <w:rsid w:val="007D16FF"/>
    <w:rsid w:val="007D3B36"/>
    <w:rsid w:val="007D454B"/>
    <w:rsid w:val="007D5B59"/>
    <w:rsid w:val="007D5F22"/>
    <w:rsid w:val="007D741B"/>
    <w:rsid w:val="007E4CC3"/>
    <w:rsid w:val="007E6D0C"/>
    <w:rsid w:val="007F3165"/>
    <w:rsid w:val="007F7C17"/>
    <w:rsid w:val="00800FB1"/>
    <w:rsid w:val="008010F2"/>
    <w:rsid w:val="00804E84"/>
    <w:rsid w:val="008061DA"/>
    <w:rsid w:val="00810ECC"/>
    <w:rsid w:val="00812C5B"/>
    <w:rsid w:val="008144EA"/>
    <w:rsid w:val="00816749"/>
    <w:rsid w:val="00816B25"/>
    <w:rsid w:val="0081747A"/>
    <w:rsid w:val="008229CB"/>
    <w:rsid w:val="008257D7"/>
    <w:rsid w:val="00830656"/>
    <w:rsid w:val="008328E3"/>
    <w:rsid w:val="00832935"/>
    <w:rsid w:val="00834E1E"/>
    <w:rsid w:val="00837C59"/>
    <w:rsid w:val="00840A69"/>
    <w:rsid w:val="00843027"/>
    <w:rsid w:val="00846FF5"/>
    <w:rsid w:val="0085048C"/>
    <w:rsid w:val="00850A01"/>
    <w:rsid w:val="00850A1C"/>
    <w:rsid w:val="0085283A"/>
    <w:rsid w:val="00853090"/>
    <w:rsid w:val="00853E8E"/>
    <w:rsid w:val="00854786"/>
    <w:rsid w:val="008554F8"/>
    <w:rsid w:val="008555D5"/>
    <w:rsid w:val="00855862"/>
    <w:rsid w:val="00855DF5"/>
    <w:rsid w:val="00857A97"/>
    <w:rsid w:val="00860EC8"/>
    <w:rsid w:val="00863F4F"/>
    <w:rsid w:val="008671FA"/>
    <w:rsid w:val="0087028D"/>
    <w:rsid w:val="008742D1"/>
    <w:rsid w:val="00874A62"/>
    <w:rsid w:val="00875236"/>
    <w:rsid w:val="008753A8"/>
    <w:rsid w:val="008814A0"/>
    <w:rsid w:val="00881B08"/>
    <w:rsid w:val="00883941"/>
    <w:rsid w:val="00887B4C"/>
    <w:rsid w:val="00890391"/>
    <w:rsid w:val="00891582"/>
    <w:rsid w:val="00892E22"/>
    <w:rsid w:val="00893AC3"/>
    <w:rsid w:val="00896826"/>
    <w:rsid w:val="008A0178"/>
    <w:rsid w:val="008A059D"/>
    <w:rsid w:val="008A2421"/>
    <w:rsid w:val="008A3236"/>
    <w:rsid w:val="008A493E"/>
    <w:rsid w:val="008A53FF"/>
    <w:rsid w:val="008A6391"/>
    <w:rsid w:val="008A70C6"/>
    <w:rsid w:val="008B1E46"/>
    <w:rsid w:val="008B24D1"/>
    <w:rsid w:val="008B35DF"/>
    <w:rsid w:val="008B3AB4"/>
    <w:rsid w:val="008B4934"/>
    <w:rsid w:val="008B4DD5"/>
    <w:rsid w:val="008B511D"/>
    <w:rsid w:val="008B5DA7"/>
    <w:rsid w:val="008B667A"/>
    <w:rsid w:val="008B6F00"/>
    <w:rsid w:val="008C26CD"/>
    <w:rsid w:val="008C4813"/>
    <w:rsid w:val="008C59B2"/>
    <w:rsid w:val="008D2325"/>
    <w:rsid w:val="008D259F"/>
    <w:rsid w:val="008D7E97"/>
    <w:rsid w:val="008D7EF0"/>
    <w:rsid w:val="008E2705"/>
    <w:rsid w:val="008E4D57"/>
    <w:rsid w:val="008E6015"/>
    <w:rsid w:val="008E6994"/>
    <w:rsid w:val="008F2FF8"/>
    <w:rsid w:val="008F34DB"/>
    <w:rsid w:val="008F61F7"/>
    <w:rsid w:val="00900457"/>
    <w:rsid w:val="0090134D"/>
    <w:rsid w:val="0090177C"/>
    <w:rsid w:val="009018E7"/>
    <w:rsid w:val="00901A02"/>
    <w:rsid w:val="00901A24"/>
    <w:rsid w:val="00901E11"/>
    <w:rsid w:val="00907FFB"/>
    <w:rsid w:val="00910781"/>
    <w:rsid w:val="0091668E"/>
    <w:rsid w:val="0091751C"/>
    <w:rsid w:val="0092578B"/>
    <w:rsid w:val="00926B29"/>
    <w:rsid w:val="00930A41"/>
    <w:rsid w:val="00930F6D"/>
    <w:rsid w:val="009311BB"/>
    <w:rsid w:val="00933C25"/>
    <w:rsid w:val="009404CE"/>
    <w:rsid w:val="00941924"/>
    <w:rsid w:val="00941CA0"/>
    <w:rsid w:val="00943E3C"/>
    <w:rsid w:val="00944C22"/>
    <w:rsid w:val="009455D4"/>
    <w:rsid w:val="00945C60"/>
    <w:rsid w:val="00946876"/>
    <w:rsid w:val="0095410F"/>
    <w:rsid w:val="00955354"/>
    <w:rsid w:val="009553E7"/>
    <w:rsid w:val="0095652E"/>
    <w:rsid w:val="00957056"/>
    <w:rsid w:val="0095761D"/>
    <w:rsid w:val="00961530"/>
    <w:rsid w:val="00964E4D"/>
    <w:rsid w:val="009651CD"/>
    <w:rsid w:val="0096550B"/>
    <w:rsid w:val="0096643F"/>
    <w:rsid w:val="009718D7"/>
    <w:rsid w:val="00971EEF"/>
    <w:rsid w:val="0097284D"/>
    <w:rsid w:val="00973B6E"/>
    <w:rsid w:val="0097557D"/>
    <w:rsid w:val="00977BA4"/>
    <w:rsid w:val="00980F19"/>
    <w:rsid w:val="00982AE9"/>
    <w:rsid w:val="00983735"/>
    <w:rsid w:val="00983FBE"/>
    <w:rsid w:val="00984BA5"/>
    <w:rsid w:val="00985244"/>
    <w:rsid w:val="00986422"/>
    <w:rsid w:val="00990A10"/>
    <w:rsid w:val="009928B3"/>
    <w:rsid w:val="009A1D2B"/>
    <w:rsid w:val="009A6521"/>
    <w:rsid w:val="009A7EA8"/>
    <w:rsid w:val="009B03A3"/>
    <w:rsid w:val="009B078E"/>
    <w:rsid w:val="009B1116"/>
    <w:rsid w:val="009B26AC"/>
    <w:rsid w:val="009B333F"/>
    <w:rsid w:val="009C08E3"/>
    <w:rsid w:val="009C0AAD"/>
    <w:rsid w:val="009C1946"/>
    <w:rsid w:val="009C27AC"/>
    <w:rsid w:val="009C2CB5"/>
    <w:rsid w:val="009C51B8"/>
    <w:rsid w:val="009C7784"/>
    <w:rsid w:val="009D3206"/>
    <w:rsid w:val="009D32C2"/>
    <w:rsid w:val="009D3C4B"/>
    <w:rsid w:val="009D5EED"/>
    <w:rsid w:val="009D65EB"/>
    <w:rsid w:val="009D6C4B"/>
    <w:rsid w:val="009E0A39"/>
    <w:rsid w:val="009E7046"/>
    <w:rsid w:val="009E72B9"/>
    <w:rsid w:val="009F0001"/>
    <w:rsid w:val="009F0B83"/>
    <w:rsid w:val="009F580E"/>
    <w:rsid w:val="009F73FC"/>
    <w:rsid w:val="00A016E8"/>
    <w:rsid w:val="00A02D8F"/>
    <w:rsid w:val="00A05686"/>
    <w:rsid w:val="00A062F6"/>
    <w:rsid w:val="00A06EA4"/>
    <w:rsid w:val="00A11D05"/>
    <w:rsid w:val="00A14588"/>
    <w:rsid w:val="00A158E9"/>
    <w:rsid w:val="00A206CC"/>
    <w:rsid w:val="00A21639"/>
    <w:rsid w:val="00A245E8"/>
    <w:rsid w:val="00A25D3C"/>
    <w:rsid w:val="00A26EFC"/>
    <w:rsid w:val="00A34565"/>
    <w:rsid w:val="00A3686D"/>
    <w:rsid w:val="00A373E3"/>
    <w:rsid w:val="00A41015"/>
    <w:rsid w:val="00A41FCD"/>
    <w:rsid w:val="00A42A6F"/>
    <w:rsid w:val="00A46B57"/>
    <w:rsid w:val="00A534D0"/>
    <w:rsid w:val="00A53572"/>
    <w:rsid w:val="00A567FA"/>
    <w:rsid w:val="00A62A3C"/>
    <w:rsid w:val="00A62A96"/>
    <w:rsid w:val="00A63224"/>
    <w:rsid w:val="00A649F5"/>
    <w:rsid w:val="00A71692"/>
    <w:rsid w:val="00A71E25"/>
    <w:rsid w:val="00A72D18"/>
    <w:rsid w:val="00A7360F"/>
    <w:rsid w:val="00A745A1"/>
    <w:rsid w:val="00A75C35"/>
    <w:rsid w:val="00A83626"/>
    <w:rsid w:val="00A85ABD"/>
    <w:rsid w:val="00A906C8"/>
    <w:rsid w:val="00A92823"/>
    <w:rsid w:val="00A9367B"/>
    <w:rsid w:val="00A942AC"/>
    <w:rsid w:val="00A959A2"/>
    <w:rsid w:val="00A95E37"/>
    <w:rsid w:val="00A97BE7"/>
    <w:rsid w:val="00AA005C"/>
    <w:rsid w:val="00AA090F"/>
    <w:rsid w:val="00AA10EC"/>
    <w:rsid w:val="00AA1707"/>
    <w:rsid w:val="00AA2094"/>
    <w:rsid w:val="00AA238C"/>
    <w:rsid w:val="00AA30CC"/>
    <w:rsid w:val="00AA5DAE"/>
    <w:rsid w:val="00AA6F6D"/>
    <w:rsid w:val="00AA7E32"/>
    <w:rsid w:val="00AB1E0A"/>
    <w:rsid w:val="00AB21E0"/>
    <w:rsid w:val="00AB3368"/>
    <w:rsid w:val="00AB3889"/>
    <w:rsid w:val="00AB3C26"/>
    <w:rsid w:val="00AB7EC5"/>
    <w:rsid w:val="00AC0468"/>
    <w:rsid w:val="00AC16C7"/>
    <w:rsid w:val="00AC351E"/>
    <w:rsid w:val="00AC48FE"/>
    <w:rsid w:val="00AC4F94"/>
    <w:rsid w:val="00AC668F"/>
    <w:rsid w:val="00AD333C"/>
    <w:rsid w:val="00AD794B"/>
    <w:rsid w:val="00AE01A8"/>
    <w:rsid w:val="00AE47C4"/>
    <w:rsid w:val="00AE64B9"/>
    <w:rsid w:val="00AE695D"/>
    <w:rsid w:val="00AE7A78"/>
    <w:rsid w:val="00AE7F83"/>
    <w:rsid w:val="00AF0895"/>
    <w:rsid w:val="00AF090F"/>
    <w:rsid w:val="00AF0EB7"/>
    <w:rsid w:val="00AF264F"/>
    <w:rsid w:val="00AF7382"/>
    <w:rsid w:val="00AF7924"/>
    <w:rsid w:val="00AF7B3B"/>
    <w:rsid w:val="00B00D82"/>
    <w:rsid w:val="00B00E6A"/>
    <w:rsid w:val="00B05D06"/>
    <w:rsid w:val="00B11AED"/>
    <w:rsid w:val="00B12C30"/>
    <w:rsid w:val="00B14432"/>
    <w:rsid w:val="00B30636"/>
    <w:rsid w:val="00B31F66"/>
    <w:rsid w:val="00B323AB"/>
    <w:rsid w:val="00B335DD"/>
    <w:rsid w:val="00B4031C"/>
    <w:rsid w:val="00B41FC1"/>
    <w:rsid w:val="00B42DC6"/>
    <w:rsid w:val="00B43682"/>
    <w:rsid w:val="00B524FF"/>
    <w:rsid w:val="00B54A93"/>
    <w:rsid w:val="00B555AD"/>
    <w:rsid w:val="00B55BA4"/>
    <w:rsid w:val="00B565D4"/>
    <w:rsid w:val="00B5704E"/>
    <w:rsid w:val="00B62D60"/>
    <w:rsid w:val="00B6625B"/>
    <w:rsid w:val="00B6712D"/>
    <w:rsid w:val="00B707DB"/>
    <w:rsid w:val="00B708AF"/>
    <w:rsid w:val="00B7121E"/>
    <w:rsid w:val="00B7169F"/>
    <w:rsid w:val="00B723A5"/>
    <w:rsid w:val="00B76402"/>
    <w:rsid w:val="00B801FE"/>
    <w:rsid w:val="00B81C24"/>
    <w:rsid w:val="00B840D5"/>
    <w:rsid w:val="00B859F2"/>
    <w:rsid w:val="00B86347"/>
    <w:rsid w:val="00B904F4"/>
    <w:rsid w:val="00B91952"/>
    <w:rsid w:val="00B963D2"/>
    <w:rsid w:val="00B963E2"/>
    <w:rsid w:val="00B9670D"/>
    <w:rsid w:val="00BA05BF"/>
    <w:rsid w:val="00BA0ACC"/>
    <w:rsid w:val="00BA1841"/>
    <w:rsid w:val="00BA1F32"/>
    <w:rsid w:val="00BA3154"/>
    <w:rsid w:val="00BA6886"/>
    <w:rsid w:val="00BA68E1"/>
    <w:rsid w:val="00BA7B69"/>
    <w:rsid w:val="00BB1945"/>
    <w:rsid w:val="00BB46AE"/>
    <w:rsid w:val="00BB4FBC"/>
    <w:rsid w:val="00BB554F"/>
    <w:rsid w:val="00BB76A5"/>
    <w:rsid w:val="00BC2A9E"/>
    <w:rsid w:val="00BC4FFF"/>
    <w:rsid w:val="00BC500A"/>
    <w:rsid w:val="00BC53AD"/>
    <w:rsid w:val="00BD04CD"/>
    <w:rsid w:val="00BD07DC"/>
    <w:rsid w:val="00BD230B"/>
    <w:rsid w:val="00BD33BE"/>
    <w:rsid w:val="00BD6406"/>
    <w:rsid w:val="00BE0773"/>
    <w:rsid w:val="00BE2296"/>
    <w:rsid w:val="00BE26DF"/>
    <w:rsid w:val="00BE282D"/>
    <w:rsid w:val="00BE65A3"/>
    <w:rsid w:val="00BF283F"/>
    <w:rsid w:val="00BF3974"/>
    <w:rsid w:val="00BF5058"/>
    <w:rsid w:val="00BF6B14"/>
    <w:rsid w:val="00BF7B5C"/>
    <w:rsid w:val="00C02184"/>
    <w:rsid w:val="00C03C07"/>
    <w:rsid w:val="00C06E0C"/>
    <w:rsid w:val="00C10D89"/>
    <w:rsid w:val="00C12707"/>
    <w:rsid w:val="00C133AA"/>
    <w:rsid w:val="00C15F33"/>
    <w:rsid w:val="00C16729"/>
    <w:rsid w:val="00C16AB0"/>
    <w:rsid w:val="00C20E39"/>
    <w:rsid w:val="00C22309"/>
    <w:rsid w:val="00C22A8A"/>
    <w:rsid w:val="00C23828"/>
    <w:rsid w:val="00C239AE"/>
    <w:rsid w:val="00C24538"/>
    <w:rsid w:val="00C30CB6"/>
    <w:rsid w:val="00C31D9C"/>
    <w:rsid w:val="00C328F7"/>
    <w:rsid w:val="00C34FDC"/>
    <w:rsid w:val="00C35733"/>
    <w:rsid w:val="00C401F0"/>
    <w:rsid w:val="00C403D0"/>
    <w:rsid w:val="00C40666"/>
    <w:rsid w:val="00C42851"/>
    <w:rsid w:val="00C45074"/>
    <w:rsid w:val="00C4581B"/>
    <w:rsid w:val="00C46E4D"/>
    <w:rsid w:val="00C470B6"/>
    <w:rsid w:val="00C50BCE"/>
    <w:rsid w:val="00C52B26"/>
    <w:rsid w:val="00C56314"/>
    <w:rsid w:val="00C56EAB"/>
    <w:rsid w:val="00C60D12"/>
    <w:rsid w:val="00C61558"/>
    <w:rsid w:val="00C61FCE"/>
    <w:rsid w:val="00C63B51"/>
    <w:rsid w:val="00C64CC4"/>
    <w:rsid w:val="00C743EA"/>
    <w:rsid w:val="00C7659D"/>
    <w:rsid w:val="00C77AC9"/>
    <w:rsid w:val="00C80094"/>
    <w:rsid w:val="00C807E4"/>
    <w:rsid w:val="00C82806"/>
    <w:rsid w:val="00C8346D"/>
    <w:rsid w:val="00C83635"/>
    <w:rsid w:val="00C83E34"/>
    <w:rsid w:val="00C84424"/>
    <w:rsid w:val="00C86061"/>
    <w:rsid w:val="00C86657"/>
    <w:rsid w:val="00C86713"/>
    <w:rsid w:val="00C86C95"/>
    <w:rsid w:val="00C86CFB"/>
    <w:rsid w:val="00C87813"/>
    <w:rsid w:val="00C90914"/>
    <w:rsid w:val="00C91D2D"/>
    <w:rsid w:val="00C92289"/>
    <w:rsid w:val="00C922B4"/>
    <w:rsid w:val="00CA224D"/>
    <w:rsid w:val="00CA2500"/>
    <w:rsid w:val="00CA4049"/>
    <w:rsid w:val="00CA4311"/>
    <w:rsid w:val="00CA49BB"/>
    <w:rsid w:val="00CA710E"/>
    <w:rsid w:val="00CB0E2C"/>
    <w:rsid w:val="00CB2955"/>
    <w:rsid w:val="00CB49D0"/>
    <w:rsid w:val="00CC110D"/>
    <w:rsid w:val="00CC3254"/>
    <w:rsid w:val="00CC6DED"/>
    <w:rsid w:val="00CD06D2"/>
    <w:rsid w:val="00CD2F46"/>
    <w:rsid w:val="00CD4C86"/>
    <w:rsid w:val="00CD555C"/>
    <w:rsid w:val="00CD77BC"/>
    <w:rsid w:val="00CD7D63"/>
    <w:rsid w:val="00CE0D17"/>
    <w:rsid w:val="00CE6D87"/>
    <w:rsid w:val="00CF0FBF"/>
    <w:rsid w:val="00CF1949"/>
    <w:rsid w:val="00CF2313"/>
    <w:rsid w:val="00CF3501"/>
    <w:rsid w:val="00CF3C01"/>
    <w:rsid w:val="00CF45A3"/>
    <w:rsid w:val="00CF4BB0"/>
    <w:rsid w:val="00CF7F5F"/>
    <w:rsid w:val="00D00044"/>
    <w:rsid w:val="00D01AF3"/>
    <w:rsid w:val="00D0349D"/>
    <w:rsid w:val="00D0386D"/>
    <w:rsid w:val="00D048FE"/>
    <w:rsid w:val="00D04E08"/>
    <w:rsid w:val="00D051CC"/>
    <w:rsid w:val="00D07974"/>
    <w:rsid w:val="00D1293A"/>
    <w:rsid w:val="00D13909"/>
    <w:rsid w:val="00D16151"/>
    <w:rsid w:val="00D16973"/>
    <w:rsid w:val="00D2056F"/>
    <w:rsid w:val="00D21A79"/>
    <w:rsid w:val="00D2328A"/>
    <w:rsid w:val="00D2537D"/>
    <w:rsid w:val="00D25511"/>
    <w:rsid w:val="00D262E9"/>
    <w:rsid w:val="00D27231"/>
    <w:rsid w:val="00D277CA"/>
    <w:rsid w:val="00D30519"/>
    <w:rsid w:val="00D3086A"/>
    <w:rsid w:val="00D32165"/>
    <w:rsid w:val="00D3308C"/>
    <w:rsid w:val="00D352F4"/>
    <w:rsid w:val="00D35A34"/>
    <w:rsid w:val="00D36EAF"/>
    <w:rsid w:val="00D400FE"/>
    <w:rsid w:val="00D40BFC"/>
    <w:rsid w:val="00D4192F"/>
    <w:rsid w:val="00D42A9E"/>
    <w:rsid w:val="00D43FD2"/>
    <w:rsid w:val="00D44467"/>
    <w:rsid w:val="00D459B3"/>
    <w:rsid w:val="00D45F60"/>
    <w:rsid w:val="00D50D27"/>
    <w:rsid w:val="00D52847"/>
    <w:rsid w:val="00D534B0"/>
    <w:rsid w:val="00D565A9"/>
    <w:rsid w:val="00D57400"/>
    <w:rsid w:val="00D57A52"/>
    <w:rsid w:val="00D652DD"/>
    <w:rsid w:val="00D66BDD"/>
    <w:rsid w:val="00D70B23"/>
    <w:rsid w:val="00D712AA"/>
    <w:rsid w:val="00D72215"/>
    <w:rsid w:val="00D73A71"/>
    <w:rsid w:val="00D743F1"/>
    <w:rsid w:val="00D746E1"/>
    <w:rsid w:val="00D77858"/>
    <w:rsid w:val="00D856FC"/>
    <w:rsid w:val="00D86A6C"/>
    <w:rsid w:val="00D960B4"/>
    <w:rsid w:val="00DA0B6B"/>
    <w:rsid w:val="00DA1471"/>
    <w:rsid w:val="00DA338A"/>
    <w:rsid w:val="00DA5097"/>
    <w:rsid w:val="00DA694A"/>
    <w:rsid w:val="00DB4148"/>
    <w:rsid w:val="00DB5381"/>
    <w:rsid w:val="00DC1E60"/>
    <w:rsid w:val="00DC56EF"/>
    <w:rsid w:val="00DC5ADF"/>
    <w:rsid w:val="00DD0C00"/>
    <w:rsid w:val="00DD435E"/>
    <w:rsid w:val="00DD54C6"/>
    <w:rsid w:val="00DD6FF9"/>
    <w:rsid w:val="00DD70C9"/>
    <w:rsid w:val="00DE1107"/>
    <w:rsid w:val="00DE2E39"/>
    <w:rsid w:val="00DE3653"/>
    <w:rsid w:val="00DE501C"/>
    <w:rsid w:val="00DE6450"/>
    <w:rsid w:val="00DE7B72"/>
    <w:rsid w:val="00DF07E4"/>
    <w:rsid w:val="00DF7C1F"/>
    <w:rsid w:val="00E00EC0"/>
    <w:rsid w:val="00E01411"/>
    <w:rsid w:val="00E03681"/>
    <w:rsid w:val="00E0386A"/>
    <w:rsid w:val="00E06CC0"/>
    <w:rsid w:val="00E06CFD"/>
    <w:rsid w:val="00E07589"/>
    <w:rsid w:val="00E07EC8"/>
    <w:rsid w:val="00E10AE9"/>
    <w:rsid w:val="00E12006"/>
    <w:rsid w:val="00E14271"/>
    <w:rsid w:val="00E1429A"/>
    <w:rsid w:val="00E16672"/>
    <w:rsid w:val="00E16BA0"/>
    <w:rsid w:val="00E174EA"/>
    <w:rsid w:val="00E20CB1"/>
    <w:rsid w:val="00E21427"/>
    <w:rsid w:val="00E2178F"/>
    <w:rsid w:val="00E22279"/>
    <w:rsid w:val="00E226B8"/>
    <w:rsid w:val="00E230C3"/>
    <w:rsid w:val="00E23F78"/>
    <w:rsid w:val="00E27FD1"/>
    <w:rsid w:val="00E348AC"/>
    <w:rsid w:val="00E3535B"/>
    <w:rsid w:val="00E357FB"/>
    <w:rsid w:val="00E37DD2"/>
    <w:rsid w:val="00E41BF2"/>
    <w:rsid w:val="00E42BC2"/>
    <w:rsid w:val="00E4646E"/>
    <w:rsid w:val="00E471B0"/>
    <w:rsid w:val="00E51F85"/>
    <w:rsid w:val="00E5219A"/>
    <w:rsid w:val="00E542E4"/>
    <w:rsid w:val="00E5448B"/>
    <w:rsid w:val="00E55A4A"/>
    <w:rsid w:val="00E57D57"/>
    <w:rsid w:val="00E6140A"/>
    <w:rsid w:val="00E63DEB"/>
    <w:rsid w:val="00E64987"/>
    <w:rsid w:val="00E66DDE"/>
    <w:rsid w:val="00E72E24"/>
    <w:rsid w:val="00E75168"/>
    <w:rsid w:val="00E761AD"/>
    <w:rsid w:val="00E76246"/>
    <w:rsid w:val="00E7676D"/>
    <w:rsid w:val="00E816D4"/>
    <w:rsid w:val="00E84008"/>
    <w:rsid w:val="00E861F9"/>
    <w:rsid w:val="00E92908"/>
    <w:rsid w:val="00E96696"/>
    <w:rsid w:val="00EA023C"/>
    <w:rsid w:val="00EA0BC2"/>
    <w:rsid w:val="00EA0EBF"/>
    <w:rsid w:val="00EA19E2"/>
    <w:rsid w:val="00EA28F2"/>
    <w:rsid w:val="00EA4515"/>
    <w:rsid w:val="00EA5D70"/>
    <w:rsid w:val="00EA684B"/>
    <w:rsid w:val="00EA74CB"/>
    <w:rsid w:val="00EB0EB1"/>
    <w:rsid w:val="00EB18F8"/>
    <w:rsid w:val="00EB25FE"/>
    <w:rsid w:val="00EB3362"/>
    <w:rsid w:val="00EB4CD5"/>
    <w:rsid w:val="00EB4D79"/>
    <w:rsid w:val="00EB5A59"/>
    <w:rsid w:val="00EC24AF"/>
    <w:rsid w:val="00ED1C7C"/>
    <w:rsid w:val="00ED22D8"/>
    <w:rsid w:val="00ED4651"/>
    <w:rsid w:val="00EE23B9"/>
    <w:rsid w:val="00EE2669"/>
    <w:rsid w:val="00EE51D3"/>
    <w:rsid w:val="00EE638C"/>
    <w:rsid w:val="00EF2812"/>
    <w:rsid w:val="00EF2D64"/>
    <w:rsid w:val="00EF3F2E"/>
    <w:rsid w:val="00EF4DE6"/>
    <w:rsid w:val="00EF70DB"/>
    <w:rsid w:val="00EF78D0"/>
    <w:rsid w:val="00F04A24"/>
    <w:rsid w:val="00F0600D"/>
    <w:rsid w:val="00F06E52"/>
    <w:rsid w:val="00F109ED"/>
    <w:rsid w:val="00F11330"/>
    <w:rsid w:val="00F131C2"/>
    <w:rsid w:val="00F20595"/>
    <w:rsid w:val="00F23413"/>
    <w:rsid w:val="00F2507A"/>
    <w:rsid w:val="00F26B6A"/>
    <w:rsid w:val="00F309C0"/>
    <w:rsid w:val="00F32C33"/>
    <w:rsid w:val="00F333F6"/>
    <w:rsid w:val="00F33473"/>
    <w:rsid w:val="00F33E4D"/>
    <w:rsid w:val="00F345BA"/>
    <w:rsid w:val="00F345FF"/>
    <w:rsid w:val="00F35C15"/>
    <w:rsid w:val="00F36C56"/>
    <w:rsid w:val="00F43434"/>
    <w:rsid w:val="00F450E8"/>
    <w:rsid w:val="00F46D8C"/>
    <w:rsid w:val="00F470C8"/>
    <w:rsid w:val="00F50251"/>
    <w:rsid w:val="00F509E7"/>
    <w:rsid w:val="00F50E8E"/>
    <w:rsid w:val="00F51124"/>
    <w:rsid w:val="00F60110"/>
    <w:rsid w:val="00F6110B"/>
    <w:rsid w:val="00F7105C"/>
    <w:rsid w:val="00F74B2A"/>
    <w:rsid w:val="00F773EC"/>
    <w:rsid w:val="00F811C5"/>
    <w:rsid w:val="00F8233E"/>
    <w:rsid w:val="00F82710"/>
    <w:rsid w:val="00F864F1"/>
    <w:rsid w:val="00F87032"/>
    <w:rsid w:val="00F8708F"/>
    <w:rsid w:val="00F8741C"/>
    <w:rsid w:val="00F87C5F"/>
    <w:rsid w:val="00F92811"/>
    <w:rsid w:val="00F941E2"/>
    <w:rsid w:val="00F95913"/>
    <w:rsid w:val="00FA0E0E"/>
    <w:rsid w:val="00FA12BD"/>
    <w:rsid w:val="00FA1CBE"/>
    <w:rsid w:val="00FA3078"/>
    <w:rsid w:val="00FA7FF5"/>
    <w:rsid w:val="00FB1804"/>
    <w:rsid w:val="00FB1DB1"/>
    <w:rsid w:val="00FB4ABD"/>
    <w:rsid w:val="00FB5068"/>
    <w:rsid w:val="00FB6F59"/>
    <w:rsid w:val="00FC0CC7"/>
    <w:rsid w:val="00FC1DBE"/>
    <w:rsid w:val="00FC21E8"/>
    <w:rsid w:val="00FC3003"/>
    <w:rsid w:val="00FC4C16"/>
    <w:rsid w:val="00FC626D"/>
    <w:rsid w:val="00FC65D6"/>
    <w:rsid w:val="00FD058D"/>
    <w:rsid w:val="00FD278B"/>
    <w:rsid w:val="00FD491E"/>
    <w:rsid w:val="00FD622C"/>
    <w:rsid w:val="00FD7ECD"/>
    <w:rsid w:val="00FE12A6"/>
    <w:rsid w:val="00FE1381"/>
    <w:rsid w:val="00FE185D"/>
    <w:rsid w:val="00FE477B"/>
    <w:rsid w:val="00FF49E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shapelayout>
  </w:shapeDefaults>
  <w:doNotEmbedSmartTags/>
  <w:decimalSymbol w:val=","/>
  <w:listSeparator w:val=";"/>
  <w14:docId w14:val="086B416F"/>
  <w15:docId w15:val="{09AF3FC4-CF6D-4ABC-B550-FC8511BF2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C1DBE"/>
    <w:pPr>
      <w:suppressAutoHyphens/>
      <w:ind w:firstLine="567"/>
      <w:jc w:val="both"/>
    </w:pPr>
    <w:rPr>
      <w:rFonts w:ascii="Arial" w:hAnsi="Arial"/>
      <w:szCs w:val="24"/>
      <w:lang w:val="ru-RU" w:eastAsia="ar-SA"/>
    </w:rPr>
  </w:style>
  <w:style w:type="paragraph" w:styleId="1">
    <w:name w:val="heading 1"/>
    <w:basedOn w:val="a"/>
    <w:next w:val="a"/>
    <w:qFormat/>
    <w:rsid w:val="00944C22"/>
    <w:pPr>
      <w:keepNext/>
      <w:jc w:val="center"/>
      <w:outlineLvl w:val="0"/>
    </w:pPr>
    <w:rPr>
      <w:rFonts w:cs="Arial"/>
      <w:b/>
      <w:bCs/>
      <w:kern w:val="1"/>
      <w:sz w:val="22"/>
      <w:szCs w:val="32"/>
    </w:rPr>
  </w:style>
  <w:style w:type="paragraph" w:styleId="2">
    <w:name w:val="heading 2"/>
    <w:basedOn w:val="a"/>
    <w:next w:val="a"/>
    <w:qFormat/>
    <w:rsid w:val="00944C22"/>
    <w:pPr>
      <w:keepNext/>
      <w:spacing w:before="120" w:after="120"/>
      <w:jc w:val="center"/>
      <w:outlineLvl w:val="1"/>
    </w:pPr>
    <w:rPr>
      <w:rFonts w:cs="Arial"/>
      <w:b/>
      <w:bCs/>
      <w:iCs/>
      <w:szCs w:val="28"/>
    </w:rPr>
  </w:style>
  <w:style w:type="paragraph" w:styleId="3">
    <w:name w:val="heading 3"/>
    <w:basedOn w:val="a"/>
    <w:next w:val="a"/>
    <w:uiPriority w:val="99"/>
    <w:qFormat/>
    <w:rsid w:val="00D712AA"/>
    <w:pPr>
      <w:keepNext/>
      <w:numPr>
        <w:ilvl w:val="2"/>
        <w:numId w:val="1"/>
      </w:numPr>
      <w:spacing w:before="240" w:after="60"/>
      <w:outlineLvl w:val="2"/>
    </w:pPr>
    <w:rPr>
      <w:rFonts w:cs="Arial"/>
      <w:b/>
      <w:bCs/>
      <w:sz w:val="26"/>
      <w:szCs w:val="26"/>
      <w:lang w:val="uk-UA"/>
    </w:rPr>
  </w:style>
  <w:style w:type="paragraph" w:styleId="4">
    <w:name w:val="heading 4"/>
    <w:basedOn w:val="a"/>
    <w:next w:val="a"/>
    <w:link w:val="40"/>
    <w:uiPriority w:val="99"/>
    <w:qFormat/>
    <w:rsid w:val="00D712AA"/>
    <w:pPr>
      <w:keepNext/>
      <w:numPr>
        <w:ilvl w:val="3"/>
        <w:numId w:val="1"/>
      </w:numPr>
      <w:jc w:val="center"/>
      <w:outlineLvl w:val="3"/>
    </w:pPr>
    <w:rPr>
      <w:b/>
      <w:sz w:val="22"/>
      <w:szCs w:val="20"/>
      <w:lang w:val="uk-UA"/>
    </w:rPr>
  </w:style>
  <w:style w:type="paragraph" w:styleId="5">
    <w:name w:val="heading 5"/>
    <w:basedOn w:val="a"/>
    <w:next w:val="a"/>
    <w:uiPriority w:val="99"/>
    <w:qFormat/>
    <w:rsid w:val="00D712AA"/>
    <w:pPr>
      <w:keepNext/>
      <w:numPr>
        <w:ilvl w:val="4"/>
        <w:numId w:val="1"/>
      </w:numPr>
      <w:tabs>
        <w:tab w:val="left" w:pos="0"/>
      </w:tabs>
      <w:jc w:val="center"/>
      <w:outlineLvl w:val="4"/>
    </w:pPr>
    <w:rPr>
      <w:sz w:val="36"/>
      <w:szCs w:val="20"/>
    </w:rPr>
  </w:style>
  <w:style w:type="paragraph" w:styleId="6">
    <w:name w:val="heading 6"/>
    <w:basedOn w:val="a"/>
    <w:next w:val="a"/>
    <w:uiPriority w:val="99"/>
    <w:qFormat/>
    <w:rsid w:val="00D712AA"/>
    <w:pPr>
      <w:keepNext/>
      <w:numPr>
        <w:ilvl w:val="5"/>
        <w:numId w:val="1"/>
      </w:numPr>
      <w:jc w:val="center"/>
      <w:outlineLvl w:val="5"/>
    </w:pPr>
    <w:rPr>
      <w:sz w:val="32"/>
      <w:szCs w:val="20"/>
    </w:rPr>
  </w:style>
  <w:style w:type="paragraph" w:styleId="7">
    <w:name w:val="heading 7"/>
    <w:basedOn w:val="a"/>
    <w:next w:val="a"/>
    <w:qFormat/>
    <w:rsid w:val="00D712AA"/>
    <w:pPr>
      <w:spacing w:before="240" w:after="60"/>
      <w:outlineLvl w:val="6"/>
    </w:pPr>
  </w:style>
  <w:style w:type="paragraph" w:styleId="8">
    <w:name w:val="heading 8"/>
    <w:basedOn w:val="a"/>
    <w:next w:val="a"/>
    <w:qFormat/>
    <w:rsid w:val="00D712AA"/>
    <w:pPr>
      <w:widowControl w:val="0"/>
      <w:spacing w:before="240" w:after="60"/>
      <w:outlineLvl w:val="7"/>
    </w:pPr>
    <w:rPr>
      <w:rFonts w:eastAsia="Lucida Sans Unicode"/>
      <w:i/>
      <w:iCs/>
      <w:kern w:val="1"/>
      <w:lang w:val="uk-UA" w:eastAsia="hi-IN" w:bidi="hi-IN"/>
    </w:rPr>
  </w:style>
  <w:style w:type="paragraph" w:styleId="9">
    <w:name w:val="heading 9"/>
    <w:basedOn w:val="a"/>
    <w:next w:val="a"/>
    <w:qFormat/>
    <w:rsid w:val="00D712AA"/>
    <w:pPr>
      <w:widowControl w:val="0"/>
      <w:spacing w:before="240" w:after="60"/>
      <w:outlineLvl w:val="8"/>
    </w:pPr>
    <w:rPr>
      <w:rFonts w:eastAsia="Lucida Sans Unicode" w:cs="Arial"/>
      <w:kern w:val="1"/>
      <w:sz w:val="22"/>
      <w:szCs w:val="22"/>
      <w:lang w:val="uk-UA"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3z0">
    <w:name w:val="WW8Num3z0"/>
    <w:rsid w:val="00D712AA"/>
    <w:rPr>
      <w:rFonts w:ascii="StarSymbol" w:hAnsi="StarSymbol"/>
    </w:rPr>
  </w:style>
  <w:style w:type="character" w:customStyle="1" w:styleId="WW8Num3z1">
    <w:name w:val="WW8Num3z1"/>
    <w:rsid w:val="00D712AA"/>
    <w:rPr>
      <w:rFonts w:ascii="Courier New" w:hAnsi="Courier New" w:cs="Courier New"/>
    </w:rPr>
  </w:style>
  <w:style w:type="character" w:customStyle="1" w:styleId="WW8Num3z2">
    <w:name w:val="WW8Num3z2"/>
    <w:rsid w:val="00D712AA"/>
    <w:rPr>
      <w:rFonts w:ascii="Wingdings" w:hAnsi="Wingdings" w:cs="Times New Roman"/>
    </w:rPr>
  </w:style>
  <w:style w:type="character" w:customStyle="1" w:styleId="WW8Num3z3">
    <w:name w:val="WW8Num3z3"/>
    <w:rsid w:val="00D712AA"/>
    <w:rPr>
      <w:rFonts w:ascii="Symbol" w:hAnsi="Symbol" w:cs="Times New Roman"/>
    </w:rPr>
  </w:style>
  <w:style w:type="character" w:customStyle="1" w:styleId="WW8Num7z0">
    <w:name w:val="WW8Num7z0"/>
    <w:rsid w:val="00D712AA"/>
    <w:rPr>
      <w:rFonts w:ascii="StarSymbol" w:hAnsi="StarSymbol"/>
    </w:rPr>
  </w:style>
  <w:style w:type="character" w:customStyle="1" w:styleId="WW8Num8z0">
    <w:name w:val="WW8Num8z0"/>
    <w:rsid w:val="00D712AA"/>
    <w:rPr>
      <w:rFonts w:ascii="StarSymbol" w:hAnsi="StarSymbol"/>
    </w:rPr>
  </w:style>
  <w:style w:type="character" w:customStyle="1" w:styleId="WW8Num9z0">
    <w:name w:val="WW8Num9z0"/>
    <w:rsid w:val="00D712AA"/>
    <w:rPr>
      <w:b w:val="0"/>
      <w:i w:val="0"/>
    </w:rPr>
  </w:style>
  <w:style w:type="character" w:customStyle="1" w:styleId="WW8Num12z0">
    <w:name w:val="WW8Num12z0"/>
    <w:rsid w:val="00D712AA"/>
    <w:rPr>
      <w:rFonts w:ascii="StarSymbol" w:hAnsi="StarSymbol"/>
    </w:rPr>
  </w:style>
  <w:style w:type="character" w:customStyle="1" w:styleId="WW8Num13z0">
    <w:name w:val="WW8Num13z0"/>
    <w:rsid w:val="00D712AA"/>
    <w:rPr>
      <w:rFonts w:ascii="Times New Roman" w:hAnsi="Times New Roman" w:cs="Times New Roman"/>
    </w:rPr>
  </w:style>
  <w:style w:type="character" w:customStyle="1" w:styleId="WW8Num15z0">
    <w:name w:val="WW8Num15z0"/>
    <w:rsid w:val="00D712AA"/>
    <w:rPr>
      <w:rFonts w:ascii="StarSymbol" w:hAnsi="StarSymbol"/>
    </w:rPr>
  </w:style>
  <w:style w:type="character" w:customStyle="1" w:styleId="WW8Num15z1">
    <w:name w:val="WW8Num15z1"/>
    <w:rsid w:val="00D712AA"/>
    <w:rPr>
      <w:rFonts w:ascii="OpenSymbol" w:hAnsi="OpenSymbol"/>
    </w:rPr>
  </w:style>
  <w:style w:type="character" w:customStyle="1" w:styleId="WW8Num16z0">
    <w:name w:val="WW8Num16z0"/>
    <w:rsid w:val="00D712AA"/>
    <w:rPr>
      <w:rFonts w:ascii="StarSymbol" w:hAnsi="StarSymbol"/>
    </w:rPr>
  </w:style>
  <w:style w:type="character" w:customStyle="1" w:styleId="WW8Num17z0">
    <w:name w:val="WW8Num17z0"/>
    <w:rsid w:val="00D712AA"/>
    <w:rPr>
      <w:rFonts w:ascii="Times New Roman" w:eastAsia="Times New Roman" w:hAnsi="Times New Roman" w:cs="Times New Roman"/>
    </w:rPr>
  </w:style>
  <w:style w:type="character" w:customStyle="1" w:styleId="WW8Num18z0">
    <w:name w:val="WW8Num18z0"/>
    <w:rsid w:val="00D712AA"/>
    <w:rPr>
      <w:rFonts w:ascii="StarSymbol" w:hAnsi="StarSymbol"/>
    </w:rPr>
  </w:style>
  <w:style w:type="character" w:customStyle="1" w:styleId="WW8Num19z0">
    <w:name w:val="WW8Num19z0"/>
    <w:rsid w:val="00D712AA"/>
    <w:rPr>
      <w:rFonts w:ascii="StarSymbol" w:hAnsi="StarSymbol"/>
    </w:rPr>
  </w:style>
  <w:style w:type="character" w:customStyle="1" w:styleId="WW8Num20z0">
    <w:name w:val="WW8Num20z0"/>
    <w:rsid w:val="00D712AA"/>
    <w:rPr>
      <w:rFonts w:ascii="StarSymbol" w:hAnsi="StarSymbol"/>
    </w:rPr>
  </w:style>
  <w:style w:type="character" w:customStyle="1" w:styleId="WW8Num21z0">
    <w:name w:val="WW8Num21z0"/>
    <w:rsid w:val="00D712AA"/>
    <w:rPr>
      <w:rFonts w:ascii="Times New Roman" w:eastAsia="Times New Roman" w:hAnsi="Times New Roman" w:cs="Times New Roman"/>
    </w:rPr>
  </w:style>
  <w:style w:type="character" w:customStyle="1" w:styleId="WW8Num22z0">
    <w:name w:val="WW8Num22z0"/>
    <w:rsid w:val="00D712AA"/>
    <w:rPr>
      <w:rFonts w:ascii="Arial" w:eastAsia="Times New Roman" w:hAnsi="Arial" w:cs="Times New Roman"/>
      <w:sz w:val="20"/>
      <w:szCs w:val="20"/>
    </w:rPr>
  </w:style>
  <w:style w:type="character" w:customStyle="1" w:styleId="WW8Num23z0">
    <w:name w:val="WW8Num23z0"/>
    <w:rsid w:val="00D712AA"/>
    <w:rPr>
      <w:rFonts w:ascii="Arial" w:eastAsia="Times New Roman" w:hAnsi="Arial" w:cs="Times New Roman"/>
      <w:sz w:val="20"/>
      <w:szCs w:val="20"/>
    </w:rPr>
  </w:style>
  <w:style w:type="character" w:customStyle="1" w:styleId="WW8Num24z0">
    <w:name w:val="WW8Num24z0"/>
    <w:rsid w:val="00D712AA"/>
    <w:rPr>
      <w:rFonts w:ascii="Times New Roman" w:eastAsia="Times New Roman" w:hAnsi="Times New Roman" w:cs="Times New Roman"/>
    </w:rPr>
  </w:style>
  <w:style w:type="character" w:customStyle="1" w:styleId="WW8Num25z0">
    <w:name w:val="WW8Num25z0"/>
    <w:rsid w:val="00D712AA"/>
    <w:rPr>
      <w:rFonts w:ascii="StarSymbol" w:hAnsi="StarSymbol"/>
    </w:rPr>
  </w:style>
  <w:style w:type="character" w:customStyle="1" w:styleId="Absatz-Standardschriftart">
    <w:name w:val="Absatz-Standardschriftart"/>
    <w:rsid w:val="00D712AA"/>
  </w:style>
  <w:style w:type="character" w:customStyle="1" w:styleId="WW8Num16z1">
    <w:name w:val="WW8Num16z1"/>
    <w:rsid w:val="00D712AA"/>
    <w:rPr>
      <w:rFonts w:ascii="Courier New" w:hAnsi="Courier New"/>
    </w:rPr>
  </w:style>
  <w:style w:type="character" w:customStyle="1" w:styleId="WW8Num26z0">
    <w:name w:val="WW8Num26z0"/>
    <w:rsid w:val="00D712AA"/>
    <w:rPr>
      <w:rFonts w:ascii="StarSymbol" w:hAnsi="StarSymbol"/>
    </w:rPr>
  </w:style>
  <w:style w:type="character" w:customStyle="1" w:styleId="WW-Absatz-Standardschriftart">
    <w:name w:val="WW-Absatz-Standardschriftart"/>
    <w:rsid w:val="00D712AA"/>
  </w:style>
  <w:style w:type="character" w:customStyle="1" w:styleId="WW-Absatz-Standardschriftart1">
    <w:name w:val="WW-Absatz-Standardschriftart1"/>
    <w:rsid w:val="00D712AA"/>
  </w:style>
  <w:style w:type="character" w:customStyle="1" w:styleId="WW-Absatz-Standardschriftart11">
    <w:name w:val="WW-Absatz-Standardschriftart11"/>
    <w:rsid w:val="00D712AA"/>
  </w:style>
  <w:style w:type="character" w:customStyle="1" w:styleId="WW-Absatz-Standardschriftart111">
    <w:name w:val="WW-Absatz-Standardschriftart111"/>
    <w:rsid w:val="00D712AA"/>
  </w:style>
  <w:style w:type="character" w:customStyle="1" w:styleId="WW-Absatz-Standardschriftart1111">
    <w:name w:val="WW-Absatz-Standardschriftart1111"/>
    <w:rsid w:val="00D712AA"/>
  </w:style>
  <w:style w:type="character" w:customStyle="1" w:styleId="WW-Absatz-Standardschriftart11111">
    <w:name w:val="WW-Absatz-Standardschriftart11111"/>
    <w:rsid w:val="00D712AA"/>
  </w:style>
  <w:style w:type="character" w:customStyle="1" w:styleId="WW-Absatz-Standardschriftart111111">
    <w:name w:val="WW-Absatz-Standardschriftart111111"/>
    <w:rsid w:val="00D712AA"/>
  </w:style>
  <w:style w:type="character" w:customStyle="1" w:styleId="WW-Absatz-Standardschriftart1111111">
    <w:name w:val="WW-Absatz-Standardschriftart1111111"/>
    <w:rsid w:val="00D712AA"/>
  </w:style>
  <w:style w:type="character" w:customStyle="1" w:styleId="WW8Num10z0">
    <w:name w:val="WW8Num10z0"/>
    <w:rsid w:val="00D712AA"/>
    <w:rPr>
      <w:b w:val="0"/>
      <w:i w:val="0"/>
    </w:rPr>
  </w:style>
  <w:style w:type="character" w:customStyle="1" w:styleId="WW8Num14z0">
    <w:name w:val="WW8Num14z0"/>
    <w:rsid w:val="00D712AA"/>
    <w:rPr>
      <w:rFonts w:ascii="Times New Roman" w:hAnsi="Times New Roman" w:cs="Times New Roman"/>
    </w:rPr>
  </w:style>
  <w:style w:type="character" w:customStyle="1" w:styleId="WW8Num17z1">
    <w:name w:val="WW8Num17z1"/>
    <w:rsid w:val="00D712AA"/>
    <w:rPr>
      <w:rFonts w:ascii="Courier New" w:hAnsi="Courier New"/>
    </w:rPr>
  </w:style>
  <w:style w:type="character" w:customStyle="1" w:styleId="WW8Num27z0">
    <w:name w:val="WW8Num27z0"/>
    <w:rsid w:val="00D712AA"/>
    <w:rPr>
      <w:b w:val="0"/>
      <w:i w:val="0"/>
    </w:rPr>
  </w:style>
  <w:style w:type="character" w:customStyle="1" w:styleId="WW8Num28z0">
    <w:name w:val="WW8Num28z0"/>
    <w:rsid w:val="00D712AA"/>
    <w:rPr>
      <w:rFonts w:ascii="StarSymbol" w:hAnsi="StarSymbol"/>
    </w:rPr>
  </w:style>
  <w:style w:type="character" w:customStyle="1" w:styleId="WW8Num29z0">
    <w:name w:val="WW8Num29z0"/>
    <w:rsid w:val="00D712AA"/>
    <w:rPr>
      <w:rFonts w:ascii="StarSymbol" w:hAnsi="StarSymbol"/>
    </w:rPr>
  </w:style>
  <w:style w:type="character" w:customStyle="1" w:styleId="WW-Absatz-Standardschriftart11111111">
    <w:name w:val="WW-Absatz-Standardschriftart11111111"/>
    <w:rsid w:val="00D712AA"/>
  </w:style>
  <w:style w:type="character" w:customStyle="1" w:styleId="WW8Num19z1">
    <w:name w:val="WW8Num19z1"/>
    <w:rsid w:val="00D712AA"/>
    <w:rPr>
      <w:rFonts w:ascii="Courier New" w:hAnsi="Courier New" w:cs="Courier New"/>
    </w:rPr>
  </w:style>
  <w:style w:type="character" w:customStyle="1" w:styleId="WW8Num30z0">
    <w:name w:val="WW8Num30z0"/>
    <w:rsid w:val="00D712AA"/>
    <w:rPr>
      <w:rFonts w:ascii="Times New Roman" w:eastAsia="Times New Roman" w:hAnsi="Times New Roman" w:cs="Times New Roman"/>
    </w:rPr>
  </w:style>
  <w:style w:type="character" w:customStyle="1" w:styleId="WW8Num31z0">
    <w:name w:val="WW8Num31z0"/>
    <w:rsid w:val="00D712AA"/>
    <w:rPr>
      <w:rFonts w:ascii="StarSymbol" w:hAnsi="StarSymbol"/>
    </w:rPr>
  </w:style>
  <w:style w:type="character" w:customStyle="1" w:styleId="WW8Num32z0">
    <w:name w:val="WW8Num32z0"/>
    <w:rsid w:val="00D712AA"/>
    <w:rPr>
      <w:rFonts w:ascii="StarSymbol" w:hAnsi="StarSymbol"/>
    </w:rPr>
  </w:style>
  <w:style w:type="character" w:customStyle="1" w:styleId="WW8Num33z0">
    <w:name w:val="WW8Num33z0"/>
    <w:rsid w:val="00D712AA"/>
    <w:rPr>
      <w:rFonts w:ascii="StarSymbol" w:hAnsi="StarSymbol"/>
    </w:rPr>
  </w:style>
  <w:style w:type="character" w:customStyle="1" w:styleId="WW-Absatz-Standardschriftart111111111">
    <w:name w:val="WW-Absatz-Standardschriftart111111111"/>
    <w:rsid w:val="00D712AA"/>
  </w:style>
  <w:style w:type="character" w:customStyle="1" w:styleId="WW8Num11z0">
    <w:name w:val="WW8Num11z0"/>
    <w:rsid w:val="00D712AA"/>
    <w:rPr>
      <w:b w:val="0"/>
      <w:i w:val="0"/>
    </w:rPr>
  </w:style>
  <w:style w:type="character" w:customStyle="1" w:styleId="WW8Num20z1">
    <w:name w:val="WW8Num20z1"/>
    <w:rsid w:val="00D712AA"/>
    <w:rPr>
      <w:rFonts w:ascii="Courier New" w:hAnsi="Courier New"/>
    </w:rPr>
  </w:style>
  <w:style w:type="character" w:customStyle="1" w:styleId="WW-Absatz-Standardschriftart1111111111">
    <w:name w:val="WW-Absatz-Standardschriftart1111111111"/>
    <w:rsid w:val="00D712AA"/>
  </w:style>
  <w:style w:type="character" w:customStyle="1" w:styleId="WW-Absatz-Standardschriftart11111111111">
    <w:name w:val="WW-Absatz-Standardschriftart11111111111"/>
    <w:rsid w:val="00D712AA"/>
  </w:style>
  <w:style w:type="character" w:customStyle="1" w:styleId="WW-Absatz-Standardschriftart111111111111">
    <w:name w:val="WW-Absatz-Standardschriftart111111111111"/>
    <w:rsid w:val="00D712AA"/>
  </w:style>
  <w:style w:type="character" w:customStyle="1" w:styleId="WW8Num22z1">
    <w:name w:val="WW8Num22z1"/>
    <w:rsid w:val="00D712AA"/>
    <w:rPr>
      <w:rFonts w:ascii="Courier New" w:hAnsi="Courier New"/>
    </w:rPr>
  </w:style>
  <w:style w:type="character" w:customStyle="1" w:styleId="WW-Absatz-Standardschriftart1111111111111">
    <w:name w:val="WW-Absatz-Standardschriftart1111111111111"/>
    <w:rsid w:val="00D712AA"/>
  </w:style>
  <w:style w:type="character" w:customStyle="1" w:styleId="WW8Num23z1">
    <w:name w:val="WW8Num23z1"/>
    <w:rsid w:val="00D712AA"/>
    <w:rPr>
      <w:rFonts w:ascii="Courier New" w:hAnsi="Courier New"/>
    </w:rPr>
  </w:style>
  <w:style w:type="character" w:customStyle="1" w:styleId="WW-Absatz-Standardschriftart11111111111111">
    <w:name w:val="WW-Absatz-Standardschriftart11111111111111"/>
    <w:rsid w:val="00D712AA"/>
  </w:style>
  <w:style w:type="character" w:customStyle="1" w:styleId="WW-Absatz-Standardschriftart111111111111111">
    <w:name w:val="WW-Absatz-Standardschriftart111111111111111"/>
    <w:rsid w:val="00D712AA"/>
  </w:style>
  <w:style w:type="character" w:customStyle="1" w:styleId="WW8Num24z1">
    <w:name w:val="WW8Num24z1"/>
    <w:rsid w:val="00D712AA"/>
    <w:rPr>
      <w:rFonts w:ascii="Courier New" w:hAnsi="Courier New" w:cs="Courier New"/>
    </w:rPr>
  </w:style>
  <w:style w:type="character" w:customStyle="1" w:styleId="19">
    <w:name w:val="Основной шрифт абзаца19"/>
    <w:rsid w:val="00D712AA"/>
  </w:style>
  <w:style w:type="character" w:customStyle="1" w:styleId="18">
    <w:name w:val="Основной шрифт абзаца18"/>
    <w:rsid w:val="00D712AA"/>
  </w:style>
  <w:style w:type="character" w:customStyle="1" w:styleId="17">
    <w:name w:val="Основной шрифт абзаца17"/>
    <w:rsid w:val="00D712AA"/>
  </w:style>
  <w:style w:type="character" w:customStyle="1" w:styleId="WW-Absatz-Standardschriftart1111111111111111">
    <w:name w:val="WW-Absatz-Standardschriftart1111111111111111"/>
    <w:rsid w:val="00D712AA"/>
  </w:style>
  <w:style w:type="character" w:customStyle="1" w:styleId="WW-Absatz-Standardschriftart11111111111111111">
    <w:name w:val="WW-Absatz-Standardschriftart11111111111111111"/>
    <w:rsid w:val="00D712AA"/>
  </w:style>
  <w:style w:type="character" w:customStyle="1" w:styleId="WW-Absatz-Standardschriftart111111111111111111">
    <w:name w:val="WW-Absatz-Standardschriftart111111111111111111"/>
    <w:rsid w:val="00D712AA"/>
  </w:style>
  <w:style w:type="character" w:customStyle="1" w:styleId="16">
    <w:name w:val="Основной шрифт абзаца16"/>
    <w:rsid w:val="00D712AA"/>
  </w:style>
  <w:style w:type="character" w:customStyle="1" w:styleId="WW8Num2z0">
    <w:name w:val="WW8Num2z0"/>
    <w:rsid w:val="00D712AA"/>
    <w:rPr>
      <w:rFonts w:ascii="StarSymbol" w:hAnsi="StarSymbol" w:cs="StarSymbol"/>
      <w:color w:val="000000"/>
      <w:spacing w:val="-8"/>
      <w:sz w:val="24"/>
      <w:szCs w:val="24"/>
      <w:shd w:val="clear" w:color="auto" w:fill="FFFFFF"/>
      <w:lang w:val="uk-UA"/>
    </w:rPr>
  </w:style>
  <w:style w:type="character" w:customStyle="1" w:styleId="WW8Num2z1">
    <w:name w:val="WW8Num2z1"/>
    <w:rsid w:val="00D712AA"/>
    <w:rPr>
      <w:rFonts w:ascii="Courier New" w:hAnsi="Courier New" w:cs="Courier New"/>
    </w:rPr>
  </w:style>
  <w:style w:type="character" w:customStyle="1" w:styleId="WW8Num2z2">
    <w:name w:val="WW8Num2z2"/>
    <w:rsid w:val="00D712AA"/>
    <w:rPr>
      <w:rFonts w:ascii="Wingdings" w:hAnsi="Wingdings" w:cs="Times New Roman"/>
    </w:rPr>
  </w:style>
  <w:style w:type="character" w:customStyle="1" w:styleId="WW8Num2z3">
    <w:name w:val="WW8Num2z3"/>
    <w:rsid w:val="00D712AA"/>
    <w:rPr>
      <w:rFonts w:ascii="Symbol" w:hAnsi="Symbol" w:cs="Times New Roman"/>
    </w:rPr>
  </w:style>
  <w:style w:type="character" w:customStyle="1" w:styleId="WW8Num10z1">
    <w:name w:val="WW8Num10z1"/>
    <w:rsid w:val="00D712AA"/>
    <w:rPr>
      <w:rFonts w:ascii="Courier New" w:hAnsi="Courier New" w:cs="Courier New"/>
    </w:rPr>
  </w:style>
  <w:style w:type="character" w:customStyle="1" w:styleId="WW8Num10z2">
    <w:name w:val="WW8Num10z2"/>
    <w:rsid w:val="00D712AA"/>
    <w:rPr>
      <w:rFonts w:ascii="Wingdings" w:hAnsi="Wingdings" w:cs="Times New Roman"/>
    </w:rPr>
  </w:style>
  <w:style w:type="character" w:customStyle="1" w:styleId="WW8Num10z3">
    <w:name w:val="WW8Num10z3"/>
    <w:rsid w:val="00D712AA"/>
    <w:rPr>
      <w:rFonts w:ascii="Symbol" w:hAnsi="Symbol" w:cs="Times New Roman"/>
    </w:rPr>
  </w:style>
  <w:style w:type="character" w:customStyle="1" w:styleId="WW8Num19z2">
    <w:name w:val="WW8Num19z2"/>
    <w:rsid w:val="00D712AA"/>
    <w:rPr>
      <w:rFonts w:ascii="Wingdings" w:hAnsi="Wingdings"/>
    </w:rPr>
  </w:style>
  <w:style w:type="character" w:customStyle="1" w:styleId="WW8Num22z2">
    <w:name w:val="WW8Num22z2"/>
    <w:rsid w:val="00D712AA"/>
    <w:rPr>
      <w:rFonts w:ascii="Wingdings" w:hAnsi="Wingdings"/>
    </w:rPr>
  </w:style>
  <w:style w:type="character" w:customStyle="1" w:styleId="15">
    <w:name w:val="Основной шрифт абзаца15"/>
    <w:rsid w:val="00D712AA"/>
  </w:style>
  <w:style w:type="character" w:styleId="a3">
    <w:name w:val="Strong"/>
    <w:qFormat/>
    <w:rsid w:val="00D712AA"/>
    <w:rPr>
      <w:b/>
      <w:bCs/>
    </w:rPr>
  </w:style>
  <w:style w:type="character" w:customStyle="1" w:styleId="rvts0">
    <w:name w:val="rvts0"/>
    <w:basedOn w:val="15"/>
    <w:rsid w:val="00D712AA"/>
  </w:style>
  <w:style w:type="character" w:customStyle="1" w:styleId="xslt">
    <w:name w:val="xslt"/>
    <w:basedOn w:val="15"/>
    <w:rsid w:val="00D712AA"/>
  </w:style>
  <w:style w:type="character" w:styleId="a4">
    <w:name w:val="Emphasis"/>
    <w:qFormat/>
    <w:rsid w:val="00D712AA"/>
    <w:rPr>
      <w:i/>
      <w:iCs/>
    </w:rPr>
  </w:style>
  <w:style w:type="character" w:customStyle="1" w:styleId="WW8Num8z1">
    <w:name w:val="WW8Num8z1"/>
    <w:rsid w:val="00D712AA"/>
    <w:rPr>
      <w:rFonts w:ascii="Courier New" w:hAnsi="Courier New" w:cs="Courier New"/>
    </w:rPr>
  </w:style>
  <w:style w:type="character" w:customStyle="1" w:styleId="WW8Num8z2">
    <w:name w:val="WW8Num8z2"/>
    <w:rsid w:val="00D712AA"/>
    <w:rPr>
      <w:rFonts w:ascii="Wingdings" w:hAnsi="Wingdings" w:cs="Times New Roman"/>
    </w:rPr>
  </w:style>
  <w:style w:type="character" w:customStyle="1" w:styleId="WW8Num8z3">
    <w:name w:val="WW8Num8z3"/>
    <w:rsid w:val="00D712AA"/>
    <w:rPr>
      <w:rFonts w:ascii="Symbol" w:hAnsi="Symbol" w:cs="Times New Roman"/>
    </w:rPr>
  </w:style>
  <w:style w:type="character" w:customStyle="1" w:styleId="WW8Num9z1">
    <w:name w:val="WW8Num9z1"/>
    <w:rsid w:val="00D712AA"/>
    <w:rPr>
      <w:rFonts w:ascii="Courier New" w:hAnsi="Courier New" w:cs="Courier New"/>
    </w:rPr>
  </w:style>
  <w:style w:type="character" w:customStyle="1" w:styleId="WW8Num9z2">
    <w:name w:val="WW8Num9z2"/>
    <w:rsid w:val="00D712AA"/>
    <w:rPr>
      <w:rFonts w:ascii="Wingdings" w:hAnsi="Wingdings" w:cs="Times New Roman"/>
    </w:rPr>
  </w:style>
  <w:style w:type="character" w:customStyle="1" w:styleId="WW8Num9z3">
    <w:name w:val="WW8Num9z3"/>
    <w:rsid w:val="00D712AA"/>
    <w:rPr>
      <w:rFonts w:ascii="Symbol" w:hAnsi="Symbol" w:cs="Times New Roman"/>
    </w:rPr>
  </w:style>
  <w:style w:type="character" w:customStyle="1" w:styleId="WW8Num11z1">
    <w:name w:val="WW8Num11z1"/>
    <w:rsid w:val="00D712AA"/>
    <w:rPr>
      <w:rFonts w:ascii="Courier New" w:hAnsi="Courier New" w:cs="Courier New"/>
    </w:rPr>
  </w:style>
  <w:style w:type="character" w:customStyle="1" w:styleId="WW8Num11z2">
    <w:name w:val="WW8Num11z2"/>
    <w:rsid w:val="00D712AA"/>
    <w:rPr>
      <w:rFonts w:ascii="Wingdings" w:hAnsi="Wingdings" w:cs="Times New Roman"/>
    </w:rPr>
  </w:style>
  <w:style w:type="character" w:customStyle="1" w:styleId="WW8Num11z3">
    <w:name w:val="WW8Num11z3"/>
    <w:rsid w:val="00D712AA"/>
    <w:rPr>
      <w:rFonts w:ascii="Symbol" w:hAnsi="Symbol" w:cs="Times New Roman"/>
    </w:rPr>
  </w:style>
  <w:style w:type="character" w:customStyle="1" w:styleId="WW8Num29z1">
    <w:name w:val="WW8Num29z1"/>
    <w:rsid w:val="00D712AA"/>
    <w:rPr>
      <w:rFonts w:ascii="Courier New" w:hAnsi="Courier New" w:cs="Courier New"/>
    </w:rPr>
  </w:style>
  <w:style w:type="character" w:customStyle="1" w:styleId="WW8Num30z1">
    <w:name w:val="WW8Num30z1"/>
    <w:rsid w:val="00D712AA"/>
    <w:rPr>
      <w:rFonts w:ascii="Courier New" w:hAnsi="Courier New" w:cs="Courier New"/>
    </w:rPr>
  </w:style>
  <w:style w:type="character" w:customStyle="1" w:styleId="WW8Num34z0">
    <w:name w:val="WW8Num34z0"/>
    <w:rsid w:val="00D712AA"/>
    <w:rPr>
      <w:rFonts w:ascii="StarSymbol" w:hAnsi="StarSymbol"/>
    </w:rPr>
  </w:style>
  <w:style w:type="character" w:customStyle="1" w:styleId="WW8Num35z0">
    <w:name w:val="WW8Num35z0"/>
    <w:rsid w:val="00D712AA"/>
    <w:rPr>
      <w:rFonts w:ascii="StarSymbol" w:hAnsi="StarSymbol"/>
    </w:rPr>
  </w:style>
  <w:style w:type="character" w:customStyle="1" w:styleId="WW8Num36z0">
    <w:name w:val="WW8Num36z0"/>
    <w:rsid w:val="00D712AA"/>
    <w:rPr>
      <w:rFonts w:ascii="StarSymbol" w:hAnsi="StarSymbol"/>
    </w:rPr>
  </w:style>
  <w:style w:type="character" w:customStyle="1" w:styleId="WW8Num37z0">
    <w:name w:val="WW8Num37z0"/>
    <w:rsid w:val="00D712AA"/>
    <w:rPr>
      <w:rFonts w:ascii="StarSymbol" w:hAnsi="StarSymbol"/>
    </w:rPr>
  </w:style>
  <w:style w:type="character" w:customStyle="1" w:styleId="WW8Num38z0">
    <w:name w:val="WW8Num38z0"/>
    <w:rsid w:val="00D712AA"/>
    <w:rPr>
      <w:rFonts w:ascii="StarSymbol" w:hAnsi="StarSymbol"/>
    </w:rPr>
  </w:style>
  <w:style w:type="character" w:customStyle="1" w:styleId="WW8Num39z0">
    <w:name w:val="WW8Num39z0"/>
    <w:rsid w:val="00D712AA"/>
    <w:rPr>
      <w:rFonts w:ascii="StarSymbol" w:hAnsi="StarSymbol"/>
    </w:rPr>
  </w:style>
  <w:style w:type="character" w:customStyle="1" w:styleId="WW8Num40z0">
    <w:name w:val="WW8Num40z0"/>
    <w:rsid w:val="00D712AA"/>
    <w:rPr>
      <w:rFonts w:ascii="StarSymbol" w:hAnsi="StarSymbol"/>
    </w:rPr>
  </w:style>
  <w:style w:type="character" w:customStyle="1" w:styleId="WW8Num41z0">
    <w:name w:val="WW8Num41z0"/>
    <w:rsid w:val="00D712AA"/>
    <w:rPr>
      <w:rFonts w:ascii="StarSymbol" w:hAnsi="StarSymbol"/>
    </w:rPr>
  </w:style>
  <w:style w:type="character" w:customStyle="1" w:styleId="WW8Num42z0">
    <w:name w:val="WW8Num42z0"/>
    <w:rsid w:val="00D712AA"/>
    <w:rPr>
      <w:rFonts w:ascii="StarSymbol" w:hAnsi="StarSymbol"/>
    </w:rPr>
  </w:style>
  <w:style w:type="character" w:customStyle="1" w:styleId="WW8Num43z0">
    <w:name w:val="WW8Num43z0"/>
    <w:rsid w:val="00D712AA"/>
    <w:rPr>
      <w:rFonts w:ascii="StarSymbol" w:hAnsi="StarSymbol"/>
    </w:rPr>
  </w:style>
  <w:style w:type="character" w:customStyle="1" w:styleId="WW8Num44z0">
    <w:name w:val="WW8Num44z0"/>
    <w:rsid w:val="00D712AA"/>
    <w:rPr>
      <w:rFonts w:ascii="StarSymbol" w:hAnsi="StarSymbol"/>
    </w:rPr>
  </w:style>
  <w:style w:type="character" w:customStyle="1" w:styleId="WW8Num45z0">
    <w:name w:val="WW8Num45z0"/>
    <w:rsid w:val="00D712AA"/>
    <w:rPr>
      <w:rFonts w:ascii="Arial" w:hAnsi="Arial"/>
      <w:sz w:val="20"/>
      <w:szCs w:val="20"/>
    </w:rPr>
  </w:style>
  <w:style w:type="character" w:customStyle="1" w:styleId="WW8Num46z0">
    <w:name w:val="WW8Num46z0"/>
    <w:rsid w:val="00D712AA"/>
    <w:rPr>
      <w:rFonts w:ascii="StarSymbol" w:hAnsi="StarSymbol"/>
    </w:rPr>
  </w:style>
  <w:style w:type="character" w:customStyle="1" w:styleId="WW8Num47z0">
    <w:name w:val="WW8Num47z0"/>
    <w:rsid w:val="00D712AA"/>
    <w:rPr>
      <w:b w:val="0"/>
      <w:i w:val="0"/>
    </w:rPr>
  </w:style>
  <w:style w:type="character" w:customStyle="1" w:styleId="WW8Num48z0">
    <w:name w:val="WW8Num48z0"/>
    <w:rsid w:val="00D712AA"/>
    <w:rPr>
      <w:b w:val="0"/>
      <w:i w:val="0"/>
    </w:rPr>
  </w:style>
  <w:style w:type="character" w:customStyle="1" w:styleId="WW8Num49z0">
    <w:name w:val="WW8Num49z0"/>
    <w:rsid w:val="00D712AA"/>
    <w:rPr>
      <w:b w:val="0"/>
      <w:i w:val="0"/>
    </w:rPr>
  </w:style>
  <w:style w:type="character" w:customStyle="1" w:styleId="WW8Num50z0">
    <w:name w:val="WW8Num50z0"/>
    <w:rsid w:val="00D712AA"/>
    <w:rPr>
      <w:b w:val="0"/>
      <w:i w:val="0"/>
    </w:rPr>
  </w:style>
  <w:style w:type="character" w:customStyle="1" w:styleId="WW8Num51z0">
    <w:name w:val="WW8Num51z0"/>
    <w:rsid w:val="00D712AA"/>
    <w:rPr>
      <w:rFonts w:ascii="StarSymbol" w:hAnsi="StarSymbol"/>
    </w:rPr>
  </w:style>
  <w:style w:type="character" w:customStyle="1" w:styleId="WW8Num52z0">
    <w:name w:val="WW8Num52z0"/>
    <w:rsid w:val="00D712AA"/>
    <w:rPr>
      <w:rFonts w:ascii="Arial" w:hAnsi="Arial"/>
      <w:sz w:val="20"/>
      <w:szCs w:val="20"/>
      <w:lang w:val="uk-UA"/>
    </w:rPr>
  </w:style>
  <w:style w:type="character" w:customStyle="1" w:styleId="WW8Num53z0">
    <w:name w:val="WW8Num53z0"/>
    <w:rsid w:val="00D712AA"/>
    <w:rPr>
      <w:rFonts w:ascii="Arial" w:hAnsi="Arial"/>
      <w:sz w:val="20"/>
      <w:szCs w:val="20"/>
      <w:lang w:val="uk-UA"/>
    </w:rPr>
  </w:style>
  <w:style w:type="character" w:customStyle="1" w:styleId="WW8Num54z0">
    <w:name w:val="WW8Num54z0"/>
    <w:rsid w:val="00D712AA"/>
    <w:rPr>
      <w:rFonts w:ascii="Symbol" w:hAnsi="Symbol" w:cs="OpenSymbol"/>
    </w:rPr>
  </w:style>
  <w:style w:type="character" w:customStyle="1" w:styleId="WW8Num55z0">
    <w:name w:val="WW8Num55z0"/>
    <w:rsid w:val="00D712AA"/>
    <w:rPr>
      <w:rFonts w:ascii="Symbol" w:hAnsi="Symbol" w:cs="OpenSymbol"/>
    </w:rPr>
  </w:style>
  <w:style w:type="character" w:customStyle="1" w:styleId="WW8Num58z0">
    <w:name w:val="WW8Num58z0"/>
    <w:rsid w:val="00D712AA"/>
    <w:rPr>
      <w:rFonts w:ascii="Arial" w:hAnsi="Arial"/>
      <w:sz w:val="20"/>
      <w:szCs w:val="20"/>
      <w:lang w:val="uk-UA"/>
    </w:rPr>
  </w:style>
  <w:style w:type="character" w:customStyle="1" w:styleId="WW8Num61z0">
    <w:name w:val="WW8Num61z0"/>
    <w:rsid w:val="00D712AA"/>
    <w:rPr>
      <w:rFonts w:ascii="Symbol" w:hAnsi="Symbol" w:cs="OpenSymbol"/>
    </w:rPr>
  </w:style>
  <w:style w:type="character" w:customStyle="1" w:styleId="WW8Num63z0">
    <w:name w:val="WW8Num63z0"/>
    <w:rsid w:val="00D712AA"/>
    <w:rPr>
      <w:rFonts w:ascii="Symbol" w:hAnsi="Symbol" w:cs="OpenSymbol"/>
    </w:rPr>
  </w:style>
  <w:style w:type="character" w:customStyle="1" w:styleId="WW8Num64z0">
    <w:name w:val="WW8Num64z0"/>
    <w:rsid w:val="00D712AA"/>
    <w:rPr>
      <w:rFonts w:ascii="Arial" w:hAnsi="Arial"/>
      <w:sz w:val="20"/>
      <w:szCs w:val="20"/>
      <w:lang w:val="uk-UA"/>
    </w:rPr>
  </w:style>
  <w:style w:type="character" w:customStyle="1" w:styleId="WW8Num65z0">
    <w:name w:val="WW8Num65z0"/>
    <w:rsid w:val="00D712AA"/>
    <w:rPr>
      <w:rFonts w:ascii="Arial" w:hAnsi="Arial"/>
      <w:sz w:val="20"/>
      <w:szCs w:val="20"/>
      <w:lang w:val="uk-UA"/>
    </w:rPr>
  </w:style>
  <w:style w:type="character" w:customStyle="1" w:styleId="WW8Num72z0">
    <w:name w:val="WW8Num72z0"/>
    <w:rsid w:val="00D712AA"/>
    <w:rPr>
      <w:rFonts w:ascii="Arial" w:hAnsi="Arial"/>
      <w:sz w:val="20"/>
      <w:szCs w:val="20"/>
      <w:lang w:val="uk-UA"/>
    </w:rPr>
  </w:style>
  <w:style w:type="character" w:customStyle="1" w:styleId="WW8Num73z0">
    <w:name w:val="WW8Num73z0"/>
    <w:rsid w:val="00D712AA"/>
    <w:rPr>
      <w:rFonts w:ascii="Arial" w:hAnsi="Arial"/>
      <w:sz w:val="20"/>
      <w:szCs w:val="20"/>
      <w:lang w:val="uk-UA"/>
    </w:rPr>
  </w:style>
  <w:style w:type="character" w:customStyle="1" w:styleId="WW8Num74z0">
    <w:name w:val="WW8Num74z0"/>
    <w:rsid w:val="00D712AA"/>
    <w:rPr>
      <w:rFonts w:ascii="Arial" w:hAnsi="Arial"/>
      <w:sz w:val="20"/>
      <w:szCs w:val="20"/>
      <w:lang w:val="uk-UA"/>
    </w:rPr>
  </w:style>
  <w:style w:type="character" w:customStyle="1" w:styleId="WW8Num75z0">
    <w:name w:val="WW8Num75z0"/>
    <w:rsid w:val="00D712AA"/>
    <w:rPr>
      <w:rFonts w:ascii="Arial" w:hAnsi="Arial"/>
      <w:sz w:val="20"/>
      <w:szCs w:val="20"/>
      <w:lang w:val="uk-UA"/>
    </w:rPr>
  </w:style>
  <w:style w:type="character" w:customStyle="1" w:styleId="WW-Absatz-Standardschriftart1111111111111111111">
    <w:name w:val="WW-Absatz-Standardschriftart1111111111111111111"/>
    <w:rsid w:val="00D712AA"/>
  </w:style>
  <w:style w:type="character" w:customStyle="1" w:styleId="WW-Absatz-Standardschriftart11111111111111111111">
    <w:name w:val="WW-Absatz-Standardschriftart11111111111111111111"/>
    <w:rsid w:val="00D712AA"/>
  </w:style>
  <w:style w:type="character" w:customStyle="1" w:styleId="WW-Absatz-Standardschriftart111111111111111111111">
    <w:name w:val="WW-Absatz-Standardschriftart111111111111111111111"/>
    <w:rsid w:val="00D712AA"/>
  </w:style>
  <w:style w:type="character" w:customStyle="1" w:styleId="WW-Absatz-Standardschriftart1111111111111111111111">
    <w:name w:val="WW-Absatz-Standardschriftart1111111111111111111111"/>
    <w:rsid w:val="00D712AA"/>
  </w:style>
  <w:style w:type="character" w:customStyle="1" w:styleId="WW-Absatz-Standardschriftart11111111111111111111111">
    <w:name w:val="WW-Absatz-Standardschriftart11111111111111111111111"/>
    <w:rsid w:val="00D712AA"/>
  </w:style>
  <w:style w:type="character" w:customStyle="1" w:styleId="WW8Num56z0">
    <w:name w:val="WW8Num56z0"/>
    <w:rsid w:val="00D712AA"/>
    <w:rPr>
      <w:rFonts w:ascii="Symbol" w:hAnsi="Symbol" w:cs="OpenSymbol"/>
    </w:rPr>
  </w:style>
  <w:style w:type="character" w:customStyle="1" w:styleId="WW8Num57z0">
    <w:name w:val="WW8Num57z0"/>
    <w:rsid w:val="00D712AA"/>
    <w:rPr>
      <w:rFonts w:ascii="Symbol" w:hAnsi="Symbol" w:cs="OpenSymbol"/>
    </w:rPr>
  </w:style>
  <w:style w:type="character" w:customStyle="1" w:styleId="WW8Num66z0">
    <w:name w:val="WW8Num66z0"/>
    <w:rsid w:val="00D712AA"/>
    <w:rPr>
      <w:rFonts w:ascii="Symbol" w:hAnsi="Symbol" w:cs="OpenSymbol"/>
    </w:rPr>
  </w:style>
  <w:style w:type="character" w:customStyle="1" w:styleId="WW8Num67z0">
    <w:name w:val="WW8Num67z0"/>
    <w:rsid w:val="00D712AA"/>
    <w:rPr>
      <w:rFonts w:ascii="Symbol" w:hAnsi="Symbol" w:cs="OpenSymbol"/>
    </w:rPr>
  </w:style>
  <w:style w:type="character" w:customStyle="1" w:styleId="WW8Num68z0">
    <w:name w:val="WW8Num68z0"/>
    <w:rsid w:val="00D712AA"/>
    <w:rPr>
      <w:rFonts w:ascii="Symbol" w:hAnsi="Symbol" w:cs="OpenSymbol"/>
    </w:rPr>
  </w:style>
  <w:style w:type="character" w:customStyle="1" w:styleId="WW-Absatz-Standardschriftart111111111111111111111111">
    <w:name w:val="WW-Absatz-Standardschriftart111111111111111111111111"/>
    <w:rsid w:val="00D712AA"/>
  </w:style>
  <w:style w:type="character" w:customStyle="1" w:styleId="WW-Absatz-Standardschriftart1111111111111111111111111">
    <w:name w:val="WW-Absatz-Standardschriftart1111111111111111111111111"/>
    <w:rsid w:val="00D712AA"/>
  </w:style>
  <w:style w:type="character" w:customStyle="1" w:styleId="WW-Absatz-Standardschriftart11111111111111111111111111">
    <w:name w:val="WW-Absatz-Standardschriftart11111111111111111111111111"/>
    <w:rsid w:val="00D712AA"/>
  </w:style>
  <w:style w:type="character" w:customStyle="1" w:styleId="WW8Num59z0">
    <w:name w:val="WW8Num59z0"/>
    <w:rsid w:val="00D712AA"/>
    <w:rPr>
      <w:rFonts w:ascii="Symbol" w:hAnsi="Symbol" w:cs="OpenSymbol"/>
    </w:rPr>
  </w:style>
  <w:style w:type="character" w:customStyle="1" w:styleId="WW8Num60z0">
    <w:name w:val="WW8Num60z0"/>
    <w:rsid w:val="00D712AA"/>
    <w:rPr>
      <w:rFonts w:ascii="Symbol" w:hAnsi="Symbol" w:cs="OpenSymbol"/>
    </w:rPr>
  </w:style>
  <w:style w:type="character" w:customStyle="1" w:styleId="WW8Num62z0">
    <w:name w:val="WW8Num62z0"/>
    <w:rsid w:val="00D712AA"/>
    <w:rPr>
      <w:rFonts w:ascii="Symbol" w:hAnsi="Symbol" w:cs="OpenSymbol"/>
    </w:rPr>
  </w:style>
  <w:style w:type="character" w:customStyle="1" w:styleId="WW8Num69z0">
    <w:name w:val="WW8Num69z0"/>
    <w:rsid w:val="00D712AA"/>
    <w:rPr>
      <w:rFonts w:ascii="Arial" w:hAnsi="Arial"/>
      <w:sz w:val="20"/>
      <w:szCs w:val="20"/>
      <w:lang w:val="uk-UA"/>
    </w:rPr>
  </w:style>
  <w:style w:type="character" w:customStyle="1" w:styleId="WW8Num70z0">
    <w:name w:val="WW8Num70z0"/>
    <w:rsid w:val="00D712AA"/>
    <w:rPr>
      <w:rFonts w:ascii="Arial" w:hAnsi="Arial"/>
      <w:sz w:val="20"/>
      <w:szCs w:val="20"/>
      <w:lang w:val="uk-UA"/>
    </w:rPr>
  </w:style>
  <w:style w:type="character" w:customStyle="1" w:styleId="WW8Num71z0">
    <w:name w:val="WW8Num71z0"/>
    <w:rsid w:val="00D712AA"/>
    <w:rPr>
      <w:rFonts w:ascii="Arial" w:hAnsi="Arial"/>
      <w:sz w:val="20"/>
      <w:szCs w:val="20"/>
      <w:lang w:val="uk-UA"/>
    </w:rPr>
  </w:style>
  <w:style w:type="character" w:customStyle="1" w:styleId="WW8Num76z0">
    <w:name w:val="WW8Num76z0"/>
    <w:rsid w:val="00D712AA"/>
    <w:rPr>
      <w:rFonts w:ascii="Arial" w:hAnsi="Arial"/>
      <w:sz w:val="20"/>
      <w:szCs w:val="20"/>
      <w:lang w:val="uk-UA"/>
    </w:rPr>
  </w:style>
  <w:style w:type="character" w:customStyle="1" w:styleId="WW8Num79z0">
    <w:name w:val="WW8Num79z0"/>
    <w:rsid w:val="00D712AA"/>
    <w:rPr>
      <w:rFonts w:ascii="StarSymbol" w:hAnsi="StarSymbol"/>
    </w:rPr>
  </w:style>
  <w:style w:type="character" w:customStyle="1" w:styleId="WW8Num81z0">
    <w:name w:val="WW8Num81z0"/>
    <w:rsid w:val="00D712AA"/>
    <w:rPr>
      <w:color w:val="000000"/>
    </w:rPr>
  </w:style>
  <w:style w:type="character" w:customStyle="1" w:styleId="WW8Num82z0">
    <w:name w:val="WW8Num82z0"/>
    <w:rsid w:val="00D712AA"/>
    <w:rPr>
      <w:rFonts w:ascii="StarSymbol" w:hAnsi="StarSymbol"/>
    </w:rPr>
  </w:style>
  <w:style w:type="character" w:customStyle="1" w:styleId="WW8Num83z0">
    <w:name w:val="WW8Num83z0"/>
    <w:rsid w:val="00D712AA"/>
    <w:rPr>
      <w:rFonts w:ascii="StarSymbol" w:hAnsi="StarSymbol"/>
    </w:rPr>
  </w:style>
  <w:style w:type="character" w:customStyle="1" w:styleId="13">
    <w:name w:val="Основной шрифт абзаца13"/>
    <w:rsid w:val="00D712AA"/>
  </w:style>
  <w:style w:type="character" w:customStyle="1" w:styleId="WW8Num31z1">
    <w:name w:val="WW8Num31z1"/>
    <w:rsid w:val="00D712AA"/>
    <w:rPr>
      <w:rFonts w:ascii="Courier New" w:hAnsi="Courier New" w:cs="Courier New"/>
    </w:rPr>
  </w:style>
  <w:style w:type="character" w:customStyle="1" w:styleId="WW-Absatz-Standardschriftart111111111111111111111111111">
    <w:name w:val="WW-Absatz-Standardschriftart111111111111111111111111111"/>
    <w:rsid w:val="00D712AA"/>
  </w:style>
  <w:style w:type="character" w:customStyle="1" w:styleId="WW-Absatz-Standardschriftart1111111111111111111111111111">
    <w:name w:val="WW-Absatz-Standardschriftart1111111111111111111111111111"/>
    <w:rsid w:val="00D712AA"/>
  </w:style>
  <w:style w:type="character" w:customStyle="1" w:styleId="WW8Num77z0">
    <w:name w:val="WW8Num77z0"/>
    <w:rsid w:val="00D712AA"/>
    <w:rPr>
      <w:rFonts w:ascii="Arial" w:hAnsi="Arial"/>
      <w:sz w:val="20"/>
      <w:szCs w:val="20"/>
      <w:lang w:val="uk-UA"/>
    </w:rPr>
  </w:style>
  <w:style w:type="character" w:customStyle="1" w:styleId="WW-Absatz-Standardschriftart11111111111111111111111111111">
    <w:name w:val="WW-Absatz-Standardschriftart11111111111111111111111111111"/>
    <w:rsid w:val="00D712AA"/>
  </w:style>
  <w:style w:type="character" w:customStyle="1" w:styleId="WW-Absatz-Standardschriftart111111111111111111111111111111">
    <w:name w:val="WW-Absatz-Standardschriftart111111111111111111111111111111"/>
    <w:rsid w:val="00D712AA"/>
  </w:style>
  <w:style w:type="character" w:customStyle="1" w:styleId="WW-Absatz-Standardschriftart1111111111111111111111111111111">
    <w:name w:val="WW-Absatz-Standardschriftart1111111111111111111111111111111"/>
    <w:rsid w:val="00D712AA"/>
  </w:style>
  <w:style w:type="character" w:customStyle="1" w:styleId="WW-Absatz-Standardschriftart11111111111111111111111111111111">
    <w:name w:val="WW-Absatz-Standardschriftart11111111111111111111111111111111"/>
    <w:rsid w:val="00D712AA"/>
  </w:style>
  <w:style w:type="character" w:customStyle="1" w:styleId="WW-Absatz-Standardschriftart111111111111111111111111111111111">
    <w:name w:val="WW-Absatz-Standardschriftart111111111111111111111111111111111"/>
    <w:rsid w:val="00D712AA"/>
  </w:style>
  <w:style w:type="character" w:customStyle="1" w:styleId="WW-Absatz-Standardschriftart1111111111111111111111111111111111">
    <w:name w:val="WW-Absatz-Standardschriftart1111111111111111111111111111111111"/>
    <w:rsid w:val="00D712AA"/>
  </w:style>
  <w:style w:type="character" w:customStyle="1" w:styleId="WW8Num32z1">
    <w:name w:val="WW8Num32z1"/>
    <w:rsid w:val="00D712AA"/>
    <w:rPr>
      <w:rFonts w:ascii="Courier New" w:hAnsi="Courier New" w:cs="Courier New"/>
    </w:rPr>
  </w:style>
  <w:style w:type="character" w:customStyle="1" w:styleId="WW8Num33z1">
    <w:name w:val="WW8Num33z1"/>
    <w:rsid w:val="00D712AA"/>
    <w:rPr>
      <w:rFonts w:ascii="Courier New" w:hAnsi="Courier New" w:cs="Courier New"/>
    </w:rPr>
  </w:style>
  <w:style w:type="character" w:customStyle="1" w:styleId="WW-Absatz-Standardschriftart11111111111111111111111111111111111">
    <w:name w:val="WW-Absatz-Standardschriftart11111111111111111111111111111111111"/>
    <w:rsid w:val="00D712AA"/>
  </w:style>
  <w:style w:type="character" w:customStyle="1" w:styleId="WW-Absatz-Standardschriftart111111111111111111111111111111111111">
    <w:name w:val="WW-Absatz-Standardschriftart111111111111111111111111111111111111"/>
    <w:rsid w:val="00D712AA"/>
  </w:style>
  <w:style w:type="character" w:customStyle="1" w:styleId="WW-Absatz-Standardschriftart1111111111111111111111111111111111111">
    <w:name w:val="WW-Absatz-Standardschriftart1111111111111111111111111111111111111"/>
    <w:rsid w:val="00D712AA"/>
  </w:style>
  <w:style w:type="character" w:customStyle="1" w:styleId="WW-Absatz-Standardschriftart11111111111111111111111111111111111111">
    <w:name w:val="WW-Absatz-Standardschriftart11111111111111111111111111111111111111"/>
    <w:rsid w:val="00D712AA"/>
  </w:style>
  <w:style w:type="character" w:customStyle="1" w:styleId="12">
    <w:name w:val="Основной шрифт абзаца12"/>
    <w:rsid w:val="00D712AA"/>
  </w:style>
  <w:style w:type="character" w:customStyle="1" w:styleId="WW-Absatz-Standardschriftart111111111111111111111111111111111111111">
    <w:name w:val="WW-Absatz-Standardschriftart111111111111111111111111111111111111111"/>
    <w:rsid w:val="00D712AA"/>
  </w:style>
  <w:style w:type="character" w:customStyle="1" w:styleId="WW-Absatz-Standardschriftart1111111111111111111111111111111111111111">
    <w:name w:val="WW-Absatz-Standardschriftart1111111111111111111111111111111111111111"/>
    <w:rsid w:val="00D712AA"/>
  </w:style>
  <w:style w:type="character" w:customStyle="1" w:styleId="WW-Absatz-Standardschriftart11111111111111111111111111111111111111111">
    <w:name w:val="WW-Absatz-Standardschriftart11111111111111111111111111111111111111111"/>
    <w:rsid w:val="00D712AA"/>
  </w:style>
  <w:style w:type="character" w:customStyle="1" w:styleId="WW8Num34z1">
    <w:name w:val="WW8Num34z1"/>
    <w:rsid w:val="00D712AA"/>
    <w:rPr>
      <w:rFonts w:ascii="Courier New" w:hAnsi="Courier New" w:cs="Courier New"/>
    </w:rPr>
  </w:style>
  <w:style w:type="character" w:customStyle="1" w:styleId="WW8Num35z1">
    <w:name w:val="WW8Num35z1"/>
    <w:rsid w:val="00D712AA"/>
    <w:rPr>
      <w:rFonts w:ascii="Courier New" w:hAnsi="Courier New" w:cs="Courier New"/>
    </w:rPr>
  </w:style>
  <w:style w:type="character" w:customStyle="1" w:styleId="WW-Absatz-Standardschriftart111111111111111111111111111111111111111111">
    <w:name w:val="WW-Absatz-Standardschriftart111111111111111111111111111111111111111111"/>
    <w:rsid w:val="00D712AA"/>
  </w:style>
  <w:style w:type="character" w:customStyle="1" w:styleId="WW8Num36z1">
    <w:name w:val="WW8Num36z1"/>
    <w:rsid w:val="00D712AA"/>
    <w:rPr>
      <w:rFonts w:ascii="Courier New" w:hAnsi="Courier New" w:cs="Courier New"/>
    </w:rPr>
  </w:style>
  <w:style w:type="character" w:customStyle="1" w:styleId="WW-Absatz-Standardschriftart1111111111111111111111111111111111111111111">
    <w:name w:val="WW-Absatz-Standardschriftart1111111111111111111111111111111111111111111"/>
    <w:rsid w:val="00D712AA"/>
  </w:style>
  <w:style w:type="character" w:customStyle="1" w:styleId="WW-Absatz-Standardschriftart11111111111111111111111111111111111111111111">
    <w:name w:val="WW-Absatz-Standardschriftart11111111111111111111111111111111111111111111"/>
    <w:rsid w:val="00D712AA"/>
  </w:style>
  <w:style w:type="character" w:customStyle="1" w:styleId="WW-Absatz-Standardschriftart111111111111111111111111111111111111111111111">
    <w:name w:val="WW-Absatz-Standardschriftart111111111111111111111111111111111111111111111"/>
    <w:rsid w:val="00D712AA"/>
  </w:style>
  <w:style w:type="character" w:customStyle="1" w:styleId="WW8Num37z1">
    <w:name w:val="WW8Num37z1"/>
    <w:rsid w:val="00D712AA"/>
    <w:rPr>
      <w:rFonts w:ascii="Courier New" w:hAnsi="Courier New" w:cs="Courier New"/>
    </w:rPr>
  </w:style>
  <w:style w:type="character" w:customStyle="1" w:styleId="WW8Num38z1">
    <w:name w:val="WW8Num38z1"/>
    <w:rsid w:val="00D712AA"/>
    <w:rPr>
      <w:rFonts w:ascii="Courier New" w:hAnsi="Courier New" w:cs="Courier New"/>
    </w:rPr>
  </w:style>
  <w:style w:type="character" w:customStyle="1" w:styleId="WW-Absatz-Standardschriftart1111111111111111111111111111111111111111111111">
    <w:name w:val="WW-Absatz-Standardschriftart1111111111111111111111111111111111111111111111"/>
    <w:rsid w:val="00D712AA"/>
  </w:style>
  <w:style w:type="character" w:customStyle="1" w:styleId="WW-Absatz-Standardschriftart11111111111111111111111111111111111111111111111">
    <w:name w:val="WW-Absatz-Standardschriftart11111111111111111111111111111111111111111111111"/>
    <w:rsid w:val="00D712AA"/>
  </w:style>
  <w:style w:type="character" w:customStyle="1" w:styleId="WW-Absatz-Standardschriftart111111111111111111111111111111111111111111111111">
    <w:name w:val="WW-Absatz-Standardschriftart111111111111111111111111111111111111111111111111"/>
    <w:rsid w:val="00D712AA"/>
  </w:style>
  <w:style w:type="character" w:customStyle="1" w:styleId="WW-Absatz-Standardschriftart1111111111111111111111111111111111111111111111111">
    <w:name w:val="WW-Absatz-Standardschriftart1111111111111111111111111111111111111111111111111"/>
    <w:rsid w:val="00D712AA"/>
  </w:style>
  <w:style w:type="character" w:customStyle="1" w:styleId="WW-Absatz-Standardschriftart11111111111111111111111111111111111111111111111111">
    <w:name w:val="WW-Absatz-Standardschriftart11111111111111111111111111111111111111111111111111"/>
    <w:rsid w:val="00D712AA"/>
  </w:style>
  <w:style w:type="character" w:customStyle="1" w:styleId="WW-Absatz-Standardschriftart111111111111111111111111111111111111111111111111111">
    <w:name w:val="WW-Absatz-Standardschriftart111111111111111111111111111111111111111111111111111"/>
    <w:rsid w:val="00D712AA"/>
  </w:style>
  <w:style w:type="character" w:customStyle="1" w:styleId="WW-Absatz-Standardschriftart1111111111111111111111111111111111111111111111111111">
    <w:name w:val="WW-Absatz-Standardschriftart1111111111111111111111111111111111111111111111111111"/>
    <w:rsid w:val="00D712AA"/>
  </w:style>
  <w:style w:type="character" w:customStyle="1" w:styleId="WW-Absatz-Standardschriftart11111111111111111111111111111111111111111111111111111">
    <w:name w:val="WW-Absatz-Standardschriftart11111111111111111111111111111111111111111111111111111"/>
    <w:rsid w:val="00D712AA"/>
  </w:style>
  <w:style w:type="character" w:customStyle="1" w:styleId="WW-Absatz-Standardschriftart111111111111111111111111111111111111111111111111111111">
    <w:name w:val="WW-Absatz-Standardschriftart111111111111111111111111111111111111111111111111111111"/>
    <w:rsid w:val="00D712AA"/>
  </w:style>
  <w:style w:type="character" w:customStyle="1" w:styleId="WW-Absatz-Standardschriftart1111111111111111111111111111111111111111111111111111111">
    <w:name w:val="WW-Absatz-Standardschriftart1111111111111111111111111111111111111111111111111111111"/>
    <w:rsid w:val="00D712AA"/>
  </w:style>
  <w:style w:type="character" w:customStyle="1" w:styleId="WW-Absatz-Standardschriftart11111111111111111111111111111111111111111111111111111111">
    <w:name w:val="WW-Absatz-Standardschriftart11111111111111111111111111111111111111111111111111111111"/>
    <w:rsid w:val="00D712AA"/>
  </w:style>
  <w:style w:type="character" w:customStyle="1" w:styleId="WW-Absatz-Standardschriftart111111111111111111111111111111111111111111111111111111111">
    <w:name w:val="WW-Absatz-Standardschriftart111111111111111111111111111111111111111111111111111111111"/>
    <w:rsid w:val="00D712AA"/>
  </w:style>
  <w:style w:type="character" w:customStyle="1" w:styleId="11">
    <w:name w:val="Основной шрифт абзаца11"/>
    <w:rsid w:val="00D712AA"/>
  </w:style>
  <w:style w:type="character" w:customStyle="1" w:styleId="10">
    <w:name w:val="Основной шрифт абзаца10"/>
    <w:rsid w:val="00D712AA"/>
  </w:style>
  <w:style w:type="character" w:customStyle="1" w:styleId="WW-Absatz-Standardschriftart1111111111111111111111111111111111111111111111111111111111">
    <w:name w:val="WW-Absatz-Standardschriftart1111111111111111111111111111111111111111111111111111111111"/>
    <w:rsid w:val="00D712AA"/>
  </w:style>
  <w:style w:type="character" w:customStyle="1" w:styleId="WW-Absatz-Standardschriftart11111111111111111111111111111111111111111111111111111111111">
    <w:name w:val="WW-Absatz-Standardschriftart11111111111111111111111111111111111111111111111111111111111"/>
    <w:rsid w:val="00D712AA"/>
  </w:style>
  <w:style w:type="character" w:customStyle="1" w:styleId="WW-Absatz-Standardschriftart111111111111111111111111111111111111111111111111111111111111">
    <w:name w:val="WW-Absatz-Standardschriftart111111111111111111111111111111111111111111111111111111111111"/>
    <w:rsid w:val="00D712AA"/>
  </w:style>
  <w:style w:type="character" w:customStyle="1" w:styleId="WW-Absatz-Standardschriftart1111111111111111111111111111111111111111111111111111111111111">
    <w:name w:val="WW-Absatz-Standardschriftart1111111111111111111111111111111111111111111111111111111111111"/>
    <w:rsid w:val="00D712AA"/>
  </w:style>
  <w:style w:type="character" w:customStyle="1" w:styleId="WW-Absatz-Standardschriftart11111111111111111111111111111111111111111111111111111111111111">
    <w:name w:val="WW-Absatz-Standardschriftart11111111111111111111111111111111111111111111111111111111111111"/>
    <w:rsid w:val="00D712AA"/>
  </w:style>
  <w:style w:type="character" w:customStyle="1" w:styleId="WW-Absatz-Standardschriftart111111111111111111111111111111111111111111111111111111111111111">
    <w:name w:val="WW-Absatz-Standardschriftart111111111111111111111111111111111111111111111111111111111111111"/>
    <w:rsid w:val="00D712AA"/>
  </w:style>
  <w:style w:type="character" w:customStyle="1" w:styleId="WW-Absatz-Standardschriftart1111111111111111111111111111111111111111111111111111111111111111">
    <w:name w:val="WW-Absatz-Standardschriftart1111111111111111111111111111111111111111111111111111111111111111"/>
    <w:rsid w:val="00D712AA"/>
  </w:style>
  <w:style w:type="character" w:customStyle="1" w:styleId="WW-Absatz-Standardschriftart11111111111111111111111111111111111111111111111111111111111111111">
    <w:name w:val="WW-Absatz-Standardschriftart11111111111111111111111111111111111111111111111111111111111111111"/>
    <w:rsid w:val="00D712AA"/>
  </w:style>
  <w:style w:type="character" w:customStyle="1" w:styleId="WW-Absatz-Standardschriftart111111111111111111111111111111111111111111111111111111111111111111">
    <w:name w:val="WW-Absatz-Standardschriftart111111111111111111111111111111111111111111111111111111111111111111"/>
    <w:rsid w:val="00D712AA"/>
  </w:style>
  <w:style w:type="character" w:customStyle="1" w:styleId="WW-Absatz-Standardschriftart1111111111111111111111111111111111111111111111111111111111111111111">
    <w:name w:val="WW-Absatz-Standardschriftart1111111111111111111111111111111111111111111111111111111111111111111"/>
    <w:rsid w:val="00D712AA"/>
  </w:style>
  <w:style w:type="character" w:customStyle="1" w:styleId="WW-Absatz-Standardschriftart11111111111111111111111111111111111111111111111111111111111111111111">
    <w:name w:val="WW-Absatz-Standardschriftart11111111111111111111111111111111111111111111111111111111111111111111"/>
    <w:rsid w:val="00D712AA"/>
  </w:style>
  <w:style w:type="character" w:customStyle="1" w:styleId="90">
    <w:name w:val="Основной шрифт абзаца9"/>
    <w:rsid w:val="00D712AA"/>
  </w:style>
  <w:style w:type="character" w:customStyle="1" w:styleId="80">
    <w:name w:val="Основной шрифт абзаца8"/>
    <w:rsid w:val="00D712AA"/>
  </w:style>
  <w:style w:type="character" w:customStyle="1" w:styleId="WW-Absatz-Standardschriftart111111111111111111111111111111111111111111111111111111111111111111111">
    <w:name w:val="WW-Absatz-Standardschriftart111111111111111111111111111111111111111111111111111111111111111111111"/>
    <w:rsid w:val="00D712AA"/>
  </w:style>
  <w:style w:type="character" w:customStyle="1" w:styleId="WW-Absatz-Standardschriftart1111111111111111111111111111111111111111111111111111111111111111111111">
    <w:name w:val="WW-Absatz-Standardschriftart1111111111111111111111111111111111111111111111111111111111111111111111"/>
    <w:rsid w:val="00D712AA"/>
  </w:style>
  <w:style w:type="character" w:customStyle="1" w:styleId="WW-Absatz-Standardschriftart11111111111111111111111111111111111111111111111111111111111111111111111">
    <w:name w:val="WW-Absatz-Standardschriftart11111111111111111111111111111111111111111111111111111111111111111111111"/>
    <w:rsid w:val="00D712AA"/>
  </w:style>
  <w:style w:type="character" w:customStyle="1" w:styleId="WW8Num21z1">
    <w:name w:val="WW8Num21z1"/>
    <w:rsid w:val="00D712AA"/>
    <w:rPr>
      <w:rFonts w:ascii="Courier New" w:hAnsi="Courier New"/>
    </w:rPr>
  </w:style>
  <w:style w:type="character" w:customStyle="1" w:styleId="WW8Num21z2">
    <w:name w:val="WW8Num21z2"/>
    <w:rsid w:val="00D712AA"/>
    <w:rPr>
      <w:rFonts w:ascii="Wingdings" w:hAnsi="Wingdings"/>
    </w:rPr>
  </w:style>
  <w:style w:type="character" w:customStyle="1" w:styleId="WW8Num21z3">
    <w:name w:val="WW8Num21z3"/>
    <w:rsid w:val="00D712AA"/>
    <w:rPr>
      <w:rFonts w:ascii="Symbol" w:hAnsi="Symbol"/>
    </w:rPr>
  </w:style>
  <w:style w:type="character" w:customStyle="1" w:styleId="WW8Num22z3">
    <w:name w:val="WW8Num22z3"/>
    <w:rsid w:val="00D712AA"/>
    <w:rPr>
      <w:rFonts w:ascii="Symbol" w:hAnsi="Symbol"/>
    </w:rPr>
  </w:style>
  <w:style w:type="character" w:customStyle="1" w:styleId="WW8Num23z2">
    <w:name w:val="WW8Num23z2"/>
    <w:rsid w:val="00D712AA"/>
    <w:rPr>
      <w:rFonts w:ascii="Wingdings" w:hAnsi="Wingdings"/>
    </w:rPr>
  </w:style>
  <w:style w:type="character" w:customStyle="1" w:styleId="WW8Num23z3">
    <w:name w:val="WW8Num23z3"/>
    <w:rsid w:val="00D712AA"/>
    <w:rPr>
      <w:rFonts w:ascii="Symbol" w:hAnsi="Symbol"/>
    </w:rPr>
  </w:style>
  <w:style w:type="character" w:customStyle="1" w:styleId="WW8Num24z2">
    <w:name w:val="WW8Num24z2"/>
    <w:rsid w:val="00D712AA"/>
    <w:rPr>
      <w:rFonts w:ascii="Wingdings" w:hAnsi="Wingdings" w:cs="Times New Roman"/>
    </w:rPr>
  </w:style>
  <w:style w:type="character" w:customStyle="1" w:styleId="WW8Num24z3">
    <w:name w:val="WW8Num24z3"/>
    <w:rsid w:val="00D712AA"/>
    <w:rPr>
      <w:rFonts w:ascii="Symbol" w:hAnsi="Symbol" w:cs="Times New Roman"/>
    </w:rPr>
  </w:style>
  <w:style w:type="character" w:customStyle="1" w:styleId="WW8Num25z1">
    <w:name w:val="WW8Num25z1"/>
    <w:rsid w:val="00D712AA"/>
    <w:rPr>
      <w:rFonts w:ascii="Courier New" w:hAnsi="Courier New" w:cs="Courier New"/>
    </w:rPr>
  </w:style>
  <w:style w:type="character" w:customStyle="1" w:styleId="WW8Num25z2">
    <w:name w:val="WW8Num25z2"/>
    <w:rsid w:val="00D712AA"/>
    <w:rPr>
      <w:rFonts w:ascii="Wingdings" w:hAnsi="Wingdings" w:cs="Times New Roman"/>
    </w:rPr>
  </w:style>
  <w:style w:type="character" w:customStyle="1" w:styleId="WW8Num25z3">
    <w:name w:val="WW8Num25z3"/>
    <w:rsid w:val="00D712AA"/>
    <w:rPr>
      <w:rFonts w:ascii="Symbol" w:hAnsi="Symbol" w:cs="Times New Roman"/>
    </w:rPr>
  </w:style>
  <w:style w:type="character" w:customStyle="1" w:styleId="WW8Num26z1">
    <w:name w:val="WW8Num26z1"/>
    <w:rsid w:val="00D712AA"/>
    <w:rPr>
      <w:rFonts w:ascii="Courier New" w:hAnsi="Courier New" w:cs="Courier New"/>
    </w:rPr>
  </w:style>
  <w:style w:type="character" w:customStyle="1" w:styleId="WW8Num26z2">
    <w:name w:val="WW8Num26z2"/>
    <w:rsid w:val="00D712AA"/>
    <w:rPr>
      <w:rFonts w:ascii="Wingdings" w:hAnsi="Wingdings" w:cs="Times New Roman"/>
    </w:rPr>
  </w:style>
  <w:style w:type="character" w:customStyle="1" w:styleId="WW8Num26z3">
    <w:name w:val="WW8Num26z3"/>
    <w:rsid w:val="00D712AA"/>
    <w:rPr>
      <w:rFonts w:ascii="Symbol" w:hAnsi="Symbol" w:cs="Times New Roman"/>
    </w:rPr>
  </w:style>
  <w:style w:type="character" w:customStyle="1" w:styleId="WW8Num27z1">
    <w:name w:val="WW8Num27z1"/>
    <w:rsid w:val="00D712AA"/>
    <w:rPr>
      <w:rFonts w:ascii="Courier New" w:hAnsi="Courier New" w:cs="Courier New"/>
    </w:rPr>
  </w:style>
  <w:style w:type="character" w:customStyle="1" w:styleId="WW8Num27z2">
    <w:name w:val="WW8Num27z2"/>
    <w:rsid w:val="00D712AA"/>
    <w:rPr>
      <w:rFonts w:ascii="Wingdings" w:hAnsi="Wingdings" w:cs="Times New Roman"/>
    </w:rPr>
  </w:style>
  <w:style w:type="character" w:customStyle="1" w:styleId="WW8Num27z3">
    <w:name w:val="WW8Num27z3"/>
    <w:rsid w:val="00D712AA"/>
    <w:rPr>
      <w:rFonts w:ascii="Symbol" w:hAnsi="Symbol" w:cs="Times New Roman"/>
    </w:rPr>
  </w:style>
  <w:style w:type="character" w:customStyle="1" w:styleId="WW-Absatz-Standardschriftart111111111111111111111111111111111111111111111111111111111111111111111111">
    <w:name w:val="WW-Absatz-Standardschriftart111111111111111111111111111111111111111111111111111111111111111111111111"/>
    <w:rsid w:val="00D712AA"/>
  </w:style>
  <w:style w:type="character" w:customStyle="1" w:styleId="WW-Absatz-Standardschriftart1111111111111111111111111111111111111111111111111111111111111111111111111">
    <w:name w:val="WW-Absatz-Standardschriftart1111111111111111111111111111111111111111111111111111111111111111111111111"/>
    <w:rsid w:val="00D712AA"/>
  </w:style>
  <w:style w:type="character" w:customStyle="1" w:styleId="WW8Num28z1">
    <w:name w:val="WW8Num28z1"/>
    <w:rsid w:val="00D712AA"/>
    <w:rPr>
      <w:rFonts w:ascii="Courier New" w:hAnsi="Courier New" w:cs="Courier New"/>
    </w:rPr>
  </w:style>
  <w:style w:type="character" w:customStyle="1" w:styleId="WW8Num28z2">
    <w:name w:val="WW8Num28z2"/>
    <w:rsid w:val="00D712AA"/>
    <w:rPr>
      <w:rFonts w:ascii="Wingdings" w:hAnsi="Wingdings" w:cs="Times New Roman"/>
    </w:rPr>
  </w:style>
  <w:style w:type="character" w:customStyle="1" w:styleId="WW8Num28z3">
    <w:name w:val="WW8Num28z3"/>
    <w:rsid w:val="00D712AA"/>
    <w:rPr>
      <w:rFonts w:ascii="Symbol" w:hAnsi="Symbol" w:cs="Times New Roman"/>
    </w:rPr>
  </w:style>
  <w:style w:type="character" w:customStyle="1" w:styleId="WW8Num29z2">
    <w:name w:val="WW8Num29z2"/>
    <w:rsid w:val="00D712AA"/>
    <w:rPr>
      <w:rFonts w:ascii="Wingdings" w:hAnsi="Wingdings" w:cs="Times New Roman"/>
    </w:rPr>
  </w:style>
  <w:style w:type="character" w:customStyle="1" w:styleId="WW8Num29z3">
    <w:name w:val="WW8Num29z3"/>
    <w:rsid w:val="00D712AA"/>
    <w:rPr>
      <w:rFonts w:ascii="Symbol" w:hAnsi="Symbol" w:cs="Times New Roman"/>
    </w:rPr>
  </w:style>
  <w:style w:type="character" w:customStyle="1" w:styleId="WW8Num31z2">
    <w:name w:val="WW8Num31z2"/>
    <w:rsid w:val="00D712AA"/>
    <w:rPr>
      <w:rFonts w:ascii="Wingdings" w:hAnsi="Wingdings" w:cs="Times New Roman"/>
    </w:rPr>
  </w:style>
  <w:style w:type="character" w:customStyle="1" w:styleId="WW8Num31z3">
    <w:name w:val="WW8Num31z3"/>
    <w:rsid w:val="00D712AA"/>
    <w:rPr>
      <w:rFonts w:ascii="Symbol" w:hAnsi="Symbol" w:cs="Times New Roman"/>
    </w:rPr>
  </w:style>
  <w:style w:type="character" w:customStyle="1" w:styleId="WW8Num36z2">
    <w:name w:val="WW8Num36z2"/>
    <w:rsid w:val="00D712AA"/>
    <w:rPr>
      <w:rFonts w:ascii="Wingdings" w:hAnsi="Wingdings" w:cs="Times New Roman"/>
    </w:rPr>
  </w:style>
  <w:style w:type="character" w:customStyle="1" w:styleId="WW8Num36z3">
    <w:name w:val="WW8Num36z3"/>
    <w:rsid w:val="00D712AA"/>
    <w:rPr>
      <w:rFonts w:ascii="Symbol" w:hAnsi="Symbol" w:cs="Times New Roman"/>
    </w:rPr>
  </w:style>
  <w:style w:type="character" w:customStyle="1" w:styleId="WW-Absatz-Standardschriftart11111111111111111111111111111111111111111111111111111111111111111111111111">
    <w:name w:val="WW-Absatz-Standardschriftart11111111111111111111111111111111111111111111111111111111111111111111111111"/>
    <w:rsid w:val="00D712AA"/>
  </w:style>
  <w:style w:type="character" w:customStyle="1" w:styleId="WW8Num34z2">
    <w:name w:val="WW8Num34z2"/>
    <w:rsid w:val="00D712AA"/>
    <w:rPr>
      <w:rFonts w:ascii="Wingdings" w:hAnsi="Wingdings" w:cs="Times New Roman"/>
    </w:rPr>
  </w:style>
  <w:style w:type="character" w:customStyle="1" w:styleId="WW8Num34z3">
    <w:name w:val="WW8Num34z3"/>
    <w:rsid w:val="00D712AA"/>
    <w:rPr>
      <w:rFonts w:ascii="Symbol" w:hAnsi="Symbol" w:cs="Times New Roman"/>
    </w:rPr>
  </w:style>
  <w:style w:type="character" w:customStyle="1" w:styleId="WW8Num37z2">
    <w:name w:val="WW8Num37z2"/>
    <w:rsid w:val="00D712AA"/>
    <w:rPr>
      <w:rFonts w:ascii="Wingdings" w:hAnsi="Wingdings" w:cs="Times New Roman"/>
    </w:rPr>
  </w:style>
  <w:style w:type="character" w:customStyle="1" w:styleId="WW8Num37z3">
    <w:name w:val="WW8Num37z3"/>
    <w:rsid w:val="00D712AA"/>
    <w:rPr>
      <w:rFonts w:ascii="Symbol" w:hAnsi="Symbol" w:cs="Times New Roman"/>
    </w:rPr>
  </w:style>
  <w:style w:type="character" w:customStyle="1" w:styleId="WW8Num38z2">
    <w:name w:val="WW8Num38z2"/>
    <w:rsid w:val="00D712AA"/>
    <w:rPr>
      <w:rFonts w:ascii="Wingdings" w:hAnsi="Wingdings" w:cs="Times New Roman"/>
    </w:rPr>
  </w:style>
  <w:style w:type="character" w:customStyle="1" w:styleId="WW8Num38z3">
    <w:name w:val="WW8Num38z3"/>
    <w:rsid w:val="00D712AA"/>
    <w:rPr>
      <w:rFonts w:ascii="Symbol" w:hAnsi="Symbol" w:cs="Times New Roman"/>
    </w:rPr>
  </w:style>
  <w:style w:type="character" w:customStyle="1" w:styleId="WW8Num39z1">
    <w:name w:val="WW8Num39z1"/>
    <w:rsid w:val="00D712AA"/>
    <w:rPr>
      <w:rFonts w:ascii="Courier New" w:hAnsi="Courier New" w:cs="Courier New"/>
    </w:rPr>
  </w:style>
  <w:style w:type="character" w:customStyle="1" w:styleId="WW8Num39z2">
    <w:name w:val="WW8Num39z2"/>
    <w:rsid w:val="00D712AA"/>
    <w:rPr>
      <w:rFonts w:ascii="Wingdings" w:hAnsi="Wingdings" w:cs="Times New Roman"/>
    </w:rPr>
  </w:style>
  <w:style w:type="character" w:customStyle="1" w:styleId="WW8Num39z3">
    <w:name w:val="WW8Num39z3"/>
    <w:rsid w:val="00D712AA"/>
    <w:rPr>
      <w:rFonts w:ascii="Symbol" w:hAnsi="Symbol" w:cs="Times New Roman"/>
    </w:rPr>
  </w:style>
  <w:style w:type="character" w:customStyle="1" w:styleId="WW8Num40z1">
    <w:name w:val="WW8Num40z1"/>
    <w:rsid w:val="00D712AA"/>
    <w:rPr>
      <w:rFonts w:ascii="Courier New" w:hAnsi="Courier New" w:cs="Courier New"/>
    </w:rPr>
  </w:style>
  <w:style w:type="character" w:customStyle="1" w:styleId="WW8Num40z2">
    <w:name w:val="WW8Num40z2"/>
    <w:rsid w:val="00D712AA"/>
    <w:rPr>
      <w:rFonts w:ascii="Wingdings" w:hAnsi="Wingdings" w:cs="Times New Roman"/>
    </w:rPr>
  </w:style>
  <w:style w:type="character" w:customStyle="1" w:styleId="WW8Num40z3">
    <w:name w:val="WW8Num40z3"/>
    <w:rsid w:val="00D712AA"/>
    <w:rPr>
      <w:rFonts w:ascii="Symbol" w:hAnsi="Symbol" w:cs="Times New Roman"/>
    </w:rPr>
  </w:style>
  <w:style w:type="character" w:customStyle="1" w:styleId="WW8Num41z1">
    <w:name w:val="WW8Num41z1"/>
    <w:rsid w:val="00D712AA"/>
    <w:rPr>
      <w:rFonts w:ascii="Courier New" w:hAnsi="Courier New" w:cs="Courier New"/>
    </w:rPr>
  </w:style>
  <w:style w:type="character" w:customStyle="1" w:styleId="WW8Num41z2">
    <w:name w:val="WW8Num41z2"/>
    <w:rsid w:val="00D712AA"/>
    <w:rPr>
      <w:rFonts w:ascii="Wingdings" w:hAnsi="Wingdings" w:cs="Times New Roman"/>
    </w:rPr>
  </w:style>
  <w:style w:type="character" w:customStyle="1" w:styleId="WW8Num41z3">
    <w:name w:val="WW8Num41z3"/>
    <w:rsid w:val="00D712AA"/>
    <w:rPr>
      <w:rFonts w:ascii="Symbol" w:hAnsi="Symbol" w:cs="Times New Roman"/>
    </w:rPr>
  </w:style>
  <w:style w:type="character" w:customStyle="1" w:styleId="WW8Num42z1">
    <w:name w:val="WW8Num42z1"/>
    <w:rsid w:val="00D712AA"/>
    <w:rPr>
      <w:rFonts w:ascii="Courier New" w:hAnsi="Courier New" w:cs="Courier New"/>
    </w:rPr>
  </w:style>
  <w:style w:type="character" w:customStyle="1" w:styleId="WW8Num42z2">
    <w:name w:val="WW8Num42z2"/>
    <w:rsid w:val="00D712AA"/>
    <w:rPr>
      <w:rFonts w:ascii="Wingdings" w:hAnsi="Wingdings" w:cs="Times New Roman"/>
    </w:rPr>
  </w:style>
  <w:style w:type="character" w:customStyle="1" w:styleId="WW8Num42z3">
    <w:name w:val="WW8Num42z3"/>
    <w:rsid w:val="00D712AA"/>
    <w:rPr>
      <w:rFonts w:ascii="Symbol" w:hAnsi="Symbol" w:cs="Times New Roman"/>
    </w:rPr>
  </w:style>
  <w:style w:type="character" w:customStyle="1" w:styleId="WW8Num43z1">
    <w:name w:val="WW8Num43z1"/>
    <w:rsid w:val="00D712AA"/>
    <w:rPr>
      <w:rFonts w:ascii="Courier New" w:hAnsi="Courier New" w:cs="Courier New"/>
    </w:rPr>
  </w:style>
  <w:style w:type="character" w:customStyle="1" w:styleId="WW8Num43z2">
    <w:name w:val="WW8Num43z2"/>
    <w:rsid w:val="00D712AA"/>
    <w:rPr>
      <w:rFonts w:ascii="Wingdings" w:hAnsi="Wingdings" w:cs="Times New Roman"/>
    </w:rPr>
  </w:style>
  <w:style w:type="character" w:customStyle="1" w:styleId="WW8Num43z3">
    <w:name w:val="WW8Num43z3"/>
    <w:rsid w:val="00D712AA"/>
    <w:rPr>
      <w:rFonts w:ascii="Symbol" w:hAnsi="Symbol" w:cs="Times New Roman"/>
    </w:rPr>
  </w:style>
  <w:style w:type="character" w:customStyle="1" w:styleId="WW8Num44z1">
    <w:name w:val="WW8Num44z1"/>
    <w:rsid w:val="00D712AA"/>
    <w:rPr>
      <w:rFonts w:ascii="Courier New" w:hAnsi="Courier New" w:cs="Courier New"/>
    </w:rPr>
  </w:style>
  <w:style w:type="character" w:customStyle="1" w:styleId="WW8Num44z2">
    <w:name w:val="WW8Num44z2"/>
    <w:rsid w:val="00D712AA"/>
    <w:rPr>
      <w:rFonts w:ascii="Wingdings" w:hAnsi="Wingdings" w:cs="Times New Roman"/>
    </w:rPr>
  </w:style>
  <w:style w:type="character" w:customStyle="1" w:styleId="WW8Num44z3">
    <w:name w:val="WW8Num44z3"/>
    <w:rsid w:val="00D712AA"/>
    <w:rPr>
      <w:rFonts w:ascii="Symbol" w:hAnsi="Symbol" w:cs="Times New Roman"/>
    </w:rPr>
  </w:style>
  <w:style w:type="character" w:customStyle="1" w:styleId="WW8Num46z1">
    <w:name w:val="WW8Num46z1"/>
    <w:rsid w:val="00D712AA"/>
    <w:rPr>
      <w:rFonts w:ascii="Courier New" w:hAnsi="Courier New" w:cs="Courier New"/>
    </w:rPr>
  </w:style>
  <w:style w:type="character" w:customStyle="1" w:styleId="WW8Num46z2">
    <w:name w:val="WW8Num46z2"/>
    <w:rsid w:val="00D712AA"/>
    <w:rPr>
      <w:rFonts w:ascii="Wingdings" w:hAnsi="Wingdings" w:cs="Times New Roman"/>
    </w:rPr>
  </w:style>
  <w:style w:type="character" w:customStyle="1" w:styleId="WW8Num46z3">
    <w:name w:val="WW8Num46z3"/>
    <w:rsid w:val="00D712AA"/>
    <w:rPr>
      <w:rFonts w:ascii="Symbol" w:hAnsi="Symbol" w:cs="Times New Roman"/>
    </w:rPr>
  </w:style>
  <w:style w:type="character" w:customStyle="1" w:styleId="WW8Num51z1">
    <w:name w:val="WW8Num51z1"/>
    <w:rsid w:val="00D712AA"/>
    <w:rPr>
      <w:rFonts w:ascii="Courier New" w:hAnsi="Courier New" w:cs="Courier New"/>
    </w:rPr>
  </w:style>
  <w:style w:type="character" w:customStyle="1" w:styleId="WW8Num51z2">
    <w:name w:val="WW8Num51z2"/>
    <w:rsid w:val="00D712AA"/>
    <w:rPr>
      <w:rFonts w:ascii="Wingdings" w:hAnsi="Wingdings" w:cs="Times New Roman"/>
    </w:rPr>
  </w:style>
  <w:style w:type="character" w:customStyle="1" w:styleId="WW8Num51z3">
    <w:name w:val="WW8Num51z3"/>
    <w:rsid w:val="00D712AA"/>
    <w:rPr>
      <w:rFonts w:ascii="Symbol" w:hAnsi="Symbol" w:cs="Times New Roman"/>
    </w:rPr>
  </w:style>
  <w:style w:type="character" w:customStyle="1" w:styleId="WW-Absatz-Standardschriftart111111111111111111111111111111111111111111111111111111111111111111111111111">
    <w:name w:val="WW-Absatz-Standardschriftart111111111111111111111111111111111111111111111111111111111111111111111111111"/>
    <w:rsid w:val="00D712AA"/>
  </w:style>
  <w:style w:type="character" w:customStyle="1" w:styleId="70">
    <w:name w:val="Основной шрифт абзаца7"/>
    <w:rsid w:val="00D712AA"/>
  </w:style>
  <w:style w:type="character" w:customStyle="1" w:styleId="60">
    <w:name w:val="Основной шрифт абзаца6"/>
    <w:rsid w:val="00D712AA"/>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D712AA"/>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D712AA"/>
  </w:style>
  <w:style w:type="character" w:customStyle="1" w:styleId="WW8Num7z1">
    <w:name w:val="WW8Num7z1"/>
    <w:rsid w:val="00D712AA"/>
    <w:rPr>
      <w:rFonts w:ascii="Courier New" w:hAnsi="Courier New" w:cs="Courier New"/>
    </w:rPr>
  </w:style>
  <w:style w:type="character" w:customStyle="1" w:styleId="WW8Num7z2">
    <w:name w:val="WW8Num7z2"/>
    <w:rsid w:val="00D712AA"/>
    <w:rPr>
      <w:rFonts w:ascii="Wingdings" w:hAnsi="Wingdings" w:cs="Times New Roman"/>
    </w:rPr>
  </w:style>
  <w:style w:type="character" w:customStyle="1" w:styleId="WW8Num7z3">
    <w:name w:val="WW8Num7z3"/>
    <w:rsid w:val="00D712AA"/>
    <w:rPr>
      <w:rFonts w:ascii="Symbol" w:hAnsi="Symbol" w:cs="Times New Roman"/>
    </w:rPr>
  </w:style>
  <w:style w:type="character" w:customStyle="1" w:styleId="WW8Num33z2">
    <w:name w:val="WW8Num33z2"/>
    <w:rsid w:val="00D712AA"/>
    <w:rPr>
      <w:rFonts w:ascii="Wingdings" w:hAnsi="Wingdings" w:cs="Times New Roman"/>
    </w:rPr>
  </w:style>
  <w:style w:type="character" w:customStyle="1" w:styleId="WW8Num33z3">
    <w:name w:val="WW8Num33z3"/>
    <w:rsid w:val="00D712AA"/>
    <w:rPr>
      <w:rFonts w:ascii="Symbol" w:hAnsi="Symbol" w:cs="Times New Roman"/>
    </w:rPr>
  </w:style>
  <w:style w:type="character" w:customStyle="1" w:styleId="WW8Num35z2">
    <w:name w:val="WW8Num35z2"/>
    <w:rsid w:val="00D712AA"/>
    <w:rPr>
      <w:rFonts w:ascii="Wingdings" w:hAnsi="Wingdings" w:cs="Times New Roman"/>
    </w:rPr>
  </w:style>
  <w:style w:type="character" w:customStyle="1" w:styleId="WW8Num35z3">
    <w:name w:val="WW8Num35z3"/>
    <w:rsid w:val="00D712AA"/>
    <w:rPr>
      <w:rFonts w:ascii="Symbol" w:hAnsi="Symbol" w:cs="Times New Roman"/>
    </w:rPr>
  </w:style>
  <w:style w:type="character" w:customStyle="1" w:styleId="WW8Num45z1">
    <w:name w:val="WW8Num45z1"/>
    <w:rsid w:val="00D712AA"/>
    <w:rPr>
      <w:rFonts w:ascii="Courier New" w:hAnsi="Courier New" w:cs="Courier New"/>
    </w:rPr>
  </w:style>
  <w:style w:type="character" w:customStyle="1" w:styleId="WW8Num45z2">
    <w:name w:val="WW8Num45z2"/>
    <w:rsid w:val="00D712AA"/>
    <w:rPr>
      <w:rFonts w:ascii="Wingdings" w:hAnsi="Wingdings" w:cs="Times New Roman"/>
    </w:rPr>
  </w:style>
  <w:style w:type="character" w:customStyle="1" w:styleId="WW8Num45z3">
    <w:name w:val="WW8Num45z3"/>
    <w:rsid w:val="00D712AA"/>
    <w:rPr>
      <w:rFonts w:ascii="Symbol" w:hAnsi="Symbol" w:cs="Times New Roman"/>
    </w:rPr>
  </w:style>
  <w:style w:type="character" w:customStyle="1" w:styleId="WW8Num50z1">
    <w:name w:val="WW8Num50z1"/>
    <w:rsid w:val="00D712AA"/>
    <w:rPr>
      <w:rFonts w:ascii="Courier New" w:hAnsi="Courier New" w:cs="Courier New"/>
    </w:rPr>
  </w:style>
  <w:style w:type="character" w:customStyle="1" w:styleId="WW8Num50z2">
    <w:name w:val="WW8Num50z2"/>
    <w:rsid w:val="00D712AA"/>
    <w:rPr>
      <w:rFonts w:ascii="Wingdings" w:hAnsi="Wingdings" w:cs="Times New Roman"/>
    </w:rPr>
  </w:style>
  <w:style w:type="character" w:customStyle="1" w:styleId="WW8Num50z3">
    <w:name w:val="WW8Num50z3"/>
    <w:rsid w:val="00D712AA"/>
    <w:rPr>
      <w:rFonts w:ascii="Symbol" w:hAnsi="Symbol" w:cs="Times New Roman"/>
    </w:rPr>
  </w:style>
  <w:style w:type="character" w:customStyle="1" w:styleId="50">
    <w:name w:val="Основной шрифт абзаца5"/>
    <w:rsid w:val="00D712AA"/>
  </w:style>
  <w:style w:type="character" w:customStyle="1" w:styleId="41">
    <w:name w:val="Основной шрифт абзаца4"/>
    <w:rsid w:val="00D712AA"/>
  </w:style>
  <w:style w:type="character" w:customStyle="1" w:styleId="WW8Num6z0">
    <w:name w:val="WW8Num6z0"/>
    <w:rsid w:val="00D712AA"/>
    <w:rPr>
      <w:rFonts w:ascii="StarSymbol" w:hAnsi="StarSymbol"/>
    </w:rPr>
  </w:style>
  <w:style w:type="character" w:customStyle="1" w:styleId="WW8Num6z1">
    <w:name w:val="WW8Num6z1"/>
    <w:rsid w:val="00D712AA"/>
    <w:rPr>
      <w:rFonts w:ascii="Courier New" w:hAnsi="Courier New" w:cs="Courier New"/>
    </w:rPr>
  </w:style>
  <w:style w:type="character" w:customStyle="1" w:styleId="WW8Num6z2">
    <w:name w:val="WW8Num6z2"/>
    <w:rsid w:val="00D712AA"/>
    <w:rPr>
      <w:rFonts w:ascii="Wingdings" w:hAnsi="Wingdings" w:cs="Times New Roman"/>
    </w:rPr>
  </w:style>
  <w:style w:type="character" w:customStyle="1" w:styleId="WW8Num6z3">
    <w:name w:val="WW8Num6z3"/>
    <w:rsid w:val="00D712AA"/>
    <w:rPr>
      <w:rFonts w:ascii="Symbol" w:hAnsi="Symbol" w:cs="Times New Roman"/>
    </w:rPr>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D712AA"/>
  </w:style>
  <w:style w:type="character" w:customStyle="1" w:styleId="30">
    <w:name w:val="Основной шрифт абзаца3"/>
    <w:rsid w:val="00D712AA"/>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D712AA"/>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D712AA"/>
  </w:style>
  <w:style w:type="character" w:customStyle="1" w:styleId="WW8Num5z0">
    <w:name w:val="WW8Num5z0"/>
    <w:rsid w:val="00D712AA"/>
    <w:rPr>
      <w:rFonts w:ascii="StarSymbol" w:hAnsi="StarSymbol"/>
    </w:rPr>
  </w:style>
  <w:style w:type="character" w:customStyle="1" w:styleId="WW8Num5z1">
    <w:name w:val="WW8Num5z1"/>
    <w:rsid w:val="00D712AA"/>
    <w:rPr>
      <w:rFonts w:ascii="Courier New" w:hAnsi="Courier New" w:cs="Courier New"/>
    </w:rPr>
  </w:style>
  <w:style w:type="character" w:customStyle="1" w:styleId="WW8Num5z2">
    <w:name w:val="WW8Num5z2"/>
    <w:rsid w:val="00D712AA"/>
    <w:rPr>
      <w:rFonts w:ascii="Wingdings" w:hAnsi="Wingdings" w:cs="Times New Roman"/>
    </w:rPr>
  </w:style>
  <w:style w:type="character" w:customStyle="1" w:styleId="WW8Num5z3">
    <w:name w:val="WW8Num5z3"/>
    <w:rsid w:val="00D712AA"/>
    <w:rPr>
      <w:rFonts w:ascii="Symbol" w:hAnsi="Symbol" w:cs="Times New Roman"/>
    </w:rPr>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D712AA"/>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D712AA"/>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D712AA"/>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D712AA"/>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D712AA"/>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D712AA"/>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D712AA"/>
  </w:style>
  <w:style w:type="character" w:customStyle="1" w:styleId="WW8Num4z0">
    <w:name w:val="WW8Num4z0"/>
    <w:rsid w:val="00D712AA"/>
    <w:rPr>
      <w:rFonts w:ascii="StarSymbol" w:hAnsi="StarSymbol"/>
    </w:rPr>
  </w:style>
  <w:style w:type="character" w:customStyle="1" w:styleId="WW8Num4z1">
    <w:name w:val="WW8Num4z1"/>
    <w:rsid w:val="00D712AA"/>
    <w:rPr>
      <w:rFonts w:ascii="Courier New" w:hAnsi="Courier New" w:cs="Courier New"/>
    </w:rPr>
  </w:style>
  <w:style w:type="character" w:customStyle="1" w:styleId="WW8Num4z2">
    <w:name w:val="WW8Num4z2"/>
    <w:rsid w:val="00D712AA"/>
    <w:rPr>
      <w:rFonts w:ascii="Wingdings" w:hAnsi="Wingdings" w:cs="Times New Roman"/>
    </w:rPr>
  </w:style>
  <w:style w:type="character" w:customStyle="1" w:styleId="WW8Num4z3">
    <w:name w:val="WW8Num4z3"/>
    <w:rsid w:val="00D712AA"/>
    <w:rPr>
      <w:rFonts w:ascii="Symbol" w:hAnsi="Symbol" w:cs="Times New Roman"/>
    </w:rPr>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D712AA"/>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D712AA"/>
  </w:style>
  <w:style w:type="character" w:customStyle="1" w:styleId="WW8Num12z1">
    <w:name w:val="WW8Num12z1"/>
    <w:rsid w:val="00D712AA"/>
    <w:rPr>
      <w:rFonts w:ascii="Courier New" w:hAnsi="Courier New"/>
    </w:rPr>
  </w:style>
  <w:style w:type="character" w:customStyle="1" w:styleId="WW8Num12z2">
    <w:name w:val="WW8Num12z2"/>
    <w:rsid w:val="00D712AA"/>
    <w:rPr>
      <w:rFonts w:ascii="Wingdings" w:hAnsi="Wingdings"/>
    </w:rPr>
  </w:style>
  <w:style w:type="character" w:customStyle="1" w:styleId="WW8Num12z3">
    <w:name w:val="WW8Num12z3"/>
    <w:rsid w:val="00D712AA"/>
    <w:rPr>
      <w:rFonts w:ascii="Symbol" w:hAnsi="Symbol"/>
    </w:rPr>
  </w:style>
  <w:style w:type="character" w:customStyle="1" w:styleId="WW8Num16z2">
    <w:name w:val="WW8Num16z2"/>
    <w:rsid w:val="00D712AA"/>
    <w:rPr>
      <w:rFonts w:ascii="Wingdings" w:hAnsi="Wingdings"/>
    </w:rPr>
  </w:style>
  <w:style w:type="character" w:customStyle="1" w:styleId="WW8Num16z3">
    <w:name w:val="WW8Num16z3"/>
    <w:rsid w:val="00D712AA"/>
    <w:rPr>
      <w:rFonts w:ascii="Symbol" w:hAnsi="Symbol"/>
    </w:rPr>
  </w:style>
  <w:style w:type="character" w:customStyle="1" w:styleId="WW8Num17z2">
    <w:name w:val="WW8Num17z2"/>
    <w:rsid w:val="00D712AA"/>
    <w:rPr>
      <w:rFonts w:ascii="Wingdings" w:hAnsi="Wingdings"/>
    </w:rPr>
  </w:style>
  <w:style w:type="character" w:customStyle="1" w:styleId="WW8Num17z3">
    <w:name w:val="WW8Num17z3"/>
    <w:rsid w:val="00D712AA"/>
    <w:rPr>
      <w:rFonts w:ascii="Symbol" w:hAnsi="Symbol"/>
    </w:rPr>
  </w:style>
  <w:style w:type="character" w:customStyle="1" w:styleId="WW8Num20z2">
    <w:name w:val="WW8Num20z2"/>
    <w:rsid w:val="00D712AA"/>
    <w:rPr>
      <w:rFonts w:ascii="Wingdings" w:hAnsi="Wingdings"/>
    </w:rPr>
  </w:style>
  <w:style w:type="character" w:customStyle="1" w:styleId="WW8Num20z3">
    <w:name w:val="WW8Num20z3"/>
    <w:rsid w:val="00D712AA"/>
    <w:rPr>
      <w:rFonts w:ascii="Symbol" w:hAnsi="Symbol"/>
    </w:rPr>
  </w:style>
  <w:style w:type="character" w:customStyle="1" w:styleId="WW8NumSt24z0">
    <w:name w:val="WW8NumSt24z0"/>
    <w:rsid w:val="00D712AA"/>
    <w:rPr>
      <w:rFonts w:ascii="Symbol" w:hAnsi="Symbol"/>
    </w:rPr>
  </w:style>
  <w:style w:type="character" w:customStyle="1" w:styleId="20">
    <w:name w:val="Основной шрифт абзаца2"/>
    <w:rsid w:val="00D712AA"/>
  </w:style>
  <w:style w:type="character" w:styleId="a5">
    <w:name w:val="page number"/>
    <w:basedOn w:val="20"/>
    <w:rsid w:val="00D712AA"/>
  </w:style>
  <w:style w:type="character" w:customStyle="1" w:styleId="14">
    <w:name w:val="Обычный (веб)1"/>
    <w:rsid w:val="00D712AA"/>
    <w:rPr>
      <w:sz w:val="24"/>
      <w:szCs w:val="24"/>
      <w:lang w:val="uk-UA" w:eastAsia="ar-SA" w:bidi="ar-SA"/>
    </w:rPr>
  </w:style>
  <w:style w:type="character" w:styleId="a6">
    <w:name w:val="Hyperlink"/>
    <w:rsid w:val="00D712AA"/>
    <w:rPr>
      <w:color w:val="0000FF"/>
      <w:u w:val="single"/>
    </w:rPr>
  </w:style>
  <w:style w:type="character" w:styleId="a7">
    <w:name w:val="FollowedHyperlink"/>
    <w:rsid w:val="00D712AA"/>
    <w:rPr>
      <w:color w:val="800080"/>
      <w:u w:val="single"/>
    </w:rPr>
  </w:style>
  <w:style w:type="character" w:customStyle="1" w:styleId="a8">
    <w:name w:val="Основной шрифт"/>
    <w:rsid w:val="00D712AA"/>
  </w:style>
  <w:style w:type="character" w:customStyle="1" w:styleId="WW8NumSt10z0">
    <w:name w:val="WW8NumSt10z0"/>
    <w:rsid w:val="00D712AA"/>
    <w:rPr>
      <w:rFonts w:ascii="Symbol" w:hAnsi="Symbol"/>
    </w:rPr>
  </w:style>
  <w:style w:type="character" w:customStyle="1" w:styleId="1a">
    <w:name w:val="Основной шрифт абзаца1"/>
    <w:rsid w:val="00D712AA"/>
  </w:style>
  <w:style w:type="character" w:customStyle="1" w:styleId="a9">
    <w:name w:val="Символ нумерации"/>
    <w:rsid w:val="00D712AA"/>
    <w:rPr>
      <w:rFonts w:ascii="Arial" w:hAnsi="Arial"/>
      <w:color w:val="000000"/>
      <w:sz w:val="20"/>
      <w:szCs w:val="20"/>
      <w:lang w:val="uk-UA"/>
    </w:rPr>
  </w:style>
  <w:style w:type="character" w:customStyle="1" w:styleId="aa">
    <w:name w:val="Маркеры списка"/>
    <w:rsid w:val="00D712AA"/>
    <w:rPr>
      <w:rFonts w:ascii="StarSymbol" w:eastAsia="StarSymbol" w:hAnsi="StarSymbol" w:cs="StarSymbol"/>
      <w:sz w:val="18"/>
      <w:szCs w:val="18"/>
    </w:rPr>
  </w:style>
  <w:style w:type="character" w:customStyle="1" w:styleId="longtext">
    <w:name w:val="long_text"/>
    <w:basedOn w:val="50"/>
    <w:rsid w:val="00D712AA"/>
  </w:style>
  <w:style w:type="character" w:customStyle="1" w:styleId="shorttext">
    <w:name w:val="short_text"/>
    <w:basedOn w:val="50"/>
    <w:rsid w:val="00D712AA"/>
  </w:style>
  <w:style w:type="character" w:customStyle="1" w:styleId="WW8Num64z1">
    <w:name w:val="WW8Num64z1"/>
    <w:rsid w:val="00D712AA"/>
    <w:rPr>
      <w:lang w:val="uk-UA"/>
    </w:rPr>
  </w:style>
  <w:style w:type="character" w:customStyle="1" w:styleId="WW8Num65z1">
    <w:name w:val="WW8Num65z1"/>
    <w:rsid w:val="00D712AA"/>
    <w:rPr>
      <w:lang w:val="uk-UA"/>
    </w:rPr>
  </w:style>
  <w:style w:type="character" w:customStyle="1" w:styleId="hpsalt-edited">
    <w:name w:val="hps alt-edited"/>
    <w:basedOn w:val="15"/>
    <w:rsid w:val="00D712AA"/>
  </w:style>
  <w:style w:type="character" w:customStyle="1" w:styleId="hps">
    <w:name w:val="hps"/>
    <w:basedOn w:val="15"/>
    <w:rsid w:val="00D712AA"/>
  </w:style>
  <w:style w:type="character" w:customStyle="1" w:styleId="hpsatn">
    <w:name w:val="hps atn"/>
    <w:basedOn w:val="15"/>
    <w:rsid w:val="00D712AA"/>
  </w:style>
  <w:style w:type="character" w:customStyle="1" w:styleId="atn">
    <w:name w:val="atn"/>
    <w:basedOn w:val="15"/>
    <w:rsid w:val="00D712AA"/>
  </w:style>
  <w:style w:type="character" w:customStyle="1" w:styleId="WW8Num79z1">
    <w:name w:val="WW8Num79z1"/>
    <w:rsid w:val="00D712AA"/>
    <w:rPr>
      <w:rFonts w:ascii="Courier New" w:hAnsi="Courier New"/>
    </w:rPr>
  </w:style>
  <w:style w:type="character" w:customStyle="1" w:styleId="WW8Num79z2">
    <w:name w:val="WW8Num79z2"/>
    <w:rsid w:val="00D712AA"/>
    <w:rPr>
      <w:rFonts w:ascii="Wingdings" w:hAnsi="Wingdings"/>
    </w:rPr>
  </w:style>
  <w:style w:type="character" w:customStyle="1" w:styleId="140">
    <w:name w:val="Основной шрифт абзаца14"/>
    <w:rsid w:val="00D712AA"/>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D712AA"/>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D712AA"/>
  </w:style>
  <w:style w:type="character" w:customStyle="1" w:styleId="alt-edited">
    <w:name w:val="alt-edited"/>
    <w:basedOn w:val="140"/>
    <w:rsid w:val="00D712AA"/>
  </w:style>
  <w:style w:type="paragraph" w:customStyle="1" w:styleId="1b">
    <w:name w:val="Заголовок1"/>
    <w:basedOn w:val="a"/>
    <w:next w:val="ab"/>
    <w:rsid w:val="00D712AA"/>
    <w:pPr>
      <w:keepNext/>
      <w:widowControl w:val="0"/>
      <w:spacing w:before="240" w:after="120"/>
    </w:pPr>
    <w:rPr>
      <w:rFonts w:eastAsia="Lucida Sans Unicode" w:cs="Tahoma"/>
      <w:kern w:val="1"/>
      <w:sz w:val="28"/>
      <w:szCs w:val="28"/>
      <w:lang w:val="uk-UA" w:eastAsia="hi-IN" w:bidi="hi-IN"/>
    </w:rPr>
  </w:style>
  <w:style w:type="paragraph" w:styleId="ab">
    <w:name w:val="Body Text"/>
    <w:basedOn w:val="a"/>
    <w:link w:val="ac"/>
    <w:rsid w:val="00D712AA"/>
    <w:pPr>
      <w:jc w:val="center"/>
    </w:pPr>
    <w:rPr>
      <w:b/>
      <w:szCs w:val="20"/>
      <w:lang w:val="uk-UA"/>
    </w:rPr>
  </w:style>
  <w:style w:type="paragraph" w:styleId="ad">
    <w:name w:val="List"/>
    <w:basedOn w:val="ab"/>
    <w:rsid w:val="00D712AA"/>
    <w:pPr>
      <w:autoSpaceDE w:val="0"/>
      <w:jc w:val="both"/>
    </w:pPr>
    <w:rPr>
      <w:rFonts w:cs="Tahoma"/>
      <w:b w:val="0"/>
      <w:sz w:val="22"/>
      <w:szCs w:val="22"/>
    </w:rPr>
  </w:style>
  <w:style w:type="paragraph" w:customStyle="1" w:styleId="190">
    <w:name w:val="Название19"/>
    <w:basedOn w:val="a"/>
    <w:rsid w:val="00D712AA"/>
    <w:pPr>
      <w:suppressLineNumbers/>
      <w:spacing w:before="120" w:after="120"/>
    </w:pPr>
    <w:rPr>
      <w:rFonts w:cs="Tahoma"/>
      <w:i/>
      <w:iCs/>
      <w:sz w:val="24"/>
    </w:rPr>
  </w:style>
  <w:style w:type="paragraph" w:customStyle="1" w:styleId="191">
    <w:name w:val="Указатель19"/>
    <w:basedOn w:val="a"/>
    <w:rsid w:val="00D712AA"/>
    <w:pPr>
      <w:suppressLineNumbers/>
    </w:pPr>
    <w:rPr>
      <w:rFonts w:cs="Tahoma"/>
    </w:rPr>
  </w:style>
  <w:style w:type="paragraph" w:customStyle="1" w:styleId="180">
    <w:name w:val="Название18"/>
    <w:basedOn w:val="a"/>
    <w:rsid w:val="00D712AA"/>
    <w:pPr>
      <w:suppressLineNumbers/>
      <w:spacing w:before="120" w:after="120"/>
    </w:pPr>
    <w:rPr>
      <w:rFonts w:cs="Tahoma"/>
      <w:i/>
      <w:iCs/>
      <w:sz w:val="24"/>
    </w:rPr>
  </w:style>
  <w:style w:type="paragraph" w:customStyle="1" w:styleId="181">
    <w:name w:val="Указатель18"/>
    <w:basedOn w:val="a"/>
    <w:rsid w:val="00D712AA"/>
    <w:pPr>
      <w:suppressLineNumbers/>
    </w:pPr>
    <w:rPr>
      <w:rFonts w:cs="Tahoma"/>
    </w:rPr>
  </w:style>
  <w:style w:type="paragraph" w:customStyle="1" w:styleId="170">
    <w:name w:val="Название17"/>
    <w:basedOn w:val="a"/>
    <w:rsid w:val="00D712AA"/>
    <w:pPr>
      <w:suppressLineNumbers/>
      <w:spacing w:before="120" w:after="120"/>
    </w:pPr>
    <w:rPr>
      <w:rFonts w:cs="Tahoma"/>
      <w:i/>
      <w:iCs/>
      <w:sz w:val="24"/>
    </w:rPr>
  </w:style>
  <w:style w:type="paragraph" w:customStyle="1" w:styleId="171">
    <w:name w:val="Указатель17"/>
    <w:basedOn w:val="a"/>
    <w:rsid w:val="00D712AA"/>
    <w:pPr>
      <w:suppressLineNumbers/>
    </w:pPr>
    <w:rPr>
      <w:rFonts w:cs="Tahoma"/>
    </w:rPr>
  </w:style>
  <w:style w:type="paragraph" w:customStyle="1" w:styleId="160">
    <w:name w:val="Название16"/>
    <w:basedOn w:val="a"/>
    <w:rsid w:val="00D712AA"/>
    <w:pPr>
      <w:suppressLineNumbers/>
      <w:spacing w:before="120" w:after="120"/>
    </w:pPr>
    <w:rPr>
      <w:rFonts w:cs="Tahoma"/>
      <w:i/>
      <w:iCs/>
      <w:sz w:val="24"/>
    </w:rPr>
  </w:style>
  <w:style w:type="paragraph" w:customStyle="1" w:styleId="161">
    <w:name w:val="Указатель16"/>
    <w:basedOn w:val="a"/>
    <w:rsid w:val="00D712AA"/>
    <w:pPr>
      <w:suppressLineNumbers/>
    </w:pPr>
    <w:rPr>
      <w:rFonts w:cs="Tahoma"/>
    </w:rPr>
  </w:style>
  <w:style w:type="paragraph" w:customStyle="1" w:styleId="150">
    <w:name w:val="Название15"/>
    <w:basedOn w:val="a"/>
    <w:rsid w:val="00D712AA"/>
    <w:pPr>
      <w:suppressLineNumbers/>
      <w:spacing w:before="120" w:after="120"/>
    </w:pPr>
    <w:rPr>
      <w:rFonts w:cs="Tahoma"/>
      <w:i/>
      <w:iCs/>
      <w:sz w:val="24"/>
    </w:rPr>
  </w:style>
  <w:style w:type="paragraph" w:customStyle="1" w:styleId="151">
    <w:name w:val="Указатель15"/>
    <w:basedOn w:val="a"/>
    <w:rsid w:val="00D712AA"/>
    <w:pPr>
      <w:suppressLineNumbers/>
    </w:pPr>
    <w:rPr>
      <w:rFonts w:cs="Tahoma"/>
    </w:rPr>
  </w:style>
  <w:style w:type="paragraph" w:customStyle="1" w:styleId="32">
    <w:name w:val="Основной текст с отступом 32"/>
    <w:basedOn w:val="a"/>
    <w:rsid w:val="00D712AA"/>
    <w:pPr>
      <w:ind w:firstLine="709"/>
    </w:pPr>
    <w:rPr>
      <w:sz w:val="22"/>
      <w:szCs w:val="20"/>
    </w:rPr>
  </w:style>
  <w:style w:type="paragraph" w:styleId="ae">
    <w:name w:val="Normal (Web)"/>
    <w:basedOn w:val="a"/>
    <w:rsid w:val="00D712AA"/>
    <w:rPr>
      <w:lang w:val="uk-UA"/>
    </w:rPr>
  </w:style>
  <w:style w:type="paragraph" w:customStyle="1" w:styleId="af">
    <w:name w:val="Текст в заданном формате"/>
    <w:basedOn w:val="a"/>
    <w:rsid w:val="00D712AA"/>
    <w:rPr>
      <w:rFonts w:ascii="Courier New" w:eastAsia="NSimSun" w:hAnsi="Courier New" w:cs="Courier New"/>
      <w:szCs w:val="20"/>
      <w:lang w:val="uk-UA"/>
    </w:rPr>
  </w:style>
  <w:style w:type="paragraph" w:customStyle="1" w:styleId="af0">
    <w:name w:val="Знак Знак Знак Знак Знак Знак Знак Знак Знак Знак Знак Знак"/>
    <w:basedOn w:val="a"/>
    <w:rsid w:val="00D712AA"/>
    <w:rPr>
      <w:rFonts w:ascii="Verdana" w:hAnsi="Verdana" w:cs="Verdana"/>
      <w:szCs w:val="20"/>
      <w:lang w:val="en-US"/>
    </w:rPr>
  </w:style>
  <w:style w:type="paragraph" w:customStyle="1" w:styleId="31">
    <w:name w:val="Основной текст 31"/>
    <w:basedOn w:val="a"/>
    <w:rsid w:val="00D712AA"/>
    <w:rPr>
      <w:b/>
      <w:szCs w:val="20"/>
    </w:rPr>
  </w:style>
  <w:style w:type="paragraph" w:customStyle="1" w:styleId="21">
    <w:name w:val="Основной текст 21"/>
    <w:basedOn w:val="a"/>
    <w:rsid w:val="00D712AA"/>
    <w:pPr>
      <w:widowControl w:val="0"/>
      <w:ind w:right="567" w:firstLine="709"/>
    </w:pPr>
    <w:rPr>
      <w:szCs w:val="20"/>
    </w:rPr>
  </w:style>
  <w:style w:type="paragraph" w:customStyle="1" w:styleId="1c">
    <w:name w:val="заголовок 1"/>
    <w:basedOn w:val="a"/>
    <w:next w:val="a"/>
    <w:rsid w:val="00D712AA"/>
    <w:pPr>
      <w:widowControl w:val="0"/>
      <w:tabs>
        <w:tab w:val="left" w:pos="851"/>
      </w:tabs>
      <w:spacing w:before="120"/>
    </w:pPr>
    <w:rPr>
      <w:rFonts w:cs="Arial"/>
      <w:b/>
      <w:color w:val="000000"/>
      <w:kern w:val="1"/>
      <w:szCs w:val="20"/>
      <w:lang w:val="uk-UA"/>
    </w:rPr>
  </w:style>
  <w:style w:type="paragraph" w:customStyle="1" w:styleId="1d">
    <w:name w:val="Цитата1"/>
    <w:basedOn w:val="a"/>
    <w:rsid w:val="00D712AA"/>
    <w:pPr>
      <w:widowControl w:val="0"/>
      <w:ind w:left="-284" w:right="43" w:firstLine="0"/>
    </w:pPr>
    <w:rPr>
      <w:sz w:val="22"/>
      <w:szCs w:val="20"/>
      <w:lang w:val="uk-UA"/>
    </w:rPr>
  </w:style>
  <w:style w:type="paragraph" w:customStyle="1" w:styleId="22">
    <w:name w:val="Основной текст с отступом 22"/>
    <w:basedOn w:val="a"/>
    <w:rsid w:val="00D712AA"/>
    <w:pPr>
      <w:ind w:firstLine="720"/>
    </w:pPr>
    <w:rPr>
      <w:szCs w:val="20"/>
      <w:lang w:val="uk-UA"/>
    </w:rPr>
  </w:style>
  <w:style w:type="paragraph" w:customStyle="1" w:styleId="mystylen">
    <w:name w:val="my_style_n"/>
    <w:basedOn w:val="a"/>
    <w:rsid w:val="00D712AA"/>
    <w:pPr>
      <w:keepNext/>
      <w:keepLines/>
      <w:pageBreakBefore/>
      <w:spacing w:before="240" w:after="60"/>
      <w:jc w:val="center"/>
    </w:pPr>
    <w:rPr>
      <w:kern w:val="1"/>
      <w:sz w:val="28"/>
      <w:szCs w:val="20"/>
    </w:rPr>
  </w:style>
  <w:style w:type="paragraph" w:customStyle="1" w:styleId="210">
    <w:name w:val="Основной текст с отступом 21"/>
    <w:basedOn w:val="a"/>
    <w:rsid w:val="00D712AA"/>
    <w:pPr>
      <w:autoSpaceDE w:val="0"/>
    </w:pPr>
    <w:rPr>
      <w:sz w:val="22"/>
      <w:szCs w:val="22"/>
      <w:lang w:val="uk-UA"/>
    </w:rPr>
  </w:style>
  <w:style w:type="paragraph" w:customStyle="1" w:styleId="23">
    <w:name w:val="Основной текст с отступом 23"/>
    <w:basedOn w:val="a"/>
    <w:rsid w:val="00D712AA"/>
    <w:pPr>
      <w:ind w:firstLine="720"/>
    </w:pPr>
    <w:rPr>
      <w:szCs w:val="20"/>
      <w:lang w:val="uk-UA"/>
    </w:rPr>
  </w:style>
  <w:style w:type="paragraph" w:customStyle="1" w:styleId="33">
    <w:name w:val="Текст3"/>
    <w:basedOn w:val="a"/>
    <w:rsid w:val="00D712AA"/>
    <w:pPr>
      <w:widowControl w:val="0"/>
    </w:pPr>
    <w:rPr>
      <w:rFonts w:ascii="Courier New" w:eastAsia="Lucida Sans Unicode" w:hAnsi="Courier New" w:cs="Tahoma"/>
      <w:kern w:val="1"/>
      <w:szCs w:val="20"/>
      <w:lang w:eastAsia="hi-IN" w:bidi="hi-IN"/>
    </w:rPr>
  </w:style>
  <w:style w:type="paragraph" w:customStyle="1" w:styleId="1e">
    <w:name w:val="Название объекта1"/>
    <w:basedOn w:val="a"/>
    <w:next w:val="a"/>
    <w:rsid w:val="00D712AA"/>
    <w:pPr>
      <w:widowControl w:val="0"/>
      <w:jc w:val="right"/>
    </w:pPr>
    <w:rPr>
      <w:b/>
      <w:sz w:val="22"/>
      <w:szCs w:val="20"/>
    </w:rPr>
  </w:style>
  <w:style w:type="paragraph" w:customStyle="1" w:styleId="310">
    <w:name w:val="Основной текст с отступом 31"/>
    <w:basedOn w:val="a"/>
    <w:rsid w:val="00D712AA"/>
    <w:pPr>
      <w:autoSpaceDE w:val="0"/>
      <w:ind w:firstLine="709"/>
    </w:pPr>
    <w:rPr>
      <w:sz w:val="22"/>
      <w:szCs w:val="22"/>
      <w:lang w:val="uk-UA"/>
    </w:rPr>
  </w:style>
  <w:style w:type="paragraph" w:styleId="HTML">
    <w:name w:val="HTML Preformatted"/>
    <w:basedOn w:val="a"/>
    <w:link w:val="HTML0"/>
    <w:rsid w:val="00D71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paragraph" w:customStyle="1" w:styleId="af1">
    <w:name w:val="Готовый"/>
    <w:basedOn w:val="a"/>
    <w:rsid w:val="00D712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Cs w:val="20"/>
    </w:rPr>
  </w:style>
  <w:style w:type="paragraph" w:customStyle="1" w:styleId="24">
    <w:name w:val="Название объекта2"/>
    <w:basedOn w:val="a"/>
    <w:next w:val="a"/>
    <w:rsid w:val="00D712AA"/>
    <w:pPr>
      <w:widowControl w:val="0"/>
      <w:jc w:val="right"/>
    </w:pPr>
    <w:rPr>
      <w:b/>
      <w:sz w:val="22"/>
      <w:szCs w:val="20"/>
    </w:rPr>
  </w:style>
  <w:style w:type="paragraph" w:styleId="af2">
    <w:name w:val="Body Text Indent"/>
    <w:basedOn w:val="a"/>
    <w:rsid w:val="00D712AA"/>
    <w:pPr>
      <w:spacing w:after="120"/>
      <w:ind w:left="283" w:firstLine="0"/>
    </w:pPr>
  </w:style>
  <w:style w:type="paragraph" w:styleId="af3">
    <w:name w:val="footer"/>
    <w:basedOn w:val="a"/>
    <w:rsid w:val="00D712AA"/>
    <w:pPr>
      <w:widowControl w:val="0"/>
      <w:tabs>
        <w:tab w:val="center" w:pos="4703"/>
        <w:tab w:val="right" w:pos="9406"/>
      </w:tabs>
    </w:pPr>
    <w:rPr>
      <w:rFonts w:ascii="Pragmatica" w:eastAsia="Lucida Sans Unicode" w:hAnsi="Pragmatica" w:cs="Tahoma"/>
      <w:kern w:val="1"/>
      <w:szCs w:val="20"/>
      <w:lang w:val="uk-UA" w:eastAsia="hi-IN" w:bidi="hi-IN"/>
    </w:rPr>
  </w:style>
  <w:style w:type="paragraph" w:customStyle="1" w:styleId="25">
    <w:name w:val="Текст2"/>
    <w:basedOn w:val="a"/>
    <w:rsid w:val="00D712AA"/>
    <w:rPr>
      <w:rFonts w:ascii="Courier New" w:hAnsi="Courier New"/>
      <w:kern w:val="1"/>
      <w:szCs w:val="20"/>
    </w:rPr>
  </w:style>
  <w:style w:type="paragraph" w:customStyle="1" w:styleId="mystyle1">
    <w:name w:val="my_style1"/>
    <w:basedOn w:val="1"/>
    <w:rsid w:val="00D712AA"/>
    <w:rPr>
      <w:rFonts w:ascii="Times New Roman" w:hAnsi="Times New Roman" w:cs="Times New Roman"/>
      <w:bCs w:val="0"/>
      <w:sz w:val="28"/>
      <w:szCs w:val="20"/>
    </w:rPr>
  </w:style>
  <w:style w:type="paragraph" w:customStyle="1" w:styleId="26">
    <w:name w:val="Обычный (веб)2"/>
    <w:basedOn w:val="a"/>
    <w:rsid w:val="00D712AA"/>
    <w:rPr>
      <w:szCs w:val="20"/>
    </w:rPr>
  </w:style>
  <w:style w:type="paragraph" w:customStyle="1" w:styleId="130">
    <w:name w:val="Название13"/>
    <w:basedOn w:val="a"/>
    <w:rsid w:val="00D712AA"/>
    <w:pPr>
      <w:suppressLineNumbers/>
      <w:spacing w:before="120" w:after="120"/>
    </w:pPr>
    <w:rPr>
      <w:rFonts w:cs="Tahoma"/>
      <w:i/>
      <w:iCs/>
      <w:lang w:val="uk-UA"/>
    </w:rPr>
  </w:style>
  <w:style w:type="paragraph" w:customStyle="1" w:styleId="131">
    <w:name w:val="Указатель13"/>
    <w:basedOn w:val="a"/>
    <w:rsid w:val="00D712AA"/>
    <w:pPr>
      <w:suppressLineNumbers/>
    </w:pPr>
    <w:rPr>
      <w:rFonts w:cs="Tahoma"/>
      <w:lang w:val="uk-UA"/>
    </w:rPr>
  </w:style>
  <w:style w:type="paragraph" w:customStyle="1" w:styleId="120">
    <w:name w:val="Название12"/>
    <w:basedOn w:val="a"/>
    <w:rsid w:val="00D712AA"/>
    <w:pPr>
      <w:suppressLineNumbers/>
      <w:spacing w:before="120" w:after="120"/>
    </w:pPr>
    <w:rPr>
      <w:rFonts w:cs="Tahoma"/>
      <w:i/>
      <w:iCs/>
      <w:lang w:val="uk-UA"/>
    </w:rPr>
  </w:style>
  <w:style w:type="paragraph" w:customStyle="1" w:styleId="121">
    <w:name w:val="Указатель12"/>
    <w:basedOn w:val="a"/>
    <w:rsid w:val="00D712AA"/>
    <w:pPr>
      <w:suppressLineNumbers/>
    </w:pPr>
    <w:rPr>
      <w:rFonts w:cs="Tahoma"/>
      <w:lang w:val="uk-UA"/>
    </w:rPr>
  </w:style>
  <w:style w:type="paragraph" w:customStyle="1" w:styleId="110">
    <w:name w:val="Название11"/>
    <w:basedOn w:val="a"/>
    <w:rsid w:val="00D712AA"/>
    <w:pPr>
      <w:suppressLineNumbers/>
      <w:spacing w:before="120" w:after="120"/>
    </w:pPr>
    <w:rPr>
      <w:rFonts w:cs="Tahoma"/>
      <w:i/>
      <w:iCs/>
      <w:lang w:val="uk-UA"/>
    </w:rPr>
  </w:style>
  <w:style w:type="paragraph" w:customStyle="1" w:styleId="111">
    <w:name w:val="Указатель11"/>
    <w:basedOn w:val="a"/>
    <w:rsid w:val="00D712AA"/>
    <w:pPr>
      <w:suppressLineNumbers/>
    </w:pPr>
    <w:rPr>
      <w:rFonts w:cs="Tahoma"/>
      <w:lang w:val="uk-UA"/>
    </w:rPr>
  </w:style>
  <w:style w:type="paragraph" w:customStyle="1" w:styleId="100">
    <w:name w:val="Название10"/>
    <w:basedOn w:val="a"/>
    <w:rsid w:val="00D712AA"/>
    <w:pPr>
      <w:suppressLineNumbers/>
      <w:spacing w:before="120" w:after="120"/>
    </w:pPr>
    <w:rPr>
      <w:rFonts w:cs="Tahoma"/>
      <w:i/>
      <w:iCs/>
      <w:lang w:val="uk-UA"/>
    </w:rPr>
  </w:style>
  <w:style w:type="paragraph" w:customStyle="1" w:styleId="101">
    <w:name w:val="Указатель10"/>
    <w:basedOn w:val="a"/>
    <w:rsid w:val="00D712AA"/>
    <w:pPr>
      <w:suppressLineNumbers/>
    </w:pPr>
    <w:rPr>
      <w:rFonts w:cs="Tahoma"/>
      <w:lang w:val="uk-UA"/>
    </w:rPr>
  </w:style>
  <w:style w:type="paragraph" w:customStyle="1" w:styleId="91">
    <w:name w:val="Название9"/>
    <w:basedOn w:val="a"/>
    <w:rsid w:val="00D712AA"/>
    <w:pPr>
      <w:suppressLineNumbers/>
      <w:spacing w:before="120" w:after="120"/>
    </w:pPr>
    <w:rPr>
      <w:rFonts w:cs="Tahoma"/>
      <w:i/>
      <w:iCs/>
      <w:lang w:val="uk-UA"/>
    </w:rPr>
  </w:style>
  <w:style w:type="paragraph" w:customStyle="1" w:styleId="92">
    <w:name w:val="Указатель9"/>
    <w:basedOn w:val="a"/>
    <w:rsid w:val="00D712AA"/>
    <w:pPr>
      <w:suppressLineNumbers/>
    </w:pPr>
    <w:rPr>
      <w:rFonts w:cs="Tahoma"/>
      <w:lang w:val="uk-UA"/>
    </w:rPr>
  </w:style>
  <w:style w:type="paragraph" w:customStyle="1" w:styleId="81">
    <w:name w:val="Название8"/>
    <w:basedOn w:val="a"/>
    <w:rsid w:val="00D712AA"/>
    <w:pPr>
      <w:suppressLineNumbers/>
      <w:spacing w:before="120" w:after="120"/>
    </w:pPr>
    <w:rPr>
      <w:rFonts w:cs="Tahoma"/>
      <w:i/>
      <w:iCs/>
      <w:lang w:val="uk-UA"/>
    </w:rPr>
  </w:style>
  <w:style w:type="paragraph" w:customStyle="1" w:styleId="82">
    <w:name w:val="Указатель8"/>
    <w:basedOn w:val="a"/>
    <w:rsid w:val="00D712AA"/>
    <w:pPr>
      <w:suppressLineNumbers/>
    </w:pPr>
    <w:rPr>
      <w:rFonts w:cs="Tahoma"/>
      <w:lang w:val="uk-UA"/>
    </w:rPr>
  </w:style>
  <w:style w:type="paragraph" w:customStyle="1" w:styleId="71">
    <w:name w:val="Название7"/>
    <w:basedOn w:val="a"/>
    <w:rsid w:val="00D712AA"/>
    <w:pPr>
      <w:suppressLineNumbers/>
      <w:spacing w:before="120" w:after="120"/>
    </w:pPr>
    <w:rPr>
      <w:rFonts w:cs="Tahoma"/>
      <w:i/>
      <w:iCs/>
      <w:lang w:val="uk-UA"/>
    </w:rPr>
  </w:style>
  <w:style w:type="paragraph" w:customStyle="1" w:styleId="72">
    <w:name w:val="Указатель7"/>
    <w:basedOn w:val="a"/>
    <w:rsid w:val="00D712AA"/>
    <w:pPr>
      <w:suppressLineNumbers/>
    </w:pPr>
    <w:rPr>
      <w:rFonts w:cs="Tahoma"/>
      <w:lang w:val="uk-UA"/>
    </w:rPr>
  </w:style>
  <w:style w:type="paragraph" w:customStyle="1" w:styleId="61">
    <w:name w:val="Название6"/>
    <w:basedOn w:val="a"/>
    <w:rsid w:val="00D712AA"/>
    <w:pPr>
      <w:suppressLineNumbers/>
      <w:spacing w:before="120" w:after="120"/>
    </w:pPr>
    <w:rPr>
      <w:rFonts w:cs="Tahoma"/>
      <w:i/>
      <w:iCs/>
      <w:lang w:val="uk-UA"/>
    </w:rPr>
  </w:style>
  <w:style w:type="paragraph" w:customStyle="1" w:styleId="62">
    <w:name w:val="Указатель6"/>
    <w:basedOn w:val="a"/>
    <w:rsid w:val="00D712AA"/>
    <w:pPr>
      <w:suppressLineNumbers/>
    </w:pPr>
    <w:rPr>
      <w:rFonts w:cs="Tahoma"/>
      <w:lang w:val="uk-UA"/>
    </w:rPr>
  </w:style>
  <w:style w:type="paragraph" w:customStyle="1" w:styleId="51">
    <w:name w:val="Название5"/>
    <w:basedOn w:val="a"/>
    <w:rsid w:val="00D712AA"/>
    <w:pPr>
      <w:suppressLineNumbers/>
      <w:spacing w:before="120" w:after="120"/>
    </w:pPr>
    <w:rPr>
      <w:rFonts w:cs="Tahoma"/>
      <w:i/>
      <w:iCs/>
      <w:lang w:val="uk-UA"/>
    </w:rPr>
  </w:style>
  <w:style w:type="paragraph" w:customStyle="1" w:styleId="52">
    <w:name w:val="Указатель5"/>
    <w:basedOn w:val="a"/>
    <w:rsid w:val="00D712AA"/>
    <w:pPr>
      <w:suppressLineNumbers/>
    </w:pPr>
    <w:rPr>
      <w:rFonts w:cs="Tahoma"/>
      <w:lang w:val="uk-UA"/>
    </w:rPr>
  </w:style>
  <w:style w:type="paragraph" w:customStyle="1" w:styleId="42">
    <w:name w:val="Название4"/>
    <w:basedOn w:val="a"/>
    <w:rsid w:val="00D712AA"/>
    <w:pPr>
      <w:suppressLineNumbers/>
      <w:spacing w:before="120" w:after="120"/>
    </w:pPr>
    <w:rPr>
      <w:rFonts w:cs="Tahoma"/>
      <w:i/>
      <w:iCs/>
      <w:lang w:val="uk-UA"/>
    </w:rPr>
  </w:style>
  <w:style w:type="paragraph" w:customStyle="1" w:styleId="43">
    <w:name w:val="Указатель4"/>
    <w:basedOn w:val="a"/>
    <w:rsid w:val="00D712AA"/>
    <w:pPr>
      <w:suppressLineNumbers/>
    </w:pPr>
    <w:rPr>
      <w:rFonts w:cs="Tahoma"/>
      <w:lang w:val="uk-UA"/>
    </w:rPr>
  </w:style>
  <w:style w:type="paragraph" w:customStyle="1" w:styleId="34">
    <w:name w:val="Название3"/>
    <w:basedOn w:val="a"/>
    <w:rsid w:val="00D712AA"/>
    <w:pPr>
      <w:suppressLineNumbers/>
      <w:spacing w:before="120" w:after="120"/>
    </w:pPr>
    <w:rPr>
      <w:rFonts w:cs="Tahoma"/>
      <w:i/>
      <w:iCs/>
      <w:lang w:val="uk-UA"/>
    </w:rPr>
  </w:style>
  <w:style w:type="paragraph" w:customStyle="1" w:styleId="35">
    <w:name w:val="Указатель3"/>
    <w:basedOn w:val="a"/>
    <w:rsid w:val="00D712AA"/>
    <w:pPr>
      <w:suppressLineNumbers/>
    </w:pPr>
    <w:rPr>
      <w:rFonts w:cs="Tahoma"/>
      <w:lang w:val="uk-UA"/>
    </w:rPr>
  </w:style>
  <w:style w:type="paragraph" w:customStyle="1" w:styleId="27">
    <w:name w:val="Название2"/>
    <w:basedOn w:val="a"/>
    <w:rsid w:val="00D712AA"/>
    <w:pPr>
      <w:suppressLineNumbers/>
      <w:spacing w:before="120" w:after="120"/>
    </w:pPr>
    <w:rPr>
      <w:rFonts w:cs="Tahoma"/>
      <w:i/>
      <w:iCs/>
      <w:lang w:val="uk-UA"/>
    </w:rPr>
  </w:style>
  <w:style w:type="paragraph" w:customStyle="1" w:styleId="28">
    <w:name w:val="Указатель2"/>
    <w:basedOn w:val="a"/>
    <w:rsid w:val="00D712AA"/>
    <w:pPr>
      <w:suppressLineNumbers/>
    </w:pPr>
    <w:rPr>
      <w:rFonts w:cs="Tahoma"/>
      <w:lang w:val="uk-UA"/>
    </w:rPr>
  </w:style>
  <w:style w:type="paragraph" w:customStyle="1" w:styleId="mystyle0">
    <w:name w:val="my_style0"/>
    <w:basedOn w:val="mystyle1"/>
    <w:rsid w:val="00D712AA"/>
    <w:pPr>
      <w:pageBreakBefore/>
    </w:pPr>
  </w:style>
  <w:style w:type="paragraph" w:styleId="1f">
    <w:name w:val="toc 1"/>
    <w:basedOn w:val="a"/>
    <w:next w:val="a"/>
    <w:rsid w:val="00D712AA"/>
    <w:pPr>
      <w:tabs>
        <w:tab w:val="right" w:leader="dot" w:pos="9640"/>
      </w:tabs>
      <w:spacing w:before="360"/>
    </w:pPr>
    <w:rPr>
      <w:b/>
      <w:caps/>
      <w:szCs w:val="20"/>
    </w:rPr>
  </w:style>
  <w:style w:type="paragraph" w:customStyle="1" w:styleId="211">
    <w:name w:val="Список 21"/>
    <w:basedOn w:val="a"/>
    <w:rsid w:val="00D712AA"/>
    <w:pPr>
      <w:ind w:left="566" w:hanging="283"/>
    </w:pPr>
    <w:rPr>
      <w:rFonts w:ascii="Pragmatica" w:hAnsi="Pragmatica"/>
      <w:szCs w:val="20"/>
    </w:rPr>
  </w:style>
  <w:style w:type="paragraph" w:customStyle="1" w:styleId="Normal-s">
    <w:name w:val="Normal-s"/>
    <w:basedOn w:val="a"/>
    <w:rsid w:val="00D712AA"/>
    <w:pPr>
      <w:keepNext/>
      <w:spacing w:before="60" w:after="120"/>
      <w:jc w:val="center"/>
    </w:pPr>
    <w:rPr>
      <w:b/>
      <w:szCs w:val="20"/>
    </w:rPr>
  </w:style>
  <w:style w:type="paragraph" w:customStyle="1" w:styleId="mystylen0">
    <w:name w:val="my_style_n_"/>
    <w:basedOn w:val="mystylen"/>
    <w:rsid w:val="00D712AA"/>
    <w:pPr>
      <w:tabs>
        <w:tab w:val="left" w:pos="-1843"/>
        <w:tab w:val="left" w:pos="-1701"/>
      </w:tabs>
      <w:jc w:val="right"/>
    </w:pPr>
    <w:rPr>
      <w:b/>
    </w:rPr>
  </w:style>
  <w:style w:type="paragraph" w:styleId="af4">
    <w:name w:val="header"/>
    <w:basedOn w:val="a"/>
    <w:rsid w:val="00D712AA"/>
    <w:pPr>
      <w:tabs>
        <w:tab w:val="center" w:pos="4703"/>
        <w:tab w:val="right" w:pos="9406"/>
      </w:tabs>
    </w:pPr>
    <w:rPr>
      <w:rFonts w:ascii="Pragmatica" w:hAnsi="Pragmatica"/>
      <w:szCs w:val="20"/>
    </w:rPr>
  </w:style>
  <w:style w:type="paragraph" w:customStyle="1" w:styleId="1f0">
    <w:name w:val="Название1"/>
    <w:basedOn w:val="a"/>
    <w:next w:val="af5"/>
    <w:qFormat/>
    <w:rsid w:val="00D712AA"/>
    <w:pPr>
      <w:jc w:val="center"/>
    </w:pPr>
    <w:rPr>
      <w:rFonts w:cs="Arial"/>
      <w:b/>
      <w:sz w:val="22"/>
      <w:szCs w:val="20"/>
      <w:lang w:val="uk-UA"/>
    </w:rPr>
  </w:style>
  <w:style w:type="paragraph" w:styleId="af5">
    <w:name w:val="Subtitle"/>
    <w:basedOn w:val="a"/>
    <w:next w:val="ab"/>
    <w:qFormat/>
    <w:rsid w:val="00D712AA"/>
    <w:pPr>
      <w:jc w:val="center"/>
    </w:pPr>
    <w:rPr>
      <w:rFonts w:cs="Arial"/>
      <w:b/>
      <w:szCs w:val="20"/>
      <w:lang w:val="uk-UA"/>
    </w:rPr>
  </w:style>
  <w:style w:type="paragraph" w:customStyle="1" w:styleId="xl25">
    <w:name w:val="xl25"/>
    <w:basedOn w:val="a"/>
    <w:rsid w:val="00D712AA"/>
    <w:pPr>
      <w:spacing w:before="280" w:after="280"/>
      <w:jc w:val="center"/>
    </w:pPr>
    <w:rPr>
      <w:sz w:val="18"/>
      <w:szCs w:val="18"/>
    </w:rPr>
  </w:style>
  <w:style w:type="paragraph" w:customStyle="1" w:styleId="36">
    <w:name w:val="заголовок 3"/>
    <w:basedOn w:val="a"/>
    <w:next w:val="a"/>
    <w:rsid w:val="00D712AA"/>
    <w:pPr>
      <w:keepNext/>
      <w:spacing w:before="240" w:after="60"/>
    </w:pPr>
    <w:rPr>
      <w:szCs w:val="20"/>
    </w:rPr>
  </w:style>
  <w:style w:type="paragraph" w:customStyle="1" w:styleId="xl32">
    <w:name w:val="xl32"/>
    <w:basedOn w:val="a"/>
    <w:rsid w:val="00D712AA"/>
    <w:pPr>
      <w:spacing w:before="280" w:after="280"/>
    </w:pPr>
    <w:rPr>
      <w:rFonts w:eastAsia="Arial Unicode MS" w:cs="Arial Unicode MS"/>
      <w:sz w:val="28"/>
      <w:szCs w:val="28"/>
    </w:rPr>
  </w:style>
  <w:style w:type="paragraph" w:styleId="af6">
    <w:name w:val="Balloon Text"/>
    <w:basedOn w:val="a"/>
    <w:rsid w:val="00D712AA"/>
    <w:rPr>
      <w:rFonts w:ascii="Tahoma" w:hAnsi="Tahoma" w:cs="Tahoma"/>
      <w:sz w:val="16"/>
      <w:szCs w:val="16"/>
    </w:rPr>
  </w:style>
  <w:style w:type="paragraph" w:customStyle="1" w:styleId="xl94">
    <w:name w:val="xl94"/>
    <w:basedOn w:val="a"/>
    <w:rsid w:val="00D712AA"/>
    <w:pPr>
      <w:pBdr>
        <w:top w:val="single" w:sz="4" w:space="0" w:color="000000"/>
        <w:left w:val="single" w:sz="4" w:space="0" w:color="000000"/>
      </w:pBdr>
      <w:spacing w:before="280" w:after="280"/>
      <w:textAlignment w:val="center"/>
    </w:pPr>
    <w:rPr>
      <w:b/>
      <w:bCs/>
    </w:rPr>
  </w:style>
  <w:style w:type="paragraph" w:customStyle="1" w:styleId="xl22">
    <w:name w:val="xl22"/>
    <w:basedOn w:val="a"/>
    <w:rsid w:val="00D712AA"/>
    <w:pPr>
      <w:spacing w:before="280" w:after="280"/>
      <w:textAlignment w:val="center"/>
    </w:pPr>
  </w:style>
  <w:style w:type="paragraph" w:customStyle="1" w:styleId="Iniiaiieoaeno2">
    <w:name w:val="Iniiaiie oaeno 2"/>
    <w:basedOn w:val="a"/>
    <w:rsid w:val="00D712AA"/>
    <w:pPr>
      <w:widowControl w:val="0"/>
      <w:overflowPunct w:val="0"/>
      <w:autoSpaceDE w:val="0"/>
      <w:textAlignment w:val="baseline"/>
    </w:pPr>
    <w:rPr>
      <w:szCs w:val="20"/>
    </w:rPr>
  </w:style>
  <w:style w:type="paragraph" w:customStyle="1" w:styleId="44">
    <w:name w:val="заголовок 4"/>
    <w:basedOn w:val="a"/>
    <w:next w:val="a"/>
    <w:rsid w:val="00D712AA"/>
    <w:pPr>
      <w:keepNext/>
    </w:pPr>
    <w:rPr>
      <w:b/>
      <w:szCs w:val="20"/>
    </w:rPr>
  </w:style>
  <w:style w:type="paragraph" w:customStyle="1" w:styleId="29">
    <w:name w:val="Маркированный список2"/>
    <w:basedOn w:val="a"/>
    <w:rsid w:val="00D712AA"/>
    <w:pPr>
      <w:autoSpaceDE w:val="0"/>
      <w:ind w:left="283" w:hanging="283"/>
    </w:pPr>
    <w:rPr>
      <w:lang w:val="uk-UA"/>
    </w:rPr>
  </w:style>
  <w:style w:type="paragraph" w:customStyle="1" w:styleId="1f1">
    <w:name w:val="Название1"/>
    <w:basedOn w:val="a"/>
    <w:rsid w:val="00D712AA"/>
    <w:pPr>
      <w:suppressLineNumbers/>
      <w:autoSpaceDE w:val="0"/>
      <w:spacing w:before="120" w:after="120"/>
    </w:pPr>
    <w:rPr>
      <w:rFonts w:cs="Tahoma"/>
      <w:i/>
      <w:iCs/>
      <w:lang w:val="uk-UA"/>
    </w:rPr>
  </w:style>
  <w:style w:type="paragraph" w:customStyle="1" w:styleId="1f2">
    <w:name w:val="Указатель1"/>
    <w:basedOn w:val="a"/>
    <w:rsid w:val="00D712AA"/>
    <w:pPr>
      <w:suppressLineNumbers/>
      <w:autoSpaceDE w:val="0"/>
    </w:pPr>
    <w:rPr>
      <w:rFonts w:cs="Tahoma"/>
      <w:lang w:val="uk-UA"/>
    </w:rPr>
  </w:style>
  <w:style w:type="paragraph" w:customStyle="1" w:styleId="1f3">
    <w:name w:val="Маркированный список1"/>
    <w:basedOn w:val="a"/>
    <w:rsid w:val="00D712AA"/>
    <w:pPr>
      <w:autoSpaceDE w:val="0"/>
      <w:ind w:left="283" w:hanging="283"/>
    </w:pPr>
    <w:rPr>
      <w:lang w:val="uk-UA"/>
    </w:rPr>
  </w:style>
  <w:style w:type="paragraph" w:customStyle="1" w:styleId="af7">
    <w:name w:val="Содержимое таблицы"/>
    <w:basedOn w:val="a"/>
    <w:rsid w:val="00D712AA"/>
    <w:pPr>
      <w:suppressLineNumbers/>
      <w:autoSpaceDE w:val="0"/>
    </w:pPr>
    <w:rPr>
      <w:lang w:val="uk-UA"/>
    </w:rPr>
  </w:style>
  <w:style w:type="paragraph" w:customStyle="1" w:styleId="af8">
    <w:name w:val="Заголовок таблицы"/>
    <w:basedOn w:val="af7"/>
    <w:rsid w:val="00D712AA"/>
    <w:pPr>
      <w:jc w:val="center"/>
    </w:pPr>
    <w:rPr>
      <w:b/>
      <w:bCs/>
    </w:rPr>
  </w:style>
  <w:style w:type="paragraph" w:customStyle="1" w:styleId="1f4">
    <w:name w:val="Текст1"/>
    <w:basedOn w:val="a"/>
    <w:rsid w:val="00D712AA"/>
    <w:rPr>
      <w:rFonts w:ascii="Courier New" w:hAnsi="Courier New"/>
      <w:szCs w:val="20"/>
    </w:rPr>
  </w:style>
  <w:style w:type="paragraph" w:customStyle="1" w:styleId="af9">
    <w:name w:val="Знак"/>
    <w:basedOn w:val="a"/>
    <w:rsid w:val="00D712AA"/>
    <w:pPr>
      <w:spacing w:after="160" w:line="240" w:lineRule="exact"/>
    </w:pPr>
    <w:rPr>
      <w:rFonts w:ascii="Verdana" w:eastAsia="Batang" w:hAnsi="Verdana"/>
      <w:szCs w:val="20"/>
      <w:lang w:val="en-US"/>
    </w:rPr>
  </w:style>
  <w:style w:type="paragraph" w:customStyle="1" w:styleId="1f5">
    <w:name w:val="Обычный1"/>
    <w:rsid w:val="00D712AA"/>
    <w:pPr>
      <w:widowControl w:val="0"/>
      <w:suppressAutoHyphens/>
    </w:pPr>
    <w:rPr>
      <w:rFonts w:eastAsia="Arial"/>
      <w:lang w:val="ru-RU" w:eastAsia="ar-SA"/>
    </w:rPr>
  </w:style>
  <w:style w:type="paragraph" w:customStyle="1" w:styleId="FR1">
    <w:name w:val="FR1"/>
    <w:rsid w:val="00D712AA"/>
    <w:pPr>
      <w:widowControl w:val="0"/>
      <w:suppressAutoHyphens/>
    </w:pPr>
    <w:rPr>
      <w:rFonts w:ascii="Arial" w:eastAsia="Arial" w:hAnsi="Arial"/>
      <w:sz w:val="24"/>
      <w:lang w:val="ru-RU" w:eastAsia="ar-SA"/>
    </w:rPr>
  </w:style>
  <w:style w:type="paragraph" w:customStyle="1" w:styleId="112">
    <w:name w:val="Заголовок 11"/>
    <w:basedOn w:val="a"/>
    <w:next w:val="a"/>
    <w:rsid w:val="00D712AA"/>
    <w:pPr>
      <w:keepNext/>
      <w:tabs>
        <w:tab w:val="left" w:pos="0"/>
      </w:tabs>
      <w:spacing w:line="200" w:lineRule="atLeast"/>
      <w:ind w:left="561" w:firstLine="0"/>
      <w:jc w:val="center"/>
    </w:pPr>
    <w:rPr>
      <w:b/>
      <w:bCs/>
      <w:lang w:val="uk-UA"/>
    </w:rPr>
  </w:style>
  <w:style w:type="paragraph" w:customStyle="1" w:styleId="340">
    <w:name w:val="Основной текст с отступом 34"/>
    <w:basedOn w:val="a"/>
    <w:rsid w:val="00D712AA"/>
    <w:pPr>
      <w:spacing w:line="200" w:lineRule="atLeast"/>
      <w:ind w:left="993" w:hanging="426"/>
    </w:pPr>
    <w:rPr>
      <w:lang w:val="uk-UA"/>
    </w:rPr>
  </w:style>
  <w:style w:type="paragraph" w:customStyle="1" w:styleId="212">
    <w:name w:val="Заголовок 21"/>
    <w:basedOn w:val="a"/>
    <w:next w:val="a"/>
    <w:rsid w:val="00D712AA"/>
    <w:pPr>
      <w:keepNext/>
      <w:tabs>
        <w:tab w:val="left" w:pos="0"/>
      </w:tabs>
      <w:spacing w:line="200" w:lineRule="atLeast"/>
      <w:jc w:val="center"/>
    </w:pPr>
    <w:rPr>
      <w:b/>
      <w:bCs/>
      <w:lang w:val="uk-UA"/>
    </w:rPr>
  </w:style>
  <w:style w:type="paragraph" w:customStyle="1" w:styleId="1f6">
    <w:name w:val="Основной текст1"/>
    <w:basedOn w:val="a"/>
    <w:rsid w:val="00D712AA"/>
    <w:pPr>
      <w:jc w:val="center"/>
    </w:pPr>
    <w:rPr>
      <w:rFonts w:eastAsia="Arial"/>
      <w:i/>
      <w:szCs w:val="20"/>
    </w:rPr>
  </w:style>
  <w:style w:type="paragraph" w:customStyle="1" w:styleId="141">
    <w:name w:val="Название14"/>
    <w:basedOn w:val="a"/>
    <w:rsid w:val="00D712AA"/>
    <w:pPr>
      <w:suppressLineNumbers/>
      <w:spacing w:before="120" w:after="120"/>
    </w:pPr>
    <w:rPr>
      <w:rFonts w:cs="Tahoma"/>
      <w:i/>
      <w:iCs/>
      <w:lang w:val="uk-UA"/>
    </w:rPr>
  </w:style>
  <w:style w:type="paragraph" w:customStyle="1" w:styleId="142">
    <w:name w:val="Указатель14"/>
    <w:basedOn w:val="a"/>
    <w:rsid w:val="00D712AA"/>
    <w:pPr>
      <w:suppressLineNumbers/>
    </w:pPr>
    <w:rPr>
      <w:rFonts w:cs="Tahoma"/>
      <w:lang w:val="uk-UA"/>
    </w:rPr>
  </w:style>
  <w:style w:type="paragraph" w:customStyle="1" w:styleId="2a">
    <w:name w:val="Обычный2"/>
    <w:rsid w:val="00D712AA"/>
    <w:pPr>
      <w:suppressAutoHyphens/>
    </w:pPr>
    <w:rPr>
      <w:rFonts w:eastAsia="Arial"/>
      <w:lang w:val="ru-RU" w:eastAsia="ar-SA"/>
    </w:rPr>
  </w:style>
  <w:style w:type="paragraph" w:customStyle="1" w:styleId="WW-">
    <w:name w:val="WW-Основной текст"/>
    <w:basedOn w:val="2a"/>
    <w:rsid w:val="00D712AA"/>
    <w:pPr>
      <w:jc w:val="center"/>
    </w:pPr>
    <w:rPr>
      <w:i/>
      <w:sz w:val="24"/>
    </w:rPr>
  </w:style>
  <w:style w:type="paragraph" w:customStyle="1" w:styleId="WW-0">
    <w:name w:val="WW-Основной текст с отступом"/>
    <w:basedOn w:val="a"/>
    <w:rsid w:val="00D712AA"/>
    <w:pPr>
      <w:ind w:left="780" w:firstLine="0"/>
    </w:pPr>
    <w:rPr>
      <w:rFonts w:ascii="Tms Rmn" w:hAnsi="Tms Rmn"/>
      <w:lang w:val="uk-UA"/>
    </w:rPr>
  </w:style>
  <w:style w:type="paragraph" w:customStyle="1" w:styleId="330">
    <w:name w:val="Основной текст с отступом 33"/>
    <w:basedOn w:val="a"/>
    <w:rsid w:val="00D712AA"/>
    <w:pPr>
      <w:spacing w:line="200" w:lineRule="atLeast"/>
      <w:ind w:left="993" w:hanging="426"/>
    </w:pPr>
    <w:rPr>
      <w:lang w:val="uk-UA"/>
    </w:rPr>
  </w:style>
  <w:style w:type="paragraph" w:customStyle="1" w:styleId="1f7">
    <w:name w:val="Знак Знак Знак1 Знак"/>
    <w:basedOn w:val="a"/>
    <w:rsid w:val="00D712AA"/>
    <w:pPr>
      <w:spacing w:after="160" w:line="240" w:lineRule="exact"/>
    </w:pPr>
    <w:rPr>
      <w:rFonts w:ascii="Verdana" w:eastAsia="Batang" w:hAnsi="Verdana"/>
      <w:szCs w:val="20"/>
      <w:lang w:val="en-US"/>
    </w:rPr>
  </w:style>
  <w:style w:type="paragraph" w:customStyle="1" w:styleId="western">
    <w:name w:val="western"/>
    <w:basedOn w:val="a"/>
    <w:rsid w:val="00D712AA"/>
    <w:pPr>
      <w:spacing w:before="280" w:after="280"/>
      <w:jc w:val="center"/>
    </w:pPr>
    <w:rPr>
      <w:b/>
      <w:bCs/>
    </w:rPr>
  </w:style>
  <w:style w:type="paragraph" w:customStyle="1" w:styleId="WW-1">
    <w:name w:val="WW-Основной текст1"/>
    <w:basedOn w:val="2a"/>
    <w:rsid w:val="00D712AA"/>
    <w:pPr>
      <w:jc w:val="center"/>
    </w:pPr>
    <w:rPr>
      <w:i/>
      <w:sz w:val="24"/>
    </w:rPr>
  </w:style>
  <w:style w:type="paragraph" w:customStyle="1" w:styleId="WW-NormalWeb">
    <w:name w:val="WW-Normal (Web)"/>
    <w:basedOn w:val="a"/>
    <w:rsid w:val="00D712AA"/>
    <w:rPr>
      <w:szCs w:val="20"/>
    </w:rPr>
  </w:style>
  <w:style w:type="paragraph" w:customStyle="1" w:styleId="rvps2">
    <w:name w:val="rvps2"/>
    <w:basedOn w:val="a"/>
    <w:rsid w:val="00A06EA4"/>
    <w:pPr>
      <w:suppressAutoHyphens w:val="0"/>
      <w:spacing w:before="100" w:beforeAutospacing="1" w:after="100" w:afterAutospacing="1"/>
    </w:pPr>
    <w:rPr>
      <w:lang w:val="uk-UA" w:eastAsia="ru-RU"/>
    </w:rPr>
  </w:style>
  <w:style w:type="character" w:customStyle="1" w:styleId="rvts23">
    <w:name w:val="rvts23"/>
    <w:basedOn w:val="a0"/>
    <w:rsid w:val="00C61558"/>
  </w:style>
  <w:style w:type="paragraph" w:customStyle="1" w:styleId="1f8">
    <w:name w:val="Знак Знак Знак Знак Знак Знак Знак Знак Знак Знак Знак Знак Знак Знак Знак1 Знак Знак Знак Знак Знак Знак Знак"/>
    <w:basedOn w:val="a"/>
    <w:rsid w:val="00CF1949"/>
    <w:pPr>
      <w:suppressAutoHyphens w:val="0"/>
      <w:spacing w:after="160" w:line="240" w:lineRule="exact"/>
    </w:pPr>
    <w:rPr>
      <w:rFonts w:ascii="Verdana" w:eastAsia="Batang" w:hAnsi="Verdana"/>
      <w:szCs w:val="20"/>
      <w:lang w:val="en-US" w:eastAsia="en-US"/>
    </w:rPr>
  </w:style>
  <w:style w:type="paragraph" w:customStyle="1" w:styleId="Default">
    <w:name w:val="Default"/>
    <w:basedOn w:val="a"/>
    <w:rsid w:val="00CF1949"/>
    <w:pPr>
      <w:suppressAutoHyphens w:val="0"/>
      <w:autoSpaceDE w:val="0"/>
      <w:autoSpaceDN w:val="0"/>
    </w:pPr>
    <w:rPr>
      <w:rFonts w:ascii="Tahoma" w:eastAsia="Calibri" w:hAnsi="Tahoma" w:cs="Tahoma"/>
      <w:color w:val="000000"/>
      <w:lang w:val="uk-UA" w:eastAsia="uk-UA"/>
    </w:rPr>
  </w:style>
  <w:style w:type="paragraph" w:styleId="afa">
    <w:name w:val="Plain Text"/>
    <w:basedOn w:val="a"/>
    <w:link w:val="afb"/>
    <w:rsid w:val="00CF1949"/>
    <w:pPr>
      <w:suppressAutoHyphens w:val="0"/>
      <w:autoSpaceDE w:val="0"/>
      <w:autoSpaceDN w:val="0"/>
    </w:pPr>
    <w:rPr>
      <w:szCs w:val="20"/>
      <w:lang w:val="uk-UA" w:eastAsia="ru-RU"/>
    </w:rPr>
  </w:style>
  <w:style w:type="character" w:customStyle="1" w:styleId="afb">
    <w:name w:val="Текст Знак"/>
    <w:link w:val="afa"/>
    <w:rsid w:val="00CF1949"/>
    <w:rPr>
      <w:lang w:val="uk-UA" w:eastAsia="ru-RU" w:bidi="ar-SA"/>
    </w:rPr>
  </w:style>
  <w:style w:type="character" w:customStyle="1" w:styleId="go">
    <w:name w:val="go"/>
    <w:basedOn w:val="a0"/>
    <w:rsid w:val="00CF1949"/>
  </w:style>
  <w:style w:type="character" w:customStyle="1" w:styleId="gi">
    <w:name w:val="gi"/>
    <w:basedOn w:val="a0"/>
    <w:rsid w:val="00CF1949"/>
  </w:style>
  <w:style w:type="character" w:customStyle="1" w:styleId="apple-converted-space">
    <w:name w:val="apple-converted-space"/>
    <w:basedOn w:val="a0"/>
    <w:rsid w:val="00AF7B3B"/>
  </w:style>
  <w:style w:type="paragraph" w:styleId="afc">
    <w:name w:val="footnote text"/>
    <w:basedOn w:val="a"/>
    <w:link w:val="afd"/>
    <w:rsid w:val="00617681"/>
    <w:rPr>
      <w:szCs w:val="20"/>
    </w:rPr>
  </w:style>
  <w:style w:type="character" w:customStyle="1" w:styleId="afd">
    <w:name w:val="Текст сноски Знак"/>
    <w:link w:val="afc"/>
    <w:rsid w:val="00617681"/>
    <w:rPr>
      <w:lang w:val="ru-RU" w:eastAsia="ar-SA"/>
    </w:rPr>
  </w:style>
  <w:style w:type="character" w:styleId="afe">
    <w:name w:val="footnote reference"/>
    <w:rsid w:val="00617681"/>
    <w:rPr>
      <w:vertAlign w:val="superscript"/>
    </w:rPr>
  </w:style>
  <w:style w:type="character" w:styleId="aff">
    <w:name w:val="annotation reference"/>
    <w:rsid w:val="00C10D89"/>
    <w:rPr>
      <w:sz w:val="16"/>
      <w:szCs w:val="16"/>
    </w:rPr>
  </w:style>
  <w:style w:type="paragraph" w:styleId="aff0">
    <w:name w:val="annotation text"/>
    <w:basedOn w:val="a"/>
    <w:link w:val="aff1"/>
    <w:rsid w:val="00C10D89"/>
    <w:rPr>
      <w:szCs w:val="20"/>
    </w:rPr>
  </w:style>
  <w:style w:type="character" w:customStyle="1" w:styleId="aff1">
    <w:name w:val="Текст примечания Знак"/>
    <w:link w:val="aff0"/>
    <w:rsid w:val="00C10D89"/>
    <w:rPr>
      <w:lang w:val="ru-RU" w:eastAsia="ar-SA"/>
    </w:rPr>
  </w:style>
  <w:style w:type="paragraph" w:styleId="aff2">
    <w:name w:val="annotation subject"/>
    <w:basedOn w:val="aff0"/>
    <w:next w:val="aff0"/>
    <w:link w:val="aff3"/>
    <w:rsid w:val="00C10D89"/>
    <w:rPr>
      <w:b/>
      <w:bCs/>
    </w:rPr>
  </w:style>
  <w:style w:type="character" w:customStyle="1" w:styleId="aff3">
    <w:name w:val="Тема примечания Знак"/>
    <w:link w:val="aff2"/>
    <w:rsid w:val="00C10D89"/>
    <w:rPr>
      <w:b/>
      <w:bCs/>
      <w:lang w:val="ru-RU" w:eastAsia="ar-SA"/>
    </w:rPr>
  </w:style>
  <w:style w:type="character" w:customStyle="1" w:styleId="rvts44">
    <w:name w:val="rvts44"/>
    <w:rsid w:val="00236E02"/>
  </w:style>
  <w:style w:type="character" w:customStyle="1" w:styleId="HTML0">
    <w:name w:val="Стандартный HTML Знак"/>
    <w:link w:val="HTML"/>
    <w:uiPriority w:val="99"/>
    <w:rsid w:val="00EE51D3"/>
    <w:rPr>
      <w:rFonts w:ascii="Courier New" w:hAnsi="Courier New" w:cs="Courier New"/>
      <w:lang w:val="ru-RU" w:eastAsia="ar-SA"/>
    </w:rPr>
  </w:style>
  <w:style w:type="character" w:customStyle="1" w:styleId="rvts9">
    <w:name w:val="rvts9"/>
    <w:rsid w:val="00BB46AE"/>
  </w:style>
  <w:style w:type="paragraph" w:styleId="aff4">
    <w:name w:val="Revision"/>
    <w:hidden/>
    <w:uiPriority w:val="99"/>
    <w:semiHidden/>
    <w:rsid w:val="003A7D40"/>
    <w:rPr>
      <w:sz w:val="24"/>
      <w:szCs w:val="24"/>
      <w:lang w:val="ru-RU" w:eastAsia="ar-SA"/>
    </w:rPr>
  </w:style>
  <w:style w:type="paragraph" w:styleId="aff5">
    <w:name w:val="List Paragraph"/>
    <w:basedOn w:val="a"/>
    <w:uiPriority w:val="34"/>
    <w:qFormat/>
    <w:rsid w:val="00C60D12"/>
    <w:pPr>
      <w:ind w:left="720"/>
      <w:contextualSpacing/>
    </w:pPr>
  </w:style>
  <w:style w:type="paragraph" w:customStyle="1" w:styleId="2b">
    <w:name w:val="Заголовок2"/>
    <w:basedOn w:val="a"/>
    <w:next w:val="ab"/>
    <w:rsid w:val="009A7EA8"/>
    <w:pPr>
      <w:keepNext/>
      <w:widowControl w:val="0"/>
      <w:spacing w:before="240" w:after="120"/>
      <w:ind w:firstLine="0"/>
      <w:jc w:val="left"/>
    </w:pPr>
    <w:rPr>
      <w:rFonts w:eastAsia="Lucida Sans Unicode" w:cs="Tahoma"/>
      <w:kern w:val="1"/>
      <w:sz w:val="28"/>
      <w:szCs w:val="28"/>
      <w:lang w:val="uk-UA" w:eastAsia="hi-IN" w:bidi="hi-IN"/>
    </w:rPr>
  </w:style>
  <w:style w:type="paragraph" w:customStyle="1" w:styleId="37">
    <w:name w:val="Обычный (веб)3"/>
    <w:basedOn w:val="a"/>
    <w:rsid w:val="009A7EA8"/>
    <w:pPr>
      <w:ind w:firstLine="0"/>
      <w:jc w:val="left"/>
    </w:pPr>
    <w:rPr>
      <w:rFonts w:ascii="Times New Roman" w:hAnsi="Times New Roman"/>
      <w:szCs w:val="20"/>
    </w:rPr>
  </w:style>
  <w:style w:type="paragraph" w:customStyle="1" w:styleId="aff6">
    <w:name w:val="Знак"/>
    <w:basedOn w:val="a"/>
    <w:rsid w:val="009A7EA8"/>
    <w:pPr>
      <w:spacing w:after="160" w:line="240" w:lineRule="exact"/>
      <w:ind w:firstLine="0"/>
    </w:pPr>
    <w:rPr>
      <w:rFonts w:ascii="Verdana" w:eastAsia="Batang" w:hAnsi="Verdana"/>
      <w:szCs w:val="20"/>
      <w:lang w:val="en-US"/>
    </w:rPr>
  </w:style>
  <w:style w:type="paragraph" w:customStyle="1" w:styleId="122">
    <w:name w:val="Заголовок 12"/>
    <w:basedOn w:val="a"/>
    <w:next w:val="a"/>
    <w:rsid w:val="009A7EA8"/>
    <w:pPr>
      <w:keepNext/>
      <w:tabs>
        <w:tab w:val="left" w:pos="0"/>
      </w:tabs>
      <w:spacing w:line="200" w:lineRule="atLeast"/>
      <w:ind w:left="561" w:firstLine="0"/>
      <w:jc w:val="center"/>
    </w:pPr>
    <w:rPr>
      <w:rFonts w:ascii="Times New Roman" w:hAnsi="Times New Roman"/>
      <w:b/>
      <w:bCs/>
      <w:sz w:val="24"/>
      <w:lang w:val="uk-UA"/>
    </w:rPr>
  </w:style>
  <w:style w:type="paragraph" w:customStyle="1" w:styleId="220">
    <w:name w:val="Заголовок 22"/>
    <w:basedOn w:val="a"/>
    <w:next w:val="a"/>
    <w:rsid w:val="009A7EA8"/>
    <w:pPr>
      <w:keepNext/>
      <w:tabs>
        <w:tab w:val="left" w:pos="0"/>
      </w:tabs>
      <w:spacing w:line="200" w:lineRule="atLeast"/>
      <w:ind w:firstLine="0"/>
      <w:jc w:val="center"/>
    </w:pPr>
    <w:rPr>
      <w:rFonts w:ascii="Times New Roman" w:hAnsi="Times New Roman"/>
      <w:b/>
      <w:bCs/>
      <w:sz w:val="24"/>
      <w:lang w:val="uk-UA"/>
    </w:rPr>
  </w:style>
  <w:style w:type="paragraph" w:customStyle="1" w:styleId="2c">
    <w:name w:val="Основной текст2"/>
    <w:basedOn w:val="a"/>
    <w:rsid w:val="009A7EA8"/>
    <w:pPr>
      <w:ind w:firstLine="0"/>
      <w:jc w:val="center"/>
    </w:pPr>
    <w:rPr>
      <w:rFonts w:ascii="Times New Roman" w:eastAsia="Arial" w:hAnsi="Times New Roman"/>
      <w:i/>
      <w:sz w:val="24"/>
      <w:szCs w:val="20"/>
    </w:rPr>
  </w:style>
  <w:style w:type="paragraph" w:customStyle="1" w:styleId="1f9">
    <w:name w:val="Знак Знак Знак1 Знак"/>
    <w:basedOn w:val="a"/>
    <w:rsid w:val="009A7EA8"/>
    <w:pPr>
      <w:spacing w:after="160" w:line="240" w:lineRule="exact"/>
      <w:ind w:firstLine="0"/>
    </w:pPr>
    <w:rPr>
      <w:rFonts w:ascii="Verdana" w:eastAsia="Batang" w:hAnsi="Verdana"/>
      <w:szCs w:val="20"/>
      <w:lang w:val="en-US"/>
    </w:rPr>
  </w:style>
  <w:style w:type="paragraph" w:customStyle="1" w:styleId="1fa">
    <w:name w:val="Знак Знак Знак Знак Знак Знак Знак Знак Знак Знак Знак Знак Знак Знак Знак1 Знак Знак Знак Знак Знак Знак Знак"/>
    <w:basedOn w:val="a"/>
    <w:rsid w:val="009A7EA8"/>
    <w:pPr>
      <w:suppressAutoHyphens w:val="0"/>
      <w:spacing w:after="160" w:line="240" w:lineRule="exact"/>
      <w:ind w:firstLine="0"/>
    </w:pPr>
    <w:rPr>
      <w:rFonts w:ascii="Verdana" w:eastAsia="Batang" w:hAnsi="Verdana"/>
      <w:szCs w:val="20"/>
      <w:lang w:val="en-US" w:eastAsia="en-US"/>
    </w:rPr>
  </w:style>
  <w:style w:type="character" w:customStyle="1" w:styleId="40">
    <w:name w:val="Заголовок 4 Знак"/>
    <w:link w:val="4"/>
    <w:uiPriority w:val="99"/>
    <w:rsid w:val="006B243B"/>
    <w:rPr>
      <w:rFonts w:ascii="Arial" w:hAnsi="Arial"/>
      <w:b/>
      <w:sz w:val="22"/>
      <w:lang w:eastAsia="ar-SA"/>
    </w:rPr>
  </w:style>
  <w:style w:type="character" w:customStyle="1" w:styleId="HTML1">
    <w:name w:val="Стандартный HTML Знак1"/>
    <w:uiPriority w:val="99"/>
    <w:locked/>
    <w:rsid w:val="00D2537D"/>
    <w:rPr>
      <w:rFonts w:ascii="Courier New" w:hAnsi="Courier New" w:cs="Courier New"/>
      <w:lang w:val="ru-RU" w:eastAsia="ar-SA"/>
    </w:rPr>
  </w:style>
  <w:style w:type="paragraph" w:customStyle="1" w:styleId="38">
    <w:name w:val="Заголовок3"/>
    <w:basedOn w:val="a"/>
    <w:next w:val="ab"/>
    <w:rsid w:val="005745AF"/>
    <w:pPr>
      <w:keepNext/>
      <w:widowControl w:val="0"/>
      <w:spacing w:before="240" w:after="120"/>
      <w:ind w:firstLine="0"/>
      <w:jc w:val="left"/>
    </w:pPr>
    <w:rPr>
      <w:rFonts w:eastAsia="Lucida Sans Unicode" w:cs="Tahoma"/>
      <w:kern w:val="1"/>
      <w:sz w:val="28"/>
      <w:szCs w:val="28"/>
      <w:lang w:val="uk-UA" w:eastAsia="hi-IN" w:bidi="hi-IN"/>
    </w:rPr>
  </w:style>
  <w:style w:type="paragraph" w:customStyle="1" w:styleId="45">
    <w:name w:val="Заголовок4"/>
    <w:basedOn w:val="a"/>
    <w:next w:val="ab"/>
    <w:rsid w:val="007974E8"/>
    <w:pPr>
      <w:keepNext/>
      <w:widowControl w:val="0"/>
      <w:spacing w:before="240" w:after="120"/>
      <w:ind w:firstLine="0"/>
      <w:jc w:val="left"/>
    </w:pPr>
    <w:rPr>
      <w:rFonts w:eastAsia="Lucida Sans Unicode" w:cs="Tahoma"/>
      <w:kern w:val="1"/>
      <w:sz w:val="28"/>
      <w:szCs w:val="28"/>
      <w:lang w:val="uk-UA" w:eastAsia="hi-IN" w:bidi="hi-IN"/>
    </w:rPr>
  </w:style>
  <w:style w:type="paragraph" w:customStyle="1" w:styleId="46">
    <w:name w:val="Обычный (веб)4"/>
    <w:basedOn w:val="a"/>
    <w:rsid w:val="007974E8"/>
    <w:pPr>
      <w:ind w:firstLine="0"/>
      <w:jc w:val="left"/>
    </w:pPr>
    <w:rPr>
      <w:rFonts w:ascii="Times New Roman" w:hAnsi="Times New Roman"/>
      <w:szCs w:val="20"/>
    </w:rPr>
  </w:style>
  <w:style w:type="paragraph" w:customStyle="1" w:styleId="aff7">
    <w:name w:val="Знак"/>
    <w:basedOn w:val="a"/>
    <w:rsid w:val="007974E8"/>
    <w:pPr>
      <w:spacing w:after="160" w:line="240" w:lineRule="exact"/>
      <w:ind w:firstLine="0"/>
    </w:pPr>
    <w:rPr>
      <w:rFonts w:ascii="Verdana" w:eastAsia="Batang" w:hAnsi="Verdana"/>
      <w:szCs w:val="20"/>
      <w:lang w:val="en-US"/>
    </w:rPr>
  </w:style>
  <w:style w:type="paragraph" w:customStyle="1" w:styleId="132">
    <w:name w:val="Заголовок 13"/>
    <w:basedOn w:val="a"/>
    <w:next w:val="a"/>
    <w:rsid w:val="007974E8"/>
    <w:pPr>
      <w:keepNext/>
      <w:tabs>
        <w:tab w:val="left" w:pos="0"/>
      </w:tabs>
      <w:spacing w:line="200" w:lineRule="atLeast"/>
      <w:ind w:left="561" w:firstLine="0"/>
      <w:jc w:val="center"/>
    </w:pPr>
    <w:rPr>
      <w:rFonts w:ascii="Times New Roman" w:hAnsi="Times New Roman"/>
      <w:b/>
      <w:bCs/>
      <w:sz w:val="24"/>
      <w:lang w:val="uk-UA"/>
    </w:rPr>
  </w:style>
  <w:style w:type="paragraph" w:customStyle="1" w:styleId="230">
    <w:name w:val="Заголовок 23"/>
    <w:basedOn w:val="a"/>
    <w:next w:val="a"/>
    <w:rsid w:val="007974E8"/>
    <w:pPr>
      <w:keepNext/>
      <w:tabs>
        <w:tab w:val="left" w:pos="0"/>
      </w:tabs>
      <w:spacing w:line="200" w:lineRule="atLeast"/>
      <w:ind w:firstLine="0"/>
      <w:jc w:val="center"/>
    </w:pPr>
    <w:rPr>
      <w:rFonts w:ascii="Times New Roman" w:hAnsi="Times New Roman"/>
      <w:b/>
      <w:bCs/>
      <w:sz w:val="24"/>
      <w:lang w:val="uk-UA"/>
    </w:rPr>
  </w:style>
  <w:style w:type="paragraph" w:customStyle="1" w:styleId="39">
    <w:name w:val="Основной текст3"/>
    <w:basedOn w:val="a"/>
    <w:rsid w:val="007974E8"/>
    <w:pPr>
      <w:ind w:firstLine="0"/>
      <w:jc w:val="center"/>
    </w:pPr>
    <w:rPr>
      <w:rFonts w:ascii="Times New Roman" w:eastAsia="Arial" w:hAnsi="Times New Roman"/>
      <w:i/>
      <w:sz w:val="24"/>
      <w:szCs w:val="20"/>
    </w:rPr>
  </w:style>
  <w:style w:type="paragraph" w:customStyle="1" w:styleId="1fb">
    <w:name w:val="Знак Знак Знак1 Знак"/>
    <w:basedOn w:val="a"/>
    <w:rsid w:val="007974E8"/>
    <w:pPr>
      <w:spacing w:after="160" w:line="240" w:lineRule="exact"/>
      <w:ind w:firstLine="0"/>
    </w:pPr>
    <w:rPr>
      <w:rFonts w:ascii="Verdana" w:eastAsia="Batang" w:hAnsi="Verdana"/>
      <w:szCs w:val="20"/>
      <w:lang w:val="en-US"/>
    </w:rPr>
  </w:style>
  <w:style w:type="paragraph" w:customStyle="1" w:styleId="1fc">
    <w:name w:val="Знак Знак Знак Знак Знак Знак Знак Знак Знак Знак Знак Знак Знак Знак Знак1 Знак Знак Знак Знак Знак Знак Знак"/>
    <w:basedOn w:val="a"/>
    <w:rsid w:val="007974E8"/>
    <w:pPr>
      <w:suppressAutoHyphens w:val="0"/>
      <w:spacing w:after="160" w:line="240" w:lineRule="exact"/>
      <w:ind w:firstLine="0"/>
    </w:pPr>
    <w:rPr>
      <w:rFonts w:ascii="Verdana" w:eastAsia="Batang" w:hAnsi="Verdana"/>
      <w:szCs w:val="20"/>
      <w:lang w:val="en-US" w:eastAsia="en-US"/>
    </w:rPr>
  </w:style>
  <w:style w:type="paragraph" w:styleId="3a">
    <w:name w:val="Body Text Indent 3"/>
    <w:basedOn w:val="a"/>
    <w:link w:val="3b"/>
    <w:rsid w:val="00493A17"/>
    <w:pPr>
      <w:suppressAutoHyphens w:val="0"/>
      <w:spacing w:after="120"/>
      <w:ind w:left="283" w:firstLine="0"/>
      <w:jc w:val="left"/>
    </w:pPr>
    <w:rPr>
      <w:rFonts w:ascii="Times New Roman" w:hAnsi="Times New Roman"/>
      <w:sz w:val="16"/>
      <w:szCs w:val="16"/>
      <w:lang w:eastAsia="ru-RU"/>
    </w:rPr>
  </w:style>
  <w:style w:type="character" w:customStyle="1" w:styleId="3b">
    <w:name w:val="Основной текст с отступом 3 Знак"/>
    <w:basedOn w:val="a0"/>
    <w:link w:val="3a"/>
    <w:rsid w:val="00493A17"/>
    <w:rPr>
      <w:sz w:val="16"/>
      <w:szCs w:val="16"/>
      <w:lang w:val="ru-RU" w:eastAsia="ru-RU"/>
    </w:rPr>
  </w:style>
  <w:style w:type="table" w:styleId="aff8">
    <w:name w:val="Table Grid"/>
    <w:basedOn w:val="a1"/>
    <w:rsid w:val="00B859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Основной текст Знак"/>
    <w:basedOn w:val="a0"/>
    <w:link w:val="ab"/>
    <w:rsid w:val="003516B6"/>
    <w:rPr>
      <w:rFonts w:ascii="Arial" w:hAnsi="Arial"/>
      <w:b/>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720434">
      <w:bodyDiv w:val="1"/>
      <w:marLeft w:val="0"/>
      <w:marRight w:val="0"/>
      <w:marTop w:val="0"/>
      <w:marBottom w:val="0"/>
      <w:divBdr>
        <w:top w:val="none" w:sz="0" w:space="0" w:color="auto"/>
        <w:left w:val="none" w:sz="0" w:space="0" w:color="auto"/>
        <w:bottom w:val="none" w:sz="0" w:space="0" w:color="auto"/>
        <w:right w:val="none" w:sz="0" w:space="0" w:color="auto"/>
      </w:divBdr>
    </w:div>
    <w:div w:id="118575357">
      <w:bodyDiv w:val="1"/>
      <w:marLeft w:val="0"/>
      <w:marRight w:val="0"/>
      <w:marTop w:val="0"/>
      <w:marBottom w:val="0"/>
      <w:divBdr>
        <w:top w:val="none" w:sz="0" w:space="0" w:color="auto"/>
        <w:left w:val="none" w:sz="0" w:space="0" w:color="auto"/>
        <w:bottom w:val="none" w:sz="0" w:space="0" w:color="auto"/>
        <w:right w:val="none" w:sz="0" w:space="0" w:color="auto"/>
      </w:divBdr>
      <w:divsChild>
        <w:div w:id="2113083414">
          <w:marLeft w:val="0"/>
          <w:marRight w:val="0"/>
          <w:marTop w:val="0"/>
          <w:marBottom w:val="0"/>
          <w:divBdr>
            <w:top w:val="none" w:sz="0" w:space="0" w:color="auto"/>
            <w:left w:val="none" w:sz="0" w:space="0" w:color="auto"/>
            <w:bottom w:val="none" w:sz="0" w:space="0" w:color="auto"/>
            <w:right w:val="none" w:sz="0" w:space="0" w:color="auto"/>
          </w:divBdr>
        </w:div>
      </w:divsChild>
    </w:div>
    <w:div w:id="159082002">
      <w:bodyDiv w:val="1"/>
      <w:marLeft w:val="0"/>
      <w:marRight w:val="0"/>
      <w:marTop w:val="0"/>
      <w:marBottom w:val="0"/>
      <w:divBdr>
        <w:top w:val="none" w:sz="0" w:space="0" w:color="auto"/>
        <w:left w:val="none" w:sz="0" w:space="0" w:color="auto"/>
        <w:bottom w:val="none" w:sz="0" w:space="0" w:color="auto"/>
        <w:right w:val="none" w:sz="0" w:space="0" w:color="auto"/>
      </w:divBdr>
      <w:divsChild>
        <w:div w:id="60980363">
          <w:marLeft w:val="0"/>
          <w:marRight w:val="0"/>
          <w:marTop w:val="0"/>
          <w:marBottom w:val="0"/>
          <w:divBdr>
            <w:top w:val="none" w:sz="0" w:space="0" w:color="auto"/>
            <w:left w:val="none" w:sz="0" w:space="0" w:color="auto"/>
            <w:bottom w:val="none" w:sz="0" w:space="0" w:color="auto"/>
            <w:right w:val="none" w:sz="0" w:space="0" w:color="auto"/>
          </w:divBdr>
          <w:divsChild>
            <w:div w:id="1909222321">
              <w:marLeft w:val="0"/>
              <w:marRight w:val="0"/>
              <w:marTop w:val="0"/>
              <w:marBottom w:val="0"/>
              <w:divBdr>
                <w:top w:val="none" w:sz="0" w:space="0" w:color="auto"/>
                <w:left w:val="none" w:sz="0" w:space="0" w:color="auto"/>
                <w:bottom w:val="none" w:sz="0" w:space="0" w:color="auto"/>
                <w:right w:val="none" w:sz="0" w:space="0" w:color="auto"/>
              </w:divBdr>
              <w:divsChild>
                <w:div w:id="1352800467">
                  <w:marLeft w:val="0"/>
                  <w:marRight w:val="0"/>
                  <w:marTop w:val="0"/>
                  <w:marBottom w:val="0"/>
                  <w:divBdr>
                    <w:top w:val="none" w:sz="0" w:space="0" w:color="auto"/>
                    <w:left w:val="none" w:sz="0" w:space="0" w:color="auto"/>
                    <w:bottom w:val="none" w:sz="0" w:space="0" w:color="auto"/>
                    <w:right w:val="none" w:sz="0" w:space="0" w:color="auto"/>
                  </w:divBdr>
                  <w:divsChild>
                    <w:div w:id="13430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06490">
      <w:bodyDiv w:val="1"/>
      <w:marLeft w:val="0"/>
      <w:marRight w:val="0"/>
      <w:marTop w:val="0"/>
      <w:marBottom w:val="0"/>
      <w:divBdr>
        <w:top w:val="none" w:sz="0" w:space="0" w:color="auto"/>
        <w:left w:val="none" w:sz="0" w:space="0" w:color="auto"/>
        <w:bottom w:val="none" w:sz="0" w:space="0" w:color="auto"/>
        <w:right w:val="none" w:sz="0" w:space="0" w:color="auto"/>
      </w:divBdr>
    </w:div>
    <w:div w:id="226376572">
      <w:bodyDiv w:val="1"/>
      <w:marLeft w:val="0"/>
      <w:marRight w:val="0"/>
      <w:marTop w:val="0"/>
      <w:marBottom w:val="0"/>
      <w:divBdr>
        <w:top w:val="none" w:sz="0" w:space="0" w:color="auto"/>
        <w:left w:val="none" w:sz="0" w:space="0" w:color="auto"/>
        <w:bottom w:val="none" w:sz="0" w:space="0" w:color="auto"/>
        <w:right w:val="none" w:sz="0" w:space="0" w:color="auto"/>
      </w:divBdr>
    </w:div>
    <w:div w:id="255097897">
      <w:bodyDiv w:val="1"/>
      <w:marLeft w:val="0"/>
      <w:marRight w:val="0"/>
      <w:marTop w:val="0"/>
      <w:marBottom w:val="0"/>
      <w:divBdr>
        <w:top w:val="none" w:sz="0" w:space="0" w:color="auto"/>
        <w:left w:val="none" w:sz="0" w:space="0" w:color="auto"/>
        <w:bottom w:val="none" w:sz="0" w:space="0" w:color="auto"/>
        <w:right w:val="none" w:sz="0" w:space="0" w:color="auto"/>
      </w:divBdr>
    </w:div>
    <w:div w:id="425927929">
      <w:bodyDiv w:val="1"/>
      <w:marLeft w:val="0"/>
      <w:marRight w:val="0"/>
      <w:marTop w:val="0"/>
      <w:marBottom w:val="0"/>
      <w:divBdr>
        <w:top w:val="none" w:sz="0" w:space="0" w:color="auto"/>
        <w:left w:val="none" w:sz="0" w:space="0" w:color="auto"/>
        <w:bottom w:val="none" w:sz="0" w:space="0" w:color="auto"/>
        <w:right w:val="none" w:sz="0" w:space="0" w:color="auto"/>
      </w:divBdr>
      <w:divsChild>
        <w:div w:id="2126073268">
          <w:marLeft w:val="0"/>
          <w:marRight w:val="0"/>
          <w:marTop w:val="0"/>
          <w:marBottom w:val="0"/>
          <w:divBdr>
            <w:top w:val="none" w:sz="0" w:space="0" w:color="auto"/>
            <w:left w:val="none" w:sz="0" w:space="0" w:color="auto"/>
            <w:bottom w:val="none" w:sz="0" w:space="0" w:color="auto"/>
            <w:right w:val="none" w:sz="0" w:space="0" w:color="auto"/>
          </w:divBdr>
          <w:divsChild>
            <w:div w:id="495846106">
              <w:marLeft w:val="0"/>
              <w:marRight w:val="0"/>
              <w:marTop w:val="0"/>
              <w:marBottom w:val="0"/>
              <w:divBdr>
                <w:top w:val="none" w:sz="0" w:space="0" w:color="auto"/>
                <w:left w:val="none" w:sz="0" w:space="0" w:color="auto"/>
                <w:bottom w:val="none" w:sz="0" w:space="0" w:color="auto"/>
                <w:right w:val="none" w:sz="0" w:space="0" w:color="auto"/>
              </w:divBdr>
              <w:divsChild>
                <w:div w:id="2038463224">
                  <w:marLeft w:val="0"/>
                  <w:marRight w:val="0"/>
                  <w:marTop w:val="0"/>
                  <w:marBottom w:val="0"/>
                  <w:divBdr>
                    <w:top w:val="none" w:sz="0" w:space="0" w:color="auto"/>
                    <w:left w:val="none" w:sz="0" w:space="0" w:color="auto"/>
                    <w:bottom w:val="none" w:sz="0" w:space="0" w:color="auto"/>
                    <w:right w:val="none" w:sz="0" w:space="0" w:color="auto"/>
                  </w:divBdr>
                  <w:divsChild>
                    <w:div w:id="33576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898456">
      <w:bodyDiv w:val="1"/>
      <w:marLeft w:val="0"/>
      <w:marRight w:val="0"/>
      <w:marTop w:val="0"/>
      <w:marBottom w:val="0"/>
      <w:divBdr>
        <w:top w:val="none" w:sz="0" w:space="0" w:color="auto"/>
        <w:left w:val="none" w:sz="0" w:space="0" w:color="auto"/>
        <w:bottom w:val="none" w:sz="0" w:space="0" w:color="auto"/>
        <w:right w:val="none" w:sz="0" w:space="0" w:color="auto"/>
      </w:divBdr>
    </w:div>
    <w:div w:id="592668611">
      <w:bodyDiv w:val="1"/>
      <w:marLeft w:val="0"/>
      <w:marRight w:val="0"/>
      <w:marTop w:val="0"/>
      <w:marBottom w:val="0"/>
      <w:divBdr>
        <w:top w:val="none" w:sz="0" w:space="0" w:color="auto"/>
        <w:left w:val="none" w:sz="0" w:space="0" w:color="auto"/>
        <w:bottom w:val="none" w:sz="0" w:space="0" w:color="auto"/>
        <w:right w:val="none" w:sz="0" w:space="0" w:color="auto"/>
      </w:divBdr>
    </w:div>
    <w:div w:id="632366695">
      <w:bodyDiv w:val="1"/>
      <w:marLeft w:val="0"/>
      <w:marRight w:val="0"/>
      <w:marTop w:val="0"/>
      <w:marBottom w:val="0"/>
      <w:divBdr>
        <w:top w:val="none" w:sz="0" w:space="0" w:color="auto"/>
        <w:left w:val="none" w:sz="0" w:space="0" w:color="auto"/>
        <w:bottom w:val="none" w:sz="0" w:space="0" w:color="auto"/>
        <w:right w:val="none" w:sz="0" w:space="0" w:color="auto"/>
      </w:divBdr>
      <w:divsChild>
        <w:div w:id="901136029">
          <w:marLeft w:val="0"/>
          <w:marRight w:val="0"/>
          <w:marTop w:val="0"/>
          <w:marBottom w:val="0"/>
          <w:divBdr>
            <w:top w:val="none" w:sz="0" w:space="0" w:color="auto"/>
            <w:left w:val="none" w:sz="0" w:space="0" w:color="auto"/>
            <w:bottom w:val="none" w:sz="0" w:space="0" w:color="auto"/>
            <w:right w:val="none" w:sz="0" w:space="0" w:color="auto"/>
          </w:divBdr>
          <w:divsChild>
            <w:div w:id="408163231">
              <w:marLeft w:val="0"/>
              <w:marRight w:val="0"/>
              <w:marTop w:val="0"/>
              <w:marBottom w:val="0"/>
              <w:divBdr>
                <w:top w:val="none" w:sz="0" w:space="0" w:color="auto"/>
                <w:left w:val="none" w:sz="0" w:space="0" w:color="auto"/>
                <w:bottom w:val="none" w:sz="0" w:space="0" w:color="auto"/>
                <w:right w:val="none" w:sz="0" w:space="0" w:color="auto"/>
              </w:divBdr>
              <w:divsChild>
                <w:div w:id="1770202685">
                  <w:marLeft w:val="0"/>
                  <w:marRight w:val="0"/>
                  <w:marTop w:val="0"/>
                  <w:marBottom w:val="0"/>
                  <w:divBdr>
                    <w:top w:val="none" w:sz="0" w:space="0" w:color="auto"/>
                    <w:left w:val="none" w:sz="0" w:space="0" w:color="auto"/>
                    <w:bottom w:val="none" w:sz="0" w:space="0" w:color="auto"/>
                    <w:right w:val="none" w:sz="0" w:space="0" w:color="auto"/>
                  </w:divBdr>
                  <w:divsChild>
                    <w:div w:id="45980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6375130">
      <w:bodyDiv w:val="1"/>
      <w:marLeft w:val="0"/>
      <w:marRight w:val="0"/>
      <w:marTop w:val="0"/>
      <w:marBottom w:val="0"/>
      <w:divBdr>
        <w:top w:val="none" w:sz="0" w:space="0" w:color="auto"/>
        <w:left w:val="none" w:sz="0" w:space="0" w:color="auto"/>
        <w:bottom w:val="none" w:sz="0" w:space="0" w:color="auto"/>
        <w:right w:val="none" w:sz="0" w:space="0" w:color="auto"/>
      </w:divBdr>
      <w:divsChild>
        <w:div w:id="481701846">
          <w:marLeft w:val="0"/>
          <w:marRight w:val="0"/>
          <w:marTop w:val="0"/>
          <w:marBottom w:val="0"/>
          <w:divBdr>
            <w:top w:val="none" w:sz="0" w:space="0" w:color="auto"/>
            <w:left w:val="none" w:sz="0" w:space="0" w:color="auto"/>
            <w:bottom w:val="none" w:sz="0" w:space="0" w:color="auto"/>
            <w:right w:val="none" w:sz="0" w:space="0" w:color="auto"/>
          </w:divBdr>
        </w:div>
      </w:divsChild>
    </w:div>
    <w:div w:id="716901583">
      <w:bodyDiv w:val="1"/>
      <w:marLeft w:val="0"/>
      <w:marRight w:val="0"/>
      <w:marTop w:val="0"/>
      <w:marBottom w:val="0"/>
      <w:divBdr>
        <w:top w:val="none" w:sz="0" w:space="0" w:color="auto"/>
        <w:left w:val="none" w:sz="0" w:space="0" w:color="auto"/>
        <w:bottom w:val="none" w:sz="0" w:space="0" w:color="auto"/>
        <w:right w:val="none" w:sz="0" w:space="0" w:color="auto"/>
      </w:divBdr>
      <w:divsChild>
        <w:div w:id="1836843936">
          <w:marLeft w:val="0"/>
          <w:marRight w:val="0"/>
          <w:marTop w:val="0"/>
          <w:marBottom w:val="0"/>
          <w:divBdr>
            <w:top w:val="none" w:sz="0" w:space="0" w:color="auto"/>
            <w:left w:val="none" w:sz="0" w:space="0" w:color="auto"/>
            <w:bottom w:val="none" w:sz="0" w:space="0" w:color="auto"/>
            <w:right w:val="none" w:sz="0" w:space="0" w:color="auto"/>
          </w:divBdr>
        </w:div>
      </w:divsChild>
    </w:div>
    <w:div w:id="841941069">
      <w:bodyDiv w:val="1"/>
      <w:marLeft w:val="0"/>
      <w:marRight w:val="0"/>
      <w:marTop w:val="0"/>
      <w:marBottom w:val="0"/>
      <w:divBdr>
        <w:top w:val="none" w:sz="0" w:space="0" w:color="auto"/>
        <w:left w:val="none" w:sz="0" w:space="0" w:color="auto"/>
        <w:bottom w:val="none" w:sz="0" w:space="0" w:color="auto"/>
        <w:right w:val="none" w:sz="0" w:space="0" w:color="auto"/>
      </w:divBdr>
    </w:div>
    <w:div w:id="918711605">
      <w:bodyDiv w:val="1"/>
      <w:marLeft w:val="0"/>
      <w:marRight w:val="0"/>
      <w:marTop w:val="0"/>
      <w:marBottom w:val="0"/>
      <w:divBdr>
        <w:top w:val="none" w:sz="0" w:space="0" w:color="auto"/>
        <w:left w:val="none" w:sz="0" w:space="0" w:color="auto"/>
        <w:bottom w:val="none" w:sz="0" w:space="0" w:color="auto"/>
        <w:right w:val="none" w:sz="0" w:space="0" w:color="auto"/>
      </w:divBdr>
    </w:div>
    <w:div w:id="928151025">
      <w:bodyDiv w:val="1"/>
      <w:marLeft w:val="0"/>
      <w:marRight w:val="0"/>
      <w:marTop w:val="0"/>
      <w:marBottom w:val="0"/>
      <w:divBdr>
        <w:top w:val="none" w:sz="0" w:space="0" w:color="auto"/>
        <w:left w:val="none" w:sz="0" w:space="0" w:color="auto"/>
        <w:bottom w:val="none" w:sz="0" w:space="0" w:color="auto"/>
        <w:right w:val="none" w:sz="0" w:space="0" w:color="auto"/>
      </w:divBdr>
    </w:div>
    <w:div w:id="980380560">
      <w:bodyDiv w:val="1"/>
      <w:marLeft w:val="0"/>
      <w:marRight w:val="0"/>
      <w:marTop w:val="0"/>
      <w:marBottom w:val="0"/>
      <w:divBdr>
        <w:top w:val="none" w:sz="0" w:space="0" w:color="auto"/>
        <w:left w:val="none" w:sz="0" w:space="0" w:color="auto"/>
        <w:bottom w:val="none" w:sz="0" w:space="0" w:color="auto"/>
        <w:right w:val="none" w:sz="0" w:space="0" w:color="auto"/>
      </w:divBdr>
    </w:div>
    <w:div w:id="1024794320">
      <w:bodyDiv w:val="1"/>
      <w:marLeft w:val="0"/>
      <w:marRight w:val="0"/>
      <w:marTop w:val="0"/>
      <w:marBottom w:val="0"/>
      <w:divBdr>
        <w:top w:val="none" w:sz="0" w:space="0" w:color="auto"/>
        <w:left w:val="none" w:sz="0" w:space="0" w:color="auto"/>
        <w:bottom w:val="none" w:sz="0" w:space="0" w:color="auto"/>
        <w:right w:val="none" w:sz="0" w:space="0" w:color="auto"/>
      </w:divBdr>
    </w:div>
    <w:div w:id="1028991689">
      <w:bodyDiv w:val="1"/>
      <w:marLeft w:val="0"/>
      <w:marRight w:val="0"/>
      <w:marTop w:val="0"/>
      <w:marBottom w:val="0"/>
      <w:divBdr>
        <w:top w:val="none" w:sz="0" w:space="0" w:color="auto"/>
        <w:left w:val="none" w:sz="0" w:space="0" w:color="auto"/>
        <w:bottom w:val="none" w:sz="0" w:space="0" w:color="auto"/>
        <w:right w:val="none" w:sz="0" w:space="0" w:color="auto"/>
      </w:divBdr>
    </w:div>
    <w:div w:id="1078599503">
      <w:bodyDiv w:val="1"/>
      <w:marLeft w:val="0"/>
      <w:marRight w:val="0"/>
      <w:marTop w:val="0"/>
      <w:marBottom w:val="0"/>
      <w:divBdr>
        <w:top w:val="none" w:sz="0" w:space="0" w:color="auto"/>
        <w:left w:val="none" w:sz="0" w:space="0" w:color="auto"/>
        <w:bottom w:val="none" w:sz="0" w:space="0" w:color="auto"/>
        <w:right w:val="none" w:sz="0" w:space="0" w:color="auto"/>
      </w:divBdr>
      <w:divsChild>
        <w:div w:id="1342124534">
          <w:marLeft w:val="0"/>
          <w:marRight w:val="0"/>
          <w:marTop w:val="0"/>
          <w:marBottom w:val="0"/>
          <w:divBdr>
            <w:top w:val="none" w:sz="0" w:space="0" w:color="auto"/>
            <w:left w:val="none" w:sz="0" w:space="0" w:color="auto"/>
            <w:bottom w:val="none" w:sz="0" w:space="0" w:color="auto"/>
            <w:right w:val="none" w:sz="0" w:space="0" w:color="auto"/>
          </w:divBdr>
          <w:divsChild>
            <w:div w:id="1958484712">
              <w:marLeft w:val="0"/>
              <w:marRight w:val="0"/>
              <w:marTop w:val="0"/>
              <w:marBottom w:val="0"/>
              <w:divBdr>
                <w:top w:val="none" w:sz="0" w:space="0" w:color="auto"/>
                <w:left w:val="none" w:sz="0" w:space="0" w:color="auto"/>
                <w:bottom w:val="none" w:sz="0" w:space="0" w:color="auto"/>
                <w:right w:val="none" w:sz="0" w:space="0" w:color="auto"/>
              </w:divBdr>
              <w:divsChild>
                <w:div w:id="838614320">
                  <w:marLeft w:val="0"/>
                  <w:marRight w:val="0"/>
                  <w:marTop w:val="0"/>
                  <w:marBottom w:val="0"/>
                  <w:divBdr>
                    <w:top w:val="none" w:sz="0" w:space="0" w:color="auto"/>
                    <w:left w:val="none" w:sz="0" w:space="0" w:color="auto"/>
                    <w:bottom w:val="none" w:sz="0" w:space="0" w:color="auto"/>
                    <w:right w:val="none" w:sz="0" w:space="0" w:color="auto"/>
                  </w:divBdr>
                  <w:divsChild>
                    <w:div w:id="68073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142236">
      <w:bodyDiv w:val="1"/>
      <w:marLeft w:val="0"/>
      <w:marRight w:val="0"/>
      <w:marTop w:val="0"/>
      <w:marBottom w:val="0"/>
      <w:divBdr>
        <w:top w:val="none" w:sz="0" w:space="0" w:color="auto"/>
        <w:left w:val="none" w:sz="0" w:space="0" w:color="auto"/>
        <w:bottom w:val="none" w:sz="0" w:space="0" w:color="auto"/>
        <w:right w:val="none" w:sz="0" w:space="0" w:color="auto"/>
      </w:divBdr>
    </w:div>
    <w:div w:id="1212184435">
      <w:bodyDiv w:val="1"/>
      <w:marLeft w:val="0"/>
      <w:marRight w:val="0"/>
      <w:marTop w:val="0"/>
      <w:marBottom w:val="0"/>
      <w:divBdr>
        <w:top w:val="none" w:sz="0" w:space="0" w:color="auto"/>
        <w:left w:val="none" w:sz="0" w:space="0" w:color="auto"/>
        <w:bottom w:val="none" w:sz="0" w:space="0" w:color="auto"/>
        <w:right w:val="none" w:sz="0" w:space="0" w:color="auto"/>
      </w:divBdr>
    </w:div>
    <w:div w:id="1329165086">
      <w:bodyDiv w:val="1"/>
      <w:marLeft w:val="0"/>
      <w:marRight w:val="0"/>
      <w:marTop w:val="0"/>
      <w:marBottom w:val="0"/>
      <w:divBdr>
        <w:top w:val="none" w:sz="0" w:space="0" w:color="auto"/>
        <w:left w:val="none" w:sz="0" w:space="0" w:color="auto"/>
        <w:bottom w:val="none" w:sz="0" w:space="0" w:color="auto"/>
        <w:right w:val="none" w:sz="0" w:space="0" w:color="auto"/>
      </w:divBdr>
    </w:div>
    <w:div w:id="1334919897">
      <w:bodyDiv w:val="1"/>
      <w:marLeft w:val="0"/>
      <w:marRight w:val="0"/>
      <w:marTop w:val="0"/>
      <w:marBottom w:val="0"/>
      <w:divBdr>
        <w:top w:val="none" w:sz="0" w:space="0" w:color="auto"/>
        <w:left w:val="none" w:sz="0" w:space="0" w:color="auto"/>
        <w:bottom w:val="none" w:sz="0" w:space="0" w:color="auto"/>
        <w:right w:val="none" w:sz="0" w:space="0" w:color="auto"/>
      </w:divBdr>
    </w:div>
    <w:div w:id="1379932951">
      <w:bodyDiv w:val="1"/>
      <w:marLeft w:val="0"/>
      <w:marRight w:val="0"/>
      <w:marTop w:val="0"/>
      <w:marBottom w:val="0"/>
      <w:divBdr>
        <w:top w:val="none" w:sz="0" w:space="0" w:color="auto"/>
        <w:left w:val="none" w:sz="0" w:space="0" w:color="auto"/>
        <w:bottom w:val="none" w:sz="0" w:space="0" w:color="auto"/>
        <w:right w:val="none" w:sz="0" w:space="0" w:color="auto"/>
      </w:divBdr>
      <w:divsChild>
        <w:div w:id="522942504">
          <w:marLeft w:val="0"/>
          <w:marRight w:val="0"/>
          <w:marTop w:val="0"/>
          <w:marBottom w:val="0"/>
          <w:divBdr>
            <w:top w:val="none" w:sz="0" w:space="0" w:color="auto"/>
            <w:left w:val="none" w:sz="0" w:space="0" w:color="auto"/>
            <w:bottom w:val="none" w:sz="0" w:space="0" w:color="auto"/>
            <w:right w:val="none" w:sz="0" w:space="0" w:color="auto"/>
          </w:divBdr>
          <w:divsChild>
            <w:div w:id="1378162517">
              <w:marLeft w:val="0"/>
              <w:marRight w:val="0"/>
              <w:marTop w:val="0"/>
              <w:marBottom w:val="0"/>
              <w:divBdr>
                <w:top w:val="none" w:sz="0" w:space="0" w:color="auto"/>
                <w:left w:val="none" w:sz="0" w:space="0" w:color="auto"/>
                <w:bottom w:val="none" w:sz="0" w:space="0" w:color="auto"/>
                <w:right w:val="none" w:sz="0" w:space="0" w:color="auto"/>
              </w:divBdr>
              <w:divsChild>
                <w:div w:id="500504740">
                  <w:marLeft w:val="0"/>
                  <w:marRight w:val="0"/>
                  <w:marTop w:val="0"/>
                  <w:marBottom w:val="0"/>
                  <w:divBdr>
                    <w:top w:val="none" w:sz="0" w:space="0" w:color="auto"/>
                    <w:left w:val="none" w:sz="0" w:space="0" w:color="auto"/>
                    <w:bottom w:val="none" w:sz="0" w:space="0" w:color="auto"/>
                    <w:right w:val="none" w:sz="0" w:space="0" w:color="auto"/>
                  </w:divBdr>
                  <w:divsChild>
                    <w:div w:id="110206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3981437">
      <w:bodyDiv w:val="1"/>
      <w:marLeft w:val="0"/>
      <w:marRight w:val="0"/>
      <w:marTop w:val="0"/>
      <w:marBottom w:val="0"/>
      <w:divBdr>
        <w:top w:val="none" w:sz="0" w:space="0" w:color="auto"/>
        <w:left w:val="none" w:sz="0" w:space="0" w:color="auto"/>
        <w:bottom w:val="none" w:sz="0" w:space="0" w:color="auto"/>
        <w:right w:val="none" w:sz="0" w:space="0" w:color="auto"/>
      </w:divBdr>
      <w:divsChild>
        <w:div w:id="878787961">
          <w:marLeft w:val="0"/>
          <w:marRight w:val="0"/>
          <w:marTop w:val="0"/>
          <w:marBottom w:val="0"/>
          <w:divBdr>
            <w:top w:val="none" w:sz="0" w:space="0" w:color="auto"/>
            <w:left w:val="none" w:sz="0" w:space="0" w:color="auto"/>
            <w:bottom w:val="none" w:sz="0" w:space="0" w:color="auto"/>
            <w:right w:val="none" w:sz="0" w:space="0" w:color="auto"/>
          </w:divBdr>
        </w:div>
      </w:divsChild>
    </w:div>
    <w:div w:id="1516920605">
      <w:bodyDiv w:val="1"/>
      <w:marLeft w:val="0"/>
      <w:marRight w:val="0"/>
      <w:marTop w:val="0"/>
      <w:marBottom w:val="0"/>
      <w:divBdr>
        <w:top w:val="none" w:sz="0" w:space="0" w:color="auto"/>
        <w:left w:val="none" w:sz="0" w:space="0" w:color="auto"/>
        <w:bottom w:val="none" w:sz="0" w:space="0" w:color="auto"/>
        <w:right w:val="none" w:sz="0" w:space="0" w:color="auto"/>
      </w:divBdr>
    </w:div>
    <w:div w:id="1535920113">
      <w:bodyDiv w:val="1"/>
      <w:marLeft w:val="0"/>
      <w:marRight w:val="0"/>
      <w:marTop w:val="0"/>
      <w:marBottom w:val="0"/>
      <w:divBdr>
        <w:top w:val="none" w:sz="0" w:space="0" w:color="auto"/>
        <w:left w:val="none" w:sz="0" w:space="0" w:color="auto"/>
        <w:bottom w:val="none" w:sz="0" w:space="0" w:color="auto"/>
        <w:right w:val="none" w:sz="0" w:space="0" w:color="auto"/>
      </w:divBdr>
      <w:divsChild>
        <w:div w:id="127551122">
          <w:marLeft w:val="0"/>
          <w:marRight w:val="0"/>
          <w:marTop w:val="0"/>
          <w:marBottom w:val="0"/>
          <w:divBdr>
            <w:top w:val="none" w:sz="0" w:space="0" w:color="auto"/>
            <w:left w:val="none" w:sz="0" w:space="0" w:color="auto"/>
            <w:bottom w:val="none" w:sz="0" w:space="0" w:color="auto"/>
            <w:right w:val="none" w:sz="0" w:space="0" w:color="auto"/>
          </w:divBdr>
          <w:divsChild>
            <w:div w:id="1811046447">
              <w:marLeft w:val="0"/>
              <w:marRight w:val="0"/>
              <w:marTop w:val="0"/>
              <w:marBottom w:val="0"/>
              <w:divBdr>
                <w:top w:val="none" w:sz="0" w:space="0" w:color="auto"/>
                <w:left w:val="none" w:sz="0" w:space="0" w:color="auto"/>
                <w:bottom w:val="none" w:sz="0" w:space="0" w:color="auto"/>
                <w:right w:val="none" w:sz="0" w:space="0" w:color="auto"/>
              </w:divBdr>
              <w:divsChild>
                <w:div w:id="1612205771">
                  <w:marLeft w:val="0"/>
                  <w:marRight w:val="0"/>
                  <w:marTop w:val="0"/>
                  <w:marBottom w:val="0"/>
                  <w:divBdr>
                    <w:top w:val="none" w:sz="0" w:space="0" w:color="auto"/>
                    <w:left w:val="none" w:sz="0" w:space="0" w:color="auto"/>
                    <w:bottom w:val="none" w:sz="0" w:space="0" w:color="auto"/>
                    <w:right w:val="none" w:sz="0" w:space="0" w:color="auto"/>
                  </w:divBdr>
                  <w:divsChild>
                    <w:div w:id="1307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456565">
      <w:bodyDiv w:val="1"/>
      <w:marLeft w:val="0"/>
      <w:marRight w:val="0"/>
      <w:marTop w:val="0"/>
      <w:marBottom w:val="0"/>
      <w:divBdr>
        <w:top w:val="none" w:sz="0" w:space="0" w:color="auto"/>
        <w:left w:val="none" w:sz="0" w:space="0" w:color="auto"/>
        <w:bottom w:val="none" w:sz="0" w:space="0" w:color="auto"/>
        <w:right w:val="none" w:sz="0" w:space="0" w:color="auto"/>
      </w:divBdr>
    </w:div>
    <w:div w:id="1573388975">
      <w:bodyDiv w:val="1"/>
      <w:marLeft w:val="0"/>
      <w:marRight w:val="0"/>
      <w:marTop w:val="0"/>
      <w:marBottom w:val="0"/>
      <w:divBdr>
        <w:top w:val="none" w:sz="0" w:space="0" w:color="auto"/>
        <w:left w:val="none" w:sz="0" w:space="0" w:color="auto"/>
        <w:bottom w:val="none" w:sz="0" w:space="0" w:color="auto"/>
        <w:right w:val="none" w:sz="0" w:space="0" w:color="auto"/>
      </w:divBdr>
      <w:divsChild>
        <w:div w:id="1885211564">
          <w:marLeft w:val="0"/>
          <w:marRight w:val="0"/>
          <w:marTop w:val="0"/>
          <w:marBottom w:val="0"/>
          <w:divBdr>
            <w:top w:val="none" w:sz="0" w:space="0" w:color="auto"/>
            <w:left w:val="none" w:sz="0" w:space="0" w:color="auto"/>
            <w:bottom w:val="none" w:sz="0" w:space="0" w:color="auto"/>
            <w:right w:val="none" w:sz="0" w:space="0" w:color="auto"/>
          </w:divBdr>
        </w:div>
      </w:divsChild>
    </w:div>
    <w:div w:id="1598173106">
      <w:bodyDiv w:val="1"/>
      <w:marLeft w:val="0"/>
      <w:marRight w:val="0"/>
      <w:marTop w:val="0"/>
      <w:marBottom w:val="0"/>
      <w:divBdr>
        <w:top w:val="none" w:sz="0" w:space="0" w:color="auto"/>
        <w:left w:val="none" w:sz="0" w:space="0" w:color="auto"/>
        <w:bottom w:val="none" w:sz="0" w:space="0" w:color="auto"/>
        <w:right w:val="none" w:sz="0" w:space="0" w:color="auto"/>
      </w:divBdr>
      <w:divsChild>
        <w:div w:id="1798907682">
          <w:marLeft w:val="0"/>
          <w:marRight w:val="0"/>
          <w:marTop w:val="0"/>
          <w:marBottom w:val="0"/>
          <w:divBdr>
            <w:top w:val="none" w:sz="0" w:space="0" w:color="auto"/>
            <w:left w:val="none" w:sz="0" w:space="0" w:color="auto"/>
            <w:bottom w:val="none" w:sz="0" w:space="0" w:color="auto"/>
            <w:right w:val="none" w:sz="0" w:space="0" w:color="auto"/>
          </w:divBdr>
        </w:div>
      </w:divsChild>
    </w:div>
    <w:div w:id="1652369010">
      <w:bodyDiv w:val="1"/>
      <w:marLeft w:val="0"/>
      <w:marRight w:val="0"/>
      <w:marTop w:val="0"/>
      <w:marBottom w:val="0"/>
      <w:divBdr>
        <w:top w:val="none" w:sz="0" w:space="0" w:color="auto"/>
        <w:left w:val="none" w:sz="0" w:space="0" w:color="auto"/>
        <w:bottom w:val="none" w:sz="0" w:space="0" w:color="auto"/>
        <w:right w:val="none" w:sz="0" w:space="0" w:color="auto"/>
      </w:divBdr>
    </w:div>
    <w:div w:id="1719814388">
      <w:bodyDiv w:val="1"/>
      <w:marLeft w:val="0"/>
      <w:marRight w:val="0"/>
      <w:marTop w:val="0"/>
      <w:marBottom w:val="0"/>
      <w:divBdr>
        <w:top w:val="none" w:sz="0" w:space="0" w:color="auto"/>
        <w:left w:val="none" w:sz="0" w:space="0" w:color="auto"/>
        <w:bottom w:val="none" w:sz="0" w:space="0" w:color="auto"/>
        <w:right w:val="none" w:sz="0" w:space="0" w:color="auto"/>
      </w:divBdr>
    </w:div>
    <w:div w:id="1906601096">
      <w:bodyDiv w:val="1"/>
      <w:marLeft w:val="0"/>
      <w:marRight w:val="0"/>
      <w:marTop w:val="0"/>
      <w:marBottom w:val="0"/>
      <w:divBdr>
        <w:top w:val="none" w:sz="0" w:space="0" w:color="auto"/>
        <w:left w:val="none" w:sz="0" w:space="0" w:color="auto"/>
        <w:bottom w:val="none" w:sz="0" w:space="0" w:color="auto"/>
        <w:right w:val="none" w:sz="0" w:space="0" w:color="auto"/>
      </w:divBdr>
    </w:div>
    <w:div w:id="1907108189">
      <w:bodyDiv w:val="1"/>
      <w:marLeft w:val="0"/>
      <w:marRight w:val="0"/>
      <w:marTop w:val="0"/>
      <w:marBottom w:val="0"/>
      <w:divBdr>
        <w:top w:val="none" w:sz="0" w:space="0" w:color="auto"/>
        <w:left w:val="none" w:sz="0" w:space="0" w:color="auto"/>
        <w:bottom w:val="none" w:sz="0" w:space="0" w:color="auto"/>
        <w:right w:val="none" w:sz="0" w:space="0" w:color="auto"/>
      </w:divBdr>
      <w:divsChild>
        <w:div w:id="135269782">
          <w:marLeft w:val="0"/>
          <w:marRight w:val="0"/>
          <w:marTop w:val="0"/>
          <w:marBottom w:val="0"/>
          <w:divBdr>
            <w:top w:val="none" w:sz="0" w:space="0" w:color="auto"/>
            <w:left w:val="none" w:sz="0" w:space="0" w:color="auto"/>
            <w:bottom w:val="none" w:sz="0" w:space="0" w:color="auto"/>
            <w:right w:val="none" w:sz="0" w:space="0" w:color="auto"/>
          </w:divBdr>
          <w:divsChild>
            <w:div w:id="834882345">
              <w:marLeft w:val="0"/>
              <w:marRight w:val="0"/>
              <w:marTop w:val="0"/>
              <w:marBottom w:val="0"/>
              <w:divBdr>
                <w:top w:val="none" w:sz="0" w:space="0" w:color="auto"/>
                <w:left w:val="none" w:sz="0" w:space="0" w:color="auto"/>
                <w:bottom w:val="none" w:sz="0" w:space="0" w:color="auto"/>
                <w:right w:val="none" w:sz="0" w:space="0" w:color="auto"/>
              </w:divBdr>
              <w:divsChild>
                <w:div w:id="940575789">
                  <w:marLeft w:val="0"/>
                  <w:marRight w:val="0"/>
                  <w:marTop w:val="0"/>
                  <w:marBottom w:val="0"/>
                  <w:divBdr>
                    <w:top w:val="none" w:sz="0" w:space="0" w:color="auto"/>
                    <w:left w:val="none" w:sz="0" w:space="0" w:color="auto"/>
                    <w:bottom w:val="none" w:sz="0" w:space="0" w:color="auto"/>
                    <w:right w:val="none" w:sz="0" w:space="0" w:color="auto"/>
                  </w:divBdr>
                  <w:divsChild>
                    <w:div w:id="1516188483">
                      <w:marLeft w:val="0"/>
                      <w:marRight w:val="0"/>
                      <w:marTop w:val="0"/>
                      <w:marBottom w:val="0"/>
                      <w:divBdr>
                        <w:top w:val="none" w:sz="0" w:space="0" w:color="auto"/>
                        <w:left w:val="none" w:sz="0" w:space="0" w:color="auto"/>
                        <w:bottom w:val="none" w:sz="0" w:space="0" w:color="auto"/>
                        <w:right w:val="none" w:sz="0" w:space="0" w:color="auto"/>
                      </w:divBdr>
                      <w:divsChild>
                        <w:div w:id="155611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340445">
          <w:marLeft w:val="0"/>
          <w:marRight w:val="0"/>
          <w:marTop w:val="0"/>
          <w:marBottom w:val="0"/>
          <w:divBdr>
            <w:top w:val="none" w:sz="0" w:space="0" w:color="auto"/>
            <w:left w:val="none" w:sz="0" w:space="0" w:color="auto"/>
            <w:bottom w:val="none" w:sz="0" w:space="0" w:color="auto"/>
            <w:right w:val="none" w:sz="0" w:space="0" w:color="auto"/>
          </w:divBdr>
          <w:divsChild>
            <w:div w:id="1238706846">
              <w:marLeft w:val="0"/>
              <w:marRight w:val="0"/>
              <w:marTop w:val="0"/>
              <w:marBottom w:val="0"/>
              <w:divBdr>
                <w:top w:val="none" w:sz="0" w:space="0" w:color="auto"/>
                <w:left w:val="none" w:sz="0" w:space="0" w:color="auto"/>
                <w:bottom w:val="none" w:sz="0" w:space="0" w:color="auto"/>
                <w:right w:val="none" w:sz="0" w:space="0" w:color="auto"/>
              </w:divBdr>
              <w:divsChild>
                <w:div w:id="1215116060">
                  <w:marLeft w:val="0"/>
                  <w:marRight w:val="0"/>
                  <w:marTop w:val="0"/>
                  <w:marBottom w:val="0"/>
                  <w:divBdr>
                    <w:top w:val="none" w:sz="0" w:space="0" w:color="auto"/>
                    <w:left w:val="none" w:sz="0" w:space="0" w:color="auto"/>
                    <w:bottom w:val="none" w:sz="0" w:space="0" w:color="auto"/>
                    <w:right w:val="none" w:sz="0" w:space="0" w:color="auto"/>
                  </w:divBdr>
                  <w:divsChild>
                    <w:div w:id="1834833621">
                      <w:marLeft w:val="0"/>
                      <w:marRight w:val="0"/>
                      <w:marTop w:val="0"/>
                      <w:marBottom w:val="0"/>
                      <w:divBdr>
                        <w:top w:val="none" w:sz="0" w:space="0" w:color="auto"/>
                        <w:left w:val="none" w:sz="0" w:space="0" w:color="auto"/>
                        <w:bottom w:val="none" w:sz="0" w:space="0" w:color="auto"/>
                        <w:right w:val="none" w:sz="0" w:space="0" w:color="auto"/>
                      </w:divBdr>
                      <w:divsChild>
                        <w:div w:id="1899052930">
                          <w:marLeft w:val="0"/>
                          <w:marRight w:val="0"/>
                          <w:marTop w:val="0"/>
                          <w:marBottom w:val="0"/>
                          <w:divBdr>
                            <w:top w:val="none" w:sz="0" w:space="0" w:color="auto"/>
                            <w:left w:val="none" w:sz="0" w:space="0" w:color="auto"/>
                            <w:bottom w:val="none" w:sz="0" w:space="0" w:color="auto"/>
                            <w:right w:val="none" w:sz="0" w:space="0" w:color="auto"/>
                          </w:divBdr>
                          <w:divsChild>
                            <w:div w:id="122926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8088218">
          <w:marLeft w:val="0"/>
          <w:marRight w:val="0"/>
          <w:marTop w:val="0"/>
          <w:marBottom w:val="0"/>
          <w:divBdr>
            <w:top w:val="none" w:sz="0" w:space="0" w:color="auto"/>
            <w:left w:val="none" w:sz="0" w:space="0" w:color="auto"/>
            <w:bottom w:val="none" w:sz="0" w:space="0" w:color="auto"/>
            <w:right w:val="none" w:sz="0" w:space="0" w:color="auto"/>
          </w:divBdr>
        </w:div>
      </w:divsChild>
    </w:div>
    <w:div w:id="1980114411">
      <w:bodyDiv w:val="1"/>
      <w:marLeft w:val="0"/>
      <w:marRight w:val="0"/>
      <w:marTop w:val="0"/>
      <w:marBottom w:val="0"/>
      <w:divBdr>
        <w:top w:val="none" w:sz="0" w:space="0" w:color="auto"/>
        <w:left w:val="none" w:sz="0" w:space="0" w:color="auto"/>
        <w:bottom w:val="none" w:sz="0" w:space="0" w:color="auto"/>
        <w:right w:val="none" w:sz="0" w:space="0" w:color="auto"/>
      </w:divBdr>
    </w:div>
    <w:div w:id="2053068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custodiangarant.uafin.net/" TargetMode="External"/><Relationship Id="rId18" Type="http://schemas.openxmlformats.org/officeDocument/2006/relationships/hyperlink" Target="http://custodiangarant.uafin.net/" TargetMode="External"/><Relationship Id="rId26" Type="http://schemas.openxmlformats.org/officeDocument/2006/relationships/hyperlink" Target="http://custodiangarant.uafin.net/" TargetMode="External"/><Relationship Id="rId39" Type="http://schemas.openxmlformats.org/officeDocument/2006/relationships/hyperlink" Target="http://custodiangarant.uafin.net/" TargetMode="External"/><Relationship Id="rId21" Type="http://schemas.openxmlformats.org/officeDocument/2006/relationships/hyperlink" Target="http://zakon3.rada.gov.ua/laws/show/514-17/paran3" TargetMode="External"/><Relationship Id="rId34" Type="http://schemas.openxmlformats.org/officeDocument/2006/relationships/hyperlink" Target="http://zakon3.rada.gov.ua/laws/show/514-17/paran3"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zakon3.rada.gov.ua/laws/show/514-17/paran3" TargetMode="External"/><Relationship Id="rId20" Type="http://schemas.openxmlformats.org/officeDocument/2006/relationships/hyperlink" Target="http://custodiangarant.uafin.net/" TargetMode="External"/><Relationship Id="rId29" Type="http://schemas.openxmlformats.org/officeDocument/2006/relationships/hyperlink" Target="http://zakon4.rada.gov.ua/laws/show/514-17"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ustodiangarant.uafin.net/" TargetMode="External"/><Relationship Id="rId24" Type="http://schemas.openxmlformats.org/officeDocument/2006/relationships/hyperlink" Target="http://custodiangarant.uafin.net/" TargetMode="External"/><Relationship Id="rId32" Type="http://schemas.openxmlformats.org/officeDocument/2006/relationships/hyperlink" Target="http://custodiangarant.uafin.net/" TargetMode="External"/><Relationship Id="rId37" Type="http://schemas.openxmlformats.org/officeDocument/2006/relationships/hyperlink" Target="http://zakon3.rada.gov.ua/laws/show/514-17/paran3"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custodiangarant.uafin.net/" TargetMode="External"/><Relationship Id="rId23" Type="http://schemas.openxmlformats.org/officeDocument/2006/relationships/hyperlink" Target="http://custodiangarant.uafin.net/" TargetMode="External"/><Relationship Id="rId28" Type="http://schemas.openxmlformats.org/officeDocument/2006/relationships/hyperlink" Target="http://zakon4.rada.gov.ua/laws/show/5178-17" TargetMode="External"/><Relationship Id="rId36" Type="http://schemas.openxmlformats.org/officeDocument/2006/relationships/hyperlink" Target="http://custodiangarant.uafin.net/" TargetMode="External"/><Relationship Id="rId10" Type="http://schemas.openxmlformats.org/officeDocument/2006/relationships/hyperlink" Target="http://custodiangarant.uafin.net/" TargetMode="External"/><Relationship Id="rId19" Type="http://schemas.openxmlformats.org/officeDocument/2006/relationships/hyperlink" Target="http://custodiangarant.uafin.net/" TargetMode="External"/><Relationship Id="rId31" Type="http://schemas.openxmlformats.org/officeDocument/2006/relationships/hyperlink" Target="http://zakon3.rada.gov.ua/laws/show/514-17/paran3" TargetMode="External"/><Relationship Id="rId4" Type="http://schemas.openxmlformats.org/officeDocument/2006/relationships/settings" Target="settings.xml"/><Relationship Id="rId9" Type="http://schemas.openxmlformats.org/officeDocument/2006/relationships/hyperlink" Target="http://zakon3.rada.gov.ua/laws/show/514-17/paran3" TargetMode="External"/><Relationship Id="rId14" Type="http://schemas.openxmlformats.org/officeDocument/2006/relationships/hyperlink" Target="http://custodiangarant.uafin.net/" TargetMode="External"/><Relationship Id="rId22" Type="http://schemas.openxmlformats.org/officeDocument/2006/relationships/hyperlink" Target="http://zakon3.rada.gov.ua/laws/show/514-17/paran3" TargetMode="External"/><Relationship Id="rId27" Type="http://schemas.openxmlformats.org/officeDocument/2006/relationships/hyperlink" Target="http://zakon3.rada.gov.ua/laws/show/514-17/paran3" TargetMode="External"/><Relationship Id="rId30" Type="http://schemas.openxmlformats.org/officeDocument/2006/relationships/hyperlink" Target="http://custodiangarant.uafin.net" TargetMode="External"/><Relationship Id="rId35" Type="http://schemas.openxmlformats.org/officeDocument/2006/relationships/hyperlink" Target="http://custodiangarant.uafin.net/" TargetMode="External"/><Relationship Id="rId8" Type="http://schemas.openxmlformats.org/officeDocument/2006/relationships/hyperlink" Target="http://zakon3.rada.gov.ua/laws/show/514-17/paran3" TargetMode="External"/><Relationship Id="rId3" Type="http://schemas.openxmlformats.org/officeDocument/2006/relationships/styles" Target="styles.xml"/><Relationship Id="rId12" Type="http://schemas.openxmlformats.org/officeDocument/2006/relationships/hyperlink" Target="http://custodiangarant.uafin.net/" TargetMode="External"/><Relationship Id="rId17" Type="http://schemas.openxmlformats.org/officeDocument/2006/relationships/hyperlink" Target="http://custodiangarant.uafin.net/" TargetMode="External"/><Relationship Id="rId25" Type="http://schemas.openxmlformats.org/officeDocument/2006/relationships/hyperlink" Target="http://custodiangarant.uafin.net/" TargetMode="External"/><Relationship Id="rId33" Type="http://schemas.openxmlformats.org/officeDocument/2006/relationships/hyperlink" Target="http://custodiangarant.uafin.net/" TargetMode="External"/><Relationship Id="rId38" Type="http://schemas.openxmlformats.org/officeDocument/2006/relationships/hyperlink" Target="http://custodiangarant.uafin.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1391F4-F2BA-414A-A43B-1D775C5E4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149</Pages>
  <Words>130912</Words>
  <Characters>746199</Characters>
  <Application>Microsoft Office Word</Application>
  <DocSecurity>0</DocSecurity>
  <Lines>6218</Lines>
  <Paragraphs>1750</Paragraphs>
  <ScaleCrop>false</ScaleCrop>
  <HeadingPairs>
    <vt:vector size="2" baseType="variant">
      <vt:variant>
        <vt:lpstr>Название</vt:lpstr>
      </vt:variant>
      <vt:variant>
        <vt:i4>1</vt:i4>
      </vt:variant>
    </vt:vector>
  </HeadingPairs>
  <TitlesOfParts>
    <vt:vector size="1" baseType="lpstr">
      <vt:lpstr>Вихідна документація</vt:lpstr>
    </vt:vector>
  </TitlesOfParts>
  <Company>MoBIL GROUP</Company>
  <LinksUpToDate>false</LinksUpToDate>
  <CharactersWithSpaces>875361</CharactersWithSpaces>
  <SharedDoc>false</SharedDoc>
  <HLinks>
    <vt:vector size="204" baseType="variant">
      <vt:variant>
        <vt:i4>4194331</vt:i4>
      </vt:variant>
      <vt:variant>
        <vt:i4>114</vt:i4>
      </vt:variant>
      <vt:variant>
        <vt:i4>0</vt:i4>
      </vt:variant>
      <vt:variant>
        <vt:i4>5</vt:i4>
      </vt:variant>
      <vt:variant>
        <vt:lpwstr>http://custodiangarant.uafin.net/</vt:lpwstr>
      </vt:variant>
      <vt:variant>
        <vt:lpwstr/>
      </vt:variant>
      <vt:variant>
        <vt:i4>73007177</vt:i4>
      </vt:variant>
      <vt:variant>
        <vt:i4>111</vt:i4>
      </vt:variant>
      <vt:variant>
        <vt:i4>0</vt:i4>
      </vt:variant>
      <vt:variant>
        <vt:i4>5</vt:i4>
      </vt:variant>
      <vt:variant>
        <vt:lpwstr/>
      </vt:variant>
      <vt:variant>
        <vt:lpwstr>Додаток_15</vt:lpwstr>
      </vt:variant>
      <vt:variant>
        <vt:i4>3866672</vt:i4>
      </vt:variant>
      <vt:variant>
        <vt:i4>108</vt:i4>
      </vt:variant>
      <vt:variant>
        <vt:i4>0</vt:i4>
      </vt:variant>
      <vt:variant>
        <vt:i4>5</vt:i4>
      </vt:variant>
      <vt:variant>
        <vt:lpwstr>http://zakon4.rada.gov.ua/laws/show/514-17</vt:lpwstr>
      </vt:variant>
      <vt:variant>
        <vt:lpwstr/>
      </vt:variant>
      <vt:variant>
        <vt:i4>2621487</vt:i4>
      </vt:variant>
      <vt:variant>
        <vt:i4>105</vt:i4>
      </vt:variant>
      <vt:variant>
        <vt:i4>0</vt:i4>
      </vt:variant>
      <vt:variant>
        <vt:i4>5</vt:i4>
      </vt:variant>
      <vt:variant>
        <vt:lpwstr>http://zakon4.rada.gov.ua/laws/show/5178-17</vt:lpwstr>
      </vt:variant>
      <vt:variant>
        <vt:lpwstr/>
      </vt:variant>
      <vt:variant>
        <vt:i4>4194331</vt:i4>
      </vt:variant>
      <vt:variant>
        <vt:i4>102</vt:i4>
      </vt:variant>
      <vt:variant>
        <vt:i4>0</vt:i4>
      </vt:variant>
      <vt:variant>
        <vt:i4>5</vt:i4>
      </vt:variant>
      <vt:variant>
        <vt:lpwstr>http://custodiangarant.uafin.net/</vt:lpwstr>
      </vt:variant>
      <vt:variant>
        <vt:lpwstr/>
      </vt:variant>
      <vt:variant>
        <vt:i4>4194331</vt:i4>
      </vt:variant>
      <vt:variant>
        <vt:i4>99</vt:i4>
      </vt:variant>
      <vt:variant>
        <vt:i4>0</vt:i4>
      </vt:variant>
      <vt:variant>
        <vt:i4>5</vt:i4>
      </vt:variant>
      <vt:variant>
        <vt:lpwstr>http://custodiangarant.uafin.net/</vt:lpwstr>
      </vt:variant>
      <vt:variant>
        <vt:lpwstr/>
      </vt:variant>
      <vt:variant>
        <vt:i4>4194331</vt:i4>
      </vt:variant>
      <vt:variant>
        <vt:i4>93</vt:i4>
      </vt:variant>
      <vt:variant>
        <vt:i4>0</vt:i4>
      </vt:variant>
      <vt:variant>
        <vt:i4>5</vt:i4>
      </vt:variant>
      <vt:variant>
        <vt:lpwstr>http://custodiangarant.uafin.net/</vt:lpwstr>
      </vt:variant>
      <vt:variant>
        <vt:lpwstr/>
      </vt:variant>
      <vt:variant>
        <vt:i4>4194331</vt:i4>
      </vt:variant>
      <vt:variant>
        <vt:i4>90</vt:i4>
      </vt:variant>
      <vt:variant>
        <vt:i4>0</vt:i4>
      </vt:variant>
      <vt:variant>
        <vt:i4>5</vt:i4>
      </vt:variant>
      <vt:variant>
        <vt:lpwstr>http://custodiangarant.uafin.net/</vt:lpwstr>
      </vt:variant>
      <vt:variant>
        <vt:lpwstr/>
      </vt:variant>
      <vt:variant>
        <vt:i4>4194331</vt:i4>
      </vt:variant>
      <vt:variant>
        <vt:i4>84</vt:i4>
      </vt:variant>
      <vt:variant>
        <vt:i4>0</vt:i4>
      </vt:variant>
      <vt:variant>
        <vt:i4>5</vt:i4>
      </vt:variant>
      <vt:variant>
        <vt:lpwstr>http://custodiangarant.uafin.net/</vt:lpwstr>
      </vt:variant>
      <vt:variant>
        <vt:lpwstr/>
      </vt:variant>
      <vt:variant>
        <vt:i4>4194331</vt:i4>
      </vt:variant>
      <vt:variant>
        <vt:i4>81</vt:i4>
      </vt:variant>
      <vt:variant>
        <vt:i4>0</vt:i4>
      </vt:variant>
      <vt:variant>
        <vt:i4>5</vt:i4>
      </vt:variant>
      <vt:variant>
        <vt:lpwstr>http://custodiangarant.uafin.net/</vt:lpwstr>
      </vt:variant>
      <vt:variant>
        <vt:lpwstr/>
      </vt:variant>
      <vt:variant>
        <vt:i4>4194331</vt:i4>
      </vt:variant>
      <vt:variant>
        <vt:i4>72</vt:i4>
      </vt:variant>
      <vt:variant>
        <vt:i4>0</vt:i4>
      </vt:variant>
      <vt:variant>
        <vt:i4>5</vt:i4>
      </vt:variant>
      <vt:variant>
        <vt:lpwstr>http://custodiangarant.uafin.net/</vt:lpwstr>
      </vt:variant>
      <vt:variant>
        <vt:lpwstr/>
      </vt:variant>
      <vt:variant>
        <vt:i4>4194331</vt:i4>
      </vt:variant>
      <vt:variant>
        <vt:i4>69</vt:i4>
      </vt:variant>
      <vt:variant>
        <vt:i4>0</vt:i4>
      </vt:variant>
      <vt:variant>
        <vt:i4>5</vt:i4>
      </vt:variant>
      <vt:variant>
        <vt:lpwstr>http://custodiangarant.uafin.net/</vt:lpwstr>
      </vt:variant>
      <vt:variant>
        <vt:lpwstr/>
      </vt:variant>
      <vt:variant>
        <vt:i4>4194331</vt:i4>
      </vt:variant>
      <vt:variant>
        <vt:i4>66</vt:i4>
      </vt:variant>
      <vt:variant>
        <vt:i4>0</vt:i4>
      </vt:variant>
      <vt:variant>
        <vt:i4>5</vt:i4>
      </vt:variant>
      <vt:variant>
        <vt:lpwstr>http://custodiangarant.uafin.net/</vt:lpwstr>
      </vt:variant>
      <vt:variant>
        <vt:lpwstr/>
      </vt:variant>
      <vt:variant>
        <vt:i4>4194331</vt:i4>
      </vt:variant>
      <vt:variant>
        <vt:i4>63</vt:i4>
      </vt:variant>
      <vt:variant>
        <vt:i4>0</vt:i4>
      </vt:variant>
      <vt:variant>
        <vt:i4>5</vt:i4>
      </vt:variant>
      <vt:variant>
        <vt:lpwstr>http://custodiangarant.uafin.net/</vt:lpwstr>
      </vt:variant>
      <vt:variant>
        <vt:lpwstr/>
      </vt:variant>
      <vt:variant>
        <vt:i4>4194331</vt:i4>
      </vt:variant>
      <vt:variant>
        <vt:i4>57</vt:i4>
      </vt:variant>
      <vt:variant>
        <vt:i4>0</vt:i4>
      </vt:variant>
      <vt:variant>
        <vt:i4>5</vt:i4>
      </vt:variant>
      <vt:variant>
        <vt:lpwstr>http://custodiangarant.uafin.net/</vt:lpwstr>
      </vt:variant>
      <vt:variant>
        <vt:lpwstr/>
      </vt:variant>
      <vt:variant>
        <vt:i4>4194331</vt:i4>
      </vt:variant>
      <vt:variant>
        <vt:i4>54</vt:i4>
      </vt:variant>
      <vt:variant>
        <vt:i4>0</vt:i4>
      </vt:variant>
      <vt:variant>
        <vt:i4>5</vt:i4>
      </vt:variant>
      <vt:variant>
        <vt:lpwstr>http://custodiangarant.uafin.net/</vt:lpwstr>
      </vt:variant>
      <vt:variant>
        <vt:lpwstr/>
      </vt:variant>
      <vt:variant>
        <vt:i4>4194331</vt:i4>
      </vt:variant>
      <vt:variant>
        <vt:i4>51</vt:i4>
      </vt:variant>
      <vt:variant>
        <vt:i4>0</vt:i4>
      </vt:variant>
      <vt:variant>
        <vt:i4>5</vt:i4>
      </vt:variant>
      <vt:variant>
        <vt:lpwstr>http://custodiangarant.uafin.net/</vt:lpwstr>
      </vt:variant>
      <vt:variant>
        <vt:lpwstr/>
      </vt:variant>
      <vt:variant>
        <vt:i4>4194331</vt:i4>
      </vt:variant>
      <vt:variant>
        <vt:i4>48</vt:i4>
      </vt:variant>
      <vt:variant>
        <vt:i4>0</vt:i4>
      </vt:variant>
      <vt:variant>
        <vt:i4>5</vt:i4>
      </vt:variant>
      <vt:variant>
        <vt:lpwstr>http://custodiangarant.uafin.net/</vt:lpwstr>
      </vt:variant>
      <vt:variant>
        <vt:lpwstr/>
      </vt:variant>
      <vt:variant>
        <vt:i4>4194331</vt:i4>
      </vt:variant>
      <vt:variant>
        <vt:i4>45</vt:i4>
      </vt:variant>
      <vt:variant>
        <vt:i4>0</vt:i4>
      </vt:variant>
      <vt:variant>
        <vt:i4>5</vt:i4>
      </vt:variant>
      <vt:variant>
        <vt:lpwstr>http://custodiangarant.uafin.net/</vt:lpwstr>
      </vt:variant>
      <vt:variant>
        <vt:lpwstr/>
      </vt:variant>
      <vt:variant>
        <vt:i4>4194331</vt:i4>
      </vt:variant>
      <vt:variant>
        <vt:i4>42</vt:i4>
      </vt:variant>
      <vt:variant>
        <vt:i4>0</vt:i4>
      </vt:variant>
      <vt:variant>
        <vt:i4>5</vt:i4>
      </vt:variant>
      <vt:variant>
        <vt:lpwstr>http://custodiangarant.uafin.net/</vt:lpwstr>
      </vt:variant>
      <vt:variant>
        <vt:lpwstr/>
      </vt:variant>
      <vt:variant>
        <vt:i4>4194331</vt:i4>
      </vt:variant>
      <vt:variant>
        <vt:i4>39</vt:i4>
      </vt:variant>
      <vt:variant>
        <vt:i4>0</vt:i4>
      </vt:variant>
      <vt:variant>
        <vt:i4>5</vt:i4>
      </vt:variant>
      <vt:variant>
        <vt:lpwstr>http://custodiangarant.uafin.net/</vt:lpwstr>
      </vt:variant>
      <vt:variant>
        <vt:lpwstr/>
      </vt:variant>
      <vt:variant>
        <vt:i4>4194331</vt:i4>
      </vt:variant>
      <vt:variant>
        <vt:i4>36</vt:i4>
      </vt:variant>
      <vt:variant>
        <vt:i4>0</vt:i4>
      </vt:variant>
      <vt:variant>
        <vt:i4>5</vt:i4>
      </vt:variant>
      <vt:variant>
        <vt:lpwstr>http://custodiangarant.uafin.net/</vt:lpwstr>
      </vt:variant>
      <vt:variant>
        <vt:lpwstr/>
      </vt:variant>
      <vt:variant>
        <vt:i4>6553718</vt:i4>
      </vt:variant>
      <vt:variant>
        <vt:i4>33</vt:i4>
      </vt:variant>
      <vt:variant>
        <vt:i4>0</vt:i4>
      </vt:variant>
      <vt:variant>
        <vt:i4>5</vt:i4>
      </vt:variant>
      <vt:variant>
        <vt:lpwstr>http://zakon3.rada.gov.ua/laws/show/514-17/paran3</vt:lpwstr>
      </vt:variant>
      <vt:variant>
        <vt:lpwstr>n3</vt:lpwstr>
      </vt:variant>
      <vt:variant>
        <vt:i4>4194331</vt:i4>
      </vt:variant>
      <vt:variant>
        <vt:i4>30</vt:i4>
      </vt:variant>
      <vt:variant>
        <vt:i4>0</vt:i4>
      </vt:variant>
      <vt:variant>
        <vt:i4>5</vt:i4>
      </vt:variant>
      <vt:variant>
        <vt:lpwstr>http://custodiangarant.uafin.net/</vt:lpwstr>
      </vt:variant>
      <vt:variant>
        <vt:lpwstr/>
      </vt:variant>
      <vt:variant>
        <vt:i4>4194331</vt:i4>
      </vt:variant>
      <vt:variant>
        <vt:i4>27</vt:i4>
      </vt:variant>
      <vt:variant>
        <vt:i4>0</vt:i4>
      </vt:variant>
      <vt:variant>
        <vt:i4>5</vt:i4>
      </vt:variant>
      <vt:variant>
        <vt:lpwstr>http://custodiangarant.uafin.net/</vt:lpwstr>
      </vt:variant>
      <vt:variant>
        <vt:lpwstr/>
      </vt:variant>
      <vt:variant>
        <vt:i4>4194331</vt:i4>
      </vt:variant>
      <vt:variant>
        <vt:i4>24</vt:i4>
      </vt:variant>
      <vt:variant>
        <vt:i4>0</vt:i4>
      </vt:variant>
      <vt:variant>
        <vt:i4>5</vt:i4>
      </vt:variant>
      <vt:variant>
        <vt:lpwstr>http://custodiangarant.uafin.net/</vt:lpwstr>
      </vt:variant>
      <vt:variant>
        <vt:lpwstr/>
      </vt:variant>
      <vt:variant>
        <vt:i4>4194331</vt:i4>
      </vt:variant>
      <vt:variant>
        <vt:i4>21</vt:i4>
      </vt:variant>
      <vt:variant>
        <vt:i4>0</vt:i4>
      </vt:variant>
      <vt:variant>
        <vt:i4>5</vt:i4>
      </vt:variant>
      <vt:variant>
        <vt:lpwstr>http://custodiangarant.uafin.net/</vt:lpwstr>
      </vt:variant>
      <vt:variant>
        <vt:lpwstr/>
      </vt:variant>
      <vt:variant>
        <vt:i4>6553718</vt:i4>
      </vt:variant>
      <vt:variant>
        <vt:i4>18</vt:i4>
      </vt:variant>
      <vt:variant>
        <vt:i4>0</vt:i4>
      </vt:variant>
      <vt:variant>
        <vt:i4>5</vt:i4>
      </vt:variant>
      <vt:variant>
        <vt:lpwstr>http://zakon3.rada.gov.ua/laws/show/514-17/paran3</vt:lpwstr>
      </vt:variant>
      <vt:variant>
        <vt:lpwstr>n3</vt:lpwstr>
      </vt:variant>
      <vt:variant>
        <vt:i4>4194331</vt:i4>
      </vt:variant>
      <vt:variant>
        <vt:i4>15</vt:i4>
      </vt:variant>
      <vt:variant>
        <vt:i4>0</vt:i4>
      </vt:variant>
      <vt:variant>
        <vt:i4>5</vt:i4>
      </vt:variant>
      <vt:variant>
        <vt:lpwstr>http://custodiangarant.uafin.net/</vt:lpwstr>
      </vt:variant>
      <vt:variant>
        <vt:lpwstr/>
      </vt:variant>
      <vt:variant>
        <vt:i4>4194331</vt:i4>
      </vt:variant>
      <vt:variant>
        <vt:i4>12</vt:i4>
      </vt:variant>
      <vt:variant>
        <vt:i4>0</vt:i4>
      </vt:variant>
      <vt:variant>
        <vt:i4>5</vt:i4>
      </vt:variant>
      <vt:variant>
        <vt:lpwstr>http://custodiangarant.uafin.net/</vt:lpwstr>
      </vt:variant>
      <vt:variant>
        <vt:lpwstr/>
      </vt:variant>
      <vt:variant>
        <vt:i4>6553718</vt:i4>
      </vt:variant>
      <vt:variant>
        <vt:i4>9</vt:i4>
      </vt:variant>
      <vt:variant>
        <vt:i4>0</vt:i4>
      </vt:variant>
      <vt:variant>
        <vt:i4>5</vt:i4>
      </vt:variant>
      <vt:variant>
        <vt:lpwstr>http://zakon3.rada.gov.ua/laws/show/514-17/paran3</vt:lpwstr>
      </vt:variant>
      <vt:variant>
        <vt:lpwstr>n3</vt:lpwstr>
      </vt:variant>
      <vt:variant>
        <vt:i4>4194331</vt:i4>
      </vt:variant>
      <vt:variant>
        <vt:i4>6</vt:i4>
      </vt:variant>
      <vt:variant>
        <vt:i4>0</vt:i4>
      </vt:variant>
      <vt:variant>
        <vt:i4>5</vt:i4>
      </vt:variant>
      <vt:variant>
        <vt:lpwstr>http://custodiangarant.uafin.net/</vt:lpwstr>
      </vt:variant>
      <vt:variant>
        <vt:lpwstr/>
      </vt:variant>
      <vt:variant>
        <vt:i4>4194331</vt:i4>
      </vt:variant>
      <vt:variant>
        <vt:i4>3</vt:i4>
      </vt:variant>
      <vt:variant>
        <vt:i4>0</vt:i4>
      </vt:variant>
      <vt:variant>
        <vt:i4>5</vt:i4>
      </vt:variant>
      <vt:variant>
        <vt:lpwstr>http://custodiangarant.uafin.net/</vt:lpwstr>
      </vt:variant>
      <vt:variant>
        <vt:lpwstr/>
      </vt:variant>
      <vt:variant>
        <vt:i4>6553718</vt:i4>
      </vt:variant>
      <vt:variant>
        <vt:i4>0</vt:i4>
      </vt:variant>
      <vt:variant>
        <vt:i4>0</vt:i4>
      </vt:variant>
      <vt:variant>
        <vt:i4>5</vt:i4>
      </vt:variant>
      <vt:variant>
        <vt:lpwstr>http://zakon3.rada.gov.ua/laws/show/514-17/paran3</vt:lpwstr>
      </vt:variant>
      <vt:variant>
        <vt:lpwstr>n3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Вихідна документація</dc:title>
  <dc:subject/>
  <dc:creator>KHOMUTOV</dc:creator>
  <cp:keywords/>
  <cp:lastModifiedBy>Comex Comex</cp:lastModifiedBy>
  <cp:revision>106</cp:revision>
  <cp:lastPrinted>2013-12-04T08:30:00Z</cp:lastPrinted>
  <dcterms:created xsi:type="dcterms:W3CDTF">2020-09-01T09:24:00Z</dcterms:created>
  <dcterms:modified xsi:type="dcterms:W3CDTF">2021-01-26T10:40:00Z</dcterms:modified>
</cp:coreProperties>
</file>